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020DC" w14:textId="77777777" w:rsidR="002C6574" w:rsidRDefault="00000000">
      <w:pPr>
        <w:pStyle w:val="Corpodetexto"/>
        <w:rPr>
          <w:rFonts w:ascii="Times New Roman"/>
          <w:sz w:val="20"/>
        </w:rPr>
      </w:pPr>
      <w:r>
        <w:rPr>
          <w:rFonts w:ascii="Times New Roman"/>
          <w:noProof/>
          <w:sz w:val="20"/>
        </w:rPr>
        <mc:AlternateContent>
          <mc:Choice Requires="wps">
            <w:drawing>
              <wp:anchor distT="0" distB="0" distL="0" distR="0" simplePos="0" relativeHeight="472555520" behindDoc="1" locked="0" layoutInCell="1" allowOverlap="1" wp14:anchorId="5E323B9E" wp14:editId="482617BB">
                <wp:simplePos x="0" y="0"/>
                <wp:positionH relativeFrom="page">
                  <wp:posOffset>4572</wp:posOffset>
                </wp:positionH>
                <wp:positionV relativeFrom="page">
                  <wp:posOffset>0</wp:posOffset>
                </wp:positionV>
                <wp:extent cx="7556500" cy="1069276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2765"/>
                        </a:xfrm>
                        <a:custGeom>
                          <a:avLst/>
                          <a:gdLst/>
                          <a:ahLst/>
                          <a:cxnLst/>
                          <a:rect l="l" t="t" r="r" b="b"/>
                          <a:pathLst>
                            <a:path w="7556500" h="10692765">
                              <a:moveTo>
                                <a:pt x="7555992" y="10692384"/>
                              </a:moveTo>
                              <a:lnTo>
                                <a:pt x="0" y="10692384"/>
                              </a:lnTo>
                              <a:lnTo>
                                <a:pt x="0" y="0"/>
                              </a:lnTo>
                              <a:lnTo>
                                <a:pt x="7555992" y="0"/>
                              </a:lnTo>
                              <a:lnTo>
                                <a:pt x="7555992" y="10692384"/>
                              </a:lnTo>
                              <a:close/>
                            </a:path>
                          </a:pathLst>
                        </a:custGeom>
                        <a:solidFill>
                          <a:srgbClr val="0F1A64"/>
                        </a:solidFill>
                      </wps:spPr>
                      <wps:bodyPr wrap="square" lIns="0" tIns="0" rIns="0" bIns="0" rtlCol="0">
                        <a:prstTxWarp prst="textNoShape">
                          <a:avLst/>
                        </a:prstTxWarp>
                        <a:noAutofit/>
                      </wps:bodyPr>
                    </wps:wsp>
                  </a:graphicData>
                </a:graphic>
              </wp:anchor>
            </w:drawing>
          </mc:Choice>
          <mc:Fallback>
            <w:pict>
              <v:shape w14:anchorId="0713F068" id="Graphic 1" o:spid="_x0000_s1026" style="position:absolute;margin-left:.35pt;margin-top:0;width:595pt;height:841.95pt;z-index:-30760960;visibility:visible;mso-wrap-style:square;mso-wrap-distance-left:0;mso-wrap-distance-top:0;mso-wrap-distance-right:0;mso-wrap-distance-bottom:0;mso-position-horizontal:absolute;mso-position-horizontal-relative:page;mso-position-vertical:absolute;mso-position-vertical-relative:page;v-text-anchor:top" coordsize="7556500,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" path="m7555992,10692384l,10692384,,,7555992,r,10692384xe" fillcolor="#0f1a64" stroked="f">
                <v:path arrowok="t"/>
                <w10:wrap anchorx="page" anchory="page"/>
              </v:shape>
            </w:pict>
          </mc:Fallback>
        </mc:AlternateContent>
      </w:r>
      <w:r>
        <w:rPr>
          <w:rFonts w:ascii="Times New Roman"/>
          <w:noProof/>
          <w:sz w:val="20"/>
        </w:rPr>
        <mc:AlternateContent>
          <mc:Choice Requires="wps">
            <w:drawing>
              <wp:anchor distT="0" distB="0" distL="0" distR="0" simplePos="0" relativeHeight="15729152" behindDoc="0" locked="0" layoutInCell="1" allowOverlap="1" wp14:anchorId="78693A05" wp14:editId="77E3D0E4">
                <wp:simplePos x="0" y="0"/>
                <wp:positionH relativeFrom="page">
                  <wp:posOffset>4572</wp:posOffset>
                </wp:positionH>
                <wp:positionV relativeFrom="page">
                  <wp:posOffset>0</wp:posOffset>
                </wp:positionV>
                <wp:extent cx="1270" cy="1069276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92765"/>
                        </a:xfrm>
                        <a:custGeom>
                          <a:avLst/>
                          <a:gdLst/>
                          <a:ahLst/>
                          <a:cxnLst/>
                          <a:rect l="l" t="t" r="r" b="b"/>
                          <a:pathLst>
                            <a:path h="10692765">
                              <a:moveTo>
                                <a:pt x="0" y="10692384"/>
                              </a:moveTo>
                              <a:lnTo>
                                <a:pt x="0" y="0"/>
                              </a:lnTo>
                            </a:path>
                          </a:pathLst>
                        </a:custGeom>
                        <a:ln w="25908">
                          <a:solidFill>
                            <a:srgbClr val="1C334D"/>
                          </a:solidFill>
                          <a:prstDash val="solid"/>
                        </a:ln>
                      </wps:spPr>
                      <wps:bodyPr wrap="square" lIns="0" tIns="0" rIns="0" bIns="0" rtlCol="0">
                        <a:prstTxWarp prst="textNoShape">
                          <a:avLst/>
                        </a:prstTxWarp>
                        <a:noAutofit/>
                      </wps:bodyPr>
                    </wps:wsp>
                  </a:graphicData>
                </a:graphic>
              </wp:anchor>
            </w:drawing>
          </mc:Choice>
          <mc:Fallback>
            <w:pict>
              <v:shape w14:anchorId="6B5498F2" id="Graphic 2" o:spid="_x0000_s1026" style="position:absolute;margin-left:.35pt;margin-top:0;width:.1pt;height:841.95pt;z-index:15729152;visibility:visible;mso-wrap-style:square;mso-wrap-distance-left:0;mso-wrap-distance-top:0;mso-wrap-distance-right:0;mso-wrap-distance-bottom:0;mso-position-horizontal:absolute;mso-position-horizontal-relative:page;mso-position-vertical:absolute;mso-position-vertical-relative:page;v-text-anchor:top" coordsize="1270,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" path="m,10692384l,e" filled="f" strokecolor="#1c334d" strokeweight="2.04pt">
                <v:path arrowok="t"/>
                <w10:wrap anchorx="page" anchory="page"/>
              </v:shape>
            </w:pict>
          </mc:Fallback>
        </mc:AlternateContent>
      </w:r>
      <w:r>
        <w:rPr>
          <w:rFonts w:ascii="Times New Roman"/>
          <w:noProof/>
          <w:sz w:val="20"/>
        </w:rPr>
        <w:drawing>
          <wp:anchor distT="0" distB="0" distL="0" distR="0" simplePos="0" relativeHeight="15729664" behindDoc="0" locked="0" layoutInCell="1" allowOverlap="1" wp14:anchorId="79D1BD6D" wp14:editId="7E5CEF83">
            <wp:simplePos x="0" y="0"/>
            <wp:positionH relativeFrom="page">
              <wp:posOffset>466343</wp:posOffset>
            </wp:positionH>
            <wp:positionV relativeFrom="page">
              <wp:posOffset>1469136</wp:posOffset>
            </wp:positionV>
            <wp:extent cx="7094220" cy="915009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7094220" cy="9150095"/>
                    </a:xfrm>
                    <a:prstGeom prst="rect">
                      <a:avLst/>
                    </a:prstGeom>
                  </pic:spPr>
                </pic:pic>
              </a:graphicData>
            </a:graphic>
          </wp:anchor>
        </w:drawing>
      </w:r>
    </w:p>
    <w:p w14:paraId="1129761C" w14:textId="77777777" w:rsidR="002C6574" w:rsidRDefault="002C6574">
      <w:pPr>
        <w:pStyle w:val="Corpodetexto"/>
        <w:rPr>
          <w:rFonts w:ascii="Times New Roman"/>
          <w:sz w:val="20"/>
        </w:rPr>
      </w:pPr>
    </w:p>
    <w:p w14:paraId="7EA4D002" w14:textId="77777777" w:rsidR="002C6574" w:rsidRDefault="002C6574">
      <w:pPr>
        <w:pStyle w:val="Corpodetexto"/>
        <w:spacing w:before="50"/>
        <w:rPr>
          <w:rFonts w:ascii="Times New Roman"/>
          <w:sz w:val="20"/>
        </w:rPr>
      </w:pPr>
    </w:p>
    <w:p w14:paraId="13CCD3A4" w14:textId="77777777" w:rsidR="002C6574" w:rsidRDefault="00000000">
      <w:pPr>
        <w:pStyle w:val="Corpodetexto"/>
        <w:ind w:left="6947"/>
        <w:rPr>
          <w:rFonts w:ascii="Times New Roman"/>
          <w:sz w:val="20"/>
        </w:rPr>
      </w:pPr>
      <w:r>
        <w:rPr>
          <w:rFonts w:ascii="Times New Roman"/>
          <w:noProof/>
          <w:sz w:val="20"/>
        </w:rPr>
        <w:drawing>
          <wp:inline distT="0" distB="0" distL="0" distR="0" wp14:anchorId="4E5D6A9A" wp14:editId="70CF7314">
            <wp:extent cx="1801368" cy="56387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801368" cy="563879"/>
                    </a:xfrm>
                    <a:prstGeom prst="rect">
                      <a:avLst/>
                    </a:prstGeom>
                  </pic:spPr>
                </pic:pic>
              </a:graphicData>
            </a:graphic>
          </wp:inline>
        </w:drawing>
      </w:r>
    </w:p>
    <w:p w14:paraId="33DFF83F" w14:textId="77777777" w:rsidR="002C6574" w:rsidRDefault="002C6574">
      <w:pPr>
        <w:pStyle w:val="Corpodetexto"/>
        <w:rPr>
          <w:rFonts w:ascii="Times New Roman"/>
          <w:sz w:val="60"/>
        </w:rPr>
      </w:pPr>
    </w:p>
    <w:p w14:paraId="32434F2C" w14:textId="77777777" w:rsidR="002C6574" w:rsidRDefault="002C6574">
      <w:pPr>
        <w:pStyle w:val="Corpodetexto"/>
        <w:rPr>
          <w:rFonts w:ascii="Times New Roman"/>
          <w:sz w:val="60"/>
        </w:rPr>
      </w:pPr>
    </w:p>
    <w:p w14:paraId="5B410CFF" w14:textId="77777777" w:rsidR="002C6574" w:rsidRDefault="002C6574">
      <w:pPr>
        <w:pStyle w:val="Corpodetexto"/>
        <w:rPr>
          <w:rFonts w:ascii="Times New Roman"/>
          <w:sz w:val="60"/>
        </w:rPr>
      </w:pPr>
    </w:p>
    <w:p w14:paraId="699C6D73" w14:textId="77777777" w:rsidR="002C6574" w:rsidRDefault="002C6574">
      <w:pPr>
        <w:pStyle w:val="Corpodetexto"/>
        <w:rPr>
          <w:rFonts w:ascii="Times New Roman"/>
          <w:sz w:val="60"/>
        </w:rPr>
      </w:pPr>
    </w:p>
    <w:p w14:paraId="311FB450" w14:textId="77777777" w:rsidR="002C6574" w:rsidRDefault="002C6574">
      <w:pPr>
        <w:pStyle w:val="Corpodetexto"/>
        <w:rPr>
          <w:rFonts w:ascii="Times New Roman"/>
          <w:sz w:val="60"/>
        </w:rPr>
      </w:pPr>
    </w:p>
    <w:p w14:paraId="28552B3E" w14:textId="77777777" w:rsidR="002C6574" w:rsidRDefault="002C6574">
      <w:pPr>
        <w:pStyle w:val="Corpodetexto"/>
        <w:rPr>
          <w:rFonts w:ascii="Times New Roman"/>
          <w:sz w:val="60"/>
        </w:rPr>
      </w:pPr>
    </w:p>
    <w:p w14:paraId="6668BC9E" w14:textId="77777777" w:rsidR="002C6574" w:rsidRDefault="002C6574">
      <w:pPr>
        <w:pStyle w:val="Corpodetexto"/>
        <w:rPr>
          <w:rFonts w:ascii="Times New Roman"/>
          <w:sz w:val="60"/>
        </w:rPr>
      </w:pPr>
    </w:p>
    <w:p w14:paraId="5B18E418" w14:textId="77777777" w:rsidR="002C6574" w:rsidRDefault="002C6574">
      <w:pPr>
        <w:pStyle w:val="Corpodetexto"/>
        <w:rPr>
          <w:rFonts w:ascii="Times New Roman"/>
          <w:sz w:val="60"/>
        </w:rPr>
      </w:pPr>
    </w:p>
    <w:p w14:paraId="64F35FBB" w14:textId="77777777" w:rsidR="002C6574" w:rsidRDefault="002C6574">
      <w:pPr>
        <w:pStyle w:val="Corpodetexto"/>
        <w:rPr>
          <w:rFonts w:ascii="Times New Roman"/>
          <w:sz w:val="60"/>
        </w:rPr>
      </w:pPr>
    </w:p>
    <w:p w14:paraId="67AC822A" w14:textId="77777777" w:rsidR="002C6574" w:rsidRDefault="002C6574">
      <w:pPr>
        <w:pStyle w:val="Corpodetexto"/>
        <w:rPr>
          <w:rFonts w:ascii="Times New Roman"/>
          <w:sz w:val="60"/>
        </w:rPr>
      </w:pPr>
    </w:p>
    <w:p w14:paraId="600A816A" w14:textId="77777777" w:rsidR="002C6574" w:rsidRDefault="002C6574">
      <w:pPr>
        <w:pStyle w:val="Corpodetexto"/>
        <w:spacing w:before="640"/>
        <w:rPr>
          <w:rFonts w:ascii="Times New Roman"/>
          <w:sz w:val="60"/>
        </w:rPr>
      </w:pPr>
    </w:p>
    <w:p w14:paraId="0E139887" w14:textId="77777777" w:rsidR="002C6574" w:rsidRDefault="00000000">
      <w:pPr>
        <w:pStyle w:val="Ttulo"/>
      </w:pPr>
      <w:r>
        <w:rPr>
          <w:color w:val="FFFFFF"/>
        </w:rPr>
        <w:t>Rclatóíio</w:t>
      </w:r>
      <w:r>
        <w:rPr>
          <w:color w:val="FFFFFF"/>
          <w:spacing w:val="57"/>
        </w:rPr>
        <w:t xml:space="preserve"> </w:t>
      </w:r>
      <w:r>
        <w:rPr>
          <w:color w:val="FFFFFF"/>
        </w:rPr>
        <w:t>da</w:t>
      </w:r>
      <w:r>
        <w:rPr>
          <w:color w:val="FFFFFF"/>
          <w:spacing w:val="61"/>
        </w:rPr>
        <w:t xml:space="preserve"> </w:t>
      </w:r>
      <w:r>
        <w:rPr>
          <w:color w:val="FFFFFF"/>
          <w:spacing w:val="-2"/>
        </w:rPr>
        <w:t>Admi⭲istíaçmo</w:t>
      </w:r>
    </w:p>
    <w:p w14:paraId="20CF1E6E" w14:textId="77777777" w:rsidR="002C6574" w:rsidRDefault="00000000">
      <w:pPr>
        <w:spacing w:before="96"/>
        <w:ind w:left="220"/>
        <w:rPr>
          <w:rFonts w:ascii="Verdana"/>
          <w:sz w:val="40"/>
        </w:rPr>
      </w:pPr>
      <w:r>
        <w:rPr>
          <w:rFonts w:ascii="Verdana"/>
          <w:color w:val="FFFFFF"/>
          <w:spacing w:val="-4"/>
          <w:sz w:val="40"/>
        </w:rPr>
        <w:t>2025</w:t>
      </w:r>
    </w:p>
    <w:p w14:paraId="44CF1BF5" w14:textId="77777777" w:rsidR="002C6574" w:rsidRDefault="002C6574">
      <w:pPr>
        <w:rPr>
          <w:rFonts w:ascii="Verdana"/>
          <w:sz w:val="40"/>
        </w:rPr>
        <w:sectPr w:rsidR="002C6574">
          <w:type w:val="continuous"/>
          <w:pgSz w:w="11910" w:h="16840"/>
          <w:pgMar w:top="0" w:right="850" w:bottom="0" w:left="992" w:header="720" w:footer="720" w:gutter="0"/>
          <w:cols w:space="720"/>
        </w:sectPr>
      </w:pPr>
    </w:p>
    <w:p w14:paraId="5870501B" w14:textId="77777777" w:rsidR="002C6574" w:rsidRDefault="002C6574">
      <w:pPr>
        <w:pStyle w:val="Corpodetexto"/>
        <w:spacing w:before="264"/>
        <w:rPr>
          <w:rFonts w:ascii="Verdana"/>
        </w:rPr>
      </w:pPr>
    </w:p>
    <w:p w14:paraId="67BE0E4C" w14:textId="77777777" w:rsidR="002C6574" w:rsidRDefault="00000000">
      <w:pPr>
        <w:ind w:left="709"/>
        <w:rPr>
          <w:rFonts w:ascii="Calibri" w:hAnsi="Calibri"/>
          <w:b/>
        </w:rPr>
      </w:pPr>
      <w:r>
        <w:rPr>
          <w:rFonts w:ascii="Calibri" w:hAnsi="Calibri"/>
          <w:b/>
          <w:color w:val="001F60"/>
        </w:rPr>
        <w:t>Composição</w:t>
      </w:r>
      <w:r>
        <w:rPr>
          <w:rFonts w:ascii="Calibri" w:hAnsi="Calibri"/>
          <w:b/>
          <w:color w:val="001F60"/>
          <w:spacing w:val="-7"/>
        </w:rPr>
        <w:t xml:space="preserve"> </w:t>
      </w:r>
      <w:r>
        <w:rPr>
          <w:rFonts w:ascii="Calibri" w:hAnsi="Calibri"/>
          <w:b/>
          <w:color w:val="001F60"/>
        </w:rPr>
        <w:t>Atual</w:t>
      </w:r>
      <w:r>
        <w:rPr>
          <w:rFonts w:ascii="Calibri" w:hAnsi="Calibri"/>
          <w:b/>
          <w:color w:val="001F60"/>
          <w:spacing w:val="-4"/>
        </w:rPr>
        <w:t xml:space="preserve"> 2026</w:t>
      </w:r>
    </w:p>
    <w:p w14:paraId="0137686F" w14:textId="77777777" w:rsidR="002C6574" w:rsidRDefault="00000000">
      <w:pPr>
        <w:pStyle w:val="Corpodetexto"/>
        <w:spacing w:before="1" w:line="267" w:lineRule="exact"/>
        <w:ind w:left="709"/>
        <w:rPr>
          <w:rFonts w:ascii="Calibri" w:hAnsi="Calibri"/>
        </w:rPr>
      </w:pPr>
      <w:r>
        <w:rPr>
          <w:rFonts w:ascii="Calibri" w:hAnsi="Calibri"/>
          <w:color w:val="001F60"/>
        </w:rPr>
        <w:t>Hermano</w:t>
      </w:r>
      <w:r>
        <w:rPr>
          <w:rFonts w:ascii="Calibri" w:hAnsi="Calibri"/>
          <w:color w:val="001F60"/>
          <w:spacing w:val="-3"/>
        </w:rPr>
        <w:t xml:space="preserve"> </w:t>
      </w:r>
      <w:r>
        <w:rPr>
          <w:rFonts w:ascii="Calibri" w:hAnsi="Calibri"/>
          <w:color w:val="001F60"/>
        </w:rPr>
        <w:t>Studart</w:t>
      </w:r>
      <w:r>
        <w:rPr>
          <w:rFonts w:ascii="Calibri" w:hAnsi="Calibri"/>
          <w:color w:val="001F60"/>
          <w:spacing w:val="-6"/>
        </w:rPr>
        <w:t xml:space="preserve"> </w:t>
      </w:r>
      <w:r>
        <w:rPr>
          <w:rFonts w:ascii="Calibri" w:hAnsi="Calibri"/>
          <w:color w:val="001F60"/>
        </w:rPr>
        <w:t>Lins</w:t>
      </w:r>
      <w:r>
        <w:rPr>
          <w:rFonts w:ascii="Calibri" w:hAnsi="Calibri"/>
          <w:color w:val="001F60"/>
          <w:spacing w:val="-3"/>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Albuquerque</w:t>
      </w:r>
      <w:r>
        <w:rPr>
          <w:rFonts w:ascii="Calibri" w:hAnsi="Calibri"/>
          <w:color w:val="001F60"/>
          <w:spacing w:val="-3"/>
        </w:rPr>
        <w:t xml:space="preserve"> </w:t>
      </w:r>
      <w:r>
        <w:rPr>
          <w:rFonts w:ascii="Calibri" w:hAnsi="Calibri"/>
          <w:color w:val="001F60"/>
        </w:rPr>
        <w:t>–</w:t>
      </w:r>
      <w:r>
        <w:rPr>
          <w:rFonts w:ascii="Calibri" w:hAnsi="Calibri"/>
          <w:color w:val="001F60"/>
          <w:spacing w:val="-2"/>
        </w:rPr>
        <w:t xml:space="preserve"> Presidente</w:t>
      </w:r>
    </w:p>
    <w:p w14:paraId="45AE103D" w14:textId="77777777" w:rsidR="002C6574" w:rsidRDefault="00000000">
      <w:pPr>
        <w:pStyle w:val="Corpodetexto"/>
        <w:ind w:left="709" w:right="463"/>
        <w:rPr>
          <w:rFonts w:ascii="Calibri" w:hAnsi="Calibri"/>
        </w:rPr>
      </w:pPr>
      <w:r>
        <w:rPr>
          <w:rFonts w:ascii="Calibri" w:hAnsi="Calibri"/>
          <w:color w:val="001F60"/>
        </w:rPr>
        <w:t>Tatiana</w:t>
      </w:r>
      <w:r>
        <w:rPr>
          <w:rFonts w:ascii="Calibri" w:hAnsi="Calibri"/>
          <w:color w:val="001F60"/>
          <w:spacing w:val="-2"/>
        </w:rPr>
        <w:t xml:space="preserve"> </w:t>
      </w:r>
      <w:r>
        <w:rPr>
          <w:rFonts w:ascii="Calibri" w:hAnsi="Calibri"/>
          <w:color w:val="001F60"/>
        </w:rPr>
        <w:t>Rúbia</w:t>
      </w:r>
      <w:r>
        <w:rPr>
          <w:rFonts w:ascii="Calibri" w:hAnsi="Calibri"/>
          <w:color w:val="001F60"/>
          <w:spacing w:val="-4"/>
        </w:rPr>
        <w:t xml:space="preserve"> </w:t>
      </w:r>
      <w:r>
        <w:rPr>
          <w:rFonts w:ascii="Calibri" w:hAnsi="Calibri"/>
          <w:color w:val="001F60"/>
        </w:rPr>
        <w:t>Melo</w:t>
      </w:r>
      <w:r>
        <w:rPr>
          <w:rFonts w:ascii="Calibri" w:hAnsi="Calibri"/>
          <w:color w:val="001F60"/>
          <w:spacing w:val="-4"/>
        </w:rPr>
        <w:t xml:space="preserve"> </w:t>
      </w:r>
      <w:r>
        <w:rPr>
          <w:rFonts w:ascii="Calibri" w:hAnsi="Calibri"/>
          <w:color w:val="001F60"/>
        </w:rPr>
        <w:t>Miranda</w:t>
      </w:r>
      <w:r>
        <w:rPr>
          <w:rFonts w:ascii="Calibri" w:hAnsi="Calibri"/>
          <w:color w:val="001F60"/>
          <w:spacing w:val="-2"/>
        </w:rPr>
        <w:t xml:space="preserve"> </w:t>
      </w:r>
      <w:r>
        <w:rPr>
          <w:rFonts w:ascii="Calibri" w:hAnsi="Calibri"/>
          <w:color w:val="001F60"/>
        </w:rPr>
        <w:t>–</w:t>
      </w:r>
      <w:r>
        <w:rPr>
          <w:rFonts w:ascii="Calibri" w:hAnsi="Calibri"/>
          <w:color w:val="001F60"/>
          <w:spacing w:val="-4"/>
        </w:rPr>
        <w:t xml:space="preserve"> </w:t>
      </w:r>
      <w:r>
        <w:rPr>
          <w:rFonts w:ascii="Calibri" w:hAnsi="Calibri"/>
          <w:color w:val="001F60"/>
        </w:rPr>
        <w:t>Diretora</w:t>
      </w:r>
      <w:r>
        <w:rPr>
          <w:rFonts w:ascii="Calibri" w:hAnsi="Calibri"/>
          <w:color w:val="001F60"/>
          <w:spacing w:val="-2"/>
        </w:rPr>
        <w:t xml:space="preserve"> </w:t>
      </w:r>
      <w:r>
        <w:rPr>
          <w:rFonts w:ascii="Calibri" w:hAnsi="Calibri"/>
          <w:color w:val="001F60"/>
        </w:rPr>
        <w:t>Administrativa-Financeira</w:t>
      </w:r>
      <w:r>
        <w:rPr>
          <w:rFonts w:ascii="Calibri" w:hAnsi="Calibri"/>
          <w:color w:val="001F60"/>
          <w:spacing w:val="-4"/>
        </w:rPr>
        <w:t xml:space="preserve"> </w:t>
      </w:r>
      <w:r>
        <w:rPr>
          <w:rFonts w:ascii="Calibri" w:hAnsi="Calibri"/>
          <w:color w:val="001F60"/>
        </w:rPr>
        <w:t>e Relações</w:t>
      </w:r>
      <w:r>
        <w:rPr>
          <w:rFonts w:ascii="Calibri" w:hAnsi="Calibri"/>
          <w:color w:val="001F60"/>
          <w:spacing w:val="-5"/>
        </w:rPr>
        <w:t xml:space="preserve"> </w:t>
      </w:r>
      <w:r>
        <w:rPr>
          <w:rFonts w:ascii="Calibri" w:hAnsi="Calibri"/>
          <w:color w:val="001F60"/>
        </w:rPr>
        <w:t>com</w:t>
      </w:r>
      <w:r>
        <w:rPr>
          <w:rFonts w:ascii="Calibri" w:hAnsi="Calibri"/>
          <w:color w:val="001F60"/>
          <w:spacing w:val="-4"/>
        </w:rPr>
        <w:t xml:space="preserve"> </w:t>
      </w:r>
      <w:r>
        <w:rPr>
          <w:rFonts w:ascii="Calibri" w:hAnsi="Calibri"/>
          <w:color w:val="001F60"/>
        </w:rPr>
        <w:t>Investidores André Chagas Leita da Fonseca – Diretor Técnico-Operacional</w:t>
      </w:r>
    </w:p>
    <w:p w14:paraId="41B1CA8E" w14:textId="77777777" w:rsidR="002C6574" w:rsidRDefault="00000000">
      <w:pPr>
        <w:pStyle w:val="Corpodetexto"/>
        <w:ind w:left="709"/>
        <w:rPr>
          <w:rFonts w:ascii="Calibri" w:hAnsi="Calibri"/>
        </w:rPr>
      </w:pPr>
      <w:r>
        <w:rPr>
          <w:rFonts w:ascii="Calibri" w:hAnsi="Calibri"/>
          <w:color w:val="001F60"/>
        </w:rPr>
        <w:t>Levi</w:t>
      </w:r>
      <w:r>
        <w:rPr>
          <w:rFonts w:ascii="Calibri" w:hAnsi="Calibri"/>
          <w:color w:val="001F60"/>
          <w:spacing w:val="-3"/>
        </w:rPr>
        <w:t xml:space="preserve"> </w:t>
      </w:r>
      <w:r>
        <w:rPr>
          <w:rFonts w:ascii="Calibri" w:hAnsi="Calibri"/>
          <w:color w:val="001F60"/>
        </w:rPr>
        <w:t>Figueiredo</w:t>
      </w:r>
      <w:r>
        <w:rPr>
          <w:rFonts w:ascii="Calibri" w:hAnsi="Calibri"/>
          <w:color w:val="001F60"/>
          <w:spacing w:val="-3"/>
        </w:rPr>
        <w:t xml:space="preserve"> </w:t>
      </w:r>
      <w:r>
        <w:rPr>
          <w:rFonts w:ascii="Calibri" w:hAnsi="Calibri"/>
          <w:color w:val="001F60"/>
        </w:rPr>
        <w:t>–</w:t>
      </w:r>
      <w:r>
        <w:rPr>
          <w:rFonts w:ascii="Calibri" w:hAnsi="Calibri"/>
          <w:color w:val="001F60"/>
          <w:spacing w:val="-3"/>
        </w:rPr>
        <w:t xml:space="preserve"> </w:t>
      </w:r>
      <w:r>
        <w:rPr>
          <w:rFonts w:ascii="Calibri" w:hAnsi="Calibri"/>
          <w:color w:val="001F60"/>
        </w:rPr>
        <w:t>Diretor</w:t>
      </w:r>
      <w:r>
        <w:rPr>
          <w:rFonts w:ascii="Calibri" w:hAnsi="Calibri"/>
          <w:color w:val="001F60"/>
          <w:spacing w:val="-3"/>
        </w:rPr>
        <w:t xml:space="preserve"> </w:t>
      </w:r>
      <w:r>
        <w:rPr>
          <w:rFonts w:ascii="Calibri" w:hAnsi="Calibri"/>
          <w:color w:val="001F60"/>
          <w:spacing w:val="-2"/>
        </w:rPr>
        <w:t>Comercial</w:t>
      </w:r>
    </w:p>
    <w:p w14:paraId="5CB47915" w14:textId="77777777" w:rsidR="002C6574" w:rsidRDefault="00000000">
      <w:pPr>
        <w:pStyle w:val="Corpodetexto"/>
        <w:ind w:left="709"/>
        <w:rPr>
          <w:rFonts w:ascii="Calibri" w:hAnsi="Calibri"/>
        </w:rPr>
      </w:pPr>
      <w:r>
        <w:rPr>
          <w:rFonts w:ascii="Calibri" w:hAnsi="Calibri"/>
          <w:color w:val="001F60"/>
        </w:rPr>
        <w:t>Tatiana</w:t>
      </w:r>
      <w:r>
        <w:rPr>
          <w:rFonts w:ascii="Calibri" w:hAnsi="Calibri"/>
          <w:color w:val="001F60"/>
          <w:spacing w:val="-3"/>
        </w:rPr>
        <w:t xml:space="preserve"> </w:t>
      </w:r>
      <w:r>
        <w:rPr>
          <w:rFonts w:ascii="Calibri" w:hAnsi="Calibri"/>
          <w:color w:val="001F60"/>
        </w:rPr>
        <w:t>Rúbia</w:t>
      </w:r>
      <w:r>
        <w:rPr>
          <w:rFonts w:ascii="Calibri" w:hAnsi="Calibri"/>
          <w:color w:val="001F60"/>
          <w:spacing w:val="-5"/>
        </w:rPr>
        <w:t xml:space="preserve"> </w:t>
      </w:r>
      <w:r>
        <w:rPr>
          <w:rFonts w:ascii="Calibri" w:hAnsi="Calibri"/>
          <w:color w:val="001F60"/>
        </w:rPr>
        <w:t>Melo</w:t>
      </w:r>
      <w:r>
        <w:rPr>
          <w:rFonts w:ascii="Calibri" w:hAnsi="Calibri"/>
          <w:color w:val="001F60"/>
          <w:spacing w:val="-4"/>
        </w:rPr>
        <w:t xml:space="preserve"> </w:t>
      </w:r>
      <w:r>
        <w:rPr>
          <w:rFonts w:ascii="Calibri" w:hAnsi="Calibri"/>
          <w:color w:val="001F60"/>
        </w:rPr>
        <w:t>Miranda</w:t>
      </w:r>
      <w:r>
        <w:rPr>
          <w:rFonts w:ascii="Calibri" w:hAnsi="Calibri"/>
          <w:color w:val="001F60"/>
          <w:spacing w:val="-3"/>
        </w:rPr>
        <w:t xml:space="preserve"> </w:t>
      </w:r>
      <w:r>
        <w:rPr>
          <w:rFonts w:ascii="Calibri" w:hAnsi="Calibri"/>
          <w:color w:val="001F60"/>
        </w:rPr>
        <w:t>–</w:t>
      </w:r>
      <w:r>
        <w:rPr>
          <w:rFonts w:ascii="Calibri" w:hAnsi="Calibri"/>
          <w:color w:val="001F60"/>
          <w:spacing w:val="-4"/>
        </w:rPr>
        <w:t xml:space="preserve"> </w:t>
      </w:r>
      <w:r>
        <w:rPr>
          <w:rFonts w:ascii="Calibri" w:hAnsi="Calibri"/>
          <w:color w:val="001F60"/>
        </w:rPr>
        <w:t>Diretora</w:t>
      </w:r>
      <w:r>
        <w:rPr>
          <w:rFonts w:ascii="Calibri" w:hAnsi="Calibri"/>
          <w:color w:val="001F60"/>
          <w:spacing w:val="-3"/>
        </w:rPr>
        <w:t xml:space="preserve"> </w:t>
      </w:r>
      <w:r>
        <w:rPr>
          <w:rFonts w:ascii="Calibri" w:hAnsi="Calibri"/>
          <w:color w:val="001F60"/>
        </w:rPr>
        <w:t>de</w:t>
      </w:r>
      <w:r>
        <w:rPr>
          <w:rFonts w:ascii="Calibri" w:hAnsi="Calibri"/>
          <w:color w:val="001F60"/>
          <w:spacing w:val="-3"/>
        </w:rPr>
        <w:t xml:space="preserve"> </w:t>
      </w:r>
      <w:r>
        <w:rPr>
          <w:rFonts w:ascii="Calibri" w:hAnsi="Calibri"/>
          <w:color w:val="001F60"/>
        </w:rPr>
        <w:t>Governança</w:t>
      </w:r>
      <w:r>
        <w:rPr>
          <w:rFonts w:ascii="Calibri" w:hAnsi="Calibri"/>
          <w:color w:val="001F60"/>
          <w:spacing w:val="-2"/>
        </w:rPr>
        <w:t xml:space="preserve"> (Interina)</w:t>
      </w:r>
    </w:p>
    <w:p w14:paraId="1296101F" w14:textId="77777777" w:rsidR="002C6574" w:rsidRDefault="002C6574">
      <w:pPr>
        <w:pStyle w:val="Corpodetexto"/>
        <w:rPr>
          <w:rFonts w:ascii="Calibri"/>
        </w:rPr>
      </w:pPr>
    </w:p>
    <w:p w14:paraId="21F5218C" w14:textId="77777777" w:rsidR="002C6574" w:rsidRDefault="00000000">
      <w:pPr>
        <w:ind w:left="709" w:right="6923"/>
        <w:rPr>
          <w:rFonts w:ascii="Calibri" w:hAnsi="Calibri"/>
        </w:rPr>
      </w:pPr>
      <w:r>
        <w:rPr>
          <w:rFonts w:ascii="Calibri" w:hAnsi="Calibri"/>
          <w:b/>
          <w:color w:val="001F60"/>
        </w:rPr>
        <w:t xml:space="preserve">Composição 2025 </w:t>
      </w:r>
      <w:r>
        <w:rPr>
          <w:rFonts w:ascii="Calibri" w:hAnsi="Calibri"/>
          <w:color w:val="001F60"/>
        </w:rPr>
        <w:t>Frederico</w:t>
      </w:r>
      <w:r>
        <w:rPr>
          <w:rFonts w:ascii="Calibri" w:hAnsi="Calibri"/>
          <w:color w:val="001F60"/>
          <w:spacing w:val="-12"/>
        </w:rPr>
        <w:t xml:space="preserve"> </w:t>
      </w:r>
      <w:r>
        <w:rPr>
          <w:rFonts w:ascii="Calibri" w:hAnsi="Calibri"/>
          <w:color w:val="001F60"/>
        </w:rPr>
        <w:t>de</w:t>
      </w:r>
      <w:r>
        <w:rPr>
          <w:rFonts w:ascii="Calibri" w:hAnsi="Calibri"/>
          <w:color w:val="001F60"/>
          <w:spacing w:val="-11"/>
        </w:rPr>
        <w:t xml:space="preserve"> </w:t>
      </w:r>
      <w:r>
        <w:rPr>
          <w:rFonts w:ascii="Calibri" w:hAnsi="Calibri"/>
          <w:color w:val="001F60"/>
        </w:rPr>
        <w:t>Siqueira</w:t>
      </w:r>
      <w:r>
        <w:rPr>
          <w:rFonts w:ascii="Calibri" w:hAnsi="Calibri"/>
          <w:color w:val="001F60"/>
          <w:spacing w:val="-11"/>
        </w:rPr>
        <w:t xml:space="preserve"> </w:t>
      </w:r>
      <w:r>
        <w:rPr>
          <w:rFonts w:ascii="Calibri" w:hAnsi="Calibri"/>
          <w:color w:val="001F60"/>
        </w:rPr>
        <w:t xml:space="preserve">Filho </w:t>
      </w:r>
      <w:r>
        <w:rPr>
          <w:rFonts w:ascii="Calibri" w:hAnsi="Calibri"/>
          <w:color w:val="001F60"/>
          <w:spacing w:val="-2"/>
        </w:rPr>
        <w:t>Presidente</w:t>
      </w:r>
    </w:p>
    <w:p w14:paraId="5414B8BF" w14:textId="77777777" w:rsidR="002C6574" w:rsidRDefault="00000000">
      <w:pPr>
        <w:ind w:left="709"/>
        <w:rPr>
          <w:rFonts w:ascii="Calibri" w:hAnsi="Calibri"/>
          <w:sz w:val="18"/>
        </w:rPr>
      </w:pPr>
      <w:r>
        <w:rPr>
          <w:rFonts w:ascii="Calibri" w:hAnsi="Calibri"/>
          <w:color w:val="001F60"/>
          <w:sz w:val="18"/>
        </w:rPr>
        <w:t>319ª</w:t>
      </w:r>
      <w:r>
        <w:rPr>
          <w:rFonts w:ascii="Calibri" w:hAnsi="Calibri"/>
          <w:color w:val="001F60"/>
          <w:spacing w:val="-2"/>
          <w:sz w:val="18"/>
        </w:rPr>
        <w:t xml:space="preserve"> </w:t>
      </w:r>
      <w:r>
        <w:rPr>
          <w:rFonts w:ascii="Calibri" w:hAnsi="Calibri"/>
          <w:color w:val="001F60"/>
          <w:sz w:val="18"/>
        </w:rPr>
        <w:t>RECA</w:t>
      </w:r>
      <w:r>
        <w:rPr>
          <w:rFonts w:ascii="Calibri" w:hAnsi="Calibri"/>
          <w:color w:val="001F60"/>
          <w:spacing w:val="-2"/>
          <w:sz w:val="18"/>
        </w:rPr>
        <w:t xml:space="preserve"> </w:t>
      </w:r>
      <w:r>
        <w:rPr>
          <w:rFonts w:ascii="Calibri" w:hAnsi="Calibri"/>
          <w:color w:val="001F60"/>
          <w:sz w:val="18"/>
        </w:rPr>
        <w:t>12/05/2023</w:t>
      </w:r>
      <w:r>
        <w:rPr>
          <w:rFonts w:ascii="Calibri" w:hAnsi="Calibri"/>
          <w:color w:val="001F60"/>
          <w:spacing w:val="1"/>
          <w:sz w:val="18"/>
        </w:rPr>
        <w:t xml:space="preserve"> </w:t>
      </w:r>
      <w:r>
        <w:rPr>
          <w:rFonts w:ascii="Calibri" w:hAnsi="Calibri"/>
          <w:color w:val="001F60"/>
          <w:sz w:val="18"/>
        </w:rPr>
        <w:t>–</w:t>
      </w:r>
      <w:r>
        <w:rPr>
          <w:rFonts w:ascii="Calibri" w:hAnsi="Calibri"/>
          <w:color w:val="001F60"/>
          <w:spacing w:val="-1"/>
          <w:sz w:val="18"/>
        </w:rPr>
        <w:t xml:space="preserve"> </w:t>
      </w:r>
      <w:r>
        <w:rPr>
          <w:rFonts w:ascii="Calibri" w:hAnsi="Calibri"/>
          <w:color w:val="001F60"/>
          <w:spacing w:val="-2"/>
          <w:sz w:val="18"/>
        </w:rPr>
        <w:t>24/04/2025</w:t>
      </w:r>
    </w:p>
    <w:p w14:paraId="3A005CC4" w14:textId="77777777" w:rsidR="002C6574" w:rsidRDefault="002C6574">
      <w:pPr>
        <w:pStyle w:val="Corpodetexto"/>
        <w:spacing w:before="48"/>
        <w:rPr>
          <w:rFonts w:ascii="Calibri"/>
          <w:sz w:val="18"/>
        </w:rPr>
      </w:pPr>
    </w:p>
    <w:p w14:paraId="3AF39BD4" w14:textId="77777777" w:rsidR="002C6574" w:rsidRDefault="00000000">
      <w:pPr>
        <w:pStyle w:val="Corpodetexto"/>
        <w:ind w:left="709" w:right="6923"/>
        <w:rPr>
          <w:rFonts w:ascii="Calibri" w:hAnsi="Calibri"/>
        </w:rPr>
      </w:pPr>
      <w:r>
        <w:rPr>
          <w:rFonts w:ascii="Calibri" w:hAnsi="Calibri"/>
          <w:color w:val="001F60"/>
        </w:rPr>
        <w:t>André</w:t>
      </w:r>
      <w:r>
        <w:rPr>
          <w:rFonts w:ascii="Calibri" w:hAnsi="Calibri"/>
          <w:color w:val="001F60"/>
          <w:spacing w:val="-13"/>
        </w:rPr>
        <w:t xml:space="preserve"> </w:t>
      </w:r>
      <w:r>
        <w:rPr>
          <w:rFonts w:ascii="Calibri" w:hAnsi="Calibri"/>
          <w:color w:val="001F60"/>
        </w:rPr>
        <w:t>Leandro</w:t>
      </w:r>
      <w:r>
        <w:rPr>
          <w:rFonts w:ascii="Calibri" w:hAnsi="Calibri"/>
          <w:color w:val="001F60"/>
          <w:spacing w:val="-12"/>
        </w:rPr>
        <w:t xml:space="preserve"> </w:t>
      </w:r>
      <w:r>
        <w:rPr>
          <w:rFonts w:ascii="Calibri" w:hAnsi="Calibri"/>
          <w:color w:val="001F60"/>
        </w:rPr>
        <w:t xml:space="preserve">Magalhães </w:t>
      </w:r>
      <w:r>
        <w:rPr>
          <w:rFonts w:ascii="Calibri" w:hAnsi="Calibri"/>
          <w:color w:val="001F60"/>
          <w:spacing w:val="-2"/>
        </w:rPr>
        <w:t>Presidente</w:t>
      </w:r>
    </w:p>
    <w:p w14:paraId="2EADD894" w14:textId="77777777" w:rsidR="002C6574" w:rsidRDefault="00000000">
      <w:pPr>
        <w:spacing w:before="3"/>
        <w:ind w:left="709"/>
        <w:rPr>
          <w:rFonts w:ascii="Calibri" w:hAnsi="Calibri"/>
          <w:sz w:val="18"/>
        </w:rPr>
      </w:pPr>
      <w:r>
        <w:rPr>
          <w:rFonts w:ascii="Calibri" w:hAnsi="Calibri"/>
          <w:color w:val="001F60"/>
          <w:sz w:val="18"/>
        </w:rPr>
        <w:t>374ª</w:t>
      </w:r>
      <w:r>
        <w:rPr>
          <w:rFonts w:ascii="Calibri" w:hAnsi="Calibri"/>
          <w:color w:val="001F60"/>
          <w:spacing w:val="-2"/>
          <w:sz w:val="18"/>
        </w:rPr>
        <w:t xml:space="preserve"> </w:t>
      </w:r>
      <w:r>
        <w:rPr>
          <w:rFonts w:ascii="Calibri" w:hAnsi="Calibri"/>
          <w:color w:val="001F60"/>
          <w:sz w:val="18"/>
        </w:rPr>
        <w:t>RECA</w:t>
      </w:r>
      <w:r>
        <w:rPr>
          <w:rFonts w:ascii="Calibri" w:hAnsi="Calibri"/>
          <w:color w:val="001F60"/>
          <w:spacing w:val="-2"/>
          <w:sz w:val="18"/>
        </w:rPr>
        <w:t xml:space="preserve"> </w:t>
      </w:r>
      <w:r>
        <w:rPr>
          <w:rFonts w:ascii="Calibri" w:hAnsi="Calibri"/>
          <w:color w:val="001F60"/>
          <w:sz w:val="18"/>
        </w:rPr>
        <w:t>25/04/2025</w:t>
      </w:r>
      <w:r>
        <w:rPr>
          <w:rFonts w:ascii="Calibri" w:hAnsi="Calibri"/>
          <w:color w:val="001F60"/>
          <w:spacing w:val="1"/>
          <w:sz w:val="18"/>
        </w:rPr>
        <w:t xml:space="preserve"> </w:t>
      </w:r>
      <w:r>
        <w:rPr>
          <w:rFonts w:ascii="Calibri" w:hAnsi="Calibri"/>
          <w:color w:val="001F60"/>
          <w:sz w:val="18"/>
        </w:rPr>
        <w:t>–</w:t>
      </w:r>
      <w:r>
        <w:rPr>
          <w:rFonts w:ascii="Calibri" w:hAnsi="Calibri"/>
          <w:color w:val="001F60"/>
          <w:spacing w:val="-1"/>
          <w:sz w:val="18"/>
        </w:rPr>
        <w:t xml:space="preserve"> </w:t>
      </w:r>
      <w:r>
        <w:rPr>
          <w:rFonts w:ascii="Calibri" w:hAnsi="Calibri"/>
          <w:color w:val="001F60"/>
          <w:spacing w:val="-2"/>
          <w:sz w:val="18"/>
        </w:rPr>
        <w:t>18/01/2026</w:t>
      </w:r>
    </w:p>
    <w:p w14:paraId="5E5A60F5" w14:textId="77777777" w:rsidR="002C6574" w:rsidRDefault="002C6574">
      <w:pPr>
        <w:pStyle w:val="Corpodetexto"/>
        <w:spacing w:before="45"/>
        <w:rPr>
          <w:rFonts w:ascii="Calibri"/>
          <w:sz w:val="18"/>
        </w:rPr>
      </w:pPr>
    </w:p>
    <w:p w14:paraId="4C4683E0" w14:textId="77777777" w:rsidR="002C6574" w:rsidRDefault="00000000">
      <w:pPr>
        <w:pStyle w:val="Corpodetexto"/>
        <w:spacing w:before="1"/>
        <w:ind w:left="709"/>
        <w:rPr>
          <w:rFonts w:ascii="Calibri" w:hAnsi="Calibri"/>
        </w:rPr>
      </w:pPr>
      <w:r>
        <w:rPr>
          <w:rFonts w:ascii="Calibri" w:hAnsi="Calibri"/>
          <w:color w:val="001F60"/>
        </w:rPr>
        <w:t>Tatiana</w:t>
      </w:r>
      <w:r>
        <w:rPr>
          <w:rFonts w:ascii="Calibri" w:hAnsi="Calibri"/>
          <w:color w:val="001F60"/>
          <w:spacing w:val="-3"/>
        </w:rPr>
        <w:t xml:space="preserve"> </w:t>
      </w:r>
      <w:r>
        <w:rPr>
          <w:rFonts w:ascii="Calibri" w:hAnsi="Calibri"/>
          <w:color w:val="001F60"/>
        </w:rPr>
        <w:t>Rúbia</w:t>
      </w:r>
      <w:r>
        <w:rPr>
          <w:rFonts w:ascii="Calibri" w:hAnsi="Calibri"/>
          <w:color w:val="001F60"/>
          <w:spacing w:val="-4"/>
        </w:rPr>
        <w:t xml:space="preserve"> </w:t>
      </w:r>
      <w:r>
        <w:rPr>
          <w:rFonts w:ascii="Calibri" w:hAnsi="Calibri"/>
          <w:color w:val="001F60"/>
        </w:rPr>
        <w:t>Melo</w:t>
      </w:r>
      <w:r>
        <w:rPr>
          <w:rFonts w:ascii="Calibri" w:hAnsi="Calibri"/>
          <w:color w:val="001F60"/>
          <w:spacing w:val="-4"/>
        </w:rPr>
        <w:t xml:space="preserve"> </w:t>
      </w:r>
      <w:r>
        <w:rPr>
          <w:rFonts w:ascii="Calibri" w:hAnsi="Calibri"/>
          <w:color w:val="001F60"/>
          <w:spacing w:val="-2"/>
        </w:rPr>
        <w:t>Miranda</w:t>
      </w:r>
    </w:p>
    <w:p w14:paraId="483DFF4B" w14:textId="77777777" w:rsidR="002C6574" w:rsidRDefault="00000000">
      <w:pPr>
        <w:pStyle w:val="Corpodetexto"/>
        <w:ind w:left="709"/>
        <w:rPr>
          <w:rFonts w:ascii="Calibri"/>
        </w:rPr>
      </w:pPr>
      <w:r>
        <w:rPr>
          <w:rFonts w:ascii="Calibri"/>
          <w:color w:val="001F60"/>
        </w:rPr>
        <w:t>Diretora</w:t>
      </w:r>
      <w:r>
        <w:rPr>
          <w:rFonts w:ascii="Calibri"/>
          <w:color w:val="001F60"/>
          <w:spacing w:val="-7"/>
        </w:rPr>
        <w:t xml:space="preserve"> </w:t>
      </w:r>
      <w:r>
        <w:rPr>
          <w:rFonts w:ascii="Calibri"/>
          <w:color w:val="001F60"/>
        </w:rPr>
        <w:t>Administrativa-Financeira</w:t>
      </w:r>
      <w:r>
        <w:rPr>
          <w:rFonts w:ascii="Calibri"/>
          <w:color w:val="001F60"/>
          <w:spacing w:val="-4"/>
        </w:rPr>
        <w:t xml:space="preserve"> </w:t>
      </w:r>
      <w:r>
        <w:rPr>
          <w:rFonts w:ascii="Calibri"/>
          <w:color w:val="001F60"/>
        </w:rPr>
        <w:t>e</w:t>
      </w:r>
      <w:r>
        <w:rPr>
          <w:rFonts w:ascii="Calibri"/>
          <w:color w:val="001F60"/>
          <w:spacing w:val="-5"/>
        </w:rPr>
        <w:t xml:space="preserve"> RI</w:t>
      </w:r>
    </w:p>
    <w:p w14:paraId="0D77AEB3" w14:textId="77777777" w:rsidR="002C6574" w:rsidRDefault="00000000">
      <w:pPr>
        <w:spacing w:before="2"/>
        <w:ind w:left="709"/>
        <w:rPr>
          <w:rFonts w:ascii="Calibri" w:hAnsi="Calibri"/>
          <w:sz w:val="18"/>
        </w:rPr>
      </w:pPr>
      <w:r>
        <w:rPr>
          <w:rFonts w:ascii="Calibri" w:hAnsi="Calibri"/>
          <w:color w:val="001F60"/>
          <w:sz w:val="18"/>
        </w:rPr>
        <w:t>317ª</w:t>
      </w:r>
      <w:r>
        <w:rPr>
          <w:rFonts w:ascii="Calibri" w:hAnsi="Calibri"/>
          <w:color w:val="001F60"/>
          <w:spacing w:val="-2"/>
          <w:sz w:val="18"/>
        </w:rPr>
        <w:t xml:space="preserve"> </w:t>
      </w:r>
      <w:r>
        <w:rPr>
          <w:rFonts w:ascii="Calibri" w:hAnsi="Calibri"/>
          <w:color w:val="001F60"/>
          <w:sz w:val="18"/>
        </w:rPr>
        <w:t>RECA</w:t>
      </w:r>
      <w:r>
        <w:rPr>
          <w:rFonts w:ascii="Calibri" w:hAnsi="Calibri"/>
          <w:color w:val="001F60"/>
          <w:spacing w:val="-2"/>
          <w:sz w:val="18"/>
        </w:rPr>
        <w:t xml:space="preserve"> </w:t>
      </w:r>
      <w:r>
        <w:rPr>
          <w:rFonts w:ascii="Calibri" w:hAnsi="Calibri"/>
          <w:color w:val="001F60"/>
          <w:sz w:val="18"/>
        </w:rPr>
        <w:t>25/04/2023</w:t>
      </w:r>
      <w:r>
        <w:rPr>
          <w:rFonts w:ascii="Calibri" w:hAnsi="Calibri"/>
          <w:color w:val="001F60"/>
          <w:spacing w:val="1"/>
          <w:sz w:val="18"/>
        </w:rPr>
        <w:t xml:space="preserve"> </w:t>
      </w:r>
      <w:r>
        <w:rPr>
          <w:rFonts w:ascii="Calibri" w:hAnsi="Calibri"/>
          <w:color w:val="001F60"/>
          <w:sz w:val="18"/>
        </w:rPr>
        <w:t>–</w:t>
      </w:r>
      <w:r>
        <w:rPr>
          <w:rFonts w:ascii="Calibri" w:hAnsi="Calibri"/>
          <w:color w:val="001F60"/>
          <w:spacing w:val="-1"/>
          <w:sz w:val="18"/>
        </w:rPr>
        <w:t xml:space="preserve"> </w:t>
      </w:r>
      <w:r>
        <w:rPr>
          <w:rFonts w:ascii="Calibri" w:hAnsi="Calibri"/>
          <w:color w:val="001F60"/>
          <w:spacing w:val="-2"/>
          <w:sz w:val="18"/>
        </w:rPr>
        <w:t>Atual</w:t>
      </w:r>
    </w:p>
    <w:p w14:paraId="4375C352" w14:textId="77777777" w:rsidR="002C6574" w:rsidRDefault="002C6574">
      <w:pPr>
        <w:pStyle w:val="Corpodetexto"/>
        <w:spacing w:before="50"/>
        <w:rPr>
          <w:rFonts w:ascii="Calibri"/>
          <w:sz w:val="18"/>
        </w:rPr>
      </w:pPr>
    </w:p>
    <w:p w14:paraId="17D306C5" w14:textId="77777777" w:rsidR="002C6574" w:rsidRDefault="00000000">
      <w:pPr>
        <w:pStyle w:val="Corpodetexto"/>
        <w:spacing w:line="237" w:lineRule="auto"/>
        <w:ind w:left="709" w:right="6828"/>
        <w:rPr>
          <w:rFonts w:ascii="Calibri" w:hAnsi="Calibri"/>
        </w:rPr>
      </w:pPr>
      <w:r>
        <w:rPr>
          <w:rFonts w:ascii="Calibri" w:hAnsi="Calibri"/>
          <w:color w:val="001F60"/>
        </w:rPr>
        <w:t>Nauro Luiz Scheufler</w:t>
      </w:r>
      <w:r>
        <w:rPr>
          <w:rFonts w:ascii="Calibri" w:hAnsi="Calibri"/>
          <w:color w:val="001F60"/>
          <w:spacing w:val="80"/>
        </w:rPr>
        <w:t xml:space="preserve"> </w:t>
      </w:r>
      <w:r>
        <w:rPr>
          <w:rFonts w:ascii="Calibri" w:hAnsi="Calibri"/>
          <w:color w:val="001F60"/>
        </w:rPr>
        <w:t>Diretor</w:t>
      </w:r>
      <w:r>
        <w:rPr>
          <w:rFonts w:ascii="Calibri" w:hAnsi="Calibri"/>
          <w:color w:val="001F60"/>
          <w:spacing w:val="-13"/>
        </w:rPr>
        <w:t xml:space="preserve"> </w:t>
      </w:r>
      <w:r>
        <w:rPr>
          <w:rFonts w:ascii="Calibri" w:hAnsi="Calibri"/>
          <w:color w:val="001F60"/>
        </w:rPr>
        <w:t>Técnico-Operacional</w:t>
      </w:r>
    </w:p>
    <w:p w14:paraId="15B76F36" w14:textId="77777777" w:rsidR="002C6574" w:rsidRDefault="00000000">
      <w:pPr>
        <w:spacing w:before="4"/>
        <w:ind w:left="709"/>
        <w:rPr>
          <w:rFonts w:ascii="Calibri" w:hAnsi="Calibri"/>
          <w:sz w:val="18"/>
        </w:rPr>
      </w:pPr>
      <w:r>
        <w:rPr>
          <w:rFonts w:ascii="Calibri" w:hAnsi="Calibri"/>
          <w:color w:val="001F60"/>
          <w:sz w:val="18"/>
        </w:rPr>
        <w:t>326ª</w:t>
      </w:r>
      <w:r>
        <w:rPr>
          <w:rFonts w:ascii="Calibri" w:hAnsi="Calibri"/>
          <w:color w:val="001F60"/>
          <w:spacing w:val="-2"/>
          <w:sz w:val="18"/>
        </w:rPr>
        <w:t xml:space="preserve"> </w:t>
      </w:r>
      <w:r>
        <w:rPr>
          <w:rFonts w:ascii="Calibri" w:hAnsi="Calibri"/>
          <w:color w:val="001F60"/>
          <w:sz w:val="18"/>
        </w:rPr>
        <w:t>RECA</w:t>
      </w:r>
      <w:r>
        <w:rPr>
          <w:rFonts w:ascii="Calibri" w:hAnsi="Calibri"/>
          <w:color w:val="001F60"/>
          <w:spacing w:val="-2"/>
          <w:sz w:val="18"/>
        </w:rPr>
        <w:t xml:space="preserve"> </w:t>
      </w:r>
      <w:r>
        <w:rPr>
          <w:rFonts w:ascii="Calibri" w:hAnsi="Calibri"/>
          <w:color w:val="001F60"/>
          <w:sz w:val="18"/>
        </w:rPr>
        <w:t>09/08/2023</w:t>
      </w:r>
      <w:r>
        <w:rPr>
          <w:rFonts w:ascii="Calibri" w:hAnsi="Calibri"/>
          <w:color w:val="001F60"/>
          <w:spacing w:val="1"/>
          <w:sz w:val="18"/>
        </w:rPr>
        <w:t xml:space="preserve"> </w:t>
      </w:r>
      <w:r>
        <w:rPr>
          <w:rFonts w:ascii="Calibri" w:hAnsi="Calibri"/>
          <w:color w:val="001F60"/>
          <w:sz w:val="18"/>
        </w:rPr>
        <w:t>–</w:t>
      </w:r>
      <w:r>
        <w:rPr>
          <w:rFonts w:ascii="Calibri" w:hAnsi="Calibri"/>
          <w:color w:val="001F60"/>
          <w:spacing w:val="-1"/>
          <w:sz w:val="18"/>
        </w:rPr>
        <w:t xml:space="preserve"> </w:t>
      </w:r>
      <w:r>
        <w:rPr>
          <w:rFonts w:ascii="Calibri" w:hAnsi="Calibri"/>
          <w:color w:val="001F60"/>
          <w:spacing w:val="-2"/>
          <w:sz w:val="18"/>
        </w:rPr>
        <w:t>21/03/2025</w:t>
      </w:r>
    </w:p>
    <w:p w14:paraId="39323492" w14:textId="77777777" w:rsidR="002C6574" w:rsidRDefault="002C6574">
      <w:pPr>
        <w:pStyle w:val="Corpodetexto"/>
        <w:spacing w:before="48"/>
        <w:rPr>
          <w:rFonts w:ascii="Calibri"/>
          <w:sz w:val="18"/>
        </w:rPr>
      </w:pPr>
    </w:p>
    <w:p w14:paraId="5617A998" w14:textId="77777777" w:rsidR="002C6574" w:rsidRDefault="00000000">
      <w:pPr>
        <w:ind w:left="709" w:right="6508"/>
        <w:rPr>
          <w:rFonts w:ascii="Calibri" w:hAnsi="Calibri"/>
          <w:sz w:val="18"/>
        </w:rPr>
      </w:pPr>
      <w:r>
        <w:rPr>
          <w:rFonts w:ascii="Calibri" w:hAnsi="Calibri"/>
          <w:color w:val="001F60"/>
        </w:rPr>
        <w:t xml:space="preserve">André Leandro Magalhães Diretor Técnico-Operacional </w:t>
      </w:r>
      <w:r>
        <w:rPr>
          <w:rFonts w:ascii="Calibri" w:hAnsi="Calibri"/>
          <w:color w:val="001F60"/>
          <w:sz w:val="18"/>
        </w:rPr>
        <w:t>367ª</w:t>
      </w:r>
      <w:r>
        <w:rPr>
          <w:rFonts w:ascii="Calibri" w:hAnsi="Calibri"/>
          <w:color w:val="001F60"/>
          <w:spacing w:val="-2"/>
          <w:sz w:val="18"/>
        </w:rPr>
        <w:t xml:space="preserve"> </w:t>
      </w:r>
      <w:r>
        <w:rPr>
          <w:rFonts w:ascii="Calibri" w:hAnsi="Calibri"/>
          <w:color w:val="001F60"/>
          <w:sz w:val="18"/>
        </w:rPr>
        <w:t>RECA</w:t>
      </w:r>
      <w:r>
        <w:rPr>
          <w:rFonts w:ascii="Calibri" w:hAnsi="Calibri"/>
          <w:color w:val="001F60"/>
          <w:spacing w:val="-2"/>
          <w:sz w:val="18"/>
        </w:rPr>
        <w:t xml:space="preserve"> </w:t>
      </w:r>
      <w:r>
        <w:rPr>
          <w:rFonts w:ascii="Calibri" w:hAnsi="Calibri"/>
          <w:color w:val="001F60"/>
          <w:sz w:val="18"/>
        </w:rPr>
        <w:t>21/03/2025</w:t>
      </w:r>
      <w:r>
        <w:rPr>
          <w:rFonts w:ascii="Calibri" w:hAnsi="Calibri"/>
          <w:color w:val="001F60"/>
          <w:spacing w:val="1"/>
          <w:sz w:val="18"/>
        </w:rPr>
        <w:t xml:space="preserve"> </w:t>
      </w:r>
      <w:r>
        <w:rPr>
          <w:rFonts w:ascii="Calibri" w:hAnsi="Calibri"/>
          <w:color w:val="001F60"/>
          <w:sz w:val="18"/>
        </w:rPr>
        <w:t>–</w:t>
      </w:r>
      <w:r>
        <w:rPr>
          <w:rFonts w:ascii="Calibri" w:hAnsi="Calibri"/>
          <w:color w:val="001F60"/>
          <w:spacing w:val="-1"/>
          <w:sz w:val="18"/>
        </w:rPr>
        <w:t xml:space="preserve"> </w:t>
      </w:r>
      <w:r>
        <w:rPr>
          <w:rFonts w:ascii="Calibri" w:hAnsi="Calibri"/>
          <w:color w:val="001F60"/>
          <w:spacing w:val="-2"/>
          <w:sz w:val="18"/>
        </w:rPr>
        <w:t>19/09/2025</w:t>
      </w:r>
    </w:p>
    <w:p w14:paraId="64D1FCEA" w14:textId="77777777" w:rsidR="002C6574" w:rsidRDefault="00000000">
      <w:pPr>
        <w:spacing w:before="220"/>
        <w:ind w:left="709" w:right="6508"/>
        <w:rPr>
          <w:rFonts w:ascii="Calibri" w:hAnsi="Calibri"/>
          <w:sz w:val="18"/>
        </w:rPr>
      </w:pPr>
      <w:r>
        <w:rPr>
          <w:rFonts w:ascii="Calibri" w:hAnsi="Calibri"/>
          <w:color w:val="001F60"/>
        </w:rPr>
        <w:t>André</w:t>
      </w:r>
      <w:r>
        <w:rPr>
          <w:rFonts w:ascii="Calibri" w:hAnsi="Calibri"/>
          <w:color w:val="001F60"/>
          <w:spacing w:val="-8"/>
        </w:rPr>
        <w:t xml:space="preserve"> </w:t>
      </w:r>
      <w:r>
        <w:rPr>
          <w:rFonts w:ascii="Calibri" w:hAnsi="Calibri"/>
          <w:color w:val="001F60"/>
        </w:rPr>
        <w:t>Chagas</w:t>
      </w:r>
      <w:r>
        <w:rPr>
          <w:rFonts w:ascii="Calibri" w:hAnsi="Calibri"/>
          <w:color w:val="001F60"/>
          <w:spacing w:val="-8"/>
        </w:rPr>
        <w:t xml:space="preserve"> </w:t>
      </w:r>
      <w:r>
        <w:rPr>
          <w:rFonts w:ascii="Calibri" w:hAnsi="Calibri"/>
          <w:color w:val="001F60"/>
        </w:rPr>
        <w:t>Leita</w:t>
      </w:r>
      <w:r>
        <w:rPr>
          <w:rFonts w:ascii="Calibri" w:hAnsi="Calibri"/>
          <w:color w:val="001F60"/>
          <w:spacing w:val="-10"/>
        </w:rPr>
        <w:t xml:space="preserve"> </w:t>
      </w:r>
      <w:r>
        <w:rPr>
          <w:rFonts w:ascii="Calibri" w:hAnsi="Calibri"/>
          <w:color w:val="001F60"/>
        </w:rPr>
        <w:t>da</w:t>
      </w:r>
      <w:r>
        <w:rPr>
          <w:rFonts w:ascii="Calibri" w:hAnsi="Calibri"/>
          <w:color w:val="001F60"/>
          <w:spacing w:val="-8"/>
        </w:rPr>
        <w:t xml:space="preserve"> </w:t>
      </w:r>
      <w:r>
        <w:rPr>
          <w:rFonts w:ascii="Calibri" w:hAnsi="Calibri"/>
          <w:color w:val="001F60"/>
        </w:rPr>
        <w:t xml:space="preserve">Fonseca Diretor Técnico-Operacional </w:t>
      </w:r>
      <w:r>
        <w:rPr>
          <w:rFonts w:ascii="Calibri" w:hAnsi="Calibri"/>
          <w:color w:val="001F60"/>
          <w:sz w:val="18"/>
        </w:rPr>
        <w:t>385ª RECA 19/09/2025 - Atual</w:t>
      </w:r>
    </w:p>
    <w:p w14:paraId="66E08EE6" w14:textId="77777777" w:rsidR="002C6574" w:rsidRDefault="00000000">
      <w:pPr>
        <w:pStyle w:val="Corpodetexto"/>
        <w:spacing w:before="268"/>
        <w:ind w:left="709" w:right="7390"/>
        <w:rPr>
          <w:rFonts w:ascii="Calibri"/>
        </w:rPr>
      </w:pPr>
      <w:r>
        <w:rPr>
          <w:rFonts w:ascii="Calibri"/>
          <w:color w:val="001F60"/>
        </w:rPr>
        <w:t>Levi Figueiredo Diretor</w:t>
      </w:r>
      <w:r>
        <w:rPr>
          <w:rFonts w:ascii="Calibri"/>
          <w:color w:val="001F60"/>
          <w:spacing w:val="-13"/>
        </w:rPr>
        <w:t xml:space="preserve"> </w:t>
      </w:r>
      <w:r>
        <w:rPr>
          <w:rFonts w:ascii="Calibri"/>
          <w:color w:val="001F60"/>
        </w:rPr>
        <w:t>Comercial</w:t>
      </w:r>
    </w:p>
    <w:p w14:paraId="4FD6EAFD" w14:textId="77777777" w:rsidR="002C6574" w:rsidRDefault="00000000">
      <w:pPr>
        <w:ind w:left="709"/>
        <w:rPr>
          <w:rFonts w:ascii="Calibri" w:hAnsi="Calibri"/>
          <w:sz w:val="18"/>
        </w:rPr>
      </w:pPr>
      <w:r>
        <w:rPr>
          <w:rFonts w:ascii="Calibri" w:hAnsi="Calibri"/>
          <w:color w:val="001F60"/>
          <w:sz w:val="18"/>
        </w:rPr>
        <w:t>317ª</w:t>
      </w:r>
      <w:r>
        <w:rPr>
          <w:rFonts w:ascii="Calibri" w:hAnsi="Calibri"/>
          <w:color w:val="001F60"/>
          <w:spacing w:val="-2"/>
          <w:sz w:val="18"/>
        </w:rPr>
        <w:t xml:space="preserve"> </w:t>
      </w:r>
      <w:r>
        <w:rPr>
          <w:rFonts w:ascii="Calibri" w:hAnsi="Calibri"/>
          <w:color w:val="001F60"/>
          <w:sz w:val="18"/>
        </w:rPr>
        <w:t>RECA</w:t>
      </w:r>
      <w:r>
        <w:rPr>
          <w:rFonts w:ascii="Calibri" w:hAnsi="Calibri"/>
          <w:color w:val="001F60"/>
          <w:spacing w:val="-2"/>
          <w:sz w:val="18"/>
        </w:rPr>
        <w:t xml:space="preserve"> </w:t>
      </w:r>
      <w:r>
        <w:rPr>
          <w:rFonts w:ascii="Calibri" w:hAnsi="Calibri"/>
          <w:color w:val="001F60"/>
          <w:sz w:val="18"/>
        </w:rPr>
        <w:t>25/04/2023</w:t>
      </w:r>
      <w:r>
        <w:rPr>
          <w:rFonts w:ascii="Calibri" w:hAnsi="Calibri"/>
          <w:color w:val="001F60"/>
          <w:spacing w:val="1"/>
          <w:sz w:val="18"/>
        </w:rPr>
        <w:t xml:space="preserve"> </w:t>
      </w:r>
      <w:r>
        <w:rPr>
          <w:rFonts w:ascii="Calibri" w:hAnsi="Calibri"/>
          <w:color w:val="001F60"/>
          <w:sz w:val="18"/>
        </w:rPr>
        <w:t>–</w:t>
      </w:r>
      <w:r>
        <w:rPr>
          <w:rFonts w:ascii="Calibri" w:hAnsi="Calibri"/>
          <w:color w:val="001F60"/>
          <w:spacing w:val="-1"/>
          <w:sz w:val="18"/>
        </w:rPr>
        <w:t xml:space="preserve"> </w:t>
      </w:r>
      <w:r>
        <w:rPr>
          <w:rFonts w:ascii="Calibri" w:hAnsi="Calibri"/>
          <w:color w:val="001F60"/>
          <w:spacing w:val="-2"/>
          <w:sz w:val="18"/>
        </w:rPr>
        <w:t>Atual</w:t>
      </w:r>
    </w:p>
    <w:p w14:paraId="0301D929" w14:textId="77777777" w:rsidR="002C6574" w:rsidRDefault="002C6574">
      <w:pPr>
        <w:pStyle w:val="Corpodetexto"/>
        <w:spacing w:before="48"/>
        <w:rPr>
          <w:rFonts w:ascii="Calibri"/>
          <w:sz w:val="18"/>
        </w:rPr>
      </w:pPr>
    </w:p>
    <w:p w14:paraId="78F4A6EC" w14:textId="77777777" w:rsidR="002C6574" w:rsidRDefault="00000000">
      <w:pPr>
        <w:pStyle w:val="Corpodetexto"/>
        <w:ind w:left="709" w:right="5804"/>
        <w:rPr>
          <w:rFonts w:ascii="Calibri" w:hAnsi="Calibri"/>
        </w:rPr>
      </w:pPr>
      <w:r>
        <w:rPr>
          <w:rFonts w:ascii="Calibri" w:hAnsi="Calibri"/>
          <w:color w:val="001F60"/>
        </w:rPr>
        <w:t>Wallyson</w:t>
      </w:r>
      <w:r>
        <w:rPr>
          <w:rFonts w:ascii="Calibri" w:hAnsi="Calibri"/>
          <w:color w:val="001F60"/>
          <w:spacing w:val="-7"/>
        </w:rPr>
        <w:t xml:space="preserve"> </w:t>
      </w:r>
      <w:r>
        <w:rPr>
          <w:rFonts w:ascii="Calibri" w:hAnsi="Calibri"/>
          <w:color w:val="001F60"/>
        </w:rPr>
        <w:t>Lemos</w:t>
      </w:r>
      <w:r>
        <w:rPr>
          <w:rFonts w:ascii="Calibri" w:hAnsi="Calibri"/>
          <w:color w:val="001F60"/>
          <w:spacing w:val="-8"/>
        </w:rPr>
        <w:t xml:space="preserve"> </w:t>
      </w:r>
      <w:r>
        <w:rPr>
          <w:rFonts w:ascii="Calibri" w:hAnsi="Calibri"/>
          <w:color w:val="001F60"/>
        </w:rPr>
        <w:t>dos</w:t>
      </w:r>
      <w:r>
        <w:rPr>
          <w:rFonts w:ascii="Calibri" w:hAnsi="Calibri"/>
          <w:color w:val="001F60"/>
          <w:spacing w:val="-10"/>
        </w:rPr>
        <w:t xml:space="preserve"> </w:t>
      </w:r>
      <w:r>
        <w:rPr>
          <w:rFonts w:ascii="Calibri" w:hAnsi="Calibri"/>
          <w:color w:val="001F60"/>
        </w:rPr>
        <w:t>Reis</w:t>
      </w:r>
      <w:r>
        <w:rPr>
          <w:rFonts w:ascii="Calibri" w:hAnsi="Calibri"/>
          <w:color w:val="001F60"/>
          <w:spacing w:val="-8"/>
        </w:rPr>
        <w:t xml:space="preserve"> </w:t>
      </w:r>
      <w:r>
        <w:rPr>
          <w:rFonts w:ascii="Calibri" w:hAnsi="Calibri"/>
          <w:color w:val="001F60"/>
        </w:rPr>
        <w:t>Oliveira Diretor de Governança</w:t>
      </w:r>
    </w:p>
    <w:p w14:paraId="5CB4B24E" w14:textId="77777777" w:rsidR="002C6574" w:rsidRDefault="00000000">
      <w:pPr>
        <w:spacing w:before="3"/>
        <w:ind w:left="709"/>
        <w:rPr>
          <w:rFonts w:ascii="Calibri" w:hAnsi="Calibri"/>
          <w:sz w:val="18"/>
        </w:rPr>
      </w:pPr>
      <w:r>
        <w:rPr>
          <w:rFonts w:ascii="Calibri" w:hAnsi="Calibri"/>
          <w:color w:val="001F60"/>
          <w:sz w:val="18"/>
        </w:rPr>
        <w:t>330ª</w:t>
      </w:r>
      <w:r>
        <w:rPr>
          <w:rFonts w:ascii="Calibri" w:hAnsi="Calibri"/>
          <w:color w:val="001F60"/>
          <w:spacing w:val="-2"/>
          <w:sz w:val="18"/>
        </w:rPr>
        <w:t xml:space="preserve"> </w:t>
      </w:r>
      <w:r>
        <w:rPr>
          <w:rFonts w:ascii="Calibri" w:hAnsi="Calibri"/>
          <w:color w:val="001F60"/>
          <w:sz w:val="18"/>
        </w:rPr>
        <w:t>RECA</w:t>
      </w:r>
      <w:r>
        <w:rPr>
          <w:rFonts w:ascii="Calibri" w:hAnsi="Calibri"/>
          <w:color w:val="001F60"/>
          <w:spacing w:val="-2"/>
          <w:sz w:val="18"/>
        </w:rPr>
        <w:t xml:space="preserve"> </w:t>
      </w:r>
      <w:r>
        <w:rPr>
          <w:rFonts w:ascii="Calibri" w:hAnsi="Calibri"/>
          <w:color w:val="001F60"/>
          <w:sz w:val="18"/>
        </w:rPr>
        <w:t>23/10/2023</w:t>
      </w:r>
      <w:r>
        <w:rPr>
          <w:rFonts w:ascii="Calibri" w:hAnsi="Calibri"/>
          <w:color w:val="001F60"/>
          <w:spacing w:val="1"/>
          <w:sz w:val="18"/>
        </w:rPr>
        <w:t xml:space="preserve"> </w:t>
      </w:r>
      <w:r>
        <w:rPr>
          <w:rFonts w:ascii="Calibri" w:hAnsi="Calibri"/>
          <w:color w:val="001F60"/>
          <w:sz w:val="18"/>
        </w:rPr>
        <w:t>–</w:t>
      </w:r>
      <w:r>
        <w:rPr>
          <w:rFonts w:ascii="Calibri" w:hAnsi="Calibri"/>
          <w:color w:val="001F60"/>
          <w:spacing w:val="-1"/>
          <w:sz w:val="18"/>
        </w:rPr>
        <w:t xml:space="preserve"> </w:t>
      </w:r>
      <w:r>
        <w:rPr>
          <w:rFonts w:ascii="Calibri" w:hAnsi="Calibri"/>
          <w:color w:val="001F60"/>
          <w:spacing w:val="-2"/>
          <w:sz w:val="18"/>
        </w:rPr>
        <w:t>04/02/2026</w:t>
      </w:r>
    </w:p>
    <w:p w14:paraId="1B2953F2" w14:textId="77777777" w:rsidR="002C6574" w:rsidRDefault="002C6574">
      <w:pPr>
        <w:pStyle w:val="Corpodetexto"/>
        <w:rPr>
          <w:rFonts w:ascii="Calibri"/>
          <w:sz w:val="18"/>
        </w:rPr>
      </w:pPr>
    </w:p>
    <w:p w14:paraId="1B863D30" w14:textId="77777777" w:rsidR="002C6574" w:rsidRDefault="002C6574">
      <w:pPr>
        <w:pStyle w:val="Corpodetexto"/>
        <w:rPr>
          <w:rFonts w:ascii="Calibri"/>
          <w:sz w:val="18"/>
        </w:rPr>
      </w:pPr>
    </w:p>
    <w:p w14:paraId="07E61EDA" w14:textId="77777777" w:rsidR="002C6574" w:rsidRDefault="002C6574">
      <w:pPr>
        <w:pStyle w:val="Corpodetexto"/>
        <w:rPr>
          <w:rFonts w:ascii="Calibri"/>
          <w:sz w:val="18"/>
        </w:rPr>
      </w:pPr>
    </w:p>
    <w:p w14:paraId="223A3E74" w14:textId="77777777" w:rsidR="002C6574" w:rsidRDefault="002C6574">
      <w:pPr>
        <w:pStyle w:val="Corpodetexto"/>
        <w:rPr>
          <w:rFonts w:ascii="Calibri"/>
          <w:sz w:val="18"/>
        </w:rPr>
      </w:pPr>
    </w:p>
    <w:p w14:paraId="2F7AB6E4" w14:textId="77777777" w:rsidR="002C6574" w:rsidRDefault="002C6574">
      <w:pPr>
        <w:pStyle w:val="Corpodetexto"/>
        <w:rPr>
          <w:rFonts w:ascii="Calibri"/>
          <w:sz w:val="18"/>
        </w:rPr>
      </w:pPr>
    </w:p>
    <w:p w14:paraId="11C71F00" w14:textId="77777777" w:rsidR="002C6574" w:rsidRDefault="002C6574">
      <w:pPr>
        <w:pStyle w:val="Corpodetexto"/>
        <w:spacing w:before="5"/>
        <w:rPr>
          <w:rFonts w:ascii="Calibri"/>
          <w:sz w:val="18"/>
        </w:rPr>
      </w:pPr>
    </w:p>
    <w:p w14:paraId="1EFCF222" w14:textId="77777777" w:rsidR="002C6574" w:rsidRDefault="00000000">
      <w:pPr>
        <w:ind w:left="709"/>
        <w:rPr>
          <w:rFonts w:ascii="Calibri" w:hAnsi="Calibri"/>
          <w:b/>
        </w:rPr>
      </w:pPr>
      <w:r>
        <w:rPr>
          <w:rFonts w:ascii="Calibri" w:hAnsi="Calibri"/>
          <w:b/>
          <w:color w:val="001F60"/>
          <w:spacing w:val="-2"/>
        </w:rPr>
        <w:t>Consolidação</w:t>
      </w:r>
    </w:p>
    <w:p w14:paraId="68E1BF7E" w14:textId="77777777" w:rsidR="002C6574" w:rsidRDefault="00000000">
      <w:pPr>
        <w:pStyle w:val="Corpodetexto"/>
        <w:spacing w:before="41"/>
        <w:ind w:left="709"/>
        <w:rPr>
          <w:rFonts w:ascii="Calibri"/>
        </w:rPr>
      </w:pPr>
      <w:r>
        <w:rPr>
          <w:rFonts w:ascii="Calibri"/>
          <w:color w:val="001F60"/>
        </w:rPr>
        <w:t>Alex</w:t>
      </w:r>
      <w:r>
        <w:rPr>
          <w:rFonts w:ascii="Calibri"/>
          <w:color w:val="001F60"/>
          <w:spacing w:val="-2"/>
        </w:rPr>
        <w:t xml:space="preserve"> </w:t>
      </w:r>
      <w:r>
        <w:rPr>
          <w:rFonts w:ascii="Calibri"/>
          <w:color w:val="001F60"/>
        </w:rPr>
        <w:t>Luiz</w:t>
      </w:r>
      <w:r>
        <w:rPr>
          <w:rFonts w:ascii="Calibri"/>
          <w:color w:val="001F60"/>
          <w:spacing w:val="-4"/>
        </w:rPr>
        <w:t xml:space="preserve"> </w:t>
      </w:r>
      <w:r>
        <w:rPr>
          <w:rFonts w:ascii="Calibri"/>
          <w:color w:val="001F60"/>
        </w:rPr>
        <w:t>Martins</w:t>
      </w:r>
      <w:r>
        <w:rPr>
          <w:rFonts w:ascii="Calibri"/>
          <w:color w:val="001F60"/>
          <w:spacing w:val="-3"/>
        </w:rPr>
        <w:t xml:space="preserve"> </w:t>
      </w:r>
      <w:r>
        <w:rPr>
          <w:rFonts w:ascii="Calibri"/>
          <w:color w:val="001F60"/>
        </w:rPr>
        <w:t>Matheus</w:t>
      </w:r>
      <w:r>
        <w:rPr>
          <w:rFonts w:ascii="Calibri"/>
          <w:color w:val="001F60"/>
          <w:spacing w:val="-4"/>
        </w:rPr>
        <w:t xml:space="preserve"> </w:t>
      </w:r>
      <w:r>
        <w:rPr>
          <w:rFonts w:ascii="Calibri"/>
          <w:color w:val="001F60"/>
        </w:rPr>
        <w:t>da</w:t>
      </w:r>
      <w:r>
        <w:rPr>
          <w:rFonts w:ascii="Calibri"/>
          <w:color w:val="001F60"/>
          <w:spacing w:val="-1"/>
        </w:rPr>
        <w:t xml:space="preserve"> </w:t>
      </w:r>
      <w:r>
        <w:rPr>
          <w:rFonts w:ascii="Calibri"/>
          <w:color w:val="001F60"/>
        </w:rPr>
        <w:t>Rocha</w:t>
      </w:r>
      <w:r>
        <w:rPr>
          <w:rFonts w:ascii="Calibri"/>
          <w:color w:val="001F60"/>
          <w:spacing w:val="-3"/>
        </w:rPr>
        <w:t xml:space="preserve"> </w:t>
      </w:r>
      <w:r>
        <w:rPr>
          <w:rFonts w:ascii="Calibri"/>
          <w:color w:val="001F60"/>
        </w:rPr>
        <w:t>-</w:t>
      </w:r>
      <w:r>
        <w:rPr>
          <w:rFonts w:ascii="Calibri"/>
          <w:color w:val="001F60"/>
          <w:spacing w:val="-1"/>
        </w:rPr>
        <w:t xml:space="preserve"> </w:t>
      </w:r>
      <w:r>
        <w:rPr>
          <w:rFonts w:ascii="Calibri"/>
          <w:color w:val="001F60"/>
          <w:spacing w:val="-5"/>
        </w:rPr>
        <w:t>GGE</w:t>
      </w:r>
    </w:p>
    <w:p w14:paraId="377C2701" w14:textId="77777777" w:rsidR="002C6574" w:rsidRDefault="002C6574">
      <w:pPr>
        <w:pStyle w:val="Corpodetexto"/>
        <w:spacing w:before="82"/>
        <w:rPr>
          <w:rFonts w:ascii="Calibri"/>
        </w:rPr>
      </w:pPr>
    </w:p>
    <w:p w14:paraId="30F13039" w14:textId="77777777" w:rsidR="002C6574" w:rsidRDefault="00000000">
      <w:pPr>
        <w:ind w:left="709"/>
        <w:rPr>
          <w:rFonts w:ascii="Calibri" w:hAnsi="Calibri"/>
          <w:b/>
        </w:rPr>
      </w:pPr>
      <w:r>
        <w:rPr>
          <w:rFonts w:ascii="Calibri" w:hAnsi="Calibri"/>
          <w:b/>
          <w:color w:val="001F60"/>
          <w:spacing w:val="-2"/>
        </w:rPr>
        <w:t>Revisão</w:t>
      </w:r>
    </w:p>
    <w:p w14:paraId="2FD3D2E6" w14:textId="77777777" w:rsidR="002C6574" w:rsidRDefault="00000000">
      <w:pPr>
        <w:pStyle w:val="Corpodetexto"/>
        <w:spacing w:before="39" w:line="276" w:lineRule="auto"/>
        <w:ind w:left="709" w:right="5804"/>
        <w:rPr>
          <w:rFonts w:ascii="Calibri"/>
        </w:rPr>
      </w:pPr>
      <w:r>
        <w:rPr>
          <w:rFonts w:ascii="Calibri"/>
          <w:color w:val="001F60"/>
        </w:rPr>
        <w:t>Kora</w:t>
      </w:r>
      <w:r>
        <w:rPr>
          <w:rFonts w:ascii="Calibri"/>
          <w:color w:val="001F60"/>
          <w:spacing w:val="-8"/>
        </w:rPr>
        <w:t xml:space="preserve"> </w:t>
      </w:r>
      <w:r>
        <w:rPr>
          <w:rFonts w:ascii="Calibri"/>
          <w:color w:val="001F60"/>
        </w:rPr>
        <w:t>Braga</w:t>
      </w:r>
      <w:r>
        <w:rPr>
          <w:rFonts w:ascii="Calibri"/>
          <w:color w:val="001F60"/>
          <w:spacing w:val="-6"/>
        </w:rPr>
        <w:t xml:space="preserve"> </w:t>
      </w:r>
      <w:r>
        <w:rPr>
          <w:rFonts w:ascii="Calibri"/>
          <w:color w:val="001F60"/>
        </w:rPr>
        <w:t>Costa</w:t>
      </w:r>
      <w:r>
        <w:rPr>
          <w:rFonts w:ascii="Calibri"/>
          <w:color w:val="001F60"/>
          <w:spacing w:val="-8"/>
        </w:rPr>
        <w:t xml:space="preserve"> </w:t>
      </w:r>
      <w:r>
        <w:rPr>
          <w:rFonts w:ascii="Calibri"/>
          <w:color w:val="001F60"/>
        </w:rPr>
        <w:t>Carvalho</w:t>
      </w:r>
      <w:r>
        <w:rPr>
          <w:rFonts w:ascii="Calibri"/>
          <w:color w:val="001F60"/>
          <w:spacing w:val="-6"/>
        </w:rPr>
        <w:t xml:space="preserve"> </w:t>
      </w:r>
      <w:r>
        <w:rPr>
          <w:rFonts w:ascii="Calibri"/>
          <w:color w:val="001F60"/>
        </w:rPr>
        <w:t>-</w:t>
      </w:r>
      <w:r>
        <w:rPr>
          <w:rFonts w:ascii="Calibri"/>
          <w:color w:val="001F60"/>
          <w:spacing w:val="-4"/>
        </w:rPr>
        <w:t xml:space="preserve"> </w:t>
      </w:r>
      <w:r>
        <w:rPr>
          <w:rFonts w:ascii="Calibri"/>
          <w:color w:val="001F60"/>
        </w:rPr>
        <w:t>GGE Eduardo Masashi Sasaki - GGE</w:t>
      </w:r>
    </w:p>
    <w:p w14:paraId="6C4E9360" w14:textId="77777777" w:rsidR="002C6574" w:rsidRDefault="002C6574">
      <w:pPr>
        <w:pStyle w:val="Corpodetexto"/>
        <w:spacing w:line="276" w:lineRule="auto"/>
        <w:rPr>
          <w:rFonts w:ascii="Calibri"/>
        </w:rPr>
        <w:sectPr w:rsidR="002C6574">
          <w:headerReference w:type="default" r:id="rId9"/>
          <w:footerReference w:type="default" r:id="rId10"/>
          <w:pgSz w:w="11910" w:h="16840"/>
          <w:pgMar w:top="1160" w:right="850" w:bottom="740" w:left="992" w:header="312" w:footer="542" w:gutter="0"/>
          <w:pgNumType w:start="2"/>
          <w:cols w:space="720"/>
        </w:sectPr>
      </w:pPr>
    </w:p>
    <w:p w14:paraId="1D78B134" w14:textId="77777777" w:rsidR="002C6574" w:rsidRDefault="002C6574">
      <w:pPr>
        <w:pStyle w:val="Corpodetexto"/>
        <w:spacing w:before="239"/>
        <w:rPr>
          <w:rFonts w:ascii="Calibri"/>
          <w:sz w:val="24"/>
        </w:rPr>
      </w:pPr>
    </w:p>
    <w:p w14:paraId="3A32DDF3" w14:textId="77777777" w:rsidR="002C6574" w:rsidRDefault="00000000">
      <w:pPr>
        <w:pStyle w:val="Ttulo8"/>
        <w:numPr>
          <w:ilvl w:val="0"/>
          <w:numId w:val="74"/>
        </w:numPr>
        <w:tabs>
          <w:tab w:val="left" w:pos="1566"/>
        </w:tabs>
        <w:jc w:val="both"/>
      </w:pPr>
      <w:r>
        <w:rPr>
          <w:color w:val="001F60"/>
        </w:rPr>
        <w:t>Mensagem</w:t>
      </w:r>
      <w:r>
        <w:rPr>
          <w:color w:val="001F60"/>
          <w:spacing w:val="-3"/>
        </w:rPr>
        <w:t xml:space="preserve"> </w:t>
      </w:r>
      <w:r>
        <w:rPr>
          <w:color w:val="001F60"/>
        </w:rPr>
        <w:t>da</w:t>
      </w:r>
      <w:r>
        <w:rPr>
          <w:color w:val="001F60"/>
          <w:spacing w:val="1"/>
        </w:rPr>
        <w:t xml:space="preserve"> </w:t>
      </w:r>
      <w:r>
        <w:rPr>
          <w:color w:val="001F60"/>
          <w:spacing w:val="-2"/>
        </w:rPr>
        <w:t>Administração</w:t>
      </w:r>
    </w:p>
    <w:p w14:paraId="4C7986BF" w14:textId="77777777" w:rsidR="002C6574" w:rsidRDefault="002C6574">
      <w:pPr>
        <w:pStyle w:val="Corpodetexto"/>
        <w:spacing w:before="181"/>
        <w:rPr>
          <w:rFonts w:ascii="Calibri"/>
          <w:b/>
          <w:sz w:val="24"/>
        </w:rPr>
      </w:pPr>
    </w:p>
    <w:p w14:paraId="6D33348F" w14:textId="77777777" w:rsidR="002C6574" w:rsidRDefault="00000000">
      <w:pPr>
        <w:pStyle w:val="Corpodetexto"/>
        <w:spacing w:before="1"/>
        <w:ind w:left="709"/>
        <w:jc w:val="both"/>
        <w:rPr>
          <w:rFonts w:ascii="Calibri" w:hAnsi="Calibri"/>
        </w:rPr>
      </w:pPr>
      <w:r>
        <w:rPr>
          <w:rFonts w:ascii="Calibri" w:hAnsi="Calibri"/>
          <w:color w:val="001F60"/>
        </w:rPr>
        <w:t>O</w:t>
      </w:r>
      <w:r>
        <w:rPr>
          <w:rFonts w:ascii="Calibri" w:hAnsi="Calibri"/>
          <w:color w:val="001F60"/>
          <w:spacing w:val="5"/>
        </w:rPr>
        <w:t xml:space="preserve"> </w:t>
      </w:r>
      <w:r>
        <w:rPr>
          <w:rFonts w:ascii="Calibri" w:hAnsi="Calibri"/>
          <w:color w:val="001F60"/>
        </w:rPr>
        <w:t>exercício</w:t>
      </w:r>
      <w:r>
        <w:rPr>
          <w:rFonts w:ascii="Calibri" w:hAnsi="Calibri"/>
          <w:color w:val="001F60"/>
          <w:spacing w:val="5"/>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2025</w:t>
      </w:r>
      <w:r>
        <w:rPr>
          <w:rFonts w:ascii="Calibri" w:hAnsi="Calibri"/>
          <w:color w:val="001F60"/>
          <w:spacing w:val="4"/>
        </w:rPr>
        <w:t xml:space="preserve"> </w:t>
      </w:r>
      <w:r>
        <w:rPr>
          <w:rFonts w:ascii="Calibri" w:hAnsi="Calibri"/>
          <w:color w:val="001F60"/>
        </w:rPr>
        <w:t>foi</w:t>
      </w:r>
      <w:r>
        <w:rPr>
          <w:rFonts w:ascii="Calibri" w:hAnsi="Calibri"/>
          <w:color w:val="001F60"/>
          <w:spacing w:val="5"/>
        </w:rPr>
        <w:t xml:space="preserve"> </w:t>
      </w:r>
      <w:r>
        <w:rPr>
          <w:rFonts w:ascii="Calibri" w:hAnsi="Calibri"/>
          <w:color w:val="001F60"/>
        </w:rPr>
        <w:t>marcado</w:t>
      </w:r>
      <w:r>
        <w:rPr>
          <w:rFonts w:ascii="Calibri" w:hAnsi="Calibri"/>
          <w:color w:val="001F60"/>
          <w:spacing w:val="5"/>
        </w:rPr>
        <w:t xml:space="preserve"> </w:t>
      </w:r>
      <w:r>
        <w:rPr>
          <w:rFonts w:ascii="Calibri" w:hAnsi="Calibri"/>
          <w:color w:val="001F60"/>
        </w:rPr>
        <w:t>por</w:t>
      </w:r>
      <w:r>
        <w:rPr>
          <w:rFonts w:ascii="Calibri" w:hAnsi="Calibri"/>
          <w:color w:val="001F60"/>
          <w:spacing w:val="4"/>
        </w:rPr>
        <w:t xml:space="preserve"> </w:t>
      </w:r>
      <w:r>
        <w:rPr>
          <w:rFonts w:ascii="Calibri" w:hAnsi="Calibri"/>
          <w:color w:val="001F60"/>
        </w:rPr>
        <w:t>avanços</w:t>
      </w:r>
      <w:r>
        <w:rPr>
          <w:rFonts w:ascii="Calibri" w:hAnsi="Calibri"/>
          <w:color w:val="001F60"/>
          <w:spacing w:val="5"/>
        </w:rPr>
        <w:t xml:space="preserve"> </w:t>
      </w:r>
      <w:r>
        <w:rPr>
          <w:rFonts w:ascii="Calibri" w:hAnsi="Calibri"/>
          <w:color w:val="001F60"/>
        </w:rPr>
        <w:t>relevantes</w:t>
      </w:r>
      <w:r>
        <w:rPr>
          <w:rFonts w:ascii="Calibri" w:hAnsi="Calibri"/>
          <w:color w:val="001F60"/>
          <w:spacing w:val="6"/>
        </w:rPr>
        <w:t xml:space="preserve"> </w:t>
      </w:r>
      <w:r>
        <w:rPr>
          <w:rFonts w:ascii="Calibri" w:hAnsi="Calibri"/>
          <w:color w:val="001F60"/>
        </w:rPr>
        <w:t>na</w:t>
      </w:r>
      <w:r>
        <w:rPr>
          <w:rFonts w:ascii="Calibri" w:hAnsi="Calibri"/>
          <w:color w:val="001F60"/>
          <w:spacing w:val="4"/>
        </w:rPr>
        <w:t xml:space="preserve"> </w:t>
      </w:r>
      <w:r>
        <w:rPr>
          <w:rFonts w:ascii="Calibri" w:hAnsi="Calibri"/>
          <w:color w:val="001F60"/>
        </w:rPr>
        <w:t>atuação</w:t>
      </w:r>
      <w:r>
        <w:rPr>
          <w:rFonts w:ascii="Calibri" w:hAnsi="Calibri"/>
          <w:color w:val="001F60"/>
          <w:spacing w:val="5"/>
        </w:rPr>
        <w:t xml:space="preserve"> </w:t>
      </w:r>
      <w:r>
        <w:rPr>
          <w:rFonts w:ascii="Calibri" w:hAnsi="Calibri"/>
          <w:color w:val="001F60"/>
        </w:rPr>
        <w:t>da</w:t>
      </w:r>
      <w:r>
        <w:rPr>
          <w:rFonts w:ascii="Calibri" w:hAnsi="Calibri"/>
          <w:color w:val="001F60"/>
          <w:spacing w:val="4"/>
        </w:rPr>
        <w:t xml:space="preserve"> </w:t>
      </w:r>
      <w:r>
        <w:rPr>
          <w:rFonts w:ascii="Calibri" w:hAnsi="Calibri"/>
          <w:color w:val="001F60"/>
        </w:rPr>
        <w:t>Telecomunicações</w:t>
      </w:r>
      <w:r>
        <w:rPr>
          <w:rFonts w:ascii="Calibri" w:hAnsi="Calibri"/>
          <w:color w:val="001F60"/>
          <w:spacing w:val="5"/>
        </w:rPr>
        <w:t xml:space="preserve"> </w:t>
      </w:r>
      <w:r>
        <w:rPr>
          <w:rFonts w:ascii="Calibri" w:hAnsi="Calibri"/>
          <w:color w:val="001F60"/>
          <w:spacing w:val="-2"/>
        </w:rPr>
        <w:t>Brasileiras</w:t>
      </w:r>
    </w:p>
    <w:p w14:paraId="607456B8" w14:textId="77777777" w:rsidR="002C6574" w:rsidRDefault="00000000">
      <w:pPr>
        <w:pStyle w:val="Corpodetexto"/>
        <w:spacing w:before="38" w:line="276" w:lineRule="auto"/>
        <w:ind w:left="709" w:right="278"/>
        <w:jc w:val="both"/>
        <w:rPr>
          <w:rFonts w:ascii="Calibri" w:hAnsi="Calibri"/>
        </w:rPr>
      </w:pPr>
      <w:r>
        <w:rPr>
          <w:rFonts w:ascii="Calibri" w:hAnsi="Calibri"/>
          <w:color w:val="001F60"/>
        </w:rPr>
        <w:t>S.A. – Telebras, com foco na ampliação da infraestrutura de conectividade, na execução de políticas públicas e no fortalecimento da soberania digital. A Companhia manteve seu compromisso com a inclusão digital e com o atendimento a regiões remotas, apoiando iniciativas governamentais que expandem o acesso à internet em escolas, unidades de saúde, equipamentos de assistência social, postos de fronteira e demais áreas prioritárias.</w:t>
      </w:r>
    </w:p>
    <w:p w14:paraId="6A2FCBF3" w14:textId="77777777" w:rsidR="002C6574" w:rsidRDefault="00000000">
      <w:pPr>
        <w:pStyle w:val="Corpodetexto"/>
        <w:spacing w:before="122" w:line="276" w:lineRule="auto"/>
        <w:ind w:left="709" w:right="278"/>
        <w:jc w:val="both"/>
        <w:rPr>
          <w:rFonts w:ascii="Calibri" w:hAnsi="Calibri"/>
        </w:rPr>
      </w:pPr>
      <w:r>
        <w:rPr>
          <w:rFonts w:ascii="Calibri" w:hAnsi="Calibri"/>
          <w:color w:val="001F60"/>
        </w:rPr>
        <w:t>Destaca-se que a Telebras se tornou a primeira empresa pública federal a firmar um Contrato de Gestão com o Ministério das Comunicações (MCom), instrumento que estabeleceu metas para o aprimoramento da atuação institucional e fortaleceu o processo de transição da Companhia em direção</w:t>
      </w:r>
      <w:r>
        <w:rPr>
          <w:rFonts w:ascii="Calibri" w:hAnsi="Calibri"/>
          <w:color w:val="001F60"/>
          <w:spacing w:val="-13"/>
        </w:rPr>
        <w:t xml:space="preserve"> </w:t>
      </w:r>
      <w:r>
        <w:rPr>
          <w:rFonts w:ascii="Calibri" w:hAnsi="Calibri"/>
          <w:color w:val="001F60"/>
        </w:rPr>
        <w:t>a</w:t>
      </w:r>
      <w:r>
        <w:rPr>
          <w:rFonts w:ascii="Calibri" w:hAnsi="Calibri"/>
          <w:color w:val="001F60"/>
          <w:spacing w:val="-12"/>
        </w:rPr>
        <w:t xml:space="preserve"> </w:t>
      </w:r>
      <w:r>
        <w:rPr>
          <w:rFonts w:ascii="Calibri" w:hAnsi="Calibri"/>
          <w:color w:val="001F60"/>
        </w:rPr>
        <w:t>um</w:t>
      </w:r>
      <w:r>
        <w:rPr>
          <w:rFonts w:ascii="Calibri" w:hAnsi="Calibri"/>
          <w:color w:val="001F60"/>
          <w:spacing w:val="-13"/>
        </w:rPr>
        <w:t xml:space="preserve"> </w:t>
      </w:r>
      <w:r>
        <w:rPr>
          <w:rFonts w:ascii="Calibri" w:hAnsi="Calibri"/>
          <w:color w:val="001F60"/>
        </w:rPr>
        <w:t>modelo</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maior</w:t>
      </w:r>
      <w:r>
        <w:rPr>
          <w:rFonts w:ascii="Calibri" w:hAnsi="Calibri"/>
          <w:color w:val="001F60"/>
          <w:spacing w:val="-12"/>
        </w:rPr>
        <w:t xml:space="preserve"> </w:t>
      </w:r>
      <w:r>
        <w:rPr>
          <w:rFonts w:ascii="Calibri" w:hAnsi="Calibri"/>
          <w:color w:val="001F60"/>
        </w:rPr>
        <w:t>sustentabilidade</w:t>
      </w:r>
      <w:r>
        <w:rPr>
          <w:rFonts w:ascii="Calibri" w:hAnsi="Calibri"/>
          <w:color w:val="001F60"/>
          <w:spacing w:val="-13"/>
        </w:rPr>
        <w:t xml:space="preserve"> </w:t>
      </w:r>
      <w:r>
        <w:rPr>
          <w:rFonts w:ascii="Calibri" w:hAnsi="Calibri"/>
          <w:color w:val="001F60"/>
        </w:rPr>
        <w:t>econômico-financeira,</w:t>
      </w:r>
      <w:r>
        <w:rPr>
          <w:rFonts w:ascii="Calibri" w:hAnsi="Calibri"/>
          <w:color w:val="001F60"/>
          <w:spacing w:val="-12"/>
        </w:rPr>
        <w:t xml:space="preserve"> </w:t>
      </w:r>
      <w:r>
        <w:rPr>
          <w:rFonts w:ascii="Calibri" w:hAnsi="Calibri"/>
          <w:color w:val="001F60"/>
        </w:rPr>
        <w:t>apoiando</w:t>
      </w:r>
      <w:r>
        <w:rPr>
          <w:rFonts w:ascii="Calibri" w:hAnsi="Calibri"/>
          <w:color w:val="001F60"/>
          <w:spacing w:val="-12"/>
        </w:rPr>
        <w:t xml:space="preserve"> </w:t>
      </w:r>
      <w:r>
        <w:rPr>
          <w:rFonts w:ascii="Calibri" w:hAnsi="Calibri"/>
          <w:color w:val="001F60"/>
        </w:rPr>
        <w:t>a</w:t>
      </w:r>
      <w:r>
        <w:rPr>
          <w:rFonts w:ascii="Calibri" w:hAnsi="Calibri"/>
          <w:color w:val="001F60"/>
          <w:spacing w:val="-13"/>
        </w:rPr>
        <w:t xml:space="preserve"> </w:t>
      </w:r>
      <w:r>
        <w:rPr>
          <w:rFonts w:ascii="Calibri" w:hAnsi="Calibri"/>
          <w:color w:val="001F60"/>
        </w:rPr>
        <w:t>busca</w:t>
      </w:r>
      <w:r>
        <w:rPr>
          <w:rFonts w:ascii="Calibri" w:hAnsi="Calibri"/>
          <w:color w:val="001F60"/>
          <w:spacing w:val="-12"/>
        </w:rPr>
        <w:t xml:space="preserve"> </w:t>
      </w:r>
      <w:r>
        <w:rPr>
          <w:rFonts w:ascii="Calibri" w:hAnsi="Calibri"/>
          <w:color w:val="001F60"/>
        </w:rPr>
        <w:t>contínua</w:t>
      </w:r>
      <w:r>
        <w:rPr>
          <w:rFonts w:ascii="Calibri" w:hAnsi="Calibri"/>
          <w:color w:val="001F60"/>
          <w:spacing w:val="-13"/>
        </w:rPr>
        <w:t xml:space="preserve"> </w:t>
      </w:r>
      <w:r>
        <w:rPr>
          <w:rFonts w:ascii="Calibri" w:hAnsi="Calibri"/>
          <w:color w:val="001F60"/>
        </w:rPr>
        <w:t>pela classificação como empresa não dependente.</w:t>
      </w:r>
    </w:p>
    <w:p w14:paraId="46B013D3" w14:textId="77777777" w:rsidR="002C6574" w:rsidRDefault="00000000">
      <w:pPr>
        <w:pStyle w:val="Corpodetexto"/>
        <w:spacing w:before="119" w:line="276" w:lineRule="auto"/>
        <w:ind w:left="709" w:right="276"/>
        <w:jc w:val="both"/>
        <w:rPr>
          <w:rFonts w:ascii="Calibri" w:hAnsi="Calibri"/>
        </w:rPr>
      </w:pPr>
      <w:r>
        <w:rPr>
          <w:rFonts w:ascii="Calibri" w:hAnsi="Calibri"/>
          <w:color w:val="001F60"/>
        </w:rPr>
        <w:t>A</w:t>
      </w:r>
      <w:r>
        <w:rPr>
          <w:rFonts w:ascii="Calibri" w:hAnsi="Calibri"/>
          <w:color w:val="001F60"/>
          <w:spacing w:val="-13"/>
        </w:rPr>
        <w:t xml:space="preserve"> </w:t>
      </w:r>
      <w:r>
        <w:rPr>
          <w:rFonts w:ascii="Calibri" w:hAnsi="Calibri"/>
          <w:color w:val="001F60"/>
        </w:rPr>
        <w:t>Telebras</w:t>
      </w:r>
      <w:r>
        <w:rPr>
          <w:rFonts w:ascii="Calibri" w:hAnsi="Calibri"/>
          <w:color w:val="001F60"/>
          <w:spacing w:val="-11"/>
        </w:rPr>
        <w:t xml:space="preserve"> </w:t>
      </w:r>
      <w:r>
        <w:rPr>
          <w:rFonts w:ascii="Calibri" w:hAnsi="Calibri"/>
          <w:color w:val="001F60"/>
        </w:rPr>
        <w:t>registrou</w:t>
      </w:r>
      <w:r>
        <w:rPr>
          <w:rFonts w:ascii="Calibri" w:hAnsi="Calibri"/>
          <w:color w:val="001F60"/>
          <w:spacing w:val="-12"/>
        </w:rPr>
        <w:t xml:space="preserve"> </w:t>
      </w:r>
      <w:r>
        <w:rPr>
          <w:rFonts w:ascii="Calibri" w:hAnsi="Calibri"/>
          <w:color w:val="001F60"/>
        </w:rPr>
        <w:t>melhora</w:t>
      </w:r>
      <w:r>
        <w:rPr>
          <w:rFonts w:ascii="Calibri" w:hAnsi="Calibri"/>
          <w:color w:val="001F60"/>
          <w:spacing w:val="-13"/>
        </w:rPr>
        <w:t xml:space="preserve"> </w:t>
      </w:r>
      <w:r>
        <w:rPr>
          <w:rFonts w:ascii="Calibri" w:hAnsi="Calibri"/>
          <w:color w:val="001F60"/>
        </w:rPr>
        <w:t>no</w:t>
      </w:r>
      <w:r>
        <w:rPr>
          <w:rFonts w:ascii="Calibri" w:hAnsi="Calibri"/>
          <w:color w:val="001F60"/>
          <w:spacing w:val="-10"/>
        </w:rPr>
        <w:t xml:space="preserve"> </w:t>
      </w:r>
      <w:r>
        <w:rPr>
          <w:rFonts w:ascii="Calibri" w:hAnsi="Calibri"/>
          <w:color w:val="001F60"/>
        </w:rPr>
        <w:t>desempenho</w:t>
      </w:r>
      <w:r>
        <w:rPr>
          <w:rFonts w:ascii="Calibri" w:hAnsi="Calibri"/>
          <w:color w:val="001F60"/>
          <w:spacing w:val="-11"/>
        </w:rPr>
        <w:t xml:space="preserve"> </w:t>
      </w:r>
      <w:r>
        <w:rPr>
          <w:rFonts w:ascii="Calibri" w:hAnsi="Calibri"/>
          <w:color w:val="001F60"/>
        </w:rPr>
        <w:t>econômico-financeiro,</w:t>
      </w:r>
      <w:r>
        <w:rPr>
          <w:rFonts w:ascii="Calibri" w:hAnsi="Calibri"/>
          <w:color w:val="001F60"/>
          <w:spacing w:val="-11"/>
        </w:rPr>
        <w:t xml:space="preserve"> </w:t>
      </w:r>
      <w:r>
        <w:rPr>
          <w:rFonts w:ascii="Calibri" w:hAnsi="Calibri"/>
          <w:color w:val="001F60"/>
        </w:rPr>
        <w:t>ampliou</w:t>
      </w:r>
      <w:r>
        <w:rPr>
          <w:rFonts w:ascii="Calibri" w:hAnsi="Calibri"/>
          <w:color w:val="001F60"/>
          <w:spacing w:val="-11"/>
        </w:rPr>
        <w:t xml:space="preserve"> </w:t>
      </w:r>
      <w:r>
        <w:rPr>
          <w:rFonts w:ascii="Calibri" w:hAnsi="Calibri"/>
          <w:color w:val="001F60"/>
        </w:rPr>
        <w:t>receitas</w:t>
      </w:r>
      <w:r>
        <w:rPr>
          <w:rFonts w:ascii="Calibri" w:hAnsi="Calibri"/>
          <w:color w:val="001F60"/>
          <w:spacing w:val="-11"/>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prestação</w:t>
      </w:r>
      <w:r>
        <w:rPr>
          <w:rFonts w:ascii="Calibri" w:hAnsi="Calibri"/>
          <w:color w:val="001F60"/>
          <w:spacing w:val="-10"/>
        </w:rPr>
        <w:t xml:space="preserve"> </w:t>
      </w:r>
      <w:r>
        <w:rPr>
          <w:rFonts w:ascii="Calibri" w:hAnsi="Calibri"/>
          <w:color w:val="001F60"/>
        </w:rPr>
        <w:t>de serviços</w:t>
      </w:r>
      <w:r>
        <w:rPr>
          <w:rFonts w:ascii="Calibri" w:hAnsi="Calibri"/>
          <w:color w:val="001F60"/>
          <w:spacing w:val="-11"/>
        </w:rPr>
        <w:t xml:space="preserve"> </w:t>
      </w:r>
      <w:r>
        <w:rPr>
          <w:rFonts w:ascii="Calibri" w:hAnsi="Calibri"/>
          <w:color w:val="001F60"/>
        </w:rPr>
        <w:t>e</w:t>
      </w:r>
      <w:r>
        <w:rPr>
          <w:rFonts w:ascii="Calibri" w:hAnsi="Calibri"/>
          <w:color w:val="001F60"/>
          <w:spacing w:val="-8"/>
        </w:rPr>
        <w:t xml:space="preserve"> </w:t>
      </w:r>
      <w:r>
        <w:rPr>
          <w:rFonts w:ascii="Calibri" w:hAnsi="Calibri"/>
          <w:color w:val="001F60"/>
        </w:rPr>
        <w:t>avançou</w:t>
      </w:r>
      <w:r>
        <w:rPr>
          <w:rFonts w:ascii="Calibri" w:hAnsi="Calibri"/>
          <w:color w:val="001F60"/>
          <w:spacing w:val="-11"/>
        </w:rPr>
        <w:t xml:space="preserve"> </w:t>
      </w:r>
      <w:r>
        <w:rPr>
          <w:rFonts w:ascii="Calibri" w:hAnsi="Calibri"/>
          <w:color w:val="001F60"/>
        </w:rPr>
        <w:t>na</w:t>
      </w:r>
      <w:r>
        <w:rPr>
          <w:rFonts w:ascii="Calibri" w:hAnsi="Calibri"/>
          <w:color w:val="001F60"/>
          <w:spacing w:val="-8"/>
        </w:rPr>
        <w:t xml:space="preserve"> </w:t>
      </w:r>
      <w:r>
        <w:rPr>
          <w:rFonts w:ascii="Calibri" w:hAnsi="Calibri"/>
          <w:color w:val="001F60"/>
        </w:rPr>
        <w:t>diversificação</w:t>
      </w:r>
      <w:r>
        <w:rPr>
          <w:rFonts w:ascii="Calibri" w:hAnsi="Calibri"/>
          <w:color w:val="001F60"/>
          <w:spacing w:val="-10"/>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sua</w:t>
      </w:r>
      <w:r>
        <w:rPr>
          <w:rFonts w:ascii="Calibri" w:hAnsi="Calibri"/>
          <w:color w:val="001F60"/>
          <w:spacing w:val="-12"/>
        </w:rPr>
        <w:t xml:space="preserve"> </w:t>
      </w:r>
      <w:r>
        <w:rPr>
          <w:rFonts w:ascii="Calibri" w:hAnsi="Calibri"/>
          <w:color w:val="001F60"/>
        </w:rPr>
        <w:t>carteira,</w:t>
      </w:r>
      <w:r>
        <w:rPr>
          <w:rFonts w:ascii="Calibri" w:hAnsi="Calibri"/>
          <w:color w:val="001F60"/>
          <w:spacing w:val="-8"/>
        </w:rPr>
        <w:t xml:space="preserve"> </w:t>
      </w:r>
      <w:r>
        <w:rPr>
          <w:rFonts w:ascii="Calibri" w:hAnsi="Calibri"/>
          <w:color w:val="001F60"/>
        </w:rPr>
        <w:t>incluindo</w:t>
      </w:r>
      <w:r>
        <w:rPr>
          <w:rFonts w:ascii="Calibri" w:hAnsi="Calibri"/>
          <w:color w:val="001F60"/>
          <w:spacing w:val="-8"/>
        </w:rPr>
        <w:t xml:space="preserve"> </w:t>
      </w:r>
      <w:r>
        <w:rPr>
          <w:rFonts w:ascii="Calibri" w:hAnsi="Calibri"/>
          <w:color w:val="001F60"/>
        </w:rPr>
        <w:t>a</w:t>
      </w:r>
      <w:r>
        <w:rPr>
          <w:rFonts w:ascii="Calibri" w:hAnsi="Calibri"/>
          <w:color w:val="001F60"/>
          <w:spacing w:val="-10"/>
        </w:rPr>
        <w:t xml:space="preserve"> </w:t>
      </w:r>
      <w:r>
        <w:rPr>
          <w:rFonts w:ascii="Calibri" w:hAnsi="Calibri"/>
          <w:color w:val="001F60"/>
        </w:rPr>
        <w:t>oferta</w:t>
      </w:r>
      <w:r>
        <w:rPr>
          <w:rFonts w:ascii="Calibri" w:hAnsi="Calibri"/>
          <w:color w:val="001F60"/>
          <w:spacing w:val="-12"/>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Serviços</w:t>
      </w:r>
      <w:r>
        <w:rPr>
          <w:rFonts w:ascii="Calibri" w:hAnsi="Calibri"/>
          <w:color w:val="001F60"/>
          <w:spacing w:val="-13"/>
        </w:rPr>
        <w:t xml:space="preserve"> </w:t>
      </w:r>
      <w:r>
        <w:rPr>
          <w:rFonts w:ascii="Calibri" w:hAnsi="Calibri"/>
          <w:color w:val="001F60"/>
        </w:rPr>
        <w:t>de</w:t>
      </w:r>
      <w:r>
        <w:rPr>
          <w:rFonts w:ascii="Calibri" w:hAnsi="Calibri"/>
          <w:color w:val="001F60"/>
          <w:spacing w:val="-7"/>
        </w:rPr>
        <w:t xml:space="preserve"> </w:t>
      </w:r>
      <w:r>
        <w:rPr>
          <w:rFonts w:ascii="Calibri" w:hAnsi="Calibri"/>
          <w:color w:val="001F60"/>
        </w:rPr>
        <w:t>Valor</w:t>
      </w:r>
      <w:r>
        <w:rPr>
          <w:rFonts w:ascii="Calibri" w:hAnsi="Calibri"/>
          <w:color w:val="001F60"/>
          <w:spacing w:val="-10"/>
        </w:rPr>
        <w:t xml:space="preserve"> </w:t>
      </w:r>
      <w:r>
        <w:rPr>
          <w:rFonts w:ascii="Calibri" w:hAnsi="Calibri"/>
          <w:color w:val="001F60"/>
        </w:rPr>
        <w:t xml:space="preserve">Adicionado (SVA), como soluções de </w:t>
      </w:r>
      <w:r>
        <w:rPr>
          <w:rFonts w:ascii="Arial" w:hAnsi="Arial"/>
          <w:i/>
          <w:color w:val="001F60"/>
        </w:rPr>
        <w:t xml:space="preserve">edge computing </w:t>
      </w:r>
      <w:r>
        <w:rPr>
          <w:rFonts w:ascii="Calibri" w:hAnsi="Calibri"/>
          <w:color w:val="001F60"/>
        </w:rPr>
        <w:t xml:space="preserve">e </w:t>
      </w:r>
      <w:r>
        <w:rPr>
          <w:rFonts w:ascii="Arial" w:hAnsi="Arial"/>
          <w:i/>
          <w:color w:val="001F60"/>
        </w:rPr>
        <w:t xml:space="preserve">imageamento </w:t>
      </w:r>
      <w:r>
        <w:rPr>
          <w:rFonts w:ascii="Calibri" w:hAnsi="Calibri"/>
          <w:color w:val="001F60"/>
        </w:rPr>
        <w:t>voltadas a órgãos públicos. Também manteve participação decisiva em políticas públicas, com destaque para o Projeto Aprender Conectado, desenvolvido em parceria com a EACE.</w:t>
      </w:r>
    </w:p>
    <w:p w14:paraId="6BF56ABA" w14:textId="77777777" w:rsidR="002C6574" w:rsidRDefault="00000000">
      <w:pPr>
        <w:pStyle w:val="Corpodetexto"/>
        <w:spacing w:before="121" w:line="276" w:lineRule="auto"/>
        <w:ind w:left="709" w:right="276"/>
        <w:jc w:val="both"/>
        <w:rPr>
          <w:rFonts w:ascii="Calibri" w:hAnsi="Calibri"/>
        </w:rPr>
      </w:pPr>
      <w:r>
        <w:rPr>
          <w:rFonts w:ascii="Calibri" w:hAnsi="Calibri"/>
          <w:color w:val="001F60"/>
        </w:rPr>
        <w:t>No</w:t>
      </w:r>
      <w:r>
        <w:rPr>
          <w:rFonts w:ascii="Calibri" w:hAnsi="Calibri"/>
          <w:color w:val="001F60"/>
          <w:spacing w:val="-1"/>
        </w:rPr>
        <w:t xml:space="preserve"> </w:t>
      </w:r>
      <w:r>
        <w:rPr>
          <w:rFonts w:ascii="Calibri" w:hAnsi="Calibri"/>
          <w:color w:val="001F60"/>
        </w:rPr>
        <w:t>campo</w:t>
      </w:r>
      <w:r>
        <w:rPr>
          <w:rFonts w:ascii="Calibri" w:hAnsi="Calibri"/>
          <w:color w:val="001F60"/>
          <w:spacing w:val="-1"/>
        </w:rPr>
        <w:t xml:space="preserve"> </w:t>
      </w:r>
      <w:r>
        <w:rPr>
          <w:rFonts w:ascii="Calibri" w:hAnsi="Calibri"/>
          <w:color w:val="001F60"/>
        </w:rPr>
        <w:t>da</w:t>
      </w:r>
      <w:r>
        <w:rPr>
          <w:rFonts w:ascii="Calibri" w:hAnsi="Calibri"/>
          <w:color w:val="001F60"/>
          <w:spacing w:val="-1"/>
        </w:rPr>
        <w:t xml:space="preserve"> </w:t>
      </w:r>
      <w:r>
        <w:rPr>
          <w:rFonts w:ascii="Calibri" w:hAnsi="Calibri"/>
          <w:color w:val="001F60"/>
        </w:rPr>
        <w:t>governança</w:t>
      </w:r>
      <w:r>
        <w:rPr>
          <w:rFonts w:ascii="Calibri" w:hAnsi="Calibri"/>
          <w:color w:val="001F60"/>
          <w:spacing w:val="-3"/>
        </w:rPr>
        <w:t xml:space="preserve"> </w:t>
      </w:r>
      <w:r>
        <w:rPr>
          <w:rFonts w:ascii="Calibri" w:hAnsi="Calibri"/>
          <w:color w:val="001F60"/>
        </w:rPr>
        <w:t>e</w:t>
      </w:r>
      <w:r>
        <w:rPr>
          <w:rFonts w:ascii="Calibri" w:hAnsi="Calibri"/>
          <w:color w:val="001F60"/>
          <w:spacing w:val="-3"/>
        </w:rPr>
        <w:t xml:space="preserve"> </w:t>
      </w:r>
      <w:r>
        <w:rPr>
          <w:rFonts w:ascii="Calibri" w:hAnsi="Calibri"/>
          <w:color w:val="001F60"/>
        </w:rPr>
        <w:t>integridade,</w:t>
      </w:r>
      <w:r>
        <w:rPr>
          <w:rFonts w:ascii="Calibri" w:hAnsi="Calibri"/>
          <w:color w:val="001F60"/>
          <w:spacing w:val="-1"/>
        </w:rPr>
        <w:t xml:space="preserve"> </w:t>
      </w:r>
      <w:r>
        <w:rPr>
          <w:rFonts w:ascii="Calibri" w:hAnsi="Calibri"/>
          <w:color w:val="001F60"/>
        </w:rPr>
        <w:t>a</w:t>
      </w:r>
      <w:r>
        <w:rPr>
          <w:rFonts w:ascii="Calibri" w:hAnsi="Calibri"/>
          <w:color w:val="001F60"/>
          <w:spacing w:val="-1"/>
        </w:rPr>
        <w:t xml:space="preserve"> </w:t>
      </w:r>
      <w:r>
        <w:rPr>
          <w:rFonts w:ascii="Calibri" w:hAnsi="Calibri"/>
          <w:color w:val="001F60"/>
        </w:rPr>
        <w:t>Companhia</w:t>
      </w:r>
      <w:r>
        <w:rPr>
          <w:rFonts w:ascii="Calibri" w:hAnsi="Calibri"/>
          <w:color w:val="001F60"/>
          <w:spacing w:val="-1"/>
        </w:rPr>
        <w:t xml:space="preserve"> </w:t>
      </w:r>
      <w:r>
        <w:rPr>
          <w:rFonts w:ascii="Calibri" w:hAnsi="Calibri"/>
          <w:color w:val="001F60"/>
        </w:rPr>
        <w:t>aperfeiçoou</w:t>
      </w:r>
      <w:r>
        <w:rPr>
          <w:rFonts w:ascii="Calibri" w:hAnsi="Calibri"/>
          <w:color w:val="001F60"/>
          <w:spacing w:val="-2"/>
        </w:rPr>
        <w:t xml:space="preserve"> </w:t>
      </w:r>
      <w:r>
        <w:rPr>
          <w:rFonts w:ascii="Calibri" w:hAnsi="Calibri"/>
          <w:color w:val="001F60"/>
        </w:rPr>
        <w:t>seus</w:t>
      </w:r>
      <w:r>
        <w:rPr>
          <w:rFonts w:ascii="Calibri" w:hAnsi="Calibri"/>
          <w:color w:val="001F60"/>
          <w:spacing w:val="-1"/>
        </w:rPr>
        <w:t xml:space="preserve"> </w:t>
      </w:r>
      <w:r>
        <w:rPr>
          <w:rFonts w:ascii="Calibri" w:hAnsi="Calibri"/>
          <w:color w:val="001F60"/>
        </w:rPr>
        <w:t>controles</w:t>
      </w:r>
      <w:r>
        <w:rPr>
          <w:rFonts w:ascii="Calibri" w:hAnsi="Calibri"/>
          <w:color w:val="001F60"/>
          <w:spacing w:val="-3"/>
        </w:rPr>
        <w:t xml:space="preserve"> </w:t>
      </w:r>
      <w:r>
        <w:rPr>
          <w:rFonts w:ascii="Calibri" w:hAnsi="Calibri"/>
          <w:color w:val="001F60"/>
        </w:rPr>
        <w:t>internos,</w:t>
      </w:r>
      <w:r>
        <w:rPr>
          <w:rFonts w:ascii="Calibri" w:hAnsi="Calibri"/>
          <w:color w:val="001F60"/>
          <w:spacing w:val="-1"/>
        </w:rPr>
        <w:t xml:space="preserve"> </w:t>
      </w:r>
      <w:r>
        <w:rPr>
          <w:rFonts w:ascii="Calibri" w:hAnsi="Calibri"/>
          <w:color w:val="001F60"/>
        </w:rPr>
        <w:t>fortaleceu seu Programa de Integridade, evoluiu na gestão de riscos corporativos e obteve 83,14% no Índice de Transparência do Programa Nacional de Transparência Pública (PNTP), conquistando o Selo Prata. O Planejamento</w:t>
      </w:r>
      <w:r>
        <w:rPr>
          <w:rFonts w:ascii="Calibri" w:hAnsi="Calibri"/>
          <w:color w:val="001F60"/>
          <w:spacing w:val="-7"/>
        </w:rPr>
        <w:t xml:space="preserve"> </w:t>
      </w:r>
      <w:r>
        <w:rPr>
          <w:rFonts w:ascii="Calibri" w:hAnsi="Calibri"/>
          <w:color w:val="001F60"/>
        </w:rPr>
        <w:t>Estratégico</w:t>
      </w:r>
      <w:r>
        <w:rPr>
          <w:rFonts w:ascii="Calibri" w:hAnsi="Calibri"/>
          <w:color w:val="001F60"/>
          <w:spacing w:val="-6"/>
        </w:rPr>
        <w:t xml:space="preserve"> </w:t>
      </w:r>
      <w:r>
        <w:rPr>
          <w:rFonts w:ascii="Calibri" w:hAnsi="Calibri"/>
          <w:color w:val="001F60"/>
        </w:rPr>
        <w:t>Institucional</w:t>
      </w:r>
      <w:r>
        <w:rPr>
          <w:rFonts w:ascii="Calibri" w:hAnsi="Calibri"/>
          <w:color w:val="001F60"/>
          <w:spacing w:val="-7"/>
        </w:rPr>
        <w:t xml:space="preserve"> </w:t>
      </w:r>
      <w:r>
        <w:rPr>
          <w:rFonts w:ascii="Calibri" w:hAnsi="Calibri"/>
          <w:color w:val="001F60"/>
        </w:rPr>
        <w:t>(PEI</w:t>
      </w:r>
      <w:r>
        <w:rPr>
          <w:rFonts w:ascii="Calibri" w:hAnsi="Calibri"/>
          <w:color w:val="001F60"/>
          <w:spacing w:val="-7"/>
        </w:rPr>
        <w:t xml:space="preserve"> </w:t>
      </w:r>
      <w:r>
        <w:rPr>
          <w:rFonts w:ascii="Calibri" w:hAnsi="Calibri"/>
          <w:color w:val="001F60"/>
        </w:rPr>
        <w:t>2026–2030)</w:t>
      </w:r>
      <w:r>
        <w:rPr>
          <w:rFonts w:ascii="Calibri" w:hAnsi="Calibri"/>
          <w:color w:val="001F60"/>
          <w:spacing w:val="-5"/>
        </w:rPr>
        <w:t xml:space="preserve"> </w:t>
      </w:r>
      <w:r>
        <w:rPr>
          <w:rFonts w:ascii="Calibri" w:hAnsi="Calibri"/>
          <w:color w:val="001F60"/>
        </w:rPr>
        <w:t>foi</w:t>
      </w:r>
      <w:r>
        <w:rPr>
          <w:rFonts w:ascii="Calibri" w:hAnsi="Calibri"/>
          <w:color w:val="001F60"/>
          <w:spacing w:val="-5"/>
        </w:rPr>
        <w:t xml:space="preserve"> </w:t>
      </w:r>
      <w:r>
        <w:rPr>
          <w:rFonts w:ascii="Calibri" w:hAnsi="Calibri"/>
          <w:color w:val="001F60"/>
        </w:rPr>
        <w:t>atualizado,</w:t>
      </w:r>
      <w:r>
        <w:rPr>
          <w:rFonts w:ascii="Calibri" w:hAnsi="Calibri"/>
          <w:color w:val="001F60"/>
          <w:spacing w:val="-5"/>
        </w:rPr>
        <w:t xml:space="preserve"> </w:t>
      </w:r>
      <w:r>
        <w:rPr>
          <w:rFonts w:ascii="Calibri" w:hAnsi="Calibri"/>
          <w:color w:val="001F60"/>
        </w:rPr>
        <w:t>com</w:t>
      </w:r>
      <w:r>
        <w:rPr>
          <w:rFonts w:ascii="Calibri" w:hAnsi="Calibri"/>
          <w:color w:val="001F60"/>
          <w:spacing w:val="-5"/>
        </w:rPr>
        <w:t xml:space="preserve"> </w:t>
      </w:r>
      <w:r>
        <w:rPr>
          <w:rFonts w:ascii="Calibri" w:hAnsi="Calibri"/>
          <w:color w:val="001F60"/>
        </w:rPr>
        <w:t>integração</w:t>
      </w:r>
      <w:r>
        <w:rPr>
          <w:rFonts w:ascii="Calibri" w:hAnsi="Calibri"/>
          <w:color w:val="001F60"/>
          <w:spacing w:val="-5"/>
        </w:rPr>
        <w:t xml:space="preserve"> </w:t>
      </w:r>
      <w:r>
        <w:rPr>
          <w:rFonts w:ascii="Calibri" w:hAnsi="Calibri"/>
          <w:color w:val="001F60"/>
        </w:rPr>
        <w:t>às</w:t>
      </w:r>
      <w:r>
        <w:rPr>
          <w:rFonts w:ascii="Calibri" w:hAnsi="Calibri"/>
          <w:color w:val="001F60"/>
          <w:spacing w:val="-7"/>
        </w:rPr>
        <w:t xml:space="preserve"> </w:t>
      </w:r>
      <w:r>
        <w:rPr>
          <w:rFonts w:ascii="Calibri" w:hAnsi="Calibri"/>
          <w:color w:val="001F60"/>
        </w:rPr>
        <w:t>diretrizes</w:t>
      </w:r>
      <w:r>
        <w:rPr>
          <w:rFonts w:ascii="Calibri" w:hAnsi="Calibri"/>
          <w:color w:val="001F60"/>
          <w:spacing w:val="-5"/>
        </w:rPr>
        <w:t xml:space="preserve"> </w:t>
      </w:r>
      <w:r>
        <w:rPr>
          <w:rFonts w:ascii="Calibri" w:hAnsi="Calibri"/>
          <w:color w:val="001F60"/>
        </w:rPr>
        <w:t>de sustentabilidade e à Política ESG.</w:t>
      </w:r>
    </w:p>
    <w:p w14:paraId="410C630C" w14:textId="77777777" w:rsidR="002C6574" w:rsidRDefault="00000000">
      <w:pPr>
        <w:pStyle w:val="Corpodetexto"/>
        <w:spacing w:before="119" w:line="276" w:lineRule="auto"/>
        <w:ind w:left="709" w:right="275"/>
        <w:jc w:val="both"/>
        <w:rPr>
          <w:rFonts w:ascii="Calibri" w:hAnsi="Calibri"/>
        </w:rPr>
      </w:pPr>
      <w:r>
        <w:rPr>
          <w:rFonts w:ascii="Calibri" w:hAnsi="Calibri"/>
          <w:color w:val="001F60"/>
        </w:rPr>
        <w:t>A</w:t>
      </w:r>
      <w:r>
        <w:rPr>
          <w:rFonts w:ascii="Calibri" w:hAnsi="Calibri"/>
          <w:color w:val="001F60"/>
          <w:spacing w:val="-8"/>
        </w:rPr>
        <w:t xml:space="preserve"> </w:t>
      </w:r>
      <w:r>
        <w:rPr>
          <w:rFonts w:ascii="Calibri" w:hAnsi="Calibri"/>
          <w:color w:val="001F60"/>
        </w:rPr>
        <w:t>equidade</w:t>
      </w:r>
      <w:r>
        <w:rPr>
          <w:rFonts w:ascii="Calibri" w:hAnsi="Calibri"/>
          <w:color w:val="001F60"/>
          <w:spacing w:val="-6"/>
        </w:rPr>
        <w:t xml:space="preserve"> </w:t>
      </w:r>
      <w:r>
        <w:rPr>
          <w:rFonts w:ascii="Calibri" w:hAnsi="Calibri"/>
          <w:color w:val="001F60"/>
        </w:rPr>
        <w:t>é</w:t>
      </w:r>
      <w:r>
        <w:rPr>
          <w:rFonts w:ascii="Calibri" w:hAnsi="Calibri"/>
          <w:color w:val="001F60"/>
          <w:spacing w:val="-8"/>
        </w:rPr>
        <w:t xml:space="preserve"> </w:t>
      </w:r>
      <w:r>
        <w:rPr>
          <w:rFonts w:ascii="Calibri" w:hAnsi="Calibri"/>
          <w:color w:val="001F60"/>
        </w:rPr>
        <w:t>tratada</w:t>
      </w:r>
      <w:r>
        <w:rPr>
          <w:rFonts w:ascii="Calibri" w:hAnsi="Calibri"/>
          <w:color w:val="001F60"/>
          <w:spacing w:val="-6"/>
        </w:rPr>
        <w:t xml:space="preserve"> </w:t>
      </w:r>
      <w:r>
        <w:rPr>
          <w:rFonts w:ascii="Calibri" w:hAnsi="Calibri"/>
          <w:color w:val="001F60"/>
        </w:rPr>
        <w:t>pela</w:t>
      </w:r>
      <w:r>
        <w:rPr>
          <w:rFonts w:ascii="Calibri" w:hAnsi="Calibri"/>
          <w:color w:val="001F60"/>
          <w:spacing w:val="-10"/>
        </w:rPr>
        <w:t xml:space="preserve"> </w:t>
      </w:r>
      <w:r>
        <w:rPr>
          <w:rFonts w:ascii="Calibri" w:hAnsi="Calibri"/>
          <w:color w:val="001F60"/>
        </w:rPr>
        <w:t>Companhia</w:t>
      </w:r>
      <w:r>
        <w:rPr>
          <w:rFonts w:ascii="Calibri" w:hAnsi="Calibri"/>
          <w:color w:val="001F60"/>
          <w:spacing w:val="-10"/>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forma</w:t>
      </w:r>
      <w:r>
        <w:rPr>
          <w:rFonts w:ascii="Calibri" w:hAnsi="Calibri"/>
          <w:color w:val="001F60"/>
          <w:spacing w:val="-10"/>
        </w:rPr>
        <w:t xml:space="preserve"> </w:t>
      </w:r>
      <w:r>
        <w:rPr>
          <w:rFonts w:ascii="Calibri" w:hAnsi="Calibri"/>
          <w:color w:val="001F60"/>
        </w:rPr>
        <w:t>transversal,</w:t>
      </w:r>
      <w:r>
        <w:rPr>
          <w:rFonts w:ascii="Calibri" w:hAnsi="Calibri"/>
          <w:color w:val="001F60"/>
          <w:spacing w:val="-6"/>
        </w:rPr>
        <w:t xml:space="preserve"> </w:t>
      </w:r>
      <w:r>
        <w:rPr>
          <w:rFonts w:ascii="Calibri" w:hAnsi="Calibri"/>
          <w:color w:val="001F60"/>
        </w:rPr>
        <w:t>integrando</w:t>
      </w:r>
      <w:r>
        <w:rPr>
          <w:rFonts w:ascii="Calibri" w:hAnsi="Calibri"/>
          <w:color w:val="001F60"/>
          <w:spacing w:val="-8"/>
        </w:rPr>
        <w:t xml:space="preserve"> </w:t>
      </w:r>
      <w:r>
        <w:rPr>
          <w:rFonts w:ascii="Calibri" w:hAnsi="Calibri"/>
          <w:color w:val="001F60"/>
        </w:rPr>
        <w:t>os</w:t>
      </w:r>
      <w:r>
        <w:rPr>
          <w:rFonts w:ascii="Calibri" w:hAnsi="Calibri"/>
          <w:color w:val="001F60"/>
          <w:spacing w:val="-8"/>
        </w:rPr>
        <w:t xml:space="preserve"> </w:t>
      </w:r>
      <w:r>
        <w:rPr>
          <w:rFonts w:ascii="Calibri" w:hAnsi="Calibri"/>
          <w:color w:val="001F60"/>
        </w:rPr>
        <w:t>princípios</w:t>
      </w:r>
      <w:r>
        <w:rPr>
          <w:rFonts w:ascii="Calibri" w:hAnsi="Calibri"/>
          <w:color w:val="001F60"/>
          <w:spacing w:val="-8"/>
        </w:rPr>
        <w:t xml:space="preserve"> </w:t>
      </w:r>
      <w:r>
        <w:rPr>
          <w:rFonts w:ascii="Calibri" w:hAnsi="Calibri"/>
          <w:color w:val="001F60"/>
        </w:rPr>
        <w:t>estabelecidos</w:t>
      </w:r>
      <w:r>
        <w:rPr>
          <w:rFonts w:ascii="Calibri" w:hAnsi="Calibri"/>
          <w:color w:val="001F60"/>
          <w:spacing w:val="-6"/>
        </w:rPr>
        <w:t xml:space="preserve"> </w:t>
      </w:r>
      <w:r>
        <w:rPr>
          <w:rFonts w:ascii="Calibri" w:hAnsi="Calibri"/>
          <w:color w:val="001F60"/>
        </w:rPr>
        <w:t>em sua Política Ambiental, Social e de Governança (ESG). Esse marco orienta ações voltadas à promoção da</w:t>
      </w:r>
      <w:r>
        <w:rPr>
          <w:rFonts w:ascii="Calibri" w:hAnsi="Calibri"/>
          <w:color w:val="001F60"/>
          <w:spacing w:val="-9"/>
        </w:rPr>
        <w:t xml:space="preserve"> </w:t>
      </w:r>
      <w:r>
        <w:rPr>
          <w:rFonts w:ascii="Calibri" w:hAnsi="Calibri"/>
          <w:color w:val="001F60"/>
        </w:rPr>
        <w:t>igualdade</w:t>
      </w:r>
      <w:r>
        <w:rPr>
          <w:rFonts w:ascii="Calibri" w:hAnsi="Calibri"/>
          <w:color w:val="001F60"/>
          <w:spacing w:val="-9"/>
        </w:rPr>
        <w:t xml:space="preserve"> </w:t>
      </w:r>
      <w:r>
        <w:rPr>
          <w:rFonts w:ascii="Calibri" w:hAnsi="Calibri"/>
          <w:color w:val="001F60"/>
        </w:rPr>
        <w:t>de</w:t>
      </w:r>
      <w:r>
        <w:rPr>
          <w:rFonts w:ascii="Calibri" w:hAnsi="Calibri"/>
          <w:color w:val="001F60"/>
          <w:spacing w:val="-9"/>
        </w:rPr>
        <w:t xml:space="preserve"> </w:t>
      </w:r>
      <w:r>
        <w:rPr>
          <w:rFonts w:ascii="Calibri" w:hAnsi="Calibri"/>
          <w:color w:val="001F60"/>
        </w:rPr>
        <w:t>oportunidades,</w:t>
      </w:r>
      <w:r>
        <w:rPr>
          <w:rFonts w:ascii="Calibri" w:hAnsi="Calibri"/>
          <w:color w:val="001F60"/>
          <w:spacing w:val="-11"/>
        </w:rPr>
        <w:t xml:space="preserve"> </w:t>
      </w:r>
      <w:r>
        <w:rPr>
          <w:rFonts w:ascii="Calibri" w:hAnsi="Calibri"/>
          <w:color w:val="001F60"/>
        </w:rPr>
        <w:t>à</w:t>
      </w:r>
      <w:r>
        <w:rPr>
          <w:rFonts w:ascii="Calibri" w:hAnsi="Calibri"/>
          <w:color w:val="001F60"/>
          <w:spacing w:val="-9"/>
        </w:rPr>
        <w:t xml:space="preserve"> </w:t>
      </w:r>
      <w:r>
        <w:rPr>
          <w:rFonts w:ascii="Calibri" w:hAnsi="Calibri"/>
          <w:color w:val="001F60"/>
        </w:rPr>
        <w:t>valorização</w:t>
      </w:r>
      <w:r>
        <w:rPr>
          <w:rFonts w:ascii="Calibri" w:hAnsi="Calibri"/>
          <w:color w:val="001F60"/>
          <w:spacing w:val="-8"/>
        </w:rPr>
        <w:t xml:space="preserve"> </w:t>
      </w:r>
      <w:r>
        <w:rPr>
          <w:rFonts w:ascii="Calibri" w:hAnsi="Calibri"/>
          <w:color w:val="001F60"/>
        </w:rPr>
        <w:t>da</w:t>
      </w:r>
      <w:r>
        <w:rPr>
          <w:rFonts w:ascii="Calibri" w:hAnsi="Calibri"/>
          <w:color w:val="001F60"/>
          <w:spacing w:val="-9"/>
        </w:rPr>
        <w:t xml:space="preserve"> </w:t>
      </w:r>
      <w:r>
        <w:rPr>
          <w:rFonts w:ascii="Calibri" w:hAnsi="Calibri"/>
          <w:color w:val="001F60"/>
        </w:rPr>
        <w:t>diversidade</w:t>
      </w:r>
      <w:r>
        <w:rPr>
          <w:rFonts w:ascii="Calibri" w:hAnsi="Calibri"/>
          <w:color w:val="001F60"/>
          <w:spacing w:val="-9"/>
        </w:rPr>
        <w:t xml:space="preserve"> </w:t>
      </w:r>
      <w:r>
        <w:rPr>
          <w:rFonts w:ascii="Calibri" w:hAnsi="Calibri"/>
          <w:color w:val="001F60"/>
        </w:rPr>
        <w:t>e</w:t>
      </w:r>
      <w:r>
        <w:rPr>
          <w:rFonts w:ascii="Calibri" w:hAnsi="Calibri"/>
          <w:color w:val="001F60"/>
          <w:spacing w:val="-9"/>
        </w:rPr>
        <w:t xml:space="preserve"> </w:t>
      </w:r>
      <w:r>
        <w:rPr>
          <w:rFonts w:ascii="Calibri" w:hAnsi="Calibri"/>
          <w:color w:val="001F60"/>
        </w:rPr>
        <w:t>ao</w:t>
      </w:r>
      <w:r>
        <w:rPr>
          <w:rFonts w:ascii="Calibri" w:hAnsi="Calibri"/>
          <w:color w:val="001F60"/>
          <w:spacing w:val="-8"/>
        </w:rPr>
        <w:t xml:space="preserve"> </w:t>
      </w:r>
      <w:r>
        <w:rPr>
          <w:rFonts w:ascii="Calibri" w:hAnsi="Calibri"/>
          <w:color w:val="001F60"/>
        </w:rPr>
        <w:t>respeito</w:t>
      </w:r>
      <w:r>
        <w:rPr>
          <w:rFonts w:ascii="Calibri" w:hAnsi="Calibri"/>
          <w:color w:val="001F60"/>
          <w:spacing w:val="-11"/>
        </w:rPr>
        <w:t xml:space="preserve"> </w:t>
      </w:r>
      <w:r>
        <w:rPr>
          <w:rFonts w:ascii="Calibri" w:hAnsi="Calibri"/>
          <w:color w:val="001F60"/>
        </w:rPr>
        <w:t>aos</w:t>
      </w:r>
      <w:r>
        <w:rPr>
          <w:rFonts w:ascii="Calibri" w:hAnsi="Calibri"/>
          <w:color w:val="001F60"/>
          <w:spacing w:val="-13"/>
        </w:rPr>
        <w:t xml:space="preserve"> </w:t>
      </w:r>
      <w:r>
        <w:rPr>
          <w:rFonts w:ascii="Calibri" w:hAnsi="Calibri"/>
          <w:color w:val="001F60"/>
        </w:rPr>
        <w:t>direitos</w:t>
      </w:r>
      <w:r>
        <w:rPr>
          <w:rFonts w:ascii="Calibri" w:hAnsi="Calibri"/>
          <w:color w:val="001F60"/>
          <w:spacing w:val="-8"/>
        </w:rPr>
        <w:t xml:space="preserve"> </w:t>
      </w:r>
      <w:r>
        <w:rPr>
          <w:rFonts w:ascii="Calibri" w:hAnsi="Calibri"/>
          <w:color w:val="001F60"/>
        </w:rPr>
        <w:t>humanos.</w:t>
      </w:r>
      <w:r>
        <w:rPr>
          <w:rFonts w:ascii="Calibri" w:hAnsi="Calibri"/>
          <w:color w:val="001F60"/>
          <w:spacing w:val="-12"/>
        </w:rPr>
        <w:t xml:space="preserve"> </w:t>
      </w:r>
      <w:r>
        <w:rPr>
          <w:rFonts w:ascii="Calibri" w:hAnsi="Calibri"/>
          <w:color w:val="001F60"/>
        </w:rPr>
        <w:t>Entre as iniciativas desenvolvidas no período, destacam</w:t>
      </w:r>
      <w:r>
        <w:rPr>
          <w:rFonts w:ascii="Times New Roman" w:hAnsi="Times New Roman"/>
          <w:color w:val="001F60"/>
        </w:rPr>
        <w:t>‑</w:t>
      </w:r>
      <w:r>
        <w:rPr>
          <w:rFonts w:ascii="Calibri" w:hAnsi="Calibri"/>
          <w:color w:val="001F60"/>
        </w:rPr>
        <w:t>se a participação nos programas Pró</w:t>
      </w:r>
      <w:r>
        <w:rPr>
          <w:rFonts w:ascii="Times New Roman" w:hAnsi="Times New Roman"/>
          <w:color w:val="001F60"/>
        </w:rPr>
        <w:t>‑</w:t>
      </w:r>
      <w:r>
        <w:rPr>
          <w:rFonts w:ascii="Calibri" w:hAnsi="Calibri"/>
          <w:color w:val="001F60"/>
        </w:rPr>
        <w:t>Equidade de Gênero e Raça e no Pacto pela Diversidade, Equidade e Inclusão nas Estatais Federais, além das avaliações externas IG</w:t>
      </w:r>
      <w:r>
        <w:rPr>
          <w:rFonts w:ascii="Times New Roman" w:hAnsi="Times New Roman"/>
          <w:color w:val="001F60"/>
        </w:rPr>
        <w:t>‑</w:t>
      </w:r>
      <w:r>
        <w:rPr>
          <w:rFonts w:ascii="Calibri" w:hAnsi="Calibri"/>
          <w:color w:val="001F60"/>
        </w:rPr>
        <w:t>SEST e iESGo.</w:t>
      </w:r>
    </w:p>
    <w:p w14:paraId="13409868" w14:textId="77777777" w:rsidR="002C6574" w:rsidRDefault="00000000">
      <w:pPr>
        <w:pStyle w:val="Corpodetexto"/>
        <w:spacing w:before="120" w:line="276" w:lineRule="auto"/>
        <w:ind w:left="709" w:right="275"/>
        <w:jc w:val="both"/>
        <w:rPr>
          <w:rFonts w:ascii="Calibri" w:hAnsi="Calibri"/>
        </w:rPr>
      </w:pPr>
      <w:r>
        <w:rPr>
          <w:rFonts w:ascii="Calibri" w:hAnsi="Calibri"/>
          <w:color w:val="001F60"/>
        </w:rPr>
        <w:t>A Administração reconhece o empenho dos colaboradores e colaboradoras da Telebras e o acompanhamento dos órgãos de governança, reafirmando o compromisso com a transparência, a eficiência e o atendimento às demandas públicas, em alinhamento à missão institucional e às prioridades estratégicas do Estado brasileiro.</w:t>
      </w:r>
    </w:p>
    <w:p w14:paraId="3023877A" w14:textId="77777777" w:rsidR="002C6574" w:rsidRDefault="002C6574">
      <w:pPr>
        <w:pStyle w:val="Corpodetexto"/>
        <w:rPr>
          <w:rFonts w:ascii="Calibri"/>
        </w:rPr>
      </w:pPr>
    </w:p>
    <w:p w14:paraId="5E1127EA" w14:textId="77777777" w:rsidR="002C6574" w:rsidRDefault="002C6574">
      <w:pPr>
        <w:pStyle w:val="Corpodetexto"/>
        <w:spacing w:before="13"/>
        <w:rPr>
          <w:rFonts w:ascii="Calibri"/>
        </w:rPr>
      </w:pPr>
    </w:p>
    <w:p w14:paraId="5335189E" w14:textId="77777777" w:rsidR="002C6574" w:rsidRDefault="00000000">
      <w:pPr>
        <w:pStyle w:val="Corpodetexto"/>
        <w:ind w:left="709"/>
        <w:rPr>
          <w:rFonts w:ascii="Calibri"/>
        </w:rPr>
      </w:pPr>
      <w:r>
        <w:rPr>
          <w:rFonts w:ascii="Calibri"/>
          <w:color w:val="001F60"/>
          <w:spacing w:val="-2"/>
        </w:rPr>
        <w:t>Atenciosamente,</w:t>
      </w:r>
    </w:p>
    <w:p w14:paraId="36FE52B8" w14:textId="77777777" w:rsidR="002C6574" w:rsidRDefault="00000000">
      <w:pPr>
        <w:spacing w:before="159"/>
        <w:ind w:right="278"/>
        <w:jc w:val="right"/>
        <w:rPr>
          <w:rFonts w:ascii="Calibri" w:hAnsi="Calibri"/>
          <w:b/>
        </w:rPr>
      </w:pPr>
      <w:r>
        <w:rPr>
          <w:rFonts w:ascii="Calibri" w:hAnsi="Calibri"/>
          <w:b/>
          <w:color w:val="001F60"/>
        </w:rPr>
        <w:t xml:space="preserve">A </w:t>
      </w:r>
      <w:r>
        <w:rPr>
          <w:rFonts w:ascii="Calibri" w:hAnsi="Calibri"/>
          <w:b/>
          <w:color w:val="001F60"/>
          <w:spacing w:val="-2"/>
        </w:rPr>
        <w:t>Administração</w:t>
      </w:r>
    </w:p>
    <w:p w14:paraId="55B83735" w14:textId="77777777" w:rsidR="002C6574" w:rsidRDefault="002C6574">
      <w:pPr>
        <w:jc w:val="right"/>
        <w:rPr>
          <w:rFonts w:ascii="Calibri" w:hAnsi="Calibri"/>
          <w:b/>
        </w:rPr>
        <w:sectPr w:rsidR="002C6574">
          <w:pgSz w:w="11910" w:h="16840"/>
          <w:pgMar w:top="1160" w:right="850" w:bottom="740" w:left="992" w:header="312" w:footer="542" w:gutter="0"/>
          <w:cols w:space="720"/>
        </w:sectPr>
      </w:pPr>
    </w:p>
    <w:p w14:paraId="172AC858" w14:textId="77777777" w:rsidR="002C6574" w:rsidRDefault="002C6574">
      <w:pPr>
        <w:pStyle w:val="Corpodetexto"/>
        <w:spacing w:before="239"/>
        <w:rPr>
          <w:rFonts w:ascii="Calibri"/>
          <w:b/>
          <w:sz w:val="24"/>
        </w:rPr>
      </w:pPr>
    </w:p>
    <w:p w14:paraId="5F549482" w14:textId="77777777" w:rsidR="002C6574" w:rsidRDefault="00000000">
      <w:pPr>
        <w:pStyle w:val="Ttulo8"/>
        <w:numPr>
          <w:ilvl w:val="0"/>
          <w:numId w:val="74"/>
        </w:numPr>
        <w:tabs>
          <w:tab w:val="left" w:pos="1566"/>
        </w:tabs>
      </w:pPr>
      <w:r>
        <w:rPr>
          <w:color w:val="001F60"/>
        </w:rPr>
        <w:t>Perfil</w:t>
      </w:r>
      <w:r>
        <w:rPr>
          <w:color w:val="001F60"/>
          <w:spacing w:val="-2"/>
        </w:rPr>
        <w:t xml:space="preserve"> </w:t>
      </w:r>
      <w:r>
        <w:rPr>
          <w:color w:val="001F60"/>
        </w:rPr>
        <w:t>de</w:t>
      </w:r>
      <w:r>
        <w:rPr>
          <w:color w:val="001F60"/>
          <w:spacing w:val="2"/>
        </w:rPr>
        <w:t xml:space="preserve"> </w:t>
      </w:r>
      <w:r>
        <w:rPr>
          <w:color w:val="001F60"/>
          <w:spacing w:val="-2"/>
        </w:rPr>
        <w:t>Atuação</w:t>
      </w:r>
    </w:p>
    <w:p w14:paraId="4AD23670" w14:textId="77777777" w:rsidR="002C6574" w:rsidRDefault="002C6574">
      <w:pPr>
        <w:pStyle w:val="Corpodetexto"/>
        <w:spacing w:before="181"/>
        <w:rPr>
          <w:rFonts w:ascii="Calibri"/>
          <w:b/>
          <w:sz w:val="24"/>
        </w:rPr>
      </w:pPr>
    </w:p>
    <w:p w14:paraId="7D7F4026" w14:textId="77777777" w:rsidR="002C6574" w:rsidRDefault="00000000">
      <w:pPr>
        <w:pStyle w:val="Corpodetexto"/>
        <w:spacing w:before="1"/>
        <w:ind w:left="709" w:right="274"/>
        <w:jc w:val="both"/>
        <w:rPr>
          <w:rFonts w:ascii="Calibri" w:hAnsi="Calibri"/>
        </w:rPr>
      </w:pPr>
      <w:r>
        <w:rPr>
          <w:rFonts w:ascii="Calibri" w:hAnsi="Calibri"/>
          <w:color w:val="001F60"/>
        </w:rPr>
        <w:t>A Telecomunicações Brasileiras S.A. – Telebras, sediada no Setor de Indústrias Gráficas – SIG, quadra 4, lotes 75, 83, 125 e 175, bloco A, salas 211 a 224, Edifício Capital Financial Center, CEP 70610</w:t>
      </w:r>
      <w:r>
        <w:rPr>
          <w:rFonts w:ascii="Times New Roman" w:hAnsi="Times New Roman"/>
          <w:color w:val="001F60"/>
        </w:rPr>
        <w:t>‑</w:t>
      </w:r>
      <w:r>
        <w:rPr>
          <w:rFonts w:ascii="Calibri" w:hAnsi="Calibri"/>
          <w:color w:val="001F60"/>
        </w:rPr>
        <w:t>440, Brasília</w:t>
      </w:r>
      <w:r>
        <w:rPr>
          <w:rFonts w:ascii="Times New Roman" w:hAnsi="Times New Roman"/>
          <w:color w:val="001F60"/>
        </w:rPr>
        <w:t>‑</w:t>
      </w:r>
      <w:r>
        <w:rPr>
          <w:rFonts w:ascii="Calibri" w:hAnsi="Calibri"/>
          <w:color w:val="001F60"/>
        </w:rPr>
        <w:t>DF, inscrita no CNPJ sob o nº 00.336.701/0001</w:t>
      </w:r>
      <w:r>
        <w:rPr>
          <w:rFonts w:ascii="Times New Roman" w:hAnsi="Times New Roman"/>
          <w:color w:val="001F60"/>
        </w:rPr>
        <w:t>‑</w:t>
      </w:r>
      <w:r>
        <w:rPr>
          <w:rFonts w:ascii="Calibri" w:hAnsi="Calibri"/>
          <w:color w:val="001F60"/>
        </w:rPr>
        <w:t>04, é uma sociedade de economia mista e de capital</w:t>
      </w:r>
      <w:r>
        <w:rPr>
          <w:rFonts w:ascii="Calibri" w:hAnsi="Calibri"/>
          <w:color w:val="001F60"/>
          <w:spacing w:val="-13"/>
        </w:rPr>
        <w:t xml:space="preserve"> </w:t>
      </w:r>
      <w:r>
        <w:rPr>
          <w:rFonts w:ascii="Calibri" w:hAnsi="Calibri"/>
          <w:color w:val="001F60"/>
        </w:rPr>
        <w:t>aberto,</w:t>
      </w:r>
      <w:r>
        <w:rPr>
          <w:rFonts w:ascii="Calibri" w:hAnsi="Calibri"/>
          <w:color w:val="001F60"/>
          <w:spacing w:val="-12"/>
        </w:rPr>
        <w:t xml:space="preserve"> </w:t>
      </w:r>
      <w:r>
        <w:rPr>
          <w:rFonts w:ascii="Calibri" w:hAnsi="Calibri"/>
          <w:color w:val="001F60"/>
        </w:rPr>
        <w:t>listada</w:t>
      </w:r>
      <w:r>
        <w:rPr>
          <w:rFonts w:ascii="Calibri" w:hAnsi="Calibri"/>
          <w:color w:val="001F60"/>
          <w:spacing w:val="-12"/>
        </w:rPr>
        <w:t xml:space="preserve"> </w:t>
      </w:r>
      <w:r>
        <w:rPr>
          <w:rFonts w:ascii="Calibri" w:hAnsi="Calibri"/>
          <w:color w:val="001F60"/>
        </w:rPr>
        <w:t>na</w:t>
      </w:r>
      <w:r>
        <w:rPr>
          <w:rFonts w:ascii="Calibri" w:hAnsi="Calibri"/>
          <w:color w:val="001F60"/>
          <w:spacing w:val="-12"/>
        </w:rPr>
        <w:t xml:space="preserve"> </w:t>
      </w:r>
      <w:r>
        <w:rPr>
          <w:rFonts w:ascii="Calibri" w:hAnsi="Calibri"/>
          <w:color w:val="001F60"/>
        </w:rPr>
        <w:t>B3</w:t>
      </w:r>
      <w:r>
        <w:rPr>
          <w:rFonts w:ascii="Calibri" w:hAnsi="Calibri"/>
          <w:color w:val="001F60"/>
          <w:spacing w:val="-11"/>
        </w:rPr>
        <w:t xml:space="preserve"> </w:t>
      </w:r>
      <w:r>
        <w:rPr>
          <w:rFonts w:ascii="Calibri" w:hAnsi="Calibri"/>
          <w:color w:val="001F60"/>
        </w:rPr>
        <w:t>–</w:t>
      </w:r>
      <w:r>
        <w:rPr>
          <w:rFonts w:ascii="Calibri" w:hAnsi="Calibri"/>
          <w:color w:val="001F60"/>
          <w:spacing w:val="-13"/>
        </w:rPr>
        <w:t xml:space="preserve"> </w:t>
      </w:r>
      <w:r>
        <w:rPr>
          <w:rFonts w:ascii="Calibri" w:hAnsi="Calibri"/>
          <w:color w:val="001F60"/>
        </w:rPr>
        <w:t>Brasil,</w:t>
      </w:r>
      <w:r>
        <w:rPr>
          <w:rFonts w:ascii="Calibri" w:hAnsi="Calibri"/>
          <w:color w:val="001F60"/>
          <w:spacing w:val="-11"/>
        </w:rPr>
        <w:t xml:space="preserve"> </w:t>
      </w:r>
      <w:r>
        <w:rPr>
          <w:rFonts w:ascii="Calibri" w:hAnsi="Calibri"/>
          <w:color w:val="001F60"/>
        </w:rPr>
        <w:t>Bolsa,</w:t>
      </w:r>
      <w:r>
        <w:rPr>
          <w:rFonts w:ascii="Calibri" w:hAnsi="Calibri"/>
          <w:color w:val="001F60"/>
          <w:spacing w:val="-11"/>
        </w:rPr>
        <w:t xml:space="preserve"> </w:t>
      </w:r>
      <w:r>
        <w:rPr>
          <w:rFonts w:ascii="Calibri" w:hAnsi="Calibri"/>
          <w:color w:val="001F60"/>
        </w:rPr>
        <w:t>Balcão,</w:t>
      </w:r>
      <w:r>
        <w:rPr>
          <w:rFonts w:ascii="Calibri" w:hAnsi="Calibri"/>
          <w:color w:val="001F60"/>
          <w:spacing w:val="-13"/>
        </w:rPr>
        <w:t xml:space="preserve"> </w:t>
      </w:r>
      <w:r>
        <w:rPr>
          <w:rFonts w:ascii="Calibri" w:hAnsi="Calibri"/>
          <w:color w:val="001F60"/>
        </w:rPr>
        <w:t>vinculada</w:t>
      </w:r>
      <w:r>
        <w:rPr>
          <w:rFonts w:ascii="Calibri" w:hAnsi="Calibri"/>
          <w:color w:val="001F60"/>
          <w:spacing w:val="-9"/>
        </w:rPr>
        <w:t xml:space="preserve"> </w:t>
      </w:r>
      <w:r>
        <w:rPr>
          <w:rFonts w:ascii="Calibri" w:hAnsi="Calibri"/>
          <w:color w:val="001F60"/>
        </w:rPr>
        <w:t>ao</w:t>
      </w:r>
      <w:r>
        <w:rPr>
          <w:rFonts w:ascii="Calibri" w:hAnsi="Calibri"/>
          <w:color w:val="001F60"/>
          <w:spacing w:val="-12"/>
        </w:rPr>
        <w:t xml:space="preserve"> </w:t>
      </w:r>
      <w:r>
        <w:rPr>
          <w:rFonts w:ascii="Calibri" w:hAnsi="Calibri"/>
          <w:color w:val="001F60"/>
        </w:rPr>
        <w:t>Ministério</w:t>
      </w:r>
      <w:r>
        <w:rPr>
          <w:rFonts w:ascii="Calibri" w:hAnsi="Calibri"/>
          <w:color w:val="001F60"/>
          <w:spacing w:val="-13"/>
        </w:rPr>
        <w:t xml:space="preserve"> </w:t>
      </w:r>
      <w:r>
        <w:rPr>
          <w:rFonts w:ascii="Calibri" w:hAnsi="Calibri"/>
          <w:color w:val="001F60"/>
        </w:rPr>
        <w:t>das</w:t>
      </w:r>
      <w:r>
        <w:rPr>
          <w:rFonts w:ascii="Calibri" w:hAnsi="Calibri"/>
          <w:color w:val="001F60"/>
          <w:spacing w:val="-11"/>
        </w:rPr>
        <w:t xml:space="preserve"> </w:t>
      </w:r>
      <w:r>
        <w:rPr>
          <w:rFonts w:ascii="Calibri" w:hAnsi="Calibri"/>
          <w:color w:val="001F60"/>
        </w:rPr>
        <w:t>Comunicações</w:t>
      </w:r>
      <w:r>
        <w:rPr>
          <w:rFonts w:ascii="Calibri" w:hAnsi="Calibri"/>
          <w:color w:val="001F60"/>
          <w:spacing w:val="-12"/>
        </w:rPr>
        <w:t xml:space="preserve"> </w:t>
      </w:r>
      <w:r>
        <w:rPr>
          <w:rFonts w:ascii="Calibri" w:hAnsi="Calibri"/>
          <w:color w:val="001F60"/>
          <w:spacing w:val="-2"/>
        </w:rPr>
        <w:t>(MCom).</w:t>
      </w:r>
    </w:p>
    <w:p w14:paraId="15CCED5D" w14:textId="77777777" w:rsidR="002C6574" w:rsidRDefault="00000000">
      <w:pPr>
        <w:pStyle w:val="Corpodetexto"/>
        <w:spacing w:before="118"/>
        <w:ind w:left="709" w:right="279"/>
        <w:jc w:val="both"/>
        <w:rPr>
          <w:rFonts w:ascii="Calibri" w:hAnsi="Calibri"/>
        </w:rPr>
      </w:pPr>
      <w:r>
        <w:rPr>
          <w:rFonts w:ascii="Calibri" w:hAnsi="Calibri"/>
          <w:color w:val="001F60"/>
        </w:rPr>
        <w:t>Constituída</w:t>
      </w:r>
      <w:r>
        <w:rPr>
          <w:rFonts w:ascii="Calibri" w:hAnsi="Calibri"/>
          <w:color w:val="001F60"/>
          <w:spacing w:val="-3"/>
        </w:rPr>
        <w:t xml:space="preserve"> </w:t>
      </w:r>
      <w:r>
        <w:rPr>
          <w:rFonts w:ascii="Calibri" w:hAnsi="Calibri"/>
          <w:color w:val="001F60"/>
        </w:rPr>
        <w:t>em</w:t>
      </w:r>
      <w:r>
        <w:rPr>
          <w:rFonts w:ascii="Calibri" w:hAnsi="Calibri"/>
          <w:color w:val="001F60"/>
          <w:spacing w:val="-3"/>
        </w:rPr>
        <w:t xml:space="preserve"> </w:t>
      </w:r>
      <w:r>
        <w:rPr>
          <w:rFonts w:ascii="Calibri" w:hAnsi="Calibri"/>
          <w:color w:val="001F60"/>
        </w:rPr>
        <w:t>9</w:t>
      </w:r>
      <w:r>
        <w:rPr>
          <w:rFonts w:ascii="Calibri" w:hAnsi="Calibri"/>
          <w:color w:val="001F60"/>
          <w:spacing w:val="-1"/>
        </w:rPr>
        <w:t xml:space="preserve"> </w:t>
      </w:r>
      <w:r>
        <w:rPr>
          <w:rFonts w:ascii="Calibri" w:hAnsi="Calibri"/>
          <w:color w:val="001F60"/>
        </w:rPr>
        <w:t>de</w:t>
      </w:r>
      <w:r>
        <w:rPr>
          <w:rFonts w:ascii="Calibri" w:hAnsi="Calibri"/>
          <w:color w:val="001F60"/>
          <w:spacing w:val="-1"/>
        </w:rPr>
        <w:t xml:space="preserve"> </w:t>
      </w:r>
      <w:r>
        <w:rPr>
          <w:rFonts w:ascii="Calibri" w:hAnsi="Calibri"/>
          <w:color w:val="001F60"/>
        </w:rPr>
        <w:t>novembro</w:t>
      </w:r>
      <w:r>
        <w:rPr>
          <w:rFonts w:ascii="Calibri" w:hAnsi="Calibri"/>
          <w:color w:val="001F60"/>
          <w:spacing w:val="-3"/>
        </w:rPr>
        <w:t xml:space="preserve"> </w:t>
      </w:r>
      <w:r>
        <w:rPr>
          <w:rFonts w:ascii="Calibri" w:hAnsi="Calibri"/>
          <w:color w:val="001F60"/>
        </w:rPr>
        <w:t>de</w:t>
      </w:r>
      <w:r>
        <w:rPr>
          <w:rFonts w:ascii="Calibri" w:hAnsi="Calibri"/>
          <w:color w:val="001F60"/>
          <w:spacing w:val="-3"/>
        </w:rPr>
        <w:t xml:space="preserve"> </w:t>
      </w:r>
      <w:r>
        <w:rPr>
          <w:rFonts w:ascii="Calibri" w:hAnsi="Calibri"/>
          <w:color w:val="001F60"/>
        </w:rPr>
        <w:t>1972,</w:t>
      </w:r>
      <w:r>
        <w:rPr>
          <w:rFonts w:ascii="Calibri" w:hAnsi="Calibri"/>
          <w:color w:val="001F60"/>
          <w:spacing w:val="-6"/>
        </w:rPr>
        <w:t xml:space="preserve"> </w:t>
      </w:r>
      <w:r>
        <w:rPr>
          <w:rFonts w:ascii="Calibri" w:hAnsi="Calibri"/>
          <w:color w:val="001F60"/>
        </w:rPr>
        <w:t>de</w:t>
      </w:r>
      <w:r>
        <w:rPr>
          <w:rFonts w:ascii="Calibri" w:hAnsi="Calibri"/>
          <w:color w:val="001F60"/>
          <w:spacing w:val="-1"/>
        </w:rPr>
        <w:t xml:space="preserve"> </w:t>
      </w:r>
      <w:r>
        <w:rPr>
          <w:rFonts w:ascii="Calibri" w:hAnsi="Calibri"/>
          <w:color w:val="001F60"/>
        </w:rPr>
        <w:t>acordo com</w:t>
      </w:r>
      <w:r>
        <w:rPr>
          <w:rFonts w:ascii="Calibri" w:hAnsi="Calibri"/>
          <w:color w:val="001F60"/>
          <w:spacing w:val="-1"/>
        </w:rPr>
        <w:t xml:space="preserve"> </w:t>
      </w:r>
      <w:r>
        <w:rPr>
          <w:rFonts w:ascii="Calibri" w:hAnsi="Calibri"/>
          <w:color w:val="001F60"/>
        </w:rPr>
        <w:t>a</w:t>
      </w:r>
      <w:r>
        <w:rPr>
          <w:rFonts w:ascii="Calibri" w:hAnsi="Calibri"/>
          <w:color w:val="001F60"/>
          <w:spacing w:val="-3"/>
        </w:rPr>
        <w:t xml:space="preserve"> </w:t>
      </w:r>
      <w:r>
        <w:rPr>
          <w:rFonts w:ascii="Calibri" w:hAnsi="Calibri"/>
          <w:color w:val="001F60"/>
        </w:rPr>
        <w:t>Lei</w:t>
      </w:r>
      <w:r>
        <w:rPr>
          <w:rFonts w:ascii="Calibri" w:hAnsi="Calibri"/>
          <w:color w:val="001F60"/>
          <w:spacing w:val="-1"/>
        </w:rPr>
        <w:t xml:space="preserve"> </w:t>
      </w:r>
      <w:r>
        <w:rPr>
          <w:rFonts w:ascii="Calibri" w:hAnsi="Calibri"/>
          <w:color w:val="001F60"/>
        </w:rPr>
        <w:t>nº</w:t>
      </w:r>
      <w:r>
        <w:rPr>
          <w:rFonts w:ascii="Calibri" w:hAnsi="Calibri"/>
          <w:color w:val="001F60"/>
          <w:spacing w:val="-3"/>
        </w:rPr>
        <w:t xml:space="preserve"> </w:t>
      </w:r>
      <w:r>
        <w:rPr>
          <w:rFonts w:ascii="Calibri" w:hAnsi="Calibri"/>
          <w:color w:val="001F60"/>
        </w:rPr>
        <w:t>5.792,</w:t>
      </w:r>
      <w:r>
        <w:rPr>
          <w:rFonts w:ascii="Calibri" w:hAnsi="Calibri"/>
          <w:color w:val="001F60"/>
          <w:spacing w:val="-1"/>
        </w:rPr>
        <w:t xml:space="preserve"> </w:t>
      </w:r>
      <w:r>
        <w:rPr>
          <w:rFonts w:ascii="Calibri" w:hAnsi="Calibri"/>
          <w:color w:val="001F60"/>
        </w:rPr>
        <w:t>de</w:t>
      </w:r>
      <w:r>
        <w:rPr>
          <w:rFonts w:ascii="Calibri" w:hAnsi="Calibri"/>
          <w:color w:val="001F60"/>
          <w:spacing w:val="-3"/>
        </w:rPr>
        <w:t xml:space="preserve"> </w:t>
      </w:r>
      <w:r>
        <w:rPr>
          <w:rFonts w:ascii="Calibri" w:hAnsi="Calibri"/>
          <w:color w:val="001F60"/>
        </w:rPr>
        <w:t>1972,</w:t>
      </w:r>
      <w:r>
        <w:rPr>
          <w:rFonts w:ascii="Calibri" w:hAnsi="Calibri"/>
          <w:color w:val="001F60"/>
          <w:spacing w:val="-1"/>
        </w:rPr>
        <w:t xml:space="preserve"> </w:t>
      </w:r>
      <w:r>
        <w:rPr>
          <w:rFonts w:ascii="Calibri" w:hAnsi="Calibri"/>
          <w:color w:val="001F60"/>
        </w:rPr>
        <w:t>a</w:t>
      </w:r>
      <w:r>
        <w:rPr>
          <w:rFonts w:ascii="Calibri" w:hAnsi="Calibri"/>
          <w:color w:val="001F60"/>
          <w:spacing w:val="-1"/>
        </w:rPr>
        <w:t xml:space="preserve"> </w:t>
      </w:r>
      <w:r>
        <w:rPr>
          <w:rFonts w:ascii="Calibri" w:hAnsi="Calibri"/>
          <w:color w:val="001F60"/>
        </w:rPr>
        <w:t>Telebras</w:t>
      </w:r>
      <w:r>
        <w:rPr>
          <w:rFonts w:ascii="Calibri" w:hAnsi="Calibri"/>
          <w:color w:val="001F60"/>
          <w:spacing w:val="-1"/>
        </w:rPr>
        <w:t xml:space="preserve"> </w:t>
      </w:r>
      <w:r>
        <w:rPr>
          <w:rFonts w:ascii="Calibri" w:hAnsi="Calibri"/>
          <w:color w:val="001F60"/>
        </w:rPr>
        <w:t>empresa</w:t>
      </w:r>
      <w:r>
        <w:rPr>
          <w:rFonts w:ascii="Calibri" w:hAnsi="Calibri"/>
          <w:color w:val="001F60"/>
          <w:spacing w:val="-3"/>
        </w:rPr>
        <w:t xml:space="preserve"> </w:t>
      </w:r>
      <w:r>
        <w:rPr>
          <w:rFonts w:ascii="Calibri" w:hAnsi="Calibri"/>
          <w:color w:val="001F60"/>
        </w:rPr>
        <w:t>é autorizada</w:t>
      </w:r>
      <w:r>
        <w:rPr>
          <w:rFonts w:ascii="Calibri" w:hAnsi="Calibri"/>
          <w:color w:val="001F60"/>
          <w:spacing w:val="-6"/>
        </w:rPr>
        <w:t xml:space="preserve"> </w:t>
      </w:r>
      <w:r>
        <w:rPr>
          <w:rFonts w:ascii="Calibri" w:hAnsi="Calibri"/>
          <w:color w:val="001F60"/>
        </w:rPr>
        <w:t>pela</w:t>
      </w:r>
      <w:r>
        <w:rPr>
          <w:rFonts w:ascii="Calibri" w:hAnsi="Calibri"/>
          <w:color w:val="001F60"/>
          <w:spacing w:val="-8"/>
        </w:rPr>
        <w:t xml:space="preserve"> </w:t>
      </w:r>
      <w:r>
        <w:rPr>
          <w:rFonts w:ascii="Calibri" w:hAnsi="Calibri"/>
          <w:color w:val="001F60"/>
        </w:rPr>
        <w:t>Anatel</w:t>
      </w:r>
      <w:r>
        <w:rPr>
          <w:rFonts w:ascii="Calibri" w:hAnsi="Calibri"/>
          <w:color w:val="001F60"/>
          <w:spacing w:val="-8"/>
        </w:rPr>
        <w:t xml:space="preserve"> </w:t>
      </w:r>
      <w:r>
        <w:rPr>
          <w:rFonts w:ascii="Calibri" w:hAnsi="Calibri"/>
          <w:color w:val="001F60"/>
        </w:rPr>
        <w:t>para</w:t>
      </w:r>
      <w:r>
        <w:rPr>
          <w:rFonts w:ascii="Calibri" w:hAnsi="Calibri"/>
          <w:color w:val="001F60"/>
          <w:spacing w:val="-10"/>
        </w:rPr>
        <w:t xml:space="preserve"> </w:t>
      </w:r>
      <w:r>
        <w:rPr>
          <w:rFonts w:ascii="Calibri" w:hAnsi="Calibri"/>
          <w:color w:val="001F60"/>
        </w:rPr>
        <w:t>a</w:t>
      </w:r>
      <w:r>
        <w:rPr>
          <w:rFonts w:ascii="Calibri" w:hAnsi="Calibri"/>
          <w:color w:val="001F60"/>
          <w:spacing w:val="-6"/>
        </w:rPr>
        <w:t xml:space="preserve"> </w:t>
      </w:r>
      <w:r>
        <w:rPr>
          <w:rFonts w:ascii="Calibri" w:hAnsi="Calibri"/>
          <w:color w:val="001F60"/>
        </w:rPr>
        <w:t>prestar</w:t>
      </w:r>
      <w:r>
        <w:rPr>
          <w:rFonts w:ascii="Calibri" w:hAnsi="Calibri"/>
          <w:color w:val="001F60"/>
          <w:spacing w:val="-10"/>
        </w:rPr>
        <w:t xml:space="preserve"> </w:t>
      </w:r>
      <w:r>
        <w:rPr>
          <w:rFonts w:ascii="Calibri" w:hAnsi="Calibri"/>
          <w:color w:val="001F60"/>
        </w:rPr>
        <w:t>o</w:t>
      </w:r>
      <w:r>
        <w:rPr>
          <w:rFonts w:ascii="Calibri" w:hAnsi="Calibri"/>
          <w:color w:val="001F60"/>
          <w:spacing w:val="-6"/>
        </w:rPr>
        <w:t xml:space="preserve"> </w:t>
      </w:r>
      <w:r>
        <w:rPr>
          <w:rFonts w:ascii="Calibri" w:hAnsi="Calibri"/>
          <w:color w:val="001F60"/>
        </w:rPr>
        <w:t>Serviço</w:t>
      </w:r>
      <w:r>
        <w:rPr>
          <w:rFonts w:ascii="Calibri" w:hAnsi="Calibri"/>
          <w:color w:val="001F60"/>
          <w:spacing w:val="-10"/>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Comunicação</w:t>
      </w:r>
      <w:r>
        <w:rPr>
          <w:rFonts w:ascii="Calibri" w:hAnsi="Calibri"/>
          <w:color w:val="001F60"/>
          <w:spacing w:val="-8"/>
        </w:rPr>
        <w:t xml:space="preserve"> </w:t>
      </w:r>
      <w:r>
        <w:rPr>
          <w:rFonts w:ascii="Calibri" w:hAnsi="Calibri"/>
          <w:color w:val="001F60"/>
        </w:rPr>
        <w:t>Multimídia</w:t>
      </w:r>
      <w:r>
        <w:rPr>
          <w:rFonts w:ascii="Calibri" w:hAnsi="Calibri"/>
          <w:color w:val="001F60"/>
          <w:spacing w:val="-8"/>
        </w:rPr>
        <w:t xml:space="preserve"> </w:t>
      </w:r>
      <w:r>
        <w:rPr>
          <w:rFonts w:ascii="Calibri" w:hAnsi="Calibri"/>
          <w:color w:val="001F60"/>
        </w:rPr>
        <w:t>(SCM),</w:t>
      </w:r>
      <w:r>
        <w:rPr>
          <w:rFonts w:ascii="Calibri" w:hAnsi="Calibri"/>
          <w:color w:val="001F60"/>
          <w:spacing w:val="-10"/>
        </w:rPr>
        <w:t xml:space="preserve"> </w:t>
      </w:r>
      <w:r>
        <w:rPr>
          <w:rFonts w:ascii="Calibri" w:hAnsi="Calibri"/>
          <w:color w:val="001F60"/>
        </w:rPr>
        <w:t>por</w:t>
      </w:r>
      <w:r>
        <w:rPr>
          <w:rFonts w:ascii="Calibri" w:hAnsi="Calibri"/>
          <w:color w:val="001F60"/>
          <w:spacing w:val="-10"/>
        </w:rPr>
        <w:t xml:space="preserve"> </w:t>
      </w:r>
      <w:r>
        <w:rPr>
          <w:rFonts w:ascii="Calibri" w:hAnsi="Calibri"/>
          <w:color w:val="001F60"/>
        </w:rPr>
        <w:t>meio</w:t>
      </w:r>
      <w:r>
        <w:rPr>
          <w:rFonts w:ascii="Calibri" w:hAnsi="Calibri"/>
          <w:color w:val="001F60"/>
          <w:spacing w:val="-7"/>
        </w:rPr>
        <w:t xml:space="preserve"> </w:t>
      </w:r>
      <w:r>
        <w:rPr>
          <w:rFonts w:ascii="Calibri" w:hAnsi="Calibri"/>
          <w:color w:val="001F60"/>
        </w:rPr>
        <w:t>do</w:t>
      </w:r>
      <w:r>
        <w:rPr>
          <w:rFonts w:ascii="Calibri" w:hAnsi="Calibri"/>
          <w:color w:val="001F60"/>
          <w:spacing w:val="-7"/>
        </w:rPr>
        <w:t xml:space="preserve"> </w:t>
      </w:r>
      <w:r>
        <w:rPr>
          <w:rFonts w:ascii="Calibri" w:hAnsi="Calibri"/>
          <w:color w:val="001F60"/>
        </w:rPr>
        <w:t>Termo PVST/SPV nº 118/2011, publicado no Diário Oficial da União em 7 de abril de 2011.</w:t>
      </w:r>
    </w:p>
    <w:p w14:paraId="71BAD07D" w14:textId="77777777" w:rsidR="002C6574" w:rsidRDefault="00000000">
      <w:pPr>
        <w:pStyle w:val="Corpodetexto"/>
        <w:spacing w:before="121"/>
        <w:ind w:left="709" w:right="276"/>
        <w:jc w:val="both"/>
        <w:rPr>
          <w:rFonts w:ascii="Calibri" w:hAnsi="Calibri"/>
        </w:rPr>
      </w:pPr>
      <w:r>
        <w:rPr>
          <w:rFonts w:ascii="Calibri" w:hAnsi="Calibri"/>
          <w:color w:val="001F60"/>
        </w:rPr>
        <w:t>A Telebras atua como executora de políticas públicas de conectividade e como provedora de infraestrutura</w:t>
      </w:r>
      <w:r>
        <w:rPr>
          <w:rFonts w:ascii="Calibri" w:hAnsi="Calibri"/>
          <w:color w:val="001F60"/>
          <w:spacing w:val="-6"/>
        </w:rPr>
        <w:t xml:space="preserve"> </w:t>
      </w:r>
      <w:r>
        <w:rPr>
          <w:rFonts w:ascii="Calibri" w:hAnsi="Calibri"/>
          <w:color w:val="001F60"/>
        </w:rPr>
        <w:t>essencial</w:t>
      </w:r>
      <w:r>
        <w:rPr>
          <w:rFonts w:ascii="Calibri" w:hAnsi="Calibri"/>
          <w:color w:val="001F60"/>
          <w:spacing w:val="-2"/>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telecomunicações</w:t>
      </w:r>
      <w:r>
        <w:rPr>
          <w:rFonts w:ascii="Calibri" w:hAnsi="Calibri"/>
          <w:color w:val="001F60"/>
          <w:spacing w:val="-5"/>
        </w:rPr>
        <w:t xml:space="preserve"> </w:t>
      </w:r>
      <w:r>
        <w:rPr>
          <w:rFonts w:ascii="Calibri" w:hAnsi="Calibri"/>
          <w:color w:val="001F60"/>
        </w:rPr>
        <w:t>para</w:t>
      </w:r>
      <w:r>
        <w:rPr>
          <w:rFonts w:ascii="Calibri" w:hAnsi="Calibri"/>
          <w:color w:val="001F60"/>
          <w:spacing w:val="-4"/>
        </w:rPr>
        <w:t xml:space="preserve"> </w:t>
      </w:r>
      <w:r>
        <w:rPr>
          <w:rFonts w:ascii="Calibri" w:hAnsi="Calibri"/>
          <w:color w:val="001F60"/>
        </w:rPr>
        <w:t>o</w:t>
      </w:r>
      <w:r>
        <w:rPr>
          <w:rFonts w:ascii="Calibri" w:hAnsi="Calibri"/>
          <w:color w:val="001F60"/>
          <w:spacing w:val="-2"/>
        </w:rPr>
        <w:t xml:space="preserve"> </w:t>
      </w:r>
      <w:r>
        <w:rPr>
          <w:rFonts w:ascii="Calibri" w:hAnsi="Calibri"/>
          <w:color w:val="001F60"/>
        </w:rPr>
        <w:t>Estado</w:t>
      </w:r>
      <w:r>
        <w:rPr>
          <w:rFonts w:ascii="Calibri" w:hAnsi="Calibri"/>
          <w:color w:val="001F60"/>
          <w:spacing w:val="-4"/>
        </w:rPr>
        <w:t xml:space="preserve"> </w:t>
      </w:r>
      <w:r>
        <w:rPr>
          <w:rFonts w:ascii="Calibri" w:hAnsi="Calibri"/>
          <w:color w:val="001F60"/>
        </w:rPr>
        <w:t>brasileiro,</w:t>
      </w:r>
      <w:r>
        <w:rPr>
          <w:rFonts w:ascii="Calibri" w:hAnsi="Calibri"/>
          <w:color w:val="001F60"/>
          <w:spacing w:val="-2"/>
        </w:rPr>
        <w:t xml:space="preserve"> </w:t>
      </w:r>
      <w:r>
        <w:rPr>
          <w:rFonts w:ascii="Calibri" w:hAnsi="Calibri"/>
          <w:color w:val="001F60"/>
        </w:rPr>
        <w:t>contribuindo</w:t>
      </w:r>
      <w:r>
        <w:rPr>
          <w:rFonts w:ascii="Calibri" w:hAnsi="Calibri"/>
          <w:color w:val="001F60"/>
          <w:spacing w:val="-2"/>
        </w:rPr>
        <w:t xml:space="preserve"> </w:t>
      </w:r>
      <w:r>
        <w:rPr>
          <w:rFonts w:ascii="Calibri" w:hAnsi="Calibri"/>
          <w:color w:val="001F60"/>
        </w:rPr>
        <w:t>diretamente</w:t>
      </w:r>
      <w:r>
        <w:rPr>
          <w:rFonts w:ascii="Calibri" w:hAnsi="Calibri"/>
          <w:color w:val="001F60"/>
          <w:spacing w:val="-4"/>
        </w:rPr>
        <w:t xml:space="preserve"> </w:t>
      </w:r>
      <w:r>
        <w:rPr>
          <w:rFonts w:ascii="Calibri" w:hAnsi="Calibri"/>
          <w:color w:val="001F60"/>
        </w:rPr>
        <w:t>para a oferta</w:t>
      </w:r>
      <w:r>
        <w:rPr>
          <w:rFonts w:ascii="Calibri" w:hAnsi="Calibri"/>
          <w:color w:val="001F60"/>
          <w:spacing w:val="-4"/>
        </w:rPr>
        <w:t xml:space="preserve"> </w:t>
      </w:r>
      <w:r>
        <w:rPr>
          <w:rFonts w:ascii="Calibri" w:hAnsi="Calibri"/>
          <w:color w:val="001F60"/>
        </w:rPr>
        <w:t>de</w:t>
      </w:r>
      <w:r>
        <w:rPr>
          <w:rFonts w:ascii="Calibri" w:hAnsi="Calibri"/>
          <w:color w:val="001F60"/>
          <w:spacing w:val="-3"/>
        </w:rPr>
        <w:t xml:space="preserve"> </w:t>
      </w:r>
      <w:r>
        <w:rPr>
          <w:rFonts w:ascii="Calibri" w:hAnsi="Calibri"/>
          <w:color w:val="001F60"/>
        </w:rPr>
        <w:t>serviços públicos à</w:t>
      </w:r>
      <w:r>
        <w:rPr>
          <w:rFonts w:ascii="Calibri" w:hAnsi="Calibri"/>
          <w:color w:val="001F60"/>
          <w:spacing w:val="-4"/>
        </w:rPr>
        <w:t xml:space="preserve"> </w:t>
      </w:r>
      <w:r>
        <w:rPr>
          <w:rFonts w:ascii="Calibri" w:hAnsi="Calibri"/>
          <w:color w:val="001F60"/>
        </w:rPr>
        <w:t>sociedade.</w:t>
      </w:r>
      <w:r>
        <w:rPr>
          <w:rFonts w:ascii="Calibri" w:hAnsi="Calibri"/>
          <w:color w:val="001F60"/>
          <w:spacing w:val="-3"/>
        </w:rPr>
        <w:t xml:space="preserve"> </w:t>
      </w:r>
      <w:r>
        <w:rPr>
          <w:rFonts w:ascii="Calibri" w:hAnsi="Calibri"/>
          <w:color w:val="001F60"/>
        </w:rPr>
        <w:t>Suas responsabilidades incluem ampliar o</w:t>
      </w:r>
      <w:r>
        <w:rPr>
          <w:rFonts w:ascii="Calibri" w:hAnsi="Calibri"/>
          <w:color w:val="001F60"/>
          <w:spacing w:val="-2"/>
        </w:rPr>
        <w:t xml:space="preserve"> </w:t>
      </w:r>
      <w:r>
        <w:rPr>
          <w:rFonts w:ascii="Calibri" w:hAnsi="Calibri"/>
          <w:color w:val="001F60"/>
        </w:rPr>
        <w:t>acesso à</w:t>
      </w:r>
      <w:r>
        <w:rPr>
          <w:rFonts w:ascii="Calibri" w:hAnsi="Calibri"/>
          <w:color w:val="001F60"/>
          <w:spacing w:val="-2"/>
        </w:rPr>
        <w:t xml:space="preserve"> </w:t>
      </w:r>
      <w:r>
        <w:rPr>
          <w:rFonts w:ascii="Calibri" w:hAnsi="Calibri"/>
          <w:color w:val="001F60"/>
        </w:rPr>
        <w:t>internet em regiões remotas, apoiar iniciativas de inclusão digital e assegurar soluções de comunicação para órgãos</w:t>
      </w:r>
      <w:r>
        <w:rPr>
          <w:rFonts w:ascii="Calibri" w:hAnsi="Calibri"/>
          <w:color w:val="001F60"/>
          <w:spacing w:val="-8"/>
        </w:rPr>
        <w:t xml:space="preserve"> </w:t>
      </w:r>
      <w:r>
        <w:rPr>
          <w:rFonts w:ascii="Calibri" w:hAnsi="Calibri"/>
          <w:color w:val="001F60"/>
        </w:rPr>
        <w:t>e</w:t>
      </w:r>
      <w:r>
        <w:rPr>
          <w:rFonts w:ascii="Calibri" w:hAnsi="Calibri"/>
          <w:color w:val="001F60"/>
          <w:spacing w:val="-8"/>
        </w:rPr>
        <w:t xml:space="preserve"> </w:t>
      </w:r>
      <w:r>
        <w:rPr>
          <w:rFonts w:ascii="Calibri" w:hAnsi="Calibri"/>
          <w:color w:val="001F60"/>
        </w:rPr>
        <w:t>entidades</w:t>
      </w:r>
      <w:r>
        <w:rPr>
          <w:rFonts w:ascii="Calibri" w:hAnsi="Calibri"/>
          <w:color w:val="001F60"/>
          <w:spacing w:val="-6"/>
        </w:rPr>
        <w:t xml:space="preserve"> </w:t>
      </w:r>
      <w:r>
        <w:rPr>
          <w:rFonts w:ascii="Calibri" w:hAnsi="Calibri"/>
          <w:color w:val="001F60"/>
        </w:rPr>
        <w:t>da</w:t>
      </w:r>
      <w:r>
        <w:rPr>
          <w:rFonts w:ascii="Calibri" w:hAnsi="Calibri"/>
          <w:color w:val="001F60"/>
          <w:spacing w:val="-10"/>
        </w:rPr>
        <w:t xml:space="preserve"> </w:t>
      </w:r>
      <w:r>
        <w:rPr>
          <w:rFonts w:ascii="Calibri" w:hAnsi="Calibri"/>
          <w:color w:val="001F60"/>
        </w:rPr>
        <w:t>Administração</w:t>
      </w:r>
      <w:r>
        <w:rPr>
          <w:rFonts w:ascii="Calibri" w:hAnsi="Calibri"/>
          <w:color w:val="001F60"/>
          <w:spacing w:val="-12"/>
        </w:rPr>
        <w:t xml:space="preserve"> </w:t>
      </w:r>
      <w:r>
        <w:rPr>
          <w:rFonts w:ascii="Calibri" w:hAnsi="Calibri"/>
          <w:color w:val="001F60"/>
        </w:rPr>
        <w:t>Pública</w:t>
      </w:r>
      <w:r>
        <w:rPr>
          <w:rFonts w:ascii="Calibri" w:hAnsi="Calibri"/>
          <w:color w:val="001F60"/>
          <w:spacing w:val="-8"/>
        </w:rPr>
        <w:t xml:space="preserve"> </w:t>
      </w:r>
      <w:r>
        <w:rPr>
          <w:rFonts w:ascii="Calibri" w:hAnsi="Calibri"/>
          <w:color w:val="001F60"/>
        </w:rPr>
        <w:t>Federal.</w:t>
      </w:r>
      <w:r>
        <w:rPr>
          <w:rFonts w:ascii="Calibri" w:hAnsi="Calibri"/>
          <w:color w:val="001F60"/>
          <w:spacing w:val="-8"/>
        </w:rPr>
        <w:t xml:space="preserve"> </w:t>
      </w:r>
      <w:r>
        <w:rPr>
          <w:rFonts w:ascii="Calibri" w:hAnsi="Calibri"/>
          <w:color w:val="001F60"/>
        </w:rPr>
        <w:t>Além</w:t>
      </w:r>
      <w:r>
        <w:rPr>
          <w:rFonts w:ascii="Calibri" w:hAnsi="Calibri"/>
          <w:color w:val="001F60"/>
          <w:spacing w:val="-6"/>
        </w:rPr>
        <w:t xml:space="preserve"> </w:t>
      </w:r>
      <w:r>
        <w:rPr>
          <w:rFonts w:ascii="Calibri" w:hAnsi="Calibri"/>
          <w:color w:val="001F60"/>
        </w:rPr>
        <w:t>disso,</w:t>
      </w:r>
      <w:r>
        <w:rPr>
          <w:rFonts w:ascii="Calibri" w:hAnsi="Calibri"/>
          <w:color w:val="001F60"/>
          <w:spacing w:val="-6"/>
        </w:rPr>
        <w:t xml:space="preserve"> </w:t>
      </w:r>
      <w:r>
        <w:rPr>
          <w:rFonts w:ascii="Calibri" w:hAnsi="Calibri"/>
          <w:color w:val="001F60"/>
        </w:rPr>
        <w:t>a</w:t>
      </w:r>
      <w:r>
        <w:rPr>
          <w:rFonts w:ascii="Calibri" w:hAnsi="Calibri"/>
          <w:color w:val="001F60"/>
          <w:spacing w:val="-10"/>
        </w:rPr>
        <w:t xml:space="preserve"> </w:t>
      </w:r>
      <w:r>
        <w:rPr>
          <w:rFonts w:ascii="Calibri" w:hAnsi="Calibri"/>
          <w:color w:val="001F60"/>
        </w:rPr>
        <w:t>Telebras</w:t>
      </w:r>
      <w:r>
        <w:rPr>
          <w:rFonts w:ascii="Calibri" w:hAnsi="Calibri"/>
          <w:color w:val="001F60"/>
          <w:spacing w:val="-8"/>
        </w:rPr>
        <w:t xml:space="preserve"> </w:t>
      </w:r>
      <w:r>
        <w:rPr>
          <w:rFonts w:ascii="Calibri" w:hAnsi="Calibri"/>
          <w:color w:val="001F60"/>
        </w:rPr>
        <w:t>também</w:t>
      </w:r>
      <w:r>
        <w:rPr>
          <w:rFonts w:ascii="Calibri" w:hAnsi="Calibri"/>
          <w:color w:val="001F60"/>
          <w:spacing w:val="-8"/>
        </w:rPr>
        <w:t xml:space="preserve"> </w:t>
      </w:r>
      <w:r>
        <w:rPr>
          <w:rFonts w:ascii="Calibri" w:hAnsi="Calibri"/>
          <w:color w:val="001F60"/>
        </w:rPr>
        <w:t>atua</w:t>
      </w:r>
      <w:r>
        <w:rPr>
          <w:rFonts w:ascii="Calibri" w:hAnsi="Calibri"/>
          <w:color w:val="001F60"/>
          <w:spacing w:val="-10"/>
        </w:rPr>
        <w:t xml:space="preserve"> </w:t>
      </w:r>
      <w:r>
        <w:rPr>
          <w:rFonts w:ascii="Calibri" w:hAnsi="Calibri"/>
          <w:color w:val="001F60"/>
        </w:rPr>
        <w:t>na</w:t>
      </w:r>
      <w:r>
        <w:rPr>
          <w:rFonts w:ascii="Calibri" w:hAnsi="Calibri"/>
          <w:color w:val="001F60"/>
          <w:spacing w:val="-6"/>
        </w:rPr>
        <w:t xml:space="preserve"> </w:t>
      </w:r>
      <w:r>
        <w:rPr>
          <w:rFonts w:ascii="Calibri" w:hAnsi="Calibri"/>
          <w:color w:val="001F60"/>
        </w:rPr>
        <w:t>provisão de infraestrutura e redes de suporte para serviços de telecomunicações, incluindo atendimento a empresas privadas, como provedores de internet.</w:t>
      </w:r>
    </w:p>
    <w:p w14:paraId="26DD4518" w14:textId="77777777" w:rsidR="002C6574" w:rsidRDefault="00000000">
      <w:pPr>
        <w:pStyle w:val="Corpodetexto"/>
        <w:spacing w:before="119"/>
        <w:ind w:left="709" w:right="277"/>
        <w:jc w:val="both"/>
        <w:rPr>
          <w:rFonts w:ascii="Calibri" w:hAnsi="Calibri"/>
        </w:rPr>
      </w:pPr>
      <w:r>
        <w:rPr>
          <w:rFonts w:ascii="Calibri" w:hAnsi="Calibri"/>
          <w:color w:val="001F60"/>
        </w:rPr>
        <w:t>A</w:t>
      </w:r>
      <w:r>
        <w:rPr>
          <w:rFonts w:ascii="Calibri" w:hAnsi="Calibri"/>
          <w:color w:val="001F60"/>
          <w:spacing w:val="-9"/>
        </w:rPr>
        <w:t xml:space="preserve"> </w:t>
      </w:r>
      <w:r>
        <w:rPr>
          <w:rFonts w:ascii="Calibri" w:hAnsi="Calibri"/>
          <w:color w:val="001F60"/>
        </w:rPr>
        <w:t>Companhia</w:t>
      </w:r>
      <w:r>
        <w:rPr>
          <w:rFonts w:ascii="Calibri" w:hAnsi="Calibri"/>
          <w:color w:val="001F60"/>
          <w:spacing w:val="-7"/>
        </w:rPr>
        <w:t xml:space="preserve"> </w:t>
      </w:r>
      <w:r>
        <w:rPr>
          <w:rFonts w:ascii="Calibri" w:hAnsi="Calibri"/>
          <w:color w:val="001F60"/>
        </w:rPr>
        <w:t>disponibiliza</w:t>
      </w:r>
      <w:r>
        <w:rPr>
          <w:rFonts w:ascii="Calibri" w:hAnsi="Calibri"/>
          <w:color w:val="001F60"/>
          <w:spacing w:val="-10"/>
        </w:rPr>
        <w:t xml:space="preserve"> </w:t>
      </w:r>
      <w:r>
        <w:rPr>
          <w:rFonts w:ascii="Calibri" w:hAnsi="Calibri"/>
          <w:color w:val="001F60"/>
        </w:rPr>
        <w:t>capacidade</w:t>
      </w:r>
      <w:r>
        <w:rPr>
          <w:rFonts w:ascii="Calibri" w:hAnsi="Calibri"/>
          <w:color w:val="001F60"/>
          <w:spacing w:val="-7"/>
        </w:rPr>
        <w:t xml:space="preserve"> </w:t>
      </w:r>
      <w:r>
        <w:rPr>
          <w:rFonts w:ascii="Calibri" w:hAnsi="Calibri"/>
          <w:color w:val="001F60"/>
        </w:rPr>
        <w:t>de</w:t>
      </w:r>
      <w:r>
        <w:rPr>
          <w:rFonts w:ascii="Calibri" w:hAnsi="Calibri"/>
          <w:color w:val="001F60"/>
          <w:spacing w:val="-9"/>
        </w:rPr>
        <w:t xml:space="preserve"> </w:t>
      </w:r>
      <w:r>
        <w:rPr>
          <w:rFonts w:ascii="Calibri" w:hAnsi="Calibri"/>
          <w:color w:val="001F60"/>
        </w:rPr>
        <w:t>rede</w:t>
      </w:r>
      <w:r>
        <w:rPr>
          <w:rFonts w:ascii="Calibri" w:hAnsi="Calibri"/>
          <w:color w:val="001F60"/>
          <w:spacing w:val="-9"/>
        </w:rPr>
        <w:t xml:space="preserve"> </w:t>
      </w:r>
      <w:r>
        <w:rPr>
          <w:rFonts w:ascii="Calibri" w:hAnsi="Calibri"/>
          <w:color w:val="001F60"/>
        </w:rPr>
        <w:t>terrestre</w:t>
      </w:r>
      <w:r>
        <w:rPr>
          <w:rFonts w:ascii="Calibri" w:hAnsi="Calibri"/>
          <w:color w:val="001F60"/>
          <w:spacing w:val="-7"/>
        </w:rPr>
        <w:t xml:space="preserve"> </w:t>
      </w:r>
      <w:r>
        <w:rPr>
          <w:rFonts w:ascii="Calibri" w:hAnsi="Calibri"/>
          <w:color w:val="001F60"/>
        </w:rPr>
        <w:t>e</w:t>
      </w:r>
      <w:r>
        <w:rPr>
          <w:rFonts w:ascii="Calibri" w:hAnsi="Calibri"/>
          <w:color w:val="001F60"/>
          <w:spacing w:val="-9"/>
        </w:rPr>
        <w:t xml:space="preserve"> </w:t>
      </w:r>
      <w:r>
        <w:rPr>
          <w:rFonts w:ascii="Calibri" w:hAnsi="Calibri"/>
          <w:color w:val="001F60"/>
        </w:rPr>
        <w:t>satelital</w:t>
      </w:r>
      <w:r>
        <w:rPr>
          <w:rFonts w:ascii="Calibri" w:hAnsi="Calibri"/>
          <w:color w:val="001F60"/>
          <w:spacing w:val="-9"/>
        </w:rPr>
        <w:t xml:space="preserve"> </w:t>
      </w:r>
      <w:r>
        <w:rPr>
          <w:rFonts w:ascii="Calibri" w:hAnsi="Calibri"/>
          <w:color w:val="001F60"/>
        </w:rPr>
        <w:t>para</w:t>
      </w:r>
      <w:r>
        <w:rPr>
          <w:rFonts w:ascii="Calibri" w:hAnsi="Calibri"/>
          <w:color w:val="001F60"/>
          <w:spacing w:val="-10"/>
        </w:rPr>
        <w:t xml:space="preserve"> </w:t>
      </w:r>
      <w:r>
        <w:rPr>
          <w:rFonts w:ascii="Calibri" w:hAnsi="Calibri"/>
          <w:color w:val="001F60"/>
        </w:rPr>
        <w:t>iniciativas</w:t>
      </w:r>
      <w:r>
        <w:rPr>
          <w:rFonts w:ascii="Calibri" w:hAnsi="Calibri"/>
          <w:color w:val="001F60"/>
          <w:spacing w:val="-7"/>
        </w:rPr>
        <w:t xml:space="preserve"> </w:t>
      </w:r>
      <w:r>
        <w:rPr>
          <w:rFonts w:ascii="Calibri" w:hAnsi="Calibri"/>
          <w:color w:val="001F60"/>
        </w:rPr>
        <w:t>governamentais</w:t>
      </w:r>
      <w:r>
        <w:rPr>
          <w:rFonts w:ascii="Calibri" w:hAnsi="Calibri"/>
          <w:color w:val="001F60"/>
          <w:spacing w:val="-9"/>
        </w:rPr>
        <w:t xml:space="preserve"> </w:t>
      </w:r>
      <w:r>
        <w:rPr>
          <w:rFonts w:ascii="Calibri" w:hAnsi="Calibri"/>
          <w:color w:val="001F60"/>
        </w:rPr>
        <w:t>nas áreas de educação, saúde, segurança pública, assistência social, meio ambiente, fronteiras e demais serviços</w:t>
      </w:r>
      <w:r>
        <w:rPr>
          <w:rFonts w:ascii="Calibri" w:hAnsi="Calibri"/>
          <w:color w:val="001F60"/>
          <w:spacing w:val="-13"/>
        </w:rPr>
        <w:t xml:space="preserve"> </w:t>
      </w:r>
      <w:r>
        <w:rPr>
          <w:rFonts w:ascii="Calibri" w:hAnsi="Calibri"/>
          <w:color w:val="001F60"/>
        </w:rPr>
        <w:t>essenciais.</w:t>
      </w:r>
      <w:r>
        <w:rPr>
          <w:rFonts w:ascii="Calibri" w:hAnsi="Calibri"/>
          <w:color w:val="001F60"/>
          <w:spacing w:val="-12"/>
        </w:rPr>
        <w:t xml:space="preserve"> </w:t>
      </w:r>
      <w:r>
        <w:rPr>
          <w:rFonts w:ascii="Calibri" w:hAnsi="Calibri"/>
          <w:color w:val="001F60"/>
        </w:rPr>
        <w:t>Dessa</w:t>
      </w:r>
      <w:r>
        <w:rPr>
          <w:rFonts w:ascii="Calibri" w:hAnsi="Calibri"/>
          <w:color w:val="001F60"/>
          <w:spacing w:val="-13"/>
        </w:rPr>
        <w:t xml:space="preserve"> </w:t>
      </w:r>
      <w:r>
        <w:rPr>
          <w:rFonts w:ascii="Calibri" w:hAnsi="Calibri"/>
          <w:color w:val="001F60"/>
        </w:rPr>
        <w:t>forma,</w:t>
      </w:r>
      <w:r>
        <w:rPr>
          <w:rFonts w:ascii="Calibri" w:hAnsi="Calibri"/>
          <w:color w:val="001F60"/>
          <w:spacing w:val="-12"/>
        </w:rPr>
        <w:t xml:space="preserve"> </w:t>
      </w:r>
      <w:r>
        <w:rPr>
          <w:rFonts w:ascii="Calibri" w:hAnsi="Calibri"/>
          <w:color w:val="001F60"/>
        </w:rPr>
        <w:t>viabiliza</w:t>
      </w:r>
      <w:r>
        <w:rPr>
          <w:rFonts w:ascii="Calibri" w:hAnsi="Calibri"/>
          <w:color w:val="001F60"/>
          <w:spacing w:val="-13"/>
        </w:rPr>
        <w:t xml:space="preserve"> </w:t>
      </w:r>
      <w:r>
        <w:rPr>
          <w:rFonts w:ascii="Calibri" w:hAnsi="Calibri"/>
          <w:color w:val="001F60"/>
        </w:rPr>
        <w:t>o</w:t>
      </w:r>
      <w:r>
        <w:rPr>
          <w:rFonts w:ascii="Calibri" w:hAnsi="Calibri"/>
          <w:color w:val="001F60"/>
          <w:spacing w:val="-12"/>
        </w:rPr>
        <w:t xml:space="preserve"> </w:t>
      </w:r>
      <w:r>
        <w:rPr>
          <w:rFonts w:ascii="Calibri" w:hAnsi="Calibri"/>
          <w:color w:val="001F60"/>
        </w:rPr>
        <w:t>atendimento</w:t>
      </w:r>
      <w:r>
        <w:rPr>
          <w:rFonts w:ascii="Calibri" w:hAnsi="Calibri"/>
          <w:color w:val="001F60"/>
          <w:spacing w:val="-13"/>
        </w:rPr>
        <w:t xml:space="preserve"> </w:t>
      </w:r>
      <w:r>
        <w:rPr>
          <w:rFonts w:ascii="Calibri" w:hAnsi="Calibri"/>
          <w:color w:val="001F60"/>
        </w:rPr>
        <w:t>à</w:t>
      </w:r>
      <w:r>
        <w:rPr>
          <w:rFonts w:ascii="Calibri" w:hAnsi="Calibri"/>
          <w:color w:val="001F60"/>
          <w:spacing w:val="-12"/>
        </w:rPr>
        <w:t xml:space="preserve"> </w:t>
      </w:r>
      <w:r>
        <w:rPr>
          <w:rFonts w:ascii="Calibri" w:hAnsi="Calibri"/>
          <w:color w:val="001F60"/>
        </w:rPr>
        <w:t>população</w:t>
      </w:r>
      <w:r>
        <w:rPr>
          <w:rFonts w:ascii="Calibri" w:hAnsi="Calibri"/>
          <w:color w:val="001F60"/>
          <w:spacing w:val="-12"/>
        </w:rPr>
        <w:t xml:space="preserve"> </w:t>
      </w:r>
      <w:r>
        <w:rPr>
          <w:rFonts w:ascii="Calibri" w:hAnsi="Calibri"/>
          <w:color w:val="001F60"/>
        </w:rPr>
        <w:t>em</w:t>
      </w:r>
      <w:r>
        <w:rPr>
          <w:rFonts w:ascii="Calibri" w:hAnsi="Calibri"/>
          <w:color w:val="001F60"/>
          <w:spacing w:val="-13"/>
        </w:rPr>
        <w:t xml:space="preserve"> </w:t>
      </w:r>
      <w:r>
        <w:rPr>
          <w:rFonts w:ascii="Calibri" w:hAnsi="Calibri"/>
          <w:color w:val="001F60"/>
        </w:rPr>
        <w:t>regiões</w:t>
      </w:r>
      <w:r>
        <w:rPr>
          <w:rFonts w:ascii="Calibri" w:hAnsi="Calibri"/>
          <w:color w:val="001F60"/>
          <w:spacing w:val="-12"/>
        </w:rPr>
        <w:t xml:space="preserve"> </w:t>
      </w:r>
      <w:r>
        <w:rPr>
          <w:rFonts w:ascii="Calibri" w:hAnsi="Calibri"/>
          <w:color w:val="001F60"/>
        </w:rPr>
        <w:t>onde</w:t>
      </w:r>
      <w:r>
        <w:rPr>
          <w:rFonts w:ascii="Calibri" w:hAnsi="Calibri"/>
          <w:color w:val="001F60"/>
          <w:spacing w:val="-13"/>
        </w:rPr>
        <w:t xml:space="preserve"> </w:t>
      </w:r>
      <w:r>
        <w:rPr>
          <w:rFonts w:ascii="Calibri" w:hAnsi="Calibri"/>
          <w:color w:val="001F60"/>
        </w:rPr>
        <w:t>a</w:t>
      </w:r>
      <w:r>
        <w:rPr>
          <w:rFonts w:ascii="Calibri" w:hAnsi="Calibri"/>
          <w:color w:val="001F60"/>
          <w:spacing w:val="-12"/>
        </w:rPr>
        <w:t xml:space="preserve"> </w:t>
      </w:r>
      <w:r>
        <w:rPr>
          <w:rFonts w:ascii="Calibri" w:hAnsi="Calibri"/>
          <w:color w:val="001F60"/>
        </w:rPr>
        <w:t>oferta</w:t>
      </w:r>
      <w:r>
        <w:rPr>
          <w:rFonts w:ascii="Calibri" w:hAnsi="Calibri"/>
          <w:color w:val="001F60"/>
          <w:spacing w:val="-13"/>
        </w:rPr>
        <w:t xml:space="preserve"> </w:t>
      </w:r>
      <w:r>
        <w:rPr>
          <w:rFonts w:ascii="Calibri" w:hAnsi="Calibri"/>
          <w:color w:val="001F60"/>
        </w:rPr>
        <w:t>privada é</w:t>
      </w:r>
      <w:r>
        <w:rPr>
          <w:rFonts w:ascii="Calibri" w:hAnsi="Calibri"/>
          <w:color w:val="001F60"/>
          <w:spacing w:val="-2"/>
        </w:rPr>
        <w:t xml:space="preserve"> </w:t>
      </w:r>
      <w:r>
        <w:rPr>
          <w:rFonts w:ascii="Calibri" w:hAnsi="Calibri"/>
          <w:color w:val="001F60"/>
        </w:rPr>
        <w:t>limitada</w:t>
      </w:r>
      <w:r>
        <w:rPr>
          <w:rFonts w:ascii="Calibri" w:hAnsi="Calibri"/>
          <w:color w:val="001F60"/>
          <w:spacing w:val="-4"/>
        </w:rPr>
        <w:t xml:space="preserve"> </w:t>
      </w:r>
      <w:r>
        <w:rPr>
          <w:rFonts w:ascii="Calibri" w:hAnsi="Calibri"/>
          <w:color w:val="001F60"/>
        </w:rPr>
        <w:t>ou</w:t>
      </w:r>
      <w:r>
        <w:rPr>
          <w:rFonts w:ascii="Calibri" w:hAnsi="Calibri"/>
          <w:color w:val="001F60"/>
          <w:spacing w:val="-2"/>
        </w:rPr>
        <w:t xml:space="preserve"> </w:t>
      </w:r>
      <w:r>
        <w:rPr>
          <w:rFonts w:ascii="Calibri" w:hAnsi="Calibri"/>
          <w:color w:val="001F60"/>
        </w:rPr>
        <w:t>economicamente</w:t>
      </w:r>
      <w:r>
        <w:rPr>
          <w:rFonts w:ascii="Calibri" w:hAnsi="Calibri"/>
          <w:color w:val="001F60"/>
          <w:spacing w:val="-2"/>
        </w:rPr>
        <w:t xml:space="preserve"> </w:t>
      </w:r>
      <w:r>
        <w:rPr>
          <w:rFonts w:ascii="Calibri" w:hAnsi="Calibri"/>
          <w:color w:val="001F60"/>
        </w:rPr>
        <w:t>inviável</w:t>
      </w:r>
      <w:r>
        <w:rPr>
          <w:rFonts w:ascii="Calibri" w:hAnsi="Calibri"/>
          <w:color w:val="001F60"/>
          <w:spacing w:val="-4"/>
        </w:rPr>
        <w:t xml:space="preserve"> </w:t>
      </w:r>
      <w:r>
        <w:rPr>
          <w:rFonts w:ascii="Calibri" w:hAnsi="Calibri"/>
          <w:color w:val="001F60"/>
        </w:rPr>
        <w:t>e</w:t>
      </w:r>
      <w:r>
        <w:rPr>
          <w:rFonts w:ascii="Calibri" w:hAnsi="Calibri"/>
          <w:color w:val="001F60"/>
          <w:spacing w:val="-2"/>
        </w:rPr>
        <w:t xml:space="preserve"> </w:t>
      </w:r>
      <w:r>
        <w:rPr>
          <w:rFonts w:ascii="Calibri" w:hAnsi="Calibri"/>
          <w:color w:val="001F60"/>
        </w:rPr>
        <w:t>contribui</w:t>
      </w:r>
      <w:r>
        <w:rPr>
          <w:rFonts w:ascii="Calibri" w:hAnsi="Calibri"/>
          <w:color w:val="001F60"/>
          <w:spacing w:val="-2"/>
        </w:rPr>
        <w:t xml:space="preserve"> </w:t>
      </w:r>
      <w:r>
        <w:rPr>
          <w:rFonts w:ascii="Calibri" w:hAnsi="Calibri"/>
          <w:color w:val="001F60"/>
        </w:rPr>
        <w:t>para</w:t>
      </w:r>
      <w:r>
        <w:rPr>
          <w:rFonts w:ascii="Calibri" w:hAnsi="Calibri"/>
          <w:color w:val="001F60"/>
          <w:spacing w:val="-2"/>
        </w:rPr>
        <w:t xml:space="preserve"> </w:t>
      </w:r>
      <w:r>
        <w:rPr>
          <w:rFonts w:ascii="Calibri" w:hAnsi="Calibri"/>
          <w:color w:val="001F60"/>
        </w:rPr>
        <w:t>a</w:t>
      </w:r>
      <w:r>
        <w:rPr>
          <w:rFonts w:ascii="Calibri" w:hAnsi="Calibri"/>
          <w:color w:val="001F60"/>
          <w:spacing w:val="-2"/>
        </w:rPr>
        <w:t xml:space="preserve"> </w:t>
      </w:r>
      <w:r>
        <w:rPr>
          <w:rFonts w:ascii="Calibri" w:hAnsi="Calibri"/>
          <w:color w:val="001F60"/>
        </w:rPr>
        <w:t>redução</w:t>
      </w:r>
      <w:r>
        <w:rPr>
          <w:rFonts w:ascii="Calibri" w:hAnsi="Calibri"/>
          <w:color w:val="001F60"/>
          <w:spacing w:val="-2"/>
        </w:rPr>
        <w:t xml:space="preserve"> </w:t>
      </w:r>
      <w:r>
        <w:rPr>
          <w:rFonts w:ascii="Calibri" w:hAnsi="Calibri"/>
          <w:color w:val="001F60"/>
        </w:rPr>
        <w:t>das</w:t>
      </w:r>
      <w:r>
        <w:rPr>
          <w:rFonts w:ascii="Calibri" w:hAnsi="Calibri"/>
          <w:color w:val="001F60"/>
          <w:spacing w:val="-2"/>
        </w:rPr>
        <w:t xml:space="preserve"> </w:t>
      </w:r>
      <w:r>
        <w:rPr>
          <w:rFonts w:ascii="Calibri" w:hAnsi="Calibri"/>
          <w:color w:val="001F60"/>
        </w:rPr>
        <w:t>desigualdades regionais</w:t>
      </w:r>
      <w:r>
        <w:rPr>
          <w:rFonts w:ascii="Calibri" w:hAnsi="Calibri"/>
          <w:color w:val="001F60"/>
          <w:spacing w:val="-4"/>
        </w:rPr>
        <w:t xml:space="preserve"> </w:t>
      </w:r>
      <w:r>
        <w:rPr>
          <w:rFonts w:ascii="Calibri" w:hAnsi="Calibri"/>
          <w:color w:val="001F60"/>
        </w:rPr>
        <w:t>e</w:t>
      </w:r>
      <w:r>
        <w:rPr>
          <w:rFonts w:ascii="Calibri" w:hAnsi="Calibri"/>
          <w:color w:val="001F60"/>
          <w:spacing w:val="-2"/>
        </w:rPr>
        <w:t xml:space="preserve"> </w:t>
      </w:r>
      <w:r>
        <w:rPr>
          <w:rFonts w:ascii="Calibri" w:hAnsi="Calibri"/>
          <w:color w:val="001F60"/>
        </w:rPr>
        <w:t>para o fortalecimento da cidadania.</w:t>
      </w:r>
    </w:p>
    <w:p w14:paraId="11B082F6" w14:textId="77777777" w:rsidR="002C6574" w:rsidRDefault="00000000">
      <w:pPr>
        <w:pStyle w:val="Corpodetexto"/>
        <w:spacing w:before="121"/>
        <w:ind w:left="709" w:right="276"/>
        <w:jc w:val="both"/>
        <w:rPr>
          <w:rFonts w:ascii="Calibri" w:hAnsi="Calibri"/>
        </w:rPr>
      </w:pPr>
      <w:r>
        <w:rPr>
          <w:rFonts w:ascii="Calibri" w:hAnsi="Calibri"/>
          <w:color w:val="001F60"/>
        </w:rPr>
        <w:t>A</w:t>
      </w:r>
      <w:r>
        <w:rPr>
          <w:rFonts w:ascii="Calibri" w:hAnsi="Calibri"/>
          <w:color w:val="001F60"/>
          <w:spacing w:val="-2"/>
        </w:rPr>
        <w:t xml:space="preserve"> </w:t>
      </w:r>
      <w:r>
        <w:rPr>
          <w:rFonts w:ascii="Calibri" w:hAnsi="Calibri"/>
          <w:color w:val="001F60"/>
        </w:rPr>
        <w:t>Telebras</w:t>
      </w:r>
      <w:r>
        <w:rPr>
          <w:rFonts w:ascii="Calibri" w:hAnsi="Calibri"/>
          <w:color w:val="001F60"/>
          <w:spacing w:val="-2"/>
        </w:rPr>
        <w:t xml:space="preserve"> </w:t>
      </w:r>
      <w:r>
        <w:rPr>
          <w:rFonts w:ascii="Calibri" w:hAnsi="Calibri"/>
          <w:color w:val="001F60"/>
        </w:rPr>
        <w:t>também</w:t>
      </w:r>
      <w:r>
        <w:rPr>
          <w:rFonts w:ascii="Calibri" w:hAnsi="Calibri"/>
          <w:color w:val="001F60"/>
          <w:spacing w:val="-4"/>
        </w:rPr>
        <w:t xml:space="preserve"> </w:t>
      </w:r>
      <w:r>
        <w:rPr>
          <w:rFonts w:ascii="Calibri" w:hAnsi="Calibri"/>
          <w:color w:val="001F60"/>
        </w:rPr>
        <w:t>é</w:t>
      </w:r>
      <w:r>
        <w:rPr>
          <w:rFonts w:ascii="Calibri" w:hAnsi="Calibri"/>
          <w:color w:val="001F60"/>
          <w:spacing w:val="-4"/>
        </w:rPr>
        <w:t xml:space="preserve"> </w:t>
      </w:r>
      <w:r>
        <w:rPr>
          <w:rFonts w:ascii="Calibri" w:hAnsi="Calibri"/>
          <w:color w:val="001F60"/>
        </w:rPr>
        <w:t>responsável</w:t>
      </w:r>
      <w:r>
        <w:rPr>
          <w:rFonts w:ascii="Calibri" w:hAnsi="Calibri"/>
          <w:color w:val="001F60"/>
          <w:spacing w:val="-5"/>
        </w:rPr>
        <w:t xml:space="preserve"> </w:t>
      </w:r>
      <w:r>
        <w:rPr>
          <w:rFonts w:ascii="Calibri" w:hAnsi="Calibri"/>
          <w:color w:val="001F60"/>
        </w:rPr>
        <w:t>pelo</w:t>
      </w:r>
      <w:r>
        <w:rPr>
          <w:rFonts w:ascii="Calibri" w:hAnsi="Calibri"/>
          <w:color w:val="001F60"/>
          <w:spacing w:val="-4"/>
        </w:rPr>
        <w:t xml:space="preserve"> </w:t>
      </w:r>
      <w:r>
        <w:rPr>
          <w:rFonts w:ascii="Calibri" w:hAnsi="Calibri"/>
          <w:color w:val="001F60"/>
        </w:rPr>
        <w:t>suporte</w:t>
      </w:r>
      <w:r>
        <w:rPr>
          <w:rFonts w:ascii="Calibri" w:hAnsi="Calibri"/>
          <w:color w:val="001F60"/>
          <w:spacing w:val="-4"/>
        </w:rPr>
        <w:t xml:space="preserve"> </w:t>
      </w:r>
      <w:r>
        <w:rPr>
          <w:rFonts w:ascii="Calibri" w:hAnsi="Calibri"/>
          <w:color w:val="001F60"/>
        </w:rPr>
        <w:t>e</w:t>
      </w:r>
      <w:r>
        <w:rPr>
          <w:rFonts w:ascii="Calibri" w:hAnsi="Calibri"/>
          <w:color w:val="001F60"/>
          <w:spacing w:val="-2"/>
        </w:rPr>
        <w:t xml:space="preserve"> </w:t>
      </w:r>
      <w:r>
        <w:rPr>
          <w:rFonts w:ascii="Calibri" w:hAnsi="Calibri"/>
          <w:color w:val="001F60"/>
        </w:rPr>
        <w:t>pela</w:t>
      </w:r>
      <w:r>
        <w:rPr>
          <w:rFonts w:ascii="Calibri" w:hAnsi="Calibri"/>
          <w:color w:val="001F60"/>
          <w:spacing w:val="-5"/>
        </w:rPr>
        <w:t xml:space="preserve"> </w:t>
      </w:r>
      <w:r>
        <w:rPr>
          <w:rFonts w:ascii="Calibri" w:hAnsi="Calibri"/>
          <w:color w:val="001F60"/>
        </w:rPr>
        <w:t>operação</w:t>
      </w:r>
      <w:r>
        <w:rPr>
          <w:rFonts w:ascii="Calibri" w:hAnsi="Calibri"/>
          <w:color w:val="001F60"/>
          <w:spacing w:val="-2"/>
        </w:rPr>
        <w:t xml:space="preserve"> </w:t>
      </w:r>
      <w:r>
        <w:rPr>
          <w:rFonts w:ascii="Calibri" w:hAnsi="Calibri"/>
          <w:color w:val="001F60"/>
        </w:rPr>
        <w:t>da</w:t>
      </w:r>
      <w:r>
        <w:rPr>
          <w:rFonts w:ascii="Calibri" w:hAnsi="Calibri"/>
          <w:color w:val="001F60"/>
          <w:spacing w:val="-4"/>
        </w:rPr>
        <w:t xml:space="preserve"> </w:t>
      </w:r>
      <w:r>
        <w:rPr>
          <w:rFonts w:ascii="Calibri" w:hAnsi="Calibri"/>
          <w:color w:val="001F60"/>
        </w:rPr>
        <w:t>Rede</w:t>
      </w:r>
      <w:r>
        <w:rPr>
          <w:rFonts w:ascii="Calibri" w:hAnsi="Calibri"/>
          <w:color w:val="001F60"/>
          <w:spacing w:val="-4"/>
        </w:rPr>
        <w:t xml:space="preserve"> </w:t>
      </w:r>
      <w:r>
        <w:rPr>
          <w:rFonts w:ascii="Calibri" w:hAnsi="Calibri"/>
          <w:color w:val="001F60"/>
        </w:rPr>
        <w:t>Privativa</w:t>
      </w:r>
      <w:r>
        <w:rPr>
          <w:rFonts w:ascii="Calibri" w:hAnsi="Calibri"/>
          <w:color w:val="001F60"/>
          <w:spacing w:val="-5"/>
        </w:rPr>
        <w:t xml:space="preserve"> </w:t>
      </w:r>
      <w:r>
        <w:rPr>
          <w:rFonts w:ascii="Calibri" w:hAnsi="Calibri"/>
          <w:color w:val="001F60"/>
        </w:rPr>
        <w:t>de</w:t>
      </w:r>
      <w:r>
        <w:rPr>
          <w:rFonts w:ascii="Calibri" w:hAnsi="Calibri"/>
          <w:color w:val="001F60"/>
          <w:spacing w:val="-2"/>
        </w:rPr>
        <w:t xml:space="preserve"> </w:t>
      </w:r>
      <w:r>
        <w:rPr>
          <w:rFonts w:ascii="Calibri" w:hAnsi="Calibri"/>
          <w:color w:val="001F60"/>
        </w:rPr>
        <w:t>Comunicação da Administração</w:t>
      </w:r>
      <w:r>
        <w:rPr>
          <w:rFonts w:ascii="Calibri" w:hAnsi="Calibri"/>
          <w:color w:val="001F60"/>
          <w:spacing w:val="-7"/>
        </w:rPr>
        <w:t xml:space="preserve"> </w:t>
      </w:r>
      <w:r>
        <w:rPr>
          <w:rFonts w:ascii="Calibri" w:hAnsi="Calibri"/>
          <w:color w:val="001F60"/>
        </w:rPr>
        <w:t>Pública</w:t>
      </w:r>
      <w:r>
        <w:rPr>
          <w:rFonts w:ascii="Calibri" w:hAnsi="Calibri"/>
          <w:color w:val="001F60"/>
          <w:spacing w:val="-8"/>
        </w:rPr>
        <w:t xml:space="preserve"> </w:t>
      </w:r>
      <w:r>
        <w:rPr>
          <w:rFonts w:ascii="Calibri" w:hAnsi="Calibri"/>
          <w:color w:val="001F60"/>
        </w:rPr>
        <w:t>Federal</w:t>
      </w:r>
      <w:r>
        <w:rPr>
          <w:rFonts w:ascii="Calibri" w:hAnsi="Calibri"/>
          <w:color w:val="001F60"/>
          <w:spacing w:val="-6"/>
        </w:rPr>
        <w:t xml:space="preserve"> </w:t>
      </w:r>
      <w:r>
        <w:rPr>
          <w:rFonts w:ascii="Calibri" w:hAnsi="Calibri"/>
          <w:color w:val="001F60"/>
        </w:rPr>
        <w:t>(RPCAPF),</w:t>
      </w:r>
      <w:r>
        <w:rPr>
          <w:rFonts w:ascii="Calibri" w:hAnsi="Calibri"/>
          <w:color w:val="001F60"/>
          <w:spacing w:val="-6"/>
        </w:rPr>
        <w:t xml:space="preserve"> </w:t>
      </w:r>
      <w:r>
        <w:rPr>
          <w:rFonts w:ascii="Calibri" w:hAnsi="Calibri"/>
          <w:color w:val="001F60"/>
        </w:rPr>
        <w:t>infraestrutura</w:t>
      </w:r>
      <w:r>
        <w:rPr>
          <w:rFonts w:ascii="Calibri" w:hAnsi="Calibri"/>
          <w:color w:val="001F60"/>
          <w:spacing w:val="-6"/>
        </w:rPr>
        <w:t xml:space="preserve"> </w:t>
      </w:r>
      <w:r>
        <w:rPr>
          <w:rFonts w:ascii="Calibri" w:hAnsi="Calibri"/>
          <w:color w:val="001F60"/>
        </w:rPr>
        <w:t>crítica</w:t>
      </w:r>
      <w:r>
        <w:rPr>
          <w:rFonts w:ascii="Calibri" w:hAnsi="Calibri"/>
          <w:color w:val="001F60"/>
          <w:spacing w:val="-8"/>
        </w:rPr>
        <w:t xml:space="preserve"> </w:t>
      </w:r>
      <w:r>
        <w:rPr>
          <w:rFonts w:ascii="Calibri" w:hAnsi="Calibri"/>
          <w:color w:val="001F60"/>
        </w:rPr>
        <w:t>destinada</w:t>
      </w:r>
      <w:r>
        <w:rPr>
          <w:rFonts w:ascii="Calibri" w:hAnsi="Calibri"/>
          <w:color w:val="001F60"/>
          <w:spacing w:val="-6"/>
        </w:rPr>
        <w:t xml:space="preserve"> </w:t>
      </w:r>
      <w:r>
        <w:rPr>
          <w:rFonts w:ascii="Calibri" w:hAnsi="Calibri"/>
          <w:color w:val="001F60"/>
        </w:rPr>
        <w:t>à</w:t>
      </w:r>
      <w:r>
        <w:rPr>
          <w:rFonts w:ascii="Calibri" w:hAnsi="Calibri"/>
          <w:color w:val="001F60"/>
          <w:spacing w:val="-8"/>
        </w:rPr>
        <w:t xml:space="preserve"> </w:t>
      </w:r>
      <w:r>
        <w:rPr>
          <w:rFonts w:ascii="Calibri" w:hAnsi="Calibri"/>
          <w:color w:val="001F60"/>
        </w:rPr>
        <w:t>segurança</w:t>
      </w:r>
      <w:r>
        <w:rPr>
          <w:rFonts w:ascii="Calibri" w:hAnsi="Calibri"/>
          <w:color w:val="001F60"/>
          <w:spacing w:val="-8"/>
        </w:rPr>
        <w:t xml:space="preserve"> </w:t>
      </w:r>
      <w:r>
        <w:rPr>
          <w:rFonts w:ascii="Calibri" w:hAnsi="Calibri"/>
          <w:color w:val="001F60"/>
        </w:rPr>
        <w:t>da</w:t>
      </w:r>
      <w:r>
        <w:rPr>
          <w:rFonts w:ascii="Calibri" w:hAnsi="Calibri"/>
          <w:color w:val="001F60"/>
          <w:spacing w:val="-6"/>
        </w:rPr>
        <w:t xml:space="preserve"> </w:t>
      </w:r>
      <w:r>
        <w:rPr>
          <w:rFonts w:ascii="Calibri" w:hAnsi="Calibri"/>
          <w:color w:val="001F60"/>
        </w:rPr>
        <w:t>informação,</w:t>
      </w:r>
      <w:r>
        <w:rPr>
          <w:rFonts w:ascii="Calibri" w:hAnsi="Calibri"/>
          <w:color w:val="001F60"/>
          <w:spacing w:val="-8"/>
        </w:rPr>
        <w:t xml:space="preserve"> </w:t>
      </w:r>
      <w:r>
        <w:rPr>
          <w:rFonts w:ascii="Calibri" w:hAnsi="Calibri"/>
          <w:color w:val="001F60"/>
        </w:rPr>
        <w:t>à comunicação estratégica entre órgãos governamentais e ao funcionamento de serviços públicos sensíveis.</w:t>
      </w:r>
      <w:r>
        <w:rPr>
          <w:rFonts w:ascii="Calibri" w:hAnsi="Calibri"/>
          <w:color w:val="001F60"/>
          <w:spacing w:val="-1"/>
        </w:rPr>
        <w:t xml:space="preserve"> </w:t>
      </w:r>
      <w:r>
        <w:rPr>
          <w:rFonts w:ascii="Calibri" w:hAnsi="Calibri"/>
          <w:color w:val="001F60"/>
        </w:rPr>
        <w:t>Essa</w:t>
      </w:r>
      <w:r>
        <w:rPr>
          <w:rFonts w:ascii="Calibri" w:hAnsi="Calibri"/>
          <w:color w:val="001F60"/>
          <w:spacing w:val="-1"/>
        </w:rPr>
        <w:t xml:space="preserve"> </w:t>
      </w:r>
      <w:r>
        <w:rPr>
          <w:rFonts w:ascii="Calibri" w:hAnsi="Calibri"/>
          <w:color w:val="001F60"/>
        </w:rPr>
        <w:t>atuação</w:t>
      </w:r>
      <w:r>
        <w:rPr>
          <w:rFonts w:ascii="Calibri" w:hAnsi="Calibri"/>
          <w:color w:val="001F60"/>
          <w:spacing w:val="-1"/>
        </w:rPr>
        <w:t xml:space="preserve"> </w:t>
      </w:r>
      <w:r>
        <w:rPr>
          <w:rFonts w:ascii="Calibri" w:hAnsi="Calibri"/>
          <w:color w:val="001F60"/>
        </w:rPr>
        <w:t>reforça</w:t>
      </w:r>
      <w:r>
        <w:rPr>
          <w:rFonts w:ascii="Calibri" w:hAnsi="Calibri"/>
          <w:color w:val="001F60"/>
          <w:spacing w:val="-5"/>
        </w:rPr>
        <w:t xml:space="preserve"> </w:t>
      </w:r>
      <w:r>
        <w:rPr>
          <w:rFonts w:ascii="Calibri" w:hAnsi="Calibri"/>
          <w:color w:val="001F60"/>
        </w:rPr>
        <w:t>o papel</w:t>
      </w:r>
      <w:r>
        <w:rPr>
          <w:rFonts w:ascii="Calibri" w:hAnsi="Calibri"/>
          <w:color w:val="001F60"/>
          <w:spacing w:val="-1"/>
        </w:rPr>
        <w:t xml:space="preserve"> </w:t>
      </w:r>
      <w:r>
        <w:rPr>
          <w:rFonts w:ascii="Calibri" w:hAnsi="Calibri"/>
          <w:color w:val="001F60"/>
        </w:rPr>
        <w:t>da</w:t>
      </w:r>
      <w:r>
        <w:rPr>
          <w:rFonts w:ascii="Calibri" w:hAnsi="Calibri"/>
          <w:color w:val="001F60"/>
          <w:spacing w:val="-1"/>
        </w:rPr>
        <w:t xml:space="preserve"> </w:t>
      </w:r>
      <w:r>
        <w:rPr>
          <w:rFonts w:ascii="Calibri" w:hAnsi="Calibri"/>
          <w:color w:val="001F60"/>
        </w:rPr>
        <w:t>Companhia</w:t>
      </w:r>
      <w:r>
        <w:rPr>
          <w:rFonts w:ascii="Calibri" w:hAnsi="Calibri"/>
          <w:color w:val="001F60"/>
          <w:spacing w:val="-1"/>
        </w:rPr>
        <w:t xml:space="preserve"> </w:t>
      </w:r>
      <w:r>
        <w:rPr>
          <w:rFonts w:ascii="Calibri" w:hAnsi="Calibri"/>
          <w:color w:val="001F60"/>
        </w:rPr>
        <w:t>na</w:t>
      </w:r>
      <w:r>
        <w:rPr>
          <w:rFonts w:ascii="Calibri" w:hAnsi="Calibri"/>
          <w:color w:val="001F60"/>
          <w:spacing w:val="-1"/>
        </w:rPr>
        <w:t xml:space="preserve"> </w:t>
      </w:r>
      <w:r>
        <w:rPr>
          <w:rFonts w:ascii="Calibri" w:hAnsi="Calibri"/>
          <w:color w:val="001F60"/>
        </w:rPr>
        <w:t>soberania</w:t>
      </w:r>
      <w:r>
        <w:rPr>
          <w:rFonts w:ascii="Calibri" w:hAnsi="Calibri"/>
          <w:color w:val="001F60"/>
          <w:spacing w:val="-1"/>
        </w:rPr>
        <w:t xml:space="preserve"> </w:t>
      </w:r>
      <w:r>
        <w:rPr>
          <w:rFonts w:ascii="Calibri" w:hAnsi="Calibri"/>
          <w:color w:val="001F60"/>
        </w:rPr>
        <w:t>digital,</w:t>
      </w:r>
      <w:r>
        <w:rPr>
          <w:rFonts w:ascii="Calibri" w:hAnsi="Calibri"/>
          <w:color w:val="001F60"/>
          <w:spacing w:val="-1"/>
        </w:rPr>
        <w:t xml:space="preserve"> </w:t>
      </w:r>
      <w:r>
        <w:rPr>
          <w:rFonts w:ascii="Calibri" w:hAnsi="Calibri"/>
          <w:color w:val="001F60"/>
        </w:rPr>
        <w:t>na</w:t>
      </w:r>
      <w:r>
        <w:rPr>
          <w:rFonts w:ascii="Calibri" w:hAnsi="Calibri"/>
          <w:color w:val="001F60"/>
          <w:spacing w:val="-3"/>
        </w:rPr>
        <w:t xml:space="preserve"> </w:t>
      </w:r>
      <w:r>
        <w:rPr>
          <w:rFonts w:ascii="Calibri" w:hAnsi="Calibri"/>
          <w:color w:val="001F60"/>
        </w:rPr>
        <w:t>proteção</w:t>
      </w:r>
      <w:r>
        <w:rPr>
          <w:rFonts w:ascii="Calibri" w:hAnsi="Calibri"/>
          <w:color w:val="001F60"/>
          <w:spacing w:val="-1"/>
        </w:rPr>
        <w:t xml:space="preserve"> </w:t>
      </w:r>
      <w:r>
        <w:rPr>
          <w:rFonts w:ascii="Calibri" w:hAnsi="Calibri"/>
          <w:color w:val="001F60"/>
        </w:rPr>
        <w:t>de</w:t>
      </w:r>
      <w:r>
        <w:rPr>
          <w:rFonts w:ascii="Calibri" w:hAnsi="Calibri"/>
          <w:color w:val="001F60"/>
          <w:spacing w:val="-1"/>
        </w:rPr>
        <w:t xml:space="preserve"> </w:t>
      </w:r>
      <w:r>
        <w:rPr>
          <w:rFonts w:ascii="Calibri" w:hAnsi="Calibri"/>
          <w:color w:val="001F60"/>
        </w:rPr>
        <w:t>dados</w:t>
      </w:r>
      <w:r>
        <w:rPr>
          <w:rFonts w:ascii="Calibri" w:hAnsi="Calibri"/>
          <w:color w:val="001F60"/>
          <w:spacing w:val="-5"/>
        </w:rPr>
        <w:t xml:space="preserve"> </w:t>
      </w:r>
      <w:r>
        <w:rPr>
          <w:rFonts w:ascii="Calibri" w:hAnsi="Calibri"/>
          <w:color w:val="001F60"/>
        </w:rPr>
        <w:t>e</w:t>
      </w:r>
      <w:r>
        <w:rPr>
          <w:rFonts w:ascii="Calibri" w:hAnsi="Calibri"/>
          <w:color w:val="001F60"/>
          <w:spacing w:val="-1"/>
        </w:rPr>
        <w:t xml:space="preserve"> </w:t>
      </w:r>
      <w:r>
        <w:rPr>
          <w:rFonts w:ascii="Calibri" w:hAnsi="Calibri"/>
          <w:color w:val="001F60"/>
        </w:rPr>
        <w:t>na garantia de comunicações seguras para o Estado brasileiro.</w:t>
      </w:r>
    </w:p>
    <w:p w14:paraId="3B9CD7A8" w14:textId="77777777" w:rsidR="002C6574" w:rsidRDefault="00000000">
      <w:pPr>
        <w:pStyle w:val="Corpodetexto"/>
        <w:spacing w:before="119"/>
        <w:ind w:left="709" w:right="277"/>
        <w:jc w:val="both"/>
        <w:rPr>
          <w:rFonts w:ascii="Calibri" w:hAnsi="Calibri"/>
        </w:rPr>
      </w:pPr>
      <w:r>
        <w:rPr>
          <w:rFonts w:ascii="Calibri" w:hAnsi="Calibri"/>
          <w:color w:val="001F60"/>
        </w:rPr>
        <w:t>No apoio às políticas públicas federais, a Telebras contribui para a conectividade de escolas por</w:t>
      </w:r>
      <w:r>
        <w:rPr>
          <w:rFonts w:ascii="Calibri" w:hAnsi="Calibri"/>
          <w:color w:val="001F60"/>
          <w:spacing w:val="-1"/>
        </w:rPr>
        <w:t xml:space="preserve"> </w:t>
      </w:r>
      <w:r>
        <w:rPr>
          <w:rFonts w:ascii="Calibri" w:hAnsi="Calibri"/>
          <w:color w:val="001F60"/>
        </w:rPr>
        <w:t>meio da</w:t>
      </w:r>
      <w:r>
        <w:rPr>
          <w:rFonts w:ascii="Calibri" w:hAnsi="Calibri"/>
          <w:color w:val="001F60"/>
          <w:spacing w:val="-4"/>
        </w:rPr>
        <w:t xml:space="preserve"> </w:t>
      </w:r>
      <w:r>
        <w:rPr>
          <w:rFonts w:ascii="Calibri" w:hAnsi="Calibri"/>
          <w:color w:val="001F60"/>
        </w:rPr>
        <w:t>parceria</w:t>
      </w:r>
      <w:r>
        <w:rPr>
          <w:rFonts w:ascii="Calibri" w:hAnsi="Calibri"/>
          <w:color w:val="001F60"/>
          <w:spacing w:val="-4"/>
        </w:rPr>
        <w:t xml:space="preserve"> </w:t>
      </w:r>
      <w:r>
        <w:rPr>
          <w:rFonts w:ascii="Calibri" w:hAnsi="Calibri"/>
          <w:color w:val="001F60"/>
        </w:rPr>
        <w:t>com</w:t>
      </w:r>
      <w:r>
        <w:rPr>
          <w:rFonts w:ascii="Calibri" w:hAnsi="Calibri"/>
          <w:color w:val="001F60"/>
          <w:spacing w:val="-4"/>
        </w:rPr>
        <w:t xml:space="preserve"> </w:t>
      </w:r>
      <w:r>
        <w:rPr>
          <w:rFonts w:ascii="Calibri" w:hAnsi="Calibri"/>
          <w:color w:val="001F60"/>
        </w:rPr>
        <w:t>a</w:t>
      </w:r>
      <w:r>
        <w:rPr>
          <w:rFonts w:ascii="Calibri" w:hAnsi="Calibri"/>
          <w:color w:val="001F60"/>
          <w:spacing w:val="-4"/>
        </w:rPr>
        <w:t xml:space="preserve"> </w:t>
      </w:r>
      <w:r>
        <w:rPr>
          <w:rFonts w:ascii="Calibri" w:hAnsi="Calibri"/>
          <w:color w:val="001F60"/>
        </w:rPr>
        <w:t>Entidade</w:t>
      </w:r>
      <w:r>
        <w:rPr>
          <w:rFonts w:ascii="Calibri" w:hAnsi="Calibri"/>
          <w:color w:val="001F60"/>
          <w:spacing w:val="-5"/>
        </w:rPr>
        <w:t xml:space="preserve"> </w:t>
      </w:r>
      <w:r>
        <w:rPr>
          <w:rFonts w:ascii="Calibri" w:hAnsi="Calibri"/>
          <w:color w:val="001F60"/>
        </w:rPr>
        <w:t>Administradora</w:t>
      </w:r>
      <w:r>
        <w:rPr>
          <w:rFonts w:ascii="Calibri" w:hAnsi="Calibri"/>
          <w:color w:val="001F60"/>
          <w:spacing w:val="-4"/>
        </w:rPr>
        <w:t xml:space="preserve"> </w:t>
      </w:r>
      <w:r>
        <w:rPr>
          <w:rFonts w:ascii="Calibri" w:hAnsi="Calibri"/>
          <w:color w:val="001F60"/>
        </w:rPr>
        <w:t>da</w:t>
      </w:r>
      <w:r>
        <w:rPr>
          <w:rFonts w:ascii="Calibri" w:hAnsi="Calibri"/>
          <w:color w:val="001F60"/>
          <w:spacing w:val="-4"/>
        </w:rPr>
        <w:t xml:space="preserve"> </w:t>
      </w:r>
      <w:r>
        <w:rPr>
          <w:rFonts w:ascii="Calibri" w:hAnsi="Calibri"/>
          <w:color w:val="001F60"/>
        </w:rPr>
        <w:t>Conectividade</w:t>
      </w:r>
      <w:r>
        <w:rPr>
          <w:rFonts w:ascii="Calibri" w:hAnsi="Calibri"/>
          <w:color w:val="001F60"/>
          <w:spacing w:val="-4"/>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Escolas</w:t>
      </w:r>
      <w:r>
        <w:rPr>
          <w:rFonts w:ascii="Calibri" w:hAnsi="Calibri"/>
          <w:color w:val="001F60"/>
          <w:spacing w:val="-4"/>
        </w:rPr>
        <w:t xml:space="preserve"> </w:t>
      </w:r>
      <w:r>
        <w:rPr>
          <w:rFonts w:ascii="Calibri" w:hAnsi="Calibri"/>
          <w:color w:val="001F60"/>
        </w:rPr>
        <w:t>(EACE),</w:t>
      </w:r>
      <w:r>
        <w:rPr>
          <w:rFonts w:ascii="Calibri" w:hAnsi="Calibri"/>
          <w:color w:val="001F60"/>
          <w:spacing w:val="-4"/>
        </w:rPr>
        <w:t xml:space="preserve"> </w:t>
      </w:r>
      <w:r>
        <w:rPr>
          <w:rFonts w:ascii="Calibri" w:hAnsi="Calibri"/>
          <w:color w:val="001F60"/>
        </w:rPr>
        <w:t>no</w:t>
      </w:r>
      <w:r>
        <w:rPr>
          <w:rFonts w:ascii="Calibri" w:hAnsi="Calibri"/>
          <w:color w:val="001F60"/>
          <w:spacing w:val="-4"/>
        </w:rPr>
        <w:t xml:space="preserve"> </w:t>
      </w:r>
      <w:r>
        <w:rPr>
          <w:rFonts w:ascii="Calibri" w:hAnsi="Calibri"/>
          <w:color w:val="001F60"/>
        </w:rPr>
        <w:t>âmbito</w:t>
      </w:r>
      <w:r>
        <w:rPr>
          <w:rFonts w:ascii="Calibri" w:hAnsi="Calibri"/>
          <w:color w:val="001F60"/>
          <w:spacing w:val="-5"/>
        </w:rPr>
        <w:t xml:space="preserve"> </w:t>
      </w:r>
      <w:r>
        <w:rPr>
          <w:rFonts w:ascii="Calibri" w:hAnsi="Calibri"/>
          <w:color w:val="001F60"/>
        </w:rPr>
        <w:t>do</w:t>
      </w:r>
      <w:r>
        <w:rPr>
          <w:rFonts w:ascii="Calibri" w:hAnsi="Calibri"/>
          <w:color w:val="001F60"/>
          <w:spacing w:val="-5"/>
        </w:rPr>
        <w:t xml:space="preserve"> </w:t>
      </w:r>
      <w:r>
        <w:rPr>
          <w:rFonts w:ascii="Calibri" w:hAnsi="Calibri"/>
          <w:color w:val="001F60"/>
        </w:rPr>
        <w:t>Projeto Aprender Conectado, além de prover conectividade para unidades de saúde, centros comunitários, equipamentos de cidadania e outras estruturas públicas distribuídas pelo território nacional.</w:t>
      </w:r>
    </w:p>
    <w:p w14:paraId="0B0A1C08" w14:textId="77777777" w:rsidR="002C6574" w:rsidRDefault="00000000">
      <w:pPr>
        <w:pStyle w:val="Corpodetexto"/>
        <w:spacing w:before="121"/>
        <w:ind w:left="709" w:right="276"/>
        <w:jc w:val="both"/>
        <w:rPr>
          <w:rFonts w:ascii="Calibri" w:hAnsi="Calibri"/>
        </w:rPr>
      </w:pPr>
      <w:r>
        <w:rPr>
          <w:rFonts w:ascii="Calibri" w:hAnsi="Calibri"/>
          <w:color w:val="001F60"/>
        </w:rPr>
        <w:t>Complementarmente, a Companhia oferta soluções tecnológicas, incluindo Serviços de Valor Adicionado (SVA), apoiando a modernização digital da Administração Pública Federal e assegurando infraestrutura crítica para a continuidade dos serviços governamentais utilizados diariamente por milhões de brasileiros.</w:t>
      </w:r>
    </w:p>
    <w:p w14:paraId="1DE203C6" w14:textId="77777777" w:rsidR="002C6574" w:rsidRDefault="002C6574">
      <w:pPr>
        <w:pStyle w:val="Corpodetexto"/>
        <w:jc w:val="both"/>
        <w:rPr>
          <w:rFonts w:ascii="Calibri" w:hAnsi="Calibri"/>
        </w:rPr>
        <w:sectPr w:rsidR="002C6574">
          <w:pgSz w:w="11910" w:h="16840"/>
          <w:pgMar w:top="1160" w:right="850" w:bottom="740" w:left="992" w:header="312" w:footer="542" w:gutter="0"/>
          <w:cols w:space="720"/>
        </w:sectPr>
      </w:pPr>
    </w:p>
    <w:p w14:paraId="02B7847F" w14:textId="77777777" w:rsidR="002C6574" w:rsidRDefault="002C6574">
      <w:pPr>
        <w:pStyle w:val="Corpodetexto"/>
        <w:spacing w:before="215"/>
        <w:rPr>
          <w:rFonts w:ascii="Calibri"/>
          <w:sz w:val="26"/>
        </w:rPr>
      </w:pPr>
    </w:p>
    <w:p w14:paraId="5562AD24" w14:textId="77777777" w:rsidR="002C6574" w:rsidRDefault="00000000">
      <w:pPr>
        <w:pStyle w:val="PargrafodaLista"/>
        <w:numPr>
          <w:ilvl w:val="0"/>
          <w:numId w:val="74"/>
        </w:numPr>
        <w:tabs>
          <w:tab w:val="left" w:pos="1275"/>
        </w:tabs>
        <w:ind w:left="1275" w:hanging="566"/>
        <w:rPr>
          <w:b/>
          <w:sz w:val="26"/>
        </w:rPr>
      </w:pPr>
      <w:r>
        <w:rPr>
          <w:b/>
          <w:color w:val="001F60"/>
          <w:spacing w:val="-2"/>
          <w:sz w:val="26"/>
        </w:rPr>
        <w:t>Finanças</w:t>
      </w:r>
    </w:p>
    <w:p w14:paraId="45990FFA" w14:textId="77777777" w:rsidR="002C6574" w:rsidRDefault="002C6574">
      <w:pPr>
        <w:pStyle w:val="Corpodetexto"/>
        <w:spacing w:before="161"/>
        <w:rPr>
          <w:rFonts w:ascii="Calibri"/>
          <w:b/>
          <w:sz w:val="26"/>
        </w:rPr>
      </w:pPr>
    </w:p>
    <w:p w14:paraId="1C06C8C2" w14:textId="77777777" w:rsidR="002C6574" w:rsidRDefault="00000000">
      <w:pPr>
        <w:numPr>
          <w:ilvl w:val="1"/>
          <w:numId w:val="74"/>
        </w:numPr>
        <w:tabs>
          <w:tab w:val="left" w:pos="1275"/>
        </w:tabs>
        <w:ind w:left="1275" w:hanging="566"/>
        <w:rPr>
          <w:rFonts w:ascii="Calibri" w:hAnsi="Calibri"/>
          <w:b/>
        </w:rPr>
      </w:pPr>
      <w:r>
        <w:rPr>
          <w:rFonts w:ascii="Calibri" w:hAnsi="Calibri"/>
          <w:b/>
          <w:color w:val="001F60"/>
        </w:rPr>
        <w:t>Estrutura</w:t>
      </w:r>
      <w:r>
        <w:rPr>
          <w:rFonts w:ascii="Calibri" w:hAnsi="Calibri"/>
          <w:b/>
          <w:color w:val="001F60"/>
          <w:spacing w:val="-6"/>
        </w:rPr>
        <w:t xml:space="preserve"> </w:t>
      </w:r>
      <w:r>
        <w:rPr>
          <w:rFonts w:ascii="Calibri" w:hAnsi="Calibri"/>
          <w:b/>
          <w:color w:val="001F60"/>
        </w:rPr>
        <w:t>Patrimonial</w:t>
      </w:r>
      <w:r>
        <w:rPr>
          <w:rFonts w:ascii="Calibri" w:hAnsi="Calibri"/>
          <w:b/>
          <w:color w:val="001F60"/>
          <w:spacing w:val="-6"/>
        </w:rPr>
        <w:t xml:space="preserve"> </w:t>
      </w:r>
      <w:r>
        <w:rPr>
          <w:rFonts w:ascii="Calibri" w:hAnsi="Calibri"/>
          <w:b/>
          <w:color w:val="001F60"/>
        </w:rPr>
        <w:t>da</w:t>
      </w:r>
      <w:r>
        <w:rPr>
          <w:rFonts w:ascii="Calibri" w:hAnsi="Calibri"/>
          <w:b/>
          <w:color w:val="001F60"/>
          <w:spacing w:val="-5"/>
        </w:rPr>
        <w:t xml:space="preserve"> </w:t>
      </w:r>
      <w:r>
        <w:rPr>
          <w:rFonts w:ascii="Calibri" w:hAnsi="Calibri"/>
          <w:b/>
          <w:color w:val="001F60"/>
        </w:rPr>
        <w:t>Companhia</w:t>
      </w:r>
      <w:r>
        <w:rPr>
          <w:rFonts w:ascii="Calibri" w:hAnsi="Calibri"/>
          <w:b/>
          <w:color w:val="001F60"/>
          <w:spacing w:val="-3"/>
        </w:rPr>
        <w:t xml:space="preserve"> </w:t>
      </w:r>
      <w:r>
        <w:rPr>
          <w:rFonts w:ascii="Calibri" w:hAnsi="Calibri"/>
          <w:b/>
          <w:color w:val="001F60"/>
        </w:rPr>
        <w:t>–</w:t>
      </w:r>
      <w:r>
        <w:rPr>
          <w:rFonts w:ascii="Calibri" w:hAnsi="Calibri"/>
          <w:b/>
          <w:color w:val="001F60"/>
          <w:spacing w:val="-3"/>
        </w:rPr>
        <w:t xml:space="preserve"> </w:t>
      </w:r>
      <w:r>
        <w:rPr>
          <w:rFonts w:ascii="Calibri" w:hAnsi="Calibri"/>
          <w:b/>
          <w:color w:val="001F60"/>
        </w:rPr>
        <w:t>Principais</w:t>
      </w:r>
      <w:r>
        <w:rPr>
          <w:rFonts w:ascii="Calibri" w:hAnsi="Calibri"/>
          <w:b/>
          <w:color w:val="001F60"/>
          <w:spacing w:val="-4"/>
        </w:rPr>
        <w:t xml:space="preserve"> </w:t>
      </w:r>
      <w:r>
        <w:rPr>
          <w:rFonts w:ascii="Calibri" w:hAnsi="Calibri"/>
          <w:b/>
          <w:color w:val="001F60"/>
          <w:spacing w:val="-2"/>
        </w:rPr>
        <w:t>Rubricas</w:t>
      </w:r>
    </w:p>
    <w:p w14:paraId="4B507346" w14:textId="77777777" w:rsidR="002C6574" w:rsidRDefault="002C6574">
      <w:pPr>
        <w:pStyle w:val="Corpodetexto"/>
        <w:spacing w:before="13"/>
        <w:rPr>
          <w:rFonts w:ascii="Calibri"/>
          <w:b/>
        </w:rPr>
      </w:pPr>
    </w:p>
    <w:p w14:paraId="68631221" w14:textId="77777777" w:rsidR="002C6574" w:rsidRDefault="00000000">
      <w:pPr>
        <w:pStyle w:val="Corpodetexto"/>
        <w:ind w:left="709" w:right="279"/>
        <w:rPr>
          <w:rFonts w:ascii="Calibri" w:hAnsi="Calibri"/>
        </w:rPr>
      </w:pPr>
      <w:r>
        <w:rPr>
          <w:rFonts w:ascii="Calibri" w:hAnsi="Calibri"/>
          <w:color w:val="001F60"/>
        </w:rPr>
        <w:t>O</w:t>
      </w:r>
      <w:r>
        <w:rPr>
          <w:rFonts w:ascii="Calibri" w:hAnsi="Calibri"/>
          <w:color w:val="001F60"/>
          <w:spacing w:val="31"/>
        </w:rPr>
        <w:t xml:space="preserve"> </w:t>
      </w:r>
      <w:r>
        <w:rPr>
          <w:rFonts w:ascii="Calibri" w:hAnsi="Calibri"/>
          <w:color w:val="001F60"/>
        </w:rPr>
        <w:t>comportamento</w:t>
      </w:r>
      <w:r>
        <w:rPr>
          <w:rFonts w:ascii="Calibri" w:hAnsi="Calibri"/>
          <w:color w:val="001F60"/>
          <w:spacing w:val="29"/>
        </w:rPr>
        <w:t xml:space="preserve"> </w:t>
      </w:r>
      <w:r>
        <w:rPr>
          <w:rFonts w:ascii="Calibri" w:hAnsi="Calibri"/>
          <w:color w:val="001F60"/>
        </w:rPr>
        <w:t>das</w:t>
      </w:r>
      <w:r>
        <w:rPr>
          <w:rFonts w:ascii="Calibri" w:hAnsi="Calibri"/>
          <w:color w:val="001F60"/>
          <w:spacing w:val="28"/>
        </w:rPr>
        <w:t xml:space="preserve"> </w:t>
      </w:r>
      <w:r>
        <w:rPr>
          <w:rFonts w:ascii="Calibri" w:hAnsi="Calibri"/>
          <w:color w:val="001F60"/>
        </w:rPr>
        <w:t>principais</w:t>
      </w:r>
      <w:r>
        <w:rPr>
          <w:rFonts w:ascii="Calibri" w:hAnsi="Calibri"/>
          <w:color w:val="001F60"/>
          <w:spacing w:val="31"/>
        </w:rPr>
        <w:t xml:space="preserve"> </w:t>
      </w:r>
      <w:r>
        <w:rPr>
          <w:rFonts w:ascii="Calibri" w:hAnsi="Calibri"/>
          <w:color w:val="001F60"/>
        </w:rPr>
        <w:t>rubricas</w:t>
      </w:r>
      <w:r>
        <w:rPr>
          <w:rFonts w:ascii="Calibri" w:hAnsi="Calibri"/>
          <w:color w:val="001F60"/>
          <w:spacing w:val="28"/>
        </w:rPr>
        <w:t xml:space="preserve"> </w:t>
      </w:r>
      <w:r>
        <w:rPr>
          <w:rFonts w:ascii="Calibri" w:hAnsi="Calibri"/>
          <w:color w:val="001F60"/>
        </w:rPr>
        <w:t>patrimoniais</w:t>
      </w:r>
      <w:r>
        <w:rPr>
          <w:rFonts w:ascii="Calibri" w:hAnsi="Calibri"/>
          <w:color w:val="001F60"/>
          <w:spacing w:val="31"/>
        </w:rPr>
        <w:t xml:space="preserve"> </w:t>
      </w:r>
      <w:r>
        <w:rPr>
          <w:rFonts w:ascii="Calibri" w:hAnsi="Calibri"/>
          <w:color w:val="001F60"/>
        </w:rPr>
        <w:t>no</w:t>
      </w:r>
      <w:r>
        <w:rPr>
          <w:rFonts w:ascii="Calibri" w:hAnsi="Calibri"/>
          <w:color w:val="001F60"/>
          <w:spacing w:val="29"/>
        </w:rPr>
        <w:t xml:space="preserve"> </w:t>
      </w:r>
      <w:r>
        <w:rPr>
          <w:rFonts w:ascii="Calibri" w:hAnsi="Calibri"/>
          <w:color w:val="001F60"/>
        </w:rPr>
        <w:t>período</w:t>
      </w:r>
      <w:r>
        <w:rPr>
          <w:rFonts w:ascii="Calibri" w:hAnsi="Calibri"/>
          <w:color w:val="001F60"/>
          <w:spacing w:val="29"/>
        </w:rPr>
        <w:t xml:space="preserve"> </w:t>
      </w:r>
      <w:r>
        <w:rPr>
          <w:rFonts w:ascii="Calibri" w:hAnsi="Calibri"/>
          <w:color w:val="001F60"/>
        </w:rPr>
        <w:t>de</w:t>
      </w:r>
      <w:r>
        <w:rPr>
          <w:rFonts w:ascii="Calibri" w:hAnsi="Calibri"/>
          <w:color w:val="001F60"/>
          <w:spacing w:val="29"/>
        </w:rPr>
        <w:t xml:space="preserve"> </w:t>
      </w:r>
      <w:r>
        <w:rPr>
          <w:rFonts w:ascii="Calibri" w:hAnsi="Calibri"/>
          <w:color w:val="001F60"/>
        </w:rPr>
        <w:t>2023</w:t>
      </w:r>
      <w:r>
        <w:rPr>
          <w:rFonts w:ascii="Calibri" w:hAnsi="Calibri"/>
          <w:color w:val="001F60"/>
          <w:spacing w:val="32"/>
        </w:rPr>
        <w:t xml:space="preserve"> </w:t>
      </w:r>
      <w:r>
        <w:rPr>
          <w:rFonts w:ascii="Calibri" w:hAnsi="Calibri"/>
          <w:color w:val="001F60"/>
        </w:rPr>
        <w:t>a</w:t>
      </w:r>
      <w:r>
        <w:rPr>
          <w:rFonts w:ascii="Calibri" w:hAnsi="Calibri"/>
          <w:color w:val="001F60"/>
          <w:spacing w:val="27"/>
        </w:rPr>
        <w:t xml:space="preserve"> </w:t>
      </w:r>
      <w:r>
        <w:rPr>
          <w:rFonts w:ascii="Calibri" w:hAnsi="Calibri"/>
          <w:color w:val="001F60"/>
        </w:rPr>
        <w:t>2025,</w:t>
      </w:r>
      <w:r>
        <w:rPr>
          <w:rFonts w:ascii="Calibri" w:hAnsi="Calibri"/>
          <w:color w:val="001F60"/>
          <w:spacing w:val="31"/>
        </w:rPr>
        <w:t xml:space="preserve"> </w:t>
      </w:r>
      <w:r>
        <w:rPr>
          <w:rFonts w:ascii="Calibri" w:hAnsi="Calibri"/>
          <w:color w:val="001F60"/>
        </w:rPr>
        <w:t>bem</w:t>
      </w:r>
      <w:r>
        <w:rPr>
          <w:rFonts w:ascii="Calibri" w:hAnsi="Calibri"/>
          <w:color w:val="001F60"/>
          <w:spacing w:val="29"/>
        </w:rPr>
        <w:t xml:space="preserve"> </w:t>
      </w:r>
      <w:r>
        <w:rPr>
          <w:rFonts w:ascii="Calibri" w:hAnsi="Calibri"/>
          <w:color w:val="001F60"/>
        </w:rPr>
        <w:t>como</w:t>
      </w:r>
      <w:r>
        <w:rPr>
          <w:rFonts w:ascii="Calibri" w:hAnsi="Calibri"/>
          <w:color w:val="001F60"/>
          <w:spacing w:val="29"/>
        </w:rPr>
        <w:t xml:space="preserve"> </w:t>
      </w:r>
      <w:r>
        <w:rPr>
          <w:rFonts w:ascii="Calibri" w:hAnsi="Calibri"/>
          <w:color w:val="001F60"/>
        </w:rPr>
        <w:t>as explicações referentes às variações mais relevantes, são apresentados a seguir.</w:t>
      </w:r>
    </w:p>
    <w:p w14:paraId="3BBB63B1" w14:textId="77777777" w:rsidR="002C6574" w:rsidRDefault="00000000">
      <w:pPr>
        <w:tabs>
          <w:tab w:val="left" w:pos="2967"/>
        </w:tabs>
        <w:spacing w:before="189"/>
        <w:ind w:left="779"/>
        <w:rPr>
          <w:rFonts w:ascii="Arial" w:hAnsi="Arial"/>
          <w:b/>
          <w:sz w:val="12"/>
        </w:rPr>
      </w:pPr>
      <w:r>
        <w:rPr>
          <w:rFonts w:ascii="Arial" w:hAnsi="Arial"/>
          <w:b/>
          <w:color w:val="528CD4"/>
          <w:position w:val="-6"/>
          <w:sz w:val="12"/>
        </w:rPr>
        <w:t xml:space="preserve">R$ </w:t>
      </w:r>
      <w:r>
        <w:rPr>
          <w:rFonts w:ascii="Arial" w:hAnsi="Arial"/>
          <w:b/>
          <w:color w:val="528CD4"/>
          <w:spacing w:val="-5"/>
          <w:position w:val="-6"/>
          <w:sz w:val="12"/>
        </w:rPr>
        <w:t>mil</w:t>
      </w:r>
      <w:r>
        <w:rPr>
          <w:rFonts w:ascii="Arial" w:hAnsi="Arial"/>
          <w:b/>
          <w:color w:val="528CD4"/>
          <w:position w:val="-6"/>
          <w:sz w:val="12"/>
        </w:rPr>
        <w:tab/>
      </w:r>
      <w:r>
        <w:rPr>
          <w:rFonts w:ascii="Arial" w:hAnsi="Arial"/>
          <w:b/>
          <w:color w:val="528CD4"/>
          <w:sz w:val="12"/>
        </w:rPr>
        <w:t>Exercícios</w:t>
      </w:r>
      <w:r>
        <w:rPr>
          <w:rFonts w:ascii="Arial" w:hAnsi="Arial"/>
          <w:b/>
          <w:color w:val="528CD4"/>
          <w:spacing w:val="-1"/>
          <w:sz w:val="12"/>
        </w:rPr>
        <w:t xml:space="preserve"> </w:t>
      </w:r>
      <w:r>
        <w:rPr>
          <w:rFonts w:ascii="Arial" w:hAnsi="Arial"/>
          <w:b/>
          <w:color w:val="528CD4"/>
          <w:sz w:val="12"/>
        </w:rPr>
        <w:t xml:space="preserve">findos </w:t>
      </w:r>
      <w:r>
        <w:rPr>
          <w:rFonts w:ascii="Arial" w:hAnsi="Arial"/>
          <w:b/>
          <w:color w:val="528CD4"/>
          <w:spacing w:val="-5"/>
          <w:sz w:val="12"/>
        </w:rPr>
        <w:t>em:</w:t>
      </w:r>
    </w:p>
    <w:tbl>
      <w:tblPr>
        <w:tblStyle w:val="TableNormal"/>
        <w:tblW w:w="0" w:type="auto"/>
        <w:tblInd w:w="702" w:type="dxa"/>
        <w:tblLayout w:type="fixed"/>
        <w:tblLook w:val="01E0" w:firstRow="1" w:lastRow="1" w:firstColumn="1" w:lastColumn="1" w:noHBand="0" w:noVBand="0"/>
      </w:tblPr>
      <w:tblGrid>
        <w:gridCol w:w="2203"/>
        <w:gridCol w:w="882"/>
        <w:gridCol w:w="717"/>
        <w:gridCol w:w="623"/>
        <w:gridCol w:w="580"/>
        <w:gridCol w:w="873"/>
        <w:gridCol w:w="643"/>
        <w:gridCol w:w="620"/>
        <w:gridCol w:w="581"/>
        <w:gridCol w:w="820"/>
        <w:gridCol w:w="548"/>
      </w:tblGrid>
      <w:tr w:rsidR="002C6574" w14:paraId="2C1E9A92" w14:textId="77777777">
        <w:trPr>
          <w:trHeight w:val="231"/>
        </w:trPr>
        <w:tc>
          <w:tcPr>
            <w:tcW w:w="2203" w:type="dxa"/>
            <w:vMerge w:val="restart"/>
            <w:tcBorders>
              <w:bottom w:val="single" w:sz="8" w:space="0" w:color="8CB3E2"/>
            </w:tcBorders>
          </w:tcPr>
          <w:p w14:paraId="1EEC3FC4" w14:textId="77777777" w:rsidR="002C6574" w:rsidRDefault="002C6574">
            <w:pPr>
              <w:pStyle w:val="TableParagraph"/>
              <w:jc w:val="left"/>
              <w:rPr>
                <w:rFonts w:ascii="Arial"/>
                <w:b/>
                <w:sz w:val="12"/>
              </w:rPr>
            </w:pPr>
          </w:p>
          <w:p w14:paraId="6856FA19" w14:textId="77777777" w:rsidR="002C6574" w:rsidRDefault="002C6574">
            <w:pPr>
              <w:pStyle w:val="TableParagraph"/>
              <w:spacing w:before="47"/>
              <w:jc w:val="left"/>
              <w:rPr>
                <w:rFonts w:ascii="Arial"/>
                <w:b/>
                <w:sz w:val="12"/>
              </w:rPr>
            </w:pPr>
          </w:p>
          <w:p w14:paraId="6BC57E40" w14:textId="77777777" w:rsidR="002C6574" w:rsidRDefault="00000000">
            <w:pPr>
              <w:pStyle w:val="TableParagraph"/>
              <w:spacing w:before="1"/>
              <w:ind w:left="83"/>
              <w:jc w:val="left"/>
              <w:rPr>
                <w:rFonts w:ascii="Arial"/>
                <w:b/>
                <w:sz w:val="12"/>
              </w:rPr>
            </w:pPr>
            <w:r>
              <w:rPr>
                <w:rFonts w:ascii="Arial"/>
                <w:b/>
                <w:color w:val="528CD4"/>
                <w:spacing w:val="-2"/>
                <w:sz w:val="12"/>
              </w:rPr>
              <w:t>Rubricas</w:t>
            </w:r>
          </w:p>
        </w:tc>
        <w:tc>
          <w:tcPr>
            <w:tcW w:w="2802" w:type="dxa"/>
            <w:gridSpan w:val="4"/>
            <w:tcBorders>
              <w:top w:val="single" w:sz="8" w:space="0" w:color="8CB3E2"/>
              <w:bottom w:val="single" w:sz="8" w:space="0" w:color="8CB3E2"/>
              <w:right w:val="single" w:sz="8" w:space="0" w:color="8CB3E2"/>
            </w:tcBorders>
          </w:tcPr>
          <w:p w14:paraId="1289500B" w14:textId="77777777" w:rsidR="002C6574" w:rsidRDefault="00000000">
            <w:pPr>
              <w:pStyle w:val="TableParagraph"/>
              <w:spacing w:before="48"/>
              <w:ind w:right="57"/>
              <w:rPr>
                <w:rFonts w:ascii="Arial"/>
                <w:b/>
                <w:sz w:val="12"/>
              </w:rPr>
            </w:pPr>
            <w:r>
              <w:rPr>
                <w:rFonts w:ascii="Arial"/>
                <w:b/>
                <w:color w:val="528CD4"/>
                <w:spacing w:val="-4"/>
                <w:sz w:val="12"/>
              </w:rPr>
              <w:t>2025</w:t>
            </w:r>
          </w:p>
        </w:tc>
        <w:tc>
          <w:tcPr>
            <w:tcW w:w="2717" w:type="dxa"/>
            <w:gridSpan w:val="4"/>
            <w:tcBorders>
              <w:top w:val="single" w:sz="8" w:space="0" w:color="8CB3E2"/>
              <w:left w:val="single" w:sz="8" w:space="0" w:color="8CB3E2"/>
              <w:bottom w:val="single" w:sz="8" w:space="0" w:color="8CB3E2"/>
              <w:right w:val="single" w:sz="8" w:space="0" w:color="8CB3E2"/>
            </w:tcBorders>
          </w:tcPr>
          <w:p w14:paraId="38D073F6" w14:textId="77777777" w:rsidR="002C6574" w:rsidRDefault="00000000">
            <w:pPr>
              <w:pStyle w:val="TableParagraph"/>
              <w:spacing w:before="48"/>
              <w:ind w:right="60"/>
              <w:rPr>
                <w:rFonts w:ascii="Arial"/>
                <w:b/>
                <w:sz w:val="12"/>
              </w:rPr>
            </w:pPr>
            <w:r>
              <w:rPr>
                <w:rFonts w:ascii="Arial"/>
                <w:b/>
                <w:color w:val="528CD4"/>
                <w:spacing w:val="-4"/>
                <w:sz w:val="12"/>
              </w:rPr>
              <w:t>2024</w:t>
            </w:r>
          </w:p>
        </w:tc>
        <w:tc>
          <w:tcPr>
            <w:tcW w:w="1368" w:type="dxa"/>
            <w:gridSpan w:val="2"/>
            <w:tcBorders>
              <w:top w:val="single" w:sz="8" w:space="0" w:color="8CB3E2"/>
              <w:left w:val="single" w:sz="8" w:space="0" w:color="8CB3E2"/>
              <w:bottom w:val="single" w:sz="8" w:space="0" w:color="8CB3E2"/>
            </w:tcBorders>
          </w:tcPr>
          <w:p w14:paraId="2FFD8686" w14:textId="77777777" w:rsidR="002C6574" w:rsidRDefault="00000000">
            <w:pPr>
              <w:pStyle w:val="TableParagraph"/>
              <w:spacing w:before="48"/>
              <w:ind w:right="69"/>
              <w:rPr>
                <w:rFonts w:ascii="Arial"/>
                <w:b/>
                <w:sz w:val="12"/>
              </w:rPr>
            </w:pPr>
            <w:r>
              <w:rPr>
                <w:rFonts w:ascii="Arial"/>
                <w:b/>
                <w:color w:val="528CD4"/>
                <w:spacing w:val="-4"/>
                <w:sz w:val="12"/>
              </w:rPr>
              <w:t>2023</w:t>
            </w:r>
          </w:p>
        </w:tc>
      </w:tr>
      <w:tr w:rsidR="002C6574" w14:paraId="760E713E" w14:textId="77777777">
        <w:trPr>
          <w:trHeight w:val="277"/>
        </w:trPr>
        <w:tc>
          <w:tcPr>
            <w:tcW w:w="2203" w:type="dxa"/>
            <w:vMerge/>
            <w:tcBorders>
              <w:top w:val="nil"/>
              <w:bottom w:val="single" w:sz="8" w:space="0" w:color="8CB3E2"/>
            </w:tcBorders>
          </w:tcPr>
          <w:p w14:paraId="2D1CAF5A" w14:textId="77777777" w:rsidR="002C6574" w:rsidRDefault="002C6574">
            <w:pPr>
              <w:rPr>
                <w:sz w:val="2"/>
                <w:szCs w:val="2"/>
              </w:rPr>
            </w:pPr>
          </w:p>
        </w:tc>
        <w:tc>
          <w:tcPr>
            <w:tcW w:w="882" w:type="dxa"/>
            <w:tcBorders>
              <w:top w:val="single" w:sz="8" w:space="0" w:color="8CB3E2"/>
              <w:bottom w:val="single" w:sz="8" w:space="0" w:color="8CB3E2"/>
            </w:tcBorders>
          </w:tcPr>
          <w:p w14:paraId="407FE125" w14:textId="77777777" w:rsidR="002C6574" w:rsidRDefault="00000000">
            <w:pPr>
              <w:pStyle w:val="TableParagraph"/>
              <w:spacing w:before="72"/>
              <w:ind w:right="132"/>
              <w:rPr>
                <w:rFonts w:ascii="Arial"/>
                <w:b/>
                <w:sz w:val="12"/>
              </w:rPr>
            </w:pPr>
            <w:r>
              <w:rPr>
                <w:rFonts w:ascii="Arial"/>
                <w:b/>
                <w:color w:val="528CD4"/>
                <w:spacing w:val="-2"/>
                <w:sz w:val="12"/>
              </w:rPr>
              <w:t>Valor</w:t>
            </w:r>
          </w:p>
        </w:tc>
        <w:tc>
          <w:tcPr>
            <w:tcW w:w="717" w:type="dxa"/>
            <w:tcBorders>
              <w:top w:val="single" w:sz="8" w:space="0" w:color="8CB3E2"/>
              <w:bottom w:val="single" w:sz="8" w:space="0" w:color="8CB3E2"/>
            </w:tcBorders>
          </w:tcPr>
          <w:p w14:paraId="04ED0CEE" w14:textId="77777777" w:rsidR="002C6574" w:rsidRDefault="00000000">
            <w:pPr>
              <w:pStyle w:val="TableParagraph"/>
              <w:spacing w:before="72"/>
              <w:ind w:right="105"/>
              <w:rPr>
                <w:rFonts w:ascii="Arial"/>
                <w:b/>
                <w:sz w:val="12"/>
              </w:rPr>
            </w:pPr>
            <w:r>
              <w:rPr>
                <w:rFonts w:ascii="Arial"/>
                <w:b/>
                <w:color w:val="528CD4"/>
                <w:spacing w:val="-5"/>
                <w:sz w:val="12"/>
              </w:rPr>
              <w:t>AV%</w:t>
            </w:r>
          </w:p>
        </w:tc>
        <w:tc>
          <w:tcPr>
            <w:tcW w:w="623" w:type="dxa"/>
            <w:tcBorders>
              <w:top w:val="single" w:sz="8" w:space="0" w:color="8CB3E2"/>
              <w:bottom w:val="single" w:sz="8" w:space="0" w:color="8CB3E2"/>
            </w:tcBorders>
          </w:tcPr>
          <w:p w14:paraId="1515BAB0" w14:textId="77777777" w:rsidR="002C6574" w:rsidRDefault="00000000">
            <w:pPr>
              <w:pStyle w:val="TableParagraph"/>
              <w:spacing w:line="136" w:lineRule="exact"/>
              <w:ind w:left="136" w:right="149" w:hanging="27"/>
              <w:jc w:val="left"/>
              <w:rPr>
                <w:rFonts w:ascii="Arial"/>
                <w:b/>
                <w:sz w:val="12"/>
              </w:rPr>
            </w:pPr>
            <w:r>
              <w:rPr>
                <w:rFonts w:ascii="Arial"/>
                <w:b/>
                <w:color w:val="528CD4"/>
                <w:sz w:val="12"/>
              </w:rPr>
              <w:t>AH%</w:t>
            </w:r>
            <w:r>
              <w:rPr>
                <w:rFonts w:ascii="Arial"/>
                <w:b/>
                <w:color w:val="528CD4"/>
                <w:spacing w:val="-9"/>
                <w:sz w:val="12"/>
              </w:rPr>
              <w:t xml:space="preserve"> </w:t>
            </w:r>
            <w:r>
              <w:rPr>
                <w:rFonts w:ascii="Arial"/>
                <w:b/>
                <w:color w:val="528CD4"/>
                <w:sz w:val="12"/>
              </w:rPr>
              <w:t>-</w:t>
            </w:r>
            <w:r>
              <w:rPr>
                <w:rFonts w:ascii="Arial"/>
                <w:b/>
                <w:color w:val="528CD4"/>
                <w:spacing w:val="40"/>
                <w:sz w:val="12"/>
              </w:rPr>
              <w:t xml:space="preserve"> </w:t>
            </w:r>
            <w:r>
              <w:rPr>
                <w:rFonts w:ascii="Arial"/>
                <w:b/>
                <w:color w:val="528CD4"/>
                <w:spacing w:val="-4"/>
                <w:sz w:val="12"/>
              </w:rPr>
              <w:t>2024</w:t>
            </w:r>
          </w:p>
        </w:tc>
        <w:tc>
          <w:tcPr>
            <w:tcW w:w="580" w:type="dxa"/>
            <w:tcBorders>
              <w:top w:val="single" w:sz="8" w:space="0" w:color="8CB3E2"/>
              <w:bottom w:val="single" w:sz="8" w:space="0" w:color="8CB3E2"/>
              <w:right w:val="single" w:sz="8" w:space="0" w:color="8CB3E2"/>
            </w:tcBorders>
          </w:tcPr>
          <w:p w14:paraId="7DA7BC90" w14:textId="77777777" w:rsidR="002C6574" w:rsidRDefault="00000000">
            <w:pPr>
              <w:pStyle w:val="TableParagraph"/>
              <w:spacing w:line="136" w:lineRule="exact"/>
              <w:ind w:left="135" w:right="97" w:hanging="27"/>
              <w:jc w:val="left"/>
              <w:rPr>
                <w:rFonts w:ascii="Arial"/>
                <w:b/>
                <w:sz w:val="12"/>
              </w:rPr>
            </w:pPr>
            <w:r>
              <w:rPr>
                <w:rFonts w:ascii="Arial"/>
                <w:b/>
                <w:color w:val="528CD4"/>
                <w:sz w:val="12"/>
              </w:rPr>
              <w:t>AH%</w:t>
            </w:r>
            <w:r>
              <w:rPr>
                <w:rFonts w:ascii="Arial"/>
                <w:b/>
                <w:color w:val="528CD4"/>
                <w:spacing w:val="-9"/>
                <w:sz w:val="12"/>
              </w:rPr>
              <w:t xml:space="preserve"> </w:t>
            </w:r>
            <w:r>
              <w:rPr>
                <w:rFonts w:ascii="Arial"/>
                <w:b/>
                <w:color w:val="528CD4"/>
                <w:sz w:val="12"/>
              </w:rPr>
              <w:t>-</w:t>
            </w:r>
            <w:r>
              <w:rPr>
                <w:rFonts w:ascii="Arial"/>
                <w:b/>
                <w:color w:val="528CD4"/>
                <w:spacing w:val="40"/>
                <w:sz w:val="12"/>
              </w:rPr>
              <w:t xml:space="preserve"> </w:t>
            </w:r>
            <w:r>
              <w:rPr>
                <w:rFonts w:ascii="Arial"/>
                <w:b/>
                <w:color w:val="528CD4"/>
                <w:spacing w:val="-4"/>
                <w:sz w:val="12"/>
              </w:rPr>
              <w:t>2023</w:t>
            </w:r>
          </w:p>
        </w:tc>
        <w:tc>
          <w:tcPr>
            <w:tcW w:w="873" w:type="dxa"/>
            <w:tcBorders>
              <w:top w:val="single" w:sz="8" w:space="0" w:color="8CB3E2"/>
              <w:left w:val="single" w:sz="8" w:space="0" w:color="8CB3E2"/>
              <w:bottom w:val="single" w:sz="8" w:space="0" w:color="8CB3E2"/>
            </w:tcBorders>
          </w:tcPr>
          <w:p w14:paraId="26F9DD38" w14:textId="77777777" w:rsidR="002C6574" w:rsidRDefault="00000000">
            <w:pPr>
              <w:pStyle w:val="TableParagraph"/>
              <w:spacing w:before="72"/>
              <w:ind w:right="121"/>
              <w:rPr>
                <w:rFonts w:ascii="Arial"/>
                <w:b/>
                <w:sz w:val="12"/>
              </w:rPr>
            </w:pPr>
            <w:r>
              <w:rPr>
                <w:rFonts w:ascii="Arial"/>
                <w:b/>
                <w:color w:val="528CD4"/>
                <w:spacing w:val="-2"/>
                <w:sz w:val="12"/>
              </w:rPr>
              <w:t>Valor</w:t>
            </w:r>
          </w:p>
        </w:tc>
        <w:tc>
          <w:tcPr>
            <w:tcW w:w="643" w:type="dxa"/>
            <w:tcBorders>
              <w:top w:val="single" w:sz="8" w:space="0" w:color="8CB3E2"/>
              <w:bottom w:val="single" w:sz="8" w:space="0" w:color="8CB3E2"/>
            </w:tcBorders>
          </w:tcPr>
          <w:p w14:paraId="5AA87F64" w14:textId="77777777" w:rsidR="002C6574" w:rsidRDefault="00000000">
            <w:pPr>
              <w:pStyle w:val="TableParagraph"/>
              <w:spacing w:before="72"/>
              <w:ind w:left="154"/>
              <w:jc w:val="center"/>
              <w:rPr>
                <w:rFonts w:ascii="Arial"/>
                <w:b/>
                <w:sz w:val="12"/>
              </w:rPr>
            </w:pPr>
            <w:r>
              <w:rPr>
                <w:rFonts w:ascii="Arial"/>
                <w:b/>
                <w:color w:val="528CD4"/>
                <w:spacing w:val="-5"/>
                <w:sz w:val="12"/>
              </w:rPr>
              <w:t>AV%</w:t>
            </w:r>
          </w:p>
        </w:tc>
        <w:tc>
          <w:tcPr>
            <w:tcW w:w="620" w:type="dxa"/>
            <w:tcBorders>
              <w:top w:val="single" w:sz="8" w:space="0" w:color="8CB3E2"/>
              <w:bottom w:val="single" w:sz="8" w:space="0" w:color="8CB3E2"/>
            </w:tcBorders>
          </w:tcPr>
          <w:p w14:paraId="0D2BF533" w14:textId="77777777" w:rsidR="002C6574" w:rsidRDefault="00000000">
            <w:pPr>
              <w:pStyle w:val="TableParagraph"/>
              <w:spacing w:line="136" w:lineRule="exact"/>
              <w:ind w:left="134" w:right="148" w:hanging="27"/>
              <w:jc w:val="left"/>
              <w:rPr>
                <w:rFonts w:ascii="Arial"/>
                <w:b/>
                <w:sz w:val="12"/>
              </w:rPr>
            </w:pPr>
            <w:r>
              <w:rPr>
                <w:rFonts w:ascii="Arial"/>
                <w:b/>
                <w:color w:val="528CD4"/>
                <w:sz w:val="12"/>
              </w:rPr>
              <w:t>AH%</w:t>
            </w:r>
            <w:r>
              <w:rPr>
                <w:rFonts w:ascii="Arial"/>
                <w:b/>
                <w:color w:val="528CD4"/>
                <w:spacing w:val="-9"/>
                <w:sz w:val="12"/>
              </w:rPr>
              <w:t xml:space="preserve"> </w:t>
            </w:r>
            <w:r>
              <w:rPr>
                <w:rFonts w:ascii="Arial"/>
                <w:b/>
                <w:color w:val="528CD4"/>
                <w:sz w:val="12"/>
              </w:rPr>
              <w:t>-</w:t>
            </w:r>
            <w:r>
              <w:rPr>
                <w:rFonts w:ascii="Arial"/>
                <w:b/>
                <w:color w:val="528CD4"/>
                <w:spacing w:val="40"/>
                <w:sz w:val="12"/>
              </w:rPr>
              <w:t xml:space="preserve"> </w:t>
            </w:r>
            <w:r>
              <w:rPr>
                <w:rFonts w:ascii="Arial"/>
                <w:b/>
                <w:color w:val="528CD4"/>
                <w:spacing w:val="-4"/>
                <w:sz w:val="12"/>
              </w:rPr>
              <w:t>2023</w:t>
            </w:r>
          </w:p>
        </w:tc>
        <w:tc>
          <w:tcPr>
            <w:tcW w:w="581" w:type="dxa"/>
            <w:tcBorders>
              <w:top w:val="single" w:sz="8" w:space="0" w:color="8CB3E2"/>
              <w:bottom w:val="single" w:sz="8" w:space="0" w:color="8CB3E2"/>
              <w:right w:val="single" w:sz="8" w:space="0" w:color="8CB3E2"/>
            </w:tcBorders>
          </w:tcPr>
          <w:p w14:paraId="6A6A5F25" w14:textId="77777777" w:rsidR="002C6574" w:rsidRDefault="00000000">
            <w:pPr>
              <w:pStyle w:val="TableParagraph"/>
              <w:spacing w:line="136" w:lineRule="exact"/>
              <w:ind w:left="133" w:right="110" w:hanging="27"/>
              <w:jc w:val="left"/>
              <w:rPr>
                <w:rFonts w:ascii="Arial"/>
                <w:b/>
                <w:sz w:val="12"/>
              </w:rPr>
            </w:pPr>
            <w:r>
              <w:rPr>
                <w:rFonts w:ascii="Arial"/>
                <w:b/>
                <w:color w:val="528CD4"/>
                <w:sz w:val="12"/>
              </w:rPr>
              <w:t>AH%</w:t>
            </w:r>
            <w:r>
              <w:rPr>
                <w:rFonts w:ascii="Arial"/>
                <w:b/>
                <w:color w:val="528CD4"/>
                <w:spacing w:val="-9"/>
                <w:sz w:val="12"/>
              </w:rPr>
              <w:t xml:space="preserve"> </w:t>
            </w:r>
            <w:r>
              <w:rPr>
                <w:rFonts w:ascii="Arial"/>
                <w:b/>
                <w:color w:val="528CD4"/>
                <w:sz w:val="12"/>
              </w:rPr>
              <w:t>-</w:t>
            </w:r>
            <w:r>
              <w:rPr>
                <w:rFonts w:ascii="Arial"/>
                <w:b/>
                <w:color w:val="528CD4"/>
                <w:spacing w:val="40"/>
                <w:sz w:val="12"/>
              </w:rPr>
              <w:t xml:space="preserve"> </w:t>
            </w:r>
            <w:r>
              <w:rPr>
                <w:rFonts w:ascii="Arial"/>
                <w:b/>
                <w:color w:val="528CD4"/>
                <w:spacing w:val="-4"/>
                <w:sz w:val="12"/>
              </w:rPr>
              <w:t>2022</w:t>
            </w:r>
          </w:p>
        </w:tc>
        <w:tc>
          <w:tcPr>
            <w:tcW w:w="820" w:type="dxa"/>
            <w:tcBorders>
              <w:top w:val="single" w:sz="8" w:space="0" w:color="8CB3E2"/>
              <w:left w:val="single" w:sz="8" w:space="0" w:color="8CB3E2"/>
              <w:bottom w:val="single" w:sz="8" w:space="0" w:color="8CB3E2"/>
            </w:tcBorders>
          </w:tcPr>
          <w:p w14:paraId="0DD1026F" w14:textId="77777777" w:rsidR="002C6574" w:rsidRDefault="00000000">
            <w:pPr>
              <w:pStyle w:val="TableParagraph"/>
              <w:spacing w:before="72"/>
              <w:ind w:right="71"/>
              <w:rPr>
                <w:rFonts w:ascii="Arial"/>
                <w:b/>
                <w:sz w:val="12"/>
              </w:rPr>
            </w:pPr>
            <w:r>
              <w:rPr>
                <w:rFonts w:ascii="Arial"/>
                <w:b/>
                <w:color w:val="528CD4"/>
                <w:spacing w:val="-2"/>
                <w:sz w:val="12"/>
              </w:rPr>
              <w:t>Valor</w:t>
            </w:r>
          </w:p>
        </w:tc>
        <w:tc>
          <w:tcPr>
            <w:tcW w:w="548" w:type="dxa"/>
            <w:tcBorders>
              <w:top w:val="single" w:sz="8" w:space="0" w:color="8CB3E2"/>
              <w:bottom w:val="single" w:sz="8" w:space="0" w:color="8CB3E2"/>
            </w:tcBorders>
          </w:tcPr>
          <w:p w14:paraId="265716B2" w14:textId="77777777" w:rsidR="002C6574" w:rsidRDefault="00000000">
            <w:pPr>
              <w:pStyle w:val="TableParagraph"/>
              <w:spacing w:before="72"/>
              <w:ind w:right="67"/>
              <w:rPr>
                <w:rFonts w:ascii="Arial"/>
                <w:b/>
                <w:sz w:val="12"/>
              </w:rPr>
            </w:pPr>
            <w:r>
              <w:rPr>
                <w:rFonts w:ascii="Arial"/>
                <w:b/>
                <w:color w:val="528CD4"/>
                <w:spacing w:val="-5"/>
                <w:sz w:val="12"/>
              </w:rPr>
              <w:t>AV%</w:t>
            </w:r>
          </w:p>
        </w:tc>
      </w:tr>
      <w:tr w:rsidR="002C6574" w14:paraId="1995E21D" w14:textId="77777777">
        <w:trPr>
          <w:trHeight w:val="233"/>
        </w:trPr>
        <w:tc>
          <w:tcPr>
            <w:tcW w:w="2203" w:type="dxa"/>
            <w:tcBorders>
              <w:top w:val="single" w:sz="8" w:space="0" w:color="8CB3E2"/>
            </w:tcBorders>
          </w:tcPr>
          <w:p w14:paraId="231B5BC6" w14:textId="77777777" w:rsidR="002C6574" w:rsidRDefault="00000000">
            <w:pPr>
              <w:pStyle w:val="TableParagraph"/>
              <w:spacing w:before="48"/>
              <w:ind w:left="83"/>
              <w:jc w:val="left"/>
              <w:rPr>
                <w:rFonts w:ascii="Arial MT"/>
                <w:sz w:val="12"/>
              </w:rPr>
            </w:pPr>
            <w:r>
              <w:rPr>
                <w:rFonts w:ascii="Arial MT"/>
                <w:sz w:val="12"/>
              </w:rPr>
              <w:t>Ativo</w:t>
            </w:r>
            <w:r>
              <w:rPr>
                <w:rFonts w:ascii="Arial MT"/>
                <w:spacing w:val="-3"/>
                <w:sz w:val="12"/>
              </w:rPr>
              <w:t xml:space="preserve"> </w:t>
            </w:r>
            <w:r>
              <w:rPr>
                <w:rFonts w:ascii="Arial MT"/>
                <w:spacing w:val="-2"/>
                <w:sz w:val="12"/>
              </w:rPr>
              <w:t>Circulante</w:t>
            </w:r>
          </w:p>
        </w:tc>
        <w:tc>
          <w:tcPr>
            <w:tcW w:w="882" w:type="dxa"/>
            <w:tcBorders>
              <w:top w:val="single" w:sz="8" w:space="0" w:color="8CB3E2"/>
            </w:tcBorders>
          </w:tcPr>
          <w:p w14:paraId="6B9C8555" w14:textId="77777777" w:rsidR="002C6574" w:rsidRDefault="00000000">
            <w:pPr>
              <w:pStyle w:val="TableParagraph"/>
              <w:spacing w:before="48"/>
              <w:ind w:right="131"/>
              <w:rPr>
                <w:rFonts w:ascii="Arial MT"/>
                <w:sz w:val="12"/>
              </w:rPr>
            </w:pPr>
            <w:r>
              <w:rPr>
                <w:rFonts w:ascii="Arial MT"/>
                <w:spacing w:val="-2"/>
                <w:sz w:val="12"/>
              </w:rPr>
              <w:t>2.310.040</w:t>
            </w:r>
          </w:p>
        </w:tc>
        <w:tc>
          <w:tcPr>
            <w:tcW w:w="717" w:type="dxa"/>
            <w:tcBorders>
              <w:top w:val="single" w:sz="8" w:space="0" w:color="8CB3E2"/>
            </w:tcBorders>
          </w:tcPr>
          <w:p w14:paraId="6EB3F5E0" w14:textId="77777777" w:rsidR="002C6574" w:rsidRDefault="00000000">
            <w:pPr>
              <w:pStyle w:val="TableParagraph"/>
              <w:spacing w:before="48"/>
              <w:ind w:right="109"/>
              <w:rPr>
                <w:rFonts w:ascii="Arial MT"/>
                <w:sz w:val="12"/>
              </w:rPr>
            </w:pPr>
            <w:r>
              <w:rPr>
                <w:rFonts w:ascii="Arial MT"/>
                <w:spacing w:val="-2"/>
                <w:sz w:val="12"/>
              </w:rPr>
              <w:t>52,35%</w:t>
            </w:r>
          </w:p>
        </w:tc>
        <w:tc>
          <w:tcPr>
            <w:tcW w:w="623" w:type="dxa"/>
            <w:tcBorders>
              <w:top w:val="single" w:sz="8" w:space="0" w:color="8CB3E2"/>
            </w:tcBorders>
          </w:tcPr>
          <w:p w14:paraId="08EC9714" w14:textId="77777777" w:rsidR="002C6574" w:rsidRDefault="00000000">
            <w:pPr>
              <w:pStyle w:val="TableParagraph"/>
              <w:spacing w:before="48"/>
              <w:ind w:left="90" w:right="27"/>
              <w:jc w:val="center"/>
              <w:rPr>
                <w:rFonts w:ascii="Arial MT"/>
                <w:sz w:val="12"/>
              </w:rPr>
            </w:pPr>
            <w:r>
              <w:rPr>
                <w:rFonts w:ascii="Arial MT"/>
                <w:spacing w:val="-2"/>
                <w:sz w:val="12"/>
              </w:rPr>
              <w:t>30,1%</w:t>
            </w:r>
          </w:p>
        </w:tc>
        <w:tc>
          <w:tcPr>
            <w:tcW w:w="580" w:type="dxa"/>
            <w:tcBorders>
              <w:top w:val="single" w:sz="8" w:space="0" w:color="8CB3E2"/>
              <w:right w:val="single" w:sz="8" w:space="0" w:color="8CB3E2"/>
            </w:tcBorders>
          </w:tcPr>
          <w:p w14:paraId="776C81C0" w14:textId="77777777" w:rsidR="002C6574" w:rsidRDefault="00000000">
            <w:pPr>
              <w:pStyle w:val="TableParagraph"/>
              <w:spacing w:before="48"/>
              <w:ind w:right="57"/>
              <w:rPr>
                <w:rFonts w:ascii="Arial MT"/>
                <w:sz w:val="12"/>
              </w:rPr>
            </w:pPr>
            <w:r>
              <w:rPr>
                <w:rFonts w:ascii="Arial MT"/>
                <w:spacing w:val="-2"/>
                <w:sz w:val="12"/>
              </w:rPr>
              <w:t>43,7%</w:t>
            </w:r>
          </w:p>
        </w:tc>
        <w:tc>
          <w:tcPr>
            <w:tcW w:w="873" w:type="dxa"/>
            <w:tcBorders>
              <w:top w:val="single" w:sz="8" w:space="0" w:color="8CB3E2"/>
              <w:left w:val="single" w:sz="8" w:space="0" w:color="8CB3E2"/>
            </w:tcBorders>
          </w:tcPr>
          <w:p w14:paraId="18BA9864" w14:textId="77777777" w:rsidR="002C6574" w:rsidRDefault="00000000">
            <w:pPr>
              <w:pStyle w:val="TableParagraph"/>
              <w:spacing w:before="48"/>
              <w:ind w:right="120"/>
              <w:rPr>
                <w:rFonts w:ascii="Arial MT"/>
                <w:sz w:val="12"/>
              </w:rPr>
            </w:pPr>
            <w:r>
              <w:rPr>
                <w:rFonts w:ascii="Arial MT"/>
                <w:spacing w:val="-2"/>
                <w:sz w:val="12"/>
              </w:rPr>
              <w:t>1.776.003</w:t>
            </w:r>
          </w:p>
        </w:tc>
        <w:tc>
          <w:tcPr>
            <w:tcW w:w="643" w:type="dxa"/>
            <w:tcBorders>
              <w:top w:val="single" w:sz="8" w:space="0" w:color="8CB3E2"/>
            </w:tcBorders>
          </w:tcPr>
          <w:p w14:paraId="4974EEB2" w14:textId="77777777" w:rsidR="002C6574" w:rsidRDefault="00000000">
            <w:pPr>
              <w:pStyle w:val="TableParagraph"/>
              <w:spacing w:before="48"/>
              <w:ind w:left="154" w:right="71"/>
              <w:jc w:val="center"/>
              <w:rPr>
                <w:rFonts w:ascii="Arial MT"/>
                <w:sz w:val="12"/>
              </w:rPr>
            </w:pPr>
            <w:r>
              <w:rPr>
                <w:rFonts w:ascii="Arial MT"/>
                <w:spacing w:val="-2"/>
                <w:sz w:val="12"/>
              </w:rPr>
              <w:t>43,4%</w:t>
            </w:r>
          </w:p>
        </w:tc>
        <w:tc>
          <w:tcPr>
            <w:tcW w:w="620" w:type="dxa"/>
            <w:tcBorders>
              <w:top w:val="single" w:sz="8" w:space="0" w:color="8CB3E2"/>
            </w:tcBorders>
          </w:tcPr>
          <w:p w14:paraId="25F60F9D" w14:textId="77777777" w:rsidR="002C6574" w:rsidRDefault="00000000">
            <w:pPr>
              <w:pStyle w:val="TableParagraph"/>
              <w:spacing w:before="48"/>
              <w:ind w:left="83" w:right="25"/>
              <w:jc w:val="center"/>
              <w:rPr>
                <w:rFonts w:ascii="Arial MT"/>
                <w:sz w:val="12"/>
              </w:rPr>
            </w:pPr>
            <w:r>
              <w:rPr>
                <w:rFonts w:ascii="Arial MT"/>
                <w:spacing w:val="-2"/>
                <w:sz w:val="12"/>
              </w:rPr>
              <w:t>10,5%</w:t>
            </w:r>
          </w:p>
        </w:tc>
        <w:tc>
          <w:tcPr>
            <w:tcW w:w="581" w:type="dxa"/>
            <w:tcBorders>
              <w:top w:val="single" w:sz="8" w:space="0" w:color="8CB3E2"/>
              <w:right w:val="single" w:sz="8" w:space="0" w:color="8CB3E2"/>
            </w:tcBorders>
          </w:tcPr>
          <w:p w14:paraId="6BC1B18E" w14:textId="77777777" w:rsidR="002C6574" w:rsidRDefault="00000000">
            <w:pPr>
              <w:pStyle w:val="TableParagraph"/>
              <w:spacing w:before="48"/>
              <w:ind w:left="131" w:right="27"/>
              <w:jc w:val="center"/>
              <w:rPr>
                <w:rFonts w:ascii="Arial MT"/>
                <w:sz w:val="12"/>
              </w:rPr>
            </w:pPr>
            <w:r>
              <w:rPr>
                <w:rFonts w:ascii="Arial MT"/>
                <w:spacing w:val="-2"/>
                <w:sz w:val="12"/>
              </w:rPr>
              <w:t>16,2%</w:t>
            </w:r>
          </w:p>
        </w:tc>
        <w:tc>
          <w:tcPr>
            <w:tcW w:w="820" w:type="dxa"/>
            <w:tcBorders>
              <w:top w:val="single" w:sz="8" w:space="0" w:color="8CB3E2"/>
              <w:left w:val="single" w:sz="8" w:space="0" w:color="8CB3E2"/>
            </w:tcBorders>
          </w:tcPr>
          <w:p w14:paraId="00C58548" w14:textId="77777777" w:rsidR="002C6574" w:rsidRDefault="00000000">
            <w:pPr>
              <w:pStyle w:val="TableParagraph"/>
              <w:spacing w:before="48"/>
              <w:ind w:right="70"/>
              <w:rPr>
                <w:rFonts w:ascii="Arial MT"/>
                <w:sz w:val="12"/>
              </w:rPr>
            </w:pPr>
            <w:r>
              <w:rPr>
                <w:rFonts w:ascii="Arial MT"/>
                <w:spacing w:val="-2"/>
                <w:sz w:val="12"/>
              </w:rPr>
              <w:t>1.607.349</w:t>
            </w:r>
          </w:p>
        </w:tc>
        <w:tc>
          <w:tcPr>
            <w:tcW w:w="548" w:type="dxa"/>
            <w:tcBorders>
              <w:top w:val="single" w:sz="8" w:space="0" w:color="8CB3E2"/>
            </w:tcBorders>
          </w:tcPr>
          <w:p w14:paraId="3496D5D3" w14:textId="77777777" w:rsidR="002C6574" w:rsidRDefault="00000000">
            <w:pPr>
              <w:pStyle w:val="TableParagraph"/>
              <w:spacing w:before="48"/>
              <w:ind w:right="69"/>
              <w:rPr>
                <w:rFonts w:ascii="Arial MT"/>
                <w:sz w:val="12"/>
              </w:rPr>
            </w:pPr>
            <w:r>
              <w:rPr>
                <w:rFonts w:ascii="Arial MT"/>
                <w:spacing w:val="-2"/>
                <w:sz w:val="12"/>
              </w:rPr>
              <w:t>40,1%</w:t>
            </w:r>
          </w:p>
        </w:tc>
      </w:tr>
      <w:tr w:rsidR="002C6574" w14:paraId="13B53538" w14:textId="77777777">
        <w:trPr>
          <w:trHeight w:val="231"/>
        </w:trPr>
        <w:tc>
          <w:tcPr>
            <w:tcW w:w="2203" w:type="dxa"/>
          </w:tcPr>
          <w:p w14:paraId="26102514" w14:textId="77777777" w:rsidR="002C6574" w:rsidRDefault="00000000">
            <w:pPr>
              <w:pStyle w:val="TableParagraph"/>
              <w:spacing w:before="44"/>
              <w:ind w:left="83"/>
              <w:jc w:val="left"/>
              <w:rPr>
                <w:rFonts w:ascii="Arial MT" w:hAnsi="Arial MT"/>
                <w:sz w:val="12"/>
              </w:rPr>
            </w:pPr>
            <w:r>
              <w:rPr>
                <w:rFonts w:ascii="Arial MT" w:hAnsi="Arial MT"/>
                <w:sz w:val="12"/>
              </w:rPr>
              <w:t>Ativo</w:t>
            </w:r>
            <w:r>
              <w:rPr>
                <w:rFonts w:ascii="Arial MT" w:hAnsi="Arial MT"/>
                <w:spacing w:val="-3"/>
                <w:sz w:val="12"/>
              </w:rPr>
              <w:t xml:space="preserve"> </w:t>
            </w:r>
            <w:r>
              <w:rPr>
                <w:rFonts w:ascii="Arial MT" w:hAnsi="Arial MT"/>
                <w:sz w:val="12"/>
              </w:rPr>
              <w:t xml:space="preserve">Não </w:t>
            </w:r>
            <w:r>
              <w:rPr>
                <w:rFonts w:ascii="Arial MT" w:hAnsi="Arial MT"/>
                <w:spacing w:val="-2"/>
                <w:sz w:val="12"/>
              </w:rPr>
              <w:t>Circulante</w:t>
            </w:r>
          </w:p>
        </w:tc>
        <w:tc>
          <w:tcPr>
            <w:tcW w:w="882" w:type="dxa"/>
          </w:tcPr>
          <w:p w14:paraId="546B2461" w14:textId="77777777" w:rsidR="002C6574" w:rsidRDefault="00000000">
            <w:pPr>
              <w:pStyle w:val="TableParagraph"/>
              <w:spacing w:before="44"/>
              <w:ind w:right="131"/>
              <w:rPr>
                <w:rFonts w:ascii="Arial MT"/>
                <w:sz w:val="12"/>
              </w:rPr>
            </w:pPr>
            <w:r>
              <w:rPr>
                <w:rFonts w:ascii="Arial MT"/>
                <w:spacing w:val="-2"/>
                <w:sz w:val="12"/>
              </w:rPr>
              <w:t>2.102.426</w:t>
            </w:r>
          </w:p>
        </w:tc>
        <w:tc>
          <w:tcPr>
            <w:tcW w:w="717" w:type="dxa"/>
          </w:tcPr>
          <w:p w14:paraId="2D5F7099" w14:textId="77777777" w:rsidR="002C6574" w:rsidRDefault="00000000">
            <w:pPr>
              <w:pStyle w:val="TableParagraph"/>
              <w:spacing w:before="44"/>
              <w:ind w:right="107"/>
              <w:rPr>
                <w:rFonts w:ascii="Arial MT"/>
                <w:sz w:val="12"/>
              </w:rPr>
            </w:pPr>
            <w:r>
              <w:rPr>
                <w:rFonts w:ascii="Arial MT"/>
                <w:spacing w:val="-2"/>
                <w:sz w:val="12"/>
              </w:rPr>
              <w:t>47,65%</w:t>
            </w:r>
          </w:p>
        </w:tc>
        <w:tc>
          <w:tcPr>
            <w:tcW w:w="623" w:type="dxa"/>
          </w:tcPr>
          <w:p w14:paraId="416F6729" w14:textId="77777777" w:rsidR="002C6574" w:rsidRDefault="00000000">
            <w:pPr>
              <w:pStyle w:val="TableParagraph"/>
              <w:spacing w:before="44"/>
              <w:ind w:left="90" w:right="1"/>
              <w:jc w:val="center"/>
              <w:rPr>
                <w:rFonts w:ascii="Arial MT"/>
                <w:sz w:val="12"/>
              </w:rPr>
            </w:pPr>
            <w:r>
              <w:rPr>
                <w:rFonts w:ascii="Arial MT"/>
                <w:sz w:val="12"/>
              </w:rPr>
              <w:t>-</w:t>
            </w:r>
            <w:r>
              <w:rPr>
                <w:rFonts w:ascii="Arial MT"/>
                <w:spacing w:val="-4"/>
                <w:sz w:val="12"/>
              </w:rPr>
              <w:t>9,1%</w:t>
            </w:r>
          </w:p>
        </w:tc>
        <w:tc>
          <w:tcPr>
            <w:tcW w:w="580" w:type="dxa"/>
            <w:tcBorders>
              <w:right w:val="single" w:sz="8" w:space="0" w:color="8CB3E2"/>
            </w:tcBorders>
          </w:tcPr>
          <w:p w14:paraId="69D577F8" w14:textId="77777777" w:rsidR="002C6574" w:rsidRDefault="00000000">
            <w:pPr>
              <w:pStyle w:val="TableParagraph"/>
              <w:spacing w:before="44"/>
              <w:ind w:right="55"/>
              <w:rPr>
                <w:rFonts w:ascii="Arial MT"/>
                <w:sz w:val="12"/>
              </w:rPr>
            </w:pPr>
            <w:r>
              <w:rPr>
                <w:rFonts w:ascii="Arial MT"/>
                <w:sz w:val="12"/>
              </w:rPr>
              <w:t>-</w:t>
            </w:r>
            <w:r>
              <w:rPr>
                <w:rFonts w:ascii="Arial MT"/>
                <w:spacing w:val="-2"/>
                <w:sz w:val="12"/>
              </w:rPr>
              <w:t>12,3%</w:t>
            </w:r>
          </w:p>
        </w:tc>
        <w:tc>
          <w:tcPr>
            <w:tcW w:w="873" w:type="dxa"/>
            <w:tcBorders>
              <w:left w:val="single" w:sz="8" w:space="0" w:color="8CB3E2"/>
            </w:tcBorders>
          </w:tcPr>
          <w:p w14:paraId="3D684A66" w14:textId="77777777" w:rsidR="002C6574" w:rsidRDefault="00000000">
            <w:pPr>
              <w:pStyle w:val="TableParagraph"/>
              <w:spacing w:before="44"/>
              <w:ind w:right="120"/>
              <w:rPr>
                <w:rFonts w:ascii="Arial MT"/>
                <w:sz w:val="12"/>
              </w:rPr>
            </w:pPr>
            <w:r>
              <w:rPr>
                <w:rFonts w:ascii="Arial MT"/>
                <w:spacing w:val="-2"/>
                <w:sz w:val="12"/>
              </w:rPr>
              <w:t>2.313.982</w:t>
            </w:r>
          </w:p>
        </w:tc>
        <w:tc>
          <w:tcPr>
            <w:tcW w:w="643" w:type="dxa"/>
          </w:tcPr>
          <w:p w14:paraId="64FAF4B5" w14:textId="77777777" w:rsidR="002C6574" w:rsidRDefault="00000000">
            <w:pPr>
              <w:pStyle w:val="TableParagraph"/>
              <w:spacing w:before="44"/>
              <w:ind w:left="154" w:right="71"/>
              <w:jc w:val="center"/>
              <w:rPr>
                <w:rFonts w:ascii="Arial MT"/>
                <w:sz w:val="12"/>
              </w:rPr>
            </w:pPr>
            <w:r>
              <w:rPr>
                <w:rFonts w:ascii="Arial MT"/>
                <w:spacing w:val="-2"/>
                <w:sz w:val="12"/>
              </w:rPr>
              <w:t>56,6%</w:t>
            </w:r>
          </w:p>
        </w:tc>
        <w:tc>
          <w:tcPr>
            <w:tcW w:w="620" w:type="dxa"/>
          </w:tcPr>
          <w:p w14:paraId="0A8AB2CD" w14:textId="77777777" w:rsidR="002C6574" w:rsidRDefault="00000000">
            <w:pPr>
              <w:pStyle w:val="TableParagraph"/>
              <w:spacing w:before="44"/>
              <w:ind w:left="83"/>
              <w:jc w:val="center"/>
              <w:rPr>
                <w:rFonts w:ascii="Arial MT"/>
                <w:sz w:val="12"/>
              </w:rPr>
            </w:pPr>
            <w:r>
              <w:rPr>
                <w:rFonts w:ascii="Arial MT"/>
                <w:sz w:val="12"/>
              </w:rPr>
              <w:t>-</w:t>
            </w:r>
            <w:r>
              <w:rPr>
                <w:rFonts w:ascii="Arial MT"/>
                <w:spacing w:val="-4"/>
                <w:sz w:val="12"/>
              </w:rPr>
              <w:t>3,4%</w:t>
            </w:r>
          </w:p>
        </w:tc>
        <w:tc>
          <w:tcPr>
            <w:tcW w:w="581" w:type="dxa"/>
            <w:tcBorders>
              <w:right w:val="single" w:sz="8" w:space="0" w:color="8CB3E2"/>
            </w:tcBorders>
          </w:tcPr>
          <w:p w14:paraId="05FA1D4C" w14:textId="77777777" w:rsidR="002C6574" w:rsidRDefault="00000000">
            <w:pPr>
              <w:pStyle w:val="TableParagraph"/>
              <w:spacing w:before="44"/>
              <w:ind w:left="131"/>
              <w:jc w:val="center"/>
              <w:rPr>
                <w:rFonts w:ascii="Arial MT"/>
                <w:sz w:val="12"/>
              </w:rPr>
            </w:pPr>
            <w:r>
              <w:rPr>
                <w:rFonts w:ascii="Arial MT"/>
                <w:sz w:val="12"/>
              </w:rPr>
              <w:t>-</w:t>
            </w:r>
            <w:r>
              <w:rPr>
                <w:rFonts w:ascii="Arial MT"/>
                <w:spacing w:val="-4"/>
                <w:sz w:val="12"/>
              </w:rPr>
              <w:t>7,7%</w:t>
            </w:r>
          </w:p>
        </w:tc>
        <w:tc>
          <w:tcPr>
            <w:tcW w:w="820" w:type="dxa"/>
            <w:tcBorders>
              <w:left w:val="single" w:sz="8" w:space="0" w:color="8CB3E2"/>
            </w:tcBorders>
          </w:tcPr>
          <w:p w14:paraId="67429046" w14:textId="77777777" w:rsidR="002C6574" w:rsidRDefault="00000000">
            <w:pPr>
              <w:pStyle w:val="TableParagraph"/>
              <w:spacing w:before="44"/>
              <w:ind w:right="70"/>
              <w:rPr>
                <w:rFonts w:ascii="Arial MT"/>
                <w:sz w:val="12"/>
              </w:rPr>
            </w:pPr>
            <w:r>
              <w:rPr>
                <w:rFonts w:ascii="Arial MT"/>
                <w:spacing w:val="-2"/>
                <w:sz w:val="12"/>
              </w:rPr>
              <w:t>2.396.238</w:t>
            </w:r>
          </w:p>
        </w:tc>
        <w:tc>
          <w:tcPr>
            <w:tcW w:w="548" w:type="dxa"/>
          </w:tcPr>
          <w:p w14:paraId="7FA5B8F3" w14:textId="77777777" w:rsidR="002C6574" w:rsidRDefault="00000000">
            <w:pPr>
              <w:pStyle w:val="TableParagraph"/>
              <w:spacing w:before="44"/>
              <w:ind w:right="69"/>
              <w:rPr>
                <w:rFonts w:ascii="Arial MT"/>
                <w:sz w:val="12"/>
              </w:rPr>
            </w:pPr>
            <w:r>
              <w:rPr>
                <w:rFonts w:ascii="Arial MT"/>
                <w:spacing w:val="-2"/>
                <w:sz w:val="12"/>
              </w:rPr>
              <w:t>59,9%</w:t>
            </w:r>
          </w:p>
        </w:tc>
      </w:tr>
      <w:tr w:rsidR="002C6574" w14:paraId="4CB0A7EF" w14:textId="77777777">
        <w:trPr>
          <w:trHeight w:val="232"/>
        </w:trPr>
        <w:tc>
          <w:tcPr>
            <w:tcW w:w="2203" w:type="dxa"/>
          </w:tcPr>
          <w:p w14:paraId="29C77166" w14:textId="77777777" w:rsidR="002C6574" w:rsidRDefault="00000000">
            <w:pPr>
              <w:pStyle w:val="TableParagraph"/>
              <w:spacing w:before="45"/>
              <w:ind w:left="203"/>
              <w:jc w:val="left"/>
              <w:rPr>
                <w:rFonts w:ascii="Arial MT" w:hAnsi="Arial MT"/>
                <w:sz w:val="12"/>
              </w:rPr>
            </w:pPr>
            <w:r>
              <w:rPr>
                <w:rFonts w:ascii="Arial MT" w:hAnsi="Arial MT"/>
                <w:sz w:val="12"/>
              </w:rPr>
              <w:t>Realizável</w:t>
            </w:r>
            <w:r>
              <w:rPr>
                <w:rFonts w:ascii="Arial MT" w:hAnsi="Arial MT"/>
                <w:spacing w:val="-3"/>
                <w:sz w:val="12"/>
              </w:rPr>
              <w:t xml:space="preserve"> </w:t>
            </w:r>
            <w:r>
              <w:rPr>
                <w:rFonts w:ascii="Arial MT" w:hAnsi="Arial MT"/>
                <w:sz w:val="12"/>
              </w:rPr>
              <w:t>a</w:t>
            </w:r>
            <w:r>
              <w:rPr>
                <w:rFonts w:ascii="Arial MT" w:hAnsi="Arial MT"/>
                <w:spacing w:val="-1"/>
                <w:sz w:val="12"/>
              </w:rPr>
              <w:t xml:space="preserve"> </w:t>
            </w:r>
            <w:r>
              <w:rPr>
                <w:rFonts w:ascii="Arial MT" w:hAnsi="Arial MT"/>
                <w:sz w:val="12"/>
              </w:rPr>
              <w:t>Longo</w:t>
            </w:r>
            <w:r>
              <w:rPr>
                <w:rFonts w:ascii="Arial MT" w:hAnsi="Arial MT"/>
                <w:spacing w:val="1"/>
                <w:sz w:val="12"/>
              </w:rPr>
              <w:t xml:space="preserve"> </w:t>
            </w:r>
            <w:r>
              <w:rPr>
                <w:rFonts w:ascii="Arial MT" w:hAnsi="Arial MT"/>
                <w:spacing w:val="-2"/>
                <w:sz w:val="12"/>
              </w:rPr>
              <w:t>Prazo</w:t>
            </w:r>
          </w:p>
        </w:tc>
        <w:tc>
          <w:tcPr>
            <w:tcW w:w="882" w:type="dxa"/>
          </w:tcPr>
          <w:p w14:paraId="6356178A" w14:textId="77777777" w:rsidR="002C6574" w:rsidRDefault="00000000">
            <w:pPr>
              <w:pStyle w:val="TableParagraph"/>
              <w:spacing w:before="45"/>
              <w:ind w:right="130"/>
              <w:rPr>
                <w:rFonts w:ascii="Arial MT"/>
                <w:sz w:val="12"/>
              </w:rPr>
            </w:pPr>
            <w:r>
              <w:rPr>
                <w:rFonts w:ascii="Arial MT"/>
                <w:spacing w:val="-2"/>
                <w:sz w:val="12"/>
              </w:rPr>
              <w:t>302.014</w:t>
            </w:r>
          </w:p>
        </w:tc>
        <w:tc>
          <w:tcPr>
            <w:tcW w:w="717" w:type="dxa"/>
          </w:tcPr>
          <w:p w14:paraId="78D1FFE4" w14:textId="77777777" w:rsidR="002C6574" w:rsidRDefault="00000000">
            <w:pPr>
              <w:pStyle w:val="TableParagraph"/>
              <w:spacing w:before="45"/>
              <w:ind w:right="107"/>
              <w:rPr>
                <w:rFonts w:ascii="Arial MT"/>
                <w:sz w:val="12"/>
              </w:rPr>
            </w:pPr>
            <w:r>
              <w:rPr>
                <w:rFonts w:ascii="Arial MT"/>
                <w:spacing w:val="-2"/>
                <w:sz w:val="12"/>
              </w:rPr>
              <w:t>6,84%</w:t>
            </w:r>
          </w:p>
        </w:tc>
        <w:tc>
          <w:tcPr>
            <w:tcW w:w="623" w:type="dxa"/>
          </w:tcPr>
          <w:p w14:paraId="2B52CA36" w14:textId="77777777" w:rsidR="002C6574" w:rsidRDefault="00000000">
            <w:pPr>
              <w:pStyle w:val="TableParagraph"/>
              <w:spacing w:before="45"/>
              <w:ind w:left="90"/>
              <w:jc w:val="center"/>
              <w:rPr>
                <w:rFonts w:ascii="Arial MT"/>
                <w:sz w:val="12"/>
              </w:rPr>
            </w:pPr>
            <w:r>
              <w:rPr>
                <w:rFonts w:ascii="Arial MT"/>
                <w:sz w:val="12"/>
              </w:rPr>
              <w:t>-</w:t>
            </w:r>
            <w:r>
              <w:rPr>
                <w:rFonts w:ascii="Arial MT"/>
                <w:spacing w:val="-4"/>
                <w:sz w:val="12"/>
              </w:rPr>
              <w:t>0,9%</w:t>
            </w:r>
          </w:p>
        </w:tc>
        <w:tc>
          <w:tcPr>
            <w:tcW w:w="580" w:type="dxa"/>
            <w:tcBorders>
              <w:right w:val="single" w:sz="8" w:space="0" w:color="8CB3E2"/>
            </w:tcBorders>
          </w:tcPr>
          <w:p w14:paraId="2224412D" w14:textId="77777777" w:rsidR="002C6574" w:rsidRDefault="00000000">
            <w:pPr>
              <w:pStyle w:val="TableParagraph"/>
              <w:spacing w:before="45"/>
              <w:ind w:right="56"/>
              <w:rPr>
                <w:rFonts w:ascii="Arial MT"/>
                <w:sz w:val="12"/>
              </w:rPr>
            </w:pPr>
            <w:r>
              <w:rPr>
                <w:rFonts w:ascii="Arial MT"/>
                <w:spacing w:val="-2"/>
                <w:sz w:val="12"/>
              </w:rPr>
              <w:t>66,3%</w:t>
            </w:r>
          </w:p>
        </w:tc>
        <w:tc>
          <w:tcPr>
            <w:tcW w:w="873" w:type="dxa"/>
            <w:tcBorders>
              <w:left w:val="single" w:sz="8" w:space="0" w:color="8CB3E2"/>
            </w:tcBorders>
          </w:tcPr>
          <w:p w14:paraId="63E520BB" w14:textId="77777777" w:rsidR="002C6574" w:rsidRDefault="00000000">
            <w:pPr>
              <w:pStyle w:val="TableParagraph"/>
              <w:spacing w:before="45"/>
              <w:ind w:right="122"/>
              <w:rPr>
                <w:rFonts w:ascii="Arial MT"/>
                <w:sz w:val="12"/>
              </w:rPr>
            </w:pPr>
            <w:r>
              <w:rPr>
                <w:rFonts w:ascii="Arial MT"/>
                <w:spacing w:val="-2"/>
                <w:sz w:val="12"/>
              </w:rPr>
              <w:t>304.747</w:t>
            </w:r>
          </w:p>
        </w:tc>
        <w:tc>
          <w:tcPr>
            <w:tcW w:w="643" w:type="dxa"/>
          </w:tcPr>
          <w:p w14:paraId="6825876A" w14:textId="77777777" w:rsidR="002C6574" w:rsidRDefault="00000000">
            <w:pPr>
              <w:pStyle w:val="TableParagraph"/>
              <w:spacing w:before="45"/>
              <w:ind w:left="154" w:right="6"/>
              <w:jc w:val="center"/>
              <w:rPr>
                <w:rFonts w:ascii="Arial MT"/>
                <w:sz w:val="12"/>
              </w:rPr>
            </w:pPr>
            <w:r>
              <w:rPr>
                <w:rFonts w:ascii="Arial MT"/>
                <w:spacing w:val="-4"/>
                <w:sz w:val="12"/>
              </w:rPr>
              <w:t>7,5%</w:t>
            </w:r>
          </w:p>
        </w:tc>
        <w:tc>
          <w:tcPr>
            <w:tcW w:w="620" w:type="dxa"/>
          </w:tcPr>
          <w:p w14:paraId="02C8D36A" w14:textId="77777777" w:rsidR="002C6574" w:rsidRDefault="00000000">
            <w:pPr>
              <w:pStyle w:val="TableParagraph"/>
              <w:spacing w:before="45"/>
              <w:ind w:left="83" w:right="26"/>
              <w:jc w:val="center"/>
              <w:rPr>
                <w:rFonts w:ascii="Arial MT"/>
                <w:sz w:val="12"/>
              </w:rPr>
            </w:pPr>
            <w:r>
              <w:rPr>
                <w:rFonts w:ascii="Arial MT"/>
                <w:spacing w:val="-2"/>
                <w:sz w:val="12"/>
              </w:rPr>
              <w:t>67,8%</w:t>
            </w:r>
          </w:p>
        </w:tc>
        <w:tc>
          <w:tcPr>
            <w:tcW w:w="581" w:type="dxa"/>
            <w:tcBorders>
              <w:right w:val="single" w:sz="8" w:space="0" w:color="8CB3E2"/>
            </w:tcBorders>
          </w:tcPr>
          <w:p w14:paraId="6D633E2E" w14:textId="77777777" w:rsidR="002C6574" w:rsidRDefault="00000000">
            <w:pPr>
              <w:pStyle w:val="TableParagraph"/>
              <w:spacing w:before="45"/>
              <w:ind w:left="131" w:right="27"/>
              <w:jc w:val="center"/>
              <w:rPr>
                <w:rFonts w:ascii="Arial MT"/>
                <w:sz w:val="12"/>
              </w:rPr>
            </w:pPr>
            <w:r>
              <w:rPr>
                <w:rFonts w:ascii="Arial MT"/>
                <w:spacing w:val="-2"/>
                <w:sz w:val="12"/>
              </w:rPr>
              <w:t>99,9%</w:t>
            </w:r>
          </w:p>
        </w:tc>
        <w:tc>
          <w:tcPr>
            <w:tcW w:w="820" w:type="dxa"/>
            <w:tcBorders>
              <w:left w:val="single" w:sz="8" w:space="0" w:color="8CB3E2"/>
            </w:tcBorders>
          </w:tcPr>
          <w:p w14:paraId="13555F28" w14:textId="77777777" w:rsidR="002C6574" w:rsidRDefault="00000000">
            <w:pPr>
              <w:pStyle w:val="TableParagraph"/>
              <w:spacing w:before="45"/>
              <w:ind w:right="71"/>
              <w:rPr>
                <w:rFonts w:ascii="Arial MT"/>
                <w:sz w:val="12"/>
              </w:rPr>
            </w:pPr>
            <w:r>
              <w:rPr>
                <w:rFonts w:ascii="Arial MT"/>
                <w:spacing w:val="-2"/>
                <w:sz w:val="12"/>
              </w:rPr>
              <w:t>181.609</w:t>
            </w:r>
          </w:p>
        </w:tc>
        <w:tc>
          <w:tcPr>
            <w:tcW w:w="548" w:type="dxa"/>
          </w:tcPr>
          <w:p w14:paraId="4D303010" w14:textId="77777777" w:rsidR="002C6574" w:rsidRDefault="00000000">
            <w:pPr>
              <w:pStyle w:val="TableParagraph"/>
              <w:spacing w:before="45"/>
              <w:ind w:right="70"/>
              <w:rPr>
                <w:rFonts w:ascii="Arial MT"/>
                <w:sz w:val="12"/>
              </w:rPr>
            </w:pPr>
            <w:r>
              <w:rPr>
                <w:rFonts w:ascii="Arial MT"/>
                <w:spacing w:val="-4"/>
                <w:sz w:val="12"/>
              </w:rPr>
              <w:t>4,5%</w:t>
            </w:r>
          </w:p>
        </w:tc>
      </w:tr>
      <w:tr w:rsidR="002C6574" w14:paraId="5F9C7C25" w14:textId="77777777">
        <w:trPr>
          <w:trHeight w:val="231"/>
        </w:trPr>
        <w:tc>
          <w:tcPr>
            <w:tcW w:w="2203" w:type="dxa"/>
          </w:tcPr>
          <w:p w14:paraId="302758A9" w14:textId="77777777" w:rsidR="002C6574" w:rsidRDefault="00000000">
            <w:pPr>
              <w:pStyle w:val="TableParagraph"/>
              <w:spacing w:before="45"/>
              <w:ind w:left="203"/>
              <w:jc w:val="left"/>
              <w:rPr>
                <w:rFonts w:ascii="Arial MT"/>
                <w:sz w:val="12"/>
              </w:rPr>
            </w:pPr>
            <w:r>
              <w:rPr>
                <w:rFonts w:ascii="Arial MT"/>
                <w:spacing w:val="-2"/>
                <w:sz w:val="12"/>
              </w:rPr>
              <w:t>Investimentos</w:t>
            </w:r>
          </w:p>
        </w:tc>
        <w:tc>
          <w:tcPr>
            <w:tcW w:w="882" w:type="dxa"/>
          </w:tcPr>
          <w:p w14:paraId="70812741" w14:textId="77777777" w:rsidR="002C6574" w:rsidRDefault="00000000">
            <w:pPr>
              <w:pStyle w:val="TableParagraph"/>
              <w:spacing w:before="45"/>
              <w:ind w:right="132"/>
              <w:rPr>
                <w:rFonts w:ascii="Arial MT"/>
                <w:sz w:val="12"/>
              </w:rPr>
            </w:pPr>
            <w:r>
              <w:rPr>
                <w:rFonts w:ascii="Arial MT"/>
                <w:spacing w:val="-2"/>
                <w:sz w:val="12"/>
              </w:rPr>
              <w:t>76.332</w:t>
            </w:r>
          </w:p>
        </w:tc>
        <w:tc>
          <w:tcPr>
            <w:tcW w:w="717" w:type="dxa"/>
          </w:tcPr>
          <w:p w14:paraId="25CBDCFB" w14:textId="77777777" w:rsidR="002C6574" w:rsidRDefault="00000000">
            <w:pPr>
              <w:pStyle w:val="TableParagraph"/>
              <w:spacing w:before="45"/>
              <w:ind w:right="107"/>
              <w:rPr>
                <w:rFonts w:ascii="Arial MT"/>
                <w:sz w:val="12"/>
              </w:rPr>
            </w:pPr>
            <w:r>
              <w:rPr>
                <w:rFonts w:ascii="Arial MT"/>
                <w:spacing w:val="-2"/>
                <w:sz w:val="12"/>
              </w:rPr>
              <w:t>1,73%</w:t>
            </w:r>
          </w:p>
        </w:tc>
        <w:tc>
          <w:tcPr>
            <w:tcW w:w="623" w:type="dxa"/>
          </w:tcPr>
          <w:p w14:paraId="18E9401C" w14:textId="77777777" w:rsidR="002C6574" w:rsidRDefault="00000000">
            <w:pPr>
              <w:pStyle w:val="TableParagraph"/>
              <w:spacing w:before="45"/>
              <w:ind w:left="90"/>
              <w:jc w:val="center"/>
              <w:rPr>
                <w:rFonts w:ascii="Arial MT"/>
                <w:sz w:val="12"/>
              </w:rPr>
            </w:pPr>
            <w:r>
              <w:rPr>
                <w:rFonts w:ascii="Arial MT"/>
                <w:sz w:val="12"/>
              </w:rPr>
              <w:t>-</w:t>
            </w:r>
            <w:r>
              <w:rPr>
                <w:rFonts w:ascii="Arial MT"/>
                <w:spacing w:val="-4"/>
                <w:sz w:val="12"/>
              </w:rPr>
              <w:t>4,7%</w:t>
            </w:r>
          </w:p>
        </w:tc>
        <w:tc>
          <w:tcPr>
            <w:tcW w:w="580" w:type="dxa"/>
            <w:tcBorders>
              <w:right w:val="single" w:sz="8" w:space="0" w:color="8CB3E2"/>
            </w:tcBorders>
          </w:tcPr>
          <w:p w14:paraId="474D2B1E" w14:textId="77777777" w:rsidR="002C6574" w:rsidRDefault="00000000">
            <w:pPr>
              <w:pStyle w:val="TableParagraph"/>
              <w:spacing w:before="45"/>
              <w:ind w:right="58"/>
              <w:rPr>
                <w:rFonts w:ascii="Arial MT"/>
                <w:sz w:val="12"/>
              </w:rPr>
            </w:pPr>
            <w:r>
              <w:rPr>
                <w:rFonts w:ascii="Arial MT"/>
                <w:spacing w:val="-4"/>
                <w:sz w:val="12"/>
              </w:rPr>
              <w:t>8,9%</w:t>
            </w:r>
          </w:p>
        </w:tc>
        <w:tc>
          <w:tcPr>
            <w:tcW w:w="873" w:type="dxa"/>
            <w:tcBorders>
              <w:left w:val="single" w:sz="8" w:space="0" w:color="8CB3E2"/>
            </w:tcBorders>
          </w:tcPr>
          <w:p w14:paraId="767BF988" w14:textId="77777777" w:rsidR="002C6574" w:rsidRDefault="00000000">
            <w:pPr>
              <w:pStyle w:val="TableParagraph"/>
              <w:spacing w:before="45"/>
              <w:ind w:right="121"/>
              <w:rPr>
                <w:rFonts w:ascii="Arial MT"/>
                <w:sz w:val="12"/>
              </w:rPr>
            </w:pPr>
            <w:r>
              <w:rPr>
                <w:rFonts w:ascii="Arial MT"/>
                <w:spacing w:val="-2"/>
                <w:sz w:val="12"/>
              </w:rPr>
              <w:t>80.124</w:t>
            </w:r>
          </w:p>
        </w:tc>
        <w:tc>
          <w:tcPr>
            <w:tcW w:w="643" w:type="dxa"/>
          </w:tcPr>
          <w:p w14:paraId="0D20DC3B" w14:textId="77777777" w:rsidR="002C6574" w:rsidRDefault="00000000">
            <w:pPr>
              <w:pStyle w:val="TableParagraph"/>
              <w:spacing w:before="45"/>
              <w:ind w:left="154" w:right="5"/>
              <w:jc w:val="center"/>
              <w:rPr>
                <w:rFonts w:ascii="Arial MT"/>
                <w:sz w:val="12"/>
              </w:rPr>
            </w:pPr>
            <w:r>
              <w:rPr>
                <w:rFonts w:ascii="Arial MT"/>
                <w:spacing w:val="-4"/>
                <w:sz w:val="12"/>
              </w:rPr>
              <w:t>2,0%</w:t>
            </w:r>
          </w:p>
        </w:tc>
        <w:tc>
          <w:tcPr>
            <w:tcW w:w="620" w:type="dxa"/>
          </w:tcPr>
          <w:p w14:paraId="40AD86CB" w14:textId="77777777" w:rsidR="002C6574" w:rsidRDefault="00000000">
            <w:pPr>
              <w:pStyle w:val="TableParagraph"/>
              <w:spacing w:before="45"/>
              <w:ind w:left="83" w:right="25"/>
              <w:jc w:val="center"/>
              <w:rPr>
                <w:rFonts w:ascii="Arial MT"/>
                <w:sz w:val="12"/>
              </w:rPr>
            </w:pPr>
            <w:r>
              <w:rPr>
                <w:rFonts w:ascii="Arial MT"/>
                <w:spacing w:val="-2"/>
                <w:sz w:val="12"/>
              </w:rPr>
              <w:t>14,3%</w:t>
            </w:r>
          </w:p>
        </w:tc>
        <w:tc>
          <w:tcPr>
            <w:tcW w:w="581" w:type="dxa"/>
            <w:tcBorders>
              <w:right w:val="single" w:sz="8" w:space="0" w:color="8CB3E2"/>
            </w:tcBorders>
          </w:tcPr>
          <w:p w14:paraId="5C18FEE6" w14:textId="77777777" w:rsidR="002C6574" w:rsidRDefault="00000000">
            <w:pPr>
              <w:pStyle w:val="TableParagraph"/>
              <w:spacing w:before="45"/>
              <w:ind w:left="172"/>
              <w:jc w:val="center"/>
              <w:rPr>
                <w:rFonts w:ascii="Arial MT"/>
                <w:sz w:val="12"/>
              </w:rPr>
            </w:pPr>
            <w:r>
              <w:rPr>
                <w:rFonts w:ascii="Arial MT"/>
                <w:spacing w:val="-4"/>
                <w:sz w:val="12"/>
              </w:rPr>
              <w:t>6,6%</w:t>
            </w:r>
          </w:p>
        </w:tc>
        <w:tc>
          <w:tcPr>
            <w:tcW w:w="820" w:type="dxa"/>
            <w:tcBorders>
              <w:left w:val="single" w:sz="8" w:space="0" w:color="8CB3E2"/>
            </w:tcBorders>
          </w:tcPr>
          <w:p w14:paraId="45F79FA3" w14:textId="77777777" w:rsidR="002C6574" w:rsidRDefault="00000000">
            <w:pPr>
              <w:pStyle w:val="TableParagraph"/>
              <w:spacing w:before="45"/>
              <w:ind w:right="71"/>
              <w:rPr>
                <w:rFonts w:ascii="Arial MT"/>
                <w:sz w:val="12"/>
              </w:rPr>
            </w:pPr>
            <w:r>
              <w:rPr>
                <w:rFonts w:ascii="Arial MT"/>
                <w:spacing w:val="-2"/>
                <w:sz w:val="12"/>
              </w:rPr>
              <w:t>70.084</w:t>
            </w:r>
          </w:p>
        </w:tc>
        <w:tc>
          <w:tcPr>
            <w:tcW w:w="548" w:type="dxa"/>
          </w:tcPr>
          <w:p w14:paraId="47B40123" w14:textId="77777777" w:rsidR="002C6574" w:rsidRDefault="00000000">
            <w:pPr>
              <w:pStyle w:val="TableParagraph"/>
              <w:spacing w:before="45"/>
              <w:ind w:right="70"/>
              <w:rPr>
                <w:rFonts w:ascii="Arial MT"/>
                <w:sz w:val="12"/>
              </w:rPr>
            </w:pPr>
            <w:r>
              <w:rPr>
                <w:rFonts w:ascii="Arial MT"/>
                <w:spacing w:val="-4"/>
                <w:sz w:val="12"/>
              </w:rPr>
              <w:t>1,8%</w:t>
            </w:r>
          </w:p>
        </w:tc>
      </w:tr>
      <w:tr w:rsidR="002C6574" w14:paraId="3C3FBB60" w14:textId="77777777">
        <w:trPr>
          <w:trHeight w:val="231"/>
        </w:trPr>
        <w:tc>
          <w:tcPr>
            <w:tcW w:w="2203" w:type="dxa"/>
          </w:tcPr>
          <w:p w14:paraId="11538EE1" w14:textId="77777777" w:rsidR="002C6574" w:rsidRDefault="00000000">
            <w:pPr>
              <w:pStyle w:val="TableParagraph"/>
              <w:spacing w:before="44"/>
              <w:ind w:left="203"/>
              <w:jc w:val="left"/>
              <w:rPr>
                <w:rFonts w:ascii="Arial MT"/>
                <w:sz w:val="12"/>
              </w:rPr>
            </w:pPr>
            <w:r>
              <w:rPr>
                <w:rFonts w:ascii="Arial MT"/>
                <w:spacing w:val="-2"/>
                <w:sz w:val="12"/>
              </w:rPr>
              <w:t>Imobilizado</w:t>
            </w:r>
          </w:p>
        </w:tc>
        <w:tc>
          <w:tcPr>
            <w:tcW w:w="882" w:type="dxa"/>
          </w:tcPr>
          <w:p w14:paraId="4D9D15BE" w14:textId="77777777" w:rsidR="002C6574" w:rsidRDefault="00000000">
            <w:pPr>
              <w:pStyle w:val="TableParagraph"/>
              <w:spacing w:before="44"/>
              <w:ind w:right="131"/>
              <w:rPr>
                <w:rFonts w:ascii="Arial MT"/>
                <w:sz w:val="12"/>
              </w:rPr>
            </w:pPr>
            <w:r>
              <w:rPr>
                <w:rFonts w:ascii="Arial MT"/>
                <w:spacing w:val="-2"/>
                <w:sz w:val="12"/>
              </w:rPr>
              <w:t>1.697.499</w:t>
            </w:r>
          </w:p>
        </w:tc>
        <w:tc>
          <w:tcPr>
            <w:tcW w:w="717" w:type="dxa"/>
          </w:tcPr>
          <w:p w14:paraId="1E580938" w14:textId="77777777" w:rsidR="002C6574" w:rsidRDefault="00000000">
            <w:pPr>
              <w:pStyle w:val="TableParagraph"/>
              <w:spacing w:before="44"/>
              <w:ind w:right="108"/>
              <w:rPr>
                <w:rFonts w:ascii="Arial MT"/>
                <w:sz w:val="12"/>
              </w:rPr>
            </w:pPr>
            <w:r>
              <w:rPr>
                <w:rFonts w:ascii="Arial MT"/>
                <w:spacing w:val="-2"/>
                <w:sz w:val="12"/>
              </w:rPr>
              <w:t>38,47%</w:t>
            </w:r>
          </w:p>
        </w:tc>
        <w:tc>
          <w:tcPr>
            <w:tcW w:w="623" w:type="dxa"/>
          </w:tcPr>
          <w:p w14:paraId="3266721A" w14:textId="77777777" w:rsidR="002C6574" w:rsidRDefault="00000000">
            <w:pPr>
              <w:pStyle w:val="TableParagraph"/>
              <w:spacing w:before="44"/>
              <w:ind w:left="90" w:right="62"/>
              <w:jc w:val="center"/>
              <w:rPr>
                <w:rFonts w:ascii="Arial MT"/>
                <w:sz w:val="12"/>
              </w:rPr>
            </w:pPr>
            <w:r>
              <w:rPr>
                <w:rFonts w:ascii="Arial MT"/>
                <w:sz w:val="12"/>
              </w:rPr>
              <w:t>-</w:t>
            </w:r>
            <w:r>
              <w:rPr>
                <w:rFonts w:ascii="Arial MT"/>
                <w:spacing w:val="-2"/>
                <w:sz w:val="12"/>
              </w:rPr>
              <w:t>11,1%</w:t>
            </w:r>
          </w:p>
        </w:tc>
        <w:tc>
          <w:tcPr>
            <w:tcW w:w="580" w:type="dxa"/>
            <w:tcBorders>
              <w:right w:val="single" w:sz="8" w:space="0" w:color="8CB3E2"/>
            </w:tcBorders>
          </w:tcPr>
          <w:p w14:paraId="1F34113C" w14:textId="77777777" w:rsidR="002C6574" w:rsidRDefault="00000000">
            <w:pPr>
              <w:pStyle w:val="TableParagraph"/>
              <w:spacing w:before="44"/>
              <w:ind w:right="54"/>
              <w:rPr>
                <w:rFonts w:ascii="Arial MT"/>
                <w:sz w:val="12"/>
              </w:rPr>
            </w:pPr>
            <w:r>
              <w:rPr>
                <w:rFonts w:ascii="Arial MT"/>
                <w:sz w:val="12"/>
              </w:rPr>
              <w:t>-</w:t>
            </w:r>
            <w:r>
              <w:rPr>
                <w:rFonts w:ascii="Arial MT"/>
                <w:spacing w:val="-2"/>
                <w:sz w:val="12"/>
              </w:rPr>
              <w:t>20,0%</w:t>
            </w:r>
          </w:p>
        </w:tc>
        <w:tc>
          <w:tcPr>
            <w:tcW w:w="873" w:type="dxa"/>
            <w:tcBorders>
              <w:left w:val="single" w:sz="8" w:space="0" w:color="8CB3E2"/>
            </w:tcBorders>
          </w:tcPr>
          <w:p w14:paraId="2B85F0B5" w14:textId="77777777" w:rsidR="002C6574" w:rsidRDefault="00000000">
            <w:pPr>
              <w:pStyle w:val="TableParagraph"/>
              <w:spacing w:before="44"/>
              <w:ind w:right="120"/>
              <w:rPr>
                <w:rFonts w:ascii="Arial MT"/>
                <w:sz w:val="12"/>
              </w:rPr>
            </w:pPr>
            <w:r>
              <w:rPr>
                <w:rFonts w:ascii="Arial MT"/>
                <w:spacing w:val="-2"/>
                <w:sz w:val="12"/>
              </w:rPr>
              <w:t>1.909.708</w:t>
            </w:r>
          </w:p>
        </w:tc>
        <w:tc>
          <w:tcPr>
            <w:tcW w:w="643" w:type="dxa"/>
          </w:tcPr>
          <w:p w14:paraId="4C701549" w14:textId="77777777" w:rsidR="002C6574" w:rsidRDefault="00000000">
            <w:pPr>
              <w:pStyle w:val="TableParagraph"/>
              <w:spacing w:before="44"/>
              <w:ind w:left="154" w:right="71"/>
              <w:jc w:val="center"/>
              <w:rPr>
                <w:rFonts w:ascii="Arial MT"/>
                <w:sz w:val="12"/>
              </w:rPr>
            </w:pPr>
            <w:r>
              <w:rPr>
                <w:rFonts w:ascii="Arial MT"/>
                <w:spacing w:val="-2"/>
                <w:sz w:val="12"/>
              </w:rPr>
              <w:t>46,7%</w:t>
            </w:r>
          </w:p>
        </w:tc>
        <w:tc>
          <w:tcPr>
            <w:tcW w:w="620" w:type="dxa"/>
          </w:tcPr>
          <w:p w14:paraId="02ED80F1" w14:textId="77777777" w:rsidR="002C6574" w:rsidRDefault="00000000">
            <w:pPr>
              <w:pStyle w:val="TableParagraph"/>
              <w:spacing w:before="44"/>
              <w:ind w:left="83" w:right="61"/>
              <w:jc w:val="center"/>
              <w:rPr>
                <w:rFonts w:ascii="Arial MT"/>
                <w:sz w:val="12"/>
              </w:rPr>
            </w:pPr>
            <w:r>
              <w:rPr>
                <w:rFonts w:ascii="Arial MT"/>
                <w:sz w:val="12"/>
              </w:rPr>
              <w:t>-</w:t>
            </w:r>
            <w:r>
              <w:rPr>
                <w:rFonts w:ascii="Arial MT"/>
                <w:spacing w:val="-2"/>
                <w:sz w:val="12"/>
              </w:rPr>
              <w:t>10,0%</w:t>
            </w:r>
          </w:p>
        </w:tc>
        <w:tc>
          <w:tcPr>
            <w:tcW w:w="581" w:type="dxa"/>
            <w:tcBorders>
              <w:right w:val="single" w:sz="8" w:space="0" w:color="8CB3E2"/>
            </w:tcBorders>
          </w:tcPr>
          <w:p w14:paraId="6C7854D8" w14:textId="77777777" w:rsidR="002C6574" w:rsidRDefault="00000000">
            <w:pPr>
              <w:pStyle w:val="TableParagraph"/>
              <w:spacing w:before="44"/>
              <w:ind w:left="70" w:right="2"/>
              <w:jc w:val="center"/>
              <w:rPr>
                <w:rFonts w:ascii="Arial MT"/>
                <w:sz w:val="12"/>
              </w:rPr>
            </w:pPr>
            <w:r>
              <w:rPr>
                <w:rFonts w:ascii="Arial MT"/>
                <w:sz w:val="12"/>
              </w:rPr>
              <w:t>-</w:t>
            </w:r>
            <w:r>
              <w:rPr>
                <w:rFonts w:ascii="Arial MT"/>
                <w:spacing w:val="-2"/>
                <w:sz w:val="12"/>
              </w:rPr>
              <w:t>15,3%</w:t>
            </w:r>
          </w:p>
        </w:tc>
        <w:tc>
          <w:tcPr>
            <w:tcW w:w="820" w:type="dxa"/>
            <w:tcBorders>
              <w:left w:val="single" w:sz="8" w:space="0" w:color="8CB3E2"/>
            </w:tcBorders>
          </w:tcPr>
          <w:p w14:paraId="5F5BE49F" w14:textId="77777777" w:rsidR="002C6574" w:rsidRDefault="00000000">
            <w:pPr>
              <w:pStyle w:val="TableParagraph"/>
              <w:spacing w:before="44"/>
              <w:ind w:right="70"/>
              <w:rPr>
                <w:rFonts w:ascii="Arial MT"/>
                <w:sz w:val="12"/>
              </w:rPr>
            </w:pPr>
            <w:r>
              <w:rPr>
                <w:rFonts w:ascii="Arial MT"/>
                <w:spacing w:val="-2"/>
                <w:sz w:val="12"/>
              </w:rPr>
              <w:t>2.121.373</w:t>
            </w:r>
          </w:p>
        </w:tc>
        <w:tc>
          <w:tcPr>
            <w:tcW w:w="548" w:type="dxa"/>
          </w:tcPr>
          <w:p w14:paraId="635E85CB" w14:textId="77777777" w:rsidR="002C6574" w:rsidRDefault="00000000">
            <w:pPr>
              <w:pStyle w:val="TableParagraph"/>
              <w:spacing w:before="44"/>
              <w:ind w:right="69"/>
              <w:rPr>
                <w:rFonts w:ascii="Arial MT"/>
                <w:sz w:val="12"/>
              </w:rPr>
            </w:pPr>
            <w:r>
              <w:rPr>
                <w:rFonts w:ascii="Arial MT"/>
                <w:spacing w:val="-2"/>
                <w:sz w:val="12"/>
              </w:rPr>
              <w:t>53,0%</w:t>
            </w:r>
          </w:p>
        </w:tc>
      </w:tr>
      <w:tr w:rsidR="002C6574" w14:paraId="0BB8575D" w14:textId="77777777">
        <w:trPr>
          <w:trHeight w:val="229"/>
        </w:trPr>
        <w:tc>
          <w:tcPr>
            <w:tcW w:w="2203" w:type="dxa"/>
            <w:tcBorders>
              <w:bottom w:val="single" w:sz="8" w:space="0" w:color="8CB3E2"/>
            </w:tcBorders>
          </w:tcPr>
          <w:p w14:paraId="74042AAA" w14:textId="77777777" w:rsidR="002C6574" w:rsidRDefault="00000000">
            <w:pPr>
              <w:pStyle w:val="TableParagraph"/>
              <w:spacing w:before="45"/>
              <w:ind w:left="203"/>
              <w:jc w:val="left"/>
              <w:rPr>
                <w:rFonts w:ascii="Arial MT" w:hAnsi="Arial MT"/>
                <w:sz w:val="12"/>
              </w:rPr>
            </w:pPr>
            <w:r>
              <w:rPr>
                <w:rFonts w:ascii="Arial MT" w:hAnsi="Arial MT"/>
                <w:spacing w:val="-2"/>
                <w:sz w:val="12"/>
              </w:rPr>
              <w:t>Intangível</w:t>
            </w:r>
          </w:p>
        </w:tc>
        <w:tc>
          <w:tcPr>
            <w:tcW w:w="882" w:type="dxa"/>
            <w:tcBorders>
              <w:bottom w:val="single" w:sz="8" w:space="0" w:color="8CB3E2"/>
            </w:tcBorders>
          </w:tcPr>
          <w:p w14:paraId="5EE59EF6" w14:textId="77777777" w:rsidR="002C6574" w:rsidRDefault="00000000">
            <w:pPr>
              <w:pStyle w:val="TableParagraph"/>
              <w:spacing w:before="45"/>
              <w:ind w:right="132"/>
              <w:rPr>
                <w:rFonts w:ascii="Arial MT"/>
                <w:sz w:val="12"/>
              </w:rPr>
            </w:pPr>
            <w:r>
              <w:rPr>
                <w:rFonts w:ascii="Arial MT"/>
                <w:spacing w:val="-2"/>
                <w:sz w:val="12"/>
              </w:rPr>
              <w:t>26.581</w:t>
            </w:r>
          </w:p>
        </w:tc>
        <w:tc>
          <w:tcPr>
            <w:tcW w:w="717" w:type="dxa"/>
            <w:tcBorders>
              <w:bottom w:val="single" w:sz="8" w:space="0" w:color="8CB3E2"/>
            </w:tcBorders>
          </w:tcPr>
          <w:p w14:paraId="2A103017" w14:textId="77777777" w:rsidR="002C6574" w:rsidRDefault="00000000">
            <w:pPr>
              <w:pStyle w:val="TableParagraph"/>
              <w:spacing w:before="45"/>
              <w:ind w:right="107"/>
              <w:rPr>
                <w:rFonts w:ascii="Arial MT"/>
                <w:sz w:val="12"/>
              </w:rPr>
            </w:pPr>
            <w:r>
              <w:rPr>
                <w:rFonts w:ascii="Arial MT"/>
                <w:spacing w:val="-2"/>
                <w:sz w:val="12"/>
              </w:rPr>
              <w:t>0,60%</w:t>
            </w:r>
          </w:p>
        </w:tc>
        <w:tc>
          <w:tcPr>
            <w:tcW w:w="623" w:type="dxa"/>
            <w:tcBorders>
              <w:bottom w:val="single" w:sz="8" w:space="0" w:color="8CB3E2"/>
            </w:tcBorders>
          </w:tcPr>
          <w:p w14:paraId="4A11AB56" w14:textId="77777777" w:rsidR="002C6574" w:rsidRDefault="00000000">
            <w:pPr>
              <w:pStyle w:val="TableParagraph"/>
              <w:spacing w:before="45"/>
              <w:ind w:left="90" w:right="26"/>
              <w:jc w:val="center"/>
              <w:rPr>
                <w:rFonts w:ascii="Arial MT"/>
                <w:sz w:val="12"/>
              </w:rPr>
            </w:pPr>
            <w:r>
              <w:rPr>
                <w:rFonts w:ascii="Arial MT"/>
                <w:spacing w:val="-2"/>
                <w:sz w:val="12"/>
              </w:rPr>
              <w:t>37,0%</w:t>
            </w:r>
          </w:p>
        </w:tc>
        <w:tc>
          <w:tcPr>
            <w:tcW w:w="580" w:type="dxa"/>
            <w:tcBorders>
              <w:bottom w:val="single" w:sz="8" w:space="0" w:color="8CB3E2"/>
              <w:right w:val="single" w:sz="8" w:space="0" w:color="8CB3E2"/>
            </w:tcBorders>
          </w:tcPr>
          <w:p w14:paraId="22E6D8F0" w14:textId="77777777" w:rsidR="002C6574" w:rsidRDefault="00000000">
            <w:pPr>
              <w:pStyle w:val="TableParagraph"/>
              <w:spacing w:before="45"/>
              <w:ind w:right="56"/>
              <w:rPr>
                <w:rFonts w:ascii="Arial MT"/>
                <w:sz w:val="12"/>
              </w:rPr>
            </w:pPr>
            <w:r>
              <w:rPr>
                <w:rFonts w:ascii="Arial MT"/>
                <w:spacing w:val="-2"/>
                <w:sz w:val="12"/>
              </w:rPr>
              <w:t>14,7%</w:t>
            </w:r>
          </w:p>
        </w:tc>
        <w:tc>
          <w:tcPr>
            <w:tcW w:w="873" w:type="dxa"/>
            <w:tcBorders>
              <w:left w:val="single" w:sz="8" w:space="0" w:color="8CB3E2"/>
              <w:bottom w:val="single" w:sz="8" w:space="0" w:color="8CB3E2"/>
            </w:tcBorders>
          </w:tcPr>
          <w:p w14:paraId="0D1D28BC" w14:textId="77777777" w:rsidR="002C6574" w:rsidRDefault="00000000">
            <w:pPr>
              <w:pStyle w:val="TableParagraph"/>
              <w:spacing w:before="45"/>
              <w:ind w:right="121"/>
              <w:rPr>
                <w:rFonts w:ascii="Arial MT"/>
                <w:sz w:val="12"/>
              </w:rPr>
            </w:pPr>
            <w:r>
              <w:rPr>
                <w:rFonts w:ascii="Arial MT"/>
                <w:spacing w:val="-2"/>
                <w:sz w:val="12"/>
              </w:rPr>
              <w:t>19.403</w:t>
            </w:r>
          </w:p>
        </w:tc>
        <w:tc>
          <w:tcPr>
            <w:tcW w:w="643" w:type="dxa"/>
            <w:tcBorders>
              <w:bottom w:val="single" w:sz="8" w:space="0" w:color="8CB3E2"/>
            </w:tcBorders>
          </w:tcPr>
          <w:p w14:paraId="32B07AF5" w14:textId="77777777" w:rsidR="002C6574" w:rsidRDefault="00000000">
            <w:pPr>
              <w:pStyle w:val="TableParagraph"/>
              <w:spacing w:before="45"/>
              <w:ind w:left="154" w:right="5"/>
              <w:jc w:val="center"/>
              <w:rPr>
                <w:rFonts w:ascii="Arial MT"/>
                <w:sz w:val="12"/>
              </w:rPr>
            </w:pPr>
            <w:r>
              <w:rPr>
                <w:rFonts w:ascii="Arial MT"/>
                <w:spacing w:val="-4"/>
                <w:sz w:val="12"/>
              </w:rPr>
              <w:t>0,5%</w:t>
            </w:r>
          </w:p>
        </w:tc>
        <w:tc>
          <w:tcPr>
            <w:tcW w:w="620" w:type="dxa"/>
            <w:tcBorders>
              <w:bottom w:val="single" w:sz="8" w:space="0" w:color="8CB3E2"/>
            </w:tcBorders>
          </w:tcPr>
          <w:p w14:paraId="3769C77F" w14:textId="77777777" w:rsidR="002C6574" w:rsidRDefault="00000000">
            <w:pPr>
              <w:pStyle w:val="TableParagraph"/>
              <w:spacing w:before="45"/>
              <w:ind w:left="83" w:right="61"/>
              <w:jc w:val="center"/>
              <w:rPr>
                <w:rFonts w:ascii="Arial MT"/>
                <w:sz w:val="12"/>
              </w:rPr>
            </w:pPr>
            <w:r>
              <w:rPr>
                <w:rFonts w:ascii="Arial MT"/>
                <w:sz w:val="12"/>
              </w:rPr>
              <w:t>-</w:t>
            </w:r>
            <w:r>
              <w:rPr>
                <w:rFonts w:ascii="Arial MT"/>
                <w:spacing w:val="-2"/>
                <w:sz w:val="12"/>
              </w:rPr>
              <w:t>16,3%</w:t>
            </w:r>
          </w:p>
        </w:tc>
        <w:tc>
          <w:tcPr>
            <w:tcW w:w="581" w:type="dxa"/>
            <w:tcBorders>
              <w:bottom w:val="single" w:sz="8" w:space="0" w:color="8CB3E2"/>
              <w:right w:val="single" w:sz="8" w:space="0" w:color="8CB3E2"/>
            </w:tcBorders>
          </w:tcPr>
          <w:p w14:paraId="70171958" w14:textId="77777777" w:rsidR="002C6574" w:rsidRDefault="00000000">
            <w:pPr>
              <w:pStyle w:val="TableParagraph"/>
              <w:spacing w:before="45"/>
              <w:ind w:left="70"/>
              <w:jc w:val="center"/>
              <w:rPr>
                <w:rFonts w:ascii="Arial MT"/>
                <w:sz w:val="12"/>
              </w:rPr>
            </w:pPr>
            <w:r>
              <w:rPr>
                <w:rFonts w:ascii="Arial MT"/>
                <w:sz w:val="12"/>
              </w:rPr>
              <w:t>-</w:t>
            </w:r>
            <w:r>
              <w:rPr>
                <w:rFonts w:ascii="Arial MT"/>
                <w:spacing w:val="-2"/>
                <w:sz w:val="12"/>
              </w:rPr>
              <w:t>23,6%</w:t>
            </w:r>
          </w:p>
        </w:tc>
        <w:tc>
          <w:tcPr>
            <w:tcW w:w="820" w:type="dxa"/>
            <w:tcBorders>
              <w:left w:val="single" w:sz="8" w:space="0" w:color="8CB3E2"/>
              <w:bottom w:val="single" w:sz="8" w:space="0" w:color="8CB3E2"/>
            </w:tcBorders>
          </w:tcPr>
          <w:p w14:paraId="41342660" w14:textId="77777777" w:rsidR="002C6574" w:rsidRDefault="00000000">
            <w:pPr>
              <w:pStyle w:val="TableParagraph"/>
              <w:spacing w:before="45"/>
              <w:ind w:right="71"/>
              <w:rPr>
                <w:rFonts w:ascii="Arial MT"/>
                <w:sz w:val="12"/>
              </w:rPr>
            </w:pPr>
            <w:r>
              <w:rPr>
                <w:rFonts w:ascii="Arial MT"/>
                <w:spacing w:val="-2"/>
                <w:sz w:val="12"/>
              </w:rPr>
              <w:t>23.172</w:t>
            </w:r>
          </w:p>
        </w:tc>
        <w:tc>
          <w:tcPr>
            <w:tcW w:w="548" w:type="dxa"/>
            <w:tcBorders>
              <w:bottom w:val="single" w:sz="8" w:space="0" w:color="8CB3E2"/>
            </w:tcBorders>
          </w:tcPr>
          <w:p w14:paraId="08B10FD0" w14:textId="77777777" w:rsidR="002C6574" w:rsidRDefault="00000000">
            <w:pPr>
              <w:pStyle w:val="TableParagraph"/>
              <w:spacing w:before="45"/>
              <w:ind w:right="70"/>
              <w:rPr>
                <w:rFonts w:ascii="Arial MT"/>
                <w:sz w:val="12"/>
              </w:rPr>
            </w:pPr>
            <w:r>
              <w:rPr>
                <w:rFonts w:ascii="Arial MT"/>
                <w:spacing w:val="-4"/>
                <w:sz w:val="12"/>
              </w:rPr>
              <w:t>0,6%</w:t>
            </w:r>
          </w:p>
        </w:tc>
      </w:tr>
      <w:tr w:rsidR="002C6574" w14:paraId="0E0AA6A4" w14:textId="77777777">
        <w:trPr>
          <w:trHeight w:val="231"/>
        </w:trPr>
        <w:tc>
          <w:tcPr>
            <w:tcW w:w="2203" w:type="dxa"/>
            <w:tcBorders>
              <w:top w:val="single" w:sz="8" w:space="0" w:color="8CB3E2"/>
              <w:bottom w:val="single" w:sz="8" w:space="0" w:color="8CB3E2"/>
            </w:tcBorders>
          </w:tcPr>
          <w:p w14:paraId="39FC3220" w14:textId="77777777" w:rsidR="002C6574" w:rsidRDefault="00000000">
            <w:pPr>
              <w:pStyle w:val="TableParagraph"/>
              <w:spacing w:before="48"/>
              <w:ind w:left="83"/>
              <w:jc w:val="left"/>
              <w:rPr>
                <w:rFonts w:ascii="Arial"/>
                <w:b/>
                <w:sz w:val="12"/>
              </w:rPr>
            </w:pPr>
            <w:r>
              <w:rPr>
                <w:rFonts w:ascii="Arial"/>
                <w:b/>
                <w:sz w:val="12"/>
              </w:rPr>
              <w:t>Ativo</w:t>
            </w:r>
            <w:r>
              <w:rPr>
                <w:rFonts w:ascii="Arial"/>
                <w:b/>
                <w:spacing w:val="-2"/>
                <w:sz w:val="12"/>
              </w:rPr>
              <w:t xml:space="preserve"> </w:t>
            </w:r>
            <w:r>
              <w:rPr>
                <w:rFonts w:ascii="Arial"/>
                <w:b/>
                <w:spacing w:val="-4"/>
                <w:sz w:val="12"/>
              </w:rPr>
              <w:t>Total</w:t>
            </w:r>
          </w:p>
        </w:tc>
        <w:tc>
          <w:tcPr>
            <w:tcW w:w="882" w:type="dxa"/>
            <w:tcBorders>
              <w:top w:val="single" w:sz="8" w:space="0" w:color="8CB3E2"/>
              <w:bottom w:val="single" w:sz="8" w:space="0" w:color="8CB3E2"/>
            </w:tcBorders>
          </w:tcPr>
          <w:p w14:paraId="1B1BB6F7" w14:textId="77777777" w:rsidR="002C6574" w:rsidRDefault="00000000">
            <w:pPr>
              <w:pStyle w:val="TableParagraph"/>
              <w:spacing w:before="48"/>
              <w:ind w:right="131"/>
              <w:rPr>
                <w:rFonts w:ascii="Arial"/>
                <w:b/>
                <w:sz w:val="12"/>
              </w:rPr>
            </w:pPr>
            <w:r>
              <w:rPr>
                <w:rFonts w:ascii="Arial"/>
                <w:b/>
                <w:spacing w:val="-2"/>
                <w:sz w:val="12"/>
              </w:rPr>
              <w:t>4.412.466</w:t>
            </w:r>
          </w:p>
        </w:tc>
        <w:tc>
          <w:tcPr>
            <w:tcW w:w="717" w:type="dxa"/>
            <w:tcBorders>
              <w:top w:val="single" w:sz="8" w:space="0" w:color="8CB3E2"/>
              <w:bottom w:val="single" w:sz="8" w:space="0" w:color="8CB3E2"/>
            </w:tcBorders>
          </w:tcPr>
          <w:p w14:paraId="1146E432" w14:textId="77777777" w:rsidR="002C6574" w:rsidRDefault="00000000">
            <w:pPr>
              <w:pStyle w:val="TableParagraph"/>
              <w:spacing w:before="48"/>
              <w:ind w:right="105"/>
              <w:rPr>
                <w:rFonts w:ascii="Arial"/>
                <w:b/>
                <w:sz w:val="12"/>
              </w:rPr>
            </w:pPr>
            <w:r>
              <w:rPr>
                <w:rFonts w:ascii="Arial"/>
                <w:b/>
                <w:spacing w:val="-2"/>
                <w:sz w:val="12"/>
              </w:rPr>
              <w:t>100,00%</w:t>
            </w:r>
          </w:p>
        </w:tc>
        <w:tc>
          <w:tcPr>
            <w:tcW w:w="623" w:type="dxa"/>
            <w:tcBorders>
              <w:top w:val="single" w:sz="8" w:space="0" w:color="8CB3E2"/>
              <w:bottom w:val="single" w:sz="8" w:space="0" w:color="8CB3E2"/>
            </w:tcBorders>
          </w:tcPr>
          <w:p w14:paraId="67AD0A0F" w14:textId="77777777" w:rsidR="002C6574" w:rsidRDefault="00000000">
            <w:pPr>
              <w:pStyle w:val="TableParagraph"/>
              <w:spacing w:before="48"/>
              <w:ind w:left="131" w:right="1"/>
              <w:jc w:val="center"/>
              <w:rPr>
                <w:rFonts w:ascii="Arial"/>
                <w:b/>
                <w:sz w:val="12"/>
              </w:rPr>
            </w:pPr>
            <w:r>
              <w:rPr>
                <w:rFonts w:ascii="Arial"/>
                <w:b/>
                <w:spacing w:val="-4"/>
                <w:sz w:val="12"/>
              </w:rPr>
              <w:t>7,9%</w:t>
            </w:r>
          </w:p>
        </w:tc>
        <w:tc>
          <w:tcPr>
            <w:tcW w:w="580" w:type="dxa"/>
            <w:tcBorders>
              <w:top w:val="single" w:sz="8" w:space="0" w:color="8CB3E2"/>
              <w:bottom w:val="single" w:sz="8" w:space="0" w:color="8CB3E2"/>
              <w:right w:val="single" w:sz="8" w:space="0" w:color="8CB3E2"/>
            </w:tcBorders>
          </w:tcPr>
          <w:p w14:paraId="7467CE9E" w14:textId="77777777" w:rsidR="002C6574" w:rsidRDefault="00000000">
            <w:pPr>
              <w:pStyle w:val="TableParagraph"/>
              <w:spacing w:before="48"/>
              <w:ind w:right="56"/>
              <w:rPr>
                <w:rFonts w:ascii="Arial"/>
                <w:b/>
                <w:sz w:val="12"/>
              </w:rPr>
            </w:pPr>
            <w:r>
              <w:rPr>
                <w:rFonts w:ascii="Arial"/>
                <w:b/>
                <w:spacing w:val="-2"/>
                <w:sz w:val="12"/>
              </w:rPr>
              <w:t>10,2%</w:t>
            </w:r>
          </w:p>
        </w:tc>
        <w:tc>
          <w:tcPr>
            <w:tcW w:w="873" w:type="dxa"/>
            <w:tcBorders>
              <w:top w:val="single" w:sz="8" w:space="0" w:color="8CB3E2"/>
              <w:left w:val="single" w:sz="8" w:space="0" w:color="8CB3E2"/>
              <w:bottom w:val="single" w:sz="8" w:space="0" w:color="8CB3E2"/>
            </w:tcBorders>
          </w:tcPr>
          <w:p w14:paraId="4D6E7630" w14:textId="77777777" w:rsidR="002C6574" w:rsidRDefault="00000000">
            <w:pPr>
              <w:pStyle w:val="TableParagraph"/>
              <w:spacing w:before="48"/>
              <w:ind w:right="120"/>
              <w:rPr>
                <w:rFonts w:ascii="Arial"/>
                <w:b/>
                <w:sz w:val="12"/>
              </w:rPr>
            </w:pPr>
            <w:r>
              <w:rPr>
                <w:rFonts w:ascii="Arial"/>
                <w:b/>
                <w:spacing w:val="-2"/>
                <w:sz w:val="12"/>
              </w:rPr>
              <w:t>4.089.985</w:t>
            </w:r>
          </w:p>
        </w:tc>
        <w:tc>
          <w:tcPr>
            <w:tcW w:w="643" w:type="dxa"/>
            <w:tcBorders>
              <w:top w:val="single" w:sz="8" w:space="0" w:color="8CB3E2"/>
              <w:bottom w:val="single" w:sz="8" w:space="0" w:color="8CB3E2"/>
            </w:tcBorders>
          </w:tcPr>
          <w:p w14:paraId="21B8F3C5" w14:textId="77777777" w:rsidR="002C6574" w:rsidRDefault="00000000">
            <w:pPr>
              <w:pStyle w:val="TableParagraph"/>
              <w:spacing w:before="48"/>
              <w:ind w:left="15"/>
              <w:jc w:val="center"/>
              <w:rPr>
                <w:rFonts w:ascii="Arial"/>
                <w:b/>
                <w:sz w:val="12"/>
              </w:rPr>
            </w:pPr>
            <w:r>
              <w:rPr>
                <w:rFonts w:ascii="Arial"/>
                <w:b/>
                <w:spacing w:val="-2"/>
                <w:sz w:val="12"/>
              </w:rPr>
              <w:t>100,0%</w:t>
            </w:r>
          </w:p>
        </w:tc>
        <w:tc>
          <w:tcPr>
            <w:tcW w:w="620" w:type="dxa"/>
            <w:tcBorders>
              <w:top w:val="single" w:sz="8" w:space="0" w:color="8CB3E2"/>
              <w:bottom w:val="single" w:sz="8" w:space="0" w:color="8CB3E2"/>
            </w:tcBorders>
          </w:tcPr>
          <w:p w14:paraId="4F6C885C" w14:textId="77777777" w:rsidR="002C6574" w:rsidRDefault="00000000">
            <w:pPr>
              <w:pStyle w:val="TableParagraph"/>
              <w:spacing w:before="48"/>
              <w:ind w:left="125"/>
              <w:jc w:val="center"/>
              <w:rPr>
                <w:rFonts w:ascii="Arial"/>
                <w:b/>
                <w:sz w:val="12"/>
              </w:rPr>
            </w:pPr>
            <w:r>
              <w:rPr>
                <w:rFonts w:ascii="Arial"/>
                <w:b/>
                <w:spacing w:val="-4"/>
                <w:sz w:val="12"/>
              </w:rPr>
              <w:t>2,2%</w:t>
            </w:r>
          </w:p>
        </w:tc>
        <w:tc>
          <w:tcPr>
            <w:tcW w:w="581" w:type="dxa"/>
            <w:tcBorders>
              <w:top w:val="single" w:sz="8" w:space="0" w:color="8CB3E2"/>
              <w:bottom w:val="single" w:sz="8" w:space="0" w:color="8CB3E2"/>
              <w:right w:val="single" w:sz="8" w:space="0" w:color="8CB3E2"/>
            </w:tcBorders>
          </w:tcPr>
          <w:p w14:paraId="11B80951" w14:textId="77777777" w:rsidR="002C6574" w:rsidRDefault="00000000">
            <w:pPr>
              <w:pStyle w:val="TableParagraph"/>
              <w:spacing w:before="48"/>
              <w:ind w:left="172" w:right="1"/>
              <w:jc w:val="center"/>
              <w:rPr>
                <w:rFonts w:ascii="Arial"/>
                <w:b/>
                <w:sz w:val="12"/>
              </w:rPr>
            </w:pPr>
            <w:r>
              <w:rPr>
                <w:rFonts w:ascii="Arial"/>
                <w:b/>
                <w:spacing w:val="-4"/>
                <w:sz w:val="12"/>
              </w:rPr>
              <w:t>1,4%</w:t>
            </w:r>
          </w:p>
        </w:tc>
        <w:tc>
          <w:tcPr>
            <w:tcW w:w="820" w:type="dxa"/>
            <w:tcBorders>
              <w:top w:val="single" w:sz="8" w:space="0" w:color="8CB3E2"/>
              <w:left w:val="single" w:sz="8" w:space="0" w:color="8CB3E2"/>
              <w:bottom w:val="single" w:sz="8" w:space="0" w:color="8CB3E2"/>
            </w:tcBorders>
          </w:tcPr>
          <w:p w14:paraId="5C4A1E5F" w14:textId="77777777" w:rsidR="002C6574" w:rsidRDefault="00000000">
            <w:pPr>
              <w:pStyle w:val="TableParagraph"/>
              <w:spacing w:before="48"/>
              <w:ind w:right="70"/>
              <w:rPr>
                <w:rFonts w:ascii="Arial"/>
                <w:b/>
                <w:sz w:val="12"/>
              </w:rPr>
            </w:pPr>
            <w:r>
              <w:rPr>
                <w:rFonts w:ascii="Arial"/>
                <w:b/>
                <w:spacing w:val="-2"/>
                <w:sz w:val="12"/>
              </w:rPr>
              <w:t>4.003.587</w:t>
            </w:r>
          </w:p>
        </w:tc>
        <w:tc>
          <w:tcPr>
            <w:tcW w:w="548" w:type="dxa"/>
            <w:tcBorders>
              <w:top w:val="single" w:sz="8" w:space="0" w:color="8CB3E2"/>
              <w:bottom w:val="single" w:sz="8" w:space="0" w:color="8CB3E2"/>
            </w:tcBorders>
          </w:tcPr>
          <w:p w14:paraId="227C1A53" w14:textId="77777777" w:rsidR="002C6574" w:rsidRDefault="00000000">
            <w:pPr>
              <w:pStyle w:val="TableParagraph"/>
              <w:spacing w:before="48"/>
              <w:ind w:right="70"/>
              <w:rPr>
                <w:rFonts w:ascii="Arial"/>
                <w:b/>
                <w:sz w:val="12"/>
              </w:rPr>
            </w:pPr>
            <w:r>
              <w:rPr>
                <w:rFonts w:ascii="Arial"/>
                <w:b/>
                <w:spacing w:val="-2"/>
                <w:sz w:val="12"/>
              </w:rPr>
              <w:t>100,0%</w:t>
            </w:r>
          </w:p>
        </w:tc>
      </w:tr>
      <w:tr w:rsidR="002C6574" w14:paraId="7A6ED5F3" w14:textId="77777777">
        <w:trPr>
          <w:trHeight w:val="235"/>
        </w:trPr>
        <w:tc>
          <w:tcPr>
            <w:tcW w:w="2203" w:type="dxa"/>
            <w:tcBorders>
              <w:top w:val="single" w:sz="8" w:space="0" w:color="8CB3E2"/>
            </w:tcBorders>
          </w:tcPr>
          <w:p w14:paraId="49A795CE" w14:textId="77777777" w:rsidR="002C6574" w:rsidRDefault="00000000">
            <w:pPr>
              <w:pStyle w:val="TableParagraph"/>
              <w:spacing w:before="48"/>
              <w:ind w:left="83"/>
              <w:jc w:val="left"/>
              <w:rPr>
                <w:rFonts w:ascii="Arial MT"/>
                <w:sz w:val="12"/>
              </w:rPr>
            </w:pPr>
            <w:r>
              <w:rPr>
                <w:rFonts w:ascii="Arial MT"/>
                <w:sz w:val="12"/>
              </w:rPr>
              <w:t xml:space="preserve">Passivo </w:t>
            </w:r>
            <w:r>
              <w:rPr>
                <w:rFonts w:ascii="Arial MT"/>
                <w:spacing w:val="-2"/>
                <w:sz w:val="12"/>
              </w:rPr>
              <w:t>Circulante</w:t>
            </w:r>
          </w:p>
        </w:tc>
        <w:tc>
          <w:tcPr>
            <w:tcW w:w="882" w:type="dxa"/>
            <w:tcBorders>
              <w:top w:val="single" w:sz="8" w:space="0" w:color="8CB3E2"/>
            </w:tcBorders>
          </w:tcPr>
          <w:p w14:paraId="3D2ACA77" w14:textId="77777777" w:rsidR="002C6574" w:rsidRDefault="00000000">
            <w:pPr>
              <w:pStyle w:val="TableParagraph"/>
              <w:spacing w:before="48"/>
              <w:ind w:right="132"/>
              <w:rPr>
                <w:rFonts w:ascii="Arial MT"/>
                <w:sz w:val="12"/>
              </w:rPr>
            </w:pPr>
            <w:r>
              <w:rPr>
                <w:rFonts w:ascii="Arial MT"/>
                <w:spacing w:val="-2"/>
                <w:sz w:val="12"/>
              </w:rPr>
              <w:t>367.137</w:t>
            </w:r>
          </w:p>
        </w:tc>
        <w:tc>
          <w:tcPr>
            <w:tcW w:w="717" w:type="dxa"/>
            <w:tcBorders>
              <w:top w:val="single" w:sz="8" w:space="0" w:color="8CB3E2"/>
            </w:tcBorders>
          </w:tcPr>
          <w:p w14:paraId="2DA60DC6" w14:textId="77777777" w:rsidR="002C6574" w:rsidRDefault="00000000">
            <w:pPr>
              <w:pStyle w:val="TableParagraph"/>
              <w:spacing w:before="48"/>
              <w:ind w:right="107"/>
              <w:rPr>
                <w:rFonts w:ascii="Arial MT"/>
                <w:sz w:val="12"/>
              </w:rPr>
            </w:pPr>
            <w:r>
              <w:rPr>
                <w:rFonts w:ascii="Arial MT"/>
                <w:spacing w:val="-2"/>
                <w:sz w:val="12"/>
              </w:rPr>
              <w:t>8,32%</w:t>
            </w:r>
          </w:p>
        </w:tc>
        <w:tc>
          <w:tcPr>
            <w:tcW w:w="623" w:type="dxa"/>
            <w:tcBorders>
              <w:top w:val="single" w:sz="8" w:space="0" w:color="8CB3E2"/>
            </w:tcBorders>
          </w:tcPr>
          <w:p w14:paraId="566B36E6" w14:textId="77777777" w:rsidR="002C6574" w:rsidRDefault="00000000">
            <w:pPr>
              <w:pStyle w:val="TableParagraph"/>
              <w:spacing w:before="48"/>
              <w:ind w:left="90" w:right="26"/>
              <w:jc w:val="center"/>
              <w:rPr>
                <w:rFonts w:ascii="Arial MT"/>
                <w:sz w:val="12"/>
              </w:rPr>
            </w:pPr>
            <w:r>
              <w:rPr>
                <w:rFonts w:ascii="Arial MT"/>
                <w:spacing w:val="-2"/>
                <w:sz w:val="12"/>
              </w:rPr>
              <w:t>16,7%</w:t>
            </w:r>
          </w:p>
        </w:tc>
        <w:tc>
          <w:tcPr>
            <w:tcW w:w="580" w:type="dxa"/>
            <w:tcBorders>
              <w:top w:val="single" w:sz="8" w:space="0" w:color="8CB3E2"/>
              <w:right w:val="single" w:sz="8" w:space="0" w:color="8CB3E2"/>
            </w:tcBorders>
          </w:tcPr>
          <w:p w14:paraId="6A260AD1" w14:textId="77777777" w:rsidR="002C6574" w:rsidRDefault="00000000">
            <w:pPr>
              <w:pStyle w:val="TableParagraph"/>
              <w:spacing w:before="48"/>
              <w:ind w:right="58"/>
              <w:rPr>
                <w:rFonts w:ascii="Arial MT"/>
                <w:sz w:val="12"/>
              </w:rPr>
            </w:pPr>
            <w:r>
              <w:rPr>
                <w:rFonts w:ascii="Arial MT"/>
                <w:spacing w:val="-2"/>
                <w:sz w:val="12"/>
              </w:rPr>
              <w:t>30,8%</w:t>
            </w:r>
          </w:p>
        </w:tc>
        <w:tc>
          <w:tcPr>
            <w:tcW w:w="873" w:type="dxa"/>
            <w:tcBorders>
              <w:top w:val="single" w:sz="8" w:space="0" w:color="8CB3E2"/>
              <w:left w:val="single" w:sz="8" w:space="0" w:color="8CB3E2"/>
            </w:tcBorders>
          </w:tcPr>
          <w:p w14:paraId="5079D808" w14:textId="77777777" w:rsidR="002C6574" w:rsidRDefault="00000000">
            <w:pPr>
              <w:pStyle w:val="TableParagraph"/>
              <w:spacing w:before="48"/>
              <w:ind w:right="122"/>
              <w:rPr>
                <w:rFonts w:ascii="Arial MT"/>
                <w:sz w:val="12"/>
              </w:rPr>
            </w:pPr>
            <w:r>
              <w:rPr>
                <w:rFonts w:ascii="Arial MT"/>
                <w:spacing w:val="-2"/>
                <w:sz w:val="12"/>
              </w:rPr>
              <w:t>314.577</w:t>
            </w:r>
          </w:p>
        </w:tc>
        <w:tc>
          <w:tcPr>
            <w:tcW w:w="643" w:type="dxa"/>
            <w:tcBorders>
              <w:top w:val="single" w:sz="8" w:space="0" w:color="8CB3E2"/>
            </w:tcBorders>
          </w:tcPr>
          <w:p w14:paraId="6D617828" w14:textId="77777777" w:rsidR="002C6574" w:rsidRDefault="00000000">
            <w:pPr>
              <w:pStyle w:val="TableParagraph"/>
              <w:spacing w:before="48"/>
              <w:ind w:left="154" w:right="6"/>
              <w:jc w:val="center"/>
              <w:rPr>
                <w:rFonts w:ascii="Arial MT"/>
                <w:sz w:val="12"/>
              </w:rPr>
            </w:pPr>
            <w:r>
              <w:rPr>
                <w:rFonts w:ascii="Arial MT"/>
                <w:spacing w:val="-4"/>
                <w:sz w:val="12"/>
              </w:rPr>
              <w:t>7,7%</w:t>
            </w:r>
          </w:p>
        </w:tc>
        <w:tc>
          <w:tcPr>
            <w:tcW w:w="620" w:type="dxa"/>
            <w:tcBorders>
              <w:top w:val="single" w:sz="8" w:space="0" w:color="8CB3E2"/>
            </w:tcBorders>
          </w:tcPr>
          <w:p w14:paraId="4F4B7AC9" w14:textId="77777777" w:rsidR="002C6574" w:rsidRDefault="00000000">
            <w:pPr>
              <w:pStyle w:val="TableParagraph"/>
              <w:spacing w:before="48"/>
              <w:ind w:left="83" w:right="26"/>
              <w:jc w:val="center"/>
              <w:rPr>
                <w:rFonts w:ascii="Arial MT"/>
                <w:sz w:val="12"/>
              </w:rPr>
            </w:pPr>
            <w:r>
              <w:rPr>
                <w:rFonts w:ascii="Arial MT"/>
                <w:spacing w:val="-2"/>
                <w:sz w:val="12"/>
              </w:rPr>
              <w:t>12,1%</w:t>
            </w:r>
          </w:p>
        </w:tc>
        <w:tc>
          <w:tcPr>
            <w:tcW w:w="581" w:type="dxa"/>
            <w:tcBorders>
              <w:top w:val="single" w:sz="8" w:space="0" w:color="8CB3E2"/>
              <w:right w:val="single" w:sz="8" w:space="0" w:color="8CB3E2"/>
            </w:tcBorders>
          </w:tcPr>
          <w:p w14:paraId="1DB24C5C" w14:textId="77777777" w:rsidR="002C6574" w:rsidRDefault="00000000">
            <w:pPr>
              <w:pStyle w:val="TableParagraph"/>
              <w:spacing w:before="48"/>
              <w:ind w:left="131"/>
              <w:jc w:val="center"/>
              <w:rPr>
                <w:rFonts w:ascii="Arial MT"/>
                <w:sz w:val="12"/>
              </w:rPr>
            </w:pPr>
            <w:r>
              <w:rPr>
                <w:rFonts w:ascii="Arial MT"/>
                <w:sz w:val="12"/>
              </w:rPr>
              <w:t>-</w:t>
            </w:r>
            <w:r>
              <w:rPr>
                <w:rFonts w:ascii="Arial MT"/>
                <w:spacing w:val="-4"/>
                <w:sz w:val="12"/>
              </w:rPr>
              <w:t>2,2%</w:t>
            </w:r>
          </w:p>
        </w:tc>
        <w:tc>
          <w:tcPr>
            <w:tcW w:w="820" w:type="dxa"/>
            <w:tcBorders>
              <w:top w:val="single" w:sz="8" w:space="0" w:color="8CB3E2"/>
              <w:left w:val="single" w:sz="8" w:space="0" w:color="8CB3E2"/>
            </w:tcBorders>
          </w:tcPr>
          <w:p w14:paraId="5C282901" w14:textId="77777777" w:rsidR="002C6574" w:rsidRDefault="00000000">
            <w:pPr>
              <w:pStyle w:val="TableParagraph"/>
              <w:spacing w:before="48"/>
              <w:ind w:right="71"/>
              <w:rPr>
                <w:rFonts w:ascii="Arial MT"/>
                <w:sz w:val="12"/>
              </w:rPr>
            </w:pPr>
            <w:r>
              <w:rPr>
                <w:rFonts w:ascii="Arial MT"/>
                <w:spacing w:val="-2"/>
                <w:sz w:val="12"/>
              </w:rPr>
              <w:t>280.660</w:t>
            </w:r>
          </w:p>
        </w:tc>
        <w:tc>
          <w:tcPr>
            <w:tcW w:w="548" w:type="dxa"/>
            <w:tcBorders>
              <w:top w:val="single" w:sz="8" w:space="0" w:color="8CB3E2"/>
            </w:tcBorders>
          </w:tcPr>
          <w:p w14:paraId="0BBA056D" w14:textId="77777777" w:rsidR="002C6574" w:rsidRDefault="00000000">
            <w:pPr>
              <w:pStyle w:val="TableParagraph"/>
              <w:spacing w:before="48"/>
              <w:ind w:right="70"/>
              <w:rPr>
                <w:rFonts w:ascii="Arial MT"/>
                <w:sz w:val="12"/>
              </w:rPr>
            </w:pPr>
            <w:r>
              <w:rPr>
                <w:rFonts w:ascii="Arial MT"/>
                <w:spacing w:val="-4"/>
                <w:sz w:val="12"/>
              </w:rPr>
              <w:t>7,0%</w:t>
            </w:r>
          </w:p>
        </w:tc>
      </w:tr>
      <w:tr w:rsidR="002C6574" w14:paraId="724AFD23" w14:textId="77777777">
        <w:trPr>
          <w:trHeight w:val="231"/>
        </w:trPr>
        <w:tc>
          <w:tcPr>
            <w:tcW w:w="2203" w:type="dxa"/>
          </w:tcPr>
          <w:p w14:paraId="0912C3B1" w14:textId="77777777" w:rsidR="002C6574" w:rsidRDefault="00000000">
            <w:pPr>
              <w:pStyle w:val="TableParagraph"/>
              <w:spacing w:before="45"/>
              <w:ind w:left="83"/>
              <w:jc w:val="left"/>
              <w:rPr>
                <w:rFonts w:ascii="Arial MT" w:hAnsi="Arial MT"/>
                <w:sz w:val="12"/>
              </w:rPr>
            </w:pPr>
            <w:r>
              <w:rPr>
                <w:rFonts w:ascii="Arial MT" w:hAnsi="Arial MT"/>
                <w:sz w:val="12"/>
              </w:rPr>
              <w:t>Passivo</w:t>
            </w:r>
            <w:r>
              <w:rPr>
                <w:rFonts w:ascii="Arial MT" w:hAnsi="Arial MT"/>
                <w:spacing w:val="-2"/>
                <w:sz w:val="12"/>
              </w:rPr>
              <w:t xml:space="preserve"> </w:t>
            </w:r>
            <w:r>
              <w:rPr>
                <w:rFonts w:ascii="Arial MT" w:hAnsi="Arial MT"/>
                <w:sz w:val="12"/>
              </w:rPr>
              <w:t xml:space="preserve">Não </w:t>
            </w:r>
            <w:r>
              <w:rPr>
                <w:rFonts w:ascii="Arial MT" w:hAnsi="Arial MT"/>
                <w:spacing w:val="-2"/>
                <w:sz w:val="12"/>
              </w:rPr>
              <w:t>Circulante</w:t>
            </w:r>
          </w:p>
        </w:tc>
        <w:tc>
          <w:tcPr>
            <w:tcW w:w="882" w:type="dxa"/>
          </w:tcPr>
          <w:p w14:paraId="2FEA0CE2" w14:textId="77777777" w:rsidR="002C6574" w:rsidRDefault="00000000">
            <w:pPr>
              <w:pStyle w:val="TableParagraph"/>
              <w:spacing w:before="45"/>
              <w:ind w:right="130"/>
              <w:rPr>
                <w:rFonts w:ascii="Arial MT"/>
                <w:sz w:val="12"/>
              </w:rPr>
            </w:pPr>
            <w:r>
              <w:rPr>
                <w:rFonts w:ascii="Arial MT"/>
                <w:spacing w:val="-2"/>
                <w:sz w:val="12"/>
              </w:rPr>
              <w:t>2.293.240</w:t>
            </w:r>
          </w:p>
        </w:tc>
        <w:tc>
          <w:tcPr>
            <w:tcW w:w="717" w:type="dxa"/>
          </w:tcPr>
          <w:p w14:paraId="40FCFAB1" w14:textId="77777777" w:rsidR="002C6574" w:rsidRDefault="00000000">
            <w:pPr>
              <w:pStyle w:val="TableParagraph"/>
              <w:spacing w:before="45"/>
              <w:ind w:right="107"/>
              <w:rPr>
                <w:rFonts w:ascii="Arial MT"/>
                <w:sz w:val="12"/>
              </w:rPr>
            </w:pPr>
            <w:r>
              <w:rPr>
                <w:rFonts w:ascii="Arial MT"/>
                <w:spacing w:val="-2"/>
                <w:sz w:val="12"/>
              </w:rPr>
              <w:t>51,97%</w:t>
            </w:r>
          </w:p>
        </w:tc>
        <w:tc>
          <w:tcPr>
            <w:tcW w:w="623" w:type="dxa"/>
          </w:tcPr>
          <w:p w14:paraId="442A21CE" w14:textId="77777777" w:rsidR="002C6574" w:rsidRDefault="00000000">
            <w:pPr>
              <w:pStyle w:val="TableParagraph"/>
              <w:spacing w:before="45"/>
              <w:ind w:left="131"/>
              <w:jc w:val="center"/>
              <w:rPr>
                <w:rFonts w:ascii="Arial MT"/>
                <w:sz w:val="12"/>
              </w:rPr>
            </w:pPr>
            <w:r>
              <w:rPr>
                <w:rFonts w:ascii="Arial MT"/>
                <w:spacing w:val="-4"/>
                <w:sz w:val="12"/>
              </w:rPr>
              <w:t>0,0%</w:t>
            </w:r>
          </w:p>
        </w:tc>
        <w:tc>
          <w:tcPr>
            <w:tcW w:w="580" w:type="dxa"/>
            <w:tcBorders>
              <w:right w:val="single" w:sz="8" w:space="0" w:color="8CB3E2"/>
            </w:tcBorders>
          </w:tcPr>
          <w:p w14:paraId="1F5FBCF2" w14:textId="77777777" w:rsidR="002C6574" w:rsidRDefault="00000000">
            <w:pPr>
              <w:pStyle w:val="TableParagraph"/>
              <w:spacing w:before="45"/>
              <w:ind w:right="58"/>
              <w:rPr>
                <w:rFonts w:ascii="Arial MT"/>
                <w:sz w:val="12"/>
              </w:rPr>
            </w:pPr>
            <w:r>
              <w:rPr>
                <w:rFonts w:ascii="Arial MT"/>
                <w:sz w:val="12"/>
              </w:rPr>
              <w:t>-</w:t>
            </w:r>
            <w:r>
              <w:rPr>
                <w:rFonts w:ascii="Arial MT"/>
                <w:spacing w:val="-4"/>
                <w:sz w:val="12"/>
              </w:rPr>
              <w:t>0,2%</w:t>
            </w:r>
          </w:p>
        </w:tc>
        <w:tc>
          <w:tcPr>
            <w:tcW w:w="873" w:type="dxa"/>
            <w:tcBorders>
              <w:left w:val="single" w:sz="8" w:space="0" w:color="8CB3E2"/>
            </w:tcBorders>
          </w:tcPr>
          <w:p w14:paraId="36E052FA" w14:textId="77777777" w:rsidR="002C6574" w:rsidRDefault="00000000">
            <w:pPr>
              <w:pStyle w:val="TableParagraph"/>
              <w:spacing w:before="45"/>
              <w:ind w:right="120"/>
              <w:rPr>
                <w:rFonts w:ascii="Arial MT"/>
                <w:sz w:val="12"/>
              </w:rPr>
            </w:pPr>
            <w:r>
              <w:rPr>
                <w:rFonts w:ascii="Arial MT"/>
                <w:spacing w:val="-2"/>
                <w:sz w:val="12"/>
              </w:rPr>
              <w:t>2.293.396</w:t>
            </w:r>
          </w:p>
        </w:tc>
        <w:tc>
          <w:tcPr>
            <w:tcW w:w="643" w:type="dxa"/>
          </w:tcPr>
          <w:p w14:paraId="56DC0A19" w14:textId="77777777" w:rsidR="002C6574" w:rsidRDefault="00000000">
            <w:pPr>
              <w:pStyle w:val="TableParagraph"/>
              <w:spacing w:before="45"/>
              <w:ind w:left="154" w:right="71"/>
              <w:jc w:val="center"/>
              <w:rPr>
                <w:rFonts w:ascii="Arial MT"/>
                <w:sz w:val="12"/>
              </w:rPr>
            </w:pPr>
            <w:r>
              <w:rPr>
                <w:rFonts w:ascii="Arial MT"/>
                <w:spacing w:val="-2"/>
                <w:sz w:val="12"/>
              </w:rPr>
              <w:t>56,1%</w:t>
            </w:r>
          </w:p>
        </w:tc>
        <w:tc>
          <w:tcPr>
            <w:tcW w:w="620" w:type="dxa"/>
          </w:tcPr>
          <w:p w14:paraId="527C53A6" w14:textId="77777777" w:rsidR="002C6574" w:rsidRDefault="00000000">
            <w:pPr>
              <w:pStyle w:val="TableParagraph"/>
              <w:spacing w:before="45"/>
              <w:ind w:left="83"/>
              <w:jc w:val="center"/>
              <w:rPr>
                <w:rFonts w:ascii="Arial MT"/>
                <w:sz w:val="12"/>
              </w:rPr>
            </w:pPr>
            <w:r>
              <w:rPr>
                <w:rFonts w:ascii="Arial MT"/>
                <w:sz w:val="12"/>
              </w:rPr>
              <w:t>-</w:t>
            </w:r>
            <w:r>
              <w:rPr>
                <w:rFonts w:ascii="Arial MT"/>
                <w:spacing w:val="-4"/>
                <w:sz w:val="12"/>
              </w:rPr>
              <w:t>0,2%</w:t>
            </w:r>
          </w:p>
        </w:tc>
        <w:tc>
          <w:tcPr>
            <w:tcW w:w="581" w:type="dxa"/>
            <w:tcBorders>
              <w:right w:val="single" w:sz="8" w:space="0" w:color="8CB3E2"/>
            </w:tcBorders>
          </w:tcPr>
          <w:p w14:paraId="06A1D6BC" w14:textId="77777777" w:rsidR="002C6574" w:rsidRDefault="00000000">
            <w:pPr>
              <w:pStyle w:val="TableParagraph"/>
              <w:spacing w:before="45"/>
              <w:ind w:left="172" w:right="1"/>
              <w:jc w:val="center"/>
              <w:rPr>
                <w:rFonts w:ascii="Arial MT"/>
                <w:sz w:val="12"/>
              </w:rPr>
            </w:pPr>
            <w:r>
              <w:rPr>
                <w:rFonts w:ascii="Arial MT"/>
                <w:spacing w:val="-4"/>
                <w:sz w:val="12"/>
              </w:rPr>
              <w:t>6,2%</w:t>
            </w:r>
          </w:p>
        </w:tc>
        <w:tc>
          <w:tcPr>
            <w:tcW w:w="820" w:type="dxa"/>
            <w:tcBorders>
              <w:left w:val="single" w:sz="8" w:space="0" w:color="8CB3E2"/>
            </w:tcBorders>
          </w:tcPr>
          <w:p w14:paraId="09B78C18" w14:textId="77777777" w:rsidR="002C6574" w:rsidRDefault="00000000">
            <w:pPr>
              <w:pStyle w:val="TableParagraph"/>
              <w:spacing w:before="45"/>
              <w:ind w:right="70"/>
              <w:rPr>
                <w:rFonts w:ascii="Arial MT"/>
                <w:sz w:val="12"/>
              </w:rPr>
            </w:pPr>
            <w:r>
              <w:rPr>
                <w:rFonts w:ascii="Arial MT"/>
                <w:spacing w:val="-2"/>
                <w:sz w:val="12"/>
              </w:rPr>
              <w:t>2.297.276</w:t>
            </w:r>
          </w:p>
        </w:tc>
        <w:tc>
          <w:tcPr>
            <w:tcW w:w="548" w:type="dxa"/>
          </w:tcPr>
          <w:p w14:paraId="6186251F" w14:textId="77777777" w:rsidR="002C6574" w:rsidRDefault="00000000">
            <w:pPr>
              <w:pStyle w:val="TableParagraph"/>
              <w:spacing w:before="45"/>
              <w:ind w:right="69"/>
              <w:rPr>
                <w:rFonts w:ascii="Arial MT"/>
                <w:sz w:val="12"/>
              </w:rPr>
            </w:pPr>
            <w:r>
              <w:rPr>
                <w:rFonts w:ascii="Arial MT"/>
                <w:spacing w:val="-2"/>
                <w:sz w:val="12"/>
              </w:rPr>
              <w:t>57,4%</w:t>
            </w:r>
          </w:p>
        </w:tc>
      </w:tr>
      <w:tr w:rsidR="002C6574" w14:paraId="2D12482A" w14:textId="77777777">
        <w:trPr>
          <w:trHeight w:val="231"/>
        </w:trPr>
        <w:tc>
          <w:tcPr>
            <w:tcW w:w="2203" w:type="dxa"/>
          </w:tcPr>
          <w:p w14:paraId="41DE109D" w14:textId="77777777" w:rsidR="002C6574" w:rsidRDefault="00000000">
            <w:pPr>
              <w:pStyle w:val="TableParagraph"/>
              <w:spacing w:before="44"/>
              <w:ind w:left="83"/>
              <w:jc w:val="left"/>
              <w:rPr>
                <w:rFonts w:ascii="Arial" w:hAnsi="Arial"/>
                <w:b/>
                <w:sz w:val="12"/>
              </w:rPr>
            </w:pPr>
            <w:r>
              <w:rPr>
                <w:rFonts w:ascii="Arial" w:hAnsi="Arial"/>
                <w:b/>
                <w:sz w:val="12"/>
              </w:rPr>
              <w:t>Passivo</w:t>
            </w:r>
            <w:r>
              <w:rPr>
                <w:rFonts w:ascii="Arial" w:hAnsi="Arial"/>
                <w:b/>
                <w:spacing w:val="1"/>
                <w:sz w:val="12"/>
              </w:rPr>
              <w:t xml:space="preserve"> </w:t>
            </w:r>
            <w:r>
              <w:rPr>
                <w:rFonts w:ascii="Arial" w:hAnsi="Arial"/>
                <w:b/>
                <w:spacing w:val="-2"/>
                <w:sz w:val="12"/>
              </w:rPr>
              <w:t>Exigível</w:t>
            </w:r>
          </w:p>
        </w:tc>
        <w:tc>
          <w:tcPr>
            <w:tcW w:w="882" w:type="dxa"/>
          </w:tcPr>
          <w:p w14:paraId="7F303C42" w14:textId="77777777" w:rsidR="002C6574" w:rsidRDefault="00000000">
            <w:pPr>
              <w:pStyle w:val="TableParagraph"/>
              <w:spacing w:before="44"/>
              <w:ind w:right="130"/>
              <w:rPr>
                <w:rFonts w:ascii="Arial"/>
                <w:b/>
                <w:sz w:val="12"/>
              </w:rPr>
            </w:pPr>
            <w:r>
              <w:rPr>
                <w:rFonts w:ascii="Arial"/>
                <w:b/>
                <w:spacing w:val="-2"/>
                <w:sz w:val="12"/>
              </w:rPr>
              <w:t>2.660.377</w:t>
            </w:r>
          </w:p>
        </w:tc>
        <w:tc>
          <w:tcPr>
            <w:tcW w:w="717" w:type="dxa"/>
          </w:tcPr>
          <w:p w14:paraId="7884BF63" w14:textId="77777777" w:rsidR="002C6574" w:rsidRDefault="00000000">
            <w:pPr>
              <w:pStyle w:val="TableParagraph"/>
              <w:spacing w:before="44"/>
              <w:ind w:right="107"/>
              <w:rPr>
                <w:rFonts w:ascii="Arial"/>
                <w:b/>
                <w:sz w:val="12"/>
              </w:rPr>
            </w:pPr>
            <w:r>
              <w:rPr>
                <w:rFonts w:ascii="Arial"/>
                <w:b/>
                <w:spacing w:val="-2"/>
                <w:sz w:val="12"/>
              </w:rPr>
              <w:t>60,29%</w:t>
            </w:r>
          </w:p>
        </w:tc>
        <w:tc>
          <w:tcPr>
            <w:tcW w:w="623" w:type="dxa"/>
          </w:tcPr>
          <w:p w14:paraId="17AF2C48" w14:textId="77777777" w:rsidR="002C6574" w:rsidRDefault="00000000">
            <w:pPr>
              <w:pStyle w:val="TableParagraph"/>
              <w:spacing w:before="44"/>
              <w:ind w:left="131"/>
              <w:jc w:val="center"/>
              <w:rPr>
                <w:rFonts w:ascii="Arial"/>
                <w:b/>
                <w:sz w:val="12"/>
              </w:rPr>
            </w:pPr>
            <w:r>
              <w:rPr>
                <w:rFonts w:ascii="Arial"/>
                <w:b/>
                <w:spacing w:val="-4"/>
                <w:sz w:val="12"/>
              </w:rPr>
              <w:t>2,0%</w:t>
            </w:r>
          </w:p>
        </w:tc>
        <w:tc>
          <w:tcPr>
            <w:tcW w:w="580" w:type="dxa"/>
            <w:tcBorders>
              <w:right w:val="single" w:sz="8" w:space="0" w:color="8CB3E2"/>
            </w:tcBorders>
          </w:tcPr>
          <w:p w14:paraId="36428E9D" w14:textId="77777777" w:rsidR="002C6574" w:rsidRDefault="00000000">
            <w:pPr>
              <w:pStyle w:val="TableParagraph"/>
              <w:spacing w:before="44"/>
              <w:ind w:right="58"/>
              <w:rPr>
                <w:rFonts w:ascii="Arial"/>
                <w:b/>
                <w:sz w:val="12"/>
              </w:rPr>
            </w:pPr>
            <w:r>
              <w:rPr>
                <w:rFonts w:ascii="Arial"/>
                <w:b/>
                <w:spacing w:val="-4"/>
                <w:sz w:val="12"/>
              </w:rPr>
              <w:t>3,2%</w:t>
            </w:r>
          </w:p>
        </w:tc>
        <w:tc>
          <w:tcPr>
            <w:tcW w:w="873" w:type="dxa"/>
            <w:tcBorders>
              <w:left w:val="single" w:sz="8" w:space="0" w:color="8CB3E2"/>
            </w:tcBorders>
          </w:tcPr>
          <w:p w14:paraId="3265E950" w14:textId="77777777" w:rsidR="002C6574" w:rsidRDefault="00000000">
            <w:pPr>
              <w:pStyle w:val="TableParagraph"/>
              <w:spacing w:before="44"/>
              <w:ind w:right="120"/>
              <w:rPr>
                <w:rFonts w:ascii="Arial"/>
                <w:b/>
                <w:sz w:val="12"/>
              </w:rPr>
            </w:pPr>
            <w:r>
              <w:rPr>
                <w:rFonts w:ascii="Arial"/>
                <w:b/>
                <w:spacing w:val="-2"/>
                <w:sz w:val="12"/>
              </w:rPr>
              <w:t>2.607.973</w:t>
            </w:r>
          </w:p>
        </w:tc>
        <w:tc>
          <w:tcPr>
            <w:tcW w:w="643" w:type="dxa"/>
          </w:tcPr>
          <w:p w14:paraId="0AB47875" w14:textId="77777777" w:rsidR="002C6574" w:rsidRDefault="00000000">
            <w:pPr>
              <w:pStyle w:val="TableParagraph"/>
              <w:spacing w:before="44"/>
              <w:ind w:left="154" w:right="71"/>
              <w:jc w:val="center"/>
              <w:rPr>
                <w:rFonts w:ascii="Arial"/>
                <w:b/>
                <w:sz w:val="12"/>
              </w:rPr>
            </w:pPr>
            <w:r>
              <w:rPr>
                <w:rFonts w:ascii="Arial"/>
                <w:b/>
                <w:spacing w:val="-2"/>
                <w:sz w:val="12"/>
              </w:rPr>
              <w:t>63,8%</w:t>
            </w:r>
          </w:p>
        </w:tc>
        <w:tc>
          <w:tcPr>
            <w:tcW w:w="620" w:type="dxa"/>
          </w:tcPr>
          <w:p w14:paraId="487DE48A" w14:textId="77777777" w:rsidR="002C6574" w:rsidRDefault="00000000">
            <w:pPr>
              <w:pStyle w:val="TableParagraph"/>
              <w:spacing w:before="44"/>
              <w:ind w:left="125" w:right="1"/>
              <w:jc w:val="center"/>
              <w:rPr>
                <w:rFonts w:ascii="Arial"/>
                <w:b/>
                <w:sz w:val="12"/>
              </w:rPr>
            </w:pPr>
            <w:r>
              <w:rPr>
                <w:rFonts w:ascii="Arial"/>
                <w:b/>
                <w:spacing w:val="-4"/>
                <w:sz w:val="12"/>
              </w:rPr>
              <w:t>1,2%</w:t>
            </w:r>
          </w:p>
        </w:tc>
        <w:tc>
          <w:tcPr>
            <w:tcW w:w="581" w:type="dxa"/>
            <w:tcBorders>
              <w:right w:val="single" w:sz="8" w:space="0" w:color="8CB3E2"/>
            </w:tcBorders>
          </w:tcPr>
          <w:p w14:paraId="20B55947" w14:textId="77777777" w:rsidR="002C6574" w:rsidRDefault="00000000">
            <w:pPr>
              <w:pStyle w:val="TableParagraph"/>
              <w:spacing w:before="44"/>
              <w:ind w:left="172" w:right="1"/>
              <w:jc w:val="center"/>
              <w:rPr>
                <w:rFonts w:ascii="Arial"/>
                <w:b/>
                <w:sz w:val="12"/>
              </w:rPr>
            </w:pPr>
            <w:r>
              <w:rPr>
                <w:rFonts w:ascii="Arial"/>
                <w:b/>
                <w:spacing w:val="-4"/>
                <w:sz w:val="12"/>
              </w:rPr>
              <w:t>5,1%</w:t>
            </w:r>
          </w:p>
        </w:tc>
        <w:tc>
          <w:tcPr>
            <w:tcW w:w="820" w:type="dxa"/>
            <w:tcBorders>
              <w:left w:val="single" w:sz="8" w:space="0" w:color="8CB3E2"/>
            </w:tcBorders>
          </w:tcPr>
          <w:p w14:paraId="682EB5C8" w14:textId="77777777" w:rsidR="002C6574" w:rsidRDefault="00000000">
            <w:pPr>
              <w:pStyle w:val="TableParagraph"/>
              <w:spacing w:before="44"/>
              <w:ind w:right="70"/>
              <w:rPr>
                <w:rFonts w:ascii="Arial"/>
                <w:b/>
                <w:sz w:val="12"/>
              </w:rPr>
            </w:pPr>
            <w:r>
              <w:rPr>
                <w:rFonts w:ascii="Arial"/>
                <w:b/>
                <w:spacing w:val="-2"/>
                <w:sz w:val="12"/>
              </w:rPr>
              <w:t>2.577.936</w:t>
            </w:r>
          </w:p>
        </w:tc>
        <w:tc>
          <w:tcPr>
            <w:tcW w:w="548" w:type="dxa"/>
          </w:tcPr>
          <w:p w14:paraId="6300B450" w14:textId="77777777" w:rsidR="002C6574" w:rsidRDefault="00000000">
            <w:pPr>
              <w:pStyle w:val="TableParagraph"/>
              <w:spacing w:before="44"/>
              <w:ind w:right="69"/>
              <w:rPr>
                <w:rFonts w:ascii="Arial"/>
                <w:b/>
                <w:sz w:val="12"/>
              </w:rPr>
            </w:pPr>
            <w:r>
              <w:rPr>
                <w:rFonts w:ascii="Arial"/>
                <w:b/>
                <w:spacing w:val="-2"/>
                <w:sz w:val="12"/>
              </w:rPr>
              <w:t>64,4%</w:t>
            </w:r>
          </w:p>
        </w:tc>
      </w:tr>
      <w:tr w:rsidR="002C6574" w14:paraId="3D496293" w14:textId="77777777">
        <w:trPr>
          <w:trHeight w:val="229"/>
        </w:trPr>
        <w:tc>
          <w:tcPr>
            <w:tcW w:w="2203" w:type="dxa"/>
            <w:tcBorders>
              <w:bottom w:val="single" w:sz="8" w:space="0" w:color="8CB3E2"/>
            </w:tcBorders>
          </w:tcPr>
          <w:p w14:paraId="31674AB3" w14:textId="77777777" w:rsidR="002C6574" w:rsidRDefault="00000000">
            <w:pPr>
              <w:pStyle w:val="TableParagraph"/>
              <w:spacing w:before="45"/>
              <w:ind w:left="83"/>
              <w:jc w:val="left"/>
              <w:rPr>
                <w:rFonts w:ascii="Arial MT" w:hAnsi="Arial MT"/>
                <w:sz w:val="12"/>
              </w:rPr>
            </w:pPr>
            <w:r>
              <w:rPr>
                <w:rFonts w:ascii="Arial MT" w:hAnsi="Arial MT"/>
                <w:sz w:val="12"/>
              </w:rPr>
              <w:t>Patrimônio</w:t>
            </w:r>
            <w:r>
              <w:rPr>
                <w:rFonts w:ascii="Arial MT" w:hAnsi="Arial MT"/>
                <w:spacing w:val="-1"/>
                <w:sz w:val="12"/>
              </w:rPr>
              <w:t xml:space="preserve"> </w:t>
            </w:r>
            <w:r>
              <w:rPr>
                <w:rFonts w:ascii="Arial MT" w:hAnsi="Arial MT"/>
                <w:spacing w:val="-2"/>
                <w:sz w:val="12"/>
              </w:rPr>
              <w:t>Líquido</w:t>
            </w:r>
          </w:p>
        </w:tc>
        <w:tc>
          <w:tcPr>
            <w:tcW w:w="882" w:type="dxa"/>
            <w:tcBorders>
              <w:bottom w:val="single" w:sz="8" w:space="0" w:color="8CB3E2"/>
            </w:tcBorders>
          </w:tcPr>
          <w:p w14:paraId="62A98DE4" w14:textId="77777777" w:rsidR="002C6574" w:rsidRDefault="00000000">
            <w:pPr>
              <w:pStyle w:val="TableParagraph"/>
              <w:spacing w:before="45"/>
              <w:ind w:right="130"/>
              <w:rPr>
                <w:rFonts w:ascii="Arial MT"/>
                <w:sz w:val="12"/>
              </w:rPr>
            </w:pPr>
            <w:r>
              <w:rPr>
                <w:rFonts w:ascii="Arial MT"/>
                <w:spacing w:val="-2"/>
                <w:sz w:val="12"/>
              </w:rPr>
              <w:t>1.752.089</w:t>
            </w:r>
          </w:p>
        </w:tc>
        <w:tc>
          <w:tcPr>
            <w:tcW w:w="717" w:type="dxa"/>
            <w:tcBorders>
              <w:bottom w:val="single" w:sz="8" w:space="0" w:color="8CB3E2"/>
            </w:tcBorders>
          </w:tcPr>
          <w:p w14:paraId="1DB54E01" w14:textId="77777777" w:rsidR="002C6574" w:rsidRDefault="00000000">
            <w:pPr>
              <w:pStyle w:val="TableParagraph"/>
              <w:spacing w:before="45"/>
              <w:ind w:right="107"/>
              <w:rPr>
                <w:rFonts w:ascii="Arial MT"/>
                <w:sz w:val="12"/>
              </w:rPr>
            </w:pPr>
            <w:r>
              <w:rPr>
                <w:rFonts w:ascii="Arial MT"/>
                <w:spacing w:val="-2"/>
                <w:sz w:val="12"/>
              </w:rPr>
              <w:t>39,71%</w:t>
            </w:r>
          </w:p>
        </w:tc>
        <w:tc>
          <w:tcPr>
            <w:tcW w:w="623" w:type="dxa"/>
            <w:tcBorders>
              <w:bottom w:val="single" w:sz="8" w:space="0" w:color="8CB3E2"/>
            </w:tcBorders>
          </w:tcPr>
          <w:p w14:paraId="4F7E3E99" w14:textId="77777777" w:rsidR="002C6574" w:rsidRDefault="00000000">
            <w:pPr>
              <w:pStyle w:val="TableParagraph"/>
              <w:spacing w:before="45"/>
              <w:ind w:left="90" w:right="27"/>
              <w:jc w:val="center"/>
              <w:rPr>
                <w:rFonts w:ascii="Arial MT"/>
                <w:sz w:val="12"/>
              </w:rPr>
            </w:pPr>
            <w:r>
              <w:rPr>
                <w:rFonts w:ascii="Arial MT"/>
                <w:spacing w:val="-2"/>
                <w:sz w:val="12"/>
              </w:rPr>
              <w:t>18,2%</w:t>
            </w:r>
          </w:p>
        </w:tc>
        <w:tc>
          <w:tcPr>
            <w:tcW w:w="580" w:type="dxa"/>
            <w:tcBorders>
              <w:bottom w:val="single" w:sz="8" w:space="0" w:color="8CB3E2"/>
              <w:right w:val="single" w:sz="8" w:space="0" w:color="8CB3E2"/>
            </w:tcBorders>
          </w:tcPr>
          <w:p w14:paraId="3934634D" w14:textId="77777777" w:rsidR="002C6574" w:rsidRDefault="00000000">
            <w:pPr>
              <w:pStyle w:val="TableParagraph"/>
              <w:spacing w:before="45"/>
              <w:ind w:right="57"/>
              <w:rPr>
                <w:rFonts w:ascii="Arial MT"/>
                <w:sz w:val="12"/>
              </w:rPr>
            </w:pPr>
            <w:r>
              <w:rPr>
                <w:rFonts w:ascii="Arial MT"/>
                <w:spacing w:val="-2"/>
                <w:sz w:val="12"/>
              </w:rPr>
              <w:t>22,9%</w:t>
            </w:r>
          </w:p>
        </w:tc>
        <w:tc>
          <w:tcPr>
            <w:tcW w:w="873" w:type="dxa"/>
            <w:tcBorders>
              <w:left w:val="single" w:sz="8" w:space="0" w:color="8CB3E2"/>
              <w:bottom w:val="single" w:sz="8" w:space="0" w:color="8CB3E2"/>
            </w:tcBorders>
          </w:tcPr>
          <w:p w14:paraId="29D25425" w14:textId="77777777" w:rsidR="002C6574" w:rsidRDefault="00000000">
            <w:pPr>
              <w:pStyle w:val="TableParagraph"/>
              <w:spacing w:before="45"/>
              <w:ind w:right="120"/>
              <w:rPr>
                <w:rFonts w:ascii="Arial MT"/>
                <w:sz w:val="12"/>
              </w:rPr>
            </w:pPr>
            <w:r>
              <w:rPr>
                <w:rFonts w:ascii="Arial MT"/>
                <w:spacing w:val="-2"/>
                <w:sz w:val="12"/>
              </w:rPr>
              <w:t>1.482.012</w:t>
            </w:r>
          </w:p>
        </w:tc>
        <w:tc>
          <w:tcPr>
            <w:tcW w:w="643" w:type="dxa"/>
            <w:tcBorders>
              <w:bottom w:val="single" w:sz="8" w:space="0" w:color="8CB3E2"/>
            </w:tcBorders>
          </w:tcPr>
          <w:p w14:paraId="04F2DAC0" w14:textId="77777777" w:rsidR="002C6574" w:rsidRDefault="00000000">
            <w:pPr>
              <w:pStyle w:val="TableParagraph"/>
              <w:spacing w:before="45"/>
              <w:ind w:left="154" w:right="71"/>
              <w:jc w:val="center"/>
              <w:rPr>
                <w:rFonts w:ascii="Arial MT"/>
                <w:sz w:val="12"/>
              </w:rPr>
            </w:pPr>
            <w:r>
              <w:rPr>
                <w:rFonts w:ascii="Arial MT"/>
                <w:spacing w:val="-2"/>
                <w:sz w:val="12"/>
              </w:rPr>
              <w:t>36,2%</w:t>
            </w:r>
          </w:p>
        </w:tc>
        <w:tc>
          <w:tcPr>
            <w:tcW w:w="620" w:type="dxa"/>
            <w:tcBorders>
              <w:bottom w:val="single" w:sz="8" w:space="0" w:color="8CB3E2"/>
            </w:tcBorders>
          </w:tcPr>
          <w:p w14:paraId="73BE99EA" w14:textId="77777777" w:rsidR="002C6574" w:rsidRDefault="00000000">
            <w:pPr>
              <w:pStyle w:val="TableParagraph"/>
              <w:spacing w:before="45"/>
              <w:ind w:left="125" w:right="1"/>
              <w:jc w:val="center"/>
              <w:rPr>
                <w:rFonts w:ascii="Arial MT"/>
                <w:sz w:val="12"/>
              </w:rPr>
            </w:pPr>
            <w:r>
              <w:rPr>
                <w:rFonts w:ascii="Arial MT"/>
                <w:spacing w:val="-4"/>
                <w:sz w:val="12"/>
              </w:rPr>
              <w:t>4,0%</w:t>
            </w:r>
          </w:p>
        </w:tc>
        <w:tc>
          <w:tcPr>
            <w:tcW w:w="581" w:type="dxa"/>
            <w:tcBorders>
              <w:bottom w:val="single" w:sz="8" w:space="0" w:color="8CB3E2"/>
              <w:right w:val="single" w:sz="8" w:space="0" w:color="8CB3E2"/>
            </w:tcBorders>
          </w:tcPr>
          <w:p w14:paraId="72239F9D" w14:textId="77777777" w:rsidR="002C6574" w:rsidRDefault="00000000">
            <w:pPr>
              <w:pStyle w:val="TableParagraph"/>
              <w:spacing w:before="45"/>
              <w:ind w:left="131"/>
              <w:jc w:val="center"/>
              <w:rPr>
                <w:rFonts w:ascii="Arial MT"/>
                <w:sz w:val="12"/>
              </w:rPr>
            </w:pPr>
            <w:r>
              <w:rPr>
                <w:rFonts w:ascii="Arial MT"/>
                <w:sz w:val="12"/>
              </w:rPr>
              <w:t>-</w:t>
            </w:r>
            <w:r>
              <w:rPr>
                <w:rFonts w:ascii="Arial MT"/>
                <w:spacing w:val="-4"/>
                <w:sz w:val="12"/>
              </w:rPr>
              <w:t>4,7%</w:t>
            </w:r>
          </w:p>
        </w:tc>
        <w:tc>
          <w:tcPr>
            <w:tcW w:w="820" w:type="dxa"/>
            <w:tcBorders>
              <w:left w:val="single" w:sz="8" w:space="0" w:color="8CB3E2"/>
              <w:bottom w:val="single" w:sz="8" w:space="0" w:color="8CB3E2"/>
            </w:tcBorders>
          </w:tcPr>
          <w:p w14:paraId="5BAF42BE" w14:textId="77777777" w:rsidR="002C6574" w:rsidRDefault="00000000">
            <w:pPr>
              <w:pStyle w:val="TableParagraph"/>
              <w:spacing w:before="45"/>
              <w:ind w:right="70"/>
              <w:rPr>
                <w:rFonts w:ascii="Arial MT"/>
                <w:sz w:val="12"/>
              </w:rPr>
            </w:pPr>
            <w:r>
              <w:rPr>
                <w:rFonts w:ascii="Arial MT"/>
                <w:spacing w:val="-2"/>
                <w:sz w:val="12"/>
              </w:rPr>
              <w:t>1.425.651</w:t>
            </w:r>
          </w:p>
        </w:tc>
        <w:tc>
          <w:tcPr>
            <w:tcW w:w="548" w:type="dxa"/>
            <w:tcBorders>
              <w:bottom w:val="single" w:sz="8" w:space="0" w:color="8CB3E2"/>
            </w:tcBorders>
          </w:tcPr>
          <w:p w14:paraId="6DA064D6" w14:textId="77777777" w:rsidR="002C6574" w:rsidRDefault="00000000">
            <w:pPr>
              <w:pStyle w:val="TableParagraph"/>
              <w:spacing w:before="45"/>
              <w:ind w:right="69"/>
              <w:rPr>
                <w:rFonts w:ascii="Arial MT"/>
                <w:sz w:val="12"/>
              </w:rPr>
            </w:pPr>
            <w:r>
              <w:rPr>
                <w:rFonts w:ascii="Arial MT"/>
                <w:spacing w:val="-2"/>
                <w:sz w:val="12"/>
              </w:rPr>
              <w:t>35,6%</w:t>
            </w:r>
          </w:p>
        </w:tc>
      </w:tr>
      <w:tr w:rsidR="002C6574" w14:paraId="081EDB49" w14:textId="77777777">
        <w:trPr>
          <w:trHeight w:val="231"/>
        </w:trPr>
        <w:tc>
          <w:tcPr>
            <w:tcW w:w="2203" w:type="dxa"/>
            <w:tcBorders>
              <w:top w:val="single" w:sz="8" w:space="0" w:color="8CB3E2"/>
              <w:bottom w:val="single" w:sz="8" w:space="0" w:color="8CB3E2"/>
            </w:tcBorders>
          </w:tcPr>
          <w:p w14:paraId="43576C8E" w14:textId="77777777" w:rsidR="002C6574" w:rsidRDefault="00000000">
            <w:pPr>
              <w:pStyle w:val="TableParagraph"/>
              <w:spacing w:before="48"/>
              <w:ind w:left="83"/>
              <w:jc w:val="left"/>
              <w:rPr>
                <w:rFonts w:ascii="Arial"/>
                <w:b/>
                <w:sz w:val="12"/>
              </w:rPr>
            </w:pPr>
            <w:r>
              <w:rPr>
                <w:rFonts w:ascii="Arial"/>
                <w:b/>
                <w:sz w:val="12"/>
              </w:rPr>
              <w:t>Passivo</w:t>
            </w:r>
            <w:r>
              <w:rPr>
                <w:rFonts w:ascii="Arial"/>
                <w:b/>
                <w:spacing w:val="-2"/>
                <w:sz w:val="12"/>
              </w:rPr>
              <w:t xml:space="preserve"> </w:t>
            </w:r>
            <w:r>
              <w:rPr>
                <w:rFonts w:ascii="Arial"/>
                <w:b/>
                <w:spacing w:val="-4"/>
                <w:sz w:val="12"/>
              </w:rPr>
              <w:t>Total</w:t>
            </w:r>
          </w:p>
        </w:tc>
        <w:tc>
          <w:tcPr>
            <w:tcW w:w="882" w:type="dxa"/>
            <w:tcBorders>
              <w:top w:val="single" w:sz="8" w:space="0" w:color="8CB3E2"/>
              <w:bottom w:val="single" w:sz="8" w:space="0" w:color="8CB3E2"/>
            </w:tcBorders>
          </w:tcPr>
          <w:p w14:paraId="0BEC648C" w14:textId="77777777" w:rsidR="002C6574" w:rsidRDefault="00000000">
            <w:pPr>
              <w:pStyle w:val="TableParagraph"/>
              <w:spacing w:before="48"/>
              <w:ind w:right="131"/>
              <w:rPr>
                <w:rFonts w:ascii="Arial"/>
                <w:b/>
                <w:sz w:val="12"/>
              </w:rPr>
            </w:pPr>
            <w:r>
              <w:rPr>
                <w:rFonts w:ascii="Arial"/>
                <w:b/>
                <w:spacing w:val="-2"/>
                <w:sz w:val="12"/>
              </w:rPr>
              <w:t>4.412.466</w:t>
            </w:r>
          </w:p>
        </w:tc>
        <w:tc>
          <w:tcPr>
            <w:tcW w:w="717" w:type="dxa"/>
            <w:tcBorders>
              <w:top w:val="single" w:sz="8" w:space="0" w:color="8CB3E2"/>
              <w:bottom w:val="single" w:sz="8" w:space="0" w:color="8CB3E2"/>
            </w:tcBorders>
          </w:tcPr>
          <w:p w14:paraId="06DA03FD" w14:textId="77777777" w:rsidR="002C6574" w:rsidRDefault="00000000">
            <w:pPr>
              <w:pStyle w:val="TableParagraph"/>
              <w:spacing w:before="48"/>
              <w:ind w:right="105"/>
              <w:rPr>
                <w:rFonts w:ascii="Arial"/>
                <w:b/>
                <w:sz w:val="12"/>
              </w:rPr>
            </w:pPr>
            <w:r>
              <w:rPr>
                <w:rFonts w:ascii="Arial"/>
                <w:b/>
                <w:spacing w:val="-2"/>
                <w:sz w:val="12"/>
              </w:rPr>
              <w:t>100,00%</w:t>
            </w:r>
          </w:p>
        </w:tc>
        <w:tc>
          <w:tcPr>
            <w:tcW w:w="623" w:type="dxa"/>
            <w:tcBorders>
              <w:top w:val="single" w:sz="8" w:space="0" w:color="8CB3E2"/>
              <w:bottom w:val="single" w:sz="8" w:space="0" w:color="8CB3E2"/>
            </w:tcBorders>
          </w:tcPr>
          <w:p w14:paraId="74D7AC11" w14:textId="77777777" w:rsidR="002C6574" w:rsidRDefault="00000000">
            <w:pPr>
              <w:pStyle w:val="TableParagraph"/>
              <w:spacing w:before="48"/>
              <w:ind w:left="131" w:right="1"/>
              <w:jc w:val="center"/>
              <w:rPr>
                <w:rFonts w:ascii="Arial"/>
                <w:b/>
                <w:sz w:val="12"/>
              </w:rPr>
            </w:pPr>
            <w:r>
              <w:rPr>
                <w:rFonts w:ascii="Arial"/>
                <w:b/>
                <w:spacing w:val="-4"/>
                <w:sz w:val="12"/>
              </w:rPr>
              <w:t>7,9%</w:t>
            </w:r>
          </w:p>
        </w:tc>
        <w:tc>
          <w:tcPr>
            <w:tcW w:w="580" w:type="dxa"/>
            <w:tcBorders>
              <w:top w:val="single" w:sz="8" w:space="0" w:color="8CB3E2"/>
              <w:bottom w:val="single" w:sz="8" w:space="0" w:color="8CB3E2"/>
              <w:right w:val="single" w:sz="8" w:space="0" w:color="8CB3E2"/>
            </w:tcBorders>
          </w:tcPr>
          <w:p w14:paraId="10F0F9FF" w14:textId="77777777" w:rsidR="002C6574" w:rsidRDefault="00000000">
            <w:pPr>
              <w:pStyle w:val="TableParagraph"/>
              <w:spacing w:before="48"/>
              <w:ind w:right="56"/>
              <w:rPr>
                <w:rFonts w:ascii="Arial"/>
                <w:b/>
                <w:sz w:val="12"/>
              </w:rPr>
            </w:pPr>
            <w:r>
              <w:rPr>
                <w:rFonts w:ascii="Arial"/>
                <w:b/>
                <w:spacing w:val="-2"/>
                <w:sz w:val="12"/>
              </w:rPr>
              <w:t>10,2%</w:t>
            </w:r>
          </w:p>
        </w:tc>
        <w:tc>
          <w:tcPr>
            <w:tcW w:w="873" w:type="dxa"/>
            <w:tcBorders>
              <w:top w:val="single" w:sz="8" w:space="0" w:color="8CB3E2"/>
              <w:left w:val="single" w:sz="8" w:space="0" w:color="8CB3E2"/>
              <w:bottom w:val="single" w:sz="8" w:space="0" w:color="8CB3E2"/>
            </w:tcBorders>
          </w:tcPr>
          <w:p w14:paraId="07B35BD2" w14:textId="77777777" w:rsidR="002C6574" w:rsidRDefault="00000000">
            <w:pPr>
              <w:pStyle w:val="TableParagraph"/>
              <w:spacing w:before="48"/>
              <w:ind w:right="120"/>
              <w:rPr>
                <w:rFonts w:ascii="Arial"/>
                <w:b/>
                <w:sz w:val="12"/>
              </w:rPr>
            </w:pPr>
            <w:r>
              <w:rPr>
                <w:rFonts w:ascii="Arial"/>
                <w:b/>
                <w:spacing w:val="-2"/>
                <w:sz w:val="12"/>
              </w:rPr>
              <w:t>4.089.985</w:t>
            </w:r>
          </w:p>
        </w:tc>
        <w:tc>
          <w:tcPr>
            <w:tcW w:w="643" w:type="dxa"/>
            <w:tcBorders>
              <w:top w:val="single" w:sz="8" w:space="0" w:color="8CB3E2"/>
              <w:bottom w:val="single" w:sz="8" w:space="0" w:color="8CB3E2"/>
            </w:tcBorders>
          </w:tcPr>
          <w:p w14:paraId="06D632E7" w14:textId="77777777" w:rsidR="002C6574" w:rsidRDefault="00000000">
            <w:pPr>
              <w:pStyle w:val="TableParagraph"/>
              <w:spacing w:before="48"/>
              <w:ind w:left="15"/>
              <w:jc w:val="center"/>
              <w:rPr>
                <w:rFonts w:ascii="Arial"/>
                <w:b/>
                <w:sz w:val="12"/>
              </w:rPr>
            </w:pPr>
            <w:r>
              <w:rPr>
                <w:rFonts w:ascii="Arial"/>
                <w:b/>
                <w:spacing w:val="-2"/>
                <w:sz w:val="12"/>
              </w:rPr>
              <w:t>100,0%</w:t>
            </w:r>
          </w:p>
        </w:tc>
        <w:tc>
          <w:tcPr>
            <w:tcW w:w="620" w:type="dxa"/>
            <w:tcBorders>
              <w:top w:val="single" w:sz="8" w:space="0" w:color="8CB3E2"/>
              <w:bottom w:val="single" w:sz="8" w:space="0" w:color="8CB3E2"/>
            </w:tcBorders>
          </w:tcPr>
          <w:p w14:paraId="626B7074" w14:textId="77777777" w:rsidR="002C6574" w:rsidRDefault="00000000">
            <w:pPr>
              <w:pStyle w:val="TableParagraph"/>
              <w:spacing w:before="48"/>
              <w:ind w:left="125"/>
              <w:jc w:val="center"/>
              <w:rPr>
                <w:rFonts w:ascii="Arial"/>
                <w:b/>
                <w:sz w:val="12"/>
              </w:rPr>
            </w:pPr>
            <w:r>
              <w:rPr>
                <w:rFonts w:ascii="Arial"/>
                <w:b/>
                <w:spacing w:val="-4"/>
                <w:sz w:val="12"/>
              </w:rPr>
              <w:t>2,2%</w:t>
            </w:r>
          </w:p>
        </w:tc>
        <w:tc>
          <w:tcPr>
            <w:tcW w:w="581" w:type="dxa"/>
            <w:tcBorders>
              <w:top w:val="single" w:sz="8" w:space="0" w:color="8CB3E2"/>
              <w:bottom w:val="single" w:sz="8" w:space="0" w:color="8CB3E2"/>
              <w:right w:val="single" w:sz="8" w:space="0" w:color="8CB3E2"/>
            </w:tcBorders>
          </w:tcPr>
          <w:p w14:paraId="4EC5F63F" w14:textId="77777777" w:rsidR="002C6574" w:rsidRDefault="00000000">
            <w:pPr>
              <w:pStyle w:val="TableParagraph"/>
              <w:spacing w:before="48"/>
              <w:ind w:left="172" w:right="1"/>
              <w:jc w:val="center"/>
              <w:rPr>
                <w:rFonts w:ascii="Arial"/>
                <w:b/>
                <w:sz w:val="12"/>
              </w:rPr>
            </w:pPr>
            <w:r>
              <w:rPr>
                <w:rFonts w:ascii="Arial"/>
                <w:b/>
                <w:spacing w:val="-4"/>
                <w:sz w:val="12"/>
              </w:rPr>
              <w:t>1,4%</w:t>
            </w:r>
          </w:p>
        </w:tc>
        <w:tc>
          <w:tcPr>
            <w:tcW w:w="820" w:type="dxa"/>
            <w:tcBorders>
              <w:top w:val="single" w:sz="8" w:space="0" w:color="8CB3E2"/>
              <w:left w:val="single" w:sz="8" w:space="0" w:color="8CB3E2"/>
              <w:bottom w:val="single" w:sz="8" w:space="0" w:color="8CB3E2"/>
            </w:tcBorders>
          </w:tcPr>
          <w:p w14:paraId="1B849C24" w14:textId="77777777" w:rsidR="002C6574" w:rsidRDefault="00000000">
            <w:pPr>
              <w:pStyle w:val="TableParagraph"/>
              <w:spacing w:before="48"/>
              <w:ind w:right="70"/>
              <w:rPr>
                <w:rFonts w:ascii="Arial"/>
                <w:b/>
                <w:sz w:val="12"/>
              </w:rPr>
            </w:pPr>
            <w:r>
              <w:rPr>
                <w:rFonts w:ascii="Arial"/>
                <w:b/>
                <w:spacing w:val="-2"/>
                <w:sz w:val="12"/>
              </w:rPr>
              <w:t>4.003.587</w:t>
            </w:r>
          </w:p>
        </w:tc>
        <w:tc>
          <w:tcPr>
            <w:tcW w:w="548" w:type="dxa"/>
            <w:tcBorders>
              <w:top w:val="single" w:sz="8" w:space="0" w:color="8CB3E2"/>
              <w:bottom w:val="single" w:sz="8" w:space="0" w:color="8CB3E2"/>
            </w:tcBorders>
          </w:tcPr>
          <w:p w14:paraId="4966CEF8" w14:textId="77777777" w:rsidR="002C6574" w:rsidRDefault="00000000">
            <w:pPr>
              <w:pStyle w:val="TableParagraph"/>
              <w:spacing w:before="48"/>
              <w:ind w:right="70"/>
              <w:rPr>
                <w:rFonts w:ascii="Arial"/>
                <w:b/>
                <w:sz w:val="12"/>
              </w:rPr>
            </w:pPr>
            <w:r>
              <w:rPr>
                <w:rFonts w:ascii="Arial"/>
                <w:b/>
                <w:spacing w:val="-2"/>
                <w:sz w:val="12"/>
              </w:rPr>
              <w:t>100,0%</w:t>
            </w:r>
          </w:p>
        </w:tc>
      </w:tr>
    </w:tbl>
    <w:p w14:paraId="22CF352C" w14:textId="77777777" w:rsidR="002C6574" w:rsidRDefault="00000000">
      <w:pPr>
        <w:spacing w:before="7"/>
        <w:ind w:left="709"/>
        <w:rPr>
          <w:rFonts w:ascii="Arial MT" w:hAnsi="Arial MT"/>
          <w:sz w:val="12"/>
        </w:rPr>
      </w:pPr>
      <w:r>
        <w:rPr>
          <w:rFonts w:ascii="Arial MT" w:hAnsi="Arial MT"/>
          <w:color w:val="001F60"/>
          <w:sz w:val="12"/>
        </w:rPr>
        <w:t>Fonte:</w:t>
      </w:r>
      <w:r>
        <w:rPr>
          <w:rFonts w:ascii="Arial MT" w:hAnsi="Arial MT"/>
          <w:color w:val="001F60"/>
          <w:spacing w:val="-2"/>
          <w:sz w:val="12"/>
        </w:rPr>
        <w:t xml:space="preserve"> </w:t>
      </w:r>
      <w:r>
        <w:rPr>
          <w:rFonts w:ascii="Arial MT" w:hAnsi="Arial MT"/>
          <w:color w:val="001F60"/>
          <w:sz w:val="12"/>
        </w:rPr>
        <w:t>Demonstrações</w:t>
      </w:r>
      <w:r>
        <w:rPr>
          <w:rFonts w:ascii="Arial MT" w:hAnsi="Arial MT"/>
          <w:color w:val="001F60"/>
          <w:spacing w:val="-1"/>
          <w:sz w:val="12"/>
        </w:rPr>
        <w:t xml:space="preserve"> </w:t>
      </w:r>
      <w:r>
        <w:rPr>
          <w:rFonts w:ascii="Arial MT" w:hAnsi="Arial MT"/>
          <w:color w:val="001F60"/>
          <w:sz w:val="12"/>
        </w:rPr>
        <w:t>Contábeis</w:t>
      </w:r>
      <w:r>
        <w:rPr>
          <w:rFonts w:ascii="Arial MT" w:hAnsi="Arial MT"/>
          <w:color w:val="001F60"/>
          <w:spacing w:val="-1"/>
          <w:sz w:val="12"/>
        </w:rPr>
        <w:t xml:space="preserve"> </w:t>
      </w:r>
      <w:r>
        <w:rPr>
          <w:rFonts w:ascii="Arial MT" w:hAnsi="Arial MT"/>
          <w:color w:val="001F60"/>
          <w:sz w:val="12"/>
        </w:rPr>
        <w:t>Individuais</w:t>
      </w:r>
      <w:r>
        <w:rPr>
          <w:rFonts w:ascii="Arial MT" w:hAnsi="Arial MT"/>
          <w:color w:val="001F60"/>
          <w:spacing w:val="-4"/>
          <w:sz w:val="12"/>
        </w:rPr>
        <w:t xml:space="preserve"> </w:t>
      </w:r>
      <w:r>
        <w:rPr>
          <w:rFonts w:ascii="Arial MT" w:hAnsi="Arial MT"/>
          <w:color w:val="001F60"/>
          <w:sz w:val="12"/>
        </w:rPr>
        <w:t xml:space="preserve">da </w:t>
      </w:r>
      <w:r>
        <w:rPr>
          <w:rFonts w:ascii="Arial MT" w:hAnsi="Arial MT"/>
          <w:color w:val="001F60"/>
          <w:spacing w:val="-2"/>
          <w:sz w:val="12"/>
        </w:rPr>
        <w:t>Telebras</w:t>
      </w:r>
    </w:p>
    <w:p w14:paraId="02378E90" w14:textId="77777777" w:rsidR="002C6574" w:rsidRDefault="00000000">
      <w:pPr>
        <w:spacing w:before="120"/>
        <w:ind w:left="3450"/>
        <w:rPr>
          <w:rFonts w:ascii="Calibri"/>
          <w:sz w:val="16"/>
        </w:rPr>
      </w:pPr>
      <w:r>
        <w:rPr>
          <w:rFonts w:ascii="Calibri"/>
          <w:color w:val="001F60"/>
          <w:sz w:val="16"/>
        </w:rPr>
        <w:t>Tabela</w:t>
      </w:r>
      <w:r>
        <w:rPr>
          <w:rFonts w:ascii="Calibri"/>
          <w:color w:val="001F60"/>
          <w:spacing w:val="-4"/>
          <w:sz w:val="16"/>
        </w:rPr>
        <w:t xml:space="preserve"> </w:t>
      </w:r>
      <w:r>
        <w:rPr>
          <w:rFonts w:ascii="Calibri"/>
          <w:color w:val="001F60"/>
          <w:sz w:val="16"/>
        </w:rPr>
        <w:t>3-1</w:t>
      </w:r>
      <w:r>
        <w:rPr>
          <w:rFonts w:ascii="Calibri"/>
          <w:color w:val="001F60"/>
          <w:spacing w:val="-5"/>
          <w:sz w:val="16"/>
        </w:rPr>
        <w:t xml:space="preserve"> </w:t>
      </w:r>
      <w:r>
        <w:rPr>
          <w:rFonts w:ascii="Calibri"/>
          <w:color w:val="001F60"/>
          <w:sz w:val="16"/>
        </w:rPr>
        <w:t>Principais</w:t>
      </w:r>
      <w:r>
        <w:rPr>
          <w:rFonts w:ascii="Calibri"/>
          <w:color w:val="001F60"/>
          <w:spacing w:val="-2"/>
          <w:sz w:val="16"/>
        </w:rPr>
        <w:t xml:space="preserve"> </w:t>
      </w:r>
      <w:r>
        <w:rPr>
          <w:rFonts w:ascii="Calibri"/>
          <w:color w:val="001F60"/>
          <w:sz w:val="16"/>
        </w:rPr>
        <w:t>Rubricas</w:t>
      </w:r>
      <w:r>
        <w:rPr>
          <w:rFonts w:ascii="Calibri"/>
          <w:color w:val="001F60"/>
          <w:spacing w:val="-4"/>
          <w:sz w:val="16"/>
        </w:rPr>
        <w:t xml:space="preserve"> </w:t>
      </w:r>
      <w:r>
        <w:rPr>
          <w:rFonts w:ascii="Calibri"/>
          <w:color w:val="001F60"/>
          <w:sz w:val="16"/>
        </w:rPr>
        <w:t>Patrimoniais</w:t>
      </w:r>
      <w:r>
        <w:rPr>
          <w:rFonts w:ascii="Calibri"/>
          <w:color w:val="001F60"/>
          <w:spacing w:val="-3"/>
          <w:sz w:val="16"/>
        </w:rPr>
        <w:t xml:space="preserve"> </w:t>
      </w:r>
      <w:r>
        <w:rPr>
          <w:rFonts w:ascii="Calibri"/>
          <w:color w:val="001F60"/>
          <w:sz w:val="16"/>
        </w:rPr>
        <w:t>2023</w:t>
      </w:r>
      <w:r>
        <w:rPr>
          <w:rFonts w:ascii="Calibri"/>
          <w:color w:val="001F60"/>
          <w:spacing w:val="-4"/>
          <w:sz w:val="16"/>
        </w:rPr>
        <w:t xml:space="preserve"> </w:t>
      </w:r>
      <w:r>
        <w:rPr>
          <w:rFonts w:ascii="Calibri"/>
          <w:color w:val="001F60"/>
          <w:sz w:val="16"/>
        </w:rPr>
        <w:t>-</w:t>
      </w:r>
      <w:r>
        <w:rPr>
          <w:rFonts w:ascii="Calibri"/>
          <w:color w:val="001F60"/>
          <w:spacing w:val="-1"/>
          <w:sz w:val="16"/>
        </w:rPr>
        <w:t xml:space="preserve"> </w:t>
      </w:r>
      <w:r>
        <w:rPr>
          <w:rFonts w:ascii="Calibri"/>
          <w:color w:val="001F60"/>
          <w:spacing w:val="-4"/>
          <w:sz w:val="16"/>
        </w:rPr>
        <w:t>2025</w:t>
      </w:r>
    </w:p>
    <w:p w14:paraId="2864D8EB" w14:textId="77777777" w:rsidR="002C6574" w:rsidRDefault="002C6574">
      <w:pPr>
        <w:pStyle w:val="Corpodetexto"/>
        <w:spacing w:before="70"/>
        <w:rPr>
          <w:rFonts w:ascii="Calibri"/>
          <w:sz w:val="20"/>
        </w:rPr>
      </w:pPr>
    </w:p>
    <w:tbl>
      <w:tblPr>
        <w:tblStyle w:val="TableNormal"/>
        <w:tblW w:w="0" w:type="auto"/>
        <w:tblInd w:w="702" w:type="dxa"/>
        <w:tblLayout w:type="fixed"/>
        <w:tblLook w:val="01E0" w:firstRow="1" w:lastRow="1" w:firstColumn="1" w:lastColumn="1" w:noHBand="0" w:noVBand="0"/>
      </w:tblPr>
      <w:tblGrid>
        <w:gridCol w:w="3901"/>
        <w:gridCol w:w="2048"/>
        <w:gridCol w:w="1149"/>
        <w:gridCol w:w="1145"/>
        <w:gridCol w:w="844"/>
      </w:tblGrid>
      <w:tr w:rsidR="002C6574" w14:paraId="52FD20FF" w14:textId="77777777">
        <w:trPr>
          <w:trHeight w:val="231"/>
        </w:trPr>
        <w:tc>
          <w:tcPr>
            <w:tcW w:w="3901" w:type="dxa"/>
            <w:tcBorders>
              <w:top w:val="single" w:sz="8" w:space="0" w:color="4472C3"/>
              <w:bottom w:val="single" w:sz="8" w:space="0" w:color="4472C3"/>
            </w:tcBorders>
          </w:tcPr>
          <w:p w14:paraId="3FE28877" w14:textId="77777777" w:rsidR="002C6574" w:rsidRDefault="00000000">
            <w:pPr>
              <w:pStyle w:val="TableParagraph"/>
              <w:spacing w:before="48"/>
              <w:ind w:left="1559"/>
              <w:jc w:val="left"/>
              <w:rPr>
                <w:rFonts w:ascii="Arial"/>
                <w:b/>
                <w:sz w:val="12"/>
              </w:rPr>
            </w:pPr>
            <w:r>
              <w:rPr>
                <w:rFonts w:ascii="Arial"/>
                <w:b/>
                <w:color w:val="2F75B5"/>
                <w:sz w:val="12"/>
              </w:rPr>
              <w:t xml:space="preserve">Indicadores </w:t>
            </w:r>
            <w:r>
              <w:rPr>
                <w:rFonts w:ascii="Arial"/>
                <w:b/>
                <w:color w:val="2F75B5"/>
                <w:spacing w:val="-2"/>
                <w:sz w:val="12"/>
              </w:rPr>
              <w:t>Financeiros</w:t>
            </w:r>
          </w:p>
        </w:tc>
        <w:tc>
          <w:tcPr>
            <w:tcW w:w="2048" w:type="dxa"/>
            <w:tcBorders>
              <w:top w:val="single" w:sz="8" w:space="0" w:color="4472C3"/>
              <w:bottom w:val="single" w:sz="8" w:space="0" w:color="4472C3"/>
            </w:tcBorders>
          </w:tcPr>
          <w:p w14:paraId="709A0695" w14:textId="77777777" w:rsidR="002C6574" w:rsidRDefault="00000000">
            <w:pPr>
              <w:pStyle w:val="TableParagraph"/>
              <w:spacing w:before="48"/>
              <w:ind w:left="959"/>
              <w:jc w:val="left"/>
              <w:rPr>
                <w:rFonts w:ascii="Arial"/>
                <w:b/>
                <w:sz w:val="12"/>
              </w:rPr>
            </w:pPr>
            <w:r>
              <w:rPr>
                <w:rFonts w:ascii="Arial"/>
                <w:b/>
                <w:color w:val="2F75B5"/>
                <w:spacing w:val="-2"/>
                <w:sz w:val="12"/>
              </w:rPr>
              <w:t>Medida</w:t>
            </w:r>
          </w:p>
        </w:tc>
        <w:tc>
          <w:tcPr>
            <w:tcW w:w="1149" w:type="dxa"/>
            <w:tcBorders>
              <w:top w:val="single" w:sz="8" w:space="0" w:color="4472C3"/>
              <w:bottom w:val="single" w:sz="8" w:space="0" w:color="4472C3"/>
            </w:tcBorders>
          </w:tcPr>
          <w:p w14:paraId="5FFB7BA9" w14:textId="77777777" w:rsidR="002C6574" w:rsidRDefault="00000000">
            <w:pPr>
              <w:pStyle w:val="TableParagraph"/>
              <w:spacing w:before="48"/>
              <w:ind w:left="142"/>
              <w:jc w:val="center"/>
              <w:rPr>
                <w:rFonts w:ascii="Arial"/>
                <w:b/>
                <w:sz w:val="12"/>
              </w:rPr>
            </w:pPr>
            <w:r>
              <w:rPr>
                <w:rFonts w:ascii="Arial"/>
                <w:b/>
                <w:color w:val="2F75B5"/>
                <w:spacing w:val="-4"/>
                <w:sz w:val="12"/>
              </w:rPr>
              <w:t>2025</w:t>
            </w:r>
          </w:p>
        </w:tc>
        <w:tc>
          <w:tcPr>
            <w:tcW w:w="1145" w:type="dxa"/>
            <w:tcBorders>
              <w:top w:val="single" w:sz="8" w:space="0" w:color="4472C3"/>
              <w:bottom w:val="single" w:sz="8" w:space="0" w:color="4472C3"/>
            </w:tcBorders>
          </w:tcPr>
          <w:p w14:paraId="4DC3F436" w14:textId="77777777" w:rsidR="002C6574" w:rsidRDefault="00000000">
            <w:pPr>
              <w:pStyle w:val="TableParagraph"/>
              <w:spacing w:before="48"/>
              <w:ind w:left="143"/>
              <w:jc w:val="center"/>
              <w:rPr>
                <w:rFonts w:ascii="Arial"/>
                <w:b/>
                <w:sz w:val="12"/>
              </w:rPr>
            </w:pPr>
            <w:r>
              <w:rPr>
                <w:rFonts w:ascii="Arial"/>
                <w:b/>
                <w:color w:val="2F75B5"/>
                <w:spacing w:val="-4"/>
                <w:sz w:val="12"/>
              </w:rPr>
              <w:t>2024</w:t>
            </w:r>
          </w:p>
        </w:tc>
        <w:tc>
          <w:tcPr>
            <w:tcW w:w="844" w:type="dxa"/>
            <w:tcBorders>
              <w:top w:val="single" w:sz="8" w:space="0" w:color="4472C3"/>
              <w:bottom w:val="single" w:sz="8" w:space="0" w:color="4472C3"/>
            </w:tcBorders>
          </w:tcPr>
          <w:p w14:paraId="717C9215" w14:textId="77777777" w:rsidR="002C6574" w:rsidRDefault="00000000">
            <w:pPr>
              <w:pStyle w:val="TableParagraph"/>
              <w:spacing w:before="48"/>
              <w:ind w:right="67"/>
              <w:rPr>
                <w:rFonts w:ascii="Arial"/>
                <w:b/>
                <w:sz w:val="12"/>
              </w:rPr>
            </w:pPr>
            <w:r>
              <w:rPr>
                <w:rFonts w:ascii="Arial"/>
                <w:b/>
                <w:color w:val="2F75B5"/>
                <w:spacing w:val="-4"/>
                <w:sz w:val="12"/>
              </w:rPr>
              <w:t>2023</w:t>
            </w:r>
          </w:p>
        </w:tc>
      </w:tr>
      <w:tr w:rsidR="002C6574" w14:paraId="17B2D26A" w14:textId="77777777">
        <w:trPr>
          <w:trHeight w:val="235"/>
        </w:trPr>
        <w:tc>
          <w:tcPr>
            <w:tcW w:w="3901" w:type="dxa"/>
            <w:tcBorders>
              <w:top w:val="single" w:sz="8" w:space="0" w:color="4472C3"/>
            </w:tcBorders>
          </w:tcPr>
          <w:p w14:paraId="53E7A9BB" w14:textId="77777777" w:rsidR="002C6574" w:rsidRDefault="00000000">
            <w:pPr>
              <w:pStyle w:val="TableParagraph"/>
              <w:spacing w:before="48"/>
              <w:ind w:left="83"/>
              <w:jc w:val="left"/>
              <w:rPr>
                <w:rFonts w:ascii="Arial MT"/>
                <w:sz w:val="12"/>
              </w:rPr>
            </w:pPr>
            <w:r>
              <w:rPr>
                <w:rFonts w:ascii="Arial MT"/>
                <w:sz w:val="12"/>
              </w:rPr>
              <w:t>Liquidez</w:t>
            </w:r>
            <w:r>
              <w:rPr>
                <w:rFonts w:ascii="Arial MT"/>
                <w:spacing w:val="1"/>
                <w:sz w:val="12"/>
              </w:rPr>
              <w:t xml:space="preserve"> </w:t>
            </w:r>
            <w:r>
              <w:rPr>
                <w:rFonts w:ascii="Arial MT"/>
                <w:spacing w:val="-2"/>
                <w:sz w:val="12"/>
              </w:rPr>
              <w:t>Corrente</w:t>
            </w:r>
          </w:p>
        </w:tc>
        <w:tc>
          <w:tcPr>
            <w:tcW w:w="2048" w:type="dxa"/>
            <w:tcBorders>
              <w:top w:val="single" w:sz="8" w:space="0" w:color="4472C3"/>
            </w:tcBorders>
          </w:tcPr>
          <w:p w14:paraId="796755A1" w14:textId="77777777" w:rsidR="002C6574" w:rsidRDefault="00000000">
            <w:pPr>
              <w:pStyle w:val="TableParagraph"/>
              <w:spacing w:before="48"/>
              <w:ind w:right="367"/>
              <w:rPr>
                <w:rFonts w:ascii="Arial MT" w:hAnsi="Arial MT"/>
                <w:sz w:val="12"/>
              </w:rPr>
            </w:pPr>
            <w:r>
              <w:rPr>
                <w:rFonts w:ascii="Arial MT" w:hAnsi="Arial MT"/>
                <w:spacing w:val="-2"/>
                <w:sz w:val="12"/>
              </w:rPr>
              <w:t>Índice</w:t>
            </w:r>
          </w:p>
        </w:tc>
        <w:tc>
          <w:tcPr>
            <w:tcW w:w="1149" w:type="dxa"/>
            <w:tcBorders>
              <w:top w:val="single" w:sz="8" w:space="0" w:color="4472C3"/>
            </w:tcBorders>
          </w:tcPr>
          <w:p w14:paraId="0C4CF482" w14:textId="77777777" w:rsidR="002C6574" w:rsidRDefault="00000000">
            <w:pPr>
              <w:pStyle w:val="TableParagraph"/>
              <w:spacing w:before="48"/>
              <w:ind w:left="142" w:right="100"/>
              <w:jc w:val="center"/>
              <w:rPr>
                <w:rFonts w:ascii="Arial MT"/>
                <w:sz w:val="12"/>
              </w:rPr>
            </w:pPr>
            <w:r>
              <w:rPr>
                <w:rFonts w:ascii="Arial MT"/>
                <w:spacing w:val="-2"/>
                <w:sz w:val="12"/>
              </w:rPr>
              <w:t>7,1339</w:t>
            </w:r>
          </w:p>
        </w:tc>
        <w:tc>
          <w:tcPr>
            <w:tcW w:w="1145" w:type="dxa"/>
            <w:tcBorders>
              <w:top w:val="single" w:sz="8" w:space="0" w:color="4472C3"/>
            </w:tcBorders>
          </w:tcPr>
          <w:p w14:paraId="7F4CCBCE" w14:textId="77777777" w:rsidR="002C6574" w:rsidRDefault="00000000">
            <w:pPr>
              <w:pStyle w:val="TableParagraph"/>
              <w:spacing w:before="48"/>
              <w:ind w:left="143" w:right="101"/>
              <w:jc w:val="center"/>
              <w:rPr>
                <w:rFonts w:ascii="Arial MT"/>
                <w:sz w:val="12"/>
              </w:rPr>
            </w:pPr>
            <w:r>
              <w:rPr>
                <w:rFonts w:ascii="Arial MT"/>
                <w:spacing w:val="-2"/>
                <w:sz w:val="12"/>
              </w:rPr>
              <w:t>6,5339</w:t>
            </w:r>
          </w:p>
        </w:tc>
        <w:tc>
          <w:tcPr>
            <w:tcW w:w="844" w:type="dxa"/>
            <w:tcBorders>
              <w:top w:val="single" w:sz="8" w:space="0" w:color="4472C3"/>
            </w:tcBorders>
          </w:tcPr>
          <w:p w14:paraId="4033A0F6" w14:textId="77777777" w:rsidR="002C6574" w:rsidRDefault="00000000">
            <w:pPr>
              <w:pStyle w:val="TableParagraph"/>
              <w:spacing w:before="48"/>
              <w:ind w:right="65"/>
              <w:rPr>
                <w:rFonts w:ascii="Arial MT"/>
                <w:sz w:val="12"/>
              </w:rPr>
            </w:pPr>
            <w:r>
              <w:rPr>
                <w:rFonts w:ascii="Arial MT"/>
                <w:spacing w:val="-2"/>
                <w:sz w:val="12"/>
              </w:rPr>
              <w:t>7,3122</w:t>
            </w:r>
          </w:p>
        </w:tc>
      </w:tr>
      <w:tr w:rsidR="002C6574" w14:paraId="13F08AD6" w14:textId="77777777">
        <w:trPr>
          <w:trHeight w:val="231"/>
        </w:trPr>
        <w:tc>
          <w:tcPr>
            <w:tcW w:w="3901" w:type="dxa"/>
          </w:tcPr>
          <w:p w14:paraId="423EE634" w14:textId="77777777" w:rsidR="002C6574" w:rsidRDefault="00000000">
            <w:pPr>
              <w:pStyle w:val="TableParagraph"/>
              <w:spacing w:before="45"/>
              <w:ind w:left="83"/>
              <w:jc w:val="left"/>
              <w:rPr>
                <w:rFonts w:ascii="Arial MT"/>
                <w:sz w:val="12"/>
              </w:rPr>
            </w:pPr>
            <w:r>
              <w:rPr>
                <w:rFonts w:ascii="Arial MT"/>
                <w:sz w:val="12"/>
              </w:rPr>
              <w:t>Liquidez</w:t>
            </w:r>
            <w:r>
              <w:rPr>
                <w:rFonts w:ascii="Arial MT"/>
                <w:spacing w:val="-1"/>
                <w:sz w:val="12"/>
              </w:rPr>
              <w:t xml:space="preserve"> </w:t>
            </w:r>
            <w:r>
              <w:rPr>
                <w:rFonts w:ascii="Arial MT"/>
                <w:spacing w:val="-2"/>
                <w:sz w:val="12"/>
              </w:rPr>
              <w:t>Geral</w:t>
            </w:r>
          </w:p>
        </w:tc>
        <w:tc>
          <w:tcPr>
            <w:tcW w:w="2048" w:type="dxa"/>
          </w:tcPr>
          <w:p w14:paraId="02122D7D" w14:textId="77777777" w:rsidR="002C6574" w:rsidRDefault="00000000">
            <w:pPr>
              <w:pStyle w:val="TableParagraph"/>
              <w:spacing w:before="45"/>
              <w:ind w:right="367"/>
              <w:rPr>
                <w:rFonts w:ascii="Arial MT" w:hAnsi="Arial MT"/>
                <w:sz w:val="12"/>
              </w:rPr>
            </w:pPr>
            <w:r>
              <w:rPr>
                <w:rFonts w:ascii="Arial MT" w:hAnsi="Arial MT"/>
                <w:spacing w:val="-2"/>
                <w:sz w:val="12"/>
              </w:rPr>
              <w:t>Índice</w:t>
            </w:r>
          </w:p>
        </w:tc>
        <w:tc>
          <w:tcPr>
            <w:tcW w:w="1149" w:type="dxa"/>
          </w:tcPr>
          <w:p w14:paraId="0E67CAA9" w14:textId="77777777" w:rsidR="002C6574" w:rsidRDefault="00000000">
            <w:pPr>
              <w:pStyle w:val="TableParagraph"/>
              <w:spacing w:before="45"/>
              <w:ind w:left="142" w:right="100"/>
              <w:jc w:val="center"/>
              <w:rPr>
                <w:rFonts w:ascii="Arial MT"/>
                <w:sz w:val="12"/>
              </w:rPr>
            </w:pPr>
            <w:r>
              <w:rPr>
                <w:rFonts w:ascii="Arial MT"/>
                <w:spacing w:val="-2"/>
                <w:sz w:val="12"/>
              </w:rPr>
              <w:t>6,1667</w:t>
            </w:r>
          </w:p>
        </w:tc>
        <w:tc>
          <w:tcPr>
            <w:tcW w:w="1145" w:type="dxa"/>
          </w:tcPr>
          <w:p w14:paraId="3ED67C5B" w14:textId="77777777" w:rsidR="002C6574" w:rsidRDefault="00000000">
            <w:pPr>
              <w:pStyle w:val="TableParagraph"/>
              <w:spacing w:before="45"/>
              <w:ind w:left="143" w:right="102"/>
              <w:jc w:val="center"/>
              <w:rPr>
                <w:rFonts w:ascii="Arial MT"/>
                <w:sz w:val="12"/>
              </w:rPr>
            </w:pPr>
            <w:r>
              <w:rPr>
                <w:rFonts w:ascii="Arial MT"/>
                <w:spacing w:val="-2"/>
                <w:sz w:val="12"/>
              </w:rPr>
              <w:t>4,5427</w:t>
            </w:r>
          </w:p>
        </w:tc>
        <w:tc>
          <w:tcPr>
            <w:tcW w:w="844" w:type="dxa"/>
          </w:tcPr>
          <w:p w14:paraId="456D7A10" w14:textId="77777777" w:rsidR="002C6574" w:rsidRDefault="00000000">
            <w:pPr>
              <w:pStyle w:val="TableParagraph"/>
              <w:spacing w:before="45"/>
              <w:ind w:right="66"/>
              <w:rPr>
                <w:rFonts w:ascii="Arial MT"/>
                <w:sz w:val="12"/>
              </w:rPr>
            </w:pPr>
            <w:r>
              <w:rPr>
                <w:rFonts w:ascii="Arial MT"/>
                <w:spacing w:val="-2"/>
                <w:sz w:val="12"/>
              </w:rPr>
              <w:t>3,8399</w:t>
            </w:r>
          </w:p>
        </w:tc>
      </w:tr>
      <w:tr w:rsidR="002C6574" w14:paraId="140BA380" w14:textId="77777777">
        <w:trPr>
          <w:trHeight w:val="231"/>
        </w:trPr>
        <w:tc>
          <w:tcPr>
            <w:tcW w:w="3901" w:type="dxa"/>
          </w:tcPr>
          <w:p w14:paraId="0E0AF11D" w14:textId="77777777" w:rsidR="002C6574" w:rsidRDefault="00000000">
            <w:pPr>
              <w:pStyle w:val="TableParagraph"/>
              <w:spacing w:before="44"/>
              <w:ind w:left="83"/>
              <w:jc w:val="left"/>
              <w:rPr>
                <w:rFonts w:ascii="Arial MT" w:hAnsi="Arial MT"/>
                <w:sz w:val="12"/>
              </w:rPr>
            </w:pPr>
            <w:r>
              <w:rPr>
                <w:rFonts w:ascii="Arial MT" w:hAnsi="Arial MT"/>
                <w:sz w:val="12"/>
              </w:rPr>
              <w:t>Composição</w:t>
            </w:r>
            <w:r>
              <w:rPr>
                <w:rFonts w:ascii="Arial MT" w:hAnsi="Arial MT"/>
                <w:spacing w:val="-1"/>
                <w:sz w:val="12"/>
              </w:rPr>
              <w:t xml:space="preserve"> </w:t>
            </w:r>
            <w:r>
              <w:rPr>
                <w:rFonts w:ascii="Arial MT" w:hAnsi="Arial MT"/>
                <w:sz w:val="12"/>
              </w:rPr>
              <w:t>do</w:t>
            </w:r>
            <w:r>
              <w:rPr>
                <w:rFonts w:ascii="Arial MT" w:hAnsi="Arial MT"/>
                <w:spacing w:val="-1"/>
                <w:sz w:val="12"/>
              </w:rPr>
              <w:t xml:space="preserve"> </w:t>
            </w:r>
            <w:r>
              <w:rPr>
                <w:rFonts w:ascii="Arial MT" w:hAnsi="Arial MT"/>
                <w:spacing w:val="-2"/>
                <w:sz w:val="12"/>
              </w:rPr>
              <w:t>Endividamento</w:t>
            </w:r>
          </w:p>
        </w:tc>
        <w:tc>
          <w:tcPr>
            <w:tcW w:w="2048" w:type="dxa"/>
          </w:tcPr>
          <w:p w14:paraId="54D08FF2" w14:textId="77777777" w:rsidR="002C6574" w:rsidRDefault="00000000">
            <w:pPr>
              <w:pStyle w:val="TableParagraph"/>
              <w:spacing w:before="44"/>
              <w:ind w:right="368"/>
              <w:rPr>
                <w:rFonts w:ascii="Arial MT"/>
                <w:sz w:val="12"/>
              </w:rPr>
            </w:pPr>
            <w:r>
              <w:rPr>
                <w:rFonts w:ascii="Arial MT"/>
                <w:spacing w:val="-10"/>
                <w:sz w:val="12"/>
              </w:rPr>
              <w:t>%</w:t>
            </w:r>
          </w:p>
        </w:tc>
        <w:tc>
          <w:tcPr>
            <w:tcW w:w="1149" w:type="dxa"/>
          </w:tcPr>
          <w:p w14:paraId="602F0969" w14:textId="77777777" w:rsidR="002C6574" w:rsidRDefault="00000000">
            <w:pPr>
              <w:pStyle w:val="TableParagraph"/>
              <w:spacing w:before="44"/>
              <w:ind w:left="142" w:right="142"/>
              <w:jc w:val="center"/>
              <w:rPr>
                <w:rFonts w:ascii="Arial MT"/>
                <w:sz w:val="12"/>
              </w:rPr>
            </w:pPr>
            <w:r>
              <w:rPr>
                <w:rFonts w:ascii="Arial MT"/>
                <w:spacing w:val="-2"/>
                <w:sz w:val="12"/>
              </w:rPr>
              <w:t>76,19%</w:t>
            </w:r>
          </w:p>
        </w:tc>
        <w:tc>
          <w:tcPr>
            <w:tcW w:w="1145" w:type="dxa"/>
          </w:tcPr>
          <w:p w14:paraId="0788DA76" w14:textId="77777777" w:rsidR="002C6574" w:rsidRDefault="00000000">
            <w:pPr>
              <w:pStyle w:val="TableParagraph"/>
              <w:spacing w:before="44"/>
              <w:ind w:left="143" w:right="142"/>
              <w:jc w:val="center"/>
              <w:rPr>
                <w:rFonts w:ascii="Arial MT"/>
                <w:sz w:val="12"/>
              </w:rPr>
            </w:pPr>
            <w:r>
              <w:rPr>
                <w:rFonts w:ascii="Arial MT"/>
                <w:spacing w:val="-2"/>
                <w:sz w:val="12"/>
              </w:rPr>
              <w:t>58,98%</w:t>
            </w:r>
          </w:p>
        </w:tc>
        <w:tc>
          <w:tcPr>
            <w:tcW w:w="844" w:type="dxa"/>
          </w:tcPr>
          <w:p w14:paraId="2831A820" w14:textId="77777777" w:rsidR="002C6574" w:rsidRDefault="00000000">
            <w:pPr>
              <w:pStyle w:val="TableParagraph"/>
              <w:spacing w:before="44"/>
              <w:ind w:right="67"/>
              <w:rPr>
                <w:rFonts w:ascii="Arial MT"/>
                <w:sz w:val="12"/>
              </w:rPr>
            </w:pPr>
            <w:r>
              <w:rPr>
                <w:rFonts w:ascii="Arial MT"/>
                <w:spacing w:val="-2"/>
                <w:sz w:val="12"/>
              </w:rPr>
              <w:t>46,88%</w:t>
            </w:r>
          </w:p>
        </w:tc>
      </w:tr>
      <w:tr w:rsidR="002C6574" w14:paraId="1EF2D454" w14:textId="77777777">
        <w:trPr>
          <w:trHeight w:val="232"/>
        </w:trPr>
        <w:tc>
          <w:tcPr>
            <w:tcW w:w="3901" w:type="dxa"/>
          </w:tcPr>
          <w:p w14:paraId="1D8C311B" w14:textId="77777777" w:rsidR="002C6574" w:rsidRDefault="00000000">
            <w:pPr>
              <w:pStyle w:val="TableParagraph"/>
              <w:spacing w:before="45"/>
              <w:ind w:left="83"/>
              <w:jc w:val="left"/>
              <w:rPr>
                <w:rFonts w:ascii="Arial MT"/>
                <w:sz w:val="12"/>
              </w:rPr>
            </w:pPr>
            <w:r>
              <w:rPr>
                <w:rFonts w:ascii="Arial MT"/>
                <w:sz w:val="12"/>
              </w:rPr>
              <w:t>Grau</w:t>
            </w:r>
            <w:r>
              <w:rPr>
                <w:rFonts w:ascii="Arial MT"/>
                <w:spacing w:val="1"/>
                <w:sz w:val="12"/>
              </w:rPr>
              <w:t xml:space="preserve"> </w:t>
            </w:r>
            <w:r>
              <w:rPr>
                <w:rFonts w:ascii="Arial MT"/>
                <w:sz w:val="12"/>
              </w:rPr>
              <w:t>de</w:t>
            </w:r>
            <w:r>
              <w:rPr>
                <w:rFonts w:ascii="Arial MT"/>
                <w:spacing w:val="1"/>
                <w:sz w:val="12"/>
              </w:rPr>
              <w:t xml:space="preserve"> </w:t>
            </w:r>
            <w:r>
              <w:rPr>
                <w:rFonts w:ascii="Arial MT"/>
                <w:spacing w:val="-2"/>
                <w:sz w:val="12"/>
              </w:rPr>
              <w:t>Endividamento</w:t>
            </w:r>
          </w:p>
        </w:tc>
        <w:tc>
          <w:tcPr>
            <w:tcW w:w="2048" w:type="dxa"/>
          </w:tcPr>
          <w:p w14:paraId="264496DA" w14:textId="77777777" w:rsidR="002C6574" w:rsidRDefault="00000000">
            <w:pPr>
              <w:pStyle w:val="TableParagraph"/>
              <w:spacing w:before="45"/>
              <w:ind w:right="367"/>
              <w:rPr>
                <w:rFonts w:ascii="Arial MT"/>
                <w:sz w:val="12"/>
              </w:rPr>
            </w:pPr>
            <w:r>
              <w:rPr>
                <w:rFonts w:ascii="Arial MT"/>
                <w:spacing w:val="-10"/>
                <w:sz w:val="12"/>
              </w:rPr>
              <w:t>%</w:t>
            </w:r>
          </w:p>
        </w:tc>
        <w:tc>
          <w:tcPr>
            <w:tcW w:w="1149" w:type="dxa"/>
          </w:tcPr>
          <w:p w14:paraId="305BEBF5" w14:textId="77777777" w:rsidR="002C6574" w:rsidRDefault="00000000">
            <w:pPr>
              <w:pStyle w:val="TableParagraph"/>
              <w:spacing w:before="45"/>
              <w:ind w:left="142" w:right="75"/>
              <w:jc w:val="center"/>
              <w:rPr>
                <w:rFonts w:ascii="Arial MT"/>
                <w:sz w:val="12"/>
              </w:rPr>
            </w:pPr>
            <w:r>
              <w:rPr>
                <w:rFonts w:ascii="Arial MT"/>
                <w:spacing w:val="-2"/>
                <w:sz w:val="12"/>
              </w:rPr>
              <w:t>9,60%</w:t>
            </w:r>
          </w:p>
        </w:tc>
        <w:tc>
          <w:tcPr>
            <w:tcW w:w="1145" w:type="dxa"/>
          </w:tcPr>
          <w:p w14:paraId="5177E9C6" w14:textId="77777777" w:rsidR="002C6574" w:rsidRDefault="00000000">
            <w:pPr>
              <w:pStyle w:val="TableParagraph"/>
              <w:spacing w:before="45"/>
              <w:ind w:left="143" w:right="143"/>
              <w:jc w:val="center"/>
              <w:rPr>
                <w:rFonts w:ascii="Arial MT"/>
                <w:sz w:val="12"/>
              </w:rPr>
            </w:pPr>
            <w:r>
              <w:rPr>
                <w:rFonts w:ascii="Arial MT"/>
                <w:spacing w:val="-2"/>
                <w:sz w:val="12"/>
              </w:rPr>
              <w:t>11,20%</w:t>
            </w:r>
          </w:p>
        </w:tc>
        <w:tc>
          <w:tcPr>
            <w:tcW w:w="844" w:type="dxa"/>
          </w:tcPr>
          <w:p w14:paraId="00502D9F" w14:textId="77777777" w:rsidR="002C6574" w:rsidRDefault="00000000">
            <w:pPr>
              <w:pStyle w:val="TableParagraph"/>
              <w:spacing w:before="45"/>
              <w:ind w:right="68"/>
              <w:rPr>
                <w:rFonts w:ascii="Arial MT"/>
                <w:sz w:val="12"/>
              </w:rPr>
            </w:pPr>
            <w:r>
              <w:rPr>
                <w:rFonts w:ascii="Arial MT"/>
                <w:spacing w:val="-2"/>
                <w:sz w:val="12"/>
              </w:rPr>
              <w:t>11,61%</w:t>
            </w:r>
          </w:p>
        </w:tc>
      </w:tr>
      <w:tr w:rsidR="002C6574" w14:paraId="18721662" w14:textId="77777777">
        <w:trPr>
          <w:trHeight w:val="229"/>
        </w:trPr>
        <w:tc>
          <w:tcPr>
            <w:tcW w:w="3901" w:type="dxa"/>
            <w:tcBorders>
              <w:bottom w:val="single" w:sz="8" w:space="0" w:color="4472C3"/>
            </w:tcBorders>
          </w:tcPr>
          <w:p w14:paraId="64C84A65" w14:textId="77777777" w:rsidR="002C6574" w:rsidRDefault="00000000">
            <w:pPr>
              <w:pStyle w:val="TableParagraph"/>
              <w:spacing w:before="45"/>
              <w:ind w:left="83"/>
              <w:jc w:val="left"/>
              <w:rPr>
                <w:rFonts w:ascii="Arial MT" w:hAnsi="Arial MT"/>
                <w:sz w:val="12"/>
              </w:rPr>
            </w:pPr>
            <w:r>
              <w:rPr>
                <w:rFonts w:ascii="Arial MT" w:hAnsi="Arial MT"/>
                <w:sz w:val="12"/>
              </w:rPr>
              <w:t>Participação de</w:t>
            </w:r>
            <w:r>
              <w:rPr>
                <w:rFonts w:ascii="Arial MT" w:hAnsi="Arial MT"/>
                <w:spacing w:val="-1"/>
                <w:sz w:val="12"/>
              </w:rPr>
              <w:t xml:space="preserve"> </w:t>
            </w:r>
            <w:r>
              <w:rPr>
                <w:rFonts w:ascii="Arial MT" w:hAnsi="Arial MT"/>
                <w:sz w:val="12"/>
              </w:rPr>
              <w:t>Capital</w:t>
            </w:r>
            <w:r>
              <w:rPr>
                <w:rFonts w:ascii="Arial MT" w:hAnsi="Arial MT"/>
                <w:spacing w:val="-1"/>
                <w:sz w:val="12"/>
              </w:rPr>
              <w:t xml:space="preserve"> </w:t>
            </w:r>
            <w:r>
              <w:rPr>
                <w:rFonts w:ascii="Arial MT" w:hAnsi="Arial MT"/>
                <w:sz w:val="12"/>
              </w:rPr>
              <w:t>de</w:t>
            </w:r>
            <w:r>
              <w:rPr>
                <w:rFonts w:ascii="Arial MT" w:hAnsi="Arial MT"/>
                <w:spacing w:val="-1"/>
                <w:sz w:val="12"/>
              </w:rPr>
              <w:t xml:space="preserve"> </w:t>
            </w:r>
            <w:r>
              <w:rPr>
                <w:rFonts w:ascii="Arial MT" w:hAnsi="Arial MT"/>
                <w:spacing w:val="-2"/>
                <w:sz w:val="12"/>
              </w:rPr>
              <w:t>Terceiros</w:t>
            </w:r>
          </w:p>
        </w:tc>
        <w:tc>
          <w:tcPr>
            <w:tcW w:w="2048" w:type="dxa"/>
            <w:tcBorders>
              <w:bottom w:val="single" w:sz="8" w:space="0" w:color="4472C3"/>
            </w:tcBorders>
          </w:tcPr>
          <w:p w14:paraId="72DAEF89" w14:textId="77777777" w:rsidR="002C6574" w:rsidRDefault="00000000">
            <w:pPr>
              <w:pStyle w:val="TableParagraph"/>
              <w:spacing w:before="45"/>
              <w:ind w:right="368"/>
              <w:rPr>
                <w:rFonts w:ascii="Arial MT"/>
                <w:sz w:val="12"/>
              </w:rPr>
            </w:pPr>
            <w:r>
              <w:rPr>
                <w:rFonts w:ascii="Arial MT"/>
                <w:spacing w:val="-10"/>
                <w:sz w:val="12"/>
              </w:rPr>
              <w:t>%</w:t>
            </w:r>
          </w:p>
        </w:tc>
        <w:tc>
          <w:tcPr>
            <w:tcW w:w="1149" w:type="dxa"/>
            <w:tcBorders>
              <w:bottom w:val="single" w:sz="8" w:space="0" w:color="4472C3"/>
            </w:tcBorders>
          </w:tcPr>
          <w:p w14:paraId="54245BB8" w14:textId="77777777" w:rsidR="002C6574" w:rsidRDefault="00000000">
            <w:pPr>
              <w:pStyle w:val="TableParagraph"/>
              <w:spacing w:before="45"/>
              <w:ind w:left="142" w:right="142"/>
              <w:jc w:val="center"/>
              <w:rPr>
                <w:rFonts w:ascii="Arial MT"/>
                <w:sz w:val="12"/>
              </w:rPr>
            </w:pPr>
            <w:r>
              <w:rPr>
                <w:rFonts w:ascii="Arial MT"/>
                <w:spacing w:val="-2"/>
                <w:sz w:val="12"/>
              </w:rPr>
              <w:t>10,64%</w:t>
            </w:r>
          </w:p>
        </w:tc>
        <w:tc>
          <w:tcPr>
            <w:tcW w:w="1145" w:type="dxa"/>
            <w:tcBorders>
              <w:bottom w:val="single" w:sz="8" w:space="0" w:color="4472C3"/>
            </w:tcBorders>
          </w:tcPr>
          <w:p w14:paraId="11DF92EA" w14:textId="77777777" w:rsidR="002C6574" w:rsidRDefault="00000000">
            <w:pPr>
              <w:pStyle w:val="TableParagraph"/>
              <w:spacing w:before="45"/>
              <w:ind w:left="143" w:right="143"/>
              <w:jc w:val="center"/>
              <w:rPr>
                <w:rFonts w:ascii="Arial MT"/>
                <w:sz w:val="12"/>
              </w:rPr>
            </w:pPr>
            <w:r>
              <w:rPr>
                <w:rFonts w:ascii="Arial MT"/>
                <w:spacing w:val="-2"/>
                <w:sz w:val="12"/>
              </w:rPr>
              <w:t>12,65%</w:t>
            </w:r>
          </w:p>
        </w:tc>
        <w:tc>
          <w:tcPr>
            <w:tcW w:w="844" w:type="dxa"/>
            <w:tcBorders>
              <w:bottom w:val="single" w:sz="8" w:space="0" w:color="4472C3"/>
            </w:tcBorders>
          </w:tcPr>
          <w:p w14:paraId="4913D228" w14:textId="77777777" w:rsidR="002C6574" w:rsidRDefault="00000000">
            <w:pPr>
              <w:pStyle w:val="TableParagraph"/>
              <w:spacing w:before="45"/>
              <w:ind w:right="67"/>
              <w:rPr>
                <w:rFonts w:ascii="Arial MT"/>
                <w:sz w:val="12"/>
              </w:rPr>
            </w:pPr>
            <w:r>
              <w:rPr>
                <w:rFonts w:ascii="Arial MT"/>
                <w:spacing w:val="-2"/>
                <w:sz w:val="12"/>
              </w:rPr>
              <w:t>13,20%</w:t>
            </w:r>
          </w:p>
        </w:tc>
      </w:tr>
    </w:tbl>
    <w:p w14:paraId="6BD17CE0" w14:textId="77777777" w:rsidR="002C6574" w:rsidRDefault="00000000">
      <w:pPr>
        <w:ind w:left="709" w:right="279"/>
        <w:rPr>
          <w:rFonts w:ascii="Arial MT" w:hAnsi="Arial MT"/>
          <w:sz w:val="12"/>
        </w:rPr>
      </w:pPr>
      <w:r>
        <w:rPr>
          <w:rFonts w:ascii="Arial MT" w:hAnsi="Arial MT"/>
          <w:color w:val="001F60"/>
          <w:sz w:val="12"/>
        </w:rPr>
        <w:t>Para</w:t>
      </w:r>
      <w:r>
        <w:rPr>
          <w:rFonts w:ascii="Arial MT" w:hAnsi="Arial MT"/>
          <w:color w:val="001F60"/>
          <w:spacing w:val="24"/>
          <w:sz w:val="12"/>
        </w:rPr>
        <w:t xml:space="preserve"> </w:t>
      </w:r>
      <w:r>
        <w:rPr>
          <w:rFonts w:ascii="Arial MT" w:hAnsi="Arial MT"/>
          <w:color w:val="001F60"/>
          <w:sz w:val="12"/>
        </w:rPr>
        <w:t>fins</w:t>
      </w:r>
      <w:r>
        <w:rPr>
          <w:rFonts w:ascii="Arial MT" w:hAnsi="Arial MT"/>
          <w:color w:val="001F60"/>
          <w:spacing w:val="22"/>
          <w:sz w:val="12"/>
        </w:rPr>
        <w:t xml:space="preserve"> </w:t>
      </w:r>
      <w:r>
        <w:rPr>
          <w:rFonts w:ascii="Arial MT" w:hAnsi="Arial MT"/>
          <w:color w:val="001F60"/>
          <w:sz w:val="12"/>
        </w:rPr>
        <w:t>de</w:t>
      </w:r>
      <w:r>
        <w:rPr>
          <w:rFonts w:ascii="Arial MT" w:hAnsi="Arial MT"/>
          <w:color w:val="001F60"/>
          <w:spacing w:val="24"/>
          <w:sz w:val="12"/>
        </w:rPr>
        <w:t xml:space="preserve"> </w:t>
      </w:r>
      <w:r>
        <w:rPr>
          <w:rFonts w:ascii="Arial MT" w:hAnsi="Arial MT"/>
          <w:color w:val="001F60"/>
          <w:sz w:val="12"/>
        </w:rPr>
        <w:t>cálculo</w:t>
      </w:r>
      <w:r>
        <w:rPr>
          <w:rFonts w:ascii="Arial MT" w:hAnsi="Arial MT"/>
          <w:color w:val="001F60"/>
          <w:spacing w:val="20"/>
          <w:sz w:val="12"/>
        </w:rPr>
        <w:t xml:space="preserve"> </w:t>
      </w:r>
      <w:r>
        <w:rPr>
          <w:rFonts w:ascii="Arial MT" w:hAnsi="Arial MT"/>
          <w:color w:val="001F60"/>
          <w:sz w:val="12"/>
        </w:rPr>
        <w:t>dos</w:t>
      </w:r>
      <w:r>
        <w:rPr>
          <w:rFonts w:ascii="Arial MT" w:hAnsi="Arial MT"/>
          <w:color w:val="001F60"/>
          <w:spacing w:val="24"/>
          <w:sz w:val="12"/>
        </w:rPr>
        <w:t xml:space="preserve"> </w:t>
      </w:r>
      <w:r>
        <w:rPr>
          <w:rFonts w:ascii="Arial MT" w:hAnsi="Arial MT"/>
          <w:color w:val="001F60"/>
          <w:sz w:val="12"/>
        </w:rPr>
        <w:t>indicadores</w:t>
      </w:r>
      <w:r>
        <w:rPr>
          <w:rFonts w:ascii="Arial MT" w:hAnsi="Arial MT"/>
          <w:color w:val="001F60"/>
          <w:spacing w:val="20"/>
          <w:sz w:val="12"/>
        </w:rPr>
        <w:t xml:space="preserve"> </w:t>
      </w:r>
      <w:r>
        <w:rPr>
          <w:rFonts w:ascii="Arial MT" w:hAnsi="Arial MT"/>
          <w:color w:val="001F60"/>
          <w:sz w:val="12"/>
        </w:rPr>
        <w:t>financeiros</w:t>
      </w:r>
      <w:r>
        <w:rPr>
          <w:rFonts w:ascii="Arial MT" w:hAnsi="Arial MT"/>
          <w:color w:val="001F60"/>
          <w:spacing w:val="22"/>
          <w:sz w:val="12"/>
        </w:rPr>
        <w:t xml:space="preserve"> </w:t>
      </w:r>
      <w:r>
        <w:rPr>
          <w:rFonts w:ascii="Arial MT" w:hAnsi="Arial MT"/>
          <w:color w:val="001F60"/>
          <w:sz w:val="12"/>
        </w:rPr>
        <w:t>as</w:t>
      </w:r>
      <w:r>
        <w:rPr>
          <w:rFonts w:ascii="Arial MT" w:hAnsi="Arial MT"/>
          <w:color w:val="001F60"/>
          <w:spacing w:val="21"/>
          <w:sz w:val="12"/>
        </w:rPr>
        <w:t xml:space="preserve"> </w:t>
      </w:r>
      <w:r>
        <w:rPr>
          <w:rFonts w:ascii="Arial MT" w:hAnsi="Arial MT"/>
          <w:color w:val="001F60"/>
          <w:sz w:val="12"/>
        </w:rPr>
        <w:t>rubricas</w:t>
      </w:r>
      <w:r>
        <w:rPr>
          <w:rFonts w:ascii="Arial MT" w:hAnsi="Arial MT"/>
          <w:color w:val="001F60"/>
          <w:spacing w:val="24"/>
          <w:sz w:val="12"/>
        </w:rPr>
        <w:t xml:space="preserve"> </w:t>
      </w:r>
      <w:r>
        <w:rPr>
          <w:rFonts w:ascii="Arial MT" w:hAnsi="Arial MT"/>
          <w:color w:val="001F60"/>
          <w:sz w:val="12"/>
        </w:rPr>
        <w:t>de</w:t>
      </w:r>
      <w:r>
        <w:rPr>
          <w:rFonts w:ascii="Arial MT" w:hAnsi="Arial MT"/>
          <w:color w:val="001F60"/>
          <w:spacing w:val="20"/>
          <w:sz w:val="12"/>
        </w:rPr>
        <w:t xml:space="preserve"> </w:t>
      </w:r>
      <w:r>
        <w:rPr>
          <w:rFonts w:ascii="Arial MT" w:hAnsi="Arial MT"/>
          <w:color w:val="001F60"/>
          <w:sz w:val="12"/>
        </w:rPr>
        <w:t>Despesas</w:t>
      </w:r>
      <w:r>
        <w:rPr>
          <w:rFonts w:ascii="Arial MT" w:hAnsi="Arial MT"/>
          <w:color w:val="001F60"/>
          <w:spacing w:val="20"/>
          <w:sz w:val="12"/>
        </w:rPr>
        <w:t xml:space="preserve"> </w:t>
      </w:r>
      <w:r>
        <w:rPr>
          <w:rFonts w:ascii="Arial MT" w:hAnsi="Arial MT"/>
          <w:color w:val="001F60"/>
          <w:sz w:val="12"/>
        </w:rPr>
        <w:t>Antecipadas,</w:t>
      </w:r>
      <w:r>
        <w:rPr>
          <w:rFonts w:ascii="Arial MT" w:hAnsi="Arial MT"/>
          <w:color w:val="001F60"/>
          <w:spacing w:val="22"/>
          <w:sz w:val="12"/>
        </w:rPr>
        <w:t xml:space="preserve"> </w:t>
      </w:r>
      <w:r>
        <w:rPr>
          <w:rFonts w:ascii="Arial MT" w:hAnsi="Arial MT"/>
          <w:color w:val="001F60"/>
          <w:sz w:val="12"/>
        </w:rPr>
        <w:t>Receitas</w:t>
      </w:r>
      <w:r>
        <w:rPr>
          <w:rFonts w:ascii="Arial MT" w:hAnsi="Arial MT"/>
          <w:color w:val="001F60"/>
          <w:spacing w:val="22"/>
          <w:sz w:val="12"/>
        </w:rPr>
        <w:t xml:space="preserve"> </w:t>
      </w:r>
      <w:r>
        <w:rPr>
          <w:rFonts w:ascii="Arial MT" w:hAnsi="Arial MT"/>
          <w:color w:val="001F60"/>
          <w:sz w:val="12"/>
        </w:rPr>
        <w:t>Diferidas</w:t>
      </w:r>
      <w:r>
        <w:rPr>
          <w:rFonts w:ascii="Arial MT" w:hAnsi="Arial MT"/>
          <w:color w:val="001F60"/>
          <w:spacing w:val="24"/>
          <w:sz w:val="12"/>
        </w:rPr>
        <w:t xml:space="preserve"> </w:t>
      </w:r>
      <w:r>
        <w:rPr>
          <w:rFonts w:ascii="Arial MT" w:hAnsi="Arial MT"/>
          <w:color w:val="001F60"/>
          <w:sz w:val="12"/>
        </w:rPr>
        <w:t>e</w:t>
      </w:r>
      <w:r>
        <w:rPr>
          <w:rFonts w:ascii="Arial MT" w:hAnsi="Arial MT"/>
          <w:color w:val="001F60"/>
          <w:spacing w:val="20"/>
          <w:sz w:val="12"/>
        </w:rPr>
        <w:t xml:space="preserve"> </w:t>
      </w:r>
      <w:r>
        <w:rPr>
          <w:rFonts w:ascii="Arial MT" w:hAnsi="Arial MT"/>
          <w:color w:val="001F60"/>
          <w:sz w:val="12"/>
        </w:rPr>
        <w:t>Adiantamento</w:t>
      </w:r>
      <w:r>
        <w:rPr>
          <w:rFonts w:ascii="Arial MT" w:hAnsi="Arial MT"/>
          <w:color w:val="001F60"/>
          <w:spacing w:val="20"/>
          <w:sz w:val="12"/>
        </w:rPr>
        <w:t xml:space="preserve"> </w:t>
      </w:r>
      <w:r>
        <w:rPr>
          <w:rFonts w:ascii="Arial MT" w:hAnsi="Arial MT"/>
          <w:color w:val="001F60"/>
          <w:sz w:val="12"/>
        </w:rPr>
        <w:t>para</w:t>
      </w:r>
      <w:r>
        <w:rPr>
          <w:rFonts w:ascii="Arial MT" w:hAnsi="Arial MT"/>
          <w:color w:val="001F60"/>
          <w:spacing w:val="20"/>
          <w:sz w:val="12"/>
        </w:rPr>
        <w:t xml:space="preserve"> </w:t>
      </w:r>
      <w:r>
        <w:rPr>
          <w:rFonts w:ascii="Arial MT" w:hAnsi="Arial MT"/>
          <w:color w:val="001F60"/>
          <w:sz w:val="12"/>
        </w:rPr>
        <w:t>Futuro</w:t>
      </w:r>
      <w:r>
        <w:rPr>
          <w:rFonts w:ascii="Arial MT" w:hAnsi="Arial MT"/>
          <w:color w:val="001F60"/>
          <w:spacing w:val="22"/>
          <w:sz w:val="12"/>
        </w:rPr>
        <w:t xml:space="preserve"> </w:t>
      </w:r>
      <w:r>
        <w:rPr>
          <w:rFonts w:ascii="Arial MT" w:hAnsi="Arial MT"/>
          <w:color w:val="001F60"/>
          <w:sz w:val="12"/>
        </w:rPr>
        <w:t>Aumento</w:t>
      </w:r>
      <w:r>
        <w:rPr>
          <w:rFonts w:ascii="Arial MT" w:hAnsi="Arial MT"/>
          <w:color w:val="001F60"/>
          <w:spacing w:val="20"/>
          <w:sz w:val="12"/>
        </w:rPr>
        <w:t xml:space="preserve"> </w:t>
      </w:r>
      <w:r>
        <w:rPr>
          <w:rFonts w:ascii="Arial MT" w:hAnsi="Arial MT"/>
          <w:color w:val="001F60"/>
          <w:sz w:val="12"/>
        </w:rPr>
        <w:t>de</w:t>
      </w:r>
      <w:r>
        <w:rPr>
          <w:rFonts w:ascii="Arial MT" w:hAnsi="Arial MT"/>
          <w:color w:val="001F60"/>
          <w:spacing w:val="24"/>
          <w:sz w:val="12"/>
        </w:rPr>
        <w:t xml:space="preserve"> </w:t>
      </w:r>
      <w:r>
        <w:rPr>
          <w:rFonts w:ascii="Arial MT" w:hAnsi="Arial MT"/>
          <w:color w:val="001F60"/>
          <w:sz w:val="12"/>
        </w:rPr>
        <w:t>Capital</w:t>
      </w:r>
      <w:r>
        <w:rPr>
          <w:rFonts w:ascii="Arial MT" w:hAnsi="Arial MT"/>
          <w:color w:val="001F60"/>
          <w:spacing w:val="22"/>
          <w:sz w:val="12"/>
        </w:rPr>
        <w:t xml:space="preserve"> </w:t>
      </w:r>
      <w:r>
        <w:rPr>
          <w:rFonts w:ascii="Arial MT" w:hAnsi="Arial MT"/>
          <w:color w:val="001F60"/>
          <w:sz w:val="12"/>
        </w:rPr>
        <w:t>foram</w:t>
      </w:r>
      <w:r>
        <w:rPr>
          <w:rFonts w:ascii="Arial MT" w:hAnsi="Arial MT"/>
          <w:color w:val="001F60"/>
          <w:spacing w:val="40"/>
          <w:sz w:val="12"/>
        </w:rPr>
        <w:t xml:space="preserve"> </w:t>
      </w:r>
      <w:r>
        <w:rPr>
          <w:rFonts w:ascii="Arial MT" w:hAnsi="Arial MT"/>
          <w:color w:val="001F60"/>
          <w:sz w:val="12"/>
        </w:rPr>
        <w:t>reclassificadas para o Patrimônio Líquido.</w:t>
      </w:r>
    </w:p>
    <w:p w14:paraId="5EB07DF5" w14:textId="77777777" w:rsidR="002C6574" w:rsidRDefault="00000000">
      <w:pPr>
        <w:spacing w:before="112"/>
        <w:ind w:left="3356"/>
        <w:rPr>
          <w:rFonts w:ascii="Calibri"/>
          <w:sz w:val="16"/>
        </w:rPr>
      </w:pPr>
      <w:r>
        <w:rPr>
          <w:rFonts w:ascii="Calibri"/>
          <w:color w:val="001F60"/>
          <w:sz w:val="16"/>
        </w:rPr>
        <w:t>Tabela</w:t>
      </w:r>
      <w:r>
        <w:rPr>
          <w:rFonts w:ascii="Calibri"/>
          <w:color w:val="001F60"/>
          <w:spacing w:val="-6"/>
          <w:sz w:val="16"/>
        </w:rPr>
        <w:t xml:space="preserve"> </w:t>
      </w:r>
      <w:r>
        <w:rPr>
          <w:rFonts w:ascii="Calibri"/>
          <w:color w:val="001F60"/>
          <w:sz w:val="16"/>
        </w:rPr>
        <w:t>3-2</w:t>
      </w:r>
      <w:r>
        <w:rPr>
          <w:rFonts w:ascii="Calibri"/>
          <w:color w:val="001F60"/>
          <w:spacing w:val="-3"/>
          <w:sz w:val="16"/>
        </w:rPr>
        <w:t xml:space="preserve"> </w:t>
      </w:r>
      <w:r>
        <w:rPr>
          <w:rFonts w:ascii="Calibri"/>
          <w:color w:val="001F60"/>
          <w:sz w:val="16"/>
        </w:rPr>
        <w:t>Rubricas</w:t>
      </w:r>
      <w:r>
        <w:rPr>
          <w:rFonts w:ascii="Calibri"/>
          <w:color w:val="001F60"/>
          <w:spacing w:val="-5"/>
          <w:sz w:val="16"/>
        </w:rPr>
        <w:t xml:space="preserve"> </w:t>
      </w:r>
      <w:r>
        <w:rPr>
          <w:rFonts w:ascii="Calibri"/>
          <w:color w:val="001F60"/>
          <w:sz w:val="16"/>
        </w:rPr>
        <w:t>Patrimoniais</w:t>
      </w:r>
      <w:r>
        <w:rPr>
          <w:rFonts w:ascii="Calibri"/>
          <w:color w:val="001F60"/>
          <w:spacing w:val="-5"/>
          <w:sz w:val="16"/>
        </w:rPr>
        <w:t xml:space="preserve"> </w:t>
      </w:r>
      <w:r>
        <w:rPr>
          <w:rFonts w:ascii="Calibri"/>
          <w:color w:val="001F60"/>
          <w:sz w:val="16"/>
        </w:rPr>
        <w:t>-</w:t>
      </w:r>
      <w:r>
        <w:rPr>
          <w:rFonts w:ascii="Calibri"/>
          <w:color w:val="001F60"/>
          <w:spacing w:val="-3"/>
          <w:sz w:val="16"/>
        </w:rPr>
        <w:t xml:space="preserve"> </w:t>
      </w:r>
      <w:r>
        <w:rPr>
          <w:rFonts w:ascii="Calibri"/>
          <w:color w:val="001F60"/>
          <w:sz w:val="16"/>
        </w:rPr>
        <w:t>Indicadores</w:t>
      </w:r>
      <w:r>
        <w:rPr>
          <w:rFonts w:ascii="Calibri"/>
          <w:color w:val="001F60"/>
          <w:spacing w:val="-5"/>
          <w:sz w:val="16"/>
        </w:rPr>
        <w:t xml:space="preserve"> </w:t>
      </w:r>
      <w:r>
        <w:rPr>
          <w:rFonts w:ascii="Calibri"/>
          <w:color w:val="001F60"/>
          <w:spacing w:val="-2"/>
          <w:sz w:val="16"/>
        </w:rPr>
        <w:t>Financeiros</w:t>
      </w:r>
    </w:p>
    <w:p w14:paraId="33DCFF17" w14:textId="77777777" w:rsidR="002C6574" w:rsidRDefault="00000000">
      <w:pPr>
        <w:pStyle w:val="Corpodetexto"/>
        <w:spacing w:before="120"/>
        <w:ind w:left="709" w:right="276"/>
        <w:jc w:val="both"/>
        <w:rPr>
          <w:rFonts w:ascii="Calibri" w:hAnsi="Calibri"/>
        </w:rPr>
      </w:pPr>
      <w:r>
        <w:rPr>
          <w:rFonts w:ascii="Calibri" w:hAnsi="Calibri"/>
          <w:b/>
          <w:color w:val="001F60"/>
        </w:rPr>
        <w:t xml:space="preserve">Ativo Circulante – </w:t>
      </w:r>
      <w:r>
        <w:rPr>
          <w:rFonts w:ascii="Calibri" w:hAnsi="Calibri"/>
          <w:color w:val="001F60"/>
        </w:rPr>
        <w:t>O Ativo Circulante ao final de 2025 apresentou aumento de 30,1% e 43,7% em relação</w:t>
      </w:r>
      <w:r>
        <w:rPr>
          <w:rFonts w:ascii="Calibri" w:hAnsi="Calibri"/>
          <w:color w:val="001F60"/>
          <w:spacing w:val="-10"/>
        </w:rPr>
        <w:t xml:space="preserve"> </w:t>
      </w:r>
      <w:r>
        <w:rPr>
          <w:rFonts w:ascii="Calibri" w:hAnsi="Calibri"/>
          <w:color w:val="001F60"/>
        </w:rPr>
        <w:t>aos</w:t>
      </w:r>
      <w:r>
        <w:rPr>
          <w:rFonts w:ascii="Calibri" w:hAnsi="Calibri"/>
          <w:color w:val="001F60"/>
          <w:spacing w:val="-8"/>
        </w:rPr>
        <w:t xml:space="preserve"> </w:t>
      </w:r>
      <w:r>
        <w:rPr>
          <w:rFonts w:ascii="Calibri" w:hAnsi="Calibri"/>
          <w:color w:val="001F60"/>
        </w:rPr>
        <w:t>anos</w:t>
      </w:r>
      <w:r>
        <w:rPr>
          <w:rFonts w:ascii="Calibri" w:hAnsi="Calibri"/>
          <w:color w:val="001F60"/>
          <w:spacing w:val="-8"/>
        </w:rPr>
        <w:t xml:space="preserve"> </w:t>
      </w:r>
      <w:r>
        <w:rPr>
          <w:rFonts w:ascii="Calibri" w:hAnsi="Calibri"/>
          <w:color w:val="001F60"/>
        </w:rPr>
        <w:t>de</w:t>
      </w:r>
      <w:r>
        <w:rPr>
          <w:rFonts w:ascii="Calibri" w:hAnsi="Calibri"/>
          <w:color w:val="001F60"/>
          <w:spacing w:val="-10"/>
        </w:rPr>
        <w:t xml:space="preserve"> </w:t>
      </w:r>
      <w:r>
        <w:rPr>
          <w:rFonts w:ascii="Calibri" w:hAnsi="Calibri"/>
          <w:color w:val="001F60"/>
        </w:rPr>
        <w:t>2024</w:t>
      </w:r>
      <w:r>
        <w:rPr>
          <w:rFonts w:ascii="Calibri" w:hAnsi="Calibri"/>
          <w:color w:val="001F60"/>
          <w:spacing w:val="-10"/>
        </w:rPr>
        <w:t xml:space="preserve"> </w:t>
      </w:r>
      <w:r>
        <w:rPr>
          <w:rFonts w:ascii="Calibri" w:hAnsi="Calibri"/>
          <w:color w:val="001F60"/>
        </w:rPr>
        <w:t>e</w:t>
      </w:r>
      <w:r>
        <w:rPr>
          <w:rFonts w:ascii="Calibri" w:hAnsi="Calibri"/>
          <w:color w:val="001F60"/>
          <w:spacing w:val="-10"/>
        </w:rPr>
        <w:t xml:space="preserve"> </w:t>
      </w:r>
      <w:r>
        <w:rPr>
          <w:rFonts w:ascii="Calibri" w:hAnsi="Calibri"/>
          <w:color w:val="001F60"/>
        </w:rPr>
        <w:t>2023,</w:t>
      </w:r>
      <w:r>
        <w:rPr>
          <w:rFonts w:ascii="Calibri" w:hAnsi="Calibri"/>
          <w:color w:val="001F60"/>
          <w:spacing w:val="-8"/>
        </w:rPr>
        <w:t xml:space="preserve"> </w:t>
      </w:r>
      <w:r>
        <w:rPr>
          <w:rFonts w:ascii="Calibri" w:hAnsi="Calibri"/>
          <w:color w:val="001F60"/>
        </w:rPr>
        <w:t>respectivamente.</w:t>
      </w:r>
      <w:r>
        <w:rPr>
          <w:rFonts w:ascii="Calibri" w:hAnsi="Calibri"/>
          <w:color w:val="001F60"/>
          <w:spacing w:val="-8"/>
        </w:rPr>
        <w:t xml:space="preserve"> </w:t>
      </w:r>
      <w:r>
        <w:rPr>
          <w:rFonts w:ascii="Calibri" w:hAnsi="Calibri"/>
          <w:color w:val="001F60"/>
        </w:rPr>
        <w:t>Esse</w:t>
      </w:r>
      <w:r>
        <w:rPr>
          <w:rFonts w:ascii="Calibri" w:hAnsi="Calibri"/>
          <w:color w:val="001F60"/>
          <w:spacing w:val="-10"/>
        </w:rPr>
        <w:t xml:space="preserve"> </w:t>
      </w:r>
      <w:r>
        <w:rPr>
          <w:rFonts w:ascii="Calibri" w:hAnsi="Calibri"/>
          <w:color w:val="001F60"/>
        </w:rPr>
        <w:t>crescimento</w:t>
      </w:r>
      <w:r>
        <w:rPr>
          <w:rFonts w:ascii="Calibri" w:hAnsi="Calibri"/>
          <w:color w:val="001F60"/>
          <w:spacing w:val="-10"/>
        </w:rPr>
        <w:t xml:space="preserve"> </w:t>
      </w:r>
      <w:r>
        <w:rPr>
          <w:rFonts w:ascii="Calibri" w:hAnsi="Calibri"/>
          <w:color w:val="001F60"/>
        </w:rPr>
        <w:t>é</w:t>
      </w:r>
      <w:r>
        <w:rPr>
          <w:rFonts w:ascii="Calibri" w:hAnsi="Calibri"/>
          <w:color w:val="001F60"/>
          <w:spacing w:val="-8"/>
        </w:rPr>
        <w:t xml:space="preserve"> </w:t>
      </w:r>
      <w:r>
        <w:rPr>
          <w:rFonts w:ascii="Calibri" w:hAnsi="Calibri"/>
          <w:color w:val="001F60"/>
        </w:rPr>
        <w:t>explicado</w:t>
      </w:r>
      <w:r>
        <w:rPr>
          <w:rFonts w:ascii="Calibri" w:hAnsi="Calibri"/>
          <w:color w:val="001F60"/>
          <w:spacing w:val="-10"/>
        </w:rPr>
        <w:t xml:space="preserve"> </w:t>
      </w:r>
      <w:r>
        <w:rPr>
          <w:rFonts w:ascii="Calibri" w:hAnsi="Calibri"/>
          <w:color w:val="001F60"/>
        </w:rPr>
        <w:t>principalmente</w:t>
      </w:r>
      <w:r>
        <w:rPr>
          <w:rFonts w:ascii="Calibri" w:hAnsi="Calibri"/>
          <w:color w:val="001F60"/>
          <w:spacing w:val="-8"/>
        </w:rPr>
        <w:t xml:space="preserve"> </w:t>
      </w:r>
      <w:r>
        <w:rPr>
          <w:rFonts w:ascii="Calibri" w:hAnsi="Calibri"/>
          <w:color w:val="001F60"/>
        </w:rPr>
        <w:t>pelos aumentos nas Disponibilidades, no Contas a Receber e pelo reconhecimento do superávit de previdência privada.</w:t>
      </w:r>
    </w:p>
    <w:p w14:paraId="4032DC17" w14:textId="77777777" w:rsidR="002C6574" w:rsidRDefault="00000000">
      <w:pPr>
        <w:pStyle w:val="Corpodetexto"/>
        <w:spacing w:before="121"/>
        <w:ind w:left="709" w:right="279"/>
        <w:jc w:val="both"/>
        <w:rPr>
          <w:rFonts w:ascii="Calibri" w:hAnsi="Calibri"/>
        </w:rPr>
      </w:pPr>
      <w:r>
        <w:rPr>
          <w:rFonts w:ascii="Calibri" w:hAnsi="Calibri"/>
          <w:b/>
          <w:color w:val="001F60"/>
        </w:rPr>
        <w:t xml:space="preserve">Ativo Não Circulante – </w:t>
      </w:r>
      <w:r>
        <w:rPr>
          <w:rFonts w:ascii="Calibri" w:hAnsi="Calibri"/>
          <w:color w:val="001F60"/>
        </w:rPr>
        <w:t>O grupo apresentou redução de 9,1% em comparação ao ano de 2024 e de 12,3% em relação a 2023. Esse comportamento decorre principalmente de:</w:t>
      </w:r>
    </w:p>
    <w:p w14:paraId="7A3223D0" w14:textId="77777777" w:rsidR="002C6574" w:rsidRDefault="00000000">
      <w:pPr>
        <w:pStyle w:val="PargrafodaLista"/>
        <w:numPr>
          <w:ilvl w:val="0"/>
          <w:numId w:val="73"/>
        </w:numPr>
        <w:tabs>
          <w:tab w:val="left" w:pos="1789"/>
        </w:tabs>
        <w:spacing w:before="120"/>
        <w:ind w:right="279"/>
        <w:jc w:val="both"/>
      </w:pPr>
      <w:r>
        <w:rPr>
          <w:color w:val="001F60"/>
        </w:rPr>
        <w:t>transferências para o</w:t>
      </w:r>
      <w:r>
        <w:rPr>
          <w:color w:val="001F60"/>
          <w:spacing w:val="-1"/>
        </w:rPr>
        <w:t xml:space="preserve"> </w:t>
      </w:r>
      <w:r>
        <w:rPr>
          <w:color w:val="001F60"/>
        </w:rPr>
        <w:t>Ativo</w:t>
      </w:r>
      <w:r>
        <w:rPr>
          <w:color w:val="001F60"/>
          <w:spacing w:val="-2"/>
        </w:rPr>
        <w:t xml:space="preserve"> </w:t>
      </w:r>
      <w:r>
        <w:rPr>
          <w:color w:val="001F60"/>
        </w:rPr>
        <w:t>Circulante de valores anteriormente registrados no</w:t>
      </w:r>
      <w:r>
        <w:rPr>
          <w:color w:val="001F60"/>
          <w:spacing w:val="-1"/>
        </w:rPr>
        <w:t xml:space="preserve"> </w:t>
      </w:r>
      <w:r>
        <w:rPr>
          <w:color w:val="001F60"/>
        </w:rPr>
        <w:t>Realizável a Longo Prazo, relativos à despesas antecipadas; e</w:t>
      </w:r>
    </w:p>
    <w:p w14:paraId="7094CB03" w14:textId="77777777" w:rsidR="002C6574" w:rsidRDefault="00000000">
      <w:pPr>
        <w:pStyle w:val="PargrafodaLista"/>
        <w:numPr>
          <w:ilvl w:val="0"/>
          <w:numId w:val="73"/>
        </w:numPr>
        <w:tabs>
          <w:tab w:val="left" w:pos="1789"/>
        </w:tabs>
        <w:ind w:right="277"/>
        <w:jc w:val="both"/>
      </w:pPr>
      <w:r>
        <w:rPr>
          <w:color w:val="001F60"/>
        </w:rPr>
        <w:t>impacto</w:t>
      </w:r>
      <w:r>
        <w:rPr>
          <w:color w:val="001F60"/>
          <w:spacing w:val="-11"/>
        </w:rPr>
        <w:t xml:space="preserve"> </w:t>
      </w:r>
      <w:r>
        <w:rPr>
          <w:color w:val="001F60"/>
        </w:rPr>
        <w:t>da</w:t>
      </w:r>
      <w:r>
        <w:rPr>
          <w:color w:val="001F60"/>
          <w:spacing w:val="-9"/>
        </w:rPr>
        <w:t xml:space="preserve"> </w:t>
      </w:r>
      <w:r>
        <w:rPr>
          <w:color w:val="001F60"/>
        </w:rPr>
        <w:t>Depreciação</w:t>
      </w:r>
      <w:r>
        <w:rPr>
          <w:color w:val="001F60"/>
          <w:spacing w:val="-9"/>
        </w:rPr>
        <w:t xml:space="preserve"> </w:t>
      </w:r>
      <w:r>
        <w:rPr>
          <w:color w:val="001F60"/>
        </w:rPr>
        <w:t>e</w:t>
      </w:r>
      <w:r>
        <w:rPr>
          <w:color w:val="001F60"/>
          <w:spacing w:val="-11"/>
        </w:rPr>
        <w:t xml:space="preserve"> </w:t>
      </w:r>
      <w:r>
        <w:rPr>
          <w:color w:val="001F60"/>
        </w:rPr>
        <w:t>Amortização</w:t>
      </w:r>
      <w:r>
        <w:rPr>
          <w:color w:val="001F60"/>
          <w:spacing w:val="-9"/>
        </w:rPr>
        <w:t xml:space="preserve"> </w:t>
      </w:r>
      <w:r>
        <w:rPr>
          <w:color w:val="001F60"/>
        </w:rPr>
        <w:t>do</w:t>
      </w:r>
      <w:r>
        <w:rPr>
          <w:color w:val="001F60"/>
          <w:spacing w:val="-9"/>
        </w:rPr>
        <w:t xml:space="preserve"> </w:t>
      </w:r>
      <w:r>
        <w:rPr>
          <w:color w:val="001F60"/>
        </w:rPr>
        <w:t>Ativo</w:t>
      </w:r>
      <w:r>
        <w:rPr>
          <w:color w:val="001F60"/>
          <w:spacing w:val="-9"/>
        </w:rPr>
        <w:t xml:space="preserve"> </w:t>
      </w:r>
      <w:r>
        <w:rPr>
          <w:color w:val="001F60"/>
        </w:rPr>
        <w:t>Imobilizado</w:t>
      </w:r>
      <w:r>
        <w:rPr>
          <w:color w:val="001F60"/>
          <w:spacing w:val="-8"/>
        </w:rPr>
        <w:t xml:space="preserve"> </w:t>
      </w:r>
      <w:r>
        <w:rPr>
          <w:color w:val="001F60"/>
        </w:rPr>
        <w:t>e</w:t>
      </w:r>
      <w:r>
        <w:rPr>
          <w:color w:val="001F60"/>
          <w:spacing w:val="-9"/>
        </w:rPr>
        <w:t xml:space="preserve"> </w:t>
      </w:r>
      <w:r>
        <w:rPr>
          <w:color w:val="001F60"/>
        </w:rPr>
        <w:t>Intangível,</w:t>
      </w:r>
      <w:r>
        <w:rPr>
          <w:color w:val="001F60"/>
          <w:spacing w:val="-9"/>
        </w:rPr>
        <w:t xml:space="preserve"> </w:t>
      </w:r>
      <w:r>
        <w:rPr>
          <w:color w:val="001F60"/>
        </w:rPr>
        <w:t>cujos</w:t>
      </w:r>
      <w:r>
        <w:rPr>
          <w:color w:val="001F60"/>
          <w:spacing w:val="-9"/>
        </w:rPr>
        <w:t xml:space="preserve"> </w:t>
      </w:r>
      <w:r>
        <w:rPr>
          <w:color w:val="001F60"/>
        </w:rPr>
        <w:t>montantes superaram os ingressos verificados no período.</w:t>
      </w:r>
    </w:p>
    <w:p w14:paraId="173D1406" w14:textId="77777777" w:rsidR="002C6574" w:rsidRDefault="00000000">
      <w:pPr>
        <w:pStyle w:val="Corpodetexto"/>
        <w:spacing w:before="119"/>
        <w:ind w:left="709" w:right="279"/>
        <w:jc w:val="both"/>
        <w:rPr>
          <w:rFonts w:ascii="Calibri" w:hAnsi="Calibri"/>
        </w:rPr>
      </w:pPr>
      <w:r>
        <w:rPr>
          <w:rFonts w:ascii="Calibri" w:hAnsi="Calibri"/>
          <w:color w:val="001F60"/>
        </w:rPr>
        <w:t>Essa redução, contudo, foi parcialmente compensada pelo reconhecimento do superávit de previdência privada no exercício de 2025.</w:t>
      </w:r>
    </w:p>
    <w:p w14:paraId="1D35ED3E" w14:textId="77777777" w:rsidR="002C6574" w:rsidRDefault="00000000">
      <w:pPr>
        <w:pStyle w:val="Corpodetexto"/>
        <w:spacing w:before="120"/>
        <w:ind w:left="709" w:right="278"/>
        <w:jc w:val="both"/>
        <w:rPr>
          <w:rFonts w:ascii="Calibri" w:hAnsi="Calibri"/>
        </w:rPr>
      </w:pPr>
      <w:r>
        <w:rPr>
          <w:rFonts w:ascii="Calibri" w:hAnsi="Calibri"/>
          <w:b/>
          <w:color w:val="001F60"/>
        </w:rPr>
        <w:t xml:space="preserve">Passivo Circulante </w:t>
      </w:r>
      <w:r>
        <w:rPr>
          <w:rFonts w:ascii="Calibri" w:hAnsi="Calibri"/>
          <w:color w:val="001F60"/>
        </w:rPr>
        <w:t>– O comportamento desta rubrica, na comparação entre o exercício de 2025 e os exercícios de 2024 e 2023, apresentou um aumento de 16,7% em relação ao ano de 2024 e uma redução de 30,8% quando comparado ao ano de 2023. O crescimento frente a 2024 é explicado pelo aumento</w:t>
      </w:r>
      <w:r>
        <w:rPr>
          <w:rFonts w:ascii="Calibri" w:hAnsi="Calibri"/>
          <w:color w:val="001F60"/>
          <w:spacing w:val="16"/>
        </w:rPr>
        <w:t xml:space="preserve"> </w:t>
      </w:r>
      <w:r>
        <w:rPr>
          <w:rFonts w:ascii="Calibri" w:hAnsi="Calibri"/>
          <w:color w:val="001F60"/>
        </w:rPr>
        <w:t>dos</w:t>
      </w:r>
      <w:r>
        <w:rPr>
          <w:rFonts w:ascii="Calibri" w:hAnsi="Calibri"/>
          <w:color w:val="001F60"/>
          <w:spacing w:val="17"/>
        </w:rPr>
        <w:t xml:space="preserve"> </w:t>
      </w:r>
      <w:r>
        <w:rPr>
          <w:rFonts w:ascii="Calibri" w:hAnsi="Calibri"/>
          <w:color w:val="001F60"/>
        </w:rPr>
        <w:t>valores</w:t>
      </w:r>
      <w:r>
        <w:rPr>
          <w:rFonts w:ascii="Calibri" w:hAnsi="Calibri"/>
          <w:color w:val="001F60"/>
          <w:spacing w:val="18"/>
        </w:rPr>
        <w:t xml:space="preserve"> </w:t>
      </w:r>
      <w:r>
        <w:rPr>
          <w:rFonts w:ascii="Calibri" w:hAnsi="Calibri"/>
          <w:color w:val="001F60"/>
        </w:rPr>
        <w:t>relativos</w:t>
      </w:r>
      <w:r>
        <w:rPr>
          <w:rFonts w:ascii="Calibri" w:hAnsi="Calibri"/>
          <w:color w:val="001F60"/>
          <w:spacing w:val="17"/>
        </w:rPr>
        <w:t xml:space="preserve"> </w:t>
      </w:r>
      <w:r>
        <w:rPr>
          <w:rFonts w:ascii="Calibri" w:hAnsi="Calibri"/>
          <w:color w:val="001F60"/>
        </w:rPr>
        <w:t>aos</w:t>
      </w:r>
      <w:r>
        <w:rPr>
          <w:rFonts w:ascii="Calibri" w:hAnsi="Calibri"/>
          <w:color w:val="001F60"/>
          <w:spacing w:val="17"/>
        </w:rPr>
        <w:t xml:space="preserve"> </w:t>
      </w:r>
      <w:r>
        <w:rPr>
          <w:rFonts w:ascii="Calibri" w:hAnsi="Calibri"/>
          <w:color w:val="001F60"/>
        </w:rPr>
        <w:t>tributos</w:t>
      </w:r>
      <w:r>
        <w:rPr>
          <w:rFonts w:ascii="Calibri" w:hAnsi="Calibri"/>
          <w:color w:val="001F60"/>
          <w:spacing w:val="17"/>
        </w:rPr>
        <w:t xml:space="preserve"> </w:t>
      </w:r>
      <w:r>
        <w:rPr>
          <w:rFonts w:ascii="Calibri" w:hAnsi="Calibri"/>
          <w:color w:val="001F60"/>
        </w:rPr>
        <w:t>diretos</w:t>
      </w:r>
      <w:r>
        <w:rPr>
          <w:rFonts w:ascii="Calibri" w:hAnsi="Calibri"/>
          <w:color w:val="001F60"/>
          <w:spacing w:val="16"/>
        </w:rPr>
        <w:t xml:space="preserve"> </w:t>
      </w:r>
      <w:r>
        <w:rPr>
          <w:rFonts w:ascii="Calibri" w:hAnsi="Calibri"/>
          <w:color w:val="001F60"/>
        </w:rPr>
        <w:t>e</w:t>
      </w:r>
      <w:r>
        <w:rPr>
          <w:rFonts w:ascii="Calibri" w:hAnsi="Calibri"/>
          <w:color w:val="001F60"/>
          <w:spacing w:val="17"/>
        </w:rPr>
        <w:t xml:space="preserve"> </w:t>
      </w:r>
      <w:r>
        <w:rPr>
          <w:rFonts w:ascii="Calibri" w:hAnsi="Calibri"/>
          <w:color w:val="001F60"/>
        </w:rPr>
        <w:t>indiretos,</w:t>
      </w:r>
      <w:r>
        <w:rPr>
          <w:rFonts w:ascii="Calibri" w:hAnsi="Calibri"/>
          <w:color w:val="001F60"/>
          <w:spacing w:val="15"/>
        </w:rPr>
        <w:t xml:space="preserve"> </w:t>
      </w:r>
      <w:r>
        <w:rPr>
          <w:rFonts w:ascii="Calibri" w:hAnsi="Calibri"/>
          <w:color w:val="001F60"/>
        </w:rPr>
        <w:t>decorrente</w:t>
      </w:r>
      <w:r>
        <w:rPr>
          <w:rFonts w:ascii="Calibri" w:hAnsi="Calibri"/>
          <w:color w:val="001F60"/>
          <w:spacing w:val="16"/>
        </w:rPr>
        <w:t xml:space="preserve"> </w:t>
      </w:r>
      <w:r>
        <w:rPr>
          <w:rFonts w:ascii="Calibri" w:hAnsi="Calibri"/>
          <w:color w:val="001F60"/>
        </w:rPr>
        <w:t>do</w:t>
      </w:r>
      <w:r>
        <w:rPr>
          <w:rFonts w:ascii="Calibri" w:hAnsi="Calibri"/>
          <w:color w:val="001F60"/>
          <w:spacing w:val="18"/>
        </w:rPr>
        <w:t xml:space="preserve"> </w:t>
      </w:r>
      <w:r>
        <w:rPr>
          <w:rFonts w:ascii="Calibri" w:hAnsi="Calibri"/>
          <w:color w:val="001F60"/>
        </w:rPr>
        <w:t>resultado</w:t>
      </w:r>
      <w:r>
        <w:rPr>
          <w:rFonts w:ascii="Calibri" w:hAnsi="Calibri"/>
          <w:color w:val="001F60"/>
          <w:spacing w:val="18"/>
        </w:rPr>
        <w:t xml:space="preserve"> </w:t>
      </w:r>
      <w:r>
        <w:rPr>
          <w:rFonts w:ascii="Calibri" w:hAnsi="Calibri"/>
          <w:color w:val="001F60"/>
        </w:rPr>
        <w:t>positivo</w:t>
      </w:r>
      <w:r>
        <w:rPr>
          <w:rFonts w:ascii="Calibri" w:hAnsi="Calibri"/>
          <w:color w:val="001F60"/>
          <w:spacing w:val="18"/>
        </w:rPr>
        <w:t xml:space="preserve"> </w:t>
      </w:r>
      <w:r>
        <w:rPr>
          <w:rFonts w:ascii="Calibri" w:hAnsi="Calibri"/>
          <w:color w:val="001F60"/>
          <w:spacing w:val="-5"/>
        </w:rPr>
        <w:t>do</w:t>
      </w:r>
    </w:p>
    <w:p w14:paraId="38DB2CCE" w14:textId="77777777" w:rsidR="002C6574" w:rsidRDefault="002C6574">
      <w:pPr>
        <w:pStyle w:val="Corpodetexto"/>
        <w:jc w:val="both"/>
        <w:rPr>
          <w:rFonts w:ascii="Calibri" w:hAnsi="Calibri"/>
        </w:rPr>
        <w:sectPr w:rsidR="002C6574">
          <w:pgSz w:w="11910" w:h="16840"/>
          <w:pgMar w:top="1160" w:right="850" w:bottom="740" w:left="992" w:header="312" w:footer="542" w:gutter="0"/>
          <w:cols w:space="720"/>
        </w:sectPr>
      </w:pPr>
    </w:p>
    <w:p w14:paraId="4B52A70A" w14:textId="77777777" w:rsidR="002C6574" w:rsidRDefault="002C6574">
      <w:pPr>
        <w:pStyle w:val="Corpodetexto"/>
        <w:spacing w:before="263"/>
        <w:rPr>
          <w:rFonts w:ascii="Calibri"/>
        </w:rPr>
      </w:pPr>
    </w:p>
    <w:p w14:paraId="3CDEFA0F" w14:textId="77777777" w:rsidR="002C6574" w:rsidRDefault="00000000">
      <w:pPr>
        <w:pStyle w:val="Corpodetexto"/>
        <w:ind w:left="709" w:right="281"/>
        <w:jc w:val="both"/>
        <w:rPr>
          <w:rFonts w:ascii="Calibri" w:hAnsi="Calibri"/>
        </w:rPr>
      </w:pPr>
      <w:r>
        <w:rPr>
          <w:rFonts w:ascii="Calibri" w:hAnsi="Calibri"/>
          <w:color w:val="001F60"/>
        </w:rPr>
        <w:t>exercício (no caso dos</w:t>
      </w:r>
      <w:r>
        <w:rPr>
          <w:rFonts w:ascii="Calibri" w:hAnsi="Calibri"/>
          <w:color w:val="001F60"/>
          <w:spacing w:val="-1"/>
        </w:rPr>
        <w:t xml:space="preserve"> </w:t>
      </w:r>
      <w:r>
        <w:rPr>
          <w:rFonts w:ascii="Calibri" w:hAnsi="Calibri"/>
          <w:color w:val="001F60"/>
        </w:rPr>
        <w:t>tributos diretos), bem como pelo reconhecimento do superávit de previdência privada, que impactou as contribuições para PIS e Cofins.</w:t>
      </w:r>
    </w:p>
    <w:p w14:paraId="512BD99B" w14:textId="77777777" w:rsidR="002C6574" w:rsidRDefault="00000000">
      <w:pPr>
        <w:pStyle w:val="Corpodetexto"/>
        <w:spacing w:before="118"/>
        <w:ind w:left="709" w:right="278"/>
        <w:jc w:val="both"/>
        <w:rPr>
          <w:rFonts w:ascii="Calibri" w:hAnsi="Calibri"/>
        </w:rPr>
      </w:pPr>
      <w:r>
        <w:rPr>
          <w:rFonts w:ascii="Calibri" w:hAnsi="Calibri"/>
          <w:color w:val="001F60"/>
        </w:rPr>
        <w:t>Outro fator que contribuiu para esse aumento foi o recebimento de subvenções orçamentárias, cujo montante não foi integralmente realizado no exercício.</w:t>
      </w:r>
    </w:p>
    <w:p w14:paraId="1A47E614" w14:textId="77777777" w:rsidR="002C6574" w:rsidRDefault="00000000">
      <w:pPr>
        <w:pStyle w:val="Corpodetexto"/>
        <w:spacing w:before="121"/>
        <w:ind w:left="709" w:right="278"/>
        <w:jc w:val="both"/>
        <w:rPr>
          <w:rFonts w:ascii="Calibri" w:hAnsi="Calibri"/>
        </w:rPr>
      </w:pPr>
      <w:r>
        <w:rPr>
          <w:rFonts w:ascii="Calibri" w:hAnsi="Calibri"/>
          <w:color w:val="001F60"/>
        </w:rPr>
        <w:t>Esses incrementos foram parcialmente amortizados pela baixa das dívidas de financiamento junto à FINEP, bem como pelos pagamentos de valores devidos à Previ e à Funcef.</w:t>
      </w:r>
    </w:p>
    <w:p w14:paraId="53524DC7" w14:textId="77777777" w:rsidR="002C6574" w:rsidRDefault="00000000">
      <w:pPr>
        <w:pStyle w:val="Corpodetexto"/>
        <w:spacing w:before="121"/>
        <w:ind w:left="709" w:right="278"/>
        <w:jc w:val="both"/>
        <w:rPr>
          <w:rFonts w:ascii="Calibri" w:hAnsi="Calibri"/>
        </w:rPr>
      </w:pPr>
      <w:r>
        <w:rPr>
          <w:rFonts w:ascii="Calibri" w:hAnsi="Calibri"/>
          <w:b/>
          <w:color w:val="001F60"/>
        </w:rPr>
        <w:t xml:space="preserve">Passivo Não Circulante </w:t>
      </w:r>
      <w:r>
        <w:rPr>
          <w:rFonts w:ascii="Calibri" w:hAnsi="Calibri"/>
          <w:b/>
          <w:color w:val="001F60"/>
          <w:sz w:val="24"/>
        </w:rPr>
        <w:t xml:space="preserve">– </w:t>
      </w:r>
      <w:r>
        <w:rPr>
          <w:rFonts w:ascii="Calibri" w:hAnsi="Calibri"/>
          <w:color w:val="001F60"/>
        </w:rPr>
        <w:t xml:space="preserve">O Passivo Não Circulante manteve-se estável na comparação entre os exercícios de 2024 e 2023. Embora tenha ocorrido a baixa de dívidas de financiamentos e de obrigações com credores decorrentes de acordos judiciais, outros eventos contábeis compensaram essas reduções. Como resultado, o grupo apresentou comportamento praticamente inalterado no </w:t>
      </w:r>
      <w:r>
        <w:rPr>
          <w:rFonts w:ascii="Calibri" w:hAnsi="Calibri"/>
          <w:color w:val="001F60"/>
          <w:spacing w:val="-2"/>
        </w:rPr>
        <w:t>período.</w:t>
      </w:r>
    </w:p>
    <w:p w14:paraId="177EB432" w14:textId="77777777" w:rsidR="002C6574" w:rsidRDefault="00000000">
      <w:pPr>
        <w:pStyle w:val="Corpodetexto"/>
        <w:spacing w:before="120"/>
        <w:ind w:left="709" w:right="277"/>
        <w:jc w:val="both"/>
        <w:rPr>
          <w:rFonts w:ascii="Calibri" w:hAnsi="Calibri"/>
        </w:rPr>
      </w:pPr>
      <w:r>
        <w:rPr>
          <w:rFonts w:ascii="Calibri" w:hAnsi="Calibri"/>
          <w:b/>
          <w:color w:val="001F60"/>
        </w:rPr>
        <w:t xml:space="preserve">Patrimônio Líquido </w:t>
      </w:r>
      <w:r>
        <w:rPr>
          <w:rFonts w:ascii="Calibri" w:hAnsi="Calibri"/>
          <w:b/>
          <w:color w:val="001F60"/>
          <w:sz w:val="24"/>
        </w:rPr>
        <w:t xml:space="preserve">– </w:t>
      </w:r>
      <w:r>
        <w:rPr>
          <w:rFonts w:ascii="Calibri" w:hAnsi="Calibri"/>
          <w:color w:val="001F60"/>
        </w:rPr>
        <w:t>O exercício de 2025, quando comparado aos exercícios de 2024 e 2023, apresentou crescimento de 18,2% e 22,9%, respectivamente. Esse desempenho é explicado pelos aumentos de capital realizados em 2025, bem como pelo Lucro Líquido registrado no período.</w:t>
      </w:r>
    </w:p>
    <w:p w14:paraId="72D3A107" w14:textId="77777777" w:rsidR="002C6574" w:rsidRDefault="00000000">
      <w:pPr>
        <w:numPr>
          <w:ilvl w:val="1"/>
          <w:numId w:val="74"/>
        </w:numPr>
        <w:tabs>
          <w:tab w:val="left" w:pos="1275"/>
        </w:tabs>
        <w:spacing w:before="240"/>
        <w:ind w:left="1275" w:hanging="566"/>
        <w:rPr>
          <w:rFonts w:ascii="Calibri" w:hAnsi="Calibri"/>
          <w:b/>
        </w:rPr>
      </w:pPr>
      <w:r>
        <w:rPr>
          <w:rFonts w:ascii="Calibri" w:hAnsi="Calibri"/>
          <w:b/>
          <w:color w:val="001F60"/>
        </w:rPr>
        <w:t>Estrutura</w:t>
      </w:r>
      <w:r>
        <w:rPr>
          <w:rFonts w:ascii="Calibri" w:hAnsi="Calibri"/>
          <w:b/>
          <w:color w:val="001F60"/>
          <w:spacing w:val="-5"/>
        </w:rPr>
        <w:t xml:space="preserve"> </w:t>
      </w:r>
      <w:r>
        <w:rPr>
          <w:rFonts w:ascii="Calibri" w:hAnsi="Calibri"/>
          <w:b/>
          <w:color w:val="001F60"/>
        </w:rPr>
        <w:t>Econômica</w:t>
      </w:r>
      <w:r>
        <w:rPr>
          <w:rFonts w:ascii="Calibri" w:hAnsi="Calibri"/>
          <w:b/>
          <w:color w:val="001F60"/>
          <w:spacing w:val="-5"/>
        </w:rPr>
        <w:t xml:space="preserve"> </w:t>
      </w:r>
      <w:r>
        <w:rPr>
          <w:rFonts w:ascii="Calibri" w:hAnsi="Calibri"/>
          <w:b/>
          <w:color w:val="001F60"/>
        </w:rPr>
        <w:t>da</w:t>
      </w:r>
      <w:r>
        <w:rPr>
          <w:rFonts w:ascii="Calibri" w:hAnsi="Calibri"/>
          <w:b/>
          <w:color w:val="001F60"/>
          <w:spacing w:val="-5"/>
        </w:rPr>
        <w:t xml:space="preserve"> </w:t>
      </w:r>
      <w:r>
        <w:rPr>
          <w:rFonts w:ascii="Calibri" w:hAnsi="Calibri"/>
          <w:b/>
          <w:color w:val="001F60"/>
        </w:rPr>
        <w:t>Companhia</w:t>
      </w:r>
      <w:r>
        <w:rPr>
          <w:rFonts w:ascii="Calibri" w:hAnsi="Calibri"/>
          <w:b/>
          <w:color w:val="001F60"/>
          <w:spacing w:val="-3"/>
        </w:rPr>
        <w:t xml:space="preserve"> </w:t>
      </w:r>
      <w:r>
        <w:rPr>
          <w:rFonts w:ascii="Calibri" w:hAnsi="Calibri"/>
          <w:b/>
          <w:color w:val="001F60"/>
        </w:rPr>
        <w:t>–</w:t>
      </w:r>
      <w:r>
        <w:rPr>
          <w:rFonts w:ascii="Calibri" w:hAnsi="Calibri"/>
          <w:b/>
          <w:color w:val="001F60"/>
          <w:spacing w:val="-3"/>
        </w:rPr>
        <w:t xml:space="preserve"> </w:t>
      </w:r>
      <w:r>
        <w:rPr>
          <w:rFonts w:ascii="Calibri" w:hAnsi="Calibri"/>
          <w:b/>
          <w:color w:val="001F60"/>
        </w:rPr>
        <w:t>Principais</w:t>
      </w:r>
      <w:r>
        <w:rPr>
          <w:rFonts w:ascii="Calibri" w:hAnsi="Calibri"/>
          <w:b/>
          <w:color w:val="001F60"/>
          <w:spacing w:val="-4"/>
        </w:rPr>
        <w:t xml:space="preserve"> </w:t>
      </w:r>
      <w:r>
        <w:rPr>
          <w:rFonts w:ascii="Calibri" w:hAnsi="Calibri"/>
          <w:b/>
          <w:color w:val="001F60"/>
          <w:spacing w:val="-2"/>
        </w:rPr>
        <w:t>Rubricas</w:t>
      </w:r>
    </w:p>
    <w:p w14:paraId="3BD57298" w14:textId="77777777" w:rsidR="002C6574" w:rsidRDefault="002C6574">
      <w:pPr>
        <w:pStyle w:val="Corpodetexto"/>
        <w:spacing w:before="10"/>
        <w:rPr>
          <w:rFonts w:ascii="Calibri"/>
          <w:b/>
        </w:rPr>
      </w:pPr>
    </w:p>
    <w:p w14:paraId="0699FE2D" w14:textId="77777777" w:rsidR="002C6574" w:rsidRDefault="00000000">
      <w:pPr>
        <w:pStyle w:val="Corpodetexto"/>
        <w:spacing w:before="1" w:after="44"/>
        <w:ind w:left="709"/>
        <w:jc w:val="both"/>
        <w:rPr>
          <w:rFonts w:ascii="Calibri" w:hAnsi="Calibri"/>
        </w:rPr>
      </w:pPr>
      <w:r>
        <w:rPr>
          <w:rFonts w:ascii="Calibri" w:hAnsi="Calibri"/>
          <w:color w:val="001F60"/>
        </w:rPr>
        <w:t>O</w:t>
      </w:r>
      <w:r>
        <w:rPr>
          <w:rFonts w:ascii="Calibri" w:hAnsi="Calibri"/>
          <w:color w:val="001F60"/>
          <w:spacing w:val="1"/>
        </w:rPr>
        <w:t xml:space="preserve"> </w:t>
      </w:r>
      <w:r>
        <w:rPr>
          <w:rFonts w:ascii="Calibri" w:hAnsi="Calibri"/>
          <w:color w:val="001F60"/>
        </w:rPr>
        <w:t>resultado</w:t>
      </w:r>
      <w:r>
        <w:rPr>
          <w:rFonts w:ascii="Calibri" w:hAnsi="Calibri"/>
          <w:color w:val="001F60"/>
          <w:spacing w:val="2"/>
        </w:rPr>
        <w:t xml:space="preserve"> </w:t>
      </w:r>
      <w:r>
        <w:rPr>
          <w:rFonts w:ascii="Calibri" w:hAnsi="Calibri"/>
          <w:color w:val="001F60"/>
        </w:rPr>
        <w:t>obtido</w:t>
      </w:r>
      <w:r>
        <w:rPr>
          <w:rFonts w:ascii="Calibri" w:hAnsi="Calibri"/>
          <w:color w:val="001F60"/>
          <w:spacing w:val="3"/>
        </w:rPr>
        <w:t xml:space="preserve"> </w:t>
      </w:r>
      <w:r>
        <w:rPr>
          <w:rFonts w:ascii="Calibri" w:hAnsi="Calibri"/>
          <w:color w:val="001F60"/>
        </w:rPr>
        <w:t>pela Companhia</w:t>
      </w:r>
      <w:r>
        <w:rPr>
          <w:rFonts w:ascii="Calibri" w:hAnsi="Calibri"/>
          <w:color w:val="001F60"/>
          <w:spacing w:val="2"/>
        </w:rPr>
        <w:t xml:space="preserve"> </w:t>
      </w:r>
      <w:r>
        <w:rPr>
          <w:rFonts w:ascii="Calibri" w:hAnsi="Calibri"/>
          <w:color w:val="001F60"/>
        </w:rPr>
        <w:t>no</w:t>
      </w:r>
      <w:r>
        <w:rPr>
          <w:rFonts w:ascii="Calibri" w:hAnsi="Calibri"/>
          <w:color w:val="001F60"/>
          <w:spacing w:val="4"/>
        </w:rPr>
        <w:t xml:space="preserve"> </w:t>
      </w:r>
      <w:r>
        <w:rPr>
          <w:rFonts w:ascii="Calibri" w:hAnsi="Calibri"/>
          <w:color w:val="001F60"/>
        </w:rPr>
        <w:t>exercício</w:t>
      </w:r>
      <w:r>
        <w:rPr>
          <w:rFonts w:ascii="Calibri" w:hAnsi="Calibri"/>
          <w:color w:val="001F60"/>
          <w:spacing w:val="2"/>
        </w:rPr>
        <w:t xml:space="preserve"> </w:t>
      </w:r>
      <w:r>
        <w:rPr>
          <w:rFonts w:ascii="Calibri" w:hAnsi="Calibri"/>
          <w:color w:val="001F60"/>
        </w:rPr>
        <w:t>de</w:t>
      </w:r>
      <w:r>
        <w:rPr>
          <w:rFonts w:ascii="Calibri" w:hAnsi="Calibri"/>
          <w:color w:val="001F60"/>
          <w:spacing w:val="1"/>
        </w:rPr>
        <w:t xml:space="preserve"> </w:t>
      </w:r>
      <w:r>
        <w:rPr>
          <w:rFonts w:ascii="Calibri" w:hAnsi="Calibri"/>
          <w:color w:val="001F60"/>
        </w:rPr>
        <w:t>2025,</w:t>
      </w:r>
      <w:r>
        <w:rPr>
          <w:rFonts w:ascii="Calibri" w:hAnsi="Calibri"/>
          <w:color w:val="001F60"/>
          <w:spacing w:val="2"/>
        </w:rPr>
        <w:t xml:space="preserve"> </w:t>
      </w:r>
      <w:r>
        <w:rPr>
          <w:rFonts w:ascii="Calibri" w:hAnsi="Calibri"/>
          <w:color w:val="001F60"/>
        </w:rPr>
        <w:t>quando</w:t>
      </w:r>
      <w:r>
        <w:rPr>
          <w:rFonts w:ascii="Calibri" w:hAnsi="Calibri"/>
          <w:color w:val="001F60"/>
          <w:spacing w:val="3"/>
        </w:rPr>
        <w:t xml:space="preserve"> </w:t>
      </w:r>
      <w:r>
        <w:rPr>
          <w:rFonts w:ascii="Calibri" w:hAnsi="Calibri"/>
          <w:color w:val="001F60"/>
        </w:rPr>
        <w:t>comparado</w:t>
      </w:r>
      <w:r>
        <w:rPr>
          <w:rFonts w:ascii="Calibri" w:hAnsi="Calibri"/>
          <w:color w:val="001F60"/>
          <w:spacing w:val="2"/>
        </w:rPr>
        <w:t xml:space="preserve"> </w:t>
      </w:r>
      <w:r>
        <w:rPr>
          <w:rFonts w:ascii="Calibri" w:hAnsi="Calibri"/>
          <w:color w:val="001F60"/>
        </w:rPr>
        <w:t>aos</w:t>
      </w:r>
      <w:r>
        <w:rPr>
          <w:rFonts w:ascii="Calibri" w:hAnsi="Calibri"/>
          <w:color w:val="001F60"/>
          <w:spacing w:val="3"/>
        </w:rPr>
        <w:t xml:space="preserve"> </w:t>
      </w:r>
      <w:r>
        <w:rPr>
          <w:rFonts w:ascii="Calibri" w:hAnsi="Calibri"/>
          <w:color w:val="001F60"/>
        </w:rPr>
        <w:t>exercícios</w:t>
      </w:r>
      <w:r>
        <w:rPr>
          <w:rFonts w:ascii="Calibri" w:hAnsi="Calibri"/>
          <w:color w:val="001F60"/>
          <w:spacing w:val="2"/>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spacing w:val="-4"/>
        </w:rPr>
        <w:t>2024</w:t>
      </w:r>
    </w:p>
    <w:tbl>
      <w:tblPr>
        <w:tblStyle w:val="TableNormal"/>
        <w:tblW w:w="0" w:type="auto"/>
        <w:tblInd w:w="702" w:type="dxa"/>
        <w:tblLayout w:type="fixed"/>
        <w:tblLook w:val="01E0" w:firstRow="1" w:lastRow="1" w:firstColumn="1" w:lastColumn="1" w:noHBand="0" w:noVBand="0"/>
      </w:tblPr>
      <w:tblGrid>
        <w:gridCol w:w="6063"/>
        <w:gridCol w:w="870"/>
        <w:gridCol w:w="1260"/>
        <w:gridCol w:w="895"/>
      </w:tblGrid>
      <w:tr w:rsidR="002C6574" w14:paraId="7AB43224" w14:textId="77777777">
        <w:trPr>
          <w:trHeight w:val="614"/>
        </w:trPr>
        <w:tc>
          <w:tcPr>
            <w:tcW w:w="6063" w:type="dxa"/>
            <w:tcBorders>
              <w:bottom w:val="single" w:sz="8" w:space="0" w:color="8EAADB"/>
            </w:tcBorders>
          </w:tcPr>
          <w:p w14:paraId="5CB8A65D" w14:textId="77777777" w:rsidR="002C6574" w:rsidRDefault="00000000">
            <w:pPr>
              <w:pStyle w:val="TableParagraph"/>
              <w:spacing w:line="225" w:lineRule="exact"/>
              <w:ind w:left="14"/>
              <w:jc w:val="left"/>
              <w:rPr>
                <w:rFonts w:ascii="Calibri" w:hAnsi="Calibri"/>
              </w:rPr>
            </w:pPr>
            <w:r>
              <w:rPr>
                <w:rFonts w:ascii="Calibri" w:hAnsi="Calibri"/>
                <w:color w:val="001F60"/>
              </w:rPr>
              <w:t>e</w:t>
            </w:r>
            <w:r>
              <w:rPr>
                <w:rFonts w:ascii="Calibri" w:hAnsi="Calibri"/>
                <w:color w:val="001F60"/>
                <w:spacing w:val="50"/>
              </w:rPr>
              <w:t xml:space="preserve"> </w:t>
            </w:r>
            <w:r>
              <w:rPr>
                <w:rFonts w:ascii="Calibri" w:hAnsi="Calibri"/>
                <w:color w:val="001F60"/>
              </w:rPr>
              <w:t>2023,</w:t>
            </w:r>
            <w:r>
              <w:rPr>
                <w:rFonts w:ascii="Calibri" w:hAnsi="Calibri"/>
                <w:color w:val="001F60"/>
                <w:spacing w:val="50"/>
              </w:rPr>
              <w:t xml:space="preserve"> </w:t>
            </w:r>
            <w:r>
              <w:rPr>
                <w:rFonts w:ascii="Calibri" w:hAnsi="Calibri"/>
                <w:color w:val="001F60"/>
              </w:rPr>
              <w:t>é</w:t>
            </w:r>
            <w:r>
              <w:rPr>
                <w:rFonts w:ascii="Calibri" w:hAnsi="Calibri"/>
                <w:color w:val="001F60"/>
                <w:spacing w:val="50"/>
              </w:rPr>
              <w:t xml:space="preserve"> </w:t>
            </w:r>
            <w:r>
              <w:rPr>
                <w:rFonts w:ascii="Calibri" w:hAnsi="Calibri"/>
                <w:color w:val="001F60"/>
              </w:rPr>
              <w:t>apresentado</w:t>
            </w:r>
            <w:r>
              <w:rPr>
                <w:rFonts w:ascii="Calibri" w:hAnsi="Calibri"/>
                <w:color w:val="001F60"/>
                <w:spacing w:val="50"/>
              </w:rPr>
              <w:t xml:space="preserve"> </w:t>
            </w:r>
            <w:r>
              <w:rPr>
                <w:rFonts w:ascii="Calibri" w:hAnsi="Calibri"/>
                <w:color w:val="001F60"/>
              </w:rPr>
              <w:t>a</w:t>
            </w:r>
            <w:r>
              <w:rPr>
                <w:rFonts w:ascii="Calibri" w:hAnsi="Calibri"/>
                <w:color w:val="001F60"/>
                <w:spacing w:val="50"/>
              </w:rPr>
              <w:t xml:space="preserve"> </w:t>
            </w:r>
            <w:r>
              <w:rPr>
                <w:rFonts w:ascii="Calibri" w:hAnsi="Calibri"/>
                <w:color w:val="001F60"/>
              </w:rPr>
              <w:t>seguir,</w:t>
            </w:r>
            <w:r>
              <w:rPr>
                <w:rFonts w:ascii="Calibri" w:hAnsi="Calibri"/>
                <w:color w:val="001F60"/>
                <w:spacing w:val="52"/>
              </w:rPr>
              <w:t xml:space="preserve"> </w:t>
            </w:r>
            <w:r>
              <w:rPr>
                <w:rFonts w:ascii="Calibri" w:hAnsi="Calibri"/>
                <w:color w:val="001F60"/>
              </w:rPr>
              <w:t>acompanhado</w:t>
            </w:r>
            <w:r>
              <w:rPr>
                <w:rFonts w:ascii="Calibri" w:hAnsi="Calibri"/>
                <w:color w:val="001F60"/>
                <w:spacing w:val="52"/>
              </w:rPr>
              <w:t xml:space="preserve"> </w:t>
            </w:r>
            <w:r>
              <w:rPr>
                <w:rFonts w:ascii="Calibri" w:hAnsi="Calibri"/>
                <w:color w:val="001F60"/>
              </w:rPr>
              <w:t>das</w:t>
            </w:r>
            <w:r>
              <w:rPr>
                <w:rFonts w:ascii="Calibri" w:hAnsi="Calibri"/>
                <w:color w:val="001F60"/>
                <w:spacing w:val="53"/>
              </w:rPr>
              <w:t xml:space="preserve"> </w:t>
            </w:r>
            <w:r>
              <w:rPr>
                <w:rFonts w:ascii="Calibri" w:hAnsi="Calibri"/>
                <w:color w:val="001F60"/>
                <w:spacing w:val="-2"/>
              </w:rPr>
              <w:t>explicações</w:t>
            </w:r>
          </w:p>
          <w:p w14:paraId="32D32975" w14:textId="77777777" w:rsidR="002C6574" w:rsidRDefault="00000000">
            <w:pPr>
              <w:pStyle w:val="TableParagraph"/>
              <w:ind w:left="14"/>
              <w:jc w:val="left"/>
              <w:rPr>
                <w:rFonts w:ascii="Calibri" w:hAnsi="Calibri"/>
              </w:rPr>
            </w:pPr>
            <w:r>
              <w:rPr>
                <w:rFonts w:ascii="Calibri" w:hAnsi="Calibri"/>
                <w:color w:val="001F60"/>
              </w:rPr>
              <w:t>observadas</w:t>
            </w:r>
            <w:r>
              <w:rPr>
                <w:rFonts w:ascii="Calibri" w:hAnsi="Calibri"/>
                <w:color w:val="001F60"/>
                <w:spacing w:val="-3"/>
              </w:rPr>
              <w:t xml:space="preserve"> </w:t>
            </w:r>
            <w:r>
              <w:rPr>
                <w:rFonts w:ascii="Calibri" w:hAnsi="Calibri"/>
                <w:color w:val="001F60"/>
              </w:rPr>
              <w:t>entre</w:t>
            </w:r>
            <w:r>
              <w:rPr>
                <w:rFonts w:ascii="Calibri" w:hAnsi="Calibri"/>
                <w:color w:val="001F60"/>
                <w:spacing w:val="-5"/>
              </w:rPr>
              <w:t xml:space="preserve"> </w:t>
            </w:r>
            <w:r>
              <w:rPr>
                <w:rFonts w:ascii="Calibri" w:hAnsi="Calibri"/>
                <w:color w:val="001F60"/>
              </w:rPr>
              <w:t>os</w:t>
            </w:r>
            <w:r>
              <w:rPr>
                <w:rFonts w:ascii="Calibri" w:hAnsi="Calibri"/>
                <w:color w:val="001F60"/>
                <w:spacing w:val="-3"/>
              </w:rPr>
              <w:t xml:space="preserve"> </w:t>
            </w:r>
            <w:r>
              <w:rPr>
                <w:rFonts w:ascii="Calibri" w:hAnsi="Calibri"/>
                <w:color w:val="001F60"/>
              </w:rPr>
              <w:t>períodos</w:t>
            </w:r>
            <w:r>
              <w:rPr>
                <w:rFonts w:ascii="Calibri" w:hAnsi="Calibri"/>
                <w:color w:val="001F60"/>
                <w:spacing w:val="-1"/>
              </w:rPr>
              <w:t xml:space="preserve"> </w:t>
            </w:r>
            <w:r>
              <w:rPr>
                <w:rFonts w:ascii="Calibri" w:hAnsi="Calibri"/>
                <w:color w:val="001F60"/>
                <w:spacing w:val="-2"/>
              </w:rPr>
              <w:t>analisados.</w:t>
            </w:r>
          </w:p>
        </w:tc>
        <w:tc>
          <w:tcPr>
            <w:tcW w:w="870" w:type="dxa"/>
            <w:tcBorders>
              <w:bottom w:val="single" w:sz="8" w:space="0" w:color="8EAADB"/>
            </w:tcBorders>
          </w:tcPr>
          <w:p w14:paraId="69EA4804" w14:textId="77777777" w:rsidR="002C6574" w:rsidRDefault="00000000">
            <w:pPr>
              <w:pStyle w:val="TableParagraph"/>
              <w:spacing w:line="225" w:lineRule="exact"/>
              <w:ind w:left="58"/>
              <w:jc w:val="left"/>
              <w:rPr>
                <w:rFonts w:ascii="Calibri"/>
              </w:rPr>
            </w:pPr>
            <w:r>
              <w:rPr>
                <w:rFonts w:ascii="Calibri"/>
                <w:color w:val="001F60"/>
                <w:spacing w:val="-2"/>
              </w:rPr>
              <w:t>relativas</w:t>
            </w:r>
          </w:p>
        </w:tc>
        <w:tc>
          <w:tcPr>
            <w:tcW w:w="1260" w:type="dxa"/>
            <w:tcBorders>
              <w:bottom w:val="single" w:sz="8" w:space="0" w:color="8EAADB"/>
            </w:tcBorders>
          </w:tcPr>
          <w:p w14:paraId="5BD9AB7A" w14:textId="77777777" w:rsidR="002C6574" w:rsidRDefault="00000000">
            <w:pPr>
              <w:pStyle w:val="TableParagraph"/>
              <w:spacing w:line="225" w:lineRule="exact"/>
              <w:ind w:left="51"/>
              <w:jc w:val="left"/>
              <w:rPr>
                <w:rFonts w:ascii="Calibri" w:hAnsi="Calibri"/>
              </w:rPr>
            </w:pPr>
            <w:r>
              <w:rPr>
                <w:rFonts w:ascii="Calibri" w:hAnsi="Calibri"/>
                <w:color w:val="001F60"/>
              </w:rPr>
              <w:t>às</w:t>
            </w:r>
            <w:r>
              <w:rPr>
                <w:rFonts w:ascii="Calibri" w:hAnsi="Calibri"/>
                <w:color w:val="001F60"/>
                <w:spacing w:val="53"/>
              </w:rPr>
              <w:t xml:space="preserve"> </w:t>
            </w:r>
            <w:r>
              <w:rPr>
                <w:rFonts w:ascii="Calibri" w:hAnsi="Calibri"/>
                <w:color w:val="001F60"/>
                <w:spacing w:val="-2"/>
              </w:rPr>
              <w:t>principais</w:t>
            </w:r>
          </w:p>
        </w:tc>
        <w:tc>
          <w:tcPr>
            <w:tcW w:w="895" w:type="dxa"/>
            <w:tcBorders>
              <w:bottom w:val="single" w:sz="8" w:space="0" w:color="8EAADB"/>
            </w:tcBorders>
          </w:tcPr>
          <w:p w14:paraId="489441FC" w14:textId="77777777" w:rsidR="002C6574" w:rsidRDefault="00000000">
            <w:pPr>
              <w:pStyle w:val="TableParagraph"/>
              <w:spacing w:line="225" w:lineRule="exact"/>
              <w:ind w:right="1"/>
              <w:rPr>
                <w:rFonts w:ascii="Calibri" w:hAnsi="Calibri"/>
              </w:rPr>
            </w:pPr>
            <w:r>
              <w:rPr>
                <w:rFonts w:ascii="Calibri" w:hAnsi="Calibri"/>
                <w:color w:val="001F60"/>
                <w:spacing w:val="-2"/>
              </w:rPr>
              <w:t>variações</w:t>
            </w:r>
          </w:p>
        </w:tc>
      </w:tr>
      <w:tr w:rsidR="002C6574" w14:paraId="75B660D6" w14:textId="77777777">
        <w:trPr>
          <w:trHeight w:val="198"/>
        </w:trPr>
        <w:tc>
          <w:tcPr>
            <w:tcW w:w="6063" w:type="dxa"/>
            <w:tcBorders>
              <w:top w:val="single" w:sz="8" w:space="0" w:color="8EAADB"/>
              <w:bottom w:val="single" w:sz="8" w:space="0" w:color="8EAADB"/>
            </w:tcBorders>
          </w:tcPr>
          <w:p w14:paraId="6DF487DC" w14:textId="77777777" w:rsidR="002C6574" w:rsidRDefault="00000000">
            <w:pPr>
              <w:pStyle w:val="TableParagraph"/>
              <w:spacing w:before="31"/>
              <w:ind w:left="83"/>
              <w:jc w:val="left"/>
              <w:rPr>
                <w:rFonts w:ascii="Arial"/>
                <w:b/>
                <w:sz w:val="12"/>
              </w:rPr>
            </w:pPr>
            <w:r>
              <w:rPr>
                <w:rFonts w:ascii="Arial"/>
                <w:b/>
                <w:color w:val="2D74B5"/>
                <w:sz w:val="12"/>
              </w:rPr>
              <w:t xml:space="preserve">R$ </w:t>
            </w:r>
            <w:r>
              <w:rPr>
                <w:rFonts w:ascii="Arial"/>
                <w:b/>
                <w:color w:val="2D74B5"/>
                <w:spacing w:val="-5"/>
                <w:sz w:val="12"/>
              </w:rPr>
              <w:t>mil</w:t>
            </w:r>
          </w:p>
        </w:tc>
        <w:tc>
          <w:tcPr>
            <w:tcW w:w="870" w:type="dxa"/>
            <w:tcBorders>
              <w:top w:val="single" w:sz="8" w:space="0" w:color="8EAADB"/>
              <w:bottom w:val="single" w:sz="8" w:space="0" w:color="8EAADB"/>
            </w:tcBorders>
          </w:tcPr>
          <w:p w14:paraId="590CFBA1" w14:textId="77777777" w:rsidR="002C6574" w:rsidRDefault="00000000">
            <w:pPr>
              <w:pStyle w:val="TableParagraph"/>
              <w:spacing w:before="31"/>
              <w:ind w:left="44"/>
              <w:jc w:val="left"/>
              <w:rPr>
                <w:rFonts w:ascii="Arial"/>
                <w:b/>
                <w:sz w:val="12"/>
              </w:rPr>
            </w:pPr>
            <w:r>
              <w:rPr>
                <w:rFonts w:ascii="Arial"/>
                <w:b/>
                <w:color w:val="2D74B5"/>
                <w:spacing w:val="-4"/>
                <w:sz w:val="12"/>
              </w:rPr>
              <w:t>2025</w:t>
            </w:r>
          </w:p>
        </w:tc>
        <w:tc>
          <w:tcPr>
            <w:tcW w:w="1260" w:type="dxa"/>
            <w:tcBorders>
              <w:top w:val="single" w:sz="8" w:space="0" w:color="8EAADB"/>
              <w:bottom w:val="single" w:sz="8" w:space="0" w:color="8EAADB"/>
            </w:tcBorders>
          </w:tcPr>
          <w:p w14:paraId="621E414D" w14:textId="77777777" w:rsidR="002C6574" w:rsidRDefault="00000000">
            <w:pPr>
              <w:pStyle w:val="TableParagraph"/>
              <w:spacing w:before="31"/>
              <w:ind w:left="312"/>
              <w:jc w:val="left"/>
              <w:rPr>
                <w:rFonts w:ascii="Arial"/>
                <w:b/>
                <w:sz w:val="12"/>
              </w:rPr>
            </w:pPr>
            <w:r>
              <w:rPr>
                <w:rFonts w:ascii="Arial"/>
                <w:b/>
                <w:color w:val="2D74B5"/>
                <w:spacing w:val="-4"/>
                <w:sz w:val="12"/>
              </w:rPr>
              <w:t>2024</w:t>
            </w:r>
          </w:p>
        </w:tc>
        <w:tc>
          <w:tcPr>
            <w:tcW w:w="895" w:type="dxa"/>
            <w:tcBorders>
              <w:top w:val="single" w:sz="8" w:space="0" w:color="8EAADB"/>
              <w:bottom w:val="single" w:sz="8" w:space="0" w:color="8EAADB"/>
            </w:tcBorders>
          </w:tcPr>
          <w:p w14:paraId="3DBC23CE" w14:textId="77777777" w:rsidR="002C6574" w:rsidRDefault="00000000">
            <w:pPr>
              <w:pStyle w:val="TableParagraph"/>
              <w:spacing w:before="31"/>
              <w:ind w:left="192"/>
              <w:jc w:val="left"/>
              <w:rPr>
                <w:rFonts w:ascii="Arial"/>
                <w:b/>
                <w:sz w:val="12"/>
              </w:rPr>
            </w:pPr>
            <w:r>
              <w:rPr>
                <w:rFonts w:ascii="Arial"/>
                <w:b/>
                <w:color w:val="2D74B5"/>
                <w:spacing w:val="-4"/>
                <w:sz w:val="12"/>
              </w:rPr>
              <w:t>2023</w:t>
            </w:r>
          </w:p>
        </w:tc>
      </w:tr>
      <w:tr w:rsidR="002C6574" w14:paraId="15090E95" w14:textId="77777777">
        <w:trPr>
          <w:trHeight w:val="198"/>
        </w:trPr>
        <w:tc>
          <w:tcPr>
            <w:tcW w:w="6063" w:type="dxa"/>
            <w:tcBorders>
              <w:top w:val="single" w:sz="8" w:space="0" w:color="8EAADB"/>
              <w:bottom w:val="single" w:sz="8" w:space="0" w:color="8EAADB"/>
            </w:tcBorders>
          </w:tcPr>
          <w:p w14:paraId="70ADEB20" w14:textId="77777777" w:rsidR="002C6574" w:rsidRDefault="00000000">
            <w:pPr>
              <w:pStyle w:val="TableParagraph"/>
              <w:spacing w:before="31"/>
              <w:ind w:left="83"/>
              <w:jc w:val="left"/>
              <w:rPr>
                <w:rFonts w:ascii="Arial"/>
                <w:b/>
                <w:sz w:val="12"/>
              </w:rPr>
            </w:pPr>
            <w:r>
              <w:rPr>
                <w:rFonts w:ascii="Arial"/>
                <w:b/>
                <w:sz w:val="12"/>
              </w:rPr>
              <w:t>RECEITA</w:t>
            </w:r>
            <w:r>
              <w:rPr>
                <w:rFonts w:ascii="Arial"/>
                <w:b/>
                <w:spacing w:val="-2"/>
                <w:sz w:val="12"/>
              </w:rPr>
              <w:t xml:space="preserve"> </w:t>
            </w:r>
            <w:r>
              <w:rPr>
                <w:rFonts w:ascii="Arial"/>
                <w:b/>
                <w:sz w:val="12"/>
              </w:rPr>
              <w:t>OPERACIONAL</w:t>
            </w:r>
            <w:r>
              <w:rPr>
                <w:rFonts w:ascii="Arial"/>
                <w:b/>
                <w:spacing w:val="-2"/>
                <w:sz w:val="12"/>
              </w:rPr>
              <w:t xml:space="preserve"> </w:t>
            </w:r>
            <w:r>
              <w:rPr>
                <w:rFonts w:ascii="Arial"/>
                <w:b/>
                <w:spacing w:val="-4"/>
                <w:sz w:val="12"/>
              </w:rPr>
              <w:t>BRUTA</w:t>
            </w:r>
          </w:p>
        </w:tc>
        <w:tc>
          <w:tcPr>
            <w:tcW w:w="870" w:type="dxa"/>
            <w:tcBorders>
              <w:top w:val="single" w:sz="8" w:space="0" w:color="8EAADB"/>
              <w:bottom w:val="single" w:sz="8" w:space="0" w:color="8EAADB"/>
            </w:tcBorders>
          </w:tcPr>
          <w:p w14:paraId="5B220E5A" w14:textId="77777777" w:rsidR="002C6574" w:rsidRDefault="00000000">
            <w:pPr>
              <w:pStyle w:val="TableParagraph"/>
              <w:spacing w:before="31"/>
              <w:ind w:left="243"/>
              <w:jc w:val="left"/>
              <w:rPr>
                <w:rFonts w:ascii="Arial"/>
                <w:b/>
                <w:sz w:val="12"/>
              </w:rPr>
            </w:pPr>
            <w:r>
              <w:rPr>
                <w:rFonts w:ascii="Arial"/>
                <w:b/>
                <w:spacing w:val="-2"/>
                <w:sz w:val="12"/>
              </w:rPr>
              <w:t>540.908</w:t>
            </w:r>
          </w:p>
        </w:tc>
        <w:tc>
          <w:tcPr>
            <w:tcW w:w="1260" w:type="dxa"/>
            <w:tcBorders>
              <w:top w:val="single" w:sz="8" w:space="0" w:color="8EAADB"/>
              <w:bottom w:val="single" w:sz="8" w:space="0" w:color="8EAADB"/>
            </w:tcBorders>
          </w:tcPr>
          <w:p w14:paraId="448D89E8" w14:textId="77777777" w:rsidR="002C6574" w:rsidRDefault="00000000">
            <w:pPr>
              <w:pStyle w:val="TableParagraph"/>
              <w:spacing w:before="31"/>
              <w:ind w:left="512"/>
              <w:jc w:val="left"/>
              <w:rPr>
                <w:rFonts w:ascii="Arial"/>
                <w:b/>
                <w:sz w:val="12"/>
              </w:rPr>
            </w:pPr>
            <w:r>
              <w:rPr>
                <w:rFonts w:ascii="Arial"/>
                <w:b/>
                <w:spacing w:val="-2"/>
                <w:sz w:val="12"/>
              </w:rPr>
              <w:t>462.391</w:t>
            </w:r>
          </w:p>
        </w:tc>
        <w:tc>
          <w:tcPr>
            <w:tcW w:w="895" w:type="dxa"/>
            <w:tcBorders>
              <w:top w:val="single" w:sz="8" w:space="0" w:color="8EAADB"/>
              <w:bottom w:val="single" w:sz="8" w:space="0" w:color="8EAADB"/>
            </w:tcBorders>
          </w:tcPr>
          <w:p w14:paraId="04F062C0" w14:textId="77777777" w:rsidR="002C6574" w:rsidRDefault="00000000">
            <w:pPr>
              <w:pStyle w:val="TableParagraph"/>
              <w:spacing w:before="31"/>
              <w:ind w:right="69"/>
              <w:rPr>
                <w:rFonts w:ascii="Arial"/>
                <w:b/>
                <w:sz w:val="12"/>
              </w:rPr>
            </w:pPr>
            <w:r>
              <w:rPr>
                <w:rFonts w:ascii="Arial"/>
                <w:b/>
                <w:spacing w:val="-2"/>
                <w:sz w:val="12"/>
              </w:rPr>
              <w:t>470.052</w:t>
            </w:r>
          </w:p>
        </w:tc>
      </w:tr>
      <w:tr w:rsidR="002C6574" w14:paraId="43892580" w14:textId="77777777">
        <w:trPr>
          <w:trHeight w:val="198"/>
        </w:trPr>
        <w:tc>
          <w:tcPr>
            <w:tcW w:w="6063" w:type="dxa"/>
            <w:tcBorders>
              <w:top w:val="single" w:sz="8" w:space="0" w:color="8EAADB"/>
              <w:bottom w:val="single" w:sz="8" w:space="0" w:color="8EAADB"/>
            </w:tcBorders>
          </w:tcPr>
          <w:p w14:paraId="178131C3" w14:textId="77777777" w:rsidR="002C6574" w:rsidRDefault="00000000">
            <w:pPr>
              <w:pStyle w:val="TableParagraph"/>
              <w:spacing w:before="31"/>
              <w:ind w:left="150"/>
              <w:jc w:val="left"/>
              <w:rPr>
                <w:rFonts w:ascii="Arial MT" w:hAnsi="Arial MT"/>
                <w:sz w:val="12"/>
              </w:rPr>
            </w:pPr>
            <w:r>
              <w:rPr>
                <w:rFonts w:ascii="Arial MT" w:hAnsi="Arial MT"/>
                <w:sz w:val="12"/>
              </w:rPr>
              <w:t>Serviços</w:t>
            </w:r>
            <w:r>
              <w:rPr>
                <w:rFonts w:ascii="Arial MT" w:hAnsi="Arial MT"/>
                <w:spacing w:val="-1"/>
                <w:sz w:val="12"/>
              </w:rPr>
              <w:t xml:space="preserve"> </w:t>
            </w:r>
            <w:r>
              <w:rPr>
                <w:rFonts w:ascii="Arial MT" w:hAnsi="Arial MT"/>
                <w:sz w:val="12"/>
              </w:rPr>
              <w:t>de</w:t>
            </w:r>
            <w:r>
              <w:rPr>
                <w:rFonts w:ascii="Arial MT" w:hAnsi="Arial MT"/>
                <w:spacing w:val="1"/>
                <w:sz w:val="12"/>
              </w:rPr>
              <w:t xml:space="preserve"> </w:t>
            </w:r>
            <w:r>
              <w:rPr>
                <w:rFonts w:ascii="Arial MT" w:hAnsi="Arial MT"/>
                <w:sz w:val="12"/>
              </w:rPr>
              <w:t>Comunicação</w:t>
            </w:r>
            <w:r>
              <w:rPr>
                <w:rFonts w:ascii="Arial MT" w:hAnsi="Arial MT"/>
                <w:spacing w:val="-1"/>
                <w:sz w:val="12"/>
              </w:rPr>
              <w:t xml:space="preserve"> </w:t>
            </w:r>
            <w:r>
              <w:rPr>
                <w:rFonts w:ascii="Arial MT" w:hAnsi="Arial MT"/>
                <w:spacing w:val="-2"/>
                <w:sz w:val="12"/>
              </w:rPr>
              <w:t>Multimídia</w:t>
            </w:r>
          </w:p>
        </w:tc>
        <w:tc>
          <w:tcPr>
            <w:tcW w:w="870" w:type="dxa"/>
            <w:tcBorders>
              <w:top w:val="single" w:sz="8" w:space="0" w:color="8EAADB"/>
              <w:bottom w:val="single" w:sz="8" w:space="0" w:color="8EAADB"/>
            </w:tcBorders>
          </w:tcPr>
          <w:p w14:paraId="525ED231" w14:textId="77777777" w:rsidR="002C6574" w:rsidRDefault="00000000">
            <w:pPr>
              <w:pStyle w:val="TableParagraph"/>
              <w:spacing w:before="31"/>
              <w:ind w:left="244"/>
              <w:jc w:val="left"/>
              <w:rPr>
                <w:rFonts w:ascii="Arial MT"/>
                <w:sz w:val="12"/>
              </w:rPr>
            </w:pPr>
            <w:r>
              <w:rPr>
                <w:rFonts w:ascii="Arial MT"/>
                <w:spacing w:val="-2"/>
                <w:sz w:val="12"/>
              </w:rPr>
              <w:t>432.484</w:t>
            </w:r>
          </w:p>
        </w:tc>
        <w:tc>
          <w:tcPr>
            <w:tcW w:w="1260" w:type="dxa"/>
            <w:tcBorders>
              <w:top w:val="single" w:sz="8" w:space="0" w:color="8EAADB"/>
              <w:bottom w:val="single" w:sz="8" w:space="0" w:color="8EAADB"/>
            </w:tcBorders>
          </w:tcPr>
          <w:p w14:paraId="1AB27F2A" w14:textId="77777777" w:rsidR="002C6574" w:rsidRDefault="00000000">
            <w:pPr>
              <w:pStyle w:val="TableParagraph"/>
              <w:spacing w:before="31"/>
              <w:ind w:left="512"/>
              <w:jc w:val="left"/>
              <w:rPr>
                <w:rFonts w:ascii="Arial MT"/>
                <w:sz w:val="12"/>
              </w:rPr>
            </w:pPr>
            <w:r>
              <w:rPr>
                <w:rFonts w:ascii="Arial MT"/>
                <w:spacing w:val="-2"/>
                <w:sz w:val="12"/>
              </w:rPr>
              <w:t>355.951</w:t>
            </w:r>
          </w:p>
        </w:tc>
        <w:tc>
          <w:tcPr>
            <w:tcW w:w="895" w:type="dxa"/>
            <w:tcBorders>
              <w:top w:val="single" w:sz="8" w:space="0" w:color="8EAADB"/>
              <w:bottom w:val="single" w:sz="8" w:space="0" w:color="8EAADB"/>
            </w:tcBorders>
          </w:tcPr>
          <w:p w14:paraId="4CC52E2C" w14:textId="77777777" w:rsidR="002C6574" w:rsidRDefault="00000000">
            <w:pPr>
              <w:pStyle w:val="TableParagraph"/>
              <w:spacing w:before="31"/>
              <w:ind w:right="69"/>
              <w:rPr>
                <w:rFonts w:ascii="Arial MT"/>
                <w:sz w:val="12"/>
              </w:rPr>
            </w:pPr>
            <w:r>
              <w:rPr>
                <w:rFonts w:ascii="Arial MT"/>
                <w:spacing w:val="-2"/>
                <w:sz w:val="12"/>
              </w:rPr>
              <w:t>356.511</w:t>
            </w:r>
          </w:p>
        </w:tc>
      </w:tr>
      <w:tr w:rsidR="002C6574" w14:paraId="59298106" w14:textId="77777777">
        <w:trPr>
          <w:trHeight w:val="195"/>
        </w:trPr>
        <w:tc>
          <w:tcPr>
            <w:tcW w:w="6063" w:type="dxa"/>
            <w:tcBorders>
              <w:top w:val="single" w:sz="8" w:space="0" w:color="8EAADB"/>
              <w:bottom w:val="single" w:sz="8" w:space="0" w:color="8EAADB"/>
            </w:tcBorders>
          </w:tcPr>
          <w:p w14:paraId="7F707F54" w14:textId="77777777" w:rsidR="002C6574" w:rsidRDefault="00000000">
            <w:pPr>
              <w:pStyle w:val="TableParagraph"/>
              <w:spacing w:before="28"/>
              <w:ind w:left="150"/>
              <w:jc w:val="left"/>
              <w:rPr>
                <w:rFonts w:ascii="Arial MT" w:hAnsi="Arial MT"/>
                <w:sz w:val="12"/>
              </w:rPr>
            </w:pPr>
            <w:r>
              <w:rPr>
                <w:rFonts w:ascii="Arial MT" w:hAnsi="Arial MT"/>
                <w:sz w:val="12"/>
              </w:rPr>
              <w:t>Locação de</w:t>
            </w:r>
            <w:r>
              <w:rPr>
                <w:rFonts w:ascii="Arial MT" w:hAnsi="Arial MT"/>
                <w:spacing w:val="-1"/>
                <w:sz w:val="12"/>
              </w:rPr>
              <w:t xml:space="preserve"> </w:t>
            </w:r>
            <w:r>
              <w:rPr>
                <w:rFonts w:ascii="Arial MT" w:hAnsi="Arial MT"/>
                <w:sz w:val="12"/>
              </w:rPr>
              <w:t>Capacidade</w:t>
            </w:r>
            <w:r>
              <w:rPr>
                <w:rFonts w:ascii="Arial MT" w:hAnsi="Arial MT"/>
                <w:spacing w:val="1"/>
                <w:sz w:val="12"/>
              </w:rPr>
              <w:t xml:space="preserve"> </w:t>
            </w:r>
            <w:r>
              <w:rPr>
                <w:rFonts w:ascii="Arial MT" w:hAnsi="Arial MT"/>
                <w:spacing w:val="-2"/>
                <w:sz w:val="12"/>
              </w:rPr>
              <w:t>Satelital</w:t>
            </w:r>
          </w:p>
        </w:tc>
        <w:tc>
          <w:tcPr>
            <w:tcW w:w="870" w:type="dxa"/>
            <w:tcBorders>
              <w:top w:val="single" w:sz="8" w:space="0" w:color="8EAADB"/>
              <w:bottom w:val="single" w:sz="8" w:space="0" w:color="8EAADB"/>
            </w:tcBorders>
          </w:tcPr>
          <w:p w14:paraId="19D1C5EF" w14:textId="77777777" w:rsidR="002C6574" w:rsidRDefault="00000000">
            <w:pPr>
              <w:pStyle w:val="TableParagraph"/>
              <w:spacing w:before="28"/>
              <w:ind w:left="311"/>
              <w:jc w:val="left"/>
              <w:rPr>
                <w:rFonts w:ascii="Arial MT"/>
                <w:sz w:val="12"/>
              </w:rPr>
            </w:pPr>
            <w:r>
              <w:rPr>
                <w:rFonts w:ascii="Arial MT"/>
                <w:spacing w:val="-2"/>
                <w:sz w:val="12"/>
              </w:rPr>
              <w:t>36.480</w:t>
            </w:r>
          </w:p>
        </w:tc>
        <w:tc>
          <w:tcPr>
            <w:tcW w:w="1260" w:type="dxa"/>
            <w:tcBorders>
              <w:top w:val="single" w:sz="8" w:space="0" w:color="8EAADB"/>
              <w:bottom w:val="single" w:sz="8" w:space="0" w:color="8EAADB"/>
            </w:tcBorders>
          </w:tcPr>
          <w:p w14:paraId="1FA32496" w14:textId="77777777" w:rsidR="002C6574" w:rsidRDefault="00000000">
            <w:pPr>
              <w:pStyle w:val="TableParagraph"/>
              <w:spacing w:before="28"/>
              <w:ind w:left="578"/>
              <w:jc w:val="left"/>
              <w:rPr>
                <w:rFonts w:ascii="Arial MT"/>
                <w:sz w:val="12"/>
              </w:rPr>
            </w:pPr>
            <w:r>
              <w:rPr>
                <w:rFonts w:ascii="Arial MT"/>
                <w:spacing w:val="-2"/>
                <w:sz w:val="12"/>
              </w:rPr>
              <w:t>36.481</w:t>
            </w:r>
          </w:p>
        </w:tc>
        <w:tc>
          <w:tcPr>
            <w:tcW w:w="895" w:type="dxa"/>
            <w:tcBorders>
              <w:top w:val="single" w:sz="8" w:space="0" w:color="8EAADB"/>
              <w:bottom w:val="single" w:sz="8" w:space="0" w:color="8EAADB"/>
            </w:tcBorders>
          </w:tcPr>
          <w:p w14:paraId="50BF6243" w14:textId="77777777" w:rsidR="002C6574" w:rsidRDefault="00000000">
            <w:pPr>
              <w:pStyle w:val="TableParagraph"/>
              <w:spacing w:before="28"/>
              <w:ind w:right="69"/>
              <w:rPr>
                <w:rFonts w:ascii="Arial MT"/>
                <w:sz w:val="12"/>
              </w:rPr>
            </w:pPr>
            <w:r>
              <w:rPr>
                <w:rFonts w:ascii="Arial MT"/>
                <w:spacing w:val="-2"/>
                <w:sz w:val="12"/>
              </w:rPr>
              <w:t>36.481</w:t>
            </w:r>
          </w:p>
        </w:tc>
      </w:tr>
      <w:tr w:rsidR="002C6574" w14:paraId="11E17C0A" w14:textId="77777777">
        <w:trPr>
          <w:trHeight w:val="198"/>
        </w:trPr>
        <w:tc>
          <w:tcPr>
            <w:tcW w:w="6063" w:type="dxa"/>
            <w:tcBorders>
              <w:top w:val="single" w:sz="8" w:space="0" w:color="8EAADB"/>
              <w:bottom w:val="single" w:sz="8" w:space="0" w:color="8EAADB"/>
            </w:tcBorders>
          </w:tcPr>
          <w:p w14:paraId="2847B778" w14:textId="77777777" w:rsidR="002C6574" w:rsidRDefault="00000000">
            <w:pPr>
              <w:pStyle w:val="TableParagraph"/>
              <w:spacing w:before="31"/>
              <w:ind w:left="150"/>
              <w:jc w:val="left"/>
              <w:rPr>
                <w:rFonts w:ascii="Arial MT" w:hAnsi="Arial MT"/>
                <w:sz w:val="12"/>
              </w:rPr>
            </w:pPr>
            <w:r>
              <w:rPr>
                <w:rFonts w:ascii="Arial MT" w:hAnsi="Arial MT"/>
                <w:sz w:val="12"/>
              </w:rPr>
              <w:t>Aluguéis</w:t>
            </w:r>
            <w:r>
              <w:rPr>
                <w:rFonts w:ascii="Arial MT" w:hAnsi="Arial MT"/>
                <w:spacing w:val="-2"/>
                <w:sz w:val="12"/>
              </w:rPr>
              <w:t xml:space="preserve"> </w:t>
            </w:r>
            <w:r>
              <w:rPr>
                <w:rFonts w:ascii="Arial MT" w:hAnsi="Arial MT"/>
                <w:sz w:val="12"/>
              </w:rPr>
              <w:t>e</w:t>
            </w:r>
            <w:r>
              <w:rPr>
                <w:rFonts w:ascii="Arial MT" w:hAnsi="Arial MT"/>
                <w:spacing w:val="1"/>
                <w:sz w:val="12"/>
              </w:rPr>
              <w:t xml:space="preserve"> </w:t>
            </w:r>
            <w:r>
              <w:rPr>
                <w:rFonts w:ascii="Arial MT" w:hAnsi="Arial MT"/>
                <w:spacing w:val="-2"/>
                <w:sz w:val="12"/>
              </w:rPr>
              <w:t>Locações</w:t>
            </w:r>
          </w:p>
        </w:tc>
        <w:tc>
          <w:tcPr>
            <w:tcW w:w="870" w:type="dxa"/>
            <w:tcBorders>
              <w:top w:val="single" w:sz="8" w:space="0" w:color="8EAADB"/>
              <w:bottom w:val="single" w:sz="8" w:space="0" w:color="8EAADB"/>
            </w:tcBorders>
          </w:tcPr>
          <w:p w14:paraId="62564CD6" w14:textId="77777777" w:rsidR="002C6574" w:rsidRDefault="00000000">
            <w:pPr>
              <w:pStyle w:val="TableParagraph"/>
              <w:spacing w:before="31"/>
              <w:ind w:left="311"/>
              <w:jc w:val="left"/>
              <w:rPr>
                <w:rFonts w:ascii="Arial MT"/>
                <w:sz w:val="12"/>
              </w:rPr>
            </w:pPr>
            <w:r>
              <w:rPr>
                <w:rFonts w:ascii="Arial MT"/>
                <w:spacing w:val="-2"/>
                <w:sz w:val="12"/>
              </w:rPr>
              <w:t>28.382</w:t>
            </w:r>
          </w:p>
        </w:tc>
        <w:tc>
          <w:tcPr>
            <w:tcW w:w="1260" w:type="dxa"/>
            <w:tcBorders>
              <w:top w:val="single" w:sz="8" w:space="0" w:color="8EAADB"/>
              <w:bottom w:val="single" w:sz="8" w:space="0" w:color="8EAADB"/>
            </w:tcBorders>
          </w:tcPr>
          <w:p w14:paraId="23CE8A35" w14:textId="77777777" w:rsidR="002C6574" w:rsidRDefault="00000000">
            <w:pPr>
              <w:pStyle w:val="TableParagraph"/>
              <w:spacing w:before="31"/>
              <w:ind w:left="578"/>
              <w:jc w:val="left"/>
              <w:rPr>
                <w:rFonts w:ascii="Arial MT"/>
                <w:sz w:val="12"/>
              </w:rPr>
            </w:pPr>
            <w:r>
              <w:rPr>
                <w:rFonts w:ascii="Arial MT"/>
                <w:spacing w:val="-2"/>
                <w:sz w:val="12"/>
              </w:rPr>
              <w:t>26.918</w:t>
            </w:r>
          </w:p>
        </w:tc>
        <w:tc>
          <w:tcPr>
            <w:tcW w:w="895" w:type="dxa"/>
            <w:tcBorders>
              <w:top w:val="single" w:sz="8" w:space="0" w:color="8EAADB"/>
              <w:bottom w:val="single" w:sz="8" w:space="0" w:color="8EAADB"/>
            </w:tcBorders>
          </w:tcPr>
          <w:p w14:paraId="4598CC46" w14:textId="77777777" w:rsidR="002C6574" w:rsidRDefault="00000000">
            <w:pPr>
              <w:pStyle w:val="TableParagraph"/>
              <w:spacing w:before="31"/>
              <w:ind w:right="69"/>
              <w:rPr>
                <w:rFonts w:ascii="Arial MT"/>
                <w:sz w:val="12"/>
              </w:rPr>
            </w:pPr>
            <w:r>
              <w:rPr>
                <w:rFonts w:ascii="Arial MT"/>
                <w:spacing w:val="-2"/>
                <w:sz w:val="12"/>
              </w:rPr>
              <w:t>24.851</w:t>
            </w:r>
          </w:p>
        </w:tc>
      </w:tr>
      <w:tr w:rsidR="002C6574" w14:paraId="705CEBEF" w14:textId="77777777">
        <w:trPr>
          <w:trHeight w:val="198"/>
        </w:trPr>
        <w:tc>
          <w:tcPr>
            <w:tcW w:w="6063" w:type="dxa"/>
            <w:tcBorders>
              <w:top w:val="single" w:sz="8" w:space="0" w:color="8EAADB"/>
              <w:bottom w:val="single" w:sz="8" w:space="0" w:color="8EAADB"/>
            </w:tcBorders>
          </w:tcPr>
          <w:p w14:paraId="1260409C" w14:textId="77777777" w:rsidR="002C6574" w:rsidRDefault="00000000">
            <w:pPr>
              <w:pStyle w:val="TableParagraph"/>
              <w:spacing w:before="31"/>
              <w:ind w:left="150"/>
              <w:jc w:val="left"/>
              <w:rPr>
                <w:rFonts w:ascii="Arial MT"/>
                <w:sz w:val="12"/>
              </w:rPr>
            </w:pPr>
            <w:r>
              <w:rPr>
                <w:rFonts w:ascii="Arial MT"/>
                <w:sz w:val="12"/>
              </w:rPr>
              <w:t>Receita</w:t>
            </w:r>
            <w:r>
              <w:rPr>
                <w:rFonts w:ascii="Arial MT"/>
                <w:spacing w:val="-1"/>
                <w:sz w:val="12"/>
              </w:rPr>
              <w:t xml:space="preserve"> </w:t>
            </w:r>
            <w:r>
              <w:rPr>
                <w:rFonts w:ascii="Arial MT"/>
                <w:sz w:val="12"/>
              </w:rPr>
              <w:t xml:space="preserve">de Valor </w:t>
            </w:r>
            <w:r>
              <w:rPr>
                <w:rFonts w:ascii="Arial MT"/>
                <w:spacing w:val="-2"/>
                <w:sz w:val="12"/>
              </w:rPr>
              <w:t>Adicionado</w:t>
            </w:r>
          </w:p>
        </w:tc>
        <w:tc>
          <w:tcPr>
            <w:tcW w:w="870" w:type="dxa"/>
            <w:tcBorders>
              <w:top w:val="single" w:sz="8" w:space="0" w:color="8EAADB"/>
              <w:bottom w:val="single" w:sz="8" w:space="0" w:color="8EAADB"/>
            </w:tcBorders>
          </w:tcPr>
          <w:p w14:paraId="119B6443" w14:textId="77777777" w:rsidR="002C6574" w:rsidRDefault="00000000">
            <w:pPr>
              <w:pStyle w:val="TableParagraph"/>
              <w:spacing w:before="31"/>
              <w:ind w:left="311"/>
              <w:jc w:val="left"/>
              <w:rPr>
                <w:rFonts w:ascii="Arial MT"/>
                <w:sz w:val="12"/>
              </w:rPr>
            </w:pPr>
            <w:r>
              <w:rPr>
                <w:rFonts w:ascii="Arial MT"/>
                <w:spacing w:val="-2"/>
                <w:sz w:val="12"/>
              </w:rPr>
              <w:t>26.411</w:t>
            </w:r>
          </w:p>
        </w:tc>
        <w:tc>
          <w:tcPr>
            <w:tcW w:w="1260" w:type="dxa"/>
            <w:tcBorders>
              <w:top w:val="single" w:sz="8" w:space="0" w:color="8EAADB"/>
              <w:bottom w:val="single" w:sz="8" w:space="0" w:color="8EAADB"/>
            </w:tcBorders>
          </w:tcPr>
          <w:p w14:paraId="11620BAD" w14:textId="77777777" w:rsidR="002C6574" w:rsidRDefault="00000000">
            <w:pPr>
              <w:pStyle w:val="TableParagraph"/>
              <w:spacing w:before="31"/>
              <w:ind w:left="578"/>
              <w:jc w:val="left"/>
              <w:rPr>
                <w:rFonts w:ascii="Arial MT"/>
                <w:sz w:val="12"/>
              </w:rPr>
            </w:pPr>
            <w:r>
              <w:rPr>
                <w:rFonts w:ascii="Arial MT"/>
                <w:spacing w:val="-2"/>
                <w:sz w:val="12"/>
              </w:rPr>
              <w:t>20.029</w:t>
            </w:r>
          </w:p>
        </w:tc>
        <w:tc>
          <w:tcPr>
            <w:tcW w:w="895" w:type="dxa"/>
            <w:tcBorders>
              <w:top w:val="single" w:sz="8" w:space="0" w:color="8EAADB"/>
              <w:bottom w:val="single" w:sz="8" w:space="0" w:color="8EAADB"/>
            </w:tcBorders>
          </w:tcPr>
          <w:p w14:paraId="79669B33" w14:textId="77777777" w:rsidR="002C6574" w:rsidRDefault="00000000">
            <w:pPr>
              <w:pStyle w:val="TableParagraph"/>
              <w:spacing w:before="31"/>
              <w:ind w:right="69"/>
              <w:rPr>
                <w:rFonts w:ascii="Arial MT"/>
                <w:sz w:val="12"/>
              </w:rPr>
            </w:pPr>
            <w:r>
              <w:rPr>
                <w:rFonts w:ascii="Arial MT"/>
                <w:spacing w:val="-2"/>
                <w:sz w:val="12"/>
              </w:rPr>
              <w:t>18.073</w:t>
            </w:r>
          </w:p>
        </w:tc>
      </w:tr>
      <w:tr w:rsidR="002C6574" w14:paraId="6AE2E66D" w14:textId="77777777">
        <w:trPr>
          <w:trHeight w:val="198"/>
        </w:trPr>
        <w:tc>
          <w:tcPr>
            <w:tcW w:w="6063" w:type="dxa"/>
            <w:tcBorders>
              <w:top w:val="single" w:sz="8" w:space="0" w:color="8EAADB"/>
              <w:bottom w:val="single" w:sz="8" w:space="0" w:color="8EAADB"/>
            </w:tcBorders>
          </w:tcPr>
          <w:p w14:paraId="37D42C22" w14:textId="77777777" w:rsidR="002C6574" w:rsidRDefault="00000000">
            <w:pPr>
              <w:pStyle w:val="TableParagraph"/>
              <w:spacing w:before="31"/>
              <w:ind w:left="150"/>
              <w:jc w:val="left"/>
              <w:rPr>
                <w:rFonts w:ascii="Arial MT"/>
                <w:sz w:val="12"/>
              </w:rPr>
            </w:pPr>
            <w:r>
              <w:rPr>
                <w:rFonts w:ascii="Arial MT"/>
                <w:sz w:val="12"/>
              </w:rPr>
              <w:t>Compartilhamento</w:t>
            </w:r>
            <w:r>
              <w:rPr>
                <w:rFonts w:ascii="Arial MT"/>
                <w:spacing w:val="-1"/>
                <w:sz w:val="12"/>
              </w:rPr>
              <w:t xml:space="preserve"> </w:t>
            </w:r>
            <w:r>
              <w:rPr>
                <w:rFonts w:ascii="Arial MT"/>
                <w:sz w:val="12"/>
              </w:rPr>
              <w:t>de</w:t>
            </w:r>
            <w:r>
              <w:rPr>
                <w:rFonts w:ascii="Arial MT"/>
                <w:spacing w:val="1"/>
                <w:sz w:val="12"/>
              </w:rPr>
              <w:t xml:space="preserve"> </w:t>
            </w:r>
            <w:r>
              <w:rPr>
                <w:rFonts w:ascii="Arial MT"/>
                <w:spacing w:val="-2"/>
                <w:sz w:val="12"/>
              </w:rPr>
              <w:t>Receita</w:t>
            </w:r>
          </w:p>
        </w:tc>
        <w:tc>
          <w:tcPr>
            <w:tcW w:w="870" w:type="dxa"/>
            <w:tcBorders>
              <w:top w:val="single" w:sz="8" w:space="0" w:color="8EAADB"/>
              <w:bottom w:val="single" w:sz="8" w:space="0" w:color="8EAADB"/>
            </w:tcBorders>
          </w:tcPr>
          <w:p w14:paraId="61ADD503" w14:textId="77777777" w:rsidR="002C6574" w:rsidRDefault="00000000">
            <w:pPr>
              <w:pStyle w:val="TableParagraph"/>
              <w:spacing w:before="31"/>
              <w:ind w:left="311"/>
              <w:jc w:val="left"/>
              <w:rPr>
                <w:rFonts w:ascii="Arial MT"/>
                <w:sz w:val="12"/>
              </w:rPr>
            </w:pPr>
            <w:r>
              <w:rPr>
                <w:rFonts w:ascii="Arial MT"/>
                <w:spacing w:val="-2"/>
                <w:sz w:val="12"/>
              </w:rPr>
              <w:t>10.421</w:t>
            </w:r>
          </w:p>
        </w:tc>
        <w:tc>
          <w:tcPr>
            <w:tcW w:w="1260" w:type="dxa"/>
            <w:tcBorders>
              <w:top w:val="single" w:sz="8" w:space="0" w:color="8EAADB"/>
              <w:bottom w:val="single" w:sz="8" w:space="0" w:color="8EAADB"/>
            </w:tcBorders>
          </w:tcPr>
          <w:p w14:paraId="64D1CAED" w14:textId="77777777" w:rsidR="002C6574" w:rsidRDefault="00000000">
            <w:pPr>
              <w:pStyle w:val="TableParagraph"/>
              <w:spacing w:before="31"/>
              <w:ind w:left="578"/>
              <w:jc w:val="left"/>
              <w:rPr>
                <w:rFonts w:ascii="Arial MT"/>
                <w:sz w:val="12"/>
              </w:rPr>
            </w:pPr>
            <w:r>
              <w:rPr>
                <w:rFonts w:ascii="Arial MT"/>
                <w:spacing w:val="-2"/>
                <w:sz w:val="12"/>
              </w:rPr>
              <w:t>13.633</w:t>
            </w:r>
          </w:p>
        </w:tc>
        <w:tc>
          <w:tcPr>
            <w:tcW w:w="895" w:type="dxa"/>
            <w:tcBorders>
              <w:top w:val="single" w:sz="8" w:space="0" w:color="8EAADB"/>
              <w:bottom w:val="single" w:sz="8" w:space="0" w:color="8EAADB"/>
            </w:tcBorders>
          </w:tcPr>
          <w:p w14:paraId="5F62C315" w14:textId="77777777" w:rsidR="002C6574" w:rsidRDefault="00000000">
            <w:pPr>
              <w:pStyle w:val="TableParagraph"/>
              <w:spacing w:before="31"/>
              <w:ind w:right="69"/>
              <w:rPr>
                <w:rFonts w:ascii="Arial MT"/>
                <w:sz w:val="12"/>
              </w:rPr>
            </w:pPr>
            <w:r>
              <w:rPr>
                <w:rFonts w:ascii="Arial MT"/>
                <w:spacing w:val="-2"/>
                <w:sz w:val="12"/>
              </w:rPr>
              <w:t>19.640</w:t>
            </w:r>
          </w:p>
        </w:tc>
      </w:tr>
      <w:tr w:rsidR="002C6574" w14:paraId="64CE9D5F" w14:textId="77777777">
        <w:trPr>
          <w:trHeight w:val="198"/>
        </w:trPr>
        <w:tc>
          <w:tcPr>
            <w:tcW w:w="6063" w:type="dxa"/>
            <w:tcBorders>
              <w:top w:val="single" w:sz="8" w:space="0" w:color="8EAADB"/>
              <w:bottom w:val="single" w:sz="8" w:space="0" w:color="8EAADB"/>
            </w:tcBorders>
          </w:tcPr>
          <w:p w14:paraId="1DAECFB9" w14:textId="77777777" w:rsidR="002C6574" w:rsidRDefault="00000000">
            <w:pPr>
              <w:pStyle w:val="TableParagraph"/>
              <w:spacing w:before="31"/>
              <w:ind w:left="150"/>
              <w:jc w:val="left"/>
              <w:rPr>
                <w:rFonts w:ascii="Arial MT"/>
                <w:sz w:val="12"/>
              </w:rPr>
            </w:pPr>
            <w:r>
              <w:rPr>
                <w:rFonts w:ascii="Arial MT"/>
                <w:sz w:val="12"/>
              </w:rPr>
              <w:t>Outras</w:t>
            </w:r>
            <w:r>
              <w:rPr>
                <w:rFonts w:ascii="Arial MT"/>
                <w:spacing w:val="1"/>
                <w:sz w:val="12"/>
              </w:rPr>
              <w:t xml:space="preserve"> </w:t>
            </w:r>
            <w:r>
              <w:rPr>
                <w:rFonts w:ascii="Arial MT"/>
                <w:spacing w:val="-2"/>
                <w:sz w:val="12"/>
              </w:rPr>
              <w:t>Receitas</w:t>
            </w:r>
          </w:p>
        </w:tc>
        <w:tc>
          <w:tcPr>
            <w:tcW w:w="870" w:type="dxa"/>
            <w:tcBorders>
              <w:top w:val="single" w:sz="8" w:space="0" w:color="8EAADB"/>
              <w:bottom w:val="single" w:sz="8" w:space="0" w:color="8EAADB"/>
            </w:tcBorders>
          </w:tcPr>
          <w:p w14:paraId="5663A3E1" w14:textId="77777777" w:rsidR="002C6574" w:rsidRDefault="00000000">
            <w:pPr>
              <w:pStyle w:val="TableParagraph"/>
              <w:spacing w:before="31"/>
              <w:ind w:left="379"/>
              <w:jc w:val="left"/>
              <w:rPr>
                <w:rFonts w:ascii="Arial MT"/>
                <w:sz w:val="12"/>
              </w:rPr>
            </w:pPr>
            <w:r>
              <w:rPr>
                <w:rFonts w:ascii="Arial MT"/>
                <w:spacing w:val="-2"/>
                <w:sz w:val="12"/>
              </w:rPr>
              <w:t>6.730</w:t>
            </w:r>
          </w:p>
        </w:tc>
        <w:tc>
          <w:tcPr>
            <w:tcW w:w="1260" w:type="dxa"/>
            <w:tcBorders>
              <w:top w:val="single" w:sz="8" w:space="0" w:color="8EAADB"/>
              <w:bottom w:val="single" w:sz="8" w:space="0" w:color="8EAADB"/>
            </w:tcBorders>
          </w:tcPr>
          <w:p w14:paraId="4792C701" w14:textId="77777777" w:rsidR="002C6574" w:rsidRDefault="00000000">
            <w:pPr>
              <w:pStyle w:val="TableParagraph"/>
              <w:spacing w:before="31"/>
              <w:ind w:left="645"/>
              <w:jc w:val="left"/>
              <w:rPr>
                <w:rFonts w:ascii="Arial MT"/>
                <w:sz w:val="12"/>
              </w:rPr>
            </w:pPr>
            <w:r>
              <w:rPr>
                <w:rFonts w:ascii="Arial MT"/>
                <w:spacing w:val="-2"/>
                <w:sz w:val="12"/>
              </w:rPr>
              <w:t>9.379</w:t>
            </w:r>
          </w:p>
        </w:tc>
        <w:tc>
          <w:tcPr>
            <w:tcW w:w="895" w:type="dxa"/>
            <w:tcBorders>
              <w:top w:val="single" w:sz="8" w:space="0" w:color="8EAADB"/>
              <w:bottom w:val="single" w:sz="8" w:space="0" w:color="8EAADB"/>
            </w:tcBorders>
          </w:tcPr>
          <w:p w14:paraId="64E94A27" w14:textId="77777777" w:rsidR="002C6574" w:rsidRDefault="00000000">
            <w:pPr>
              <w:pStyle w:val="TableParagraph"/>
              <w:spacing w:before="31"/>
              <w:ind w:right="69"/>
              <w:rPr>
                <w:rFonts w:ascii="Arial MT"/>
                <w:sz w:val="12"/>
              </w:rPr>
            </w:pPr>
            <w:r>
              <w:rPr>
                <w:rFonts w:ascii="Arial MT"/>
                <w:spacing w:val="-2"/>
                <w:sz w:val="12"/>
              </w:rPr>
              <w:t>14.496</w:t>
            </w:r>
          </w:p>
        </w:tc>
      </w:tr>
      <w:tr w:rsidR="002C6574" w14:paraId="5A971E29" w14:textId="77777777">
        <w:trPr>
          <w:trHeight w:val="198"/>
        </w:trPr>
        <w:tc>
          <w:tcPr>
            <w:tcW w:w="6063" w:type="dxa"/>
            <w:tcBorders>
              <w:top w:val="single" w:sz="8" w:space="0" w:color="8EAADB"/>
              <w:bottom w:val="single" w:sz="8" w:space="0" w:color="8EAADB"/>
            </w:tcBorders>
          </w:tcPr>
          <w:p w14:paraId="6578323B" w14:textId="77777777" w:rsidR="002C6574" w:rsidRDefault="00000000">
            <w:pPr>
              <w:pStyle w:val="TableParagraph"/>
              <w:spacing w:before="31"/>
              <w:ind w:left="117"/>
              <w:jc w:val="left"/>
              <w:rPr>
                <w:rFonts w:ascii="Arial" w:hAnsi="Arial"/>
                <w:b/>
                <w:sz w:val="12"/>
              </w:rPr>
            </w:pPr>
            <w:r>
              <w:rPr>
                <w:rFonts w:ascii="Arial" w:hAnsi="Arial"/>
                <w:b/>
                <w:sz w:val="12"/>
              </w:rPr>
              <w:t>DEDUÇÕES</w:t>
            </w:r>
            <w:r>
              <w:rPr>
                <w:rFonts w:ascii="Arial" w:hAnsi="Arial"/>
                <w:b/>
                <w:spacing w:val="-2"/>
                <w:sz w:val="12"/>
              </w:rPr>
              <w:t xml:space="preserve"> </w:t>
            </w:r>
            <w:r>
              <w:rPr>
                <w:rFonts w:ascii="Arial" w:hAnsi="Arial"/>
                <w:b/>
                <w:sz w:val="12"/>
              </w:rPr>
              <w:t>DA</w:t>
            </w:r>
            <w:r>
              <w:rPr>
                <w:rFonts w:ascii="Arial" w:hAnsi="Arial"/>
                <w:b/>
                <w:spacing w:val="-1"/>
                <w:sz w:val="12"/>
              </w:rPr>
              <w:t xml:space="preserve"> </w:t>
            </w:r>
            <w:r>
              <w:rPr>
                <w:rFonts w:ascii="Arial" w:hAnsi="Arial"/>
                <w:b/>
                <w:sz w:val="12"/>
              </w:rPr>
              <w:t>RECEITA</w:t>
            </w:r>
            <w:r>
              <w:rPr>
                <w:rFonts w:ascii="Arial" w:hAnsi="Arial"/>
                <w:b/>
                <w:spacing w:val="-1"/>
                <w:sz w:val="12"/>
              </w:rPr>
              <w:t xml:space="preserve"> </w:t>
            </w:r>
            <w:r>
              <w:rPr>
                <w:rFonts w:ascii="Arial" w:hAnsi="Arial"/>
                <w:b/>
                <w:sz w:val="12"/>
              </w:rPr>
              <w:t xml:space="preserve">OPERACIONAL </w:t>
            </w:r>
            <w:r>
              <w:rPr>
                <w:rFonts w:ascii="Arial" w:hAnsi="Arial"/>
                <w:b/>
                <w:spacing w:val="-2"/>
                <w:sz w:val="12"/>
              </w:rPr>
              <w:t>BRUTA</w:t>
            </w:r>
          </w:p>
        </w:tc>
        <w:tc>
          <w:tcPr>
            <w:tcW w:w="870" w:type="dxa"/>
            <w:tcBorders>
              <w:top w:val="single" w:sz="8" w:space="0" w:color="8EAADB"/>
              <w:bottom w:val="single" w:sz="8" w:space="0" w:color="8EAADB"/>
            </w:tcBorders>
          </w:tcPr>
          <w:p w14:paraId="4F2BF0C7" w14:textId="77777777" w:rsidR="002C6574" w:rsidRDefault="00000000">
            <w:pPr>
              <w:pStyle w:val="TableParagraph"/>
              <w:spacing w:before="31"/>
              <w:ind w:left="232"/>
              <w:jc w:val="left"/>
              <w:rPr>
                <w:rFonts w:ascii="Arial"/>
                <w:b/>
                <w:sz w:val="12"/>
              </w:rPr>
            </w:pPr>
            <w:r>
              <w:rPr>
                <w:rFonts w:ascii="Arial"/>
                <w:b/>
                <w:spacing w:val="-2"/>
                <w:sz w:val="12"/>
              </w:rPr>
              <w:t>(49.899)</w:t>
            </w:r>
          </w:p>
        </w:tc>
        <w:tc>
          <w:tcPr>
            <w:tcW w:w="1260" w:type="dxa"/>
            <w:tcBorders>
              <w:top w:val="single" w:sz="8" w:space="0" w:color="8EAADB"/>
              <w:bottom w:val="single" w:sz="8" w:space="0" w:color="8EAADB"/>
            </w:tcBorders>
          </w:tcPr>
          <w:p w14:paraId="63C0D8FC" w14:textId="77777777" w:rsidR="002C6574" w:rsidRDefault="00000000">
            <w:pPr>
              <w:pStyle w:val="TableParagraph"/>
              <w:spacing w:before="31"/>
              <w:ind w:left="499"/>
              <w:jc w:val="left"/>
              <w:rPr>
                <w:rFonts w:ascii="Arial"/>
                <w:b/>
                <w:sz w:val="12"/>
              </w:rPr>
            </w:pPr>
            <w:r>
              <w:rPr>
                <w:rFonts w:ascii="Arial"/>
                <w:b/>
                <w:spacing w:val="-2"/>
                <w:sz w:val="12"/>
              </w:rPr>
              <w:t>(48.076)</w:t>
            </w:r>
          </w:p>
        </w:tc>
        <w:tc>
          <w:tcPr>
            <w:tcW w:w="895" w:type="dxa"/>
            <w:tcBorders>
              <w:top w:val="single" w:sz="8" w:space="0" w:color="8EAADB"/>
              <w:bottom w:val="single" w:sz="8" w:space="0" w:color="8EAADB"/>
            </w:tcBorders>
          </w:tcPr>
          <w:p w14:paraId="78511B74" w14:textId="77777777" w:rsidR="002C6574" w:rsidRDefault="00000000">
            <w:pPr>
              <w:pStyle w:val="TableParagraph"/>
              <w:spacing w:before="31"/>
              <w:ind w:right="68"/>
              <w:rPr>
                <w:rFonts w:ascii="Arial"/>
                <w:b/>
                <w:sz w:val="12"/>
              </w:rPr>
            </w:pPr>
            <w:r>
              <w:rPr>
                <w:rFonts w:ascii="Arial"/>
                <w:b/>
                <w:spacing w:val="-2"/>
                <w:sz w:val="12"/>
              </w:rPr>
              <w:t>(53.212)</w:t>
            </w:r>
          </w:p>
        </w:tc>
      </w:tr>
      <w:tr w:rsidR="002C6574" w14:paraId="224C0694" w14:textId="77777777">
        <w:trPr>
          <w:trHeight w:val="195"/>
        </w:trPr>
        <w:tc>
          <w:tcPr>
            <w:tcW w:w="6063" w:type="dxa"/>
            <w:tcBorders>
              <w:top w:val="single" w:sz="8" w:space="0" w:color="8EAADB"/>
              <w:bottom w:val="single" w:sz="8" w:space="0" w:color="8EAADB"/>
            </w:tcBorders>
          </w:tcPr>
          <w:p w14:paraId="726CEFD2" w14:textId="77777777" w:rsidR="002C6574" w:rsidRDefault="00000000">
            <w:pPr>
              <w:pStyle w:val="TableParagraph"/>
              <w:spacing w:before="28"/>
              <w:ind w:left="117"/>
              <w:jc w:val="left"/>
              <w:rPr>
                <w:rFonts w:ascii="Arial" w:hAnsi="Arial"/>
                <w:b/>
                <w:sz w:val="12"/>
              </w:rPr>
            </w:pPr>
            <w:r>
              <w:rPr>
                <w:rFonts w:ascii="Arial" w:hAnsi="Arial"/>
                <w:b/>
                <w:sz w:val="12"/>
              </w:rPr>
              <w:t>RECEITA</w:t>
            </w:r>
            <w:r>
              <w:rPr>
                <w:rFonts w:ascii="Arial" w:hAnsi="Arial"/>
                <w:b/>
                <w:spacing w:val="-2"/>
                <w:sz w:val="12"/>
              </w:rPr>
              <w:t xml:space="preserve"> </w:t>
            </w:r>
            <w:r>
              <w:rPr>
                <w:rFonts w:ascii="Arial" w:hAnsi="Arial"/>
                <w:b/>
                <w:sz w:val="12"/>
              </w:rPr>
              <w:t xml:space="preserve">OPERACIONAL </w:t>
            </w:r>
            <w:r>
              <w:rPr>
                <w:rFonts w:ascii="Arial" w:hAnsi="Arial"/>
                <w:b/>
                <w:spacing w:val="-2"/>
                <w:sz w:val="12"/>
              </w:rPr>
              <w:t>LÍQUIDA</w:t>
            </w:r>
          </w:p>
        </w:tc>
        <w:tc>
          <w:tcPr>
            <w:tcW w:w="870" w:type="dxa"/>
            <w:tcBorders>
              <w:top w:val="single" w:sz="8" w:space="0" w:color="8EAADB"/>
              <w:bottom w:val="single" w:sz="8" w:space="0" w:color="8EAADB"/>
            </w:tcBorders>
          </w:tcPr>
          <w:p w14:paraId="58393ED4" w14:textId="77777777" w:rsidR="002C6574" w:rsidRDefault="00000000">
            <w:pPr>
              <w:pStyle w:val="TableParagraph"/>
              <w:spacing w:before="28"/>
              <w:ind w:left="243"/>
              <w:jc w:val="left"/>
              <w:rPr>
                <w:rFonts w:ascii="Arial"/>
                <w:b/>
                <w:sz w:val="12"/>
              </w:rPr>
            </w:pPr>
            <w:r>
              <w:rPr>
                <w:rFonts w:ascii="Arial"/>
                <w:b/>
                <w:spacing w:val="-2"/>
                <w:sz w:val="12"/>
              </w:rPr>
              <w:t>491.009</w:t>
            </w:r>
          </w:p>
        </w:tc>
        <w:tc>
          <w:tcPr>
            <w:tcW w:w="1260" w:type="dxa"/>
            <w:tcBorders>
              <w:top w:val="single" w:sz="8" w:space="0" w:color="8EAADB"/>
              <w:bottom w:val="single" w:sz="8" w:space="0" w:color="8EAADB"/>
            </w:tcBorders>
          </w:tcPr>
          <w:p w14:paraId="272C2874" w14:textId="77777777" w:rsidR="002C6574" w:rsidRDefault="00000000">
            <w:pPr>
              <w:pStyle w:val="TableParagraph"/>
              <w:spacing w:before="28"/>
              <w:ind w:left="512"/>
              <w:jc w:val="left"/>
              <w:rPr>
                <w:rFonts w:ascii="Arial"/>
                <w:b/>
                <w:sz w:val="12"/>
              </w:rPr>
            </w:pPr>
            <w:r>
              <w:rPr>
                <w:rFonts w:ascii="Arial"/>
                <w:b/>
                <w:spacing w:val="-2"/>
                <w:sz w:val="12"/>
              </w:rPr>
              <w:t>414.315</w:t>
            </w:r>
          </w:p>
        </w:tc>
        <w:tc>
          <w:tcPr>
            <w:tcW w:w="895" w:type="dxa"/>
            <w:tcBorders>
              <w:top w:val="single" w:sz="8" w:space="0" w:color="8EAADB"/>
              <w:bottom w:val="single" w:sz="8" w:space="0" w:color="8EAADB"/>
            </w:tcBorders>
          </w:tcPr>
          <w:p w14:paraId="6418B105" w14:textId="77777777" w:rsidR="002C6574" w:rsidRDefault="00000000">
            <w:pPr>
              <w:pStyle w:val="TableParagraph"/>
              <w:spacing w:before="28"/>
              <w:ind w:right="69"/>
              <w:rPr>
                <w:rFonts w:ascii="Arial"/>
                <w:b/>
                <w:sz w:val="12"/>
              </w:rPr>
            </w:pPr>
            <w:r>
              <w:rPr>
                <w:rFonts w:ascii="Arial"/>
                <w:b/>
                <w:spacing w:val="-2"/>
                <w:sz w:val="12"/>
              </w:rPr>
              <w:t>416.840</w:t>
            </w:r>
          </w:p>
        </w:tc>
      </w:tr>
      <w:tr w:rsidR="002C6574" w14:paraId="435F34AE" w14:textId="77777777">
        <w:trPr>
          <w:trHeight w:val="198"/>
        </w:trPr>
        <w:tc>
          <w:tcPr>
            <w:tcW w:w="6063" w:type="dxa"/>
            <w:tcBorders>
              <w:top w:val="single" w:sz="8" w:space="0" w:color="8EAADB"/>
              <w:bottom w:val="single" w:sz="8" w:space="0" w:color="8EAADB"/>
            </w:tcBorders>
          </w:tcPr>
          <w:p w14:paraId="59A5159C" w14:textId="77777777" w:rsidR="002C6574" w:rsidRDefault="00000000">
            <w:pPr>
              <w:pStyle w:val="TableParagraph"/>
              <w:spacing w:before="31"/>
              <w:ind w:left="117"/>
              <w:jc w:val="left"/>
              <w:rPr>
                <w:rFonts w:ascii="Arial"/>
                <w:b/>
                <w:sz w:val="12"/>
              </w:rPr>
            </w:pPr>
            <w:r>
              <w:rPr>
                <w:rFonts w:ascii="Arial"/>
                <w:b/>
                <w:sz w:val="12"/>
              </w:rPr>
              <w:t>RECEITAS/(CUSTOS/DESPESAS)</w:t>
            </w:r>
            <w:r>
              <w:rPr>
                <w:rFonts w:ascii="Arial"/>
                <w:b/>
                <w:spacing w:val="-5"/>
                <w:sz w:val="12"/>
              </w:rPr>
              <w:t xml:space="preserve"> </w:t>
            </w:r>
            <w:r>
              <w:rPr>
                <w:rFonts w:ascii="Arial"/>
                <w:b/>
                <w:spacing w:val="-2"/>
                <w:sz w:val="12"/>
              </w:rPr>
              <w:t>OPERACIONAIS</w:t>
            </w:r>
          </w:p>
        </w:tc>
        <w:tc>
          <w:tcPr>
            <w:tcW w:w="870" w:type="dxa"/>
            <w:tcBorders>
              <w:top w:val="single" w:sz="8" w:space="0" w:color="8EAADB"/>
              <w:bottom w:val="single" w:sz="8" w:space="0" w:color="8EAADB"/>
            </w:tcBorders>
          </w:tcPr>
          <w:p w14:paraId="2D3AE434" w14:textId="77777777" w:rsidR="002C6574" w:rsidRDefault="00000000">
            <w:pPr>
              <w:pStyle w:val="TableParagraph"/>
              <w:spacing w:before="31"/>
              <w:ind w:left="311"/>
              <w:jc w:val="left"/>
              <w:rPr>
                <w:rFonts w:ascii="Arial"/>
                <w:b/>
                <w:sz w:val="12"/>
              </w:rPr>
            </w:pPr>
            <w:r>
              <w:rPr>
                <w:rFonts w:ascii="Arial"/>
                <w:b/>
                <w:spacing w:val="-2"/>
                <w:sz w:val="12"/>
              </w:rPr>
              <w:t>19.795</w:t>
            </w:r>
          </w:p>
        </w:tc>
        <w:tc>
          <w:tcPr>
            <w:tcW w:w="1260" w:type="dxa"/>
            <w:tcBorders>
              <w:top w:val="single" w:sz="8" w:space="0" w:color="8EAADB"/>
              <w:bottom w:val="single" w:sz="8" w:space="0" w:color="8EAADB"/>
            </w:tcBorders>
          </w:tcPr>
          <w:p w14:paraId="47517342" w14:textId="77777777" w:rsidR="002C6574" w:rsidRDefault="00000000">
            <w:pPr>
              <w:pStyle w:val="TableParagraph"/>
              <w:spacing w:before="31"/>
              <w:ind w:left="432"/>
              <w:jc w:val="left"/>
              <w:rPr>
                <w:rFonts w:ascii="Arial"/>
                <w:b/>
                <w:sz w:val="12"/>
              </w:rPr>
            </w:pPr>
            <w:r>
              <w:rPr>
                <w:rFonts w:ascii="Arial"/>
                <w:b/>
                <w:spacing w:val="-2"/>
                <w:sz w:val="12"/>
              </w:rPr>
              <w:t>(125.775)</w:t>
            </w:r>
          </w:p>
        </w:tc>
        <w:tc>
          <w:tcPr>
            <w:tcW w:w="895" w:type="dxa"/>
            <w:tcBorders>
              <w:top w:val="single" w:sz="8" w:space="0" w:color="8EAADB"/>
              <w:bottom w:val="single" w:sz="8" w:space="0" w:color="8EAADB"/>
            </w:tcBorders>
          </w:tcPr>
          <w:p w14:paraId="1ABF990C" w14:textId="77777777" w:rsidR="002C6574" w:rsidRDefault="00000000">
            <w:pPr>
              <w:pStyle w:val="TableParagraph"/>
              <w:spacing w:before="31"/>
              <w:ind w:left="309"/>
              <w:jc w:val="left"/>
              <w:rPr>
                <w:rFonts w:ascii="Arial"/>
                <w:b/>
                <w:sz w:val="12"/>
              </w:rPr>
            </w:pPr>
            <w:r>
              <w:rPr>
                <w:rFonts w:ascii="Arial"/>
                <w:b/>
                <w:spacing w:val="-2"/>
                <w:sz w:val="12"/>
              </w:rPr>
              <w:t>(230.707)</w:t>
            </w:r>
          </w:p>
        </w:tc>
      </w:tr>
      <w:tr w:rsidR="002C6574" w14:paraId="40E87A5C" w14:textId="77777777">
        <w:trPr>
          <w:trHeight w:val="198"/>
        </w:trPr>
        <w:tc>
          <w:tcPr>
            <w:tcW w:w="6063" w:type="dxa"/>
            <w:tcBorders>
              <w:top w:val="single" w:sz="8" w:space="0" w:color="8EAADB"/>
              <w:bottom w:val="single" w:sz="8" w:space="0" w:color="8EAADB"/>
            </w:tcBorders>
          </w:tcPr>
          <w:p w14:paraId="3674D074" w14:textId="77777777" w:rsidR="002C6574" w:rsidRDefault="00000000">
            <w:pPr>
              <w:pStyle w:val="TableParagraph"/>
              <w:spacing w:before="31"/>
              <w:ind w:left="218"/>
              <w:jc w:val="left"/>
              <w:rPr>
                <w:rFonts w:ascii="Arial MT" w:hAnsi="Arial MT"/>
                <w:sz w:val="12"/>
              </w:rPr>
            </w:pPr>
            <w:r>
              <w:rPr>
                <w:rFonts w:ascii="Arial MT" w:hAnsi="Arial MT"/>
                <w:sz w:val="12"/>
              </w:rPr>
              <w:t>Meios</w:t>
            </w:r>
            <w:r>
              <w:rPr>
                <w:rFonts w:ascii="Arial MT" w:hAnsi="Arial MT"/>
                <w:spacing w:val="-1"/>
                <w:sz w:val="12"/>
              </w:rPr>
              <w:t xml:space="preserve"> </w:t>
            </w:r>
            <w:r>
              <w:rPr>
                <w:rFonts w:ascii="Arial MT" w:hAnsi="Arial MT"/>
                <w:sz w:val="12"/>
              </w:rPr>
              <w:t>de</w:t>
            </w:r>
            <w:r>
              <w:rPr>
                <w:rFonts w:ascii="Arial MT" w:hAnsi="Arial MT"/>
                <w:spacing w:val="1"/>
                <w:sz w:val="12"/>
              </w:rPr>
              <w:t xml:space="preserve"> </w:t>
            </w:r>
            <w:r>
              <w:rPr>
                <w:rFonts w:ascii="Arial MT" w:hAnsi="Arial MT"/>
                <w:sz w:val="12"/>
              </w:rPr>
              <w:t>Conexão</w:t>
            </w:r>
            <w:r>
              <w:rPr>
                <w:rFonts w:ascii="Arial MT" w:hAnsi="Arial MT"/>
                <w:spacing w:val="-2"/>
                <w:sz w:val="12"/>
              </w:rPr>
              <w:t xml:space="preserve"> </w:t>
            </w:r>
            <w:r>
              <w:rPr>
                <w:rFonts w:ascii="Arial MT" w:hAnsi="Arial MT"/>
                <w:sz w:val="12"/>
              </w:rPr>
              <w:t>e</w:t>
            </w:r>
            <w:r>
              <w:rPr>
                <w:rFonts w:ascii="Arial MT" w:hAnsi="Arial MT"/>
                <w:spacing w:val="1"/>
                <w:sz w:val="12"/>
              </w:rPr>
              <w:t xml:space="preserve"> </w:t>
            </w:r>
            <w:r>
              <w:rPr>
                <w:rFonts w:ascii="Arial MT" w:hAnsi="Arial MT"/>
                <w:spacing w:val="-2"/>
                <w:sz w:val="12"/>
              </w:rPr>
              <w:t>Transmissão</w:t>
            </w:r>
          </w:p>
        </w:tc>
        <w:tc>
          <w:tcPr>
            <w:tcW w:w="870" w:type="dxa"/>
            <w:tcBorders>
              <w:top w:val="single" w:sz="8" w:space="0" w:color="8EAADB"/>
              <w:bottom w:val="single" w:sz="8" w:space="0" w:color="8EAADB"/>
            </w:tcBorders>
          </w:tcPr>
          <w:p w14:paraId="3A6DB26E" w14:textId="77777777" w:rsidR="002C6574" w:rsidRDefault="00000000">
            <w:pPr>
              <w:pStyle w:val="TableParagraph"/>
              <w:spacing w:before="31"/>
              <w:ind w:left="164"/>
              <w:jc w:val="left"/>
              <w:rPr>
                <w:rFonts w:ascii="Arial MT"/>
                <w:sz w:val="12"/>
              </w:rPr>
            </w:pPr>
            <w:r>
              <w:rPr>
                <w:rFonts w:ascii="Arial MT"/>
                <w:spacing w:val="-2"/>
                <w:sz w:val="12"/>
              </w:rPr>
              <w:t>(170.423)</w:t>
            </w:r>
          </w:p>
        </w:tc>
        <w:tc>
          <w:tcPr>
            <w:tcW w:w="1260" w:type="dxa"/>
            <w:tcBorders>
              <w:top w:val="single" w:sz="8" w:space="0" w:color="8EAADB"/>
              <w:bottom w:val="single" w:sz="8" w:space="0" w:color="8EAADB"/>
            </w:tcBorders>
          </w:tcPr>
          <w:p w14:paraId="1D62F9F5" w14:textId="77777777" w:rsidR="002C6574" w:rsidRDefault="00000000">
            <w:pPr>
              <w:pStyle w:val="TableParagraph"/>
              <w:spacing w:before="31"/>
              <w:ind w:left="433"/>
              <w:jc w:val="left"/>
              <w:rPr>
                <w:rFonts w:ascii="Arial MT"/>
                <w:sz w:val="12"/>
              </w:rPr>
            </w:pPr>
            <w:r>
              <w:rPr>
                <w:rFonts w:ascii="Arial MT"/>
                <w:spacing w:val="-2"/>
                <w:sz w:val="12"/>
              </w:rPr>
              <w:t>(135.121)</w:t>
            </w:r>
          </w:p>
        </w:tc>
        <w:tc>
          <w:tcPr>
            <w:tcW w:w="895" w:type="dxa"/>
            <w:tcBorders>
              <w:top w:val="single" w:sz="8" w:space="0" w:color="8EAADB"/>
              <w:bottom w:val="single" w:sz="8" w:space="0" w:color="8EAADB"/>
            </w:tcBorders>
          </w:tcPr>
          <w:p w14:paraId="791BF73B" w14:textId="77777777" w:rsidR="002C6574" w:rsidRDefault="00000000">
            <w:pPr>
              <w:pStyle w:val="TableParagraph"/>
              <w:spacing w:before="31"/>
              <w:ind w:left="309"/>
              <w:jc w:val="left"/>
              <w:rPr>
                <w:rFonts w:ascii="Arial MT"/>
                <w:sz w:val="12"/>
              </w:rPr>
            </w:pPr>
            <w:r>
              <w:rPr>
                <w:rFonts w:ascii="Arial MT"/>
                <w:spacing w:val="-2"/>
                <w:sz w:val="12"/>
              </w:rPr>
              <w:t>(136.851)</w:t>
            </w:r>
          </w:p>
        </w:tc>
      </w:tr>
      <w:tr w:rsidR="002C6574" w14:paraId="33599397" w14:textId="77777777">
        <w:trPr>
          <w:trHeight w:val="198"/>
        </w:trPr>
        <w:tc>
          <w:tcPr>
            <w:tcW w:w="6063" w:type="dxa"/>
            <w:tcBorders>
              <w:top w:val="single" w:sz="8" w:space="0" w:color="8EAADB"/>
              <w:bottom w:val="single" w:sz="8" w:space="0" w:color="8EAADB"/>
            </w:tcBorders>
          </w:tcPr>
          <w:p w14:paraId="31AAF2DD" w14:textId="77777777" w:rsidR="002C6574" w:rsidRDefault="00000000">
            <w:pPr>
              <w:pStyle w:val="TableParagraph"/>
              <w:spacing w:before="31"/>
              <w:ind w:left="218"/>
              <w:jc w:val="left"/>
              <w:rPr>
                <w:rFonts w:ascii="Arial MT" w:hAnsi="Arial MT"/>
                <w:sz w:val="12"/>
              </w:rPr>
            </w:pPr>
            <w:r>
              <w:rPr>
                <w:rFonts w:ascii="Arial MT" w:hAnsi="Arial MT"/>
                <w:sz w:val="12"/>
              </w:rPr>
              <w:t>Serviços</w:t>
            </w:r>
            <w:r>
              <w:rPr>
                <w:rFonts w:ascii="Arial MT" w:hAnsi="Arial MT"/>
                <w:spacing w:val="-3"/>
                <w:sz w:val="12"/>
              </w:rPr>
              <w:t xml:space="preserve"> </w:t>
            </w:r>
            <w:r>
              <w:rPr>
                <w:rFonts w:ascii="Arial MT" w:hAnsi="Arial MT"/>
                <w:sz w:val="12"/>
              </w:rPr>
              <w:t>de</w:t>
            </w:r>
            <w:r>
              <w:rPr>
                <w:rFonts w:ascii="Arial MT" w:hAnsi="Arial MT"/>
                <w:spacing w:val="-1"/>
                <w:sz w:val="12"/>
              </w:rPr>
              <w:t xml:space="preserve"> </w:t>
            </w:r>
            <w:r>
              <w:rPr>
                <w:rFonts w:ascii="Arial MT" w:hAnsi="Arial MT"/>
                <w:spacing w:val="-2"/>
                <w:sz w:val="12"/>
              </w:rPr>
              <w:t>Terceiros</w:t>
            </w:r>
          </w:p>
        </w:tc>
        <w:tc>
          <w:tcPr>
            <w:tcW w:w="870" w:type="dxa"/>
            <w:tcBorders>
              <w:top w:val="single" w:sz="8" w:space="0" w:color="8EAADB"/>
              <w:bottom w:val="single" w:sz="8" w:space="0" w:color="8EAADB"/>
            </w:tcBorders>
          </w:tcPr>
          <w:p w14:paraId="0633E127" w14:textId="77777777" w:rsidR="002C6574" w:rsidRDefault="00000000">
            <w:pPr>
              <w:pStyle w:val="TableParagraph"/>
              <w:spacing w:before="31"/>
              <w:ind w:left="164"/>
              <w:jc w:val="left"/>
              <w:rPr>
                <w:rFonts w:ascii="Arial MT"/>
                <w:sz w:val="12"/>
              </w:rPr>
            </w:pPr>
            <w:r>
              <w:rPr>
                <w:rFonts w:ascii="Arial MT"/>
                <w:spacing w:val="-2"/>
                <w:sz w:val="12"/>
              </w:rPr>
              <w:t>(153.128)</w:t>
            </w:r>
          </w:p>
        </w:tc>
        <w:tc>
          <w:tcPr>
            <w:tcW w:w="1260" w:type="dxa"/>
            <w:tcBorders>
              <w:top w:val="single" w:sz="8" w:space="0" w:color="8EAADB"/>
              <w:bottom w:val="single" w:sz="8" w:space="0" w:color="8EAADB"/>
            </w:tcBorders>
          </w:tcPr>
          <w:p w14:paraId="0F5158FB" w14:textId="77777777" w:rsidR="002C6574" w:rsidRDefault="00000000">
            <w:pPr>
              <w:pStyle w:val="TableParagraph"/>
              <w:spacing w:before="31"/>
              <w:ind w:left="432"/>
              <w:jc w:val="left"/>
              <w:rPr>
                <w:rFonts w:ascii="Arial MT"/>
                <w:sz w:val="12"/>
              </w:rPr>
            </w:pPr>
            <w:r>
              <w:rPr>
                <w:rFonts w:ascii="Arial MT"/>
                <w:spacing w:val="-2"/>
                <w:sz w:val="12"/>
              </w:rPr>
              <w:t>(173.875)</w:t>
            </w:r>
          </w:p>
        </w:tc>
        <w:tc>
          <w:tcPr>
            <w:tcW w:w="895" w:type="dxa"/>
            <w:tcBorders>
              <w:top w:val="single" w:sz="8" w:space="0" w:color="8EAADB"/>
              <w:bottom w:val="single" w:sz="8" w:space="0" w:color="8EAADB"/>
            </w:tcBorders>
          </w:tcPr>
          <w:p w14:paraId="3ECF576C" w14:textId="77777777" w:rsidR="002C6574" w:rsidRDefault="00000000">
            <w:pPr>
              <w:pStyle w:val="TableParagraph"/>
              <w:spacing w:before="31"/>
              <w:ind w:left="310"/>
              <w:jc w:val="left"/>
              <w:rPr>
                <w:rFonts w:ascii="Arial MT"/>
                <w:sz w:val="12"/>
              </w:rPr>
            </w:pPr>
            <w:r>
              <w:rPr>
                <w:rFonts w:ascii="Arial MT"/>
                <w:spacing w:val="-2"/>
                <w:sz w:val="12"/>
              </w:rPr>
              <w:t>(159.570)</w:t>
            </w:r>
          </w:p>
        </w:tc>
      </w:tr>
      <w:tr w:rsidR="002C6574" w14:paraId="5BDF4F2D" w14:textId="77777777">
        <w:trPr>
          <w:trHeight w:val="198"/>
        </w:trPr>
        <w:tc>
          <w:tcPr>
            <w:tcW w:w="6063" w:type="dxa"/>
            <w:tcBorders>
              <w:top w:val="single" w:sz="8" w:space="0" w:color="8EAADB"/>
              <w:bottom w:val="single" w:sz="8" w:space="0" w:color="8EAADB"/>
            </w:tcBorders>
          </w:tcPr>
          <w:p w14:paraId="0E7FDB07" w14:textId="77777777" w:rsidR="002C6574" w:rsidRDefault="00000000">
            <w:pPr>
              <w:pStyle w:val="TableParagraph"/>
              <w:spacing w:before="31"/>
              <w:ind w:left="218"/>
              <w:jc w:val="left"/>
              <w:rPr>
                <w:rFonts w:ascii="Arial MT"/>
                <w:sz w:val="12"/>
              </w:rPr>
            </w:pPr>
            <w:r>
              <w:rPr>
                <w:rFonts w:ascii="Arial MT"/>
                <w:spacing w:val="-2"/>
                <w:sz w:val="12"/>
              </w:rPr>
              <w:t>Pessoal</w:t>
            </w:r>
          </w:p>
        </w:tc>
        <w:tc>
          <w:tcPr>
            <w:tcW w:w="870" w:type="dxa"/>
            <w:tcBorders>
              <w:top w:val="single" w:sz="8" w:space="0" w:color="8EAADB"/>
              <w:bottom w:val="single" w:sz="8" w:space="0" w:color="8EAADB"/>
            </w:tcBorders>
          </w:tcPr>
          <w:p w14:paraId="5A0266D8" w14:textId="77777777" w:rsidR="002C6574" w:rsidRDefault="00000000">
            <w:pPr>
              <w:pStyle w:val="TableParagraph"/>
              <w:spacing w:before="31"/>
              <w:ind w:left="164"/>
              <w:jc w:val="left"/>
              <w:rPr>
                <w:rFonts w:ascii="Arial MT"/>
                <w:sz w:val="12"/>
              </w:rPr>
            </w:pPr>
            <w:r>
              <w:rPr>
                <w:rFonts w:ascii="Arial MT"/>
                <w:spacing w:val="-2"/>
                <w:sz w:val="12"/>
              </w:rPr>
              <w:t>(119.390)</w:t>
            </w:r>
          </w:p>
        </w:tc>
        <w:tc>
          <w:tcPr>
            <w:tcW w:w="1260" w:type="dxa"/>
            <w:tcBorders>
              <w:top w:val="single" w:sz="8" w:space="0" w:color="8EAADB"/>
              <w:bottom w:val="single" w:sz="8" w:space="0" w:color="8EAADB"/>
            </w:tcBorders>
          </w:tcPr>
          <w:p w14:paraId="29305B5D" w14:textId="77777777" w:rsidR="002C6574" w:rsidRDefault="00000000">
            <w:pPr>
              <w:pStyle w:val="TableParagraph"/>
              <w:spacing w:before="31"/>
              <w:ind w:left="432"/>
              <w:jc w:val="left"/>
              <w:rPr>
                <w:rFonts w:ascii="Arial MT"/>
                <w:sz w:val="12"/>
              </w:rPr>
            </w:pPr>
            <w:r>
              <w:rPr>
                <w:rFonts w:ascii="Arial MT"/>
                <w:spacing w:val="-2"/>
                <w:sz w:val="12"/>
              </w:rPr>
              <w:t>(111.058)</w:t>
            </w:r>
          </w:p>
        </w:tc>
        <w:tc>
          <w:tcPr>
            <w:tcW w:w="895" w:type="dxa"/>
            <w:tcBorders>
              <w:top w:val="single" w:sz="8" w:space="0" w:color="8EAADB"/>
              <w:bottom w:val="single" w:sz="8" w:space="0" w:color="8EAADB"/>
            </w:tcBorders>
          </w:tcPr>
          <w:p w14:paraId="3F2DD208" w14:textId="77777777" w:rsidR="002C6574" w:rsidRDefault="00000000">
            <w:pPr>
              <w:pStyle w:val="TableParagraph"/>
              <w:spacing w:before="31"/>
              <w:ind w:left="310"/>
              <w:jc w:val="left"/>
              <w:rPr>
                <w:rFonts w:ascii="Arial MT"/>
                <w:sz w:val="12"/>
              </w:rPr>
            </w:pPr>
            <w:r>
              <w:rPr>
                <w:rFonts w:ascii="Arial MT"/>
                <w:spacing w:val="-2"/>
                <w:sz w:val="12"/>
              </w:rPr>
              <w:t>(106.908)</w:t>
            </w:r>
          </w:p>
        </w:tc>
      </w:tr>
      <w:tr w:rsidR="002C6574" w14:paraId="534D2247" w14:textId="77777777">
        <w:trPr>
          <w:trHeight w:val="198"/>
        </w:trPr>
        <w:tc>
          <w:tcPr>
            <w:tcW w:w="6063" w:type="dxa"/>
            <w:tcBorders>
              <w:top w:val="single" w:sz="8" w:space="0" w:color="8EAADB"/>
              <w:bottom w:val="single" w:sz="8" w:space="0" w:color="8EAADB"/>
            </w:tcBorders>
          </w:tcPr>
          <w:p w14:paraId="20ED5C1F" w14:textId="77777777" w:rsidR="002C6574" w:rsidRDefault="00000000">
            <w:pPr>
              <w:pStyle w:val="TableParagraph"/>
              <w:spacing w:before="31"/>
              <w:ind w:left="218"/>
              <w:jc w:val="left"/>
              <w:rPr>
                <w:rFonts w:ascii="Arial MT" w:hAnsi="Arial MT"/>
                <w:sz w:val="12"/>
              </w:rPr>
            </w:pPr>
            <w:r>
              <w:rPr>
                <w:rFonts w:ascii="Arial MT" w:hAnsi="Arial MT"/>
                <w:sz w:val="12"/>
              </w:rPr>
              <w:t>Aluguéis,</w:t>
            </w:r>
            <w:r>
              <w:rPr>
                <w:rFonts w:ascii="Arial MT" w:hAnsi="Arial MT"/>
                <w:spacing w:val="-1"/>
                <w:sz w:val="12"/>
              </w:rPr>
              <w:t xml:space="preserve"> </w:t>
            </w:r>
            <w:r>
              <w:rPr>
                <w:rFonts w:ascii="Arial MT" w:hAnsi="Arial MT"/>
                <w:sz w:val="12"/>
              </w:rPr>
              <w:t>Locações</w:t>
            </w:r>
            <w:r>
              <w:rPr>
                <w:rFonts w:ascii="Arial MT" w:hAnsi="Arial MT"/>
                <w:spacing w:val="-1"/>
                <w:sz w:val="12"/>
              </w:rPr>
              <w:t xml:space="preserve"> </w:t>
            </w:r>
            <w:r>
              <w:rPr>
                <w:rFonts w:ascii="Arial MT" w:hAnsi="Arial MT"/>
                <w:sz w:val="12"/>
              </w:rPr>
              <w:t xml:space="preserve">e </w:t>
            </w:r>
            <w:r>
              <w:rPr>
                <w:rFonts w:ascii="Arial MT" w:hAnsi="Arial MT"/>
                <w:spacing w:val="-2"/>
                <w:sz w:val="12"/>
              </w:rPr>
              <w:t>Seguros</w:t>
            </w:r>
          </w:p>
        </w:tc>
        <w:tc>
          <w:tcPr>
            <w:tcW w:w="870" w:type="dxa"/>
            <w:tcBorders>
              <w:top w:val="single" w:sz="8" w:space="0" w:color="8EAADB"/>
              <w:bottom w:val="single" w:sz="8" w:space="0" w:color="8EAADB"/>
            </w:tcBorders>
          </w:tcPr>
          <w:p w14:paraId="4CF3E4E2" w14:textId="77777777" w:rsidR="002C6574" w:rsidRDefault="00000000">
            <w:pPr>
              <w:pStyle w:val="TableParagraph"/>
              <w:spacing w:before="31"/>
              <w:ind w:left="232"/>
              <w:jc w:val="left"/>
              <w:rPr>
                <w:rFonts w:ascii="Arial MT"/>
                <w:sz w:val="12"/>
              </w:rPr>
            </w:pPr>
            <w:r>
              <w:rPr>
                <w:rFonts w:ascii="Arial MT"/>
                <w:spacing w:val="-2"/>
                <w:sz w:val="12"/>
              </w:rPr>
              <w:t>(62.049)</w:t>
            </w:r>
          </w:p>
        </w:tc>
        <w:tc>
          <w:tcPr>
            <w:tcW w:w="1260" w:type="dxa"/>
            <w:tcBorders>
              <w:top w:val="single" w:sz="8" w:space="0" w:color="8EAADB"/>
              <w:bottom w:val="single" w:sz="8" w:space="0" w:color="8EAADB"/>
            </w:tcBorders>
          </w:tcPr>
          <w:p w14:paraId="43A080DA" w14:textId="77777777" w:rsidR="002C6574" w:rsidRDefault="00000000">
            <w:pPr>
              <w:pStyle w:val="TableParagraph"/>
              <w:spacing w:before="31"/>
              <w:ind w:left="499"/>
              <w:jc w:val="left"/>
              <w:rPr>
                <w:rFonts w:ascii="Arial MT"/>
                <w:sz w:val="12"/>
              </w:rPr>
            </w:pPr>
            <w:r>
              <w:rPr>
                <w:rFonts w:ascii="Arial MT"/>
                <w:spacing w:val="-2"/>
                <w:sz w:val="12"/>
              </w:rPr>
              <w:t>(50.467)</w:t>
            </w:r>
          </w:p>
        </w:tc>
        <w:tc>
          <w:tcPr>
            <w:tcW w:w="895" w:type="dxa"/>
            <w:tcBorders>
              <w:top w:val="single" w:sz="8" w:space="0" w:color="8EAADB"/>
              <w:bottom w:val="single" w:sz="8" w:space="0" w:color="8EAADB"/>
            </w:tcBorders>
          </w:tcPr>
          <w:p w14:paraId="7F7C015C" w14:textId="77777777" w:rsidR="002C6574" w:rsidRDefault="00000000">
            <w:pPr>
              <w:pStyle w:val="TableParagraph"/>
              <w:spacing w:before="31"/>
              <w:ind w:right="68"/>
              <w:rPr>
                <w:rFonts w:ascii="Arial MT"/>
                <w:sz w:val="12"/>
              </w:rPr>
            </w:pPr>
            <w:r>
              <w:rPr>
                <w:rFonts w:ascii="Arial MT"/>
                <w:spacing w:val="-2"/>
                <w:sz w:val="12"/>
              </w:rPr>
              <w:t>(50.936)</w:t>
            </w:r>
          </w:p>
        </w:tc>
      </w:tr>
      <w:tr w:rsidR="002C6574" w14:paraId="245BE5ED" w14:textId="77777777">
        <w:trPr>
          <w:trHeight w:val="195"/>
        </w:trPr>
        <w:tc>
          <w:tcPr>
            <w:tcW w:w="6063" w:type="dxa"/>
            <w:tcBorders>
              <w:top w:val="single" w:sz="8" w:space="0" w:color="8EAADB"/>
              <w:bottom w:val="single" w:sz="8" w:space="0" w:color="8EAADB"/>
            </w:tcBorders>
          </w:tcPr>
          <w:p w14:paraId="5128E15F" w14:textId="77777777" w:rsidR="002C6574" w:rsidRDefault="00000000">
            <w:pPr>
              <w:pStyle w:val="TableParagraph"/>
              <w:spacing w:before="28"/>
              <w:ind w:left="218"/>
              <w:jc w:val="left"/>
              <w:rPr>
                <w:rFonts w:ascii="Arial MT"/>
                <w:sz w:val="12"/>
              </w:rPr>
            </w:pPr>
            <w:r>
              <w:rPr>
                <w:rFonts w:ascii="Arial MT"/>
                <w:spacing w:val="-2"/>
                <w:sz w:val="12"/>
              </w:rPr>
              <w:t>Tributos</w:t>
            </w:r>
          </w:p>
        </w:tc>
        <w:tc>
          <w:tcPr>
            <w:tcW w:w="870" w:type="dxa"/>
            <w:tcBorders>
              <w:top w:val="single" w:sz="8" w:space="0" w:color="8EAADB"/>
              <w:bottom w:val="single" w:sz="8" w:space="0" w:color="8EAADB"/>
            </w:tcBorders>
          </w:tcPr>
          <w:p w14:paraId="285AE2B6" w14:textId="77777777" w:rsidR="002C6574" w:rsidRDefault="00000000">
            <w:pPr>
              <w:pStyle w:val="TableParagraph"/>
              <w:spacing w:before="28"/>
              <w:ind w:left="299"/>
              <w:jc w:val="left"/>
              <w:rPr>
                <w:rFonts w:ascii="Arial MT"/>
                <w:sz w:val="12"/>
              </w:rPr>
            </w:pPr>
            <w:r>
              <w:rPr>
                <w:rFonts w:ascii="Arial MT"/>
                <w:spacing w:val="-2"/>
                <w:sz w:val="12"/>
              </w:rPr>
              <w:t>(6.256)</w:t>
            </w:r>
          </w:p>
        </w:tc>
        <w:tc>
          <w:tcPr>
            <w:tcW w:w="1260" w:type="dxa"/>
            <w:tcBorders>
              <w:top w:val="single" w:sz="8" w:space="0" w:color="8EAADB"/>
              <w:bottom w:val="single" w:sz="8" w:space="0" w:color="8EAADB"/>
            </w:tcBorders>
          </w:tcPr>
          <w:p w14:paraId="41B83ADB" w14:textId="77777777" w:rsidR="002C6574" w:rsidRDefault="00000000">
            <w:pPr>
              <w:pStyle w:val="TableParagraph"/>
              <w:spacing w:before="28"/>
              <w:ind w:left="566"/>
              <w:jc w:val="left"/>
              <w:rPr>
                <w:rFonts w:ascii="Arial MT"/>
                <w:sz w:val="12"/>
              </w:rPr>
            </w:pPr>
            <w:r>
              <w:rPr>
                <w:rFonts w:ascii="Arial MT"/>
                <w:spacing w:val="-2"/>
                <w:sz w:val="12"/>
              </w:rPr>
              <w:t>(5.372)</w:t>
            </w:r>
          </w:p>
        </w:tc>
        <w:tc>
          <w:tcPr>
            <w:tcW w:w="895" w:type="dxa"/>
            <w:tcBorders>
              <w:top w:val="single" w:sz="8" w:space="0" w:color="8EAADB"/>
              <w:bottom w:val="single" w:sz="8" w:space="0" w:color="8EAADB"/>
            </w:tcBorders>
          </w:tcPr>
          <w:p w14:paraId="53B6BC1F" w14:textId="77777777" w:rsidR="002C6574" w:rsidRDefault="00000000">
            <w:pPr>
              <w:pStyle w:val="TableParagraph"/>
              <w:spacing w:before="28"/>
              <w:ind w:right="67"/>
              <w:rPr>
                <w:rFonts w:ascii="Arial MT"/>
                <w:sz w:val="12"/>
              </w:rPr>
            </w:pPr>
            <w:r>
              <w:rPr>
                <w:rFonts w:ascii="Arial MT"/>
                <w:spacing w:val="-2"/>
                <w:sz w:val="12"/>
              </w:rPr>
              <w:t>(5.296)</w:t>
            </w:r>
          </w:p>
        </w:tc>
      </w:tr>
      <w:tr w:rsidR="002C6574" w14:paraId="42720E9F" w14:textId="77777777">
        <w:trPr>
          <w:trHeight w:val="198"/>
        </w:trPr>
        <w:tc>
          <w:tcPr>
            <w:tcW w:w="6063" w:type="dxa"/>
            <w:tcBorders>
              <w:top w:val="single" w:sz="8" w:space="0" w:color="8EAADB"/>
              <w:bottom w:val="single" w:sz="8" w:space="0" w:color="8EAADB"/>
            </w:tcBorders>
          </w:tcPr>
          <w:p w14:paraId="749087D1" w14:textId="77777777" w:rsidR="002C6574" w:rsidRDefault="00000000">
            <w:pPr>
              <w:pStyle w:val="TableParagraph"/>
              <w:spacing w:before="31"/>
              <w:ind w:left="218"/>
              <w:jc w:val="left"/>
              <w:rPr>
                <w:rFonts w:ascii="Arial MT" w:hAnsi="Arial MT"/>
                <w:sz w:val="12"/>
              </w:rPr>
            </w:pPr>
            <w:r>
              <w:rPr>
                <w:rFonts w:ascii="Arial MT" w:hAnsi="Arial MT"/>
                <w:sz w:val="12"/>
              </w:rPr>
              <w:t>Compartilhamento</w:t>
            </w:r>
            <w:r>
              <w:rPr>
                <w:rFonts w:ascii="Arial MT" w:hAnsi="Arial MT"/>
                <w:spacing w:val="-2"/>
                <w:sz w:val="12"/>
              </w:rPr>
              <w:t xml:space="preserve"> </w:t>
            </w:r>
            <w:r>
              <w:rPr>
                <w:rFonts w:ascii="Arial MT" w:hAnsi="Arial MT"/>
                <w:sz w:val="12"/>
              </w:rPr>
              <w:t>de</w:t>
            </w:r>
            <w:r>
              <w:rPr>
                <w:rFonts w:ascii="Arial MT" w:hAnsi="Arial MT"/>
                <w:spacing w:val="-2"/>
                <w:sz w:val="12"/>
              </w:rPr>
              <w:t xml:space="preserve"> Instalações</w:t>
            </w:r>
          </w:p>
        </w:tc>
        <w:tc>
          <w:tcPr>
            <w:tcW w:w="870" w:type="dxa"/>
            <w:tcBorders>
              <w:top w:val="single" w:sz="8" w:space="0" w:color="8EAADB"/>
              <w:bottom w:val="single" w:sz="8" w:space="0" w:color="8EAADB"/>
            </w:tcBorders>
          </w:tcPr>
          <w:p w14:paraId="67B74B25" w14:textId="77777777" w:rsidR="002C6574" w:rsidRDefault="00000000">
            <w:pPr>
              <w:pStyle w:val="TableParagraph"/>
              <w:spacing w:before="31"/>
              <w:ind w:left="299"/>
              <w:jc w:val="left"/>
              <w:rPr>
                <w:rFonts w:ascii="Arial MT"/>
                <w:sz w:val="12"/>
              </w:rPr>
            </w:pPr>
            <w:r>
              <w:rPr>
                <w:rFonts w:ascii="Arial MT"/>
                <w:spacing w:val="-2"/>
                <w:sz w:val="12"/>
              </w:rPr>
              <w:t>(3.877)</w:t>
            </w:r>
          </w:p>
        </w:tc>
        <w:tc>
          <w:tcPr>
            <w:tcW w:w="1260" w:type="dxa"/>
            <w:tcBorders>
              <w:top w:val="single" w:sz="8" w:space="0" w:color="8EAADB"/>
              <w:bottom w:val="single" w:sz="8" w:space="0" w:color="8EAADB"/>
            </w:tcBorders>
          </w:tcPr>
          <w:p w14:paraId="7DCAABC5" w14:textId="77777777" w:rsidR="002C6574" w:rsidRDefault="00000000">
            <w:pPr>
              <w:pStyle w:val="TableParagraph"/>
              <w:spacing w:before="31"/>
              <w:ind w:left="567"/>
              <w:jc w:val="left"/>
              <w:rPr>
                <w:rFonts w:ascii="Arial MT"/>
                <w:sz w:val="12"/>
              </w:rPr>
            </w:pPr>
            <w:r>
              <w:rPr>
                <w:rFonts w:ascii="Arial MT"/>
                <w:spacing w:val="-2"/>
                <w:sz w:val="12"/>
              </w:rPr>
              <w:t>(3.803)</w:t>
            </w:r>
          </w:p>
        </w:tc>
        <w:tc>
          <w:tcPr>
            <w:tcW w:w="895" w:type="dxa"/>
            <w:tcBorders>
              <w:top w:val="single" w:sz="8" w:space="0" w:color="8EAADB"/>
              <w:bottom w:val="single" w:sz="8" w:space="0" w:color="8EAADB"/>
            </w:tcBorders>
          </w:tcPr>
          <w:p w14:paraId="632CA2E5" w14:textId="77777777" w:rsidR="002C6574" w:rsidRDefault="00000000">
            <w:pPr>
              <w:pStyle w:val="TableParagraph"/>
              <w:spacing w:before="31"/>
              <w:ind w:right="67"/>
              <w:rPr>
                <w:rFonts w:ascii="Arial MT"/>
                <w:sz w:val="12"/>
              </w:rPr>
            </w:pPr>
            <w:r>
              <w:rPr>
                <w:rFonts w:ascii="Arial MT"/>
                <w:spacing w:val="-2"/>
                <w:sz w:val="12"/>
              </w:rPr>
              <w:t>(5.379)</w:t>
            </w:r>
          </w:p>
        </w:tc>
      </w:tr>
      <w:tr w:rsidR="002C6574" w14:paraId="432DF16F" w14:textId="77777777">
        <w:trPr>
          <w:trHeight w:val="198"/>
        </w:trPr>
        <w:tc>
          <w:tcPr>
            <w:tcW w:w="6063" w:type="dxa"/>
            <w:tcBorders>
              <w:top w:val="single" w:sz="8" w:space="0" w:color="8EAADB"/>
              <w:bottom w:val="single" w:sz="8" w:space="0" w:color="8EAADB"/>
            </w:tcBorders>
          </w:tcPr>
          <w:p w14:paraId="2CA7C507" w14:textId="77777777" w:rsidR="002C6574" w:rsidRDefault="00000000">
            <w:pPr>
              <w:pStyle w:val="TableParagraph"/>
              <w:spacing w:before="31"/>
              <w:ind w:left="218"/>
              <w:jc w:val="left"/>
              <w:rPr>
                <w:rFonts w:ascii="Arial MT" w:hAnsi="Arial MT"/>
                <w:sz w:val="12"/>
              </w:rPr>
            </w:pPr>
            <w:r>
              <w:rPr>
                <w:rFonts w:ascii="Arial MT" w:hAnsi="Arial MT"/>
                <w:sz w:val="12"/>
              </w:rPr>
              <w:t>Perda</w:t>
            </w:r>
            <w:r>
              <w:rPr>
                <w:rFonts w:ascii="Arial MT" w:hAnsi="Arial MT"/>
                <w:spacing w:val="-1"/>
                <w:sz w:val="12"/>
              </w:rPr>
              <w:t xml:space="preserve"> </w:t>
            </w:r>
            <w:r>
              <w:rPr>
                <w:rFonts w:ascii="Arial MT" w:hAnsi="Arial MT"/>
                <w:sz w:val="12"/>
              </w:rPr>
              <w:t>Estimada</w:t>
            </w:r>
            <w:r>
              <w:rPr>
                <w:rFonts w:ascii="Arial MT" w:hAnsi="Arial MT"/>
                <w:spacing w:val="-1"/>
                <w:sz w:val="12"/>
              </w:rPr>
              <w:t xml:space="preserve"> </w:t>
            </w:r>
            <w:r>
              <w:rPr>
                <w:rFonts w:ascii="Arial MT" w:hAnsi="Arial MT"/>
                <w:sz w:val="12"/>
              </w:rPr>
              <w:t>com</w:t>
            </w:r>
            <w:r>
              <w:rPr>
                <w:rFonts w:ascii="Arial MT" w:hAnsi="Arial MT"/>
                <w:spacing w:val="-1"/>
                <w:sz w:val="12"/>
              </w:rPr>
              <w:t xml:space="preserve"> </w:t>
            </w:r>
            <w:r>
              <w:rPr>
                <w:rFonts w:ascii="Arial MT" w:hAnsi="Arial MT"/>
                <w:sz w:val="12"/>
              </w:rPr>
              <w:t>Crédito</w:t>
            </w:r>
            <w:r>
              <w:rPr>
                <w:rFonts w:ascii="Arial MT" w:hAnsi="Arial MT"/>
                <w:spacing w:val="-3"/>
                <w:sz w:val="12"/>
              </w:rPr>
              <w:t xml:space="preserve"> </w:t>
            </w:r>
            <w:r>
              <w:rPr>
                <w:rFonts w:ascii="Arial MT" w:hAnsi="Arial MT"/>
                <w:sz w:val="12"/>
              </w:rPr>
              <w:t>de</w:t>
            </w:r>
            <w:r>
              <w:rPr>
                <w:rFonts w:ascii="Arial MT" w:hAnsi="Arial MT"/>
                <w:spacing w:val="-1"/>
                <w:sz w:val="12"/>
              </w:rPr>
              <w:t xml:space="preserve"> </w:t>
            </w:r>
            <w:r>
              <w:rPr>
                <w:rFonts w:ascii="Arial MT" w:hAnsi="Arial MT"/>
                <w:sz w:val="12"/>
              </w:rPr>
              <w:t>Liquidação</w:t>
            </w:r>
            <w:r>
              <w:rPr>
                <w:rFonts w:ascii="Arial MT" w:hAnsi="Arial MT"/>
                <w:spacing w:val="-2"/>
                <w:sz w:val="12"/>
              </w:rPr>
              <w:t xml:space="preserve"> Duvidosa</w:t>
            </w:r>
          </w:p>
        </w:tc>
        <w:tc>
          <w:tcPr>
            <w:tcW w:w="870" w:type="dxa"/>
            <w:tcBorders>
              <w:top w:val="single" w:sz="8" w:space="0" w:color="8EAADB"/>
              <w:bottom w:val="single" w:sz="8" w:space="0" w:color="8EAADB"/>
            </w:tcBorders>
          </w:tcPr>
          <w:p w14:paraId="3B3E5A29" w14:textId="77777777" w:rsidR="002C6574" w:rsidRDefault="00000000">
            <w:pPr>
              <w:pStyle w:val="TableParagraph"/>
              <w:spacing w:before="31"/>
              <w:ind w:left="298"/>
              <w:jc w:val="left"/>
              <w:rPr>
                <w:rFonts w:ascii="Arial MT"/>
                <w:sz w:val="12"/>
              </w:rPr>
            </w:pPr>
            <w:r>
              <w:rPr>
                <w:rFonts w:ascii="Arial MT"/>
                <w:spacing w:val="-2"/>
                <w:sz w:val="12"/>
              </w:rPr>
              <w:t>(2.807)</w:t>
            </w:r>
          </w:p>
        </w:tc>
        <w:tc>
          <w:tcPr>
            <w:tcW w:w="1260" w:type="dxa"/>
            <w:tcBorders>
              <w:top w:val="single" w:sz="8" w:space="0" w:color="8EAADB"/>
              <w:bottom w:val="single" w:sz="8" w:space="0" w:color="8EAADB"/>
            </w:tcBorders>
          </w:tcPr>
          <w:p w14:paraId="6215AEB5" w14:textId="77777777" w:rsidR="002C6574" w:rsidRDefault="00000000">
            <w:pPr>
              <w:pStyle w:val="TableParagraph"/>
              <w:spacing w:before="31"/>
              <w:ind w:left="566"/>
              <w:jc w:val="left"/>
              <w:rPr>
                <w:rFonts w:ascii="Arial MT"/>
                <w:sz w:val="12"/>
              </w:rPr>
            </w:pPr>
            <w:r>
              <w:rPr>
                <w:rFonts w:ascii="Arial MT"/>
                <w:spacing w:val="-2"/>
                <w:sz w:val="12"/>
              </w:rPr>
              <w:t>(2.752)</w:t>
            </w:r>
          </w:p>
        </w:tc>
        <w:tc>
          <w:tcPr>
            <w:tcW w:w="895" w:type="dxa"/>
            <w:tcBorders>
              <w:top w:val="single" w:sz="8" w:space="0" w:color="8EAADB"/>
              <w:bottom w:val="single" w:sz="8" w:space="0" w:color="8EAADB"/>
            </w:tcBorders>
          </w:tcPr>
          <w:p w14:paraId="74DC5175" w14:textId="77777777" w:rsidR="002C6574" w:rsidRDefault="00000000">
            <w:pPr>
              <w:pStyle w:val="TableParagraph"/>
              <w:spacing w:before="31"/>
              <w:ind w:right="67"/>
              <w:rPr>
                <w:rFonts w:ascii="Arial MT"/>
                <w:sz w:val="12"/>
              </w:rPr>
            </w:pPr>
            <w:r>
              <w:rPr>
                <w:rFonts w:ascii="Arial MT"/>
                <w:spacing w:val="-2"/>
                <w:sz w:val="12"/>
              </w:rPr>
              <w:t>(1.314)</w:t>
            </w:r>
          </w:p>
        </w:tc>
      </w:tr>
      <w:tr w:rsidR="002C6574" w14:paraId="33DC22A5" w14:textId="77777777">
        <w:trPr>
          <w:trHeight w:val="198"/>
        </w:trPr>
        <w:tc>
          <w:tcPr>
            <w:tcW w:w="6063" w:type="dxa"/>
            <w:tcBorders>
              <w:top w:val="single" w:sz="8" w:space="0" w:color="8EAADB"/>
              <w:bottom w:val="single" w:sz="8" w:space="0" w:color="8EAADB"/>
            </w:tcBorders>
          </w:tcPr>
          <w:p w14:paraId="549419F2" w14:textId="77777777" w:rsidR="002C6574" w:rsidRDefault="00000000">
            <w:pPr>
              <w:pStyle w:val="TableParagraph"/>
              <w:spacing w:before="31"/>
              <w:ind w:left="218"/>
              <w:jc w:val="left"/>
              <w:rPr>
                <w:rFonts w:ascii="Arial MT" w:hAnsi="Arial MT"/>
                <w:sz w:val="12"/>
              </w:rPr>
            </w:pPr>
            <w:r>
              <w:rPr>
                <w:rFonts w:ascii="Arial MT" w:hAnsi="Arial MT"/>
                <w:sz w:val="12"/>
              </w:rPr>
              <w:t>Programa</w:t>
            </w:r>
            <w:r>
              <w:rPr>
                <w:rFonts w:ascii="Arial MT" w:hAnsi="Arial MT"/>
                <w:spacing w:val="-1"/>
                <w:sz w:val="12"/>
              </w:rPr>
              <w:t xml:space="preserve"> </w:t>
            </w:r>
            <w:r>
              <w:rPr>
                <w:rFonts w:ascii="Arial MT" w:hAnsi="Arial MT"/>
                <w:sz w:val="12"/>
              </w:rPr>
              <w:t>de</w:t>
            </w:r>
            <w:r>
              <w:rPr>
                <w:rFonts w:ascii="Arial MT" w:hAnsi="Arial MT"/>
                <w:spacing w:val="-2"/>
                <w:sz w:val="12"/>
              </w:rPr>
              <w:t xml:space="preserve"> </w:t>
            </w:r>
            <w:r>
              <w:rPr>
                <w:rFonts w:ascii="Arial MT" w:hAnsi="Arial MT"/>
                <w:sz w:val="12"/>
              </w:rPr>
              <w:t>Indenização</w:t>
            </w:r>
            <w:r>
              <w:rPr>
                <w:rFonts w:ascii="Arial MT" w:hAnsi="Arial MT"/>
                <w:spacing w:val="-1"/>
                <w:sz w:val="12"/>
              </w:rPr>
              <w:t xml:space="preserve"> </w:t>
            </w:r>
            <w:r>
              <w:rPr>
                <w:rFonts w:ascii="Arial MT" w:hAnsi="Arial MT"/>
                <w:sz w:val="12"/>
              </w:rPr>
              <w:t>por</w:t>
            </w:r>
            <w:r>
              <w:rPr>
                <w:rFonts w:ascii="Arial MT" w:hAnsi="Arial MT"/>
                <w:spacing w:val="-1"/>
                <w:sz w:val="12"/>
              </w:rPr>
              <w:t xml:space="preserve"> </w:t>
            </w:r>
            <w:r>
              <w:rPr>
                <w:rFonts w:ascii="Arial MT" w:hAnsi="Arial MT"/>
                <w:sz w:val="12"/>
              </w:rPr>
              <w:t>Serviços</w:t>
            </w:r>
            <w:r>
              <w:rPr>
                <w:rFonts w:ascii="Arial MT" w:hAnsi="Arial MT"/>
                <w:spacing w:val="-1"/>
                <w:sz w:val="12"/>
              </w:rPr>
              <w:t xml:space="preserve"> </w:t>
            </w:r>
            <w:r>
              <w:rPr>
                <w:rFonts w:ascii="Arial MT" w:hAnsi="Arial MT"/>
                <w:sz w:val="12"/>
              </w:rPr>
              <w:t>Prestados</w:t>
            </w:r>
            <w:r>
              <w:rPr>
                <w:rFonts w:ascii="Arial MT" w:hAnsi="Arial MT"/>
                <w:spacing w:val="-1"/>
                <w:sz w:val="12"/>
              </w:rPr>
              <w:t xml:space="preserve"> </w:t>
            </w:r>
            <w:r>
              <w:rPr>
                <w:rFonts w:ascii="Arial MT" w:hAnsi="Arial MT"/>
                <w:spacing w:val="-2"/>
                <w:sz w:val="12"/>
              </w:rPr>
              <w:t>(PISP)</w:t>
            </w:r>
          </w:p>
        </w:tc>
        <w:tc>
          <w:tcPr>
            <w:tcW w:w="870" w:type="dxa"/>
            <w:tcBorders>
              <w:top w:val="single" w:sz="8" w:space="0" w:color="8EAADB"/>
              <w:bottom w:val="single" w:sz="8" w:space="0" w:color="8EAADB"/>
            </w:tcBorders>
          </w:tcPr>
          <w:p w14:paraId="50B444F6" w14:textId="77777777" w:rsidR="002C6574" w:rsidRDefault="00000000">
            <w:pPr>
              <w:pStyle w:val="TableParagraph"/>
              <w:spacing w:before="31"/>
              <w:ind w:left="299"/>
              <w:jc w:val="left"/>
              <w:rPr>
                <w:rFonts w:ascii="Arial MT"/>
                <w:sz w:val="12"/>
              </w:rPr>
            </w:pPr>
            <w:r>
              <w:rPr>
                <w:rFonts w:ascii="Arial MT"/>
                <w:spacing w:val="-2"/>
                <w:sz w:val="12"/>
              </w:rPr>
              <w:t>(1.733)</w:t>
            </w:r>
          </w:p>
        </w:tc>
        <w:tc>
          <w:tcPr>
            <w:tcW w:w="1260" w:type="dxa"/>
            <w:tcBorders>
              <w:top w:val="single" w:sz="8" w:space="0" w:color="8EAADB"/>
              <w:bottom w:val="single" w:sz="8" w:space="0" w:color="8EAADB"/>
            </w:tcBorders>
          </w:tcPr>
          <w:p w14:paraId="2EC6685C" w14:textId="77777777" w:rsidR="002C6574" w:rsidRDefault="00000000">
            <w:pPr>
              <w:pStyle w:val="TableParagraph"/>
              <w:spacing w:before="31"/>
              <w:ind w:left="668"/>
              <w:jc w:val="left"/>
              <w:rPr>
                <w:rFonts w:ascii="Arial MT"/>
                <w:sz w:val="12"/>
              </w:rPr>
            </w:pPr>
            <w:r>
              <w:rPr>
                <w:rFonts w:ascii="Arial MT"/>
                <w:spacing w:val="-2"/>
                <w:sz w:val="12"/>
              </w:rPr>
              <w:t>(411)</w:t>
            </w:r>
          </w:p>
        </w:tc>
        <w:tc>
          <w:tcPr>
            <w:tcW w:w="895" w:type="dxa"/>
            <w:tcBorders>
              <w:top w:val="single" w:sz="8" w:space="0" w:color="8EAADB"/>
              <w:bottom w:val="single" w:sz="8" w:space="0" w:color="8EAADB"/>
            </w:tcBorders>
          </w:tcPr>
          <w:p w14:paraId="0C9E66D8" w14:textId="77777777" w:rsidR="002C6574" w:rsidRDefault="00000000">
            <w:pPr>
              <w:pStyle w:val="TableParagraph"/>
              <w:spacing w:before="31"/>
              <w:ind w:right="67"/>
              <w:rPr>
                <w:rFonts w:ascii="Arial MT"/>
                <w:sz w:val="12"/>
              </w:rPr>
            </w:pPr>
            <w:r>
              <w:rPr>
                <w:rFonts w:ascii="Arial MT"/>
                <w:spacing w:val="-2"/>
                <w:sz w:val="12"/>
              </w:rPr>
              <w:t>(1.231)</w:t>
            </w:r>
          </w:p>
        </w:tc>
      </w:tr>
      <w:tr w:rsidR="002C6574" w14:paraId="5E78A8C0" w14:textId="77777777">
        <w:trPr>
          <w:trHeight w:val="198"/>
        </w:trPr>
        <w:tc>
          <w:tcPr>
            <w:tcW w:w="6063" w:type="dxa"/>
            <w:tcBorders>
              <w:top w:val="single" w:sz="8" w:space="0" w:color="8EAADB"/>
              <w:bottom w:val="single" w:sz="8" w:space="0" w:color="8EAADB"/>
            </w:tcBorders>
          </w:tcPr>
          <w:p w14:paraId="1F29D3EF" w14:textId="77777777" w:rsidR="002C6574" w:rsidRDefault="00000000">
            <w:pPr>
              <w:pStyle w:val="TableParagraph"/>
              <w:spacing w:before="31"/>
              <w:ind w:left="218"/>
              <w:jc w:val="left"/>
              <w:rPr>
                <w:rFonts w:ascii="Arial MT"/>
                <w:sz w:val="12"/>
              </w:rPr>
            </w:pPr>
            <w:r>
              <w:rPr>
                <w:rFonts w:ascii="Arial MT"/>
                <w:spacing w:val="-2"/>
                <w:sz w:val="12"/>
              </w:rPr>
              <w:t>Material</w:t>
            </w:r>
          </w:p>
        </w:tc>
        <w:tc>
          <w:tcPr>
            <w:tcW w:w="870" w:type="dxa"/>
            <w:tcBorders>
              <w:top w:val="single" w:sz="8" w:space="0" w:color="8EAADB"/>
              <w:bottom w:val="single" w:sz="8" w:space="0" w:color="8EAADB"/>
            </w:tcBorders>
          </w:tcPr>
          <w:p w14:paraId="22B42FF3" w14:textId="77777777" w:rsidR="002C6574" w:rsidRDefault="00000000">
            <w:pPr>
              <w:pStyle w:val="TableParagraph"/>
              <w:spacing w:before="31"/>
              <w:ind w:left="465"/>
              <w:jc w:val="left"/>
              <w:rPr>
                <w:rFonts w:ascii="Arial MT"/>
                <w:sz w:val="12"/>
              </w:rPr>
            </w:pPr>
            <w:r>
              <w:rPr>
                <w:rFonts w:ascii="Arial MT"/>
                <w:spacing w:val="-4"/>
                <w:sz w:val="12"/>
              </w:rPr>
              <w:t>(76)</w:t>
            </w:r>
          </w:p>
        </w:tc>
        <w:tc>
          <w:tcPr>
            <w:tcW w:w="1260" w:type="dxa"/>
            <w:tcBorders>
              <w:top w:val="single" w:sz="8" w:space="0" w:color="8EAADB"/>
              <w:bottom w:val="single" w:sz="8" w:space="0" w:color="8EAADB"/>
            </w:tcBorders>
          </w:tcPr>
          <w:p w14:paraId="75A032A0" w14:textId="77777777" w:rsidR="002C6574" w:rsidRDefault="00000000">
            <w:pPr>
              <w:pStyle w:val="TableParagraph"/>
              <w:spacing w:before="31"/>
              <w:ind w:left="668"/>
              <w:jc w:val="left"/>
              <w:rPr>
                <w:rFonts w:ascii="Arial MT"/>
                <w:sz w:val="12"/>
              </w:rPr>
            </w:pPr>
            <w:r>
              <w:rPr>
                <w:rFonts w:ascii="Arial MT"/>
                <w:spacing w:val="-2"/>
                <w:sz w:val="12"/>
              </w:rPr>
              <w:t>(809)</w:t>
            </w:r>
          </w:p>
        </w:tc>
        <w:tc>
          <w:tcPr>
            <w:tcW w:w="895" w:type="dxa"/>
            <w:tcBorders>
              <w:top w:val="single" w:sz="8" w:space="0" w:color="8EAADB"/>
              <w:bottom w:val="single" w:sz="8" w:space="0" w:color="8EAADB"/>
            </w:tcBorders>
          </w:tcPr>
          <w:p w14:paraId="1DC30A8E" w14:textId="77777777" w:rsidR="002C6574" w:rsidRDefault="00000000">
            <w:pPr>
              <w:pStyle w:val="TableParagraph"/>
              <w:spacing w:before="31"/>
              <w:ind w:right="67"/>
              <w:rPr>
                <w:rFonts w:ascii="Arial MT"/>
                <w:sz w:val="12"/>
              </w:rPr>
            </w:pPr>
            <w:r>
              <w:rPr>
                <w:rFonts w:ascii="Arial MT"/>
                <w:spacing w:val="-2"/>
                <w:sz w:val="12"/>
              </w:rPr>
              <w:t>(2.181)</w:t>
            </w:r>
          </w:p>
        </w:tc>
      </w:tr>
      <w:tr w:rsidR="002C6574" w14:paraId="558DE239" w14:textId="77777777">
        <w:trPr>
          <w:trHeight w:val="198"/>
        </w:trPr>
        <w:tc>
          <w:tcPr>
            <w:tcW w:w="6063" w:type="dxa"/>
            <w:tcBorders>
              <w:top w:val="single" w:sz="8" w:space="0" w:color="8EAADB"/>
              <w:bottom w:val="single" w:sz="8" w:space="0" w:color="8EAADB"/>
            </w:tcBorders>
          </w:tcPr>
          <w:p w14:paraId="55EEAC4F" w14:textId="77777777" w:rsidR="002C6574" w:rsidRDefault="00000000">
            <w:pPr>
              <w:pStyle w:val="TableParagraph"/>
              <w:spacing w:before="31"/>
              <w:ind w:left="218"/>
              <w:jc w:val="left"/>
              <w:rPr>
                <w:rFonts w:ascii="Arial MT" w:hAnsi="Arial MT"/>
                <w:sz w:val="12"/>
              </w:rPr>
            </w:pPr>
            <w:r>
              <w:rPr>
                <w:rFonts w:ascii="Arial MT" w:hAnsi="Arial MT"/>
                <w:sz w:val="12"/>
              </w:rPr>
              <w:t>Equivalência</w:t>
            </w:r>
            <w:r>
              <w:rPr>
                <w:rFonts w:ascii="Arial MT" w:hAnsi="Arial MT"/>
                <w:spacing w:val="-2"/>
                <w:sz w:val="12"/>
              </w:rPr>
              <w:t xml:space="preserve"> Patrimonial</w:t>
            </w:r>
          </w:p>
        </w:tc>
        <w:tc>
          <w:tcPr>
            <w:tcW w:w="870" w:type="dxa"/>
            <w:tcBorders>
              <w:top w:val="single" w:sz="8" w:space="0" w:color="8EAADB"/>
              <w:bottom w:val="single" w:sz="8" w:space="0" w:color="8EAADB"/>
            </w:tcBorders>
          </w:tcPr>
          <w:p w14:paraId="40553561" w14:textId="77777777" w:rsidR="002C6574" w:rsidRDefault="00000000">
            <w:pPr>
              <w:pStyle w:val="TableParagraph"/>
              <w:spacing w:before="31"/>
              <w:ind w:left="479"/>
              <w:jc w:val="left"/>
              <w:rPr>
                <w:rFonts w:ascii="Arial MT"/>
                <w:sz w:val="12"/>
              </w:rPr>
            </w:pPr>
            <w:r>
              <w:rPr>
                <w:rFonts w:ascii="Arial MT"/>
                <w:spacing w:val="-5"/>
                <w:sz w:val="12"/>
              </w:rPr>
              <w:t>369</w:t>
            </w:r>
          </w:p>
        </w:tc>
        <w:tc>
          <w:tcPr>
            <w:tcW w:w="1260" w:type="dxa"/>
            <w:tcBorders>
              <w:top w:val="single" w:sz="8" w:space="0" w:color="8EAADB"/>
              <w:bottom w:val="single" w:sz="8" w:space="0" w:color="8EAADB"/>
            </w:tcBorders>
          </w:tcPr>
          <w:p w14:paraId="1FEDAC8C" w14:textId="77777777" w:rsidR="002C6574" w:rsidRDefault="00000000">
            <w:pPr>
              <w:pStyle w:val="TableParagraph"/>
              <w:spacing w:before="31"/>
              <w:ind w:left="566"/>
              <w:jc w:val="left"/>
              <w:rPr>
                <w:rFonts w:ascii="Arial MT"/>
                <w:sz w:val="12"/>
              </w:rPr>
            </w:pPr>
            <w:r>
              <w:rPr>
                <w:rFonts w:ascii="Arial MT"/>
                <w:spacing w:val="-2"/>
                <w:sz w:val="12"/>
              </w:rPr>
              <w:t>(1.013)</w:t>
            </w:r>
          </w:p>
        </w:tc>
        <w:tc>
          <w:tcPr>
            <w:tcW w:w="895" w:type="dxa"/>
            <w:tcBorders>
              <w:top w:val="single" w:sz="8" w:space="0" w:color="8EAADB"/>
              <w:bottom w:val="single" w:sz="8" w:space="0" w:color="8EAADB"/>
            </w:tcBorders>
          </w:tcPr>
          <w:p w14:paraId="7C013652" w14:textId="77777777" w:rsidR="002C6574" w:rsidRDefault="00000000">
            <w:pPr>
              <w:pStyle w:val="TableParagraph"/>
              <w:spacing w:before="31"/>
              <w:ind w:right="68"/>
              <w:rPr>
                <w:rFonts w:ascii="Arial MT"/>
                <w:sz w:val="12"/>
              </w:rPr>
            </w:pPr>
            <w:r>
              <w:rPr>
                <w:rFonts w:ascii="Arial MT"/>
                <w:spacing w:val="-2"/>
                <w:sz w:val="12"/>
              </w:rPr>
              <w:t>(2.254)</w:t>
            </w:r>
          </w:p>
        </w:tc>
      </w:tr>
      <w:tr w:rsidR="002C6574" w14:paraId="3B3DD219" w14:textId="77777777">
        <w:trPr>
          <w:trHeight w:val="196"/>
        </w:trPr>
        <w:tc>
          <w:tcPr>
            <w:tcW w:w="6063" w:type="dxa"/>
            <w:tcBorders>
              <w:top w:val="single" w:sz="8" w:space="0" w:color="8EAADB"/>
              <w:bottom w:val="single" w:sz="8" w:space="0" w:color="8EAADB"/>
            </w:tcBorders>
          </w:tcPr>
          <w:p w14:paraId="3F2C770E" w14:textId="77777777" w:rsidR="002C6574" w:rsidRDefault="00000000">
            <w:pPr>
              <w:pStyle w:val="TableParagraph"/>
              <w:spacing w:before="28"/>
              <w:ind w:left="218"/>
              <w:jc w:val="left"/>
              <w:rPr>
                <w:rFonts w:ascii="Arial MT"/>
                <w:sz w:val="12"/>
              </w:rPr>
            </w:pPr>
            <w:r>
              <w:rPr>
                <w:rFonts w:ascii="Arial MT"/>
                <w:sz w:val="12"/>
              </w:rPr>
              <w:t>Outras</w:t>
            </w:r>
            <w:r>
              <w:rPr>
                <w:rFonts w:ascii="Arial MT"/>
                <w:spacing w:val="-1"/>
                <w:sz w:val="12"/>
              </w:rPr>
              <w:t xml:space="preserve"> </w:t>
            </w:r>
            <w:r>
              <w:rPr>
                <w:rFonts w:ascii="Arial MT"/>
                <w:sz w:val="12"/>
              </w:rPr>
              <w:t xml:space="preserve">Despesas </w:t>
            </w:r>
            <w:r>
              <w:rPr>
                <w:rFonts w:ascii="Arial MT"/>
                <w:spacing w:val="-2"/>
                <w:sz w:val="12"/>
              </w:rPr>
              <w:t>Operacionais</w:t>
            </w:r>
          </w:p>
        </w:tc>
        <w:tc>
          <w:tcPr>
            <w:tcW w:w="870" w:type="dxa"/>
            <w:tcBorders>
              <w:top w:val="single" w:sz="8" w:space="0" w:color="8EAADB"/>
              <w:bottom w:val="single" w:sz="8" w:space="0" w:color="8EAADB"/>
            </w:tcBorders>
          </w:tcPr>
          <w:p w14:paraId="27E01F77" w14:textId="77777777" w:rsidR="002C6574" w:rsidRDefault="00000000">
            <w:pPr>
              <w:pStyle w:val="TableParagraph"/>
              <w:spacing w:before="28"/>
              <w:ind w:left="231"/>
              <w:jc w:val="left"/>
              <w:rPr>
                <w:rFonts w:ascii="Arial MT"/>
                <w:sz w:val="12"/>
              </w:rPr>
            </w:pPr>
            <w:r>
              <w:rPr>
                <w:rFonts w:ascii="Arial MT"/>
                <w:spacing w:val="-2"/>
                <w:sz w:val="12"/>
              </w:rPr>
              <w:t>(23.886)</w:t>
            </w:r>
          </w:p>
        </w:tc>
        <w:tc>
          <w:tcPr>
            <w:tcW w:w="1260" w:type="dxa"/>
            <w:tcBorders>
              <w:top w:val="single" w:sz="8" w:space="0" w:color="8EAADB"/>
              <w:bottom w:val="single" w:sz="8" w:space="0" w:color="8EAADB"/>
            </w:tcBorders>
          </w:tcPr>
          <w:p w14:paraId="5C23E7BA" w14:textId="77777777" w:rsidR="002C6574" w:rsidRDefault="00000000">
            <w:pPr>
              <w:pStyle w:val="TableParagraph"/>
              <w:spacing w:before="28"/>
              <w:ind w:left="499"/>
              <w:jc w:val="left"/>
              <w:rPr>
                <w:rFonts w:ascii="Arial MT"/>
                <w:sz w:val="12"/>
              </w:rPr>
            </w:pPr>
            <w:r>
              <w:rPr>
                <w:rFonts w:ascii="Arial MT"/>
                <w:spacing w:val="-2"/>
                <w:sz w:val="12"/>
              </w:rPr>
              <w:t>(14.792)</w:t>
            </w:r>
          </w:p>
        </w:tc>
        <w:tc>
          <w:tcPr>
            <w:tcW w:w="895" w:type="dxa"/>
            <w:tcBorders>
              <w:top w:val="single" w:sz="8" w:space="0" w:color="8EAADB"/>
              <w:bottom w:val="single" w:sz="8" w:space="0" w:color="8EAADB"/>
            </w:tcBorders>
          </w:tcPr>
          <w:p w14:paraId="687DC00E" w14:textId="77777777" w:rsidR="002C6574" w:rsidRDefault="00000000">
            <w:pPr>
              <w:pStyle w:val="TableParagraph"/>
              <w:spacing w:before="28"/>
              <w:ind w:right="68"/>
              <w:rPr>
                <w:rFonts w:ascii="Arial MT"/>
                <w:sz w:val="12"/>
              </w:rPr>
            </w:pPr>
            <w:r>
              <w:rPr>
                <w:rFonts w:ascii="Arial MT"/>
                <w:spacing w:val="-2"/>
                <w:sz w:val="12"/>
              </w:rPr>
              <w:t>(55.659)</w:t>
            </w:r>
          </w:p>
        </w:tc>
      </w:tr>
      <w:tr w:rsidR="002C6574" w14:paraId="75235F7E" w14:textId="77777777">
        <w:trPr>
          <w:trHeight w:val="198"/>
        </w:trPr>
        <w:tc>
          <w:tcPr>
            <w:tcW w:w="6063" w:type="dxa"/>
            <w:tcBorders>
              <w:top w:val="single" w:sz="8" w:space="0" w:color="8EAADB"/>
              <w:bottom w:val="single" w:sz="8" w:space="0" w:color="8EAADB"/>
            </w:tcBorders>
          </w:tcPr>
          <w:p w14:paraId="4DB1C9F8" w14:textId="77777777" w:rsidR="002C6574" w:rsidRDefault="00000000">
            <w:pPr>
              <w:pStyle w:val="TableParagraph"/>
              <w:spacing w:before="31"/>
              <w:ind w:left="218"/>
              <w:jc w:val="left"/>
              <w:rPr>
                <w:rFonts w:ascii="Arial MT"/>
                <w:sz w:val="12"/>
              </w:rPr>
            </w:pPr>
            <w:r>
              <w:rPr>
                <w:rFonts w:ascii="Arial MT"/>
                <w:sz w:val="12"/>
              </w:rPr>
              <w:t>Outras</w:t>
            </w:r>
            <w:r>
              <w:rPr>
                <w:rFonts w:ascii="Arial MT"/>
                <w:spacing w:val="-1"/>
                <w:sz w:val="12"/>
              </w:rPr>
              <w:t xml:space="preserve"> </w:t>
            </w:r>
            <w:r>
              <w:rPr>
                <w:rFonts w:ascii="Arial MT"/>
                <w:sz w:val="12"/>
              </w:rPr>
              <w:t>Receitas</w:t>
            </w:r>
            <w:r>
              <w:rPr>
                <w:rFonts w:ascii="Arial MT"/>
                <w:spacing w:val="-1"/>
                <w:sz w:val="12"/>
              </w:rPr>
              <w:t xml:space="preserve"> </w:t>
            </w:r>
            <w:r>
              <w:rPr>
                <w:rFonts w:ascii="Arial MT"/>
                <w:spacing w:val="-2"/>
                <w:sz w:val="12"/>
              </w:rPr>
              <w:t>Operacionais</w:t>
            </w:r>
          </w:p>
        </w:tc>
        <w:tc>
          <w:tcPr>
            <w:tcW w:w="870" w:type="dxa"/>
            <w:tcBorders>
              <w:top w:val="single" w:sz="8" w:space="0" w:color="8EAADB"/>
              <w:bottom w:val="single" w:sz="8" w:space="0" w:color="8EAADB"/>
            </w:tcBorders>
          </w:tcPr>
          <w:p w14:paraId="389E1479" w14:textId="77777777" w:rsidR="002C6574" w:rsidRDefault="00000000">
            <w:pPr>
              <w:pStyle w:val="TableParagraph"/>
              <w:spacing w:before="31"/>
              <w:ind w:left="243"/>
              <w:jc w:val="left"/>
              <w:rPr>
                <w:rFonts w:ascii="Arial MT"/>
                <w:sz w:val="12"/>
              </w:rPr>
            </w:pPr>
            <w:r>
              <w:rPr>
                <w:rFonts w:ascii="Arial MT"/>
                <w:spacing w:val="-2"/>
                <w:sz w:val="12"/>
              </w:rPr>
              <w:t>563.051</w:t>
            </w:r>
          </w:p>
        </w:tc>
        <w:tc>
          <w:tcPr>
            <w:tcW w:w="1260" w:type="dxa"/>
            <w:tcBorders>
              <w:top w:val="single" w:sz="8" w:space="0" w:color="8EAADB"/>
              <w:bottom w:val="single" w:sz="8" w:space="0" w:color="8EAADB"/>
            </w:tcBorders>
          </w:tcPr>
          <w:p w14:paraId="23843695" w14:textId="77777777" w:rsidR="002C6574" w:rsidRDefault="00000000">
            <w:pPr>
              <w:pStyle w:val="TableParagraph"/>
              <w:spacing w:before="31"/>
              <w:ind w:left="512"/>
              <w:jc w:val="left"/>
              <w:rPr>
                <w:rFonts w:ascii="Arial MT"/>
                <w:sz w:val="12"/>
              </w:rPr>
            </w:pPr>
            <w:r>
              <w:rPr>
                <w:rFonts w:ascii="Arial MT"/>
                <w:spacing w:val="-2"/>
                <w:sz w:val="12"/>
              </w:rPr>
              <w:t>373.698</w:t>
            </w:r>
          </w:p>
        </w:tc>
        <w:tc>
          <w:tcPr>
            <w:tcW w:w="895" w:type="dxa"/>
            <w:tcBorders>
              <w:top w:val="single" w:sz="8" w:space="0" w:color="8EAADB"/>
              <w:bottom w:val="single" w:sz="8" w:space="0" w:color="8EAADB"/>
            </w:tcBorders>
          </w:tcPr>
          <w:p w14:paraId="222EB6B1" w14:textId="77777777" w:rsidR="002C6574" w:rsidRDefault="00000000">
            <w:pPr>
              <w:pStyle w:val="TableParagraph"/>
              <w:spacing w:before="31"/>
              <w:ind w:right="69"/>
              <w:rPr>
                <w:rFonts w:ascii="Arial MT"/>
                <w:sz w:val="12"/>
              </w:rPr>
            </w:pPr>
            <w:r>
              <w:rPr>
                <w:rFonts w:ascii="Arial MT"/>
                <w:spacing w:val="-2"/>
                <w:sz w:val="12"/>
              </w:rPr>
              <w:t>296.872</w:t>
            </w:r>
          </w:p>
        </w:tc>
      </w:tr>
      <w:tr w:rsidR="002C6574" w14:paraId="183D97CE" w14:textId="77777777">
        <w:trPr>
          <w:trHeight w:val="198"/>
        </w:trPr>
        <w:tc>
          <w:tcPr>
            <w:tcW w:w="6063" w:type="dxa"/>
            <w:tcBorders>
              <w:top w:val="single" w:sz="8" w:space="0" w:color="8EAADB"/>
              <w:bottom w:val="single" w:sz="8" w:space="0" w:color="8EAADB"/>
            </w:tcBorders>
          </w:tcPr>
          <w:p w14:paraId="691351A4" w14:textId="77777777" w:rsidR="002C6574" w:rsidRDefault="00000000">
            <w:pPr>
              <w:pStyle w:val="TableParagraph"/>
              <w:spacing w:before="31"/>
              <w:ind w:left="117"/>
              <w:jc w:val="left"/>
              <w:rPr>
                <w:rFonts w:ascii="Arial"/>
                <w:b/>
                <w:sz w:val="12"/>
              </w:rPr>
            </w:pPr>
            <w:r>
              <w:rPr>
                <w:rFonts w:ascii="Arial"/>
                <w:b/>
                <w:spacing w:val="-2"/>
                <w:sz w:val="12"/>
              </w:rPr>
              <w:t>EBITDA</w:t>
            </w:r>
          </w:p>
        </w:tc>
        <w:tc>
          <w:tcPr>
            <w:tcW w:w="870" w:type="dxa"/>
            <w:tcBorders>
              <w:top w:val="single" w:sz="8" w:space="0" w:color="8EAADB"/>
              <w:bottom w:val="single" w:sz="8" w:space="0" w:color="8EAADB"/>
            </w:tcBorders>
          </w:tcPr>
          <w:p w14:paraId="252FFDEF" w14:textId="77777777" w:rsidR="002C6574" w:rsidRDefault="00000000">
            <w:pPr>
              <w:pStyle w:val="TableParagraph"/>
              <w:spacing w:before="31"/>
              <w:ind w:left="243"/>
              <w:jc w:val="left"/>
              <w:rPr>
                <w:rFonts w:ascii="Arial"/>
                <w:b/>
                <w:sz w:val="12"/>
              </w:rPr>
            </w:pPr>
            <w:r>
              <w:rPr>
                <w:rFonts w:ascii="Arial"/>
                <w:b/>
                <w:spacing w:val="-2"/>
                <w:sz w:val="12"/>
              </w:rPr>
              <w:t>510.804</w:t>
            </w:r>
          </w:p>
        </w:tc>
        <w:tc>
          <w:tcPr>
            <w:tcW w:w="1260" w:type="dxa"/>
            <w:tcBorders>
              <w:top w:val="single" w:sz="8" w:space="0" w:color="8EAADB"/>
              <w:bottom w:val="single" w:sz="8" w:space="0" w:color="8EAADB"/>
            </w:tcBorders>
          </w:tcPr>
          <w:p w14:paraId="3D2D8F3E" w14:textId="77777777" w:rsidR="002C6574" w:rsidRDefault="00000000">
            <w:pPr>
              <w:pStyle w:val="TableParagraph"/>
              <w:spacing w:before="31"/>
              <w:ind w:left="512"/>
              <w:jc w:val="left"/>
              <w:rPr>
                <w:rFonts w:ascii="Arial"/>
                <w:b/>
                <w:sz w:val="12"/>
              </w:rPr>
            </w:pPr>
            <w:r>
              <w:rPr>
                <w:rFonts w:ascii="Arial"/>
                <w:b/>
                <w:spacing w:val="-2"/>
                <w:sz w:val="12"/>
              </w:rPr>
              <w:t>288.540</w:t>
            </w:r>
          </w:p>
        </w:tc>
        <w:tc>
          <w:tcPr>
            <w:tcW w:w="895" w:type="dxa"/>
            <w:tcBorders>
              <w:top w:val="single" w:sz="8" w:space="0" w:color="8EAADB"/>
              <w:bottom w:val="single" w:sz="8" w:space="0" w:color="8EAADB"/>
            </w:tcBorders>
          </w:tcPr>
          <w:p w14:paraId="17DD1A10" w14:textId="77777777" w:rsidR="002C6574" w:rsidRDefault="00000000">
            <w:pPr>
              <w:pStyle w:val="TableParagraph"/>
              <w:spacing w:before="31"/>
              <w:ind w:right="69"/>
              <w:rPr>
                <w:rFonts w:ascii="Arial"/>
                <w:b/>
                <w:sz w:val="12"/>
              </w:rPr>
            </w:pPr>
            <w:r>
              <w:rPr>
                <w:rFonts w:ascii="Arial"/>
                <w:b/>
                <w:spacing w:val="-2"/>
                <w:sz w:val="12"/>
              </w:rPr>
              <w:t>186.133</w:t>
            </w:r>
          </w:p>
        </w:tc>
      </w:tr>
      <w:tr w:rsidR="002C6574" w14:paraId="31A1E5E4" w14:textId="77777777">
        <w:trPr>
          <w:trHeight w:val="198"/>
        </w:trPr>
        <w:tc>
          <w:tcPr>
            <w:tcW w:w="6063" w:type="dxa"/>
            <w:tcBorders>
              <w:top w:val="single" w:sz="8" w:space="0" w:color="8EAADB"/>
              <w:bottom w:val="single" w:sz="8" w:space="0" w:color="8EAADB"/>
            </w:tcBorders>
          </w:tcPr>
          <w:p w14:paraId="0DF571F6" w14:textId="77777777" w:rsidR="002C6574" w:rsidRDefault="00000000">
            <w:pPr>
              <w:pStyle w:val="TableParagraph"/>
              <w:spacing w:before="31"/>
              <w:ind w:left="218"/>
              <w:jc w:val="left"/>
              <w:rPr>
                <w:rFonts w:ascii="Arial"/>
                <w:b/>
                <w:i/>
                <w:sz w:val="12"/>
              </w:rPr>
            </w:pPr>
            <w:r>
              <w:rPr>
                <w:rFonts w:ascii="Arial"/>
                <w:b/>
                <w:i/>
                <w:sz w:val="12"/>
              </w:rPr>
              <w:t>Margem</w:t>
            </w:r>
            <w:r>
              <w:rPr>
                <w:rFonts w:ascii="Arial"/>
                <w:b/>
                <w:i/>
                <w:spacing w:val="-3"/>
                <w:sz w:val="12"/>
              </w:rPr>
              <w:t xml:space="preserve"> </w:t>
            </w:r>
            <w:r>
              <w:rPr>
                <w:rFonts w:ascii="Arial"/>
                <w:b/>
                <w:i/>
                <w:spacing w:val="-2"/>
                <w:sz w:val="12"/>
              </w:rPr>
              <w:t>EBITDA</w:t>
            </w:r>
          </w:p>
        </w:tc>
        <w:tc>
          <w:tcPr>
            <w:tcW w:w="870" w:type="dxa"/>
            <w:tcBorders>
              <w:top w:val="single" w:sz="8" w:space="0" w:color="8EAADB"/>
              <w:bottom w:val="single" w:sz="8" w:space="0" w:color="8EAADB"/>
            </w:tcBorders>
          </w:tcPr>
          <w:p w14:paraId="1C219FB8" w14:textId="77777777" w:rsidR="002C6574" w:rsidRDefault="00000000">
            <w:pPr>
              <w:pStyle w:val="TableParagraph"/>
              <w:spacing w:before="31"/>
              <w:ind w:left="206"/>
              <w:jc w:val="left"/>
              <w:rPr>
                <w:rFonts w:ascii="Arial"/>
                <w:b/>
                <w:i/>
                <w:sz w:val="12"/>
              </w:rPr>
            </w:pPr>
            <w:r>
              <w:rPr>
                <w:rFonts w:ascii="Arial"/>
                <w:b/>
                <w:i/>
                <w:spacing w:val="-2"/>
                <w:sz w:val="12"/>
              </w:rPr>
              <w:t>104,03%</w:t>
            </w:r>
          </w:p>
        </w:tc>
        <w:tc>
          <w:tcPr>
            <w:tcW w:w="1260" w:type="dxa"/>
            <w:tcBorders>
              <w:top w:val="single" w:sz="8" w:space="0" w:color="8EAADB"/>
              <w:bottom w:val="single" w:sz="8" w:space="0" w:color="8EAADB"/>
            </w:tcBorders>
          </w:tcPr>
          <w:p w14:paraId="50F915E8" w14:textId="77777777" w:rsidR="002C6574" w:rsidRDefault="00000000">
            <w:pPr>
              <w:pStyle w:val="TableParagraph"/>
              <w:spacing w:before="31"/>
              <w:ind w:left="538"/>
              <w:jc w:val="left"/>
              <w:rPr>
                <w:rFonts w:ascii="Arial"/>
                <w:b/>
                <w:i/>
                <w:sz w:val="12"/>
              </w:rPr>
            </w:pPr>
            <w:r>
              <w:rPr>
                <w:rFonts w:ascii="Arial"/>
                <w:b/>
                <w:i/>
                <w:spacing w:val="-2"/>
                <w:sz w:val="12"/>
              </w:rPr>
              <w:t>69,64%</w:t>
            </w:r>
          </w:p>
        </w:tc>
        <w:tc>
          <w:tcPr>
            <w:tcW w:w="895" w:type="dxa"/>
            <w:tcBorders>
              <w:top w:val="single" w:sz="8" w:space="0" w:color="8EAADB"/>
              <w:bottom w:val="single" w:sz="8" w:space="0" w:color="8EAADB"/>
            </w:tcBorders>
          </w:tcPr>
          <w:p w14:paraId="7ECA4ABB" w14:textId="77777777" w:rsidR="002C6574" w:rsidRDefault="00000000">
            <w:pPr>
              <w:pStyle w:val="TableParagraph"/>
              <w:spacing w:before="31"/>
              <w:ind w:right="68"/>
              <w:rPr>
                <w:rFonts w:ascii="Arial"/>
                <w:b/>
                <w:i/>
                <w:sz w:val="12"/>
              </w:rPr>
            </w:pPr>
            <w:r>
              <w:rPr>
                <w:rFonts w:ascii="Arial"/>
                <w:b/>
                <w:i/>
                <w:spacing w:val="-2"/>
                <w:sz w:val="12"/>
              </w:rPr>
              <w:t>44,65%</w:t>
            </w:r>
          </w:p>
        </w:tc>
      </w:tr>
      <w:tr w:rsidR="002C6574" w14:paraId="6C289195" w14:textId="77777777">
        <w:trPr>
          <w:trHeight w:val="198"/>
        </w:trPr>
        <w:tc>
          <w:tcPr>
            <w:tcW w:w="6063" w:type="dxa"/>
            <w:tcBorders>
              <w:top w:val="single" w:sz="8" w:space="0" w:color="8EAADB"/>
              <w:bottom w:val="single" w:sz="8" w:space="0" w:color="8EAADB"/>
            </w:tcBorders>
          </w:tcPr>
          <w:p w14:paraId="2AFD1C58" w14:textId="77777777" w:rsidR="002C6574" w:rsidRDefault="00000000">
            <w:pPr>
              <w:pStyle w:val="TableParagraph"/>
              <w:spacing w:before="31"/>
              <w:ind w:left="184"/>
              <w:jc w:val="left"/>
              <w:rPr>
                <w:rFonts w:ascii="Arial MT" w:hAnsi="Arial MT"/>
                <w:sz w:val="12"/>
              </w:rPr>
            </w:pPr>
            <w:r>
              <w:rPr>
                <w:rFonts w:ascii="Arial MT" w:hAnsi="Arial MT"/>
                <w:sz w:val="12"/>
              </w:rPr>
              <w:t>Depreciação</w:t>
            </w:r>
            <w:r>
              <w:rPr>
                <w:rFonts w:ascii="Arial MT" w:hAnsi="Arial MT"/>
                <w:spacing w:val="-3"/>
                <w:sz w:val="12"/>
              </w:rPr>
              <w:t xml:space="preserve"> </w:t>
            </w:r>
            <w:r>
              <w:rPr>
                <w:rFonts w:ascii="Arial MT" w:hAnsi="Arial MT"/>
                <w:sz w:val="12"/>
              </w:rPr>
              <w:t>e</w:t>
            </w:r>
            <w:r>
              <w:rPr>
                <w:rFonts w:ascii="Arial MT" w:hAnsi="Arial MT"/>
                <w:spacing w:val="1"/>
                <w:sz w:val="12"/>
              </w:rPr>
              <w:t xml:space="preserve"> </w:t>
            </w:r>
            <w:r>
              <w:rPr>
                <w:rFonts w:ascii="Arial MT" w:hAnsi="Arial MT"/>
                <w:spacing w:val="-2"/>
                <w:sz w:val="12"/>
              </w:rPr>
              <w:t>Amortização</w:t>
            </w:r>
          </w:p>
        </w:tc>
        <w:tc>
          <w:tcPr>
            <w:tcW w:w="870" w:type="dxa"/>
            <w:tcBorders>
              <w:top w:val="single" w:sz="8" w:space="0" w:color="8EAADB"/>
              <w:bottom w:val="single" w:sz="8" w:space="0" w:color="8EAADB"/>
            </w:tcBorders>
          </w:tcPr>
          <w:p w14:paraId="4B351E81" w14:textId="77777777" w:rsidR="002C6574" w:rsidRDefault="00000000">
            <w:pPr>
              <w:pStyle w:val="TableParagraph"/>
              <w:spacing w:before="31"/>
              <w:ind w:left="165"/>
              <w:jc w:val="left"/>
              <w:rPr>
                <w:rFonts w:ascii="Arial MT"/>
                <w:sz w:val="12"/>
              </w:rPr>
            </w:pPr>
            <w:r>
              <w:rPr>
                <w:rFonts w:ascii="Arial MT"/>
                <w:spacing w:val="-2"/>
                <w:sz w:val="12"/>
              </w:rPr>
              <w:t>(274.104)</w:t>
            </w:r>
          </w:p>
        </w:tc>
        <w:tc>
          <w:tcPr>
            <w:tcW w:w="1260" w:type="dxa"/>
            <w:tcBorders>
              <w:top w:val="single" w:sz="8" w:space="0" w:color="8EAADB"/>
              <w:bottom w:val="single" w:sz="8" w:space="0" w:color="8EAADB"/>
            </w:tcBorders>
          </w:tcPr>
          <w:p w14:paraId="4FE02017" w14:textId="77777777" w:rsidR="002C6574" w:rsidRDefault="00000000">
            <w:pPr>
              <w:pStyle w:val="TableParagraph"/>
              <w:spacing w:before="31"/>
              <w:ind w:left="431"/>
              <w:jc w:val="left"/>
              <w:rPr>
                <w:rFonts w:ascii="Arial MT"/>
                <w:sz w:val="12"/>
              </w:rPr>
            </w:pPr>
            <w:r>
              <w:rPr>
                <w:rFonts w:ascii="Arial MT"/>
                <w:spacing w:val="-2"/>
                <w:sz w:val="12"/>
              </w:rPr>
              <w:t>(270.044)</w:t>
            </w:r>
          </w:p>
        </w:tc>
        <w:tc>
          <w:tcPr>
            <w:tcW w:w="895" w:type="dxa"/>
            <w:tcBorders>
              <w:top w:val="single" w:sz="8" w:space="0" w:color="8EAADB"/>
              <w:bottom w:val="single" w:sz="8" w:space="0" w:color="8EAADB"/>
            </w:tcBorders>
          </w:tcPr>
          <w:p w14:paraId="643BFB67" w14:textId="77777777" w:rsidR="002C6574" w:rsidRDefault="00000000">
            <w:pPr>
              <w:pStyle w:val="TableParagraph"/>
              <w:spacing w:before="31"/>
              <w:ind w:left="309"/>
              <w:jc w:val="left"/>
              <w:rPr>
                <w:rFonts w:ascii="Arial MT"/>
                <w:sz w:val="12"/>
              </w:rPr>
            </w:pPr>
            <w:r>
              <w:rPr>
                <w:rFonts w:ascii="Arial MT"/>
                <w:spacing w:val="-2"/>
                <w:sz w:val="12"/>
              </w:rPr>
              <w:t>(253.540)</w:t>
            </w:r>
          </w:p>
        </w:tc>
      </w:tr>
      <w:tr w:rsidR="002C6574" w14:paraId="3B4A8260" w14:textId="77777777">
        <w:trPr>
          <w:trHeight w:val="198"/>
        </w:trPr>
        <w:tc>
          <w:tcPr>
            <w:tcW w:w="6063" w:type="dxa"/>
            <w:tcBorders>
              <w:top w:val="single" w:sz="8" w:space="0" w:color="8EAADB"/>
              <w:bottom w:val="single" w:sz="8" w:space="0" w:color="8EAADB"/>
            </w:tcBorders>
          </w:tcPr>
          <w:p w14:paraId="6B65E1EF" w14:textId="77777777" w:rsidR="002C6574" w:rsidRDefault="00000000">
            <w:pPr>
              <w:pStyle w:val="TableParagraph"/>
              <w:spacing w:before="31"/>
              <w:ind w:left="117"/>
              <w:jc w:val="left"/>
              <w:rPr>
                <w:rFonts w:ascii="Arial"/>
                <w:b/>
                <w:sz w:val="12"/>
              </w:rPr>
            </w:pPr>
            <w:r>
              <w:rPr>
                <w:rFonts w:ascii="Arial"/>
                <w:b/>
                <w:spacing w:val="-4"/>
                <w:sz w:val="12"/>
              </w:rPr>
              <w:t>EBIT</w:t>
            </w:r>
          </w:p>
        </w:tc>
        <w:tc>
          <w:tcPr>
            <w:tcW w:w="870" w:type="dxa"/>
            <w:tcBorders>
              <w:top w:val="single" w:sz="8" w:space="0" w:color="8EAADB"/>
              <w:bottom w:val="single" w:sz="8" w:space="0" w:color="8EAADB"/>
            </w:tcBorders>
          </w:tcPr>
          <w:p w14:paraId="3E9981BD" w14:textId="77777777" w:rsidR="002C6574" w:rsidRDefault="00000000">
            <w:pPr>
              <w:pStyle w:val="TableParagraph"/>
              <w:spacing w:before="31"/>
              <w:ind w:left="244"/>
              <w:jc w:val="left"/>
              <w:rPr>
                <w:rFonts w:ascii="Arial"/>
                <w:b/>
                <w:sz w:val="12"/>
              </w:rPr>
            </w:pPr>
            <w:r>
              <w:rPr>
                <w:rFonts w:ascii="Arial"/>
                <w:b/>
                <w:spacing w:val="-2"/>
                <w:sz w:val="12"/>
              </w:rPr>
              <w:t>236.700</w:t>
            </w:r>
          </w:p>
        </w:tc>
        <w:tc>
          <w:tcPr>
            <w:tcW w:w="1260" w:type="dxa"/>
            <w:tcBorders>
              <w:top w:val="single" w:sz="8" w:space="0" w:color="8EAADB"/>
              <w:bottom w:val="single" w:sz="8" w:space="0" w:color="8EAADB"/>
            </w:tcBorders>
          </w:tcPr>
          <w:p w14:paraId="22130980" w14:textId="77777777" w:rsidR="002C6574" w:rsidRDefault="00000000">
            <w:pPr>
              <w:pStyle w:val="TableParagraph"/>
              <w:spacing w:before="31"/>
              <w:ind w:left="578"/>
              <w:jc w:val="left"/>
              <w:rPr>
                <w:rFonts w:ascii="Arial"/>
                <w:b/>
                <w:sz w:val="12"/>
              </w:rPr>
            </w:pPr>
            <w:r>
              <w:rPr>
                <w:rFonts w:ascii="Arial"/>
                <w:b/>
                <w:spacing w:val="-2"/>
                <w:sz w:val="12"/>
              </w:rPr>
              <w:t>18.496</w:t>
            </w:r>
          </w:p>
        </w:tc>
        <w:tc>
          <w:tcPr>
            <w:tcW w:w="895" w:type="dxa"/>
            <w:tcBorders>
              <w:top w:val="single" w:sz="8" w:space="0" w:color="8EAADB"/>
              <w:bottom w:val="single" w:sz="8" w:space="0" w:color="8EAADB"/>
            </w:tcBorders>
          </w:tcPr>
          <w:p w14:paraId="4F60452C" w14:textId="77777777" w:rsidR="002C6574" w:rsidRDefault="00000000">
            <w:pPr>
              <w:pStyle w:val="TableParagraph"/>
              <w:spacing w:before="31"/>
              <w:ind w:right="68"/>
              <w:rPr>
                <w:rFonts w:ascii="Arial"/>
                <w:b/>
                <w:sz w:val="12"/>
              </w:rPr>
            </w:pPr>
            <w:r>
              <w:rPr>
                <w:rFonts w:ascii="Arial"/>
                <w:b/>
                <w:spacing w:val="-2"/>
                <w:sz w:val="12"/>
              </w:rPr>
              <w:t>(67.407)</w:t>
            </w:r>
          </w:p>
        </w:tc>
      </w:tr>
      <w:tr w:rsidR="002C6574" w14:paraId="456E74E8" w14:textId="77777777">
        <w:trPr>
          <w:trHeight w:val="195"/>
        </w:trPr>
        <w:tc>
          <w:tcPr>
            <w:tcW w:w="6063" w:type="dxa"/>
            <w:tcBorders>
              <w:top w:val="single" w:sz="8" w:space="0" w:color="8EAADB"/>
              <w:bottom w:val="single" w:sz="8" w:space="0" w:color="8EAADB"/>
            </w:tcBorders>
          </w:tcPr>
          <w:p w14:paraId="34786B1A" w14:textId="77777777" w:rsidR="002C6574" w:rsidRDefault="00000000">
            <w:pPr>
              <w:pStyle w:val="TableParagraph"/>
              <w:spacing w:before="28"/>
              <w:ind w:left="184"/>
              <w:jc w:val="left"/>
              <w:rPr>
                <w:rFonts w:ascii="Arial MT"/>
                <w:sz w:val="12"/>
              </w:rPr>
            </w:pPr>
            <w:r>
              <w:rPr>
                <w:rFonts w:ascii="Arial MT"/>
                <w:sz w:val="12"/>
              </w:rPr>
              <w:t>Resultado</w:t>
            </w:r>
            <w:r>
              <w:rPr>
                <w:rFonts w:ascii="Arial MT"/>
                <w:spacing w:val="-4"/>
                <w:sz w:val="12"/>
              </w:rPr>
              <w:t xml:space="preserve"> </w:t>
            </w:r>
            <w:r>
              <w:rPr>
                <w:rFonts w:ascii="Arial MT"/>
                <w:spacing w:val="-2"/>
                <w:sz w:val="12"/>
              </w:rPr>
              <w:t>Financeiro</w:t>
            </w:r>
          </w:p>
        </w:tc>
        <w:tc>
          <w:tcPr>
            <w:tcW w:w="870" w:type="dxa"/>
            <w:tcBorders>
              <w:top w:val="single" w:sz="8" w:space="0" w:color="8EAADB"/>
              <w:bottom w:val="single" w:sz="8" w:space="0" w:color="8EAADB"/>
            </w:tcBorders>
          </w:tcPr>
          <w:p w14:paraId="0AB19034" w14:textId="77777777" w:rsidR="002C6574" w:rsidRDefault="00000000">
            <w:pPr>
              <w:pStyle w:val="TableParagraph"/>
              <w:spacing w:before="28"/>
              <w:ind w:left="232"/>
              <w:jc w:val="left"/>
              <w:rPr>
                <w:rFonts w:ascii="Arial MT"/>
                <w:sz w:val="12"/>
              </w:rPr>
            </w:pPr>
            <w:r>
              <w:rPr>
                <w:rFonts w:ascii="Arial MT"/>
                <w:spacing w:val="-2"/>
                <w:sz w:val="12"/>
              </w:rPr>
              <w:t>(54.264)</w:t>
            </w:r>
          </w:p>
        </w:tc>
        <w:tc>
          <w:tcPr>
            <w:tcW w:w="1260" w:type="dxa"/>
            <w:tcBorders>
              <w:top w:val="single" w:sz="8" w:space="0" w:color="8EAADB"/>
              <w:bottom w:val="single" w:sz="8" w:space="0" w:color="8EAADB"/>
            </w:tcBorders>
          </w:tcPr>
          <w:p w14:paraId="58F5C081" w14:textId="77777777" w:rsidR="002C6574" w:rsidRDefault="00000000">
            <w:pPr>
              <w:pStyle w:val="TableParagraph"/>
              <w:spacing w:before="28"/>
              <w:ind w:left="499"/>
              <w:jc w:val="left"/>
              <w:rPr>
                <w:rFonts w:ascii="Arial MT"/>
                <w:sz w:val="12"/>
              </w:rPr>
            </w:pPr>
            <w:r>
              <w:rPr>
                <w:rFonts w:ascii="Arial MT"/>
                <w:spacing w:val="-2"/>
                <w:sz w:val="12"/>
              </w:rPr>
              <w:t>(85.068)</w:t>
            </w:r>
          </w:p>
        </w:tc>
        <w:tc>
          <w:tcPr>
            <w:tcW w:w="895" w:type="dxa"/>
            <w:tcBorders>
              <w:top w:val="single" w:sz="8" w:space="0" w:color="8EAADB"/>
              <w:bottom w:val="single" w:sz="8" w:space="0" w:color="8EAADB"/>
            </w:tcBorders>
          </w:tcPr>
          <w:p w14:paraId="66E6F5BE" w14:textId="77777777" w:rsidR="002C6574" w:rsidRDefault="00000000">
            <w:pPr>
              <w:pStyle w:val="TableParagraph"/>
              <w:spacing w:before="28"/>
              <w:ind w:right="68"/>
              <w:rPr>
                <w:rFonts w:ascii="Arial MT"/>
                <w:sz w:val="12"/>
              </w:rPr>
            </w:pPr>
            <w:r>
              <w:rPr>
                <w:rFonts w:ascii="Arial MT"/>
                <w:spacing w:val="-2"/>
                <w:sz w:val="12"/>
              </w:rPr>
              <w:t>(59.950)</w:t>
            </w:r>
          </w:p>
        </w:tc>
      </w:tr>
      <w:tr w:rsidR="002C6574" w14:paraId="7F752657" w14:textId="77777777">
        <w:trPr>
          <w:trHeight w:val="198"/>
        </w:trPr>
        <w:tc>
          <w:tcPr>
            <w:tcW w:w="6063" w:type="dxa"/>
            <w:tcBorders>
              <w:top w:val="single" w:sz="8" w:space="0" w:color="8EAADB"/>
              <w:bottom w:val="single" w:sz="8" w:space="0" w:color="8EAADB"/>
            </w:tcBorders>
          </w:tcPr>
          <w:p w14:paraId="3987BDED" w14:textId="77777777" w:rsidR="002C6574" w:rsidRDefault="00000000">
            <w:pPr>
              <w:pStyle w:val="TableParagraph"/>
              <w:spacing w:before="31"/>
              <w:ind w:left="117"/>
              <w:jc w:val="left"/>
              <w:rPr>
                <w:rFonts w:ascii="Arial" w:hAnsi="Arial"/>
                <w:b/>
                <w:sz w:val="12"/>
              </w:rPr>
            </w:pPr>
            <w:r>
              <w:rPr>
                <w:rFonts w:ascii="Arial" w:hAnsi="Arial"/>
                <w:b/>
                <w:sz w:val="12"/>
              </w:rPr>
              <w:t>RESULTADO</w:t>
            </w:r>
            <w:r>
              <w:rPr>
                <w:rFonts w:ascii="Arial" w:hAnsi="Arial"/>
                <w:b/>
                <w:spacing w:val="-2"/>
                <w:sz w:val="12"/>
              </w:rPr>
              <w:t xml:space="preserve"> </w:t>
            </w:r>
            <w:r>
              <w:rPr>
                <w:rFonts w:ascii="Arial" w:hAnsi="Arial"/>
                <w:b/>
                <w:sz w:val="12"/>
              </w:rPr>
              <w:t>ANTES</w:t>
            </w:r>
            <w:r>
              <w:rPr>
                <w:rFonts w:ascii="Arial" w:hAnsi="Arial"/>
                <w:b/>
                <w:spacing w:val="-1"/>
                <w:sz w:val="12"/>
              </w:rPr>
              <w:t xml:space="preserve"> </w:t>
            </w:r>
            <w:r>
              <w:rPr>
                <w:rFonts w:ascii="Arial" w:hAnsi="Arial"/>
                <w:b/>
                <w:sz w:val="12"/>
              </w:rPr>
              <w:t>DAS</w:t>
            </w:r>
            <w:r>
              <w:rPr>
                <w:rFonts w:ascii="Arial" w:hAnsi="Arial"/>
                <w:b/>
                <w:spacing w:val="-1"/>
                <w:sz w:val="12"/>
              </w:rPr>
              <w:t xml:space="preserve"> </w:t>
            </w:r>
            <w:r>
              <w:rPr>
                <w:rFonts w:ascii="Arial" w:hAnsi="Arial"/>
                <w:b/>
                <w:spacing w:val="-2"/>
                <w:sz w:val="12"/>
              </w:rPr>
              <w:t>DEDUÇÕES/PARTICIPAÇÕES</w:t>
            </w:r>
          </w:p>
        </w:tc>
        <w:tc>
          <w:tcPr>
            <w:tcW w:w="870" w:type="dxa"/>
            <w:tcBorders>
              <w:top w:val="single" w:sz="8" w:space="0" w:color="8EAADB"/>
              <w:bottom w:val="single" w:sz="8" w:space="0" w:color="8EAADB"/>
            </w:tcBorders>
          </w:tcPr>
          <w:p w14:paraId="278DF82D" w14:textId="77777777" w:rsidR="002C6574" w:rsidRDefault="00000000">
            <w:pPr>
              <w:pStyle w:val="TableParagraph"/>
              <w:spacing w:before="31"/>
              <w:ind w:left="243"/>
              <w:jc w:val="left"/>
              <w:rPr>
                <w:rFonts w:ascii="Arial"/>
                <w:b/>
                <w:sz w:val="12"/>
              </w:rPr>
            </w:pPr>
            <w:r>
              <w:rPr>
                <w:rFonts w:ascii="Arial"/>
                <w:b/>
                <w:spacing w:val="-2"/>
                <w:sz w:val="12"/>
              </w:rPr>
              <w:t>182.436</w:t>
            </w:r>
          </w:p>
        </w:tc>
        <w:tc>
          <w:tcPr>
            <w:tcW w:w="1260" w:type="dxa"/>
            <w:tcBorders>
              <w:top w:val="single" w:sz="8" w:space="0" w:color="8EAADB"/>
              <w:bottom w:val="single" w:sz="8" w:space="0" w:color="8EAADB"/>
            </w:tcBorders>
          </w:tcPr>
          <w:p w14:paraId="0C76B057" w14:textId="77777777" w:rsidR="002C6574" w:rsidRDefault="00000000">
            <w:pPr>
              <w:pStyle w:val="TableParagraph"/>
              <w:spacing w:before="31"/>
              <w:ind w:right="313"/>
              <w:rPr>
                <w:rFonts w:ascii="Arial"/>
                <w:b/>
                <w:sz w:val="12"/>
              </w:rPr>
            </w:pPr>
            <w:r>
              <w:rPr>
                <w:rFonts w:ascii="Arial"/>
                <w:b/>
                <w:spacing w:val="-10"/>
                <w:sz w:val="12"/>
              </w:rPr>
              <w:t>-</w:t>
            </w:r>
          </w:p>
        </w:tc>
        <w:tc>
          <w:tcPr>
            <w:tcW w:w="895" w:type="dxa"/>
            <w:tcBorders>
              <w:top w:val="single" w:sz="8" w:space="0" w:color="8EAADB"/>
              <w:bottom w:val="single" w:sz="8" w:space="0" w:color="8EAADB"/>
            </w:tcBorders>
          </w:tcPr>
          <w:p w14:paraId="4057B2DA" w14:textId="77777777" w:rsidR="002C6574" w:rsidRDefault="00000000">
            <w:pPr>
              <w:pStyle w:val="TableParagraph"/>
              <w:spacing w:before="31"/>
              <w:ind w:right="70"/>
              <w:rPr>
                <w:rFonts w:ascii="Arial"/>
                <w:b/>
                <w:sz w:val="12"/>
              </w:rPr>
            </w:pPr>
            <w:r>
              <w:rPr>
                <w:rFonts w:ascii="Arial"/>
                <w:b/>
                <w:spacing w:val="-10"/>
                <w:sz w:val="12"/>
              </w:rPr>
              <w:t>-</w:t>
            </w:r>
          </w:p>
        </w:tc>
      </w:tr>
      <w:tr w:rsidR="002C6574" w14:paraId="64C36B98" w14:textId="77777777">
        <w:trPr>
          <w:trHeight w:val="198"/>
        </w:trPr>
        <w:tc>
          <w:tcPr>
            <w:tcW w:w="6063" w:type="dxa"/>
            <w:tcBorders>
              <w:top w:val="single" w:sz="8" w:space="0" w:color="8EAADB"/>
              <w:bottom w:val="single" w:sz="8" w:space="0" w:color="8EAADB"/>
            </w:tcBorders>
          </w:tcPr>
          <w:p w14:paraId="4C4CCCF1" w14:textId="77777777" w:rsidR="002C6574" w:rsidRDefault="00000000">
            <w:pPr>
              <w:pStyle w:val="TableParagraph"/>
              <w:spacing w:before="31"/>
              <w:ind w:left="117"/>
              <w:jc w:val="left"/>
              <w:rPr>
                <w:rFonts w:ascii="Arial" w:hAnsi="Arial"/>
                <w:b/>
                <w:sz w:val="12"/>
              </w:rPr>
            </w:pPr>
            <w:r>
              <w:rPr>
                <w:rFonts w:ascii="Arial" w:hAnsi="Arial"/>
                <w:b/>
                <w:sz w:val="12"/>
              </w:rPr>
              <w:t>DEDUÇÕES</w:t>
            </w:r>
            <w:r>
              <w:rPr>
                <w:rFonts w:ascii="Arial" w:hAnsi="Arial"/>
                <w:b/>
                <w:spacing w:val="-3"/>
                <w:sz w:val="12"/>
              </w:rPr>
              <w:t xml:space="preserve"> </w:t>
            </w:r>
            <w:r>
              <w:rPr>
                <w:rFonts w:ascii="Arial" w:hAnsi="Arial"/>
                <w:b/>
                <w:sz w:val="12"/>
              </w:rPr>
              <w:t>DO</w:t>
            </w:r>
            <w:r>
              <w:rPr>
                <w:rFonts w:ascii="Arial" w:hAnsi="Arial"/>
                <w:b/>
                <w:spacing w:val="-1"/>
                <w:sz w:val="12"/>
              </w:rPr>
              <w:t xml:space="preserve"> </w:t>
            </w:r>
            <w:r>
              <w:rPr>
                <w:rFonts w:ascii="Arial" w:hAnsi="Arial"/>
                <w:b/>
                <w:spacing w:val="-2"/>
                <w:sz w:val="12"/>
              </w:rPr>
              <w:t>RESULTADO</w:t>
            </w:r>
          </w:p>
        </w:tc>
        <w:tc>
          <w:tcPr>
            <w:tcW w:w="870" w:type="dxa"/>
            <w:tcBorders>
              <w:top w:val="single" w:sz="8" w:space="0" w:color="8EAADB"/>
              <w:bottom w:val="single" w:sz="8" w:space="0" w:color="8EAADB"/>
            </w:tcBorders>
          </w:tcPr>
          <w:p w14:paraId="395F24C6" w14:textId="77777777" w:rsidR="002C6574" w:rsidRDefault="00000000">
            <w:pPr>
              <w:pStyle w:val="TableParagraph"/>
              <w:spacing w:before="31"/>
              <w:ind w:left="232"/>
              <w:jc w:val="left"/>
              <w:rPr>
                <w:rFonts w:ascii="Arial"/>
                <w:b/>
                <w:sz w:val="12"/>
              </w:rPr>
            </w:pPr>
            <w:r>
              <w:rPr>
                <w:rFonts w:ascii="Arial"/>
                <w:b/>
                <w:spacing w:val="-2"/>
                <w:sz w:val="12"/>
              </w:rPr>
              <w:t>(41.932)</w:t>
            </w:r>
          </w:p>
        </w:tc>
        <w:tc>
          <w:tcPr>
            <w:tcW w:w="1260" w:type="dxa"/>
            <w:tcBorders>
              <w:top w:val="single" w:sz="8" w:space="0" w:color="8EAADB"/>
              <w:bottom w:val="single" w:sz="8" w:space="0" w:color="8EAADB"/>
            </w:tcBorders>
          </w:tcPr>
          <w:p w14:paraId="12129700" w14:textId="77777777" w:rsidR="002C6574" w:rsidRDefault="00000000">
            <w:pPr>
              <w:pStyle w:val="TableParagraph"/>
              <w:spacing w:before="31"/>
              <w:ind w:right="312"/>
              <w:rPr>
                <w:rFonts w:ascii="Arial"/>
                <w:b/>
                <w:sz w:val="12"/>
              </w:rPr>
            </w:pPr>
            <w:r>
              <w:rPr>
                <w:rFonts w:ascii="Arial"/>
                <w:b/>
                <w:spacing w:val="-10"/>
                <w:sz w:val="12"/>
              </w:rPr>
              <w:t>-</w:t>
            </w:r>
          </w:p>
        </w:tc>
        <w:tc>
          <w:tcPr>
            <w:tcW w:w="895" w:type="dxa"/>
            <w:tcBorders>
              <w:top w:val="single" w:sz="8" w:space="0" w:color="8EAADB"/>
              <w:bottom w:val="single" w:sz="8" w:space="0" w:color="8EAADB"/>
            </w:tcBorders>
          </w:tcPr>
          <w:p w14:paraId="6E379105" w14:textId="77777777" w:rsidR="002C6574" w:rsidRDefault="00000000">
            <w:pPr>
              <w:pStyle w:val="TableParagraph"/>
              <w:spacing w:before="31"/>
              <w:ind w:right="70"/>
              <w:rPr>
                <w:rFonts w:ascii="Arial"/>
                <w:b/>
                <w:sz w:val="12"/>
              </w:rPr>
            </w:pPr>
            <w:r>
              <w:rPr>
                <w:rFonts w:ascii="Arial"/>
                <w:b/>
                <w:spacing w:val="-10"/>
                <w:sz w:val="12"/>
              </w:rPr>
              <w:t>-</w:t>
            </w:r>
          </w:p>
        </w:tc>
      </w:tr>
      <w:tr w:rsidR="002C6574" w14:paraId="29297749" w14:textId="77777777">
        <w:trPr>
          <w:trHeight w:val="198"/>
        </w:trPr>
        <w:tc>
          <w:tcPr>
            <w:tcW w:w="6063" w:type="dxa"/>
            <w:tcBorders>
              <w:top w:val="single" w:sz="8" w:space="0" w:color="8EAADB"/>
              <w:bottom w:val="single" w:sz="8" w:space="0" w:color="8EAADB"/>
            </w:tcBorders>
          </w:tcPr>
          <w:p w14:paraId="38038CF2" w14:textId="77777777" w:rsidR="002C6574" w:rsidRDefault="00000000">
            <w:pPr>
              <w:pStyle w:val="TableParagraph"/>
              <w:spacing w:before="31"/>
              <w:ind w:left="218"/>
              <w:jc w:val="left"/>
              <w:rPr>
                <w:rFonts w:ascii="Arial MT" w:hAnsi="Arial MT"/>
                <w:sz w:val="12"/>
              </w:rPr>
            </w:pPr>
            <w:r>
              <w:rPr>
                <w:rFonts w:ascii="Arial MT" w:hAnsi="Arial MT"/>
                <w:sz w:val="12"/>
              </w:rPr>
              <w:t>Imposto</w:t>
            </w:r>
            <w:r>
              <w:rPr>
                <w:rFonts w:ascii="Arial MT" w:hAnsi="Arial MT"/>
                <w:spacing w:val="-1"/>
                <w:sz w:val="12"/>
              </w:rPr>
              <w:t xml:space="preserve"> </w:t>
            </w:r>
            <w:r>
              <w:rPr>
                <w:rFonts w:ascii="Arial MT" w:hAnsi="Arial MT"/>
                <w:sz w:val="12"/>
              </w:rPr>
              <w:t>de Renda e</w:t>
            </w:r>
            <w:r>
              <w:rPr>
                <w:rFonts w:ascii="Arial MT" w:hAnsi="Arial MT"/>
                <w:spacing w:val="-1"/>
                <w:sz w:val="12"/>
              </w:rPr>
              <w:t xml:space="preserve"> </w:t>
            </w:r>
            <w:r>
              <w:rPr>
                <w:rFonts w:ascii="Arial MT" w:hAnsi="Arial MT"/>
                <w:sz w:val="12"/>
              </w:rPr>
              <w:t>Contribuição</w:t>
            </w:r>
            <w:r>
              <w:rPr>
                <w:rFonts w:ascii="Arial MT" w:hAnsi="Arial MT"/>
                <w:spacing w:val="-2"/>
                <w:sz w:val="12"/>
              </w:rPr>
              <w:t xml:space="preserve"> </w:t>
            </w:r>
            <w:r>
              <w:rPr>
                <w:rFonts w:ascii="Arial MT" w:hAnsi="Arial MT"/>
                <w:sz w:val="12"/>
              </w:rPr>
              <w:t>Social</w:t>
            </w:r>
            <w:r>
              <w:rPr>
                <w:rFonts w:ascii="Arial MT" w:hAnsi="Arial MT"/>
                <w:spacing w:val="-1"/>
                <w:sz w:val="12"/>
              </w:rPr>
              <w:t xml:space="preserve"> </w:t>
            </w:r>
            <w:r>
              <w:rPr>
                <w:rFonts w:ascii="Arial MT" w:hAnsi="Arial MT"/>
                <w:sz w:val="12"/>
              </w:rPr>
              <w:t>sobre o</w:t>
            </w:r>
            <w:r>
              <w:rPr>
                <w:rFonts w:ascii="Arial MT" w:hAnsi="Arial MT"/>
                <w:spacing w:val="-1"/>
                <w:sz w:val="12"/>
              </w:rPr>
              <w:t xml:space="preserve"> </w:t>
            </w:r>
            <w:r>
              <w:rPr>
                <w:rFonts w:ascii="Arial MT" w:hAnsi="Arial MT"/>
                <w:sz w:val="12"/>
              </w:rPr>
              <w:t>Lucro</w:t>
            </w:r>
            <w:r>
              <w:rPr>
                <w:rFonts w:ascii="Arial MT" w:hAnsi="Arial MT"/>
                <w:spacing w:val="-1"/>
                <w:sz w:val="12"/>
              </w:rPr>
              <w:t xml:space="preserve"> </w:t>
            </w:r>
            <w:r>
              <w:rPr>
                <w:rFonts w:ascii="Arial MT" w:hAnsi="Arial MT"/>
                <w:spacing w:val="-2"/>
                <w:sz w:val="12"/>
              </w:rPr>
              <w:t>Líquido</w:t>
            </w:r>
          </w:p>
        </w:tc>
        <w:tc>
          <w:tcPr>
            <w:tcW w:w="870" w:type="dxa"/>
            <w:tcBorders>
              <w:top w:val="single" w:sz="8" w:space="0" w:color="8EAADB"/>
              <w:bottom w:val="single" w:sz="8" w:space="0" w:color="8EAADB"/>
            </w:tcBorders>
          </w:tcPr>
          <w:p w14:paraId="7B42FAE0" w14:textId="77777777" w:rsidR="002C6574" w:rsidRDefault="00000000">
            <w:pPr>
              <w:pStyle w:val="TableParagraph"/>
              <w:spacing w:before="31"/>
              <w:ind w:left="231"/>
              <w:jc w:val="left"/>
              <w:rPr>
                <w:rFonts w:ascii="Arial MT"/>
                <w:sz w:val="12"/>
              </w:rPr>
            </w:pPr>
            <w:r>
              <w:rPr>
                <w:rFonts w:ascii="Arial MT"/>
                <w:spacing w:val="-2"/>
                <w:sz w:val="12"/>
              </w:rPr>
              <w:t>(41.932)</w:t>
            </w:r>
          </w:p>
        </w:tc>
        <w:tc>
          <w:tcPr>
            <w:tcW w:w="1260" w:type="dxa"/>
            <w:tcBorders>
              <w:top w:val="single" w:sz="8" w:space="0" w:color="8EAADB"/>
              <w:bottom w:val="single" w:sz="8" w:space="0" w:color="8EAADB"/>
            </w:tcBorders>
          </w:tcPr>
          <w:p w14:paraId="539F50D8" w14:textId="77777777" w:rsidR="002C6574" w:rsidRDefault="00000000">
            <w:pPr>
              <w:pStyle w:val="TableParagraph"/>
              <w:spacing w:before="31"/>
              <w:ind w:right="312"/>
              <w:rPr>
                <w:rFonts w:ascii="Arial MT"/>
                <w:sz w:val="12"/>
              </w:rPr>
            </w:pPr>
            <w:r>
              <w:rPr>
                <w:rFonts w:ascii="Arial MT"/>
                <w:spacing w:val="-10"/>
                <w:sz w:val="12"/>
              </w:rPr>
              <w:t>-</w:t>
            </w:r>
          </w:p>
        </w:tc>
        <w:tc>
          <w:tcPr>
            <w:tcW w:w="895" w:type="dxa"/>
            <w:tcBorders>
              <w:top w:val="single" w:sz="8" w:space="0" w:color="8EAADB"/>
              <w:bottom w:val="single" w:sz="8" w:space="0" w:color="8EAADB"/>
            </w:tcBorders>
          </w:tcPr>
          <w:p w14:paraId="21ED56D9" w14:textId="77777777" w:rsidR="002C6574" w:rsidRDefault="00000000">
            <w:pPr>
              <w:pStyle w:val="TableParagraph"/>
              <w:spacing w:before="31"/>
              <w:ind w:right="70"/>
              <w:rPr>
                <w:rFonts w:ascii="Arial MT"/>
                <w:sz w:val="12"/>
              </w:rPr>
            </w:pPr>
            <w:r>
              <w:rPr>
                <w:rFonts w:ascii="Arial MT"/>
                <w:spacing w:val="-10"/>
                <w:sz w:val="12"/>
              </w:rPr>
              <w:t>-</w:t>
            </w:r>
          </w:p>
        </w:tc>
      </w:tr>
      <w:tr w:rsidR="002C6574" w14:paraId="1183E5EE" w14:textId="77777777">
        <w:trPr>
          <w:trHeight w:val="198"/>
        </w:trPr>
        <w:tc>
          <w:tcPr>
            <w:tcW w:w="6063" w:type="dxa"/>
            <w:tcBorders>
              <w:top w:val="single" w:sz="8" w:space="0" w:color="8EAADB"/>
              <w:bottom w:val="single" w:sz="8" w:space="0" w:color="8EAADB"/>
            </w:tcBorders>
          </w:tcPr>
          <w:p w14:paraId="36D1E4B1" w14:textId="77777777" w:rsidR="002C6574" w:rsidRDefault="00000000">
            <w:pPr>
              <w:pStyle w:val="TableParagraph"/>
              <w:spacing w:before="31"/>
              <w:ind w:left="83"/>
              <w:jc w:val="left"/>
              <w:rPr>
                <w:rFonts w:ascii="Arial" w:hAnsi="Arial"/>
                <w:b/>
                <w:sz w:val="12"/>
              </w:rPr>
            </w:pPr>
            <w:r>
              <w:rPr>
                <w:rFonts w:ascii="Arial" w:hAnsi="Arial"/>
                <w:b/>
                <w:sz w:val="12"/>
              </w:rPr>
              <w:t>PREJUÍZO LÍQUIDO DO</w:t>
            </w:r>
            <w:r>
              <w:rPr>
                <w:rFonts w:ascii="Arial" w:hAnsi="Arial"/>
                <w:b/>
                <w:spacing w:val="1"/>
                <w:sz w:val="12"/>
              </w:rPr>
              <w:t xml:space="preserve"> </w:t>
            </w:r>
            <w:r>
              <w:rPr>
                <w:rFonts w:ascii="Arial" w:hAnsi="Arial"/>
                <w:b/>
                <w:spacing w:val="-2"/>
                <w:sz w:val="12"/>
              </w:rPr>
              <w:t>EXERCÍCIO</w:t>
            </w:r>
          </w:p>
        </w:tc>
        <w:tc>
          <w:tcPr>
            <w:tcW w:w="870" w:type="dxa"/>
            <w:tcBorders>
              <w:top w:val="single" w:sz="8" w:space="0" w:color="8EAADB"/>
              <w:bottom w:val="single" w:sz="8" w:space="0" w:color="8EAADB"/>
            </w:tcBorders>
          </w:tcPr>
          <w:p w14:paraId="2D3F247B" w14:textId="77777777" w:rsidR="002C6574" w:rsidRDefault="00000000">
            <w:pPr>
              <w:pStyle w:val="TableParagraph"/>
              <w:spacing w:before="31"/>
              <w:ind w:left="244"/>
              <w:jc w:val="left"/>
              <w:rPr>
                <w:rFonts w:ascii="Arial"/>
                <w:b/>
                <w:sz w:val="12"/>
              </w:rPr>
            </w:pPr>
            <w:r>
              <w:rPr>
                <w:rFonts w:ascii="Arial"/>
                <w:b/>
                <w:spacing w:val="-2"/>
                <w:sz w:val="12"/>
              </w:rPr>
              <w:t>140.504</w:t>
            </w:r>
          </w:p>
        </w:tc>
        <w:tc>
          <w:tcPr>
            <w:tcW w:w="1260" w:type="dxa"/>
            <w:tcBorders>
              <w:top w:val="single" w:sz="8" w:space="0" w:color="8EAADB"/>
              <w:bottom w:val="single" w:sz="8" w:space="0" w:color="8EAADB"/>
            </w:tcBorders>
          </w:tcPr>
          <w:p w14:paraId="6A6755C7" w14:textId="77777777" w:rsidR="002C6574" w:rsidRDefault="00000000">
            <w:pPr>
              <w:pStyle w:val="TableParagraph"/>
              <w:spacing w:before="31"/>
              <w:ind w:left="500"/>
              <w:jc w:val="left"/>
              <w:rPr>
                <w:rFonts w:ascii="Arial"/>
                <w:b/>
                <w:sz w:val="12"/>
              </w:rPr>
            </w:pPr>
            <w:r>
              <w:rPr>
                <w:rFonts w:ascii="Arial"/>
                <w:b/>
                <w:spacing w:val="-2"/>
                <w:sz w:val="12"/>
              </w:rPr>
              <w:t>(66.572)</w:t>
            </w:r>
          </w:p>
        </w:tc>
        <w:tc>
          <w:tcPr>
            <w:tcW w:w="895" w:type="dxa"/>
            <w:tcBorders>
              <w:top w:val="single" w:sz="8" w:space="0" w:color="8EAADB"/>
              <w:bottom w:val="single" w:sz="8" w:space="0" w:color="8EAADB"/>
            </w:tcBorders>
          </w:tcPr>
          <w:p w14:paraId="19529DFE" w14:textId="77777777" w:rsidR="002C6574" w:rsidRDefault="00000000">
            <w:pPr>
              <w:pStyle w:val="TableParagraph"/>
              <w:spacing w:before="31"/>
              <w:ind w:left="310"/>
              <w:jc w:val="left"/>
              <w:rPr>
                <w:rFonts w:ascii="Arial"/>
                <w:b/>
                <w:sz w:val="12"/>
              </w:rPr>
            </w:pPr>
            <w:r>
              <w:rPr>
                <w:rFonts w:ascii="Arial"/>
                <w:b/>
                <w:spacing w:val="-2"/>
                <w:sz w:val="12"/>
              </w:rPr>
              <w:t>(127.357)</w:t>
            </w:r>
          </w:p>
        </w:tc>
      </w:tr>
      <w:tr w:rsidR="002C6574" w14:paraId="4F755351" w14:textId="77777777">
        <w:trPr>
          <w:trHeight w:val="198"/>
        </w:trPr>
        <w:tc>
          <w:tcPr>
            <w:tcW w:w="6063" w:type="dxa"/>
            <w:tcBorders>
              <w:top w:val="single" w:sz="8" w:space="0" w:color="8EAADB"/>
              <w:bottom w:val="single" w:sz="8" w:space="0" w:color="8EAADB"/>
            </w:tcBorders>
          </w:tcPr>
          <w:p w14:paraId="0C1887F9" w14:textId="77777777" w:rsidR="002C6574" w:rsidRDefault="00000000">
            <w:pPr>
              <w:pStyle w:val="TableParagraph"/>
              <w:spacing w:before="31"/>
              <w:ind w:left="83"/>
              <w:jc w:val="left"/>
              <w:rPr>
                <w:rFonts w:ascii="Arial" w:hAnsi="Arial"/>
                <w:b/>
                <w:i/>
                <w:sz w:val="12"/>
              </w:rPr>
            </w:pPr>
            <w:r>
              <w:rPr>
                <w:rFonts w:ascii="Arial" w:hAnsi="Arial"/>
                <w:b/>
                <w:i/>
                <w:sz w:val="12"/>
              </w:rPr>
              <w:t>Lucro/(Prejuízo)</w:t>
            </w:r>
            <w:r>
              <w:rPr>
                <w:rFonts w:ascii="Arial" w:hAnsi="Arial"/>
                <w:b/>
                <w:i/>
                <w:spacing w:val="-5"/>
                <w:sz w:val="12"/>
              </w:rPr>
              <w:t xml:space="preserve"> </w:t>
            </w:r>
            <w:r>
              <w:rPr>
                <w:rFonts w:ascii="Arial" w:hAnsi="Arial"/>
                <w:b/>
                <w:i/>
                <w:sz w:val="12"/>
              </w:rPr>
              <w:t>por</w:t>
            </w:r>
            <w:r>
              <w:rPr>
                <w:rFonts w:ascii="Arial" w:hAnsi="Arial"/>
                <w:b/>
                <w:i/>
                <w:spacing w:val="-2"/>
                <w:sz w:val="12"/>
              </w:rPr>
              <w:t xml:space="preserve"> </w:t>
            </w:r>
            <w:r>
              <w:rPr>
                <w:rFonts w:ascii="Arial" w:hAnsi="Arial"/>
                <w:b/>
                <w:i/>
                <w:sz w:val="12"/>
              </w:rPr>
              <w:t>Ação</w:t>
            </w:r>
            <w:r>
              <w:rPr>
                <w:rFonts w:ascii="Arial" w:hAnsi="Arial"/>
                <w:b/>
                <w:i/>
                <w:spacing w:val="1"/>
                <w:sz w:val="12"/>
              </w:rPr>
              <w:t xml:space="preserve"> </w:t>
            </w:r>
            <w:r>
              <w:rPr>
                <w:rFonts w:ascii="Arial" w:hAnsi="Arial"/>
                <w:b/>
                <w:i/>
                <w:spacing w:val="-4"/>
                <w:sz w:val="12"/>
              </w:rPr>
              <w:t>(R$)</w:t>
            </w:r>
          </w:p>
        </w:tc>
        <w:tc>
          <w:tcPr>
            <w:tcW w:w="870" w:type="dxa"/>
            <w:tcBorders>
              <w:top w:val="single" w:sz="8" w:space="0" w:color="8EAADB"/>
              <w:bottom w:val="single" w:sz="8" w:space="0" w:color="8EAADB"/>
            </w:tcBorders>
          </w:tcPr>
          <w:p w14:paraId="24250AE3" w14:textId="77777777" w:rsidR="002C6574" w:rsidRDefault="00000000">
            <w:pPr>
              <w:pStyle w:val="TableParagraph"/>
              <w:spacing w:before="31"/>
              <w:ind w:left="311"/>
              <w:jc w:val="left"/>
              <w:rPr>
                <w:rFonts w:ascii="Arial"/>
                <w:b/>
                <w:i/>
                <w:sz w:val="12"/>
              </w:rPr>
            </w:pPr>
            <w:r>
              <w:rPr>
                <w:rFonts w:ascii="Arial"/>
                <w:b/>
                <w:i/>
                <w:spacing w:val="-2"/>
                <w:sz w:val="12"/>
              </w:rPr>
              <w:t>1,5258</w:t>
            </w:r>
          </w:p>
        </w:tc>
        <w:tc>
          <w:tcPr>
            <w:tcW w:w="1260" w:type="dxa"/>
            <w:tcBorders>
              <w:top w:val="single" w:sz="8" w:space="0" w:color="8EAADB"/>
              <w:bottom w:val="single" w:sz="8" w:space="0" w:color="8EAADB"/>
            </w:tcBorders>
          </w:tcPr>
          <w:p w14:paraId="3C1F7F7B" w14:textId="77777777" w:rsidR="002C6574" w:rsidRDefault="00000000">
            <w:pPr>
              <w:pStyle w:val="TableParagraph"/>
              <w:spacing w:before="31"/>
              <w:ind w:left="500"/>
              <w:jc w:val="left"/>
              <w:rPr>
                <w:rFonts w:ascii="Arial"/>
                <w:b/>
                <w:i/>
                <w:sz w:val="12"/>
              </w:rPr>
            </w:pPr>
            <w:r>
              <w:rPr>
                <w:rFonts w:ascii="Arial"/>
                <w:b/>
                <w:i/>
                <w:spacing w:val="-2"/>
                <w:sz w:val="12"/>
              </w:rPr>
              <w:t>(0,7707)</w:t>
            </w:r>
          </w:p>
        </w:tc>
        <w:tc>
          <w:tcPr>
            <w:tcW w:w="895" w:type="dxa"/>
            <w:tcBorders>
              <w:top w:val="single" w:sz="8" w:space="0" w:color="8EAADB"/>
              <w:bottom w:val="single" w:sz="8" w:space="0" w:color="8EAADB"/>
            </w:tcBorders>
          </w:tcPr>
          <w:p w14:paraId="1F6A636F" w14:textId="77777777" w:rsidR="002C6574" w:rsidRDefault="00000000">
            <w:pPr>
              <w:pStyle w:val="TableParagraph"/>
              <w:spacing w:before="31"/>
              <w:ind w:right="68"/>
              <w:rPr>
                <w:rFonts w:ascii="Arial"/>
                <w:b/>
                <w:i/>
                <w:sz w:val="12"/>
              </w:rPr>
            </w:pPr>
            <w:r>
              <w:rPr>
                <w:rFonts w:ascii="Arial"/>
                <w:b/>
                <w:i/>
                <w:spacing w:val="-2"/>
                <w:sz w:val="12"/>
              </w:rPr>
              <w:t>(1,4743)</w:t>
            </w:r>
          </w:p>
        </w:tc>
      </w:tr>
      <w:tr w:rsidR="002C6574" w14:paraId="6C7157A6" w14:textId="77777777">
        <w:trPr>
          <w:trHeight w:val="311"/>
        </w:trPr>
        <w:tc>
          <w:tcPr>
            <w:tcW w:w="6063" w:type="dxa"/>
            <w:tcBorders>
              <w:top w:val="single" w:sz="8" w:space="0" w:color="8EAADB"/>
            </w:tcBorders>
          </w:tcPr>
          <w:p w14:paraId="630A3AE4" w14:textId="77777777" w:rsidR="002C6574" w:rsidRDefault="00000000">
            <w:pPr>
              <w:pStyle w:val="TableParagraph"/>
              <w:spacing w:before="118" w:line="173" w:lineRule="exact"/>
              <w:ind w:left="3688"/>
              <w:jc w:val="left"/>
              <w:rPr>
                <w:rFonts w:ascii="Calibri"/>
                <w:sz w:val="16"/>
              </w:rPr>
            </w:pPr>
            <w:r>
              <w:rPr>
                <w:rFonts w:ascii="Calibri"/>
                <w:color w:val="001F60"/>
                <w:sz w:val="16"/>
              </w:rPr>
              <w:t>Tabela</w:t>
            </w:r>
            <w:r>
              <w:rPr>
                <w:rFonts w:ascii="Calibri"/>
                <w:color w:val="001F60"/>
                <w:spacing w:val="-6"/>
                <w:sz w:val="16"/>
              </w:rPr>
              <w:t xml:space="preserve"> </w:t>
            </w:r>
            <w:r>
              <w:rPr>
                <w:rFonts w:ascii="Calibri"/>
                <w:color w:val="001F60"/>
                <w:sz w:val="16"/>
              </w:rPr>
              <w:t>3-3</w:t>
            </w:r>
            <w:r>
              <w:rPr>
                <w:rFonts w:ascii="Calibri"/>
                <w:color w:val="001F60"/>
                <w:spacing w:val="-3"/>
                <w:sz w:val="16"/>
              </w:rPr>
              <w:t xml:space="preserve"> </w:t>
            </w:r>
            <w:r>
              <w:rPr>
                <w:rFonts w:ascii="Calibri"/>
                <w:color w:val="001F60"/>
                <w:sz w:val="16"/>
              </w:rPr>
              <w:t>Resultado</w:t>
            </w:r>
            <w:r>
              <w:rPr>
                <w:rFonts w:ascii="Calibri"/>
                <w:color w:val="001F60"/>
                <w:spacing w:val="-3"/>
                <w:sz w:val="16"/>
              </w:rPr>
              <w:t xml:space="preserve"> </w:t>
            </w:r>
            <w:r>
              <w:rPr>
                <w:rFonts w:ascii="Calibri"/>
                <w:color w:val="001F60"/>
                <w:spacing w:val="-4"/>
                <w:sz w:val="16"/>
              </w:rPr>
              <w:t>2025</w:t>
            </w:r>
          </w:p>
        </w:tc>
        <w:tc>
          <w:tcPr>
            <w:tcW w:w="870" w:type="dxa"/>
            <w:tcBorders>
              <w:top w:val="single" w:sz="8" w:space="0" w:color="8EAADB"/>
            </w:tcBorders>
          </w:tcPr>
          <w:p w14:paraId="1A822F52" w14:textId="77777777" w:rsidR="002C6574" w:rsidRDefault="002C6574">
            <w:pPr>
              <w:pStyle w:val="TableParagraph"/>
              <w:jc w:val="left"/>
              <w:rPr>
                <w:rFonts w:ascii="Times New Roman"/>
                <w:sz w:val="16"/>
              </w:rPr>
            </w:pPr>
          </w:p>
        </w:tc>
        <w:tc>
          <w:tcPr>
            <w:tcW w:w="1260" w:type="dxa"/>
            <w:tcBorders>
              <w:top w:val="single" w:sz="8" w:space="0" w:color="8EAADB"/>
            </w:tcBorders>
          </w:tcPr>
          <w:p w14:paraId="0F5E253F" w14:textId="77777777" w:rsidR="002C6574" w:rsidRDefault="002C6574">
            <w:pPr>
              <w:pStyle w:val="TableParagraph"/>
              <w:jc w:val="left"/>
              <w:rPr>
                <w:rFonts w:ascii="Times New Roman"/>
                <w:sz w:val="16"/>
              </w:rPr>
            </w:pPr>
          </w:p>
        </w:tc>
        <w:tc>
          <w:tcPr>
            <w:tcW w:w="895" w:type="dxa"/>
            <w:tcBorders>
              <w:top w:val="single" w:sz="8" w:space="0" w:color="8EAADB"/>
            </w:tcBorders>
          </w:tcPr>
          <w:p w14:paraId="29C7AE2A" w14:textId="77777777" w:rsidR="002C6574" w:rsidRDefault="002C6574">
            <w:pPr>
              <w:pStyle w:val="TableParagraph"/>
              <w:jc w:val="left"/>
              <w:rPr>
                <w:rFonts w:ascii="Times New Roman"/>
                <w:sz w:val="16"/>
              </w:rPr>
            </w:pPr>
          </w:p>
        </w:tc>
      </w:tr>
    </w:tbl>
    <w:p w14:paraId="533C65B4" w14:textId="77777777" w:rsidR="002C6574" w:rsidRDefault="002C6574">
      <w:pPr>
        <w:pStyle w:val="TableParagraph"/>
        <w:jc w:val="left"/>
        <w:rPr>
          <w:rFonts w:ascii="Times New Roman"/>
          <w:sz w:val="16"/>
        </w:rPr>
        <w:sectPr w:rsidR="002C6574">
          <w:pgSz w:w="11910" w:h="16840"/>
          <w:pgMar w:top="1160" w:right="850" w:bottom="740" w:left="992" w:header="312" w:footer="542" w:gutter="0"/>
          <w:cols w:space="720"/>
        </w:sectPr>
      </w:pPr>
    </w:p>
    <w:p w14:paraId="4F168188" w14:textId="77777777" w:rsidR="002C6574" w:rsidRDefault="002C6574">
      <w:pPr>
        <w:pStyle w:val="Corpodetexto"/>
        <w:spacing w:before="263"/>
        <w:rPr>
          <w:rFonts w:ascii="Calibri"/>
        </w:rPr>
      </w:pPr>
    </w:p>
    <w:p w14:paraId="2D7421C3" w14:textId="77777777" w:rsidR="002C6574" w:rsidRDefault="00000000">
      <w:pPr>
        <w:numPr>
          <w:ilvl w:val="2"/>
          <w:numId w:val="74"/>
        </w:numPr>
        <w:tabs>
          <w:tab w:val="left" w:pos="1414"/>
        </w:tabs>
        <w:ind w:left="1414" w:hanging="705"/>
        <w:jc w:val="both"/>
        <w:rPr>
          <w:rFonts w:ascii="Calibri" w:hAnsi="Calibri"/>
          <w:b/>
        </w:rPr>
      </w:pPr>
      <w:r>
        <w:rPr>
          <w:rFonts w:ascii="Calibri" w:hAnsi="Calibri"/>
          <w:b/>
          <w:color w:val="001F60"/>
        </w:rPr>
        <w:t>Receita</w:t>
      </w:r>
      <w:r>
        <w:rPr>
          <w:rFonts w:ascii="Calibri" w:hAnsi="Calibri"/>
          <w:b/>
          <w:color w:val="001F60"/>
          <w:spacing w:val="-4"/>
        </w:rPr>
        <w:t xml:space="preserve"> </w:t>
      </w:r>
      <w:r>
        <w:rPr>
          <w:rFonts w:ascii="Calibri" w:hAnsi="Calibri"/>
          <w:b/>
          <w:color w:val="001F60"/>
        </w:rPr>
        <w:t>Operacional</w:t>
      </w:r>
      <w:r>
        <w:rPr>
          <w:rFonts w:ascii="Calibri" w:hAnsi="Calibri"/>
          <w:b/>
          <w:color w:val="001F60"/>
          <w:spacing w:val="-5"/>
        </w:rPr>
        <w:t xml:space="preserve"> </w:t>
      </w:r>
      <w:r>
        <w:rPr>
          <w:rFonts w:ascii="Calibri" w:hAnsi="Calibri"/>
          <w:b/>
          <w:color w:val="001F60"/>
          <w:spacing w:val="-2"/>
        </w:rPr>
        <w:t>Líquida</w:t>
      </w:r>
    </w:p>
    <w:p w14:paraId="5B400A22" w14:textId="77777777" w:rsidR="002C6574" w:rsidRDefault="002C6574">
      <w:pPr>
        <w:pStyle w:val="Corpodetexto"/>
        <w:spacing w:before="126" w:after="1"/>
        <w:rPr>
          <w:rFonts w:ascii="Calibri"/>
          <w:b/>
          <w:sz w:val="20"/>
        </w:rPr>
      </w:pPr>
    </w:p>
    <w:tbl>
      <w:tblPr>
        <w:tblStyle w:val="TableNormal"/>
        <w:tblW w:w="0" w:type="auto"/>
        <w:tblInd w:w="702" w:type="dxa"/>
        <w:tblLayout w:type="fixed"/>
        <w:tblLook w:val="01E0" w:firstRow="1" w:lastRow="1" w:firstColumn="1" w:lastColumn="1" w:noHBand="0" w:noVBand="0"/>
      </w:tblPr>
      <w:tblGrid>
        <w:gridCol w:w="3872"/>
        <w:gridCol w:w="1725"/>
        <w:gridCol w:w="1010"/>
        <w:gridCol w:w="877"/>
        <w:gridCol w:w="762"/>
        <w:gridCol w:w="840"/>
      </w:tblGrid>
      <w:tr w:rsidR="002C6574" w14:paraId="25F2B745" w14:textId="77777777">
        <w:trPr>
          <w:trHeight w:val="275"/>
        </w:trPr>
        <w:tc>
          <w:tcPr>
            <w:tcW w:w="3872" w:type="dxa"/>
            <w:tcBorders>
              <w:top w:val="single" w:sz="8" w:space="0" w:color="9AC1E6"/>
              <w:bottom w:val="single" w:sz="8" w:space="0" w:color="9AC1E6"/>
            </w:tcBorders>
          </w:tcPr>
          <w:p w14:paraId="42D1A174" w14:textId="77777777" w:rsidR="002C6574" w:rsidRDefault="00000000">
            <w:pPr>
              <w:pStyle w:val="TableParagraph"/>
              <w:spacing w:before="69"/>
              <w:ind w:left="83"/>
              <w:jc w:val="left"/>
              <w:rPr>
                <w:rFonts w:ascii="Arial"/>
                <w:b/>
                <w:sz w:val="12"/>
              </w:rPr>
            </w:pPr>
            <w:r>
              <w:rPr>
                <w:rFonts w:ascii="Arial"/>
                <w:b/>
                <w:color w:val="2D74B5"/>
                <w:sz w:val="12"/>
              </w:rPr>
              <w:t xml:space="preserve">R$ </w:t>
            </w:r>
            <w:r>
              <w:rPr>
                <w:rFonts w:ascii="Arial"/>
                <w:b/>
                <w:color w:val="2D74B5"/>
                <w:spacing w:val="-5"/>
                <w:sz w:val="12"/>
              </w:rPr>
              <w:t>mil</w:t>
            </w:r>
          </w:p>
        </w:tc>
        <w:tc>
          <w:tcPr>
            <w:tcW w:w="1725" w:type="dxa"/>
            <w:tcBorders>
              <w:top w:val="single" w:sz="8" w:space="0" w:color="9AC1E6"/>
              <w:bottom w:val="single" w:sz="8" w:space="0" w:color="9AC1E6"/>
            </w:tcBorders>
          </w:tcPr>
          <w:p w14:paraId="7F2BB694" w14:textId="77777777" w:rsidR="002C6574" w:rsidRDefault="00000000">
            <w:pPr>
              <w:pStyle w:val="TableParagraph"/>
              <w:spacing w:before="69"/>
              <w:ind w:left="934"/>
              <w:jc w:val="left"/>
              <w:rPr>
                <w:rFonts w:ascii="Arial"/>
                <w:b/>
                <w:sz w:val="12"/>
              </w:rPr>
            </w:pPr>
            <w:r>
              <w:rPr>
                <w:rFonts w:ascii="Arial"/>
                <w:b/>
                <w:color w:val="2D74B5"/>
                <w:spacing w:val="-4"/>
                <w:sz w:val="12"/>
              </w:rPr>
              <w:t>2025</w:t>
            </w:r>
          </w:p>
        </w:tc>
        <w:tc>
          <w:tcPr>
            <w:tcW w:w="1010" w:type="dxa"/>
            <w:tcBorders>
              <w:top w:val="single" w:sz="8" w:space="0" w:color="9AC1E6"/>
              <w:bottom w:val="single" w:sz="8" w:space="0" w:color="9AC1E6"/>
            </w:tcBorders>
          </w:tcPr>
          <w:p w14:paraId="4B084AFE" w14:textId="77777777" w:rsidR="002C6574" w:rsidRDefault="00000000">
            <w:pPr>
              <w:pStyle w:val="TableParagraph"/>
              <w:spacing w:before="69"/>
              <w:ind w:left="220"/>
              <w:jc w:val="left"/>
              <w:rPr>
                <w:rFonts w:ascii="Arial"/>
                <w:b/>
                <w:sz w:val="12"/>
              </w:rPr>
            </w:pPr>
            <w:r>
              <w:rPr>
                <w:rFonts w:ascii="Arial"/>
                <w:b/>
                <w:color w:val="2D74B5"/>
                <w:spacing w:val="-4"/>
                <w:sz w:val="12"/>
              </w:rPr>
              <w:t>2024</w:t>
            </w:r>
          </w:p>
        </w:tc>
        <w:tc>
          <w:tcPr>
            <w:tcW w:w="877" w:type="dxa"/>
            <w:tcBorders>
              <w:top w:val="single" w:sz="8" w:space="0" w:color="9AC1E6"/>
              <w:bottom w:val="single" w:sz="8" w:space="0" w:color="9AC1E6"/>
            </w:tcBorders>
          </w:tcPr>
          <w:p w14:paraId="1831DC99" w14:textId="77777777" w:rsidR="002C6574" w:rsidRDefault="00000000">
            <w:pPr>
              <w:pStyle w:val="TableParagraph"/>
              <w:spacing w:before="69"/>
              <w:ind w:left="221"/>
              <w:jc w:val="left"/>
              <w:rPr>
                <w:rFonts w:ascii="Arial"/>
                <w:b/>
                <w:sz w:val="12"/>
              </w:rPr>
            </w:pPr>
            <w:r>
              <w:rPr>
                <w:rFonts w:ascii="Arial"/>
                <w:b/>
                <w:color w:val="2D74B5"/>
                <w:spacing w:val="-4"/>
                <w:sz w:val="12"/>
              </w:rPr>
              <w:t>2023</w:t>
            </w:r>
          </w:p>
        </w:tc>
        <w:tc>
          <w:tcPr>
            <w:tcW w:w="762" w:type="dxa"/>
            <w:tcBorders>
              <w:top w:val="single" w:sz="8" w:space="0" w:color="9AC1E6"/>
              <w:bottom w:val="single" w:sz="8" w:space="0" w:color="9AC1E6"/>
            </w:tcBorders>
          </w:tcPr>
          <w:p w14:paraId="4BE8A9C1" w14:textId="77777777" w:rsidR="002C6574" w:rsidRDefault="00000000">
            <w:pPr>
              <w:pStyle w:val="TableParagraph"/>
              <w:spacing w:line="137" w:lineRule="exact"/>
              <w:ind w:right="82"/>
              <w:jc w:val="center"/>
              <w:rPr>
                <w:rFonts w:ascii="Arial" w:hAnsi="Arial"/>
                <w:b/>
                <w:sz w:val="12"/>
              </w:rPr>
            </w:pPr>
            <w:r>
              <w:rPr>
                <w:rFonts w:ascii="Arial" w:hAnsi="Arial"/>
                <w:b/>
                <w:color w:val="2F75B5"/>
                <w:sz w:val="12"/>
              </w:rPr>
              <w:t>Δ 2025</w:t>
            </w:r>
            <w:r>
              <w:rPr>
                <w:rFonts w:ascii="Arial" w:hAnsi="Arial"/>
                <w:b/>
                <w:color w:val="2F75B5"/>
                <w:spacing w:val="1"/>
                <w:sz w:val="12"/>
              </w:rPr>
              <w:t xml:space="preserve"> </w:t>
            </w:r>
            <w:r>
              <w:rPr>
                <w:rFonts w:ascii="Arial" w:hAnsi="Arial"/>
                <w:b/>
                <w:color w:val="2F75B5"/>
                <w:spacing w:val="-10"/>
                <w:sz w:val="12"/>
              </w:rPr>
              <w:t>X</w:t>
            </w:r>
          </w:p>
          <w:p w14:paraId="37C53897" w14:textId="77777777" w:rsidR="002C6574" w:rsidRDefault="00000000">
            <w:pPr>
              <w:pStyle w:val="TableParagraph"/>
              <w:spacing w:line="118" w:lineRule="exact"/>
              <w:ind w:left="2" w:right="82"/>
              <w:jc w:val="center"/>
              <w:rPr>
                <w:rFonts w:ascii="Arial"/>
                <w:b/>
                <w:sz w:val="12"/>
              </w:rPr>
            </w:pPr>
            <w:r>
              <w:rPr>
                <w:rFonts w:ascii="Arial"/>
                <w:b/>
                <w:color w:val="2F75B5"/>
                <w:spacing w:val="-4"/>
                <w:sz w:val="12"/>
              </w:rPr>
              <w:t>2024</w:t>
            </w:r>
          </w:p>
        </w:tc>
        <w:tc>
          <w:tcPr>
            <w:tcW w:w="840" w:type="dxa"/>
            <w:tcBorders>
              <w:top w:val="single" w:sz="8" w:space="0" w:color="9AC1E6"/>
              <w:bottom w:val="single" w:sz="8" w:space="0" w:color="9AC1E6"/>
            </w:tcBorders>
          </w:tcPr>
          <w:p w14:paraId="2418CCC7" w14:textId="77777777" w:rsidR="002C6574" w:rsidRDefault="00000000">
            <w:pPr>
              <w:pStyle w:val="TableParagraph"/>
              <w:spacing w:line="137" w:lineRule="exact"/>
              <w:ind w:right="66"/>
              <w:jc w:val="center"/>
              <w:rPr>
                <w:rFonts w:ascii="Arial" w:hAnsi="Arial"/>
                <w:b/>
                <w:sz w:val="12"/>
              </w:rPr>
            </w:pPr>
            <w:r>
              <w:rPr>
                <w:rFonts w:ascii="Arial" w:hAnsi="Arial"/>
                <w:b/>
                <w:color w:val="2F75B5"/>
                <w:sz w:val="12"/>
              </w:rPr>
              <w:t>Δ 2025</w:t>
            </w:r>
            <w:r>
              <w:rPr>
                <w:rFonts w:ascii="Arial" w:hAnsi="Arial"/>
                <w:b/>
                <w:color w:val="2F75B5"/>
                <w:spacing w:val="1"/>
                <w:sz w:val="12"/>
              </w:rPr>
              <w:t xml:space="preserve"> </w:t>
            </w:r>
            <w:r>
              <w:rPr>
                <w:rFonts w:ascii="Arial" w:hAnsi="Arial"/>
                <w:b/>
                <w:color w:val="2F75B5"/>
                <w:spacing w:val="-10"/>
                <w:sz w:val="12"/>
              </w:rPr>
              <w:t>X</w:t>
            </w:r>
          </w:p>
          <w:p w14:paraId="6674B28D" w14:textId="77777777" w:rsidR="002C6574" w:rsidRDefault="00000000">
            <w:pPr>
              <w:pStyle w:val="TableParagraph"/>
              <w:spacing w:line="118" w:lineRule="exact"/>
              <w:ind w:left="2" w:right="66"/>
              <w:jc w:val="center"/>
              <w:rPr>
                <w:rFonts w:ascii="Arial"/>
                <w:b/>
                <w:sz w:val="12"/>
              </w:rPr>
            </w:pPr>
            <w:r>
              <w:rPr>
                <w:rFonts w:ascii="Arial"/>
                <w:b/>
                <w:color w:val="2F75B5"/>
                <w:spacing w:val="-4"/>
                <w:sz w:val="12"/>
              </w:rPr>
              <w:t>2023</w:t>
            </w:r>
          </w:p>
        </w:tc>
      </w:tr>
      <w:tr w:rsidR="002C6574" w14:paraId="2FA8CC09" w14:textId="77777777">
        <w:trPr>
          <w:trHeight w:val="231"/>
        </w:trPr>
        <w:tc>
          <w:tcPr>
            <w:tcW w:w="3872" w:type="dxa"/>
            <w:tcBorders>
              <w:bottom w:val="single" w:sz="8" w:space="0" w:color="8EAADB"/>
            </w:tcBorders>
          </w:tcPr>
          <w:p w14:paraId="6B6DA90E" w14:textId="77777777" w:rsidR="002C6574" w:rsidRDefault="00000000">
            <w:pPr>
              <w:pStyle w:val="TableParagraph"/>
              <w:spacing w:before="38"/>
              <w:ind w:left="83"/>
              <w:jc w:val="left"/>
              <w:rPr>
                <w:rFonts w:ascii="Arial"/>
                <w:b/>
                <w:sz w:val="12"/>
              </w:rPr>
            </w:pPr>
            <w:r>
              <w:rPr>
                <w:rFonts w:ascii="Arial"/>
                <w:b/>
                <w:sz w:val="12"/>
              </w:rPr>
              <w:t>RECEITA</w:t>
            </w:r>
            <w:r>
              <w:rPr>
                <w:rFonts w:ascii="Arial"/>
                <w:b/>
                <w:spacing w:val="-2"/>
                <w:sz w:val="12"/>
              </w:rPr>
              <w:t xml:space="preserve"> </w:t>
            </w:r>
            <w:r>
              <w:rPr>
                <w:rFonts w:ascii="Arial"/>
                <w:b/>
                <w:sz w:val="12"/>
              </w:rPr>
              <w:t>OPERACIONAL</w:t>
            </w:r>
            <w:r>
              <w:rPr>
                <w:rFonts w:ascii="Arial"/>
                <w:b/>
                <w:spacing w:val="-2"/>
                <w:sz w:val="12"/>
              </w:rPr>
              <w:t xml:space="preserve"> </w:t>
            </w:r>
            <w:r>
              <w:rPr>
                <w:rFonts w:ascii="Arial"/>
                <w:b/>
                <w:spacing w:val="-4"/>
                <w:sz w:val="12"/>
              </w:rPr>
              <w:t>BRUTA</w:t>
            </w:r>
          </w:p>
        </w:tc>
        <w:tc>
          <w:tcPr>
            <w:tcW w:w="1725" w:type="dxa"/>
            <w:tcBorders>
              <w:bottom w:val="single" w:sz="8" w:space="0" w:color="8EAADB"/>
            </w:tcBorders>
          </w:tcPr>
          <w:p w14:paraId="68FB79DE" w14:textId="77777777" w:rsidR="002C6574" w:rsidRDefault="00000000">
            <w:pPr>
              <w:pStyle w:val="TableParagraph"/>
              <w:spacing w:before="38"/>
              <w:ind w:right="218"/>
              <w:rPr>
                <w:rFonts w:ascii="Arial"/>
                <w:b/>
                <w:sz w:val="12"/>
              </w:rPr>
            </w:pPr>
            <w:r>
              <w:rPr>
                <w:rFonts w:ascii="Arial"/>
                <w:b/>
                <w:spacing w:val="-2"/>
                <w:sz w:val="12"/>
              </w:rPr>
              <w:t>540.908</w:t>
            </w:r>
          </w:p>
        </w:tc>
        <w:tc>
          <w:tcPr>
            <w:tcW w:w="1010" w:type="dxa"/>
            <w:tcBorders>
              <w:bottom w:val="single" w:sz="8" w:space="0" w:color="8EAADB"/>
            </w:tcBorders>
          </w:tcPr>
          <w:p w14:paraId="127F1630" w14:textId="77777777" w:rsidR="002C6574" w:rsidRDefault="00000000">
            <w:pPr>
              <w:pStyle w:val="TableParagraph"/>
              <w:spacing w:before="38"/>
              <w:ind w:right="219"/>
              <w:rPr>
                <w:rFonts w:ascii="Arial"/>
                <w:b/>
                <w:sz w:val="12"/>
              </w:rPr>
            </w:pPr>
            <w:r>
              <w:rPr>
                <w:rFonts w:ascii="Arial"/>
                <w:b/>
                <w:spacing w:val="-2"/>
                <w:sz w:val="12"/>
              </w:rPr>
              <w:t>462.391</w:t>
            </w:r>
          </w:p>
        </w:tc>
        <w:tc>
          <w:tcPr>
            <w:tcW w:w="877" w:type="dxa"/>
            <w:tcBorders>
              <w:bottom w:val="single" w:sz="8" w:space="0" w:color="8EAADB"/>
            </w:tcBorders>
          </w:tcPr>
          <w:p w14:paraId="3082EF6D" w14:textId="77777777" w:rsidR="002C6574" w:rsidRDefault="00000000">
            <w:pPr>
              <w:pStyle w:val="TableParagraph"/>
              <w:spacing w:before="38"/>
              <w:ind w:right="85"/>
              <w:rPr>
                <w:rFonts w:ascii="Arial"/>
                <w:b/>
                <w:sz w:val="12"/>
              </w:rPr>
            </w:pPr>
            <w:r>
              <w:rPr>
                <w:rFonts w:ascii="Arial"/>
                <w:b/>
                <w:spacing w:val="-2"/>
                <w:sz w:val="12"/>
              </w:rPr>
              <w:t>470.052</w:t>
            </w:r>
          </w:p>
        </w:tc>
        <w:tc>
          <w:tcPr>
            <w:tcW w:w="762" w:type="dxa"/>
            <w:tcBorders>
              <w:bottom w:val="single" w:sz="8" w:space="0" w:color="8EAADB"/>
            </w:tcBorders>
          </w:tcPr>
          <w:p w14:paraId="2A280715" w14:textId="77777777" w:rsidR="002C6574" w:rsidRDefault="00000000">
            <w:pPr>
              <w:pStyle w:val="TableParagraph"/>
              <w:spacing w:before="38"/>
              <w:ind w:left="231" w:right="82"/>
              <w:jc w:val="center"/>
              <w:rPr>
                <w:rFonts w:ascii="Arial"/>
                <w:b/>
                <w:sz w:val="12"/>
              </w:rPr>
            </w:pPr>
            <w:r>
              <w:rPr>
                <w:rFonts w:ascii="Arial"/>
                <w:b/>
                <w:spacing w:val="-2"/>
                <w:sz w:val="12"/>
              </w:rPr>
              <w:t>17,0%</w:t>
            </w:r>
          </w:p>
        </w:tc>
        <w:tc>
          <w:tcPr>
            <w:tcW w:w="840" w:type="dxa"/>
            <w:tcBorders>
              <w:bottom w:val="single" w:sz="8" w:space="0" w:color="8EAADB"/>
            </w:tcBorders>
          </w:tcPr>
          <w:p w14:paraId="5CA48C57" w14:textId="77777777" w:rsidR="002C6574" w:rsidRDefault="00000000">
            <w:pPr>
              <w:pStyle w:val="TableParagraph"/>
              <w:spacing w:before="38"/>
              <w:ind w:right="66"/>
              <w:rPr>
                <w:rFonts w:ascii="Arial"/>
                <w:b/>
                <w:sz w:val="12"/>
              </w:rPr>
            </w:pPr>
            <w:r>
              <w:rPr>
                <w:rFonts w:ascii="Arial"/>
                <w:b/>
                <w:spacing w:val="-2"/>
                <w:sz w:val="12"/>
              </w:rPr>
              <w:t>15,1%</w:t>
            </w:r>
          </w:p>
        </w:tc>
      </w:tr>
      <w:tr w:rsidR="002C6574" w14:paraId="19C6625C" w14:textId="77777777">
        <w:trPr>
          <w:trHeight w:val="232"/>
        </w:trPr>
        <w:tc>
          <w:tcPr>
            <w:tcW w:w="3872" w:type="dxa"/>
            <w:tcBorders>
              <w:top w:val="single" w:sz="8" w:space="0" w:color="8EAADB"/>
              <w:bottom w:val="single" w:sz="8" w:space="0" w:color="8EAADB"/>
            </w:tcBorders>
          </w:tcPr>
          <w:p w14:paraId="79A8345B" w14:textId="77777777" w:rsidR="002C6574" w:rsidRDefault="00000000">
            <w:pPr>
              <w:pStyle w:val="TableParagraph"/>
              <w:spacing w:before="48"/>
              <w:ind w:left="150"/>
              <w:jc w:val="left"/>
              <w:rPr>
                <w:rFonts w:ascii="Arial MT" w:hAnsi="Arial MT"/>
                <w:sz w:val="12"/>
              </w:rPr>
            </w:pPr>
            <w:r>
              <w:rPr>
                <w:rFonts w:ascii="Arial MT" w:hAnsi="Arial MT"/>
                <w:sz w:val="12"/>
              </w:rPr>
              <w:t>Serviços</w:t>
            </w:r>
            <w:r>
              <w:rPr>
                <w:rFonts w:ascii="Arial MT" w:hAnsi="Arial MT"/>
                <w:spacing w:val="-1"/>
                <w:sz w:val="12"/>
              </w:rPr>
              <w:t xml:space="preserve"> </w:t>
            </w:r>
            <w:r>
              <w:rPr>
                <w:rFonts w:ascii="Arial MT" w:hAnsi="Arial MT"/>
                <w:sz w:val="12"/>
              </w:rPr>
              <w:t>de</w:t>
            </w:r>
            <w:r>
              <w:rPr>
                <w:rFonts w:ascii="Arial MT" w:hAnsi="Arial MT"/>
                <w:spacing w:val="1"/>
                <w:sz w:val="12"/>
              </w:rPr>
              <w:t xml:space="preserve"> </w:t>
            </w:r>
            <w:r>
              <w:rPr>
                <w:rFonts w:ascii="Arial MT" w:hAnsi="Arial MT"/>
                <w:sz w:val="12"/>
              </w:rPr>
              <w:t>Comunicação</w:t>
            </w:r>
            <w:r>
              <w:rPr>
                <w:rFonts w:ascii="Arial MT" w:hAnsi="Arial MT"/>
                <w:spacing w:val="-1"/>
                <w:sz w:val="12"/>
              </w:rPr>
              <w:t xml:space="preserve"> </w:t>
            </w:r>
            <w:r>
              <w:rPr>
                <w:rFonts w:ascii="Arial MT" w:hAnsi="Arial MT"/>
                <w:spacing w:val="-2"/>
                <w:sz w:val="12"/>
              </w:rPr>
              <w:t>Multimídia</w:t>
            </w:r>
          </w:p>
        </w:tc>
        <w:tc>
          <w:tcPr>
            <w:tcW w:w="1725" w:type="dxa"/>
            <w:tcBorders>
              <w:top w:val="single" w:sz="8" w:space="0" w:color="8EAADB"/>
              <w:bottom w:val="single" w:sz="8" w:space="0" w:color="8EAADB"/>
            </w:tcBorders>
          </w:tcPr>
          <w:p w14:paraId="44ED8503" w14:textId="77777777" w:rsidR="002C6574" w:rsidRDefault="00000000">
            <w:pPr>
              <w:pStyle w:val="TableParagraph"/>
              <w:spacing w:before="48"/>
              <w:ind w:right="219"/>
              <w:rPr>
                <w:rFonts w:ascii="Arial MT"/>
                <w:sz w:val="12"/>
              </w:rPr>
            </w:pPr>
            <w:r>
              <w:rPr>
                <w:rFonts w:ascii="Arial MT"/>
                <w:spacing w:val="-2"/>
                <w:sz w:val="12"/>
              </w:rPr>
              <w:t>432.484</w:t>
            </w:r>
          </w:p>
        </w:tc>
        <w:tc>
          <w:tcPr>
            <w:tcW w:w="1010" w:type="dxa"/>
            <w:tcBorders>
              <w:top w:val="single" w:sz="8" w:space="0" w:color="8EAADB"/>
              <w:bottom w:val="single" w:sz="8" w:space="0" w:color="8EAADB"/>
            </w:tcBorders>
          </w:tcPr>
          <w:p w14:paraId="6714AAF7" w14:textId="77777777" w:rsidR="002C6574" w:rsidRDefault="00000000">
            <w:pPr>
              <w:pStyle w:val="TableParagraph"/>
              <w:spacing w:before="48"/>
              <w:ind w:right="219"/>
              <w:rPr>
                <w:rFonts w:ascii="Arial MT"/>
                <w:sz w:val="12"/>
              </w:rPr>
            </w:pPr>
            <w:r>
              <w:rPr>
                <w:rFonts w:ascii="Arial MT"/>
                <w:spacing w:val="-2"/>
                <w:sz w:val="12"/>
              </w:rPr>
              <w:t>355.951</w:t>
            </w:r>
          </w:p>
        </w:tc>
        <w:tc>
          <w:tcPr>
            <w:tcW w:w="877" w:type="dxa"/>
            <w:tcBorders>
              <w:top w:val="single" w:sz="8" w:space="0" w:color="8EAADB"/>
              <w:bottom w:val="single" w:sz="8" w:space="0" w:color="8EAADB"/>
            </w:tcBorders>
          </w:tcPr>
          <w:p w14:paraId="1EEFAEA2" w14:textId="77777777" w:rsidR="002C6574" w:rsidRDefault="00000000">
            <w:pPr>
              <w:pStyle w:val="TableParagraph"/>
              <w:spacing w:before="48"/>
              <w:ind w:right="85"/>
              <w:rPr>
                <w:rFonts w:ascii="Arial MT"/>
                <w:sz w:val="12"/>
              </w:rPr>
            </w:pPr>
            <w:r>
              <w:rPr>
                <w:rFonts w:ascii="Arial MT"/>
                <w:spacing w:val="-2"/>
                <w:sz w:val="12"/>
              </w:rPr>
              <w:t>356.511</w:t>
            </w:r>
          </w:p>
        </w:tc>
        <w:tc>
          <w:tcPr>
            <w:tcW w:w="762" w:type="dxa"/>
            <w:tcBorders>
              <w:top w:val="single" w:sz="8" w:space="0" w:color="8EAADB"/>
              <w:bottom w:val="single" w:sz="8" w:space="0" w:color="8EAADB"/>
            </w:tcBorders>
          </w:tcPr>
          <w:p w14:paraId="6C0B3BB7" w14:textId="77777777" w:rsidR="002C6574" w:rsidRDefault="00000000">
            <w:pPr>
              <w:pStyle w:val="TableParagraph"/>
              <w:spacing w:before="48"/>
              <w:ind w:left="231" w:right="82"/>
              <w:jc w:val="center"/>
              <w:rPr>
                <w:rFonts w:ascii="Arial MT"/>
                <w:sz w:val="12"/>
              </w:rPr>
            </w:pPr>
            <w:r>
              <w:rPr>
                <w:rFonts w:ascii="Arial MT"/>
                <w:spacing w:val="-2"/>
                <w:sz w:val="12"/>
              </w:rPr>
              <w:t>21,5%</w:t>
            </w:r>
          </w:p>
        </w:tc>
        <w:tc>
          <w:tcPr>
            <w:tcW w:w="840" w:type="dxa"/>
            <w:tcBorders>
              <w:top w:val="single" w:sz="8" w:space="0" w:color="8EAADB"/>
              <w:bottom w:val="single" w:sz="8" w:space="0" w:color="8EAADB"/>
            </w:tcBorders>
          </w:tcPr>
          <w:p w14:paraId="05FEC489" w14:textId="77777777" w:rsidR="002C6574" w:rsidRDefault="00000000">
            <w:pPr>
              <w:pStyle w:val="TableParagraph"/>
              <w:spacing w:before="48"/>
              <w:ind w:right="66"/>
              <w:rPr>
                <w:rFonts w:ascii="Arial MT"/>
                <w:sz w:val="12"/>
              </w:rPr>
            </w:pPr>
            <w:r>
              <w:rPr>
                <w:rFonts w:ascii="Arial MT"/>
                <w:spacing w:val="-2"/>
                <w:sz w:val="12"/>
              </w:rPr>
              <w:t>21,3%</w:t>
            </w:r>
          </w:p>
        </w:tc>
      </w:tr>
      <w:tr w:rsidR="002C6574" w14:paraId="7B894F9D" w14:textId="77777777">
        <w:trPr>
          <w:trHeight w:val="232"/>
        </w:trPr>
        <w:tc>
          <w:tcPr>
            <w:tcW w:w="3872" w:type="dxa"/>
            <w:tcBorders>
              <w:top w:val="single" w:sz="8" w:space="0" w:color="8EAADB"/>
              <w:bottom w:val="single" w:sz="8" w:space="0" w:color="8EAADB"/>
            </w:tcBorders>
          </w:tcPr>
          <w:p w14:paraId="6AB82BCD" w14:textId="77777777" w:rsidR="002C6574" w:rsidRDefault="00000000">
            <w:pPr>
              <w:pStyle w:val="TableParagraph"/>
              <w:spacing w:before="48"/>
              <w:ind w:left="150"/>
              <w:jc w:val="left"/>
              <w:rPr>
                <w:rFonts w:ascii="Arial MT" w:hAnsi="Arial MT"/>
                <w:sz w:val="12"/>
              </w:rPr>
            </w:pPr>
            <w:r>
              <w:rPr>
                <w:rFonts w:ascii="Arial MT" w:hAnsi="Arial MT"/>
                <w:sz w:val="12"/>
              </w:rPr>
              <w:t>Locação de</w:t>
            </w:r>
            <w:r>
              <w:rPr>
                <w:rFonts w:ascii="Arial MT" w:hAnsi="Arial MT"/>
                <w:spacing w:val="-1"/>
                <w:sz w:val="12"/>
              </w:rPr>
              <w:t xml:space="preserve"> </w:t>
            </w:r>
            <w:r>
              <w:rPr>
                <w:rFonts w:ascii="Arial MT" w:hAnsi="Arial MT"/>
                <w:sz w:val="12"/>
              </w:rPr>
              <w:t>Capacidade</w:t>
            </w:r>
            <w:r>
              <w:rPr>
                <w:rFonts w:ascii="Arial MT" w:hAnsi="Arial MT"/>
                <w:spacing w:val="1"/>
                <w:sz w:val="12"/>
              </w:rPr>
              <w:t xml:space="preserve"> </w:t>
            </w:r>
            <w:r>
              <w:rPr>
                <w:rFonts w:ascii="Arial MT" w:hAnsi="Arial MT"/>
                <w:spacing w:val="-2"/>
                <w:sz w:val="12"/>
              </w:rPr>
              <w:t>Satelital</w:t>
            </w:r>
          </w:p>
        </w:tc>
        <w:tc>
          <w:tcPr>
            <w:tcW w:w="1725" w:type="dxa"/>
            <w:tcBorders>
              <w:top w:val="single" w:sz="8" w:space="0" w:color="8EAADB"/>
              <w:bottom w:val="single" w:sz="8" w:space="0" w:color="8EAADB"/>
            </w:tcBorders>
          </w:tcPr>
          <w:p w14:paraId="36754325" w14:textId="77777777" w:rsidR="002C6574" w:rsidRDefault="00000000">
            <w:pPr>
              <w:pStyle w:val="TableParagraph"/>
              <w:spacing w:before="48"/>
              <w:ind w:right="219"/>
              <w:rPr>
                <w:rFonts w:ascii="Arial MT"/>
                <w:sz w:val="12"/>
              </w:rPr>
            </w:pPr>
            <w:r>
              <w:rPr>
                <w:rFonts w:ascii="Arial MT"/>
                <w:spacing w:val="-2"/>
                <w:sz w:val="12"/>
              </w:rPr>
              <w:t>36.480</w:t>
            </w:r>
          </w:p>
        </w:tc>
        <w:tc>
          <w:tcPr>
            <w:tcW w:w="1010" w:type="dxa"/>
            <w:tcBorders>
              <w:top w:val="single" w:sz="8" w:space="0" w:color="8EAADB"/>
              <w:bottom w:val="single" w:sz="8" w:space="0" w:color="8EAADB"/>
            </w:tcBorders>
          </w:tcPr>
          <w:p w14:paraId="4B9DBCF4" w14:textId="77777777" w:rsidR="002C6574" w:rsidRDefault="00000000">
            <w:pPr>
              <w:pStyle w:val="TableParagraph"/>
              <w:spacing w:before="48"/>
              <w:ind w:right="219"/>
              <w:rPr>
                <w:rFonts w:ascii="Arial MT"/>
                <w:sz w:val="12"/>
              </w:rPr>
            </w:pPr>
            <w:r>
              <w:rPr>
                <w:rFonts w:ascii="Arial MT"/>
                <w:spacing w:val="-2"/>
                <w:sz w:val="12"/>
              </w:rPr>
              <w:t>36.481</w:t>
            </w:r>
          </w:p>
        </w:tc>
        <w:tc>
          <w:tcPr>
            <w:tcW w:w="877" w:type="dxa"/>
            <w:tcBorders>
              <w:top w:val="single" w:sz="8" w:space="0" w:color="8EAADB"/>
              <w:bottom w:val="single" w:sz="8" w:space="0" w:color="8EAADB"/>
            </w:tcBorders>
          </w:tcPr>
          <w:p w14:paraId="7D66C6A9" w14:textId="77777777" w:rsidR="002C6574" w:rsidRDefault="00000000">
            <w:pPr>
              <w:pStyle w:val="TableParagraph"/>
              <w:spacing w:before="48"/>
              <w:ind w:right="85"/>
              <w:rPr>
                <w:rFonts w:ascii="Arial MT"/>
                <w:sz w:val="12"/>
              </w:rPr>
            </w:pPr>
            <w:r>
              <w:rPr>
                <w:rFonts w:ascii="Arial MT"/>
                <w:spacing w:val="-2"/>
                <w:sz w:val="12"/>
              </w:rPr>
              <w:t>36.481</w:t>
            </w:r>
          </w:p>
        </w:tc>
        <w:tc>
          <w:tcPr>
            <w:tcW w:w="762" w:type="dxa"/>
            <w:tcBorders>
              <w:top w:val="single" w:sz="8" w:space="0" w:color="8EAADB"/>
              <w:bottom w:val="single" w:sz="8" w:space="0" w:color="8EAADB"/>
            </w:tcBorders>
          </w:tcPr>
          <w:p w14:paraId="6AE0426B" w14:textId="77777777" w:rsidR="002C6574" w:rsidRDefault="00000000">
            <w:pPr>
              <w:pStyle w:val="TableParagraph"/>
              <w:spacing w:before="48"/>
              <w:ind w:left="217"/>
              <w:jc w:val="center"/>
              <w:rPr>
                <w:rFonts w:ascii="Arial MT"/>
                <w:sz w:val="12"/>
              </w:rPr>
            </w:pPr>
            <w:r>
              <w:rPr>
                <w:rFonts w:ascii="Arial MT"/>
                <w:spacing w:val="-4"/>
                <w:sz w:val="12"/>
              </w:rPr>
              <w:t>0,0%</w:t>
            </w:r>
          </w:p>
        </w:tc>
        <w:tc>
          <w:tcPr>
            <w:tcW w:w="840" w:type="dxa"/>
            <w:tcBorders>
              <w:top w:val="single" w:sz="8" w:space="0" w:color="8EAADB"/>
              <w:bottom w:val="single" w:sz="8" w:space="0" w:color="8EAADB"/>
            </w:tcBorders>
          </w:tcPr>
          <w:p w14:paraId="3860FAFB" w14:textId="77777777" w:rsidR="002C6574" w:rsidRDefault="00000000">
            <w:pPr>
              <w:pStyle w:val="TableParagraph"/>
              <w:spacing w:before="48"/>
              <w:ind w:right="66"/>
              <w:rPr>
                <w:rFonts w:ascii="Arial MT"/>
                <w:sz w:val="12"/>
              </w:rPr>
            </w:pPr>
            <w:r>
              <w:rPr>
                <w:rFonts w:ascii="Arial MT"/>
                <w:spacing w:val="-4"/>
                <w:sz w:val="12"/>
              </w:rPr>
              <w:t>0,0%</w:t>
            </w:r>
          </w:p>
        </w:tc>
      </w:tr>
      <w:tr w:rsidR="002C6574" w14:paraId="30EBFBF2" w14:textId="77777777">
        <w:trPr>
          <w:trHeight w:val="232"/>
        </w:trPr>
        <w:tc>
          <w:tcPr>
            <w:tcW w:w="3872" w:type="dxa"/>
            <w:tcBorders>
              <w:top w:val="single" w:sz="8" w:space="0" w:color="8EAADB"/>
              <w:bottom w:val="single" w:sz="8" w:space="0" w:color="8EAADB"/>
            </w:tcBorders>
          </w:tcPr>
          <w:p w14:paraId="5DC03178" w14:textId="77777777" w:rsidR="002C6574" w:rsidRDefault="00000000">
            <w:pPr>
              <w:pStyle w:val="TableParagraph"/>
              <w:spacing w:before="48"/>
              <w:ind w:left="150"/>
              <w:jc w:val="left"/>
              <w:rPr>
                <w:rFonts w:ascii="Arial MT" w:hAnsi="Arial MT"/>
                <w:sz w:val="12"/>
              </w:rPr>
            </w:pPr>
            <w:r>
              <w:rPr>
                <w:rFonts w:ascii="Arial MT" w:hAnsi="Arial MT"/>
                <w:sz w:val="12"/>
              </w:rPr>
              <w:t>Aluguéis</w:t>
            </w:r>
            <w:r>
              <w:rPr>
                <w:rFonts w:ascii="Arial MT" w:hAnsi="Arial MT"/>
                <w:spacing w:val="-2"/>
                <w:sz w:val="12"/>
              </w:rPr>
              <w:t xml:space="preserve"> </w:t>
            </w:r>
            <w:r>
              <w:rPr>
                <w:rFonts w:ascii="Arial MT" w:hAnsi="Arial MT"/>
                <w:sz w:val="12"/>
              </w:rPr>
              <w:t>e</w:t>
            </w:r>
            <w:r>
              <w:rPr>
                <w:rFonts w:ascii="Arial MT" w:hAnsi="Arial MT"/>
                <w:spacing w:val="1"/>
                <w:sz w:val="12"/>
              </w:rPr>
              <w:t xml:space="preserve"> </w:t>
            </w:r>
            <w:r>
              <w:rPr>
                <w:rFonts w:ascii="Arial MT" w:hAnsi="Arial MT"/>
                <w:spacing w:val="-2"/>
                <w:sz w:val="12"/>
              </w:rPr>
              <w:t>Locações</w:t>
            </w:r>
          </w:p>
        </w:tc>
        <w:tc>
          <w:tcPr>
            <w:tcW w:w="1725" w:type="dxa"/>
            <w:tcBorders>
              <w:top w:val="single" w:sz="8" w:space="0" w:color="8EAADB"/>
              <w:bottom w:val="single" w:sz="8" w:space="0" w:color="8EAADB"/>
            </w:tcBorders>
          </w:tcPr>
          <w:p w14:paraId="3136B71D" w14:textId="77777777" w:rsidR="002C6574" w:rsidRDefault="00000000">
            <w:pPr>
              <w:pStyle w:val="TableParagraph"/>
              <w:spacing w:before="48"/>
              <w:ind w:right="219"/>
              <w:rPr>
                <w:rFonts w:ascii="Arial MT"/>
                <w:sz w:val="12"/>
              </w:rPr>
            </w:pPr>
            <w:r>
              <w:rPr>
                <w:rFonts w:ascii="Arial MT"/>
                <w:spacing w:val="-2"/>
                <w:sz w:val="12"/>
              </w:rPr>
              <w:t>28.382</w:t>
            </w:r>
          </w:p>
        </w:tc>
        <w:tc>
          <w:tcPr>
            <w:tcW w:w="1010" w:type="dxa"/>
            <w:tcBorders>
              <w:top w:val="single" w:sz="8" w:space="0" w:color="8EAADB"/>
              <w:bottom w:val="single" w:sz="8" w:space="0" w:color="8EAADB"/>
            </w:tcBorders>
          </w:tcPr>
          <w:p w14:paraId="1B1BAA4E" w14:textId="77777777" w:rsidR="002C6574" w:rsidRDefault="00000000">
            <w:pPr>
              <w:pStyle w:val="TableParagraph"/>
              <w:spacing w:before="48"/>
              <w:ind w:right="219"/>
              <w:rPr>
                <w:rFonts w:ascii="Arial MT"/>
                <w:sz w:val="12"/>
              </w:rPr>
            </w:pPr>
            <w:r>
              <w:rPr>
                <w:rFonts w:ascii="Arial MT"/>
                <w:spacing w:val="-2"/>
                <w:sz w:val="12"/>
              </w:rPr>
              <w:t>26.918</w:t>
            </w:r>
          </w:p>
        </w:tc>
        <w:tc>
          <w:tcPr>
            <w:tcW w:w="877" w:type="dxa"/>
            <w:tcBorders>
              <w:top w:val="single" w:sz="8" w:space="0" w:color="8EAADB"/>
              <w:bottom w:val="single" w:sz="8" w:space="0" w:color="8EAADB"/>
            </w:tcBorders>
          </w:tcPr>
          <w:p w14:paraId="0F6132DA" w14:textId="77777777" w:rsidR="002C6574" w:rsidRDefault="00000000">
            <w:pPr>
              <w:pStyle w:val="TableParagraph"/>
              <w:spacing w:before="48"/>
              <w:ind w:right="85"/>
              <w:rPr>
                <w:rFonts w:ascii="Arial MT"/>
                <w:sz w:val="12"/>
              </w:rPr>
            </w:pPr>
            <w:r>
              <w:rPr>
                <w:rFonts w:ascii="Arial MT"/>
                <w:spacing w:val="-2"/>
                <w:sz w:val="12"/>
              </w:rPr>
              <w:t>24.851</w:t>
            </w:r>
          </w:p>
        </w:tc>
        <w:tc>
          <w:tcPr>
            <w:tcW w:w="762" w:type="dxa"/>
            <w:tcBorders>
              <w:top w:val="single" w:sz="8" w:space="0" w:color="8EAADB"/>
              <w:bottom w:val="single" w:sz="8" w:space="0" w:color="8EAADB"/>
            </w:tcBorders>
          </w:tcPr>
          <w:p w14:paraId="1EE897BC" w14:textId="77777777" w:rsidR="002C6574" w:rsidRDefault="00000000">
            <w:pPr>
              <w:pStyle w:val="TableParagraph"/>
              <w:spacing w:before="48"/>
              <w:ind w:left="217"/>
              <w:jc w:val="center"/>
              <w:rPr>
                <w:rFonts w:ascii="Arial MT"/>
                <w:sz w:val="12"/>
              </w:rPr>
            </w:pPr>
            <w:r>
              <w:rPr>
                <w:rFonts w:ascii="Arial MT"/>
                <w:spacing w:val="-4"/>
                <w:sz w:val="12"/>
              </w:rPr>
              <w:t>5,4%</w:t>
            </w:r>
          </w:p>
        </w:tc>
        <w:tc>
          <w:tcPr>
            <w:tcW w:w="840" w:type="dxa"/>
            <w:tcBorders>
              <w:top w:val="single" w:sz="8" w:space="0" w:color="8EAADB"/>
              <w:bottom w:val="single" w:sz="8" w:space="0" w:color="8EAADB"/>
            </w:tcBorders>
          </w:tcPr>
          <w:p w14:paraId="5C11C629" w14:textId="77777777" w:rsidR="002C6574" w:rsidRDefault="00000000">
            <w:pPr>
              <w:pStyle w:val="TableParagraph"/>
              <w:spacing w:before="48"/>
              <w:ind w:right="65"/>
              <w:rPr>
                <w:rFonts w:ascii="Arial MT"/>
                <w:sz w:val="12"/>
              </w:rPr>
            </w:pPr>
            <w:r>
              <w:rPr>
                <w:rFonts w:ascii="Arial MT"/>
                <w:spacing w:val="-2"/>
                <w:sz w:val="12"/>
              </w:rPr>
              <w:t>14,2%</w:t>
            </w:r>
          </w:p>
        </w:tc>
      </w:tr>
      <w:tr w:rsidR="002C6574" w14:paraId="2AC6BC38" w14:textId="77777777">
        <w:trPr>
          <w:trHeight w:val="232"/>
        </w:trPr>
        <w:tc>
          <w:tcPr>
            <w:tcW w:w="3872" w:type="dxa"/>
            <w:tcBorders>
              <w:top w:val="single" w:sz="8" w:space="0" w:color="8EAADB"/>
              <w:bottom w:val="single" w:sz="8" w:space="0" w:color="8EAADB"/>
            </w:tcBorders>
          </w:tcPr>
          <w:p w14:paraId="682D3FB7" w14:textId="77777777" w:rsidR="002C6574" w:rsidRDefault="00000000">
            <w:pPr>
              <w:pStyle w:val="TableParagraph"/>
              <w:spacing w:before="48"/>
              <w:ind w:left="150"/>
              <w:jc w:val="left"/>
              <w:rPr>
                <w:rFonts w:ascii="Arial MT"/>
                <w:sz w:val="12"/>
              </w:rPr>
            </w:pPr>
            <w:r>
              <w:rPr>
                <w:rFonts w:ascii="Arial MT"/>
                <w:sz w:val="12"/>
              </w:rPr>
              <w:t>Receita</w:t>
            </w:r>
            <w:r>
              <w:rPr>
                <w:rFonts w:ascii="Arial MT"/>
                <w:spacing w:val="-1"/>
                <w:sz w:val="12"/>
              </w:rPr>
              <w:t xml:space="preserve"> </w:t>
            </w:r>
            <w:r>
              <w:rPr>
                <w:rFonts w:ascii="Arial MT"/>
                <w:sz w:val="12"/>
              </w:rPr>
              <w:t xml:space="preserve">de Valor </w:t>
            </w:r>
            <w:r>
              <w:rPr>
                <w:rFonts w:ascii="Arial MT"/>
                <w:spacing w:val="-2"/>
                <w:sz w:val="12"/>
              </w:rPr>
              <w:t>Adicionado</w:t>
            </w:r>
          </w:p>
        </w:tc>
        <w:tc>
          <w:tcPr>
            <w:tcW w:w="1725" w:type="dxa"/>
            <w:tcBorders>
              <w:top w:val="single" w:sz="8" w:space="0" w:color="8EAADB"/>
              <w:bottom w:val="single" w:sz="8" w:space="0" w:color="8EAADB"/>
            </w:tcBorders>
          </w:tcPr>
          <w:p w14:paraId="2AF2304A" w14:textId="77777777" w:rsidR="002C6574" w:rsidRDefault="00000000">
            <w:pPr>
              <w:pStyle w:val="TableParagraph"/>
              <w:spacing w:before="48"/>
              <w:ind w:right="219"/>
              <w:rPr>
                <w:rFonts w:ascii="Arial MT"/>
                <w:sz w:val="12"/>
              </w:rPr>
            </w:pPr>
            <w:r>
              <w:rPr>
                <w:rFonts w:ascii="Arial MT"/>
                <w:spacing w:val="-2"/>
                <w:sz w:val="12"/>
              </w:rPr>
              <w:t>26.411</w:t>
            </w:r>
          </w:p>
        </w:tc>
        <w:tc>
          <w:tcPr>
            <w:tcW w:w="1010" w:type="dxa"/>
            <w:tcBorders>
              <w:top w:val="single" w:sz="8" w:space="0" w:color="8EAADB"/>
              <w:bottom w:val="single" w:sz="8" w:space="0" w:color="8EAADB"/>
            </w:tcBorders>
          </w:tcPr>
          <w:p w14:paraId="2833546F" w14:textId="77777777" w:rsidR="002C6574" w:rsidRDefault="00000000">
            <w:pPr>
              <w:pStyle w:val="TableParagraph"/>
              <w:spacing w:before="48"/>
              <w:ind w:right="219"/>
              <w:rPr>
                <w:rFonts w:ascii="Arial MT"/>
                <w:sz w:val="12"/>
              </w:rPr>
            </w:pPr>
            <w:r>
              <w:rPr>
                <w:rFonts w:ascii="Arial MT"/>
                <w:spacing w:val="-2"/>
                <w:sz w:val="12"/>
              </w:rPr>
              <w:t>20.029</w:t>
            </w:r>
          </w:p>
        </w:tc>
        <w:tc>
          <w:tcPr>
            <w:tcW w:w="877" w:type="dxa"/>
            <w:tcBorders>
              <w:top w:val="single" w:sz="8" w:space="0" w:color="8EAADB"/>
              <w:bottom w:val="single" w:sz="8" w:space="0" w:color="8EAADB"/>
            </w:tcBorders>
          </w:tcPr>
          <w:p w14:paraId="543B0016" w14:textId="77777777" w:rsidR="002C6574" w:rsidRDefault="00000000">
            <w:pPr>
              <w:pStyle w:val="TableParagraph"/>
              <w:spacing w:before="48"/>
              <w:ind w:right="85"/>
              <w:rPr>
                <w:rFonts w:ascii="Arial MT"/>
                <w:sz w:val="12"/>
              </w:rPr>
            </w:pPr>
            <w:r>
              <w:rPr>
                <w:rFonts w:ascii="Arial MT"/>
                <w:spacing w:val="-2"/>
                <w:sz w:val="12"/>
              </w:rPr>
              <w:t>18.073</w:t>
            </w:r>
          </w:p>
        </w:tc>
        <w:tc>
          <w:tcPr>
            <w:tcW w:w="762" w:type="dxa"/>
            <w:tcBorders>
              <w:top w:val="single" w:sz="8" w:space="0" w:color="8EAADB"/>
              <w:bottom w:val="single" w:sz="8" w:space="0" w:color="8EAADB"/>
            </w:tcBorders>
          </w:tcPr>
          <w:p w14:paraId="767F3D0E" w14:textId="77777777" w:rsidR="002C6574" w:rsidRDefault="00000000">
            <w:pPr>
              <w:pStyle w:val="TableParagraph"/>
              <w:spacing w:before="48"/>
              <w:ind w:left="231" w:right="82"/>
              <w:jc w:val="center"/>
              <w:rPr>
                <w:rFonts w:ascii="Arial MT"/>
                <w:sz w:val="12"/>
              </w:rPr>
            </w:pPr>
            <w:r>
              <w:rPr>
                <w:rFonts w:ascii="Arial MT"/>
                <w:spacing w:val="-2"/>
                <w:sz w:val="12"/>
              </w:rPr>
              <w:t>31,9%</w:t>
            </w:r>
          </w:p>
        </w:tc>
        <w:tc>
          <w:tcPr>
            <w:tcW w:w="840" w:type="dxa"/>
            <w:tcBorders>
              <w:top w:val="single" w:sz="8" w:space="0" w:color="8EAADB"/>
              <w:bottom w:val="single" w:sz="8" w:space="0" w:color="8EAADB"/>
            </w:tcBorders>
          </w:tcPr>
          <w:p w14:paraId="0A5645F7" w14:textId="77777777" w:rsidR="002C6574" w:rsidRDefault="00000000">
            <w:pPr>
              <w:pStyle w:val="TableParagraph"/>
              <w:spacing w:before="48"/>
              <w:ind w:right="66"/>
              <w:rPr>
                <w:rFonts w:ascii="Arial MT"/>
                <w:sz w:val="12"/>
              </w:rPr>
            </w:pPr>
            <w:r>
              <w:rPr>
                <w:rFonts w:ascii="Arial MT"/>
                <w:spacing w:val="-2"/>
                <w:sz w:val="12"/>
              </w:rPr>
              <w:t>46,1%</w:t>
            </w:r>
          </w:p>
        </w:tc>
      </w:tr>
      <w:tr w:rsidR="002C6574" w14:paraId="61C0A0CC" w14:textId="77777777">
        <w:trPr>
          <w:trHeight w:val="231"/>
        </w:trPr>
        <w:tc>
          <w:tcPr>
            <w:tcW w:w="3872" w:type="dxa"/>
            <w:tcBorders>
              <w:top w:val="single" w:sz="8" w:space="0" w:color="8EAADB"/>
              <w:bottom w:val="single" w:sz="8" w:space="0" w:color="8EAADB"/>
            </w:tcBorders>
          </w:tcPr>
          <w:p w14:paraId="252F7F9F" w14:textId="77777777" w:rsidR="002C6574" w:rsidRDefault="00000000">
            <w:pPr>
              <w:pStyle w:val="TableParagraph"/>
              <w:spacing w:before="48"/>
              <w:ind w:left="150"/>
              <w:jc w:val="left"/>
              <w:rPr>
                <w:rFonts w:ascii="Arial MT"/>
                <w:sz w:val="12"/>
              </w:rPr>
            </w:pPr>
            <w:r>
              <w:rPr>
                <w:rFonts w:ascii="Arial MT"/>
                <w:sz w:val="12"/>
              </w:rPr>
              <w:t>Compartilhamento</w:t>
            </w:r>
            <w:r>
              <w:rPr>
                <w:rFonts w:ascii="Arial MT"/>
                <w:spacing w:val="-1"/>
                <w:sz w:val="12"/>
              </w:rPr>
              <w:t xml:space="preserve"> </w:t>
            </w:r>
            <w:r>
              <w:rPr>
                <w:rFonts w:ascii="Arial MT"/>
                <w:sz w:val="12"/>
              </w:rPr>
              <w:t>de</w:t>
            </w:r>
            <w:r>
              <w:rPr>
                <w:rFonts w:ascii="Arial MT"/>
                <w:spacing w:val="1"/>
                <w:sz w:val="12"/>
              </w:rPr>
              <w:t xml:space="preserve"> </w:t>
            </w:r>
            <w:r>
              <w:rPr>
                <w:rFonts w:ascii="Arial MT"/>
                <w:spacing w:val="-2"/>
                <w:sz w:val="12"/>
              </w:rPr>
              <w:t>Receita</w:t>
            </w:r>
          </w:p>
        </w:tc>
        <w:tc>
          <w:tcPr>
            <w:tcW w:w="1725" w:type="dxa"/>
            <w:tcBorders>
              <w:top w:val="single" w:sz="8" w:space="0" w:color="8EAADB"/>
              <w:bottom w:val="single" w:sz="8" w:space="0" w:color="8EAADB"/>
            </w:tcBorders>
          </w:tcPr>
          <w:p w14:paraId="2A3FB0FC" w14:textId="77777777" w:rsidR="002C6574" w:rsidRDefault="00000000">
            <w:pPr>
              <w:pStyle w:val="TableParagraph"/>
              <w:spacing w:before="48"/>
              <w:ind w:right="219"/>
              <w:rPr>
                <w:rFonts w:ascii="Arial MT"/>
                <w:sz w:val="12"/>
              </w:rPr>
            </w:pPr>
            <w:r>
              <w:rPr>
                <w:rFonts w:ascii="Arial MT"/>
                <w:spacing w:val="-2"/>
                <w:sz w:val="12"/>
              </w:rPr>
              <w:t>10.421</w:t>
            </w:r>
          </w:p>
        </w:tc>
        <w:tc>
          <w:tcPr>
            <w:tcW w:w="1010" w:type="dxa"/>
            <w:tcBorders>
              <w:top w:val="single" w:sz="8" w:space="0" w:color="8EAADB"/>
              <w:bottom w:val="single" w:sz="8" w:space="0" w:color="8EAADB"/>
            </w:tcBorders>
          </w:tcPr>
          <w:p w14:paraId="68756C31" w14:textId="77777777" w:rsidR="002C6574" w:rsidRDefault="00000000">
            <w:pPr>
              <w:pStyle w:val="TableParagraph"/>
              <w:spacing w:before="48"/>
              <w:ind w:right="219"/>
              <w:rPr>
                <w:rFonts w:ascii="Arial MT"/>
                <w:sz w:val="12"/>
              </w:rPr>
            </w:pPr>
            <w:r>
              <w:rPr>
                <w:rFonts w:ascii="Arial MT"/>
                <w:spacing w:val="-2"/>
                <w:sz w:val="12"/>
              </w:rPr>
              <w:t>13.633</w:t>
            </w:r>
          </w:p>
        </w:tc>
        <w:tc>
          <w:tcPr>
            <w:tcW w:w="877" w:type="dxa"/>
            <w:tcBorders>
              <w:top w:val="single" w:sz="8" w:space="0" w:color="8EAADB"/>
              <w:bottom w:val="single" w:sz="8" w:space="0" w:color="8EAADB"/>
            </w:tcBorders>
          </w:tcPr>
          <w:p w14:paraId="7BC479ED" w14:textId="77777777" w:rsidR="002C6574" w:rsidRDefault="00000000">
            <w:pPr>
              <w:pStyle w:val="TableParagraph"/>
              <w:spacing w:before="48"/>
              <w:ind w:right="85"/>
              <w:rPr>
                <w:rFonts w:ascii="Arial MT"/>
                <w:sz w:val="12"/>
              </w:rPr>
            </w:pPr>
            <w:r>
              <w:rPr>
                <w:rFonts w:ascii="Arial MT"/>
                <w:spacing w:val="-2"/>
                <w:sz w:val="12"/>
              </w:rPr>
              <w:t>19.640</w:t>
            </w:r>
          </w:p>
        </w:tc>
        <w:tc>
          <w:tcPr>
            <w:tcW w:w="762" w:type="dxa"/>
            <w:tcBorders>
              <w:top w:val="single" w:sz="8" w:space="0" w:color="8EAADB"/>
              <w:bottom w:val="single" w:sz="8" w:space="0" w:color="8EAADB"/>
            </w:tcBorders>
          </w:tcPr>
          <w:p w14:paraId="3B86690B" w14:textId="77777777" w:rsidR="002C6574" w:rsidRDefault="00000000">
            <w:pPr>
              <w:pStyle w:val="TableParagraph"/>
              <w:spacing w:before="48"/>
              <w:ind w:left="217" w:right="104"/>
              <w:jc w:val="center"/>
              <w:rPr>
                <w:rFonts w:ascii="Arial MT"/>
                <w:sz w:val="12"/>
              </w:rPr>
            </w:pPr>
            <w:r>
              <w:rPr>
                <w:rFonts w:ascii="Arial MT"/>
                <w:sz w:val="12"/>
              </w:rPr>
              <w:t>-</w:t>
            </w:r>
            <w:r>
              <w:rPr>
                <w:rFonts w:ascii="Arial MT"/>
                <w:spacing w:val="-2"/>
                <w:sz w:val="12"/>
              </w:rPr>
              <w:t>23,6%</w:t>
            </w:r>
          </w:p>
        </w:tc>
        <w:tc>
          <w:tcPr>
            <w:tcW w:w="840" w:type="dxa"/>
            <w:tcBorders>
              <w:top w:val="single" w:sz="8" w:space="0" w:color="8EAADB"/>
              <w:bottom w:val="single" w:sz="8" w:space="0" w:color="8EAADB"/>
            </w:tcBorders>
          </w:tcPr>
          <w:p w14:paraId="2E788CDC" w14:textId="77777777" w:rsidR="002C6574" w:rsidRDefault="00000000">
            <w:pPr>
              <w:pStyle w:val="TableParagraph"/>
              <w:spacing w:before="48"/>
              <w:ind w:right="63"/>
              <w:rPr>
                <w:rFonts w:ascii="Arial MT"/>
                <w:sz w:val="12"/>
              </w:rPr>
            </w:pPr>
            <w:r>
              <w:rPr>
                <w:rFonts w:ascii="Arial MT"/>
                <w:sz w:val="12"/>
              </w:rPr>
              <w:t>-</w:t>
            </w:r>
            <w:r>
              <w:rPr>
                <w:rFonts w:ascii="Arial MT"/>
                <w:spacing w:val="-2"/>
                <w:sz w:val="12"/>
              </w:rPr>
              <w:t>46,9%</w:t>
            </w:r>
          </w:p>
        </w:tc>
      </w:tr>
      <w:tr w:rsidR="002C6574" w14:paraId="3745BFB5" w14:textId="77777777">
        <w:trPr>
          <w:trHeight w:val="232"/>
        </w:trPr>
        <w:tc>
          <w:tcPr>
            <w:tcW w:w="3872" w:type="dxa"/>
            <w:tcBorders>
              <w:top w:val="single" w:sz="8" w:space="0" w:color="8EAADB"/>
              <w:bottom w:val="single" w:sz="8" w:space="0" w:color="8EAADB"/>
            </w:tcBorders>
          </w:tcPr>
          <w:p w14:paraId="35E599E3" w14:textId="77777777" w:rsidR="002C6574" w:rsidRDefault="00000000">
            <w:pPr>
              <w:pStyle w:val="TableParagraph"/>
              <w:spacing w:before="48"/>
              <w:ind w:left="150"/>
              <w:jc w:val="left"/>
              <w:rPr>
                <w:rFonts w:ascii="Arial MT"/>
                <w:sz w:val="12"/>
              </w:rPr>
            </w:pPr>
            <w:r>
              <w:rPr>
                <w:rFonts w:ascii="Arial MT"/>
                <w:sz w:val="12"/>
              </w:rPr>
              <w:t>Outras</w:t>
            </w:r>
            <w:r>
              <w:rPr>
                <w:rFonts w:ascii="Arial MT"/>
                <w:spacing w:val="1"/>
                <w:sz w:val="12"/>
              </w:rPr>
              <w:t xml:space="preserve"> </w:t>
            </w:r>
            <w:r>
              <w:rPr>
                <w:rFonts w:ascii="Arial MT"/>
                <w:spacing w:val="-2"/>
                <w:sz w:val="12"/>
              </w:rPr>
              <w:t>Receitas</w:t>
            </w:r>
          </w:p>
        </w:tc>
        <w:tc>
          <w:tcPr>
            <w:tcW w:w="1725" w:type="dxa"/>
            <w:tcBorders>
              <w:top w:val="single" w:sz="8" w:space="0" w:color="8EAADB"/>
              <w:bottom w:val="single" w:sz="8" w:space="0" w:color="8EAADB"/>
            </w:tcBorders>
          </w:tcPr>
          <w:p w14:paraId="444D62E5" w14:textId="77777777" w:rsidR="002C6574" w:rsidRDefault="00000000">
            <w:pPr>
              <w:pStyle w:val="TableParagraph"/>
              <w:spacing w:before="48"/>
              <w:ind w:right="220"/>
              <w:rPr>
                <w:rFonts w:ascii="Arial MT"/>
                <w:sz w:val="12"/>
              </w:rPr>
            </w:pPr>
            <w:r>
              <w:rPr>
                <w:rFonts w:ascii="Arial MT"/>
                <w:spacing w:val="-2"/>
                <w:sz w:val="12"/>
              </w:rPr>
              <w:t>6.730</w:t>
            </w:r>
          </w:p>
        </w:tc>
        <w:tc>
          <w:tcPr>
            <w:tcW w:w="1010" w:type="dxa"/>
            <w:tcBorders>
              <w:top w:val="single" w:sz="8" w:space="0" w:color="8EAADB"/>
              <w:bottom w:val="single" w:sz="8" w:space="0" w:color="8EAADB"/>
            </w:tcBorders>
          </w:tcPr>
          <w:p w14:paraId="67D7C554" w14:textId="77777777" w:rsidR="002C6574" w:rsidRDefault="00000000">
            <w:pPr>
              <w:pStyle w:val="TableParagraph"/>
              <w:spacing w:before="48"/>
              <w:ind w:right="219"/>
              <w:rPr>
                <w:rFonts w:ascii="Arial MT"/>
                <w:sz w:val="12"/>
              </w:rPr>
            </w:pPr>
            <w:r>
              <w:rPr>
                <w:rFonts w:ascii="Arial MT"/>
                <w:spacing w:val="-2"/>
                <w:sz w:val="12"/>
              </w:rPr>
              <w:t>9.379</w:t>
            </w:r>
          </w:p>
        </w:tc>
        <w:tc>
          <w:tcPr>
            <w:tcW w:w="877" w:type="dxa"/>
            <w:tcBorders>
              <w:top w:val="single" w:sz="8" w:space="0" w:color="8EAADB"/>
              <w:bottom w:val="single" w:sz="8" w:space="0" w:color="8EAADB"/>
            </w:tcBorders>
          </w:tcPr>
          <w:p w14:paraId="5BBA150F" w14:textId="77777777" w:rsidR="002C6574" w:rsidRDefault="00000000">
            <w:pPr>
              <w:pStyle w:val="TableParagraph"/>
              <w:spacing w:before="48"/>
              <w:ind w:right="85"/>
              <w:rPr>
                <w:rFonts w:ascii="Arial MT"/>
                <w:sz w:val="12"/>
              </w:rPr>
            </w:pPr>
            <w:r>
              <w:rPr>
                <w:rFonts w:ascii="Arial MT"/>
                <w:spacing w:val="-2"/>
                <w:sz w:val="12"/>
              </w:rPr>
              <w:t>14.496</w:t>
            </w:r>
          </w:p>
        </w:tc>
        <w:tc>
          <w:tcPr>
            <w:tcW w:w="762" w:type="dxa"/>
            <w:tcBorders>
              <w:top w:val="single" w:sz="8" w:space="0" w:color="8EAADB"/>
              <w:bottom w:val="single" w:sz="8" w:space="0" w:color="8EAADB"/>
            </w:tcBorders>
          </w:tcPr>
          <w:p w14:paraId="0CC6CFB9" w14:textId="77777777" w:rsidR="002C6574" w:rsidRDefault="00000000">
            <w:pPr>
              <w:pStyle w:val="TableParagraph"/>
              <w:spacing w:before="48"/>
              <w:ind w:left="217" w:right="104"/>
              <w:jc w:val="center"/>
              <w:rPr>
                <w:rFonts w:ascii="Arial MT"/>
                <w:sz w:val="12"/>
              </w:rPr>
            </w:pPr>
            <w:r>
              <w:rPr>
                <w:rFonts w:ascii="Arial MT"/>
                <w:sz w:val="12"/>
              </w:rPr>
              <w:t>-</w:t>
            </w:r>
            <w:r>
              <w:rPr>
                <w:rFonts w:ascii="Arial MT"/>
                <w:spacing w:val="-2"/>
                <w:sz w:val="12"/>
              </w:rPr>
              <w:t>28,2%</w:t>
            </w:r>
          </w:p>
        </w:tc>
        <w:tc>
          <w:tcPr>
            <w:tcW w:w="840" w:type="dxa"/>
            <w:tcBorders>
              <w:top w:val="single" w:sz="8" w:space="0" w:color="8EAADB"/>
              <w:bottom w:val="single" w:sz="8" w:space="0" w:color="8EAADB"/>
            </w:tcBorders>
          </w:tcPr>
          <w:p w14:paraId="421B9591" w14:textId="77777777" w:rsidR="002C6574" w:rsidRDefault="00000000">
            <w:pPr>
              <w:pStyle w:val="TableParagraph"/>
              <w:spacing w:before="48"/>
              <w:ind w:right="63"/>
              <w:rPr>
                <w:rFonts w:ascii="Arial MT"/>
                <w:sz w:val="12"/>
              </w:rPr>
            </w:pPr>
            <w:r>
              <w:rPr>
                <w:rFonts w:ascii="Arial MT"/>
                <w:sz w:val="12"/>
              </w:rPr>
              <w:t>-</w:t>
            </w:r>
            <w:r>
              <w:rPr>
                <w:rFonts w:ascii="Arial MT"/>
                <w:spacing w:val="-2"/>
                <w:sz w:val="12"/>
              </w:rPr>
              <w:t>53,6%</w:t>
            </w:r>
          </w:p>
        </w:tc>
      </w:tr>
      <w:tr w:rsidR="002C6574" w14:paraId="1A4614AB" w14:textId="77777777">
        <w:trPr>
          <w:trHeight w:val="231"/>
        </w:trPr>
        <w:tc>
          <w:tcPr>
            <w:tcW w:w="3872" w:type="dxa"/>
            <w:tcBorders>
              <w:top w:val="single" w:sz="8" w:space="0" w:color="8EAADB"/>
              <w:bottom w:val="single" w:sz="8" w:space="0" w:color="8EAADB"/>
            </w:tcBorders>
          </w:tcPr>
          <w:p w14:paraId="09D8490A" w14:textId="77777777" w:rsidR="002C6574" w:rsidRDefault="00000000">
            <w:pPr>
              <w:pStyle w:val="TableParagraph"/>
              <w:spacing w:before="48"/>
              <w:ind w:left="117"/>
              <w:jc w:val="left"/>
              <w:rPr>
                <w:rFonts w:ascii="Arial" w:hAnsi="Arial"/>
                <w:b/>
                <w:sz w:val="12"/>
              </w:rPr>
            </w:pPr>
            <w:r>
              <w:rPr>
                <w:rFonts w:ascii="Arial" w:hAnsi="Arial"/>
                <w:b/>
                <w:sz w:val="12"/>
              </w:rPr>
              <w:t>DEDUÇÕES</w:t>
            </w:r>
            <w:r>
              <w:rPr>
                <w:rFonts w:ascii="Arial" w:hAnsi="Arial"/>
                <w:b/>
                <w:spacing w:val="-2"/>
                <w:sz w:val="12"/>
              </w:rPr>
              <w:t xml:space="preserve"> </w:t>
            </w:r>
            <w:r>
              <w:rPr>
                <w:rFonts w:ascii="Arial" w:hAnsi="Arial"/>
                <w:b/>
                <w:sz w:val="12"/>
              </w:rPr>
              <w:t>DA</w:t>
            </w:r>
            <w:r>
              <w:rPr>
                <w:rFonts w:ascii="Arial" w:hAnsi="Arial"/>
                <w:b/>
                <w:spacing w:val="-1"/>
                <w:sz w:val="12"/>
              </w:rPr>
              <w:t xml:space="preserve"> </w:t>
            </w:r>
            <w:r>
              <w:rPr>
                <w:rFonts w:ascii="Arial" w:hAnsi="Arial"/>
                <w:b/>
                <w:sz w:val="12"/>
              </w:rPr>
              <w:t>RECEITA</w:t>
            </w:r>
            <w:r>
              <w:rPr>
                <w:rFonts w:ascii="Arial" w:hAnsi="Arial"/>
                <w:b/>
                <w:spacing w:val="-1"/>
                <w:sz w:val="12"/>
              </w:rPr>
              <w:t xml:space="preserve"> </w:t>
            </w:r>
            <w:r>
              <w:rPr>
                <w:rFonts w:ascii="Arial" w:hAnsi="Arial"/>
                <w:b/>
                <w:sz w:val="12"/>
              </w:rPr>
              <w:t xml:space="preserve">OPERACIONAL </w:t>
            </w:r>
            <w:r>
              <w:rPr>
                <w:rFonts w:ascii="Arial" w:hAnsi="Arial"/>
                <w:b/>
                <w:spacing w:val="-2"/>
                <w:sz w:val="12"/>
              </w:rPr>
              <w:t>BRUTA</w:t>
            </w:r>
          </w:p>
        </w:tc>
        <w:tc>
          <w:tcPr>
            <w:tcW w:w="1725" w:type="dxa"/>
            <w:tcBorders>
              <w:top w:val="single" w:sz="8" w:space="0" w:color="8EAADB"/>
              <w:bottom w:val="single" w:sz="8" w:space="0" w:color="8EAADB"/>
            </w:tcBorders>
          </w:tcPr>
          <w:p w14:paraId="4976C6A5" w14:textId="77777777" w:rsidR="002C6574" w:rsidRDefault="00000000">
            <w:pPr>
              <w:pStyle w:val="TableParagraph"/>
              <w:spacing w:before="48"/>
              <w:ind w:right="217"/>
              <w:rPr>
                <w:rFonts w:ascii="Arial"/>
                <w:b/>
                <w:sz w:val="12"/>
              </w:rPr>
            </w:pPr>
            <w:r>
              <w:rPr>
                <w:rFonts w:ascii="Arial"/>
                <w:b/>
                <w:spacing w:val="-2"/>
                <w:sz w:val="12"/>
              </w:rPr>
              <w:t>(49.899)</w:t>
            </w:r>
          </w:p>
        </w:tc>
        <w:tc>
          <w:tcPr>
            <w:tcW w:w="1010" w:type="dxa"/>
            <w:tcBorders>
              <w:top w:val="single" w:sz="8" w:space="0" w:color="8EAADB"/>
              <w:bottom w:val="single" w:sz="8" w:space="0" w:color="8EAADB"/>
            </w:tcBorders>
          </w:tcPr>
          <w:p w14:paraId="6CAF82C1" w14:textId="77777777" w:rsidR="002C6574" w:rsidRDefault="00000000">
            <w:pPr>
              <w:pStyle w:val="TableParagraph"/>
              <w:spacing w:before="48"/>
              <w:ind w:right="217"/>
              <w:rPr>
                <w:rFonts w:ascii="Arial"/>
                <w:b/>
                <w:sz w:val="12"/>
              </w:rPr>
            </w:pPr>
            <w:r>
              <w:rPr>
                <w:rFonts w:ascii="Arial"/>
                <w:b/>
                <w:spacing w:val="-2"/>
                <w:sz w:val="12"/>
              </w:rPr>
              <w:t>(48.076)</w:t>
            </w:r>
          </w:p>
        </w:tc>
        <w:tc>
          <w:tcPr>
            <w:tcW w:w="877" w:type="dxa"/>
            <w:tcBorders>
              <w:top w:val="single" w:sz="8" w:space="0" w:color="8EAADB"/>
              <w:bottom w:val="single" w:sz="8" w:space="0" w:color="8EAADB"/>
            </w:tcBorders>
          </w:tcPr>
          <w:p w14:paraId="243805A6" w14:textId="77777777" w:rsidR="002C6574" w:rsidRDefault="00000000">
            <w:pPr>
              <w:pStyle w:val="TableParagraph"/>
              <w:spacing w:before="48"/>
              <w:ind w:right="84"/>
              <w:rPr>
                <w:rFonts w:ascii="Arial"/>
                <w:b/>
                <w:sz w:val="12"/>
              </w:rPr>
            </w:pPr>
            <w:r>
              <w:rPr>
                <w:rFonts w:ascii="Arial"/>
                <w:b/>
                <w:spacing w:val="-2"/>
                <w:sz w:val="12"/>
              </w:rPr>
              <w:t>(53.212)</w:t>
            </w:r>
          </w:p>
        </w:tc>
        <w:tc>
          <w:tcPr>
            <w:tcW w:w="762" w:type="dxa"/>
            <w:tcBorders>
              <w:top w:val="single" w:sz="8" w:space="0" w:color="8EAADB"/>
              <w:bottom w:val="single" w:sz="8" w:space="0" w:color="8EAADB"/>
            </w:tcBorders>
          </w:tcPr>
          <w:p w14:paraId="143D7B90" w14:textId="77777777" w:rsidR="002C6574" w:rsidRDefault="00000000">
            <w:pPr>
              <w:pStyle w:val="TableParagraph"/>
              <w:spacing w:before="48"/>
              <w:ind w:left="216"/>
              <w:jc w:val="center"/>
              <w:rPr>
                <w:rFonts w:ascii="Arial"/>
                <w:b/>
                <w:sz w:val="12"/>
              </w:rPr>
            </w:pPr>
            <w:r>
              <w:rPr>
                <w:rFonts w:ascii="Arial"/>
                <w:b/>
                <w:spacing w:val="-4"/>
                <w:sz w:val="12"/>
              </w:rPr>
              <w:t>3,8%</w:t>
            </w:r>
          </w:p>
        </w:tc>
        <w:tc>
          <w:tcPr>
            <w:tcW w:w="840" w:type="dxa"/>
            <w:tcBorders>
              <w:top w:val="single" w:sz="8" w:space="0" w:color="8EAADB"/>
              <w:bottom w:val="single" w:sz="8" w:space="0" w:color="8EAADB"/>
            </w:tcBorders>
          </w:tcPr>
          <w:p w14:paraId="15B9F704" w14:textId="77777777" w:rsidR="002C6574" w:rsidRDefault="00000000">
            <w:pPr>
              <w:pStyle w:val="TableParagraph"/>
              <w:spacing w:before="48"/>
              <w:ind w:right="65"/>
              <w:rPr>
                <w:rFonts w:ascii="Arial"/>
                <w:b/>
                <w:sz w:val="12"/>
              </w:rPr>
            </w:pPr>
            <w:r>
              <w:rPr>
                <w:rFonts w:ascii="Arial"/>
                <w:b/>
                <w:sz w:val="12"/>
              </w:rPr>
              <w:t>-</w:t>
            </w:r>
            <w:r>
              <w:rPr>
                <w:rFonts w:ascii="Arial"/>
                <w:b/>
                <w:spacing w:val="-4"/>
                <w:sz w:val="12"/>
              </w:rPr>
              <w:t>6,2%</w:t>
            </w:r>
          </w:p>
        </w:tc>
      </w:tr>
      <w:tr w:rsidR="002C6574" w14:paraId="006C0507" w14:textId="77777777">
        <w:trPr>
          <w:trHeight w:val="231"/>
        </w:trPr>
        <w:tc>
          <w:tcPr>
            <w:tcW w:w="3872" w:type="dxa"/>
            <w:tcBorders>
              <w:top w:val="single" w:sz="8" w:space="0" w:color="8EAADB"/>
              <w:bottom w:val="single" w:sz="8" w:space="0" w:color="8EAADB"/>
            </w:tcBorders>
          </w:tcPr>
          <w:p w14:paraId="0D93B127" w14:textId="77777777" w:rsidR="002C6574" w:rsidRDefault="00000000">
            <w:pPr>
              <w:pStyle w:val="TableParagraph"/>
              <w:spacing w:before="48"/>
              <w:ind w:left="117"/>
              <w:jc w:val="left"/>
              <w:rPr>
                <w:rFonts w:ascii="Arial" w:hAnsi="Arial"/>
                <w:b/>
                <w:sz w:val="12"/>
              </w:rPr>
            </w:pPr>
            <w:r>
              <w:rPr>
                <w:rFonts w:ascii="Arial" w:hAnsi="Arial"/>
                <w:b/>
                <w:sz w:val="12"/>
              </w:rPr>
              <w:t>RECEITA</w:t>
            </w:r>
            <w:r>
              <w:rPr>
                <w:rFonts w:ascii="Arial" w:hAnsi="Arial"/>
                <w:b/>
                <w:spacing w:val="-2"/>
                <w:sz w:val="12"/>
              </w:rPr>
              <w:t xml:space="preserve"> </w:t>
            </w:r>
            <w:r>
              <w:rPr>
                <w:rFonts w:ascii="Arial" w:hAnsi="Arial"/>
                <w:b/>
                <w:sz w:val="12"/>
              </w:rPr>
              <w:t xml:space="preserve">OPERACIONAL </w:t>
            </w:r>
            <w:r>
              <w:rPr>
                <w:rFonts w:ascii="Arial" w:hAnsi="Arial"/>
                <w:b/>
                <w:spacing w:val="-2"/>
                <w:sz w:val="12"/>
              </w:rPr>
              <w:t>LÍQUIDA</w:t>
            </w:r>
          </w:p>
        </w:tc>
        <w:tc>
          <w:tcPr>
            <w:tcW w:w="1725" w:type="dxa"/>
            <w:tcBorders>
              <w:top w:val="single" w:sz="8" w:space="0" w:color="8EAADB"/>
              <w:bottom w:val="single" w:sz="8" w:space="0" w:color="8EAADB"/>
            </w:tcBorders>
          </w:tcPr>
          <w:p w14:paraId="75FFCE27" w14:textId="77777777" w:rsidR="002C6574" w:rsidRDefault="00000000">
            <w:pPr>
              <w:pStyle w:val="TableParagraph"/>
              <w:spacing w:before="48"/>
              <w:ind w:right="218"/>
              <w:rPr>
                <w:rFonts w:ascii="Arial"/>
                <w:b/>
                <w:sz w:val="12"/>
              </w:rPr>
            </w:pPr>
            <w:r>
              <w:rPr>
                <w:rFonts w:ascii="Arial"/>
                <w:b/>
                <w:spacing w:val="-2"/>
                <w:sz w:val="12"/>
              </w:rPr>
              <w:t>491.009</w:t>
            </w:r>
          </w:p>
        </w:tc>
        <w:tc>
          <w:tcPr>
            <w:tcW w:w="1010" w:type="dxa"/>
            <w:tcBorders>
              <w:top w:val="single" w:sz="8" w:space="0" w:color="8EAADB"/>
              <w:bottom w:val="single" w:sz="8" w:space="0" w:color="8EAADB"/>
            </w:tcBorders>
          </w:tcPr>
          <w:p w14:paraId="719495B7" w14:textId="77777777" w:rsidR="002C6574" w:rsidRDefault="00000000">
            <w:pPr>
              <w:pStyle w:val="TableParagraph"/>
              <w:spacing w:before="48"/>
              <w:ind w:right="219"/>
              <w:rPr>
                <w:rFonts w:ascii="Arial"/>
                <w:b/>
                <w:sz w:val="12"/>
              </w:rPr>
            </w:pPr>
            <w:r>
              <w:rPr>
                <w:rFonts w:ascii="Arial"/>
                <w:b/>
                <w:spacing w:val="-2"/>
                <w:sz w:val="12"/>
              </w:rPr>
              <w:t>414.315</w:t>
            </w:r>
          </w:p>
        </w:tc>
        <w:tc>
          <w:tcPr>
            <w:tcW w:w="877" w:type="dxa"/>
            <w:tcBorders>
              <w:top w:val="single" w:sz="8" w:space="0" w:color="8EAADB"/>
              <w:bottom w:val="single" w:sz="8" w:space="0" w:color="8EAADB"/>
            </w:tcBorders>
          </w:tcPr>
          <w:p w14:paraId="6C408EE1" w14:textId="77777777" w:rsidR="002C6574" w:rsidRDefault="00000000">
            <w:pPr>
              <w:pStyle w:val="TableParagraph"/>
              <w:spacing w:before="48"/>
              <w:ind w:right="85"/>
              <w:rPr>
                <w:rFonts w:ascii="Arial"/>
                <w:b/>
                <w:sz w:val="12"/>
              </w:rPr>
            </w:pPr>
            <w:r>
              <w:rPr>
                <w:rFonts w:ascii="Arial"/>
                <w:b/>
                <w:spacing w:val="-2"/>
                <w:sz w:val="12"/>
              </w:rPr>
              <w:t>416.840</w:t>
            </w:r>
          </w:p>
        </w:tc>
        <w:tc>
          <w:tcPr>
            <w:tcW w:w="762" w:type="dxa"/>
            <w:tcBorders>
              <w:top w:val="single" w:sz="8" w:space="0" w:color="8EAADB"/>
              <w:bottom w:val="single" w:sz="8" w:space="0" w:color="8EAADB"/>
            </w:tcBorders>
          </w:tcPr>
          <w:p w14:paraId="03B64241" w14:textId="77777777" w:rsidR="002C6574" w:rsidRDefault="00000000">
            <w:pPr>
              <w:pStyle w:val="TableParagraph"/>
              <w:spacing w:before="48"/>
              <w:ind w:left="231" w:right="82"/>
              <w:jc w:val="center"/>
              <w:rPr>
                <w:rFonts w:ascii="Arial"/>
                <w:b/>
                <w:sz w:val="12"/>
              </w:rPr>
            </w:pPr>
            <w:r>
              <w:rPr>
                <w:rFonts w:ascii="Arial"/>
                <w:b/>
                <w:spacing w:val="-2"/>
                <w:sz w:val="12"/>
              </w:rPr>
              <w:t>18,5%</w:t>
            </w:r>
          </w:p>
        </w:tc>
        <w:tc>
          <w:tcPr>
            <w:tcW w:w="840" w:type="dxa"/>
            <w:tcBorders>
              <w:top w:val="single" w:sz="8" w:space="0" w:color="8EAADB"/>
              <w:bottom w:val="single" w:sz="8" w:space="0" w:color="8EAADB"/>
            </w:tcBorders>
          </w:tcPr>
          <w:p w14:paraId="02187C7A" w14:textId="77777777" w:rsidR="002C6574" w:rsidRDefault="00000000">
            <w:pPr>
              <w:pStyle w:val="TableParagraph"/>
              <w:spacing w:before="48"/>
              <w:ind w:right="66"/>
              <w:rPr>
                <w:rFonts w:ascii="Arial"/>
                <w:b/>
                <w:sz w:val="12"/>
              </w:rPr>
            </w:pPr>
            <w:r>
              <w:rPr>
                <w:rFonts w:ascii="Arial"/>
                <w:b/>
                <w:spacing w:val="-2"/>
                <w:sz w:val="12"/>
              </w:rPr>
              <w:t>17,8%</w:t>
            </w:r>
          </w:p>
        </w:tc>
      </w:tr>
    </w:tbl>
    <w:p w14:paraId="4B099391" w14:textId="77777777" w:rsidR="002C6574" w:rsidRDefault="00000000">
      <w:pPr>
        <w:spacing w:before="112"/>
        <w:ind w:left="422"/>
        <w:jc w:val="center"/>
        <w:rPr>
          <w:rFonts w:ascii="Calibri" w:hAnsi="Calibri"/>
          <w:sz w:val="16"/>
        </w:rPr>
      </w:pPr>
      <w:r>
        <w:rPr>
          <w:rFonts w:ascii="Calibri" w:hAnsi="Calibri"/>
          <w:color w:val="001F60"/>
          <w:sz w:val="16"/>
        </w:rPr>
        <w:t>Tabela</w:t>
      </w:r>
      <w:r>
        <w:rPr>
          <w:rFonts w:ascii="Calibri" w:hAnsi="Calibri"/>
          <w:color w:val="001F60"/>
          <w:spacing w:val="-4"/>
          <w:sz w:val="16"/>
        </w:rPr>
        <w:t xml:space="preserve"> </w:t>
      </w:r>
      <w:r>
        <w:rPr>
          <w:rFonts w:ascii="Calibri" w:hAnsi="Calibri"/>
          <w:color w:val="001F60"/>
          <w:sz w:val="16"/>
        </w:rPr>
        <w:t>3-4</w:t>
      </w:r>
      <w:r>
        <w:rPr>
          <w:rFonts w:ascii="Calibri" w:hAnsi="Calibri"/>
          <w:color w:val="001F60"/>
          <w:spacing w:val="-1"/>
          <w:sz w:val="16"/>
        </w:rPr>
        <w:t xml:space="preserve"> </w:t>
      </w:r>
      <w:r>
        <w:rPr>
          <w:rFonts w:ascii="Calibri" w:hAnsi="Calibri"/>
          <w:color w:val="001F60"/>
          <w:sz w:val="16"/>
        </w:rPr>
        <w:t>Receita</w:t>
      </w:r>
      <w:r>
        <w:rPr>
          <w:rFonts w:ascii="Calibri" w:hAnsi="Calibri"/>
          <w:color w:val="001F60"/>
          <w:spacing w:val="-5"/>
          <w:sz w:val="16"/>
        </w:rPr>
        <w:t xml:space="preserve"> </w:t>
      </w:r>
      <w:r>
        <w:rPr>
          <w:rFonts w:ascii="Calibri" w:hAnsi="Calibri"/>
          <w:color w:val="001F60"/>
          <w:sz w:val="16"/>
        </w:rPr>
        <w:t>Bruta</w:t>
      </w:r>
      <w:r>
        <w:rPr>
          <w:rFonts w:ascii="Calibri" w:hAnsi="Calibri"/>
          <w:color w:val="001F60"/>
          <w:spacing w:val="-4"/>
          <w:sz w:val="16"/>
        </w:rPr>
        <w:t xml:space="preserve"> </w:t>
      </w:r>
      <w:r>
        <w:rPr>
          <w:rFonts w:ascii="Calibri" w:hAnsi="Calibri"/>
          <w:color w:val="001F60"/>
          <w:sz w:val="16"/>
        </w:rPr>
        <w:t>e</w:t>
      </w:r>
      <w:r>
        <w:rPr>
          <w:rFonts w:ascii="Calibri" w:hAnsi="Calibri"/>
          <w:color w:val="001F60"/>
          <w:spacing w:val="-1"/>
          <w:sz w:val="16"/>
        </w:rPr>
        <w:t xml:space="preserve"> </w:t>
      </w:r>
      <w:r>
        <w:rPr>
          <w:rFonts w:ascii="Calibri" w:hAnsi="Calibri"/>
          <w:color w:val="001F60"/>
          <w:spacing w:val="-2"/>
          <w:sz w:val="16"/>
        </w:rPr>
        <w:t>Líquida</w:t>
      </w:r>
    </w:p>
    <w:p w14:paraId="496F1117" w14:textId="77777777" w:rsidR="002C6574" w:rsidRDefault="00000000">
      <w:pPr>
        <w:pStyle w:val="Corpodetexto"/>
        <w:spacing w:before="122"/>
        <w:ind w:left="709" w:right="277"/>
        <w:jc w:val="both"/>
        <w:rPr>
          <w:rFonts w:ascii="Calibri" w:hAnsi="Calibri"/>
        </w:rPr>
      </w:pPr>
      <w:r>
        <w:rPr>
          <w:rFonts w:ascii="Calibri" w:hAnsi="Calibri"/>
          <w:color w:val="001F60"/>
        </w:rPr>
        <w:t>No</w:t>
      </w:r>
      <w:r>
        <w:rPr>
          <w:rFonts w:ascii="Calibri" w:hAnsi="Calibri"/>
          <w:color w:val="001F60"/>
          <w:spacing w:val="-6"/>
        </w:rPr>
        <w:t xml:space="preserve"> </w:t>
      </w:r>
      <w:r>
        <w:rPr>
          <w:rFonts w:ascii="Calibri" w:hAnsi="Calibri"/>
          <w:color w:val="001F60"/>
        </w:rPr>
        <w:t>acumulado</w:t>
      </w:r>
      <w:r>
        <w:rPr>
          <w:rFonts w:ascii="Calibri" w:hAnsi="Calibri"/>
          <w:color w:val="001F60"/>
          <w:spacing w:val="-6"/>
        </w:rPr>
        <w:t xml:space="preserve"> </w:t>
      </w:r>
      <w:r>
        <w:rPr>
          <w:rFonts w:ascii="Calibri" w:hAnsi="Calibri"/>
          <w:color w:val="001F60"/>
        </w:rPr>
        <w:t>de</w:t>
      </w:r>
      <w:r>
        <w:rPr>
          <w:rFonts w:ascii="Calibri" w:hAnsi="Calibri"/>
          <w:color w:val="001F60"/>
          <w:spacing w:val="-10"/>
        </w:rPr>
        <w:t xml:space="preserve"> </w:t>
      </w:r>
      <w:r>
        <w:rPr>
          <w:rFonts w:ascii="Calibri" w:hAnsi="Calibri"/>
          <w:color w:val="001F60"/>
        </w:rPr>
        <w:t>2025,</w:t>
      </w:r>
      <w:r>
        <w:rPr>
          <w:rFonts w:ascii="Calibri" w:hAnsi="Calibri"/>
          <w:color w:val="001F60"/>
          <w:spacing w:val="-6"/>
        </w:rPr>
        <w:t xml:space="preserve"> </w:t>
      </w:r>
      <w:r>
        <w:rPr>
          <w:rFonts w:ascii="Calibri" w:hAnsi="Calibri"/>
          <w:color w:val="001F60"/>
        </w:rPr>
        <w:t>a</w:t>
      </w:r>
      <w:r>
        <w:rPr>
          <w:rFonts w:ascii="Calibri" w:hAnsi="Calibri"/>
          <w:color w:val="001F60"/>
          <w:spacing w:val="-8"/>
        </w:rPr>
        <w:t xml:space="preserve"> </w:t>
      </w:r>
      <w:r>
        <w:rPr>
          <w:rFonts w:ascii="Calibri" w:hAnsi="Calibri"/>
          <w:color w:val="001F60"/>
        </w:rPr>
        <w:t>receita</w:t>
      </w:r>
      <w:r>
        <w:rPr>
          <w:rFonts w:ascii="Calibri" w:hAnsi="Calibri"/>
          <w:color w:val="001F60"/>
          <w:spacing w:val="-10"/>
        </w:rPr>
        <w:t xml:space="preserve"> </w:t>
      </w:r>
      <w:r>
        <w:rPr>
          <w:rFonts w:ascii="Calibri" w:hAnsi="Calibri"/>
          <w:color w:val="001F60"/>
        </w:rPr>
        <w:t>somou</w:t>
      </w:r>
      <w:r>
        <w:rPr>
          <w:rFonts w:ascii="Calibri" w:hAnsi="Calibri"/>
          <w:color w:val="001F60"/>
          <w:spacing w:val="-9"/>
        </w:rPr>
        <w:t xml:space="preserve"> </w:t>
      </w:r>
      <w:r>
        <w:rPr>
          <w:rFonts w:ascii="Calibri" w:hAnsi="Calibri"/>
          <w:color w:val="001F60"/>
        </w:rPr>
        <w:t>R$</w:t>
      </w:r>
      <w:r>
        <w:rPr>
          <w:rFonts w:ascii="Calibri" w:hAnsi="Calibri"/>
          <w:color w:val="001F60"/>
          <w:spacing w:val="-8"/>
        </w:rPr>
        <w:t xml:space="preserve"> </w:t>
      </w:r>
      <w:r>
        <w:rPr>
          <w:rFonts w:ascii="Calibri" w:hAnsi="Calibri"/>
          <w:color w:val="001F60"/>
        </w:rPr>
        <w:t>491,0</w:t>
      </w:r>
      <w:r>
        <w:rPr>
          <w:rFonts w:ascii="Calibri" w:hAnsi="Calibri"/>
          <w:color w:val="001F60"/>
          <w:spacing w:val="-8"/>
        </w:rPr>
        <w:t xml:space="preserve"> </w:t>
      </w:r>
      <w:r>
        <w:rPr>
          <w:rFonts w:ascii="Calibri" w:hAnsi="Calibri"/>
          <w:color w:val="001F60"/>
        </w:rPr>
        <w:t>milhões,</w:t>
      </w:r>
      <w:r>
        <w:rPr>
          <w:rFonts w:ascii="Calibri" w:hAnsi="Calibri"/>
          <w:color w:val="001F60"/>
          <w:spacing w:val="-8"/>
        </w:rPr>
        <w:t xml:space="preserve"> </w:t>
      </w:r>
      <w:r>
        <w:rPr>
          <w:rFonts w:ascii="Calibri" w:hAnsi="Calibri"/>
          <w:color w:val="001F60"/>
        </w:rPr>
        <w:t>ante</w:t>
      </w:r>
      <w:r>
        <w:rPr>
          <w:rFonts w:ascii="Calibri" w:hAnsi="Calibri"/>
          <w:color w:val="001F60"/>
          <w:spacing w:val="-10"/>
        </w:rPr>
        <w:t xml:space="preserve"> </w:t>
      </w:r>
      <w:r>
        <w:rPr>
          <w:rFonts w:ascii="Calibri" w:hAnsi="Calibri"/>
          <w:color w:val="001F60"/>
        </w:rPr>
        <w:t>R$</w:t>
      </w:r>
      <w:r>
        <w:rPr>
          <w:rFonts w:ascii="Calibri" w:hAnsi="Calibri"/>
          <w:color w:val="001F60"/>
          <w:spacing w:val="-10"/>
        </w:rPr>
        <w:t xml:space="preserve"> </w:t>
      </w:r>
      <w:r>
        <w:rPr>
          <w:rFonts w:ascii="Calibri" w:hAnsi="Calibri"/>
          <w:color w:val="001F60"/>
        </w:rPr>
        <w:t>414,3</w:t>
      </w:r>
      <w:r>
        <w:rPr>
          <w:rFonts w:ascii="Calibri" w:hAnsi="Calibri"/>
          <w:color w:val="001F60"/>
          <w:spacing w:val="-12"/>
        </w:rPr>
        <w:t xml:space="preserve"> </w:t>
      </w:r>
      <w:r>
        <w:rPr>
          <w:rFonts w:ascii="Calibri" w:hAnsi="Calibri"/>
          <w:color w:val="001F60"/>
        </w:rPr>
        <w:t>milhões</w:t>
      </w:r>
      <w:r>
        <w:rPr>
          <w:rFonts w:ascii="Calibri" w:hAnsi="Calibri"/>
          <w:color w:val="001F60"/>
          <w:spacing w:val="-8"/>
        </w:rPr>
        <w:t xml:space="preserve"> </w:t>
      </w:r>
      <w:r>
        <w:rPr>
          <w:rFonts w:ascii="Calibri" w:hAnsi="Calibri"/>
          <w:color w:val="001F60"/>
        </w:rPr>
        <w:t>registrados</w:t>
      </w:r>
      <w:r>
        <w:rPr>
          <w:rFonts w:ascii="Calibri" w:hAnsi="Calibri"/>
          <w:color w:val="001F60"/>
          <w:spacing w:val="-10"/>
        </w:rPr>
        <w:t xml:space="preserve"> </w:t>
      </w:r>
      <w:r>
        <w:rPr>
          <w:rFonts w:ascii="Calibri" w:hAnsi="Calibri"/>
          <w:color w:val="001F60"/>
        </w:rPr>
        <w:t>em</w:t>
      </w:r>
      <w:r>
        <w:rPr>
          <w:rFonts w:ascii="Calibri" w:hAnsi="Calibri"/>
          <w:color w:val="001F60"/>
          <w:spacing w:val="-10"/>
        </w:rPr>
        <w:t xml:space="preserve"> </w:t>
      </w:r>
      <w:r>
        <w:rPr>
          <w:rFonts w:ascii="Calibri" w:hAnsi="Calibri"/>
          <w:color w:val="001F60"/>
        </w:rPr>
        <w:t>2024 e R$ 416,8 milhões em 2023, o que representa um crescimento de 18,5% e 17,8% na comparação anual,</w:t>
      </w:r>
      <w:r>
        <w:rPr>
          <w:rFonts w:ascii="Calibri" w:hAnsi="Calibri"/>
          <w:color w:val="001F60"/>
          <w:spacing w:val="-3"/>
        </w:rPr>
        <w:t xml:space="preserve"> </w:t>
      </w:r>
      <w:r>
        <w:rPr>
          <w:rFonts w:ascii="Calibri" w:hAnsi="Calibri"/>
          <w:color w:val="001F60"/>
        </w:rPr>
        <w:t>respectivamente.</w:t>
      </w:r>
      <w:r>
        <w:rPr>
          <w:rFonts w:ascii="Calibri" w:hAnsi="Calibri"/>
          <w:color w:val="001F60"/>
          <w:spacing w:val="-6"/>
        </w:rPr>
        <w:t xml:space="preserve"> </w:t>
      </w:r>
      <w:r>
        <w:rPr>
          <w:rFonts w:ascii="Calibri" w:hAnsi="Calibri"/>
          <w:color w:val="001F60"/>
        </w:rPr>
        <w:t>Esse</w:t>
      </w:r>
      <w:r>
        <w:rPr>
          <w:rFonts w:ascii="Calibri" w:hAnsi="Calibri"/>
          <w:color w:val="001F60"/>
          <w:spacing w:val="-3"/>
        </w:rPr>
        <w:t xml:space="preserve"> </w:t>
      </w:r>
      <w:r>
        <w:rPr>
          <w:rFonts w:ascii="Calibri" w:hAnsi="Calibri"/>
          <w:color w:val="001F60"/>
        </w:rPr>
        <w:t>desempenho</w:t>
      </w:r>
      <w:r>
        <w:rPr>
          <w:rFonts w:ascii="Calibri" w:hAnsi="Calibri"/>
          <w:color w:val="001F60"/>
          <w:spacing w:val="-5"/>
        </w:rPr>
        <w:t xml:space="preserve"> </w:t>
      </w:r>
      <w:r>
        <w:rPr>
          <w:rFonts w:ascii="Calibri" w:hAnsi="Calibri"/>
          <w:color w:val="001F60"/>
        </w:rPr>
        <w:t>foi</w:t>
      </w:r>
      <w:r>
        <w:rPr>
          <w:rFonts w:ascii="Calibri" w:hAnsi="Calibri"/>
          <w:color w:val="001F60"/>
          <w:spacing w:val="-3"/>
        </w:rPr>
        <w:t xml:space="preserve"> </w:t>
      </w:r>
      <w:r>
        <w:rPr>
          <w:rFonts w:ascii="Calibri" w:hAnsi="Calibri"/>
          <w:color w:val="001F60"/>
        </w:rPr>
        <w:t>impulsionado,</w:t>
      </w:r>
      <w:r>
        <w:rPr>
          <w:rFonts w:ascii="Calibri" w:hAnsi="Calibri"/>
          <w:color w:val="001F60"/>
          <w:spacing w:val="-5"/>
        </w:rPr>
        <w:t xml:space="preserve"> </w:t>
      </w:r>
      <w:r>
        <w:rPr>
          <w:rFonts w:ascii="Calibri" w:hAnsi="Calibri"/>
          <w:color w:val="001F60"/>
        </w:rPr>
        <w:t>sobretudo,</w:t>
      </w:r>
      <w:r>
        <w:rPr>
          <w:rFonts w:ascii="Calibri" w:hAnsi="Calibri"/>
          <w:color w:val="001F60"/>
          <w:spacing w:val="-3"/>
        </w:rPr>
        <w:t xml:space="preserve"> </w:t>
      </w:r>
      <w:r>
        <w:rPr>
          <w:rFonts w:ascii="Calibri" w:hAnsi="Calibri"/>
          <w:color w:val="001F60"/>
        </w:rPr>
        <w:t>pelos</w:t>
      </w:r>
      <w:r>
        <w:rPr>
          <w:rFonts w:ascii="Calibri" w:hAnsi="Calibri"/>
          <w:color w:val="001F60"/>
          <w:spacing w:val="-5"/>
        </w:rPr>
        <w:t xml:space="preserve"> </w:t>
      </w:r>
      <w:r>
        <w:rPr>
          <w:rFonts w:ascii="Calibri" w:hAnsi="Calibri"/>
          <w:color w:val="001F60"/>
        </w:rPr>
        <w:t>reajustes</w:t>
      </w:r>
      <w:r>
        <w:rPr>
          <w:rFonts w:ascii="Calibri" w:hAnsi="Calibri"/>
          <w:color w:val="001F60"/>
          <w:spacing w:val="-6"/>
        </w:rPr>
        <w:t xml:space="preserve"> </w:t>
      </w:r>
      <w:r>
        <w:rPr>
          <w:rFonts w:ascii="Calibri" w:hAnsi="Calibri"/>
          <w:color w:val="001F60"/>
        </w:rPr>
        <w:t>aplicados</w:t>
      </w:r>
      <w:r>
        <w:rPr>
          <w:rFonts w:ascii="Calibri" w:hAnsi="Calibri"/>
          <w:color w:val="001F60"/>
          <w:spacing w:val="-5"/>
        </w:rPr>
        <w:t xml:space="preserve"> </w:t>
      </w:r>
      <w:r>
        <w:rPr>
          <w:rFonts w:ascii="Calibri" w:hAnsi="Calibri"/>
          <w:color w:val="001F60"/>
        </w:rPr>
        <w:t>aos contratos e pelo início da prestação de serviços a novos clientes.</w:t>
      </w:r>
    </w:p>
    <w:p w14:paraId="44EF69E9" w14:textId="77777777" w:rsidR="002C6574" w:rsidRDefault="00000000">
      <w:pPr>
        <w:pStyle w:val="Corpodetexto"/>
        <w:spacing w:before="119"/>
        <w:ind w:left="709" w:right="278"/>
        <w:jc w:val="both"/>
        <w:rPr>
          <w:rFonts w:ascii="Calibri" w:hAnsi="Calibri"/>
        </w:rPr>
      </w:pPr>
      <w:r>
        <w:rPr>
          <w:rFonts w:ascii="Calibri" w:hAnsi="Calibri"/>
          <w:color w:val="001F60"/>
        </w:rPr>
        <w:t>O comportamento da receita operacional bruta por serviço no exercício de 2025, em comparação ao exercício de 2024, é apresentado a seguir:</w:t>
      </w:r>
    </w:p>
    <w:p w14:paraId="2FBEDF38" w14:textId="77777777" w:rsidR="002C6574" w:rsidRDefault="00000000">
      <w:pPr>
        <w:pStyle w:val="Corpodetexto"/>
        <w:spacing w:before="120"/>
        <w:ind w:left="709" w:right="275"/>
        <w:jc w:val="both"/>
        <w:rPr>
          <w:rFonts w:ascii="Calibri" w:hAnsi="Calibri"/>
        </w:rPr>
      </w:pPr>
      <w:r>
        <w:rPr>
          <w:rFonts w:ascii="Calibri" w:hAnsi="Calibri"/>
          <w:b/>
          <w:color w:val="001F60"/>
        </w:rPr>
        <w:t xml:space="preserve">Serviço de Comunicação Multimídia (SCM): </w:t>
      </w:r>
      <w:r>
        <w:rPr>
          <w:rFonts w:ascii="Calibri" w:hAnsi="Calibri"/>
          <w:color w:val="001F60"/>
        </w:rPr>
        <w:t>A receita de SCM em 2025 totalizou R$ 432,5 milhões, ante R$</w:t>
      </w:r>
      <w:r>
        <w:rPr>
          <w:rFonts w:ascii="Calibri" w:hAnsi="Calibri"/>
          <w:color w:val="001F60"/>
          <w:spacing w:val="-2"/>
        </w:rPr>
        <w:t xml:space="preserve"> </w:t>
      </w:r>
      <w:r>
        <w:rPr>
          <w:rFonts w:ascii="Calibri" w:hAnsi="Calibri"/>
          <w:color w:val="001F60"/>
        </w:rPr>
        <w:t>356,0</w:t>
      </w:r>
      <w:r>
        <w:rPr>
          <w:rFonts w:ascii="Calibri" w:hAnsi="Calibri"/>
          <w:color w:val="001F60"/>
          <w:spacing w:val="-2"/>
        </w:rPr>
        <w:t xml:space="preserve"> </w:t>
      </w:r>
      <w:r>
        <w:rPr>
          <w:rFonts w:ascii="Calibri" w:hAnsi="Calibri"/>
          <w:color w:val="001F60"/>
        </w:rPr>
        <w:t>milhões registrados em</w:t>
      </w:r>
      <w:r>
        <w:rPr>
          <w:rFonts w:ascii="Calibri" w:hAnsi="Calibri"/>
          <w:color w:val="001F60"/>
          <w:spacing w:val="-2"/>
        </w:rPr>
        <w:t xml:space="preserve"> </w:t>
      </w:r>
      <w:r>
        <w:rPr>
          <w:rFonts w:ascii="Calibri" w:hAnsi="Calibri"/>
          <w:color w:val="001F60"/>
        </w:rPr>
        <w:t>2024 e R$ 356,5 milhões em 2023, representando crescimento de 21,5% e 21,3% em relação aos mesmos períodos dos dois anos anteriores, respectivamente. Esse aumento decorre, principalmente, de:</w:t>
      </w:r>
    </w:p>
    <w:p w14:paraId="48863D70" w14:textId="77777777" w:rsidR="002C6574" w:rsidRDefault="00000000">
      <w:pPr>
        <w:pStyle w:val="PargrafodaLista"/>
        <w:numPr>
          <w:ilvl w:val="0"/>
          <w:numId w:val="72"/>
        </w:numPr>
        <w:tabs>
          <w:tab w:val="left" w:pos="943"/>
        </w:tabs>
        <w:spacing w:before="121"/>
        <w:ind w:left="943" w:hanging="234"/>
        <w:jc w:val="both"/>
      </w:pPr>
      <w:r>
        <w:rPr>
          <w:color w:val="001F60"/>
        </w:rPr>
        <w:t>início</w:t>
      </w:r>
      <w:r>
        <w:rPr>
          <w:color w:val="001F60"/>
          <w:spacing w:val="-3"/>
        </w:rPr>
        <w:t xml:space="preserve"> </w:t>
      </w:r>
      <w:r>
        <w:rPr>
          <w:color w:val="001F60"/>
        </w:rPr>
        <w:t>da</w:t>
      </w:r>
      <w:r>
        <w:rPr>
          <w:color w:val="001F60"/>
          <w:spacing w:val="-3"/>
        </w:rPr>
        <w:t xml:space="preserve"> </w:t>
      </w:r>
      <w:r>
        <w:rPr>
          <w:color w:val="001F60"/>
        </w:rPr>
        <w:t>prestação</w:t>
      </w:r>
      <w:r>
        <w:rPr>
          <w:color w:val="001F60"/>
          <w:spacing w:val="-2"/>
        </w:rPr>
        <w:t xml:space="preserve"> </w:t>
      </w:r>
      <w:r>
        <w:rPr>
          <w:color w:val="001F60"/>
        </w:rPr>
        <w:t>de</w:t>
      </w:r>
      <w:r>
        <w:rPr>
          <w:color w:val="001F60"/>
          <w:spacing w:val="-3"/>
        </w:rPr>
        <w:t xml:space="preserve"> </w:t>
      </w:r>
      <w:r>
        <w:rPr>
          <w:color w:val="001F60"/>
        </w:rPr>
        <w:t>serviços</w:t>
      </w:r>
      <w:r>
        <w:rPr>
          <w:color w:val="001F60"/>
          <w:spacing w:val="-3"/>
        </w:rPr>
        <w:t xml:space="preserve"> </w:t>
      </w:r>
      <w:r>
        <w:rPr>
          <w:color w:val="001F60"/>
        </w:rPr>
        <w:t>a</w:t>
      </w:r>
      <w:r>
        <w:rPr>
          <w:color w:val="001F60"/>
          <w:spacing w:val="-2"/>
        </w:rPr>
        <w:t xml:space="preserve"> </w:t>
      </w:r>
      <w:r>
        <w:rPr>
          <w:color w:val="001F60"/>
        </w:rPr>
        <w:t>novos</w:t>
      </w:r>
      <w:r>
        <w:rPr>
          <w:color w:val="001F60"/>
          <w:spacing w:val="-5"/>
        </w:rPr>
        <w:t xml:space="preserve"> </w:t>
      </w:r>
      <w:r>
        <w:rPr>
          <w:color w:val="001F60"/>
        </w:rPr>
        <w:t>clientes;</w:t>
      </w:r>
      <w:r>
        <w:rPr>
          <w:color w:val="001F60"/>
          <w:spacing w:val="-4"/>
        </w:rPr>
        <w:t xml:space="preserve"> </w:t>
      </w:r>
      <w:r>
        <w:rPr>
          <w:color w:val="001F60"/>
          <w:spacing w:val="-10"/>
        </w:rPr>
        <w:t>e</w:t>
      </w:r>
    </w:p>
    <w:p w14:paraId="60EFC036" w14:textId="77777777" w:rsidR="002C6574" w:rsidRDefault="00000000">
      <w:pPr>
        <w:pStyle w:val="PargrafodaLista"/>
        <w:numPr>
          <w:ilvl w:val="0"/>
          <w:numId w:val="72"/>
        </w:numPr>
        <w:tabs>
          <w:tab w:val="left" w:pos="988"/>
        </w:tabs>
        <w:spacing w:before="118"/>
        <w:ind w:left="709" w:right="278" w:firstLine="0"/>
        <w:jc w:val="both"/>
      </w:pPr>
      <w:r>
        <w:rPr>
          <w:color w:val="001F60"/>
        </w:rPr>
        <w:t>reajustes</w:t>
      </w:r>
      <w:r>
        <w:rPr>
          <w:color w:val="001F60"/>
          <w:spacing w:val="-12"/>
        </w:rPr>
        <w:t xml:space="preserve"> </w:t>
      </w:r>
      <w:r>
        <w:rPr>
          <w:color w:val="001F60"/>
        </w:rPr>
        <w:t>anuais</w:t>
      </w:r>
      <w:r>
        <w:rPr>
          <w:color w:val="001F60"/>
          <w:spacing w:val="-11"/>
        </w:rPr>
        <w:t xml:space="preserve"> </w:t>
      </w:r>
      <w:r>
        <w:rPr>
          <w:color w:val="001F60"/>
        </w:rPr>
        <w:t>aplicados</w:t>
      </w:r>
      <w:r>
        <w:rPr>
          <w:color w:val="001F60"/>
          <w:spacing w:val="-9"/>
        </w:rPr>
        <w:t xml:space="preserve"> </w:t>
      </w:r>
      <w:r>
        <w:rPr>
          <w:color w:val="001F60"/>
        </w:rPr>
        <w:t>aos</w:t>
      </w:r>
      <w:r>
        <w:rPr>
          <w:color w:val="001F60"/>
          <w:spacing w:val="-13"/>
        </w:rPr>
        <w:t xml:space="preserve"> </w:t>
      </w:r>
      <w:r>
        <w:rPr>
          <w:color w:val="001F60"/>
        </w:rPr>
        <w:t>preços</w:t>
      </w:r>
      <w:r>
        <w:rPr>
          <w:color w:val="001F60"/>
          <w:spacing w:val="-8"/>
        </w:rPr>
        <w:t xml:space="preserve"> </w:t>
      </w:r>
      <w:r>
        <w:rPr>
          <w:color w:val="001F60"/>
        </w:rPr>
        <w:t>dos</w:t>
      </w:r>
      <w:r>
        <w:rPr>
          <w:color w:val="001F60"/>
          <w:spacing w:val="-11"/>
        </w:rPr>
        <w:t xml:space="preserve"> </w:t>
      </w:r>
      <w:r>
        <w:rPr>
          <w:color w:val="001F60"/>
        </w:rPr>
        <w:t>contratos,</w:t>
      </w:r>
      <w:r>
        <w:rPr>
          <w:color w:val="001F60"/>
          <w:spacing w:val="-11"/>
        </w:rPr>
        <w:t xml:space="preserve"> </w:t>
      </w:r>
      <w:r>
        <w:rPr>
          <w:color w:val="001F60"/>
        </w:rPr>
        <w:t>especialmente</w:t>
      </w:r>
      <w:r>
        <w:rPr>
          <w:color w:val="001F60"/>
          <w:spacing w:val="-11"/>
        </w:rPr>
        <w:t xml:space="preserve"> </w:t>
      </w:r>
      <w:r>
        <w:rPr>
          <w:color w:val="001F60"/>
        </w:rPr>
        <w:t>no</w:t>
      </w:r>
      <w:r>
        <w:rPr>
          <w:color w:val="001F60"/>
          <w:spacing w:val="-13"/>
        </w:rPr>
        <w:t xml:space="preserve"> </w:t>
      </w:r>
      <w:r>
        <w:rPr>
          <w:color w:val="001F60"/>
        </w:rPr>
        <w:t>âmbito</w:t>
      </w:r>
      <w:r>
        <w:rPr>
          <w:color w:val="001F60"/>
          <w:spacing w:val="-12"/>
        </w:rPr>
        <w:t xml:space="preserve"> </w:t>
      </w:r>
      <w:r>
        <w:rPr>
          <w:color w:val="001F60"/>
        </w:rPr>
        <w:t>do</w:t>
      </w:r>
      <w:r>
        <w:rPr>
          <w:color w:val="001F60"/>
          <w:spacing w:val="-9"/>
        </w:rPr>
        <w:t xml:space="preserve"> </w:t>
      </w:r>
      <w:r>
        <w:rPr>
          <w:color w:val="001F60"/>
        </w:rPr>
        <w:t>programa</w:t>
      </w:r>
      <w:r>
        <w:rPr>
          <w:color w:val="001F60"/>
          <w:spacing w:val="-11"/>
        </w:rPr>
        <w:t xml:space="preserve"> </w:t>
      </w:r>
      <w:r>
        <w:rPr>
          <w:color w:val="001F60"/>
        </w:rPr>
        <w:t>GESAC, ao longo dos períodos comparados.</w:t>
      </w:r>
    </w:p>
    <w:p w14:paraId="68ADBF3E" w14:textId="77777777" w:rsidR="002C6574" w:rsidRDefault="00000000">
      <w:pPr>
        <w:pStyle w:val="Corpodetexto"/>
        <w:spacing w:before="121"/>
        <w:ind w:left="709" w:right="276"/>
        <w:jc w:val="both"/>
        <w:rPr>
          <w:rFonts w:ascii="Calibri" w:hAnsi="Calibri"/>
        </w:rPr>
      </w:pPr>
      <w:r>
        <w:rPr>
          <w:rFonts w:ascii="Calibri" w:hAnsi="Calibri"/>
          <w:b/>
          <w:color w:val="001F60"/>
        </w:rPr>
        <w:t>Locação</w:t>
      </w:r>
      <w:r>
        <w:rPr>
          <w:rFonts w:ascii="Calibri" w:hAnsi="Calibri"/>
          <w:b/>
          <w:color w:val="001F60"/>
          <w:spacing w:val="-7"/>
        </w:rPr>
        <w:t xml:space="preserve"> </w:t>
      </w:r>
      <w:r>
        <w:rPr>
          <w:rFonts w:ascii="Calibri" w:hAnsi="Calibri"/>
          <w:b/>
          <w:color w:val="001F60"/>
        </w:rPr>
        <w:t>de</w:t>
      </w:r>
      <w:r>
        <w:rPr>
          <w:rFonts w:ascii="Calibri" w:hAnsi="Calibri"/>
          <w:b/>
          <w:color w:val="001F60"/>
          <w:spacing w:val="-7"/>
        </w:rPr>
        <w:t xml:space="preserve"> </w:t>
      </w:r>
      <w:r>
        <w:rPr>
          <w:rFonts w:ascii="Calibri" w:hAnsi="Calibri"/>
          <w:b/>
          <w:color w:val="001F60"/>
        </w:rPr>
        <w:t>Capacidade</w:t>
      </w:r>
      <w:r>
        <w:rPr>
          <w:rFonts w:ascii="Calibri" w:hAnsi="Calibri"/>
          <w:b/>
          <w:color w:val="001F60"/>
          <w:spacing w:val="-7"/>
        </w:rPr>
        <w:t xml:space="preserve"> </w:t>
      </w:r>
      <w:r>
        <w:rPr>
          <w:rFonts w:ascii="Calibri" w:hAnsi="Calibri"/>
          <w:b/>
          <w:color w:val="001F60"/>
        </w:rPr>
        <w:t>Satelital:</w:t>
      </w:r>
      <w:r>
        <w:rPr>
          <w:rFonts w:ascii="Calibri" w:hAnsi="Calibri"/>
          <w:b/>
          <w:color w:val="001F60"/>
          <w:spacing w:val="-5"/>
        </w:rPr>
        <w:t xml:space="preserve"> </w:t>
      </w:r>
      <w:r>
        <w:rPr>
          <w:rFonts w:ascii="Calibri" w:hAnsi="Calibri"/>
          <w:color w:val="001F60"/>
        </w:rPr>
        <w:t>Esse</w:t>
      </w:r>
      <w:r>
        <w:rPr>
          <w:rFonts w:ascii="Calibri" w:hAnsi="Calibri"/>
          <w:color w:val="001F60"/>
          <w:spacing w:val="-3"/>
        </w:rPr>
        <w:t xml:space="preserve"> </w:t>
      </w:r>
      <w:r>
        <w:rPr>
          <w:rFonts w:ascii="Calibri" w:hAnsi="Calibri"/>
          <w:color w:val="001F60"/>
        </w:rPr>
        <w:t>produto</w:t>
      </w:r>
      <w:r>
        <w:rPr>
          <w:rFonts w:ascii="Calibri" w:hAnsi="Calibri"/>
          <w:color w:val="001F60"/>
          <w:spacing w:val="-6"/>
        </w:rPr>
        <w:t xml:space="preserve"> </w:t>
      </w:r>
      <w:r>
        <w:rPr>
          <w:rFonts w:ascii="Calibri" w:hAnsi="Calibri"/>
          <w:color w:val="001F60"/>
        </w:rPr>
        <w:t>manteve-se</w:t>
      </w:r>
      <w:r>
        <w:rPr>
          <w:rFonts w:ascii="Calibri" w:hAnsi="Calibri"/>
          <w:color w:val="001F60"/>
          <w:spacing w:val="-7"/>
        </w:rPr>
        <w:t xml:space="preserve"> </w:t>
      </w:r>
      <w:r>
        <w:rPr>
          <w:rFonts w:ascii="Calibri" w:hAnsi="Calibri"/>
          <w:color w:val="001F60"/>
        </w:rPr>
        <w:t>estável</w:t>
      </w:r>
      <w:r>
        <w:rPr>
          <w:rFonts w:ascii="Calibri" w:hAnsi="Calibri"/>
          <w:color w:val="001F60"/>
          <w:spacing w:val="-5"/>
        </w:rPr>
        <w:t xml:space="preserve"> </w:t>
      </w:r>
      <w:r>
        <w:rPr>
          <w:rFonts w:ascii="Calibri" w:hAnsi="Calibri"/>
          <w:color w:val="001F60"/>
        </w:rPr>
        <w:t>na</w:t>
      </w:r>
      <w:r>
        <w:rPr>
          <w:rFonts w:ascii="Calibri" w:hAnsi="Calibri"/>
          <w:color w:val="001F60"/>
          <w:spacing w:val="-7"/>
        </w:rPr>
        <w:t xml:space="preserve"> </w:t>
      </w:r>
      <w:r>
        <w:rPr>
          <w:rFonts w:ascii="Calibri" w:hAnsi="Calibri"/>
          <w:color w:val="001F60"/>
        </w:rPr>
        <w:t>comparação</w:t>
      </w:r>
      <w:r>
        <w:rPr>
          <w:rFonts w:ascii="Calibri" w:hAnsi="Calibri"/>
          <w:color w:val="001F60"/>
          <w:spacing w:val="-5"/>
        </w:rPr>
        <w:t xml:space="preserve"> </w:t>
      </w:r>
      <w:r>
        <w:rPr>
          <w:rFonts w:ascii="Calibri" w:hAnsi="Calibri"/>
          <w:color w:val="001F60"/>
        </w:rPr>
        <w:t>entre</w:t>
      </w:r>
      <w:r>
        <w:rPr>
          <w:rFonts w:ascii="Calibri" w:hAnsi="Calibri"/>
          <w:color w:val="001F60"/>
          <w:spacing w:val="-7"/>
        </w:rPr>
        <w:t xml:space="preserve"> </w:t>
      </w:r>
      <w:r>
        <w:rPr>
          <w:rFonts w:ascii="Calibri" w:hAnsi="Calibri"/>
          <w:color w:val="001F60"/>
        </w:rPr>
        <w:t>os</w:t>
      </w:r>
      <w:r>
        <w:rPr>
          <w:rFonts w:ascii="Calibri" w:hAnsi="Calibri"/>
          <w:color w:val="001F60"/>
          <w:spacing w:val="-5"/>
        </w:rPr>
        <w:t xml:space="preserve"> </w:t>
      </w:r>
      <w:r>
        <w:rPr>
          <w:rFonts w:ascii="Calibri" w:hAnsi="Calibri"/>
          <w:color w:val="001F60"/>
        </w:rPr>
        <w:t>exercícios de 2025, 2024 e 2023, registrando receita de R$ 36,5 milhões. Esse montante corresponde ao reconhecimento da receita relacionada à cessão de capacidade satelital ao Ministério da Defesa.</w:t>
      </w:r>
    </w:p>
    <w:p w14:paraId="6C8E8F61" w14:textId="77777777" w:rsidR="002C6574" w:rsidRDefault="00000000">
      <w:pPr>
        <w:pStyle w:val="Corpodetexto"/>
        <w:spacing w:before="120"/>
        <w:ind w:left="709" w:right="276"/>
        <w:jc w:val="both"/>
        <w:rPr>
          <w:rFonts w:ascii="Calibri" w:hAnsi="Calibri"/>
        </w:rPr>
      </w:pPr>
      <w:r>
        <w:rPr>
          <w:rFonts w:ascii="Calibri" w:hAnsi="Calibri"/>
          <w:b/>
          <w:color w:val="001F60"/>
        </w:rPr>
        <w:t>Aluguéis e Locações – Outras:</w:t>
      </w:r>
      <w:r>
        <w:rPr>
          <w:rFonts w:ascii="Calibri" w:hAnsi="Calibri"/>
          <w:b/>
          <w:color w:val="001F60"/>
          <w:spacing w:val="40"/>
        </w:rPr>
        <w:t xml:space="preserve"> </w:t>
      </w:r>
      <w:r>
        <w:rPr>
          <w:rFonts w:ascii="Calibri" w:hAnsi="Calibri"/>
          <w:color w:val="001F60"/>
        </w:rPr>
        <w:t>A rubrica compreende o aluguel de cabos ópticos, a locação de roteadores e o aluguel de infraestrutura do segmento satelital, decorrente do contrato de parceria com a Viasat. Em 2025, a receita reconhecida nessa rubrica totalizou R$ 28,4 milhões, ante R$ 26,9 milhões registrados em 2024 e R$ 24,9 milhões</w:t>
      </w:r>
      <w:r>
        <w:rPr>
          <w:rFonts w:ascii="Calibri" w:hAnsi="Calibri"/>
          <w:color w:val="001F60"/>
          <w:spacing w:val="-2"/>
        </w:rPr>
        <w:t xml:space="preserve"> </w:t>
      </w:r>
      <w:r>
        <w:rPr>
          <w:rFonts w:ascii="Calibri" w:hAnsi="Calibri"/>
          <w:color w:val="001F60"/>
        </w:rPr>
        <w:t xml:space="preserve">em 2023, representando aumentos de 5,4% e 14,2%, </w:t>
      </w:r>
      <w:r>
        <w:rPr>
          <w:rFonts w:ascii="Calibri" w:hAnsi="Calibri"/>
          <w:color w:val="001F60"/>
          <w:spacing w:val="-2"/>
        </w:rPr>
        <w:t>respectivamente.</w:t>
      </w:r>
    </w:p>
    <w:p w14:paraId="341F5E9F" w14:textId="77777777" w:rsidR="002C6574" w:rsidRDefault="00000000">
      <w:pPr>
        <w:pStyle w:val="Corpodetexto"/>
        <w:spacing w:before="119"/>
        <w:ind w:left="709" w:right="279"/>
        <w:jc w:val="both"/>
        <w:rPr>
          <w:rFonts w:ascii="Calibri" w:hAnsi="Calibri"/>
        </w:rPr>
      </w:pPr>
      <w:r>
        <w:rPr>
          <w:rFonts w:ascii="Calibri" w:hAnsi="Calibri"/>
          <w:b/>
          <w:color w:val="001F60"/>
        </w:rPr>
        <w:t>Compartilhamento</w:t>
      </w:r>
      <w:r>
        <w:rPr>
          <w:rFonts w:ascii="Calibri" w:hAnsi="Calibri"/>
          <w:b/>
          <w:color w:val="001F60"/>
          <w:spacing w:val="-12"/>
        </w:rPr>
        <w:t xml:space="preserve"> </w:t>
      </w:r>
      <w:r>
        <w:rPr>
          <w:rFonts w:ascii="Calibri" w:hAnsi="Calibri"/>
          <w:b/>
          <w:color w:val="001F60"/>
        </w:rPr>
        <w:t>de</w:t>
      </w:r>
      <w:r>
        <w:rPr>
          <w:rFonts w:ascii="Calibri" w:hAnsi="Calibri"/>
          <w:b/>
          <w:color w:val="001F60"/>
          <w:spacing w:val="-12"/>
        </w:rPr>
        <w:t xml:space="preserve"> </w:t>
      </w:r>
      <w:r>
        <w:rPr>
          <w:rFonts w:ascii="Calibri" w:hAnsi="Calibri"/>
          <w:b/>
          <w:color w:val="001F60"/>
        </w:rPr>
        <w:t>Receitas:</w:t>
      </w:r>
      <w:r>
        <w:rPr>
          <w:rFonts w:ascii="Calibri" w:hAnsi="Calibri"/>
          <w:b/>
          <w:color w:val="001F60"/>
          <w:spacing w:val="-12"/>
        </w:rPr>
        <w:t xml:space="preserve"> </w:t>
      </w:r>
      <w:r>
        <w:rPr>
          <w:rFonts w:ascii="Calibri" w:hAnsi="Calibri"/>
          <w:color w:val="001F60"/>
        </w:rPr>
        <w:t>Em</w:t>
      </w:r>
      <w:r>
        <w:rPr>
          <w:rFonts w:ascii="Calibri" w:hAnsi="Calibri"/>
          <w:color w:val="001F60"/>
          <w:spacing w:val="-12"/>
        </w:rPr>
        <w:t xml:space="preserve"> </w:t>
      </w:r>
      <w:r>
        <w:rPr>
          <w:rFonts w:ascii="Calibri" w:hAnsi="Calibri"/>
          <w:color w:val="001F60"/>
        </w:rPr>
        <w:t>2025,</w:t>
      </w:r>
      <w:r>
        <w:rPr>
          <w:rFonts w:ascii="Calibri" w:hAnsi="Calibri"/>
          <w:color w:val="001F60"/>
          <w:spacing w:val="-10"/>
        </w:rPr>
        <w:t xml:space="preserve"> </w:t>
      </w:r>
      <w:r>
        <w:rPr>
          <w:rFonts w:ascii="Calibri" w:hAnsi="Calibri"/>
          <w:color w:val="001F60"/>
        </w:rPr>
        <w:t>a</w:t>
      </w:r>
      <w:r>
        <w:rPr>
          <w:rFonts w:ascii="Calibri" w:hAnsi="Calibri"/>
          <w:color w:val="001F60"/>
          <w:spacing w:val="-12"/>
        </w:rPr>
        <w:t xml:space="preserve"> </w:t>
      </w:r>
      <w:r>
        <w:rPr>
          <w:rFonts w:ascii="Calibri" w:hAnsi="Calibri"/>
          <w:color w:val="001F60"/>
        </w:rPr>
        <w:t>Telebras</w:t>
      </w:r>
      <w:r>
        <w:rPr>
          <w:rFonts w:ascii="Calibri" w:hAnsi="Calibri"/>
          <w:color w:val="001F60"/>
          <w:spacing w:val="-10"/>
        </w:rPr>
        <w:t xml:space="preserve"> </w:t>
      </w:r>
      <w:r>
        <w:rPr>
          <w:rFonts w:ascii="Calibri" w:hAnsi="Calibri"/>
          <w:color w:val="001F60"/>
        </w:rPr>
        <w:t>reconheceu</w:t>
      </w:r>
      <w:r>
        <w:rPr>
          <w:rFonts w:ascii="Calibri" w:hAnsi="Calibri"/>
          <w:color w:val="001F60"/>
          <w:spacing w:val="-11"/>
        </w:rPr>
        <w:t xml:space="preserve"> </w:t>
      </w:r>
      <w:r>
        <w:rPr>
          <w:rFonts w:ascii="Calibri" w:hAnsi="Calibri"/>
          <w:color w:val="001F60"/>
        </w:rPr>
        <w:t>o</w:t>
      </w:r>
      <w:r>
        <w:rPr>
          <w:rFonts w:ascii="Calibri" w:hAnsi="Calibri"/>
          <w:color w:val="001F60"/>
          <w:spacing w:val="-12"/>
        </w:rPr>
        <w:t xml:space="preserve"> </w:t>
      </w:r>
      <w:r>
        <w:rPr>
          <w:rFonts w:ascii="Calibri" w:hAnsi="Calibri"/>
          <w:color w:val="001F60"/>
        </w:rPr>
        <w:t>montante</w:t>
      </w:r>
      <w:r>
        <w:rPr>
          <w:rFonts w:ascii="Calibri" w:hAnsi="Calibri"/>
          <w:color w:val="001F60"/>
          <w:spacing w:val="-12"/>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R$</w:t>
      </w:r>
      <w:r>
        <w:rPr>
          <w:rFonts w:ascii="Calibri" w:hAnsi="Calibri"/>
          <w:color w:val="001F60"/>
          <w:spacing w:val="-10"/>
        </w:rPr>
        <w:t xml:space="preserve"> </w:t>
      </w:r>
      <w:r>
        <w:rPr>
          <w:rFonts w:ascii="Calibri" w:hAnsi="Calibri"/>
          <w:color w:val="001F60"/>
        </w:rPr>
        <w:t>10,4</w:t>
      </w:r>
      <w:r>
        <w:rPr>
          <w:rFonts w:ascii="Calibri" w:hAnsi="Calibri"/>
          <w:color w:val="001F60"/>
          <w:spacing w:val="-12"/>
        </w:rPr>
        <w:t xml:space="preserve"> </w:t>
      </w:r>
      <w:r>
        <w:rPr>
          <w:rFonts w:ascii="Calibri" w:hAnsi="Calibri"/>
          <w:color w:val="001F60"/>
        </w:rPr>
        <w:t>milhões,</w:t>
      </w:r>
      <w:r>
        <w:rPr>
          <w:rFonts w:ascii="Calibri" w:hAnsi="Calibri"/>
          <w:color w:val="001F60"/>
          <w:spacing w:val="-12"/>
        </w:rPr>
        <w:t xml:space="preserve"> </w:t>
      </w:r>
      <w:r>
        <w:rPr>
          <w:rFonts w:ascii="Calibri" w:hAnsi="Calibri"/>
          <w:color w:val="001F60"/>
        </w:rPr>
        <w:t>ante R$ 13,6 milhões em 2024 e R$ 19,6 milhões em 2023 — uma redução de 23,6% na comparação com 2024</w:t>
      </w:r>
      <w:r>
        <w:rPr>
          <w:rFonts w:ascii="Calibri" w:hAnsi="Calibri"/>
          <w:color w:val="001F60"/>
          <w:spacing w:val="-2"/>
        </w:rPr>
        <w:t xml:space="preserve"> </w:t>
      </w:r>
      <w:r>
        <w:rPr>
          <w:rFonts w:ascii="Calibri" w:hAnsi="Calibri"/>
          <w:color w:val="001F60"/>
        </w:rPr>
        <w:t>e</w:t>
      </w:r>
      <w:r>
        <w:rPr>
          <w:rFonts w:ascii="Calibri" w:hAnsi="Calibri"/>
          <w:color w:val="001F60"/>
          <w:spacing w:val="-4"/>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46,9%</w:t>
      </w:r>
      <w:r>
        <w:rPr>
          <w:rFonts w:ascii="Calibri" w:hAnsi="Calibri"/>
          <w:color w:val="001F60"/>
          <w:spacing w:val="-6"/>
        </w:rPr>
        <w:t xml:space="preserve"> </w:t>
      </w:r>
      <w:r>
        <w:rPr>
          <w:rFonts w:ascii="Calibri" w:hAnsi="Calibri"/>
          <w:color w:val="001F60"/>
        </w:rPr>
        <w:t>em</w:t>
      </w:r>
      <w:r>
        <w:rPr>
          <w:rFonts w:ascii="Calibri" w:hAnsi="Calibri"/>
          <w:color w:val="001F60"/>
          <w:spacing w:val="-2"/>
        </w:rPr>
        <w:t xml:space="preserve"> </w:t>
      </w:r>
      <w:r>
        <w:rPr>
          <w:rFonts w:ascii="Calibri" w:hAnsi="Calibri"/>
          <w:color w:val="001F60"/>
        </w:rPr>
        <w:t>relação</w:t>
      </w:r>
      <w:r>
        <w:rPr>
          <w:rFonts w:ascii="Calibri" w:hAnsi="Calibri"/>
          <w:color w:val="001F60"/>
          <w:spacing w:val="-4"/>
        </w:rPr>
        <w:t xml:space="preserve"> </w:t>
      </w:r>
      <w:r>
        <w:rPr>
          <w:rFonts w:ascii="Calibri" w:hAnsi="Calibri"/>
          <w:color w:val="001F60"/>
        </w:rPr>
        <w:t>a</w:t>
      </w:r>
      <w:r>
        <w:rPr>
          <w:rFonts w:ascii="Calibri" w:hAnsi="Calibri"/>
          <w:color w:val="001F60"/>
          <w:spacing w:val="-4"/>
        </w:rPr>
        <w:t xml:space="preserve"> </w:t>
      </w:r>
      <w:r>
        <w:rPr>
          <w:rFonts w:ascii="Calibri" w:hAnsi="Calibri"/>
          <w:color w:val="001F60"/>
        </w:rPr>
        <w:t>2023.</w:t>
      </w:r>
      <w:r>
        <w:rPr>
          <w:rFonts w:ascii="Calibri" w:hAnsi="Calibri"/>
          <w:color w:val="001F60"/>
          <w:spacing w:val="-4"/>
        </w:rPr>
        <w:t xml:space="preserve"> </w:t>
      </w:r>
      <w:r>
        <w:rPr>
          <w:rFonts w:ascii="Calibri" w:hAnsi="Calibri"/>
          <w:color w:val="001F60"/>
        </w:rPr>
        <w:t>Essa</w:t>
      </w:r>
      <w:r>
        <w:rPr>
          <w:rFonts w:ascii="Calibri" w:hAnsi="Calibri"/>
          <w:color w:val="001F60"/>
          <w:spacing w:val="-4"/>
        </w:rPr>
        <w:t xml:space="preserve"> </w:t>
      </w:r>
      <w:r>
        <w:rPr>
          <w:rFonts w:ascii="Calibri" w:hAnsi="Calibri"/>
          <w:color w:val="001F60"/>
        </w:rPr>
        <w:t>diminuição</w:t>
      </w:r>
      <w:r>
        <w:rPr>
          <w:rFonts w:ascii="Calibri" w:hAnsi="Calibri"/>
          <w:color w:val="001F60"/>
          <w:spacing w:val="-2"/>
        </w:rPr>
        <w:t xml:space="preserve"> </w:t>
      </w:r>
      <w:r>
        <w:rPr>
          <w:rFonts w:ascii="Calibri" w:hAnsi="Calibri"/>
          <w:color w:val="001F60"/>
        </w:rPr>
        <w:t>decorre</w:t>
      </w:r>
      <w:r>
        <w:rPr>
          <w:rFonts w:ascii="Calibri" w:hAnsi="Calibri"/>
          <w:color w:val="001F60"/>
          <w:spacing w:val="-4"/>
        </w:rPr>
        <w:t xml:space="preserve"> </w:t>
      </w:r>
      <w:r>
        <w:rPr>
          <w:rFonts w:ascii="Calibri" w:hAnsi="Calibri"/>
          <w:color w:val="001F60"/>
        </w:rPr>
        <w:t>do</w:t>
      </w:r>
      <w:r>
        <w:rPr>
          <w:rFonts w:ascii="Calibri" w:hAnsi="Calibri"/>
          <w:color w:val="001F60"/>
          <w:spacing w:val="-5"/>
        </w:rPr>
        <w:t xml:space="preserve"> </w:t>
      </w:r>
      <w:r>
        <w:rPr>
          <w:rFonts w:ascii="Calibri" w:hAnsi="Calibri"/>
          <w:color w:val="001F60"/>
        </w:rPr>
        <w:t>menor</w:t>
      </w:r>
      <w:r>
        <w:rPr>
          <w:rFonts w:ascii="Calibri" w:hAnsi="Calibri"/>
          <w:color w:val="001F60"/>
          <w:spacing w:val="-8"/>
        </w:rPr>
        <w:t xml:space="preserve"> </w:t>
      </w:r>
      <w:r>
        <w:rPr>
          <w:rFonts w:ascii="Calibri" w:hAnsi="Calibri"/>
          <w:color w:val="001F60"/>
        </w:rPr>
        <w:t>volume</w:t>
      </w:r>
      <w:r>
        <w:rPr>
          <w:rFonts w:ascii="Calibri" w:hAnsi="Calibri"/>
          <w:color w:val="001F60"/>
          <w:spacing w:val="-6"/>
        </w:rPr>
        <w:t xml:space="preserve"> </w:t>
      </w:r>
      <w:r>
        <w:rPr>
          <w:rFonts w:ascii="Calibri" w:hAnsi="Calibri"/>
          <w:color w:val="001F60"/>
        </w:rPr>
        <w:t>de</w:t>
      </w:r>
      <w:r>
        <w:rPr>
          <w:rFonts w:ascii="Calibri" w:hAnsi="Calibri"/>
          <w:color w:val="001F60"/>
          <w:spacing w:val="-2"/>
        </w:rPr>
        <w:t xml:space="preserve"> </w:t>
      </w:r>
      <w:r>
        <w:rPr>
          <w:rFonts w:ascii="Calibri" w:hAnsi="Calibri"/>
          <w:color w:val="001F60"/>
        </w:rPr>
        <w:t>recursos</w:t>
      </w:r>
      <w:r>
        <w:rPr>
          <w:rFonts w:ascii="Calibri" w:hAnsi="Calibri"/>
          <w:color w:val="001F60"/>
          <w:spacing w:val="-2"/>
        </w:rPr>
        <w:t xml:space="preserve"> </w:t>
      </w:r>
      <w:r>
        <w:rPr>
          <w:rFonts w:ascii="Calibri" w:hAnsi="Calibri"/>
          <w:color w:val="001F60"/>
        </w:rPr>
        <w:t>recebidos pela Viasat ao longo dos períodos analisados.</w:t>
      </w:r>
    </w:p>
    <w:p w14:paraId="327DC045" w14:textId="77777777" w:rsidR="002C6574" w:rsidRDefault="00000000">
      <w:pPr>
        <w:pStyle w:val="Corpodetexto"/>
        <w:spacing w:before="121"/>
        <w:ind w:left="709" w:right="278"/>
        <w:jc w:val="both"/>
        <w:rPr>
          <w:rFonts w:ascii="Calibri" w:hAnsi="Calibri"/>
        </w:rPr>
      </w:pPr>
      <w:r>
        <w:rPr>
          <w:rFonts w:ascii="Calibri" w:hAnsi="Calibri"/>
          <w:b/>
          <w:color w:val="001F60"/>
        </w:rPr>
        <w:t xml:space="preserve">Serviço de Valor Adicionado: </w:t>
      </w:r>
      <w:r>
        <w:rPr>
          <w:rFonts w:ascii="Calibri" w:hAnsi="Calibri"/>
          <w:color w:val="001F60"/>
        </w:rPr>
        <w:t>Em 2025, a receita de SVA totalizou R$ 26,4 milhões, ante R$ 20,0 milhões</w:t>
      </w:r>
      <w:r>
        <w:rPr>
          <w:rFonts w:ascii="Calibri" w:hAnsi="Calibri"/>
          <w:color w:val="001F60"/>
          <w:spacing w:val="-3"/>
        </w:rPr>
        <w:t xml:space="preserve"> </w:t>
      </w:r>
      <w:r>
        <w:rPr>
          <w:rFonts w:ascii="Calibri" w:hAnsi="Calibri"/>
          <w:color w:val="001F60"/>
        </w:rPr>
        <w:t>em</w:t>
      </w:r>
      <w:r>
        <w:rPr>
          <w:rFonts w:ascii="Calibri" w:hAnsi="Calibri"/>
          <w:color w:val="001F60"/>
          <w:spacing w:val="-3"/>
        </w:rPr>
        <w:t xml:space="preserve"> </w:t>
      </w:r>
      <w:r>
        <w:rPr>
          <w:rFonts w:ascii="Calibri" w:hAnsi="Calibri"/>
          <w:color w:val="001F60"/>
        </w:rPr>
        <w:t>2024</w:t>
      </w:r>
      <w:r>
        <w:rPr>
          <w:rFonts w:ascii="Calibri" w:hAnsi="Calibri"/>
          <w:color w:val="001F60"/>
          <w:spacing w:val="-3"/>
        </w:rPr>
        <w:t xml:space="preserve"> </w:t>
      </w:r>
      <w:r>
        <w:rPr>
          <w:rFonts w:ascii="Calibri" w:hAnsi="Calibri"/>
          <w:color w:val="001F60"/>
        </w:rPr>
        <w:t>e</w:t>
      </w:r>
      <w:r>
        <w:rPr>
          <w:rFonts w:ascii="Calibri" w:hAnsi="Calibri"/>
          <w:color w:val="001F60"/>
          <w:spacing w:val="-3"/>
        </w:rPr>
        <w:t xml:space="preserve"> </w:t>
      </w:r>
      <w:r>
        <w:rPr>
          <w:rFonts w:ascii="Calibri" w:hAnsi="Calibri"/>
          <w:color w:val="001F60"/>
        </w:rPr>
        <w:t>R$</w:t>
      </w:r>
      <w:r>
        <w:rPr>
          <w:rFonts w:ascii="Calibri" w:hAnsi="Calibri"/>
          <w:color w:val="001F60"/>
          <w:spacing w:val="-3"/>
        </w:rPr>
        <w:t xml:space="preserve"> </w:t>
      </w:r>
      <w:r>
        <w:rPr>
          <w:rFonts w:ascii="Calibri" w:hAnsi="Calibri"/>
          <w:color w:val="001F60"/>
        </w:rPr>
        <w:t>18,1</w:t>
      </w:r>
      <w:r>
        <w:rPr>
          <w:rFonts w:ascii="Calibri" w:hAnsi="Calibri"/>
          <w:color w:val="001F60"/>
          <w:spacing w:val="-3"/>
        </w:rPr>
        <w:t xml:space="preserve"> </w:t>
      </w:r>
      <w:r>
        <w:rPr>
          <w:rFonts w:ascii="Calibri" w:hAnsi="Calibri"/>
          <w:color w:val="001F60"/>
        </w:rPr>
        <w:t>milhões</w:t>
      </w:r>
      <w:r>
        <w:rPr>
          <w:rFonts w:ascii="Calibri" w:hAnsi="Calibri"/>
          <w:color w:val="001F60"/>
          <w:spacing w:val="-3"/>
        </w:rPr>
        <w:t xml:space="preserve"> </w:t>
      </w:r>
      <w:r>
        <w:rPr>
          <w:rFonts w:ascii="Calibri" w:hAnsi="Calibri"/>
          <w:color w:val="001F60"/>
        </w:rPr>
        <w:t>em</w:t>
      </w:r>
      <w:r>
        <w:rPr>
          <w:rFonts w:ascii="Calibri" w:hAnsi="Calibri"/>
          <w:color w:val="001F60"/>
          <w:spacing w:val="-2"/>
        </w:rPr>
        <w:t xml:space="preserve"> </w:t>
      </w:r>
      <w:r>
        <w:rPr>
          <w:rFonts w:ascii="Calibri" w:hAnsi="Calibri"/>
          <w:color w:val="001F60"/>
        </w:rPr>
        <w:t>2023,</w:t>
      </w:r>
      <w:r>
        <w:rPr>
          <w:rFonts w:ascii="Calibri" w:hAnsi="Calibri"/>
          <w:color w:val="001F60"/>
          <w:spacing w:val="-3"/>
        </w:rPr>
        <w:t xml:space="preserve"> </w:t>
      </w:r>
      <w:r>
        <w:rPr>
          <w:rFonts w:ascii="Calibri" w:hAnsi="Calibri"/>
          <w:color w:val="001F60"/>
        </w:rPr>
        <w:t>o</w:t>
      </w:r>
      <w:r>
        <w:rPr>
          <w:rFonts w:ascii="Calibri" w:hAnsi="Calibri"/>
          <w:color w:val="001F60"/>
          <w:spacing w:val="-1"/>
        </w:rPr>
        <w:t xml:space="preserve"> </w:t>
      </w:r>
      <w:r>
        <w:rPr>
          <w:rFonts w:ascii="Calibri" w:hAnsi="Calibri"/>
          <w:color w:val="001F60"/>
        </w:rPr>
        <w:t>que</w:t>
      </w:r>
      <w:r>
        <w:rPr>
          <w:rFonts w:ascii="Calibri" w:hAnsi="Calibri"/>
          <w:color w:val="001F60"/>
          <w:spacing w:val="-3"/>
        </w:rPr>
        <w:t xml:space="preserve"> </w:t>
      </w:r>
      <w:r>
        <w:rPr>
          <w:rFonts w:ascii="Calibri" w:hAnsi="Calibri"/>
          <w:color w:val="001F60"/>
        </w:rPr>
        <w:t>representa</w:t>
      </w:r>
      <w:r>
        <w:rPr>
          <w:rFonts w:ascii="Calibri" w:hAnsi="Calibri"/>
          <w:color w:val="001F60"/>
          <w:spacing w:val="-5"/>
        </w:rPr>
        <w:t xml:space="preserve"> </w:t>
      </w:r>
      <w:r>
        <w:rPr>
          <w:rFonts w:ascii="Calibri" w:hAnsi="Calibri"/>
          <w:color w:val="001F60"/>
        </w:rPr>
        <w:t>crescimento</w:t>
      </w:r>
      <w:r>
        <w:rPr>
          <w:rFonts w:ascii="Calibri" w:hAnsi="Calibri"/>
          <w:color w:val="001F60"/>
          <w:spacing w:val="-3"/>
        </w:rPr>
        <w:t xml:space="preserve"> </w:t>
      </w:r>
      <w:r>
        <w:rPr>
          <w:rFonts w:ascii="Calibri" w:hAnsi="Calibri"/>
          <w:color w:val="001F60"/>
        </w:rPr>
        <w:t>de</w:t>
      </w:r>
      <w:r>
        <w:rPr>
          <w:rFonts w:ascii="Calibri" w:hAnsi="Calibri"/>
          <w:color w:val="001F60"/>
          <w:spacing w:val="-3"/>
        </w:rPr>
        <w:t xml:space="preserve"> </w:t>
      </w:r>
      <w:r>
        <w:rPr>
          <w:rFonts w:ascii="Calibri" w:hAnsi="Calibri"/>
          <w:color w:val="001F60"/>
        </w:rPr>
        <w:t>31,9%</w:t>
      </w:r>
      <w:r>
        <w:rPr>
          <w:rFonts w:ascii="Calibri" w:hAnsi="Calibri"/>
          <w:color w:val="001F60"/>
          <w:spacing w:val="-1"/>
        </w:rPr>
        <w:t xml:space="preserve"> </w:t>
      </w:r>
      <w:r>
        <w:rPr>
          <w:rFonts w:ascii="Calibri" w:hAnsi="Calibri"/>
          <w:color w:val="001F60"/>
        </w:rPr>
        <w:t>na</w:t>
      </w:r>
      <w:r>
        <w:rPr>
          <w:rFonts w:ascii="Calibri" w:hAnsi="Calibri"/>
          <w:color w:val="001F60"/>
          <w:spacing w:val="-3"/>
        </w:rPr>
        <w:t xml:space="preserve"> </w:t>
      </w:r>
      <w:r>
        <w:rPr>
          <w:rFonts w:ascii="Calibri" w:hAnsi="Calibri"/>
          <w:color w:val="001F60"/>
        </w:rPr>
        <w:t>comparação com 2024</w:t>
      </w:r>
      <w:r>
        <w:rPr>
          <w:rFonts w:ascii="Calibri" w:hAnsi="Calibri"/>
          <w:color w:val="001F60"/>
          <w:spacing w:val="-2"/>
        </w:rPr>
        <w:t xml:space="preserve"> </w:t>
      </w:r>
      <w:r>
        <w:rPr>
          <w:rFonts w:ascii="Calibri" w:hAnsi="Calibri"/>
          <w:color w:val="001F60"/>
        </w:rPr>
        <w:t>e de</w:t>
      </w:r>
      <w:r>
        <w:rPr>
          <w:rFonts w:ascii="Calibri" w:hAnsi="Calibri"/>
          <w:color w:val="001F60"/>
          <w:spacing w:val="-2"/>
        </w:rPr>
        <w:t xml:space="preserve"> </w:t>
      </w:r>
      <w:r>
        <w:rPr>
          <w:rFonts w:ascii="Calibri" w:hAnsi="Calibri"/>
          <w:color w:val="001F60"/>
        </w:rPr>
        <w:t>46,1% em relação</w:t>
      </w:r>
      <w:r>
        <w:rPr>
          <w:rFonts w:ascii="Calibri" w:hAnsi="Calibri"/>
          <w:color w:val="001F60"/>
          <w:spacing w:val="-1"/>
        </w:rPr>
        <w:t xml:space="preserve"> </w:t>
      </w:r>
      <w:r>
        <w:rPr>
          <w:rFonts w:ascii="Calibri" w:hAnsi="Calibri"/>
          <w:color w:val="001F60"/>
        </w:rPr>
        <w:t>a 2023. Esse aumento decorre da</w:t>
      </w:r>
      <w:r>
        <w:rPr>
          <w:rFonts w:ascii="Calibri" w:hAnsi="Calibri"/>
          <w:color w:val="001F60"/>
          <w:spacing w:val="-2"/>
        </w:rPr>
        <w:t xml:space="preserve"> </w:t>
      </w:r>
      <w:r>
        <w:rPr>
          <w:rFonts w:ascii="Calibri" w:hAnsi="Calibri"/>
          <w:color w:val="001F60"/>
        </w:rPr>
        <w:t>expansão</w:t>
      </w:r>
      <w:r>
        <w:rPr>
          <w:rFonts w:ascii="Calibri" w:hAnsi="Calibri"/>
          <w:color w:val="001F60"/>
          <w:spacing w:val="-1"/>
        </w:rPr>
        <w:t xml:space="preserve"> </w:t>
      </w:r>
      <w:r>
        <w:rPr>
          <w:rFonts w:ascii="Calibri" w:hAnsi="Calibri"/>
          <w:color w:val="001F60"/>
        </w:rPr>
        <w:t>do</w:t>
      </w:r>
      <w:r>
        <w:rPr>
          <w:rFonts w:ascii="Calibri" w:hAnsi="Calibri"/>
          <w:color w:val="001F60"/>
          <w:spacing w:val="-1"/>
        </w:rPr>
        <w:t xml:space="preserve"> </w:t>
      </w:r>
      <w:r>
        <w:rPr>
          <w:rFonts w:ascii="Calibri" w:hAnsi="Calibri"/>
          <w:color w:val="001F60"/>
        </w:rPr>
        <w:t>portfólio de serviços de valor adicionado, que impulsionou a demanda e ampliou a participação dessa linha no resultado operacional da Companhia.</w:t>
      </w:r>
    </w:p>
    <w:p w14:paraId="1D45EDFC" w14:textId="77777777" w:rsidR="002C6574" w:rsidRDefault="00000000">
      <w:pPr>
        <w:pStyle w:val="Corpodetexto"/>
        <w:spacing w:before="121"/>
        <w:ind w:left="709" w:right="276"/>
        <w:jc w:val="both"/>
        <w:rPr>
          <w:rFonts w:ascii="Calibri" w:hAnsi="Calibri"/>
        </w:rPr>
      </w:pPr>
      <w:r>
        <w:rPr>
          <w:rFonts w:ascii="Calibri" w:hAnsi="Calibri"/>
          <w:b/>
          <w:color w:val="001F60"/>
        </w:rPr>
        <w:t xml:space="preserve">Outras Receitas: </w:t>
      </w:r>
      <w:r>
        <w:rPr>
          <w:rFonts w:ascii="Calibri" w:hAnsi="Calibri"/>
          <w:color w:val="001F60"/>
        </w:rPr>
        <w:t>As Outras Receitas totalizaram R$ 6,7 milhões em 2025, ante R$ 9,4 milhões registrados em 2024 e R$ 14,5 milhões em 2023, e correspondem aos valores reconhecidos pela prestação</w:t>
      </w:r>
      <w:r>
        <w:rPr>
          <w:rFonts w:ascii="Calibri" w:hAnsi="Calibri"/>
          <w:color w:val="001F60"/>
          <w:spacing w:val="-5"/>
        </w:rPr>
        <w:t xml:space="preserve"> </w:t>
      </w:r>
      <w:r>
        <w:rPr>
          <w:rFonts w:ascii="Calibri" w:hAnsi="Calibri"/>
          <w:color w:val="001F60"/>
        </w:rPr>
        <w:t>de</w:t>
      </w:r>
      <w:r>
        <w:rPr>
          <w:rFonts w:ascii="Calibri" w:hAnsi="Calibri"/>
          <w:color w:val="001F60"/>
          <w:spacing w:val="-2"/>
        </w:rPr>
        <w:t xml:space="preserve"> </w:t>
      </w:r>
      <w:r>
        <w:rPr>
          <w:rFonts w:ascii="Calibri" w:hAnsi="Calibri"/>
          <w:color w:val="001F60"/>
        </w:rPr>
        <w:t>serviços</w:t>
      </w:r>
      <w:r>
        <w:rPr>
          <w:rFonts w:ascii="Calibri" w:hAnsi="Calibri"/>
          <w:color w:val="001F60"/>
          <w:spacing w:val="-1"/>
        </w:rPr>
        <w:t xml:space="preserve"> </w:t>
      </w:r>
      <w:r>
        <w:rPr>
          <w:rFonts w:ascii="Calibri" w:hAnsi="Calibri"/>
          <w:color w:val="001F60"/>
        </w:rPr>
        <w:t>de</w:t>
      </w:r>
      <w:r>
        <w:rPr>
          <w:rFonts w:ascii="Calibri" w:hAnsi="Calibri"/>
          <w:color w:val="001F60"/>
          <w:spacing w:val="-3"/>
        </w:rPr>
        <w:t xml:space="preserve"> </w:t>
      </w:r>
      <w:r>
        <w:rPr>
          <w:rFonts w:ascii="Calibri" w:hAnsi="Calibri"/>
          <w:color w:val="001F60"/>
        </w:rPr>
        <w:t>Wi-Fi,</w:t>
      </w:r>
      <w:r>
        <w:rPr>
          <w:rFonts w:ascii="Calibri" w:hAnsi="Calibri"/>
          <w:color w:val="001F60"/>
          <w:spacing w:val="-2"/>
        </w:rPr>
        <w:t xml:space="preserve"> </w:t>
      </w:r>
      <w:r>
        <w:rPr>
          <w:rFonts w:ascii="Calibri" w:hAnsi="Calibri"/>
          <w:color w:val="001F60"/>
        </w:rPr>
        <w:t>abrangendo</w:t>
      </w:r>
      <w:r>
        <w:rPr>
          <w:rFonts w:ascii="Calibri" w:hAnsi="Calibri"/>
          <w:color w:val="001F60"/>
          <w:spacing w:val="-1"/>
        </w:rPr>
        <w:t xml:space="preserve"> </w:t>
      </w:r>
      <w:r>
        <w:rPr>
          <w:rFonts w:ascii="Calibri" w:hAnsi="Calibri"/>
          <w:color w:val="001F60"/>
        </w:rPr>
        <w:t>os</w:t>
      </w:r>
      <w:r>
        <w:rPr>
          <w:rFonts w:ascii="Calibri" w:hAnsi="Calibri"/>
          <w:color w:val="001F60"/>
          <w:spacing w:val="-2"/>
        </w:rPr>
        <w:t xml:space="preserve"> </w:t>
      </w:r>
      <w:r>
        <w:rPr>
          <w:rFonts w:ascii="Calibri" w:hAnsi="Calibri"/>
          <w:color w:val="001F60"/>
        </w:rPr>
        <w:t>programas</w:t>
      </w:r>
      <w:r>
        <w:rPr>
          <w:rFonts w:ascii="Calibri" w:hAnsi="Calibri"/>
          <w:color w:val="001F60"/>
          <w:spacing w:val="-5"/>
        </w:rPr>
        <w:t xml:space="preserve"> </w:t>
      </w:r>
      <w:r>
        <w:rPr>
          <w:rFonts w:ascii="Calibri" w:hAnsi="Calibri"/>
          <w:color w:val="001F60"/>
        </w:rPr>
        <w:t>Wi-Fi</w:t>
      </w:r>
      <w:r>
        <w:rPr>
          <w:rFonts w:ascii="Calibri" w:hAnsi="Calibri"/>
          <w:color w:val="001F60"/>
          <w:spacing w:val="-2"/>
        </w:rPr>
        <w:t xml:space="preserve"> </w:t>
      </w:r>
      <w:r>
        <w:rPr>
          <w:rFonts w:ascii="Calibri" w:hAnsi="Calibri"/>
          <w:color w:val="001F60"/>
        </w:rPr>
        <w:t>Brasil,</w:t>
      </w:r>
      <w:r>
        <w:rPr>
          <w:rFonts w:ascii="Calibri" w:hAnsi="Calibri"/>
          <w:color w:val="001F60"/>
          <w:spacing w:val="-3"/>
        </w:rPr>
        <w:t xml:space="preserve"> </w:t>
      </w:r>
      <w:r>
        <w:rPr>
          <w:rFonts w:ascii="Calibri" w:hAnsi="Calibri"/>
          <w:color w:val="001F60"/>
        </w:rPr>
        <w:t>Wi-Fi</w:t>
      </w:r>
      <w:r>
        <w:rPr>
          <w:rFonts w:ascii="Calibri" w:hAnsi="Calibri"/>
          <w:color w:val="001F60"/>
          <w:spacing w:val="-2"/>
        </w:rPr>
        <w:t xml:space="preserve"> </w:t>
      </w:r>
      <w:r>
        <w:rPr>
          <w:rFonts w:ascii="Calibri" w:hAnsi="Calibri"/>
          <w:color w:val="001F60"/>
        </w:rPr>
        <w:t>Telebras</w:t>
      </w:r>
      <w:r>
        <w:rPr>
          <w:rFonts w:ascii="Calibri" w:hAnsi="Calibri"/>
          <w:color w:val="001F60"/>
          <w:spacing w:val="-3"/>
        </w:rPr>
        <w:t xml:space="preserve"> </w:t>
      </w:r>
      <w:r>
        <w:rPr>
          <w:rFonts w:ascii="Calibri" w:hAnsi="Calibri"/>
          <w:color w:val="001F60"/>
        </w:rPr>
        <w:t>e</w:t>
      </w:r>
      <w:r>
        <w:rPr>
          <w:rFonts w:ascii="Calibri" w:hAnsi="Calibri"/>
          <w:color w:val="001F60"/>
          <w:spacing w:val="-2"/>
        </w:rPr>
        <w:t xml:space="preserve"> </w:t>
      </w:r>
      <w:r>
        <w:rPr>
          <w:rFonts w:ascii="Calibri" w:hAnsi="Calibri"/>
          <w:color w:val="001F60"/>
        </w:rPr>
        <w:t>Wi-Fi</w:t>
      </w:r>
      <w:r>
        <w:rPr>
          <w:rFonts w:ascii="Calibri" w:hAnsi="Calibri"/>
          <w:color w:val="001F60"/>
          <w:spacing w:val="-2"/>
        </w:rPr>
        <w:t xml:space="preserve"> Externo.</w:t>
      </w:r>
    </w:p>
    <w:p w14:paraId="1EC7AB00" w14:textId="77777777" w:rsidR="002C6574" w:rsidRDefault="002C6574">
      <w:pPr>
        <w:pStyle w:val="Corpodetexto"/>
        <w:jc w:val="both"/>
        <w:rPr>
          <w:rFonts w:ascii="Calibri" w:hAnsi="Calibri"/>
        </w:rPr>
        <w:sectPr w:rsidR="002C6574">
          <w:pgSz w:w="11910" w:h="16840"/>
          <w:pgMar w:top="1160" w:right="850" w:bottom="740" w:left="992" w:header="312" w:footer="542" w:gutter="0"/>
          <w:cols w:space="720"/>
        </w:sectPr>
      </w:pPr>
    </w:p>
    <w:p w14:paraId="6CF7D94B" w14:textId="77777777" w:rsidR="002C6574" w:rsidRDefault="002C6574">
      <w:pPr>
        <w:pStyle w:val="Corpodetexto"/>
        <w:spacing w:before="263"/>
        <w:rPr>
          <w:rFonts w:ascii="Calibri"/>
        </w:rPr>
      </w:pPr>
    </w:p>
    <w:p w14:paraId="7B57F838" w14:textId="77777777" w:rsidR="002C6574" w:rsidRDefault="00000000">
      <w:pPr>
        <w:pStyle w:val="Corpodetexto"/>
        <w:ind w:left="709" w:right="277"/>
        <w:jc w:val="both"/>
        <w:rPr>
          <w:rFonts w:ascii="Calibri" w:hAnsi="Calibri"/>
        </w:rPr>
      </w:pPr>
      <w:r>
        <w:rPr>
          <w:rFonts w:ascii="Calibri" w:hAnsi="Calibri"/>
          <w:color w:val="001F60"/>
        </w:rPr>
        <w:t>Em</w:t>
      </w:r>
      <w:r>
        <w:rPr>
          <w:rFonts w:ascii="Calibri" w:hAnsi="Calibri"/>
          <w:color w:val="001F60"/>
          <w:spacing w:val="-6"/>
        </w:rPr>
        <w:t xml:space="preserve"> </w:t>
      </w:r>
      <w:r>
        <w:rPr>
          <w:rFonts w:ascii="Calibri" w:hAnsi="Calibri"/>
          <w:color w:val="001F60"/>
        </w:rPr>
        <w:t>2025,</w:t>
      </w:r>
      <w:r>
        <w:rPr>
          <w:rFonts w:ascii="Calibri" w:hAnsi="Calibri"/>
          <w:color w:val="001F60"/>
          <w:spacing w:val="-6"/>
        </w:rPr>
        <w:t xml:space="preserve"> </w:t>
      </w:r>
      <w:r>
        <w:rPr>
          <w:rFonts w:ascii="Calibri" w:hAnsi="Calibri"/>
          <w:color w:val="001F60"/>
        </w:rPr>
        <w:t>esse</w:t>
      </w:r>
      <w:r>
        <w:rPr>
          <w:rFonts w:ascii="Calibri" w:hAnsi="Calibri"/>
          <w:color w:val="001F60"/>
          <w:spacing w:val="-4"/>
        </w:rPr>
        <w:t xml:space="preserve"> </w:t>
      </w:r>
      <w:r>
        <w:rPr>
          <w:rFonts w:ascii="Calibri" w:hAnsi="Calibri"/>
          <w:color w:val="001F60"/>
        </w:rPr>
        <w:t>conjunto</w:t>
      </w:r>
      <w:r>
        <w:rPr>
          <w:rFonts w:ascii="Calibri" w:hAnsi="Calibri"/>
          <w:color w:val="001F60"/>
          <w:spacing w:val="-4"/>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serviços</w:t>
      </w:r>
      <w:r>
        <w:rPr>
          <w:rFonts w:ascii="Calibri" w:hAnsi="Calibri"/>
          <w:color w:val="001F60"/>
          <w:spacing w:val="-4"/>
        </w:rPr>
        <w:t xml:space="preserve"> </w:t>
      </w:r>
      <w:r>
        <w:rPr>
          <w:rFonts w:ascii="Calibri" w:hAnsi="Calibri"/>
          <w:color w:val="001F60"/>
        </w:rPr>
        <w:t>apresentou</w:t>
      </w:r>
      <w:r>
        <w:rPr>
          <w:rFonts w:ascii="Calibri" w:hAnsi="Calibri"/>
          <w:color w:val="001F60"/>
          <w:spacing w:val="-5"/>
        </w:rPr>
        <w:t xml:space="preserve"> </w:t>
      </w:r>
      <w:r>
        <w:rPr>
          <w:rFonts w:ascii="Calibri" w:hAnsi="Calibri"/>
          <w:color w:val="001F60"/>
        </w:rPr>
        <w:t>redução</w:t>
      </w:r>
      <w:r>
        <w:rPr>
          <w:rFonts w:ascii="Calibri" w:hAnsi="Calibri"/>
          <w:color w:val="001F60"/>
          <w:spacing w:val="-3"/>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28,2%</w:t>
      </w:r>
      <w:r>
        <w:rPr>
          <w:rFonts w:ascii="Calibri" w:hAnsi="Calibri"/>
          <w:color w:val="001F60"/>
          <w:spacing w:val="-5"/>
        </w:rPr>
        <w:t xml:space="preserve"> </w:t>
      </w:r>
      <w:r>
        <w:rPr>
          <w:rFonts w:ascii="Calibri" w:hAnsi="Calibri"/>
          <w:color w:val="001F60"/>
        </w:rPr>
        <w:t>em</w:t>
      </w:r>
      <w:r>
        <w:rPr>
          <w:rFonts w:ascii="Calibri" w:hAnsi="Calibri"/>
          <w:color w:val="001F60"/>
          <w:spacing w:val="-1"/>
        </w:rPr>
        <w:t xml:space="preserve"> </w:t>
      </w:r>
      <w:r>
        <w:rPr>
          <w:rFonts w:ascii="Calibri" w:hAnsi="Calibri"/>
          <w:color w:val="001F60"/>
        </w:rPr>
        <w:t>relação</w:t>
      </w:r>
      <w:r>
        <w:rPr>
          <w:rFonts w:ascii="Calibri" w:hAnsi="Calibri"/>
          <w:color w:val="001F60"/>
          <w:spacing w:val="-3"/>
        </w:rPr>
        <w:t xml:space="preserve"> </w:t>
      </w:r>
      <w:r>
        <w:rPr>
          <w:rFonts w:ascii="Calibri" w:hAnsi="Calibri"/>
          <w:color w:val="001F60"/>
        </w:rPr>
        <w:t>ao</w:t>
      </w:r>
      <w:r>
        <w:rPr>
          <w:rFonts w:ascii="Calibri" w:hAnsi="Calibri"/>
          <w:color w:val="001F60"/>
          <w:spacing w:val="-6"/>
        </w:rPr>
        <w:t xml:space="preserve"> </w:t>
      </w:r>
      <w:r>
        <w:rPr>
          <w:rFonts w:ascii="Calibri" w:hAnsi="Calibri"/>
          <w:color w:val="001F60"/>
        </w:rPr>
        <w:t>montante</w:t>
      </w:r>
      <w:r>
        <w:rPr>
          <w:rFonts w:ascii="Calibri" w:hAnsi="Calibri"/>
          <w:color w:val="001F60"/>
          <w:spacing w:val="-4"/>
        </w:rPr>
        <w:t xml:space="preserve"> </w:t>
      </w:r>
      <w:r>
        <w:rPr>
          <w:rFonts w:ascii="Calibri" w:hAnsi="Calibri"/>
          <w:color w:val="001F60"/>
        </w:rPr>
        <w:t>registrado em 2024 e de 53,6% na comparação com</w:t>
      </w:r>
      <w:r>
        <w:rPr>
          <w:rFonts w:ascii="Calibri" w:hAnsi="Calibri"/>
          <w:color w:val="001F60"/>
          <w:spacing w:val="-2"/>
        </w:rPr>
        <w:t xml:space="preserve"> </w:t>
      </w:r>
      <w:r>
        <w:rPr>
          <w:rFonts w:ascii="Calibri" w:hAnsi="Calibri"/>
          <w:color w:val="001F60"/>
        </w:rPr>
        <w:t>2023.</w:t>
      </w:r>
      <w:r>
        <w:rPr>
          <w:rFonts w:ascii="Calibri" w:hAnsi="Calibri"/>
          <w:color w:val="001F60"/>
          <w:spacing w:val="-1"/>
        </w:rPr>
        <w:t xml:space="preserve"> </w:t>
      </w:r>
      <w:r>
        <w:rPr>
          <w:rFonts w:ascii="Calibri" w:hAnsi="Calibri"/>
          <w:color w:val="001F60"/>
        </w:rPr>
        <w:t>Apesar do aumento no número</w:t>
      </w:r>
      <w:r>
        <w:rPr>
          <w:rFonts w:ascii="Calibri" w:hAnsi="Calibri"/>
          <w:color w:val="001F60"/>
          <w:spacing w:val="-1"/>
        </w:rPr>
        <w:t xml:space="preserve"> </w:t>
      </w:r>
      <w:r>
        <w:rPr>
          <w:rFonts w:ascii="Calibri" w:hAnsi="Calibri"/>
          <w:color w:val="001F60"/>
        </w:rPr>
        <w:t>de clientes</w:t>
      </w:r>
      <w:r>
        <w:rPr>
          <w:rFonts w:ascii="Calibri" w:hAnsi="Calibri"/>
          <w:color w:val="001F60"/>
          <w:spacing w:val="-2"/>
        </w:rPr>
        <w:t xml:space="preserve"> </w:t>
      </w:r>
      <w:r>
        <w:rPr>
          <w:rFonts w:ascii="Calibri" w:hAnsi="Calibri"/>
          <w:color w:val="001F60"/>
        </w:rPr>
        <w:t>atendidos em comparação ao ano anterior, o resultado apresentou retração devido à diminuição dos pontos ativos do Programa GESAC, o que reduziu a receita no período.</w:t>
      </w:r>
    </w:p>
    <w:p w14:paraId="78DA84C9" w14:textId="77777777" w:rsidR="002C6574" w:rsidRDefault="002C6574">
      <w:pPr>
        <w:pStyle w:val="Corpodetexto"/>
        <w:spacing w:before="210"/>
        <w:rPr>
          <w:rFonts w:ascii="Calibri"/>
        </w:rPr>
      </w:pPr>
    </w:p>
    <w:p w14:paraId="72250A61" w14:textId="77777777" w:rsidR="002C6574" w:rsidRDefault="00000000">
      <w:pPr>
        <w:numPr>
          <w:ilvl w:val="2"/>
          <w:numId w:val="74"/>
        </w:numPr>
        <w:tabs>
          <w:tab w:val="left" w:pos="1417"/>
        </w:tabs>
        <w:ind w:right="282"/>
        <w:rPr>
          <w:rFonts w:ascii="Calibri" w:hAnsi="Calibri"/>
          <w:b/>
        </w:rPr>
      </w:pPr>
      <w:r>
        <w:rPr>
          <w:rFonts w:ascii="Calibri" w:hAnsi="Calibri"/>
          <w:b/>
          <w:color w:val="001F60"/>
        </w:rPr>
        <w:t>Custos</w:t>
      </w:r>
      <w:r>
        <w:rPr>
          <w:rFonts w:ascii="Calibri" w:hAnsi="Calibri"/>
          <w:b/>
          <w:color w:val="001F60"/>
          <w:spacing w:val="-13"/>
        </w:rPr>
        <w:t xml:space="preserve"> </w:t>
      </w:r>
      <w:r>
        <w:rPr>
          <w:rFonts w:ascii="Calibri" w:hAnsi="Calibri"/>
          <w:b/>
          <w:color w:val="001F60"/>
        </w:rPr>
        <w:t>e</w:t>
      </w:r>
      <w:r>
        <w:rPr>
          <w:rFonts w:ascii="Calibri" w:hAnsi="Calibri"/>
          <w:b/>
          <w:color w:val="001F60"/>
          <w:spacing w:val="-12"/>
        </w:rPr>
        <w:t xml:space="preserve"> </w:t>
      </w:r>
      <w:r>
        <w:rPr>
          <w:rFonts w:ascii="Calibri" w:hAnsi="Calibri"/>
          <w:b/>
          <w:color w:val="001F60"/>
        </w:rPr>
        <w:t>Despesas</w:t>
      </w:r>
      <w:r>
        <w:rPr>
          <w:rFonts w:ascii="Calibri" w:hAnsi="Calibri"/>
          <w:b/>
          <w:color w:val="001F60"/>
          <w:spacing w:val="-13"/>
        </w:rPr>
        <w:t xml:space="preserve"> </w:t>
      </w:r>
      <w:r>
        <w:rPr>
          <w:rFonts w:ascii="Calibri" w:hAnsi="Calibri"/>
          <w:b/>
          <w:color w:val="001F60"/>
        </w:rPr>
        <w:t>Vinculadas</w:t>
      </w:r>
      <w:r>
        <w:rPr>
          <w:rFonts w:ascii="Calibri" w:hAnsi="Calibri"/>
          <w:b/>
          <w:color w:val="001F60"/>
          <w:spacing w:val="-12"/>
        </w:rPr>
        <w:t xml:space="preserve"> </w:t>
      </w:r>
      <w:r>
        <w:rPr>
          <w:rFonts w:ascii="Calibri" w:hAnsi="Calibri"/>
          <w:b/>
          <w:color w:val="001F60"/>
        </w:rPr>
        <w:t>às</w:t>
      </w:r>
      <w:r>
        <w:rPr>
          <w:rFonts w:ascii="Calibri" w:hAnsi="Calibri"/>
          <w:b/>
          <w:color w:val="001F60"/>
          <w:spacing w:val="-11"/>
        </w:rPr>
        <w:t xml:space="preserve"> </w:t>
      </w:r>
      <w:r>
        <w:rPr>
          <w:rFonts w:ascii="Calibri" w:hAnsi="Calibri"/>
          <w:b/>
          <w:color w:val="001F60"/>
        </w:rPr>
        <w:t>Funções:</w:t>
      </w:r>
      <w:r>
        <w:rPr>
          <w:rFonts w:ascii="Calibri" w:hAnsi="Calibri"/>
          <w:b/>
          <w:color w:val="001F60"/>
          <w:spacing w:val="-13"/>
        </w:rPr>
        <w:t xml:space="preserve"> </w:t>
      </w:r>
      <w:r>
        <w:rPr>
          <w:rFonts w:ascii="Calibri" w:hAnsi="Calibri"/>
          <w:b/>
          <w:color w:val="001F60"/>
        </w:rPr>
        <w:t>Custo</w:t>
      </w:r>
      <w:r>
        <w:rPr>
          <w:rFonts w:ascii="Calibri" w:hAnsi="Calibri"/>
          <w:b/>
          <w:color w:val="001F60"/>
          <w:spacing w:val="-11"/>
        </w:rPr>
        <w:t xml:space="preserve"> </w:t>
      </w:r>
      <w:r>
        <w:rPr>
          <w:rFonts w:ascii="Calibri" w:hAnsi="Calibri"/>
          <w:b/>
          <w:color w:val="001F60"/>
        </w:rPr>
        <w:t>dos</w:t>
      </w:r>
      <w:r>
        <w:rPr>
          <w:rFonts w:ascii="Calibri" w:hAnsi="Calibri"/>
          <w:b/>
          <w:color w:val="001F60"/>
          <w:spacing w:val="-11"/>
        </w:rPr>
        <w:t xml:space="preserve"> </w:t>
      </w:r>
      <w:r>
        <w:rPr>
          <w:rFonts w:ascii="Calibri" w:hAnsi="Calibri"/>
          <w:b/>
          <w:color w:val="001F60"/>
        </w:rPr>
        <w:t>Serviços</w:t>
      </w:r>
      <w:r>
        <w:rPr>
          <w:rFonts w:ascii="Calibri" w:hAnsi="Calibri"/>
          <w:b/>
          <w:color w:val="001F60"/>
          <w:spacing w:val="-11"/>
        </w:rPr>
        <w:t xml:space="preserve"> </w:t>
      </w:r>
      <w:r>
        <w:rPr>
          <w:rFonts w:ascii="Calibri" w:hAnsi="Calibri"/>
          <w:b/>
          <w:color w:val="001F60"/>
        </w:rPr>
        <w:t>Prestados,</w:t>
      </w:r>
      <w:r>
        <w:rPr>
          <w:rFonts w:ascii="Calibri" w:hAnsi="Calibri"/>
          <w:b/>
          <w:color w:val="001F60"/>
          <w:spacing w:val="-13"/>
        </w:rPr>
        <w:t xml:space="preserve"> </w:t>
      </w:r>
      <w:r>
        <w:rPr>
          <w:rFonts w:ascii="Calibri" w:hAnsi="Calibri"/>
          <w:b/>
          <w:color w:val="001F60"/>
        </w:rPr>
        <w:t>Comercialização</w:t>
      </w:r>
      <w:r>
        <w:rPr>
          <w:rFonts w:ascii="Calibri" w:hAnsi="Calibri"/>
          <w:b/>
          <w:color w:val="001F60"/>
          <w:spacing w:val="-12"/>
        </w:rPr>
        <w:t xml:space="preserve"> </w:t>
      </w:r>
      <w:r>
        <w:rPr>
          <w:rFonts w:ascii="Calibri" w:hAnsi="Calibri"/>
          <w:b/>
          <w:color w:val="001F60"/>
        </w:rPr>
        <w:t>dos Serviços e Despesas Gerais e Administrativas (Exceto Depreciação e Amortização)</w:t>
      </w:r>
    </w:p>
    <w:p w14:paraId="120C12B8" w14:textId="77777777" w:rsidR="002C6574" w:rsidRDefault="002C6574">
      <w:pPr>
        <w:pStyle w:val="Corpodetexto"/>
        <w:spacing w:before="127"/>
        <w:rPr>
          <w:rFonts w:ascii="Calibri"/>
          <w:b/>
          <w:sz w:val="20"/>
        </w:rPr>
      </w:pPr>
    </w:p>
    <w:tbl>
      <w:tblPr>
        <w:tblStyle w:val="TableNormal"/>
        <w:tblW w:w="0" w:type="auto"/>
        <w:tblInd w:w="709" w:type="dxa"/>
        <w:tblLayout w:type="fixed"/>
        <w:tblLook w:val="01E0" w:firstRow="1" w:lastRow="1" w:firstColumn="1" w:lastColumn="1" w:noHBand="0" w:noVBand="0"/>
      </w:tblPr>
      <w:tblGrid>
        <w:gridCol w:w="4017"/>
        <w:gridCol w:w="1696"/>
        <w:gridCol w:w="1009"/>
        <w:gridCol w:w="885"/>
        <w:gridCol w:w="752"/>
        <w:gridCol w:w="720"/>
      </w:tblGrid>
      <w:tr w:rsidR="002C6574" w14:paraId="7319A800" w14:textId="77777777">
        <w:trPr>
          <w:trHeight w:val="275"/>
        </w:trPr>
        <w:tc>
          <w:tcPr>
            <w:tcW w:w="4017" w:type="dxa"/>
            <w:tcBorders>
              <w:top w:val="single" w:sz="8" w:space="0" w:color="9AC1E6"/>
              <w:bottom w:val="single" w:sz="8" w:space="0" w:color="9AC1E6"/>
            </w:tcBorders>
          </w:tcPr>
          <w:p w14:paraId="7436CA79" w14:textId="77777777" w:rsidR="002C6574" w:rsidRDefault="00000000">
            <w:pPr>
              <w:pStyle w:val="TableParagraph"/>
              <w:spacing w:before="69"/>
              <w:ind w:left="76"/>
              <w:jc w:val="left"/>
              <w:rPr>
                <w:rFonts w:ascii="Arial"/>
                <w:b/>
                <w:sz w:val="12"/>
              </w:rPr>
            </w:pPr>
            <w:r>
              <w:rPr>
                <w:rFonts w:ascii="Arial"/>
                <w:b/>
                <w:color w:val="2F75B5"/>
                <w:sz w:val="12"/>
              </w:rPr>
              <w:t xml:space="preserve">R$ </w:t>
            </w:r>
            <w:r>
              <w:rPr>
                <w:rFonts w:ascii="Arial"/>
                <w:b/>
                <w:color w:val="2F75B5"/>
                <w:spacing w:val="-5"/>
                <w:sz w:val="12"/>
              </w:rPr>
              <w:t>mil</w:t>
            </w:r>
          </w:p>
        </w:tc>
        <w:tc>
          <w:tcPr>
            <w:tcW w:w="1696" w:type="dxa"/>
            <w:tcBorders>
              <w:top w:val="single" w:sz="8" w:space="0" w:color="9AC1E6"/>
              <w:bottom w:val="single" w:sz="8" w:space="0" w:color="9AC1E6"/>
            </w:tcBorders>
          </w:tcPr>
          <w:p w14:paraId="7502758C" w14:textId="77777777" w:rsidR="002C6574" w:rsidRDefault="00000000">
            <w:pPr>
              <w:pStyle w:val="TableParagraph"/>
              <w:spacing w:before="69"/>
              <w:ind w:left="905"/>
              <w:jc w:val="left"/>
              <w:rPr>
                <w:rFonts w:ascii="Arial"/>
                <w:b/>
                <w:sz w:val="12"/>
              </w:rPr>
            </w:pPr>
            <w:r>
              <w:rPr>
                <w:rFonts w:ascii="Arial"/>
                <w:b/>
                <w:color w:val="2D74B5"/>
                <w:spacing w:val="-4"/>
                <w:sz w:val="12"/>
              </w:rPr>
              <w:t>2025</w:t>
            </w:r>
          </w:p>
        </w:tc>
        <w:tc>
          <w:tcPr>
            <w:tcW w:w="1009" w:type="dxa"/>
            <w:tcBorders>
              <w:top w:val="single" w:sz="8" w:space="0" w:color="9AC1E6"/>
              <w:bottom w:val="single" w:sz="8" w:space="0" w:color="9AC1E6"/>
            </w:tcBorders>
          </w:tcPr>
          <w:p w14:paraId="7A6463C8" w14:textId="77777777" w:rsidR="002C6574" w:rsidRDefault="00000000">
            <w:pPr>
              <w:pStyle w:val="TableParagraph"/>
              <w:spacing w:before="69"/>
              <w:ind w:left="220"/>
              <w:jc w:val="left"/>
              <w:rPr>
                <w:rFonts w:ascii="Arial"/>
                <w:b/>
                <w:sz w:val="12"/>
              </w:rPr>
            </w:pPr>
            <w:r>
              <w:rPr>
                <w:rFonts w:ascii="Arial"/>
                <w:b/>
                <w:color w:val="2D74B5"/>
                <w:spacing w:val="-4"/>
                <w:sz w:val="12"/>
              </w:rPr>
              <w:t>2024</w:t>
            </w:r>
          </w:p>
        </w:tc>
        <w:tc>
          <w:tcPr>
            <w:tcW w:w="885" w:type="dxa"/>
            <w:tcBorders>
              <w:top w:val="single" w:sz="8" w:space="0" w:color="9AC1E6"/>
              <w:bottom w:val="single" w:sz="8" w:space="0" w:color="9AC1E6"/>
            </w:tcBorders>
          </w:tcPr>
          <w:p w14:paraId="7854ED75" w14:textId="77777777" w:rsidR="002C6574" w:rsidRDefault="00000000">
            <w:pPr>
              <w:pStyle w:val="TableParagraph"/>
              <w:spacing w:before="69"/>
              <w:ind w:left="218"/>
              <w:jc w:val="left"/>
              <w:rPr>
                <w:rFonts w:ascii="Arial"/>
                <w:b/>
                <w:sz w:val="12"/>
              </w:rPr>
            </w:pPr>
            <w:r>
              <w:rPr>
                <w:rFonts w:ascii="Arial"/>
                <w:b/>
                <w:color w:val="2D74B5"/>
                <w:spacing w:val="-4"/>
                <w:sz w:val="12"/>
              </w:rPr>
              <w:t>2023</w:t>
            </w:r>
          </w:p>
        </w:tc>
        <w:tc>
          <w:tcPr>
            <w:tcW w:w="752" w:type="dxa"/>
            <w:tcBorders>
              <w:top w:val="single" w:sz="8" w:space="0" w:color="9AC1E6"/>
              <w:bottom w:val="single" w:sz="8" w:space="0" w:color="9AC1E6"/>
            </w:tcBorders>
          </w:tcPr>
          <w:p w14:paraId="6D26A0CE" w14:textId="77777777" w:rsidR="002C6574" w:rsidRDefault="00000000">
            <w:pPr>
              <w:pStyle w:val="TableParagraph"/>
              <w:ind w:right="54"/>
              <w:jc w:val="center"/>
              <w:rPr>
                <w:rFonts w:ascii="Arial" w:hAnsi="Arial"/>
                <w:b/>
                <w:sz w:val="12"/>
              </w:rPr>
            </w:pPr>
            <w:r>
              <w:rPr>
                <w:rFonts w:ascii="Arial" w:hAnsi="Arial"/>
                <w:b/>
                <w:color w:val="2F75B5"/>
                <w:sz w:val="12"/>
              </w:rPr>
              <w:t>Δ 2025</w:t>
            </w:r>
            <w:r>
              <w:rPr>
                <w:rFonts w:ascii="Arial" w:hAnsi="Arial"/>
                <w:b/>
                <w:color w:val="2F75B5"/>
                <w:spacing w:val="1"/>
                <w:sz w:val="12"/>
              </w:rPr>
              <w:t xml:space="preserve"> </w:t>
            </w:r>
            <w:r>
              <w:rPr>
                <w:rFonts w:ascii="Arial" w:hAnsi="Arial"/>
                <w:b/>
                <w:color w:val="2F75B5"/>
                <w:spacing w:val="-10"/>
                <w:sz w:val="12"/>
              </w:rPr>
              <w:t>X</w:t>
            </w:r>
          </w:p>
          <w:p w14:paraId="7DF3F00D" w14:textId="77777777" w:rsidR="002C6574" w:rsidRDefault="00000000">
            <w:pPr>
              <w:pStyle w:val="TableParagraph"/>
              <w:spacing w:before="1" w:line="116" w:lineRule="exact"/>
              <w:ind w:left="2" w:right="54"/>
              <w:jc w:val="center"/>
              <w:rPr>
                <w:rFonts w:ascii="Arial"/>
                <w:b/>
                <w:sz w:val="12"/>
              </w:rPr>
            </w:pPr>
            <w:r>
              <w:rPr>
                <w:rFonts w:ascii="Arial"/>
                <w:b/>
                <w:color w:val="2F75B5"/>
                <w:spacing w:val="-4"/>
                <w:sz w:val="12"/>
              </w:rPr>
              <w:t>2024</w:t>
            </w:r>
          </w:p>
        </w:tc>
        <w:tc>
          <w:tcPr>
            <w:tcW w:w="720" w:type="dxa"/>
            <w:tcBorders>
              <w:top w:val="single" w:sz="8" w:space="0" w:color="9AC1E6"/>
              <w:bottom w:val="single" w:sz="8" w:space="0" w:color="9AC1E6"/>
            </w:tcBorders>
          </w:tcPr>
          <w:p w14:paraId="124D0E3F" w14:textId="77777777" w:rsidR="002C6574" w:rsidRDefault="00000000">
            <w:pPr>
              <w:pStyle w:val="TableParagraph"/>
              <w:ind w:right="28"/>
              <w:jc w:val="center"/>
              <w:rPr>
                <w:rFonts w:ascii="Arial" w:hAnsi="Arial"/>
                <w:b/>
                <w:sz w:val="12"/>
              </w:rPr>
            </w:pPr>
            <w:r>
              <w:rPr>
                <w:rFonts w:ascii="Arial" w:hAnsi="Arial"/>
                <w:b/>
                <w:color w:val="2F75B5"/>
                <w:sz w:val="12"/>
              </w:rPr>
              <w:t>Δ 2025</w:t>
            </w:r>
            <w:r>
              <w:rPr>
                <w:rFonts w:ascii="Arial" w:hAnsi="Arial"/>
                <w:b/>
                <w:color w:val="2F75B5"/>
                <w:spacing w:val="1"/>
                <w:sz w:val="12"/>
              </w:rPr>
              <w:t xml:space="preserve"> </w:t>
            </w:r>
            <w:r>
              <w:rPr>
                <w:rFonts w:ascii="Arial" w:hAnsi="Arial"/>
                <w:b/>
                <w:color w:val="2F75B5"/>
                <w:spacing w:val="-10"/>
                <w:sz w:val="12"/>
              </w:rPr>
              <w:t>X</w:t>
            </w:r>
          </w:p>
          <w:p w14:paraId="3128538A" w14:textId="77777777" w:rsidR="002C6574" w:rsidRDefault="00000000">
            <w:pPr>
              <w:pStyle w:val="TableParagraph"/>
              <w:spacing w:before="1" w:line="116" w:lineRule="exact"/>
              <w:ind w:left="2" w:right="28"/>
              <w:jc w:val="center"/>
              <w:rPr>
                <w:rFonts w:ascii="Arial"/>
                <w:b/>
                <w:sz w:val="12"/>
              </w:rPr>
            </w:pPr>
            <w:r>
              <w:rPr>
                <w:rFonts w:ascii="Arial"/>
                <w:b/>
                <w:color w:val="2F75B5"/>
                <w:spacing w:val="-4"/>
                <w:sz w:val="12"/>
              </w:rPr>
              <w:t>2023</w:t>
            </w:r>
          </w:p>
        </w:tc>
      </w:tr>
      <w:tr w:rsidR="002C6574" w14:paraId="193ECFE4" w14:textId="77777777">
        <w:trPr>
          <w:trHeight w:val="231"/>
        </w:trPr>
        <w:tc>
          <w:tcPr>
            <w:tcW w:w="4017" w:type="dxa"/>
            <w:tcBorders>
              <w:bottom w:val="single" w:sz="8" w:space="0" w:color="9AC1E6"/>
            </w:tcBorders>
          </w:tcPr>
          <w:p w14:paraId="3A4F0428" w14:textId="77777777" w:rsidR="002C6574" w:rsidRDefault="00000000">
            <w:pPr>
              <w:pStyle w:val="TableParagraph"/>
              <w:spacing w:before="38"/>
              <w:ind w:left="76"/>
              <w:jc w:val="left"/>
              <w:rPr>
                <w:rFonts w:ascii="Arial MT" w:hAnsi="Arial MT"/>
                <w:sz w:val="12"/>
              </w:rPr>
            </w:pPr>
            <w:r>
              <w:rPr>
                <w:rFonts w:ascii="Arial MT" w:hAnsi="Arial MT"/>
                <w:sz w:val="12"/>
              </w:rPr>
              <w:t>Serviços de</w:t>
            </w:r>
            <w:r>
              <w:rPr>
                <w:rFonts w:ascii="Arial MT" w:hAnsi="Arial MT"/>
                <w:spacing w:val="1"/>
                <w:sz w:val="12"/>
              </w:rPr>
              <w:t xml:space="preserve"> </w:t>
            </w:r>
            <w:r>
              <w:rPr>
                <w:rFonts w:ascii="Arial MT" w:hAnsi="Arial MT"/>
                <w:spacing w:val="-2"/>
                <w:sz w:val="12"/>
              </w:rPr>
              <w:t>Terceiros</w:t>
            </w:r>
          </w:p>
        </w:tc>
        <w:tc>
          <w:tcPr>
            <w:tcW w:w="1696" w:type="dxa"/>
            <w:tcBorders>
              <w:bottom w:val="single" w:sz="8" w:space="0" w:color="9AC1E6"/>
            </w:tcBorders>
          </w:tcPr>
          <w:p w14:paraId="045F4BA0" w14:textId="77777777" w:rsidR="002C6574" w:rsidRDefault="00000000">
            <w:pPr>
              <w:pStyle w:val="TableParagraph"/>
              <w:spacing w:before="38"/>
              <w:ind w:right="218"/>
              <w:rPr>
                <w:rFonts w:ascii="Arial MT"/>
                <w:sz w:val="12"/>
              </w:rPr>
            </w:pPr>
            <w:r>
              <w:rPr>
                <w:rFonts w:ascii="Arial MT"/>
                <w:spacing w:val="-2"/>
                <w:sz w:val="12"/>
              </w:rPr>
              <w:t>(153.128)</w:t>
            </w:r>
          </w:p>
        </w:tc>
        <w:tc>
          <w:tcPr>
            <w:tcW w:w="1009" w:type="dxa"/>
            <w:tcBorders>
              <w:bottom w:val="single" w:sz="8" w:space="0" w:color="9AC1E6"/>
            </w:tcBorders>
          </w:tcPr>
          <w:p w14:paraId="56E4EB7A" w14:textId="77777777" w:rsidR="002C6574" w:rsidRDefault="00000000">
            <w:pPr>
              <w:pStyle w:val="TableParagraph"/>
              <w:spacing w:before="38"/>
              <w:ind w:right="217"/>
              <w:rPr>
                <w:rFonts w:ascii="Arial MT"/>
                <w:sz w:val="12"/>
              </w:rPr>
            </w:pPr>
            <w:r>
              <w:rPr>
                <w:rFonts w:ascii="Arial MT"/>
                <w:spacing w:val="-2"/>
                <w:sz w:val="12"/>
              </w:rPr>
              <w:t>(173.875)</w:t>
            </w:r>
          </w:p>
        </w:tc>
        <w:tc>
          <w:tcPr>
            <w:tcW w:w="885" w:type="dxa"/>
            <w:tcBorders>
              <w:bottom w:val="single" w:sz="8" w:space="0" w:color="9AC1E6"/>
            </w:tcBorders>
          </w:tcPr>
          <w:p w14:paraId="272A838F" w14:textId="77777777" w:rsidR="002C6574" w:rsidRDefault="00000000">
            <w:pPr>
              <w:pStyle w:val="TableParagraph"/>
              <w:spacing w:before="38"/>
              <w:ind w:right="95"/>
              <w:rPr>
                <w:rFonts w:ascii="Arial MT"/>
                <w:sz w:val="12"/>
              </w:rPr>
            </w:pPr>
            <w:r>
              <w:rPr>
                <w:rFonts w:ascii="Arial MT"/>
                <w:spacing w:val="-2"/>
                <w:sz w:val="12"/>
              </w:rPr>
              <w:t>(159.570)</w:t>
            </w:r>
          </w:p>
        </w:tc>
        <w:tc>
          <w:tcPr>
            <w:tcW w:w="752" w:type="dxa"/>
            <w:tcBorders>
              <w:bottom w:val="single" w:sz="8" w:space="0" w:color="8EAADB"/>
            </w:tcBorders>
          </w:tcPr>
          <w:p w14:paraId="2505CF6E" w14:textId="77777777" w:rsidR="002C6574" w:rsidRDefault="00000000">
            <w:pPr>
              <w:pStyle w:val="TableParagraph"/>
              <w:spacing w:before="38"/>
              <w:ind w:left="181"/>
              <w:jc w:val="center"/>
              <w:rPr>
                <w:rFonts w:ascii="Arial MT"/>
                <w:sz w:val="12"/>
              </w:rPr>
            </w:pPr>
            <w:r>
              <w:rPr>
                <w:rFonts w:ascii="Arial MT"/>
                <w:sz w:val="12"/>
              </w:rPr>
              <w:t>-</w:t>
            </w:r>
            <w:r>
              <w:rPr>
                <w:rFonts w:ascii="Arial MT"/>
                <w:spacing w:val="-2"/>
                <w:sz w:val="12"/>
              </w:rPr>
              <w:t>11,9%</w:t>
            </w:r>
          </w:p>
        </w:tc>
        <w:tc>
          <w:tcPr>
            <w:tcW w:w="720" w:type="dxa"/>
            <w:tcBorders>
              <w:bottom w:val="single" w:sz="8" w:space="0" w:color="8EAADB"/>
            </w:tcBorders>
          </w:tcPr>
          <w:p w14:paraId="6AF37790" w14:textId="77777777" w:rsidR="002C6574" w:rsidRDefault="00000000">
            <w:pPr>
              <w:pStyle w:val="TableParagraph"/>
              <w:spacing w:before="38"/>
              <w:ind w:right="66"/>
              <w:rPr>
                <w:rFonts w:ascii="Arial MT"/>
                <w:sz w:val="12"/>
              </w:rPr>
            </w:pPr>
            <w:r>
              <w:rPr>
                <w:rFonts w:ascii="Arial MT"/>
                <w:sz w:val="12"/>
              </w:rPr>
              <w:t>-</w:t>
            </w:r>
            <w:r>
              <w:rPr>
                <w:rFonts w:ascii="Arial MT"/>
                <w:spacing w:val="-4"/>
                <w:sz w:val="12"/>
              </w:rPr>
              <w:t>4,0%</w:t>
            </w:r>
          </w:p>
        </w:tc>
      </w:tr>
      <w:tr w:rsidR="002C6574" w14:paraId="2B6F4FDA" w14:textId="77777777">
        <w:trPr>
          <w:trHeight w:val="231"/>
        </w:trPr>
        <w:tc>
          <w:tcPr>
            <w:tcW w:w="4017" w:type="dxa"/>
            <w:tcBorders>
              <w:top w:val="single" w:sz="8" w:space="0" w:color="9AC1E6"/>
              <w:bottom w:val="single" w:sz="8" w:space="0" w:color="9AC1E6"/>
            </w:tcBorders>
          </w:tcPr>
          <w:p w14:paraId="19BA2BFB" w14:textId="77777777" w:rsidR="002C6574" w:rsidRDefault="00000000">
            <w:pPr>
              <w:pStyle w:val="TableParagraph"/>
              <w:spacing w:before="48"/>
              <w:ind w:left="76"/>
              <w:jc w:val="left"/>
              <w:rPr>
                <w:rFonts w:ascii="Arial MT" w:hAnsi="Arial MT"/>
                <w:sz w:val="12"/>
              </w:rPr>
            </w:pPr>
            <w:r>
              <w:rPr>
                <w:rFonts w:ascii="Arial MT" w:hAnsi="Arial MT"/>
                <w:sz w:val="12"/>
              </w:rPr>
              <w:t>Meios de Conexão e</w:t>
            </w:r>
            <w:r>
              <w:rPr>
                <w:rFonts w:ascii="Arial MT" w:hAnsi="Arial MT"/>
                <w:spacing w:val="-1"/>
                <w:sz w:val="12"/>
              </w:rPr>
              <w:t xml:space="preserve"> </w:t>
            </w:r>
            <w:r>
              <w:rPr>
                <w:rFonts w:ascii="Arial MT" w:hAnsi="Arial MT"/>
                <w:spacing w:val="-2"/>
                <w:sz w:val="12"/>
              </w:rPr>
              <w:t>Transmissão</w:t>
            </w:r>
          </w:p>
        </w:tc>
        <w:tc>
          <w:tcPr>
            <w:tcW w:w="1696" w:type="dxa"/>
            <w:tcBorders>
              <w:top w:val="single" w:sz="8" w:space="0" w:color="9AC1E6"/>
              <w:bottom w:val="single" w:sz="8" w:space="0" w:color="9AC1E6"/>
            </w:tcBorders>
          </w:tcPr>
          <w:p w14:paraId="163600F8" w14:textId="77777777" w:rsidR="002C6574" w:rsidRDefault="00000000">
            <w:pPr>
              <w:pStyle w:val="TableParagraph"/>
              <w:spacing w:before="48"/>
              <w:ind w:right="218"/>
              <w:rPr>
                <w:rFonts w:ascii="Arial MT"/>
                <w:sz w:val="12"/>
              </w:rPr>
            </w:pPr>
            <w:r>
              <w:rPr>
                <w:rFonts w:ascii="Arial MT"/>
                <w:spacing w:val="-2"/>
                <w:sz w:val="12"/>
              </w:rPr>
              <w:t>(170.423)</w:t>
            </w:r>
          </w:p>
        </w:tc>
        <w:tc>
          <w:tcPr>
            <w:tcW w:w="1009" w:type="dxa"/>
            <w:tcBorders>
              <w:top w:val="single" w:sz="8" w:space="0" w:color="9AC1E6"/>
              <w:bottom w:val="single" w:sz="8" w:space="0" w:color="9AC1E6"/>
            </w:tcBorders>
          </w:tcPr>
          <w:p w14:paraId="30CFFA31" w14:textId="77777777" w:rsidR="002C6574" w:rsidRDefault="00000000">
            <w:pPr>
              <w:pStyle w:val="TableParagraph"/>
              <w:spacing w:before="48"/>
              <w:ind w:right="217"/>
              <w:rPr>
                <w:rFonts w:ascii="Arial MT"/>
                <w:sz w:val="12"/>
              </w:rPr>
            </w:pPr>
            <w:r>
              <w:rPr>
                <w:rFonts w:ascii="Arial MT"/>
                <w:spacing w:val="-2"/>
                <w:sz w:val="12"/>
              </w:rPr>
              <w:t>(135.121)</w:t>
            </w:r>
          </w:p>
        </w:tc>
        <w:tc>
          <w:tcPr>
            <w:tcW w:w="885" w:type="dxa"/>
            <w:tcBorders>
              <w:top w:val="single" w:sz="8" w:space="0" w:color="9AC1E6"/>
              <w:bottom w:val="single" w:sz="8" w:space="0" w:color="9AC1E6"/>
            </w:tcBorders>
          </w:tcPr>
          <w:p w14:paraId="35BE0A4F" w14:textId="77777777" w:rsidR="002C6574" w:rsidRDefault="00000000">
            <w:pPr>
              <w:pStyle w:val="TableParagraph"/>
              <w:spacing w:before="48"/>
              <w:ind w:right="96"/>
              <w:rPr>
                <w:rFonts w:ascii="Arial MT"/>
                <w:sz w:val="12"/>
              </w:rPr>
            </w:pPr>
            <w:r>
              <w:rPr>
                <w:rFonts w:ascii="Arial MT"/>
                <w:spacing w:val="-2"/>
                <w:sz w:val="12"/>
              </w:rPr>
              <w:t>(136.851)</w:t>
            </w:r>
          </w:p>
        </w:tc>
        <w:tc>
          <w:tcPr>
            <w:tcW w:w="752" w:type="dxa"/>
            <w:tcBorders>
              <w:top w:val="single" w:sz="8" w:space="0" w:color="8EAADB"/>
              <w:bottom w:val="single" w:sz="8" w:space="0" w:color="8EAADB"/>
            </w:tcBorders>
          </w:tcPr>
          <w:p w14:paraId="569E50BD" w14:textId="77777777" w:rsidR="002C6574" w:rsidRDefault="00000000">
            <w:pPr>
              <w:pStyle w:val="TableParagraph"/>
              <w:spacing w:before="48"/>
              <w:ind w:left="215"/>
              <w:jc w:val="center"/>
              <w:rPr>
                <w:rFonts w:ascii="Arial MT"/>
                <w:sz w:val="12"/>
              </w:rPr>
            </w:pPr>
            <w:r>
              <w:rPr>
                <w:rFonts w:ascii="Arial MT"/>
                <w:spacing w:val="-2"/>
                <w:sz w:val="12"/>
              </w:rPr>
              <w:t>26,1%</w:t>
            </w:r>
          </w:p>
        </w:tc>
        <w:tc>
          <w:tcPr>
            <w:tcW w:w="720" w:type="dxa"/>
            <w:tcBorders>
              <w:top w:val="single" w:sz="8" w:space="0" w:color="8EAADB"/>
              <w:bottom w:val="single" w:sz="8" w:space="0" w:color="8EAADB"/>
            </w:tcBorders>
          </w:tcPr>
          <w:p w14:paraId="128C4CE9" w14:textId="77777777" w:rsidR="002C6574" w:rsidRDefault="00000000">
            <w:pPr>
              <w:pStyle w:val="TableParagraph"/>
              <w:spacing w:before="48"/>
              <w:ind w:right="66"/>
              <w:rPr>
                <w:rFonts w:ascii="Arial MT"/>
                <w:sz w:val="12"/>
              </w:rPr>
            </w:pPr>
            <w:r>
              <w:rPr>
                <w:rFonts w:ascii="Arial MT"/>
                <w:spacing w:val="-2"/>
                <w:sz w:val="12"/>
              </w:rPr>
              <w:t>24,5%</w:t>
            </w:r>
          </w:p>
        </w:tc>
      </w:tr>
      <w:tr w:rsidR="002C6574" w14:paraId="51DA070E" w14:textId="77777777">
        <w:trPr>
          <w:trHeight w:val="232"/>
        </w:trPr>
        <w:tc>
          <w:tcPr>
            <w:tcW w:w="4017" w:type="dxa"/>
            <w:tcBorders>
              <w:top w:val="single" w:sz="8" w:space="0" w:color="9AC1E6"/>
              <w:bottom w:val="single" w:sz="8" w:space="0" w:color="9AC1E6"/>
            </w:tcBorders>
          </w:tcPr>
          <w:p w14:paraId="6857236D" w14:textId="77777777" w:rsidR="002C6574" w:rsidRDefault="00000000">
            <w:pPr>
              <w:pStyle w:val="TableParagraph"/>
              <w:spacing w:before="48"/>
              <w:ind w:left="76"/>
              <w:jc w:val="left"/>
              <w:rPr>
                <w:rFonts w:ascii="Arial MT"/>
                <w:sz w:val="12"/>
              </w:rPr>
            </w:pPr>
            <w:r>
              <w:rPr>
                <w:rFonts w:ascii="Arial MT"/>
                <w:spacing w:val="-2"/>
                <w:sz w:val="12"/>
              </w:rPr>
              <w:t>Pessoal</w:t>
            </w:r>
          </w:p>
        </w:tc>
        <w:tc>
          <w:tcPr>
            <w:tcW w:w="1696" w:type="dxa"/>
            <w:tcBorders>
              <w:top w:val="single" w:sz="8" w:space="0" w:color="9AC1E6"/>
              <w:bottom w:val="single" w:sz="8" w:space="0" w:color="9AC1E6"/>
            </w:tcBorders>
          </w:tcPr>
          <w:p w14:paraId="71F70681" w14:textId="77777777" w:rsidR="002C6574" w:rsidRDefault="00000000">
            <w:pPr>
              <w:pStyle w:val="TableParagraph"/>
              <w:spacing w:before="48"/>
              <w:ind w:right="219"/>
              <w:rPr>
                <w:rFonts w:ascii="Arial MT"/>
                <w:sz w:val="12"/>
              </w:rPr>
            </w:pPr>
            <w:r>
              <w:rPr>
                <w:rFonts w:ascii="Arial MT"/>
                <w:spacing w:val="-2"/>
                <w:sz w:val="12"/>
              </w:rPr>
              <w:t>(119.390)</w:t>
            </w:r>
          </w:p>
        </w:tc>
        <w:tc>
          <w:tcPr>
            <w:tcW w:w="1009" w:type="dxa"/>
            <w:tcBorders>
              <w:top w:val="single" w:sz="8" w:space="0" w:color="9AC1E6"/>
              <w:bottom w:val="single" w:sz="8" w:space="0" w:color="9AC1E6"/>
            </w:tcBorders>
          </w:tcPr>
          <w:p w14:paraId="2CC17102" w14:textId="77777777" w:rsidR="002C6574" w:rsidRDefault="00000000">
            <w:pPr>
              <w:pStyle w:val="TableParagraph"/>
              <w:spacing w:before="48"/>
              <w:ind w:right="217"/>
              <w:rPr>
                <w:rFonts w:ascii="Arial MT"/>
                <w:sz w:val="12"/>
              </w:rPr>
            </w:pPr>
            <w:r>
              <w:rPr>
                <w:rFonts w:ascii="Arial MT"/>
                <w:spacing w:val="-2"/>
                <w:sz w:val="12"/>
              </w:rPr>
              <w:t>(111.058)</w:t>
            </w:r>
          </w:p>
        </w:tc>
        <w:tc>
          <w:tcPr>
            <w:tcW w:w="885" w:type="dxa"/>
            <w:tcBorders>
              <w:top w:val="single" w:sz="8" w:space="0" w:color="9AC1E6"/>
              <w:bottom w:val="single" w:sz="8" w:space="0" w:color="9AC1E6"/>
            </w:tcBorders>
          </w:tcPr>
          <w:p w14:paraId="1419342B" w14:textId="77777777" w:rsidR="002C6574" w:rsidRDefault="00000000">
            <w:pPr>
              <w:pStyle w:val="TableParagraph"/>
              <w:spacing w:before="48"/>
              <w:ind w:right="96"/>
              <w:rPr>
                <w:rFonts w:ascii="Arial MT"/>
                <w:sz w:val="12"/>
              </w:rPr>
            </w:pPr>
            <w:r>
              <w:rPr>
                <w:rFonts w:ascii="Arial MT"/>
                <w:spacing w:val="-2"/>
                <w:sz w:val="12"/>
              </w:rPr>
              <w:t>(106.908)</w:t>
            </w:r>
          </w:p>
        </w:tc>
        <w:tc>
          <w:tcPr>
            <w:tcW w:w="752" w:type="dxa"/>
            <w:tcBorders>
              <w:top w:val="single" w:sz="8" w:space="0" w:color="8EAADB"/>
              <w:bottom w:val="single" w:sz="8" w:space="0" w:color="8EAADB"/>
            </w:tcBorders>
          </w:tcPr>
          <w:p w14:paraId="25F31251" w14:textId="77777777" w:rsidR="002C6574" w:rsidRDefault="00000000">
            <w:pPr>
              <w:pStyle w:val="TableParagraph"/>
              <w:spacing w:before="48"/>
              <w:ind w:left="336" w:right="54"/>
              <w:jc w:val="center"/>
              <w:rPr>
                <w:rFonts w:ascii="Arial MT"/>
                <w:sz w:val="12"/>
              </w:rPr>
            </w:pPr>
            <w:r>
              <w:rPr>
                <w:rFonts w:ascii="Arial MT"/>
                <w:spacing w:val="-4"/>
                <w:sz w:val="12"/>
              </w:rPr>
              <w:t>7,5%</w:t>
            </w:r>
          </w:p>
        </w:tc>
        <w:tc>
          <w:tcPr>
            <w:tcW w:w="720" w:type="dxa"/>
            <w:tcBorders>
              <w:top w:val="single" w:sz="8" w:space="0" w:color="8EAADB"/>
              <w:bottom w:val="single" w:sz="8" w:space="0" w:color="8EAADB"/>
            </w:tcBorders>
          </w:tcPr>
          <w:p w14:paraId="791265D8" w14:textId="77777777" w:rsidR="002C6574" w:rsidRDefault="00000000">
            <w:pPr>
              <w:pStyle w:val="TableParagraph"/>
              <w:spacing w:before="48"/>
              <w:ind w:right="66"/>
              <w:rPr>
                <w:rFonts w:ascii="Arial MT"/>
                <w:sz w:val="12"/>
              </w:rPr>
            </w:pPr>
            <w:r>
              <w:rPr>
                <w:rFonts w:ascii="Arial MT"/>
                <w:spacing w:val="-2"/>
                <w:sz w:val="12"/>
              </w:rPr>
              <w:t>11,7%</w:t>
            </w:r>
          </w:p>
        </w:tc>
      </w:tr>
      <w:tr w:rsidR="002C6574" w14:paraId="059EDC5D" w14:textId="77777777">
        <w:trPr>
          <w:trHeight w:val="231"/>
        </w:trPr>
        <w:tc>
          <w:tcPr>
            <w:tcW w:w="4017" w:type="dxa"/>
            <w:tcBorders>
              <w:top w:val="single" w:sz="8" w:space="0" w:color="9AC1E6"/>
              <w:bottom w:val="single" w:sz="8" w:space="0" w:color="9AC1E6"/>
            </w:tcBorders>
          </w:tcPr>
          <w:p w14:paraId="344D7A08" w14:textId="77777777" w:rsidR="002C6574" w:rsidRDefault="00000000">
            <w:pPr>
              <w:pStyle w:val="TableParagraph"/>
              <w:spacing w:before="48"/>
              <w:ind w:left="76"/>
              <w:jc w:val="left"/>
              <w:rPr>
                <w:rFonts w:ascii="Arial MT" w:hAnsi="Arial MT"/>
                <w:sz w:val="12"/>
              </w:rPr>
            </w:pPr>
            <w:r>
              <w:rPr>
                <w:rFonts w:ascii="Arial MT" w:hAnsi="Arial MT"/>
                <w:sz w:val="12"/>
              </w:rPr>
              <w:t>Aluguéis, Locações</w:t>
            </w:r>
            <w:r>
              <w:rPr>
                <w:rFonts w:ascii="Arial MT" w:hAnsi="Arial MT"/>
                <w:spacing w:val="-1"/>
                <w:sz w:val="12"/>
              </w:rPr>
              <w:t xml:space="preserve"> </w:t>
            </w:r>
            <w:r>
              <w:rPr>
                <w:rFonts w:ascii="Arial MT" w:hAnsi="Arial MT"/>
                <w:sz w:val="12"/>
              </w:rPr>
              <w:t>e</w:t>
            </w:r>
            <w:r>
              <w:rPr>
                <w:rFonts w:ascii="Arial MT" w:hAnsi="Arial MT"/>
                <w:spacing w:val="1"/>
                <w:sz w:val="12"/>
              </w:rPr>
              <w:t xml:space="preserve"> </w:t>
            </w:r>
            <w:r>
              <w:rPr>
                <w:rFonts w:ascii="Arial MT" w:hAnsi="Arial MT"/>
                <w:spacing w:val="-2"/>
                <w:sz w:val="12"/>
              </w:rPr>
              <w:t>Seguros</w:t>
            </w:r>
          </w:p>
        </w:tc>
        <w:tc>
          <w:tcPr>
            <w:tcW w:w="1696" w:type="dxa"/>
            <w:tcBorders>
              <w:top w:val="single" w:sz="8" w:space="0" w:color="9AC1E6"/>
              <w:bottom w:val="single" w:sz="8" w:space="0" w:color="9AC1E6"/>
            </w:tcBorders>
          </w:tcPr>
          <w:p w14:paraId="1B4F457F" w14:textId="77777777" w:rsidR="002C6574" w:rsidRDefault="00000000">
            <w:pPr>
              <w:pStyle w:val="TableParagraph"/>
              <w:spacing w:before="48"/>
              <w:ind w:right="218"/>
              <w:rPr>
                <w:rFonts w:ascii="Arial MT"/>
                <w:sz w:val="12"/>
              </w:rPr>
            </w:pPr>
            <w:r>
              <w:rPr>
                <w:rFonts w:ascii="Arial MT"/>
                <w:spacing w:val="-2"/>
                <w:sz w:val="12"/>
              </w:rPr>
              <w:t>(62.049)</w:t>
            </w:r>
          </w:p>
        </w:tc>
        <w:tc>
          <w:tcPr>
            <w:tcW w:w="1009" w:type="dxa"/>
            <w:tcBorders>
              <w:top w:val="single" w:sz="8" w:space="0" w:color="9AC1E6"/>
              <w:bottom w:val="single" w:sz="8" w:space="0" w:color="9AC1E6"/>
            </w:tcBorders>
          </w:tcPr>
          <w:p w14:paraId="4B29E2A4" w14:textId="77777777" w:rsidR="002C6574" w:rsidRDefault="00000000">
            <w:pPr>
              <w:pStyle w:val="TableParagraph"/>
              <w:spacing w:before="48"/>
              <w:ind w:right="217"/>
              <w:rPr>
                <w:rFonts w:ascii="Arial MT"/>
                <w:sz w:val="12"/>
              </w:rPr>
            </w:pPr>
            <w:r>
              <w:rPr>
                <w:rFonts w:ascii="Arial MT"/>
                <w:spacing w:val="-2"/>
                <w:sz w:val="12"/>
              </w:rPr>
              <w:t>(50.467)</w:t>
            </w:r>
          </w:p>
        </w:tc>
        <w:tc>
          <w:tcPr>
            <w:tcW w:w="885" w:type="dxa"/>
            <w:tcBorders>
              <w:top w:val="single" w:sz="8" w:space="0" w:color="9AC1E6"/>
              <w:bottom w:val="single" w:sz="8" w:space="0" w:color="9AC1E6"/>
            </w:tcBorders>
          </w:tcPr>
          <w:p w14:paraId="20E88EB0" w14:textId="77777777" w:rsidR="002C6574" w:rsidRDefault="00000000">
            <w:pPr>
              <w:pStyle w:val="TableParagraph"/>
              <w:spacing w:before="48"/>
              <w:ind w:right="96"/>
              <w:rPr>
                <w:rFonts w:ascii="Arial MT"/>
                <w:sz w:val="12"/>
              </w:rPr>
            </w:pPr>
            <w:r>
              <w:rPr>
                <w:rFonts w:ascii="Arial MT"/>
                <w:spacing w:val="-2"/>
                <w:sz w:val="12"/>
              </w:rPr>
              <w:t>(50.936)</w:t>
            </w:r>
          </w:p>
        </w:tc>
        <w:tc>
          <w:tcPr>
            <w:tcW w:w="752" w:type="dxa"/>
            <w:tcBorders>
              <w:top w:val="single" w:sz="8" w:space="0" w:color="8EAADB"/>
              <w:bottom w:val="single" w:sz="8" w:space="0" w:color="8EAADB"/>
            </w:tcBorders>
          </w:tcPr>
          <w:p w14:paraId="14B6B900" w14:textId="77777777" w:rsidR="002C6574" w:rsidRDefault="00000000">
            <w:pPr>
              <w:pStyle w:val="TableParagraph"/>
              <w:spacing w:before="48"/>
              <w:ind w:left="215"/>
              <w:jc w:val="center"/>
              <w:rPr>
                <w:rFonts w:ascii="Arial MT"/>
                <w:sz w:val="12"/>
              </w:rPr>
            </w:pPr>
            <w:r>
              <w:rPr>
                <w:rFonts w:ascii="Arial MT"/>
                <w:spacing w:val="-2"/>
                <w:sz w:val="12"/>
              </w:rPr>
              <w:t>22,9%</w:t>
            </w:r>
          </w:p>
        </w:tc>
        <w:tc>
          <w:tcPr>
            <w:tcW w:w="720" w:type="dxa"/>
            <w:tcBorders>
              <w:top w:val="single" w:sz="8" w:space="0" w:color="8EAADB"/>
              <w:bottom w:val="single" w:sz="8" w:space="0" w:color="8EAADB"/>
            </w:tcBorders>
          </w:tcPr>
          <w:p w14:paraId="40E3FE48" w14:textId="77777777" w:rsidR="002C6574" w:rsidRDefault="00000000">
            <w:pPr>
              <w:pStyle w:val="TableParagraph"/>
              <w:spacing w:before="48"/>
              <w:ind w:right="66"/>
              <w:rPr>
                <w:rFonts w:ascii="Arial MT"/>
                <w:sz w:val="12"/>
              </w:rPr>
            </w:pPr>
            <w:r>
              <w:rPr>
                <w:rFonts w:ascii="Arial MT"/>
                <w:spacing w:val="-2"/>
                <w:sz w:val="12"/>
              </w:rPr>
              <w:t>21,8%</w:t>
            </w:r>
          </w:p>
        </w:tc>
      </w:tr>
      <w:tr w:rsidR="002C6574" w14:paraId="538A2051" w14:textId="77777777">
        <w:trPr>
          <w:trHeight w:val="232"/>
        </w:trPr>
        <w:tc>
          <w:tcPr>
            <w:tcW w:w="4017" w:type="dxa"/>
            <w:tcBorders>
              <w:top w:val="single" w:sz="8" w:space="0" w:color="9AC1E6"/>
              <w:bottom w:val="single" w:sz="8" w:space="0" w:color="9AC1E6"/>
            </w:tcBorders>
          </w:tcPr>
          <w:p w14:paraId="3A7884D9" w14:textId="77777777" w:rsidR="002C6574" w:rsidRDefault="00000000">
            <w:pPr>
              <w:pStyle w:val="TableParagraph"/>
              <w:spacing w:before="48"/>
              <w:ind w:left="76"/>
              <w:jc w:val="left"/>
              <w:rPr>
                <w:rFonts w:ascii="Arial MT"/>
                <w:sz w:val="12"/>
              </w:rPr>
            </w:pPr>
            <w:r>
              <w:rPr>
                <w:rFonts w:ascii="Arial MT"/>
                <w:spacing w:val="-2"/>
                <w:sz w:val="12"/>
              </w:rPr>
              <w:t>Tributos</w:t>
            </w:r>
          </w:p>
        </w:tc>
        <w:tc>
          <w:tcPr>
            <w:tcW w:w="1696" w:type="dxa"/>
            <w:tcBorders>
              <w:top w:val="single" w:sz="8" w:space="0" w:color="9AC1E6"/>
              <w:bottom w:val="single" w:sz="8" w:space="0" w:color="9AC1E6"/>
            </w:tcBorders>
          </w:tcPr>
          <w:p w14:paraId="3C8D40FD" w14:textId="77777777" w:rsidR="002C6574" w:rsidRDefault="00000000">
            <w:pPr>
              <w:pStyle w:val="TableParagraph"/>
              <w:spacing w:before="48"/>
              <w:ind w:right="218"/>
              <w:rPr>
                <w:rFonts w:ascii="Arial MT"/>
                <w:sz w:val="12"/>
              </w:rPr>
            </w:pPr>
            <w:r>
              <w:rPr>
                <w:rFonts w:ascii="Arial MT"/>
                <w:spacing w:val="-2"/>
                <w:sz w:val="12"/>
              </w:rPr>
              <w:t>(6.256)</w:t>
            </w:r>
          </w:p>
        </w:tc>
        <w:tc>
          <w:tcPr>
            <w:tcW w:w="1009" w:type="dxa"/>
            <w:tcBorders>
              <w:top w:val="single" w:sz="8" w:space="0" w:color="9AC1E6"/>
              <w:bottom w:val="single" w:sz="8" w:space="0" w:color="9AC1E6"/>
            </w:tcBorders>
          </w:tcPr>
          <w:p w14:paraId="120300AE" w14:textId="77777777" w:rsidR="002C6574" w:rsidRDefault="00000000">
            <w:pPr>
              <w:pStyle w:val="TableParagraph"/>
              <w:spacing w:before="48"/>
              <w:ind w:right="217"/>
              <w:rPr>
                <w:rFonts w:ascii="Arial MT"/>
                <w:sz w:val="12"/>
              </w:rPr>
            </w:pPr>
            <w:r>
              <w:rPr>
                <w:rFonts w:ascii="Arial MT"/>
                <w:spacing w:val="-2"/>
                <w:sz w:val="12"/>
              </w:rPr>
              <w:t>(5.372)</w:t>
            </w:r>
          </w:p>
        </w:tc>
        <w:tc>
          <w:tcPr>
            <w:tcW w:w="885" w:type="dxa"/>
            <w:tcBorders>
              <w:top w:val="single" w:sz="8" w:space="0" w:color="9AC1E6"/>
              <w:bottom w:val="single" w:sz="8" w:space="0" w:color="9AC1E6"/>
            </w:tcBorders>
          </w:tcPr>
          <w:p w14:paraId="183DD3BA" w14:textId="77777777" w:rsidR="002C6574" w:rsidRDefault="00000000">
            <w:pPr>
              <w:pStyle w:val="TableParagraph"/>
              <w:spacing w:before="48"/>
              <w:ind w:right="96"/>
              <w:rPr>
                <w:rFonts w:ascii="Arial MT"/>
                <w:sz w:val="12"/>
              </w:rPr>
            </w:pPr>
            <w:r>
              <w:rPr>
                <w:rFonts w:ascii="Arial MT"/>
                <w:spacing w:val="-2"/>
                <w:sz w:val="12"/>
              </w:rPr>
              <w:t>(5.296)</w:t>
            </w:r>
          </w:p>
        </w:tc>
        <w:tc>
          <w:tcPr>
            <w:tcW w:w="752" w:type="dxa"/>
            <w:tcBorders>
              <w:top w:val="single" w:sz="8" w:space="0" w:color="8EAADB"/>
              <w:bottom w:val="single" w:sz="8" w:space="0" w:color="8EAADB"/>
            </w:tcBorders>
          </w:tcPr>
          <w:p w14:paraId="16F0491C" w14:textId="77777777" w:rsidR="002C6574" w:rsidRDefault="00000000">
            <w:pPr>
              <w:pStyle w:val="TableParagraph"/>
              <w:spacing w:before="48"/>
              <w:ind w:left="215"/>
              <w:jc w:val="center"/>
              <w:rPr>
                <w:rFonts w:ascii="Arial MT"/>
                <w:sz w:val="12"/>
              </w:rPr>
            </w:pPr>
            <w:r>
              <w:rPr>
                <w:rFonts w:ascii="Arial MT"/>
                <w:spacing w:val="-2"/>
                <w:sz w:val="12"/>
              </w:rPr>
              <w:t>16,5%</w:t>
            </w:r>
          </w:p>
        </w:tc>
        <w:tc>
          <w:tcPr>
            <w:tcW w:w="720" w:type="dxa"/>
            <w:tcBorders>
              <w:top w:val="single" w:sz="8" w:space="0" w:color="8EAADB"/>
              <w:bottom w:val="single" w:sz="8" w:space="0" w:color="8EAADB"/>
            </w:tcBorders>
          </w:tcPr>
          <w:p w14:paraId="1B31760A" w14:textId="77777777" w:rsidR="002C6574" w:rsidRDefault="00000000">
            <w:pPr>
              <w:pStyle w:val="TableParagraph"/>
              <w:spacing w:before="48"/>
              <w:ind w:right="66"/>
              <w:rPr>
                <w:rFonts w:ascii="Arial MT"/>
                <w:sz w:val="12"/>
              </w:rPr>
            </w:pPr>
            <w:r>
              <w:rPr>
                <w:rFonts w:ascii="Arial MT"/>
                <w:spacing w:val="-2"/>
                <w:sz w:val="12"/>
              </w:rPr>
              <w:t>18,1%</w:t>
            </w:r>
          </w:p>
        </w:tc>
      </w:tr>
      <w:tr w:rsidR="002C6574" w14:paraId="5EFC37F6" w14:textId="77777777">
        <w:trPr>
          <w:trHeight w:val="231"/>
        </w:trPr>
        <w:tc>
          <w:tcPr>
            <w:tcW w:w="4017" w:type="dxa"/>
            <w:tcBorders>
              <w:top w:val="single" w:sz="8" w:space="0" w:color="9AC1E6"/>
              <w:bottom w:val="single" w:sz="8" w:space="0" w:color="9AC1E6"/>
            </w:tcBorders>
          </w:tcPr>
          <w:p w14:paraId="7506B696" w14:textId="77777777" w:rsidR="002C6574" w:rsidRDefault="00000000">
            <w:pPr>
              <w:pStyle w:val="TableParagraph"/>
              <w:spacing w:before="48"/>
              <w:ind w:left="76"/>
              <w:jc w:val="left"/>
              <w:rPr>
                <w:rFonts w:ascii="Arial MT" w:hAnsi="Arial MT"/>
                <w:sz w:val="12"/>
              </w:rPr>
            </w:pPr>
            <w:r>
              <w:rPr>
                <w:rFonts w:ascii="Arial MT" w:hAnsi="Arial MT"/>
                <w:sz w:val="12"/>
              </w:rPr>
              <w:t>Compartilhamento</w:t>
            </w:r>
            <w:r>
              <w:rPr>
                <w:rFonts w:ascii="Arial MT" w:hAnsi="Arial MT"/>
                <w:spacing w:val="-3"/>
                <w:sz w:val="12"/>
              </w:rPr>
              <w:t xml:space="preserve"> </w:t>
            </w:r>
            <w:r>
              <w:rPr>
                <w:rFonts w:ascii="Arial MT" w:hAnsi="Arial MT"/>
                <w:sz w:val="12"/>
              </w:rPr>
              <w:t>de</w:t>
            </w:r>
            <w:r>
              <w:rPr>
                <w:rFonts w:ascii="Arial MT" w:hAnsi="Arial MT"/>
                <w:spacing w:val="1"/>
                <w:sz w:val="12"/>
              </w:rPr>
              <w:t xml:space="preserve"> </w:t>
            </w:r>
            <w:r>
              <w:rPr>
                <w:rFonts w:ascii="Arial MT" w:hAnsi="Arial MT"/>
                <w:spacing w:val="-2"/>
                <w:sz w:val="12"/>
              </w:rPr>
              <w:t>Instalações</w:t>
            </w:r>
          </w:p>
        </w:tc>
        <w:tc>
          <w:tcPr>
            <w:tcW w:w="1696" w:type="dxa"/>
            <w:tcBorders>
              <w:top w:val="single" w:sz="8" w:space="0" w:color="9AC1E6"/>
              <w:bottom w:val="single" w:sz="8" w:space="0" w:color="9AC1E6"/>
            </w:tcBorders>
          </w:tcPr>
          <w:p w14:paraId="1D979FAA" w14:textId="77777777" w:rsidR="002C6574" w:rsidRDefault="00000000">
            <w:pPr>
              <w:pStyle w:val="TableParagraph"/>
              <w:spacing w:before="48"/>
              <w:ind w:right="217"/>
              <w:rPr>
                <w:rFonts w:ascii="Arial MT"/>
                <w:sz w:val="12"/>
              </w:rPr>
            </w:pPr>
            <w:r>
              <w:rPr>
                <w:rFonts w:ascii="Arial MT"/>
                <w:spacing w:val="-2"/>
                <w:sz w:val="12"/>
              </w:rPr>
              <w:t>(3.877)</w:t>
            </w:r>
          </w:p>
        </w:tc>
        <w:tc>
          <w:tcPr>
            <w:tcW w:w="1009" w:type="dxa"/>
            <w:tcBorders>
              <w:top w:val="single" w:sz="8" w:space="0" w:color="9AC1E6"/>
              <w:bottom w:val="single" w:sz="8" w:space="0" w:color="9AC1E6"/>
            </w:tcBorders>
          </w:tcPr>
          <w:p w14:paraId="5CD50A4F" w14:textId="77777777" w:rsidR="002C6574" w:rsidRDefault="00000000">
            <w:pPr>
              <w:pStyle w:val="TableParagraph"/>
              <w:spacing w:before="48"/>
              <w:ind w:right="217"/>
              <w:rPr>
                <w:rFonts w:ascii="Arial MT"/>
                <w:sz w:val="12"/>
              </w:rPr>
            </w:pPr>
            <w:r>
              <w:rPr>
                <w:rFonts w:ascii="Arial MT"/>
                <w:spacing w:val="-2"/>
                <w:sz w:val="12"/>
              </w:rPr>
              <w:t>(3.803)</w:t>
            </w:r>
          </w:p>
        </w:tc>
        <w:tc>
          <w:tcPr>
            <w:tcW w:w="885" w:type="dxa"/>
            <w:tcBorders>
              <w:top w:val="single" w:sz="8" w:space="0" w:color="9AC1E6"/>
              <w:bottom w:val="single" w:sz="8" w:space="0" w:color="9AC1E6"/>
            </w:tcBorders>
          </w:tcPr>
          <w:p w14:paraId="73F95276" w14:textId="77777777" w:rsidR="002C6574" w:rsidRDefault="00000000">
            <w:pPr>
              <w:pStyle w:val="TableParagraph"/>
              <w:spacing w:before="48"/>
              <w:ind w:right="96"/>
              <w:rPr>
                <w:rFonts w:ascii="Arial MT"/>
                <w:sz w:val="12"/>
              </w:rPr>
            </w:pPr>
            <w:r>
              <w:rPr>
                <w:rFonts w:ascii="Arial MT"/>
                <w:spacing w:val="-2"/>
                <w:sz w:val="12"/>
              </w:rPr>
              <w:t>(5.379)</w:t>
            </w:r>
          </w:p>
        </w:tc>
        <w:tc>
          <w:tcPr>
            <w:tcW w:w="752" w:type="dxa"/>
            <w:tcBorders>
              <w:top w:val="single" w:sz="8" w:space="0" w:color="8EAADB"/>
              <w:bottom w:val="single" w:sz="8" w:space="0" w:color="8EAADB"/>
            </w:tcBorders>
          </w:tcPr>
          <w:p w14:paraId="3EDD69EF" w14:textId="77777777" w:rsidR="002C6574" w:rsidRDefault="00000000">
            <w:pPr>
              <w:pStyle w:val="TableParagraph"/>
              <w:spacing w:before="48"/>
              <w:ind w:left="336" w:right="54"/>
              <w:jc w:val="center"/>
              <w:rPr>
                <w:rFonts w:ascii="Arial MT"/>
                <w:sz w:val="12"/>
              </w:rPr>
            </w:pPr>
            <w:r>
              <w:rPr>
                <w:rFonts w:ascii="Arial MT"/>
                <w:spacing w:val="-4"/>
                <w:sz w:val="12"/>
              </w:rPr>
              <w:t>1,9%</w:t>
            </w:r>
          </w:p>
        </w:tc>
        <w:tc>
          <w:tcPr>
            <w:tcW w:w="720" w:type="dxa"/>
            <w:tcBorders>
              <w:top w:val="single" w:sz="8" w:space="0" w:color="8EAADB"/>
              <w:bottom w:val="single" w:sz="8" w:space="0" w:color="8EAADB"/>
            </w:tcBorders>
          </w:tcPr>
          <w:p w14:paraId="4F35D369" w14:textId="77777777" w:rsidR="002C6574" w:rsidRDefault="00000000">
            <w:pPr>
              <w:pStyle w:val="TableParagraph"/>
              <w:spacing w:before="48"/>
              <w:ind w:right="64"/>
              <w:rPr>
                <w:rFonts w:ascii="Arial MT"/>
                <w:sz w:val="12"/>
              </w:rPr>
            </w:pPr>
            <w:r>
              <w:rPr>
                <w:rFonts w:ascii="Arial MT"/>
                <w:sz w:val="12"/>
              </w:rPr>
              <w:t>-</w:t>
            </w:r>
            <w:r>
              <w:rPr>
                <w:rFonts w:ascii="Arial MT"/>
                <w:spacing w:val="-2"/>
                <w:sz w:val="12"/>
              </w:rPr>
              <w:t>27,9%</w:t>
            </w:r>
          </w:p>
        </w:tc>
      </w:tr>
      <w:tr w:rsidR="002C6574" w14:paraId="3058B03B" w14:textId="77777777">
        <w:trPr>
          <w:trHeight w:val="231"/>
        </w:trPr>
        <w:tc>
          <w:tcPr>
            <w:tcW w:w="4017" w:type="dxa"/>
            <w:tcBorders>
              <w:top w:val="single" w:sz="8" w:space="0" w:color="9AC1E6"/>
              <w:bottom w:val="single" w:sz="8" w:space="0" w:color="9AC1E6"/>
            </w:tcBorders>
          </w:tcPr>
          <w:p w14:paraId="0CFBC9E3" w14:textId="77777777" w:rsidR="002C6574" w:rsidRDefault="00000000">
            <w:pPr>
              <w:pStyle w:val="TableParagraph"/>
              <w:spacing w:before="48"/>
              <w:ind w:left="76"/>
              <w:jc w:val="left"/>
              <w:rPr>
                <w:rFonts w:ascii="Arial MT" w:hAnsi="Arial MT"/>
                <w:sz w:val="12"/>
              </w:rPr>
            </w:pPr>
            <w:r>
              <w:rPr>
                <w:rFonts w:ascii="Arial MT" w:hAnsi="Arial MT"/>
                <w:sz w:val="12"/>
              </w:rPr>
              <w:t>Perda Estimada com</w:t>
            </w:r>
            <w:r>
              <w:rPr>
                <w:rFonts w:ascii="Arial MT" w:hAnsi="Arial MT"/>
                <w:spacing w:val="-1"/>
                <w:sz w:val="12"/>
              </w:rPr>
              <w:t xml:space="preserve"> </w:t>
            </w:r>
            <w:r>
              <w:rPr>
                <w:rFonts w:ascii="Arial MT" w:hAnsi="Arial MT"/>
                <w:sz w:val="12"/>
              </w:rPr>
              <w:t>Crédito</w:t>
            </w:r>
            <w:r>
              <w:rPr>
                <w:rFonts w:ascii="Arial MT" w:hAnsi="Arial MT"/>
                <w:spacing w:val="-1"/>
                <w:sz w:val="12"/>
              </w:rPr>
              <w:t xml:space="preserve"> </w:t>
            </w:r>
            <w:r>
              <w:rPr>
                <w:rFonts w:ascii="Arial MT" w:hAnsi="Arial MT"/>
                <w:sz w:val="12"/>
              </w:rPr>
              <w:t>de</w:t>
            </w:r>
            <w:r>
              <w:rPr>
                <w:rFonts w:ascii="Arial MT" w:hAnsi="Arial MT"/>
                <w:spacing w:val="-4"/>
                <w:sz w:val="12"/>
              </w:rPr>
              <w:t xml:space="preserve"> </w:t>
            </w:r>
            <w:r>
              <w:rPr>
                <w:rFonts w:ascii="Arial MT" w:hAnsi="Arial MT"/>
                <w:sz w:val="12"/>
              </w:rPr>
              <w:t>Liquidação</w:t>
            </w:r>
            <w:r>
              <w:rPr>
                <w:rFonts w:ascii="Arial MT" w:hAnsi="Arial MT"/>
                <w:spacing w:val="-2"/>
                <w:sz w:val="12"/>
              </w:rPr>
              <w:t xml:space="preserve"> Duvidosa</w:t>
            </w:r>
          </w:p>
        </w:tc>
        <w:tc>
          <w:tcPr>
            <w:tcW w:w="1696" w:type="dxa"/>
            <w:tcBorders>
              <w:top w:val="single" w:sz="8" w:space="0" w:color="9AC1E6"/>
              <w:bottom w:val="single" w:sz="8" w:space="0" w:color="9AC1E6"/>
            </w:tcBorders>
          </w:tcPr>
          <w:p w14:paraId="327CC40F" w14:textId="77777777" w:rsidR="002C6574" w:rsidRDefault="00000000">
            <w:pPr>
              <w:pStyle w:val="TableParagraph"/>
              <w:spacing w:before="48"/>
              <w:ind w:right="217"/>
              <w:rPr>
                <w:rFonts w:ascii="Arial MT"/>
                <w:sz w:val="12"/>
              </w:rPr>
            </w:pPr>
            <w:r>
              <w:rPr>
                <w:rFonts w:ascii="Arial MT"/>
                <w:spacing w:val="-2"/>
                <w:sz w:val="12"/>
              </w:rPr>
              <w:t>(2.807)</w:t>
            </w:r>
          </w:p>
        </w:tc>
        <w:tc>
          <w:tcPr>
            <w:tcW w:w="1009" w:type="dxa"/>
            <w:tcBorders>
              <w:top w:val="single" w:sz="8" w:space="0" w:color="9AC1E6"/>
              <w:bottom w:val="single" w:sz="8" w:space="0" w:color="9AC1E6"/>
            </w:tcBorders>
          </w:tcPr>
          <w:p w14:paraId="777A4EEF" w14:textId="77777777" w:rsidR="002C6574" w:rsidRDefault="00000000">
            <w:pPr>
              <w:pStyle w:val="TableParagraph"/>
              <w:spacing w:before="48"/>
              <w:ind w:right="216"/>
              <w:rPr>
                <w:rFonts w:ascii="Arial MT"/>
                <w:sz w:val="12"/>
              </w:rPr>
            </w:pPr>
            <w:r>
              <w:rPr>
                <w:rFonts w:ascii="Arial MT"/>
                <w:spacing w:val="-2"/>
                <w:sz w:val="12"/>
              </w:rPr>
              <w:t>(2.752)</w:t>
            </w:r>
          </w:p>
        </w:tc>
        <w:tc>
          <w:tcPr>
            <w:tcW w:w="885" w:type="dxa"/>
            <w:tcBorders>
              <w:top w:val="single" w:sz="8" w:space="0" w:color="9AC1E6"/>
              <w:bottom w:val="single" w:sz="8" w:space="0" w:color="9AC1E6"/>
            </w:tcBorders>
          </w:tcPr>
          <w:p w14:paraId="2A331EB6" w14:textId="77777777" w:rsidR="002C6574" w:rsidRDefault="00000000">
            <w:pPr>
              <w:pStyle w:val="TableParagraph"/>
              <w:spacing w:before="48"/>
              <w:ind w:right="95"/>
              <w:rPr>
                <w:rFonts w:ascii="Arial MT"/>
                <w:sz w:val="12"/>
              </w:rPr>
            </w:pPr>
            <w:r>
              <w:rPr>
                <w:rFonts w:ascii="Arial MT"/>
                <w:spacing w:val="-2"/>
                <w:sz w:val="12"/>
              </w:rPr>
              <w:t>(1.314)</w:t>
            </w:r>
          </w:p>
        </w:tc>
        <w:tc>
          <w:tcPr>
            <w:tcW w:w="752" w:type="dxa"/>
            <w:tcBorders>
              <w:top w:val="single" w:sz="8" w:space="0" w:color="8EAADB"/>
              <w:bottom w:val="single" w:sz="8" w:space="0" w:color="8EAADB"/>
            </w:tcBorders>
          </w:tcPr>
          <w:p w14:paraId="062DF793" w14:textId="77777777" w:rsidR="002C6574" w:rsidRDefault="00000000">
            <w:pPr>
              <w:pStyle w:val="TableParagraph"/>
              <w:spacing w:before="48"/>
              <w:ind w:left="337" w:right="54"/>
              <w:jc w:val="center"/>
              <w:rPr>
                <w:rFonts w:ascii="Arial MT"/>
                <w:sz w:val="12"/>
              </w:rPr>
            </w:pPr>
            <w:r>
              <w:rPr>
                <w:rFonts w:ascii="Arial MT"/>
                <w:spacing w:val="-4"/>
                <w:sz w:val="12"/>
              </w:rPr>
              <w:t>2,0%</w:t>
            </w:r>
          </w:p>
        </w:tc>
        <w:tc>
          <w:tcPr>
            <w:tcW w:w="720" w:type="dxa"/>
            <w:tcBorders>
              <w:top w:val="single" w:sz="8" w:space="0" w:color="8EAADB"/>
              <w:bottom w:val="single" w:sz="8" w:space="0" w:color="8EAADB"/>
            </w:tcBorders>
          </w:tcPr>
          <w:p w14:paraId="2C7F7282" w14:textId="77777777" w:rsidR="002C6574" w:rsidRDefault="00000000">
            <w:pPr>
              <w:pStyle w:val="TableParagraph"/>
              <w:spacing w:before="48"/>
              <w:ind w:right="66"/>
              <w:rPr>
                <w:rFonts w:ascii="Arial MT"/>
                <w:sz w:val="12"/>
              </w:rPr>
            </w:pPr>
            <w:r>
              <w:rPr>
                <w:rFonts w:ascii="Arial MT"/>
                <w:spacing w:val="-2"/>
                <w:sz w:val="12"/>
              </w:rPr>
              <w:t>113,6%</w:t>
            </w:r>
          </w:p>
        </w:tc>
      </w:tr>
      <w:tr w:rsidR="002C6574" w14:paraId="678E5A19" w14:textId="77777777">
        <w:trPr>
          <w:trHeight w:val="232"/>
        </w:trPr>
        <w:tc>
          <w:tcPr>
            <w:tcW w:w="4017" w:type="dxa"/>
            <w:tcBorders>
              <w:top w:val="single" w:sz="8" w:space="0" w:color="9AC1E6"/>
              <w:bottom w:val="single" w:sz="8" w:space="0" w:color="9AC1E6"/>
            </w:tcBorders>
          </w:tcPr>
          <w:p w14:paraId="556D9A74" w14:textId="77777777" w:rsidR="002C6574" w:rsidRDefault="00000000">
            <w:pPr>
              <w:pStyle w:val="TableParagraph"/>
              <w:spacing w:before="48"/>
              <w:ind w:left="76"/>
              <w:jc w:val="left"/>
              <w:rPr>
                <w:rFonts w:ascii="Arial MT"/>
                <w:sz w:val="12"/>
              </w:rPr>
            </w:pPr>
            <w:r>
              <w:rPr>
                <w:rFonts w:ascii="Arial MT"/>
                <w:spacing w:val="-2"/>
                <w:sz w:val="12"/>
              </w:rPr>
              <w:t>Materiais</w:t>
            </w:r>
          </w:p>
        </w:tc>
        <w:tc>
          <w:tcPr>
            <w:tcW w:w="1696" w:type="dxa"/>
            <w:tcBorders>
              <w:top w:val="single" w:sz="8" w:space="0" w:color="9AC1E6"/>
              <w:bottom w:val="single" w:sz="8" w:space="0" w:color="9AC1E6"/>
            </w:tcBorders>
          </w:tcPr>
          <w:p w14:paraId="68CB37DE" w14:textId="77777777" w:rsidR="002C6574" w:rsidRDefault="00000000">
            <w:pPr>
              <w:pStyle w:val="TableParagraph"/>
              <w:spacing w:before="48"/>
              <w:ind w:right="218"/>
              <w:rPr>
                <w:rFonts w:ascii="Arial MT"/>
                <w:sz w:val="12"/>
              </w:rPr>
            </w:pPr>
            <w:r>
              <w:rPr>
                <w:rFonts w:ascii="Arial MT"/>
                <w:spacing w:val="-4"/>
                <w:sz w:val="12"/>
              </w:rPr>
              <w:t>(76)</w:t>
            </w:r>
          </w:p>
        </w:tc>
        <w:tc>
          <w:tcPr>
            <w:tcW w:w="1009" w:type="dxa"/>
            <w:tcBorders>
              <w:top w:val="single" w:sz="8" w:space="0" w:color="9AC1E6"/>
              <w:bottom w:val="single" w:sz="8" w:space="0" w:color="9AC1E6"/>
            </w:tcBorders>
          </w:tcPr>
          <w:p w14:paraId="572B36C9" w14:textId="77777777" w:rsidR="002C6574" w:rsidRDefault="00000000">
            <w:pPr>
              <w:pStyle w:val="TableParagraph"/>
              <w:spacing w:before="48"/>
              <w:ind w:right="217"/>
              <w:rPr>
                <w:rFonts w:ascii="Arial MT"/>
                <w:sz w:val="12"/>
              </w:rPr>
            </w:pPr>
            <w:r>
              <w:rPr>
                <w:rFonts w:ascii="Arial MT"/>
                <w:spacing w:val="-2"/>
                <w:sz w:val="12"/>
              </w:rPr>
              <w:t>(809)</w:t>
            </w:r>
          </w:p>
        </w:tc>
        <w:tc>
          <w:tcPr>
            <w:tcW w:w="885" w:type="dxa"/>
            <w:tcBorders>
              <w:top w:val="single" w:sz="8" w:space="0" w:color="9AC1E6"/>
              <w:bottom w:val="single" w:sz="8" w:space="0" w:color="9AC1E6"/>
            </w:tcBorders>
          </w:tcPr>
          <w:p w14:paraId="2FE18F84" w14:textId="77777777" w:rsidR="002C6574" w:rsidRDefault="00000000">
            <w:pPr>
              <w:pStyle w:val="TableParagraph"/>
              <w:spacing w:before="48"/>
              <w:ind w:right="95"/>
              <w:rPr>
                <w:rFonts w:ascii="Arial MT"/>
                <w:sz w:val="12"/>
              </w:rPr>
            </w:pPr>
            <w:r>
              <w:rPr>
                <w:rFonts w:ascii="Arial MT"/>
                <w:spacing w:val="-2"/>
                <w:sz w:val="12"/>
              </w:rPr>
              <w:t>(2.181)</w:t>
            </w:r>
          </w:p>
        </w:tc>
        <w:tc>
          <w:tcPr>
            <w:tcW w:w="752" w:type="dxa"/>
            <w:tcBorders>
              <w:top w:val="single" w:sz="8" w:space="0" w:color="8EAADB"/>
              <w:bottom w:val="single" w:sz="8" w:space="0" w:color="8EAADB"/>
            </w:tcBorders>
          </w:tcPr>
          <w:p w14:paraId="7B4B9444" w14:textId="77777777" w:rsidR="002C6574" w:rsidRDefault="00000000">
            <w:pPr>
              <w:pStyle w:val="TableParagraph"/>
              <w:spacing w:before="48"/>
              <w:ind w:left="180"/>
              <w:jc w:val="center"/>
              <w:rPr>
                <w:rFonts w:ascii="Arial MT"/>
                <w:sz w:val="12"/>
              </w:rPr>
            </w:pPr>
            <w:r>
              <w:rPr>
                <w:rFonts w:ascii="Arial MT"/>
                <w:sz w:val="12"/>
              </w:rPr>
              <w:t>-</w:t>
            </w:r>
            <w:r>
              <w:rPr>
                <w:rFonts w:ascii="Arial MT"/>
                <w:spacing w:val="-2"/>
                <w:sz w:val="12"/>
              </w:rPr>
              <w:t>90,6%</w:t>
            </w:r>
          </w:p>
        </w:tc>
        <w:tc>
          <w:tcPr>
            <w:tcW w:w="720" w:type="dxa"/>
            <w:tcBorders>
              <w:top w:val="single" w:sz="8" w:space="0" w:color="8EAADB"/>
              <w:bottom w:val="single" w:sz="8" w:space="0" w:color="8EAADB"/>
            </w:tcBorders>
          </w:tcPr>
          <w:p w14:paraId="1D83E253" w14:textId="77777777" w:rsidR="002C6574" w:rsidRDefault="00000000">
            <w:pPr>
              <w:pStyle w:val="TableParagraph"/>
              <w:spacing w:before="48"/>
              <w:ind w:right="63"/>
              <w:rPr>
                <w:rFonts w:ascii="Arial MT"/>
                <w:sz w:val="12"/>
              </w:rPr>
            </w:pPr>
            <w:r>
              <w:rPr>
                <w:rFonts w:ascii="Arial MT"/>
                <w:sz w:val="12"/>
              </w:rPr>
              <w:t>-</w:t>
            </w:r>
            <w:r>
              <w:rPr>
                <w:rFonts w:ascii="Arial MT"/>
                <w:spacing w:val="-2"/>
                <w:sz w:val="12"/>
              </w:rPr>
              <w:t>96,5%</w:t>
            </w:r>
          </w:p>
        </w:tc>
      </w:tr>
      <w:tr w:rsidR="002C6574" w14:paraId="42649978" w14:textId="77777777">
        <w:trPr>
          <w:trHeight w:val="231"/>
        </w:trPr>
        <w:tc>
          <w:tcPr>
            <w:tcW w:w="4017" w:type="dxa"/>
            <w:tcBorders>
              <w:top w:val="single" w:sz="8" w:space="0" w:color="9AC1E6"/>
              <w:bottom w:val="single" w:sz="8" w:space="0" w:color="9AC1E6"/>
            </w:tcBorders>
          </w:tcPr>
          <w:p w14:paraId="5B236A04" w14:textId="77777777" w:rsidR="002C6574" w:rsidRDefault="00000000">
            <w:pPr>
              <w:pStyle w:val="TableParagraph"/>
              <w:spacing w:before="48"/>
              <w:ind w:left="76"/>
              <w:jc w:val="left"/>
              <w:rPr>
                <w:rFonts w:ascii="Arial MT" w:hAnsi="Arial MT"/>
                <w:sz w:val="12"/>
              </w:rPr>
            </w:pPr>
            <w:r>
              <w:rPr>
                <w:rFonts w:ascii="Arial MT" w:hAnsi="Arial MT"/>
                <w:sz w:val="12"/>
              </w:rPr>
              <w:t>Programa</w:t>
            </w:r>
            <w:r>
              <w:rPr>
                <w:rFonts w:ascii="Arial MT" w:hAnsi="Arial MT"/>
                <w:spacing w:val="-3"/>
                <w:sz w:val="12"/>
              </w:rPr>
              <w:t xml:space="preserve"> </w:t>
            </w:r>
            <w:r>
              <w:rPr>
                <w:rFonts w:ascii="Arial MT" w:hAnsi="Arial MT"/>
                <w:sz w:val="12"/>
              </w:rPr>
              <w:t>de Indenização</w:t>
            </w:r>
            <w:r>
              <w:rPr>
                <w:rFonts w:ascii="Arial MT" w:hAnsi="Arial MT"/>
                <w:spacing w:val="-2"/>
                <w:sz w:val="12"/>
              </w:rPr>
              <w:t xml:space="preserve"> </w:t>
            </w:r>
            <w:r>
              <w:rPr>
                <w:rFonts w:ascii="Arial MT" w:hAnsi="Arial MT"/>
                <w:sz w:val="12"/>
              </w:rPr>
              <w:t>por</w:t>
            </w:r>
            <w:r>
              <w:rPr>
                <w:rFonts w:ascii="Arial MT" w:hAnsi="Arial MT"/>
                <w:spacing w:val="1"/>
                <w:sz w:val="12"/>
              </w:rPr>
              <w:t xml:space="preserve"> </w:t>
            </w:r>
            <w:r>
              <w:rPr>
                <w:rFonts w:ascii="Arial MT" w:hAnsi="Arial MT"/>
                <w:sz w:val="12"/>
              </w:rPr>
              <w:t>Serviços</w:t>
            </w:r>
            <w:r>
              <w:rPr>
                <w:rFonts w:ascii="Arial MT" w:hAnsi="Arial MT"/>
                <w:spacing w:val="-1"/>
                <w:sz w:val="12"/>
              </w:rPr>
              <w:t xml:space="preserve"> </w:t>
            </w:r>
            <w:r>
              <w:rPr>
                <w:rFonts w:ascii="Arial MT" w:hAnsi="Arial MT"/>
                <w:sz w:val="12"/>
              </w:rPr>
              <w:t>Prestados</w:t>
            </w:r>
            <w:r>
              <w:rPr>
                <w:rFonts w:ascii="Arial MT" w:hAnsi="Arial MT"/>
                <w:spacing w:val="1"/>
                <w:sz w:val="12"/>
              </w:rPr>
              <w:t xml:space="preserve"> </w:t>
            </w:r>
            <w:r>
              <w:rPr>
                <w:rFonts w:ascii="Arial MT" w:hAnsi="Arial MT"/>
                <w:spacing w:val="-2"/>
                <w:sz w:val="12"/>
              </w:rPr>
              <w:t>(PISP)</w:t>
            </w:r>
          </w:p>
        </w:tc>
        <w:tc>
          <w:tcPr>
            <w:tcW w:w="1696" w:type="dxa"/>
            <w:tcBorders>
              <w:top w:val="single" w:sz="8" w:space="0" w:color="9AC1E6"/>
              <w:bottom w:val="single" w:sz="8" w:space="0" w:color="9AC1E6"/>
            </w:tcBorders>
          </w:tcPr>
          <w:p w14:paraId="78A6FBBC" w14:textId="77777777" w:rsidR="002C6574" w:rsidRDefault="00000000">
            <w:pPr>
              <w:pStyle w:val="TableParagraph"/>
              <w:spacing w:before="48"/>
              <w:ind w:right="218"/>
              <w:rPr>
                <w:rFonts w:ascii="Arial MT"/>
                <w:sz w:val="12"/>
              </w:rPr>
            </w:pPr>
            <w:r>
              <w:rPr>
                <w:rFonts w:ascii="Arial MT"/>
                <w:spacing w:val="-2"/>
                <w:sz w:val="12"/>
              </w:rPr>
              <w:t>(1.733)</w:t>
            </w:r>
          </w:p>
        </w:tc>
        <w:tc>
          <w:tcPr>
            <w:tcW w:w="1009" w:type="dxa"/>
            <w:tcBorders>
              <w:top w:val="single" w:sz="8" w:space="0" w:color="9AC1E6"/>
              <w:bottom w:val="single" w:sz="8" w:space="0" w:color="9AC1E6"/>
            </w:tcBorders>
          </w:tcPr>
          <w:p w14:paraId="391444CC" w14:textId="77777777" w:rsidR="002C6574" w:rsidRDefault="00000000">
            <w:pPr>
              <w:pStyle w:val="TableParagraph"/>
              <w:spacing w:before="48"/>
              <w:ind w:right="216"/>
              <w:rPr>
                <w:rFonts w:ascii="Arial MT"/>
                <w:sz w:val="12"/>
              </w:rPr>
            </w:pPr>
            <w:r>
              <w:rPr>
                <w:rFonts w:ascii="Arial MT"/>
                <w:spacing w:val="-2"/>
                <w:sz w:val="12"/>
              </w:rPr>
              <w:t>(411)</w:t>
            </w:r>
          </w:p>
        </w:tc>
        <w:tc>
          <w:tcPr>
            <w:tcW w:w="885" w:type="dxa"/>
            <w:tcBorders>
              <w:top w:val="single" w:sz="8" w:space="0" w:color="9AC1E6"/>
              <w:bottom w:val="single" w:sz="8" w:space="0" w:color="9AC1E6"/>
            </w:tcBorders>
          </w:tcPr>
          <w:p w14:paraId="59A0165B" w14:textId="77777777" w:rsidR="002C6574" w:rsidRDefault="00000000">
            <w:pPr>
              <w:pStyle w:val="TableParagraph"/>
              <w:spacing w:before="48"/>
              <w:ind w:right="95"/>
              <w:rPr>
                <w:rFonts w:ascii="Arial MT"/>
                <w:sz w:val="12"/>
              </w:rPr>
            </w:pPr>
            <w:r>
              <w:rPr>
                <w:rFonts w:ascii="Arial MT"/>
                <w:spacing w:val="-2"/>
                <w:sz w:val="12"/>
              </w:rPr>
              <w:t>(1.231)</w:t>
            </w:r>
          </w:p>
        </w:tc>
        <w:tc>
          <w:tcPr>
            <w:tcW w:w="752" w:type="dxa"/>
            <w:tcBorders>
              <w:top w:val="single" w:sz="8" w:space="0" w:color="8EAADB"/>
              <w:bottom w:val="single" w:sz="8" w:space="0" w:color="8EAADB"/>
            </w:tcBorders>
          </w:tcPr>
          <w:p w14:paraId="6D868F80" w14:textId="77777777" w:rsidR="002C6574" w:rsidRDefault="00000000">
            <w:pPr>
              <w:pStyle w:val="TableParagraph"/>
              <w:spacing w:before="48"/>
              <w:ind w:left="215" w:right="67"/>
              <w:jc w:val="center"/>
              <w:rPr>
                <w:rFonts w:ascii="Arial MT"/>
                <w:sz w:val="12"/>
              </w:rPr>
            </w:pPr>
            <w:r>
              <w:rPr>
                <w:rFonts w:ascii="Arial MT"/>
                <w:spacing w:val="-2"/>
                <w:sz w:val="12"/>
              </w:rPr>
              <w:t>321,7%</w:t>
            </w:r>
          </w:p>
        </w:tc>
        <w:tc>
          <w:tcPr>
            <w:tcW w:w="720" w:type="dxa"/>
            <w:tcBorders>
              <w:top w:val="single" w:sz="8" w:space="0" w:color="8EAADB"/>
              <w:bottom w:val="single" w:sz="8" w:space="0" w:color="8EAADB"/>
            </w:tcBorders>
          </w:tcPr>
          <w:p w14:paraId="5E3C17A9" w14:textId="77777777" w:rsidR="002C6574" w:rsidRDefault="00000000">
            <w:pPr>
              <w:pStyle w:val="TableParagraph"/>
              <w:spacing w:before="48"/>
              <w:ind w:right="66"/>
              <w:rPr>
                <w:rFonts w:ascii="Arial MT"/>
                <w:sz w:val="12"/>
              </w:rPr>
            </w:pPr>
            <w:r>
              <w:rPr>
                <w:rFonts w:ascii="Arial MT"/>
                <w:spacing w:val="-2"/>
                <w:sz w:val="12"/>
              </w:rPr>
              <w:t>40,8%</w:t>
            </w:r>
          </w:p>
        </w:tc>
      </w:tr>
      <w:tr w:rsidR="002C6574" w14:paraId="7C4F4624" w14:textId="77777777">
        <w:trPr>
          <w:trHeight w:val="234"/>
        </w:trPr>
        <w:tc>
          <w:tcPr>
            <w:tcW w:w="4017" w:type="dxa"/>
            <w:tcBorders>
              <w:top w:val="single" w:sz="8" w:space="0" w:color="9AC1E6"/>
              <w:bottom w:val="single" w:sz="8" w:space="0" w:color="9AC1E6"/>
            </w:tcBorders>
          </w:tcPr>
          <w:p w14:paraId="286059BA" w14:textId="77777777" w:rsidR="002C6574" w:rsidRDefault="00000000">
            <w:pPr>
              <w:pStyle w:val="TableParagraph"/>
              <w:spacing w:before="48"/>
              <w:ind w:left="76"/>
              <w:jc w:val="left"/>
              <w:rPr>
                <w:rFonts w:ascii="Arial"/>
                <w:b/>
                <w:sz w:val="12"/>
              </w:rPr>
            </w:pPr>
            <w:r>
              <w:rPr>
                <w:rFonts w:ascii="Arial"/>
                <w:b/>
                <w:spacing w:val="-2"/>
                <w:sz w:val="12"/>
              </w:rPr>
              <w:t>Total</w:t>
            </w:r>
          </w:p>
        </w:tc>
        <w:tc>
          <w:tcPr>
            <w:tcW w:w="1696" w:type="dxa"/>
            <w:tcBorders>
              <w:top w:val="single" w:sz="8" w:space="0" w:color="9AC1E6"/>
              <w:bottom w:val="single" w:sz="8" w:space="0" w:color="9AC1E6"/>
            </w:tcBorders>
          </w:tcPr>
          <w:p w14:paraId="135EF2D7" w14:textId="77777777" w:rsidR="002C6574" w:rsidRDefault="00000000">
            <w:pPr>
              <w:pStyle w:val="TableParagraph"/>
              <w:spacing w:before="48"/>
              <w:ind w:right="217"/>
              <w:rPr>
                <w:rFonts w:ascii="Arial"/>
                <w:b/>
                <w:sz w:val="12"/>
              </w:rPr>
            </w:pPr>
            <w:r>
              <w:rPr>
                <w:rFonts w:ascii="Arial"/>
                <w:b/>
                <w:spacing w:val="-2"/>
                <w:sz w:val="12"/>
              </w:rPr>
              <w:t>(519.739)</w:t>
            </w:r>
          </w:p>
        </w:tc>
        <w:tc>
          <w:tcPr>
            <w:tcW w:w="1009" w:type="dxa"/>
            <w:tcBorders>
              <w:top w:val="single" w:sz="8" w:space="0" w:color="9AC1E6"/>
              <w:bottom w:val="single" w:sz="8" w:space="0" w:color="9AC1E6"/>
            </w:tcBorders>
          </w:tcPr>
          <w:p w14:paraId="3C96D369" w14:textId="77777777" w:rsidR="002C6574" w:rsidRDefault="00000000">
            <w:pPr>
              <w:pStyle w:val="TableParagraph"/>
              <w:spacing w:before="48"/>
              <w:ind w:right="217"/>
              <w:rPr>
                <w:rFonts w:ascii="Arial"/>
                <w:b/>
                <w:sz w:val="12"/>
              </w:rPr>
            </w:pPr>
            <w:r>
              <w:rPr>
                <w:rFonts w:ascii="Arial"/>
                <w:b/>
                <w:spacing w:val="-2"/>
                <w:sz w:val="12"/>
              </w:rPr>
              <w:t>(483.668)</w:t>
            </w:r>
          </w:p>
        </w:tc>
        <w:tc>
          <w:tcPr>
            <w:tcW w:w="885" w:type="dxa"/>
            <w:tcBorders>
              <w:top w:val="single" w:sz="8" w:space="0" w:color="9AC1E6"/>
              <w:bottom w:val="single" w:sz="8" w:space="0" w:color="9AC1E6"/>
            </w:tcBorders>
          </w:tcPr>
          <w:p w14:paraId="01392A8E" w14:textId="77777777" w:rsidR="002C6574" w:rsidRDefault="00000000">
            <w:pPr>
              <w:pStyle w:val="TableParagraph"/>
              <w:spacing w:before="48"/>
              <w:ind w:right="96"/>
              <w:rPr>
                <w:rFonts w:ascii="Arial"/>
                <w:b/>
                <w:sz w:val="12"/>
              </w:rPr>
            </w:pPr>
            <w:r>
              <w:rPr>
                <w:rFonts w:ascii="Arial"/>
                <w:b/>
                <w:spacing w:val="-2"/>
                <w:sz w:val="12"/>
              </w:rPr>
              <w:t>(469.666)</w:t>
            </w:r>
          </w:p>
        </w:tc>
        <w:tc>
          <w:tcPr>
            <w:tcW w:w="752" w:type="dxa"/>
            <w:tcBorders>
              <w:top w:val="single" w:sz="8" w:space="0" w:color="8EAADB"/>
              <w:bottom w:val="single" w:sz="8" w:space="0" w:color="8EAADB"/>
            </w:tcBorders>
          </w:tcPr>
          <w:p w14:paraId="09224109" w14:textId="77777777" w:rsidR="002C6574" w:rsidRDefault="00000000">
            <w:pPr>
              <w:pStyle w:val="TableParagraph"/>
              <w:spacing w:before="48"/>
              <w:ind w:left="336" w:right="54"/>
              <w:jc w:val="center"/>
              <w:rPr>
                <w:rFonts w:ascii="Arial"/>
                <w:b/>
                <w:sz w:val="12"/>
              </w:rPr>
            </w:pPr>
            <w:r>
              <w:rPr>
                <w:rFonts w:ascii="Arial"/>
                <w:b/>
                <w:spacing w:val="-4"/>
                <w:sz w:val="12"/>
              </w:rPr>
              <w:t>7,5%</w:t>
            </w:r>
          </w:p>
        </w:tc>
        <w:tc>
          <w:tcPr>
            <w:tcW w:w="720" w:type="dxa"/>
            <w:tcBorders>
              <w:top w:val="single" w:sz="8" w:space="0" w:color="8EAADB"/>
              <w:bottom w:val="single" w:sz="8" w:space="0" w:color="8EAADB"/>
            </w:tcBorders>
          </w:tcPr>
          <w:p w14:paraId="0225B9A3" w14:textId="77777777" w:rsidR="002C6574" w:rsidRDefault="00000000">
            <w:pPr>
              <w:pStyle w:val="TableParagraph"/>
              <w:spacing w:before="48"/>
              <w:ind w:right="66"/>
              <w:rPr>
                <w:rFonts w:ascii="Arial"/>
                <w:b/>
                <w:sz w:val="12"/>
              </w:rPr>
            </w:pPr>
            <w:r>
              <w:rPr>
                <w:rFonts w:ascii="Arial"/>
                <w:b/>
                <w:spacing w:val="-2"/>
                <w:sz w:val="12"/>
              </w:rPr>
              <w:t>10,7%</w:t>
            </w:r>
          </w:p>
        </w:tc>
      </w:tr>
    </w:tbl>
    <w:p w14:paraId="0842C3D0" w14:textId="77777777" w:rsidR="002C6574" w:rsidRDefault="00000000">
      <w:pPr>
        <w:spacing w:before="115"/>
        <w:ind w:left="424"/>
        <w:jc w:val="center"/>
        <w:rPr>
          <w:rFonts w:ascii="Calibri"/>
          <w:sz w:val="16"/>
        </w:rPr>
      </w:pPr>
      <w:r>
        <w:rPr>
          <w:rFonts w:ascii="Calibri"/>
          <w:color w:val="001F60"/>
          <w:sz w:val="16"/>
        </w:rPr>
        <w:t>Tabela</w:t>
      </w:r>
      <w:r>
        <w:rPr>
          <w:rFonts w:ascii="Calibri"/>
          <w:color w:val="001F60"/>
          <w:spacing w:val="-4"/>
          <w:sz w:val="16"/>
        </w:rPr>
        <w:t xml:space="preserve"> </w:t>
      </w:r>
      <w:r>
        <w:rPr>
          <w:rFonts w:ascii="Calibri"/>
          <w:color w:val="001F60"/>
          <w:sz w:val="16"/>
        </w:rPr>
        <w:t>3-5</w:t>
      </w:r>
      <w:r>
        <w:rPr>
          <w:rFonts w:ascii="Calibri"/>
          <w:color w:val="001F60"/>
          <w:spacing w:val="-1"/>
          <w:sz w:val="16"/>
        </w:rPr>
        <w:t xml:space="preserve"> </w:t>
      </w:r>
      <w:r>
        <w:rPr>
          <w:rFonts w:ascii="Calibri"/>
          <w:color w:val="001F60"/>
          <w:sz w:val="16"/>
        </w:rPr>
        <w:t>Custos</w:t>
      </w:r>
      <w:r>
        <w:rPr>
          <w:rFonts w:ascii="Calibri"/>
          <w:color w:val="001F60"/>
          <w:spacing w:val="-3"/>
          <w:sz w:val="16"/>
        </w:rPr>
        <w:t xml:space="preserve"> </w:t>
      </w:r>
      <w:r>
        <w:rPr>
          <w:rFonts w:ascii="Calibri"/>
          <w:color w:val="001F60"/>
          <w:sz w:val="16"/>
        </w:rPr>
        <w:t>e</w:t>
      </w:r>
      <w:r>
        <w:rPr>
          <w:rFonts w:ascii="Calibri"/>
          <w:color w:val="001F60"/>
          <w:spacing w:val="-4"/>
          <w:sz w:val="16"/>
        </w:rPr>
        <w:t xml:space="preserve"> </w:t>
      </w:r>
      <w:r>
        <w:rPr>
          <w:rFonts w:ascii="Calibri"/>
          <w:color w:val="001F60"/>
          <w:sz w:val="16"/>
        </w:rPr>
        <w:t>Despesas</w:t>
      </w:r>
      <w:r>
        <w:rPr>
          <w:rFonts w:ascii="Calibri"/>
          <w:color w:val="001F60"/>
          <w:spacing w:val="-3"/>
          <w:sz w:val="16"/>
        </w:rPr>
        <w:t xml:space="preserve"> </w:t>
      </w:r>
      <w:r>
        <w:rPr>
          <w:rFonts w:ascii="Calibri"/>
          <w:color w:val="001F60"/>
          <w:spacing w:val="-2"/>
          <w:sz w:val="16"/>
        </w:rPr>
        <w:t>Operacionais</w:t>
      </w:r>
    </w:p>
    <w:p w14:paraId="045EC494" w14:textId="77777777" w:rsidR="002C6574" w:rsidRDefault="00000000">
      <w:pPr>
        <w:pStyle w:val="Corpodetexto"/>
        <w:spacing w:before="119"/>
        <w:ind w:left="709" w:right="279"/>
        <w:jc w:val="both"/>
        <w:rPr>
          <w:rFonts w:ascii="Calibri" w:hAnsi="Calibri"/>
        </w:rPr>
      </w:pPr>
      <w:r>
        <w:rPr>
          <w:rFonts w:ascii="Calibri" w:hAnsi="Calibri"/>
          <w:color w:val="001F60"/>
        </w:rPr>
        <w:t>Em</w:t>
      </w:r>
      <w:r>
        <w:rPr>
          <w:rFonts w:ascii="Calibri" w:hAnsi="Calibri"/>
          <w:color w:val="001F60"/>
          <w:spacing w:val="-1"/>
        </w:rPr>
        <w:t xml:space="preserve"> </w:t>
      </w:r>
      <w:r>
        <w:rPr>
          <w:rFonts w:ascii="Calibri" w:hAnsi="Calibri"/>
          <w:color w:val="001F60"/>
        </w:rPr>
        <w:t>2025,</w:t>
      </w:r>
      <w:r>
        <w:rPr>
          <w:rFonts w:ascii="Calibri" w:hAnsi="Calibri"/>
          <w:color w:val="001F60"/>
          <w:spacing w:val="-2"/>
        </w:rPr>
        <w:t xml:space="preserve"> </w:t>
      </w:r>
      <w:r>
        <w:rPr>
          <w:rFonts w:ascii="Calibri" w:hAnsi="Calibri"/>
          <w:color w:val="001F60"/>
        </w:rPr>
        <w:t>os</w:t>
      </w:r>
      <w:r>
        <w:rPr>
          <w:rFonts w:ascii="Calibri" w:hAnsi="Calibri"/>
          <w:color w:val="001F60"/>
          <w:spacing w:val="-2"/>
        </w:rPr>
        <w:t xml:space="preserve"> </w:t>
      </w:r>
      <w:r>
        <w:rPr>
          <w:rFonts w:ascii="Calibri" w:hAnsi="Calibri"/>
          <w:color w:val="001F60"/>
        </w:rPr>
        <w:t>custos</w:t>
      </w:r>
      <w:r>
        <w:rPr>
          <w:rFonts w:ascii="Calibri" w:hAnsi="Calibri"/>
          <w:color w:val="001F60"/>
          <w:spacing w:val="-2"/>
        </w:rPr>
        <w:t xml:space="preserve"> </w:t>
      </w:r>
      <w:r>
        <w:rPr>
          <w:rFonts w:ascii="Calibri" w:hAnsi="Calibri"/>
          <w:color w:val="001F60"/>
        </w:rPr>
        <w:t>e despesas</w:t>
      </w:r>
      <w:r>
        <w:rPr>
          <w:rFonts w:ascii="Calibri" w:hAnsi="Calibri"/>
          <w:color w:val="001F60"/>
          <w:spacing w:val="-2"/>
        </w:rPr>
        <w:t xml:space="preserve"> </w:t>
      </w:r>
      <w:r>
        <w:rPr>
          <w:rFonts w:ascii="Calibri" w:hAnsi="Calibri"/>
          <w:color w:val="001F60"/>
        </w:rPr>
        <w:t>operacionais</w:t>
      </w:r>
      <w:r>
        <w:rPr>
          <w:rFonts w:ascii="Calibri" w:hAnsi="Calibri"/>
          <w:color w:val="001F60"/>
          <w:spacing w:val="-2"/>
        </w:rPr>
        <w:t xml:space="preserve"> </w:t>
      </w:r>
      <w:r>
        <w:rPr>
          <w:rFonts w:ascii="Calibri" w:hAnsi="Calibri"/>
          <w:color w:val="001F60"/>
        </w:rPr>
        <w:t>registraram</w:t>
      </w:r>
      <w:r>
        <w:rPr>
          <w:rFonts w:ascii="Calibri" w:hAnsi="Calibri"/>
          <w:color w:val="001F60"/>
          <w:spacing w:val="-1"/>
        </w:rPr>
        <w:t xml:space="preserve"> </w:t>
      </w:r>
      <w:r>
        <w:rPr>
          <w:rFonts w:ascii="Calibri" w:hAnsi="Calibri"/>
          <w:color w:val="001F60"/>
        </w:rPr>
        <w:t>crescimento</w:t>
      </w:r>
      <w:r>
        <w:rPr>
          <w:rFonts w:ascii="Calibri" w:hAnsi="Calibri"/>
          <w:color w:val="001F60"/>
          <w:spacing w:val="-1"/>
        </w:rPr>
        <w:t xml:space="preserve"> </w:t>
      </w:r>
      <w:r>
        <w:rPr>
          <w:rFonts w:ascii="Calibri" w:hAnsi="Calibri"/>
          <w:color w:val="001F60"/>
        </w:rPr>
        <w:t>de</w:t>
      </w:r>
      <w:r>
        <w:rPr>
          <w:rFonts w:ascii="Calibri" w:hAnsi="Calibri"/>
          <w:color w:val="001F60"/>
          <w:spacing w:val="-1"/>
        </w:rPr>
        <w:t xml:space="preserve"> </w:t>
      </w:r>
      <w:r>
        <w:rPr>
          <w:rFonts w:ascii="Calibri" w:hAnsi="Calibri"/>
          <w:color w:val="001F60"/>
        </w:rPr>
        <w:t>7,5% em relação a</w:t>
      </w:r>
      <w:r>
        <w:rPr>
          <w:rFonts w:ascii="Calibri" w:hAnsi="Calibri"/>
          <w:color w:val="001F60"/>
          <w:spacing w:val="-1"/>
        </w:rPr>
        <w:t xml:space="preserve"> </w:t>
      </w:r>
      <w:r>
        <w:rPr>
          <w:rFonts w:ascii="Calibri" w:hAnsi="Calibri"/>
          <w:color w:val="001F60"/>
        </w:rPr>
        <w:t>2024</w:t>
      </w:r>
      <w:r>
        <w:rPr>
          <w:rFonts w:ascii="Calibri" w:hAnsi="Calibri"/>
          <w:color w:val="001F60"/>
          <w:spacing w:val="-2"/>
        </w:rPr>
        <w:t xml:space="preserve"> </w:t>
      </w:r>
      <w:r>
        <w:rPr>
          <w:rFonts w:ascii="Calibri" w:hAnsi="Calibri"/>
          <w:color w:val="001F60"/>
        </w:rPr>
        <w:t>e de 10,7%</w:t>
      </w:r>
      <w:r>
        <w:rPr>
          <w:rFonts w:ascii="Calibri" w:hAnsi="Calibri"/>
          <w:color w:val="001F60"/>
          <w:spacing w:val="-8"/>
        </w:rPr>
        <w:t xml:space="preserve"> </w:t>
      </w:r>
      <w:r>
        <w:rPr>
          <w:rFonts w:ascii="Calibri" w:hAnsi="Calibri"/>
          <w:color w:val="001F60"/>
        </w:rPr>
        <w:t>quando</w:t>
      </w:r>
      <w:r>
        <w:rPr>
          <w:rFonts w:ascii="Calibri" w:hAnsi="Calibri"/>
          <w:color w:val="001F60"/>
          <w:spacing w:val="-7"/>
        </w:rPr>
        <w:t xml:space="preserve"> </w:t>
      </w:r>
      <w:r>
        <w:rPr>
          <w:rFonts w:ascii="Calibri" w:hAnsi="Calibri"/>
          <w:color w:val="001F60"/>
        </w:rPr>
        <w:t>comparados</w:t>
      </w:r>
      <w:r>
        <w:rPr>
          <w:rFonts w:ascii="Calibri" w:hAnsi="Calibri"/>
          <w:color w:val="001F60"/>
          <w:spacing w:val="-8"/>
        </w:rPr>
        <w:t xml:space="preserve"> </w:t>
      </w:r>
      <w:r>
        <w:rPr>
          <w:rFonts w:ascii="Calibri" w:hAnsi="Calibri"/>
          <w:color w:val="001F60"/>
        </w:rPr>
        <w:t>a</w:t>
      </w:r>
      <w:r>
        <w:rPr>
          <w:rFonts w:ascii="Calibri" w:hAnsi="Calibri"/>
          <w:color w:val="001F60"/>
          <w:spacing w:val="-8"/>
        </w:rPr>
        <w:t xml:space="preserve"> </w:t>
      </w:r>
      <w:r>
        <w:rPr>
          <w:rFonts w:ascii="Calibri" w:hAnsi="Calibri"/>
          <w:color w:val="001F60"/>
        </w:rPr>
        <w:t>2023,</w:t>
      </w:r>
      <w:r>
        <w:rPr>
          <w:rFonts w:ascii="Calibri" w:hAnsi="Calibri"/>
          <w:color w:val="001F60"/>
          <w:spacing w:val="-8"/>
        </w:rPr>
        <w:t xml:space="preserve"> </w:t>
      </w:r>
      <w:r>
        <w:rPr>
          <w:rFonts w:ascii="Calibri" w:hAnsi="Calibri"/>
          <w:color w:val="001F60"/>
        </w:rPr>
        <w:t>alcançando</w:t>
      </w:r>
      <w:r>
        <w:rPr>
          <w:rFonts w:ascii="Calibri" w:hAnsi="Calibri"/>
          <w:color w:val="001F60"/>
          <w:spacing w:val="-7"/>
        </w:rPr>
        <w:t xml:space="preserve"> </w:t>
      </w:r>
      <w:r>
        <w:rPr>
          <w:rFonts w:ascii="Calibri" w:hAnsi="Calibri"/>
          <w:color w:val="001F60"/>
        </w:rPr>
        <w:t>R$</w:t>
      </w:r>
      <w:r>
        <w:rPr>
          <w:rFonts w:ascii="Calibri" w:hAnsi="Calibri"/>
          <w:color w:val="001F60"/>
          <w:spacing w:val="-7"/>
        </w:rPr>
        <w:t xml:space="preserve"> </w:t>
      </w:r>
      <w:r>
        <w:rPr>
          <w:rFonts w:ascii="Calibri" w:hAnsi="Calibri"/>
          <w:color w:val="001F60"/>
        </w:rPr>
        <w:t>519,7</w:t>
      </w:r>
      <w:r>
        <w:rPr>
          <w:rFonts w:ascii="Calibri" w:hAnsi="Calibri"/>
          <w:color w:val="001F60"/>
          <w:spacing w:val="-7"/>
        </w:rPr>
        <w:t xml:space="preserve"> </w:t>
      </w:r>
      <w:r>
        <w:rPr>
          <w:rFonts w:ascii="Calibri" w:hAnsi="Calibri"/>
          <w:color w:val="001F60"/>
        </w:rPr>
        <w:t>milhões</w:t>
      </w:r>
      <w:r>
        <w:rPr>
          <w:rFonts w:ascii="Calibri" w:hAnsi="Calibri"/>
          <w:color w:val="001F60"/>
          <w:spacing w:val="-8"/>
        </w:rPr>
        <w:t xml:space="preserve"> </w:t>
      </w:r>
      <w:r>
        <w:rPr>
          <w:rFonts w:ascii="Calibri" w:hAnsi="Calibri"/>
          <w:color w:val="001F60"/>
        </w:rPr>
        <w:t>(ante</w:t>
      </w:r>
      <w:r>
        <w:rPr>
          <w:rFonts w:ascii="Calibri" w:hAnsi="Calibri"/>
          <w:color w:val="001F60"/>
          <w:spacing w:val="-10"/>
        </w:rPr>
        <w:t xml:space="preserve"> </w:t>
      </w:r>
      <w:r>
        <w:rPr>
          <w:rFonts w:ascii="Calibri" w:hAnsi="Calibri"/>
          <w:color w:val="001F60"/>
        </w:rPr>
        <w:t>R$</w:t>
      </w:r>
      <w:r>
        <w:rPr>
          <w:rFonts w:ascii="Calibri" w:hAnsi="Calibri"/>
          <w:color w:val="001F60"/>
          <w:spacing w:val="-12"/>
        </w:rPr>
        <w:t xml:space="preserve"> </w:t>
      </w:r>
      <w:r>
        <w:rPr>
          <w:rFonts w:ascii="Calibri" w:hAnsi="Calibri"/>
          <w:color w:val="001F60"/>
        </w:rPr>
        <w:t>483,7</w:t>
      </w:r>
      <w:r>
        <w:rPr>
          <w:rFonts w:ascii="Calibri" w:hAnsi="Calibri"/>
          <w:color w:val="001F60"/>
          <w:spacing w:val="-12"/>
        </w:rPr>
        <w:t xml:space="preserve"> </w:t>
      </w:r>
      <w:r>
        <w:rPr>
          <w:rFonts w:ascii="Calibri" w:hAnsi="Calibri"/>
          <w:color w:val="001F60"/>
        </w:rPr>
        <w:t>milhões</w:t>
      </w:r>
      <w:r>
        <w:rPr>
          <w:rFonts w:ascii="Calibri" w:hAnsi="Calibri"/>
          <w:color w:val="001F60"/>
          <w:spacing w:val="-8"/>
        </w:rPr>
        <w:t xml:space="preserve"> </w:t>
      </w:r>
      <w:r>
        <w:rPr>
          <w:rFonts w:ascii="Calibri" w:hAnsi="Calibri"/>
          <w:color w:val="001F60"/>
        </w:rPr>
        <w:t>em</w:t>
      </w:r>
      <w:r>
        <w:rPr>
          <w:rFonts w:ascii="Calibri" w:hAnsi="Calibri"/>
          <w:color w:val="001F60"/>
          <w:spacing w:val="-8"/>
        </w:rPr>
        <w:t xml:space="preserve"> </w:t>
      </w:r>
      <w:r>
        <w:rPr>
          <w:rFonts w:ascii="Calibri" w:hAnsi="Calibri"/>
          <w:color w:val="001F60"/>
        </w:rPr>
        <w:t>2024</w:t>
      </w:r>
      <w:r>
        <w:rPr>
          <w:rFonts w:ascii="Calibri" w:hAnsi="Calibri"/>
          <w:color w:val="001F60"/>
          <w:spacing w:val="-8"/>
        </w:rPr>
        <w:t xml:space="preserve"> </w:t>
      </w:r>
      <w:r>
        <w:rPr>
          <w:rFonts w:ascii="Calibri" w:hAnsi="Calibri"/>
          <w:color w:val="001F60"/>
        </w:rPr>
        <w:t>e</w:t>
      </w:r>
      <w:r>
        <w:rPr>
          <w:rFonts w:ascii="Calibri" w:hAnsi="Calibri"/>
          <w:color w:val="001F60"/>
          <w:spacing w:val="-8"/>
        </w:rPr>
        <w:t xml:space="preserve"> </w:t>
      </w:r>
      <w:r>
        <w:rPr>
          <w:rFonts w:ascii="Calibri" w:hAnsi="Calibri"/>
          <w:color w:val="001F60"/>
        </w:rPr>
        <w:t>R$ 469,7 milhões em 2023).</w:t>
      </w:r>
    </w:p>
    <w:p w14:paraId="42A81637" w14:textId="77777777" w:rsidR="002C6574" w:rsidRDefault="00000000">
      <w:pPr>
        <w:pStyle w:val="Corpodetexto"/>
        <w:spacing w:before="121"/>
        <w:ind w:left="709" w:right="277"/>
        <w:jc w:val="both"/>
        <w:rPr>
          <w:rFonts w:ascii="Calibri" w:hAnsi="Calibri"/>
        </w:rPr>
      </w:pPr>
      <w:r>
        <w:rPr>
          <w:rFonts w:ascii="Calibri" w:hAnsi="Calibri"/>
          <w:color w:val="001F60"/>
        </w:rPr>
        <w:t>As principais ocorrências no período referentes aos itens de custos e despesas operacionais foram</w:t>
      </w:r>
      <w:r>
        <w:rPr>
          <w:rFonts w:ascii="Calibri" w:hAnsi="Calibri"/>
          <w:color w:val="001F60"/>
          <w:spacing w:val="-1"/>
        </w:rPr>
        <w:t xml:space="preserve"> </w:t>
      </w:r>
      <w:r>
        <w:rPr>
          <w:rFonts w:ascii="Calibri" w:hAnsi="Calibri"/>
          <w:color w:val="001F60"/>
        </w:rPr>
        <w:t xml:space="preserve">as </w:t>
      </w:r>
      <w:r>
        <w:rPr>
          <w:rFonts w:ascii="Calibri" w:hAnsi="Calibri"/>
          <w:color w:val="001F60"/>
          <w:spacing w:val="-2"/>
        </w:rPr>
        <w:t>seguintes:</w:t>
      </w:r>
    </w:p>
    <w:p w14:paraId="45691B84" w14:textId="77777777" w:rsidR="002C6574" w:rsidRDefault="00000000">
      <w:pPr>
        <w:pStyle w:val="Corpodetexto"/>
        <w:spacing w:before="121"/>
        <w:ind w:left="709" w:right="276"/>
        <w:jc w:val="both"/>
        <w:rPr>
          <w:rFonts w:ascii="Calibri" w:hAnsi="Calibri"/>
        </w:rPr>
      </w:pPr>
      <w:r>
        <w:rPr>
          <w:rFonts w:ascii="Calibri" w:hAnsi="Calibri"/>
          <w:b/>
          <w:color w:val="001F60"/>
        </w:rPr>
        <w:t xml:space="preserve">Meios de Conexão e Transmissão: </w:t>
      </w:r>
      <w:r>
        <w:rPr>
          <w:rFonts w:ascii="Calibri" w:hAnsi="Calibri"/>
          <w:color w:val="001F60"/>
        </w:rPr>
        <w:t>Em 2025, os custos de conexão e transmissão apresentaram aumento de 26,1% em relação a 2024 e de 24,5% quando comparados a 2023, totalizando R$ 170,4 milhões, ante R$ 135,1 milhões registrados em 2024 e R$ 136,9 milhões em 2023. Os principais componentes dessa rubrica são os custos com Exploração Industrial de Linha Dedicada (EILD –</w:t>
      </w:r>
      <w:r>
        <w:rPr>
          <w:rFonts w:ascii="Calibri" w:hAnsi="Calibri"/>
          <w:color w:val="001F60"/>
          <w:spacing w:val="-1"/>
        </w:rPr>
        <w:t xml:space="preserve"> </w:t>
      </w:r>
      <w:r>
        <w:rPr>
          <w:rFonts w:ascii="Calibri" w:hAnsi="Calibri"/>
          <w:color w:val="001F60"/>
        </w:rPr>
        <w:t>última milha)</w:t>
      </w:r>
      <w:r>
        <w:rPr>
          <w:rFonts w:ascii="Calibri" w:hAnsi="Calibri"/>
          <w:color w:val="001F60"/>
          <w:spacing w:val="-13"/>
        </w:rPr>
        <w:t xml:space="preserve"> </w:t>
      </w:r>
      <w:r>
        <w:rPr>
          <w:rFonts w:ascii="Calibri" w:hAnsi="Calibri"/>
          <w:color w:val="001F60"/>
        </w:rPr>
        <w:t>e</w:t>
      </w:r>
      <w:r>
        <w:rPr>
          <w:rFonts w:ascii="Calibri" w:hAnsi="Calibri"/>
          <w:color w:val="001F60"/>
          <w:spacing w:val="-12"/>
        </w:rPr>
        <w:t xml:space="preserve"> </w:t>
      </w:r>
      <w:r>
        <w:rPr>
          <w:rFonts w:ascii="Calibri" w:hAnsi="Calibri"/>
          <w:color w:val="001F60"/>
        </w:rPr>
        <w:t>com</w:t>
      </w:r>
      <w:r>
        <w:rPr>
          <w:rFonts w:ascii="Calibri" w:hAnsi="Calibri"/>
          <w:color w:val="001F60"/>
          <w:spacing w:val="-13"/>
        </w:rPr>
        <w:t xml:space="preserve"> </w:t>
      </w:r>
      <w:r>
        <w:rPr>
          <w:rFonts w:ascii="Arial" w:hAnsi="Arial"/>
          <w:i/>
          <w:color w:val="001F60"/>
        </w:rPr>
        <w:t>backbone</w:t>
      </w:r>
      <w:r>
        <w:rPr>
          <w:rFonts w:ascii="Calibri" w:hAnsi="Calibri"/>
          <w:color w:val="001F60"/>
        </w:rPr>
        <w:t>,</w:t>
      </w:r>
      <w:r>
        <w:rPr>
          <w:rFonts w:ascii="Calibri" w:hAnsi="Calibri"/>
          <w:color w:val="001F60"/>
          <w:spacing w:val="-12"/>
        </w:rPr>
        <w:t xml:space="preserve"> </w:t>
      </w:r>
      <w:r>
        <w:rPr>
          <w:rFonts w:ascii="Calibri" w:hAnsi="Calibri"/>
          <w:color w:val="001F60"/>
        </w:rPr>
        <w:t>que</w:t>
      </w:r>
      <w:r>
        <w:rPr>
          <w:rFonts w:ascii="Calibri" w:hAnsi="Calibri"/>
          <w:color w:val="001F60"/>
          <w:spacing w:val="-13"/>
        </w:rPr>
        <w:t xml:space="preserve"> </w:t>
      </w:r>
      <w:r>
        <w:rPr>
          <w:rFonts w:ascii="Calibri" w:hAnsi="Calibri"/>
          <w:color w:val="001F60"/>
        </w:rPr>
        <w:t>registraram</w:t>
      </w:r>
      <w:r>
        <w:rPr>
          <w:rFonts w:ascii="Calibri" w:hAnsi="Calibri"/>
          <w:color w:val="001F60"/>
          <w:spacing w:val="-12"/>
        </w:rPr>
        <w:t xml:space="preserve"> </w:t>
      </w:r>
      <w:r>
        <w:rPr>
          <w:rFonts w:ascii="Calibri" w:hAnsi="Calibri"/>
          <w:color w:val="001F60"/>
        </w:rPr>
        <w:t>elevações</w:t>
      </w:r>
      <w:r>
        <w:rPr>
          <w:rFonts w:ascii="Calibri" w:hAnsi="Calibri"/>
          <w:color w:val="001F60"/>
          <w:spacing w:val="-13"/>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35,8%</w:t>
      </w:r>
      <w:r>
        <w:rPr>
          <w:rFonts w:ascii="Calibri" w:hAnsi="Calibri"/>
          <w:color w:val="001F60"/>
          <w:spacing w:val="-12"/>
        </w:rPr>
        <w:t xml:space="preserve"> </w:t>
      </w:r>
      <w:r>
        <w:rPr>
          <w:rFonts w:ascii="Calibri" w:hAnsi="Calibri"/>
          <w:color w:val="001F60"/>
        </w:rPr>
        <w:t>e</w:t>
      </w:r>
      <w:r>
        <w:rPr>
          <w:rFonts w:ascii="Calibri" w:hAnsi="Calibri"/>
          <w:color w:val="001F60"/>
          <w:spacing w:val="-13"/>
        </w:rPr>
        <w:t xml:space="preserve"> </w:t>
      </w:r>
      <w:r>
        <w:rPr>
          <w:rFonts w:ascii="Calibri" w:hAnsi="Calibri"/>
          <w:color w:val="001F60"/>
        </w:rPr>
        <w:t>0,5%,</w:t>
      </w:r>
      <w:r>
        <w:rPr>
          <w:rFonts w:ascii="Calibri" w:hAnsi="Calibri"/>
          <w:color w:val="001F60"/>
          <w:spacing w:val="-12"/>
        </w:rPr>
        <w:t xml:space="preserve"> </w:t>
      </w:r>
      <w:r>
        <w:rPr>
          <w:rFonts w:ascii="Calibri" w:hAnsi="Calibri"/>
          <w:color w:val="001F60"/>
        </w:rPr>
        <w:t>respectivamente,</w:t>
      </w:r>
      <w:r>
        <w:rPr>
          <w:rFonts w:ascii="Calibri" w:hAnsi="Calibri"/>
          <w:color w:val="001F60"/>
          <w:spacing w:val="-13"/>
        </w:rPr>
        <w:t xml:space="preserve"> </w:t>
      </w:r>
      <w:r>
        <w:rPr>
          <w:rFonts w:ascii="Calibri" w:hAnsi="Calibri"/>
          <w:color w:val="001F60"/>
        </w:rPr>
        <w:t>na</w:t>
      </w:r>
      <w:r>
        <w:rPr>
          <w:rFonts w:ascii="Calibri" w:hAnsi="Calibri"/>
          <w:color w:val="001F60"/>
          <w:spacing w:val="-12"/>
        </w:rPr>
        <w:t xml:space="preserve"> </w:t>
      </w:r>
      <w:r>
        <w:rPr>
          <w:rFonts w:ascii="Calibri" w:hAnsi="Calibri"/>
          <w:color w:val="001F60"/>
        </w:rPr>
        <w:t>comparação anual. O incremento mais expressivo em EILD reflete a contratação de serviços de conexão satelital, necessária para atender à demanda dos serviços prestados pela Telebras.</w:t>
      </w:r>
    </w:p>
    <w:p w14:paraId="6C516121" w14:textId="77777777" w:rsidR="002C6574" w:rsidRDefault="00000000">
      <w:pPr>
        <w:pStyle w:val="Corpodetexto"/>
        <w:spacing w:before="119"/>
        <w:ind w:left="709" w:right="278"/>
        <w:jc w:val="both"/>
        <w:rPr>
          <w:rFonts w:ascii="Calibri" w:hAnsi="Calibri"/>
        </w:rPr>
      </w:pPr>
      <w:r>
        <w:rPr>
          <w:rFonts w:ascii="Calibri" w:hAnsi="Calibri"/>
          <w:color w:val="001F60"/>
        </w:rPr>
        <w:t>Adicionalmente,</w:t>
      </w:r>
      <w:r>
        <w:rPr>
          <w:rFonts w:ascii="Calibri" w:hAnsi="Calibri"/>
          <w:color w:val="001F60"/>
          <w:spacing w:val="-4"/>
        </w:rPr>
        <w:t xml:space="preserve"> </w:t>
      </w:r>
      <w:r>
        <w:rPr>
          <w:rFonts w:ascii="Calibri" w:hAnsi="Calibri"/>
          <w:color w:val="001F60"/>
        </w:rPr>
        <w:t>contribuiu</w:t>
      </w:r>
      <w:r>
        <w:rPr>
          <w:rFonts w:ascii="Calibri" w:hAnsi="Calibri"/>
          <w:color w:val="001F60"/>
          <w:spacing w:val="-6"/>
        </w:rPr>
        <w:t xml:space="preserve"> </w:t>
      </w:r>
      <w:r>
        <w:rPr>
          <w:rFonts w:ascii="Calibri" w:hAnsi="Calibri"/>
          <w:color w:val="001F60"/>
        </w:rPr>
        <w:t>para</w:t>
      </w:r>
      <w:r>
        <w:rPr>
          <w:rFonts w:ascii="Calibri" w:hAnsi="Calibri"/>
          <w:color w:val="001F60"/>
          <w:spacing w:val="-2"/>
        </w:rPr>
        <w:t xml:space="preserve"> </w:t>
      </w:r>
      <w:r>
        <w:rPr>
          <w:rFonts w:ascii="Calibri" w:hAnsi="Calibri"/>
          <w:color w:val="001F60"/>
        </w:rPr>
        <w:t>o</w:t>
      </w:r>
      <w:r>
        <w:rPr>
          <w:rFonts w:ascii="Calibri" w:hAnsi="Calibri"/>
          <w:color w:val="001F60"/>
          <w:spacing w:val="-1"/>
        </w:rPr>
        <w:t xml:space="preserve"> </w:t>
      </w:r>
      <w:r>
        <w:rPr>
          <w:rFonts w:ascii="Calibri" w:hAnsi="Calibri"/>
          <w:color w:val="001F60"/>
        </w:rPr>
        <w:t>aumento</w:t>
      </w:r>
      <w:r>
        <w:rPr>
          <w:rFonts w:ascii="Calibri" w:hAnsi="Calibri"/>
          <w:color w:val="001F60"/>
          <w:spacing w:val="-2"/>
        </w:rPr>
        <w:t xml:space="preserve"> </w:t>
      </w:r>
      <w:r>
        <w:rPr>
          <w:rFonts w:ascii="Calibri" w:hAnsi="Calibri"/>
          <w:color w:val="001F60"/>
        </w:rPr>
        <w:t>desses</w:t>
      </w:r>
      <w:r>
        <w:rPr>
          <w:rFonts w:ascii="Calibri" w:hAnsi="Calibri"/>
          <w:color w:val="001F60"/>
          <w:spacing w:val="-2"/>
        </w:rPr>
        <w:t xml:space="preserve"> </w:t>
      </w:r>
      <w:r>
        <w:rPr>
          <w:rFonts w:ascii="Calibri" w:hAnsi="Calibri"/>
          <w:color w:val="001F60"/>
        </w:rPr>
        <w:t>custos</w:t>
      </w:r>
      <w:r>
        <w:rPr>
          <w:rFonts w:ascii="Calibri" w:hAnsi="Calibri"/>
          <w:color w:val="001F60"/>
          <w:spacing w:val="-4"/>
        </w:rPr>
        <w:t xml:space="preserve"> </w:t>
      </w:r>
      <w:r>
        <w:rPr>
          <w:rFonts w:ascii="Calibri" w:hAnsi="Calibri"/>
          <w:color w:val="001F60"/>
        </w:rPr>
        <w:t>o</w:t>
      </w:r>
      <w:r>
        <w:rPr>
          <w:rFonts w:ascii="Calibri" w:hAnsi="Calibri"/>
          <w:color w:val="001F60"/>
          <w:spacing w:val="-2"/>
        </w:rPr>
        <w:t xml:space="preserve"> </w:t>
      </w:r>
      <w:r>
        <w:rPr>
          <w:rFonts w:ascii="Calibri" w:hAnsi="Calibri"/>
          <w:color w:val="001F60"/>
        </w:rPr>
        <w:t>reconhecimento</w:t>
      </w:r>
      <w:r>
        <w:rPr>
          <w:rFonts w:ascii="Calibri" w:hAnsi="Calibri"/>
          <w:color w:val="001F60"/>
          <w:spacing w:val="-2"/>
        </w:rPr>
        <w:t xml:space="preserve"> </w:t>
      </w:r>
      <w:r>
        <w:rPr>
          <w:rFonts w:ascii="Calibri" w:hAnsi="Calibri"/>
          <w:color w:val="001F60"/>
        </w:rPr>
        <w:t>da</w:t>
      </w:r>
      <w:r>
        <w:rPr>
          <w:rFonts w:ascii="Calibri" w:hAnsi="Calibri"/>
          <w:color w:val="001F60"/>
          <w:spacing w:val="-4"/>
        </w:rPr>
        <w:t xml:space="preserve"> </w:t>
      </w:r>
      <w:r>
        <w:rPr>
          <w:rFonts w:ascii="Calibri" w:hAnsi="Calibri"/>
          <w:color w:val="001F60"/>
        </w:rPr>
        <w:t>taxa</w:t>
      </w:r>
      <w:r>
        <w:rPr>
          <w:rFonts w:ascii="Calibri" w:hAnsi="Calibri"/>
          <w:color w:val="001F60"/>
          <w:spacing w:val="-2"/>
        </w:rPr>
        <w:t xml:space="preserve"> </w:t>
      </w:r>
      <w:r>
        <w:rPr>
          <w:rFonts w:ascii="Calibri" w:hAnsi="Calibri"/>
          <w:color w:val="001F60"/>
        </w:rPr>
        <w:t>de</w:t>
      </w:r>
      <w:r>
        <w:rPr>
          <w:rFonts w:ascii="Calibri" w:hAnsi="Calibri"/>
          <w:color w:val="001F60"/>
          <w:spacing w:val="-2"/>
        </w:rPr>
        <w:t xml:space="preserve"> </w:t>
      </w:r>
      <w:r>
        <w:rPr>
          <w:rFonts w:ascii="Calibri" w:hAnsi="Calibri"/>
          <w:color w:val="001F60"/>
        </w:rPr>
        <w:t>instalação</w:t>
      </w:r>
      <w:r>
        <w:rPr>
          <w:rFonts w:ascii="Calibri" w:hAnsi="Calibri"/>
          <w:color w:val="001F60"/>
          <w:spacing w:val="-2"/>
        </w:rPr>
        <w:t xml:space="preserve"> </w:t>
      </w:r>
      <w:r>
        <w:rPr>
          <w:rFonts w:ascii="Calibri" w:hAnsi="Calibri"/>
          <w:color w:val="001F60"/>
        </w:rPr>
        <w:t>de meios de conexão, no valor de R$ 12,8 milhões, relacionada ao contrato de swap firmado com a operadora TIM, o que reforçou a elevação observada no período.</w:t>
      </w:r>
    </w:p>
    <w:p w14:paraId="09082873" w14:textId="77777777" w:rsidR="002C6574" w:rsidRDefault="00000000">
      <w:pPr>
        <w:pStyle w:val="Corpodetexto"/>
        <w:spacing w:before="121"/>
        <w:ind w:left="709" w:right="277"/>
        <w:jc w:val="both"/>
        <w:rPr>
          <w:rFonts w:ascii="Calibri" w:hAnsi="Calibri"/>
        </w:rPr>
      </w:pPr>
      <w:r>
        <w:rPr>
          <w:rFonts w:ascii="Calibri" w:hAnsi="Calibri"/>
          <w:b/>
          <w:color w:val="001F60"/>
        </w:rPr>
        <w:t xml:space="preserve">Pessoal: </w:t>
      </w:r>
      <w:r>
        <w:rPr>
          <w:rFonts w:ascii="Calibri" w:hAnsi="Calibri"/>
          <w:color w:val="001F60"/>
        </w:rPr>
        <w:t>Em 2025, os custos e despesas com Pessoal apresentaram aumento de 7,5% em relação ao mesmo</w:t>
      </w:r>
      <w:r>
        <w:rPr>
          <w:rFonts w:ascii="Calibri" w:hAnsi="Calibri"/>
          <w:color w:val="001F60"/>
          <w:spacing w:val="-4"/>
        </w:rPr>
        <w:t xml:space="preserve"> </w:t>
      </w:r>
      <w:r>
        <w:rPr>
          <w:rFonts w:ascii="Calibri" w:hAnsi="Calibri"/>
          <w:color w:val="001F60"/>
        </w:rPr>
        <w:t>período</w:t>
      </w:r>
      <w:r>
        <w:rPr>
          <w:rFonts w:ascii="Calibri" w:hAnsi="Calibri"/>
          <w:color w:val="001F60"/>
          <w:spacing w:val="-5"/>
        </w:rPr>
        <w:t xml:space="preserve"> </w:t>
      </w:r>
      <w:r>
        <w:rPr>
          <w:rFonts w:ascii="Calibri" w:hAnsi="Calibri"/>
          <w:color w:val="001F60"/>
        </w:rPr>
        <w:t>do</w:t>
      </w:r>
      <w:r>
        <w:rPr>
          <w:rFonts w:ascii="Calibri" w:hAnsi="Calibri"/>
          <w:color w:val="001F60"/>
          <w:spacing w:val="-6"/>
        </w:rPr>
        <w:t xml:space="preserve"> </w:t>
      </w:r>
      <w:r>
        <w:rPr>
          <w:rFonts w:ascii="Calibri" w:hAnsi="Calibri"/>
          <w:color w:val="001F60"/>
        </w:rPr>
        <w:t>ano</w:t>
      </w:r>
      <w:r>
        <w:rPr>
          <w:rFonts w:ascii="Calibri" w:hAnsi="Calibri"/>
          <w:color w:val="001F60"/>
          <w:spacing w:val="-4"/>
        </w:rPr>
        <w:t xml:space="preserve"> </w:t>
      </w:r>
      <w:r>
        <w:rPr>
          <w:rFonts w:ascii="Calibri" w:hAnsi="Calibri"/>
          <w:color w:val="001F60"/>
        </w:rPr>
        <w:t>anterior</w:t>
      </w:r>
      <w:r>
        <w:rPr>
          <w:rFonts w:ascii="Calibri" w:hAnsi="Calibri"/>
          <w:color w:val="001F60"/>
          <w:spacing w:val="-8"/>
        </w:rPr>
        <w:t xml:space="preserve"> </w:t>
      </w:r>
      <w:r>
        <w:rPr>
          <w:rFonts w:ascii="Calibri" w:hAnsi="Calibri"/>
          <w:color w:val="001F60"/>
        </w:rPr>
        <w:t>e</w:t>
      </w:r>
      <w:r>
        <w:rPr>
          <w:rFonts w:ascii="Calibri" w:hAnsi="Calibri"/>
          <w:color w:val="001F60"/>
          <w:spacing w:val="-4"/>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11,7%</w:t>
      </w:r>
      <w:r>
        <w:rPr>
          <w:rFonts w:ascii="Calibri" w:hAnsi="Calibri"/>
          <w:color w:val="001F60"/>
          <w:spacing w:val="-3"/>
        </w:rPr>
        <w:t xml:space="preserve"> </w:t>
      </w:r>
      <w:r>
        <w:rPr>
          <w:rFonts w:ascii="Calibri" w:hAnsi="Calibri"/>
          <w:color w:val="001F60"/>
        </w:rPr>
        <w:t>quando</w:t>
      </w:r>
      <w:r>
        <w:rPr>
          <w:rFonts w:ascii="Calibri" w:hAnsi="Calibri"/>
          <w:color w:val="001F60"/>
          <w:spacing w:val="-5"/>
        </w:rPr>
        <w:t xml:space="preserve"> </w:t>
      </w:r>
      <w:r>
        <w:rPr>
          <w:rFonts w:ascii="Calibri" w:hAnsi="Calibri"/>
          <w:color w:val="001F60"/>
        </w:rPr>
        <w:t>comparados</w:t>
      </w:r>
      <w:r>
        <w:rPr>
          <w:rFonts w:ascii="Calibri" w:hAnsi="Calibri"/>
          <w:color w:val="001F60"/>
          <w:spacing w:val="-8"/>
        </w:rPr>
        <w:t xml:space="preserve"> </w:t>
      </w:r>
      <w:r>
        <w:rPr>
          <w:rFonts w:ascii="Calibri" w:hAnsi="Calibri"/>
          <w:color w:val="001F60"/>
        </w:rPr>
        <w:t>ao</w:t>
      </w:r>
      <w:r>
        <w:rPr>
          <w:rFonts w:ascii="Calibri" w:hAnsi="Calibri"/>
          <w:color w:val="001F60"/>
          <w:spacing w:val="-4"/>
        </w:rPr>
        <w:t xml:space="preserve"> </w:t>
      </w:r>
      <w:r>
        <w:rPr>
          <w:rFonts w:ascii="Calibri" w:hAnsi="Calibri"/>
          <w:color w:val="001F60"/>
        </w:rPr>
        <w:t>exercício</w:t>
      </w:r>
      <w:r>
        <w:rPr>
          <w:rFonts w:ascii="Calibri" w:hAnsi="Calibri"/>
          <w:color w:val="001F60"/>
          <w:spacing w:val="-3"/>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2023.</w:t>
      </w:r>
      <w:r>
        <w:rPr>
          <w:rFonts w:ascii="Calibri" w:hAnsi="Calibri"/>
          <w:color w:val="001F60"/>
          <w:spacing w:val="-4"/>
        </w:rPr>
        <w:t xml:space="preserve"> </w:t>
      </w:r>
      <w:r>
        <w:rPr>
          <w:rFonts w:ascii="Calibri" w:hAnsi="Calibri"/>
          <w:color w:val="001F60"/>
        </w:rPr>
        <w:t>Esse</w:t>
      </w:r>
      <w:r>
        <w:rPr>
          <w:rFonts w:ascii="Calibri" w:hAnsi="Calibri"/>
          <w:color w:val="001F60"/>
          <w:spacing w:val="-4"/>
        </w:rPr>
        <w:t xml:space="preserve"> </w:t>
      </w:r>
      <w:r>
        <w:rPr>
          <w:rFonts w:ascii="Calibri" w:hAnsi="Calibri"/>
          <w:color w:val="001F60"/>
        </w:rPr>
        <w:t>acréscimo decorre, principalmente, dos seguintes fatores:</w:t>
      </w:r>
    </w:p>
    <w:p w14:paraId="19048831" w14:textId="77777777" w:rsidR="002C6574" w:rsidRDefault="00000000">
      <w:pPr>
        <w:pStyle w:val="PargrafodaLista"/>
        <w:numPr>
          <w:ilvl w:val="0"/>
          <w:numId w:val="71"/>
        </w:numPr>
        <w:tabs>
          <w:tab w:val="left" w:pos="870"/>
        </w:tabs>
        <w:spacing w:before="118"/>
        <w:ind w:left="870" w:hanging="161"/>
        <w:jc w:val="both"/>
      </w:pPr>
      <w:r>
        <w:rPr>
          <w:color w:val="001F60"/>
        </w:rPr>
        <w:t>concessão</w:t>
      </w:r>
      <w:r>
        <w:rPr>
          <w:color w:val="001F60"/>
          <w:spacing w:val="-14"/>
        </w:rPr>
        <w:t xml:space="preserve"> </w:t>
      </w:r>
      <w:r>
        <w:rPr>
          <w:color w:val="001F60"/>
        </w:rPr>
        <w:t>de</w:t>
      </w:r>
      <w:r>
        <w:rPr>
          <w:color w:val="001F60"/>
          <w:spacing w:val="-11"/>
        </w:rPr>
        <w:t xml:space="preserve"> </w:t>
      </w:r>
      <w:r>
        <w:rPr>
          <w:color w:val="001F60"/>
        </w:rPr>
        <w:t>promoções</w:t>
      </w:r>
      <w:r>
        <w:rPr>
          <w:color w:val="001F60"/>
          <w:spacing w:val="-12"/>
        </w:rPr>
        <w:t xml:space="preserve"> </w:t>
      </w:r>
      <w:r>
        <w:rPr>
          <w:color w:val="001F60"/>
        </w:rPr>
        <w:t>oriundas</w:t>
      </w:r>
      <w:r>
        <w:rPr>
          <w:color w:val="001F60"/>
          <w:spacing w:val="-11"/>
        </w:rPr>
        <w:t xml:space="preserve"> </w:t>
      </w:r>
      <w:r>
        <w:rPr>
          <w:color w:val="001F60"/>
        </w:rPr>
        <w:t>do</w:t>
      </w:r>
      <w:r>
        <w:rPr>
          <w:color w:val="001F60"/>
          <w:spacing w:val="-10"/>
        </w:rPr>
        <w:t xml:space="preserve"> </w:t>
      </w:r>
      <w:r>
        <w:rPr>
          <w:color w:val="001F60"/>
        </w:rPr>
        <w:t>processo</w:t>
      </w:r>
      <w:r>
        <w:rPr>
          <w:color w:val="001F60"/>
          <w:spacing w:val="-11"/>
        </w:rPr>
        <w:t xml:space="preserve"> </w:t>
      </w:r>
      <w:r>
        <w:rPr>
          <w:color w:val="001F60"/>
        </w:rPr>
        <w:t>anual</w:t>
      </w:r>
      <w:r>
        <w:rPr>
          <w:color w:val="001F60"/>
          <w:spacing w:val="-12"/>
        </w:rPr>
        <w:t xml:space="preserve"> </w:t>
      </w:r>
      <w:r>
        <w:rPr>
          <w:color w:val="001F60"/>
        </w:rPr>
        <w:t>de</w:t>
      </w:r>
      <w:r>
        <w:rPr>
          <w:color w:val="001F60"/>
          <w:spacing w:val="-11"/>
        </w:rPr>
        <w:t xml:space="preserve"> </w:t>
      </w:r>
      <w:r>
        <w:rPr>
          <w:color w:val="001F60"/>
        </w:rPr>
        <w:t>avaliação</w:t>
      </w:r>
      <w:r>
        <w:rPr>
          <w:color w:val="001F60"/>
          <w:spacing w:val="-9"/>
        </w:rPr>
        <w:t xml:space="preserve"> </w:t>
      </w:r>
      <w:r>
        <w:rPr>
          <w:color w:val="001F60"/>
        </w:rPr>
        <w:t>de</w:t>
      </w:r>
      <w:r>
        <w:rPr>
          <w:color w:val="001F60"/>
          <w:spacing w:val="-11"/>
        </w:rPr>
        <w:t xml:space="preserve"> </w:t>
      </w:r>
      <w:r>
        <w:rPr>
          <w:color w:val="001F60"/>
        </w:rPr>
        <w:t>desempenho</w:t>
      </w:r>
      <w:r>
        <w:rPr>
          <w:color w:val="001F60"/>
          <w:spacing w:val="-10"/>
        </w:rPr>
        <w:t xml:space="preserve"> </w:t>
      </w:r>
      <w:r>
        <w:rPr>
          <w:color w:val="001F60"/>
        </w:rPr>
        <w:t>dos</w:t>
      </w:r>
      <w:r>
        <w:rPr>
          <w:color w:val="001F60"/>
          <w:spacing w:val="-12"/>
        </w:rPr>
        <w:t xml:space="preserve"> </w:t>
      </w:r>
      <w:r>
        <w:rPr>
          <w:color w:val="001F60"/>
          <w:spacing w:val="-2"/>
        </w:rPr>
        <w:t>empregados;</w:t>
      </w:r>
    </w:p>
    <w:p w14:paraId="5DE96D0E" w14:textId="77777777" w:rsidR="002C6574" w:rsidRDefault="00000000">
      <w:pPr>
        <w:pStyle w:val="PargrafodaLista"/>
        <w:numPr>
          <w:ilvl w:val="0"/>
          <w:numId w:val="71"/>
        </w:numPr>
        <w:tabs>
          <w:tab w:val="left" w:pos="953"/>
        </w:tabs>
        <w:ind w:left="709" w:right="275" w:firstLine="0"/>
        <w:jc w:val="both"/>
      </w:pPr>
      <w:r>
        <w:rPr>
          <w:color w:val="001F60"/>
        </w:rPr>
        <w:t>reposição das perdas salariais prevista no acordo coletivo vigente; e iii) expansão do quadro de empregados, necessária para sustentar o crescimento das operações e viabilizar a execução das iniciativas estratégicas da companhia.</w:t>
      </w:r>
    </w:p>
    <w:p w14:paraId="5F09A733" w14:textId="77777777" w:rsidR="002C6574" w:rsidRDefault="00000000">
      <w:pPr>
        <w:pStyle w:val="Corpodetexto"/>
        <w:spacing w:before="121"/>
        <w:ind w:left="709" w:right="275"/>
        <w:jc w:val="both"/>
        <w:rPr>
          <w:rFonts w:ascii="Calibri" w:hAnsi="Calibri"/>
        </w:rPr>
      </w:pPr>
      <w:r>
        <w:rPr>
          <w:rFonts w:ascii="Calibri" w:hAnsi="Calibri"/>
          <w:b/>
          <w:color w:val="001F60"/>
        </w:rPr>
        <w:t>Serviços</w:t>
      </w:r>
      <w:r>
        <w:rPr>
          <w:rFonts w:ascii="Calibri" w:hAnsi="Calibri"/>
          <w:b/>
          <w:color w:val="001F60"/>
          <w:spacing w:val="-13"/>
        </w:rPr>
        <w:t xml:space="preserve"> </w:t>
      </w:r>
      <w:r>
        <w:rPr>
          <w:rFonts w:ascii="Calibri" w:hAnsi="Calibri"/>
          <w:b/>
          <w:color w:val="001F60"/>
        </w:rPr>
        <w:t>de</w:t>
      </w:r>
      <w:r>
        <w:rPr>
          <w:rFonts w:ascii="Calibri" w:hAnsi="Calibri"/>
          <w:b/>
          <w:color w:val="001F60"/>
          <w:spacing w:val="-12"/>
        </w:rPr>
        <w:t xml:space="preserve"> </w:t>
      </w:r>
      <w:r>
        <w:rPr>
          <w:rFonts w:ascii="Calibri" w:hAnsi="Calibri"/>
          <w:b/>
          <w:color w:val="001F60"/>
        </w:rPr>
        <w:t>Terceiros:</w:t>
      </w:r>
      <w:r>
        <w:rPr>
          <w:rFonts w:ascii="Calibri" w:hAnsi="Calibri"/>
          <w:b/>
          <w:color w:val="001F60"/>
          <w:spacing w:val="-13"/>
        </w:rPr>
        <w:t xml:space="preserve"> </w:t>
      </w:r>
      <w:r>
        <w:rPr>
          <w:rFonts w:ascii="Calibri" w:hAnsi="Calibri"/>
          <w:color w:val="001F60"/>
        </w:rPr>
        <w:t>Os</w:t>
      </w:r>
      <w:r>
        <w:rPr>
          <w:rFonts w:ascii="Calibri" w:hAnsi="Calibri"/>
          <w:color w:val="001F60"/>
          <w:spacing w:val="-12"/>
        </w:rPr>
        <w:t xml:space="preserve"> </w:t>
      </w:r>
      <w:r>
        <w:rPr>
          <w:rFonts w:ascii="Calibri" w:hAnsi="Calibri"/>
          <w:color w:val="001F60"/>
        </w:rPr>
        <w:t>custos</w:t>
      </w:r>
      <w:r>
        <w:rPr>
          <w:rFonts w:ascii="Calibri" w:hAnsi="Calibri"/>
          <w:color w:val="001F60"/>
          <w:spacing w:val="-13"/>
        </w:rPr>
        <w:t xml:space="preserve"> </w:t>
      </w:r>
      <w:r>
        <w:rPr>
          <w:rFonts w:ascii="Calibri" w:hAnsi="Calibri"/>
          <w:color w:val="001F60"/>
        </w:rPr>
        <w:t>e</w:t>
      </w:r>
      <w:r>
        <w:rPr>
          <w:rFonts w:ascii="Calibri" w:hAnsi="Calibri"/>
          <w:color w:val="001F60"/>
          <w:spacing w:val="-12"/>
        </w:rPr>
        <w:t xml:space="preserve"> </w:t>
      </w:r>
      <w:r>
        <w:rPr>
          <w:rFonts w:ascii="Calibri" w:hAnsi="Calibri"/>
          <w:color w:val="001F60"/>
        </w:rPr>
        <w:t>despesas</w:t>
      </w:r>
      <w:r>
        <w:rPr>
          <w:rFonts w:ascii="Calibri" w:hAnsi="Calibri"/>
          <w:color w:val="001F60"/>
          <w:spacing w:val="-13"/>
        </w:rPr>
        <w:t xml:space="preserve"> </w:t>
      </w:r>
      <w:r>
        <w:rPr>
          <w:rFonts w:ascii="Calibri" w:hAnsi="Calibri"/>
          <w:color w:val="001F60"/>
        </w:rPr>
        <w:t>com</w:t>
      </w:r>
      <w:r>
        <w:rPr>
          <w:rFonts w:ascii="Calibri" w:hAnsi="Calibri"/>
          <w:color w:val="001F60"/>
          <w:spacing w:val="-12"/>
        </w:rPr>
        <w:t xml:space="preserve"> </w:t>
      </w:r>
      <w:r>
        <w:rPr>
          <w:rFonts w:ascii="Calibri" w:hAnsi="Calibri"/>
          <w:color w:val="001F60"/>
        </w:rPr>
        <w:t>Serviços</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Terceiros</w:t>
      </w:r>
      <w:r>
        <w:rPr>
          <w:rFonts w:ascii="Calibri" w:hAnsi="Calibri"/>
          <w:color w:val="001F60"/>
          <w:spacing w:val="-12"/>
        </w:rPr>
        <w:t xml:space="preserve"> </w:t>
      </w:r>
      <w:r>
        <w:rPr>
          <w:rFonts w:ascii="Calibri" w:hAnsi="Calibri"/>
          <w:color w:val="001F60"/>
        </w:rPr>
        <w:t>apresentaram</w:t>
      </w:r>
      <w:r>
        <w:rPr>
          <w:rFonts w:ascii="Calibri" w:hAnsi="Calibri"/>
          <w:color w:val="001F60"/>
          <w:spacing w:val="-13"/>
        </w:rPr>
        <w:t xml:space="preserve"> </w:t>
      </w:r>
      <w:r>
        <w:rPr>
          <w:rFonts w:ascii="Calibri" w:hAnsi="Calibri"/>
          <w:color w:val="001F60"/>
        </w:rPr>
        <w:t>redução</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11,9% em 2025, quando comparados ao mesmo período de 2024. Em relação a 2023, a queda foi de 4,0%. Essa</w:t>
      </w:r>
      <w:r>
        <w:rPr>
          <w:rFonts w:ascii="Calibri" w:hAnsi="Calibri"/>
          <w:color w:val="001F60"/>
          <w:spacing w:val="-13"/>
        </w:rPr>
        <w:t xml:space="preserve"> </w:t>
      </w:r>
      <w:r>
        <w:rPr>
          <w:rFonts w:ascii="Calibri" w:hAnsi="Calibri"/>
          <w:color w:val="001F60"/>
        </w:rPr>
        <w:t>diminuição</w:t>
      </w:r>
      <w:r>
        <w:rPr>
          <w:rFonts w:ascii="Calibri" w:hAnsi="Calibri"/>
          <w:color w:val="001F60"/>
          <w:spacing w:val="-12"/>
        </w:rPr>
        <w:t xml:space="preserve"> </w:t>
      </w:r>
      <w:r>
        <w:rPr>
          <w:rFonts w:ascii="Calibri" w:hAnsi="Calibri"/>
          <w:color w:val="001F60"/>
        </w:rPr>
        <w:t>decorre,</w:t>
      </w:r>
      <w:r>
        <w:rPr>
          <w:rFonts w:ascii="Calibri" w:hAnsi="Calibri"/>
          <w:color w:val="001F60"/>
          <w:spacing w:val="-13"/>
        </w:rPr>
        <w:t xml:space="preserve"> </w:t>
      </w:r>
      <w:r>
        <w:rPr>
          <w:rFonts w:ascii="Calibri" w:hAnsi="Calibri"/>
          <w:color w:val="001F60"/>
        </w:rPr>
        <w:t>principalmente,</w:t>
      </w:r>
      <w:r>
        <w:rPr>
          <w:rFonts w:ascii="Calibri" w:hAnsi="Calibri"/>
          <w:color w:val="001F60"/>
          <w:spacing w:val="-12"/>
        </w:rPr>
        <w:t xml:space="preserve"> </w:t>
      </w:r>
      <w:r>
        <w:rPr>
          <w:rFonts w:ascii="Calibri" w:hAnsi="Calibri"/>
          <w:color w:val="001F60"/>
        </w:rPr>
        <w:t>da</w:t>
      </w:r>
      <w:r>
        <w:rPr>
          <w:rFonts w:ascii="Calibri" w:hAnsi="Calibri"/>
          <w:color w:val="001F60"/>
          <w:spacing w:val="-13"/>
        </w:rPr>
        <w:t xml:space="preserve"> </w:t>
      </w:r>
      <w:r>
        <w:rPr>
          <w:rFonts w:ascii="Calibri" w:hAnsi="Calibri"/>
          <w:color w:val="001F60"/>
        </w:rPr>
        <w:t>redução</w:t>
      </w:r>
      <w:r>
        <w:rPr>
          <w:rFonts w:ascii="Calibri" w:hAnsi="Calibri"/>
          <w:color w:val="001F60"/>
          <w:spacing w:val="-12"/>
        </w:rPr>
        <w:t xml:space="preserve"> </w:t>
      </w:r>
      <w:r>
        <w:rPr>
          <w:rFonts w:ascii="Calibri" w:hAnsi="Calibri"/>
          <w:color w:val="001F60"/>
        </w:rPr>
        <w:t>dos</w:t>
      </w:r>
      <w:r>
        <w:rPr>
          <w:rFonts w:ascii="Calibri" w:hAnsi="Calibri"/>
          <w:color w:val="001F60"/>
          <w:spacing w:val="-13"/>
        </w:rPr>
        <w:t xml:space="preserve"> </w:t>
      </w:r>
      <w:r>
        <w:rPr>
          <w:rFonts w:ascii="Calibri" w:hAnsi="Calibri"/>
          <w:color w:val="001F60"/>
        </w:rPr>
        <w:t>gastos</w:t>
      </w:r>
      <w:r>
        <w:rPr>
          <w:rFonts w:ascii="Calibri" w:hAnsi="Calibri"/>
          <w:color w:val="001F60"/>
          <w:spacing w:val="-12"/>
        </w:rPr>
        <w:t xml:space="preserve"> </w:t>
      </w:r>
      <w:r>
        <w:rPr>
          <w:rFonts w:ascii="Calibri" w:hAnsi="Calibri"/>
          <w:color w:val="001F60"/>
        </w:rPr>
        <w:t>com</w:t>
      </w:r>
      <w:r>
        <w:rPr>
          <w:rFonts w:ascii="Calibri" w:hAnsi="Calibri"/>
          <w:color w:val="001F60"/>
          <w:spacing w:val="-12"/>
        </w:rPr>
        <w:t xml:space="preserve"> </w:t>
      </w:r>
      <w:r>
        <w:rPr>
          <w:rFonts w:ascii="Calibri" w:hAnsi="Calibri"/>
          <w:color w:val="001F60"/>
        </w:rPr>
        <w:t>a</w:t>
      </w:r>
      <w:r>
        <w:rPr>
          <w:rFonts w:ascii="Calibri" w:hAnsi="Calibri"/>
          <w:color w:val="001F60"/>
          <w:spacing w:val="-13"/>
        </w:rPr>
        <w:t xml:space="preserve"> </w:t>
      </w:r>
      <w:r>
        <w:rPr>
          <w:rFonts w:ascii="Calibri" w:hAnsi="Calibri"/>
          <w:color w:val="001F60"/>
        </w:rPr>
        <w:t>manutenção</w:t>
      </w:r>
      <w:r>
        <w:rPr>
          <w:rFonts w:ascii="Calibri" w:hAnsi="Calibri"/>
          <w:color w:val="001F60"/>
          <w:spacing w:val="-12"/>
        </w:rPr>
        <w:t xml:space="preserve"> </w:t>
      </w:r>
      <w:r>
        <w:rPr>
          <w:rFonts w:ascii="Calibri" w:hAnsi="Calibri"/>
          <w:color w:val="001F60"/>
        </w:rPr>
        <w:t>da</w:t>
      </w:r>
      <w:r>
        <w:rPr>
          <w:rFonts w:ascii="Calibri" w:hAnsi="Calibri"/>
          <w:color w:val="001F60"/>
          <w:spacing w:val="-13"/>
        </w:rPr>
        <w:t xml:space="preserve"> </w:t>
      </w:r>
      <w:r>
        <w:rPr>
          <w:rFonts w:ascii="Calibri" w:hAnsi="Calibri"/>
          <w:color w:val="001F60"/>
        </w:rPr>
        <w:t>planta</w:t>
      </w:r>
      <w:r>
        <w:rPr>
          <w:rFonts w:ascii="Calibri" w:hAnsi="Calibri"/>
          <w:color w:val="001F60"/>
          <w:spacing w:val="-12"/>
        </w:rPr>
        <w:t xml:space="preserve"> </w:t>
      </w:r>
      <w:r>
        <w:rPr>
          <w:rFonts w:ascii="Calibri" w:hAnsi="Calibri"/>
          <w:color w:val="001F60"/>
        </w:rPr>
        <w:t>terrestre e</w:t>
      </w:r>
      <w:r>
        <w:rPr>
          <w:rFonts w:ascii="Calibri" w:hAnsi="Calibri"/>
          <w:color w:val="001F60"/>
          <w:spacing w:val="-13"/>
        </w:rPr>
        <w:t xml:space="preserve"> </w:t>
      </w:r>
      <w:r>
        <w:rPr>
          <w:rFonts w:ascii="Calibri" w:hAnsi="Calibri"/>
          <w:color w:val="001F60"/>
        </w:rPr>
        <w:t>satelital,</w:t>
      </w:r>
      <w:r>
        <w:rPr>
          <w:rFonts w:ascii="Calibri" w:hAnsi="Calibri"/>
          <w:color w:val="001F60"/>
          <w:spacing w:val="-11"/>
        </w:rPr>
        <w:t xml:space="preserve"> </w:t>
      </w:r>
      <w:r>
        <w:rPr>
          <w:rFonts w:ascii="Calibri" w:hAnsi="Calibri"/>
          <w:color w:val="001F60"/>
        </w:rPr>
        <w:t>bem</w:t>
      </w:r>
      <w:r>
        <w:rPr>
          <w:rFonts w:ascii="Calibri" w:hAnsi="Calibri"/>
          <w:color w:val="001F60"/>
          <w:spacing w:val="-11"/>
        </w:rPr>
        <w:t xml:space="preserve"> </w:t>
      </w:r>
      <w:r>
        <w:rPr>
          <w:rFonts w:ascii="Calibri" w:hAnsi="Calibri"/>
          <w:color w:val="001F60"/>
        </w:rPr>
        <w:t>como</w:t>
      </w:r>
      <w:r>
        <w:rPr>
          <w:rFonts w:ascii="Calibri" w:hAnsi="Calibri"/>
          <w:color w:val="001F60"/>
          <w:spacing w:val="-8"/>
        </w:rPr>
        <w:t xml:space="preserve"> </w:t>
      </w:r>
      <w:r>
        <w:rPr>
          <w:rFonts w:ascii="Calibri" w:hAnsi="Calibri"/>
          <w:color w:val="001F60"/>
        </w:rPr>
        <w:t>da</w:t>
      </w:r>
      <w:r>
        <w:rPr>
          <w:rFonts w:ascii="Calibri" w:hAnsi="Calibri"/>
          <w:color w:val="001F60"/>
          <w:spacing w:val="-9"/>
        </w:rPr>
        <w:t xml:space="preserve"> </w:t>
      </w:r>
      <w:r>
        <w:rPr>
          <w:rFonts w:ascii="Calibri" w:hAnsi="Calibri"/>
          <w:color w:val="001F60"/>
        </w:rPr>
        <w:t>diminuição</w:t>
      </w:r>
      <w:r>
        <w:rPr>
          <w:rFonts w:ascii="Calibri" w:hAnsi="Calibri"/>
          <w:color w:val="001F60"/>
          <w:spacing w:val="-10"/>
        </w:rPr>
        <w:t xml:space="preserve"> </w:t>
      </w:r>
      <w:r>
        <w:rPr>
          <w:rFonts w:ascii="Calibri" w:hAnsi="Calibri"/>
          <w:color w:val="001F60"/>
        </w:rPr>
        <w:t>dos</w:t>
      </w:r>
      <w:r>
        <w:rPr>
          <w:rFonts w:ascii="Calibri" w:hAnsi="Calibri"/>
          <w:color w:val="001F60"/>
          <w:spacing w:val="-10"/>
        </w:rPr>
        <w:t xml:space="preserve"> </w:t>
      </w:r>
      <w:r>
        <w:rPr>
          <w:rFonts w:ascii="Calibri" w:hAnsi="Calibri"/>
          <w:color w:val="001F60"/>
        </w:rPr>
        <w:t>custos</w:t>
      </w:r>
      <w:r>
        <w:rPr>
          <w:rFonts w:ascii="Calibri" w:hAnsi="Calibri"/>
          <w:color w:val="001F60"/>
          <w:spacing w:val="-13"/>
        </w:rPr>
        <w:t xml:space="preserve"> </w:t>
      </w:r>
      <w:r>
        <w:rPr>
          <w:rFonts w:ascii="Calibri" w:hAnsi="Calibri"/>
          <w:color w:val="001F60"/>
        </w:rPr>
        <w:t>e</w:t>
      </w:r>
      <w:r>
        <w:rPr>
          <w:rFonts w:ascii="Calibri" w:hAnsi="Calibri"/>
          <w:color w:val="001F60"/>
          <w:spacing w:val="-8"/>
        </w:rPr>
        <w:t xml:space="preserve"> </w:t>
      </w:r>
      <w:r>
        <w:rPr>
          <w:rFonts w:ascii="Calibri" w:hAnsi="Calibri"/>
          <w:color w:val="001F60"/>
        </w:rPr>
        <w:t>despesas</w:t>
      </w:r>
      <w:r>
        <w:rPr>
          <w:rFonts w:ascii="Calibri" w:hAnsi="Calibri"/>
          <w:color w:val="001F60"/>
          <w:spacing w:val="-9"/>
        </w:rPr>
        <w:t xml:space="preserve"> </w:t>
      </w:r>
      <w:r>
        <w:rPr>
          <w:rFonts w:ascii="Calibri" w:hAnsi="Calibri"/>
          <w:color w:val="001F60"/>
        </w:rPr>
        <w:t>relacionados</w:t>
      </w:r>
      <w:r>
        <w:rPr>
          <w:rFonts w:ascii="Calibri" w:hAnsi="Calibri"/>
          <w:color w:val="001F60"/>
          <w:spacing w:val="-11"/>
        </w:rPr>
        <w:t xml:space="preserve"> </w:t>
      </w:r>
      <w:r>
        <w:rPr>
          <w:rFonts w:ascii="Calibri" w:hAnsi="Calibri"/>
          <w:color w:val="001F60"/>
        </w:rPr>
        <w:t>à</w:t>
      </w:r>
      <w:r>
        <w:rPr>
          <w:rFonts w:ascii="Calibri" w:hAnsi="Calibri"/>
          <w:color w:val="001F60"/>
          <w:spacing w:val="-10"/>
        </w:rPr>
        <w:t xml:space="preserve"> </w:t>
      </w:r>
      <w:r>
        <w:rPr>
          <w:rFonts w:ascii="Calibri" w:hAnsi="Calibri"/>
          <w:color w:val="001F60"/>
        </w:rPr>
        <w:t>manutenção</w:t>
      </w:r>
      <w:r>
        <w:rPr>
          <w:rFonts w:ascii="Calibri" w:hAnsi="Calibri"/>
          <w:color w:val="001F60"/>
          <w:spacing w:val="-9"/>
        </w:rPr>
        <w:t xml:space="preserve"> </w:t>
      </w:r>
      <w:r>
        <w:rPr>
          <w:rFonts w:ascii="Calibri" w:hAnsi="Calibri"/>
          <w:color w:val="001F60"/>
        </w:rPr>
        <w:t>de</w:t>
      </w:r>
      <w:r>
        <w:rPr>
          <w:rFonts w:ascii="Calibri" w:hAnsi="Calibri"/>
          <w:color w:val="001F60"/>
          <w:spacing w:val="-9"/>
        </w:rPr>
        <w:t xml:space="preserve"> </w:t>
      </w:r>
      <w:r>
        <w:rPr>
          <w:rFonts w:ascii="Arial" w:hAnsi="Arial"/>
          <w:i/>
          <w:color w:val="001F60"/>
        </w:rPr>
        <w:t>hardware</w:t>
      </w:r>
      <w:r>
        <w:rPr>
          <w:rFonts w:ascii="Arial" w:hAnsi="Arial"/>
          <w:i/>
          <w:color w:val="001F60"/>
          <w:spacing w:val="-19"/>
        </w:rPr>
        <w:t xml:space="preserve"> </w:t>
      </w:r>
      <w:r>
        <w:rPr>
          <w:rFonts w:ascii="Calibri" w:hAnsi="Calibri"/>
          <w:color w:val="001F60"/>
          <w:spacing w:val="-10"/>
        </w:rPr>
        <w:t>e</w:t>
      </w:r>
    </w:p>
    <w:p w14:paraId="106025B3" w14:textId="77777777" w:rsidR="002C6574" w:rsidRDefault="002C6574">
      <w:pPr>
        <w:pStyle w:val="Corpodetexto"/>
        <w:jc w:val="both"/>
        <w:rPr>
          <w:rFonts w:ascii="Calibri" w:hAnsi="Calibri"/>
        </w:rPr>
        <w:sectPr w:rsidR="002C6574">
          <w:pgSz w:w="11910" w:h="16840"/>
          <w:pgMar w:top="1160" w:right="850" w:bottom="740" w:left="992" w:header="312" w:footer="542" w:gutter="0"/>
          <w:cols w:space="720"/>
        </w:sectPr>
      </w:pPr>
    </w:p>
    <w:p w14:paraId="5392F328" w14:textId="77777777" w:rsidR="002C6574" w:rsidRDefault="002C6574">
      <w:pPr>
        <w:pStyle w:val="Corpodetexto"/>
        <w:spacing w:before="263"/>
        <w:rPr>
          <w:rFonts w:ascii="Calibri"/>
        </w:rPr>
      </w:pPr>
    </w:p>
    <w:p w14:paraId="47872909" w14:textId="77777777" w:rsidR="002C6574" w:rsidRDefault="00000000">
      <w:pPr>
        <w:pStyle w:val="Corpodetexto"/>
        <w:ind w:left="709" w:right="278"/>
        <w:jc w:val="both"/>
        <w:rPr>
          <w:rFonts w:ascii="Calibri" w:hAnsi="Calibri"/>
        </w:rPr>
      </w:pPr>
      <w:r>
        <w:rPr>
          <w:rFonts w:ascii="Arial" w:hAnsi="Arial"/>
          <w:i/>
          <w:color w:val="001F60"/>
        </w:rPr>
        <w:t>software</w:t>
      </w:r>
      <w:r>
        <w:rPr>
          <w:rFonts w:ascii="Arial" w:hAnsi="Arial"/>
          <w:i/>
          <w:color w:val="001F60"/>
          <w:spacing w:val="-16"/>
        </w:rPr>
        <w:t xml:space="preserve"> </w:t>
      </w:r>
      <w:r>
        <w:rPr>
          <w:rFonts w:ascii="Calibri" w:hAnsi="Calibri"/>
          <w:color w:val="001F60"/>
        </w:rPr>
        <w:t>utilizados</w:t>
      </w:r>
      <w:r>
        <w:rPr>
          <w:rFonts w:ascii="Calibri" w:hAnsi="Calibri"/>
          <w:color w:val="001F60"/>
          <w:spacing w:val="-12"/>
        </w:rPr>
        <w:t xml:space="preserve"> </w:t>
      </w:r>
      <w:r>
        <w:rPr>
          <w:rFonts w:ascii="Calibri" w:hAnsi="Calibri"/>
          <w:color w:val="001F60"/>
        </w:rPr>
        <w:t>pelas</w:t>
      </w:r>
      <w:r>
        <w:rPr>
          <w:rFonts w:ascii="Calibri" w:hAnsi="Calibri"/>
          <w:color w:val="001F60"/>
          <w:spacing w:val="-13"/>
        </w:rPr>
        <w:t xml:space="preserve"> </w:t>
      </w:r>
      <w:r>
        <w:rPr>
          <w:rFonts w:ascii="Calibri" w:hAnsi="Calibri"/>
          <w:color w:val="001F60"/>
        </w:rPr>
        <w:t>áreas</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operação</w:t>
      </w:r>
      <w:r>
        <w:rPr>
          <w:rFonts w:ascii="Calibri" w:hAnsi="Calibri"/>
          <w:color w:val="001F60"/>
          <w:spacing w:val="-12"/>
        </w:rPr>
        <w:t xml:space="preserve"> </w:t>
      </w:r>
      <w:r>
        <w:rPr>
          <w:rFonts w:ascii="Calibri" w:hAnsi="Calibri"/>
          <w:color w:val="001F60"/>
        </w:rPr>
        <w:t>e</w:t>
      </w:r>
      <w:r>
        <w:rPr>
          <w:rFonts w:ascii="Calibri" w:hAnsi="Calibri"/>
          <w:color w:val="001F60"/>
          <w:spacing w:val="-12"/>
        </w:rPr>
        <w:t xml:space="preserve"> </w:t>
      </w:r>
      <w:r>
        <w:rPr>
          <w:rFonts w:ascii="Calibri" w:hAnsi="Calibri"/>
          <w:color w:val="001F60"/>
        </w:rPr>
        <w:t>administração</w:t>
      </w:r>
      <w:r>
        <w:rPr>
          <w:rFonts w:ascii="Calibri" w:hAnsi="Calibri"/>
          <w:color w:val="001F60"/>
          <w:spacing w:val="-13"/>
        </w:rPr>
        <w:t xml:space="preserve"> </w:t>
      </w:r>
      <w:r>
        <w:rPr>
          <w:rFonts w:ascii="Calibri" w:hAnsi="Calibri"/>
          <w:color w:val="001F60"/>
        </w:rPr>
        <w:t>nos</w:t>
      </w:r>
      <w:r>
        <w:rPr>
          <w:rFonts w:ascii="Calibri" w:hAnsi="Calibri"/>
          <w:color w:val="001F60"/>
          <w:spacing w:val="-12"/>
        </w:rPr>
        <w:t xml:space="preserve"> </w:t>
      </w:r>
      <w:r>
        <w:rPr>
          <w:rFonts w:ascii="Calibri" w:hAnsi="Calibri"/>
          <w:color w:val="001F60"/>
        </w:rPr>
        <w:t>períodos</w:t>
      </w:r>
      <w:r>
        <w:rPr>
          <w:rFonts w:ascii="Calibri" w:hAnsi="Calibri"/>
          <w:color w:val="001F60"/>
          <w:spacing w:val="-13"/>
        </w:rPr>
        <w:t xml:space="preserve"> </w:t>
      </w:r>
      <w:r>
        <w:rPr>
          <w:rFonts w:ascii="Calibri" w:hAnsi="Calibri"/>
          <w:color w:val="001F60"/>
        </w:rPr>
        <w:t>analisados.</w:t>
      </w:r>
      <w:r>
        <w:rPr>
          <w:rFonts w:ascii="Calibri" w:hAnsi="Calibri"/>
          <w:color w:val="001F60"/>
          <w:spacing w:val="-12"/>
        </w:rPr>
        <w:t xml:space="preserve"> </w:t>
      </w:r>
      <w:r>
        <w:rPr>
          <w:rFonts w:ascii="Calibri" w:hAnsi="Calibri"/>
          <w:color w:val="001F60"/>
        </w:rPr>
        <w:t>Esse</w:t>
      </w:r>
      <w:r>
        <w:rPr>
          <w:rFonts w:ascii="Calibri" w:hAnsi="Calibri"/>
          <w:color w:val="001F60"/>
          <w:spacing w:val="-13"/>
        </w:rPr>
        <w:t xml:space="preserve"> </w:t>
      </w:r>
      <w:r>
        <w:rPr>
          <w:rFonts w:ascii="Calibri" w:hAnsi="Calibri"/>
          <w:color w:val="001F60"/>
        </w:rPr>
        <w:t>movimento reflete, sobretudo, os efeitos do reconhecimento e da reversão de provisões, além do encerramento de contratos ao longo do exercício.</w:t>
      </w:r>
    </w:p>
    <w:p w14:paraId="273E2081" w14:textId="77777777" w:rsidR="002C6574" w:rsidRDefault="00000000">
      <w:pPr>
        <w:pStyle w:val="Corpodetexto"/>
        <w:spacing w:before="119"/>
        <w:ind w:left="709" w:right="274"/>
        <w:jc w:val="both"/>
        <w:rPr>
          <w:rFonts w:ascii="Calibri" w:hAnsi="Calibri"/>
        </w:rPr>
      </w:pPr>
      <w:r>
        <w:rPr>
          <w:rFonts w:ascii="Calibri" w:hAnsi="Calibri"/>
          <w:b/>
          <w:color w:val="001F60"/>
        </w:rPr>
        <w:t>Aluguéis,</w:t>
      </w:r>
      <w:r>
        <w:rPr>
          <w:rFonts w:ascii="Calibri" w:hAnsi="Calibri"/>
          <w:b/>
          <w:color w:val="001F60"/>
          <w:spacing w:val="-13"/>
        </w:rPr>
        <w:t xml:space="preserve"> </w:t>
      </w:r>
      <w:r>
        <w:rPr>
          <w:rFonts w:ascii="Calibri" w:hAnsi="Calibri"/>
          <w:b/>
          <w:color w:val="001F60"/>
        </w:rPr>
        <w:t>Locações</w:t>
      </w:r>
      <w:r>
        <w:rPr>
          <w:rFonts w:ascii="Calibri" w:hAnsi="Calibri"/>
          <w:b/>
          <w:color w:val="001F60"/>
          <w:spacing w:val="-12"/>
        </w:rPr>
        <w:t xml:space="preserve"> </w:t>
      </w:r>
      <w:r>
        <w:rPr>
          <w:rFonts w:ascii="Calibri" w:hAnsi="Calibri"/>
          <w:b/>
          <w:color w:val="001F60"/>
        </w:rPr>
        <w:t>e</w:t>
      </w:r>
      <w:r>
        <w:rPr>
          <w:rFonts w:ascii="Calibri" w:hAnsi="Calibri"/>
          <w:b/>
          <w:color w:val="001F60"/>
          <w:spacing w:val="-13"/>
        </w:rPr>
        <w:t xml:space="preserve"> </w:t>
      </w:r>
      <w:r>
        <w:rPr>
          <w:rFonts w:ascii="Calibri" w:hAnsi="Calibri"/>
          <w:b/>
          <w:color w:val="001F60"/>
        </w:rPr>
        <w:t>Seguros:</w:t>
      </w:r>
      <w:r>
        <w:rPr>
          <w:rFonts w:ascii="Calibri" w:hAnsi="Calibri"/>
          <w:b/>
          <w:color w:val="001F60"/>
          <w:spacing w:val="-12"/>
        </w:rPr>
        <w:t xml:space="preserve"> </w:t>
      </w:r>
      <w:r>
        <w:rPr>
          <w:rFonts w:ascii="Calibri" w:hAnsi="Calibri"/>
          <w:color w:val="001F60"/>
        </w:rPr>
        <w:t>A</w:t>
      </w:r>
      <w:r>
        <w:rPr>
          <w:rFonts w:ascii="Calibri" w:hAnsi="Calibri"/>
          <w:color w:val="001F60"/>
          <w:spacing w:val="-13"/>
        </w:rPr>
        <w:t xml:space="preserve"> </w:t>
      </w:r>
      <w:r>
        <w:rPr>
          <w:rFonts w:ascii="Calibri" w:hAnsi="Calibri"/>
          <w:color w:val="001F60"/>
        </w:rPr>
        <w:t>rubrica</w:t>
      </w:r>
      <w:r>
        <w:rPr>
          <w:rFonts w:ascii="Calibri" w:hAnsi="Calibri"/>
          <w:color w:val="001F60"/>
          <w:spacing w:val="-12"/>
        </w:rPr>
        <w:t xml:space="preserve"> </w:t>
      </w:r>
      <w:r>
        <w:rPr>
          <w:rFonts w:ascii="Calibri" w:hAnsi="Calibri"/>
          <w:color w:val="001F60"/>
        </w:rPr>
        <w:t>apresentou</w:t>
      </w:r>
      <w:r>
        <w:rPr>
          <w:rFonts w:ascii="Calibri" w:hAnsi="Calibri"/>
          <w:color w:val="001F60"/>
          <w:spacing w:val="-13"/>
        </w:rPr>
        <w:t xml:space="preserve"> </w:t>
      </w:r>
      <w:r>
        <w:rPr>
          <w:rFonts w:ascii="Calibri" w:hAnsi="Calibri"/>
          <w:color w:val="001F60"/>
        </w:rPr>
        <w:t>aumento</w:t>
      </w:r>
      <w:r>
        <w:rPr>
          <w:rFonts w:ascii="Calibri" w:hAnsi="Calibri"/>
          <w:color w:val="001F60"/>
          <w:spacing w:val="-12"/>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22,9%</w:t>
      </w:r>
      <w:r>
        <w:rPr>
          <w:rFonts w:ascii="Calibri" w:hAnsi="Calibri"/>
          <w:color w:val="001F60"/>
          <w:spacing w:val="-13"/>
        </w:rPr>
        <w:t xml:space="preserve"> </w:t>
      </w:r>
      <w:r>
        <w:rPr>
          <w:rFonts w:ascii="Calibri" w:hAnsi="Calibri"/>
          <w:color w:val="001F60"/>
        </w:rPr>
        <w:t>na</w:t>
      </w:r>
      <w:r>
        <w:rPr>
          <w:rFonts w:ascii="Calibri" w:hAnsi="Calibri"/>
          <w:color w:val="001F60"/>
          <w:spacing w:val="-12"/>
        </w:rPr>
        <w:t xml:space="preserve"> </w:t>
      </w:r>
      <w:r>
        <w:rPr>
          <w:rFonts w:ascii="Calibri" w:hAnsi="Calibri"/>
          <w:color w:val="001F60"/>
        </w:rPr>
        <w:t>comparação</w:t>
      </w:r>
      <w:r>
        <w:rPr>
          <w:rFonts w:ascii="Calibri" w:hAnsi="Calibri"/>
          <w:color w:val="001F60"/>
          <w:spacing w:val="-13"/>
        </w:rPr>
        <w:t xml:space="preserve"> </w:t>
      </w:r>
      <w:r>
        <w:rPr>
          <w:rFonts w:ascii="Calibri" w:hAnsi="Calibri"/>
          <w:color w:val="001F60"/>
        </w:rPr>
        <w:t>com</w:t>
      </w:r>
      <w:r>
        <w:rPr>
          <w:rFonts w:ascii="Calibri" w:hAnsi="Calibri"/>
          <w:color w:val="001F60"/>
          <w:spacing w:val="-12"/>
        </w:rPr>
        <w:t xml:space="preserve"> </w:t>
      </w:r>
      <w:r>
        <w:rPr>
          <w:rFonts w:ascii="Calibri" w:hAnsi="Calibri"/>
          <w:color w:val="001F60"/>
        </w:rPr>
        <w:t>o</w:t>
      </w:r>
      <w:r>
        <w:rPr>
          <w:rFonts w:ascii="Calibri" w:hAnsi="Calibri"/>
          <w:color w:val="001F60"/>
          <w:spacing w:val="-13"/>
        </w:rPr>
        <w:t xml:space="preserve"> </w:t>
      </w:r>
      <w:r>
        <w:rPr>
          <w:rFonts w:ascii="Calibri" w:hAnsi="Calibri"/>
          <w:color w:val="001F60"/>
        </w:rPr>
        <w:t>exercício de 2024 e de 21,8% em relação a 2023. Esse crescimento decorre, principalmente, da elevação dos custos</w:t>
      </w:r>
      <w:r>
        <w:rPr>
          <w:rFonts w:ascii="Calibri" w:hAnsi="Calibri"/>
          <w:color w:val="001F60"/>
          <w:spacing w:val="-8"/>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locação</w:t>
      </w:r>
      <w:r>
        <w:rPr>
          <w:rFonts w:ascii="Calibri" w:hAnsi="Calibri"/>
          <w:color w:val="001F60"/>
          <w:spacing w:val="-7"/>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equipamentos</w:t>
      </w:r>
      <w:r>
        <w:rPr>
          <w:rFonts w:ascii="Calibri" w:hAnsi="Calibri"/>
          <w:color w:val="001F60"/>
          <w:spacing w:val="-11"/>
        </w:rPr>
        <w:t xml:space="preserve"> </w:t>
      </w:r>
      <w:r>
        <w:rPr>
          <w:rFonts w:ascii="Calibri" w:hAnsi="Calibri"/>
          <w:color w:val="001F60"/>
        </w:rPr>
        <w:t>para</w:t>
      </w:r>
      <w:r>
        <w:rPr>
          <w:rFonts w:ascii="Calibri" w:hAnsi="Calibri"/>
          <w:color w:val="001F60"/>
          <w:spacing w:val="-10"/>
        </w:rPr>
        <w:t xml:space="preserve"> </w:t>
      </w:r>
      <w:r>
        <w:rPr>
          <w:rFonts w:ascii="Calibri" w:hAnsi="Calibri"/>
          <w:color w:val="001F60"/>
        </w:rPr>
        <w:t>conexão</w:t>
      </w:r>
      <w:r>
        <w:rPr>
          <w:rFonts w:ascii="Calibri" w:hAnsi="Calibri"/>
          <w:color w:val="001F60"/>
          <w:spacing w:val="-10"/>
        </w:rPr>
        <w:t xml:space="preserve"> </w:t>
      </w:r>
      <w:r>
        <w:rPr>
          <w:rFonts w:ascii="Calibri" w:hAnsi="Calibri"/>
          <w:color w:val="001F60"/>
        </w:rPr>
        <w:t>e</w:t>
      </w:r>
      <w:r>
        <w:rPr>
          <w:rFonts w:ascii="Calibri" w:hAnsi="Calibri"/>
          <w:color w:val="001F60"/>
          <w:spacing w:val="-8"/>
        </w:rPr>
        <w:t xml:space="preserve"> </w:t>
      </w:r>
      <w:r>
        <w:rPr>
          <w:rFonts w:ascii="Calibri" w:hAnsi="Calibri"/>
          <w:color w:val="001F60"/>
        </w:rPr>
        <w:t>operação</w:t>
      </w:r>
      <w:r>
        <w:rPr>
          <w:rFonts w:ascii="Calibri" w:hAnsi="Calibri"/>
          <w:color w:val="001F60"/>
          <w:spacing w:val="-10"/>
        </w:rPr>
        <w:t xml:space="preserve"> </w:t>
      </w:r>
      <w:r>
        <w:rPr>
          <w:rFonts w:ascii="Calibri" w:hAnsi="Calibri"/>
          <w:color w:val="001F60"/>
        </w:rPr>
        <w:t>satelital,</w:t>
      </w:r>
      <w:r>
        <w:rPr>
          <w:rFonts w:ascii="Calibri" w:hAnsi="Calibri"/>
          <w:color w:val="001F60"/>
          <w:spacing w:val="-6"/>
        </w:rPr>
        <w:t xml:space="preserve"> </w:t>
      </w:r>
      <w:r>
        <w:rPr>
          <w:rFonts w:ascii="Calibri" w:hAnsi="Calibri"/>
          <w:color w:val="001F60"/>
        </w:rPr>
        <w:t>registrada</w:t>
      </w:r>
      <w:r>
        <w:rPr>
          <w:rFonts w:ascii="Calibri" w:hAnsi="Calibri"/>
          <w:color w:val="001F60"/>
          <w:spacing w:val="-12"/>
        </w:rPr>
        <w:t xml:space="preserve"> </w:t>
      </w:r>
      <w:r>
        <w:rPr>
          <w:rFonts w:ascii="Calibri" w:hAnsi="Calibri"/>
          <w:color w:val="001F60"/>
        </w:rPr>
        <w:t>no</w:t>
      </w:r>
      <w:r>
        <w:rPr>
          <w:rFonts w:ascii="Calibri" w:hAnsi="Calibri"/>
          <w:color w:val="001F60"/>
          <w:spacing w:val="-5"/>
        </w:rPr>
        <w:t xml:space="preserve"> </w:t>
      </w:r>
      <w:r>
        <w:rPr>
          <w:rFonts w:ascii="Calibri" w:hAnsi="Calibri"/>
          <w:color w:val="001F60"/>
        </w:rPr>
        <w:t>período</w:t>
      </w:r>
      <w:r>
        <w:rPr>
          <w:rFonts w:ascii="Calibri" w:hAnsi="Calibri"/>
          <w:color w:val="001F60"/>
          <w:spacing w:val="-8"/>
        </w:rPr>
        <w:t xml:space="preserve"> </w:t>
      </w:r>
      <w:r>
        <w:rPr>
          <w:rFonts w:ascii="Calibri" w:hAnsi="Calibri"/>
          <w:color w:val="001F60"/>
        </w:rPr>
        <w:t>em</w:t>
      </w:r>
      <w:r>
        <w:rPr>
          <w:rFonts w:ascii="Calibri" w:hAnsi="Calibri"/>
          <w:color w:val="001F60"/>
          <w:spacing w:val="-6"/>
        </w:rPr>
        <w:t xml:space="preserve"> </w:t>
      </w:r>
      <w:r>
        <w:rPr>
          <w:rFonts w:ascii="Calibri" w:hAnsi="Calibri"/>
          <w:color w:val="001F60"/>
        </w:rPr>
        <w:t>razão da contratação de outras operadoras de satélite, além da Viasat, para atender às demandas dos serviços prestados.</w:t>
      </w:r>
    </w:p>
    <w:p w14:paraId="1571AD5D" w14:textId="77777777" w:rsidR="002C6574" w:rsidRDefault="002C6574">
      <w:pPr>
        <w:pStyle w:val="Corpodetexto"/>
        <w:spacing w:before="212"/>
        <w:rPr>
          <w:rFonts w:ascii="Calibri"/>
        </w:rPr>
      </w:pPr>
    </w:p>
    <w:p w14:paraId="45147A9D" w14:textId="77777777" w:rsidR="002C6574" w:rsidRDefault="00000000">
      <w:pPr>
        <w:numPr>
          <w:ilvl w:val="2"/>
          <w:numId w:val="74"/>
        </w:numPr>
        <w:tabs>
          <w:tab w:val="left" w:pos="1417"/>
        </w:tabs>
        <w:rPr>
          <w:rFonts w:ascii="Calibri" w:hAnsi="Calibri"/>
          <w:b/>
        </w:rPr>
      </w:pPr>
      <w:r>
        <w:rPr>
          <w:rFonts w:ascii="Calibri" w:hAnsi="Calibri"/>
          <w:b/>
          <w:color w:val="001F60"/>
        </w:rPr>
        <w:t>Depreciação</w:t>
      </w:r>
      <w:r>
        <w:rPr>
          <w:rFonts w:ascii="Calibri" w:hAnsi="Calibri"/>
          <w:b/>
          <w:color w:val="001F60"/>
          <w:spacing w:val="-3"/>
        </w:rPr>
        <w:t xml:space="preserve"> </w:t>
      </w:r>
      <w:r>
        <w:rPr>
          <w:rFonts w:ascii="Calibri" w:hAnsi="Calibri"/>
          <w:b/>
          <w:color w:val="001F60"/>
        </w:rPr>
        <w:t>e</w:t>
      </w:r>
      <w:r>
        <w:rPr>
          <w:rFonts w:ascii="Calibri" w:hAnsi="Calibri"/>
          <w:b/>
          <w:color w:val="001F60"/>
          <w:spacing w:val="-3"/>
        </w:rPr>
        <w:t xml:space="preserve"> </w:t>
      </w:r>
      <w:r>
        <w:rPr>
          <w:rFonts w:ascii="Calibri" w:hAnsi="Calibri"/>
          <w:b/>
          <w:color w:val="001F60"/>
          <w:spacing w:val="-2"/>
        </w:rPr>
        <w:t>Amortização</w:t>
      </w:r>
    </w:p>
    <w:p w14:paraId="3DB0AADB" w14:textId="77777777" w:rsidR="002C6574" w:rsidRDefault="002C6574">
      <w:pPr>
        <w:pStyle w:val="Corpodetexto"/>
        <w:spacing w:before="117"/>
        <w:rPr>
          <w:rFonts w:ascii="Calibri"/>
          <w:b/>
          <w:sz w:val="20"/>
        </w:rPr>
      </w:pPr>
    </w:p>
    <w:p w14:paraId="3D977AE3" w14:textId="77777777" w:rsidR="002C6574" w:rsidRDefault="00000000">
      <w:pPr>
        <w:pStyle w:val="Corpodetexto"/>
        <w:spacing w:line="20" w:lineRule="exact"/>
        <w:ind w:left="709"/>
        <w:rPr>
          <w:rFonts w:ascii="Calibri"/>
          <w:sz w:val="2"/>
        </w:rPr>
      </w:pPr>
      <w:r>
        <w:rPr>
          <w:rFonts w:ascii="Calibri"/>
          <w:noProof/>
          <w:sz w:val="2"/>
        </w:rPr>
        <mc:AlternateContent>
          <mc:Choice Requires="wpg">
            <w:drawing>
              <wp:inline distT="0" distB="0" distL="0" distR="0" wp14:anchorId="617EBE00" wp14:editId="564BEA07">
                <wp:extent cx="5760720" cy="12700"/>
                <wp:effectExtent l="0" t="0" r="0" b="635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12700"/>
                          <a:chOff x="0" y="0"/>
                          <a:chExt cx="5760720" cy="12700"/>
                        </a:xfrm>
                      </wpg:grpSpPr>
                      <wps:wsp>
                        <wps:cNvPr id="10" name="Graphic 10"/>
                        <wps:cNvSpPr/>
                        <wps:spPr>
                          <a:xfrm>
                            <a:off x="0" y="0"/>
                            <a:ext cx="2796540" cy="12700"/>
                          </a:xfrm>
                          <a:custGeom>
                            <a:avLst/>
                            <a:gdLst/>
                            <a:ahLst/>
                            <a:cxnLst/>
                            <a:rect l="l" t="t" r="r" b="b"/>
                            <a:pathLst>
                              <a:path w="2796540" h="12700">
                                <a:moveTo>
                                  <a:pt x="2796540" y="12191"/>
                                </a:moveTo>
                                <a:lnTo>
                                  <a:pt x="0" y="12191"/>
                                </a:lnTo>
                                <a:lnTo>
                                  <a:pt x="0" y="0"/>
                                </a:lnTo>
                                <a:lnTo>
                                  <a:pt x="2796540" y="0"/>
                                </a:lnTo>
                                <a:lnTo>
                                  <a:pt x="2796540" y="12191"/>
                                </a:lnTo>
                                <a:close/>
                              </a:path>
                            </a:pathLst>
                          </a:custGeom>
                          <a:solidFill>
                            <a:srgbClr val="8EA8DB"/>
                          </a:solidFill>
                        </wps:spPr>
                        <wps:bodyPr wrap="square" lIns="0" tIns="0" rIns="0" bIns="0" rtlCol="0">
                          <a:prstTxWarp prst="textNoShape">
                            <a:avLst/>
                          </a:prstTxWarp>
                          <a:noAutofit/>
                        </wps:bodyPr>
                      </wps:wsp>
                      <wps:wsp>
                        <wps:cNvPr id="11" name="Graphic 11"/>
                        <wps:cNvSpPr/>
                        <wps:spPr>
                          <a:xfrm>
                            <a:off x="2796540" y="0"/>
                            <a:ext cx="2964180" cy="12700"/>
                          </a:xfrm>
                          <a:custGeom>
                            <a:avLst/>
                            <a:gdLst/>
                            <a:ahLst/>
                            <a:cxnLst/>
                            <a:rect l="l" t="t" r="r" b="b"/>
                            <a:pathLst>
                              <a:path w="2964180" h="12700">
                                <a:moveTo>
                                  <a:pt x="2964179" y="12191"/>
                                </a:moveTo>
                                <a:lnTo>
                                  <a:pt x="0" y="12191"/>
                                </a:lnTo>
                                <a:lnTo>
                                  <a:pt x="0" y="0"/>
                                </a:lnTo>
                                <a:lnTo>
                                  <a:pt x="2964179" y="0"/>
                                </a:lnTo>
                                <a:lnTo>
                                  <a:pt x="2964179" y="12191"/>
                                </a:lnTo>
                                <a:close/>
                              </a:path>
                            </a:pathLst>
                          </a:custGeom>
                          <a:solidFill>
                            <a:srgbClr val="9AC1E6"/>
                          </a:solidFill>
                        </wps:spPr>
                        <wps:bodyPr wrap="square" lIns="0" tIns="0" rIns="0" bIns="0" rtlCol="0">
                          <a:prstTxWarp prst="textNoShape">
                            <a:avLst/>
                          </a:prstTxWarp>
                          <a:noAutofit/>
                        </wps:bodyPr>
                      </wps:wsp>
                    </wpg:wgp>
                  </a:graphicData>
                </a:graphic>
              </wp:inline>
            </w:drawing>
          </mc:Choice>
          <mc:Fallback>
            <w:pict>
              <v:group w14:anchorId="2EA32CD1" id="Group 9" o:spid="_x0000_s1026" style="width:453.6pt;height:1pt;mso-position-horizontal-relative:char;mso-position-vertical-relative:line" coordsize="5760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">
                <v:shape id="Graphic 10" o:spid="_x0000_s1027" style="position:absolute;width:27965;height:127;visibility:visible;mso-wrap-style:square;v-text-anchor:top" coordsize="27965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" path="m2796540,12191l,12191,,,2796540,r,12191xe" fillcolor="#8ea8db" stroked="f">
                  <v:path arrowok="t"/>
                </v:shape>
                <v:shape id="Graphic 11" o:spid="_x0000_s1028" style="position:absolute;left:27965;width:29642;height:127;visibility:visible;mso-wrap-style:square;v-text-anchor:top" coordsize="29641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" path="m2964179,12191l,12191,,,2964179,r,12191xe" fillcolor="#9ac1e6" stroked="f">
                  <v:path arrowok="t"/>
                </v:shape>
                <w10:anchorlock/>
              </v:group>
            </w:pict>
          </mc:Fallback>
        </mc:AlternateContent>
      </w:r>
    </w:p>
    <w:p w14:paraId="77521C72" w14:textId="77777777" w:rsidR="002C6574" w:rsidRDefault="002C6574">
      <w:pPr>
        <w:pStyle w:val="Corpodetexto"/>
        <w:spacing w:line="20" w:lineRule="exact"/>
        <w:rPr>
          <w:rFonts w:ascii="Calibri"/>
          <w:sz w:val="2"/>
        </w:rPr>
        <w:sectPr w:rsidR="002C6574">
          <w:pgSz w:w="11910" w:h="16840"/>
          <w:pgMar w:top="1160" w:right="850" w:bottom="740" w:left="992" w:header="312" w:footer="542" w:gutter="0"/>
          <w:cols w:space="720"/>
        </w:sectPr>
      </w:pPr>
    </w:p>
    <w:p w14:paraId="241A3448" w14:textId="77777777" w:rsidR="002C6574" w:rsidRDefault="00000000">
      <w:pPr>
        <w:tabs>
          <w:tab w:val="left" w:pos="5483"/>
          <w:tab w:val="left" w:pos="6496"/>
          <w:tab w:val="left" w:pos="7402"/>
          <w:tab w:val="left" w:pos="8147"/>
        </w:tabs>
        <w:spacing w:line="173" w:lineRule="exact"/>
        <w:ind w:left="779"/>
        <w:rPr>
          <w:rFonts w:ascii="Arial" w:hAnsi="Arial"/>
          <w:b/>
          <w:position w:val="7"/>
          <w:sz w:val="12"/>
        </w:rPr>
      </w:pPr>
      <w:r>
        <w:rPr>
          <w:rFonts w:ascii="Arial" w:hAnsi="Arial"/>
          <w:b/>
          <w:color w:val="2F75B5"/>
          <w:sz w:val="12"/>
        </w:rPr>
        <w:t xml:space="preserve">R$ </w:t>
      </w:r>
      <w:r>
        <w:rPr>
          <w:rFonts w:ascii="Arial" w:hAnsi="Arial"/>
          <w:b/>
          <w:color w:val="2F75B5"/>
          <w:spacing w:val="-5"/>
          <w:sz w:val="12"/>
        </w:rPr>
        <w:t>mil</w:t>
      </w:r>
      <w:r>
        <w:rPr>
          <w:rFonts w:ascii="Arial" w:hAnsi="Arial"/>
          <w:b/>
          <w:color w:val="2F75B5"/>
          <w:sz w:val="12"/>
        </w:rPr>
        <w:tab/>
      </w:r>
      <w:r>
        <w:rPr>
          <w:rFonts w:ascii="Arial" w:hAnsi="Arial"/>
          <w:b/>
          <w:color w:val="2D74B5"/>
          <w:spacing w:val="-4"/>
          <w:sz w:val="12"/>
        </w:rPr>
        <w:t>2025</w:t>
      </w:r>
      <w:r>
        <w:rPr>
          <w:rFonts w:ascii="Arial" w:hAnsi="Arial"/>
          <w:b/>
          <w:color w:val="2D74B5"/>
          <w:sz w:val="12"/>
        </w:rPr>
        <w:tab/>
      </w:r>
      <w:r>
        <w:rPr>
          <w:rFonts w:ascii="Arial" w:hAnsi="Arial"/>
          <w:b/>
          <w:color w:val="2D74B5"/>
          <w:spacing w:val="-4"/>
          <w:sz w:val="12"/>
        </w:rPr>
        <w:t>2024</w:t>
      </w:r>
      <w:r>
        <w:rPr>
          <w:rFonts w:ascii="Arial" w:hAnsi="Arial"/>
          <w:b/>
          <w:color w:val="2D74B5"/>
          <w:sz w:val="12"/>
        </w:rPr>
        <w:tab/>
      </w:r>
      <w:r>
        <w:rPr>
          <w:rFonts w:ascii="Arial" w:hAnsi="Arial"/>
          <w:b/>
          <w:color w:val="2D74B5"/>
          <w:spacing w:val="-4"/>
          <w:sz w:val="12"/>
        </w:rPr>
        <w:t>2023</w:t>
      </w:r>
      <w:r>
        <w:rPr>
          <w:rFonts w:ascii="Arial" w:hAnsi="Arial"/>
          <w:b/>
          <w:color w:val="2D74B5"/>
          <w:sz w:val="12"/>
        </w:rPr>
        <w:tab/>
      </w:r>
      <w:r>
        <w:rPr>
          <w:rFonts w:ascii="Arial" w:hAnsi="Arial"/>
          <w:b/>
          <w:color w:val="2F75B5"/>
          <w:position w:val="7"/>
          <w:sz w:val="12"/>
        </w:rPr>
        <w:t>Δ 2025</w:t>
      </w:r>
      <w:r>
        <w:rPr>
          <w:rFonts w:ascii="Arial" w:hAnsi="Arial"/>
          <w:b/>
          <w:color w:val="2F75B5"/>
          <w:spacing w:val="1"/>
          <w:position w:val="7"/>
          <w:sz w:val="12"/>
        </w:rPr>
        <w:t xml:space="preserve"> </w:t>
      </w:r>
      <w:r>
        <w:rPr>
          <w:rFonts w:ascii="Arial" w:hAnsi="Arial"/>
          <w:b/>
          <w:color w:val="2F75B5"/>
          <w:spacing w:val="-10"/>
          <w:position w:val="7"/>
          <w:sz w:val="12"/>
        </w:rPr>
        <w:t>X</w:t>
      </w:r>
    </w:p>
    <w:p w14:paraId="1C54732B" w14:textId="77777777" w:rsidR="002C6574" w:rsidRDefault="00000000">
      <w:pPr>
        <w:spacing w:line="104" w:lineRule="exact"/>
        <w:ind w:right="113"/>
        <w:jc w:val="right"/>
        <w:rPr>
          <w:rFonts w:ascii="Arial"/>
          <w:b/>
          <w:sz w:val="12"/>
        </w:rPr>
      </w:pPr>
      <w:r>
        <w:rPr>
          <w:rFonts w:ascii="Arial"/>
          <w:b/>
          <w:color w:val="2F75B5"/>
          <w:spacing w:val="-4"/>
          <w:sz w:val="12"/>
        </w:rPr>
        <w:t>2024</w:t>
      </w:r>
    </w:p>
    <w:p w14:paraId="6ED2F742" w14:textId="77777777" w:rsidR="002C6574" w:rsidRDefault="00000000">
      <w:pPr>
        <w:spacing w:line="137" w:lineRule="exact"/>
        <w:ind w:right="107"/>
        <w:jc w:val="center"/>
        <w:rPr>
          <w:rFonts w:ascii="Arial" w:hAnsi="Arial"/>
          <w:b/>
          <w:sz w:val="12"/>
        </w:rPr>
      </w:pPr>
      <w:r>
        <w:br w:type="column"/>
      </w:r>
      <w:r>
        <w:rPr>
          <w:rFonts w:ascii="Arial" w:hAnsi="Arial"/>
          <w:b/>
          <w:color w:val="2F75B5"/>
          <w:sz w:val="12"/>
        </w:rPr>
        <w:t>Δ 2025</w:t>
      </w:r>
      <w:r>
        <w:rPr>
          <w:rFonts w:ascii="Arial" w:hAnsi="Arial"/>
          <w:b/>
          <w:color w:val="2F75B5"/>
          <w:spacing w:val="1"/>
          <w:sz w:val="12"/>
        </w:rPr>
        <w:t xml:space="preserve"> </w:t>
      </w:r>
      <w:r>
        <w:rPr>
          <w:rFonts w:ascii="Arial" w:hAnsi="Arial"/>
          <w:b/>
          <w:color w:val="2F75B5"/>
          <w:spacing w:val="-10"/>
          <w:sz w:val="12"/>
        </w:rPr>
        <w:t>X</w:t>
      </w:r>
    </w:p>
    <w:p w14:paraId="2E64997C" w14:textId="77777777" w:rsidR="002C6574" w:rsidRDefault="00000000">
      <w:pPr>
        <w:spacing w:before="1"/>
        <w:ind w:left="3" w:right="107"/>
        <w:jc w:val="center"/>
        <w:rPr>
          <w:rFonts w:ascii="Arial"/>
          <w:b/>
          <w:sz w:val="12"/>
        </w:rPr>
      </w:pPr>
      <w:r>
        <w:rPr>
          <w:rFonts w:ascii="Arial"/>
          <w:b/>
          <w:color w:val="2F75B5"/>
          <w:spacing w:val="-4"/>
          <w:sz w:val="12"/>
        </w:rPr>
        <w:t>2023</w:t>
      </w:r>
    </w:p>
    <w:p w14:paraId="64610349" w14:textId="77777777" w:rsidR="002C6574" w:rsidRDefault="002C6574">
      <w:pPr>
        <w:jc w:val="center"/>
        <w:rPr>
          <w:rFonts w:ascii="Arial"/>
          <w:b/>
          <w:sz w:val="12"/>
        </w:rPr>
        <w:sectPr w:rsidR="002C6574">
          <w:type w:val="continuous"/>
          <w:pgSz w:w="11910" w:h="16840"/>
          <w:pgMar w:top="0" w:right="850" w:bottom="0" w:left="992" w:header="312" w:footer="542" w:gutter="0"/>
          <w:cols w:num="2" w:space="720" w:equalWidth="0">
            <w:col w:w="8649" w:space="40"/>
            <w:col w:w="1379"/>
          </w:cols>
        </w:sectPr>
      </w:pPr>
    </w:p>
    <w:p w14:paraId="78C7EE2B" w14:textId="77777777" w:rsidR="002C6574" w:rsidRDefault="00000000">
      <w:pPr>
        <w:pStyle w:val="Corpodetexto"/>
        <w:spacing w:line="20" w:lineRule="exact"/>
        <w:ind w:left="709"/>
        <w:rPr>
          <w:rFonts w:ascii="Arial"/>
          <w:sz w:val="2"/>
        </w:rPr>
      </w:pPr>
      <w:r>
        <w:rPr>
          <w:rFonts w:ascii="Arial"/>
          <w:noProof/>
          <w:sz w:val="2"/>
        </w:rPr>
        <mc:AlternateContent>
          <mc:Choice Requires="wpg">
            <w:drawing>
              <wp:inline distT="0" distB="0" distL="0" distR="0" wp14:anchorId="395DFB31" wp14:editId="657A48D0">
                <wp:extent cx="5760720" cy="12700"/>
                <wp:effectExtent l="0" t="0" r="0" b="635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12700"/>
                          <a:chOff x="0" y="0"/>
                          <a:chExt cx="5760720" cy="12700"/>
                        </a:xfrm>
                      </wpg:grpSpPr>
                      <wps:wsp>
                        <wps:cNvPr id="13" name="Graphic 13"/>
                        <wps:cNvSpPr/>
                        <wps:spPr>
                          <a:xfrm>
                            <a:off x="0" y="0"/>
                            <a:ext cx="2796540" cy="12700"/>
                          </a:xfrm>
                          <a:custGeom>
                            <a:avLst/>
                            <a:gdLst/>
                            <a:ahLst/>
                            <a:cxnLst/>
                            <a:rect l="l" t="t" r="r" b="b"/>
                            <a:pathLst>
                              <a:path w="2796540" h="12700">
                                <a:moveTo>
                                  <a:pt x="2796540" y="12191"/>
                                </a:moveTo>
                                <a:lnTo>
                                  <a:pt x="0" y="12191"/>
                                </a:lnTo>
                                <a:lnTo>
                                  <a:pt x="0" y="0"/>
                                </a:lnTo>
                                <a:lnTo>
                                  <a:pt x="2796540" y="0"/>
                                </a:lnTo>
                                <a:lnTo>
                                  <a:pt x="2796540" y="12191"/>
                                </a:lnTo>
                                <a:close/>
                              </a:path>
                            </a:pathLst>
                          </a:custGeom>
                          <a:solidFill>
                            <a:srgbClr val="8EA8DB"/>
                          </a:solidFill>
                        </wps:spPr>
                        <wps:bodyPr wrap="square" lIns="0" tIns="0" rIns="0" bIns="0" rtlCol="0">
                          <a:prstTxWarp prst="textNoShape">
                            <a:avLst/>
                          </a:prstTxWarp>
                          <a:noAutofit/>
                        </wps:bodyPr>
                      </wps:wsp>
                      <wps:wsp>
                        <wps:cNvPr id="14" name="Graphic 14"/>
                        <wps:cNvSpPr/>
                        <wps:spPr>
                          <a:xfrm>
                            <a:off x="2796540" y="0"/>
                            <a:ext cx="2964180" cy="12700"/>
                          </a:xfrm>
                          <a:custGeom>
                            <a:avLst/>
                            <a:gdLst/>
                            <a:ahLst/>
                            <a:cxnLst/>
                            <a:rect l="l" t="t" r="r" b="b"/>
                            <a:pathLst>
                              <a:path w="2964180" h="12700">
                                <a:moveTo>
                                  <a:pt x="2964179" y="12191"/>
                                </a:moveTo>
                                <a:lnTo>
                                  <a:pt x="0" y="12191"/>
                                </a:lnTo>
                                <a:lnTo>
                                  <a:pt x="0" y="0"/>
                                </a:lnTo>
                                <a:lnTo>
                                  <a:pt x="2964179" y="0"/>
                                </a:lnTo>
                                <a:lnTo>
                                  <a:pt x="2964179" y="12191"/>
                                </a:lnTo>
                                <a:close/>
                              </a:path>
                            </a:pathLst>
                          </a:custGeom>
                          <a:solidFill>
                            <a:srgbClr val="9AC1E6"/>
                          </a:solidFill>
                        </wps:spPr>
                        <wps:bodyPr wrap="square" lIns="0" tIns="0" rIns="0" bIns="0" rtlCol="0">
                          <a:prstTxWarp prst="textNoShape">
                            <a:avLst/>
                          </a:prstTxWarp>
                          <a:noAutofit/>
                        </wps:bodyPr>
                      </wps:wsp>
                    </wpg:wgp>
                  </a:graphicData>
                </a:graphic>
              </wp:inline>
            </w:drawing>
          </mc:Choice>
          <mc:Fallback>
            <w:pict>
              <v:group w14:anchorId="5E219D98" id="Group 12" o:spid="_x0000_s1026" style="width:453.6pt;height:1pt;mso-position-horizontal-relative:char;mso-position-vertical-relative:line" coordsize="5760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">
                <v:shape id="Graphic 13" o:spid="_x0000_s1027" style="position:absolute;width:27965;height:127;visibility:visible;mso-wrap-style:square;v-text-anchor:top" coordsize="27965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" path="m2796540,12191l,12191,,,2796540,r,12191xe" fillcolor="#8ea8db" stroked="f">
                  <v:path arrowok="t"/>
                </v:shape>
                <v:shape id="Graphic 14" o:spid="_x0000_s1028" style="position:absolute;left:27965;width:29642;height:127;visibility:visible;mso-wrap-style:square;v-text-anchor:top" coordsize="29641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" path="m2964179,12191l,12191,,,2964179,r,12191xe" fillcolor="#9ac1e6" stroked="f">
                  <v:path arrowok="t"/>
                </v:shape>
                <w10:anchorlock/>
              </v:group>
            </w:pict>
          </mc:Fallback>
        </mc:AlternateContent>
      </w:r>
    </w:p>
    <w:p w14:paraId="2908E1FB" w14:textId="77777777" w:rsidR="002C6574" w:rsidRDefault="00000000">
      <w:pPr>
        <w:tabs>
          <w:tab w:val="left" w:pos="5538"/>
          <w:tab w:val="left" w:pos="6551"/>
          <w:tab w:val="left" w:pos="7354"/>
          <w:tab w:val="left" w:pos="8516"/>
          <w:tab w:val="left" w:pos="9438"/>
        </w:tabs>
        <w:spacing w:before="46"/>
        <w:ind w:left="779"/>
        <w:rPr>
          <w:rFonts w:ascii="Arial MT" w:hAnsi="Arial MT"/>
          <w:sz w:val="12"/>
        </w:rPr>
      </w:pPr>
      <w:r>
        <w:rPr>
          <w:rFonts w:ascii="Arial MT" w:hAnsi="Arial MT"/>
          <w:noProof/>
          <w:sz w:val="12"/>
        </w:rPr>
        <mc:AlternateContent>
          <mc:Choice Requires="wpg">
            <w:drawing>
              <wp:anchor distT="0" distB="0" distL="0" distR="0" simplePos="0" relativeHeight="487590400" behindDoc="1" locked="0" layoutInCell="1" allowOverlap="1" wp14:anchorId="1F482E61" wp14:editId="2F27F869">
                <wp:simplePos x="0" y="0"/>
                <wp:positionH relativeFrom="page">
                  <wp:posOffset>1071372</wp:posOffset>
                </wp:positionH>
                <wp:positionV relativeFrom="paragraph">
                  <wp:posOffset>146411</wp:posOffset>
                </wp:positionV>
                <wp:extent cx="5770245" cy="1270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12700"/>
                          <a:chOff x="0" y="0"/>
                          <a:chExt cx="5770245" cy="12700"/>
                        </a:xfrm>
                      </wpg:grpSpPr>
                      <wps:wsp>
                        <wps:cNvPr id="16" name="Graphic 16"/>
                        <wps:cNvSpPr/>
                        <wps:spPr>
                          <a:xfrm>
                            <a:off x="0" y="0"/>
                            <a:ext cx="4601210" cy="12700"/>
                          </a:xfrm>
                          <a:custGeom>
                            <a:avLst/>
                            <a:gdLst/>
                            <a:ahLst/>
                            <a:cxnLst/>
                            <a:rect l="l" t="t" r="r" b="b"/>
                            <a:pathLst>
                              <a:path w="4601210" h="12700">
                                <a:moveTo>
                                  <a:pt x="4600956" y="0"/>
                                </a:moveTo>
                                <a:lnTo>
                                  <a:pt x="4093464" y="0"/>
                                </a:lnTo>
                                <a:lnTo>
                                  <a:pt x="0" y="0"/>
                                </a:lnTo>
                                <a:lnTo>
                                  <a:pt x="0" y="12192"/>
                                </a:lnTo>
                                <a:lnTo>
                                  <a:pt x="4093451" y="12192"/>
                                </a:lnTo>
                                <a:lnTo>
                                  <a:pt x="4600956" y="12192"/>
                                </a:lnTo>
                                <a:lnTo>
                                  <a:pt x="4600956" y="0"/>
                                </a:lnTo>
                                <a:close/>
                              </a:path>
                            </a:pathLst>
                          </a:custGeom>
                          <a:solidFill>
                            <a:srgbClr val="9AC1E6"/>
                          </a:solidFill>
                        </wps:spPr>
                        <wps:bodyPr wrap="square" lIns="0" tIns="0" rIns="0" bIns="0" rtlCol="0">
                          <a:prstTxWarp prst="textNoShape">
                            <a:avLst/>
                          </a:prstTxWarp>
                          <a:noAutofit/>
                        </wps:bodyPr>
                      </wps:wsp>
                      <wps:wsp>
                        <wps:cNvPr id="17" name="Graphic 17"/>
                        <wps:cNvSpPr/>
                        <wps:spPr>
                          <a:xfrm>
                            <a:off x="4591811" y="0"/>
                            <a:ext cx="594360" cy="12700"/>
                          </a:xfrm>
                          <a:custGeom>
                            <a:avLst/>
                            <a:gdLst/>
                            <a:ahLst/>
                            <a:cxnLst/>
                            <a:rect l="l" t="t" r="r" b="b"/>
                            <a:pathLst>
                              <a:path w="594360" h="12700">
                                <a:moveTo>
                                  <a:pt x="594360" y="12191"/>
                                </a:moveTo>
                                <a:lnTo>
                                  <a:pt x="0" y="12191"/>
                                </a:lnTo>
                                <a:lnTo>
                                  <a:pt x="0" y="0"/>
                                </a:lnTo>
                                <a:lnTo>
                                  <a:pt x="594360" y="0"/>
                                </a:lnTo>
                                <a:lnTo>
                                  <a:pt x="594360" y="12191"/>
                                </a:lnTo>
                                <a:close/>
                              </a:path>
                            </a:pathLst>
                          </a:custGeom>
                          <a:solidFill>
                            <a:srgbClr val="8EAADB"/>
                          </a:solidFill>
                        </wps:spPr>
                        <wps:bodyPr wrap="square" lIns="0" tIns="0" rIns="0" bIns="0" rtlCol="0">
                          <a:prstTxWarp prst="textNoShape">
                            <a:avLst/>
                          </a:prstTxWarp>
                          <a:noAutofit/>
                        </wps:bodyPr>
                      </wps:wsp>
                      <wps:wsp>
                        <wps:cNvPr id="18" name="Graphic 18"/>
                        <wps:cNvSpPr/>
                        <wps:spPr>
                          <a:xfrm>
                            <a:off x="5177027" y="0"/>
                            <a:ext cx="593090" cy="12700"/>
                          </a:xfrm>
                          <a:custGeom>
                            <a:avLst/>
                            <a:gdLst/>
                            <a:ahLst/>
                            <a:cxnLst/>
                            <a:rect l="l" t="t" r="r" b="b"/>
                            <a:pathLst>
                              <a:path w="593090" h="12700">
                                <a:moveTo>
                                  <a:pt x="592835" y="12191"/>
                                </a:moveTo>
                                <a:lnTo>
                                  <a:pt x="0" y="12191"/>
                                </a:lnTo>
                                <a:lnTo>
                                  <a:pt x="0" y="0"/>
                                </a:lnTo>
                                <a:lnTo>
                                  <a:pt x="592835" y="0"/>
                                </a:lnTo>
                                <a:lnTo>
                                  <a:pt x="592835" y="12191"/>
                                </a:lnTo>
                                <a:close/>
                              </a:path>
                            </a:pathLst>
                          </a:custGeom>
                          <a:solidFill>
                            <a:srgbClr val="9AC1E6"/>
                          </a:solidFill>
                        </wps:spPr>
                        <wps:bodyPr wrap="square" lIns="0" tIns="0" rIns="0" bIns="0" rtlCol="0">
                          <a:prstTxWarp prst="textNoShape">
                            <a:avLst/>
                          </a:prstTxWarp>
                          <a:noAutofit/>
                        </wps:bodyPr>
                      </wps:wsp>
                    </wpg:wgp>
                  </a:graphicData>
                </a:graphic>
              </wp:anchor>
            </w:drawing>
          </mc:Choice>
          <mc:Fallback>
            <w:pict>
              <v:group w14:anchorId="4EA8AE0B" id="Group 15" o:spid="_x0000_s1026" style="position:absolute;margin-left:84.35pt;margin-top:11.55pt;width:454.35pt;height:1pt;z-index:-15726080;mso-wrap-distance-left:0;mso-wrap-distance-right:0;mso-position-horizontal-relative:page" coordsize="577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">
                <v:shape id="Graphic 16" o:spid="_x0000_s1027" style="position:absolute;width:46012;height:127;visibility:visible;mso-wrap-style:square;v-text-anchor:top" coordsize="46012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" path="m4600956,l4093464,,,,,12192r4093451,l4600956,12192r,-12192xe" fillcolor="#9ac1e6" stroked="f">
                  <v:path arrowok="t"/>
                </v:shape>
                <v:shape id="Graphic 17" o:spid="_x0000_s1028" style="position:absolute;left:45918;width:5943;height:127;visibility:visible;mso-wrap-style:square;v-text-anchor:top" coordsize="5943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" path="m594360,12191l,12191,,,594360,r,12191xe" fillcolor="#8eaadb" stroked="f">
                  <v:path arrowok="t"/>
                </v:shape>
                <v:shape id="Graphic 18" o:spid="_x0000_s1029" style="position:absolute;left:51770;width:5931;height:127;visibility:visible;mso-wrap-style:square;v-text-anchor:top" coordsize="5930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" path="m592835,12191l,12191,,,592835,r,12191xe" fillcolor="#9ac1e6" stroked="f">
                  <v:path arrowok="t"/>
                </v:shape>
                <w10:wrap type="topAndBottom" anchorx="page"/>
              </v:group>
            </w:pict>
          </mc:Fallback>
        </mc:AlternateContent>
      </w:r>
      <w:r>
        <w:rPr>
          <w:rFonts w:ascii="Arial MT" w:hAnsi="Arial MT"/>
          <w:sz w:val="12"/>
        </w:rPr>
        <w:t>Depreciação</w:t>
      </w:r>
      <w:r>
        <w:rPr>
          <w:rFonts w:ascii="Arial MT" w:hAnsi="Arial MT"/>
          <w:spacing w:val="-1"/>
          <w:sz w:val="12"/>
        </w:rPr>
        <w:t xml:space="preserve"> </w:t>
      </w:r>
      <w:r>
        <w:rPr>
          <w:rFonts w:ascii="Arial MT" w:hAnsi="Arial MT"/>
          <w:sz w:val="12"/>
        </w:rPr>
        <w:t>e</w:t>
      </w:r>
      <w:r>
        <w:rPr>
          <w:rFonts w:ascii="Arial MT" w:hAnsi="Arial MT"/>
          <w:spacing w:val="2"/>
          <w:sz w:val="12"/>
        </w:rPr>
        <w:t xml:space="preserve"> </w:t>
      </w:r>
      <w:r>
        <w:rPr>
          <w:rFonts w:ascii="Arial MT" w:hAnsi="Arial MT"/>
          <w:spacing w:val="-2"/>
          <w:sz w:val="12"/>
        </w:rPr>
        <w:t>Amortização</w:t>
      </w:r>
      <w:r>
        <w:rPr>
          <w:rFonts w:ascii="Arial MT" w:hAnsi="Arial MT"/>
          <w:sz w:val="12"/>
        </w:rPr>
        <w:tab/>
      </w:r>
      <w:r>
        <w:rPr>
          <w:rFonts w:ascii="Arial MT" w:hAnsi="Arial MT"/>
          <w:spacing w:val="-2"/>
          <w:sz w:val="12"/>
        </w:rPr>
        <w:t>(274.104)</w:t>
      </w:r>
      <w:r>
        <w:rPr>
          <w:rFonts w:ascii="Arial MT" w:hAnsi="Arial MT"/>
          <w:sz w:val="12"/>
        </w:rPr>
        <w:tab/>
      </w:r>
      <w:r>
        <w:rPr>
          <w:rFonts w:ascii="Arial MT" w:hAnsi="Arial MT"/>
          <w:spacing w:val="-2"/>
          <w:sz w:val="12"/>
        </w:rPr>
        <w:t>(270.044)</w:t>
      </w:r>
      <w:r>
        <w:rPr>
          <w:rFonts w:ascii="Arial MT" w:hAnsi="Arial MT"/>
          <w:sz w:val="12"/>
        </w:rPr>
        <w:tab/>
      </w:r>
      <w:r>
        <w:rPr>
          <w:rFonts w:ascii="Arial MT" w:hAnsi="Arial MT"/>
          <w:spacing w:val="-2"/>
          <w:sz w:val="12"/>
        </w:rPr>
        <w:t>(253.540)</w:t>
      </w:r>
      <w:r>
        <w:rPr>
          <w:rFonts w:ascii="Arial MT" w:hAnsi="Arial MT"/>
          <w:sz w:val="12"/>
        </w:rPr>
        <w:tab/>
      </w:r>
      <w:r>
        <w:rPr>
          <w:rFonts w:ascii="Arial MT" w:hAnsi="Arial MT"/>
          <w:spacing w:val="-4"/>
          <w:sz w:val="12"/>
        </w:rPr>
        <w:t>1,5%</w:t>
      </w:r>
      <w:r>
        <w:rPr>
          <w:rFonts w:ascii="Arial MT" w:hAnsi="Arial MT"/>
          <w:sz w:val="12"/>
        </w:rPr>
        <w:tab/>
      </w:r>
      <w:r>
        <w:rPr>
          <w:rFonts w:ascii="Arial MT" w:hAnsi="Arial MT"/>
          <w:spacing w:val="-4"/>
          <w:sz w:val="12"/>
        </w:rPr>
        <w:t>8,1%</w:t>
      </w:r>
    </w:p>
    <w:p w14:paraId="54D2257C" w14:textId="77777777" w:rsidR="002C6574" w:rsidRDefault="00000000">
      <w:pPr>
        <w:spacing w:before="119"/>
        <w:ind w:left="425"/>
        <w:jc w:val="center"/>
        <w:rPr>
          <w:rFonts w:ascii="Calibri" w:hAnsi="Calibri"/>
          <w:sz w:val="16"/>
        </w:rPr>
      </w:pPr>
      <w:r>
        <w:rPr>
          <w:rFonts w:ascii="Calibri" w:hAnsi="Calibri"/>
          <w:color w:val="001F60"/>
          <w:sz w:val="16"/>
        </w:rPr>
        <w:t>Tabela</w:t>
      </w:r>
      <w:r>
        <w:rPr>
          <w:rFonts w:ascii="Calibri" w:hAnsi="Calibri"/>
          <w:color w:val="001F60"/>
          <w:spacing w:val="-4"/>
          <w:sz w:val="16"/>
        </w:rPr>
        <w:t xml:space="preserve"> </w:t>
      </w:r>
      <w:r>
        <w:rPr>
          <w:rFonts w:ascii="Calibri" w:hAnsi="Calibri"/>
          <w:color w:val="001F60"/>
          <w:sz w:val="16"/>
        </w:rPr>
        <w:t>3-6</w:t>
      </w:r>
      <w:r>
        <w:rPr>
          <w:rFonts w:ascii="Calibri" w:hAnsi="Calibri"/>
          <w:color w:val="001F60"/>
          <w:spacing w:val="-3"/>
          <w:sz w:val="16"/>
        </w:rPr>
        <w:t xml:space="preserve"> </w:t>
      </w:r>
      <w:r>
        <w:rPr>
          <w:rFonts w:ascii="Calibri" w:hAnsi="Calibri"/>
          <w:color w:val="001F60"/>
          <w:sz w:val="16"/>
        </w:rPr>
        <w:t>Depreciação</w:t>
      </w:r>
      <w:r>
        <w:rPr>
          <w:rFonts w:ascii="Calibri" w:hAnsi="Calibri"/>
          <w:color w:val="001F60"/>
          <w:spacing w:val="-4"/>
          <w:sz w:val="16"/>
        </w:rPr>
        <w:t xml:space="preserve"> </w:t>
      </w:r>
      <w:r>
        <w:rPr>
          <w:rFonts w:ascii="Calibri" w:hAnsi="Calibri"/>
          <w:color w:val="001F60"/>
          <w:sz w:val="16"/>
        </w:rPr>
        <w:t>e</w:t>
      </w:r>
      <w:r>
        <w:rPr>
          <w:rFonts w:ascii="Calibri" w:hAnsi="Calibri"/>
          <w:color w:val="001F60"/>
          <w:spacing w:val="-4"/>
          <w:sz w:val="16"/>
        </w:rPr>
        <w:t xml:space="preserve"> </w:t>
      </w:r>
      <w:r>
        <w:rPr>
          <w:rFonts w:ascii="Calibri" w:hAnsi="Calibri"/>
          <w:color w:val="001F60"/>
          <w:spacing w:val="-2"/>
          <w:sz w:val="16"/>
        </w:rPr>
        <w:t>Amortização</w:t>
      </w:r>
    </w:p>
    <w:p w14:paraId="1CF4F4F1" w14:textId="77777777" w:rsidR="002C6574" w:rsidRDefault="00000000">
      <w:pPr>
        <w:pStyle w:val="Corpodetexto"/>
        <w:spacing w:before="122"/>
        <w:ind w:left="709" w:right="279"/>
        <w:jc w:val="both"/>
        <w:rPr>
          <w:rFonts w:ascii="Calibri" w:hAnsi="Calibri"/>
        </w:rPr>
      </w:pPr>
      <w:r>
        <w:rPr>
          <w:rFonts w:ascii="Calibri" w:hAnsi="Calibri"/>
          <w:color w:val="001F60"/>
        </w:rPr>
        <w:t>A rubrica de Depreciação e Amortização apresentou aumento de 1,5% na comparação entre os exercícios de 2025 e 2024 e de 8,1% em relação ao ano de 2023. Esse crescimento decorre, principalmente,</w:t>
      </w:r>
      <w:r>
        <w:rPr>
          <w:rFonts w:ascii="Calibri" w:hAnsi="Calibri"/>
          <w:color w:val="001F60"/>
          <w:spacing w:val="-7"/>
        </w:rPr>
        <w:t xml:space="preserve"> </w:t>
      </w:r>
      <w:r>
        <w:rPr>
          <w:rFonts w:ascii="Calibri" w:hAnsi="Calibri"/>
          <w:color w:val="001F60"/>
        </w:rPr>
        <w:t>das</w:t>
      </w:r>
      <w:r>
        <w:rPr>
          <w:rFonts w:ascii="Calibri" w:hAnsi="Calibri"/>
          <w:color w:val="001F60"/>
          <w:spacing w:val="-9"/>
        </w:rPr>
        <w:t xml:space="preserve"> </w:t>
      </w:r>
      <w:r>
        <w:rPr>
          <w:rFonts w:ascii="Calibri" w:hAnsi="Calibri"/>
          <w:color w:val="001F60"/>
        </w:rPr>
        <w:t>transferências</w:t>
      </w:r>
      <w:r>
        <w:rPr>
          <w:rFonts w:ascii="Calibri" w:hAnsi="Calibri"/>
          <w:color w:val="001F60"/>
          <w:spacing w:val="-7"/>
        </w:rPr>
        <w:t xml:space="preserve"> </w:t>
      </w:r>
      <w:r>
        <w:rPr>
          <w:rFonts w:ascii="Calibri" w:hAnsi="Calibri"/>
          <w:color w:val="001F60"/>
        </w:rPr>
        <w:t>de</w:t>
      </w:r>
      <w:r>
        <w:rPr>
          <w:rFonts w:ascii="Calibri" w:hAnsi="Calibri"/>
          <w:color w:val="001F60"/>
          <w:spacing w:val="-7"/>
        </w:rPr>
        <w:t xml:space="preserve"> </w:t>
      </w:r>
      <w:r>
        <w:rPr>
          <w:rFonts w:ascii="Calibri" w:hAnsi="Calibri"/>
          <w:color w:val="001F60"/>
        </w:rPr>
        <w:t>bens</w:t>
      </w:r>
      <w:r>
        <w:rPr>
          <w:rFonts w:ascii="Calibri" w:hAnsi="Calibri"/>
          <w:color w:val="001F60"/>
          <w:spacing w:val="-7"/>
        </w:rPr>
        <w:t xml:space="preserve"> </w:t>
      </w:r>
      <w:r>
        <w:rPr>
          <w:rFonts w:ascii="Calibri" w:hAnsi="Calibri"/>
          <w:color w:val="001F60"/>
        </w:rPr>
        <w:t>anteriormente</w:t>
      </w:r>
      <w:r>
        <w:rPr>
          <w:rFonts w:ascii="Calibri" w:hAnsi="Calibri"/>
          <w:color w:val="001F60"/>
          <w:spacing w:val="-7"/>
        </w:rPr>
        <w:t xml:space="preserve"> </w:t>
      </w:r>
      <w:r>
        <w:rPr>
          <w:rFonts w:ascii="Calibri" w:hAnsi="Calibri"/>
          <w:color w:val="001F60"/>
        </w:rPr>
        <w:t>classificados</w:t>
      </w:r>
      <w:r>
        <w:rPr>
          <w:rFonts w:ascii="Calibri" w:hAnsi="Calibri"/>
          <w:color w:val="001F60"/>
          <w:spacing w:val="-9"/>
        </w:rPr>
        <w:t xml:space="preserve"> </w:t>
      </w:r>
      <w:r>
        <w:rPr>
          <w:rFonts w:ascii="Calibri" w:hAnsi="Calibri"/>
          <w:color w:val="001F60"/>
        </w:rPr>
        <w:t>como</w:t>
      </w:r>
      <w:r>
        <w:rPr>
          <w:rFonts w:ascii="Calibri" w:hAnsi="Calibri"/>
          <w:color w:val="001F60"/>
          <w:spacing w:val="-6"/>
        </w:rPr>
        <w:t xml:space="preserve"> </w:t>
      </w:r>
      <w:r>
        <w:rPr>
          <w:rFonts w:ascii="Calibri" w:hAnsi="Calibri"/>
          <w:color w:val="001F60"/>
        </w:rPr>
        <w:t>“em</w:t>
      </w:r>
      <w:r>
        <w:rPr>
          <w:rFonts w:ascii="Calibri" w:hAnsi="Calibri"/>
          <w:color w:val="001F60"/>
          <w:spacing w:val="-7"/>
        </w:rPr>
        <w:t xml:space="preserve"> </w:t>
      </w:r>
      <w:r>
        <w:rPr>
          <w:rFonts w:ascii="Calibri" w:hAnsi="Calibri"/>
          <w:color w:val="001F60"/>
        </w:rPr>
        <w:t>andamento”</w:t>
      </w:r>
      <w:r>
        <w:rPr>
          <w:rFonts w:ascii="Calibri" w:hAnsi="Calibri"/>
          <w:color w:val="001F60"/>
          <w:spacing w:val="-7"/>
        </w:rPr>
        <w:t xml:space="preserve"> </w:t>
      </w:r>
      <w:r>
        <w:rPr>
          <w:rFonts w:ascii="Calibri" w:hAnsi="Calibri"/>
          <w:color w:val="001F60"/>
        </w:rPr>
        <w:t>para</w:t>
      </w:r>
      <w:r>
        <w:rPr>
          <w:rFonts w:ascii="Calibri" w:hAnsi="Calibri"/>
          <w:color w:val="001F60"/>
          <w:spacing w:val="-9"/>
        </w:rPr>
        <w:t xml:space="preserve"> </w:t>
      </w:r>
      <w:r>
        <w:rPr>
          <w:rFonts w:ascii="Calibri" w:hAnsi="Calibri"/>
          <w:color w:val="001F60"/>
        </w:rPr>
        <w:t>a condição de “em serviço”, ao longo desses períodos, passando, assim, a integrar a base depreciável.</w:t>
      </w:r>
    </w:p>
    <w:p w14:paraId="7C6594CB" w14:textId="77777777" w:rsidR="002C6574" w:rsidRDefault="00000000">
      <w:pPr>
        <w:pStyle w:val="Corpodetexto"/>
        <w:spacing w:before="118"/>
        <w:ind w:left="709" w:right="279"/>
        <w:jc w:val="both"/>
        <w:rPr>
          <w:rFonts w:ascii="Calibri" w:hAnsi="Calibri"/>
        </w:rPr>
      </w:pPr>
      <w:r>
        <w:rPr>
          <w:rFonts w:ascii="Calibri" w:hAnsi="Calibri"/>
          <w:color w:val="001F60"/>
        </w:rPr>
        <w:t>Esse</w:t>
      </w:r>
      <w:r>
        <w:rPr>
          <w:rFonts w:ascii="Calibri" w:hAnsi="Calibri"/>
          <w:color w:val="001F60"/>
          <w:spacing w:val="-11"/>
        </w:rPr>
        <w:t xml:space="preserve"> </w:t>
      </w:r>
      <w:r>
        <w:rPr>
          <w:rFonts w:ascii="Calibri" w:hAnsi="Calibri"/>
          <w:color w:val="001F60"/>
        </w:rPr>
        <w:t>efeito</w:t>
      </w:r>
      <w:r>
        <w:rPr>
          <w:rFonts w:ascii="Calibri" w:hAnsi="Calibri"/>
          <w:color w:val="001F60"/>
          <w:spacing w:val="-13"/>
        </w:rPr>
        <w:t xml:space="preserve"> </w:t>
      </w:r>
      <w:r>
        <w:rPr>
          <w:rFonts w:ascii="Calibri" w:hAnsi="Calibri"/>
          <w:color w:val="001F60"/>
        </w:rPr>
        <w:t>foi</w:t>
      </w:r>
      <w:r>
        <w:rPr>
          <w:rFonts w:ascii="Calibri" w:hAnsi="Calibri"/>
          <w:color w:val="001F60"/>
          <w:spacing w:val="-12"/>
        </w:rPr>
        <w:t xml:space="preserve"> </w:t>
      </w:r>
      <w:r>
        <w:rPr>
          <w:rFonts w:ascii="Calibri" w:hAnsi="Calibri"/>
          <w:color w:val="001F60"/>
        </w:rPr>
        <w:t>parcialmente</w:t>
      </w:r>
      <w:r>
        <w:rPr>
          <w:rFonts w:ascii="Calibri" w:hAnsi="Calibri"/>
          <w:color w:val="001F60"/>
          <w:spacing w:val="-13"/>
        </w:rPr>
        <w:t xml:space="preserve"> </w:t>
      </w:r>
      <w:r>
        <w:rPr>
          <w:rFonts w:ascii="Calibri" w:hAnsi="Calibri"/>
          <w:color w:val="001F60"/>
        </w:rPr>
        <w:t>compensado</w:t>
      </w:r>
      <w:r>
        <w:rPr>
          <w:rFonts w:ascii="Calibri" w:hAnsi="Calibri"/>
          <w:color w:val="001F60"/>
          <w:spacing w:val="-10"/>
        </w:rPr>
        <w:t xml:space="preserve"> </w:t>
      </w:r>
      <w:r>
        <w:rPr>
          <w:rFonts w:ascii="Calibri" w:hAnsi="Calibri"/>
          <w:color w:val="001F60"/>
        </w:rPr>
        <w:t>pelo</w:t>
      </w:r>
      <w:r>
        <w:rPr>
          <w:rFonts w:ascii="Calibri" w:hAnsi="Calibri"/>
          <w:color w:val="001F60"/>
          <w:spacing w:val="-11"/>
        </w:rPr>
        <w:t xml:space="preserve"> </w:t>
      </w:r>
      <w:r>
        <w:rPr>
          <w:rFonts w:ascii="Calibri" w:hAnsi="Calibri"/>
          <w:color w:val="001F60"/>
        </w:rPr>
        <w:t>aumento</w:t>
      </w:r>
      <w:r>
        <w:rPr>
          <w:rFonts w:ascii="Calibri" w:hAnsi="Calibri"/>
          <w:color w:val="001F60"/>
          <w:spacing w:val="-9"/>
        </w:rPr>
        <w:t xml:space="preserve"> </w:t>
      </w:r>
      <w:r>
        <w:rPr>
          <w:rFonts w:ascii="Calibri" w:hAnsi="Calibri"/>
          <w:color w:val="001F60"/>
        </w:rPr>
        <w:t>do</w:t>
      </w:r>
      <w:r>
        <w:rPr>
          <w:rFonts w:ascii="Calibri" w:hAnsi="Calibri"/>
          <w:color w:val="001F60"/>
          <w:spacing w:val="-9"/>
        </w:rPr>
        <w:t xml:space="preserve"> </w:t>
      </w:r>
      <w:r>
        <w:rPr>
          <w:rFonts w:ascii="Calibri" w:hAnsi="Calibri"/>
          <w:color w:val="001F60"/>
        </w:rPr>
        <w:t>número</w:t>
      </w:r>
      <w:r>
        <w:rPr>
          <w:rFonts w:ascii="Calibri" w:hAnsi="Calibri"/>
          <w:color w:val="001F60"/>
          <w:spacing w:val="-9"/>
        </w:rPr>
        <w:t xml:space="preserve"> </w:t>
      </w:r>
      <w:r>
        <w:rPr>
          <w:rFonts w:ascii="Calibri" w:hAnsi="Calibri"/>
          <w:color w:val="001F60"/>
        </w:rPr>
        <w:t>de</w:t>
      </w:r>
      <w:r>
        <w:rPr>
          <w:rFonts w:ascii="Calibri" w:hAnsi="Calibri"/>
          <w:color w:val="001F60"/>
          <w:spacing w:val="-9"/>
        </w:rPr>
        <w:t xml:space="preserve"> </w:t>
      </w:r>
      <w:r>
        <w:rPr>
          <w:rFonts w:ascii="Calibri" w:hAnsi="Calibri"/>
          <w:color w:val="001F60"/>
        </w:rPr>
        <w:t>ativos</w:t>
      </w:r>
      <w:r>
        <w:rPr>
          <w:rFonts w:ascii="Calibri" w:hAnsi="Calibri"/>
          <w:color w:val="001F60"/>
          <w:spacing w:val="-9"/>
        </w:rPr>
        <w:t xml:space="preserve"> </w:t>
      </w:r>
      <w:r>
        <w:rPr>
          <w:rFonts w:ascii="Calibri" w:hAnsi="Calibri"/>
          <w:color w:val="001F60"/>
        </w:rPr>
        <w:t>que</w:t>
      </w:r>
      <w:r>
        <w:rPr>
          <w:rFonts w:ascii="Calibri" w:hAnsi="Calibri"/>
          <w:color w:val="001F60"/>
          <w:spacing w:val="-11"/>
        </w:rPr>
        <w:t xml:space="preserve"> </w:t>
      </w:r>
      <w:r>
        <w:rPr>
          <w:rFonts w:ascii="Calibri" w:hAnsi="Calibri"/>
          <w:color w:val="001F60"/>
        </w:rPr>
        <w:t>atingiram</w:t>
      </w:r>
      <w:r>
        <w:rPr>
          <w:rFonts w:ascii="Calibri" w:hAnsi="Calibri"/>
          <w:color w:val="001F60"/>
          <w:spacing w:val="-11"/>
        </w:rPr>
        <w:t xml:space="preserve"> </w:t>
      </w:r>
      <w:r>
        <w:rPr>
          <w:rFonts w:ascii="Calibri" w:hAnsi="Calibri"/>
          <w:color w:val="001F60"/>
        </w:rPr>
        <w:t>a</w:t>
      </w:r>
      <w:r>
        <w:rPr>
          <w:rFonts w:ascii="Calibri" w:hAnsi="Calibri"/>
          <w:color w:val="001F60"/>
          <w:spacing w:val="-9"/>
        </w:rPr>
        <w:t xml:space="preserve"> </w:t>
      </w:r>
      <w:r>
        <w:rPr>
          <w:rFonts w:ascii="Calibri" w:hAnsi="Calibri"/>
          <w:color w:val="001F60"/>
        </w:rPr>
        <w:t xml:space="preserve">condição de totalmente depreciados, o que reduziu o impacto líquido dessa despesa no exercício, bem como pelas baixas de bens realizadas nos exercícios anteriores em decorrência do processo de inventário </w:t>
      </w:r>
      <w:r>
        <w:rPr>
          <w:rFonts w:ascii="Calibri" w:hAnsi="Calibri"/>
          <w:color w:val="001F60"/>
          <w:spacing w:val="-2"/>
        </w:rPr>
        <w:t>patrimonial.</w:t>
      </w:r>
    </w:p>
    <w:p w14:paraId="600A2861" w14:textId="77777777" w:rsidR="002C6574" w:rsidRDefault="002C6574">
      <w:pPr>
        <w:pStyle w:val="Corpodetexto"/>
        <w:spacing w:before="212"/>
        <w:rPr>
          <w:rFonts w:ascii="Calibri"/>
        </w:rPr>
      </w:pPr>
    </w:p>
    <w:p w14:paraId="00BBFC2A" w14:textId="77777777" w:rsidR="002C6574" w:rsidRDefault="00000000">
      <w:pPr>
        <w:numPr>
          <w:ilvl w:val="2"/>
          <w:numId w:val="74"/>
        </w:numPr>
        <w:tabs>
          <w:tab w:val="left" w:pos="1417"/>
        </w:tabs>
        <w:spacing w:before="1"/>
        <w:rPr>
          <w:rFonts w:ascii="Calibri" w:hAnsi="Calibri"/>
          <w:b/>
        </w:rPr>
      </w:pPr>
      <w:r>
        <w:rPr>
          <w:rFonts w:ascii="Calibri" w:hAnsi="Calibri"/>
          <w:b/>
          <w:color w:val="001F60"/>
        </w:rPr>
        <w:t>Resultado</w:t>
      </w:r>
      <w:r>
        <w:rPr>
          <w:rFonts w:ascii="Calibri" w:hAnsi="Calibri"/>
          <w:b/>
          <w:color w:val="001F60"/>
          <w:spacing w:val="-4"/>
        </w:rPr>
        <w:t xml:space="preserve"> </w:t>
      </w:r>
      <w:r>
        <w:rPr>
          <w:rFonts w:ascii="Calibri" w:hAnsi="Calibri"/>
          <w:b/>
          <w:color w:val="001F60"/>
        </w:rPr>
        <w:t>de</w:t>
      </w:r>
      <w:r>
        <w:rPr>
          <w:rFonts w:ascii="Calibri" w:hAnsi="Calibri"/>
          <w:b/>
          <w:color w:val="001F60"/>
          <w:spacing w:val="-3"/>
        </w:rPr>
        <w:t xml:space="preserve"> </w:t>
      </w:r>
      <w:r>
        <w:rPr>
          <w:rFonts w:ascii="Calibri" w:hAnsi="Calibri"/>
          <w:b/>
          <w:color w:val="001F60"/>
        </w:rPr>
        <w:t>Equivalência</w:t>
      </w:r>
      <w:r>
        <w:rPr>
          <w:rFonts w:ascii="Calibri" w:hAnsi="Calibri"/>
          <w:b/>
          <w:color w:val="001F60"/>
          <w:spacing w:val="-6"/>
        </w:rPr>
        <w:t xml:space="preserve"> </w:t>
      </w:r>
      <w:r>
        <w:rPr>
          <w:rFonts w:ascii="Calibri" w:hAnsi="Calibri"/>
          <w:b/>
          <w:color w:val="001F60"/>
        </w:rPr>
        <w:t>Patrimonial</w:t>
      </w:r>
      <w:r>
        <w:rPr>
          <w:rFonts w:ascii="Calibri" w:hAnsi="Calibri"/>
          <w:b/>
          <w:color w:val="001F60"/>
          <w:spacing w:val="-3"/>
        </w:rPr>
        <w:t xml:space="preserve"> </w:t>
      </w:r>
      <w:r>
        <w:rPr>
          <w:rFonts w:ascii="Calibri" w:hAnsi="Calibri"/>
          <w:b/>
          <w:color w:val="001F60"/>
        </w:rPr>
        <w:t>–</w:t>
      </w:r>
      <w:r>
        <w:rPr>
          <w:rFonts w:ascii="Calibri" w:hAnsi="Calibri"/>
          <w:b/>
          <w:color w:val="001F60"/>
          <w:spacing w:val="-5"/>
        </w:rPr>
        <w:t xml:space="preserve"> </w:t>
      </w:r>
      <w:r>
        <w:rPr>
          <w:rFonts w:ascii="Calibri" w:hAnsi="Calibri"/>
          <w:b/>
          <w:color w:val="001F60"/>
          <w:spacing w:val="-2"/>
        </w:rPr>
        <w:t>Visiona</w:t>
      </w:r>
    </w:p>
    <w:p w14:paraId="46C59273" w14:textId="77777777" w:rsidR="002C6574" w:rsidRDefault="002C6574">
      <w:pPr>
        <w:pStyle w:val="Corpodetexto"/>
        <w:spacing w:before="116"/>
        <w:rPr>
          <w:rFonts w:ascii="Calibri"/>
          <w:b/>
          <w:sz w:val="20"/>
        </w:rPr>
      </w:pPr>
    </w:p>
    <w:p w14:paraId="249032A7" w14:textId="77777777" w:rsidR="002C6574" w:rsidRDefault="00000000">
      <w:pPr>
        <w:pStyle w:val="Corpodetexto"/>
        <w:spacing w:line="20" w:lineRule="exact"/>
        <w:ind w:left="709"/>
        <w:rPr>
          <w:rFonts w:ascii="Calibri"/>
          <w:sz w:val="2"/>
        </w:rPr>
      </w:pPr>
      <w:r>
        <w:rPr>
          <w:rFonts w:ascii="Calibri"/>
          <w:noProof/>
          <w:sz w:val="2"/>
        </w:rPr>
        <mc:AlternateContent>
          <mc:Choice Requires="wpg">
            <w:drawing>
              <wp:inline distT="0" distB="0" distL="0" distR="0" wp14:anchorId="2B719E53" wp14:editId="40D3A940">
                <wp:extent cx="5760720" cy="12700"/>
                <wp:effectExtent l="0" t="0" r="0" b="635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12700"/>
                          <a:chOff x="0" y="0"/>
                          <a:chExt cx="5760720" cy="12700"/>
                        </a:xfrm>
                      </wpg:grpSpPr>
                      <wps:wsp>
                        <wps:cNvPr id="20" name="Graphic 20"/>
                        <wps:cNvSpPr/>
                        <wps:spPr>
                          <a:xfrm>
                            <a:off x="0" y="0"/>
                            <a:ext cx="2801620" cy="12700"/>
                          </a:xfrm>
                          <a:custGeom>
                            <a:avLst/>
                            <a:gdLst/>
                            <a:ahLst/>
                            <a:cxnLst/>
                            <a:rect l="l" t="t" r="r" b="b"/>
                            <a:pathLst>
                              <a:path w="2801620" h="12700">
                                <a:moveTo>
                                  <a:pt x="2801111" y="12192"/>
                                </a:moveTo>
                                <a:lnTo>
                                  <a:pt x="0" y="12192"/>
                                </a:lnTo>
                                <a:lnTo>
                                  <a:pt x="0" y="0"/>
                                </a:lnTo>
                                <a:lnTo>
                                  <a:pt x="2801111" y="0"/>
                                </a:lnTo>
                                <a:lnTo>
                                  <a:pt x="2801111" y="12192"/>
                                </a:lnTo>
                                <a:close/>
                              </a:path>
                            </a:pathLst>
                          </a:custGeom>
                          <a:solidFill>
                            <a:srgbClr val="8EA8DB"/>
                          </a:solidFill>
                        </wps:spPr>
                        <wps:bodyPr wrap="square" lIns="0" tIns="0" rIns="0" bIns="0" rtlCol="0">
                          <a:prstTxWarp prst="textNoShape">
                            <a:avLst/>
                          </a:prstTxWarp>
                          <a:noAutofit/>
                        </wps:bodyPr>
                      </wps:wsp>
                      <wps:wsp>
                        <wps:cNvPr id="21" name="Graphic 21"/>
                        <wps:cNvSpPr/>
                        <wps:spPr>
                          <a:xfrm>
                            <a:off x="2801111" y="0"/>
                            <a:ext cx="2959735" cy="12700"/>
                          </a:xfrm>
                          <a:custGeom>
                            <a:avLst/>
                            <a:gdLst/>
                            <a:ahLst/>
                            <a:cxnLst/>
                            <a:rect l="l" t="t" r="r" b="b"/>
                            <a:pathLst>
                              <a:path w="2959735" h="12700">
                                <a:moveTo>
                                  <a:pt x="2959608" y="12192"/>
                                </a:moveTo>
                                <a:lnTo>
                                  <a:pt x="0" y="12192"/>
                                </a:lnTo>
                                <a:lnTo>
                                  <a:pt x="0" y="0"/>
                                </a:lnTo>
                                <a:lnTo>
                                  <a:pt x="2959608" y="0"/>
                                </a:lnTo>
                                <a:lnTo>
                                  <a:pt x="2959608" y="12192"/>
                                </a:lnTo>
                                <a:close/>
                              </a:path>
                            </a:pathLst>
                          </a:custGeom>
                          <a:solidFill>
                            <a:srgbClr val="9AC1E6"/>
                          </a:solidFill>
                        </wps:spPr>
                        <wps:bodyPr wrap="square" lIns="0" tIns="0" rIns="0" bIns="0" rtlCol="0">
                          <a:prstTxWarp prst="textNoShape">
                            <a:avLst/>
                          </a:prstTxWarp>
                          <a:noAutofit/>
                        </wps:bodyPr>
                      </wps:wsp>
                    </wpg:wgp>
                  </a:graphicData>
                </a:graphic>
              </wp:inline>
            </w:drawing>
          </mc:Choice>
          <mc:Fallback>
            <w:pict>
              <v:group w14:anchorId="3EE26A76" id="Group 19" o:spid="_x0000_s1026" style="width:453.6pt;height:1pt;mso-position-horizontal-relative:char;mso-position-vertical-relative:line" coordsize="5760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">
                <v:shape id="Graphic 20" o:spid="_x0000_s1027" style="position:absolute;width:28016;height:127;visibility:visible;mso-wrap-style:square;v-text-anchor:top" coordsize="28016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" path="m2801111,12192l,12192,,,2801111,r,12192xe" fillcolor="#8ea8db" stroked="f">
                  <v:path arrowok="t"/>
                </v:shape>
                <v:shape id="Graphic 21" o:spid="_x0000_s1028" style="position:absolute;left:28011;width:29597;height:127;visibility:visible;mso-wrap-style:square;v-text-anchor:top" coordsize="29597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" path="m2959608,12192l,12192,,,2959608,r,12192xe" fillcolor="#9ac1e6" stroked="f">
                  <v:path arrowok="t"/>
                </v:shape>
                <w10:anchorlock/>
              </v:group>
            </w:pict>
          </mc:Fallback>
        </mc:AlternateContent>
      </w:r>
    </w:p>
    <w:p w14:paraId="4AF3ECAF" w14:textId="77777777" w:rsidR="002C6574" w:rsidRDefault="002C6574">
      <w:pPr>
        <w:pStyle w:val="Corpodetexto"/>
        <w:spacing w:line="20" w:lineRule="exact"/>
        <w:rPr>
          <w:rFonts w:ascii="Calibri"/>
          <w:sz w:val="2"/>
        </w:rPr>
        <w:sectPr w:rsidR="002C6574">
          <w:type w:val="continuous"/>
          <w:pgSz w:w="11910" w:h="16840"/>
          <w:pgMar w:top="0" w:right="850" w:bottom="0" w:left="992" w:header="312" w:footer="542" w:gutter="0"/>
          <w:cols w:space="720"/>
        </w:sectPr>
      </w:pPr>
    </w:p>
    <w:p w14:paraId="0ACBE260" w14:textId="77777777" w:rsidR="002C6574" w:rsidRDefault="00000000">
      <w:pPr>
        <w:tabs>
          <w:tab w:val="left" w:pos="5483"/>
          <w:tab w:val="left" w:pos="6484"/>
          <w:tab w:val="left" w:pos="7493"/>
          <w:tab w:val="left" w:pos="8259"/>
        </w:tabs>
        <w:spacing w:line="173" w:lineRule="exact"/>
        <w:ind w:left="779"/>
        <w:rPr>
          <w:rFonts w:ascii="Arial" w:hAnsi="Arial"/>
          <w:b/>
          <w:position w:val="7"/>
          <w:sz w:val="12"/>
        </w:rPr>
      </w:pPr>
      <w:r>
        <w:rPr>
          <w:rFonts w:ascii="Arial" w:hAnsi="Arial"/>
          <w:b/>
          <w:color w:val="2F75B5"/>
          <w:sz w:val="12"/>
        </w:rPr>
        <w:t xml:space="preserve">R$ </w:t>
      </w:r>
      <w:r>
        <w:rPr>
          <w:rFonts w:ascii="Arial" w:hAnsi="Arial"/>
          <w:b/>
          <w:color w:val="2F75B5"/>
          <w:spacing w:val="-5"/>
          <w:sz w:val="12"/>
        </w:rPr>
        <w:t>mil</w:t>
      </w:r>
      <w:r>
        <w:rPr>
          <w:rFonts w:ascii="Arial" w:hAnsi="Arial"/>
          <w:b/>
          <w:color w:val="2F75B5"/>
          <w:sz w:val="12"/>
        </w:rPr>
        <w:tab/>
      </w:r>
      <w:r>
        <w:rPr>
          <w:rFonts w:ascii="Arial" w:hAnsi="Arial"/>
          <w:b/>
          <w:color w:val="2D74B5"/>
          <w:spacing w:val="-4"/>
          <w:sz w:val="12"/>
        </w:rPr>
        <w:t>2025</w:t>
      </w:r>
      <w:r>
        <w:rPr>
          <w:rFonts w:ascii="Arial" w:hAnsi="Arial"/>
          <w:b/>
          <w:color w:val="2D74B5"/>
          <w:sz w:val="12"/>
        </w:rPr>
        <w:tab/>
      </w:r>
      <w:r>
        <w:rPr>
          <w:rFonts w:ascii="Arial" w:hAnsi="Arial"/>
          <w:b/>
          <w:color w:val="2D74B5"/>
          <w:spacing w:val="-4"/>
          <w:sz w:val="12"/>
        </w:rPr>
        <w:t>2024</w:t>
      </w:r>
      <w:r>
        <w:rPr>
          <w:rFonts w:ascii="Arial" w:hAnsi="Arial"/>
          <w:b/>
          <w:color w:val="2D74B5"/>
          <w:sz w:val="12"/>
        </w:rPr>
        <w:tab/>
      </w:r>
      <w:r>
        <w:rPr>
          <w:rFonts w:ascii="Arial" w:hAnsi="Arial"/>
          <w:b/>
          <w:color w:val="2D74B5"/>
          <w:spacing w:val="-4"/>
          <w:sz w:val="12"/>
        </w:rPr>
        <w:t>2023</w:t>
      </w:r>
      <w:r>
        <w:rPr>
          <w:rFonts w:ascii="Arial" w:hAnsi="Arial"/>
          <w:b/>
          <w:color w:val="2D74B5"/>
          <w:sz w:val="12"/>
        </w:rPr>
        <w:tab/>
      </w:r>
      <w:r>
        <w:rPr>
          <w:rFonts w:ascii="Arial" w:hAnsi="Arial"/>
          <w:b/>
          <w:color w:val="2F75B5"/>
          <w:position w:val="7"/>
          <w:sz w:val="12"/>
        </w:rPr>
        <w:t>Δ 2025</w:t>
      </w:r>
      <w:r>
        <w:rPr>
          <w:rFonts w:ascii="Arial" w:hAnsi="Arial"/>
          <w:b/>
          <w:color w:val="2F75B5"/>
          <w:spacing w:val="1"/>
          <w:position w:val="7"/>
          <w:sz w:val="12"/>
        </w:rPr>
        <w:t xml:space="preserve"> </w:t>
      </w:r>
      <w:r>
        <w:rPr>
          <w:rFonts w:ascii="Arial" w:hAnsi="Arial"/>
          <w:b/>
          <w:color w:val="2F75B5"/>
          <w:spacing w:val="-10"/>
          <w:position w:val="7"/>
          <w:sz w:val="12"/>
        </w:rPr>
        <w:t>X</w:t>
      </w:r>
    </w:p>
    <w:p w14:paraId="4AB82676" w14:textId="77777777" w:rsidR="002C6574" w:rsidRDefault="00000000">
      <w:pPr>
        <w:spacing w:line="104" w:lineRule="exact"/>
        <w:ind w:right="113"/>
        <w:jc w:val="right"/>
        <w:rPr>
          <w:rFonts w:ascii="Arial"/>
          <w:b/>
          <w:sz w:val="12"/>
        </w:rPr>
      </w:pPr>
      <w:r>
        <w:rPr>
          <w:rFonts w:ascii="Arial"/>
          <w:b/>
          <w:color w:val="2F75B5"/>
          <w:spacing w:val="-4"/>
          <w:sz w:val="12"/>
        </w:rPr>
        <w:t>2024</w:t>
      </w:r>
    </w:p>
    <w:p w14:paraId="15A84F71" w14:textId="77777777" w:rsidR="002C6574" w:rsidRDefault="00000000">
      <w:pPr>
        <w:spacing w:line="137" w:lineRule="exact"/>
        <w:ind w:right="196"/>
        <w:jc w:val="center"/>
        <w:rPr>
          <w:rFonts w:ascii="Arial" w:hAnsi="Arial"/>
          <w:b/>
          <w:sz w:val="12"/>
        </w:rPr>
      </w:pPr>
      <w:r>
        <w:br w:type="column"/>
      </w:r>
      <w:r>
        <w:rPr>
          <w:rFonts w:ascii="Arial" w:hAnsi="Arial"/>
          <w:b/>
          <w:color w:val="2F75B5"/>
          <w:sz w:val="12"/>
        </w:rPr>
        <w:t>Δ 2025</w:t>
      </w:r>
      <w:r>
        <w:rPr>
          <w:rFonts w:ascii="Arial" w:hAnsi="Arial"/>
          <w:b/>
          <w:color w:val="2F75B5"/>
          <w:spacing w:val="1"/>
          <w:sz w:val="12"/>
        </w:rPr>
        <w:t xml:space="preserve"> </w:t>
      </w:r>
      <w:r>
        <w:rPr>
          <w:rFonts w:ascii="Arial" w:hAnsi="Arial"/>
          <w:b/>
          <w:color w:val="2F75B5"/>
          <w:spacing w:val="-10"/>
          <w:sz w:val="12"/>
        </w:rPr>
        <w:t>X</w:t>
      </w:r>
    </w:p>
    <w:p w14:paraId="74FC5BF8" w14:textId="77777777" w:rsidR="002C6574" w:rsidRDefault="00000000">
      <w:pPr>
        <w:spacing w:before="1"/>
        <w:ind w:right="193"/>
        <w:jc w:val="center"/>
        <w:rPr>
          <w:rFonts w:ascii="Arial"/>
          <w:b/>
          <w:sz w:val="12"/>
        </w:rPr>
      </w:pPr>
      <w:r>
        <w:rPr>
          <w:rFonts w:ascii="Arial"/>
          <w:b/>
          <w:color w:val="2F75B5"/>
          <w:spacing w:val="-4"/>
          <w:sz w:val="12"/>
        </w:rPr>
        <w:t>2023</w:t>
      </w:r>
    </w:p>
    <w:p w14:paraId="10612299" w14:textId="77777777" w:rsidR="002C6574" w:rsidRDefault="002C6574">
      <w:pPr>
        <w:jc w:val="center"/>
        <w:rPr>
          <w:rFonts w:ascii="Arial"/>
          <w:b/>
          <w:sz w:val="12"/>
        </w:rPr>
        <w:sectPr w:rsidR="002C6574">
          <w:type w:val="continuous"/>
          <w:pgSz w:w="11910" w:h="16840"/>
          <w:pgMar w:top="0" w:right="850" w:bottom="0" w:left="992" w:header="312" w:footer="542" w:gutter="0"/>
          <w:cols w:num="2" w:space="720" w:equalWidth="0">
            <w:col w:w="8762" w:space="40"/>
            <w:col w:w="1266"/>
          </w:cols>
        </w:sectPr>
      </w:pPr>
    </w:p>
    <w:p w14:paraId="7978F177" w14:textId="77777777" w:rsidR="002C6574" w:rsidRDefault="00000000">
      <w:pPr>
        <w:pStyle w:val="Corpodetexto"/>
        <w:spacing w:line="20" w:lineRule="exact"/>
        <w:ind w:left="709"/>
        <w:rPr>
          <w:rFonts w:ascii="Arial"/>
          <w:sz w:val="2"/>
        </w:rPr>
      </w:pPr>
      <w:r>
        <w:rPr>
          <w:rFonts w:ascii="Arial"/>
          <w:noProof/>
          <w:sz w:val="2"/>
        </w:rPr>
        <mc:AlternateContent>
          <mc:Choice Requires="wpg">
            <w:drawing>
              <wp:inline distT="0" distB="0" distL="0" distR="0" wp14:anchorId="1310C096" wp14:editId="04B90726">
                <wp:extent cx="5760720" cy="12700"/>
                <wp:effectExtent l="0" t="0" r="0" b="635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12700"/>
                          <a:chOff x="0" y="0"/>
                          <a:chExt cx="5760720" cy="12700"/>
                        </a:xfrm>
                      </wpg:grpSpPr>
                      <wps:wsp>
                        <wps:cNvPr id="23" name="Graphic 23"/>
                        <wps:cNvSpPr/>
                        <wps:spPr>
                          <a:xfrm>
                            <a:off x="0" y="0"/>
                            <a:ext cx="2801620" cy="12700"/>
                          </a:xfrm>
                          <a:custGeom>
                            <a:avLst/>
                            <a:gdLst/>
                            <a:ahLst/>
                            <a:cxnLst/>
                            <a:rect l="l" t="t" r="r" b="b"/>
                            <a:pathLst>
                              <a:path w="2801620" h="12700">
                                <a:moveTo>
                                  <a:pt x="2801111" y="12192"/>
                                </a:moveTo>
                                <a:lnTo>
                                  <a:pt x="0" y="12192"/>
                                </a:lnTo>
                                <a:lnTo>
                                  <a:pt x="0" y="0"/>
                                </a:lnTo>
                                <a:lnTo>
                                  <a:pt x="2801111" y="0"/>
                                </a:lnTo>
                                <a:lnTo>
                                  <a:pt x="2801111" y="12192"/>
                                </a:lnTo>
                                <a:close/>
                              </a:path>
                            </a:pathLst>
                          </a:custGeom>
                          <a:solidFill>
                            <a:srgbClr val="8EA8DB"/>
                          </a:solidFill>
                        </wps:spPr>
                        <wps:bodyPr wrap="square" lIns="0" tIns="0" rIns="0" bIns="0" rtlCol="0">
                          <a:prstTxWarp prst="textNoShape">
                            <a:avLst/>
                          </a:prstTxWarp>
                          <a:noAutofit/>
                        </wps:bodyPr>
                      </wps:wsp>
                      <wps:wsp>
                        <wps:cNvPr id="24" name="Graphic 24"/>
                        <wps:cNvSpPr/>
                        <wps:spPr>
                          <a:xfrm>
                            <a:off x="2801111" y="0"/>
                            <a:ext cx="2959735" cy="12700"/>
                          </a:xfrm>
                          <a:custGeom>
                            <a:avLst/>
                            <a:gdLst/>
                            <a:ahLst/>
                            <a:cxnLst/>
                            <a:rect l="l" t="t" r="r" b="b"/>
                            <a:pathLst>
                              <a:path w="2959735" h="12700">
                                <a:moveTo>
                                  <a:pt x="2959608" y="12192"/>
                                </a:moveTo>
                                <a:lnTo>
                                  <a:pt x="0" y="12192"/>
                                </a:lnTo>
                                <a:lnTo>
                                  <a:pt x="0" y="0"/>
                                </a:lnTo>
                                <a:lnTo>
                                  <a:pt x="2959608" y="0"/>
                                </a:lnTo>
                                <a:lnTo>
                                  <a:pt x="2959608" y="12192"/>
                                </a:lnTo>
                                <a:close/>
                              </a:path>
                            </a:pathLst>
                          </a:custGeom>
                          <a:solidFill>
                            <a:srgbClr val="9AC1E6"/>
                          </a:solidFill>
                        </wps:spPr>
                        <wps:bodyPr wrap="square" lIns="0" tIns="0" rIns="0" bIns="0" rtlCol="0">
                          <a:prstTxWarp prst="textNoShape">
                            <a:avLst/>
                          </a:prstTxWarp>
                          <a:noAutofit/>
                        </wps:bodyPr>
                      </wps:wsp>
                    </wpg:wgp>
                  </a:graphicData>
                </a:graphic>
              </wp:inline>
            </w:drawing>
          </mc:Choice>
          <mc:Fallback>
            <w:pict>
              <v:group w14:anchorId="06D1D54A" id="Group 22" o:spid="_x0000_s1026" style="width:453.6pt;height:1pt;mso-position-horizontal-relative:char;mso-position-vertical-relative:line" coordsize="5760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">
                <v:shape id="Graphic 23" o:spid="_x0000_s1027" style="position:absolute;width:28016;height:127;visibility:visible;mso-wrap-style:square;v-text-anchor:top" coordsize="28016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" path="m2801111,12192l,12192,,,2801111,r,12192xe" fillcolor="#8ea8db" stroked="f">
                  <v:path arrowok="t"/>
                </v:shape>
                <v:shape id="Graphic 24" o:spid="_x0000_s1028" style="position:absolute;left:28011;width:29597;height:127;visibility:visible;mso-wrap-style:square;v-text-anchor:top" coordsize="29597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" path="m2959608,12192l,12192,,,2959608,r,12192xe" fillcolor="#9ac1e6" stroked="f">
                  <v:path arrowok="t"/>
                </v:shape>
                <w10:anchorlock/>
              </v:group>
            </w:pict>
          </mc:Fallback>
        </mc:AlternateContent>
      </w:r>
    </w:p>
    <w:p w14:paraId="2FD450AD" w14:textId="77777777" w:rsidR="002C6574" w:rsidRDefault="00000000">
      <w:pPr>
        <w:tabs>
          <w:tab w:val="left" w:pos="5839"/>
          <w:tab w:val="left" w:pos="6673"/>
          <w:tab w:val="left" w:pos="7683"/>
          <w:tab w:val="left" w:pos="8409"/>
          <w:tab w:val="left" w:pos="9239"/>
        </w:tabs>
        <w:spacing w:before="46"/>
        <w:ind w:left="779"/>
        <w:rPr>
          <w:rFonts w:ascii="Arial MT" w:hAnsi="Arial MT"/>
          <w:sz w:val="12"/>
        </w:rPr>
      </w:pPr>
      <w:r>
        <w:rPr>
          <w:rFonts w:ascii="Arial MT" w:hAnsi="Arial MT"/>
          <w:noProof/>
          <w:sz w:val="12"/>
        </w:rPr>
        <mc:AlternateContent>
          <mc:Choice Requires="wpg">
            <w:drawing>
              <wp:anchor distT="0" distB="0" distL="0" distR="0" simplePos="0" relativeHeight="487591936" behindDoc="1" locked="0" layoutInCell="1" allowOverlap="1" wp14:anchorId="4953E950" wp14:editId="332A77DB">
                <wp:simplePos x="0" y="0"/>
                <wp:positionH relativeFrom="page">
                  <wp:posOffset>1071372</wp:posOffset>
                </wp:positionH>
                <wp:positionV relativeFrom="paragraph">
                  <wp:posOffset>147936</wp:posOffset>
                </wp:positionV>
                <wp:extent cx="5770245" cy="1270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12700"/>
                          <a:chOff x="0" y="0"/>
                          <a:chExt cx="5770245" cy="12700"/>
                        </a:xfrm>
                      </wpg:grpSpPr>
                      <wps:wsp>
                        <wps:cNvPr id="26" name="Graphic 26"/>
                        <wps:cNvSpPr/>
                        <wps:spPr>
                          <a:xfrm>
                            <a:off x="0" y="0"/>
                            <a:ext cx="4724400" cy="12700"/>
                          </a:xfrm>
                          <a:custGeom>
                            <a:avLst/>
                            <a:gdLst/>
                            <a:ahLst/>
                            <a:cxnLst/>
                            <a:rect l="l" t="t" r="r" b="b"/>
                            <a:pathLst>
                              <a:path w="4724400" h="12700">
                                <a:moveTo>
                                  <a:pt x="4724387" y="0"/>
                                </a:moveTo>
                                <a:lnTo>
                                  <a:pt x="4085844" y="0"/>
                                </a:lnTo>
                                <a:lnTo>
                                  <a:pt x="0" y="0"/>
                                </a:lnTo>
                                <a:lnTo>
                                  <a:pt x="0" y="12192"/>
                                </a:lnTo>
                                <a:lnTo>
                                  <a:pt x="4085844" y="12192"/>
                                </a:lnTo>
                                <a:lnTo>
                                  <a:pt x="4724387" y="12192"/>
                                </a:lnTo>
                                <a:lnTo>
                                  <a:pt x="4724387" y="0"/>
                                </a:lnTo>
                                <a:close/>
                              </a:path>
                            </a:pathLst>
                          </a:custGeom>
                          <a:solidFill>
                            <a:srgbClr val="9AC1E6"/>
                          </a:solidFill>
                        </wps:spPr>
                        <wps:bodyPr wrap="square" lIns="0" tIns="0" rIns="0" bIns="0" rtlCol="0">
                          <a:prstTxWarp prst="textNoShape">
                            <a:avLst/>
                          </a:prstTxWarp>
                          <a:noAutofit/>
                        </wps:bodyPr>
                      </wps:wsp>
                      <wps:wsp>
                        <wps:cNvPr id="27" name="Graphic 27"/>
                        <wps:cNvSpPr/>
                        <wps:spPr>
                          <a:xfrm>
                            <a:off x="4715255" y="0"/>
                            <a:ext cx="486409" cy="12700"/>
                          </a:xfrm>
                          <a:custGeom>
                            <a:avLst/>
                            <a:gdLst/>
                            <a:ahLst/>
                            <a:cxnLst/>
                            <a:rect l="l" t="t" r="r" b="b"/>
                            <a:pathLst>
                              <a:path w="486409" h="12700">
                                <a:moveTo>
                                  <a:pt x="486155" y="12191"/>
                                </a:moveTo>
                                <a:lnTo>
                                  <a:pt x="0" y="12191"/>
                                </a:lnTo>
                                <a:lnTo>
                                  <a:pt x="0" y="0"/>
                                </a:lnTo>
                                <a:lnTo>
                                  <a:pt x="486155" y="0"/>
                                </a:lnTo>
                                <a:lnTo>
                                  <a:pt x="486155" y="12191"/>
                                </a:lnTo>
                                <a:close/>
                              </a:path>
                            </a:pathLst>
                          </a:custGeom>
                          <a:solidFill>
                            <a:srgbClr val="8EAADB"/>
                          </a:solidFill>
                        </wps:spPr>
                        <wps:bodyPr wrap="square" lIns="0" tIns="0" rIns="0" bIns="0" rtlCol="0">
                          <a:prstTxWarp prst="textNoShape">
                            <a:avLst/>
                          </a:prstTxWarp>
                          <a:noAutofit/>
                        </wps:bodyPr>
                      </wps:wsp>
                      <wps:wsp>
                        <wps:cNvPr id="28" name="Graphic 28"/>
                        <wps:cNvSpPr/>
                        <wps:spPr>
                          <a:xfrm>
                            <a:off x="5192267" y="0"/>
                            <a:ext cx="577850" cy="12700"/>
                          </a:xfrm>
                          <a:custGeom>
                            <a:avLst/>
                            <a:gdLst/>
                            <a:ahLst/>
                            <a:cxnLst/>
                            <a:rect l="l" t="t" r="r" b="b"/>
                            <a:pathLst>
                              <a:path w="577850" h="12700">
                                <a:moveTo>
                                  <a:pt x="577596" y="12191"/>
                                </a:moveTo>
                                <a:lnTo>
                                  <a:pt x="0" y="12191"/>
                                </a:lnTo>
                                <a:lnTo>
                                  <a:pt x="0" y="0"/>
                                </a:lnTo>
                                <a:lnTo>
                                  <a:pt x="577596" y="0"/>
                                </a:lnTo>
                                <a:lnTo>
                                  <a:pt x="577596" y="12191"/>
                                </a:lnTo>
                                <a:close/>
                              </a:path>
                            </a:pathLst>
                          </a:custGeom>
                          <a:solidFill>
                            <a:srgbClr val="9AC1E6"/>
                          </a:solidFill>
                        </wps:spPr>
                        <wps:bodyPr wrap="square" lIns="0" tIns="0" rIns="0" bIns="0" rtlCol="0">
                          <a:prstTxWarp prst="textNoShape">
                            <a:avLst/>
                          </a:prstTxWarp>
                          <a:noAutofit/>
                        </wps:bodyPr>
                      </wps:wsp>
                    </wpg:wgp>
                  </a:graphicData>
                </a:graphic>
              </wp:anchor>
            </w:drawing>
          </mc:Choice>
          <mc:Fallback>
            <w:pict>
              <v:group w14:anchorId="68D3B34B" id="Group 25" o:spid="_x0000_s1026" style="position:absolute;margin-left:84.35pt;margin-top:11.65pt;width:454.35pt;height:1pt;z-index:-15724544;mso-wrap-distance-left:0;mso-wrap-distance-right:0;mso-position-horizontal-relative:page" coordsize="577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">
                <v:shape id="Graphic 26" o:spid="_x0000_s1027" style="position:absolute;width:47244;height:127;visibility:visible;mso-wrap-style:square;v-text-anchor:top" coordsize="4724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" path="m4724387,l4085844,,,,,12192r4085844,l4724387,12192r,-12192xe" fillcolor="#9ac1e6" stroked="f">
                  <v:path arrowok="t"/>
                </v:shape>
                <v:shape id="Graphic 27" o:spid="_x0000_s1028" style="position:absolute;left:47152;width:4864;height:127;visibility:visible;mso-wrap-style:square;v-text-anchor:top" coordsize="48640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" path="m486155,12191l,12191,,,486155,r,12191xe" fillcolor="#8eaadb" stroked="f">
                  <v:path arrowok="t"/>
                </v:shape>
                <v:shape id="Graphic 28" o:spid="_x0000_s1029" style="position:absolute;left:51922;width:5779;height:127;visibility:visible;mso-wrap-style:square;v-text-anchor:top" coordsize="5778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" path="m577596,12191l,12191,,,577596,r,12191xe" fillcolor="#9ac1e6" stroked="f">
                  <v:path arrowok="t"/>
                </v:shape>
                <w10:wrap type="topAndBottom" anchorx="page"/>
              </v:group>
            </w:pict>
          </mc:Fallback>
        </mc:AlternateContent>
      </w:r>
      <w:r>
        <w:rPr>
          <w:rFonts w:ascii="Arial MT" w:hAnsi="Arial MT"/>
          <w:sz w:val="12"/>
        </w:rPr>
        <w:t>Resultado</w:t>
      </w:r>
      <w:r>
        <w:rPr>
          <w:rFonts w:ascii="Arial MT" w:hAnsi="Arial MT"/>
          <w:spacing w:val="-1"/>
          <w:sz w:val="12"/>
        </w:rPr>
        <w:t xml:space="preserve"> </w:t>
      </w:r>
      <w:r>
        <w:rPr>
          <w:rFonts w:ascii="Arial MT" w:hAnsi="Arial MT"/>
          <w:sz w:val="12"/>
        </w:rPr>
        <w:t>de Equivalência</w:t>
      </w:r>
      <w:r>
        <w:rPr>
          <w:rFonts w:ascii="Arial MT" w:hAnsi="Arial MT"/>
          <w:spacing w:val="-1"/>
          <w:sz w:val="12"/>
        </w:rPr>
        <w:t xml:space="preserve"> </w:t>
      </w:r>
      <w:r>
        <w:rPr>
          <w:rFonts w:ascii="Arial MT" w:hAnsi="Arial MT"/>
          <w:spacing w:val="-2"/>
          <w:sz w:val="12"/>
        </w:rPr>
        <w:t>Patrimonial</w:t>
      </w:r>
      <w:r>
        <w:rPr>
          <w:rFonts w:ascii="Arial MT" w:hAnsi="Arial MT"/>
          <w:sz w:val="12"/>
        </w:rPr>
        <w:tab/>
      </w:r>
      <w:r>
        <w:rPr>
          <w:rFonts w:ascii="Arial MT" w:hAnsi="Arial MT"/>
          <w:spacing w:val="-5"/>
          <w:sz w:val="12"/>
        </w:rPr>
        <w:t>369</w:t>
      </w:r>
      <w:r>
        <w:rPr>
          <w:rFonts w:ascii="Arial MT" w:hAnsi="Arial MT"/>
          <w:sz w:val="12"/>
        </w:rPr>
        <w:tab/>
      </w:r>
      <w:r>
        <w:rPr>
          <w:rFonts w:ascii="Arial MT" w:hAnsi="Arial MT"/>
          <w:spacing w:val="-2"/>
          <w:sz w:val="12"/>
        </w:rPr>
        <w:t>(1.013)</w:t>
      </w:r>
      <w:r>
        <w:rPr>
          <w:rFonts w:ascii="Arial MT" w:hAnsi="Arial MT"/>
          <w:sz w:val="12"/>
        </w:rPr>
        <w:tab/>
      </w:r>
      <w:r>
        <w:rPr>
          <w:rFonts w:ascii="Arial MT" w:hAnsi="Arial MT"/>
          <w:spacing w:val="-2"/>
          <w:sz w:val="12"/>
        </w:rPr>
        <w:t>(2.254)</w:t>
      </w:r>
      <w:r>
        <w:rPr>
          <w:rFonts w:ascii="Arial MT" w:hAnsi="Arial MT"/>
          <w:sz w:val="12"/>
        </w:rPr>
        <w:tab/>
      </w:r>
      <w:r>
        <w:rPr>
          <w:rFonts w:ascii="Arial MT" w:hAnsi="Arial MT"/>
          <w:spacing w:val="-2"/>
          <w:sz w:val="12"/>
        </w:rPr>
        <w:t>136,4%</w:t>
      </w:r>
      <w:r>
        <w:rPr>
          <w:rFonts w:ascii="Arial MT" w:hAnsi="Arial MT"/>
          <w:sz w:val="12"/>
        </w:rPr>
        <w:tab/>
      </w:r>
      <w:r>
        <w:rPr>
          <w:rFonts w:ascii="Arial MT" w:hAnsi="Arial MT"/>
          <w:spacing w:val="-2"/>
          <w:sz w:val="12"/>
        </w:rPr>
        <w:t>116,37%</w:t>
      </w:r>
    </w:p>
    <w:p w14:paraId="7F27CCCB" w14:textId="77777777" w:rsidR="002C6574" w:rsidRDefault="00000000">
      <w:pPr>
        <w:spacing w:before="119"/>
        <w:ind w:left="3644"/>
        <w:rPr>
          <w:rFonts w:ascii="Calibri" w:hAnsi="Calibri"/>
          <w:sz w:val="16"/>
        </w:rPr>
      </w:pPr>
      <w:r>
        <w:rPr>
          <w:rFonts w:ascii="Calibri" w:hAnsi="Calibri"/>
          <w:color w:val="001F60"/>
          <w:sz w:val="16"/>
        </w:rPr>
        <w:t>Tabela</w:t>
      </w:r>
      <w:r>
        <w:rPr>
          <w:rFonts w:ascii="Calibri" w:hAnsi="Calibri"/>
          <w:color w:val="001F60"/>
          <w:spacing w:val="-5"/>
          <w:sz w:val="16"/>
        </w:rPr>
        <w:t xml:space="preserve"> </w:t>
      </w:r>
      <w:r>
        <w:rPr>
          <w:rFonts w:ascii="Calibri" w:hAnsi="Calibri"/>
          <w:color w:val="001F60"/>
          <w:sz w:val="16"/>
        </w:rPr>
        <w:t>3-7</w:t>
      </w:r>
      <w:r>
        <w:rPr>
          <w:rFonts w:ascii="Calibri" w:hAnsi="Calibri"/>
          <w:color w:val="001F60"/>
          <w:spacing w:val="-2"/>
          <w:sz w:val="16"/>
        </w:rPr>
        <w:t xml:space="preserve"> </w:t>
      </w:r>
      <w:r>
        <w:rPr>
          <w:rFonts w:ascii="Calibri" w:hAnsi="Calibri"/>
          <w:color w:val="001F60"/>
          <w:sz w:val="16"/>
        </w:rPr>
        <w:t>Resultado</w:t>
      </w:r>
      <w:r>
        <w:rPr>
          <w:rFonts w:ascii="Calibri" w:hAnsi="Calibri"/>
          <w:color w:val="001F60"/>
          <w:spacing w:val="-4"/>
          <w:sz w:val="16"/>
        </w:rPr>
        <w:t xml:space="preserve"> </w:t>
      </w:r>
      <w:r>
        <w:rPr>
          <w:rFonts w:ascii="Calibri" w:hAnsi="Calibri"/>
          <w:color w:val="001F60"/>
          <w:sz w:val="16"/>
        </w:rPr>
        <w:t>de</w:t>
      </w:r>
      <w:r>
        <w:rPr>
          <w:rFonts w:ascii="Calibri" w:hAnsi="Calibri"/>
          <w:color w:val="001F60"/>
          <w:spacing w:val="-5"/>
          <w:sz w:val="16"/>
        </w:rPr>
        <w:t xml:space="preserve"> </w:t>
      </w:r>
      <w:r>
        <w:rPr>
          <w:rFonts w:ascii="Calibri" w:hAnsi="Calibri"/>
          <w:color w:val="001F60"/>
          <w:sz w:val="16"/>
        </w:rPr>
        <w:t>Equivalência</w:t>
      </w:r>
      <w:r>
        <w:rPr>
          <w:rFonts w:ascii="Calibri" w:hAnsi="Calibri"/>
          <w:color w:val="001F60"/>
          <w:spacing w:val="-1"/>
          <w:sz w:val="16"/>
        </w:rPr>
        <w:t xml:space="preserve"> </w:t>
      </w:r>
      <w:r>
        <w:rPr>
          <w:rFonts w:ascii="Calibri" w:hAnsi="Calibri"/>
          <w:color w:val="001F60"/>
          <w:spacing w:val="-2"/>
          <w:sz w:val="16"/>
        </w:rPr>
        <w:t>Patrimonial</w:t>
      </w:r>
    </w:p>
    <w:p w14:paraId="34E880AE" w14:textId="77777777" w:rsidR="002C6574" w:rsidRDefault="00000000">
      <w:pPr>
        <w:pStyle w:val="Corpodetexto"/>
        <w:spacing w:before="119"/>
        <w:ind w:left="709" w:right="277"/>
        <w:jc w:val="both"/>
        <w:rPr>
          <w:rFonts w:ascii="Calibri" w:hAnsi="Calibri"/>
        </w:rPr>
      </w:pPr>
      <w:r>
        <w:rPr>
          <w:rFonts w:ascii="Calibri" w:hAnsi="Calibri"/>
          <w:color w:val="001F60"/>
        </w:rPr>
        <w:t>O Resultado de Equivalência Patrimonial reflete a participação da Telebras (49%) no resultado da coligada Visiona ao longo dos períodos analisados. Em 2025, a coligada registrou Lucro Líquido de R$ 0,8 milhão, ante um prejuízo de R$ 2,1 milhões em 2024 e de R$ 4,6 milhões em 2023.</w:t>
      </w:r>
    </w:p>
    <w:p w14:paraId="569D73A5" w14:textId="77777777" w:rsidR="002C6574" w:rsidRDefault="00000000">
      <w:pPr>
        <w:pStyle w:val="Corpodetexto"/>
        <w:spacing w:before="121"/>
        <w:ind w:left="709" w:right="277"/>
        <w:jc w:val="both"/>
        <w:rPr>
          <w:rFonts w:ascii="Calibri" w:hAnsi="Calibri"/>
        </w:rPr>
      </w:pPr>
      <w:r>
        <w:rPr>
          <w:rFonts w:ascii="Calibri" w:hAnsi="Calibri"/>
          <w:color w:val="001F60"/>
        </w:rPr>
        <w:t>O desempenho positivo de 2025 resultou em um efeito favorável de R$ 0,4 milhão no Resultado de Equivalência Patrimonial. Já nos exercícios de 2024 e 2023, os reflexos foram negativos em R$ 1,0 milhão e R$ 2,3 milhões, respectivamente, acompanhando o resultado deficitário apurado pela coligada nesses anos.</w:t>
      </w:r>
    </w:p>
    <w:p w14:paraId="716A5203" w14:textId="77777777" w:rsidR="002C6574" w:rsidRDefault="002C6574">
      <w:pPr>
        <w:pStyle w:val="Corpodetexto"/>
        <w:jc w:val="both"/>
        <w:rPr>
          <w:rFonts w:ascii="Calibri" w:hAnsi="Calibri"/>
        </w:rPr>
        <w:sectPr w:rsidR="002C6574">
          <w:type w:val="continuous"/>
          <w:pgSz w:w="11910" w:h="16840"/>
          <w:pgMar w:top="0" w:right="850" w:bottom="0" w:left="992" w:header="312" w:footer="542" w:gutter="0"/>
          <w:cols w:space="720"/>
        </w:sectPr>
      </w:pPr>
    </w:p>
    <w:p w14:paraId="16D92B76" w14:textId="77777777" w:rsidR="002C6574" w:rsidRDefault="002C6574">
      <w:pPr>
        <w:pStyle w:val="Corpodetexto"/>
        <w:spacing w:before="263"/>
        <w:rPr>
          <w:rFonts w:ascii="Calibri"/>
        </w:rPr>
      </w:pPr>
    </w:p>
    <w:p w14:paraId="246516C6" w14:textId="77777777" w:rsidR="002C6574" w:rsidRDefault="00000000">
      <w:pPr>
        <w:numPr>
          <w:ilvl w:val="2"/>
          <w:numId w:val="74"/>
        </w:numPr>
        <w:tabs>
          <w:tab w:val="left" w:pos="1414"/>
        </w:tabs>
        <w:ind w:left="1414" w:hanging="705"/>
        <w:jc w:val="both"/>
        <w:rPr>
          <w:rFonts w:ascii="Calibri"/>
          <w:b/>
        </w:rPr>
      </w:pPr>
      <w:r>
        <w:rPr>
          <w:rFonts w:ascii="Calibri"/>
          <w:b/>
          <w:color w:val="001F60"/>
        </w:rPr>
        <w:t>Outras</w:t>
      </w:r>
      <w:r>
        <w:rPr>
          <w:rFonts w:ascii="Calibri"/>
          <w:b/>
          <w:color w:val="001F60"/>
          <w:spacing w:val="-2"/>
        </w:rPr>
        <w:t xml:space="preserve"> </w:t>
      </w:r>
      <w:r>
        <w:rPr>
          <w:rFonts w:ascii="Calibri"/>
          <w:b/>
          <w:color w:val="001F60"/>
        </w:rPr>
        <w:t>Receitas</w:t>
      </w:r>
      <w:r>
        <w:rPr>
          <w:rFonts w:ascii="Calibri"/>
          <w:b/>
          <w:color w:val="001F60"/>
          <w:spacing w:val="-4"/>
        </w:rPr>
        <w:t xml:space="preserve"> </w:t>
      </w:r>
      <w:r>
        <w:rPr>
          <w:rFonts w:ascii="Calibri"/>
          <w:b/>
          <w:color w:val="001F60"/>
        </w:rPr>
        <w:t>/</w:t>
      </w:r>
      <w:r>
        <w:rPr>
          <w:rFonts w:ascii="Calibri"/>
          <w:b/>
          <w:color w:val="001F60"/>
          <w:spacing w:val="-4"/>
        </w:rPr>
        <w:t xml:space="preserve"> </w:t>
      </w:r>
      <w:r>
        <w:rPr>
          <w:rFonts w:ascii="Calibri"/>
          <w:b/>
          <w:color w:val="001F60"/>
        </w:rPr>
        <w:t>Despesas</w:t>
      </w:r>
      <w:r>
        <w:rPr>
          <w:rFonts w:ascii="Calibri"/>
          <w:b/>
          <w:color w:val="001F60"/>
          <w:spacing w:val="-1"/>
        </w:rPr>
        <w:t xml:space="preserve"> </w:t>
      </w:r>
      <w:r>
        <w:rPr>
          <w:rFonts w:ascii="Calibri"/>
          <w:b/>
          <w:color w:val="001F60"/>
          <w:spacing w:val="-2"/>
        </w:rPr>
        <w:t>Operacionais</w:t>
      </w:r>
    </w:p>
    <w:p w14:paraId="552779A7" w14:textId="77777777" w:rsidR="002C6574" w:rsidRDefault="002C6574">
      <w:pPr>
        <w:pStyle w:val="Corpodetexto"/>
        <w:spacing w:before="126" w:after="1"/>
        <w:rPr>
          <w:rFonts w:ascii="Calibri"/>
          <w:b/>
          <w:sz w:val="20"/>
        </w:rPr>
      </w:pPr>
    </w:p>
    <w:tbl>
      <w:tblPr>
        <w:tblStyle w:val="TableNormal"/>
        <w:tblW w:w="0" w:type="auto"/>
        <w:tblInd w:w="709" w:type="dxa"/>
        <w:tblLayout w:type="fixed"/>
        <w:tblLook w:val="01E0" w:firstRow="1" w:lastRow="1" w:firstColumn="1" w:lastColumn="1" w:noHBand="0" w:noVBand="0"/>
      </w:tblPr>
      <w:tblGrid>
        <w:gridCol w:w="3915"/>
        <w:gridCol w:w="1647"/>
        <w:gridCol w:w="959"/>
        <w:gridCol w:w="852"/>
        <w:gridCol w:w="818"/>
        <w:gridCol w:w="883"/>
      </w:tblGrid>
      <w:tr w:rsidR="002C6574" w14:paraId="29F4CFB0" w14:textId="77777777">
        <w:trPr>
          <w:trHeight w:val="275"/>
        </w:trPr>
        <w:tc>
          <w:tcPr>
            <w:tcW w:w="3915" w:type="dxa"/>
            <w:tcBorders>
              <w:top w:val="single" w:sz="8" w:space="0" w:color="8EA8DB"/>
              <w:bottom w:val="single" w:sz="8" w:space="0" w:color="8EA8DB"/>
            </w:tcBorders>
          </w:tcPr>
          <w:p w14:paraId="6672DFB2" w14:textId="77777777" w:rsidR="002C6574" w:rsidRDefault="00000000">
            <w:pPr>
              <w:pStyle w:val="TableParagraph"/>
              <w:spacing w:before="69"/>
              <w:ind w:left="76"/>
              <w:jc w:val="left"/>
              <w:rPr>
                <w:rFonts w:ascii="Arial"/>
                <w:b/>
                <w:sz w:val="12"/>
              </w:rPr>
            </w:pPr>
            <w:r>
              <w:rPr>
                <w:rFonts w:ascii="Arial"/>
                <w:b/>
                <w:color w:val="2F75B5"/>
                <w:sz w:val="12"/>
              </w:rPr>
              <w:t xml:space="preserve">R$ </w:t>
            </w:r>
            <w:r>
              <w:rPr>
                <w:rFonts w:ascii="Arial"/>
                <w:b/>
                <w:color w:val="2F75B5"/>
                <w:spacing w:val="-5"/>
                <w:sz w:val="12"/>
              </w:rPr>
              <w:t>mil</w:t>
            </w:r>
          </w:p>
        </w:tc>
        <w:tc>
          <w:tcPr>
            <w:tcW w:w="1647" w:type="dxa"/>
            <w:tcBorders>
              <w:top w:val="single" w:sz="8" w:space="0" w:color="9AC1E6"/>
              <w:bottom w:val="single" w:sz="8" w:space="0" w:color="9AC1E6"/>
            </w:tcBorders>
          </w:tcPr>
          <w:p w14:paraId="5FFC9C4F" w14:textId="77777777" w:rsidR="002C6574" w:rsidRDefault="00000000">
            <w:pPr>
              <w:pStyle w:val="TableParagraph"/>
              <w:spacing w:before="69"/>
              <w:ind w:left="894"/>
              <w:jc w:val="left"/>
              <w:rPr>
                <w:rFonts w:ascii="Arial"/>
                <w:b/>
                <w:sz w:val="12"/>
              </w:rPr>
            </w:pPr>
            <w:r>
              <w:rPr>
                <w:rFonts w:ascii="Arial"/>
                <w:b/>
                <w:color w:val="2D74B5"/>
                <w:spacing w:val="-4"/>
                <w:sz w:val="12"/>
              </w:rPr>
              <w:t>2025</w:t>
            </w:r>
          </w:p>
        </w:tc>
        <w:tc>
          <w:tcPr>
            <w:tcW w:w="959" w:type="dxa"/>
            <w:tcBorders>
              <w:top w:val="single" w:sz="8" w:space="0" w:color="9AC1E6"/>
              <w:bottom w:val="single" w:sz="8" w:space="0" w:color="9AC1E6"/>
            </w:tcBorders>
          </w:tcPr>
          <w:p w14:paraId="79056B12" w14:textId="77777777" w:rsidR="002C6574" w:rsidRDefault="00000000">
            <w:pPr>
              <w:pStyle w:val="TableParagraph"/>
              <w:spacing w:before="69"/>
              <w:ind w:left="207"/>
              <w:jc w:val="left"/>
              <w:rPr>
                <w:rFonts w:ascii="Arial"/>
                <w:b/>
                <w:sz w:val="12"/>
              </w:rPr>
            </w:pPr>
            <w:r>
              <w:rPr>
                <w:rFonts w:ascii="Arial"/>
                <w:b/>
                <w:color w:val="2D74B5"/>
                <w:spacing w:val="-4"/>
                <w:sz w:val="12"/>
              </w:rPr>
              <w:t>2024</w:t>
            </w:r>
          </w:p>
        </w:tc>
        <w:tc>
          <w:tcPr>
            <w:tcW w:w="852" w:type="dxa"/>
            <w:tcBorders>
              <w:top w:val="single" w:sz="8" w:space="0" w:color="9AC1E6"/>
              <w:bottom w:val="single" w:sz="8" w:space="0" w:color="9AC1E6"/>
            </w:tcBorders>
          </w:tcPr>
          <w:p w14:paraId="5FE992B7" w14:textId="77777777" w:rsidR="002C6574" w:rsidRDefault="00000000">
            <w:pPr>
              <w:pStyle w:val="TableParagraph"/>
              <w:spacing w:before="69"/>
              <w:ind w:left="208"/>
              <w:jc w:val="left"/>
              <w:rPr>
                <w:rFonts w:ascii="Arial"/>
                <w:b/>
                <w:sz w:val="12"/>
              </w:rPr>
            </w:pPr>
            <w:r>
              <w:rPr>
                <w:rFonts w:ascii="Arial"/>
                <w:b/>
                <w:color w:val="2D74B5"/>
                <w:spacing w:val="-4"/>
                <w:sz w:val="12"/>
              </w:rPr>
              <w:t>2023</w:t>
            </w:r>
          </w:p>
        </w:tc>
        <w:tc>
          <w:tcPr>
            <w:tcW w:w="818" w:type="dxa"/>
            <w:tcBorders>
              <w:top w:val="single" w:sz="8" w:space="0" w:color="9AC1E6"/>
              <w:bottom w:val="single" w:sz="8" w:space="0" w:color="9AC1E6"/>
            </w:tcBorders>
          </w:tcPr>
          <w:p w14:paraId="1EAE5604" w14:textId="77777777" w:rsidR="002C6574" w:rsidRDefault="00000000">
            <w:pPr>
              <w:pStyle w:val="TableParagraph"/>
              <w:spacing w:line="137" w:lineRule="exact"/>
              <w:ind w:right="108"/>
              <w:jc w:val="center"/>
              <w:rPr>
                <w:rFonts w:ascii="Arial" w:hAnsi="Arial"/>
                <w:b/>
                <w:sz w:val="12"/>
              </w:rPr>
            </w:pPr>
            <w:r>
              <w:rPr>
                <w:rFonts w:ascii="Arial" w:hAnsi="Arial"/>
                <w:b/>
                <w:color w:val="2F75B5"/>
                <w:sz w:val="12"/>
              </w:rPr>
              <w:t>Δ 2025</w:t>
            </w:r>
            <w:r>
              <w:rPr>
                <w:rFonts w:ascii="Arial" w:hAnsi="Arial"/>
                <w:b/>
                <w:color w:val="2F75B5"/>
                <w:spacing w:val="1"/>
                <w:sz w:val="12"/>
              </w:rPr>
              <w:t xml:space="preserve"> </w:t>
            </w:r>
            <w:r>
              <w:rPr>
                <w:rFonts w:ascii="Arial" w:hAnsi="Arial"/>
                <w:b/>
                <w:color w:val="2F75B5"/>
                <w:spacing w:val="-10"/>
                <w:sz w:val="12"/>
              </w:rPr>
              <w:t>X</w:t>
            </w:r>
          </w:p>
          <w:p w14:paraId="2126A1A2" w14:textId="77777777" w:rsidR="002C6574" w:rsidRDefault="00000000">
            <w:pPr>
              <w:pStyle w:val="TableParagraph"/>
              <w:spacing w:line="118" w:lineRule="exact"/>
              <w:ind w:right="106"/>
              <w:jc w:val="center"/>
              <w:rPr>
                <w:rFonts w:ascii="Arial"/>
                <w:b/>
                <w:sz w:val="12"/>
              </w:rPr>
            </w:pPr>
            <w:r>
              <w:rPr>
                <w:rFonts w:ascii="Arial"/>
                <w:b/>
                <w:color w:val="2F75B5"/>
                <w:spacing w:val="-4"/>
                <w:sz w:val="12"/>
              </w:rPr>
              <w:t>2024</w:t>
            </w:r>
          </w:p>
        </w:tc>
        <w:tc>
          <w:tcPr>
            <w:tcW w:w="883" w:type="dxa"/>
            <w:tcBorders>
              <w:top w:val="single" w:sz="8" w:space="0" w:color="9AC1E6"/>
              <w:bottom w:val="single" w:sz="8" w:space="0" w:color="9AC1E6"/>
            </w:tcBorders>
          </w:tcPr>
          <w:p w14:paraId="621396F2" w14:textId="77777777" w:rsidR="002C6574" w:rsidRDefault="00000000">
            <w:pPr>
              <w:pStyle w:val="TableParagraph"/>
              <w:spacing w:line="137" w:lineRule="exact"/>
              <w:ind w:right="71"/>
              <w:jc w:val="center"/>
              <w:rPr>
                <w:rFonts w:ascii="Arial" w:hAnsi="Arial"/>
                <w:b/>
                <w:sz w:val="12"/>
              </w:rPr>
            </w:pPr>
            <w:r>
              <w:rPr>
                <w:rFonts w:ascii="Arial" w:hAnsi="Arial"/>
                <w:b/>
                <w:color w:val="2F75B5"/>
                <w:sz w:val="12"/>
              </w:rPr>
              <w:t>Δ 2025</w:t>
            </w:r>
            <w:r>
              <w:rPr>
                <w:rFonts w:ascii="Arial" w:hAnsi="Arial"/>
                <w:b/>
                <w:color w:val="2F75B5"/>
                <w:spacing w:val="1"/>
                <w:sz w:val="12"/>
              </w:rPr>
              <w:t xml:space="preserve"> </w:t>
            </w:r>
            <w:r>
              <w:rPr>
                <w:rFonts w:ascii="Arial" w:hAnsi="Arial"/>
                <w:b/>
                <w:color w:val="2F75B5"/>
                <w:spacing w:val="-10"/>
                <w:sz w:val="12"/>
              </w:rPr>
              <w:t>X</w:t>
            </w:r>
          </w:p>
          <w:p w14:paraId="2492AC9D" w14:textId="77777777" w:rsidR="002C6574" w:rsidRDefault="00000000">
            <w:pPr>
              <w:pStyle w:val="TableParagraph"/>
              <w:spacing w:line="118" w:lineRule="exact"/>
              <w:ind w:left="36" w:right="71"/>
              <w:jc w:val="center"/>
              <w:rPr>
                <w:rFonts w:ascii="Arial"/>
                <w:b/>
                <w:sz w:val="12"/>
              </w:rPr>
            </w:pPr>
            <w:r>
              <w:rPr>
                <w:rFonts w:ascii="Arial"/>
                <w:b/>
                <w:color w:val="2F75B5"/>
                <w:spacing w:val="-4"/>
                <w:sz w:val="12"/>
              </w:rPr>
              <w:t>2023</w:t>
            </w:r>
          </w:p>
        </w:tc>
      </w:tr>
      <w:tr w:rsidR="002C6574" w14:paraId="10688951" w14:textId="77777777">
        <w:trPr>
          <w:trHeight w:val="235"/>
        </w:trPr>
        <w:tc>
          <w:tcPr>
            <w:tcW w:w="3915" w:type="dxa"/>
          </w:tcPr>
          <w:p w14:paraId="2FD065CF" w14:textId="77777777" w:rsidR="002C6574" w:rsidRDefault="00000000">
            <w:pPr>
              <w:pStyle w:val="TableParagraph"/>
              <w:spacing w:before="38"/>
              <w:ind w:left="76"/>
              <w:jc w:val="left"/>
              <w:rPr>
                <w:rFonts w:ascii="Arial"/>
                <w:b/>
                <w:sz w:val="12"/>
              </w:rPr>
            </w:pPr>
            <w:r>
              <w:rPr>
                <w:rFonts w:ascii="Arial"/>
                <w:b/>
                <w:sz w:val="12"/>
              </w:rPr>
              <w:t xml:space="preserve">Outras Receitas </w:t>
            </w:r>
            <w:r>
              <w:rPr>
                <w:rFonts w:ascii="Arial"/>
                <w:b/>
                <w:spacing w:val="-2"/>
                <w:sz w:val="12"/>
              </w:rPr>
              <w:t>Operacionais</w:t>
            </w:r>
          </w:p>
        </w:tc>
        <w:tc>
          <w:tcPr>
            <w:tcW w:w="1647" w:type="dxa"/>
          </w:tcPr>
          <w:p w14:paraId="68DE8BFD" w14:textId="77777777" w:rsidR="002C6574" w:rsidRDefault="002C6574">
            <w:pPr>
              <w:pStyle w:val="TableParagraph"/>
              <w:jc w:val="left"/>
              <w:rPr>
                <w:rFonts w:ascii="Times New Roman"/>
                <w:sz w:val="16"/>
              </w:rPr>
            </w:pPr>
          </w:p>
        </w:tc>
        <w:tc>
          <w:tcPr>
            <w:tcW w:w="959" w:type="dxa"/>
          </w:tcPr>
          <w:p w14:paraId="3CAD684A" w14:textId="77777777" w:rsidR="002C6574" w:rsidRDefault="002C6574">
            <w:pPr>
              <w:pStyle w:val="TableParagraph"/>
              <w:jc w:val="left"/>
              <w:rPr>
                <w:rFonts w:ascii="Times New Roman"/>
                <w:sz w:val="16"/>
              </w:rPr>
            </w:pPr>
          </w:p>
        </w:tc>
        <w:tc>
          <w:tcPr>
            <w:tcW w:w="852" w:type="dxa"/>
          </w:tcPr>
          <w:p w14:paraId="6386B0A1" w14:textId="77777777" w:rsidR="002C6574" w:rsidRDefault="002C6574">
            <w:pPr>
              <w:pStyle w:val="TableParagraph"/>
              <w:jc w:val="left"/>
              <w:rPr>
                <w:rFonts w:ascii="Times New Roman"/>
                <w:sz w:val="16"/>
              </w:rPr>
            </w:pPr>
          </w:p>
        </w:tc>
        <w:tc>
          <w:tcPr>
            <w:tcW w:w="818" w:type="dxa"/>
          </w:tcPr>
          <w:p w14:paraId="4132F0D9" w14:textId="77777777" w:rsidR="002C6574" w:rsidRDefault="002C6574">
            <w:pPr>
              <w:pStyle w:val="TableParagraph"/>
              <w:jc w:val="left"/>
              <w:rPr>
                <w:rFonts w:ascii="Times New Roman"/>
                <w:sz w:val="16"/>
              </w:rPr>
            </w:pPr>
          </w:p>
        </w:tc>
        <w:tc>
          <w:tcPr>
            <w:tcW w:w="883" w:type="dxa"/>
          </w:tcPr>
          <w:p w14:paraId="5A4E7EEF" w14:textId="77777777" w:rsidR="002C6574" w:rsidRDefault="002C6574">
            <w:pPr>
              <w:pStyle w:val="TableParagraph"/>
              <w:jc w:val="left"/>
              <w:rPr>
                <w:rFonts w:ascii="Times New Roman"/>
                <w:sz w:val="16"/>
              </w:rPr>
            </w:pPr>
          </w:p>
        </w:tc>
      </w:tr>
      <w:tr w:rsidR="002C6574" w14:paraId="76B76D40" w14:textId="77777777">
        <w:trPr>
          <w:trHeight w:val="231"/>
        </w:trPr>
        <w:tc>
          <w:tcPr>
            <w:tcW w:w="3915" w:type="dxa"/>
          </w:tcPr>
          <w:p w14:paraId="1568B0E2" w14:textId="77777777" w:rsidR="002C6574" w:rsidRDefault="00000000">
            <w:pPr>
              <w:pStyle w:val="TableParagraph"/>
              <w:spacing w:before="45"/>
              <w:ind w:left="76"/>
              <w:jc w:val="left"/>
              <w:rPr>
                <w:rFonts w:ascii="Arial MT" w:hAnsi="Arial MT"/>
                <w:sz w:val="12"/>
              </w:rPr>
            </w:pPr>
            <w:r>
              <w:rPr>
                <w:rFonts w:ascii="Arial MT" w:hAnsi="Arial MT"/>
                <w:sz w:val="12"/>
              </w:rPr>
              <w:t>Subvenções</w:t>
            </w:r>
            <w:r>
              <w:rPr>
                <w:rFonts w:ascii="Arial MT" w:hAnsi="Arial MT"/>
                <w:spacing w:val="-1"/>
                <w:sz w:val="12"/>
              </w:rPr>
              <w:t xml:space="preserve"> </w:t>
            </w:r>
            <w:r>
              <w:rPr>
                <w:rFonts w:ascii="Arial MT" w:hAnsi="Arial MT"/>
                <w:sz w:val="12"/>
              </w:rPr>
              <w:t>Orçamentárias</w:t>
            </w:r>
            <w:r>
              <w:rPr>
                <w:rFonts w:ascii="Arial MT" w:hAnsi="Arial MT"/>
                <w:spacing w:val="-1"/>
                <w:sz w:val="12"/>
              </w:rPr>
              <w:t xml:space="preserve"> </w:t>
            </w:r>
            <w:r>
              <w:rPr>
                <w:rFonts w:ascii="Arial MT" w:hAnsi="Arial MT"/>
                <w:sz w:val="12"/>
              </w:rPr>
              <w:t xml:space="preserve">Recebidas </w:t>
            </w:r>
            <w:r>
              <w:rPr>
                <w:rFonts w:ascii="Arial MT" w:hAnsi="Arial MT"/>
                <w:spacing w:val="-5"/>
                <w:sz w:val="12"/>
              </w:rPr>
              <w:t>(i)</w:t>
            </w:r>
          </w:p>
        </w:tc>
        <w:tc>
          <w:tcPr>
            <w:tcW w:w="1647" w:type="dxa"/>
          </w:tcPr>
          <w:p w14:paraId="6C569A60" w14:textId="77777777" w:rsidR="002C6574" w:rsidRDefault="00000000">
            <w:pPr>
              <w:pStyle w:val="TableParagraph"/>
              <w:spacing w:before="45"/>
              <w:ind w:right="206"/>
              <w:rPr>
                <w:rFonts w:ascii="Arial MT"/>
                <w:sz w:val="12"/>
              </w:rPr>
            </w:pPr>
            <w:r>
              <w:rPr>
                <w:rFonts w:ascii="Arial MT"/>
                <w:spacing w:val="-2"/>
                <w:sz w:val="12"/>
              </w:rPr>
              <w:t>406.942</w:t>
            </w:r>
          </w:p>
        </w:tc>
        <w:tc>
          <w:tcPr>
            <w:tcW w:w="959" w:type="dxa"/>
          </w:tcPr>
          <w:p w14:paraId="516D51A1" w14:textId="77777777" w:rsidR="002C6574" w:rsidRDefault="00000000">
            <w:pPr>
              <w:pStyle w:val="TableParagraph"/>
              <w:spacing w:before="45"/>
              <w:ind w:right="205"/>
              <w:rPr>
                <w:rFonts w:ascii="Arial MT"/>
                <w:sz w:val="12"/>
              </w:rPr>
            </w:pPr>
            <w:r>
              <w:rPr>
                <w:rFonts w:ascii="Arial MT"/>
                <w:spacing w:val="-2"/>
                <w:sz w:val="12"/>
              </w:rPr>
              <w:t>158.402</w:t>
            </w:r>
          </w:p>
        </w:tc>
        <w:tc>
          <w:tcPr>
            <w:tcW w:w="852" w:type="dxa"/>
          </w:tcPr>
          <w:p w14:paraId="69E177F6" w14:textId="77777777" w:rsidR="002C6574" w:rsidRDefault="00000000">
            <w:pPr>
              <w:pStyle w:val="TableParagraph"/>
              <w:spacing w:before="45"/>
              <w:ind w:right="97"/>
              <w:rPr>
                <w:rFonts w:ascii="Arial MT"/>
                <w:sz w:val="12"/>
              </w:rPr>
            </w:pPr>
            <w:r>
              <w:rPr>
                <w:rFonts w:ascii="Arial MT"/>
                <w:spacing w:val="-2"/>
                <w:sz w:val="12"/>
              </w:rPr>
              <w:t>240.187</w:t>
            </w:r>
          </w:p>
        </w:tc>
        <w:tc>
          <w:tcPr>
            <w:tcW w:w="818" w:type="dxa"/>
          </w:tcPr>
          <w:p w14:paraId="09C3F67B" w14:textId="77777777" w:rsidR="002C6574" w:rsidRDefault="00000000">
            <w:pPr>
              <w:pStyle w:val="TableParagraph"/>
              <w:spacing w:before="45"/>
              <w:ind w:left="221" w:right="108"/>
              <w:jc w:val="center"/>
              <w:rPr>
                <w:rFonts w:ascii="Arial MT"/>
                <w:sz w:val="12"/>
              </w:rPr>
            </w:pPr>
            <w:r>
              <w:rPr>
                <w:rFonts w:ascii="Arial MT"/>
                <w:spacing w:val="-2"/>
                <w:sz w:val="12"/>
              </w:rPr>
              <w:t>156,9%</w:t>
            </w:r>
          </w:p>
        </w:tc>
        <w:tc>
          <w:tcPr>
            <w:tcW w:w="883" w:type="dxa"/>
          </w:tcPr>
          <w:p w14:paraId="3DD3858E" w14:textId="77777777" w:rsidR="002C6574" w:rsidRDefault="00000000">
            <w:pPr>
              <w:pStyle w:val="TableParagraph"/>
              <w:spacing w:before="45"/>
              <w:ind w:right="61"/>
              <w:rPr>
                <w:rFonts w:ascii="Arial MT"/>
                <w:sz w:val="12"/>
              </w:rPr>
            </w:pPr>
            <w:r>
              <w:rPr>
                <w:rFonts w:ascii="Arial MT"/>
                <w:spacing w:val="-2"/>
                <w:sz w:val="12"/>
              </w:rPr>
              <w:t>69,4%</w:t>
            </w:r>
          </w:p>
        </w:tc>
      </w:tr>
      <w:tr w:rsidR="002C6574" w14:paraId="74517E24" w14:textId="77777777">
        <w:trPr>
          <w:trHeight w:val="231"/>
        </w:trPr>
        <w:tc>
          <w:tcPr>
            <w:tcW w:w="3915" w:type="dxa"/>
          </w:tcPr>
          <w:p w14:paraId="75E73A31" w14:textId="77777777" w:rsidR="002C6574" w:rsidRDefault="00000000">
            <w:pPr>
              <w:pStyle w:val="TableParagraph"/>
              <w:spacing w:before="44"/>
              <w:ind w:left="76"/>
              <w:jc w:val="left"/>
              <w:rPr>
                <w:rFonts w:ascii="Arial MT" w:hAnsi="Arial MT"/>
                <w:sz w:val="12"/>
              </w:rPr>
            </w:pPr>
            <w:r>
              <w:rPr>
                <w:rFonts w:ascii="Arial MT" w:hAnsi="Arial MT"/>
                <w:sz w:val="12"/>
              </w:rPr>
              <w:t>Superávit</w:t>
            </w:r>
            <w:r>
              <w:rPr>
                <w:rFonts w:ascii="Arial MT" w:hAnsi="Arial MT"/>
                <w:spacing w:val="-4"/>
                <w:sz w:val="12"/>
              </w:rPr>
              <w:t xml:space="preserve"> </w:t>
            </w:r>
            <w:r>
              <w:rPr>
                <w:rFonts w:ascii="Arial MT" w:hAnsi="Arial MT"/>
                <w:sz w:val="12"/>
              </w:rPr>
              <w:t>de Previdência</w:t>
            </w:r>
            <w:r>
              <w:rPr>
                <w:rFonts w:ascii="Arial MT" w:hAnsi="Arial MT"/>
                <w:spacing w:val="-1"/>
                <w:sz w:val="12"/>
              </w:rPr>
              <w:t xml:space="preserve"> </w:t>
            </w:r>
            <w:r>
              <w:rPr>
                <w:rFonts w:ascii="Arial MT" w:hAnsi="Arial MT"/>
                <w:sz w:val="12"/>
              </w:rPr>
              <w:t xml:space="preserve">Privada </w:t>
            </w:r>
            <w:r>
              <w:rPr>
                <w:rFonts w:ascii="Arial MT" w:hAnsi="Arial MT"/>
                <w:spacing w:val="-4"/>
                <w:sz w:val="12"/>
              </w:rPr>
              <w:t>(ii)</w:t>
            </w:r>
          </w:p>
        </w:tc>
        <w:tc>
          <w:tcPr>
            <w:tcW w:w="1647" w:type="dxa"/>
          </w:tcPr>
          <w:p w14:paraId="42B05313" w14:textId="77777777" w:rsidR="002C6574" w:rsidRDefault="00000000">
            <w:pPr>
              <w:pStyle w:val="TableParagraph"/>
              <w:spacing w:before="44"/>
              <w:ind w:right="206"/>
              <w:rPr>
                <w:rFonts w:ascii="Arial MT"/>
                <w:sz w:val="12"/>
              </w:rPr>
            </w:pPr>
            <w:r>
              <w:rPr>
                <w:rFonts w:ascii="Arial MT"/>
                <w:spacing w:val="-2"/>
                <w:sz w:val="12"/>
              </w:rPr>
              <w:t>134.727</w:t>
            </w:r>
          </w:p>
        </w:tc>
        <w:tc>
          <w:tcPr>
            <w:tcW w:w="959" w:type="dxa"/>
          </w:tcPr>
          <w:p w14:paraId="016FE1B0" w14:textId="77777777" w:rsidR="002C6574" w:rsidRDefault="00000000">
            <w:pPr>
              <w:pStyle w:val="TableParagraph"/>
              <w:spacing w:before="44"/>
              <w:ind w:right="205"/>
              <w:rPr>
                <w:rFonts w:ascii="Arial MT"/>
                <w:sz w:val="12"/>
              </w:rPr>
            </w:pPr>
            <w:r>
              <w:rPr>
                <w:rFonts w:ascii="Arial MT"/>
                <w:spacing w:val="-2"/>
                <w:sz w:val="12"/>
              </w:rPr>
              <w:t>212.038</w:t>
            </w:r>
          </w:p>
        </w:tc>
        <w:tc>
          <w:tcPr>
            <w:tcW w:w="852" w:type="dxa"/>
          </w:tcPr>
          <w:p w14:paraId="3C31D1FD" w14:textId="77777777" w:rsidR="002C6574" w:rsidRDefault="00000000">
            <w:pPr>
              <w:pStyle w:val="TableParagraph"/>
              <w:spacing w:before="44"/>
              <w:ind w:right="97"/>
              <w:rPr>
                <w:rFonts w:ascii="Arial MT"/>
                <w:sz w:val="12"/>
              </w:rPr>
            </w:pPr>
            <w:r>
              <w:rPr>
                <w:rFonts w:ascii="Arial MT"/>
                <w:spacing w:val="-2"/>
                <w:sz w:val="12"/>
              </w:rPr>
              <w:t>33.912</w:t>
            </w:r>
          </w:p>
        </w:tc>
        <w:tc>
          <w:tcPr>
            <w:tcW w:w="818" w:type="dxa"/>
          </w:tcPr>
          <w:p w14:paraId="5E51A177" w14:textId="77777777" w:rsidR="002C6574" w:rsidRDefault="00000000">
            <w:pPr>
              <w:pStyle w:val="TableParagraph"/>
              <w:spacing w:before="44"/>
              <w:ind w:left="144"/>
              <w:jc w:val="center"/>
              <w:rPr>
                <w:rFonts w:ascii="Arial MT"/>
                <w:sz w:val="12"/>
              </w:rPr>
            </w:pPr>
            <w:r>
              <w:rPr>
                <w:rFonts w:ascii="Arial MT"/>
                <w:sz w:val="12"/>
              </w:rPr>
              <w:t>-</w:t>
            </w:r>
            <w:r>
              <w:rPr>
                <w:rFonts w:ascii="Arial MT"/>
                <w:spacing w:val="-2"/>
                <w:sz w:val="12"/>
              </w:rPr>
              <w:t>36,5%</w:t>
            </w:r>
          </w:p>
        </w:tc>
        <w:tc>
          <w:tcPr>
            <w:tcW w:w="883" w:type="dxa"/>
          </w:tcPr>
          <w:p w14:paraId="7CAC2D44" w14:textId="77777777" w:rsidR="002C6574" w:rsidRDefault="00000000">
            <w:pPr>
              <w:pStyle w:val="TableParagraph"/>
              <w:spacing w:before="44"/>
              <w:ind w:right="61"/>
              <w:rPr>
                <w:rFonts w:ascii="Arial MT"/>
                <w:sz w:val="12"/>
              </w:rPr>
            </w:pPr>
            <w:r>
              <w:rPr>
                <w:rFonts w:ascii="Arial MT"/>
                <w:spacing w:val="-2"/>
                <w:sz w:val="12"/>
              </w:rPr>
              <w:t>297,3%</w:t>
            </w:r>
          </w:p>
        </w:tc>
      </w:tr>
      <w:tr w:rsidR="002C6574" w14:paraId="66C2A318" w14:textId="77777777">
        <w:trPr>
          <w:trHeight w:val="232"/>
        </w:trPr>
        <w:tc>
          <w:tcPr>
            <w:tcW w:w="3915" w:type="dxa"/>
          </w:tcPr>
          <w:p w14:paraId="75610F67" w14:textId="77777777" w:rsidR="002C6574" w:rsidRDefault="00000000">
            <w:pPr>
              <w:pStyle w:val="TableParagraph"/>
              <w:spacing w:before="45"/>
              <w:ind w:left="76"/>
              <w:jc w:val="left"/>
              <w:rPr>
                <w:rFonts w:ascii="Arial MT" w:hAnsi="Arial MT"/>
                <w:sz w:val="12"/>
              </w:rPr>
            </w:pPr>
            <w:r>
              <w:rPr>
                <w:rFonts w:ascii="Arial MT" w:hAnsi="Arial MT"/>
                <w:sz w:val="12"/>
              </w:rPr>
              <w:t>Recuperação</w:t>
            </w:r>
            <w:r>
              <w:rPr>
                <w:rFonts w:ascii="Arial MT" w:hAnsi="Arial MT"/>
                <w:spacing w:val="-1"/>
                <w:sz w:val="12"/>
              </w:rPr>
              <w:t xml:space="preserve"> </w:t>
            </w:r>
            <w:r>
              <w:rPr>
                <w:rFonts w:ascii="Arial MT" w:hAnsi="Arial MT"/>
                <w:sz w:val="12"/>
              </w:rPr>
              <w:t>de</w:t>
            </w:r>
            <w:r>
              <w:rPr>
                <w:rFonts w:ascii="Arial MT" w:hAnsi="Arial MT"/>
                <w:spacing w:val="-3"/>
                <w:sz w:val="12"/>
              </w:rPr>
              <w:t xml:space="preserve"> </w:t>
            </w:r>
            <w:r>
              <w:rPr>
                <w:rFonts w:ascii="Arial MT" w:hAnsi="Arial MT"/>
                <w:sz w:val="12"/>
              </w:rPr>
              <w:t>Tributos</w:t>
            </w:r>
            <w:r>
              <w:rPr>
                <w:rFonts w:ascii="Arial MT" w:hAnsi="Arial MT"/>
                <w:spacing w:val="-1"/>
                <w:sz w:val="12"/>
              </w:rPr>
              <w:t xml:space="preserve"> </w:t>
            </w:r>
            <w:r>
              <w:rPr>
                <w:rFonts w:ascii="Arial MT" w:hAnsi="Arial MT"/>
                <w:sz w:val="12"/>
              </w:rPr>
              <w:t>– Créditos sobre Insumos</w:t>
            </w:r>
            <w:r>
              <w:rPr>
                <w:rFonts w:ascii="Arial MT" w:hAnsi="Arial MT"/>
                <w:spacing w:val="-1"/>
                <w:sz w:val="12"/>
              </w:rPr>
              <w:t xml:space="preserve"> </w:t>
            </w:r>
            <w:r>
              <w:rPr>
                <w:rFonts w:ascii="Arial MT" w:hAnsi="Arial MT"/>
                <w:spacing w:val="-2"/>
                <w:sz w:val="12"/>
              </w:rPr>
              <w:t>(iii)</w:t>
            </w:r>
          </w:p>
        </w:tc>
        <w:tc>
          <w:tcPr>
            <w:tcW w:w="1647" w:type="dxa"/>
          </w:tcPr>
          <w:p w14:paraId="2798EB04" w14:textId="77777777" w:rsidR="002C6574" w:rsidRDefault="00000000">
            <w:pPr>
              <w:pStyle w:val="TableParagraph"/>
              <w:spacing w:before="45"/>
              <w:ind w:right="206"/>
              <w:rPr>
                <w:rFonts w:ascii="Arial MT"/>
                <w:sz w:val="12"/>
              </w:rPr>
            </w:pPr>
            <w:r>
              <w:rPr>
                <w:rFonts w:ascii="Arial MT"/>
                <w:spacing w:val="-2"/>
                <w:sz w:val="12"/>
              </w:rPr>
              <w:t>17.575</w:t>
            </w:r>
          </w:p>
        </w:tc>
        <w:tc>
          <w:tcPr>
            <w:tcW w:w="959" w:type="dxa"/>
          </w:tcPr>
          <w:p w14:paraId="307CB106" w14:textId="77777777" w:rsidR="002C6574" w:rsidRDefault="00000000">
            <w:pPr>
              <w:pStyle w:val="TableParagraph"/>
              <w:spacing w:before="45"/>
              <w:ind w:right="205"/>
              <w:rPr>
                <w:rFonts w:ascii="Arial MT"/>
                <w:sz w:val="12"/>
              </w:rPr>
            </w:pPr>
            <w:r>
              <w:rPr>
                <w:rFonts w:ascii="Arial MT"/>
                <w:spacing w:val="-2"/>
                <w:sz w:val="12"/>
              </w:rPr>
              <w:t>20.538</w:t>
            </w:r>
          </w:p>
        </w:tc>
        <w:tc>
          <w:tcPr>
            <w:tcW w:w="852" w:type="dxa"/>
          </w:tcPr>
          <w:p w14:paraId="3AA01257" w14:textId="77777777" w:rsidR="002C6574" w:rsidRDefault="00000000">
            <w:pPr>
              <w:pStyle w:val="TableParagraph"/>
              <w:spacing w:before="45"/>
              <w:ind w:right="97"/>
              <w:rPr>
                <w:rFonts w:ascii="Arial MT"/>
                <w:sz w:val="12"/>
              </w:rPr>
            </w:pPr>
            <w:r>
              <w:rPr>
                <w:rFonts w:ascii="Arial MT"/>
                <w:spacing w:val="-2"/>
                <w:sz w:val="12"/>
              </w:rPr>
              <w:t>9.450</w:t>
            </w:r>
          </w:p>
        </w:tc>
        <w:tc>
          <w:tcPr>
            <w:tcW w:w="818" w:type="dxa"/>
          </w:tcPr>
          <w:p w14:paraId="29EC614F" w14:textId="77777777" w:rsidR="002C6574" w:rsidRDefault="00000000">
            <w:pPr>
              <w:pStyle w:val="TableParagraph"/>
              <w:spacing w:before="45"/>
              <w:ind w:left="144"/>
              <w:jc w:val="center"/>
              <w:rPr>
                <w:rFonts w:ascii="Arial MT"/>
                <w:sz w:val="12"/>
              </w:rPr>
            </w:pPr>
            <w:r>
              <w:rPr>
                <w:rFonts w:ascii="Arial MT"/>
                <w:sz w:val="12"/>
              </w:rPr>
              <w:t>-</w:t>
            </w:r>
            <w:r>
              <w:rPr>
                <w:rFonts w:ascii="Arial MT"/>
                <w:spacing w:val="-2"/>
                <w:sz w:val="12"/>
              </w:rPr>
              <w:t>14,4%</w:t>
            </w:r>
          </w:p>
        </w:tc>
        <w:tc>
          <w:tcPr>
            <w:tcW w:w="883" w:type="dxa"/>
          </w:tcPr>
          <w:p w14:paraId="6C5DD509" w14:textId="77777777" w:rsidR="002C6574" w:rsidRDefault="00000000">
            <w:pPr>
              <w:pStyle w:val="TableParagraph"/>
              <w:spacing w:before="45"/>
              <w:ind w:right="61"/>
              <w:rPr>
                <w:rFonts w:ascii="Arial MT"/>
                <w:sz w:val="12"/>
              </w:rPr>
            </w:pPr>
            <w:r>
              <w:rPr>
                <w:rFonts w:ascii="Arial MT"/>
                <w:spacing w:val="-2"/>
                <w:sz w:val="12"/>
              </w:rPr>
              <w:t>86,0%</w:t>
            </w:r>
          </w:p>
        </w:tc>
      </w:tr>
      <w:tr w:rsidR="002C6574" w14:paraId="7CEED079" w14:textId="77777777">
        <w:trPr>
          <w:trHeight w:val="231"/>
        </w:trPr>
        <w:tc>
          <w:tcPr>
            <w:tcW w:w="3915" w:type="dxa"/>
          </w:tcPr>
          <w:p w14:paraId="53F7AE0D" w14:textId="77777777" w:rsidR="002C6574" w:rsidRDefault="00000000">
            <w:pPr>
              <w:pStyle w:val="TableParagraph"/>
              <w:spacing w:before="45"/>
              <w:ind w:left="76"/>
              <w:jc w:val="left"/>
              <w:rPr>
                <w:rFonts w:ascii="Arial MT"/>
                <w:sz w:val="12"/>
              </w:rPr>
            </w:pPr>
            <w:r>
              <w:rPr>
                <w:rFonts w:ascii="Arial MT"/>
                <w:sz w:val="12"/>
              </w:rPr>
              <w:t>Ativos Contingentes</w:t>
            </w:r>
            <w:r>
              <w:rPr>
                <w:rFonts w:ascii="Arial MT"/>
                <w:spacing w:val="-3"/>
                <w:sz w:val="12"/>
              </w:rPr>
              <w:t xml:space="preserve"> </w:t>
            </w:r>
            <w:r>
              <w:rPr>
                <w:rFonts w:ascii="Arial MT"/>
                <w:spacing w:val="-4"/>
                <w:sz w:val="12"/>
              </w:rPr>
              <w:t>(iv)</w:t>
            </w:r>
          </w:p>
        </w:tc>
        <w:tc>
          <w:tcPr>
            <w:tcW w:w="1647" w:type="dxa"/>
          </w:tcPr>
          <w:p w14:paraId="5FDD1CDC" w14:textId="77777777" w:rsidR="002C6574" w:rsidRDefault="00000000">
            <w:pPr>
              <w:pStyle w:val="TableParagraph"/>
              <w:spacing w:before="45"/>
              <w:ind w:right="206"/>
              <w:rPr>
                <w:rFonts w:ascii="Arial MT"/>
                <w:sz w:val="12"/>
              </w:rPr>
            </w:pPr>
            <w:r>
              <w:rPr>
                <w:rFonts w:ascii="Arial MT"/>
                <w:spacing w:val="-2"/>
                <w:sz w:val="12"/>
              </w:rPr>
              <w:t>14.960</w:t>
            </w:r>
          </w:p>
        </w:tc>
        <w:tc>
          <w:tcPr>
            <w:tcW w:w="959" w:type="dxa"/>
          </w:tcPr>
          <w:p w14:paraId="40A91297" w14:textId="77777777" w:rsidR="002C6574" w:rsidRDefault="00000000">
            <w:pPr>
              <w:pStyle w:val="TableParagraph"/>
              <w:spacing w:before="45"/>
              <w:ind w:right="205"/>
              <w:rPr>
                <w:rFonts w:ascii="Arial MT"/>
                <w:sz w:val="12"/>
              </w:rPr>
            </w:pPr>
            <w:r>
              <w:rPr>
                <w:rFonts w:ascii="Arial MT"/>
                <w:spacing w:val="-10"/>
                <w:sz w:val="12"/>
              </w:rPr>
              <w:t>-</w:t>
            </w:r>
          </w:p>
        </w:tc>
        <w:tc>
          <w:tcPr>
            <w:tcW w:w="852" w:type="dxa"/>
          </w:tcPr>
          <w:p w14:paraId="313B0F8F" w14:textId="77777777" w:rsidR="002C6574" w:rsidRDefault="00000000">
            <w:pPr>
              <w:pStyle w:val="TableParagraph"/>
              <w:spacing w:before="45"/>
              <w:ind w:right="97"/>
              <w:rPr>
                <w:rFonts w:ascii="Arial MT"/>
                <w:sz w:val="12"/>
              </w:rPr>
            </w:pPr>
            <w:r>
              <w:rPr>
                <w:rFonts w:ascii="Arial MT"/>
                <w:spacing w:val="-10"/>
                <w:sz w:val="12"/>
              </w:rPr>
              <w:t>-</w:t>
            </w:r>
          </w:p>
        </w:tc>
        <w:tc>
          <w:tcPr>
            <w:tcW w:w="818" w:type="dxa"/>
          </w:tcPr>
          <w:p w14:paraId="41D0BF95" w14:textId="77777777" w:rsidR="002C6574" w:rsidRDefault="00000000">
            <w:pPr>
              <w:pStyle w:val="TableParagraph"/>
              <w:spacing w:before="45"/>
              <w:ind w:left="221" w:right="108"/>
              <w:jc w:val="center"/>
              <w:rPr>
                <w:rFonts w:ascii="Arial MT"/>
                <w:sz w:val="12"/>
              </w:rPr>
            </w:pPr>
            <w:r>
              <w:rPr>
                <w:rFonts w:ascii="Arial MT"/>
                <w:spacing w:val="-2"/>
                <w:sz w:val="12"/>
              </w:rPr>
              <w:t>100,0%</w:t>
            </w:r>
          </w:p>
        </w:tc>
        <w:tc>
          <w:tcPr>
            <w:tcW w:w="883" w:type="dxa"/>
          </w:tcPr>
          <w:p w14:paraId="0052A0C8" w14:textId="77777777" w:rsidR="002C6574" w:rsidRDefault="00000000">
            <w:pPr>
              <w:pStyle w:val="TableParagraph"/>
              <w:spacing w:before="45"/>
              <w:ind w:right="62"/>
              <w:rPr>
                <w:rFonts w:ascii="Arial MT"/>
                <w:sz w:val="12"/>
              </w:rPr>
            </w:pPr>
            <w:r>
              <w:rPr>
                <w:rFonts w:ascii="Arial MT"/>
                <w:spacing w:val="-2"/>
                <w:sz w:val="12"/>
              </w:rPr>
              <w:t>100,0%</w:t>
            </w:r>
          </w:p>
        </w:tc>
      </w:tr>
      <w:tr w:rsidR="002C6574" w14:paraId="7EF270EB" w14:textId="77777777">
        <w:trPr>
          <w:trHeight w:val="231"/>
        </w:trPr>
        <w:tc>
          <w:tcPr>
            <w:tcW w:w="3915" w:type="dxa"/>
          </w:tcPr>
          <w:p w14:paraId="70C0BE85" w14:textId="77777777" w:rsidR="002C6574" w:rsidRDefault="00000000">
            <w:pPr>
              <w:pStyle w:val="TableParagraph"/>
              <w:spacing w:before="44"/>
              <w:ind w:left="76"/>
              <w:jc w:val="left"/>
              <w:rPr>
                <w:rFonts w:ascii="Arial MT" w:hAnsi="Arial MT"/>
                <w:sz w:val="12"/>
              </w:rPr>
            </w:pPr>
            <w:r>
              <w:rPr>
                <w:rFonts w:ascii="Arial MT" w:hAnsi="Arial MT"/>
                <w:sz w:val="12"/>
              </w:rPr>
              <w:t>Rever. de</w:t>
            </w:r>
            <w:r>
              <w:rPr>
                <w:rFonts w:ascii="Arial MT" w:hAnsi="Arial MT"/>
                <w:spacing w:val="1"/>
                <w:sz w:val="12"/>
              </w:rPr>
              <w:t xml:space="preserve"> </w:t>
            </w:r>
            <w:r>
              <w:rPr>
                <w:rFonts w:ascii="Arial MT" w:hAnsi="Arial MT"/>
                <w:sz w:val="12"/>
              </w:rPr>
              <w:t>Prov. p/ Riscos</w:t>
            </w:r>
            <w:r>
              <w:rPr>
                <w:rFonts w:ascii="Arial MT" w:hAnsi="Arial MT"/>
                <w:spacing w:val="-3"/>
                <w:sz w:val="12"/>
              </w:rPr>
              <w:t xml:space="preserve"> </w:t>
            </w:r>
            <w:r>
              <w:rPr>
                <w:rFonts w:ascii="Arial MT" w:hAnsi="Arial MT"/>
                <w:sz w:val="12"/>
              </w:rPr>
              <w:t xml:space="preserve">Trab., Cíveis, </w:t>
            </w:r>
            <w:r>
              <w:rPr>
                <w:rFonts w:ascii="Arial MT" w:hAnsi="Arial MT"/>
                <w:spacing w:val="-2"/>
                <w:sz w:val="12"/>
              </w:rPr>
              <w:t>Fiscais</w:t>
            </w:r>
          </w:p>
        </w:tc>
        <w:tc>
          <w:tcPr>
            <w:tcW w:w="1647" w:type="dxa"/>
          </w:tcPr>
          <w:p w14:paraId="2D59F99E" w14:textId="77777777" w:rsidR="002C6574" w:rsidRDefault="00000000">
            <w:pPr>
              <w:pStyle w:val="TableParagraph"/>
              <w:spacing w:before="44"/>
              <w:ind w:right="206"/>
              <w:rPr>
                <w:rFonts w:ascii="Arial MT"/>
                <w:sz w:val="12"/>
              </w:rPr>
            </w:pPr>
            <w:r>
              <w:rPr>
                <w:rFonts w:ascii="Arial MT"/>
                <w:spacing w:val="-2"/>
                <w:sz w:val="12"/>
              </w:rPr>
              <w:t>1.421</w:t>
            </w:r>
          </w:p>
        </w:tc>
        <w:tc>
          <w:tcPr>
            <w:tcW w:w="959" w:type="dxa"/>
          </w:tcPr>
          <w:p w14:paraId="6FC9DB44" w14:textId="77777777" w:rsidR="002C6574" w:rsidRDefault="00000000">
            <w:pPr>
              <w:pStyle w:val="TableParagraph"/>
              <w:spacing w:before="44"/>
              <w:ind w:right="205"/>
              <w:rPr>
                <w:rFonts w:ascii="Arial MT"/>
                <w:sz w:val="12"/>
              </w:rPr>
            </w:pPr>
            <w:r>
              <w:rPr>
                <w:rFonts w:ascii="Arial MT"/>
                <w:spacing w:val="-5"/>
                <w:sz w:val="12"/>
              </w:rPr>
              <w:t>574</w:t>
            </w:r>
          </w:p>
        </w:tc>
        <w:tc>
          <w:tcPr>
            <w:tcW w:w="852" w:type="dxa"/>
          </w:tcPr>
          <w:p w14:paraId="2DEDBABD" w14:textId="77777777" w:rsidR="002C6574" w:rsidRDefault="00000000">
            <w:pPr>
              <w:pStyle w:val="TableParagraph"/>
              <w:spacing w:before="44"/>
              <w:ind w:right="97"/>
              <w:rPr>
                <w:rFonts w:ascii="Arial MT"/>
                <w:sz w:val="12"/>
              </w:rPr>
            </w:pPr>
            <w:r>
              <w:rPr>
                <w:rFonts w:ascii="Arial MT"/>
                <w:spacing w:val="-2"/>
                <w:sz w:val="12"/>
              </w:rPr>
              <w:t>9.213</w:t>
            </w:r>
          </w:p>
        </w:tc>
        <w:tc>
          <w:tcPr>
            <w:tcW w:w="818" w:type="dxa"/>
          </w:tcPr>
          <w:p w14:paraId="1421A208" w14:textId="77777777" w:rsidR="002C6574" w:rsidRDefault="00000000">
            <w:pPr>
              <w:pStyle w:val="TableParagraph"/>
              <w:spacing w:before="44"/>
              <w:ind w:left="221" w:right="108"/>
              <w:jc w:val="center"/>
              <w:rPr>
                <w:rFonts w:ascii="Arial MT"/>
                <w:sz w:val="12"/>
              </w:rPr>
            </w:pPr>
            <w:r>
              <w:rPr>
                <w:rFonts w:ascii="Arial MT"/>
                <w:spacing w:val="-2"/>
                <w:sz w:val="12"/>
              </w:rPr>
              <w:t>147,6%</w:t>
            </w:r>
          </w:p>
        </w:tc>
        <w:tc>
          <w:tcPr>
            <w:tcW w:w="883" w:type="dxa"/>
          </w:tcPr>
          <w:p w14:paraId="6951B750" w14:textId="77777777" w:rsidR="002C6574" w:rsidRDefault="00000000">
            <w:pPr>
              <w:pStyle w:val="TableParagraph"/>
              <w:spacing w:before="44"/>
              <w:ind w:right="59"/>
              <w:rPr>
                <w:rFonts w:ascii="Arial MT"/>
                <w:sz w:val="12"/>
              </w:rPr>
            </w:pPr>
            <w:r>
              <w:rPr>
                <w:rFonts w:ascii="Arial MT"/>
                <w:sz w:val="12"/>
              </w:rPr>
              <w:t>-</w:t>
            </w:r>
            <w:r>
              <w:rPr>
                <w:rFonts w:ascii="Arial MT"/>
                <w:spacing w:val="-2"/>
                <w:sz w:val="12"/>
              </w:rPr>
              <w:t>84,6%</w:t>
            </w:r>
          </w:p>
        </w:tc>
      </w:tr>
      <w:tr w:rsidR="002C6574" w14:paraId="60F0D485" w14:textId="77777777">
        <w:trPr>
          <w:trHeight w:val="232"/>
        </w:trPr>
        <w:tc>
          <w:tcPr>
            <w:tcW w:w="3915" w:type="dxa"/>
          </w:tcPr>
          <w:p w14:paraId="35E2E70D" w14:textId="77777777" w:rsidR="002C6574" w:rsidRDefault="00000000">
            <w:pPr>
              <w:pStyle w:val="TableParagraph"/>
              <w:spacing w:before="45"/>
              <w:ind w:left="76"/>
              <w:jc w:val="left"/>
              <w:rPr>
                <w:rFonts w:ascii="Arial MT"/>
                <w:sz w:val="12"/>
              </w:rPr>
            </w:pPr>
            <w:r>
              <w:rPr>
                <w:rFonts w:ascii="Arial MT"/>
                <w:sz w:val="12"/>
              </w:rPr>
              <w:t>Outras</w:t>
            </w:r>
            <w:r>
              <w:rPr>
                <w:rFonts w:ascii="Arial MT"/>
                <w:spacing w:val="-3"/>
                <w:sz w:val="12"/>
              </w:rPr>
              <w:t xml:space="preserve"> </w:t>
            </w:r>
            <w:r>
              <w:rPr>
                <w:rFonts w:ascii="Arial MT"/>
                <w:sz w:val="12"/>
              </w:rPr>
              <w:t>Receitas</w:t>
            </w:r>
            <w:r>
              <w:rPr>
                <w:rFonts w:ascii="Arial MT"/>
                <w:spacing w:val="-1"/>
                <w:sz w:val="12"/>
              </w:rPr>
              <w:t xml:space="preserve"> </w:t>
            </w:r>
            <w:r>
              <w:rPr>
                <w:rFonts w:ascii="Arial MT"/>
                <w:spacing w:val="-2"/>
                <w:sz w:val="12"/>
              </w:rPr>
              <w:t>Operacionais</w:t>
            </w:r>
          </w:p>
        </w:tc>
        <w:tc>
          <w:tcPr>
            <w:tcW w:w="1647" w:type="dxa"/>
          </w:tcPr>
          <w:p w14:paraId="5CC6A4FA" w14:textId="77777777" w:rsidR="002C6574" w:rsidRDefault="00000000">
            <w:pPr>
              <w:pStyle w:val="TableParagraph"/>
              <w:spacing w:before="45"/>
              <w:ind w:right="206"/>
              <w:rPr>
                <w:rFonts w:ascii="Arial MT"/>
                <w:sz w:val="12"/>
              </w:rPr>
            </w:pPr>
            <w:r>
              <w:rPr>
                <w:rFonts w:ascii="Arial MT"/>
                <w:spacing w:val="-2"/>
                <w:sz w:val="12"/>
              </w:rPr>
              <w:t>1.296</w:t>
            </w:r>
          </w:p>
        </w:tc>
        <w:tc>
          <w:tcPr>
            <w:tcW w:w="959" w:type="dxa"/>
          </w:tcPr>
          <w:p w14:paraId="4BB4010F" w14:textId="77777777" w:rsidR="002C6574" w:rsidRDefault="00000000">
            <w:pPr>
              <w:pStyle w:val="TableParagraph"/>
              <w:spacing w:before="45"/>
              <w:ind w:right="205"/>
              <w:rPr>
                <w:rFonts w:ascii="Arial MT"/>
                <w:sz w:val="12"/>
              </w:rPr>
            </w:pPr>
            <w:r>
              <w:rPr>
                <w:rFonts w:ascii="Arial MT"/>
                <w:spacing w:val="-2"/>
                <w:sz w:val="12"/>
              </w:rPr>
              <w:t>4.994</w:t>
            </w:r>
          </w:p>
        </w:tc>
        <w:tc>
          <w:tcPr>
            <w:tcW w:w="852" w:type="dxa"/>
          </w:tcPr>
          <w:p w14:paraId="5399680D" w14:textId="77777777" w:rsidR="002C6574" w:rsidRDefault="00000000">
            <w:pPr>
              <w:pStyle w:val="TableParagraph"/>
              <w:spacing w:before="45"/>
              <w:ind w:right="97"/>
              <w:rPr>
                <w:rFonts w:ascii="Arial MT"/>
                <w:sz w:val="12"/>
              </w:rPr>
            </w:pPr>
            <w:r>
              <w:rPr>
                <w:rFonts w:ascii="Arial MT"/>
                <w:spacing w:val="-2"/>
                <w:sz w:val="12"/>
              </w:rPr>
              <w:t>3.693</w:t>
            </w:r>
          </w:p>
        </w:tc>
        <w:tc>
          <w:tcPr>
            <w:tcW w:w="818" w:type="dxa"/>
          </w:tcPr>
          <w:p w14:paraId="3F399F20" w14:textId="77777777" w:rsidR="002C6574" w:rsidRDefault="00000000">
            <w:pPr>
              <w:pStyle w:val="TableParagraph"/>
              <w:spacing w:before="45"/>
              <w:ind w:left="144"/>
              <w:jc w:val="center"/>
              <w:rPr>
                <w:rFonts w:ascii="Arial MT"/>
                <w:sz w:val="12"/>
              </w:rPr>
            </w:pPr>
            <w:r>
              <w:rPr>
                <w:rFonts w:ascii="Arial MT"/>
                <w:sz w:val="12"/>
              </w:rPr>
              <w:t>-</w:t>
            </w:r>
            <w:r>
              <w:rPr>
                <w:rFonts w:ascii="Arial MT"/>
                <w:spacing w:val="-2"/>
                <w:sz w:val="12"/>
              </w:rPr>
              <w:t>74,0%</w:t>
            </w:r>
          </w:p>
        </w:tc>
        <w:tc>
          <w:tcPr>
            <w:tcW w:w="883" w:type="dxa"/>
          </w:tcPr>
          <w:p w14:paraId="209A77C0" w14:textId="77777777" w:rsidR="002C6574" w:rsidRDefault="00000000">
            <w:pPr>
              <w:pStyle w:val="TableParagraph"/>
              <w:spacing w:before="45"/>
              <w:ind w:right="59"/>
              <w:rPr>
                <w:rFonts w:ascii="Arial MT"/>
                <w:sz w:val="12"/>
              </w:rPr>
            </w:pPr>
            <w:r>
              <w:rPr>
                <w:rFonts w:ascii="Arial MT"/>
                <w:sz w:val="12"/>
              </w:rPr>
              <w:t>-</w:t>
            </w:r>
            <w:r>
              <w:rPr>
                <w:rFonts w:ascii="Arial MT"/>
                <w:spacing w:val="-2"/>
                <w:sz w:val="12"/>
              </w:rPr>
              <w:t>64,9%</w:t>
            </w:r>
          </w:p>
        </w:tc>
      </w:tr>
      <w:tr w:rsidR="002C6574" w14:paraId="5BB0FE05" w14:textId="77777777">
        <w:trPr>
          <w:trHeight w:val="229"/>
        </w:trPr>
        <w:tc>
          <w:tcPr>
            <w:tcW w:w="3915" w:type="dxa"/>
            <w:tcBorders>
              <w:bottom w:val="single" w:sz="8" w:space="0" w:color="9AC1E6"/>
            </w:tcBorders>
          </w:tcPr>
          <w:p w14:paraId="1215CF01" w14:textId="77777777" w:rsidR="002C6574" w:rsidRDefault="00000000">
            <w:pPr>
              <w:pStyle w:val="TableParagraph"/>
              <w:spacing w:before="45"/>
              <w:ind w:left="76"/>
              <w:jc w:val="left"/>
              <w:rPr>
                <w:rFonts w:ascii="Arial MT"/>
                <w:sz w:val="12"/>
              </w:rPr>
            </w:pPr>
            <w:r>
              <w:rPr>
                <w:rFonts w:ascii="Arial MT"/>
                <w:sz w:val="12"/>
              </w:rPr>
              <w:t>Tributos</w:t>
            </w:r>
            <w:r>
              <w:rPr>
                <w:rFonts w:ascii="Arial MT"/>
                <w:spacing w:val="-1"/>
                <w:sz w:val="12"/>
              </w:rPr>
              <w:t xml:space="preserve"> </w:t>
            </w:r>
            <w:r>
              <w:rPr>
                <w:rFonts w:ascii="Arial MT"/>
                <w:sz w:val="12"/>
              </w:rPr>
              <w:t>sobre</w:t>
            </w:r>
            <w:r>
              <w:rPr>
                <w:rFonts w:ascii="Arial MT"/>
                <w:spacing w:val="-2"/>
                <w:sz w:val="12"/>
              </w:rPr>
              <w:t xml:space="preserve"> </w:t>
            </w:r>
            <w:r>
              <w:rPr>
                <w:rFonts w:ascii="Arial MT"/>
                <w:sz w:val="12"/>
              </w:rPr>
              <w:t>Outras</w:t>
            </w:r>
            <w:r>
              <w:rPr>
                <w:rFonts w:ascii="Arial MT"/>
                <w:spacing w:val="-3"/>
                <w:sz w:val="12"/>
              </w:rPr>
              <w:t xml:space="preserve"> </w:t>
            </w:r>
            <w:r>
              <w:rPr>
                <w:rFonts w:ascii="Arial MT"/>
                <w:sz w:val="12"/>
              </w:rPr>
              <w:t>Receitas Operacionais</w:t>
            </w:r>
            <w:r>
              <w:rPr>
                <w:rFonts w:ascii="Arial MT"/>
                <w:spacing w:val="-3"/>
                <w:sz w:val="12"/>
              </w:rPr>
              <w:t xml:space="preserve"> </w:t>
            </w:r>
            <w:r>
              <w:rPr>
                <w:rFonts w:ascii="Arial MT"/>
                <w:spacing w:val="-5"/>
                <w:sz w:val="12"/>
              </w:rPr>
              <w:t>(v)</w:t>
            </w:r>
          </w:p>
        </w:tc>
        <w:tc>
          <w:tcPr>
            <w:tcW w:w="1647" w:type="dxa"/>
            <w:tcBorders>
              <w:bottom w:val="single" w:sz="8" w:space="0" w:color="9AC1E6"/>
            </w:tcBorders>
          </w:tcPr>
          <w:p w14:paraId="69B32749" w14:textId="77777777" w:rsidR="002C6574" w:rsidRDefault="00000000">
            <w:pPr>
              <w:pStyle w:val="TableParagraph"/>
              <w:spacing w:before="45"/>
              <w:ind w:right="204"/>
              <w:rPr>
                <w:rFonts w:ascii="Arial MT"/>
                <w:sz w:val="12"/>
              </w:rPr>
            </w:pPr>
            <w:r>
              <w:rPr>
                <w:rFonts w:ascii="Arial MT"/>
                <w:spacing w:val="-2"/>
                <w:sz w:val="12"/>
              </w:rPr>
              <w:t>(13.870)</w:t>
            </w:r>
          </w:p>
        </w:tc>
        <w:tc>
          <w:tcPr>
            <w:tcW w:w="959" w:type="dxa"/>
            <w:tcBorders>
              <w:bottom w:val="single" w:sz="8" w:space="0" w:color="9AC1E6"/>
            </w:tcBorders>
          </w:tcPr>
          <w:p w14:paraId="18F71821" w14:textId="77777777" w:rsidR="002C6574" w:rsidRDefault="00000000">
            <w:pPr>
              <w:pStyle w:val="TableParagraph"/>
              <w:spacing w:before="45"/>
              <w:ind w:right="202"/>
              <w:rPr>
                <w:rFonts w:ascii="Arial MT"/>
                <w:sz w:val="12"/>
              </w:rPr>
            </w:pPr>
            <w:r>
              <w:rPr>
                <w:rFonts w:ascii="Arial MT"/>
                <w:spacing w:val="-2"/>
                <w:sz w:val="12"/>
              </w:rPr>
              <w:t>(22.848)</w:t>
            </w:r>
          </w:p>
        </w:tc>
        <w:tc>
          <w:tcPr>
            <w:tcW w:w="852" w:type="dxa"/>
            <w:tcBorders>
              <w:bottom w:val="single" w:sz="8" w:space="0" w:color="9AC1E6"/>
            </w:tcBorders>
          </w:tcPr>
          <w:p w14:paraId="5A656016" w14:textId="77777777" w:rsidR="002C6574" w:rsidRDefault="00000000">
            <w:pPr>
              <w:pStyle w:val="TableParagraph"/>
              <w:spacing w:before="45"/>
              <w:ind w:right="97"/>
              <w:rPr>
                <w:rFonts w:ascii="Arial MT"/>
                <w:sz w:val="12"/>
              </w:rPr>
            </w:pPr>
            <w:r>
              <w:rPr>
                <w:rFonts w:ascii="Arial MT"/>
                <w:spacing w:val="-10"/>
                <w:sz w:val="12"/>
              </w:rPr>
              <w:t>-</w:t>
            </w:r>
          </w:p>
        </w:tc>
        <w:tc>
          <w:tcPr>
            <w:tcW w:w="818" w:type="dxa"/>
            <w:tcBorders>
              <w:bottom w:val="single" w:sz="8" w:space="0" w:color="9AC1E6"/>
            </w:tcBorders>
          </w:tcPr>
          <w:p w14:paraId="7E240B5F" w14:textId="77777777" w:rsidR="002C6574" w:rsidRDefault="00000000">
            <w:pPr>
              <w:pStyle w:val="TableParagraph"/>
              <w:spacing w:before="45"/>
              <w:ind w:left="144"/>
              <w:jc w:val="center"/>
              <w:rPr>
                <w:rFonts w:ascii="Arial MT"/>
                <w:sz w:val="12"/>
              </w:rPr>
            </w:pPr>
            <w:r>
              <w:rPr>
                <w:rFonts w:ascii="Arial MT"/>
                <w:sz w:val="12"/>
              </w:rPr>
              <w:t>-</w:t>
            </w:r>
            <w:r>
              <w:rPr>
                <w:rFonts w:ascii="Arial MT"/>
                <w:spacing w:val="-2"/>
                <w:sz w:val="12"/>
              </w:rPr>
              <w:t>39,3%</w:t>
            </w:r>
          </w:p>
        </w:tc>
        <w:tc>
          <w:tcPr>
            <w:tcW w:w="883" w:type="dxa"/>
            <w:tcBorders>
              <w:bottom w:val="single" w:sz="8" w:space="0" w:color="8EAADB"/>
            </w:tcBorders>
          </w:tcPr>
          <w:p w14:paraId="47D5447B" w14:textId="77777777" w:rsidR="002C6574" w:rsidRDefault="00000000">
            <w:pPr>
              <w:pStyle w:val="TableParagraph"/>
              <w:spacing w:before="45"/>
              <w:ind w:right="61"/>
              <w:rPr>
                <w:rFonts w:ascii="Arial MT"/>
                <w:sz w:val="12"/>
              </w:rPr>
            </w:pPr>
            <w:r>
              <w:rPr>
                <w:rFonts w:ascii="Arial MT"/>
                <w:spacing w:val="-2"/>
                <w:sz w:val="12"/>
              </w:rPr>
              <w:t>100,0%</w:t>
            </w:r>
          </w:p>
        </w:tc>
      </w:tr>
      <w:tr w:rsidR="002C6574" w14:paraId="139BC0DD" w14:textId="77777777">
        <w:trPr>
          <w:trHeight w:val="231"/>
        </w:trPr>
        <w:tc>
          <w:tcPr>
            <w:tcW w:w="3915" w:type="dxa"/>
            <w:tcBorders>
              <w:top w:val="single" w:sz="8" w:space="0" w:color="9AC1E6"/>
              <w:bottom w:val="single" w:sz="8" w:space="0" w:color="9AC1E6"/>
            </w:tcBorders>
          </w:tcPr>
          <w:p w14:paraId="300DEFC4" w14:textId="77777777" w:rsidR="002C6574" w:rsidRDefault="00000000">
            <w:pPr>
              <w:pStyle w:val="TableParagraph"/>
              <w:spacing w:before="48"/>
              <w:ind w:left="76"/>
              <w:jc w:val="left"/>
              <w:rPr>
                <w:rFonts w:ascii="Arial"/>
                <w:b/>
                <w:sz w:val="12"/>
              </w:rPr>
            </w:pPr>
            <w:r>
              <w:rPr>
                <w:rFonts w:ascii="Arial"/>
                <w:b/>
                <w:spacing w:val="-2"/>
                <w:sz w:val="12"/>
              </w:rPr>
              <w:t>Total</w:t>
            </w:r>
          </w:p>
        </w:tc>
        <w:tc>
          <w:tcPr>
            <w:tcW w:w="1647" w:type="dxa"/>
            <w:tcBorders>
              <w:top w:val="single" w:sz="8" w:space="0" w:color="9AC1E6"/>
              <w:bottom w:val="single" w:sz="8" w:space="0" w:color="9AC1E6"/>
            </w:tcBorders>
          </w:tcPr>
          <w:p w14:paraId="21B405E6" w14:textId="77777777" w:rsidR="002C6574" w:rsidRDefault="00000000">
            <w:pPr>
              <w:pStyle w:val="TableParagraph"/>
              <w:spacing w:before="48"/>
              <w:ind w:right="205"/>
              <w:rPr>
                <w:rFonts w:ascii="Arial"/>
                <w:b/>
                <w:sz w:val="12"/>
              </w:rPr>
            </w:pPr>
            <w:r>
              <w:rPr>
                <w:rFonts w:ascii="Arial"/>
                <w:b/>
                <w:spacing w:val="-2"/>
                <w:sz w:val="12"/>
              </w:rPr>
              <w:t>563.051</w:t>
            </w:r>
          </w:p>
        </w:tc>
        <w:tc>
          <w:tcPr>
            <w:tcW w:w="959" w:type="dxa"/>
            <w:tcBorders>
              <w:top w:val="single" w:sz="8" w:space="0" w:color="9AC1E6"/>
              <w:bottom w:val="single" w:sz="8" w:space="0" w:color="9AC1E6"/>
            </w:tcBorders>
          </w:tcPr>
          <w:p w14:paraId="12531E47" w14:textId="77777777" w:rsidR="002C6574" w:rsidRDefault="00000000">
            <w:pPr>
              <w:pStyle w:val="TableParagraph"/>
              <w:spacing w:before="48"/>
              <w:ind w:right="205"/>
              <w:rPr>
                <w:rFonts w:ascii="Arial"/>
                <w:b/>
                <w:sz w:val="12"/>
              </w:rPr>
            </w:pPr>
            <w:r>
              <w:rPr>
                <w:rFonts w:ascii="Arial"/>
                <w:b/>
                <w:spacing w:val="-2"/>
                <w:sz w:val="12"/>
              </w:rPr>
              <w:t>373.698</w:t>
            </w:r>
          </w:p>
        </w:tc>
        <w:tc>
          <w:tcPr>
            <w:tcW w:w="852" w:type="dxa"/>
            <w:tcBorders>
              <w:top w:val="single" w:sz="8" w:space="0" w:color="9AC1E6"/>
              <w:bottom w:val="single" w:sz="8" w:space="0" w:color="9AC1E6"/>
            </w:tcBorders>
          </w:tcPr>
          <w:p w14:paraId="19BD357B" w14:textId="77777777" w:rsidR="002C6574" w:rsidRDefault="00000000">
            <w:pPr>
              <w:pStyle w:val="TableParagraph"/>
              <w:spacing w:before="48"/>
              <w:ind w:right="97"/>
              <w:rPr>
                <w:rFonts w:ascii="Arial"/>
                <w:b/>
                <w:sz w:val="12"/>
              </w:rPr>
            </w:pPr>
            <w:r>
              <w:rPr>
                <w:rFonts w:ascii="Arial"/>
                <w:b/>
                <w:spacing w:val="-2"/>
                <w:sz w:val="12"/>
              </w:rPr>
              <w:t>296.872</w:t>
            </w:r>
          </w:p>
        </w:tc>
        <w:tc>
          <w:tcPr>
            <w:tcW w:w="818" w:type="dxa"/>
            <w:tcBorders>
              <w:top w:val="single" w:sz="8" w:space="0" w:color="9AC1E6"/>
              <w:bottom w:val="single" w:sz="8" w:space="0" w:color="9AC1E6"/>
            </w:tcBorders>
          </w:tcPr>
          <w:p w14:paraId="0AB95F31" w14:textId="77777777" w:rsidR="002C6574" w:rsidRDefault="00000000">
            <w:pPr>
              <w:pStyle w:val="TableParagraph"/>
              <w:spacing w:before="48"/>
              <w:ind w:left="180"/>
              <w:jc w:val="center"/>
              <w:rPr>
                <w:rFonts w:ascii="Arial"/>
                <w:b/>
                <w:sz w:val="12"/>
              </w:rPr>
            </w:pPr>
            <w:r>
              <w:rPr>
                <w:rFonts w:ascii="Arial"/>
                <w:b/>
                <w:spacing w:val="-2"/>
                <w:sz w:val="12"/>
              </w:rPr>
              <w:t>50,7%</w:t>
            </w:r>
          </w:p>
        </w:tc>
        <w:tc>
          <w:tcPr>
            <w:tcW w:w="883" w:type="dxa"/>
            <w:tcBorders>
              <w:top w:val="single" w:sz="8" w:space="0" w:color="8EAADB"/>
              <w:bottom w:val="single" w:sz="8" w:space="0" w:color="8EAADB"/>
            </w:tcBorders>
          </w:tcPr>
          <w:p w14:paraId="0485946D" w14:textId="77777777" w:rsidR="002C6574" w:rsidRDefault="00000000">
            <w:pPr>
              <w:pStyle w:val="TableParagraph"/>
              <w:spacing w:before="48"/>
              <w:ind w:right="61"/>
              <w:rPr>
                <w:rFonts w:ascii="Arial"/>
                <w:b/>
                <w:sz w:val="12"/>
              </w:rPr>
            </w:pPr>
            <w:r>
              <w:rPr>
                <w:rFonts w:ascii="Arial"/>
                <w:b/>
                <w:spacing w:val="-2"/>
                <w:sz w:val="12"/>
              </w:rPr>
              <w:t>89,7%</w:t>
            </w:r>
          </w:p>
        </w:tc>
      </w:tr>
      <w:tr w:rsidR="002C6574" w14:paraId="56D212B3" w14:textId="77777777">
        <w:trPr>
          <w:trHeight w:val="233"/>
        </w:trPr>
        <w:tc>
          <w:tcPr>
            <w:tcW w:w="3915" w:type="dxa"/>
            <w:tcBorders>
              <w:top w:val="single" w:sz="8" w:space="0" w:color="9AC1E6"/>
            </w:tcBorders>
          </w:tcPr>
          <w:p w14:paraId="594298A7" w14:textId="77777777" w:rsidR="002C6574" w:rsidRDefault="00000000">
            <w:pPr>
              <w:pStyle w:val="TableParagraph"/>
              <w:spacing w:before="48"/>
              <w:ind w:left="76"/>
              <w:jc w:val="left"/>
              <w:rPr>
                <w:rFonts w:ascii="Arial"/>
                <w:b/>
                <w:sz w:val="12"/>
              </w:rPr>
            </w:pPr>
            <w:r>
              <w:rPr>
                <w:rFonts w:ascii="Arial"/>
                <w:b/>
                <w:sz w:val="12"/>
              </w:rPr>
              <w:t>Outras Despesas</w:t>
            </w:r>
            <w:r>
              <w:rPr>
                <w:rFonts w:ascii="Arial"/>
                <w:b/>
                <w:spacing w:val="-2"/>
                <w:sz w:val="12"/>
              </w:rPr>
              <w:t xml:space="preserve"> Operacionais</w:t>
            </w:r>
          </w:p>
        </w:tc>
        <w:tc>
          <w:tcPr>
            <w:tcW w:w="1647" w:type="dxa"/>
            <w:tcBorders>
              <w:top w:val="single" w:sz="8" w:space="0" w:color="9AC1E6"/>
            </w:tcBorders>
          </w:tcPr>
          <w:p w14:paraId="6AE72B9D" w14:textId="77777777" w:rsidR="002C6574" w:rsidRDefault="002C6574">
            <w:pPr>
              <w:pStyle w:val="TableParagraph"/>
              <w:jc w:val="left"/>
              <w:rPr>
                <w:rFonts w:ascii="Times New Roman"/>
                <w:sz w:val="16"/>
              </w:rPr>
            </w:pPr>
          </w:p>
        </w:tc>
        <w:tc>
          <w:tcPr>
            <w:tcW w:w="959" w:type="dxa"/>
            <w:tcBorders>
              <w:top w:val="single" w:sz="8" w:space="0" w:color="9AC1E6"/>
            </w:tcBorders>
          </w:tcPr>
          <w:p w14:paraId="418103EC" w14:textId="77777777" w:rsidR="002C6574" w:rsidRDefault="002C6574">
            <w:pPr>
              <w:pStyle w:val="TableParagraph"/>
              <w:jc w:val="left"/>
              <w:rPr>
                <w:rFonts w:ascii="Times New Roman"/>
                <w:sz w:val="16"/>
              </w:rPr>
            </w:pPr>
          </w:p>
        </w:tc>
        <w:tc>
          <w:tcPr>
            <w:tcW w:w="852" w:type="dxa"/>
            <w:tcBorders>
              <w:top w:val="single" w:sz="8" w:space="0" w:color="9AC1E6"/>
            </w:tcBorders>
          </w:tcPr>
          <w:p w14:paraId="0D803F24" w14:textId="77777777" w:rsidR="002C6574" w:rsidRDefault="002C6574">
            <w:pPr>
              <w:pStyle w:val="TableParagraph"/>
              <w:jc w:val="left"/>
              <w:rPr>
                <w:rFonts w:ascii="Times New Roman"/>
                <w:sz w:val="16"/>
              </w:rPr>
            </w:pPr>
          </w:p>
        </w:tc>
        <w:tc>
          <w:tcPr>
            <w:tcW w:w="818" w:type="dxa"/>
            <w:tcBorders>
              <w:top w:val="single" w:sz="8" w:space="0" w:color="9AC1E6"/>
            </w:tcBorders>
          </w:tcPr>
          <w:p w14:paraId="0C0309B8" w14:textId="77777777" w:rsidR="002C6574" w:rsidRDefault="002C6574">
            <w:pPr>
              <w:pStyle w:val="TableParagraph"/>
              <w:jc w:val="left"/>
              <w:rPr>
                <w:rFonts w:ascii="Times New Roman"/>
                <w:sz w:val="16"/>
              </w:rPr>
            </w:pPr>
          </w:p>
        </w:tc>
        <w:tc>
          <w:tcPr>
            <w:tcW w:w="883" w:type="dxa"/>
            <w:tcBorders>
              <w:top w:val="single" w:sz="8" w:space="0" w:color="8EAADB"/>
            </w:tcBorders>
          </w:tcPr>
          <w:p w14:paraId="6B988FD0" w14:textId="77777777" w:rsidR="002C6574" w:rsidRDefault="002C6574">
            <w:pPr>
              <w:pStyle w:val="TableParagraph"/>
              <w:jc w:val="left"/>
              <w:rPr>
                <w:rFonts w:ascii="Times New Roman"/>
                <w:sz w:val="16"/>
              </w:rPr>
            </w:pPr>
          </w:p>
        </w:tc>
      </w:tr>
      <w:tr w:rsidR="002C6574" w14:paraId="57F9062D" w14:textId="77777777">
        <w:trPr>
          <w:trHeight w:val="231"/>
        </w:trPr>
        <w:tc>
          <w:tcPr>
            <w:tcW w:w="3915" w:type="dxa"/>
          </w:tcPr>
          <w:p w14:paraId="54244BD8" w14:textId="77777777" w:rsidR="002C6574" w:rsidRDefault="00000000">
            <w:pPr>
              <w:pStyle w:val="TableParagraph"/>
              <w:spacing w:before="44"/>
              <w:ind w:left="76"/>
              <w:jc w:val="left"/>
              <w:rPr>
                <w:rFonts w:ascii="Arial MT"/>
                <w:sz w:val="12"/>
              </w:rPr>
            </w:pPr>
            <w:r>
              <w:rPr>
                <w:rFonts w:ascii="Arial MT"/>
                <w:spacing w:val="-2"/>
                <w:sz w:val="12"/>
              </w:rPr>
              <w:t>Tributos</w:t>
            </w:r>
          </w:p>
        </w:tc>
        <w:tc>
          <w:tcPr>
            <w:tcW w:w="1647" w:type="dxa"/>
          </w:tcPr>
          <w:p w14:paraId="0F7E901D" w14:textId="77777777" w:rsidR="002C6574" w:rsidRDefault="00000000">
            <w:pPr>
              <w:pStyle w:val="TableParagraph"/>
              <w:spacing w:before="44"/>
              <w:ind w:right="204"/>
              <w:rPr>
                <w:rFonts w:ascii="Arial MT"/>
                <w:sz w:val="12"/>
              </w:rPr>
            </w:pPr>
            <w:r>
              <w:rPr>
                <w:rFonts w:ascii="Arial MT"/>
                <w:spacing w:val="-2"/>
                <w:sz w:val="12"/>
              </w:rPr>
              <w:t>(7.912)</w:t>
            </w:r>
          </w:p>
        </w:tc>
        <w:tc>
          <w:tcPr>
            <w:tcW w:w="959" w:type="dxa"/>
          </w:tcPr>
          <w:p w14:paraId="056B5891" w14:textId="77777777" w:rsidR="002C6574" w:rsidRDefault="00000000">
            <w:pPr>
              <w:pStyle w:val="TableParagraph"/>
              <w:spacing w:before="44"/>
              <w:ind w:right="202"/>
              <w:rPr>
                <w:rFonts w:ascii="Arial MT"/>
                <w:sz w:val="12"/>
              </w:rPr>
            </w:pPr>
            <w:r>
              <w:rPr>
                <w:rFonts w:ascii="Arial MT"/>
                <w:spacing w:val="-2"/>
                <w:sz w:val="12"/>
              </w:rPr>
              <w:t>(6.116)</w:t>
            </w:r>
          </w:p>
        </w:tc>
        <w:tc>
          <w:tcPr>
            <w:tcW w:w="852" w:type="dxa"/>
          </w:tcPr>
          <w:p w14:paraId="023176B7" w14:textId="77777777" w:rsidR="002C6574" w:rsidRDefault="00000000">
            <w:pPr>
              <w:pStyle w:val="TableParagraph"/>
              <w:spacing w:before="44"/>
              <w:ind w:right="95"/>
              <w:rPr>
                <w:rFonts w:ascii="Arial MT"/>
                <w:sz w:val="12"/>
              </w:rPr>
            </w:pPr>
            <w:r>
              <w:rPr>
                <w:rFonts w:ascii="Arial MT"/>
                <w:spacing w:val="-2"/>
                <w:sz w:val="12"/>
              </w:rPr>
              <w:t>(10.835)</w:t>
            </w:r>
          </w:p>
        </w:tc>
        <w:tc>
          <w:tcPr>
            <w:tcW w:w="818" w:type="dxa"/>
          </w:tcPr>
          <w:p w14:paraId="3EA3FB42" w14:textId="77777777" w:rsidR="002C6574" w:rsidRDefault="00000000">
            <w:pPr>
              <w:pStyle w:val="TableParagraph"/>
              <w:spacing w:before="44"/>
              <w:ind w:left="180"/>
              <w:jc w:val="center"/>
              <w:rPr>
                <w:rFonts w:ascii="Arial MT"/>
                <w:sz w:val="12"/>
              </w:rPr>
            </w:pPr>
            <w:r>
              <w:rPr>
                <w:rFonts w:ascii="Arial MT"/>
                <w:spacing w:val="-2"/>
                <w:sz w:val="12"/>
              </w:rPr>
              <w:t>29,4%</w:t>
            </w:r>
          </w:p>
        </w:tc>
        <w:tc>
          <w:tcPr>
            <w:tcW w:w="883" w:type="dxa"/>
          </w:tcPr>
          <w:p w14:paraId="33EAF656" w14:textId="77777777" w:rsidR="002C6574" w:rsidRDefault="00000000">
            <w:pPr>
              <w:pStyle w:val="TableParagraph"/>
              <w:spacing w:before="44"/>
              <w:ind w:right="59"/>
              <w:rPr>
                <w:rFonts w:ascii="Arial MT"/>
                <w:sz w:val="12"/>
              </w:rPr>
            </w:pPr>
            <w:r>
              <w:rPr>
                <w:rFonts w:ascii="Arial MT"/>
                <w:sz w:val="12"/>
              </w:rPr>
              <w:t>-</w:t>
            </w:r>
            <w:r>
              <w:rPr>
                <w:rFonts w:ascii="Arial MT"/>
                <w:spacing w:val="-2"/>
                <w:sz w:val="12"/>
              </w:rPr>
              <w:t>27,0%</w:t>
            </w:r>
          </w:p>
        </w:tc>
      </w:tr>
      <w:tr w:rsidR="002C6574" w14:paraId="0A256B96" w14:textId="77777777">
        <w:trPr>
          <w:trHeight w:val="232"/>
        </w:trPr>
        <w:tc>
          <w:tcPr>
            <w:tcW w:w="3915" w:type="dxa"/>
          </w:tcPr>
          <w:p w14:paraId="076ECA63" w14:textId="77777777" w:rsidR="002C6574" w:rsidRDefault="00000000">
            <w:pPr>
              <w:pStyle w:val="TableParagraph"/>
              <w:spacing w:before="45"/>
              <w:ind w:left="76"/>
              <w:jc w:val="left"/>
              <w:rPr>
                <w:rFonts w:ascii="Arial MT" w:hAnsi="Arial MT"/>
                <w:sz w:val="12"/>
              </w:rPr>
            </w:pPr>
            <w:r>
              <w:rPr>
                <w:rFonts w:ascii="Arial MT" w:hAnsi="Arial MT"/>
                <w:sz w:val="12"/>
              </w:rPr>
              <w:t>Provisão</w:t>
            </w:r>
            <w:r>
              <w:rPr>
                <w:rFonts w:ascii="Arial MT" w:hAnsi="Arial MT"/>
                <w:spacing w:val="-1"/>
                <w:sz w:val="12"/>
              </w:rPr>
              <w:t xml:space="preserve"> </w:t>
            </w:r>
            <w:r>
              <w:rPr>
                <w:rFonts w:ascii="Arial MT" w:hAnsi="Arial MT"/>
                <w:sz w:val="12"/>
              </w:rPr>
              <w:t>p/</w:t>
            </w:r>
            <w:r>
              <w:rPr>
                <w:rFonts w:ascii="Arial MT" w:hAnsi="Arial MT"/>
                <w:spacing w:val="-1"/>
                <w:sz w:val="12"/>
              </w:rPr>
              <w:t xml:space="preserve"> </w:t>
            </w:r>
            <w:r>
              <w:rPr>
                <w:rFonts w:ascii="Arial MT" w:hAnsi="Arial MT"/>
                <w:sz w:val="12"/>
              </w:rPr>
              <w:t>Riscos</w:t>
            </w:r>
            <w:r>
              <w:rPr>
                <w:rFonts w:ascii="Arial MT" w:hAnsi="Arial MT"/>
                <w:spacing w:val="-1"/>
                <w:sz w:val="12"/>
              </w:rPr>
              <w:t xml:space="preserve"> </w:t>
            </w:r>
            <w:r>
              <w:rPr>
                <w:rFonts w:ascii="Arial MT" w:hAnsi="Arial MT"/>
                <w:sz w:val="12"/>
              </w:rPr>
              <w:t>Trabalhistas,</w:t>
            </w:r>
            <w:r>
              <w:rPr>
                <w:rFonts w:ascii="Arial MT" w:hAnsi="Arial MT"/>
                <w:spacing w:val="-1"/>
                <w:sz w:val="12"/>
              </w:rPr>
              <w:t xml:space="preserve"> </w:t>
            </w:r>
            <w:r>
              <w:rPr>
                <w:rFonts w:ascii="Arial MT" w:hAnsi="Arial MT"/>
                <w:sz w:val="12"/>
              </w:rPr>
              <w:t>Cíveis,</w:t>
            </w:r>
            <w:r>
              <w:rPr>
                <w:rFonts w:ascii="Arial MT" w:hAnsi="Arial MT"/>
                <w:spacing w:val="-4"/>
                <w:sz w:val="12"/>
              </w:rPr>
              <w:t xml:space="preserve"> </w:t>
            </w:r>
            <w:r>
              <w:rPr>
                <w:rFonts w:ascii="Arial MT" w:hAnsi="Arial MT"/>
                <w:spacing w:val="-2"/>
                <w:sz w:val="12"/>
              </w:rPr>
              <w:t>Fiscais</w:t>
            </w:r>
          </w:p>
        </w:tc>
        <w:tc>
          <w:tcPr>
            <w:tcW w:w="1647" w:type="dxa"/>
          </w:tcPr>
          <w:p w14:paraId="4056E9DE" w14:textId="77777777" w:rsidR="002C6574" w:rsidRDefault="00000000">
            <w:pPr>
              <w:pStyle w:val="TableParagraph"/>
              <w:spacing w:before="45"/>
              <w:ind w:right="205"/>
              <w:rPr>
                <w:rFonts w:ascii="Arial MT"/>
                <w:sz w:val="12"/>
              </w:rPr>
            </w:pPr>
            <w:r>
              <w:rPr>
                <w:rFonts w:ascii="Arial MT"/>
                <w:spacing w:val="-2"/>
                <w:sz w:val="12"/>
              </w:rPr>
              <w:t>(5.196)</w:t>
            </w:r>
          </w:p>
        </w:tc>
        <w:tc>
          <w:tcPr>
            <w:tcW w:w="959" w:type="dxa"/>
          </w:tcPr>
          <w:p w14:paraId="6156C270" w14:textId="77777777" w:rsidR="002C6574" w:rsidRDefault="00000000">
            <w:pPr>
              <w:pStyle w:val="TableParagraph"/>
              <w:spacing w:before="45"/>
              <w:ind w:right="202"/>
              <w:rPr>
                <w:rFonts w:ascii="Arial MT"/>
                <w:sz w:val="12"/>
              </w:rPr>
            </w:pPr>
            <w:r>
              <w:rPr>
                <w:rFonts w:ascii="Arial MT"/>
                <w:spacing w:val="-2"/>
                <w:sz w:val="12"/>
              </w:rPr>
              <w:t>(498)</w:t>
            </w:r>
          </w:p>
        </w:tc>
        <w:tc>
          <w:tcPr>
            <w:tcW w:w="852" w:type="dxa"/>
          </w:tcPr>
          <w:p w14:paraId="586E25E4" w14:textId="77777777" w:rsidR="002C6574" w:rsidRDefault="00000000">
            <w:pPr>
              <w:pStyle w:val="TableParagraph"/>
              <w:spacing w:before="45"/>
              <w:ind w:right="95"/>
              <w:rPr>
                <w:rFonts w:ascii="Arial MT"/>
                <w:sz w:val="12"/>
              </w:rPr>
            </w:pPr>
            <w:r>
              <w:rPr>
                <w:rFonts w:ascii="Arial MT"/>
                <w:spacing w:val="-2"/>
                <w:sz w:val="12"/>
              </w:rPr>
              <w:t>(962)</w:t>
            </w:r>
          </w:p>
        </w:tc>
        <w:tc>
          <w:tcPr>
            <w:tcW w:w="818" w:type="dxa"/>
          </w:tcPr>
          <w:p w14:paraId="14B0888D" w14:textId="77777777" w:rsidR="002C6574" w:rsidRDefault="00000000">
            <w:pPr>
              <w:pStyle w:val="TableParagraph"/>
              <w:spacing w:before="45"/>
              <w:ind w:left="221" w:right="108"/>
              <w:jc w:val="center"/>
              <w:rPr>
                <w:rFonts w:ascii="Arial MT"/>
                <w:sz w:val="12"/>
              </w:rPr>
            </w:pPr>
            <w:r>
              <w:rPr>
                <w:rFonts w:ascii="Arial MT"/>
                <w:spacing w:val="-2"/>
                <w:sz w:val="12"/>
              </w:rPr>
              <w:t>943,4%</w:t>
            </w:r>
          </w:p>
        </w:tc>
        <w:tc>
          <w:tcPr>
            <w:tcW w:w="883" w:type="dxa"/>
          </w:tcPr>
          <w:p w14:paraId="53735234" w14:textId="77777777" w:rsidR="002C6574" w:rsidRDefault="00000000">
            <w:pPr>
              <w:pStyle w:val="TableParagraph"/>
              <w:spacing w:before="45"/>
              <w:ind w:right="61"/>
              <w:rPr>
                <w:rFonts w:ascii="Arial MT"/>
                <w:sz w:val="12"/>
              </w:rPr>
            </w:pPr>
            <w:r>
              <w:rPr>
                <w:rFonts w:ascii="Arial MT"/>
                <w:spacing w:val="-2"/>
                <w:sz w:val="12"/>
              </w:rPr>
              <w:t>440,1%</w:t>
            </w:r>
          </w:p>
        </w:tc>
      </w:tr>
      <w:tr w:rsidR="002C6574" w14:paraId="3C1B98FA" w14:textId="77777777">
        <w:trPr>
          <w:trHeight w:val="231"/>
        </w:trPr>
        <w:tc>
          <w:tcPr>
            <w:tcW w:w="3915" w:type="dxa"/>
          </w:tcPr>
          <w:p w14:paraId="589D1309" w14:textId="77777777" w:rsidR="002C6574" w:rsidRDefault="00000000">
            <w:pPr>
              <w:pStyle w:val="TableParagraph"/>
              <w:spacing w:before="45"/>
              <w:ind w:left="76"/>
              <w:jc w:val="left"/>
              <w:rPr>
                <w:rFonts w:ascii="Arial MT" w:hAnsi="Arial MT"/>
                <w:sz w:val="12"/>
              </w:rPr>
            </w:pPr>
            <w:r>
              <w:rPr>
                <w:rFonts w:ascii="Arial MT" w:hAnsi="Arial MT"/>
                <w:sz w:val="12"/>
              </w:rPr>
              <w:t>Multas sobre</w:t>
            </w:r>
            <w:r>
              <w:rPr>
                <w:rFonts w:ascii="Arial MT" w:hAnsi="Arial MT"/>
                <w:spacing w:val="1"/>
                <w:sz w:val="12"/>
              </w:rPr>
              <w:t xml:space="preserve"> </w:t>
            </w:r>
            <w:r>
              <w:rPr>
                <w:rFonts w:ascii="Arial MT" w:hAnsi="Arial MT"/>
                <w:sz w:val="12"/>
              </w:rPr>
              <w:t>Contas</w:t>
            </w:r>
            <w:r>
              <w:rPr>
                <w:rFonts w:ascii="Arial MT" w:hAnsi="Arial MT"/>
                <w:spacing w:val="-3"/>
                <w:sz w:val="12"/>
              </w:rPr>
              <w:t xml:space="preserve"> </w:t>
            </w:r>
            <w:r>
              <w:rPr>
                <w:rFonts w:ascii="Arial MT" w:hAnsi="Arial MT"/>
                <w:sz w:val="12"/>
              </w:rPr>
              <w:t>a</w:t>
            </w:r>
            <w:r>
              <w:rPr>
                <w:rFonts w:ascii="Arial MT" w:hAnsi="Arial MT"/>
                <w:spacing w:val="-1"/>
                <w:sz w:val="12"/>
              </w:rPr>
              <w:t xml:space="preserve"> </w:t>
            </w:r>
            <w:r>
              <w:rPr>
                <w:rFonts w:ascii="Arial MT" w:hAnsi="Arial MT"/>
                <w:sz w:val="12"/>
              </w:rPr>
              <w:t xml:space="preserve">Receber – </w:t>
            </w:r>
            <w:r>
              <w:rPr>
                <w:rFonts w:ascii="Arial MT" w:hAnsi="Arial MT"/>
                <w:spacing w:val="-2"/>
                <w:sz w:val="12"/>
              </w:rPr>
              <w:t>Contratos</w:t>
            </w:r>
          </w:p>
        </w:tc>
        <w:tc>
          <w:tcPr>
            <w:tcW w:w="1647" w:type="dxa"/>
          </w:tcPr>
          <w:p w14:paraId="1CF02D4B" w14:textId="77777777" w:rsidR="002C6574" w:rsidRDefault="00000000">
            <w:pPr>
              <w:pStyle w:val="TableParagraph"/>
              <w:spacing w:before="45"/>
              <w:ind w:right="204"/>
              <w:rPr>
                <w:rFonts w:ascii="Arial MT"/>
                <w:sz w:val="12"/>
              </w:rPr>
            </w:pPr>
            <w:r>
              <w:rPr>
                <w:rFonts w:ascii="Arial MT"/>
                <w:spacing w:val="-2"/>
                <w:sz w:val="12"/>
              </w:rPr>
              <w:t>(4.874)</w:t>
            </w:r>
          </w:p>
        </w:tc>
        <w:tc>
          <w:tcPr>
            <w:tcW w:w="959" w:type="dxa"/>
          </w:tcPr>
          <w:p w14:paraId="450654BC" w14:textId="77777777" w:rsidR="002C6574" w:rsidRDefault="00000000">
            <w:pPr>
              <w:pStyle w:val="TableParagraph"/>
              <w:spacing w:before="45"/>
              <w:ind w:right="202"/>
              <w:rPr>
                <w:rFonts w:ascii="Arial MT"/>
                <w:sz w:val="12"/>
              </w:rPr>
            </w:pPr>
            <w:r>
              <w:rPr>
                <w:rFonts w:ascii="Arial MT"/>
                <w:spacing w:val="-2"/>
                <w:sz w:val="12"/>
              </w:rPr>
              <w:t>(3.568)</w:t>
            </w:r>
          </w:p>
        </w:tc>
        <w:tc>
          <w:tcPr>
            <w:tcW w:w="852" w:type="dxa"/>
          </w:tcPr>
          <w:p w14:paraId="1EED9CDF" w14:textId="77777777" w:rsidR="002C6574" w:rsidRDefault="00000000">
            <w:pPr>
              <w:pStyle w:val="TableParagraph"/>
              <w:spacing w:before="45"/>
              <w:ind w:right="95"/>
              <w:rPr>
                <w:rFonts w:ascii="Arial MT"/>
                <w:sz w:val="12"/>
              </w:rPr>
            </w:pPr>
            <w:r>
              <w:rPr>
                <w:rFonts w:ascii="Arial MT"/>
                <w:spacing w:val="-2"/>
                <w:sz w:val="12"/>
              </w:rPr>
              <w:t>(40.034)</w:t>
            </w:r>
          </w:p>
        </w:tc>
        <w:tc>
          <w:tcPr>
            <w:tcW w:w="818" w:type="dxa"/>
          </w:tcPr>
          <w:p w14:paraId="1CA7D20F" w14:textId="77777777" w:rsidR="002C6574" w:rsidRDefault="00000000">
            <w:pPr>
              <w:pStyle w:val="TableParagraph"/>
              <w:spacing w:before="45"/>
              <w:ind w:left="180"/>
              <w:jc w:val="center"/>
              <w:rPr>
                <w:rFonts w:ascii="Arial MT"/>
                <w:sz w:val="12"/>
              </w:rPr>
            </w:pPr>
            <w:r>
              <w:rPr>
                <w:rFonts w:ascii="Arial MT"/>
                <w:spacing w:val="-2"/>
                <w:sz w:val="12"/>
              </w:rPr>
              <w:t>36,6%</w:t>
            </w:r>
          </w:p>
        </w:tc>
        <w:tc>
          <w:tcPr>
            <w:tcW w:w="883" w:type="dxa"/>
          </w:tcPr>
          <w:p w14:paraId="6D324205" w14:textId="77777777" w:rsidR="002C6574" w:rsidRDefault="00000000">
            <w:pPr>
              <w:pStyle w:val="TableParagraph"/>
              <w:spacing w:before="45"/>
              <w:ind w:right="59"/>
              <w:rPr>
                <w:rFonts w:ascii="Arial MT"/>
                <w:sz w:val="12"/>
              </w:rPr>
            </w:pPr>
            <w:r>
              <w:rPr>
                <w:rFonts w:ascii="Arial MT"/>
                <w:sz w:val="12"/>
              </w:rPr>
              <w:t>-</w:t>
            </w:r>
            <w:r>
              <w:rPr>
                <w:rFonts w:ascii="Arial MT"/>
                <w:spacing w:val="-2"/>
                <w:sz w:val="12"/>
              </w:rPr>
              <w:t>87,8%</w:t>
            </w:r>
          </w:p>
        </w:tc>
      </w:tr>
      <w:tr w:rsidR="002C6574" w14:paraId="5192E83D" w14:textId="77777777">
        <w:trPr>
          <w:trHeight w:val="231"/>
        </w:trPr>
        <w:tc>
          <w:tcPr>
            <w:tcW w:w="3915" w:type="dxa"/>
          </w:tcPr>
          <w:p w14:paraId="09C87CAD" w14:textId="77777777" w:rsidR="002C6574" w:rsidRDefault="00000000">
            <w:pPr>
              <w:pStyle w:val="TableParagraph"/>
              <w:spacing w:before="44"/>
              <w:ind w:left="76"/>
              <w:jc w:val="left"/>
              <w:rPr>
                <w:rFonts w:ascii="Arial MT" w:hAnsi="Arial MT"/>
                <w:sz w:val="12"/>
              </w:rPr>
            </w:pPr>
            <w:r>
              <w:rPr>
                <w:rFonts w:ascii="Arial MT" w:hAnsi="Arial MT"/>
                <w:sz w:val="12"/>
              </w:rPr>
              <w:t>Multas</w:t>
            </w:r>
            <w:r>
              <w:rPr>
                <w:rFonts w:ascii="Arial MT" w:hAnsi="Arial MT"/>
                <w:spacing w:val="-1"/>
                <w:sz w:val="12"/>
              </w:rPr>
              <w:t xml:space="preserve"> </w:t>
            </w:r>
            <w:r>
              <w:rPr>
                <w:rFonts w:ascii="Arial MT" w:hAnsi="Arial MT"/>
                <w:sz w:val="12"/>
              </w:rPr>
              <w:t>sobre Obrigações</w:t>
            </w:r>
            <w:r>
              <w:rPr>
                <w:rFonts w:ascii="Arial MT" w:hAnsi="Arial MT"/>
                <w:spacing w:val="-1"/>
                <w:sz w:val="12"/>
              </w:rPr>
              <w:t xml:space="preserve"> </w:t>
            </w:r>
            <w:r>
              <w:rPr>
                <w:rFonts w:ascii="Arial MT" w:hAnsi="Arial MT"/>
                <w:sz w:val="12"/>
              </w:rPr>
              <w:t>com</w:t>
            </w:r>
            <w:r>
              <w:rPr>
                <w:rFonts w:ascii="Arial MT" w:hAnsi="Arial MT"/>
                <w:spacing w:val="-1"/>
                <w:sz w:val="12"/>
              </w:rPr>
              <w:t xml:space="preserve"> </w:t>
            </w:r>
            <w:r>
              <w:rPr>
                <w:rFonts w:ascii="Arial MT" w:hAnsi="Arial MT"/>
                <w:spacing w:val="-2"/>
                <w:sz w:val="12"/>
              </w:rPr>
              <w:t>Fornecedores</w:t>
            </w:r>
          </w:p>
        </w:tc>
        <w:tc>
          <w:tcPr>
            <w:tcW w:w="1647" w:type="dxa"/>
          </w:tcPr>
          <w:p w14:paraId="6B63A1C2" w14:textId="77777777" w:rsidR="002C6574" w:rsidRDefault="00000000">
            <w:pPr>
              <w:pStyle w:val="TableParagraph"/>
              <w:spacing w:before="44"/>
              <w:ind w:right="204"/>
              <w:rPr>
                <w:rFonts w:ascii="Arial MT"/>
                <w:sz w:val="12"/>
              </w:rPr>
            </w:pPr>
            <w:r>
              <w:rPr>
                <w:rFonts w:ascii="Arial MT"/>
                <w:spacing w:val="-2"/>
                <w:sz w:val="12"/>
              </w:rPr>
              <w:t>(3.029)</w:t>
            </w:r>
          </w:p>
        </w:tc>
        <w:tc>
          <w:tcPr>
            <w:tcW w:w="959" w:type="dxa"/>
          </w:tcPr>
          <w:p w14:paraId="6841700F" w14:textId="77777777" w:rsidR="002C6574" w:rsidRDefault="00000000">
            <w:pPr>
              <w:pStyle w:val="TableParagraph"/>
              <w:spacing w:before="44"/>
              <w:ind w:right="206"/>
              <w:rPr>
                <w:rFonts w:ascii="Arial MT"/>
                <w:sz w:val="12"/>
              </w:rPr>
            </w:pPr>
            <w:r>
              <w:rPr>
                <w:rFonts w:ascii="Arial MT"/>
                <w:spacing w:val="-10"/>
                <w:sz w:val="12"/>
              </w:rPr>
              <w:t>-</w:t>
            </w:r>
          </w:p>
        </w:tc>
        <w:tc>
          <w:tcPr>
            <w:tcW w:w="852" w:type="dxa"/>
          </w:tcPr>
          <w:p w14:paraId="3174CE89" w14:textId="77777777" w:rsidR="002C6574" w:rsidRDefault="00000000">
            <w:pPr>
              <w:pStyle w:val="TableParagraph"/>
              <w:spacing w:before="44"/>
              <w:ind w:right="97"/>
              <w:rPr>
                <w:rFonts w:ascii="Arial MT"/>
                <w:sz w:val="12"/>
              </w:rPr>
            </w:pPr>
            <w:r>
              <w:rPr>
                <w:rFonts w:ascii="Arial MT"/>
                <w:spacing w:val="-10"/>
                <w:sz w:val="12"/>
              </w:rPr>
              <w:t>-</w:t>
            </w:r>
          </w:p>
        </w:tc>
        <w:tc>
          <w:tcPr>
            <w:tcW w:w="818" w:type="dxa"/>
          </w:tcPr>
          <w:p w14:paraId="69242480" w14:textId="77777777" w:rsidR="002C6574" w:rsidRDefault="00000000">
            <w:pPr>
              <w:pStyle w:val="TableParagraph"/>
              <w:spacing w:before="44"/>
              <w:ind w:left="180"/>
              <w:jc w:val="center"/>
              <w:rPr>
                <w:rFonts w:ascii="Arial MT"/>
                <w:sz w:val="12"/>
              </w:rPr>
            </w:pPr>
            <w:r>
              <w:rPr>
                <w:rFonts w:ascii="Arial MT"/>
                <w:spacing w:val="-2"/>
                <w:sz w:val="12"/>
              </w:rPr>
              <w:t>10,0%</w:t>
            </w:r>
          </w:p>
        </w:tc>
        <w:tc>
          <w:tcPr>
            <w:tcW w:w="883" w:type="dxa"/>
          </w:tcPr>
          <w:p w14:paraId="2A992E53" w14:textId="77777777" w:rsidR="002C6574" w:rsidRDefault="00000000">
            <w:pPr>
              <w:pStyle w:val="TableParagraph"/>
              <w:spacing w:before="44"/>
              <w:ind w:right="61"/>
              <w:rPr>
                <w:rFonts w:ascii="Arial MT"/>
                <w:sz w:val="12"/>
              </w:rPr>
            </w:pPr>
            <w:r>
              <w:rPr>
                <w:rFonts w:ascii="Arial MT"/>
                <w:spacing w:val="-2"/>
                <w:sz w:val="12"/>
              </w:rPr>
              <w:t>100,0%</w:t>
            </w:r>
          </w:p>
        </w:tc>
      </w:tr>
      <w:tr w:rsidR="002C6574" w14:paraId="22984E7E" w14:textId="77777777">
        <w:trPr>
          <w:trHeight w:val="232"/>
        </w:trPr>
        <w:tc>
          <w:tcPr>
            <w:tcW w:w="3915" w:type="dxa"/>
          </w:tcPr>
          <w:p w14:paraId="0BE44DF2" w14:textId="77777777" w:rsidR="002C6574" w:rsidRDefault="00000000">
            <w:pPr>
              <w:pStyle w:val="TableParagraph"/>
              <w:spacing w:before="45"/>
              <w:ind w:left="76"/>
              <w:jc w:val="left"/>
              <w:rPr>
                <w:rFonts w:ascii="Arial MT"/>
                <w:sz w:val="12"/>
              </w:rPr>
            </w:pPr>
            <w:r>
              <w:rPr>
                <w:rFonts w:ascii="Arial MT"/>
                <w:sz w:val="12"/>
              </w:rPr>
              <w:t xml:space="preserve">Baixa de Ativo </w:t>
            </w:r>
            <w:r>
              <w:rPr>
                <w:rFonts w:ascii="Arial MT"/>
                <w:spacing w:val="-2"/>
                <w:sz w:val="12"/>
              </w:rPr>
              <w:t>Imobilizado</w:t>
            </w:r>
          </w:p>
        </w:tc>
        <w:tc>
          <w:tcPr>
            <w:tcW w:w="1647" w:type="dxa"/>
          </w:tcPr>
          <w:p w14:paraId="508EF1F6" w14:textId="77777777" w:rsidR="002C6574" w:rsidRDefault="00000000">
            <w:pPr>
              <w:pStyle w:val="TableParagraph"/>
              <w:spacing w:before="45"/>
              <w:ind w:right="206"/>
              <w:rPr>
                <w:rFonts w:ascii="Arial MT"/>
                <w:sz w:val="12"/>
              </w:rPr>
            </w:pPr>
            <w:r>
              <w:rPr>
                <w:rFonts w:ascii="Arial MT"/>
                <w:spacing w:val="-10"/>
                <w:sz w:val="12"/>
              </w:rPr>
              <w:t>-</w:t>
            </w:r>
          </w:p>
        </w:tc>
        <w:tc>
          <w:tcPr>
            <w:tcW w:w="959" w:type="dxa"/>
          </w:tcPr>
          <w:p w14:paraId="16E55B49" w14:textId="77777777" w:rsidR="002C6574" w:rsidRDefault="00000000">
            <w:pPr>
              <w:pStyle w:val="TableParagraph"/>
              <w:spacing w:before="45"/>
              <w:ind w:right="204"/>
              <w:rPr>
                <w:rFonts w:ascii="Arial MT"/>
                <w:sz w:val="12"/>
              </w:rPr>
            </w:pPr>
            <w:r>
              <w:rPr>
                <w:rFonts w:ascii="Arial MT"/>
                <w:spacing w:val="-2"/>
                <w:sz w:val="12"/>
              </w:rPr>
              <w:t>(2.666)</w:t>
            </w:r>
          </w:p>
        </w:tc>
        <w:tc>
          <w:tcPr>
            <w:tcW w:w="852" w:type="dxa"/>
          </w:tcPr>
          <w:p w14:paraId="77EBCF17" w14:textId="77777777" w:rsidR="002C6574" w:rsidRDefault="00000000">
            <w:pPr>
              <w:pStyle w:val="TableParagraph"/>
              <w:spacing w:before="45"/>
              <w:ind w:right="95"/>
              <w:rPr>
                <w:rFonts w:ascii="Arial MT"/>
                <w:sz w:val="12"/>
              </w:rPr>
            </w:pPr>
            <w:r>
              <w:rPr>
                <w:rFonts w:ascii="Arial MT"/>
                <w:spacing w:val="-2"/>
                <w:sz w:val="12"/>
              </w:rPr>
              <w:t>(383)</w:t>
            </w:r>
          </w:p>
        </w:tc>
        <w:tc>
          <w:tcPr>
            <w:tcW w:w="818" w:type="dxa"/>
          </w:tcPr>
          <w:p w14:paraId="2C74A1D0" w14:textId="77777777" w:rsidR="002C6574" w:rsidRDefault="00000000">
            <w:pPr>
              <w:pStyle w:val="TableParagraph"/>
              <w:spacing w:before="45"/>
              <w:ind w:left="76"/>
              <w:jc w:val="center"/>
              <w:rPr>
                <w:rFonts w:ascii="Arial MT"/>
                <w:sz w:val="12"/>
              </w:rPr>
            </w:pPr>
            <w:r>
              <w:rPr>
                <w:rFonts w:ascii="Arial MT"/>
                <w:sz w:val="12"/>
              </w:rPr>
              <w:t>-</w:t>
            </w:r>
            <w:r>
              <w:rPr>
                <w:rFonts w:ascii="Arial MT"/>
                <w:spacing w:val="-2"/>
                <w:sz w:val="12"/>
              </w:rPr>
              <w:t>100,0%</w:t>
            </w:r>
          </w:p>
        </w:tc>
        <w:tc>
          <w:tcPr>
            <w:tcW w:w="883" w:type="dxa"/>
          </w:tcPr>
          <w:p w14:paraId="1170772A" w14:textId="77777777" w:rsidR="002C6574" w:rsidRDefault="00000000">
            <w:pPr>
              <w:pStyle w:val="TableParagraph"/>
              <w:spacing w:before="45"/>
              <w:ind w:right="58"/>
              <w:rPr>
                <w:rFonts w:ascii="Arial MT"/>
                <w:sz w:val="12"/>
              </w:rPr>
            </w:pPr>
            <w:r>
              <w:rPr>
                <w:rFonts w:ascii="Arial MT"/>
                <w:sz w:val="12"/>
              </w:rPr>
              <w:t>-</w:t>
            </w:r>
            <w:r>
              <w:rPr>
                <w:rFonts w:ascii="Arial MT"/>
                <w:spacing w:val="-2"/>
                <w:sz w:val="12"/>
              </w:rPr>
              <w:t>100,0%</w:t>
            </w:r>
          </w:p>
        </w:tc>
      </w:tr>
      <w:tr w:rsidR="002C6574" w14:paraId="5F8059CE" w14:textId="77777777">
        <w:trPr>
          <w:trHeight w:val="229"/>
        </w:trPr>
        <w:tc>
          <w:tcPr>
            <w:tcW w:w="3915" w:type="dxa"/>
            <w:tcBorders>
              <w:bottom w:val="single" w:sz="8" w:space="0" w:color="9AC1E6"/>
            </w:tcBorders>
          </w:tcPr>
          <w:p w14:paraId="4807EF25" w14:textId="77777777" w:rsidR="002C6574" w:rsidRDefault="00000000">
            <w:pPr>
              <w:pStyle w:val="TableParagraph"/>
              <w:spacing w:before="45"/>
              <w:ind w:left="76"/>
              <w:jc w:val="left"/>
              <w:rPr>
                <w:rFonts w:ascii="Arial MT"/>
                <w:sz w:val="12"/>
              </w:rPr>
            </w:pPr>
            <w:r>
              <w:rPr>
                <w:rFonts w:ascii="Arial MT"/>
                <w:sz w:val="12"/>
              </w:rPr>
              <w:t xml:space="preserve">Outras Despesas </w:t>
            </w:r>
            <w:r>
              <w:rPr>
                <w:rFonts w:ascii="Arial MT"/>
                <w:spacing w:val="-2"/>
                <w:sz w:val="12"/>
              </w:rPr>
              <w:t>Operacionais</w:t>
            </w:r>
          </w:p>
        </w:tc>
        <w:tc>
          <w:tcPr>
            <w:tcW w:w="1647" w:type="dxa"/>
            <w:tcBorders>
              <w:bottom w:val="single" w:sz="8" w:space="0" w:color="9AC1E6"/>
            </w:tcBorders>
          </w:tcPr>
          <w:p w14:paraId="736E4132" w14:textId="77777777" w:rsidR="002C6574" w:rsidRDefault="00000000">
            <w:pPr>
              <w:pStyle w:val="TableParagraph"/>
              <w:spacing w:before="45"/>
              <w:ind w:right="204"/>
              <w:rPr>
                <w:rFonts w:ascii="Arial MT"/>
                <w:sz w:val="12"/>
              </w:rPr>
            </w:pPr>
            <w:r>
              <w:rPr>
                <w:rFonts w:ascii="Arial MT"/>
                <w:spacing w:val="-2"/>
                <w:sz w:val="12"/>
              </w:rPr>
              <w:t>(2.875)</w:t>
            </w:r>
          </w:p>
        </w:tc>
        <w:tc>
          <w:tcPr>
            <w:tcW w:w="959" w:type="dxa"/>
            <w:tcBorders>
              <w:bottom w:val="single" w:sz="8" w:space="0" w:color="9AC1E6"/>
            </w:tcBorders>
          </w:tcPr>
          <w:p w14:paraId="67C80470" w14:textId="77777777" w:rsidR="002C6574" w:rsidRDefault="00000000">
            <w:pPr>
              <w:pStyle w:val="TableParagraph"/>
              <w:spacing w:before="45"/>
              <w:ind w:right="202"/>
              <w:rPr>
                <w:rFonts w:ascii="Arial MT"/>
                <w:sz w:val="12"/>
              </w:rPr>
            </w:pPr>
            <w:r>
              <w:rPr>
                <w:rFonts w:ascii="Arial MT"/>
                <w:spacing w:val="-2"/>
                <w:sz w:val="12"/>
              </w:rPr>
              <w:t>(1.944)</w:t>
            </w:r>
          </w:p>
        </w:tc>
        <w:tc>
          <w:tcPr>
            <w:tcW w:w="852" w:type="dxa"/>
            <w:tcBorders>
              <w:bottom w:val="single" w:sz="8" w:space="0" w:color="9AC1E6"/>
            </w:tcBorders>
          </w:tcPr>
          <w:p w14:paraId="7F5F1E77" w14:textId="77777777" w:rsidR="002C6574" w:rsidRDefault="00000000">
            <w:pPr>
              <w:pStyle w:val="TableParagraph"/>
              <w:spacing w:before="45"/>
              <w:ind w:right="95"/>
              <w:rPr>
                <w:rFonts w:ascii="Arial MT"/>
                <w:sz w:val="12"/>
              </w:rPr>
            </w:pPr>
            <w:r>
              <w:rPr>
                <w:rFonts w:ascii="Arial MT"/>
                <w:spacing w:val="-2"/>
                <w:sz w:val="12"/>
              </w:rPr>
              <w:t>(3.445)</w:t>
            </w:r>
          </w:p>
        </w:tc>
        <w:tc>
          <w:tcPr>
            <w:tcW w:w="818" w:type="dxa"/>
            <w:tcBorders>
              <w:bottom w:val="single" w:sz="8" w:space="0" w:color="9AC1E6"/>
            </w:tcBorders>
          </w:tcPr>
          <w:p w14:paraId="7F20BD01" w14:textId="77777777" w:rsidR="002C6574" w:rsidRDefault="00000000">
            <w:pPr>
              <w:pStyle w:val="TableParagraph"/>
              <w:spacing w:before="45"/>
              <w:ind w:left="180"/>
              <w:jc w:val="center"/>
              <w:rPr>
                <w:rFonts w:ascii="Arial MT"/>
                <w:sz w:val="12"/>
              </w:rPr>
            </w:pPr>
            <w:r>
              <w:rPr>
                <w:rFonts w:ascii="Arial MT"/>
                <w:spacing w:val="-2"/>
                <w:sz w:val="12"/>
              </w:rPr>
              <w:t>47,9%</w:t>
            </w:r>
          </w:p>
        </w:tc>
        <w:tc>
          <w:tcPr>
            <w:tcW w:w="883" w:type="dxa"/>
            <w:tcBorders>
              <w:bottom w:val="single" w:sz="8" w:space="0" w:color="9AC1E6"/>
            </w:tcBorders>
          </w:tcPr>
          <w:p w14:paraId="25FFC048" w14:textId="77777777" w:rsidR="002C6574" w:rsidRDefault="00000000">
            <w:pPr>
              <w:pStyle w:val="TableParagraph"/>
              <w:spacing w:before="45"/>
              <w:ind w:right="59"/>
              <w:rPr>
                <w:rFonts w:ascii="Arial MT"/>
                <w:sz w:val="12"/>
              </w:rPr>
            </w:pPr>
            <w:r>
              <w:rPr>
                <w:rFonts w:ascii="Arial MT"/>
                <w:sz w:val="12"/>
              </w:rPr>
              <w:t>-</w:t>
            </w:r>
            <w:r>
              <w:rPr>
                <w:rFonts w:ascii="Arial MT"/>
                <w:spacing w:val="-2"/>
                <w:sz w:val="12"/>
              </w:rPr>
              <w:t>16,5%</w:t>
            </w:r>
          </w:p>
        </w:tc>
      </w:tr>
      <w:tr w:rsidR="002C6574" w14:paraId="448034C8" w14:textId="77777777">
        <w:trPr>
          <w:trHeight w:val="232"/>
        </w:trPr>
        <w:tc>
          <w:tcPr>
            <w:tcW w:w="3915" w:type="dxa"/>
            <w:tcBorders>
              <w:top w:val="single" w:sz="8" w:space="0" w:color="9AC1E6"/>
              <w:bottom w:val="single" w:sz="8" w:space="0" w:color="9AC1E6"/>
            </w:tcBorders>
          </w:tcPr>
          <w:p w14:paraId="5A0210E5" w14:textId="77777777" w:rsidR="002C6574" w:rsidRDefault="00000000">
            <w:pPr>
              <w:pStyle w:val="TableParagraph"/>
              <w:spacing w:before="48"/>
              <w:ind w:left="76"/>
              <w:jc w:val="left"/>
              <w:rPr>
                <w:rFonts w:ascii="Arial"/>
                <w:b/>
                <w:sz w:val="12"/>
              </w:rPr>
            </w:pPr>
            <w:r>
              <w:rPr>
                <w:rFonts w:ascii="Arial"/>
                <w:b/>
                <w:spacing w:val="-2"/>
                <w:sz w:val="12"/>
              </w:rPr>
              <w:t>Total</w:t>
            </w:r>
          </w:p>
        </w:tc>
        <w:tc>
          <w:tcPr>
            <w:tcW w:w="1647" w:type="dxa"/>
            <w:tcBorders>
              <w:top w:val="single" w:sz="8" w:space="0" w:color="9AC1E6"/>
              <w:bottom w:val="single" w:sz="8" w:space="0" w:color="9AC1E6"/>
            </w:tcBorders>
          </w:tcPr>
          <w:p w14:paraId="1C4F11F6" w14:textId="77777777" w:rsidR="002C6574" w:rsidRDefault="00000000">
            <w:pPr>
              <w:pStyle w:val="TableParagraph"/>
              <w:spacing w:before="48"/>
              <w:ind w:right="204"/>
              <w:rPr>
                <w:rFonts w:ascii="Arial"/>
                <w:b/>
                <w:sz w:val="12"/>
              </w:rPr>
            </w:pPr>
            <w:r>
              <w:rPr>
                <w:rFonts w:ascii="Arial"/>
                <w:b/>
                <w:spacing w:val="-2"/>
                <w:sz w:val="12"/>
              </w:rPr>
              <w:t>(23.886)</w:t>
            </w:r>
          </w:p>
        </w:tc>
        <w:tc>
          <w:tcPr>
            <w:tcW w:w="959" w:type="dxa"/>
            <w:tcBorders>
              <w:top w:val="single" w:sz="8" w:space="0" w:color="9AC1E6"/>
              <w:bottom w:val="single" w:sz="8" w:space="0" w:color="9AC1E6"/>
            </w:tcBorders>
          </w:tcPr>
          <w:p w14:paraId="2070CC02" w14:textId="77777777" w:rsidR="002C6574" w:rsidRDefault="00000000">
            <w:pPr>
              <w:pStyle w:val="TableParagraph"/>
              <w:spacing w:before="48"/>
              <w:ind w:right="203"/>
              <w:rPr>
                <w:rFonts w:ascii="Arial"/>
                <w:b/>
                <w:sz w:val="12"/>
              </w:rPr>
            </w:pPr>
            <w:r>
              <w:rPr>
                <w:rFonts w:ascii="Arial"/>
                <w:b/>
                <w:spacing w:val="-2"/>
                <w:sz w:val="12"/>
              </w:rPr>
              <w:t>(14.792)</w:t>
            </w:r>
          </w:p>
        </w:tc>
        <w:tc>
          <w:tcPr>
            <w:tcW w:w="852" w:type="dxa"/>
            <w:tcBorders>
              <w:top w:val="single" w:sz="8" w:space="0" w:color="9AC1E6"/>
              <w:bottom w:val="single" w:sz="8" w:space="0" w:color="9AC1E6"/>
            </w:tcBorders>
          </w:tcPr>
          <w:p w14:paraId="224F20B3" w14:textId="77777777" w:rsidR="002C6574" w:rsidRDefault="00000000">
            <w:pPr>
              <w:pStyle w:val="TableParagraph"/>
              <w:spacing w:before="48"/>
              <w:ind w:right="95"/>
              <w:rPr>
                <w:rFonts w:ascii="Arial"/>
                <w:b/>
                <w:sz w:val="12"/>
              </w:rPr>
            </w:pPr>
            <w:r>
              <w:rPr>
                <w:rFonts w:ascii="Arial"/>
                <w:b/>
                <w:spacing w:val="-2"/>
                <w:sz w:val="12"/>
              </w:rPr>
              <w:t>(55.659)</w:t>
            </w:r>
          </w:p>
        </w:tc>
        <w:tc>
          <w:tcPr>
            <w:tcW w:w="818" w:type="dxa"/>
            <w:tcBorders>
              <w:top w:val="single" w:sz="8" w:space="0" w:color="9AC1E6"/>
              <w:bottom w:val="single" w:sz="8" w:space="0" w:color="9AC1E6"/>
            </w:tcBorders>
          </w:tcPr>
          <w:p w14:paraId="50A640CD" w14:textId="77777777" w:rsidR="002C6574" w:rsidRDefault="00000000">
            <w:pPr>
              <w:pStyle w:val="TableParagraph"/>
              <w:spacing w:before="48"/>
              <w:ind w:left="180"/>
              <w:jc w:val="center"/>
              <w:rPr>
                <w:rFonts w:ascii="Arial"/>
                <w:b/>
                <w:sz w:val="12"/>
              </w:rPr>
            </w:pPr>
            <w:r>
              <w:rPr>
                <w:rFonts w:ascii="Arial"/>
                <w:b/>
                <w:spacing w:val="-2"/>
                <w:sz w:val="12"/>
              </w:rPr>
              <w:t>61,5%</w:t>
            </w:r>
          </w:p>
        </w:tc>
        <w:tc>
          <w:tcPr>
            <w:tcW w:w="883" w:type="dxa"/>
            <w:tcBorders>
              <w:top w:val="single" w:sz="8" w:space="0" w:color="9AC1E6"/>
              <w:bottom w:val="single" w:sz="8" w:space="0" w:color="9AC1E6"/>
            </w:tcBorders>
          </w:tcPr>
          <w:p w14:paraId="1510E725" w14:textId="77777777" w:rsidR="002C6574" w:rsidRDefault="00000000">
            <w:pPr>
              <w:pStyle w:val="TableParagraph"/>
              <w:spacing w:before="48"/>
              <w:ind w:right="59"/>
              <w:rPr>
                <w:rFonts w:ascii="Arial"/>
                <w:b/>
                <w:sz w:val="12"/>
              </w:rPr>
            </w:pPr>
            <w:r>
              <w:rPr>
                <w:rFonts w:ascii="Arial"/>
                <w:b/>
                <w:sz w:val="12"/>
              </w:rPr>
              <w:t>-</w:t>
            </w:r>
            <w:r>
              <w:rPr>
                <w:rFonts w:ascii="Arial"/>
                <w:b/>
                <w:spacing w:val="-2"/>
                <w:sz w:val="12"/>
              </w:rPr>
              <w:t>57,1%</w:t>
            </w:r>
          </w:p>
        </w:tc>
      </w:tr>
      <w:tr w:rsidR="002C6574" w14:paraId="21C41489" w14:textId="77777777">
        <w:trPr>
          <w:trHeight w:val="232"/>
        </w:trPr>
        <w:tc>
          <w:tcPr>
            <w:tcW w:w="3915" w:type="dxa"/>
            <w:tcBorders>
              <w:top w:val="single" w:sz="8" w:space="0" w:color="9AC1E6"/>
              <w:bottom w:val="single" w:sz="8" w:space="0" w:color="9AC1E6"/>
            </w:tcBorders>
          </w:tcPr>
          <w:p w14:paraId="0575BB4B" w14:textId="77777777" w:rsidR="002C6574" w:rsidRDefault="00000000">
            <w:pPr>
              <w:pStyle w:val="TableParagraph"/>
              <w:spacing w:before="48"/>
              <w:ind w:left="76"/>
              <w:jc w:val="left"/>
              <w:rPr>
                <w:rFonts w:ascii="Arial" w:hAnsi="Arial"/>
                <w:b/>
                <w:sz w:val="12"/>
              </w:rPr>
            </w:pPr>
            <w:r>
              <w:rPr>
                <w:rFonts w:ascii="Arial" w:hAnsi="Arial"/>
                <w:b/>
                <w:sz w:val="12"/>
              </w:rPr>
              <w:t>Outras</w:t>
            </w:r>
            <w:r>
              <w:rPr>
                <w:rFonts w:ascii="Arial" w:hAnsi="Arial"/>
                <w:b/>
                <w:spacing w:val="-1"/>
                <w:sz w:val="12"/>
              </w:rPr>
              <w:t xml:space="preserve"> </w:t>
            </w:r>
            <w:r>
              <w:rPr>
                <w:rFonts w:ascii="Arial" w:hAnsi="Arial"/>
                <w:b/>
                <w:sz w:val="12"/>
              </w:rPr>
              <w:t>Receitas/Despesas</w:t>
            </w:r>
            <w:r>
              <w:rPr>
                <w:rFonts w:ascii="Arial" w:hAnsi="Arial"/>
                <w:b/>
                <w:spacing w:val="-1"/>
                <w:sz w:val="12"/>
              </w:rPr>
              <w:t xml:space="preserve"> </w:t>
            </w:r>
            <w:r>
              <w:rPr>
                <w:rFonts w:ascii="Arial" w:hAnsi="Arial"/>
                <w:b/>
                <w:sz w:val="12"/>
              </w:rPr>
              <w:t>Operacionais,</w:t>
            </w:r>
            <w:r>
              <w:rPr>
                <w:rFonts w:ascii="Arial" w:hAnsi="Arial"/>
                <w:b/>
                <w:spacing w:val="-2"/>
                <w:sz w:val="12"/>
              </w:rPr>
              <w:t xml:space="preserve"> Líquida</w:t>
            </w:r>
          </w:p>
        </w:tc>
        <w:tc>
          <w:tcPr>
            <w:tcW w:w="1647" w:type="dxa"/>
            <w:tcBorders>
              <w:top w:val="single" w:sz="8" w:space="0" w:color="9AC1E6"/>
              <w:bottom w:val="single" w:sz="8" w:space="0" w:color="9AC1E6"/>
            </w:tcBorders>
          </w:tcPr>
          <w:p w14:paraId="109EEF89" w14:textId="77777777" w:rsidR="002C6574" w:rsidRDefault="00000000">
            <w:pPr>
              <w:pStyle w:val="TableParagraph"/>
              <w:spacing w:before="48"/>
              <w:ind w:right="205"/>
              <w:rPr>
                <w:rFonts w:ascii="Arial"/>
                <w:b/>
                <w:sz w:val="12"/>
              </w:rPr>
            </w:pPr>
            <w:r>
              <w:rPr>
                <w:rFonts w:ascii="Arial"/>
                <w:b/>
                <w:spacing w:val="-2"/>
                <w:sz w:val="12"/>
              </w:rPr>
              <w:t>539.165</w:t>
            </w:r>
          </w:p>
        </w:tc>
        <w:tc>
          <w:tcPr>
            <w:tcW w:w="959" w:type="dxa"/>
            <w:tcBorders>
              <w:top w:val="single" w:sz="8" w:space="0" w:color="9AC1E6"/>
              <w:bottom w:val="single" w:sz="8" w:space="0" w:color="9AC1E6"/>
            </w:tcBorders>
          </w:tcPr>
          <w:p w14:paraId="3C581297" w14:textId="77777777" w:rsidR="002C6574" w:rsidRDefault="00000000">
            <w:pPr>
              <w:pStyle w:val="TableParagraph"/>
              <w:spacing w:before="48"/>
              <w:ind w:right="205"/>
              <w:rPr>
                <w:rFonts w:ascii="Arial"/>
                <w:b/>
                <w:sz w:val="12"/>
              </w:rPr>
            </w:pPr>
            <w:r>
              <w:rPr>
                <w:rFonts w:ascii="Arial"/>
                <w:b/>
                <w:spacing w:val="-2"/>
                <w:sz w:val="12"/>
              </w:rPr>
              <w:t>358.906</w:t>
            </w:r>
          </w:p>
        </w:tc>
        <w:tc>
          <w:tcPr>
            <w:tcW w:w="852" w:type="dxa"/>
            <w:tcBorders>
              <w:top w:val="single" w:sz="8" w:space="0" w:color="9AC1E6"/>
              <w:bottom w:val="single" w:sz="8" w:space="0" w:color="9AC1E6"/>
            </w:tcBorders>
          </w:tcPr>
          <w:p w14:paraId="19CE110F" w14:textId="77777777" w:rsidR="002C6574" w:rsidRDefault="00000000">
            <w:pPr>
              <w:pStyle w:val="TableParagraph"/>
              <w:spacing w:before="48"/>
              <w:ind w:right="97"/>
              <w:rPr>
                <w:rFonts w:ascii="Arial"/>
                <w:b/>
                <w:sz w:val="12"/>
              </w:rPr>
            </w:pPr>
            <w:r>
              <w:rPr>
                <w:rFonts w:ascii="Arial"/>
                <w:b/>
                <w:spacing w:val="-2"/>
                <w:sz w:val="12"/>
              </w:rPr>
              <w:t>241.213</w:t>
            </w:r>
          </w:p>
        </w:tc>
        <w:tc>
          <w:tcPr>
            <w:tcW w:w="818" w:type="dxa"/>
            <w:tcBorders>
              <w:top w:val="single" w:sz="8" w:space="0" w:color="9AC1E6"/>
              <w:bottom w:val="single" w:sz="8" w:space="0" w:color="9AC1E6"/>
            </w:tcBorders>
          </w:tcPr>
          <w:p w14:paraId="11713D00" w14:textId="77777777" w:rsidR="002C6574" w:rsidRDefault="00000000">
            <w:pPr>
              <w:pStyle w:val="TableParagraph"/>
              <w:spacing w:before="48"/>
              <w:ind w:left="180"/>
              <w:jc w:val="center"/>
              <w:rPr>
                <w:rFonts w:ascii="Arial"/>
                <w:b/>
                <w:sz w:val="12"/>
              </w:rPr>
            </w:pPr>
            <w:r>
              <w:rPr>
                <w:rFonts w:ascii="Arial"/>
                <w:b/>
                <w:spacing w:val="-2"/>
                <w:sz w:val="12"/>
              </w:rPr>
              <w:t>50,2%</w:t>
            </w:r>
          </w:p>
        </w:tc>
        <w:tc>
          <w:tcPr>
            <w:tcW w:w="883" w:type="dxa"/>
            <w:tcBorders>
              <w:top w:val="single" w:sz="8" w:space="0" w:color="9AC1E6"/>
              <w:bottom w:val="single" w:sz="8" w:space="0" w:color="8EAADB"/>
            </w:tcBorders>
          </w:tcPr>
          <w:p w14:paraId="403DE697" w14:textId="77777777" w:rsidR="002C6574" w:rsidRDefault="00000000">
            <w:pPr>
              <w:pStyle w:val="TableParagraph"/>
              <w:spacing w:before="48"/>
              <w:ind w:right="61"/>
              <w:rPr>
                <w:rFonts w:ascii="Arial"/>
                <w:b/>
                <w:sz w:val="12"/>
              </w:rPr>
            </w:pPr>
            <w:r>
              <w:rPr>
                <w:rFonts w:ascii="Arial"/>
                <w:b/>
                <w:spacing w:val="-2"/>
                <w:sz w:val="12"/>
              </w:rPr>
              <w:t>123,5%</w:t>
            </w:r>
          </w:p>
        </w:tc>
      </w:tr>
    </w:tbl>
    <w:p w14:paraId="7A5491E6" w14:textId="77777777" w:rsidR="002C6574" w:rsidRDefault="00000000">
      <w:pPr>
        <w:spacing w:before="119"/>
        <w:ind w:left="3556"/>
        <w:rPr>
          <w:rFonts w:ascii="Calibri"/>
          <w:sz w:val="16"/>
        </w:rPr>
      </w:pPr>
      <w:r>
        <w:rPr>
          <w:rFonts w:ascii="Calibri"/>
          <w:color w:val="001F60"/>
          <w:sz w:val="16"/>
        </w:rPr>
        <w:t>Tabela</w:t>
      </w:r>
      <w:r>
        <w:rPr>
          <w:rFonts w:ascii="Calibri"/>
          <w:color w:val="001F60"/>
          <w:spacing w:val="-4"/>
          <w:sz w:val="16"/>
        </w:rPr>
        <w:t xml:space="preserve"> </w:t>
      </w:r>
      <w:r>
        <w:rPr>
          <w:rFonts w:ascii="Calibri"/>
          <w:color w:val="001F60"/>
          <w:sz w:val="16"/>
        </w:rPr>
        <w:t>3-8</w:t>
      </w:r>
      <w:r>
        <w:rPr>
          <w:rFonts w:ascii="Calibri"/>
          <w:color w:val="001F60"/>
          <w:spacing w:val="-3"/>
          <w:sz w:val="16"/>
        </w:rPr>
        <w:t xml:space="preserve"> </w:t>
      </w:r>
      <w:r>
        <w:rPr>
          <w:rFonts w:ascii="Calibri"/>
          <w:color w:val="001F60"/>
          <w:sz w:val="16"/>
        </w:rPr>
        <w:t>Outras</w:t>
      </w:r>
      <w:r>
        <w:rPr>
          <w:rFonts w:ascii="Calibri"/>
          <w:color w:val="001F60"/>
          <w:spacing w:val="-3"/>
          <w:sz w:val="16"/>
        </w:rPr>
        <w:t xml:space="preserve"> </w:t>
      </w:r>
      <w:r>
        <w:rPr>
          <w:rFonts w:ascii="Calibri"/>
          <w:color w:val="001F60"/>
          <w:sz w:val="16"/>
        </w:rPr>
        <w:t>Receitas</w:t>
      </w:r>
      <w:r>
        <w:rPr>
          <w:rFonts w:ascii="Calibri"/>
          <w:color w:val="001F60"/>
          <w:spacing w:val="-4"/>
          <w:sz w:val="16"/>
        </w:rPr>
        <w:t xml:space="preserve"> </w:t>
      </w:r>
      <w:r>
        <w:rPr>
          <w:rFonts w:ascii="Calibri"/>
          <w:color w:val="001F60"/>
          <w:sz w:val="16"/>
        </w:rPr>
        <w:t>e</w:t>
      </w:r>
      <w:r>
        <w:rPr>
          <w:rFonts w:ascii="Calibri"/>
          <w:color w:val="001F60"/>
          <w:spacing w:val="-2"/>
          <w:sz w:val="16"/>
        </w:rPr>
        <w:t xml:space="preserve"> </w:t>
      </w:r>
      <w:r>
        <w:rPr>
          <w:rFonts w:ascii="Calibri"/>
          <w:color w:val="001F60"/>
          <w:sz w:val="16"/>
        </w:rPr>
        <w:t>Despesas</w:t>
      </w:r>
      <w:r>
        <w:rPr>
          <w:rFonts w:ascii="Calibri"/>
          <w:color w:val="001F60"/>
          <w:spacing w:val="-3"/>
          <w:sz w:val="16"/>
        </w:rPr>
        <w:t xml:space="preserve"> </w:t>
      </w:r>
      <w:r>
        <w:rPr>
          <w:rFonts w:ascii="Calibri"/>
          <w:color w:val="001F60"/>
          <w:spacing w:val="-2"/>
          <w:sz w:val="16"/>
        </w:rPr>
        <w:t>Operacionais</w:t>
      </w:r>
    </w:p>
    <w:p w14:paraId="196E255C" w14:textId="77777777" w:rsidR="002C6574" w:rsidRDefault="00000000">
      <w:pPr>
        <w:pStyle w:val="Corpodetexto"/>
        <w:spacing w:before="120"/>
        <w:ind w:left="709" w:right="278"/>
        <w:jc w:val="both"/>
        <w:rPr>
          <w:rFonts w:ascii="Calibri" w:hAnsi="Calibri"/>
        </w:rPr>
      </w:pPr>
      <w:r>
        <w:rPr>
          <w:rFonts w:ascii="Calibri" w:hAnsi="Calibri"/>
          <w:color w:val="001F60"/>
        </w:rPr>
        <w:t>No</w:t>
      </w:r>
      <w:r>
        <w:rPr>
          <w:rFonts w:ascii="Calibri" w:hAnsi="Calibri"/>
          <w:color w:val="001F60"/>
          <w:spacing w:val="-13"/>
        </w:rPr>
        <w:t xml:space="preserve"> </w:t>
      </w:r>
      <w:r>
        <w:rPr>
          <w:rFonts w:ascii="Calibri" w:hAnsi="Calibri"/>
          <w:color w:val="001F60"/>
        </w:rPr>
        <w:t>ano</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2025,</w:t>
      </w:r>
      <w:r>
        <w:rPr>
          <w:rFonts w:ascii="Calibri" w:hAnsi="Calibri"/>
          <w:color w:val="001F60"/>
          <w:spacing w:val="-12"/>
        </w:rPr>
        <w:t xml:space="preserve"> </w:t>
      </w:r>
      <w:r>
        <w:rPr>
          <w:rFonts w:ascii="Calibri" w:hAnsi="Calibri"/>
          <w:color w:val="001F60"/>
        </w:rPr>
        <w:t>o</w:t>
      </w:r>
      <w:r>
        <w:rPr>
          <w:rFonts w:ascii="Calibri" w:hAnsi="Calibri"/>
          <w:color w:val="001F60"/>
          <w:spacing w:val="-13"/>
        </w:rPr>
        <w:t xml:space="preserve"> </w:t>
      </w:r>
      <w:r>
        <w:rPr>
          <w:rFonts w:ascii="Calibri" w:hAnsi="Calibri"/>
          <w:color w:val="001F60"/>
        </w:rPr>
        <w:t>resultado</w:t>
      </w:r>
      <w:r>
        <w:rPr>
          <w:rFonts w:ascii="Calibri" w:hAnsi="Calibri"/>
          <w:color w:val="001F60"/>
          <w:spacing w:val="-12"/>
        </w:rPr>
        <w:t xml:space="preserve"> </w:t>
      </w:r>
      <w:r>
        <w:rPr>
          <w:rFonts w:ascii="Calibri" w:hAnsi="Calibri"/>
          <w:color w:val="001F60"/>
        </w:rPr>
        <w:t>da</w:t>
      </w:r>
      <w:r>
        <w:rPr>
          <w:rFonts w:ascii="Calibri" w:hAnsi="Calibri"/>
          <w:color w:val="001F60"/>
          <w:spacing w:val="-13"/>
        </w:rPr>
        <w:t xml:space="preserve"> </w:t>
      </w:r>
      <w:r>
        <w:rPr>
          <w:rFonts w:ascii="Calibri" w:hAnsi="Calibri"/>
          <w:color w:val="001F60"/>
        </w:rPr>
        <w:t>rubrica</w:t>
      </w:r>
      <w:r>
        <w:rPr>
          <w:rFonts w:ascii="Calibri" w:hAnsi="Calibri"/>
          <w:color w:val="001F60"/>
          <w:spacing w:val="-12"/>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Outras</w:t>
      </w:r>
      <w:r>
        <w:rPr>
          <w:rFonts w:ascii="Calibri" w:hAnsi="Calibri"/>
          <w:color w:val="001F60"/>
          <w:spacing w:val="-13"/>
        </w:rPr>
        <w:t xml:space="preserve"> </w:t>
      </w:r>
      <w:r>
        <w:rPr>
          <w:rFonts w:ascii="Calibri" w:hAnsi="Calibri"/>
          <w:color w:val="001F60"/>
        </w:rPr>
        <w:t>Receitas</w:t>
      </w:r>
      <w:r>
        <w:rPr>
          <w:rFonts w:ascii="Calibri" w:hAnsi="Calibri"/>
          <w:color w:val="001F60"/>
          <w:spacing w:val="-12"/>
        </w:rPr>
        <w:t xml:space="preserve"> </w:t>
      </w:r>
      <w:r>
        <w:rPr>
          <w:rFonts w:ascii="Calibri" w:hAnsi="Calibri"/>
          <w:color w:val="001F60"/>
        </w:rPr>
        <w:t>Operacionais,</w:t>
      </w:r>
      <w:r>
        <w:rPr>
          <w:rFonts w:ascii="Calibri" w:hAnsi="Calibri"/>
          <w:color w:val="001F60"/>
          <w:spacing w:val="-13"/>
        </w:rPr>
        <w:t xml:space="preserve"> </w:t>
      </w:r>
      <w:r>
        <w:rPr>
          <w:rFonts w:ascii="Calibri" w:hAnsi="Calibri"/>
          <w:color w:val="001F60"/>
        </w:rPr>
        <w:t>deduzidas</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Outras</w:t>
      </w:r>
      <w:r>
        <w:rPr>
          <w:rFonts w:ascii="Calibri" w:hAnsi="Calibri"/>
          <w:color w:val="001F60"/>
          <w:spacing w:val="-12"/>
        </w:rPr>
        <w:t xml:space="preserve"> </w:t>
      </w:r>
      <w:r>
        <w:rPr>
          <w:rFonts w:ascii="Calibri" w:hAnsi="Calibri"/>
          <w:color w:val="001F60"/>
        </w:rPr>
        <w:t>Despesas Operacionais, apresentou saldo positivo de R$ 539,2 milhões (R$ 358,9 milhões em 2024 e R$ 241,2 milhões</w:t>
      </w:r>
      <w:r>
        <w:rPr>
          <w:rFonts w:ascii="Calibri" w:hAnsi="Calibri"/>
          <w:color w:val="001F60"/>
          <w:spacing w:val="-6"/>
        </w:rPr>
        <w:t xml:space="preserve"> </w:t>
      </w:r>
      <w:r>
        <w:rPr>
          <w:rFonts w:ascii="Calibri" w:hAnsi="Calibri"/>
          <w:color w:val="001F60"/>
        </w:rPr>
        <w:t>em</w:t>
      </w:r>
      <w:r>
        <w:rPr>
          <w:rFonts w:ascii="Calibri" w:hAnsi="Calibri"/>
          <w:color w:val="001F60"/>
          <w:spacing w:val="-8"/>
        </w:rPr>
        <w:t xml:space="preserve"> </w:t>
      </w:r>
      <w:r>
        <w:rPr>
          <w:rFonts w:ascii="Calibri" w:hAnsi="Calibri"/>
          <w:color w:val="001F60"/>
        </w:rPr>
        <w:t>2023).</w:t>
      </w:r>
      <w:r>
        <w:rPr>
          <w:rFonts w:ascii="Calibri" w:hAnsi="Calibri"/>
          <w:color w:val="001F60"/>
          <w:spacing w:val="-10"/>
        </w:rPr>
        <w:t xml:space="preserve"> </w:t>
      </w:r>
      <w:r>
        <w:rPr>
          <w:rFonts w:ascii="Calibri" w:hAnsi="Calibri"/>
          <w:color w:val="001F60"/>
        </w:rPr>
        <w:t>Esse</w:t>
      </w:r>
      <w:r>
        <w:rPr>
          <w:rFonts w:ascii="Calibri" w:hAnsi="Calibri"/>
          <w:color w:val="001F60"/>
          <w:spacing w:val="-6"/>
        </w:rPr>
        <w:t xml:space="preserve"> </w:t>
      </w:r>
      <w:r>
        <w:rPr>
          <w:rFonts w:ascii="Calibri" w:hAnsi="Calibri"/>
          <w:color w:val="001F60"/>
        </w:rPr>
        <w:t>desempenho</w:t>
      </w:r>
      <w:r>
        <w:rPr>
          <w:rFonts w:ascii="Calibri" w:hAnsi="Calibri"/>
          <w:color w:val="001F60"/>
          <w:spacing w:val="-6"/>
        </w:rPr>
        <w:t xml:space="preserve"> </w:t>
      </w:r>
      <w:r>
        <w:rPr>
          <w:rFonts w:ascii="Calibri" w:hAnsi="Calibri"/>
          <w:color w:val="001F60"/>
        </w:rPr>
        <w:t>representa</w:t>
      </w:r>
      <w:r>
        <w:rPr>
          <w:rFonts w:ascii="Calibri" w:hAnsi="Calibri"/>
          <w:color w:val="001F60"/>
          <w:spacing w:val="-6"/>
        </w:rPr>
        <w:t xml:space="preserve"> </w:t>
      </w:r>
      <w:r>
        <w:rPr>
          <w:rFonts w:ascii="Calibri" w:hAnsi="Calibri"/>
          <w:color w:val="001F60"/>
        </w:rPr>
        <w:t>um</w:t>
      </w:r>
      <w:r>
        <w:rPr>
          <w:rFonts w:ascii="Calibri" w:hAnsi="Calibri"/>
          <w:color w:val="001F60"/>
          <w:spacing w:val="-6"/>
        </w:rPr>
        <w:t xml:space="preserve"> </w:t>
      </w:r>
      <w:r>
        <w:rPr>
          <w:rFonts w:ascii="Calibri" w:hAnsi="Calibri"/>
          <w:color w:val="001F60"/>
        </w:rPr>
        <w:t>crescimento</w:t>
      </w:r>
      <w:r>
        <w:rPr>
          <w:rFonts w:ascii="Calibri" w:hAnsi="Calibri"/>
          <w:color w:val="001F60"/>
          <w:spacing w:val="-8"/>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50,2%</w:t>
      </w:r>
      <w:r>
        <w:rPr>
          <w:rFonts w:ascii="Calibri" w:hAnsi="Calibri"/>
          <w:color w:val="001F60"/>
          <w:spacing w:val="-9"/>
        </w:rPr>
        <w:t xml:space="preserve"> </w:t>
      </w:r>
      <w:r>
        <w:rPr>
          <w:rFonts w:ascii="Calibri" w:hAnsi="Calibri"/>
          <w:color w:val="001F60"/>
        </w:rPr>
        <w:t>em</w:t>
      </w:r>
      <w:r>
        <w:rPr>
          <w:rFonts w:ascii="Calibri" w:hAnsi="Calibri"/>
          <w:color w:val="001F60"/>
          <w:spacing w:val="-6"/>
        </w:rPr>
        <w:t xml:space="preserve"> </w:t>
      </w:r>
      <w:r>
        <w:rPr>
          <w:rFonts w:ascii="Calibri" w:hAnsi="Calibri"/>
          <w:color w:val="001F60"/>
        </w:rPr>
        <w:t>relação</w:t>
      </w:r>
      <w:r>
        <w:rPr>
          <w:rFonts w:ascii="Calibri" w:hAnsi="Calibri"/>
          <w:color w:val="001F60"/>
          <w:spacing w:val="-5"/>
        </w:rPr>
        <w:t xml:space="preserve"> </w:t>
      </w:r>
      <w:r>
        <w:rPr>
          <w:rFonts w:ascii="Calibri" w:hAnsi="Calibri"/>
          <w:color w:val="001F60"/>
        </w:rPr>
        <w:t>ao</w:t>
      </w:r>
      <w:r>
        <w:rPr>
          <w:rFonts w:ascii="Calibri" w:hAnsi="Calibri"/>
          <w:color w:val="001F60"/>
          <w:spacing w:val="-6"/>
        </w:rPr>
        <w:t xml:space="preserve"> </w:t>
      </w:r>
      <w:r>
        <w:rPr>
          <w:rFonts w:ascii="Calibri" w:hAnsi="Calibri"/>
          <w:color w:val="001F60"/>
        </w:rPr>
        <w:t>exercício</w:t>
      </w:r>
      <w:r>
        <w:rPr>
          <w:rFonts w:ascii="Calibri" w:hAnsi="Calibri"/>
          <w:color w:val="001F60"/>
          <w:spacing w:val="-6"/>
        </w:rPr>
        <w:t xml:space="preserve"> </w:t>
      </w:r>
      <w:r>
        <w:rPr>
          <w:rFonts w:ascii="Calibri" w:hAnsi="Calibri"/>
          <w:color w:val="001F60"/>
        </w:rPr>
        <w:t>de 2024 e de 123,5% em comparação a 2023.</w:t>
      </w:r>
    </w:p>
    <w:p w14:paraId="319BF731" w14:textId="77777777" w:rsidR="002C6574" w:rsidRDefault="00000000">
      <w:pPr>
        <w:pStyle w:val="Corpodetexto"/>
        <w:spacing w:before="121"/>
        <w:ind w:left="709"/>
        <w:jc w:val="both"/>
        <w:rPr>
          <w:rFonts w:ascii="Calibri" w:hAnsi="Calibri"/>
        </w:rPr>
      </w:pPr>
      <w:r>
        <w:rPr>
          <w:rFonts w:ascii="Calibri" w:hAnsi="Calibri"/>
          <w:color w:val="001F60"/>
        </w:rPr>
        <w:t>As</w:t>
      </w:r>
      <w:r>
        <w:rPr>
          <w:rFonts w:ascii="Calibri" w:hAnsi="Calibri"/>
          <w:color w:val="001F60"/>
          <w:spacing w:val="-4"/>
        </w:rPr>
        <w:t xml:space="preserve"> </w:t>
      </w:r>
      <w:r>
        <w:rPr>
          <w:rFonts w:ascii="Calibri" w:hAnsi="Calibri"/>
          <w:color w:val="001F60"/>
        </w:rPr>
        <w:t>principais</w:t>
      </w:r>
      <w:r>
        <w:rPr>
          <w:rFonts w:ascii="Calibri" w:hAnsi="Calibri"/>
          <w:color w:val="001F60"/>
          <w:spacing w:val="-3"/>
        </w:rPr>
        <w:t xml:space="preserve"> </w:t>
      </w:r>
      <w:r>
        <w:rPr>
          <w:rFonts w:ascii="Calibri" w:hAnsi="Calibri"/>
          <w:color w:val="001F60"/>
        </w:rPr>
        <w:t>variações</w:t>
      </w:r>
      <w:r>
        <w:rPr>
          <w:rFonts w:ascii="Calibri" w:hAnsi="Calibri"/>
          <w:color w:val="001F60"/>
          <w:spacing w:val="-5"/>
        </w:rPr>
        <w:t xml:space="preserve"> </w:t>
      </w:r>
      <w:r>
        <w:rPr>
          <w:rFonts w:ascii="Calibri" w:hAnsi="Calibri"/>
          <w:color w:val="001F60"/>
        </w:rPr>
        <w:t>observadas</w:t>
      </w:r>
      <w:r>
        <w:rPr>
          <w:rFonts w:ascii="Calibri" w:hAnsi="Calibri"/>
          <w:color w:val="001F60"/>
          <w:spacing w:val="-7"/>
        </w:rPr>
        <w:t xml:space="preserve"> </w:t>
      </w:r>
      <w:r>
        <w:rPr>
          <w:rFonts w:ascii="Calibri" w:hAnsi="Calibri"/>
          <w:color w:val="001F60"/>
        </w:rPr>
        <w:t>ao</w:t>
      </w:r>
      <w:r>
        <w:rPr>
          <w:rFonts w:ascii="Calibri" w:hAnsi="Calibri"/>
          <w:color w:val="001F60"/>
          <w:spacing w:val="-3"/>
        </w:rPr>
        <w:t xml:space="preserve"> </w:t>
      </w:r>
      <w:r>
        <w:rPr>
          <w:rFonts w:ascii="Calibri" w:hAnsi="Calibri"/>
          <w:color w:val="001F60"/>
        </w:rPr>
        <w:t>longo</w:t>
      </w:r>
      <w:r>
        <w:rPr>
          <w:rFonts w:ascii="Calibri" w:hAnsi="Calibri"/>
          <w:color w:val="001F60"/>
          <w:spacing w:val="-5"/>
        </w:rPr>
        <w:t xml:space="preserve"> </w:t>
      </w:r>
      <w:r>
        <w:rPr>
          <w:rFonts w:ascii="Calibri" w:hAnsi="Calibri"/>
          <w:color w:val="001F60"/>
        </w:rPr>
        <w:t>do</w:t>
      </w:r>
      <w:r>
        <w:rPr>
          <w:rFonts w:ascii="Calibri" w:hAnsi="Calibri"/>
          <w:color w:val="001F60"/>
          <w:spacing w:val="-3"/>
        </w:rPr>
        <w:t xml:space="preserve"> </w:t>
      </w:r>
      <w:r>
        <w:rPr>
          <w:rFonts w:ascii="Calibri" w:hAnsi="Calibri"/>
          <w:color w:val="001F60"/>
        </w:rPr>
        <w:t>período</w:t>
      </w:r>
      <w:r>
        <w:rPr>
          <w:rFonts w:ascii="Calibri" w:hAnsi="Calibri"/>
          <w:color w:val="001F60"/>
          <w:spacing w:val="-4"/>
        </w:rPr>
        <w:t xml:space="preserve"> </w:t>
      </w:r>
      <w:r>
        <w:rPr>
          <w:rFonts w:ascii="Calibri" w:hAnsi="Calibri"/>
          <w:color w:val="001F60"/>
        </w:rPr>
        <w:t>concentraram-se</w:t>
      </w:r>
      <w:r>
        <w:rPr>
          <w:rFonts w:ascii="Calibri" w:hAnsi="Calibri"/>
          <w:color w:val="001F60"/>
          <w:spacing w:val="-3"/>
        </w:rPr>
        <w:t xml:space="preserve"> </w:t>
      </w:r>
      <w:r>
        <w:rPr>
          <w:rFonts w:ascii="Calibri" w:hAnsi="Calibri"/>
          <w:color w:val="001F60"/>
        </w:rPr>
        <w:t>nas</w:t>
      </w:r>
      <w:r>
        <w:rPr>
          <w:rFonts w:ascii="Calibri" w:hAnsi="Calibri"/>
          <w:color w:val="001F60"/>
          <w:spacing w:val="-6"/>
        </w:rPr>
        <w:t xml:space="preserve"> </w:t>
      </w:r>
      <w:r>
        <w:rPr>
          <w:rFonts w:ascii="Calibri" w:hAnsi="Calibri"/>
          <w:color w:val="001F60"/>
        </w:rPr>
        <w:t>seguintes</w:t>
      </w:r>
      <w:r>
        <w:rPr>
          <w:rFonts w:ascii="Calibri" w:hAnsi="Calibri"/>
          <w:color w:val="001F60"/>
          <w:spacing w:val="-3"/>
        </w:rPr>
        <w:t xml:space="preserve"> </w:t>
      </w:r>
      <w:r>
        <w:rPr>
          <w:rFonts w:ascii="Calibri" w:hAnsi="Calibri"/>
          <w:color w:val="001F60"/>
          <w:spacing w:val="-2"/>
        </w:rPr>
        <w:t>rubricas:</w:t>
      </w:r>
    </w:p>
    <w:p w14:paraId="4766D231" w14:textId="77777777" w:rsidR="002C6574" w:rsidRDefault="00000000">
      <w:pPr>
        <w:pStyle w:val="PargrafodaLista"/>
        <w:numPr>
          <w:ilvl w:val="0"/>
          <w:numId w:val="70"/>
        </w:numPr>
        <w:tabs>
          <w:tab w:val="left" w:pos="893"/>
        </w:tabs>
        <w:spacing w:before="120"/>
        <w:ind w:right="275" w:firstLine="0"/>
        <w:jc w:val="both"/>
      </w:pPr>
      <w:r>
        <w:rPr>
          <w:b/>
          <w:color w:val="001F60"/>
        </w:rPr>
        <w:t>Subvenções Orçamentárias Recebidas:</w:t>
      </w:r>
      <w:r>
        <w:rPr>
          <w:b/>
          <w:color w:val="001F60"/>
          <w:spacing w:val="40"/>
        </w:rPr>
        <w:t xml:space="preserve"> </w:t>
      </w:r>
      <w:r>
        <w:rPr>
          <w:color w:val="001F60"/>
        </w:rPr>
        <w:t>A partir de 1º de janeiro de 2020, a Telebras passou a ser classificada como Empresa</w:t>
      </w:r>
      <w:r>
        <w:rPr>
          <w:color w:val="001F60"/>
          <w:spacing w:val="-1"/>
        </w:rPr>
        <w:t xml:space="preserve"> </w:t>
      </w:r>
      <w:r>
        <w:rPr>
          <w:color w:val="001F60"/>
        </w:rPr>
        <w:t>Estatal Dependente e, com isso, passou a receber recursos orçamentários para o pagamento de despesas de pessoal, custeio e investimentos.</w:t>
      </w:r>
      <w:r>
        <w:rPr>
          <w:color w:val="001F60"/>
          <w:spacing w:val="-2"/>
        </w:rPr>
        <w:t xml:space="preserve"> </w:t>
      </w:r>
      <w:r>
        <w:rPr>
          <w:color w:val="001F60"/>
        </w:rPr>
        <w:t>Os recursos</w:t>
      </w:r>
      <w:r>
        <w:rPr>
          <w:color w:val="001F60"/>
          <w:spacing w:val="-5"/>
        </w:rPr>
        <w:t xml:space="preserve"> </w:t>
      </w:r>
      <w:r>
        <w:rPr>
          <w:color w:val="001F60"/>
        </w:rPr>
        <w:t>destinados a pessoal e demais custeios são reconhecidos no resultado da Companhia à medida que são realizados, conforme</w:t>
      </w:r>
      <w:r>
        <w:rPr>
          <w:color w:val="001F60"/>
          <w:spacing w:val="-6"/>
        </w:rPr>
        <w:t xml:space="preserve"> </w:t>
      </w:r>
      <w:r>
        <w:rPr>
          <w:color w:val="001F60"/>
        </w:rPr>
        <w:t>o</w:t>
      </w:r>
      <w:r>
        <w:rPr>
          <w:color w:val="001F60"/>
          <w:spacing w:val="-6"/>
        </w:rPr>
        <w:t xml:space="preserve"> </w:t>
      </w:r>
      <w:r>
        <w:rPr>
          <w:color w:val="001F60"/>
        </w:rPr>
        <w:t>CPC</w:t>
      </w:r>
      <w:r>
        <w:rPr>
          <w:color w:val="001F60"/>
          <w:spacing w:val="-4"/>
        </w:rPr>
        <w:t xml:space="preserve"> </w:t>
      </w:r>
      <w:r>
        <w:rPr>
          <w:color w:val="001F60"/>
        </w:rPr>
        <w:t>07</w:t>
      </w:r>
      <w:r>
        <w:rPr>
          <w:color w:val="001F60"/>
          <w:spacing w:val="-6"/>
        </w:rPr>
        <w:t xml:space="preserve"> </w:t>
      </w:r>
      <w:r>
        <w:rPr>
          <w:color w:val="001F60"/>
        </w:rPr>
        <w:t>–</w:t>
      </w:r>
      <w:r>
        <w:rPr>
          <w:color w:val="001F60"/>
          <w:spacing w:val="-8"/>
        </w:rPr>
        <w:t xml:space="preserve"> </w:t>
      </w:r>
      <w:r>
        <w:rPr>
          <w:color w:val="001F60"/>
        </w:rPr>
        <w:t>Subvenções</w:t>
      </w:r>
      <w:r>
        <w:rPr>
          <w:color w:val="001F60"/>
          <w:spacing w:val="-8"/>
        </w:rPr>
        <w:t xml:space="preserve"> </w:t>
      </w:r>
      <w:r>
        <w:rPr>
          <w:color w:val="001F60"/>
        </w:rPr>
        <w:t>e</w:t>
      </w:r>
      <w:r>
        <w:rPr>
          <w:color w:val="001F60"/>
          <w:spacing w:val="-6"/>
        </w:rPr>
        <w:t xml:space="preserve"> </w:t>
      </w:r>
      <w:r>
        <w:rPr>
          <w:color w:val="001F60"/>
        </w:rPr>
        <w:t>Assistência</w:t>
      </w:r>
      <w:r>
        <w:rPr>
          <w:color w:val="001F60"/>
          <w:spacing w:val="-6"/>
        </w:rPr>
        <w:t xml:space="preserve"> </w:t>
      </w:r>
      <w:r>
        <w:rPr>
          <w:color w:val="001F60"/>
        </w:rPr>
        <w:t>Governamentais.</w:t>
      </w:r>
      <w:r>
        <w:rPr>
          <w:color w:val="001F60"/>
          <w:spacing w:val="-8"/>
        </w:rPr>
        <w:t xml:space="preserve"> </w:t>
      </w:r>
      <w:r>
        <w:rPr>
          <w:color w:val="001F60"/>
        </w:rPr>
        <w:t>Os</w:t>
      </w:r>
      <w:r>
        <w:rPr>
          <w:color w:val="001F60"/>
          <w:spacing w:val="-6"/>
        </w:rPr>
        <w:t xml:space="preserve"> </w:t>
      </w:r>
      <w:r>
        <w:rPr>
          <w:color w:val="001F60"/>
        </w:rPr>
        <w:t>recursos</w:t>
      </w:r>
      <w:r>
        <w:rPr>
          <w:color w:val="001F60"/>
          <w:spacing w:val="-10"/>
        </w:rPr>
        <w:t xml:space="preserve"> </w:t>
      </w:r>
      <w:r>
        <w:rPr>
          <w:color w:val="001F60"/>
        </w:rPr>
        <w:t>voltados</w:t>
      </w:r>
      <w:r>
        <w:rPr>
          <w:color w:val="001F60"/>
          <w:spacing w:val="-4"/>
        </w:rPr>
        <w:t xml:space="preserve"> </w:t>
      </w:r>
      <w:r>
        <w:rPr>
          <w:color w:val="001F60"/>
        </w:rPr>
        <w:t>a</w:t>
      </w:r>
      <w:r>
        <w:rPr>
          <w:color w:val="001F60"/>
          <w:spacing w:val="-8"/>
        </w:rPr>
        <w:t xml:space="preserve"> </w:t>
      </w:r>
      <w:r>
        <w:rPr>
          <w:color w:val="001F60"/>
        </w:rPr>
        <w:t>investimentos são</w:t>
      </w:r>
      <w:r>
        <w:rPr>
          <w:color w:val="001F60"/>
          <w:spacing w:val="-13"/>
        </w:rPr>
        <w:t xml:space="preserve"> </w:t>
      </w:r>
      <w:r>
        <w:rPr>
          <w:color w:val="001F60"/>
        </w:rPr>
        <w:t>registrados</w:t>
      </w:r>
      <w:r>
        <w:rPr>
          <w:color w:val="001F60"/>
          <w:spacing w:val="-12"/>
        </w:rPr>
        <w:t xml:space="preserve"> </w:t>
      </w:r>
      <w:r>
        <w:rPr>
          <w:color w:val="001F60"/>
        </w:rPr>
        <w:t>no</w:t>
      </w:r>
      <w:r>
        <w:rPr>
          <w:color w:val="001F60"/>
          <w:spacing w:val="-11"/>
        </w:rPr>
        <w:t xml:space="preserve"> </w:t>
      </w:r>
      <w:r>
        <w:rPr>
          <w:color w:val="001F60"/>
        </w:rPr>
        <w:t>passivo</w:t>
      </w:r>
      <w:r>
        <w:rPr>
          <w:color w:val="001F60"/>
          <w:spacing w:val="-13"/>
        </w:rPr>
        <w:t xml:space="preserve"> </w:t>
      </w:r>
      <w:r>
        <w:rPr>
          <w:color w:val="001F60"/>
        </w:rPr>
        <w:t>não</w:t>
      </w:r>
      <w:r>
        <w:rPr>
          <w:color w:val="001F60"/>
          <w:spacing w:val="-10"/>
        </w:rPr>
        <w:t xml:space="preserve"> </w:t>
      </w:r>
      <w:r>
        <w:rPr>
          <w:color w:val="001F60"/>
        </w:rPr>
        <w:t>circulante</w:t>
      </w:r>
      <w:r>
        <w:rPr>
          <w:color w:val="001F60"/>
          <w:spacing w:val="-13"/>
        </w:rPr>
        <w:t xml:space="preserve"> </w:t>
      </w:r>
      <w:r>
        <w:rPr>
          <w:color w:val="001F60"/>
        </w:rPr>
        <w:t>como</w:t>
      </w:r>
      <w:r>
        <w:rPr>
          <w:color w:val="001F60"/>
          <w:spacing w:val="-10"/>
        </w:rPr>
        <w:t xml:space="preserve"> </w:t>
      </w:r>
      <w:r>
        <w:rPr>
          <w:color w:val="001F60"/>
        </w:rPr>
        <w:t>Adiantamento</w:t>
      </w:r>
      <w:r>
        <w:rPr>
          <w:color w:val="001F60"/>
          <w:spacing w:val="-11"/>
        </w:rPr>
        <w:t xml:space="preserve"> </w:t>
      </w:r>
      <w:r>
        <w:rPr>
          <w:color w:val="001F60"/>
        </w:rPr>
        <w:t>para</w:t>
      </w:r>
      <w:r>
        <w:rPr>
          <w:color w:val="001F60"/>
          <w:spacing w:val="-11"/>
        </w:rPr>
        <w:t xml:space="preserve"> </w:t>
      </w:r>
      <w:r>
        <w:rPr>
          <w:color w:val="001F60"/>
        </w:rPr>
        <w:t>Futuro</w:t>
      </w:r>
      <w:r>
        <w:rPr>
          <w:color w:val="001F60"/>
          <w:spacing w:val="-11"/>
        </w:rPr>
        <w:t xml:space="preserve"> </w:t>
      </w:r>
      <w:r>
        <w:rPr>
          <w:color w:val="001F60"/>
        </w:rPr>
        <w:t>Aumento</w:t>
      </w:r>
      <w:r>
        <w:rPr>
          <w:color w:val="001F60"/>
          <w:spacing w:val="-11"/>
        </w:rPr>
        <w:t xml:space="preserve"> </w:t>
      </w:r>
      <w:r>
        <w:rPr>
          <w:color w:val="001F60"/>
        </w:rPr>
        <w:t>de</w:t>
      </w:r>
      <w:r>
        <w:rPr>
          <w:color w:val="001F60"/>
          <w:spacing w:val="-11"/>
        </w:rPr>
        <w:t xml:space="preserve"> </w:t>
      </w:r>
      <w:r>
        <w:rPr>
          <w:color w:val="001F60"/>
        </w:rPr>
        <w:t>Capital</w:t>
      </w:r>
      <w:r>
        <w:rPr>
          <w:color w:val="001F60"/>
          <w:spacing w:val="-13"/>
        </w:rPr>
        <w:t xml:space="preserve"> </w:t>
      </w:r>
      <w:r>
        <w:rPr>
          <w:color w:val="001F60"/>
        </w:rPr>
        <w:t>(AFAC).</w:t>
      </w:r>
    </w:p>
    <w:p w14:paraId="4E9A6EE7" w14:textId="77777777" w:rsidR="002C6574" w:rsidRDefault="00000000">
      <w:pPr>
        <w:pStyle w:val="Corpodetexto"/>
        <w:spacing w:before="119"/>
        <w:ind w:left="709" w:right="275"/>
        <w:jc w:val="both"/>
        <w:rPr>
          <w:rFonts w:ascii="Calibri" w:hAnsi="Calibri"/>
        </w:rPr>
      </w:pPr>
      <w:r>
        <w:rPr>
          <w:rFonts w:ascii="Calibri" w:hAnsi="Calibri"/>
          <w:color w:val="001F60"/>
        </w:rPr>
        <w:t>Em 2025,</w:t>
      </w:r>
      <w:r>
        <w:rPr>
          <w:rFonts w:ascii="Calibri" w:hAnsi="Calibri"/>
          <w:color w:val="001F60"/>
          <w:spacing w:val="-1"/>
        </w:rPr>
        <w:t xml:space="preserve"> </w:t>
      </w:r>
      <w:r>
        <w:rPr>
          <w:rFonts w:ascii="Calibri" w:hAnsi="Calibri"/>
          <w:color w:val="001F60"/>
        </w:rPr>
        <w:t>a Telebras</w:t>
      </w:r>
      <w:r>
        <w:rPr>
          <w:rFonts w:ascii="Calibri" w:hAnsi="Calibri"/>
          <w:color w:val="001F60"/>
          <w:spacing w:val="-1"/>
        </w:rPr>
        <w:t xml:space="preserve"> </w:t>
      </w:r>
      <w:r>
        <w:rPr>
          <w:rFonts w:ascii="Calibri" w:hAnsi="Calibri"/>
          <w:color w:val="001F60"/>
        </w:rPr>
        <w:t>reconheceu R$</w:t>
      </w:r>
      <w:r>
        <w:rPr>
          <w:rFonts w:ascii="Calibri" w:hAnsi="Calibri"/>
          <w:color w:val="001F60"/>
          <w:spacing w:val="-2"/>
        </w:rPr>
        <w:t xml:space="preserve"> </w:t>
      </w:r>
      <w:r>
        <w:rPr>
          <w:rFonts w:ascii="Calibri" w:hAnsi="Calibri"/>
          <w:color w:val="001F60"/>
        </w:rPr>
        <w:t>406,9</w:t>
      </w:r>
      <w:r>
        <w:rPr>
          <w:rFonts w:ascii="Calibri" w:hAnsi="Calibri"/>
          <w:color w:val="001F60"/>
          <w:spacing w:val="-1"/>
        </w:rPr>
        <w:t xml:space="preserve"> </w:t>
      </w:r>
      <w:r>
        <w:rPr>
          <w:rFonts w:ascii="Calibri" w:hAnsi="Calibri"/>
          <w:color w:val="001F60"/>
        </w:rPr>
        <w:t>milhões</w:t>
      </w:r>
      <w:r>
        <w:rPr>
          <w:rFonts w:ascii="Calibri" w:hAnsi="Calibri"/>
          <w:color w:val="001F60"/>
          <w:spacing w:val="-1"/>
        </w:rPr>
        <w:t xml:space="preserve"> </w:t>
      </w:r>
      <w:r>
        <w:rPr>
          <w:rFonts w:ascii="Calibri" w:hAnsi="Calibri"/>
          <w:color w:val="001F60"/>
        </w:rPr>
        <w:t>no resultado</w:t>
      </w:r>
      <w:r>
        <w:rPr>
          <w:rFonts w:ascii="Calibri" w:hAnsi="Calibri"/>
          <w:color w:val="001F60"/>
          <w:spacing w:val="-1"/>
        </w:rPr>
        <w:t xml:space="preserve"> </w:t>
      </w:r>
      <w:r>
        <w:rPr>
          <w:rFonts w:ascii="Calibri" w:hAnsi="Calibri"/>
          <w:color w:val="001F60"/>
        </w:rPr>
        <w:t>(ante R$</w:t>
      </w:r>
      <w:r>
        <w:rPr>
          <w:rFonts w:ascii="Calibri" w:hAnsi="Calibri"/>
          <w:color w:val="001F60"/>
          <w:spacing w:val="-1"/>
        </w:rPr>
        <w:t xml:space="preserve"> </w:t>
      </w:r>
      <w:r>
        <w:rPr>
          <w:rFonts w:ascii="Calibri" w:hAnsi="Calibri"/>
          <w:color w:val="001F60"/>
        </w:rPr>
        <w:t>158,2</w:t>
      </w:r>
      <w:r>
        <w:rPr>
          <w:rFonts w:ascii="Calibri" w:hAnsi="Calibri"/>
          <w:color w:val="001F60"/>
          <w:spacing w:val="-3"/>
        </w:rPr>
        <w:t xml:space="preserve"> </w:t>
      </w:r>
      <w:r>
        <w:rPr>
          <w:rFonts w:ascii="Calibri" w:hAnsi="Calibri"/>
          <w:color w:val="001F60"/>
        </w:rPr>
        <w:t>milhões</w:t>
      </w:r>
      <w:r>
        <w:rPr>
          <w:rFonts w:ascii="Calibri" w:hAnsi="Calibri"/>
          <w:color w:val="001F60"/>
          <w:spacing w:val="-1"/>
        </w:rPr>
        <w:t xml:space="preserve"> </w:t>
      </w:r>
      <w:r>
        <w:rPr>
          <w:rFonts w:ascii="Calibri" w:hAnsi="Calibri"/>
          <w:color w:val="001F60"/>
        </w:rPr>
        <w:t>em</w:t>
      </w:r>
      <w:r>
        <w:rPr>
          <w:rFonts w:ascii="Calibri" w:hAnsi="Calibri"/>
          <w:color w:val="001F60"/>
          <w:spacing w:val="-1"/>
        </w:rPr>
        <w:t xml:space="preserve"> </w:t>
      </w:r>
      <w:r>
        <w:rPr>
          <w:rFonts w:ascii="Calibri" w:hAnsi="Calibri"/>
          <w:color w:val="001F60"/>
        </w:rPr>
        <w:t>2024 e R$ 240,2 milhões em 2023), representando um aumento de 156,9% e 69,4%, respectivamente. Esse crescimento</w:t>
      </w:r>
      <w:r>
        <w:rPr>
          <w:rFonts w:ascii="Calibri" w:hAnsi="Calibri"/>
          <w:color w:val="001F60"/>
          <w:spacing w:val="-1"/>
        </w:rPr>
        <w:t xml:space="preserve"> </w:t>
      </w:r>
      <w:r>
        <w:rPr>
          <w:rFonts w:ascii="Calibri" w:hAnsi="Calibri"/>
          <w:color w:val="001F60"/>
        </w:rPr>
        <w:t>decorre,</w:t>
      </w:r>
      <w:r>
        <w:rPr>
          <w:rFonts w:ascii="Calibri" w:hAnsi="Calibri"/>
          <w:color w:val="001F60"/>
          <w:spacing w:val="-1"/>
        </w:rPr>
        <w:t xml:space="preserve"> </w:t>
      </w:r>
      <w:r>
        <w:rPr>
          <w:rFonts w:ascii="Calibri" w:hAnsi="Calibri"/>
          <w:color w:val="001F60"/>
        </w:rPr>
        <w:t>principalmente,</w:t>
      </w:r>
      <w:r>
        <w:rPr>
          <w:rFonts w:ascii="Calibri" w:hAnsi="Calibri"/>
          <w:color w:val="001F60"/>
          <w:spacing w:val="-1"/>
        </w:rPr>
        <w:t xml:space="preserve"> </w:t>
      </w:r>
      <w:r>
        <w:rPr>
          <w:rFonts w:ascii="Calibri" w:hAnsi="Calibri"/>
          <w:color w:val="001F60"/>
        </w:rPr>
        <w:t>dos</w:t>
      </w:r>
      <w:r>
        <w:rPr>
          <w:rFonts w:ascii="Calibri" w:hAnsi="Calibri"/>
          <w:color w:val="001F60"/>
          <w:spacing w:val="-1"/>
        </w:rPr>
        <w:t xml:space="preserve"> </w:t>
      </w:r>
      <w:r>
        <w:rPr>
          <w:rFonts w:ascii="Calibri" w:hAnsi="Calibri"/>
          <w:color w:val="001F60"/>
        </w:rPr>
        <w:t>recursos recebidos para</w:t>
      </w:r>
      <w:r>
        <w:rPr>
          <w:rFonts w:ascii="Calibri" w:hAnsi="Calibri"/>
          <w:color w:val="001F60"/>
          <w:spacing w:val="-1"/>
        </w:rPr>
        <w:t xml:space="preserve"> </w:t>
      </w:r>
      <w:r>
        <w:rPr>
          <w:rFonts w:ascii="Calibri" w:hAnsi="Calibri"/>
          <w:color w:val="001F60"/>
        </w:rPr>
        <w:t>quitação</w:t>
      </w:r>
      <w:r>
        <w:rPr>
          <w:rFonts w:ascii="Calibri" w:hAnsi="Calibri"/>
          <w:color w:val="001F60"/>
          <w:spacing w:val="-2"/>
        </w:rPr>
        <w:t xml:space="preserve"> </w:t>
      </w:r>
      <w:r>
        <w:rPr>
          <w:rFonts w:ascii="Calibri" w:hAnsi="Calibri"/>
          <w:color w:val="001F60"/>
        </w:rPr>
        <w:t>do</w:t>
      </w:r>
      <w:r>
        <w:rPr>
          <w:rFonts w:ascii="Calibri" w:hAnsi="Calibri"/>
          <w:color w:val="001F60"/>
          <w:spacing w:val="-1"/>
        </w:rPr>
        <w:t xml:space="preserve"> </w:t>
      </w:r>
      <w:r>
        <w:rPr>
          <w:rFonts w:ascii="Calibri" w:hAnsi="Calibri"/>
          <w:color w:val="001F60"/>
        </w:rPr>
        <w:t>financiamento</w:t>
      </w:r>
      <w:r>
        <w:rPr>
          <w:rFonts w:ascii="Calibri" w:hAnsi="Calibri"/>
          <w:color w:val="001F60"/>
          <w:spacing w:val="-1"/>
        </w:rPr>
        <w:t xml:space="preserve"> </w:t>
      </w:r>
      <w:r>
        <w:rPr>
          <w:rFonts w:ascii="Calibri" w:hAnsi="Calibri"/>
          <w:color w:val="001F60"/>
        </w:rPr>
        <w:t>junto</w:t>
      </w:r>
      <w:r>
        <w:rPr>
          <w:rFonts w:ascii="Calibri" w:hAnsi="Calibri"/>
          <w:color w:val="001F60"/>
          <w:spacing w:val="-1"/>
        </w:rPr>
        <w:t xml:space="preserve"> </w:t>
      </w:r>
      <w:r>
        <w:rPr>
          <w:rFonts w:ascii="Calibri" w:hAnsi="Calibri"/>
          <w:color w:val="001F60"/>
        </w:rPr>
        <w:t xml:space="preserve">à FINEP e dos valores vinculados ao contrato de gestão, destinados ao pagamento de obrigações da </w:t>
      </w:r>
      <w:r>
        <w:rPr>
          <w:rFonts w:ascii="Calibri" w:hAnsi="Calibri"/>
          <w:color w:val="001F60"/>
          <w:spacing w:val="-2"/>
        </w:rPr>
        <w:t>Companhia.</w:t>
      </w:r>
    </w:p>
    <w:p w14:paraId="159D6A3D" w14:textId="77777777" w:rsidR="002C6574" w:rsidRDefault="00000000">
      <w:pPr>
        <w:pStyle w:val="PargrafodaLista"/>
        <w:numPr>
          <w:ilvl w:val="0"/>
          <w:numId w:val="70"/>
        </w:numPr>
        <w:tabs>
          <w:tab w:val="left" w:pos="938"/>
        </w:tabs>
        <w:spacing w:before="121"/>
        <w:ind w:right="278" w:firstLine="0"/>
        <w:jc w:val="both"/>
      </w:pPr>
      <w:r>
        <w:rPr>
          <w:b/>
          <w:color w:val="001F60"/>
        </w:rPr>
        <w:t xml:space="preserve">Superávit de Previdência Privada: </w:t>
      </w:r>
      <w:r>
        <w:rPr>
          <w:color w:val="001F60"/>
        </w:rPr>
        <w:t>Trata-se do reconhecimento dos superávits relativos aos planos PBS-A, PBS-Telebras e Telebrasprev, que serão repassados à Telebras pela Sistel em 36 parcelas mensais, sujeitas ou não à atualização monetária conforme a rentabilidade do respectivo plano, de acordo com as regras estabelecidas em seus regulamentos.</w:t>
      </w:r>
    </w:p>
    <w:p w14:paraId="5301633A" w14:textId="77777777" w:rsidR="002C6574" w:rsidRDefault="00000000">
      <w:pPr>
        <w:pStyle w:val="Corpodetexto"/>
        <w:spacing w:before="119"/>
        <w:ind w:left="709" w:right="279"/>
        <w:jc w:val="both"/>
        <w:rPr>
          <w:rFonts w:ascii="Calibri" w:hAnsi="Calibri"/>
        </w:rPr>
      </w:pPr>
      <w:r>
        <w:rPr>
          <w:rFonts w:ascii="Calibri" w:hAnsi="Calibri"/>
          <w:color w:val="001F60"/>
        </w:rPr>
        <w:t>No</w:t>
      </w:r>
      <w:r>
        <w:rPr>
          <w:rFonts w:ascii="Calibri" w:hAnsi="Calibri"/>
          <w:color w:val="001F60"/>
          <w:spacing w:val="-5"/>
        </w:rPr>
        <w:t xml:space="preserve"> </w:t>
      </w:r>
      <w:r>
        <w:rPr>
          <w:rFonts w:ascii="Calibri" w:hAnsi="Calibri"/>
          <w:color w:val="001F60"/>
        </w:rPr>
        <w:t>exercício</w:t>
      </w:r>
      <w:r>
        <w:rPr>
          <w:rFonts w:ascii="Calibri" w:hAnsi="Calibri"/>
          <w:color w:val="001F60"/>
          <w:spacing w:val="-6"/>
        </w:rPr>
        <w:t xml:space="preserve"> </w:t>
      </w:r>
      <w:r>
        <w:rPr>
          <w:rFonts w:ascii="Calibri" w:hAnsi="Calibri"/>
          <w:color w:val="001F60"/>
        </w:rPr>
        <w:t>de</w:t>
      </w:r>
      <w:r>
        <w:rPr>
          <w:rFonts w:ascii="Calibri" w:hAnsi="Calibri"/>
          <w:color w:val="001F60"/>
          <w:spacing w:val="-9"/>
        </w:rPr>
        <w:t xml:space="preserve"> </w:t>
      </w:r>
      <w:r>
        <w:rPr>
          <w:rFonts w:ascii="Calibri" w:hAnsi="Calibri"/>
          <w:color w:val="001F60"/>
        </w:rPr>
        <w:t>2025,</w:t>
      </w:r>
      <w:r>
        <w:rPr>
          <w:rFonts w:ascii="Calibri" w:hAnsi="Calibri"/>
          <w:color w:val="001F60"/>
          <w:spacing w:val="-7"/>
        </w:rPr>
        <w:t xml:space="preserve"> </w:t>
      </w:r>
      <w:r>
        <w:rPr>
          <w:rFonts w:ascii="Calibri" w:hAnsi="Calibri"/>
          <w:color w:val="001F60"/>
        </w:rPr>
        <w:t>a</w:t>
      </w:r>
      <w:r>
        <w:rPr>
          <w:rFonts w:ascii="Calibri" w:hAnsi="Calibri"/>
          <w:color w:val="001F60"/>
          <w:spacing w:val="-9"/>
        </w:rPr>
        <w:t xml:space="preserve"> </w:t>
      </w:r>
      <w:r>
        <w:rPr>
          <w:rFonts w:ascii="Calibri" w:hAnsi="Calibri"/>
          <w:color w:val="001F60"/>
        </w:rPr>
        <w:t>Companhia</w:t>
      </w:r>
      <w:r>
        <w:rPr>
          <w:rFonts w:ascii="Calibri" w:hAnsi="Calibri"/>
          <w:color w:val="001F60"/>
          <w:spacing w:val="-5"/>
        </w:rPr>
        <w:t xml:space="preserve"> </w:t>
      </w:r>
      <w:r>
        <w:rPr>
          <w:rFonts w:ascii="Calibri" w:hAnsi="Calibri"/>
          <w:color w:val="001F60"/>
        </w:rPr>
        <w:t>reconheceu</w:t>
      </w:r>
      <w:r>
        <w:rPr>
          <w:rFonts w:ascii="Calibri" w:hAnsi="Calibri"/>
          <w:color w:val="001F60"/>
          <w:spacing w:val="-8"/>
        </w:rPr>
        <w:t xml:space="preserve"> </w:t>
      </w:r>
      <w:r>
        <w:rPr>
          <w:rFonts w:ascii="Calibri" w:hAnsi="Calibri"/>
          <w:color w:val="001F60"/>
        </w:rPr>
        <w:t>em</w:t>
      </w:r>
      <w:r>
        <w:rPr>
          <w:rFonts w:ascii="Calibri" w:hAnsi="Calibri"/>
          <w:color w:val="001F60"/>
          <w:spacing w:val="-7"/>
        </w:rPr>
        <w:t xml:space="preserve"> </w:t>
      </w:r>
      <w:r>
        <w:rPr>
          <w:rFonts w:ascii="Calibri" w:hAnsi="Calibri"/>
          <w:color w:val="001F60"/>
        </w:rPr>
        <w:t>seu</w:t>
      </w:r>
      <w:r>
        <w:rPr>
          <w:rFonts w:ascii="Calibri" w:hAnsi="Calibri"/>
          <w:color w:val="001F60"/>
          <w:spacing w:val="-5"/>
        </w:rPr>
        <w:t xml:space="preserve"> </w:t>
      </w:r>
      <w:r>
        <w:rPr>
          <w:rFonts w:ascii="Calibri" w:hAnsi="Calibri"/>
          <w:color w:val="001F60"/>
        </w:rPr>
        <w:t>resultado</w:t>
      </w:r>
      <w:r>
        <w:rPr>
          <w:rFonts w:ascii="Calibri" w:hAnsi="Calibri"/>
          <w:color w:val="001F60"/>
          <w:spacing w:val="-7"/>
        </w:rPr>
        <w:t xml:space="preserve"> </w:t>
      </w:r>
      <w:r>
        <w:rPr>
          <w:rFonts w:ascii="Calibri" w:hAnsi="Calibri"/>
          <w:color w:val="001F60"/>
        </w:rPr>
        <w:t>o</w:t>
      </w:r>
      <w:r>
        <w:rPr>
          <w:rFonts w:ascii="Calibri" w:hAnsi="Calibri"/>
          <w:color w:val="001F60"/>
          <w:spacing w:val="-7"/>
        </w:rPr>
        <w:t xml:space="preserve"> </w:t>
      </w:r>
      <w:r>
        <w:rPr>
          <w:rFonts w:ascii="Calibri" w:hAnsi="Calibri"/>
          <w:color w:val="001F60"/>
        </w:rPr>
        <w:t>montante</w:t>
      </w:r>
      <w:r>
        <w:rPr>
          <w:rFonts w:ascii="Calibri" w:hAnsi="Calibri"/>
          <w:color w:val="001F60"/>
          <w:spacing w:val="-9"/>
        </w:rPr>
        <w:t xml:space="preserve"> </w:t>
      </w:r>
      <w:r>
        <w:rPr>
          <w:rFonts w:ascii="Calibri" w:hAnsi="Calibri"/>
          <w:color w:val="001F60"/>
        </w:rPr>
        <w:t>de</w:t>
      </w:r>
      <w:r>
        <w:rPr>
          <w:rFonts w:ascii="Calibri" w:hAnsi="Calibri"/>
          <w:color w:val="001F60"/>
          <w:spacing w:val="-7"/>
        </w:rPr>
        <w:t xml:space="preserve"> </w:t>
      </w:r>
      <w:r>
        <w:rPr>
          <w:rFonts w:ascii="Calibri" w:hAnsi="Calibri"/>
          <w:color w:val="001F60"/>
        </w:rPr>
        <w:t>R$</w:t>
      </w:r>
      <w:r>
        <w:rPr>
          <w:rFonts w:ascii="Calibri" w:hAnsi="Calibri"/>
          <w:color w:val="001F60"/>
          <w:spacing w:val="-9"/>
        </w:rPr>
        <w:t xml:space="preserve"> </w:t>
      </w:r>
      <w:r>
        <w:rPr>
          <w:rFonts w:ascii="Calibri" w:hAnsi="Calibri"/>
          <w:color w:val="001F60"/>
        </w:rPr>
        <w:t>132,7</w:t>
      </w:r>
      <w:r>
        <w:rPr>
          <w:rFonts w:ascii="Calibri" w:hAnsi="Calibri"/>
          <w:color w:val="001F60"/>
          <w:spacing w:val="-9"/>
        </w:rPr>
        <w:t xml:space="preserve"> </w:t>
      </w:r>
      <w:r>
        <w:rPr>
          <w:rFonts w:ascii="Calibri" w:hAnsi="Calibri"/>
          <w:color w:val="001F60"/>
        </w:rPr>
        <w:t>milhões</w:t>
      </w:r>
      <w:r>
        <w:rPr>
          <w:rFonts w:ascii="Calibri" w:hAnsi="Calibri"/>
          <w:color w:val="001F60"/>
          <w:spacing w:val="-7"/>
        </w:rPr>
        <w:t xml:space="preserve"> </w:t>
      </w:r>
      <w:r>
        <w:rPr>
          <w:rFonts w:ascii="Calibri" w:hAnsi="Calibri"/>
          <w:color w:val="001F60"/>
        </w:rPr>
        <w:t>(R$ 212,0 milhões em 2024 e R$ 33,9 milhões em 2023), correspondente ao direito de recebimento dos superávits dos planos de previdência complementar patrocinados pela Telebras.</w:t>
      </w:r>
    </w:p>
    <w:p w14:paraId="77488354" w14:textId="77777777" w:rsidR="002C6574" w:rsidRDefault="00000000">
      <w:pPr>
        <w:pStyle w:val="PargrafodaLista"/>
        <w:numPr>
          <w:ilvl w:val="0"/>
          <w:numId w:val="70"/>
        </w:numPr>
        <w:tabs>
          <w:tab w:val="left" w:pos="979"/>
        </w:tabs>
        <w:spacing w:before="121"/>
        <w:ind w:right="278" w:firstLine="0"/>
        <w:jc w:val="both"/>
      </w:pPr>
      <w:r>
        <w:rPr>
          <w:b/>
          <w:color w:val="001F60"/>
        </w:rPr>
        <w:t>Recuperação</w:t>
      </w:r>
      <w:r>
        <w:rPr>
          <w:b/>
          <w:color w:val="001F60"/>
          <w:spacing w:val="-13"/>
        </w:rPr>
        <w:t xml:space="preserve"> </w:t>
      </w:r>
      <w:r>
        <w:rPr>
          <w:b/>
          <w:color w:val="001F60"/>
        </w:rPr>
        <w:t>de</w:t>
      </w:r>
      <w:r>
        <w:rPr>
          <w:b/>
          <w:color w:val="001F60"/>
          <w:spacing w:val="-12"/>
        </w:rPr>
        <w:t xml:space="preserve"> </w:t>
      </w:r>
      <w:r>
        <w:rPr>
          <w:b/>
          <w:color w:val="001F60"/>
        </w:rPr>
        <w:t>Créditos</w:t>
      </w:r>
      <w:r>
        <w:rPr>
          <w:b/>
          <w:color w:val="001F60"/>
          <w:spacing w:val="-13"/>
        </w:rPr>
        <w:t xml:space="preserve"> </w:t>
      </w:r>
      <w:r>
        <w:rPr>
          <w:b/>
          <w:color w:val="001F60"/>
        </w:rPr>
        <w:t>Tributários:</w:t>
      </w:r>
      <w:r>
        <w:rPr>
          <w:b/>
          <w:color w:val="001F60"/>
          <w:spacing w:val="-12"/>
        </w:rPr>
        <w:t xml:space="preserve"> </w:t>
      </w:r>
      <w:r>
        <w:rPr>
          <w:color w:val="001F60"/>
        </w:rPr>
        <w:t>Em</w:t>
      </w:r>
      <w:r>
        <w:rPr>
          <w:color w:val="001F60"/>
          <w:spacing w:val="-12"/>
        </w:rPr>
        <w:t xml:space="preserve"> </w:t>
      </w:r>
      <w:r>
        <w:rPr>
          <w:color w:val="001F60"/>
        </w:rPr>
        <w:t>2025,</w:t>
      </w:r>
      <w:r>
        <w:rPr>
          <w:color w:val="001F60"/>
          <w:spacing w:val="-13"/>
        </w:rPr>
        <w:t xml:space="preserve"> </w:t>
      </w:r>
      <w:r>
        <w:rPr>
          <w:color w:val="001F60"/>
        </w:rPr>
        <w:t>a</w:t>
      </w:r>
      <w:r>
        <w:rPr>
          <w:color w:val="001F60"/>
          <w:spacing w:val="-9"/>
        </w:rPr>
        <w:t xml:space="preserve"> </w:t>
      </w:r>
      <w:r>
        <w:rPr>
          <w:color w:val="001F60"/>
        </w:rPr>
        <w:t>Telebras</w:t>
      </w:r>
      <w:r>
        <w:rPr>
          <w:color w:val="001F60"/>
          <w:spacing w:val="-10"/>
        </w:rPr>
        <w:t xml:space="preserve"> </w:t>
      </w:r>
      <w:r>
        <w:rPr>
          <w:color w:val="001F60"/>
        </w:rPr>
        <w:t>registrou</w:t>
      </w:r>
      <w:r>
        <w:rPr>
          <w:color w:val="001F60"/>
          <w:spacing w:val="-13"/>
        </w:rPr>
        <w:t xml:space="preserve"> </w:t>
      </w:r>
      <w:r>
        <w:rPr>
          <w:color w:val="001F60"/>
        </w:rPr>
        <w:t>o</w:t>
      </w:r>
      <w:r>
        <w:rPr>
          <w:color w:val="001F60"/>
          <w:spacing w:val="-11"/>
        </w:rPr>
        <w:t xml:space="preserve"> </w:t>
      </w:r>
      <w:r>
        <w:rPr>
          <w:color w:val="001F60"/>
        </w:rPr>
        <w:t>montante</w:t>
      </w:r>
      <w:r>
        <w:rPr>
          <w:color w:val="001F60"/>
          <w:spacing w:val="-12"/>
        </w:rPr>
        <w:t xml:space="preserve"> </w:t>
      </w:r>
      <w:r>
        <w:rPr>
          <w:color w:val="001F60"/>
        </w:rPr>
        <w:t>de</w:t>
      </w:r>
      <w:r>
        <w:rPr>
          <w:color w:val="001F60"/>
          <w:spacing w:val="-12"/>
        </w:rPr>
        <w:t xml:space="preserve"> </w:t>
      </w:r>
      <w:r>
        <w:rPr>
          <w:color w:val="001F60"/>
        </w:rPr>
        <w:t>R$</w:t>
      </w:r>
      <w:r>
        <w:rPr>
          <w:color w:val="001F60"/>
          <w:spacing w:val="-12"/>
        </w:rPr>
        <w:t xml:space="preserve"> </w:t>
      </w:r>
      <w:r>
        <w:rPr>
          <w:color w:val="001F60"/>
        </w:rPr>
        <w:t>17,6</w:t>
      </w:r>
      <w:r>
        <w:rPr>
          <w:color w:val="001F60"/>
          <w:spacing w:val="-12"/>
        </w:rPr>
        <w:t xml:space="preserve"> </w:t>
      </w:r>
      <w:r>
        <w:rPr>
          <w:color w:val="001F60"/>
        </w:rPr>
        <w:t>milhões (R$</w:t>
      </w:r>
      <w:r>
        <w:rPr>
          <w:color w:val="001F60"/>
          <w:spacing w:val="34"/>
        </w:rPr>
        <w:t xml:space="preserve"> </w:t>
      </w:r>
      <w:r>
        <w:rPr>
          <w:color w:val="001F60"/>
        </w:rPr>
        <w:t>20,5</w:t>
      </w:r>
      <w:r>
        <w:rPr>
          <w:color w:val="001F60"/>
          <w:spacing w:val="34"/>
        </w:rPr>
        <w:t xml:space="preserve"> </w:t>
      </w:r>
      <w:r>
        <w:rPr>
          <w:color w:val="001F60"/>
        </w:rPr>
        <w:t>milhões</w:t>
      </w:r>
      <w:r>
        <w:rPr>
          <w:color w:val="001F60"/>
          <w:spacing w:val="36"/>
        </w:rPr>
        <w:t xml:space="preserve"> </w:t>
      </w:r>
      <w:r>
        <w:rPr>
          <w:color w:val="001F60"/>
        </w:rPr>
        <w:t>em</w:t>
      </w:r>
      <w:r>
        <w:rPr>
          <w:color w:val="001F60"/>
          <w:spacing w:val="32"/>
        </w:rPr>
        <w:t xml:space="preserve"> </w:t>
      </w:r>
      <w:r>
        <w:rPr>
          <w:color w:val="001F60"/>
        </w:rPr>
        <w:t>2024</w:t>
      </w:r>
      <w:r>
        <w:rPr>
          <w:color w:val="001F60"/>
          <w:spacing w:val="34"/>
        </w:rPr>
        <w:t xml:space="preserve"> </w:t>
      </w:r>
      <w:r>
        <w:rPr>
          <w:color w:val="001F60"/>
        </w:rPr>
        <w:t>e</w:t>
      </w:r>
      <w:r>
        <w:rPr>
          <w:color w:val="001F60"/>
          <w:spacing w:val="34"/>
        </w:rPr>
        <w:t xml:space="preserve"> </w:t>
      </w:r>
      <w:r>
        <w:rPr>
          <w:color w:val="001F60"/>
        </w:rPr>
        <w:t>R$</w:t>
      </w:r>
      <w:r>
        <w:rPr>
          <w:color w:val="001F60"/>
          <w:spacing w:val="33"/>
        </w:rPr>
        <w:t xml:space="preserve"> </w:t>
      </w:r>
      <w:r>
        <w:rPr>
          <w:color w:val="001F60"/>
        </w:rPr>
        <w:t>9,5</w:t>
      </w:r>
      <w:r>
        <w:rPr>
          <w:color w:val="001F60"/>
          <w:spacing w:val="33"/>
        </w:rPr>
        <w:t xml:space="preserve"> </w:t>
      </w:r>
      <w:r>
        <w:rPr>
          <w:color w:val="001F60"/>
        </w:rPr>
        <w:t>milhões</w:t>
      </w:r>
      <w:r>
        <w:rPr>
          <w:color w:val="001F60"/>
          <w:spacing w:val="32"/>
        </w:rPr>
        <w:t xml:space="preserve"> </w:t>
      </w:r>
      <w:r>
        <w:rPr>
          <w:color w:val="001F60"/>
        </w:rPr>
        <w:t>em</w:t>
      </w:r>
      <w:r>
        <w:rPr>
          <w:color w:val="001F60"/>
          <w:spacing w:val="34"/>
        </w:rPr>
        <w:t xml:space="preserve"> </w:t>
      </w:r>
      <w:r>
        <w:rPr>
          <w:color w:val="001F60"/>
        </w:rPr>
        <w:t>2023),</w:t>
      </w:r>
      <w:r>
        <w:rPr>
          <w:color w:val="001F60"/>
          <w:spacing w:val="34"/>
        </w:rPr>
        <w:t xml:space="preserve"> </w:t>
      </w:r>
      <w:r>
        <w:rPr>
          <w:color w:val="001F60"/>
        </w:rPr>
        <w:t>referente</w:t>
      </w:r>
      <w:r>
        <w:rPr>
          <w:color w:val="001F60"/>
          <w:spacing w:val="32"/>
        </w:rPr>
        <w:t xml:space="preserve"> </w:t>
      </w:r>
      <w:r>
        <w:rPr>
          <w:color w:val="001F60"/>
        </w:rPr>
        <w:t>ao</w:t>
      </w:r>
      <w:r>
        <w:rPr>
          <w:color w:val="001F60"/>
          <w:spacing w:val="36"/>
        </w:rPr>
        <w:t xml:space="preserve"> </w:t>
      </w:r>
      <w:r>
        <w:rPr>
          <w:color w:val="001F60"/>
        </w:rPr>
        <w:t>reconhecimento</w:t>
      </w:r>
      <w:r>
        <w:rPr>
          <w:color w:val="001F60"/>
          <w:spacing w:val="34"/>
        </w:rPr>
        <w:t xml:space="preserve"> </w:t>
      </w:r>
      <w:r>
        <w:rPr>
          <w:color w:val="001F60"/>
        </w:rPr>
        <w:t>de</w:t>
      </w:r>
      <w:r>
        <w:rPr>
          <w:color w:val="001F60"/>
          <w:spacing w:val="36"/>
        </w:rPr>
        <w:t xml:space="preserve"> </w:t>
      </w:r>
      <w:r>
        <w:rPr>
          <w:color w:val="001F60"/>
        </w:rPr>
        <w:t>créditos</w:t>
      </w:r>
    </w:p>
    <w:p w14:paraId="33E336DC" w14:textId="77777777" w:rsidR="002C6574" w:rsidRDefault="002C6574">
      <w:pPr>
        <w:pStyle w:val="PargrafodaLista"/>
        <w:jc w:val="both"/>
        <w:sectPr w:rsidR="002C6574">
          <w:headerReference w:type="default" r:id="rId11"/>
          <w:footerReference w:type="default" r:id="rId12"/>
          <w:pgSz w:w="11910" w:h="16840"/>
          <w:pgMar w:top="1160" w:right="850" w:bottom="740" w:left="992" w:header="312" w:footer="542" w:gutter="0"/>
          <w:cols w:space="720"/>
        </w:sectPr>
      </w:pPr>
    </w:p>
    <w:p w14:paraId="2EBC6DD0" w14:textId="77777777" w:rsidR="002C6574" w:rsidRDefault="002C6574">
      <w:pPr>
        <w:pStyle w:val="Corpodetexto"/>
        <w:spacing w:before="263"/>
        <w:rPr>
          <w:rFonts w:ascii="Calibri"/>
        </w:rPr>
      </w:pPr>
    </w:p>
    <w:p w14:paraId="0DCDA0E1" w14:textId="77777777" w:rsidR="002C6574" w:rsidRDefault="00000000">
      <w:pPr>
        <w:pStyle w:val="Corpodetexto"/>
        <w:ind w:left="709" w:right="279"/>
        <w:jc w:val="both"/>
        <w:rPr>
          <w:rFonts w:ascii="Calibri" w:hAnsi="Calibri"/>
        </w:rPr>
      </w:pPr>
      <w:r>
        <w:rPr>
          <w:rFonts w:ascii="Calibri" w:hAnsi="Calibri"/>
          <w:color w:val="001F60"/>
        </w:rPr>
        <w:t>tributários de</w:t>
      </w:r>
      <w:r>
        <w:rPr>
          <w:rFonts w:ascii="Calibri" w:hAnsi="Calibri"/>
          <w:color w:val="001F60"/>
          <w:spacing w:val="-3"/>
        </w:rPr>
        <w:t xml:space="preserve"> </w:t>
      </w:r>
      <w:r>
        <w:rPr>
          <w:rFonts w:ascii="Calibri" w:hAnsi="Calibri"/>
          <w:color w:val="001F60"/>
        </w:rPr>
        <w:t>PIS</w:t>
      </w:r>
      <w:r>
        <w:rPr>
          <w:rFonts w:ascii="Calibri" w:hAnsi="Calibri"/>
          <w:color w:val="001F60"/>
          <w:spacing w:val="-2"/>
        </w:rPr>
        <w:t xml:space="preserve"> </w:t>
      </w:r>
      <w:r>
        <w:rPr>
          <w:rFonts w:ascii="Calibri" w:hAnsi="Calibri"/>
          <w:color w:val="001F60"/>
        </w:rPr>
        <w:t>e COFINS. Tais créditos são</w:t>
      </w:r>
      <w:r>
        <w:rPr>
          <w:rFonts w:ascii="Calibri" w:hAnsi="Calibri"/>
          <w:color w:val="001F60"/>
          <w:spacing w:val="-1"/>
        </w:rPr>
        <w:t xml:space="preserve"> </w:t>
      </w:r>
      <w:r>
        <w:rPr>
          <w:rFonts w:ascii="Calibri" w:hAnsi="Calibri"/>
          <w:color w:val="001F60"/>
        </w:rPr>
        <w:t>utilizados na apuração das contribuições, compensando o valor devido pela Companhia, conforme previsto na legislação tributária aplicável.</w:t>
      </w:r>
    </w:p>
    <w:p w14:paraId="24A182D3" w14:textId="77777777" w:rsidR="002C6574" w:rsidRDefault="00000000">
      <w:pPr>
        <w:pStyle w:val="PargrafodaLista"/>
        <w:numPr>
          <w:ilvl w:val="0"/>
          <w:numId w:val="70"/>
        </w:numPr>
        <w:tabs>
          <w:tab w:val="left" w:pos="982"/>
        </w:tabs>
        <w:spacing w:before="118"/>
        <w:ind w:right="276" w:firstLine="0"/>
        <w:jc w:val="both"/>
      </w:pPr>
      <w:r>
        <w:rPr>
          <w:b/>
          <w:color w:val="001F60"/>
        </w:rPr>
        <w:t>Tributos</w:t>
      </w:r>
      <w:r>
        <w:rPr>
          <w:b/>
          <w:color w:val="001F60"/>
          <w:spacing w:val="-8"/>
        </w:rPr>
        <w:t xml:space="preserve"> </w:t>
      </w:r>
      <w:r>
        <w:rPr>
          <w:b/>
          <w:color w:val="001F60"/>
        </w:rPr>
        <w:t>sobre</w:t>
      </w:r>
      <w:r>
        <w:rPr>
          <w:b/>
          <w:color w:val="001F60"/>
          <w:spacing w:val="-7"/>
        </w:rPr>
        <w:t xml:space="preserve"> </w:t>
      </w:r>
      <w:r>
        <w:rPr>
          <w:b/>
          <w:color w:val="001F60"/>
        </w:rPr>
        <w:t>Outras</w:t>
      </w:r>
      <w:r>
        <w:rPr>
          <w:b/>
          <w:color w:val="001F60"/>
          <w:spacing w:val="-7"/>
        </w:rPr>
        <w:t xml:space="preserve"> </w:t>
      </w:r>
      <w:r>
        <w:rPr>
          <w:b/>
          <w:color w:val="001F60"/>
        </w:rPr>
        <w:t>Receitas</w:t>
      </w:r>
      <w:r>
        <w:rPr>
          <w:b/>
          <w:color w:val="001F60"/>
          <w:spacing w:val="-7"/>
        </w:rPr>
        <w:t xml:space="preserve"> </w:t>
      </w:r>
      <w:r>
        <w:rPr>
          <w:b/>
          <w:color w:val="001F60"/>
        </w:rPr>
        <w:t>Operacionais:</w:t>
      </w:r>
      <w:r>
        <w:rPr>
          <w:b/>
          <w:color w:val="001F60"/>
          <w:spacing w:val="-7"/>
        </w:rPr>
        <w:t xml:space="preserve"> </w:t>
      </w:r>
      <w:r>
        <w:rPr>
          <w:color w:val="001F60"/>
        </w:rPr>
        <w:t>A</w:t>
      </w:r>
      <w:r>
        <w:rPr>
          <w:color w:val="001F60"/>
          <w:spacing w:val="-8"/>
        </w:rPr>
        <w:t xml:space="preserve"> </w:t>
      </w:r>
      <w:r>
        <w:rPr>
          <w:color w:val="001F60"/>
        </w:rPr>
        <w:t>redução</w:t>
      </w:r>
      <w:r>
        <w:rPr>
          <w:color w:val="001F60"/>
          <w:spacing w:val="-7"/>
        </w:rPr>
        <w:t xml:space="preserve"> </w:t>
      </w:r>
      <w:r>
        <w:rPr>
          <w:color w:val="001F60"/>
        </w:rPr>
        <w:t>de</w:t>
      </w:r>
      <w:r>
        <w:rPr>
          <w:color w:val="001F60"/>
          <w:spacing w:val="-8"/>
        </w:rPr>
        <w:t xml:space="preserve"> </w:t>
      </w:r>
      <w:r>
        <w:rPr>
          <w:color w:val="001F60"/>
        </w:rPr>
        <w:t>39,3%</w:t>
      </w:r>
      <w:r>
        <w:rPr>
          <w:color w:val="001F60"/>
          <w:spacing w:val="-7"/>
        </w:rPr>
        <w:t xml:space="preserve"> </w:t>
      </w:r>
      <w:r>
        <w:rPr>
          <w:color w:val="001F60"/>
        </w:rPr>
        <w:t>em</w:t>
      </w:r>
      <w:r>
        <w:rPr>
          <w:color w:val="001F60"/>
          <w:spacing w:val="-7"/>
        </w:rPr>
        <w:t xml:space="preserve"> </w:t>
      </w:r>
      <w:r>
        <w:rPr>
          <w:color w:val="001F60"/>
        </w:rPr>
        <w:t>relação</w:t>
      </w:r>
      <w:r>
        <w:rPr>
          <w:color w:val="001F60"/>
          <w:spacing w:val="-7"/>
        </w:rPr>
        <w:t xml:space="preserve"> </w:t>
      </w:r>
      <w:r>
        <w:rPr>
          <w:color w:val="001F60"/>
        </w:rPr>
        <w:t>ao</w:t>
      </w:r>
      <w:r>
        <w:rPr>
          <w:color w:val="001F60"/>
          <w:spacing w:val="-8"/>
        </w:rPr>
        <w:t xml:space="preserve"> </w:t>
      </w:r>
      <w:r>
        <w:rPr>
          <w:color w:val="001F60"/>
        </w:rPr>
        <w:t>exercício</w:t>
      </w:r>
      <w:r>
        <w:rPr>
          <w:color w:val="001F60"/>
          <w:spacing w:val="-7"/>
        </w:rPr>
        <w:t xml:space="preserve"> </w:t>
      </w:r>
      <w:r>
        <w:rPr>
          <w:color w:val="001F60"/>
        </w:rPr>
        <w:t>de</w:t>
      </w:r>
      <w:r>
        <w:rPr>
          <w:color w:val="001F60"/>
          <w:spacing w:val="-8"/>
        </w:rPr>
        <w:t xml:space="preserve"> </w:t>
      </w:r>
      <w:r>
        <w:rPr>
          <w:color w:val="001F60"/>
        </w:rPr>
        <w:t>2024 decorre, principalmente, da diminuição dos eventos reconhecidos no resultado do período classificados</w:t>
      </w:r>
      <w:r>
        <w:rPr>
          <w:color w:val="001F60"/>
          <w:spacing w:val="-10"/>
        </w:rPr>
        <w:t xml:space="preserve"> </w:t>
      </w:r>
      <w:r>
        <w:rPr>
          <w:color w:val="001F60"/>
        </w:rPr>
        <w:t>como</w:t>
      </w:r>
      <w:r>
        <w:rPr>
          <w:color w:val="001F60"/>
          <w:spacing w:val="-9"/>
        </w:rPr>
        <w:t xml:space="preserve"> </w:t>
      </w:r>
      <w:r>
        <w:rPr>
          <w:color w:val="001F60"/>
        </w:rPr>
        <w:t>outras</w:t>
      </w:r>
      <w:r>
        <w:rPr>
          <w:color w:val="001F60"/>
          <w:spacing w:val="-12"/>
        </w:rPr>
        <w:t xml:space="preserve"> </w:t>
      </w:r>
      <w:r>
        <w:rPr>
          <w:color w:val="001F60"/>
        </w:rPr>
        <w:t>receitas</w:t>
      </w:r>
      <w:r>
        <w:rPr>
          <w:color w:val="001F60"/>
          <w:spacing w:val="-13"/>
        </w:rPr>
        <w:t xml:space="preserve"> </w:t>
      </w:r>
      <w:r>
        <w:rPr>
          <w:color w:val="001F60"/>
        </w:rPr>
        <w:t>operacionais</w:t>
      </w:r>
      <w:r>
        <w:rPr>
          <w:color w:val="001F60"/>
          <w:spacing w:val="-10"/>
        </w:rPr>
        <w:t xml:space="preserve"> </w:t>
      </w:r>
      <w:r>
        <w:rPr>
          <w:color w:val="001F60"/>
        </w:rPr>
        <w:t>e</w:t>
      </w:r>
      <w:r>
        <w:rPr>
          <w:color w:val="001F60"/>
          <w:spacing w:val="-11"/>
        </w:rPr>
        <w:t xml:space="preserve"> </w:t>
      </w:r>
      <w:r>
        <w:rPr>
          <w:color w:val="001F60"/>
        </w:rPr>
        <w:t>que</w:t>
      </w:r>
      <w:r>
        <w:rPr>
          <w:color w:val="001F60"/>
          <w:spacing w:val="-13"/>
        </w:rPr>
        <w:t xml:space="preserve"> </w:t>
      </w:r>
      <w:r>
        <w:rPr>
          <w:color w:val="001F60"/>
        </w:rPr>
        <w:t>são</w:t>
      </w:r>
      <w:r>
        <w:rPr>
          <w:color w:val="001F60"/>
          <w:spacing w:val="-9"/>
        </w:rPr>
        <w:t xml:space="preserve"> </w:t>
      </w:r>
      <w:r>
        <w:rPr>
          <w:color w:val="001F60"/>
        </w:rPr>
        <w:t>sujeitos</w:t>
      </w:r>
      <w:r>
        <w:rPr>
          <w:color w:val="001F60"/>
          <w:spacing w:val="-12"/>
        </w:rPr>
        <w:t xml:space="preserve"> </w:t>
      </w:r>
      <w:r>
        <w:rPr>
          <w:color w:val="001F60"/>
        </w:rPr>
        <w:t>à</w:t>
      </w:r>
      <w:r>
        <w:rPr>
          <w:color w:val="001F60"/>
          <w:spacing w:val="-9"/>
        </w:rPr>
        <w:t xml:space="preserve"> </w:t>
      </w:r>
      <w:r>
        <w:rPr>
          <w:color w:val="001F60"/>
        </w:rPr>
        <w:t>incidência</w:t>
      </w:r>
      <w:r>
        <w:rPr>
          <w:color w:val="001F60"/>
          <w:spacing w:val="-9"/>
        </w:rPr>
        <w:t xml:space="preserve"> </w:t>
      </w:r>
      <w:r>
        <w:rPr>
          <w:color w:val="001F60"/>
        </w:rPr>
        <w:t>de</w:t>
      </w:r>
      <w:r>
        <w:rPr>
          <w:color w:val="001F60"/>
          <w:spacing w:val="-13"/>
        </w:rPr>
        <w:t xml:space="preserve"> </w:t>
      </w:r>
      <w:r>
        <w:rPr>
          <w:color w:val="001F60"/>
        </w:rPr>
        <w:t>PIS</w:t>
      </w:r>
      <w:r>
        <w:rPr>
          <w:color w:val="001F60"/>
          <w:spacing w:val="-11"/>
        </w:rPr>
        <w:t xml:space="preserve"> </w:t>
      </w:r>
      <w:r>
        <w:rPr>
          <w:color w:val="001F60"/>
        </w:rPr>
        <w:t>e</w:t>
      </w:r>
      <w:r>
        <w:rPr>
          <w:color w:val="001F60"/>
          <w:spacing w:val="-7"/>
        </w:rPr>
        <w:t xml:space="preserve"> </w:t>
      </w:r>
      <w:r>
        <w:rPr>
          <w:color w:val="001F60"/>
        </w:rPr>
        <w:t>Cofins.</w:t>
      </w:r>
      <w:r>
        <w:rPr>
          <w:color w:val="001F60"/>
          <w:spacing w:val="-10"/>
        </w:rPr>
        <w:t xml:space="preserve"> </w:t>
      </w:r>
      <w:r>
        <w:rPr>
          <w:color w:val="001F60"/>
        </w:rPr>
        <w:t>A</w:t>
      </w:r>
      <w:r>
        <w:rPr>
          <w:color w:val="001F60"/>
          <w:spacing w:val="-11"/>
        </w:rPr>
        <w:t xml:space="preserve"> </w:t>
      </w:r>
      <w:r>
        <w:rPr>
          <w:color w:val="001F60"/>
        </w:rPr>
        <w:t>menor geração desses eventos no exercício reduziu a base tributável e, consequentemente, o montante registrado nessa rubrica.</w:t>
      </w:r>
    </w:p>
    <w:p w14:paraId="63249D23" w14:textId="77777777" w:rsidR="002C6574" w:rsidRDefault="002C6574">
      <w:pPr>
        <w:pStyle w:val="Corpodetexto"/>
        <w:spacing w:before="213"/>
        <w:rPr>
          <w:rFonts w:ascii="Calibri"/>
        </w:rPr>
      </w:pPr>
    </w:p>
    <w:p w14:paraId="0EAD224E" w14:textId="77777777" w:rsidR="002C6574" w:rsidRDefault="00000000">
      <w:pPr>
        <w:numPr>
          <w:ilvl w:val="2"/>
          <w:numId w:val="74"/>
        </w:numPr>
        <w:tabs>
          <w:tab w:val="left" w:pos="1414"/>
        </w:tabs>
        <w:ind w:left="1414" w:hanging="705"/>
        <w:jc w:val="both"/>
        <w:rPr>
          <w:rFonts w:ascii="Calibri"/>
          <w:b/>
        </w:rPr>
      </w:pPr>
      <w:r>
        <w:rPr>
          <w:rFonts w:ascii="Calibri"/>
          <w:b/>
          <w:color w:val="001F60"/>
        </w:rPr>
        <w:t>Resultado</w:t>
      </w:r>
      <w:r>
        <w:rPr>
          <w:rFonts w:ascii="Calibri"/>
          <w:b/>
          <w:color w:val="001F60"/>
          <w:spacing w:val="-3"/>
        </w:rPr>
        <w:t xml:space="preserve"> </w:t>
      </w:r>
      <w:r>
        <w:rPr>
          <w:rFonts w:ascii="Calibri"/>
          <w:b/>
          <w:color w:val="001F60"/>
          <w:spacing w:val="-2"/>
        </w:rPr>
        <w:t>Financeiro</w:t>
      </w:r>
    </w:p>
    <w:p w14:paraId="2309D4F7" w14:textId="77777777" w:rsidR="002C6574" w:rsidRDefault="002C6574">
      <w:pPr>
        <w:pStyle w:val="Corpodetexto"/>
        <w:spacing w:before="126"/>
        <w:rPr>
          <w:rFonts w:ascii="Calibri"/>
          <w:b/>
          <w:sz w:val="20"/>
        </w:rPr>
      </w:pPr>
    </w:p>
    <w:tbl>
      <w:tblPr>
        <w:tblStyle w:val="TableNormal"/>
        <w:tblW w:w="0" w:type="auto"/>
        <w:tblInd w:w="702" w:type="dxa"/>
        <w:tblLayout w:type="fixed"/>
        <w:tblLook w:val="01E0" w:firstRow="1" w:lastRow="1" w:firstColumn="1" w:lastColumn="1" w:noHBand="0" w:noVBand="0"/>
      </w:tblPr>
      <w:tblGrid>
        <w:gridCol w:w="3467"/>
        <w:gridCol w:w="2302"/>
        <w:gridCol w:w="963"/>
        <w:gridCol w:w="876"/>
        <w:gridCol w:w="744"/>
        <w:gridCol w:w="738"/>
      </w:tblGrid>
      <w:tr w:rsidR="002C6574" w14:paraId="2ED43203" w14:textId="77777777">
        <w:trPr>
          <w:trHeight w:val="275"/>
        </w:trPr>
        <w:tc>
          <w:tcPr>
            <w:tcW w:w="3467" w:type="dxa"/>
            <w:tcBorders>
              <w:top w:val="single" w:sz="8" w:space="0" w:color="8EA8DB"/>
              <w:bottom w:val="single" w:sz="8" w:space="0" w:color="8EA8DB"/>
            </w:tcBorders>
          </w:tcPr>
          <w:p w14:paraId="4B3BDE46" w14:textId="77777777" w:rsidR="002C6574" w:rsidRDefault="00000000">
            <w:pPr>
              <w:pStyle w:val="TableParagraph"/>
              <w:spacing w:before="69"/>
              <w:ind w:left="83"/>
              <w:jc w:val="left"/>
              <w:rPr>
                <w:rFonts w:ascii="Arial"/>
                <w:b/>
                <w:sz w:val="12"/>
              </w:rPr>
            </w:pPr>
            <w:r>
              <w:rPr>
                <w:rFonts w:ascii="Arial"/>
                <w:b/>
                <w:color w:val="2F75B5"/>
                <w:sz w:val="12"/>
              </w:rPr>
              <w:t xml:space="preserve">R$ </w:t>
            </w:r>
            <w:r>
              <w:rPr>
                <w:rFonts w:ascii="Arial"/>
                <w:b/>
                <w:color w:val="2F75B5"/>
                <w:spacing w:val="-5"/>
                <w:sz w:val="12"/>
              </w:rPr>
              <w:t>mil</w:t>
            </w:r>
          </w:p>
        </w:tc>
        <w:tc>
          <w:tcPr>
            <w:tcW w:w="2302" w:type="dxa"/>
            <w:tcBorders>
              <w:top w:val="single" w:sz="8" w:space="0" w:color="9AC1E6"/>
              <w:bottom w:val="single" w:sz="8" w:space="0" w:color="9AC1E6"/>
            </w:tcBorders>
          </w:tcPr>
          <w:p w14:paraId="52CAF567" w14:textId="77777777" w:rsidR="002C6574" w:rsidRDefault="00000000">
            <w:pPr>
              <w:pStyle w:val="TableParagraph"/>
              <w:spacing w:before="69"/>
              <w:ind w:left="1479"/>
              <w:jc w:val="left"/>
              <w:rPr>
                <w:rFonts w:ascii="Arial"/>
                <w:b/>
                <w:sz w:val="12"/>
              </w:rPr>
            </w:pPr>
            <w:r>
              <w:rPr>
                <w:rFonts w:ascii="Arial"/>
                <w:b/>
                <w:color w:val="2D74B5"/>
                <w:spacing w:val="-4"/>
                <w:sz w:val="12"/>
              </w:rPr>
              <w:t>2025</w:t>
            </w:r>
          </w:p>
        </w:tc>
        <w:tc>
          <w:tcPr>
            <w:tcW w:w="963" w:type="dxa"/>
            <w:tcBorders>
              <w:top w:val="single" w:sz="8" w:space="0" w:color="9AC1E6"/>
              <w:bottom w:val="single" w:sz="8" w:space="0" w:color="9AC1E6"/>
            </w:tcBorders>
          </w:tcPr>
          <w:p w14:paraId="4F353F51" w14:textId="77777777" w:rsidR="002C6574" w:rsidRDefault="00000000">
            <w:pPr>
              <w:pStyle w:val="TableParagraph"/>
              <w:spacing w:before="69"/>
              <w:ind w:left="178"/>
              <w:jc w:val="left"/>
              <w:rPr>
                <w:rFonts w:ascii="Arial"/>
                <w:b/>
                <w:sz w:val="12"/>
              </w:rPr>
            </w:pPr>
            <w:r>
              <w:rPr>
                <w:rFonts w:ascii="Arial"/>
                <w:b/>
                <w:color w:val="2D74B5"/>
                <w:spacing w:val="-4"/>
                <w:sz w:val="12"/>
              </w:rPr>
              <w:t>2024</w:t>
            </w:r>
          </w:p>
        </w:tc>
        <w:tc>
          <w:tcPr>
            <w:tcW w:w="876" w:type="dxa"/>
            <w:tcBorders>
              <w:top w:val="single" w:sz="8" w:space="0" w:color="9AC1E6"/>
              <w:bottom w:val="single" w:sz="8" w:space="0" w:color="9AC1E6"/>
            </w:tcBorders>
          </w:tcPr>
          <w:p w14:paraId="48CAEA88" w14:textId="77777777" w:rsidR="002C6574" w:rsidRDefault="00000000">
            <w:pPr>
              <w:pStyle w:val="TableParagraph"/>
              <w:spacing w:before="69"/>
              <w:ind w:left="215"/>
              <w:jc w:val="left"/>
              <w:rPr>
                <w:rFonts w:ascii="Arial"/>
                <w:b/>
                <w:sz w:val="12"/>
              </w:rPr>
            </w:pPr>
            <w:r>
              <w:rPr>
                <w:rFonts w:ascii="Arial"/>
                <w:b/>
                <w:color w:val="2D74B5"/>
                <w:spacing w:val="-4"/>
                <w:sz w:val="12"/>
              </w:rPr>
              <w:t>2023</w:t>
            </w:r>
          </w:p>
        </w:tc>
        <w:tc>
          <w:tcPr>
            <w:tcW w:w="744" w:type="dxa"/>
            <w:tcBorders>
              <w:top w:val="single" w:sz="8" w:space="0" w:color="9AC1E6"/>
              <w:bottom w:val="single" w:sz="8" w:space="0" w:color="9AC1E6"/>
            </w:tcBorders>
          </w:tcPr>
          <w:p w14:paraId="2B9430A9" w14:textId="77777777" w:rsidR="002C6574" w:rsidRDefault="00000000">
            <w:pPr>
              <w:pStyle w:val="TableParagraph"/>
              <w:ind w:right="62"/>
              <w:jc w:val="center"/>
              <w:rPr>
                <w:rFonts w:ascii="Arial" w:hAnsi="Arial"/>
                <w:b/>
                <w:sz w:val="12"/>
              </w:rPr>
            </w:pPr>
            <w:r>
              <w:rPr>
                <w:rFonts w:ascii="Arial" w:hAnsi="Arial"/>
                <w:b/>
                <w:color w:val="2F75B5"/>
                <w:sz w:val="12"/>
              </w:rPr>
              <w:t>Δ 2025</w:t>
            </w:r>
            <w:r>
              <w:rPr>
                <w:rFonts w:ascii="Arial" w:hAnsi="Arial"/>
                <w:b/>
                <w:color w:val="2F75B5"/>
                <w:spacing w:val="1"/>
                <w:sz w:val="12"/>
              </w:rPr>
              <w:t xml:space="preserve"> </w:t>
            </w:r>
            <w:r>
              <w:rPr>
                <w:rFonts w:ascii="Arial" w:hAnsi="Arial"/>
                <w:b/>
                <w:color w:val="2F75B5"/>
                <w:spacing w:val="-10"/>
                <w:sz w:val="12"/>
              </w:rPr>
              <w:t>X</w:t>
            </w:r>
          </w:p>
          <w:p w14:paraId="6F1B8148" w14:textId="77777777" w:rsidR="002C6574" w:rsidRDefault="00000000">
            <w:pPr>
              <w:pStyle w:val="TableParagraph"/>
              <w:spacing w:before="1" w:line="116" w:lineRule="exact"/>
              <w:ind w:left="2" w:right="62"/>
              <w:jc w:val="center"/>
              <w:rPr>
                <w:rFonts w:ascii="Arial"/>
                <w:b/>
                <w:sz w:val="12"/>
              </w:rPr>
            </w:pPr>
            <w:r>
              <w:rPr>
                <w:rFonts w:ascii="Arial"/>
                <w:b/>
                <w:color w:val="2F75B5"/>
                <w:spacing w:val="-4"/>
                <w:sz w:val="12"/>
              </w:rPr>
              <w:t>2024</w:t>
            </w:r>
          </w:p>
        </w:tc>
        <w:tc>
          <w:tcPr>
            <w:tcW w:w="738" w:type="dxa"/>
            <w:tcBorders>
              <w:top w:val="single" w:sz="8" w:space="0" w:color="9AC1E6"/>
              <w:bottom w:val="single" w:sz="8" w:space="0" w:color="9AC1E6"/>
            </w:tcBorders>
          </w:tcPr>
          <w:p w14:paraId="0D3BA8B6" w14:textId="77777777" w:rsidR="002C6574" w:rsidRDefault="00000000">
            <w:pPr>
              <w:pStyle w:val="TableParagraph"/>
              <w:ind w:right="42"/>
              <w:jc w:val="center"/>
              <w:rPr>
                <w:rFonts w:ascii="Arial" w:hAnsi="Arial"/>
                <w:b/>
                <w:sz w:val="12"/>
              </w:rPr>
            </w:pPr>
            <w:r>
              <w:rPr>
                <w:rFonts w:ascii="Arial" w:hAnsi="Arial"/>
                <w:b/>
                <w:color w:val="2F75B5"/>
                <w:sz w:val="12"/>
              </w:rPr>
              <w:t>Δ 2025</w:t>
            </w:r>
            <w:r>
              <w:rPr>
                <w:rFonts w:ascii="Arial" w:hAnsi="Arial"/>
                <w:b/>
                <w:color w:val="2F75B5"/>
                <w:spacing w:val="1"/>
                <w:sz w:val="12"/>
              </w:rPr>
              <w:t xml:space="preserve"> </w:t>
            </w:r>
            <w:r>
              <w:rPr>
                <w:rFonts w:ascii="Arial" w:hAnsi="Arial"/>
                <w:b/>
                <w:color w:val="2F75B5"/>
                <w:spacing w:val="-10"/>
                <w:sz w:val="12"/>
              </w:rPr>
              <w:t>X</w:t>
            </w:r>
          </w:p>
          <w:p w14:paraId="44C403D7" w14:textId="77777777" w:rsidR="002C6574" w:rsidRDefault="00000000">
            <w:pPr>
              <w:pStyle w:val="TableParagraph"/>
              <w:spacing w:before="1" w:line="116" w:lineRule="exact"/>
              <w:ind w:left="2" w:right="42"/>
              <w:jc w:val="center"/>
              <w:rPr>
                <w:rFonts w:ascii="Arial"/>
                <w:b/>
                <w:sz w:val="12"/>
              </w:rPr>
            </w:pPr>
            <w:r>
              <w:rPr>
                <w:rFonts w:ascii="Arial"/>
                <w:b/>
                <w:color w:val="2F75B5"/>
                <w:spacing w:val="-4"/>
                <w:sz w:val="12"/>
              </w:rPr>
              <w:t>2023</w:t>
            </w:r>
          </w:p>
        </w:tc>
      </w:tr>
      <w:tr w:rsidR="002C6574" w14:paraId="5F62F2F4" w14:textId="77777777">
        <w:trPr>
          <w:trHeight w:val="235"/>
        </w:trPr>
        <w:tc>
          <w:tcPr>
            <w:tcW w:w="3467" w:type="dxa"/>
          </w:tcPr>
          <w:p w14:paraId="1D8F6DF1" w14:textId="77777777" w:rsidR="002C6574" w:rsidRDefault="00000000">
            <w:pPr>
              <w:pStyle w:val="TableParagraph"/>
              <w:spacing w:before="38"/>
              <w:ind w:left="83"/>
              <w:jc w:val="left"/>
              <w:rPr>
                <w:rFonts w:ascii="Arial"/>
                <w:b/>
                <w:sz w:val="12"/>
              </w:rPr>
            </w:pPr>
            <w:r>
              <w:rPr>
                <w:rFonts w:ascii="Arial"/>
                <w:b/>
                <w:sz w:val="12"/>
              </w:rPr>
              <w:t>Receitas</w:t>
            </w:r>
            <w:r>
              <w:rPr>
                <w:rFonts w:ascii="Arial"/>
                <w:b/>
                <w:spacing w:val="-2"/>
                <w:sz w:val="12"/>
              </w:rPr>
              <w:t xml:space="preserve"> Financeiras</w:t>
            </w:r>
          </w:p>
        </w:tc>
        <w:tc>
          <w:tcPr>
            <w:tcW w:w="2302" w:type="dxa"/>
          </w:tcPr>
          <w:p w14:paraId="227969A7" w14:textId="77777777" w:rsidR="002C6574" w:rsidRDefault="002C6574">
            <w:pPr>
              <w:pStyle w:val="TableParagraph"/>
              <w:jc w:val="left"/>
              <w:rPr>
                <w:rFonts w:ascii="Times New Roman"/>
                <w:sz w:val="16"/>
              </w:rPr>
            </w:pPr>
          </w:p>
        </w:tc>
        <w:tc>
          <w:tcPr>
            <w:tcW w:w="963" w:type="dxa"/>
          </w:tcPr>
          <w:p w14:paraId="26D700DD" w14:textId="77777777" w:rsidR="002C6574" w:rsidRDefault="002C6574">
            <w:pPr>
              <w:pStyle w:val="TableParagraph"/>
              <w:jc w:val="left"/>
              <w:rPr>
                <w:rFonts w:ascii="Times New Roman"/>
                <w:sz w:val="16"/>
              </w:rPr>
            </w:pPr>
          </w:p>
        </w:tc>
        <w:tc>
          <w:tcPr>
            <w:tcW w:w="876" w:type="dxa"/>
          </w:tcPr>
          <w:p w14:paraId="2148E5EB" w14:textId="77777777" w:rsidR="002C6574" w:rsidRDefault="002C6574">
            <w:pPr>
              <w:pStyle w:val="TableParagraph"/>
              <w:jc w:val="left"/>
              <w:rPr>
                <w:rFonts w:ascii="Times New Roman"/>
                <w:sz w:val="16"/>
              </w:rPr>
            </w:pPr>
          </w:p>
        </w:tc>
        <w:tc>
          <w:tcPr>
            <w:tcW w:w="744" w:type="dxa"/>
          </w:tcPr>
          <w:p w14:paraId="04A934BA" w14:textId="77777777" w:rsidR="002C6574" w:rsidRDefault="002C6574">
            <w:pPr>
              <w:pStyle w:val="TableParagraph"/>
              <w:jc w:val="left"/>
              <w:rPr>
                <w:rFonts w:ascii="Times New Roman"/>
                <w:sz w:val="16"/>
              </w:rPr>
            </w:pPr>
          </w:p>
        </w:tc>
        <w:tc>
          <w:tcPr>
            <w:tcW w:w="738" w:type="dxa"/>
          </w:tcPr>
          <w:p w14:paraId="6A587A91" w14:textId="77777777" w:rsidR="002C6574" w:rsidRDefault="002C6574">
            <w:pPr>
              <w:pStyle w:val="TableParagraph"/>
              <w:jc w:val="left"/>
              <w:rPr>
                <w:rFonts w:ascii="Times New Roman"/>
                <w:sz w:val="16"/>
              </w:rPr>
            </w:pPr>
          </w:p>
        </w:tc>
      </w:tr>
      <w:tr w:rsidR="002C6574" w14:paraId="4AFACAD6" w14:textId="77777777">
        <w:trPr>
          <w:trHeight w:val="232"/>
        </w:trPr>
        <w:tc>
          <w:tcPr>
            <w:tcW w:w="3467" w:type="dxa"/>
          </w:tcPr>
          <w:p w14:paraId="720F5227" w14:textId="77777777" w:rsidR="002C6574" w:rsidRDefault="00000000">
            <w:pPr>
              <w:pStyle w:val="TableParagraph"/>
              <w:spacing w:before="45"/>
              <w:ind w:left="83"/>
              <w:jc w:val="left"/>
              <w:rPr>
                <w:rFonts w:ascii="Arial MT" w:hAnsi="Arial MT"/>
                <w:sz w:val="12"/>
              </w:rPr>
            </w:pPr>
            <w:r>
              <w:rPr>
                <w:rFonts w:ascii="Arial MT" w:hAnsi="Arial MT"/>
                <w:sz w:val="12"/>
              </w:rPr>
              <w:t>Juros sobre Aplicações</w:t>
            </w:r>
            <w:r>
              <w:rPr>
                <w:rFonts w:ascii="Arial MT" w:hAnsi="Arial MT"/>
                <w:spacing w:val="-2"/>
                <w:sz w:val="12"/>
              </w:rPr>
              <w:t xml:space="preserve"> </w:t>
            </w:r>
            <w:r>
              <w:rPr>
                <w:rFonts w:ascii="Arial MT" w:hAnsi="Arial MT"/>
                <w:sz w:val="12"/>
              </w:rPr>
              <w:t xml:space="preserve">Financeiras </w:t>
            </w:r>
            <w:r>
              <w:rPr>
                <w:rFonts w:ascii="Arial MT" w:hAnsi="Arial MT"/>
                <w:spacing w:val="-5"/>
                <w:sz w:val="12"/>
              </w:rPr>
              <w:t>(i)</w:t>
            </w:r>
          </w:p>
        </w:tc>
        <w:tc>
          <w:tcPr>
            <w:tcW w:w="2302" w:type="dxa"/>
          </w:tcPr>
          <w:p w14:paraId="50CFA85D" w14:textId="77777777" w:rsidR="002C6574" w:rsidRDefault="00000000">
            <w:pPr>
              <w:pStyle w:val="TableParagraph"/>
              <w:spacing w:before="45"/>
              <w:ind w:right="257"/>
              <w:rPr>
                <w:rFonts w:ascii="Arial MT"/>
                <w:sz w:val="12"/>
              </w:rPr>
            </w:pPr>
            <w:r>
              <w:rPr>
                <w:rFonts w:ascii="Arial MT"/>
                <w:spacing w:val="-2"/>
                <w:sz w:val="12"/>
              </w:rPr>
              <w:t>194.343</w:t>
            </w:r>
          </w:p>
        </w:tc>
        <w:tc>
          <w:tcPr>
            <w:tcW w:w="963" w:type="dxa"/>
          </w:tcPr>
          <w:p w14:paraId="497ADDEA" w14:textId="77777777" w:rsidR="002C6574" w:rsidRDefault="00000000">
            <w:pPr>
              <w:pStyle w:val="TableParagraph"/>
              <w:spacing w:before="45"/>
              <w:ind w:right="219"/>
              <w:rPr>
                <w:rFonts w:ascii="Arial MT"/>
                <w:sz w:val="12"/>
              </w:rPr>
            </w:pPr>
            <w:r>
              <w:rPr>
                <w:rFonts w:ascii="Arial MT"/>
                <w:spacing w:val="-2"/>
                <w:sz w:val="12"/>
              </w:rPr>
              <w:t>116.459</w:t>
            </w:r>
          </w:p>
        </w:tc>
        <w:tc>
          <w:tcPr>
            <w:tcW w:w="876" w:type="dxa"/>
          </w:tcPr>
          <w:p w14:paraId="09A02397" w14:textId="77777777" w:rsidR="002C6574" w:rsidRDefault="00000000">
            <w:pPr>
              <w:pStyle w:val="TableParagraph"/>
              <w:spacing w:before="45"/>
              <w:ind w:right="94"/>
              <w:rPr>
                <w:rFonts w:ascii="Arial MT"/>
                <w:sz w:val="12"/>
              </w:rPr>
            </w:pPr>
            <w:r>
              <w:rPr>
                <w:rFonts w:ascii="Arial MT"/>
                <w:spacing w:val="-2"/>
                <w:sz w:val="12"/>
              </w:rPr>
              <w:t>155.382</w:t>
            </w:r>
          </w:p>
        </w:tc>
        <w:tc>
          <w:tcPr>
            <w:tcW w:w="744" w:type="dxa"/>
          </w:tcPr>
          <w:p w14:paraId="5F821991" w14:textId="77777777" w:rsidR="002C6574" w:rsidRDefault="00000000">
            <w:pPr>
              <w:pStyle w:val="TableParagraph"/>
              <w:spacing w:before="45"/>
              <w:ind w:right="102"/>
              <w:rPr>
                <w:rFonts w:ascii="Arial MT"/>
                <w:sz w:val="12"/>
              </w:rPr>
            </w:pPr>
            <w:r>
              <w:rPr>
                <w:rFonts w:ascii="Arial MT"/>
                <w:spacing w:val="-2"/>
                <w:sz w:val="12"/>
              </w:rPr>
              <w:t>66,9%</w:t>
            </w:r>
          </w:p>
        </w:tc>
        <w:tc>
          <w:tcPr>
            <w:tcW w:w="738" w:type="dxa"/>
          </w:tcPr>
          <w:p w14:paraId="1D1BB4FB" w14:textId="77777777" w:rsidR="002C6574" w:rsidRDefault="00000000">
            <w:pPr>
              <w:pStyle w:val="TableParagraph"/>
              <w:spacing w:before="45"/>
              <w:ind w:right="72"/>
              <w:rPr>
                <w:rFonts w:ascii="Arial MT"/>
                <w:sz w:val="12"/>
              </w:rPr>
            </w:pPr>
            <w:r>
              <w:rPr>
                <w:rFonts w:ascii="Arial MT"/>
                <w:spacing w:val="-2"/>
                <w:sz w:val="12"/>
              </w:rPr>
              <w:t>25,1%</w:t>
            </w:r>
          </w:p>
        </w:tc>
      </w:tr>
      <w:tr w:rsidR="002C6574" w14:paraId="0DE11783" w14:textId="77777777">
        <w:trPr>
          <w:trHeight w:val="231"/>
        </w:trPr>
        <w:tc>
          <w:tcPr>
            <w:tcW w:w="3467" w:type="dxa"/>
          </w:tcPr>
          <w:p w14:paraId="124462CA" w14:textId="77777777" w:rsidR="002C6574" w:rsidRDefault="00000000">
            <w:pPr>
              <w:pStyle w:val="TableParagraph"/>
              <w:spacing w:before="45"/>
              <w:ind w:left="83"/>
              <w:jc w:val="left"/>
              <w:rPr>
                <w:rFonts w:ascii="Arial MT" w:hAnsi="Arial MT"/>
                <w:sz w:val="12"/>
              </w:rPr>
            </w:pPr>
            <w:r>
              <w:rPr>
                <w:rFonts w:ascii="Arial MT" w:hAnsi="Arial MT"/>
                <w:sz w:val="12"/>
              </w:rPr>
              <w:t>Juros</w:t>
            </w:r>
            <w:r>
              <w:rPr>
                <w:rFonts w:ascii="Arial MT" w:hAnsi="Arial MT"/>
                <w:spacing w:val="-3"/>
                <w:sz w:val="12"/>
              </w:rPr>
              <w:t xml:space="preserve"> </w:t>
            </w:r>
            <w:r>
              <w:rPr>
                <w:rFonts w:ascii="Arial MT" w:hAnsi="Arial MT"/>
                <w:sz w:val="12"/>
              </w:rPr>
              <w:t>sobre Superavit</w:t>
            </w:r>
            <w:r>
              <w:rPr>
                <w:rFonts w:ascii="Arial MT" w:hAnsi="Arial MT"/>
                <w:spacing w:val="-1"/>
                <w:sz w:val="12"/>
              </w:rPr>
              <w:t xml:space="preserve"> </w:t>
            </w:r>
            <w:r>
              <w:rPr>
                <w:rFonts w:ascii="Arial MT" w:hAnsi="Arial MT"/>
                <w:sz w:val="12"/>
              </w:rPr>
              <w:t>Previdência</w:t>
            </w:r>
            <w:r>
              <w:rPr>
                <w:rFonts w:ascii="Arial MT" w:hAnsi="Arial MT"/>
                <w:spacing w:val="-2"/>
                <w:sz w:val="12"/>
              </w:rPr>
              <w:t xml:space="preserve"> </w:t>
            </w:r>
            <w:r>
              <w:rPr>
                <w:rFonts w:ascii="Arial MT" w:hAnsi="Arial MT"/>
                <w:sz w:val="12"/>
              </w:rPr>
              <w:t xml:space="preserve">Privada </w:t>
            </w:r>
            <w:r>
              <w:rPr>
                <w:rFonts w:ascii="Arial MT" w:hAnsi="Arial MT"/>
                <w:spacing w:val="-4"/>
                <w:sz w:val="12"/>
              </w:rPr>
              <w:t>(ii)</w:t>
            </w:r>
          </w:p>
        </w:tc>
        <w:tc>
          <w:tcPr>
            <w:tcW w:w="2302" w:type="dxa"/>
          </w:tcPr>
          <w:p w14:paraId="648E9A33" w14:textId="77777777" w:rsidR="002C6574" w:rsidRDefault="00000000">
            <w:pPr>
              <w:pStyle w:val="TableParagraph"/>
              <w:spacing w:before="45"/>
              <w:ind w:right="256"/>
              <w:rPr>
                <w:rFonts w:ascii="Arial MT"/>
                <w:sz w:val="12"/>
              </w:rPr>
            </w:pPr>
            <w:r>
              <w:rPr>
                <w:rFonts w:ascii="Arial MT"/>
                <w:spacing w:val="-2"/>
                <w:sz w:val="12"/>
              </w:rPr>
              <w:t>18.867</w:t>
            </w:r>
          </w:p>
        </w:tc>
        <w:tc>
          <w:tcPr>
            <w:tcW w:w="963" w:type="dxa"/>
          </w:tcPr>
          <w:p w14:paraId="4DBE86EB" w14:textId="77777777" w:rsidR="002C6574" w:rsidRDefault="00000000">
            <w:pPr>
              <w:pStyle w:val="TableParagraph"/>
              <w:spacing w:before="45"/>
              <w:ind w:right="219"/>
              <w:rPr>
                <w:rFonts w:ascii="Arial MT"/>
                <w:sz w:val="12"/>
              </w:rPr>
            </w:pPr>
            <w:r>
              <w:rPr>
                <w:rFonts w:ascii="Arial MT"/>
                <w:spacing w:val="-2"/>
                <w:sz w:val="12"/>
              </w:rPr>
              <w:t>2.610</w:t>
            </w:r>
          </w:p>
        </w:tc>
        <w:tc>
          <w:tcPr>
            <w:tcW w:w="876" w:type="dxa"/>
          </w:tcPr>
          <w:p w14:paraId="214AD0E5" w14:textId="77777777" w:rsidR="002C6574" w:rsidRDefault="00000000">
            <w:pPr>
              <w:pStyle w:val="TableParagraph"/>
              <w:spacing w:before="45"/>
              <w:ind w:right="95"/>
              <w:rPr>
                <w:rFonts w:ascii="Arial MT"/>
                <w:sz w:val="12"/>
              </w:rPr>
            </w:pPr>
            <w:r>
              <w:rPr>
                <w:rFonts w:ascii="Arial MT"/>
                <w:spacing w:val="-2"/>
                <w:sz w:val="12"/>
              </w:rPr>
              <w:t>1.439</w:t>
            </w:r>
          </w:p>
        </w:tc>
        <w:tc>
          <w:tcPr>
            <w:tcW w:w="744" w:type="dxa"/>
          </w:tcPr>
          <w:p w14:paraId="4E3CADC5" w14:textId="77777777" w:rsidR="002C6574" w:rsidRDefault="00000000">
            <w:pPr>
              <w:pStyle w:val="TableParagraph"/>
              <w:spacing w:before="45"/>
              <w:ind w:right="102"/>
              <w:rPr>
                <w:rFonts w:ascii="Arial MT"/>
                <w:sz w:val="12"/>
              </w:rPr>
            </w:pPr>
            <w:r>
              <w:rPr>
                <w:rFonts w:ascii="Arial MT"/>
                <w:spacing w:val="-2"/>
                <w:sz w:val="12"/>
              </w:rPr>
              <w:t>622,9%</w:t>
            </w:r>
          </w:p>
        </w:tc>
        <w:tc>
          <w:tcPr>
            <w:tcW w:w="738" w:type="dxa"/>
          </w:tcPr>
          <w:p w14:paraId="08E32A79" w14:textId="77777777" w:rsidR="002C6574" w:rsidRDefault="00000000">
            <w:pPr>
              <w:pStyle w:val="TableParagraph"/>
              <w:spacing w:before="45"/>
              <w:ind w:right="69"/>
              <w:rPr>
                <w:rFonts w:ascii="Arial MT"/>
                <w:sz w:val="12"/>
              </w:rPr>
            </w:pPr>
            <w:r>
              <w:rPr>
                <w:rFonts w:ascii="Arial MT"/>
                <w:spacing w:val="-2"/>
                <w:sz w:val="12"/>
              </w:rPr>
              <w:t>1211,1%</w:t>
            </w:r>
          </w:p>
        </w:tc>
      </w:tr>
      <w:tr w:rsidR="002C6574" w14:paraId="2EC4C187" w14:textId="77777777">
        <w:trPr>
          <w:trHeight w:val="231"/>
        </w:trPr>
        <w:tc>
          <w:tcPr>
            <w:tcW w:w="3467" w:type="dxa"/>
          </w:tcPr>
          <w:p w14:paraId="0F4FAEDF" w14:textId="77777777" w:rsidR="002C6574" w:rsidRDefault="00000000">
            <w:pPr>
              <w:pStyle w:val="TableParagraph"/>
              <w:spacing w:before="44"/>
              <w:ind w:left="83"/>
              <w:jc w:val="left"/>
              <w:rPr>
                <w:rFonts w:ascii="Arial MT"/>
                <w:sz w:val="12"/>
              </w:rPr>
            </w:pPr>
            <w:r>
              <w:rPr>
                <w:rFonts w:ascii="Arial MT"/>
                <w:sz w:val="12"/>
              </w:rPr>
              <w:t>Juros</w:t>
            </w:r>
            <w:r>
              <w:rPr>
                <w:rFonts w:ascii="Arial MT"/>
                <w:spacing w:val="-2"/>
                <w:sz w:val="12"/>
              </w:rPr>
              <w:t xml:space="preserve"> </w:t>
            </w:r>
            <w:r>
              <w:rPr>
                <w:rFonts w:ascii="Arial MT"/>
                <w:sz w:val="12"/>
              </w:rPr>
              <w:t xml:space="preserve">sobre </w:t>
            </w:r>
            <w:r>
              <w:rPr>
                <w:rFonts w:ascii="Arial MT"/>
                <w:spacing w:val="-2"/>
                <w:sz w:val="12"/>
              </w:rPr>
              <w:t>Tributos</w:t>
            </w:r>
          </w:p>
        </w:tc>
        <w:tc>
          <w:tcPr>
            <w:tcW w:w="2302" w:type="dxa"/>
          </w:tcPr>
          <w:p w14:paraId="7EF44FEA" w14:textId="77777777" w:rsidR="002C6574" w:rsidRDefault="00000000">
            <w:pPr>
              <w:pStyle w:val="TableParagraph"/>
              <w:spacing w:before="44"/>
              <w:ind w:right="257"/>
              <w:rPr>
                <w:rFonts w:ascii="Arial MT"/>
                <w:sz w:val="12"/>
              </w:rPr>
            </w:pPr>
            <w:r>
              <w:rPr>
                <w:rFonts w:ascii="Arial MT"/>
                <w:spacing w:val="-2"/>
                <w:sz w:val="12"/>
              </w:rPr>
              <w:t>12.724</w:t>
            </w:r>
          </w:p>
        </w:tc>
        <w:tc>
          <w:tcPr>
            <w:tcW w:w="963" w:type="dxa"/>
          </w:tcPr>
          <w:p w14:paraId="7DAAB8F8" w14:textId="77777777" w:rsidR="002C6574" w:rsidRDefault="00000000">
            <w:pPr>
              <w:pStyle w:val="TableParagraph"/>
              <w:spacing w:before="44"/>
              <w:ind w:right="219"/>
              <w:rPr>
                <w:rFonts w:ascii="Arial MT"/>
                <w:sz w:val="12"/>
              </w:rPr>
            </w:pPr>
            <w:r>
              <w:rPr>
                <w:rFonts w:ascii="Arial MT"/>
                <w:spacing w:val="-2"/>
                <w:sz w:val="12"/>
              </w:rPr>
              <w:t>10.871</w:t>
            </w:r>
          </w:p>
        </w:tc>
        <w:tc>
          <w:tcPr>
            <w:tcW w:w="876" w:type="dxa"/>
          </w:tcPr>
          <w:p w14:paraId="1986F0C4" w14:textId="77777777" w:rsidR="002C6574" w:rsidRDefault="00000000">
            <w:pPr>
              <w:pStyle w:val="TableParagraph"/>
              <w:spacing w:before="44"/>
              <w:ind w:right="94"/>
              <w:rPr>
                <w:rFonts w:ascii="Arial MT"/>
                <w:sz w:val="12"/>
              </w:rPr>
            </w:pPr>
            <w:r>
              <w:rPr>
                <w:rFonts w:ascii="Arial MT"/>
                <w:spacing w:val="-2"/>
                <w:sz w:val="12"/>
              </w:rPr>
              <w:t>12.221</w:t>
            </w:r>
          </w:p>
        </w:tc>
        <w:tc>
          <w:tcPr>
            <w:tcW w:w="744" w:type="dxa"/>
          </w:tcPr>
          <w:p w14:paraId="68CF4D9E" w14:textId="77777777" w:rsidR="002C6574" w:rsidRDefault="00000000">
            <w:pPr>
              <w:pStyle w:val="TableParagraph"/>
              <w:spacing w:before="44"/>
              <w:ind w:right="102"/>
              <w:rPr>
                <w:rFonts w:ascii="Arial MT"/>
                <w:sz w:val="12"/>
              </w:rPr>
            </w:pPr>
            <w:r>
              <w:rPr>
                <w:rFonts w:ascii="Arial MT"/>
                <w:spacing w:val="-2"/>
                <w:sz w:val="12"/>
              </w:rPr>
              <w:t>17,0%</w:t>
            </w:r>
          </w:p>
        </w:tc>
        <w:tc>
          <w:tcPr>
            <w:tcW w:w="738" w:type="dxa"/>
          </w:tcPr>
          <w:p w14:paraId="73E18C00" w14:textId="77777777" w:rsidR="002C6574" w:rsidRDefault="00000000">
            <w:pPr>
              <w:pStyle w:val="TableParagraph"/>
              <w:spacing w:before="44"/>
              <w:ind w:right="72"/>
              <w:rPr>
                <w:rFonts w:ascii="Arial MT"/>
                <w:sz w:val="12"/>
              </w:rPr>
            </w:pPr>
            <w:r>
              <w:rPr>
                <w:rFonts w:ascii="Arial MT"/>
                <w:spacing w:val="-4"/>
                <w:sz w:val="12"/>
              </w:rPr>
              <w:t>4,1%</w:t>
            </w:r>
          </w:p>
        </w:tc>
      </w:tr>
      <w:tr w:rsidR="002C6574" w14:paraId="77529159" w14:textId="77777777">
        <w:trPr>
          <w:trHeight w:val="232"/>
        </w:trPr>
        <w:tc>
          <w:tcPr>
            <w:tcW w:w="3467" w:type="dxa"/>
          </w:tcPr>
          <w:p w14:paraId="4D4136AD" w14:textId="77777777" w:rsidR="002C6574" w:rsidRDefault="00000000">
            <w:pPr>
              <w:pStyle w:val="TableParagraph"/>
              <w:spacing w:before="45"/>
              <w:ind w:left="83"/>
              <w:jc w:val="left"/>
              <w:rPr>
                <w:rFonts w:ascii="Arial MT" w:hAnsi="Arial MT"/>
                <w:sz w:val="12"/>
              </w:rPr>
            </w:pPr>
            <w:r>
              <w:rPr>
                <w:rFonts w:ascii="Arial MT" w:hAnsi="Arial MT"/>
                <w:sz w:val="12"/>
              </w:rPr>
              <w:t>Juros</w:t>
            </w:r>
            <w:r>
              <w:rPr>
                <w:rFonts w:ascii="Arial MT" w:hAnsi="Arial MT"/>
                <w:spacing w:val="-3"/>
                <w:sz w:val="12"/>
              </w:rPr>
              <w:t xml:space="preserve"> </w:t>
            </w:r>
            <w:r>
              <w:rPr>
                <w:rFonts w:ascii="Arial MT" w:hAnsi="Arial MT"/>
                <w:sz w:val="12"/>
              </w:rPr>
              <w:t>sobre</w:t>
            </w:r>
            <w:r>
              <w:rPr>
                <w:rFonts w:ascii="Arial MT" w:hAnsi="Arial MT"/>
                <w:spacing w:val="-1"/>
                <w:sz w:val="12"/>
              </w:rPr>
              <w:t xml:space="preserve"> </w:t>
            </w:r>
            <w:r>
              <w:rPr>
                <w:rFonts w:ascii="Arial MT" w:hAnsi="Arial MT"/>
                <w:sz w:val="12"/>
              </w:rPr>
              <w:t xml:space="preserve">Depósitos </w:t>
            </w:r>
            <w:r>
              <w:rPr>
                <w:rFonts w:ascii="Arial MT" w:hAnsi="Arial MT"/>
                <w:spacing w:val="-2"/>
                <w:sz w:val="12"/>
              </w:rPr>
              <w:t>Judiciais</w:t>
            </w:r>
          </w:p>
        </w:tc>
        <w:tc>
          <w:tcPr>
            <w:tcW w:w="2302" w:type="dxa"/>
          </w:tcPr>
          <w:p w14:paraId="59DB747F" w14:textId="77777777" w:rsidR="002C6574" w:rsidRDefault="00000000">
            <w:pPr>
              <w:pStyle w:val="TableParagraph"/>
              <w:spacing w:before="45"/>
              <w:ind w:right="257"/>
              <w:rPr>
                <w:rFonts w:ascii="Arial MT"/>
                <w:sz w:val="12"/>
              </w:rPr>
            </w:pPr>
            <w:r>
              <w:rPr>
                <w:rFonts w:ascii="Arial MT"/>
                <w:spacing w:val="-2"/>
                <w:sz w:val="12"/>
              </w:rPr>
              <w:t>4.534</w:t>
            </w:r>
          </w:p>
        </w:tc>
        <w:tc>
          <w:tcPr>
            <w:tcW w:w="963" w:type="dxa"/>
          </w:tcPr>
          <w:p w14:paraId="53110A52" w14:textId="77777777" w:rsidR="002C6574" w:rsidRDefault="00000000">
            <w:pPr>
              <w:pStyle w:val="TableParagraph"/>
              <w:spacing w:before="45"/>
              <w:ind w:right="219"/>
              <w:rPr>
                <w:rFonts w:ascii="Arial MT"/>
                <w:sz w:val="12"/>
              </w:rPr>
            </w:pPr>
            <w:r>
              <w:rPr>
                <w:rFonts w:ascii="Arial MT"/>
                <w:spacing w:val="-2"/>
                <w:sz w:val="12"/>
              </w:rPr>
              <w:t>3.644</w:t>
            </w:r>
          </w:p>
        </w:tc>
        <w:tc>
          <w:tcPr>
            <w:tcW w:w="876" w:type="dxa"/>
          </w:tcPr>
          <w:p w14:paraId="4FC5D1FE" w14:textId="77777777" w:rsidR="002C6574" w:rsidRDefault="00000000">
            <w:pPr>
              <w:pStyle w:val="TableParagraph"/>
              <w:spacing w:before="45"/>
              <w:ind w:right="95"/>
              <w:rPr>
                <w:rFonts w:ascii="Arial MT"/>
                <w:sz w:val="12"/>
              </w:rPr>
            </w:pPr>
            <w:r>
              <w:rPr>
                <w:rFonts w:ascii="Arial MT"/>
                <w:spacing w:val="-2"/>
                <w:sz w:val="12"/>
              </w:rPr>
              <w:t>4.142</w:t>
            </w:r>
          </w:p>
        </w:tc>
        <w:tc>
          <w:tcPr>
            <w:tcW w:w="744" w:type="dxa"/>
          </w:tcPr>
          <w:p w14:paraId="7315CDD2" w14:textId="77777777" w:rsidR="002C6574" w:rsidRDefault="00000000">
            <w:pPr>
              <w:pStyle w:val="TableParagraph"/>
              <w:spacing w:before="45"/>
              <w:ind w:right="102"/>
              <w:rPr>
                <w:rFonts w:ascii="Arial MT"/>
                <w:sz w:val="12"/>
              </w:rPr>
            </w:pPr>
            <w:r>
              <w:rPr>
                <w:rFonts w:ascii="Arial MT"/>
                <w:spacing w:val="-2"/>
                <w:sz w:val="12"/>
              </w:rPr>
              <w:t>24,4%</w:t>
            </w:r>
          </w:p>
        </w:tc>
        <w:tc>
          <w:tcPr>
            <w:tcW w:w="738" w:type="dxa"/>
          </w:tcPr>
          <w:p w14:paraId="2685D53F" w14:textId="77777777" w:rsidR="002C6574" w:rsidRDefault="00000000">
            <w:pPr>
              <w:pStyle w:val="TableParagraph"/>
              <w:spacing w:before="45"/>
              <w:ind w:right="72"/>
              <w:rPr>
                <w:rFonts w:ascii="Arial MT"/>
                <w:sz w:val="12"/>
              </w:rPr>
            </w:pPr>
            <w:r>
              <w:rPr>
                <w:rFonts w:ascii="Arial MT"/>
                <w:spacing w:val="-4"/>
                <w:sz w:val="12"/>
              </w:rPr>
              <w:t>9,5%</w:t>
            </w:r>
          </w:p>
        </w:tc>
      </w:tr>
      <w:tr w:rsidR="002C6574" w14:paraId="173BD470" w14:textId="77777777">
        <w:trPr>
          <w:trHeight w:val="231"/>
        </w:trPr>
        <w:tc>
          <w:tcPr>
            <w:tcW w:w="3467" w:type="dxa"/>
          </w:tcPr>
          <w:p w14:paraId="359EFDC4" w14:textId="77777777" w:rsidR="002C6574" w:rsidRDefault="00000000">
            <w:pPr>
              <w:pStyle w:val="TableParagraph"/>
              <w:spacing w:before="45"/>
              <w:ind w:left="83"/>
              <w:jc w:val="left"/>
              <w:rPr>
                <w:rFonts w:ascii="Arial MT"/>
                <w:sz w:val="12"/>
              </w:rPr>
            </w:pPr>
            <w:r>
              <w:rPr>
                <w:rFonts w:ascii="Arial MT"/>
                <w:sz w:val="12"/>
              </w:rPr>
              <w:t>Descontos</w:t>
            </w:r>
            <w:r>
              <w:rPr>
                <w:rFonts w:ascii="Arial MT"/>
                <w:spacing w:val="-3"/>
                <w:sz w:val="12"/>
              </w:rPr>
              <w:t xml:space="preserve"> </w:t>
            </w:r>
            <w:r>
              <w:rPr>
                <w:rFonts w:ascii="Arial MT"/>
                <w:sz w:val="12"/>
              </w:rPr>
              <w:t>Financeiros sobre</w:t>
            </w:r>
            <w:r>
              <w:rPr>
                <w:rFonts w:ascii="Arial MT"/>
                <w:spacing w:val="-2"/>
                <w:sz w:val="12"/>
              </w:rPr>
              <w:t xml:space="preserve"> Passivos</w:t>
            </w:r>
          </w:p>
        </w:tc>
        <w:tc>
          <w:tcPr>
            <w:tcW w:w="2302" w:type="dxa"/>
          </w:tcPr>
          <w:p w14:paraId="2F7A1A8D" w14:textId="77777777" w:rsidR="002C6574" w:rsidRDefault="00000000">
            <w:pPr>
              <w:pStyle w:val="TableParagraph"/>
              <w:spacing w:before="45"/>
              <w:ind w:right="258"/>
              <w:rPr>
                <w:rFonts w:ascii="Arial MT"/>
                <w:sz w:val="12"/>
              </w:rPr>
            </w:pPr>
            <w:r>
              <w:rPr>
                <w:rFonts w:ascii="Arial MT"/>
                <w:spacing w:val="-2"/>
                <w:sz w:val="12"/>
              </w:rPr>
              <w:t>2.808</w:t>
            </w:r>
          </w:p>
        </w:tc>
        <w:tc>
          <w:tcPr>
            <w:tcW w:w="963" w:type="dxa"/>
          </w:tcPr>
          <w:p w14:paraId="7A595E99" w14:textId="77777777" w:rsidR="002C6574" w:rsidRDefault="00000000">
            <w:pPr>
              <w:pStyle w:val="TableParagraph"/>
              <w:spacing w:before="45"/>
              <w:ind w:right="219"/>
              <w:rPr>
                <w:rFonts w:ascii="Arial MT"/>
                <w:sz w:val="12"/>
              </w:rPr>
            </w:pPr>
            <w:r>
              <w:rPr>
                <w:rFonts w:ascii="Arial MT"/>
                <w:spacing w:val="-10"/>
                <w:sz w:val="12"/>
              </w:rPr>
              <w:t>-</w:t>
            </w:r>
          </w:p>
        </w:tc>
        <w:tc>
          <w:tcPr>
            <w:tcW w:w="876" w:type="dxa"/>
          </w:tcPr>
          <w:p w14:paraId="518F0972" w14:textId="77777777" w:rsidR="002C6574" w:rsidRDefault="00000000">
            <w:pPr>
              <w:pStyle w:val="TableParagraph"/>
              <w:spacing w:before="45"/>
              <w:ind w:right="95"/>
              <w:rPr>
                <w:rFonts w:ascii="Arial MT"/>
                <w:sz w:val="12"/>
              </w:rPr>
            </w:pPr>
            <w:r>
              <w:rPr>
                <w:rFonts w:ascii="Arial MT"/>
                <w:spacing w:val="-10"/>
                <w:sz w:val="12"/>
              </w:rPr>
              <w:t>-</w:t>
            </w:r>
          </w:p>
        </w:tc>
        <w:tc>
          <w:tcPr>
            <w:tcW w:w="744" w:type="dxa"/>
          </w:tcPr>
          <w:p w14:paraId="776A299C" w14:textId="77777777" w:rsidR="002C6574" w:rsidRDefault="00000000">
            <w:pPr>
              <w:pStyle w:val="TableParagraph"/>
              <w:spacing w:before="45"/>
              <w:ind w:right="102"/>
              <w:rPr>
                <w:rFonts w:ascii="Arial MT"/>
                <w:sz w:val="12"/>
              </w:rPr>
            </w:pPr>
            <w:r>
              <w:rPr>
                <w:rFonts w:ascii="Arial MT"/>
                <w:spacing w:val="-2"/>
                <w:sz w:val="12"/>
              </w:rPr>
              <w:t>100,0%</w:t>
            </w:r>
          </w:p>
        </w:tc>
        <w:tc>
          <w:tcPr>
            <w:tcW w:w="738" w:type="dxa"/>
          </w:tcPr>
          <w:p w14:paraId="3ECB45A6" w14:textId="77777777" w:rsidR="002C6574" w:rsidRDefault="00000000">
            <w:pPr>
              <w:pStyle w:val="TableParagraph"/>
              <w:spacing w:before="45"/>
              <w:ind w:right="73"/>
              <w:rPr>
                <w:rFonts w:ascii="Arial MT"/>
                <w:sz w:val="12"/>
              </w:rPr>
            </w:pPr>
            <w:r>
              <w:rPr>
                <w:rFonts w:ascii="Arial MT"/>
                <w:spacing w:val="-2"/>
                <w:sz w:val="12"/>
              </w:rPr>
              <w:t>100,0%</w:t>
            </w:r>
          </w:p>
        </w:tc>
      </w:tr>
      <w:tr w:rsidR="002C6574" w14:paraId="1A8D2C7B" w14:textId="77777777">
        <w:trPr>
          <w:trHeight w:val="231"/>
        </w:trPr>
        <w:tc>
          <w:tcPr>
            <w:tcW w:w="3467" w:type="dxa"/>
          </w:tcPr>
          <w:p w14:paraId="6D518C13" w14:textId="77777777" w:rsidR="002C6574" w:rsidRDefault="00000000">
            <w:pPr>
              <w:pStyle w:val="TableParagraph"/>
              <w:spacing w:before="44"/>
              <w:ind w:left="83"/>
              <w:jc w:val="left"/>
              <w:rPr>
                <w:rFonts w:ascii="Arial MT"/>
                <w:sz w:val="12"/>
              </w:rPr>
            </w:pPr>
            <w:r>
              <w:rPr>
                <w:rFonts w:ascii="Arial MT"/>
                <w:sz w:val="12"/>
              </w:rPr>
              <w:t>Outras</w:t>
            </w:r>
            <w:r>
              <w:rPr>
                <w:rFonts w:ascii="Arial MT"/>
                <w:spacing w:val="1"/>
                <w:sz w:val="12"/>
              </w:rPr>
              <w:t xml:space="preserve"> </w:t>
            </w:r>
            <w:r>
              <w:rPr>
                <w:rFonts w:ascii="Arial MT"/>
                <w:spacing w:val="-2"/>
                <w:sz w:val="12"/>
              </w:rPr>
              <w:t>Receitas</w:t>
            </w:r>
          </w:p>
        </w:tc>
        <w:tc>
          <w:tcPr>
            <w:tcW w:w="2302" w:type="dxa"/>
          </w:tcPr>
          <w:p w14:paraId="6C77A85D" w14:textId="77777777" w:rsidR="002C6574" w:rsidRDefault="00000000">
            <w:pPr>
              <w:pStyle w:val="TableParagraph"/>
              <w:spacing w:before="44"/>
              <w:ind w:right="257"/>
              <w:rPr>
                <w:rFonts w:ascii="Arial MT"/>
                <w:sz w:val="12"/>
              </w:rPr>
            </w:pPr>
            <w:r>
              <w:rPr>
                <w:rFonts w:ascii="Arial MT"/>
                <w:spacing w:val="-5"/>
                <w:sz w:val="12"/>
              </w:rPr>
              <w:t>254</w:t>
            </w:r>
          </w:p>
        </w:tc>
        <w:tc>
          <w:tcPr>
            <w:tcW w:w="963" w:type="dxa"/>
          </w:tcPr>
          <w:p w14:paraId="4582F48A" w14:textId="77777777" w:rsidR="002C6574" w:rsidRDefault="00000000">
            <w:pPr>
              <w:pStyle w:val="TableParagraph"/>
              <w:spacing w:before="44"/>
              <w:ind w:right="219"/>
              <w:rPr>
                <w:rFonts w:ascii="Arial MT"/>
                <w:sz w:val="12"/>
              </w:rPr>
            </w:pPr>
            <w:r>
              <w:rPr>
                <w:rFonts w:ascii="Arial MT"/>
                <w:spacing w:val="-5"/>
                <w:sz w:val="12"/>
              </w:rPr>
              <w:t>867</w:t>
            </w:r>
          </w:p>
        </w:tc>
        <w:tc>
          <w:tcPr>
            <w:tcW w:w="876" w:type="dxa"/>
          </w:tcPr>
          <w:p w14:paraId="4BEC3C9B" w14:textId="77777777" w:rsidR="002C6574" w:rsidRDefault="00000000">
            <w:pPr>
              <w:pStyle w:val="TableParagraph"/>
              <w:spacing w:before="44"/>
              <w:ind w:right="94"/>
              <w:rPr>
                <w:rFonts w:ascii="Arial MT"/>
                <w:sz w:val="12"/>
              </w:rPr>
            </w:pPr>
            <w:r>
              <w:rPr>
                <w:rFonts w:ascii="Arial MT"/>
                <w:spacing w:val="-5"/>
                <w:sz w:val="12"/>
              </w:rPr>
              <w:t>294</w:t>
            </w:r>
          </w:p>
        </w:tc>
        <w:tc>
          <w:tcPr>
            <w:tcW w:w="744" w:type="dxa"/>
          </w:tcPr>
          <w:p w14:paraId="40DDE46B" w14:textId="77777777" w:rsidR="002C6574" w:rsidRDefault="00000000">
            <w:pPr>
              <w:pStyle w:val="TableParagraph"/>
              <w:spacing w:before="44"/>
              <w:ind w:right="100"/>
              <w:rPr>
                <w:rFonts w:ascii="Arial MT"/>
                <w:sz w:val="12"/>
              </w:rPr>
            </w:pPr>
            <w:r>
              <w:rPr>
                <w:rFonts w:ascii="Arial MT"/>
                <w:sz w:val="12"/>
              </w:rPr>
              <w:t>-</w:t>
            </w:r>
            <w:r>
              <w:rPr>
                <w:rFonts w:ascii="Arial MT"/>
                <w:spacing w:val="-2"/>
                <w:sz w:val="12"/>
              </w:rPr>
              <w:t>70,7%</w:t>
            </w:r>
          </w:p>
        </w:tc>
        <w:tc>
          <w:tcPr>
            <w:tcW w:w="738" w:type="dxa"/>
          </w:tcPr>
          <w:p w14:paraId="1B90BC1C" w14:textId="77777777" w:rsidR="002C6574" w:rsidRDefault="00000000">
            <w:pPr>
              <w:pStyle w:val="TableParagraph"/>
              <w:spacing w:before="44"/>
              <w:ind w:right="70"/>
              <w:rPr>
                <w:rFonts w:ascii="Arial MT"/>
                <w:sz w:val="12"/>
              </w:rPr>
            </w:pPr>
            <w:r>
              <w:rPr>
                <w:rFonts w:ascii="Arial MT"/>
                <w:sz w:val="12"/>
              </w:rPr>
              <w:t>-</w:t>
            </w:r>
            <w:r>
              <w:rPr>
                <w:rFonts w:ascii="Arial MT"/>
                <w:spacing w:val="-2"/>
                <w:sz w:val="12"/>
              </w:rPr>
              <w:t>13,6%</w:t>
            </w:r>
          </w:p>
        </w:tc>
      </w:tr>
      <w:tr w:rsidR="002C6574" w14:paraId="3933784B" w14:textId="77777777">
        <w:trPr>
          <w:trHeight w:val="229"/>
        </w:trPr>
        <w:tc>
          <w:tcPr>
            <w:tcW w:w="3467" w:type="dxa"/>
            <w:tcBorders>
              <w:bottom w:val="single" w:sz="8" w:space="0" w:color="9AC1E6"/>
            </w:tcBorders>
          </w:tcPr>
          <w:p w14:paraId="34F027E7" w14:textId="77777777" w:rsidR="002C6574" w:rsidRDefault="00000000">
            <w:pPr>
              <w:pStyle w:val="TableParagraph"/>
              <w:spacing w:before="45"/>
              <w:ind w:left="83"/>
              <w:jc w:val="left"/>
              <w:rPr>
                <w:rFonts w:ascii="Arial MT"/>
                <w:sz w:val="12"/>
              </w:rPr>
            </w:pPr>
            <w:r>
              <w:rPr>
                <w:rFonts w:ascii="Arial MT"/>
                <w:sz w:val="12"/>
              </w:rPr>
              <w:t>Tributos sobre</w:t>
            </w:r>
            <w:r>
              <w:rPr>
                <w:rFonts w:ascii="Arial MT"/>
                <w:spacing w:val="-2"/>
                <w:sz w:val="12"/>
              </w:rPr>
              <w:t xml:space="preserve"> </w:t>
            </w:r>
            <w:r>
              <w:rPr>
                <w:rFonts w:ascii="Arial MT"/>
                <w:sz w:val="12"/>
              </w:rPr>
              <w:t>Receitas</w:t>
            </w:r>
            <w:r>
              <w:rPr>
                <w:rFonts w:ascii="Arial MT"/>
                <w:spacing w:val="-1"/>
                <w:sz w:val="12"/>
              </w:rPr>
              <w:t xml:space="preserve"> </w:t>
            </w:r>
            <w:r>
              <w:rPr>
                <w:rFonts w:ascii="Arial MT"/>
                <w:spacing w:val="-2"/>
                <w:sz w:val="12"/>
              </w:rPr>
              <w:t>Financeiras</w:t>
            </w:r>
          </w:p>
        </w:tc>
        <w:tc>
          <w:tcPr>
            <w:tcW w:w="2302" w:type="dxa"/>
            <w:tcBorders>
              <w:bottom w:val="single" w:sz="8" w:space="0" w:color="9AC1E6"/>
            </w:tcBorders>
          </w:tcPr>
          <w:p w14:paraId="7C378BC0" w14:textId="77777777" w:rsidR="002C6574" w:rsidRDefault="00000000">
            <w:pPr>
              <w:pStyle w:val="TableParagraph"/>
              <w:spacing w:before="45"/>
              <w:ind w:right="255"/>
              <w:rPr>
                <w:rFonts w:ascii="Arial MT"/>
                <w:sz w:val="12"/>
              </w:rPr>
            </w:pPr>
            <w:r>
              <w:rPr>
                <w:rFonts w:ascii="Arial MT"/>
                <w:spacing w:val="-2"/>
                <w:sz w:val="12"/>
              </w:rPr>
              <w:t>(10.649)</w:t>
            </w:r>
          </w:p>
        </w:tc>
        <w:tc>
          <w:tcPr>
            <w:tcW w:w="963" w:type="dxa"/>
            <w:tcBorders>
              <w:bottom w:val="single" w:sz="8" w:space="0" w:color="9AC1E6"/>
            </w:tcBorders>
          </w:tcPr>
          <w:p w14:paraId="79F945D9" w14:textId="77777777" w:rsidR="002C6574" w:rsidRDefault="00000000">
            <w:pPr>
              <w:pStyle w:val="TableParagraph"/>
              <w:spacing w:before="45"/>
              <w:ind w:right="216"/>
              <w:rPr>
                <w:rFonts w:ascii="Arial MT"/>
                <w:sz w:val="12"/>
              </w:rPr>
            </w:pPr>
            <w:r>
              <w:rPr>
                <w:rFonts w:ascii="Arial MT"/>
                <w:spacing w:val="-2"/>
                <w:sz w:val="12"/>
              </w:rPr>
              <w:t>(6.107)</w:t>
            </w:r>
          </w:p>
        </w:tc>
        <w:tc>
          <w:tcPr>
            <w:tcW w:w="876" w:type="dxa"/>
            <w:tcBorders>
              <w:bottom w:val="single" w:sz="8" w:space="0" w:color="9AC1E6"/>
            </w:tcBorders>
          </w:tcPr>
          <w:p w14:paraId="6AF994D5" w14:textId="77777777" w:rsidR="002C6574" w:rsidRDefault="00000000">
            <w:pPr>
              <w:pStyle w:val="TableParagraph"/>
              <w:spacing w:before="45"/>
              <w:ind w:right="92"/>
              <w:rPr>
                <w:rFonts w:ascii="Arial MT"/>
                <w:sz w:val="12"/>
              </w:rPr>
            </w:pPr>
            <w:r>
              <w:rPr>
                <w:rFonts w:ascii="Arial MT"/>
                <w:spacing w:val="-2"/>
                <w:sz w:val="12"/>
              </w:rPr>
              <w:t>(7.840)</w:t>
            </w:r>
          </w:p>
        </w:tc>
        <w:tc>
          <w:tcPr>
            <w:tcW w:w="744" w:type="dxa"/>
            <w:tcBorders>
              <w:bottom w:val="single" w:sz="8" w:space="0" w:color="9AC1E6"/>
            </w:tcBorders>
          </w:tcPr>
          <w:p w14:paraId="03CFAB17" w14:textId="77777777" w:rsidR="002C6574" w:rsidRDefault="00000000">
            <w:pPr>
              <w:pStyle w:val="TableParagraph"/>
              <w:spacing w:before="45"/>
              <w:ind w:right="102"/>
              <w:rPr>
                <w:rFonts w:ascii="Arial MT"/>
                <w:sz w:val="12"/>
              </w:rPr>
            </w:pPr>
            <w:r>
              <w:rPr>
                <w:rFonts w:ascii="Arial MT"/>
                <w:spacing w:val="-2"/>
                <w:sz w:val="12"/>
              </w:rPr>
              <w:t>74,4%</w:t>
            </w:r>
          </w:p>
        </w:tc>
        <w:tc>
          <w:tcPr>
            <w:tcW w:w="738" w:type="dxa"/>
            <w:tcBorders>
              <w:bottom w:val="single" w:sz="8" w:space="0" w:color="9AC1E6"/>
            </w:tcBorders>
          </w:tcPr>
          <w:p w14:paraId="50E340A2" w14:textId="77777777" w:rsidR="002C6574" w:rsidRDefault="00000000">
            <w:pPr>
              <w:pStyle w:val="TableParagraph"/>
              <w:spacing w:before="45"/>
              <w:ind w:right="72"/>
              <w:rPr>
                <w:rFonts w:ascii="Arial MT"/>
                <w:sz w:val="12"/>
              </w:rPr>
            </w:pPr>
            <w:r>
              <w:rPr>
                <w:rFonts w:ascii="Arial MT"/>
                <w:spacing w:val="-2"/>
                <w:sz w:val="12"/>
              </w:rPr>
              <w:t>35,8%</w:t>
            </w:r>
          </w:p>
        </w:tc>
      </w:tr>
      <w:tr w:rsidR="002C6574" w14:paraId="7713D1E7" w14:textId="77777777">
        <w:trPr>
          <w:trHeight w:val="231"/>
        </w:trPr>
        <w:tc>
          <w:tcPr>
            <w:tcW w:w="3467" w:type="dxa"/>
            <w:tcBorders>
              <w:top w:val="single" w:sz="8" w:space="0" w:color="9AC1E6"/>
              <w:bottom w:val="single" w:sz="8" w:space="0" w:color="9AC1E6"/>
            </w:tcBorders>
          </w:tcPr>
          <w:p w14:paraId="069AAF3D" w14:textId="77777777" w:rsidR="002C6574" w:rsidRDefault="00000000">
            <w:pPr>
              <w:pStyle w:val="TableParagraph"/>
              <w:spacing w:before="48"/>
              <w:ind w:left="83"/>
              <w:jc w:val="left"/>
              <w:rPr>
                <w:rFonts w:ascii="Arial"/>
                <w:b/>
                <w:sz w:val="12"/>
              </w:rPr>
            </w:pPr>
            <w:r>
              <w:rPr>
                <w:rFonts w:ascii="Arial"/>
                <w:b/>
                <w:spacing w:val="-2"/>
                <w:sz w:val="12"/>
              </w:rPr>
              <w:t>Total</w:t>
            </w:r>
          </w:p>
        </w:tc>
        <w:tc>
          <w:tcPr>
            <w:tcW w:w="2302" w:type="dxa"/>
            <w:tcBorders>
              <w:top w:val="single" w:sz="8" w:space="0" w:color="9AC1E6"/>
              <w:bottom w:val="single" w:sz="8" w:space="0" w:color="9AC1E6"/>
            </w:tcBorders>
          </w:tcPr>
          <w:p w14:paraId="77417067" w14:textId="77777777" w:rsidR="002C6574" w:rsidRDefault="00000000">
            <w:pPr>
              <w:pStyle w:val="TableParagraph"/>
              <w:spacing w:before="48"/>
              <w:ind w:right="257"/>
              <w:rPr>
                <w:rFonts w:ascii="Arial"/>
                <w:b/>
                <w:sz w:val="12"/>
              </w:rPr>
            </w:pPr>
            <w:r>
              <w:rPr>
                <w:rFonts w:ascii="Arial"/>
                <w:b/>
                <w:spacing w:val="-2"/>
                <w:sz w:val="12"/>
              </w:rPr>
              <w:t>222.881</w:t>
            </w:r>
          </w:p>
        </w:tc>
        <w:tc>
          <w:tcPr>
            <w:tcW w:w="963" w:type="dxa"/>
            <w:tcBorders>
              <w:top w:val="single" w:sz="8" w:space="0" w:color="9AC1E6"/>
              <w:bottom w:val="single" w:sz="8" w:space="0" w:color="9AC1E6"/>
            </w:tcBorders>
          </w:tcPr>
          <w:p w14:paraId="248216EE" w14:textId="77777777" w:rsidR="002C6574" w:rsidRDefault="00000000">
            <w:pPr>
              <w:pStyle w:val="TableParagraph"/>
              <w:spacing w:before="48"/>
              <w:ind w:right="219"/>
              <w:rPr>
                <w:rFonts w:ascii="Arial"/>
                <w:b/>
                <w:sz w:val="12"/>
              </w:rPr>
            </w:pPr>
            <w:r>
              <w:rPr>
                <w:rFonts w:ascii="Arial"/>
                <w:b/>
                <w:spacing w:val="-2"/>
                <w:sz w:val="12"/>
              </w:rPr>
              <w:t>128.344</w:t>
            </w:r>
          </w:p>
        </w:tc>
        <w:tc>
          <w:tcPr>
            <w:tcW w:w="876" w:type="dxa"/>
            <w:tcBorders>
              <w:top w:val="single" w:sz="8" w:space="0" w:color="9AC1E6"/>
              <w:bottom w:val="single" w:sz="8" w:space="0" w:color="9AC1E6"/>
            </w:tcBorders>
          </w:tcPr>
          <w:p w14:paraId="2DB67783" w14:textId="77777777" w:rsidR="002C6574" w:rsidRDefault="00000000">
            <w:pPr>
              <w:pStyle w:val="TableParagraph"/>
              <w:spacing w:before="48"/>
              <w:ind w:right="94"/>
              <w:rPr>
                <w:rFonts w:ascii="Arial"/>
                <w:b/>
                <w:sz w:val="12"/>
              </w:rPr>
            </w:pPr>
            <w:r>
              <w:rPr>
                <w:rFonts w:ascii="Arial"/>
                <w:b/>
                <w:spacing w:val="-2"/>
                <w:sz w:val="12"/>
              </w:rPr>
              <w:t>165.638</w:t>
            </w:r>
          </w:p>
        </w:tc>
        <w:tc>
          <w:tcPr>
            <w:tcW w:w="744" w:type="dxa"/>
            <w:tcBorders>
              <w:top w:val="single" w:sz="8" w:space="0" w:color="9AC1E6"/>
              <w:bottom w:val="single" w:sz="8" w:space="0" w:color="9AC1E6"/>
            </w:tcBorders>
          </w:tcPr>
          <w:p w14:paraId="4C13A844" w14:textId="77777777" w:rsidR="002C6574" w:rsidRDefault="00000000">
            <w:pPr>
              <w:pStyle w:val="TableParagraph"/>
              <w:spacing w:before="48"/>
              <w:ind w:right="102"/>
              <w:rPr>
                <w:rFonts w:ascii="Arial"/>
                <w:b/>
                <w:sz w:val="12"/>
              </w:rPr>
            </w:pPr>
            <w:r>
              <w:rPr>
                <w:rFonts w:ascii="Arial"/>
                <w:b/>
                <w:spacing w:val="-2"/>
                <w:sz w:val="12"/>
              </w:rPr>
              <w:t>73,7%</w:t>
            </w:r>
          </w:p>
        </w:tc>
        <w:tc>
          <w:tcPr>
            <w:tcW w:w="738" w:type="dxa"/>
            <w:tcBorders>
              <w:top w:val="single" w:sz="8" w:space="0" w:color="9AC1E6"/>
              <w:bottom w:val="single" w:sz="8" w:space="0" w:color="9AC1E6"/>
            </w:tcBorders>
          </w:tcPr>
          <w:p w14:paraId="292B2414" w14:textId="77777777" w:rsidR="002C6574" w:rsidRDefault="00000000">
            <w:pPr>
              <w:pStyle w:val="TableParagraph"/>
              <w:spacing w:before="48"/>
              <w:ind w:right="72"/>
              <w:rPr>
                <w:rFonts w:ascii="Arial"/>
                <w:b/>
                <w:sz w:val="12"/>
              </w:rPr>
            </w:pPr>
            <w:r>
              <w:rPr>
                <w:rFonts w:ascii="Arial"/>
                <w:b/>
                <w:spacing w:val="-2"/>
                <w:sz w:val="12"/>
              </w:rPr>
              <w:t>34,6%</w:t>
            </w:r>
          </w:p>
        </w:tc>
      </w:tr>
      <w:tr w:rsidR="002C6574" w14:paraId="7E6A0570" w14:textId="77777777">
        <w:trPr>
          <w:trHeight w:val="235"/>
        </w:trPr>
        <w:tc>
          <w:tcPr>
            <w:tcW w:w="3467" w:type="dxa"/>
            <w:tcBorders>
              <w:top w:val="single" w:sz="8" w:space="0" w:color="9AC1E6"/>
            </w:tcBorders>
          </w:tcPr>
          <w:p w14:paraId="4E68856D" w14:textId="77777777" w:rsidR="002C6574" w:rsidRDefault="00000000">
            <w:pPr>
              <w:pStyle w:val="TableParagraph"/>
              <w:spacing w:before="48"/>
              <w:ind w:left="83"/>
              <w:jc w:val="left"/>
              <w:rPr>
                <w:rFonts w:ascii="Arial"/>
                <w:b/>
                <w:sz w:val="12"/>
              </w:rPr>
            </w:pPr>
            <w:r>
              <w:rPr>
                <w:rFonts w:ascii="Arial"/>
                <w:b/>
                <w:sz w:val="12"/>
              </w:rPr>
              <w:t>Despesas</w:t>
            </w:r>
            <w:r>
              <w:rPr>
                <w:rFonts w:ascii="Arial"/>
                <w:b/>
                <w:spacing w:val="1"/>
                <w:sz w:val="12"/>
              </w:rPr>
              <w:t xml:space="preserve"> </w:t>
            </w:r>
            <w:r>
              <w:rPr>
                <w:rFonts w:ascii="Arial"/>
                <w:b/>
                <w:spacing w:val="-2"/>
                <w:sz w:val="12"/>
              </w:rPr>
              <w:t>Financeiras</w:t>
            </w:r>
          </w:p>
        </w:tc>
        <w:tc>
          <w:tcPr>
            <w:tcW w:w="2302" w:type="dxa"/>
            <w:tcBorders>
              <w:top w:val="single" w:sz="8" w:space="0" w:color="9AC1E6"/>
            </w:tcBorders>
          </w:tcPr>
          <w:p w14:paraId="1AD37FD7" w14:textId="77777777" w:rsidR="002C6574" w:rsidRDefault="002C6574">
            <w:pPr>
              <w:pStyle w:val="TableParagraph"/>
              <w:jc w:val="left"/>
              <w:rPr>
                <w:rFonts w:ascii="Times New Roman"/>
                <w:sz w:val="16"/>
              </w:rPr>
            </w:pPr>
          </w:p>
        </w:tc>
        <w:tc>
          <w:tcPr>
            <w:tcW w:w="963" w:type="dxa"/>
            <w:tcBorders>
              <w:top w:val="single" w:sz="8" w:space="0" w:color="9AC1E6"/>
            </w:tcBorders>
          </w:tcPr>
          <w:p w14:paraId="3EDC1B65" w14:textId="77777777" w:rsidR="002C6574" w:rsidRDefault="002C6574">
            <w:pPr>
              <w:pStyle w:val="TableParagraph"/>
              <w:jc w:val="left"/>
              <w:rPr>
                <w:rFonts w:ascii="Times New Roman"/>
                <w:sz w:val="16"/>
              </w:rPr>
            </w:pPr>
          </w:p>
        </w:tc>
        <w:tc>
          <w:tcPr>
            <w:tcW w:w="876" w:type="dxa"/>
            <w:tcBorders>
              <w:top w:val="single" w:sz="8" w:space="0" w:color="9AC1E6"/>
            </w:tcBorders>
          </w:tcPr>
          <w:p w14:paraId="1D13C5B0" w14:textId="77777777" w:rsidR="002C6574" w:rsidRDefault="002C6574">
            <w:pPr>
              <w:pStyle w:val="TableParagraph"/>
              <w:jc w:val="left"/>
              <w:rPr>
                <w:rFonts w:ascii="Times New Roman"/>
                <w:sz w:val="16"/>
              </w:rPr>
            </w:pPr>
          </w:p>
        </w:tc>
        <w:tc>
          <w:tcPr>
            <w:tcW w:w="744" w:type="dxa"/>
            <w:tcBorders>
              <w:top w:val="single" w:sz="8" w:space="0" w:color="9AC1E6"/>
            </w:tcBorders>
          </w:tcPr>
          <w:p w14:paraId="1A93BC2B" w14:textId="77777777" w:rsidR="002C6574" w:rsidRDefault="002C6574">
            <w:pPr>
              <w:pStyle w:val="TableParagraph"/>
              <w:jc w:val="left"/>
              <w:rPr>
                <w:rFonts w:ascii="Times New Roman"/>
                <w:sz w:val="16"/>
              </w:rPr>
            </w:pPr>
          </w:p>
        </w:tc>
        <w:tc>
          <w:tcPr>
            <w:tcW w:w="738" w:type="dxa"/>
            <w:tcBorders>
              <w:top w:val="single" w:sz="8" w:space="0" w:color="9AC1E6"/>
            </w:tcBorders>
          </w:tcPr>
          <w:p w14:paraId="30A67F2F" w14:textId="77777777" w:rsidR="002C6574" w:rsidRDefault="002C6574">
            <w:pPr>
              <w:pStyle w:val="TableParagraph"/>
              <w:jc w:val="left"/>
              <w:rPr>
                <w:rFonts w:ascii="Times New Roman"/>
                <w:sz w:val="16"/>
              </w:rPr>
            </w:pPr>
          </w:p>
        </w:tc>
      </w:tr>
      <w:tr w:rsidR="002C6574" w14:paraId="7B7AC1C9" w14:textId="77777777">
        <w:trPr>
          <w:trHeight w:val="231"/>
        </w:trPr>
        <w:tc>
          <w:tcPr>
            <w:tcW w:w="3467" w:type="dxa"/>
          </w:tcPr>
          <w:p w14:paraId="445F91F3" w14:textId="77777777" w:rsidR="002C6574" w:rsidRDefault="00000000">
            <w:pPr>
              <w:pStyle w:val="TableParagraph"/>
              <w:spacing w:before="45"/>
              <w:ind w:left="83"/>
              <w:jc w:val="left"/>
              <w:rPr>
                <w:rFonts w:ascii="Arial MT"/>
                <w:sz w:val="12"/>
              </w:rPr>
            </w:pPr>
            <w:r>
              <w:rPr>
                <w:rFonts w:ascii="Arial MT"/>
                <w:sz w:val="12"/>
              </w:rPr>
              <w:t>Juros</w:t>
            </w:r>
            <w:r>
              <w:rPr>
                <w:rFonts w:ascii="Arial MT"/>
                <w:spacing w:val="-1"/>
                <w:sz w:val="12"/>
              </w:rPr>
              <w:t xml:space="preserve"> </w:t>
            </w:r>
            <w:r>
              <w:rPr>
                <w:rFonts w:ascii="Arial MT"/>
                <w:sz w:val="12"/>
              </w:rPr>
              <w:t>sobre Adiantamento</w:t>
            </w:r>
            <w:r>
              <w:rPr>
                <w:rFonts w:ascii="Arial MT"/>
                <w:spacing w:val="-2"/>
                <w:sz w:val="12"/>
              </w:rPr>
              <w:t xml:space="preserve"> </w:t>
            </w:r>
            <w:r>
              <w:rPr>
                <w:rFonts w:ascii="Arial MT"/>
                <w:sz w:val="12"/>
              </w:rPr>
              <w:t>para</w:t>
            </w:r>
            <w:r>
              <w:rPr>
                <w:rFonts w:ascii="Arial MT"/>
                <w:spacing w:val="-2"/>
                <w:sz w:val="12"/>
              </w:rPr>
              <w:t xml:space="preserve"> </w:t>
            </w:r>
            <w:r>
              <w:rPr>
                <w:rFonts w:ascii="Arial MT"/>
                <w:sz w:val="12"/>
              </w:rPr>
              <w:t>Futuro</w:t>
            </w:r>
            <w:r>
              <w:rPr>
                <w:rFonts w:ascii="Arial MT"/>
                <w:spacing w:val="-1"/>
                <w:sz w:val="12"/>
              </w:rPr>
              <w:t xml:space="preserve"> </w:t>
            </w:r>
            <w:r>
              <w:rPr>
                <w:rFonts w:ascii="Arial MT"/>
                <w:sz w:val="12"/>
              </w:rPr>
              <w:t>Aumento</w:t>
            </w:r>
            <w:r>
              <w:rPr>
                <w:rFonts w:ascii="Arial MT"/>
                <w:spacing w:val="-1"/>
                <w:sz w:val="12"/>
              </w:rPr>
              <w:t xml:space="preserve"> </w:t>
            </w:r>
            <w:r>
              <w:rPr>
                <w:rFonts w:ascii="Arial MT"/>
                <w:sz w:val="12"/>
              </w:rPr>
              <w:t>de Capital</w:t>
            </w:r>
            <w:r>
              <w:rPr>
                <w:rFonts w:ascii="Arial MT"/>
                <w:spacing w:val="-1"/>
                <w:sz w:val="12"/>
              </w:rPr>
              <w:t xml:space="preserve"> </w:t>
            </w:r>
            <w:r>
              <w:rPr>
                <w:rFonts w:ascii="Arial MT"/>
                <w:spacing w:val="-2"/>
                <w:sz w:val="12"/>
              </w:rPr>
              <w:t>(iii)</w:t>
            </w:r>
          </w:p>
        </w:tc>
        <w:tc>
          <w:tcPr>
            <w:tcW w:w="2302" w:type="dxa"/>
          </w:tcPr>
          <w:p w14:paraId="216EDF49" w14:textId="77777777" w:rsidR="002C6574" w:rsidRDefault="00000000">
            <w:pPr>
              <w:pStyle w:val="TableParagraph"/>
              <w:spacing w:before="45"/>
              <w:ind w:right="254"/>
              <w:rPr>
                <w:rFonts w:ascii="Arial MT"/>
                <w:sz w:val="12"/>
              </w:rPr>
            </w:pPr>
            <w:r>
              <w:rPr>
                <w:rFonts w:ascii="Arial MT"/>
                <w:spacing w:val="-2"/>
                <w:sz w:val="12"/>
              </w:rPr>
              <w:t>(249.981)</w:t>
            </w:r>
          </w:p>
        </w:tc>
        <w:tc>
          <w:tcPr>
            <w:tcW w:w="963" w:type="dxa"/>
          </w:tcPr>
          <w:p w14:paraId="3578BC5A" w14:textId="77777777" w:rsidR="002C6574" w:rsidRDefault="00000000">
            <w:pPr>
              <w:pStyle w:val="TableParagraph"/>
              <w:spacing w:before="45"/>
              <w:ind w:right="217"/>
              <w:rPr>
                <w:rFonts w:ascii="Arial MT"/>
                <w:sz w:val="12"/>
              </w:rPr>
            </w:pPr>
            <w:r>
              <w:rPr>
                <w:rFonts w:ascii="Arial MT"/>
                <w:spacing w:val="-2"/>
                <w:sz w:val="12"/>
              </w:rPr>
              <w:t>(189.369)</w:t>
            </w:r>
          </w:p>
        </w:tc>
        <w:tc>
          <w:tcPr>
            <w:tcW w:w="876" w:type="dxa"/>
          </w:tcPr>
          <w:p w14:paraId="73DE9173" w14:textId="77777777" w:rsidR="002C6574" w:rsidRDefault="00000000">
            <w:pPr>
              <w:pStyle w:val="TableParagraph"/>
              <w:spacing w:before="45"/>
              <w:ind w:right="91"/>
              <w:rPr>
                <w:rFonts w:ascii="Arial MT"/>
                <w:sz w:val="12"/>
              </w:rPr>
            </w:pPr>
            <w:r>
              <w:rPr>
                <w:rFonts w:ascii="Arial MT"/>
                <w:spacing w:val="-2"/>
                <w:sz w:val="12"/>
              </w:rPr>
              <w:t>(198.416)</w:t>
            </w:r>
          </w:p>
        </w:tc>
        <w:tc>
          <w:tcPr>
            <w:tcW w:w="744" w:type="dxa"/>
          </w:tcPr>
          <w:p w14:paraId="3C7ED0EE" w14:textId="77777777" w:rsidR="002C6574" w:rsidRDefault="00000000">
            <w:pPr>
              <w:pStyle w:val="TableParagraph"/>
              <w:spacing w:before="45"/>
              <w:ind w:right="102"/>
              <w:rPr>
                <w:rFonts w:ascii="Arial MT"/>
                <w:sz w:val="12"/>
              </w:rPr>
            </w:pPr>
            <w:r>
              <w:rPr>
                <w:rFonts w:ascii="Arial MT"/>
                <w:spacing w:val="-2"/>
                <w:sz w:val="12"/>
              </w:rPr>
              <w:t>32,0%</w:t>
            </w:r>
          </w:p>
        </w:tc>
        <w:tc>
          <w:tcPr>
            <w:tcW w:w="738" w:type="dxa"/>
          </w:tcPr>
          <w:p w14:paraId="68220084" w14:textId="77777777" w:rsidR="002C6574" w:rsidRDefault="00000000">
            <w:pPr>
              <w:pStyle w:val="TableParagraph"/>
              <w:spacing w:before="45"/>
              <w:ind w:right="72"/>
              <w:rPr>
                <w:rFonts w:ascii="Arial MT"/>
                <w:sz w:val="12"/>
              </w:rPr>
            </w:pPr>
            <w:r>
              <w:rPr>
                <w:rFonts w:ascii="Arial MT"/>
                <w:spacing w:val="-2"/>
                <w:sz w:val="12"/>
              </w:rPr>
              <w:t>26,0%</w:t>
            </w:r>
          </w:p>
        </w:tc>
      </w:tr>
      <w:tr w:rsidR="002C6574" w14:paraId="253F3306" w14:textId="77777777">
        <w:trPr>
          <w:trHeight w:val="231"/>
        </w:trPr>
        <w:tc>
          <w:tcPr>
            <w:tcW w:w="3467" w:type="dxa"/>
          </w:tcPr>
          <w:p w14:paraId="2F692332" w14:textId="77777777" w:rsidR="002C6574" w:rsidRDefault="00000000">
            <w:pPr>
              <w:pStyle w:val="TableParagraph"/>
              <w:spacing w:before="44"/>
              <w:ind w:left="83"/>
              <w:jc w:val="left"/>
              <w:rPr>
                <w:rFonts w:ascii="Arial MT" w:hAnsi="Arial MT"/>
                <w:sz w:val="12"/>
              </w:rPr>
            </w:pPr>
            <w:r>
              <w:rPr>
                <w:rFonts w:ascii="Arial MT" w:hAnsi="Arial MT"/>
                <w:sz w:val="12"/>
              </w:rPr>
              <w:t>Juros</w:t>
            </w:r>
            <w:r>
              <w:rPr>
                <w:rFonts w:ascii="Arial MT" w:hAnsi="Arial MT"/>
                <w:spacing w:val="-1"/>
                <w:sz w:val="12"/>
              </w:rPr>
              <w:t xml:space="preserve"> </w:t>
            </w:r>
            <w:r>
              <w:rPr>
                <w:rFonts w:ascii="Arial MT" w:hAnsi="Arial MT"/>
                <w:sz w:val="12"/>
              </w:rPr>
              <w:t>e</w:t>
            </w:r>
            <w:r>
              <w:rPr>
                <w:rFonts w:ascii="Arial MT" w:hAnsi="Arial MT"/>
                <w:spacing w:val="-1"/>
                <w:sz w:val="12"/>
              </w:rPr>
              <w:t xml:space="preserve"> </w:t>
            </w:r>
            <w:r>
              <w:rPr>
                <w:rFonts w:ascii="Arial MT" w:hAnsi="Arial MT"/>
                <w:sz w:val="12"/>
              </w:rPr>
              <w:t>Variação</w:t>
            </w:r>
            <w:r>
              <w:rPr>
                <w:rFonts w:ascii="Arial MT" w:hAnsi="Arial MT"/>
                <w:spacing w:val="-1"/>
                <w:sz w:val="12"/>
              </w:rPr>
              <w:t xml:space="preserve"> </w:t>
            </w:r>
            <w:r>
              <w:rPr>
                <w:rFonts w:ascii="Arial MT" w:hAnsi="Arial MT"/>
                <w:sz w:val="12"/>
              </w:rPr>
              <w:t>Monetária</w:t>
            </w:r>
            <w:r>
              <w:rPr>
                <w:rFonts w:ascii="Arial MT" w:hAnsi="Arial MT"/>
                <w:spacing w:val="-1"/>
                <w:sz w:val="12"/>
              </w:rPr>
              <w:t xml:space="preserve"> </w:t>
            </w:r>
            <w:r>
              <w:rPr>
                <w:rFonts w:ascii="Arial MT" w:hAnsi="Arial MT"/>
                <w:sz w:val="12"/>
              </w:rPr>
              <w:t>de</w:t>
            </w:r>
            <w:r>
              <w:rPr>
                <w:rFonts w:ascii="Arial MT" w:hAnsi="Arial MT"/>
                <w:spacing w:val="-1"/>
                <w:sz w:val="12"/>
              </w:rPr>
              <w:t xml:space="preserve"> </w:t>
            </w:r>
            <w:r>
              <w:rPr>
                <w:rFonts w:ascii="Arial MT" w:hAnsi="Arial MT"/>
                <w:sz w:val="12"/>
              </w:rPr>
              <w:t xml:space="preserve">Acordos </w:t>
            </w:r>
            <w:r>
              <w:rPr>
                <w:rFonts w:ascii="Arial MT" w:hAnsi="Arial MT"/>
                <w:spacing w:val="-2"/>
                <w:sz w:val="12"/>
              </w:rPr>
              <w:t>Judiciais</w:t>
            </w:r>
          </w:p>
        </w:tc>
        <w:tc>
          <w:tcPr>
            <w:tcW w:w="2302" w:type="dxa"/>
          </w:tcPr>
          <w:p w14:paraId="6F7813A5" w14:textId="77777777" w:rsidR="002C6574" w:rsidRDefault="00000000">
            <w:pPr>
              <w:pStyle w:val="TableParagraph"/>
              <w:spacing w:before="44"/>
              <w:ind w:right="255"/>
              <w:rPr>
                <w:rFonts w:ascii="Arial MT"/>
                <w:sz w:val="12"/>
              </w:rPr>
            </w:pPr>
            <w:r>
              <w:rPr>
                <w:rFonts w:ascii="Arial MT"/>
                <w:spacing w:val="-2"/>
                <w:sz w:val="12"/>
              </w:rPr>
              <w:t>(14.247)</w:t>
            </w:r>
          </w:p>
        </w:tc>
        <w:tc>
          <w:tcPr>
            <w:tcW w:w="963" w:type="dxa"/>
          </w:tcPr>
          <w:p w14:paraId="6C96A304" w14:textId="77777777" w:rsidR="002C6574" w:rsidRDefault="00000000">
            <w:pPr>
              <w:pStyle w:val="TableParagraph"/>
              <w:spacing w:before="44"/>
              <w:ind w:right="218"/>
              <w:rPr>
                <w:rFonts w:ascii="Arial MT"/>
                <w:sz w:val="12"/>
              </w:rPr>
            </w:pPr>
            <w:r>
              <w:rPr>
                <w:rFonts w:ascii="Arial MT"/>
                <w:spacing w:val="-2"/>
                <w:sz w:val="12"/>
              </w:rPr>
              <w:t>(12.998)</w:t>
            </w:r>
          </w:p>
        </w:tc>
        <w:tc>
          <w:tcPr>
            <w:tcW w:w="876" w:type="dxa"/>
          </w:tcPr>
          <w:p w14:paraId="69F8B6E1" w14:textId="77777777" w:rsidR="002C6574" w:rsidRDefault="00000000">
            <w:pPr>
              <w:pStyle w:val="TableParagraph"/>
              <w:spacing w:before="44"/>
              <w:ind w:right="93"/>
              <w:rPr>
                <w:rFonts w:ascii="Arial MT"/>
                <w:sz w:val="12"/>
              </w:rPr>
            </w:pPr>
            <w:r>
              <w:rPr>
                <w:rFonts w:ascii="Arial MT"/>
                <w:spacing w:val="-2"/>
                <w:sz w:val="12"/>
              </w:rPr>
              <w:t>(13.678)</w:t>
            </w:r>
          </w:p>
        </w:tc>
        <w:tc>
          <w:tcPr>
            <w:tcW w:w="744" w:type="dxa"/>
          </w:tcPr>
          <w:p w14:paraId="058CBB45" w14:textId="77777777" w:rsidR="002C6574" w:rsidRDefault="00000000">
            <w:pPr>
              <w:pStyle w:val="TableParagraph"/>
              <w:spacing w:before="44"/>
              <w:ind w:right="103"/>
              <w:rPr>
                <w:rFonts w:ascii="Arial MT"/>
                <w:sz w:val="12"/>
              </w:rPr>
            </w:pPr>
            <w:r>
              <w:rPr>
                <w:rFonts w:ascii="Arial MT"/>
                <w:spacing w:val="-4"/>
                <w:sz w:val="12"/>
              </w:rPr>
              <w:t>9,6%</w:t>
            </w:r>
          </w:p>
        </w:tc>
        <w:tc>
          <w:tcPr>
            <w:tcW w:w="738" w:type="dxa"/>
          </w:tcPr>
          <w:p w14:paraId="02F8FE44" w14:textId="77777777" w:rsidR="002C6574" w:rsidRDefault="00000000">
            <w:pPr>
              <w:pStyle w:val="TableParagraph"/>
              <w:spacing w:before="44"/>
              <w:ind w:right="73"/>
              <w:rPr>
                <w:rFonts w:ascii="Arial MT"/>
                <w:sz w:val="12"/>
              </w:rPr>
            </w:pPr>
            <w:r>
              <w:rPr>
                <w:rFonts w:ascii="Arial MT"/>
                <w:spacing w:val="-4"/>
                <w:sz w:val="12"/>
              </w:rPr>
              <w:t>4,2%</w:t>
            </w:r>
          </w:p>
        </w:tc>
      </w:tr>
      <w:tr w:rsidR="002C6574" w14:paraId="4701A641" w14:textId="77777777">
        <w:trPr>
          <w:trHeight w:val="232"/>
        </w:trPr>
        <w:tc>
          <w:tcPr>
            <w:tcW w:w="3467" w:type="dxa"/>
          </w:tcPr>
          <w:p w14:paraId="04952921" w14:textId="77777777" w:rsidR="002C6574" w:rsidRDefault="00000000">
            <w:pPr>
              <w:pStyle w:val="TableParagraph"/>
              <w:spacing w:before="45"/>
              <w:ind w:left="83"/>
              <w:jc w:val="left"/>
              <w:rPr>
                <w:rFonts w:ascii="Arial MT" w:hAnsi="Arial MT"/>
                <w:sz w:val="12"/>
              </w:rPr>
            </w:pPr>
            <w:r>
              <w:rPr>
                <w:rFonts w:ascii="Arial MT" w:hAnsi="Arial MT"/>
                <w:sz w:val="12"/>
              </w:rPr>
              <w:t>Juros/VM</w:t>
            </w:r>
            <w:r>
              <w:rPr>
                <w:rFonts w:ascii="Arial MT" w:hAnsi="Arial MT"/>
                <w:spacing w:val="-1"/>
                <w:sz w:val="12"/>
              </w:rPr>
              <w:t xml:space="preserve"> </w:t>
            </w:r>
            <w:r>
              <w:rPr>
                <w:rFonts w:ascii="Arial MT" w:hAnsi="Arial MT"/>
                <w:sz w:val="12"/>
              </w:rPr>
              <w:t>s/</w:t>
            </w:r>
            <w:r>
              <w:rPr>
                <w:rFonts w:ascii="Arial MT" w:hAnsi="Arial MT"/>
                <w:spacing w:val="-1"/>
                <w:sz w:val="12"/>
              </w:rPr>
              <w:t xml:space="preserve"> </w:t>
            </w:r>
            <w:r>
              <w:rPr>
                <w:rFonts w:ascii="Arial MT" w:hAnsi="Arial MT"/>
                <w:sz w:val="12"/>
              </w:rPr>
              <w:t>Prov.</w:t>
            </w:r>
            <w:r>
              <w:rPr>
                <w:rFonts w:ascii="Arial MT" w:hAnsi="Arial MT"/>
                <w:spacing w:val="-4"/>
                <w:sz w:val="12"/>
              </w:rPr>
              <w:t xml:space="preserve"> </w:t>
            </w:r>
            <w:r>
              <w:rPr>
                <w:rFonts w:ascii="Arial MT" w:hAnsi="Arial MT"/>
                <w:sz w:val="12"/>
              </w:rPr>
              <w:t>p/ Riscos</w:t>
            </w:r>
            <w:r>
              <w:rPr>
                <w:rFonts w:ascii="Arial MT" w:hAnsi="Arial MT"/>
                <w:spacing w:val="-1"/>
                <w:sz w:val="12"/>
              </w:rPr>
              <w:t xml:space="preserve"> </w:t>
            </w:r>
            <w:r>
              <w:rPr>
                <w:rFonts w:ascii="Arial MT" w:hAnsi="Arial MT"/>
                <w:sz w:val="12"/>
              </w:rPr>
              <w:t>Trabalhistas,</w:t>
            </w:r>
            <w:r>
              <w:rPr>
                <w:rFonts w:ascii="Arial MT" w:hAnsi="Arial MT"/>
                <w:spacing w:val="-1"/>
                <w:sz w:val="12"/>
              </w:rPr>
              <w:t xml:space="preserve"> </w:t>
            </w:r>
            <w:r>
              <w:rPr>
                <w:rFonts w:ascii="Arial MT" w:hAnsi="Arial MT"/>
                <w:sz w:val="12"/>
              </w:rPr>
              <w:t>Cíveis</w:t>
            </w:r>
            <w:r>
              <w:rPr>
                <w:rFonts w:ascii="Arial MT" w:hAnsi="Arial MT"/>
                <w:spacing w:val="-1"/>
                <w:sz w:val="12"/>
              </w:rPr>
              <w:t xml:space="preserve"> </w:t>
            </w:r>
            <w:r>
              <w:rPr>
                <w:rFonts w:ascii="Arial MT" w:hAnsi="Arial MT"/>
                <w:sz w:val="12"/>
              </w:rPr>
              <w:t>e</w:t>
            </w:r>
            <w:r>
              <w:rPr>
                <w:rFonts w:ascii="Arial MT" w:hAnsi="Arial MT"/>
                <w:spacing w:val="1"/>
                <w:sz w:val="12"/>
              </w:rPr>
              <w:t xml:space="preserve"> </w:t>
            </w:r>
            <w:r>
              <w:rPr>
                <w:rFonts w:ascii="Arial MT" w:hAnsi="Arial MT"/>
                <w:spacing w:val="-2"/>
                <w:sz w:val="12"/>
              </w:rPr>
              <w:t>Fiscais</w:t>
            </w:r>
          </w:p>
        </w:tc>
        <w:tc>
          <w:tcPr>
            <w:tcW w:w="2302" w:type="dxa"/>
          </w:tcPr>
          <w:p w14:paraId="69578717" w14:textId="77777777" w:rsidR="002C6574" w:rsidRDefault="00000000">
            <w:pPr>
              <w:pStyle w:val="TableParagraph"/>
              <w:spacing w:before="45"/>
              <w:ind w:right="255"/>
              <w:rPr>
                <w:rFonts w:ascii="Arial MT"/>
                <w:sz w:val="12"/>
              </w:rPr>
            </w:pPr>
            <w:r>
              <w:rPr>
                <w:rFonts w:ascii="Arial MT"/>
                <w:spacing w:val="-2"/>
                <w:sz w:val="12"/>
              </w:rPr>
              <w:t>(6.484)</w:t>
            </w:r>
          </w:p>
        </w:tc>
        <w:tc>
          <w:tcPr>
            <w:tcW w:w="963" w:type="dxa"/>
          </w:tcPr>
          <w:p w14:paraId="5DE66EB8" w14:textId="77777777" w:rsidR="002C6574" w:rsidRDefault="00000000">
            <w:pPr>
              <w:pStyle w:val="TableParagraph"/>
              <w:spacing w:before="45"/>
              <w:ind w:right="216"/>
              <w:rPr>
                <w:rFonts w:ascii="Arial MT"/>
                <w:sz w:val="12"/>
              </w:rPr>
            </w:pPr>
            <w:r>
              <w:rPr>
                <w:rFonts w:ascii="Arial MT"/>
                <w:spacing w:val="-2"/>
                <w:sz w:val="12"/>
              </w:rPr>
              <w:t>(6.298)</w:t>
            </w:r>
          </w:p>
        </w:tc>
        <w:tc>
          <w:tcPr>
            <w:tcW w:w="876" w:type="dxa"/>
          </w:tcPr>
          <w:p w14:paraId="6C32823A" w14:textId="77777777" w:rsidR="002C6574" w:rsidRDefault="00000000">
            <w:pPr>
              <w:pStyle w:val="TableParagraph"/>
              <w:spacing w:before="45"/>
              <w:ind w:right="92"/>
              <w:rPr>
                <w:rFonts w:ascii="Arial MT"/>
                <w:sz w:val="12"/>
              </w:rPr>
            </w:pPr>
            <w:r>
              <w:rPr>
                <w:rFonts w:ascii="Arial MT"/>
                <w:spacing w:val="-2"/>
                <w:sz w:val="12"/>
              </w:rPr>
              <w:t>(6.775)</w:t>
            </w:r>
          </w:p>
        </w:tc>
        <w:tc>
          <w:tcPr>
            <w:tcW w:w="744" w:type="dxa"/>
          </w:tcPr>
          <w:p w14:paraId="68BACECC" w14:textId="77777777" w:rsidR="002C6574" w:rsidRDefault="00000000">
            <w:pPr>
              <w:pStyle w:val="TableParagraph"/>
              <w:spacing w:before="45"/>
              <w:ind w:right="101"/>
              <w:rPr>
                <w:rFonts w:ascii="Arial MT"/>
                <w:sz w:val="12"/>
              </w:rPr>
            </w:pPr>
            <w:r>
              <w:rPr>
                <w:rFonts w:ascii="Arial MT"/>
                <w:spacing w:val="-4"/>
                <w:sz w:val="12"/>
              </w:rPr>
              <w:t>3,0%</w:t>
            </w:r>
          </w:p>
        </w:tc>
        <w:tc>
          <w:tcPr>
            <w:tcW w:w="738" w:type="dxa"/>
          </w:tcPr>
          <w:p w14:paraId="619C5F52" w14:textId="77777777" w:rsidR="002C6574" w:rsidRDefault="00000000">
            <w:pPr>
              <w:pStyle w:val="TableParagraph"/>
              <w:spacing w:before="45"/>
              <w:ind w:right="73"/>
              <w:rPr>
                <w:rFonts w:ascii="Arial MT"/>
                <w:sz w:val="12"/>
              </w:rPr>
            </w:pPr>
            <w:r>
              <w:rPr>
                <w:rFonts w:ascii="Arial MT"/>
                <w:sz w:val="12"/>
              </w:rPr>
              <w:t>-</w:t>
            </w:r>
            <w:r>
              <w:rPr>
                <w:rFonts w:ascii="Arial MT"/>
                <w:spacing w:val="-4"/>
                <w:sz w:val="12"/>
              </w:rPr>
              <w:t>4,3%</w:t>
            </w:r>
          </w:p>
        </w:tc>
      </w:tr>
      <w:tr w:rsidR="002C6574" w14:paraId="51B026FF" w14:textId="77777777">
        <w:trPr>
          <w:trHeight w:val="231"/>
        </w:trPr>
        <w:tc>
          <w:tcPr>
            <w:tcW w:w="3467" w:type="dxa"/>
          </w:tcPr>
          <w:p w14:paraId="2553E0CF" w14:textId="77777777" w:rsidR="002C6574" w:rsidRDefault="00000000">
            <w:pPr>
              <w:pStyle w:val="TableParagraph"/>
              <w:spacing w:before="45"/>
              <w:ind w:left="83"/>
              <w:jc w:val="left"/>
              <w:rPr>
                <w:rFonts w:ascii="Arial MT" w:hAnsi="Arial MT"/>
                <w:sz w:val="12"/>
              </w:rPr>
            </w:pPr>
            <w:r>
              <w:rPr>
                <w:rFonts w:ascii="Arial MT" w:hAnsi="Arial MT"/>
                <w:sz w:val="12"/>
              </w:rPr>
              <w:t>Juros</w:t>
            </w:r>
            <w:r>
              <w:rPr>
                <w:rFonts w:ascii="Arial MT" w:hAnsi="Arial MT"/>
                <w:spacing w:val="-1"/>
                <w:sz w:val="12"/>
              </w:rPr>
              <w:t xml:space="preserve"> </w:t>
            </w:r>
            <w:r>
              <w:rPr>
                <w:rFonts w:ascii="Arial MT" w:hAnsi="Arial MT"/>
                <w:sz w:val="12"/>
              </w:rPr>
              <w:t>sobre Obrigações</w:t>
            </w:r>
            <w:r>
              <w:rPr>
                <w:rFonts w:ascii="Arial MT" w:hAnsi="Arial MT"/>
                <w:spacing w:val="-1"/>
                <w:sz w:val="12"/>
              </w:rPr>
              <w:t xml:space="preserve"> </w:t>
            </w:r>
            <w:r>
              <w:rPr>
                <w:rFonts w:ascii="Arial MT" w:hAnsi="Arial MT"/>
                <w:sz w:val="12"/>
              </w:rPr>
              <w:t>com</w:t>
            </w:r>
            <w:r>
              <w:rPr>
                <w:rFonts w:ascii="Arial MT" w:hAnsi="Arial MT"/>
                <w:spacing w:val="-1"/>
                <w:sz w:val="12"/>
              </w:rPr>
              <w:t xml:space="preserve"> </w:t>
            </w:r>
            <w:r>
              <w:rPr>
                <w:rFonts w:ascii="Arial MT" w:hAnsi="Arial MT"/>
                <w:spacing w:val="-2"/>
                <w:sz w:val="12"/>
              </w:rPr>
              <w:t>Fornecedores</w:t>
            </w:r>
          </w:p>
        </w:tc>
        <w:tc>
          <w:tcPr>
            <w:tcW w:w="2302" w:type="dxa"/>
          </w:tcPr>
          <w:p w14:paraId="1DE42CD5" w14:textId="77777777" w:rsidR="002C6574" w:rsidRDefault="00000000">
            <w:pPr>
              <w:pStyle w:val="TableParagraph"/>
              <w:spacing w:before="45"/>
              <w:ind w:right="255"/>
              <w:rPr>
                <w:rFonts w:ascii="Arial MT"/>
                <w:sz w:val="12"/>
              </w:rPr>
            </w:pPr>
            <w:r>
              <w:rPr>
                <w:rFonts w:ascii="Arial MT"/>
                <w:spacing w:val="-2"/>
                <w:sz w:val="12"/>
              </w:rPr>
              <w:t>(2.568)</w:t>
            </w:r>
          </w:p>
        </w:tc>
        <w:tc>
          <w:tcPr>
            <w:tcW w:w="963" w:type="dxa"/>
          </w:tcPr>
          <w:p w14:paraId="5598B3BB" w14:textId="77777777" w:rsidR="002C6574" w:rsidRDefault="00000000">
            <w:pPr>
              <w:pStyle w:val="TableParagraph"/>
              <w:spacing w:before="45"/>
              <w:ind w:right="219"/>
              <w:rPr>
                <w:rFonts w:ascii="Arial MT"/>
                <w:sz w:val="12"/>
              </w:rPr>
            </w:pPr>
            <w:r>
              <w:rPr>
                <w:rFonts w:ascii="Arial MT"/>
                <w:spacing w:val="-10"/>
                <w:sz w:val="12"/>
              </w:rPr>
              <w:t>-</w:t>
            </w:r>
          </w:p>
        </w:tc>
        <w:tc>
          <w:tcPr>
            <w:tcW w:w="876" w:type="dxa"/>
          </w:tcPr>
          <w:p w14:paraId="5E33EA4B" w14:textId="77777777" w:rsidR="002C6574" w:rsidRDefault="00000000">
            <w:pPr>
              <w:pStyle w:val="TableParagraph"/>
              <w:spacing w:before="45"/>
              <w:ind w:right="95"/>
              <w:rPr>
                <w:rFonts w:ascii="Arial MT"/>
                <w:sz w:val="12"/>
              </w:rPr>
            </w:pPr>
            <w:r>
              <w:rPr>
                <w:rFonts w:ascii="Arial MT"/>
                <w:spacing w:val="-10"/>
                <w:sz w:val="12"/>
              </w:rPr>
              <w:t>-</w:t>
            </w:r>
          </w:p>
        </w:tc>
        <w:tc>
          <w:tcPr>
            <w:tcW w:w="744" w:type="dxa"/>
          </w:tcPr>
          <w:p w14:paraId="08B02587" w14:textId="77777777" w:rsidR="002C6574" w:rsidRDefault="00000000">
            <w:pPr>
              <w:pStyle w:val="TableParagraph"/>
              <w:spacing w:before="45"/>
              <w:ind w:right="102"/>
              <w:rPr>
                <w:rFonts w:ascii="Arial MT"/>
                <w:sz w:val="12"/>
              </w:rPr>
            </w:pPr>
            <w:r>
              <w:rPr>
                <w:rFonts w:ascii="Arial MT"/>
                <w:spacing w:val="-2"/>
                <w:sz w:val="12"/>
              </w:rPr>
              <w:t>100,0%</w:t>
            </w:r>
          </w:p>
        </w:tc>
        <w:tc>
          <w:tcPr>
            <w:tcW w:w="738" w:type="dxa"/>
          </w:tcPr>
          <w:p w14:paraId="689C5D32" w14:textId="77777777" w:rsidR="002C6574" w:rsidRDefault="00000000">
            <w:pPr>
              <w:pStyle w:val="TableParagraph"/>
              <w:spacing w:before="45"/>
              <w:ind w:right="73"/>
              <w:rPr>
                <w:rFonts w:ascii="Arial MT"/>
                <w:sz w:val="12"/>
              </w:rPr>
            </w:pPr>
            <w:r>
              <w:rPr>
                <w:rFonts w:ascii="Arial MT"/>
                <w:spacing w:val="-2"/>
                <w:sz w:val="12"/>
              </w:rPr>
              <w:t>100,0%</w:t>
            </w:r>
          </w:p>
        </w:tc>
      </w:tr>
      <w:tr w:rsidR="002C6574" w14:paraId="0C9BF294" w14:textId="77777777">
        <w:trPr>
          <w:trHeight w:val="231"/>
        </w:trPr>
        <w:tc>
          <w:tcPr>
            <w:tcW w:w="3467" w:type="dxa"/>
          </w:tcPr>
          <w:p w14:paraId="6DD4EAB0" w14:textId="77777777" w:rsidR="002C6574" w:rsidRDefault="00000000">
            <w:pPr>
              <w:pStyle w:val="TableParagraph"/>
              <w:spacing w:before="44"/>
              <w:ind w:left="83"/>
              <w:jc w:val="left"/>
              <w:rPr>
                <w:rFonts w:ascii="Arial MT" w:hAnsi="Arial MT"/>
                <w:sz w:val="12"/>
              </w:rPr>
            </w:pPr>
            <w:r>
              <w:rPr>
                <w:rFonts w:ascii="Arial MT" w:hAnsi="Arial MT"/>
                <w:sz w:val="12"/>
              </w:rPr>
              <w:t>Variação</w:t>
            </w:r>
            <w:r>
              <w:rPr>
                <w:rFonts w:ascii="Arial MT" w:hAnsi="Arial MT"/>
                <w:spacing w:val="-1"/>
                <w:sz w:val="12"/>
              </w:rPr>
              <w:t xml:space="preserve"> </w:t>
            </w:r>
            <w:r>
              <w:rPr>
                <w:rFonts w:ascii="Arial MT" w:hAnsi="Arial MT"/>
                <w:sz w:val="12"/>
              </w:rPr>
              <w:t>Cambial sobre</w:t>
            </w:r>
            <w:r>
              <w:rPr>
                <w:rFonts w:ascii="Arial MT" w:hAnsi="Arial MT"/>
                <w:spacing w:val="-4"/>
                <w:sz w:val="12"/>
              </w:rPr>
              <w:t xml:space="preserve"> </w:t>
            </w:r>
            <w:r>
              <w:rPr>
                <w:rFonts w:ascii="Arial MT" w:hAnsi="Arial MT"/>
                <w:sz w:val="12"/>
              </w:rPr>
              <w:t>Obrigações com</w:t>
            </w:r>
            <w:r>
              <w:rPr>
                <w:rFonts w:ascii="Arial MT" w:hAnsi="Arial MT"/>
                <w:spacing w:val="-2"/>
                <w:sz w:val="12"/>
              </w:rPr>
              <w:t xml:space="preserve"> Fornecedores</w:t>
            </w:r>
          </w:p>
        </w:tc>
        <w:tc>
          <w:tcPr>
            <w:tcW w:w="2302" w:type="dxa"/>
          </w:tcPr>
          <w:p w14:paraId="1C3C4AEA" w14:textId="77777777" w:rsidR="002C6574" w:rsidRDefault="00000000">
            <w:pPr>
              <w:pStyle w:val="TableParagraph"/>
              <w:spacing w:before="44"/>
              <w:ind w:right="254"/>
              <w:rPr>
                <w:rFonts w:ascii="Arial MT"/>
                <w:sz w:val="12"/>
              </w:rPr>
            </w:pPr>
            <w:r>
              <w:rPr>
                <w:rFonts w:ascii="Arial MT"/>
                <w:spacing w:val="-2"/>
                <w:sz w:val="12"/>
              </w:rPr>
              <w:t>(2.511)</w:t>
            </w:r>
          </w:p>
        </w:tc>
        <w:tc>
          <w:tcPr>
            <w:tcW w:w="963" w:type="dxa"/>
          </w:tcPr>
          <w:p w14:paraId="5012B8EA" w14:textId="77777777" w:rsidR="002C6574" w:rsidRDefault="00000000">
            <w:pPr>
              <w:pStyle w:val="TableParagraph"/>
              <w:spacing w:before="44"/>
              <w:ind w:right="219"/>
              <w:rPr>
                <w:rFonts w:ascii="Arial MT"/>
                <w:sz w:val="12"/>
              </w:rPr>
            </w:pPr>
            <w:r>
              <w:rPr>
                <w:rFonts w:ascii="Arial MT"/>
                <w:spacing w:val="-10"/>
                <w:sz w:val="12"/>
              </w:rPr>
              <w:t>-</w:t>
            </w:r>
          </w:p>
        </w:tc>
        <w:tc>
          <w:tcPr>
            <w:tcW w:w="876" w:type="dxa"/>
          </w:tcPr>
          <w:p w14:paraId="794CD4E7" w14:textId="77777777" w:rsidR="002C6574" w:rsidRDefault="00000000">
            <w:pPr>
              <w:pStyle w:val="TableParagraph"/>
              <w:spacing w:before="44"/>
              <w:ind w:right="95"/>
              <w:rPr>
                <w:rFonts w:ascii="Arial MT"/>
                <w:sz w:val="12"/>
              </w:rPr>
            </w:pPr>
            <w:r>
              <w:rPr>
                <w:rFonts w:ascii="Arial MT"/>
                <w:spacing w:val="-10"/>
                <w:sz w:val="12"/>
              </w:rPr>
              <w:t>-</w:t>
            </w:r>
          </w:p>
        </w:tc>
        <w:tc>
          <w:tcPr>
            <w:tcW w:w="744" w:type="dxa"/>
          </w:tcPr>
          <w:p w14:paraId="13909157" w14:textId="77777777" w:rsidR="002C6574" w:rsidRDefault="00000000">
            <w:pPr>
              <w:pStyle w:val="TableParagraph"/>
              <w:spacing w:before="44"/>
              <w:ind w:right="102"/>
              <w:rPr>
                <w:rFonts w:ascii="Arial MT"/>
                <w:sz w:val="12"/>
              </w:rPr>
            </w:pPr>
            <w:r>
              <w:rPr>
                <w:rFonts w:ascii="Arial MT"/>
                <w:spacing w:val="-2"/>
                <w:sz w:val="12"/>
              </w:rPr>
              <w:t>100,0%</w:t>
            </w:r>
          </w:p>
        </w:tc>
        <w:tc>
          <w:tcPr>
            <w:tcW w:w="738" w:type="dxa"/>
          </w:tcPr>
          <w:p w14:paraId="2C246DFB" w14:textId="77777777" w:rsidR="002C6574" w:rsidRDefault="00000000">
            <w:pPr>
              <w:pStyle w:val="TableParagraph"/>
              <w:spacing w:before="44"/>
              <w:ind w:right="73"/>
              <w:rPr>
                <w:rFonts w:ascii="Arial MT"/>
                <w:sz w:val="12"/>
              </w:rPr>
            </w:pPr>
            <w:r>
              <w:rPr>
                <w:rFonts w:ascii="Arial MT"/>
                <w:spacing w:val="-2"/>
                <w:sz w:val="12"/>
              </w:rPr>
              <w:t>100,0%</w:t>
            </w:r>
          </w:p>
        </w:tc>
      </w:tr>
      <w:tr w:rsidR="002C6574" w14:paraId="262BB4E7" w14:textId="77777777">
        <w:trPr>
          <w:trHeight w:val="232"/>
        </w:trPr>
        <w:tc>
          <w:tcPr>
            <w:tcW w:w="3467" w:type="dxa"/>
          </w:tcPr>
          <w:p w14:paraId="55B5DAAD" w14:textId="77777777" w:rsidR="002C6574" w:rsidRDefault="00000000">
            <w:pPr>
              <w:pStyle w:val="TableParagraph"/>
              <w:spacing w:before="45"/>
              <w:ind w:left="83"/>
              <w:jc w:val="left"/>
              <w:rPr>
                <w:rFonts w:ascii="Arial MT" w:hAnsi="Arial MT"/>
                <w:sz w:val="12"/>
              </w:rPr>
            </w:pPr>
            <w:r>
              <w:rPr>
                <w:rFonts w:ascii="Arial MT" w:hAnsi="Arial MT"/>
                <w:sz w:val="12"/>
              </w:rPr>
              <w:t>Juros</w:t>
            </w:r>
            <w:r>
              <w:rPr>
                <w:rFonts w:ascii="Arial MT" w:hAnsi="Arial MT"/>
                <w:spacing w:val="-1"/>
                <w:sz w:val="12"/>
              </w:rPr>
              <w:t xml:space="preserve"> </w:t>
            </w:r>
            <w:r>
              <w:rPr>
                <w:rFonts w:ascii="Arial MT" w:hAnsi="Arial MT"/>
                <w:sz w:val="12"/>
              </w:rPr>
              <w:t>sobre Empréstimos</w:t>
            </w:r>
            <w:r>
              <w:rPr>
                <w:rFonts w:ascii="Arial MT" w:hAnsi="Arial MT"/>
                <w:spacing w:val="-1"/>
                <w:sz w:val="12"/>
              </w:rPr>
              <w:t xml:space="preserve"> </w:t>
            </w:r>
            <w:r>
              <w:rPr>
                <w:rFonts w:ascii="Arial MT" w:hAnsi="Arial MT"/>
                <w:sz w:val="12"/>
              </w:rPr>
              <w:t>e</w:t>
            </w:r>
            <w:r>
              <w:rPr>
                <w:rFonts w:ascii="Arial MT" w:hAnsi="Arial MT"/>
                <w:spacing w:val="-2"/>
                <w:sz w:val="12"/>
              </w:rPr>
              <w:t xml:space="preserve"> Financiamentos</w:t>
            </w:r>
          </w:p>
        </w:tc>
        <w:tc>
          <w:tcPr>
            <w:tcW w:w="2302" w:type="dxa"/>
          </w:tcPr>
          <w:p w14:paraId="3C93008E" w14:textId="77777777" w:rsidR="002C6574" w:rsidRDefault="00000000">
            <w:pPr>
              <w:pStyle w:val="TableParagraph"/>
              <w:spacing w:before="45"/>
              <w:ind w:right="257"/>
              <w:rPr>
                <w:rFonts w:ascii="Arial MT"/>
                <w:sz w:val="12"/>
              </w:rPr>
            </w:pPr>
            <w:r>
              <w:rPr>
                <w:rFonts w:ascii="Arial MT"/>
                <w:spacing w:val="-10"/>
                <w:sz w:val="12"/>
              </w:rPr>
              <w:t>-</w:t>
            </w:r>
          </w:p>
        </w:tc>
        <w:tc>
          <w:tcPr>
            <w:tcW w:w="963" w:type="dxa"/>
          </w:tcPr>
          <w:p w14:paraId="6E891C07" w14:textId="77777777" w:rsidR="002C6574" w:rsidRDefault="00000000">
            <w:pPr>
              <w:pStyle w:val="TableParagraph"/>
              <w:spacing w:before="45"/>
              <w:ind w:right="218"/>
              <w:rPr>
                <w:rFonts w:ascii="Arial MT"/>
                <w:sz w:val="12"/>
              </w:rPr>
            </w:pPr>
            <w:r>
              <w:rPr>
                <w:rFonts w:ascii="Arial MT"/>
                <w:spacing w:val="-2"/>
                <w:sz w:val="12"/>
              </w:rPr>
              <w:t>(2.878)</w:t>
            </w:r>
          </w:p>
        </w:tc>
        <w:tc>
          <w:tcPr>
            <w:tcW w:w="876" w:type="dxa"/>
          </w:tcPr>
          <w:p w14:paraId="1D052D95" w14:textId="77777777" w:rsidR="002C6574" w:rsidRDefault="00000000">
            <w:pPr>
              <w:pStyle w:val="TableParagraph"/>
              <w:spacing w:before="45"/>
              <w:ind w:right="92"/>
              <w:rPr>
                <w:rFonts w:ascii="Arial MT"/>
                <w:sz w:val="12"/>
              </w:rPr>
            </w:pPr>
            <w:r>
              <w:rPr>
                <w:rFonts w:ascii="Arial MT"/>
                <w:spacing w:val="-2"/>
                <w:sz w:val="12"/>
              </w:rPr>
              <w:t>(5.474)</w:t>
            </w:r>
          </w:p>
        </w:tc>
        <w:tc>
          <w:tcPr>
            <w:tcW w:w="744" w:type="dxa"/>
          </w:tcPr>
          <w:p w14:paraId="6AB27C7A" w14:textId="77777777" w:rsidR="002C6574" w:rsidRDefault="00000000">
            <w:pPr>
              <w:pStyle w:val="TableParagraph"/>
              <w:spacing w:before="45"/>
              <w:ind w:right="100"/>
              <w:rPr>
                <w:rFonts w:ascii="Arial MT"/>
                <w:sz w:val="12"/>
              </w:rPr>
            </w:pPr>
            <w:r>
              <w:rPr>
                <w:rFonts w:ascii="Arial MT"/>
                <w:sz w:val="12"/>
              </w:rPr>
              <w:t>-</w:t>
            </w:r>
            <w:r>
              <w:rPr>
                <w:rFonts w:ascii="Arial MT"/>
                <w:spacing w:val="-2"/>
                <w:sz w:val="12"/>
              </w:rPr>
              <w:t>100,0%</w:t>
            </w:r>
          </w:p>
        </w:tc>
        <w:tc>
          <w:tcPr>
            <w:tcW w:w="738" w:type="dxa"/>
          </w:tcPr>
          <w:p w14:paraId="5C5E3BDF" w14:textId="77777777" w:rsidR="002C6574" w:rsidRDefault="00000000">
            <w:pPr>
              <w:pStyle w:val="TableParagraph"/>
              <w:spacing w:before="45"/>
              <w:ind w:right="70"/>
              <w:rPr>
                <w:rFonts w:ascii="Arial MT"/>
                <w:sz w:val="12"/>
              </w:rPr>
            </w:pPr>
            <w:r>
              <w:rPr>
                <w:rFonts w:ascii="Arial MT"/>
                <w:sz w:val="12"/>
              </w:rPr>
              <w:t>-</w:t>
            </w:r>
            <w:r>
              <w:rPr>
                <w:rFonts w:ascii="Arial MT"/>
                <w:spacing w:val="-2"/>
                <w:sz w:val="12"/>
              </w:rPr>
              <w:t>100,0%</w:t>
            </w:r>
          </w:p>
        </w:tc>
      </w:tr>
      <w:tr w:rsidR="002C6574" w14:paraId="70828094" w14:textId="77777777">
        <w:trPr>
          <w:trHeight w:val="229"/>
        </w:trPr>
        <w:tc>
          <w:tcPr>
            <w:tcW w:w="3467" w:type="dxa"/>
            <w:tcBorders>
              <w:bottom w:val="single" w:sz="8" w:space="0" w:color="9AC1E6"/>
            </w:tcBorders>
          </w:tcPr>
          <w:p w14:paraId="75C7C20E" w14:textId="77777777" w:rsidR="002C6574" w:rsidRDefault="00000000">
            <w:pPr>
              <w:pStyle w:val="TableParagraph"/>
              <w:spacing w:before="45"/>
              <w:ind w:left="83"/>
              <w:jc w:val="left"/>
              <w:rPr>
                <w:rFonts w:ascii="Arial MT"/>
                <w:sz w:val="12"/>
              </w:rPr>
            </w:pPr>
            <w:r>
              <w:rPr>
                <w:rFonts w:ascii="Arial MT"/>
                <w:sz w:val="12"/>
              </w:rPr>
              <w:t>Outras</w:t>
            </w:r>
            <w:r>
              <w:rPr>
                <w:rFonts w:ascii="Arial MT"/>
                <w:spacing w:val="1"/>
                <w:sz w:val="12"/>
              </w:rPr>
              <w:t xml:space="preserve"> </w:t>
            </w:r>
            <w:r>
              <w:rPr>
                <w:rFonts w:ascii="Arial MT"/>
                <w:spacing w:val="-2"/>
                <w:sz w:val="12"/>
              </w:rPr>
              <w:t>Despesas</w:t>
            </w:r>
          </w:p>
        </w:tc>
        <w:tc>
          <w:tcPr>
            <w:tcW w:w="2302" w:type="dxa"/>
            <w:tcBorders>
              <w:bottom w:val="single" w:sz="8" w:space="0" w:color="9AC1E6"/>
            </w:tcBorders>
          </w:tcPr>
          <w:p w14:paraId="0B6C7F83" w14:textId="77777777" w:rsidR="002C6574" w:rsidRDefault="00000000">
            <w:pPr>
              <w:pStyle w:val="TableParagraph"/>
              <w:spacing w:before="45"/>
              <w:ind w:right="256"/>
              <w:rPr>
                <w:rFonts w:ascii="Arial MT"/>
                <w:sz w:val="12"/>
              </w:rPr>
            </w:pPr>
            <w:r>
              <w:rPr>
                <w:rFonts w:ascii="Arial MT"/>
                <w:spacing w:val="-2"/>
                <w:sz w:val="12"/>
              </w:rPr>
              <w:t>(1.354)</w:t>
            </w:r>
          </w:p>
        </w:tc>
        <w:tc>
          <w:tcPr>
            <w:tcW w:w="963" w:type="dxa"/>
            <w:tcBorders>
              <w:bottom w:val="single" w:sz="8" w:space="0" w:color="9AC1E6"/>
            </w:tcBorders>
          </w:tcPr>
          <w:p w14:paraId="5C6471C5" w14:textId="77777777" w:rsidR="002C6574" w:rsidRDefault="00000000">
            <w:pPr>
              <w:pStyle w:val="TableParagraph"/>
              <w:spacing w:before="45"/>
              <w:ind w:right="217"/>
              <w:rPr>
                <w:rFonts w:ascii="Arial MT"/>
                <w:sz w:val="12"/>
              </w:rPr>
            </w:pPr>
            <w:r>
              <w:rPr>
                <w:rFonts w:ascii="Arial MT"/>
                <w:spacing w:val="-2"/>
                <w:sz w:val="12"/>
              </w:rPr>
              <w:t>(1.869)</w:t>
            </w:r>
          </w:p>
        </w:tc>
        <w:tc>
          <w:tcPr>
            <w:tcW w:w="876" w:type="dxa"/>
            <w:tcBorders>
              <w:bottom w:val="single" w:sz="8" w:space="0" w:color="9AC1E6"/>
            </w:tcBorders>
          </w:tcPr>
          <w:p w14:paraId="146D80B7" w14:textId="77777777" w:rsidR="002C6574" w:rsidRDefault="00000000">
            <w:pPr>
              <w:pStyle w:val="TableParagraph"/>
              <w:spacing w:before="45"/>
              <w:ind w:right="93"/>
              <w:rPr>
                <w:rFonts w:ascii="Arial MT"/>
                <w:sz w:val="12"/>
              </w:rPr>
            </w:pPr>
            <w:r>
              <w:rPr>
                <w:rFonts w:ascii="Arial MT"/>
                <w:spacing w:val="-2"/>
                <w:sz w:val="12"/>
              </w:rPr>
              <w:t>(1.245)</w:t>
            </w:r>
          </w:p>
        </w:tc>
        <w:tc>
          <w:tcPr>
            <w:tcW w:w="744" w:type="dxa"/>
            <w:tcBorders>
              <w:bottom w:val="single" w:sz="8" w:space="0" w:color="9AC1E6"/>
            </w:tcBorders>
          </w:tcPr>
          <w:p w14:paraId="47EFA068" w14:textId="77777777" w:rsidR="002C6574" w:rsidRDefault="00000000">
            <w:pPr>
              <w:pStyle w:val="TableParagraph"/>
              <w:spacing w:before="45"/>
              <w:ind w:right="100"/>
              <w:rPr>
                <w:rFonts w:ascii="Arial MT"/>
                <w:sz w:val="12"/>
              </w:rPr>
            </w:pPr>
            <w:r>
              <w:rPr>
                <w:rFonts w:ascii="Arial MT"/>
                <w:sz w:val="12"/>
              </w:rPr>
              <w:t>-</w:t>
            </w:r>
            <w:r>
              <w:rPr>
                <w:rFonts w:ascii="Arial MT"/>
                <w:spacing w:val="-2"/>
                <w:sz w:val="12"/>
              </w:rPr>
              <w:t>27,6%</w:t>
            </w:r>
          </w:p>
        </w:tc>
        <w:tc>
          <w:tcPr>
            <w:tcW w:w="738" w:type="dxa"/>
            <w:tcBorders>
              <w:bottom w:val="single" w:sz="8" w:space="0" w:color="9AC1E6"/>
            </w:tcBorders>
          </w:tcPr>
          <w:p w14:paraId="4EE98AE6" w14:textId="77777777" w:rsidR="002C6574" w:rsidRDefault="00000000">
            <w:pPr>
              <w:pStyle w:val="TableParagraph"/>
              <w:spacing w:before="45"/>
              <w:ind w:right="72"/>
              <w:rPr>
                <w:rFonts w:ascii="Arial MT"/>
                <w:sz w:val="12"/>
              </w:rPr>
            </w:pPr>
            <w:r>
              <w:rPr>
                <w:rFonts w:ascii="Arial MT"/>
                <w:spacing w:val="-4"/>
                <w:sz w:val="12"/>
              </w:rPr>
              <w:t>8,8%</w:t>
            </w:r>
          </w:p>
        </w:tc>
      </w:tr>
      <w:tr w:rsidR="002C6574" w14:paraId="615337F8" w14:textId="77777777">
        <w:trPr>
          <w:trHeight w:val="231"/>
        </w:trPr>
        <w:tc>
          <w:tcPr>
            <w:tcW w:w="3467" w:type="dxa"/>
            <w:tcBorders>
              <w:top w:val="single" w:sz="8" w:space="0" w:color="9AC1E6"/>
              <w:bottom w:val="single" w:sz="8" w:space="0" w:color="9AC1E6"/>
            </w:tcBorders>
          </w:tcPr>
          <w:p w14:paraId="598BA49A" w14:textId="77777777" w:rsidR="002C6574" w:rsidRDefault="00000000">
            <w:pPr>
              <w:pStyle w:val="TableParagraph"/>
              <w:spacing w:before="48"/>
              <w:ind w:left="83"/>
              <w:jc w:val="left"/>
              <w:rPr>
                <w:rFonts w:ascii="Arial"/>
                <w:b/>
                <w:sz w:val="12"/>
              </w:rPr>
            </w:pPr>
            <w:r>
              <w:rPr>
                <w:rFonts w:ascii="Arial"/>
                <w:b/>
                <w:spacing w:val="-2"/>
                <w:sz w:val="12"/>
              </w:rPr>
              <w:t>Total</w:t>
            </w:r>
          </w:p>
        </w:tc>
        <w:tc>
          <w:tcPr>
            <w:tcW w:w="2302" w:type="dxa"/>
            <w:tcBorders>
              <w:top w:val="single" w:sz="8" w:space="0" w:color="9AC1E6"/>
              <w:bottom w:val="single" w:sz="8" w:space="0" w:color="9AC1E6"/>
            </w:tcBorders>
          </w:tcPr>
          <w:p w14:paraId="5D368514" w14:textId="77777777" w:rsidR="002C6574" w:rsidRDefault="00000000">
            <w:pPr>
              <w:pStyle w:val="TableParagraph"/>
              <w:spacing w:before="48"/>
              <w:ind w:right="254"/>
              <w:rPr>
                <w:rFonts w:ascii="Arial"/>
                <w:b/>
                <w:sz w:val="12"/>
              </w:rPr>
            </w:pPr>
            <w:r>
              <w:rPr>
                <w:rFonts w:ascii="Arial"/>
                <w:b/>
                <w:spacing w:val="-2"/>
                <w:sz w:val="12"/>
              </w:rPr>
              <w:t>(277.145)</w:t>
            </w:r>
          </w:p>
        </w:tc>
        <w:tc>
          <w:tcPr>
            <w:tcW w:w="963" w:type="dxa"/>
            <w:tcBorders>
              <w:top w:val="single" w:sz="8" w:space="0" w:color="9AC1E6"/>
              <w:bottom w:val="single" w:sz="8" w:space="0" w:color="9AC1E6"/>
            </w:tcBorders>
          </w:tcPr>
          <w:p w14:paraId="0F9C4801" w14:textId="77777777" w:rsidR="002C6574" w:rsidRDefault="00000000">
            <w:pPr>
              <w:pStyle w:val="TableParagraph"/>
              <w:spacing w:before="48"/>
              <w:ind w:right="217"/>
              <w:rPr>
                <w:rFonts w:ascii="Arial"/>
                <w:b/>
                <w:sz w:val="12"/>
              </w:rPr>
            </w:pPr>
            <w:r>
              <w:rPr>
                <w:rFonts w:ascii="Arial"/>
                <w:b/>
                <w:spacing w:val="-2"/>
                <w:sz w:val="12"/>
              </w:rPr>
              <w:t>(213.412)</w:t>
            </w:r>
          </w:p>
        </w:tc>
        <w:tc>
          <w:tcPr>
            <w:tcW w:w="876" w:type="dxa"/>
            <w:tcBorders>
              <w:top w:val="single" w:sz="8" w:space="0" w:color="9AC1E6"/>
              <w:bottom w:val="single" w:sz="8" w:space="0" w:color="9AC1E6"/>
            </w:tcBorders>
          </w:tcPr>
          <w:p w14:paraId="79830BE0" w14:textId="77777777" w:rsidR="002C6574" w:rsidRDefault="00000000">
            <w:pPr>
              <w:pStyle w:val="TableParagraph"/>
              <w:spacing w:before="48"/>
              <w:ind w:right="91"/>
              <w:rPr>
                <w:rFonts w:ascii="Arial"/>
                <w:b/>
                <w:sz w:val="12"/>
              </w:rPr>
            </w:pPr>
            <w:r>
              <w:rPr>
                <w:rFonts w:ascii="Arial"/>
                <w:b/>
                <w:spacing w:val="-2"/>
                <w:sz w:val="12"/>
              </w:rPr>
              <w:t>(225.588)</w:t>
            </w:r>
          </w:p>
        </w:tc>
        <w:tc>
          <w:tcPr>
            <w:tcW w:w="744" w:type="dxa"/>
            <w:tcBorders>
              <w:top w:val="single" w:sz="8" w:space="0" w:color="9AC1E6"/>
              <w:bottom w:val="single" w:sz="8" w:space="0" w:color="9AC1E6"/>
            </w:tcBorders>
          </w:tcPr>
          <w:p w14:paraId="336B9573" w14:textId="77777777" w:rsidR="002C6574" w:rsidRDefault="00000000">
            <w:pPr>
              <w:pStyle w:val="TableParagraph"/>
              <w:spacing w:before="48"/>
              <w:ind w:right="101"/>
              <w:rPr>
                <w:rFonts w:ascii="Arial"/>
                <w:b/>
                <w:sz w:val="12"/>
              </w:rPr>
            </w:pPr>
            <w:r>
              <w:rPr>
                <w:rFonts w:ascii="Arial"/>
                <w:b/>
                <w:spacing w:val="-2"/>
                <w:sz w:val="12"/>
              </w:rPr>
              <w:t>29,9%</w:t>
            </w:r>
          </w:p>
        </w:tc>
        <w:tc>
          <w:tcPr>
            <w:tcW w:w="738" w:type="dxa"/>
            <w:tcBorders>
              <w:top w:val="single" w:sz="8" w:space="0" w:color="9AC1E6"/>
              <w:bottom w:val="single" w:sz="8" w:space="0" w:color="9AC1E6"/>
            </w:tcBorders>
          </w:tcPr>
          <w:p w14:paraId="41512708" w14:textId="77777777" w:rsidR="002C6574" w:rsidRDefault="00000000">
            <w:pPr>
              <w:pStyle w:val="TableParagraph"/>
              <w:spacing w:before="48"/>
              <w:ind w:right="71"/>
              <w:rPr>
                <w:rFonts w:ascii="Arial"/>
                <w:b/>
                <w:sz w:val="12"/>
              </w:rPr>
            </w:pPr>
            <w:r>
              <w:rPr>
                <w:rFonts w:ascii="Arial"/>
                <w:b/>
                <w:spacing w:val="-2"/>
                <w:sz w:val="12"/>
              </w:rPr>
              <w:t>22,9%</w:t>
            </w:r>
          </w:p>
        </w:tc>
      </w:tr>
      <w:tr w:rsidR="002C6574" w14:paraId="5BA6B7D7" w14:textId="77777777">
        <w:trPr>
          <w:trHeight w:val="232"/>
        </w:trPr>
        <w:tc>
          <w:tcPr>
            <w:tcW w:w="3467" w:type="dxa"/>
            <w:tcBorders>
              <w:top w:val="single" w:sz="8" w:space="0" w:color="9AC1E6"/>
              <w:bottom w:val="single" w:sz="8" w:space="0" w:color="9AC1E6"/>
            </w:tcBorders>
          </w:tcPr>
          <w:p w14:paraId="50970BAB" w14:textId="77777777" w:rsidR="002C6574" w:rsidRDefault="00000000">
            <w:pPr>
              <w:pStyle w:val="TableParagraph"/>
              <w:spacing w:before="48"/>
              <w:ind w:left="83"/>
              <w:jc w:val="left"/>
              <w:rPr>
                <w:rFonts w:ascii="Arial"/>
                <w:b/>
                <w:sz w:val="12"/>
              </w:rPr>
            </w:pPr>
            <w:r>
              <w:rPr>
                <w:rFonts w:ascii="Arial"/>
                <w:b/>
                <w:sz w:val="12"/>
              </w:rPr>
              <w:t>Resultado</w:t>
            </w:r>
            <w:r>
              <w:rPr>
                <w:rFonts w:ascii="Arial"/>
                <w:b/>
                <w:spacing w:val="-1"/>
                <w:sz w:val="12"/>
              </w:rPr>
              <w:t xml:space="preserve"> </w:t>
            </w:r>
            <w:r>
              <w:rPr>
                <w:rFonts w:ascii="Arial"/>
                <w:b/>
                <w:spacing w:val="-2"/>
                <w:sz w:val="12"/>
              </w:rPr>
              <w:t>Financeiro</w:t>
            </w:r>
          </w:p>
        </w:tc>
        <w:tc>
          <w:tcPr>
            <w:tcW w:w="2302" w:type="dxa"/>
            <w:tcBorders>
              <w:top w:val="single" w:sz="8" w:space="0" w:color="9AC1E6"/>
              <w:bottom w:val="single" w:sz="8" w:space="0" w:color="9AC1E6"/>
            </w:tcBorders>
          </w:tcPr>
          <w:p w14:paraId="4DA79283" w14:textId="77777777" w:rsidR="002C6574" w:rsidRDefault="00000000">
            <w:pPr>
              <w:pStyle w:val="TableParagraph"/>
              <w:spacing w:before="48"/>
              <w:ind w:right="255"/>
              <w:rPr>
                <w:rFonts w:ascii="Arial"/>
                <w:b/>
                <w:sz w:val="12"/>
              </w:rPr>
            </w:pPr>
            <w:r>
              <w:rPr>
                <w:rFonts w:ascii="Arial"/>
                <w:b/>
                <w:spacing w:val="-2"/>
                <w:sz w:val="12"/>
              </w:rPr>
              <w:t>(54.264)</w:t>
            </w:r>
          </w:p>
        </w:tc>
        <w:tc>
          <w:tcPr>
            <w:tcW w:w="963" w:type="dxa"/>
            <w:tcBorders>
              <w:top w:val="single" w:sz="8" w:space="0" w:color="9AC1E6"/>
              <w:bottom w:val="single" w:sz="8" w:space="0" w:color="9AC1E6"/>
            </w:tcBorders>
          </w:tcPr>
          <w:p w14:paraId="30AC7AF1" w14:textId="77777777" w:rsidR="002C6574" w:rsidRDefault="00000000">
            <w:pPr>
              <w:pStyle w:val="TableParagraph"/>
              <w:spacing w:before="48"/>
              <w:ind w:right="216"/>
              <w:rPr>
                <w:rFonts w:ascii="Arial"/>
                <w:b/>
                <w:sz w:val="12"/>
              </w:rPr>
            </w:pPr>
            <w:r>
              <w:rPr>
                <w:rFonts w:ascii="Arial"/>
                <w:b/>
                <w:spacing w:val="-2"/>
                <w:sz w:val="12"/>
              </w:rPr>
              <w:t>(85.068)</w:t>
            </w:r>
          </w:p>
        </w:tc>
        <w:tc>
          <w:tcPr>
            <w:tcW w:w="876" w:type="dxa"/>
            <w:tcBorders>
              <w:top w:val="single" w:sz="8" w:space="0" w:color="9AC1E6"/>
              <w:bottom w:val="single" w:sz="8" w:space="0" w:color="9AC1E6"/>
            </w:tcBorders>
          </w:tcPr>
          <w:p w14:paraId="63F530BD" w14:textId="77777777" w:rsidR="002C6574" w:rsidRDefault="00000000">
            <w:pPr>
              <w:pStyle w:val="TableParagraph"/>
              <w:spacing w:before="48"/>
              <w:ind w:right="92"/>
              <w:rPr>
                <w:rFonts w:ascii="Arial"/>
                <w:b/>
                <w:sz w:val="12"/>
              </w:rPr>
            </w:pPr>
            <w:r>
              <w:rPr>
                <w:rFonts w:ascii="Arial"/>
                <w:b/>
                <w:spacing w:val="-2"/>
                <w:sz w:val="12"/>
              </w:rPr>
              <w:t>(59.950)</w:t>
            </w:r>
          </w:p>
        </w:tc>
        <w:tc>
          <w:tcPr>
            <w:tcW w:w="744" w:type="dxa"/>
            <w:tcBorders>
              <w:top w:val="single" w:sz="8" w:space="0" w:color="9AC1E6"/>
              <w:bottom w:val="single" w:sz="8" w:space="0" w:color="9AC1E6"/>
            </w:tcBorders>
          </w:tcPr>
          <w:p w14:paraId="505B9D8C" w14:textId="77777777" w:rsidR="002C6574" w:rsidRDefault="00000000">
            <w:pPr>
              <w:pStyle w:val="TableParagraph"/>
              <w:spacing w:before="48"/>
              <w:ind w:right="100"/>
              <w:rPr>
                <w:rFonts w:ascii="Arial"/>
                <w:b/>
                <w:sz w:val="12"/>
              </w:rPr>
            </w:pPr>
            <w:r>
              <w:rPr>
                <w:rFonts w:ascii="Arial"/>
                <w:b/>
                <w:sz w:val="12"/>
              </w:rPr>
              <w:t>-</w:t>
            </w:r>
            <w:r>
              <w:rPr>
                <w:rFonts w:ascii="Arial"/>
                <w:b/>
                <w:spacing w:val="-2"/>
                <w:sz w:val="12"/>
              </w:rPr>
              <w:t>36,2%</w:t>
            </w:r>
          </w:p>
        </w:tc>
        <w:tc>
          <w:tcPr>
            <w:tcW w:w="738" w:type="dxa"/>
            <w:tcBorders>
              <w:top w:val="single" w:sz="8" w:space="0" w:color="9AC1E6"/>
              <w:bottom w:val="single" w:sz="8" w:space="0" w:color="9AC1E6"/>
            </w:tcBorders>
          </w:tcPr>
          <w:p w14:paraId="65B7EA5C" w14:textId="77777777" w:rsidR="002C6574" w:rsidRDefault="00000000">
            <w:pPr>
              <w:pStyle w:val="TableParagraph"/>
              <w:spacing w:before="48"/>
              <w:ind w:right="72"/>
              <w:rPr>
                <w:rFonts w:ascii="Arial"/>
                <w:b/>
                <w:sz w:val="12"/>
              </w:rPr>
            </w:pPr>
            <w:r>
              <w:rPr>
                <w:rFonts w:ascii="Arial"/>
                <w:b/>
                <w:sz w:val="12"/>
              </w:rPr>
              <w:t>-</w:t>
            </w:r>
            <w:r>
              <w:rPr>
                <w:rFonts w:ascii="Arial"/>
                <w:b/>
                <w:spacing w:val="-4"/>
                <w:sz w:val="12"/>
              </w:rPr>
              <w:t>9,5%</w:t>
            </w:r>
          </w:p>
        </w:tc>
      </w:tr>
      <w:tr w:rsidR="002C6574" w14:paraId="5F50AD92" w14:textId="77777777">
        <w:trPr>
          <w:trHeight w:val="311"/>
        </w:trPr>
        <w:tc>
          <w:tcPr>
            <w:tcW w:w="3467" w:type="dxa"/>
            <w:tcBorders>
              <w:top w:val="single" w:sz="8" w:space="0" w:color="9AC1E6"/>
            </w:tcBorders>
          </w:tcPr>
          <w:p w14:paraId="25E7ACF1" w14:textId="77777777" w:rsidR="002C6574" w:rsidRDefault="002C6574">
            <w:pPr>
              <w:pStyle w:val="TableParagraph"/>
              <w:jc w:val="left"/>
              <w:rPr>
                <w:rFonts w:ascii="Times New Roman"/>
                <w:sz w:val="18"/>
              </w:rPr>
            </w:pPr>
          </w:p>
        </w:tc>
        <w:tc>
          <w:tcPr>
            <w:tcW w:w="2302" w:type="dxa"/>
            <w:tcBorders>
              <w:top w:val="single" w:sz="8" w:space="0" w:color="9AC1E6"/>
            </w:tcBorders>
          </w:tcPr>
          <w:p w14:paraId="43E25A5D" w14:textId="77777777" w:rsidR="002C6574" w:rsidRDefault="00000000">
            <w:pPr>
              <w:pStyle w:val="TableParagraph"/>
              <w:spacing w:before="118" w:line="173" w:lineRule="exact"/>
              <w:ind w:right="178"/>
              <w:rPr>
                <w:rFonts w:ascii="Calibri"/>
                <w:sz w:val="16"/>
              </w:rPr>
            </w:pPr>
            <w:r>
              <w:rPr>
                <w:rFonts w:ascii="Calibri"/>
                <w:color w:val="001F60"/>
                <w:sz w:val="16"/>
              </w:rPr>
              <w:t>Tabela</w:t>
            </w:r>
            <w:r>
              <w:rPr>
                <w:rFonts w:ascii="Calibri"/>
                <w:color w:val="001F60"/>
                <w:spacing w:val="-4"/>
                <w:sz w:val="16"/>
              </w:rPr>
              <w:t xml:space="preserve"> </w:t>
            </w:r>
            <w:r>
              <w:rPr>
                <w:rFonts w:ascii="Calibri"/>
                <w:color w:val="001F60"/>
                <w:sz w:val="16"/>
              </w:rPr>
              <w:t>3-9</w:t>
            </w:r>
            <w:r>
              <w:rPr>
                <w:rFonts w:ascii="Calibri"/>
                <w:color w:val="001F60"/>
                <w:spacing w:val="-3"/>
                <w:sz w:val="16"/>
              </w:rPr>
              <w:t xml:space="preserve"> </w:t>
            </w:r>
            <w:r>
              <w:rPr>
                <w:rFonts w:ascii="Calibri"/>
                <w:color w:val="001F60"/>
                <w:sz w:val="16"/>
              </w:rPr>
              <w:t>Resultado</w:t>
            </w:r>
            <w:r>
              <w:rPr>
                <w:rFonts w:ascii="Calibri"/>
                <w:color w:val="001F60"/>
                <w:spacing w:val="-3"/>
                <w:sz w:val="16"/>
              </w:rPr>
              <w:t xml:space="preserve"> </w:t>
            </w:r>
            <w:r>
              <w:rPr>
                <w:rFonts w:ascii="Calibri"/>
                <w:color w:val="001F60"/>
                <w:spacing w:val="-2"/>
                <w:sz w:val="16"/>
              </w:rPr>
              <w:t>Financeiro</w:t>
            </w:r>
          </w:p>
        </w:tc>
        <w:tc>
          <w:tcPr>
            <w:tcW w:w="963" w:type="dxa"/>
            <w:tcBorders>
              <w:top w:val="single" w:sz="8" w:space="0" w:color="9AC1E6"/>
            </w:tcBorders>
          </w:tcPr>
          <w:p w14:paraId="5DB18031" w14:textId="77777777" w:rsidR="002C6574" w:rsidRDefault="002C6574">
            <w:pPr>
              <w:pStyle w:val="TableParagraph"/>
              <w:jc w:val="left"/>
              <w:rPr>
                <w:rFonts w:ascii="Times New Roman"/>
                <w:sz w:val="18"/>
              </w:rPr>
            </w:pPr>
          </w:p>
        </w:tc>
        <w:tc>
          <w:tcPr>
            <w:tcW w:w="876" w:type="dxa"/>
            <w:tcBorders>
              <w:top w:val="single" w:sz="8" w:space="0" w:color="9AC1E6"/>
            </w:tcBorders>
          </w:tcPr>
          <w:p w14:paraId="7D8FD2E8" w14:textId="77777777" w:rsidR="002C6574" w:rsidRDefault="002C6574">
            <w:pPr>
              <w:pStyle w:val="TableParagraph"/>
              <w:jc w:val="left"/>
              <w:rPr>
                <w:rFonts w:ascii="Times New Roman"/>
                <w:sz w:val="18"/>
              </w:rPr>
            </w:pPr>
          </w:p>
        </w:tc>
        <w:tc>
          <w:tcPr>
            <w:tcW w:w="744" w:type="dxa"/>
            <w:tcBorders>
              <w:top w:val="single" w:sz="8" w:space="0" w:color="9AC1E6"/>
            </w:tcBorders>
          </w:tcPr>
          <w:p w14:paraId="119AF8D5" w14:textId="77777777" w:rsidR="002C6574" w:rsidRDefault="002C6574">
            <w:pPr>
              <w:pStyle w:val="TableParagraph"/>
              <w:jc w:val="left"/>
              <w:rPr>
                <w:rFonts w:ascii="Times New Roman"/>
                <w:sz w:val="18"/>
              </w:rPr>
            </w:pPr>
          </w:p>
        </w:tc>
        <w:tc>
          <w:tcPr>
            <w:tcW w:w="738" w:type="dxa"/>
            <w:tcBorders>
              <w:top w:val="single" w:sz="8" w:space="0" w:color="9AC1E6"/>
            </w:tcBorders>
          </w:tcPr>
          <w:p w14:paraId="0148C23F" w14:textId="77777777" w:rsidR="002C6574" w:rsidRDefault="002C6574">
            <w:pPr>
              <w:pStyle w:val="TableParagraph"/>
              <w:jc w:val="left"/>
              <w:rPr>
                <w:rFonts w:ascii="Times New Roman"/>
                <w:sz w:val="18"/>
              </w:rPr>
            </w:pPr>
          </w:p>
        </w:tc>
      </w:tr>
    </w:tbl>
    <w:p w14:paraId="351FAD35" w14:textId="77777777" w:rsidR="002C6574" w:rsidRDefault="00000000">
      <w:pPr>
        <w:pStyle w:val="Corpodetexto"/>
        <w:spacing w:before="124"/>
        <w:ind w:left="709" w:right="279"/>
        <w:jc w:val="both"/>
        <w:rPr>
          <w:rFonts w:ascii="Calibri" w:hAnsi="Calibri"/>
        </w:rPr>
      </w:pPr>
      <w:r>
        <w:rPr>
          <w:rFonts w:ascii="Calibri" w:hAnsi="Calibri"/>
          <w:color w:val="001F60"/>
        </w:rPr>
        <w:t>No</w:t>
      </w:r>
      <w:r>
        <w:rPr>
          <w:rFonts w:ascii="Calibri" w:hAnsi="Calibri"/>
          <w:color w:val="001F60"/>
          <w:spacing w:val="-12"/>
        </w:rPr>
        <w:t xml:space="preserve"> </w:t>
      </w:r>
      <w:r>
        <w:rPr>
          <w:rFonts w:ascii="Calibri" w:hAnsi="Calibri"/>
          <w:color w:val="001F60"/>
        </w:rPr>
        <w:t>exercício</w:t>
      </w:r>
      <w:r>
        <w:rPr>
          <w:rFonts w:ascii="Calibri" w:hAnsi="Calibri"/>
          <w:color w:val="001F60"/>
          <w:spacing w:val="-10"/>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2025,</w:t>
      </w:r>
      <w:r>
        <w:rPr>
          <w:rFonts w:ascii="Calibri" w:hAnsi="Calibri"/>
          <w:color w:val="001F60"/>
          <w:spacing w:val="-13"/>
        </w:rPr>
        <w:t xml:space="preserve"> </w:t>
      </w:r>
      <w:r>
        <w:rPr>
          <w:rFonts w:ascii="Calibri" w:hAnsi="Calibri"/>
          <w:color w:val="001F60"/>
        </w:rPr>
        <w:t>o</w:t>
      </w:r>
      <w:r>
        <w:rPr>
          <w:rFonts w:ascii="Calibri" w:hAnsi="Calibri"/>
          <w:color w:val="001F60"/>
          <w:spacing w:val="-10"/>
        </w:rPr>
        <w:t xml:space="preserve"> </w:t>
      </w:r>
      <w:r>
        <w:rPr>
          <w:rFonts w:ascii="Calibri" w:hAnsi="Calibri"/>
          <w:color w:val="001F60"/>
        </w:rPr>
        <w:t>resultado</w:t>
      </w:r>
      <w:r>
        <w:rPr>
          <w:rFonts w:ascii="Calibri" w:hAnsi="Calibri"/>
          <w:color w:val="001F60"/>
          <w:spacing w:val="-10"/>
        </w:rPr>
        <w:t xml:space="preserve"> </w:t>
      </w:r>
      <w:r>
        <w:rPr>
          <w:rFonts w:ascii="Calibri" w:hAnsi="Calibri"/>
          <w:color w:val="001F60"/>
        </w:rPr>
        <w:t>financeiro</w:t>
      </w:r>
      <w:r>
        <w:rPr>
          <w:rFonts w:ascii="Calibri" w:hAnsi="Calibri"/>
          <w:color w:val="001F60"/>
          <w:spacing w:val="-10"/>
        </w:rPr>
        <w:t xml:space="preserve"> </w:t>
      </w:r>
      <w:r>
        <w:rPr>
          <w:rFonts w:ascii="Calibri" w:hAnsi="Calibri"/>
          <w:color w:val="001F60"/>
        </w:rPr>
        <w:t>foi</w:t>
      </w:r>
      <w:r>
        <w:rPr>
          <w:rFonts w:ascii="Calibri" w:hAnsi="Calibri"/>
          <w:color w:val="001F60"/>
          <w:spacing w:val="-10"/>
        </w:rPr>
        <w:t xml:space="preserve"> </w:t>
      </w:r>
      <w:r>
        <w:rPr>
          <w:rFonts w:ascii="Calibri" w:hAnsi="Calibri"/>
          <w:color w:val="001F60"/>
        </w:rPr>
        <w:t>negativo</w:t>
      </w:r>
      <w:r>
        <w:rPr>
          <w:rFonts w:ascii="Calibri" w:hAnsi="Calibri"/>
          <w:color w:val="001F60"/>
          <w:spacing w:val="-12"/>
        </w:rPr>
        <w:t xml:space="preserve"> </w:t>
      </w:r>
      <w:r>
        <w:rPr>
          <w:rFonts w:ascii="Calibri" w:hAnsi="Calibri"/>
          <w:color w:val="001F60"/>
        </w:rPr>
        <w:t>em</w:t>
      </w:r>
      <w:r>
        <w:rPr>
          <w:rFonts w:ascii="Calibri" w:hAnsi="Calibri"/>
          <w:color w:val="001F60"/>
          <w:spacing w:val="-12"/>
        </w:rPr>
        <w:t xml:space="preserve"> </w:t>
      </w:r>
      <w:r>
        <w:rPr>
          <w:rFonts w:ascii="Calibri" w:hAnsi="Calibri"/>
          <w:color w:val="001F60"/>
        </w:rPr>
        <w:t>R$</w:t>
      </w:r>
      <w:r>
        <w:rPr>
          <w:rFonts w:ascii="Calibri" w:hAnsi="Calibri"/>
          <w:color w:val="001F60"/>
          <w:spacing w:val="-12"/>
        </w:rPr>
        <w:t xml:space="preserve"> </w:t>
      </w:r>
      <w:r>
        <w:rPr>
          <w:rFonts w:ascii="Calibri" w:hAnsi="Calibri"/>
          <w:color w:val="001F60"/>
        </w:rPr>
        <w:t>54,3</w:t>
      </w:r>
      <w:r>
        <w:rPr>
          <w:rFonts w:ascii="Calibri" w:hAnsi="Calibri"/>
          <w:color w:val="001F60"/>
          <w:spacing w:val="-12"/>
        </w:rPr>
        <w:t xml:space="preserve"> </w:t>
      </w:r>
      <w:r>
        <w:rPr>
          <w:rFonts w:ascii="Calibri" w:hAnsi="Calibri"/>
          <w:color w:val="001F60"/>
        </w:rPr>
        <w:t>milhões</w:t>
      </w:r>
      <w:r>
        <w:rPr>
          <w:rFonts w:ascii="Calibri" w:hAnsi="Calibri"/>
          <w:color w:val="001F60"/>
          <w:spacing w:val="-10"/>
        </w:rPr>
        <w:t xml:space="preserve"> </w:t>
      </w:r>
      <w:r>
        <w:rPr>
          <w:rFonts w:ascii="Calibri" w:hAnsi="Calibri"/>
          <w:color w:val="001F60"/>
        </w:rPr>
        <w:t>(R$</w:t>
      </w:r>
      <w:r>
        <w:rPr>
          <w:rFonts w:ascii="Calibri" w:hAnsi="Calibri"/>
          <w:color w:val="001F60"/>
          <w:spacing w:val="-12"/>
        </w:rPr>
        <w:t xml:space="preserve"> </w:t>
      </w:r>
      <w:r>
        <w:rPr>
          <w:rFonts w:ascii="Calibri" w:hAnsi="Calibri"/>
          <w:color w:val="001F60"/>
        </w:rPr>
        <w:t>85,1</w:t>
      </w:r>
      <w:r>
        <w:rPr>
          <w:rFonts w:ascii="Calibri" w:hAnsi="Calibri"/>
          <w:color w:val="001F60"/>
          <w:spacing w:val="-12"/>
        </w:rPr>
        <w:t xml:space="preserve"> </w:t>
      </w:r>
      <w:r>
        <w:rPr>
          <w:rFonts w:ascii="Calibri" w:hAnsi="Calibri"/>
          <w:color w:val="001F60"/>
        </w:rPr>
        <w:t>milhões</w:t>
      </w:r>
      <w:r>
        <w:rPr>
          <w:rFonts w:ascii="Calibri" w:hAnsi="Calibri"/>
          <w:color w:val="001F60"/>
          <w:spacing w:val="-12"/>
        </w:rPr>
        <w:t xml:space="preserve"> </w:t>
      </w:r>
      <w:r>
        <w:rPr>
          <w:rFonts w:ascii="Calibri" w:hAnsi="Calibri"/>
          <w:color w:val="001F60"/>
        </w:rPr>
        <w:t>em</w:t>
      </w:r>
      <w:r>
        <w:rPr>
          <w:rFonts w:ascii="Calibri" w:hAnsi="Calibri"/>
          <w:color w:val="001F60"/>
          <w:spacing w:val="-10"/>
        </w:rPr>
        <w:t xml:space="preserve"> </w:t>
      </w:r>
      <w:r>
        <w:rPr>
          <w:rFonts w:ascii="Calibri" w:hAnsi="Calibri"/>
          <w:color w:val="001F60"/>
        </w:rPr>
        <w:t>2024 e</w:t>
      </w:r>
      <w:r>
        <w:rPr>
          <w:rFonts w:ascii="Calibri" w:hAnsi="Calibri"/>
          <w:color w:val="001F60"/>
          <w:spacing w:val="-12"/>
        </w:rPr>
        <w:t xml:space="preserve"> </w:t>
      </w:r>
      <w:r>
        <w:rPr>
          <w:rFonts w:ascii="Calibri" w:hAnsi="Calibri"/>
          <w:color w:val="001F60"/>
        </w:rPr>
        <w:t>R$</w:t>
      </w:r>
      <w:r>
        <w:rPr>
          <w:rFonts w:ascii="Calibri" w:hAnsi="Calibri"/>
          <w:color w:val="001F60"/>
          <w:spacing w:val="-11"/>
        </w:rPr>
        <w:t xml:space="preserve"> </w:t>
      </w:r>
      <w:r>
        <w:rPr>
          <w:rFonts w:ascii="Calibri" w:hAnsi="Calibri"/>
          <w:color w:val="001F60"/>
        </w:rPr>
        <w:t>60,0</w:t>
      </w:r>
      <w:r>
        <w:rPr>
          <w:rFonts w:ascii="Calibri" w:hAnsi="Calibri"/>
          <w:color w:val="001F60"/>
          <w:spacing w:val="-12"/>
        </w:rPr>
        <w:t xml:space="preserve"> </w:t>
      </w:r>
      <w:r>
        <w:rPr>
          <w:rFonts w:ascii="Calibri" w:hAnsi="Calibri"/>
          <w:color w:val="001F60"/>
        </w:rPr>
        <w:t>milhões</w:t>
      </w:r>
      <w:r>
        <w:rPr>
          <w:rFonts w:ascii="Calibri" w:hAnsi="Calibri"/>
          <w:color w:val="001F60"/>
          <w:spacing w:val="-12"/>
        </w:rPr>
        <w:t xml:space="preserve"> </w:t>
      </w:r>
      <w:r>
        <w:rPr>
          <w:rFonts w:ascii="Calibri" w:hAnsi="Calibri"/>
          <w:color w:val="001F60"/>
        </w:rPr>
        <w:t>em</w:t>
      </w:r>
      <w:r>
        <w:rPr>
          <w:rFonts w:ascii="Calibri" w:hAnsi="Calibri"/>
          <w:color w:val="001F60"/>
          <w:spacing w:val="-10"/>
        </w:rPr>
        <w:t xml:space="preserve"> </w:t>
      </w:r>
      <w:r>
        <w:rPr>
          <w:rFonts w:ascii="Calibri" w:hAnsi="Calibri"/>
          <w:color w:val="001F60"/>
        </w:rPr>
        <w:t>2023),</w:t>
      </w:r>
      <w:r>
        <w:rPr>
          <w:rFonts w:ascii="Calibri" w:hAnsi="Calibri"/>
          <w:color w:val="001F60"/>
          <w:spacing w:val="-12"/>
        </w:rPr>
        <w:t xml:space="preserve"> </w:t>
      </w:r>
      <w:r>
        <w:rPr>
          <w:rFonts w:ascii="Calibri" w:hAnsi="Calibri"/>
          <w:color w:val="001F60"/>
        </w:rPr>
        <w:t>representando</w:t>
      </w:r>
      <w:r>
        <w:rPr>
          <w:rFonts w:ascii="Calibri" w:hAnsi="Calibri"/>
          <w:color w:val="001F60"/>
          <w:spacing w:val="-12"/>
        </w:rPr>
        <w:t xml:space="preserve"> </w:t>
      </w:r>
      <w:r>
        <w:rPr>
          <w:rFonts w:ascii="Calibri" w:hAnsi="Calibri"/>
          <w:color w:val="001F60"/>
        </w:rPr>
        <w:t>melhora</w:t>
      </w:r>
      <w:r>
        <w:rPr>
          <w:rFonts w:ascii="Calibri" w:hAnsi="Calibri"/>
          <w:color w:val="001F60"/>
          <w:spacing w:val="-12"/>
        </w:rPr>
        <w:t xml:space="preserve"> </w:t>
      </w:r>
      <w:r>
        <w:rPr>
          <w:rFonts w:ascii="Calibri" w:hAnsi="Calibri"/>
          <w:color w:val="001F60"/>
        </w:rPr>
        <w:t>de</w:t>
      </w:r>
      <w:r>
        <w:rPr>
          <w:rFonts w:ascii="Calibri" w:hAnsi="Calibri"/>
          <w:color w:val="001F60"/>
          <w:spacing w:val="-10"/>
        </w:rPr>
        <w:t xml:space="preserve"> </w:t>
      </w:r>
      <w:r>
        <w:rPr>
          <w:rFonts w:ascii="Calibri" w:hAnsi="Calibri"/>
          <w:color w:val="001F60"/>
        </w:rPr>
        <w:t>36,2%</w:t>
      </w:r>
      <w:r>
        <w:rPr>
          <w:rFonts w:ascii="Calibri" w:hAnsi="Calibri"/>
          <w:color w:val="001F60"/>
          <w:spacing w:val="-11"/>
        </w:rPr>
        <w:t xml:space="preserve"> </w:t>
      </w:r>
      <w:r>
        <w:rPr>
          <w:rFonts w:ascii="Calibri" w:hAnsi="Calibri"/>
          <w:color w:val="001F60"/>
        </w:rPr>
        <w:t>em</w:t>
      </w:r>
      <w:r>
        <w:rPr>
          <w:rFonts w:ascii="Calibri" w:hAnsi="Calibri"/>
          <w:color w:val="001F60"/>
          <w:spacing w:val="-10"/>
        </w:rPr>
        <w:t xml:space="preserve"> </w:t>
      </w:r>
      <w:r>
        <w:rPr>
          <w:rFonts w:ascii="Calibri" w:hAnsi="Calibri"/>
          <w:color w:val="001F60"/>
        </w:rPr>
        <w:t>relação</w:t>
      </w:r>
      <w:r>
        <w:rPr>
          <w:rFonts w:ascii="Calibri" w:hAnsi="Calibri"/>
          <w:color w:val="001F60"/>
          <w:spacing w:val="-10"/>
        </w:rPr>
        <w:t xml:space="preserve"> </w:t>
      </w:r>
      <w:r>
        <w:rPr>
          <w:rFonts w:ascii="Calibri" w:hAnsi="Calibri"/>
          <w:color w:val="001F60"/>
        </w:rPr>
        <w:t>a</w:t>
      </w:r>
      <w:r>
        <w:rPr>
          <w:rFonts w:ascii="Calibri" w:hAnsi="Calibri"/>
          <w:color w:val="001F60"/>
          <w:spacing w:val="-13"/>
        </w:rPr>
        <w:t xml:space="preserve"> </w:t>
      </w:r>
      <w:r>
        <w:rPr>
          <w:rFonts w:ascii="Calibri" w:hAnsi="Calibri"/>
          <w:color w:val="001F60"/>
        </w:rPr>
        <w:t>2024</w:t>
      </w:r>
      <w:r>
        <w:rPr>
          <w:rFonts w:ascii="Calibri" w:hAnsi="Calibri"/>
          <w:color w:val="001F60"/>
          <w:spacing w:val="-11"/>
        </w:rPr>
        <w:t xml:space="preserve"> </w:t>
      </w:r>
      <w:r>
        <w:rPr>
          <w:rFonts w:ascii="Calibri" w:hAnsi="Calibri"/>
          <w:color w:val="001F60"/>
        </w:rPr>
        <w:t>e</w:t>
      </w:r>
      <w:r>
        <w:rPr>
          <w:rFonts w:ascii="Calibri" w:hAnsi="Calibri"/>
          <w:color w:val="001F60"/>
          <w:spacing w:val="-12"/>
        </w:rPr>
        <w:t xml:space="preserve"> </w:t>
      </w:r>
      <w:r>
        <w:rPr>
          <w:rFonts w:ascii="Calibri" w:hAnsi="Calibri"/>
          <w:color w:val="001F60"/>
        </w:rPr>
        <w:t>de</w:t>
      </w:r>
      <w:r>
        <w:rPr>
          <w:rFonts w:ascii="Calibri" w:hAnsi="Calibri"/>
          <w:color w:val="001F60"/>
          <w:spacing w:val="-10"/>
        </w:rPr>
        <w:t xml:space="preserve"> </w:t>
      </w:r>
      <w:r>
        <w:rPr>
          <w:rFonts w:ascii="Calibri" w:hAnsi="Calibri"/>
          <w:color w:val="001F60"/>
        </w:rPr>
        <w:t>9,5%</w:t>
      </w:r>
      <w:r>
        <w:rPr>
          <w:rFonts w:ascii="Calibri" w:hAnsi="Calibri"/>
          <w:color w:val="001F60"/>
          <w:spacing w:val="-11"/>
        </w:rPr>
        <w:t xml:space="preserve"> </w:t>
      </w:r>
      <w:r>
        <w:rPr>
          <w:rFonts w:ascii="Calibri" w:hAnsi="Calibri"/>
          <w:color w:val="001F60"/>
        </w:rPr>
        <w:t>em</w:t>
      </w:r>
      <w:r>
        <w:rPr>
          <w:rFonts w:ascii="Calibri" w:hAnsi="Calibri"/>
          <w:color w:val="001F60"/>
          <w:spacing w:val="-10"/>
        </w:rPr>
        <w:t xml:space="preserve"> </w:t>
      </w:r>
      <w:r>
        <w:rPr>
          <w:rFonts w:ascii="Calibri" w:hAnsi="Calibri"/>
          <w:color w:val="001F60"/>
        </w:rPr>
        <w:t>relação a 2023. As principais rubricas do resultado financeiro apresentaram os seguintes comportamentos:</w:t>
      </w:r>
    </w:p>
    <w:p w14:paraId="1B44902A" w14:textId="77777777" w:rsidR="002C6574" w:rsidRDefault="00000000">
      <w:pPr>
        <w:pStyle w:val="PargrafodaLista"/>
        <w:numPr>
          <w:ilvl w:val="0"/>
          <w:numId w:val="69"/>
        </w:numPr>
        <w:tabs>
          <w:tab w:val="left" w:pos="926"/>
        </w:tabs>
        <w:spacing w:before="121"/>
        <w:ind w:right="277" w:firstLine="0"/>
        <w:jc w:val="both"/>
      </w:pPr>
      <w:r>
        <w:rPr>
          <w:b/>
          <w:color w:val="001F60"/>
        </w:rPr>
        <w:t>Juros sobre Aplicações Financeiras</w:t>
      </w:r>
      <w:r>
        <w:rPr>
          <w:color w:val="001F60"/>
        </w:rPr>
        <w:t>: No exercício de 2025, a receita de juros sobre aplicações financeiras</w:t>
      </w:r>
      <w:r>
        <w:rPr>
          <w:color w:val="001F60"/>
          <w:spacing w:val="-4"/>
        </w:rPr>
        <w:t xml:space="preserve"> </w:t>
      </w:r>
      <w:r>
        <w:rPr>
          <w:color w:val="001F60"/>
        </w:rPr>
        <w:t>apresentou</w:t>
      </w:r>
      <w:r>
        <w:rPr>
          <w:color w:val="001F60"/>
          <w:spacing w:val="-4"/>
        </w:rPr>
        <w:t xml:space="preserve"> </w:t>
      </w:r>
      <w:r>
        <w:rPr>
          <w:color w:val="001F60"/>
        </w:rPr>
        <w:t>aumento</w:t>
      </w:r>
      <w:r>
        <w:rPr>
          <w:color w:val="001F60"/>
          <w:spacing w:val="-5"/>
        </w:rPr>
        <w:t xml:space="preserve"> </w:t>
      </w:r>
      <w:r>
        <w:rPr>
          <w:color w:val="001F60"/>
        </w:rPr>
        <w:t>de</w:t>
      </w:r>
      <w:r>
        <w:rPr>
          <w:color w:val="001F60"/>
          <w:spacing w:val="-6"/>
        </w:rPr>
        <w:t xml:space="preserve"> </w:t>
      </w:r>
      <w:r>
        <w:rPr>
          <w:color w:val="001F60"/>
        </w:rPr>
        <w:t>66,9%</w:t>
      </w:r>
      <w:r>
        <w:rPr>
          <w:color w:val="001F60"/>
          <w:spacing w:val="-7"/>
        </w:rPr>
        <w:t xml:space="preserve"> </w:t>
      </w:r>
      <w:r>
        <w:rPr>
          <w:color w:val="001F60"/>
        </w:rPr>
        <w:t>em</w:t>
      </w:r>
      <w:r>
        <w:rPr>
          <w:color w:val="001F60"/>
          <w:spacing w:val="-1"/>
        </w:rPr>
        <w:t xml:space="preserve"> </w:t>
      </w:r>
      <w:r>
        <w:rPr>
          <w:color w:val="001F60"/>
        </w:rPr>
        <w:t>comparação</w:t>
      </w:r>
      <w:r>
        <w:rPr>
          <w:color w:val="001F60"/>
          <w:spacing w:val="-3"/>
        </w:rPr>
        <w:t xml:space="preserve"> </w:t>
      </w:r>
      <w:r>
        <w:rPr>
          <w:color w:val="001F60"/>
        </w:rPr>
        <w:t>com</w:t>
      </w:r>
      <w:r>
        <w:rPr>
          <w:color w:val="001F60"/>
          <w:spacing w:val="-4"/>
        </w:rPr>
        <w:t xml:space="preserve"> </w:t>
      </w:r>
      <w:r>
        <w:rPr>
          <w:color w:val="001F60"/>
        </w:rPr>
        <w:t>o</w:t>
      </w:r>
      <w:r>
        <w:rPr>
          <w:color w:val="001F60"/>
          <w:spacing w:val="-4"/>
        </w:rPr>
        <w:t xml:space="preserve"> </w:t>
      </w:r>
      <w:r>
        <w:rPr>
          <w:color w:val="001F60"/>
        </w:rPr>
        <w:t>ano</w:t>
      </w:r>
      <w:r>
        <w:rPr>
          <w:color w:val="001F60"/>
          <w:spacing w:val="-4"/>
        </w:rPr>
        <w:t xml:space="preserve"> </w:t>
      </w:r>
      <w:r>
        <w:rPr>
          <w:color w:val="001F60"/>
        </w:rPr>
        <w:t>de</w:t>
      </w:r>
      <w:r>
        <w:rPr>
          <w:color w:val="001F60"/>
          <w:spacing w:val="-4"/>
        </w:rPr>
        <w:t xml:space="preserve"> </w:t>
      </w:r>
      <w:r>
        <w:rPr>
          <w:color w:val="001F60"/>
        </w:rPr>
        <w:t>2024</w:t>
      </w:r>
      <w:r>
        <w:rPr>
          <w:color w:val="001F60"/>
          <w:spacing w:val="-3"/>
        </w:rPr>
        <w:t xml:space="preserve"> </w:t>
      </w:r>
      <w:r>
        <w:rPr>
          <w:color w:val="001F60"/>
        </w:rPr>
        <w:t>e</w:t>
      </w:r>
      <w:r>
        <w:rPr>
          <w:color w:val="001F60"/>
          <w:spacing w:val="-6"/>
        </w:rPr>
        <w:t xml:space="preserve"> </w:t>
      </w:r>
      <w:r>
        <w:rPr>
          <w:color w:val="001F60"/>
        </w:rPr>
        <w:t>de</w:t>
      </w:r>
      <w:r>
        <w:rPr>
          <w:color w:val="001F60"/>
          <w:spacing w:val="-4"/>
        </w:rPr>
        <w:t xml:space="preserve"> </w:t>
      </w:r>
      <w:r>
        <w:rPr>
          <w:color w:val="001F60"/>
        </w:rPr>
        <w:t>25,1%</w:t>
      </w:r>
      <w:r>
        <w:rPr>
          <w:color w:val="001F60"/>
          <w:spacing w:val="-5"/>
        </w:rPr>
        <w:t xml:space="preserve"> </w:t>
      </w:r>
      <w:r>
        <w:rPr>
          <w:color w:val="001F60"/>
        </w:rPr>
        <w:t>em</w:t>
      </w:r>
      <w:r>
        <w:rPr>
          <w:color w:val="001F60"/>
          <w:spacing w:val="-4"/>
        </w:rPr>
        <w:t xml:space="preserve"> </w:t>
      </w:r>
      <w:r>
        <w:rPr>
          <w:color w:val="001F60"/>
        </w:rPr>
        <w:t>relação a</w:t>
      </w:r>
      <w:r>
        <w:rPr>
          <w:color w:val="001F60"/>
          <w:spacing w:val="-4"/>
        </w:rPr>
        <w:t xml:space="preserve"> </w:t>
      </w:r>
      <w:r>
        <w:rPr>
          <w:color w:val="001F60"/>
        </w:rPr>
        <w:t>2023.</w:t>
      </w:r>
      <w:r>
        <w:rPr>
          <w:color w:val="001F60"/>
          <w:spacing w:val="-6"/>
        </w:rPr>
        <w:t xml:space="preserve"> </w:t>
      </w:r>
      <w:r>
        <w:rPr>
          <w:color w:val="001F60"/>
        </w:rPr>
        <w:t>Esse</w:t>
      </w:r>
      <w:r>
        <w:rPr>
          <w:color w:val="001F60"/>
          <w:spacing w:val="-5"/>
        </w:rPr>
        <w:t xml:space="preserve"> </w:t>
      </w:r>
      <w:r>
        <w:rPr>
          <w:color w:val="001F60"/>
        </w:rPr>
        <w:t>crescimento</w:t>
      </w:r>
      <w:r>
        <w:rPr>
          <w:color w:val="001F60"/>
          <w:spacing w:val="-5"/>
        </w:rPr>
        <w:t xml:space="preserve"> </w:t>
      </w:r>
      <w:r>
        <w:rPr>
          <w:color w:val="001F60"/>
        </w:rPr>
        <w:t>reflete</w:t>
      </w:r>
      <w:r>
        <w:rPr>
          <w:color w:val="001F60"/>
          <w:spacing w:val="-5"/>
        </w:rPr>
        <w:t xml:space="preserve"> </w:t>
      </w:r>
      <w:r>
        <w:rPr>
          <w:color w:val="001F60"/>
        </w:rPr>
        <w:t>as</w:t>
      </w:r>
      <w:r>
        <w:rPr>
          <w:color w:val="001F60"/>
          <w:spacing w:val="-11"/>
        </w:rPr>
        <w:t xml:space="preserve"> </w:t>
      </w:r>
      <w:r>
        <w:rPr>
          <w:color w:val="001F60"/>
        </w:rPr>
        <w:t>variações</w:t>
      </w:r>
      <w:r>
        <w:rPr>
          <w:color w:val="001F60"/>
          <w:spacing w:val="-8"/>
        </w:rPr>
        <w:t xml:space="preserve"> </w:t>
      </w:r>
      <w:r>
        <w:rPr>
          <w:color w:val="001F60"/>
        </w:rPr>
        <w:t>na</w:t>
      </w:r>
      <w:r>
        <w:rPr>
          <w:color w:val="001F60"/>
          <w:spacing w:val="-8"/>
        </w:rPr>
        <w:t xml:space="preserve"> </w:t>
      </w:r>
      <w:r>
        <w:rPr>
          <w:color w:val="001F60"/>
        </w:rPr>
        <w:t>taxa</w:t>
      </w:r>
      <w:r>
        <w:rPr>
          <w:color w:val="001F60"/>
          <w:spacing w:val="-6"/>
        </w:rPr>
        <w:t xml:space="preserve"> </w:t>
      </w:r>
      <w:r>
        <w:rPr>
          <w:color w:val="001F60"/>
        </w:rPr>
        <w:t>básica</w:t>
      </w:r>
      <w:r>
        <w:rPr>
          <w:color w:val="001F60"/>
          <w:spacing w:val="-4"/>
        </w:rPr>
        <w:t xml:space="preserve"> </w:t>
      </w:r>
      <w:r>
        <w:rPr>
          <w:color w:val="001F60"/>
        </w:rPr>
        <w:t>de</w:t>
      </w:r>
      <w:r>
        <w:rPr>
          <w:color w:val="001F60"/>
          <w:spacing w:val="-5"/>
        </w:rPr>
        <w:t xml:space="preserve"> </w:t>
      </w:r>
      <w:r>
        <w:rPr>
          <w:color w:val="001F60"/>
        </w:rPr>
        <w:t>juros</w:t>
      </w:r>
      <w:r>
        <w:rPr>
          <w:color w:val="001F60"/>
          <w:spacing w:val="-6"/>
        </w:rPr>
        <w:t xml:space="preserve"> </w:t>
      </w:r>
      <w:r>
        <w:rPr>
          <w:color w:val="001F60"/>
        </w:rPr>
        <w:t>(Selic),</w:t>
      </w:r>
      <w:r>
        <w:rPr>
          <w:color w:val="001F60"/>
          <w:spacing w:val="-8"/>
        </w:rPr>
        <w:t xml:space="preserve"> </w:t>
      </w:r>
      <w:r>
        <w:rPr>
          <w:color w:val="001F60"/>
        </w:rPr>
        <w:t>bem</w:t>
      </w:r>
      <w:r>
        <w:rPr>
          <w:color w:val="001F60"/>
          <w:spacing w:val="-8"/>
        </w:rPr>
        <w:t xml:space="preserve"> </w:t>
      </w:r>
      <w:r>
        <w:rPr>
          <w:color w:val="001F60"/>
        </w:rPr>
        <w:t>como</w:t>
      </w:r>
      <w:r>
        <w:rPr>
          <w:color w:val="001F60"/>
          <w:spacing w:val="-7"/>
        </w:rPr>
        <w:t xml:space="preserve"> </w:t>
      </w:r>
      <w:r>
        <w:rPr>
          <w:color w:val="001F60"/>
        </w:rPr>
        <w:t>o</w:t>
      </w:r>
      <w:r>
        <w:rPr>
          <w:color w:val="001F60"/>
          <w:spacing w:val="-4"/>
        </w:rPr>
        <w:t xml:space="preserve"> </w:t>
      </w:r>
      <w:r>
        <w:rPr>
          <w:color w:val="001F60"/>
        </w:rPr>
        <w:t>desempenho dos fluxos de caixa ao longo dos períodos analisados.</w:t>
      </w:r>
    </w:p>
    <w:p w14:paraId="305B60CB" w14:textId="77777777" w:rsidR="002C6574" w:rsidRDefault="00000000">
      <w:pPr>
        <w:pStyle w:val="PargrafodaLista"/>
        <w:numPr>
          <w:ilvl w:val="0"/>
          <w:numId w:val="69"/>
        </w:numPr>
        <w:tabs>
          <w:tab w:val="left" w:pos="935"/>
        </w:tabs>
        <w:spacing w:before="121"/>
        <w:ind w:right="276" w:firstLine="0"/>
        <w:jc w:val="both"/>
      </w:pPr>
      <w:r>
        <w:rPr>
          <w:b/>
          <w:color w:val="001F60"/>
        </w:rPr>
        <w:t>Juros</w:t>
      </w:r>
      <w:r>
        <w:rPr>
          <w:b/>
          <w:color w:val="001F60"/>
          <w:spacing w:val="-2"/>
        </w:rPr>
        <w:t xml:space="preserve"> </w:t>
      </w:r>
      <w:r>
        <w:rPr>
          <w:b/>
          <w:color w:val="001F60"/>
        </w:rPr>
        <w:t>sobre</w:t>
      </w:r>
      <w:r>
        <w:rPr>
          <w:b/>
          <w:color w:val="001F60"/>
          <w:spacing w:val="-4"/>
        </w:rPr>
        <w:t xml:space="preserve"> </w:t>
      </w:r>
      <w:r>
        <w:rPr>
          <w:b/>
          <w:color w:val="001F60"/>
        </w:rPr>
        <w:t>Superavit Previdência</w:t>
      </w:r>
      <w:r>
        <w:rPr>
          <w:b/>
          <w:color w:val="001F60"/>
          <w:spacing w:val="-2"/>
        </w:rPr>
        <w:t xml:space="preserve"> </w:t>
      </w:r>
      <w:r>
        <w:rPr>
          <w:b/>
          <w:color w:val="001F60"/>
        </w:rPr>
        <w:t>Privada:</w:t>
      </w:r>
      <w:r>
        <w:rPr>
          <w:b/>
          <w:color w:val="001F60"/>
          <w:spacing w:val="-4"/>
        </w:rPr>
        <w:t xml:space="preserve"> </w:t>
      </w:r>
      <w:r>
        <w:rPr>
          <w:color w:val="001F60"/>
        </w:rPr>
        <w:t>No</w:t>
      </w:r>
      <w:r>
        <w:rPr>
          <w:color w:val="001F60"/>
          <w:spacing w:val="-1"/>
        </w:rPr>
        <w:t xml:space="preserve"> </w:t>
      </w:r>
      <w:r>
        <w:rPr>
          <w:color w:val="001F60"/>
        </w:rPr>
        <w:t>ano</w:t>
      </w:r>
      <w:r>
        <w:rPr>
          <w:color w:val="001F60"/>
          <w:spacing w:val="-3"/>
        </w:rPr>
        <w:t xml:space="preserve"> </w:t>
      </w:r>
      <w:r>
        <w:rPr>
          <w:color w:val="001F60"/>
        </w:rPr>
        <w:t>de</w:t>
      </w:r>
      <w:r>
        <w:rPr>
          <w:color w:val="001F60"/>
          <w:spacing w:val="-2"/>
        </w:rPr>
        <w:t xml:space="preserve"> </w:t>
      </w:r>
      <w:r>
        <w:rPr>
          <w:color w:val="001F60"/>
        </w:rPr>
        <w:t>2025,</w:t>
      </w:r>
      <w:r>
        <w:rPr>
          <w:color w:val="001F60"/>
          <w:spacing w:val="-4"/>
        </w:rPr>
        <w:t xml:space="preserve"> </w:t>
      </w:r>
      <w:r>
        <w:rPr>
          <w:color w:val="001F60"/>
        </w:rPr>
        <w:t>o</w:t>
      </w:r>
      <w:r>
        <w:rPr>
          <w:color w:val="001F60"/>
          <w:spacing w:val="-1"/>
        </w:rPr>
        <w:t xml:space="preserve"> </w:t>
      </w:r>
      <w:r>
        <w:rPr>
          <w:color w:val="001F60"/>
        </w:rPr>
        <w:t>ganho de</w:t>
      </w:r>
      <w:r>
        <w:rPr>
          <w:color w:val="001F60"/>
          <w:spacing w:val="-2"/>
        </w:rPr>
        <w:t xml:space="preserve"> </w:t>
      </w:r>
      <w:r>
        <w:rPr>
          <w:color w:val="001F60"/>
        </w:rPr>
        <w:t>atualização</w:t>
      </w:r>
      <w:r>
        <w:rPr>
          <w:color w:val="001F60"/>
          <w:spacing w:val="-4"/>
        </w:rPr>
        <w:t xml:space="preserve"> </w:t>
      </w:r>
      <w:r>
        <w:rPr>
          <w:color w:val="001F60"/>
        </w:rPr>
        <w:t>monetária</w:t>
      </w:r>
      <w:r>
        <w:rPr>
          <w:color w:val="001F60"/>
          <w:spacing w:val="-2"/>
        </w:rPr>
        <w:t xml:space="preserve"> </w:t>
      </w:r>
      <w:r>
        <w:rPr>
          <w:color w:val="001F60"/>
        </w:rPr>
        <w:t>dos valores a receber relativos ao superávit de previdência privada foi 622,9% superior ao registrado em 2024 e 1.211,1% acima do apurado em 2023. Esse comportamento decorre dos montantes a receber reconhecidos pela Companhia ao longo de 2025.</w:t>
      </w:r>
    </w:p>
    <w:p w14:paraId="3C9D14CD" w14:textId="77777777" w:rsidR="002C6574" w:rsidRDefault="00000000">
      <w:pPr>
        <w:pStyle w:val="PargrafodaLista"/>
        <w:numPr>
          <w:ilvl w:val="0"/>
          <w:numId w:val="69"/>
        </w:numPr>
        <w:tabs>
          <w:tab w:val="left" w:pos="1010"/>
        </w:tabs>
        <w:spacing w:before="118"/>
        <w:ind w:right="277" w:firstLine="0"/>
        <w:jc w:val="both"/>
      </w:pPr>
      <w:r>
        <w:rPr>
          <w:b/>
          <w:color w:val="001F60"/>
        </w:rPr>
        <w:t xml:space="preserve">Juros sobre Adiantamentos para Futuro Aumento de Capital (AFAC): </w:t>
      </w:r>
      <w:r>
        <w:rPr>
          <w:color w:val="001F60"/>
        </w:rPr>
        <w:t>No ano de 2025, os juros sobre o AFAC apresentaram aumento de 32,0% e 26,0% em relação aos anos de 2024 e 2023, respectivamente.</w:t>
      </w:r>
      <w:r>
        <w:rPr>
          <w:color w:val="001F60"/>
          <w:spacing w:val="-4"/>
        </w:rPr>
        <w:t xml:space="preserve"> </w:t>
      </w:r>
      <w:r>
        <w:rPr>
          <w:color w:val="001F60"/>
        </w:rPr>
        <w:t>Essa</w:t>
      </w:r>
      <w:r>
        <w:rPr>
          <w:color w:val="001F60"/>
          <w:spacing w:val="-8"/>
        </w:rPr>
        <w:t xml:space="preserve"> </w:t>
      </w:r>
      <w:r>
        <w:rPr>
          <w:color w:val="001F60"/>
        </w:rPr>
        <w:t>variação</w:t>
      </w:r>
      <w:r>
        <w:rPr>
          <w:color w:val="001F60"/>
          <w:spacing w:val="-4"/>
        </w:rPr>
        <w:t xml:space="preserve"> </w:t>
      </w:r>
      <w:r>
        <w:rPr>
          <w:color w:val="001F60"/>
        </w:rPr>
        <w:t>decorre</w:t>
      </w:r>
      <w:r>
        <w:rPr>
          <w:color w:val="001F60"/>
          <w:spacing w:val="-4"/>
        </w:rPr>
        <w:t xml:space="preserve"> </w:t>
      </w:r>
      <w:r>
        <w:rPr>
          <w:color w:val="001F60"/>
        </w:rPr>
        <w:t>das</w:t>
      </w:r>
      <w:r>
        <w:rPr>
          <w:color w:val="001F60"/>
          <w:spacing w:val="-6"/>
        </w:rPr>
        <w:t xml:space="preserve"> </w:t>
      </w:r>
      <w:r>
        <w:rPr>
          <w:color w:val="001F60"/>
        </w:rPr>
        <w:t>alterações</w:t>
      </w:r>
      <w:r>
        <w:rPr>
          <w:color w:val="001F60"/>
          <w:spacing w:val="-6"/>
        </w:rPr>
        <w:t xml:space="preserve"> </w:t>
      </w:r>
      <w:r>
        <w:rPr>
          <w:color w:val="001F60"/>
        </w:rPr>
        <w:t>na</w:t>
      </w:r>
      <w:r>
        <w:rPr>
          <w:color w:val="001F60"/>
          <w:spacing w:val="-4"/>
        </w:rPr>
        <w:t xml:space="preserve"> </w:t>
      </w:r>
      <w:r>
        <w:rPr>
          <w:color w:val="001F60"/>
        </w:rPr>
        <w:t>taxa</w:t>
      </w:r>
      <w:r>
        <w:rPr>
          <w:color w:val="001F60"/>
          <w:spacing w:val="-4"/>
        </w:rPr>
        <w:t xml:space="preserve"> </w:t>
      </w:r>
      <w:r>
        <w:rPr>
          <w:color w:val="001F60"/>
        </w:rPr>
        <w:t>Selic,</w:t>
      </w:r>
      <w:r>
        <w:rPr>
          <w:color w:val="001F60"/>
          <w:spacing w:val="-8"/>
        </w:rPr>
        <w:t xml:space="preserve"> </w:t>
      </w:r>
      <w:r>
        <w:rPr>
          <w:color w:val="001F60"/>
        </w:rPr>
        <w:t>bem</w:t>
      </w:r>
      <w:r>
        <w:rPr>
          <w:color w:val="001F60"/>
          <w:spacing w:val="-4"/>
        </w:rPr>
        <w:t xml:space="preserve"> </w:t>
      </w:r>
      <w:r>
        <w:rPr>
          <w:color w:val="001F60"/>
        </w:rPr>
        <w:t>como</w:t>
      </w:r>
      <w:r>
        <w:rPr>
          <w:color w:val="001F60"/>
          <w:spacing w:val="-4"/>
        </w:rPr>
        <w:t xml:space="preserve"> </w:t>
      </w:r>
      <w:r>
        <w:rPr>
          <w:color w:val="001F60"/>
        </w:rPr>
        <w:t>dos</w:t>
      </w:r>
      <w:r>
        <w:rPr>
          <w:color w:val="001F60"/>
          <w:spacing w:val="-6"/>
        </w:rPr>
        <w:t xml:space="preserve"> </w:t>
      </w:r>
      <w:r>
        <w:rPr>
          <w:color w:val="001F60"/>
        </w:rPr>
        <w:t>aportes</w:t>
      </w:r>
      <w:r>
        <w:rPr>
          <w:color w:val="001F60"/>
          <w:spacing w:val="-4"/>
        </w:rPr>
        <w:t xml:space="preserve"> </w:t>
      </w:r>
      <w:r>
        <w:rPr>
          <w:color w:val="001F60"/>
        </w:rPr>
        <w:t>recebidos nos exercícios de 2024 e 2023 que ainda não foram objeto de capitalização.</w:t>
      </w:r>
    </w:p>
    <w:p w14:paraId="7133DA21" w14:textId="77777777" w:rsidR="002C6574" w:rsidRDefault="002C6574">
      <w:pPr>
        <w:pStyle w:val="PargrafodaLista"/>
        <w:jc w:val="both"/>
        <w:sectPr w:rsidR="002C6574">
          <w:headerReference w:type="default" r:id="rId13"/>
          <w:footerReference w:type="default" r:id="rId14"/>
          <w:pgSz w:w="11910" w:h="16840"/>
          <w:pgMar w:top="1160" w:right="850" w:bottom="740" w:left="992" w:header="312" w:footer="542" w:gutter="0"/>
          <w:pgNumType w:start="1"/>
          <w:cols w:space="720"/>
        </w:sectPr>
      </w:pPr>
    </w:p>
    <w:p w14:paraId="6D442623" w14:textId="77777777" w:rsidR="002C6574" w:rsidRDefault="002C6574">
      <w:pPr>
        <w:pStyle w:val="Corpodetexto"/>
        <w:spacing w:before="263"/>
        <w:rPr>
          <w:rFonts w:ascii="Calibri"/>
        </w:rPr>
      </w:pPr>
    </w:p>
    <w:p w14:paraId="6A77FA2F" w14:textId="77777777" w:rsidR="002C6574" w:rsidRDefault="00000000">
      <w:pPr>
        <w:numPr>
          <w:ilvl w:val="2"/>
          <w:numId w:val="74"/>
        </w:numPr>
        <w:tabs>
          <w:tab w:val="left" w:pos="1417"/>
        </w:tabs>
        <w:rPr>
          <w:rFonts w:ascii="Calibri"/>
          <w:b/>
        </w:rPr>
      </w:pPr>
      <w:r>
        <w:rPr>
          <w:rFonts w:ascii="Calibri"/>
          <w:b/>
          <w:color w:val="001F60"/>
        </w:rPr>
        <w:t>Resultado</w:t>
      </w:r>
      <w:r>
        <w:rPr>
          <w:rFonts w:ascii="Calibri"/>
          <w:b/>
          <w:color w:val="001F60"/>
          <w:spacing w:val="-3"/>
        </w:rPr>
        <w:t xml:space="preserve"> </w:t>
      </w:r>
      <w:r>
        <w:rPr>
          <w:rFonts w:ascii="Calibri"/>
          <w:b/>
          <w:color w:val="001F60"/>
          <w:spacing w:val="-2"/>
        </w:rPr>
        <w:t>Recorrente</w:t>
      </w:r>
    </w:p>
    <w:p w14:paraId="17C5C574" w14:textId="77777777" w:rsidR="002C6574" w:rsidRDefault="002C6574">
      <w:pPr>
        <w:pStyle w:val="Corpodetexto"/>
        <w:spacing w:before="126" w:after="1"/>
        <w:rPr>
          <w:rFonts w:ascii="Calibri"/>
          <w:b/>
          <w:sz w:val="20"/>
        </w:rPr>
      </w:pPr>
    </w:p>
    <w:tbl>
      <w:tblPr>
        <w:tblStyle w:val="TableNormal"/>
        <w:tblW w:w="0" w:type="auto"/>
        <w:tblInd w:w="702" w:type="dxa"/>
        <w:tblLayout w:type="fixed"/>
        <w:tblLook w:val="01E0" w:firstRow="1" w:lastRow="1" w:firstColumn="1" w:lastColumn="1" w:noHBand="0" w:noVBand="0"/>
      </w:tblPr>
      <w:tblGrid>
        <w:gridCol w:w="4014"/>
        <w:gridCol w:w="1645"/>
        <w:gridCol w:w="918"/>
        <w:gridCol w:w="842"/>
        <w:gridCol w:w="852"/>
        <w:gridCol w:w="818"/>
      </w:tblGrid>
      <w:tr w:rsidR="002C6574" w14:paraId="07036089" w14:textId="77777777">
        <w:trPr>
          <w:trHeight w:val="275"/>
        </w:trPr>
        <w:tc>
          <w:tcPr>
            <w:tcW w:w="4014" w:type="dxa"/>
            <w:tcBorders>
              <w:top w:val="single" w:sz="8" w:space="0" w:color="8EA8DB"/>
              <w:bottom w:val="single" w:sz="8" w:space="0" w:color="8EA8DB"/>
            </w:tcBorders>
          </w:tcPr>
          <w:p w14:paraId="1934A798" w14:textId="77777777" w:rsidR="002C6574" w:rsidRDefault="00000000">
            <w:pPr>
              <w:pStyle w:val="TableParagraph"/>
              <w:spacing w:before="69"/>
              <w:ind w:left="83"/>
              <w:jc w:val="left"/>
              <w:rPr>
                <w:rFonts w:ascii="Arial"/>
                <w:b/>
                <w:sz w:val="12"/>
              </w:rPr>
            </w:pPr>
            <w:r>
              <w:rPr>
                <w:rFonts w:ascii="Arial"/>
                <w:b/>
                <w:color w:val="2F75B5"/>
                <w:sz w:val="12"/>
              </w:rPr>
              <w:t xml:space="preserve">R$ </w:t>
            </w:r>
            <w:r>
              <w:rPr>
                <w:rFonts w:ascii="Arial"/>
                <w:b/>
                <w:color w:val="2F75B5"/>
                <w:spacing w:val="-5"/>
                <w:sz w:val="12"/>
              </w:rPr>
              <w:t>mil</w:t>
            </w:r>
          </w:p>
        </w:tc>
        <w:tc>
          <w:tcPr>
            <w:tcW w:w="1645" w:type="dxa"/>
            <w:tcBorders>
              <w:top w:val="single" w:sz="8" w:space="0" w:color="9AC1E6"/>
              <w:bottom w:val="single" w:sz="8" w:space="0" w:color="9AC1E6"/>
            </w:tcBorders>
          </w:tcPr>
          <w:p w14:paraId="140E2B64" w14:textId="77777777" w:rsidR="002C6574" w:rsidRDefault="00000000">
            <w:pPr>
              <w:pStyle w:val="TableParagraph"/>
              <w:spacing w:before="69"/>
              <w:ind w:left="922"/>
              <w:jc w:val="left"/>
              <w:rPr>
                <w:rFonts w:ascii="Arial"/>
                <w:b/>
                <w:sz w:val="12"/>
              </w:rPr>
            </w:pPr>
            <w:r>
              <w:rPr>
                <w:rFonts w:ascii="Arial"/>
                <w:b/>
                <w:color w:val="2D74B5"/>
                <w:spacing w:val="-4"/>
                <w:sz w:val="12"/>
              </w:rPr>
              <w:t>2025</w:t>
            </w:r>
          </w:p>
        </w:tc>
        <w:tc>
          <w:tcPr>
            <w:tcW w:w="918" w:type="dxa"/>
            <w:tcBorders>
              <w:top w:val="single" w:sz="8" w:space="0" w:color="9AC1E6"/>
              <w:bottom w:val="single" w:sz="8" w:space="0" w:color="9AC1E6"/>
            </w:tcBorders>
          </w:tcPr>
          <w:p w14:paraId="7EA36581" w14:textId="77777777" w:rsidR="002C6574" w:rsidRDefault="00000000">
            <w:pPr>
              <w:pStyle w:val="TableParagraph"/>
              <w:spacing w:before="69"/>
              <w:ind w:left="194"/>
              <w:jc w:val="left"/>
              <w:rPr>
                <w:rFonts w:ascii="Arial"/>
                <w:b/>
                <w:sz w:val="12"/>
              </w:rPr>
            </w:pPr>
            <w:r>
              <w:rPr>
                <w:rFonts w:ascii="Arial"/>
                <w:b/>
                <w:color w:val="2D74B5"/>
                <w:spacing w:val="-4"/>
                <w:sz w:val="12"/>
              </w:rPr>
              <w:t>2024</w:t>
            </w:r>
          </w:p>
        </w:tc>
        <w:tc>
          <w:tcPr>
            <w:tcW w:w="842" w:type="dxa"/>
            <w:tcBorders>
              <w:top w:val="single" w:sz="8" w:space="0" w:color="9AC1E6"/>
              <w:bottom w:val="single" w:sz="8" w:space="0" w:color="9AC1E6"/>
            </w:tcBorders>
          </w:tcPr>
          <w:p w14:paraId="5D79FF52" w14:textId="77777777" w:rsidR="002C6574" w:rsidRDefault="00000000">
            <w:pPr>
              <w:pStyle w:val="TableParagraph"/>
              <w:spacing w:before="69"/>
              <w:ind w:left="195"/>
              <w:jc w:val="left"/>
              <w:rPr>
                <w:rFonts w:ascii="Arial"/>
                <w:b/>
                <w:sz w:val="12"/>
              </w:rPr>
            </w:pPr>
            <w:r>
              <w:rPr>
                <w:rFonts w:ascii="Arial"/>
                <w:b/>
                <w:color w:val="2D74B5"/>
                <w:spacing w:val="-4"/>
                <w:sz w:val="12"/>
              </w:rPr>
              <w:t>2023</w:t>
            </w:r>
          </w:p>
        </w:tc>
        <w:tc>
          <w:tcPr>
            <w:tcW w:w="852" w:type="dxa"/>
            <w:tcBorders>
              <w:top w:val="single" w:sz="8" w:space="0" w:color="9AC1E6"/>
              <w:bottom w:val="single" w:sz="8" w:space="0" w:color="9AC1E6"/>
            </w:tcBorders>
          </w:tcPr>
          <w:p w14:paraId="2C44D790" w14:textId="77777777" w:rsidR="002C6574" w:rsidRDefault="00000000">
            <w:pPr>
              <w:pStyle w:val="TableParagraph"/>
              <w:spacing w:line="137" w:lineRule="exact"/>
              <w:ind w:right="114"/>
              <w:jc w:val="center"/>
              <w:rPr>
                <w:rFonts w:ascii="Arial" w:hAnsi="Arial"/>
                <w:b/>
                <w:sz w:val="12"/>
              </w:rPr>
            </w:pPr>
            <w:r>
              <w:rPr>
                <w:rFonts w:ascii="Arial" w:hAnsi="Arial"/>
                <w:b/>
                <w:color w:val="2F75B5"/>
                <w:sz w:val="12"/>
              </w:rPr>
              <w:t>Δ 2025</w:t>
            </w:r>
            <w:r>
              <w:rPr>
                <w:rFonts w:ascii="Arial" w:hAnsi="Arial"/>
                <w:b/>
                <w:color w:val="2F75B5"/>
                <w:spacing w:val="1"/>
                <w:sz w:val="12"/>
              </w:rPr>
              <w:t xml:space="preserve"> </w:t>
            </w:r>
            <w:r>
              <w:rPr>
                <w:rFonts w:ascii="Arial" w:hAnsi="Arial"/>
                <w:b/>
                <w:color w:val="2F75B5"/>
                <w:spacing w:val="-10"/>
                <w:sz w:val="12"/>
              </w:rPr>
              <w:t>X</w:t>
            </w:r>
          </w:p>
          <w:p w14:paraId="680E82EE" w14:textId="77777777" w:rsidR="002C6574" w:rsidRDefault="00000000">
            <w:pPr>
              <w:pStyle w:val="TableParagraph"/>
              <w:spacing w:line="118" w:lineRule="exact"/>
              <w:ind w:left="2" w:right="114"/>
              <w:jc w:val="center"/>
              <w:rPr>
                <w:rFonts w:ascii="Arial"/>
                <w:b/>
                <w:sz w:val="12"/>
              </w:rPr>
            </w:pPr>
            <w:r>
              <w:rPr>
                <w:rFonts w:ascii="Arial"/>
                <w:b/>
                <w:color w:val="2F75B5"/>
                <w:spacing w:val="-4"/>
                <w:sz w:val="12"/>
              </w:rPr>
              <w:t>2024</w:t>
            </w:r>
          </w:p>
        </w:tc>
        <w:tc>
          <w:tcPr>
            <w:tcW w:w="818" w:type="dxa"/>
            <w:tcBorders>
              <w:top w:val="single" w:sz="8" w:space="0" w:color="9AC1E6"/>
              <w:bottom w:val="single" w:sz="8" w:space="0" w:color="9AC1E6"/>
            </w:tcBorders>
          </w:tcPr>
          <w:p w14:paraId="0FC1D994" w14:textId="77777777" w:rsidR="002C6574" w:rsidRDefault="00000000">
            <w:pPr>
              <w:pStyle w:val="TableParagraph"/>
              <w:spacing w:line="137" w:lineRule="exact"/>
              <w:ind w:right="67"/>
              <w:jc w:val="center"/>
              <w:rPr>
                <w:rFonts w:ascii="Arial" w:hAnsi="Arial"/>
                <w:b/>
                <w:sz w:val="12"/>
              </w:rPr>
            </w:pPr>
            <w:r>
              <w:rPr>
                <w:rFonts w:ascii="Arial" w:hAnsi="Arial"/>
                <w:b/>
                <w:color w:val="2F75B5"/>
                <w:sz w:val="12"/>
              </w:rPr>
              <w:t>Δ 2025</w:t>
            </w:r>
            <w:r>
              <w:rPr>
                <w:rFonts w:ascii="Arial" w:hAnsi="Arial"/>
                <w:b/>
                <w:color w:val="2F75B5"/>
                <w:spacing w:val="1"/>
                <w:sz w:val="12"/>
              </w:rPr>
              <w:t xml:space="preserve"> </w:t>
            </w:r>
            <w:r>
              <w:rPr>
                <w:rFonts w:ascii="Arial" w:hAnsi="Arial"/>
                <w:b/>
                <w:color w:val="2F75B5"/>
                <w:spacing w:val="-10"/>
                <w:sz w:val="12"/>
              </w:rPr>
              <w:t>X</w:t>
            </w:r>
          </w:p>
          <w:p w14:paraId="1AC4B293" w14:textId="77777777" w:rsidR="002C6574" w:rsidRDefault="00000000">
            <w:pPr>
              <w:pStyle w:val="TableParagraph"/>
              <w:spacing w:line="118" w:lineRule="exact"/>
              <w:ind w:right="63"/>
              <w:jc w:val="center"/>
              <w:rPr>
                <w:rFonts w:ascii="Arial"/>
                <w:b/>
                <w:sz w:val="12"/>
              </w:rPr>
            </w:pPr>
            <w:r>
              <w:rPr>
                <w:rFonts w:ascii="Arial"/>
                <w:b/>
                <w:color w:val="2F75B5"/>
                <w:spacing w:val="-4"/>
                <w:sz w:val="12"/>
              </w:rPr>
              <w:t>2023</w:t>
            </w:r>
          </w:p>
        </w:tc>
      </w:tr>
      <w:tr w:rsidR="002C6574" w14:paraId="714BB552" w14:textId="77777777">
        <w:trPr>
          <w:trHeight w:val="235"/>
        </w:trPr>
        <w:tc>
          <w:tcPr>
            <w:tcW w:w="4014" w:type="dxa"/>
          </w:tcPr>
          <w:p w14:paraId="279B24EA" w14:textId="77777777" w:rsidR="002C6574" w:rsidRDefault="00000000">
            <w:pPr>
              <w:pStyle w:val="TableParagraph"/>
              <w:spacing w:before="38"/>
              <w:ind w:left="83"/>
              <w:jc w:val="left"/>
              <w:rPr>
                <w:rFonts w:ascii="Arial" w:hAnsi="Arial"/>
                <w:b/>
                <w:sz w:val="12"/>
              </w:rPr>
            </w:pPr>
            <w:r>
              <w:rPr>
                <w:rFonts w:ascii="Arial" w:hAnsi="Arial"/>
                <w:b/>
                <w:sz w:val="12"/>
              </w:rPr>
              <w:t>Lucro/(Prejuízo)</w:t>
            </w:r>
            <w:r>
              <w:rPr>
                <w:rFonts w:ascii="Arial" w:hAnsi="Arial"/>
                <w:b/>
                <w:spacing w:val="-3"/>
                <w:sz w:val="12"/>
              </w:rPr>
              <w:t xml:space="preserve"> </w:t>
            </w:r>
            <w:r>
              <w:rPr>
                <w:rFonts w:ascii="Arial" w:hAnsi="Arial"/>
                <w:b/>
                <w:sz w:val="12"/>
              </w:rPr>
              <w:t>Líquido</w:t>
            </w:r>
            <w:r>
              <w:rPr>
                <w:rFonts w:ascii="Arial" w:hAnsi="Arial"/>
                <w:b/>
                <w:spacing w:val="-3"/>
                <w:sz w:val="12"/>
              </w:rPr>
              <w:t xml:space="preserve"> </w:t>
            </w:r>
            <w:r>
              <w:rPr>
                <w:rFonts w:ascii="Arial" w:hAnsi="Arial"/>
                <w:b/>
                <w:sz w:val="12"/>
              </w:rPr>
              <w:t xml:space="preserve">do </w:t>
            </w:r>
            <w:r>
              <w:rPr>
                <w:rFonts w:ascii="Arial" w:hAnsi="Arial"/>
                <w:b/>
                <w:spacing w:val="-2"/>
                <w:sz w:val="12"/>
              </w:rPr>
              <w:t>Exercício</w:t>
            </w:r>
          </w:p>
        </w:tc>
        <w:tc>
          <w:tcPr>
            <w:tcW w:w="1645" w:type="dxa"/>
          </w:tcPr>
          <w:p w14:paraId="05E3E0E1" w14:textId="77777777" w:rsidR="002C6574" w:rsidRDefault="00000000">
            <w:pPr>
              <w:pStyle w:val="TableParagraph"/>
              <w:spacing w:before="38"/>
              <w:ind w:right="198"/>
              <w:rPr>
                <w:rFonts w:ascii="Arial"/>
                <w:b/>
                <w:sz w:val="12"/>
              </w:rPr>
            </w:pPr>
            <w:r>
              <w:rPr>
                <w:rFonts w:ascii="Arial"/>
                <w:b/>
                <w:spacing w:val="-2"/>
                <w:sz w:val="12"/>
              </w:rPr>
              <w:t>140.504</w:t>
            </w:r>
          </w:p>
        </w:tc>
        <w:tc>
          <w:tcPr>
            <w:tcW w:w="918" w:type="dxa"/>
          </w:tcPr>
          <w:p w14:paraId="1236D03D" w14:textId="77777777" w:rsidR="002C6574" w:rsidRDefault="00000000">
            <w:pPr>
              <w:pStyle w:val="TableParagraph"/>
              <w:spacing w:before="38"/>
              <w:ind w:right="197"/>
              <w:rPr>
                <w:rFonts w:ascii="Arial"/>
                <w:b/>
                <w:sz w:val="12"/>
              </w:rPr>
            </w:pPr>
            <w:r>
              <w:rPr>
                <w:rFonts w:ascii="Arial"/>
                <w:b/>
                <w:spacing w:val="-2"/>
                <w:sz w:val="12"/>
              </w:rPr>
              <w:t>(66.572)</w:t>
            </w:r>
          </w:p>
        </w:tc>
        <w:tc>
          <w:tcPr>
            <w:tcW w:w="842" w:type="dxa"/>
          </w:tcPr>
          <w:p w14:paraId="5BDF65FC" w14:textId="77777777" w:rsidR="002C6574" w:rsidRDefault="00000000">
            <w:pPr>
              <w:pStyle w:val="TableParagraph"/>
              <w:spacing w:before="38"/>
              <w:ind w:right="120"/>
              <w:rPr>
                <w:rFonts w:ascii="Arial"/>
                <w:b/>
                <w:sz w:val="12"/>
              </w:rPr>
            </w:pPr>
            <w:r>
              <w:rPr>
                <w:rFonts w:ascii="Arial"/>
                <w:b/>
                <w:spacing w:val="-2"/>
                <w:sz w:val="12"/>
              </w:rPr>
              <w:t>(127.357)</w:t>
            </w:r>
          </w:p>
        </w:tc>
        <w:tc>
          <w:tcPr>
            <w:tcW w:w="852" w:type="dxa"/>
          </w:tcPr>
          <w:p w14:paraId="24586CBC" w14:textId="77777777" w:rsidR="002C6574" w:rsidRDefault="00000000">
            <w:pPr>
              <w:pStyle w:val="TableParagraph"/>
              <w:spacing w:before="38"/>
              <w:ind w:right="127"/>
              <w:rPr>
                <w:rFonts w:ascii="Arial"/>
                <w:b/>
                <w:sz w:val="12"/>
              </w:rPr>
            </w:pPr>
            <w:r>
              <w:rPr>
                <w:rFonts w:ascii="Arial"/>
                <w:b/>
                <w:sz w:val="12"/>
              </w:rPr>
              <w:t>-</w:t>
            </w:r>
            <w:r>
              <w:rPr>
                <w:rFonts w:ascii="Arial"/>
                <w:b/>
                <w:spacing w:val="-2"/>
                <w:sz w:val="12"/>
              </w:rPr>
              <w:t>311,1%</w:t>
            </w:r>
          </w:p>
        </w:tc>
        <w:tc>
          <w:tcPr>
            <w:tcW w:w="818" w:type="dxa"/>
          </w:tcPr>
          <w:p w14:paraId="6F502942" w14:textId="77777777" w:rsidR="002C6574" w:rsidRDefault="00000000">
            <w:pPr>
              <w:pStyle w:val="TableParagraph"/>
              <w:spacing w:before="38"/>
              <w:ind w:right="68"/>
              <w:rPr>
                <w:rFonts w:ascii="Arial"/>
                <w:b/>
                <w:sz w:val="12"/>
              </w:rPr>
            </w:pPr>
            <w:r>
              <w:rPr>
                <w:rFonts w:ascii="Arial"/>
                <w:b/>
                <w:sz w:val="12"/>
              </w:rPr>
              <w:t>-</w:t>
            </w:r>
            <w:r>
              <w:rPr>
                <w:rFonts w:ascii="Arial"/>
                <w:b/>
                <w:spacing w:val="-2"/>
                <w:sz w:val="12"/>
              </w:rPr>
              <w:t>47,7%</w:t>
            </w:r>
          </w:p>
        </w:tc>
      </w:tr>
      <w:tr w:rsidR="002C6574" w14:paraId="42D349F6" w14:textId="77777777">
        <w:trPr>
          <w:trHeight w:val="231"/>
        </w:trPr>
        <w:tc>
          <w:tcPr>
            <w:tcW w:w="4014" w:type="dxa"/>
          </w:tcPr>
          <w:p w14:paraId="0077FDCF" w14:textId="77777777" w:rsidR="002C6574" w:rsidRDefault="00000000">
            <w:pPr>
              <w:pStyle w:val="TableParagraph"/>
              <w:spacing w:before="45"/>
              <w:ind w:left="83"/>
              <w:jc w:val="left"/>
              <w:rPr>
                <w:rFonts w:ascii="Arial" w:hAnsi="Arial"/>
                <w:b/>
                <w:sz w:val="12"/>
              </w:rPr>
            </w:pPr>
            <w:r>
              <w:rPr>
                <w:rFonts w:ascii="Arial" w:hAnsi="Arial"/>
                <w:b/>
                <w:sz w:val="12"/>
              </w:rPr>
              <w:t>Ajuste</w:t>
            </w:r>
            <w:r>
              <w:rPr>
                <w:rFonts w:ascii="Arial" w:hAnsi="Arial"/>
                <w:b/>
                <w:spacing w:val="-2"/>
                <w:sz w:val="12"/>
              </w:rPr>
              <w:t xml:space="preserve"> </w:t>
            </w:r>
            <w:r>
              <w:rPr>
                <w:rFonts w:ascii="Arial" w:hAnsi="Arial"/>
                <w:b/>
                <w:sz w:val="12"/>
              </w:rPr>
              <w:t>de Eventos Não</w:t>
            </w:r>
            <w:r>
              <w:rPr>
                <w:rFonts w:ascii="Arial" w:hAnsi="Arial"/>
                <w:b/>
                <w:spacing w:val="2"/>
                <w:sz w:val="12"/>
              </w:rPr>
              <w:t xml:space="preserve"> </w:t>
            </w:r>
            <w:r>
              <w:rPr>
                <w:rFonts w:ascii="Arial" w:hAnsi="Arial"/>
                <w:b/>
                <w:spacing w:val="-2"/>
                <w:sz w:val="12"/>
              </w:rPr>
              <w:t>Recorrentes:</w:t>
            </w:r>
          </w:p>
        </w:tc>
        <w:tc>
          <w:tcPr>
            <w:tcW w:w="1645" w:type="dxa"/>
          </w:tcPr>
          <w:p w14:paraId="16509AC9" w14:textId="77777777" w:rsidR="002C6574" w:rsidRDefault="002C6574">
            <w:pPr>
              <w:pStyle w:val="TableParagraph"/>
              <w:jc w:val="left"/>
              <w:rPr>
                <w:rFonts w:ascii="Times New Roman"/>
                <w:sz w:val="14"/>
              </w:rPr>
            </w:pPr>
          </w:p>
        </w:tc>
        <w:tc>
          <w:tcPr>
            <w:tcW w:w="918" w:type="dxa"/>
          </w:tcPr>
          <w:p w14:paraId="2D4EC76C" w14:textId="77777777" w:rsidR="002C6574" w:rsidRDefault="002C6574">
            <w:pPr>
              <w:pStyle w:val="TableParagraph"/>
              <w:jc w:val="left"/>
              <w:rPr>
                <w:rFonts w:ascii="Times New Roman"/>
                <w:sz w:val="14"/>
              </w:rPr>
            </w:pPr>
          </w:p>
        </w:tc>
        <w:tc>
          <w:tcPr>
            <w:tcW w:w="842" w:type="dxa"/>
          </w:tcPr>
          <w:p w14:paraId="42453444" w14:textId="77777777" w:rsidR="002C6574" w:rsidRDefault="002C6574">
            <w:pPr>
              <w:pStyle w:val="TableParagraph"/>
              <w:jc w:val="left"/>
              <w:rPr>
                <w:rFonts w:ascii="Times New Roman"/>
                <w:sz w:val="14"/>
              </w:rPr>
            </w:pPr>
          </w:p>
        </w:tc>
        <w:tc>
          <w:tcPr>
            <w:tcW w:w="852" w:type="dxa"/>
          </w:tcPr>
          <w:p w14:paraId="73F2F578" w14:textId="77777777" w:rsidR="002C6574" w:rsidRDefault="002C6574">
            <w:pPr>
              <w:pStyle w:val="TableParagraph"/>
              <w:jc w:val="left"/>
              <w:rPr>
                <w:rFonts w:ascii="Times New Roman"/>
                <w:sz w:val="14"/>
              </w:rPr>
            </w:pPr>
          </w:p>
        </w:tc>
        <w:tc>
          <w:tcPr>
            <w:tcW w:w="818" w:type="dxa"/>
          </w:tcPr>
          <w:p w14:paraId="4AC0002B" w14:textId="77777777" w:rsidR="002C6574" w:rsidRDefault="002C6574">
            <w:pPr>
              <w:pStyle w:val="TableParagraph"/>
              <w:jc w:val="left"/>
              <w:rPr>
                <w:rFonts w:ascii="Times New Roman"/>
                <w:sz w:val="14"/>
              </w:rPr>
            </w:pPr>
          </w:p>
        </w:tc>
      </w:tr>
      <w:tr w:rsidR="002C6574" w14:paraId="4D5545B3" w14:textId="77777777">
        <w:trPr>
          <w:trHeight w:val="231"/>
        </w:trPr>
        <w:tc>
          <w:tcPr>
            <w:tcW w:w="4014" w:type="dxa"/>
          </w:tcPr>
          <w:p w14:paraId="3EC94220" w14:textId="77777777" w:rsidR="002C6574" w:rsidRDefault="00000000">
            <w:pPr>
              <w:pStyle w:val="TableParagraph"/>
              <w:spacing w:before="44"/>
              <w:ind w:left="83"/>
              <w:jc w:val="left"/>
              <w:rPr>
                <w:rFonts w:ascii="Arial MT" w:hAnsi="Arial MT"/>
                <w:sz w:val="12"/>
              </w:rPr>
            </w:pPr>
            <w:r>
              <w:rPr>
                <w:rFonts w:ascii="Arial MT" w:hAnsi="Arial MT"/>
                <w:sz w:val="12"/>
              </w:rPr>
              <w:t>(-)</w:t>
            </w:r>
            <w:r>
              <w:rPr>
                <w:rFonts w:ascii="Arial MT" w:hAnsi="Arial MT"/>
                <w:spacing w:val="-1"/>
                <w:sz w:val="12"/>
              </w:rPr>
              <w:t xml:space="preserve"> </w:t>
            </w:r>
            <w:r>
              <w:rPr>
                <w:rFonts w:ascii="Arial MT" w:hAnsi="Arial MT"/>
                <w:sz w:val="12"/>
              </w:rPr>
              <w:t>Superávit de</w:t>
            </w:r>
            <w:r>
              <w:rPr>
                <w:rFonts w:ascii="Arial MT" w:hAnsi="Arial MT"/>
                <w:spacing w:val="-2"/>
                <w:sz w:val="12"/>
              </w:rPr>
              <w:t xml:space="preserve"> </w:t>
            </w:r>
            <w:r>
              <w:rPr>
                <w:rFonts w:ascii="Arial MT" w:hAnsi="Arial MT"/>
                <w:sz w:val="12"/>
              </w:rPr>
              <w:t xml:space="preserve">Previdência </w:t>
            </w:r>
            <w:r>
              <w:rPr>
                <w:rFonts w:ascii="Arial MT" w:hAnsi="Arial MT"/>
                <w:spacing w:val="-2"/>
                <w:sz w:val="12"/>
              </w:rPr>
              <w:t>Privada</w:t>
            </w:r>
          </w:p>
        </w:tc>
        <w:tc>
          <w:tcPr>
            <w:tcW w:w="1645" w:type="dxa"/>
          </w:tcPr>
          <w:p w14:paraId="49FAA4B5" w14:textId="77777777" w:rsidR="002C6574" w:rsidRDefault="00000000">
            <w:pPr>
              <w:pStyle w:val="TableParagraph"/>
              <w:spacing w:before="44"/>
              <w:ind w:right="196"/>
              <w:rPr>
                <w:rFonts w:ascii="Arial MT"/>
                <w:sz w:val="12"/>
              </w:rPr>
            </w:pPr>
            <w:r>
              <w:rPr>
                <w:rFonts w:ascii="Arial MT"/>
                <w:spacing w:val="-2"/>
                <w:sz w:val="12"/>
              </w:rPr>
              <w:t>(134.727)</w:t>
            </w:r>
          </w:p>
        </w:tc>
        <w:tc>
          <w:tcPr>
            <w:tcW w:w="918" w:type="dxa"/>
          </w:tcPr>
          <w:p w14:paraId="2F8DA0DA" w14:textId="77777777" w:rsidR="002C6574" w:rsidRDefault="00000000">
            <w:pPr>
              <w:pStyle w:val="TableParagraph"/>
              <w:spacing w:before="44"/>
              <w:ind w:left="203"/>
              <w:jc w:val="left"/>
              <w:rPr>
                <w:rFonts w:ascii="Arial MT"/>
                <w:sz w:val="12"/>
              </w:rPr>
            </w:pPr>
            <w:r>
              <w:rPr>
                <w:rFonts w:ascii="Arial MT"/>
                <w:spacing w:val="-2"/>
                <w:sz w:val="12"/>
              </w:rPr>
              <w:t>(212.038)</w:t>
            </w:r>
          </w:p>
        </w:tc>
        <w:tc>
          <w:tcPr>
            <w:tcW w:w="842" w:type="dxa"/>
          </w:tcPr>
          <w:p w14:paraId="676090A7" w14:textId="77777777" w:rsidR="002C6574" w:rsidRDefault="00000000">
            <w:pPr>
              <w:pStyle w:val="TableParagraph"/>
              <w:spacing w:before="44"/>
              <w:ind w:right="119"/>
              <w:rPr>
                <w:rFonts w:ascii="Arial MT"/>
                <w:sz w:val="12"/>
              </w:rPr>
            </w:pPr>
            <w:r>
              <w:rPr>
                <w:rFonts w:ascii="Arial MT"/>
                <w:spacing w:val="-2"/>
                <w:sz w:val="12"/>
              </w:rPr>
              <w:t>(33.912)</w:t>
            </w:r>
          </w:p>
        </w:tc>
        <w:tc>
          <w:tcPr>
            <w:tcW w:w="852" w:type="dxa"/>
          </w:tcPr>
          <w:p w14:paraId="7E9A3F1D" w14:textId="77777777" w:rsidR="002C6574" w:rsidRDefault="00000000">
            <w:pPr>
              <w:pStyle w:val="TableParagraph"/>
              <w:spacing w:before="44"/>
              <w:ind w:right="127"/>
              <w:rPr>
                <w:rFonts w:ascii="Arial MT"/>
                <w:sz w:val="12"/>
              </w:rPr>
            </w:pPr>
            <w:r>
              <w:rPr>
                <w:rFonts w:ascii="Arial MT"/>
                <w:sz w:val="12"/>
              </w:rPr>
              <w:t>-</w:t>
            </w:r>
            <w:r>
              <w:rPr>
                <w:rFonts w:ascii="Arial MT"/>
                <w:spacing w:val="-2"/>
                <w:sz w:val="12"/>
              </w:rPr>
              <w:t>36,5%</w:t>
            </w:r>
          </w:p>
        </w:tc>
        <w:tc>
          <w:tcPr>
            <w:tcW w:w="818" w:type="dxa"/>
          </w:tcPr>
          <w:p w14:paraId="7E7443AD" w14:textId="77777777" w:rsidR="002C6574" w:rsidRDefault="00000000">
            <w:pPr>
              <w:pStyle w:val="TableParagraph"/>
              <w:spacing w:before="44"/>
              <w:ind w:right="72"/>
              <w:rPr>
                <w:rFonts w:ascii="Arial MT"/>
                <w:sz w:val="12"/>
              </w:rPr>
            </w:pPr>
            <w:r>
              <w:rPr>
                <w:rFonts w:ascii="Arial MT"/>
                <w:spacing w:val="-2"/>
                <w:sz w:val="12"/>
              </w:rPr>
              <w:t>297,3%</w:t>
            </w:r>
          </w:p>
        </w:tc>
      </w:tr>
      <w:tr w:rsidR="002C6574" w14:paraId="4A4D5E5E" w14:textId="77777777">
        <w:trPr>
          <w:trHeight w:val="232"/>
        </w:trPr>
        <w:tc>
          <w:tcPr>
            <w:tcW w:w="4014" w:type="dxa"/>
          </w:tcPr>
          <w:p w14:paraId="5B5FB59F" w14:textId="77777777" w:rsidR="002C6574" w:rsidRDefault="00000000">
            <w:pPr>
              <w:pStyle w:val="TableParagraph"/>
              <w:spacing w:before="45"/>
              <w:ind w:left="83"/>
              <w:jc w:val="left"/>
              <w:rPr>
                <w:rFonts w:ascii="Arial MT" w:hAnsi="Arial MT"/>
                <w:sz w:val="12"/>
              </w:rPr>
            </w:pPr>
            <w:r>
              <w:rPr>
                <w:rFonts w:ascii="Arial MT" w:hAnsi="Arial MT"/>
                <w:sz w:val="12"/>
              </w:rPr>
              <w:t>(+)</w:t>
            </w:r>
            <w:r>
              <w:rPr>
                <w:rFonts w:ascii="Arial MT" w:hAnsi="Arial MT"/>
                <w:spacing w:val="-1"/>
                <w:sz w:val="12"/>
              </w:rPr>
              <w:t xml:space="preserve"> </w:t>
            </w:r>
            <w:r>
              <w:rPr>
                <w:rFonts w:ascii="Arial MT" w:hAnsi="Arial MT"/>
                <w:sz w:val="12"/>
              </w:rPr>
              <w:t>Tributos</w:t>
            </w:r>
            <w:r>
              <w:rPr>
                <w:rFonts w:ascii="Arial MT" w:hAnsi="Arial MT"/>
                <w:spacing w:val="-1"/>
                <w:sz w:val="12"/>
              </w:rPr>
              <w:t xml:space="preserve"> </w:t>
            </w:r>
            <w:r>
              <w:rPr>
                <w:rFonts w:ascii="Arial MT" w:hAnsi="Arial MT"/>
                <w:sz w:val="12"/>
              </w:rPr>
              <w:t>sobre Superávit</w:t>
            </w:r>
            <w:r>
              <w:rPr>
                <w:rFonts w:ascii="Arial MT" w:hAnsi="Arial MT"/>
                <w:spacing w:val="-1"/>
                <w:sz w:val="12"/>
              </w:rPr>
              <w:t xml:space="preserve"> </w:t>
            </w:r>
            <w:r>
              <w:rPr>
                <w:rFonts w:ascii="Arial MT" w:hAnsi="Arial MT"/>
                <w:sz w:val="12"/>
              </w:rPr>
              <w:t>de</w:t>
            </w:r>
            <w:r>
              <w:rPr>
                <w:rFonts w:ascii="Arial MT" w:hAnsi="Arial MT"/>
                <w:spacing w:val="-1"/>
                <w:sz w:val="12"/>
              </w:rPr>
              <w:t xml:space="preserve"> </w:t>
            </w:r>
            <w:r>
              <w:rPr>
                <w:rFonts w:ascii="Arial MT" w:hAnsi="Arial MT"/>
                <w:sz w:val="12"/>
              </w:rPr>
              <w:t>Previdência</w:t>
            </w:r>
            <w:r>
              <w:rPr>
                <w:rFonts w:ascii="Arial MT" w:hAnsi="Arial MT"/>
                <w:spacing w:val="-1"/>
                <w:sz w:val="12"/>
              </w:rPr>
              <w:t xml:space="preserve"> </w:t>
            </w:r>
            <w:r>
              <w:rPr>
                <w:rFonts w:ascii="Arial MT" w:hAnsi="Arial MT"/>
                <w:spacing w:val="-2"/>
                <w:sz w:val="12"/>
              </w:rPr>
              <w:t>Privada</w:t>
            </w:r>
          </w:p>
        </w:tc>
        <w:tc>
          <w:tcPr>
            <w:tcW w:w="1645" w:type="dxa"/>
          </w:tcPr>
          <w:p w14:paraId="01C78D8D" w14:textId="77777777" w:rsidR="002C6574" w:rsidRDefault="00000000">
            <w:pPr>
              <w:pStyle w:val="TableParagraph"/>
              <w:spacing w:before="45"/>
              <w:ind w:right="197"/>
              <w:rPr>
                <w:rFonts w:ascii="Arial MT"/>
                <w:sz w:val="12"/>
              </w:rPr>
            </w:pPr>
            <w:r>
              <w:rPr>
                <w:rFonts w:ascii="Arial MT"/>
                <w:spacing w:val="-2"/>
                <w:sz w:val="12"/>
              </w:rPr>
              <w:t>12.462</w:t>
            </w:r>
          </w:p>
        </w:tc>
        <w:tc>
          <w:tcPr>
            <w:tcW w:w="918" w:type="dxa"/>
          </w:tcPr>
          <w:p w14:paraId="5F8E0634" w14:textId="77777777" w:rsidR="002C6574" w:rsidRDefault="00000000">
            <w:pPr>
              <w:pStyle w:val="TableParagraph"/>
              <w:spacing w:before="45"/>
              <w:ind w:right="198"/>
              <w:rPr>
                <w:rFonts w:ascii="Arial MT"/>
                <w:sz w:val="12"/>
              </w:rPr>
            </w:pPr>
            <w:r>
              <w:rPr>
                <w:rFonts w:ascii="Arial MT"/>
                <w:spacing w:val="-2"/>
                <w:sz w:val="12"/>
              </w:rPr>
              <w:t>19.614</w:t>
            </w:r>
          </w:p>
        </w:tc>
        <w:tc>
          <w:tcPr>
            <w:tcW w:w="842" w:type="dxa"/>
          </w:tcPr>
          <w:p w14:paraId="6690EAA2" w14:textId="77777777" w:rsidR="002C6574" w:rsidRDefault="00000000">
            <w:pPr>
              <w:pStyle w:val="TableParagraph"/>
              <w:spacing w:before="45"/>
              <w:ind w:right="121"/>
              <w:rPr>
                <w:rFonts w:ascii="Arial MT"/>
                <w:sz w:val="12"/>
              </w:rPr>
            </w:pPr>
            <w:r>
              <w:rPr>
                <w:rFonts w:ascii="Arial MT"/>
                <w:spacing w:val="-2"/>
                <w:sz w:val="12"/>
              </w:rPr>
              <w:t>3.137</w:t>
            </w:r>
          </w:p>
        </w:tc>
        <w:tc>
          <w:tcPr>
            <w:tcW w:w="852" w:type="dxa"/>
          </w:tcPr>
          <w:p w14:paraId="60862F5A" w14:textId="77777777" w:rsidR="002C6574" w:rsidRDefault="00000000">
            <w:pPr>
              <w:pStyle w:val="TableParagraph"/>
              <w:spacing w:before="45"/>
              <w:ind w:right="127"/>
              <w:rPr>
                <w:rFonts w:ascii="Arial MT"/>
                <w:sz w:val="12"/>
              </w:rPr>
            </w:pPr>
            <w:r>
              <w:rPr>
                <w:rFonts w:ascii="Arial MT"/>
                <w:sz w:val="12"/>
              </w:rPr>
              <w:t>-</w:t>
            </w:r>
            <w:r>
              <w:rPr>
                <w:rFonts w:ascii="Arial MT"/>
                <w:spacing w:val="-2"/>
                <w:sz w:val="12"/>
              </w:rPr>
              <w:t>36,5%</w:t>
            </w:r>
          </w:p>
        </w:tc>
        <w:tc>
          <w:tcPr>
            <w:tcW w:w="818" w:type="dxa"/>
          </w:tcPr>
          <w:p w14:paraId="16D37C1F" w14:textId="77777777" w:rsidR="002C6574" w:rsidRDefault="00000000">
            <w:pPr>
              <w:pStyle w:val="TableParagraph"/>
              <w:spacing w:before="45"/>
              <w:ind w:right="72"/>
              <w:rPr>
                <w:rFonts w:ascii="Arial MT"/>
                <w:sz w:val="12"/>
              </w:rPr>
            </w:pPr>
            <w:r>
              <w:rPr>
                <w:rFonts w:ascii="Arial MT"/>
                <w:spacing w:val="-2"/>
                <w:sz w:val="12"/>
              </w:rPr>
              <w:t>297,3%</w:t>
            </w:r>
          </w:p>
        </w:tc>
      </w:tr>
      <w:tr w:rsidR="002C6574" w14:paraId="0BAB5973" w14:textId="77777777">
        <w:trPr>
          <w:trHeight w:val="231"/>
        </w:trPr>
        <w:tc>
          <w:tcPr>
            <w:tcW w:w="4014" w:type="dxa"/>
          </w:tcPr>
          <w:p w14:paraId="152A2354" w14:textId="77777777" w:rsidR="002C6574" w:rsidRDefault="00000000">
            <w:pPr>
              <w:pStyle w:val="TableParagraph"/>
              <w:spacing w:before="45"/>
              <w:ind w:left="83"/>
              <w:jc w:val="left"/>
              <w:rPr>
                <w:rFonts w:ascii="Arial MT"/>
                <w:sz w:val="12"/>
              </w:rPr>
            </w:pPr>
            <w:r>
              <w:rPr>
                <w:rFonts w:ascii="Arial MT"/>
                <w:sz w:val="12"/>
              </w:rPr>
              <w:t>(-)</w:t>
            </w:r>
            <w:r>
              <w:rPr>
                <w:rFonts w:ascii="Arial MT"/>
                <w:spacing w:val="-1"/>
                <w:sz w:val="12"/>
              </w:rPr>
              <w:t xml:space="preserve"> </w:t>
            </w:r>
            <w:r>
              <w:rPr>
                <w:rFonts w:ascii="Arial MT"/>
                <w:sz w:val="12"/>
              </w:rPr>
              <w:t>Ganho</w:t>
            </w:r>
            <w:r>
              <w:rPr>
                <w:rFonts w:ascii="Arial MT"/>
                <w:spacing w:val="-1"/>
                <w:sz w:val="12"/>
              </w:rPr>
              <w:t xml:space="preserve"> </w:t>
            </w:r>
            <w:r>
              <w:rPr>
                <w:rFonts w:ascii="Arial MT"/>
                <w:sz w:val="12"/>
              </w:rPr>
              <w:t>na</w:t>
            </w:r>
            <w:r>
              <w:rPr>
                <w:rFonts w:ascii="Arial MT"/>
                <w:spacing w:val="1"/>
                <w:sz w:val="12"/>
              </w:rPr>
              <w:t xml:space="preserve"> </w:t>
            </w:r>
            <w:r>
              <w:rPr>
                <w:rFonts w:ascii="Arial MT"/>
                <w:sz w:val="12"/>
              </w:rPr>
              <w:t>Baixa</w:t>
            </w:r>
            <w:r>
              <w:rPr>
                <w:rFonts w:ascii="Arial MT"/>
                <w:spacing w:val="-1"/>
                <w:sz w:val="12"/>
              </w:rPr>
              <w:t xml:space="preserve"> </w:t>
            </w:r>
            <w:r>
              <w:rPr>
                <w:rFonts w:ascii="Arial MT"/>
                <w:sz w:val="12"/>
              </w:rPr>
              <w:t xml:space="preserve">de </w:t>
            </w:r>
            <w:r>
              <w:rPr>
                <w:rFonts w:ascii="Arial MT"/>
                <w:spacing w:val="-2"/>
                <w:sz w:val="12"/>
              </w:rPr>
              <w:t>Passivo</w:t>
            </w:r>
          </w:p>
        </w:tc>
        <w:tc>
          <w:tcPr>
            <w:tcW w:w="1645" w:type="dxa"/>
          </w:tcPr>
          <w:p w14:paraId="0C9A0591" w14:textId="77777777" w:rsidR="002C6574" w:rsidRDefault="00000000">
            <w:pPr>
              <w:pStyle w:val="TableParagraph"/>
              <w:spacing w:before="45"/>
              <w:ind w:right="196"/>
              <w:rPr>
                <w:rFonts w:ascii="Arial MT"/>
                <w:sz w:val="12"/>
              </w:rPr>
            </w:pPr>
            <w:r>
              <w:rPr>
                <w:rFonts w:ascii="Arial MT"/>
                <w:spacing w:val="-4"/>
                <w:sz w:val="12"/>
              </w:rPr>
              <w:t>(76)</w:t>
            </w:r>
          </w:p>
        </w:tc>
        <w:tc>
          <w:tcPr>
            <w:tcW w:w="918" w:type="dxa"/>
          </w:tcPr>
          <w:p w14:paraId="0BD43A0F" w14:textId="77777777" w:rsidR="002C6574" w:rsidRDefault="00000000">
            <w:pPr>
              <w:pStyle w:val="TableParagraph"/>
              <w:spacing w:before="45"/>
              <w:ind w:right="197"/>
              <w:rPr>
                <w:rFonts w:ascii="Arial MT"/>
                <w:sz w:val="12"/>
              </w:rPr>
            </w:pPr>
            <w:r>
              <w:rPr>
                <w:rFonts w:ascii="Arial MT"/>
                <w:spacing w:val="-2"/>
                <w:sz w:val="12"/>
              </w:rPr>
              <w:t>(2.297)</w:t>
            </w:r>
          </w:p>
        </w:tc>
        <w:tc>
          <w:tcPr>
            <w:tcW w:w="842" w:type="dxa"/>
          </w:tcPr>
          <w:p w14:paraId="67C415A2" w14:textId="77777777" w:rsidR="002C6574" w:rsidRDefault="00000000">
            <w:pPr>
              <w:pStyle w:val="TableParagraph"/>
              <w:spacing w:before="45"/>
              <w:ind w:right="118"/>
              <w:rPr>
                <w:rFonts w:ascii="Arial MT"/>
                <w:sz w:val="12"/>
              </w:rPr>
            </w:pPr>
            <w:r>
              <w:rPr>
                <w:rFonts w:ascii="Arial MT"/>
                <w:spacing w:val="-2"/>
                <w:sz w:val="12"/>
              </w:rPr>
              <w:t>(417)</w:t>
            </w:r>
          </w:p>
        </w:tc>
        <w:tc>
          <w:tcPr>
            <w:tcW w:w="852" w:type="dxa"/>
          </w:tcPr>
          <w:p w14:paraId="687ECCED" w14:textId="77777777" w:rsidR="002C6574" w:rsidRDefault="00000000">
            <w:pPr>
              <w:pStyle w:val="TableParagraph"/>
              <w:spacing w:before="45"/>
              <w:ind w:right="126"/>
              <w:rPr>
                <w:rFonts w:ascii="Arial MT"/>
                <w:sz w:val="12"/>
              </w:rPr>
            </w:pPr>
            <w:r>
              <w:rPr>
                <w:rFonts w:ascii="Arial MT"/>
                <w:sz w:val="12"/>
              </w:rPr>
              <w:t>-</w:t>
            </w:r>
            <w:r>
              <w:rPr>
                <w:rFonts w:ascii="Arial MT"/>
                <w:spacing w:val="-2"/>
                <w:sz w:val="12"/>
              </w:rPr>
              <w:t>96,7%</w:t>
            </w:r>
          </w:p>
        </w:tc>
        <w:tc>
          <w:tcPr>
            <w:tcW w:w="818" w:type="dxa"/>
          </w:tcPr>
          <w:p w14:paraId="6388A192" w14:textId="77777777" w:rsidR="002C6574" w:rsidRDefault="00000000">
            <w:pPr>
              <w:pStyle w:val="TableParagraph"/>
              <w:spacing w:before="45"/>
              <w:ind w:right="68"/>
              <w:rPr>
                <w:rFonts w:ascii="Arial MT"/>
                <w:sz w:val="12"/>
              </w:rPr>
            </w:pPr>
            <w:r>
              <w:rPr>
                <w:rFonts w:ascii="Arial MT"/>
                <w:sz w:val="12"/>
              </w:rPr>
              <w:t>-</w:t>
            </w:r>
            <w:r>
              <w:rPr>
                <w:rFonts w:ascii="Arial MT"/>
                <w:spacing w:val="-2"/>
                <w:sz w:val="12"/>
              </w:rPr>
              <w:t>81,8%</w:t>
            </w:r>
          </w:p>
        </w:tc>
      </w:tr>
      <w:tr w:rsidR="002C6574" w14:paraId="7A28CF69" w14:textId="77777777">
        <w:trPr>
          <w:trHeight w:val="231"/>
        </w:trPr>
        <w:tc>
          <w:tcPr>
            <w:tcW w:w="4014" w:type="dxa"/>
          </w:tcPr>
          <w:p w14:paraId="47934A79" w14:textId="77777777" w:rsidR="002C6574" w:rsidRDefault="00000000">
            <w:pPr>
              <w:pStyle w:val="TableParagraph"/>
              <w:spacing w:before="44"/>
              <w:ind w:left="83"/>
              <w:jc w:val="left"/>
              <w:rPr>
                <w:rFonts w:ascii="Arial MT"/>
                <w:sz w:val="12"/>
              </w:rPr>
            </w:pPr>
            <w:r>
              <w:rPr>
                <w:rFonts w:ascii="Arial MT"/>
                <w:sz w:val="12"/>
              </w:rPr>
              <w:t>(+)</w:t>
            </w:r>
            <w:r>
              <w:rPr>
                <w:rFonts w:ascii="Arial MT"/>
                <w:spacing w:val="-1"/>
                <w:sz w:val="12"/>
              </w:rPr>
              <w:t xml:space="preserve"> </w:t>
            </w:r>
            <w:r>
              <w:rPr>
                <w:rFonts w:ascii="Arial MT"/>
                <w:sz w:val="12"/>
              </w:rPr>
              <w:t>Baixa de Ativo</w:t>
            </w:r>
            <w:r>
              <w:rPr>
                <w:rFonts w:ascii="Arial MT"/>
                <w:spacing w:val="1"/>
                <w:sz w:val="12"/>
              </w:rPr>
              <w:t xml:space="preserve"> </w:t>
            </w:r>
            <w:r>
              <w:rPr>
                <w:rFonts w:ascii="Arial MT"/>
                <w:spacing w:val="-2"/>
                <w:sz w:val="12"/>
              </w:rPr>
              <w:t>Imobilizado</w:t>
            </w:r>
          </w:p>
        </w:tc>
        <w:tc>
          <w:tcPr>
            <w:tcW w:w="1645" w:type="dxa"/>
          </w:tcPr>
          <w:p w14:paraId="789CD88C" w14:textId="77777777" w:rsidR="002C6574" w:rsidRDefault="00000000">
            <w:pPr>
              <w:pStyle w:val="TableParagraph"/>
              <w:spacing w:before="44"/>
              <w:ind w:right="197"/>
              <w:rPr>
                <w:rFonts w:ascii="Arial MT"/>
                <w:sz w:val="12"/>
              </w:rPr>
            </w:pPr>
            <w:r>
              <w:rPr>
                <w:rFonts w:ascii="Arial MT"/>
                <w:spacing w:val="-10"/>
                <w:sz w:val="12"/>
              </w:rPr>
              <w:t>-</w:t>
            </w:r>
          </w:p>
        </w:tc>
        <w:tc>
          <w:tcPr>
            <w:tcW w:w="918" w:type="dxa"/>
          </w:tcPr>
          <w:p w14:paraId="342C75D6" w14:textId="77777777" w:rsidR="002C6574" w:rsidRDefault="00000000">
            <w:pPr>
              <w:pStyle w:val="TableParagraph"/>
              <w:spacing w:before="44"/>
              <w:ind w:right="198"/>
              <w:rPr>
                <w:rFonts w:ascii="Arial MT"/>
                <w:sz w:val="12"/>
              </w:rPr>
            </w:pPr>
            <w:r>
              <w:rPr>
                <w:rFonts w:ascii="Arial MT"/>
                <w:spacing w:val="-2"/>
                <w:sz w:val="12"/>
              </w:rPr>
              <w:t>2.666</w:t>
            </w:r>
          </w:p>
        </w:tc>
        <w:tc>
          <w:tcPr>
            <w:tcW w:w="842" w:type="dxa"/>
          </w:tcPr>
          <w:p w14:paraId="28B159B3" w14:textId="77777777" w:rsidR="002C6574" w:rsidRDefault="00000000">
            <w:pPr>
              <w:pStyle w:val="TableParagraph"/>
              <w:spacing w:before="44"/>
              <w:ind w:right="121"/>
              <w:rPr>
                <w:rFonts w:ascii="Arial MT"/>
                <w:sz w:val="12"/>
              </w:rPr>
            </w:pPr>
            <w:r>
              <w:rPr>
                <w:rFonts w:ascii="Arial MT"/>
                <w:spacing w:val="-5"/>
                <w:sz w:val="12"/>
              </w:rPr>
              <w:t>383</w:t>
            </w:r>
          </w:p>
        </w:tc>
        <w:tc>
          <w:tcPr>
            <w:tcW w:w="852" w:type="dxa"/>
          </w:tcPr>
          <w:p w14:paraId="36CB0264" w14:textId="77777777" w:rsidR="002C6574" w:rsidRDefault="00000000">
            <w:pPr>
              <w:pStyle w:val="TableParagraph"/>
              <w:spacing w:before="44"/>
              <w:ind w:right="127"/>
              <w:rPr>
                <w:rFonts w:ascii="Arial MT"/>
                <w:sz w:val="12"/>
              </w:rPr>
            </w:pPr>
            <w:r>
              <w:rPr>
                <w:rFonts w:ascii="Arial MT"/>
                <w:sz w:val="12"/>
              </w:rPr>
              <w:t>-</w:t>
            </w:r>
            <w:r>
              <w:rPr>
                <w:rFonts w:ascii="Arial MT"/>
                <w:spacing w:val="-2"/>
                <w:sz w:val="12"/>
              </w:rPr>
              <w:t>100,0%</w:t>
            </w:r>
          </w:p>
        </w:tc>
        <w:tc>
          <w:tcPr>
            <w:tcW w:w="818" w:type="dxa"/>
          </w:tcPr>
          <w:p w14:paraId="2527926B" w14:textId="77777777" w:rsidR="002C6574" w:rsidRDefault="00000000">
            <w:pPr>
              <w:pStyle w:val="TableParagraph"/>
              <w:spacing w:before="44"/>
              <w:ind w:right="69"/>
              <w:rPr>
                <w:rFonts w:ascii="Arial MT"/>
                <w:sz w:val="12"/>
              </w:rPr>
            </w:pPr>
            <w:r>
              <w:rPr>
                <w:rFonts w:ascii="Arial MT"/>
                <w:sz w:val="12"/>
              </w:rPr>
              <w:t>-</w:t>
            </w:r>
            <w:r>
              <w:rPr>
                <w:rFonts w:ascii="Arial MT"/>
                <w:spacing w:val="-2"/>
                <w:sz w:val="12"/>
              </w:rPr>
              <w:t>100,0%</w:t>
            </w:r>
          </w:p>
        </w:tc>
      </w:tr>
      <w:tr w:rsidR="002C6574" w14:paraId="24CCE84F" w14:textId="77777777">
        <w:trPr>
          <w:trHeight w:val="232"/>
        </w:trPr>
        <w:tc>
          <w:tcPr>
            <w:tcW w:w="4014" w:type="dxa"/>
          </w:tcPr>
          <w:p w14:paraId="0AA9E65C" w14:textId="77777777" w:rsidR="002C6574" w:rsidRDefault="00000000">
            <w:pPr>
              <w:pStyle w:val="TableParagraph"/>
              <w:spacing w:before="45"/>
              <w:ind w:left="83"/>
              <w:jc w:val="left"/>
              <w:rPr>
                <w:rFonts w:ascii="Arial MT"/>
                <w:sz w:val="12"/>
              </w:rPr>
            </w:pPr>
            <w:r>
              <w:rPr>
                <w:rFonts w:ascii="Arial MT"/>
                <w:sz w:val="12"/>
              </w:rPr>
              <w:t>(+)</w:t>
            </w:r>
            <w:r>
              <w:rPr>
                <w:rFonts w:ascii="Arial MT"/>
                <w:spacing w:val="-2"/>
                <w:sz w:val="12"/>
              </w:rPr>
              <w:t xml:space="preserve"> </w:t>
            </w:r>
            <w:r>
              <w:rPr>
                <w:rFonts w:ascii="Arial MT"/>
                <w:sz w:val="12"/>
              </w:rPr>
              <w:t>Multas Contratuais</w:t>
            </w:r>
            <w:r>
              <w:rPr>
                <w:rFonts w:ascii="Arial MT"/>
                <w:spacing w:val="-1"/>
                <w:sz w:val="12"/>
              </w:rPr>
              <w:t xml:space="preserve"> </w:t>
            </w:r>
            <w:r>
              <w:rPr>
                <w:rFonts w:ascii="Arial MT"/>
                <w:sz w:val="12"/>
              </w:rPr>
              <w:t>-</w:t>
            </w:r>
            <w:r>
              <w:rPr>
                <w:rFonts w:ascii="Arial MT"/>
                <w:spacing w:val="-1"/>
                <w:sz w:val="12"/>
              </w:rPr>
              <w:t xml:space="preserve"> </w:t>
            </w:r>
            <w:r>
              <w:rPr>
                <w:rFonts w:ascii="Arial MT"/>
                <w:spacing w:val="-2"/>
                <w:sz w:val="12"/>
              </w:rPr>
              <w:t>Dataprev</w:t>
            </w:r>
          </w:p>
        </w:tc>
        <w:tc>
          <w:tcPr>
            <w:tcW w:w="1645" w:type="dxa"/>
          </w:tcPr>
          <w:p w14:paraId="32F70A99" w14:textId="77777777" w:rsidR="002C6574" w:rsidRDefault="00000000">
            <w:pPr>
              <w:pStyle w:val="TableParagraph"/>
              <w:spacing w:before="45"/>
              <w:ind w:right="197"/>
              <w:rPr>
                <w:rFonts w:ascii="Arial MT"/>
                <w:sz w:val="12"/>
              </w:rPr>
            </w:pPr>
            <w:r>
              <w:rPr>
                <w:rFonts w:ascii="Arial MT"/>
                <w:spacing w:val="-2"/>
                <w:sz w:val="12"/>
              </w:rPr>
              <w:t>4.874</w:t>
            </w:r>
          </w:p>
        </w:tc>
        <w:tc>
          <w:tcPr>
            <w:tcW w:w="918" w:type="dxa"/>
          </w:tcPr>
          <w:p w14:paraId="4A5E6BBE" w14:textId="77777777" w:rsidR="002C6574" w:rsidRDefault="00000000">
            <w:pPr>
              <w:pStyle w:val="TableParagraph"/>
              <w:spacing w:before="45"/>
              <w:ind w:right="198"/>
              <w:rPr>
                <w:rFonts w:ascii="Arial MT"/>
                <w:sz w:val="12"/>
              </w:rPr>
            </w:pPr>
            <w:r>
              <w:rPr>
                <w:rFonts w:ascii="Arial MT"/>
                <w:spacing w:val="-2"/>
                <w:sz w:val="12"/>
              </w:rPr>
              <w:t>3.568</w:t>
            </w:r>
          </w:p>
        </w:tc>
        <w:tc>
          <w:tcPr>
            <w:tcW w:w="842" w:type="dxa"/>
          </w:tcPr>
          <w:p w14:paraId="235841E6" w14:textId="77777777" w:rsidR="002C6574" w:rsidRDefault="00000000">
            <w:pPr>
              <w:pStyle w:val="TableParagraph"/>
              <w:spacing w:before="45"/>
              <w:ind w:right="121"/>
              <w:rPr>
                <w:rFonts w:ascii="Arial MT"/>
                <w:sz w:val="12"/>
              </w:rPr>
            </w:pPr>
            <w:r>
              <w:rPr>
                <w:rFonts w:ascii="Arial MT"/>
                <w:spacing w:val="-2"/>
                <w:sz w:val="12"/>
              </w:rPr>
              <w:t>39.352</w:t>
            </w:r>
          </w:p>
        </w:tc>
        <w:tc>
          <w:tcPr>
            <w:tcW w:w="852" w:type="dxa"/>
          </w:tcPr>
          <w:p w14:paraId="0BE4E149" w14:textId="77777777" w:rsidR="002C6574" w:rsidRDefault="00000000">
            <w:pPr>
              <w:pStyle w:val="TableParagraph"/>
              <w:spacing w:before="45"/>
              <w:ind w:right="129"/>
              <w:rPr>
                <w:rFonts w:ascii="Arial MT"/>
                <w:sz w:val="12"/>
              </w:rPr>
            </w:pPr>
            <w:r>
              <w:rPr>
                <w:rFonts w:ascii="Arial MT"/>
                <w:spacing w:val="-2"/>
                <w:sz w:val="12"/>
              </w:rPr>
              <w:t>36,6%</w:t>
            </w:r>
          </w:p>
        </w:tc>
        <w:tc>
          <w:tcPr>
            <w:tcW w:w="818" w:type="dxa"/>
          </w:tcPr>
          <w:p w14:paraId="66A360FE" w14:textId="77777777" w:rsidR="002C6574" w:rsidRDefault="00000000">
            <w:pPr>
              <w:pStyle w:val="TableParagraph"/>
              <w:spacing w:before="45"/>
              <w:ind w:right="69"/>
              <w:rPr>
                <w:rFonts w:ascii="Arial MT"/>
                <w:sz w:val="12"/>
              </w:rPr>
            </w:pPr>
            <w:r>
              <w:rPr>
                <w:rFonts w:ascii="Arial MT"/>
                <w:sz w:val="12"/>
              </w:rPr>
              <w:t>-</w:t>
            </w:r>
            <w:r>
              <w:rPr>
                <w:rFonts w:ascii="Arial MT"/>
                <w:spacing w:val="-2"/>
                <w:sz w:val="12"/>
              </w:rPr>
              <w:t>87,6%</w:t>
            </w:r>
          </w:p>
        </w:tc>
      </w:tr>
      <w:tr w:rsidR="002C6574" w14:paraId="6E48ECCB" w14:textId="77777777">
        <w:trPr>
          <w:trHeight w:val="231"/>
        </w:trPr>
        <w:tc>
          <w:tcPr>
            <w:tcW w:w="4014" w:type="dxa"/>
          </w:tcPr>
          <w:p w14:paraId="63F8F816" w14:textId="77777777" w:rsidR="002C6574" w:rsidRDefault="00000000">
            <w:pPr>
              <w:pStyle w:val="TableParagraph"/>
              <w:spacing w:before="45"/>
              <w:ind w:left="83"/>
              <w:jc w:val="left"/>
              <w:rPr>
                <w:rFonts w:ascii="Arial MT"/>
                <w:sz w:val="12"/>
              </w:rPr>
            </w:pPr>
            <w:r>
              <w:rPr>
                <w:rFonts w:ascii="Arial MT"/>
                <w:sz w:val="12"/>
              </w:rPr>
              <w:t>(-)</w:t>
            </w:r>
            <w:r>
              <w:rPr>
                <w:rFonts w:ascii="Arial MT"/>
                <w:spacing w:val="-1"/>
                <w:sz w:val="12"/>
              </w:rPr>
              <w:t xml:space="preserve"> </w:t>
            </w:r>
            <w:r>
              <w:rPr>
                <w:rFonts w:ascii="Arial MT"/>
                <w:sz w:val="12"/>
              </w:rPr>
              <w:t>Ativos</w:t>
            </w:r>
            <w:r>
              <w:rPr>
                <w:rFonts w:ascii="Arial MT"/>
                <w:spacing w:val="1"/>
                <w:sz w:val="12"/>
              </w:rPr>
              <w:t xml:space="preserve"> </w:t>
            </w:r>
            <w:r>
              <w:rPr>
                <w:rFonts w:ascii="Arial MT"/>
                <w:spacing w:val="-2"/>
                <w:sz w:val="12"/>
              </w:rPr>
              <w:t>Contingentes</w:t>
            </w:r>
          </w:p>
        </w:tc>
        <w:tc>
          <w:tcPr>
            <w:tcW w:w="1645" w:type="dxa"/>
          </w:tcPr>
          <w:p w14:paraId="61525894" w14:textId="77777777" w:rsidR="002C6574" w:rsidRDefault="00000000">
            <w:pPr>
              <w:pStyle w:val="TableParagraph"/>
              <w:spacing w:before="45"/>
              <w:ind w:right="195"/>
              <w:rPr>
                <w:rFonts w:ascii="Arial MT"/>
                <w:sz w:val="12"/>
              </w:rPr>
            </w:pPr>
            <w:r>
              <w:rPr>
                <w:rFonts w:ascii="Arial MT"/>
                <w:spacing w:val="-2"/>
                <w:sz w:val="12"/>
              </w:rPr>
              <w:t>(14.960)</w:t>
            </w:r>
          </w:p>
        </w:tc>
        <w:tc>
          <w:tcPr>
            <w:tcW w:w="918" w:type="dxa"/>
          </w:tcPr>
          <w:p w14:paraId="2F1D17E2" w14:textId="77777777" w:rsidR="002C6574" w:rsidRDefault="00000000">
            <w:pPr>
              <w:pStyle w:val="TableParagraph"/>
              <w:spacing w:before="45"/>
              <w:ind w:right="198"/>
              <w:rPr>
                <w:rFonts w:ascii="Arial MT"/>
                <w:sz w:val="12"/>
              </w:rPr>
            </w:pPr>
            <w:r>
              <w:rPr>
                <w:rFonts w:ascii="Arial MT"/>
                <w:spacing w:val="-10"/>
                <w:sz w:val="12"/>
              </w:rPr>
              <w:t>-</w:t>
            </w:r>
          </w:p>
        </w:tc>
        <w:tc>
          <w:tcPr>
            <w:tcW w:w="842" w:type="dxa"/>
          </w:tcPr>
          <w:p w14:paraId="0A2A0515" w14:textId="77777777" w:rsidR="002C6574" w:rsidRDefault="00000000">
            <w:pPr>
              <w:pStyle w:val="TableParagraph"/>
              <w:spacing w:before="45"/>
              <w:ind w:right="122"/>
              <w:rPr>
                <w:rFonts w:ascii="Arial MT"/>
                <w:sz w:val="12"/>
              </w:rPr>
            </w:pPr>
            <w:r>
              <w:rPr>
                <w:rFonts w:ascii="Arial MT"/>
                <w:spacing w:val="-10"/>
                <w:sz w:val="12"/>
              </w:rPr>
              <w:t>-</w:t>
            </w:r>
          </w:p>
        </w:tc>
        <w:tc>
          <w:tcPr>
            <w:tcW w:w="852" w:type="dxa"/>
          </w:tcPr>
          <w:p w14:paraId="0911B127" w14:textId="77777777" w:rsidR="002C6574" w:rsidRDefault="00000000">
            <w:pPr>
              <w:pStyle w:val="TableParagraph"/>
              <w:spacing w:before="45"/>
              <w:ind w:right="129"/>
              <w:rPr>
                <w:rFonts w:ascii="Arial MT"/>
                <w:sz w:val="12"/>
              </w:rPr>
            </w:pPr>
            <w:r>
              <w:rPr>
                <w:rFonts w:ascii="Arial MT"/>
                <w:spacing w:val="-2"/>
                <w:sz w:val="12"/>
              </w:rPr>
              <w:t>100,0%</w:t>
            </w:r>
          </w:p>
        </w:tc>
        <w:tc>
          <w:tcPr>
            <w:tcW w:w="818" w:type="dxa"/>
          </w:tcPr>
          <w:p w14:paraId="06C5D354" w14:textId="77777777" w:rsidR="002C6574" w:rsidRDefault="00000000">
            <w:pPr>
              <w:pStyle w:val="TableParagraph"/>
              <w:spacing w:before="45"/>
              <w:ind w:right="72"/>
              <w:rPr>
                <w:rFonts w:ascii="Arial MT"/>
                <w:sz w:val="12"/>
              </w:rPr>
            </w:pPr>
            <w:r>
              <w:rPr>
                <w:rFonts w:ascii="Arial MT"/>
                <w:spacing w:val="-2"/>
                <w:sz w:val="12"/>
              </w:rPr>
              <w:t>100,0%</w:t>
            </w:r>
          </w:p>
        </w:tc>
      </w:tr>
      <w:tr w:rsidR="002C6574" w14:paraId="44962E02" w14:textId="77777777">
        <w:trPr>
          <w:trHeight w:val="231"/>
        </w:trPr>
        <w:tc>
          <w:tcPr>
            <w:tcW w:w="4014" w:type="dxa"/>
          </w:tcPr>
          <w:p w14:paraId="7EB1192F" w14:textId="77777777" w:rsidR="002C6574" w:rsidRDefault="00000000">
            <w:pPr>
              <w:pStyle w:val="TableParagraph"/>
              <w:spacing w:before="44"/>
              <w:ind w:left="83"/>
              <w:jc w:val="left"/>
              <w:rPr>
                <w:rFonts w:ascii="Arial MT"/>
                <w:sz w:val="12"/>
              </w:rPr>
            </w:pPr>
            <w:r>
              <w:rPr>
                <w:rFonts w:ascii="Arial MT"/>
                <w:sz w:val="12"/>
              </w:rPr>
              <w:t>(+)</w:t>
            </w:r>
            <w:r>
              <w:rPr>
                <w:rFonts w:ascii="Arial MT"/>
                <w:spacing w:val="-1"/>
                <w:sz w:val="12"/>
              </w:rPr>
              <w:t xml:space="preserve"> </w:t>
            </w:r>
            <w:r>
              <w:rPr>
                <w:rFonts w:ascii="Arial MT"/>
                <w:sz w:val="12"/>
              </w:rPr>
              <w:t>Tributos</w:t>
            </w:r>
            <w:r>
              <w:rPr>
                <w:rFonts w:ascii="Arial MT"/>
                <w:spacing w:val="1"/>
                <w:sz w:val="12"/>
              </w:rPr>
              <w:t xml:space="preserve"> </w:t>
            </w:r>
            <w:r>
              <w:rPr>
                <w:rFonts w:ascii="Arial MT"/>
                <w:sz w:val="12"/>
              </w:rPr>
              <w:t>s/</w:t>
            </w:r>
            <w:r>
              <w:rPr>
                <w:rFonts w:ascii="Arial MT"/>
                <w:spacing w:val="-1"/>
                <w:sz w:val="12"/>
              </w:rPr>
              <w:t xml:space="preserve"> </w:t>
            </w:r>
            <w:r>
              <w:rPr>
                <w:rFonts w:ascii="Arial MT"/>
                <w:sz w:val="12"/>
              </w:rPr>
              <w:t>Ativo</w:t>
            </w:r>
            <w:r>
              <w:rPr>
                <w:rFonts w:ascii="Arial MT"/>
                <w:spacing w:val="1"/>
                <w:sz w:val="12"/>
              </w:rPr>
              <w:t xml:space="preserve"> </w:t>
            </w:r>
            <w:r>
              <w:rPr>
                <w:rFonts w:ascii="Arial MT"/>
                <w:spacing w:val="-2"/>
                <w:sz w:val="12"/>
              </w:rPr>
              <w:t>Contingente</w:t>
            </w:r>
          </w:p>
        </w:tc>
        <w:tc>
          <w:tcPr>
            <w:tcW w:w="1645" w:type="dxa"/>
          </w:tcPr>
          <w:p w14:paraId="6B202093" w14:textId="77777777" w:rsidR="002C6574" w:rsidRDefault="00000000">
            <w:pPr>
              <w:pStyle w:val="TableParagraph"/>
              <w:spacing w:before="44"/>
              <w:ind w:right="197"/>
              <w:rPr>
                <w:rFonts w:ascii="Arial MT"/>
                <w:sz w:val="12"/>
              </w:rPr>
            </w:pPr>
            <w:r>
              <w:rPr>
                <w:rFonts w:ascii="Arial MT"/>
                <w:spacing w:val="-2"/>
                <w:sz w:val="12"/>
              </w:rPr>
              <w:t>1.384</w:t>
            </w:r>
          </w:p>
        </w:tc>
        <w:tc>
          <w:tcPr>
            <w:tcW w:w="918" w:type="dxa"/>
          </w:tcPr>
          <w:p w14:paraId="4A8E9506" w14:textId="77777777" w:rsidR="002C6574" w:rsidRDefault="00000000">
            <w:pPr>
              <w:pStyle w:val="TableParagraph"/>
              <w:spacing w:before="44"/>
              <w:ind w:right="199"/>
              <w:rPr>
                <w:rFonts w:ascii="Arial MT"/>
                <w:sz w:val="12"/>
              </w:rPr>
            </w:pPr>
            <w:r>
              <w:rPr>
                <w:rFonts w:ascii="Arial MT"/>
                <w:spacing w:val="-10"/>
                <w:sz w:val="12"/>
              </w:rPr>
              <w:t>-</w:t>
            </w:r>
          </w:p>
        </w:tc>
        <w:tc>
          <w:tcPr>
            <w:tcW w:w="842" w:type="dxa"/>
          </w:tcPr>
          <w:p w14:paraId="5AF7D720" w14:textId="77777777" w:rsidR="002C6574" w:rsidRDefault="00000000">
            <w:pPr>
              <w:pStyle w:val="TableParagraph"/>
              <w:spacing w:before="44"/>
              <w:ind w:right="122"/>
              <w:rPr>
                <w:rFonts w:ascii="Arial MT"/>
                <w:sz w:val="12"/>
              </w:rPr>
            </w:pPr>
            <w:r>
              <w:rPr>
                <w:rFonts w:ascii="Arial MT"/>
                <w:spacing w:val="-10"/>
                <w:sz w:val="12"/>
              </w:rPr>
              <w:t>-</w:t>
            </w:r>
          </w:p>
        </w:tc>
        <w:tc>
          <w:tcPr>
            <w:tcW w:w="852" w:type="dxa"/>
          </w:tcPr>
          <w:p w14:paraId="7104DF8E" w14:textId="77777777" w:rsidR="002C6574" w:rsidRDefault="00000000">
            <w:pPr>
              <w:pStyle w:val="TableParagraph"/>
              <w:spacing w:before="44"/>
              <w:ind w:right="129"/>
              <w:rPr>
                <w:rFonts w:ascii="Arial MT"/>
                <w:sz w:val="12"/>
              </w:rPr>
            </w:pPr>
            <w:r>
              <w:rPr>
                <w:rFonts w:ascii="Arial MT"/>
                <w:spacing w:val="-2"/>
                <w:sz w:val="12"/>
              </w:rPr>
              <w:t>100,0%</w:t>
            </w:r>
          </w:p>
        </w:tc>
        <w:tc>
          <w:tcPr>
            <w:tcW w:w="818" w:type="dxa"/>
          </w:tcPr>
          <w:p w14:paraId="6301513B" w14:textId="77777777" w:rsidR="002C6574" w:rsidRDefault="00000000">
            <w:pPr>
              <w:pStyle w:val="TableParagraph"/>
              <w:spacing w:before="44"/>
              <w:ind w:right="72"/>
              <w:rPr>
                <w:rFonts w:ascii="Arial MT"/>
                <w:sz w:val="12"/>
              </w:rPr>
            </w:pPr>
            <w:r>
              <w:rPr>
                <w:rFonts w:ascii="Arial MT"/>
                <w:spacing w:val="-2"/>
                <w:sz w:val="12"/>
              </w:rPr>
              <w:t>100,0%</w:t>
            </w:r>
          </w:p>
        </w:tc>
      </w:tr>
      <w:tr w:rsidR="002C6574" w14:paraId="40127D26" w14:textId="77777777">
        <w:trPr>
          <w:trHeight w:val="229"/>
        </w:trPr>
        <w:tc>
          <w:tcPr>
            <w:tcW w:w="4014" w:type="dxa"/>
            <w:tcBorders>
              <w:bottom w:val="single" w:sz="8" w:space="0" w:color="9AC1E6"/>
            </w:tcBorders>
          </w:tcPr>
          <w:p w14:paraId="506FD9F1" w14:textId="77777777" w:rsidR="002C6574" w:rsidRDefault="00000000">
            <w:pPr>
              <w:pStyle w:val="TableParagraph"/>
              <w:spacing w:before="45"/>
              <w:ind w:left="83"/>
              <w:jc w:val="left"/>
              <w:rPr>
                <w:rFonts w:ascii="Arial MT" w:hAnsi="Arial MT"/>
                <w:sz w:val="12"/>
              </w:rPr>
            </w:pPr>
            <w:r>
              <w:rPr>
                <w:rFonts w:ascii="Arial MT" w:hAnsi="Arial MT"/>
                <w:sz w:val="12"/>
              </w:rPr>
              <w:t>(+)</w:t>
            </w:r>
            <w:r>
              <w:rPr>
                <w:rFonts w:ascii="Arial MT" w:hAnsi="Arial MT"/>
                <w:spacing w:val="-3"/>
                <w:sz w:val="12"/>
              </w:rPr>
              <w:t xml:space="preserve"> </w:t>
            </w:r>
            <w:r>
              <w:rPr>
                <w:rFonts w:ascii="Arial MT" w:hAnsi="Arial MT"/>
                <w:sz w:val="12"/>
              </w:rPr>
              <w:t>Ajuste</w:t>
            </w:r>
            <w:r>
              <w:rPr>
                <w:rFonts w:ascii="Arial MT" w:hAnsi="Arial MT"/>
                <w:spacing w:val="-1"/>
                <w:sz w:val="12"/>
              </w:rPr>
              <w:t xml:space="preserve"> </w:t>
            </w:r>
            <w:r>
              <w:rPr>
                <w:rFonts w:ascii="Arial MT" w:hAnsi="Arial MT"/>
                <w:sz w:val="12"/>
              </w:rPr>
              <w:t>de IRPJ/CSLL</w:t>
            </w:r>
            <w:r>
              <w:rPr>
                <w:rFonts w:ascii="Arial MT" w:hAnsi="Arial MT"/>
                <w:spacing w:val="-1"/>
                <w:sz w:val="12"/>
              </w:rPr>
              <w:t xml:space="preserve"> </w:t>
            </w:r>
            <w:r>
              <w:rPr>
                <w:rFonts w:ascii="Arial MT" w:hAnsi="Arial MT"/>
                <w:sz w:val="12"/>
              </w:rPr>
              <w:t>sobre</w:t>
            </w:r>
            <w:r>
              <w:rPr>
                <w:rFonts w:ascii="Arial MT" w:hAnsi="Arial MT"/>
                <w:spacing w:val="-1"/>
                <w:sz w:val="12"/>
              </w:rPr>
              <w:t xml:space="preserve"> </w:t>
            </w:r>
            <w:r>
              <w:rPr>
                <w:rFonts w:ascii="Arial MT" w:hAnsi="Arial MT"/>
                <w:sz w:val="12"/>
              </w:rPr>
              <w:t>Eventos</w:t>
            </w:r>
            <w:r>
              <w:rPr>
                <w:rFonts w:ascii="Arial MT" w:hAnsi="Arial MT"/>
                <w:spacing w:val="-1"/>
                <w:sz w:val="12"/>
              </w:rPr>
              <w:t xml:space="preserve"> </w:t>
            </w:r>
            <w:r>
              <w:rPr>
                <w:rFonts w:ascii="Arial MT" w:hAnsi="Arial MT"/>
                <w:sz w:val="12"/>
              </w:rPr>
              <w:t xml:space="preserve">Não </w:t>
            </w:r>
            <w:r>
              <w:rPr>
                <w:rFonts w:ascii="Arial MT" w:hAnsi="Arial MT"/>
                <w:spacing w:val="-2"/>
                <w:sz w:val="12"/>
              </w:rPr>
              <w:t>recorrentes</w:t>
            </w:r>
          </w:p>
        </w:tc>
        <w:tc>
          <w:tcPr>
            <w:tcW w:w="1645" w:type="dxa"/>
            <w:tcBorders>
              <w:bottom w:val="single" w:sz="8" w:space="0" w:color="9AC1E6"/>
            </w:tcBorders>
          </w:tcPr>
          <w:p w14:paraId="6E08DCDF" w14:textId="77777777" w:rsidR="002C6574" w:rsidRDefault="00000000">
            <w:pPr>
              <w:pStyle w:val="TableParagraph"/>
              <w:spacing w:before="45"/>
              <w:ind w:right="198"/>
              <w:rPr>
                <w:rFonts w:ascii="Arial MT"/>
                <w:sz w:val="12"/>
              </w:rPr>
            </w:pPr>
            <w:r>
              <w:rPr>
                <w:rFonts w:ascii="Arial MT"/>
                <w:spacing w:val="-2"/>
                <w:sz w:val="12"/>
              </w:rPr>
              <w:t>31.188</w:t>
            </w:r>
          </w:p>
        </w:tc>
        <w:tc>
          <w:tcPr>
            <w:tcW w:w="918" w:type="dxa"/>
            <w:tcBorders>
              <w:bottom w:val="single" w:sz="8" w:space="0" w:color="9AC1E6"/>
            </w:tcBorders>
          </w:tcPr>
          <w:p w14:paraId="650E4D8C" w14:textId="77777777" w:rsidR="002C6574" w:rsidRDefault="00000000">
            <w:pPr>
              <w:pStyle w:val="TableParagraph"/>
              <w:spacing w:before="45"/>
              <w:ind w:right="199"/>
              <w:rPr>
                <w:rFonts w:ascii="Arial MT"/>
                <w:sz w:val="12"/>
              </w:rPr>
            </w:pPr>
            <w:r>
              <w:rPr>
                <w:rFonts w:ascii="Arial MT"/>
                <w:spacing w:val="-10"/>
                <w:sz w:val="12"/>
              </w:rPr>
              <w:t>-</w:t>
            </w:r>
          </w:p>
        </w:tc>
        <w:tc>
          <w:tcPr>
            <w:tcW w:w="842" w:type="dxa"/>
            <w:tcBorders>
              <w:bottom w:val="single" w:sz="8" w:space="0" w:color="9AC1E6"/>
            </w:tcBorders>
          </w:tcPr>
          <w:p w14:paraId="70C1DB7C" w14:textId="77777777" w:rsidR="002C6574" w:rsidRDefault="00000000">
            <w:pPr>
              <w:pStyle w:val="TableParagraph"/>
              <w:spacing w:before="45"/>
              <w:ind w:right="122"/>
              <w:rPr>
                <w:rFonts w:ascii="Arial MT"/>
                <w:sz w:val="12"/>
              </w:rPr>
            </w:pPr>
            <w:r>
              <w:rPr>
                <w:rFonts w:ascii="Arial MT"/>
                <w:spacing w:val="-10"/>
                <w:sz w:val="12"/>
              </w:rPr>
              <w:t>-</w:t>
            </w:r>
          </w:p>
        </w:tc>
        <w:tc>
          <w:tcPr>
            <w:tcW w:w="852" w:type="dxa"/>
            <w:tcBorders>
              <w:bottom w:val="single" w:sz="8" w:space="0" w:color="9AC1E6"/>
            </w:tcBorders>
          </w:tcPr>
          <w:p w14:paraId="580E05E7" w14:textId="77777777" w:rsidR="002C6574" w:rsidRDefault="00000000">
            <w:pPr>
              <w:pStyle w:val="TableParagraph"/>
              <w:spacing w:before="45"/>
              <w:ind w:right="129"/>
              <w:rPr>
                <w:rFonts w:ascii="Arial MT"/>
                <w:sz w:val="12"/>
              </w:rPr>
            </w:pPr>
            <w:r>
              <w:rPr>
                <w:rFonts w:ascii="Arial MT"/>
                <w:spacing w:val="-2"/>
                <w:sz w:val="12"/>
              </w:rPr>
              <w:t>100,0%</w:t>
            </w:r>
          </w:p>
        </w:tc>
        <w:tc>
          <w:tcPr>
            <w:tcW w:w="818" w:type="dxa"/>
            <w:tcBorders>
              <w:bottom w:val="single" w:sz="8" w:space="0" w:color="9AC1E6"/>
            </w:tcBorders>
          </w:tcPr>
          <w:p w14:paraId="2D055173" w14:textId="77777777" w:rsidR="002C6574" w:rsidRDefault="00000000">
            <w:pPr>
              <w:pStyle w:val="TableParagraph"/>
              <w:spacing w:before="45"/>
              <w:ind w:right="72"/>
              <w:rPr>
                <w:rFonts w:ascii="Arial MT"/>
                <w:sz w:val="12"/>
              </w:rPr>
            </w:pPr>
            <w:r>
              <w:rPr>
                <w:rFonts w:ascii="Arial MT"/>
                <w:spacing w:val="-2"/>
                <w:sz w:val="12"/>
              </w:rPr>
              <w:t>100,0%</w:t>
            </w:r>
          </w:p>
        </w:tc>
      </w:tr>
      <w:tr w:rsidR="002C6574" w14:paraId="074E36DB" w14:textId="77777777">
        <w:trPr>
          <w:trHeight w:val="231"/>
        </w:trPr>
        <w:tc>
          <w:tcPr>
            <w:tcW w:w="4014" w:type="dxa"/>
            <w:tcBorders>
              <w:top w:val="single" w:sz="8" w:space="0" w:color="9AC1E6"/>
              <w:bottom w:val="single" w:sz="8" w:space="0" w:color="9AC1E6"/>
            </w:tcBorders>
          </w:tcPr>
          <w:p w14:paraId="2057E283" w14:textId="77777777" w:rsidR="002C6574" w:rsidRDefault="00000000">
            <w:pPr>
              <w:pStyle w:val="TableParagraph"/>
              <w:spacing w:before="48"/>
              <w:ind w:left="83"/>
              <w:jc w:val="left"/>
              <w:rPr>
                <w:rFonts w:ascii="Arial" w:hAnsi="Arial"/>
                <w:b/>
                <w:sz w:val="12"/>
              </w:rPr>
            </w:pPr>
            <w:r>
              <w:rPr>
                <w:rFonts w:ascii="Arial" w:hAnsi="Arial"/>
                <w:b/>
                <w:sz w:val="12"/>
              </w:rPr>
              <w:t>Lucro/(Prejuízo)</w:t>
            </w:r>
            <w:r>
              <w:rPr>
                <w:rFonts w:ascii="Arial" w:hAnsi="Arial"/>
                <w:b/>
                <w:spacing w:val="-4"/>
                <w:sz w:val="12"/>
              </w:rPr>
              <w:t xml:space="preserve"> </w:t>
            </w:r>
            <w:r>
              <w:rPr>
                <w:rFonts w:ascii="Arial" w:hAnsi="Arial"/>
                <w:b/>
                <w:sz w:val="12"/>
              </w:rPr>
              <w:t>Líquido</w:t>
            </w:r>
            <w:r>
              <w:rPr>
                <w:rFonts w:ascii="Arial" w:hAnsi="Arial"/>
                <w:b/>
                <w:spacing w:val="-3"/>
                <w:sz w:val="12"/>
              </w:rPr>
              <w:t xml:space="preserve"> </w:t>
            </w:r>
            <w:r>
              <w:rPr>
                <w:rFonts w:ascii="Arial" w:hAnsi="Arial"/>
                <w:b/>
                <w:sz w:val="12"/>
              </w:rPr>
              <w:t>do</w:t>
            </w:r>
            <w:r>
              <w:rPr>
                <w:rFonts w:ascii="Arial" w:hAnsi="Arial"/>
                <w:b/>
                <w:spacing w:val="-1"/>
                <w:sz w:val="12"/>
              </w:rPr>
              <w:t xml:space="preserve"> </w:t>
            </w:r>
            <w:r>
              <w:rPr>
                <w:rFonts w:ascii="Arial" w:hAnsi="Arial"/>
                <w:b/>
                <w:sz w:val="12"/>
              </w:rPr>
              <w:t xml:space="preserve">Exercício </w:t>
            </w:r>
            <w:r>
              <w:rPr>
                <w:rFonts w:ascii="Arial" w:hAnsi="Arial"/>
                <w:b/>
                <w:spacing w:val="-2"/>
                <w:sz w:val="12"/>
              </w:rPr>
              <w:t>Recorrente</w:t>
            </w:r>
          </w:p>
        </w:tc>
        <w:tc>
          <w:tcPr>
            <w:tcW w:w="1645" w:type="dxa"/>
            <w:tcBorders>
              <w:top w:val="single" w:sz="8" w:space="0" w:color="9AC1E6"/>
              <w:bottom w:val="single" w:sz="8" w:space="0" w:color="9AC1E6"/>
            </w:tcBorders>
          </w:tcPr>
          <w:p w14:paraId="66998EE8" w14:textId="77777777" w:rsidR="002C6574" w:rsidRDefault="00000000">
            <w:pPr>
              <w:pStyle w:val="TableParagraph"/>
              <w:spacing w:before="48"/>
              <w:ind w:right="197"/>
              <w:rPr>
                <w:rFonts w:ascii="Arial"/>
                <w:b/>
                <w:sz w:val="12"/>
              </w:rPr>
            </w:pPr>
            <w:r>
              <w:rPr>
                <w:rFonts w:ascii="Arial"/>
                <w:b/>
                <w:spacing w:val="-2"/>
                <w:sz w:val="12"/>
              </w:rPr>
              <w:t>40.649</w:t>
            </w:r>
          </w:p>
        </w:tc>
        <w:tc>
          <w:tcPr>
            <w:tcW w:w="918" w:type="dxa"/>
            <w:tcBorders>
              <w:top w:val="single" w:sz="8" w:space="0" w:color="9AC1E6"/>
              <w:bottom w:val="single" w:sz="8" w:space="0" w:color="9AC1E6"/>
            </w:tcBorders>
          </w:tcPr>
          <w:p w14:paraId="2C0C59E3" w14:textId="77777777" w:rsidR="002C6574" w:rsidRDefault="00000000">
            <w:pPr>
              <w:pStyle w:val="TableParagraph"/>
              <w:spacing w:before="48"/>
              <w:ind w:left="203"/>
              <w:jc w:val="left"/>
              <w:rPr>
                <w:rFonts w:ascii="Arial"/>
                <w:b/>
                <w:sz w:val="12"/>
              </w:rPr>
            </w:pPr>
            <w:r>
              <w:rPr>
                <w:rFonts w:ascii="Arial"/>
                <w:b/>
                <w:spacing w:val="-2"/>
                <w:sz w:val="12"/>
              </w:rPr>
              <w:t>(255.059)</w:t>
            </w:r>
          </w:p>
        </w:tc>
        <w:tc>
          <w:tcPr>
            <w:tcW w:w="842" w:type="dxa"/>
            <w:tcBorders>
              <w:top w:val="single" w:sz="8" w:space="0" w:color="9AC1E6"/>
              <w:bottom w:val="single" w:sz="8" w:space="0" w:color="9AC1E6"/>
            </w:tcBorders>
          </w:tcPr>
          <w:p w14:paraId="70E119C0" w14:textId="77777777" w:rsidR="002C6574" w:rsidRDefault="00000000">
            <w:pPr>
              <w:pStyle w:val="TableParagraph"/>
              <w:spacing w:before="48"/>
              <w:ind w:right="118"/>
              <w:rPr>
                <w:rFonts w:ascii="Arial"/>
                <w:b/>
                <w:sz w:val="12"/>
              </w:rPr>
            </w:pPr>
            <w:r>
              <w:rPr>
                <w:rFonts w:ascii="Arial"/>
                <w:b/>
                <w:spacing w:val="-2"/>
                <w:sz w:val="12"/>
              </w:rPr>
              <w:t>(118.814)</w:t>
            </w:r>
          </w:p>
        </w:tc>
        <w:tc>
          <w:tcPr>
            <w:tcW w:w="852" w:type="dxa"/>
            <w:tcBorders>
              <w:top w:val="single" w:sz="8" w:space="0" w:color="9AC1E6"/>
              <w:bottom w:val="single" w:sz="8" w:space="0" w:color="9AC1E6"/>
            </w:tcBorders>
          </w:tcPr>
          <w:p w14:paraId="06A5D51D" w14:textId="77777777" w:rsidR="002C6574" w:rsidRDefault="00000000">
            <w:pPr>
              <w:pStyle w:val="TableParagraph"/>
              <w:spacing w:before="48"/>
              <w:ind w:right="127"/>
              <w:rPr>
                <w:rFonts w:ascii="Arial"/>
                <w:b/>
                <w:sz w:val="12"/>
              </w:rPr>
            </w:pPr>
            <w:r>
              <w:rPr>
                <w:rFonts w:ascii="Arial"/>
                <w:b/>
                <w:sz w:val="12"/>
              </w:rPr>
              <w:t>-</w:t>
            </w:r>
            <w:r>
              <w:rPr>
                <w:rFonts w:ascii="Arial"/>
                <w:b/>
                <w:spacing w:val="-2"/>
                <w:sz w:val="12"/>
              </w:rPr>
              <w:t>115,9%</w:t>
            </w:r>
          </w:p>
        </w:tc>
        <w:tc>
          <w:tcPr>
            <w:tcW w:w="818" w:type="dxa"/>
            <w:tcBorders>
              <w:top w:val="single" w:sz="8" w:space="0" w:color="9AC1E6"/>
              <w:bottom w:val="single" w:sz="8" w:space="0" w:color="9AC1E6"/>
            </w:tcBorders>
          </w:tcPr>
          <w:p w14:paraId="22ED5E7A" w14:textId="77777777" w:rsidR="002C6574" w:rsidRDefault="00000000">
            <w:pPr>
              <w:pStyle w:val="TableParagraph"/>
              <w:spacing w:before="48"/>
              <w:ind w:right="73"/>
              <w:rPr>
                <w:rFonts w:ascii="Arial"/>
                <w:b/>
                <w:sz w:val="12"/>
              </w:rPr>
            </w:pPr>
            <w:r>
              <w:rPr>
                <w:rFonts w:ascii="Arial"/>
                <w:b/>
                <w:spacing w:val="-2"/>
                <w:sz w:val="12"/>
              </w:rPr>
              <w:t>114,7%</w:t>
            </w:r>
          </w:p>
        </w:tc>
      </w:tr>
      <w:tr w:rsidR="002C6574" w14:paraId="094806BD" w14:textId="77777777">
        <w:trPr>
          <w:trHeight w:val="232"/>
        </w:trPr>
        <w:tc>
          <w:tcPr>
            <w:tcW w:w="4014" w:type="dxa"/>
            <w:tcBorders>
              <w:top w:val="single" w:sz="8" w:space="0" w:color="9AC1E6"/>
              <w:bottom w:val="single" w:sz="8" w:space="0" w:color="9AC1E6"/>
            </w:tcBorders>
          </w:tcPr>
          <w:p w14:paraId="5E9B1C70" w14:textId="77777777" w:rsidR="002C6574" w:rsidRDefault="00000000">
            <w:pPr>
              <w:pStyle w:val="TableParagraph"/>
              <w:spacing w:before="48"/>
              <w:ind w:left="83"/>
              <w:jc w:val="left"/>
              <w:rPr>
                <w:rFonts w:ascii="Arial" w:hAnsi="Arial"/>
                <w:b/>
                <w:sz w:val="12"/>
              </w:rPr>
            </w:pPr>
            <w:r>
              <w:rPr>
                <w:rFonts w:ascii="Arial" w:hAnsi="Arial"/>
                <w:b/>
                <w:sz w:val="12"/>
              </w:rPr>
              <w:t>Margem</w:t>
            </w:r>
            <w:r>
              <w:rPr>
                <w:rFonts w:ascii="Arial" w:hAnsi="Arial"/>
                <w:b/>
                <w:spacing w:val="-5"/>
                <w:sz w:val="12"/>
              </w:rPr>
              <w:t xml:space="preserve"> </w:t>
            </w:r>
            <w:r>
              <w:rPr>
                <w:rFonts w:ascii="Arial" w:hAnsi="Arial"/>
                <w:b/>
                <w:spacing w:val="-2"/>
                <w:sz w:val="12"/>
              </w:rPr>
              <w:t>Líquida</w:t>
            </w:r>
          </w:p>
        </w:tc>
        <w:tc>
          <w:tcPr>
            <w:tcW w:w="1645" w:type="dxa"/>
            <w:tcBorders>
              <w:top w:val="single" w:sz="8" w:space="0" w:color="9AC1E6"/>
              <w:bottom w:val="single" w:sz="8" w:space="0" w:color="9AC1E6"/>
            </w:tcBorders>
          </w:tcPr>
          <w:p w14:paraId="7F9EED52" w14:textId="77777777" w:rsidR="002C6574" w:rsidRDefault="00000000">
            <w:pPr>
              <w:pStyle w:val="TableParagraph"/>
              <w:spacing w:before="48"/>
              <w:ind w:right="196"/>
              <w:rPr>
                <w:rFonts w:ascii="Arial"/>
                <w:b/>
                <w:sz w:val="12"/>
              </w:rPr>
            </w:pPr>
            <w:r>
              <w:rPr>
                <w:rFonts w:ascii="Arial"/>
                <w:b/>
                <w:spacing w:val="-4"/>
                <w:sz w:val="12"/>
              </w:rPr>
              <w:t>8,3%</w:t>
            </w:r>
          </w:p>
        </w:tc>
        <w:tc>
          <w:tcPr>
            <w:tcW w:w="918" w:type="dxa"/>
            <w:tcBorders>
              <w:top w:val="single" w:sz="8" w:space="0" w:color="9AC1E6"/>
              <w:bottom w:val="single" w:sz="8" w:space="0" w:color="9AC1E6"/>
            </w:tcBorders>
          </w:tcPr>
          <w:p w14:paraId="0F034D91" w14:textId="77777777" w:rsidR="002C6574" w:rsidRDefault="00000000">
            <w:pPr>
              <w:pStyle w:val="TableParagraph"/>
              <w:spacing w:before="48"/>
              <w:ind w:right="194"/>
              <w:rPr>
                <w:rFonts w:ascii="Arial"/>
                <w:b/>
                <w:sz w:val="12"/>
              </w:rPr>
            </w:pPr>
            <w:r>
              <w:rPr>
                <w:rFonts w:ascii="Arial"/>
                <w:b/>
                <w:sz w:val="12"/>
              </w:rPr>
              <w:t>-</w:t>
            </w:r>
            <w:r>
              <w:rPr>
                <w:rFonts w:ascii="Arial"/>
                <w:b/>
                <w:spacing w:val="-2"/>
                <w:sz w:val="12"/>
              </w:rPr>
              <w:t>61,6%</w:t>
            </w:r>
          </w:p>
        </w:tc>
        <w:tc>
          <w:tcPr>
            <w:tcW w:w="842" w:type="dxa"/>
            <w:tcBorders>
              <w:top w:val="single" w:sz="8" w:space="0" w:color="9AC1E6"/>
              <w:bottom w:val="single" w:sz="8" w:space="0" w:color="9AC1E6"/>
            </w:tcBorders>
          </w:tcPr>
          <w:p w14:paraId="0CC36103" w14:textId="77777777" w:rsidR="002C6574" w:rsidRDefault="00000000">
            <w:pPr>
              <w:pStyle w:val="TableParagraph"/>
              <w:spacing w:before="48"/>
              <w:ind w:right="117"/>
              <w:rPr>
                <w:rFonts w:ascii="Arial"/>
                <w:b/>
                <w:sz w:val="12"/>
              </w:rPr>
            </w:pPr>
            <w:r>
              <w:rPr>
                <w:rFonts w:ascii="Arial"/>
                <w:b/>
                <w:sz w:val="12"/>
              </w:rPr>
              <w:t>-</w:t>
            </w:r>
            <w:r>
              <w:rPr>
                <w:rFonts w:ascii="Arial"/>
                <w:b/>
                <w:spacing w:val="-2"/>
                <w:sz w:val="12"/>
              </w:rPr>
              <w:t>28,5%</w:t>
            </w:r>
          </w:p>
        </w:tc>
        <w:tc>
          <w:tcPr>
            <w:tcW w:w="852" w:type="dxa"/>
            <w:tcBorders>
              <w:top w:val="single" w:sz="8" w:space="0" w:color="9AC1E6"/>
              <w:bottom w:val="single" w:sz="8" w:space="0" w:color="9AC1E6"/>
            </w:tcBorders>
          </w:tcPr>
          <w:p w14:paraId="3E6D5F72" w14:textId="77777777" w:rsidR="002C6574" w:rsidRDefault="00000000">
            <w:pPr>
              <w:pStyle w:val="TableParagraph"/>
              <w:spacing w:before="48"/>
              <w:ind w:right="127"/>
              <w:rPr>
                <w:rFonts w:ascii="Arial"/>
                <w:b/>
                <w:sz w:val="12"/>
              </w:rPr>
            </w:pPr>
            <w:r>
              <w:rPr>
                <w:rFonts w:ascii="Arial"/>
                <w:b/>
                <w:sz w:val="12"/>
              </w:rPr>
              <w:t>-</w:t>
            </w:r>
            <w:r>
              <w:rPr>
                <w:rFonts w:ascii="Arial"/>
                <w:b/>
                <w:spacing w:val="-2"/>
                <w:sz w:val="12"/>
              </w:rPr>
              <w:t>113,4%</w:t>
            </w:r>
          </w:p>
        </w:tc>
        <w:tc>
          <w:tcPr>
            <w:tcW w:w="818" w:type="dxa"/>
            <w:tcBorders>
              <w:top w:val="single" w:sz="8" w:space="0" w:color="9AC1E6"/>
              <w:bottom w:val="single" w:sz="8" w:space="0" w:color="9AC1E6"/>
            </w:tcBorders>
          </w:tcPr>
          <w:p w14:paraId="04F36A77" w14:textId="77777777" w:rsidR="002C6574" w:rsidRDefault="00000000">
            <w:pPr>
              <w:pStyle w:val="TableParagraph"/>
              <w:spacing w:before="48"/>
              <w:ind w:right="71"/>
              <w:rPr>
                <w:rFonts w:ascii="Arial"/>
                <w:b/>
                <w:sz w:val="12"/>
              </w:rPr>
            </w:pPr>
            <w:r>
              <w:rPr>
                <w:rFonts w:ascii="Arial"/>
                <w:b/>
                <w:spacing w:val="-2"/>
                <w:sz w:val="12"/>
              </w:rPr>
              <w:t>116,0%</w:t>
            </w:r>
          </w:p>
        </w:tc>
      </w:tr>
      <w:tr w:rsidR="002C6574" w14:paraId="7BC6AF5C" w14:textId="77777777">
        <w:trPr>
          <w:trHeight w:val="231"/>
        </w:trPr>
        <w:tc>
          <w:tcPr>
            <w:tcW w:w="4014" w:type="dxa"/>
            <w:tcBorders>
              <w:top w:val="single" w:sz="8" w:space="0" w:color="9AC1E6"/>
              <w:bottom w:val="single" w:sz="8" w:space="0" w:color="9AC1E6"/>
            </w:tcBorders>
          </w:tcPr>
          <w:p w14:paraId="2B373A48" w14:textId="77777777" w:rsidR="002C6574" w:rsidRDefault="00000000">
            <w:pPr>
              <w:pStyle w:val="TableParagraph"/>
              <w:spacing w:before="48"/>
              <w:ind w:left="83"/>
              <w:jc w:val="left"/>
              <w:rPr>
                <w:rFonts w:ascii="Arial" w:hAnsi="Arial"/>
                <w:b/>
                <w:sz w:val="12"/>
              </w:rPr>
            </w:pPr>
            <w:r>
              <w:rPr>
                <w:rFonts w:ascii="Arial" w:hAnsi="Arial"/>
                <w:b/>
                <w:sz w:val="12"/>
              </w:rPr>
              <w:t>Lucro/(Prejuízo)</w:t>
            </w:r>
            <w:r>
              <w:rPr>
                <w:rFonts w:ascii="Arial" w:hAnsi="Arial"/>
                <w:b/>
                <w:spacing w:val="-5"/>
                <w:sz w:val="12"/>
              </w:rPr>
              <w:t xml:space="preserve"> </w:t>
            </w:r>
            <w:r>
              <w:rPr>
                <w:rFonts w:ascii="Arial" w:hAnsi="Arial"/>
                <w:b/>
                <w:sz w:val="12"/>
              </w:rPr>
              <w:t>por</w:t>
            </w:r>
            <w:r>
              <w:rPr>
                <w:rFonts w:ascii="Arial" w:hAnsi="Arial"/>
                <w:b/>
                <w:spacing w:val="-2"/>
                <w:sz w:val="12"/>
              </w:rPr>
              <w:t xml:space="preserve"> </w:t>
            </w:r>
            <w:r>
              <w:rPr>
                <w:rFonts w:ascii="Arial" w:hAnsi="Arial"/>
                <w:b/>
                <w:sz w:val="12"/>
              </w:rPr>
              <w:t>Ação</w:t>
            </w:r>
            <w:r>
              <w:rPr>
                <w:rFonts w:ascii="Arial" w:hAnsi="Arial"/>
                <w:b/>
                <w:spacing w:val="1"/>
                <w:sz w:val="12"/>
              </w:rPr>
              <w:t xml:space="preserve"> </w:t>
            </w:r>
            <w:r>
              <w:rPr>
                <w:rFonts w:ascii="Arial" w:hAnsi="Arial"/>
                <w:b/>
                <w:spacing w:val="-4"/>
                <w:sz w:val="12"/>
              </w:rPr>
              <w:t>(R$)</w:t>
            </w:r>
          </w:p>
        </w:tc>
        <w:tc>
          <w:tcPr>
            <w:tcW w:w="1645" w:type="dxa"/>
            <w:tcBorders>
              <w:top w:val="single" w:sz="8" w:space="0" w:color="9AC1E6"/>
              <w:bottom w:val="single" w:sz="8" w:space="0" w:color="9AC1E6"/>
            </w:tcBorders>
          </w:tcPr>
          <w:p w14:paraId="00C3A9C9" w14:textId="77777777" w:rsidR="002C6574" w:rsidRDefault="00000000">
            <w:pPr>
              <w:pStyle w:val="TableParagraph"/>
              <w:spacing w:before="48"/>
              <w:ind w:right="194"/>
              <w:rPr>
                <w:rFonts w:ascii="Arial"/>
                <w:b/>
                <w:sz w:val="12"/>
              </w:rPr>
            </w:pPr>
            <w:r>
              <w:rPr>
                <w:rFonts w:ascii="Arial"/>
                <w:b/>
                <w:spacing w:val="-2"/>
                <w:sz w:val="12"/>
              </w:rPr>
              <w:t>0,4414</w:t>
            </w:r>
          </w:p>
        </w:tc>
        <w:tc>
          <w:tcPr>
            <w:tcW w:w="918" w:type="dxa"/>
            <w:tcBorders>
              <w:top w:val="single" w:sz="8" w:space="0" w:color="9AC1E6"/>
              <w:bottom w:val="single" w:sz="8" w:space="0" w:color="9AC1E6"/>
            </w:tcBorders>
          </w:tcPr>
          <w:p w14:paraId="6D553E63" w14:textId="77777777" w:rsidR="002C6574" w:rsidRDefault="00000000">
            <w:pPr>
              <w:pStyle w:val="TableParagraph"/>
              <w:spacing w:before="48"/>
              <w:ind w:right="196"/>
              <w:rPr>
                <w:rFonts w:ascii="Arial"/>
                <w:b/>
                <w:sz w:val="12"/>
              </w:rPr>
            </w:pPr>
            <w:r>
              <w:rPr>
                <w:rFonts w:ascii="Arial"/>
                <w:b/>
                <w:sz w:val="12"/>
              </w:rPr>
              <w:t>-</w:t>
            </w:r>
            <w:r>
              <w:rPr>
                <w:rFonts w:ascii="Arial"/>
                <w:b/>
                <w:spacing w:val="-2"/>
                <w:sz w:val="12"/>
              </w:rPr>
              <w:t>2,9526</w:t>
            </w:r>
          </w:p>
        </w:tc>
        <w:tc>
          <w:tcPr>
            <w:tcW w:w="842" w:type="dxa"/>
            <w:tcBorders>
              <w:top w:val="single" w:sz="8" w:space="0" w:color="9AC1E6"/>
              <w:bottom w:val="single" w:sz="8" w:space="0" w:color="9AC1E6"/>
            </w:tcBorders>
          </w:tcPr>
          <w:p w14:paraId="7A4748E9" w14:textId="77777777" w:rsidR="002C6574" w:rsidRDefault="00000000">
            <w:pPr>
              <w:pStyle w:val="TableParagraph"/>
              <w:spacing w:before="48"/>
              <w:ind w:right="119"/>
              <w:rPr>
                <w:rFonts w:ascii="Arial"/>
                <w:b/>
                <w:sz w:val="12"/>
              </w:rPr>
            </w:pPr>
            <w:r>
              <w:rPr>
                <w:rFonts w:ascii="Arial"/>
                <w:b/>
                <w:sz w:val="12"/>
              </w:rPr>
              <w:t>-</w:t>
            </w:r>
            <w:r>
              <w:rPr>
                <w:rFonts w:ascii="Arial"/>
                <w:b/>
                <w:spacing w:val="-2"/>
                <w:sz w:val="12"/>
              </w:rPr>
              <w:t>1,3754</w:t>
            </w:r>
          </w:p>
        </w:tc>
        <w:tc>
          <w:tcPr>
            <w:tcW w:w="852" w:type="dxa"/>
            <w:tcBorders>
              <w:top w:val="single" w:sz="8" w:space="0" w:color="9AC1E6"/>
              <w:bottom w:val="single" w:sz="8" w:space="0" w:color="9AC1E6"/>
            </w:tcBorders>
          </w:tcPr>
          <w:p w14:paraId="1BC4FC12" w14:textId="77777777" w:rsidR="002C6574" w:rsidRDefault="00000000">
            <w:pPr>
              <w:pStyle w:val="TableParagraph"/>
              <w:spacing w:before="48"/>
              <w:ind w:right="127"/>
              <w:rPr>
                <w:rFonts w:ascii="Arial"/>
                <w:b/>
                <w:sz w:val="12"/>
              </w:rPr>
            </w:pPr>
            <w:r>
              <w:rPr>
                <w:rFonts w:ascii="Arial"/>
                <w:b/>
                <w:sz w:val="12"/>
              </w:rPr>
              <w:t>-</w:t>
            </w:r>
            <w:r>
              <w:rPr>
                <w:rFonts w:ascii="Arial"/>
                <w:b/>
                <w:spacing w:val="-2"/>
                <w:sz w:val="12"/>
              </w:rPr>
              <w:t>114,9%</w:t>
            </w:r>
          </w:p>
        </w:tc>
        <w:tc>
          <w:tcPr>
            <w:tcW w:w="818" w:type="dxa"/>
            <w:tcBorders>
              <w:top w:val="single" w:sz="8" w:space="0" w:color="9AC1E6"/>
              <w:bottom w:val="single" w:sz="8" w:space="0" w:color="9AC1E6"/>
            </w:tcBorders>
          </w:tcPr>
          <w:p w14:paraId="6F0707E4" w14:textId="77777777" w:rsidR="002C6574" w:rsidRDefault="00000000">
            <w:pPr>
              <w:pStyle w:val="TableParagraph"/>
              <w:spacing w:before="48"/>
              <w:ind w:right="71"/>
              <w:rPr>
                <w:rFonts w:ascii="Arial"/>
                <w:b/>
                <w:sz w:val="12"/>
              </w:rPr>
            </w:pPr>
            <w:r>
              <w:rPr>
                <w:rFonts w:ascii="Arial"/>
                <w:b/>
                <w:spacing w:val="-2"/>
                <w:sz w:val="12"/>
              </w:rPr>
              <w:t>114,7%</w:t>
            </w:r>
          </w:p>
        </w:tc>
      </w:tr>
    </w:tbl>
    <w:p w14:paraId="10424E3E" w14:textId="77777777" w:rsidR="002C6574" w:rsidRDefault="00000000">
      <w:pPr>
        <w:spacing w:before="116"/>
        <w:ind w:left="425"/>
        <w:jc w:val="center"/>
        <w:rPr>
          <w:rFonts w:ascii="Calibri"/>
          <w:sz w:val="16"/>
        </w:rPr>
      </w:pPr>
      <w:r>
        <w:rPr>
          <w:rFonts w:ascii="Calibri"/>
          <w:color w:val="001F60"/>
          <w:sz w:val="16"/>
        </w:rPr>
        <w:t>Tabela</w:t>
      </w:r>
      <w:r>
        <w:rPr>
          <w:rFonts w:ascii="Calibri"/>
          <w:color w:val="001F60"/>
          <w:spacing w:val="-4"/>
          <w:sz w:val="16"/>
        </w:rPr>
        <w:t xml:space="preserve"> </w:t>
      </w:r>
      <w:r>
        <w:rPr>
          <w:rFonts w:ascii="Calibri"/>
          <w:color w:val="001F60"/>
          <w:sz w:val="16"/>
        </w:rPr>
        <w:t>3-10</w:t>
      </w:r>
      <w:r>
        <w:rPr>
          <w:rFonts w:ascii="Calibri"/>
          <w:color w:val="001F60"/>
          <w:spacing w:val="-4"/>
          <w:sz w:val="16"/>
        </w:rPr>
        <w:t xml:space="preserve"> </w:t>
      </w:r>
      <w:r>
        <w:rPr>
          <w:rFonts w:ascii="Calibri"/>
          <w:color w:val="001F60"/>
          <w:sz w:val="16"/>
        </w:rPr>
        <w:t>Resultado</w:t>
      </w:r>
      <w:r>
        <w:rPr>
          <w:rFonts w:ascii="Calibri"/>
          <w:color w:val="001F60"/>
          <w:spacing w:val="-3"/>
          <w:sz w:val="16"/>
        </w:rPr>
        <w:t xml:space="preserve"> </w:t>
      </w:r>
      <w:r>
        <w:rPr>
          <w:rFonts w:ascii="Calibri"/>
          <w:color w:val="001F60"/>
          <w:spacing w:val="-2"/>
          <w:sz w:val="16"/>
        </w:rPr>
        <w:t>Recorrente</w:t>
      </w:r>
    </w:p>
    <w:p w14:paraId="5AC050B3" w14:textId="77777777" w:rsidR="002C6574" w:rsidRDefault="00000000">
      <w:pPr>
        <w:pStyle w:val="Corpodetexto"/>
        <w:spacing w:before="122"/>
        <w:ind w:left="709" w:right="277"/>
        <w:jc w:val="both"/>
        <w:rPr>
          <w:rFonts w:ascii="Calibri" w:hAnsi="Calibri"/>
        </w:rPr>
      </w:pPr>
      <w:r>
        <w:rPr>
          <w:rFonts w:ascii="Calibri" w:hAnsi="Calibri"/>
          <w:color w:val="001F60"/>
        </w:rPr>
        <w:t>Em</w:t>
      </w:r>
      <w:r>
        <w:rPr>
          <w:rFonts w:ascii="Calibri" w:hAnsi="Calibri"/>
          <w:color w:val="001F60"/>
          <w:spacing w:val="-8"/>
        </w:rPr>
        <w:t xml:space="preserve"> </w:t>
      </w:r>
      <w:r>
        <w:rPr>
          <w:rFonts w:ascii="Calibri" w:hAnsi="Calibri"/>
          <w:color w:val="001F60"/>
        </w:rPr>
        <w:t>2025,</w:t>
      </w:r>
      <w:r>
        <w:rPr>
          <w:rFonts w:ascii="Calibri" w:hAnsi="Calibri"/>
          <w:color w:val="001F60"/>
          <w:spacing w:val="-10"/>
        </w:rPr>
        <w:t xml:space="preserve"> </w:t>
      </w:r>
      <w:r>
        <w:rPr>
          <w:rFonts w:ascii="Calibri" w:hAnsi="Calibri"/>
          <w:color w:val="001F60"/>
        </w:rPr>
        <w:t>a</w:t>
      </w:r>
      <w:r>
        <w:rPr>
          <w:rFonts w:ascii="Calibri" w:hAnsi="Calibri"/>
          <w:color w:val="001F60"/>
          <w:spacing w:val="-8"/>
        </w:rPr>
        <w:t xml:space="preserve"> </w:t>
      </w:r>
      <w:r>
        <w:rPr>
          <w:rFonts w:ascii="Calibri" w:hAnsi="Calibri"/>
          <w:color w:val="001F60"/>
        </w:rPr>
        <w:t>Companhia</w:t>
      </w:r>
      <w:r>
        <w:rPr>
          <w:rFonts w:ascii="Calibri" w:hAnsi="Calibri"/>
          <w:color w:val="001F60"/>
          <w:spacing w:val="-8"/>
        </w:rPr>
        <w:t xml:space="preserve"> </w:t>
      </w:r>
      <w:r>
        <w:rPr>
          <w:rFonts w:ascii="Calibri" w:hAnsi="Calibri"/>
          <w:color w:val="001F60"/>
        </w:rPr>
        <w:t>apresentou</w:t>
      </w:r>
      <w:r>
        <w:rPr>
          <w:rFonts w:ascii="Calibri" w:hAnsi="Calibri"/>
          <w:color w:val="001F60"/>
          <w:spacing w:val="-9"/>
        </w:rPr>
        <w:t xml:space="preserve"> </w:t>
      </w:r>
      <w:r>
        <w:rPr>
          <w:rFonts w:ascii="Calibri" w:hAnsi="Calibri"/>
          <w:color w:val="001F60"/>
        </w:rPr>
        <w:t>Lucro</w:t>
      </w:r>
      <w:r>
        <w:rPr>
          <w:rFonts w:ascii="Calibri" w:hAnsi="Calibri"/>
          <w:color w:val="001F60"/>
          <w:spacing w:val="-7"/>
        </w:rPr>
        <w:t xml:space="preserve"> </w:t>
      </w:r>
      <w:r>
        <w:rPr>
          <w:rFonts w:ascii="Calibri" w:hAnsi="Calibri"/>
          <w:color w:val="001F60"/>
        </w:rPr>
        <w:t>Líquido</w:t>
      </w:r>
      <w:r>
        <w:rPr>
          <w:rFonts w:ascii="Calibri" w:hAnsi="Calibri"/>
          <w:color w:val="001F60"/>
          <w:spacing w:val="-7"/>
        </w:rPr>
        <w:t xml:space="preserve"> </w:t>
      </w:r>
      <w:r>
        <w:rPr>
          <w:rFonts w:ascii="Calibri" w:hAnsi="Calibri"/>
          <w:color w:val="001F60"/>
        </w:rPr>
        <w:t>Recorrente</w:t>
      </w:r>
      <w:r>
        <w:rPr>
          <w:rFonts w:ascii="Calibri" w:hAnsi="Calibri"/>
          <w:color w:val="001F60"/>
          <w:spacing w:val="-8"/>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R$</w:t>
      </w:r>
      <w:r>
        <w:rPr>
          <w:rFonts w:ascii="Calibri" w:hAnsi="Calibri"/>
          <w:color w:val="001F60"/>
          <w:spacing w:val="-8"/>
        </w:rPr>
        <w:t xml:space="preserve"> </w:t>
      </w:r>
      <w:r>
        <w:rPr>
          <w:rFonts w:ascii="Calibri" w:hAnsi="Calibri"/>
          <w:color w:val="001F60"/>
        </w:rPr>
        <w:t>40,6</w:t>
      </w:r>
      <w:r>
        <w:rPr>
          <w:rFonts w:ascii="Calibri" w:hAnsi="Calibri"/>
          <w:color w:val="001F60"/>
          <w:spacing w:val="-10"/>
        </w:rPr>
        <w:t xml:space="preserve"> </w:t>
      </w:r>
      <w:r>
        <w:rPr>
          <w:rFonts w:ascii="Calibri" w:hAnsi="Calibri"/>
          <w:color w:val="001F60"/>
        </w:rPr>
        <w:t>milhões</w:t>
      </w:r>
      <w:r>
        <w:rPr>
          <w:rFonts w:ascii="Calibri" w:hAnsi="Calibri"/>
          <w:color w:val="001F60"/>
          <w:spacing w:val="-10"/>
        </w:rPr>
        <w:t xml:space="preserve"> </w:t>
      </w:r>
      <w:r>
        <w:rPr>
          <w:rFonts w:ascii="Calibri" w:hAnsi="Calibri"/>
          <w:color w:val="001F60"/>
        </w:rPr>
        <w:t>(R$</w:t>
      </w:r>
      <w:r>
        <w:rPr>
          <w:rFonts w:ascii="Calibri" w:hAnsi="Calibri"/>
          <w:color w:val="001F60"/>
          <w:spacing w:val="-10"/>
        </w:rPr>
        <w:t xml:space="preserve"> </w:t>
      </w:r>
      <w:r>
        <w:rPr>
          <w:rFonts w:ascii="Calibri" w:hAnsi="Calibri"/>
          <w:color w:val="001F60"/>
        </w:rPr>
        <w:t>255,1</w:t>
      </w:r>
      <w:r>
        <w:rPr>
          <w:rFonts w:ascii="Calibri" w:hAnsi="Calibri"/>
          <w:color w:val="001F60"/>
          <w:spacing w:val="-8"/>
        </w:rPr>
        <w:t xml:space="preserve"> </w:t>
      </w:r>
      <w:r>
        <w:rPr>
          <w:rFonts w:ascii="Calibri" w:hAnsi="Calibri"/>
          <w:color w:val="001F60"/>
        </w:rPr>
        <w:t>milhões</w:t>
      </w:r>
      <w:r>
        <w:rPr>
          <w:rFonts w:ascii="Calibri" w:hAnsi="Calibri"/>
          <w:color w:val="001F60"/>
          <w:spacing w:val="-12"/>
        </w:rPr>
        <w:t xml:space="preserve"> </w:t>
      </w:r>
      <w:r>
        <w:rPr>
          <w:rFonts w:ascii="Calibri" w:hAnsi="Calibri"/>
          <w:color w:val="001F60"/>
        </w:rPr>
        <w:t>em 2024 e R$ 118,8 milhões em 2023), representando aumentos de 115,9% e 114,7%, respectivamente. O</w:t>
      </w:r>
      <w:r>
        <w:rPr>
          <w:rFonts w:ascii="Calibri" w:hAnsi="Calibri"/>
          <w:color w:val="001F60"/>
          <w:spacing w:val="-5"/>
        </w:rPr>
        <w:t xml:space="preserve"> </w:t>
      </w:r>
      <w:r>
        <w:rPr>
          <w:rFonts w:ascii="Calibri" w:hAnsi="Calibri"/>
          <w:color w:val="001F60"/>
        </w:rPr>
        <w:t>desempenho</w:t>
      </w:r>
      <w:r>
        <w:rPr>
          <w:rFonts w:ascii="Calibri" w:hAnsi="Calibri"/>
          <w:color w:val="001F60"/>
          <w:spacing w:val="-4"/>
        </w:rPr>
        <w:t xml:space="preserve"> </w:t>
      </w:r>
      <w:r>
        <w:rPr>
          <w:rFonts w:ascii="Calibri" w:hAnsi="Calibri"/>
          <w:color w:val="001F60"/>
        </w:rPr>
        <w:t>positivo</w:t>
      </w:r>
      <w:r>
        <w:rPr>
          <w:rFonts w:ascii="Calibri" w:hAnsi="Calibri"/>
          <w:color w:val="001F60"/>
          <w:spacing w:val="-5"/>
        </w:rPr>
        <w:t xml:space="preserve"> </w:t>
      </w:r>
      <w:r>
        <w:rPr>
          <w:rFonts w:ascii="Calibri" w:hAnsi="Calibri"/>
          <w:color w:val="001F60"/>
        </w:rPr>
        <w:t>no</w:t>
      </w:r>
      <w:r>
        <w:rPr>
          <w:rFonts w:ascii="Calibri" w:hAnsi="Calibri"/>
          <w:color w:val="001F60"/>
          <w:spacing w:val="-7"/>
        </w:rPr>
        <w:t xml:space="preserve"> </w:t>
      </w:r>
      <w:r>
        <w:rPr>
          <w:rFonts w:ascii="Calibri" w:hAnsi="Calibri"/>
          <w:color w:val="001F60"/>
        </w:rPr>
        <w:t>exercício</w:t>
      </w:r>
      <w:r>
        <w:rPr>
          <w:rFonts w:ascii="Calibri" w:hAnsi="Calibri"/>
          <w:color w:val="001F60"/>
          <w:spacing w:val="-5"/>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2025,</w:t>
      </w:r>
      <w:r>
        <w:rPr>
          <w:rFonts w:ascii="Calibri" w:hAnsi="Calibri"/>
          <w:color w:val="001F60"/>
          <w:spacing w:val="-7"/>
        </w:rPr>
        <w:t xml:space="preserve"> </w:t>
      </w:r>
      <w:r>
        <w:rPr>
          <w:rFonts w:ascii="Calibri" w:hAnsi="Calibri"/>
          <w:color w:val="001F60"/>
        </w:rPr>
        <w:t>em</w:t>
      </w:r>
      <w:r>
        <w:rPr>
          <w:rFonts w:ascii="Calibri" w:hAnsi="Calibri"/>
          <w:color w:val="001F60"/>
          <w:spacing w:val="-5"/>
        </w:rPr>
        <w:t xml:space="preserve"> </w:t>
      </w:r>
      <w:r>
        <w:rPr>
          <w:rFonts w:ascii="Calibri" w:hAnsi="Calibri"/>
          <w:color w:val="001F60"/>
        </w:rPr>
        <w:t>relação</w:t>
      </w:r>
      <w:r>
        <w:rPr>
          <w:rFonts w:ascii="Calibri" w:hAnsi="Calibri"/>
          <w:color w:val="001F60"/>
          <w:spacing w:val="-5"/>
        </w:rPr>
        <w:t xml:space="preserve"> </w:t>
      </w:r>
      <w:r>
        <w:rPr>
          <w:rFonts w:ascii="Calibri" w:hAnsi="Calibri"/>
          <w:color w:val="001F60"/>
        </w:rPr>
        <w:t>aos</w:t>
      </w:r>
      <w:r>
        <w:rPr>
          <w:rFonts w:ascii="Calibri" w:hAnsi="Calibri"/>
          <w:color w:val="001F60"/>
          <w:spacing w:val="-3"/>
        </w:rPr>
        <w:t xml:space="preserve"> </w:t>
      </w:r>
      <w:r>
        <w:rPr>
          <w:rFonts w:ascii="Calibri" w:hAnsi="Calibri"/>
          <w:color w:val="001F60"/>
        </w:rPr>
        <w:t>períodos</w:t>
      </w:r>
      <w:r>
        <w:rPr>
          <w:rFonts w:ascii="Calibri" w:hAnsi="Calibri"/>
          <w:color w:val="001F60"/>
          <w:spacing w:val="-5"/>
        </w:rPr>
        <w:t xml:space="preserve"> </w:t>
      </w:r>
      <w:r>
        <w:rPr>
          <w:rFonts w:ascii="Calibri" w:hAnsi="Calibri"/>
          <w:color w:val="001F60"/>
        </w:rPr>
        <w:t>comparados,</w:t>
      </w:r>
      <w:r>
        <w:rPr>
          <w:rFonts w:ascii="Calibri" w:hAnsi="Calibri"/>
          <w:color w:val="001F60"/>
          <w:spacing w:val="-8"/>
        </w:rPr>
        <w:t xml:space="preserve"> </w:t>
      </w:r>
      <w:r>
        <w:rPr>
          <w:rFonts w:ascii="Calibri" w:hAnsi="Calibri"/>
          <w:color w:val="001F60"/>
        </w:rPr>
        <w:t>é</w:t>
      </w:r>
      <w:r>
        <w:rPr>
          <w:rFonts w:ascii="Calibri" w:hAnsi="Calibri"/>
          <w:color w:val="001F60"/>
          <w:spacing w:val="-5"/>
        </w:rPr>
        <w:t xml:space="preserve"> </w:t>
      </w:r>
      <w:r>
        <w:rPr>
          <w:rFonts w:ascii="Calibri" w:hAnsi="Calibri"/>
          <w:color w:val="001F60"/>
        </w:rPr>
        <w:t>explicado</w:t>
      </w:r>
      <w:r>
        <w:rPr>
          <w:rFonts w:ascii="Calibri" w:hAnsi="Calibri"/>
          <w:color w:val="001F60"/>
          <w:spacing w:val="-4"/>
        </w:rPr>
        <w:t xml:space="preserve"> </w:t>
      </w:r>
      <w:r>
        <w:rPr>
          <w:rFonts w:ascii="Calibri" w:hAnsi="Calibri"/>
          <w:color w:val="001F60"/>
        </w:rPr>
        <w:t>pelos seguintes fatores: i) aumento das receitas de prestação de serviços; ii) crescimento das subvenções orçamentárias</w:t>
      </w:r>
      <w:r>
        <w:rPr>
          <w:rFonts w:ascii="Calibri" w:hAnsi="Calibri"/>
          <w:color w:val="001F60"/>
          <w:spacing w:val="-9"/>
        </w:rPr>
        <w:t xml:space="preserve"> </w:t>
      </w:r>
      <w:r>
        <w:rPr>
          <w:rFonts w:ascii="Calibri" w:hAnsi="Calibri"/>
          <w:color w:val="001F60"/>
        </w:rPr>
        <w:t>recebidas</w:t>
      </w:r>
      <w:r>
        <w:rPr>
          <w:rFonts w:ascii="Calibri" w:hAnsi="Calibri"/>
          <w:color w:val="001F60"/>
          <w:spacing w:val="-11"/>
        </w:rPr>
        <w:t xml:space="preserve"> </w:t>
      </w:r>
      <w:r>
        <w:rPr>
          <w:rFonts w:ascii="Calibri" w:hAnsi="Calibri"/>
          <w:color w:val="001F60"/>
        </w:rPr>
        <w:t>e</w:t>
      </w:r>
      <w:r>
        <w:rPr>
          <w:rFonts w:ascii="Calibri" w:hAnsi="Calibri"/>
          <w:color w:val="001F60"/>
          <w:spacing w:val="-13"/>
        </w:rPr>
        <w:t xml:space="preserve"> </w:t>
      </w:r>
      <w:r>
        <w:rPr>
          <w:rFonts w:ascii="Calibri" w:hAnsi="Calibri"/>
          <w:color w:val="001F60"/>
        </w:rPr>
        <w:t>realizadas;</w:t>
      </w:r>
      <w:r>
        <w:rPr>
          <w:rFonts w:ascii="Calibri" w:hAnsi="Calibri"/>
          <w:color w:val="001F60"/>
          <w:spacing w:val="-10"/>
        </w:rPr>
        <w:t xml:space="preserve"> </w:t>
      </w:r>
      <w:r>
        <w:rPr>
          <w:rFonts w:ascii="Calibri" w:hAnsi="Calibri"/>
          <w:color w:val="001F60"/>
        </w:rPr>
        <w:t>iii)</w:t>
      </w:r>
      <w:r>
        <w:rPr>
          <w:rFonts w:ascii="Calibri" w:hAnsi="Calibri"/>
          <w:color w:val="001F60"/>
          <w:spacing w:val="-12"/>
        </w:rPr>
        <w:t xml:space="preserve"> </w:t>
      </w:r>
      <w:r>
        <w:rPr>
          <w:rFonts w:ascii="Calibri" w:hAnsi="Calibri"/>
          <w:color w:val="001F60"/>
        </w:rPr>
        <w:t>melhora</w:t>
      </w:r>
      <w:r>
        <w:rPr>
          <w:rFonts w:ascii="Calibri" w:hAnsi="Calibri"/>
          <w:color w:val="001F60"/>
          <w:spacing w:val="-10"/>
        </w:rPr>
        <w:t xml:space="preserve"> </w:t>
      </w:r>
      <w:r>
        <w:rPr>
          <w:rFonts w:ascii="Calibri" w:hAnsi="Calibri"/>
          <w:color w:val="001F60"/>
        </w:rPr>
        <w:t>do</w:t>
      </w:r>
      <w:r>
        <w:rPr>
          <w:rFonts w:ascii="Calibri" w:hAnsi="Calibri"/>
          <w:color w:val="001F60"/>
          <w:spacing w:val="-12"/>
        </w:rPr>
        <w:t xml:space="preserve"> </w:t>
      </w:r>
      <w:r>
        <w:rPr>
          <w:rFonts w:ascii="Calibri" w:hAnsi="Calibri"/>
          <w:color w:val="001F60"/>
        </w:rPr>
        <w:t>resultado</w:t>
      </w:r>
      <w:r>
        <w:rPr>
          <w:rFonts w:ascii="Calibri" w:hAnsi="Calibri"/>
          <w:color w:val="001F60"/>
          <w:spacing w:val="-10"/>
        </w:rPr>
        <w:t xml:space="preserve"> </w:t>
      </w:r>
      <w:r>
        <w:rPr>
          <w:rFonts w:ascii="Calibri" w:hAnsi="Calibri"/>
          <w:color w:val="001F60"/>
        </w:rPr>
        <w:t>financeiro;</w:t>
      </w:r>
      <w:r>
        <w:rPr>
          <w:rFonts w:ascii="Calibri" w:hAnsi="Calibri"/>
          <w:color w:val="001F60"/>
          <w:spacing w:val="-12"/>
        </w:rPr>
        <w:t xml:space="preserve"> </w:t>
      </w:r>
      <w:r>
        <w:rPr>
          <w:rFonts w:ascii="Calibri" w:hAnsi="Calibri"/>
          <w:color w:val="001F60"/>
        </w:rPr>
        <w:t>e</w:t>
      </w:r>
      <w:r>
        <w:rPr>
          <w:rFonts w:ascii="Calibri" w:hAnsi="Calibri"/>
          <w:color w:val="001F60"/>
          <w:spacing w:val="-10"/>
        </w:rPr>
        <w:t xml:space="preserve"> </w:t>
      </w:r>
      <w:r>
        <w:rPr>
          <w:rFonts w:ascii="Calibri" w:hAnsi="Calibri"/>
          <w:color w:val="001F60"/>
        </w:rPr>
        <w:t>iv)</w:t>
      </w:r>
      <w:r>
        <w:rPr>
          <w:rFonts w:ascii="Calibri" w:hAnsi="Calibri"/>
          <w:color w:val="001F60"/>
          <w:spacing w:val="-11"/>
        </w:rPr>
        <w:t xml:space="preserve"> </w:t>
      </w:r>
      <w:r>
        <w:rPr>
          <w:rFonts w:ascii="Calibri" w:hAnsi="Calibri"/>
          <w:color w:val="001F60"/>
        </w:rPr>
        <w:t>crescimento</w:t>
      </w:r>
      <w:r>
        <w:rPr>
          <w:rFonts w:ascii="Calibri" w:hAnsi="Calibri"/>
          <w:color w:val="001F60"/>
          <w:spacing w:val="-10"/>
        </w:rPr>
        <w:t xml:space="preserve"> </w:t>
      </w:r>
      <w:r>
        <w:rPr>
          <w:rFonts w:ascii="Calibri" w:hAnsi="Calibri"/>
          <w:color w:val="001F60"/>
        </w:rPr>
        <w:t>dos</w:t>
      </w:r>
      <w:r>
        <w:rPr>
          <w:rFonts w:ascii="Calibri" w:hAnsi="Calibri"/>
          <w:color w:val="001F60"/>
          <w:spacing w:val="-11"/>
        </w:rPr>
        <w:t xml:space="preserve"> </w:t>
      </w:r>
      <w:r>
        <w:rPr>
          <w:rFonts w:ascii="Calibri" w:hAnsi="Calibri"/>
          <w:color w:val="001F60"/>
        </w:rPr>
        <w:t>custos e despesas operacionais em ritmo inferior ao das receitas.</w:t>
      </w:r>
    </w:p>
    <w:p w14:paraId="1EE4DB5D" w14:textId="77777777" w:rsidR="002C6574" w:rsidRDefault="002C6574">
      <w:pPr>
        <w:pStyle w:val="Corpodetexto"/>
        <w:spacing w:before="211"/>
        <w:rPr>
          <w:rFonts w:ascii="Calibri"/>
        </w:rPr>
      </w:pPr>
    </w:p>
    <w:p w14:paraId="4CC04DAF" w14:textId="77777777" w:rsidR="002C6574" w:rsidRDefault="00000000">
      <w:pPr>
        <w:pStyle w:val="PargrafodaLista"/>
        <w:numPr>
          <w:ilvl w:val="2"/>
          <w:numId w:val="74"/>
        </w:numPr>
        <w:tabs>
          <w:tab w:val="left" w:pos="1417"/>
        </w:tabs>
        <w:rPr>
          <w:b/>
        </w:rPr>
      </w:pPr>
      <w:r>
        <w:rPr>
          <w:b/>
          <w:color w:val="001F60"/>
          <w:spacing w:val="-2"/>
        </w:rPr>
        <w:t>EBITDA/LAJIDA</w:t>
      </w:r>
    </w:p>
    <w:p w14:paraId="087116AF" w14:textId="77777777" w:rsidR="002C6574" w:rsidRDefault="002C6574">
      <w:pPr>
        <w:pStyle w:val="Corpodetexto"/>
        <w:spacing w:before="126"/>
        <w:rPr>
          <w:rFonts w:ascii="Calibri"/>
          <w:b/>
          <w:sz w:val="20"/>
        </w:rPr>
      </w:pPr>
    </w:p>
    <w:tbl>
      <w:tblPr>
        <w:tblStyle w:val="TableNormal"/>
        <w:tblW w:w="0" w:type="auto"/>
        <w:tblInd w:w="702" w:type="dxa"/>
        <w:tblLayout w:type="fixed"/>
        <w:tblLook w:val="01E0" w:firstRow="1" w:lastRow="1" w:firstColumn="1" w:lastColumn="1" w:noHBand="0" w:noVBand="0"/>
      </w:tblPr>
      <w:tblGrid>
        <w:gridCol w:w="4381"/>
        <w:gridCol w:w="1463"/>
        <w:gridCol w:w="869"/>
        <w:gridCol w:w="799"/>
        <w:gridCol w:w="802"/>
        <w:gridCol w:w="779"/>
      </w:tblGrid>
      <w:tr w:rsidR="002C6574" w14:paraId="058841E1" w14:textId="77777777">
        <w:trPr>
          <w:trHeight w:val="275"/>
        </w:trPr>
        <w:tc>
          <w:tcPr>
            <w:tcW w:w="4381" w:type="dxa"/>
            <w:tcBorders>
              <w:top w:val="single" w:sz="8" w:space="0" w:color="8EA8DB"/>
              <w:bottom w:val="single" w:sz="8" w:space="0" w:color="8EA8DB"/>
            </w:tcBorders>
          </w:tcPr>
          <w:p w14:paraId="757FDE76" w14:textId="77777777" w:rsidR="002C6574" w:rsidRDefault="00000000">
            <w:pPr>
              <w:pStyle w:val="TableParagraph"/>
              <w:spacing w:before="69"/>
              <w:ind w:left="83"/>
              <w:jc w:val="left"/>
              <w:rPr>
                <w:rFonts w:ascii="Arial"/>
                <w:b/>
                <w:sz w:val="12"/>
              </w:rPr>
            </w:pPr>
            <w:r>
              <w:rPr>
                <w:rFonts w:ascii="Arial"/>
                <w:b/>
                <w:color w:val="2F75B5"/>
                <w:sz w:val="12"/>
              </w:rPr>
              <w:t xml:space="preserve">R$ </w:t>
            </w:r>
            <w:r>
              <w:rPr>
                <w:rFonts w:ascii="Arial"/>
                <w:b/>
                <w:color w:val="2F75B5"/>
                <w:spacing w:val="-5"/>
                <w:sz w:val="12"/>
              </w:rPr>
              <w:t>mil</w:t>
            </w:r>
          </w:p>
        </w:tc>
        <w:tc>
          <w:tcPr>
            <w:tcW w:w="1463" w:type="dxa"/>
            <w:tcBorders>
              <w:top w:val="single" w:sz="8" w:space="0" w:color="9AC1E6"/>
              <w:bottom w:val="single" w:sz="8" w:space="0" w:color="9AC1E6"/>
            </w:tcBorders>
          </w:tcPr>
          <w:p w14:paraId="4586391F" w14:textId="77777777" w:rsidR="002C6574" w:rsidRDefault="00000000">
            <w:pPr>
              <w:pStyle w:val="TableParagraph"/>
              <w:spacing w:before="69"/>
              <w:ind w:left="786"/>
              <w:jc w:val="left"/>
              <w:rPr>
                <w:rFonts w:ascii="Arial"/>
                <w:b/>
                <w:sz w:val="12"/>
              </w:rPr>
            </w:pPr>
            <w:r>
              <w:rPr>
                <w:rFonts w:ascii="Arial"/>
                <w:b/>
                <w:color w:val="2D74B5"/>
                <w:spacing w:val="-4"/>
                <w:sz w:val="12"/>
              </w:rPr>
              <w:t>2025</w:t>
            </w:r>
          </w:p>
        </w:tc>
        <w:tc>
          <w:tcPr>
            <w:tcW w:w="869" w:type="dxa"/>
            <w:tcBorders>
              <w:top w:val="single" w:sz="8" w:space="0" w:color="9AC1E6"/>
              <w:bottom w:val="single" w:sz="8" w:space="0" w:color="9AC1E6"/>
            </w:tcBorders>
          </w:tcPr>
          <w:p w14:paraId="494A3599" w14:textId="77777777" w:rsidR="002C6574" w:rsidRDefault="00000000">
            <w:pPr>
              <w:pStyle w:val="TableParagraph"/>
              <w:spacing w:before="69"/>
              <w:ind w:left="192"/>
              <w:jc w:val="left"/>
              <w:rPr>
                <w:rFonts w:ascii="Arial"/>
                <w:b/>
                <w:sz w:val="12"/>
              </w:rPr>
            </w:pPr>
            <w:r>
              <w:rPr>
                <w:rFonts w:ascii="Arial"/>
                <w:b/>
                <w:color w:val="2D74B5"/>
                <w:spacing w:val="-4"/>
                <w:sz w:val="12"/>
              </w:rPr>
              <w:t>2024</w:t>
            </w:r>
          </w:p>
        </w:tc>
        <w:tc>
          <w:tcPr>
            <w:tcW w:w="799" w:type="dxa"/>
            <w:tcBorders>
              <w:top w:val="single" w:sz="8" w:space="0" w:color="9AC1E6"/>
              <w:bottom w:val="single" w:sz="8" w:space="0" w:color="9AC1E6"/>
            </w:tcBorders>
          </w:tcPr>
          <w:p w14:paraId="3EF71888" w14:textId="77777777" w:rsidR="002C6574" w:rsidRDefault="00000000">
            <w:pPr>
              <w:pStyle w:val="TableParagraph"/>
              <w:spacing w:before="69"/>
              <w:ind w:left="188"/>
              <w:jc w:val="left"/>
              <w:rPr>
                <w:rFonts w:ascii="Arial"/>
                <w:b/>
                <w:sz w:val="12"/>
              </w:rPr>
            </w:pPr>
            <w:r>
              <w:rPr>
                <w:rFonts w:ascii="Arial"/>
                <w:b/>
                <w:color w:val="2D74B5"/>
                <w:spacing w:val="-4"/>
                <w:sz w:val="12"/>
              </w:rPr>
              <w:t>2023</w:t>
            </w:r>
          </w:p>
        </w:tc>
        <w:tc>
          <w:tcPr>
            <w:tcW w:w="802" w:type="dxa"/>
            <w:tcBorders>
              <w:top w:val="single" w:sz="8" w:space="0" w:color="9AC1E6"/>
              <w:bottom w:val="single" w:sz="8" w:space="0" w:color="9AC1E6"/>
            </w:tcBorders>
          </w:tcPr>
          <w:p w14:paraId="2874ED1A" w14:textId="77777777" w:rsidR="002C6574" w:rsidRDefault="00000000">
            <w:pPr>
              <w:pStyle w:val="TableParagraph"/>
              <w:ind w:right="93"/>
              <w:jc w:val="center"/>
              <w:rPr>
                <w:rFonts w:ascii="Arial" w:hAnsi="Arial"/>
                <w:b/>
                <w:sz w:val="12"/>
              </w:rPr>
            </w:pPr>
            <w:r>
              <w:rPr>
                <w:rFonts w:ascii="Arial" w:hAnsi="Arial"/>
                <w:b/>
                <w:color w:val="2F75B5"/>
                <w:sz w:val="12"/>
              </w:rPr>
              <w:t>Δ 2025</w:t>
            </w:r>
            <w:r>
              <w:rPr>
                <w:rFonts w:ascii="Arial" w:hAnsi="Arial"/>
                <w:b/>
                <w:color w:val="2F75B5"/>
                <w:spacing w:val="1"/>
                <w:sz w:val="12"/>
              </w:rPr>
              <w:t xml:space="preserve"> </w:t>
            </w:r>
            <w:r>
              <w:rPr>
                <w:rFonts w:ascii="Arial" w:hAnsi="Arial"/>
                <w:b/>
                <w:color w:val="2F75B5"/>
                <w:spacing w:val="-10"/>
                <w:sz w:val="12"/>
              </w:rPr>
              <w:t>X</w:t>
            </w:r>
          </w:p>
          <w:p w14:paraId="28B8D42A" w14:textId="77777777" w:rsidR="002C6574" w:rsidRDefault="00000000">
            <w:pPr>
              <w:pStyle w:val="TableParagraph"/>
              <w:spacing w:before="1" w:line="116" w:lineRule="exact"/>
              <w:ind w:left="4" w:right="93"/>
              <w:jc w:val="center"/>
              <w:rPr>
                <w:rFonts w:ascii="Arial"/>
                <w:b/>
                <w:sz w:val="12"/>
              </w:rPr>
            </w:pPr>
            <w:r>
              <w:rPr>
                <w:rFonts w:ascii="Arial"/>
                <w:b/>
                <w:color w:val="2F75B5"/>
                <w:spacing w:val="-4"/>
                <w:sz w:val="12"/>
              </w:rPr>
              <w:t>2024</w:t>
            </w:r>
          </w:p>
        </w:tc>
        <w:tc>
          <w:tcPr>
            <w:tcW w:w="779" w:type="dxa"/>
            <w:tcBorders>
              <w:top w:val="single" w:sz="8" w:space="0" w:color="9AC1E6"/>
              <w:bottom w:val="single" w:sz="8" w:space="0" w:color="9AC1E6"/>
            </w:tcBorders>
          </w:tcPr>
          <w:p w14:paraId="55B0214E" w14:textId="77777777" w:rsidR="002C6574" w:rsidRDefault="00000000">
            <w:pPr>
              <w:pStyle w:val="TableParagraph"/>
              <w:ind w:right="60"/>
              <w:jc w:val="center"/>
              <w:rPr>
                <w:rFonts w:ascii="Arial" w:hAnsi="Arial"/>
                <w:b/>
                <w:sz w:val="12"/>
              </w:rPr>
            </w:pPr>
            <w:r>
              <w:rPr>
                <w:rFonts w:ascii="Arial" w:hAnsi="Arial"/>
                <w:b/>
                <w:color w:val="2F75B5"/>
                <w:sz w:val="12"/>
              </w:rPr>
              <w:t>Δ 2025</w:t>
            </w:r>
            <w:r>
              <w:rPr>
                <w:rFonts w:ascii="Arial" w:hAnsi="Arial"/>
                <w:b/>
                <w:color w:val="2F75B5"/>
                <w:spacing w:val="1"/>
                <w:sz w:val="12"/>
              </w:rPr>
              <w:t xml:space="preserve"> </w:t>
            </w:r>
            <w:r>
              <w:rPr>
                <w:rFonts w:ascii="Arial" w:hAnsi="Arial"/>
                <w:b/>
                <w:color w:val="2F75B5"/>
                <w:spacing w:val="-10"/>
                <w:sz w:val="12"/>
              </w:rPr>
              <w:t>X</w:t>
            </w:r>
          </w:p>
          <w:p w14:paraId="60FA8334" w14:textId="77777777" w:rsidR="002C6574" w:rsidRDefault="00000000">
            <w:pPr>
              <w:pStyle w:val="TableParagraph"/>
              <w:spacing w:before="1" w:line="116" w:lineRule="exact"/>
              <w:ind w:left="3" w:right="60"/>
              <w:jc w:val="center"/>
              <w:rPr>
                <w:rFonts w:ascii="Arial"/>
                <w:b/>
                <w:sz w:val="12"/>
              </w:rPr>
            </w:pPr>
            <w:r>
              <w:rPr>
                <w:rFonts w:ascii="Arial"/>
                <w:b/>
                <w:color w:val="2F75B5"/>
                <w:spacing w:val="-4"/>
                <w:sz w:val="12"/>
              </w:rPr>
              <w:t>2023</w:t>
            </w:r>
          </w:p>
        </w:tc>
      </w:tr>
      <w:tr w:rsidR="002C6574" w14:paraId="225A7634" w14:textId="77777777">
        <w:trPr>
          <w:trHeight w:val="235"/>
        </w:trPr>
        <w:tc>
          <w:tcPr>
            <w:tcW w:w="4381" w:type="dxa"/>
          </w:tcPr>
          <w:p w14:paraId="5753FC00" w14:textId="77777777" w:rsidR="002C6574" w:rsidRDefault="00000000">
            <w:pPr>
              <w:pStyle w:val="TableParagraph"/>
              <w:spacing w:before="38"/>
              <w:ind w:left="83"/>
              <w:jc w:val="left"/>
              <w:rPr>
                <w:rFonts w:ascii="Arial" w:hAnsi="Arial"/>
                <w:b/>
                <w:sz w:val="12"/>
              </w:rPr>
            </w:pPr>
            <w:r>
              <w:rPr>
                <w:rFonts w:ascii="Arial" w:hAnsi="Arial"/>
                <w:b/>
                <w:sz w:val="12"/>
              </w:rPr>
              <w:t>Lucro/(Prejuízo)</w:t>
            </w:r>
            <w:r>
              <w:rPr>
                <w:rFonts w:ascii="Arial" w:hAnsi="Arial"/>
                <w:b/>
                <w:spacing w:val="-3"/>
                <w:sz w:val="12"/>
              </w:rPr>
              <w:t xml:space="preserve"> </w:t>
            </w:r>
            <w:r>
              <w:rPr>
                <w:rFonts w:ascii="Arial" w:hAnsi="Arial"/>
                <w:b/>
                <w:sz w:val="12"/>
              </w:rPr>
              <w:t>Líquido</w:t>
            </w:r>
            <w:r>
              <w:rPr>
                <w:rFonts w:ascii="Arial" w:hAnsi="Arial"/>
                <w:b/>
                <w:spacing w:val="-3"/>
                <w:sz w:val="12"/>
              </w:rPr>
              <w:t xml:space="preserve"> </w:t>
            </w:r>
            <w:r>
              <w:rPr>
                <w:rFonts w:ascii="Arial" w:hAnsi="Arial"/>
                <w:b/>
                <w:sz w:val="12"/>
              </w:rPr>
              <w:t xml:space="preserve">do </w:t>
            </w:r>
            <w:r>
              <w:rPr>
                <w:rFonts w:ascii="Arial" w:hAnsi="Arial"/>
                <w:b/>
                <w:spacing w:val="-2"/>
                <w:sz w:val="12"/>
              </w:rPr>
              <w:t>Período</w:t>
            </w:r>
          </w:p>
        </w:tc>
        <w:tc>
          <w:tcPr>
            <w:tcW w:w="1463" w:type="dxa"/>
          </w:tcPr>
          <w:p w14:paraId="4BF76CBB" w14:textId="77777777" w:rsidR="002C6574" w:rsidRDefault="00000000">
            <w:pPr>
              <w:pStyle w:val="TableParagraph"/>
              <w:spacing w:before="38"/>
              <w:ind w:right="178"/>
              <w:rPr>
                <w:rFonts w:ascii="Arial"/>
                <w:b/>
                <w:sz w:val="12"/>
              </w:rPr>
            </w:pPr>
            <w:r>
              <w:rPr>
                <w:rFonts w:ascii="Arial"/>
                <w:b/>
                <w:spacing w:val="-2"/>
                <w:sz w:val="12"/>
              </w:rPr>
              <w:t>140.504</w:t>
            </w:r>
          </w:p>
        </w:tc>
        <w:tc>
          <w:tcPr>
            <w:tcW w:w="869" w:type="dxa"/>
          </w:tcPr>
          <w:p w14:paraId="6E132EE0" w14:textId="77777777" w:rsidR="002C6574" w:rsidRDefault="00000000">
            <w:pPr>
              <w:pStyle w:val="TableParagraph"/>
              <w:spacing w:before="38"/>
              <w:ind w:right="177"/>
              <w:rPr>
                <w:rFonts w:ascii="Arial"/>
                <w:b/>
                <w:sz w:val="12"/>
              </w:rPr>
            </w:pPr>
            <w:r>
              <w:rPr>
                <w:rFonts w:ascii="Arial"/>
                <w:b/>
                <w:spacing w:val="-2"/>
                <w:sz w:val="12"/>
              </w:rPr>
              <w:t>(66.572)</w:t>
            </w:r>
          </w:p>
        </w:tc>
        <w:tc>
          <w:tcPr>
            <w:tcW w:w="799" w:type="dxa"/>
          </w:tcPr>
          <w:p w14:paraId="70FA4B9F" w14:textId="77777777" w:rsidR="002C6574" w:rsidRDefault="00000000">
            <w:pPr>
              <w:pStyle w:val="TableParagraph"/>
              <w:spacing w:before="38"/>
              <w:ind w:right="109"/>
              <w:rPr>
                <w:rFonts w:ascii="Arial"/>
                <w:b/>
                <w:sz w:val="12"/>
              </w:rPr>
            </w:pPr>
            <w:r>
              <w:rPr>
                <w:rFonts w:ascii="Arial"/>
                <w:b/>
                <w:spacing w:val="-2"/>
                <w:sz w:val="12"/>
              </w:rPr>
              <w:t>(127.357)</w:t>
            </w:r>
          </w:p>
        </w:tc>
        <w:tc>
          <w:tcPr>
            <w:tcW w:w="802" w:type="dxa"/>
          </w:tcPr>
          <w:p w14:paraId="4D340387" w14:textId="77777777" w:rsidR="002C6574" w:rsidRDefault="00000000">
            <w:pPr>
              <w:pStyle w:val="TableParagraph"/>
              <w:spacing w:before="38"/>
              <w:ind w:right="115"/>
              <w:rPr>
                <w:rFonts w:ascii="Arial"/>
                <w:b/>
                <w:sz w:val="12"/>
              </w:rPr>
            </w:pPr>
            <w:r>
              <w:rPr>
                <w:rFonts w:ascii="Arial"/>
                <w:b/>
                <w:sz w:val="12"/>
              </w:rPr>
              <w:t>-</w:t>
            </w:r>
            <w:r>
              <w:rPr>
                <w:rFonts w:ascii="Arial"/>
                <w:b/>
                <w:spacing w:val="-2"/>
                <w:sz w:val="12"/>
              </w:rPr>
              <w:t>311,1%</w:t>
            </w:r>
          </w:p>
        </w:tc>
        <w:tc>
          <w:tcPr>
            <w:tcW w:w="779" w:type="dxa"/>
          </w:tcPr>
          <w:p w14:paraId="5F783A1E" w14:textId="77777777" w:rsidR="002C6574" w:rsidRDefault="00000000">
            <w:pPr>
              <w:pStyle w:val="TableParagraph"/>
              <w:spacing w:before="38"/>
              <w:ind w:right="73"/>
              <w:rPr>
                <w:rFonts w:ascii="Arial"/>
                <w:b/>
                <w:sz w:val="12"/>
              </w:rPr>
            </w:pPr>
            <w:r>
              <w:rPr>
                <w:rFonts w:ascii="Arial"/>
                <w:b/>
                <w:sz w:val="12"/>
              </w:rPr>
              <w:t>-</w:t>
            </w:r>
            <w:r>
              <w:rPr>
                <w:rFonts w:ascii="Arial"/>
                <w:b/>
                <w:spacing w:val="-2"/>
                <w:sz w:val="12"/>
              </w:rPr>
              <w:t>210,3%</w:t>
            </w:r>
          </w:p>
        </w:tc>
      </w:tr>
      <w:tr w:rsidR="002C6574" w14:paraId="122C7B05" w14:textId="77777777">
        <w:trPr>
          <w:trHeight w:val="232"/>
        </w:trPr>
        <w:tc>
          <w:tcPr>
            <w:tcW w:w="4381" w:type="dxa"/>
          </w:tcPr>
          <w:p w14:paraId="0375728D" w14:textId="77777777" w:rsidR="002C6574" w:rsidRDefault="00000000">
            <w:pPr>
              <w:pStyle w:val="TableParagraph"/>
              <w:spacing w:before="45"/>
              <w:ind w:left="83"/>
              <w:jc w:val="left"/>
              <w:rPr>
                <w:rFonts w:ascii="Arial MT"/>
                <w:sz w:val="12"/>
              </w:rPr>
            </w:pPr>
            <w:r>
              <w:rPr>
                <w:rFonts w:ascii="Arial MT"/>
                <w:sz w:val="12"/>
              </w:rPr>
              <w:t>(+/-)</w:t>
            </w:r>
            <w:r>
              <w:rPr>
                <w:rFonts w:ascii="Arial MT"/>
                <w:spacing w:val="-2"/>
                <w:sz w:val="12"/>
              </w:rPr>
              <w:t xml:space="preserve"> </w:t>
            </w:r>
            <w:r>
              <w:rPr>
                <w:rFonts w:ascii="Arial MT"/>
                <w:sz w:val="12"/>
              </w:rPr>
              <w:t xml:space="preserve">Resultado </w:t>
            </w:r>
            <w:r>
              <w:rPr>
                <w:rFonts w:ascii="Arial MT"/>
                <w:spacing w:val="-2"/>
                <w:sz w:val="12"/>
              </w:rPr>
              <w:t>Financeiro</w:t>
            </w:r>
          </w:p>
        </w:tc>
        <w:tc>
          <w:tcPr>
            <w:tcW w:w="1463" w:type="dxa"/>
          </w:tcPr>
          <w:p w14:paraId="4BB82D8A" w14:textId="77777777" w:rsidR="002C6574" w:rsidRDefault="00000000">
            <w:pPr>
              <w:pStyle w:val="TableParagraph"/>
              <w:spacing w:before="45"/>
              <w:ind w:right="178"/>
              <w:rPr>
                <w:rFonts w:ascii="Arial MT"/>
                <w:sz w:val="12"/>
              </w:rPr>
            </w:pPr>
            <w:r>
              <w:rPr>
                <w:rFonts w:ascii="Arial MT"/>
                <w:spacing w:val="-2"/>
                <w:sz w:val="12"/>
              </w:rPr>
              <w:t>54.264</w:t>
            </w:r>
          </w:p>
        </w:tc>
        <w:tc>
          <w:tcPr>
            <w:tcW w:w="869" w:type="dxa"/>
          </w:tcPr>
          <w:p w14:paraId="73B7E850" w14:textId="77777777" w:rsidR="002C6574" w:rsidRDefault="00000000">
            <w:pPr>
              <w:pStyle w:val="TableParagraph"/>
              <w:spacing w:before="45"/>
              <w:ind w:right="178"/>
              <w:rPr>
                <w:rFonts w:ascii="Arial MT"/>
                <w:sz w:val="12"/>
              </w:rPr>
            </w:pPr>
            <w:r>
              <w:rPr>
                <w:rFonts w:ascii="Arial MT"/>
                <w:spacing w:val="-2"/>
                <w:sz w:val="12"/>
              </w:rPr>
              <w:t>85.068</w:t>
            </w:r>
          </w:p>
        </w:tc>
        <w:tc>
          <w:tcPr>
            <w:tcW w:w="799" w:type="dxa"/>
          </w:tcPr>
          <w:p w14:paraId="71583574" w14:textId="77777777" w:rsidR="002C6574" w:rsidRDefault="00000000">
            <w:pPr>
              <w:pStyle w:val="TableParagraph"/>
              <w:spacing w:before="45"/>
              <w:ind w:right="111"/>
              <w:rPr>
                <w:rFonts w:ascii="Arial MT"/>
                <w:sz w:val="12"/>
              </w:rPr>
            </w:pPr>
            <w:r>
              <w:rPr>
                <w:rFonts w:ascii="Arial MT"/>
                <w:spacing w:val="-2"/>
                <w:sz w:val="12"/>
              </w:rPr>
              <w:t>59.950</w:t>
            </w:r>
          </w:p>
        </w:tc>
        <w:tc>
          <w:tcPr>
            <w:tcW w:w="802" w:type="dxa"/>
          </w:tcPr>
          <w:p w14:paraId="60078EA9" w14:textId="77777777" w:rsidR="002C6574" w:rsidRDefault="00000000">
            <w:pPr>
              <w:pStyle w:val="TableParagraph"/>
              <w:spacing w:before="45"/>
              <w:ind w:right="115"/>
              <w:rPr>
                <w:rFonts w:ascii="Arial MT"/>
                <w:sz w:val="12"/>
              </w:rPr>
            </w:pPr>
            <w:r>
              <w:rPr>
                <w:rFonts w:ascii="Arial MT"/>
                <w:sz w:val="12"/>
              </w:rPr>
              <w:t>-</w:t>
            </w:r>
            <w:r>
              <w:rPr>
                <w:rFonts w:ascii="Arial MT"/>
                <w:spacing w:val="-2"/>
                <w:sz w:val="12"/>
              </w:rPr>
              <w:t>36,2%</w:t>
            </w:r>
          </w:p>
        </w:tc>
        <w:tc>
          <w:tcPr>
            <w:tcW w:w="779" w:type="dxa"/>
          </w:tcPr>
          <w:p w14:paraId="1CF8DC69" w14:textId="77777777" w:rsidR="002C6574" w:rsidRDefault="00000000">
            <w:pPr>
              <w:pStyle w:val="TableParagraph"/>
              <w:spacing w:before="45"/>
              <w:ind w:right="75"/>
              <w:rPr>
                <w:rFonts w:ascii="Arial MT"/>
                <w:sz w:val="12"/>
              </w:rPr>
            </w:pPr>
            <w:r>
              <w:rPr>
                <w:rFonts w:ascii="Arial MT"/>
                <w:sz w:val="12"/>
              </w:rPr>
              <w:t>-</w:t>
            </w:r>
            <w:r>
              <w:rPr>
                <w:rFonts w:ascii="Arial MT"/>
                <w:spacing w:val="-4"/>
                <w:sz w:val="12"/>
              </w:rPr>
              <w:t>9,5%</w:t>
            </w:r>
          </w:p>
        </w:tc>
      </w:tr>
      <w:tr w:rsidR="002C6574" w14:paraId="2901C93B" w14:textId="77777777">
        <w:trPr>
          <w:trHeight w:val="231"/>
        </w:trPr>
        <w:tc>
          <w:tcPr>
            <w:tcW w:w="4381" w:type="dxa"/>
          </w:tcPr>
          <w:p w14:paraId="4F781E3F" w14:textId="77777777" w:rsidR="002C6574" w:rsidRDefault="00000000">
            <w:pPr>
              <w:pStyle w:val="TableParagraph"/>
              <w:spacing w:before="45"/>
              <w:ind w:left="83"/>
              <w:jc w:val="left"/>
              <w:rPr>
                <w:rFonts w:ascii="Arial MT" w:hAnsi="Arial MT"/>
                <w:sz w:val="12"/>
              </w:rPr>
            </w:pPr>
            <w:r>
              <w:rPr>
                <w:rFonts w:ascii="Arial MT" w:hAnsi="Arial MT"/>
                <w:sz w:val="12"/>
              </w:rPr>
              <w:t>(+)</w:t>
            </w:r>
            <w:r>
              <w:rPr>
                <w:rFonts w:ascii="Arial MT" w:hAnsi="Arial MT"/>
                <w:spacing w:val="-1"/>
                <w:sz w:val="12"/>
              </w:rPr>
              <w:t xml:space="preserve"> </w:t>
            </w:r>
            <w:r>
              <w:rPr>
                <w:rFonts w:ascii="Arial MT" w:hAnsi="Arial MT"/>
                <w:sz w:val="12"/>
              </w:rPr>
              <w:t xml:space="preserve">Depreciação e </w:t>
            </w:r>
            <w:r>
              <w:rPr>
                <w:rFonts w:ascii="Arial MT" w:hAnsi="Arial MT"/>
                <w:spacing w:val="-2"/>
                <w:sz w:val="12"/>
              </w:rPr>
              <w:t>Amortização</w:t>
            </w:r>
          </w:p>
        </w:tc>
        <w:tc>
          <w:tcPr>
            <w:tcW w:w="1463" w:type="dxa"/>
          </w:tcPr>
          <w:p w14:paraId="4E2D2FE7" w14:textId="77777777" w:rsidR="002C6574" w:rsidRDefault="00000000">
            <w:pPr>
              <w:pStyle w:val="TableParagraph"/>
              <w:spacing w:before="45"/>
              <w:ind w:right="178"/>
              <w:rPr>
                <w:rFonts w:ascii="Arial MT"/>
                <w:sz w:val="12"/>
              </w:rPr>
            </w:pPr>
            <w:r>
              <w:rPr>
                <w:rFonts w:ascii="Arial MT"/>
                <w:spacing w:val="-2"/>
                <w:sz w:val="12"/>
              </w:rPr>
              <w:t>274.104</w:t>
            </w:r>
          </w:p>
        </w:tc>
        <w:tc>
          <w:tcPr>
            <w:tcW w:w="869" w:type="dxa"/>
          </w:tcPr>
          <w:p w14:paraId="369382AA" w14:textId="77777777" w:rsidR="002C6574" w:rsidRDefault="00000000">
            <w:pPr>
              <w:pStyle w:val="TableParagraph"/>
              <w:spacing w:before="45"/>
              <w:ind w:right="178"/>
              <w:rPr>
                <w:rFonts w:ascii="Arial MT"/>
                <w:sz w:val="12"/>
              </w:rPr>
            </w:pPr>
            <w:r>
              <w:rPr>
                <w:rFonts w:ascii="Arial MT"/>
                <w:spacing w:val="-2"/>
                <w:sz w:val="12"/>
              </w:rPr>
              <w:t>270.044</w:t>
            </w:r>
          </w:p>
        </w:tc>
        <w:tc>
          <w:tcPr>
            <w:tcW w:w="799" w:type="dxa"/>
          </w:tcPr>
          <w:p w14:paraId="5408941D" w14:textId="77777777" w:rsidR="002C6574" w:rsidRDefault="00000000">
            <w:pPr>
              <w:pStyle w:val="TableParagraph"/>
              <w:spacing w:before="45"/>
              <w:ind w:right="111"/>
              <w:rPr>
                <w:rFonts w:ascii="Arial MT"/>
                <w:sz w:val="12"/>
              </w:rPr>
            </w:pPr>
            <w:r>
              <w:rPr>
                <w:rFonts w:ascii="Arial MT"/>
                <w:spacing w:val="-2"/>
                <w:sz w:val="12"/>
              </w:rPr>
              <w:t>253.540</w:t>
            </w:r>
          </w:p>
        </w:tc>
        <w:tc>
          <w:tcPr>
            <w:tcW w:w="802" w:type="dxa"/>
          </w:tcPr>
          <w:p w14:paraId="68270D00" w14:textId="77777777" w:rsidR="002C6574" w:rsidRDefault="00000000">
            <w:pPr>
              <w:pStyle w:val="TableParagraph"/>
              <w:spacing w:before="45"/>
              <w:ind w:right="116"/>
              <w:rPr>
                <w:rFonts w:ascii="Arial MT"/>
                <w:sz w:val="12"/>
              </w:rPr>
            </w:pPr>
            <w:r>
              <w:rPr>
                <w:rFonts w:ascii="Arial MT"/>
                <w:spacing w:val="-4"/>
                <w:sz w:val="12"/>
              </w:rPr>
              <w:t>1,5%</w:t>
            </w:r>
          </w:p>
        </w:tc>
        <w:tc>
          <w:tcPr>
            <w:tcW w:w="779" w:type="dxa"/>
          </w:tcPr>
          <w:p w14:paraId="3D2AAB7E" w14:textId="77777777" w:rsidR="002C6574" w:rsidRDefault="00000000">
            <w:pPr>
              <w:pStyle w:val="TableParagraph"/>
              <w:spacing w:before="45"/>
              <w:ind w:right="76"/>
              <w:rPr>
                <w:rFonts w:ascii="Arial MT"/>
                <w:sz w:val="12"/>
              </w:rPr>
            </w:pPr>
            <w:r>
              <w:rPr>
                <w:rFonts w:ascii="Arial MT"/>
                <w:spacing w:val="-4"/>
                <w:sz w:val="12"/>
              </w:rPr>
              <w:t>8,1%</w:t>
            </w:r>
          </w:p>
        </w:tc>
      </w:tr>
      <w:tr w:rsidR="002C6574" w14:paraId="36D8D920" w14:textId="77777777">
        <w:trPr>
          <w:trHeight w:val="228"/>
        </w:trPr>
        <w:tc>
          <w:tcPr>
            <w:tcW w:w="4381" w:type="dxa"/>
            <w:tcBorders>
              <w:bottom w:val="single" w:sz="8" w:space="0" w:color="9AC1E6"/>
            </w:tcBorders>
          </w:tcPr>
          <w:p w14:paraId="4491A8B6" w14:textId="77777777" w:rsidR="002C6574" w:rsidRDefault="00000000">
            <w:pPr>
              <w:pStyle w:val="TableParagraph"/>
              <w:spacing w:before="44"/>
              <w:ind w:left="83"/>
              <w:jc w:val="left"/>
              <w:rPr>
                <w:rFonts w:ascii="Arial MT" w:hAnsi="Arial MT"/>
                <w:sz w:val="12"/>
              </w:rPr>
            </w:pPr>
            <w:r>
              <w:rPr>
                <w:rFonts w:ascii="Arial MT" w:hAnsi="Arial MT"/>
                <w:sz w:val="12"/>
              </w:rPr>
              <w:t>(+)</w:t>
            </w:r>
            <w:r>
              <w:rPr>
                <w:rFonts w:ascii="Arial MT" w:hAnsi="Arial MT"/>
                <w:spacing w:val="-1"/>
                <w:sz w:val="12"/>
              </w:rPr>
              <w:t xml:space="preserve"> </w:t>
            </w:r>
            <w:r>
              <w:rPr>
                <w:rFonts w:ascii="Arial MT" w:hAnsi="Arial MT"/>
                <w:sz w:val="12"/>
              </w:rPr>
              <w:t>Imposto</w:t>
            </w:r>
            <w:r>
              <w:rPr>
                <w:rFonts w:ascii="Arial MT" w:hAnsi="Arial MT"/>
                <w:spacing w:val="-1"/>
                <w:sz w:val="12"/>
              </w:rPr>
              <w:t xml:space="preserve"> </w:t>
            </w:r>
            <w:r>
              <w:rPr>
                <w:rFonts w:ascii="Arial MT" w:hAnsi="Arial MT"/>
                <w:sz w:val="12"/>
              </w:rPr>
              <w:t>de</w:t>
            </w:r>
            <w:r>
              <w:rPr>
                <w:rFonts w:ascii="Arial MT" w:hAnsi="Arial MT"/>
                <w:spacing w:val="-1"/>
                <w:sz w:val="12"/>
              </w:rPr>
              <w:t xml:space="preserve"> </w:t>
            </w:r>
            <w:r>
              <w:rPr>
                <w:rFonts w:ascii="Arial MT" w:hAnsi="Arial MT"/>
                <w:sz w:val="12"/>
              </w:rPr>
              <w:t>Renda e</w:t>
            </w:r>
            <w:r>
              <w:rPr>
                <w:rFonts w:ascii="Arial MT" w:hAnsi="Arial MT"/>
                <w:spacing w:val="-1"/>
                <w:sz w:val="12"/>
              </w:rPr>
              <w:t xml:space="preserve"> </w:t>
            </w:r>
            <w:r>
              <w:rPr>
                <w:rFonts w:ascii="Arial MT" w:hAnsi="Arial MT"/>
                <w:sz w:val="12"/>
              </w:rPr>
              <w:t>Contribuição</w:t>
            </w:r>
            <w:r>
              <w:rPr>
                <w:rFonts w:ascii="Arial MT" w:hAnsi="Arial MT"/>
                <w:spacing w:val="-1"/>
                <w:sz w:val="12"/>
              </w:rPr>
              <w:t xml:space="preserve"> </w:t>
            </w:r>
            <w:r>
              <w:rPr>
                <w:rFonts w:ascii="Arial MT" w:hAnsi="Arial MT"/>
                <w:sz w:val="12"/>
              </w:rPr>
              <w:t>Social</w:t>
            </w:r>
            <w:r>
              <w:rPr>
                <w:rFonts w:ascii="Arial MT" w:hAnsi="Arial MT"/>
                <w:spacing w:val="-1"/>
                <w:sz w:val="12"/>
              </w:rPr>
              <w:t xml:space="preserve"> </w:t>
            </w:r>
            <w:r>
              <w:rPr>
                <w:rFonts w:ascii="Arial MT" w:hAnsi="Arial MT"/>
                <w:sz w:val="12"/>
              </w:rPr>
              <w:t>sobre</w:t>
            </w:r>
            <w:r>
              <w:rPr>
                <w:rFonts w:ascii="Arial MT" w:hAnsi="Arial MT"/>
                <w:spacing w:val="-1"/>
                <w:sz w:val="12"/>
              </w:rPr>
              <w:t xml:space="preserve"> </w:t>
            </w:r>
            <w:r>
              <w:rPr>
                <w:rFonts w:ascii="Arial MT" w:hAnsi="Arial MT"/>
                <w:sz w:val="12"/>
              </w:rPr>
              <w:t>o</w:t>
            </w:r>
            <w:r>
              <w:rPr>
                <w:rFonts w:ascii="Arial MT" w:hAnsi="Arial MT"/>
                <w:spacing w:val="-2"/>
                <w:sz w:val="12"/>
              </w:rPr>
              <w:t xml:space="preserve"> </w:t>
            </w:r>
            <w:r>
              <w:rPr>
                <w:rFonts w:ascii="Arial MT" w:hAnsi="Arial MT"/>
                <w:sz w:val="12"/>
              </w:rPr>
              <w:t>Lucro</w:t>
            </w:r>
            <w:r>
              <w:rPr>
                <w:rFonts w:ascii="Arial MT" w:hAnsi="Arial MT"/>
                <w:spacing w:val="-3"/>
                <w:sz w:val="12"/>
              </w:rPr>
              <w:t xml:space="preserve"> </w:t>
            </w:r>
            <w:r>
              <w:rPr>
                <w:rFonts w:ascii="Arial MT" w:hAnsi="Arial MT"/>
                <w:spacing w:val="-2"/>
                <w:sz w:val="12"/>
              </w:rPr>
              <w:t>Líquido</w:t>
            </w:r>
          </w:p>
        </w:tc>
        <w:tc>
          <w:tcPr>
            <w:tcW w:w="1463" w:type="dxa"/>
            <w:tcBorders>
              <w:bottom w:val="single" w:sz="8" w:space="0" w:color="9AC1E6"/>
            </w:tcBorders>
          </w:tcPr>
          <w:p w14:paraId="23022483" w14:textId="77777777" w:rsidR="002C6574" w:rsidRDefault="00000000">
            <w:pPr>
              <w:pStyle w:val="TableParagraph"/>
              <w:spacing w:before="44"/>
              <w:ind w:right="178"/>
              <w:rPr>
                <w:rFonts w:ascii="Arial MT"/>
                <w:sz w:val="12"/>
              </w:rPr>
            </w:pPr>
            <w:r>
              <w:rPr>
                <w:rFonts w:ascii="Arial MT"/>
                <w:spacing w:val="-2"/>
                <w:sz w:val="12"/>
              </w:rPr>
              <w:t>41.932</w:t>
            </w:r>
          </w:p>
        </w:tc>
        <w:tc>
          <w:tcPr>
            <w:tcW w:w="869" w:type="dxa"/>
            <w:tcBorders>
              <w:bottom w:val="single" w:sz="8" w:space="0" w:color="9AC1E6"/>
            </w:tcBorders>
          </w:tcPr>
          <w:p w14:paraId="243F79A0" w14:textId="77777777" w:rsidR="002C6574" w:rsidRDefault="00000000">
            <w:pPr>
              <w:pStyle w:val="TableParagraph"/>
              <w:spacing w:before="44"/>
              <w:ind w:right="179"/>
              <w:rPr>
                <w:rFonts w:ascii="Arial MT"/>
                <w:sz w:val="12"/>
              </w:rPr>
            </w:pPr>
            <w:r>
              <w:rPr>
                <w:rFonts w:ascii="Arial MT"/>
                <w:spacing w:val="-10"/>
                <w:sz w:val="12"/>
              </w:rPr>
              <w:t>-</w:t>
            </w:r>
          </w:p>
        </w:tc>
        <w:tc>
          <w:tcPr>
            <w:tcW w:w="799" w:type="dxa"/>
            <w:tcBorders>
              <w:bottom w:val="single" w:sz="8" w:space="0" w:color="9AC1E6"/>
            </w:tcBorders>
          </w:tcPr>
          <w:p w14:paraId="3229C645" w14:textId="77777777" w:rsidR="002C6574" w:rsidRDefault="00000000">
            <w:pPr>
              <w:pStyle w:val="TableParagraph"/>
              <w:spacing w:before="44"/>
              <w:ind w:right="112"/>
              <w:rPr>
                <w:rFonts w:ascii="Arial MT"/>
                <w:sz w:val="12"/>
              </w:rPr>
            </w:pPr>
            <w:r>
              <w:rPr>
                <w:rFonts w:ascii="Arial MT"/>
                <w:spacing w:val="-10"/>
                <w:sz w:val="12"/>
              </w:rPr>
              <w:t>-</w:t>
            </w:r>
          </w:p>
        </w:tc>
        <w:tc>
          <w:tcPr>
            <w:tcW w:w="802" w:type="dxa"/>
            <w:tcBorders>
              <w:bottom w:val="single" w:sz="8" w:space="0" w:color="9AC1E6"/>
            </w:tcBorders>
          </w:tcPr>
          <w:p w14:paraId="07A80210" w14:textId="77777777" w:rsidR="002C6574" w:rsidRDefault="00000000">
            <w:pPr>
              <w:pStyle w:val="TableParagraph"/>
              <w:spacing w:before="44"/>
              <w:ind w:right="117"/>
              <w:rPr>
                <w:rFonts w:ascii="Arial MT"/>
                <w:sz w:val="12"/>
              </w:rPr>
            </w:pPr>
            <w:r>
              <w:rPr>
                <w:rFonts w:ascii="Arial MT"/>
                <w:spacing w:val="-2"/>
                <w:sz w:val="12"/>
              </w:rPr>
              <w:t>100,0%</w:t>
            </w:r>
          </w:p>
        </w:tc>
        <w:tc>
          <w:tcPr>
            <w:tcW w:w="779" w:type="dxa"/>
            <w:tcBorders>
              <w:bottom w:val="single" w:sz="8" w:space="0" w:color="9AC1E6"/>
            </w:tcBorders>
          </w:tcPr>
          <w:p w14:paraId="5363CDBE" w14:textId="77777777" w:rsidR="002C6574" w:rsidRDefault="00000000">
            <w:pPr>
              <w:pStyle w:val="TableParagraph"/>
              <w:spacing w:before="44"/>
              <w:ind w:right="76"/>
              <w:rPr>
                <w:rFonts w:ascii="Arial MT"/>
                <w:sz w:val="12"/>
              </w:rPr>
            </w:pPr>
            <w:r>
              <w:rPr>
                <w:rFonts w:ascii="Arial MT"/>
                <w:spacing w:val="-2"/>
                <w:sz w:val="12"/>
              </w:rPr>
              <w:t>100,0%</w:t>
            </w:r>
          </w:p>
        </w:tc>
      </w:tr>
      <w:tr w:rsidR="002C6574" w14:paraId="79F8A8EC" w14:textId="77777777">
        <w:trPr>
          <w:trHeight w:val="231"/>
        </w:trPr>
        <w:tc>
          <w:tcPr>
            <w:tcW w:w="4381" w:type="dxa"/>
            <w:tcBorders>
              <w:top w:val="single" w:sz="8" w:space="0" w:color="9AC1E6"/>
              <w:bottom w:val="single" w:sz="8" w:space="0" w:color="9AC1E6"/>
            </w:tcBorders>
          </w:tcPr>
          <w:p w14:paraId="380E7811" w14:textId="77777777" w:rsidR="002C6574" w:rsidRDefault="00000000">
            <w:pPr>
              <w:pStyle w:val="TableParagraph"/>
              <w:spacing w:before="48"/>
              <w:ind w:left="83"/>
              <w:jc w:val="left"/>
              <w:rPr>
                <w:rFonts w:ascii="Arial"/>
                <w:b/>
                <w:sz w:val="12"/>
              </w:rPr>
            </w:pPr>
            <w:r>
              <w:rPr>
                <w:rFonts w:ascii="Arial"/>
                <w:b/>
                <w:spacing w:val="-2"/>
                <w:sz w:val="12"/>
              </w:rPr>
              <w:t>EBITDA</w:t>
            </w:r>
          </w:p>
        </w:tc>
        <w:tc>
          <w:tcPr>
            <w:tcW w:w="1463" w:type="dxa"/>
            <w:tcBorders>
              <w:top w:val="single" w:sz="8" w:space="0" w:color="9AC1E6"/>
              <w:bottom w:val="single" w:sz="8" w:space="0" w:color="9AC1E6"/>
            </w:tcBorders>
          </w:tcPr>
          <w:p w14:paraId="1E20FD0B" w14:textId="77777777" w:rsidR="002C6574" w:rsidRDefault="00000000">
            <w:pPr>
              <w:pStyle w:val="TableParagraph"/>
              <w:spacing w:before="48"/>
              <w:ind w:right="178"/>
              <w:rPr>
                <w:rFonts w:ascii="Arial"/>
                <w:b/>
                <w:sz w:val="12"/>
              </w:rPr>
            </w:pPr>
            <w:r>
              <w:rPr>
                <w:rFonts w:ascii="Arial"/>
                <w:b/>
                <w:spacing w:val="-2"/>
                <w:sz w:val="12"/>
              </w:rPr>
              <w:t>510.804</w:t>
            </w:r>
          </w:p>
        </w:tc>
        <w:tc>
          <w:tcPr>
            <w:tcW w:w="869" w:type="dxa"/>
            <w:tcBorders>
              <w:top w:val="single" w:sz="8" w:space="0" w:color="9AC1E6"/>
              <w:bottom w:val="single" w:sz="8" w:space="0" w:color="9AC1E6"/>
            </w:tcBorders>
          </w:tcPr>
          <w:p w14:paraId="729852CE" w14:textId="77777777" w:rsidR="002C6574" w:rsidRDefault="00000000">
            <w:pPr>
              <w:pStyle w:val="TableParagraph"/>
              <w:spacing w:before="48"/>
              <w:ind w:right="178"/>
              <w:rPr>
                <w:rFonts w:ascii="Arial"/>
                <w:b/>
                <w:sz w:val="12"/>
              </w:rPr>
            </w:pPr>
            <w:r>
              <w:rPr>
                <w:rFonts w:ascii="Arial"/>
                <w:b/>
                <w:spacing w:val="-2"/>
                <w:sz w:val="12"/>
              </w:rPr>
              <w:t>288.540</w:t>
            </w:r>
          </w:p>
        </w:tc>
        <w:tc>
          <w:tcPr>
            <w:tcW w:w="799" w:type="dxa"/>
            <w:tcBorders>
              <w:top w:val="single" w:sz="8" w:space="0" w:color="9AC1E6"/>
              <w:bottom w:val="single" w:sz="8" w:space="0" w:color="9AC1E6"/>
            </w:tcBorders>
          </w:tcPr>
          <w:p w14:paraId="58AD916F" w14:textId="77777777" w:rsidR="002C6574" w:rsidRDefault="00000000">
            <w:pPr>
              <w:pStyle w:val="TableParagraph"/>
              <w:spacing w:before="48"/>
              <w:ind w:right="111"/>
              <w:rPr>
                <w:rFonts w:ascii="Arial"/>
                <w:b/>
                <w:sz w:val="12"/>
              </w:rPr>
            </w:pPr>
            <w:r>
              <w:rPr>
                <w:rFonts w:ascii="Arial"/>
                <w:b/>
                <w:spacing w:val="-2"/>
                <w:sz w:val="12"/>
              </w:rPr>
              <w:t>186.133</w:t>
            </w:r>
          </w:p>
        </w:tc>
        <w:tc>
          <w:tcPr>
            <w:tcW w:w="802" w:type="dxa"/>
            <w:tcBorders>
              <w:top w:val="single" w:sz="8" w:space="0" w:color="9AC1E6"/>
              <w:bottom w:val="single" w:sz="8" w:space="0" w:color="9AC1E6"/>
            </w:tcBorders>
          </w:tcPr>
          <w:p w14:paraId="15B13F0C" w14:textId="77777777" w:rsidR="002C6574" w:rsidRDefault="00000000">
            <w:pPr>
              <w:pStyle w:val="TableParagraph"/>
              <w:spacing w:before="48"/>
              <w:ind w:right="117"/>
              <w:rPr>
                <w:rFonts w:ascii="Arial"/>
                <w:b/>
                <w:sz w:val="12"/>
              </w:rPr>
            </w:pPr>
            <w:r>
              <w:rPr>
                <w:rFonts w:ascii="Arial"/>
                <w:b/>
                <w:spacing w:val="-2"/>
                <w:sz w:val="12"/>
              </w:rPr>
              <w:t>77,0%</w:t>
            </w:r>
          </w:p>
        </w:tc>
        <w:tc>
          <w:tcPr>
            <w:tcW w:w="779" w:type="dxa"/>
            <w:tcBorders>
              <w:top w:val="single" w:sz="8" w:space="0" w:color="9AC1E6"/>
              <w:bottom w:val="single" w:sz="8" w:space="0" w:color="9AC1E6"/>
            </w:tcBorders>
          </w:tcPr>
          <w:p w14:paraId="4BCC5C2B" w14:textId="77777777" w:rsidR="002C6574" w:rsidRDefault="00000000">
            <w:pPr>
              <w:pStyle w:val="TableParagraph"/>
              <w:spacing w:before="48"/>
              <w:ind w:right="76"/>
              <w:rPr>
                <w:rFonts w:ascii="Arial"/>
                <w:b/>
                <w:sz w:val="12"/>
              </w:rPr>
            </w:pPr>
            <w:r>
              <w:rPr>
                <w:rFonts w:ascii="Arial"/>
                <w:b/>
                <w:spacing w:val="-2"/>
                <w:sz w:val="12"/>
              </w:rPr>
              <w:t>174,4%</w:t>
            </w:r>
          </w:p>
        </w:tc>
      </w:tr>
      <w:tr w:rsidR="002C6574" w14:paraId="5B139901" w14:textId="77777777">
        <w:trPr>
          <w:trHeight w:val="235"/>
        </w:trPr>
        <w:tc>
          <w:tcPr>
            <w:tcW w:w="4381" w:type="dxa"/>
            <w:tcBorders>
              <w:top w:val="single" w:sz="8" w:space="0" w:color="9AC1E6"/>
            </w:tcBorders>
          </w:tcPr>
          <w:p w14:paraId="537554A1" w14:textId="77777777" w:rsidR="002C6574" w:rsidRDefault="00000000">
            <w:pPr>
              <w:pStyle w:val="TableParagraph"/>
              <w:spacing w:before="48"/>
              <w:ind w:left="83"/>
              <w:jc w:val="left"/>
              <w:rPr>
                <w:rFonts w:ascii="Arial"/>
                <w:b/>
                <w:sz w:val="12"/>
              </w:rPr>
            </w:pPr>
            <w:r>
              <w:rPr>
                <w:rFonts w:ascii="Arial"/>
                <w:b/>
                <w:spacing w:val="-2"/>
                <w:sz w:val="12"/>
              </w:rPr>
              <w:t>Ajustes:</w:t>
            </w:r>
          </w:p>
        </w:tc>
        <w:tc>
          <w:tcPr>
            <w:tcW w:w="1463" w:type="dxa"/>
            <w:tcBorders>
              <w:top w:val="single" w:sz="8" w:space="0" w:color="9AC1E6"/>
            </w:tcBorders>
          </w:tcPr>
          <w:p w14:paraId="573C77BC" w14:textId="77777777" w:rsidR="002C6574" w:rsidRDefault="002C6574">
            <w:pPr>
              <w:pStyle w:val="TableParagraph"/>
              <w:jc w:val="left"/>
              <w:rPr>
                <w:rFonts w:ascii="Times New Roman"/>
                <w:sz w:val="14"/>
              </w:rPr>
            </w:pPr>
          </w:p>
        </w:tc>
        <w:tc>
          <w:tcPr>
            <w:tcW w:w="869" w:type="dxa"/>
            <w:tcBorders>
              <w:top w:val="single" w:sz="8" w:space="0" w:color="9AC1E6"/>
            </w:tcBorders>
          </w:tcPr>
          <w:p w14:paraId="45CA3991" w14:textId="77777777" w:rsidR="002C6574" w:rsidRDefault="002C6574">
            <w:pPr>
              <w:pStyle w:val="TableParagraph"/>
              <w:jc w:val="left"/>
              <w:rPr>
                <w:rFonts w:ascii="Times New Roman"/>
                <w:sz w:val="14"/>
              </w:rPr>
            </w:pPr>
          </w:p>
        </w:tc>
        <w:tc>
          <w:tcPr>
            <w:tcW w:w="799" w:type="dxa"/>
            <w:tcBorders>
              <w:top w:val="single" w:sz="8" w:space="0" w:color="9AC1E6"/>
            </w:tcBorders>
          </w:tcPr>
          <w:p w14:paraId="7A0F5A72" w14:textId="77777777" w:rsidR="002C6574" w:rsidRDefault="002C6574">
            <w:pPr>
              <w:pStyle w:val="TableParagraph"/>
              <w:jc w:val="left"/>
              <w:rPr>
                <w:rFonts w:ascii="Times New Roman"/>
                <w:sz w:val="14"/>
              </w:rPr>
            </w:pPr>
          </w:p>
        </w:tc>
        <w:tc>
          <w:tcPr>
            <w:tcW w:w="802" w:type="dxa"/>
            <w:tcBorders>
              <w:top w:val="single" w:sz="8" w:space="0" w:color="9AC1E6"/>
            </w:tcBorders>
          </w:tcPr>
          <w:p w14:paraId="3A0DC166" w14:textId="77777777" w:rsidR="002C6574" w:rsidRDefault="002C6574">
            <w:pPr>
              <w:pStyle w:val="TableParagraph"/>
              <w:jc w:val="left"/>
              <w:rPr>
                <w:rFonts w:ascii="Times New Roman"/>
                <w:sz w:val="14"/>
              </w:rPr>
            </w:pPr>
          </w:p>
        </w:tc>
        <w:tc>
          <w:tcPr>
            <w:tcW w:w="779" w:type="dxa"/>
            <w:tcBorders>
              <w:top w:val="single" w:sz="8" w:space="0" w:color="9AC1E6"/>
            </w:tcBorders>
          </w:tcPr>
          <w:p w14:paraId="3CC134CE" w14:textId="77777777" w:rsidR="002C6574" w:rsidRDefault="002C6574">
            <w:pPr>
              <w:pStyle w:val="TableParagraph"/>
              <w:jc w:val="left"/>
              <w:rPr>
                <w:rFonts w:ascii="Times New Roman"/>
                <w:sz w:val="14"/>
              </w:rPr>
            </w:pPr>
          </w:p>
        </w:tc>
      </w:tr>
      <w:tr w:rsidR="002C6574" w14:paraId="10B1A192" w14:textId="77777777">
        <w:trPr>
          <w:trHeight w:val="232"/>
        </w:trPr>
        <w:tc>
          <w:tcPr>
            <w:tcW w:w="4381" w:type="dxa"/>
          </w:tcPr>
          <w:p w14:paraId="19E190DC" w14:textId="77777777" w:rsidR="002C6574" w:rsidRDefault="00000000">
            <w:pPr>
              <w:pStyle w:val="TableParagraph"/>
              <w:spacing w:before="45"/>
              <w:ind w:left="83"/>
              <w:jc w:val="left"/>
              <w:rPr>
                <w:rFonts w:ascii="Arial MT" w:hAnsi="Arial MT"/>
                <w:sz w:val="12"/>
              </w:rPr>
            </w:pPr>
            <w:r>
              <w:rPr>
                <w:rFonts w:ascii="Arial MT" w:hAnsi="Arial MT"/>
                <w:sz w:val="12"/>
              </w:rPr>
              <w:t>(-)</w:t>
            </w:r>
            <w:r>
              <w:rPr>
                <w:rFonts w:ascii="Arial MT" w:hAnsi="Arial MT"/>
                <w:spacing w:val="-1"/>
                <w:sz w:val="12"/>
              </w:rPr>
              <w:t xml:space="preserve"> </w:t>
            </w:r>
            <w:r>
              <w:rPr>
                <w:rFonts w:ascii="Arial MT" w:hAnsi="Arial MT"/>
                <w:sz w:val="12"/>
              </w:rPr>
              <w:t>Superávit de</w:t>
            </w:r>
            <w:r>
              <w:rPr>
                <w:rFonts w:ascii="Arial MT" w:hAnsi="Arial MT"/>
                <w:spacing w:val="-2"/>
                <w:sz w:val="12"/>
              </w:rPr>
              <w:t xml:space="preserve"> </w:t>
            </w:r>
            <w:r>
              <w:rPr>
                <w:rFonts w:ascii="Arial MT" w:hAnsi="Arial MT"/>
                <w:sz w:val="12"/>
              </w:rPr>
              <w:t xml:space="preserve">Previdência </w:t>
            </w:r>
            <w:r>
              <w:rPr>
                <w:rFonts w:ascii="Arial MT" w:hAnsi="Arial MT"/>
                <w:spacing w:val="-2"/>
                <w:sz w:val="12"/>
              </w:rPr>
              <w:t>Privada</w:t>
            </w:r>
          </w:p>
        </w:tc>
        <w:tc>
          <w:tcPr>
            <w:tcW w:w="1463" w:type="dxa"/>
          </w:tcPr>
          <w:p w14:paraId="7D7F050F" w14:textId="77777777" w:rsidR="002C6574" w:rsidRDefault="00000000">
            <w:pPr>
              <w:pStyle w:val="TableParagraph"/>
              <w:spacing w:before="45"/>
              <w:ind w:right="177"/>
              <w:rPr>
                <w:rFonts w:ascii="Arial MT"/>
                <w:sz w:val="12"/>
              </w:rPr>
            </w:pPr>
            <w:r>
              <w:rPr>
                <w:rFonts w:ascii="Arial MT"/>
                <w:spacing w:val="-2"/>
                <w:sz w:val="12"/>
              </w:rPr>
              <w:t>(134.727)</w:t>
            </w:r>
          </w:p>
        </w:tc>
        <w:tc>
          <w:tcPr>
            <w:tcW w:w="869" w:type="dxa"/>
          </w:tcPr>
          <w:p w14:paraId="0CF2190C" w14:textId="77777777" w:rsidR="002C6574" w:rsidRDefault="00000000">
            <w:pPr>
              <w:pStyle w:val="TableParagraph"/>
              <w:spacing w:before="45"/>
              <w:ind w:right="177"/>
              <w:rPr>
                <w:rFonts w:ascii="Arial MT"/>
                <w:sz w:val="12"/>
              </w:rPr>
            </w:pPr>
            <w:r>
              <w:rPr>
                <w:rFonts w:ascii="Arial MT"/>
                <w:spacing w:val="-2"/>
                <w:sz w:val="12"/>
              </w:rPr>
              <w:t>(212.038)</w:t>
            </w:r>
          </w:p>
        </w:tc>
        <w:tc>
          <w:tcPr>
            <w:tcW w:w="799" w:type="dxa"/>
          </w:tcPr>
          <w:p w14:paraId="3EB799EE" w14:textId="77777777" w:rsidR="002C6574" w:rsidRDefault="00000000">
            <w:pPr>
              <w:pStyle w:val="TableParagraph"/>
              <w:spacing w:before="45"/>
              <w:ind w:right="109"/>
              <w:rPr>
                <w:rFonts w:ascii="Arial MT"/>
                <w:sz w:val="12"/>
              </w:rPr>
            </w:pPr>
            <w:r>
              <w:rPr>
                <w:rFonts w:ascii="Arial MT"/>
                <w:spacing w:val="-2"/>
                <w:sz w:val="12"/>
              </w:rPr>
              <w:t>(33.912)</w:t>
            </w:r>
          </w:p>
        </w:tc>
        <w:tc>
          <w:tcPr>
            <w:tcW w:w="802" w:type="dxa"/>
          </w:tcPr>
          <w:p w14:paraId="24991E9F" w14:textId="77777777" w:rsidR="002C6574" w:rsidRDefault="00000000">
            <w:pPr>
              <w:pStyle w:val="TableParagraph"/>
              <w:spacing w:before="45"/>
              <w:ind w:right="115"/>
              <w:rPr>
                <w:rFonts w:ascii="Arial MT"/>
                <w:sz w:val="12"/>
              </w:rPr>
            </w:pPr>
            <w:r>
              <w:rPr>
                <w:rFonts w:ascii="Arial MT"/>
                <w:sz w:val="12"/>
              </w:rPr>
              <w:t>-</w:t>
            </w:r>
            <w:r>
              <w:rPr>
                <w:rFonts w:ascii="Arial MT"/>
                <w:spacing w:val="-2"/>
                <w:sz w:val="12"/>
              </w:rPr>
              <w:t>36,5%</w:t>
            </w:r>
          </w:p>
        </w:tc>
        <w:tc>
          <w:tcPr>
            <w:tcW w:w="779" w:type="dxa"/>
          </w:tcPr>
          <w:p w14:paraId="21388777" w14:textId="77777777" w:rsidR="002C6574" w:rsidRDefault="00000000">
            <w:pPr>
              <w:pStyle w:val="TableParagraph"/>
              <w:spacing w:before="45"/>
              <w:ind w:right="76"/>
              <w:rPr>
                <w:rFonts w:ascii="Arial MT"/>
                <w:sz w:val="12"/>
              </w:rPr>
            </w:pPr>
            <w:r>
              <w:rPr>
                <w:rFonts w:ascii="Arial MT"/>
                <w:spacing w:val="-2"/>
                <w:sz w:val="12"/>
              </w:rPr>
              <w:t>297,3%</w:t>
            </w:r>
          </w:p>
        </w:tc>
      </w:tr>
      <w:tr w:rsidR="002C6574" w14:paraId="1FEE3972" w14:textId="77777777">
        <w:trPr>
          <w:trHeight w:val="231"/>
        </w:trPr>
        <w:tc>
          <w:tcPr>
            <w:tcW w:w="4381" w:type="dxa"/>
          </w:tcPr>
          <w:p w14:paraId="09902081" w14:textId="77777777" w:rsidR="002C6574" w:rsidRDefault="00000000">
            <w:pPr>
              <w:pStyle w:val="TableParagraph"/>
              <w:spacing w:before="45"/>
              <w:ind w:left="83"/>
              <w:jc w:val="left"/>
              <w:rPr>
                <w:rFonts w:ascii="Arial MT" w:hAnsi="Arial MT"/>
                <w:sz w:val="12"/>
              </w:rPr>
            </w:pPr>
            <w:r>
              <w:rPr>
                <w:rFonts w:ascii="Arial MT" w:hAnsi="Arial MT"/>
                <w:sz w:val="12"/>
              </w:rPr>
              <w:t>(+)</w:t>
            </w:r>
            <w:r>
              <w:rPr>
                <w:rFonts w:ascii="Arial MT" w:hAnsi="Arial MT"/>
                <w:spacing w:val="-1"/>
                <w:sz w:val="12"/>
              </w:rPr>
              <w:t xml:space="preserve"> </w:t>
            </w:r>
            <w:r>
              <w:rPr>
                <w:rFonts w:ascii="Arial MT" w:hAnsi="Arial MT"/>
                <w:sz w:val="12"/>
              </w:rPr>
              <w:t>Tributos</w:t>
            </w:r>
            <w:r>
              <w:rPr>
                <w:rFonts w:ascii="Arial MT" w:hAnsi="Arial MT"/>
                <w:spacing w:val="-1"/>
                <w:sz w:val="12"/>
              </w:rPr>
              <w:t xml:space="preserve"> </w:t>
            </w:r>
            <w:r>
              <w:rPr>
                <w:rFonts w:ascii="Arial MT" w:hAnsi="Arial MT"/>
                <w:sz w:val="12"/>
              </w:rPr>
              <w:t>sobre Superávit</w:t>
            </w:r>
            <w:r>
              <w:rPr>
                <w:rFonts w:ascii="Arial MT" w:hAnsi="Arial MT"/>
                <w:spacing w:val="-1"/>
                <w:sz w:val="12"/>
              </w:rPr>
              <w:t xml:space="preserve"> </w:t>
            </w:r>
            <w:r>
              <w:rPr>
                <w:rFonts w:ascii="Arial MT" w:hAnsi="Arial MT"/>
                <w:sz w:val="12"/>
              </w:rPr>
              <w:t>de</w:t>
            </w:r>
            <w:r>
              <w:rPr>
                <w:rFonts w:ascii="Arial MT" w:hAnsi="Arial MT"/>
                <w:spacing w:val="-1"/>
                <w:sz w:val="12"/>
              </w:rPr>
              <w:t xml:space="preserve"> </w:t>
            </w:r>
            <w:r>
              <w:rPr>
                <w:rFonts w:ascii="Arial MT" w:hAnsi="Arial MT"/>
                <w:sz w:val="12"/>
              </w:rPr>
              <w:t>Previdência</w:t>
            </w:r>
            <w:r>
              <w:rPr>
                <w:rFonts w:ascii="Arial MT" w:hAnsi="Arial MT"/>
                <w:spacing w:val="-1"/>
                <w:sz w:val="12"/>
              </w:rPr>
              <w:t xml:space="preserve"> </w:t>
            </w:r>
            <w:r>
              <w:rPr>
                <w:rFonts w:ascii="Arial MT" w:hAnsi="Arial MT"/>
                <w:spacing w:val="-2"/>
                <w:sz w:val="12"/>
              </w:rPr>
              <w:t>Privada</w:t>
            </w:r>
          </w:p>
        </w:tc>
        <w:tc>
          <w:tcPr>
            <w:tcW w:w="1463" w:type="dxa"/>
          </w:tcPr>
          <w:p w14:paraId="793BACC2" w14:textId="77777777" w:rsidR="002C6574" w:rsidRDefault="00000000">
            <w:pPr>
              <w:pStyle w:val="TableParagraph"/>
              <w:spacing w:before="45"/>
              <w:ind w:right="178"/>
              <w:rPr>
                <w:rFonts w:ascii="Arial MT"/>
                <w:sz w:val="12"/>
              </w:rPr>
            </w:pPr>
            <w:r>
              <w:rPr>
                <w:rFonts w:ascii="Arial MT"/>
                <w:spacing w:val="-2"/>
                <w:sz w:val="12"/>
              </w:rPr>
              <w:t>12.462</w:t>
            </w:r>
          </w:p>
        </w:tc>
        <w:tc>
          <w:tcPr>
            <w:tcW w:w="869" w:type="dxa"/>
          </w:tcPr>
          <w:p w14:paraId="015F7BA7" w14:textId="77777777" w:rsidR="002C6574" w:rsidRDefault="00000000">
            <w:pPr>
              <w:pStyle w:val="TableParagraph"/>
              <w:spacing w:before="45"/>
              <w:ind w:right="178"/>
              <w:rPr>
                <w:rFonts w:ascii="Arial MT"/>
                <w:sz w:val="12"/>
              </w:rPr>
            </w:pPr>
            <w:r>
              <w:rPr>
                <w:rFonts w:ascii="Arial MT"/>
                <w:spacing w:val="-2"/>
                <w:sz w:val="12"/>
              </w:rPr>
              <w:t>19.614</w:t>
            </w:r>
          </w:p>
        </w:tc>
        <w:tc>
          <w:tcPr>
            <w:tcW w:w="799" w:type="dxa"/>
          </w:tcPr>
          <w:p w14:paraId="47175BCE" w14:textId="77777777" w:rsidR="002C6574" w:rsidRDefault="00000000">
            <w:pPr>
              <w:pStyle w:val="TableParagraph"/>
              <w:spacing w:before="45"/>
              <w:ind w:right="111"/>
              <w:rPr>
                <w:rFonts w:ascii="Arial MT"/>
                <w:sz w:val="12"/>
              </w:rPr>
            </w:pPr>
            <w:r>
              <w:rPr>
                <w:rFonts w:ascii="Arial MT"/>
                <w:spacing w:val="-2"/>
                <w:sz w:val="12"/>
              </w:rPr>
              <w:t>3.137</w:t>
            </w:r>
          </w:p>
        </w:tc>
        <w:tc>
          <w:tcPr>
            <w:tcW w:w="802" w:type="dxa"/>
          </w:tcPr>
          <w:p w14:paraId="6629D922" w14:textId="77777777" w:rsidR="002C6574" w:rsidRDefault="00000000">
            <w:pPr>
              <w:pStyle w:val="TableParagraph"/>
              <w:spacing w:before="45"/>
              <w:ind w:right="115"/>
              <w:rPr>
                <w:rFonts w:ascii="Arial MT"/>
                <w:sz w:val="12"/>
              </w:rPr>
            </w:pPr>
            <w:r>
              <w:rPr>
                <w:rFonts w:ascii="Arial MT"/>
                <w:sz w:val="12"/>
              </w:rPr>
              <w:t>-</w:t>
            </w:r>
            <w:r>
              <w:rPr>
                <w:rFonts w:ascii="Arial MT"/>
                <w:spacing w:val="-2"/>
                <w:sz w:val="12"/>
              </w:rPr>
              <w:t>36,5%</w:t>
            </w:r>
          </w:p>
        </w:tc>
        <w:tc>
          <w:tcPr>
            <w:tcW w:w="779" w:type="dxa"/>
          </w:tcPr>
          <w:p w14:paraId="6E7BD6D9" w14:textId="77777777" w:rsidR="002C6574" w:rsidRDefault="00000000">
            <w:pPr>
              <w:pStyle w:val="TableParagraph"/>
              <w:spacing w:before="45"/>
              <w:ind w:right="76"/>
              <w:rPr>
                <w:rFonts w:ascii="Arial MT"/>
                <w:sz w:val="12"/>
              </w:rPr>
            </w:pPr>
            <w:r>
              <w:rPr>
                <w:rFonts w:ascii="Arial MT"/>
                <w:spacing w:val="-2"/>
                <w:sz w:val="12"/>
              </w:rPr>
              <w:t>297,3%</w:t>
            </w:r>
          </w:p>
        </w:tc>
      </w:tr>
      <w:tr w:rsidR="002C6574" w14:paraId="67EC9E03" w14:textId="77777777">
        <w:trPr>
          <w:trHeight w:val="231"/>
        </w:trPr>
        <w:tc>
          <w:tcPr>
            <w:tcW w:w="4381" w:type="dxa"/>
          </w:tcPr>
          <w:p w14:paraId="111E9293" w14:textId="77777777" w:rsidR="002C6574" w:rsidRDefault="00000000">
            <w:pPr>
              <w:pStyle w:val="TableParagraph"/>
              <w:spacing w:before="44"/>
              <w:ind w:left="83"/>
              <w:jc w:val="left"/>
              <w:rPr>
                <w:rFonts w:ascii="Arial MT"/>
                <w:sz w:val="12"/>
              </w:rPr>
            </w:pPr>
            <w:r>
              <w:rPr>
                <w:rFonts w:ascii="Arial MT"/>
                <w:sz w:val="12"/>
              </w:rPr>
              <w:t>(-)</w:t>
            </w:r>
            <w:r>
              <w:rPr>
                <w:rFonts w:ascii="Arial MT"/>
                <w:spacing w:val="-1"/>
                <w:sz w:val="12"/>
              </w:rPr>
              <w:t xml:space="preserve"> </w:t>
            </w:r>
            <w:r>
              <w:rPr>
                <w:rFonts w:ascii="Arial MT"/>
                <w:sz w:val="12"/>
              </w:rPr>
              <w:t>Ganho</w:t>
            </w:r>
            <w:r>
              <w:rPr>
                <w:rFonts w:ascii="Arial MT"/>
                <w:spacing w:val="-1"/>
                <w:sz w:val="12"/>
              </w:rPr>
              <w:t xml:space="preserve"> </w:t>
            </w:r>
            <w:r>
              <w:rPr>
                <w:rFonts w:ascii="Arial MT"/>
                <w:sz w:val="12"/>
              </w:rPr>
              <w:t>na</w:t>
            </w:r>
            <w:r>
              <w:rPr>
                <w:rFonts w:ascii="Arial MT"/>
                <w:spacing w:val="1"/>
                <w:sz w:val="12"/>
              </w:rPr>
              <w:t xml:space="preserve"> </w:t>
            </w:r>
            <w:r>
              <w:rPr>
                <w:rFonts w:ascii="Arial MT"/>
                <w:sz w:val="12"/>
              </w:rPr>
              <w:t>Baixa</w:t>
            </w:r>
            <w:r>
              <w:rPr>
                <w:rFonts w:ascii="Arial MT"/>
                <w:spacing w:val="-1"/>
                <w:sz w:val="12"/>
              </w:rPr>
              <w:t xml:space="preserve"> </w:t>
            </w:r>
            <w:r>
              <w:rPr>
                <w:rFonts w:ascii="Arial MT"/>
                <w:sz w:val="12"/>
              </w:rPr>
              <w:t xml:space="preserve">de </w:t>
            </w:r>
            <w:r>
              <w:rPr>
                <w:rFonts w:ascii="Arial MT"/>
                <w:spacing w:val="-2"/>
                <w:sz w:val="12"/>
              </w:rPr>
              <w:t>Passivos</w:t>
            </w:r>
          </w:p>
        </w:tc>
        <w:tc>
          <w:tcPr>
            <w:tcW w:w="1463" w:type="dxa"/>
          </w:tcPr>
          <w:p w14:paraId="5CE9C1CE" w14:textId="77777777" w:rsidR="002C6574" w:rsidRDefault="00000000">
            <w:pPr>
              <w:pStyle w:val="TableParagraph"/>
              <w:spacing w:before="44"/>
              <w:ind w:right="176"/>
              <w:rPr>
                <w:rFonts w:ascii="Arial MT"/>
                <w:sz w:val="12"/>
              </w:rPr>
            </w:pPr>
            <w:r>
              <w:rPr>
                <w:rFonts w:ascii="Arial MT"/>
                <w:spacing w:val="-4"/>
                <w:sz w:val="12"/>
              </w:rPr>
              <w:t>(76)</w:t>
            </w:r>
          </w:p>
        </w:tc>
        <w:tc>
          <w:tcPr>
            <w:tcW w:w="869" w:type="dxa"/>
          </w:tcPr>
          <w:p w14:paraId="0EBCE2B7" w14:textId="77777777" w:rsidR="002C6574" w:rsidRDefault="00000000">
            <w:pPr>
              <w:pStyle w:val="TableParagraph"/>
              <w:spacing w:before="44"/>
              <w:ind w:right="177"/>
              <w:rPr>
                <w:rFonts w:ascii="Arial MT"/>
                <w:sz w:val="12"/>
              </w:rPr>
            </w:pPr>
            <w:r>
              <w:rPr>
                <w:rFonts w:ascii="Arial MT"/>
                <w:spacing w:val="-2"/>
                <w:sz w:val="12"/>
              </w:rPr>
              <w:t>(2.297)</w:t>
            </w:r>
          </w:p>
        </w:tc>
        <w:tc>
          <w:tcPr>
            <w:tcW w:w="799" w:type="dxa"/>
          </w:tcPr>
          <w:p w14:paraId="7F524903" w14:textId="77777777" w:rsidR="002C6574" w:rsidRDefault="00000000">
            <w:pPr>
              <w:pStyle w:val="TableParagraph"/>
              <w:spacing w:before="44"/>
              <w:ind w:right="108"/>
              <w:rPr>
                <w:rFonts w:ascii="Arial MT"/>
                <w:sz w:val="12"/>
              </w:rPr>
            </w:pPr>
            <w:r>
              <w:rPr>
                <w:rFonts w:ascii="Arial MT"/>
                <w:spacing w:val="-2"/>
                <w:sz w:val="12"/>
              </w:rPr>
              <w:t>(417)</w:t>
            </w:r>
          </w:p>
        </w:tc>
        <w:tc>
          <w:tcPr>
            <w:tcW w:w="802" w:type="dxa"/>
          </w:tcPr>
          <w:p w14:paraId="12C803AF" w14:textId="77777777" w:rsidR="002C6574" w:rsidRDefault="00000000">
            <w:pPr>
              <w:pStyle w:val="TableParagraph"/>
              <w:spacing w:before="44"/>
              <w:ind w:right="115"/>
              <w:rPr>
                <w:rFonts w:ascii="Arial MT"/>
                <w:sz w:val="12"/>
              </w:rPr>
            </w:pPr>
            <w:r>
              <w:rPr>
                <w:rFonts w:ascii="Arial MT"/>
                <w:sz w:val="12"/>
              </w:rPr>
              <w:t>-</w:t>
            </w:r>
            <w:r>
              <w:rPr>
                <w:rFonts w:ascii="Arial MT"/>
                <w:spacing w:val="-2"/>
                <w:sz w:val="12"/>
              </w:rPr>
              <w:t>96,7%</w:t>
            </w:r>
          </w:p>
        </w:tc>
        <w:tc>
          <w:tcPr>
            <w:tcW w:w="779" w:type="dxa"/>
          </w:tcPr>
          <w:p w14:paraId="1E421356" w14:textId="77777777" w:rsidR="002C6574" w:rsidRDefault="00000000">
            <w:pPr>
              <w:pStyle w:val="TableParagraph"/>
              <w:spacing w:before="44"/>
              <w:ind w:right="73"/>
              <w:rPr>
                <w:rFonts w:ascii="Arial MT"/>
                <w:sz w:val="12"/>
              </w:rPr>
            </w:pPr>
            <w:r>
              <w:rPr>
                <w:rFonts w:ascii="Arial MT"/>
                <w:sz w:val="12"/>
              </w:rPr>
              <w:t>-</w:t>
            </w:r>
            <w:r>
              <w:rPr>
                <w:rFonts w:ascii="Arial MT"/>
                <w:spacing w:val="-2"/>
                <w:sz w:val="12"/>
              </w:rPr>
              <w:t>81,8%</w:t>
            </w:r>
          </w:p>
        </w:tc>
      </w:tr>
      <w:tr w:rsidR="002C6574" w14:paraId="6B133B23" w14:textId="77777777">
        <w:trPr>
          <w:trHeight w:val="232"/>
        </w:trPr>
        <w:tc>
          <w:tcPr>
            <w:tcW w:w="4381" w:type="dxa"/>
          </w:tcPr>
          <w:p w14:paraId="7B76B5C6" w14:textId="77777777" w:rsidR="002C6574" w:rsidRDefault="00000000">
            <w:pPr>
              <w:pStyle w:val="TableParagraph"/>
              <w:spacing w:before="45"/>
              <w:ind w:left="83"/>
              <w:jc w:val="left"/>
              <w:rPr>
                <w:rFonts w:ascii="Arial MT" w:hAnsi="Arial MT"/>
                <w:sz w:val="12"/>
              </w:rPr>
            </w:pPr>
            <w:r>
              <w:rPr>
                <w:rFonts w:ascii="Arial MT" w:hAnsi="Arial MT"/>
                <w:sz w:val="12"/>
              </w:rPr>
              <w:t>(-) Depreciação</w:t>
            </w:r>
            <w:r>
              <w:rPr>
                <w:rFonts w:ascii="Arial MT" w:hAnsi="Arial MT"/>
                <w:spacing w:val="-2"/>
                <w:sz w:val="12"/>
              </w:rPr>
              <w:t xml:space="preserve"> </w:t>
            </w:r>
            <w:r>
              <w:rPr>
                <w:rFonts w:ascii="Arial MT" w:hAnsi="Arial MT"/>
                <w:sz w:val="12"/>
              </w:rPr>
              <w:t>-</w:t>
            </w:r>
            <w:r>
              <w:rPr>
                <w:rFonts w:ascii="Arial MT" w:hAnsi="Arial MT"/>
                <w:spacing w:val="2"/>
                <w:sz w:val="12"/>
              </w:rPr>
              <w:t xml:space="preserve"> </w:t>
            </w:r>
            <w:r>
              <w:rPr>
                <w:rFonts w:ascii="Arial MT" w:hAnsi="Arial MT"/>
                <w:sz w:val="12"/>
              </w:rPr>
              <w:t>CPC</w:t>
            </w:r>
            <w:r>
              <w:rPr>
                <w:rFonts w:ascii="Arial MT" w:hAnsi="Arial MT"/>
                <w:spacing w:val="-1"/>
                <w:sz w:val="12"/>
              </w:rPr>
              <w:t xml:space="preserve"> </w:t>
            </w:r>
            <w:r>
              <w:rPr>
                <w:rFonts w:ascii="Arial MT" w:hAnsi="Arial MT"/>
                <w:sz w:val="12"/>
              </w:rPr>
              <w:t>6(R2)</w:t>
            </w:r>
            <w:r>
              <w:rPr>
                <w:rFonts w:ascii="Arial MT" w:hAnsi="Arial MT"/>
                <w:spacing w:val="-2"/>
                <w:sz w:val="12"/>
              </w:rPr>
              <w:t xml:space="preserve"> </w:t>
            </w:r>
            <w:r>
              <w:rPr>
                <w:rFonts w:ascii="Arial MT" w:hAnsi="Arial MT"/>
                <w:sz w:val="12"/>
              </w:rPr>
              <w:t>/</w:t>
            </w:r>
            <w:r>
              <w:rPr>
                <w:rFonts w:ascii="Arial MT" w:hAnsi="Arial MT"/>
                <w:spacing w:val="1"/>
                <w:sz w:val="12"/>
              </w:rPr>
              <w:t xml:space="preserve"> </w:t>
            </w:r>
            <w:r>
              <w:rPr>
                <w:rFonts w:ascii="Arial MT" w:hAnsi="Arial MT"/>
                <w:sz w:val="12"/>
              </w:rPr>
              <w:t>IFRS</w:t>
            </w:r>
            <w:r>
              <w:rPr>
                <w:rFonts w:ascii="Arial MT" w:hAnsi="Arial MT"/>
                <w:spacing w:val="-1"/>
                <w:sz w:val="12"/>
              </w:rPr>
              <w:t xml:space="preserve"> </w:t>
            </w:r>
            <w:r>
              <w:rPr>
                <w:rFonts w:ascii="Arial MT" w:hAnsi="Arial MT"/>
                <w:spacing w:val="-5"/>
                <w:sz w:val="12"/>
              </w:rPr>
              <w:t>16</w:t>
            </w:r>
          </w:p>
        </w:tc>
        <w:tc>
          <w:tcPr>
            <w:tcW w:w="1463" w:type="dxa"/>
          </w:tcPr>
          <w:p w14:paraId="14286139" w14:textId="77777777" w:rsidR="002C6574" w:rsidRDefault="00000000">
            <w:pPr>
              <w:pStyle w:val="TableParagraph"/>
              <w:spacing w:before="45"/>
              <w:ind w:right="177"/>
              <w:rPr>
                <w:rFonts w:ascii="Arial MT"/>
                <w:sz w:val="12"/>
              </w:rPr>
            </w:pPr>
            <w:r>
              <w:rPr>
                <w:rFonts w:ascii="Arial MT"/>
                <w:spacing w:val="-2"/>
                <w:sz w:val="12"/>
              </w:rPr>
              <w:t>(5.307)</w:t>
            </w:r>
          </w:p>
        </w:tc>
        <w:tc>
          <w:tcPr>
            <w:tcW w:w="869" w:type="dxa"/>
          </w:tcPr>
          <w:p w14:paraId="6C267795" w14:textId="77777777" w:rsidR="002C6574" w:rsidRDefault="00000000">
            <w:pPr>
              <w:pStyle w:val="TableParagraph"/>
              <w:spacing w:before="45"/>
              <w:ind w:right="177"/>
              <w:rPr>
                <w:rFonts w:ascii="Arial MT"/>
                <w:sz w:val="12"/>
              </w:rPr>
            </w:pPr>
            <w:r>
              <w:rPr>
                <w:rFonts w:ascii="Arial MT"/>
                <w:spacing w:val="-2"/>
                <w:sz w:val="12"/>
              </w:rPr>
              <w:t>(5.219)</w:t>
            </w:r>
          </w:p>
        </w:tc>
        <w:tc>
          <w:tcPr>
            <w:tcW w:w="799" w:type="dxa"/>
          </w:tcPr>
          <w:p w14:paraId="1AC691F5" w14:textId="77777777" w:rsidR="002C6574" w:rsidRDefault="00000000">
            <w:pPr>
              <w:pStyle w:val="TableParagraph"/>
              <w:spacing w:before="45"/>
              <w:ind w:right="109"/>
              <w:rPr>
                <w:rFonts w:ascii="Arial MT"/>
                <w:sz w:val="12"/>
              </w:rPr>
            </w:pPr>
            <w:r>
              <w:rPr>
                <w:rFonts w:ascii="Arial MT"/>
                <w:spacing w:val="-2"/>
                <w:sz w:val="12"/>
              </w:rPr>
              <w:t>(5.175)</w:t>
            </w:r>
          </w:p>
        </w:tc>
        <w:tc>
          <w:tcPr>
            <w:tcW w:w="802" w:type="dxa"/>
          </w:tcPr>
          <w:p w14:paraId="4EDA1D2C" w14:textId="77777777" w:rsidR="002C6574" w:rsidRDefault="00000000">
            <w:pPr>
              <w:pStyle w:val="TableParagraph"/>
              <w:spacing w:before="45"/>
              <w:ind w:right="117"/>
              <w:rPr>
                <w:rFonts w:ascii="Arial MT"/>
                <w:sz w:val="12"/>
              </w:rPr>
            </w:pPr>
            <w:r>
              <w:rPr>
                <w:rFonts w:ascii="Arial MT"/>
                <w:spacing w:val="-4"/>
                <w:sz w:val="12"/>
              </w:rPr>
              <w:t>1,7%</w:t>
            </w:r>
          </w:p>
        </w:tc>
        <w:tc>
          <w:tcPr>
            <w:tcW w:w="779" w:type="dxa"/>
          </w:tcPr>
          <w:p w14:paraId="209E1187" w14:textId="77777777" w:rsidR="002C6574" w:rsidRDefault="00000000">
            <w:pPr>
              <w:pStyle w:val="TableParagraph"/>
              <w:spacing w:before="45"/>
              <w:ind w:right="75"/>
              <w:rPr>
                <w:rFonts w:ascii="Arial MT"/>
                <w:sz w:val="12"/>
              </w:rPr>
            </w:pPr>
            <w:r>
              <w:rPr>
                <w:rFonts w:ascii="Arial MT"/>
                <w:spacing w:val="-4"/>
                <w:sz w:val="12"/>
              </w:rPr>
              <w:t>2,6%</w:t>
            </w:r>
          </w:p>
        </w:tc>
      </w:tr>
      <w:tr w:rsidR="002C6574" w14:paraId="59EF2845" w14:textId="77777777">
        <w:trPr>
          <w:trHeight w:val="231"/>
        </w:trPr>
        <w:tc>
          <w:tcPr>
            <w:tcW w:w="4381" w:type="dxa"/>
          </w:tcPr>
          <w:p w14:paraId="5BD09869" w14:textId="77777777" w:rsidR="002C6574" w:rsidRDefault="00000000">
            <w:pPr>
              <w:pStyle w:val="TableParagraph"/>
              <w:spacing w:before="45"/>
              <w:ind w:left="83"/>
              <w:jc w:val="left"/>
              <w:rPr>
                <w:rFonts w:ascii="Arial MT"/>
                <w:sz w:val="12"/>
              </w:rPr>
            </w:pPr>
            <w:r>
              <w:rPr>
                <w:rFonts w:ascii="Arial MT"/>
                <w:sz w:val="12"/>
              </w:rPr>
              <w:t>(-)</w:t>
            </w:r>
            <w:r>
              <w:rPr>
                <w:rFonts w:ascii="Arial MT"/>
                <w:spacing w:val="-3"/>
                <w:sz w:val="12"/>
              </w:rPr>
              <w:t xml:space="preserve"> </w:t>
            </w:r>
            <w:r>
              <w:rPr>
                <w:rFonts w:ascii="Arial MT"/>
                <w:sz w:val="12"/>
              </w:rPr>
              <w:t>Despesas Financeiras</w:t>
            </w:r>
            <w:r>
              <w:rPr>
                <w:rFonts w:ascii="Arial MT"/>
                <w:spacing w:val="-3"/>
                <w:sz w:val="12"/>
              </w:rPr>
              <w:t xml:space="preserve"> </w:t>
            </w:r>
            <w:r>
              <w:rPr>
                <w:rFonts w:ascii="Arial MT"/>
                <w:sz w:val="12"/>
              </w:rPr>
              <w:t>- CPC</w:t>
            </w:r>
            <w:r>
              <w:rPr>
                <w:rFonts w:ascii="Arial MT"/>
                <w:spacing w:val="-2"/>
                <w:sz w:val="12"/>
              </w:rPr>
              <w:t xml:space="preserve"> </w:t>
            </w:r>
            <w:r>
              <w:rPr>
                <w:rFonts w:ascii="Arial MT"/>
                <w:sz w:val="12"/>
              </w:rPr>
              <w:t>6(R2)</w:t>
            </w:r>
            <w:r>
              <w:rPr>
                <w:rFonts w:ascii="Arial MT"/>
                <w:spacing w:val="-2"/>
                <w:sz w:val="12"/>
              </w:rPr>
              <w:t xml:space="preserve"> </w:t>
            </w:r>
            <w:r>
              <w:rPr>
                <w:rFonts w:ascii="Arial MT"/>
                <w:sz w:val="12"/>
              </w:rPr>
              <w:t>/</w:t>
            </w:r>
            <w:r>
              <w:rPr>
                <w:rFonts w:ascii="Arial MT"/>
                <w:spacing w:val="1"/>
                <w:sz w:val="12"/>
              </w:rPr>
              <w:t xml:space="preserve"> </w:t>
            </w:r>
            <w:r>
              <w:rPr>
                <w:rFonts w:ascii="Arial MT"/>
                <w:sz w:val="12"/>
              </w:rPr>
              <w:t>IFRS</w:t>
            </w:r>
            <w:r>
              <w:rPr>
                <w:rFonts w:ascii="Arial MT"/>
                <w:spacing w:val="-3"/>
                <w:sz w:val="12"/>
              </w:rPr>
              <w:t xml:space="preserve"> </w:t>
            </w:r>
            <w:r>
              <w:rPr>
                <w:rFonts w:ascii="Arial MT"/>
                <w:spacing w:val="-5"/>
                <w:sz w:val="12"/>
              </w:rPr>
              <w:t>16</w:t>
            </w:r>
          </w:p>
        </w:tc>
        <w:tc>
          <w:tcPr>
            <w:tcW w:w="1463" w:type="dxa"/>
          </w:tcPr>
          <w:p w14:paraId="6C73E728" w14:textId="77777777" w:rsidR="002C6574" w:rsidRDefault="00000000">
            <w:pPr>
              <w:pStyle w:val="TableParagraph"/>
              <w:spacing w:before="45"/>
              <w:ind w:right="176"/>
              <w:rPr>
                <w:rFonts w:ascii="Arial MT"/>
                <w:sz w:val="12"/>
              </w:rPr>
            </w:pPr>
            <w:r>
              <w:rPr>
                <w:rFonts w:ascii="Arial MT"/>
                <w:spacing w:val="-2"/>
                <w:sz w:val="12"/>
              </w:rPr>
              <w:t>(867)</w:t>
            </w:r>
          </w:p>
        </w:tc>
        <w:tc>
          <w:tcPr>
            <w:tcW w:w="869" w:type="dxa"/>
          </w:tcPr>
          <w:p w14:paraId="3577E2C4" w14:textId="77777777" w:rsidR="002C6574" w:rsidRDefault="00000000">
            <w:pPr>
              <w:pStyle w:val="TableParagraph"/>
              <w:spacing w:before="45"/>
              <w:ind w:right="177"/>
              <w:rPr>
                <w:rFonts w:ascii="Arial MT"/>
                <w:sz w:val="12"/>
              </w:rPr>
            </w:pPr>
            <w:r>
              <w:rPr>
                <w:rFonts w:ascii="Arial MT"/>
                <w:spacing w:val="-2"/>
                <w:sz w:val="12"/>
              </w:rPr>
              <w:t>(741)</w:t>
            </w:r>
          </w:p>
        </w:tc>
        <w:tc>
          <w:tcPr>
            <w:tcW w:w="799" w:type="dxa"/>
          </w:tcPr>
          <w:p w14:paraId="53434F25" w14:textId="77777777" w:rsidR="002C6574" w:rsidRDefault="00000000">
            <w:pPr>
              <w:pStyle w:val="TableParagraph"/>
              <w:spacing w:before="45"/>
              <w:ind w:right="108"/>
              <w:rPr>
                <w:rFonts w:ascii="Arial MT"/>
                <w:sz w:val="12"/>
              </w:rPr>
            </w:pPr>
            <w:r>
              <w:rPr>
                <w:rFonts w:ascii="Arial MT"/>
                <w:spacing w:val="-2"/>
                <w:sz w:val="12"/>
              </w:rPr>
              <w:t>(1.034)</w:t>
            </w:r>
          </w:p>
        </w:tc>
        <w:tc>
          <w:tcPr>
            <w:tcW w:w="802" w:type="dxa"/>
          </w:tcPr>
          <w:p w14:paraId="58402564" w14:textId="77777777" w:rsidR="002C6574" w:rsidRDefault="00000000">
            <w:pPr>
              <w:pStyle w:val="TableParagraph"/>
              <w:spacing w:before="45"/>
              <w:ind w:right="118"/>
              <w:rPr>
                <w:rFonts w:ascii="Arial MT"/>
                <w:sz w:val="12"/>
              </w:rPr>
            </w:pPr>
            <w:r>
              <w:rPr>
                <w:rFonts w:ascii="Arial MT"/>
                <w:spacing w:val="-2"/>
                <w:sz w:val="12"/>
              </w:rPr>
              <w:t>17,0%</w:t>
            </w:r>
          </w:p>
        </w:tc>
        <w:tc>
          <w:tcPr>
            <w:tcW w:w="779" w:type="dxa"/>
          </w:tcPr>
          <w:p w14:paraId="2FE75D33" w14:textId="77777777" w:rsidR="002C6574" w:rsidRDefault="00000000">
            <w:pPr>
              <w:pStyle w:val="TableParagraph"/>
              <w:spacing w:before="45"/>
              <w:ind w:right="73"/>
              <w:rPr>
                <w:rFonts w:ascii="Arial MT"/>
                <w:sz w:val="12"/>
              </w:rPr>
            </w:pPr>
            <w:r>
              <w:rPr>
                <w:rFonts w:ascii="Arial MT"/>
                <w:sz w:val="12"/>
              </w:rPr>
              <w:t>-</w:t>
            </w:r>
            <w:r>
              <w:rPr>
                <w:rFonts w:ascii="Arial MT"/>
                <w:spacing w:val="-2"/>
                <w:sz w:val="12"/>
              </w:rPr>
              <w:t>16,2%</w:t>
            </w:r>
          </w:p>
        </w:tc>
      </w:tr>
      <w:tr w:rsidR="002C6574" w14:paraId="237A073C" w14:textId="77777777">
        <w:trPr>
          <w:trHeight w:val="231"/>
        </w:trPr>
        <w:tc>
          <w:tcPr>
            <w:tcW w:w="4381" w:type="dxa"/>
          </w:tcPr>
          <w:p w14:paraId="46E8C87E" w14:textId="77777777" w:rsidR="002C6574" w:rsidRDefault="00000000">
            <w:pPr>
              <w:pStyle w:val="TableParagraph"/>
              <w:spacing w:before="44"/>
              <w:ind w:left="83"/>
              <w:jc w:val="left"/>
              <w:rPr>
                <w:rFonts w:ascii="Arial MT" w:hAnsi="Arial MT"/>
                <w:sz w:val="12"/>
              </w:rPr>
            </w:pPr>
            <w:r>
              <w:rPr>
                <w:rFonts w:ascii="Arial MT" w:hAnsi="Arial MT"/>
                <w:sz w:val="12"/>
              </w:rPr>
              <w:t>(+) Equivalência</w:t>
            </w:r>
            <w:r>
              <w:rPr>
                <w:rFonts w:ascii="Arial MT" w:hAnsi="Arial MT"/>
                <w:spacing w:val="-1"/>
                <w:sz w:val="12"/>
              </w:rPr>
              <w:t xml:space="preserve"> </w:t>
            </w:r>
            <w:r>
              <w:rPr>
                <w:rFonts w:ascii="Arial MT" w:hAnsi="Arial MT"/>
                <w:spacing w:val="-2"/>
                <w:sz w:val="12"/>
              </w:rPr>
              <w:t>Patrimonial</w:t>
            </w:r>
          </w:p>
        </w:tc>
        <w:tc>
          <w:tcPr>
            <w:tcW w:w="1463" w:type="dxa"/>
          </w:tcPr>
          <w:p w14:paraId="6B60530D" w14:textId="77777777" w:rsidR="002C6574" w:rsidRDefault="00000000">
            <w:pPr>
              <w:pStyle w:val="TableParagraph"/>
              <w:spacing w:before="44"/>
              <w:ind w:right="175"/>
              <w:rPr>
                <w:rFonts w:ascii="Arial MT"/>
                <w:sz w:val="12"/>
              </w:rPr>
            </w:pPr>
            <w:r>
              <w:rPr>
                <w:rFonts w:ascii="Arial MT"/>
                <w:spacing w:val="-2"/>
                <w:sz w:val="12"/>
              </w:rPr>
              <w:t>(369)</w:t>
            </w:r>
          </w:p>
        </w:tc>
        <w:tc>
          <w:tcPr>
            <w:tcW w:w="869" w:type="dxa"/>
          </w:tcPr>
          <w:p w14:paraId="695F0C49" w14:textId="77777777" w:rsidR="002C6574" w:rsidRDefault="00000000">
            <w:pPr>
              <w:pStyle w:val="TableParagraph"/>
              <w:spacing w:before="44"/>
              <w:ind w:right="178"/>
              <w:rPr>
                <w:rFonts w:ascii="Arial MT"/>
                <w:sz w:val="12"/>
              </w:rPr>
            </w:pPr>
            <w:r>
              <w:rPr>
                <w:rFonts w:ascii="Arial MT"/>
                <w:spacing w:val="-2"/>
                <w:sz w:val="12"/>
              </w:rPr>
              <w:t>1.013</w:t>
            </w:r>
          </w:p>
        </w:tc>
        <w:tc>
          <w:tcPr>
            <w:tcW w:w="799" w:type="dxa"/>
          </w:tcPr>
          <w:p w14:paraId="7E674261" w14:textId="77777777" w:rsidR="002C6574" w:rsidRDefault="00000000">
            <w:pPr>
              <w:pStyle w:val="TableParagraph"/>
              <w:spacing w:before="44"/>
              <w:ind w:right="111"/>
              <w:rPr>
                <w:rFonts w:ascii="Arial MT"/>
                <w:sz w:val="12"/>
              </w:rPr>
            </w:pPr>
            <w:r>
              <w:rPr>
                <w:rFonts w:ascii="Arial MT"/>
                <w:spacing w:val="-2"/>
                <w:sz w:val="12"/>
              </w:rPr>
              <w:t>2.254</w:t>
            </w:r>
          </w:p>
        </w:tc>
        <w:tc>
          <w:tcPr>
            <w:tcW w:w="802" w:type="dxa"/>
          </w:tcPr>
          <w:p w14:paraId="5A6A78B9" w14:textId="77777777" w:rsidR="002C6574" w:rsidRDefault="00000000">
            <w:pPr>
              <w:pStyle w:val="TableParagraph"/>
              <w:spacing w:before="44"/>
              <w:ind w:right="115"/>
              <w:rPr>
                <w:rFonts w:ascii="Arial MT"/>
                <w:sz w:val="12"/>
              </w:rPr>
            </w:pPr>
            <w:r>
              <w:rPr>
                <w:rFonts w:ascii="Arial MT"/>
                <w:sz w:val="12"/>
              </w:rPr>
              <w:t>-</w:t>
            </w:r>
            <w:r>
              <w:rPr>
                <w:rFonts w:ascii="Arial MT"/>
                <w:spacing w:val="-2"/>
                <w:sz w:val="12"/>
              </w:rPr>
              <w:t>136,4%</w:t>
            </w:r>
          </w:p>
        </w:tc>
        <w:tc>
          <w:tcPr>
            <w:tcW w:w="779" w:type="dxa"/>
          </w:tcPr>
          <w:p w14:paraId="41A64A37" w14:textId="77777777" w:rsidR="002C6574" w:rsidRDefault="00000000">
            <w:pPr>
              <w:pStyle w:val="TableParagraph"/>
              <w:spacing w:before="44"/>
              <w:ind w:right="73"/>
              <w:rPr>
                <w:rFonts w:ascii="Arial MT"/>
                <w:sz w:val="12"/>
              </w:rPr>
            </w:pPr>
            <w:r>
              <w:rPr>
                <w:rFonts w:ascii="Arial MT"/>
                <w:sz w:val="12"/>
              </w:rPr>
              <w:t>-</w:t>
            </w:r>
            <w:r>
              <w:rPr>
                <w:rFonts w:ascii="Arial MT"/>
                <w:spacing w:val="-2"/>
                <w:sz w:val="12"/>
              </w:rPr>
              <w:t>116,4%</w:t>
            </w:r>
          </w:p>
        </w:tc>
      </w:tr>
      <w:tr w:rsidR="002C6574" w14:paraId="6DFF62DE" w14:textId="77777777">
        <w:trPr>
          <w:trHeight w:val="232"/>
        </w:trPr>
        <w:tc>
          <w:tcPr>
            <w:tcW w:w="4381" w:type="dxa"/>
          </w:tcPr>
          <w:p w14:paraId="1B7447D0" w14:textId="77777777" w:rsidR="002C6574" w:rsidRDefault="00000000">
            <w:pPr>
              <w:pStyle w:val="TableParagraph"/>
              <w:spacing w:before="45"/>
              <w:ind w:left="83"/>
              <w:jc w:val="left"/>
              <w:rPr>
                <w:rFonts w:ascii="Arial MT"/>
                <w:sz w:val="12"/>
              </w:rPr>
            </w:pPr>
            <w:r>
              <w:rPr>
                <w:rFonts w:ascii="Arial MT"/>
                <w:sz w:val="12"/>
              </w:rPr>
              <w:t>(+)</w:t>
            </w:r>
            <w:r>
              <w:rPr>
                <w:rFonts w:ascii="Arial MT"/>
                <w:spacing w:val="-1"/>
                <w:sz w:val="12"/>
              </w:rPr>
              <w:t xml:space="preserve"> </w:t>
            </w:r>
            <w:r>
              <w:rPr>
                <w:rFonts w:ascii="Arial MT"/>
                <w:sz w:val="12"/>
              </w:rPr>
              <w:t>Baixa de Ativo</w:t>
            </w:r>
            <w:r>
              <w:rPr>
                <w:rFonts w:ascii="Arial MT"/>
                <w:spacing w:val="1"/>
                <w:sz w:val="12"/>
              </w:rPr>
              <w:t xml:space="preserve"> </w:t>
            </w:r>
            <w:r>
              <w:rPr>
                <w:rFonts w:ascii="Arial MT"/>
                <w:spacing w:val="-2"/>
                <w:sz w:val="12"/>
              </w:rPr>
              <w:t>Imobilizado</w:t>
            </w:r>
          </w:p>
        </w:tc>
        <w:tc>
          <w:tcPr>
            <w:tcW w:w="1463" w:type="dxa"/>
          </w:tcPr>
          <w:p w14:paraId="56F3C72F" w14:textId="77777777" w:rsidR="002C6574" w:rsidRDefault="00000000">
            <w:pPr>
              <w:pStyle w:val="TableParagraph"/>
              <w:spacing w:before="45"/>
              <w:ind w:right="179"/>
              <w:rPr>
                <w:rFonts w:ascii="Arial MT"/>
                <w:sz w:val="12"/>
              </w:rPr>
            </w:pPr>
            <w:r>
              <w:rPr>
                <w:rFonts w:ascii="Arial MT"/>
                <w:spacing w:val="-10"/>
                <w:sz w:val="12"/>
              </w:rPr>
              <w:t>-</w:t>
            </w:r>
          </w:p>
        </w:tc>
        <w:tc>
          <w:tcPr>
            <w:tcW w:w="869" w:type="dxa"/>
          </w:tcPr>
          <w:p w14:paraId="612D40FF" w14:textId="77777777" w:rsidR="002C6574" w:rsidRDefault="00000000">
            <w:pPr>
              <w:pStyle w:val="TableParagraph"/>
              <w:spacing w:before="45"/>
              <w:ind w:right="178"/>
              <w:rPr>
                <w:rFonts w:ascii="Arial MT"/>
                <w:sz w:val="12"/>
              </w:rPr>
            </w:pPr>
            <w:r>
              <w:rPr>
                <w:rFonts w:ascii="Arial MT"/>
                <w:spacing w:val="-2"/>
                <w:sz w:val="12"/>
              </w:rPr>
              <w:t>2.666</w:t>
            </w:r>
          </w:p>
        </w:tc>
        <w:tc>
          <w:tcPr>
            <w:tcW w:w="799" w:type="dxa"/>
          </w:tcPr>
          <w:p w14:paraId="20235832" w14:textId="77777777" w:rsidR="002C6574" w:rsidRDefault="00000000">
            <w:pPr>
              <w:pStyle w:val="TableParagraph"/>
              <w:spacing w:before="45"/>
              <w:ind w:right="111"/>
              <w:rPr>
                <w:rFonts w:ascii="Arial MT"/>
                <w:sz w:val="12"/>
              </w:rPr>
            </w:pPr>
            <w:r>
              <w:rPr>
                <w:rFonts w:ascii="Arial MT"/>
                <w:spacing w:val="-5"/>
                <w:sz w:val="12"/>
              </w:rPr>
              <w:t>383</w:t>
            </w:r>
          </w:p>
        </w:tc>
        <w:tc>
          <w:tcPr>
            <w:tcW w:w="802" w:type="dxa"/>
          </w:tcPr>
          <w:p w14:paraId="06FB3CAD" w14:textId="77777777" w:rsidR="002C6574" w:rsidRDefault="00000000">
            <w:pPr>
              <w:pStyle w:val="TableParagraph"/>
              <w:spacing w:before="45"/>
              <w:ind w:right="115"/>
              <w:rPr>
                <w:rFonts w:ascii="Arial MT"/>
                <w:sz w:val="12"/>
              </w:rPr>
            </w:pPr>
            <w:r>
              <w:rPr>
                <w:rFonts w:ascii="Arial MT"/>
                <w:sz w:val="12"/>
              </w:rPr>
              <w:t>-</w:t>
            </w:r>
            <w:r>
              <w:rPr>
                <w:rFonts w:ascii="Arial MT"/>
                <w:spacing w:val="-2"/>
                <w:sz w:val="12"/>
              </w:rPr>
              <w:t>100,0%</w:t>
            </w:r>
          </w:p>
        </w:tc>
        <w:tc>
          <w:tcPr>
            <w:tcW w:w="779" w:type="dxa"/>
          </w:tcPr>
          <w:p w14:paraId="6F536966" w14:textId="77777777" w:rsidR="002C6574" w:rsidRDefault="00000000">
            <w:pPr>
              <w:pStyle w:val="TableParagraph"/>
              <w:spacing w:before="45"/>
              <w:ind w:right="73"/>
              <w:rPr>
                <w:rFonts w:ascii="Arial MT"/>
                <w:sz w:val="12"/>
              </w:rPr>
            </w:pPr>
            <w:r>
              <w:rPr>
                <w:rFonts w:ascii="Arial MT"/>
                <w:sz w:val="12"/>
              </w:rPr>
              <w:t>-</w:t>
            </w:r>
            <w:r>
              <w:rPr>
                <w:rFonts w:ascii="Arial MT"/>
                <w:spacing w:val="-2"/>
                <w:sz w:val="12"/>
              </w:rPr>
              <w:t>100,0%</w:t>
            </w:r>
          </w:p>
        </w:tc>
      </w:tr>
      <w:tr w:rsidR="002C6574" w14:paraId="7B4498DE" w14:textId="77777777">
        <w:trPr>
          <w:trHeight w:val="231"/>
        </w:trPr>
        <w:tc>
          <w:tcPr>
            <w:tcW w:w="4381" w:type="dxa"/>
          </w:tcPr>
          <w:p w14:paraId="7980BF61" w14:textId="77777777" w:rsidR="002C6574" w:rsidRDefault="00000000">
            <w:pPr>
              <w:pStyle w:val="TableParagraph"/>
              <w:spacing w:before="45"/>
              <w:ind w:left="83"/>
              <w:jc w:val="left"/>
              <w:rPr>
                <w:rFonts w:ascii="Arial MT" w:hAnsi="Arial MT"/>
                <w:sz w:val="12"/>
              </w:rPr>
            </w:pPr>
            <w:r>
              <w:rPr>
                <w:rFonts w:ascii="Arial MT" w:hAnsi="Arial MT"/>
                <w:sz w:val="12"/>
              </w:rPr>
              <w:t>(+)</w:t>
            </w:r>
            <w:r>
              <w:rPr>
                <w:rFonts w:ascii="Arial MT" w:hAnsi="Arial MT"/>
                <w:spacing w:val="-2"/>
                <w:sz w:val="12"/>
              </w:rPr>
              <w:t xml:space="preserve"> </w:t>
            </w:r>
            <w:r>
              <w:rPr>
                <w:rFonts w:ascii="Arial MT" w:hAnsi="Arial MT"/>
                <w:sz w:val="12"/>
              </w:rPr>
              <w:t>Multas Contratuais</w:t>
            </w:r>
            <w:r>
              <w:rPr>
                <w:rFonts w:ascii="Arial MT" w:hAnsi="Arial MT"/>
                <w:spacing w:val="-1"/>
                <w:sz w:val="12"/>
              </w:rPr>
              <w:t xml:space="preserve"> </w:t>
            </w:r>
            <w:r>
              <w:rPr>
                <w:rFonts w:ascii="Arial MT" w:hAnsi="Arial MT"/>
                <w:sz w:val="12"/>
              </w:rPr>
              <w:t>–</w:t>
            </w:r>
            <w:r>
              <w:rPr>
                <w:rFonts w:ascii="Arial MT" w:hAnsi="Arial MT"/>
                <w:spacing w:val="-1"/>
                <w:sz w:val="12"/>
              </w:rPr>
              <w:t xml:space="preserve"> </w:t>
            </w:r>
            <w:r>
              <w:rPr>
                <w:rFonts w:ascii="Arial MT" w:hAnsi="Arial MT"/>
                <w:spacing w:val="-2"/>
                <w:sz w:val="12"/>
              </w:rPr>
              <w:t>Dataprev</w:t>
            </w:r>
          </w:p>
        </w:tc>
        <w:tc>
          <w:tcPr>
            <w:tcW w:w="1463" w:type="dxa"/>
          </w:tcPr>
          <w:p w14:paraId="5B3AD942" w14:textId="77777777" w:rsidR="002C6574" w:rsidRDefault="00000000">
            <w:pPr>
              <w:pStyle w:val="TableParagraph"/>
              <w:spacing w:before="45"/>
              <w:ind w:right="178"/>
              <w:rPr>
                <w:rFonts w:ascii="Arial MT"/>
                <w:sz w:val="12"/>
              </w:rPr>
            </w:pPr>
            <w:r>
              <w:rPr>
                <w:rFonts w:ascii="Arial MT"/>
                <w:spacing w:val="-2"/>
                <w:sz w:val="12"/>
              </w:rPr>
              <w:t>4.874</w:t>
            </w:r>
          </w:p>
        </w:tc>
        <w:tc>
          <w:tcPr>
            <w:tcW w:w="869" w:type="dxa"/>
          </w:tcPr>
          <w:p w14:paraId="7BAD9DE7" w14:textId="77777777" w:rsidR="002C6574" w:rsidRDefault="00000000">
            <w:pPr>
              <w:pStyle w:val="TableParagraph"/>
              <w:spacing w:before="45"/>
              <w:ind w:right="178"/>
              <w:rPr>
                <w:rFonts w:ascii="Arial MT"/>
                <w:sz w:val="12"/>
              </w:rPr>
            </w:pPr>
            <w:r>
              <w:rPr>
                <w:rFonts w:ascii="Arial MT"/>
                <w:spacing w:val="-2"/>
                <w:sz w:val="12"/>
              </w:rPr>
              <w:t>3.568</w:t>
            </w:r>
          </w:p>
        </w:tc>
        <w:tc>
          <w:tcPr>
            <w:tcW w:w="799" w:type="dxa"/>
          </w:tcPr>
          <w:p w14:paraId="4E8F9A75" w14:textId="77777777" w:rsidR="002C6574" w:rsidRDefault="00000000">
            <w:pPr>
              <w:pStyle w:val="TableParagraph"/>
              <w:spacing w:before="45"/>
              <w:ind w:right="111"/>
              <w:rPr>
                <w:rFonts w:ascii="Arial MT"/>
                <w:sz w:val="12"/>
              </w:rPr>
            </w:pPr>
            <w:r>
              <w:rPr>
                <w:rFonts w:ascii="Arial MT"/>
                <w:spacing w:val="-2"/>
                <w:sz w:val="12"/>
              </w:rPr>
              <w:t>40.078</w:t>
            </w:r>
          </w:p>
        </w:tc>
        <w:tc>
          <w:tcPr>
            <w:tcW w:w="802" w:type="dxa"/>
          </w:tcPr>
          <w:p w14:paraId="762557F0" w14:textId="77777777" w:rsidR="002C6574" w:rsidRDefault="00000000">
            <w:pPr>
              <w:pStyle w:val="TableParagraph"/>
              <w:spacing w:before="45"/>
              <w:ind w:right="117"/>
              <w:rPr>
                <w:rFonts w:ascii="Arial MT"/>
                <w:sz w:val="12"/>
              </w:rPr>
            </w:pPr>
            <w:r>
              <w:rPr>
                <w:rFonts w:ascii="Arial MT"/>
                <w:spacing w:val="-2"/>
                <w:sz w:val="12"/>
              </w:rPr>
              <w:t>36,6%</w:t>
            </w:r>
          </w:p>
        </w:tc>
        <w:tc>
          <w:tcPr>
            <w:tcW w:w="779" w:type="dxa"/>
          </w:tcPr>
          <w:p w14:paraId="11AB7F70" w14:textId="77777777" w:rsidR="002C6574" w:rsidRDefault="00000000">
            <w:pPr>
              <w:pStyle w:val="TableParagraph"/>
              <w:spacing w:before="45"/>
              <w:ind w:right="73"/>
              <w:rPr>
                <w:rFonts w:ascii="Arial MT"/>
                <w:sz w:val="12"/>
              </w:rPr>
            </w:pPr>
            <w:r>
              <w:rPr>
                <w:rFonts w:ascii="Arial MT"/>
                <w:sz w:val="12"/>
              </w:rPr>
              <w:t>-</w:t>
            </w:r>
            <w:r>
              <w:rPr>
                <w:rFonts w:ascii="Arial MT"/>
                <w:spacing w:val="-2"/>
                <w:sz w:val="12"/>
              </w:rPr>
              <w:t>87,8%</w:t>
            </w:r>
          </w:p>
        </w:tc>
      </w:tr>
      <w:tr w:rsidR="002C6574" w14:paraId="50A043F5" w14:textId="77777777">
        <w:trPr>
          <w:trHeight w:val="231"/>
        </w:trPr>
        <w:tc>
          <w:tcPr>
            <w:tcW w:w="4381" w:type="dxa"/>
          </w:tcPr>
          <w:p w14:paraId="11A96ACC" w14:textId="77777777" w:rsidR="002C6574" w:rsidRDefault="00000000">
            <w:pPr>
              <w:pStyle w:val="TableParagraph"/>
              <w:spacing w:before="44"/>
              <w:ind w:left="83"/>
              <w:jc w:val="left"/>
              <w:rPr>
                <w:rFonts w:ascii="Arial MT"/>
                <w:sz w:val="12"/>
              </w:rPr>
            </w:pPr>
            <w:r>
              <w:rPr>
                <w:rFonts w:ascii="Arial MT"/>
                <w:sz w:val="12"/>
              </w:rPr>
              <w:t>(-)</w:t>
            </w:r>
            <w:r>
              <w:rPr>
                <w:rFonts w:ascii="Arial MT"/>
                <w:spacing w:val="-1"/>
                <w:sz w:val="12"/>
              </w:rPr>
              <w:t xml:space="preserve"> </w:t>
            </w:r>
            <w:r>
              <w:rPr>
                <w:rFonts w:ascii="Arial MT"/>
                <w:sz w:val="12"/>
              </w:rPr>
              <w:t>Ativos</w:t>
            </w:r>
            <w:r>
              <w:rPr>
                <w:rFonts w:ascii="Arial MT"/>
                <w:spacing w:val="1"/>
                <w:sz w:val="12"/>
              </w:rPr>
              <w:t xml:space="preserve"> </w:t>
            </w:r>
            <w:r>
              <w:rPr>
                <w:rFonts w:ascii="Arial MT"/>
                <w:spacing w:val="-2"/>
                <w:sz w:val="12"/>
              </w:rPr>
              <w:t>Contingentes</w:t>
            </w:r>
          </w:p>
        </w:tc>
        <w:tc>
          <w:tcPr>
            <w:tcW w:w="1463" w:type="dxa"/>
          </w:tcPr>
          <w:p w14:paraId="2B72C830" w14:textId="77777777" w:rsidR="002C6574" w:rsidRDefault="00000000">
            <w:pPr>
              <w:pStyle w:val="TableParagraph"/>
              <w:spacing w:before="44"/>
              <w:ind w:right="176"/>
              <w:rPr>
                <w:rFonts w:ascii="Arial MT"/>
                <w:sz w:val="12"/>
              </w:rPr>
            </w:pPr>
            <w:r>
              <w:rPr>
                <w:rFonts w:ascii="Arial MT"/>
                <w:spacing w:val="-2"/>
                <w:sz w:val="12"/>
              </w:rPr>
              <w:t>(14.960)</w:t>
            </w:r>
          </w:p>
        </w:tc>
        <w:tc>
          <w:tcPr>
            <w:tcW w:w="869" w:type="dxa"/>
          </w:tcPr>
          <w:p w14:paraId="6D769621" w14:textId="77777777" w:rsidR="002C6574" w:rsidRDefault="00000000">
            <w:pPr>
              <w:pStyle w:val="TableParagraph"/>
              <w:spacing w:before="44"/>
              <w:ind w:right="178"/>
              <w:rPr>
                <w:rFonts w:ascii="Arial MT"/>
                <w:sz w:val="12"/>
              </w:rPr>
            </w:pPr>
            <w:r>
              <w:rPr>
                <w:rFonts w:ascii="Arial MT"/>
                <w:spacing w:val="-10"/>
                <w:sz w:val="12"/>
              </w:rPr>
              <w:t>-</w:t>
            </w:r>
          </w:p>
        </w:tc>
        <w:tc>
          <w:tcPr>
            <w:tcW w:w="799" w:type="dxa"/>
          </w:tcPr>
          <w:p w14:paraId="796A4EC5" w14:textId="77777777" w:rsidR="002C6574" w:rsidRDefault="00000000">
            <w:pPr>
              <w:pStyle w:val="TableParagraph"/>
              <w:spacing w:before="44"/>
              <w:ind w:right="112"/>
              <w:rPr>
                <w:rFonts w:ascii="Arial MT"/>
                <w:sz w:val="12"/>
              </w:rPr>
            </w:pPr>
            <w:r>
              <w:rPr>
                <w:rFonts w:ascii="Arial MT"/>
                <w:spacing w:val="-10"/>
                <w:sz w:val="12"/>
              </w:rPr>
              <w:t>-</w:t>
            </w:r>
          </w:p>
        </w:tc>
        <w:tc>
          <w:tcPr>
            <w:tcW w:w="802" w:type="dxa"/>
          </w:tcPr>
          <w:p w14:paraId="7E5CD339" w14:textId="77777777" w:rsidR="002C6574" w:rsidRDefault="00000000">
            <w:pPr>
              <w:pStyle w:val="TableParagraph"/>
              <w:spacing w:before="44"/>
              <w:ind w:right="117"/>
              <w:rPr>
                <w:rFonts w:ascii="Arial MT"/>
                <w:sz w:val="12"/>
              </w:rPr>
            </w:pPr>
            <w:r>
              <w:rPr>
                <w:rFonts w:ascii="Arial MT"/>
                <w:spacing w:val="-2"/>
                <w:sz w:val="12"/>
              </w:rPr>
              <w:t>100,0%</w:t>
            </w:r>
          </w:p>
        </w:tc>
        <w:tc>
          <w:tcPr>
            <w:tcW w:w="779" w:type="dxa"/>
          </w:tcPr>
          <w:p w14:paraId="4A20350E" w14:textId="77777777" w:rsidR="002C6574" w:rsidRDefault="00000000">
            <w:pPr>
              <w:pStyle w:val="TableParagraph"/>
              <w:spacing w:before="44"/>
              <w:ind w:right="76"/>
              <w:rPr>
                <w:rFonts w:ascii="Arial MT"/>
                <w:sz w:val="12"/>
              </w:rPr>
            </w:pPr>
            <w:r>
              <w:rPr>
                <w:rFonts w:ascii="Arial MT"/>
                <w:spacing w:val="-2"/>
                <w:sz w:val="12"/>
              </w:rPr>
              <w:t>100,0%</w:t>
            </w:r>
          </w:p>
        </w:tc>
      </w:tr>
      <w:tr w:rsidR="002C6574" w14:paraId="184DC0CD" w14:textId="77777777">
        <w:trPr>
          <w:trHeight w:val="229"/>
        </w:trPr>
        <w:tc>
          <w:tcPr>
            <w:tcW w:w="4381" w:type="dxa"/>
            <w:tcBorders>
              <w:bottom w:val="single" w:sz="8" w:space="0" w:color="9AC1E6"/>
            </w:tcBorders>
          </w:tcPr>
          <w:p w14:paraId="2F5C0118" w14:textId="77777777" w:rsidR="002C6574" w:rsidRDefault="00000000">
            <w:pPr>
              <w:pStyle w:val="TableParagraph"/>
              <w:spacing w:before="45"/>
              <w:ind w:left="83"/>
              <w:jc w:val="left"/>
              <w:rPr>
                <w:rFonts w:ascii="Arial MT"/>
                <w:sz w:val="12"/>
              </w:rPr>
            </w:pPr>
            <w:r>
              <w:rPr>
                <w:rFonts w:ascii="Arial MT"/>
                <w:sz w:val="12"/>
              </w:rPr>
              <w:t>(+)</w:t>
            </w:r>
            <w:r>
              <w:rPr>
                <w:rFonts w:ascii="Arial MT"/>
                <w:spacing w:val="-1"/>
                <w:sz w:val="12"/>
              </w:rPr>
              <w:t xml:space="preserve"> </w:t>
            </w:r>
            <w:r>
              <w:rPr>
                <w:rFonts w:ascii="Arial MT"/>
                <w:sz w:val="12"/>
              </w:rPr>
              <w:t>Tributos</w:t>
            </w:r>
            <w:r>
              <w:rPr>
                <w:rFonts w:ascii="Arial MT"/>
                <w:spacing w:val="1"/>
                <w:sz w:val="12"/>
              </w:rPr>
              <w:t xml:space="preserve"> </w:t>
            </w:r>
            <w:r>
              <w:rPr>
                <w:rFonts w:ascii="Arial MT"/>
                <w:sz w:val="12"/>
              </w:rPr>
              <w:t>s/</w:t>
            </w:r>
            <w:r>
              <w:rPr>
                <w:rFonts w:ascii="Arial MT"/>
                <w:spacing w:val="-1"/>
                <w:sz w:val="12"/>
              </w:rPr>
              <w:t xml:space="preserve"> </w:t>
            </w:r>
            <w:r>
              <w:rPr>
                <w:rFonts w:ascii="Arial MT"/>
                <w:sz w:val="12"/>
              </w:rPr>
              <w:t>Ativos</w:t>
            </w:r>
            <w:r>
              <w:rPr>
                <w:rFonts w:ascii="Arial MT"/>
                <w:spacing w:val="1"/>
                <w:sz w:val="12"/>
              </w:rPr>
              <w:t xml:space="preserve"> </w:t>
            </w:r>
            <w:r>
              <w:rPr>
                <w:rFonts w:ascii="Arial MT"/>
                <w:spacing w:val="-2"/>
                <w:sz w:val="12"/>
              </w:rPr>
              <w:t>Contingentes</w:t>
            </w:r>
          </w:p>
        </w:tc>
        <w:tc>
          <w:tcPr>
            <w:tcW w:w="1463" w:type="dxa"/>
            <w:tcBorders>
              <w:bottom w:val="single" w:sz="8" w:space="0" w:color="9AC1E6"/>
            </w:tcBorders>
          </w:tcPr>
          <w:p w14:paraId="77A2CF8E" w14:textId="77777777" w:rsidR="002C6574" w:rsidRDefault="00000000">
            <w:pPr>
              <w:pStyle w:val="TableParagraph"/>
              <w:spacing w:before="45"/>
              <w:ind w:right="179"/>
              <w:rPr>
                <w:rFonts w:ascii="Arial MT"/>
                <w:sz w:val="12"/>
              </w:rPr>
            </w:pPr>
            <w:r>
              <w:rPr>
                <w:rFonts w:ascii="Arial MT"/>
                <w:spacing w:val="-2"/>
                <w:sz w:val="12"/>
              </w:rPr>
              <w:t>1.384</w:t>
            </w:r>
          </w:p>
        </w:tc>
        <w:tc>
          <w:tcPr>
            <w:tcW w:w="869" w:type="dxa"/>
            <w:tcBorders>
              <w:bottom w:val="single" w:sz="8" w:space="0" w:color="9AC1E6"/>
            </w:tcBorders>
          </w:tcPr>
          <w:p w14:paraId="3C01729F" w14:textId="77777777" w:rsidR="002C6574" w:rsidRDefault="00000000">
            <w:pPr>
              <w:pStyle w:val="TableParagraph"/>
              <w:spacing w:before="45"/>
              <w:ind w:right="179"/>
              <w:rPr>
                <w:rFonts w:ascii="Arial MT"/>
                <w:sz w:val="12"/>
              </w:rPr>
            </w:pPr>
            <w:r>
              <w:rPr>
                <w:rFonts w:ascii="Arial MT"/>
                <w:spacing w:val="-10"/>
                <w:sz w:val="12"/>
              </w:rPr>
              <w:t>-</w:t>
            </w:r>
          </w:p>
        </w:tc>
        <w:tc>
          <w:tcPr>
            <w:tcW w:w="799" w:type="dxa"/>
            <w:tcBorders>
              <w:bottom w:val="single" w:sz="8" w:space="0" w:color="9AC1E6"/>
            </w:tcBorders>
          </w:tcPr>
          <w:p w14:paraId="1E97174E" w14:textId="77777777" w:rsidR="002C6574" w:rsidRDefault="00000000">
            <w:pPr>
              <w:pStyle w:val="TableParagraph"/>
              <w:spacing w:before="45"/>
              <w:ind w:right="112"/>
              <w:rPr>
                <w:rFonts w:ascii="Arial MT"/>
                <w:sz w:val="12"/>
              </w:rPr>
            </w:pPr>
            <w:r>
              <w:rPr>
                <w:rFonts w:ascii="Arial MT"/>
                <w:spacing w:val="-10"/>
                <w:sz w:val="12"/>
              </w:rPr>
              <w:t>-</w:t>
            </w:r>
          </w:p>
        </w:tc>
        <w:tc>
          <w:tcPr>
            <w:tcW w:w="802" w:type="dxa"/>
            <w:tcBorders>
              <w:bottom w:val="single" w:sz="8" w:space="0" w:color="9AC1E6"/>
            </w:tcBorders>
          </w:tcPr>
          <w:p w14:paraId="2565C123" w14:textId="77777777" w:rsidR="002C6574" w:rsidRDefault="00000000">
            <w:pPr>
              <w:pStyle w:val="TableParagraph"/>
              <w:spacing w:before="45"/>
              <w:ind w:right="117"/>
              <w:rPr>
                <w:rFonts w:ascii="Arial MT"/>
                <w:sz w:val="12"/>
              </w:rPr>
            </w:pPr>
            <w:r>
              <w:rPr>
                <w:rFonts w:ascii="Arial MT"/>
                <w:spacing w:val="-2"/>
                <w:sz w:val="12"/>
              </w:rPr>
              <w:t>100,0%</w:t>
            </w:r>
          </w:p>
        </w:tc>
        <w:tc>
          <w:tcPr>
            <w:tcW w:w="779" w:type="dxa"/>
            <w:tcBorders>
              <w:bottom w:val="single" w:sz="8" w:space="0" w:color="9AC1E6"/>
            </w:tcBorders>
          </w:tcPr>
          <w:p w14:paraId="4BAF1F3A" w14:textId="77777777" w:rsidR="002C6574" w:rsidRDefault="00000000">
            <w:pPr>
              <w:pStyle w:val="TableParagraph"/>
              <w:spacing w:before="45"/>
              <w:ind w:right="76"/>
              <w:rPr>
                <w:rFonts w:ascii="Arial MT"/>
                <w:sz w:val="12"/>
              </w:rPr>
            </w:pPr>
            <w:r>
              <w:rPr>
                <w:rFonts w:ascii="Arial MT"/>
                <w:spacing w:val="-2"/>
                <w:sz w:val="12"/>
              </w:rPr>
              <w:t>100,0%</w:t>
            </w:r>
          </w:p>
        </w:tc>
      </w:tr>
      <w:tr w:rsidR="002C6574" w14:paraId="3A7445A5" w14:textId="77777777">
        <w:trPr>
          <w:trHeight w:val="232"/>
        </w:trPr>
        <w:tc>
          <w:tcPr>
            <w:tcW w:w="4381" w:type="dxa"/>
            <w:tcBorders>
              <w:top w:val="single" w:sz="8" w:space="0" w:color="9AC1E6"/>
              <w:bottom w:val="single" w:sz="8" w:space="0" w:color="9AC1E6"/>
            </w:tcBorders>
          </w:tcPr>
          <w:p w14:paraId="79EA2BF2" w14:textId="77777777" w:rsidR="002C6574" w:rsidRDefault="00000000">
            <w:pPr>
              <w:pStyle w:val="TableParagraph"/>
              <w:spacing w:before="48"/>
              <w:ind w:left="83"/>
              <w:jc w:val="left"/>
              <w:rPr>
                <w:rFonts w:ascii="Arial"/>
                <w:b/>
                <w:sz w:val="12"/>
              </w:rPr>
            </w:pPr>
            <w:r>
              <w:rPr>
                <w:rFonts w:ascii="Arial"/>
                <w:b/>
                <w:sz w:val="12"/>
              </w:rPr>
              <w:t xml:space="preserve">EBITDA </w:t>
            </w:r>
            <w:r>
              <w:rPr>
                <w:rFonts w:ascii="Arial"/>
                <w:b/>
                <w:spacing w:val="-2"/>
                <w:sz w:val="12"/>
              </w:rPr>
              <w:t>Ajustado</w:t>
            </w:r>
          </w:p>
        </w:tc>
        <w:tc>
          <w:tcPr>
            <w:tcW w:w="1463" w:type="dxa"/>
            <w:tcBorders>
              <w:top w:val="single" w:sz="8" w:space="0" w:color="9AC1E6"/>
              <w:bottom w:val="single" w:sz="8" w:space="0" w:color="9AC1E6"/>
            </w:tcBorders>
          </w:tcPr>
          <w:p w14:paraId="27A4DAF3" w14:textId="77777777" w:rsidR="002C6574" w:rsidRDefault="00000000">
            <w:pPr>
              <w:pStyle w:val="TableParagraph"/>
              <w:spacing w:before="48"/>
              <w:ind w:right="178"/>
              <w:rPr>
                <w:rFonts w:ascii="Arial"/>
                <w:b/>
                <w:sz w:val="12"/>
              </w:rPr>
            </w:pPr>
            <w:r>
              <w:rPr>
                <w:rFonts w:ascii="Arial"/>
                <w:b/>
                <w:spacing w:val="-2"/>
                <w:sz w:val="12"/>
              </w:rPr>
              <w:t>373.218</w:t>
            </w:r>
          </w:p>
        </w:tc>
        <w:tc>
          <w:tcPr>
            <w:tcW w:w="869" w:type="dxa"/>
            <w:tcBorders>
              <w:top w:val="single" w:sz="8" w:space="0" w:color="9AC1E6"/>
              <w:bottom w:val="single" w:sz="8" w:space="0" w:color="9AC1E6"/>
            </w:tcBorders>
          </w:tcPr>
          <w:p w14:paraId="7A7075D0" w14:textId="77777777" w:rsidR="002C6574" w:rsidRDefault="00000000">
            <w:pPr>
              <w:pStyle w:val="TableParagraph"/>
              <w:spacing w:before="48"/>
              <w:ind w:right="178"/>
              <w:rPr>
                <w:rFonts w:ascii="Arial"/>
                <w:b/>
                <w:sz w:val="12"/>
              </w:rPr>
            </w:pPr>
            <w:r>
              <w:rPr>
                <w:rFonts w:ascii="Arial"/>
                <w:b/>
                <w:spacing w:val="-2"/>
                <w:sz w:val="12"/>
              </w:rPr>
              <w:t>95.106</w:t>
            </w:r>
          </w:p>
        </w:tc>
        <w:tc>
          <w:tcPr>
            <w:tcW w:w="799" w:type="dxa"/>
            <w:tcBorders>
              <w:top w:val="single" w:sz="8" w:space="0" w:color="9AC1E6"/>
              <w:bottom w:val="single" w:sz="8" w:space="0" w:color="9AC1E6"/>
            </w:tcBorders>
          </w:tcPr>
          <w:p w14:paraId="4764AF16" w14:textId="77777777" w:rsidR="002C6574" w:rsidRDefault="00000000">
            <w:pPr>
              <w:pStyle w:val="TableParagraph"/>
              <w:spacing w:before="48"/>
              <w:ind w:right="111"/>
              <w:rPr>
                <w:rFonts w:ascii="Arial"/>
                <w:b/>
                <w:sz w:val="12"/>
              </w:rPr>
            </w:pPr>
            <w:r>
              <w:rPr>
                <w:rFonts w:ascii="Arial"/>
                <w:b/>
                <w:spacing w:val="-2"/>
                <w:sz w:val="12"/>
              </w:rPr>
              <w:t>191.447</w:t>
            </w:r>
          </w:p>
        </w:tc>
        <w:tc>
          <w:tcPr>
            <w:tcW w:w="802" w:type="dxa"/>
            <w:tcBorders>
              <w:top w:val="single" w:sz="8" w:space="0" w:color="9AC1E6"/>
              <w:bottom w:val="single" w:sz="8" w:space="0" w:color="9AC1E6"/>
            </w:tcBorders>
          </w:tcPr>
          <w:p w14:paraId="7C9DC903" w14:textId="77777777" w:rsidR="002C6574" w:rsidRDefault="00000000">
            <w:pPr>
              <w:pStyle w:val="TableParagraph"/>
              <w:spacing w:before="48"/>
              <w:ind w:right="117"/>
              <w:rPr>
                <w:rFonts w:ascii="Arial"/>
                <w:b/>
                <w:sz w:val="12"/>
              </w:rPr>
            </w:pPr>
            <w:r>
              <w:rPr>
                <w:rFonts w:ascii="Arial"/>
                <w:b/>
                <w:spacing w:val="-2"/>
                <w:sz w:val="12"/>
              </w:rPr>
              <w:t>292,4%</w:t>
            </w:r>
          </w:p>
        </w:tc>
        <w:tc>
          <w:tcPr>
            <w:tcW w:w="779" w:type="dxa"/>
            <w:tcBorders>
              <w:top w:val="single" w:sz="8" w:space="0" w:color="9AC1E6"/>
              <w:bottom w:val="single" w:sz="8" w:space="0" w:color="9AC1E6"/>
            </w:tcBorders>
          </w:tcPr>
          <w:p w14:paraId="4C35791E" w14:textId="77777777" w:rsidR="002C6574" w:rsidRDefault="00000000">
            <w:pPr>
              <w:pStyle w:val="TableParagraph"/>
              <w:spacing w:before="48"/>
              <w:ind w:right="75"/>
              <w:rPr>
                <w:rFonts w:ascii="Arial"/>
                <w:b/>
                <w:sz w:val="12"/>
              </w:rPr>
            </w:pPr>
            <w:r>
              <w:rPr>
                <w:rFonts w:ascii="Arial"/>
                <w:b/>
                <w:spacing w:val="-2"/>
                <w:sz w:val="12"/>
              </w:rPr>
              <w:t>94,9%</w:t>
            </w:r>
          </w:p>
        </w:tc>
      </w:tr>
      <w:tr w:rsidR="002C6574" w14:paraId="025AED38" w14:textId="77777777">
        <w:trPr>
          <w:trHeight w:val="231"/>
        </w:trPr>
        <w:tc>
          <w:tcPr>
            <w:tcW w:w="4381" w:type="dxa"/>
            <w:tcBorders>
              <w:top w:val="single" w:sz="8" w:space="0" w:color="9AC1E6"/>
              <w:bottom w:val="single" w:sz="8" w:space="0" w:color="9AC1E6"/>
            </w:tcBorders>
          </w:tcPr>
          <w:p w14:paraId="19A0AB4D" w14:textId="77777777" w:rsidR="002C6574" w:rsidRDefault="00000000">
            <w:pPr>
              <w:pStyle w:val="TableParagraph"/>
              <w:spacing w:before="48"/>
              <w:ind w:left="83"/>
              <w:jc w:val="left"/>
              <w:rPr>
                <w:rFonts w:ascii="Arial"/>
                <w:b/>
                <w:sz w:val="12"/>
              </w:rPr>
            </w:pPr>
            <w:r>
              <w:rPr>
                <w:rFonts w:ascii="Arial"/>
                <w:b/>
                <w:sz w:val="12"/>
              </w:rPr>
              <w:t>Margem</w:t>
            </w:r>
            <w:r>
              <w:rPr>
                <w:rFonts w:ascii="Arial"/>
                <w:b/>
                <w:spacing w:val="-3"/>
                <w:sz w:val="12"/>
              </w:rPr>
              <w:t xml:space="preserve"> </w:t>
            </w:r>
            <w:r>
              <w:rPr>
                <w:rFonts w:ascii="Arial"/>
                <w:b/>
                <w:spacing w:val="-2"/>
                <w:sz w:val="12"/>
              </w:rPr>
              <w:t>EBITDA</w:t>
            </w:r>
          </w:p>
        </w:tc>
        <w:tc>
          <w:tcPr>
            <w:tcW w:w="1463" w:type="dxa"/>
            <w:tcBorders>
              <w:top w:val="single" w:sz="8" w:space="0" w:color="9AC1E6"/>
              <w:bottom w:val="single" w:sz="8" w:space="0" w:color="9AC1E6"/>
            </w:tcBorders>
          </w:tcPr>
          <w:p w14:paraId="43D87314" w14:textId="77777777" w:rsidR="002C6574" w:rsidRDefault="00000000">
            <w:pPr>
              <w:pStyle w:val="TableParagraph"/>
              <w:spacing w:before="48"/>
              <w:ind w:right="174"/>
              <w:rPr>
                <w:rFonts w:ascii="Arial"/>
                <w:b/>
                <w:sz w:val="12"/>
              </w:rPr>
            </w:pPr>
            <w:r>
              <w:rPr>
                <w:rFonts w:ascii="Arial"/>
                <w:b/>
                <w:sz w:val="12"/>
              </w:rPr>
              <w:t>-</w:t>
            </w:r>
            <w:r>
              <w:rPr>
                <w:rFonts w:ascii="Arial"/>
                <w:b/>
                <w:spacing w:val="-2"/>
                <w:sz w:val="12"/>
              </w:rPr>
              <w:t>104,0%</w:t>
            </w:r>
          </w:p>
        </w:tc>
        <w:tc>
          <w:tcPr>
            <w:tcW w:w="869" w:type="dxa"/>
            <w:tcBorders>
              <w:top w:val="single" w:sz="8" w:space="0" w:color="9AC1E6"/>
              <w:bottom w:val="single" w:sz="8" w:space="0" w:color="9AC1E6"/>
            </w:tcBorders>
          </w:tcPr>
          <w:p w14:paraId="61C39264" w14:textId="77777777" w:rsidR="002C6574" w:rsidRDefault="00000000">
            <w:pPr>
              <w:pStyle w:val="TableParagraph"/>
              <w:spacing w:before="48"/>
              <w:ind w:right="174"/>
              <w:rPr>
                <w:rFonts w:ascii="Arial"/>
                <w:b/>
                <w:sz w:val="12"/>
              </w:rPr>
            </w:pPr>
            <w:r>
              <w:rPr>
                <w:rFonts w:ascii="Arial"/>
                <w:b/>
                <w:sz w:val="12"/>
              </w:rPr>
              <w:t>-</w:t>
            </w:r>
            <w:r>
              <w:rPr>
                <w:rFonts w:ascii="Arial"/>
                <w:b/>
                <w:spacing w:val="-2"/>
                <w:sz w:val="12"/>
              </w:rPr>
              <w:t>69,6%</w:t>
            </w:r>
          </w:p>
        </w:tc>
        <w:tc>
          <w:tcPr>
            <w:tcW w:w="799" w:type="dxa"/>
            <w:tcBorders>
              <w:top w:val="single" w:sz="8" w:space="0" w:color="9AC1E6"/>
              <w:bottom w:val="single" w:sz="8" w:space="0" w:color="9AC1E6"/>
            </w:tcBorders>
          </w:tcPr>
          <w:p w14:paraId="26D3F526" w14:textId="77777777" w:rsidR="002C6574" w:rsidRDefault="00000000">
            <w:pPr>
              <w:pStyle w:val="TableParagraph"/>
              <w:spacing w:before="48"/>
              <w:ind w:right="107"/>
              <w:rPr>
                <w:rFonts w:ascii="Arial"/>
                <w:b/>
                <w:sz w:val="12"/>
              </w:rPr>
            </w:pPr>
            <w:r>
              <w:rPr>
                <w:rFonts w:ascii="Arial"/>
                <w:b/>
                <w:sz w:val="12"/>
              </w:rPr>
              <w:t>-</w:t>
            </w:r>
            <w:r>
              <w:rPr>
                <w:rFonts w:ascii="Arial"/>
                <w:b/>
                <w:spacing w:val="-2"/>
                <w:sz w:val="12"/>
              </w:rPr>
              <w:t>44,7%</w:t>
            </w:r>
          </w:p>
        </w:tc>
        <w:tc>
          <w:tcPr>
            <w:tcW w:w="802" w:type="dxa"/>
            <w:tcBorders>
              <w:top w:val="single" w:sz="8" w:space="0" w:color="9AC1E6"/>
              <w:bottom w:val="single" w:sz="8" w:space="0" w:color="9AC1E6"/>
            </w:tcBorders>
          </w:tcPr>
          <w:p w14:paraId="2C707F15" w14:textId="77777777" w:rsidR="002C6574" w:rsidRDefault="00000000">
            <w:pPr>
              <w:pStyle w:val="TableParagraph"/>
              <w:spacing w:before="48"/>
              <w:ind w:right="117"/>
              <w:rPr>
                <w:rFonts w:ascii="Arial"/>
                <w:b/>
                <w:sz w:val="12"/>
              </w:rPr>
            </w:pPr>
            <w:r>
              <w:rPr>
                <w:rFonts w:ascii="Arial"/>
                <w:b/>
                <w:spacing w:val="-2"/>
                <w:sz w:val="12"/>
              </w:rPr>
              <w:t>49,4%</w:t>
            </w:r>
          </w:p>
        </w:tc>
        <w:tc>
          <w:tcPr>
            <w:tcW w:w="779" w:type="dxa"/>
            <w:tcBorders>
              <w:top w:val="single" w:sz="8" w:space="0" w:color="9AC1E6"/>
              <w:bottom w:val="single" w:sz="8" w:space="0" w:color="9AC1E6"/>
            </w:tcBorders>
          </w:tcPr>
          <w:p w14:paraId="72C81F05" w14:textId="77777777" w:rsidR="002C6574" w:rsidRDefault="00000000">
            <w:pPr>
              <w:pStyle w:val="TableParagraph"/>
              <w:spacing w:before="48"/>
              <w:ind w:right="76"/>
              <w:rPr>
                <w:rFonts w:ascii="Arial"/>
                <w:b/>
                <w:sz w:val="12"/>
              </w:rPr>
            </w:pPr>
            <w:r>
              <w:rPr>
                <w:rFonts w:ascii="Arial"/>
                <w:b/>
                <w:spacing w:val="-2"/>
                <w:sz w:val="12"/>
              </w:rPr>
              <w:t>133,0%</w:t>
            </w:r>
          </w:p>
        </w:tc>
      </w:tr>
      <w:tr w:rsidR="002C6574" w14:paraId="17879059" w14:textId="77777777">
        <w:trPr>
          <w:trHeight w:val="231"/>
        </w:trPr>
        <w:tc>
          <w:tcPr>
            <w:tcW w:w="4381" w:type="dxa"/>
            <w:tcBorders>
              <w:top w:val="single" w:sz="8" w:space="0" w:color="9AC1E6"/>
              <w:bottom w:val="single" w:sz="8" w:space="0" w:color="9AC1E6"/>
            </w:tcBorders>
          </w:tcPr>
          <w:p w14:paraId="754B2E1F" w14:textId="77777777" w:rsidR="002C6574" w:rsidRDefault="00000000">
            <w:pPr>
              <w:pStyle w:val="TableParagraph"/>
              <w:spacing w:before="48"/>
              <w:ind w:left="83"/>
              <w:jc w:val="left"/>
              <w:rPr>
                <w:rFonts w:ascii="Arial"/>
                <w:b/>
                <w:sz w:val="12"/>
              </w:rPr>
            </w:pPr>
            <w:r>
              <w:rPr>
                <w:rFonts w:ascii="Arial"/>
                <w:b/>
                <w:sz w:val="12"/>
              </w:rPr>
              <w:t>Margem</w:t>
            </w:r>
            <w:r>
              <w:rPr>
                <w:rFonts w:ascii="Arial"/>
                <w:b/>
                <w:spacing w:val="-2"/>
                <w:sz w:val="12"/>
              </w:rPr>
              <w:t xml:space="preserve"> </w:t>
            </w:r>
            <w:r>
              <w:rPr>
                <w:rFonts w:ascii="Arial"/>
                <w:b/>
                <w:sz w:val="12"/>
              </w:rPr>
              <w:t>EBITDA</w:t>
            </w:r>
            <w:r>
              <w:rPr>
                <w:rFonts w:ascii="Arial"/>
                <w:b/>
                <w:spacing w:val="-1"/>
                <w:sz w:val="12"/>
              </w:rPr>
              <w:t xml:space="preserve"> </w:t>
            </w:r>
            <w:r>
              <w:rPr>
                <w:rFonts w:ascii="Arial"/>
                <w:b/>
                <w:spacing w:val="-2"/>
                <w:sz w:val="12"/>
              </w:rPr>
              <w:t>Ajustado</w:t>
            </w:r>
          </w:p>
        </w:tc>
        <w:tc>
          <w:tcPr>
            <w:tcW w:w="1463" w:type="dxa"/>
            <w:tcBorders>
              <w:top w:val="single" w:sz="8" w:space="0" w:color="9AC1E6"/>
              <w:bottom w:val="single" w:sz="8" w:space="0" w:color="9AC1E6"/>
            </w:tcBorders>
          </w:tcPr>
          <w:p w14:paraId="60353E9E" w14:textId="77777777" w:rsidR="002C6574" w:rsidRDefault="00000000">
            <w:pPr>
              <w:pStyle w:val="TableParagraph"/>
              <w:spacing w:before="48"/>
              <w:ind w:right="177"/>
              <w:rPr>
                <w:rFonts w:ascii="Arial"/>
                <w:b/>
                <w:sz w:val="12"/>
              </w:rPr>
            </w:pPr>
            <w:r>
              <w:rPr>
                <w:rFonts w:ascii="Arial"/>
                <w:b/>
                <w:spacing w:val="-2"/>
                <w:sz w:val="12"/>
              </w:rPr>
              <w:t>76,0%</w:t>
            </w:r>
          </w:p>
        </w:tc>
        <w:tc>
          <w:tcPr>
            <w:tcW w:w="869" w:type="dxa"/>
            <w:tcBorders>
              <w:top w:val="single" w:sz="8" w:space="0" w:color="9AC1E6"/>
              <w:bottom w:val="single" w:sz="8" w:space="0" w:color="9AC1E6"/>
            </w:tcBorders>
          </w:tcPr>
          <w:p w14:paraId="75B01EC5" w14:textId="77777777" w:rsidR="002C6574" w:rsidRDefault="00000000">
            <w:pPr>
              <w:pStyle w:val="TableParagraph"/>
              <w:spacing w:before="48"/>
              <w:ind w:right="177"/>
              <w:rPr>
                <w:rFonts w:ascii="Arial"/>
                <w:b/>
                <w:sz w:val="12"/>
              </w:rPr>
            </w:pPr>
            <w:r>
              <w:rPr>
                <w:rFonts w:ascii="Arial"/>
                <w:b/>
                <w:spacing w:val="-2"/>
                <w:sz w:val="12"/>
              </w:rPr>
              <w:t>23,0%</w:t>
            </w:r>
          </w:p>
        </w:tc>
        <w:tc>
          <w:tcPr>
            <w:tcW w:w="799" w:type="dxa"/>
            <w:tcBorders>
              <w:top w:val="single" w:sz="8" w:space="0" w:color="9AC1E6"/>
              <w:bottom w:val="single" w:sz="8" w:space="0" w:color="9AC1E6"/>
            </w:tcBorders>
          </w:tcPr>
          <w:p w14:paraId="00995093" w14:textId="77777777" w:rsidR="002C6574" w:rsidRDefault="00000000">
            <w:pPr>
              <w:pStyle w:val="TableParagraph"/>
              <w:spacing w:before="48"/>
              <w:ind w:right="110"/>
              <w:rPr>
                <w:rFonts w:ascii="Arial"/>
                <w:b/>
                <w:sz w:val="12"/>
              </w:rPr>
            </w:pPr>
            <w:r>
              <w:rPr>
                <w:rFonts w:ascii="Arial"/>
                <w:b/>
                <w:spacing w:val="-2"/>
                <w:sz w:val="12"/>
              </w:rPr>
              <w:t>45,9%</w:t>
            </w:r>
          </w:p>
        </w:tc>
        <w:tc>
          <w:tcPr>
            <w:tcW w:w="802" w:type="dxa"/>
            <w:tcBorders>
              <w:top w:val="single" w:sz="8" w:space="0" w:color="9AC1E6"/>
              <w:bottom w:val="single" w:sz="8" w:space="0" w:color="9AC1E6"/>
            </w:tcBorders>
          </w:tcPr>
          <w:p w14:paraId="14B4C530" w14:textId="77777777" w:rsidR="002C6574" w:rsidRDefault="00000000">
            <w:pPr>
              <w:pStyle w:val="TableParagraph"/>
              <w:spacing w:before="48"/>
              <w:ind w:right="118"/>
              <w:rPr>
                <w:rFonts w:ascii="Arial"/>
                <w:b/>
                <w:sz w:val="12"/>
              </w:rPr>
            </w:pPr>
            <w:r>
              <w:rPr>
                <w:rFonts w:ascii="Arial"/>
                <w:b/>
                <w:spacing w:val="-2"/>
                <w:sz w:val="12"/>
              </w:rPr>
              <w:t>231,1%</w:t>
            </w:r>
          </w:p>
        </w:tc>
        <w:tc>
          <w:tcPr>
            <w:tcW w:w="779" w:type="dxa"/>
            <w:tcBorders>
              <w:top w:val="single" w:sz="8" w:space="0" w:color="9AC1E6"/>
              <w:bottom w:val="single" w:sz="8" w:space="0" w:color="9AC1E6"/>
            </w:tcBorders>
          </w:tcPr>
          <w:p w14:paraId="75FD753D" w14:textId="77777777" w:rsidR="002C6574" w:rsidRDefault="00000000">
            <w:pPr>
              <w:pStyle w:val="TableParagraph"/>
              <w:spacing w:before="48"/>
              <w:ind w:right="75"/>
              <w:rPr>
                <w:rFonts w:ascii="Arial"/>
                <w:b/>
                <w:sz w:val="12"/>
              </w:rPr>
            </w:pPr>
            <w:r>
              <w:rPr>
                <w:rFonts w:ascii="Arial"/>
                <w:b/>
                <w:spacing w:val="-2"/>
                <w:sz w:val="12"/>
              </w:rPr>
              <w:t>65,5%</w:t>
            </w:r>
          </w:p>
        </w:tc>
      </w:tr>
    </w:tbl>
    <w:p w14:paraId="46B966D8" w14:textId="77777777" w:rsidR="002C6574" w:rsidRDefault="00000000">
      <w:pPr>
        <w:spacing w:before="120"/>
        <w:ind w:left="428"/>
        <w:jc w:val="center"/>
        <w:rPr>
          <w:rFonts w:ascii="Calibri"/>
          <w:sz w:val="16"/>
        </w:rPr>
      </w:pPr>
      <w:r>
        <w:rPr>
          <w:rFonts w:ascii="Calibri"/>
          <w:color w:val="001F60"/>
          <w:sz w:val="16"/>
        </w:rPr>
        <w:t>Tabela</w:t>
      </w:r>
      <w:r>
        <w:rPr>
          <w:rFonts w:ascii="Calibri"/>
          <w:color w:val="001F60"/>
          <w:spacing w:val="-1"/>
          <w:sz w:val="16"/>
        </w:rPr>
        <w:t xml:space="preserve"> </w:t>
      </w:r>
      <w:r>
        <w:rPr>
          <w:rFonts w:ascii="Calibri"/>
          <w:color w:val="001F60"/>
          <w:sz w:val="16"/>
        </w:rPr>
        <w:t>3-11</w:t>
      </w:r>
      <w:r>
        <w:rPr>
          <w:rFonts w:ascii="Calibri"/>
          <w:color w:val="001F60"/>
          <w:spacing w:val="-4"/>
          <w:sz w:val="16"/>
        </w:rPr>
        <w:t xml:space="preserve"> </w:t>
      </w:r>
      <w:r>
        <w:rPr>
          <w:rFonts w:ascii="Calibri"/>
          <w:color w:val="001F60"/>
          <w:spacing w:val="-2"/>
          <w:sz w:val="16"/>
        </w:rPr>
        <w:t>EBITDA/LAJIDA</w:t>
      </w:r>
    </w:p>
    <w:p w14:paraId="51AB555E" w14:textId="77777777" w:rsidR="002C6574" w:rsidRDefault="00000000">
      <w:pPr>
        <w:pStyle w:val="Corpodetexto"/>
        <w:spacing w:before="122"/>
        <w:ind w:left="709" w:right="274"/>
        <w:jc w:val="both"/>
        <w:rPr>
          <w:rFonts w:ascii="Calibri" w:hAnsi="Calibri"/>
        </w:rPr>
      </w:pPr>
      <w:r>
        <w:rPr>
          <w:rFonts w:ascii="Calibri" w:hAnsi="Calibri"/>
          <w:color w:val="001F60"/>
        </w:rPr>
        <w:t>O EBITDA não é uma medida definida pelas práticas contábeis internacionais (IFRS) e representa o lucro</w:t>
      </w:r>
      <w:r>
        <w:rPr>
          <w:rFonts w:ascii="Calibri" w:hAnsi="Calibri"/>
          <w:color w:val="001F60"/>
          <w:spacing w:val="-3"/>
        </w:rPr>
        <w:t xml:space="preserve"> </w:t>
      </w:r>
      <w:r>
        <w:rPr>
          <w:rFonts w:ascii="Calibri" w:hAnsi="Calibri"/>
          <w:color w:val="001F60"/>
        </w:rPr>
        <w:t>/ (prejuízo)</w:t>
      </w:r>
      <w:r>
        <w:rPr>
          <w:rFonts w:ascii="Calibri" w:hAnsi="Calibri"/>
          <w:color w:val="001F60"/>
          <w:spacing w:val="-3"/>
        </w:rPr>
        <w:t xml:space="preserve"> </w:t>
      </w:r>
      <w:r>
        <w:rPr>
          <w:rFonts w:ascii="Calibri" w:hAnsi="Calibri"/>
          <w:color w:val="001F60"/>
        </w:rPr>
        <w:t>antes</w:t>
      </w:r>
      <w:r>
        <w:rPr>
          <w:rFonts w:ascii="Calibri" w:hAnsi="Calibri"/>
          <w:color w:val="001F60"/>
          <w:spacing w:val="-4"/>
        </w:rPr>
        <w:t xml:space="preserve"> </w:t>
      </w:r>
      <w:r>
        <w:rPr>
          <w:rFonts w:ascii="Calibri" w:hAnsi="Calibri"/>
          <w:color w:val="001F60"/>
        </w:rPr>
        <w:t>do</w:t>
      </w:r>
      <w:r>
        <w:rPr>
          <w:rFonts w:ascii="Calibri" w:hAnsi="Calibri"/>
          <w:color w:val="001F60"/>
          <w:spacing w:val="-3"/>
        </w:rPr>
        <w:t xml:space="preserve"> </w:t>
      </w:r>
      <w:r>
        <w:rPr>
          <w:rFonts w:ascii="Calibri" w:hAnsi="Calibri"/>
          <w:color w:val="001F60"/>
        </w:rPr>
        <w:t>pagamento</w:t>
      </w:r>
      <w:r>
        <w:rPr>
          <w:rFonts w:ascii="Calibri" w:hAnsi="Calibri"/>
          <w:color w:val="001F60"/>
          <w:spacing w:val="-1"/>
        </w:rPr>
        <w:t xml:space="preserve"> </w:t>
      </w:r>
      <w:r>
        <w:rPr>
          <w:rFonts w:ascii="Calibri" w:hAnsi="Calibri"/>
          <w:color w:val="001F60"/>
        </w:rPr>
        <w:t>de</w:t>
      </w:r>
      <w:r>
        <w:rPr>
          <w:rFonts w:ascii="Calibri" w:hAnsi="Calibri"/>
          <w:color w:val="001F60"/>
          <w:spacing w:val="-3"/>
        </w:rPr>
        <w:t xml:space="preserve"> </w:t>
      </w:r>
      <w:r>
        <w:rPr>
          <w:rFonts w:ascii="Calibri" w:hAnsi="Calibri"/>
          <w:color w:val="001F60"/>
        </w:rPr>
        <w:t>juros,</w:t>
      </w:r>
      <w:r>
        <w:rPr>
          <w:rFonts w:ascii="Calibri" w:hAnsi="Calibri"/>
          <w:color w:val="001F60"/>
          <w:spacing w:val="-1"/>
        </w:rPr>
        <w:t xml:space="preserve"> </w:t>
      </w:r>
      <w:r>
        <w:rPr>
          <w:rFonts w:ascii="Calibri" w:hAnsi="Calibri"/>
          <w:color w:val="001F60"/>
        </w:rPr>
        <w:t>imposto</w:t>
      </w:r>
      <w:r>
        <w:rPr>
          <w:rFonts w:ascii="Calibri" w:hAnsi="Calibri"/>
          <w:color w:val="001F60"/>
          <w:spacing w:val="-1"/>
        </w:rPr>
        <w:t xml:space="preserve"> </w:t>
      </w:r>
      <w:r>
        <w:rPr>
          <w:rFonts w:ascii="Calibri" w:hAnsi="Calibri"/>
          <w:color w:val="001F60"/>
        </w:rPr>
        <w:t>de</w:t>
      </w:r>
      <w:r>
        <w:rPr>
          <w:rFonts w:ascii="Calibri" w:hAnsi="Calibri"/>
          <w:color w:val="001F60"/>
          <w:spacing w:val="-1"/>
        </w:rPr>
        <w:t xml:space="preserve"> </w:t>
      </w:r>
      <w:r>
        <w:rPr>
          <w:rFonts w:ascii="Calibri" w:hAnsi="Calibri"/>
          <w:color w:val="001F60"/>
        </w:rPr>
        <w:t>renda</w:t>
      </w:r>
      <w:r>
        <w:rPr>
          <w:rFonts w:ascii="Calibri" w:hAnsi="Calibri"/>
          <w:color w:val="001F60"/>
          <w:spacing w:val="-3"/>
        </w:rPr>
        <w:t xml:space="preserve"> </w:t>
      </w:r>
      <w:r>
        <w:rPr>
          <w:rFonts w:ascii="Calibri" w:hAnsi="Calibri"/>
          <w:color w:val="001F60"/>
        </w:rPr>
        <w:t>e</w:t>
      </w:r>
      <w:r>
        <w:rPr>
          <w:rFonts w:ascii="Calibri" w:hAnsi="Calibri"/>
          <w:color w:val="001F60"/>
          <w:spacing w:val="-3"/>
        </w:rPr>
        <w:t xml:space="preserve"> </w:t>
      </w:r>
      <w:r>
        <w:rPr>
          <w:rFonts w:ascii="Calibri" w:hAnsi="Calibri"/>
          <w:color w:val="001F60"/>
        </w:rPr>
        <w:t>contribuição</w:t>
      </w:r>
      <w:r>
        <w:rPr>
          <w:rFonts w:ascii="Calibri" w:hAnsi="Calibri"/>
          <w:color w:val="001F60"/>
          <w:spacing w:val="-3"/>
        </w:rPr>
        <w:t xml:space="preserve"> </w:t>
      </w:r>
      <w:r>
        <w:rPr>
          <w:rFonts w:ascii="Calibri" w:hAnsi="Calibri"/>
          <w:color w:val="001F60"/>
        </w:rPr>
        <w:t>social,</w:t>
      </w:r>
      <w:r>
        <w:rPr>
          <w:rFonts w:ascii="Calibri" w:hAnsi="Calibri"/>
          <w:color w:val="001F60"/>
          <w:spacing w:val="-5"/>
        </w:rPr>
        <w:t xml:space="preserve"> </w:t>
      </w:r>
      <w:r>
        <w:rPr>
          <w:rFonts w:ascii="Calibri" w:hAnsi="Calibri"/>
          <w:color w:val="001F60"/>
        </w:rPr>
        <w:t>depreciação</w:t>
      </w:r>
      <w:r>
        <w:rPr>
          <w:rFonts w:ascii="Calibri" w:hAnsi="Calibri"/>
          <w:color w:val="001F60"/>
          <w:spacing w:val="-3"/>
        </w:rPr>
        <w:t xml:space="preserve"> </w:t>
      </w:r>
      <w:r>
        <w:rPr>
          <w:rFonts w:ascii="Calibri" w:hAnsi="Calibri"/>
          <w:color w:val="001F60"/>
        </w:rPr>
        <w:t>e amortização. A Companhia divulga seu EBITDA Ajustado, conforme Instrução CVM N° 156, de 23 de junho</w:t>
      </w:r>
      <w:r>
        <w:rPr>
          <w:rFonts w:ascii="Calibri" w:hAnsi="Calibri"/>
          <w:color w:val="001F60"/>
          <w:spacing w:val="8"/>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2022,</w:t>
      </w:r>
      <w:r>
        <w:rPr>
          <w:rFonts w:ascii="Calibri" w:hAnsi="Calibri"/>
          <w:color w:val="001F60"/>
          <w:spacing w:val="8"/>
        </w:rPr>
        <w:t xml:space="preserve"> </w:t>
      </w:r>
      <w:r>
        <w:rPr>
          <w:rFonts w:ascii="Calibri" w:hAnsi="Calibri"/>
          <w:color w:val="001F60"/>
        </w:rPr>
        <w:t>e</w:t>
      </w:r>
      <w:r>
        <w:rPr>
          <w:rFonts w:ascii="Calibri" w:hAnsi="Calibri"/>
          <w:color w:val="001F60"/>
          <w:spacing w:val="11"/>
        </w:rPr>
        <w:t xml:space="preserve"> </w:t>
      </w:r>
      <w:r>
        <w:rPr>
          <w:rFonts w:ascii="Calibri" w:hAnsi="Calibri"/>
          <w:color w:val="001F60"/>
        </w:rPr>
        <w:t>estes</w:t>
      </w:r>
      <w:r>
        <w:rPr>
          <w:rFonts w:ascii="Calibri" w:hAnsi="Calibri"/>
          <w:color w:val="001F60"/>
          <w:spacing w:val="8"/>
        </w:rPr>
        <w:t xml:space="preserve"> </w:t>
      </w:r>
      <w:r>
        <w:rPr>
          <w:rFonts w:ascii="Calibri" w:hAnsi="Calibri"/>
          <w:color w:val="001F60"/>
        </w:rPr>
        <w:t>ajustes</w:t>
      </w:r>
      <w:r>
        <w:rPr>
          <w:rFonts w:ascii="Calibri" w:hAnsi="Calibri"/>
          <w:color w:val="001F60"/>
          <w:spacing w:val="8"/>
        </w:rPr>
        <w:t xml:space="preserve"> </w:t>
      </w:r>
      <w:r>
        <w:rPr>
          <w:rFonts w:ascii="Calibri" w:hAnsi="Calibri"/>
          <w:color w:val="001F60"/>
        </w:rPr>
        <w:t>incluem</w:t>
      </w:r>
      <w:r>
        <w:rPr>
          <w:rFonts w:ascii="Calibri" w:hAnsi="Calibri"/>
          <w:color w:val="001F60"/>
          <w:spacing w:val="11"/>
        </w:rPr>
        <w:t xml:space="preserve"> </w:t>
      </w:r>
      <w:r>
        <w:rPr>
          <w:rFonts w:ascii="Calibri" w:hAnsi="Calibri"/>
          <w:color w:val="001F60"/>
        </w:rPr>
        <w:t>a</w:t>
      </w:r>
      <w:r>
        <w:rPr>
          <w:rFonts w:ascii="Calibri" w:hAnsi="Calibri"/>
          <w:color w:val="001F60"/>
          <w:spacing w:val="8"/>
        </w:rPr>
        <w:t xml:space="preserve"> </w:t>
      </w:r>
      <w:r>
        <w:rPr>
          <w:rFonts w:ascii="Calibri" w:hAnsi="Calibri"/>
          <w:color w:val="001F60"/>
        </w:rPr>
        <w:t>adição/exclusão</w:t>
      </w:r>
      <w:r>
        <w:rPr>
          <w:rFonts w:ascii="Calibri" w:hAnsi="Calibri"/>
          <w:color w:val="001F60"/>
          <w:spacing w:val="10"/>
        </w:rPr>
        <w:t xml:space="preserve"> </w:t>
      </w:r>
      <w:r>
        <w:rPr>
          <w:rFonts w:ascii="Calibri" w:hAnsi="Calibri"/>
          <w:color w:val="001F60"/>
        </w:rPr>
        <w:t>do</w:t>
      </w:r>
      <w:r>
        <w:rPr>
          <w:rFonts w:ascii="Calibri" w:hAnsi="Calibri"/>
          <w:color w:val="001F60"/>
          <w:spacing w:val="10"/>
        </w:rPr>
        <w:t xml:space="preserve"> </w:t>
      </w:r>
      <w:r>
        <w:rPr>
          <w:rFonts w:ascii="Calibri" w:hAnsi="Calibri"/>
          <w:color w:val="001F60"/>
        </w:rPr>
        <w:t>Resultado</w:t>
      </w:r>
      <w:r>
        <w:rPr>
          <w:rFonts w:ascii="Calibri" w:hAnsi="Calibri"/>
          <w:color w:val="001F60"/>
          <w:spacing w:val="11"/>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Equivalência</w:t>
      </w:r>
      <w:r>
        <w:rPr>
          <w:rFonts w:ascii="Calibri" w:hAnsi="Calibri"/>
          <w:color w:val="001F60"/>
          <w:spacing w:val="6"/>
        </w:rPr>
        <w:t xml:space="preserve"> </w:t>
      </w:r>
      <w:r>
        <w:rPr>
          <w:rFonts w:ascii="Calibri" w:hAnsi="Calibri"/>
          <w:color w:val="001F60"/>
          <w:spacing w:val="-2"/>
        </w:rPr>
        <w:t>Patrimonial,</w:t>
      </w:r>
    </w:p>
    <w:p w14:paraId="34F6DC61" w14:textId="77777777" w:rsidR="002C6574" w:rsidRDefault="002C6574">
      <w:pPr>
        <w:pStyle w:val="Corpodetexto"/>
        <w:jc w:val="both"/>
        <w:rPr>
          <w:rFonts w:ascii="Calibri" w:hAnsi="Calibri"/>
        </w:rPr>
        <w:sectPr w:rsidR="002C6574">
          <w:pgSz w:w="11910" w:h="16840"/>
          <w:pgMar w:top="1160" w:right="850" w:bottom="740" w:left="992" w:header="312" w:footer="542" w:gutter="0"/>
          <w:cols w:space="720"/>
        </w:sectPr>
      </w:pPr>
    </w:p>
    <w:p w14:paraId="7D7137EC" w14:textId="77777777" w:rsidR="002C6574" w:rsidRDefault="002C6574">
      <w:pPr>
        <w:pStyle w:val="Corpodetexto"/>
        <w:spacing w:before="263"/>
        <w:rPr>
          <w:rFonts w:ascii="Calibri"/>
        </w:rPr>
      </w:pPr>
    </w:p>
    <w:p w14:paraId="7B7B4BE5" w14:textId="77777777" w:rsidR="002C6574" w:rsidRDefault="00000000">
      <w:pPr>
        <w:pStyle w:val="Corpodetexto"/>
        <w:ind w:left="709" w:right="276"/>
        <w:jc w:val="both"/>
        <w:rPr>
          <w:rFonts w:ascii="Calibri" w:hAnsi="Calibri"/>
        </w:rPr>
      </w:pPr>
      <w:r>
        <w:rPr>
          <w:rFonts w:ascii="Calibri" w:hAnsi="Calibri"/>
          <w:color w:val="001F60"/>
        </w:rPr>
        <w:t>da Depreciação e das Despesas Financeiras originadas das alterações do CPC 6(R2) / IFRS 16 – Operações</w:t>
      </w:r>
      <w:r>
        <w:rPr>
          <w:rFonts w:ascii="Calibri" w:hAnsi="Calibri"/>
          <w:color w:val="001F60"/>
          <w:spacing w:val="-8"/>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Arrendamento</w:t>
      </w:r>
      <w:r>
        <w:rPr>
          <w:rFonts w:ascii="Calibri" w:hAnsi="Calibri"/>
          <w:color w:val="001F60"/>
          <w:spacing w:val="-10"/>
        </w:rPr>
        <w:t xml:space="preserve"> </w:t>
      </w:r>
      <w:r>
        <w:rPr>
          <w:rFonts w:ascii="Calibri" w:hAnsi="Calibri"/>
          <w:color w:val="001F60"/>
        </w:rPr>
        <w:t>Mercantil</w:t>
      </w:r>
      <w:r>
        <w:rPr>
          <w:rFonts w:ascii="Calibri" w:hAnsi="Calibri"/>
          <w:color w:val="001F60"/>
          <w:spacing w:val="-8"/>
        </w:rPr>
        <w:t xml:space="preserve"> </w:t>
      </w:r>
      <w:r>
        <w:rPr>
          <w:rFonts w:ascii="Calibri" w:hAnsi="Calibri"/>
          <w:color w:val="001F60"/>
        </w:rPr>
        <w:t>e</w:t>
      </w:r>
      <w:r>
        <w:rPr>
          <w:rFonts w:ascii="Calibri" w:hAnsi="Calibri"/>
          <w:color w:val="001F60"/>
          <w:spacing w:val="-8"/>
        </w:rPr>
        <w:t xml:space="preserve"> </w:t>
      </w:r>
      <w:r>
        <w:rPr>
          <w:rFonts w:ascii="Calibri" w:hAnsi="Calibri"/>
          <w:color w:val="001F60"/>
        </w:rPr>
        <w:t>Outros</w:t>
      </w:r>
      <w:r>
        <w:rPr>
          <w:rFonts w:ascii="Calibri" w:hAnsi="Calibri"/>
          <w:color w:val="001F60"/>
          <w:spacing w:val="-12"/>
        </w:rPr>
        <w:t xml:space="preserve"> </w:t>
      </w:r>
      <w:r>
        <w:rPr>
          <w:rFonts w:ascii="Calibri" w:hAnsi="Calibri"/>
          <w:color w:val="001F60"/>
        </w:rPr>
        <w:t>Eventos</w:t>
      </w:r>
      <w:r>
        <w:rPr>
          <w:rFonts w:ascii="Calibri" w:hAnsi="Calibri"/>
          <w:color w:val="001F60"/>
          <w:spacing w:val="-8"/>
        </w:rPr>
        <w:t xml:space="preserve"> </w:t>
      </w:r>
      <w:r>
        <w:rPr>
          <w:rFonts w:ascii="Calibri" w:hAnsi="Calibri"/>
          <w:color w:val="001F60"/>
        </w:rPr>
        <w:t>não</w:t>
      </w:r>
      <w:r>
        <w:rPr>
          <w:rFonts w:ascii="Calibri" w:hAnsi="Calibri"/>
          <w:color w:val="001F60"/>
          <w:spacing w:val="-10"/>
        </w:rPr>
        <w:t xml:space="preserve"> </w:t>
      </w:r>
      <w:r>
        <w:rPr>
          <w:rFonts w:ascii="Calibri" w:hAnsi="Calibri"/>
          <w:color w:val="001F60"/>
        </w:rPr>
        <w:t>Recorrentes</w:t>
      </w:r>
      <w:r>
        <w:rPr>
          <w:rFonts w:ascii="Calibri" w:hAnsi="Calibri"/>
          <w:color w:val="001F60"/>
          <w:spacing w:val="-8"/>
        </w:rPr>
        <w:t xml:space="preserve"> </w:t>
      </w:r>
      <w:r>
        <w:rPr>
          <w:rFonts w:ascii="Calibri" w:hAnsi="Calibri"/>
          <w:color w:val="001F60"/>
        </w:rPr>
        <w:t>que</w:t>
      </w:r>
      <w:r>
        <w:rPr>
          <w:rFonts w:ascii="Calibri" w:hAnsi="Calibri"/>
          <w:color w:val="001F60"/>
          <w:spacing w:val="-8"/>
        </w:rPr>
        <w:t xml:space="preserve"> </w:t>
      </w:r>
      <w:r>
        <w:rPr>
          <w:rFonts w:ascii="Calibri" w:hAnsi="Calibri"/>
          <w:color w:val="001F60"/>
        </w:rPr>
        <w:t>possam</w:t>
      </w:r>
      <w:r>
        <w:rPr>
          <w:rFonts w:ascii="Calibri" w:hAnsi="Calibri"/>
          <w:color w:val="001F60"/>
          <w:spacing w:val="-10"/>
        </w:rPr>
        <w:t xml:space="preserve"> </w:t>
      </w:r>
      <w:r>
        <w:rPr>
          <w:rFonts w:ascii="Calibri" w:hAnsi="Calibri"/>
          <w:color w:val="001F60"/>
        </w:rPr>
        <w:t>vir</w:t>
      </w:r>
      <w:r>
        <w:rPr>
          <w:rFonts w:ascii="Calibri" w:hAnsi="Calibri"/>
          <w:color w:val="001F60"/>
          <w:spacing w:val="-10"/>
        </w:rPr>
        <w:t xml:space="preserve"> </w:t>
      </w:r>
      <w:r>
        <w:rPr>
          <w:rFonts w:ascii="Calibri" w:hAnsi="Calibri"/>
          <w:color w:val="001F60"/>
        </w:rPr>
        <w:t>a</w:t>
      </w:r>
      <w:r>
        <w:rPr>
          <w:rFonts w:ascii="Calibri" w:hAnsi="Calibri"/>
          <w:color w:val="001F60"/>
          <w:spacing w:val="-10"/>
        </w:rPr>
        <w:t xml:space="preserve"> </w:t>
      </w:r>
      <w:r>
        <w:rPr>
          <w:rFonts w:ascii="Calibri" w:hAnsi="Calibri"/>
          <w:color w:val="001F60"/>
        </w:rPr>
        <w:t>ocorrer</w:t>
      </w:r>
      <w:r>
        <w:rPr>
          <w:rFonts w:ascii="Calibri" w:hAnsi="Calibri"/>
          <w:color w:val="001F60"/>
          <w:spacing w:val="-8"/>
        </w:rPr>
        <w:t xml:space="preserve"> </w:t>
      </w:r>
      <w:r>
        <w:rPr>
          <w:rFonts w:ascii="Calibri" w:hAnsi="Calibri"/>
          <w:color w:val="001F60"/>
        </w:rPr>
        <w:t>no curso dos</w:t>
      </w:r>
      <w:r>
        <w:rPr>
          <w:rFonts w:ascii="Calibri" w:hAnsi="Calibri"/>
          <w:color w:val="001F60"/>
          <w:spacing w:val="-1"/>
        </w:rPr>
        <w:t xml:space="preserve"> </w:t>
      </w:r>
      <w:r>
        <w:rPr>
          <w:rFonts w:ascii="Calibri" w:hAnsi="Calibri"/>
          <w:color w:val="001F60"/>
        </w:rPr>
        <w:t>negócios</w:t>
      </w:r>
      <w:r>
        <w:rPr>
          <w:rFonts w:ascii="Calibri" w:hAnsi="Calibri"/>
          <w:color w:val="001F60"/>
          <w:spacing w:val="-1"/>
        </w:rPr>
        <w:t xml:space="preserve"> </w:t>
      </w:r>
      <w:r>
        <w:rPr>
          <w:rFonts w:ascii="Calibri" w:hAnsi="Calibri"/>
          <w:color w:val="001F60"/>
        </w:rPr>
        <w:t>da</w:t>
      </w:r>
      <w:r>
        <w:rPr>
          <w:rFonts w:ascii="Calibri" w:hAnsi="Calibri"/>
          <w:color w:val="001F60"/>
          <w:spacing w:val="-1"/>
        </w:rPr>
        <w:t xml:space="preserve"> </w:t>
      </w:r>
      <w:r>
        <w:rPr>
          <w:rFonts w:ascii="Calibri" w:hAnsi="Calibri"/>
          <w:color w:val="001F60"/>
        </w:rPr>
        <w:t>Companhia,</w:t>
      </w:r>
      <w:r>
        <w:rPr>
          <w:rFonts w:ascii="Calibri" w:hAnsi="Calibri"/>
          <w:color w:val="001F60"/>
          <w:spacing w:val="-1"/>
        </w:rPr>
        <w:t xml:space="preserve"> </w:t>
      </w:r>
      <w:r>
        <w:rPr>
          <w:rFonts w:ascii="Calibri" w:hAnsi="Calibri"/>
          <w:color w:val="001F60"/>
        </w:rPr>
        <w:t>para</w:t>
      </w:r>
      <w:r>
        <w:rPr>
          <w:rFonts w:ascii="Calibri" w:hAnsi="Calibri"/>
          <w:color w:val="001F60"/>
          <w:spacing w:val="-1"/>
        </w:rPr>
        <w:t xml:space="preserve"> </w:t>
      </w:r>
      <w:r>
        <w:rPr>
          <w:rFonts w:ascii="Calibri" w:hAnsi="Calibri"/>
          <w:color w:val="001F60"/>
        </w:rPr>
        <w:t>proporcionar</w:t>
      </w:r>
      <w:r>
        <w:rPr>
          <w:rFonts w:ascii="Calibri" w:hAnsi="Calibri"/>
          <w:color w:val="001F60"/>
          <w:spacing w:val="-5"/>
        </w:rPr>
        <w:t xml:space="preserve"> </w:t>
      </w:r>
      <w:r>
        <w:rPr>
          <w:rFonts w:ascii="Calibri" w:hAnsi="Calibri"/>
          <w:color w:val="001F60"/>
        </w:rPr>
        <w:t>melhores</w:t>
      </w:r>
      <w:r>
        <w:rPr>
          <w:rFonts w:ascii="Calibri" w:hAnsi="Calibri"/>
          <w:color w:val="001F60"/>
          <w:spacing w:val="-3"/>
        </w:rPr>
        <w:t xml:space="preserve"> </w:t>
      </w:r>
      <w:r>
        <w:rPr>
          <w:rFonts w:ascii="Calibri" w:hAnsi="Calibri"/>
          <w:color w:val="001F60"/>
        </w:rPr>
        <w:t>informações</w:t>
      </w:r>
      <w:r>
        <w:rPr>
          <w:rFonts w:ascii="Calibri" w:hAnsi="Calibri"/>
          <w:color w:val="001F60"/>
          <w:spacing w:val="-1"/>
        </w:rPr>
        <w:t xml:space="preserve"> </w:t>
      </w:r>
      <w:r>
        <w:rPr>
          <w:rFonts w:ascii="Calibri" w:hAnsi="Calibri"/>
          <w:color w:val="001F60"/>
        </w:rPr>
        <w:t>sobre</w:t>
      </w:r>
      <w:r>
        <w:rPr>
          <w:rFonts w:ascii="Calibri" w:hAnsi="Calibri"/>
          <w:color w:val="001F60"/>
          <w:spacing w:val="-1"/>
        </w:rPr>
        <w:t xml:space="preserve"> </w:t>
      </w:r>
      <w:r>
        <w:rPr>
          <w:rFonts w:ascii="Calibri" w:hAnsi="Calibri"/>
          <w:color w:val="001F60"/>
        </w:rPr>
        <w:t>sua</w:t>
      </w:r>
      <w:r>
        <w:rPr>
          <w:rFonts w:ascii="Calibri" w:hAnsi="Calibri"/>
          <w:color w:val="001F60"/>
          <w:spacing w:val="-1"/>
        </w:rPr>
        <w:t xml:space="preserve"> </w:t>
      </w:r>
      <w:r>
        <w:rPr>
          <w:rFonts w:ascii="Calibri" w:hAnsi="Calibri"/>
          <w:color w:val="001F60"/>
        </w:rPr>
        <w:t>capacidade</w:t>
      </w:r>
      <w:r>
        <w:rPr>
          <w:rFonts w:ascii="Calibri" w:hAnsi="Calibri"/>
          <w:color w:val="001F60"/>
          <w:spacing w:val="-1"/>
        </w:rPr>
        <w:t xml:space="preserve"> </w:t>
      </w:r>
      <w:r>
        <w:rPr>
          <w:rFonts w:ascii="Calibri" w:hAnsi="Calibri"/>
          <w:color w:val="001F60"/>
        </w:rPr>
        <w:t>de pagamento de dívidas, manutenção de seus investimentos e possibilidade de cobertura de suas necessidades de capital de giro. Ambas as medidas desse agregado (EBITDA e EBITDA Ajustado) não devem ser consideradas como alternativas ao Lucro Operacional e ao Fluxo de Caixa Operacional, quando</w:t>
      </w:r>
      <w:r>
        <w:rPr>
          <w:rFonts w:ascii="Calibri" w:hAnsi="Calibri"/>
          <w:color w:val="001F60"/>
          <w:spacing w:val="-9"/>
        </w:rPr>
        <w:t xml:space="preserve"> </w:t>
      </w:r>
      <w:r>
        <w:rPr>
          <w:rFonts w:ascii="Calibri" w:hAnsi="Calibri"/>
          <w:color w:val="001F60"/>
        </w:rPr>
        <w:t>utilizados</w:t>
      </w:r>
      <w:r>
        <w:rPr>
          <w:rFonts w:ascii="Calibri" w:hAnsi="Calibri"/>
          <w:color w:val="001F60"/>
          <w:spacing w:val="-9"/>
        </w:rPr>
        <w:t xml:space="preserve"> </w:t>
      </w:r>
      <w:r>
        <w:rPr>
          <w:rFonts w:ascii="Calibri" w:hAnsi="Calibri"/>
          <w:color w:val="001F60"/>
        </w:rPr>
        <w:t>como</w:t>
      </w:r>
      <w:r>
        <w:rPr>
          <w:rFonts w:ascii="Calibri" w:hAnsi="Calibri"/>
          <w:color w:val="001F60"/>
          <w:spacing w:val="-11"/>
        </w:rPr>
        <w:t xml:space="preserve"> </w:t>
      </w:r>
      <w:r>
        <w:rPr>
          <w:rFonts w:ascii="Calibri" w:hAnsi="Calibri"/>
          <w:color w:val="001F60"/>
        </w:rPr>
        <w:t>indicadores</w:t>
      </w:r>
      <w:r>
        <w:rPr>
          <w:rFonts w:ascii="Calibri" w:hAnsi="Calibri"/>
          <w:color w:val="001F60"/>
          <w:spacing w:val="-13"/>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liquidez.</w:t>
      </w:r>
      <w:r>
        <w:rPr>
          <w:rFonts w:ascii="Calibri" w:hAnsi="Calibri"/>
          <w:color w:val="001F60"/>
          <w:spacing w:val="-9"/>
        </w:rPr>
        <w:t xml:space="preserve"> </w:t>
      </w:r>
      <w:r>
        <w:rPr>
          <w:rFonts w:ascii="Calibri" w:hAnsi="Calibri"/>
          <w:color w:val="001F60"/>
        </w:rPr>
        <w:t>Destaca-se</w:t>
      </w:r>
      <w:r>
        <w:rPr>
          <w:rFonts w:ascii="Calibri" w:hAnsi="Calibri"/>
          <w:color w:val="001F60"/>
          <w:spacing w:val="-9"/>
        </w:rPr>
        <w:t xml:space="preserve"> </w:t>
      </w:r>
      <w:r>
        <w:rPr>
          <w:rFonts w:ascii="Calibri" w:hAnsi="Calibri"/>
          <w:color w:val="001F60"/>
        </w:rPr>
        <w:t>ainda</w:t>
      </w:r>
      <w:r>
        <w:rPr>
          <w:rFonts w:ascii="Calibri" w:hAnsi="Calibri"/>
          <w:color w:val="001F60"/>
          <w:spacing w:val="-9"/>
        </w:rPr>
        <w:t xml:space="preserve"> </w:t>
      </w:r>
      <w:r>
        <w:rPr>
          <w:rFonts w:ascii="Calibri" w:hAnsi="Calibri"/>
          <w:color w:val="001F60"/>
        </w:rPr>
        <w:t>que</w:t>
      </w:r>
      <w:r>
        <w:rPr>
          <w:rFonts w:ascii="Calibri" w:hAnsi="Calibri"/>
          <w:color w:val="001F60"/>
          <w:spacing w:val="-11"/>
        </w:rPr>
        <w:t xml:space="preserve"> </w:t>
      </w:r>
      <w:r>
        <w:rPr>
          <w:rFonts w:ascii="Calibri" w:hAnsi="Calibri"/>
          <w:color w:val="001F60"/>
        </w:rPr>
        <w:t>o</w:t>
      </w:r>
      <w:r>
        <w:rPr>
          <w:rFonts w:ascii="Calibri" w:hAnsi="Calibri"/>
          <w:color w:val="001F60"/>
          <w:spacing w:val="-11"/>
        </w:rPr>
        <w:t xml:space="preserve"> </w:t>
      </w:r>
      <w:r>
        <w:rPr>
          <w:rFonts w:ascii="Calibri" w:hAnsi="Calibri"/>
          <w:color w:val="001F60"/>
        </w:rPr>
        <w:t>EBITDA</w:t>
      </w:r>
      <w:r>
        <w:rPr>
          <w:rFonts w:ascii="Calibri" w:hAnsi="Calibri"/>
          <w:color w:val="001F60"/>
          <w:spacing w:val="-11"/>
        </w:rPr>
        <w:t xml:space="preserve"> </w:t>
      </w:r>
      <w:r>
        <w:rPr>
          <w:rFonts w:ascii="Calibri" w:hAnsi="Calibri"/>
          <w:color w:val="001F60"/>
        </w:rPr>
        <w:t>Ajustado</w:t>
      </w:r>
      <w:r>
        <w:rPr>
          <w:rFonts w:ascii="Calibri" w:hAnsi="Calibri"/>
          <w:color w:val="001F60"/>
          <w:spacing w:val="-9"/>
        </w:rPr>
        <w:t xml:space="preserve"> </w:t>
      </w:r>
      <w:r>
        <w:rPr>
          <w:rFonts w:ascii="Calibri" w:hAnsi="Calibri"/>
          <w:color w:val="001F60"/>
        </w:rPr>
        <w:t>pode</w:t>
      </w:r>
      <w:r>
        <w:rPr>
          <w:rFonts w:ascii="Calibri" w:hAnsi="Calibri"/>
          <w:color w:val="001F60"/>
          <w:spacing w:val="-9"/>
        </w:rPr>
        <w:t xml:space="preserve"> </w:t>
      </w:r>
      <w:r>
        <w:rPr>
          <w:rFonts w:ascii="Calibri" w:hAnsi="Calibri"/>
          <w:color w:val="001F60"/>
        </w:rPr>
        <w:t>não</w:t>
      </w:r>
      <w:r>
        <w:rPr>
          <w:rFonts w:ascii="Calibri" w:hAnsi="Calibri"/>
          <w:color w:val="001F60"/>
          <w:spacing w:val="-9"/>
        </w:rPr>
        <w:t xml:space="preserve"> </w:t>
      </w:r>
      <w:r>
        <w:rPr>
          <w:rFonts w:ascii="Calibri" w:hAnsi="Calibri"/>
          <w:color w:val="001F60"/>
        </w:rPr>
        <w:t>ser comparável com o mesmo indicador divulgado por outras empresas.</w:t>
      </w:r>
    </w:p>
    <w:p w14:paraId="441B9770" w14:textId="77777777" w:rsidR="002C6574" w:rsidRDefault="00000000">
      <w:pPr>
        <w:pStyle w:val="Corpodetexto"/>
        <w:spacing w:before="120"/>
        <w:ind w:left="709" w:right="278"/>
        <w:jc w:val="both"/>
        <w:rPr>
          <w:rFonts w:ascii="Calibri" w:hAnsi="Calibri"/>
        </w:rPr>
      </w:pPr>
      <w:r>
        <w:rPr>
          <w:rFonts w:ascii="Calibri" w:hAnsi="Calibri"/>
          <w:color w:val="001F60"/>
        </w:rPr>
        <w:t>Em 2025, o EBITDA Ajustado totalizou R$ 373,2 milhões, ante R$ 95,1 milhões em 2024 e R$ 191,4 milhões em 2023, o que representa crescimento de 292,4% e 94,9%, respectivamente. Esse incremento decorre, essencialmente, de três fatores:</w:t>
      </w:r>
    </w:p>
    <w:p w14:paraId="718D7847" w14:textId="77777777" w:rsidR="002C6574" w:rsidRDefault="00000000">
      <w:pPr>
        <w:pStyle w:val="Corpodetexto"/>
        <w:spacing w:before="121"/>
        <w:ind w:left="709" w:right="278"/>
        <w:jc w:val="both"/>
        <w:rPr>
          <w:rFonts w:ascii="Calibri" w:hAnsi="Calibri"/>
        </w:rPr>
      </w:pPr>
      <w:r>
        <w:rPr>
          <w:rFonts w:ascii="Calibri" w:hAnsi="Calibri"/>
          <w:color w:val="001F60"/>
        </w:rPr>
        <w:t>i) expansão da Receita Operacional Líquida; ii) aumento das Subvenções Orçamentárias Recebidas, destinadas ao pagamento de pessoal, outros</w:t>
      </w:r>
      <w:r>
        <w:rPr>
          <w:rFonts w:ascii="Calibri" w:hAnsi="Calibri"/>
          <w:color w:val="001F60"/>
          <w:spacing w:val="-2"/>
        </w:rPr>
        <w:t xml:space="preserve"> </w:t>
      </w:r>
      <w:r>
        <w:rPr>
          <w:rFonts w:ascii="Calibri" w:hAnsi="Calibri"/>
          <w:color w:val="001F60"/>
        </w:rPr>
        <w:t>custeios e obrigações vinculadas ao contrato de gestão; e iii) crescimento dos custos e despesas operacionais em ritmo inferior ao das receitas.</w:t>
      </w:r>
    </w:p>
    <w:p w14:paraId="5B4C3EC4" w14:textId="77777777" w:rsidR="002C6574" w:rsidRDefault="00000000">
      <w:pPr>
        <w:pStyle w:val="Corpodetexto"/>
        <w:spacing w:before="118"/>
        <w:ind w:left="709" w:right="281"/>
        <w:jc w:val="both"/>
        <w:rPr>
          <w:rFonts w:ascii="Calibri" w:hAnsi="Calibri"/>
        </w:rPr>
      </w:pPr>
      <w:r>
        <w:rPr>
          <w:rFonts w:ascii="Calibri" w:hAnsi="Calibri"/>
          <w:color w:val="001F60"/>
        </w:rPr>
        <w:t>A Margem EBITDA Ajustada atingiu 76,0% em 2025, comparada aos 23,0% registrados em 2024 e 45,9% em 2023, refletindo avanço de 231,1% em relação a 2024 e 65,5% quando comparada a 2023.</w:t>
      </w:r>
    </w:p>
    <w:p w14:paraId="1710D287" w14:textId="77777777" w:rsidR="002C6574" w:rsidRDefault="00000000">
      <w:pPr>
        <w:pStyle w:val="Corpodetexto"/>
        <w:spacing w:before="120"/>
        <w:ind w:left="709" w:right="276"/>
        <w:jc w:val="both"/>
        <w:rPr>
          <w:rFonts w:ascii="Calibri" w:hAnsi="Calibri"/>
        </w:rPr>
      </w:pPr>
      <w:r>
        <w:rPr>
          <w:rFonts w:ascii="Calibri" w:hAnsi="Calibri"/>
          <w:color w:val="001F60"/>
        </w:rPr>
        <w:t>Quando desconsideradas as Subvenções Orçamentárias — que somaram R$ 406,9 milhões em 2025, frente a R$ 158,4 milhões em 2024 e R$ 240,2 milhões em 2023 — o EBITDA Ajustado seria negativo em R$ 33,7 milhões em 2025, ante R$ 63,3 milhões negativos em 2024 e R$ 48,8 milhões negativos em</w:t>
      </w:r>
      <w:r>
        <w:rPr>
          <w:rFonts w:ascii="Calibri" w:hAnsi="Calibri"/>
          <w:color w:val="001F60"/>
          <w:spacing w:val="-13"/>
        </w:rPr>
        <w:t xml:space="preserve"> </w:t>
      </w:r>
      <w:r>
        <w:rPr>
          <w:rFonts w:ascii="Calibri" w:hAnsi="Calibri"/>
          <w:color w:val="001F60"/>
        </w:rPr>
        <w:t>2023,</w:t>
      </w:r>
      <w:r>
        <w:rPr>
          <w:rFonts w:ascii="Calibri" w:hAnsi="Calibri"/>
          <w:color w:val="001F60"/>
          <w:spacing w:val="-12"/>
        </w:rPr>
        <w:t xml:space="preserve"> </w:t>
      </w:r>
      <w:r>
        <w:rPr>
          <w:rFonts w:ascii="Calibri" w:hAnsi="Calibri"/>
          <w:color w:val="001F60"/>
        </w:rPr>
        <w:t>evidenciando</w:t>
      </w:r>
      <w:r>
        <w:rPr>
          <w:rFonts w:ascii="Calibri" w:hAnsi="Calibri"/>
          <w:color w:val="001F60"/>
          <w:spacing w:val="-13"/>
        </w:rPr>
        <w:t xml:space="preserve"> </w:t>
      </w:r>
      <w:r>
        <w:rPr>
          <w:rFonts w:ascii="Calibri" w:hAnsi="Calibri"/>
          <w:color w:val="001F60"/>
        </w:rPr>
        <w:t>melhora</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46,7%</w:t>
      </w:r>
      <w:r>
        <w:rPr>
          <w:rFonts w:ascii="Calibri" w:hAnsi="Calibri"/>
          <w:color w:val="001F60"/>
          <w:spacing w:val="-12"/>
        </w:rPr>
        <w:t xml:space="preserve"> </w:t>
      </w:r>
      <w:r>
        <w:rPr>
          <w:rFonts w:ascii="Calibri" w:hAnsi="Calibri"/>
          <w:color w:val="001F60"/>
        </w:rPr>
        <w:t>em</w:t>
      </w:r>
      <w:r>
        <w:rPr>
          <w:rFonts w:ascii="Calibri" w:hAnsi="Calibri"/>
          <w:color w:val="001F60"/>
          <w:spacing w:val="-13"/>
        </w:rPr>
        <w:t xml:space="preserve"> </w:t>
      </w:r>
      <w:r>
        <w:rPr>
          <w:rFonts w:ascii="Calibri" w:hAnsi="Calibri"/>
          <w:color w:val="001F60"/>
        </w:rPr>
        <w:t>comparação</w:t>
      </w:r>
      <w:r>
        <w:rPr>
          <w:rFonts w:ascii="Calibri" w:hAnsi="Calibri"/>
          <w:color w:val="001F60"/>
          <w:spacing w:val="-12"/>
        </w:rPr>
        <w:t xml:space="preserve"> </w:t>
      </w:r>
      <w:r>
        <w:rPr>
          <w:rFonts w:ascii="Calibri" w:hAnsi="Calibri"/>
          <w:color w:val="001F60"/>
        </w:rPr>
        <w:t>a</w:t>
      </w:r>
      <w:r>
        <w:rPr>
          <w:rFonts w:ascii="Calibri" w:hAnsi="Calibri"/>
          <w:color w:val="001F60"/>
          <w:spacing w:val="-12"/>
        </w:rPr>
        <w:t xml:space="preserve"> </w:t>
      </w:r>
      <w:r>
        <w:rPr>
          <w:rFonts w:ascii="Calibri" w:hAnsi="Calibri"/>
          <w:color w:val="001F60"/>
        </w:rPr>
        <w:t>2024</w:t>
      </w:r>
      <w:r>
        <w:rPr>
          <w:rFonts w:ascii="Calibri" w:hAnsi="Calibri"/>
          <w:color w:val="001F60"/>
          <w:spacing w:val="-13"/>
        </w:rPr>
        <w:t xml:space="preserve"> </w:t>
      </w:r>
      <w:r>
        <w:rPr>
          <w:rFonts w:ascii="Calibri" w:hAnsi="Calibri"/>
          <w:color w:val="001F60"/>
        </w:rPr>
        <w:t>e</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30,9%</w:t>
      </w:r>
      <w:r>
        <w:rPr>
          <w:rFonts w:ascii="Calibri" w:hAnsi="Calibri"/>
          <w:color w:val="001F60"/>
          <w:spacing w:val="-12"/>
        </w:rPr>
        <w:t xml:space="preserve"> </w:t>
      </w:r>
      <w:r>
        <w:rPr>
          <w:rFonts w:ascii="Calibri" w:hAnsi="Calibri"/>
          <w:color w:val="001F60"/>
        </w:rPr>
        <w:t>em</w:t>
      </w:r>
      <w:r>
        <w:rPr>
          <w:rFonts w:ascii="Calibri" w:hAnsi="Calibri"/>
          <w:color w:val="001F60"/>
          <w:spacing w:val="-12"/>
        </w:rPr>
        <w:t xml:space="preserve"> </w:t>
      </w:r>
      <w:r>
        <w:rPr>
          <w:rFonts w:ascii="Calibri" w:hAnsi="Calibri"/>
          <w:color w:val="001F60"/>
        </w:rPr>
        <w:t>relação</w:t>
      </w:r>
      <w:r>
        <w:rPr>
          <w:rFonts w:ascii="Calibri" w:hAnsi="Calibri"/>
          <w:color w:val="001F60"/>
          <w:spacing w:val="-13"/>
        </w:rPr>
        <w:t xml:space="preserve"> </w:t>
      </w:r>
      <w:r>
        <w:rPr>
          <w:rFonts w:ascii="Calibri" w:hAnsi="Calibri"/>
          <w:color w:val="001F60"/>
        </w:rPr>
        <w:t>a</w:t>
      </w:r>
      <w:r>
        <w:rPr>
          <w:rFonts w:ascii="Calibri" w:hAnsi="Calibri"/>
          <w:color w:val="001F60"/>
          <w:spacing w:val="-11"/>
        </w:rPr>
        <w:t xml:space="preserve"> </w:t>
      </w:r>
      <w:r>
        <w:rPr>
          <w:rFonts w:ascii="Calibri" w:hAnsi="Calibri"/>
          <w:color w:val="001F60"/>
        </w:rPr>
        <w:t>2023.</w:t>
      </w:r>
      <w:r>
        <w:rPr>
          <w:rFonts w:ascii="Calibri" w:hAnsi="Calibri"/>
          <w:color w:val="001F60"/>
          <w:spacing w:val="-10"/>
        </w:rPr>
        <w:t xml:space="preserve"> </w:t>
      </w:r>
      <w:r>
        <w:rPr>
          <w:rFonts w:ascii="Calibri" w:hAnsi="Calibri"/>
          <w:color w:val="001F60"/>
        </w:rPr>
        <w:t>Nesse cenário, a Margem EBITDA</w:t>
      </w:r>
      <w:r>
        <w:rPr>
          <w:rFonts w:ascii="Calibri" w:hAnsi="Calibri"/>
          <w:color w:val="001F60"/>
          <w:spacing w:val="-1"/>
        </w:rPr>
        <w:t xml:space="preserve"> </w:t>
      </w:r>
      <w:r>
        <w:rPr>
          <w:rFonts w:ascii="Calibri" w:hAnsi="Calibri"/>
          <w:color w:val="001F60"/>
        </w:rPr>
        <w:t>Ajustada corresponderia a –6,9% em 2025, comparada a –15,3% em 2024 e –11,7% em 2023.</w:t>
      </w:r>
    </w:p>
    <w:p w14:paraId="7B69390A" w14:textId="77777777" w:rsidR="002C6574" w:rsidRDefault="002C6574">
      <w:pPr>
        <w:pStyle w:val="Corpodetexto"/>
        <w:rPr>
          <w:rFonts w:ascii="Calibri"/>
        </w:rPr>
      </w:pPr>
    </w:p>
    <w:p w14:paraId="0EBE3716" w14:textId="77777777" w:rsidR="002C6574" w:rsidRDefault="002C6574">
      <w:pPr>
        <w:pStyle w:val="Corpodetexto"/>
        <w:spacing w:before="91"/>
        <w:rPr>
          <w:rFonts w:ascii="Calibri"/>
        </w:rPr>
      </w:pPr>
    </w:p>
    <w:p w14:paraId="3254039C" w14:textId="77777777" w:rsidR="002C6574" w:rsidRDefault="00000000">
      <w:pPr>
        <w:numPr>
          <w:ilvl w:val="1"/>
          <w:numId w:val="74"/>
        </w:numPr>
        <w:tabs>
          <w:tab w:val="left" w:pos="1274"/>
        </w:tabs>
        <w:ind w:left="1274" w:hanging="507"/>
        <w:jc w:val="both"/>
        <w:rPr>
          <w:rFonts w:ascii="Calibri" w:hAnsi="Calibri"/>
          <w:b/>
        </w:rPr>
      </w:pPr>
      <w:r>
        <w:rPr>
          <w:rFonts w:ascii="Calibri" w:hAnsi="Calibri"/>
          <w:b/>
          <w:color w:val="001F60"/>
        </w:rPr>
        <w:t>Execução</w:t>
      </w:r>
      <w:r>
        <w:rPr>
          <w:rFonts w:ascii="Calibri" w:hAnsi="Calibri"/>
          <w:b/>
          <w:color w:val="001F60"/>
          <w:spacing w:val="-4"/>
        </w:rPr>
        <w:t xml:space="preserve"> </w:t>
      </w:r>
      <w:r>
        <w:rPr>
          <w:rFonts w:ascii="Calibri" w:hAnsi="Calibri"/>
          <w:b/>
          <w:color w:val="001F60"/>
          <w:spacing w:val="-2"/>
        </w:rPr>
        <w:t>Orçamentária</w:t>
      </w:r>
    </w:p>
    <w:p w14:paraId="5C1B4F7D" w14:textId="77777777" w:rsidR="002C6574" w:rsidRDefault="002C6574">
      <w:pPr>
        <w:pStyle w:val="Corpodetexto"/>
        <w:spacing w:before="132"/>
        <w:rPr>
          <w:rFonts w:ascii="Calibri"/>
          <w:b/>
        </w:rPr>
      </w:pPr>
    </w:p>
    <w:p w14:paraId="1EC543C1" w14:textId="77777777" w:rsidR="002C6574" w:rsidRDefault="00000000">
      <w:pPr>
        <w:pStyle w:val="Corpodetexto"/>
        <w:spacing w:before="1"/>
        <w:ind w:left="709" w:right="276"/>
        <w:jc w:val="both"/>
        <w:rPr>
          <w:rFonts w:ascii="Calibri" w:hAnsi="Calibri"/>
        </w:rPr>
      </w:pPr>
      <w:r>
        <w:rPr>
          <w:rFonts w:ascii="Calibri" w:hAnsi="Calibri"/>
          <w:color w:val="001F60"/>
        </w:rPr>
        <w:t>No</w:t>
      </w:r>
      <w:r>
        <w:rPr>
          <w:rFonts w:ascii="Calibri" w:hAnsi="Calibri"/>
          <w:color w:val="001F60"/>
          <w:spacing w:val="-6"/>
        </w:rPr>
        <w:t xml:space="preserve"> </w:t>
      </w:r>
      <w:r>
        <w:rPr>
          <w:rFonts w:ascii="Calibri" w:hAnsi="Calibri"/>
          <w:color w:val="001F60"/>
        </w:rPr>
        <w:t>exercício</w:t>
      </w:r>
      <w:r>
        <w:rPr>
          <w:rFonts w:ascii="Calibri" w:hAnsi="Calibri"/>
          <w:color w:val="001F60"/>
          <w:spacing w:val="-5"/>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2025,</w:t>
      </w:r>
      <w:r>
        <w:rPr>
          <w:rFonts w:ascii="Calibri" w:hAnsi="Calibri"/>
          <w:color w:val="001F60"/>
          <w:spacing w:val="-8"/>
        </w:rPr>
        <w:t xml:space="preserve"> </w:t>
      </w:r>
      <w:r>
        <w:rPr>
          <w:rFonts w:ascii="Calibri" w:hAnsi="Calibri"/>
          <w:color w:val="001F60"/>
        </w:rPr>
        <w:t>o</w:t>
      </w:r>
      <w:r>
        <w:rPr>
          <w:rFonts w:ascii="Calibri" w:hAnsi="Calibri"/>
          <w:color w:val="001F60"/>
          <w:spacing w:val="-5"/>
        </w:rPr>
        <w:t xml:space="preserve"> </w:t>
      </w:r>
      <w:r>
        <w:rPr>
          <w:rFonts w:ascii="Calibri" w:hAnsi="Calibri"/>
          <w:color w:val="001F60"/>
        </w:rPr>
        <w:t>orçamento</w:t>
      </w:r>
      <w:r>
        <w:rPr>
          <w:rFonts w:ascii="Calibri" w:hAnsi="Calibri"/>
          <w:color w:val="001F60"/>
          <w:spacing w:val="-7"/>
        </w:rPr>
        <w:t xml:space="preserve"> </w:t>
      </w:r>
      <w:r>
        <w:rPr>
          <w:rFonts w:ascii="Calibri" w:hAnsi="Calibri"/>
          <w:color w:val="001F60"/>
        </w:rPr>
        <w:t>da</w:t>
      </w:r>
      <w:r>
        <w:rPr>
          <w:rFonts w:ascii="Calibri" w:hAnsi="Calibri"/>
          <w:color w:val="001F60"/>
          <w:spacing w:val="-6"/>
        </w:rPr>
        <w:t xml:space="preserve"> </w:t>
      </w:r>
      <w:r>
        <w:rPr>
          <w:rFonts w:ascii="Calibri" w:hAnsi="Calibri"/>
          <w:color w:val="001F60"/>
        </w:rPr>
        <w:t>Telebras</w:t>
      </w:r>
      <w:r>
        <w:rPr>
          <w:rFonts w:ascii="Calibri" w:hAnsi="Calibri"/>
          <w:color w:val="001F60"/>
          <w:spacing w:val="-6"/>
        </w:rPr>
        <w:t xml:space="preserve"> </w:t>
      </w:r>
      <w:r>
        <w:rPr>
          <w:rFonts w:ascii="Calibri" w:hAnsi="Calibri"/>
          <w:color w:val="001F60"/>
        </w:rPr>
        <w:t>foi</w:t>
      </w:r>
      <w:r>
        <w:rPr>
          <w:rFonts w:ascii="Calibri" w:hAnsi="Calibri"/>
          <w:color w:val="001F60"/>
          <w:spacing w:val="-6"/>
        </w:rPr>
        <w:t xml:space="preserve"> </w:t>
      </w:r>
      <w:r>
        <w:rPr>
          <w:rFonts w:ascii="Calibri" w:hAnsi="Calibri"/>
          <w:color w:val="001F60"/>
        </w:rPr>
        <w:t>aprovado</w:t>
      </w:r>
      <w:r>
        <w:rPr>
          <w:rFonts w:ascii="Calibri" w:hAnsi="Calibri"/>
          <w:color w:val="001F60"/>
          <w:spacing w:val="-5"/>
        </w:rPr>
        <w:t xml:space="preserve"> </w:t>
      </w:r>
      <w:r>
        <w:rPr>
          <w:rFonts w:ascii="Calibri" w:hAnsi="Calibri"/>
          <w:color w:val="001F60"/>
        </w:rPr>
        <w:t>pela</w:t>
      </w:r>
      <w:r>
        <w:rPr>
          <w:rFonts w:ascii="Calibri" w:hAnsi="Calibri"/>
          <w:color w:val="001F60"/>
          <w:spacing w:val="-8"/>
        </w:rPr>
        <w:t xml:space="preserve"> </w:t>
      </w:r>
      <w:r>
        <w:rPr>
          <w:rFonts w:ascii="Calibri" w:hAnsi="Calibri"/>
          <w:color w:val="001F60"/>
        </w:rPr>
        <w:t>Lei</w:t>
      </w:r>
      <w:r>
        <w:rPr>
          <w:rFonts w:ascii="Calibri" w:hAnsi="Calibri"/>
          <w:color w:val="001F60"/>
          <w:spacing w:val="-6"/>
        </w:rPr>
        <w:t xml:space="preserve"> </w:t>
      </w:r>
      <w:r>
        <w:rPr>
          <w:rFonts w:ascii="Calibri" w:hAnsi="Calibri"/>
          <w:color w:val="001F60"/>
        </w:rPr>
        <w:t>nº</w:t>
      </w:r>
      <w:r>
        <w:rPr>
          <w:rFonts w:ascii="Calibri" w:hAnsi="Calibri"/>
          <w:color w:val="001F60"/>
          <w:spacing w:val="-6"/>
        </w:rPr>
        <w:t xml:space="preserve"> </w:t>
      </w:r>
      <w:r>
        <w:rPr>
          <w:rFonts w:ascii="Calibri" w:hAnsi="Calibri"/>
          <w:color w:val="001F60"/>
        </w:rPr>
        <w:t>15.121,</w:t>
      </w:r>
      <w:r>
        <w:rPr>
          <w:rFonts w:ascii="Calibri" w:hAnsi="Calibri"/>
          <w:color w:val="001F60"/>
          <w:spacing w:val="-4"/>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10</w:t>
      </w:r>
      <w:r>
        <w:rPr>
          <w:rFonts w:ascii="Calibri" w:hAnsi="Calibri"/>
          <w:color w:val="001F60"/>
          <w:spacing w:val="-5"/>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abril</w:t>
      </w:r>
      <w:r>
        <w:rPr>
          <w:rFonts w:ascii="Calibri" w:hAnsi="Calibri"/>
          <w:color w:val="001F60"/>
          <w:spacing w:val="-4"/>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2025 (LOA</w:t>
      </w:r>
      <w:r>
        <w:rPr>
          <w:rFonts w:ascii="Calibri" w:hAnsi="Calibri"/>
          <w:color w:val="001F60"/>
          <w:spacing w:val="-1"/>
        </w:rPr>
        <w:t xml:space="preserve"> </w:t>
      </w:r>
      <w:r>
        <w:rPr>
          <w:rFonts w:ascii="Calibri" w:hAnsi="Calibri"/>
          <w:color w:val="001F60"/>
        </w:rPr>
        <w:t>2025).</w:t>
      </w:r>
      <w:r>
        <w:rPr>
          <w:rFonts w:ascii="Calibri" w:hAnsi="Calibri"/>
          <w:color w:val="001F60"/>
          <w:spacing w:val="-2"/>
        </w:rPr>
        <w:t xml:space="preserve"> </w:t>
      </w:r>
      <w:r>
        <w:rPr>
          <w:rFonts w:ascii="Calibri" w:hAnsi="Calibri"/>
          <w:color w:val="001F60"/>
        </w:rPr>
        <w:t>Em setembro de 2025, a Companhia firmou Contrato de Gestão com o MCom, conforme previsto</w:t>
      </w:r>
      <w:r>
        <w:rPr>
          <w:rFonts w:ascii="Calibri" w:hAnsi="Calibri"/>
          <w:color w:val="001F60"/>
          <w:spacing w:val="-6"/>
        </w:rPr>
        <w:t xml:space="preserve"> </w:t>
      </w:r>
      <w:r>
        <w:rPr>
          <w:rFonts w:ascii="Calibri" w:hAnsi="Calibri"/>
          <w:color w:val="001F60"/>
        </w:rPr>
        <w:t>na</w:t>
      </w:r>
      <w:r>
        <w:rPr>
          <w:rFonts w:ascii="Calibri" w:hAnsi="Calibri"/>
          <w:color w:val="001F60"/>
          <w:spacing w:val="-10"/>
        </w:rPr>
        <w:t xml:space="preserve"> </w:t>
      </w:r>
      <w:r>
        <w:rPr>
          <w:rFonts w:ascii="Calibri" w:hAnsi="Calibri"/>
          <w:color w:val="001F60"/>
        </w:rPr>
        <w:t>Lei</w:t>
      </w:r>
      <w:r>
        <w:rPr>
          <w:rFonts w:ascii="Calibri" w:hAnsi="Calibri"/>
          <w:color w:val="001F60"/>
          <w:spacing w:val="-10"/>
        </w:rPr>
        <w:t xml:space="preserve"> </w:t>
      </w:r>
      <w:r>
        <w:rPr>
          <w:rFonts w:ascii="Calibri" w:hAnsi="Calibri"/>
          <w:color w:val="001F60"/>
        </w:rPr>
        <w:t>nº</w:t>
      </w:r>
      <w:r>
        <w:rPr>
          <w:rFonts w:ascii="Calibri" w:hAnsi="Calibri"/>
          <w:color w:val="001F60"/>
          <w:spacing w:val="-8"/>
        </w:rPr>
        <w:t xml:space="preserve"> </w:t>
      </w:r>
      <w:r>
        <w:rPr>
          <w:rFonts w:ascii="Calibri" w:hAnsi="Calibri"/>
          <w:color w:val="001F60"/>
        </w:rPr>
        <w:t>15.080,</w:t>
      </w:r>
      <w:r>
        <w:rPr>
          <w:rFonts w:ascii="Calibri" w:hAnsi="Calibri"/>
          <w:color w:val="001F60"/>
          <w:spacing w:val="-8"/>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30</w:t>
      </w:r>
      <w:r>
        <w:rPr>
          <w:rFonts w:ascii="Calibri" w:hAnsi="Calibri"/>
          <w:color w:val="001F60"/>
          <w:spacing w:val="-7"/>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dezembro</w:t>
      </w:r>
      <w:r>
        <w:rPr>
          <w:rFonts w:ascii="Calibri" w:hAnsi="Calibri"/>
          <w:color w:val="001F60"/>
          <w:spacing w:val="-6"/>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2024</w:t>
      </w:r>
      <w:r>
        <w:rPr>
          <w:rFonts w:ascii="Calibri" w:hAnsi="Calibri"/>
          <w:color w:val="001F60"/>
          <w:spacing w:val="-12"/>
        </w:rPr>
        <w:t xml:space="preserve"> </w:t>
      </w:r>
      <w:r>
        <w:rPr>
          <w:rFonts w:ascii="Calibri" w:hAnsi="Calibri"/>
          <w:color w:val="001F60"/>
        </w:rPr>
        <w:t>(LDO</w:t>
      </w:r>
      <w:r>
        <w:rPr>
          <w:rFonts w:ascii="Calibri" w:hAnsi="Calibri"/>
          <w:color w:val="001F60"/>
          <w:spacing w:val="-9"/>
        </w:rPr>
        <w:t xml:space="preserve"> </w:t>
      </w:r>
      <w:r>
        <w:rPr>
          <w:rFonts w:ascii="Calibri" w:hAnsi="Calibri"/>
          <w:color w:val="001F60"/>
        </w:rPr>
        <w:t>2025),</w:t>
      </w:r>
      <w:r>
        <w:rPr>
          <w:rFonts w:ascii="Calibri" w:hAnsi="Calibri"/>
          <w:color w:val="001F60"/>
          <w:spacing w:val="-10"/>
        </w:rPr>
        <w:t xml:space="preserve"> </w:t>
      </w:r>
      <w:r>
        <w:rPr>
          <w:rFonts w:ascii="Calibri" w:hAnsi="Calibri"/>
          <w:color w:val="001F60"/>
        </w:rPr>
        <w:t>viabilizando</w:t>
      </w:r>
      <w:r>
        <w:rPr>
          <w:rFonts w:ascii="Calibri" w:hAnsi="Calibri"/>
          <w:color w:val="001F60"/>
          <w:spacing w:val="-7"/>
        </w:rPr>
        <w:t xml:space="preserve"> </w:t>
      </w:r>
      <w:r>
        <w:rPr>
          <w:rFonts w:ascii="Calibri" w:hAnsi="Calibri"/>
          <w:color w:val="001F60"/>
        </w:rPr>
        <w:t>a</w:t>
      </w:r>
      <w:r>
        <w:rPr>
          <w:rFonts w:ascii="Calibri" w:hAnsi="Calibri"/>
          <w:color w:val="001F60"/>
          <w:spacing w:val="-12"/>
        </w:rPr>
        <w:t xml:space="preserve"> </w:t>
      </w:r>
      <w:r>
        <w:rPr>
          <w:rFonts w:ascii="Calibri" w:hAnsi="Calibri"/>
          <w:color w:val="001F60"/>
        </w:rPr>
        <w:t>migração</w:t>
      </w:r>
      <w:r>
        <w:rPr>
          <w:rFonts w:ascii="Calibri" w:hAnsi="Calibri"/>
          <w:color w:val="001F60"/>
          <w:spacing w:val="-6"/>
        </w:rPr>
        <w:t xml:space="preserve"> </w:t>
      </w:r>
      <w:r>
        <w:rPr>
          <w:rFonts w:ascii="Calibri" w:hAnsi="Calibri"/>
          <w:color w:val="001F60"/>
        </w:rPr>
        <w:t>da</w:t>
      </w:r>
      <w:r>
        <w:rPr>
          <w:rFonts w:ascii="Calibri" w:hAnsi="Calibri"/>
          <w:color w:val="001F60"/>
          <w:spacing w:val="-8"/>
        </w:rPr>
        <w:t xml:space="preserve"> </w:t>
      </w:r>
      <w:r>
        <w:rPr>
          <w:rFonts w:ascii="Calibri" w:hAnsi="Calibri"/>
          <w:color w:val="001F60"/>
        </w:rPr>
        <w:t>empresa do Orçamento Fiscal e da Seguridade Social (OFSS) para o Programa de Dispêndios Globais (PDG) e para o</w:t>
      </w:r>
      <w:r>
        <w:rPr>
          <w:rFonts w:ascii="Calibri" w:hAnsi="Calibri"/>
          <w:color w:val="001F60"/>
          <w:spacing w:val="-2"/>
        </w:rPr>
        <w:t xml:space="preserve"> </w:t>
      </w:r>
      <w:r>
        <w:rPr>
          <w:rFonts w:ascii="Calibri" w:hAnsi="Calibri"/>
          <w:color w:val="001F60"/>
        </w:rPr>
        <w:t>Orçamento</w:t>
      </w:r>
      <w:r>
        <w:rPr>
          <w:rFonts w:ascii="Calibri" w:hAnsi="Calibri"/>
          <w:color w:val="001F60"/>
          <w:spacing w:val="-1"/>
        </w:rPr>
        <w:t xml:space="preserve"> </w:t>
      </w:r>
      <w:r>
        <w:rPr>
          <w:rFonts w:ascii="Calibri" w:hAnsi="Calibri"/>
          <w:color w:val="001F60"/>
        </w:rPr>
        <w:t>de Investimento</w:t>
      </w:r>
      <w:r>
        <w:rPr>
          <w:rFonts w:ascii="Calibri" w:hAnsi="Calibri"/>
          <w:color w:val="001F60"/>
          <w:spacing w:val="-1"/>
        </w:rPr>
        <w:t xml:space="preserve"> </w:t>
      </w:r>
      <w:r>
        <w:rPr>
          <w:rFonts w:ascii="Calibri" w:hAnsi="Calibri"/>
          <w:color w:val="001F60"/>
        </w:rPr>
        <w:t>(OI).</w:t>
      </w:r>
      <w:r>
        <w:rPr>
          <w:rFonts w:ascii="Calibri" w:hAnsi="Calibri"/>
          <w:color w:val="001F60"/>
          <w:spacing w:val="-2"/>
        </w:rPr>
        <w:t xml:space="preserve"> </w:t>
      </w:r>
      <w:r>
        <w:rPr>
          <w:rFonts w:ascii="Calibri" w:hAnsi="Calibri"/>
          <w:color w:val="001F60"/>
        </w:rPr>
        <w:t>Em</w:t>
      </w:r>
      <w:r>
        <w:rPr>
          <w:rFonts w:ascii="Calibri" w:hAnsi="Calibri"/>
          <w:color w:val="001F60"/>
          <w:spacing w:val="-1"/>
        </w:rPr>
        <w:t xml:space="preserve"> </w:t>
      </w:r>
      <w:r>
        <w:rPr>
          <w:rFonts w:ascii="Calibri" w:hAnsi="Calibri"/>
          <w:color w:val="001F60"/>
        </w:rPr>
        <w:t>decorrência dessa</w:t>
      </w:r>
      <w:r>
        <w:rPr>
          <w:rFonts w:ascii="Calibri" w:hAnsi="Calibri"/>
          <w:color w:val="001F60"/>
          <w:spacing w:val="-1"/>
        </w:rPr>
        <w:t xml:space="preserve"> </w:t>
      </w:r>
      <w:r>
        <w:rPr>
          <w:rFonts w:ascii="Calibri" w:hAnsi="Calibri"/>
          <w:color w:val="001F60"/>
        </w:rPr>
        <w:t>alteração,</w:t>
      </w:r>
      <w:r>
        <w:rPr>
          <w:rFonts w:ascii="Calibri" w:hAnsi="Calibri"/>
          <w:color w:val="001F60"/>
          <w:spacing w:val="-1"/>
        </w:rPr>
        <w:t xml:space="preserve"> </w:t>
      </w:r>
      <w:r>
        <w:rPr>
          <w:rFonts w:ascii="Calibri" w:hAnsi="Calibri"/>
          <w:color w:val="001F60"/>
        </w:rPr>
        <w:t>a</w:t>
      </w:r>
      <w:r>
        <w:rPr>
          <w:rFonts w:ascii="Calibri" w:hAnsi="Calibri"/>
          <w:color w:val="001F60"/>
          <w:spacing w:val="-2"/>
        </w:rPr>
        <w:t xml:space="preserve"> </w:t>
      </w:r>
      <w:r>
        <w:rPr>
          <w:rFonts w:ascii="Calibri" w:hAnsi="Calibri"/>
          <w:color w:val="001F60"/>
        </w:rPr>
        <w:t>Portaria GM/MPO</w:t>
      </w:r>
      <w:r>
        <w:rPr>
          <w:rFonts w:ascii="Calibri" w:hAnsi="Calibri"/>
          <w:color w:val="001F60"/>
          <w:spacing w:val="-2"/>
        </w:rPr>
        <w:t xml:space="preserve"> </w:t>
      </w:r>
      <w:r>
        <w:rPr>
          <w:rFonts w:ascii="Calibri" w:hAnsi="Calibri"/>
          <w:color w:val="001F60"/>
        </w:rPr>
        <w:t>nº</w:t>
      </w:r>
      <w:r>
        <w:rPr>
          <w:rFonts w:ascii="Calibri" w:hAnsi="Calibri"/>
          <w:color w:val="001F60"/>
          <w:spacing w:val="-1"/>
        </w:rPr>
        <w:t xml:space="preserve"> </w:t>
      </w:r>
      <w:r>
        <w:rPr>
          <w:rFonts w:ascii="Calibri" w:hAnsi="Calibri"/>
          <w:color w:val="001F60"/>
        </w:rPr>
        <w:t>339, de 23 de setembro de 2025, cancelou os saldos e as dotações orçamentárias da empresa no âmbito do</w:t>
      </w:r>
      <w:r>
        <w:rPr>
          <w:rFonts w:ascii="Calibri" w:hAnsi="Calibri"/>
          <w:color w:val="001F60"/>
          <w:spacing w:val="-7"/>
        </w:rPr>
        <w:t xml:space="preserve"> </w:t>
      </w:r>
      <w:r>
        <w:rPr>
          <w:rFonts w:ascii="Calibri" w:hAnsi="Calibri"/>
          <w:color w:val="001F60"/>
        </w:rPr>
        <w:t>OFSS,</w:t>
      </w:r>
      <w:r>
        <w:rPr>
          <w:rFonts w:ascii="Calibri" w:hAnsi="Calibri"/>
          <w:color w:val="001F60"/>
          <w:spacing w:val="-11"/>
        </w:rPr>
        <w:t xml:space="preserve"> </w:t>
      </w:r>
      <w:r>
        <w:rPr>
          <w:rFonts w:ascii="Calibri" w:hAnsi="Calibri"/>
          <w:color w:val="001F60"/>
        </w:rPr>
        <w:t>enquanto</w:t>
      </w:r>
      <w:r>
        <w:rPr>
          <w:rFonts w:ascii="Calibri" w:hAnsi="Calibri"/>
          <w:color w:val="001F60"/>
          <w:spacing w:val="-9"/>
        </w:rPr>
        <w:t xml:space="preserve"> </w:t>
      </w:r>
      <w:r>
        <w:rPr>
          <w:rFonts w:ascii="Calibri" w:hAnsi="Calibri"/>
          <w:color w:val="001F60"/>
        </w:rPr>
        <w:t>a</w:t>
      </w:r>
      <w:r>
        <w:rPr>
          <w:rFonts w:ascii="Calibri" w:hAnsi="Calibri"/>
          <w:color w:val="001F60"/>
          <w:spacing w:val="-11"/>
        </w:rPr>
        <w:t xml:space="preserve"> </w:t>
      </w:r>
      <w:r>
        <w:rPr>
          <w:rFonts w:ascii="Calibri" w:hAnsi="Calibri"/>
          <w:color w:val="001F60"/>
        </w:rPr>
        <w:t>Portaria</w:t>
      </w:r>
      <w:r>
        <w:rPr>
          <w:rFonts w:ascii="Calibri" w:hAnsi="Calibri"/>
          <w:color w:val="001F60"/>
          <w:spacing w:val="-7"/>
        </w:rPr>
        <w:t xml:space="preserve"> </w:t>
      </w:r>
      <w:r>
        <w:rPr>
          <w:rFonts w:ascii="Calibri" w:hAnsi="Calibri"/>
          <w:color w:val="001F60"/>
        </w:rPr>
        <w:t>MGI</w:t>
      </w:r>
      <w:r>
        <w:rPr>
          <w:rFonts w:ascii="Calibri" w:hAnsi="Calibri"/>
          <w:color w:val="001F60"/>
          <w:spacing w:val="-12"/>
        </w:rPr>
        <w:t xml:space="preserve"> </w:t>
      </w:r>
      <w:r>
        <w:rPr>
          <w:rFonts w:ascii="Calibri" w:hAnsi="Calibri"/>
          <w:color w:val="001F60"/>
        </w:rPr>
        <w:t>nº</w:t>
      </w:r>
      <w:r>
        <w:rPr>
          <w:rFonts w:ascii="Calibri" w:hAnsi="Calibri"/>
          <w:color w:val="001F60"/>
          <w:spacing w:val="-10"/>
        </w:rPr>
        <w:t xml:space="preserve"> </w:t>
      </w:r>
      <w:r>
        <w:rPr>
          <w:rFonts w:ascii="Calibri" w:hAnsi="Calibri"/>
          <w:color w:val="001F60"/>
        </w:rPr>
        <w:t>8.249</w:t>
      </w:r>
      <w:r>
        <w:rPr>
          <w:rFonts w:ascii="Calibri" w:hAnsi="Calibri"/>
          <w:color w:val="001F60"/>
          <w:spacing w:val="-9"/>
        </w:rPr>
        <w:t xml:space="preserve"> </w:t>
      </w:r>
      <w:r>
        <w:rPr>
          <w:rFonts w:ascii="Calibri" w:hAnsi="Calibri"/>
          <w:color w:val="001F60"/>
        </w:rPr>
        <w:t>autorizou</w:t>
      </w:r>
      <w:r>
        <w:rPr>
          <w:rFonts w:ascii="Calibri" w:hAnsi="Calibri"/>
          <w:color w:val="001F60"/>
          <w:spacing w:val="-13"/>
        </w:rPr>
        <w:t xml:space="preserve"> </w:t>
      </w:r>
      <w:r>
        <w:rPr>
          <w:rFonts w:ascii="Calibri" w:hAnsi="Calibri"/>
          <w:color w:val="001F60"/>
        </w:rPr>
        <w:t>o</w:t>
      </w:r>
      <w:r>
        <w:rPr>
          <w:rFonts w:ascii="Calibri" w:hAnsi="Calibri"/>
          <w:color w:val="001F60"/>
          <w:spacing w:val="-8"/>
        </w:rPr>
        <w:t xml:space="preserve"> </w:t>
      </w:r>
      <w:r>
        <w:rPr>
          <w:rFonts w:ascii="Calibri" w:hAnsi="Calibri"/>
          <w:color w:val="001F60"/>
        </w:rPr>
        <w:t>orçamento</w:t>
      </w:r>
      <w:r>
        <w:rPr>
          <w:rFonts w:ascii="Calibri" w:hAnsi="Calibri"/>
          <w:color w:val="001F60"/>
          <w:spacing w:val="-9"/>
        </w:rPr>
        <w:t xml:space="preserve"> </w:t>
      </w:r>
      <w:r>
        <w:rPr>
          <w:rFonts w:ascii="Calibri" w:hAnsi="Calibri"/>
          <w:color w:val="001F60"/>
        </w:rPr>
        <w:t>da</w:t>
      </w:r>
      <w:r>
        <w:rPr>
          <w:rFonts w:ascii="Calibri" w:hAnsi="Calibri"/>
          <w:color w:val="001F60"/>
          <w:spacing w:val="-11"/>
        </w:rPr>
        <w:t xml:space="preserve"> </w:t>
      </w:r>
      <w:r>
        <w:rPr>
          <w:rFonts w:ascii="Calibri" w:hAnsi="Calibri"/>
          <w:color w:val="001F60"/>
        </w:rPr>
        <w:t>Telebras</w:t>
      </w:r>
      <w:r>
        <w:rPr>
          <w:rFonts w:ascii="Calibri" w:hAnsi="Calibri"/>
          <w:color w:val="001F60"/>
          <w:spacing w:val="-12"/>
        </w:rPr>
        <w:t xml:space="preserve"> </w:t>
      </w:r>
      <w:r>
        <w:rPr>
          <w:rFonts w:ascii="Calibri" w:hAnsi="Calibri"/>
          <w:color w:val="001F60"/>
        </w:rPr>
        <w:t>no</w:t>
      </w:r>
      <w:r>
        <w:rPr>
          <w:rFonts w:ascii="Calibri" w:hAnsi="Calibri"/>
          <w:color w:val="001F60"/>
          <w:spacing w:val="-11"/>
        </w:rPr>
        <w:t xml:space="preserve"> </w:t>
      </w:r>
      <w:r>
        <w:rPr>
          <w:rFonts w:ascii="Calibri" w:hAnsi="Calibri"/>
          <w:color w:val="001F60"/>
        </w:rPr>
        <w:t>PDG.</w:t>
      </w:r>
      <w:r>
        <w:rPr>
          <w:rFonts w:ascii="Calibri" w:hAnsi="Calibri"/>
          <w:color w:val="001F60"/>
          <w:spacing w:val="-12"/>
        </w:rPr>
        <w:t xml:space="preserve"> </w:t>
      </w:r>
      <w:r>
        <w:rPr>
          <w:rFonts w:ascii="Calibri" w:hAnsi="Calibri"/>
          <w:color w:val="001F60"/>
        </w:rPr>
        <w:t>A</w:t>
      </w:r>
      <w:r>
        <w:rPr>
          <w:rFonts w:ascii="Calibri" w:hAnsi="Calibri"/>
          <w:color w:val="001F60"/>
          <w:spacing w:val="-11"/>
        </w:rPr>
        <w:t xml:space="preserve"> </w:t>
      </w:r>
      <w:r>
        <w:rPr>
          <w:rFonts w:ascii="Calibri" w:hAnsi="Calibri"/>
          <w:color w:val="001F60"/>
        </w:rPr>
        <w:t>Portaria</w:t>
      </w:r>
      <w:r>
        <w:rPr>
          <w:rFonts w:ascii="Calibri" w:hAnsi="Calibri"/>
          <w:color w:val="001F60"/>
          <w:spacing w:val="-11"/>
        </w:rPr>
        <w:t xml:space="preserve"> </w:t>
      </w:r>
      <w:r>
        <w:rPr>
          <w:rFonts w:ascii="Calibri" w:hAnsi="Calibri"/>
          <w:color w:val="001F60"/>
        </w:rPr>
        <w:t>MGI nº 11.032, de 5 de dezembro de 2025 apresentou os valores definitivos aprovados enquanto a Lei nº 15.309, de 22 de dezembro de 2025, autorizou o Orçamento de Investimento (OI).</w:t>
      </w:r>
    </w:p>
    <w:p w14:paraId="10C518AF" w14:textId="77777777" w:rsidR="002C6574" w:rsidRDefault="00000000">
      <w:pPr>
        <w:pStyle w:val="Corpodetexto"/>
        <w:spacing w:before="119"/>
        <w:ind w:left="709" w:right="277"/>
        <w:jc w:val="both"/>
        <w:rPr>
          <w:rFonts w:ascii="Calibri" w:hAnsi="Calibri"/>
        </w:rPr>
      </w:pPr>
      <w:r>
        <w:rPr>
          <w:rFonts w:ascii="Calibri" w:hAnsi="Calibri"/>
          <w:color w:val="001F60"/>
        </w:rPr>
        <w:t>Desde sua inclusão no OFSS em 2020 e ao longo dos exercícios de 2021 a 2025, a Telebras esteve obrigada a registrar as suas operações nos sistemas Estruturantes do Governo Federal, SIAFI e SIOP. Em abril de 2025, a Lei nº 15.121, de 10 de abril de 2025 (LOA 2025) aprovou o orçamento anual.</w:t>
      </w:r>
    </w:p>
    <w:p w14:paraId="7450B5AE" w14:textId="77777777" w:rsidR="002C6574" w:rsidRDefault="00000000">
      <w:pPr>
        <w:pStyle w:val="Corpodetexto"/>
        <w:spacing w:before="121"/>
        <w:ind w:left="709" w:right="278"/>
        <w:jc w:val="both"/>
        <w:rPr>
          <w:rFonts w:ascii="Calibri" w:hAnsi="Calibri"/>
        </w:rPr>
      </w:pPr>
      <w:r>
        <w:rPr>
          <w:rFonts w:ascii="Calibri" w:hAnsi="Calibri"/>
          <w:color w:val="001F60"/>
        </w:rPr>
        <w:t>Os dados apresentados foram extraídos do portal Siga Brasil, para o período em que a empresa integrava</w:t>
      </w:r>
      <w:r>
        <w:rPr>
          <w:rFonts w:ascii="Calibri" w:hAnsi="Calibri"/>
          <w:color w:val="001F60"/>
          <w:spacing w:val="-2"/>
        </w:rPr>
        <w:t xml:space="preserve"> </w:t>
      </w:r>
      <w:r>
        <w:rPr>
          <w:rFonts w:ascii="Calibri" w:hAnsi="Calibri"/>
          <w:color w:val="001F60"/>
        </w:rPr>
        <w:t>o OFSS, e</w:t>
      </w:r>
      <w:r>
        <w:rPr>
          <w:rFonts w:ascii="Calibri" w:hAnsi="Calibri"/>
          <w:color w:val="001F60"/>
          <w:spacing w:val="-1"/>
        </w:rPr>
        <w:t xml:space="preserve"> </w:t>
      </w:r>
      <w:r>
        <w:rPr>
          <w:rFonts w:ascii="Calibri" w:hAnsi="Calibri"/>
          <w:color w:val="001F60"/>
        </w:rPr>
        <w:t>dos sistemas SIEST, SIOP e SAP, referentes</w:t>
      </w:r>
      <w:r>
        <w:rPr>
          <w:rFonts w:ascii="Calibri" w:hAnsi="Calibri"/>
          <w:color w:val="001F60"/>
          <w:spacing w:val="-2"/>
        </w:rPr>
        <w:t xml:space="preserve"> </w:t>
      </w:r>
      <w:r>
        <w:rPr>
          <w:rFonts w:ascii="Calibri" w:hAnsi="Calibri"/>
          <w:color w:val="001F60"/>
        </w:rPr>
        <w:t>ao período posterior, já na</w:t>
      </w:r>
      <w:r>
        <w:rPr>
          <w:rFonts w:ascii="Calibri" w:hAnsi="Calibri"/>
          <w:color w:val="001F60"/>
          <w:spacing w:val="-2"/>
        </w:rPr>
        <w:t xml:space="preserve"> </w:t>
      </w:r>
      <w:r>
        <w:rPr>
          <w:rFonts w:ascii="Calibri" w:hAnsi="Calibri"/>
          <w:color w:val="001F60"/>
        </w:rPr>
        <w:t xml:space="preserve">vigência do </w:t>
      </w:r>
      <w:r>
        <w:rPr>
          <w:rFonts w:ascii="Calibri" w:hAnsi="Calibri"/>
          <w:color w:val="001F60"/>
          <w:spacing w:val="-2"/>
        </w:rPr>
        <w:t>OI/PDG.</w:t>
      </w:r>
    </w:p>
    <w:p w14:paraId="5756D8AF" w14:textId="77777777" w:rsidR="002C6574" w:rsidRDefault="002C6574">
      <w:pPr>
        <w:pStyle w:val="Corpodetexto"/>
        <w:spacing w:before="212"/>
        <w:rPr>
          <w:rFonts w:ascii="Calibri"/>
        </w:rPr>
      </w:pPr>
    </w:p>
    <w:p w14:paraId="39C390CF" w14:textId="77777777" w:rsidR="002C6574" w:rsidRDefault="00000000">
      <w:pPr>
        <w:numPr>
          <w:ilvl w:val="2"/>
          <w:numId w:val="74"/>
        </w:numPr>
        <w:tabs>
          <w:tab w:val="left" w:pos="1414"/>
        </w:tabs>
        <w:ind w:left="1414" w:hanging="705"/>
        <w:jc w:val="both"/>
        <w:rPr>
          <w:rFonts w:ascii="Calibri" w:hAnsi="Calibri"/>
          <w:b/>
        </w:rPr>
      </w:pPr>
      <w:r>
        <w:rPr>
          <w:rFonts w:ascii="Calibri" w:hAnsi="Calibri"/>
          <w:b/>
          <w:color w:val="001F60"/>
        </w:rPr>
        <w:t>Execução</w:t>
      </w:r>
      <w:r>
        <w:rPr>
          <w:rFonts w:ascii="Calibri" w:hAnsi="Calibri"/>
          <w:b/>
          <w:color w:val="001F60"/>
          <w:spacing w:val="-4"/>
        </w:rPr>
        <w:t xml:space="preserve"> </w:t>
      </w:r>
      <w:r>
        <w:rPr>
          <w:rFonts w:ascii="Calibri" w:hAnsi="Calibri"/>
          <w:b/>
          <w:color w:val="001F60"/>
        </w:rPr>
        <w:t xml:space="preserve">da </w:t>
      </w:r>
      <w:r>
        <w:rPr>
          <w:rFonts w:ascii="Calibri" w:hAnsi="Calibri"/>
          <w:b/>
          <w:color w:val="001F60"/>
          <w:spacing w:val="-2"/>
        </w:rPr>
        <w:t>Receita</w:t>
      </w:r>
    </w:p>
    <w:p w14:paraId="1E9729DF" w14:textId="77777777" w:rsidR="002C6574" w:rsidRDefault="002C6574">
      <w:pPr>
        <w:pStyle w:val="Corpodetexto"/>
        <w:spacing w:before="89"/>
        <w:rPr>
          <w:rFonts w:ascii="Calibri"/>
          <w:b/>
        </w:rPr>
      </w:pPr>
    </w:p>
    <w:p w14:paraId="282E0D3B" w14:textId="77777777" w:rsidR="002C6574" w:rsidRDefault="00000000">
      <w:pPr>
        <w:pStyle w:val="Corpodetexto"/>
        <w:spacing w:before="1"/>
        <w:ind w:left="709" w:right="277"/>
        <w:jc w:val="both"/>
        <w:rPr>
          <w:rFonts w:ascii="Calibri" w:hAnsi="Calibri"/>
        </w:rPr>
      </w:pPr>
      <w:r>
        <w:rPr>
          <w:rFonts w:ascii="Calibri" w:hAnsi="Calibri"/>
          <w:color w:val="001F60"/>
        </w:rPr>
        <w:t>O</w:t>
      </w:r>
      <w:r>
        <w:rPr>
          <w:rFonts w:ascii="Calibri" w:hAnsi="Calibri"/>
          <w:color w:val="001F60"/>
          <w:spacing w:val="-6"/>
        </w:rPr>
        <w:t xml:space="preserve"> </w:t>
      </w:r>
      <w:r>
        <w:rPr>
          <w:rFonts w:ascii="Calibri" w:hAnsi="Calibri"/>
          <w:color w:val="001F60"/>
        </w:rPr>
        <w:t>ingresso</w:t>
      </w:r>
      <w:r>
        <w:rPr>
          <w:rFonts w:ascii="Calibri" w:hAnsi="Calibri"/>
          <w:color w:val="001F60"/>
          <w:spacing w:val="-6"/>
        </w:rPr>
        <w:t xml:space="preserve"> </w:t>
      </w:r>
      <w:r>
        <w:rPr>
          <w:rFonts w:ascii="Calibri" w:hAnsi="Calibri"/>
          <w:color w:val="001F60"/>
        </w:rPr>
        <w:t>total</w:t>
      </w:r>
      <w:r>
        <w:rPr>
          <w:rFonts w:ascii="Calibri" w:hAnsi="Calibri"/>
          <w:color w:val="001F60"/>
          <w:spacing w:val="-8"/>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recursos</w:t>
      </w:r>
      <w:r>
        <w:rPr>
          <w:rFonts w:ascii="Calibri" w:hAnsi="Calibri"/>
          <w:color w:val="001F60"/>
          <w:spacing w:val="-6"/>
        </w:rPr>
        <w:t xml:space="preserve"> </w:t>
      </w:r>
      <w:r>
        <w:rPr>
          <w:rFonts w:ascii="Calibri" w:hAnsi="Calibri"/>
          <w:color w:val="001F60"/>
        </w:rPr>
        <w:t>em</w:t>
      </w:r>
      <w:r>
        <w:rPr>
          <w:rFonts w:ascii="Calibri" w:hAnsi="Calibri"/>
          <w:color w:val="001F60"/>
          <w:spacing w:val="-8"/>
        </w:rPr>
        <w:t xml:space="preserve"> </w:t>
      </w:r>
      <w:r>
        <w:rPr>
          <w:rFonts w:ascii="Calibri" w:hAnsi="Calibri"/>
          <w:color w:val="001F60"/>
        </w:rPr>
        <w:t>2025</w:t>
      </w:r>
      <w:r>
        <w:rPr>
          <w:rFonts w:ascii="Calibri" w:hAnsi="Calibri"/>
          <w:color w:val="001F60"/>
          <w:spacing w:val="-6"/>
        </w:rPr>
        <w:t xml:space="preserve"> </w:t>
      </w:r>
      <w:r>
        <w:rPr>
          <w:rFonts w:ascii="Calibri" w:hAnsi="Calibri"/>
          <w:color w:val="001F60"/>
        </w:rPr>
        <w:t>foi</w:t>
      </w:r>
      <w:r>
        <w:rPr>
          <w:rFonts w:ascii="Calibri" w:hAnsi="Calibri"/>
          <w:color w:val="001F60"/>
          <w:spacing w:val="-8"/>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R$</w:t>
      </w:r>
      <w:r>
        <w:rPr>
          <w:rFonts w:ascii="Calibri" w:hAnsi="Calibri"/>
          <w:color w:val="001F60"/>
          <w:spacing w:val="-8"/>
        </w:rPr>
        <w:t xml:space="preserve"> </w:t>
      </w:r>
      <w:r>
        <w:rPr>
          <w:rFonts w:ascii="Calibri" w:hAnsi="Calibri"/>
          <w:color w:val="001F60"/>
        </w:rPr>
        <w:t>1,02</w:t>
      </w:r>
      <w:r>
        <w:rPr>
          <w:rFonts w:ascii="Calibri" w:hAnsi="Calibri"/>
          <w:color w:val="001F60"/>
          <w:spacing w:val="-6"/>
        </w:rPr>
        <w:t xml:space="preserve"> </w:t>
      </w:r>
      <w:r>
        <w:rPr>
          <w:rFonts w:ascii="Calibri" w:hAnsi="Calibri"/>
          <w:color w:val="001F60"/>
        </w:rPr>
        <w:t>bilhão,</w:t>
      </w:r>
      <w:r>
        <w:rPr>
          <w:rFonts w:ascii="Calibri" w:hAnsi="Calibri"/>
          <w:color w:val="001F60"/>
          <w:spacing w:val="-6"/>
        </w:rPr>
        <w:t xml:space="preserve"> </w:t>
      </w:r>
      <w:r>
        <w:rPr>
          <w:rFonts w:ascii="Calibri" w:hAnsi="Calibri"/>
          <w:color w:val="001F60"/>
        </w:rPr>
        <w:t>composto</w:t>
      </w:r>
      <w:r>
        <w:rPr>
          <w:rFonts w:ascii="Calibri" w:hAnsi="Calibri"/>
          <w:color w:val="001F60"/>
          <w:spacing w:val="-5"/>
        </w:rPr>
        <w:t xml:space="preserve"> </w:t>
      </w:r>
      <w:r>
        <w:rPr>
          <w:rFonts w:ascii="Calibri" w:hAnsi="Calibri"/>
          <w:color w:val="001F60"/>
        </w:rPr>
        <w:t>por</w:t>
      </w:r>
      <w:r>
        <w:rPr>
          <w:rFonts w:ascii="Calibri" w:hAnsi="Calibri"/>
          <w:color w:val="001F60"/>
          <w:spacing w:val="-8"/>
        </w:rPr>
        <w:t xml:space="preserve"> </w:t>
      </w:r>
      <w:r>
        <w:rPr>
          <w:rFonts w:ascii="Calibri" w:hAnsi="Calibri"/>
          <w:color w:val="001F60"/>
        </w:rPr>
        <w:t>Receitas</w:t>
      </w:r>
      <w:r>
        <w:rPr>
          <w:rFonts w:ascii="Calibri" w:hAnsi="Calibri"/>
          <w:color w:val="001F60"/>
          <w:spacing w:val="-6"/>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Capital,</w:t>
      </w:r>
      <w:r>
        <w:rPr>
          <w:rFonts w:ascii="Calibri" w:hAnsi="Calibri"/>
          <w:color w:val="001F60"/>
          <w:spacing w:val="-8"/>
        </w:rPr>
        <w:t xml:space="preserve"> </w:t>
      </w:r>
      <w:r>
        <w:rPr>
          <w:rFonts w:ascii="Calibri" w:hAnsi="Calibri"/>
          <w:color w:val="001F60"/>
        </w:rPr>
        <w:t>Receitas Correntes e Subvenções.</w:t>
      </w:r>
    </w:p>
    <w:p w14:paraId="09BE5346" w14:textId="77777777" w:rsidR="002C6574" w:rsidRDefault="002C6574">
      <w:pPr>
        <w:pStyle w:val="Corpodetexto"/>
        <w:jc w:val="both"/>
        <w:rPr>
          <w:rFonts w:ascii="Calibri" w:hAnsi="Calibri"/>
        </w:rPr>
        <w:sectPr w:rsidR="002C6574">
          <w:pgSz w:w="11910" w:h="16840"/>
          <w:pgMar w:top="1160" w:right="850" w:bottom="740" w:left="992" w:header="312" w:footer="542" w:gutter="0"/>
          <w:cols w:space="720"/>
        </w:sectPr>
      </w:pPr>
    </w:p>
    <w:p w14:paraId="658D58CD" w14:textId="77777777" w:rsidR="002C6574" w:rsidRDefault="002C6574">
      <w:pPr>
        <w:pStyle w:val="Corpodetexto"/>
        <w:spacing w:before="263"/>
        <w:rPr>
          <w:rFonts w:ascii="Calibri"/>
        </w:rPr>
      </w:pPr>
    </w:p>
    <w:p w14:paraId="7A94AF66" w14:textId="77777777" w:rsidR="002C6574" w:rsidRDefault="00000000">
      <w:pPr>
        <w:pStyle w:val="Corpodetexto"/>
        <w:ind w:left="709" w:right="279"/>
        <w:jc w:val="both"/>
        <w:rPr>
          <w:rFonts w:ascii="Calibri" w:hAnsi="Calibri"/>
        </w:rPr>
      </w:pPr>
      <w:r>
        <w:rPr>
          <w:rFonts w:ascii="Calibri" w:hAnsi="Calibri"/>
          <w:color w:val="001F60"/>
        </w:rPr>
        <w:t>As</w:t>
      </w:r>
      <w:r>
        <w:rPr>
          <w:rFonts w:ascii="Calibri" w:hAnsi="Calibri"/>
          <w:color w:val="001F60"/>
          <w:spacing w:val="-9"/>
        </w:rPr>
        <w:t xml:space="preserve"> </w:t>
      </w:r>
      <w:r>
        <w:rPr>
          <w:rFonts w:ascii="Calibri" w:hAnsi="Calibri"/>
          <w:color w:val="001F60"/>
        </w:rPr>
        <w:t>Receitas</w:t>
      </w:r>
      <w:r>
        <w:rPr>
          <w:rFonts w:ascii="Calibri" w:hAnsi="Calibri"/>
          <w:color w:val="001F60"/>
          <w:spacing w:val="-9"/>
        </w:rPr>
        <w:t xml:space="preserve"> </w:t>
      </w:r>
      <w:r>
        <w:rPr>
          <w:rFonts w:ascii="Calibri" w:hAnsi="Calibri"/>
          <w:color w:val="001F60"/>
        </w:rPr>
        <w:t>de</w:t>
      </w:r>
      <w:r>
        <w:rPr>
          <w:rFonts w:ascii="Calibri" w:hAnsi="Calibri"/>
          <w:color w:val="001F60"/>
          <w:spacing w:val="-7"/>
        </w:rPr>
        <w:t xml:space="preserve"> </w:t>
      </w:r>
      <w:r>
        <w:rPr>
          <w:rFonts w:ascii="Calibri" w:hAnsi="Calibri"/>
          <w:color w:val="001F60"/>
        </w:rPr>
        <w:t>Capital</w:t>
      </w:r>
      <w:r>
        <w:rPr>
          <w:rFonts w:ascii="Calibri" w:hAnsi="Calibri"/>
          <w:color w:val="001F60"/>
          <w:spacing w:val="-7"/>
        </w:rPr>
        <w:t xml:space="preserve"> </w:t>
      </w:r>
      <w:r>
        <w:rPr>
          <w:rFonts w:ascii="Calibri" w:hAnsi="Calibri"/>
          <w:color w:val="001F60"/>
        </w:rPr>
        <w:t>referem-se</w:t>
      </w:r>
      <w:r>
        <w:rPr>
          <w:rFonts w:ascii="Calibri" w:hAnsi="Calibri"/>
          <w:color w:val="001F60"/>
          <w:spacing w:val="-7"/>
        </w:rPr>
        <w:t xml:space="preserve"> </w:t>
      </w:r>
      <w:r>
        <w:rPr>
          <w:rFonts w:ascii="Calibri" w:hAnsi="Calibri"/>
          <w:color w:val="001F60"/>
        </w:rPr>
        <w:t>às</w:t>
      </w:r>
      <w:r>
        <w:rPr>
          <w:rFonts w:ascii="Calibri" w:hAnsi="Calibri"/>
          <w:color w:val="001F60"/>
          <w:spacing w:val="-9"/>
        </w:rPr>
        <w:t xml:space="preserve"> </w:t>
      </w:r>
      <w:r>
        <w:rPr>
          <w:rFonts w:ascii="Calibri" w:hAnsi="Calibri"/>
          <w:color w:val="001F60"/>
        </w:rPr>
        <w:t>subvenções</w:t>
      </w:r>
      <w:r>
        <w:rPr>
          <w:rFonts w:ascii="Calibri" w:hAnsi="Calibri"/>
          <w:color w:val="001F60"/>
          <w:spacing w:val="-7"/>
        </w:rPr>
        <w:t xml:space="preserve"> </w:t>
      </w:r>
      <w:r>
        <w:rPr>
          <w:rFonts w:ascii="Calibri" w:hAnsi="Calibri"/>
          <w:color w:val="001F60"/>
        </w:rPr>
        <w:t>destinadas</w:t>
      </w:r>
      <w:r>
        <w:rPr>
          <w:rFonts w:ascii="Calibri" w:hAnsi="Calibri"/>
          <w:color w:val="001F60"/>
          <w:spacing w:val="-7"/>
        </w:rPr>
        <w:t xml:space="preserve"> </w:t>
      </w:r>
      <w:r>
        <w:rPr>
          <w:rFonts w:ascii="Calibri" w:hAnsi="Calibri"/>
          <w:color w:val="001F60"/>
        </w:rPr>
        <w:t>a</w:t>
      </w:r>
      <w:r>
        <w:rPr>
          <w:rFonts w:ascii="Calibri" w:hAnsi="Calibri"/>
          <w:color w:val="001F60"/>
          <w:spacing w:val="-9"/>
        </w:rPr>
        <w:t xml:space="preserve"> </w:t>
      </w:r>
      <w:r>
        <w:rPr>
          <w:rFonts w:ascii="Calibri" w:hAnsi="Calibri"/>
          <w:color w:val="001F60"/>
        </w:rPr>
        <w:t>investimentos,</w:t>
      </w:r>
      <w:r>
        <w:rPr>
          <w:rFonts w:ascii="Calibri" w:hAnsi="Calibri"/>
          <w:color w:val="001F60"/>
          <w:spacing w:val="-11"/>
        </w:rPr>
        <w:t xml:space="preserve"> </w:t>
      </w:r>
      <w:r>
        <w:rPr>
          <w:rFonts w:ascii="Calibri" w:hAnsi="Calibri"/>
          <w:color w:val="001F60"/>
        </w:rPr>
        <w:t>recebidas</w:t>
      </w:r>
      <w:r>
        <w:rPr>
          <w:rFonts w:ascii="Calibri" w:hAnsi="Calibri"/>
          <w:color w:val="001F60"/>
          <w:spacing w:val="-7"/>
        </w:rPr>
        <w:t xml:space="preserve"> </w:t>
      </w:r>
      <w:r>
        <w:rPr>
          <w:rFonts w:ascii="Calibri" w:hAnsi="Calibri"/>
          <w:color w:val="001F60"/>
        </w:rPr>
        <w:t>no</w:t>
      </w:r>
      <w:r>
        <w:rPr>
          <w:rFonts w:ascii="Calibri" w:hAnsi="Calibri"/>
          <w:color w:val="001F60"/>
          <w:spacing w:val="-8"/>
        </w:rPr>
        <w:t xml:space="preserve"> </w:t>
      </w:r>
      <w:r>
        <w:rPr>
          <w:rFonts w:ascii="Calibri" w:hAnsi="Calibri"/>
          <w:color w:val="001F60"/>
        </w:rPr>
        <w:t>período</w:t>
      </w:r>
      <w:r>
        <w:rPr>
          <w:rFonts w:ascii="Calibri" w:hAnsi="Calibri"/>
          <w:color w:val="001F60"/>
          <w:spacing w:val="-8"/>
        </w:rPr>
        <w:t xml:space="preserve"> </w:t>
      </w:r>
      <w:r>
        <w:rPr>
          <w:rFonts w:ascii="Calibri" w:hAnsi="Calibri"/>
          <w:color w:val="001F60"/>
        </w:rPr>
        <w:t>em que a Telebras figurava como empresa dependente do OFSS.</w:t>
      </w:r>
    </w:p>
    <w:p w14:paraId="3519D0B8" w14:textId="77777777" w:rsidR="002C6574" w:rsidRDefault="00000000">
      <w:pPr>
        <w:pStyle w:val="Corpodetexto"/>
        <w:spacing w:before="118"/>
        <w:ind w:left="709" w:right="275"/>
        <w:jc w:val="both"/>
        <w:rPr>
          <w:rFonts w:ascii="Calibri" w:hAnsi="Calibri"/>
        </w:rPr>
      </w:pPr>
      <w:r>
        <w:rPr>
          <w:rFonts w:ascii="Calibri" w:hAnsi="Calibri"/>
          <w:color w:val="001F60"/>
        </w:rPr>
        <w:t>Nas</w:t>
      </w:r>
      <w:r>
        <w:rPr>
          <w:rFonts w:ascii="Calibri" w:hAnsi="Calibri"/>
          <w:color w:val="001F60"/>
          <w:spacing w:val="-6"/>
        </w:rPr>
        <w:t xml:space="preserve"> </w:t>
      </w:r>
      <w:r>
        <w:rPr>
          <w:rFonts w:ascii="Calibri" w:hAnsi="Calibri"/>
          <w:color w:val="001F60"/>
        </w:rPr>
        <w:t>Receitas</w:t>
      </w:r>
      <w:r>
        <w:rPr>
          <w:rFonts w:ascii="Calibri" w:hAnsi="Calibri"/>
          <w:color w:val="001F60"/>
          <w:spacing w:val="-8"/>
        </w:rPr>
        <w:t xml:space="preserve"> </w:t>
      </w:r>
      <w:r>
        <w:rPr>
          <w:rFonts w:ascii="Calibri" w:hAnsi="Calibri"/>
          <w:color w:val="001F60"/>
        </w:rPr>
        <w:t>Correntes,</w:t>
      </w:r>
      <w:r>
        <w:rPr>
          <w:rFonts w:ascii="Calibri" w:hAnsi="Calibri"/>
          <w:color w:val="001F60"/>
          <w:spacing w:val="-6"/>
        </w:rPr>
        <w:t xml:space="preserve"> </w:t>
      </w:r>
      <w:r>
        <w:rPr>
          <w:rFonts w:ascii="Calibri" w:hAnsi="Calibri"/>
          <w:color w:val="001F60"/>
        </w:rPr>
        <w:t>a</w:t>
      </w:r>
      <w:r>
        <w:rPr>
          <w:rFonts w:ascii="Calibri" w:hAnsi="Calibri"/>
          <w:color w:val="001F60"/>
          <w:spacing w:val="-8"/>
        </w:rPr>
        <w:t xml:space="preserve"> </w:t>
      </w:r>
      <w:r>
        <w:rPr>
          <w:rFonts w:ascii="Calibri" w:hAnsi="Calibri"/>
          <w:color w:val="001F60"/>
        </w:rPr>
        <w:t>receita</w:t>
      </w:r>
      <w:r>
        <w:rPr>
          <w:rFonts w:ascii="Calibri" w:hAnsi="Calibri"/>
          <w:color w:val="001F60"/>
          <w:spacing w:val="-10"/>
        </w:rPr>
        <w:t xml:space="preserve"> </w:t>
      </w:r>
      <w:r>
        <w:rPr>
          <w:rFonts w:ascii="Calibri" w:hAnsi="Calibri"/>
          <w:color w:val="001F60"/>
        </w:rPr>
        <w:t>operacional</w:t>
      </w:r>
      <w:r>
        <w:rPr>
          <w:rFonts w:ascii="Calibri" w:hAnsi="Calibri"/>
          <w:color w:val="001F60"/>
          <w:spacing w:val="-6"/>
        </w:rPr>
        <w:t xml:space="preserve"> </w:t>
      </w:r>
      <w:r>
        <w:rPr>
          <w:rFonts w:ascii="Calibri" w:hAnsi="Calibri"/>
          <w:color w:val="001F60"/>
        </w:rPr>
        <w:t>decorre</w:t>
      </w:r>
      <w:r>
        <w:rPr>
          <w:rFonts w:ascii="Calibri" w:hAnsi="Calibri"/>
          <w:color w:val="001F60"/>
          <w:spacing w:val="-8"/>
        </w:rPr>
        <w:t xml:space="preserve"> </w:t>
      </w:r>
      <w:r>
        <w:rPr>
          <w:rFonts w:ascii="Calibri" w:hAnsi="Calibri"/>
          <w:color w:val="001F60"/>
        </w:rPr>
        <w:t>da</w:t>
      </w:r>
      <w:r>
        <w:rPr>
          <w:rFonts w:ascii="Calibri" w:hAnsi="Calibri"/>
          <w:color w:val="001F60"/>
          <w:spacing w:val="-6"/>
        </w:rPr>
        <w:t xml:space="preserve"> </w:t>
      </w:r>
      <w:r>
        <w:rPr>
          <w:rFonts w:ascii="Calibri" w:hAnsi="Calibri"/>
          <w:color w:val="001F60"/>
        </w:rPr>
        <w:t>prestação</w:t>
      </w:r>
      <w:r>
        <w:rPr>
          <w:rFonts w:ascii="Calibri" w:hAnsi="Calibri"/>
          <w:color w:val="001F60"/>
          <w:spacing w:val="-6"/>
        </w:rPr>
        <w:t xml:space="preserve"> </w:t>
      </w:r>
      <w:r>
        <w:rPr>
          <w:rFonts w:ascii="Calibri" w:hAnsi="Calibri"/>
          <w:color w:val="001F60"/>
        </w:rPr>
        <w:t>dos</w:t>
      </w:r>
      <w:r>
        <w:rPr>
          <w:rFonts w:ascii="Calibri" w:hAnsi="Calibri"/>
          <w:color w:val="001F60"/>
          <w:spacing w:val="-6"/>
        </w:rPr>
        <w:t xml:space="preserve"> </w:t>
      </w:r>
      <w:r>
        <w:rPr>
          <w:rFonts w:ascii="Calibri" w:hAnsi="Calibri"/>
          <w:color w:val="001F60"/>
        </w:rPr>
        <w:t>serviços</w:t>
      </w:r>
      <w:r>
        <w:rPr>
          <w:rFonts w:ascii="Calibri" w:hAnsi="Calibri"/>
          <w:color w:val="001F60"/>
          <w:spacing w:val="-6"/>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telecomunicações, incluindo a oferta de banda larga por meio da infraestrutura terrestre e do Satélite Geoestacionário de Defesa e Comunicação (SGDC), bem como do aluguel de infraestrutura a outras empresas.</w:t>
      </w:r>
    </w:p>
    <w:p w14:paraId="3A68F5A4" w14:textId="77777777" w:rsidR="002C6574" w:rsidRDefault="00000000">
      <w:pPr>
        <w:pStyle w:val="Corpodetexto"/>
        <w:spacing w:before="121"/>
        <w:ind w:left="709" w:right="276"/>
        <w:jc w:val="both"/>
        <w:rPr>
          <w:rFonts w:ascii="Calibri" w:hAnsi="Calibri"/>
        </w:rPr>
      </w:pPr>
      <w:r>
        <w:rPr>
          <w:rFonts w:ascii="Calibri" w:hAnsi="Calibri"/>
          <w:color w:val="001F60"/>
        </w:rPr>
        <w:t>Os valores registrados como adiantamentos recebidos correspondem às cauções aportadas por clientes em maio e agosto de 2025.</w:t>
      </w:r>
    </w:p>
    <w:p w14:paraId="67A46367" w14:textId="77777777" w:rsidR="002C6574" w:rsidRDefault="00000000">
      <w:pPr>
        <w:pStyle w:val="Corpodetexto"/>
        <w:spacing w:before="121"/>
        <w:ind w:left="709" w:right="277"/>
        <w:jc w:val="both"/>
        <w:rPr>
          <w:rFonts w:ascii="Calibri" w:hAnsi="Calibri"/>
        </w:rPr>
      </w:pPr>
      <w:r>
        <w:rPr>
          <w:rFonts w:ascii="Calibri" w:hAnsi="Calibri"/>
          <w:color w:val="001F60"/>
        </w:rPr>
        <w:t>A receita financeira é proveniente de aplicações em fundos extramercado, formadas tanto por recursos próprios da Telebras quanto pelo saldo remanescente</w:t>
      </w:r>
      <w:r>
        <w:rPr>
          <w:rFonts w:ascii="Calibri" w:hAnsi="Calibri"/>
          <w:color w:val="001F60"/>
          <w:spacing w:val="-1"/>
        </w:rPr>
        <w:t xml:space="preserve"> </w:t>
      </w:r>
      <w:r>
        <w:rPr>
          <w:rFonts w:ascii="Calibri" w:hAnsi="Calibri"/>
          <w:color w:val="001F60"/>
        </w:rPr>
        <w:t>dos aportes de capital realizados pela União em 2019.</w:t>
      </w:r>
    </w:p>
    <w:p w14:paraId="2886438E" w14:textId="77777777" w:rsidR="002C6574" w:rsidRDefault="00000000">
      <w:pPr>
        <w:pStyle w:val="Corpodetexto"/>
        <w:spacing w:before="120"/>
        <w:ind w:left="709" w:right="275"/>
        <w:jc w:val="both"/>
        <w:rPr>
          <w:rFonts w:ascii="Calibri" w:hAnsi="Calibri"/>
        </w:rPr>
      </w:pPr>
      <w:r>
        <w:rPr>
          <w:rFonts w:ascii="Calibri" w:hAnsi="Calibri"/>
          <w:color w:val="001F60"/>
        </w:rPr>
        <w:t>Nos</w:t>
      </w:r>
      <w:r>
        <w:rPr>
          <w:rFonts w:ascii="Calibri" w:hAnsi="Calibri"/>
          <w:color w:val="001F60"/>
          <w:spacing w:val="-13"/>
        </w:rPr>
        <w:t xml:space="preserve"> </w:t>
      </w:r>
      <w:r>
        <w:rPr>
          <w:rFonts w:ascii="Calibri" w:hAnsi="Calibri"/>
          <w:color w:val="001F60"/>
        </w:rPr>
        <w:t>outros</w:t>
      </w:r>
      <w:r>
        <w:rPr>
          <w:rFonts w:ascii="Calibri" w:hAnsi="Calibri"/>
          <w:color w:val="001F60"/>
          <w:spacing w:val="-12"/>
        </w:rPr>
        <w:t xml:space="preserve"> </w:t>
      </w:r>
      <w:r>
        <w:rPr>
          <w:rFonts w:ascii="Calibri" w:hAnsi="Calibri"/>
          <w:color w:val="001F60"/>
        </w:rPr>
        <w:t>ingressos</w:t>
      </w:r>
      <w:r>
        <w:rPr>
          <w:rFonts w:ascii="Calibri" w:hAnsi="Calibri"/>
          <w:color w:val="001F60"/>
          <w:spacing w:val="-13"/>
        </w:rPr>
        <w:t xml:space="preserve"> </w:t>
      </w:r>
      <w:r>
        <w:rPr>
          <w:rFonts w:ascii="Calibri" w:hAnsi="Calibri"/>
          <w:color w:val="001F60"/>
        </w:rPr>
        <w:t>correntes,</w:t>
      </w:r>
      <w:r>
        <w:rPr>
          <w:rFonts w:ascii="Calibri" w:hAnsi="Calibri"/>
          <w:color w:val="001F60"/>
          <w:spacing w:val="-12"/>
        </w:rPr>
        <w:t xml:space="preserve"> </w:t>
      </w:r>
      <w:r>
        <w:rPr>
          <w:rFonts w:ascii="Calibri" w:hAnsi="Calibri"/>
          <w:color w:val="001F60"/>
        </w:rPr>
        <w:t>incluem-se</w:t>
      </w:r>
      <w:r>
        <w:rPr>
          <w:rFonts w:ascii="Calibri" w:hAnsi="Calibri"/>
          <w:color w:val="001F60"/>
          <w:spacing w:val="-13"/>
        </w:rPr>
        <w:t xml:space="preserve"> </w:t>
      </w:r>
      <w:r>
        <w:rPr>
          <w:rFonts w:ascii="Calibri" w:hAnsi="Calibri"/>
          <w:color w:val="001F60"/>
        </w:rPr>
        <w:t>os</w:t>
      </w:r>
      <w:r>
        <w:rPr>
          <w:rFonts w:ascii="Calibri" w:hAnsi="Calibri"/>
          <w:color w:val="001F60"/>
          <w:spacing w:val="-12"/>
        </w:rPr>
        <w:t xml:space="preserve"> </w:t>
      </w:r>
      <w:r>
        <w:rPr>
          <w:rFonts w:ascii="Calibri" w:hAnsi="Calibri"/>
          <w:color w:val="001F60"/>
        </w:rPr>
        <w:t>repasses</w:t>
      </w:r>
      <w:r>
        <w:rPr>
          <w:rFonts w:ascii="Calibri" w:hAnsi="Calibri"/>
          <w:color w:val="001F60"/>
          <w:spacing w:val="-13"/>
        </w:rPr>
        <w:t xml:space="preserve"> </w:t>
      </w:r>
      <w:r>
        <w:rPr>
          <w:rFonts w:ascii="Calibri" w:hAnsi="Calibri"/>
          <w:color w:val="001F60"/>
        </w:rPr>
        <w:t>da</w:t>
      </w:r>
      <w:r>
        <w:rPr>
          <w:rFonts w:ascii="Calibri" w:hAnsi="Calibri"/>
          <w:color w:val="001F60"/>
          <w:spacing w:val="-12"/>
        </w:rPr>
        <w:t xml:space="preserve"> </w:t>
      </w:r>
      <w:r>
        <w:rPr>
          <w:rFonts w:ascii="Calibri" w:hAnsi="Calibri"/>
          <w:color w:val="001F60"/>
        </w:rPr>
        <w:t>Fundação</w:t>
      </w:r>
      <w:r>
        <w:rPr>
          <w:rFonts w:ascii="Calibri" w:hAnsi="Calibri"/>
          <w:color w:val="001F60"/>
          <w:spacing w:val="-12"/>
        </w:rPr>
        <w:t xml:space="preserve"> </w:t>
      </w:r>
      <w:r>
        <w:rPr>
          <w:rFonts w:ascii="Calibri" w:hAnsi="Calibri"/>
          <w:color w:val="001F60"/>
        </w:rPr>
        <w:t>Sistel</w:t>
      </w:r>
      <w:r>
        <w:rPr>
          <w:rFonts w:ascii="Calibri" w:hAnsi="Calibri"/>
          <w:color w:val="001F60"/>
          <w:spacing w:val="-13"/>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Seguridade</w:t>
      </w:r>
      <w:r>
        <w:rPr>
          <w:rFonts w:ascii="Calibri" w:hAnsi="Calibri"/>
          <w:color w:val="001F60"/>
          <w:spacing w:val="-13"/>
        </w:rPr>
        <w:t xml:space="preserve"> </w:t>
      </w:r>
      <w:r>
        <w:rPr>
          <w:rFonts w:ascii="Calibri" w:hAnsi="Calibri"/>
          <w:color w:val="001F60"/>
        </w:rPr>
        <w:t>Social</w:t>
      </w:r>
      <w:r>
        <w:rPr>
          <w:rFonts w:ascii="Calibri" w:hAnsi="Calibri"/>
          <w:color w:val="001F60"/>
          <w:spacing w:val="-12"/>
        </w:rPr>
        <w:t xml:space="preserve"> </w:t>
      </w:r>
      <w:r>
        <w:rPr>
          <w:rFonts w:ascii="Calibri" w:hAnsi="Calibri"/>
          <w:color w:val="001F60"/>
        </w:rPr>
        <w:t>(Sistel), decorrentes</w:t>
      </w:r>
      <w:r>
        <w:rPr>
          <w:rFonts w:ascii="Calibri" w:hAnsi="Calibri"/>
          <w:color w:val="001F60"/>
          <w:spacing w:val="-5"/>
        </w:rPr>
        <w:t xml:space="preserve"> </w:t>
      </w:r>
      <w:r>
        <w:rPr>
          <w:rFonts w:ascii="Calibri" w:hAnsi="Calibri"/>
          <w:color w:val="001F60"/>
        </w:rPr>
        <w:t>de</w:t>
      </w:r>
      <w:r>
        <w:rPr>
          <w:rFonts w:ascii="Calibri" w:hAnsi="Calibri"/>
          <w:color w:val="001F60"/>
          <w:spacing w:val="-2"/>
        </w:rPr>
        <w:t xml:space="preserve"> </w:t>
      </w:r>
      <w:r>
        <w:rPr>
          <w:rFonts w:ascii="Calibri" w:hAnsi="Calibri"/>
          <w:color w:val="001F60"/>
        </w:rPr>
        <w:t>superávit</w:t>
      </w:r>
      <w:r>
        <w:rPr>
          <w:rFonts w:ascii="Calibri" w:hAnsi="Calibri"/>
          <w:color w:val="001F60"/>
          <w:spacing w:val="-2"/>
        </w:rPr>
        <w:t xml:space="preserve"> </w:t>
      </w:r>
      <w:r>
        <w:rPr>
          <w:rFonts w:ascii="Calibri" w:hAnsi="Calibri"/>
          <w:color w:val="001F60"/>
        </w:rPr>
        <w:t>financeiro</w:t>
      </w:r>
      <w:r>
        <w:rPr>
          <w:rFonts w:ascii="Calibri" w:hAnsi="Calibri"/>
          <w:color w:val="001F60"/>
          <w:spacing w:val="-2"/>
        </w:rPr>
        <w:t xml:space="preserve"> </w:t>
      </w:r>
      <w:r>
        <w:rPr>
          <w:rFonts w:ascii="Calibri" w:hAnsi="Calibri"/>
          <w:color w:val="001F60"/>
        </w:rPr>
        <w:t>dos</w:t>
      </w:r>
      <w:r>
        <w:rPr>
          <w:rFonts w:ascii="Calibri" w:hAnsi="Calibri"/>
          <w:color w:val="001F60"/>
          <w:spacing w:val="-5"/>
        </w:rPr>
        <w:t xml:space="preserve"> </w:t>
      </w:r>
      <w:r>
        <w:rPr>
          <w:rFonts w:ascii="Calibri" w:hAnsi="Calibri"/>
          <w:color w:val="001F60"/>
        </w:rPr>
        <w:t>planos</w:t>
      </w:r>
      <w:r>
        <w:rPr>
          <w:rFonts w:ascii="Calibri" w:hAnsi="Calibri"/>
          <w:color w:val="001F60"/>
          <w:spacing w:val="-4"/>
        </w:rPr>
        <w:t xml:space="preserve"> </w:t>
      </w:r>
      <w:r>
        <w:rPr>
          <w:rFonts w:ascii="Calibri" w:hAnsi="Calibri"/>
          <w:color w:val="001F60"/>
        </w:rPr>
        <w:t>PBS-A</w:t>
      </w:r>
      <w:r>
        <w:rPr>
          <w:rFonts w:ascii="Calibri" w:hAnsi="Calibri"/>
          <w:color w:val="001F60"/>
          <w:spacing w:val="-6"/>
        </w:rPr>
        <w:t xml:space="preserve"> </w:t>
      </w:r>
      <w:r>
        <w:rPr>
          <w:rFonts w:ascii="Calibri" w:hAnsi="Calibri"/>
          <w:color w:val="001F60"/>
        </w:rPr>
        <w:t>(ano-base</w:t>
      </w:r>
      <w:r>
        <w:rPr>
          <w:rFonts w:ascii="Calibri" w:hAnsi="Calibri"/>
          <w:color w:val="001F60"/>
          <w:spacing w:val="-4"/>
        </w:rPr>
        <w:t xml:space="preserve"> </w:t>
      </w:r>
      <w:r>
        <w:rPr>
          <w:rFonts w:ascii="Calibri" w:hAnsi="Calibri"/>
          <w:color w:val="001F60"/>
        </w:rPr>
        <w:t>2018)</w:t>
      </w:r>
      <w:r>
        <w:rPr>
          <w:rFonts w:ascii="Calibri" w:hAnsi="Calibri"/>
          <w:color w:val="001F60"/>
          <w:spacing w:val="-2"/>
        </w:rPr>
        <w:t xml:space="preserve"> </w:t>
      </w:r>
      <w:r>
        <w:rPr>
          <w:rFonts w:ascii="Calibri" w:hAnsi="Calibri"/>
          <w:color w:val="001F60"/>
        </w:rPr>
        <w:t>e</w:t>
      </w:r>
      <w:r>
        <w:rPr>
          <w:rFonts w:ascii="Calibri" w:hAnsi="Calibri"/>
          <w:color w:val="001F60"/>
          <w:spacing w:val="-4"/>
        </w:rPr>
        <w:t xml:space="preserve"> </w:t>
      </w:r>
      <w:r>
        <w:rPr>
          <w:rFonts w:ascii="Calibri" w:hAnsi="Calibri"/>
          <w:color w:val="001F60"/>
        </w:rPr>
        <w:t>PBS-Telebras</w:t>
      </w:r>
      <w:r>
        <w:rPr>
          <w:rFonts w:ascii="Calibri" w:hAnsi="Calibri"/>
          <w:color w:val="001F60"/>
          <w:spacing w:val="-2"/>
        </w:rPr>
        <w:t xml:space="preserve"> </w:t>
      </w:r>
      <w:r>
        <w:rPr>
          <w:rFonts w:ascii="Calibri" w:hAnsi="Calibri"/>
          <w:color w:val="001F60"/>
        </w:rPr>
        <w:t>(ano-base</w:t>
      </w:r>
      <w:r>
        <w:rPr>
          <w:rFonts w:ascii="Calibri" w:hAnsi="Calibri"/>
          <w:color w:val="001F60"/>
          <w:spacing w:val="-4"/>
        </w:rPr>
        <w:t xml:space="preserve"> </w:t>
      </w:r>
      <w:r>
        <w:rPr>
          <w:rFonts w:ascii="Calibri" w:hAnsi="Calibri"/>
          <w:color w:val="001F60"/>
        </w:rPr>
        <w:t>2014 e</w:t>
      </w:r>
      <w:r>
        <w:rPr>
          <w:rFonts w:ascii="Calibri" w:hAnsi="Calibri"/>
          <w:color w:val="001F60"/>
          <w:spacing w:val="-8"/>
        </w:rPr>
        <w:t xml:space="preserve"> </w:t>
      </w:r>
      <w:r>
        <w:rPr>
          <w:rFonts w:ascii="Calibri" w:hAnsi="Calibri"/>
          <w:color w:val="001F60"/>
        </w:rPr>
        <w:t>2015),</w:t>
      </w:r>
      <w:r>
        <w:rPr>
          <w:rFonts w:ascii="Calibri" w:hAnsi="Calibri"/>
          <w:color w:val="001F60"/>
          <w:spacing w:val="-8"/>
        </w:rPr>
        <w:t xml:space="preserve"> </w:t>
      </w:r>
      <w:r>
        <w:rPr>
          <w:rFonts w:ascii="Calibri" w:hAnsi="Calibri"/>
          <w:color w:val="001F60"/>
        </w:rPr>
        <w:t>repassados</w:t>
      </w:r>
      <w:r>
        <w:rPr>
          <w:rFonts w:ascii="Calibri" w:hAnsi="Calibri"/>
          <w:color w:val="001F60"/>
          <w:spacing w:val="-10"/>
        </w:rPr>
        <w:t xml:space="preserve"> </w:t>
      </w:r>
      <w:r>
        <w:rPr>
          <w:rFonts w:ascii="Calibri" w:hAnsi="Calibri"/>
          <w:color w:val="001F60"/>
        </w:rPr>
        <w:t>mensalmente</w:t>
      </w:r>
      <w:r>
        <w:rPr>
          <w:rFonts w:ascii="Calibri" w:hAnsi="Calibri"/>
          <w:color w:val="001F60"/>
          <w:spacing w:val="-8"/>
        </w:rPr>
        <w:t xml:space="preserve"> </w:t>
      </w:r>
      <w:r>
        <w:rPr>
          <w:rFonts w:ascii="Calibri" w:hAnsi="Calibri"/>
          <w:color w:val="001F60"/>
        </w:rPr>
        <w:t>conforme</w:t>
      </w:r>
      <w:r>
        <w:rPr>
          <w:rFonts w:ascii="Calibri" w:hAnsi="Calibri"/>
          <w:color w:val="001F60"/>
          <w:spacing w:val="-8"/>
        </w:rPr>
        <w:t xml:space="preserve"> </w:t>
      </w:r>
      <w:r>
        <w:rPr>
          <w:rFonts w:ascii="Calibri" w:hAnsi="Calibri"/>
          <w:color w:val="001F60"/>
        </w:rPr>
        <w:t>acordo</w:t>
      </w:r>
      <w:r>
        <w:rPr>
          <w:rFonts w:ascii="Calibri" w:hAnsi="Calibri"/>
          <w:color w:val="001F60"/>
          <w:spacing w:val="-8"/>
        </w:rPr>
        <w:t xml:space="preserve"> </w:t>
      </w:r>
      <w:r>
        <w:rPr>
          <w:rFonts w:ascii="Calibri" w:hAnsi="Calibri"/>
          <w:color w:val="001F60"/>
        </w:rPr>
        <w:t>firmado</w:t>
      </w:r>
      <w:r>
        <w:rPr>
          <w:rFonts w:ascii="Calibri" w:hAnsi="Calibri"/>
          <w:color w:val="001F60"/>
          <w:spacing w:val="-10"/>
        </w:rPr>
        <w:t xml:space="preserve"> </w:t>
      </w:r>
      <w:r>
        <w:rPr>
          <w:rFonts w:ascii="Calibri" w:hAnsi="Calibri"/>
          <w:color w:val="001F60"/>
        </w:rPr>
        <w:t>entre</w:t>
      </w:r>
      <w:r>
        <w:rPr>
          <w:rFonts w:ascii="Calibri" w:hAnsi="Calibri"/>
          <w:color w:val="001F60"/>
          <w:spacing w:val="-8"/>
        </w:rPr>
        <w:t xml:space="preserve"> </w:t>
      </w:r>
      <w:r>
        <w:rPr>
          <w:rFonts w:ascii="Calibri" w:hAnsi="Calibri"/>
          <w:color w:val="001F60"/>
        </w:rPr>
        <w:t>as</w:t>
      </w:r>
      <w:r>
        <w:rPr>
          <w:rFonts w:ascii="Calibri" w:hAnsi="Calibri"/>
          <w:color w:val="001F60"/>
          <w:spacing w:val="-10"/>
        </w:rPr>
        <w:t xml:space="preserve"> </w:t>
      </w:r>
      <w:r>
        <w:rPr>
          <w:rFonts w:ascii="Calibri" w:hAnsi="Calibri"/>
          <w:color w:val="001F60"/>
        </w:rPr>
        <w:t>instituições.</w:t>
      </w:r>
      <w:r>
        <w:rPr>
          <w:rFonts w:ascii="Calibri" w:hAnsi="Calibri"/>
          <w:color w:val="001F60"/>
          <w:spacing w:val="-10"/>
        </w:rPr>
        <w:t xml:space="preserve"> </w:t>
      </w:r>
      <w:r>
        <w:rPr>
          <w:rFonts w:ascii="Calibri" w:hAnsi="Calibri"/>
          <w:color w:val="001F60"/>
        </w:rPr>
        <w:t>Neste</w:t>
      </w:r>
      <w:r>
        <w:rPr>
          <w:rFonts w:ascii="Calibri" w:hAnsi="Calibri"/>
          <w:color w:val="001F60"/>
          <w:spacing w:val="-8"/>
        </w:rPr>
        <w:t xml:space="preserve"> </w:t>
      </w:r>
      <w:r>
        <w:rPr>
          <w:rFonts w:ascii="Calibri" w:hAnsi="Calibri"/>
          <w:color w:val="001F60"/>
        </w:rPr>
        <w:t>agrupamento constam</w:t>
      </w:r>
      <w:r>
        <w:rPr>
          <w:rFonts w:ascii="Calibri" w:hAnsi="Calibri"/>
          <w:color w:val="001F60"/>
          <w:spacing w:val="-9"/>
        </w:rPr>
        <w:t xml:space="preserve"> </w:t>
      </w:r>
      <w:r>
        <w:rPr>
          <w:rFonts w:ascii="Calibri" w:hAnsi="Calibri"/>
          <w:color w:val="001F60"/>
        </w:rPr>
        <w:t>também</w:t>
      </w:r>
      <w:r>
        <w:rPr>
          <w:rFonts w:ascii="Calibri" w:hAnsi="Calibri"/>
          <w:color w:val="001F60"/>
          <w:spacing w:val="-9"/>
        </w:rPr>
        <w:t xml:space="preserve"> </w:t>
      </w:r>
      <w:r>
        <w:rPr>
          <w:rFonts w:ascii="Calibri" w:hAnsi="Calibri"/>
          <w:color w:val="001F60"/>
        </w:rPr>
        <w:t>as</w:t>
      </w:r>
      <w:r>
        <w:rPr>
          <w:rFonts w:ascii="Calibri" w:hAnsi="Calibri"/>
          <w:color w:val="001F60"/>
          <w:spacing w:val="-10"/>
        </w:rPr>
        <w:t xml:space="preserve"> </w:t>
      </w:r>
      <w:r>
        <w:rPr>
          <w:rFonts w:ascii="Calibri" w:hAnsi="Calibri"/>
          <w:color w:val="001F60"/>
        </w:rPr>
        <w:t>subvenções</w:t>
      </w:r>
      <w:r>
        <w:rPr>
          <w:rFonts w:ascii="Calibri" w:hAnsi="Calibri"/>
          <w:color w:val="001F60"/>
          <w:spacing w:val="-9"/>
        </w:rPr>
        <w:t xml:space="preserve"> </w:t>
      </w:r>
      <w:r>
        <w:rPr>
          <w:rFonts w:ascii="Calibri" w:hAnsi="Calibri"/>
          <w:color w:val="001F60"/>
        </w:rPr>
        <w:t>recebidas</w:t>
      </w:r>
      <w:r>
        <w:rPr>
          <w:rFonts w:ascii="Calibri" w:hAnsi="Calibri"/>
          <w:color w:val="001F60"/>
          <w:spacing w:val="-9"/>
        </w:rPr>
        <w:t xml:space="preserve"> </w:t>
      </w:r>
      <w:r>
        <w:rPr>
          <w:rFonts w:ascii="Calibri" w:hAnsi="Calibri"/>
          <w:color w:val="001F60"/>
        </w:rPr>
        <w:t>no</w:t>
      </w:r>
      <w:r>
        <w:rPr>
          <w:rFonts w:ascii="Calibri" w:hAnsi="Calibri"/>
          <w:color w:val="001F60"/>
          <w:spacing w:val="-9"/>
        </w:rPr>
        <w:t xml:space="preserve"> </w:t>
      </w:r>
      <w:r>
        <w:rPr>
          <w:rFonts w:ascii="Calibri" w:hAnsi="Calibri"/>
          <w:color w:val="001F60"/>
        </w:rPr>
        <w:t>período</w:t>
      </w:r>
      <w:r>
        <w:rPr>
          <w:rFonts w:ascii="Calibri" w:hAnsi="Calibri"/>
          <w:color w:val="001F60"/>
          <w:spacing w:val="-12"/>
        </w:rPr>
        <w:t xml:space="preserve"> </w:t>
      </w:r>
      <w:r>
        <w:rPr>
          <w:rFonts w:ascii="Calibri" w:hAnsi="Calibri"/>
          <w:color w:val="001F60"/>
        </w:rPr>
        <w:t>em</w:t>
      </w:r>
      <w:r>
        <w:rPr>
          <w:rFonts w:ascii="Calibri" w:hAnsi="Calibri"/>
          <w:color w:val="001F60"/>
          <w:spacing w:val="-9"/>
        </w:rPr>
        <w:t xml:space="preserve"> </w:t>
      </w:r>
      <w:r>
        <w:rPr>
          <w:rFonts w:ascii="Calibri" w:hAnsi="Calibri"/>
          <w:color w:val="001F60"/>
        </w:rPr>
        <w:t>que</w:t>
      </w:r>
      <w:r>
        <w:rPr>
          <w:rFonts w:ascii="Calibri" w:hAnsi="Calibri"/>
          <w:color w:val="001F60"/>
          <w:spacing w:val="-9"/>
        </w:rPr>
        <w:t xml:space="preserve"> </w:t>
      </w:r>
      <w:r>
        <w:rPr>
          <w:rFonts w:ascii="Calibri" w:hAnsi="Calibri"/>
          <w:color w:val="001F60"/>
        </w:rPr>
        <w:t>a</w:t>
      </w:r>
      <w:r>
        <w:rPr>
          <w:rFonts w:ascii="Calibri" w:hAnsi="Calibri"/>
          <w:color w:val="001F60"/>
          <w:spacing w:val="-9"/>
        </w:rPr>
        <w:t xml:space="preserve"> </w:t>
      </w:r>
      <w:r>
        <w:rPr>
          <w:rFonts w:ascii="Calibri" w:hAnsi="Calibri"/>
          <w:color w:val="001F60"/>
        </w:rPr>
        <w:t>Telebras</w:t>
      </w:r>
      <w:r>
        <w:rPr>
          <w:rFonts w:ascii="Calibri" w:hAnsi="Calibri"/>
          <w:color w:val="001F60"/>
          <w:spacing w:val="-9"/>
        </w:rPr>
        <w:t xml:space="preserve"> </w:t>
      </w:r>
      <w:r>
        <w:rPr>
          <w:rFonts w:ascii="Calibri" w:hAnsi="Calibri"/>
          <w:color w:val="001F60"/>
        </w:rPr>
        <w:t>integrava</w:t>
      </w:r>
      <w:r>
        <w:rPr>
          <w:rFonts w:ascii="Calibri" w:hAnsi="Calibri"/>
          <w:color w:val="001F60"/>
          <w:spacing w:val="-9"/>
        </w:rPr>
        <w:t xml:space="preserve"> </w:t>
      </w:r>
      <w:r>
        <w:rPr>
          <w:rFonts w:ascii="Calibri" w:hAnsi="Calibri"/>
          <w:color w:val="001F60"/>
        </w:rPr>
        <w:t>o</w:t>
      </w:r>
      <w:r>
        <w:rPr>
          <w:rFonts w:ascii="Calibri" w:hAnsi="Calibri"/>
          <w:color w:val="001F60"/>
          <w:spacing w:val="-9"/>
        </w:rPr>
        <w:t xml:space="preserve"> </w:t>
      </w:r>
      <w:r>
        <w:rPr>
          <w:rFonts w:ascii="Calibri" w:hAnsi="Calibri"/>
          <w:color w:val="001F60"/>
        </w:rPr>
        <w:t>OFSS,</w:t>
      </w:r>
      <w:r>
        <w:rPr>
          <w:rFonts w:ascii="Calibri" w:hAnsi="Calibri"/>
          <w:color w:val="001F60"/>
          <w:spacing w:val="-9"/>
        </w:rPr>
        <w:t xml:space="preserve"> </w:t>
      </w:r>
      <w:r>
        <w:rPr>
          <w:rFonts w:ascii="Calibri" w:hAnsi="Calibri"/>
          <w:color w:val="001F60"/>
        </w:rPr>
        <w:t>destinadas à cobertura de despesas de pessoal.</w:t>
      </w:r>
    </w:p>
    <w:p w14:paraId="41DA6FF5" w14:textId="77777777" w:rsidR="002C6574" w:rsidRDefault="00000000">
      <w:pPr>
        <w:pStyle w:val="Corpodetexto"/>
        <w:spacing w:before="119"/>
        <w:ind w:left="709" w:right="278"/>
        <w:jc w:val="both"/>
        <w:rPr>
          <w:rFonts w:ascii="Calibri" w:hAnsi="Calibri"/>
        </w:rPr>
      </w:pPr>
      <w:r>
        <w:rPr>
          <w:rFonts w:ascii="Calibri" w:hAnsi="Calibri"/>
          <w:color w:val="001F60"/>
        </w:rPr>
        <w:t>Adicionalmente, em outros ingressos correntes incluem entradas de recursos relativas a créditos contingenciados, recuperações e demais receitas eventuais.</w:t>
      </w:r>
    </w:p>
    <w:p w14:paraId="7405EDE1" w14:textId="77777777" w:rsidR="002C6574" w:rsidRDefault="00000000">
      <w:pPr>
        <w:pStyle w:val="Corpodetexto"/>
        <w:spacing w:before="121"/>
        <w:ind w:left="709" w:right="277"/>
        <w:jc w:val="both"/>
        <w:rPr>
          <w:rFonts w:ascii="Calibri" w:hAnsi="Calibri"/>
        </w:rPr>
      </w:pPr>
      <w:r>
        <w:rPr>
          <w:rFonts w:ascii="Calibri" w:hAnsi="Calibri"/>
          <w:color w:val="001F60"/>
        </w:rPr>
        <w:t>Em subvenção econômica, no período em que a Telebras integrava o OFSS, os ingressos destinavam- se</w:t>
      </w:r>
      <w:r>
        <w:rPr>
          <w:rFonts w:ascii="Calibri" w:hAnsi="Calibri"/>
          <w:color w:val="001F60"/>
          <w:spacing w:val="-5"/>
        </w:rPr>
        <w:t xml:space="preserve"> </w:t>
      </w:r>
      <w:r>
        <w:rPr>
          <w:rFonts w:ascii="Calibri" w:hAnsi="Calibri"/>
          <w:color w:val="001F60"/>
        </w:rPr>
        <w:t>à</w:t>
      </w:r>
      <w:r>
        <w:rPr>
          <w:rFonts w:ascii="Calibri" w:hAnsi="Calibri"/>
          <w:color w:val="001F60"/>
          <w:spacing w:val="-7"/>
        </w:rPr>
        <w:t xml:space="preserve"> </w:t>
      </w:r>
      <w:r>
        <w:rPr>
          <w:rFonts w:ascii="Calibri" w:hAnsi="Calibri"/>
          <w:color w:val="001F60"/>
        </w:rPr>
        <w:t>amortização</w:t>
      </w:r>
      <w:r>
        <w:rPr>
          <w:rFonts w:ascii="Calibri" w:hAnsi="Calibri"/>
          <w:color w:val="001F60"/>
          <w:spacing w:val="-5"/>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financiamento</w:t>
      </w:r>
      <w:r>
        <w:rPr>
          <w:rFonts w:ascii="Calibri" w:hAnsi="Calibri"/>
          <w:color w:val="001F60"/>
          <w:spacing w:val="-5"/>
        </w:rPr>
        <w:t xml:space="preserve"> </w:t>
      </w:r>
      <w:r>
        <w:rPr>
          <w:rFonts w:ascii="Calibri" w:hAnsi="Calibri"/>
          <w:color w:val="001F60"/>
        </w:rPr>
        <w:t>contratado</w:t>
      </w:r>
      <w:r>
        <w:rPr>
          <w:rFonts w:ascii="Calibri" w:hAnsi="Calibri"/>
          <w:color w:val="001F60"/>
          <w:spacing w:val="-5"/>
        </w:rPr>
        <w:t xml:space="preserve"> </w:t>
      </w:r>
      <w:r>
        <w:rPr>
          <w:rFonts w:ascii="Calibri" w:hAnsi="Calibri"/>
          <w:color w:val="001F60"/>
        </w:rPr>
        <w:t>junto</w:t>
      </w:r>
      <w:r>
        <w:rPr>
          <w:rFonts w:ascii="Calibri" w:hAnsi="Calibri"/>
          <w:color w:val="001F60"/>
          <w:spacing w:val="-5"/>
        </w:rPr>
        <w:t xml:space="preserve"> </w:t>
      </w:r>
      <w:r>
        <w:rPr>
          <w:rFonts w:ascii="Calibri" w:hAnsi="Calibri"/>
          <w:color w:val="001F60"/>
        </w:rPr>
        <w:t>à</w:t>
      </w:r>
      <w:r>
        <w:rPr>
          <w:rFonts w:ascii="Calibri" w:hAnsi="Calibri"/>
          <w:color w:val="001F60"/>
          <w:spacing w:val="-7"/>
        </w:rPr>
        <w:t xml:space="preserve"> </w:t>
      </w:r>
      <w:r>
        <w:rPr>
          <w:rFonts w:ascii="Calibri" w:hAnsi="Calibri"/>
          <w:color w:val="001F60"/>
        </w:rPr>
        <w:t>Financiadora</w:t>
      </w:r>
      <w:r>
        <w:rPr>
          <w:rFonts w:ascii="Calibri" w:hAnsi="Calibri"/>
          <w:color w:val="001F60"/>
          <w:spacing w:val="-5"/>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Estudos</w:t>
      </w:r>
      <w:r>
        <w:rPr>
          <w:rFonts w:ascii="Calibri" w:hAnsi="Calibri"/>
          <w:color w:val="001F60"/>
          <w:spacing w:val="-9"/>
        </w:rPr>
        <w:t xml:space="preserve"> </w:t>
      </w:r>
      <w:r>
        <w:rPr>
          <w:rFonts w:ascii="Calibri" w:hAnsi="Calibri"/>
          <w:color w:val="001F60"/>
        </w:rPr>
        <w:t>e</w:t>
      </w:r>
      <w:r>
        <w:rPr>
          <w:rFonts w:ascii="Calibri" w:hAnsi="Calibri"/>
          <w:color w:val="001F60"/>
          <w:spacing w:val="-5"/>
        </w:rPr>
        <w:t xml:space="preserve"> </w:t>
      </w:r>
      <w:r>
        <w:rPr>
          <w:rFonts w:ascii="Calibri" w:hAnsi="Calibri"/>
          <w:color w:val="001F60"/>
        </w:rPr>
        <w:t>Projetos</w:t>
      </w:r>
      <w:r>
        <w:rPr>
          <w:rFonts w:ascii="Calibri" w:hAnsi="Calibri"/>
          <w:color w:val="001F60"/>
          <w:spacing w:val="-7"/>
        </w:rPr>
        <w:t xml:space="preserve"> </w:t>
      </w:r>
      <w:r>
        <w:rPr>
          <w:rFonts w:ascii="Calibri" w:hAnsi="Calibri"/>
          <w:color w:val="001F60"/>
        </w:rPr>
        <w:t>(Finep)</w:t>
      </w:r>
      <w:r>
        <w:rPr>
          <w:rFonts w:ascii="Calibri" w:hAnsi="Calibri"/>
          <w:color w:val="001F60"/>
          <w:spacing w:val="-6"/>
        </w:rPr>
        <w:t xml:space="preserve"> </w:t>
      </w:r>
      <w:r>
        <w:rPr>
          <w:rFonts w:ascii="Calibri" w:hAnsi="Calibri"/>
          <w:color w:val="001F60"/>
        </w:rPr>
        <w:t>e</w:t>
      </w:r>
      <w:r>
        <w:rPr>
          <w:rFonts w:ascii="Calibri" w:hAnsi="Calibri"/>
          <w:color w:val="001F60"/>
          <w:spacing w:val="-5"/>
        </w:rPr>
        <w:t xml:space="preserve"> </w:t>
      </w:r>
      <w:r>
        <w:rPr>
          <w:rFonts w:ascii="Calibri" w:hAnsi="Calibri"/>
          <w:color w:val="001F60"/>
        </w:rPr>
        <w:t>ao pagamento de sentenças judiciais.</w:t>
      </w:r>
    </w:p>
    <w:p w14:paraId="2283D5D0" w14:textId="77777777" w:rsidR="002C6574" w:rsidRDefault="00000000">
      <w:pPr>
        <w:pStyle w:val="Corpodetexto"/>
        <w:spacing w:before="120"/>
        <w:ind w:left="709" w:right="276"/>
        <w:jc w:val="both"/>
        <w:rPr>
          <w:rFonts w:ascii="Calibri" w:hAnsi="Calibri"/>
        </w:rPr>
      </w:pPr>
      <w:r>
        <w:rPr>
          <w:rFonts w:ascii="Calibri" w:hAnsi="Calibri"/>
          <w:color w:val="001F60"/>
        </w:rPr>
        <w:t>Como empresa integrante do Orçamento de Investimento (OI) e do Programa de Dispêndios Globais (PDG), a</w:t>
      </w:r>
      <w:r>
        <w:rPr>
          <w:rFonts w:ascii="Calibri" w:hAnsi="Calibri"/>
          <w:color w:val="001F60"/>
          <w:spacing w:val="-1"/>
        </w:rPr>
        <w:t xml:space="preserve"> </w:t>
      </w:r>
      <w:r>
        <w:rPr>
          <w:rFonts w:ascii="Calibri" w:hAnsi="Calibri"/>
          <w:color w:val="001F60"/>
        </w:rPr>
        <w:t>subvenção decorre do acordo firmado entre</w:t>
      </w:r>
      <w:r>
        <w:rPr>
          <w:rFonts w:ascii="Calibri" w:hAnsi="Calibri"/>
          <w:color w:val="001F60"/>
          <w:spacing w:val="-2"/>
        </w:rPr>
        <w:t xml:space="preserve"> </w:t>
      </w:r>
      <w:r>
        <w:rPr>
          <w:rFonts w:ascii="Calibri" w:hAnsi="Calibri"/>
          <w:color w:val="001F60"/>
        </w:rPr>
        <w:t>a Telebras</w:t>
      </w:r>
      <w:r>
        <w:rPr>
          <w:rFonts w:ascii="Calibri" w:hAnsi="Calibri"/>
          <w:color w:val="001F60"/>
          <w:spacing w:val="-2"/>
        </w:rPr>
        <w:t xml:space="preserve"> </w:t>
      </w:r>
      <w:r>
        <w:rPr>
          <w:rFonts w:ascii="Calibri" w:hAnsi="Calibri"/>
          <w:color w:val="001F60"/>
        </w:rPr>
        <w:t>e</w:t>
      </w:r>
      <w:r>
        <w:rPr>
          <w:rFonts w:ascii="Calibri" w:hAnsi="Calibri"/>
          <w:color w:val="001F60"/>
          <w:spacing w:val="-2"/>
        </w:rPr>
        <w:t xml:space="preserve"> </w:t>
      </w:r>
      <w:r>
        <w:rPr>
          <w:rFonts w:ascii="Calibri" w:hAnsi="Calibri"/>
          <w:color w:val="001F60"/>
        </w:rPr>
        <w:t>o MCom (MCom), com a</w:t>
      </w:r>
      <w:r>
        <w:rPr>
          <w:rFonts w:ascii="Calibri" w:hAnsi="Calibri"/>
          <w:color w:val="001F60"/>
          <w:spacing w:val="-1"/>
        </w:rPr>
        <w:t xml:space="preserve"> </w:t>
      </w:r>
      <w:r>
        <w:rPr>
          <w:rFonts w:ascii="Calibri" w:hAnsi="Calibri"/>
          <w:color w:val="001F60"/>
        </w:rPr>
        <w:t xml:space="preserve">finalidade de proporcionar a liquidação de passivos com fornecedores, prestadores de serviços e acordos </w:t>
      </w:r>
      <w:r>
        <w:rPr>
          <w:rFonts w:ascii="Calibri" w:hAnsi="Calibri"/>
          <w:color w:val="001F60"/>
          <w:spacing w:val="-2"/>
        </w:rPr>
        <w:t>extrajudiciais.</w:t>
      </w:r>
    </w:p>
    <w:p w14:paraId="36AE56D1" w14:textId="77777777" w:rsidR="002C6574" w:rsidRDefault="002C6574">
      <w:pPr>
        <w:pStyle w:val="Corpodetexto"/>
        <w:spacing w:before="3"/>
        <w:rPr>
          <w:rFonts w:ascii="Calibri"/>
          <w:sz w:val="14"/>
        </w:rPr>
      </w:pPr>
    </w:p>
    <w:tbl>
      <w:tblPr>
        <w:tblStyle w:val="TableNormal"/>
        <w:tblW w:w="0" w:type="auto"/>
        <w:tblInd w:w="667" w:type="dxa"/>
        <w:tblLayout w:type="fixed"/>
        <w:tblLook w:val="01E0" w:firstRow="1" w:lastRow="1" w:firstColumn="1" w:lastColumn="1" w:noHBand="0" w:noVBand="0"/>
      </w:tblPr>
      <w:tblGrid>
        <w:gridCol w:w="3420"/>
        <w:gridCol w:w="2784"/>
        <w:gridCol w:w="2182"/>
      </w:tblGrid>
      <w:tr w:rsidR="002C6574" w14:paraId="34798970" w14:textId="77777777">
        <w:trPr>
          <w:trHeight w:val="202"/>
        </w:trPr>
        <w:tc>
          <w:tcPr>
            <w:tcW w:w="6204" w:type="dxa"/>
            <w:gridSpan w:val="2"/>
          </w:tcPr>
          <w:p w14:paraId="594569FD" w14:textId="77777777" w:rsidR="002C6574" w:rsidRDefault="002C6574">
            <w:pPr>
              <w:pStyle w:val="TableParagraph"/>
              <w:jc w:val="left"/>
              <w:rPr>
                <w:rFonts w:ascii="Times New Roman"/>
                <w:sz w:val="14"/>
              </w:rPr>
            </w:pPr>
          </w:p>
        </w:tc>
        <w:tc>
          <w:tcPr>
            <w:tcW w:w="2182" w:type="dxa"/>
            <w:tcBorders>
              <w:bottom w:val="single" w:sz="4" w:space="0" w:color="001F60"/>
            </w:tcBorders>
          </w:tcPr>
          <w:p w14:paraId="56FFF57C" w14:textId="77777777" w:rsidR="002C6574" w:rsidRDefault="00000000">
            <w:pPr>
              <w:pStyle w:val="TableParagraph"/>
              <w:spacing w:line="156" w:lineRule="exact"/>
              <w:ind w:left="587"/>
              <w:jc w:val="left"/>
              <w:rPr>
                <w:rFonts w:ascii="Arial" w:hAnsi="Arial"/>
                <w:b/>
                <w:i/>
                <w:sz w:val="14"/>
              </w:rPr>
            </w:pPr>
            <w:r>
              <w:rPr>
                <w:rFonts w:ascii="Arial" w:hAnsi="Arial"/>
                <w:b/>
                <w:i/>
                <w:color w:val="001F60"/>
                <w:sz w:val="14"/>
              </w:rPr>
              <w:t>Valores</w:t>
            </w:r>
            <w:r>
              <w:rPr>
                <w:rFonts w:ascii="Arial" w:hAnsi="Arial"/>
                <w:b/>
                <w:i/>
                <w:color w:val="001F60"/>
                <w:spacing w:val="-5"/>
                <w:sz w:val="14"/>
              </w:rPr>
              <w:t xml:space="preserve"> </w:t>
            </w:r>
            <w:r>
              <w:rPr>
                <w:rFonts w:ascii="Arial" w:hAnsi="Arial"/>
                <w:b/>
                <w:i/>
                <w:color w:val="001F60"/>
                <w:sz w:val="14"/>
              </w:rPr>
              <w:t>em</w:t>
            </w:r>
            <w:r>
              <w:rPr>
                <w:rFonts w:ascii="Arial" w:hAnsi="Arial"/>
                <w:b/>
                <w:i/>
                <w:color w:val="001F60"/>
                <w:spacing w:val="-1"/>
                <w:sz w:val="14"/>
              </w:rPr>
              <w:t xml:space="preserve"> </w:t>
            </w:r>
            <w:r>
              <w:rPr>
                <w:rFonts w:ascii="Arial" w:hAnsi="Arial"/>
                <w:b/>
                <w:i/>
                <w:color w:val="001F60"/>
                <w:sz w:val="14"/>
              </w:rPr>
              <w:t>R$</w:t>
            </w:r>
            <w:r>
              <w:rPr>
                <w:rFonts w:ascii="Arial" w:hAnsi="Arial"/>
                <w:b/>
                <w:i/>
                <w:color w:val="001F60"/>
                <w:spacing w:val="-3"/>
                <w:sz w:val="14"/>
              </w:rPr>
              <w:t xml:space="preserve"> </w:t>
            </w:r>
            <w:r>
              <w:rPr>
                <w:rFonts w:ascii="Arial" w:hAnsi="Arial"/>
                <w:b/>
                <w:i/>
                <w:color w:val="001F60"/>
                <w:spacing w:val="-2"/>
                <w:sz w:val="14"/>
              </w:rPr>
              <w:t>Milhões</w:t>
            </w:r>
          </w:p>
        </w:tc>
      </w:tr>
      <w:tr w:rsidR="002C6574" w14:paraId="5D9BDCEC" w14:textId="77777777">
        <w:trPr>
          <w:trHeight w:val="479"/>
        </w:trPr>
        <w:tc>
          <w:tcPr>
            <w:tcW w:w="3420" w:type="dxa"/>
            <w:tcBorders>
              <w:top w:val="single" w:sz="4" w:space="0" w:color="001F60"/>
              <w:bottom w:val="single" w:sz="4" w:space="0" w:color="001F60"/>
            </w:tcBorders>
          </w:tcPr>
          <w:p w14:paraId="359A5D0A" w14:textId="77777777" w:rsidR="002C6574" w:rsidRDefault="00000000">
            <w:pPr>
              <w:pStyle w:val="TableParagraph"/>
              <w:spacing w:before="159"/>
              <w:ind w:left="895"/>
              <w:jc w:val="left"/>
              <w:rPr>
                <w:rFonts w:ascii="Arial"/>
                <w:b/>
                <w:sz w:val="14"/>
              </w:rPr>
            </w:pPr>
            <w:r>
              <w:rPr>
                <w:rFonts w:ascii="Arial"/>
                <w:b/>
                <w:color w:val="001F60"/>
                <w:sz w:val="14"/>
              </w:rPr>
              <w:t>Ingressos</w:t>
            </w:r>
            <w:r>
              <w:rPr>
                <w:rFonts w:ascii="Arial"/>
                <w:b/>
                <w:color w:val="001F60"/>
                <w:spacing w:val="-4"/>
                <w:sz w:val="14"/>
              </w:rPr>
              <w:t xml:space="preserve"> </w:t>
            </w:r>
            <w:r>
              <w:rPr>
                <w:rFonts w:ascii="Arial"/>
                <w:b/>
                <w:color w:val="001F60"/>
                <w:sz w:val="14"/>
              </w:rPr>
              <w:t>de</w:t>
            </w:r>
            <w:r>
              <w:rPr>
                <w:rFonts w:ascii="Arial"/>
                <w:b/>
                <w:color w:val="001F60"/>
                <w:spacing w:val="-7"/>
                <w:sz w:val="14"/>
              </w:rPr>
              <w:t xml:space="preserve"> </w:t>
            </w:r>
            <w:r>
              <w:rPr>
                <w:rFonts w:ascii="Arial"/>
                <w:b/>
                <w:color w:val="001F60"/>
                <w:spacing w:val="-2"/>
                <w:sz w:val="14"/>
              </w:rPr>
              <w:t>Recursos</w:t>
            </w:r>
          </w:p>
        </w:tc>
        <w:tc>
          <w:tcPr>
            <w:tcW w:w="2784" w:type="dxa"/>
            <w:tcBorders>
              <w:top w:val="single" w:sz="4" w:space="0" w:color="001F60"/>
              <w:bottom w:val="single" w:sz="4" w:space="0" w:color="001F60"/>
            </w:tcBorders>
          </w:tcPr>
          <w:p w14:paraId="7DF009D1" w14:textId="77777777" w:rsidR="002C6574" w:rsidRDefault="002C6574">
            <w:pPr>
              <w:pStyle w:val="TableParagraph"/>
              <w:jc w:val="left"/>
              <w:rPr>
                <w:rFonts w:ascii="Times New Roman"/>
                <w:sz w:val="20"/>
              </w:rPr>
            </w:pPr>
          </w:p>
        </w:tc>
        <w:tc>
          <w:tcPr>
            <w:tcW w:w="2182" w:type="dxa"/>
            <w:tcBorders>
              <w:top w:val="single" w:sz="4" w:space="0" w:color="001F60"/>
              <w:bottom w:val="single" w:sz="4" w:space="0" w:color="001F60"/>
            </w:tcBorders>
          </w:tcPr>
          <w:p w14:paraId="7CB5982C" w14:textId="77777777" w:rsidR="002C6574" w:rsidRDefault="00000000">
            <w:pPr>
              <w:pStyle w:val="TableParagraph"/>
              <w:spacing w:before="159"/>
              <w:ind w:left="1278"/>
              <w:jc w:val="left"/>
              <w:rPr>
                <w:rFonts w:ascii="Arial"/>
                <w:b/>
                <w:sz w:val="14"/>
              </w:rPr>
            </w:pPr>
            <w:r>
              <w:rPr>
                <w:rFonts w:ascii="Arial"/>
                <w:b/>
                <w:color w:val="001F60"/>
                <w:sz w:val="14"/>
              </w:rPr>
              <w:t>Total</w:t>
            </w:r>
            <w:r>
              <w:rPr>
                <w:rFonts w:ascii="Arial"/>
                <w:b/>
                <w:color w:val="001F60"/>
                <w:spacing w:val="-6"/>
                <w:sz w:val="14"/>
              </w:rPr>
              <w:t xml:space="preserve"> </w:t>
            </w:r>
            <w:r>
              <w:rPr>
                <w:rFonts w:ascii="Arial"/>
                <w:b/>
                <w:color w:val="001F60"/>
                <w:spacing w:val="-4"/>
                <w:sz w:val="14"/>
              </w:rPr>
              <w:t>2025</w:t>
            </w:r>
          </w:p>
        </w:tc>
      </w:tr>
      <w:tr w:rsidR="002C6574" w14:paraId="4567EAD1" w14:textId="77777777">
        <w:trPr>
          <w:trHeight w:val="257"/>
        </w:trPr>
        <w:tc>
          <w:tcPr>
            <w:tcW w:w="3420" w:type="dxa"/>
            <w:tcBorders>
              <w:top w:val="single" w:sz="4" w:space="0" w:color="001F60"/>
            </w:tcBorders>
          </w:tcPr>
          <w:p w14:paraId="3F773D33" w14:textId="77777777" w:rsidR="002C6574" w:rsidRDefault="00000000">
            <w:pPr>
              <w:pStyle w:val="TableParagraph"/>
              <w:spacing w:before="46"/>
              <w:ind w:left="856"/>
              <w:jc w:val="left"/>
              <w:rPr>
                <w:rFonts w:ascii="Arial"/>
                <w:b/>
                <w:sz w:val="14"/>
              </w:rPr>
            </w:pPr>
            <w:r>
              <w:rPr>
                <w:rFonts w:ascii="Arial"/>
                <w:b/>
                <w:color w:val="001F60"/>
                <w:sz w:val="14"/>
              </w:rPr>
              <w:t>Receita</w:t>
            </w:r>
            <w:r>
              <w:rPr>
                <w:rFonts w:ascii="Arial"/>
                <w:b/>
                <w:color w:val="001F60"/>
                <w:spacing w:val="-5"/>
                <w:sz w:val="14"/>
              </w:rPr>
              <w:t xml:space="preserve"> </w:t>
            </w:r>
            <w:r>
              <w:rPr>
                <w:rFonts w:ascii="Arial"/>
                <w:b/>
                <w:color w:val="001F60"/>
                <w:sz w:val="14"/>
              </w:rPr>
              <w:t>de</w:t>
            </w:r>
            <w:r>
              <w:rPr>
                <w:rFonts w:ascii="Arial"/>
                <w:b/>
                <w:color w:val="001F60"/>
                <w:spacing w:val="-5"/>
                <w:sz w:val="14"/>
              </w:rPr>
              <w:t xml:space="preserve"> </w:t>
            </w:r>
            <w:r>
              <w:rPr>
                <w:rFonts w:ascii="Arial"/>
                <w:b/>
                <w:color w:val="001F60"/>
                <w:spacing w:val="-2"/>
                <w:sz w:val="14"/>
              </w:rPr>
              <w:t>Capital</w:t>
            </w:r>
          </w:p>
        </w:tc>
        <w:tc>
          <w:tcPr>
            <w:tcW w:w="2784" w:type="dxa"/>
            <w:tcBorders>
              <w:top w:val="single" w:sz="4" w:space="0" w:color="001F60"/>
            </w:tcBorders>
          </w:tcPr>
          <w:p w14:paraId="5C73A3D8" w14:textId="77777777" w:rsidR="002C6574" w:rsidRDefault="002C6574">
            <w:pPr>
              <w:pStyle w:val="TableParagraph"/>
              <w:jc w:val="left"/>
              <w:rPr>
                <w:rFonts w:ascii="Times New Roman"/>
                <w:sz w:val="18"/>
              </w:rPr>
            </w:pPr>
          </w:p>
        </w:tc>
        <w:tc>
          <w:tcPr>
            <w:tcW w:w="2182" w:type="dxa"/>
            <w:tcBorders>
              <w:top w:val="single" w:sz="4" w:space="0" w:color="001F60"/>
            </w:tcBorders>
          </w:tcPr>
          <w:p w14:paraId="5B6178E6" w14:textId="77777777" w:rsidR="002C6574" w:rsidRDefault="00000000">
            <w:pPr>
              <w:pStyle w:val="TableParagraph"/>
              <w:spacing w:before="46"/>
              <w:ind w:left="1439"/>
              <w:jc w:val="left"/>
              <w:rPr>
                <w:rFonts w:ascii="Arial"/>
                <w:b/>
                <w:sz w:val="14"/>
              </w:rPr>
            </w:pPr>
            <w:r>
              <w:rPr>
                <w:rFonts w:ascii="Arial"/>
                <w:b/>
                <w:color w:val="001F60"/>
                <w:spacing w:val="-2"/>
                <w:sz w:val="14"/>
              </w:rPr>
              <w:t>10,41</w:t>
            </w:r>
          </w:p>
        </w:tc>
      </w:tr>
      <w:tr w:rsidR="002C6574" w14:paraId="6E21792A" w14:textId="77777777">
        <w:trPr>
          <w:trHeight w:val="255"/>
        </w:trPr>
        <w:tc>
          <w:tcPr>
            <w:tcW w:w="3420" w:type="dxa"/>
          </w:tcPr>
          <w:p w14:paraId="3EA836E8" w14:textId="77777777" w:rsidR="002C6574" w:rsidRDefault="00000000">
            <w:pPr>
              <w:pStyle w:val="TableParagraph"/>
              <w:spacing w:before="45"/>
              <w:ind w:left="856"/>
              <w:jc w:val="left"/>
              <w:rPr>
                <w:rFonts w:ascii="Arial"/>
                <w:b/>
                <w:sz w:val="14"/>
              </w:rPr>
            </w:pPr>
            <w:r>
              <w:rPr>
                <w:rFonts w:ascii="Arial"/>
                <w:b/>
                <w:color w:val="001F60"/>
                <w:sz w:val="14"/>
              </w:rPr>
              <w:t>Receita</w:t>
            </w:r>
            <w:r>
              <w:rPr>
                <w:rFonts w:ascii="Arial"/>
                <w:b/>
                <w:color w:val="001F60"/>
                <w:spacing w:val="-7"/>
                <w:sz w:val="14"/>
              </w:rPr>
              <w:t xml:space="preserve"> </w:t>
            </w:r>
            <w:r>
              <w:rPr>
                <w:rFonts w:ascii="Arial"/>
                <w:b/>
                <w:color w:val="001F60"/>
                <w:spacing w:val="-2"/>
                <w:sz w:val="14"/>
              </w:rPr>
              <w:t>Corrente</w:t>
            </w:r>
          </w:p>
        </w:tc>
        <w:tc>
          <w:tcPr>
            <w:tcW w:w="2784" w:type="dxa"/>
          </w:tcPr>
          <w:p w14:paraId="564F3A19" w14:textId="77777777" w:rsidR="002C6574" w:rsidRDefault="002C6574">
            <w:pPr>
              <w:pStyle w:val="TableParagraph"/>
              <w:jc w:val="left"/>
              <w:rPr>
                <w:rFonts w:ascii="Times New Roman"/>
                <w:sz w:val="18"/>
              </w:rPr>
            </w:pPr>
          </w:p>
        </w:tc>
        <w:tc>
          <w:tcPr>
            <w:tcW w:w="2182" w:type="dxa"/>
          </w:tcPr>
          <w:p w14:paraId="3874A66D" w14:textId="77777777" w:rsidR="002C6574" w:rsidRDefault="00000000">
            <w:pPr>
              <w:pStyle w:val="TableParagraph"/>
              <w:spacing w:before="45"/>
              <w:ind w:left="1363"/>
              <w:jc w:val="left"/>
              <w:rPr>
                <w:rFonts w:ascii="Arial"/>
                <w:b/>
                <w:sz w:val="14"/>
              </w:rPr>
            </w:pPr>
            <w:r>
              <w:rPr>
                <w:rFonts w:ascii="Arial"/>
                <w:b/>
                <w:color w:val="001F60"/>
                <w:spacing w:val="-2"/>
                <w:sz w:val="14"/>
              </w:rPr>
              <w:t>641,87</w:t>
            </w:r>
          </w:p>
        </w:tc>
      </w:tr>
      <w:tr w:rsidR="002C6574" w14:paraId="5D9A3CFE" w14:textId="77777777">
        <w:trPr>
          <w:trHeight w:val="254"/>
        </w:trPr>
        <w:tc>
          <w:tcPr>
            <w:tcW w:w="3420" w:type="dxa"/>
          </w:tcPr>
          <w:p w14:paraId="15322ABC" w14:textId="77777777" w:rsidR="002C6574" w:rsidRDefault="00000000">
            <w:pPr>
              <w:pStyle w:val="TableParagraph"/>
              <w:spacing w:before="44"/>
              <w:ind w:left="1396"/>
              <w:jc w:val="left"/>
              <w:rPr>
                <w:rFonts w:ascii="Arial MT" w:hAnsi="Arial MT"/>
                <w:sz w:val="14"/>
              </w:rPr>
            </w:pPr>
            <w:r>
              <w:rPr>
                <w:rFonts w:ascii="Arial MT" w:hAnsi="Arial MT"/>
                <w:color w:val="001F60"/>
                <w:sz w:val="14"/>
              </w:rPr>
              <w:t>Venda</w:t>
            </w:r>
            <w:r>
              <w:rPr>
                <w:rFonts w:ascii="Arial MT" w:hAnsi="Arial MT"/>
                <w:color w:val="001F60"/>
                <w:spacing w:val="-5"/>
                <w:sz w:val="14"/>
              </w:rPr>
              <w:t xml:space="preserve"> </w:t>
            </w:r>
            <w:r>
              <w:rPr>
                <w:rFonts w:ascii="Arial MT" w:hAnsi="Arial MT"/>
                <w:color w:val="001F60"/>
                <w:sz w:val="14"/>
              </w:rPr>
              <w:t>de</w:t>
            </w:r>
            <w:r>
              <w:rPr>
                <w:rFonts w:ascii="Arial MT" w:hAnsi="Arial MT"/>
                <w:color w:val="001F60"/>
                <w:spacing w:val="-5"/>
                <w:sz w:val="14"/>
              </w:rPr>
              <w:t xml:space="preserve"> </w:t>
            </w:r>
            <w:r>
              <w:rPr>
                <w:rFonts w:ascii="Arial MT" w:hAnsi="Arial MT"/>
                <w:color w:val="001F60"/>
                <w:sz w:val="14"/>
              </w:rPr>
              <w:t>Produtos</w:t>
            </w:r>
            <w:r>
              <w:rPr>
                <w:rFonts w:ascii="Arial MT" w:hAnsi="Arial MT"/>
                <w:color w:val="001F60"/>
                <w:spacing w:val="-1"/>
                <w:sz w:val="14"/>
              </w:rPr>
              <w:t xml:space="preserve"> </w:t>
            </w:r>
            <w:r>
              <w:rPr>
                <w:rFonts w:ascii="Arial MT" w:hAnsi="Arial MT"/>
                <w:color w:val="001F60"/>
                <w:sz w:val="14"/>
              </w:rPr>
              <w:t>e</w:t>
            </w:r>
            <w:r>
              <w:rPr>
                <w:rFonts w:ascii="Arial MT" w:hAnsi="Arial MT"/>
                <w:color w:val="001F60"/>
                <w:spacing w:val="-4"/>
                <w:sz w:val="14"/>
              </w:rPr>
              <w:t xml:space="preserve"> </w:t>
            </w:r>
            <w:r>
              <w:rPr>
                <w:rFonts w:ascii="Arial MT" w:hAnsi="Arial MT"/>
                <w:color w:val="001F60"/>
                <w:spacing w:val="-2"/>
                <w:sz w:val="14"/>
              </w:rPr>
              <w:t>Serviços</w:t>
            </w:r>
          </w:p>
        </w:tc>
        <w:tc>
          <w:tcPr>
            <w:tcW w:w="2784" w:type="dxa"/>
          </w:tcPr>
          <w:p w14:paraId="409E261E" w14:textId="77777777" w:rsidR="002C6574" w:rsidRDefault="002C6574">
            <w:pPr>
              <w:pStyle w:val="TableParagraph"/>
              <w:jc w:val="left"/>
              <w:rPr>
                <w:rFonts w:ascii="Times New Roman"/>
                <w:sz w:val="18"/>
              </w:rPr>
            </w:pPr>
          </w:p>
        </w:tc>
        <w:tc>
          <w:tcPr>
            <w:tcW w:w="2182" w:type="dxa"/>
          </w:tcPr>
          <w:p w14:paraId="0E29331B" w14:textId="77777777" w:rsidR="002C6574" w:rsidRDefault="00000000">
            <w:pPr>
              <w:pStyle w:val="TableParagraph"/>
              <w:spacing w:before="44"/>
              <w:ind w:left="1363"/>
              <w:jc w:val="left"/>
              <w:rPr>
                <w:rFonts w:ascii="Arial MT"/>
                <w:sz w:val="14"/>
              </w:rPr>
            </w:pPr>
            <w:r>
              <w:rPr>
                <w:rFonts w:ascii="Arial MT"/>
                <w:color w:val="001F60"/>
                <w:spacing w:val="-2"/>
                <w:sz w:val="14"/>
              </w:rPr>
              <w:t>217,03</w:t>
            </w:r>
          </w:p>
        </w:tc>
      </w:tr>
      <w:tr w:rsidR="002C6574" w14:paraId="2D46C90B" w14:textId="77777777">
        <w:trPr>
          <w:trHeight w:val="254"/>
        </w:trPr>
        <w:tc>
          <w:tcPr>
            <w:tcW w:w="3420" w:type="dxa"/>
          </w:tcPr>
          <w:p w14:paraId="0122C03B" w14:textId="77777777" w:rsidR="002C6574" w:rsidRDefault="00000000">
            <w:pPr>
              <w:pStyle w:val="TableParagraph"/>
              <w:spacing w:before="44"/>
              <w:ind w:left="1396"/>
              <w:jc w:val="left"/>
              <w:rPr>
                <w:rFonts w:ascii="Arial MT"/>
                <w:sz w:val="14"/>
              </w:rPr>
            </w:pPr>
            <w:r>
              <w:rPr>
                <w:rFonts w:ascii="Arial MT"/>
                <w:color w:val="001F60"/>
                <w:sz w:val="14"/>
              </w:rPr>
              <w:t>Adiantamentos</w:t>
            </w:r>
            <w:r>
              <w:rPr>
                <w:rFonts w:ascii="Arial MT"/>
                <w:color w:val="001F60"/>
                <w:spacing w:val="-10"/>
                <w:sz w:val="14"/>
              </w:rPr>
              <w:t xml:space="preserve"> </w:t>
            </w:r>
            <w:r>
              <w:rPr>
                <w:rFonts w:ascii="Arial MT"/>
                <w:color w:val="001F60"/>
                <w:spacing w:val="-2"/>
                <w:sz w:val="14"/>
              </w:rPr>
              <w:t>Recebidos</w:t>
            </w:r>
          </w:p>
        </w:tc>
        <w:tc>
          <w:tcPr>
            <w:tcW w:w="2784" w:type="dxa"/>
          </w:tcPr>
          <w:p w14:paraId="2D3556C0" w14:textId="77777777" w:rsidR="002C6574" w:rsidRDefault="002C6574">
            <w:pPr>
              <w:pStyle w:val="TableParagraph"/>
              <w:jc w:val="left"/>
              <w:rPr>
                <w:rFonts w:ascii="Times New Roman"/>
                <w:sz w:val="18"/>
              </w:rPr>
            </w:pPr>
          </w:p>
        </w:tc>
        <w:tc>
          <w:tcPr>
            <w:tcW w:w="2182" w:type="dxa"/>
          </w:tcPr>
          <w:p w14:paraId="724DC9E2" w14:textId="77777777" w:rsidR="002C6574" w:rsidRDefault="00000000">
            <w:pPr>
              <w:pStyle w:val="TableParagraph"/>
              <w:spacing w:before="44"/>
              <w:ind w:right="427"/>
              <w:rPr>
                <w:rFonts w:ascii="Arial MT"/>
                <w:sz w:val="14"/>
              </w:rPr>
            </w:pPr>
            <w:r>
              <w:rPr>
                <w:rFonts w:ascii="Arial MT"/>
                <w:color w:val="001F60"/>
                <w:spacing w:val="-4"/>
                <w:sz w:val="14"/>
              </w:rPr>
              <w:t>0,06</w:t>
            </w:r>
          </w:p>
        </w:tc>
      </w:tr>
      <w:tr w:rsidR="002C6574" w14:paraId="2F23DCDA" w14:textId="77777777">
        <w:trPr>
          <w:trHeight w:val="255"/>
        </w:trPr>
        <w:tc>
          <w:tcPr>
            <w:tcW w:w="3420" w:type="dxa"/>
          </w:tcPr>
          <w:p w14:paraId="0F9B7674" w14:textId="77777777" w:rsidR="002C6574" w:rsidRDefault="00000000">
            <w:pPr>
              <w:pStyle w:val="TableParagraph"/>
              <w:spacing w:before="44"/>
              <w:ind w:left="1396"/>
              <w:jc w:val="left"/>
              <w:rPr>
                <w:rFonts w:ascii="Arial MT"/>
                <w:sz w:val="14"/>
              </w:rPr>
            </w:pPr>
            <w:r>
              <w:rPr>
                <w:rFonts w:ascii="Arial MT"/>
                <w:color w:val="001F60"/>
                <w:sz w:val="14"/>
              </w:rPr>
              <w:t>Receitas</w:t>
            </w:r>
            <w:r>
              <w:rPr>
                <w:rFonts w:ascii="Arial MT"/>
                <w:color w:val="001F60"/>
                <w:spacing w:val="-5"/>
                <w:sz w:val="14"/>
              </w:rPr>
              <w:t xml:space="preserve"> </w:t>
            </w:r>
            <w:r>
              <w:rPr>
                <w:rFonts w:ascii="Arial MT"/>
                <w:color w:val="001F60"/>
                <w:spacing w:val="-2"/>
                <w:sz w:val="14"/>
              </w:rPr>
              <w:t>Financeiras</w:t>
            </w:r>
          </w:p>
        </w:tc>
        <w:tc>
          <w:tcPr>
            <w:tcW w:w="2784" w:type="dxa"/>
          </w:tcPr>
          <w:p w14:paraId="5A1BF03E" w14:textId="77777777" w:rsidR="002C6574" w:rsidRDefault="002C6574">
            <w:pPr>
              <w:pStyle w:val="TableParagraph"/>
              <w:jc w:val="left"/>
              <w:rPr>
                <w:rFonts w:ascii="Times New Roman"/>
                <w:sz w:val="18"/>
              </w:rPr>
            </w:pPr>
          </w:p>
        </w:tc>
        <w:tc>
          <w:tcPr>
            <w:tcW w:w="2182" w:type="dxa"/>
          </w:tcPr>
          <w:p w14:paraId="7CDC6BE3" w14:textId="77777777" w:rsidR="002C6574" w:rsidRDefault="00000000">
            <w:pPr>
              <w:pStyle w:val="TableParagraph"/>
              <w:spacing w:before="44"/>
              <w:ind w:left="1363"/>
              <w:jc w:val="left"/>
              <w:rPr>
                <w:rFonts w:ascii="Arial MT"/>
                <w:sz w:val="14"/>
              </w:rPr>
            </w:pPr>
            <w:r>
              <w:rPr>
                <w:rFonts w:ascii="Arial MT"/>
                <w:color w:val="001F60"/>
                <w:spacing w:val="-2"/>
                <w:sz w:val="14"/>
              </w:rPr>
              <w:t>227,97</w:t>
            </w:r>
          </w:p>
        </w:tc>
      </w:tr>
      <w:tr w:rsidR="002C6574" w14:paraId="04EE6BBB" w14:textId="77777777">
        <w:trPr>
          <w:trHeight w:val="255"/>
        </w:trPr>
        <w:tc>
          <w:tcPr>
            <w:tcW w:w="3420" w:type="dxa"/>
          </w:tcPr>
          <w:p w14:paraId="0DDC5491" w14:textId="77777777" w:rsidR="002C6574" w:rsidRDefault="00000000">
            <w:pPr>
              <w:pStyle w:val="TableParagraph"/>
              <w:spacing w:before="45"/>
              <w:ind w:left="1396"/>
              <w:jc w:val="left"/>
              <w:rPr>
                <w:rFonts w:ascii="Arial MT"/>
                <w:sz w:val="14"/>
              </w:rPr>
            </w:pPr>
            <w:r>
              <w:rPr>
                <w:rFonts w:ascii="Arial MT"/>
                <w:color w:val="001F60"/>
                <w:sz w:val="14"/>
              </w:rPr>
              <w:t>Outros</w:t>
            </w:r>
            <w:r>
              <w:rPr>
                <w:rFonts w:ascii="Arial MT"/>
                <w:color w:val="001F60"/>
                <w:spacing w:val="-6"/>
                <w:sz w:val="14"/>
              </w:rPr>
              <w:t xml:space="preserve"> </w:t>
            </w:r>
            <w:r>
              <w:rPr>
                <w:rFonts w:ascii="Arial MT"/>
                <w:color w:val="001F60"/>
                <w:sz w:val="14"/>
              </w:rPr>
              <w:t>Ingressos</w:t>
            </w:r>
            <w:r>
              <w:rPr>
                <w:rFonts w:ascii="Arial MT"/>
                <w:color w:val="001F60"/>
                <w:spacing w:val="-5"/>
                <w:sz w:val="14"/>
              </w:rPr>
              <w:t xml:space="preserve"> </w:t>
            </w:r>
            <w:r>
              <w:rPr>
                <w:rFonts w:ascii="Arial MT"/>
                <w:color w:val="001F60"/>
                <w:spacing w:val="-2"/>
                <w:sz w:val="14"/>
              </w:rPr>
              <w:t>Correntes</w:t>
            </w:r>
          </w:p>
        </w:tc>
        <w:tc>
          <w:tcPr>
            <w:tcW w:w="2784" w:type="dxa"/>
          </w:tcPr>
          <w:p w14:paraId="58A4E916" w14:textId="77777777" w:rsidR="002C6574" w:rsidRDefault="002C6574">
            <w:pPr>
              <w:pStyle w:val="TableParagraph"/>
              <w:jc w:val="left"/>
              <w:rPr>
                <w:rFonts w:ascii="Times New Roman"/>
                <w:sz w:val="18"/>
              </w:rPr>
            </w:pPr>
          </w:p>
        </w:tc>
        <w:tc>
          <w:tcPr>
            <w:tcW w:w="2182" w:type="dxa"/>
          </w:tcPr>
          <w:p w14:paraId="498EC37D" w14:textId="77777777" w:rsidR="002C6574" w:rsidRDefault="00000000">
            <w:pPr>
              <w:pStyle w:val="TableParagraph"/>
              <w:spacing w:before="45"/>
              <w:ind w:left="1363"/>
              <w:jc w:val="left"/>
              <w:rPr>
                <w:rFonts w:ascii="Arial MT"/>
                <w:sz w:val="14"/>
              </w:rPr>
            </w:pPr>
            <w:r>
              <w:rPr>
                <w:rFonts w:ascii="Arial MT"/>
                <w:color w:val="001F60"/>
                <w:spacing w:val="-2"/>
                <w:sz w:val="14"/>
              </w:rPr>
              <w:t>196,80</w:t>
            </w:r>
          </w:p>
        </w:tc>
      </w:tr>
      <w:tr w:rsidR="002C6574" w14:paraId="0E228B5E" w14:textId="77777777">
        <w:trPr>
          <w:trHeight w:val="252"/>
        </w:trPr>
        <w:tc>
          <w:tcPr>
            <w:tcW w:w="3420" w:type="dxa"/>
            <w:tcBorders>
              <w:bottom w:val="single" w:sz="4" w:space="0" w:color="001F60"/>
            </w:tcBorders>
          </w:tcPr>
          <w:p w14:paraId="49A785D4" w14:textId="77777777" w:rsidR="002C6574" w:rsidRDefault="00000000">
            <w:pPr>
              <w:pStyle w:val="TableParagraph"/>
              <w:spacing w:before="44"/>
              <w:ind w:left="856"/>
              <w:jc w:val="left"/>
              <w:rPr>
                <w:rFonts w:ascii="Arial" w:hAnsi="Arial"/>
                <w:b/>
                <w:sz w:val="14"/>
              </w:rPr>
            </w:pPr>
            <w:r>
              <w:rPr>
                <w:rFonts w:ascii="Arial" w:hAnsi="Arial"/>
                <w:b/>
                <w:color w:val="001F60"/>
                <w:spacing w:val="-2"/>
                <w:sz w:val="14"/>
              </w:rPr>
              <w:t>Subvenção</w:t>
            </w:r>
            <w:r>
              <w:rPr>
                <w:rFonts w:ascii="Arial" w:hAnsi="Arial"/>
                <w:b/>
                <w:color w:val="001F60"/>
                <w:spacing w:val="7"/>
                <w:sz w:val="14"/>
              </w:rPr>
              <w:t xml:space="preserve"> </w:t>
            </w:r>
            <w:r>
              <w:rPr>
                <w:rFonts w:ascii="Arial" w:hAnsi="Arial"/>
                <w:b/>
                <w:color w:val="001F60"/>
                <w:spacing w:val="-2"/>
                <w:sz w:val="14"/>
              </w:rPr>
              <w:t>Econômica</w:t>
            </w:r>
          </w:p>
        </w:tc>
        <w:tc>
          <w:tcPr>
            <w:tcW w:w="2784" w:type="dxa"/>
            <w:tcBorders>
              <w:bottom w:val="single" w:sz="4" w:space="0" w:color="001F60"/>
            </w:tcBorders>
          </w:tcPr>
          <w:p w14:paraId="3AC5E5E4" w14:textId="77777777" w:rsidR="002C6574" w:rsidRDefault="002C6574">
            <w:pPr>
              <w:pStyle w:val="TableParagraph"/>
              <w:jc w:val="left"/>
              <w:rPr>
                <w:rFonts w:ascii="Times New Roman"/>
                <w:sz w:val="18"/>
              </w:rPr>
            </w:pPr>
          </w:p>
        </w:tc>
        <w:tc>
          <w:tcPr>
            <w:tcW w:w="2182" w:type="dxa"/>
            <w:tcBorders>
              <w:bottom w:val="single" w:sz="4" w:space="0" w:color="001F60"/>
            </w:tcBorders>
          </w:tcPr>
          <w:p w14:paraId="5511276E" w14:textId="77777777" w:rsidR="002C6574" w:rsidRDefault="00000000">
            <w:pPr>
              <w:pStyle w:val="TableParagraph"/>
              <w:spacing w:before="44"/>
              <w:ind w:left="1363"/>
              <w:jc w:val="left"/>
              <w:rPr>
                <w:rFonts w:ascii="Arial"/>
                <w:b/>
                <w:sz w:val="14"/>
              </w:rPr>
            </w:pPr>
            <w:r>
              <w:rPr>
                <w:rFonts w:ascii="Arial"/>
                <w:b/>
                <w:color w:val="001F60"/>
                <w:spacing w:val="-2"/>
                <w:sz w:val="14"/>
              </w:rPr>
              <w:t>370,72</w:t>
            </w:r>
          </w:p>
        </w:tc>
      </w:tr>
      <w:tr w:rsidR="002C6574" w14:paraId="6B089016" w14:textId="77777777">
        <w:trPr>
          <w:trHeight w:val="254"/>
        </w:trPr>
        <w:tc>
          <w:tcPr>
            <w:tcW w:w="3420" w:type="dxa"/>
            <w:tcBorders>
              <w:top w:val="single" w:sz="4" w:space="0" w:color="001F60"/>
              <w:bottom w:val="single" w:sz="4" w:space="0" w:color="001F60"/>
            </w:tcBorders>
          </w:tcPr>
          <w:p w14:paraId="5E4957E8" w14:textId="77777777" w:rsidR="002C6574" w:rsidRDefault="00000000">
            <w:pPr>
              <w:pStyle w:val="TableParagraph"/>
              <w:spacing w:before="46"/>
              <w:ind w:left="856"/>
              <w:jc w:val="left"/>
              <w:rPr>
                <w:rFonts w:ascii="Arial"/>
                <w:b/>
                <w:sz w:val="14"/>
              </w:rPr>
            </w:pPr>
            <w:r>
              <w:rPr>
                <w:rFonts w:ascii="Arial"/>
                <w:b/>
                <w:color w:val="001F60"/>
                <w:spacing w:val="-2"/>
                <w:sz w:val="14"/>
              </w:rPr>
              <w:t>TOTAL</w:t>
            </w:r>
          </w:p>
        </w:tc>
        <w:tc>
          <w:tcPr>
            <w:tcW w:w="2784" w:type="dxa"/>
            <w:tcBorders>
              <w:top w:val="single" w:sz="4" w:space="0" w:color="001F60"/>
              <w:bottom w:val="single" w:sz="4" w:space="0" w:color="001F60"/>
            </w:tcBorders>
          </w:tcPr>
          <w:p w14:paraId="3EBE596A" w14:textId="77777777" w:rsidR="002C6574" w:rsidRDefault="002C6574">
            <w:pPr>
              <w:pStyle w:val="TableParagraph"/>
              <w:jc w:val="left"/>
              <w:rPr>
                <w:rFonts w:ascii="Times New Roman"/>
                <w:sz w:val="18"/>
              </w:rPr>
            </w:pPr>
          </w:p>
        </w:tc>
        <w:tc>
          <w:tcPr>
            <w:tcW w:w="2182" w:type="dxa"/>
            <w:tcBorders>
              <w:top w:val="single" w:sz="4" w:space="0" w:color="001F60"/>
              <w:bottom w:val="single" w:sz="4" w:space="0" w:color="001F60"/>
            </w:tcBorders>
          </w:tcPr>
          <w:p w14:paraId="27791432" w14:textId="77777777" w:rsidR="002C6574" w:rsidRDefault="00000000">
            <w:pPr>
              <w:pStyle w:val="TableParagraph"/>
              <w:spacing w:before="46"/>
              <w:ind w:left="1245"/>
              <w:jc w:val="left"/>
              <w:rPr>
                <w:rFonts w:ascii="Arial"/>
                <w:b/>
                <w:sz w:val="14"/>
              </w:rPr>
            </w:pPr>
            <w:r>
              <w:rPr>
                <w:rFonts w:ascii="Arial"/>
                <w:b/>
                <w:color w:val="001F60"/>
                <w:spacing w:val="-2"/>
                <w:sz w:val="14"/>
              </w:rPr>
              <w:t>1.022,99</w:t>
            </w:r>
          </w:p>
        </w:tc>
      </w:tr>
      <w:tr w:rsidR="002C6574" w14:paraId="6220B8BC" w14:textId="77777777">
        <w:trPr>
          <w:trHeight w:val="307"/>
        </w:trPr>
        <w:tc>
          <w:tcPr>
            <w:tcW w:w="3420" w:type="dxa"/>
            <w:tcBorders>
              <w:top w:val="single" w:sz="4" w:space="0" w:color="001F60"/>
            </w:tcBorders>
          </w:tcPr>
          <w:p w14:paraId="428C9899" w14:textId="77777777" w:rsidR="002C6574" w:rsidRDefault="00000000">
            <w:pPr>
              <w:pStyle w:val="TableParagraph"/>
              <w:spacing w:before="48"/>
              <w:ind w:left="856"/>
              <w:jc w:val="left"/>
              <w:rPr>
                <w:rFonts w:ascii="Arial"/>
                <w:i/>
                <w:sz w:val="14"/>
              </w:rPr>
            </w:pPr>
            <w:r>
              <w:rPr>
                <w:rFonts w:ascii="Arial"/>
                <w:b/>
                <w:color w:val="001F60"/>
                <w:sz w:val="14"/>
              </w:rPr>
              <w:t>Fonte:</w:t>
            </w:r>
            <w:r>
              <w:rPr>
                <w:rFonts w:ascii="Arial"/>
                <w:b/>
                <w:color w:val="001F60"/>
                <w:spacing w:val="-8"/>
                <w:sz w:val="14"/>
              </w:rPr>
              <w:t xml:space="preserve"> </w:t>
            </w:r>
            <w:r>
              <w:rPr>
                <w:rFonts w:ascii="Arial"/>
                <w:i/>
                <w:color w:val="001F60"/>
                <w:spacing w:val="-5"/>
                <w:sz w:val="14"/>
              </w:rPr>
              <w:t>SAP</w:t>
            </w:r>
          </w:p>
        </w:tc>
        <w:tc>
          <w:tcPr>
            <w:tcW w:w="2784" w:type="dxa"/>
            <w:tcBorders>
              <w:top w:val="single" w:sz="4" w:space="0" w:color="001F60"/>
            </w:tcBorders>
          </w:tcPr>
          <w:p w14:paraId="26C7021F" w14:textId="77777777" w:rsidR="002C6574" w:rsidRDefault="002C6574">
            <w:pPr>
              <w:pStyle w:val="TableParagraph"/>
              <w:jc w:val="left"/>
              <w:rPr>
                <w:rFonts w:ascii="Times New Roman"/>
                <w:sz w:val="20"/>
              </w:rPr>
            </w:pPr>
          </w:p>
        </w:tc>
        <w:tc>
          <w:tcPr>
            <w:tcW w:w="2182" w:type="dxa"/>
            <w:tcBorders>
              <w:top w:val="single" w:sz="4" w:space="0" w:color="001F60"/>
            </w:tcBorders>
          </w:tcPr>
          <w:p w14:paraId="3BA91F40" w14:textId="77777777" w:rsidR="002C6574" w:rsidRDefault="002C6574">
            <w:pPr>
              <w:pStyle w:val="TableParagraph"/>
              <w:jc w:val="left"/>
              <w:rPr>
                <w:rFonts w:ascii="Times New Roman"/>
                <w:sz w:val="20"/>
              </w:rPr>
            </w:pPr>
          </w:p>
        </w:tc>
      </w:tr>
      <w:tr w:rsidR="002C6574" w14:paraId="36D0BF5B" w14:textId="77777777">
        <w:trPr>
          <w:trHeight w:val="258"/>
        </w:trPr>
        <w:tc>
          <w:tcPr>
            <w:tcW w:w="3420" w:type="dxa"/>
          </w:tcPr>
          <w:p w14:paraId="1C5BE003" w14:textId="77777777" w:rsidR="002C6574" w:rsidRDefault="002C6574">
            <w:pPr>
              <w:pStyle w:val="TableParagraph"/>
              <w:jc w:val="left"/>
              <w:rPr>
                <w:rFonts w:ascii="Times New Roman"/>
                <w:sz w:val="18"/>
              </w:rPr>
            </w:pPr>
          </w:p>
        </w:tc>
        <w:tc>
          <w:tcPr>
            <w:tcW w:w="2784" w:type="dxa"/>
          </w:tcPr>
          <w:p w14:paraId="0BAD9328" w14:textId="77777777" w:rsidR="002C6574" w:rsidRDefault="00000000">
            <w:pPr>
              <w:pStyle w:val="TableParagraph"/>
              <w:spacing w:before="66" w:line="173" w:lineRule="exact"/>
              <w:ind w:left="134"/>
              <w:jc w:val="left"/>
              <w:rPr>
                <w:rFonts w:ascii="Calibri"/>
                <w:sz w:val="16"/>
              </w:rPr>
            </w:pPr>
            <w:r>
              <w:rPr>
                <w:rFonts w:ascii="Calibri"/>
                <w:color w:val="001F60"/>
                <w:sz w:val="16"/>
              </w:rPr>
              <w:t>Tabela</w:t>
            </w:r>
            <w:r>
              <w:rPr>
                <w:rFonts w:ascii="Calibri"/>
                <w:color w:val="001F60"/>
                <w:spacing w:val="-4"/>
                <w:sz w:val="16"/>
              </w:rPr>
              <w:t xml:space="preserve"> </w:t>
            </w:r>
            <w:r>
              <w:rPr>
                <w:rFonts w:ascii="Calibri"/>
                <w:color w:val="001F60"/>
                <w:sz w:val="16"/>
              </w:rPr>
              <w:t>3-12</w:t>
            </w:r>
            <w:r>
              <w:rPr>
                <w:rFonts w:ascii="Calibri"/>
                <w:color w:val="001F60"/>
                <w:spacing w:val="-3"/>
                <w:sz w:val="16"/>
              </w:rPr>
              <w:t xml:space="preserve"> </w:t>
            </w:r>
            <w:r>
              <w:rPr>
                <w:rFonts w:ascii="Calibri"/>
                <w:color w:val="001F60"/>
                <w:sz w:val="16"/>
              </w:rPr>
              <w:t>Receita</w:t>
            </w:r>
            <w:r>
              <w:rPr>
                <w:rFonts w:ascii="Calibri"/>
                <w:color w:val="001F60"/>
                <w:spacing w:val="-4"/>
                <w:sz w:val="16"/>
              </w:rPr>
              <w:t xml:space="preserve"> </w:t>
            </w:r>
            <w:r>
              <w:rPr>
                <w:rFonts w:ascii="Calibri"/>
                <w:color w:val="001F60"/>
                <w:spacing w:val="-2"/>
                <w:sz w:val="16"/>
              </w:rPr>
              <w:t>Arrecadada</w:t>
            </w:r>
          </w:p>
        </w:tc>
        <w:tc>
          <w:tcPr>
            <w:tcW w:w="2182" w:type="dxa"/>
          </w:tcPr>
          <w:p w14:paraId="1CF324A0" w14:textId="77777777" w:rsidR="002C6574" w:rsidRDefault="002C6574">
            <w:pPr>
              <w:pStyle w:val="TableParagraph"/>
              <w:jc w:val="left"/>
              <w:rPr>
                <w:rFonts w:ascii="Times New Roman"/>
                <w:sz w:val="18"/>
              </w:rPr>
            </w:pPr>
          </w:p>
        </w:tc>
      </w:tr>
    </w:tbl>
    <w:p w14:paraId="0149C680" w14:textId="77777777" w:rsidR="002C6574" w:rsidRDefault="002C6574">
      <w:pPr>
        <w:pStyle w:val="Corpodetexto"/>
        <w:spacing w:before="221"/>
        <w:rPr>
          <w:rFonts w:ascii="Calibri"/>
        </w:rPr>
      </w:pPr>
    </w:p>
    <w:p w14:paraId="0650D812" w14:textId="77777777" w:rsidR="002C6574" w:rsidRDefault="00000000">
      <w:pPr>
        <w:numPr>
          <w:ilvl w:val="2"/>
          <w:numId w:val="74"/>
        </w:numPr>
        <w:tabs>
          <w:tab w:val="left" w:pos="1417"/>
        </w:tabs>
        <w:rPr>
          <w:rFonts w:ascii="Calibri" w:hAnsi="Calibri"/>
          <w:b/>
        </w:rPr>
      </w:pPr>
      <w:r>
        <w:rPr>
          <w:rFonts w:ascii="Calibri" w:hAnsi="Calibri"/>
          <w:b/>
          <w:color w:val="001F60"/>
        </w:rPr>
        <w:t>Execução</w:t>
      </w:r>
      <w:r>
        <w:rPr>
          <w:rFonts w:ascii="Calibri" w:hAnsi="Calibri"/>
          <w:b/>
          <w:color w:val="001F60"/>
          <w:spacing w:val="-4"/>
        </w:rPr>
        <w:t xml:space="preserve"> </w:t>
      </w:r>
      <w:r>
        <w:rPr>
          <w:rFonts w:ascii="Calibri" w:hAnsi="Calibri"/>
          <w:b/>
          <w:color w:val="001F60"/>
        </w:rPr>
        <w:t xml:space="preserve">da </w:t>
      </w:r>
      <w:r>
        <w:rPr>
          <w:rFonts w:ascii="Calibri" w:hAnsi="Calibri"/>
          <w:b/>
          <w:color w:val="001F60"/>
          <w:spacing w:val="-2"/>
        </w:rPr>
        <w:t>Despesa</w:t>
      </w:r>
    </w:p>
    <w:p w14:paraId="667DED86" w14:textId="77777777" w:rsidR="002C6574" w:rsidRDefault="002C6574">
      <w:pPr>
        <w:pStyle w:val="Corpodetexto"/>
        <w:spacing w:before="91"/>
        <w:rPr>
          <w:rFonts w:ascii="Calibri"/>
          <w:b/>
        </w:rPr>
      </w:pPr>
    </w:p>
    <w:p w14:paraId="080E21DB" w14:textId="77777777" w:rsidR="002C6574" w:rsidRDefault="00000000">
      <w:pPr>
        <w:pStyle w:val="Corpodetexto"/>
        <w:spacing w:before="1"/>
        <w:ind w:left="709" w:right="277"/>
        <w:jc w:val="both"/>
        <w:rPr>
          <w:rFonts w:ascii="Calibri" w:hAnsi="Calibri"/>
        </w:rPr>
      </w:pPr>
      <w:r>
        <w:rPr>
          <w:rFonts w:ascii="Calibri" w:hAnsi="Calibri"/>
          <w:color w:val="001F60"/>
        </w:rPr>
        <w:t xml:space="preserve">Em razão da migração da Telebras do Orçamento Fiscal e da Seguridade Social (OFSS) para o Orçamento de Investimento (OI) e o Programa de Dispêndios Globais (PDG) em setembro de 2025, portanto, no decorrer do exercício, os demonstrativos apresentados a seguir alteram entre duas </w:t>
      </w:r>
      <w:r>
        <w:rPr>
          <w:rFonts w:ascii="Calibri" w:hAnsi="Calibri"/>
          <w:color w:val="001F60"/>
          <w:spacing w:val="-2"/>
        </w:rPr>
        <w:t>sistemáticas:</w:t>
      </w:r>
    </w:p>
    <w:p w14:paraId="21357F90" w14:textId="77777777" w:rsidR="002C6574" w:rsidRDefault="002C6574">
      <w:pPr>
        <w:pStyle w:val="Corpodetexto"/>
        <w:jc w:val="both"/>
        <w:rPr>
          <w:rFonts w:ascii="Calibri" w:hAnsi="Calibri"/>
        </w:rPr>
        <w:sectPr w:rsidR="002C6574">
          <w:pgSz w:w="11910" w:h="16840"/>
          <w:pgMar w:top="1160" w:right="850" w:bottom="740" w:left="992" w:header="312" w:footer="542" w:gutter="0"/>
          <w:cols w:space="720"/>
        </w:sectPr>
      </w:pPr>
    </w:p>
    <w:p w14:paraId="1C6B8936" w14:textId="77777777" w:rsidR="002C6574" w:rsidRDefault="002C6574">
      <w:pPr>
        <w:pStyle w:val="Corpodetexto"/>
        <w:rPr>
          <w:rFonts w:ascii="Calibri"/>
        </w:rPr>
      </w:pPr>
    </w:p>
    <w:p w14:paraId="647BA48C" w14:textId="77777777" w:rsidR="002C6574" w:rsidRDefault="002C6574">
      <w:pPr>
        <w:pStyle w:val="Corpodetexto"/>
        <w:spacing w:before="13"/>
        <w:rPr>
          <w:rFonts w:ascii="Calibri"/>
        </w:rPr>
      </w:pPr>
    </w:p>
    <w:p w14:paraId="76647715" w14:textId="77777777" w:rsidR="002C6574" w:rsidRDefault="00000000">
      <w:pPr>
        <w:pStyle w:val="PargrafodaLista"/>
        <w:numPr>
          <w:ilvl w:val="3"/>
          <w:numId w:val="74"/>
        </w:numPr>
        <w:tabs>
          <w:tab w:val="left" w:pos="1429"/>
        </w:tabs>
        <w:spacing w:line="232" w:lineRule="auto"/>
        <w:ind w:right="282"/>
      </w:pPr>
      <w:r>
        <w:rPr>
          <w:color w:val="001F60"/>
        </w:rPr>
        <w:t>Quando</w:t>
      </w:r>
      <w:r>
        <w:rPr>
          <w:color w:val="001F60"/>
          <w:spacing w:val="78"/>
        </w:rPr>
        <w:t xml:space="preserve"> </w:t>
      </w:r>
      <w:r>
        <w:rPr>
          <w:color w:val="001F60"/>
        </w:rPr>
        <w:t>aplicável,</w:t>
      </w:r>
      <w:r>
        <w:rPr>
          <w:color w:val="001F60"/>
          <w:spacing w:val="78"/>
        </w:rPr>
        <w:t xml:space="preserve"> </w:t>
      </w:r>
      <w:r>
        <w:rPr>
          <w:color w:val="001F60"/>
        </w:rPr>
        <w:t>seguem</w:t>
      </w:r>
      <w:r>
        <w:rPr>
          <w:color w:val="001F60"/>
          <w:spacing w:val="78"/>
        </w:rPr>
        <w:t xml:space="preserve"> </w:t>
      </w:r>
      <w:r>
        <w:rPr>
          <w:color w:val="001F60"/>
        </w:rPr>
        <w:t>a</w:t>
      </w:r>
      <w:r>
        <w:rPr>
          <w:color w:val="001F60"/>
          <w:spacing w:val="78"/>
        </w:rPr>
        <w:t xml:space="preserve"> </w:t>
      </w:r>
      <w:r>
        <w:rPr>
          <w:color w:val="001F60"/>
        </w:rPr>
        <w:t>classificação</w:t>
      </w:r>
      <w:r>
        <w:rPr>
          <w:color w:val="001F60"/>
          <w:spacing w:val="78"/>
        </w:rPr>
        <w:t xml:space="preserve"> </w:t>
      </w:r>
      <w:r>
        <w:rPr>
          <w:color w:val="001F60"/>
        </w:rPr>
        <w:t>própria</w:t>
      </w:r>
      <w:r>
        <w:rPr>
          <w:color w:val="001F60"/>
          <w:spacing w:val="76"/>
        </w:rPr>
        <w:t xml:space="preserve"> </w:t>
      </w:r>
      <w:r>
        <w:rPr>
          <w:color w:val="001F60"/>
        </w:rPr>
        <w:t>das</w:t>
      </w:r>
      <w:r>
        <w:rPr>
          <w:color w:val="001F60"/>
          <w:spacing w:val="78"/>
        </w:rPr>
        <w:t xml:space="preserve"> </w:t>
      </w:r>
      <w:r>
        <w:rPr>
          <w:color w:val="001F60"/>
        </w:rPr>
        <w:t>despesas</w:t>
      </w:r>
      <w:r>
        <w:rPr>
          <w:color w:val="001F60"/>
          <w:spacing w:val="78"/>
        </w:rPr>
        <w:t xml:space="preserve"> </w:t>
      </w:r>
      <w:r>
        <w:rPr>
          <w:color w:val="001F60"/>
        </w:rPr>
        <w:t>públicas</w:t>
      </w:r>
      <w:r>
        <w:rPr>
          <w:color w:val="001F60"/>
          <w:spacing w:val="75"/>
        </w:rPr>
        <w:t xml:space="preserve"> </w:t>
      </w:r>
      <w:r>
        <w:rPr>
          <w:color w:val="001F60"/>
        </w:rPr>
        <w:t>(empenhado, liquidado e pago);</w:t>
      </w:r>
    </w:p>
    <w:p w14:paraId="073953DF" w14:textId="77777777" w:rsidR="002C6574" w:rsidRDefault="00000000">
      <w:pPr>
        <w:pStyle w:val="PargrafodaLista"/>
        <w:numPr>
          <w:ilvl w:val="3"/>
          <w:numId w:val="74"/>
        </w:numPr>
        <w:tabs>
          <w:tab w:val="left" w:pos="1429"/>
        </w:tabs>
        <w:spacing w:before="17" w:line="235" w:lineRule="auto"/>
        <w:ind w:right="280"/>
      </w:pPr>
      <w:r>
        <w:rPr>
          <w:color w:val="001F60"/>
        </w:rPr>
        <w:t>Nos demais casos, seguem a metodologia adotada pelo setor produtivo estatal, alinhada à</w:t>
      </w:r>
      <w:r>
        <w:rPr>
          <w:color w:val="001F60"/>
          <w:spacing w:val="80"/>
        </w:rPr>
        <w:t xml:space="preserve"> </w:t>
      </w:r>
      <w:r>
        <w:rPr>
          <w:color w:val="001F60"/>
        </w:rPr>
        <w:t>contabilidade societária.</w:t>
      </w:r>
    </w:p>
    <w:p w14:paraId="3D535393" w14:textId="77777777" w:rsidR="002C6574" w:rsidRDefault="00000000">
      <w:pPr>
        <w:pStyle w:val="Corpodetexto"/>
        <w:spacing w:before="120"/>
        <w:ind w:left="709"/>
        <w:rPr>
          <w:rFonts w:ascii="Calibri" w:hAnsi="Calibri"/>
        </w:rPr>
      </w:pPr>
      <w:r>
        <w:rPr>
          <w:rFonts w:ascii="Calibri" w:hAnsi="Calibri"/>
          <w:color w:val="001F60"/>
        </w:rPr>
        <w:t>As</w:t>
      </w:r>
      <w:r>
        <w:rPr>
          <w:rFonts w:ascii="Calibri" w:hAnsi="Calibri"/>
          <w:color w:val="001F60"/>
          <w:spacing w:val="-3"/>
        </w:rPr>
        <w:t xml:space="preserve"> </w:t>
      </w:r>
      <w:r>
        <w:rPr>
          <w:rFonts w:ascii="Calibri" w:hAnsi="Calibri"/>
          <w:color w:val="001F60"/>
        </w:rPr>
        <w:t>despesas</w:t>
      </w:r>
      <w:r>
        <w:rPr>
          <w:rFonts w:ascii="Calibri" w:hAnsi="Calibri"/>
          <w:color w:val="001F60"/>
          <w:spacing w:val="-6"/>
        </w:rPr>
        <w:t xml:space="preserve"> </w:t>
      </w:r>
      <w:r>
        <w:rPr>
          <w:rFonts w:ascii="Calibri" w:hAnsi="Calibri"/>
          <w:color w:val="001F60"/>
        </w:rPr>
        <w:t>por</w:t>
      </w:r>
      <w:r>
        <w:rPr>
          <w:rFonts w:ascii="Calibri" w:hAnsi="Calibri"/>
          <w:color w:val="001F60"/>
          <w:spacing w:val="-6"/>
        </w:rPr>
        <w:t xml:space="preserve"> </w:t>
      </w:r>
      <w:r>
        <w:rPr>
          <w:rFonts w:ascii="Calibri" w:hAnsi="Calibri"/>
          <w:color w:val="001F60"/>
        </w:rPr>
        <w:t>categoria</w:t>
      </w:r>
      <w:r>
        <w:rPr>
          <w:rFonts w:ascii="Calibri" w:hAnsi="Calibri"/>
          <w:color w:val="001F60"/>
          <w:spacing w:val="-5"/>
        </w:rPr>
        <w:t xml:space="preserve"> </w:t>
      </w:r>
      <w:r>
        <w:rPr>
          <w:rFonts w:ascii="Calibri" w:hAnsi="Calibri"/>
          <w:color w:val="001F60"/>
        </w:rPr>
        <w:t>econômica</w:t>
      </w:r>
      <w:r>
        <w:rPr>
          <w:rFonts w:ascii="Calibri" w:hAnsi="Calibri"/>
          <w:color w:val="001F60"/>
          <w:spacing w:val="-4"/>
        </w:rPr>
        <w:t xml:space="preserve"> </w:t>
      </w:r>
      <w:r>
        <w:rPr>
          <w:rFonts w:ascii="Calibri" w:hAnsi="Calibri"/>
          <w:color w:val="001F60"/>
        </w:rPr>
        <w:t>estão</w:t>
      </w:r>
      <w:r>
        <w:rPr>
          <w:rFonts w:ascii="Calibri" w:hAnsi="Calibri"/>
          <w:color w:val="001F60"/>
          <w:spacing w:val="-2"/>
        </w:rPr>
        <w:t xml:space="preserve"> </w:t>
      </w:r>
      <w:r>
        <w:rPr>
          <w:rFonts w:ascii="Calibri" w:hAnsi="Calibri"/>
          <w:color w:val="001F60"/>
        </w:rPr>
        <w:t>detalhadas</w:t>
      </w:r>
      <w:r>
        <w:rPr>
          <w:rFonts w:ascii="Calibri" w:hAnsi="Calibri"/>
          <w:color w:val="001F60"/>
          <w:spacing w:val="-2"/>
        </w:rPr>
        <w:t xml:space="preserve"> </w:t>
      </w:r>
      <w:r>
        <w:rPr>
          <w:rFonts w:ascii="Calibri" w:hAnsi="Calibri"/>
          <w:color w:val="001F60"/>
        </w:rPr>
        <w:t>nos</w:t>
      </w:r>
      <w:r>
        <w:rPr>
          <w:rFonts w:ascii="Calibri" w:hAnsi="Calibri"/>
          <w:color w:val="001F60"/>
          <w:spacing w:val="-1"/>
        </w:rPr>
        <w:t xml:space="preserve"> </w:t>
      </w:r>
      <w:r>
        <w:rPr>
          <w:rFonts w:ascii="Calibri" w:hAnsi="Calibri"/>
          <w:color w:val="001F60"/>
        </w:rPr>
        <w:t>quadros</w:t>
      </w:r>
      <w:r>
        <w:rPr>
          <w:rFonts w:ascii="Calibri" w:hAnsi="Calibri"/>
          <w:color w:val="001F60"/>
          <w:spacing w:val="-1"/>
        </w:rPr>
        <w:t xml:space="preserve"> </w:t>
      </w:r>
      <w:r>
        <w:rPr>
          <w:rFonts w:ascii="Calibri" w:hAnsi="Calibri"/>
          <w:color w:val="001F60"/>
        </w:rPr>
        <w:t>a</w:t>
      </w:r>
      <w:r>
        <w:rPr>
          <w:rFonts w:ascii="Calibri" w:hAnsi="Calibri"/>
          <w:color w:val="001F60"/>
          <w:spacing w:val="-4"/>
        </w:rPr>
        <w:t xml:space="preserve"> </w:t>
      </w:r>
      <w:r>
        <w:rPr>
          <w:rFonts w:ascii="Calibri" w:hAnsi="Calibri"/>
          <w:color w:val="001F60"/>
          <w:spacing w:val="-2"/>
        </w:rPr>
        <w:t>seguir.</w:t>
      </w:r>
    </w:p>
    <w:p w14:paraId="40BA05C5" w14:textId="77777777" w:rsidR="002C6574" w:rsidRDefault="00000000">
      <w:pPr>
        <w:spacing w:before="145"/>
        <w:ind w:right="773"/>
        <w:jc w:val="right"/>
        <w:rPr>
          <w:rFonts w:ascii="Arial" w:hAnsi="Arial"/>
          <w:b/>
          <w:i/>
          <w:sz w:val="12"/>
        </w:rPr>
      </w:pPr>
      <w:r>
        <w:rPr>
          <w:rFonts w:ascii="Arial" w:hAnsi="Arial"/>
          <w:b/>
          <w:i/>
          <w:noProof/>
          <w:sz w:val="12"/>
        </w:rPr>
        <mc:AlternateContent>
          <mc:Choice Requires="wpg">
            <w:drawing>
              <wp:anchor distT="0" distB="0" distL="0" distR="0" simplePos="0" relativeHeight="487592448" behindDoc="1" locked="0" layoutInCell="1" allowOverlap="1" wp14:anchorId="7F44E592" wp14:editId="11280A27">
                <wp:simplePos x="0" y="0"/>
                <wp:positionH relativeFrom="page">
                  <wp:posOffset>1356359</wp:posOffset>
                </wp:positionH>
                <wp:positionV relativeFrom="paragraph">
                  <wp:posOffset>186631</wp:posOffset>
                </wp:positionV>
                <wp:extent cx="5206365" cy="8255"/>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365" cy="8255"/>
                          <a:chOff x="0" y="0"/>
                          <a:chExt cx="5206365" cy="8255"/>
                        </a:xfrm>
                      </wpg:grpSpPr>
                      <wps:wsp>
                        <wps:cNvPr id="38" name="Graphic 38"/>
                        <wps:cNvSpPr/>
                        <wps:spPr>
                          <a:xfrm>
                            <a:off x="0" y="2381"/>
                            <a:ext cx="5206365" cy="1270"/>
                          </a:xfrm>
                          <a:custGeom>
                            <a:avLst/>
                            <a:gdLst/>
                            <a:ahLst/>
                            <a:cxnLst/>
                            <a:rect l="l" t="t" r="r" b="b"/>
                            <a:pathLst>
                              <a:path w="5206365">
                                <a:moveTo>
                                  <a:pt x="0" y="0"/>
                                </a:moveTo>
                                <a:lnTo>
                                  <a:pt x="5205984" y="0"/>
                                </a:lnTo>
                              </a:path>
                            </a:pathLst>
                          </a:custGeom>
                          <a:ln w="4762">
                            <a:solidFill>
                              <a:srgbClr val="001F60"/>
                            </a:solidFill>
                            <a:prstDash val="solid"/>
                          </a:ln>
                        </wps:spPr>
                        <wps:bodyPr wrap="square" lIns="0" tIns="0" rIns="0" bIns="0" rtlCol="0">
                          <a:prstTxWarp prst="textNoShape">
                            <a:avLst/>
                          </a:prstTxWarp>
                          <a:noAutofit/>
                        </wps:bodyPr>
                      </wps:wsp>
                      <wps:wsp>
                        <wps:cNvPr id="39" name="Graphic 39"/>
                        <wps:cNvSpPr/>
                        <wps:spPr>
                          <a:xfrm>
                            <a:off x="0" y="1714"/>
                            <a:ext cx="5206365" cy="6350"/>
                          </a:xfrm>
                          <a:custGeom>
                            <a:avLst/>
                            <a:gdLst/>
                            <a:ahLst/>
                            <a:cxnLst/>
                            <a:rect l="l" t="t" r="r" b="b"/>
                            <a:pathLst>
                              <a:path w="5206365" h="6350">
                                <a:moveTo>
                                  <a:pt x="5205984" y="6095"/>
                                </a:moveTo>
                                <a:lnTo>
                                  <a:pt x="0" y="6095"/>
                                </a:lnTo>
                                <a:lnTo>
                                  <a:pt x="0" y="0"/>
                                </a:lnTo>
                                <a:lnTo>
                                  <a:pt x="5205984" y="0"/>
                                </a:lnTo>
                                <a:lnTo>
                                  <a:pt x="5205984" y="6095"/>
                                </a:lnTo>
                                <a:close/>
                              </a:path>
                            </a:pathLst>
                          </a:custGeom>
                          <a:solidFill>
                            <a:srgbClr val="001F60"/>
                          </a:solidFill>
                        </wps:spPr>
                        <wps:bodyPr wrap="square" lIns="0" tIns="0" rIns="0" bIns="0" rtlCol="0">
                          <a:prstTxWarp prst="textNoShape">
                            <a:avLst/>
                          </a:prstTxWarp>
                          <a:noAutofit/>
                        </wps:bodyPr>
                      </wps:wsp>
                    </wpg:wgp>
                  </a:graphicData>
                </a:graphic>
              </wp:anchor>
            </w:drawing>
          </mc:Choice>
          <mc:Fallback>
            <w:pict>
              <v:group w14:anchorId="536925BC" id="Group 37" o:spid="_x0000_s1026" style="position:absolute;margin-left:106.8pt;margin-top:14.7pt;width:409.95pt;height:.65pt;z-index:-15724032;mso-wrap-distance-left:0;mso-wrap-distance-right:0;mso-position-horizontal-relative:page" coordsize="520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">
                <v:shape id="Graphic 38" o:spid="_x0000_s1027" style="position:absolute;top:23;width:52063;height:13;visibility:visible;mso-wrap-style:square;v-text-anchor:top" coordsize="5206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" path="m,l5205984,e" filled="f" strokecolor="#001f60" strokeweight=".1323mm">
                  <v:path arrowok="t"/>
                </v:shape>
                <v:shape id="Graphic 39" o:spid="_x0000_s1028" style="position:absolute;top:17;width:52063;height:63;visibility:visible;mso-wrap-style:square;v-text-anchor:top" coordsize="52063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" path="m5205984,6095l,6095,,,5205984,r,6095xe" fillcolor="#001f60" stroked="f">
                  <v:path arrowok="t"/>
                </v:shape>
                <w10:wrap type="topAndBottom" anchorx="page"/>
              </v:group>
            </w:pict>
          </mc:Fallback>
        </mc:AlternateContent>
      </w:r>
      <w:r>
        <w:rPr>
          <w:rFonts w:ascii="Arial" w:hAnsi="Arial"/>
          <w:b/>
          <w:i/>
          <w:color w:val="001F60"/>
          <w:sz w:val="12"/>
        </w:rPr>
        <w:t>Valores</w:t>
      </w:r>
      <w:r>
        <w:rPr>
          <w:rFonts w:ascii="Arial" w:hAnsi="Arial"/>
          <w:b/>
          <w:i/>
          <w:color w:val="001F60"/>
          <w:spacing w:val="1"/>
          <w:sz w:val="12"/>
        </w:rPr>
        <w:t xml:space="preserve"> </w:t>
      </w:r>
      <w:r>
        <w:rPr>
          <w:rFonts w:ascii="Arial" w:hAnsi="Arial"/>
          <w:b/>
          <w:i/>
          <w:color w:val="001F60"/>
          <w:sz w:val="12"/>
        </w:rPr>
        <w:t>em</w:t>
      </w:r>
      <w:r>
        <w:rPr>
          <w:rFonts w:ascii="Arial" w:hAnsi="Arial"/>
          <w:b/>
          <w:i/>
          <w:color w:val="001F60"/>
          <w:spacing w:val="1"/>
          <w:sz w:val="12"/>
        </w:rPr>
        <w:t xml:space="preserve"> </w:t>
      </w:r>
      <w:r>
        <w:rPr>
          <w:rFonts w:ascii="Arial" w:hAnsi="Arial"/>
          <w:b/>
          <w:i/>
          <w:color w:val="001F60"/>
          <w:sz w:val="12"/>
        </w:rPr>
        <w:t>R$</w:t>
      </w:r>
      <w:r>
        <w:rPr>
          <w:rFonts w:ascii="Arial" w:hAnsi="Arial"/>
          <w:b/>
          <w:i/>
          <w:color w:val="001F60"/>
          <w:spacing w:val="5"/>
          <w:sz w:val="12"/>
        </w:rPr>
        <w:t xml:space="preserve"> </w:t>
      </w:r>
      <w:r>
        <w:rPr>
          <w:rFonts w:ascii="Arial" w:hAnsi="Arial"/>
          <w:b/>
          <w:i/>
          <w:color w:val="001F60"/>
          <w:spacing w:val="-2"/>
          <w:sz w:val="12"/>
        </w:rPr>
        <w:t>Milhões</w:t>
      </w:r>
    </w:p>
    <w:p w14:paraId="3B7C2877" w14:textId="77777777" w:rsidR="002C6574" w:rsidRDefault="00000000">
      <w:pPr>
        <w:tabs>
          <w:tab w:val="left" w:pos="2248"/>
          <w:tab w:val="left" w:pos="5006"/>
        </w:tabs>
        <w:spacing w:before="12" w:after="8"/>
        <w:ind w:right="765"/>
        <w:jc w:val="right"/>
        <w:rPr>
          <w:rFonts w:ascii="Arial" w:hAnsi="Arial"/>
          <w:b/>
          <w:sz w:val="13"/>
        </w:rPr>
      </w:pPr>
      <w:r>
        <w:rPr>
          <w:rFonts w:ascii="Arial" w:hAnsi="Arial"/>
          <w:b/>
          <w:color w:val="001F60"/>
          <w:w w:val="105"/>
          <w:sz w:val="13"/>
        </w:rPr>
        <w:t>Categoria</w:t>
      </w:r>
      <w:r>
        <w:rPr>
          <w:rFonts w:ascii="Arial" w:hAnsi="Arial"/>
          <w:b/>
          <w:color w:val="001F60"/>
          <w:spacing w:val="11"/>
          <w:w w:val="105"/>
          <w:sz w:val="13"/>
        </w:rPr>
        <w:t xml:space="preserve"> </w:t>
      </w:r>
      <w:r>
        <w:rPr>
          <w:rFonts w:ascii="Arial" w:hAnsi="Arial"/>
          <w:b/>
          <w:color w:val="001F60"/>
          <w:spacing w:val="-2"/>
          <w:w w:val="105"/>
          <w:sz w:val="13"/>
        </w:rPr>
        <w:t>Econômica</w:t>
      </w:r>
      <w:r>
        <w:rPr>
          <w:rFonts w:ascii="Arial" w:hAnsi="Arial"/>
          <w:b/>
          <w:color w:val="001F60"/>
          <w:sz w:val="13"/>
        </w:rPr>
        <w:tab/>
      </w:r>
      <w:r>
        <w:rPr>
          <w:rFonts w:ascii="Arial" w:hAnsi="Arial"/>
          <w:b/>
          <w:color w:val="001F60"/>
          <w:w w:val="105"/>
          <w:sz w:val="13"/>
        </w:rPr>
        <w:t>Autorizado</w:t>
      </w:r>
      <w:r>
        <w:rPr>
          <w:rFonts w:ascii="Arial" w:hAnsi="Arial"/>
          <w:b/>
          <w:color w:val="001F60"/>
          <w:spacing w:val="51"/>
          <w:w w:val="105"/>
          <w:sz w:val="13"/>
        </w:rPr>
        <w:t xml:space="preserve">  </w:t>
      </w:r>
      <w:r>
        <w:rPr>
          <w:rFonts w:ascii="Arial" w:hAnsi="Arial"/>
          <w:b/>
          <w:color w:val="001F60"/>
          <w:w w:val="105"/>
          <w:sz w:val="13"/>
        </w:rPr>
        <w:t>Empenhado</w:t>
      </w:r>
      <w:r>
        <w:rPr>
          <w:rFonts w:ascii="Arial" w:hAnsi="Arial"/>
          <w:b/>
          <w:color w:val="001F60"/>
          <w:spacing w:val="62"/>
          <w:w w:val="105"/>
          <w:sz w:val="13"/>
        </w:rPr>
        <w:t xml:space="preserve">  </w:t>
      </w:r>
      <w:r>
        <w:rPr>
          <w:rFonts w:ascii="Arial" w:hAnsi="Arial"/>
          <w:b/>
          <w:color w:val="001F60"/>
          <w:spacing w:val="-2"/>
          <w:w w:val="105"/>
          <w:sz w:val="13"/>
        </w:rPr>
        <w:t>Liquidado</w:t>
      </w:r>
      <w:r>
        <w:rPr>
          <w:rFonts w:ascii="Arial" w:hAnsi="Arial"/>
          <w:b/>
          <w:color w:val="001F60"/>
          <w:sz w:val="13"/>
        </w:rPr>
        <w:tab/>
      </w:r>
      <w:r>
        <w:rPr>
          <w:rFonts w:ascii="Arial" w:hAnsi="Arial"/>
          <w:b/>
          <w:color w:val="001F60"/>
          <w:w w:val="105"/>
          <w:sz w:val="13"/>
        </w:rPr>
        <w:t>Total</w:t>
      </w:r>
      <w:r>
        <w:rPr>
          <w:rFonts w:ascii="Arial" w:hAnsi="Arial"/>
          <w:b/>
          <w:color w:val="001F60"/>
          <w:spacing w:val="2"/>
          <w:w w:val="105"/>
          <w:sz w:val="13"/>
        </w:rPr>
        <w:t xml:space="preserve"> </w:t>
      </w:r>
      <w:r>
        <w:rPr>
          <w:rFonts w:ascii="Arial" w:hAnsi="Arial"/>
          <w:b/>
          <w:color w:val="001F60"/>
          <w:w w:val="105"/>
          <w:sz w:val="13"/>
        </w:rPr>
        <w:t>Pago</w:t>
      </w:r>
      <w:r>
        <w:rPr>
          <w:rFonts w:ascii="Arial" w:hAnsi="Arial"/>
          <w:b/>
          <w:color w:val="001F60"/>
          <w:spacing w:val="30"/>
          <w:w w:val="105"/>
          <w:sz w:val="13"/>
        </w:rPr>
        <w:t xml:space="preserve">  </w:t>
      </w:r>
      <w:r>
        <w:rPr>
          <w:rFonts w:ascii="Arial" w:hAnsi="Arial"/>
          <w:b/>
          <w:color w:val="001F60"/>
          <w:w w:val="105"/>
          <w:sz w:val="13"/>
        </w:rPr>
        <w:t>Percentual</w:t>
      </w:r>
      <w:r>
        <w:rPr>
          <w:rFonts w:ascii="Arial" w:hAnsi="Arial"/>
          <w:b/>
          <w:color w:val="001F60"/>
          <w:spacing w:val="76"/>
          <w:w w:val="150"/>
          <w:sz w:val="13"/>
        </w:rPr>
        <w:t xml:space="preserve"> </w:t>
      </w:r>
      <w:r>
        <w:rPr>
          <w:rFonts w:ascii="Arial" w:hAnsi="Arial"/>
          <w:b/>
          <w:color w:val="001F60"/>
          <w:spacing w:val="-2"/>
          <w:w w:val="105"/>
          <w:sz w:val="13"/>
        </w:rPr>
        <w:t>Percentual</w:t>
      </w:r>
    </w:p>
    <w:tbl>
      <w:tblPr>
        <w:tblStyle w:val="TableNormal"/>
        <w:tblW w:w="0" w:type="auto"/>
        <w:tblInd w:w="1151" w:type="dxa"/>
        <w:tblLayout w:type="fixed"/>
        <w:tblLook w:val="01E0" w:firstRow="1" w:lastRow="1" w:firstColumn="1" w:lastColumn="1" w:noHBand="0" w:noVBand="0"/>
      </w:tblPr>
      <w:tblGrid>
        <w:gridCol w:w="3213"/>
        <w:gridCol w:w="744"/>
        <w:gridCol w:w="921"/>
        <w:gridCol w:w="913"/>
        <w:gridCol w:w="735"/>
        <w:gridCol w:w="845"/>
        <w:gridCol w:w="826"/>
      </w:tblGrid>
      <w:tr w:rsidR="002C6574" w14:paraId="43D90DFB" w14:textId="77777777">
        <w:trPr>
          <w:trHeight w:val="161"/>
        </w:trPr>
        <w:tc>
          <w:tcPr>
            <w:tcW w:w="3957" w:type="dxa"/>
            <w:gridSpan w:val="2"/>
            <w:tcBorders>
              <w:top w:val="single" w:sz="6" w:space="0" w:color="001F60"/>
              <w:bottom w:val="single" w:sz="6" w:space="0" w:color="001F60"/>
            </w:tcBorders>
          </w:tcPr>
          <w:p w14:paraId="2529252A" w14:textId="77777777" w:rsidR="002C6574" w:rsidRDefault="00000000">
            <w:pPr>
              <w:pStyle w:val="TableParagraph"/>
              <w:spacing w:before="10" w:line="131" w:lineRule="exact"/>
              <w:ind w:right="531"/>
              <w:rPr>
                <w:rFonts w:ascii="Arial"/>
                <w:b/>
                <w:sz w:val="13"/>
              </w:rPr>
            </w:pPr>
            <w:r>
              <w:rPr>
                <w:rFonts w:ascii="Arial"/>
                <w:b/>
                <w:color w:val="001F60"/>
                <w:spacing w:val="-5"/>
                <w:w w:val="105"/>
                <w:sz w:val="13"/>
              </w:rPr>
              <w:t>(a)</w:t>
            </w:r>
          </w:p>
        </w:tc>
        <w:tc>
          <w:tcPr>
            <w:tcW w:w="921" w:type="dxa"/>
            <w:tcBorders>
              <w:top w:val="single" w:sz="6" w:space="0" w:color="001F60"/>
              <w:bottom w:val="single" w:sz="6" w:space="0" w:color="001F60"/>
            </w:tcBorders>
          </w:tcPr>
          <w:p w14:paraId="36837E1F" w14:textId="77777777" w:rsidR="002C6574" w:rsidRDefault="00000000">
            <w:pPr>
              <w:pStyle w:val="TableParagraph"/>
              <w:spacing w:before="10" w:line="131" w:lineRule="exact"/>
              <w:ind w:left="225"/>
              <w:jc w:val="left"/>
              <w:rPr>
                <w:rFonts w:ascii="Arial"/>
                <w:b/>
                <w:sz w:val="13"/>
              </w:rPr>
            </w:pPr>
            <w:r>
              <w:rPr>
                <w:rFonts w:ascii="Arial"/>
                <w:b/>
                <w:color w:val="001F60"/>
                <w:spacing w:val="-5"/>
                <w:w w:val="105"/>
                <w:sz w:val="13"/>
              </w:rPr>
              <w:t>(b)</w:t>
            </w:r>
          </w:p>
        </w:tc>
        <w:tc>
          <w:tcPr>
            <w:tcW w:w="913" w:type="dxa"/>
            <w:tcBorders>
              <w:top w:val="single" w:sz="6" w:space="0" w:color="001F60"/>
              <w:bottom w:val="single" w:sz="6" w:space="0" w:color="001F60"/>
            </w:tcBorders>
          </w:tcPr>
          <w:p w14:paraId="6D8A3823" w14:textId="77777777" w:rsidR="002C6574" w:rsidRDefault="00000000">
            <w:pPr>
              <w:pStyle w:val="TableParagraph"/>
              <w:spacing w:before="10" w:line="131" w:lineRule="exact"/>
              <w:ind w:left="219"/>
              <w:jc w:val="left"/>
              <w:rPr>
                <w:rFonts w:ascii="Arial"/>
                <w:b/>
                <w:sz w:val="13"/>
              </w:rPr>
            </w:pPr>
            <w:r>
              <w:rPr>
                <w:rFonts w:ascii="Arial"/>
                <w:b/>
                <w:color w:val="001F60"/>
                <w:spacing w:val="-5"/>
                <w:w w:val="105"/>
                <w:sz w:val="13"/>
              </w:rPr>
              <w:t>(c)</w:t>
            </w:r>
          </w:p>
        </w:tc>
        <w:tc>
          <w:tcPr>
            <w:tcW w:w="735" w:type="dxa"/>
            <w:tcBorders>
              <w:top w:val="single" w:sz="6" w:space="0" w:color="001F60"/>
              <w:bottom w:val="single" w:sz="6" w:space="0" w:color="001F60"/>
            </w:tcBorders>
          </w:tcPr>
          <w:p w14:paraId="6A987E7D" w14:textId="77777777" w:rsidR="002C6574" w:rsidRDefault="00000000">
            <w:pPr>
              <w:pStyle w:val="TableParagraph"/>
              <w:spacing w:before="10" w:line="131" w:lineRule="exact"/>
              <w:ind w:left="204"/>
              <w:jc w:val="left"/>
              <w:rPr>
                <w:rFonts w:ascii="Arial"/>
                <w:b/>
                <w:sz w:val="13"/>
              </w:rPr>
            </w:pPr>
            <w:r>
              <w:rPr>
                <w:rFonts w:ascii="Arial"/>
                <w:b/>
                <w:color w:val="001F60"/>
                <w:spacing w:val="-5"/>
                <w:w w:val="105"/>
                <w:sz w:val="13"/>
              </w:rPr>
              <w:t>(d)</w:t>
            </w:r>
          </w:p>
        </w:tc>
        <w:tc>
          <w:tcPr>
            <w:tcW w:w="845" w:type="dxa"/>
            <w:tcBorders>
              <w:top w:val="single" w:sz="6" w:space="0" w:color="001F60"/>
              <w:bottom w:val="single" w:sz="6" w:space="0" w:color="001F60"/>
            </w:tcBorders>
          </w:tcPr>
          <w:p w14:paraId="77397146" w14:textId="77777777" w:rsidR="002C6574" w:rsidRDefault="00000000">
            <w:pPr>
              <w:pStyle w:val="TableParagraph"/>
              <w:spacing w:before="10" w:line="131" w:lineRule="exact"/>
              <w:ind w:left="13" w:right="45"/>
              <w:jc w:val="center"/>
              <w:rPr>
                <w:rFonts w:ascii="Arial"/>
                <w:b/>
                <w:sz w:val="13"/>
              </w:rPr>
            </w:pPr>
            <w:r>
              <w:rPr>
                <w:rFonts w:ascii="Arial"/>
                <w:b/>
                <w:color w:val="001F60"/>
                <w:w w:val="105"/>
                <w:sz w:val="13"/>
              </w:rPr>
              <w:t>e</w:t>
            </w:r>
            <w:r>
              <w:rPr>
                <w:rFonts w:ascii="Arial"/>
                <w:b/>
                <w:color w:val="001F60"/>
                <w:spacing w:val="9"/>
                <w:w w:val="105"/>
                <w:sz w:val="13"/>
              </w:rPr>
              <w:t xml:space="preserve"> </w:t>
            </w:r>
            <w:r>
              <w:rPr>
                <w:rFonts w:ascii="Arial"/>
                <w:b/>
                <w:color w:val="001F60"/>
                <w:w w:val="105"/>
                <w:sz w:val="13"/>
              </w:rPr>
              <w:t>=</w:t>
            </w:r>
            <w:r>
              <w:rPr>
                <w:rFonts w:ascii="Arial"/>
                <w:b/>
                <w:color w:val="001F60"/>
                <w:spacing w:val="4"/>
                <w:w w:val="105"/>
                <w:sz w:val="13"/>
              </w:rPr>
              <w:t xml:space="preserve"> </w:t>
            </w:r>
            <w:r>
              <w:rPr>
                <w:rFonts w:ascii="Arial"/>
                <w:b/>
                <w:color w:val="001F60"/>
                <w:w w:val="105"/>
                <w:sz w:val="13"/>
              </w:rPr>
              <w:t>(b</w:t>
            </w:r>
            <w:r>
              <w:rPr>
                <w:rFonts w:ascii="Arial"/>
                <w:b/>
                <w:color w:val="001F60"/>
                <w:spacing w:val="1"/>
                <w:w w:val="105"/>
                <w:sz w:val="13"/>
              </w:rPr>
              <w:t xml:space="preserve"> </w:t>
            </w:r>
            <w:r>
              <w:rPr>
                <w:rFonts w:ascii="Arial"/>
                <w:b/>
                <w:color w:val="001F60"/>
                <w:w w:val="105"/>
                <w:sz w:val="13"/>
              </w:rPr>
              <w:t xml:space="preserve">/ </w:t>
            </w:r>
            <w:r>
              <w:rPr>
                <w:rFonts w:ascii="Arial"/>
                <w:b/>
                <w:color w:val="001F60"/>
                <w:spacing w:val="-7"/>
                <w:w w:val="105"/>
                <w:sz w:val="13"/>
              </w:rPr>
              <w:t>a)</w:t>
            </w:r>
          </w:p>
        </w:tc>
        <w:tc>
          <w:tcPr>
            <w:tcW w:w="826" w:type="dxa"/>
            <w:tcBorders>
              <w:top w:val="single" w:sz="6" w:space="0" w:color="001F60"/>
              <w:bottom w:val="single" w:sz="6" w:space="0" w:color="001F60"/>
            </w:tcBorders>
          </w:tcPr>
          <w:p w14:paraId="71BB91E6" w14:textId="77777777" w:rsidR="002C6574" w:rsidRDefault="00000000">
            <w:pPr>
              <w:pStyle w:val="TableParagraph"/>
              <w:spacing w:before="10" w:line="131" w:lineRule="exact"/>
              <w:ind w:left="18" w:right="31"/>
              <w:jc w:val="center"/>
              <w:rPr>
                <w:rFonts w:ascii="Arial"/>
                <w:b/>
                <w:sz w:val="13"/>
              </w:rPr>
            </w:pPr>
            <w:r>
              <w:rPr>
                <w:rFonts w:ascii="Arial"/>
                <w:b/>
                <w:color w:val="001F60"/>
                <w:w w:val="105"/>
                <w:sz w:val="13"/>
              </w:rPr>
              <w:t>f=</w:t>
            </w:r>
            <w:r>
              <w:rPr>
                <w:rFonts w:ascii="Arial"/>
                <w:b/>
                <w:color w:val="001F60"/>
                <w:spacing w:val="5"/>
                <w:w w:val="105"/>
                <w:sz w:val="13"/>
              </w:rPr>
              <w:t xml:space="preserve"> </w:t>
            </w:r>
            <w:r>
              <w:rPr>
                <w:rFonts w:ascii="Arial"/>
                <w:b/>
                <w:color w:val="001F60"/>
                <w:w w:val="105"/>
                <w:sz w:val="13"/>
              </w:rPr>
              <w:t xml:space="preserve">(d / </w:t>
            </w:r>
            <w:r>
              <w:rPr>
                <w:rFonts w:ascii="Arial"/>
                <w:b/>
                <w:color w:val="001F60"/>
                <w:spacing w:val="-5"/>
                <w:w w:val="105"/>
                <w:sz w:val="13"/>
              </w:rPr>
              <w:t>c)</w:t>
            </w:r>
          </w:p>
        </w:tc>
      </w:tr>
      <w:tr w:rsidR="002C6574" w14:paraId="039BE2A2" w14:textId="77777777">
        <w:trPr>
          <w:trHeight w:val="170"/>
        </w:trPr>
        <w:tc>
          <w:tcPr>
            <w:tcW w:w="3213" w:type="dxa"/>
          </w:tcPr>
          <w:p w14:paraId="78FA1F89" w14:textId="77777777" w:rsidR="002C6574" w:rsidRDefault="00000000">
            <w:pPr>
              <w:pStyle w:val="TableParagraph"/>
              <w:spacing w:before="2" w:line="142" w:lineRule="exact"/>
              <w:ind w:left="76"/>
              <w:jc w:val="left"/>
              <w:rPr>
                <w:rFonts w:ascii="Arial MT"/>
                <w:sz w:val="13"/>
              </w:rPr>
            </w:pPr>
            <w:r>
              <w:rPr>
                <w:rFonts w:ascii="Arial MT"/>
                <w:color w:val="001F60"/>
                <w:w w:val="105"/>
                <w:sz w:val="13"/>
              </w:rPr>
              <w:t>3 -</w:t>
            </w:r>
            <w:r>
              <w:rPr>
                <w:rFonts w:ascii="Arial MT"/>
                <w:color w:val="001F60"/>
                <w:spacing w:val="1"/>
                <w:w w:val="105"/>
                <w:sz w:val="13"/>
              </w:rPr>
              <w:t xml:space="preserve"> </w:t>
            </w:r>
            <w:r>
              <w:rPr>
                <w:rFonts w:ascii="Arial MT"/>
                <w:color w:val="001F60"/>
                <w:w w:val="105"/>
                <w:sz w:val="13"/>
              </w:rPr>
              <w:t>Despesas</w:t>
            </w:r>
            <w:r>
              <w:rPr>
                <w:rFonts w:ascii="Arial MT"/>
                <w:color w:val="001F60"/>
                <w:spacing w:val="3"/>
                <w:w w:val="105"/>
                <w:sz w:val="13"/>
              </w:rPr>
              <w:t xml:space="preserve"> </w:t>
            </w:r>
            <w:r>
              <w:rPr>
                <w:rFonts w:ascii="Arial MT"/>
                <w:color w:val="001F60"/>
                <w:spacing w:val="-2"/>
                <w:w w:val="105"/>
                <w:sz w:val="13"/>
              </w:rPr>
              <w:t>Correntes</w:t>
            </w:r>
          </w:p>
        </w:tc>
        <w:tc>
          <w:tcPr>
            <w:tcW w:w="744" w:type="dxa"/>
          </w:tcPr>
          <w:p w14:paraId="2E98C44E" w14:textId="77777777" w:rsidR="002C6574" w:rsidRDefault="00000000">
            <w:pPr>
              <w:pStyle w:val="TableParagraph"/>
              <w:spacing w:before="2" w:line="142" w:lineRule="exact"/>
              <w:ind w:right="222"/>
              <w:rPr>
                <w:rFonts w:ascii="Arial MT"/>
                <w:sz w:val="13"/>
              </w:rPr>
            </w:pPr>
            <w:r>
              <w:rPr>
                <w:rFonts w:ascii="Arial MT"/>
                <w:color w:val="001F60"/>
                <w:spacing w:val="-2"/>
                <w:w w:val="105"/>
                <w:sz w:val="13"/>
              </w:rPr>
              <w:t>249,08</w:t>
            </w:r>
          </w:p>
        </w:tc>
        <w:tc>
          <w:tcPr>
            <w:tcW w:w="921" w:type="dxa"/>
          </w:tcPr>
          <w:p w14:paraId="35AFAFCA" w14:textId="77777777" w:rsidR="002C6574" w:rsidRDefault="00000000">
            <w:pPr>
              <w:pStyle w:val="TableParagraph"/>
              <w:spacing w:before="2" w:line="142" w:lineRule="exact"/>
              <w:ind w:right="214"/>
              <w:rPr>
                <w:rFonts w:ascii="Arial MT"/>
                <w:sz w:val="13"/>
              </w:rPr>
            </w:pPr>
            <w:r>
              <w:rPr>
                <w:rFonts w:ascii="Arial MT"/>
                <w:color w:val="001F60"/>
                <w:spacing w:val="-2"/>
                <w:w w:val="105"/>
                <w:sz w:val="13"/>
              </w:rPr>
              <w:t>249,07</w:t>
            </w:r>
          </w:p>
        </w:tc>
        <w:tc>
          <w:tcPr>
            <w:tcW w:w="913" w:type="dxa"/>
          </w:tcPr>
          <w:p w14:paraId="2FF7AEDA" w14:textId="77777777" w:rsidR="002C6574" w:rsidRDefault="00000000">
            <w:pPr>
              <w:pStyle w:val="TableParagraph"/>
              <w:spacing w:before="2" w:line="142" w:lineRule="exact"/>
              <w:ind w:right="198"/>
              <w:rPr>
                <w:rFonts w:ascii="Arial MT"/>
                <w:sz w:val="13"/>
              </w:rPr>
            </w:pPr>
            <w:r>
              <w:rPr>
                <w:rFonts w:ascii="Arial MT"/>
                <w:color w:val="001F60"/>
                <w:spacing w:val="-2"/>
                <w:w w:val="105"/>
                <w:sz w:val="13"/>
              </w:rPr>
              <w:t>249,07</w:t>
            </w:r>
          </w:p>
        </w:tc>
        <w:tc>
          <w:tcPr>
            <w:tcW w:w="735" w:type="dxa"/>
          </w:tcPr>
          <w:p w14:paraId="4BFBAC33" w14:textId="77777777" w:rsidR="002C6574" w:rsidRDefault="00000000">
            <w:pPr>
              <w:pStyle w:val="TableParagraph"/>
              <w:spacing w:before="2" w:line="142" w:lineRule="exact"/>
              <w:ind w:right="92"/>
              <w:rPr>
                <w:rFonts w:ascii="Arial MT"/>
                <w:sz w:val="13"/>
              </w:rPr>
            </w:pPr>
            <w:r>
              <w:rPr>
                <w:rFonts w:ascii="Arial MT"/>
                <w:color w:val="001F60"/>
                <w:spacing w:val="-2"/>
                <w:w w:val="105"/>
                <w:sz w:val="13"/>
              </w:rPr>
              <w:t>249,07</w:t>
            </w:r>
          </w:p>
        </w:tc>
        <w:tc>
          <w:tcPr>
            <w:tcW w:w="845" w:type="dxa"/>
          </w:tcPr>
          <w:p w14:paraId="1109F38D" w14:textId="77777777" w:rsidR="002C6574" w:rsidRDefault="00000000">
            <w:pPr>
              <w:pStyle w:val="TableParagraph"/>
              <w:spacing w:before="2" w:line="142" w:lineRule="exact"/>
              <w:ind w:left="16" w:right="45"/>
              <w:jc w:val="center"/>
              <w:rPr>
                <w:rFonts w:ascii="Arial MT"/>
                <w:sz w:val="13"/>
              </w:rPr>
            </w:pPr>
            <w:r>
              <w:rPr>
                <w:rFonts w:ascii="Arial MT"/>
                <w:color w:val="001F60"/>
                <w:spacing w:val="-4"/>
                <w:w w:val="105"/>
                <w:sz w:val="13"/>
              </w:rPr>
              <w:t>100%</w:t>
            </w:r>
          </w:p>
        </w:tc>
        <w:tc>
          <w:tcPr>
            <w:tcW w:w="826" w:type="dxa"/>
          </w:tcPr>
          <w:p w14:paraId="45D12597" w14:textId="77777777" w:rsidR="002C6574" w:rsidRDefault="00000000">
            <w:pPr>
              <w:pStyle w:val="TableParagraph"/>
              <w:spacing w:before="2" w:line="142" w:lineRule="exact"/>
              <w:ind w:left="20" w:right="31"/>
              <w:jc w:val="center"/>
              <w:rPr>
                <w:rFonts w:ascii="Arial MT"/>
                <w:sz w:val="13"/>
              </w:rPr>
            </w:pPr>
            <w:r>
              <w:rPr>
                <w:rFonts w:ascii="Arial MT"/>
                <w:color w:val="001F60"/>
                <w:spacing w:val="-4"/>
                <w:w w:val="105"/>
                <w:sz w:val="13"/>
              </w:rPr>
              <w:t>100%</w:t>
            </w:r>
          </w:p>
        </w:tc>
      </w:tr>
      <w:tr w:rsidR="002C6574" w14:paraId="43926934" w14:textId="77777777">
        <w:trPr>
          <w:trHeight w:val="165"/>
        </w:trPr>
        <w:tc>
          <w:tcPr>
            <w:tcW w:w="3213" w:type="dxa"/>
            <w:tcBorders>
              <w:bottom w:val="single" w:sz="6" w:space="0" w:color="001F60"/>
            </w:tcBorders>
          </w:tcPr>
          <w:p w14:paraId="0E520CFD" w14:textId="77777777" w:rsidR="002C6574" w:rsidRDefault="00000000">
            <w:pPr>
              <w:pStyle w:val="TableParagraph"/>
              <w:spacing w:before="13" w:line="132" w:lineRule="exact"/>
              <w:ind w:left="76"/>
              <w:jc w:val="left"/>
              <w:rPr>
                <w:rFonts w:ascii="Arial MT"/>
                <w:sz w:val="13"/>
              </w:rPr>
            </w:pPr>
            <w:r>
              <w:rPr>
                <w:rFonts w:ascii="Arial MT"/>
                <w:color w:val="001F60"/>
                <w:w w:val="105"/>
                <w:sz w:val="13"/>
              </w:rPr>
              <w:t>4 -</w:t>
            </w:r>
            <w:r>
              <w:rPr>
                <w:rFonts w:ascii="Arial MT"/>
                <w:color w:val="001F60"/>
                <w:spacing w:val="1"/>
                <w:w w:val="105"/>
                <w:sz w:val="13"/>
              </w:rPr>
              <w:t xml:space="preserve"> </w:t>
            </w:r>
            <w:r>
              <w:rPr>
                <w:rFonts w:ascii="Arial MT"/>
                <w:color w:val="001F60"/>
                <w:w w:val="105"/>
                <w:sz w:val="13"/>
              </w:rPr>
              <w:t>Despesas</w:t>
            </w:r>
            <w:r>
              <w:rPr>
                <w:rFonts w:ascii="Arial MT"/>
                <w:color w:val="001F60"/>
                <w:spacing w:val="2"/>
                <w:w w:val="105"/>
                <w:sz w:val="13"/>
              </w:rPr>
              <w:t xml:space="preserve"> </w:t>
            </w:r>
            <w:r>
              <w:rPr>
                <w:rFonts w:ascii="Arial MT"/>
                <w:color w:val="001F60"/>
                <w:w w:val="105"/>
                <w:sz w:val="13"/>
              </w:rPr>
              <w:t>de</w:t>
            </w:r>
            <w:r>
              <w:rPr>
                <w:rFonts w:ascii="Arial MT"/>
                <w:color w:val="001F60"/>
                <w:spacing w:val="3"/>
                <w:w w:val="105"/>
                <w:sz w:val="13"/>
              </w:rPr>
              <w:t xml:space="preserve"> </w:t>
            </w:r>
            <w:r>
              <w:rPr>
                <w:rFonts w:ascii="Arial MT"/>
                <w:color w:val="001F60"/>
                <w:spacing w:val="-2"/>
                <w:w w:val="105"/>
                <w:sz w:val="13"/>
              </w:rPr>
              <w:t>Capital</w:t>
            </w:r>
          </w:p>
        </w:tc>
        <w:tc>
          <w:tcPr>
            <w:tcW w:w="744" w:type="dxa"/>
            <w:tcBorders>
              <w:bottom w:val="single" w:sz="6" w:space="0" w:color="001F60"/>
            </w:tcBorders>
          </w:tcPr>
          <w:p w14:paraId="7CC8F8DC" w14:textId="77777777" w:rsidR="002C6574" w:rsidRDefault="00000000">
            <w:pPr>
              <w:pStyle w:val="TableParagraph"/>
              <w:spacing w:before="13" w:line="132" w:lineRule="exact"/>
              <w:ind w:right="222"/>
              <w:rPr>
                <w:rFonts w:ascii="Arial MT"/>
                <w:sz w:val="13"/>
              </w:rPr>
            </w:pPr>
            <w:r>
              <w:rPr>
                <w:rFonts w:ascii="Arial MT"/>
                <w:color w:val="001F60"/>
                <w:spacing w:val="-2"/>
                <w:w w:val="105"/>
                <w:sz w:val="13"/>
              </w:rPr>
              <w:t>45,90</w:t>
            </w:r>
          </w:p>
        </w:tc>
        <w:tc>
          <w:tcPr>
            <w:tcW w:w="921" w:type="dxa"/>
            <w:tcBorders>
              <w:bottom w:val="single" w:sz="6" w:space="0" w:color="001F60"/>
            </w:tcBorders>
          </w:tcPr>
          <w:p w14:paraId="44FFFD8B" w14:textId="77777777" w:rsidR="002C6574" w:rsidRDefault="00000000">
            <w:pPr>
              <w:pStyle w:val="TableParagraph"/>
              <w:spacing w:before="13" w:line="132" w:lineRule="exact"/>
              <w:ind w:right="214"/>
              <w:rPr>
                <w:rFonts w:ascii="Arial MT"/>
                <w:sz w:val="13"/>
              </w:rPr>
            </w:pPr>
            <w:r>
              <w:rPr>
                <w:rFonts w:ascii="Arial MT"/>
                <w:color w:val="001F60"/>
                <w:spacing w:val="-2"/>
                <w:w w:val="105"/>
                <w:sz w:val="13"/>
              </w:rPr>
              <w:t>45,90</w:t>
            </w:r>
          </w:p>
        </w:tc>
        <w:tc>
          <w:tcPr>
            <w:tcW w:w="913" w:type="dxa"/>
            <w:tcBorders>
              <w:bottom w:val="single" w:sz="6" w:space="0" w:color="001F60"/>
            </w:tcBorders>
          </w:tcPr>
          <w:p w14:paraId="2BAE8D72" w14:textId="77777777" w:rsidR="002C6574" w:rsidRDefault="00000000">
            <w:pPr>
              <w:pStyle w:val="TableParagraph"/>
              <w:spacing w:before="13" w:line="132" w:lineRule="exact"/>
              <w:ind w:right="198"/>
              <w:rPr>
                <w:rFonts w:ascii="Arial MT"/>
                <w:sz w:val="13"/>
              </w:rPr>
            </w:pPr>
            <w:r>
              <w:rPr>
                <w:rFonts w:ascii="Arial MT"/>
                <w:color w:val="001F60"/>
                <w:spacing w:val="-2"/>
                <w:w w:val="105"/>
                <w:sz w:val="13"/>
              </w:rPr>
              <w:t>45,90</w:t>
            </w:r>
          </w:p>
        </w:tc>
        <w:tc>
          <w:tcPr>
            <w:tcW w:w="735" w:type="dxa"/>
            <w:tcBorders>
              <w:bottom w:val="single" w:sz="6" w:space="0" w:color="001F60"/>
            </w:tcBorders>
          </w:tcPr>
          <w:p w14:paraId="627520FC" w14:textId="77777777" w:rsidR="002C6574" w:rsidRDefault="00000000">
            <w:pPr>
              <w:pStyle w:val="TableParagraph"/>
              <w:spacing w:before="13" w:line="132" w:lineRule="exact"/>
              <w:ind w:right="92"/>
              <w:rPr>
                <w:rFonts w:ascii="Arial MT"/>
                <w:sz w:val="13"/>
              </w:rPr>
            </w:pPr>
            <w:r>
              <w:rPr>
                <w:rFonts w:ascii="Arial MT"/>
                <w:color w:val="001F60"/>
                <w:spacing w:val="-2"/>
                <w:w w:val="105"/>
                <w:sz w:val="13"/>
              </w:rPr>
              <w:t>45,90</w:t>
            </w:r>
          </w:p>
        </w:tc>
        <w:tc>
          <w:tcPr>
            <w:tcW w:w="845" w:type="dxa"/>
            <w:tcBorders>
              <w:bottom w:val="single" w:sz="6" w:space="0" w:color="001F60"/>
            </w:tcBorders>
          </w:tcPr>
          <w:p w14:paraId="427F43D4" w14:textId="77777777" w:rsidR="002C6574" w:rsidRDefault="00000000">
            <w:pPr>
              <w:pStyle w:val="TableParagraph"/>
              <w:spacing w:before="13" w:line="132" w:lineRule="exact"/>
              <w:ind w:left="16" w:right="45"/>
              <w:jc w:val="center"/>
              <w:rPr>
                <w:rFonts w:ascii="Arial MT"/>
                <w:sz w:val="13"/>
              </w:rPr>
            </w:pPr>
            <w:r>
              <w:rPr>
                <w:rFonts w:ascii="Arial MT"/>
                <w:color w:val="001F60"/>
                <w:spacing w:val="-4"/>
                <w:w w:val="105"/>
                <w:sz w:val="13"/>
              </w:rPr>
              <w:t>100%</w:t>
            </w:r>
          </w:p>
        </w:tc>
        <w:tc>
          <w:tcPr>
            <w:tcW w:w="826" w:type="dxa"/>
            <w:tcBorders>
              <w:bottom w:val="single" w:sz="6" w:space="0" w:color="001F60"/>
            </w:tcBorders>
          </w:tcPr>
          <w:p w14:paraId="275A0584" w14:textId="77777777" w:rsidR="002C6574" w:rsidRDefault="00000000">
            <w:pPr>
              <w:pStyle w:val="TableParagraph"/>
              <w:spacing w:before="13" w:line="132" w:lineRule="exact"/>
              <w:ind w:left="20" w:right="31"/>
              <w:jc w:val="center"/>
              <w:rPr>
                <w:rFonts w:ascii="Arial MT"/>
                <w:sz w:val="13"/>
              </w:rPr>
            </w:pPr>
            <w:r>
              <w:rPr>
                <w:rFonts w:ascii="Arial MT"/>
                <w:color w:val="001F60"/>
                <w:spacing w:val="-4"/>
                <w:w w:val="105"/>
                <w:sz w:val="13"/>
              </w:rPr>
              <w:t>100%</w:t>
            </w:r>
          </w:p>
        </w:tc>
      </w:tr>
      <w:tr w:rsidR="002C6574" w14:paraId="4D2057F8" w14:textId="77777777">
        <w:trPr>
          <w:trHeight w:val="161"/>
        </w:trPr>
        <w:tc>
          <w:tcPr>
            <w:tcW w:w="3213" w:type="dxa"/>
            <w:tcBorders>
              <w:top w:val="single" w:sz="6" w:space="0" w:color="001F60"/>
              <w:bottom w:val="single" w:sz="6" w:space="0" w:color="001F60"/>
            </w:tcBorders>
          </w:tcPr>
          <w:p w14:paraId="62DAB7F8" w14:textId="77777777" w:rsidR="002C6574" w:rsidRDefault="00000000">
            <w:pPr>
              <w:pStyle w:val="TableParagraph"/>
              <w:spacing w:before="12" w:line="129" w:lineRule="exact"/>
              <w:ind w:left="76"/>
              <w:jc w:val="left"/>
              <w:rPr>
                <w:rFonts w:ascii="Arial"/>
                <w:b/>
                <w:sz w:val="13"/>
              </w:rPr>
            </w:pPr>
            <w:r>
              <w:rPr>
                <w:rFonts w:ascii="Arial"/>
                <w:b/>
                <w:color w:val="001F60"/>
                <w:spacing w:val="-2"/>
                <w:w w:val="105"/>
                <w:sz w:val="13"/>
              </w:rPr>
              <w:t>Subtotal</w:t>
            </w:r>
          </w:p>
        </w:tc>
        <w:tc>
          <w:tcPr>
            <w:tcW w:w="744" w:type="dxa"/>
            <w:tcBorders>
              <w:top w:val="single" w:sz="6" w:space="0" w:color="001F60"/>
              <w:bottom w:val="single" w:sz="6" w:space="0" w:color="001F60"/>
            </w:tcBorders>
          </w:tcPr>
          <w:p w14:paraId="7BD09B41" w14:textId="77777777" w:rsidR="002C6574" w:rsidRDefault="00000000">
            <w:pPr>
              <w:pStyle w:val="TableParagraph"/>
              <w:spacing w:before="12" w:line="129" w:lineRule="exact"/>
              <w:ind w:right="222"/>
              <w:rPr>
                <w:rFonts w:ascii="Arial"/>
                <w:b/>
                <w:sz w:val="13"/>
              </w:rPr>
            </w:pPr>
            <w:r>
              <w:rPr>
                <w:rFonts w:ascii="Arial"/>
                <w:b/>
                <w:color w:val="001F60"/>
                <w:spacing w:val="-2"/>
                <w:w w:val="105"/>
                <w:sz w:val="13"/>
              </w:rPr>
              <w:t>294,98</w:t>
            </w:r>
          </w:p>
        </w:tc>
        <w:tc>
          <w:tcPr>
            <w:tcW w:w="921" w:type="dxa"/>
            <w:tcBorders>
              <w:top w:val="single" w:sz="6" w:space="0" w:color="001F60"/>
              <w:bottom w:val="single" w:sz="6" w:space="0" w:color="001F60"/>
            </w:tcBorders>
          </w:tcPr>
          <w:p w14:paraId="0CE0F79D" w14:textId="77777777" w:rsidR="002C6574" w:rsidRDefault="00000000">
            <w:pPr>
              <w:pStyle w:val="TableParagraph"/>
              <w:spacing w:before="12" w:line="129" w:lineRule="exact"/>
              <w:ind w:right="214"/>
              <w:rPr>
                <w:rFonts w:ascii="Arial"/>
                <w:b/>
                <w:sz w:val="13"/>
              </w:rPr>
            </w:pPr>
            <w:r>
              <w:rPr>
                <w:rFonts w:ascii="Arial"/>
                <w:b/>
                <w:color w:val="001F60"/>
                <w:spacing w:val="-2"/>
                <w:w w:val="105"/>
                <w:sz w:val="13"/>
              </w:rPr>
              <w:t>294,97</w:t>
            </w:r>
          </w:p>
        </w:tc>
        <w:tc>
          <w:tcPr>
            <w:tcW w:w="913" w:type="dxa"/>
            <w:tcBorders>
              <w:top w:val="single" w:sz="6" w:space="0" w:color="001F60"/>
              <w:bottom w:val="single" w:sz="6" w:space="0" w:color="001F60"/>
            </w:tcBorders>
          </w:tcPr>
          <w:p w14:paraId="2D880433" w14:textId="77777777" w:rsidR="002C6574" w:rsidRDefault="00000000">
            <w:pPr>
              <w:pStyle w:val="TableParagraph"/>
              <w:spacing w:before="12" w:line="129" w:lineRule="exact"/>
              <w:ind w:right="198"/>
              <w:rPr>
                <w:rFonts w:ascii="Arial"/>
                <w:b/>
                <w:sz w:val="13"/>
              </w:rPr>
            </w:pPr>
            <w:r>
              <w:rPr>
                <w:rFonts w:ascii="Arial"/>
                <w:b/>
                <w:color w:val="001F60"/>
                <w:spacing w:val="-2"/>
                <w:w w:val="105"/>
                <w:sz w:val="13"/>
              </w:rPr>
              <w:t>294,97</w:t>
            </w:r>
          </w:p>
        </w:tc>
        <w:tc>
          <w:tcPr>
            <w:tcW w:w="735" w:type="dxa"/>
            <w:tcBorders>
              <w:top w:val="single" w:sz="6" w:space="0" w:color="001F60"/>
              <w:bottom w:val="single" w:sz="6" w:space="0" w:color="001F60"/>
            </w:tcBorders>
          </w:tcPr>
          <w:p w14:paraId="5615DAEA" w14:textId="77777777" w:rsidR="002C6574" w:rsidRDefault="00000000">
            <w:pPr>
              <w:pStyle w:val="TableParagraph"/>
              <w:spacing w:before="12" w:line="129" w:lineRule="exact"/>
              <w:ind w:right="92"/>
              <w:rPr>
                <w:rFonts w:ascii="Arial"/>
                <w:b/>
                <w:sz w:val="13"/>
              </w:rPr>
            </w:pPr>
            <w:r>
              <w:rPr>
                <w:rFonts w:ascii="Arial"/>
                <w:b/>
                <w:color w:val="001F60"/>
                <w:spacing w:val="-2"/>
                <w:w w:val="105"/>
                <w:sz w:val="13"/>
              </w:rPr>
              <w:t>294,97</w:t>
            </w:r>
          </w:p>
        </w:tc>
        <w:tc>
          <w:tcPr>
            <w:tcW w:w="845" w:type="dxa"/>
            <w:tcBorders>
              <w:top w:val="single" w:sz="6" w:space="0" w:color="001F60"/>
              <w:bottom w:val="single" w:sz="6" w:space="0" w:color="001F60"/>
            </w:tcBorders>
          </w:tcPr>
          <w:p w14:paraId="1F7C1A4D" w14:textId="77777777" w:rsidR="002C6574" w:rsidRDefault="00000000">
            <w:pPr>
              <w:pStyle w:val="TableParagraph"/>
              <w:spacing w:before="12" w:line="129" w:lineRule="exact"/>
              <w:ind w:left="6" w:right="51"/>
              <w:jc w:val="center"/>
              <w:rPr>
                <w:rFonts w:ascii="Arial"/>
                <w:b/>
                <w:sz w:val="13"/>
              </w:rPr>
            </w:pPr>
            <w:r>
              <w:rPr>
                <w:rFonts w:ascii="Arial"/>
                <w:b/>
                <w:color w:val="001F60"/>
                <w:spacing w:val="-4"/>
                <w:w w:val="105"/>
                <w:sz w:val="13"/>
              </w:rPr>
              <w:t>100%</w:t>
            </w:r>
          </w:p>
        </w:tc>
        <w:tc>
          <w:tcPr>
            <w:tcW w:w="826" w:type="dxa"/>
            <w:tcBorders>
              <w:top w:val="single" w:sz="6" w:space="0" w:color="001F60"/>
              <w:bottom w:val="single" w:sz="6" w:space="0" w:color="001F60"/>
            </w:tcBorders>
          </w:tcPr>
          <w:p w14:paraId="7709C6E6" w14:textId="77777777" w:rsidR="002C6574" w:rsidRDefault="00000000">
            <w:pPr>
              <w:pStyle w:val="TableParagraph"/>
              <w:spacing w:before="12" w:line="129" w:lineRule="exact"/>
              <w:ind w:right="31"/>
              <w:jc w:val="center"/>
              <w:rPr>
                <w:rFonts w:ascii="Arial"/>
                <w:b/>
                <w:sz w:val="13"/>
              </w:rPr>
            </w:pPr>
            <w:r>
              <w:rPr>
                <w:rFonts w:ascii="Arial"/>
                <w:b/>
                <w:color w:val="001F60"/>
                <w:spacing w:val="-4"/>
                <w:w w:val="105"/>
                <w:sz w:val="13"/>
              </w:rPr>
              <w:t>100%</w:t>
            </w:r>
          </w:p>
        </w:tc>
      </w:tr>
      <w:tr w:rsidR="002C6574" w14:paraId="7CCF7B5D" w14:textId="77777777">
        <w:trPr>
          <w:trHeight w:val="160"/>
        </w:trPr>
        <w:tc>
          <w:tcPr>
            <w:tcW w:w="3213" w:type="dxa"/>
            <w:tcBorders>
              <w:top w:val="single" w:sz="6" w:space="0" w:color="001F60"/>
              <w:bottom w:val="single" w:sz="6" w:space="0" w:color="001F60"/>
            </w:tcBorders>
          </w:tcPr>
          <w:p w14:paraId="6CDBAD04" w14:textId="77777777" w:rsidR="002C6574" w:rsidRDefault="00000000">
            <w:pPr>
              <w:pStyle w:val="TableParagraph"/>
              <w:spacing w:before="8" w:line="132" w:lineRule="exact"/>
              <w:ind w:left="76"/>
              <w:jc w:val="left"/>
              <w:rPr>
                <w:rFonts w:ascii="Arial MT" w:hAnsi="Arial MT"/>
                <w:sz w:val="13"/>
              </w:rPr>
            </w:pPr>
            <w:r>
              <w:rPr>
                <w:rFonts w:ascii="Arial MT" w:hAnsi="Arial MT"/>
                <w:color w:val="001F60"/>
                <w:w w:val="105"/>
                <w:sz w:val="13"/>
              </w:rPr>
              <w:t>9 -</w:t>
            </w:r>
            <w:r>
              <w:rPr>
                <w:rFonts w:ascii="Arial MT" w:hAnsi="Arial MT"/>
                <w:color w:val="001F60"/>
                <w:spacing w:val="2"/>
                <w:w w:val="105"/>
                <w:sz w:val="13"/>
              </w:rPr>
              <w:t xml:space="preserve"> </w:t>
            </w:r>
            <w:r>
              <w:rPr>
                <w:rFonts w:ascii="Arial MT" w:hAnsi="Arial MT"/>
                <w:color w:val="001F60"/>
                <w:w w:val="105"/>
                <w:sz w:val="13"/>
              </w:rPr>
              <w:t>Reserva de</w:t>
            </w:r>
            <w:r>
              <w:rPr>
                <w:rFonts w:ascii="Arial MT" w:hAnsi="Arial MT"/>
                <w:color w:val="001F60"/>
                <w:spacing w:val="3"/>
                <w:w w:val="105"/>
                <w:sz w:val="13"/>
              </w:rPr>
              <w:t xml:space="preserve"> </w:t>
            </w:r>
            <w:r>
              <w:rPr>
                <w:rFonts w:ascii="Arial MT" w:hAnsi="Arial MT"/>
                <w:color w:val="001F60"/>
                <w:spacing w:val="-2"/>
                <w:w w:val="105"/>
                <w:sz w:val="13"/>
              </w:rPr>
              <w:t>Contingência</w:t>
            </w:r>
          </w:p>
        </w:tc>
        <w:tc>
          <w:tcPr>
            <w:tcW w:w="744" w:type="dxa"/>
            <w:tcBorders>
              <w:top w:val="single" w:sz="6" w:space="0" w:color="001F60"/>
              <w:bottom w:val="single" w:sz="6" w:space="0" w:color="001F60"/>
            </w:tcBorders>
          </w:tcPr>
          <w:p w14:paraId="4289702F" w14:textId="77777777" w:rsidR="002C6574" w:rsidRDefault="00000000">
            <w:pPr>
              <w:pStyle w:val="TableParagraph"/>
              <w:spacing w:before="8" w:line="132" w:lineRule="exact"/>
              <w:ind w:right="62"/>
              <w:jc w:val="center"/>
              <w:rPr>
                <w:rFonts w:ascii="Arial MT"/>
                <w:sz w:val="13"/>
              </w:rPr>
            </w:pPr>
            <w:r>
              <w:rPr>
                <w:rFonts w:ascii="Arial MT"/>
                <w:color w:val="001F60"/>
                <w:spacing w:val="-10"/>
                <w:w w:val="105"/>
                <w:sz w:val="13"/>
              </w:rPr>
              <w:t>-</w:t>
            </w:r>
          </w:p>
        </w:tc>
        <w:tc>
          <w:tcPr>
            <w:tcW w:w="921" w:type="dxa"/>
            <w:tcBorders>
              <w:top w:val="single" w:sz="6" w:space="0" w:color="001F60"/>
              <w:bottom w:val="single" w:sz="6" w:space="0" w:color="001F60"/>
            </w:tcBorders>
          </w:tcPr>
          <w:p w14:paraId="2DA18D1F" w14:textId="77777777" w:rsidR="002C6574" w:rsidRDefault="00000000">
            <w:pPr>
              <w:pStyle w:val="TableParagraph"/>
              <w:spacing w:before="8" w:line="132" w:lineRule="exact"/>
              <w:ind w:left="128"/>
              <w:jc w:val="center"/>
              <w:rPr>
                <w:rFonts w:ascii="Arial MT"/>
                <w:sz w:val="13"/>
              </w:rPr>
            </w:pPr>
            <w:r>
              <w:rPr>
                <w:rFonts w:ascii="Arial MT"/>
                <w:color w:val="001F60"/>
                <w:spacing w:val="-10"/>
                <w:w w:val="105"/>
                <w:sz w:val="13"/>
              </w:rPr>
              <w:t>-</w:t>
            </w:r>
          </w:p>
        </w:tc>
        <w:tc>
          <w:tcPr>
            <w:tcW w:w="913" w:type="dxa"/>
            <w:tcBorders>
              <w:top w:val="single" w:sz="6" w:space="0" w:color="001F60"/>
              <w:bottom w:val="single" w:sz="6" w:space="0" w:color="001F60"/>
            </w:tcBorders>
          </w:tcPr>
          <w:p w14:paraId="29AFB422" w14:textId="77777777" w:rsidR="002C6574" w:rsidRDefault="00000000">
            <w:pPr>
              <w:pStyle w:val="TableParagraph"/>
              <w:spacing w:before="8" w:line="132" w:lineRule="exact"/>
              <w:ind w:left="152"/>
              <w:jc w:val="center"/>
              <w:rPr>
                <w:rFonts w:ascii="Arial MT"/>
                <w:sz w:val="13"/>
              </w:rPr>
            </w:pPr>
            <w:r>
              <w:rPr>
                <w:rFonts w:ascii="Arial MT"/>
                <w:color w:val="001F60"/>
                <w:spacing w:val="-10"/>
                <w:w w:val="105"/>
                <w:sz w:val="13"/>
              </w:rPr>
              <w:t>-</w:t>
            </w:r>
          </w:p>
        </w:tc>
        <w:tc>
          <w:tcPr>
            <w:tcW w:w="735" w:type="dxa"/>
            <w:tcBorders>
              <w:top w:val="single" w:sz="6" w:space="0" w:color="001F60"/>
              <w:bottom w:val="single" w:sz="6" w:space="0" w:color="001F60"/>
            </w:tcBorders>
          </w:tcPr>
          <w:p w14:paraId="549E35F8" w14:textId="77777777" w:rsidR="002C6574" w:rsidRDefault="00000000">
            <w:pPr>
              <w:pStyle w:val="TableParagraph"/>
              <w:spacing w:before="8" w:line="132" w:lineRule="exact"/>
              <w:ind w:left="193"/>
              <w:jc w:val="center"/>
              <w:rPr>
                <w:rFonts w:ascii="Arial MT"/>
                <w:sz w:val="13"/>
              </w:rPr>
            </w:pPr>
            <w:r>
              <w:rPr>
                <w:rFonts w:ascii="Arial MT"/>
                <w:color w:val="001F60"/>
                <w:spacing w:val="-10"/>
                <w:w w:val="105"/>
                <w:sz w:val="13"/>
              </w:rPr>
              <w:t>-</w:t>
            </w:r>
          </w:p>
        </w:tc>
        <w:tc>
          <w:tcPr>
            <w:tcW w:w="845" w:type="dxa"/>
            <w:tcBorders>
              <w:top w:val="single" w:sz="6" w:space="0" w:color="001F60"/>
              <w:bottom w:val="single" w:sz="6" w:space="0" w:color="001F60"/>
            </w:tcBorders>
          </w:tcPr>
          <w:p w14:paraId="54895F15" w14:textId="77777777" w:rsidR="002C6574" w:rsidRDefault="002C6574">
            <w:pPr>
              <w:pStyle w:val="TableParagraph"/>
              <w:jc w:val="left"/>
              <w:rPr>
                <w:rFonts w:ascii="Times New Roman"/>
                <w:sz w:val="10"/>
              </w:rPr>
            </w:pPr>
          </w:p>
        </w:tc>
        <w:tc>
          <w:tcPr>
            <w:tcW w:w="826" w:type="dxa"/>
            <w:tcBorders>
              <w:top w:val="single" w:sz="6" w:space="0" w:color="001F60"/>
              <w:bottom w:val="single" w:sz="6" w:space="0" w:color="001F60"/>
            </w:tcBorders>
          </w:tcPr>
          <w:p w14:paraId="3511895D" w14:textId="77777777" w:rsidR="002C6574" w:rsidRDefault="002C6574">
            <w:pPr>
              <w:pStyle w:val="TableParagraph"/>
              <w:jc w:val="left"/>
              <w:rPr>
                <w:rFonts w:ascii="Times New Roman"/>
                <w:sz w:val="10"/>
              </w:rPr>
            </w:pPr>
          </w:p>
        </w:tc>
      </w:tr>
      <w:tr w:rsidR="002C6574" w14:paraId="64E958F1" w14:textId="77777777">
        <w:trPr>
          <w:trHeight w:val="161"/>
        </w:trPr>
        <w:tc>
          <w:tcPr>
            <w:tcW w:w="3213" w:type="dxa"/>
            <w:tcBorders>
              <w:top w:val="single" w:sz="6" w:space="0" w:color="001F60"/>
              <w:bottom w:val="single" w:sz="6" w:space="0" w:color="001F60"/>
            </w:tcBorders>
          </w:tcPr>
          <w:p w14:paraId="3EBCA309" w14:textId="77777777" w:rsidR="002C6574" w:rsidRDefault="00000000">
            <w:pPr>
              <w:pStyle w:val="TableParagraph"/>
              <w:spacing w:before="10" w:line="131" w:lineRule="exact"/>
              <w:ind w:left="76"/>
              <w:jc w:val="left"/>
              <w:rPr>
                <w:rFonts w:ascii="Arial"/>
                <w:b/>
                <w:sz w:val="13"/>
              </w:rPr>
            </w:pPr>
            <w:r>
              <w:rPr>
                <w:rFonts w:ascii="Arial"/>
                <w:b/>
                <w:color w:val="001F60"/>
                <w:spacing w:val="-2"/>
                <w:w w:val="105"/>
                <w:sz w:val="13"/>
              </w:rPr>
              <w:t>Total</w:t>
            </w:r>
          </w:p>
        </w:tc>
        <w:tc>
          <w:tcPr>
            <w:tcW w:w="744" w:type="dxa"/>
            <w:tcBorders>
              <w:top w:val="single" w:sz="6" w:space="0" w:color="001F60"/>
              <w:bottom w:val="single" w:sz="6" w:space="0" w:color="001F60"/>
            </w:tcBorders>
          </w:tcPr>
          <w:p w14:paraId="65C75AAC" w14:textId="77777777" w:rsidR="002C6574" w:rsidRDefault="00000000">
            <w:pPr>
              <w:pStyle w:val="TableParagraph"/>
              <w:spacing w:before="10" w:line="131" w:lineRule="exact"/>
              <w:ind w:right="222"/>
              <w:rPr>
                <w:rFonts w:ascii="Arial"/>
                <w:b/>
                <w:sz w:val="13"/>
              </w:rPr>
            </w:pPr>
            <w:r>
              <w:rPr>
                <w:rFonts w:ascii="Arial"/>
                <w:b/>
                <w:color w:val="001F60"/>
                <w:spacing w:val="-2"/>
                <w:w w:val="105"/>
                <w:sz w:val="13"/>
              </w:rPr>
              <w:t>294,98</w:t>
            </w:r>
          </w:p>
        </w:tc>
        <w:tc>
          <w:tcPr>
            <w:tcW w:w="921" w:type="dxa"/>
            <w:tcBorders>
              <w:top w:val="single" w:sz="6" w:space="0" w:color="001F60"/>
              <w:bottom w:val="single" w:sz="6" w:space="0" w:color="001F60"/>
            </w:tcBorders>
          </w:tcPr>
          <w:p w14:paraId="2BEE607D" w14:textId="77777777" w:rsidR="002C6574" w:rsidRDefault="00000000">
            <w:pPr>
              <w:pStyle w:val="TableParagraph"/>
              <w:spacing w:before="10" w:line="131" w:lineRule="exact"/>
              <w:ind w:right="214"/>
              <w:rPr>
                <w:rFonts w:ascii="Arial"/>
                <w:b/>
                <w:sz w:val="13"/>
              </w:rPr>
            </w:pPr>
            <w:r>
              <w:rPr>
                <w:rFonts w:ascii="Arial"/>
                <w:b/>
                <w:color w:val="001F60"/>
                <w:spacing w:val="-2"/>
                <w:w w:val="105"/>
                <w:sz w:val="13"/>
              </w:rPr>
              <w:t>294,97</w:t>
            </w:r>
          </w:p>
        </w:tc>
        <w:tc>
          <w:tcPr>
            <w:tcW w:w="913" w:type="dxa"/>
            <w:tcBorders>
              <w:top w:val="single" w:sz="6" w:space="0" w:color="001F60"/>
              <w:bottom w:val="single" w:sz="6" w:space="0" w:color="001F60"/>
            </w:tcBorders>
          </w:tcPr>
          <w:p w14:paraId="72F85361" w14:textId="77777777" w:rsidR="002C6574" w:rsidRDefault="00000000">
            <w:pPr>
              <w:pStyle w:val="TableParagraph"/>
              <w:spacing w:before="10" w:line="131" w:lineRule="exact"/>
              <w:ind w:right="198"/>
              <w:rPr>
                <w:rFonts w:ascii="Arial"/>
                <w:b/>
                <w:sz w:val="13"/>
              </w:rPr>
            </w:pPr>
            <w:r>
              <w:rPr>
                <w:rFonts w:ascii="Arial"/>
                <w:b/>
                <w:color w:val="001F60"/>
                <w:spacing w:val="-2"/>
                <w:w w:val="105"/>
                <w:sz w:val="13"/>
              </w:rPr>
              <w:t>294,97</w:t>
            </w:r>
          </w:p>
        </w:tc>
        <w:tc>
          <w:tcPr>
            <w:tcW w:w="735" w:type="dxa"/>
            <w:tcBorders>
              <w:top w:val="single" w:sz="6" w:space="0" w:color="001F60"/>
              <w:bottom w:val="single" w:sz="6" w:space="0" w:color="001F60"/>
            </w:tcBorders>
          </w:tcPr>
          <w:p w14:paraId="3BA3A461" w14:textId="77777777" w:rsidR="002C6574" w:rsidRDefault="00000000">
            <w:pPr>
              <w:pStyle w:val="TableParagraph"/>
              <w:spacing w:before="10" w:line="131" w:lineRule="exact"/>
              <w:ind w:right="92"/>
              <w:rPr>
                <w:rFonts w:ascii="Arial"/>
                <w:b/>
                <w:sz w:val="13"/>
              </w:rPr>
            </w:pPr>
            <w:r>
              <w:rPr>
                <w:rFonts w:ascii="Arial"/>
                <w:b/>
                <w:color w:val="001F60"/>
                <w:spacing w:val="-2"/>
                <w:w w:val="105"/>
                <w:sz w:val="13"/>
              </w:rPr>
              <w:t>294,97</w:t>
            </w:r>
          </w:p>
        </w:tc>
        <w:tc>
          <w:tcPr>
            <w:tcW w:w="845" w:type="dxa"/>
            <w:tcBorders>
              <w:top w:val="single" w:sz="6" w:space="0" w:color="001F60"/>
              <w:bottom w:val="single" w:sz="6" w:space="0" w:color="001F60"/>
            </w:tcBorders>
          </w:tcPr>
          <w:p w14:paraId="0FE5E5B2" w14:textId="77777777" w:rsidR="002C6574" w:rsidRDefault="00000000">
            <w:pPr>
              <w:pStyle w:val="TableParagraph"/>
              <w:spacing w:before="10" w:line="131" w:lineRule="exact"/>
              <w:ind w:left="6" w:right="51"/>
              <w:jc w:val="center"/>
              <w:rPr>
                <w:rFonts w:ascii="Arial"/>
                <w:b/>
                <w:sz w:val="13"/>
              </w:rPr>
            </w:pPr>
            <w:r>
              <w:rPr>
                <w:rFonts w:ascii="Arial"/>
                <w:b/>
                <w:color w:val="001F60"/>
                <w:spacing w:val="-4"/>
                <w:w w:val="105"/>
                <w:sz w:val="13"/>
              </w:rPr>
              <w:t>100%</w:t>
            </w:r>
          </w:p>
        </w:tc>
        <w:tc>
          <w:tcPr>
            <w:tcW w:w="826" w:type="dxa"/>
            <w:tcBorders>
              <w:top w:val="single" w:sz="6" w:space="0" w:color="001F60"/>
              <w:bottom w:val="single" w:sz="6" w:space="0" w:color="001F60"/>
            </w:tcBorders>
          </w:tcPr>
          <w:p w14:paraId="01A9A9F2" w14:textId="77777777" w:rsidR="002C6574" w:rsidRDefault="00000000">
            <w:pPr>
              <w:pStyle w:val="TableParagraph"/>
              <w:spacing w:before="10" w:line="131" w:lineRule="exact"/>
              <w:ind w:right="31"/>
              <w:jc w:val="center"/>
              <w:rPr>
                <w:rFonts w:ascii="Arial"/>
                <w:b/>
                <w:sz w:val="13"/>
              </w:rPr>
            </w:pPr>
            <w:r>
              <w:rPr>
                <w:rFonts w:ascii="Arial"/>
                <w:b/>
                <w:color w:val="001F60"/>
                <w:spacing w:val="-4"/>
                <w:w w:val="105"/>
                <w:sz w:val="13"/>
              </w:rPr>
              <w:t>100%</w:t>
            </w:r>
          </w:p>
        </w:tc>
      </w:tr>
      <w:tr w:rsidR="002C6574" w14:paraId="3ADCA39E" w14:textId="77777777">
        <w:trPr>
          <w:trHeight w:val="154"/>
        </w:trPr>
        <w:tc>
          <w:tcPr>
            <w:tcW w:w="3213" w:type="dxa"/>
            <w:tcBorders>
              <w:top w:val="single" w:sz="6" w:space="0" w:color="001F60"/>
            </w:tcBorders>
          </w:tcPr>
          <w:p w14:paraId="6705FFF3" w14:textId="77777777" w:rsidR="002C6574" w:rsidRDefault="00000000">
            <w:pPr>
              <w:pStyle w:val="TableParagraph"/>
              <w:spacing w:before="5" w:line="129" w:lineRule="exact"/>
              <w:ind w:left="31"/>
              <w:jc w:val="left"/>
              <w:rPr>
                <w:rFonts w:ascii="Arial"/>
                <w:i/>
                <w:position w:val="1"/>
                <w:sz w:val="12"/>
              </w:rPr>
            </w:pPr>
            <w:r>
              <w:rPr>
                <w:rFonts w:ascii="Arial"/>
                <w:b/>
                <w:color w:val="001F60"/>
                <w:sz w:val="12"/>
              </w:rPr>
              <w:t>Fonte:</w:t>
            </w:r>
            <w:r>
              <w:rPr>
                <w:rFonts w:ascii="Arial"/>
                <w:b/>
                <w:color w:val="001F60"/>
                <w:spacing w:val="13"/>
                <w:sz w:val="12"/>
              </w:rPr>
              <w:t xml:space="preserve"> </w:t>
            </w:r>
            <w:r>
              <w:rPr>
                <w:rFonts w:ascii="Arial"/>
                <w:i/>
                <w:color w:val="001F60"/>
                <w:position w:val="1"/>
                <w:sz w:val="12"/>
              </w:rPr>
              <w:t>Sistema</w:t>
            </w:r>
            <w:r>
              <w:rPr>
                <w:rFonts w:ascii="Arial"/>
                <w:i/>
                <w:color w:val="001F60"/>
                <w:spacing w:val="8"/>
                <w:position w:val="1"/>
                <w:sz w:val="12"/>
              </w:rPr>
              <w:t xml:space="preserve"> </w:t>
            </w:r>
            <w:r>
              <w:rPr>
                <w:rFonts w:ascii="Arial"/>
                <w:i/>
                <w:color w:val="001F60"/>
                <w:position w:val="1"/>
                <w:sz w:val="12"/>
              </w:rPr>
              <w:t>Siga</w:t>
            </w:r>
            <w:r>
              <w:rPr>
                <w:rFonts w:ascii="Arial"/>
                <w:i/>
                <w:color w:val="001F60"/>
                <w:spacing w:val="5"/>
                <w:position w:val="1"/>
                <w:sz w:val="12"/>
              </w:rPr>
              <w:t xml:space="preserve"> </w:t>
            </w:r>
            <w:r>
              <w:rPr>
                <w:rFonts w:ascii="Arial"/>
                <w:i/>
                <w:color w:val="001F60"/>
                <w:position w:val="1"/>
                <w:sz w:val="12"/>
              </w:rPr>
              <w:t>Brasil</w:t>
            </w:r>
            <w:r>
              <w:rPr>
                <w:rFonts w:ascii="Arial"/>
                <w:i/>
                <w:color w:val="001F60"/>
                <w:spacing w:val="8"/>
                <w:position w:val="1"/>
                <w:sz w:val="12"/>
              </w:rPr>
              <w:t xml:space="preserve"> </w:t>
            </w:r>
            <w:r>
              <w:rPr>
                <w:rFonts w:ascii="Arial"/>
                <w:i/>
                <w:color w:val="001F60"/>
                <w:position w:val="1"/>
                <w:sz w:val="12"/>
              </w:rPr>
              <w:t>-</w:t>
            </w:r>
            <w:r>
              <w:rPr>
                <w:rFonts w:ascii="Arial"/>
                <w:i/>
                <w:color w:val="001F60"/>
                <w:spacing w:val="2"/>
                <w:position w:val="1"/>
                <w:sz w:val="12"/>
              </w:rPr>
              <w:t xml:space="preserve"> </w:t>
            </w:r>
            <w:r>
              <w:rPr>
                <w:rFonts w:ascii="Arial"/>
                <w:i/>
                <w:color w:val="001F60"/>
                <w:position w:val="1"/>
                <w:sz w:val="12"/>
              </w:rPr>
              <w:t>Senado</w:t>
            </w:r>
            <w:r>
              <w:rPr>
                <w:rFonts w:ascii="Arial"/>
                <w:i/>
                <w:color w:val="001F60"/>
                <w:spacing w:val="10"/>
                <w:position w:val="1"/>
                <w:sz w:val="12"/>
              </w:rPr>
              <w:t xml:space="preserve"> </w:t>
            </w:r>
            <w:r>
              <w:rPr>
                <w:rFonts w:ascii="Arial"/>
                <w:i/>
                <w:color w:val="001F60"/>
                <w:position w:val="1"/>
                <w:sz w:val="12"/>
              </w:rPr>
              <w:t>Federal:</w:t>
            </w:r>
            <w:r>
              <w:rPr>
                <w:rFonts w:ascii="Arial"/>
                <w:i/>
                <w:color w:val="001F60"/>
                <w:spacing w:val="3"/>
                <w:position w:val="1"/>
                <w:sz w:val="12"/>
              </w:rPr>
              <w:t xml:space="preserve"> </w:t>
            </w:r>
            <w:r>
              <w:rPr>
                <w:rFonts w:ascii="Arial"/>
                <w:i/>
                <w:color w:val="001F60"/>
                <w:spacing w:val="-2"/>
                <w:position w:val="1"/>
                <w:sz w:val="12"/>
              </w:rPr>
              <w:t>23/1/2026</w:t>
            </w:r>
          </w:p>
        </w:tc>
        <w:tc>
          <w:tcPr>
            <w:tcW w:w="744" w:type="dxa"/>
            <w:tcBorders>
              <w:top w:val="single" w:sz="6" w:space="0" w:color="001F60"/>
            </w:tcBorders>
          </w:tcPr>
          <w:p w14:paraId="6C38EFE1" w14:textId="77777777" w:rsidR="002C6574" w:rsidRDefault="002C6574">
            <w:pPr>
              <w:pStyle w:val="TableParagraph"/>
              <w:jc w:val="left"/>
              <w:rPr>
                <w:rFonts w:ascii="Times New Roman"/>
                <w:sz w:val="8"/>
              </w:rPr>
            </w:pPr>
          </w:p>
        </w:tc>
        <w:tc>
          <w:tcPr>
            <w:tcW w:w="921" w:type="dxa"/>
            <w:tcBorders>
              <w:top w:val="single" w:sz="6" w:space="0" w:color="001F60"/>
            </w:tcBorders>
          </w:tcPr>
          <w:p w14:paraId="5F578C70" w14:textId="77777777" w:rsidR="002C6574" w:rsidRDefault="002C6574">
            <w:pPr>
              <w:pStyle w:val="TableParagraph"/>
              <w:jc w:val="left"/>
              <w:rPr>
                <w:rFonts w:ascii="Times New Roman"/>
                <w:sz w:val="8"/>
              </w:rPr>
            </w:pPr>
          </w:p>
        </w:tc>
        <w:tc>
          <w:tcPr>
            <w:tcW w:w="913" w:type="dxa"/>
            <w:tcBorders>
              <w:top w:val="single" w:sz="6" w:space="0" w:color="001F60"/>
            </w:tcBorders>
          </w:tcPr>
          <w:p w14:paraId="3CB38EB6" w14:textId="77777777" w:rsidR="002C6574" w:rsidRDefault="002C6574">
            <w:pPr>
              <w:pStyle w:val="TableParagraph"/>
              <w:jc w:val="left"/>
              <w:rPr>
                <w:rFonts w:ascii="Times New Roman"/>
                <w:sz w:val="8"/>
              </w:rPr>
            </w:pPr>
          </w:p>
        </w:tc>
        <w:tc>
          <w:tcPr>
            <w:tcW w:w="735" w:type="dxa"/>
            <w:tcBorders>
              <w:top w:val="single" w:sz="6" w:space="0" w:color="001F60"/>
            </w:tcBorders>
          </w:tcPr>
          <w:p w14:paraId="4F76B6C8" w14:textId="77777777" w:rsidR="002C6574" w:rsidRDefault="002C6574">
            <w:pPr>
              <w:pStyle w:val="TableParagraph"/>
              <w:jc w:val="left"/>
              <w:rPr>
                <w:rFonts w:ascii="Times New Roman"/>
                <w:sz w:val="8"/>
              </w:rPr>
            </w:pPr>
          </w:p>
        </w:tc>
        <w:tc>
          <w:tcPr>
            <w:tcW w:w="845" w:type="dxa"/>
            <w:tcBorders>
              <w:top w:val="single" w:sz="6" w:space="0" w:color="001F60"/>
            </w:tcBorders>
          </w:tcPr>
          <w:p w14:paraId="184EE842" w14:textId="77777777" w:rsidR="002C6574" w:rsidRDefault="002C6574">
            <w:pPr>
              <w:pStyle w:val="TableParagraph"/>
              <w:jc w:val="left"/>
              <w:rPr>
                <w:rFonts w:ascii="Times New Roman"/>
                <w:sz w:val="8"/>
              </w:rPr>
            </w:pPr>
          </w:p>
        </w:tc>
        <w:tc>
          <w:tcPr>
            <w:tcW w:w="826" w:type="dxa"/>
            <w:tcBorders>
              <w:top w:val="single" w:sz="6" w:space="0" w:color="001F60"/>
            </w:tcBorders>
          </w:tcPr>
          <w:p w14:paraId="2630D809" w14:textId="77777777" w:rsidR="002C6574" w:rsidRDefault="002C6574">
            <w:pPr>
              <w:pStyle w:val="TableParagraph"/>
              <w:jc w:val="left"/>
              <w:rPr>
                <w:rFonts w:ascii="Times New Roman"/>
                <w:sz w:val="8"/>
              </w:rPr>
            </w:pPr>
          </w:p>
        </w:tc>
      </w:tr>
    </w:tbl>
    <w:p w14:paraId="3D7DAFC7" w14:textId="77777777" w:rsidR="002C6574" w:rsidRDefault="00000000">
      <w:pPr>
        <w:spacing w:before="138"/>
        <w:ind w:left="3323"/>
        <w:rPr>
          <w:rFonts w:ascii="Calibri" w:hAnsi="Calibri"/>
          <w:sz w:val="16"/>
        </w:rPr>
      </w:pPr>
      <w:r>
        <w:rPr>
          <w:rFonts w:ascii="Calibri" w:hAnsi="Calibri"/>
          <w:color w:val="001F60"/>
          <w:sz w:val="16"/>
        </w:rPr>
        <w:t>Tabela</w:t>
      </w:r>
      <w:r>
        <w:rPr>
          <w:rFonts w:ascii="Calibri" w:hAnsi="Calibri"/>
          <w:color w:val="001F60"/>
          <w:spacing w:val="-4"/>
          <w:sz w:val="16"/>
        </w:rPr>
        <w:t xml:space="preserve"> </w:t>
      </w:r>
      <w:r>
        <w:rPr>
          <w:rFonts w:ascii="Calibri" w:hAnsi="Calibri"/>
          <w:color w:val="001F60"/>
          <w:sz w:val="16"/>
        </w:rPr>
        <w:t>3-13</w:t>
      </w:r>
      <w:r>
        <w:rPr>
          <w:rFonts w:ascii="Calibri" w:hAnsi="Calibri"/>
          <w:color w:val="001F60"/>
          <w:spacing w:val="-6"/>
          <w:sz w:val="16"/>
        </w:rPr>
        <w:t xml:space="preserve"> </w:t>
      </w:r>
      <w:r>
        <w:rPr>
          <w:rFonts w:ascii="Calibri" w:hAnsi="Calibri"/>
          <w:color w:val="001F60"/>
          <w:sz w:val="16"/>
        </w:rPr>
        <w:t>Execução</w:t>
      </w:r>
      <w:r>
        <w:rPr>
          <w:rFonts w:ascii="Calibri" w:hAnsi="Calibri"/>
          <w:color w:val="001F60"/>
          <w:spacing w:val="-3"/>
          <w:sz w:val="16"/>
        </w:rPr>
        <w:t xml:space="preserve"> </w:t>
      </w:r>
      <w:r>
        <w:rPr>
          <w:rFonts w:ascii="Calibri" w:hAnsi="Calibri"/>
          <w:color w:val="001F60"/>
          <w:sz w:val="16"/>
        </w:rPr>
        <w:t>da</w:t>
      </w:r>
      <w:r>
        <w:rPr>
          <w:rFonts w:ascii="Calibri" w:hAnsi="Calibri"/>
          <w:color w:val="001F60"/>
          <w:spacing w:val="-2"/>
          <w:sz w:val="16"/>
        </w:rPr>
        <w:t xml:space="preserve"> </w:t>
      </w:r>
      <w:r>
        <w:rPr>
          <w:rFonts w:ascii="Calibri" w:hAnsi="Calibri"/>
          <w:color w:val="001F60"/>
          <w:sz w:val="16"/>
        </w:rPr>
        <w:t>Despesa</w:t>
      </w:r>
      <w:r>
        <w:rPr>
          <w:rFonts w:ascii="Calibri" w:hAnsi="Calibri"/>
          <w:color w:val="001F60"/>
          <w:spacing w:val="-4"/>
          <w:sz w:val="16"/>
        </w:rPr>
        <w:t xml:space="preserve"> </w:t>
      </w:r>
      <w:r>
        <w:rPr>
          <w:rFonts w:ascii="Calibri" w:hAnsi="Calibri"/>
          <w:color w:val="001F60"/>
          <w:sz w:val="16"/>
        </w:rPr>
        <w:t>por</w:t>
      </w:r>
      <w:r>
        <w:rPr>
          <w:rFonts w:ascii="Calibri" w:hAnsi="Calibri"/>
          <w:color w:val="001F60"/>
          <w:spacing w:val="-1"/>
          <w:sz w:val="16"/>
        </w:rPr>
        <w:t xml:space="preserve"> </w:t>
      </w:r>
      <w:r>
        <w:rPr>
          <w:rFonts w:ascii="Calibri" w:hAnsi="Calibri"/>
          <w:color w:val="001F60"/>
          <w:sz w:val="16"/>
        </w:rPr>
        <w:t>Categoria</w:t>
      </w:r>
      <w:r>
        <w:rPr>
          <w:rFonts w:ascii="Calibri" w:hAnsi="Calibri"/>
          <w:color w:val="001F60"/>
          <w:spacing w:val="-3"/>
          <w:sz w:val="16"/>
        </w:rPr>
        <w:t xml:space="preserve"> </w:t>
      </w:r>
      <w:r>
        <w:rPr>
          <w:rFonts w:ascii="Calibri" w:hAnsi="Calibri"/>
          <w:color w:val="001F60"/>
          <w:spacing w:val="-2"/>
          <w:sz w:val="16"/>
        </w:rPr>
        <w:t>Econômica</w:t>
      </w:r>
    </w:p>
    <w:p w14:paraId="19CD34CB" w14:textId="77777777" w:rsidR="002C6574" w:rsidRDefault="00000000">
      <w:pPr>
        <w:pStyle w:val="Corpodetexto"/>
        <w:spacing w:before="120"/>
        <w:ind w:left="709" w:right="277"/>
        <w:jc w:val="both"/>
        <w:rPr>
          <w:rFonts w:ascii="Calibri" w:hAnsi="Calibri"/>
        </w:rPr>
      </w:pPr>
      <w:r>
        <w:rPr>
          <w:rFonts w:ascii="Calibri" w:hAnsi="Calibri"/>
          <w:color w:val="001F60"/>
        </w:rPr>
        <w:t>Para o exercício de 2025, em decorrência da celebração do Contrato de Gestão entre a Telebras com o MCom, foram anulados os saldos disponíveis nas notas de empenho, e a dotação orçamentária da empresa foi atualizada pela Portaria GM/MPO nº 339/2025. Por esse motivo, a execução relativa ao OFSS alcançou 100% no exercício.</w:t>
      </w:r>
    </w:p>
    <w:p w14:paraId="706F1EDE" w14:textId="77777777" w:rsidR="002C6574" w:rsidRDefault="002C6574">
      <w:pPr>
        <w:pStyle w:val="Corpodetexto"/>
        <w:spacing w:before="37"/>
        <w:rPr>
          <w:rFonts w:ascii="Calibri"/>
          <w:sz w:val="8"/>
        </w:rPr>
      </w:pPr>
    </w:p>
    <w:p w14:paraId="720023A8" w14:textId="77777777" w:rsidR="002C6574" w:rsidRDefault="00000000">
      <w:pPr>
        <w:spacing w:before="1"/>
        <w:ind w:right="355"/>
        <w:jc w:val="right"/>
        <w:rPr>
          <w:rFonts w:ascii="Arial" w:hAnsi="Arial"/>
          <w:b/>
          <w:i/>
          <w:sz w:val="8"/>
        </w:rPr>
      </w:pPr>
      <w:r>
        <w:rPr>
          <w:rFonts w:ascii="Arial" w:hAnsi="Arial"/>
          <w:b/>
          <w:i/>
          <w:noProof/>
          <w:sz w:val="8"/>
        </w:rPr>
        <mc:AlternateContent>
          <mc:Choice Requires="wpg">
            <w:drawing>
              <wp:anchor distT="0" distB="0" distL="0" distR="0" simplePos="0" relativeHeight="487592960" behindDoc="1" locked="0" layoutInCell="1" allowOverlap="1" wp14:anchorId="481A343D" wp14:editId="3052D93C">
                <wp:simplePos x="0" y="0"/>
                <wp:positionH relativeFrom="page">
                  <wp:posOffset>1103375</wp:posOffset>
                </wp:positionH>
                <wp:positionV relativeFrom="paragraph">
                  <wp:posOffset>64539</wp:posOffset>
                </wp:positionV>
                <wp:extent cx="5713730" cy="508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3730" cy="5080"/>
                          <a:chOff x="0" y="0"/>
                          <a:chExt cx="5713730" cy="5080"/>
                        </a:xfrm>
                      </wpg:grpSpPr>
                      <wps:wsp>
                        <wps:cNvPr id="41" name="Graphic 41"/>
                        <wps:cNvSpPr/>
                        <wps:spPr>
                          <a:xfrm>
                            <a:off x="0" y="2381"/>
                            <a:ext cx="5713730" cy="1270"/>
                          </a:xfrm>
                          <a:custGeom>
                            <a:avLst/>
                            <a:gdLst/>
                            <a:ahLst/>
                            <a:cxnLst/>
                            <a:rect l="l" t="t" r="r" b="b"/>
                            <a:pathLst>
                              <a:path w="5713730">
                                <a:moveTo>
                                  <a:pt x="0" y="0"/>
                                </a:moveTo>
                                <a:lnTo>
                                  <a:pt x="5713475" y="0"/>
                                </a:lnTo>
                              </a:path>
                            </a:pathLst>
                          </a:custGeom>
                          <a:ln w="4762">
                            <a:solidFill>
                              <a:srgbClr val="001F60"/>
                            </a:solidFill>
                            <a:prstDash val="solid"/>
                          </a:ln>
                        </wps:spPr>
                        <wps:bodyPr wrap="square" lIns="0" tIns="0" rIns="0" bIns="0" rtlCol="0">
                          <a:prstTxWarp prst="textNoShape">
                            <a:avLst/>
                          </a:prstTxWarp>
                          <a:noAutofit/>
                        </wps:bodyPr>
                      </wps:wsp>
                      <wps:wsp>
                        <wps:cNvPr id="42" name="Graphic 42"/>
                        <wps:cNvSpPr/>
                        <wps:spPr>
                          <a:xfrm>
                            <a:off x="0" y="1904"/>
                            <a:ext cx="5713730" cy="3175"/>
                          </a:xfrm>
                          <a:custGeom>
                            <a:avLst/>
                            <a:gdLst/>
                            <a:ahLst/>
                            <a:cxnLst/>
                            <a:rect l="l" t="t" r="r" b="b"/>
                            <a:pathLst>
                              <a:path w="5713730" h="3175">
                                <a:moveTo>
                                  <a:pt x="5713475" y="3048"/>
                                </a:moveTo>
                                <a:lnTo>
                                  <a:pt x="0" y="3048"/>
                                </a:lnTo>
                                <a:lnTo>
                                  <a:pt x="0" y="0"/>
                                </a:lnTo>
                                <a:lnTo>
                                  <a:pt x="5713475" y="0"/>
                                </a:lnTo>
                                <a:lnTo>
                                  <a:pt x="5713475" y="3048"/>
                                </a:lnTo>
                                <a:close/>
                              </a:path>
                            </a:pathLst>
                          </a:custGeom>
                          <a:solidFill>
                            <a:srgbClr val="001F60"/>
                          </a:solidFill>
                        </wps:spPr>
                        <wps:bodyPr wrap="square" lIns="0" tIns="0" rIns="0" bIns="0" rtlCol="0">
                          <a:prstTxWarp prst="textNoShape">
                            <a:avLst/>
                          </a:prstTxWarp>
                          <a:noAutofit/>
                        </wps:bodyPr>
                      </wps:wsp>
                    </wpg:wgp>
                  </a:graphicData>
                </a:graphic>
              </wp:anchor>
            </w:drawing>
          </mc:Choice>
          <mc:Fallback>
            <w:pict>
              <v:group w14:anchorId="57804834" id="Group 40" o:spid="_x0000_s1026" style="position:absolute;margin-left:86.9pt;margin-top:5.1pt;width:449.9pt;height:.4pt;z-index:-15723520;mso-wrap-distance-left:0;mso-wrap-distance-right:0;mso-position-horizontal-relative:page" coordsize="571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">
                <v:shape id="Graphic 41" o:spid="_x0000_s1027" style="position:absolute;top:23;width:57137;height:13;visibility:visible;mso-wrap-style:square;v-text-anchor:top" coordsize="5713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" path="m,l5713475,e" filled="f" strokecolor="#001f60" strokeweight=".1323mm">
                  <v:path arrowok="t"/>
                </v:shape>
                <v:shape id="Graphic 42" o:spid="_x0000_s1028" style="position:absolute;top:19;width:57137;height:31;visibility:visible;mso-wrap-style:square;v-text-anchor:top" coordsize="57137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" path="m5713475,3048l,3048,,,5713475,r,3048xe" fillcolor="#001f60" stroked="f">
                  <v:path arrowok="t"/>
                </v:shape>
                <w10:wrap type="topAndBottom" anchorx="page"/>
              </v:group>
            </w:pict>
          </mc:Fallback>
        </mc:AlternateContent>
      </w:r>
      <w:r>
        <w:rPr>
          <w:rFonts w:ascii="Arial" w:hAnsi="Arial"/>
          <w:b/>
          <w:i/>
          <w:noProof/>
          <w:sz w:val="8"/>
        </w:rPr>
        <mc:AlternateContent>
          <mc:Choice Requires="wps">
            <w:drawing>
              <wp:anchor distT="0" distB="0" distL="0" distR="0" simplePos="0" relativeHeight="15734272" behindDoc="0" locked="0" layoutInCell="1" allowOverlap="1" wp14:anchorId="75649ACD" wp14:editId="2F9399AB">
                <wp:simplePos x="0" y="0"/>
                <wp:positionH relativeFrom="page">
                  <wp:posOffset>1065275</wp:posOffset>
                </wp:positionH>
                <wp:positionV relativeFrom="paragraph">
                  <wp:posOffset>217606</wp:posOffset>
                </wp:positionV>
                <wp:extent cx="5789930" cy="3225799"/>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9930" cy="3225799"/>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125"/>
                              <w:gridCol w:w="2366"/>
                              <w:gridCol w:w="663"/>
                              <w:gridCol w:w="616"/>
                              <w:gridCol w:w="612"/>
                              <w:gridCol w:w="494"/>
                              <w:gridCol w:w="563"/>
                              <w:gridCol w:w="553"/>
                            </w:tblGrid>
                            <w:tr w:rsidR="002C6574" w14:paraId="0F63FCA4" w14:textId="77777777">
                              <w:trPr>
                                <w:trHeight w:val="107"/>
                              </w:trPr>
                              <w:tc>
                                <w:tcPr>
                                  <w:tcW w:w="5491" w:type="dxa"/>
                                  <w:gridSpan w:val="2"/>
                                  <w:tcBorders>
                                    <w:top w:val="single" w:sz="4" w:space="0" w:color="001F60"/>
                                    <w:bottom w:val="single" w:sz="4" w:space="0" w:color="001F60"/>
                                  </w:tcBorders>
                                </w:tcPr>
                                <w:p w14:paraId="5C2915CD" w14:textId="77777777" w:rsidR="002C6574" w:rsidRDefault="002C6574">
                                  <w:pPr>
                                    <w:pStyle w:val="TableParagraph"/>
                                    <w:jc w:val="left"/>
                                    <w:rPr>
                                      <w:rFonts w:ascii="Times New Roman"/>
                                      <w:sz w:val="4"/>
                                    </w:rPr>
                                  </w:pPr>
                                </w:p>
                              </w:tc>
                              <w:tc>
                                <w:tcPr>
                                  <w:tcW w:w="663" w:type="dxa"/>
                                  <w:tcBorders>
                                    <w:top w:val="single" w:sz="4" w:space="0" w:color="001F60"/>
                                    <w:bottom w:val="single" w:sz="4" w:space="0" w:color="001F60"/>
                                  </w:tcBorders>
                                </w:tcPr>
                                <w:p w14:paraId="2F364B5D" w14:textId="77777777" w:rsidR="002C6574" w:rsidRDefault="00000000">
                                  <w:pPr>
                                    <w:pStyle w:val="TableParagraph"/>
                                    <w:spacing w:before="6" w:line="82" w:lineRule="exact"/>
                                    <w:ind w:left="194"/>
                                    <w:jc w:val="left"/>
                                    <w:rPr>
                                      <w:rFonts w:ascii="Arial"/>
                                      <w:b/>
                                      <w:sz w:val="9"/>
                                    </w:rPr>
                                  </w:pPr>
                                  <w:r>
                                    <w:rPr>
                                      <w:rFonts w:ascii="Arial"/>
                                      <w:b/>
                                      <w:color w:val="001F60"/>
                                      <w:spacing w:val="-5"/>
                                      <w:sz w:val="9"/>
                                    </w:rPr>
                                    <w:t>(a)</w:t>
                                  </w:r>
                                </w:p>
                              </w:tc>
                              <w:tc>
                                <w:tcPr>
                                  <w:tcW w:w="616" w:type="dxa"/>
                                  <w:tcBorders>
                                    <w:top w:val="single" w:sz="4" w:space="0" w:color="001F60"/>
                                    <w:bottom w:val="single" w:sz="4" w:space="0" w:color="001F60"/>
                                  </w:tcBorders>
                                </w:tcPr>
                                <w:p w14:paraId="50F60C38" w14:textId="77777777" w:rsidR="002C6574" w:rsidRDefault="00000000">
                                  <w:pPr>
                                    <w:pStyle w:val="TableParagraph"/>
                                    <w:spacing w:before="6" w:line="82" w:lineRule="exact"/>
                                    <w:ind w:left="152"/>
                                    <w:jc w:val="left"/>
                                    <w:rPr>
                                      <w:rFonts w:ascii="Arial"/>
                                      <w:b/>
                                      <w:sz w:val="9"/>
                                    </w:rPr>
                                  </w:pPr>
                                  <w:r>
                                    <w:rPr>
                                      <w:rFonts w:ascii="Arial"/>
                                      <w:b/>
                                      <w:color w:val="001F60"/>
                                      <w:spacing w:val="-5"/>
                                      <w:sz w:val="9"/>
                                    </w:rPr>
                                    <w:t>(b)</w:t>
                                  </w:r>
                                </w:p>
                              </w:tc>
                              <w:tc>
                                <w:tcPr>
                                  <w:tcW w:w="612" w:type="dxa"/>
                                  <w:tcBorders>
                                    <w:top w:val="single" w:sz="4" w:space="0" w:color="001F60"/>
                                    <w:bottom w:val="single" w:sz="4" w:space="0" w:color="001F60"/>
                                  </w:tcBorders>
                                </w:tcPr>
                                <w:p w14:paraId="0A3FAD98" w14:textId="77777777" w:rsidR="002C6574" w:rsidRDefault="00000000">
                                  <w:pPr>
                                    <w:pStyle w:val="TableParagraph"/>
                                    <w:spacing w:before="6" w:line="82" w:lineRule="exact"/>
                                    <w:ind w:left="148"/>
                                    <w:jc w:val="left"/>
                                    <w:rPr>
                                      <w:rFonts w:ascii="Arial"/>
                                      <w:b/>
                                      <w:sz w:val="9"/>
                                    </w:rPr>
                                  </w:pPr>
                                  <w:r>
                                    <w:rPr>
                                      <w:rFonts w:ascii="Arial"/>
                                      <w:b/>
                                      <w:color w:val="001F60"/>
                                      <w:spacing w:val="-5"/>
                                      <w:sz w:val="9"/>
                                    </w:rPr>
                                    <w:t>(c)</w:t>
                                  </w:r>
                                </w:p>
                              </w:tc>
                              <w:tc>
                                <w:tcPr>
                                  <w:tcW w:w="494" w:type="dxa"/>
                                  <w:tcBorders>
                                    <w:top w:val="single" w:sz="4" w:space="0" w:color="001F60"/>
                                    <w:bottom w:val="single" w:sz="4" w:space="0" w:color="001F60"/>
                                  </w:tcBorders>
                                </w:tcPr>
                                <w:p w14:paraId="47F34D40" w14:textId="77777777" w:rsidR="002C6574" w:rsidRDefault="00000000">
                                  <w:pPr>
                                    <w:pStyle w:val="TableParagraph"/>
                                    <w:spacing w:before="6" w:line="82" w:lineRule="exact"/>
                                    <w:ind w:left="139"/>
                                    <w:jc w:val="left"/>
                                    <w:rPr>
                                      <w:rFonts w:ascii="Arial"/>
                                      <w:b/>
                                      <w:sz w:val="9"/>
                                    </w:rPr>
                                  </w:pPr>
                                  <w:r>
                                    <w:rPr>
                                      <w:rFonts w:ascii="Arial"/>
                                      <w:b/>
                                      <w:color w:val="001F60"/>
                                      <w:spacing w:val="-5"/>
                                      <w:sz w:val="9"/>
                                    </w:rPr>
                                    <w:t>(d)</w:t>
                                  </w:r>
                                </w:p>
                              </w:tc>
                              <w:tc>
                                <w:tcPr>
                                  <w:tcW w:w="563" w:type="dxa"/>
                                  <w:tcBorders>
                                    <w:top w:val="single" w:sz="4" w:space="0" w:color="001F60"/>
                                    <w:bottom w:val="single" w:sz="4" w:space="0" w:color="001F60"/>
                                  </w:tcBorders>
                                </w:tcPr>
                                <w:p w14:paraId="5BE77075" w14:textId="77777777" w:rsidR="002C6574" w:rsidRDefault="00000000">
                                  <w:pPr>
                                    <w:pStyle w:val="TableParagraph"/>
                                    <w:spacing w:before="6" w:line="82" w:lineRule="exact"/>
                                    <w:ind w:left="12" w:right="27"/>
                                    <w:jc w:val="center"/>
                                    <w:rPr>
                                      <w:rFonts w:ascii="Arial"/>
                                      <w:b/>
                                      <w:sz w:val="9"/>
                                    </w:rPr>
                                  </w:pPr>
                                  <w:r>
                                    <w:rPr>
                                      <w:rFonts w:ascii="Arial"/>
                                      <w:b/>
                                      <w:color w:val="001F60"/>
                                      <w:sz w:val="9"/>
                                    </w:rPr>
                                    <w:t>e</w:t>
                                  </w:r>
                                  <w:r>
                                    <w:rPr>
                                      <w:rFonts w:ascii="Arial"/>
                                      <w:b/>
                                      <w:color w:val="001F60"/>
                                      <w:spacing w:val="5"/>
                                      <w:sz w:val="9"/>
                                    </w:rPr>
                                    <w:t xml:space="preserve"> </w:t>
                                  </w:r>
                                  <w:r>
                                    <w:rPr>
                                      <w:rFonts w:ascii="Arial"/>
                                      <w:b/>
                                      <w:color w:val="001F60"/>
                                      <w:sz w:val="9"/>
                                    </w:rPr>
                                    <w:t>=</w:t>
                                  </w:r>
                                  <w:r>
                                    <w:rPr>
                                      <w:rFonts w:ascii="Arial"/>
                                      <w:b/>
                                      <w:color w:val="001F60"/>
                                      <w:spacing w:val="3"/>
                                      <w:sz w:val="9"/>
                                    </w:rPr>
                                    <w:t xml:space="preserve"> </w:t>
                                  </w:r>
                                  <w:r>
                                    <w:rPr>
                                      <w:rFonts w:ascii="Arial"/>
                                      <w:b/>
                                      <w:color w:val="001F60"/>
                                      <w:sz w:val="9"/>
                                    </w:rPr>
                                    <w:t>(b /</w:t>
                                  </w:r>
                                  <w:r>
                                    <w:rPr>
                                      <w:rFonts w:ascii="Arial"/>
                                      <w:b/>
                                      <w:color w:val="001F60"/>
                                      <w:spacing w:val="3"/>
                                      <w:sz w:val="9"/>
                                    </w:rPr>
                                    <w:t xml:space="preserve"> </w:t>
                                  </w:r>
                                  <w:r>
                                    <w:rPr>
                                      <w:rFonts w:ascii="Arial"/>
                                      <w:b/>
                                      <w:color w:val="001F60"/>
                                      <w:spacing w:val="-5"/>
                                      <w:sz w:val="9"/>
                                    </w:rPr>
                                    <w:t>a)</w:t>
                                  </w:r>
                                </w:p>
                              </w:tc>
                              <w:tc>
                                <w:tcPr>
                                  <w:tcW w:w="553" w:type="dxa"/>
                                  <w:tcBorders>
                                    <w:top w:val="single" w:sz="4" w:space="0" w:color="001F60"/>
                                    <w:bottom w:val="single" w:sz="4" w:space="0" w:color="001F60"/>
                                  </w:tcBorders>
                                </w:tcPr>
                                <w:p w14:paraId="58D21B09" w14:textId="77777777" w:rsidR="002C6574" w:rsidRDefault="00000000">
                                  <w:pPr>
                                    <w:pStyle w:val="TableParagraph"/>
                                    <w:spacing w:before="6" w:line="82" w:lineRule="exact"/>
                                    <w:ind w:left="8" w:right="9"/>
                                    <w:jc w:val="center"/>
                                    <w:rPr>
                                      <w:rFonts w:ascii="Arial"/>
                                      <w:b/>
                                      <w:sz w:val="9"/>
                                    </w:rPr>
                                  </w:pPr>
                                  <w:r>
                                    <w:rPr>
                                      <w:rFonts w:ascii="Arial"/>
                                      <w:b/>
                                      <w:color w:val="001F60"/>
                                      <w:sz w:val="9"/>
                                    </w:rPr>
                                    <w:t>f=</w:t>
                                  </w:r>
                                  <w:r>
                                    <w:rPr>
                                      <w:rFonts w:ascii="Arial"/>
                                      <w:b/>
                                      <w:color w:val="001F60"/>
                                      <w:spacing w:val="3"/>
                                      <w:sz w:val="9"/>
                                    </w:rPr>
                                    <w:t xml:space="preserve"> </w:t>
                                  </w:r>
                                  <w:r>
                                    <w:rPr>
                                      <w:rFonts w:ascii="Arial"/>
                                      <w:b/>
                                      <w:color w:val="001F60"/>
                                      <w:sz w:val="9"/>
                                    </w:rPr>
                                    <w:t>(d /</w:t>
                                  </w:r>
                                  <w:r>
                                    <w:rPr>
                                      <w:rFonts w:ascii="Arial"/>
                                      <w:b/>
                                      <w:color w:val="001F60"/>
                                      <w:spacing w:val="3"/>
                                      <w:sz w:val="9"/>
                                    </w:rPr>
                                    <w:t xml:space="preserve"> </w:t>
                                  </w:r>
                                  <w:r>
                                    <w:rPr>
                                      <w:rFonts w:ascii="Arial"/>
                                      <w:b/>
                                      <w:color w:val="001F60"/>
                                      <w:spacing w:val="-5"/>
                                      <w:sz w:val="9"/>
                                    </w:rPr>
                                    <w:t>c)</w:t>
                                  </w:r>
                                </w:p>
                              </w:tc>
                            </w:tr>
                            <w:tr w:rsidR="002C6574" w14:paraId="7EFFFAD8" w14:textId="77777777">
                              <w:trPr>
                                <w:trHeight w:val="109"/>
                              </w:trPr>
                              <w:tc>
                                <w:tcPr>
                                  <w:tcW w:w="3125" w:type="dxa"/>
                                  <w:tcBorders>
                                    <w:top w:val="single" w:sz="4" w:space="0" w:color="001F60"/>
                                    <w:bottom w:val="single" w:sz="4" w:space="0" w:color="001F60"/>
                                  </w:tcBorders>
                                </w:tcPr>
                                <w:p w14:paraId="09DFE74A" w14:textId="77777777" w:rsidR="002C6574" w:rsidRDefault="00000000">
                                  <w:pPr>
                                    <w:pStyle w:val="TableParagraph"/>
                                    <w:spacing w:before="8" w:line="81" w:lineRule="exact"/>
                                    <w:ind w:left="21"/>
                                    <w:jc w:val="left"/>
                                    <w:rPr>
                                      <w:rFonts w:ascii="Arial" w:hAnsi="Arial"/>
                                      <w:b/>
                                      <w:sz w:val="9"/>
                                    </w:rPr>
                                  </w:pPr>
                                  <w:r>
                                    <w:rPr>
                                      <w:rFonts w:ascii="Arial" w:hAnsi="Arial"/>
                                      <w:b/>
                                      <w:color w:val="001F60"/>
                                      <w:sz w:val="9"/>
                                    </w:rPr>
                                    <w:t>Despesas</w:t>
                                  </w:r>
                                  <w:r>
                                    <w:rPr>
                                      <w:rFonts w:ascii="Arial" w:hAnsi="Arial"/>
                                      <w:b/>
                                      <w:color w:val="001F60"/>
                                      <w:spacing w:val="4"/>
                                      <w:sz w:val="9"/>
                                    </w:rPr>
                                    <w:t xml:space="preserve"> </w:t>
                                  </w:r>
                                  <w:r>
                                    <w:rPr>
                                      <w:rFonts w:ascii="Arial" w:hAnsi="Arial"/>
                                      <w:b/>
                                      <w:color w:val="001F60"/>
                                      <w:sz w:val="9"/>
                                    </w:rPr>
                                    <w:t>Financeiras</w:t>
                                  </w:r>
                                  <w:r>
                                    <w:rPr>
                                      <w:rFonts w:ascii="Arial" w:hAnsi="Arial"/>
                                      <w:b/>
                                      <w:color w:val="001F60"/>
                                      <w:spacing w:val="5"/>
                                      <w:sz w:val="9"/>
                                    </w:rPr>
                                    <w:t xml:space="preserve"> </w:t>
                                  </w:r>
                                  <w:r>
                                    <w:rPr>
                                      <w:rFonts w:ascii="Arial" w:hAnsi="Arial"/>
                                      <w:b/>
                                      <w:color w:val="001F60"/>
                                      <w:sz w:val="9"/>
                                    </w:rPr>
                                    <w:t>e</w:t>
                                  </w:r>
                                  <w:r>
                                    <w:rPr>
                                      <w:rFonts w:ascii="Arial" w:hAnsi="Arial"/>
                                      <w:b/>
                                      <w:color w:val="001F60"/>
                                      <w:spacing w:val="10"/>
                                      <w:sz w:val="9"/>
                                    </w:rPr>
                                    <w:t xml:space="preserve"> </w:t>
                                  </w:r>
                                  <w:r>
                                    <w:rPr>
                                      <w:rFonts w:ascii="Arial" w:hAnsi="Arial"/>
                                      <w:b/>
                                      <w:color w:val="001F60"/>
                                      <w:sz w:val="9"/>
                                    </w:rPr>
                                    <w:t>Obrigatórias</w:t>
                                  </w:r>
                                  <w:r>
                                    <w:rPr>
                                      <w:rFonts w:ascii="Arial" w:hAnsi="Arial"/>
                                      <w:b/>
                                      <w:color w:val="001F60"/>
                                      <w:spacing w:val="4"/>
                                      <w:sz w:val="9"/>
                                    </w:rPr>
                                    <w:t xml:space="preserve"> </w:t>
                                  </w:r>
                                  <w:r>
                                    <w:rPr>
                                      <w:rFonts w:ascii="Arial" w:hAnsi="Arial"/>
                                      <w:b/>
                                      <w:color w:val="001F60"/>
                                      <w:sz w:val="9"/>
                                    </w:rPr>
                                    <w:t>(RP</w:t>
                                  </w:r>
                                  <w:r>
                                    <w:rPr>
                                      <w:rFonts w:ascii="Arial" w:hAnsi="Arial"/>
                                      <w:b/>
                                      <w:color w:val="001F60"/>
                                      <w:spacing w:val="4"/>
                                      <w:sz w:val="9"/>
                                    </w:rPr>
                                    <w:t xml:space="preserve"> </w:t>
                                  </w:r>
                                  <w:r>
                                    <w:rPr>
                                      <w:rFonts w:ascii="Arial" w:hAnsi="Arial"/>
                                      <w:b/>
                                      <w:color w:val="001F60"/>
                                      <w:sz w:val="9"/>
                                    </w:rPr>
                                    <w:t>0</w:t>
                                  </w:r>
                                  <w:r>
                                    <w:rPr>
                                      <w:rFonts w:ascii="Arial" w:hAnsi="Arial"/>
                                      <w:b/>
                                      <w:color w:val="001F60"/>
                                      <w:spacing w:val="8"/>
                                      <w:sz w:val="9"/>
                                    </w:rPr>
                                    <w:t xml:space="preserve"> </w:t>
                                  </w:r>
                                  <w:r>
                                    <w:rPr>
                                      <w:rFonts w:ascii="Arial" w:hAnsi="Arial"/>
                                      <w:b/>
                                      <w:color w:val="001F60"/>
                                      <w:sz w:val="9"/>
                                    </w:rPr>
                                    <w:t>e</w:t>
                                  </w:r>
                                  <w:r>
                                    <w:rPr>
                                      <w:rFonts w:ascii="Arial" w:hAnsi="Arial"/>
                                      <w:b/>
                                      <w:color w:val="001F60"/>
                                      <w:spacing w:val="10"/>
                                      <w:sz w:val="9"/>
                                    </w:rPr>
                                    <w:t xml:space="preserve"> </w:t>
                                  </w:r>
                                  <w:r>
                                    <w:rPr>
                                      <w:rFonts w:ascii="Arial" w:hAnsi="Arial"/>
                                      <w:b/>
                                      <w:color w:val="001F60"/>
                                      <w:spacing w:val="-5"/>
                                      <w:sz w:val="9"/>
                                    </w:rPr>
                                    <w:t>1)</w:t>
                                  </w:r>
                                </w:p>
                              </w:tc>
                              <w:tc>
                                <w:tcPr>
                                  <w:tcW w:w="2366" w:type="dxa"/>
                                  <w:tcBorders>
                                    <w:top w:val="single" w:sz="4" w:space="0" w:color="001F60"/>
                                    <w:bottom w:val="single" w:sz="4" w:space="0" w:color="001F60"/>
                                  </w:tcBorders>
                                </w:tcPr>
                                <w:p w14:paraId="6DB8AED6" w14:textId="77777777" w:rsidR="002C6574" w:rsidRDefault="002C6574">
                                  <w:pPr>
                                    <w:pStyle w:val="TableParagraph"/>
                                    <w:jc w:val="left"/>
                                    <w:rPr>
                                      <w:rFonts w:ascii="Times New Roman"/>
                                      <w:sz w:val="6"/>
                                    </w:rPr>
                                  </w:pPr>
                                </w:p>
                              </w:tc>
                              <w:tc>
                                <w:tcPr>
                                  <w:tcW w:w="663" w:type="dxa"/>
                                  <w:tcBorders>
                                    <w:top w:val="single" w:sz="4" w:space="0" w:color="001F60"/>
                                    <w:bottom w:val="single" w:sz="4" w:space="0" w:color="001F60"/>
                                  </w:tcBorders>
                                </w:tcPr>
                                <w:p w14:paraId="61184758" w14:textId="77777777" w:rsidR="002C6574" w:rsidRDefault="00000000">
                                  <w:pPr>
                                    <w:pStyle w:val="TableParagraph"/>
                                    <w:spacing w:before="8" w:line="81" w:lineRule="exact"/>
                                    <w:ind w:right="150"/>
                                    <w:rPr>
                                      <w:rFonts w:ascii="Arial"/>
                                      <w:b/>
                                      <w:sz w:val="9"/>
                                    </w:rPr>
                                  </w:pPr>
                                  <w:r>
                                    <w:rPr>
                                      <w:rFonts w:ascii="Arial"/>
                                      <w:b/>
                                      <w:color w:val="001F60"/>
                                      <w:spacing w:val="-2"/>
                                      <w:sz w:val="9"/>
                                    </w:rPr>
                                    <w:t>153,56</w:t>
                                  </w:r>
                                </w:p>
                              </w:tc>
                              <w:tc>
                                <w:tcPr>
                                  <w:tcW w:w="616" w:type="dxa"/>
                                  <w:tcBorders>
                                    <w:top w:val="single" w:sz="4" w:space="0" w:color="001F60"/>
                                    <w:bottom w:val="single" w:sz="4" w:space="0" w:color="001F60"/>
                                  </w:tcBorders>
                                </w:tcPr>
                                <w:p w14:paraId="7B75E1B1" w14:textId="77777777" w:rsidR="002C6574" w:rsidRDefault="00000000">
                                  <w:pPr>
                                    <w:pStyle w:val="TableParagraph"/>
                                    <w:spacing w:before="8" w:line="81" w:lineRule="exact"/>
                                    <w:ind w:right="142"/>
                                    <w:rPr>
                                      <w:rFonts w:ascii="Arial"/>
                                      <w:b/>
                                      <w:sz w:val="9"/>
                                    </w:rPr>
                                  </w:pPr>
                                  <w:r>
                                    <w:rPr>
                                      <w:rFonts w:ascii="Arial"/>
                                      <w:b/>
                                      <w:color w:val="001F60"/>
                                      <w:spacing w:val="-2"/>
                                      <w:sz w:val="9"/>
                                    </w:rPr>
                                    <w:t>153,55</w:t>
                                  </w:r>
                                </w:p>
                              </w:tc>
                              <w:tc>
                                <w:tcPr>
                                  <w:tcW w:w="612" w:type="dxa"/>
                                  <w:tcBorders>
                                    <w:top w:val="single" w:sz="4" w:space="0" w:color="001F60"/>
                                    <w:bottom w:val="single" w:sz="4" w:space="0" w:color="001F60"/>
                                  </w:tcBorders>
                                </w:tcPr>
                                <w:p w14:paraId="746044A0" w14:textId="77777777" w:rsidR="002C6574" w:rsidRDefault="00000000">
                                  <w:pPr>
                                    <w:pStyle w:val="TableParagraph"/>
                                    <w:spacing w:before="8" w:line="81" w:lineRule="exact"/>
                                    <w:ind w:right="131"/>
                                    <w:rPr>
                                      <w:rFonts w:ascii="Arial"/>
                                      <w:b/>
                                      <w:sz w:val="9"/>
                                    </w:rPr>
                                  </w:pPr>
                                  <w:r>
                                    <w:rPr>
                                      <w:rFonts w:ascii="Arial"/>
                                      <w:b/>
                                      <w:color w:val="001F60"/>
                                      <w:spacing w:val="-2"/>
                                      <w:sz w:val="9"/>
                                    </w:rPr>
                                    <w:t>153,55</w:t>
                                  </w:r>
                                </w:p>
                              </w:tc>
                              <w:tc>
                                <w:tcPr>
                                  <w:tcW w:w="494" w:type="dxa"/>
                                  <w:tcBorders>
                                    <w:top w:val="single" w:sz="4" w:space="0" w:color="001F60"/>
                                    <w:bottom w:val="single" w:sz="4" w:space="0" w:color="001F60"/>
                                  </w:tcBorders>
                                </w:tcPr>
                                <w:p w14:paraId="2C359BBF" w14:textId="77777777" w:rsidR="002C6574" w:rsidRDefault="00000000">
                                  <w:pPr>
                                    <w:pStyle w:val="TableParagraph"/>
                                    <w:spacing w:before="8" w:line="81" w:lineRule="exact"/>
                                    <w:ind w:right="58"/>
                                    <w:rPr>
                                      <w:rFonts w:ascii="Arial"/>
                                      <w:b/>
                                      <w:sz w:val="9"/>
                                    </w:rPr>
                                  </w:pPr>
                                  <w:r>
                                    <w:rPr>
                                      <w:rFonts w:ascii="Arial"/>
                                      <w:b/>
                                      <w:color w:val="001F60"/>
                                      <w:spacing w:val="-2"/>
                                      <w:sz w:val="9"/>
                                    </w:rPr>
                                    <w:t>153,55</w:t>
                                  </w:r>
                                </w:p>
                              </w:tc>
                              <w:tc>
                                <w:tcPr>
                                  <w:tcW w:w="563" w:type="dxa"/>
                                  <w:tcBorders>
                                    <w:top w:val="single" w:sz="4" w:space="0" w:color="001F60"/>
                                    <w:bottom w:val="single" w:sz="4" w:space="0" w:color="001F60"/>
                                  </w:tcBorders>
                                </w:tcPr>
                                <w:p w14:paraId="1FA4BE56" w14:textId="77777777" w:rsidR="002C6574" w:rsidRDefault="00000000">
                                  <w:pPr>
                                    <w:pStyle w:val="TableParagraph"/>
                                    <w:spacing w:before="8" w:line="81" w:lineRule="exact"/>
                                    <w:ind w:right="27"/>
                                    <w:jc w:val="center"/>
                                    <w:rPr>
                                      <w:rFonts w:ascii="Arial"/>
                                      <w:b/>
                                      <w:sz w:val="9"/>
                                    </w:rPr>
                                  </w:pPr>
                                  <w:r>
                                    <w:rPr>
                                      <w:rFonts w:ascii="Arial"/>
                                      <w:b/>
                                      <w:color w:val="001F60"/>
                                      <w:spacing w:val="-4"/>
                                      <w:sz w:val="9"/>
                                    </w:rPr>
                                    <w:t>100%</w:t>
                                  </w:r>
                                </w:p>
                              </w:tc>
                              <w:tc>
                                <w:tcPr>
                                  <w:tcW w:w="553" w:type="dxa"/>
                                  <w:tcBorders>
                                    <w:top w:val="single" w:sz="4" w:space="0" w:color="001F60"/>
                                    <w:bottom w:val="single" w:sz="4" w:space="0" w:color="001F60"/>
                                  </w:tcBorders>
                                </w:tcPr>
                                <w:p w14:paraId="0E26BBD1" w14:textId="77777777" w:rsidR="002C6574" w:rsidRDefault="00000000">
                                  <w:pPr>
                                    <w:pStyle w:val="TableParagraph"/>
                                    <w:spacing w:before="8" w:line="81" w:lineRule="exact"/>
                                    <w:ind w:right="9"/>
                                    <w:jc w:val="center"/>
                                    <w:rPr>
                                      <w:rFonts w:ascii="Arial"/>
                                      <w:b/>
                                      <w:sz w:val="9"/>
                                    </w:rPr>
                                  </w:pPr>
                                  <w:r>
                                    <w:rPr>
                                      <w:rFonts w:ascii="Arial"/>
                                      <w:b/>
                                      <w:color w:val="001F60"/>
                                      <w:spacing w:val="-4"/>
                                      <w:sz w:val="9"/>
                                    </w:rPr>
                                    <w:t>100%</w:t>
                                  </w:r>
                                </w:p>
                              </w:tc>
                            </w:tr>
                            <w:tr w:rsidR="002C6574" w14:paraId="786513F6" w14:textId="77777777">
                              <w:trPr>
                                <w:trHeight w:val="107"/>
                              </w:trPr>
                              <w:tc>
                                <w:tcPr>
                                  <w:tcW w:w="3125" w:type="dxa"/>
                                  <w:tcBorders>
                                    <w:top w:val="single" w:sz="4" w:space="0" w:color="001F60"/>
                                    <w:bottom w:val="single" w:sz="4" w:space="0" w:color="001F60"/>
                                  </w:tcBorders>
                                </w:tcPr>
                                <w:p w14:paraId="3D4719F8" w14:textId="77777777" w:rsidR="002C6574" w:rsidRDefault="00000000">
                                  <w:pPr>
                                    <w:pStyle w:val="TableParagraph"/>
                                    <w:spacing w:before="6" w:line="82" w:lineRule="exact"/>
                                    <w:ind w:left="513"/>
                                    <w:jc w:val="left"/>
                                    <w:rPr>
                                      <w:rFonts w:ascii="Arial"/>
                                      <w:b/>
                                      <w:sz w:val="9"/>
                                    </w:rPr>
                                  </w:pPr>
                                  <w:r>
                                    <w:rPr>
                                      <w:rFonts w:ascii="Arial"/>
                                      <w:b/>
                                      <w:color w:val="001F60"/>
                                      <w:sz w:val="9"/>
                                    </w:rPr>
                                    <w:t>Despesas</w:t>
                                  </w:r>
                                  <w:r>
                                    <w:rPr>
                                      <w:rFonts w:ascii="Arial"/>
                                      <w:b/>
                                      <w:color w:val="001F60"/>
                                      <w:spacing w:val="14"/>
                                      <w:sz w:val="9"/>
                                    </w:rPr>
                                    <w:t xml:space="preserve"> </w:t>
                                  </w:r>
                                  <w:r>
                                    <w:rPr>
                                      <w:rFonts w:ascii="Arial"/>
                                      <w:b/>
                                      <w:color w:val="001F60"/>
                                      <w:spacing w:val="-2"/>
                                      <w:sz w:val="9"/>
                                    </w:rPr>
                                    <w:t>Correntes</w:t>
                                  </w:r>
                                </w:p>
                              </w:tc>
                              <w:tc>
                                <w:tcPr>
                                  <w:tcW w:w="2366" w:type="dxa"/>
                                  <w:tcBorders>
                                    <w:top w:val="single" w:sz="4" w:space="0" w:color="001F60"/>
                                    <w:bottom w:val="single" w:sz="4" w:space="0" w:color="001F60"/>
                                  </w:tcBorders>
                                </w:tcPr>
                                <w:p w14:paraId="6BBC0F57" w14:textId="77777777" w:rsidR="002C6574" w:rsidRDefault="002C6574">
                                  <w:pPr>
                                    <w:pStyle w:val="TableParagraph"/>
                                    <w:jc w:val="left"/>
                                    <w:rPr>
                                      <w:rFonts w:ascii="Times New Roman"/>
                                      <w:sz w:val="4"/>
                                    </w:rPr>
                                  </w:pPr>
                                </w:p>
                              </w:tc>
                              <w:tc>
                                <w:tcPr>
                                  <w:tcW w:w="663" w:type="dxa"/>
                                  <w:tcBorders>
                                    <w:top w:val="single" w:sz="4" w:space="0" w:color="001F60"/>
                                    <w:bottom w:val="single" w:sz="4" w:space="0" w:color="001F60"/>
                                  </w:tcBorders>
                                </w:tcPr>
                                <w:p w14:paraId="28A56B0D" w14:textId="77777777" w:rsidR="002C6574" w:rsidRDefault="00000000">
                                  <w:pPr>
                                    <w:pStyle w:val="TableParagraph"/>
                                    <w:spacing w:before="6" w:line="82" w:lineRule="exact"/>
                                    <w:ind w:right="148"/>
                                    <w:rPr>
                                      <w:rFonts w:ascii="Arial"/>
                                      <w:b/>
                                      <w:sz w:val="9"/>
                                    </w:rPr>
                                  </w:pPr>
                                  <w:r>
                                    <w:rPr>
                                      <w:rFonts w:ascii="Arial"/>
                                      <w:b/>
                                      <w:color w:val="001F60"/>
                                      <w:spacing w:val="-2"/>
                                      <w:sz w:val="9"/>
                                    </w:rPr>
                                    <w:t>108,70</w:t>
                                  </w:r>
                                </w:p>
                              </w:tc>
                              <w:tc>
                                <w:tcPr>
                                  <w:tcW w:w="616" w:type="dxa"/>
                                  <w:tcBorders>
                                    <w:top w:val="single" w:sz="4" w:space="0" w:color="001F60"/>
                                    <w:bottom w:val="single" w:sz="4" w:space="0" w:color="001F60"/>
                                  </w:tcBorders>
                                </w:tcPr>
                                <w:p w14:paraId="6D08A1AB" w14:textId="77777777" w:rsidR="002C6574" w:rsidRDefault="00000000">
                                  <w:pPr>
                                    <w:pStyle w:val="TableParagraph"/>
                                    <w:spacing w:before="6" w:line="82" w:lineRule="exact"/>
                                    <w:ind w:right="142"/>
                                    <w:rPr>
                                      <w:rFonts w:ascii="Arial"/>
                                      <w:b/>
                                      <w:sz w:val="9"/>
                                    </w:rPr>
                                  </w:pPr>
                                  <w:r>
                                    <w:rPr>
                                      <w:rFonts w:ascii="Arial"/>
                                      <w:b/>
                                      <w:color w:val="001F60"/>
                                      <w:spacing w:val="-2"/>
                                      <w:sz w:val="9"/>
                                    </w:rPr>
                                    <w:t>108,69</w:t>
                                  </w:r>
                                </w:p>
                              </w:tc>
                              <w:tc>
                                <w:tcPr>
                                  <w:tcW w:w="612" w:type="dxa"/>
                                  <w:tcBorders>
                                    <w:top w:val="single" w:sz="4" w:space="0" w:color="001F60"/>
                                    <w:bottom w:val="single" w:sz="4" w:space="0" w:color="001F60"/>
                                  </w:tcBorders>
                                </w:tcPr>
                                <w:p w14:paraId="7F2F160D" w14:textId="77777777" w:rsidR="002C6574" w:rsidRDefault="00000000">
                                  <w:pPr>
                                    <w:pStyle w:val="TableParagraph"/>
                                    <w:spacing w:before="6" w:line="82" w:lineRule="exact"/>
                                    <w:ind w:right="131"/>
                                    <w:rPr>
                                      <w:rFonts w:ascii="Arial"/>
                                      <w:b/>
                                      <w:sz w:val="9"/>
                                    </w:rPr>
                                  </w:pPr>
                                  <w:r>
                                    <w:rPr>
                                      <w:rFonts w:ascii="Arial"/>
                                      <w:b/>
                                      <w:color w:val="001F60"/>
                                      <w:spacing w:val="-2"/>
                                      <w:sz w:val="9"/>
                                    </w:rPr>
                                    <w:t>108,69</w:t>
                                  </w:r>
                                </w:p>
                              </w:tc>
                              <w:tc>
                                <w:tcPr>
                                  <w:tcW w:w="494" w:type="dxa"/>
                                  <w:tcBorders>
                                    <w:top w:val="single" w:sz="4" w:space="0" w:color="001F60"/>
                                    <w:bottom w:val="single" w:sz="4" w:space="0" w:color="001F60"/>
                                  </w:tcBorders>
                                </w:tcPr>
                                <w:p w14:paraId="4C6DF785" w14:textId="77777777" w:rsidR="002C6574" w:rsidRDefault="00000000">
                                  <w:pPr>
                                    <w:pStyle w:val="TableParagraph"/>
                                    <w:spacing w:before="6" w:line="82" w:lineRule="exact"/>
                                    <w:ind w:right="58"/>
                                    <w:rPr>
                                      <w:rFonts w:ascii="Arial"/>
                                      <w:b/>
                                      <w:sz w:val="9"/>
                                    </w:rPr>
                                  </w:pPr>
                                  <w:r>
                                    <w:rPr>
                                      <w:rFonts w:ascii="Arial"/>
                                      <w:b/>
                                      <w:color w:val="001F60"/>
                                      <w:spacing w:val="-2"/>
                                      <w:sz w:val="9"/>
                                    </w:rPr>
                                    <w:t>108,69</w:t>
                                  </w:r>
                                </w:p>
                              </w:tc>
                              <w:tc>
                                <w:tcPr>
                                  <w:tcW w:w="563" w:type="dxa"/>
                                  <w:tcBorders>
                                    <w:top w:val="single" w:sz="4" w:space="0" w:color="001F60"/>
                                    <w:bottom w:val="single" w:sz="4" w:space="0" w:color="001F60"/>
                                  </w:tcBorders>
                                </w:tcPr>
                                <w:p w14:paraId="31BD7A77" w14:textId="77777777" w:rsidR="002C6574" w:rsidRDefault="00000000">
                                  <w:pPr>
                                    <w:pStyle w:val="TableParagraph"/>
                                    <w:spacing w:before="6" w:line="82" w:lineRule="exact"/>
                                    <w:ind w:right="27"/>
                                    <w:jc w:val="center"/>
                                    <w:rPr>
                                      <w:rFonts w:ascii="Arial"/>
                                      <w:b/>
                                      <w:sz w:val="9"/>
                                    </w:rPr>
                                  </w:pPr>
                                  <w:r>
                                    <w:rPr>
                                      <w:rFonts w:ascii="Arial"/>
                                      <w:b/>
                                      <w:color w:val="001F60"/>
                                      <w:spacing w:val="-4"/>
                                      <w:sz w:val="9"/>
                                    </w:rPr>
                                    <w:t>100%</w:t>
                                  </w:r>
                                </w:p>
                              </w:tc>
                              <w:tc>
                                <w:tcPr>
                                  <w:tcW w:w="553" w:type="dxa"/>
                                  <w:tcBorders>
                                    <w:top w:val="single" w:sz="4" w:space="0" w:color="001F60"/>
                                    <w:bottom w:val="single" w:sz="4" w:space="0" w:color="001F60"/>
                                  </w:tcBorders>
                                </w:tcPr>
                                <w:p w14:paraId="4D0FF634" w14:textId="77777777" w:rsidR="002C6574" w:rsidRDefault="00000000">
                                  <w:pPr>
                                    <w:pStyle w:val="TableParagraph"/>
                                    <w:spacing w:before="6" w:line="82" w:lineRule="exact"/>
                                    <w:ind w:right="9"/>
                                    <w:jc w:val="center"/>
                                    <w:rPr>
                                      <w:rFonts w:ascii="Arial"/>
                                      <w:b/>
                                      <w:sz w:val="9"/>
                                    </w:rPr>
                                  </w:pPr>
                                  <w:r>
                                    <w:rPr>
                                      <w:rFonts w:ascii="Arial"/>
                                      <w:b/>
                                      <w:color w:val="001F60"/>
                                      <w:spacing w:val="-4"/>
                                      <w:sz w:val="9"/>
                                    </w:rPr>
                                    <w:t>100%</w:t>
                                  </w:r>
                                </w:p>
                              </w:tc>
                            </w:tr>
                            <w:tr w:rsidR="002C6574" w14:paraId="75D26753" w14:textId="77777777">
                              <w:trPr>
                                <w:trHeight w:val="107"/>
                              </w:trPr>
                              <w:tc>
                                <w:tcPr>
                                  <w:tcW w:w="3125" w:type="dxa"/>
                                  <w:tcBorders>
                                    <w:top w:val="single" w:sz="4" w:space="0" w:color="001F60"/>
                                  </w:tcBorders>
                                </w:tcPr>
                                <w:p w14:paraId="58BBB3DC" w14:textId="77777777" w:rsidR="002C6574" w:rsidRDefault="002C6574">
                                  <w:pPr>
                                    <w:pStyle w:val="TableParagraph"/>
                                    <w:jc w:val="left"/>
                                    <w:rPr>
                                      <w:rFonts w:ascii="Times New Roman"/>
                                      <w:sz w:val="4"/>
                                    </w:rPr>
                                  </w:pPr>
                                </w:p>
                              </w:tc>
                              <w:tc>
                                <w:tcPr>
                                  <w:tcW w:w="2366" w:type="dxa"/>
                                  <w:tcBorders>
                                    <w:top w:val="single" w:sz="4" w:space="0" w:color="001F60"/>
                                  </w:tcBorders>
                                </w:tcPr>
                                <w:p w14:paraId="33EFE38D" w14:textId="77777777" w:rsidR="002C6574" w:rsidRDefault="00000000">
                                  <w:pPr>
                                    <w:pStyle w:val="TableParagraph"/>
                                    <w:spacing w:before="3" w:line="84" w:lineRule="exact"/>
                                    <w:ind w:left="398"/>
                                    <w:jc w:val="left"/>
                                    <w:rPr>
                                      <w:rFonts w:ascii="Arial MT" w:hAnsi="Arial MT"/>
                                      <w:sz w:val="9"/>
                                    </w:rPr>
                                  </w:pPr>
                                  <w:r>
                                    <w:rPr>
                                      <w:rFonts w:ascii="Arial MT" w:hAnsi="Arial MT"/>
                                      <w:color w:val="001F60"/>
                                      <w:sz w:val="9"/>
                                    </w:rPr>
                                    <w:t>Demais</w:t>
                                  </w:r>
                                  <w:r>
                                    <w:rPr>
                                      <w:rFonts w:ascii="Arial MT" w:hAnsi="Arial MT"/>
                                      <w:color w:val="001F60"/>
                                      <w:spacing w:val="-3"/>
                                      <w:sz w:val="9"/>
                                    </w:rPr>
                                    <w:t xml:space="preserve"> </w:t>
                                  </w:r>
                                  <w:r>
                                    <w:rPr>
                                      <w:rFonts w:ascii="Arial MT" w:hAnsi="Arial MT"/>
                                      <w:color w:val="001F60"/>
                                      <w:sz w:val="9"/>
                                    </w:rPr>
                                    <w:t>Aplicações</w:t>
                                  </w:r>
                                  <w:r>
                                    <w:rPr>
                                      <w:rFonts w:ascii="Arial MT" w:hAnsi="Arial MT"/>
                                      <w:color w:val="001F60"/>
                                      <w:spacing w:val="-2"/>
                                      <w:sz w:val="9"/>
                                    </w:rPr>
                                    <w:t xml:space="preserve"> </w:t>
                                  </w:r>
                                  <w:r>
                                    <w:rPr>
                                      <w:rFonts w:ascii="Arial MT" w:hAnsi="Arial MT"/>
                                      <w:color w:val="001F60"/>
                                      <w:sz w:val="9"/>
                                    </w:rPr>
                                    <w:t>Autorizadas</w:t>
                                  </w:r>
                                  <w:r>
                                    <w:rPr>
                                      <w:rFonts w:ascii="Arial MT" w:hAnsi="Arial MT"/>
                                      <w:color w:val="001F60"/>
                                      <w:spacing w:val="-2"/>
                                      <w:sz w:val="9"/>
                                    </w:rPr>
                                    <w:t xml:space="preserve"> </w:t>
                                  </w:r>
                                  <w:r>
                                    <w:rPr>
                                      <w:rFonts w:ascii="Arial MT" w:hAnsi="Arial MT"/>
                                      <w:color w:val="001F60"/>
                                      <w:spacing w:val="-4"/>
                                      <w:sz w:val="9"/>
                                    </w:rPr>
                                    <w:t>para</w:t>
                                  </w:r>
                                </w:p>
                              </w:tc>
                              <w:tc>
                                <w:tcPr>
                                  <w:tcW w:w="663" w:type="dxa"/>
                                  <w:tcBorders>
                                    <w:top w:val="single" w:sz="4" w:space="0" w:color="001F60"/>
                                  </w:tcBorders>
                                </w:tcPr>
                                <w:p w14:paraId="14F96FE4" w14:textId="77777777" w:rsidR="002C6574" w:rsidRDefault="002C6574">
                                  <w:pPr>
                                    <w:pStyle w:val="TableParagraph"/>
                                    <w:jc w:val="left"/>
                                    <w:rPr>
                                      <w:rFonts w:ascii="Times New Roman"/>
                                      <w:sz w:val="4"/>
                                    </w:rPr>
                                  </w:pPr>
                                </w:p>
                              </w:tc>
                              <w:tc>
                                <w:tcPr>
                                  <w:tcW w:w="616" w:type="dxa"/>
                                  <w:tcBorders>
                                    <w:top w:val="single" w:sz="4" w:space="0" w:color="001F60"/>
                                  </w:tcBorders>
                                </w:tcPr>
                                <w:p w14:paraId="4046453C" w14:textId="77777777" w:rsidR="002C6574" w:rsidRDefault="002C6574">
                                  <w:pPr>
                                    <w:pStyle w:val="TableParagraph"/>
                                    <w:jc w:val="left"/>
                                    <w:rPr>
                                      <w:rFonts w:ascii="Times New Roman"/>
                                      <w:sz w:val="4"/>
                                    </w:rPr>
                                  </w:pPr>
                                </w:p>
                              </w:tc>
                              <w:tc>
                                <w:tcPr>
                                  <w:tcW w:w="612" w:type="dxa"/>
                                  <w:tcBorders>
                                    <w:top w:val="single" w:sz="4" w:space="0" w:color="001F60"/>
                                  </w:tcBorders>
                                </w:tcPr>
                                <w:p w14:paraId="62DAEC9B" w14:textId="77777777" w:rsidR="002C6574" w:rsidRDefault="002C6574">
                                  <w:pPr>
                                    <w:pStyle w:val="TableParagraph"/>
                                    <w:jc w:val="left"/>
                                    <w:rPr>
                                      <w:rFonts w:ascii="Times New Roman"/>
                                      <w:sz w:val="4"/>
                                    </w:rPr>
                                  </w:pPr>
                                </w:p>
                              </w:tc>
                              <w:tc>
                                <w:tcPr>
                                  <w:tcW w:w="494" w:type="dxa"/>
                                  <w:tcBorders>
                                    <w:top w:val="single" w:sz="4" w:space="0" w:color="001F60"/>
                                  </w:tcBorders>
                                </w:tcPr>
                                <w:p w14:paraId="03B3E009" w14:textId="77777777" w:rsidR="002C6574" w:rsidRDefault="002C6574">
                                  <w:pPr>
                                    <w:pStyle w:val="TableParagraph"/>
                                    <w:jc w:val="left"/>
                                    <w:rPr>
                                      <w:rFonts w:ascii="Times New Roman"/>
                                      <w:sz w:val="4"/>
                                    </w:rPr>
                                  </w:pPr>
                                </w:p>
                              </w:tc>
                              <w:tc>
                                <w:tcPr>
                                  <w:tcW w:w="563" w:type="dxa"/>
                                  <w:tcBorders>
                                    <w:top w:val="single" w:sz="4" w:space="0" w:color="001F60"/>
                                  </w:tcBorders>
                                </w:tcPr>
                                <w:p w14:paraId="26A67810" w14:textId="77777777" w:rsidR="002C6574" w:rsidRDefault="002C6574">
                                  <w:pPr>
                                    <w:pStyle w:val="TableParagraph"/>
                                    <w:jc w:val="left"/>
                                    <w:rPr>
                                      <w:rFonts w:ascii="Times New Roman"/>
                                      <w:sz w:val="4"/>
                                    </w:rPr>
                                  </w:pPr>
                                </w:p>
                              </w:tc>
                              <w:tc>
                                <w:tcPr>
                                  <w:tcW w:w="553" w:type="dxa"/>
                                  <w:tcBorders>
                                    <w:top w:val="single" w:sz="4" w:space="0" w:color="001F60"/>
                                  </w:tcBorders>
                                </w:tcPr>
                                <w:p w14:paraId="5B58B987" w14:textId="77777777" w:rsidR="002C6574" w:rsidRDefault="002C6574">
                                  <w:pPr>
                                    <w:pStyle w:val="TableParagraph"/>
                                    <w:jc w:val="left"/>
                                    <w:rPr>
                                      <w:rFonts w:ascii="Times New Roman"/>
                                      <w:sz w:val="4"/>
                                    </w:rPr>
                                  </w:pPr>
                                </w:p>
                              </w:tc>
                            </w:tr>
                            <w:tr w:rsidR="002C6574" w14:paraId="6C32F86C" w14:textId="77777777">
                              <w:trPr>
                                <w:trHeight w:val="134"/>
                              </w:trPr>
                              <w:tc>
                                <w:tcPr>
                                  <w:tcW w:w="8992" w:type="dxa"/>
                                  <w:gridSpan w:val="8"/>
                                </w:tcPr>
                                <w:p w14:paraId="23D2E1F3" w14:textId="77777777" w:rsidR="002C6574" w:rsidRDefault="00000000">
                                  <w:pPr>
                                    <w:pStyle w:val="TableParagraph"/>
                                    <w:tabs>
                                      <w:tab w:val="left" w:pos="5822"/>
                                      <w:tab w:val="left" w:pos="6445"/>
                                      <w:tab w:val="left" w:pos="7068"/>
                                      <w:tab w:val="left" w:pos="7634"/>
                                      <w:tab w:val="left" w:pos="8029"/>
                                      <w:tab w:val="left" w:pos="8596"/>
                                    </w:tabs>
                                    <w:spacing w:before="33" w:line="48" w:lineRule="auto"/>
                                    <w:ind w:left="1039"/>
                                    <w:jc w:val="left"/>
                                    <w:rPr>
                                      <w:rFonts w:ascii="Arial MT" w:hAnsi="Arial MT"/>
                                      <w:position w:val="-5"/>
                                      <w:sz w:val="9"/>
                                    </w:rPr>
                                  </w:pPr>
                                  <w:r>
                                    <w:rPr>
                                      <w:rFonts w:ascii="Arial MT" w:hAnsi="Arial MT"/>
                                      <w:color w:val="001F60"/>
                                      <w:position w:val="-5"/>
                                      <w:sz w:val="9"/>
                                    </w:rPr>
                                    <w:t>0283</w:t>
                                  </w:r>
                                  <w:r>
                                    <w:rPr>
                                      <w:rFonts w:ascii="Arial MT" w:hAnsi="Arial MT"/>
                                      <w:color w:val="001F60"/>
                                      <w:spacing w:val="39"/>
                                      <w:position w:val="-5"/>
                                      <w:sz w:val="9"/>
                                    </w:rPr>
                                    <w:t xml:space="preserve"> </w:t>
                                  </w:r>
                                  <w:r>
                                    <w:rPr>
                                      <w:rFonts w:ascii="Arial MT" w:hAnsi="Arial MT"/>
                                      <w:color w:val="001F60"/>
                                      <w:sz w:val="9"/>
                                    </w:rPr>
                                    <w:t>Amortização</w:t>
                                  </w:r>
                                  <w:r>
                                    <w:rPr>
                                      <w:rFonts w:ascii="Arial MT" w:hAnsi="Arial MT"/>
                                      <w:color w:val="001F60"/>
                                      <w:spacing w:val="1"/>
                                      <w:sz w:val="9"/>
                                    </w:rPr>
                                    <w:t xml:space="preserve"> </w:t>
                                  </w:r>
                                  <w:r>
                                    <w:rPr>
                                      <w:rFonts w:ascii="Arial MT" w:hAnsi="Arial MT"/>
                                      <w:color w:val="001F60"/>
                                      <w:sz w:val="9"/>
                                    </w:rPr>
                                    <w:t>e</w:t>
                                  </w:r>
                                  <w:r>
                                    <w:rPr>
                                      <w:rFonts w:ascii="Arial MT" w:hAnsi="Arial MT"/>
                                      <w:color w:val="001F60"/>
                                      <w:spacing w:val="1"/>
                                      <w:sz w:val="9"/>
                                    </w:rPr>
                                    <w:t xml:space="preserve"> </w:t>
                                  </w:r>
                                  <w:r>
                                    <w:rPr>
                                      <w:rFonts w:ascii="Arial MT" w:hAnsi="Arial MT"/>
                                      <w:color w:val="001F60"/>
                                      <w:sz w:val="9"/>
                                    </w:rPr>
                                    <w:t>Encargos</w:t>
                                  </w:r>
                                  <w:r>
                                    <w:rPr>
                                      <w:rFonts w:ascii="Arial MT" w:hAnsi="Arial MT"/>
                                      <w:color w:val="001F60"/>
                                      <w:spacing w:val="2"/>
                                      <w:sz w:val="9"/>
                                    </w:rPr>
                                    <w:t xml:space="preserve"> </w:t>
                                  </w:r>
                                  <w:r>
                                    <w:rPr>
                                      <w:rFonts w:ascii="Arial MT" w:hAnsi="Arial MT"/>
                                      <w:color w:val="001F60"/>
                                      <w:sz w:val="9"/>
                                    </w:rPr>
                                    <w:t>de</w:t>
                                  </w:r>
                                  <w:r>
                                    <w:rPr>
                                      <w:rFonts w:ascii="Arial MT" w:hAnsi="Arial MT"/>
                                      <w:color w:val="001F60"/>
                                      <w:spacing w:val="1"/>
                                      <w:sz w:val="9"/>
                                    </w:rPr>
                                    <w:t xml:space="preserve"> </w:t>
                                  </w:r>
                                  <w:r>
                                    <w:rPr>
                                      <w:rFonts w:ascii="Arial MT" w:hAnsi="Arial MT"/>
                                      <w:color w:val="001F60"/>
                                      <w:sz w:val="9"/>
                                    </w:rPr>
                                    <w:t>Financiamento</w:t>
                                  </w:r>
                                  <w:r>
                                    <w:rPr>
                                      <w:rFonts w:ascii="Arial MT" w:hAnsi="Arial MT"/>
                                      <w:color w:val="001F60"/>
                                      <w:spacing w:val="1"/>
                                      <w:sz w:val="9"/>
                                    </w:rPr>
                                    <w:t xml:space="preserve"> </w:t>
                                  </w:r>
                                  <w:r>
                                    <w:rPr>
                                      <w:rFonts w:ascii="Arial MT" w:hAnsi="Arial MT"/>
                                      <w:color w:val="001F60"/>
                                      <w:sz w:val="9"/>
                                    </w:rPr>
                                    <w:t>da</w:t>
                                  </w:r>
                                  <w:r>
                                    <w:rPr>
                                      <w:rFonts w:ascii="Arial MT" w:hAnsi="Arial MT"/>
                                      <w:color w:val="001F60"/>
                                      <w:spacing w:val="25"/>
                                      <w:sz w:val="9"/>
                                    </w:rPr>
                                    <w:t xml:space="preserve"> </w:t>
                                  </w:r>
                                  <w:r>
                                    <w:rPr>
                                      <w:rFonts w:ascii="Arial MT" w:hAnsi="Arial MT"/>
                                      <w:color w:val="001F60"/>
                                      <w:position w:val="-5"/>
                                      <w:sz w:val="9"/>
                                    </w:rPr>
                                    <w:t>1444</w:t>
                                  </w:r>
                                  <w:r>
                                    <w:rPr>
                                      <w:rFonts w:ascii="Arial MT" w:hAnsi="Arial MT"/>
                                      <w:color w:val="001F60"/>
                                      <w:spacing w:val="67"/>
                                      <w:position w:val="-5"/>
                                      <w:sz w:val="9"/>
                                    </w:rPr>
                                    <w:t xml:space="preserve"> </w:t>
                                  </w:r>
                                  <w:r>
                                    <w:rPr>
                                      <w:rFonts w:ascii="Arial MT" w:hAnsi="Arial MT"/>
                                      <w:color w:val="001F60"/>
                                      <w:sz w:val="9"/>
                                    </w:rPr>
                                    <w:t>Recursos</w:t>
                                  </w:r>
                                  <w:r>
                                    <w:rPr>
                                      <w:rFonts w:ascii="Arial MT" w:hAnsi="Arial MT"/>
                                      <w:color w:val="001F60"/>
                                      <w:spacing w:val="1"/>
                                      <w:sz w:val="9"/>
                                    </w:rPr>
                                    <w:t xml:space="preserve"> </w:t>
                                  </w:r>
                                  <w:r>
                                    <w:rPr>
                                      <w:rFonts w:ascii="Arial MT" w:hAnsi="Arial MT"/>
                                      <w:color w:val="001F60"/>
                                      <w:sz w:val="9"/>
                                    </w:rPr>
                                    <w:t>Oriundos</w:t>
                                  </w:r>
                                  <w:r>
                                    <w:rPr>
                                      <w:rFonts w:ascii="Arial MT" w:hAnsi="Arial MT"/>
                                      <w:color w:val="001F60"/>
                                      <w:spacing w:val="1"/>
                                      <w:sz w:val="9"/>
                                    </w:rPr>
                                    <w:t xml:space="preserve"> </w:t>
                                  </w:r>
                                  <w:r>
                                    <w:rPr>
                                      <w:rFonts w:ascii="Arial MT" w:hAnsi="Arial MT"/>
                                      <w:color w:val="001F60"/>
                                      <w:sz w:val="9"/>
                                    </w:rPr>
                                    <w:t>de</w:t>
                                  </w:r>
                                  <w:r>
                                    <w:rPr>
                                      <w:rFonts w:ascii="Arial MT" w:hAnsi="Arial MT"/>
                                      <w:color w:val="001F60"/>
                                      <w:spacing w:val="2"/>
                                      <w:sz w:val="9"/>
                                    </w:rPr>
                                    <w:t xml:space="preserve"> </w:t>
                                  </w:r>
                                  <w:r>
                                    <w:rPr>
                                      <w:rFonts w:ascii="Arial MT" w:hAnsi="Arial MT"/>
                                      <w:color w:val="001F60"/>
                                      <w:sz w:val="9"/>
                                    </w:rPr>
                                    <w:t>Títulos</w:t>
                                  </w:r>
                                  <w:r>
                                    <w:rPr>
                                      <w:rFonts w:ascii="Arial MT" w:hAnsi="Arial MT"/>
                                      <w:color w:val="001F60"/>
                                      <w:spacing w:val="1"/>
                                      <w:sz w:val="9"/>
                                    </w:rPr>
                                    <w:t xml:space="preserve"> </w:t>
                                  </w:r>
                                  <w:r>
                                    <w:rPr>
                                      <w:rFonts w:ascii="Arial MT" w:hAnsi="Arial MT"/>
                                      <w:color w:val="001F60"/>
                                      <w:sz w:val="9"/>
                                    </w:rPr>
                                    <w:t xml:space="preserve">do </w:t>
                                  </w:r>
                                  <w:r>
                                    <w:rPr>
                                      <w:rFonts w:ascii="Arial MT" w:hAnsi="Arial MT"/>
                                      <w:color w:val="001F60"/>
                                      <w:spacing w:val="-2"/>
                                      <w:sz w:val="9"/>
                                    </w:rPr>
                                    <w:t>Tesouro</w:t>
                                  </w:r>
                                  <w:r>
                                    <w:rPr>
                                      <w:rFonts w:ascii="Arial MT" w:hAnsi="Arial MT"/>
                                      <w:color w:val="001F60"/>
                                      <w:sz w:val="9"/>
                                    </w:rPr>
                                    <w:tab/>
                                  </w:r>
                                  <w:r>
                                    <w:rPr>
                                      <w:rFonts w:ascii="Arial MT" w:hAnsi="Arial MT"/>
                                      <w:color w:val="001F60"/>
                                      <w:spacing w:val="-4"/>
                                      <w:position w:val="-5"/>
                                      <w:sz w:val="9"/>
                                    </w:rPr>
                                    <w:t>0,11</w:t>
                                  </w:r>
                                  <w:r>
                                    <w:rPr>
                                      <w:rFonts w:ascii="Arial MT" w:hAnsi="Arial MT"/>
                                      <w:color w:val="001F60"/>
                                      <w:position w:val="-5"/>
                                      <w:sz w:val="9"/>
                                    </w:rPr>
                                    <w:tab/>
                                  </w:r>
                                  <w:r>
                                    <w:rPr>
                                      <w:rFonts w:ascii="Arial MT" w:hAnsi="Arial MT"/>
                                      <w:color w:val="001F60"/>
                                      <w:spacing w:val="-4"/>
                                      <w:position w:val="-5"/>
                                      <w:sz w:val="9"/>
                                    </w:rPr>
                                    <w:t>0,11</w:t>
                                  </w:r>
                                  <w:r>
                                    <w:rPr>
                                      <w:rFonts w:ascii="Arial MT" w:hAnsi="Arial MT"/>
                                      <w:color w:val="001F60"/>
                                      <w:position w:val="-5"/>
                                      <w:sz w:val="9"/>
                                    </w:rPr>
                                    <w:tab/>
                                  </w:r>
                                  <w:r>
                                    <w:rPr>
                                      <w:rFonts w:ascii="Arial MT" w:hAnsi="Arial MT"/>
                                      <w:color w:val="001F60"/>
                                      <w:spacing w:val="-4"/>
                                      <w:position w:val="-5"/>
                                      <w:sz w:val="9"/>
                                    </w:rPr>
                                    <w:t>0,11</w:t>
                                  </w:r>
                                  <w:r>
                                    <w:rPr>
                                      <w:rFonts w:ascii="Arial MT" w:hAnsi="Arial MT"/>
                                      <w:color w:val="001F60"/>
                                      <w:position w:val="-5"/>
                                      <w:sz w:val="9"/>
                                    </w:rPr>
                                    <w:tab/>
                                  </w:r>
                                  <w:r>
                                    <w:rPr>
                                      <w:rFonts w:ascii="Arial MT" w:hAnsi="Arial MT"/>
                                      <w:color w:val="001F60"/>
                                      <w:spacing w:val="-4"/>
                                      <w:position w:val="-5"/>
                                      <w:sz w:val="9"/>
                                    </w:rPr>
                                    <w:t>0,11</w:t>
                                  </w:r>
                                  <w:r>
                                    <w:rPr>
                                      <w:rFonts w:ascii="Arial MT" w:hAnsi="Arial MT"/>
                                      <w:color w:val="001F60"/>
                                      <w:position w:val="-5"/>
                                      <w:sz w:val="9"/>
                                    </w:rPr>
                                    <w:tab/>
                                  </w:r>
                                  <w:r>
                                    <w:rPr>
                                      <w:rFonts w:ascii="Arial MT" w:hAnsi="Arial MT"/>
                                      <w:color w:val="001F60"/>
                                      <w:spacing w:val="-4"/>
                                      <w:position w:val="-5"/>
                                      <w:sz w:val="9"/>
                                    </w:rPr>
                                    <w:t>100%</w:t>
                                  </w:r>
                                  <w:r>
                                    <w:rPr>
                                      <w:rFonts w:ascii="Arial MT" w:hAnsi="Arial MT"/>
                                      <w:color w:val="001F60"/>
                                      <w:position w:val="-5"/>
                                      <w:sz w:val="9"/>
                                    </w:rPr>
                                    <w:tab/>
                                  </w:r>
                                  <w:r>
                                    <w:rPr>
                                      <w:rFonts w:ascii="Arial MT" w:hAnsi="Arial MT"/>
                                      <w:color w:val="001F60"/>
                                      <w:spacing w:val="-4"/>
                                      <w:position w:val="-5"/>
                                      <w:sz w:val="9"/>
                                    </w:rPr>
                                    <w:t>100%</w:t>
                                  </w:r>
                                </w:p>
                              </w:tc>
                            </w:tr>
                            <w:tr w:rsidR="002C6574" w14:paraId="2137197C" w14:textId="77777777">
                              <w:trPr>
                                <w:trHeight w:val="110"/>
                              </w:trPr>
                              <w:tc>
                                <w:tcPr>
                                  <w:tcW w:w="3125" w:type="dxa"/>
                                </w:tcPr>
                                <w:p w14:paraId="7A713C92" w14:textId="77777777" w:rsidR="002C6574" w:rsidRDefault="00000000">
                                  <w:pPr>
                                    <w:pStyle w:val="TableParagraph"/>
                                    <w:spacing w:line="91" w:lineRule="exact"/>
                                    <w:ind w:left="1305"/>
                                    <w:jc w:val="left"/>
                                    <w:rPr>
                                      <w:rFonts w:ascii="Arial MT" w:hAnsi="Arial MT"/>
                                      <w:sz w:val="9"/>
                                    </w:rPr>
                                  </w:pPr>
                                  <w:r>
                                    <w:rPr>
                                      <w:rFonts w:ascii="Arial MT" w:hAnsi="Arial MT"/>
                                      <w:color w:val="001F60"/>
                                      <w:sz w:val="9"/>
                                    </w:rPr>
                                    <w:t>Dívida</w:t>
                                  </w:r>
                                  <w:r>
                                    <w:rPr>
                                      <w:rFonts w:ascii="Arial MT" w:hAnsi="Arial MT"/>
                                      <w:color w:val="001F60"/>
                                      <w:spacing w:val="6"/>
                                      <w:sz w:val="9"/>
                                    </w:rPr>
                                    <w:t xml:space="preserve"> </w:t>
                                  </w:r>
                                  <w:r>
                                    <w:rPr>
                                      <w:rFonts w:ascii="Arial MT" w:hAnsi="Arial MT"/>
                                      <w:color w:val="001F60"/>
                                      <w:sz w:val="9"/>
                                    </w:rPr>
                                    <w:t>Contratual</w:t>
                                  </w:r>
                                  <w:r>
                                    <w:rPr>
                                      <w:rFonts w:ascii="Arial MT" w:hAnsi="Arial MT"/>
                                      <w:color w:val="001F60"/>
                                      <w:spacing w:val="2"/>
                                      <w:sz w:val="9"/>
                                    </w:rPr>
                                    <w:t xml:space="preserve"> </w:t>
                                  </w:r>
                                  <w:r>
                                    <w:rPr>
                                      <w:rFonts w:ascii="Arial MT" w:hAnsi="Arial MT"/>
                                      <w:color w:val="001F60"/>
                                      <w:spacing w:val="-2"/>
                                      <w:sz w:val="9"/>
                                    </w:rPr>
                                    <w:t>Interna</w:t>
                                  </w:r>
                                </w:p>
                              </w:tc>
                              <w:tc>
                                <w:tcPr>
                                  <w:tcW w:w="5867" w:type="dxa"/>
                                  <w:gridSpan w:val="7"/>
                                </w:tcPr>
                                <w:p w14:paraId="652D9842" w14:textId="77777777" w:rsidR="002C6574" w:rsidRDefault="00000000">
                                  <w:pPr>
                                    <w:pStyle w:val="TableParagraph"/>
                                    <w:spacing w:line="91" w:lineRule="exact"/>
                                    <w:ind w:left="398"/>
                                    <w:jc w:val="left"/>
                                    <w:rPr>
                                      <w:rFonts w:ascii="Arial MT"/>
                                      <w:sz w:val="9"/>
                                    </w:rPr>
                                  </w:pPr>
                                  <w:r>
                                    <w:rPr>
                                      <w:rFonts w:ascii="Arial MT"/>
                                      <w:color w:val="001F60"/>
                                      <w:sz w:val="9"/>
                                    </w:rPr>
                                    <w:t>Nacional,</w:t>
                                  </w:r>
                                  <w:r>
                                    <w:rPr>
                                      <w:rFonts w:ascii="Arial MT"/>
                                      <w:color w:val="001F60"/>
                                      <w:spacing w:val="3"/>
                                      <w:sz w:val="9"/>
                                    </w:rPr>
                                    <w:t xml:space="preserve"> </w:t>
                                  </w:r>
                                  <w:r>
                                    <w:rPr>
                                      <w:rFonts w:ascii="Arial MT"/>
                                      <w:color w:val="001F60"/>
                                      <w:sz w:val="9"/>
                                    </w:rPr>
                                    <w:t>Excetuado</w:t>
                                  </w:r>
                                  <w:r>
                                    <w:rPr>
                                      <w:rFonts w:ascii="Arial MT"/>
                                      <w:color w:val="001F60"/>
                                      <w:spacing w:val="4"/>
                                      <w:sz w:val="9"/>
                                    </w:rPr>
                                    <w:t xml:space="preserve"> </w:t>
                                  </w:r>
                                  <w:r>
                                    <w:rPr>
                                      <w:rFonts w:ascii="Arial MT"/>
                                      <w:color w:val="001F60"/>
                                      <w:sz w:val="9"/>
                                    </w:rPr>
                                    <w:t>o</w:t>
                                  </w:r>
                                  <w:r>
                                    <w:rPr>
                                      <w:rFonts w:ascii="Arial MT"/>
                                      <w:color w:val="001F60"/>
                                      <w:spacing w:val="2"/>
                                      <w:sz w:val="9"/>
                                    </w:rPr>
                                    <w:t xml:space="preserve"> </w:t>
                                  </w:r>
                                  <w:r>
                                    <w:rPr>
                                      <w:rFonts w:ascii="Arial MT"/>
                                      <w:color w:val="001F60"/>
                                      <w:sz w:val="9"/>
                                    </w:rPr>
                                    <w:t>Refinanciamento</w:t>
                                  </w:r>
                                  <w:r>
                                    <w:rPr>
                                      <w:rFonts w:ascii="Arial MT"/>
                                      <w:color w:val="001F60"/>
                                      <w:spacing w:val="1"/>
                                      <w:sz w:val="9"/>
                                    </w:rPr>
                                    <w:t xml:space="preserve"> </w:t>
                                  </w:r>
                                  <w:r>
                                    <w:rPr>
                                      <w:rFonts w:ascii="Arial MT"/>
                                      <w:color w:val="001F60"/>
                                      <w:spacing w:val="-5"/>
                                      <w:sz w:val="9"/>
                                    </w:rPr>
                                    <w:t>da</w:t>
                                  </w:r>
                                </w:p>
                              </w:tc>
                            </w:tr>
                            <w:tr w:rsidR="002C6574" w14:paraId="75737132" w14:textId="77777777">
                              <w:trPr>
                                <w:trHeight w:val="114"/>
                              </w:trPr>
                              <w:tc>
                                <w:tcPr>
                                  <w:tcW w:w="3125" w:type="dxa"/>
                                  <w:tcBorders>
                                    <w:bottom w:val="single" w:sz="2" w:space="0" w:color="000000"/>
                                  </w:tcBorders>
                                </w:tcPr>
                                <w:p w14:paraId="59D9670A" w14:textId="77777777" w:rsidR="002C6574" w:rsidRDefault="002C6574">
                                  <w:pPr>
                                    <w:pStyle w:val="TableParagraph"/>
                                    <w:jc w:val="left"/>
                                    <w:rPr>
                                      <w:rFonts w:ascii="Times New Roman"/>
                                      <w:sz w:val="6"/>
                                    </w:rPr>
                                  </w:pPr>
                                </w:p>
                              </w:tc>
                              <w:tc>
                                <w:tcPr>
                                  <w:tcW w:w="5867" w:type="dxa"/>
                                  <w:gridSpan w:val="7"/>
                                  <w:tcBorders>
                                    <w:bottom w:val="single" w:sz="2" w:space="0" w:color="000000"/>
                                  </w:tcBorders>
                                </w:tcPr>
                                <w:p w14:paraId="0452BEEE" w14:textId="77777777" w:rsidR="002C6574" w:rsidRDefault="00000000">
                                  <w:pPr>
                                    <w:pStyle w:val="TableParagraph"/>
                                    <w:spacing w:before="6" w:line="88" w:lineRule="exact"/>
                                    <w:ind w:left="398"/>
                                    <w:jc w:val="left"/>
                                    <w:rPr>
                                      <w:rFonts w:ascii="Arial MT" w:hAnsi="Arial MT"/>
                                      <w:sz w:val="9"/>
                                    </w:rPr>
                                  </w:pPr>
                                  <w:r>
                                    <w:rPr>
                                      <w:rFonts w:ascii="Arial MT" w:hAnsi="Arial MT"/>
                                      <w:color w:val="001F60"/>
                                      <w:sz w:val="9"/>
                                    </w:rPr>
                                    <w:t>Dívida</w:t>
                                  </w:r>
                                  <w:r>
                                    <w:rPr>
                                      <w:rFonts w:ascii="Arial MT" w:hAnsi="Arial MT"/>
                                      <w:color w:val="001F60"/>
                                      <w:spacing w:val="3"/>
                                      <w:sz w:val="9"/>
                                    </w:rPr>
                                    <w:t xml:space="preserve"> </w:t>
                                  </w:r>
                                  <w:r>
                                    <w:rPr>
                                      <w:rFonts w:ascii="Arial MT" w:hAnsi="Arial MT"/>
                                      <w:color w:val="001F60"/>
                                      <w:spacing w:val="-2"/>
                                      <w:sz w:val="9"/>
                                    </w:rPr>
                                    <w:t>Pública</w:t>
                                  </w:r>
                                </w:p>
                              </w:tc>
                            </w:tr>
                            <w:tr w:rsidR="002C6574" w14:paraId="5024ADEF" w14:textId="77777777">
                              <w:trPr>
                                <w:trHeight w:val="232"/>
                              </w:trPr>
                              <w:tc>
                                <w:tcPr>
                                  <w:tcW w:w="3125" w:type="dxa"/>
                                  <w:tcBorders>
                                    <w:bottom w:val="single" w:sz="2" w:space="0" w:color="000000"/>
                                  </w:tcBorders>
                                </w:tcPr>
                                <w:p w14:paraId="68CA88F7" w14:textId="77777777" w:rsidR="002C6574" w:rsidRDefault="00000000">
                                  <w:pPr>
                                    <w:pStyle w:val="TableParagraph"/>
                                    <w:spacing w:before="1"/>
                                    <w:ind w:right="-317"/>
                                    <w:rPr>
                                      <w:rFonts w:ascii="Arial MT" w:hAnsi="Arial MT"/>
                                      <w:position w:val="-5"/>
                                      <w:sz w:val="9"/>
                                    </w:rPr>
                                  </w:pPr>
                                  <w:r>
                                    <w:rPr>
                                      <w:rFonts w:ascii="Arial MT" w:hAnsi="Arial MT"/>
                                      <w:color w:val="001F60"/>
                                      <w:position w:val="-5"/>
                                      <w:sz w:val="9"/>
                                    </w:rPr>
                                    <w:t>0022</w:t>
                                  </w:r>
                                  <w:r>
                                    <w:rPr>
                                      <w:rFonts w:ascii="Arial MT" w:hAnsi="Arial MT"/>
                                      <w:color w:val="001F60"/>
                                      <w:spacing w:val="39"/>
                                      <w:position w:val="-5"/>
                                      <w:sz w:val="9"/>
                                    </w:rPr>
                                    <w:t xml:space="preserve"> </w:t>
                                  </w:r>
                                  <w:r>
                                    <w:rPr>
                                      <w:rFonts w:ascii="Arial MT" w:hAnsi="Arial MT"/>
                                      <w:color w:val="001F60"/>
                                      <w:sz w:val="9"/>
                                    </w:rPr>
                                    <w:t>Sentenças</w:t>
                                  </w:r>
                                  <w:r>
                                    <w:rPr>
                                      <w:rFonts w:ascii="Arial MT" w:hAnsi="Arial MT"/>
                                      <w:color w:val="001F60"/>
                                      <w:spacing w:val="1"/>
                                      <w:sz w:val="9"/>
                                    </w:rPr>
                                    <w:t xml:space="preserve"> </w:t>
                                  </w:r>
                                  <w:r>
                                    <w:rPr>
                                      <w:rFonts w:ascii="Arial MT" w:hAnsi="Arial MT"/>
                                      <w:color w:val="001F60"/>
                                      <w:sz w:val="9"/>
                                    </w:rPr>
                                    <w:t>Judiciais</w:t>
                                  </w:r>
                                  <w:r>
                                    <w:rPr>
                                      <w:rFonts w:ascii="Arial MT" w:hAnsi="Arial MT"/>
                                      <w:color w:val="001F60"/>
                                      <w:spacing w:val="1"/>
                                      <w:sz w:val="9"/>
                                    </w:rPr>
                                    <w:t xml:space="preserve"> </w:t>
                                  </w:r>
                                  <w:r>
                                    <w:rPr>
                                      <w:rFonts w:ascii="Arial MT" w:hAnsi="Arial MT"/>
                                      <w:color w:val="001F60"/>
                                      <w:sz w:val="9"/>
                                    </w:rPr>
                                    <w:t>Devidas</w:t>
                                  </w:r>
                                  <w:r>
                                    <w:rPr>
                                      <w:rFonts w:ascii="Arial MT" w:hAnsi="Arial MT"/>
                                      <w:color w:val="001F60"/>
                                      <w:spacing w:val="1"/>
                                      <w:sz w:val="9"/>
                                    </w:rPr>
                                    <w:t xml:space="preserve"> </w:t>
                                  </w:r>
                                  <w:r>
                                    <w:rPr>
                                      <w:rFonts w:ascii="Arial MT" w:hAnsi="Arial MT"/>
                                      <w:color w:val="001F60"/>
                                      <w:sz w:val="9"/>
                                    </w:rPr>
                                    <w:t>Por</w:t>
                                  </w:r>
                                  <w:r>
                                    <w:rPr>
                                      <w:rFonts w:ascii="Arial MT" w:hAnsi="Arial MT"/>
                                      <w:color w:val="001F60"/>
                                      <w:spacing w:val="3"/>
                                      <w:sz w:val="9"/>
                                    </w:rPr>
                                    <w:t xml:space="preserve"> </w:t>
                                  </w:r>
                                  <w:r>
                                    <w:rPr>
                                      <w:rFonts w:ascii="Arial MT" w:hAnsi="Arial MT"/>
                                      <w:color w:val="001F60"/>
                                      <w:sz w:val="9"/>
                                    </w:rPr>
                                    <w:t>Empresas</w:t>
                                  </w:r>
                                  <w:r>
                                    <w:rPr>
                                      <w:rFonts w:ascii="Arial MT" w:hAnsi="Arial MT"/>
                                      <w:color w:val="001F60"/>
                                      <w:spacing w:val="47"/>
                                      <w:sz w:val="9"/>
                                    </w:rPr>
                                    <w:t xml:space="preserve">  </w:t>
                                  </w:r>
                                  <w:r>
                                    <w:rPr>
                                      <w:rFonts w:ascii="Arial MT" w:hAnsi="Arial MT"/>
                                      <w:color w:val="001F60"/>
                                      <w:spacing w:val="-4"/>
                                      <w:position w:val="-5"/>
                                      <w:sz w:val="9"/>
                                    </w:rPr>
                                    <w:t>1000</w:t>
                                  </w:r>
                                </w:p>
                              </w:tc>
                              <w:tc>
                                <w:tcPr>
                                  <w:tcW w:w="2366" w:type="dxa"/>
                                  <w:tcBorders>
                                    <w:bottom w:val="single" w:sz="2" w:space="0" w:color="000000"/>
                                  </w:tcBorders>
                                </w:tcPr>
                                <w:p w14:paraId="3CF56B09" w14:textId="77777777" w:rsidR="002C6574" w:rsidRDefault="00000000">
                                  <w:pPr>
                                    <w:pStyle w:val="TableParagraph"/>
                                    <w:spacing w:before="59"/>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Livres</w:t>
                                  </w:r>
                                  <w:r>
                                    <w:rPr>
                                      <w:rFonts w:ascii="Arial MT" w:hAnsi="Arial MT"/>
                                      <w:color w:val="001F60"/>
                                      <w:spacing w:val="3"/>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2"/>
                                      <w:sz w:val="9"/>
                                    </w:rPr>
                                    <w:t>União</w:t>
                                  </w:r>
                                </w:p>
                              </w:tc>
                              <w:tc>
                                <w:tcPr>
                                  <w:tcW w:w="663" w:type="dxa"/>
                                  <w:tcBorders>
                                    <w:bottom w:val="single" w:sz="2" w:space="0" w:color="000000"/>
                                  </w:tcBorders>
                                </w:tcPr>
                                <w:p w14:paraId="2E18030D" w14:textId="77777777" w:rsidR="002C6574" w:rsidRDefault="00000000">
                                  <w:pPr>
                                    <w:pStyle w:val="TableParagraph"/>
                                    <w:spacing w:before="59"/>
                                    <w:ind w:right="148"/>
                                    <w:rPr>
                                      <w:rFonts w:ascii="Arial MT"/>
                                      <w:sz w:val="9"/>
                                    </w:rPr>
                                  </w:pPr>
                                  <w:r>
                                    <w:rPr>
                                      <w:rFonts w:ascii="Arial MT"/>
                                      <w:color w:val="001F60"/>
                                      <w:spacing w:val="-2"/>
                                      <w:sz w:val="9"/>
                                    </w:rPr>
                                    <w:t>21,79</w:t>
                                  </w:r>
                                </w:p>
                              </w:tc>
                              <w:tc>
                                <w:tcPr>
                                  <w:tcW w:w="616" w:type="dxa"/>
                                  <w:tcBorders>
                                    <w:bottom w:val="single" w:sz="2" w:space="0" w:color="000000"/>
                                  </w:tcBorders>
                                </w:tcPr>
                                <w:p w14:paraId="6A39C7D6" w14:textId="77777777" w:rsidR="002C6574" w:rsidRDefault="00000000">
                                  <w:pPr>
                                    <w:pStyle w:val="TableParagraph"/>
                                    <w:spacing w:before="59"/>
                                    <w:ind w:right="142"/>
                                    <w:rPr>
                                      <w:rFonts w:ascii="Arial MT"/>
                                      <w:sz w:val="9"/>
                                    </w:rPr>
                                  </w:pPr>
                                  <w:r>
                                    <w:rPr>
                                      <w:rFonts w:ascii="Arial MT"/>
                                      <w:color w:val="001F60"/>
                                      <w:spacing w:val="-2"/>
                                      <w:sz w:val="9"/>
                                    </w:rPr>
                                    <w:t>21,79</w:t>
                                  </w:r>
                                </w:p>
                              </w:tc>
                              <w:tc>
                                <w:tcPr>
                                  <w:tcW w:w="612" w:type="dxa"/>
                                  <w:tcBorders>
                                    <w:bottom w:val="single" w:sz="2" w:space="0" w:color="000000"/>
                                  </w:tcBorders>
                                </w:tcPr>
                                <w:p w14:paraId="45B44CD6" w14:textId="77777777" w:rsidR="002C6574" w:rsidRDefault="00000000">
                                  <w:pPr>
                                    <w:pStyle w:val="TableParagraph"/>
                                    <w:spacing w:before="59"/>
                                    <w:ind w:right="131"/>
                                    <w:rPr>
                                      <w:rFonts w:ascii="Arial MT"/>
                                      <w:sz w:val="9"/>
                                    </w:rPr>
                                  </w:pPr>
                                  <w:r>
                                    <w:rPr>
                                      <w:rFonts w:ascii="Arial MT"/>
                                      <w:color w:val="001F60"/>
                                      <w:spacing w:val="-2"/>
                                      <w:sz w:val="9"/>
                                    </w:rPr>
                                    <w:t>21,79</w:t>
                                  </w:r>
                                </w:p>
                              </w:tc>
                              <w:tc>
                                <w:tcPr>
                                  <w:tcW w:w="494" w:type="dxa"/>
                                  <w:tcBorders>
                                    <w:bottom w:val="single" w:sz="2" w:space="0" w:color="000000"/>
                                  </w:tcBorders>
                                </w:tcPr>
                                <w:p w14:paraId="30F47D64" w14:textId="77777777" w:rsidR="002C6574" w:rsidRDefault="00000000">
                                  <w:pPr>
                                    <w:pStyle w:val="TableParagraph"/>
                                    <w:spacing w:before="59"/>
                                    <w:ind w:right="58"/>
                                    <w:rPr>
                                      <w:rFonts w:ascii="Arial MT"/>
                                      <w:sz w:val="9"/>
                                    </w:rPr>
                                  </w:pPr>
                                  <w:r>
                                    <w:rPr>
                                      <w:rFonts w:ascii="Arial MT"/>
                                      <w:color w:val="001F60"/>
                                      <w:spacing w:val="-2"/>
                                      <w:sz w:val="9"/>
                                    </w:rPr>
                                    <w:t>21,79</w:t>
                                  </w:r>
                                </w:p>
                              </w:tc>
                              <w:tc>
                                <w:tcPr>
                                  <w:tcW w:w="563" w:type="dxa"/>
                                  <w:tcBorders>
                                    <w:bottom w:val="single" w:sz="2" w:space="0" w:color="000000"/>
                                  </w:tcBorders>
                                </w:tcPr>
                                <w:p w14:paraId="2E7B4264" w14:textId="77777777" w:rsidR="002C6574" w:rsidRDefault="00000000">
                                  <w:pPr>
                                    <w:pStyle w:val="TableParagraph"/>
                                    <w:spacing w:before="59"/>
                                    <w:ind w:left="10" w:right="27"/>
                                    <w:jc w:val="center"/>
                                    <w:rPr>
                                      <w:rFonts w:ascii="Arial MT"/>
                                      <w:sz w:val="9"/>
                                    </w:rPr>
                                  </w:pPr>
                                  <w:r>
                                    <w:rPr>
                                      <w:rFonts w:ascii="Arial MT"/>
                                      <w:color w:val="001F60"/>
                                      <w:spacing w:val="-4"/>
                                      <w:sz w:val="9"/>
                                    </w:rPr>
                                    <w:t>100%</w:t>
                                  </w:r>
                                </w:p>
                              </w:tc>
                              <w:tc>
                                <w:tcPr>
                                  <w:tcW w:w="553" w:type="dxa"/>
                                  <w:tcBorders>
                                    <w:bottom w:val="single" w:sz="2" w:space="0" w:color="000000"/>
                                  </w:tcBorders>
                                </w:tcPr>
                                <w:p w14:paraId="49AEC0BB" w14:textId="77777777" w:rsidR="002C6574" w:rsidRDefault="00000000">
                                  <w:pPr>
                                    <w:pStyle w:val="TableParagraph"/>
                                    <w:spacing w:before="59"/>
                                    <w:ind w:left="9" w:right="9"/>
                                    <w:jc w:val="center"/>
                                    <w:rPr>
                                      <w:rFonts w:ascii="Arial MT"/>
                                      <w:sz w:val="9"/>
                                    </w:rPr>
                                  </w:pPr>
                                  <w:r>
                                    <w:rPr>
                                      <w:rFonts w:ascii="Arial MT"/>
                                      <w:color w:val="001F60"/>
                                      <w:spacing w:val="-4"/>
                                      <w:sz w:val="9"/>
                                    </w:rPr>
                                    <w:t>100%</w:t>
                                  </w:r>
                                </w:p>
                              </w:tc>
                            </w:tr>
                            <w:tr w:rsidR="002C6574" w14:paraId="5025DE35" w14:textId="77777777">
                              <w:trPr>
                                <w:trHeight w:val="115"/>
                              </w:trPr>
                              <w:tc>
                                <w:tcPr>
                                  <w:tcW w:w="3125" w:type="dxa"/>
                                </w:tcPr>
                                <w:p w14:paraId="2A318829" w14:textId="77777777" w:rsidR="002C6574" w:rsidRDefault="00000000">
                                  <w:pPr>
                                    <w:pStyle w:val="TableParagraph"/>
                                    <w:spacing w:before="1" w:line="91" w:lineRule="exact"/>
                                    <w:ind w:left="1029"/>
                                    <w:jc w:val="left"/>
                                    <w:rPr>
                                      <w:rFonts w:ascii="Arial MT" w:hAnsi="Arial MT"/>
                                      <w:sz w:val="9"/>
                                    </w:rPr>
                                  </w:pPr>
                                  <w:r>
                                    <w:rPr>
                                      <w:rFonts w:ascii="Arial MT" w:hAnsi="Arial MT"/>
                                      <w:color w:val="001F60"/>
                                      <w:sz w:val="9"/>
                                    </w:rPr>
                                    <w:t>20TP</w:t>
                                  </w:r>
                                  <w:r>
                                    <w:rPr>
                                      <w:rFonts w:ascii="Arial MT" w:hAnsi="Arial MT"/>
                                      <w:color w:val="001F60"/>
                                      <w:spacing w:val="28"/>
                                      <w:sz w:val="9"/>
                                    </w:rPr>
                                    <w:t xml:space="preserve"> </w:t>
                                  </w:r>
                                  <w:r>
                                    <w:rPr>
                                      <w:rFonts w:ascii="Arial MT" w:hAnsi="Arial MT"/>
                                      <w:color w:val="001F60"/>
                                      <w:sz w:val="9"/>
                                    </w:rPr>
                                    <w:t>Ativos</w:t>
                                  </w:r>
                                  <w:r>
                                    <w:rPr>
                                      <w:rFonts w:ascii="Arial MT" w:hAnsi="Arial MT"/>
                                      <w:color w:val="001F60"/>
                                      <w:spacing w:val="2"/>
                                      <w:sz w:val="9"/>
                                    </w:rPr>
                                    <w:t xml:space="preserve"> </w:t>
                                  </w:r>
                                  <w:r>
                                    <w:rPr>
                                      <w:rFonts w:ascii="Arial MT" w:hAnsi="Arial MT"/>
                                      <w:color w:val="001F60"/>
                                      <w:sz w:val="9"/>
                                    </w:rPr>
                                    <w:t>Civis</w:t>
                                  </w:r>
                                  <w:r>
                                    <w:rPr>
                                      <w:rFonts w:ascii="Arial MT" w:hAnsi="Arial MT"/>
                                      <w:color w:val="001F60"/>
                                      <w:spacing w:val="1"/>
                                      <w:sz w:val="9"/>
                                    </w:rPr>
                                    <w:t xml:space="preserve"> </w:t>
                                  </w:r>
                                  <w:r>
                                    <w:rPr>
                                      <w:rFonts w:ascii="Arial MT" w:hAnsi="Arial MT"/>
                                      <w:color w:val="001F60"/>
                                      <w:sz w:val="9"/>
                                    </w:rPr>
                                    <w:t>da</w:t>
                                  </w:r>
                                  <w:r>
                                    <w:rPr>
                                      <w:rFonts w:ascii="Arial MT" w:hAnsi="Arial MT"/>
                                      <w:color w:val="001F60"/>
                                      <w:spacing w:val="2"/>
                                      <w:sz w:val="9"/>
                                    </w:rPr>
                                    <w:t xml:space="preserve"> </w:t>
                                  </w:r>
                                  <w:r>
                                    <w:rPr>
                                      <w:rFonts w:ascii="Arial MT" w:hAnsi="Arial MT"/>
                                      <w:color w:val="001F60"/>
                                      <w:spacing w:val="-2"/>
                                      <w:sz w:val="9"/>
                                    </w:rPr>
                                    <w:t>União</w:t>
                                  </w:r>
                                </w:p>
                              </w:tc>
                              <w:tc>
                                <w:tcPr>
                                  <w:tcW w:w="2366" w:type="dxa"/>
                                </w:tcPr>
                                <w:p w14:paraId="49415AAB" w14:textId="77777777" w:rsidR="002C6574" w:rsidRDefault="00000000">
                                  <w:pPr>
                                    <w:pStyle w:val="TableParagraph"/>
                                    <w:spacing w:before="1" w:line="91" w:lineRule="exact"/>
                                    <w:ind w:left="105"/>
                                    <w:jc w:val="left"/>
                                    <w:rPr>
                                      <w:rFonts w:ascii="Arial MT" w:hAnsi="Arial MT"/>
                                      <w:sz w:val="9"/>
                                    </w:rPr>
                                  </w:pPr>
                                  <w:r>
                                    <w:rPr>
                                      <w:rFonts w:ascii="Arial MT" w:hAnsi="Arial MT"/>
                                      <w:color w:val="001F60"/>
                                      <w:sz w:val="9"/>
                                    </w:rPr>
                                    <w:t>1000</w:t>
                                  </w:r>
                                  <w:r>
                                    <w:rPr>
                                      <w:rFonts w:ascii="Arial MT" w:hAnsi="Arial MT"/>
                                      <w:color w:val="001F60"/>
                                      <w:spacing w:val="68"/>
                                      <w:sz w:val="9"/>
                                    </w:rPr>
                                    <w:t xml:space="preserve"> </w:t>
                                  </w:r>
                                  <w:r>
                                    <w:rPr>
                                      <w:rFonts w:ascii="Arial MT" w:hAnsi="Arial MT"/>
                                      <w:color w:val="001F60"/>
                                      <w:sz w:val="9"/>
                                    </w:rPr>
                                    <w:t>Recursos</w:t>
                                  </w:r>
                                  <w:r>
                                    <w:rPr>
                                      <w:rFonts w:ascii="Arial MT" w:hAnsi="Arial MT"/>
                                      <w:color w:val="001F60"/>
                                      <w:spacing w:val="1"/>
                                      <w:sz w:val="9"/>
                                    </w:rPr>
                                    <w:t xml:space="preserve"> </w:t>
                                  </w:r>
                                  <w:r>
                                    <w:rPr>
                                      <w:rFonts w:ascii="Arial MT" w:hAnsi="Arial MT"/>
                                      <w:color w:val="001F60"/>
                                      <w:sz w:val="9"/>
                                    </w:rPr>
                                    <w:t>Livres</w:t>
                                  </w:r>
                                  <w:r>
                                    <w:rPr>
                                      <w:rFonts w:ascii="Arial MT" w:hAnsi="Arial MT"/>
                                      <w:color w:val="001F60"/>
                                      <w:spacing w:val="2"/>
                                      <w:sz w:val="9"/>
                                    </w:rPr>
                                    <w:t xml:space="preserve"> </w:t>
                                  </w:r>
                                  <w:r>
                                    <w:rPr>
                                      <w:rFonts w:ascii="Arial MT" w:hAnsi="Arial MT"/>
                                      <w:color w:val="001F60"/>
                                      <w:sz w:val="9"/>
                                    </w:rPr>
                                    <w:t>da</w:t>
                                  </w:r>
                                  <w:r>
                                    <w:rPr>
                                      <w:rFonts w:ascii="Arial MT" w:hAnsi="Arial MT"/>
                                      <w:color w:val="001F60"/>
                                      <w:spacing w:val="2"/>
                                      <w:sz w:val="9"/>
                                    </w:rPr>
                                    <w:t xml:space="preserve"> </w:t>
                                  </w:r>
                                  <w:r>
                                    <w:rPr>
                                      <w:rFonts w:ascii="Arial MT" w:hAnsi="Arial MT"/>
                                      <w:color w:val="001F60"/>
                                      <w:spacing w:val="-2"/>
                                      <w:sz w:val="9"/>
                                    </w:rPr>
                                    <w:t>União</w:t>
                                  </w:r>
                                </w:p>
                              </w:tc>
                              <w:tc>
                                <w:tcPr>
                                  <w:tcW w:w="663" w:type="dxa"/>
                                </w:tcPr>
                                <w:p w14:paraId="6B4040CA" w14:textId="77777777" w:rsidR="002C6574" w:rsidRDefault="00000000">
                                  <w:pPr>
                                    <w:pStyle w:val="TableParagraph"/>
                                    <w:spacing w:before="1" w:line="91" w:lineRule="exact"/>
                                    <w:ind w:right="148"/>
                                    <w:rPr>
                                      <w:rFonts w:ascii="Arial MT"/>
                                      <w:sz w:val="9"/>
                                    </w:rPr>
                                  </w:pPr>
                                  <w:r>
                                    <w:rPr>
                                      <w:rFonts w:ascii="Arial MT"/>
                                      <w:color w:val="001F60"/>
                                      <w:spacing w:val="-2"/>
                                      <w:sz w:val="9"/>
                                    </w:rPr>
                                    <w:t>36,86</w:t>
                                  </w:r>
                                </w:p>
                              </w:tc>
                              <w:tc>
                                <w:tcPr>
                                  <w:tcW w:w="616" w:type="dxa"/>
                                </w:tcPr>
                                <w:p w14:paraId="1B026A17" w14:textId="77777777" w:rsidR="002C6574" w:rsidRDefault="00000000">
                                  <w:pPr>
                                    <w:pStyle w:val="TableParagraph"/>
                                    <w:spacing w:before="1" w:line="91" w:lineRule="exact"/>
                                    <w:ind w:right="142"/>
                                    <w:rPr>
                                      <w:rFonts w:ascii="Arial MT"/>
                                      <w:sz w:val="9"/>
                                    </w:rPr>
                                  </w:pPr>
                                  <w:r>
                                    <w:rPr>
                                      <w:rFonts w:ascii="Arial MT"/>
                                      <w:color w:val="001F60"/>
                                      <w:spacing w:val="-2"/>
                                      <w:sz w:val="9"/>
                                    </w:rPr>
                                    <w:t>36,85</w:t>
                                  </w:r>
                                </w:p>
                              </w:tc>
                              <w:tc>
                                <w:tcPr>
                                  <w:tcW w:w="612" w:type="dxa"/>
                                </w:tcPr>
                                <w:p w14:paraId="46ACACA0" w14:textId="77777777" w:rsidR="002C6574" w:rsidRDefault="00000000">
                                  <w:pPr>
                                    <w:pStyle w:val="TableParagraph"/>
                                    <w:spacing w:before="1" w:line="91" w:lineRule="exact"/>
                                    <w:ind w:right="131"/>
                                    <w:rPr>
                                      <w:rFonts w:ascii="Arial MT"/>
                                      <w:sz w:val="9"/>
                                    </w:rPr>
                                  </w:pPr>
                                  <w:r>
                                    <w:rPr>
                                      <w:rFonts w:ascii="Arial MT"/>
                                      <w:color w:val="001F60"/>
                                      <w:spacing w:val="-2"/>
                                      <w:sz w:val="9"/>
                                    </w:rPr>
                                    <w:t>36,85</w:t>
                                  </w:r>
                                </w:p>
                              </w:tc>
                              <w:tc>
                                <w:tcPr>
                                  <w:tcW w:w="494" w:type="dxa"/>
                                </w:tcPr>
                                <w:p w14:paraId="69675FC6" w14:textId="77777777" w:rsidR="002C6574" w:rsidRDefault="00000000">
                                  <w:pPr>
                                    <w:pStyle w:val="TableParagraph"/>
                                    <w:spacing w:before="1" w:line="91" w:lineRule="exact"/>
                                    <w:ind w:right="58"/>
                                    <w:rPr>
                                      <w:rFonts w:ascii="Arial MT"/>
                                      <w:sz w:val="9"/>
                                    </w:rPr>
                                  </w:pPr>
                                  <w:r>
                                    <w:rPr>
                                      <w:rFonts w:ascii="Arial MT"/>
                                      <w:color w:val="001F60"/>
                                      <w:spacing w:val="-2"/>
                                      <w:sz w:val="9"/>
                                    </w:rPr>
                                    <w:t>36,85</w:t>
                                  </w:r>
                                </w:p>
                              </w:tc>
                              <w:tc>
                                <w:tcPr>
                                  <w:tcW w:w="563" w:type="dxa"/>
                                </w:tcPr>
                                <w:p w14:paraId="3DD20D1D" w14:textId="77777777" w:rsidR="002C6574" w:rsidRDefault="00000000">
                                  <w:pPr>
                                    <w:pStyle w:val="TableParagraph"/>
                                    <w:spacing w:before="1" w:line="91" w:lineRule="exact"/>
                                    <w:ind w:left="10" w:right="27"/>
                                    <w:jc w:val="center"/>
                                    <w:rPr>
                                      <w:rFonts w:ascii="Arial MT"/>
                                      <w:sz w:val="9"/>
                                    </w:rPr>
                                  </w:pPr>
                                  <w:r>
                                    <w:rPr>
                                      <w:rFonts w:ascii="Arial MT"/>
                                      <w:color w:val="001F60"/>
                                      <w:spacing w:val="-4"/>
                                      <w:sz w:val="9"/>
                                    </w:rPr>
                                    <w:t>100%</w:t>
                                  </w:r>
                                </w:p>
                              </w:tc>
                              <w:tc>
                                <w:tcPr>
                                  <w:tcW w:w="553" w:type="dxa"/>
                                </w:tcPr>
                                <w:p w14:paraId="3E4DF7BD" w14:textId="77777777" w:rsidR="002C6574" w:rsidRDefault="00000000">
                                  <w:pPr>
                                    <w:pStyle w:val="TableParagraph"/>
                                    <w:spacing w:before="1" w:line="91" w:lineRule="exact"/>
                                    <w:ind w:left="9" w:right="9"/>
                                    <w:jc w:val="center"/>
                                    <w:rPr>
                                      <w:rFonts w:ascii="Arial MT"/>
                                      <w:sz w:val="9"/>
                                    </w:rPr>
                                  </w:pPr>
                                  <w:r>
                                    <w:rPr>
                                      <w:rFonts w:ascii="Arial MT"/>
                                      <w:color w:val="001F60"/>
                                      <w:spacing w:val="-4"/>
                                      <w:sz w:val="9"/>
                                    </w:rPr>
                                    <w:t>100%</w:t>
                                  </w:r>
                                </w:p>
                              </w:tc>
                            </w:tr>
                            <w:tr w:rsidR="002C6574" w14:paraId="061D533B" w14:textId="77777777">
                              <w:trPr>
                                <w:trHeight w:val="147"/>
                              </w:trPr>
                              <w:tc>
                                <w:tcPr>
                                  <w:tcW w:w="3125" w:type="dxa"/>
                                </w:tcPr>
                                <w:p w14:paraId="57CA7B35" w14:textId="77777777" w:rsidR="002C6574" w:rsidRDefault="00000000">
                                  <w:pPr>
                                    <w:pStyle w:val="TableParagraph"/>
                                    <w:spacing w:before="64" w:line="64" w:lineRule="exact"/>
                                    <w:ind w:left="1029"/>
                                    <w:jc w:val="left"/>
                                    <w:rPr>
                                      <w:rFonts w:ascii="Arial MT" w:hAnsi="Arial MT"/>
                                      <w:sz w:val="9"/>
                                    </w:rPr>
                                  </w:pPr>
                                  <w:r>
                                    <w:rPr>
                                      <w:rFonts w:ascii="Arial MT" w:hAnsi="Arial MT"/>
                                      <w:color w:val="001F60"/>
                                      <w:sz w:val="9"/>
                                    </w:rPr>
                                    <w:t>20TP</w:t>
                                  </w:r>
                                  <w:r>
                                    <w:rPr>
                                      <w:rFonts w:ascii="Arial MT" w:hAnsi="Arial MT"/>
                                      <w:color w:val="001F60"/>
                                      <w:spacing w:val="28"/>
                                      <w:sz w:val="9"/>
                                    </w:rPr>
                                    <w:t xml:space="preserve"> </w:t>
                                  </w:r>
                                  <w:r>
                                    <w:rPr>
                                      <w:rFonts w:ascii="Arial MT" w:hAnsi="Arial MT"/>
                                      <w:color w:val="001F60"/>
                                      <w:sz w:val="9"/>
                                    </w:rPr>
                                    <w:t>Ativos</w:t>
                                  </w:r>
                                  <w:r>
                                    <w:rPr>
                                      <w:rFonts w:ascii="Arial MT" w:hAnsi="Arial MT"/>
                                      <w:color w:val="001F60"/>
                                      <w:spacing w:val="2"/>
                                      <w:sz w:val="9"/>
                                    </w:rPr>
                                    <w:t xml:space="preserve"> </w:t>
                                  </w:r>
                                  <w:r>
                                    <w:rPr>
                                      <w:rFonts w:ascii="Arial MT" w:hAnsi="Arial MT"/>
                                      <w:color w:val="001F60"/>
                                      <w:sz w:val="9"/>
                                    </w:rPr>
                                    <w:t>Civis</w:t>
                                  </w:r>
                                  <w:r>
                                    <w:rPr>
                                      <w:rFonts w:ascii="Arial MT" w:hAnsi="Arial MT"/>
                                      <w:color w:val="001F60"/>
                                      <w:spacing w:val="1"/>
                                      <w:sz w:val="9"/>
                                    </w:rPr>
                                    <w:t xml:space="preserve"> </w:t>
                                  </w:r>
                                  <w:r>
                                    <w:rPr>
                                      <w:rFonts w:ascii="Arial MT" w:hAnsi="Arial MT"/>
                                      <w:color w:val="001F60"/>
                                      <w:sz w:val="9"/>
                                    </w:rPr>
                                    <w:t>da</w:t>
                                  </w:r>
                                  <w:r>
                                    <w:rPr>
                                      <w:rFonts w:ascii="Arial MT" w:hAnsi="Arial MT"/>
                                      <w:color w:val="001F60"/>
                                      <w:spacing w:val="2"/>
                                      <w:sz w:val="9"/>
                                    </w:rPr>
                                    <w:t xml:space="preserve"> </w:t>
                                  </w:r>
                                  <w:r>
                                    <w:rPr>
                                      <w:rFonts w:ascii="Arial MT" w:hAnsi="Arial MT"/>
                                      <w:color w:val="001F60"/>
                                      <w:spacing w:val="-2"/>
                                      <w:sz w:val="9"/>
                                    </w:rPr>
                                    <w:t>União</w:t>
                                  </w:r>
                                </w:p>
                              </w:tc>
                              <w:tc>
                                <w:tcPr>
                                  <w:tcW w:w="2366" w:type="dxa"/>
                                </w:tcPr>
                                <w:p w14:paraId="0DE585EF" w14:textId="77777777" w:rsidR="002C6574" w:rsidRDefault="00000000">
                                  <w:pPr>
                                    <w:pStyle w:val="TableParagraph"/>
                                    <w:spacing w:before="19" w:line="110" w:lineRule="auto"/>
                                    <w:ind w:left="105"/>
                                    <w:jc w:val="left"/>
                                    <w:rPr>
                                      <w:rFonts w:ascii="Arial MT" w:hAnsi="Arial MT"/>
                                      <w:sz w:val="9"/>
                                    </w:rPr>
                                  </w:pPr>
                                  <w:r>
                                    <w:rPr>
                                      <w:rFonts w:ascii="Arial MT" w:hAnsi="Arial MT"/>
                                      <w:color w:val="001F60"/>
                                      <w:position w:val="-5"/>
                                      <w:sz w:val="9"/>
                                    </w:rPr>
                                    <w:t>1120</w:t>
                                  </w:r>
                                  <w:r>
                                    <w:rPr>
                                      <w:rFonts w:ascii="Arial MT" w:hAnsi="Arial MT"/>
                                      <w:color w:val="001F60"/>
                                      <w:spacing w:val="66"/>
                                      <w:position w:val="-5"/>
                                      <w:sz w:val="9"/>
                                    </w:rPr>
                                    <w:t xml:space="preserve"> </w:t>
                                  </w:r>
                                  <w:r>
                                    <w:rPr>
                                      <w:rFonts w:ascii="Arial MT" w:hAnsi="Arial MT"/>
                                      <w:color w:val="001F60"/>
                                      <w:sz w:val="9"/>
                                    </w:rPr>
                                    <w:t>Recursos</w:t>
                                  </w:r>
                                  <w:r>
                                    <w:rPr>
                                      <w:rFonts w:ascii="Arial MT" w:hAnsi="Arial MT"/>
                                      <w:color w:val="001F60"/>
                                      <w:spacing w:val="1"/>
                                      <w:sz w:val="9"/>
                                    </w:rPr>
                                    <w:t xml:space="preserve"> </w:t>
                                  </w:r>
                                  <w:r>
                                    <w:rPr>
                                      <w:rFonts w:ascii="Arial MT" w:hAnsi="Arial MT"/>
                                      <w:color w:val="001F60"/>
                                      <w:sz w:val="9"/>
                                    </w:rPr>
                                    <w:t>do</w:t>
                                  </w:r>
                                  <w:r>
                                    <w:rPr>
                                      <w:rFonts w:ascii="Arial MT" w:hAnsi="Arial MT"/>
                                      <w:color w:val="001F60"/>
                                      <w:spacing w:val="5"/>
                                      <w:sz w:val="9"/>
                                    </w:rPr>
                                    <w:t xml:space="preserve"> </w:t>
                                  </w:r>
                                  <w:r>
                                    <w:rPr>
                                      <w:rFonts w:ascii="Arial MT" w:hAnsi="Arial MT"/>
                                      <w:color w:val="001F60"/>
                                      <w:sz w:val="9"/>
                                    </w:rPr>
                                    <w:t>FISTEL</w:t>
                                  </w:r>
                                  <w:r>
                                    <w:rPr>
                                      <w:rFonts w:ascii="Arial MT" w:hAnsi="Arial MT"/>
                                      <w:color w:val="001F60"/>
                                      <w:spacing w:val="1"/>
                                      <w:sz w:val="9"/>
                                    </w:rPr>
                                    <w:t xml:space="preserve"> </w:t>
                                  </w:r>
                                  <w:r>
                                    <w:rPr>
                                      <w:rFonts w:ascii="Arial MT" w:hAnsi="Arial MT"/>
                                      <w:color w:val="001F60"/>
                                      <w:sz w:val="9"/>
                                    </w:rPr>
                                    <w:t>de</w:t>
                                  </w:r>
                                  <w:r>
                                    <w:rPr>
                                      <w:rFonts w:ascii="Arial MT" w:hAnsi="Arial MT"/>
                                      <w:color w:val="001F60"/>
                                      <w:spacing w:val="3"/>
                                      <w:sz w:val="9"/>
                                    </w:rPr>
                                    <w:t xml:space="preserve"> </w:t>
                                  </w:r>
                                  <w:r>
                                    <w:rPr>
                                      <w:rFonts w:ascii="Arial MT" w:hAnsi="Arial MT"/>
                                      <w:color w:val="001F60"/>
                                      <w:sz w:val="9"/>
                                    </w:rPr>
                                    <w:t>Livre</w:t>
                                  </w:r>
                                  <w:r>
                                    <w:rPr>
                                      <w:rFonts w:ascii="Arial MT" w:hAnsi="Arial MT"/>
                                      <w:color w:val="001F60"/>
                                      <w:spacing w:val="2"/>
                                      <w:sz w:val="9"/>
                                    </w:rPr>
                                    <w:t xml:space="preserve"> </w:t>
                                  </w:r>
                                  <w:r>
                                    <w:rPr>
                                      <w:rFonts w:ascii="Arial MT" w:hAnsi="Arial MT"/>
                                      <w:color w:val="001F60"/>
                                      <w:sz w:val="9"/>
                                    </w:rPr>
                                    <w:t>Aplicação</w:t>
                                  </w:r>
                                  <w:r>
                                    <w:rPr>
                                      <w:rFonts w:ascii="Arial MT" w:hAnsi="Arial MT"/>
                                      <w:color w:val="001F60"/>
                                      <w:spacing w:val="1"/>
                                      <w:sz w:val="9"/>
                                    </w:rPr>
                                    <w:t xml:space="preserve"> </w:t>
                                  </w:r>
                                  <w:r>
                                    <w:rPr>
                                      <w:rFonts w:ascii="Arial MT" w:hAnsi="Arial MT"/>
                                      <w:color w:val="001F60"/>
                                      <w:spacing w:val="-5"/>
                                      <w:sz w:val="9"/>
                                    </w:rPr>
                                    <w:t>na</w:t>
                                  </w:r>
                                </w:p>
                              </w:tc>
                              <w:tc>
                                <w:tcPr>
                                  <w:tcW w:w="663" w:type="dxa"/>
                                </w:tcPr>
                                <w:p w14:paraId="394FE7F5" w14:textId="77777777" w:rsidR="002C6574" w:rsidRDefault="00000000">
                                  <w:pPr>
                                    <w:pStyle w:val="TableParagraph"/>
                                    <w:spacing w:before="64" w:line="64" w:lineRule="exact"/>
                                    <w:ind w:right="149"/>
                                    <w:rPr>
                                      <w:rFonts w:ascii="Arial MT"/>
                                      <w:sz w:val="9"/>
                                    </w:rPr>
                                  </w:pPr>
                                  <w:r>
                                    <w:rPr>
                                      <w:rFonts w:ascii="Arial MT"/>
                                      <w:color w:val="001F60"/>
                                      <w:spacing w:val="-2"/>
                                      <w:sz w:val="9"/>
                                    </w:rPr>
                                    <w:t>41,45</w:t>
                                  </w:r>
                                </w:p>
                              </w:tc>
                              <w:tc>
                                <w:tcPr>
                                  <w:tcW w:w="616" w:type="dxa"/>
                                </w:tcPr>
                                <w:p w14:paraId="49827C71" w14:textId="77777777" w:rsidR="002C6574" w:rsidRDefault="00000000">
                                  <w:pPr>
                                    <w:pStyle w:val="TableParagraph"/>
                                    <w:spacing w:before="64" w:line="64" w:lineRule="exact"/>
                                    <w:ind w:right="142"/>
                                    <w:rPr>
                                      <w:rFonts w:ascii="Arial MT"/>
                                      <w:sz w:val="9"/>
                                    </w:rPr>
                                  </w:pPr>
                                  <w:r>
                                    <w:rPr>
                                      <w:rFonts w:ascii="Arial MT"/>
                                      <w:color w:val="001F60"/>
                                      <w:spacing w:val="-2"/>
                                      <w:sz w:val="9"/>
                                    </w:rPr>
                                    <w:t>41,45</w:t>
                                  </w:r>
                                </w:p>
                              </w:tc>
                              <w:tc>
                                <w:tcPr>
                                  <w:tcW w:w="612" w:type="dxa"/>
                                </w:tcPr>
                                <w:p w14:paraId="2DECDE1B" w14:textId="77777777" w:rsidR="002C6574" w:rsidRDefault="00000000">
                                  <w:pPr>
                                    <w:pStyle w:val="TableParagraph"/>
                                    <w:spacing w:before="64" w:line="64" w:lineRule="exact"/>
                                    <w:ind w:right="131"/>
                                    <w:rPr>
                                      <w:rFonts w:ascii="Arial MT"/>
                                      <w:sz w:val="9"/>
                                    </w:rPr>
                                  </w:pPr>
                                  <w:r>
                                    <w:rPr>
                                      <w:rFonts w:ascii="Arial MT"/>
                                      <w:color w:val="001F60"/>
                                      <w:spacing w:val="-2"/>
                                      <w:sz w:val="9"/>
                                    </w:rPr>
                                    <w:t>41,45</w:t>
                                  </w:r>
                                </w:p>
                              </w:tc>
                              <w:tc>
                                <w:tcPr>
                                  <w:tcW w:w="494" w:type="dxa"/>
                                </w:tcPr>
                                <w:p w14:paraId="73119097" w14:textId="77777777" w:rsidR="002C6574" w:rsidRDefault="00000000">
                                  <w:pPr>
                                    <w:pStyle w:val="TableParagraph"/>
                                    <w:spacing w:before="64" w:line="64" w:lineRule="exact"/>
                                    <w:ind w:right="58"/>
                                    <w:rPr>
                                      <w:rFonts w:ascii="Arial MT"/>
                                      <w:sz w:val="9"/>
                                    </w:rPr>
                                  </w:pPr>
                                  <w:r>
                                    <w:rPr>
                                      <w:rFonts w:ascii="Arial MT"/>
                                      <w:color w:val="001F60"/>
                                      <w:spacing w:val="-2"/>
                                      <w:sz w:val="9"/>
                                    </w:rPr>
                                    <w:t>41,45</w:t>
                                  </w:r>
                                </w:p>
                              </w:tc>
                              <w:tc>
                                <w:tcPr>
                                  <w:tcW w:w="563" w:type="dxa"/>
                                </w:tcPr>
                                <w:p w14:paraId="03E4E872" w14:textId="77777777" w:rsidR="002C6574" w:rsidRDefault="00000000">
                                  <w:pPr>
                                    <w:pStyle w:val="TableParagraph"/>
                                    <w:spacing w:before="64" w:line="64" w:lineRule="exact"/>
                                    <w:ind w:left="10" w:right="27"/>
                                    <w:jc w:val="center"/>
                                    <w:rPr>
                                      <w:rFonts w:ascii="Arial MT"/>
                                      <w:sz w:val="9"/>
                                    </w:rPr>
                                  </w:pPr>
                                  <w:r>
                                    <w:rPr>
                                      <w:rFonts w:ascii="Arial MT"/>
                                      <w:color w:val="001F60"/>
                                      <w:spacing w:val="-4"/>
                                      <w:sz w:val="9"/>
                                    </w:rPr>
                                    <w:t>100%</w:t>
                                  </w:r>
                                </w:p>
                              </w:tc>
                              <w:tc>
                                <w:tcPr>
                                  <w:tcW w:w="553" w:type="dxa"/>
                                </w:tcPr>
                                <w:p w14:paraId="7FB60CFD" w14:textId="77777777" w:rsidR="002C6574" w:rsidRDefault="00000000">
                                  <w:pPr>
                                    <w:pStyle w:val="TableParagraph"/>
                                    <w:spacing w:before="64" w:line="64" w:lineRule="exact"/>
                                    <w:ind w:left="9" w:right="9"/>
                                    <w:jc w:val="center"/>
                                    <w:rPr>
                                      <w:rFonts w:ascii="Arial MT"/>
                                      <w:sz w:val="9"/>
                                    </w:rPr>
                                  </w:pPr>
                                  <w:r>
                                    <w:rPr>
                                      <w:rFonts w:ascii="Arial MT"/>
                                      <w:color w:val="001F60"/>
                                      <w:spacing w:val="-4"/>
                                      <w:sz w:val="9"/>
                                    </w:rPr>
                                    <w:t>100%</w:t>
                                  </w:r>
                                </w:p>
                              </w:tc>
                            </w:tr>
                            <w:tr w:rsidR="002C6574" w14:paraId="477F4251" w14:textId="77777777">
                              <w:trPr>
                                <w:trHeight w:val="87"/>
                              </w:trPr>
                              <w:tc>
                                <w:tcPr>
                                  <w:tcW w:w="3125" w:type="dxa"/>
                                  <w:tcBorders>
                                    <w:bottom w:val="single" w:sz="2" w:space="0" w:color="000000"/>
                                  </w:tcBorders>
                                </w:tcPr>
                                <w:p w14:paraId="2E0EA1BA" w14:textId="77777777" w:rsidR="002C6574" w:rsidRDefault="002C6574">
                                  <w:pPr>
                                    <w:pStyle w:val="TableParagraph"/>
                                    <w:jc w:val="left"/>
                                    <w:rPr>
                                      <w:rFonts w:ascii="Times New Roman"/>
                                      <w:sz w:val="4"/>
                                    </w:rPr>
                                  </w:pPr>
                                </w:p>
                              </w:tc>
                              <w:tc>
                                <w:tcPr>
                                  <w:tcW w:w="2366" w:type="dxa"/>
                                  <w:tcBorders>
                                    <w:bottom w:val="single" w:sz="2" w:space="0" w:color="000000"/>
                                  </w:tcBorders>
                                </w:tcPr>
                                <w:p w14:paraId="025F2541" w14:textId="77777777" w:rsidR="002C6574" w:rsidRDefault="00000000">
                                  <w:pPr>
                                    <w:pStyle w:val="TableParagraph"/>
                                    <w:spacing w:line="67" w:lineRule="exact"/>
                                    <w:ind w:left="398"/>
                                    <w:jc w:val="left"/>
                                    <w:rPr>
                                      <w:rFonts w:ascii="Arial MT"/>
                                      <w:sz w:val="9"/>
                                    </w:rPr>
                                  </w:pPr>
                                  <w:r>
                                    <w:rPr>
                                      <w:rFonts w:ascii="Arial MT"/>
                                      <w:color w:val="001F60"/>
                                      <w:sz w:val="9"/>
                                    </w:rPr>
                                    <w:t>ANATEL</w:t>
                                  </w:r>
                                  <w:r>
                                    <w:rPr>
                                      <w:rFonts w:ascii="Arial MT"/>
                                      <w:color w:val="001F60"/>
                                      <w:spacing w:val="3"/>
                                      <w:sz w:val="9"/>
                                    </w:rPr>
                                    <w:t xml:space="preserve"> </w:t>
                                  </w:r>
                                  <w:r>
                                    <w:rPr>
                                      <w:rFonts w:ascii="Arial MT"/>
                                      <w:color w:val="001F60"/>
                                      <w:sz w:val="9"/>
                                    </w:rPr>
                                    <w:t>e</w:t>
                                  </w:r>
                                  <w:r>
                                    <w:rPr>
                                      <w:rFonts w:ascii="Arial MT"/>
                                      <w:color w:val="001F60"/>
                                      <w:spacing w:val="3"/>
                                      <w:sz w:val="9"/>
                                    </w:rPr>
                                    <w:t xml:space="preserve"> </w:t>
                                  </w:r>
                                  <w:r>
                                    <w:rPr>
                                      <w:rFonts w:ascii="Arial MT"/>
                                      <w:color w:val="001F60"/>
                                      <w:sz w:val="9"/>
                                    </w:rPr>
                                    <w:t>no</w:t>
                                  </w:r>
                                  <w:r>
                                    <w:rPr>
                                      <w:rFonts w:ascii="Arial MT"/>
                                      <w:color w:val="001F60"/>
                                      <w:spacing w:val="3"/>
                                      <w:sz w:val="9"/>
                                    </w:rPr>
                                    <w:t xml:space="preserve"> </w:t>
                                  </w:r>
                                  <w:r>
                                    <w:rPr>
                                      <w:rFonts w:ascii="Arial MT"/>
                                      <w:color w:val="001F60"/>
                                      <w:sz w:val="9"/>
                                    </w:rPr>
                                    <w:t>Tesouro</w:t>
                                  </w:r>
                                  <w:r>
                                    <w:rPr>
                                      <w:rFonts w:ascii="Arial MT"/>
                                      <w:color w:val="001F60"/>
                                      <w:spacing w:val="3"/>
                                      <w:sz w:val="9"/>
                                    </w:rPr>
                                    <w:t xml:space="preserve"> </w:t>
                                  </w:r>
                                  <w:r>
                                    <w:rPr>
                                      <w:rFonts w:ascii="Arial MT"/>
                                      <w:color w:val="001F60"/>
                                      <w:spacing w:val="-2"/>
                                      <w:sz w:val="9"/>
                                    </w:rPr>
                                    <w:t>Nacional</w:t>
                                  </w:r>
                                </w:p>
                              </w:tc>
                              <w:tc>
                                <w:tcPr>
                                  <w:tcW w:w="663" w:type="dxa"/>
                                  <w:tcBorders>
                                    <w:bottom w:val="single" w:sz="2" w:space="0" w:color="000000"/>
                                  </w:tcBorders>
                                </w:tcPr>
                                <w:p w14:paraId="1724E96F" w14:textId="77777777" w:rsidR="002C6574" w:rsidRDefault="002C6574">
                                  <w:pPr>
                                    <w:pStyle w:val="TableParagraph"/>
                                    <w:jc w:val="left"/>
                                    <w:rPr>
                                      <w:rFonts w:ascii="Times New Roman"/>
                                      <w:sz w:val="4"/>
                                    </w:rPr>
                                  </w:pPr>
                                </w:p>
                              </w:tc>
                              <w:tc>
                                <w:tcPr>
                                  <w:tcW w:w="616" w:type="dxa"/>
                                  <w:tcBorders>
                                    <w:bottom w:val="single" w:sz="2" w:space="0" w:color="000000"/>
                                  </w:tcBorders>
                                </w:tcPr>
                                <w:p w14:paraId="7E1C115A" w14:textId="77777777" w:rsidR="002C6574" w:rsidRDefault="002C6574">
                                  <w:pPr>
                                    <w:pStyle w:val="TableParagraph"/>
                                    <w:jc w:val="left"/>
                                    <w:rPr>
                                      <w:rFonts w:ascii="Times New Roman"/>
                                      <w:sz w:val="4"/>
                                    </w:rPr>
                                  </w:pPr>
                                </w:p>
                              </w:tc>
                              <w:tc>
                                <w:tcPr>
                                  <w:tcW w:w="612" w:type="dxa"/>
                                  <w:tcBorders>
                                    <w:bottom w:val="single" w:sz="2" w:space="0" w:color="000000"/>
                                  </w:tcBorders>
                                </w:tcPr>
                                <w:p w14:paraId="15D2AC39" w14:textId="77777777" w:rsidR="002C6574" w:rsidRDefault="002C6574">
                                  <w:pPr>
                                    <w:pStyle w:val="TableParagraph"/>
                                    <w:jc w:val="left"/>
                                    <w:rPr>
                                      <w:rFonts w:ascii="Times New Roman"/>
                                      <w:sz w:val="4"/>
                                    </w:rPr>
                                  </w:pPr>
                                </w:p>
                              </w:tc>
                              <w:tc>
                                <w:tcPr>
                                  <w:tcW w:w="494" w:type="dxa"/>
                                  <w:tcBorders>
                                    <w:bottom w:val="single" w:sz="2" w:space="0" w:color="000000"/>
                                  </w:tcBorders>
                                </w:tcPr>
                                <w:p w14:paraId="4E25CA5E" w14:textId="77777777" w:rsidR="002C6574" w:rsidRDefault="002C6574">
                                  <w:pPr>
                                    <w:pStyle w:val="TableParagraph"/>
                                    <w:jc w:val="left"/>
                                    <w:rPr>
                                      <w:rFonts w:ascii="Times New Roman"/>
                                      <w:sz w:val="4"/>
                                    </w:rPr>
                                  </w:pPr>
                                </w:p>
                              </w:tc>
                              <w:tc>
                                <w:tcPr>
                                  <w:tcW w:w="563" w:type="dxa"/>
                                  <w:tcBorders>
                                    <w:bottom w:val="single" w:sz="2" w:space="0" w:color="000000"/>
                                  </w:tcBorders>
                                </w:tcPr>
                                <w:p w14:paraId="1AD152D0" w14:textId="77777777" w:rsidR="002C6574" w:rsidRDefault="002C6574">
                                  <w:pPr>
                                    <w:pStyle w:val="TableParagraph"/>
                                    <w:jc w:val="left"/>
                                    <w:rPr>
                                      <w:rFonts w:ascii="Times New Roman"/>
                                      <w:sz w:val="4"/>
                                    </w:rPr>
                                  </w:pPr>
                                </w:p>
                              </w:tc>
                              <w:tc>
                                <w:tcPr>
                                  <w:tcW w:w="553" w:type="dxa"/>
                                  <w:tcBorders>
                                    <w:bottom w:val="single" w:sz="2" w:space="0" w:color="000000"/>
                                  </w:tcBorders>
                                </w:tcPr>
                                <w:p w14:paraId="6B62C728" w14:textId="77777777" w:rsidR="002C6574" w:rsidRDefault="002C6574">
                                  <w:pPr>
                                    <w:pStyle w:val="TableParagraph"/>
                                    <w:jc w:val="left"/>
                                    <w:rPr>
                                      <w:rFonts w:ascii="Times New Roman"/>
                                      <w:sz w:val="4"/>
                                    </w:rPr>
                                  </w:pPr>
                                </w:p>
                              </w:tc>
                            </w:tr>
                            <w:tr w:rsidR="002C6574" w14:paraId="47DD1783" w14:textId="77777777">
                              <w:trPr>
                                <w:trHeight w:val="350"/>
                              </w:trPr>
                              <w:tc>
                                <w:tcPr>
                                  <w:tcW w:w="3125" w:type="dxa"/>
                                  <w:tcBorders>
                                    <w:bottom w:val="single" w:sz="2" w:space="0" w:color="000000"/>
                                  </w:tcBorders>
                                </w:tcPr>
                                <w:p w14:paraId="781FEFC5" w14:textId="77777777" w:rsidR="002C6574" w:rsidRDefault="00000000">
                                  <w:pPr>
                                    <w:pStyle w:val="TableParagraph"/>
                                    <w:spacing w:before="1" w:line="273" w:lineRule="auto"/>
                                    <w:ind w:left="1039" w:right="68" w:firstLine="266"/>
                                    <w:jc w:val="left"/>
                                    <w:rPr>
                                      <w:rFonts w:ascii="Arial MT" w:hAnsi="Arial MT"/>
                                      <w:sz w:val="9"/>
                                    </w:rPr>
                                  </w:pPr>
                                  <w:r>
                                    <w:rPr>
                                      <w:rFonts w:ascii="Arial MT" w:hAnsi="Arial MT"/>
                                      <w:color w:val="001F60"/>
                                      <w:sz w:val="9"/>
                                    </w:rPr>
                                    <w:t>Assistência Médica e Odontológica aos</w:t>
                                  </w:r>
                                  <w:r>
                                    <w:rPr>
                                      <w:rFonts w:ascii="Arial MT" w:hAnsi="Arial MT"/>
                                      <w:color w:val="001F60"/>
                                      <w:spacing w:val="40"/>
                                      <w:sz w:val="9"/>
                                    </w:rPr>
                                    <w:t xml:space="preserve"> </w:t>
                                  </w:r>
                                  <w:r>
                                    <w:rPr>
                                      <w:rFonts w:ascii="Arial MT" w:hAnsi="Arial MT"/>
                                      <w:color w:val="001F60"/>
                                      <w:sz w:val="9"/>
                                    </w:rPr>
                                    <w:t>2004</w:t>
                                  </w:r>
                                  <w:r>
                                    <w:rPr>
                                      <w:rFonts w:ascii="Arial MT" w:hAnsi="Arial MT"/>
                                      <w:color w:val="001F60"/>
                                      <w:spacing w:val="40"/>
                                      <w:sz w:val="9"/>
                                    </w:rPr>
                                    <w:t xml:space="preserve"> </w:t>
                                  </w:r>
                                  <w:r>
                                    <w:rPr>
                                      <w:rFonts w:ascii="Arial MT" w:hAnsi="Arial MT"/>
                                      <w:color w:val="001F60"/>
                                      <w:sz w:val="9"/>
                                    </w:rPr>
                                    <w:t>Servidores Civis, Empregados, Militares e</w:t>
                                  </w:r>
                                </w:p>
                                <w:p w14:paraId="7C3E4A4E" w14:textId="77777777" w:rsidR="002C6574" w:rsidRDefault="00000000">
                                  <w:pPr>
                                    <w:pStyle w:val="TableParagraph"/>
                                    <w:spacing w:before="2" w:line="89" w:lineRule="exact"/>
                                    <w:ind w:left="1305"/>
                                    <w:jc w:val="left"/>
                                    <w:rPr>
                                      <w:rFonts w:ascii="Arial MT"/>
                                      <w:sz w:val="9"/>
                                    </w:rPr>
                                  </w:pPr>
                                  <w:r>
                                    <w:rPr>
                                      <w:rFonts w:ascii="Arial MT"/>
                                      <w:color w:val="001F60"/>
                                      <w:sz w:val="9"/>
                                    </w:rPr>
                                    <w:t>Seus</w:t>
                                  </w:r>
                                  <w:r>
                                    <w:rPr>
                                      <w:rFonts w:ascii="Arial MT"/>
                                      <w:color w:val="001F60"/>
                                      <w:spacing w:val="4"/>
                                      <w:sz w:val="9"/>
                                    </w:rPr>
                                    <w:t xml:space="preserve"> </w:t>
                                  </w:r>
                                  <w:r>
                                    <w:rPr>
                                      <w:rFonts w:ascii="Arial MT"/>
                                      <w:color w:val="001F60"/>
                                      <w:spacing w:val="-2"/>
                                      <w:sz w:val="9"/>
                                    </w:rPr>
                                    <w:t>Dependentes</w:t>
                                  </w:r>
                                </w:p>
                              </w:tc>
                              <w:tc>
                                <w:tcPr>
                                  <w:tcW w:w="2366" w:type="dxa"/>
                                  <w:tcBorders>
                                    <w:bottom w:val="single" w:sz="2" w:space="0" w:color="000000"/>
                                  </w:tcBorders>
                                </w:tcPr>
                                <w:p w14:paraId="7CB58858" w14:textId="77777777" w:rsidR="002C6574" w:rsidRDefault="002C6574">
                                  <w:pPr>
                                    <w:pStyle w:val="TableParagraph"/>
                                    <w:spacing w:before="9"/>
                                    <w:jc w:val="left"/>
                                    <w:rPr>
                                      <w:rFonts w:ascii="Calibri"/>
                                      <w:sz w:val="9"/>
                                    </w:rPr>
                                  </w:pPr>
                                </w:p>
                                <w:p w14:paraId="5B3C9B77" w14:textId="77777777" w:rsidR="002C6574" w:rsidRDefault="00000000">
                                  <w:pPr>
                                    <w:pStyle w:val="TableParagraph"/>
                                    <w:ind w:left="105"/>
                                    <w:jc w:val="left"/>
                                    <w:rPr>
                                      <w:rFonts w:ascii="Arial MT" w:hAnsi="Arial MT"/>
                                      <w:sz w:val="9"/>
                                    </w:rPr>
                                  </w:pPr>
                                  <w:r>
                                    <w:rPr>
                                      <w:rFonts w:ascii="Arial MT" w:hAnsi="Arial MT"/>
                                      <w:color w:val="001F60"/>
                                      <w:sz w:val="9"/>
                                    </w:rPr>
                                    <w:t>1000</w:t>
                                  </w:r>
                                  <w:r>
                                    <w:rPr>
                                      <w:rFonts w:ascii="Arial MT" w:hAnsi="Arial MT"/>
                                      <w:color w:val="001F60"/>
                                      <w:spacing w:val="67"/>
                                      <w:sz w:val="9"/>
                                    </w:rPr>
                                    <w:t xml:space="preserve"> </w:t>
                                  </w: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Livres</w:t>
                                  </w:r>
                                  <w:r>
                                    <w:rPr>
                                      <w:rFonts w:ascii="Arial MT" w:hAnsi="Arial MT"/>
                                      <w:color w:val="001F60"/>
                                      <w:spacing w:val="1"/>
                                      <w:sz w:val="9"/>
                                    </w:rPr>
                                    <w:t xml:space="preserve"> </w:t>
                                  </w:r>
                                  <w:r>
                                    <w:rPr>
                                      <w:rFonts w:ascii="Arial MT" w:hAnsi="Arial MT"/>
                                      <w:color w:val="001F60"/>
                                      <w:sz w:val="9"/>
                                    </w:rPr>
                                    <w:t>da</w:t>
                                  </w:r>
                                  <w:r>
                                    <w:rPr>
                                      <w:rFonts w:ascii="Arial MT" w:hAnsi="Arial MT"/>
                                      <w:color w:val="001F60"/>
                                      <w:spacing w:val="2"/>
                                      <w:sz w:val="9"/>
                                    </w:rPr>
                                    <w:t xml:space="preserve"> </w:t>
                                  </w:r>
                                  <w:r>
                                    <w:rPr>
                                      <w:rFonts w:ascii="Arial MT" w:hAnsi="Arial MT"/>
                                      <w:color w:val="001F60"/>
                                      <w:spacing w:val="-2"/>
                                      <w:sz w:val="9"/>
                                    </w:rPr>
                                    <w:t>União</w:t>
                                  </w:r>
                                </w:p>
                              </w:tc>
                              <w:tc>
                                <w:tcPr>
                                  <w:tcW w:w="663" w:type="dxa"/>
                                  <w:tcBorders>
                                    <w:bottom w:val="single" w:sz="2" w:space="0" w:color="000000"/>
                                  </w:tcBorders>
                                </w:tcPr>
                                <w:p w14:paraId="3F251C0B" w14:textId="77777777" w:rsidR="002C6574" w:rsidRDefault="002C6574">
                                  <w:pPr>
                                    <w:pStyle w:val="TableParagraph"/>
                                    <w:spacing w:before="9"/>
                                    <w:jc w:val="left"/>
                                    <w:rPr>
                                      <w:rFonts w:ascii="Calibri"/>
                                      <w:sz w:val="9"/>
                                    </w:rPr>
                                  </w:pPr>
                                </w:p>
                                <w:p w14:paraId="0DB1967C" w14:textId="77777777" w:rsidR="002C6574" w:rsidRDefault="00000000">
                                  <w:pPr>
                                    <w:pStyle w:val="TableParagraph"/>
                                    <w:ind w:right="148"/>
                                    <w:rPr>
                                      <w:rFonts w:ascii="Arial MT"/>
                                      <w:sz w:val="9"/>
                                    </w:rPr>
                                  </w:pPr>
                                  <w:r>
                                    <w:rPr>
                                      <w:rFonts w:ascii="Arial MT"/>
                                      <w:color w:val="001F60"/>
                                      <w:spacing w:val="-4"/>
                                      <w:sz w:val="9"/>
                                    </w:rPr>
                                    <w:t>3,98</w:t>
                                  </w:r>
                                </w:p>
                              </w:tc>
                              <w:tc>
                                <w:tcPr>
                                  <w:tcW w:w="616" w:type="dxa"/>
                                  <w:tcBorders>
                                    <w:bottom w:val="single" w:sz="2" w:space="0" w:color="000000"/>
                                  </w:tcBorders>
                                </w:tcPr>
                                <w:p w14:paraId="70E6C745" w14:textId="77777777" w:rsidR="002C6574" w:rsidRDefault="002C6574">
                                  <w:pPr>
                                    <w:pStyle w:val="TableParagraph"/>
                                    <w:spacing w:before="9"/>
                                    <w:jc w:val="left"/>
                                    <w:rPr>
                                      <w:rFonts w:ascii="Calibri"/>
                                      <w:sz w:val="9"/>
                                    </w:rPr>
                                  </w:pPr>
                                </w:p>
                                <w:p w14:paraId="6077930E" w14:textId="77777777" w:rsidR="002C6574" w:rsidRDefault="00000000">
                                  <w:pPr>
                                    <w:pStyle w:val="TableParagraph"/>
                                    <w:ind w:right="142"/>
                                    <w:rPr>
                                      <w:rFonts w:ascii="Arial MT"/>
                                      <w:sz w:val="9"/>
                                    </w:rPr>
                                  </w:pPr>
                                  <w:r>
                                    <w:rPr>
                                      <w:rFonts w:ascii="Arial MT"/>
                                      <w:color w:val="001F60"/>
                                      <w:spacing w:val="-4"/>
                                      <w:sz w:val="9"/>
                                    </w:rPr>
                                    <w:t>3,98</w:t>
                                  </w:r>
                                </w:p>
                              </w:tc>
                              <w:tc>
                                <w:tcPr>
                                  <w:tcW w:w="612" w:type="dxa"/>
                                  <w:tcBorders>
                                    <w:bottom w:val="single" w:sz="2" w:space="0" w:color="000000"/>
                                  </w:tcBorders>
                                </w:tcPr>
                                <w:p w14:paraId="66517CFD" w14:textId="77777777" w:rsidR="002C6574" w:rsidRDefault="002C6574">
                                  <w:pPr>
                                    <w:pStyle w:val="TableParagraph"/>
                                    <w:spacing w:before="9"/>
                                    <w:jc w:val="left"/>
                                    <w:rPr>
                                      <w:rFonts w:ascii="Calibri"/>
                                      <w:sz w:val="9"/>
                                    </w:rPr>
                                  </w:pPr>
                                </w:p>
                                <w:p w14:paraId="5F34EE3E" w14:textId="77777777" w:rsidR="002C6574" w:rsidRDefault="00000000">
                                  <w:pPr>
                                    <w:pStyle w:val="TableParagraph"/>
                                    <w:ind w:right="131"/>
                                    <w:rPr>
                                      <w:rFonts w:ascii="Arial MT"/>
                                      <w:sz w:val="9"/>
                                    </w:rPr>
                                  </w:pPr>
                                  <w:r>
                                    <w:rPr>
                                      <w:rFonts w:ascii="Arial MT"/>
                                      <w:color w:val="001F60"/>
                                      <w:spacing w:val="-4"/>
                                      <w:sz w:val="9"/>
                                    </w:rPr>
                                    <w:t>3,98</w:t>
                                  </w:r>
                                </w:p>
                              </w:tc>
                              <w:tc>
                                <w:tcPr>
                                  <w:tcW w:w="494" w:type="dxa"/>
                                  <w:tcBorders>
                                    <w:bottom w:val="single" w:sz="2" w:space="0" w:color="000000"/>
                                  </w:tcBorders>
                                </w:tcPr>
                                <w:p w14:paraId="0CA4B5CA" w14:textId="77777777" w:rsidR="002C6574" w:rsidRDefault="002C6574">
                                  <w:pPr>
                                    <w:pStyle w:val="TableParagraph"/>
                                    <w:spacing w:before="9"/>
                                    <w:jc w:val="left"/>
                                    <w:rPr>
                                      <w:rFonts w:ascii="Calibri"/>
                                      <w:sz w:val="9"/>
                                    </w:rPr>
                                  </w:pPr>
                                </w:p>
                                <w:p w14:paraId="25DEC420" w14:textId="77777777" w:rsidR="002C6574" w:rsidRDefault="00000000">
                                  <w:pPr>
                                    <w:pStyle w:val="TableParagraph"/>
                                    <w:ind w:right="58"/>
                                    <w:rPr>
                                      <w:rFonts w:ascii="Arial MT"/>
                                      <w:sz w:val="9"/>
                                    </w:rPr>
                                  </w:pPr>
                                  <w:r>
                                    <w:rPr>
                                      <w:rFonts w:ascii="Arial MT"/>
                                      <w:color w:val="001F60"/>
                                      <w:spacing w:val="-4"/>
                                      <w:sz w:val="9"/>
                                    </w:rPr>
                                    <w:t>3,98</w:t>
                                  </w:r>
                                </w:p>
                              </w:tc>
                              <w:tc>
                                <w:tcPr>
                                  <w:tcW w:w="563" w:type="dxa"/>
                                  <w:tcBorders>
                                    <w:bottom w:val="single" w:sz="2" w:space="0" w:color="000000"/>
                                  </w:tcBorders>
                                </w:tcPr>
                                <w:p w14:paraId="6E16CCE0" w14:textId="77777777" w:rsidR="002C6574" w:rsidRDefault="002C6574">
                                  <w:pPr>
                                    <w:pStyle w:val="TableParagraph"/>
                                    <w:spacing w:before="9"/>
                                    <w:jc w:val="left"/>
                                    <w:rPr>
                                      <w:rFonts w:ascii="Calibri"/>
                                      <w:sz w:val="9"/>
                                    </w:rPr>
                                  </w:pPr>
                                </w:p>
                                <w:p w14:paraId="7BBE91A0" w14:textId="77777777" w:rsidR="002C6574" w:rsidRDefault="00000000">
                                  <w:pPr>
                                    <w:pStyle w:val="TableParagraph"/>
                                    <w:ind w:left="10" w:right="27"/>
                                    <w:jc w:val="center"/>
                                    <w:rPr>
                                      <w:rFonts w:ascii="Arial MT"/>
                                      <w:sz w:val="9"/>
                                    </w:rPr>
                                  </w:pPr>
                                  <w:r>
                                    <w:rPr>
                                      <w:rFonts w:ascii="Arial MT"/>
                                      <w:color w:val="001F60"/>
                                      <w:spacing w:val="-4"/>
                                      <w:sz w:val="9"/>
                                    </w:rPr>
                                    <w:t>100%</w:t>
                                  </w:r>
                                </w:p>
                              </w:tc>
                              <w:tc>
                                <w:tcPr>
                                  <w:tcW w:w="553" w:type="dxa"/>
                                  <w:tcBorders>
                                    <w:bottom w:val="single" w:sz="2" w:space="0" w:color="000000"/>
                                  </w:tcBorders>
                                </w:tcPr>
                                <w:p w14:paraId="58E5A8D3" w14:textId="77777777" w:rsidR="002C6574" w:rsidRDefault="002C6574">
                                  <w:pPr>
                                    <w:pStyle w:val="TableParagraph"/>
                                    <w:spacing w:before="9"/>
                                    <w:jc w:val="left"/>
                                    <w:rPr>
                                      <w:rFonts w:ascii="Calibri"/>
                                      <w:sz w:val="9"/>
                                    </w:rPr>
                                  </w:pPr>
                                </w:p>
                                <w:p w14:paraId="7D8A90AC" w14:textId="77777777" w:rsidR="002C6574" w:rsidRDefault="00000000">
                                  <w:pPr>
                                    <w:pStyle w:val="TableParagraph"/>
                                    <w:ind w:left="9" w:right="9"/>
                                    <w:jc w:val="center"/>
                                    <w:rPr>
                                      <w:rFonts w:ascii="Arial MT"/>
                                      <w:sz w:val="9"/>
                                    </w:rPr>
                                  </w:pPr>
                                  <w:r>
                                    <w:rPr>
                                      <w:rFonts w:ascii="Arial MT"/>
                                      <w:color w:val="001F60"/>
                                      <w:spacing w:val="-4"/>
                                      <w:sz w:val="9"/>
                                    </w:rPr>
                                    <w:t>100%</w:t>
                                  </w:r>
                                </w:p>
                              </w:tc>
                            </w:tr>
                            <w:tr w:rsidR="002C6574" w14:paraId="12518A0B" w14:textId="77777777">
                              <w:trPr>
                                <w:trHeight w:val="345"/>
                              </w:trPr>
                              <w:tc>
                                <w:tcPr>
                                  <w:tcW w:w="5491" w:type="dxa"/>
                                  <w:gridSpan w:val="2"/>
                                  <w:tcBorders>
                                    <w:bottom w:val="single" w:sz="4" w:space="0" w:color="001F60"/>
                                  </w:tcBorders>
                                </w:tcPr>
                                <w:p w14:paraId="07DBCE57" w14:textId="77777777" w:rsidR="002C6574" w:rsidRDefault="00000000">
                                  <w:pPr>
                                    <w:pStyle w:val="TableParagraph"/>
                                    <w:spacing w:before="59"/>
                                    <w:ind w:left="1034"/>
                                    <w:jc w:val="left"/>
                                    <w:rPr>
                                      <w:rFonts w:ascii="Arial MT" w:hAnsi="Arial MT"/>
                                      <w:position w:val="-5"/>
                                      <w:sz w:val="9"/>
                                    </w:rPr>
                                  </w:pPr>
                                  <w:r>
                                    <w:rPr>
                                      <w:rFonts w:ascii="Arial MT" w:hAnsi="Arial MT"/>
                                      <w:color w:val="001F60"/>
                                      <w:position w:val="-5"/>
                                      <w:sz w:val="9"/>
                                    </w:rPr>
                                    <w:t>212B</w:t>
                                  </w:r>
                                  <w:r>
                                    <w:rPr>
                                      <w:rFonts w:ascii="Arial MT" w:hAnsi="Arial MT"/>
                                      <w:color w:val="001F60"/>
                                      <w:spacing w:val="34"/>
                                      <w:position w:val="-5"/>
                                      <w:sz w:val="9"/>
                                    </w:rPr>
                                    <w:t xml:space="preserve"> </w:t>
                                  </w:r>
                                  <w:r>
                                    <w:rPr>
                                      <w:rFonts w:ascii="Arial MT" w:hAnsi="Arial MT"/>
                                      <w:color w:val="001F60"/>
                                      <w:sz w:val="9"/>
                                    </w:rPr>
                                    <w:t>Benefícios</w:t>
                                  </w:r>
                                  <w:r>
                                    <w:rPr>
                                      <w:rFonts w:ascii="Arial MT" w:hAnsi="Arial MT"/>
                                      <w:color w:val="001F60"/>
                                      <w:spacing w:val="2"/>
                                      <w:sz w:val="9"/>
                                    </w:rPr>
                                    <w:t xml:space="preserve"> </w:t>
                                  </w:r>
                                  <w:r>
                                    <w:rPr>
                                      <w:rFonts w:ascii="Arial MT" w:hAnsi="Arial MT"/>
                                      <w:color w:val="001F60"/>
                                      <w:sz w:val="9"/>
                                    </w:rPr>
                                    <w:t>Obrigatórios</w:t>
                                  </w:r>
                                  <w:r>
                                    <w:rPr>
                                      <w:rFonts w:ascii="Arial MT" w:hAnsi="Arial MT"/>
                                      <w:color w:val="001F60"/>
                                      <w:spacing w:val="2"/>
                                      <w:sz w:val="9"/>
                                    </w:rPr>
                                    <w:t xml:space="preserve"> </w:t>
                                  </w:r>
                                  <w:r>
                                    <w:rPr>
                                      <w:rFonts w:ascii="Arial MT" w:hAnsi="Arial MT"/>
                                      <w:color w:val="001F60"/>
                                      <w:sz w:val="9"/>
                                    </w:rPr>
                                    <w:t>aos</w:t>
                                  </w:r>
                                  <w:r>
                                    <w:rPr>
                                      <w:rFonts w:ascii="Arial MT" w:hAnsi="Arial MT"/>
                                      <w:color w:val="001F60"/>
                                      <w:spacing w:val="2"/>
                                      <w:sz w:val="9"/>
                                    </w:rPr>
                                    <w:t xml:space="preserve"> </w:t>
                                  </w:r>
                                  <w:r>
                                    <w:rPr>
                                      <w:rFonts w:ascii="Arial MT" w:hAnsi="Arial MT"/>
                                      <w:color w:val="001F60"/>
                                      <w:sz w:val="9"/>
                                    </w:rPr>
                                    <w:t>Servidores</w:t>
                                  </w:r>
                                  <w:r>
                                    <w:rPr>
                                      <w:rFonts w:ascii="Arial MT" w:hAnsi="Arial MT"/>
                                      <w:color w:val="001F60"/>
                                      <w:spacing w:val="2"/>
                                      <w:sz w:val="9"/>
                                    </w:rPr>
                                    <w:t xml:space="preserve"> </w:t>
                                  </w:r>
                                  <w:r>
                                    <w:rPr>
                                      <w:rFonts w:ascii="Arial MT" w:hAnsi="Arial MT"/>
                                      <w:color w:val="001F60"/>
                                      <w:sz w:val="9"/>
                                    </w:rPr>
                                    <w:t>Civis,</w:t>
                                  </w:r>
                                  <w:r>
                                    <w:rPr>
                                      <w:rFonts w:ascii="Arial MT" w:hAnsi="Arial MT"/>
                                      <w:color w:val="001F60"/>
                                      <w:spacing w:val="45"/>
                                      <w:sz w:val="9"/>
                                    </w:rPr>
                                    <w:t xml:space="preserve"> </w:t>
                                  </w:r>
                                  <w:r>
                                    <w:rPr>
                                      <w:rFonts w:ascii="Arial MT" w:hAnsi="Arial MT"/>
                                      <w:color w:val="001F60"/>
                                      <w:position w:val="-5"/>
                                      <w:sz w:val="9"/>
                                    </w:rPr>
                                    <w:t>1000</w:t>
                                  </w:r>
                                  <w:r>
                                    <w:rPr>
                                      <w:rFonts w:ascii="Arial MT" w:hAnsi="Arial MT"/>
                                      <w:color w:val="001F60"/>
                                      <w:spacing w:val="69"/>
                                      <w:position w:val="-5"/>
                                      <w:sz w:val="9"/>
                                    </w:rPr>
                                    <w:t xml:space="preserve"> </w:t>
                                  </w:r>
                                  <w:r>
                                    <w:rPr>
                                      <w:rFonts w:ascii="Arial MT" w:hAnsi="Arial MT"/>
                                      <w:color w:val="001F60"/>
                                      <w:position w:val="-5"/>
                                      <w:sz w:val="9"/>
                                    </w:rPr>
                                    <w:t>Recursos</w:t>
                                  </w:r>
                                  <w:r>
                                    <w:rPr>
                                      <w:rFonts w:ascii="Arial MT" w:hAnsi="Arial MT"/>
                                      <w:color w:val="001F60"/>
                                      <w:spacing w:val="2"/>
                                      <w:position w:val="-5"/>
                                      <w:sz w:val="9"/>
                                    </w:rPr>
                                    <w:t xml:space="preserve"> </w:t>
                                  </w:r>
                                  <w:r>
                                    <w:rPr>
                                      <w:rFonts w:ascii="Arial MT" w:hAnsi="Arial MT"/>
                                      <w:color w:val="001F60"/>
                                      <w:position w:val="-5"/>
                                      <w:sz w:val="9"/>
                                    </w:rPr>
                                    <w:t>Livres</w:t>
                                  </w:r>
                                  <w:r>
                                    <w:rPr>
                                      <w:rFonts w:ascii="Arial MT" w:hAnsi="Arial MT"/>
                                      <w:color w:val="001F60"/>
                                      <w:spacing w:val="2"/>
                                      <w:position w:val="-5"/>
                                      <w:sz w:val="9"/>
                                    </w:rPr>
                                    <w:t xml:space="preserve"> </w:t>
                                  </w:r>
                                  <w:r>
                                    <w:rPr>
                                      <w:rFonts w:ascii="Arial MT" w:hAnsi="Arial MT"/>
                                      <w:color w:val="001F60"/>
                                      <w:position w:val="-5"/>
                                      <w:sz w:val="9"/>
                                    </w:rPr>
                                    <w:t>da</w:t>
                                  </w:r>
                                  <w:r>
                                    <w:rPr>
                                      <w:rFonts w:ascii="Arial MT" w:hAnsi="Arial MT"/>
                                      <w:color w:val="001F60"/>
                                      <w:spacing w:val="2"/>
                                      <w:position w:val="-5"/>
                                      <w:sz w:val="9"/>
                                    </w:rPr>
                                    <w:t xml:space="preserve"> </w:t>
                                  </w:r>
                                  <w:r>
                                    <w:rPr>
                                      <w:rFonts w:ascii="Arial MT" w:hAnsi="Arial MT"/>
                                      <w:color w:val="001F60"/>
                                      <w:spacing w:val="-4"/>
                                      <w:position w:val="-5"/>
                                      <w:sz w:val="9"/>
                                    </w:rPr>
                                    <w:t>União</w:t>
                                  </w:r>
                                </w:p>
                              </w:tc>
                              <w:tc>
                                <w:tcPr>
                                  <w:tcW w:w="663" w:type="dxa"/>
                                  <w:tcBorders>
                                    <w:bottom w:val="single" w:sz="4" w:space="0" w:color="001F60"/>
                                  </w:tcBorders>
                                </w:tcPr>
                                <w:p w14:paraId="1687999A" w14:textId="77777777" w:rsidR="002C6574" w:rsidRDefault="002C6574">
                                  <w:pPr>
                                    <w:pStyle w:val="TableParagraph"/>
                                    <w:spacing w:before="9"/>
                                    <w:jc w:val="left"/>
                                    <w:rPr>
                                      <w:rFonts w:ascii="Calibri"/>
                                      <w:sz w:val="9"/>
                                    </w:rPr>
                                  </w:pPr>
                                </w:p>
                                <w:p w14:paraId="6B1C730C" w14:textId="77777777" w:rsidR="002C6574" w:rsidRDefault="00000000">
                                  <w:pPr>
                                    <w:pStyle w:val="TableParagraph"/>
                                    <w:ind w:right="148"/>
                                    <w:rPr>
                                      <w:rFonts w:ascii="Arial MT"/>
                                      <w:sz w:val="9"/>
                                    </w:rPr>
                                  </w:pPr>
                                  <w:r>
                                    <w:rPr>
                                      <w:rFonts w:ascii="Arial MT"/>
                                      <w:color w:val="001F60"/>
                                      <w:spacing w:val="-4"/>
                                      <w:sz w:val="9"/>
                                    </w:rPr>
                                    <w:t>4,51</w:t>
                                  </w:r>
                                </w:p>
                              </w:tc>
                              <w:tc>
                                <w:tcPr>
                                  <w:tcW w:w="616" w:type="dxa"/>
                                  <w:tcBorders>
                                    <w:bottom w:val="single" w:sz="4" w:space="0" w:color="001F60"/>
                                  </w:tcBorders>
                                </w:tcPr>
                                <w:p w14:paraId="3D7685DA" w14:textId="77777777" w:rsidR="002C6574" w:rsidRDefault="002C6574">
                                  <w:pPr>
                                    <w:pStyle w:val="TableParagraph"/>
                                    <w:spacing w:before="9"/>
                                    <w:jc w:val="left"/>
                                    <w:rPr>
                                      <w:rFonts w:ascii="Calibri"/>
                                      <w:sz w:val="9"/>
                                    </w:rPr>
                                  </w:pPr>
                                </w:p>
                                <w:p w14:paraId="06F9C4A8" w14:textId="77777777" w:rsidR="002C6574" w:rsidRDefault="00000000">
                                  <w:pPr>
                                    <w:pStyle w:val="TableParagraph"/>
                                    <w:ind w:right="142"/>
                                    <w:rPr>
                                      <w:rFonts w:ascii="Arial MT"/>
                                      <w:sz w:val="9"/>
                                    </w:rPr>
                                  </w:pPr>
                                  <w:r>
                                    <w:rPr>
                                      <w:rFonts w:ascii="Arial MT"/>
                                      <w:color w:val="001F60"/>
                                      <w:spacing w:val="-4"/>
                                      <w:sz w:val="9"/>
                                    </w:rPr>
                                    <w:t>4,51</w:t>
                                  </w:r>
                                </w:p>
                              </w:tc>
                              <w:tc>
                                <w:tcPr>
                                  <w:tcW w:w="612" w:type="dxa"/>
                                  <w:tcBorders>
                                    <w:bottom w:val="single" w:sz="4" w:space="0" w:color="001F60"/>
                                  </w:tcBorders>
                                </w:tcPr>
                                <w:p w14:paraId="36FA06F2" w14:textId="77777777" w:rsidR="002C6574" w:rsidRDefault="002C6574">
                                  <w:pPr>
                                    <w:pStyle w:val="TableParagraph"/>
                                    <w:spacing w:before="9"/>
                                    <w:jc w:val="left"/>
                                    <w:rPr>
                                      <w:rFonts w:ascii="Calibri"/>
                                      <w:sz w:val="9"/>
                                    </w:rPr>
                                  </w:pPr>
                                </w:p>
                                <w:p w14:paraId="30E9484F" w14:textId="77777777" w:rsidR="002C6574" w:rsidRDefault="00000000">
                                  <w:pPr>
                                    <w:pStyle w:val="TableParagraph"/>
                                    <w:ind w:right="131"/>
                                    <w:rPr>
                                      <w:rFonts w:ascii="Arial MT"/>
                                      <w:sz w:val="9"/>
                                    </w:rPr>
                                  </w:pPr>
                                  <w:r>
                                    <w:rPr>
                                      <w:rFonts w:ascii="Arial MT"/>
                                      <w:color w:val="001F60"/>
                                      <w:spacing w:val="-4"/>
                                      <w:sz w:val="9"/>
                                    </w:rPr>
                                    <w:t>4,51</w:t>
                                  </w:r>
                                </w:p>
                              </w:tc>
                              <w:tc>
                                <w:tcPr>
                                  <w:tcW w:w="494" w:type="dxa"/>
                                  <w:tcBorders>
                                    <w:bottom w:val="single" w:sz="4" w:space="0" w:color="001F60"/>
                                  </w:tcBorders>
                                </w:tcPr>
                                <w:p w14:paraId="0087C2BD" w14:textId="77777777" w:rsidR="002C6574" w:rsidRDefault="002C6574">
                                  <w:pPr>
                                    <w:pStyle w:val="TableParagraph"/>
                                    <w:spacing w:before="9"/>
                                    <w:jc w:val="left"/>
                                    <w:rPr>
                                      <w:rFonts w:ascii="Calibri"/>
                                      <w:sz w:val="9"/>
                                    </w:rPr>
                                  </w:pPr>
                                </w:p>
                                <w:p w14:paraId="73467D70" w14:textId="77777777" w:rsidR="002C6574" w:rsidRDefault="00000000">
                                  <w:pPr>
                                    <w:pStyle w:val="TableParagraph"/>
                                    <w:ind w:right="58"/>
                                    <w:rPr>
                                      <w:rFonts w:ascii="Arial MT"/>
                                      <w:sz w:val="9"/>
                                    </w:rPr>
                                  </w:pPr>
                                  <w:r>
                                    <w:rPr>
                                      <w:rFonts w:ascii="Arial MT"/>
                                      <w:color w:val="001F60"/>
                                      <w:spacing w:val="-4"/>
                                      <w:sz w:val="9"/>
                                    </w:rPr>
                                    <w:t>4,51</w:t>
                                  </w:r>
                                </w:p>
                              </w:tc>
                              <w:tc>
                                <w:tcPr>
                                  <w:tcW w:w="563" w:type="dxa"/>
                                  <w:tcBorders>
                                    <w:bottom w:val="single" w:sz="4" w:space="0" w:color="001F60"/>
                                  </w:tcBorders>
                                </w:tcPr>
                                <w:p w14:paraId="7247150A" w14:textId="77777777" w:rsidR="002C6574" w:rsidRDefault="002C6574">
                                  <w:pPr>
                                    <w:pStyle w:val="TableParagraph"/>
                                    <w:spacing w:before="9"/>
                                    <w:jc w:val="left"/>
                                    <w:rPr>
                                      <w:rFonts w:ascii="Calibri"/>
                                      <w:sz w:val="9"/>
                                    </w:rPr>
                                  </w:pPr>
                                </w:p>
                                <w:p w14:paraId="2BFF26D5" w14:textId="77777777" w:rsidR="002C6574" w:rsidRDefault="00000000">
                                  <w:pPr>
                                    <w:pStyle w:val="TableParagraph"/>
                                    <w:ind w:left="10" w:right="27"/>
                                    <w:jc w:val="center"/>
                                    <w:rPr>
                                      <w:rFonts w:ascii="Arial MT"/>
                                      <w:sz w:val="9"/>
                                    </w:rPr>
                                  </w:pPr>
                                  <w:r>
                                    <w:rPr>
                                      <w:rFonts w:ascii="Arial MT"/>
                                      <w:color w:val="001F60"/>
                                      <w:spacing w:val="-4"/>
                                      <w:sz w:val="9"/>
                                    </w:rPr>
                                    <w:t>100%</w:t>
                                  </w:r>
                                </w:p>
                              </w:tc>
                              <w:tc>
                                <w:tcPr>
                                  <w:tcW w:w="553" w:type="dxa"/>
                                  <w:tcBorders>
                                    <w:bottom w:val="single" w:sz="4" w:space="0" w:color="001F60"/>
                                  </w:tcBorders>
                                </w:tcPr>
                                <w:p w14:paraId="76817924" w14:textId="77777777" w:rsidR="002C6574" w:rsidRDefault="002C6574">
                                  <w:pPr>
                                    <w:pStyle w:val="TableParagraph"/>
                                    <w:spacing w:before="9"/>
                                    <w:jc w:val="left"/>
                                    <w:rPr>
                                      <w:rFonts w:ascii="Calibri"/>
                                      <w:sz w:val="9"/>
                                    </w:rPr>
                                  </w:pPr>
                                </w:p>
                                <w:p w14:paraId="60114A05" w14:textId="77777777" w:rsidR="002C6574" w:rsidRDefault="00000000">
                                  <w:pPr>
                                    <w:pStyle w:val="TableParagraph"/>
                                    <w:ind w:left="9" w:right="9"/>
                                    <w:jc w:val="center"/>
                                    <w:rPr>
                                      <w:rFonts w:ascii="Arial MT"/>
                                      <w:sz w:val="9"/>
                                    </w:rPr>
                                  </w:pPr>
                                  <w:r>
                                    <w:rPr>
                                      <w:rFonts w:ascii="Arial MT"/>
                                      <w:color w:val="001F60"/>
                                      <w:spacing w:val="-4"/>
                                      <w:sz w:val="9"/>
                                    </w:rPr>
                                    <w:t>100%</w:t>
                                  </w:r>
                                </w:p>
                              </w:tc>
                            </w:tr>
                            <w:tr w:rsidR="002C6574" w14:paraId="4EB3A243" w14:textId="77777777">
                              <w:trPr>
                                <w:trHeight w:val="107"/>
                              </w:trPr>
                              <w:tc>
                                <w:tcPr>
                                  <w:tcW w:w="3125" w:type="dxa"/>
                                  <w:tcBorders>
                                    <w:bottom w:val="single" w:sz="4" w:space="0" w:color="001F60"/>
                                  </w:tcBorders>
                                </w:tcPr>
                                <w:p w14:paraId="5D2994DF" w14:textId="77777777" w:rsidR="002C6574" w:rsidRDefault="00000000">
                                  <w:pPr>
                                    <w:pStyle w:val="TableParagraph"/>
                                    <w:spacing w:line="76" w:lineRule="exact"/>
                                    <w:ind w:left="513"/>
                                    <w:jc w:val="left"/>
                                    <w:rPr>
                                      <w:rFonts w:ascii="Arial" w:hAnsi="Arial"/>
                                      <w:b/>
                                      <w:sz w:val="9"/>
                                    </w:rPr>
                                  </w:pPr>
                                  <w:r>
                                    <w:rPr>
                                      <w:rFonts w:ascii="Arial" w:hAnsi="Arial"/>
                                      <w:b/>
                                      <w:color w:val="001F60"/>
                                      <w:sz w:val="9"/>
                                    </w:rPr>
                                    <w:t>Amortização</w:t>
                                  </w:r>
                                  <w:r>
                                    <w:rPr>
                                      <w:rFonts w:ascii="Arial" w:hAnsi="Arial"/>
                                      <w:b/>
                                      <w:color w:val="001F60"/>
                                      <w:spacing w:val="8"/>
                                      <w:sz w:val="9"/>
                                    </w:rPr>
                                    <w:t xml:space="preserve"> </w:t>
                                  </w:r>
                                  <w:r>
                                    <w:rPr>
                                      <w:rFonts w:ascii="Arial" w:hAnsi="Arial"/>
                                      <w:b/>
                                      <w:color w:val="001F60"/>
                                      <w:sz w:val="9"/>
                                    </w:rPr>
                                    <w:t>da</w:t>
                                  </w:r>
                                  <w:r>
                                    <w:rPr>
                                      <w:rFonts w:ascii="Arial" w:hAnsi="Arial"/>
                                      <w:b/>
                                      <w:color w:val="001F60"/>
                                      <w:spacing w:val="6"/>
                                      <w:sz w:val="9"/>
                                    </w:rPr>
                                    <w:t xml:space="preserve"> </w:t>
                                  </w:r>
                                  <w:r>
                                    <w:rPr>
                                      <w:rFonts w:ascii="Arial" w:hAnsi="Arial"/>
                                      <w:b/>
                                      <w:color w:val="001F60"/>
                                      <w:spacing w:val="-2"/>
                                      <w:sz w:val="9"/>
                                    </w:rPr>
                                    <w:t>Dívida</w:t>
                                  </w:r>
                                </w:p>
                              </w:tc>
                              <w:tc>
                                <w:tcPr>
                                  <w:tcW w:w="3029" w:type="dxa"/>
                                  <w:gridSpan w:val="2"/>
                                  <w:tcBorders>
                                    <w:bottom w:val="single" w:sz="4" w:space="0" w:color="001F60"/>
                                  </w:tcBorders>
                                </w:tcPr>
                                <w:p w14:paraId="1F4116CA" w14:textId="77777777" w:rsidR="002C6574" w:rsidRDefault="00000000">
                                  <w:pPr>
                                    <w:pStyle w:val="TableParagraph"/>
                                    <w:spacing w:line="76" w:lineRule="exact"/>
                                    <w:ind w:right="148"/>
                                    <w:rPr>
                                      <w:rFonts w:ascii="Arial"/>
                                      <w:b/>
                                      <w:sz w:val="9"/>
                                    </w:rPr>
                                  </w:pPr>
                                  <w:r>
                                    <w:rPr>
                                      <w:rFonts w:ascii="Arial"/>
                                      <w:b/>
                                      <w:color w:val="001F60"/>
                                      <w:spacing w:val="-2"/>
                                      <w:sz w:val="9"/>
                                    </w:rPr>
                                    <w:t>44,86</w:t>
                                  </w:r>
                                </w:p>
                              </w:tc>
                              <w:tc>
                                <w:tcPr>
                                  <w:tcW w:w="616" w:type="dxa"/>
                                  <w:tcBorders>
                                    <w:bottom w:val="single" w:sz="4" w:space="0" w:color="001F60"/>
                                  </w:tcBorders>
                                </w:tcPr>
                                <w:p w14:paraId="1F140CD1" w14:textId="77777777" w:rsidR="002C6574" w:rsidRDefault="00000000">
                                  <w:pPr>
                                    <w:pStyle w:val="TableParagraph"/>
                                    <w:spacing w:line="76" w:lineRule="exact"/>
                                    <w:ind w:right="142"/>
                                    <w:rPr>
                                      <w:rFonts w:ascii="Arial"/>
                                      <w:b/>
                                      <w:sz w:val="9"/>
                                    </w:rPr>
                                  </w:pPr>
                                  <w:r>
                                    <w:rPr>
                                      <w:rFonts w:ascii="Arial"/>
                                      <w:b/>
                                      <w:color w:val="001F60"/>
                                      <w:spacing w:val="-2"/>
                                      <w:sz w:val="9"/>
                                    </w:rPr>
                                    <w:t>44,86</w:t>
                                  </w:r>
                                </w:p>
                              </w:tc>
                              <w:tc>
                                <w:tcPr>
                                  <w:tcW w:w="612" w:type="dxa"/>
                                  <w:tcBorders>
                                    <w:bottom w:val="single" w:sz="4" w:space="0" w:color="001F60"/>
                                  </w:tcBorders>
                                </w:tcPr>
                                <w:p w14:paraId="5F3C61B3" w14:textId="77777777" w:rsidR="002C6574" w:rsidRDefault="00000000">
                                  <w:pPr>
                                    <w:pStyle w:val="TableParagraph"/>
                                    <w:spacing w:line="76" w:lineRule="exact"/>
                                    <w:ind w:right="131"/>
                                    <w:rPr>
                                      <w:rFonts w:ascii="Arial"/>
                                      <w:b/>
                                      <w:sz w:val="9"/>
                                    </w:rPr>
                                  </w:pPr>
                                  <w:r>
                                    <w:rPr>
                                      <w:rFonts w:ascii="Arial"/>
                                      <w:b/>
                                      <w:color w:val="001F60"/>
                                      <w:spacing w:val="-2"/>
                                      <w:sz w:val="9"/>
                                    </w:rPr>
                                    <w:t>44,86</w:t>
                                  </w:r>
                                </w:p>
                              </w:tc>
                              <w:tc>
                                <w:tcPr>
                                  <w:tcW w:w="494" w:type="dxa"/>
                                  <w:tcBorders>
                                    <w:bottom w:val="single" w:sz="4" w:space="0" w:color="001F60"/>
                                  </w:tcBorders>
                                </w:tcPr>
                                <w:p w14:paraId="2A7CFD93" w14:textId="77777777" w:rsidR="002C6574" w:rsidRDefault="00000000">
                                  <w:pPr>
                                    <w:pStyle w:val="TableParagraph"/>
                                    <w:spacing w:line="76" w:lineRule="exact"/>
                                    <w:ind w:right="58"/>
                                    <w:rPr>
                                      <w:rFonts w:ascii="Arial"/>
                                      <w:b/>
                                      <w:sz w:val="9"/>
                                    </w:rPr>
                                  </w:pPr>
                                  <w:r>
                                    <w:rPr>
                                      <w:rFonts w:ascii="Arial"/>
                                      <w:b/>
                                      <w:color w:val="001F60"/>
                                      <w:spacing w:val="-2"/>
                                      <w:sz w:val="9"/>
                                    </w:rPr>
                                    <w:t>44,86</w:t>
                                  </w:r>
                                </w:p>
                              </w:tc>
                              <w:tc>
                                <w:tcPr>
                                  <w:tcW w:w="563" w:type="dxa"/>
                                  <w:tcBorders>
                                    <w:bottom w:val="single" w:sz="4" w:space="0" w:color="001F60"/>
                                  </w:tcBorders>
                                </w:tcPr>
                                <w:p w14:paraId="1818B94F" w14:textId="77777777" w:rsidR="002C6574" w:rsidRDefault="00000000">
                                  <w:pPr>
                                    <w:pStyle w:val="TableParagraph"/>
                                    <w:spacing w:line="76" w:lineRule="exact"/>
                                    <w:ind w:right="27"/>
                                    <w:jc w:val="center"/>
                                    <w:rPr>
                                      <w:rFonts w:ascii="Arial"/>
                                      <w:b/>
                                      <w:sz w:val="9"/>
                                    </w:rPr>
                                  </w:pPr>
                                  <w:r>
                                    <w:rPr>
                                      <w:rFonts w:ascii="Arial"/>
                                      <w:b/>
                                      <w:color w:val="001F60"/>
                                      <w:spacing w:val="-4"/>
                                      <w:sz w:val="9"/>
                                    </w:rPr>
                                    <w:t>100%</w:t>
                                  </w:r>
                                </w:p>
                              </w:tc>
                              <w:tc>
                                <w:tcPr>
                                  <w:tcW w:w="553" w:type="dxa"/>
                                  <w:tcBorders>
                                    <w:bottom w:val="single" w:sz="4" w:space="0" w:color="001F60"/>
                                  </w:tcBorders>
                                </w:tcPr>
                                <w:p w14:paraId="0789DB6D" w14:textId="77777777" w:rsidR="002C6574" w:rsidRDefault="00000000">
                                  <w:pPr>
                                    <w:pStyle w:val="TableParagraph"/>
                                    <w:spacing w:line="76" w:lineRule="exact"/>
                                    <w:ind w:right="9"/>
                                    <w:jc w:val="center"/>
                                    <w:rPr>
                                      <w:rFonts w:ascii="Arial"/>
                                      <w:b/>
                                      <w:sz w:val="9"/>
                                    </w:rPr>
                                  </w:pPr>
                                  <w:r>
                                    <w:rPr>
                                      <w:rFonts w:ascii="Arial"/>
                                      <w:b/>
                                      <w:color w:val="001F60"/>
                                      <w:spacing w:val="-4"/>
                                      <w:sz w:val="9"/>
                                    </w:rPr>
                                    <w:t>100%</w:t>
                                  </w:r>
                                </w:p>
                              </w:tc>
                            </w:tr>
                            <w:tr w:rsidR="002C6574" w14:paraId="6ECF58A8" w14:textId="77777777">
                              <w:trPr>
                                <w:trHeight w:val="227"/>
                              </w:trPr>
                              <w:tc>
                                <w:tcPr>
                                  <w:tcW w:w="5491" w:type="dxa"/>
                                  <w:gridSpan w:val="2"/>
                                  <w:tcBorders>
                                    <w:bottom w:val="single" w:sz="4" w:space="0" w:color="001F60"/>
                                  </w:tcBorders>
                                </w:tcPr>
                                <w:p w14:paraId="5C64D0FC" w14:textId="77777777" w:rsidR="002C6574" w:rsidRDefault="00000000">
                                  <w:pPr>
                                    <w:pStyle w:val="TableParagraph"/>
                                    <w:spacing w:line="160" w:lineRule="exact"/>
                                    <w:ind w:left="1039"/>
                                    <w:jc w:val="left"/>
                                    <w:rPr>
                                      <w:rFonts w:ascii="Arial MT" w:hAnsi="Arial MT"/>
                                      <w:sz w:val="9"/>
                                    </w:rPr>
                                  </w:pPr>
                                  <w:r>
                                    <w:rPr>
                                      <w:rFonts w:ascii="Arial MT" w:hAnsi="Arial MT"/>
                                      <w:color w:val="001F60"/>
                                      <w:sz w:val="9"/>
                                    </w:rPr>
                                    <w:t>0283</w:t>
                                  </w:r>
                                  <w:r>
                                    <w:rPr>
                                      <w:rFonts w:ascii="Arial MT" w:hAnsi="Arial MT"/>
                                      <w:color w:val="001F60"/>
                                      <w:spacing w:val="38"/>
                                      <w:sz w:val="9"/>
                                    </w:rPr>
                                    <w:t xml:space="preserve"> </w:t>
                                  </w:r>
                                  <w:r>
                                    <w:rPr>
                                      <w:rFonts w:ascii="Arial MT" w:hAnsi="Arial MT"/>
                                      <w:color w:val="001F60"/>
                                      <w:position w:val="6"/>
                                      <w:sz w:val="9"/>
                                    </w:rPr>
                                    <w:t>Amortização e</w:t>
                                  </w:r>
                                  <w:r>
                                    <w:rPr>
                                      <w:rFonts w:ascii="Arial MT" w:hAnsi="Arial MT"/>
                                      <w:color w:val="001F60"/>
                                      <w:spacing w:val="1"/>
                                      <w:position w:val="6"/>
                                      <w:sz w:val="9"/>
                                    </w:rPr>
                                    <w:t xml:space="preserve"> </w:t>
                                  </w:r>
                                  <w:r>
                                    <w:rPr>
                                      <w:rFonts w:ascii="Arial MT" w:hAnsi="Arial MT"/>
                                      <w:color w:val="001F60"/>
                                      <w:position w:val="6"/>
                                      <w:sz w:val="9"/>
                                    </w:rPr>
                                    <w:t>Encargos</w:t>
                                  </w:r>
                                  <w:r>
                                    <w:rPr>
                                      <w:rFonts w:ascii="Arial MT" w:hAnsi="Arial MT"/>
                                      <w:color w:val="001F60"/>
                                      <w:spacing w:val="1"/>
                                      <w:position w:val="6"/>
                                      <w:sz w:val="9"/>
                                    </w:rPr>
                                    <w:t xml:space="preserve"> </w:t>
                                  </w:r>
                                  <w:r>
                                    <w:rPr>
                                      <w:rFonts w:ascii="Arial MT" w:hAnsi="Arial MT"/>
                                      <w:color w:val="001F60"/>
                                      <w:position w:val="6"/>
                                      <w:sz w:val="9"/>
                                    </w:rPr>
                                    <w:t>de</w:t>
                                  </w:r>
                                  <w:r>
                                    <w:rPr>
                                      <w:rFonts w:ascii="Arial MT" w:hAnsi="Arial MT"/>
                                      <w:color w:val="001F60"/>
                                      <w:spacing w:val="1"/>
                                      <w:position w:val="6"/>
                                      <w:sz w:val="9"/>
                                    </w:rPr>
                                    <w:t xml:space="preserve"> </w:t>
                                  </w:r>
                                  <w:r>
                                    <w:rPr>
                                      <w:rFonts w:ascii="Arial MT" w:hAnsi="Arial MT"/>
                                      <w:color w:val="001F60"/>
                                      <w:position w:val="6"/>
                                      <w:sz w:val="9"/>
                                    </w:rPr>
                                    <w:t>Financiamento</w:t>
                                  </w:r>
                                  <w:r>
                                    <w:rPr>
                                      <w:rFonts w:ascii="Arial MT" w:hAnsi="Arial MT"/>
                                      <w:color w:val="001F60"/>
                                      <w:spacing w:val="1"/>
                                      <w:position w:val="6"/>
                                      <w:sz w:val="9"/>
                                    </w:rPr>
                                    <w:t xml:space="preserve"> </w:t>
                                  </w:r>
                                  <w:r>
                                    <w:rPr>
                                      <w:rFonts w:ascii="Arial MT" w:hAnsi="Arial MT"/>
                                      <w:color w:val="001F60"/>
                                      <w:position w:val="6"/>
                                      <w:sz w:val="9"/>
                                    </w:rPr>
                                    <w:t>da</w:t>
                                  </w:r>
                                  <w:r>
                                    <w:rPr>
                                      <w:rFonts w:ascii="Arial MT" w:hAnsi="Arial MT"/>
                                      <w:color w:val="001F60"/>
                                      <w:spacing w:val="23"/>
                                      <w:position w:val="6"/>
                                      <w:sz w:val="9"/>
                                    </w:rPr>
                                    <w:t xml:space="preserve"> </w:t>
                                  </w:r>
                                  <w:r>
                                    <w:rPr>
                                      <w:rFonts w:ascii="Arial MT" w:hAnsi="Arial MT"/>
                                      <w:color w:val="001F60"/>
                                      <w:sz w:val="9"/>
                                    </w:rPr>
                                    <w:t>1443</w:t>
                                  </w:r>
                                  <w:r>
                                    <w:rPr>
                                      <w:rFonts w:ascii="Arial MT" w:hAnsi="Arial MT"/>
                                      <w:color w:val="001F60"/>
                                      <w:spacing w:val="65"/>
                                      <w:sz w:val="9"/>
                                    </w:rPr>
                                    <w:t xml:space="preserve"> </w:t>
                                  </w:r>
                                  <w:r>
                                    <w:rPr>
                                      <w:rFonts w:ascii="Arial MT" w:hAnsi="Arial MT"/>
                                      <w:color w:val="001F60"/>
                                      <w:sz w:val="9"/>
                                    </w:rPr>
                                    <w:t>Refinanciamento</w:t>
                                  </w:r>
                                  <w:r>
                                    <w:rPr>
                                      <w:rFonts w:ascii="Arial MT" w:hAnsi="Arial MT"/>
                                      <w:color w:val="001F60"/>
                                      <w:spacing w:val="1"/>
                                      <w:sz w:val="9"/>
                                    </w:rPr>
                                    <w:t xml:space="preserve"> </w:t>
                                  </w:r>
                                  <w:r>
                                    <w:rPr>
                                      <w:rFonts w:ascii="Arial MT" w:hAnsi="Arial MT"/>
                                      <w:color w:val="001F60"/>
                                      <w:sz w:val="9"/>
                                    </w:rPr>
                                    <w:t>da</w:t>
                                  </w:r>
                                  <w:r>
                                    <w:rPr>
                                      <w:rFonts w:ascii="Arial MT" w:hAnsi="Arial MT"/>
                                      <w:color w:val="001F60"/>
                                      <w:spacing w:val="1"/>
                                      <w:sz w:val="9"/>
                                    </w:rPr>
                                    <w:t xml:space="preserve"> </w:t>
                                  </w:r>
                                  <w:r>
                                    <w:rPr>
                                      <w:rFonts w:ascii="Arial MT" w:hAnsi="Arial MT"/>
                                      <w:color w:val="001F60"/>
                                      <w:sz w:val="9"/>
                                    </w:rPr>
                                    <w:t>Dívida</w:t>
                                  </w:r>
                                  <w:r>
                                    <w:rPr>
                                      <w:rFonts w:ascii="Arial MT" w:hAnsi="Arial MT"/>
                                      <w:color w:val="001F60"/>
                                      <w:spacing w:val="1"/>
                                      <w:sz w:val="9"/>
                                    </w:rPr>
                                    <w:t xml:space="preserve"> </w:t>
                                  </w:r>
                                  <w:r>
                                    <w:rPr>
                                      <w:rFonts w:ascii="Arial MT" w:hAnsi="Arial MT"/>
                                      <w:color w:val="001F60"/>
                                      <w:sz w:val="9"/>
                                    </w:rPr>
                                    <w:t xml:space="preserve">Pública </w:t>
                                  </w:r>
                                  <w:r>
                                    <w:rPr>
                                      <w:rFonts w:ascii="Arial MT" w:hAnsi="Arial MT"/>
                                      <w:color w:val="001F60"/>
                                      <w:spacing w:val="-2"/>
                                      <w:sz w:val="9"/>
                                    </w:rPr>
                                    <w:t>Federal</w:t>
                                  </w:r>
                                </w:p>
                              </w:tc>
                              <w:tc>
                                <w:tcPr>
                                  <w:tcW w:w="663" w:type="dxa"/>
                                  <w:tcBorders>
                                    <w:bottom w:val="single" w:sz="4" w:space="0" w:color="001F60"/>
                                  </w:tcBorders>
                                </w:tcPr>
                                <w:p w14:paraId="22B23BED" w14:textId="77777777" w:rsidR="002C6574" w:rsidRDefault="00000000">
                                  <w:pPr>
                                    <w:pStyle w:val="TableParagraph"/>
                                    <w:spacing w:before="56"/>
                                    <w:ind w:right="148"/>
                                    <w:rPr>
                                      <w:rFonts w:ascii="Arial MT"/>
                                      <w:sz w:val="9"/>
                                    </w:rPr>
                                  </w:pPr>
                                  <w:r>
                                    <w:rPr>
                                      <w:rFonts w:ascii="Arial MT"/>
                                      <w:color w:val="001F60"/>
                                      <w:spacing w:val="-2"/>
                                      <w:sz w:val="9"/>
                                    </w:rPr>
                                    <w:t>44,86</w:t>
                                  </w:r>
                                </w:p>
                              </w:tc>
                              <w:tc>
                                <w:tcPr>
                                  <w:tcW w:w="616" w:type="dxa"/>
                                  <w:tcBorders>
                                    <w:bottom w:val="single" w:sz="4" w:space="0" w:color="001F60"/>
                                  </w:tcBorders>
                                </w:tcPr>
                                <w:p w14:paraId="2AB1A78D" w14:textId="77777777" w:rsidR="002C6574" w:rsidRDefault="00000000">
                                  <w:pPr>
                                    <w:pStyle w:val="TableParagraph"/>
                                    <w:spacing w:before="56"/>
                                    <w:ind w:right="142"/>
                                    <w:rPr>
                                      <w:rFonts w:ascii="Arial MT"/>
                                      <w:sz w:val="9"/>
                                    </w:rPr>
                                  </w:pPr>
                                  <w:r>
                                    <w:rPr>
                                      <w:rFonts w:ascii="Arial MT"/>
                                      <w:color w:val="001F60"/>
                                      <w:spacing w:val="-2"/>
                                      <w:sz w:val="9"/>
                                    </w:rPr>
                                    <w:t>44,86</w:t>
                                  </w:r>
                                </w:p>
                              </w:tc>
                              <w:tc>
                                <w:tcPr>
                                  <w:tcW w:w="612" w:type="dxa"/>
                                  <w:tcBorders>
                                    <w:bottom w:val="single" w:sz="4" w:space="0" w:color="001F60"/>
                                  </w:tcBorders>
                                </w:tcPr>
                                <w:p w14:paraId="7C758564" w14:textId="77777777" w:rsidR="002C6574" w:rsidRDefault="00000000">
                                  <w:pPr>
                                    <w:pStyle w:val="TableParagraph"/>
                                    <w:spacing w:before="56"/>
                                    <w:ind w:right="131"/>
                                    <w:rPr>
                                      <w:rFonts w:ascii="Arial MT"/>
                                      <w:sz w:val="9"/>
                                    </w:rPr>
                                  </w:pPr>
                                  <w:r>
                                    <w:rPr>
                                      <w:rFonts w:ascii="Arial MT"/>
                                      <w:color w:val="001F60"/>
                                      <w:spacing w:val="-2"/>
                                      <w:sz w:val="9"/>
                                    </w:rPr>
                                    <w:t>44,86</w:t>
                                  </w:r>
                                </w:p>
                              </w:tc>
                              <w:tc>
                                <w:tcPr>
                                  <w:tcW w:w="494" w:type="dxa"/>
                                  <w:tcBorders>
                                    <w:bottom w:val="single" w:sz="4" w:space="0" w:color="001F60"/>
                                  </w:tcBorders>
                                </w:tcPr>
                                <w:p w14:paraId="438B3DDF" w14:textId="77777777" w:rsidR="002C6574" w:rsidRDefault="00000000">
                                  <w:pPr>
                                    <w:pStyle w:val="TableParagraph"/>
                                    <w:spacing w:before="56"/>
                                    <w:ind w:right="58"/>
                                    <w:rPr>
                                      <w:rFonts w:ascii="Arial MT"/>
                                      <w:sz w:val="9"/>
                                    </w:rPr>
                                  </w:pPr>
                                  <w:r>
                                    <w:rPr>
                                      <w:rFonts w:ascii="Arial MT"/>
                                      <w:color w:val="001F60"/>
                                      <w:spacing w:val="-2"/>
                                      <w:sz w:val="9"/>
                                    </w:rPr>
                                    <w:t>44,86</w:t>
                                  </w:r>
                                </w:p>
                              </w:tc>
                              <w:tc>
                                <w:tcPr>
                                  <w:tcW w:w="563" w:type="dxa"/>
                                  <w:tcBorders>
                                    <w:bottom w:val="single" w:sz="4" w:space="0" w:color="001F60"/>
                                  </w:tcBorders>
                                </w:tcPr>
                                <w:p w14:paraId="4FD16742" w14:textId="77777777" w:rsidR="002C6574" w:rsidRDefault="00000000">
                                  <w:pPr>
                                    <w:pStyle w:val="TableParagraph"/>
                                    <w:spacing w:before="56"/>
                                    <w:ind w:left="10" w:right="27"/>
                                    <w:jc w:val="center"/>
                                    <w:rPr>
                                      <w:rFonts w:ascii="Arial MT"/>
                                      <w:sz w:val="9"/>
                                    </w:rPr>
                                  </w:pPr>
                                  <w:r>
                                    <w:rPr>
                                      <w:rFonts w:ascii="Arial MT"/>
                                      <w:color w:val="001F60"/>
                                      <w:spacing w:val="-4"/>
                                      <w:sz w:val="9"/>
                                    </w:rPr>
                                    <w:t>100%</w:t>
                                  </w:r>
                                </w:p>
                              </w:tc>
                              <w:tc>
                                <w:tcPr>
                                  <w:tcW w:w="553" w:type="dxa"/>
                                  <w:tcBorders>
                                    <w:bottom w:val="single" w:sz="4" w:space="0" w:color="001F60"/>
                                  </w:tcBorders>
                                </w:tcPr>
                                <w:p w14:paraId="2F732140" w14:textId="77777777" w:rsidR="002C6574" w:rsidRDefault="00000000">
                                  <w:pPr>
                                    <w:pStyle w:val="TableParagraph"/>
                                    <w:spacing w:before="56"/>
                                    <w:ind w:left="9" w:right="9"/>
                                    <w:jc w:val="center"/>
                                    <w:rPr>
                                      <w:rFonts w:ascii="Arial MT"/>
                                      <w:sz w:val="9"/>
                                    </w:rPr>
                                  </w:pPr>
                                  <w:r>
                                    <w:rPr>
                                      <w:rFonts w:ascii="Arial MT"/>
                                      <w:color w:val="001F60"/>
                                      <w:spacing w:val="-4"/>
                                      <w:sz w:val="9"/>
                                    </w:rPr>
                                    <w:t>100%</w:t>
                                  </w:r>
                                </w:p>
                              </w:tc>
                            </w:tr>
                            <w:tr w:rsidR="002C6574" w14:paraId="4E734DF0" w14:textId="77777777">
                              <w:trPr>
                                <w:trHeight w:val="107"/>
                              </w:trPr>
                              <w:tc>
                                <w:tcPr>
                                  <w:tcW w:w="3125" w:type="dxa"/>
                                  <w:tcBorders>
                                    <w:bottom w:val="single" w:sz="4" w:space="0" w:color="001F60"/>
                                  </w:tcBorders>
                                </w:tcPr>
                                <w:p w14:paraId="23891F04" w14:textId="77777777" w:rsidR="002C6574" w:rsidRDefault="00000000">
                                  <w:pPr>
                                    <w:pStyle w:val="TableParagraph"/>
                                    <w:spacing w:line="76" w:lineRule="exact"/>
                                    <w:ind w:left="21"/>
                                    <w:jc w:val="left"/>
                                    <w:rPr>
                                      <w:rFonts w:ascii="Arial" w:hAnsi="Arial"/>
                                      <w:b/>
                                      <w:sz w:val="9"/>
                                    </w:rPr>
                                  </w:pPr>
                                  <w:r>
                                    <w:rPr>
                                      <w:rFonts w:ascii="Arial" w:hAnsi="Arial"/>
                                      <w:b/>
                                      <w:color w:val="001F60"/>
                                      <w:sz w:val="9"/>
                                    </w:rPr>
                                    <w:t>Despesas</w:t>
                                  </w:r>
                                  <w:r>
                                    <w:rPr>
                                      <w:rFonts w:ascii="Arial" w:hAnsi="Arial"/>
                                      <w:b/>
                                      <w:color w:val="001F60"/>
                                      <w:spacing w:val="8"/>
                                      <w:sz w:val="9"/>
                                    </w:rPr>
                                    <w:t xml:space="preserve"> </w:t>
                                  </w:r>
                                  <w:r>
                                    <w:rPr>
                                      <w:rFonts w:ascii="Arial" w:hAnsi="Arial"/>
                                      <w:b/>
                                      <w:color w:val="001F60"/>
                                      <w:sz w:val="9"/>
                                    </w:rPr>
                                    <w:t>Discricionárias</w:t>
                                  </w:r>
                                  <w:r>
                                    <w:rPr>
                                      <w:rFonts w:ascii="Arial" w:hAnsi="Arial"/>
                                      <w:b/>
                                      <w:color w:val="001F60"/>
                                      <w:spacing w:val="8"/>
                                      <w:sz w:val="9"/>
                                    </w:rPr>
                                    <w:t xml:space="preserve"> </w:t>
                                  </w:r>
                                  <w:r>
                                    <w:rPr>
                                      <w:rFonts w:ascii="Arial" w:hAnsi="Arial"/>
                                      <w:b/>
                                      <w:color w:val="001F60"/>
                                      <w:sz w:val="9"/>
                                    </w:rPr>
                                    <w:t>(RP</w:t>
                                  </w:r>
                                  <w:r>
                                    <w:rPr>
                                      <w:rFonts w:ascii="Arial" w:hAnsi="Arial"/>
                                      <w:b/>
                                      <w:color w:val="001F60"/>
                                      <w:spacing w:val="7"/>
                                      <w:sz w:val="9"/>
                                    </w:rPr>
                                    <w:t xml:space="preserve"> </w:t>
                                  </w:r>
                                  <w:r>
                                    <w:rPr>
                                      <w:rFonts w:ascii="Arial" w:hAnsi="Arial"/>
                                      <w:b/>
                                      <w:color w:val="001F60"/>
                                      <w:spacing w:val="-5"/>
                                      <w:sz w:val="9"/>
                                    </w:rPr>
                                    <w:t>2)</w:t>
                                  </w:r>
                                </w:p>
                              </w:tc>
                              <w:tc>
                                <w:tcPr>
                                  <w:tcW w:w="2366" w:type="dxa"/>
                                  <w:tcBorders>
                                    <w:bottom w:val="single" w:sz="4" w:space="0" w:color="001F60"/>
                                  </w:tcBorders>
                                </w:tcPr>
                                <w:p w14:paraId="5E77AB34" w14:textId="77777777" w:rsidR="002C6574" w:rsidRDefault="002C6574">
                                  <w:pPr>
                                    <w:pStyle w:val="TableParagraph"/>
                                    <w:jc w:val="left"/>
                                    <w:rPr>
                                      <w:rFonts w:ascii="Times New Roman"/>
                                      <w:sz w:val="4"/>
                                    </w:rPr>
                                  </w:pPr>
                                </w:p>
                              </w:tc>
                              <w:tc>
                                <w:tcPr>
                                  <w:tcW w:w="663" w:type="dxa"/>
                                  <w:tcBorders>
                                    <w:bottom w:val="single" w:sz="4" w:space="0" w:color="001F60"/>
                                  </w:tcBorders>
                                </w:tcPr>
                                <w:p w14:paraId="2FEFC00F" w14:textId="77777777" w:rsidR="002C6574" w:rsidRDefault="00000000">
                                  <w:pPr>
                                    <w:pStyle w:val="TableParagraph"/>
                                    <w:spacing w:line="76" w:lineRule="exact"/>
                                    <w:ind w:right="150"/>
                                    <w:rPr>
                                      <w:rFonts w:ascii="Arial"/>
                                      <w:b/>
                                      <w:sz w:val="9"/>
                                    </w:rPr>
                                  </w:pPr>
                                  <w:r>
                                    <w:rPr>
                                      <w:rFonts w:ascii="Arial"/>
                                      <w:b/>
                                      <w:color w:val="001F60"/>
                                      <w:spacing w:val="-2"/>
                                      <w:sz w:val="9"/>
                                    </w:rPr>
                                    <w:t>141,42</w:t>
                                  </w:r>
                                </w:p>
                              </w:tc>
                              <w:tc>
                                <w:tcPr>
                                  <w:tcW w:w="616" w:type="dxa"/>
                                  <w:tcBorders>
                                    <w:bottom w:val="single" w:sz="4" w:space="0" w:color="001F60"/>
                                  </w:tcBorders>
                                </w:tcPr>
                                <w:p w14:paraId="1BA7D4F2" w14:textId="77777777" w:rsidR="002C6574" w:rsidRDefault="00000000">
                                  <w:pPr>
                                    <w:pStyle w:val="TableParagraph"/>
                                    <w:spacing w:line="76" w:lineRule="exact"/>
                                    <w:ind w:right="142"/>
                                    <w:rPr>
                                      <w:rFonts w:ascii="Arial"/>
                                      <w:b/>
                                      <w:sz w:val="9"/>
                                    </w:rPr>
                                  </w:pPr>
                                  <w:r>
                                    <w:rPr>
                                      <w:rFonts w:ascii="Arial"/>
                                      <w:b/>
                                      <w:color w:val="001F60"/>
                                      <w:spacing w:val="-2"/>
                                      <w:sz w:val="9"/>
                                    </w:rPr>
                                    <w:t>141,42</w:t>
                                  </w:r>
                                </w:p>
                              </w:tc>
                              <w:tc>
                                <w:tcPr>
                                  <w:tcW w:w="612" w:type="dxa"/>
                                  <w:tcBorders>
                                    <w:bottom w:val="single" w:sz="4" w:space="0" w:color="001F60"/>
                                  </w:tcBorders>
                                </w:tcPr>
                                <w:p w14:paraId="10A1050F" w14:textId="77777777" w:rsidR="002C6574" w:rsidRDefault="00000000">
                                  <w:pPr>
                                    <w:pStyle w:val="TableParagraph"/>
                                    <w:spacing w:line="76" w:lineRule="exact"/>
                                    <w:ind w:right="131"/>
                                    <w:rPr>
                                      <w:rFonts w:ascii="Arial"/>
                                      <w:b/>
                                      <w:sz w:val="9"/>
                                    </w:rPr>
                                  </w:pPr>
                                  <w:r>
                                    <w:rPr>
                                      <w:rFonts w:ascii="Arial"/>
                                      <w:b/>
                                      <w:color w:val="001F60"/>
                                      <w:spacing w:val="-2"/>
                                      <w:sz w:val="9"/>
                                    </w:rPr>
                                    <w:t>141,42</w:t>
                                  </w:r>
                                </w:p>
                              </w:tc>
                              <w:tc>
                                <w:tcPr>
                                  <w:tcW w:w="494" w:type="dxa"/>
                                  <w:tcBorders>
                                    <w:bottom w:val="single" w:sz="4" w:space="0" w:color="001F60"/>
                                  </w:tcBorders>
                                </w:tcPr>
                                <w:p w14:paraId="0C4BCC52" w14:textId="77777777" w:rsidR="002C6574" w:rsidRDefault="00000000">
                                  <w:pPr>
                                    <w:pStyle w:val="TableParagraph"/>
                                    <w:spacing w:line="76" w:lineRule="exact"/>
                                    <w:ind w:right="58"/>
                                    <w:rPr>
                                      <w:rFonts w:ascii="Arial"/>
                                      <w:b/>
                                      <w:sz w:val="9"/>
                                    </w:rPr>
                                  </w:pPr>
                                  <w:r>
                                    <w:rPr>
                                      <w:rFonts w:ascii="Arial"/>
                                      <w:b/>
                                      <w:color w:val="001F60"/>
                                      <w:spacing w:val="-2"/>
                                      <w:sz w:val="9"/>
                                    </w:rPr>
                                    <w:t>141,42</w:t>
                                  </w:r>
                                </w:p>
                              </w:tc>
                              <w:tc>
                                <w:tcPr>
                                  <w:tcW w:w="563" w:type="dxa"/>
                                  <w:tcBorders>
                                    <w:bottom w:val="single" w:sz="4" w:space="0" w:color="001F60"/>
                                  </w:tcBorders>
                                </w:tcPr>
                                <w:p w14:paraId="52EA1E49" w14:textId="77777777" w:rsidR="002C6574" w:rsidRDefault="00000000">
                                  <w:pPr>
                                    <w:pStyle w:val="TableParagraph"/>
                                    <w:spacing w:line="76" w:lineRule="exact"/>
                                    <w:ind w:right="27"/>
                                    <w:jc w:val="center"/>
                                    <w:rPr>
                                      <w:rFonts w:ascii="Arial"/>
                                      <w:b/>
                                      <w:sz w:val="9"/>
                                    </w:rPr>
                                  </w:pPr>
                                  <w:r>
                                    <w:rPr>
                                      <w:rFonts w:ascii="Arial"/>
                                      <w:b/>
                                      <w:color w:val="001F60"/>
                                      <w:spacing w:val="-4"/>
                                      <w:sz w:val="9"/>
                                    </w:rPr>
                                    <w:t>100%</w:t>
                                  </w:r>
                                </w:p>
                              </w:tc>
                              <w:tc>
                                <w:tcPr>
                                  <w:tcW w:w="553" w:type="dxa"/>
                                  <w:tcBorders>
                                    <w:bottom w:val="single" w:sz="4" w:space="0" w:color="001F60"/>
                                  </w:tcBorders>
                                </w:tcPr>
                                <w:p w14:paraId="7A98AEB5" w14:textId="77777777" w:rsidR="002C6574" w:rsidRDefault="00000000">
                                  <w:pPr>
                                    <w:pStyle w:val="TableParagraph"/>
                                    <w:spacing w:line="76" w:lineRule="exact"/>
                                    <w:ind w:right="9"/>
                                    <w:jc w:val="center"/>
                                    <w:rPr>
                                      <w:rFonts w:ascii="Arial"/>
                                      <w:b/>
                                      <w:sz w:val="9"/>
                                    </w:rPr>
                                  </w:pPr>
                                  <w:r>
                                    <w:rPr>
                                      <w:rFonts w:ascii="Arial"/>
                                      <w:b/>
                                      <w:color w:val="001F60"/>
                                      <w:spacing w:val="-4"/>
                                      <w:sz w:val="9"/>
                                    </w:rPr>
                                    <w:t>100%</w:t>
                                  </w:r>
                                </w:p>
                              </w:tc>
                            </w:tr>
                            <w:tr w:rsidR="002C6574" w14:paraId="34335E62" w14:textId="77777777">
                              <w:trPr>
                                <w:trHeight w:val="107"/>
                              </w:trPr>
                              <w:tc>
                                <w:tcPr>
                                  <w:tcW w:w="3125" w:type="dxa"/>
                                  <w:tcBorders>
                                    <w:top w:val="single" w:sz="4" w:space="0" w:color="001F60"/>
                                    <w:bottom w:val="single" w:sz="4" w:space="0" w:color="001F60"/>
                                  </w:tcBorders>
                                </w:tcPr>
                                <w:p w14:paraId="3881D784" w14:textId="77777777" w:rsidR="002C6574" w:rsidRDefault="00000000">
                                  <w:pPr>
                                    <w:pStyle w:val="TableParagraph"/>
                                    <w:spacing w:before="6" w:line="82" w:lineRule="exact"/>
                                    <w:ind w:left="513"/>
                                    <w:jc w:val="left"/>
                                    <w:rPr>
                                      <w:rFonts w:ascii="Arial"/>
                                      <w:b/>
                                      <w:sz w:val="9"/>
                                    </w:rPr>
                                  </w:pPr>
                                  <w:r>
                                    <w:rPr>
                                      <w:rFonts w:ascii="Arial"/>
                                      <w:b/>
                                      <w:color w:val="001F60"/>
                                      <w:sz w:val="9"/>
                                    </w:rPr>
                                    <w:t>Despesas</w:t>
                                  </w:r>
                                  <w:r>
                                    <w:rPr>
                                      <w:rFonts w:ascii="Arial"/>
                                      <w:b/>
                                      <w:color w:val="001F60"/>
                                      <w:spacing w:val="14"/>
                                      <w:sz w:val="9"/>
                                    </w:rPr>
                                    <w:t xml:space="preserve"> </w:t>
                                  </w:r>
                                  <w:r>
                                    <w:rPr>
                                      <w:rFonts w:ascii="Arial"/>
                                      <w:b/>
                                      <w:color w:val="001F60"/>
                                      <w:spacing w:val="-2"/>
                                      <w:sz w:val="9"/>
                                    </w:rPr>
                                    <w:t>Correntes</w:t>
                                  </w:r>
                                </w:p>
                              </w:tc>
                              <w:tc>
                                <w:tcPr>
                                  <w:tcW w:w="2366" w:type="dxa"/>
                                  <w:tcBorders>
                                    <w:top w:val="single" w:sz="4" w:space="0" w:color="001F60"/>
                                    <w:bottom w:val="single" w:sz="4" w:space="0" w:color="001F60"/>
                                  </w:tcBorders>
                                </w:tcPr>
                                <w:p w14:paraId="6835A8EF" w14:textId="77777777" w:rsidR="002C6574" w:rsidRDefault="002C6574">
                                  <w:pPr>
                                    <w:pStyle w:val="TableParagraph"/>
                                    <w:jc w:val="left"/>
                                    <w:rPr>
                                      <w:rFonts w:ascii="Times New Roman"/>
                                      <w:sz w:val="4"/>
                                    </w:rPr>
                                  </w:pPr>
                                </w:p>
                              </w:tc>
                              <w:tc>
                                <w:tcPr>
                                  <w:tcW w:w="663" w:type="dxa"/>
                                  <w:tcBorders>
                                    <w:top w:val="single" w:sz="4" w:space="0" w:color="001F60"/>
                                    <w:bottom w:val="single" w:sz="4" w:space="0" w:color="001F60"/>
                                  </w:tcBorders>
                                </w:tcPr>
                                <w:p w14:paraId="6D9ECBB0" w14:textId="77777777" w:rsidR="002C6574" w:rsidRDefault="00000000">
                                  <w:pPr>
                                    <w:pStyle w:val="TableParagraph"/>
                                    <w:spacing w:before="6" w:line="82" w:lineRule="exact"/>
                                    <w:ind w:right="148"/>
                                    <w:rPr>
                                      <w:rFonts w:ascii="Arial"/>
                                      <w:b/>
                                      <w:sz w:val="9"/>
                                    </w:rPr>
                                  </w:pPr>
                                  <w:r>
                                    <w:rPr>
                                      <w:rFonts w:ascii="Arial"/>
                                      <w:b/>
                                      <w:color w:val="001F60"/>
                                      <w:spacing w:val="-2"/>
                                      <w:sz w:val="9"/>
                                    </w:rPr>
                                    <w:t>140,38</w:t>
                                  </w:r>
                                </w:p>
                              </w:tc>
                              <w:tc>
                                <w:tcPr>
                                  <w:tcW w:w="616" w:type="dxa"/>
                                  <w:tcBorders>
                                    <w:top w:val="single" w:sz="4" w:space="0" w:color="001F60"/>
                                    <w:bottom w:val="single" w:sz="4" w:space="0" w:color="001F60"/>
                                  </w:tcBorders>
                                </w:tcPr>
                                <w:p w14:paraId="7FF90A3B" w14:textId="77777777" w:rsidR="002C6574" w:rsidRDefault="00000000">
                                  <w:pPr>
                                    <w:pStyle w:val="TableParagraph"/>
                                    <w:spacing w:before="6" w:line="82" w:lineRule="exact"/>
                                    <w:ind w:right="142"/>
                                    <w:rPr>
                                      <w:rFonts w:ascii="Arial"/>
                                      <w:b/>
                                      <w:sz w:val="9"/>
                                    </w:rPr>
                                  </w:pPr>
                                  <w:r>
                                    <w:rPr>
                                      <w:rFonts w:ascii="Arial"/>
                                      <w:b/>
                                      <w:color w:val="001F60"/>
                                      <w:spacing w:val="-2"/>
                                      <w:sz w:val="9"/>
                                    </w:rPr>
                                    <w:t>140,38</w:t>
                                  </w:r>
                                </w:p>
                              </w:tc>
                              <w:tc>
                                <w:tcPr>
                                  <w:tcW w:w="612" w:type="dxa"/>
                                  <w:tcBorders>
                                    <w:top w:val="single" w:sz="4" w:space="0" w:color="001F60"/>
                                    <w:bottom w:val="single" w:sz="4" w:space="0" w:color="001F60"/>
                                  </w:tcBorders>
                                </w:tcPr>
                                <w:p w14:paraId="100A7DD6" w14:textId="77777777" w:rsidR="002C6574" w:rsidRDefault="00000000">
                                  <w:pPr>
                                    <w:pStyle w:val="TableParagraph"/>
                                    <w:spacing w:before="6" w:line="82" w:lineRule="exact"/>
                                    <w:ind w:right="131"/>
                                    <w:rPr>
                                      <w:rFonts w:ascii="Arial"/>
                                      <w:b/>
                                      <w:sz w:val="9"/>
                                    </w:rPr>
                                  </w:pPr>
                                  <w:r>
                                    <w:rPr>
                                      <w:rFonts w:ascii="Arial"/>
                                      <w:b/>
                                      <w:color w:val="001F60"/>
                                      <w:spacing w:val="-2"/>
                                      <w:sz w:val="9"/>
                                    </w:rPr>
                                    <w:t>140,38</w:t>
                                  </w:r>
                                </w:p>
                              </w:tc>
                              <w:tc>
                                <w:tcPr>
                                  <w:tcW w:w="494" w:type="dxa"/>
                                  <w:tcBorders>
                                    <w:top w:val="single" w:sz="4" w:space="0" w:color="001F60"/>
                                    <w:bottom w:val="single" w:sz="4" w:space="0" w:color="001F60"/>
                                  </w:tcBorders>
                                </w:tcPr>
                                <w:p w14:paraId="7D8A2CB7" w14:textId="77777777" w:rsidR="002C6574" w:rsidRDefault="00000000">
                                  <w:pPr>
                                    <w:pStyle w:val="TableParagraph"/>
                                    <w:spacing w:before="6" w:line="82" w:lineRule="exact"/>
                                    <w:ind w:right="58"/>
                                    <w:rPr>
                                      <w:rFonts w:ascii="Arial"/>
                                      <w:b/>
                                      <w:sz w:val="9"/>
                                    </w:rPr>
                                  </w:pPr>
                                  <w:r>
                                    <w:rPr>
                                      <w:rFonts w:ascii="Arial"/>
                                      <w:b/>
                                      <w:color w:val="001F60"/>
                                      <w:spacing w:val="-2"/>
                                      <w:sz w:val="9"/>
                                    </w:rPr>
                                    <w:t>140,38</w:t>
                                  </w:r>
                                </w:p>
                              </w:tc>
                              <w:tc>
                                <w:tcPr>
                                  <w:tcW w:w="563" w:type="dxa"/>
                                  <w:tcBorders>
                                    <w:top w:val="single" w:sz="4" w:space="0" w:color="001F60"/>
                                    <w:bottom w:val="single" w:sz="4" w:space="0" w:color="001F60"/>
                                  </w:tcBorders>
                                </w:tcPr>
                                <w:p w14:paraId="38E26E9A" w14:textId="77777777" w:rsidR="002C6574" w:rsidRDefault="00000000">
                                  <w:pPr>
                                    <w:pStyle w:val="TableParagraph"/>
                                    <w:spacing w:before="6" w:line="82" w:lineRule="exact"/>
                                    <w:ind w:right="27"/>
                                    <w:jc w:val="center"/>
                                    <w:rPr>
                                      <w:rFonts w:ascii="Arial"/>
                                      <w:b/>
                                      <w:sz w:val="9"/>
                                    </w:rPr>
                                  </w:pPr>
                                  <w:r>
                                    <w:rPr>
                                      <w:rFonts w:ascii="Arial"/>
                                      <w:b/>
                                      <w:color w:val="001F60"/>
                                      <w:spacing w:val="-4"/>
                                      <w:sz w:val="9"/>
                                    </w:rPr>
                                    <w:t>100%</w:t>
                                  </w:r>
                                </w:p>
                              </w:tc>
                              <w:tc>
                                <w:tcPr>
                                  <w:tcW w:w="553" w:type="dxa"/>
                                  <w:tcBorders>
                                    <w:top w:val="single" w:sz="4" w:space="0" w:color="001F60"/>
                                    <w:bottom w:val="single" w:sz="4" w:space="0" w:color="001F60"/>
                                  </w:tcBorders>
                                </w:tcPr>
                                <w:p w14:paraId="61B9E92D" w14:textId="77777777" w:rsidR="002C6574" w:rsidRDefault="00000000">
                                  <w:pPr>
                                    <w:pStyle w:val="TableParagraph"/>
                                    <w:spacing w:before="6" w:line="82" w:lineRule="exact"/>
                                    <w:ind w:right="9"/>
                                    <w:jc w:val="center"/>
                                    <w:rPr>
                                      <w:rFonts w:ascii="Arial"/>
                                      <w:b/>
                                      <w:sz w:val="9"/>
                                    </w:rPr>
                                  </w:pPr>
                                  <w:r>
                                    <w:rPr>
                                      <w:rFonts w:ascii="Arial"/>
                                      <w:b/>
                                      <w:color w:val="001F60"/>
                                      <w:spacing w:val="-4"/>
                                      <w:sz w:val="9"/>
                                    </w:rPr>
                                    <w:t>100%</w:t>
                                  </w:r>
                                </w:p>
                              </w:tc>
                            </w:tr>
                            <w:tr w:rsidR="002C6574" w14:paraId="7C81FE16" w14:textId="77777777">
                              <w:trPr>
                                <w:trHeight w:val="349"/>
                              </w:trPr>
                              <w:tc>
                                <w:tcPr>
                                  <w:tcW w:w="3125" w:type="dxa"/>
                                  <w:tcBorders>
                                    <w:top w:val="single" w:sz="4" w:space="0" w:color="001F60"/>
                                    <w:bottom w:val="single" w:sz="2" w:space="0" w:color="000000"/>
                                  </w:tcBorders>
                                </w:tcPr>
                                <w:p w14:paraId="31B892D2" w14:textId="77777777" w:rsidR="002C6574" w:rsidRDefault="00000000">
                                  <w:pPr>
                                    <w:pStyle w:val="TableParagraph"/>
                                    <w:tabs>
                                      <w:tab w:val="right" w:pos="2427"/>
                                    </w:tabs>
                                    <w:spacing w:before="61"/>
                                    <w:ind w:right="-317"/>
                                    <w:rPr>
                                      <w:rFonts w:ascii="Arial MT" w:hAnsi="Arial MT"/>
                                      <w:position w:val="-5"/>
                                      <w:sz w:val="9"/>
                                    </w:rPr>
                                  </w:pPr>
                                  <w:r>
                                    <w:rPr>
                                      <w:rFonts w:ascii="Arial MT" w:hAnsi="Arial MT"/>
                                      <w:color w:val="001F60"/>
                                      <w:position w:val="-5"/>
                                      <w:sz w:val="9"/>
                                    </w:rPr>
                                    <w:t>15UI</w:t>
                                  </w:r>
                                  <w:r>
                                    <w:rPr>
                                      <w:rFonts w:ascii="Arial MT" w:hAnsi="Arial MT"/>
                                      <w:color w:val="001F60"/>
                                      <w:spacing w:val="78"/>
                                      <w:position w:val="-5"/>
                                      <w:sz w:val="9"/>
                                    </w:rPr>
                                    <w:t xml:space="preserve"> </w:t>
                                  </w:r>
                                  <w:r>
                                    <w:rPr>
                                      <w:rFonts w:ascii="Arial MT" w:hAnsi="Arial MT"/>
                                      <w:color w:val="001F60"/>
                                      <w:sz w:val="9"/>
                                    </w:rPr>
                                    <w:t>Implantação</w:t>
                                  </w:r>
                                  <w:r>
                                    <w:rPr>
                                      <w:rFonts w:ascii="Arial MT" w:hAnsi="Arial MT"/>
                                      <w:color w:val="001F60"/>
                                      <w:spacing w:val="1"/>
                                      <w:sz w:val="9"/>
                                    </w:rPr>
                                    <w:t xml:space="preserve"> </w:t>
                                  </w:r>
                                  <w:r>
                                    <w:rPr>
                                      <w:rFonts w:ascii="Arial MT" w:hAnsi="Arial MT"/>
                                      <w:color w:val="001F60"/>
                                      <w:sz w:val="9"/>
                                    </w:rPr>
                                    <w:t>de</w:t>
                                  </w:r>
                                  <w:r>
                                    <w:rPr>
                                      <w:rFonts w:ascii="Arial MT" w:hAnsi="Arial MT"/>
                                      <w:color w:val="001F60"/>
                                      <w:spacing w:val="2"/>
                                      <w:sz w:val="9"/>
                                    </w:rPr>
                                    <w:t xml:space="preserve"> </w:t>
                                  </w:r>
                                  <w:r>
                                    <w:rPr>
                                      <w:rFonts w:ascii="Arial MT" w:hAnsi="Arial MT"/>
                                      <w:color w:val="001F60"/>
                                      <w:sz w:val="9"/>
                                    </w:rPr>
                                    <w:t>Infraestrutura</w:t>
                                  </w:r>
                                  <w:r>
                                    <w:rPr>
                                      <w:rFonts w:ascii="Arial MT" w:hAnsi="Arial MT"/>
                                      <w:color w:val="001F60"/>
                                      <w:spacing w:val="1"/>
                                      <w:sz w:val="9"/>
                                    </w:rPr>
                                    <w:t xml:space="preserve"> </w:t>
                                  </w:r>
                                  <w:r>
                                    <w:rPr>
                                      <w:rFonts w:ascii="Arial MT" w:hAnsi="Arial MT"/>
                                      <w:color w:val="001F60"/>
                                      <w:sz w:val="9"/>
                                    </w:rPr>
                                    <w:t>de</w:t>
                                  </w:r>
                                  <w:r>
                                    <w:rPr>
                                      <w:rFonts w:ascii="Arial MT" w:hAnsi="Arial MT"/>
                                      <w:color w:val="001F60"/>
                                      <w:spacing w:val="1"/>
                                      <w:sz w:val="9"/>
                                    </w:rPr>
                                    <w:t xml:space="preserve"> </w:t>
                                  </w:r>
                                  <w:r>
                                    <w:rPr>
                                      <w:rFonts w:ascii="Arial MT" w:hAnsi="Arial MT"/>
                                      <w:color w:val="001F60"/>
                                      <w:sz w:val="9"/>
                                    </w:rPr>
                                    <w:t xml:space="preserve">Rede </w:t>
                                  </w:r>
                                  <w:r>
                                    <w:rPr>
                                      <w:rFonts w:ascii="Arial MT" w:hAnsi="Arial MT"/>
                                      <w:color w:val="001F60"/>
                                      <w:spacing w:val="-5"/>
                                      <w:sz w:val="9"/>
                                    </w:rPr>
                                    <w:t>de</w:t>
                                  </w:r>
                                  <w:r>
                                    <w:rPr>
                                      <w:rFonts w:ascii="Times New Roman" w:hAnsi="Times New Roman"/>
                                      <w:color w:val="001F60"/>
                                      <w:sz w:val="9"/>
                                    </w:rPr>
                                    <w:tab/>
                                  </w:r>
                                  <w:r>
                                    <w:rPr>
                                      <w:rFonts w:ascii="Arial MT" w:hAnsi="Arial MT"/>
                                      <w:color w:val="001F60"/>
                                      <w:spacing w:val="-4"/>
                                      <w:position w:val="-5"/>
                                      <w:sz w:val="9"/>
                                    </w:rPr>
                                    <w:t>1050</w:t>
                                  </w:r>
                                </w:p>
                              </w:tc>
                              <w:tc>
                                <w:tcPr>
                                  <w:tcW w:w="2366" w:type="dxa"/>
                                  <w:tcBorders>
                                    <w:top w:val="single" w:sz="4" w:space="0" w:color="001F60"/>
                                    <w:bottom w:val="single" w:sz="2" w:space="0" w:color="000000"/>
                                  </w:tcBorders>
                                </w:tcPr>
                                <w:p w14:paraId="10E54521" w14:textId="77777777" w:rsidR="002C6574" w:rsidRDefault="002C6574">
                                  <w:pPr>
                                    <w:pStyle w:val="TableParagraph"/>
                                    <w:spacing w:before="13"/>
                                    <w:jc w:val="left"/>
                                    <w:rPr>
                                      <w:rFonts w:ascii="Calibri"/>
                                      <w:sz w:val="9"/>
                                    </w:rPr>
                                  </w:pPr>
                                </w:p>
                                <w:p w14:paraId="4699B75D" w14:textId="77777777" w:rsidR="002C6574" w:rsidRDefault="00000000">
                                  <w:pPr>
                                    <w:pStyle w:val="TableParagraph"/>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Próprios</w:t>
                                  </w:r>
                                  <w:r>
                                    <w:rPr>
                                      <w:rFonts w:ascii="Arial MT" w:hAnsi="Arial MT"/>
                                      <w:color w:val="001F60"/>
                                      <w:spacing w:val="3"/>
                                      <w:sz w:val="9"/>
                                    </w:rPr>
                                    <w:t xml:space="preserve"> </w:t>
                                  </w:r>
                                  <w:r>
                                    <w:rPr>
                                      <w:rFonts w:ascii="Arial MT" w:hAnsi="Arial MT"/>
                                      <w:color w:val="001F60"/>
                                      <w:sz w:val="9"/>
                                    </w:rPr>
                                    <w:t>Livres</w:t>
                                  </w:r>
                                  <w:r>
                                    <w:rPr>
                                      <w:rFonts w:ascii="Arial MT" w:hAnsi="Arial MT"/>
                                      <w:color w:val="001F60"/>
                                      <w:spacing w:val="2"/>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5"/>
                                      <w:sz w:val="9"/>
                                    </w:rPr>
                                    <w:t>UO</w:t>
                                  </w:r>
                                </w:p>
                              </w:tc>
                              <w:tc>
                                <w:tcPr>
                                  <w:tcW w:w="663" w:type="dxa"/>
                                  <w:tcBorders>
                                    <w:top w:val="single" w:sz="4" w:space="0" w:color="001F60"/>
                                    <w:bottom w:val="single" w:sz="2" w:space="0" w:color="000000"/>
                                  </w:tcBorders>
                                </w:tcPr>
                                <w:p w14:paraId="121C435B" w14:textId="77777777" w:rsidR="002C6574" w:rsidRDefault="002C6574">
                                  <w:pPr>
                                    <w:pStyle w:val="TableParagraph"/>
                                    <w:spacing w:before="13"/>
                                    <w:jc w:val="left"/>
                                    <w:rPr>
                                      <w:rFonts w:ascii="Calibri"/>
                                      <w:sz w:val="9"/>
                                    </w:rPr>
                                  </w:pPr>
                                </w:p>
                                <w:p w14:paraId="6150A1FE" w14:textId="77777777" w:rsidR="002C6574" w:rsidRDefault="00000000">
                                  <w:pPr>
                                    <w:pStyle w:val="TableParagraph"/>
                                    <w:ind w:right="148"/>
                                    <w:rPr>
                                      <w:rFonts w:ascii="Arial MT"/>
                                      <w:sz w:val="9"/>
                                    </w:rPr>
                                  </w:pPr>
                                  <w:r>
                                    <w:rPr>
                                      <w:rFonts w:ascii="Arial MT"/>
                                      <w:color w:val="001F60"/>
                                      <w:spacing w:val="-2"/>
                                      <w:sz w:val="9"/>
                                    </w:rPr>
                                    <w:t>59,53</w:t>
                                  </w:r>
                                </w:p>
                              </w:tc>
                              <w:tc>
                                <w:tcPr>
                                  <w:tcW w:w="616" w:type="dxa"/>
                                  <w:tcBorders>
                                    <w:top w:val="single" w:sz="4" w:space="0" w:color="001F60"/>
                                    <w:bottom w:val="single" w:sz="2" w:space="0" w:color="000000"/>
                                  </w:tcBorders>
                                </w:tcPr>
                                <w:p w14:paraId="6D63865B" w14:textId="77777777" w:rsidR="002C6574" w:rsidRDefault="002C6574">
                                  <w:pPr>
                                    <w:pStyle w:val="TableParagraph"/>
                                    <w:spacing w:before="13"/>
                                    <w:jc w:val="left"/>
                                    <w:rPr>
                                      <w:rFonts w:ascii="Calibri"/>
                                      <w:sz w:val="9"/>
                                    </w:rPr>
                                  </w:pPr>
                                </w:p>
                                <w:p w14:paraId="1E263F48" w14:textId="77777777" w:rsidR="002C6574" w:rsidRDefault="00000000">
                                  <w:pPr>
                                    <w:pStyle w:val="TableParagraph"/>
                                    <w:ind w:right="142"/>
                                    <w:rPr>
                                      <w:rFonts w:ascii="Arial MT"/>
                                      <w:sz w:val="9"/>
                                    </w:rPr>
                                  </w:pPr>
                                  <w:r>
                                    <w:rPr>
                                      <w:rFonts w:ascii="Arial MT"/>
                                      <w:color w:val="001F60"/>
                                      <w:spacing w:val="-2"/>
                                      <w:sz w:val="9"/>
                                    </w:rPr>
                                    <w:t>59,53</w:t>
                                  </w:r>
                                </w:p>
                              </w:tc>
                              <w:tc>
                                <w:tcPr>
                                  <w:tcW w:w="612" w:type="dxa"/>
                                  <w:tcBorders>
                                    <w:top w:val="single" w:sz="4" w:space="0" w:color="001F60"/>
                                    <w:bottom w:val="single" w:sz="2" w:space="0" w:color="000000"/>
                                  </w:tcBorders>
                                </w:tcPr>
                                <w:p w14:paraId="3C566820" w14:textId="77777777" w:rsidR="002C6574" w:rsidRDefault="002C6574">
                                  <w:pPr>
                                    <w:pStyle w:val="TableParagraph"/>
                                    <w:spacing w:before="13"/>
                                    <w:jc w:val="left"/>
                                    <w:rPr>
                                      <w:rFonts w:ascii="Calibri"/>
                                      <w:sz w:val="9"/>
                                    </w:rPr>
                                  </w:pPr>
                                </w:p>
                                <w:p w14:paraId="59E56B97" w14:textId="77777777" w:rsidR="002C6574" w:rsidRDefault="00000000">
                                  <w:pPr>
                                    <w:pStyle w:val="TableParagraph"/>
                                    <w:ind w:right="131"/>
                                    <w:rPr>
                                      <w:rFonts w:ascii="Arial MT"/>
                                      <w:sz w:val="9"/>
                                    </w:rPr>
                                  </w:pPr>
                                  <w:r>
                                    <w:rPr>
                                      <w:rFonts w:ascii="Arial MT"/>
                                      <w:color w:val="001F60"/>
                                      <w:spacing w:val="-2"/>
                                      <w:sz w:val="9"/>
                                    </w:rPr>
                                    <w:t>59,53</w:t>
                                  </w:r>
                                </w:p>
                              </w:tc>
                              <w:tc>
                                <w:tcPr>
                                  <w:tcW w:w="494" w:type="dxa"/>
                                  <w:tcBorders>
                                    <w:top w:val="single" w:sz="4" w:space="0" w:color="001F60"/>
                                    <w:bottom w:val="single" w:sz="2" w:space="0" w:color="000000"/>
                                  </w:tcBorders>
                                </w:tcPr>
                                <w:p w14:paraId="515D6322" w14:textId="77777777" w:rsidR="002C6574" w:rsidRDefault="002C6574">
                                  <w:pPr>
                                    <w:pStyle w:val="TableParagraph"/>
                                    <w:spacing w:before="13"/>
                                    <w:jc w:val="left"/>
                                    <w:rPr>
                                      <w:rFonts w:ascii="Calibri"/>
                                      <w:sz w:val="9"/>
                                    </w:rPr>
                                  </w:pPr>
                                </w:p>
                                <w:p w14:paraId="06B1030B" w14:textId="77777777" w:rsidR="002C6574" w:rsidRDefault="00000000">
                                  <w:pPr>
                                    <w:pStyle w:val="TableParagraph"/>
                                    <w:ind w:right="58"/>
                                    <w:rPr>
                                      <w:rFonts w:ascii="Arial MT"/>
                                      <w:sz w:val="9"/>
                                    </w:rPr>
                                  </w:pPr>
                                  <w:r>
                                    <w:rPr>
                                      <w:rFonts w:ascii="Arial MT"/>
                                      <w:color w:val="001F60"/>
                                      <w:spacing w:val="-2"/>
                                      <w:sz w:val="9"/>
                                    </w:rPr>
                                    <w:t>59,53</w:t>
                                  </w:r>
                                </w:p>
                              </w:tc>
                              <w:tc>
                                <w:tcPr>
                                  <w:tcW w:w="563" w:type="dxa"/>
                                  <w:tcBorders>
                                    <w:top w:val="single" w:sz="4" w:space="0" w:color="001F60"/>
                                    <w:bottom w:val="single" w:sz="2" w:space="0" w:color="000000"/>
                                  </w:tcBorders>
                                </w:tcPr>
                                <w:p w14:paraId="4FCE81DB" w14:textId="77777777" w:rsidR="002C6574" w:rsidRDefault="002C6574">
                                  <w:pPr>
                                    <w:pStyle w:val="TableParagraph"/>
                                    <w:spacing w:before="13"/>
                                    <w:jc w:val="left"/>
                                    <w:rPr>
                                      <w:rFonts w:ascii="Calibri"/>
                                      <w:sz w:val="9"/>
                                    </w:rPr>
                                  </w:pPr>
                                </w:p>
                                <w:p w14:paraId="405885A0" w14:textId="77777777" w:rsidR="002C6574" w:rsidRDefault="00000000">
                                  <w:pPr>
                                    <w:pStyle w:val="TableParagraph"/>
                                    <w:ind w:left="10" w:right="27"/>
                                    <w:jc w:val="center"/>
                                    <w:rPr>
                                      <w:rFonts w:ascii="Arial MT"/>
                                      <w:sz w:val="9"/>
                                    </w:rPr>
                                  </w:pPr>
                                  <w:r>
                                    <w:rPr>
                                      <w:rFonts w:ascii="Arial MT"/>
                                      <w:color w:val="001F60"/>
                                      <w:spacing w:val="-4"/>
                                      <w:sz w:val="9"/>
                                    </w:rPr>
                                    <w:t>100%</w:t>
                                  </w:r>
                                </w:p>
                              </w:tc>
                              <w:tc>
                                <w:tcPr>
                                  <w:tcW w:w="553" w:type="dxa"/>
                                  <w:tcBorders>
                                    <w:top w:val="single" w:sz="4" w:space="0" w:color="001F60"/>
                                    <w:bottom w:val="single" w:sz="2" w:space="0" w:color="000000"/>
                                  </w:tcBorders>
                                </w:tcPr>
                                <w:p w14:paraId="1F0B2784" w14:textId="77777777" w:rsidR="002C6574" w:rsidRDefault="002C6574">
                                  <w:pPr>
                                    <w:pStyle w:val="TableParagraph"/>
                                    <w:spacing w:before="13"/>
                                    <w:jc w:val="left"/>
                                    <w:rPr>
                                      <w:rFonts w:ascii="Calibri"/>
                                      <w:sz w:val="9"/>
                                    </w:rPr>
                                  </w:pPr>
                                </w:p>
                                <w:p w14:paraId="09F7A502" w14:textId="77777777" w:rsidR="002C6574" w:rsidRDefault="00000000">
                                  <w:pPr>
                                    <w:pStyle w:val="TableParagraph"/>
                                    <w:ind w:left="9" w:right="9"/>
                                    <w:jc w:val="center"/>
                                    <w:rPr>
                                      <w:rFonts w:ascii="Arial MT"/>
                                      <w:sz w:val="9"/>
                                    </w:rPr>
                                  </w:pPr>
                                  <w:r>
                                    <w:rPr>
                                      <w:rFonts w:ascii="Arial MT"/>
                                      <w:color w:val="001F60"/>
                                      <w:spacing w:val="-4"/>
                                      <w:sz w:val="9"/>
                                    </w:rPr>
                                    <w:t>100%</w:t>
                                  </w:r>
                                </w:p>
                              </w:tc>
                            </w:tr>
                            <w:tr w:rsidR="002C6574" w14:paraId="26D0B6AF" w14:textId="77777777">
                              <w:trPr>
                                <w:trHeight w:val="116"/>
                              </w:trPr>
                              <w:tc>
                                <w:tcPr>
                                  <w:tcW w:w="3125" w:type="dxa"/>
                                  <w:tcBorders>
                                    <w:top w:val="single" w:sz="2" w:space="0" w:color="000000"/>
                                  </w:tcBorders>
                                </w:tcPr>
                                <w:p w14:paraId="21FD9352" w14:textId="77777777" w:rsidR="002C6574" w:rsidRDefault="00000000">
                                  <w:pPr>
                                    <w:pStyle w:val="TableParagraph"/>
                                    <w:tabs>
                                      <w:tab w:val="right" w:pos="2427"/>
                                    </w:tabs>
                                    <w:spacing w:before="4" w:line="92" w:lineRule="exact"/>
                                    <w:ind w:right="-317"/>
                                    <w:rPr>
                                      <w:rFonts w:ascii="Arial MT" w:hAnsi="Arial MT"/>
                                      <w:sz w:val="9"/>
                                    </w:rPr>
                                  </w:pPr>
                                  <w:r>
                                    <w:rPr>
                                      <w:rFonts w:ascii="Arial MT" w:hAnsi="Arial MT"/>
                                      <w:color w:val="001F60"/>
                                      <w:sz w:val="9"/>
                                    </w:rPr>
                                    <w:t>2000</w:t>
                                  </w:r>
                                  <w:r>
                                    <w:rPr>
                                      <w:rFonts w:ascii="Arial MT" w:hAnsi="Arial MT"/>
                                      <w:color w:val="001F60"/>
                                      <w:spacing w:val="67"/>
                                      <w:sz w:val="9"/>
                                    </w:rPr>
                                    <w:t xml:space="preserve"> </w:t>
                                  </w:r>
                                  <w:r>
                                    <w:rPr>
                                      <w:rFonts w:ascii="Arial MT" w:hAnsi="Arial MT"/>
                                      <w:color w:val="001F60"/>
                                      <w:sz w:val="9"/>
                                    </w:rPr>
                                    <w:t>Administração</w:t>
                                  </w:r>
                                  <w:r>
                                    <w:rPr>
                                      <w:rFonts w:ascii="Arial MT" w:hAnsi="Arial MT"/>
                                      <w:color w:val="001F60"/>
                                      <w:spacing w:val="1"/>
                                      <w:sz w:val="9"/>
                                    </w:rPr>
                                    <w:t xml:space="preserve"> </w:t>
                                  </w:r>
                                  <w:r>
                                    <w:rPr>
                                      <w:rFonts w:ascii="Arial MT" w:hAnsi="Arial MT"/>
                                      <w:color w:val="001F60"/>
                                      <w:sz w:val="9"/>
                                    </w:rPr>
                                    <w:t xml:space="preserve">da </w:t>
                                  </w:r>
                                  <w:r>
                                    <w:rPr>
                                      <w:rFonts w:ascii="Arial MT" w:hAnsi="Arial MT"/>
                                      <w:color w:val="001F60"/>
                                      <w:spacing w:val="-2"/>
                                      <w:sz w:val="9"/>
                                    </w:rPr>
                                    <w:t>Unidade</w:t>
                                  </w:r>
                                  <w:r>
                                    <w:rPr>
                                      <w:rFonts w:ascii="Times New Roman" w:hAnsi="Times New Roman"/>
                                      <w:color w:val="001F60"/>
                                      <w:sz w:val="9"/>
                                    </w:rPr>
                                    <w:tab/>
                                  </w:r>
                                  <w:r>
                                    <w:rPr>
                                      <w:rFonts w:ascii="Arial MT" w:hAnsi="Arial MT"/>
                                      <w:color w:val="001F60"/>
                                      <w:spacing w:val="-4"/>
                                      <w:sz w:val="9"/>
                                    </w:rPr>
                                    <w:t>1000</w:t>
                                  </w:r>
                                </w:p>
                              </w:tc>
                              <w:tc>
                                <w:tcPr>
                                  <w:tcW w:w="2366" w:type="dxa"/>
                                  <w:tcBorders>
                                    <w:top w:val="single" w:sz="2" w:space="0" w:color="000000"/>
                                  </w:tcBorders>
                                </w:tcPr>
                                <w:p w14:paraId="1809780C" w14:textId="77777777" w:rsidR="002C6574" w:rsidRDefault="00000000">
                                  <w:pPr>
                                    <w:pStyle w:val="TableParagraph"/>
                                    <w:spacing w:before="4" w:line="92" w:lineRule="exact"/>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Livres</w:t>
                                  </w:r>
                                  <w:r>
                                    <w:rPr>
                                      <w:rFonts w:ascii="Arial MT" w:hAnsi="Arial MT"/>
                                      <w:color w:val="001F60"/>
                                      <w:spacing w:val="3"/>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2"/>
                                      <w:sz w:val="9"/>
                                    </w:rPr>
                                    <w:t>União</w:t>
                                  </w:r>
                                </w:p>
                              </w:tc>
                              <w:tc>
                                <w:tcPr>
                                  <w:tcW w:w="663" w:type="dxa"/>
                                  <w:tcBorders>
                                    <w:top w:val="single" w:sz="2" w:space="0" w:color="000000"/>
                                  </w:tcBorders>
                                </w:tcPr>
                                <w:p w14:paraId="3E4F343C" w14:textId="77777777" w:rsidR="002C6574" w:rsidRDefault="00000000">
                                  <w:pPr>
                                    <w:pStyle w:val="TableParagraph"/>
                                    <w:spacing w:before="4" w:line="92" w:lineRule="exact"/>
                                    <w:ind w:right="148"/>
                                    <w:rPr>
                                      <w:rFonts w:ascii="Arial MT"/>
                                      <w:sz w:val="9"/>
                                    </w:rPr>
                                  </w:pPr>
                                  <w:r>
                                    <w:rPr>
                                      <w:rFonts w:ascii="Arial MT"/>
                                      <w:color w:val="001F60"/>
                                      <w:spacing w:val="-2"/>
                                      <w:sz w:val="9"/>
                                    </w:rPr>
                                    <w:t>13,05</w:t>
                                  </w:r>
                                </w:p>
                              </w:tc>
                              <w:tc>
                                <w:tcPr>
                                  <w:tcW w:w="616" w:type="dxa"/>
                                  <w:tcBorders>
                                    <w:top w:val="single" w:sz="2" w:space="0" w:color="000000"/>
                                  </w:tcBorders>
                                </w:tcPr>
                                <w:p w14:paraId="7F93AD65" w14:textId="77777777" w:rsidR="002C6574" w:rsidRDefault="00000000">
                                  <w:pPr>
                                    <w:pStyle w:val="TableParagraph"/>
                                    <w:spacing w:before="4" w:line="92" w:lineRule="exact"/>
                                    <w:ind w:right="142"/>
                                    <w:rPr>
                                      <w:rFonts w:ascii="Arial MT"/>
                                      <w:sz w:val="9"/>
                                    </w:rPr>
                                  </w:pPr>
                                  <w:r>
                                    <w:rPr>
                                      <w:rFonts w:ascii="Arial MT"/>
                                      <w:color w:val="001F60"/>
                                      <w:spacing w:val="-2"/>
                                      <w:sz w:val="9"/>
                                    </w:rPr>
                                    <w:t>13,05</w:t>
                                  </w:r>
                                </w:p>
                              </w:tc>
                              <w:tc>
                                <w:tcPr>
                                  <w:tcW w:w="612" w:type="dxa"/>
                                  <w:tcBorders>
                                    <w:top w:val="single" w:sz="2" w:space="0" w:color="000000"/>
                                  </w:tcBorders>
                                </w:tcPr>
                                <w:p w14:paraId="5F700675" w14:textId="77777777" w:rsidR="002C6574" w:rsidRDefault="00000000">
                                  <w:pPr>
                                    <w:pStyle w:val="TableParagraph"/>
                                    <w:spacing w:before="4" w:line="92" w:lineRule="exact"/>
                                    <w:ind w:right="131"/>
                                    <w:rPr>
                                      <w:rFonts w:ascii="Arial MT"/>
                                      <w:sz w:val="9"/>
                                    </w:rPr>
                                  </w:pPr>
                                  <w:r>
                                    <w:rPr>
                                      <w:rFonts w:ascii="Arial MT"/>
                                      <w:color w:val="001F60"/>
                                      <w:spacing w:val="-2"/>
                                      <w:sz w:val="9"/>
                                    </w:rPr>
                                    <w:t>13,05</w:t>
                                  </w:r>
                                </w:p>
                              </w:tc>
                              <w:tc>
                                <w:tcPr>
                                  <w:tcW w:w="494" w:type="dxa"/>
                                  <w:tcBorders>
                                    <w:top w:val="single" w:sz="2" w:space="0" w:color="000000"/>
                                  </w:tcBorders>
                                </w:tcPr>
                                <w:p w14:paraId="67B49FA0" w14:textId="77777777" w:rsidR="002C6574" w:rsidRDefault="00000000">
                                  <w:pPr>
                                    <w:pStyle w:val="TableParagraph"/>
                                    <w:spacing w:before="4" w:line="92" w:lineRule="exact"/>
                                    <w:ind w:right="58"/>
                                    <w:rPr>
                                      <w:rFonts w:ascii="Arial MT"/>
                                      <w:sz w:val="9"/>
                                    </w:rPr>
                                  </w:pPr>
                                  <w:r>
                                    <w:rPr>
                                      <w:rFonts w:ascii="Arial MT"/>
                                      <w:color w:val="001F60"/>
                                      <w:spacing w:val="-2"/>
                                      <w:sz w:val="9"/>
                                    </w:rPr>
                                    <w:t>13,05</w:t>
                                  </w:r>
                                </w:p>
                              </w:tc>
                              <w:tc>
                                <w:tcPr>
                                  <w:tcW w:w="563" w:type="dxa"/>
                                  <w:tcBorders>
                                    <w:top w:val="single" w:sz="2" w:space="0" w:color="000000"/>
                                  </w:tcBorders>
                                </w:tcPr>
                                <w:p w14:paraId="175CB743" w14:textId="77777777" w:rsidR="002C6574" w:rsidRDefault="00000000">
                                  <w:pPr>
                                    <w:pStyle w:val="TableParagraph"/>
                                    <w:spacing w:before="4" w:line="92" w:lineRule="exact"/>
                                    <w:ind w:left="10" w:right="27"/>
                                    <w:jc w:val="center"/>
                                    <w:rPr>
                                      <w:rFonts w:ascii="Arial MT"/>
                                      <w:sz w:val="9"/>
                                    </w:rPr>
                                  </w:pPr>
                                  <w:r>
                                    <w:rPr>
                                      <w:rFonts w:ascii="Arial MT"/>
                                      <w:color w:val="001F60"/>
                                      <w:spacing w:val="-4"/>
                                      <w:sz w:val="9"/>
                                    </w:rPr>
                                    <w:t>100%</w:t>
                                  </w:r>
                                </w:p>
                              </w:tc>
                              <w:tc>
                                <w:tcPr>
                                  <w:tcW w:w="553" w:type="dxa"/>
                                  <w:tcBorders>
                                    <w:top w:val="single" w:sz="2" w:space="0" w:color="000000"/>
                                  </w:tcBorders>
                                </w:tcPr>
                                <w:p w14:paraId="5AEF3BA9" w14:textId="77777777" w:rsidR="002C6574" w:rsidRDefault="00000000">
                                  <w:pPr>
                                    <w:pStyle w:val="TableParagraph"/>
                                    <w:spacing w:before="4" w:line="92" w:lineRule="exact"/>
                                    <w:ind w:left="9" w:right="9"/>
                                    <w:jc w:val="center"/>
                                    <w:rPr>
                                      <w:rFonts w:ascii="Arial MT"/>
                                      <w:sz w:val="9"/>
                                    </w:rPr>
                                  </w:pPr>
                                  <w:r>
                                    <w:rPr>
                                      <w:rFonts w:ascii="Arial MT"/>
                                      <w:color w:val="001F60"/>
                                      <w:spacing w:val="-4"/>
                                      <w:sz w:val="9"/>
                                    </w:rPr>
                                    <w:t>100%</w:t>
                                  </w:r>
                                </w:p>
                              </w:tc>
                            </w:tr>
                            <w:tr w:rsidR="002C6574" w14:paraId="306731CB" w14:textId="77777777">
                              <w:trPr>
                                <w:trHeight w:val="118"/>
                              </w:trPr>
                              <w:tc>
                                <w:tcPr>
                                  <w:tcW w:w="3125" w:type="dxa"/>
                                </w:tcPr>
                                <w:p w14:paraId="2FFD2DD1" w14:textId="77777777" w:rsidR="002C6574" w:rsidRDefault="00000000">
                                  <w:pPr>
                                    <w:pStyle w:val="TableParagraph"/>
                                    <w:tabs>
                                      <w:tab w:val="right" w:pos="2427"/>
                                    </w:tabs>
                                    <w:spacing w:before="7" w:line="91" w:lineRule="exact"/>
                                    <w:ind w:right="-317"/>
                                    <w:rPr>
                                      <w:rFonts w:ascii="Arial MT" w:hAnsi="Arial MT"/>
                                      <w:sz w:val="9"/>
                                    </w:rPr>
                                  </w:pPr>
                                  <w:r>
                                    <w:rPr>
                                      <w:rFonts w:ascii="Arial MT" w:hAnsi="Arial MT"/>
                                      <w:color w:val="001F60"/>
                                      <w:sz w:val="9"/>
                                    </w:rPr>
                                    <w:t>2000</w:t>
                                  </w:r>
                                  <w:r>
                                    <w:rPr>
                                      <w:rFonts w:ascii="Arial MT" w:hAnsi="Arial MT"/>
                                      <w:color w:val="001F60"/>
                                      <w:spacing w:val="67"/>
                                      <w:sz w:val="9"/>
                                    </w:rPr>
                                    <w:t xml:space="preserve"> </w:t>
                                  </w:r>
                                  <w:r>
                                    <w:rPr>
                                      <w:rFonts w:ascii="Arial MT" w:hAnsi="Arial MT"/>
                                      <w:color w:val="001F60"/>
                                      <w:sz w:val="9"/>
                                    </w:rPr>
                                    <w:t>Administração</w:t>
                                  </w:r>
                                  <w:r>
                                    <w:rPr>
                                      <w:rFonts w:ascii="Arial MT" w:hAnsi="Arial MT"/>
                                      <w:color w:val="001F60"/>
                                      <w:spacing w:val="1"/>
                                      <w:sz w:val="9"/>
                                    </w:rPr>
                                    <w:t xml:space="preserve"> </w:t>
                                  </w:r>
                                  <w:r>
                                    <w:rPr>
                                      <w:rFonts w:ascii="Arial MT" w:hAnsi="Arial MT"/>
                                      <w:color w:val="001F60"/>
                                      <w:sz w:val="9"/>
                                    </w:rPr>
                                    <w:t xml:space="preserve">da </w:t>
                                  </w:r>
                                  <w:r>
                                    <w:rPr>
                                      <w:rFonts w:ascii="Arial MT" w:hAnsi="Arial MT"/>
                                      <w:color w:val="001F60"/>
                                      <w:spacing w:val="-2"/>
                                      <w:sz w:val="9"/>
                                    </w:rPr>
                                    <w:t>Unidade</w:t>
                                  </w:r>
                                  <w:r>
                                    <w:rPr>
                                      <w:rFonts w:ascii="Times New Roman" w:hAnsi="Times New Roman"/>
                                      <w:color w:val="001F60"/>
                                      <w:sz w:val="9"/>
                                    </w:rPr>
                                    <w:tab/>
                                  </w:r>
                                  <w:r>
                                    <w:rPr>
                                      <w:rFonts w:ascii="Arial MT" w:hAnsi="Arial MT"/>
                                      <w:color w:val="001F60"/>
                                      <w:spacing w:val="-4"/>
                                      <w:sz w:val="9"/>
                                    </w:rPr>
                                    <w:t>1050</w:t>
                                  </w:r>
                                </w:p>
                              </w:tc>
                              <w:tc>
                                <w:tcPr>
                                  <w:tcW w:w="2366" w:type="dxa"/>
                                </w:tcPr>
                                <w:p w14:paraId="1ED38764" w14:textId="77777777" w:rsidR="002C6574" w:rsidRDefault="00000000">
                                  <w:pPr>
                                    <w:pStyle w:val="TableParagraph"/>
                                    <w:spacing w:before="7" w:line="91" w:lineRule="exact"/>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Próprios</w:t>
                                  </w:r>
                                  <w:r>
                                    <w:rPr>
                                      <w:rFonts w:ascii="Arial MT" w:hAnsi="Arial MT"/>
                                      <w:color w:val="001F60"/>
                                      <w:spacing w:val="3"/>
                                      <w:sz w:val="9"/>
                                    </w:rPr>
                                    <w:t xml:space="preserve"> </w:t>
                                  </w:r>
                                  <w:r>
                                    <w:rPr>
                                      <w:rFonts w:ascii="Arial MT" w:hAnsi="Arial MT"/>
                                      <w:color w:val="001F60"/>
                                      <w:sz w:val="9"/>
                                    </w:rPr>
                                    <w:t>Livres</w:t>
                                  </w:r>
                                  <w:r>
                                    <w:rPr>
                                      <w:rFonts w:ascii="Arial MT" w:hAnsi="Arial MT"/>
                                      <w:color w:val="001F60"/>
                                      <w:spacing w:val="2"/>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5"/>
                                      <w:sz w:val="9"/>
                                    </w:rPr>
                                    <w:t>UO</w:t>
                                  </w:r>
                                </w:p>
                              </w:tc>
                              <w:tc>
                                <w:tcPr>
                                  <w:tcW w:w="663" w:type="dxa"/>
                                </w:tcPr>
                                <w:p w14:paraId="33FDC05A" w14:textId="77777777" w:rsidR="002C6574" w:rsidRDefault="00000000">
                                  <w:pPr>
                                    <w:pStyle w:val="TableParagraph"/>
                                    <w:spacing w:before="7" w:line="91" w:lineRule="exact"/>
                                    <w:ind w:right="148"/>
                                    <w:rPr>
                                      <w:rFonts w:ascii="Arial MT"/>
                                      <w:sz w:val="9"/>
                                    </w:rPr>
                                  </w:pPr>
                                  <w:r>
                                    <w:rPr>
                                      <w:rFonts w:ascii="Arial MT"/>
                                      <w:color w:val="001F60"/>
                                      <w:spacing w:val="-2"/>
                                      <w:sz w:val="9"/>
                                    </w:rPr>
                                    <w:t>16,23</w:t>
                                  </w:r>
                                </w:p>
                              </w:tc>
                              <w:tc>
                                <w:tcPr>
                                  <w:tcW w:w="616" w:type="dxa"/>
                                </w:tcPr>
                                <w:p w14:paraId="28C8F8F0" w14:textId="77777777" w:rsidR="002C6574" w:rsidRDefault="00000000">
                                  <w:pPr>
                                    <w:pStyle w:val="TableParagraph"/>
                                    <w:spacing w:before="7" w:line="91" w:lineRule="exact"/>
                                    <w:ind w:right="142"/>
                                    <w:rPr>
                                      <w:rFonts w:ascii="Arial MT"/>
                                      <w:sz w:val="9"/>
                                    </w:rPr>
                                  </w:pPr>
                                  <w:r>
                                    <w:rPr>
                                      <w:rFonts w:ascii="Arial MT"/>
                                      <w:color w:val="001F60"/>
                                      <w:spacing w:val="-2"/>
                                      <w:sz w:val="9"/>
                                    </w:rPr>
                                    <w:t>16,23</w:t>
                                  </w:r>
                                </w:p>
                              </w:tc>
                              <w:tc>
                                <w:tcPr>
                                  <w:tcW w:w="612" w:type="dxa"/>
                                </w:tcPr>
                                <w:p w14:paraId="4102EA86" w14:textId="77777777" w:rsidR="002C6574" w:rsidRDefault="00000000">
                                  <w:pPr>
                                    <w:pStyle w:val="TableParagraph"/>
                                    <w:spacing w:before="7" w:line="91" w:lineRule="exact"/>
                                    <w:ind w:right="131"/>
                                    <w:rPr>
                                      <w:rFonts w:ascii="Arial MT"/>
                                      <w:sz w:val="9"/>
                                    </w:rPr>
                                  </w:pPr>
                                  <w:r>
                                    <w:rPr>
                                      <w:rFonts w:ascii="Arial MT"/>
                                      <w:color w:val="001F60"/>
                                      <w:spacing w:val="-2"/>
                                      <w:sz w:val="9"/>
                                    </w:rPr>
                                    <w:t>16,23</w:t>
                                  </w:r>
                                </w:p>
                              </w:tc>
                              <w:tc>
                                <w:tcPr>
                                  <w:tcW w:w="494" w:type="dxa"/>
                                </w:tcPr>
                                <w:p w14:paraId="27EC00A1" w14:textId="77777777" w:rsidR="002C6574" w:rsidRDefault="00000000">
                                  <w:pPr>
                                    <w:pStyle w:val="TableParagraph"/>
                                    <w:spacing w:before="7" w:line="91" w:lineRule="exact"/>
                                    <w:ind w:right="58"/>
                                    <w:rPr>
                                      <w:rFonts w:ascii="Arial MT"/>
                                      <w:sz w:val="9"/>
                                    </w:rPr>
                                  </w:pPr>
                                  <w:r>
                                    <w:rPr>
                                      <w:rFonts w:ascii="Arial MT"/>
                                      <w:color w:val="001F60"/>
                                      <w:spacing w:val="-2"/>
                                      <w:sz w:val="9"/>
                                    </w:rPr>
                                    <w:t>16,23</w:t>
                                  </w:r>
                                </w:p>
                              </w:tc>
                              <w:tc>
                                <w:tcPr>
                                  <w:tcW w:w="563" w:type="dxa"/>
                                </w:tcPr>
                                <w:p w14:paraId="23E0F42F" w14:textId="77777777" w:rsidR="002C6574" w:rsidRDefault="00000000">
                                  <w:pPr>
                                    <w:pStyle w:val="TableParagraph"/>
                                    <w:spacing w:before="7" w:line="91" w:lineRule="exact"/>
                                    <w:ind w:left="10" w:right="27"/>
                                    <w:jc w:val="center"/>
                                    <w:rPr>
                                      <w:rFonts w:ascii="Arial MT"/>
                                      <w:sz w:val="9"/>
                                    </w:rPr>
                                  </w:pPr>
                                  <w:r>
                                    <w:rPr>
                                      <w:rFonts w:ascii="Arial MT"/>
                                      <w:color w:val="001F60"/>
                                      <w:spacing w:val="-4"/>
                                      <w:sz w:val="9"/>
                                    </w:rPr>
                                    <w:t>100%</w:t>
                                  </w:r>
                                </w:p>
                              </w:tc>
                              <w:tc>
                                <w:tcPr>
                                  <w:tcW w:w="553" w:type="dxa"/>
                                </w:tcPr>
                                <w:p w14:paraId="080484CC" w14:textId="77777777" w:rsidR="002C6574" w:rsidRDefault="00000000">
                                  <w:pPr>
                                    <w:pStyle w:val="TableParagraph"/>
                                    <w:spacing w:before="7" w:line="91" w:lineRule="exact"/>
                                    <w:ind w:left="9" w:right="9"/>
                                    <w:jc w:val="center"/>
                                    <w:rPr>
                                      <w:rFonts w:ascii="Arial MT"/>
                                      <w:sz w:val="9"/>
                                    </w:rPr>
                                  </w:pPr>
                                  <w:r>
                                    <w:rPr>
                                      <w:rFonts w:ascii="Arial MT"/>
                                      <w:color w:val="001F60"/>
                                      <w:spacing w:val="-4"/>
                                      <w:sz w:val="9"/>
                                    </w:rPr>
                                    <w:t>100%</w:t>
                                  </w:r>
                                </w:p>
                              </w:tc>
                            </w:tr>
                            <w:tr w:rsidR="002C6574" w14:paraId="6C028DB2" w14:textId="77777777">
                              <w:trPr>
                                <w:trHeight w:val="115"/>
                              </w:trPr>
                              <w:tc>
                                <w:tcPr>
                                  <w:tcW w:w="3125" w:type="dxa"/>
                                  <w:tcBorders>
                                    <w:bottom w:val="single" w:sz="2" w:space="0" w:color="000000"/>
                                  </w:tcBorders>
                                </w:tcPr>
                                <w:p w14:paraId="01EE0E9E" w14:textId="77777777" w:rsidR="002C6574" w:rsidRDefault="00000000">
                                  <w:pPr>
                                    <w:pStyle w:val="TableParagraph"/>
                                    <w:tabs>
                                      <w:tab w:val="left" w:pos="2222"/>
                                    </w:tabs>
                                    <w:spacing w:before="6" w:line="89" w:lineRule="exact"/>
                                    <w:ind w:right="-317"/>
                                    <w:rPr>
                                      <w:rFonts w:ascii="Arial MT" w:hAnsi="Arial MT"/>
                                      <w:sz w:val="9"/>
                                    </w:rPr>
                                  </w:pPr>
                                  <w:r>
                                    <w:rPr>
                                      <w:rFonts w:ascii="Arial MT" w:hAnsi="Arial MT"/>
                                      <w:color w:val="001F60"/>
                                      <w:sz w:val="9"/>
                                    </w:rPr>
                                    <w:t>2000</w:t>
                                  </w:r>
                                  <w:r>
                                    <w:rPr>
                                      <w:rFonts w:ascii="Arial MT" w:hAnsi="Arial MT"/>
                                      <w:color w:val="001F60"/>
                                      <w:spacing w:val="67"/>
                                      <w:sz w:val="9"/>
                                    </w:rPr>
                                    <w:t xml:space="preserve"> </w:t>
                                  </w:r>
                                  <w:r>
                                    <w:rPr>
                                      <w:rFonts w:ascii="Arial MT" w:hAnsi="Arial MT"/>
                                      <w:color w:val="001F60"/>
                                      <w:sz w:val="9"/>
                                    </w:rPr>
                                    <w:t>Administração</w:t>
                                  </w:r>
                                  <w:r>
                                    <w:rPr>
                                      <w:rFonts w:ascii="Arial MT" w:hAnsi="Arial MT"/>
                                      <w:color w:val="001F60"/>
                                      <w:spacing w:val="1"/>
                                      <w:sz w:val="9"/>
                                    </w:rPr>
                                    <w:t xml:space="preserve"> </w:t>
                                  </w:r>
                                  <w:r>
                                    <w:rPr>
                                      <w:rFonts w:ascii="Arial MT" w:hAnsi="Arial MT"/>
                                      <w:color w:val="001F60"/>
                                      <w:sz w:val="9"/>
                                    </w:rPr>
                                    <w:t xml:space="preserve">da </w:t>
                                  </w:r>
                                  <w:r>
                                    <w:rPr>
                                      <w:rFonts w:ascii="Arial MT" w:hAnsi="Arial MT"/>
                                      <w:color w:val="001F60"/>
                                      <w:spacing w:val="-2"/>
                                      <w:sz w:val="9"/>
                                    </w:rPr>
                                    <w:t>Unidade</w:t>
                                  </w:r>
                                  <w:r>
                                    <w:rPr>
                                      <w:rFonts w:ascii="Times New Roman" w:hAnsi="Times New Roman"/>
                                      <w:color w:val="001F60"/>
                                      <w:sz w:val="9"/>
                                    </w:rPr>
                                    <w:tab/>
                                  </w:r>
                                  <w:r>
                                    <w:rPr>
                                      <w:rFonts w:ascii="Arial MT" w:hAnsi="Arial MT"/>
                                      <w:color w:val="001F60"/>
                                      <w:spacing w:val="-4"/>
                                      <w:sz w:val="9"/>
                                    </w:rPr>
                                    <w:t>3050</w:t>
                                  </w:r>
                                </w:p>
                              </w:tc>
                              <w:tc>
                                <w:tcPr>
                                  <w:tcW w:w="2366" w:type="dxa"/>
                                  <w:tcBorders>
                                    <w:bottom w:val="single" w:sz="2" w:space="0" w:color="000000"/>
                                  </w:tcBorders>
                                </w:tcPr>
                                <w:p w14:paraId="24B37D05" w14:textId="77777777" w:rsidR="002C6574" w:rsidRDefault="00000000">
                                  <w:pPr>
                                    <w:pStyle w:val="TableParagraph"/>
                                    <w:spacing w:before="6" w:line="89" w:lineRule="exact"/>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Próprios</w:t>
                                  </w:r>
                                  <w:r>
                                    <w:rPr>
                                      <w:rFonts w:ascii="Arial MT" w:hAnsi="Arial MT"/>
                                      <w:color w:val="001F60"/>
                                      <w:spacing w:val="3"/>
                                      <w:sz w:val="9"/>
                                    </w:rPr>
                                    <w:t xml:space="preserve"> </w:t>
                                  </w:r>
                                  <w:r>
                                    <w:rPr>
                                      <w:rFonts w:ascii="Arial MT" w:hAnsi="Arial MT"/>
                                      <w:color w:val="001F60"/>
                                      <w:sz w:val="9"/>
                                    </w:rPr>
                                    <w:t>Livres</w:t>
                                  </w:r>
                                  <w:r>
                                    <w:rPr>
                                      <w:rFonts w:ascii="Arial MT" w:hAnsi="Arial MT"/>
                                      <w:color w:val="001F60"/>
                                      <w:spacing w:val="2"/>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5"/>
                                      <w:sz w:val="9"/>
                                    </w:rPr>
                                    <w:t>UO</w:t>
                                  </w:r>
                                </w:p>
                              </w:tc>
                              <w:tc>
                                <w:tcPr>
                                  <w:tcW w:w="663" w:type="dxa"/>
                                  <w:tcBorders>
                                    <w:bottom w:val="single" w:sz="2" w:space="0" w:color="000000"/>
                                  </w:tcBorders>
                                </w:tcPr>
                                <w:p w14:paraId="14CFF673" w14:textId="77777777" w:rsidR="002C6574" w:rsidRDefault="00000000">
                                  <w:pPr>
                                    <w:pStyle w:val="TableParagraph"/>
                                    <w:spacing w:before="6" w:line="89" w:lineRule="exact"/>
                                    <w:ind w:right="148"/>
                                    <w:rPr>
                                      <w:rFonts w:ascii="Arial MT"/>
                                      <w:sz w:val="9"/>
                                    </w:rPr>
                                  </w:pPr>
                                  <w:r>
                                    <w:rPr>
                                      <w:rFonts w:ascii="Arial MT"/>
                                      <w:color w:val="001F60"/>
                                      <w:spacing w:val="-4"/>
                                      <w:sz w:val="9"/>
                                    </w:rPr>
                                    <w:t>0,14</w:t>
                                  </w:r>
                                </w:p>
                              </w:tc>
                              <w:tc>
                                <w:tcPr>
                                  <w:tcW w:w="616" w:type="dxa"/>
                                  <w:tcBorders>
                                    <w:bottom w:val="single" w:sz="2" w:space="0" w:color="000000"/>
                                  </w:tcBorders>
                                </w:tcPr>
                                <w:p w14:paraId="092E44CA" w14:textId="77777777" w:rsidR="002C6574" w:rsidRDefault="00000000">
                                  <w:pPr>
                                    <w:pStyle w:val="TableParagraph"/>
                                    <w:spacing w:before="6" w:line="89" w:lineRule="exact"/>
                                    <w:ind w:right="142"/>
                                    <w:rPr>
                                      <w:rFonts w:ascii="Arial MT"/>
                                      <w:sz w:val="9"/>
                                    </w:rPr>
                                  </w:pPr>
                                  <w:r>
                                    <w:rPr>
                                      <w:rFonts w:ascii="Arial MT"/>
                                      <w:color w:val="001F60"/>
                                      <w:spacing w:val="-4"/>
                                      <w:sz w:val="9"/>
                                    </w:rPr>
                                    <w:t>0,14</w:t>
                                  </w:r>
                                </w:p>
                              </w:tc>
                              <w:tc>
                                <w:tcPr>
                                  <w:tcW w:w="612" w:type="dxa"/>
                                  <w:tcBorders>
                                    <w:bottom w:val="single" w:sz="2" w:space="0" w:color="000000"/>
                                  </w:tcBorders>
                                </w:tcPr>
                                <w:p w14:paraId="4F11B6E6" w14:textId="77777777" w:rsidR="002C6574" w:rsidRDefault="00000000">
                                  <w:pPr>
                                    <w:pStyle w:val="TableParagraph"/>
                                    <w:spacing w:before="6" w:line="89" w:lineRule="exact"/>
                                    <w:ind w:right="131"/>
                                    <w:rPr>
                                      <w:rFonts w:ascii="Arial MT"/>
                                      <w:sz w:val="9"/>
                                    </w:rPr>
                                  </w:pPr>
                                  <w:r>
                                    <w:rPr>
                                      <w:rFonts w:ascii="Arial MT"/>
                                      <w:color w:val="001F60"/>
                                      <w:spacing w:val="-4"/>
                                      <w:sz w:val="9"/>
                                    </w:rPr>
                                    <w:t>0,14</w:t>
                                  </w:r>
                                </w:p>
                              </w:tc>
                              <w:tc>
                                <w:tcPr>
                                  <w:tcW w:w="494" w:type="dxa"/>
                                  <w:tcBorders>
                                    <w:bottom w:val="single" w:sz="2" w:space="0" w:color="000000"/>
                                  </w:tcBorders>
                                </w:tcPr>
                                <w:p w14:paraId="75A27443" w14:textId="77777777" w:rsidR="002C6574" w:rsidRDefault="00000000">
                                  <w:pPr>
                                    <w:pStyle w:val="TableParagraph"/>
                                    <w:spacing w:before="6" w:line="89" w:lineRule="exact"/>
                                    <w:ind w:right="58"/>
                                    <w:rPr>
                                      <w:rFonts w:ascii="Arial MT"/>
                                      <w:sz w:val="9"/>
                                    </w:rPr>
                                  </w:pPr>
                                  <w:r>
                                    <w:rPr>
                                      <w:rFonts w:ascii="Arial MT"/>
                                      <w:color w:val="001F60"/>
                                      <w:spacing w:val="-4"/>
                                      <w:sz w:val="9"/>
                                    </w:rPr>
                                    <w:t>0,14</w:t>
                                  </w:r>
                                </w:p>
                              </w:tc>
                              <w:tc>
                                <w:tcPr>
                                  <w:tcW w:w="563" w:type="dxa"/>
                                  <w:tcBorders>
                                    <w:bottom w:val="single" w:sz="2" w:space="0" w:color="000000"/>
                                  </w:tcBorders>
                                </w:tcPr>
                                <w:p w14:paraId="74531EF4" w14:textId="77777777" w:rsidR="002C6574" w:rsidRDefault="00000000">
                                  <w:pPr>
                                    <w:pStyle w:val="TableParagraph"/>
                                    <w:spacing w:before="6" w:line="89" w:lineRule="exact"/>
                                    <w:ind w:left="10" w:right="27"/>
                                    <w:jc w:val="center"/>
                                    <w:rPr>
                                      <w:rFonts w:ascii="Arial MT"/>
                                      <w:sz w:val="9"/>
                                    </w:rPr>
                                  </w:pPr>
                                  <w:r>
                                    <w:rPr>
                                      <w:rFonts w:ascii="Arial MT"/>
                                      <w:color w:val="001F60"/>
                                      <w:spacing w:val="-4"/>
                                      <w:sz w:val="9"/>
                                    </w:rPr>
                                    <w:t>100%</w:t>
                                  </w:r>
                                </w:p>
                              </w:tc>
                              <w:tc>
                                <w:tcPr>
                                  <w:tcW w:w="553" w:type="dxa"/>
                                  <w:tcBorders>
                                    <w:bottom w:val="single" w:sz="2" w:space="0" w:color="000000"/>
                                  </w:tcBorders>
                                </w:tcPr>
                                <w:p w14:paraId="33D77725" w14:textId="77777777" w:rsidR="002C6574" w:rsidRDefault="00000000">
                                  <w:pPr>
                                    <w:pStyle w:val="TableParagraph"/>
                                    <w:spacing w:before="6" w:line="89" w:lineRule="exact"/>
                                    <w:ind w:left="9" w:right="9"/>
                                    <w:jc w:val="center"/>
                                    <w:rPr>
                                      <w:rFonts w:ascii="Arial MT"/>
                                      <w:sz w:val="9"/>
                                    </w:rPr>
                                  </w:pPr>
                                  <w:r>
                                    <w:rPr>
                                      <w:rFonts w:ascii="Arial MT"/>
                                      <w:color w:val="001F60"/>
                                      <w:spacing w:val="-4"/>
                                      <w:sz w:val="9"/>
                                    </w:rPr>
                                    <w:t>100%</w:t>
                                  </w:r>
                                </w:p>
                              </w:tc>
                            </w:tr>
                            <w:tr w:rsidR="002C6574" w14:paraId="74DA9BC6" w14:textId="77777777">
                              <w:trPr>
                                <w:trHeight w:val="232"/>
                              </w:trPr>
                              <w:tc>
                                <w:tcPr>
                                  <w:tcW w:w="3125" w:type="dxa"/>
                                  <w:tcBorders>
                                    <w:top w:val="single" w:sz="2" w:space="0" w:color="000000"/>
                                    <w:bottom w:val="single" w:sz="2" w:space="0" w:color="000000"/>
                                  </w:tcBorders>
                                </w:tcPr>
                                <w:p w14:paraId="3902DBE7" w14:textId="77777777" w:rsidR="002C6574" w:rsidRDefault="00000000">
                                  <w:pPr>
                                    <w:pStyle w:val="TableParagraph"/>
                                    <w:tabs>
                                      <w:tab w:val="left" w:pos="2222"/>
                                    </w:tabs>
                                    <w:spacing w:before="4"/>
                                    <w:ind w:right="-317"/>
                                    <w:rPr>
                                      <w:rFonts w:ascii="Arial MT" w:hAnsi="Arial MT"/>
                                      <w:position w:val="-5"/>
                                      <w:sz w:val="9"/>
                                    </w:rPr>
                                  </w:pPr>
                                  <w:r>
                                    <w:rPr>
                                      <w:rFonts w:ascii="Arial MT" w:hAnsi="Arial MT"/>
                                      <w:color w:val="001F60"/>
                                      <w:position w:val="-5"/>
                                      <w:sz w:val="9"/>
                                    </w:rPr>
                                    <w:t>216H</w:t>
                                  </w:r>
                                  <w:r>
                                    <w:rPr>
                                      <w:rFonts w:ascii="Arial MT" w:hAnsi="Arial MT"/>
                                      <w:color w:val="001F60"/>
                                      <w:spacing w:val="54"/>
                                      <w:position w:val="-5"/>
                                      <w:sz w:val="9"/>
                                    </w:rPr>
                                    <w:t xml:space="preserve"> </w:t>
                                  </w:r>
                                  <w:r>
                                    <w:rPr>
                                      <w:rFonts w:ascii="Arial MT" w:hAnsi="Arial MT"/>
                                      <w:color w:val="001F60"/>
                                      <w:sz w:val="9"/>
                                    </w:rPr>
                                    <w:t>Ajuda</w:t>
                                  </w:r>
                                  <w:r>
                                    <w:rPr>
                                      <w:rFonts w:ascii="Arial MT" w:hAnsi="Arial MT"/>
                                      <w:color w:val="001F60"/>
                                      <w:spacing w:val="4"/>
                                      <w:sz w:val="9"/>
                                    </w:rPr>
                                    <w:t xml:space="preserve"> </w:t>
                                  </w:r>
                                  <w:r>
                                    <w:rPr>
                                      <w:rFonts w:ascii="Arial MT" w:hAnsi="Arial MT"/>
                                      <w:color w:val="001F60"/>
                                      <w:sz w:val="9"/>
                                    </w:rPr>
                                    <w:t>de Custo</w:t>
                                  </w:r>
                                  <w:r>
                                    <w:rPr>
                                      <w:rFonts w:ascii="Arial MT" w:hAnsi="Arial MT"/>
                                      <w:color w:val="001F60"/>
                                      <w:spacing w:val="1"/>
                                      <w:sz w:val="9"/>
                                    </w:rPr>
                                    <w:t xml:space="preserve"> </w:t>
                                  </w:r>
                                  <w:r>
                                    <w:rPr>
                                      <w:rFonts w:ascii="Arial MT" w:hAnsi="Arial MT"/>
                                      <w:color w:val="001F60"/>
                                      <w:sz w:val="9"/>
                                    </w:rPr>
                                    <w:t>para</w:t>
                                  </w:r>
                                  <w:r>
                                    <w:rPr>
                                      <w:rFonts w:ascii="Arial MT" w:hAnsi="Arial MT"/>
                                      <w:color w:val="001F60"/>
                                      <w:spacing w:val="4"/>
                                      <w:sz w:val="9"/>
                                    </w:rPr>
                                    <w:t xml:space="preserve"> </w:t>
                                  </w:r>
                                  <w:r>
                                    <w:rPr>
                                      <w:rFonts w:ascii="Arial MT" w:hAnsi="Arial MT"/>
                                      <w:color w:val="001F60"/>
                                      <w:sz w:val="9"/>
                                    </w:rPr>
                                    <w:t>Moradia</w:t>
                                  </w:r>
                                  <w:r>
                                    <w:rPr>
                                      <w:rFonts w:ascii="Arial MT" w:hAnsi="Arial MT"/>
                                      <w:color w:val="001F60"/>
                                      <w:spacing w:val="3"/>
                                      <w:sz w:val="9"/>
                                    </w:rPr>
                                    <w:t xml:space="preserve"> </w:t>
                                  </w:r>
                                  <w:r>
                                    <w:rPr>
                                      <w:rFonts w:ascii="Arial MT" w:hAnsi="Arial MT"/>
                                      <w:color w:val="001F60"/>
                                      <w:sz w:val="9"/>
                                    </w:rPr>
                                    <w:t>Oo</w:t>
                                  </w:r>
                                  <w:r>
                                    <w:rPr>
                                      <w:rFonts w:ascii="Arial MT" w:hAnsi="Arial MT"/>
                                      <w:color w:val="001F60"/>
                                      <w:spacing w:val="1"/>
                                      <w:sz w:val="9"/>
                                    </w:rPr>
                                    <w:t xml:space="preserve"> </w:t>
                                  </w:r>
                                  <w:r>
                                    <w:rPr>
                                      <w:rFonts w:ascii="Arial MT" w:hAnsi="Arial MT"/>
                                      <w:color w:val="001F60"/>
                                      <w:spacing w:val="-2"/>
                                      <w:sz w:val="9"/>
                                    </w:rPr>
                                    <w:t>Auxílio-</w:t>
                                  </w:r>
                                  <w:r>
                                    <w:rPr>
                                      <w:rFonts w:ascii="Arial MT" w:hAnsi="Arial MT"/>
                                      <w:color w:val="001F60"/>
                                      <w:sz w:val="9"/>
                                    </w:rPr>
                                    <w:tab/>
                                  </w:r>
                                  <w:r>
                                    <w:rPr>
                                      <w:rFonts w:ascii="Arial MT" w:hAnsi="Arial MT"/>
                                      <w:color w:val="001F60"/>
                                      <w:spacing w:val="-4"/>
                                      <w:position w:val="-5"/>
                                      <w:sz w:val="9"/>
                                    </w:rPr>
                                    <w:t>1050</w:t>
                                  </w:r>
                                </w:p>
                              </w:tc>
                              <w:tc>
                                <w:tcPr>
                                  <w:tcW w:w="2366" w:type="dxa"/>
                                  <w:tcBorders>
                                    <w:top w:val="single" w:sz="2" w:space="0" w:color="000000"/>
                                    <w:bottom w:val="single" w:sz="2" w:space="0" w:color="000000"/>
                                  </w:tcBorders>
                                </w:tcPr>
                                <w:p w14:paraId="3DBAF8AC" w14:textId="77777777" w:rsidR="002C6574" w:rsidRDefault="00000000">
                                  <w:pPr>
                                    <w:pStyle w:val="TableParagraph"/>
                                    <w:spacing w:before="61"/>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Próprios</w:t>
                                  </w:r>
                                  <w:r>
                                    <w:rPr>
                                      <w:rFonts w:ascii="Arial MT" w:hAnsi="Arial MT"/>
                                      <w:color w:val="001F60"/>
                                      <w:spacing w:val="3"/>
                                      <w:sz w:val="9"/>
                                    </w:rPr>
                                    <w:t xml:space="preserve"> </w:t>
                                  </w:r>
                                  <w:r>
                                    <w:rPr>
                                      <w:rFonts w:ascii="Arial MT" w:hAnsi="Arial MT"/>
                                      <w:color w:val="001F60"/>
                                      <w:sz w:val="9"/>
                                    </w:rPr>
                                    <w:t>Livres</w:t>
                                  </w:r>
                                  <w:r>
                                    <w:rPr>
                                      <w:rFonts w:ascii="Arial MT" w:hAnsi="Arial MT"/>
                                      <w:color w:val="001F60"/>
                                      <w:spacing w:val="2"/>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5"/>
                                      <w:sz w:val="9"/>
                                    </w:rPr>
                                    <w:t>UO</w:t>
                                  </w:r>
                                </w:p>
                              </w:tc>
                              <w:tc>
                                <w:tcPr>
                                  <w:tcW w:w="663" w:type="dxa"/>
                                  <w:tcBorders>
                                    <w:top w:val="single" w:sz="2" w:space="0" w:color="000000"/>
                                    <w:bottom w:val="single" w:sz="2" w:space="0" w:color="000000"/>
                                  </w:tcBorders>
                                </w:tcPr>
                                <w:p w14:paraId="48E2AA76" w14:textId="77777777" w:rsidR="002C6574" w:rsidRDefault="00000000">
                                  <w:pPr>
                                    <w:pStyle w:val="TableParagraph"/>
                                    <w:spacing w:before="61"/>
                                    <w:ind w:right="148"/>
                                    <w:rPr>
                                      <w:rFonts w:ascii="Arial MT"/>
                                      <w:sz w:val="9"/>
                                    </w:rPr>
                                  </w:pPr>
                                  <w:r>
                                    <w:rPr>
                                      <w:rFonts w:ascii="Arial MT"/>
                                      <w:color w:val="001F60"/>
                                      <w:spacing w:val="-4"/>
                                      <w:sz w:val="9"/>
                                    </w:rPr>
                                    <w:t>0,16</w:t>
                                  </w:r>
                                </w:p>
                              </w:tc>
                              <w:tc>
                                <w:tcPr>
                                  <w:tcW w:w="616" w:type="dxa"/>
                                  <w:tcBorders>
                                    <w:top w:val="single" w:sz="2" w:space="0" w:color="000000"/>
                                    <w:bottom w:val="single" w:sz="2" w:space="0" w:color="000000"/>
                                  </w:tcBorders>
                                </w:tcPr>
                                <w:p w14:paraId="3AB251C0" w14:textId="77777777" w:rsidR="002C6574" w:rsidRDefault="00000000">
                                  <w:pPr>
                                    <w:pStyle w:val="TableParagraph"/>
                                    <w:spacing w:before="61"/>
                                    <w:ind w:right="142"/>
                                    <w:rPr>
                                      <w:rFonts w:ascii="Arial MT"/>
                                      <w:sz w:val="9"/>
                                    </w:rPr>
                                  </w:pPr>
                                  <w:r>
                                    <w:rPr>
                                      <w:rFonts w:ascii="Arial MT"/>
                                      <w:color w:val="001F60"/>
                                      <w:spacing w:val="-4"/>
                                      <w:sz w:val="9"/>
                                    </w:rPr>
                                    <w:t>0,16</w:t>
                                  </w:r>
                                </w:p>
                              </w:tc>
                              <w:tc>
                                <w:tcPr>
                                  <w:tcW w:w="612" w:type="dxa"/>
                                  <w:tcBorders>
                                    <w:top w:val="single" w:sz="2" w:space="0" w:color="000000"/>
                                    <w:bottom w:val="single" w:sz="2" w:space="0" w:color="000000"/>
                                  </w:tcBorders>
                                </w:tcPr>
                                <w:p w14:paraId="65F70744" w14:textId="77777777" w:rsidR="002C6574" w:rsidRDefault="00000000">
                                  <w:pPr>
                                    <w:pStyle w:val="TableParagraph"/>
                                    <w:spacing w:before="61"/>
                                    <w:ind w:right="131"/>
                                    <w:rPr>
                                      <w:rFonts w:ascii="Arial MT"/>
                                      <w:sz w:val="9"/>
                                    </w:rPr>
                                  </w:pPr>
                                  <w:r>
                                    <w:rPr>
                                      <w:rFonts w:ascii="Arial MT"/>
                                      <w:color w:val="001F60"/>
                                      <w:spacing w:val="-4"/>
                                      <w:sz w:val="9"/>
                                    </w:rPr>
                                    <w:t>0,16</w:t>
                                  </w:r>
                                </w:p>
                              </w:tc>
                              <w:tc>
                                <w:tcPr>
                                  <w:tcW w:w="494" w:type="dxa"/>
                                  <w:tcBorders>
                                    <w:top w:val="single" w:sz="2" w:space="0" w:color="000000"/>
                                    <w:bottom w:val="single" w:sz="2" w:space="0" w:color="000000"/>
                                  </w:tcBorders>
                                </w:tcPr>
                                <w:p w14:paraId="50DEB7B5" w14:textId="77777777" w:rsidR="002C6574" w:rsidRDefault="00000000">
                                  <w:pPr>
                                    <w:pStyle w:val="TableParagraph"/>
                                    <w:spacing w:before="61"/>
                                    <w:ind w:right="58"/>
                                    <w:rPr>
                                      <w:rFonts w:ascii="Arial MT"/>
                                      <w:sz w:val="9"/>
                                    </w:rPr>
                                  </w:pPr>
                                  <w:r>
                                    <w:rPr>
                                      <w:rFonts w:ascii="Arial MT"/>
                                      <w:color w:val="001F60"/>
                                      <w:spacing w:val="-4"/>
                                      <w:sz w:val="9"/>
                                    </w:rPr>
                                    <w:t>0,16</w:t>
                                  </w:r>
                                </w:p>
                              </w:tc>
                              <w:tc>
                                <w:tcPr>
                                  <w:tcW w:w="563" w:type="dxa"/>
                                  <w:tcBorders>
                                    <w:top w:val="single" w:sz="2" w:space="0" w:color="000000"/>
                                    <w:bottom w:val="single" w:sz="2" w:space="0" w:color="000000"/>
                                  </w:tcBorders>
                                </w:tcPr>
                                <w:p w14:paraId="0B3A8C33" w14:textId="77777777" w:rsidR="002C6574" w:rsidRDefault="00000000">
                                  <w:pPr>
                                    <w:pStyle w:val="TableParagraph"/>
                                    <w:spacing w:before="61"/>
                                    <w:ind w:left="10" w:right="27"/>
                                    <w:jc w:val="center"/>
                                    <w:rPr>
                                      <w:rFonts w:ascii="Arial MT"/>
                                      <w:sz w:val="9"/>
                                    </w:rPr>
                                  </w:pPr>
                                  <w:r>
                                    <w:rPr>
                                      <w:rFonts w:ascii="Arial MT"/>
                                      <w:color w:val="001F60"/>
                                      <w:spacing w:val="-4"/>
                                      <w:sz w:val="9"/>
                                    </w:rPr>
                                    <w:t>100%</w:t>
                                  </w:r>
                                </w:p>
                              </w:tc>
                              <w:tc>
                                <w:tcPr>
                                  <w:tcW w:w="553" w:type="dxa"/>
                                  <w:tcBorders>
                                    <w:top w:val="single" w:sz="2" w:space="0" w:color="000000"/>
                                    <w:bottom w:val="single" w:sz="2" w:space="0" w:color="000000"/>
                                  </w:tcBorders>
                                </w:tcPr>
                                <w:p w14:paraId="60213427" w14:textId="77777777" w:rsidR="002C6574" w:rsidRDefault="00000000">
                                  <w:pPr>
                                    <w:pStyle w:val="TableParagraph"/>
                                    <w:spacing w:before="61"/>
                                    <w:ind w:left="9" w:right="9"/>
                                    <w:jc w:val="center"/>
                                    <w:rPr>
                                      <w:rFonts w:ascii="Arial MT"/>
                                      <w:sz w:val="9"/>
                                    </w:rPr>
                                  </w:pPr>
                                  <w:r>
                                    <w:rPr>
                                      <w:rFonts w:ascii="Arial MT"/>
                                      <w:color w:val="001F60"/>
                                      <w:spacing w:val="-4"/>
                                      <w:sz w:val="9"/>
                                    </w:rPr>
                                    <w:t>100%</w:t>
                                  </w:r>
                                </w:p>
                              </w:tc>
                            </w:tr>
                            <w:tr w:rsidR="002C6574" w14:paraId="2757E739" w14:textId="77777777">
                              <w:trPr>
                                <w:trHeight w:val="230"/>
                              </w:trPr>
                              <w:tc>
                                <w:tcPr>
                                  <w:tcW w:w="3125" w:type="dxa"/>
                                  <w:tcBorders>
                                    <w:top w:val="single" w:sz="2" w:space="0" w:color="000000"/>
                                  </w:tcBorders>
                                </w:tcPr>
                                <w:p w14:paraId="0196F272" w14:textId="77777777" w:rsidR="002C6574" w:rsidRDefault="00000000">
                                  <w:pPr>
                                    <w:pStyle w:val="TableParagraph"/>
                                    <w:tabs>
                                      <w:tab w:val="right" w:pos="2427"/>
                                    </w:tabs>
                                    <w:spacing w:before="4"/>
                                    <w:ind w:right="-317"/>
                                    <w:rPr>
                                      <w:rFonts w:ascii="Arial MT" w:hAnsi="Arial MT"/>
                                      <w:position w:val="-5"/>
                                      <w:sz w:val="9"/>
                                    </w:rPr>
                                  </w:pPr>
                                  <w:r>
                                    <w:rPr>
                                      <w:rFonts w:ascii="Arial MT" w:hAnsi="Arial MT"/>
                                      <w:color w:val="001F60"/>
                                      <w:position w:val="-5"/>
                                      <w:sz w:val="9"/>
                                    </w:rPr>
                                    <w:t>21C8</w:t>
                                  </w:r>
                                  <w:r>
                                    <w:rPr>
                                      <w:rFonts w:ascii="Arial MT" w:hAnsi="Arial MT"/>
                                      <w:color w:val="001F60"/>
                                      <w:spacing w:val="54"/>
                                      <w:position w:val="-5"/>
                                      <w:sz w:val="9"/>
                                    </w:rPr>
                                    <w:t xml:space="preserve"> </w:t>
                                  </w:r>
                                  <w:r>
                                    <w:rPr>
                                      <w:rFonts w:ascii="Arial MT" w:hAnsi="Arial MT"/>
                                      <w:color w:val="001F60"/>
                                      <w:sz w:val="9"/>
                                    </w:rPr>
                                    <w:t>Operação</w:t>
                                  </w:r>
                                  <w:r>
                                    <w:rPr>
                                      <w:rFonts w:ascii="Arial MT" w:hAnsi="Arial MT"/>
                                      <w:color w:val="001F60"/>
                                      <w:spacing w:val="4"/>
                                      <w:sz w:val="9"/>
                                    </w:rPr>
                                    <w:t xml:space="preserve"> </w:t>
                                  </w:r>
                                  <w:r>
                                    <w:rPr>
                                      <w:rFonts w:ascii="Arial MT" w:hAnsi="Arial MT"/>
                                      <w:color w:val="001F60"/>
                                      <w:sz w:val="9"/>
                                    </w:rPr>
                                    <w:t>da</w:t>
                                  </w:r>
                                  <w:r>
                                    <w:rPr>
                                      <w:rFonts w:ascii="Arial MT" w:hAnsi="Arial MT"/>
                                      <w:color w:val="001F60"/>
                                      <w:spacing w:val="1"/>
                                      <w:sz w:val="9"/>
                                    </w:rPr>
                                    <w:t xml:space="preserve"> </w:t>
                                  </w:r>
                                  <w:r>
                                    <w:rPr>
                                      <w:rFonts w:ascii="Arial MT" w:hAnsi="Arial MT"/>
                                      <w:color w:val="001F60"/>
                                      <w:sz w:val="9"/>
                                    </w:rPr>
                                    <w:t>Infraestrutura</w:t>
                                  </w:r>
                                  <w:r>
                                    <w:rPr>
                                      <w:rFonts w:ascii="Arial MT" w:hAnsi="Arial MT"/>
                                      <w:color w:val="001F60"/>
                                      <w:spacing w:val="1"/>
                                      <w:sz w:val="9"/>
                                    </w:rPr>
                                    <w:t xml:space="preserve"> </w:t>
                                  </w:r>
                                  <w:r>
                                    <w:rPr>
                                      <w:rFonts w:ascii="Arial MT" w:hAnsi="Arial MT"/>
                                      <w:color w:val="001F60"/>
                                      <w:sz w:val="9"/>
                                    </w:rPr>
                                    <w:t>da</w:t>
                                  </w:r>
                                  <w:r>
                                    <w:rPr>
                                      <w:rFonts w:ascii="Arial MT" w:hAnsi="Arial MT"/>
                                      <w:color w:val="001F60"/>
                                      <w:spacing w:val="4"/>
                                      <w:sz w:val="9"/>
                                    </w:rPr>
                                    <w:t xml:space="preserve"> </w:t>
                                  </w:r>
                                  <w:r>
                                    <w:rPr>
                                      <w:rFonts w:ascii="Arial MT" w:hAnsi="Arial MT"/>
                                      <w:color w:val="001F60"/>
                                      <w:sz w:val="9"/>
                                    </w:rPr>
                                    <w:t>Rede</w:t>
                                  </w:r>
                                  <w:r>
                                    <w:rPr>
                                      <w:rFonts w:ascii="Arial MT" w:hAnsi="Arial MT"/>
                                      <w:color w:val="001F60"/>
                                      <w:spacing w:val="4"/>
                                      <w:sz w:val="9"/>
                                    </w:rPr>
                                    <w:t xml:space="preserve"> </w:t>
                                  </w:r>
                                  <w:r>
                                    <w:rPr>
                                      <w:rFonts w:ascii="Arial MT" w:hAnsi="Arial MT"/>
                                      <w:color w:val="001F60"/>
                                      <w:spacing w:val="-5"/>
                                      <w:sz w:val="9"/>
                                    </w:rPr>
                                    <w:t>de</w:t>
                                  </w:r>
                                  <w:r>
                                    <w:rPr>
                                      <w:rFonts w:ascii="Times New Roman" w:hAnsi="Times New Roman"/>
                                      <w:color w:val="001F60"/>
                                      <w:sz w:val="9"/>
                                    </w:rPr>
                                    <w:tab/>
                                  </w:r>
                                  <w:r>
                                    <w:rPr>
                                      <w:rFonts w:ascii="Arial MT" w:hAnsi="Arial MT"/>
                                      <w:color w:val="001F60"/>
                                      <w:spacing w:val="-4"/>
                                      <w:position w:val="-5"/>
                                      <w:sz w:val="9"/>
                                    </w:rPr>
                                    <w:t>1000</w:t>
                                  </w:r>
                                </w:p>
                              </w:tc>
                              <w:tc>
                                <w:tcPr>
                                  <w:tcW w:w="2366" w:type="dxa"/>
                                  <w:tcBorders>
                                    <w:top w:val="single" w:sz="2" w:space="0" w:color="000000"/>
                                  </w:tcBorders>
                                </w:tcPr>
                                <w:p w14:paraId="16DFA81A" w14:textId="77777777" w:rsidR="002C6574" w:rsidRDefault="00000000">
                                  <w:pPr>
                                    <w:pStyle w:val="TableParagraph"/>
                                    <w:spacing w:before="59"/>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Livres</w:t>
                                  </w:r>
                                  <w:r>
                                    <w:rPr>
                                      <w:rFonts w:ascii="Arial MT" w:hAnsi="Arial MT"/>
                                      <w:color w:val="001F60"/>
                                      <w:spacing w:val="3"/>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2"/>
                                      <w:sz w:val="9"/>
                                    </w:rPr>
                                    <w:t>União</w:t>
                                  </w:r>
                                </w:p>
                              </w:tc>
                              <w:tc>
                                <w:tcPr>
                                  <w:tcW w:w="663" w:type="dxa"/>
                                  <w:tcBorders>
                                    <w:top w:val="single" w:sz="2" w:space="0" w:color="000000"/>
                                  </w:tcBorders>
                                </w:tcPr>
                                <w:p w14:paraId="1D40B920" w14:textId="77777777" w:rsidR="002C6574" w:rsidRDefault="00000000">
                                  <w:pPr>
                                    <w:pStyle w:val="TableParagraph"/>
                                    <w:spacing w:before="59"/>
                                    <w:ind w:right="148"/>
                                    <w:rPr>
                                      <w:rFonts w:ascii="Arial MT"/>
                                      <w:sz w:val="9"/>
                                    </w:rPr>
                                  </w:pPr>
                                  <w:r>
                                    <w:rPr>
                                      <w:rFonts w:ascii="Arial MT"/>
                                      <w:color w:val="001F60"/>
                                      <w:spacing w:val="-4"/>
                                      <w:sz w:val="9"/>
                                    </w:rPr>
                                    <w:t>1,91</w:t>
                                  </w:r>
                                </w:p>
                              </w:tc>
                              <w:tc>
                                <w:tcPr>
                                  <w:tcW w:w="616" w:type="dxa"/>
                                  <w:tcBorders>
                                    <w:top w:val="single" w:sz="2" w:space="0" w:color="000000"/>
                                  </w:tcBorders>
                                </w:tcPr>
                                <w:p w14:paraId="570AD122" w14:textId="77777777" w:rsidR="002C6574" w:rsidRDefault="00000000">
                                  <w:pPr>
                                    <w:pStyle w:val="TableParagraph"/>
                                    <w:spacing w:before="59"/>
                                    <w:ind w:right="142"/>
                                    <w:rPr>
                                      <w:rFonts w:ascii="Arial MT"/>
                                      <w:sz w:val="9"/>
                                    </w:rPr>
                                  </w:pPr>
                                  <w:r>
                                    <w:rPr>
                                      <w:rFonts w:ascii="Arial MT"/>
                                      <w:color w:val="001F60"/>
                                      <w:spacing w:val="-4"/>
                                      <w:sz w:val="9"/>
                                    </w:rPr>
                                    <w:t>1,91</w:t>
                                  </w:r>
                                </w:p>
                              </w:tc>
                              <w:tc>
                                <w:tcPr>
                                  <w:tcW w:w="612" w:type="dxa"/>
                                  <w:tcBorders>
                                    <w:top w:val="single" w:sz="2" w:space="0" w:color="000000"/>
                                  </w:tcBorders>
                                </w:tcPr>
                                <w:p w14:paraId="5505F901" w14:textId="77777777" w:rsidR="002C6574" w:rsidRDefault="00000000">
                                  <w:pPr>
                                    <w:pStyle w:val="TableParagraph"/>
                                    <w:spacing w:before="59"/>
                                    <w:ind w:right="131"/>
                                    <w:rPr>
                                      <w:rFonts w:ascii="Arial MT"/>
                                      <w:sz w:val="9"/>
                                    </w:rPr>
                                  </w:pPr>
                                  <w:r>
                                    <w:rPr>
                                      <w:rFonts w:ascii="Arial MT"/>
                                      <w:color w:val="001F60"/>
                                      <w:spacing w:val="-4"/>
                                      <w:sz w:val="9"/>
                                    </w:rPr>
                                    <w:t>1,91</w:t>
                                  </w:r>
                                </w:p>
                              </w:tc>
                              <w:tc>
                                <w:tcPr>
                                  <w:tcW w:w="494" w:type="dxa"/>
                                  <w:tcBorders>
                                    <w:top w:val="single" w:sz="2" w:space="0" w:color="000000"/>
                                  </w:tcBorders>
                                </w:tcPr>
                                <w:p w14:paraId="612E6FE1" w14:textId="77777777" w:rsidR="002C6574" w:rsidRDefault="00000000">
                                  <w:pPr>
                                    <w:pStyle w:val="TableParagraph"/>
                                    <w:spacing w:before="59"/>
                                    <w:ind w:right="58"/>
                                    <w:rPr>
                                      <w:rFonts w:ascii="Arial MT"/>
                                      <w:sz w:val="9"/>
                                    </w:rPr>
                                  </w:pPr>
                                  <w:r>
                                    <w:rPr>
                                      <w:rFonts w:ascii="Arial MT"/>
                                      <w:color w:val="001F60"/>
                                      <w:spacing w:val="-4"/>
                                      <w:sz w:val="9"/>
                                    </w:rPr>
                                    <w:t>1,91</w:t>
                                  </w:r>
                                </w:p>
                              </w:tc>
                              <w:tc>
                                <w:tcPr>
                                  <w:tcW w:w="563" w:type="dxa"/>
                                  <w:tcBorders>
                                    <w:top w:val="single" w:sz="2" w:space="0" w:color="000000"/>
                                  </w:tcBorders>
                                </w:tcPr>
                                <w:p w14:paraId="4D8706BE" w14:textId="77777777" w:rsidR="002C6574" w:rsidRDefault="00000000">
                                  <w:pPr>
                                    <w:pStyle w:val="TableParagraph"/>
                                    <w:spacing w:before="59"/>
                                    <w:ind w:left="10" w:right="27"/>
                                    <w:jc w:val="center"/>
                                    <w:rPr>
                                      <w:rFonts w:ascii="Arial MT"/>
                                      <w:sz w:val="9"/>
                                    </w:rPr>
                                  </w:pPr>
                                  <w:r>
                                    <w:rPr>
                                      <w:rFonts w:ascii="Arial MT"/>
                                      <w:color w:val="001F60"/>
                                      <w:spacing w:val="-4"/>
                                      <w:sz w:val="9"/>
                                    </w:rPr>
                                    <w:t>100%</w:t>
                                  </w:r>
                                </w:p>
                              </w:tc>
                              <w:tc>
                                <w:tcPr>
                                  <w:tcW w:w="553" w:type="dxa"/>
                                  <w:tcBorders>
                                    <w:top w:val="single" w:sz="2" w:space="0" w:color="000000"/>
                                  </w:tcBorders>
                                </w:tcPr>
                                <w:p w14:paraId="501A9877" w14:textId="77777777" w:rsidR="002C6574" w:rsidRDefault="00000000">
                                  <w:pPr>
                                    <w:pStyle w:val="TableParagraph"/>
                                    <w:spacing w:before="59"/>
                                    <w:ind w:left="9" w:right="9"/>
                                    <w:jc w:val="center"/>
                                    <w:rPr>
                                      <w:rFonts w:ascii="Arial MT"/>
                                      <w:sz w:val="9"/>
                                    </w:rPr>
                                  </w:pPr>
                                  <w:r>
                                    <w:rPr>
                                      <w:rFonts w:ascii="Arial MT"/>
                                      <w:color w:val="001F60"/>
                                      <w:spacing w:val="-4"/>
                                      <w:sz w:val="9"/>
                                    </w:rPr>
                                    <w:t>100%</w:t>
                                  </w:r>
                                </w:p>
                              </w:tc>
                            </w:tr>
                            <w:tr w:rsidR="002C6574" w14:paraId="154F3193" w14:textId="77777777">
                              <w:trPr>
                                <w:trHeight w:val="232"/>
                              </w:trPr>
                              <w:tc>
                                <w:tcPr>
                                  <w:tcW w:w="3125" w:type="dxa"/>
                                  <w:tcBorders>
                                    <w:bottom w:val="single" w:sz="4" w:space="0" w:color="001F60"/>
                                  </w:tcBorders>
                                </w:tcPr>
                                <w:p w14:paraId="724E2EF3" w14:textId="77777777" w:rsidR="002C6574" w:rsidRDefault="00000000">
                                  <w:pPr>
                                    <w:pStyle w:val="TableParagraph"/>
                                    <w:tabs>
                                      <w:tab w:val="right" w:pos="2427"/>
                                    </w:tabs>
                                    <w:spacing w:before="11"/>
                                    <w:ind w:right="-317"/>
                                    <w:rPr>
                                      <w:rFonts w:ascii="Arial MT" w:hAnsi="Arial MT"/>
                                      <w:position w:val="-5"/>
                                      <w:sz w:val="9"/>
                                    </w:rPr>
                                  </w:pPr>
                                  <w:r>
                                    <w:rPr>
                                      <w:rFonts w:ascii="Arial MT" w:hAnsi="Arial MT"/>
                                      <w:color w:val="001F60"/>
                                      <w:position w:val="-5"/>
                                      <w:sz w:val="9"/>
                                    </w:rPr>
                                    <w:t>21C8</w:t>
                                  </w:r>
                                  <w:r>
                                    <w:rPr>
                                      <w:rFonts w:ascii="Arial MT" w:hAnsi="Arial MT"/>
                                      <w:color w:val="001F60"/>
                                      <w:spacing w:val="54"/>
                                      <w:position w:val="-5"/>
                                      <w:sz w:val="9"/>
                                    </w:rPr>
                                    <w:t xml:space="preserve"> </w:t>
                                  </w:r>
                                  <w:r>
                                    <w:rPr>
                                      <w:rFonts w:ascii="Arial MT" w:hAnsi="Arial MT"/>
                                      <w:color w:val="001F60"/>
                                      <w:sz w:val="9"/>
                                    </w:rPr>
                                    <w:t>Operação</w:t>
                                  </w:r>
                                  <w:r>
                                    <w:rPr>
                                      <w:rFonts w:ascii="Arial MT" w:hAnsi="Arial MT"/>
                                      <w:color w:val="001F60"/>
                                      <w:spacing w:val="4"/>
                                      <w:sz w:val="9"/>
                                    </w:rPr>
                                    <w:t xml:space="preserve"> </w:t>
                                  </w:r>
                                  <w:r>
                                    <w:rPr>
                                      <w:rFonts w:ascii="Arial MT" w:hAnsi="Arial MT"/>
                                      <w:color w:val="001F60"/>
                                      <w:sz w:val="9"/>
                                    </w:rPr>
                                    <w:t>da</w:t>
                                  </w:r>
                                  <w:r>
                                    <w:rPr>
                                      <w:rFonts w:ascii="Arial MT" w:hAnsi="Arial MT"/>
                                      <w:color w:val="001F60"/>
                                      <w:spacing w:val="1"/>
                                      <w:sz w:val="9"/>
                                    </w:rPr>
                                    <w:t xml:space="preserve"> </w:t>
                                  </w:r>
                                  <w:r>
                                    <w:rPr>
                                      <w:rFonts w:ascii="Arial MT" w:hAnsi="Arial MT"/>
                                      <w:color w:val="001F60"/>
                                      <w:sz w:val="9"/>
                                    </w:rPr>
                                    <w:t>Infraestrutura</w:t>
                                  </w:r>
                                  <w:r>
                                    <w:rPr>
                                      <w:rFonts w:ascii="Arial MT" w:hAnsi="Arial MT"/>
                                      <w:color w:val="001F60"/>
                                      <w:spacing w:val="1"/>
                                      <w:sz w:val="9"/>
                                    </w:rPr>
                                    <w:t xml:space="preserve"> </w:t>
                                  </w:r>
                                  <w:r>
                                    <w:rPr>
                                      <w:rFonts w:ascii="Arial MT" w:hAnsi="Arial MT"/>
                                      <w:color w:val="001F60"/>
                                      <w:sz w:val="9"/>
                                    </w:rPr>
                                    <w:t>da</w:t>
                                  </w:r>
                                  <w:r>
                                    <w:rPr>
                                      <w:rFonts w:ascii="Arial MT" w:hAnsi="Arial MT"/>
                                      <w:color w:val="001F60"/>
                                      <w:spacing w:val="4"/>
                                      <w:sz w:val="9"/>
                                    </w:rPr>
                                    <w:t xml:space="preserve"> </w:t>
                                  </w:r>
                                  <w:r>
                                    <w:rPr>
                                      <w:rFonts w:ascii="Arial MT" w:hAnsi="Arial MT"/>
                                      <w:color w:val="001F60"/>
                                      <w:sz w:val="9"/>
                                    </w:rPr>
                                    <w:t>Rede</w:t>
                                  </w:r>
                                  <w:r>
                                    <w:rPr>
                                      <w:rFonts w:ascii="Arial MT" w:hAnsi="Arial MT"/>
                                      <w:color w:val="001F60"/>
                                      <w:spacing w:val="4"/>
                                      <w:sz w:val="9"/>
                                    </w:rPr>
                                    <w:t xml:space="preserve"> </w:t>
                                  </w:r>
                                  <w:r>
                                    <w:rPr>
                                      <w:rFonts w:ascii="Arial MT" w:hAnsi="Arial MT"/>
                                      <w:color w:val="001F60"/>
                                      <w:spacing w:val="-5"/>
                                      <w:sz w:val="9"/>
                                    </w:rPr>
                                    <w:t>de</w:t>
                                  </w:r>
                                  <w:r>
                                    <w:rPr>
                                      <w:rFonts w:ascii="Times New Roman" w:hAnsi="Times New Roman"/>
                                      <w:color w:val="001F60"/>
                                      <w:sz w:val="9"/>
                                    </w:rPr>
                                    <w:tab/>
                                  </w:r>
                                  <w:r>
                                    <w:rPr>
                                      <w:rFonts w:ascii="Arial MT" w:hAnsi="Arial MT"/>
                                      <w:color w:val="001F60"/>
                                      <w:spacing w:val="-4"/>
                                      <w:position w:val="-5"/>
                                      <w:sz w:val="9"/>
                                    </w:rPr>
                                    <w:t>1050</w:t>
                                  </w:r>
                                </w:p>
                              </w:tc>
                              <w:tc>
                                <w:tcPr>
                                  <w:tcW w:w="2366" w:type="dxa"/>
                                  <w:tcBorders>
                                    <w:bottom w:val="single" w:sz="4" w:space="0" w:color="001F60"/>
                                  </w:tcBorders>
                                </w:tcPr>
                                <w:p w14:paraId="3C6C17CA" w14:textId="77777777" w:rsidR="002C6574" w:rsidRDefault="00000000">
                                  <w:pPr>
                                    <w:pStyle w:val="TableParagraph"/>
                                    <w:spacing w:before="66"/>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Próprios</w:t>
                                  </w:r>
                                  <w:r>
                                    <w:rPr>
                                      <w:rFonts w:ascii="Arial MT" w:hAnsi="Arial MT"/>
                                      <w:color w:val="001F60"/>
                                      <w:spacing w:val="3"/>
                                      <w:sz w:val="9"/>
                                    </w:rPr>
                                    <w:t xml:space="preserve"> </w:t>
                                  </w:r>
                                  <w:r>
                                    <w:rPr>
                                      <w:rFonts w:ascii="Arial MT" w:hAnsi="Arial MT"/>
                                      <w:color w:val="001F60"/>
                                      <w:sz w:val="9"/>
                                    </w:rPr>
                                    <w:t>Livres</w:t>
                                  </w:r>
                                  <w:r>
                                    <w:rPr>
                                      <w:rFonts w:ascii="Arial MT" w:hAnsi="Arial MT"/>
                                      <w:color w:val="001F60"/>
                                      <w:spacing w:val="2"/>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5"/>
                                      <w:sz w:val="9"/>
                                    </w:rPr>
                                    <w:t>UO</w:t>
                                  </w:r>
                                </w:p>
                              </w:tc>
                              <w:tc>
                                <w:tcPr>
                                  <w:tcW w:w="663" w:type="dxa"/>
                                  <w:tcBorders>
                                    <w:bottom w:val="single" w:sz="4" w:space="0" w:color="001F60"/>
                                  </w:tcBorders>
                                </w:tcPr>
                                <w:p w14:paraId="19D96F6F" w14:textId="77777777" w:rsidR="002C6574" w:rsidRDefault="00000000">
                                  <w:pPr>
                                    <w:pStyle w:val="TableParagraph"/>
                                    <w:spacing w:before="66"/>
                                    <w:ind w:right="148"/>
                                    <w:rPr>
                                      <w:rFonts w:ascii="Arial MT"/>
                                      <w:sz w:val="9"/>
                                    </w:rPr>
                                  </w:pPr>
                                  <w:r>
                                    <w:rPr>
                                      <w:rFonts w:ascii="Arial MT"/>
                                      <w:color w:val="001F60"/>
                                      <w:spacing w:val="-2"/>
                                      <w:sz w:val="9"/>
                                    </w:rPr>
                                    <w:t>49,35</w:t>
                                  </w:r>
                                </w:p>
                              </w:tc>
                              <w:tc>
                                <w:tcPr>
                                  <w:tcW w:w="616" w:type="dxa"/>
                                  <w:tcBorders>
                                    <w:bottom w:val="single" w:sz="4" w:space="0" w:color="001F60"/>
                                  </w:tcBorders>
                                </w:tcPr>
                                <w:p w14:paraId="4594C100" w14:textId="77777777" w:rsidR="002C6574" w:rsidRDefault="00000000">
                                  <w:pPr>
                                    <w:pStyle w:val="TableParagraph"/>
                                    <w:spacing w:before="66"/>
                                    <w:ind w:right="142"/>
                                    <w:rPr>
                                      <w:rFonts w:ascii="Arial MT"/>
                                      <w:sz w:val="9"/>
                                    </w:rPr>
                                  </w:pPr>
                                  <w:r>
                                    <w:rPr>
                                      <w:rFonts w:ascii="Arial MT"/>
                                      <w:color w:val="001F60"/>
                                      <w:spacing w:val="-2"/>
                                      <w:sz w:val="9"/>
                                    </w:rPr>
                                    <w:t>49,35</w:t>
                                  </w:r>
                                </w:p>
                              </w:tc>
                              <w:tc>
                                <w:tcPr>
                                  <w:tcW w:w="612" w:type="dxa"/>
                                  <w:tcBorders>
                                    <w:bottom w:val="single" w:sz="4" w:space="0" w:color="001F60"/>
                                  </w:tcBorders>
                                </w:tcPr>
                                <w:p w14:paraId="76BD085F" w14:textId="77777777" w:rsidR="002C6574" w:rsidRDefault="00000000">
                                  <w:pPr>
                                    <w:pStyle w:val="TableParagraph"/>
                                    <w:spacing w:before="66"/>
                                    <w:ind w:right="131"/>
                                    <w:rPr>
                                      <w:rFonts w:ascii="Arial MT"/>
                                      <w:sz w:val="9"/>
                                    </w:rPr>
                                  </w:pPr>
                                  <w:r>
                                    <w:rPr>
                                      <w:rFonts w:ascii="Arial MT"/>
                                      <w:color w:val="001F60"/>
                                      <w:spacing w:val="-2"/>
                                      <w:sz w:val="9"/>
                                    </w:rPr>
                                    <w:t>49,35</w:t>
                                  </w:r>
                                </w:p>
                              </w:tc>
                              <w:tc>
                                <w:tcPr>
                                  <w:tcW w:w="494" w:type="dxa"/>
                                  <w:tcBorders>
                                    <w:bottom w:val="single" w:sz="4" w:space="0" w:color="001F60"/>
                                  </w:tcBorders>
                                </w:tcPr>
                                <w:p w14:paraId="4CF70984" w14:textId="77777777" w:rsidR="002C6574" w:rsidRDefault="00000000">
                                  <w:pPr>
                                    <w:pStyle w:val="TableParagraph"/>
                                    <w:spacing w:before="66"/>
                                    <w:ind w:right="58"/>
                                    <w:rPr>
                                      <w:rFonts w:ascii="Arial MT"/>
                                      <w:sz w:val="9"/>
                                    </w:rPr>
                                  </w:pPr>
                                  <w:r>
                                    <w:rPr>
                                      <w:rFonts w:ascii="Arial MT"/>
                                      <w:color w:val="001F60"/>
                                      <w:spacing w:val="-2"/>
                                      <w:sz w:val="9"/>
                                    </w:rPr>
                                    <w:t>49,35</w:t>
                                  </w:r>
                                </w:p>
                              </w:tc>
                              <w:tc>
                                <w:tcPr>
                                  <w:tcW w:w="563" w:type="dxa"/>
                                  <w:tcBorders>
                                    <w:bottom w:val="single" w:sz="4" w:space="0" w:color="001F60"/>
                                  </w:tcBorders>
                                </w:tcPr>
                                <w:p w14:paraId="3C34E119" w14:textId="77777777" w:rsidR="002C6574" w:rsidRDefault="00000000">
                                  <w:pPr>
                                    <w:pStyle w:val="TableParagraph"/>
                                    <w:spacing w:before="66"/>
                                    <w:ind w:left="10" w:right="27"/>
                                    <w:jc w:val="center"/>
                                    <w:rPr>
                                      <w:rFonts w:ascii="Arial MT"/>
                                      <w:sz w:val="9"/>
                                    </w:rPr>
                                  </w:pPr>
                                  <w:r>
                                    <w:rPr>
                                      <w:rFonts w:ascii="Arial MT"/>
                                      <w:color w:val="001F60"/>
                                      <w:spacing w:val="-4"/>
                                      <w:sz w:val="9"/>
                                    </w:rPr>
                                    <w:t>100%</w:t>
                                  </w:r>
                                </w:p>
                              </w:tc>
                              <w:tc>
                                <w:tcPr>
                                  <w:tcW w:w="553" w:type="dxa"/>
                                  <w:tcBorders>
                                    <w:bottom w:val="single" w:sz="4" w:space="0" w:color="001F60"/>
                                  </w:tcBorders>
                                </w:tcPr>
                                <w:p w14:paraId="53AC553F" w14:textId="77777777" w:rsidR="002C6574" w:rsidRDefault="00000000">
                                  <w:pPr>
                                    <w:pStyle w:val="TableParagraph"/>
                                    <w:spacing w:before="66"/>
                                    <w:ind w:left="9" w:right="9"/>
                                    <w:jc w:val="center"/>
                                    <w:rPr>
                                      <w:rFonts w:ascii="Arial MT"/>
                                      <w:sz w:val="9"/>
                                    </w:rPr>
                                  </w:pPr>
                                  <w:r>
                                    <w:rPr>
                                      <w:rFonts w:ascii="Arial MT"/>
                                      <w:color w:val="001F60"/>
                                      <w:spacing w:val="-4"/>
                                      <w:sz w:val="9"/>
                                    </w:rPr>
                                    <w:t>100%</w:t>
                                  </w:r>
                                </w:p>
                              </w:tc>
                            </w:tr>
                            <w:tr w:rsidR="002C6574" w14:paraId="1B336B95" w14:textId="77777777">
                              <w:trPr>
                                <w:trHeight w:val="107"/>
                              </w:trPr>
                              <w:tc>
                                <w:tcPr>
                                  <w:tcW w:w="3125" w:type="dxa"/>
                                  <w:tcBorders>
                                    <w:top w:val="single" w:sz="4" w:space="0" w:color="001F60"/>
                                    <w:bottom w:val="single" w:sz="4" w:space="0" w:color="001F60"/>
                                  </w:tcBorders>
                                </w:tcPr>
                                <w:p w14:paraId="1A2D8628" w14:textId="77777777" w:rsidR="002C6574" w:rsidRDefault="00000000">
                                  <w:pPr>
                                    <w:pStyle w:val="TableParagraph"/>
                                    <w:spacing w:before="6" w:line="82" w:lineRule="exact"/>
                                    <w:ind w:left="513"/>
                                    <w:jc w:val="left"/>
                                    <w:rPr>
                                      <w:rFonts w:ascii="Arial"/>
                                      <w:b/>
                                      <w:sz w:val="9"/>
                                    </w:rPr>
                                  </w:pPr>
                                  <w:r>
                                    <w:rPr>
                                      <w:rFonts w:ascii="Arial"/>
                                      <w:b/>
                                      <w:color w:val="001F60"/>
                                      <w:sz w:val="9"/>
                                    </w:rPr>
                                    <w:t>Despesas</w:t>
                                  </w:r>
                                  <w:r>
                                    <w:rPr>
                                      <w:rFonts w:ascii="Arial"/>
                                      <w:b/>
                                      <w:color w:val="001F60"/>
                                      <w:spacing w:val="8"/>
                                      <w:sz w:val="9"/>
                                    </w:rPr>
                                    <w:t xml:space="preserve"> </w:t>
                                  </w:r>
                                  <w:r>
                                    <w:rPr>
                                      <w:rFonts w:ascii="Arial"/>
                                      <w:b/>
                                      <w:color w:val="001F60"/>
                                      <w:sz w:val="9"/>
                                    </w:rPr>
                                    <w:t>de</w:t>
                                  </w:r>
                                  <w:r>
                                    <w:rPr>
                                      <w:rFonts w:ascii="Arial"/>
                                      <w:b/>
                                      <w:color w:val="001F60"/>
                                      <w:spacing w:val="13"/>
                                      <w:sz w:val="9"/>
                                    </w:rPr>
                                    <w:t xml:space="preserve"> </w:t>
                                  </w:r>
                                  <w:r>
                                    <w:rPr>
                                      <w:rFonts w:ascii="Arial"/>
                                      <w:b/>
                                      <w:color w:val="001F60"/>
                                      <w:spacing w:val="-2"/>
                                      <w:sz w:val="9"/>
                                    </w:rPr>
                                    <w:t>Capital</w:t>
                                  </w:r>
                                </w:p>
                              </w:tc>
                              <w:tc>
                                <w:tcPr>
                                  <w:tcW w:w="2366" w:type="dxa"/>
                                  <w:tcBorders>
                                    <w:top w:val="single" w:sz="4" w:space="0" w:color="001F60"/>
                                    <w:bottom w:val="single" w:sz="4" w:space="0" w:color="001F60"/>
                                  </w:tcBorders>
                                </w:tcPr>
                                <w:p w14:paraId="5F807762" w14:textId="77777777" w:rsidR="002C6574" w:rsidRDefault="002C6574">
                                  <w:pPr>
                                    <w:pStyle w:val="TableParagraph"/>
                                    <w:jc w:val="left"/>
                                    <w:rPr>
                                      <w:rFonts w:ascii="Times New Roman"/>
                                      <w:sz w:val="4"/>
                                    </w:rPr>
                                  </w:pPr>
                                </w:p>
                              </w:tc>
                              <w:tc>
                                <w:tcPr>
                                  <w:tcW w:w="663" w:type="dxa"/>
                                  <w:tcBorders>
                                    <w:top w:val="single" w:sz="4" w:space="0" w:color="001F60"/>
                                    <w:bottom w:val="single" w:sz="4" w:space="0" w:color="001F60"/>
                                  </w:tcBorders>
                                </w:tcPr>
                                <w:p w14:paraId="5E70D60C" w14:textId="77777777" w:rsidR="002C6574" w:rsidRDefault="00000000">
                                  <w:pPr>
                                    <w:pStyle w:val="TableParagraph"/>
                                    <w:spacing w:before="6" w:line="82" w:lineRule="exact"/>
                                    <w:ind w:right="148"/>
                                    <w:rPr>
                                      <w:rFonts w:ascii="Arial"/>
                                      <w:b/>
                                      <w:sz w:val="9"/>
                                    </w:rPr>
                                  </w:pPr>
                                  <w:r>
                                    <w:rPr>
                                      <w:rFonts w:ascii="Arial"/>
                                      <w:b/>
                                      <w:color w:val="001F60"/>
                                      <w:spacing w:val="-4"/>
                                      <w:sz w:val="9"/>
                                    </w:rPr>
                                    <w:t>1,04</w:t>
                                  </w:r>
                                </w:p>
                              </w:tc>
                              <w:tc>
                                <w:tcPr>
                                  <w:tcW w:w="616" w:type="dxa"/>
                                  <w:tcBorders>
                                    <w:top w:val="single" w:sz="4" w:space="0" w:color="001F60"/>
                                    <w:bottom w:val="single" w:sz="4" w:space="0" w:color="001F60"/>
                                  </w:tcBorders>
                                </w:tcPr>
                                <w:p w14:paraId="29D07655" w14:textId="77777777" w:rsidR="002C6574" w:rsidRDefault="00000000">
                                  <w:pPr>
                                    <w:pStyle w:val="TableParagraph"/>
                                    <w:spacing w:before="6" w:line="82" w:lineRule="exact"/>
                                    <w:ind w:right="142"/>
                                    <w:rPr>
                                      <w:rFonts w:ascii="Arial"/>
                                      <w:b/>
                                      <w:sz w:val="9"/>
                                    </w:rPr>
                                  </w:pPr>
                                  <w:r>
                                    <w:rPr>
                                      <w:rFonts w:ascii="Arial"/>
                                      <w:b/>
                                      <w:color w:val="001F60"/>
                                      <w:spacing w:val="-4"/>
                                      <w:sz w:val="9"/>
                                    </w:rPr>
                                    <w:t>1,04</w:t>
                                  </w:r>
                                </w:p>
                              </w:tc>
                              <w:tc>
                                <w:tcPr>
                                  <w:tcW w:w="612" w:type="dxa"/>
                                  <w:tcBorders>
                                    <w:top w:val="single" w:sz="4" w:space="0" w:color="001F60"/>
                                    <w:bottom w:val="single" w:sz="4" w:space="0" w:color="001F60"/>
                                  </w:tcBorders>
                                </w:tcPr>
                                <w:p w14:paraId="3D586AE7" w14:textId="77777777" w:rsidR="002C6574" w:rsidRDefault="00000000">
                                  <w:pPr>
                                    <w:pStyle w:val="TableParagraph"/>
                                    <w:spacing w:before="6" w:line="82" w:lineRule="exact"/>
                                    <w:ind w:right="131"/>
                                    <w:rPr>
                                      <w:rFonts w:ascii="Arial"/>
                                      <w:b/>
                                      <w:sz w:val="9"/>
                                    </w:rPr>
                                  </w:pPr>
                                  <w:r>
                                    <w:rPr>
                                      <w:rFonts w:ascii="Arial"/>
                                      <w:b/>
                                      <w:color w:val="001F60"/>
                                      <w:spacing w:val="-4"/>
                                      <w:sz w:val="9"/>
                                    </w:rPr>
                                    <w:t>1,04</w:t>
                                  </w:r>
                                </w:p>
                              </w:tc>
                              <w:tc>
                                <w:tcPr>
                                  <w:tcW w:w="494" w:type="dxa"/>
                                  <w:tcBorders>
                                    <w:top w:val="single" w:sz="4" w:space="0" w:color="001F60"/>
                                    <w:bottom w:val="single" w:sz="4" w:space="0" w:color="001F60"/>
                                  </w:tcBorders>
                                </w:tcPr>
                                <w:p w14:paraId="0409F976" w14:textId="77777777" w:rsidR="002C6574" w:rsidRDefault="00000000">
                                  <w:pPr>
                                    <w:pStyle w:val="TableParagraph"/>
                                    <w:spacing w:before="6" w:line="82" w:lineRule="exact"/>
                                    <w:ind w:right="58"/>
                                    <w:rPr>
                                      <w:rFonts w:ascii="Arial"/>
                                      <w:b/>
                                      <w:sz w:val="9"/>
                                    </w:rPr>
                                  </w:pPr>
                                  <w:r>
                                    <w:rPr>
                                      <w:rFonts w:ascii="Arial"/>
                                      <w:b/>
                                      <w:color w:val="001F60"/>
                                      <w:spacing w:val="-4"/>
                                      <w:sz w:val="9"/>
                                    </w:rPr>
                                    <w:t>1,04</w:t>
                                  </w:r>
                                </w:p>
                              </w:tc>
                              <w:tc>
                                <w:tcPr>
                                  <w:tcW w:w="563" w:type="dxa"/>
                                  <w:tcBorders>
                                    <w:top w:val="single" w:sz="4" w:space="0" w:color="001F60"/>
                                    <w:bottom w:val="single" w:sz="4" w:space="0" w:color="001F60"/>
                                  </w:tcBorders>
                                </w:tcPr>
                                <w:p w14:paraId="0DB3D9AB" w14:textId="77777777" w:rsidR="002C6574" w:rsidRDefault="00000000">
                                  <w:pPr>
                                    <w:pStyle w:val="TableParagraph"/>
                                    <w:spacing w:before="6" w:line="82" w:lineRule="exact"/>
                                    <w:ind w:right="27"/>
                                    <w:jc w:val="center"/>
                                    <w:rPr>
                                      <w:rFonts w:ascii="Arial"/>
                                      <w:b/>
                                      <w:sz w:val="9"/>
                                    </w:rPr>
                                  </w:pPr>
                                  <w:r>
                                    <w:rPr>
                                      <w:rFonts w:ascii="Arial"/>
                                      <w:b/>
                                      <w:color w:val="001F60"/>
                                      <w:spacing w:val="-4"/>
                                      <w:sz w:val="9"/>
                                    </w:rPr>
                                    <w:t>100%</w:t>
                                  </w:r>
                                </w:p>
                              </w:tc>
                              <w:tc>
                                <w:tcPr>
                                  <w:tcW w:w="553" w:type="dxa"/>
                                  <w:tcBorders>
                                    <w:top w:val="single" w:sz="4" w:space="0" w:color="001F60"/>
                                    <w:bottom w:val="single" w:sz="4" w:space="0" w:color="001F60"/>
                                  </w:tcBorders>
                                </w:tcPr>
                                <w:p w14:paraId="47B238A2" w14:textId="77777777" w:rsidR="002C6574" w:rsidRDefault="00000000">
                                  <w:pPr>
                                    <w:pStyle w:val="TableParagraph"/>
                                    <w:spacing w:before="6" w:line="82" w:lineRule="exact"/>
                                    <w:ind w:right="9"/>
                                    <w:jc w:val="center"/>
                                    <w:rPr>
                                      <w:rFonts w:ascii="Arial"/>
                                      <w:b/>
                                      <w:sz w:val="9"/>
                                    </w:rPr>
                                  </w:pPr>
                                  <w:r>
                                    <w:rPr>
                                      <w:rFonts w:ascii="Arial"/>
                                      <w:b/>
                                      <w:color w:val="001F60"/>
                                      <w:spacing w:val="-4"/>
                                      <w:sz w:val="9"/>
                                    </w:rPr>
                                    <w:t>100%</w:t>
                                  </w:r>
                                </w:p>
                              </w:tc>
                            </w:tr>
                            <w:tr w:rsidR="002C6574" w14:paraId="61BDD9D8" w14:textId="77777777">
                              <w:trPr>
                                <w:trHeight w:val="349"/>
                              </w:trPr>
                              <w:tc>
                                <w:tcPr>
                                  <w:tcW w:w="3125" w:type="dxa"/>
                                  <w:tcBorders>
                                    <w:top w:val="single" w:sz="4" w:space="0" w:color="001F60"/>
                                    <w:bottom w:val="single" w:sz="2" w:space="0" w:color="000000"/>
                                  </w:tcBorders>
                                </w:tcPr>
                                <w:p w14:paraId="1EB2E69B" w14:textId="77777777" w:rsidR="002C6574" w:rsidRDefault="00000000">
                                  <w:pPr>
                                    <w:pStyle w:val="TableParagraph"/>
                                    <w:tabs>
                                      <w:tab w:val="right" w:pos="2427"/>
                                    </w:tabs>
                                    <w:spacing w:before="61"/>
                                    <w:ind w:right="-317"/>
                                    <w:rPr>
                                      <w:rFonts w:ascii="Arial MT" w:hAnsi="Arial MT"/>
                                      <w:position w:val="-5"/>
                                      <w:sz w:val="9"/>
                                    </w:rPr>
                                  </w:pPr>
                                  <w:r>
                                    <w:rPr>
                                      <w:rFonts w:ascii="Arial MT" w:hAnsi="Arial MT"/>
                                      <w:color w:val="001F60"/>
                                      <w:position w:val="-5"/>
                                      <w:sz w:val="9"/>
                                    </w:rPr>
                                    <w:t>15UI</w:t>
                                  </w:r>
                                  <w:r>
                                    <w:rPr>
                                      <w:rFonts w:ascii="Arial MT" w:hAnsi="Arial MT"/>
                                      <w:color w:val="001F60"/>
                                      <w:spacing w:val="78"/>
                                      <w:position w:val="-5"/>
                                      <w:sz w:val="9"/>
                                    </w:rPr>
                                    <w:t xml:space="preserve"> </w:t>
                                  </w:r>
                                  <w:r>
                                    <w:rPr>
                                      <w:rFonts w:ascii="Arial MT" w:hAnsi="Arial MT"/>
                                      <w:color w:val="001F60"/>
                                      <w:sz w:val="9"/>
                                    </w:rPr>
                                    <w:t>Implantação</w:t>
                                  </w:r>
                                  <w:r>
                                    <w:rPr>
                                      <w:rFonts w:ascii="Arial MT" w:hAnsi="Arial MT"/>
                                      <w:color w:val="001F60"/>
                                      <w:spacing w:val="1"/>
                                      <w:sz w:val="9"/>
                                    </w:rPr>
                                    <w:t xml:space="preserve"> </w:t>
                                  </w:r>
                                  <w:r>
                                    <w:rPr>
                                      <w:rFonts w:ascii="Arial MT" w:hAnsi="Arial MT"/>
                                      <w:color w:val="001F60"/>
                                      <w:sz w:val="9"/>
                                    </w:rPr>
                                    <w:t>de</w:t>
                                  </w:r>
                                  <w:r>
                                    <w:rPr>
                                      <w:rFonts w:ascii="Arial MT" w:hAnsi="Arial MT"/>
                                      <w:color w:val="001F60"/>
                                      <w:spacing w:val="2"/>
                                      <w:sz w:val="9"/>
                                    </w:rPr>
                                    <w:t xml:space="preserve"> </w:t>
                                  </w:r>
                                  <w:r>
                                    <w:rPr>
                                      <w:rFonts w:ascii="Arial MT" w:hAnsi="Arial MT"/>
                                      <w:color w:val="001F60"/>
                                      <w:sz w:val="9"/>
                                    </w:rPr>
                                    <w:t>Infraestrutura</w:t>
                                  </w:r>
                                  <w:r>
                                    <w:rPr>
                                      <w:rFonts w:ascii="Arial MT" w:hAnsi="Arial MT"/>
                                      <w:color w:val="001F60"/>
                                      <w:spacing w:val="1"/>
                                      <w:sz w:val="9"/>
                                    </w:rPr>
                                    <w:t xml:space="preserve"> </w:t>
                                  </w:r>
                                  <w:r>
                                    <w:rPr>
                                      <w:rFonts w:ascii="Arial MT" w:hAnsi="Arial MT"/>
                                      <w:color w:val="001F60"/>
                                      <w:sz w:val="9"/>
                                    </w:rPr>
                                    <w:t>de</w:t>
                                  </w:r>
                                  <w:r>
                                    <w:rPr>
                                      <w:rFonts w:ascii="Arial MT" w:hAnsi="Arial MT"/>
                                      <w:color w:val="001F60"/>
                                      <w:spacing w:val="1"/>
                                      <w:sz w:val="9"/>
                                    </w:rPr>
                                    <w:t xml:space="preserve"> </w:t>
                                  </w:r>
                                  <w:r>
                                    <w:rPr>
                                      <w:rFonts w:ascii="Arial MT" w:hAnsi="Arial MT"/>
                                      <w:color w:val="001F60"/>
                                      <w:sz w:val="9"/>
                                    </w:rPr>
                                    <w:t xml:space="preserve">Rede </w:t>
                                  </w:r>
                                  <w:r>
                                    <w:rPr>
                                      <w:rFonts w:ascii="Arial MT" w:hAnsi="Arial MT"/>
                                      <w:color w:val="001F60"/>
                                      <w:spacing w:val="-5"/>
                                      <w:sz w:val="9"/>
                                    </w:rPr>
                                    <w:t>de</w:t>
                                  </w:r>
                                  <w:r>
                                    <w:rPr>
                                      <w:rFonts w:ascii="Times New Roman" w:hAnsi="Times New Roman"/>
                                      <w:color w:val="001F60"/>
                                      <w:sz w:val="9"/>
                                    </w:rPr>
                                    <w:tab/>
                                  </w:r>
                                  <w:r>
                                    <w:rPr>
                                      <w:rFonts w:ascii="Arial MT" w:hAnsi="Arial MT"/>
                                      <w:color w:val="001F60"/>
                                      <w:spacing w:val="-4"/>
                                      <w:position w:val="-5"/>
                                      <w:sz w:val="9"/>
                                    </w:rPr>
                                    <w:t>1050</w:t>
                                  </w:r>
                                </w:p>
                              </w:tc>
                              <w:tc>
                                <w:tcPr>
                                  <w:tcW w:w="2366" w:type="dxa"/>
                                  <w:tcBorders>
                                    <w:top w:val="single" w:sz="4" w:space="0" w:color="001F60"/>
                                    <w:bottom w:val="single" w:sz="2" w:space="0" w:color="000000"/>
                                  </w:tcBorders>
                                </w:tcPr>
                                <w:p w14:paraId="504599FB" w14:textId="77777777" w:rsidR="002C6574" w:rsidRDefault="002C6574">
                                  <w:pPr>
                                    <w:pStyle w:val="TableParagraph"/>
                                    <w:spacing w:before="13"/>
                                    <w:jc w:val="left"/>
                                    <w:rPr>
                                      <w:rFonts w:ascii="Calibri"/>
                                      <w:sz w:val="9"/>
                                    </w:rPr>
                                  </w:pPr>
                                </w:p>
                                <w:p w14:paraId="19310B93" w14:textId="77777777" w:rsidR="002C6574" w:rsidRDefault="00000000">
                                  <w:pPr>
                                    <w:pStyle w:val="TableParagraph"/>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Próprios</w:t>
                                  </w:r>
                                  <w:r>
                                    <w:rPr>
                                      <w:rFonts w:ascii="Arial MT" w:hAnsi="Arial MT"/>
                                      <w:color w:val="001F60"/>
                                      <w:spacing w:val="3"/>
                                      <w:sz w:val="9"/>
                                    </w:rPr>
                                    <w:t xml:space="preserve"> </w:t>
                                  </w:r>
                                  <w:r>
                                    <w:rPr>
                                      <w:rFonts w:ascii="Arial MT" w:hAnsi="Arial MT"/>
                                      <w:color w:val="001F60"/>
                                      <w:sz w:val="9"/>
                                    </w:rPr>
                                    <w:t>Livres</w:t>
                                  </w:r>
                                  <w:r>
                                    <w:rPr>
                                      <w:rFonts w:ascii="Arial MT" w:hAnsi="Arial MT"/>
                                      <w:color w:val="001F60"/>
                                      <w:spacing w:val="2"/>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5"/>
                                      <w:sz w:val="9"/>
                                    </w:rPr>
                                    <w:t>UO</w:t>
                                  </w:r>
                                </w:p>
                              </w:tc>
                              <w:tc>
                                <w:tcPr>
                                  <w:tcW w:w="663" w:type="dxa"/>
                                  <w:tcBorders>
                                    <w:top w:val="single" w:sz="4" w:space="0" w:color="001F60"/>
                                    <w:bottom w:val="single" w:sz="2" w:space="0" w:color="000000"/>
                                  </w:tcBorders>
                                </w:tcPr>
                                <w:p w14:paraId="0995D4A2" w14:textId="77777777" w:rsidR="002C6574" w:rsidRDefault="002C6574">
                                  <w:pPr>
                                    <w:pStyle w:val="TableParagraph"/>
                                    <w:spacing w:before="13"/>
                                    <w:jc w:val="left"/>
                                    <w:rPr>
                                      <w:rFonts w:ascii="Calibri"/>
                                      <w:sz w:val="9"/>
                                    </w:rPr>
                                  </w:pPr>
                                </w:p>
                                <w:p w14:paraId="540AF03D" w14:textId="77777777" w:rsidR="002C6574" w:rsidRDefault="00000000">
                                  <w:pPr>
                                    <w:pStyle w:val="TableParagraph"/>
                                    <w:ind w:right="148"/>
                                    <w:rPr>
                                      <w:rFonts w:ascii="Arial MT"/>
                                      <w:sz w:val="9"/>
                                    </w:rPr>
                                  </w:pPr>
                                  <w:r>
                                    <w:rPr>
                                      <w:rFonts w:ascii="Arial MT"/>
                                      <w:color w:val="001F60"/>
                                      <w:spacing w:val="-4"/>
                                      <w:sz w:val="9"/>
                                    </w:rPr>
                                    <w:t>0,15</w:t>
                                  </w:r>
                                </w:p>
                              </w:tc>
                              <w:tc>
                                <w:tcPr>
                                  <w:tcW w:w="616" w:type="dxa"/>
                                  <w:tcBorders>
                                    <w:top w:val="single" w:sz="4" w:space="0" w:color="001F60"/>
                                    <w:bottom w:val="single" w:sz="2" w:space="0" w:color="000000"/>
                                  </w:tcBorders>
                                </w:tcPr>
                                <w:p w14:paraId="42AF4680" w14:textId="77777777" w:rsidR="002C6574" w:rsidRDefault="002C6574">
                                  <w:pPr>
                                    <w:pStyle w:val="TableParagraph"/>
                                    <w:spacing w:before="13"/>
                                    <w:jc w:val="left"/>
                                    <w:rPr>
                                      <w:rFonts w:ascii="Calibri"/>
                                      <w:sz w:val="9"/>
                                    </w:rPr>
                                  </w:pPr>
                                </w:p>
                                <w:p w14:paraId="59307D62" w14:textId="77777777" w:rsidR="002C6574" w:rsidRDefault="00000000">
                                  <w:pPr>
                                    <w:pStyle w:val="TableParagraph"/>
                                    <w:ind w:right="142"/>
                                    <w:rPr>
                                      <w:rFonts w:ascii="Arial MT"/>
                                      <w:sz w:val="9"/>
                                    </w:rPr>
                                  </w:pPr>
                                  <w:r>
                                    <w:rPr>
                                      <w:rFonts w:ascii="Arial MT"/>
                                      <w:color w:val="001F60"/>
                                      <w:spacing w:val="-4"/>
                                      <w:sz w:val="9"/>
                                    </w:rPr>
                                    <w:t>0,15</w:t>
                                  </w:r>
                                </w:p>
                              </w:tc>
                              <w:tc>
                                <w:tcPr>
                                  <w:tcW w:w="612" w:type="dxa"/>
                                  <w:tcBorders>
                                    <w:top w:val="single" w:sz="4" w:space="0" w:color="001F60"/>
                                    <w:bottom w:val="single" w:sz="2" w:space="0" w:color="000000"/>
                                  </w:tcBorders>
                                </w:tcPr>
                                <w:p w14:paraId="3446ED1F" w14:textId="77777777" w:rsidR="002C6574" w:rsidRDefault="002C6574">
                                  <w:pPr>
                                    <w:pStyle w:val="TableParagraph"/>
                                    <w:spacing w:before="13"/>
                                    <w:jc w:val="left"/>
                                    <w:rPr>
                                      <w:rFonts w:ascii="Calibri"/>
                                      <w:sz w:val="9"/>
                                    </w:rPr>
                                  </w:pPr>
                                </w:p>
                                <w:p w14:paraId="200393E8" w14:textId="77777777" w:rsidR="002C6574" w:rsidRDefault="00000000">
                                  <w:pPr>
                                    <w:pStyle w:val="TableParagraph"/>
                                    <w:ind w:right="131"/>
                                    <w:rPr>
                                      <w:rFonts w:ascii="Arial MT"/>
                                      <w:sz w:val="9"/>
                                    </w:rPr>
                                  </w:pPr>
                                  <w:r>
                                    <w:rPr>
                                      <w:rFonts w:ascii="Arial MT"/>
                                      <w:color w:val="001F60"/>
                                      <w:spacing w:val="-4"/>
                                      <w:sz w:val="9"/>
                                    </w:rPr>
                                    <w:t>0,15</w:t>
                                  </w:r>
                                </w:p>
                              </w:tc>
                              <w:tc>
                                <w:tcPr>
                                  <w:tcW w:w="494" w:type="dxa"/>
                                  <w:tcBorders>
                                    <w:top w:val="single" w:sz="4" w:space="0" w:color="001F60"/>
                                    <w:bottom w:val="single" w:sz="2" w:space="0" w:color="000000"/>
                                  </w:tcBorders>
                                </w:tcPr>
                                <w:p w14:paraId="444DF65C" w14:textId="77777777" w:rsidR="002C6574" w:rsidRDefault="002C6574">
                                  <w:pPr>
                                    <w:pStyle w:val="TableParagraph"/>
                                    <w:spacing w:before="13"/>
                                    <w:jc w:val="left"/>
                                    <w:rPr>
                                      <w:rFonts w:ascii="Calibri"/>
                                      <w:sz w:val="9"/>
                                    </w:rPr>
                                  </w:pPr>
                                </w:p>
                                <w:p w14:paraId="7DF10168" w14:textId="77777777" w:rsidR="002C6574" w:rsidRDefault="00000000">
                                  <w:pPr>
                                    <w:pStyle w:val="TableParagraph"/>
                                    <w:ind w:right="58"/>
                                    <w:rPr>
                                      <w:rFonts w:ascii="Arial MT"/>
                                      <w:sz w:val="9"/>
                                    </w:rPr>
                                  </w:pPr>
                                  <w:r>
                                    <w:rPr>
                                      <w:rFonts w:ascii="Arial MT"/>
                                      <w:color w:val="001F60"/>
                                      <w:spacing w:val="-4"/>
                                      <w:sz w:val="9"/>
                                    </w:rPr>
                                    <w:t>0,15</w:t>
                                  </w:r>
                                </w:p>
                              </w:tc>
                              <w:tc>
                                <w:tcPr>
                                  <w:tcW w:w="563" w:type="dxa"/>
                                  <w:tcBorders>
                                    <w:top w:val="single" w:sz="4" w:space="0" w:color="001F60"/>
                                    <w:bottom w:val="single" w:sz="2" w:space="0" w:color="000000"/>
                                  </w:tcBorders>
                                </w:tcPr>
                                <w:p w14:paraId="21CFF8C1" w14:textId="77777777" w:rsidR="002C6574" w:rsidRDefault="002C6574">
                                  <w:pPr>
                                    <w:pStyle w:val="TableParagraph"/>
                                    <w:spacing w:before="13"/>
                                    <w:jc w:val="left"/>
                                    <w:rPr>
                                      <w:rFonts w:ascii="Calibri"/>
                                      <w:sz w:val="9"/>
                                    </w:rPr>
                                  </w:pPr>
                                </w:p>
                                <w:p w14:paraId="4286D543" w14:textId="77777777" w:rsidR="002C6574" w:rsidRDefault="00000000">
                                  <w:pPr>
                                    <w:pStyle w:val="TableParagraph"/>
                                    <w:ind w:left="10" w:right="27"/>
                                    <w:jc w:val="center"/>
                                    <w:rPr>
                                      <w:rFonts w:ascii="Arial MT"/>
                                      <w:sz w:val="9"/>
                                    </w:rPr>
                                  </w:pPr>
                                  <w:r>
                                    <w:rPr>
                                      <w:rFonts w:ascii="Arial MT"/>
                                      <w:color w:val="001F60"/>
                                      <w:spacing w:val="-4"/>
                                      <w:sz w:val="9"/>
                                    </w:rPr>
                                    <w:t>100%</w:t>
                                  </w:r>
                                </w:p>
                              </w:tc>
                              <w:tc>
                                <w:tcPr>
                                  <w:tcW w:w="553" w:type="dxa"/>
                                  <w:tcBorders>
                                    <w:top w:val="single" w:sz="4" w:space="0" w:color="001F60"/>
                                    <w:bottom w:val="single" w:sz="2" w:space="0" w:color="000000"/>
                                  </w:tcBorders>
                                </w:tcPr>
                                <w:p w14:paraId="49B03A50" w14:textId="77777777" w:rsidR="002C6574" w:rsidRDefault="002C6574">
                                  <w:pPr>
                                    <w:pStyle w:val="TableParagraph"/>
                                    <w:spacing w:before="13"/>
                                    <w:jc w:val="left"/>
                                    <w:rPr>
                                      <w:rFonts w:ascii="Calibri"/>
                                      <w:sz w:val="9"/>
                                    </w:rPr>
                                  </w:pPr>
                                </w:p>
                                <w:p w14:paraId="08B9FA24" w14:textId="77777777" w:rsidR="002C6574" w:rsidRDefault="00000000">
                                  <w:pPr>
                                    <w:pStyle w:val="TableParagraph"/>
                                    <w:ind w:left="9" w:right="9"/>
                                    <w:jc w:val="center"/>
                                    <w:rPr>
                                      <w:rFonts w:ascii="Arial MT"/>
                                      <w:sz w:val="9"/>
                                    </w:rPr>
                                  </w:pPr>
                                  <w:r>
                                    <w:rPr>
                                      <w:rFonts w:ascii="Arial MT"/>
                                      <w:color w:val="001F60"/>
                                      <w:spacing w:val="-4"/>
                                      <w:sz w:val="9"/>
                                    </w:rPr>
                                    <w:t>100%</w:t>
                                  </w:r>
                                </w:p>
                              </w:tc>
                            </w:tr>
                            <w:tr w:rsidR="002C6574" w14:paraId="0161C575" w14:textId="77777777">
                              <w:trPr>
                                <w:trHeight w:val="109"/>
                              </w:trPr>
                              <w:tc>
                                <w:tcPr>
                                  <w:tcW w:w="3125" w:type="dxa"/>
                                  <w:tcBorders>
                                    <w:top w:val="single" w:sz="2" w:space="0" w:color="000000"/>
                                    <w:bottom w:val="single" w:sz="4" w:space="0" w:color="001F60"/>
                                  </w:tcBorders>
                                </w:tcPr>
                                <w:p w14:paraId="4B5B1819" w14:textId="77777777" w:rsidR="002C6574" w:rsidRDefault="00000000">
                                  <w:pPr>
                                    <w:pStyle w:val="TableParagraph"/>
                                    <w:tabs>
                                      <w:tab w:val="right" w:pos="2427"/>
                                    </w:tabs>
                                    <w:spacing w:before="4" w:line="86" w:lineRule="exact"/>
                                    <w:ind w:right="-317"/>
                                    <w:rPr>
                                      <w:rFonts w:ascii="Arial MT" w:hAnsi="Arial MT"/>
                                      <w:sz w:val="9"/>
                                    </w:rPr>
                                  </w:pPr>
                                  <w:r>
                                    <w:rPr>
                                      <w:rFonts w:ascii="Arial MT" w:hAnsi="Arial MT"/>
                                      <w:color w:val="001F60"/>
                                      <w:sz w:val="9"/>
                                    </w:rPr>
                                    <w:t>2000</w:t>
                                  </w:r>
                                  <w:r>
                                    <w:rPr>
                                      <w:rFonts w:ascii="Arial MT" w:hAnsi="Arial MT"/>
                                      <w:color w:val="001F60"/>
                                      <w:spacing w:val="67"/>
                                      <w:sz w:val="9"/>
                                    </w:rPr>
                                    <w:t xml:space="preserve"> </w:t>
                                  </w:r>
                                  <w:r>
                                    <w:rPr>
                                      <w:rFonts w:ascii="Arial MT" w:hAnsi="Arial MT"/>
                                      <w:color w:val="001F60"/>
                                      <w:sz w:val="9"/>
                                    </w:rPr>
                                    <w:t>Administração</w:t>
                                  </w:r>
                                  <w:r>
                                    <w:rPr>
                                      <w:rFonts w:ascii="Arial MT" w:hAnsi="Arial MT"/>
                                      <w:color w:val="001F60"/>
                                      <w:spacing w:val="1"/>
                                      <w:sz w:val="9"/>
                                    </w:rPr>
                                    <w:t xml:space="preserve"> </w:t>
                                  </w:r>
                                  <w:r>
                                    <w:rPr>
                                      <w:rFonts w:ascii="Arial MT" w:hAnsi="Arial MT"/>
                                      <w:color w:val="001F60"/>
                                      <w:sz w:val="9"/>
                                    </w:rPr>
                                    <w:t xml:space="preserve">da </w:t>
                                  </w:r>
                                  <w:r>
                                    <w:rPr>
                                      <w:rFonts w:ascii="Arial MT" w:hAnsi="Arial MT"/>
                                      <w:color w:val="001F60"/>
                                      <w:spacing w:val="-2"/>
                                      <w:sz w:val="9"/>
                                    </w:rPr>
                                    <w:t>Unidade</w:t>
                                  </w:r>
                                  <w:r>
                                    <w:rPr>
                                      <w:rFonts w:ascii="Times New Roman" w:hAnsi="Times New Roman"/>
                                      <w:color w:val="001F60"/>
                                      <w:sz w:val="9"/>
                                    </w:rPr>
                                    <w:tab/>
                                  </w:r>
                                  <w:r>
                                    <w:rPr>
                                      <w:rFonts w:ascii="Arial MT" w:hAnsi="Arial MT"/>
                                      <w:color w:val="001F60"/>
                                      <w:spacing w:val="-4"/>
                                      <w:sz w:val="9"/>
                                    </w:rPr>
                                    <w:t>1050</w:t>
                                  </w:r>
                                </w:p>
                              </w:tc>
                              <w:tc>
                                <w:tcPr>
                                  <w:tcW w:w="2366" w:type="dxa"/>
                                  <w:tcBorders>
                                    <w:top w:val="single" w:sz="2" w:space="0" w:color="000000"/>
                                    <w:bottom w:val="single" w:sz="4" w:space="0" w:color="001F60"/>
                                  </w:tcBorders>
                                </w:tcPr>
                                <w:p w14:paraId="00B84EC1" w14:textId="77777777" w:rsidR="002C6574" w:rsidRDefault="00000000">
                                  <w:pPr>
                                    <w:pStyle w:val="TableParagraph"/>
                                    <w:spacing w:before="4" w:line="86" w:lineRule="exact"/>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Próprios</w:t>
                                  </w:r>
                                  <w:r>
                                    <w:rPr>
                                      <w:rFonts w:ascii="Arial MT" w:hAnsi="Arial MT"/>
                                      <w:color w:val="001F60"/>
                                      <w:spacing w:val="3"/>
                                      <w:sz w:val="9"/>
                                    </w:rPr>
                                    <w:t xml:space="preserve"> </w:t>
                                  </w:r>
                                  <w:r>
                                    <w:rPr>
                                      <w:rFonts w:ascii="Arial MT" w:hAnsi="Arial MT"/>
                                      <w:color w:val="001F60"/>
                                      <w:sz w:val="9"/>
                                    </w:rPr>
                                    <w:t>Livres</w:t>
                                  </w:r>
                                  <w:r>
                                    <w:rPr>
                                      <w:rFonts w:ascii="Arial MT" w:hAnsi="Arial MT"/>
                                      <w:color w:val="001F60"/>
                                      <w:spacing w:val="2"/>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5"/>
                                      <w:sz w:val="9"/>
                                    </w:rPr>
                                    <w:t>UO</w:t>
                                  </w:r>
                                </w:p>
                              </w:tc>
                              <w:tc>
                                <w:tcPr>
                                  <w:tcW w:w="663" w:type="dxa"/>
                                  <w:tcBorders>
                                    <w:top w:val="single" w:sz="2" w:space="0" w:color="000000"/>
                                    <w:bottom w:val="single" w:sz="4" w:space="0" w:color="001F60"/>
                                  </w:tcBorders>
                                </w:tcPr>
                                <w:p w14:paraId="39B1E328" w14:textId="77777777" w:rsidR="002C6574" w:rsidRDefault="00000000">
                                  <w:pPr>
                                    <w:pStyle w:val="TableParagraph"/>
                                    <w:spacing w:before="4" w:line="86" w:lineRule="exact"/>
                                    <w:ind w:right="148"/>
                                    <w:rPr>
                                      <w:rFonts w:ascii="Arial MT"/>
                                      <w:sz w:val="9"/>
                                    </w:rPr>
                                  </w:pPr>
                                  <w:r>
                                    <w:rPr>
                                      <w:rFonts w:ascii="Arial MT"/>
                                      <w:color w:val="001F60"/>
                                      <w:spacing w:val="-4"/>
                                      <w:sz w:val="9"/>
                                    </w:rPr>
                                    <w:t>0,89</w:t>
                                  </w:r>
                                </w:p>
                              </w:tc>
                              <w:tc>
                                <w:tcPr>
                                  <w:tcW w:w="616" w:type="dxa"/>
                                  <w:tcBorders>
                                    <w:top w:val="single" w:sz="2" w:space="0" w:color="000000"/>
                                    <w:bottom w:val="single" w:sz="4" w:space="0" w:color="001F60"/>
                                  </w:tcBorders>
                                </w:tcPr>
                                <w:p w14:paraId="78645357" w14:textId="77777777" w:rsidR="002C6574" w:rsidRDefault="00000000">
                                  <w:pPr>
                                    <w:pStyle w:val="TableParagraph"/>
                                    <w:spacing w:before="4" w:line="86" w:lineRule="exact"/>
                                    <w:ind w:right="142"/>
                                    <w:rPr>
                                      <w:rFonts w:ascii="Arial MT"/>
                                      <w:sz w:val="9"/>
                                    </w:rPr>
                                  </w:pPr>
                                  <w:r>
                                    <w:rPr>
                                      <w:rFonts w:ascii="Arial MT"/>
                                      <w:color w:val="001F60"/>
                                      <w:spacing w:val="-4"/>
                                      <w:sz w:val="9"/>
                                    </w:rPr>
                                    <w:t>0,89</w:t>
                                  </w:r>
                                </w:p>
                              </w:tc>
                              <w:tc>
                                <w:tcPr>
                                  <w:tcW w:w="612" w:type="dxa"/>
                                  <w:tcBorders>
                                    <w:top w:val="single" w:sz="2" w:space="0" w:color="000000"/>
                                    <w:bottom w:val="single" w:sz="4" w:space="0" w:color="001F60"/>
                                  </w:tcBorders>
                                </w:tcPr>
                                <w:p w14:paraId="3BDE25CB" w14:textId="77777777" w:rsidR="002C6574" w:rsidRDefault="00000000">
                                  <w:pPr>
                                    <w:pStyle w:val="TableParagraph"/>
                                    <w:spacing w:before="4" w:line="86" w:lineRule="exact"/>
                                    <w:ind w:right="131"/>
                                    <w:rPr>
                                      <w:rFonts w:ascii="Arial MT"/>
                                      <w:sz w:val="9"/>
                                    </w:rPr>
                                  </w:pPr>
                                  <w:r>
                                    <w:rPr>
                                      <w:rFonts w:ascii="Arial MT"/>
                                      <w:color w:val="001F60"/>
                                      <w:spacing w:val="-4"/>
                                      <w:sz w:val="9"/>
                                    </w:rPr>
                                    <w:t>0,89</w:t>
                                  </w:r>
                                </w:p>
                              </w:tc>
                              <w:tc>
                                <w:tcPr>
                                  <w:tcW w:w="494" w:type="dxa"/>
                                  <w:tcBorders>
                                    <w:top w:val="single" w:sz="2" w:space="0" w:color="000000"/>
                                    <w:bottom w:val="single" w:sz="4" w:space="0" w:color="001F60"/>
                                  </w:tcBorders>
                                </w:tcPr>
                                <w:p w14:paraId="545CB9E2" w14:textId="77777777" w:rsidR="002C6574" w:rsidRDefault="00000000">
                                  <w:pPr>
                                    <w:pStyle w:val="TableParagraph"/>
                                    <w:spacing w:before="4" w:line="86" w:lineRule="exact"/>
                                    <w:ind w:right="58"/>
                                    <w:rPr>
                                      <w:rFonts w:ascii="Arial MT"/>
                                      <w:sz w:val="9"/>
                                    </w:rPr>
                                  </w:pPr>
                                  <w:r>
                                    <w:rPr>
                                      <w:rFonts w:ascii="Arial MT"/>
                                      <w:color w:val="001F60"/>
                                      <w:spacing w:val="-4"/>
                                      <w:sz w:val="9"/>
                                    </w:rPr>
                                    <w:t>0,89</w:t>
                                  </w:r>
                                </w:p>
                              </w:tc>
                              <w:tc>
                                <w:tcPr>
                                  <w:tcW w:w="563" w:type="dxa"/>
                                  <w:tcBorders>
                                    <w:top w:val="single" w:sz="2" w:space="0" w:color="000000"/>
                                    <w:bottom w:val="single" w:sz="4" w:space="0" w:color="001F60"/>
                                  </w:tcBorders>
                                </w:tcPr>
                                <w:p w14:paraId="0453E47A" w14:textId="77777777" w:rsidR="002C6574" w:rsidRDefault="00000000">
                                  <w:pPr>
                                    <w:pStyle w:val="TableParagraph"/>
                                    <w:spacing w:before="4" w:line="86" w:lineRule="exact"/>
                                    <w:ind w:left="10" w:right="27"/>
                                    <w:jc w:val="center"/>
                                    <w:rPr>
                                      <w:rFonts w:ascii="Arial MT"/>
                                      <w:sz w:val="9"/>
                                    </w:rPr>
                                  </w:pPr>
                                  <w:r>
                                    <w:rPr>
                                      <w:rFonts w:ascii="Arial MT"/>
                                      <w:color w:val="001F60"/>
                                      <w:spacing w:val="-4"/>
                                      <w:sz w:val="9"/>
                                    </w:rPr>
                                    <w:t>100%</w:t>
                                  </w:r>
                                </w:p>
                              </w:tc>
                              <w:tc>
                                <w:tcPr>
                                  <w:tcW w:w="553" w:type="dxa"/>
                                  <w:tcBorders>
                                    <w:top w:val="single" w:sz="2" w:space="0" w:color="000000"/>
                                    <w:bottom w:val="single" w:sz="4" w:space="0" w:color="001F60"/>
                                  </w:tcBorders>
                                </w:tcPr>
                                <w:p w14:paraId="2170D9D7" w14:textId="77777777" w:rsidR="002C6574" w:rsidRDefault="00000000">
                                  <w:pPr>
                                    <w:pStyle w:val="TableParagraph"/>
                                    <w:spacing w:before="4" w:line="86" w:lineRule="exact"/>
                                    <w:ind w:left="9" w:right="9"/>
                                    <w:jc w:val="center"/>
                                    <w:rPr>
                                      <w:rFonts w:ascii="Arial MT"/>
                                      <w:sz w:val="9"/>
                                    </w:rPr>
                                  </w:pPr>
                                  <w:r>
                                    <w:rPr>
                                      <w:rFonts w:ascii="Arial MT"/>
                                      <w:color w:val="001F60"/>
                                      <w:spacing w:val="-4"/>
                                      <w:sz w:val="9"/>
                                    </w:rPr>
                                    <w:t>100%</w:t>
                                  </w:r>
                                </w:p>
                              </w:tc>
                            </w:tr>
                            <w:tr w:rsidR="002C6574" w14:paraId="2CCE4C19" w14:textId="77777777">
                              <w:trPr>
                                <w:trHeight w:val="107"/>
                              </w:trPr>
                              <w:tc>
                                <w:tcPr>
                                  <w:tcW w:w="3125" w:type="dxa"/>
                                  <w:tcBorders>
                                    <w:top w:val="single" w:sz="4" w:space="0" w:color="001F60"/>
                                    <w:bottom w:val="single" w:sz="4" w:space="0" w:color="001F60"/>
                                  </w:tcBorders>
                                </w:tcPr>
                                <w:p w14:paraId="1EE0BD66" w14:textId="77777777" w:rsidR="002C6574" w:rsidRDefault="00000000">
                                  <w:pPr>
                                    <w:pStyle w:val="TableParagraph"/>
                                    <w:spacing w:before="6" w:line="81" w:lineRule="exact"/>
                                    <w:ind w:left="513"/>
                                    <w:jc w:val="left"/>
                                    <w:rPr>
                                      <w:rFonts w:ascii="Arial" w:hAnsi="Arial"/>
                                      <w:b/>
                                      <w:sz w:val="9"/>
                                    </w:rPr>
                                  </w:pPr>
                                  <w:r>
                                    <w:rPr>
                                      <w:rFonts w:ascii="Arial" w:hAnsi="Arial"/>
                                      <w:b/>
                                      <w:color w:val="001F60"/>
                                      <w:sz w:val="9"/>
                                    </w:rPr>
                                    <w:t>Reserva</w:t>
                                  </w:r>
                                  <w:r>
                                    <w:rPr>
                                      <w:rFonts w:ascii="Arial" w:hAnsi="Arial"/>
                                      <w:b/>
                                      <w:color w:val="001F60"/>
                                      <w:spacing w:val="11"/>
                                      <w:sz w:val="9"/>
                                    </w:rPr>
                                    <w:t xml:space="preserve"> </w:t>
                                  </w:r>
                                  <w:r>
                                    <w:rPr>
                                      <w:rFonts w:ascii="Arial" w:hAnsi="Arial"/>
                                      <w:b/>
                                      <w:color w:val="001F60"/>
                                      <w:sz w:val="9"/>
                                    </w:rPr>
                                    <w:t>de</w:t>
                                  </w:r>
                                  <w:r>
                                    <w:rPr>
                                      <w:rFonts w:ascii="Arial" w:hAnsi="Arial"/>
                                      <w:b/>
                                      <w:color w:val="001F60"/>
                                      <w:spacing w:val="15"/>
                                      <w:sz w:val="9"/>
                                    </w:rPr>
                                    <w:t xml:space="preserve"> </w:t>
                                  </w:r>
                                  <w:r>
                                    <w:rPr>
                                      <w:rFonts w:ascii="Arial" w:hAnsi="Arial"/>
                                      <w:b/>
                                      <w:color w:val="001F60"/>
                                      <w:spacing w:val="-2"/>
                                      <w:sz w:val="9"/>
                                    </w:rPr>
                                    <w:t>Contingência</w:t>
                                  </w:r>
                                </w:p>
                              </w:tc>
                              <w:tc>
                                <w:tcPr>
                                  <w:tcW w:w="2366" w:type="dxa"/>
                                  <w:tcBorders>
                                    <w:top w:val="single" w:sz="4" w:space="0" w:color="001F60"/>
                                    <w:bottom w:val="single" w:sz="4" w:space="0" w:color="001F60"/>
                                  </w:tcBorders>
                                </w:tcPr>
                                <w:p w14:paraId="2ECEA5C2" w14:textId="77777777" w:rsidR="002C6574" w:rsidRDefault="002C6574">
                                  <w:pPr>
                                    <w:pStyle w:val="TableParagraph"/>
                                    <w:jc w:val="left"/>
                                    <w:rPr>
                                      <w:rFonts w:ascii="Times New Roman"/>
                                      <w:sz w:val="4"/>
                                    </w:rPr>
                                  </w:pPr>
                                </w:p>
                              </w:tc>
                              <w:tc>
                                <w:tcPr>
                                  <w:tcW w:w="663" w:type="dxa"/>
                                  <w:tcBorders>
                                    <w:top w:val="single" w:sz="4" w:space="0" w:color="001F60"/>
                                    <w:bottom w:val="single" w:sz="4" w:space="0" w:color="001F60"/>
                                  </w:tcBorders>
                                </w:tcPr>
                                <w:p w14:paraId="48B9CF31" w14:textId="77777777" w:rsidR="002C6574" w:rsidRDefault="00000000">
                                  <w:pPr>
                                    <w:pStyle w:val="TableParagraph"/>
                                    <w:spacing w:before="6" w:line="81" w:lineRule="exact"/>
                                    <w:ind w:left="126"/>
                                    <w:jc w:val="center"/>
                                    <w:rPr>
                                      <w:rFonts w:ascii="Arial"/>
                                      <w:b/>
                                      <w:sz w:val="9"/>
                                    </w:rPr>
                                  </w:pPr>
                                  <w:r>
                                    <w:rPr>
                                      <w:rFonts w:ascii="Arial"/>
                                      <w:b/>
                                      <w:color w:val="001F60"/>
                                      <w:spacing w:val="-10"/>
                                      <w:sz w:val="9"/>
                                    </w:rPr>
                                    <w:t>-</w:t>
                                  </w:r>
                                </w:p>
                              </w:tc>
                              <w:tc>
                                <w:tcPr>
                                  <w:tcW w:w="616" w:type="dxa"/>
                                  <w:tcBorders>
                                    <w:top w:val="single" w:sz="4" w:space="0" w:color="001F60"/>
                                    <w:bottom w:val="single" w:sz="4" w:space="0" w:color="001F60"/>
                                  </w:tcBorders>
                                </w:tcPr>
                                <w:p w14:paraId="1B4E667A" w14:textId="77777777" w:rsidR="002C6574" w:rsidRDefault="00000000">
                                  <w:pPr>
                                    <w:pStyle w:val="TableParagraph"/>
                                    <w:spacing w:before="6" w:line="81" w:lineRule="exact"/>
                                    <w:ind w:left="91" w:right="1"/>
                                    <w:jc w:val="center"/>
                                    <w:rPr>
                                      <w:rFonts w:ascii="Arial"/>
                                      <w:b/>
                                      <w:sz w:val="9"/>
                                    </w:rPr>
                                  </w:pPr>
                                  <w:r>
                                    <w:rPr>
                                      <w:rFonts w:ascii="Arial"/>
                                      <w:b/>
                                      <w:color w:val="001F60"/>
                                      <w:spacing w:val="-10"/>
                                      <w:sz w:val="9"/>
                                    </w:rPr>
                                    <w:t>-</w:t>
                                  </w:r>
                                </w:p>
                              </w:tc>
                              <w:tc>
                                <w:tcPr>
                                  <w:tcW w:w="612" w:type="dxa"/>
                                  <w:tcBorders>
                                    <w:top w:val="single" w:sz="4" w:space="0" w:color="001F60"/>
                                    <w:bottom w:val="single" w:sz="4" w:space="0" w:color="001F60"/>
                                  </w:tcBorders>
                                </w:tcPr>
                                <w:p w14:paraId="29BE260C" w14:textId="77777777" w:rsidR="002C6574" w:rsidRDefault="00000000">
                                  <w:pPr>
                                    <w:pStyle w:val="TableParagraph"/>
                                    <w:spacing w:before="6" w:line="81" w:lineRule="exact"/>
                                    <w:ind w:left="110" w:right="1"/>
                                    <w:jc w:val="center"/>
                                    <w:rPr>
                                      <w:rFonts w:ascii="Arial"/>
                                      <w:b/>
                                      <w:sz w:val="9"/>
                                    </w:rPr>
                                  </w:pPr>
                                  <w:r>
                                    <w:rPr>
                                      <w:rFonts w:ascii="Arial"/>
                                      <w:b/>
                                      <w:color w:val="001F60"/>
                                      <w:spacing w:val="-10"/>
                                      <w:sz w:val="9"/>
                                    </w:rPr>
                                    <w:t>-</w:t>
                                  </w:r>
                                </w:p>
                              </w:tc>
                              <w:tc>
                                <w:tcPr>
                                  <w:tcW w:w="494" w:type="dxa"/>
                                  <w:tcBorders>
                                    <w:top w:val="single" w:sz="4" w:space="0" w:color="001F60"/>
                                    <w:bottom w:val="single" w:sz="4" w:space="0" w:color="001F60"/>
                                  </w:tcBorders>
                                </w:tcPr>
                                <w:p w14:paraId="7EC65806" w14:textId="77777777" w:rsidR="002C6574" w:rsidRDefault="00000000">
                                  <w:pPr>
                                    <w:pStyle w:val="TableParagraph"/>
                                    <w:spacing w:before="6" w:line="81" w:lineRule="exact"/>
                                    <w:ind w:left="133"/>
                                    <w:jc w:val="center"/>
                                    <w:rPr>
                                      <w:rFonts w:ascii="Arial"/>
                                      <w:b/>
                                      <w:sz w:val="9"/>
                                    </w:rPr>
                                  </w:pPr>
                                  <w:r>
                                    <w:rPr>
                                      <w:rFonts w:ascii="Arial"/>
                                      <w:b/>
                                      <w:color w:val="001F60"/>
                                      <w:spacing w:val="-10"/>
                                      <w:sz w:val="9"/>
                                    </w:rPr>
                                    <w:t>-</w:t>
                                  </w:r>
                                </w:p>
                              </w:tc>
                              <w:tc>
                                <w:tcPr>
                                  <w:tcW w:w="563" w:type="dxa"/>
                                  <w:tcBorders>
                                    <w:top w:val="single" w:sz="4" w:space="0" w:color="001F60"/>
                                    <w:bottom w:val="single" w:sz="4" w:space="0" w:color="001F60"/>
                                  </w:tcBorders>
                                </w:tcPr>
                                <w:p w14:paraId="1A2BCAD4" w14:textId="77777777" w:rsidR="002C6574" w:rsidRDefault="002C6574">
                                  <w:pPr>
                                    <w:pStyle w:val="TableParagraph"/>
                                    <w:jc w:val="left"/>
                                    <w:rPr>
                                      <w:rFonts w:ascii="Times New Roman"/>
                                      <w:sz w:val="4"/>
                                    </w:rPr>
                                  </w:pPr>
                                </w:p>
                              </w:tc>
                              <w:tc>
                                <w:tcPr>
                                  <w:tcW w:w="553" w:type="dxa"/>
                                  <w:tcBorders>
                                    <w:top w:val="single" w:sz="4" w:space="0" w:color="001F60"/>
                                    <w:bottom w:val="single" w:sz="4" w:space="0" w:color="001F60"/>
                                  </w:tcBorders>
                                </w:tcPr>
                                <w:p w14:paraId="1D10E92E" w14:textId="77777777" w:rsidR="002C6574" w:rsidRDefault="002C6574">
                                  <w:pPr>
                                    <w:pStyle w:val="TableParagraph"/>
                                    <w:jc w:val="left"/>
                                    <w:rPr>
                                      <w:rFonts w:ascii="Times New Roman"/>
                                      <w:sz w:val="4"/>
                                    </w:rPr>
                                  </w:pPr>
                                </w:p>
                              </w:tc>
                            </w:tr>
                            <w:tr w:rsidR="002C6574" w14:paraId="4A4650A8" w14:textId="77777777">
                              <w:trPr>
                                <w:trHeight w:val="107"/>
                              </w:trPr>
                              <w:tc>
                                <w:tcPr>
                                  <w:tcW w:w="3125" w:type="dxa"/>
                                  <w:tcBorders>
                                    <w:top w:val="single" w:sz="4" w:space="0" w:color="001F60"/>
                                    <w:bottom w:val="single" w:sz="4" w:space="0" w:color="001F60"/>
                                  </w:tcBorders>
                                </w:tcPr>
                                <w:p w14:paraId="014A3261" w14:textId="77777777" w:rsidR="002C6574" w:rsidRDefault="00000000">
                                  <w:pPr>
                                    <w:pStyle w:val="TableParagraph"/>
                                    <w:tabs>
                                      <w:tab w:val="right" w:pos="2427"/>
                                    </w:tabs>
                                    <w:spacing w:before="3" w:line="84" w:lineRule="exact"/>
                                    <w:ind w:right="-317"/>
                                    <w:rPr>
                                      <w:rFonts w:ascii="Arial MT" w:hAnsi="Arial MT"/>
                                      <w:sz w:val="9"/>
                                    </w:rPr>
                                  </w:pPr>
                                  <w:r>
                                    <w:rPr>
                                      <w:rFonts w:ascii="Arial MT" w:hAnsi="Arial MT"/>
                                      <w:color w:val="001F60"/>
                                      <w:sz w:val="9"/>
                                    </w:rPr>
                                    <w:t>0Z00</w:t>
                                  </w:r>
                                  <w:r>
                                    <w:rPr>
                                      <w:rFonts w:ascii="Arial MT" w:hAnsi="Arial MT"/>
                                      <w:color w:val="001F60"/>
                                      <w:spacing w:val="66"/>
                                      <w:sz w:val="9"/>
                                    </w:rPr>
                                    <w:t xml:space="preserve"> </w:t>
                                  </w:r>
                                  <w:r>
                                    <w:rPr>
                                      <w:rFonts w:ascii="Arial MT" w:hAnsi="Arial MT"/>
                                      <w:color w:val="001F60"/>
                                      <w:sz w:val="9"/>
                                    </w:rPr>
                                    <w:t>Reserva</w:t>
                                  </w:r>
                                  <w:r>
                                    <w:rPr>
                                      <w:rFonts w:ascii="Arial MT" w:hAnsi="Arial MT"/>
                                      <w:color w:val="001F60"/>
                                      <w:spacing w:val="3"/>
                                      <w:sz w:val="9"/>
                                    </w:rPr>
                                    <w:t xml:space="preserve"> </w:t>
                                  </w:r>
                                  <w:r>
                                    <w:rPr>
                                      <w:rFonts w:ascii="Arial MT" w:hAnsi="Arial MT"/>
                                      <w:color w:val="001F60"/>
                                      <w:sz w:val="9"/>
                                    </w:rPr>
                                    <w:t>De</w:t>
                                  </w:r>
                                  <w:r>
                                    <w:rPr>
                                      <w:rFonts w:ascii="Arial MT" w:hAnsi="Arial MT"/>
                                      <w:color w:val="001F60"/>
                                      <w:spacing w:val="2"/>
                                      <w:sz w:val="9"/>
                                    </w:rPr>
                                    <w:t xml:space="preserve"> </w:t>
                                  </w:r>
                                  <w:r>
                                    <w:rPr>
                                      <w:rFonts w:ascii="Arial MT" w:hAnsi="Arial MT"/>
                                      <w:color w:val="001F60"/>
                                      <w:sz w:val="9"/>
                                    </w:rPr>
                                    <w:t>Contingência</w:t>
                                  </w:r>
                                  <w:r>
                                    <w:rPr>
                                      <w:rFonts w:ascii="Arial MT" w:hAnsi="Arial MT"/>
                                      <w:color w:val="001F60"/>
                                      <w:spacing w:val="4"/>
                                      <w:sz w:val="9"/>
                                    </w:rPr>
                                    <w:t xml:space="preserve"> </w:t>
                                  </w:r>
                                  <w:r>
                                    <w:rPr>
                                      <w:rFonts w:ascii="Arial MT" w:hAnsi="Arial MT"/>
                                      <w:color w:val="001F60"/>
                                      <w:sz w:val="9"/>
                                    </w:rPr>
                                    <w:t>-</w:t>
                                  </w:r>
                                  <w:r>
                                    <w:rPr>
                                      <w:rFonts w:ascii="Arial MT" w:hAnsi="Arial MT"/>
                                      <w:color w:val="001F60"/>
                                      <w:spacing w:val="2"/>
                                      <w:sz w:val="9"/>
                                    </w:rPr>
                                    <w:t xml:space="preserve"> </w:t>
                                  </w:r>
                                  <w:r>
                                    <w:rPr>
                                      <w:rFonts w:ascii="Arial MT" w:hAnsi="Arial MT"/>
                                      <w:color w:val="001F60"/>
                                      <w:spacing w:val="-2"/>
                                      <w:sz w:val="9"/>
                                    </w:rPr>
                                    <w:t>Financeira</w:t>
                                  </w:r>
                                  <w:r>
                                    <w:rPr>
                                      <w:rFonts w:ascii="Times New Roman" w:hAnsi="Times New Roman"/>
                                      <w:color w:val="001F60"/>
                                      <w:sz w:val="9"/>
                                    </w:rPr>
                                    <w:tab/>
                                  </w:r>
                                  <w:r>
                                    <w:rPr>
                                      <w:rFonts w:ascii="Arial MT" w:hAnsi="Arial MT"/>
                                      <w:color w:val="001F60"/>
                                      <w:spacing w:val="-4"/>
                                      <w:sz w:val="9"/>
                                    </w:rPr>
                                    <w:t>1050</w:t>
                                  </w:r>
                                </w:p>
                              </w:tc>
                              <w:tc>
                                <w:tcPr>
                                  <w:tcW w:w="2366" w:type="dxa"/>
                                  <w:tcBorders>
                                    <w:top w:val="single" w:sz="4" w:space="0" w:color="001F60"/>
                                    <w:bottom w:val="single" w:sz="4" w:space="0" w:color="001F60"/>
                                  </w:tcBorders>
                                </w:tcPr>
                                <w:p w14:paraId="167B57CE" w14:textId="77777777" w:rsidR="002C6574" w:rsidRDefault="00000000">
                                  <w:pPr>
                                    <w:pStyle w:val="TableParagraph"/>
                                    <w:spacing w:before="3" w:line="84" w:lineRule="exact"/>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Próprios</w:t>
                                  </w:r>
                                  <w:r>
                                    <w:rPr>
                                      <w:rFonts w:ascii="Arial MT" w:hAnsi="Arial MT"/>
                                      <w:color w:val="001F60"/>
                                      <w:spacing w:val="3"/>
                                      <w:sz w:val="9"/>
                                    </w:rPr>
                                    <w:t xml:space="preserve"> </w:t>
                                  </w:r>
                                  <w:r>
                                    <w:rPr>
                                      <w:rFonts w:ascii="Arial MT" w:hAnsi="Arial MT"/>
                                      <w:color w:val="001F60"/>
                                      <w:sz w:val="9"/>
                                    </w:rPr>
                                    <w:t>Livres</w:t>
                                  </w:r>
                                  <w:r>
                                    <w:rPr>
                                      <w:rFonts w:ascii="Arial MT" w:hAnsi="Arial MT"/>
                                      <w:color w:val="001F60"/>
                                      <w:spacing w:val="2"/>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5"/>
                                      <w:sz w:val="9"/>
                                    </w:rPr>
                                    <w:t>UO</w:t>
                                  </w:r>
                                </w:p>
                              </w:tc>
                              <w:tc>
                                <w:tcPr>
                                  <w:tcW w:w="663" w:type="dxa"/>
                                  <w:tcBorders>
                                    <w:top w:val="single" w:sz="4" w:space="0" w:color="001F60"/>
                                    <w:bottom w:val="single" w:sz="4" w:space="0" w:color="001F60"/>
                                  </w:tcBorders>
                                </w:tcPr>
                                <w:p w14:paraId="14E445E4" w14:textId="77777777" w:rsidR="002C6574" w:rsidRDefault="00000000">
                                  <w:pPr>
                                    <w:pStyle w:val="TableParagraph"/>
                                    <w:spacing w:before="3" w:line="84" w:lineRule="exact"/>
                                    <w:ind w:left="126"/>
                                    <w:jc w:val="center"/>
                                    <w:rPr>
                                      <w:rFonts w:ascii="Arial MT"/>
                                      <w:sz w:val="9"/>
                                    </w:rPr>
                                  </w:pPr>
                                  <w:r>
                                    <w:rPr>
                                      <w:rFonts w:ascii="Arial MT"/>
                                      <w:color w:val="001F60"/>
                                      <w:spacing w:val="-10"/>
                                      <w:sz w:val="9"/>
                                    </w:rPr>
                                    <w:t>-</w:t>
                                  </w:r>
                                </w:p>
                              </w:tc>
                              <w:tc>
                                <w:tcPr>
                                  <w:tcW w:w="616" w:type="dxa"/>
                                  <w:tcBorders>
                                    <w:top w:val="single" w:sz="4" w:space="0" w:color="001F60"/>
                                    <w:bottom w:val="single" w:sz="4" w:space="0" w:color="001F60"/>
                                  </w:tcBorders>
                                </w:tcPr>
                                <w:p w14:paraId="145A08D2" w14:textId="77777777" w:rsidR="002C6574" w:rsidRDefault="00000000">
                                  <w:pPr>
                                    <w:pStyle w:val="TableParagraph"/>
                                    <w:spacing w:before="3" w:line="84" w:lineRule="exact"/>
                                    <w:ind w:left="91"/>
                                    <w:jc w:val="center"/>
                                    <w:rPr>
                                      <w:rFonts w:ascii="Arial MT"/>
                                      <w:sz w:val="9"/>
                                    </w:rPr>
                                  </w:pPr>
                                  <w:r>
                                    <w:rPr>
                                      <w:rFonts w:ascii="Arial MT"/>
                                      <w:color w:val="001F60"/>
                                      <w:spacing w:val="-10"/>
                                      <w:sz w:val="9"/>
                                    </w:rPr>
                                    <w:t>-</w:t>
                                  </w:r>
                                </w:p>
                              </w:tc>
                              <w:tc>
                                <w:tcPr>
                                  <w:tcW w:w="612" w:type="dxa"/>
                                  <w:tcBorders>
                                    <w:top w:val="single" w:sz="4" w:space="0" w:color="001F60"/>
                                    <w:bottom w:val="single" w:sz="4" w:space="0" w:color="001F60"/>
                                  </w:tcBorders>
                                </w:tcPr>
                                <w:p w14:paraId="5D1118F9" w14:textId="77777777" w:rsidR="002C6574" w:rsidRDefault="00000000">
                                  <w:pPr>
                                    <w:pStyle w:val="TableParagraph"/>
                                    <w:spacing w:before="3" w:line="84" w:lineRule="exact"/>
                                    <w:ind w:left="110"/>
                                    <w:jc w:val="center"/>
                                    <w:rPr>
                                      <w:rFonts w:ascii="Arial MT"/>
                                      <w:sz w:val="9"/>
                                    </w:rPr>
                                  </w:pPr>
                                  <w:r>
                                    <w:rPr>
                                      <w:rFonts w:ascii="Arial MT"/>
                                      <w:color w:val="001F60"/>
                                      <w:spacing w:val="-10"/>
                                      <w:sz w:val="9"/>
                                    </w:rPr>
                                    <w:t>-</w:t>
                                  </w:r>
                                </w:p>
                              </w:tc>
                              <w:tc>
                                <w:tcPr>
                                  <w:tcW w:w="494" w:type="dxa"/>
                                  <w:tcBorders>
                                    <w:top w:val="single" w:sz="4" w:space="0" w:color="001F60"/>
                                    <w:bottom w:val="single" w:sz="4" w:space="0" w:color="001F60"/>
                                  </w:tcBorders>
                                </w:tcPr>
                                <w:p w14:paraId="73F7DEE2" w14:textId="77777777" w:rsidR="002C6574" w:rsidRDefault="00000000">
                                  <w:pPr>
                                    <w:pStyle w:val="TableParagraph"/>
                                    <w:spacing w:before="3" w:line="84" w:lineRule="exact"/>
                                    <w:ind w:left="131"/>
                                    <w:jc w:val="center"/>
                                    <w:rPr>
                                      <w:rFonts w:ascii="Arial MT"/>
                                      <w:sz w:val="9"/>
                                    </w:rPr>
                                  </w:pPr>
                                  <w:r>
                                    <w:rPr>
                                      <w:rFonts w:ascii="Arial MT"/>
                                      <w:color w:val="001F60"/>
                                      <w:spacing w:val="-10"/>
                                      <w:sz w:val="9"/>
                                    </w:rPr>
                                    <w:t>-</w:t>
                                  </w:r>
                                </w:p>
                              </w:tc>
                              <w:tc>
                                <w:tcPr>
                                  <w:tcW w:w="563" w:type="dxa"/>
                                  <w:tcBorders>
                                    <w:top w:val="single" w:sz="4" w:space="0" w:color="001F60"/>
                                    <w:bottom w:val="single" w:sz="4" w:space="0" w:color="001F60"/>
                                  </w:tcBorders>
                                </w:tcPr>
                                <w:p w14:paraId="072E8522" w14:textId="77777777" w:rsidR="002C6574" w:rsidRDefault="002C6574">
                                  <w:pPr>
                                    <w:pStyle w:val="TableParagraph"/>
                                    <w:jc w:val="left"/>
                                    <w:rPr>
                                      <w:rFonts w:ascii="Times New Roman"/>
                                      <w:sz w:val="4"/>
                                    </w:rPr>
                                  </w:pPr>
                                </w:p>
                              </w:tc>
                              <w:tc>
                                <w:tcPr>
                                  <w:tcW w:w="553" w:type="dxa"/>
                                  <w:tcBorders>
                                    <w:top w:val="single" w:sz="4" w:space="0" w:color="001F60"/>
                                    <w:bottom w:val="single" w:sz="4" w:space="0" w:color="001F60"/>
                                  </w:tcBorders>
                                </w:tcPr>
                                <w:p w14:paraId="1EB614BD" w14:textId="77777777" w:rsidR="002C6574" w:rsidRDefault="002C6574">
                                  <w:pPr>
                                    <w:pStyle w:val="TableParagraph"/>
                                    <w:jc w:val="left"/>
                                    <w:rPr>
                                      <w:rFonts w:ascii="Times New Roman"/>
                                      <w:sz w:val="4"/>
                                    </w:rPr>
                                  </w:pPr>
                                </w:p>
                              </w:tc>
                            </w:tr>
                            <w:tr w:rsidR="002C6574" w14:paraId="72E8CD20" w14:textId="77777777">
                              <w:trPr>
                                <w:trHeight w:val="107"/>
                              </w:trPr>
                              <w:tc>
                                <w:tcPr>
                                  <w:tcW w:w="3125" w:type="dxa"/>
                                  <w:tcBorders>
                                    <w:top w:val="single" w:sz="4" w:space="0" w:color="001F60"/>
                                    <w:bottom w:val="single" w:sz="4" w:space="0" w:color="001F60"/>
                                  </w:tcBorders>
                                </w:tcPr>
                                <w:p w14:paraId="06910724" w14:textId="77777777" w:rsidR="002C6574" w:rsidRDefault="00000000">
                                  <w:pPr>
                                    <w:pStyle w:val="TableParagraph"/>
                                    <w:spacing w:before="5" w:line="82" w:lineRule="exact"/>
                                    <w:ind w:right="719"/>
                                    <w:rPr>
                                      <w:rFonts w:ascii="Arial"/>
                                      <w:b/>
                                      <w:sz w:val="9"/>
                                    </w:rPr>
                                  </w:pPr>
                                  <w:r>
                                    <w:rPr>
                                      <w:rFonts w:ascii="Arial"/>
                                      <w:b/>
                                      <w:color w:val="001F60"/>
                                      <w:spacing w:val="-2"/>
                                      <w:sz w:val="9"/>
                                    </w:rPr>
                                    <w:t>TOTAL</w:t>
                                  </w:r>
                                </w:p>
                              </w:tc>
                              <w:tc>
                                <w:tcPr>
                                  <w:tcW w:w="2366" w:type="dxa"/>
                                  <w:tcBorders>
                                    <w:top w:val="single" w:sz="4" w:space="0" w:color="001F60"/>
                                    <w:bottom w:val="single" w:sz="4" w:space="0" w:color="001F60"/>
                                  </w:tcBorders>
                                </w:tcPr>
                                <w:p w14:paraId="04CB95D9" w14:textId="77777777" w:rsidR="002C6574" w:rsidRDefault="002C6574">
                                  <w:pPr>
                                    <w:pStyle w:val="TableParagraph"/>
                                    <w:jc w:val="left"/>
                                    <w:rPr>
                                      <w:rFonts w:ascii="Times New Roman"/>
                                      <w:sz w:val="4"/>
                                    </w:rPr>
                                  </w:pPr>
                                </w:p>
                              </w:tc>
                              <w:tc>
                                <w:tcPr>
                                  <w:tcW w:w="663" w:type="dxa"/>
                                  <w:tcBorders>
                                    <w:top w:val="single" w:sz="4" w:space="0" w:color="001F60"/>
                                    <w:bottom w:val="single" w:sz="4" w:space="0" w:color="001F60"/>
                                  </w:tcBorders>
                                </w:tcPr>
                                <w:p w14:paraId="114047ED" w14:textId="77777777" w:rsidR="002C6574" w:rsidRDefault="00000000">
                                  <w:pPr>
                                    <w:pStyle w:val="TableParagraph"/>
                                    <w:spacing w:before="5" w:line="82" w:lineRule="exact"/>
                                    <w:ind w:right="148"/>
                                    <w:rPr>
                                      <w:rFonts w:ascii="Arial"/>
                                      <w:b/>
                                      <w:sz w:val="9"/>
                                    </w:rPr>
                                  </w:pPr>
                                  <w:r>
                                    <w:rPr>
                                      <w:rFonts w:ascii="Arial"/>
                                      <w:b/>
                                      <w:color w:val="001F60"/>
                                      <w:spacing w:val="-2"/>
                                      <w:sz w:val="9"/>
                                    </w:rPr>
                                    <w:t>294,98</w:t>
                                  </w:r>
                                </w:p>
                              </w:tc>
                              <w:tc>
                                <w:tcPr>
                                  <w:tcW w:w="616" w:type="dxa"/>
                                  <w:tcBorders>
                                    <w:top w:val="single" w:sz="4" w:space="0" w:color="001F60"/>
                                    <w:bottom w:val="single" w:sz="4" w:space="0" w:color="001F60"/>
                                  </w:tcBorders>
                                </w:tcPr>
                                <w:p w14:paraId="6A141B5F" w14:textId="77777777" w:rsidR="002C6574" w:rsidRDefault="00000000">
                                  <w:pPr>
                                    <w:pStyle w:val="TableParagraph"/>
                                    <w:spacing w:before="5" w:line="82" w:lineRule="exact"/>
                                    <w:ind w:right="142"/>
                                    <w:rPr>
                                      <w:rFonts w:ascii="Arial"/>
                                      <w:b/>
                                      <w:sz w:val="9"/>
                                    </w:rPr>
                                  </w:pPr>
                                  <w:r>
                                    <w:rPr>
                                      <w:rFonts w:ascii="Arial"/>
                                      <w:b/>
                                      <w:color w:val="001F60"/>
                                      <w:spacing w:val="-2"/>
                                      <w:sz w:val="9"/>
                                    </w:rPr>
                                    <w:t>294,97</w:t>
                                  </w:r>
                                </w:p>
                              </w:tc>
                              <w:tc>
                                <w:tcPr>
                                  <w:tcW w:w="612" w:type="dxa"/>
                                  <w:tcBorders>
                                    <w:top w:val="single" w:sz="4" w:space="0" w:color="001F60"/>
                                    <w:bottom w:val="single" w:sz="4" w:space="0" w:color="001F60"/>
                                  </w:tcBorders>
                                </w:tcPr>
                                <w:p w14:paraId="206B0845" w14:textId="77777777" w:rsidR="002C6574" w:rsidRDefault="00000000">
                                  <w:pPr>
                                    <w:pStyle w:val="TableParagraph"/>
                                    <w:spacing w:before="5" w:line="82" w:lineRule="exact"/>
                                    <w:ind w:right="131"/>
                                    <w:rPr>
                                      <w:rFonts w:ascii="Arial"/>
                                      <w:b/>
                                      <w:sz w:val="9"/>
                                    </w:rPr>
                                  </w:pPr>
                                  <w:r>
                                    <w:rPr>
                                      <w:rFonts w:ascii="Arial"/>
                                      <w:b/>
                                      <w:color w:val="001F60"/>
                                      <w:spacing w:val="-2"/>
                                      <w:sz w:val="9"/>
                                    </w:rPr>
                                    <w:t>294,97</w:t>
                                  </w:r>
                                </w:p>
                              </w:tc>
                              <w:tc>
                                <w:tcPr>
                                  <w:tcW w:w="494" w:type="dxa"/>
                                  <w:tcBorders>
                                    <w:top w:val="single" w:sz="4" w:space="0" w:color="001F60"/>
                                    <w:bottom w:val="single" w:sz="4" w:space="0" w:color="001F60"/>
                                  </w:tcBorders>
                                </w:tcPr>
                                <w:p w14:paraId="4529031A" w14:textId="77777777" w:rsidR="002C6574" w:rsidRDefault="00000000">
                                  <w:pPr>
                                    <w:pStyle w:val="TableParagraph"/>
                                    <w:spacing w:before="5" w:line="82" w:lineRule="exact"/>
                                    <w:ind w:right="58"/>
                                    <w:rPr>
                                      <w:rFonts w:ascii="Arial"/>
                                      <w:b/>
                                      <w:sz w:val="9"/>
                                    </w:rPr>
                                  </w:pPr>
                                  <w:r>
                                    <w:rPr>
                                      <w:rFonts w:ascii="Arial"/>
                                      <w:b/>
                                      <w:color w:val="001F60"/>
                                      <w:spacing w:val="-2"/>
                                      <w:sz w:val="9"/>
                                    </w:rPr>
                                    <w:t>294,97</w:t>
                                  </w:r>
                                </w:p>
                              </w:tc>
                              <w:tc>
                                <w:tcPr>
                                  <w:tcW w:w="563" w:type="dxa"/>
                                  <w:tcBorders>
                                    <w:top w:val="single" w:sz="4" w:space="0" w:color="001F60"/>
                                    <w:bottom w:val="single" w:sz="4" w:space="0" w:color="001F60"/>
                                  </w:tcBorders>
                                </w:tcPr>
                                <w:p w14:paraId="5168D396" w14:textId="77777777" w:rsidR="002C6574" w:rsidRDefault="00000000">
                                  <w:pPr>
                                    <w:pStyle w:val="TableParagraph"/>
                                    <w:spacing w:before="5" w:line="82" w:lineRule="exact"/>
                                    <w:ind w:right="27"/>
                                    <w:jc w:val="center"/>
                                    <w:rPr>
                                      <w:rFonts w:ascii="Arial"/>
                                      <w:b/>
                                      <w:sz w:val="9"/>
                                    </w:rPr>
                                  </w:pPr>
                                  <w:r>
                                    <w:rPr>
                                      <w:rFonts w:ascii="Arial"/>
                                      <w:b/>
                                      <w:color w:val="001F60"/>
                                      <w:spacing w:val="-4"/>
                                      <w:sz w:val="9"/>
                                    </w:rPr>
                                    <w:t>100%</w:t>
                                  </w:r>
                                </w:p>
                              </w:tc>
                              <w:tc>
                                <w:tcPr>
                                  <w:tcW w:w="553" w:type="dxa"/>
                                  <w:tcBorders>
                                    <w:top w:val="single" w:sz="4" w:space="0" w:color="001F60"/>
                                    <w:bottom w:val="single" w:sz="4" w:space="0" w:color="001F60"/>
                                  </w:tcBorders>
                                </w:tcPr>
                                <w:p w14:paraId="3D8A04D9" w14:textId="77777777" w:rsidR="002C6574" w:rsidRDefault="00000000">
                                  <w:pPr>
                                    <w:pStyle w:val="TableParagraph"/>
                                    <w:spacing w:before="5" w:line="82" w:lineRule="exact"/>
                                    <w:ind w:right="9"/>
                                    <w:jc w:val="center"/>
                                    <w:rPr>
                                      <w:rFonts w:ascii="Arial"/>
                                      <w:b/>
                                      <w:sz w:val="9"/>
                                    </w:rPr>
                                  </w:pPr>
                                  <w:r>
                                    <w:rPr>
                                      <w:rFonts w:ascii="Arial"/>
                                      <w:b/>
                                      <w:color w:val="001F60"/>
                                      <w:spacing w:val="-4"/>
                                      <w:sz w:val="9"/>
                                    </w:rPr>
                                    <w:t>100%</w:t>
                                  </w:r>
                                </w:p>
                              </w:tc>
                            </w:tr>
                          </w:tbl>
                          <w:p w14:paraId="68122BB9" w14:textId="77777777" w:rsidR="002C6574" w:rsidRDefault="002C6574">
                            <w:pPr>
                              <w:pStyle w:val="Corpodetexto"/>
                            </w:pPr>
                          </w:p>
                        </w:txbxContent>
                      </wps:txbx>
                      <wps:bodyPr wrap="square" lIns="0" tIns="0" rIns="0" bIns="0" rtlCol="0">
                        <a:noAutofit/>
                      </wps:bodyPr>
                    </wps:wsp>
                  </a:graphicData>
                </a:graphic>
              </wp:anchor>
            </w:drawing>
          </mc:Choice>
          <mc:Fallback>
            <w:pict>
              <v:shapetype w14:anchorId="75649ACD" id="_x0000_t202" coordsize="21600,21600" o:spt="202" path="m,l,21600r21600,l21600,xe">
                <v:stroke joinstyle="miter"/>
                <v:path gradientshapeok="t" o:connecttype="rect"/>
              </v:shapetype>
              <v:shape id="Textbox 43" o:spid="_x0000_s1026" type="#_x0000_t202" style="position:absolute;left:0;text-align:left;margin-left:83.9pt;margin-top:17.15pt;width:455.9pt;height:254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3125"/>
                        <w:gridCol w:w="2366"/>
                        <w:gridCol w:w="663"/>
                        <w:gridCol w:w="616"/>
                        <w:gridCol w:w="612"/>
                        <w:gridCol w:w="494"/>
                        <w:gridCol w:w="563"/>
                        <w:gridCol w:w="553"/>
                      </w:tblGrid>
                      <w:tr w:rsidR="002C6574" w14:paraId="0F63FCA4" w14:textId="77777777">
                        <w:trPr>
                          <w:trHeight w:val="107"/>
                        </w:trPr>
                        <w:tc>
                          <w:tcPr>
                            <w:tcW w:w="5491" w:type="dxa"/>
                            <w:gridSpan w:val="2"/>
                            <w:tcBorders>
                              <w:top w:val="single" w:sz="4" w:space="0" w:color="001F60"/>
                              <w:bottom w:val="single" w:sz="4" w:space="0" w:color="001F60"/>
                            </w:tcBorders>
                          </w:tcPr>
                          <w:p w14:paraId="5C2915CD" w14:textId="77777777" w:rsidR="002C6574" w:rsidRDefault="002C6574">
                            <w:pPr>
                              <w:pStyle w:val="TableParagraph"/>
                              <w:jc w:val="left"/>
                              <w:rPr>
                                <w:rFonts w:ascii="Times New Roman"/>
                                <w:sz w:val="4"/>
                              </w:rPr>
                            </w:pPr>
                          </w:p>
                        </w:tc>
                        <w:tc>
                          <w:tcPr>
                            <w:tcW w:w="663" w:type="dxa"/>
                            <w:tcBorders>
                              <w:top w:val="single" w:sz="4" w:space="0" w:color="001F60"/>
                              <w:bottom w:val="single" w:sz="4" w:space="0" w:color="001F60"/>
                            </w:tcBorders>
                          </w:tcPr>
                          <w:p w14:paraId="2F364B5D" w14:textId="77777777" w:rsidR="002C6574" w:rsidRDefault="00000000">
                            <w:pPr>
                              <w:pStyle w:val="TableParagraph"/>
                              <w:spacing w:before="6" w:line="82" w:lineRule="exact"/>
                              <w:ind w:left="194"/>
                              <w:jc w:val="left"/>
                              <w:rPr>
                                <w:rFonts w:ascii="Arial"/>
                                <w:b/>
                                <w:sz w:val="9"/>
                              </w:rPr>
                            </w:pPr>
                            <w:r>
                              <w:rPr>
                                <w:rFonts w:ascii="Arial"/>
                                <w:b/>
                                <w:color w:val="001F60"/>
                                <w:spacing w:val="-5"/>
                                <w:sz w:val="9"/>
                              </w:rPr>
                              <w:t>(a)</w:t>
                            </w:r>
                          </w:p>
                        </w:tc>
                        <w:tc>
                          <w:tcPr>
                            <w:tcW w:w="616" w:type="dxa"/>
                            <w:tcBorders>
                              <w:top w:val="single" w:sz="4" w:space="0" w:color="001F60"/>
                              <w:bottom w:val="single" w:sz="4" w:space="0" w:color="001F60"/>
                            </w:tcBorders>
                          </w:tcPr>
                          <w:p w14:paraId="50F60C38" w14:textId="77777777" w:rsidR="002C6574" w:rsidRDefault="00000000">
                            <w:pPr>
                              <w:pStyle w:val="TableParagraph"/>
                              <w:spacing w:before="6" w:line="82" w:lineRule="exact"/>
                              <w:ind w:left="152"/>
                              <w:jc w:val="left"/>
                              <w:rPr>
                                <w:rFonts w:ascii="Arial"/>
                                <w:b/>
                                <w:sz w:val="9"/>
                              </w:rPr>
                            </w:pPr>
                            <w:r>
                              <w:rPr>
                                <w:rFonts w:ascii="Arial"/>
                                <w:b/>
                                <w:color w:val="001F60"/>
                                <w:spacing w:val="-5"/>
                                <w:sz w:val="9"/>
                              </w:rPr>
                              <w:t>(b)</w:t>
                            </w:r>
                          </w:p>
                        </w:tc>
                        <w:tc>
                          <w:tcPr>
                            <w:tcW w:w="612" w:type="dxa"/>
                            <w:tcBorders>
                              <w:top w:val="single" w:sz="4" w:space="0" w:color="001F60"/>
                              <w:bottom w:val="single" w:sz="4" w:space="0" w:color="001F60"/>
                            </w:tcBorders>
                          </w:tcPr>
                          <w:p w14:paraId="0A3FAD98" w14:textId="77777777" w:rsidR="002C6574" w:rsidRDefault="00000000">
                            <w:pPr>
                              <w:pStyle w:val="TableParagraph"/>
                              <w:spacing w:before="6" w:line="82" w:lineRule="exact"/>
                              <w:ind w:left="148"/>
                              <w:jc w:val="left"/>
                              <w:rPr>
                                <w:rFonts w:ascii="Arial"/>
                                <w:b/>
                                <w:sz w:val="9"/>
                              </w:rPr>
                            </w:pPr>
                            <w:r>
                              <w:rPr>
                                <w:rFonts w:ascii="Arial"/>
                                <w:b/>
                                <w:color w:val="001F60"/>
                                <w:spacing w:val="-5"/>
                                <w:sz w:val="9"/>
                              </w:rPr>
                              <w:t>(c)</w:t>
                            </w:r>
                          </w:p>
                        </w:tc>
                        <w:tc>
                          <w:tcPr>
                            <w:tcW w:w="494" w:type="dxa"/>
                            <w:tcBorders>
                              <w:top w:val="single" w:sz="4" w:space="0" w:color="001F60"/>
                              <w:bottom w:val="single" w:sz="4" w:space="0" w:color="001F60"/>
                            </w:tcBorders>
                          </w:tcPr>
                          <w:p w14:paraId="47F34D40" w14:textId="77777777" w:rsidR="002C6574" w:rsidRDefault="00000000">
                            <w:pPr>
                              <w:pStyle w:val="TableParagraph"/>
                              <w:spacing w:before="6" w:line="82" w:lineRule="exact"/>
                              <w:ind w:left="139"/>
                              <w:jc w:val="left"/>
                              <w:rPr>
                                <w:rFonts w:ascii="Arial"/>
                                <w:b/>
                                <w:sz w:val="9"/>
                              </w:rPr>
                            </w:pPr>
                            <w:r>
                              <w:rPr>
                                <w:rFonts w:ascii="Arial"/>
                                <w:b/>
                                <w:color w:val="001F60"/>
                                <w:spacing w:val="-5"/>
                                <w:sz w:val="9"/>
                              </w:rPr>
                              <w:t>(d)</w:t>
                            </w:r>
                          </w:p>
                        </w:tc>
                        <w:tc>
                          <w:tcPr>
                            <w:tcW w:w="563" w:type="dxa"/>
                            <w:tcBorders>
                              <w:top w:val="single" w:sz="4" w:space="0" w:color="001F60"/>
                              <w:bottom w:val="single" w:sz="4" w:space="0" w:color="001F60"/>
                            </w:tcBorders>
                          </w:tcPr>
                          <w:p w14:paraId="5BE77075" w14:textId="77777777" w:rsidR="002C6574" w:rsidRDefault="00000000">
                            <w:pPr>
                              <w:pStyle w:val="TableParagraph"/>
                              <w:spacing w:before="6" w:line="82" w:lineRule="exact"/>
                              <w:ind w:left="12" w:right="27"/>
                              <w:jc w:val="center"/>
                              <w:rPr>
                                <w:rFonts w:ascii="Arial"/>
                                <w:b/>
                                <w:sz w:val="9"/>
                              </w:rPr>
                            </w:pPr>
                            <w:r>
                              <w:rPr>
                                <w:rFonts w:ascii="Arial"/>
                                <w:b/>
                                <w:color w:val="001F60"/>
                                <w:sz w:val="9"/>
                              </w:rPr>
                              <w:t>e</w:t>
                            </w:r>
                            <w:r>
                              <w:rPr>
                                <w:rFonts w:ascii="Arial"/>
                                <w:b/>
                                <w:color w:val="001F60"/>
                                <w:spacing w:val="5"/>
                                <w:sz w:val="9"/>
                              </w:rPr>
                              <w:t xml:space="preserve"> </w:t>
                            </w:r>
                            <w:r>
                              <w:rPr>
                                <w:rFonts w:ascii="Arial"/>
                                <w:b/>
                                <w:color w:val="001F60"/>
                                <w:sz w:val="9"/>
                              </w:rPr>
                              <w:t>=</w:t>
                            </w:r>
                            <w:r>
                              <w:rPr>
                                <w:rFonts w:ascii="Arial"/>
                                <w:b/>
                                <w:color w:val="001F60"/>
                                <w:spacing w:val="3"/>
                                <w:sz w:val="9"/>
                              </w:rPr>
                              <w:t xml:space="preserve"> </w:t>
                            </w:r>
                            <w:r>
                              <w:rPr>
                                <w:rFonts w:ascii="Arial"/>
                                <w:b/>
                                <w:color w:val="001F60"/>
                                <w:sz w:val="9"/>
                              </w:rPr>
                              <w:t>(b /</w:t>
                            </w:r>
                            <w:r>
                              <w:rPr>
                                <w:rFonts w:ascii="Arial"/>
                                <w:b/>
                                <w:color w:val="001F60"/>
                                <w:spacing w:val="3"/>
                                <w:sz w:val="9"/>
                              </w:rPr>
                              <w:t xml:space="preserve"> </w:t>
                            </w:r>
                            <w:r>
                              <w:rPr>
                                <w:rFonts w:ascii="Arial"/>
                                <w:b/>
                                <w:color w:val="001F60"/>
                                <w:spacing w:val="-5"/>
                                <w:sz w:val="9"/>
                              </w:rPr>
                              <w:t>a)</w:t>
                            </w:r>
                          </w:p>
                        </w:tc>
                        <w:tc>
                          <w:tcPr>
                            <w:tcW w:w="553" w:type="dxa"/>
                            <w:tcBorders>
                              <w:top w:val="single" w:sz="4" w:space="0" w:color="001F60"/>
                              <w:bottom w:val="single" w:sz="4" w:space="0" w:color="001F60"/>
                            </w:tcBorders>
                          </w:tcPr>
                          <w:p w14:paraId="58D21B09" w14:textId="77777777" w:rsidR="002C6574" w:rsidRDefault="00000000">
                            <w:pPr>
                              <w:pStyle w:val="TableParagraph"/>
                              <w:spacing w:before="6" w:line="82" w:lineRule="exact"/>
                              <w:ind w:left="8" w:right="9"/>
                              <w:jc w:val="center"/>
                              <w:rPr>
                                <w:rFonts w:ascii="Arial"/>
                                <w:b/>
                                <w:sz w:val="9"/>
                              </w:rPr>
                            </w:pPr>
                            <w:r>
                              <w:rPr>
                                <w:rFonts w:ascii="Arial"/>
                                <w:b/>
                                <w:color w:val="001F60"/>
                                <w:sz w:val="9"/>
                              </w:rPr>
                              <w:t>f=</w:t>
                            </w:r>
                            <w:r>
                              <w:rPr>
                                <w:rFonts w:ascii="Arial"/>
                                <w:b/>
                                <w:color w:val="001F60"/>
                                <w:spacing w:val="3"/>
                                <w:sz w:val="9"/>
                              </w:rPr>
                              <w:t xml:space="preserve"> </w:t>
                            </w:r>
                            <w:r>
                              <w:rPr>
                                <w:rFonts w:ascii="Arial"/>
                                <w:b/>
                                <w:color w:val="001F60"/>
                                <w:sz w:val="9"/>
                              </w:rPr>
                              <w:t>(d /</w:t>
                            </w:r>
                            <w:r>
                              <w:rPr>
                                <w:rFonts w:ascii="Arial"/>
                                <w:b/>
                                <w:color w:val="001F60"/>
                                <w:spacing w:val="3"/>
                                <w:sz w:val="9"/>
                              </w:rPr>
                              <w:t xml:space="preserve"> </w:t>
                            </w:r>
                            <w:r>
                              <w:rPr>
                                <w:rFonts w:ascii="Arial"/>
                                <w:b/>
                                <w:color w:val="001F60"/>
                                <w:spacing w:val="-5"/>
                                <w:sz w:val="9"/>
                              </w:rPr>
                              <w:t>c)</w:t>
                            </w:r>
                          </w:p>
                        </w:tc>
                      </w:tr>
                      <w:tr w:rsidR="002C6574" w14:paraId="7EFFFAD8" w14:textId="77777777">
                        <w:trPr>
                          <w:trHeight w:val="109"/>
                        </w:trPr>
                        <w:tc>
                          <w:tcPr>
                            <w:tcW w:w="3125" w:type="dxa"/>
                            <w:tcBorders>
                              <w:top w:val="single" w:sz="4" w:space="0" w:color="001F60"/>
                              <w:bottom w:val="single" w:sz="4" w:space="0" w:color="001F60"/>
                            </w:tcBorders>
                          </w:tcPr>
                          <w:p w14:paraId="09DFE74A" w14:textId="77777777" w:rsidR="002C6574" w:rsidRDefault="00000000">
                            <w:pPr>
                              <w:pStyle w:val="TableParagraph"/>
                              <w:spacing w:before="8" w:line="81" w:lineRule="exact"/>
                              <w:ind w:left="21"/>
                              <w:jc w:val="left"/>
                              <w:rPr>
                                <w:rFonts w:ascii="Arial" w:hAnsi="Arial"/>
                                <w:b/>
                                <w:sz w:val="9"/>
                              </w:rPr>
                            </w:pPr>
                            <w:r>
                              <w:rPr>
                                <w:rFonts w:ascii="Arial" w:hAnsi="Arial"/>
                                <w:b/>
                                <w:color w:val="001F60"/>
                                <w:sz w:val="9"/>
                              </w:rPr>
                              <w:t>Despesas</w:t>
                            </w:r>
                            <w:r>
                              <w:rPr>
                                <w:rFonts w:ascii="Arial" w:hAnsi="Arial"/>
                                <w:b/>
                                <w:color w:val="001F60"/>
                                <w:spacing w:val="4"/>
                                <w:sz w:val="9"/>
                              </w:rPr>
                              <w:t xml:space="preserve"> </w:t>
                            </w:r>
                            <w:r>
                              <w:rPr>
                                <w:rFonts w:ascii="Arial" w:hAnsi="Arial"/>
                                <w:b/>
                                <w:color w:val="001F60"/>
                                <w:sz w:val="9"/>
                              </w:rPr>
                              <w:t>Financeiras</w:t>
                            </w:r>
                            <w:r>
                              <w:rPr>
                                <w:rFonts w:ascii="Arial" w:hAnsi="Arial"/>
                                <w:b/>
                                <w:color w:val="001F60"/>
                                <w:spacing w:val="5"/>
                                <w:sz w:val="9"/>
                              </w:rPr>
                              <w:t xml:space="preserve"> </w:t>
                            </w:r>
                            <w:r>
                              <w:rPr>
                                <w:rFonts w:ascii="Arial" w:hAnsi="Arial"/>
                                <w:b/>
                                <w:color w:val="001F60"/>
                                <w:sz w:val="9"/>
                              </w:rPr>
                              <w:t>e</w:t>
                            </w:r>
                            <w:r>
                              <w:rPr>
                                <w:rFonts w:ascii="Arial" w:hAnsi="Arial"/>
                                <w:b/>
                                <w:color w:val="001F60"/>
                                <w:spacing w:val="10"/>
                                <w:sz w:val="9"/>
                              </w:rPr>
                              <w:t xml:space="preserve"> </w:t>
                            </w:r>
                            <w:r>
                              <w:rPr>
                                <w:rFonts w:ascii="Arial" w:hAnsi="Arial"/>
                                <w:b/>
                                <w:color w:val="001F60"/>
                                <w:sz w:val="9"/>
                              </w:rPr>
                              <w:t>Obrigatórias</w:t>
                            </w:r>
                            <w:r>
                              <w:rPr>
                                <w:rFonts w:ascii="Arial" w:hAnsi="Arial"/>
                                <w:b/>
                                <w:color w:val="001F60"/>
                                <w:spacing w:val="4"/>
                                <w:sz w:val="9"/>
                              </w:rPr>
                              <w:t xml:space="preserve"> </w:t>
                            </w:r>
                            <w:r>
                              <w:rPr>
                                <w:rFonts w:ascii="Arial" w:hAnsi="Arial"/>
                                <w:b/>
                                <w:color w:val="001F60"/>
                                <w:sz w:val="9"/>
                              </w:rPr>
                              <w:t>(RP</w:t>
                            </w:r>
                            <w:r>
                              <w:rPr>
                                <w:rFonts w:ascii="Arial" w:hAnsi="Arial"/>
                                <w:b/>
                                <w:color w:val="001F60"/>
                                <w:spacing w:val="4"/>
                                <w:sz w:val="9"/>
                              </w:rPr>
                              <w:t xml:space="preserve"> </w:t>
                            </w:r>
                            <w:r>
                              <w:rPr>
                                <w:rFonts w:ascii="Arial" w:hAnsi="Arial"/>
                                <w:b/>
                                <w:color w:val="001F60"/>
                                <w:sz w:val="9"/>
                              </w:rPr>
                              <w:t>0</w:t>
                            </w:r>
                            <w:r>
                              <w:rPr>
                                <w:rFonts w:ascii="Arial" w:hAnsi="Arial"/>
                                <w:b/>
                                <w:color w:val="001F60"/>
                                <w:spacing w:val="8"/>
                                <w:sz w:val="9"/>
                              </w:rPr>
                              <w:t xml:space="preserve"> </w:t>
                            </w:r>
                            <w:r>
                              <w:rPr>
                                <w:rFonts w:ascii="Arial" w:hAnsi="Arial"/>
                                <w:b/>
                                <w:color w:val="001F60"/>
                                <w:sz w:val="9"/>
                              </w:rPr>
                              <w:t>e</w:t>
                            </w:r>
                            <w:r>
                              <w:rPr>
                                <w:rFonts w:ascii="Arial" w:hAnsi="Arial"/>
                                <w:b/>
                                <w:color w:val="001F60"/>
                                <w:spacing w:val="10"/>
                                <w:sz w:val="9"/>
                              </w:rPr>
                              <w:t xml:space="preserve"> </w:t>
                            </w:r>
                            <w:r>
                              <w:rPr>
                                <w:rFonts w:ascii="Arial" w:hAnsi="Arial"/>
                                <w:b/>
                                <w:color w:val="001F60"/>
                                <w:spacing w:val="-5"/>
                                <w:sz w:val="9"/>
                              </w:rPr>
                              <w:t>1)</w:t>
                            </w:r>
                          </w:p>
                        </w:tc>
                        <w:tc>
                          <w:tcPr>
                            <w:tcW w:w="2366" w:type="dxa"/>
                            <w:tcBorders>
                              <w:top w:val="single" w:sz="4" w:space="0" w:color="001F60"/>
                              <w:bottom w:val="single" w:sz="4" w:space="0" w:color="001F60"/>
                            </w:tcBorders>
                          </w:tcPr>
                          <w:p w14:paraId="6DB8AED6" w14:textId="77777777" w:rsidR="002C6574" w:rsidRDefault="002C6574">
                            <w:pPr>
                              <w:pStyle w:val="TableParagraph"/>
                              <w:jc w:val="left"/>
                              <w:rPr>
                                <w:rFonts w:ascii="Times New Roman"/>
                                <w:sz w:val="6"/>
                              </w:rPr>
                            </w:pPr>
                          </w:p>
                        </w:tc>
                        <w:tc>
                          <w:tcPr>
                            <w:tcW w:w="663" w:type="dxa"/>
                            <w:tcBorders>
                              <w:top w:val="single" w:sz="4" w:space="0" w:color="001F60"/>
                              <w:bottom w:val="single" w:sz="4" w:space="0" w:color="001F60"/>
                            </w:tcBorders>
                          </w:tcPr>
                          <w:p w14:paraId="61184758" w14:textId="77777777" w:rsidR="002C6574" w:rsidRDefault="00000000">
                            <w:pPr>
                              <w:pStyle w:val="TableParagraph"/>
                              <w:spacing w:before="8" w:line="81" w:lineRule="exact"/>
                              <w:ind w:right="150"/>
                              <w:rPr>
                                <w:rFonts w:ascii="Arial"/>
                                <w:b/>
                                <w:sz w:val="9"/>
                              </w:rPr>
                            </w:pPr>
                            <w:r>
                              <w:rPr>
                                <w:rFonts w:ascii="Arial"/>
                                <w:b/>
                                <w:color w:val="001F60"/>
                                <w:spacing w:val="-2"/>
                                <w:sz w:val="9"/>
                              </w:rPr>
                              <w:t>153,56</w:t>
                            </w:r>
                          </w:p>
                        </w:tc>
                        <w:tc>
                          <w:tcPr>
                            <w:tcW w:w="616" w:type="dxa"/>
                            <w:tcBorders>
                              <w:top w:val="single" w:sz="4" w:space="0" w:color="001F60"/>
                              <w:bottom w:val="single" w:sz="4" w:space="0" w:color="001F60"/>
                            </w:tcBorders>
                          </w:tcPr>
                          <w:p w14:paraId="7B75E1B1" w14:textId="77777777" w:rsidR="002C6574" w:rsidRDefault="00000000">
                            <w:pPr>
                              <w:pStyle w:val="TableParagraph"/>
                              <w:spacing w:before="8" w:line="81" w:lineRule="exact"/>
                              <w:ind w:right="142"/>
                              <w:rPr>
                                <w:rFonts w:ascii="Arial"/>
                                <w:b/>
                                <w:sz w:val="9"/>
                              </w:rPr>
                            </w:pPr>
                            <w:r>
                              <w:rPr>
                                <w:rFonts w:ascii="Arial"/>
                                <w:b/>
                                <w:color w:val="001F60"/>
                                <w:spacing w:val="-2"/>
                                <w:sz w:val="9"/>
                              </w:rPr>
                              <w:t>153,55</w:t>
                            </w:r>
                          </w:p>
                        </w:tc>
                        <w:tc>
                          <w:tcPr>
                            <w:tcW w:w="612" w:type="dxa"/>
                            <w:tcBorders>
                              <w:top w:val="single" w:sz="4" w:space="0" w:color="001F60"/>
                              <w:bottom w:val="single" w:sz="4" w:space="0" w:color="001F60"/>
                            </w:tcBorders>
                          </w:tcPr>
                          <w:p w14:paraId="746044A0" w14:textId="77777777" w:rsidR="002C6574" w:rsidRDefault="00000000">
                            <w:pPr>
                              <w:pStyle w:val="TableParagraph"/>
                              <w:spacing w:before="8" w:line="81" w:lineRule="exact"/>
                              <w:ind w:right="131"/>
                              <w:rPr>
                                <w:rFonts w:ascii="Arial"/>
                                <w:b/>
                                <w:sz w:val="9"/>
                              </w:rPr>
                            </w:pPr>
                            <w:r>
                              <w:rPr>
                                <w:rFonts w:ascii="Arial"/>
                                <w:b/>
                                <w:color w:val="001F60"/>
                                <w:spacing w:val="-2"/>
                                <w:sz w:val="9"/>
                              </w:rPr>
                              <w:t>153,55</w:t>
                            </w:r>
                          </w:p>
                        </w:tc>
                        <w:tc>
                          <w:tcPr>
                            <w:tcW w:w="494" w:type="dxa"/>
                            <w:tcBorders>
                              <w:top w:val="single" w:sz="4" w:space="0" w:color="001F60"/>
                              <w:bottom w:val="single" w:sz="4" w:space="0" w:color="001F60"/>
                            </w:tcBorders>
                          </w:tcPr>
                          <w:p w14:paraId="2C359BBF" w14:textId="77777777" w:rsidR="002C6574" w:rsidRDefault="00000000">
                            <w:pPr>
                              <w:pStyle w:val="TableParagraph"/>
                              <w:spacing w:before="8" w:line="81" w:lineRule="exact"/>
                              <w:ind w:right="58"/>
                              <w:rPr>
                                <w:rFonts w:ascii="Arial"/>
                                <w:b/>
                                <w:sz w:val="9"/>
                              </w:rPr>
                            </w:pPr>
                            <w:r>
                              <w:rPr>
                                <w:rFonts w:ascii="Arial"/>
                                <w:b/>
                                <w:color w:val="001F60"/>
                                <w:spacing w:val="-2"/>
                                <w:sz w:val="9"/>
                              </w:rPr>
                              <w:t>153,55</w:t>
                            </w:r>
                          </w:p>
                        </w:tc>
                        <w:tc>
                          <w:tcPr>
                            <w:tcW w:w="563" w:type="dxa"/>
                            <w:tcBorders>
                              <w:top w:val="single" w:sz="4" w:space="0" w:color="001F60"/>
                              <w:bottom w:val="single" w:sz="4" w:space="0" w:color="001F60"/>
                            </w:tcBorders>
                          </w:tcPr>
                          <w:p w14:paraId="1FA4BE56" w14:textId="77777777" w:rsidR="002C6574" w:rsidRDefault="00000000">
                            <w:pPr>
                              <w:pStyle w:val="TableParagraph"/>
                              <w:spacing w:before="8" w:line="81" w:lineRule="exact"/>
                              <w:ind w:right="27"/>
                              <w:jc w:val="center"/>
                              <w:rPr>
                                <w:rFonts w:ascii="Arial"/>
                                <w:b/>
                                <w:sz w:val="9"/>
                              </w:rPr>
                            </w:pPr>
                            <w:r>
                              <w:rPr>
                                <w:rFonts w:ascii="Arial"/>
                                <w:b/>
                                <w:color w:val="001F60"/>
                                <w:spacing w:val="-4"/>
                                <w:sz w:val="9"/>
                              </w:rPr>
                              <w:t>100%</w:t>
                            </w:r>
                          </w:p>
                        </w:tc>
                        <w:tc>
                          <w:tcPr>
                            <w:tcW w:w="553" w:type="dxa"/>
                            <w:tcBorders>
                              <w:top w:val="single" w:sz="4" w:space="0" w:color="001F60"/>
                              <w:bottom w:val="single" w:sz="4" w:space="0" w:color="001F60"/>
                            </w:tcBorders>
                          </w:tcPr>
                          <w:p w14:paraId="0E26BBD1" w14:textId="77777777" w:rsidR="002C6574" w:rsidRDefault="00000000">
                            <w:pPr>
                              <w:pStyle w:val="TableParagraph"/>
                              <w:spacing w:before="8" w:line="81" w:lineRule="exact"/>
                              <w:ind w:right="9"/>
                              <w:jc w:val="center"/>
                              <w:rPr>
                                <w:rFonts w:ascii="Arial"/>
                                <w:b/>
                                <w:sz w:val="9"/>
                              </w:rPr>
                            </w:pPr>
                            <w:r>
                              <w:rPr>
                                <w:rFonts w:ascii="Arial"/>
                                <w:b/>
                                <w:color w:val="001F60"/>
                                <w:spacing w:val="-4"/>
                                <w:sz w:val="9"/>
                              </w:rPr>
                              <w:t>100%</w:t>
                            </w:r>
                          </w:p>
                        </w:tc>
                      </w:tr>
                      <w:tr w:rsidR="002C6574" w14:paraId="786513F6" w14:textId="77777777">
                        <w:trPr>
                          <w:trHeight w:val="107"/>
                        </w:trPr>
                        <w:tc>
                          <w:tcPr>
                            <w:tcW w:w="3125" w:type="dxa"/>
                            <w:tcBorders>
                              <w:top w:val="single" w:sz="4" w:space="0" w:color="001F60"/>
                              <w:bottom w:val="single" w:sz="4" w:space="0" w:color="001F60"/>
                            </w:tcBorders>
                          </w:tcPr>
                          <w:p w14:paraId="3D4719F8" w14:textId="77777777" w:rsidR="002C6574" w:rsidRDefault="00000000">
                            <w:pPr>
                              <w:pStyle w:val="TableParagraph"/>
                              <w:spacing w:before="6" w:line="82" w:lineRule="exact"/>
                              <w:ind w:left="513"/>
                              <w:jc w:val="left"/>
                              <w:rPr>
                                <w:rFonts w:ascii="Arial"/>
                                <w:b/>
                                <w:sz w:val="9"/>
                              </w:rPr>
                            </w:pPr>
                            <w:r>
                              <w:rPr>
                                <w:rFonts w:ascii="Arial"/>
                                <w:b/>
                                <w:color w:val="001F60"/>
                                <w:sz w:val="9"/>
                              </w:rPr>
                              <w:t>Despesas</w:t>
                            </w:r>
                            <w:r>
                              <w:rPr>
                                <w:rFonts w:ascii="Arial"/>
                                <w:b/>
                                <w:color w:val="001F60"/>
                                <w:spacing w:val="14"/>
                                <w:sz w:val="9"/>
                              </w:rPr>
                              <w:t xml:space="preserve"> </w:t>
                            </w:r>
                            <w:r>
                              <w:rPr>
                                <w:rFonts w:ascii="Arial"/>
                                <w:b/>
                                <w:color w:val="001F60"/>
                                <w:spacing w:val="-2"/>
                                <w:sz w:val="9"/>
                              </w:rPr>
                              <w:t>Correntes</w:t>
                            </w:r>
                          </w:p>
                        </w:tc>
                        <w:tc>
                          <w:tcPr>
                            <w:tcW w:w="2366" w:type="dxa"/>
                            <w:tcBorders>
                              <w:top w:val="single" w:sz="4" w:space="0" w:color="001F60"/>
                              <w:bottom w:val="single" w:sz="4" w:space="0" w:color="001F60"/>
                            </w:tcBorders>
                          </w:tcPr>
                          <w:p w14:paraId="6BBC0F57" w14:textId="77777777" w:rsidR="002C6574" w:rsidRDefault="002C6574">
                            <w:pPr>
                              <w:pStyle w:val="TableParagraph"/>
                              <w:jc w:val="left"/>
                              <w:rPr>
                                <w:rFonts w:ascii="Times New Roman"/>
                                <w:sz w:val="4"/>
                              </w:rPr>
                            </w:pPr>
                          </w:p>
                        </w:tc>
                        <w:tc>
                          <w:tcPr>
                            <w:tcW w:w="663" w:type="dxa"/>
                            <w:tcBorders>
                              <w:top w:val="single" w:sz="4" w:space="0" w:color="001F60"/>
                              <w:bottom w:val="single" w:sz="4" w:space="0" w:color="001F60"/>
                            </w:tcBorders>
                          </w:tcPr>
                          <w:p w14:paraId="28A56B0D" w14:textId="77777777" w:rsidR="002C6574" w:rsidRDefault="00000000">
                            <w:pPr>
                              <w:pStyle w:val="TableParagraph"/>
                              <w:spacing w:before="6" w:line="82" w:lineRule="exact"/>
                              <w:ind w:right="148"/>
                              <w:rPr>
                                <w:rFonts w:ascii="Arial"/>
                                <w:b/>
                                <w:sz w:val="9"/>
                              </w:rPr>
                            </w:pPr>
                            <w:r>
                              <w:rPr>
                                <w:rFonts w:ascii="Arial"/>
                                <w:b/>
                                <w:color w:val="001F60"/>
                                <w:spacing w:val="-2"/>
                                <w:sz w:val="9"/>
                              </w:rPr>
                              <w:t>108,70</w:t>
                            </w:r>
                          </w:p>
                        </w:tc>
                        <w:tc>
                          <w:tcPr>
                            <w:tcW w:w="616" w:type="dxa"/>
                            <w:tcBorders>
                              <w:top w:val="single" w:sz="4" w:space="0" w:color="001F60"/>
                              <w:bottom w:val="single" w:sz="4" w:space="0" w:color="001F60"/>
                            </w:tcBorders>
                          </w:tcPr>
                          <w:p w14:paraId="6D08A1AB" w14:textId="77777777" w:rsidR="002C6574" w:rsidRDefault="00000000">
                            <w:pPr>
                              <w:pStyle w:val="TableParagraph"/>
                              <w:spacing w:before="6" w:line="82" w:lineRule="exact"/>
                              <w:ind w:right="142"/>
                              <w:rPr>
                                <w:rFonts w:ascii="Arial"/>
                                <w:b/>
                                <w:sz w:val="9"/>
                              </w:rPr>
                            </w:pPr>
                            <w:r>
                              <w:rPr>
                                <w:rFonts w:ascii="Arial"/>
                                <w:b/>
                                <w:color w:val="001F60"/>
                                <w:spacing w:val="-2"/>
                                <w:sz w:val="9"/>
                              </w:rPr>
                              <w:t>108,69</w:t>
                            </w:r>
                          </w:p>
                        </w:tc>
                        <w:tc>
                          <w:tcPr>
                            <w:tcW w:w="612" w:type="dxa"/>
                            <w:tcBorders>
                              <w:top w:val="single" w:sz="4" w:space="0" w:color="001F60"/>
                              <w:bottom w:val="single" w:sz="4" w:space="0" w:color="001F60"/>
                            </w:tcBorders>
                          </w:tcPr>
                          <w:p w14:paraId="7F2F160D" w14:textId="77777777" w:rsidR="002C6574" w:rsidRDefault="00000000">
                            <w:pPr>
                              <w:pStyle w:val="TableParagraph"/>
                              <w:spacing w:before="6" w:line="82" w:lineRule="exact"/>
                              <w:ind w:right="131"/>
                              <w:rPr>
                                <w:rFonts w:ascii="Arial"/>
                                <w:b/>
                                <w:sz w:val="9"/>
                              </w:rPr>
                            </w:pPr>
                            <w:r>
                              <w:rPr>
                                <w:rFonts w:ascii="Arial"/>
                                <w:b/>
                                <w:color w:val="001F60"/>
                                <w:spacing w:val="-2"/>
                                <w:sz w:val="9"/>
                              </w:rPr>
                              <w:t>108,69</w:t>
                            </w:r>
                          </w:p>
                        </w:tc>
                        <w:tc>
                          <w:tcPr>
                            <w:tcW w:w="494" w:type="dxa"/>
                            <w:tcBorders>
                              <w:top w:val="single" w:sz="4" w:space="0" w:color="001F60"/>
                              <w:bottom w:val="single" w:sz="4" w:space="0" w:color="001F60"/>
                            </w:tcBorders>
                          </w:tcPr>
                          <w:p w14:paraId="4C6DF785" w14:textId="77777777" w:rsidR="002C6574" w:rsidRDefault="00000000">
                            <w:pPr>
                              <w:pStyle w:val="TableParagraph"/>
                              <w:spacing w:before="6" w:line="82" w:lineRule="exact"/>
                              <w:ind w:right="58"/>
                              <w:rPr>
                                <w:rFonts w:ascii="Arial"/>
                                <w:b/>
                                <w:sz w:val="9"/>
                              </w:rPr>
                            </w:pPr>
                            <w:r>
                              <w:rPr>
                                <w:rFonts w:ascii="Arial"/>
                                <w:b/>
                                <w:color w:val="001F60"/>
                                <w:spacing w:val="-2"/>
                                <w:sz w:val="9"/>
                              </w:rPr>
                              <w:t>108,69</w:t>
                            </w:r>
                          </w:p>
                        </w:tc>
                        <w:tc>
                          <w:tcPr>
                            <w:tcW w:w="563" w:type="dxa"/>
                            <w:tcBorders>
                              <w:top w:val="single" w:sz="4" w:space="0" w:color="001F60"/>
                              <w:bottom w:val="single" w:sz="4" w:space="0" w:color="001F60"/>
                            </w:tcBorders>
                          </w:tcPr>
                          <w:p w14:paraId="31BD7A77" w14:textId="77777777" w:rsidR="002C6574" w:rsidRDefault="00000000">
                            <w:pPr>
                              <w:pStyle w:val="TableParagraph"/>
                              <w:spacing w:before="6" w:line="82" w:lineRule="exact"/>
                              <w:ind w:right="27"/>
                              <w:jc w:val="center"/>
                              <w:rPr>
                                <w:rFonts w:ascii="Arial"/>
                                <w:b/>
                                <w:sz w:val="9"/>
                              </w:rPr>
                            </w:pPr>
                            <w:r>
                              <w:rPr>
                                <w:rFonts w:ascii="Arial"/>
                                <w:b/>
                                <w:color w:val="001F60"/>
                                <w:spacing w:val="-4"/>
                                <w:sz w:val="9"/>
                              </w:rPr>
                              <w:t>100%</w:t>
                            </w:r>
                          </w:p>
                        </w:tc>
                        <w:tc>
                          <w:tcPr>
                            <w:tcW w:w="553" w:type="dxa"/>
                            <w:tcBorders>
                              <w:top w:val="single" w:sz="4" w:space="0" w:color="001F60"/>
                              <w:bottom w:val="single" w:sz="4" w:space="0" w:color="001F60"/>
                            </w:tcBorders>
                          </w:tcPr>
                          <w:p w14:paraId="4D0FF634" w14:textId="77777777" w:rsidR="002C6574" w:rsidRDefault="00000000">
                            <w:pPr>
                              <w:pStyle w:val="TableParagraph"/>
                              <w:spacing w:before="6" w:line="82" w:lineRule="exact"/>
                              <w:ind w:right="9"/>
                              <w:jc w:val="center"/>
                              <w:rPr>
                                <w:rFonts w:ascii="Arial"/>
                                <w:b/>
                                <w:sz w:val="9"/>
                              </w:rPr>
                            </w:pPr>
                            <w:r>
                              <w:rPr>
                                <w:rFonts w:ascii="Arial"/>
                                <w:b/>
                                <w:color w:val="001F60"/>
                                <w:spacing w:val="-4"/>
                                <w:sz w:val="9"/>
                              </w:rPr>
                              <w:t>100%</w:t>
                            </w:r>
                          </w:p>
                        </w:tc>
                      </w:tr>
                      <w:tr w:rsidR="002C6574" w14:paraId="75D26753" w14:textId="77777777">
                        <w:trPr>
                          <w:trHeight w:val="107"/>
                        </w:trPr>
                        <w:tc>
                          <w:tcPr>
                            <w:tcW w:w="3125" w:type="dxa"/>
                            <w:tcBorders>
                              <w:top w:val="single" w:sz="4" w:space="0" w:color="001F60"/>
                            </w:tcBorders>
                          </w:tcPr>
                          <w:p w14:paraId="58BBB3DC" w14:textId="77777777" w:rsidR="002C6574" w:rsidRDefault="002C6574">
                            <w:pPr>
                              <w:pStyle w:val="TableParagraph"/>
                              <w:jc w:val="left"/>
                              <w:rPr>
                                <w:rFonts w:ascii="Times New Roman"/>
                                <w:sz w:val="4"/>
                              </w:rPr>
                            </w:pPr>
                          </w:p>
                        </w:tc>
                        <w:tc>
                          <w:tcPr>
                            <w:tcW w:w="2366" w:type="dxa"/>
                            <w:tcBorders>
                              <w:top w:val="single" w:sz="4" w:space="0" w:color="001F60"/>
                            </w:tcBorders>
                          </w:tcPr>
                          <w:p w14:paraId="33EFE38D" w14:textId="77777777" w:rsidR="002C6574" w:rsidRDefault="00000000">
                            <w:pPr>
                              <w:pStyle w:val="TableParagraph"/>
                              <w:spacing w:before="3" w:line="84" w:lineRule="exact"/>
                              <w:ind w:left="398"/>
                              <w:jc w:val="left"/>
                              <w:rPr>
                                <w:rFonts w:ascii="Arial MT" w:hAnsi="Arial MT"/>
                                <w:sz w:val="9"/>
                              </w:rPr>
                            </w:pPr>
                            <w:r>
                              <w:rPr>
                                <w:rFonts w:ascii="Arial MT" w:hAnsi="Arial MT"/>
                                <w:color w:val="001F60"/>
                                <w:sz w:val="9"/>
                              </w:rPr>
                              <w:t>Demais</w:t>
                            </w:r>
                            <w:r>
                              <w:rPr>
                                <w:rFonts w:ascii="Arial MT" w:hAnsi="Arial MT"/>
                                <w:color w:val="001F60"/>
                                <w:spacing w:val="-3"/>
                                <w:sz w:val="9"/>
                              </w:rPr>
                              <w:t xml:space="preserve"> </w:t>
                            </w:r>
                            <w:r>
                              <w:rPr>
                                <w:rFonts w:ascii="Arial MT" w:hAnsi="Arial MT"/>
                                <w:color w:val="001F60"/>
                                <w:sz w:val="9"/>
                              </w:rPr>
                              <w:t>Aplicações</w:t>
                            </w:r>
                            <w:r>
                              <w:rPr>
                                <w:rFonts w:ascii="Arial MT" w:hAnsi="Arial MT"/>
                                <w:color w:val="001F60"/>
                                <w:spacing w:val="-2"/>
                                <w:sz w:val="9"/>
                              </w:rPr>
                              <w:t xml:space="preserve"> </w:t>
                            </w:r>
                            <w:r>
                              <w:rPr>
                                <w:rFonts w:ascii="Arial MT" w:hAnsi="Arial MT"/>
                                <w:color w:val="001F60"/>
                                <w:sz w:val="9"/>
                              </w:rPr>
                              <w:t>Autorizadas</w:t>
                            </w:r>
                            <w:r>
                              <w:rPr>
                                <w:rFonts w:ascii="Arial MT" w:hAnsi="Arial MT"/>
                                <w:color w:val="001F60"/>
                                <w:spacing w:val="-2"/>
                                <w:sz w:val="9"/>
                              </w:rPr>
                              <w:t xml:space="preserve"> </w:t>
                            </w:r>
                            <w:r>
                              <w:rPr>
                                <w:rFonts w:ascii="Arial MT" w:hAnsi="Arial MT"/>
                                <w:color w:val="001F60"/>
                                <w:spacing w:val="-4"/>
                                <w:sz w:val="9"/>
                              </w:rPr>
                              <w:t>para</w:t>
                            </w:r>
                          </w:p>
                        </w:tc>
                        <w:tc>
                          <w:tcPr>
                            <w:tcW w:w="663" w:type="dxa"/>
                            <w:tcBorders>
                              <w:top w:val="single" w:sz="4" w:space="0" w:color="001F60"/>
                            </w:tcBorders>
                          </w:tcPr>
                          <w:p w14:paraId="14F96FE4" w14:textId="77777777" w:rsidR="002C6574" w:rsidRDefault="002C6574">
                            <w:pPr>
                              <w:pStyle w:val="TableParagraph"/>
                              <w:jc w:val="left"/>
                              <w:rPr>
                                <w:rFonts w:ascii="Times New Roman"/>
                                <w:sz w:val="4"/>
                              </w:rPr>
                            </w:pPr>
                          </w:p>
                        </w:tc>
                        <w:tc>
                          <w:tcPr>
                            <w:tcW w:w="616" w:type="dxa"/>
                            <w:tcBorders>
                              <w:top w:val="single" w:sz="4" w:space="0" w:color="001F60"/>
                            </w:tcBorders>
                          </w:tcPr>
                          <w:p w14:paraId="4046453C" w14:textId="77777777" w:rsidR="002C6574" w:rsidRDefault="002C6574">
                            <w:pPr>
                              <w:pStyle w:val="TableParagraph"/>
                              <w:jc w:val="left"/>
                              <w:rPr>
                                <w:rFonts w:ascii="Times New Roman"/>
                                <w:sz w:val="4"/>
                              </w:rPr>
                            </w:pPr>
                          </w:p>
                        </w:tc>
                        <w:tc>
                          <w:tcPr>
                            <w:tcW w:w="612" w:type="dxa"/>
                            <w:tcBorders>
                              <w:top w:val="single" w:sz="4" w:space="0" w:color="001F60"/>
                            </w:tcBorders>
                          </w:tcPr>
                          <w:p w14:paraId="62DAEC9B" w14:textId="77777777" w:rsidR="002C6574" w:rsidRDefault="002C6574">
                            <w:pPr>
                              <w:pStyle w:val="TableParagraph"/>
                              <w:jc w:val="left"/>
                              <w:rPr>
                                <w:rFonts w:ascii="Times New Roman"/>
                                <w:sz w:val="4"/>
                              </w:rPr>
                            </w:pPr>
                          </w:p>
                        </w:tc>
                        <w:tc>
                          <w:tcPr>
                            <w:tcW w:w="494" w:type="dxa"/>
                            <w:tcBorders>
                              <w:top w:val="single" w:sz="4" w:space="0" w:color="001F60"/>
                            </w:tcBorders>
                          </w:tcPr>
                          <w:p w14:paraId="03B3E009" w14:textId="77777777" w:rsidR="002C6574" w:rsidRDefault="002C6574">
                            <w:pPr>
                              <w:pStyle w:val="TableParagraph"/>
                              <w:jc w:val="left"/>
                              <w:rPr>
                                <w:rFonts w:ascii="Times New Roman"/>
                                <w:sz w:val="4"/>
                              </w:rPr>
                            </w:pPr>
                          </w:p>
                        </w:tc>
                        <w:tc>
                          <w:tcPr>
                            <w:tcW w:w="563" w:type="dxa"/>
                            <w:tcBorders>
                              <w:top w:val="single" w:sz="4" w:space="0" w:color="001F60"/>
                            </w:tcBorders>
                          </w:tcPr>
                          <w:p w14:paraId="26A67810" w14:textId="77777777" w:rsidR="002C6574" w:rsidRDefault="002C6574">
                            <w:pPr>
                              <w:pStyle w:val="TableParagraph"/>
                              <w:jc w:val="left"/>
                              <w:rPr>
                                <w:rFonts w:ascii="Times New Roman"/>
                                <w:sz w:val="4"/>
                              </w:rPr>
                            </w:pPr>
                          </w:p>
                        </w:tc>
                        <w:tc>
                          <w:tcPr>
                            <w:tcW w:w="553" w:type="dxa"/>
                            <w:tcBorders>
                              <w:top w:val="single" w:sz="4" w:space="0" w:color="001F60"/>
                            </w:tcBorders>
                          </w:tcPr>
                          <w:p w14:paraId="5B58B987" w14:textId="77777777" w:rsidR="002C6574" w:rsidRDefault="002C6574">
                            <w:pPr>
                              <w:pStyle w:val="TableParagraph"/>
                              <w:jc w:val="left"/>
                              <w:rPr>
                                <w:rFonts w:ascii="Times New Roman"/>
                                <w:sz w:val="4"/>
                              </w:rPr>
                            </w:pPr>
                          </w:p>
                        </w:tc>
                      </w:tr>
                      <w:tr w:rsidR="002C6574" w14:paraId="6C32F86C" w14:textId="77777777">
                        <w:trPr>
                          <w:trHeight w:val="134"/>
                        </w:trPr>
                        <w:tc>
                          <w:tcPr>
                            <w:tcW w:w="8992" w:type="dxa"/>
                            <w:gridSpan w:val="8"/>
                          </w:tcPr>
                          <w:p w14:paraId="23D2E1F3" w14:textId="77777777" w:rsidR="002C6574" w:rsidRDefault="00000000">
                            <w:pPr>
                              <w:pStyle w:val="TableParagraph"/>
                              <w:tabs>
                                <w:tab w:val="left" w:pos="5822"/>
                                <w:tab w:val="left" w:pos="6445"/>
                                <w:tab w:val="left" w:pos="7068"/>
                                <w:tab w:val="left" w:pos="7634"/>
                                <w:tab w:val="left" w:pos="8029"/>
                                <w:tab w:val="left" w:pos="8596"/>
                              </w:tabs>
                              <w:spacing w:before="33" w:line="48" w:lineRule="auto"/>
                              <w:ind w:left="1039"/>
                              <w:jc w:val="left"/>
                              <w:rPr>
                                <w:rFonts w:ascii="Arial MT" w:hAnsi="Arial MT"/>
                                <w:position w:val="-5"/>
                                <w:sz w:val="9"/>
                              </w:rPr>
                            </w:pPr>
                            <w:r>
                              <w:rPr>
                                <w:rFonts w:ascii="Arial MT" w:hAnsi="Arial MT"/>
                                <w:color w:val="001F60"/>
                                <w:position w:val="-5"/>
                                <w:sz w:val="9"/>
                              </w:rPr>
                              <w:t>0283</w:t>
                            </w:r>
                            <w:r>
                              <w:rPr>
                                <w:rFonts w:ascii="Arial MT" w:hAnsi="Arial MT"/>
                                <w:color w:val="001F60"/>
                                <w:spacing w:val="39"/>
                                <w:position w:val="-5"/>
                                <w:sz w:val="9"/>
                              </w:rPr>
                              <w:t xml:space="preserve"> </w:t>
                            </w:r>
                            <w:r>
                              <w:rPr>
                                <w:rFonts w:ascii="Arial MT" w:hAnsi="Arial MT"/>
                                <w:color w:val="001F60"/>
                                <w:sz w:val="9"/>
                              </w:rPr>
                              <w:t>Amortização</w:t>
                            </w:r>
                            <w:r>
                              <w:rPr>
                                <w:rFonts w:ascii="Arial MT" w:hAnsi="Arial MT"/>
                                <w:color w:val="001F60"/>
                                <w:spacing w:val="1"/>
                                <w:sz w:val="9"/>
                              </w:rPr>
                              <w:t xml:space="preserve"> </w:t>
                            </w:r>
                            <w:r>
                              <w:rPr>
                                <w:rFonts w:ascii="Arial MT" w:hAnsi="Arial MT"/>
                                <w:color w:val="001F60"/>
                                <w:sz w:val="9"/>
                              </w:rPr>
                              <w:t>e</w:t>
                            </w:r>
                            <w:r>
                              <w:rPr>
                                <w:rFonts w:ascii="Arial MT" w:hAnsi="Arial MT"/>
                                <w:color w:val="001F60"/>
                                <w:spacing w:val="1"/>
                                <w:sz w:val="9"/>
                              </w:rPr>
                              <w:t xml:space="preserve"> </w:t>
                            </w:r>
                            <w:r>
                              <w:rPr>
                                <w:rFonts w:ascii="Arial MT" w:hAnsi="Arial MT"/>
                                <w:color w:val="001F60"/>
                                <w:sz w:val="9"/>
                              </w:rPr>
                              <w:t>Encargos</w:t>
                            </w:r>
                            <w:r>
                              <w:rPr>
                                <w:rFonts w:ascii="Arial MT" w:hAnsi="Arial MT"/>
                                <w:color w:val="001F60"/>
                                <w:spacing w:val="2"/>
                                <w:sz w:val="9"/>
                              </w:rPr>
                              <w:t xml:space="preserve"> </w:t>
                            </w:r>
                            <w:r>
                              <w:rPr>
                                <w:rFonts w:ascii="Arial MT" w:hAnsi="Arial MT"/>
                                <w:color w:val="001F60"/>
                                <w:sz w:val="9"/>
                              </w:rPr>
                              <w:t>de</w:t>
                            </w:r>
                            <w:r>
                              <w:rPr>
                                <w:rFonts w:ascii="Arial MT" w:hAnsi="Arial MT"/>
                                <w:color w:val="001F60"/>
                                <w:spacing w:val="1"/>
                                <w:sz w:val="9"/>
                              </w:rPr>
                              <w:t xml:space="preserve"> </w:t>
                            </w:r>
                            <w:r>
                              <w:rPr>
                                <w:rFonts w:ascii="Arial MT" w:hAnsi="Arial MT"/>
                                <w:color w:val="001F60"/>
                                <w:sz w:val="9"/>
                              </w:rPr>
                              <w:t>Financiamento</w:t>
                            </w:r>
                            <w:r>
                              <w:rPr>
                                <w:rFonts w:ascii="Arial MT" w:hAnsi="Arial MT"/>
                                <w:color w:val="001F60"/>
                                <w:spacing w:val="1"/>
                                <w:sz w:val="9"/>
                              </w:rPr>
                              <w:t xml:space="preserve"> </w:t>
                            </w:r>
                            <w:r>
                              <w:rPr>
                                <w:rFonts w:ascii="Arial MT" w:hAnsi="Arial MT"/>
                                <w:color w:val="001F60"/>
                                <w:sz w:val="9"/>
                              </w:rPr>
                              <w:t>da</w:t>
                            </w:r>
                            <w:r>
                              <w:rPr>
                                <w:rFonts w:ascii="Arial MT" w:hAnsi="Arial MT"/>
                                <w:color w:val="001F60"/>
                                <w:spacing w:val="25"/>
                                <w:sz w:val="9"/>
                              </w:rPr>
                              <w:t xml:space="preserve"> </w:t>
                            </w:r>
                            <w:r>
                              <w:rPr>
                                <w:rFonts w:ascii="Arial MT" w:hAnsi="Arial MT"/>
                                <w:color w:val="001F60"/>
                                <w:position w:val="-5"/>
                                <w:sz w:val="9"/>
                              </w:rPr>
                              <w:t>1444</w:t>
                            </w:r>
                            <w:r>
                              <w:rPr>
                                <w:rFonts w:ascii="Arial MT" w:hAnsi="Arial MT"/>
                                <w:color w:val="001F60"/>
                                <w:spacing w:val="67"/>
                                <w:position w:val="-5"/>
                                <w:sz w:val="9"/>
                              </w:rPr>
                              <w:t xml:space="preserve"> </w:t>
                            </w:r>
                            <w:r>
                              <w:rPr>
                                <w:rFonts w:ascii="Arial MT" w:hAnsi="Arial MT"/>
                                <w:color w:val="001F60"/>
                                <w:sz w:val="9"/>
                              </w:rPr>
                              <w:t>Recursos</w:t>
                            </w:r>
                            <w:r>
                              <w:rPr>
                                <w:rFonts w:ascii="Arial MT" w:hAnsi="Arial MT"/>
                                <w:color w:val="001F60"/>
                                <w:spacing w:val="1"/>
                                <w:sz w:val="9"/>
                              </w:rPr>
                              <w:t xml:space="preserve"> </w:t>
                            </w:r>
                            <w:r>
                              <w:rPr>
                                <w:rFonts w:ascii="Arial MT" w:hAnsi="Arial MT"/>
                                <w:color w:val="001F60"/>
                                <w:sz w:val="9"/>
                              </w:rPr>
                              <w:t>Oriundos</w:t>
                            </w:r>
                            <w:r>
                              <w:rPr>
                                <w:rFonts w:ascii="Arial MT" w:hAnsi="Arial MT"/>
                                <w:color w:val="001F60"/>
                                <w:spacing w:val="1"/>
                                <w:sz w:val="9"/>
                              </w:rPr>
                              <w:t xml:space="preserve"> </w:t>
                            </w:r>
                            <w:r>
                              <w:rPr>
                                <w:rFonts w:ascii="Arial MT" w:hAnsi="Arial MT"/>
                                <w:color w:val="001F60"/>
                                <w:sz w:val="9"/>
                              </w:rPr>
                              <w:t>de</w:t>
                            </w:r>
                            <w:r>
                              <w:rPr>
                                <w:rFonts w:ascii="Arial MT" w:hAnsi="Arial MT"/>
                                <w:color w:val="001F60"/>
                                <w:spacing w:val="2"/>
                                <w:sz w:val="9"/>
                              </w:rPr>
                              <w:t xml:space="preserve"> </w:t>
                            </w:r>
                            <w:r>
                              <w:rPr>
                                <w:rFonts w:ascii="Arial MT" w:hAnsi="Arial MT"/>
                                <w:color w:val="001F60"/>
                                <w:sz w:val="9"/>
                              </w:rPr>
                              <w:t>Títulos</w:t>
                            </w:r>
                            <w:r>
                              <w:rPr>
                                <w:rFonts w:ascii="Arial MT" w:hAnsi="Arial MT"/>
                                <w:color w:val="001F60"/>
                                <w:spacing w:val="1"/>
                                <w:sz w:val="9"/>
                              </w:rPr>
                              <w:t xml:space="preserve"> </w:t>
                            </w:r>
                            <w:r>
                              <w:rPr>
                                <w:rFonts w:ascii="Arial MT" w:hAnsi="Arial MT"/>
                                <w:color w:val="001F60"/>
                                <w:sz w:val="9"/>
                              </w:rPr>
                              <w:t xml:space="preserve">do </w:t>
                            </w:r>
                            <w:r>
                              <w:rPr>
                                <w:rFonts w:ascii="Arial MT" w:hAnsi="Arial MT"/>
                                <w:color w:val="001F60"/>
                                <w:spacing w:val="-2"/>
                                <w:sz w:val="9"/>
                              </w:rPr>
                              <w:t>Tesouro</w:t>
                            </w:r>
                            <w:r>
                              <w:rPr>
                                <w:rFonts w:ascii="Arial MT" w:hAnsi="Arial MT"/>
                                <w:color w:val="001F60"/>
                                <w:sz w:val="9"/>
                              </w:rPr>
                              <w:tab/>
                            </w:r>
                            <w:r>
                              <w:rPr>
                                <w:rFonts w:ascii="Arial MT" w:hAnsi="Arial MT"/>
                                <w:color w:val="001F60"/>
                                <w:spacing w:val="-4"/>
                                <w:position w:val="-5"/>
                                <w:sz w:val="9"/>
                              </w:rPr>
                              <w:t>0,11</w:t>
                            </w:r>
                            <w:r>
                              <w:rPr>
                                <w:rFonts w:ascii="Arial MT" w:hAnsi="Arial MT"/>
                                <w:color w:val="001F60"/>
                                <w:position w:val="-5"/>
                                <w:sz w:val="9"/>
                              </w:rPr>
                              <w:tab/>
                            </w:r>
                            <w:r>
                              <w:rPr>
                                <w:rFonts w:ascii="Arial MT" w:hAnsi="Arial MT"/>
                                <w:color w:val="001F60"/>
                                <w:spacing w:val="-4"/>
                                <w:position w:val="-5"/>
                                <w:sz w:val="9"/>
                              </w:rPr>
                              <w:t>0,11</w:t>
                            </w:r>
                            <w:r>
                              <w:rPr>
                                <w:rFonts w:ascii="Arial MT" w:hAnsi="Arial MT"/>
                                <w:color w:val="001F60"/>
                                <w:position w:val="-5"/>
                                <w:sz w:val="9"/>
                              </w:rPr>
                              <w:tab/>
                            </w:r>
                            <w:r>
                              <w:rPr>
                                <w:rFonts w:ascii="Arial MT" w:hAnsi="Arial MT"/>
                                <w:color w:val="001F60"/>
                                <w:spacing w:val="-4"/>
                                <w:position w:val="-5"/>
                                <w:sz w:val="9"/>
                              </w:rPr>
                              <w:t>0,11</w:t>
                            </w:r>
                            <w:r>
                              <w:rPr>
                                <w:rFonts w:ascii="Arial MT" w:hAnsi="Arial MT"/>
                                <w:color w:val="001F60"/>
                                <w:position w:val="-5"/>
                                <w:sz w:val="9"/>
                              </w:rPr>
                              <w:tab/>
                            </w:r>
                            <w:r>
                              <w:rPr>
                                <w:rFonts w:ascii="Arial MT" w:hAnsi="Arial MT"/>
                                <w:color w:val="001F60"/>
                                <w:spacing w:val="-4"/>
                                <w:position w:val="-5"/>
                                <w:sz w:val="9"/>
                              </w:rPr>
                              <w:t>0,11</w:t>
                            </w:r>
                            <w:r>
                              <w:rPr>
                                <w:rFonts w:ascii="Arial MT" w:hAnsi="Arial MT"/>
                                <w:color w:val="001F60"/>
                                <w:position w:val="-5"/>
                                <w:sz w:val="9"/>
                              </w:rPr>
                              <w:tab/>
                            </w:r>
                            <w:r>
                              <w:rPr>
                                <w:rFonts w:ascii="Arial MT" w:hAnsi="Arial MT"/>
                                <w:color w:val="001F60"/>
                                <w:spacing w:val="-4"/>
                                <w:position w:val="-5"/>
                                <w:sz w:val="9"/>
                              </w:rPr>
                              <w:t>100%</w:t>
                            </w:r>
                            <w:r>
                              <w:rPr>
                                <w:rFonts w:ascii="Arial MT" w:hAnsi="Arial MT"/>
                                <w:color w:val="001F60"/>
                                <w:position w:val="-5"/>
                                <w:sz w:val="9"/>
                              </w:rPr>
                              <w:tab/>
                            </w:r>
                            <w:r>
                              <w:rPr>
                                <w:rFonts w:ascii="Arial MT" w:hAnsi="Arial MT"/>
                                <w:color w:val="001F60"/>
                                <w:spacing w:val="-4"/>
                                <w:position w:val="-5"/>
                                <w:sz w:val="9"/>
                              </w:rPr>
                              <w:t>100%</w:t>
                            </w:r>
                          </w:p>
                        </w:tc>
                      </w:tr>
                      <w:tr w:rsidR="002C6574" w14:paraId="2137197C" w14:textId="77777777">
                        <w:trPr>
                          <w:trHeight w:val="110"/>
                        </w:trPr>
                        <w:tc>
                          <w:tcPr>
                            <w:tcW w:w="3125" w:type="dxa"/>
                          </w:tcPr>
                          <w:p w14:paraId="7A713C92" w14:textId="77777777" w:rsidR="002C6574" w:rsidRDefault="00000000">
                            <w:pPr>
                              <w:pStyle w:val="TableParagraph"/>
                              <w:spacing w:line="91" w:lineRule="exact"/>
                              <w:ind w:left="1305"/>
                              <w:jc w:val="left"/>
                              <w:rPr>
                                <w:rFonts w:ascii="Arial MT" w:hAnsi="Arial MT"/>
                                <w:sz w:val="9"/>
                              </w:rPr>
                            </w:pPr>
                            <w:r>
                              <w:rPr>
                                <w:rFonts w:ascii="Arial MT" w:hAnsi="Arial MT"/>
                                <w:color w:val="001F60"/>
                                <w:sz w:val="9"/>
                              </w:rPr>
                              <w:t>Dívida</w:t>
                            </w:r>
                            <w:r>
                              <w:rPr>
                                <w:rFonts w:ascii="Arial MT" w:hAnsi="Arial MT"/>
                                <w:color w:val="001F60"/>
                                <w:spacing w:val="6"/>
                                <w:sz w:val="9"/>
                              </w:rPr>
                              <w:t xml:space="preserve"> </w:t>
                            </w:r>
                            <w:r>
                              <w:rPr>
                                <w:rFonts w:ascii="Arial MT" w:hAnsi="Arial MT"/>
                                <w:color w:val="001F60"/>
                                <w:sz w:val="9"/>
                              </w:rPr>
                              <w:t>Contratual</w:t>
                            </w:r>
                            <w:r>
                              <w:rPr>
                                <w:rFonts w:ascii="Arial MT" w:hAnsi="Arial MT"/>
                                <w:color w:val="001F60"/>
                                <w:spacing w:val="2"/>
                                <w:sz w:val="9"/>
                              </w:rPr>
                              <w:t xml:space="preserve"> </w:t>
                            </w:r>
                            <w:r>
                              <w:rPr>
                                <w:rFonts w:ascii="Arial MT" w:hAnsi="Arial MT"/>
                                <w:color w:val="001F60"/>
                                <w:spacing w:val="-2"/>
                                <w:sz w:val="9"/>
                              </w:rPr>
                              <w:t>Interna</w:t>
                            </w:r>
                          </w:p>
                        </w:tc>
                        <w:tc>
                          <w:tcPr>
                            <w:tcW w:w="5867" w:type="dxa"/>
                            <w:gridSpan w:val="7"/>
                          </w:tcPr>
                          <w:p w14:paraId="652D9842" w14:textId="77777777" w:rsidR="002C6574" w:rsidRDefault="00000000">
                            <w:pPr>
                              <w:pStyle w:val="TableParagraph"/>
                              <w:spacing w:line="91" w:lineRule="exact"/>
                              <w:ind w:left="398"/>
                              <w:jc w:val="left"/>
                              <w:rPr>
                                <w:rFonts w:ascii="Arial MT"/>
                                <w:sz w:val="9"/>
                              </w:rPr>
                            </w:pPr>
                            <w:r>
                              <w:rPr>
                                <w:rFonts w:ascii="Arial MT"/>
                                <w:color w:val="001F60"/>
                                <w:sz w:val="9"/>
                              </w:rPr>
                              <w:t>Nacional,</w:t>
                            </w:r>
                            <w:r>
                              <w:rPr>
                                <w:rFonts w:ascii="Arial MT"/>
                                <w:color w:val="001F60"/>
                                <w:spacing w:val="3"/>
                                <w:sz w:val="9"/>
                              </w:rPr>
                              <w:t xml:space="preserve"> </w:t>
                            </w:r>
                            <w:r>
                              <w:rPr>
                                <w:rFonts w:ascii="Arial MT"/>
                                <w:color w:val="001F60"/>
                                <w:sz w:val="9"/>
                              </w:rPr>
                              <w:t>Excetuado</w:t>
                            </w:r>
                            <w:r>
                              <w:rPr>
                                <w:rFonts w:ascii="Arial MT"/>
                                <w:color w:val="001F60"/>
                                <w:spacing w:val="4"/>
                                <w:sz w:val="9"/>
                              </w:rPr>
                              <w:t xml:space="preserve"> </w:t>
                            </w:r>
                            <w:r>
                              <w:rPr>
                                <w:rFonts w:ascii="Arial MT"/>
                                <w:color w:val="001F60"/>
                                <w:sz w:val="9"/>
                              </w:rPr>
                              <w:t>o</w:t>
                            </w:r>
                            <w:r>
                              <w:rPr>
                                <w:rFonts w:ascii="Arial MT"/>
                                <w:color w:val="001F60"/>
                                <w:spacing w:val="2"/>
                                <w:sz w:val="9"/>
                              </w:rPr>
                              <w:t xml:space="preserve"> </w:t>
                            </w:r>
                            <w:r>
                              <w:rPr>
                                <w:rFonts w:ascii="Arial MT"/>
                                <w:color w:val="001F60"/>
                                <w:sz w:val="9"/>
                              </w:rPr>
                              <w:t>Refinanciamento</w:t>
                            </w:r>
                            <w:r>
                              <w:rPr>
                                <w:rFonts w:ascii="Arial MT"/>
                                <w:color w:val="001F60"/>
                                <w:spacing w:val="1"/>
                                <w:sz w:val="9"/>
                              </w:rPr>
                              <w:t xml:space="preserve"> </w:t>
                            </w:r>
                            <w:r>
                              <w:rPr>
                                <w:rFonts w:ascii="Arial MT"/>
                                <w:color w:val="001F60"/>
                                <w:spacing w:val="-5"/>
                                <w:sz w:val="9"/>
                              </w:rPr>
                              <w:t>da</w:t>
                            </w:r>
                          </w:p>
                        </w:tc>
                      </w:tr>
                      <w:tr w:rsidR="002C6574" w14:paraId="75737132" w14:textId="77777777">
                        <w:trPr>
                          <w:trHeight w:val="114"/>
                        </w:trPr>
                        <w:tc>
                          <w:tcPr>
                            <w:tcW w:w="3125" w:type="dxa"/>
                            <w:tcBorders>
                              <w:bottom w:val="single" w:sz="2" w:space="0" w:color="000000"/>
                            </w:tcBorders>
                          </w:tcPr>
                          <w:p w14:paraId="59D9670A" w14:textId="77777777" w:rsidR="002C6574" w:rsidRDefault="002C6574">
                            <w:pPr>
                              <w:pStyle w:val="TableParagraph"/>
                              <w:jc w:val="left"/>
                              <w:rPr>
                                <w:rFonts w:ascii="Times New Roman"/>
                                <w:sz w:val="6"/>
                              </w:rPr>
                            </w:pPr>
                          </w:p>
                        </w:tc>
                        <w:tc>
                          <w:tcPr>
                            <w:tcW w:w="5867" w:type="dxa"/>
                            <w:gridSpan w:val="7"/>
                            <w:tcBorders>
                              <w:bottom w:val="single" w:sz="2" w:space="0" w:color="000000"/>
                            </w:tcBorders>
                          </w:tcPr>
                          <w:p w14:paraId="0452BEEE" w14:textId="77777777" w:rsidR="002C6574" w:rsidRDefault="00000000">
                            <w:pPr>
                              <w:pStyle w:val="TableParagraph"/>
                              <w:spacing w:before="6" w:line="88" w:lineRule="exact"/>
                              <w:ind w:left="398"/>
                              <w:jc w:val="left"/>
                              <w:rPr>
                                <w:rFonts w:ascii="Arial MT" w:hAnsi="Arial MT"/>
                                <w:sz w:val="9"/>
                              </w:rPr>
                            </w:pPr>
                            <w:r>
                              <w:rPr>
                                <w:rFonts w:ascii="Arial MT" w:hAnsi="Arial MT"/>
                                <w:color w:val="001F60"/>
                                <w:sz w:val="9"/>
                              </w:rPr>
                              <w:t>Dívida</w:t>
                            </w:r>
                            <w:r>
                              <w:rPr>
                                <w:rFonts w:ascii="Arial MT" w:hAnsi="Arial MT"/>
                                <w:color w:val="001F60"/>
                                <w:spacing w:val="3"/>
                                <w:sz w:val="9"/>
                              </w:rPr>
                              <w:t xml:space="preserve"> </w:t>
                            </w:r>
                            <w:r>
                              <w:rPr>
                                <w:rFonts w:ascii="Arial MT" w:hAnsi="Arial MT"/>
                                <w:color w:val="001F60"/>
                                <w:spacing w:val="-2"/>
                                <w:sz w:val="9"/>
                              </w:rPr>
                              <w:t>Pública</w:t>
                            </w:r>
                          </w:p>
                        </w:tc>
                      </w:tr>
                      <w:tr w:rsidR="002C6574" w14:paraId="5024ADEF" w14:textId="77777777">
                        <w:trPr>
                          <w:trHeight w:val="232"/>
                        </w:trPr>
                        <w:tc>
                          <w:tcPr>
                            <w:tcW w:w="3125" w:type="dxa"/>
                            <w:tcBorders>
                              <w:bottom w:val="single" w:sz="2" w:space="0" w:color="000000"/>
                            </w:tcBorders>
                          </w:tcPr>
                          <w:p w14:paraId="68CA88F7" w14:textId="77777777" w:rsidR="002C6574" w:rsidRDefault="00000000">
                            <w:pPr>
                              <w:pStyle w:val="TableParagraph"/>
                              <w:spacing w:before="1"/>
                              <w:ind w:right="-317"/>
                              <w:rPr>
                                <w:rFonts w:ascii="Arial MT" w:hAnsi="Arial MT"/>
                                <w:position w:val="-5"/>
                                <w:sz w:val="9"/>
                              </w:rPr>
                            </w:pPr>
                            <w:r>
                              <w:rPr>
                                <w:rFonts w:ascii="Arial MT" w:hAnsi="Arial MT"/>
                                <w:color w:val="001F60"/>
                                <w:position w:val="-5"/>
                                <w:sz w:val="9"/>
                              </w:rPr>
                              <w:t>0022</w:t>
                            </w:r>
                            <w:r>
                              <w:rPr>
                                <w:rFonts w:ascii="Arial MT" w:hAnsi="Arial MT"/>
                                <w:color w:val="001F60"/>
                                <w:spacing w:val="39"/>
                                <w:position w:val="-5"/>
                                <w:sz w:val="9"/>
                              </w:rPr>
                              <w:t xml:space="preserve"> </w:t>
                            </w:r>
                            <w:r>
                              <w:rPr>
                                <w:rFonts w:ascii="Arial MT" w:hAnsi="Arial MT"/>
                                <w:color w:val="001F60"/>
                                <w:sz w:val="9"/>
                              </w:rPr>
                              <w:t>Sentenças</w:t>
                            </w:r>
                            <w:r>
                              <w:rPr>
                                <w:rFonts w:ascii="Arial MT" w:hAnsi="Arial MT"/>
                                <w:color w:val="001F60"/>
                                <w:spacing w:val="1"/>
                                <w:sz w:val="9"/>
                              </w:rPr>
                              <w:t xml:space="preserve"> </w:t>
                            </w:r>
                            <w:r>
                              <w:rPr>
                                <w:rFonts w:ascii="Arial MT" w:hAnsi="Arial MT"/>
                                <w:color w:val="001F60"/>
                                <w:sz w:val="9"/>
                              </w:rPr>
                              <w:t>Judiciais</w:t>
                            </w:r>
                            <w:r>
                              <w:rPr>
                                <w:rFonts w:ascii="Arial MT" w:hAnsi="Arial MT"/>
                                <w:color w:val="001F60"/>
                                <w:spacing w:val="1"/>
                                <w:sz w:val="9"/>
                              </w:rPr>
                              <w:t xml:space="preserve"> </w:t>
                            </w:r>
                            <w:r>
                              <w:rPr>
                                <w:rFonts w:ascii="Arial MT" w:hAnsi="Arial MT"/>
                                <w:color w:val="001F60"/>
                                <w:sz w:val="9"/>
                              </w:rPr>
                              <w:t>Devidas</w:t>
                            </w:r>
                            <w:r>
                              <w:rPr>
                                <w:rFonts w:ascii="Arial MT" w:hAnsi="Arial MT"/>
                                <w:color w:val="001F60"/>
                                <w:spacing w:val="1"/>
                                <w:sz w:val="9"/>
                              </w:rPr>
                              <w:t xml:space="preserve"> </w:t>
                            </w:r>
                            <w:r>
                              <w:rPr>
                                <w:rFonts w:ascii="Arial MT" w:hAnsi="Arial MT"/>
                                <w:color w:val="001F60"/>
                                <w:sz w:val="9"/>
                              </w:rPr>
                              <w:t>Por</w:t>
                            </w:r>
                            <w:r>
                              <w:rPr>
                                <w:rFonts w:ascii="Arial MT" w:hAnsi="Arial MT"/>
                                <w:color w:val="001F60"/>
                                <w:spacing w:val="3"/>
                                <w:sz w:val="9"/>
                              </w:rPr>
                              <w:t xml:space="preserve"> </w:t>
                            </w:r>
                            <w:r>
                              <w:rPr>
                                <w:rFonts w:ascii="Arial MT" w:hAnsi="Arial MT"/>
                                <w:color w:val="001F60"/>
                                <w:sz w:val="9"/>
                              </w:rPr>
                              <w:t>Empresas</w:t>
                            </w:r>
                            <w:r>
                              <w:rPr>
                                <w:rFonts w:ascii="Arial MT" w:hAnsi="Arial MT"/>
                                <w:color w:val="001F60"/>
                                <w:spacing w:val="47"/>
                                <w:sz w:val="9"/>
                              </w:rPr>
                              <w:t xml:space="preserve">  </w:t>
                            </w:r>
                            <w:r>
                              <w:rPr>
                                <w:rFonts w:ascii="Arial MT" w:hAnsi="Arial MT"/>
                                <w:color w:val="001F60"/>
                                <w:spacing w:val="-4"/>
                                <w:position w:val="-5"/>
                                <w:sz w:val="9"/>
                              </w:rPr>
                              <w:t>1000</w:t>
                            </w:r>
                          </w:p>
                        </w:tc>
                        <w:tc>
                          <w:tcPr>
                            <w:tcW w:w="2366" w:type="dxa"/>
                            <w:tcBorders>
                              <w:bottom w:val="single" w:sz="2" w:space="0" w:color="000000"/>
                            </w:tcBorders>
                          </w:tcPr>
                          <w:p w14:paraId="3CF56B09" w14:textId="77777777" w:rsidR="002C6574" w:rsidRDefault="00000000">
                            <w:pPr>
                              <w:pStyle w:val="TableParagraph"/>
                              <w:spacing w:before="59"/>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Livres</w:t>
                            </w:r>
                            <w:r>
                              <w:rPr>
                                <w:rFonts w:ascii="Arial MT" w:hAnsi="Arial MT"/>
                                <w:color w:val="001F60"/>
                                <w:spacing w:val="3"/>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2"/>
                                <w:sz w:val="9"/>
                              </w:rPr>
                              <w:t>União</w:t>
                            </w:r>
                          </w:p>
                        </w:tc>
                        <w:tc>
                          <w:tcPr>
                            <w:tcW w:w="663" w:type="dxa"/>
                            <w:tcBorders>
                              <w:bottom w:val="single" w:sz="2" w:space="0" w:color="000000"/>
                            </w:tcBorders>
                          </w:tcPr>
                          <w:p w14:paraId="2E18030D" w14:textId="77777777" w:rsidR="002C6574" w:rsidRDefault="00000000">
                            <w:pPr>
                              <w:pStyle w:val="TableParagraph"/>
                              <w:spacing w:before="59"/>
                              <w:ind w:right="148"/>
                              <w:rPr>
                                <w:rFonts w:ascii="Arial MT"/>
                                <w:sz w:val="9"/>
                              </w:rPr>
                            </w:pPr>
                            <w:r>
                              <w:rPr>
                                <w:rFonts w:ascii="Arial MT"/>
                                <w:color w:val="001F60"/>
                                <w:spacing w:val="-2"/>
                                <w:sz w:val="9"/>
                              </w:rPr>
                              <w:t>21,79</w:t>
                            </w:r>
                          </w:p>
                        </w:tc>
                        <w:tc>
                          <w:tcPr>
                            <w:tcW w:w="616" w:type="dxa"/>
                            <w:tcBorders>
                              <w:bottom w:val="single" w:sz="2" w:space="0" w:color="000000"/>
                            </w:tcBorders>
                          </w:tcPr>
                          <w:p w14:paraId="6A39C7D6" w14:textId="77777777" w:rsidR="002C6574" w:rsidRDefault="00000000">
                            <w:pPr>
                              <w:pStyle w:val="TableParagraph"/>
                              <w:spacing w:before="59"/>
                              <w:ind w:right="142"/>
                              <w:rPr>
                                <w:rFonts w:ascii="Arial MT"/>
                                <w:sz w:val="9"/>
                              </w:rPr>
                            </w:pPr>
                            <w:r>
                              <w:rPr>
                                <w:rFonts w:ascii="Arial MT"/>
                                <w:color w:val="001F60"/>
                                <w:spacing w:val="-2"/>
                                <w:sz w:val="9"/>
                              </w:rPr>
                              <w:t>21,79</w:t>
                            </w:r>
                          </w:p>
                        </w:tc>
                        <w:tc>
                          <w:tcPr>
                            <w:tcW w:w="612" w:type="dxa"/>
                            <w:tcBorders>
                              <w:bottom w:val="single" w:sz="2" w:space="0" w:color="000000"/>
                            </w:tcBorders>
                          </w:tcPr>
                          <w:p w14:paraId="45B44CD6" w14:textId="77777777" w:rsidR="002C6574" w:rsidRDefault="00000000">
                            <w:pPr>
                              <w:pStyle w:val="TableParagraph"/>
                              <w:spacing w:before="59"/>
                              <w:ind w:right="131"/>
                              <w:rPr>
                                <w:rFonts w:ascii="Arial MT"/>
                                <w:sz w:val="9"/>
                              </w:rPr>
                            </w:pPr>
                            <w:r>
                              <w:rPr>
                                <w:rFonts w:ascii="Arial MT"/>
                                <w:color w:val="001F60"/>
                                <w:spacing w:val="-2"/>
                                <w:sz w:val="9"/>
                              </w:rPr>
                              <w:t>21,79</w:t>
                            </w:r>
                          </w:p>
                        </w:tc>
                        <w:tc>
                          <w:tcPr>
                            <w:tcW w:w="494" w:type="dxa"/>
                            <w:tcBorders>
                              <w:bottom w:val="single" w:sz="2" w:space="0" w:color="000000"/>
                            </w:tcBorders>
                          </w:tcPr>
                          <w:p w14:paraId="30F47D64" w14:textId="77777777" w:rsidR="002C6574" w:rsidRDefault="00000000">
                            <w:pPr>
                              <w:pStyle w:val="TableParagraph"/>
                              <w:spacing w:before="59"/>
                              <w:ind w:right="58"/>
                              <w:rPr>
                                <w:rFonts w:ascii="Arial MT"/>
                                <w:sz w:val="9"/>
                              </w:rPr>
                            </w:pPr>
                            <w:r>
                              <w:rPr>
                                <w:rFonts w:ascii="Arial MT"/>
                                <w:color w:val="001F60"/>
                                <w:spacing w:val="-2"/>
                                <w:sz w:val="9"/>
                              </w:rPr>
                              <w:t>21,79</w:t>
                            </w:r>
                          </w:p>
                        </w:tc>
                        <w:tc>
                          <w:tcPr>
                            <w:tcW w:w="563" w:type="dxa"/>
                            <w:tcBorders>
                              <w:bottom w:val="single" w:sz="2" w:space="0" w:color="000000"/>
                            </w:tcBorders>
                          </w:tcPr>
                          <w:p w14:paraId="2E7B4264" w14:textId="77777777" w:rsidR="002C6574" w:rsidRDefault="00000000">
                            <w:pPr>
                              <w:pStyle w:val="TableParagraph"/>
                              <w:spacing w:before="59"/>
                              <w:ind w:left="10" w:right="27"/>
                              <w:jc w:val="center"/>
                              <w:rPr>
                                <w:rFonts w:ascii="Arial MT"/>
                                <w:sz w:val="9"/>
                              </w:rPr>
                            </w:pPr>
                            <w:r>
                              <w:rPr>
                                <w:rFonts w:ascii="Arial MT"/>
                                <w:color w:val="001F60"/>
                                <w:spacing w:val="-4"/>
                                <w:sz w:val="9"/>
                              </w:rPr>
                              <w:t>100%</w:t>
                            </w:r>
                          </w:p>
                        </w:tc>
                        <w:tc>
                          <w:tcPr>
                            <w:tcW w:w="553" w:type="dxa"/>
                            <w:tcBorders>
                              <w:bottom w:val="single" w:sz="2" w:space="0" w:color="000000"/>
                            </w:tcBorders>
                          </w:tcPr>
                          <w:p w14:paraId="49AEC0BB" w14:textId="77777777" w:rsidR="002C6574" w:rsidRDefault="00000000">
                            <w:pPr>
                              <w:pStyle w:val="TableParagraph"/>
                              <w:spacing w:before="59"/>
                              <w:ind w:left="9" w:right="9"/>
                              <w:jc w:val="center"/>
                              <w:rPr>
                                <w:rFonts w:ascii="Arial MT"/>
                                <w:sz w:val="9"/>
                              </w:rPr>
                            </w:pPr>
                            <w:r>
                              <w:rPr>
                                <w:rFonts w:ascii="Arial MT"/>
                                <w:color w:val="001F60"/>
                                <w:spacing w:val="-4"/>
                                <w:sz w:val="9"/>
                              </w:rPr>
                              <w:t>100%</w:t>
                            </w:r>
                          </w:p>
                        </w:tc>
                      </w:tr>
                      <w:tr w:rsidR="002C6574" w14:paraId="5025DE35" w14:textId="77777777">
                        <w:trPr>
                          <w:trHeight w:val="115"/>
                        </w:trPr>
                        <w:tc>
                          <w:tcPr>
                            <w:tcW w:w="3125" w:type="dxa"/>
                          </w:tcPr>
                          <w:p w14:paraId="2A318829" w14:textId="77777777" w:rsidR="002C6574" w:rsidRDefault="00000000">
                            <w:pPr>
                              <w:pStyle w:val="TableParagraph"/>
                              <w:spacing w:before="1" w:line="91" w:lineRule="exact"/>
                              <w:ind w:left="1029"/>
                              <w:jc w:val="left"/>
                              <w:rPr>
                                <w:rFonts w:ascii="Arial MT" w:hAnsi="Arial MT"/>
                                <w:sz w:val="9"/>
                              </w:rPr>
                            </w:pPr>
                            <w:r>
                              <w:rPr>
                                <w:rFonts w:ascii="Arial MT" w:hAnsi="Arial MT"/>
                                <w:color w:val="001F60"/>
                                <w:sz w:val="9"/>
                              </w:rPr>
                              <w:t>20TP</w:t>
                            </w:r>
                            <w:r>
                              <w:rPr>
                                <w:rFonts w:ascii="Arial MT" w:hAnsi="Arial MT"/>
                                <w:color w:val="001F60"/>
                                <w:spacing w:val="28"/>
                                <w:sz w:val="9"/>
                              </w:rPr>
                              <w:t xml:space="preserve"> </w:t>
                            </w:r>
                            <w:r>
                              <w:rPr>
                                <w:rFonts w:ascii="Arial MT" w:hAnsi="Arial MT"/>
                                <w:color w:val="001F60"/>
                                <w:sz w:val="9"/>
                              </w:rPr>
                              <w:t>Ativos</w:t>
                            </w:r>
                            <w:r>
                              <w:rPr>
                                <w:rFonts w:ascii="Arial MT" w:hAnsi="Arial MT"/>
                                <w:color w:val="001F60"/>
                                <w:spacing w:val="2"/>
                                <w:sz w:val="9"/>
                              </w:rPr>
                              <w:t xml:space="preserve"> </w:t>
                            </w:r>
                            <w:r>
                              <w:rPr>
                                <w:rFonts w:ascii="Arial MT" w:hAnsi="Arial MT"/>
                                <w:color w:val="001F60"/>
                                <w:sz w:val="9"/>
                              </w:rPr>
                              <w:t>Civis</w:t>
                            </w:r>
                            <w:r>
                              <w:rPr>
                                <w:rFonts w:ascii="Arial MT" w:hAnsi="Arial MT"/>
                                <w:color w:val="001F60"/>
                                <w:spacing w:val="1"/>
                                <w:sz w:val="9"/>
                              </w:rPr>
                              <w:t xml:space="preserve"> </w:t>
                            </w:r>
                            <w:r>
                              <w:rPr>
                                <w:rFonts w:ascii="Arial MT" w:hAnsi="Arial MT"/>
                                <w:color w:val="001F60"/>
                                <w:sz w:val="9"/>
                              </w:rPr>
                              <w:t>da</w:t>
                            </w:r>
                            <w:r>
                              <w:rPr>
                                <w:rFonts w:ascii="Arial MT" w:hAnsi="Arial MT"/>
                                <w:color w:val="001F60"/>
                                <w:spacing w:val="2"/>
                                <w:sz w:val="9"/>
                              </w:rPr>
                              <w:t xml:space="preserve"> </w:t>
                            </w:r>
                            <w:r>
                              <w:rPr>
                                <w:rFonts w:ascii="Arial MT" w:hAnsi="Arial MT"/>
                                <w:color w:val="001F60"/>
                                <w:spacing w:val="-2"/>
                                <w:sz w:val="9"/>
                              </w:rPr>
                              <w:t>União</w:t>
                            </w:r>
                          </w:p>
                        </w:tc>
                        <w:tc>
                          <w:tcPr>
                            <w:tcW w:w="2366" w:type="dxa"/>
                          </w:tcPr>
                          <w:p w14:paraId="49415AAB" w14:textId="77777777" w:rsidR="002C6574" w:rsidRDefault="00000000">
                            <w:pPr>
                              <w:pStyle w:val="TableParagraph"/>
                              <w:spacing w:before="1" w:line="91" w:lineRule="exact"/>
                              <w:ind w:left="105"/>
                              <w:jc w:val="left"/>
                              <w:rPr>
                                <w:rFonts w:ascii="Arial MT" w:hAnsi="Arial MT"/>
                                <w:sz w:val="9"/>
                              </w:rPr>
                            </w:pPr>
                            <w:r>
                              <w:rPr>
                                <w:rFonts w:ascii="Arial MT" w:hAnsi="Arial MT"/>
                                <w:color w:val="001F60"/>
                                <w:sz w:val="9"/>
                              </w:rPr>
                              <w:t>1000</w:t>
                            </w:r>
                            <w:r>
                              <w:rPr>
                                <w:rFonts w:ascii="Arial MT" w:hAnsi="Arial MT"/>
                                <w:color w:val="001F60"/>
                                <w:spacing w:val="68"/>
                                <w:sz w:val="9"/>
                              </w:rPr>
                              <w:t xml:space="preserve"> </w:t>
                            </w:r>
                            <w:r>
                              <w:rPr>
                                <w:rFonts w:ascii="Arial MT" w:hAnsi="Arial MT"/>
                                <w:color w:val="001F60"/>
                                <w:sz w:val="9"/>
                              </w:rPr>
                              <w:t>Recursos</w:t>
                            </w:r>
                            <w:r>
                              <w:rPr>
                                <w:rFonts w:ascii="Arial MT" w:hAnsi="Arial MT"/>
                                <w:color w:val="001F60"/>
                                <w:spacing w:val="1"/>
                                <w:sz w:val="9"/>
                              </w:rPr>
                              <w:t xml:space="preserve"> </w:t>
                            </w:r>
                            <w:r>
                              <w:rPr>
                                <w:rFonts w:ascii="Arial MT" w:hAnsi="Arial MT"/>
                                <w:color w:val="001F60"/>
                                <w:sz w:val="9"/>
                              </w:rPr>
                              <w:t>Livres</w:t>
                            </w:r>
                            <w:r>
                              <w:rPr>
                                <w:rFonts w:ascii="Arial MT" w:hAnsi="Arial MT"/>
                                <w:color w:val="001F60"/>
                                <w:spacing w:val="2"/>
                                <w:sz w:val="9"/>
                              </w:rPr>
                              <w:t xml:space="preserve"> </w:t>
                            </w:r>
                            <w:r>
                              <w:rPr>
                                <w:rFonts w:ascii="Arial MT" w:hAnsi="Arial MT"/>
                                <w:color w:val="001F60"/>
                                <w:sz w:val="9"/>
                              </w:rPr>
                              <w:t>da</w:t>
                            </w:r>
                            <w:r>
                              <w:rPr>
                                <w:rFonts w:ascii="Arial MT" w:hAnsi="Arial MT"/>
                                <w:color w:val="001F60"/>
                                <w:spacing w:val="2"/>
                                <w:sz w:val="9"/>
                              </w:rPr>
                              <w:t xml:space="preserve"> </w:t>
                            </w:r>
                            <w:r>
                              <w:rPr>
                                <w:rFonts w:ascii="Arial MT" w:hAnsi="Arial MT"/>
                                <w:color w:val="001F60"/>
                                <w:spacing w:val="-2"/>
                                <w:sz w:val="9"/>
                              </w:rPr>
                              <w:t>União</w:t>
                            </w:r>
                          </w:p>
                        </w:tc>
                        <w:tc>
                          <w:tcPr>
                            <w:tcW w:w="663" w:type="dxa"/>
                          </w:tcPr>
                          <w:p w14:paraId="6B4040CA" w14:textId="77777777" w:rsidR="002C6574" w:rsidRDefault="00000000">
                            <w:pPr>
                              <w:pStyle w:val="TableParagraph"/>
                              <w:spacing w:before="1" w:line="91" w:lineRule="exact"/>
                              <w:ind w:right="148"/>
                              <w:rPr>
                                <w:rFonts w:ascii="Arial MT"/>
                                <w:sz w:val="9"/>
                              </w:rPr>
                            </w:pPr>
                            <w:r>
                              <w:rPr>
                                <w:rFonts w:ascii="Arial MT"/>
                                <w:color w:val="001F60"/>
                                <w:spacing w:val="-2"/>
                                <w:sz w:val="9"/>
                              </w:rPr>
                              <w:t>36,86</w:t>
                            </w:r>
                          </w:p>
                        </w:tc>
                        <w:tc>
                          <w:tcPr>
                            <w:tcW w:w="616" w:type="dxa"/>
                          </w:tcPr>
                          <w:p w14:paraId="1B026A17" w14:textId="77777777" w:rsidR="002C6574" w:rsidRDefault="00000000">
                            <w:pPr>
                              <w:pStyle w:val="TableParagraph"/>
                              <w:spacing w:before="1" w:line="91" w:lineRule="exact"/>
                              <w:ind w:right="142"/>
                              <w:rPr>
                                <w:rFonts w:ascii="Arial MT"/>
                                <w:sz w:val="9"/>
                              </w:rPr>
                            </w:pPr>
                            <w:r>
                              <w:rPr>
                                <w:rFonts w:ascii="Arial MT"/>
                                <w:color w:val="001F60"/>
                                <w:spacing w:val="-2"/>
                                <w:sz w:val="9"/>
                              </w:rPr>
                              <w:t>36,85</w:t>
                            </w:r>
                          </w:p>
                        </w:tc>
                        <w:tc>
                          <w:tcPr>
                            <w:tcW w:w="612" w:type="dxa"/>
                          </w:tcPr>
                          <w:p w14:paraId="46ACACA0" w14:textId="77777777" w:rsidR="002C6574" w:rsidRDefault="00000000">
                            <w:pPr>
                              <w:pStyle w:val="TableParagraph"/>
                              <w:spacing w:before="1" w:line="91" w:lineRule="exact"/>
                              <w:ind w:right="131"/>
                              <w:rPr>
                                <w:rFonts w:ascii="Arial MT"/>
                                <w:sz w:val="9"/>
                              </w:rPr>
                            </w:pPr>
                            <w:r>
                              <w:rPr>
                                <w:rFonts w:ascii="Arial MT"/>
                                <w:color w:val="001F60"/>
                                <w:spacing w:val="-2"/>
                                <w:sz w:val="9"/>
                              </w:rPr>
                              <w:t>36,85</w:t>
                            </w:r>
                          </w:p>
                        </w:tc>
                        <w:tc>
                          <w:tcPr>
                            <w:tcW w:w="494" w:type="dxa"/>
                          </w:tcPr>
                          <w:p w14:paraId="69675FC6" w14:textId="77777777" w:rsidR="002C6574" w:rsidRDefault="00000000">
                            <w:pPr>
                              <w:pStyle w:val="TableParagraph"/>
                              <w:spacing w:before="1" w:line="91" w:lineRule="exact"/>
                              <w:ind w:right="58"/>
                              <w:rPr>
                                <w:rFonts w:ascii="Arial MT"/>
                                <w:sz w:val="9"/>
                              </w:rPr>
                            </w:pPr>
                            <w:r>
                              <w:rPr>
                                <w:rFonts w:ascii="Arial MT"/>
                                <w:color w:val="001F60"/>
                                <w:spacing w:val="-2"/>
                                <w:sz w:val="9"/>
                              </w:rPr>
                              <w:t>36,85</w:t>
                            </w:r>
                          </w:p>
                        </w:tc>
                        <w:tc>
                          <w:tcPr>
                            <w:tcW w:w="563" w:type="dxa"/>
                          </w:tcPr>
                          <w:p w14:paraId="3DD20D1D" w14:textId="77777777" w:rsidR="002C6574" w:rsidRDefault="00000000">
                            <w:pPr>
                              <w:pStyle w:val="TableParagraph"/>
                              <w:spacing w:before="1" w:line="91" w:lineRule="exact"/>
                              <w:ind w:left="10" w:right="27"/>
                              <w:jc w:val="center"/>
                              <w:rPr>
                                <w:rFonts w:ascii="Arial MT"/>
                                <w:sz w:val="9"/>
                              </w:rPr>
                            </w:pPr>
                            <w:r>
                              <w:rPr>
                                <w:rFonts w:ascii="Arial MT"/>
                                <w:color w:val="001F60"/>
                                <w:spacing w:val="-4"/>
                                <w:sz w:val="9"/>
                              </w:rPr>
                              <w:t>100%</w:t>
                            </w:r>
                          </w:p>
                        </w:tc>
                        <w:tc>
                          <w:tcPr>
                            <w:tcW w:w="553" w:type="dxa"/>
                          </w:tcPr>
                          <w:p w14:paraId="3E4DF7BD" w14:textId="77777777" w:rsidR="002C6574" w:rsidRDefault="00000000">
                            <w:pPr>
                              <w:pStyle w:val="TableParagraph"/>
                              <w:spacing w:before="1" w:line="91" w:lineRule="exact"/>
                              <w:ind w:left="9" w:right="9"/>
                              <w:jc w:val="center"/>
                              <w:rPr>
                                <w:rFonts w:ascii="Arial MT"/>
                                <w:sz w:val="9"/>
                              </w:rPr>
                            </w:pPr>
                            <w:r>
                              <w:rPr>
                                <w:rFonts w:ascii="Arial MT"/>
                                <w:color w:val="001F60"/>
                                <w:spacing w:val="-4"/>
                                <w:sz w:val="9"/>
                              </w:rPr>
                              <w:t>100%</w:t>
                            </w:r>
                          </w:p>
                        </w:tc>
                      </w:tr>
                      <w:tr w:rsidR="002C6574" w14:paraId="061D533B" w14:textId="77777777">
                        <w:trPr>
                          <w:trHeight w:val="147"/>
                        </w:trPr>
                        <w:tc>
                          <w:tcPr>
                            <w:tcW w:w="3125" w:type="dxa"/>
                          </w:tcPr>
                          <w:p w14:paraId="57CA7B35" w14:textId="77777777" w:rsidR="002C6574" w:rsidRDefault="00000000">
                            <w:pPr>
                              <w:pStyle w:val="TableParagraph"/>
                              <w:spacing w:before="64" w:line="64" w:lineRule="exact"/>
                              <w:ind w:left="1029"/>
                              <w:jc w:val="left"/>
                              <w:rPr>
                                <w:rFonts w:ascii="Arial MT" w:hAnsi="Arial MT"/>
                                <w:sz w:val="9"/>
                              </w:rPr>
                            </w:pPr>
                            <w:r>
                              <w:rPr>
                                <w:rFonts w:ascii="Arial MT" w:hAnsi="Arial MT"/>
                                <w:color w:val="001F60"/>
                                <w:sz w:val="9"/>
                              </w:rPr>
                              <w:t>20TP</w:t>
                            </w:r>
                            <w:r>
                              <w:rPr>
                                <w:rFonts w:ascii="Arial MT" w:hAnsi="Arial MT"/>
                                <w:color w:val="001F60"/>
                                <w:spacing w:val="28"/>
                                <w:sz w:val="9"/>
                              </w:rPr>
                              <w:t xml:space="preserve"> </w:t>
                            </w:r>
                            <w:r>
                              <w:rPr>
                                <w:rFonts w:ascii="Arial MT" w:hAnsi="Arial MT"/>
                                <w:color w:val="001F60"/>
                                <w:sz w:val="9"/>
                              </w:rPr>
                              <w:t>Ativos</w:t>
                            </w:r>
                            <w:r>
                              <w:rPr>
                                <w:rFonts w:ascii="Arial MT" w:hAnsi="Arial MT"/>
                                <w:color w:val="001F60"/>
                                <w:spacing w:val="2"/>
                                <w:sz w:val="9"/>
                              </w:rPr>
                              <w:t xml:space="preserve"> </w:t>
                            </w:r>
                            <w:r>
                              <w:rPr>
                                <w:rFonts w:ascii="Arial MT" w:hAnsi="Arial MT"/>
                                <w:color w:val="001F60"/>
                                <w:sz w:val="9"/>
                              </w:rPr>
                              <w:t>Civis</w:t>
                            </w:r>
                            <w:r>
                              <w:rPr>
                                <w:rFonts w:ascii="Arial MT" w:hAnsi="Arial MT"/>
                                <w:color w:val="001F60"/>
                                <w:spacing w:val="1"/>
                                <w:sz w:val="9"/>
                              </w:rPr>
                              <w:t xml:space="preserve"> </w:t>
                            </w:r>
                            <w:r>
                              <w:rPr>
                                <w:rFonts w:ascii="Arial MT" w:hAnsi="Arial MT"/>
                                <w:color w:val="001F60"/>
                                <w:sz w:val="9"/>
                              </w:rPr>
                              <w:t>da</w:t>
                            </w:r>
                            <w:r>
                              <w:rPr>
                                <w:rFonts w:ascii="Arial MT" w:hAnsi="Arial MT"/>
                                <w:color w:val="001F60"/>
                                <w:spacing w:val="2"/>
                                <w:sz w:val="9"/>
                              </w:rPr>
                              <w:t xml:space="preserve"> </w:t>
                            </w:r>
                            <w:r>
                              <w:rPr>
                                <w:rFonts w:ascii="Arial MT" w:hAnsi="Arial MT"/>
                                <w:color w:val="001F60"/>
                                <w:spacing w:val="-2"/>
                                <w:sz w:val="9"/>
                              </w:rPr>
                              <w:t>União</w:t>
                            </w:r>
                          </w:p>
                        </w:tc>
                        <w:tc>
                          <w:tcPr>
                            <w:tcW w:w="2366" w:type="dxa"/>
                          </w:tcPr>
                          <w:p w14:paraId="0DE585EF" w14:textId="77777777" w:rsidR="002C6574" w:rsidRDefault="00000000">
                            <w:pPr>
                              <w:pStyle w:val="TableParagraph"/>
                              <w:spacing w:before="19" w:line="110" w:lineRule="auto"/>
                              <w:ind w:left="105"/>
                              <w:jc w:val="left"/>
                              <w:rPr>
                                <w:rFonts w:ascii="Arial MT" w:hAnsi="Arial MT"/>
                                <w:sz w:val="9"/>
                              </w:rPr>
                            </w:pPr>
                            <w:r>
                              <w:rPr>
                                <w:rFonts w:ascii="Arial MT" w:hAnsi="Arial MT"/>
                                <w:color w:val="001F60"/>
                                <w:position w:val="-5"/>
                                <w:sz w:val="9"/>
                              </w:rPr>
                              <w:t>1120</w:t>
                            </w:r>
                            <w:r>
                              <w:rPr>
                                <w:rFonts w:ascii="Arial MT" w:hAnsi="Arial MT"/>
                                <w:color w:val="001F60"/>
                                <w:spacing w:val="66"/>
                                <w:position w:val="-5"/>
                                <w:sz w:val="9"/>
                              </w:rPr>
                              <w:t xml:space="preserve"> </w:t>
                            </w:r>
                            <w:r>
                              <w:rPr>
                                <w:rFonts w:ascii="Arial MT" w:hAnsi="Arial MT"/>
                                <w:color w:val="001F60"/>
                                <w:sz w:val="9"/>
                              </w:rPr>
                              <w:t>Recursos</w:t>
                            </w:r>
                            <w:r>
                              <w:rPr>
                                <w:rFonts w:ascii="Arial MT" w:hAnsi="Arial MT"/>
                                <w:color w:val="001F60"/>
                                <w:spacing w:val="1"/>
                                <w:sz w:val="9"/>
                              </w:rPr>
                              <w:t xml:space="preserve"> </w:t>
                            </w:r>
                            <w:r>
                              <w:rPr>
                                <w:rFonts w:ascii="Arial MT" w:hAnsi="Arial MT"/>
                                <w:color w:val="001F60"/>
                                <w:sz w:val="9"/>
                              </w:rPr>
                              <w:t>do</w:t>
                            </w:r>
                            <w:r>
                              <w:rPr>
                                <w:rFonts w:ascii="Arial MT" w:hAnsi="Arial MT"/>
                                <w:color w:val="001F60"/>
                                <w:spacing w:val="5"/>
                                <w:sz w:val="9"/>
                              </w:rPr>
                              <w:t xml:space="preserve"> </w:t>
                            </w:r>
                            <w:r>
                              <w:rPr>
                                <w:rFonts w:ascii="Arial MT" w:hAnsi="Arial MT"/>
                                <w:color w:val="001F60"/>
                                <w:sz w:val="9"/>
                              </w:rPr>
                              <w:t>FISTEL</w:t>
                            </w:r>
                            <w:r>
                              <w:rPr>
                                <w:rFonts w:ascii="Arial MT" w:hAnsi="Arial MT"/>
                                <w:color w:val="001F60"/>
                                <w:spacing w:val="1"/>
                                <w:sz w:val="9"/>
                              </w:rPr>
                              <w:t xml:space="preserve"> </w:t>
                            </w:r>
                            <w:r>
                              <w:rPr>
                                <w:rFonts w:ascii="Arial MT" w:hAnsi="Arial MT"/>
                                <w:color w:val="001F60"/>
                                <w:sz w:val="9"/>
                              </w:rPr>
                              <w:t>de</w:t>
                            </w:r>
                            <w:r>
                              <w:rPr>
                                <w:rFonts w:ascii="Arial MT" w:hAnsi="Arial MT"/>
                                <w:color w:val="001F60"/>
                                <w:spacing w:val="3"/>
                                <w:sz w:val="9"/>
                              </w:rPr>
                              <w:t xml:space="preserve"> </w:t>
                            </w:r>
                            <w:r>
                              <w:rPr>
                                <w:rFonts w:ascii="Arial MT" w:hAnsi="Arial MT"/>
                                <w:color w:val="001F60"/>
                                <w:sz w:val="9"/>
                              </w:rPr>
                              <w:t>Livre</w:t>
                            </w:r>
                            <w:r>
                              <w:rPr>
                                <w:rFonts w:ascii="Arial MT" w:hAnsi="Arial MT"/>
                                <w:color w:val="001F60"/>
                                <w:spacing w:val="2"/>
                                <w:sz w:val="9"/>
                              </w:rPr>
                              <w:t xml:space="preserve"> </w:t>
                            </w:r>
                            <w:r>
                              <w:rPr>
                                <w:rFonts w:ascii="Arial MT" w:hAnsi="Arial MT"/>
                                <w:color w:val="001F60"/>
                                <w:sz w:val="9"/>
                              </w:rPr>
                              <w:t>Aplicação</w:t>
                            </w:r>
                            <w:r>
                              <w:rPr>
                                <w:rFonts w:ascii="Arial MT" w:hAnsi="Arial MT"/>
                                <w:color w:val="001F60"/>
                                <w:spacing w:val="1"/>
                                <w:sz w:val="9"/>
                              </w:rPr>
                              <w:t xml:space="preserve"> </w:t>
                            </w:r>
                            <w:r>
                              <w:rPr>
                                <w:rFonts w:ascii="Arial MT" w:hAnsi="Arial MT"/>
                                <w:color w:val="001F60"/>
                                <w:spacing w:val="-5"/>
                                <w:sz w:val="9"/>
                              </w:rPr>
                              <w:t>na</w:t>
                            </w:r>
                          </w:p>
                        </w:tc>
                        <w:tc>
                          <w:tcPr>
                            <w:tcW w:w="663" w:type="dxa"/>
                          </w:tcPr>
                          <w:p w14:paraId="394FE7F5" w14:textId="77777777" w:rsidR="002C6574" w:rsidRDefault="00000000">
                            <w:pPr>
                              <w:pStyle w:val="TableParagraph"/>
                              <w:spacing w:before="64" w:line="64" w:lineRule="exact"/>
                              <w:ind w:right="149"/>
                              <w:rPr>
                                <w:rFonts w:ascii="Arial MT"/>
                                <w:sz w:val="9"/>
                              </w:rPr>
                            </w:pPr>
                            <w:r>
                              <w:rPr>
                                <w:rFonts w:ascii="Arial MT"/>
                                <w:color w:val="001F60"/>
                                <w:spacing w:val="-2"/>
                                <w:sz w:val="9"/>
                              </w:rPr>
                              <w:t>41,45</w:t>
                            </w:r>
                          </w:p>
                        </w:tc>
                        <w:tc>
                          <w:tcPr>
                            <w:tcW w:w="616" w:type="dxa"/>
                          </w:tcPr>
                          <w:p w14:paraId="49827C71" w14:textId="77777777" w:rsidR="002C6574" w:rsidRDefault="00000000">
                            <w:pPr>
                              <w:pStyle w:val="TableParagraph"/>
                              <w:spacing w:before="64" w:line="64" w:lineRule="exact"/>
                              <w:ind w:right="142"/>
                              <w:rPr>
                                <w:rFonts w:ascii="Arial MT"/>
                                <w:sz w:val="9"/>
                              </w:rPr>
                            </w:pPr>
                            <w:r>
                              <w:rPr>
                                <w:rFonts w:ascii="Arial MT"/>
                                <w:color w:val="001F60"/>
                                <w:spacing w:val="-2"/>
                                <w:sz w:val="9"/>
                              </w:rPr>
                              <w:t>41,45</w:t>
                            </w:r>
                          </w:p>
                        </w:tc>
                        <w:tc>
                          <w:tcPr>
                            <w:tcW w:w="612" w:type="dxa"/>
                          </w:tcPr>
                          <w:p w14:paraId="2DECDE1B" w14:textId="77777777" w:rsidR="002C6574" w:rsidRDefault="00000000">
                            <w:pPr>
                              <w:pStyle w:val="TableParagraph"/>
                              <w:spacing w:before="64" w:line="64" w:lineRule="exact"/>
                              <w:ind w:right="131"/>
                              <w:rPr>
                                <w:rFonts w:ascii="Arial MT"/>
                                <w:sz w:val="9"/>
                              </w:rPr>
                            </w:pPr>
                            <w:r>
                              <w:rPr>
                                <w:rFonts w:ascii="Arial MT"/>
                                <w:color w:val="001F60"/>
                                <w:spacing w:val="-2"/>
                                <w:sz w:val="9"/>
                              </w:rPr>
                              <w:t>41,45</w:t>
                            </w:r>
                          </w:p>
                        </w:tc>
                        <w:tc>
                          <w:tcPr>
                            <w:tcW w:w="494" w:type="dxa"/>
                          </w:tcPr>
                          <w:p w14:paraId="73119097" w14:textId="77777777" w:rsidR="002C6574" w:rsidRDefault="00000000">
                            <w:pPr>
                              <w:pStyle w:val="TableParagraph"/>
                              <w:spacing w:before="64" w:line="64" w:lineRule="exact"/>
                              <w:ind w:right="58"/>
                              <w:rPr>
                                <w:rFonts w:ascii="Arial MT"/>
                                <w:sz w:val="9"/>
                              </w:rPr>
                            </w:pPr>
                            <w:r>
                              <w:rPr>
                                <w:rFonts w:ascii="Arial MT"/>
                                <w:color w:val="001F60"/>
                                <w:spacing w:val="-2"/>
                                <w:sz w:val="9"/>
                              </w:rPr>
                              <w:t>41,45</w:t>
                            </w:r>
                          </w:p>
                        </w:tc>
                        <w:tc>
                          <w:tcPr>
                            <w:tcW w:w="563" w:type="dxa"/>
                          </w:tcPr>
                          <w:p w14:paraId="03E4E872" w14:textId="77777777" w:rsidR="002C6574" w:rsidRDefault="00000000">
                            <w:pPr>
                              <w:pStyle w:val="TableParagraph"/>
                              <w:spacing w:before="64" w:line="64" w:lineRule="exact"/>
                              <w:ind w:left="10" w:right="27"/>
                              <w:jc w:val="center"/>
                              <w:rPr>
                                <w:rFonts w:ascii="Arial MT"/>
                                <w:sz w:val="9"/>
                              </w:rPr>
                            </w:pPr>
                            <w:r>
                              <w:rPr>
                                <w:rFonts w:ascii="Arial MT"/>
                                <w:color w:val="001F60"/>
                                <w:spacing w:val="-4"/>
                                <w:sz w:val="9"/>
                              </w:rPr>
                              <w:t>100%</w:t>
                            </w:r>
                          </w:p>
                        </w:tc>
                        <w:tc>
                          <w:tcPr>
                            <w:tcW w:w="553" w:type="dxa"/>
                          </w:tcPr>
                          <w:p w14:paraId="7FB60CFD" w14:textId="77777777" w:rsidR="002C6574" w:rsidRDefault="00000000">
                            <w:pPr>
                              <w:pStyle w:val="TableParagraph"/>
                              <w:spacing w:before="64" w:line="64" w:lineRule="exact"/>
                              <w:ind w:left="9" w:right="9"/>
                              <w:jc w:val="center"/>
                              <w:rPr>
                                <w:rFonts w:ascii="Arial MT"/>
                                <w:sz w:val="9"/>
                              </w:rPr>
                            </w:pPr>
                            <w:r>
                              <w:rPr>
                                <w:rFonts w:ascii="Arial MT"/>
                                <w:color w:val="001F60"/>
                                <w:spacing w:val="-4"/>
                                <w:sz w:val="9"/>
                              </w:rPr>
                              <w:t>100%</w:t>
                            </w:r>
                          </w:p>
                        </w:tc>
                      </w:tr>
                      <w:tr w:rsidR="002C6574" w14:paraId="477F4251" w14:textId="77777777">
                        <w:trPr>
                          <w:trHeight w:val="87"/>
                        </w:trPr>
                        <w:tc>
                          <w:tcPr>
                            <w:tcW w:w="3125" w:type="dxa"/>
                            <w:tcBorders>
                              <w:bottom w:val="single" w:sz="2" w:space="0" w:color="000000"/>
                            </w:tcBorders>
                          </w:tcPr>
                          <w:p w14:paraId="2E0EA1BA" w14:textId="77777777" w:rsidR="002C6574" w:rsidRDefault="002C6574">
                            <w:pPr>
                              <w:pStyle w:val="TableParagraph"/>
                              <w:jc w:val="left"/>
                              <w:rPr>
                                <w:rFonts w:ascii="Times New Roman"/>
                                <w:sz w:val="4"/>
                              </w:rPr>
                            </w:pPr>
                          </w:p>
                        </w:tc>
                        <w:tc>
                          <w:tcPr>
                            <w:tcW w:w="2366" w:type="dxa"/>
                            <w:tcBorders>
                              <w:bottom w:val="single" w:sz="2" w:space="0" w:color="000000"/>
                            </w:tcBorders>
                          </w:tcPr>
                          <w:p w14:paraId="025F2541" w14:textId="77777777" w:rsidR="002C6574" w:rsidRDefault="00000000">
                            <w:pPr>
                              <w:pStyle w:val="TableParagraph"/>
                              <w:spacing w:line="67" w:lineRule="exact"/>
                              <w:ind w:left="398"/>
                              <w:jc w:val="left"/>
                              <w:rPr>
                                <w:rFonts w:ascii="Arial MT"/>
                                <w:sz w:val="9"/>
                              </w:rPr>
                            </w:pPr>
                            <w:r>
                              <w:rPr>
                                <w:rFonts w:ascii="Arial MT"/>
                                <w:color w:val="001F60"/>
                                <w:sz w:val="9"/>
                              </w:rPr>
                              <w:t>ANATEL</w:t>
                            </w:r>
                            <w:r>
                              <w:rPr>
                                <w:rFonts w:ascii="Arial MT"/>
                                <w:color w:val="001F60"/>
                                <w:spacing w:val="3"/>
                                <w:sz w:val="9"/>
                              </w:rPr>
                              <w:t xml:space="preserve"> </w:t>
                            </w:r>
                            <w:r>
                              <w:rPr>
                                <w:rFonts w:ascii="Arial MT"/>
                                <w:color w:val="001F60"/>
                                <w:sz w:val="9"/>
                              </w:rPr>
                              <w:t>e</w:t>
                            </w:r>
                            <w:r>
                              <w:rPr>
                                <w:rFonts w:ascii="Arial MT"/>
                                <w:color w:val="001F60"/>
                                <w:spacing w:val="3"/>
                                <w:sz w:val="9"/>
                              </w:rPr>
                              <w:t xml:space="preserve"> </w:t>
                            </w:r>
                            <w:r>
                              <w:rPr>
                                <w:rFonts w:ascii="Arial MT"/>
                                <w:color w:val="001F60"/>
                                <w:sz w:val="9"/>
                              </w:rPr>
                              <w:t>no</w:t>
                            </w:r>
                            <w:r>
                              <w:rPr>
                                <w:rFonts w:ascii="Arial MT"/>
                                <w:color w:val="001F60"/>
                                <w:spacing w:val="3"/>
                                <w:sz w:val="9"/>
                              </w:rPr>
                              <w:t xml:space="preserve"> </w:t>
                            </w:r>
                            <w:r>
                              <w:rPr>
                                <w:rFonts w:ascii="Arial MT"/>
                                <w:color w:val="001F60"/>
                                <w:sz w:val="9"/>
                              </w:rPr>
                              <w:t>Tesouro</w:t>
                            </w:r>
                            <w:r>
                              <w:rPr>
                                <w:rFonts w:ascii="Arial MT"/>
                                <w:color w:val="001F60"/>
                                <w:spacing w:val="3"/>
                                <w:sz w:val="9"/>
                              </w:rPr>
                              <w:t xml:space="preserve"> </w:t>
                            </w:r>
                            <w:r>
                              <w:rPr>
                                <w:rFonts w:ascii="Arial MT"/>
                                <w:color w:val="001F60"/>
                                <w:spacing w:val="-2"/>
                                <w:sz w:val="9"/>
                              </w:rPr>
                              <w:t>Nacional</w:t>
                            </w:r>
                          </w:p>
                        </w:tc>
                        <w:tc>
                          <w:tcPr>
                            <w:tcW w:w="663" w:type="dxa"/>
                            <w:tcBorders>
                              <w:bottom w:val="single" w:sz="2" w:space="0" w:color="000000"/>
                            </w:tcBorders>
                          </w:tcPr>
                          <w:p w14:paraId="1724E96F" w14:textId="77777777" w:rsidR="002C6574" w:rsidRDefault="002C6574">
                            <w:pPr>
                              <w:pStyle w:val="TableParagraph"/>
                              <w:jc w:val="left"/>
                              <w:rPr>
                                <w:rFonts w:ascii="Times New Roman"/>
                                <w:sz w:val="4"/>
                              </w:rPr>
                            </w:pPr>
                          </w:p>
                        </w:tc>
                        <w:tc>
                          <w:tcPr>
                            <w:tcW w:w="616" w:type="dxa"/>
                            <w:tcBorders>
                              <w:bottom w:val="single" w:sz="2" w:space="0" w:color="000000"/>
                            </w:tcBorders>
                          </w:tcPr>
                          <w:p w14:paraId="7E1C115A" w14:textId="77777777" w:rsidR="002C6574" w:rsidRDefault="002C6574">
                            <w:pPr>
                              <w:pStyle w:val="TableParagraph"/>
                              <w:jc w:val="left"/>
                              <w:rPr>
                                <w:rFonts w:ascii="Times New Roman"/>
                                <w:sz w:val="4"/>
                              </w:rPr>
                            </w:pPr>
                          </w:p>
                        </w:tc>
                        <w:tc>
                          <w:tcPr>
                            <w:tcW w:w="612" w:type="dxa"/>
                            <w:tcBorders>
                              <w:bottom w:val="single" w:sz="2" w:space="0" w:color="000000"/>
                            </w:tcBorders>
                          </w:tcPr>
                          <w:p w14:paraId="15D2AC39" w14:textId="77777777" w:rsidR="002C6574" w:rsidRDefault="002C6574">
                            <w:pPr>
                              <w:pStyle w:val="TableParagraph"/>
                              <w:jc w:val="left"/>
                              <w:rPr>
                                <w:rFonts w:ascii="Times New Roman"/>
                                <w:sz w:val="4"/>
                              </w:rPr>
                            </w:pPr>
                          </w:p>
                        </w:tc>
                        <w:tc>
                          <w:tcPr>
                            <w:tcW w:w="494" w:type="dxa"/>
                            <w:tcBorders>
                              <w:bottom w:val="single" w:sz="2" w:space="0" w:color="000000"/>
                            </w:tcBorders>
                          </w:tcPr>
                          <w:p w14:paraId="4E25CA5E" w14:textId="77777777" w:rsidR="002C6574" w:rsidRDefault="002C6574">
                            <w:pPr>
                              <w:pStyle w:val="TableParagraph"/>
                              <w:jc w:val="left"/>
                              <w:rPr>
                                <w:rFonts w:ascii="Times New Roman"/>
                                <w:sz w:val="4"/>
                              </w:rPr>
                            </w:pPr>
                          </w:p>
                        </w:tc>
                        <w:tc>
                          <w:tcPr>
                            <w:tcW w:w="563" w:type="dxa"/>
                            <w:tcBorders>
                              <w:bottom w:val="single" w:sz="2" w:space="0" w:color="000000"/>
                            </w:tcBorders>
                          </w:tcPr>
                          <w:p w14:paraId="1AD152D0" w14:textId="77777777" w:rsidR="002C6574" w:rsidRDefault="002C6574">
                            <w:pPr>
                              <w:pStyle w:val="TableParagraph"/>
                              <w:jc w:val="left"/>
                              <w:rPr>
                                <w:rFonts w:ascii="Times New Roman"/>
                                <w:sz w:val="4"/>
                              </w:rPr>
                            </w:pPr>
                          </w:p>
                        </w:tc>
                        <w:tc>
                          <w:tcPr>
                            <w:tcW w:w="553" w:type="dxa"/>
                            <w:tcBorders>
                              <w:bottom w:val="single" w:sz="2" w:space="0" w:color="000000"/>
                            </w:tcBorders>
                          </w:tcPr>
                          <w:p w14:paraId="6B62C728" w14:textId="77777777" w:rsidR="002C6574" w:rsidRDefault="002C6574">
                            <w:pPr>
                              <w:pStyle w:val="TableParagraph"/>
                              <w:jc w:val="left"/>
                              <w:rPr>
                                <w:rFonts w:ascii="Times New Roman"/>
                                <w:sz w:val="4"/>
                              </w:rPr>
                            </w:pPr>
                          </w:p>
                        </w:tc>
                      </w:tr>
                      <w:tr w:rsidR="002C6574" w14:paraId="47DD1783" w14:textId="77777777">
                        <w:trPr>
                          <w:trHeight w:val="350"/>
                        </w:trPr>
                        <w:tc>
                          <w:tcPr>
                            <w:tcW w:w="3125" w:type="dxa"/>
                            <w:tcBorders>
                              <w:bottom w:val="single" w:sz="2" w:space="0" w:color="000000"/>
                            </w:tcBorders>
                          </w:tcPr>
                          <w:p w14:paraId="781FEFC5" w14:textId="77777777" w:rsidR="002C6574" w:rsidRDefault="00000000">
                            <w:pPr>
                              <w:pStyle w:val="TableParagraph"/>
                              <w:spacing w:before="1" w:line="273" w:lineRule="auto"/>
                              <w:ind w:left="1039" w:right="68" w:firstLine="266"/>
                              <w:jc w:val="left"/>
                              <w:rPr>
                                <w:rFonts w:ascii="Arial MT" w:hAnsi="Arial MT"/>
                                <w:sz w:val="9"/>
                              </w:rPr>
                            </w:pPr>
                            <w:r>
                              <w:rPr>
                                <w:rFonts w:ascii="Arial MT" w:hAnsi="Arial MT"/>
                                <w:color w:val="001F60"/>
                                <w:sz w:val="9"/>
                              </w:rPr>
                              <w:t>Assistência Médica e Odontológica aos</w:t>
                            </w:r>
                            <w:r>
                              <w:rPr>
                                <w:rFonts w:ascii="Arial MT" w:hAnsi="Arial MT"/>
                                <w:color w:val="001F60"/>
                                <w:spacing w:val="40"/>
                                <w:sz w:val="9"/>
                              </w:rPr>
                              <w:t xml:space="preserve"> </w:t>
                            </w:r>
                            <w:r>
                              <w:rPr>
                                <w:rFonts w:ascii="Arial MT" w:hAnsi="Arial MT"/>
                                <w:color w:val="001F60"/>
                                <w:sz w:val="9"/>
                              </w:rPr>
                              <w:t>2004</w:t>
                            </w:r>
                            <w:r>
                              <w:rPr>
                                <w:rFonts w:ascii="Arial MT" w:hAnsi="Arial MT"/>
                                <w:color w:val="001F60"/>
                                <w:spacing w:val="40"/>
                                <w:sz w:val="9"/>
                              </w:rPr>
                              <w:t xml:space="preserve"> </w:t>
                            </w:r>
                            <w:r>
                              <w:rPr>
                                <w:rFonts w:ascii="Arial MT" w:hAnsi="Arial MT"/>
                                <w:color w:val="001F60"/>
                                <w:sz w:val="9"/>
                              </w:rPr>
                              <w:t>Servidores Civis, Empregados, Militares e</w:t>
                            </w:r>
                          </w:p>
                          <w:p w14:paraId="7C3E4A4E" w14:textId="77777777" w:rsidR="002C6574" w:rsidRDefault="00000000">
                            <w:pPr>
                              <w:pStyle w:val="TableParagraph"/>
                              <w:spacing w:before="2" w:line="89" w:lineRule="exact"/>
                              <w:ind w:left="1305"/>
                              <w:jc w:val="left"/>
                              <w:rPr>
                                <w:rFonts w:ascii="Arial MT"/>
                                <w:sz w:val="9"/>
                              </w:rPr>
                            </w:pPr>
                            <w:r>
                              <w:rPr>
                                <w:rFonts w:ascii="Arial MT"/>
                                <w:color w:val="001F60"/>
                                <w:sz w:val="9"/>
                              </w:rPr>
                              <w:t>Seus</w:t>
                            </w:r>
                            <w:r>
                              <w:rPr>
                                <w:rFonts w:ascii="Arial MT"/>
                                <w:color w:val="001F60"/>
                                <w:spacing w:val="4"/>
                                <w:sz w:val="9"/>
                              </w:rPr>
                              <w:t xml:space="preserve"> </w:t>
                            </w:r>
                            <w:r>
                              <w:rPr>
                                <w:rFonts w:ascii="Arial MT"/>
                                <w:color w:val="001F60"/>
                                <w:spacing w:val="-2"/>
                                <w:sz w:val="9"/>
                              </w:rPr>
                              <w:t>Dependentes</w:t>
                            </w:r>
                          </w:p>
                        </w:tc>
                        <w:tc>
                          <w:tcPr>
                            <w:tcW w:w="2366" w:type="dxa"/>
                            <w:tcBorders>
                              <w:bottom w:val="single" w:sz="2" w:space="0" w:color="000000"/>
                            </w:tcBorders>
                          </w:tcPr>
                          <w:p w14:paraId="7CB58858" w14:textId="77777777" w:rsidR="002C6574" w:rsidRDefault="002C6574">
                            <w:pPr>
                              <w:pStyle w:val="TableParagraph"/>
                              <w:spacing w:before="9"/>
                              <w:jc w:val="left"/>
                              <w:rPr>
                                <w:rFonts w:ascii="Calibri"/>
                                <w:sz w:val="9"/>
                              </w:rPr>
                            </w:pPr>
                          </w:p>
                          <w:p w14:paraId="5B3C9B77" w14:textId="77777777" w:rsidR="002C6574" w:rsidRDefault="00000000">
                            <w:pPr>
                              <w:pStyle w:val="TableParagraph"/>
                              <w:ind w:left="105"/>
                              <w:jc w:val="left"/>
                              <w:rPr>
                                <w:rFonts w:ascii="Arial MT" w:hAnsi="Arial MT"/>
                                <w:sz w:val="9"/>
                              </w:rPr>
                            </w:pPr>
                            <w:r>
                              <w:rPr>
                                <w:rFonts w:ascii="Arial MT" w:hAnsi="Arial MT"/>
                                <w:color w:val="001F60"/>
                                <w:sz w:val="9"/>
                              </w:rPr>
                              <w:t>1000</w:t>
                            </w:r>
                            <w:r>
                              <w:rPr>
                                <w:rFonts w:ascii="Arial MT" w:hAnsi="Arial MT"/>
                                <w:color w:val="001F60"/>
                                <w:spacing w:val="67"/>
                                <w:sz w:val="9"/>
                              </w:rPr>
                              <w:t xml:space="preserve"> </w:t>
                            </w: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Livres</w:t>
                            </w:r>
                            <w:r>
                              <w:rPr>
                                <w:rFonts w:ascii="Arial MT" w:hAnsi="Arial MT"/>
                                <w:color w:val="001F60"/>
                                <w:spacing w:val="1"/>
                                <w:sz w:val="9"/>
                              </w:rPr>
                              <w:t xml:space="preserve"> </w:t>
                            </w:r>
                            <w:r>
                              <w:rPr>
                                <w:rFonts w:ascii="Arial MT" w:hAnsi="Arial MT"/>
                                <w:color w:val="001F60"/>
                                <w:sz w:val="9"/>
                              </w:rPr>
                              <w:t>da</w:t>
                            </w:r>
                            <w:r>
                              <w:rPr>
                                <w:rFonts w:ascii="Arial MT" w:hAnsi="Arial MT"/>
                                <w:color w:val="001F60"/>
                                <w:spacing w:val="2"/>
                                <w:sz w:val="9"/>
                              </w:rPr>
                              <w:t xml:space="preserve"> </w:t>
                            </w:r>
                            <w:r>
                              <w:rPr>
                                <w:rFonts w:ascii="Arial MT" w:hAnsi="Arial MT"/>
                                <w:color w:val="001F60"/>
                                <w:spacing w:val="-2"/>
                                <w:sz w:val="9"/>
                              </w:rPr>
                              <w:t>União</w:t>
                            </w:r>
                          </w:p>
                        </w:tc>
                        <w:tc>
                          <w:tcPr>
                            <w:tcW w:w="663" w:type="dxa"/>
                            <w:tcBorders>
                              <w:bottom w:val="single" w:sz="2" w:space="0" w:color="000000"/>
                            </w:tcBorders>
                          </w:tcPr>
                          <w:p w14:paraId="3F251C0B" w14:textId="77777777" w:rsidR="002C6574" w:rsidRDefault="002C6574">
                            <w:pPr>
                              <w:pStyle w:val="TableParagraph"/>
                              <w:spacing w:before="9"/>
                              <w:jc w:val="left"/>
                              <w:rPr>
                                <w:rFonts w:ascii="Calibri"/>
                                <w:sz w:val="9"/>
                              </w:rPr>
                            </w:pPr>
                          </w:p>
                          <w:p w14:paraId="0DB1967C" w14:textId="77777777" w:rsidR="002C6574" w:rsidRDefault="00000000">
                            <w:pPr>
                              <w:pStyle w:val="TableParagraph"/>
                              <w:ind w:right="148"/>
                              <w:rPr>
                                <w:rFonts w:ascii="Arial MT"/>
                                <w:sz w:val="9"/>
                              </w:rPr>
                            </w:pPr>
                            <w:r>
                              <w:rPr>
                                <w:rFonts w:ascii="Arial MT"/>
                                <w:color w:val="001F60"/>
                                <w:spacing w:val="-4"/>
                                <w:sz w:val="9"/>
                              </w:rPr>
                              <w:t>3,98</w:t>
                            </w:r>
                          </w:p>
                        </w:tc>
                        <w:tc>
                          <w:tcPr>
                            <w:tcW w:w="616" w:type="dxa"/>
                            <w:tcBorders>
                              <w:bottom w:val="single" w:sz="2" w:space="0" w:color="000000"/>
                            </w:tcBorders>
                          </w:tcPr>
                          <w:p w14:paraId="70E6C745" w14:textId="77777777" w:rsidR="002C6574" w:rsidRDefault="002C6574">
                            <w:pPr>
                              <w:pStyle w:val="TableParagraph"/>
                              <w:spacing w:before="9"/>
                              <w:jc w:val="left"/>
                              <w:rPr>
                                <w:rFonts w:ascii="Calibri"/>
                                <w:sz w:val="9"/>
                              </w:rPr>
                            </w:pPr>
                          </w:p>
                          <w:p w14:paraId="6077930E" w14:textId="77777777" w:rsidR="002C6574" w:rsidRDefault="00000000">
                            <w:pPr>
                              <w:pStyle w:val="TableParagraph"/>
                              <w:ind w:right="142"/>
                              <w:rPr>
                                <w:rFonts w:ascii="Arial MT"/>
                                <w:sz w:val="9"/>
                              </w:rPr>
                            </w:pPr>
                            <w:r>
                              <w:rPr>
                                <w:rFonts w:ascii="Arial MT"/>
                                <w:color w:val="001F60"/>
                                <w:spacing w:val="-4"/>
                                <w:sz w:val="9"/>
                              </w:rPr>
                              <w:t>3,98</w:t>
                            </w:r>
                          </w:p>
                        </w:tc>
                        <w:tc>
                          <w:tcPr>
                            <w:tcW w:w="612" w:type="dxa"/>
                            <w:tcBorders>
                              <w:bottom w:val="single" w:sz="2" w:space="0" w:color="000000"/>
                            </w:tcBorders>
                          </w:tcPr>
                          <w:p w14:paraId="66517CFD" w14:textId="77777777" w:rsidR="002C6574" w:rsidRDefault="002C6574">
                            <w:pPr>
                              <w:pStyle w:val="TableParagraph"/>
                              <w:spacing w:before="9"/>
                              <w:jc w:val="left"/>
                              <w:rPr>
                                <w:rFonts w:ascii="Calibri"/>
                                <w:sz w:val="9"/>
                              </w:rPr>
                            </w:pPr>
                          </w:p>
                          <w:p w14:paraId="5F34EE3E" w14:textId="77777777" w:rsidR="002C6574" w:rsidRDefault="00000000">
                            <w:pPr>
                              <w:pStyle w:val="TableParagraph"/>
                              <w:ind w:right="131"/>
                              <w:rPr>
                                <w:rFonts w:ascii="Arial MT"/>
                                <w:sz w:val="9"/>
                              </w:rPr>
                            </w:pPr>
                            <w:r>
                              <w:rPr>
                                <w:rFonts w:ascii="Arial MT"/>
                                <w:color w:val="001F60"/>
                                <w:spacing w:val="-4"/>
                                <w:sz w:val="9"/>
                              </w:rPr>
                              <w:t>3,98</w:t>
                            </w:r>
                          </w:p>
                        </w:tc>
                        <w:tc>
                          <w:tcPr>
                            <w:tcW w:w="494" w:type="dxa"/>
                            <w:tcBorders>
                              <w:bottom w:val="single" w:sz="2" w:space="0" w:color="000000"/>
                            </w:tcBorders>
                          </w:tcPr>
                          <w:p w14:paraId="0CA4B5CA" w14:textId="77777777" w:rsidR="002C6574" w:rsidRDefault="002C6574">
                            <w:pPr>
                              <w:pStyle w:val="TableParagraph"/>
                              <w:spacing w:before="9"/>
                              <w:jc w:val="left"/>
                              <w:rPr>
                                <w:rFonts w:ascii="Calibri"/>
                                <w:sz w:val="9"/>
                              </w:rPr>
                            </w:pPr>
                          </w:p>
                          <w:p w14:paraId="25DEC420" w14:textId="77777777" w:rsidR="002C6574" w:rsidRDefault="00000000">
                            <w:pPr>
                              <w:pStyle w:val="TableParagraph"/>
                              <w:ind w:right="58"/>
                              <w:rPr>
                                <w:rFonts w:ascii="Arial MT"/>
                                <w:sz w:val="9"/>
                              </w:rPr>
                            </w:pPr>
                            <w:r>
                              <w:rPr>
                                <w:rFonts w:ascii="Arial MT"/>
                                <w:color w:val="001F60"/>
                                <w:spacing w:val="-4"/>
                                <w:sz w:val="9"/>
                              </w:rPr>
                              <w:t>3,98</w:t>
                            </w:r>
                          </w:p>
                        </w:tc>
                        <w:tc>
                          <w:tcPr>
                            <w:tcW w:w="563" w:type="dxa"/>
                            <w:tcBorders>
                              <w:bottom w:val="single" w:sz="2" w:space="0" w:color="000000"/>
                            </w:tcBorders>
                          </w:tcPr>
                          <w:p w14:paraId="6E16CCE0" w14:textId="77777777" w:rsidR="002C6574" w:rsidRDefault="002C6574">
                            <w:pPr>
                              <w:pStyle w:val="TableParagraph"/>
                              <w:spacing w:before="9"/>
                              <w:jc w:val="left"/>
                              <w:rPr>
                                <w:rFonts w:ascii="Calibri"/>
                                <w:sz w:val="9"/>
                              </w:rPr>
                            </w:pPr>
                          </w:p>
                          <w:p w14:paraId="7BBE91A0" w14:textId="77777777" w:rsidR="002C6574" w:rsidRDefault="00000000">
                            <w:pPr>
                              <w:pStyle w:val="TableParagraph"/>
                              <w:ind w:left="10" w:right="27"/>
                              <w:jc w:val="center"/>
                              <w:rPr>
                                <w:rFonts w:ascii="Arial MT"/>
                                <w:sz w:val="9"/>
                              </w:rPr>
                            </w:pPr>
                            <w:r>
                              <w:rPr>
                                <w:rFonts w:ascii="Arial MT"/>
                                <w:color w:val="001F60"/>
                                <w:spacing w:val="-4"/>
                                <w:sz w:val="9"/>
                              </w:rPr>
                              <w:t>100%</w:t>
                            </w:r>
                          </w:p>
                        </w:tc>
                        <w:tc>
                          <w:tcPr>
                            <w:tcW w:w="553" w:type="dxa"/>
                            <w:tcBorders>
                              <w:bottom w:val="single" w:sz="2" w:space="0" w:color="000000"/>
                            </w:tcBorders>
                          </w:tcPr>
                          <w:p w14:paraId="58E5A8D3" w14:textId="77777777" w:rsidR="002C6574" w:rsidRDefault="002C6574">
                            <w:pPr>
                              <w:pStyle w:val="TableParagraph"/>
                              <w:spacing w:before="9"/>
                              <w:jc w:val="left"/>
                              <w:rPr>
                                <w:rFonts w:ascii="Calibri"/>
                                <w:sz w:val="9"/>
                              </w:rPr>
                            </w:pPr>
                          </w:p>
                          <w:p w14:paraId="7D8A90AC" w14:textId="77777777" w:rsidR="002C6574" w:rsidRDefault="00000000">
                            <w:pPr>
                              <w:pStyle w:val="TableParagraph"/>
                              <w:ind w:left="9" w:right="9"/>
                              <w:jc w:val="center"/>
                              <w:rPr>
                                <w:rFonts w:ascii="Arial MT"/>
                                <w:sz w:val="9"/>
                              </w:rPr>
                            </w:pPr>
                            <w:r>
                              <w:rPr>
                                <w:rFonts w:ascii="Arial MT"/>
                                <w:color w:val="001F60"/>
                                <w:spacing w:val="-4"/>
                                <w:sz w:val="9"/>
                              </w:rPr>
                              <w:t>100%</w:t>
                            </w:r>
                          </w:p>
                        </w:tc>
                      </w:tr>
                      <w:tr w:rsidR="002C6574" w14:paraId="12518A0B" w14:textId="77777777">
                        <w:trPr>
                          <w:trHeight w:val="345"/>
                        </w:trPr>
                        <w:tc>
                          <w:tcPr>
                            <w:tcW w:w="5491" w:type="dxa"/>
                            <w:gridSpan w:val="2"/>
                            <w:tcBorders>
                              <w:bottom w:val="single" w:sz="4" w:space="0" w:color="001F60"/>
                            </w:tcBorders>
                          </w:tcPr>
                          <w:p w14:paraId="07DBCE57" w14:textId="77777777" w:rsidR="002C6574" w:rsidRDefault="00000000">
                            <w:pPr>
                              <w:pStyle w:val="TableParagraph"/>
                              <w:spacing w:before="59"/>
                              <w:ind w:left="1034"/>
                              <w:jc w:val="left"/>
                              <w:rPr>
                                <w:rFonts w:ascii="Arial MT" w:hAnsi="Arial MT"/>
                                <w:position w:val="-5"/>
                                <w:sz w:val="9"/>
                              </w:rPr>
                            </w:pPr>
                            <w:r>
                              <w:rPr>
                                <w:rFonts w:ascii="Arial MT" w:hAnsi="Arial MT"/>
                                <w:color w:val="001F60"/>
                                <w:position w:val="-5"/>
                                <w:sz w:val="9"/>
                              </w:rPr>
                              <w:t>212B</w:t>
                            </w:r>
                            <w:r>
                              <w:rPr>
                                <w:rFonts w:ascii="Arial MT" w:hAnsi="Arial MT"/>
                                <w:color w:val="001F60"/>
                                <w:spacing w:val="34"/>
                                <w:position w:val="-5"/>
                                <w:sz w:val="9"/>
                              </w:rPr>
                              <w:t xml:space="preserve"> </w:t>
                            </w:r>
                            <w:r>
                              <w:rPr>
                                <w:rFonts w:ascii="Arial MT" w:hAnsi="Arial MT"/>
                                <w:color w:val="001F60"/>
                                <w:sz w:val="9"/>
                              </w:rPr>
                              <w:t>Benefícios</w:t>
                            </w:r>
                            <w:r>
                              <w:rPr>
                                <w:rFonts w:ascii="Arial MT" w:hAnsi="Arial MT"/>
                                <w:color w:val="001F60"/>
                                <w:spacing w:val="2"/>
                                <w:sz w:val="9"/>
                              </w:rPr>
                              <w:t xml:space="preserve"> </w:t>
                            </w:r>
                            <w:r>
                              <w:rPr>
                                <w:rFonts w:ascii="Arial MT" w:hAnsi="Arial MT"/>
                                <w:color w:val="001F60"/>
                                <w:sz w:val="9"/>
                              </w:rPr>
                              <w:t>Obrigatórios</w:t>
                            </w:r>
                            <w:r>
                              <w:rPr>
                                <w:rFonts w:ascii="Arial MT" w:hAnsi="Arial MT"/>
                                <w:color w:val="001F60"/>
                                <w:spacing w:val="2"/>
                                <w:sz w:val="9"/>
                              </w:rPr>
                              <w:t xml:space="preserve"> </w:t>
                            </w:r>
                            <w:r>
                              <w:rPr>
                                <w:rFonts w:ascii="Arial MT" w:hAnsi="Arial MT"/>
                                <w:color w:val="001F60"/>
                                <w:sz w:val="9"/>
                              </w:rPr>
                              <w:t>aos</w:t>
                            </w:r>
                            <w:r>
                              <w:rPr>
                                <w:rFonts w:ascii="Arial MT" w:hAnsi="Arial MT"/>
                                <w:color w:val="001F60"/>
                                <w:spacing w:val="2"/>
                                <w:sz w:val="9"/>
                              </w:rPr>
                              <w:t xml:space="preserve"> </w:t>
                            </w:r>
                            <w:r>
                              <w:rPr>
                                <w:rFonts w:ascii="Arial MT" w:hAnsi="Arial MT"/>
                                <w:color w:val="001F60"/>
                                <w:sz w:val="9"/>
                              </w:rPr>
                              <w:t>Servidores</w:t>
                            </w:r>
                            <w:r>
                              <w:rPr>
                                <w:rFonts w:ascii="Arial MT" w:hAnsi="Arial MT"/>
                                <w:color w:val="001F60"/>
                                <w:spacing w:val="2"/>
                                <w:sz w:val="9"/>
                              </w:rPr>
                              <w:t xml:space="preserve"> </w:t>
                            </w:r>
                            <w:r>
                              <w:rPr>
                                <w:rFonts w:ascii="Arial MT" w:hAnsi="Arial MT"/>
                                <w:color w:val="001F60"/>
                                <w:sz w:val="9"/>
                              </w:rPr>
                              <w:t>Civis,</w:t>
                            </w:r>
                            <w:r>
                              <w:rPr>
                                <w:rFonts w:ascii="Arial MT" w:hAnsi="Arial MT"/>
                                <w:color w:val="001F60"/>
                                <w:spacing w:val="45"/>
                                <w:sz w:val="9"/>
                              </w:rPr>
                              <w:t xml:space="preserve"> </w:t>
                            </w:r>
                            <w:r>
                              <w:rPr>
                                <w:rFonts w:ascii="Arial MT" w:hAnsi="Arial MT"/>
                                <w:color w:val="001F60"/>
                                <w:position w:val="-5"/>
                                <w:sz w:val="9"/>
                              </w:rPr>
                              <w:t>1000</w:t>
                            </w:r>
                            <w:r>
                              <w:rPr>
                                <w:rFonts w:ascii="Arial MT" w:hAnsi="Arial MT"/>
                                <w:color w:val="001F60"/>
                                <w:spacing w:val="69"/>
                                <w:position w:val="-5"/>
                                <w:sz w:val="9"/>
                              </w:rPr>
                              <w:t xml:space="preserve"> </w:t>
                            </w:r>
                            <w:r>
                              <w:rPr>
                                <w:rFonts w:ascii="Arial MT" w:hAnsi="Arial MT"/>
                                <w:color w:val="001F60"/>
                                <w:position w:val="-5"/>
                                <w:sz w:val="9"/>
                              </w:rPr>
                              <w:t>Recursos</w:t>
                            </w:r>
                            <w:r>
                              <w:rPr>
                                <w:rFonts w:ascii="Arial MT" w:hAnsi="Arial MT"/>
                                <w:color w:val="001F60"/>
                                <w:spacing w:val="2"/>
                                <w:position w:val="-5"/>
                                <w:sz w:val="9"/>
                              </w:rPr>
                              <w:t xml:space="preserve"> </w:t>
                            </w:r>
                            <w:r>
                              <w:rPr>
                                <w:rFonts w:ascii="Arial MT" w:hAnsi="Arial MT"/>
                                <w:color w:val="001F60"/>
                                <w:position w:val="-5"/>
                                <w:sz w:val="9"/>
                              </w:rPr>
                              <w:t>Livres</w:t>
                            </w:r>
                            <w:r>
                              <w:rPr>
                                <w:rFonts w:ascii="Arial MT" w:hAnsi="Arial MT"/>
                                <w:color w:val="001F60"/>
                                <w:spacing w:val="2"/>
                                <w:position w:val="-5"/>
                                <w:sz w:val="9"/>
                              </w:rPr>
                              <w:t xml:space="preserve"> </w:t>
                            </w:r>
                            <w:r>
                              <w:rPr>
                                <w:rFonts w:ascii="Arial MT" w:hAnsi="Arial MT"/>
                                <w:color w:val="001F60"/>
                                <w:position w:val="-5"/>
                                <w:sz w:val="9"/>
                              </w:rPr>
                              <w:t>da</w:t>
                            </w:r>
                            <w:r>
                              <w:rPr>
                                <w:rFonts w:ascii="Arial MT" w:hAnsi="Arial MT"/>
                                <w:color w:val="001F60"/>
                                <w:spacing w:val="2"/>
                                <w:position w:val="-5"/>
                                <w:sz w:val="9"/>
                              </w:rPr>
                              <w:t xml:space="preserve"> </w:t>
                            </w:r>
                            <w:r>
                              <w:rPr>
                                <w:rFonts w:ascii="Arial MT" w:hAnsi="Arial MT"/>
                                <w:color w:val="001F60"/>
                                <w:spacing w:val="-4"/>
                                <w:position w:val="-5"/>
                                <w:sz w:val="9"/>
                              </w:rPr>
                              <w:t>União</w:t>
                            </w:r>
                          </w:p>
                        </w:tc>
                        <w:tc>
                          <w:tcPr>
                            <w:tcW w:w="663" w:type="dxa"/>
                            <w:tcBorders>
                              <w:bottom w:val="single" w:sz="4" w:space="0" w:color="001F60"/>
                            </w:tcBorders>
                          </w:tcPr>
                          <w:p w14:paraId="1687999A" w14:textId="77777777" w:rsidR="002C6574" w:rsidRDefault="002C6574">
                            <w:pPr>
                              <w:pStyle w:val="TableParagraph"/>
                              <w:spacing w:before="9"/>
                              <w:jc w:val="left"/>
                              <w:rPr>
                                <w:rFonts w:ascii="Calibri"/>
                                <w:sz w:val="9"/>
                              </w:rPr>
                            </w:pPr>
                          </w:p>
                          <w:p w14:paraId="6B1C730C" w14:textId="77777777" w:rsidR="002C6574" w:rsidRDefault="00000000">
                            <w:pPr>
                              <w:pStyle w:val="TableParagraph"/>
                              <w:ind w:right="148"/>
                              <w:rPr>
                                <w:rFonts w:ascii="Arial MT"/>
                                <w:sz w:val="9"/>
                              </w:rPr>
                            </w:pPr>
                            <w:r>
                              <w:rPr>
                                <w:rFonts w:ascii="Arial MT"/>
                                <w:color w:val="001F60"/>
                                <w:spacing w:val="-4"/>
                                <w:sz w:val="9"/>
                              </w:rPr>
                              <w:t>4,51</w:t>
                            </w:r>
                          </w:p>
                        </w:tc>
                        <w:tc>
                          <w:tcPr>
                            <w:tcW w:w="616" w:type="dxa"/>
                            <w:tcBorders>
                              <w:bottom w:val="single" w:sz="4" w:space="0" w:color="001F60"/>
                            </w:tcBorders>
                          </w:tcPr>
                          <w:p w14:paraId="3D7685DA" w14:textId="77777777" w:rsidR="002C6574" w:rsidRDefault="002C6574">
                            <w:pPr>
                              <w:pStyle w:val="TableParagraph"/>
                              <w:spacing w:before="9"/>
                              <w:jc w:val="left"/>
                              <w:rPr>
                                <w:rFonts w:ascii="Calibri"/>
                                <w:sz w:val="9"/>
                              </w:rPr>
                            </w:pPr>
                          </w:p>
                          <w:p w14:paraId="06F9C4A8" w14:textId="77777777" w:rsidR="002C6574" w:rsidRDefault="00000000">
                            <w:pPr>
                              <w:pStyle w:val="TableParagraph"/>
                              <w:ind w:right="142"/>
                              <w:rPr>
                                <w:rFonts w:ascii="Arial MT"/>
                                <w:sz w:val="9"/>
                              </w:rPr>
                            </w:pPr>
                            <w:r>
                              <w:rPr>
                                <w:rFonts w:ascii="Arial MT"/>
                                <w:color w:val="001F60"/>
                                <w:spacing w:val="-4"/>
                                <w:sz w:val="9"/>
                              </w:rPr>
                              <w:t>4,51</w:t>
                            </w:r>
                          </w:p>
                        </w:tc>
                        <w:tc>
                          <w:tcPr>
                            <w:tcW w:w="612" w:type="dxa"/>
                            <w:tcBorders>
                              <w:bottom w:val="single" w:sz="4" w:space="0" w:color="001F60"/>
                            </w:tcBorders>
                          </w:tcPr>
                          <w:p w14:paraId="36FA06F2" w14:textId="77777777" w:rsidR="002C6574" w:rsidRDefault="002C6574">
                            <w:pPr>
                              <w:pStyle w:val="TableParagraph"/>
                              <w:spacing w:before="9"/>
                              <w:jc w:val="left"/>
                              <w:rPr>
                                <w:rFonts w:ascii="Calibri"/>
                                <w:sz w:val="9"/>
                              </w:rPr>
                            </w:pPr>
                          </w:p>
                          <w:p w14:paraId="30E9484F" w14:textId="77777777" w:rsidR="002C6574" w:rsidRDefault="00000000">
                            <w:pPr>
                              <w:pStyle w:val="TableParagraph"/>
                              <w:ind w:right="131"/>
                              <w:rPr>
                                <w:rFonts w:ascii="Arial MT"/>
                                <w:sz w:val="9"/>
                              </w:rPr>
                            </w:pPr>
                            <w:r>
                              <w:rPr>
                                <w:rFonts w:ascii="Arial MT"/>
                                <w:color w:val="001F60"/>
                                <w:spacing w:val="-4"/>
                                <w:sz w:val="9"/>
                              </w:rPr>
                              <w:t>4,51</w:t>
                            </w:r>
                          </w:p>
                        </w:tc>
                        <w:tc>
                          <w:tcPr>
                            <w:tcW w:w="494" w:type="dxa"/>
                            <w:tcBorders>
                              <w:bottom w:val="single" w:sz="4" w:space="0" w:color="001F60"/>
                            </w:tcBorders>
                          </w:tcPr>
                          <w:p w14:paraId="0087C2BD" w14:textId="77777777" w:rsidR="002C6574" w:rsidRDefault="002C6574">
                            <w:pPr>
                              <w:pStyle w:val="TableParagraph"/>
                              <w:spacing w:before="9"/>
                              <w:jc w:val="left"/>
                              <w:rPr>
                                <w:rFonts w:ascii="Calibri"/>
                                <w:sz w:val="9"/>
                              </w:rPr>
                            </w:pPr>
                          </w:p>
                          <w:p w14:paraId="73467D70" w14:textId="77777777" w:rsidR="002C6574" w:rsidRDefault="00000000">
                            <w:pPr>
                              <w:pStyle w:val="TableParagraph"/>
                              <w:ind w:right="58"/>
                              <w:rPr>
                                <w:rFonts w:ascii="Arial MT"/>
                                <w:sz w:val="9"/>
                              </w:rPr>
                            </w:pPr>
                            <w:r>
                              <w:rPr>
                                <w:rFonts w:ascii="Arial MT"/>
                                <w:color w:val="001F60"/>
                                <w:spacing w:val="-4"/>
                                <w:sz w:val="9"/>
                              </w:rPr>
                              <w:t>4,51</w:t>
                            </w:r>
                          </w:p>
                        </w:tc>
                        <w:tc>
                          <w:tcPr>
                            <w:tcW w:w="563" w:type="dxa"/>
                            <w:tcBorders>
                              <w:bottom w:val="single" w:sz="4" w:space="0" w:color="001F60"/>
                            </w:tcBorders>
                          </w:tcPr>
                          <w:p w14:paraId="7247150A" w14:textId="77777777" w:rsidR="002C6574" w:rsidRDefault="002C6574">
                            <w:pPr>
                              <w:pStyle w:val="TableParagraph"/>
                              <w:spacing w:before="9"/>
                              <w:jc w:val="left"/>
                              <w:rPr>
                                <w:rFonts w:ascii="Calibri"/>
                                <w:sz w:val="9"/>
                              </w:rPr>
                            </w:pPr>
                          </w:p>
                          <w:p w14:paraId="2BFF26D5" w14:textId="77777777" w:rsidR="002C6574" w:rsidRDefault="00000000">
                            <w:pPr>
                              <w:pStyle w:val="TableParagraph"/>
                              <w:ind w:left="10" w:right="27"/>
                              <w:jc w:val="center"/>
                              <w:rPr>
                                <w:rFonts w:ascii="Arial MT"/>
                                <w:sz w:val="9"/>
                              </w:rPr>
                            </w:pPr>
                            <w:r>
                              <w:rPr>
                                <w:rFonts w:ascii="Arial MT"/>
                                <w:color w:val="001F60"/>
                                <w:spacing w:val="-4"/>
                                <w:sz w:val="9"/>
                              </w:rPr>
                              <w:t>100%</w:t>
                            </w:r>
                          </w:p>
                        </w:tc>
                        <w:tc>
                          <w:tcPr>
                            <w:tcW w:w="553" w:type="dxa"/>
                            <w:tcBorders>
                              <w:bottom w:val="single" w:sz="4" w:space="0" w:color="001F60"/>
                            </w:tcBorders>
                          </w:tcPr>
                          <w:p w14:paraId="76817924" w14:textId="77777777" w:rsidR="002C6574" w:rsidRDefault="002C6574">
                            <w:pPr>
                              <w:pStyle w:val="TableParagraph"/>
                              <w:spacing w:before="9"/>
                              <w:jc w:val="left"/>
                              <w:rPr>
                                <w:rFonts w:ascii="Calibri"/>
                                <w:sz w:val="9"/>
                              </w:rPr>
                            </w:pPr>
                          </w:p>
                          <w:p w14:paraId="60114A05" w14:textId="77777777" w:rsidR="002C6574" w:rsidRDefault="00000000">
                            <w:pPr>
                              <w:pStyle w:val="TableParagraph"/>
                              <w:ind w:left="9" w:right="9"/>
                              <w:jc w:val="center"/>
                              <w:rPr>
                                <w:rFonts w:ascii="Arial MT"/>
                                <w:sz w:val="9"/>
                              </w:rPr>
                            </w:pPr>
                            <w:r>
                              <w:rPr>
                                <w:rFonts w:ascii="Arial MT"/>
                                <w:color w:val="001F60"/>
                                <w:spacing w:val="-4"/>
                                <w:sz w:val="9"/>
                              </w:rPr>
                              <w:t>100%</w:t>
                            </w:r>
                          </w:p>
                        </w:tc>
                      </w:tr>
                      <w:tr w:rsidR="002C6574" w14:paraId="4EB3A243" w14:textId="77777777">
                        <w:trPr>
                          <w:trHeight w:val="107"/>
                        </w:trPr>
                        <w:tc>
                          <w:tcPr>
                            <w:tcW w:w="3125" w:type="dxa"/>
                            <w:tcBorders>
                              <w:bottom w:val="single" w:sz="4" w:space="0" w:color="001F60"/>
                            </w:tcBorders>
                          </w:tcPr>
                          <w:p w14:paraId="5D2994DF" w14:textId="77777777" w:rsidR="002C6574" w:rsidRDefault="00000000">
                            <w:pPr>
                              <w:pStyle w:val="TableParagraph"/>
                              <w:spacing w:line="76" w:lineRule="exact"/>
                              <w:ind w:left="513"/>
                              <w:jc w:val="left"/>
                              <w:rPr>
                                <w:rFonts w:ascii="Arial" w:hAnsi="Arial"/>
                                <w:b/>
                                <w:sz w:val="9"/>
                              </w:rPr>
                            </w:pPr>
                            <w:r>
                              <w:rPr>
                                <w:rFonts w:ascii="Arial" w:hAnsi="Arial"/>
                                <w:b/>
                                <w:color w:val="001F60"/>
                                <w:sz w:val="9"/>
                              </w:rPr>
                              <w:t>Amortização</w:t>
                            </w:r>
                            <w:r>
                              <w:rPr>
                                <w:rFonts w:ascii="Arial" w:hAnsi="Arial"/>
                                <w:b/>
                                <w:color w:val="001F60"/>
                                <w:spacing w:val="8"/>
                                <w:sz w:val="9"/>
                              </w:rPr>
                              <w:t xml:space="preserve"> </w:t>
                            </w:r>
                            <w:r>
                              <w:rPr>
                                <w:rFonts w:ascii="Arial" w:hAnsi="Arial"/>
                                <w:b/>
                                <w:color w:val="001F60"/>
                                <w:sz w:val="9"/>
                              </w:rPr>
                              <w:t>da</w:t>
                            </w:r>
                            <w:r>
                              <w:rPr>
                                <w:rFonts w:ascii="Arial" w:hAnsi="Arial"/>
                                <w:b/>
                                <w:color w:val="001F60"/>
                                <w:spacing w:val="6"/>
                                <w:sz w:val="9"/>
                              </w:rPr>
                              <w:t xml:space="preserve"> </w:t>
                            </w:r>
                            <w:r>
                              <w:rPr>
                                <w:rFonts w:ascii="Arial" w:hAnsi="Arial"/>
                                <w:b/>
                                <w:color w:val="001F60"/>
                                <w:spacing w:val="-2"/>
                                <w:sz w:val="9"/>
                              </w:rPr>
                              <w:t>Dívida</w:t>
                            </w:r>
                          </w:p>
                        </w:tc>
                        <w:tc>
                          <w:tcPr>
                            <w:tcW w:w="3029" w:type="dxa"/>
                            <w:gridSpan w:val="2"/>
                            <w:tcBorders>
                              <w:bottom w:val="single" w:sz="4" w:space="0" w:color="001F60"/>
                            </w:tcBorders>
                          </w:tcPr>
                          <w:p w14:paraId="1F4116CA" w14:textId="77777777" w:rsidR="002C6574" w:rsidRDefault="00000000">
                            <w:pPr>
                              <w:pStyle w:val="TableParagraph"/>
                              <w:spacing w:line="76" w:lineRule="exact"/>
                              <w:ind w:right="148"/>
                              <w:rPr>
                                <w:rFonts w:ascii="Arial"/>
                                <w:b/>
                                <w:sz w:val="9"/>
                              </w:rPr>
                            </w:pPr>
                            <w:r>
                              <w:rPr>
                                <w:rFonts w:ascii="Arial"/>
                                <w:b/>
                                <w:color w:val="001F60"/>
                                <w:spacing w:val="-2"/>
                                <w:sz w:val="9"/>
                              </w:rPr>
                              <w:t>44,86</w:t>
                            </w:r>
                          </w:p>
                        </w:tc>
                        <w:tc>
                          <w:tcPr>
                            <w:tcW w:w="616" w:type="dxa"/>
                            <w:tcBorders>
                              <w:bottom w:val="single" w:sz="4" w:space="0" w:color="001F60"/>
                            </w:tcBorders>
                          </w:tcPr>
                          <w:p w14:paraId="1F140CD1" w14:textId="77777777" w:rsidR="002C6574" w:rsidRDefault="00000000">
                            <w:pPr>
                              <w:pStyle w:val="TableParagraph"/>
                              <w:spacing w:line="76" w:lineRule="exact"/>
                              <w:ind w:right="142"/>
                              <w:rPr>
                                <w:rFonts w:ascii="Arial"/>
                                <w:b/>
                                <w:sz w:val="9"/>
                              </w:rPr>
                            </w:pPr>
                            <w:r>
                              <w:rPr>
                                <w:rFonts w:ascii="Arial"/>
                                <w:b/>
                                <w:color w:val="001F60"/>
                                <w:spacing w:val="-2"/>
                                <w:sz w:val="9"/>
                              </w:rPr>
                              <w:t>44,86</w:t>
                            </w:r>
                          </w:p>
                        </w:tc>
                        <w:tc>
                          <w:tcPr>
                            <w:tcW w:w="612" w:type="dxa"/>
                            <w:tcBorders>
                              <w:bottom w:val="single" w:sz="4" w:space="0" w:color="001F60"/>
                            </w:tcBorders>
                          </w:tcPr>
                          <w:p w14:paraId="5F3C61B3" w14:textId="77777777" w:rsidR="002C6574" w:rsidRDefault="00000000">
                            <w:pPr>
                              <w:pStyle w:val="TableParagraph"/>
                              <w:spacing w:line="76" w:lineRule="exact"/>
                              <w:ind w:right="131"/>
                              <w:rPr>
                                <w:rFonts w:ascii="Arial"/>
                                <w:b/>
                                <w:sz w:val="9"/>
                              </w:rPr>
                            </w:pPr>
                            <w:r>
                              <w:rPr>
                                <w:rFonts w:ascii="Arial"/>
                                <w:b/>
                                <w:color w:val="001F60"/>
                                <w:spacing w:val="-2"/>
                                <w:sz w:val="9"/>
                              </w:rPr>
                              <w:t>44,86</w:t>
                            </w:r>
                          </w:p>
                        </w:tc>
                        <w:tc>
                          <w:tcPr>
                            <w:tcW w:w="494" w:type="dxa"/>
                            <w:tcBorders>
                              <w:bottom w:val="single" w:sz="4" w:space="0" w:color="001F60"/>
                            </w:tcBorders>
                          </w:tcPr>
                          <w:p w14:paraId="2A7CFD93" w14:textId="77777777" w:rsidR="002C6574" w:rsidRDefault="00000000">
                            <w:pPr>
                              <w:pStyle w:val="TableParagraph"/>
                              <w:spacing w:line="76" w:lineRule="exact"/>
                              <w:ind w:right="58"/>
                              <w:rPr>
                                <w:rFonts w:ascii="Arial"/>
                                <w:b/>
                                <w:sz w:val="9"/>
                              </w:rPr>
                            </w:pPr>
                            <w:r>
                              <w:rPr>
                                <w:rFonts w:ascii="Arial"/>
                                <w:b/>
                                <w:color w:val="001F60"/>
                                <w:spacing w:val="-2"/>
                                <w:sz w:val="9"/>
                              </w:rPr>
                              <w:t>44,86</w:t>
                            </w:r>
                          </w:p>
                        </w:tc>
                        <w:tc>
                          <w:tcPr>
                            <w:tcW w:w="563" w:type="dxa"/>
                            <w:tcBorders>
                              <w:bottom w:val="single" w:sz="4" w:space="0" w:color="001F60"/>
                            </w:tcBorders>
                          </w:tcPr>
                          <w:p w14:paraId="1818B94F" w14:textId="77777777" w:rsidR="002C6574" w:rsidRDefault="00000000">
                            <w:pPr>
                              <w:pStyle w:val="TableParagraph"/>
                              <w:spacing w:line="76" w:lineRule="exact"/>
                              <w:ind w:right="27"/>
                              <w:jc w:val="center"/>
                              <w:rPr>
                                <w:rFonts w:ascii="Arial"/>
                                <w:b/>
                                <w:sz w:val="9"/>
                              </w:rPr>
                            </w:pPr>
                            <w:r>
                              <w:rPr>
                                <w:rFonts w:ascii="Arial"/>
                                <w:b/>
                                <w:color w:val="001F60"/>
                                <w:spacing w:val="-4"/>
                                <w:sz w:val="9"/>
                              </w:rPr>
                              <w:t>100%</w:t>
                            </w:r>
                          </w:p>
                        </w:tc>
                        <w:tc>
                          <w:tcPr>
                            <w:tcW w:w="553" w:type="dxa"/>
                            <w:tcBorders>
                              <w:bottom w:val="single" w:sz="4" w:space="0" w:color="001F60"/>
                            </w:tcBorders>
                          </w:tcPr>
                          <w:p w14:paraId="0789DB6D" w14:textId="77777777" w:rsidR="002C6574" w:rsidRDefault="00000000">
                            <w:pPr>
                              <w:pStyle w:val="TableParagraph"/>
                              <w:spacing w:line="76" w:lineRule="exact"/>
                              <w:ind w:right="9"/>
                              <w:jc w:val="center"/>
                              <w:rPr>
                                <w:rFonts w:ascii="Arial"/>
                                <w:b/>
                                <w:sz w:val="9"/>
                              </w:rPr>
                            </w:pPr>
                            <w:r>
                              <w:rPr>
                                <w:rFonts w:ascii="Arial"/>
                                <w:b/>
                                <w:color w:val="001F60"/>
                                <w:spacing w:val="-4"/>
                                <w:sz w:val="9"/>
                              </w:rPr>
                              <w:t>100%</w:t>
                            </w:r>
                          </w:p>
                        </w:tc>
                      </w:tr>
                      <w:tr w:rsidR="002C6574" w14:paraId="6ECF58A8" w14:textId="77777777">
                        <w:trPr>
                          <w:trHeight w:val="227"/>
                        </w:trPr>
                        <w:tc>
                          <w:tcPr>
                            <w:tcW w:w="5491" w:type="dxa"/>
                            <w:gridSpan w:val="2"/>
                            <w:tcBorders>
                              <w:bottom w:val="single" w:sz="4" w:space="0" w:color="001F60"/>
                            </w:tcBorders>
                          </w:tcPr>
                          <w:p w14:paraId="5C64D0FC" w14:textId="77777777" w:rsidR="002C6574" w:rsidRDefault="00000000">
                            <w:pPr>
                              <w:pStyle w:val="TableParagraph"/>
                              <w:spacing w:line="160" w:lineRule="exact"/>
                              <w:ind w:left="1039"/>
                              <w:jc w:val="left"/>
                              <w:rPr>
                                <w:rFonts w:ascii="Arial MT" w:hAnsi="Arial MT"/>
                                <w:sz w:val="9"/>
                              </w:rPr>
                            </w:pPr>
                            <w:r>
                              <w:rPr>
                                <w:rFonts w:ascii="Arial MT" w:hAnsi="Arial MT"/>
                                <w:color w:val="001F60"/>
                                <w:sz w:val="9"/>
                              </w:rPr>
                              <w:t>0283</w:t>
                            </w:r>
                            <w:r>
                              <w:rPr>
                                <w:rFonts w:ascii="Arial MT" w:hAnsi="Arial MT"/>
                                <w:color w:val="001F60"/>
                                <w:spacing w:val="38"/>
                                <w:sz w:val="9"/>
                              </w:rPr>
                              <w:t xml:space="preserve"> </w:t>
                            </w:r>
                            <w:r>
                              <w:rPr>
                                <w:rFonts w:ascii="Arial MT" w:hAnsi="Arial MT"/>
                                <w:color w:val="001F60"/>
                                <w:position w:val="6"/>
                                <w:sz w:val="9"/>
                              </w:rPr>
                              <w:t>Amortização e</w:t>
                            </w:r>
                            <w:r>
                              <w:rPr>
                                <w:rFonts w:ascii="Arial MT" w:hAnsi="Arial MT"/>
                                <w:color w:val="001F60"/>
                                <w:spacing w:val="1"/>
                                <w:position w:val="6"/>
                                <w:sz w:val="9"/>
                              </w:rPr>
                              <w:t xml:space="preserve"> </w:t>
                            </w:r>
                            <w:r>
                              <w:rPr>
                                <w:rFonts w:ascii="Arial MT" w:hAnsi="Arial MT"/>
                                <w:color w:val="001F60"/>
                                <w:position w:val="6"/>
                                <w:sz w:val="9"/>
                              </w:rPr>
                              <w:t>Encargos</w:t>
                            </w:r>
                            <w:r>
                              <w:rPr>
                                <w:rFonts w:ascii="Arial MT" w:hAnsi="Arial MT"/>
                                <w:color w:val="001F60"/>
                                <w:spacing w:val="1"/>
                                <w:position w:val="6"/>
                                <w:sz w:val="9"/>
                              </w:rPr>
                              <w:t xml:space="preserve"> </w:t>
                            </w:r>
                            <w:r>
                              <w:rPr>
                                <w:rFonts w:ascii="Arial MT" w:hAnsi="Arial MT"/>
                                <w:color w:val="001F60"/>
                                <w:position w:val="6"/>
                                <w:sz w:val="9"/>
                              </w:rPr>
                              <w:t>de</w:t>
                            </w:r>
                            <w:r>
                              <w:rPr>
                                <w:rFonts w:ascii="Arial MT" w:hAnsi="Arial MT"/>
                                <w:color w:val="001F60"/>
                                <w:spacing w:val="1"/>
                                <w:position w:val="6"/>
                                <w:sz w:val="9"/>
                              </w:rPr>
                              <w:t xml:space="preserve"> </w:t>
                            </w:r>
                            <w:r>
                              <w:rPr>
                                <w:rFonts w:ascii="Arial MT" w:hAnsi="Arial MT"/>
                                <w:color w:val="001F60"/>
                                <w:position w:val="6"/>
                                <w:sz w:val="9"/>
                              </w:rPr>
                              <w:t>Financiamento</w:t>
                            </w:r>
                            <w:r>
                              <w:rPr>
                                <w:rFonts w:ascii="Arial MT" w:hAnsi="Arial MT"/>
                                <w:color w:val="001F60"/>
                                <w:spacing w:val="1"/>
                                <w:position w:val="6"/>
                                <w:sz w:val="9"/>
                              </w:rPr>
                              <w:t xml:space="preserve"> </w:t>
                            </w:r>
                            <w:r>
                              <w:rPr>
                                <w:rFonts w:ascii="Arial MT" w:hAnsi="Arial MT"/>
                                <w:color w:val="001F60"/>
                                <w:position w:val="6"/>
                                <w:sz w:val="9"/>
                              </w:rPr>
                              <w:t>da</w:t>
                            </w:r>
                            <w:r>
                              <w:rPr>
                                <w:rFonts w:ascii="Arial MT" w:hAnsi="Arial MT"/>
                                <w:color w:val="001F60"/>
                                <w:spacing w:val="23"/>
                                <w:position w:val="6"/>
                                <w:sz w:val="9"/>
                              </w:rPr>
                              <w:t xml:space="preserve"> </w:t>
                            </w:r>
                            <w:r>
                              <w:rPr>
                                <w:rFonts w:ascii="Arial MT" w:hAnsi="Arial MT"/>
                                <w:color w:val="001F60"/>
                                <w:sz w:val="9"/>
                              </w:rPr>
                              <w:t>1443</w:t>
                            </w:r>
                            <w:r>
                              <w:rPr>
                                <w:rFonts w:ascii="Arial MT" w:hAnsi="Arial MT"/>
                                <w:color w:val="001F60"/>
                                <w:spacing w:val="65"/>
                                <w:sz w:val="9"/>
                              </w:rPr>
                              <w:t xml:space="preserve"> </w:t>
                            </w:r>
                            <w:r>
                              <w:rPr>
                                <w:rFonts w:ascii="Arial MT" w:hAnsi="Arial MT"/>
                                <w:color w:val="001F60"/>
                                <w:sz w:val="9"/>
                              </w:rPr>
                              <w:t>Refinanciamento</w:t>
                            </w:r>
                            <w:r>
                              <w:rPr>
                                <w:rFonts w:ascii="Arial MT" w:hAnsi="Arial MT"/>
                                <w:color w:val="001F60"/>
                                <w:spacing w:val="1"/>
                                <w:sz w:val="9"/>
                              </w:rPr>
                              <w:t xml:space="preserve"> </w:t>
                            </w:r>
                            <w:r>
                              <w:rPr>
                                <w:rFonts w:ascii="Arial MT" w:hAnsi="Arial MT"/>
                                <w:color w:val="001F60"/>
                                <w:sz w:val="9"/>
                              </w:rPr>
                              <w:t>da</w:t>
                            </w:r>
                            <w:r>
                              <w:rPr>
                                <w:rFonts w:ascii="Arial MT" w:hAnsi="Arial MT"/>
                                <w:color w:val="001F60"/>
                                <w:spacing w:val="1"/>
                                <w:sz w:val="9"/>
                              </w:rPr>
                              <w:t xml:space="preserve"> </w:t>
                            </w:r>
                            <w:r>
                              <w:rPr>
                                <w:rFonts w:ascii="Arial MT" w:hAnsi="Arial MT"/>
                                <w:color w:val="001F60"/>
                                <w:sz w:val="9"/>
                              </w:rPr>
                              <w:t>Dívida</w:t>
                            </w:r>
                            <w:r>
                              <w:rPr>
                                <w:rFonts w:ascii="Arial MT" w:hAnsi="Arial MT"/>
                                <w:color w:val="001F60"/>
                                <w:spacing w:val="1"/>
                                <w:sz w:val="9"/>
                              </w:rPr>
                              <w:t xml:space="preserve"> </w:t>
                            </w:r>
                            <w:r>
                              <w:rPr>
                                <w:rFonts w:ascii="Arial MT" w:hAnsi="Arial MT"/>
                                <w:color w:val="001F60"/>
                                <w:sz w:val="9"/>
                              </w:rPr>
                              <w:t xml:space="preserve">Pública </w:t>
                            </w:r>
                            <w:r>
                              <w:rPr>
                                <w:rFonts w:ascii="Arial MT" w:hAnsi="Arial MT"/>
                                <w:color w:val="001F60"/>
                                <w:spacing w:val="-2"/>
                                <w:sz w:val="9"/>
                              </w:rPr>
                              <w:t>Federal</w:t>
                            </w:r>
                          </w:p>
                        </w:tc>
                        <w:tc>
                          <w:tcPr>
                            <w:tcW w:w="663" w:type="dxa"/>
                            <w:tcBorders>
                              <w:bottom w:val="single" w:sz="4" w:space="0" w:color="001F60"/>
                            </w:tcBorders>
                          </w:tcPr>
                          <w:p w14:paraId="22B23BED" w14:textId="77777777" w:rsidR="002C6574" w:rsidRDefault="00000000">
                            <w:pPr>
                              <w:pStyle w:val="TableParagraph"/>
                              <w:spacing w:before="56"/>
                              <w:ind w:right="148"/>
                              <w:rPr>
                                <w:rFonts w:ascii="Arial MT"/>
                                <w:sz w:val="9"/>
                              </w:rPr>
                            </w:pPr>
                            <w:r>
                              <w:rPr>
                                <w:rFonts w:ascii="Arial MT"/>
                                <w:color w:val="001F60"/>
                                <w:spacing w:val="-2"/>
                                <w:sz w:val="9"/>
                              </w:rPr>
                              <w:t>44,86</w:t>
                            </w:r>
                          </w:p>
                        </w:tc>
                        <w:tc>
                          <w:tcPr>
                            <w:tcW w:w="616" w:type="dxa"/>
                            <w:tcBorders>
                              <w:bottom w:val="single" w:sz="4" w:space="0" w:color="001F60"/>
                            </w:tcBorders>
                          </w:tcPr>
                          <w:p w14:paraId="2AB1A78D" w14:textId="77777777" w:rsidR="002C6574" w:rsidRDefault="00000000">
                            <w:pPr>
                              <w:pStyle w:val="TableParagraph"/>
                              <w:spacing w:before="56"/>
                              <w:ind w:right="142"/>
                              <w:rPr>
                                <w:rFonts w:ascii="Arial MT"/>
                                <w:sz w:val="9"/>
                              </w:rPr>
                            </w:pPr>
                            <w:r>
                              <w:rPr>
                                <w:rFonts w:ascii="Arial MT"/>
                                <w:color w:val="001F60"/>
                                <w:spacing w:val="-2"/>
                                <w:sz w:val="9"/>
                              </w:rPr>
                              <w:t>44,86</w:t>
                            </w:r>
                          </w:p>
                        </w:tc>
                        <w:tc>
                          <w:tcPr>
                            <w:tcW w:w="612" w:type="dxa"/>
                            <w:tcBorders>
                              <w:bottom w:val="single" w:sz="4" w:space="0" w:color="001F60"/>
                            </w:tcBorders>
                          </w:tcPr>
                          <w:p w14:paraId="7C758564" w14:textId="77777777" w:rsidR="002C6574" w:rsidRDefault="00000000">
                            <w:pPr>
                              <w:pStyle w:val="TableParagraph"/>
                              <w:spacing w:before="56"/>
                              <w:ind w:right="131"/>
                              <w:rPr>
                                <w:rFonts w:ascii="Arial MT"/>
                                <w:sz w:val="9"/>
                              </w:rPr>
                            </w:pPr>
                            <w:r>
                              <w:rPr>
                                <w:rFonts w:ascii="Arial MT"/>
                                <w:color w:val="001F60"/>
                                <w:spacing w:val="-2"/>
                                <w:sz w:val="9"/>
                              </w:rPr>
                              <w:t>44,86</w:t>
                            </w:r>
                          </w:p>
                        </w:tc>
                        <w:tc>
                          <w:tcPr>
                            <w:tcW w:w="494" w:type="dxa"/>
                            <w:tcBorders>
                              <w:bottom w:val="single" w:sz="4" w:space="0" w:color="001F60"/>
                            </w:tcBorders>
                          </w:tcPr>
                          <w:p w14:paraId="438B3DDF" w14:textId="77777777" w:rsidR="002C6574" w:rsidRDefault="00000000">
                            <w:pPr>
                              <w:pStyle w:val="TableParagraph"/>
                              <w:spacing w:before="56"/>
                              <w:ind w:right="58"/>
                              <w:rPr>
                                <w:rFonts w:ascii="Arial MT"/>
                                <w:sz w:val="9"/>
                              </w:rPr>
                            </w:pPr>
                            <w:r>
                              <w:rPr>
                                <w:rFonts w:ascii="Arial MT"/>
                                <w:color w:val="001F60"/>
                                <w:spacing w:val="-2"/>
                                <w:sz w:val="9"/>
                              </w:rPr>
                              <w:t>44,86</w:t>
                            </w:r>
                          </w:p>
                        </w:tc>
                        <w:tc>
                          <w:tcPr>
                            <w:tcW w:w="563" w:type="dxa"/>
                            <w:tcBorders>
                              <w:bottom w:val="single" w:sz="4" w:space="0" w:color="001F60"/>
                            </w:tcBorders>
                          </w:tcPr>
                          <w:p w14:paraId="4FD16742" w14:textId="77777777" w:rsidR="002C6574" w:rsidRDefault="00000000">
                            <w:pPr>
                              <w:pStyle w:val="TableParagraph"/>
                              <w:spacing w:before="56"/>
                              <w:ind w:left="10" w:right="27"/>
                              <w:jc w:val="center"/>
                              <w:rPr>
                                <w:rFonts w:ascii="Arial MT"/>
                                <w:sz w:val="9"/>
                              </w:rPr>
                            </w:pPr>
                            <w:r>
                              <w:rPr>
                                <w:rFonts w:ascii="Arial MT"/>
                                <w:color w:val="001F60"/>
                                <w:spacing w:val="-4"/>
                                <w:sz w:val="9"/>
                              </w:rPr>
                              <w:t>100%</w:t>
                            </w:r>
                          </w:p>
                        </w:tc>
                        <w:tc>
                          <w:tcPr>
                            <w:tcW w:w="553" w:type="dxa"/>
                            <w:tcBorders>
                              <w:bottom w:val="single" w:sz="4" w:space="0" w:color="001F60"/>
                            </w:tcBorders>
                          </w:tcPr>
                          <w:p w14:paraId="2F732140" w14:textId="77777777" w:rsidR="002C6574" w:rsidRDefault="00000000">
                            <w:pPr>
                              <w:pStyle w:val="TableParagraph"/>
                              <w:spacing w:before="56"/>
                              <w:ind w:left="9" w:right="9"/>
                              <w:jc w:val="center"/>
                              <w:rPr>
                                <w:rFonts w:ascii="Arial MT"/>
                                <w:sz w:val="9"/>
                              </w:rPr>
                            </w:pPr>
                            <w:r>
                              <w:rPr>
                                <w:rFonts w:ascii="Arial MT"/>
                                <w:color w:val="001F60"/>
                                <w:spacing w:val="-4"/>
                                <w:sz w:val="9"/>
                              </w:rPr>
                              <w:t>100%</w:t>
                            </w:r>
                          </w:p>
                        </w:tc>
                      </w:tr>
                      <w:tr w:rsidR="002C6574" w14:paraId="4E734DF0" w14:textId="77777777">
                        <w:trPr>
                          <w:trHeight w:val="107"/>
                        </w:trPr>
                        <w:tc>
                          <w:tcPr>
                            <w:tcW w:w="3125" w:type="dxa"/>
                            <w:tcBorders>
                              <w:bottom w:val="single" w:sz="4" w:space="0" w:color="001F60"/>
                            </w:tcBorders>
                          </w:tcPr>
                          <w:p w14:paraId="23891F04" w14:textId="77777777" w:rsidR="002C6574" w:rsidRDefault="00000000">
                            <w:pPr>
                              <w:pStyle w:val="TableParagraph"/>
                              <w:spacing w:line="76" w:lineRule="exact"/>
                              <w:ind w:left="21"/>
                              <w:jc w:val="left"/>
                              <w:rPr>
                                <w:rFonts w:ascii="Arial" w:hAnsi="Arial"/>
                                <w:b/>
                                <w:sz w:val="9"/>
                              </w:rPr>
                            </w:pPr>
                            <w:r>
                              <w:rPr>
                                <w:rFonts w:ascii="Arial" w:hAnsi="Arial"/>
                                <w:b/>
                                <w:color w:val="001F60"/>
                                <w:sz w:val="9"/>
                              </w:rPr>
                              <w:t>Despesas</w:t>
                            </w:r>
                            <w:r>
                              <w:rPr>
                                <w:rFonts w:ascii="Arial" w:hAnsi="Arial"/>
                                <w:b/>
                                <w:color w:val="001F60"/>
                                <w:spacing w:val="8"/>
                                <w:sz w:val="9"/>
                              </w:rPr>
                              <w:t xml:space="preserve"> </w:t>
                            </w:r>
                            <w:r>
                              <w:rPr>
                                <w:rFonts w:ascii="Arial" w:hAnsi="Arial"/>
                                <w:b/>
                                <w:color w:val="001F60"/>
                                <w:sz w:val="9"/>
                              </w:rPr>
                              <w:t>Discricionárias</w:t>
                            </w:r>
                            <w:r>
                              <w:rPr>
                                <w:rFonts w:ascii="Arial" w:hAnsi="Arial"/>
                                <w:b/>
                                <w:color w:val="001F60"/>
                                <w:spacing w:val="8"/>
                                <w:sz w:val="9"/>
                              </w:rPr>
                              <w:t xml:space="preserve"> </w:t>
                            </w:r>
                            <w:r>
                              <w:rPr>
                                <w:rFonts w:ascii="Arial" w:hAnsi="Arial"/>
                                <w:b/>
                                <w:color w:val="001F60"/>
                                <w:sz w:val="9"/>
                              </w:rPr>
                              <w:t>(RP</w:t>
                            </w:r>
                            <w:r>
                              <w:rPr>
                                <w:rFonts w:ascii="Arial" w:hAnsi="Arial"/>
                                <w:b/>
                                <w:color w:val="001F60"/>
                                <w:spacing w:val="7"/>
                                <w:sz w:val="9"/>
                              </w:rPr>
                              <w:t xml:space="preserve"> </w:t>
                            </w:r>
                            <w:r>
                              <w:rPr>
                                <w:rFonts w:ascii="Arial" w:hAnsi="Arial"/>
                                <w:b/>
                                <w:color w:val="001F60"/>
                                <w:spacing w:val="-5"/>
                                <w:sz w:val="9"/>
                              </w:rPr>
                              <w:t>2)</w:t>
                            </w:r>
                          </w:p>
                        </w:tc>
                        <w:tc>
                          <w:tcPr>
                            <w:tcW w:w="2366" w:type="dxa"/>
                            <w:tcBorders>
                              <w:bottom w:val="single" w:sz="4" w:space="0" w:color="001F60"/>
                            </w:tcBorders>
                          </w:tcPr>
                          <w:p w14:paraId="5E77AB34" w14:textId="77777777" w:rsidR="002C6574" w:rsidRDefault="002C6574">
                            <w:pPr>
                              <w:pStyle w:val="TableParagraph"/>
                              <w:jc w:val="left"/>
                              <w:rPr>
                                <w:rFonts w:ascii="Times New Roman"/>
                                <w:sz w:val="4"/>
                              </w:rPr>
                            </w:pPr>
                          </w:p>
                        </w:tc>
                        <w:tc>
                          <w:tcPr>
                            <w:tcW w:w="663" w:type="dxa"/>
                            <w:tcBorders>
                              <w:bottom w:val="single" w:sz="4" w:space="0" w:color="001F60"/>
                            </w:tcBorders>
                          </w:tcPr>
                          <w:p w14:paraId="2FEFC00F" w14:textId="77777777" w:rsidR="002C6574" w:rsidRDefault="00000000">
                            <w:pPr>
                              <w:pStyle w:val="TableParagraph"/>
                              <w:spacing w:line="76" w:lineRule="exact"/>
                              <w:ind w:right="150"/>
                              <w:rPr>
                                <w:rFonts w:ascii="Arial"/>
                                <w:b/>
                                <w:sz w:val="9"/>
                              </w:rPr>
                            </w:pPr>
                            <w:r>
                              <w:rPr>
                                <w:rFonts w:ascii="Arial"/>
                                <w:b/>
                                <w:color w:val="001F60"/>
                                <w:spacing w:val="-2"/>
                                <w:sz w:val="9"/>
                              </w:rPr>
                              <w:t>141,42</w:t>
                            </w:r>
                          </w:p>
                        </w:tc>
                        <w:tc>
                          <w:tcPr>
                            <w:tcW w:w="616" w:type="dxa"/>
                            <w:tcBorders>
                              <w:bottom w:val="single" w:sz="4" w:space="0" w:color="001F60"/>
                            </w:tcBorders>
                          </w:tcPr>
                          <w:p w14:paraId="1BA7D4F2" w14:textId="77777777" w:rsidR="002C6574" w:rsidRDefault="00000000">
                            <w:pPr>
                              <w:pStyle w:val="TableParagraph"/>
                              <w:spacing w:line="76" w:lineRule="exact"/>
                              <w:ind w:right="142"/>
                              <w:rPr>
                                <w:rFonts w:ascii="Arial"/>
                                <w:b/>
                                <w:sz w:val="9"/>
                              </w:rPr>
                            </w:pPr>
                            <w:r>
                              <w:rPr>
                                <w:rFonts w:ascii="Arial"/>
                                <w:b/>
                                <w:color w:val="001F60"/>
                                <w:spacing w:val="-2"/>
                                <w:sz w:val="9"/>
                              </w:rPr>
                              <w:t>141,42</w:t>
                            </w:r>
                          </w:p>
                        </w:tc>
                        <w:tc>
                          <w:tcPr>
                            <w:tcW w:w="612" w:type="dxa"/>
                            <w:tcBorders>
                              <w:bottom w:val="single" w:sz="4" w:space="0" w:color="001F60"/>
                            </w:tcBorders>
                          </w:tcPr>
                          <w:p w14:paraId="10A1050F" w14:textId="77777777" w:rsidR="002C6574" w:rsidRDefault="00000000">
                            <w:pPr>
                              <w:pStyle w:val="TableParagraph"/>
                              <w:spacing w:line="76" w:lineRule="exact"/>
                              <w:ind w:right="131"/>
                              <w:rPr>
                                <w:rFonts w:ascii="Arial"/>
                                <w:b/>
                                <w:sz w:val="9"/>
                              </w:rPr>
                            </w:pPr>
                            <w:r>
                              <w:rPr>
                                <w:rFonts w:ascii="Arial"/>
                                <w:b/>
                                <w:color w:val="001F60"/>
                                <w:spacing w:val="-2"/>
                                <w:sz w:val="9"/>
                              </w:rPr>
                              <w:t>141,42</w:t>
                            </w:r>
                          </w:p>
                        </w:tc>
                        <w:tc>
                          <w:tcPr>
                            <w:tcW w:w="494" w:type="dxa"/>
                            <w:tcBorders>
                              <w:bottom w:val="single" w:sz="4" w:space="0" w:color="001F60"/>
                            </w:tcBorders>
                          </w:tcPr>
                          <w:p w14:paraId="0C4BCC52" w14:textId="77777777" w:rsidR="002C6574" w:rsidRDefault="00000000">
                            <w:pPr>
                              <w:pStyle w:val="TableParagraph"/>
                              <w:spacing w:line="76" w:lineRule="exact"/>
                              <w:ind w:right="58"/>
                              <w:rPr>
                                <w:rFonts w:ascii="Arial"/>
                                <w:b/>
                                <w:sz w:val="9"/>
                              </w:rPr>
                            </w:pPr>
                            <w:r>
                              <w:rPr>
                                <w:rFonts w:ascii="Arial"/>
                                <w:b/>
                                <w:color w:val="001F60"/>
                                <w:spacing w:val="-2"/>
                                <w:sz w:val="9"/>
                              </w:rPr>
                              <w:t>141,42</w:t>
                            </w:r>
                          </w:p>
                        </w:tc>
                        <w:tc>
                          <w:tcPr>
                            <w:tcW w:w="563" w:type="dxa"/>
                            <w:tcBorders>
                              <w:bottom w:val="single" w:sz="4" w:space="0" w:color="001F60"/>
                            </w:tcBorders>
                          </w:tcPr>
                          <w:p w14:paraId="52EA1E49" w14:textId="77777777" w:rsidR="002C6574" w:rsidRDefault="00000000">
                            <w:pPr>
                              <w:pStyle w:val="TableParagraph"/>
                              <w:spacing w:line="76" w:lineRule="exact"/>
                              <w:ind w:right="27"/>
                              <w:jc w:val="center"/>
                              <w:rPr>
                                <w:rFonts w:ascii="Arial"/>
                                <w:b/>
                                <w:sz w:val="9"/>
                              </w:rPr>
                            </w:pPr>
                            <w:r>
                              <w:rPr>
                                <w:rFonts w:ascii="Arial"/>
                                <w:b/>
                                <w:color w:val="001F60"/>
                                <w:spacing w:val="-4"/>
                                <w:sz w:val="9"/>
                              </w:rPr>
                              <w:t>100%</w:t>
                            </w:r>
                          </w:p>
                        </w:tc>
                        <w:tc>
                          <w:tcPr>
                            <w:tcW w:w="553" w:type="dxa"/>
                            <w:tcBorders>
                              <w:bottom w:val="single" w:sz="4" w:space="0" w:color="001F60"/>
                            </w:tcBorders>
                          </w:tcPr>
                          <w:p w14:paraId="7A98AEB5" w14:textId="77777777" w:rsidR="002C6574" w:rsidRDefault="00000000">
                            <w:pPr>
                              <w:pStyle w:val="TableParagraph"/>
                              <w:spacing w:line="76" w:lineRule="exact"/>
                              <w:ind w:right="9"/>
                              <w:jc w:val="center"/>
                              <w:rPr>
                                <w:rFonts w:ascii="Arial"/>
                                <w:b/>
                                <w:sz w:val="9"/>
                              </w:rPr>
                            </w:pPr>
                            <w:r>
                              <w:rPr>
                                <w:rFonts w:ascii="Arial"/>
                                <w:b/>
                                <w:color w:val="001F60"/>
                                <w:spacing w:val="-4"/>
                                <w:sz w:val="9"/>
                              </w:rPr>
                              <w:t>100%</w:t>
                            </w:r>
                          </w:p>
                        </w:tc>
                      </w:tr>
                      <w:tr w:rsidR="002C6574" w14:paraId="34335E62" w14:textId="77777777">
                        <w:trPr>
                          <w:trHeight w:val="107"/>
                        </w:trPr>
                        <w:tc>
                          <w:tcPr>
                            <w:tcW w:w="3125" w:type="dxa"/>
                            <w:tcBorders>
                              <w:top w:val="single" w:sz="4" w:space="0" w:color="001F60"/>
                              <w:bottom w:val="single" w:sz="4" w:space="0" w:color="001F60"/>
                            </w:tcBorders>
                          </w:tcPr>
                          <w:p w14:paraId="3881D784" w14:textId="77777777" w:rsidR="002C6574" w:rsidRDefault="00000000">
                            <w:pPr>
                              <w:pStyle w:val="TableParagraph"/>
                              <w:spacing w:before="6" w:line="82" w:lineRule="exact"/>
                              <w:ind w:left="513"/>
                              <w:jc w:val="left"/>
                              <w:rPr>
                                <w:rFonts w:ascii="Arial"/>
                                <w:b/>
                                <w:sz w:val="9"/>
                              </w:rPr>
                            </w:pPr>
                            <w:r>
                              <w:rPr>
                                <w:rFonts w:ascii="Arial"/>
                                <w:b/>
                                <w:color w:val="001F60"/>
                                <w:sz w:val="9"/>
                              </w:rPr>
                              <w:t>Despesas</w:t>
                            </w:r>
                            <w:r>
                              <w:rPr>
                                <w:rFonts w:ascii="Arial"/>
                                <w:b/>
                                <w:color w:val="001F60"/>
                                <w:spacing w:val="14"/>
                                <w:sz w:val="9"/>
                              </w:rPr>
                              <w:t xml:space="preserve"> </w:t>
                            </w:r>
                            <w:r>
                              <w:rPr>
                                <w:rFonts w:ascii="Arial"/>
                                <w:b/>
                                <w:color w:val="001F60"/>
                                <w:spacing w:val="-2"/>
                                <w:sz w:val="9"/>
                              </w:rPr>
                              <w:t>Correntes</w:t>
                            </w:r>
                          </w:p>
                        </w:tc>
                        <w:tc>
                          <w:tcPr>
                            <w:tcW w:w="2366" w:type="dxa"/>
                            <w:tcBorders>
                              <w:top w:val="single" w:sz="4" w:space="0" w:color="001F60"/>
                              <w:bottom w:val="single" w:sz="4" w:space="0" w:color="001F60"/>
                            </w:tcBorders>
                          </w:tcPr>
                          <w:p w14:paraId="6835A8EF" w14:textId="77777777" w:rsidR="002C6574" w:rsidRDefault="002C6574">
                            <w:pPr>
                              <w:pStyle w:val="TableParagraph"/>
                              <w:jc w:val="left"/>
                              <w:rPr>
                                <w:rFonts w:ascii="Times New Roman"/>
                                <w:sz w:val="4"/>
                              </w:rPr>
                            </w:pPr>
                          </w:p>
                        </w:tc>
                        <w:tc>
                          <w:tcPr>
                            <w:tcW w:w="663" w:type="dxa"/>
                            <w:tcBorders>
                              <w:top w:val="single" w:sz="4" w:space="0" w:color="001F60"/>
                              <w:bottom w:val="single" w:sz="4" w:space="0" w:color="001F60"/>
                            </w:tcBorders>
                          </w:tcPr>
                          <w:p w14:paraId="6D9ECBB0" w14:textId="77777777" w:rsidR="002C6574" w:rsidRDefault="00000000">
                            <w:pPr>
                              <w:pStyle w:val="TableParagraph"/>
                              <w:spacing w:before="6" w:line="82" w:lineRule="exact"/>
                              <w:ind w:right="148"/>
                              <w:rPr>
                                <w:rFonts w:ascii="Arial"/>
                                <w:b/>
                                <w:sz w:val="9"/>
                              </w:rPr>
                            </w:pPr>
                            <w:r>
                              <w:rPr>
                                <w:rFonts w:ascii="Arial"/>
                                <w:b/>
                                <w:color w:val="001F60"/>
                                <w:spacing w:val="-2"/>
                                <w:sz w:val="9"/>
                              </w:rPr>
                              <w:t>140,38</w:t>
                            </w:r>
                          </w:p>
                        </w:tc>
                        <w:tc>
                          <w:tcPr>
                            <w:tcW w:w="616" w:type="dxa"/>
                            <w:tcBorders>
                              <w:top w:val="single" w:sz="4" w:space="0" w:color="001F60"/>
                              <w:bottom w:val="single" w:sz="4" w:space="0" w:color="001F60"/>
                            </w:tcBorders>
                          </w:tcPr>
                          <w:p w14:paraId="7FF90A3B" w14:textId="77777777" w:rsidR="002C6574" w:rsidRDefault="00000000">
                            <w:pPr>
                              <w:pStyle w:val="TableParagraph"/>
                              <w:spacing w:before="6" w:line="82" w:lineRule="exact"/>
                              <w:ind w:right="142"/>
                              <w:rPr>
                                <w:rFonts w:ascii="Arial"/>
                                <w:b/>
                                <w:sz w:val="9"/>
                              </w:rPr>
                            </w:pPr>
                            <w:r>
                              <w:rPr>
                                <w:rFonts w:ascii="Arial"/>
                                <w:b/>
                                <w:color w:val="001F60"/>
                                <w:spacing w:val="-2"/>
                                <w:sz w:val="9"/>
                              </w:rPr>
                              <w:t>140,38</w:t>
                            </w:r>
                          </w:p>
                        </w:tc>
                        <w:tc>
                          <w:tcPr>
                            <w:tcW w:w="612" w:type="dxa"/>
                            <w:tcBorders>
                              <w:top w:val="single" w:sz="4" w:space="0" w:color="001F60"/>
                              <w:bottom w:val="single" w:sz="4" w:space="0" w:color="001F60"/>
                            </w:tcBorders>
                          </w:tcPr>
                          <w:p w14:paraId="100A7DD6" w14:textId="77777777" w:rsidR="002C6574" w:rsidRDefault="00000000">
                            <w:pPr>
                              <w:pStyle w:val="TableParagraph"/>
                              <w:spacing w:before="6" w:line="82" w:lineRule="exact"/>
                              <w:ind w:right="131"/>
                              <w:rPr>
                                <w:rFonts w:ascii="Arial"/>
                                <w:b/>
                                <w:sz w:val="9"/>
                              </w:rPr>
                            </w:pPr>
                            <w:r>
                              <w:rPr>
                                <w:rFonts w:ascii="Arial"/>
                                <w:b/>
                                <w:color w:val="001F60"/>
                                <w:spacing w:val="-2"/>
                                <w:sz w:val="9"/>
                              </w:rPr>
                              <w:t>140,38</w:t>
                            </w:r>
                          </w:p>
                        </w:tc>
                        <w:tc>
                          <w:tcPr>
                            <w:tcW w:w="494" w:type="dxa"/>
                            <w:tcBorders>
                              <w:top w:val="single" w:sz="4" w:space="0" w:color="001F60"/>
                              <w:bottom w:val="single" w:sz="4" w:space="0" w:color="001F60"/>
                            </w:tcBorders>
                          </w:tcPr>
                          <w:p w14:paraId="7D8A2CB7" w14:textId="77777777" w:rsidR="002C6574" w:rsidRDefault="00000000">
                            <w:pPr>
                              <w:pStyle w:val="TableParagraph"/>
                              <w:spacing w:before="6" w:line="82" w:lineRule="exact"/>
                              <w:ind w:right="58"/>
                              <w:rPr>
                                <w:rFonts w:ascii="Arial"/>
                                <w:b/>
                                <w:sz w:val="9"/>
                              </w:rPr>
                            </w:pPr>
                            <w:r>
                              <w:rPr>
                                <w:rFonts w:ascii="Arial"/>
                                <w:b/>
                                <w:color w:val="001F60"/>
                                <w:spacing w:val="-2"/>
                                <w:sz w:val="9"/>
                              </w:rPr>
                              <w:t>140,38</w:t>
                            </w:r>
                          </w:p>
                        </w:tc>
                        <w:tc>
                          <w:tcPr>
                            <w:tcW w:w="563" w:type="dxa"/>
                            <w:tcBorders>
                              <w:top w:val="single" w:sz="4" w:space="0" w:color="001F60"/>
                              <w:bottom w:val="single" w:sz="4" w:space="0" w:color="001F60"/>
                            </w:tcBorders>
                          </w:tcPr>
                          <w:p w14:paraId="38E26E9A" w14:textId="77777777" w:rsidR="002C6574" w:rsidRDefault="00000000">
                            <w:pPr>
                              <w:pStyle w:val="TableParagraph"/>
                              <w:spacing w:before="6" w:line="82" w:lineRule="exact"/>
                              <w:ind w:right="27"/>
                              <w:jc w:val="center"/>
                              <w:rPr>
                                <w:rFonts w:ascii="Arial"/>
                                <w:b/>
                                <w:sz w:val="9"/>
                              </w:rPr>
                            </w:pPr>
                            <w:r>
                              <w:rPr>
                                <w:rFonts w:ascii="Arial"/>
                                <w:b/>
                                <w:color w:val="001F60"/>
                                <w:spacing w:val="-4"/>
                                <w:sz w:val="9"/>
                              </w:rPr>
                              <w:t>100%</w:t>
                            </w:r>
                          </w:p>
                        </w:tc>
                        <w:tc>
                          <w:tcPr>
                            <w:tcW w:w="553" w:type="dxa"/>
                            <w:tcBorders>
                              <w:top w:val="single" w:sz="4" w:space="0" w:color="001F60"/>
                              <w:bottom w:val="single" w:sz="4" w:space="0" w:color="001F60"/>
                            </w:tcBorders>
                          </w:tcPr>
                          <w:p w14:paraId="61B9E92D" w14:textId="77777777" w:rsidR="002C6574" w:rsidRDefault="00000000">
                            <w:pPr>
                              <w:pStyle w:val="TableParagraph"/>
                              <w:spacing w:before="6" w:line="82" w:lineRule="exact"/>
                              <w:ind w:right="9"/>
                              <w:jc w:val="center"/>
                              <w:rPr>
                                <w:rFonts w:ascii="Arial"/>
                                <w:b/>
                                <w:sz w:val="9"/>
                              </w:rPr>
                            </w:pPr>
                            <w:r>
                              <w:rPr>
                                <w:rFonts w:ascii="Arial"/>
                                <w:b/>
                                <w:color w:val="001F60"/>
                                <w:spacing w:val="-4"/>
                                <w:sz w:val="9"/>
                              </w:rPr>
                              <w:t>100%</w:t>
                            </w:r>
                          </w:p>
                        </w:tc>
                      </w:tr>
                      <w:tr w:rsidR="002C6574" w14:paraId="7C81FE16" w14:textId="77777777">
                        <w:trPr>
                          <w:trHeight w:val="349"/>
                        </w:trPr>
                        <w:tc>
                          <w:tcPr>
                            <w:tcW w:w="3125" w:type="dxa"/>
                            <w:tcBorders>
                              <w:top w:val="single" w:sz="4" w:space="0" w:color="001F60"/>
                              <w:bottom w:val="single" w:sz="2" w:space="0" w:color="000000"/>
                            </w:tcBorders>
                          </w:tcPr>
                          <w:p w14:paraId="31B892D2" w14:textId="77777777" w:rsidR="002C6574" w:rsidRDefault="00000000">
                            <w:pPr>
                              <w:pStyle w:val="TableParagraph"/>
                              <w:tabs>
                                <w:tab w:val="right" w:pos="2427"/>
                              </w:tabs>
                              <w:spacing w:before="61"/>
                              <w:ind w:right="-317"/>
                              <w:rPr>
                                <w:rFonts w:ascii="Arial MT" w:hAnsi="Arial MT"/>
                                <w:position w:val="-5"/>
                                <w:sz w:val="9"/>
                              </w:rPr>
                            </w:pPr>
                            <w:r>
                              <w:rPr>
                                <w:rFonts w:ascii="Arial MT" w:hAnsi="Arial MT"/>
                                <w:color w:val="001F60"/>
                                <w:position w:val="-5"/>
                                <w:sz w:val="9"/>
                              </w:rPr>
                              <w:t>15UI</w:t>
                            </w:r>
                            <w:r>
                              <w:rPr>
                                <w:rFonts w:ascii="Arial MT" w:hAnsi="Arial MT"/>
                                <w:color w:val="001F60"/>
                                <w:spacing w:val="78"/>
                                <w:position w:val="-5"/>
                                <w:sz w:val="9"/>
                              </w:rPr>
                              <w:t xml:space="preserve"> </w:t>
                            </w:r>
                            <w:r>
                              <w:rPr>
                                <w:rFonts w:ascii="Arial MT" w:hAnsi="Arial MT"/>
                                <w:color w:val="001F60"/>
                                <w:sz w:val="9"/>
                              </w:rPr>
                              <w:t>Implantação</w:t>
                            </w:r>
                            <w:r>
                              <w:rPr>
                                <w:rFonts w:ascii="Arial MT" w:hAnsi="Arial MT"/>
                                <w:color w:val="001F60"/>
                                <w:spacing w:val="1"/>
                                <w:sz w:val="9"/>
                              </w:rPr>
                              <w:t xml:space="preserve"> </w:t>
                            </w:r>
                            <w:r>
                              <w:rPr>
                                <w:rFonts w:ascii="Arial MT" w:hAnsi="Arial MT"/>
                                <w:color w:val="001F60"/>
                                <w:sz w:val="9"/>
                              </w:rPr>
                              <w:t>de</w:t>
                            </w:r>
                            <w:r>
                              <w:rPr>
                                <w:rFonts w:ascii="Arial MT" w:hAnsi="Arial MT"/>
                                <w:color w:val="001F60"/>
                                <w:spacing w:val="2"/>
                                <w:sz w:val="9"/>
                              </w:rPr>
                              <w:t xml:space="preserve"> </w:t>
                            </w:r>
                            <w:r>
                              <w:rPr>
                                <w:rFonts w:ascii="Arial MT" w:hAnsi="Arial MT"/>
                                <w:color w:val="001F60"/>
                                <w:sz w:val="9"/>
                              </w:rPr>
                              <w:t>Infraestrutura</w:t>
                            </w:r>
                            <w:r>
                              <w:rPr>
                                <w:rFonts w:ascii="Arial MT" w:hAnsi="Arial MT"/>
                                <w:color w:val="001F60"/>
                                <w:spacing w:val="1"/>
                                <w:sz w:val="9"/>
                              </w:rPr>
                              <w:t xml:space="preserve"> </w:t>
                            </w:r>
                            <w:r>
                              <w:rPr>
                                <w:rFonts w:ascii="Arial MT" w:hAnsi="Arial MT"/>
                                <w:color w:val="001F60"/>
                                <w:sz w:val="9"/>
                              </w:rPr>
                              <w:t>de</w:t>
                            </w:r>
                            <w:r>
                              <w:rPr>
                                <w:rFonts w:ascii="Arial MT" w:hAnsi="Arial MT"/>
                                <w:color w:val="001F60"/>
                                <w:spacing w:val="1"/>
                                <w:sz w:val="9"/>
                              </w:rPr>
                              <w:t xml:space="preserve"> </w:t>
                            </w:r>
                            <w:r>
                              <w:rPr>
                                <w:rFonts w:ascii="Arial MT" w:hAnsi="Arial MT"/>
                                <w:color w:val="001F60"/>
                                <w:sz w:val="9"/>
                              </w:rPr>
                              <w:t xml:space="preserve">Rede </w:t>
                            </w:r>
                            <w:r>
                              <w:rPr>
                                <w:rFonts w:ascii="Arial MT" w:hAnsi="Arial MT"/>
                                <w:color w:val="001F60"/>
                                <w:spacing w:val="-5"/>
                                <w:sz w:val="9"/>
                              </w:rPr>
                              <w:t>de</w:t>
                            </w:r>
                            <w:r>
                              <w:rPr>
                                <w:rFonts w:ascii="Times New Roman" w:hAnsi="Times New Roman"/>
                                <w:color w:val="001F60"/>
                                <w:sz w:val="9"/>
                              </w:rPr>
                              <w:tab/>
                            </w:r>
                            <w:r>
                              <w:rPr>
                                <w:rFonts w:ascii="Arial MT" w:hAnsi="Arial MT"/>
                                <w:color w:val="001F60"/>
                                <w:spacing w:val="-4"/>
                                <w:position w:val="-5"/>
                                <w:sz w:val="9"/>
                              </w:rPr>
                              <w:t>1050</w:t>
                            </w:r>
                          </w:p>
                        </w:tc>
                        <w:tc>
                          <w:tcPr>
                            <w:tcW w:w="2366" w:type="dxa"/>
                            <w:tcBorders>
                              <w:top w:val="single" w:sz="4" w:space="0" w:color="001F60"/>
                              <w:bottom w:val="single" w:sz="2" w:space="0" w:color="000000"/>
                            </w:tcBorders>
                          </w:tcPr>
                          <w:p w14:paraId="10E54521" w14:textId="77777777" w:rsidR="002C6574" w:rsidRDefault="002C6574">
                            <w:pPr>
                              <w:pStyle w:val="TableParagraph"/>
                              <w:spacing w:before="13"/>
                              <w:jc w:val="left"/>
                              <w:rPr>
                                <w:rFonts w:ascii="Calibri"/>
                                <w:sz w:val="9"/>
                              </w:rPr>
                            </w:pPr>
                          </w:p>
                          <w:p w14:paraId="4699B75D" w14:textId="77777777" w:rsidR="002C6574" w:rsidRDefault="00000000">
                            <w:pPr>
                              <w:pStyle w:val="TableParagraph"/>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Próprios</w:t>
                            </w:r>
                            <w:r>
                              <w:rPr>
                                <w:rFonts w:ascii="Arial MT" w:hAnsi="Arial MT"/>
                                <w:color w:val="001F60"/>
                                <w:spacing w:val="3"/>
                                <w:sz w:val="9"/>
                              </w:rPr>
                              <w:t xml:space="preserve"> </w:t>
                            </w:r>
                            <w:r>
                              <w:rPr>
                                <w:rFonts w:ascii="Arial MT" w:hAnsi="Arial MT"/>
                                <w:color w:val="001F60"/>
                                <w:sz w:val="9"/>
                              </w:rPr>
                              <w:t>Livres</w:t>
                            </w:r>
                            <w:r>
                              <w:rPr>
                                <w:rFonts w:ascii="Arial MT" w:hAnsi="Arial MT"/>
                                <w:color w:val="001F60"/>
                                <w:spacing w:val="2"/>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5"/>
                                <w:sz w:val="9"/>
                              </w:rPr>
                              <w:t>UO</w:t>
                            </w:r>
                          </w:p>
                        </w:tc>
                        <w:tc>
                          <w:tcPr>
                            <w:tcW w:w="663" w:type="dxa"/>
                            <w:tcBorders>
                              <w:top w:val="single" w:sz="4" w:space="0" w:color="001F60"/>
                              <w:bottom w:val="single" w:sz="2" w:space="0" w:color="000000"/>
                            </w:tcBorders>
                          </w:tcPr>
                          <w:p w14:paraId="121C435B" w14:textId="77777777" w:rsidR="002C6574" w:rsidRDefault="002C6574">
                            <w:pPr>
                              <w:pStyle w:val="TableParagraph"/>
                              <w:spacing w:before="13"/>
                              <w:jc w:val="left"/>
                              <w:rPr>
                                <w:rFonts w:ascii="Calibri"/>
                                <w:sz w:val="9"/>
                              </w:rPr>
                            </w:pPr>
                          </w:p>
                          <w:p w14:paraId="6150A1FE" w14:textId="77777777" w:rsidR="002C6574" w:rsidRDefault="00000000">
                            <w:pPr>
                              <w:pStyle w:val="TableParagraph"/>
                              <w:ind w:right="148"/>
                              <w:rPr>
                                <w:rFonts w:ascii="Arial MT"/>
                                <w:sz w:val="9"/>
                              </w:rPr>
                            </w:pPr>
                            <w:r>
                              <w:rPr>
                                <w:rFonts w:ascii="Arial MT"/>
                                <w:color w:val="001F60"/>
                                <w:spacing w:val="-2"/>
                                <w:sz w:val="9"/>
                              </w:rPr>
                              <w:t>59,53</w:t>
                            </w:r>
                          </w:p>
                        </w:tc>
                        <w:tc>
                          <w:tcPr>
                            <w:tcW w:w="616" w:type="dxa"/>
                            <w:tcBorders>
                              <w:top w:val="single" w:sz="4" w:space="0" w:color="001F60"/>
                              <w:bottom w:val="single" w:sz="2" w:space="0" w:color="000000"/>
                            </w:tcBorders>
                          </w:tcPr>
                          <w:p w14:paraId="6D63865B" w14:textId="77777777" w:rsidR="002C6574" w:rsidRDefault="002C6574">
                            <w:pPr>
                              <w:pStyle w:val="TableParagraph"/>
                              <w:spacing w:before="13"/>
                              <w:jc w:val="left"/>
                              <w:rPr>
                                <w:rFonts w:ascii="Calibri"/>
                                <w:sz w:val="9"/>
                              </w:rPr>
                            </w:pPr>
                          </w:p>
                          <w:p w14:paraId="1E263F48" w14:textId="77777777" w:rsidR="002C6574" w:rsidRDefault="00000000">
                            <w:pPr>
                              <w:pStyle w:val="TableParagraph"/>
                              <w:ind w:right="142"/>
                              <w:rPr>
                                <w:rFonts w:ascii="Arial MT"/>
                                <w:sz w:val="9"/>
                              </w:rPr>
                            </w:pPr>
                            <w:r>
                              <w:rPr>
                                <w:rFonts w:ascii="Arial MT"/>
                                <w:color w:val="001F60"/>
                                <w:spacing w:val="-2"/>
                                <w:sz w:val="9"/>
                              </w:rPr>
                              <w:t>59,53</w:t>
                            </w:r>
                          </w:p>
                        </w:tc>
                        <w:tc>
                          <w:tcPr>
                            <w:tcW w:w="612" w:type="dxa"/>
                            <w:tcBorders>
                              <w:top w:val="single" w:sz="4" w:space="0" w:color="001F60"/>
                              <w:bottom w:val="single" w:sz="2" w:space="0" w:color="000000"/>
                            </w:tcBorders>
                          </w:tcPr>
                          <w:p w14:paraId="3C566820" w14:textId="77777777" w:rsidR="002C6574" w:rsidRDefault="002C6574">
                            <w:pPr>
                              <w:pStyle w:val="TableParagraph"/>
                              <w:spacing w:before="13"/>
                              <w:jc w:val="left"/>
                              <w:rPr>
                                <w:rFonts w:ascii="Calibri"/>
                                <w:sz w:val="9"/>
                              </w:rPr>
                            </w:pPr>
                          </w:p>
                          <w:p w14:paraId="59E56B97" w14:textId="77777777" w:rsidR="002C6574" w:rsidRDefault="00000000">
                            <w:pPr>
                              <w:pStyle w:val="TableParagraph"/>
                              <w:ind w:right="131"/>
                              <w:rPr>
                                <w:rFonts w:ascii="Arial MT"/>
                                <w:sz w:val="9"/>
                              </w:rPr>
                            </w:pPr>
                            <w:r>
                              <w:rPr>
                                <w:rFonts w:ascii="Arial MT"/>
                                <w:color w:val="001F60"/>
                                <w:spacing w:val="-2"/>
                                <w:sz w:val="9"/>
                              </w:rPr>
                              <w:t>59,53</w:t>
                            </w:r>
                          </w:p>
                        </w:tc>
                        <w:tc>
                          <w:tcPr>
                            <w:tcW w:w="494" w:type="dxa"/>
                            <w:tcBorders>
                              <w:top w:val="single" w:sz="4" w:space="0" w:color="001F60"/>
                              <w:bottom w:val="single" w:sz="2" w:space="0" w:color="000000"/>
                            </w:tcBorders>
                          </w:tcPr>
                          <w:p w14:paraId="515D6322" w14:textId="77777777" w:rsidR="002C6574" w:rsidRDefault="002C6574">
                            <w:pPr>
                              <w:pStyle w:val="TableParagraph"/>
                              <w:spacing w:before="13"/>
                              <w:jc w:val="left"/>
                              <w:rPr>
                                <w:rFonts w:ascii="Calibri"/>
                                <w:sz w:val="9"/>
                              </w:rPr>
                            </w:pPr>
                          </w:p>
                          <w:p w14:paraId="06B1030B" w14:textId="77777777" w:rsidR="002C6574" w:rsidRDefault="00000000">
                            <w:pPr>
                              <w:pStyle w:val="TableParagraph"/>
                              <w:ind w:right="58"/>
                              <w:rPr>
                                <w:rFonts w:ascii="Arial MT"/>
                                <w:sz w:val="9"/>
                              </w:rPr>
                            </w:pPr>
                            <w:r>
                              <w:rPr>
                                <w:rFonts w:ascii="Arial MT"/>
                                <w:color w:val="001F60"/>
                                <w:spacing w:val="-2"/>
                                <w:sz w:val="9"/>
                              </w:rPr>
                              <w:t>59,53</w:t>
                            </w:r>
                          </w:p>
                        </w:tc>
                        <w:tc>
                          <w:tcPr>
                            <w:tcW w:w="563" w:type="dxa"/>
                            <w:tcBorders>
                              <w:top w:val="single" w:sz="4" w:space="0" w:color="001F60"/>
                              <w:bottom w:val="single" w:sz="2" w:space="0" w:color="000000"/>
                            </w:tcBorders>
                          </w:tcPr>
                          <w:p w14:paraId="4FCE81DB" w14:textId="77777777" w:rsidR="002C6574" w:rsidRDefault="002C6574">
                            <w:pPr>
                              <w:pStyle w:val="TableParagraph"/>
                              <w:spacing w:before="13"/>
                              <w:jc w:val="left"/>
                              <w:rPr>
                                <w:rFonts w:ascii="Calibri"/>
                                <w:sz w:val="9"/>
                              </w:rPr>
                            </w:pPr>
                          </w:p>
                          <w:p w14:paraId="405885A0" w14:textId="77777777" w:rsidR="002C6574" w:rsidRDefault="00000000">
                            <w:pPr>
                              <w:pStyle w:val="TableParagraph"/>
                              <w:ind w:left="10" w:right="27"/>
                              <w:jc w:val="center"/>
                              <w:rPr>
                                <w:rFonts w:ascii="Arial MT"/>
                                <w:sz w:val="9"/>
                              </w:rPr>
                            </w:pPr>
                            <w:r>
                              <w:rPr>
                                <w:rFonts w:ascii="Arial MT"/>
                                <w:color w:val="001F60"/>
                                <w:spacing w:val="-4"/>
                                <w:sz w:val="9"/>
                              </w:rPr>
                              <w:t>100%</w:t>
                            </w:r>
                          </w:p>
                        </w:tc>
                        <w:tc>
                          <w:tcPr>
                            <w:tcW w:w="553" w:type="dxa"/>
                            <w:tcBorders>
                              <w:top w:val="single" w:sz="4" w:space="0" w:color="001F60"/>
                              <w:bottom w:val="single" w:sz="2" w:space="0" w:color="000000"/>
                            </w:tcBorders>
                          </w:tcPr>
                          <w:p w14:paraId="1F0B2784" w14:textId="77777777" w:rsidR="002C6574" w:rsidRDefault="002C6574">
                            <w:pPr>
                              <w:pStyle w:val="TableParagraph"/>
                              <w:spacing w:before="13"/>
                              <w:jc w:val="left"/>
                              <w:rPr>
                                <w:rFonts w:ascii="Calibri"/>
                                <w:sz w:val="9"/>
                              </w:rPr>
                            </w:pPr>
                          </w:p>
                          <w:p w14:paraId="09F7A502" w14:textId="77777777" w:rsidR="002C6574" w:rsidRDefault="00000000">
                            <w:pPr>
                              <w:pStyle w:val="TableParagraph"/>
                              <w:ind w:left="9" w:right="9"/>
                              <w:jc w:val="center"/>
                              <w:rPr>
                                <w:rFonts w:ascii="Arial MT"/>
                                <w:sz w:val="9"/>
                              </w:rPr>
                            </w:pPr>
                            <w:r>
                              <w:rPr>
                                <w:rFonts w:ascii="Arial MT"/>
                                <w:color w:val="001F60"/>
                                <w:spacing w:val="-4"/>
                                <w:sz w:val="9"/>
                              </w:rPr>
                              <w:t>100%</w:t>
                            </w:r>
                          </w:p>
                        </w:tc>
                      </w:tr>
                      <w:tr w:rsidR="002C6574" w14:paraId="26D0B6AF" w14:textId="77777777">
                        <w:trPr>
                          <w:trHeight w:val="116"/>
                        </w:trPr>
                        <w:tc>
                          <w:tcPr>
                            <w:tcW w:w="3125" w:type="dxa"/>
                            <w:tcBorders>
                              <w:top w:val="single" w:sz="2" w:space="0" w:color="000000"/>
                            </w:tcBorders>
                          </w:tcPr>
                          <w:p w14:paraId="21FD9352" w14:textId="77777777" w:rsidR="002C6574" w:rsidRDefault="00000000">
                            <w:pPr>
                              <w:pStyle w:val="TableParagraph"/>
                              <w:tabs>
                                <w:tab w:val="right" w:pos="2427"/>
                              </w:tabs>
                              <w:spacing w:before="4" w:line="92" w:lineRule="exact"/>
                              <w:ind w:right="-317"/>
                              <w:rPr>
                                <w:rFonts w:ascii="Arial MT" w:hAnsi="Arial MT"/>
                                <w:sz w:val="9"/>
                              </w:rPr>
                            </w:pPr>
                            <w:r>
                              <w:rPr>
                                <w:rFonts w:ascii="Arial MT" w:hAnsi="Arial MT"/>
                                <w:color w:val="001F60"/>
                                <w:sz w:val="9"/>
                              </w:rPr>
                              <w:t>2000</w:t>
                            </w:r>
                            <w:r>
                              <w:rPr>
                                <w:rFonts w:ascii="Arial MT" w:hAnsi="Arial MT"/>
                                <w:color w:val="001F60"/>
                                <w:spacing w:val="67"/>
                                <w:sz w:val="9"/>
                              </w:rPr>
                              <w:t xml:space="preserve"> </w:t>
                            </w:r>
                            <w:r>
                              <w:rPr>
                                <w:rFonts w:ascii="Arial MT" w:hAnsi="Arial MT"/>
                                <w:color w:val="001F60"/>
                                <w:sz w:val="9"/>
                              </w:rPr>
                              <w:t>Administração</w:t>
                            </w:r>
                            <w:r>
                              <w:rPr>
                                <w:rFonts w:ascii="Arial MT" w:hAnsi="Arial MT"/>
                                <w:color w:val="001F60"/>
                                <w:spacing w:val="1"/>
                                <w:sz w:val="9"/>
                              </w:rPr>
                              <w:t xml:space="preserve"> </w:t>
                            </w:r>
                            <w:r>
                              <w:rPr>
                                <w:rFonts w:ascii="Arial MT" w:hAnsi="Arial MT"/>
                                <w:color w:val="001F60"/>
                                <w:sz w:val="9"/>
                              </w:rPr>
                              <w:t xml:space="preserve">da </w:t>
                            </w:r>
                            <w:r>
                              <w:rPr>
                                <w:rFonts w:ascii="Arial MT" w:hAnsi="Arial MT"/>
                                <w:color w:val="001F60"/>
                                <w:spacing w:val="-2"/>
                                <w:sz w:val="9"/>
                              </w:rPr>
                              <w:t>Unidade</w:t>
                            </w:r>
                            <w:r>
                              <w:rPr>
                                <w:rFonts w:ascii="Times New Roman" w:hAnsi="Times New Roman"/>
                                <w:color w:val="001F60"/>
                                <w:sz w:val="9"/>
                              </w:rPr>
                              <w:tab/>
                            </w:r>
                            <w:r>
                              <w:rPr>
                                <w:rFonts w:ascii="Arial MT" w:hAnsi="Arial MT"/>
                                <w:color w:val="001F60"/>
                                <w:spacing w:val="-4"/>
                                <w:sz w:val="9"/>
                              </w:rPr>
                              <w:t>1000</w:t>
                            </w:r>
                          </w:p>
                        </w:tc>
                        <w:tc>
                          <w:tcPr>
                            <w:tcW w:w="2366" w:type="dxa"/>
                            <w:tcBorders>
                              <w:top w:val="single" w:sz="2" w:space="0" w:color="000000"/>
                            </w:tcBorders>
                          </w:tcPr>
                          <w:p w14:paraId="1809780C" w14:textId="77777777" w:rsidR="002C6574" w:rsidRDefault="00000000">
                            <w:pPr>
                              <w:pStyle w:val="TableParagraph"/>
                              <w:spacing w:before="4" w:line="92" w:lineRule="exact"/>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Livres</w:t>
                            </w:r>
                            <w:r>
                              <w:rPr>
                                <w:rFonts w:ascii="Arial MT" w:hAnsi="Arial MT"/>
                                <w:color w:val="001F60"/>
                                <w:spacing w:val="3"/>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2"/>
                                <w:sz w:val="9"/>
                              </w:rPr>
                              <w:t>União</w:t>
                            </w:r>
                          </w:p>
                        </w:tc>
                        <w:tc>
                          <w:tcPr>
                            <w:tcW w:w="663" w:type="dxa"/>
                            <w:tcBorders>
                              <w:top w:val="single" w:sz="2" w:space="0" w:color="000000"/>
                            </w:tcBorders>
                          </w:tcPr>
                          <w:p w14:paraId="3E4F343C" w14:textId="77777777" w:rsidR="002C6574" w:rsidRDefault="00000000">
                            <w:pPr>
                              <w:pStyle w:val="TableParagraph"/>
                              <w:spacing w:before="4" w:line="92" w:lineRule="exact"/>
                              <w:ind w:right="148"/>
                              <w:rPr>
                                <w:rFonts w:ascii="Arial MT"/>
                                <w:sz w:val="9"/>
                              </w:rPr>
                            </w:pPr>
                            <w:r>
                              <w:rPr>
                                <w:rFonts w:ascii="Arial MT"/>
                                <w:color w:val="001F60"/>
                                <w:spacing w:val="-2"/>
                                <w:sz w:val="9"/>
                              </w:rPr>
                              <w:t>13,05</w:t>
                            </w:r>
                          </w:p>
                        </w:tc>
                        <w:tc>
                          <w:tcPr>
                            <w:tcW w:w="616" w:type="dxa"/>
                            <w:tcBorders>
                              <w:top w:val="single" w:sz="2" w:space="0" w:color="000000"/>
                            </w:tcBorders>
                          </w:tcPr>
                          <w:p w14:paraId="7F93AD65" w14:textId="77777777" w:rsidR="002C6574" w:rsidRDefault="00000000">
                            <w:pPr>
                              <w:pStyle w:val="TableParagraph"/>
                              <w:spacing w:before="4" w:line="92" w:lineRule="exact"/>
                              <w:ind w:right="142"/>
                              <w:rPr>
                                <w:rFonts w:ascii="Arial MT"/>
                                <w:sz w:val="9"/>
                              </w:rPr>
                            </w:pPr>
                            <w:r>
                              <w:rPr>
                                <w:rFonts w:ascii="Arial MT"/>
                                <w:color w:val="001F60"/>
                                <w:spacing w:val="-2"/>
                                <w:sz w:val="9"/>
                              </w:rPr>
                              <w:t>13,05</w:t>
                            </w:r>
                          </w:p>
                        </w:tc>
                        <w:tc>
                          <w:tcPr>
                            <w:tcW w:w="612" w:type="dxa"/>
                            <w:tcBorders>
                              <w:top w:val="single" w:sz="2" w:space="0" w:color="000000"/>
                            </w:tcBorders>
                          </w:tcPr>
                          <w:p w14:paraId="5F700675" w14:textId="77777777" w:rsidR="002C6574" w:rsidRDefault="00000000">
                            <w:pPr>
                              <w:pStyle w:val="TableParagraph"/>
                              <w:spacing w:before="4" w:line="92" w:lineRule="exact"/>
                              <w:ind w:right="131"/>
                              <w:rPr>
                                <w:rFonts w:ascii="Arial MT"/>
                                <w:sz w:val="9"/>
                              </w:rPr>
                            </w:pPr>
                            <w:r>
                              <w:rPr>
                                <w:rFonts w:ascii="Arial MT"/>
                                <w:color w:val="001F60"/>
                                <w:spacing w:val="-2"/>
                                <w:sz w:val="9"/>
                              </w:rPr>
                              <w:t>13,05</w:t>
                            </w:r>
                          </w:p>
                        </w:tc>
                        <w:tc>
                          <w:tcPr>
                            <w:tcW w:w="494" w:type="dxa"/>
                            <w:tcBorders>
                              <w:top w:val="single" w:sz="2" w:space="0" w:color="000000"/>
                            </w:tcBorders>
                          </w:tcPr>
                          <w:p w14:paraId="67B49FA0" w14:textId="77777777" w:rsidR="002C6574" w:rsidRDefault="00000000">
                            <w:pPr>
                              <w:pStyle w:val="TableParagraph"/>
                              <w:spacing w:before="4" w:line="92" w:lineRule="exact"/>
                              <w:ind w:right="58"/>
                              <w:rPr>
                                <w:rFonts w:ascii="Arial MT"/>
                                <w:sz w:val="9"/>
                              </w:rPr>
                            </w:pPr>
                            <w:r>
                              <w:rPr>
                                <w:rFonts w:ascii="Arial MT"/>
                                <w:color w:val="001F60"/>
                                <w:spacing w:val="-2"/>
                                <w:sz w:val="9"/>
                              </w:rPr>
                              <w:t>13,05</w:t>
                            </w:r>
                          </w:p>
                        </w:tc>
                        <w:tc>
                          <w:tcPr>
                            <w:tcW w:w="563" w:type="dxa"/>
                            <w:tcBorders>
                              <w:top w:val="single" w:sz="2" w:space="0" w:color="000000"/>
                            </w:tcBorders>
                          </w:tcPr>
                          <w:p w14:paraId="175CB743" w14:textId="77777777" w:rsidR="002C6574" w:rsidRDefault="00000000">
                            <w:pPr>
                              <w:pStyle w:val="TableParagraph"/>
                              <w:spacing w:before="4" w:line="92" w:lineRule="exact"/>
                              <w:ind w:left="10" w:right="27"/>
                              <w:jc w:val="center"/>
                              <w:rPr>
                                <w:rFonts w:ascii="Arial MT"/>
                                <w:sz w:val="9"/>
                              </w:rPr>
                            </w:pPr>
                            <w:r>
                              <w:rPr>
                                <w:rFonts w:ascii="Arial MT"/>
                                <w:color w:val="001F60"/>
                                <w:spacing w:val="-4"/>
                                <w:sz w:val="9"/>
                              </w:rPr>
                              <w:t>100%</w:t>
                            </w:r>
                          </w:p>
                        </w:tc>
                        <w:tc>
                          <w:tcPr>
                            <w:tcW w:w="553" w:type="dxa"/>
                            <w:tcBorders>
                              <w:top w:val="single" w:sz="2" w:space="0" w:color="000000"/>
                            </w:tcBorders>
                          </w:tcPr>
                          <w:p w14:paraId="5AEF3BA9" w14:textId="77777777" w:rsidR="002C6574" w:rsidRDefault="00000000">
                            <w:pPr>
                              <w:pStyle w:val="TableParagraph"/>
                              <w:spacing w:before="4" w:line="92" w:lineRule="exact"/>
                              <w:ind w:left="9" w:right="9"/>
                              <w:jc w:val="center"/>
                              <w:rPr>
                                <w:rFonts w:ascii="Arial MT"/>
                                <w:sz w:val="9"/>
                              </w:rPr>
                            </w:pPr>
                            <w:r>
                              <w:rPr>
                                <w:rFonts w:ascii="Arial MT"/>
                                <w:color w:val="001F60"/>
                                <w:spacing w:val="-4"/>
                                <w:sz w:val="9"/>
                              </w:rPr>
                              <w:t>100%</w:t>
                            </w:r>
                          </w:p>
                        </w:tc>
                      </w:tr>
                      <w:tr w:rsidR="002C6574" w14:paraId="306731CB" w14:textId="77777777">
                        <w:trPr>
                          <w:trHeight w:val="118"/>
                        </w:trPr>
                        <w:tc>
                          <w:tcPr>
                            <w:tcW w:w="3125" w:type="dxa"/>
                          </w:tcPr>
                          <w:p w14:paraId="2FFD2DD1" w14:textId="77777777" w:rsidR="002C6574" w:rsidRDefault="00000000">
                            <w:pPr>
                              <w:pStyle w:val="TableParagraph"/>
                              <w:tabs>
                                <w:tab w:val="right" w:pos="2427"/>
                              </w:tabs>
                              <w:spacing w:before="7" w:line="91" w:lineRule="exact"/>
                              <w:ind w:right="-317"/>
                              <w:rPr>
                                <w:rFonts w:ascii="Arial MT" w:hAnsi="Arial MT"/>
                                <w:sz w:val="9"/>
                              </w:rPr>
                            </w:pPr>
                            <w:r>
                              <w:rPr>
                                <w:rFonts w:ascii="Arial MT" w:hAnsi="Arial MT"/>
                                <w:color w:val="001F60"/>
                                <w:sz w:val="9"/>
                              </w:rPr>
                              <w:t>2000</w:t>
                            </w:r>
                            <w:r>
                              <w:rPr>
                                <w:rFonts w:ascii="Arial MT" w:hAnsi="Arial MT"/>
                                <w:color w:val="001F60"/>
                                <w:spacing w:val="67"/>
                                <w:sz w:val="9"/>
                              </w:rPr>
                              <w:t xml:space="preserve"> </w:t>
                            </w:r>
                            <w:r>
                              <w:rPr>
                                <w:rFonts w:ascii="Arial MT" w:hAnsi="Arial MT"/>
                                <w:color w:val="001F60"/>
                                <w:sz w:val="9"/>
                              </w:rPr>
                              <w:t>Administração</w:t>
                            </w:r>
                            <w:r>
                              <w:rPr>
                                <w:rFonts w:ascii="Arial MT" w:hAnsi="Arial MT"/>
                                <w:color w:val="001F60"/>
                                <w:spacing w:val="1"/>
                                <w:sz w:val="9"/>
                              </w:rPr>
                              <w:t xml:space="preserve"> </w:t>
                            </w:r>
                            <w:r>
                              <w:rPr>
                                <w:rFonts w:ascii="Arial MT" w:hAnsi="Arial MT"/>
                                <w:color w:val="001F60"/>
                                <w:sz w:val="9"/>
                              </w:rPr>
                              <w:t xml:space="preserve">da </w:t>
                            </w:r>
                            <w:r>
                              <w:rPr>
                                <w:rFonts w:ascii="Arial MT" w:hAnsi="Arial MT"/>
                                <w:color w:val="001F60"/>
                                <w:spacing w:val="-2"/>
                                <w:sz w:val="9"/>
                              </w:rPr>
                              <w:t>Unidade</w:t>
                            </w:r>
                            <w:r>
                              <w:rPr>
                                <w:rFonts w:ascii="Times New Roman" w:hAnsi="Times New Roman"/>
                                <w:color w:val="001F60"/>
                                <w:sz w:val="9"/>
                              </w:rPr>
                              <w:tab/>
                            </w:r>
                            <w:r>
                              <w:rPr>
                                <w:rFonts w:ascii="Arial MT" w:hAnsi="Arial MT"/>
                                <w:color w:val="001F60"/>
                                <w:spacing w:val="-4"/>
                                <w:sz w:val="9"/>
                              </w:rPr>
                              <w:t>1050</w:t>
                            </w:r>
                          </w:p>
                        </w:tc>
                        <w:tc>
                          <w:tcPr>
                            <w:tcW w:w="2366" w:type="dxa"/>
                          </w:tcPr>
                          <w:p w14:paraId="1ED38764" w14:textId="77777777" w:rsidR="002C6574" w:rsidRDefault="00000000">
                            <w:pPr>
                              <w:pStyle w:val="TableParagraph"/>
                              <w:spacing w:before="7" w:line="91" w:lineRule="exact"/>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Próprios</w:t>
                            </w:r>
                            <w:r>
                              <w:rPr>
                                <w:rFonts w:ascii="Arial MT" w:hAnsi="Arial MT"/>
                                <w:color w:val="001F60"/>
                                <w:spacing w:val="3"/>
                                <w:sz w:val="9"/>
                              </w:rPr>
                              <w:t xml:space="preserve"> </w:t>
                            </w:r>
                            <w:r>
                              <w:rPr>
                                <w:rFonts w:ascii="Arial MT" w:hAnsi="Arial MT"/>
                                <w:color w:val="001F60"/>
                                <w:sz w:val="9"/>
                              </w:rPr>
                              <w:t>Livres</w:t>
                            </w:r>
                            <w:r>
                              <w:rPr>
                                <w:rFonts w:ascii="Arial MT" w:hAnsi="Arial MT"/>
                                <w:color w:val="001F60"/>
                                <w:spacing w:val="2"/>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5"/>
                                <w:sz w:val="9"/>
                              </w:rPr>
                              <w:t>UO</w:t>
                            </w:r>
                          </w:p>
                        </w:tc>
                        <w:tc>
                          <w:tcPr>
                            <w:tcW w:w="663" w:type="dxa"/>
                          </w:tcPr>
                          <w:p w14:paraId="33FDC05A" w14:textId="77777777" w:rsidR="002C6574" w:rsidRDefault="00000000">
                            <w:pPr>
                              <w:pStyle w:val="TableParagraph"/>
                              <w:spacing w:before="7" w:line="91" w:lineRule="exact"/>
                              <w:ind w:right="148"/>
                              <w:rPr>
                                <w:rFonts w:ascii="Arial MT"/>
                                <w:sz w:val="9"/>
                              </w:rPr>
                            </w:pPr>
                            <w:r>
                              <w:rPr>
                                <w:rFonts w:ascii="Arial MT"/>
                                <w:color w:val="001F60"/>
                                <w:spacing w:val="-2"/>
                                <w:sz w:val="9"/>
                              </w:rPr>
                              <w:t>16,23</w:t>
                            </w:r>
                          </w:p>
                        </w:tc>
                        <w:tc>
                          <w:tcPr>
                            <w:tcW w:w="616" w:type="dxa"/>
                          </w:tcPr>
                          <w:p w14:paraId="28C8F8F0" w14:textId="77777777" w:rsidR="002C6574" w:rsidRDefault="00000000">
                            <w:pPr>
                              <w:pStyle w:val="TableParagraph"/>
                              <w:spacing w:before="7" w:line="91" w:lineRule="exact"/>
                              <w:ind w:right="142"/>
                              <w:rPr>
                                <w:rFonts w:ascii="Arial MT"/>
                                <w:sz w:val="9"/>
                              </w:rPr>
                            </w:pPr>
                            <w:r>
                              <w:rPr>
                                <w:rFonts w:ascii="Arial MT"/>
                                <w:color w:val="001F60"/>
                                <w:spacing w:val="-2"/>
                                <w:sz w:val="9"/>
                              </w:rPr>
                              <w:t>16,23</w:t>
                            </w:r>
                          </w:p>
                        </w:tc>
                        <w:tc>
                          <w:tcPr>
                            <w:tcW w:w="612" w:type="dxa"/>
                          </w:tcPr>
                          <w:p w14:paraId="4102EA86" w14:textId="77777777" w:rsidR="002C6574" w:rsidRDefault="00000000">
                            <w:pPr>
                              <w:pStyle w:val="TableParagraph"/>
                              <w:spacing w:before="7" w:line="91" w:lineRule="exact"/>
                              <w:ind w:right="131"/>
                              <w:rPr>
                                <w:rFonts w:ascii="Arial MT"/>
                                <w:sz w:val="9"/>
                              </w:rPr>
                            </w:pPr>
                            <w:r>
                              <w:rPr>
                                <w:rFonts w:ascii="Arial MT"/>
                                <w:color w:val="001F60"/>
                                <w:spacing w:val="-2"/>
                                <w:sz w:val="9"/>
                              </w:rPr>
                              <w:t>16,23</w:t>
                            </w:r>
                          </w:p>
                        </w:tc>
                        <w:tc>
                          <w:tcPr>
                            <w:tcW w:w="494" w:type="dxa"/>
                          </w:tcPr>
                          <w:p w14:paraId="27EC00A1" w14:textId="77777777" w:rsidR="002C6574" w:rsidRDefault="00000000">
                            <w:pPr>
                              <w:pStyle w:val="TableParagraph"/>
                              <w:spacing w:before="7" w:line="91" w:lineRule="exact"/>
                              <w:ind w:right="58"/>
                              <w:rPr>
                                <w:rFonts w:ascii="Arial MT"/>
                                <w:sz w:val="9"/>
                              </w:rPr>
                            </w:pPr>
                            <w:r>
                              <w:rPr>
                                <w:rFonts w:ascii="Arial MT"/>
                                <w:color w:val="001F60"/>
                                <w:spacing w:val="-2"/>
                                <w:sz w:val="9"/>
                              </w:rPr>
                              <w:t>16,23</w:t>
                            </w:r>
                          </w:p>
                        </w:tc>
                        <w:tc>
                          <w:tcPr>
                            <w:tcW w:w="563" w:type="dxa"/>
                          </w:tcPr>
                          <w:p w14:paraId="23E0F42F" w14:textId="77777777" w:rsidR="002C6574" w:rsidRDefault="00000000">
                            <w:pPr>
                              <w:pStyle w:val="TableParagraph"/>
                              <w:spacing w:before="7" w:line="91" w:lineRule="exact"/>
                              <w:ind w:left="10" w:right="27"/>
                              <w:jc w:val="center"/>
                              <w:rPr>
                                <w:rFonts w:ascii="Arial MT"/>
                                <w:sz w:val="9"/>
                              </w:rPr>
                            </w:pPr>
                            <w:r>
                              <w:rPr>
                                <w:rFonts w:ascii="Arial MT"/>
                                <w:color w:val="001F60"/>
                                <w:spacing w:val="-4"/>
                                <w:sz w:val="9"/>
                              </w:rPr>
                              <w:t>100%</w:t>
                            </w:r>
                          </w:p>
                        </w:tc>
                        <w:tc>
                          <w:tcPr>
                            <w:tcW w:w="553" w:type="dxa"/>
                          </w:tcPr>
                          <w:p w14:paraId="080484CC" w14:textId="77777777" w:rsidR="002C6574" w:rsidRDefault="00000000">
                            <w:pPr>
                              <w:pStyle w:val="TableParagraph"/>
                              <w:spacing w:before="7" w:line="91" w:lineRule="exact"/>
                              <w:ind w:left="9" w:right="9"/>
                              <w:jc w:val="center"/>
                              <w:rPr>
                                <w:rFonts w:ascii="Arial MT"/>
                                <w:sz w:val="9"/>
                              </w:rPr>
                            </w:pPr>
                            <w:r>
                              <w:rPr>
                                <w:rFonts w:ascii="Arial MT"/>
                                <w:color w:val="001F60"/>
                                <w:spacing w:val="-4"/>
                                <w:sz w:val="9"/>
                              </w:rPr>
                              <w:t>100%</w:t>
                            </w:r>
                          </w:p>
                        </w:tc>
                      </w:tr>
                      <w:tr w:rsidR="002C6574" w14:paraId="6C028DB2" w14:textId="77777777">
                        <w:trPr>
                          <w:trHeight w:val="115"/>
                        </w:trPr>
                        <w:tc>
                          <w:tcPr>
                            <w:tcW w:w="3125" w:type="dxa"/>
                            <w:tcBorders>
                              <w:bottom w:val="single" w:sz="2" w:space="0" w:color="000000"/>
                            </w:tcBorders>
                          </w:tcPr>
                          <w:p w14:paraId="01EE0E9E" w14:textId="77777777" w:rsidR="002C6574" w:rsidRDefault="00000000">
                            <w:pPr>
                              <w:pStyle w:val="TableParagraph"/>
                              <w:tabs>
                                <w:tab w:val="left" w:pos="2222"/>
                              </w:tabs>
                              <w:spacing w:before="6" w:line="89" w:lineRule="exact"/>
                              <w:ind w:right="-317"/>
                              <w:rPr>
                                <w:rFonts w:ascii="Arial MT" w:hAnsi="Arial MT"/>
                                <w:sz w:val="9"/>
                              </w:rPr>
                            </w:pPr>
                            <w:r>
                              <w:rPr>
                                <w:rFonts w:ascii="Arial MT" w:hAnsi="Arial MT"/>
                                <w:color w:val="001F60"/>
                                <w:sz w:val="9"/>
                              </w:rPr>
                              <w:t>2000</w:t>
                            </w:r>
                            <w:r>
                              <w:rPr>
                                <w:rFonts w:ascii="Arial MT" w:hAnsi="Arial MT"/>
                                <w:color w:val="001F60"/>
                                <w:spacing w:val="67"/>
                                <w:sz w:val="9"/>
                              </w:rPr>
                              <w:t xml:space="preserve"> </w:t>
                            </w:r>
                            <w:r>
                              <w:rPr>
                                <w:rFonts w:ascii="Arial MT" w:hAnsi="Arial MT"/>
                                <w:color w:val="001F60"/>
                                <w:sz w:val="9"/>
                              </w:rPr>
                              <w:t>Administração</w:t>
                            </w:r>
                            <w:r>
                              <w:rPr>
                                <w:rFonts w:ascii="Arial MT" w:hAnsi="Arial MT"/>
                                <w:color w:val="001F60"/>
                                <w:spacing w:val="1"/>
                                <w:sz w:val="9"/>
                              </w:rPr>
                              <w:t xml:space="preserve"> </w:t>
                            </w:r>
                            <w:r>
                              <w:rPr>
                                <w:rFonts w:ascii="Arial MT" w:hAnsi="Arial MT"/>
                                <w:color w:val="001F60"/>
                                <w:sz w:val="9"/>
                              </w:rPr>
                              <w:t xml:space="preserve">da </w:t>
                            </w:r>
                            <w:r>
                              <w:rPr>
                                <w:rFonts w:ascii="Arial MT" w:hAnsi="Arial MT"/>
                                <w:color w:val="001F60"/>
                                <w:spacing w:val="-2"/>
                                <w:sz w:val="9"/>
                              </w:rPr>
                              <w:t>Unidade</w:t>
                            </w:r>
                            <w:r>
                              <w:rPr>
                                <w:rFonts w:ascii="Times New Roman" w:hAnsi="Times New Roman"/>
                                <w:color w:val="001F60"/>
                                <w:sz w:val="9"/>
                              </w:rPr>
                              <w:tab/>
                            </w:r>
                            <w:r>
                              <w:rPr>
                                <w:rFonts w:ascii="Arial MT" w:hAnsi="Arial MT"/>
                                <w:color w:val="001F60"/>
                                <w:spacing w:val="-4"/>
                                <w:sz w:val="9"/>
                              </w:rPr>
                              <w:t>3050</w:t>
                            </w:r>
                          </w:p>
                        </w:tc>
                        <w:tc>
                          <w:tcPr>
                            <w:tcW w:w="2366" w:type="dxa"/>
                            <w:tcBorders>
                              <w:bottom w:val="single" w:sz="2" w:space="0" w:color="000000"/>
                            </w:tcBorders>
                          </w:tcPr>
                          <w:p w14:paraId="24B37D05" w14:textId="77777777" w:rsidR="002C6574" w:rsidRDefault="00000000">
                            <w:pPr>
                              <w:pStyle w:val="TableParagraph"/>
                              <w:spacing w:before="6" w:line="89" w:lineRule="exact"/>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Próprios</w:t>
                            </w:r>
                            <w:r>
                              <w:rPr>
                                <w:rFonts w:ascii="Arial MT" w:hAnsi="Arial MT"/>
                                <w:color w:val="001F60"/>
                                <w:spacing w:val="3"/>
                                <w:sz w:val="9"/>
                              </w:rPr>
                              <w:t xml:space="preserve"> </w:t>
                            </w:r>
                            <w:r>
                              <w:rPr>
                                <w:rFonts w:ascii="Arial MT" w:hAnsi="Arial MT"/>
                                <w:color w:val="001F60"/>
                                <w:sz w:val="9"/>
                              </w:rPr>
                              <w:t>Livres</w:t>
                            </w:r>
                            <w:r>
                              <w:rPr>
                                <w:rFonts w:ascii="Arial MT" w:hAnsi="Arial MT"/>
                                <w:color w:val="001F60"/>
                                <w:spacing w:val="2"/>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5"/>
                                <w:sz w:val="9"/>
                              </w:rPr>
                              <w:t>UO</w:t>
                            </w:r>
                          </w:p>
                        </w:tc>
                        <w:tc>
                          <w:tcPr>
                            <w:tcW w:w="663" w:type="dxa"/>
                            <w:tcBorders>
                              <w:bottom w:val="single" w:sz="2" w:space="0" w:color="000000"/>
                            </w:tcBorders>
                          </w:tcPr>
                          <w:p w14:paraId="14CFF673" w14:textId="77777777" w:rsidR="002C6574" w:rsidRDefault="00000000">
                            <w:pPr>
                              <w:pStyle w:val="TableParagraph"/>
                              <w:spacing w:before="6" w:line="89" w:lineRule="exact"/>
                              <w:ind w:right="148"/>
                              <w:rPr>
                                <w:rFonts w:ascii="Arial MT"/>
                                <w:sz w:val="9"/>
                              </w:rPr>
                            </w:pPr>
                            <w:r>
                              <w:rPr>
                                <w:rFonts w:ascii="Arial MT"/>
                                <w:color w:val="001F60"/>
                                <w:spacing w:val="-4"/>
                                <w:sz w:val="9"/>
                              </w:rPr>
                              <w:t>0,14</w:t>
                            </w:r>
                          </w:p>
                        </w:tc>
                        <w:tc>
                          <w:tcPr>
                            <w:tcW w:w="616" w:type="dxa"/>
                            <w:tcBorders>
                              <w:bottom w:val="single" w:sz="2" w:space="0" w:color="000000"/>
                            </w:tcBorders>
                          </w:tcPr>
                          <w:p w14:paraId="092E44CA" w14:textId="77777777" w:rsidR="002C6574" w:rsidRDefault="00000000">
                            <w:pPr>
                              <w:pStyle w:val="TableParagraph"/>
                              <w:spacing w:before="6" w:line="89" w:lineRule="exact"/>
                              <w:ind w:right="142"/>
                              <w:rPr>
                                <w:rFonts w:ascii="Arial MT"/>
                                <w:sz w:val="9"/>
                              </w:rPr>
                            </w:pPr>
                            <w:r>
                              <w:rPr>
                                <w:rFonts w:ascii="Arial MT"/>
                                <w:color w:val="001F60"/>
                                <w:spacing w:val="-4"/>
                                <w:sz w:val="9"/>
                              </w:rPr>
                              <w:t>0,14</w:t>
                            </w:r>
                          </w:p>
                        </w:tc>
                        <w:tc>
                          <w:tcPr>
                            <w:tcW w:w="612" w:type="dxa"/>
                            <w:tcBorders>
                              <w:bottom w:val="single" w:sz="2" w:space="0" w:color="000000"/>
                            </w:tcBorders>
                          </w:tcPr>
                          <w:p w14:paraId="4F11B6E6" w14:textId="77777777" w:rsidR="002C6574" w:rsidRDefault="00000000">
                            <w:pPr>
                              <w:pStyle w:val="TableParagraph"/>
                              <w:spacing w:before="6" w:line="89" w:lineRule="exact"/>
                              <w:ind w:right="131"/>
                              <w:rPr>
                                <w:rFonts w:ascii="Arial MT"/>
                                <w:sz w:val="9"/>
                              </w:rPr>
                            </w:pPr>
                            <w:r>
                              <w:rPr>
                                <w:rFonts w:ascii="Arial MT"/>
                                <w:color w:val="001F60"/>
                                <w:spacing w:val="-4"/>
                                <w:sz w:val="9"/>
                              </w:rPr>
                              <w:t>0,14</w:t>
                            </w:r>
                          </w:p>
                        </w:tc>
                        <w:tc>
                          <w:tcPr>
                            <w:tcW w:w="494" w:type="dxa"/>
                            <w:tcBorders>
                              <w:bottom w:val="single" w:sz="2" w:space="0" w:color="000000"/>
                            </w:tcBorders>
                          </w:tcPr>
                          <w:p w14:paraId="75A27443" w14:textId="77777777" w:rsidR="002C6574" w:rsidRDefault="00000000">
                            <w:pPr>
                              <w:pStyle w:val="TableParagraph"/>
                              <w:spacing w:before="6" w:line="89" w:lineRule="exact"/>
                              <w:ind w:right="58"/>
                              <w:rPr>
                                <w:rFonts w:ascii="Arial MT"/>
                                <w:sz w:val="9"/>
                              </w:rPr>
                            </w:pPr>
                            <w:r>
                              <w:rPr>
                                <w:rFonts w:ascii="Arial MT"/>
                                <w:color w:val="001F60"/>
                                <w:spacing w:val="-4"/>
                                <w:sz w:val="9"/>
                              </w:rPr>
                              <w:t>0,14</w:t>
                            </w:r>
                          </w:p>
                        </w:tc>
                        <w:tc>
                          <w:tcPr>
                            <w:tcW w:w="563" w:type="dxa"/>
                            <w:tcBorders>
                              <w:bottom w:val="single" w:sz="2" w:space="0" w:color="000000"/>
                            </w:tcBorders>
                          </w:tcPr>
                          <w:p w14:paraId="74531EF4" w14:textId="77777777" w:rsidR="002C6574" w:rsidRDefault="00000000">
                            <w:pPr>
                              <w:pStyle w:val="TableParagraph"/>
                              <w:spacing w:before="6" w:line="89" w:lineRule="exact"/>
                              <w:ind w:left="10" w:right="27"/>
                              <w:jc w:val="center"/>
                              <w:rPr>
                                <w:rFonts w:ascii="Arial MT"/>
                                <w:sz w:val="9"/>
                              </w:rPr>
                            </w:pPr>
                            <w:r>
                              <w:rPr>
                                <w:rFonts w:ascii="Arial MT"/>
                                <w:color w:val="001F60"/>
                                <w:spacing w:val="-4"/>
                                <w:sz w:val="9"/>
                              </w:rPr>
                              <w:t>100%</w:t>
                            </w:r>
                          </w:p>
                        </w:tc>
                        <w:tc>
                          <w:tcPr>
                            <w:tcW w:w="553" w:type="dxa"/>
                            <w:tcBorders>
                              <w:bottom w:val="single" w:sz="2" w:space="0" w:color="000000"/>
                            </w:tcBorders>
                          </w:tcPr>
                          <w:p w14:paraId="33D77725" w14:textId="77777777" w:rsidR="002C6574" w:rsidRDefault="00000000">
                            <w:pPr>
                              <w:pStyle w:val="TableParagraph"/>
                              <w:spacing w:before="6" w:line="89" w:lineRule="exact"/>
                              <w:ind w:left="9" w:right="9"/>
                              <w:jc w:val="center"/>
                              <w:rPr>
                                <w:rFonts w:ascii="Arial MT"/>
                                <w:sz w:val="9"/>
                              </w:rPr>
                            </w:pPr>
                            <w:r>
                              <w:rPr>
                                <w:rFonts w:ascii="Arial MT"/>
                                <w:color w:val="001F60"/>
                                <w:spacing w:val="-4"/>
                                <w:sz w:val="9"/>
                              </w:rPr>
                              <w:t>100%</w:t>
                            </w:r>
                          </w:p>
                        </w:tc>
                      </w:tr>
                      <w:tr w:rsidR="002C6574" w14:paraId="74DA9BC6" w14:textId="77777777">
                        <w:trPr>
                          <w:trHeight w:val="232"/>
                        </w:trPr>
                        <w:tc>
                          <w:tcPr>
                            <w:tcW w:w="3125" w:type="dxa"/>
                            <w:tcBorders>
                              <w:top w:val="single" w:sz="2" w:space="0" w:color="000000"/>
                              <w:bottom w:val="single" w:sz="2" w:space="0" w:color="000000"/>
                            </w:tcBorders>
                          </w:tcPr>
                          <w:p w14:paraId="3902DBE7" w14:textId="77777777" w:rsidR="002C6574" w:rsidRDefault="00000000">
                            <w:pPr>
                              <w:pStyle w:val="TableParagraph"/>
                              <w:tabs>
                                <w:tab w:val="left" w:pos="2222"/>
                              </w:tabs>
                              <w:spacing w:before="4"/>
                              <w:ind w:right="-317"/>
                              <w:rPr>
                                <w:rFonts w:ascii="Arial MT" w:hAnsi="Arial MT"/>
                                <w:position w:val="-5"/>
                                <w:sz w:val="9"/>
                              </w:rPr>
                            </w:pPr>
                            <w:r>
                              <w:rPr>
                                <w:rFonts w:ascii="Arial MT" w:hAnsi="Arial MT"/>
                                <w:color w:val="001F60"/>
                                <w:position w:val="-5"/>
                                <w:sz w:val="9"/>
                              </w:rPr>
                              <w:t>216H</w:t>
                            </w:r>
                            <w:r>
                              <w:rPr>
                                <w:rFonts w:ascii="Arial MT" w:hAnsi="Arial MT"/>
                                <w:color w:val="001F60"/>
                                <w:spacing w:val="54"/>
                                <w:position w:val="-5"/>
                                <w:sz w:val="9"/>
                              </w:rPr>
                              <w:t xml:space="preserve"> </w:t>
                            </w:r>
                            <w:r>
                              <w:rPr>
                                <w:rFonts w:ascii="Arial MT" w:hAnsi="Arial MT"/>
                                <w:color w:val="001F60"/>
                                <w:sz w:val="9"/>
                              </w:rPr>
                              <w:t>Ajuda</w:t>
                            </w:r>
                            <w:r>
                              <w:rPr>
                                <w:rFonts w:ascii="Arial MT" w:hAnsi="Arial MT"/>
                                <w:color w:val="001F60"/>
                                <w:spacing w:val="4"/>
                                <w:sz w:val="9"/>
                              </w:rPr>
                              <w:t xml:space="preserve"> </w:t>
                            </w:r>
                            <w:r>
                              <w:rPr>
                                <w:rFonts w:ascii="Arial MT" w:hAnsi="Arial MT"/>
                                <w:color w:val="001F60"/>
                                <w:sz w:val="9"/>
                              </w:rPr>
                              <w:t>de Custo</w:t>
                            </w:r>
                            <w:r>
                              <w:rPr>
                                <w:rFonts w:ascii="Arial MT" w:hAnsi="Arial MT"/>
                                <w:color w:val="001F60"/>
                                <w:spacing w:val="1"/>
                                <w:sz w:val="9"/>
                              </w:rPr>
                              <w:t xml:space="preserve"> </w:t>
                            </w:r>
                            <w:r>
                              <w:rPr>
                                <w:rFonts w:ascii="Arial MT" w:hAnsi="Arial MT"/>
                                <w:color w:val="001F60"/>
                                <w:sz w:val="9"/>
                              </w:rPr>
                              <w:t>para</w:t>
                            </w:r>
                            <w:r>
                              <w:rPr>
                                <w:rFonts w:ascii="Arial MT" w:hAnsi="Arial MT"/>
                                <w:color w:val="001F60"/>
                                <w:spacing w:val="4"/>
                                <w:sz w:val="9"/>
                              </w:rPr>
                              <w:t xml:space="preserve"> </w:t>
                            </w:r>
                            <w:r>
                              <w:rPr>
                                <w:rFonts w:ascii="Arial MT" w:hAnsi="Arial MT"/>
                                <w:color w:val="001F60"/>
                                <w:sz w:val="9"/>
                              </w:rPr>
                              <w:t>Moradia</w:t>
                            </w:r>
                            <w:r>
                              <w:rPr>
                                <w:rFonts w:ascii="Arial MT" w:hAnsi="Arial MT"/>
                                <w:color w:val="001F60"/>
                                <w:spacing w:val="3"/>
                                <w:sz w:val="9"/>
                              </w:rPr>
                              <w:t xml:space="preserve"> </w:t>
                            </w:r>
                            <w:r>
                              <w:rPr>
                                <w:rFonts w:ascii="Arial MT" w:hAnsi="Arial MT"/>
                                <w:color w:val="001F60"/>
                                <w:sz w:val="9"/>
                              </w:rPr>
                              <w:t>Oo</w:t>
                            </w:r>
                            <w:r>
                              <w:rPr>
                                <w:rFonts w:ascii="Arial MT" w:hAnsi="Arial MT"/>
                                <w:color w:val="001F60"/>
                                <w:spacing w:val="1"/>
                                <w:sz w:val="9"/>
                              </w:rPr>
                              <w:t xml:space="preserve"> </w:t>
                            </w:r>
                            <w:r>
                              <w:rPr>
                                <w:rFonts w:ascii="Arial MT" w:hAnsi="Arial MT"/>
                                <w:color w:val="001F60"/>
                                <w:spacing w:val="-2"/>
                                <w:sz w:val="9"/>
                              </w:rPr>
                              <w:t>Auxílio-</w:t>
                            </w:r>
                            <w:r>
                              <w:rPr>
                                <w:rFonts w:ascii="Arial MT" w:hAnsi="Arial MT"/>
                                <w:color w:val="001F60"/>
                                <w:sz w:val="9"/>
                              </w:rPr>
                              <w:tab/>
                            </w:r>
                            <w:r>
                              <w:rPr>
                                <w:rFonts w:ascii="Arial MT" w:hAnsi="Arial MT"/>
                                <w:color w:val="001F60"/>
                                <w:spacing w:val="-4"/>
                                <w:position w:val="-5"/>
                                <w:sz w:val="9"/>
                              </w:rPr>
                              <w:t>1050</w:t>
                            </w:r>
                          </w:p>
                        </w:tc>
                        <w:tc>
                          <w:tcPr>
                            <w:tcW w:w="2366" w:type="dxa"/>
                            <w:tcBorders>
                              <w:top w:val="single" w:sz="2" w:space="0" w:color="000000"/>
                              <w:bottom w:val="single" w:sz="2" w:space="0" w:color="000000"/>
                            </w:tcBorders>
                          </w:tcPr>
                          <w:p w14:paraId="3DBAF8AC" w14:textId="77777777" w:rsidR="002C6574" w:rsidRDefault="00000000">
                            <w:pPr>
                              <w:pStyle w:val="TableParagraph"/>
                              <w:spacing w:before="61"/>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Próprios</w:t>
                            </w:r>
                            <w:r>
                              <w:rPr>
                                <w:rFonts w:ascii="Arial MT" w:hAnsi="Arial MT"/>
                                <w:color w:val="001F60"/>
                                <w:spacing w:val="3"/>
                                <w:sz w:val="9"/>
                              </w:rPr>
                              <w:t xml:space="preserve"> </w:t>
                            </w:r>
                            <w:r>
                              <w:rPr>
                                <w:rFonts w:ascii="Arial MT" w:hAnsi="Arial MT"/>
                                <w:color w:val="001F60"/>
                                <w:sz w:val="9"/>
                              </w:rPr>
                              <w:t>Livres</w:t>
                            </w:r>
                            <w:r>
                              <w:rPr>
                                <w:rFonts w:ascii="Arial MT" w:hAnsi="Arial MT"/>
                                <w:color w:val="001F60"/>
                                <w:spacing w:val="2"/>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5"/>
                                <w:sz w:val="9"/>
                              </w:rPr>
                              <w:t>UO</w:t>
                            </w:r>
                          </w:p>
                        </w:tc>
                        <w:tc>
                          <w:tcPr>
                            <w:tcW w:w="663" w:type="dxa"/>
                            <w:tcBorders>
                              <w:top w:val="single" w:sz="2" w:space="0" w:color="000000"/>
                              <w:bottom w:val="single" w:sz="2" w:space="0" w:color="000000"/>
                            </w:tcBorders>
                          </w:tcPr>
                          <w:p w14:paraId="48E2AA76" w14:textId="77777777" w:rsidR="002C6574" w:rsidRDefault="00000000">
                            <w:pPr>
                              <w:pStyle w:val="TableParagraph"/>
                              <w:spacing w:before="61"/>
                              <w:ind w:right="148"/>
                              <w:rPr>
                                <w:rFonts w:ascii="Arial MT"/>
                                <w:sz w:val="9"/>
                              </w:rPr>
                            </w:pPr>
                            <w:r>
                              <w:rPr>
                                <w:rFonts w:ascii="Arial MT"/>
                                <w:color w:val="001F60"/>
                                <w:spacing w:val="-4"/>
                                <w:sz w:val="9"/>
                              </w:rPr>
                              <w:t>0,16</w:t>
                            </w:r>
                          </w:p>
                        </w:tc>
                        <w:tc>
                          <w:tcPr>
                            <w:tcW w:w="616" w:type="dxa"/>
                            <w:tcBorders>
                              <w:top w:val="single" w:sz="2" w:space="0" w:color="000000"/>
                              <w:bottom w:val="single" w:sz="2" w:space="0" w:color="000000"/>
                            </w:tcBorders>
                          </w:tcPr>
                          <w:p w14:paraId="3AB251C0" w14:textId="77777777" w:rsidR="002C6574" w:rsidRDefault="00000000">
                            <w:pPr>
                              <w:pStyle w:val="TableParagraph"/>
                              <w:spacing w:before="61"/>
                              <w:ind w:right="142"/>
                              <w:rPr>
                                <w:rFonts w:ascii="Arial MT"/>
                                <w:sz w:val="9"/>
                              </w:rPr>
                            </w:pPr>
                            <w:r>
                              <w:rPr>
                                <w:rFonts w:ascii="Arial MT"/>
                                <w:color w:val="001F60"/>
                                <w:spacing w:val="-4"/>
                                <w:sz w:val="9"/>
                              </w:rPr>
                              <w:t>0,16</w:t>
                            </w:r>
                          </w:p>
                        </w:tc>
                        <w:tc>
                          <w:tcPr>
                            <w:tcW w:w="612" w:type="dxa"/>
                            <w:tcBorders>
                              <w:top w:val="single" w:sz="2" w:space="0" w:color="000000"/>
                              <w:bottom w:val="single" w:sz="2" w:space="0" w:color="000000"/>
                            </w:tcBorders>
                          </w:tcPr>
                          <w:p w14:paraId="65F70744" w14:textId="77777777" w:rsidR="002C6574" w:rsidRDefault="00000000">
                            <w:pPr>
                              <w:pStyle w:val="TableParagraph"/>
                              <w:spacing w:before="61"/>
                              <w:ind w:right="131"/>
                              <w:rPr>
                                <w:rFonts w:ascii="Arial MT"/>
                                <w:sz w:val="9"/>
                              </w:rPr>
                            </w:pPr>
                            <w:r>
                              <w:rPr>
                                <w:rFonts w:ascii="Arial MT"/>
                                <w:color w:val="001F60"/>
                                <w:spacing w:val="-4"/>
                                <w:sz w:val="9"/>
                              </w:rPr>
                              <w:t>0,16</w:t>
                            </w:r>
                          </w:p>
                        </w:tc>
                        <w:tc>
                          <w:tcPr>
                            <w:tcW w:w="494" w:type="dxa"/>
                            <w:tcBorders>
                              <w:top w:val="single" w:sz="2" w:space="0" w:color="000000"/>
                              <w:bottom w:val="single" w:sz="2" w:space="0" w:color="000000"/>
                            </w:tcBorders>
                          </w:tcPr>
                          <w:p w14:paraId="50DEB7B5" w14:textId="77777777" w:rsidR="002C6574" w:rsidRDefault="00000000">
                            <w:pPr>
                              <w:pStyle w:val="TableParagraph"/>
                              <w:spacing w:before="61"/>
                              <w:ind w:right="58"/>
                              <w:rPr>
                                <w:rFonts w:ascii="Arial MT"/>
                                <w:sz w:val="9"/>
                              </w:rPr>
                            </w:pPr>
                            <w:r>
                              <w:rPr>
                                <w:rFonts w:ascii="Arial MT"/>
                                <w:color w:val="001F60"/>
                                <w:spacing w:val="-4"/>
                                <w:sz w:val="9"/>
                              </w:rPr>
                              <w:t>0,16</w:t>
                            </w:r>
                          </w:p>
                        </w:tc>
                        <w:tc>
                          <w:tcPr>
                            <w:tcW w:w="563" w:type="dxa"/>
                            <w:tcBorders>
                              <w:top w:val="single" w:sz="2" w:space="0" w:color="000000"/>
                              <w:bottom w:val="single" w:sz="2" w:space="0" w:color="000000"/>
                            </w:tcBorders>
                          </w:tcPr>
                          <w:p w14:paraId="0B3A8C33" w14:textId="77777777" w:rsidR="002C6574" w:rsidRDefault="00000000">
                            <w:pPr>
                              <w:pStyle w:val="TableParagraph"/>
                              <w:spacing w:before="61"/>
                              <w:ind w:left="10" w:right="27"/>
                              <w:jc w:val="center"/>
                              <w:rPr>
                                <w:rFonts w:ascii="Arial MT"/>
                                <w:sz w:val="9"/>
                              </w:rPr>
                            </w:pPr>
                            <w:r>
                              <w:rPr>
                                <w:rFonts w:ascii="Arial MT"/>
                                <w:color w:val="001F60"/>
                                <w:spacing w:val="-4"/>
                                <w:sz w:val="9"/>
                              </w:rPr>
                              <w:t>100%</w:t>
                            </w:r>
                          </w:p>
                        </w:tc>
                        <w:tc>
                          <w:tcPr>
                            <w:tcW w:w="553" w:type="dxa"/>
                            <w:tcBorders>
                              <w:top w:val="single" w:sz="2" w:space="0" w:color="000000"/>
                              <w:bottom w:val="single" w:sz="2" w:space="0" w:color="000000"/>
                            </w:tcBorders>
                          </w:tcPr>
                          <w:p w14:paraId="60213427" w14:textId="77777777" w:rsidR="002C6574" w:rsidRDefault="00000000">
                            <w:pPr>
                              <w:pStyle w:val="TableParagraph"/>
                              <w:spacing w:before="61"/>
                              <w:ind w:left="9" w:right="9"/>
                              <w:jc w:val="center"/>
                              <w:rPr>
                                <w:rFonts w:ascii="Arial MT"/>
                                <w:sz w:val="9"/>
                              </w:rPr>
                            </w:pPr>
                            <w:r>
                              <w:rPr>
                                <w:rFonts w:ascii="Arial MT"/>
                                <w:color w:val="001F60"/>
                                <w:spacing w:val="-4"/>
                                <w:sz w:val="9"/>
                              </w:rPr>
                              <w:t>100%</w:t>
                            </w:r>
                          </w:p>
                        </w:tc>
                      </w:tr>
                      <w:tr w:rsidR="002C6574" w14:paraId="2757E739" w14:textId="77777777">
                        <w:trPr>
                          <w:trHeight w:val="230"/>
                        </w:trPr>
                        <w:tc>
                          <w:tcPr>
                            <w:tcW w:w="3125" w:type="dxa"/>
                            <w:tcBorders>
                              <w:top w:val="single" w:sz="2" w:space="0" w:color="000000"/>
                            </w:tcBorders>
                          </w:tcPr>
                          <w:p w14:paraId="0196F272" w14:textId="77777777" w:rsidR="002C6574" w:rsidRDefault="00000000">
                            <w:pPr>
                              <w:pStyle w:val="TableParagraph"/>
                              <w:tabs>
                                <w:tab w:val="right" w:pos="2427"/>
                              </w:tabs>
                              <w:spacing w:before="4"/>
                              <w:ind w:right="-317"/>
                              <w:rPr>
                                <w:rFonts w:ascii="Arial MT" w:hAnsi="Arial MT"/>
                                <w:position w:val="-5"/>
                                <w:sz w:val="9"/>
                              </w:rPr>
                            </w:pPr>
                            <w:r>
                              <w:rPr>
                                <w:rFonts w:ascii="Arial MT" w:hAnsi="Arial MT"/>
                                <w:color w:val="001F60"/>
                                <w:position w:val="-5"/>
                                <w:sz w:val="9"/>
                              </w:rPr>
                              <w:t>21C8</w:t>
                            </w:r>
                            <w:r>
                              <w:rPr>
                                <w:rFonts w:ascii="Arial MT" w:hAnsi="Arial MT"/>
                                <w:color w:val="001F60"/>
                                <w:spacing w:val="54"/>
                                <w:position w:val="-5"/>
                                <w:sz w:val="9"/>
                              </w:rPr>
                              <w:t xml:space="preserve"> </w:t>
                            </w:r>
                            <w:r>
                              <w:rPr>
                                <w:rFonts w:ascii="Arial MT" w:hAnsi="Arial MT"/>
                                <w:color w:val="001F60"/>
                                <w:sz w:val="9"/>
                              </w:rPr>
                              <w:t>Operação</w:t>
                            </w:r>
                            <w:r>
                              <w:rPr>
                                <w:rFonts w:ascii="Arial MT" w:hAnsi="Arial MT"/>
                                <w:color w:val="001F60"/>
                                <w:spacing w:val="4"/>
                                <w:sz w:val="9"/>
                              </w:rPr>
                              <w:t xml:space="preserve"> </w:t>
                            </w:r>
                            <w:r>
                              <w:rPr>
                                <w:rFonts w:ascii="Arial MT" w:hAnsi="Arial MT"/>
                                <w:color w:val="001F60"/>
                                <w:sz w:val="9"/>
                              </w:rPr>
                              <w:t>da</w:t>
                            </w:r>
                            <w:r>
                              <w:rPr>
                                <w:rFonts w:ascii="Arial MT" w:hAnsi="Arial MT"/>
                                <w:color w:val="001F60"/>
                                <w:spacing w:val="1"/>
                                <w:sz w:val="9"/>
                              </w:rPr>
                              <w:t xml:space="preserve"> </w:t>
                            </w:r>
                            <w:r>
                              <w:rPr>
                                <w:rFonts w:ascii="Arial MT" w:hAnsi="Arial MT"/>
                                <w:color w:val="001F60"/>
                                <w:sz w:val="9"/>
                              </w:rPr>
                              <w:t>Infraestrutura</w:t>
                            </w:r>
                            <w:r>
                              <w:rPr>
                                <w:rFonts w:ascii="Arial MT" w:hAnsi="Arial MT"/>
                                <w:color w:val="001F60"/>
                                <w:spacing w:val="1"/>
                                <w:sz w:val="9"/>
                              </w:rPr>
                              <w:t xml:space="preserve"> </w:t>
                            </w:r>
                            <w:r>
                              <w:rPr>
                                <w:rFonts w:ascii="Arial MT" w:hAnsi="Arial MT"/>
                                <w:color w:val="001F60"/>
                                <w:sz w:val="9"/>
                              </w:rPr>
                              <w:t>da</w:t>
                            </w:r>
                            <w:r>
                              <w:rPr>
                                <w:rFonts w:ascii="Arial MT" w:hAnsi="Arial MT"/>
                                <w:color w:val="001F60"/>
                                <w:spacing w:val="4"/>
                                <w:sz w:val="9"/>
                              </w:rPr>
                              <w:t xml:space="preserve"> </w:t>
                            </w:r>
                            <w:r>
                              <w:rPr>
                                <w:rFonts w:ascii="Arial MT" w:hAnsi="Arial MT"/>
                                <w:color w:val="001F60"/>
                                <w:sz w:val="9"/>
                              </w:rPr>
                              <w:t>Rede</w:t>
                            </w:r>
                            <w:r>
                              <w:rPr>
                                <w:rFonts w:ascii="Arial MT" w:hAnsi="Arial MT"/>
                                <w:color w:val="001F60"/>
                                <w:spacing w:val="4"/>
                                <w:sz w:val="9"/>
                              </w:rPr>
                              <w:t xml:space="preserve"> </w:t>
                            </w:r>
                            <w:r>
                              <w:rPr>
                                <w:rFonts w:ascii="Arial MT" w:hAnsi="Arial MT"/>
                                <w:color w:val="001F60"/>
                                <w:spacing w:val="-5"/>
                                <w:sz w:val="9"/>
                              </w:rPr>
                              <w:t>de</w:t>
                            </w:r>
                            <w:r>
                              <w:rPr>
                                <w:rFonts w:ascii="Times New Roman" w:hAnsi="Times New Roman"/>
                                <w:color w:val="001F60"/>
                                <w:sz w:val="9"/>
                              </w:rPr>
                              <w:tab/>
                            </w:r>
                            <w:r>
                              <w:rPr>
                                <w:rFonts w:ascii="Arial MT" w:hAnsi="Arial MT"/>
                                <w:color w:val="001F60"/>
                                <w:spacing w:val="-4"/>
                                <w:position w:val="-5"/>
                                <w:sz w:val="9"/>
                              </w:rPr>
                              <w:t>1000</w:t>
                            </w:r>
                          </w:p>
                        </w:tc>
                        <w:tc>
                          <w:tcPr>
                            <w:tcW w:w="2366" w:type="dxa"/>
                            <w:tcBorders>
                              <w:top w:val="single" w:sz="2" w:space="0" w:color="000000"/>
                            </w:tcBorders>
                          </w:tcPr>
                          <w:p w14:paraId="16DFA81A" w14:textId="77777777" w:rsidR="002C6574" w:rsidRDefault="00000000">
                            <w:pPr>
                              <w:pStyle w:val="TableParagraph"/>
                              <w:spacing w:before="59"/>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Livres</w:t>
                            </w:r>
                            <w:r>
                              <w:rPr>
                                <w:rFonts w:ascii="Arial MT" w:hAnsi="Arial MT"/>
                                <w:color w:val="001F60"/>
                                <w:spacing w:val="3"/>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2"/>
                                <w:sz w:val="9"/>
                              </w:rPr>
                              <w:t>União</w:t>
                            </w:r>
                          </w:p>
                        </w:tc>
                        <w:tc>
                          <w:tcPr>
                            <w:tcW w:w="663" w:type="dxa"/>
                            <w:tcBorders>
                              <w:top w:val="single" w:sz="2" w:space="0" w:color="000000"/>
                            </w:tcBorders>
                          </w:tcPr>
                          <w:p w14:paraId="1D40B920" w14:textId="77777777" w:rsidR="002C6574" w:rsidRDefault="00000000">
                            <w:pPr>
                              <w:pStyle w:val="TableParagraph"/>
                              <w:spacing w:before="59"/>
                              <w:ind w:right="148"/>
                              <w:rPr>
                                <w:rFonts w:ascii="Arial MT"/>
                                <w:sz w:val="9"/>
                              </w:rPr>
                            </w:pPr>
                            <w:r>
                              <w:rPr>
                                <w:rFonts w:ascii="Arial MT"/>
                                <w:color w:val="001F60"/>
                                <w:spacing w:val="-4"/>
                                <w:sz w:val="9"/>
                              </w:rPr>
                              <w:t>1,91</w:t>
                            </w:r>
                          </w:p>
                        </w:tc>
                        <w:tc>
                          <w:tcPr>
                            <w:tcW w:w="616" w:type="dxa"/>
                            <w:tcBorders>
                              <w:top w:val="single" w:sz="2" w:space="0" w:color="000000"/>
                            </w:tcBorders>
                          </w:tcPr>
                          <w:p w14:paraId="570AD122" w14:textId="77777777" w:rsidR="002C6574" w:rsidRDefault="00000000">
                            <w:pPr>
                              <w:pStyle w:val="TableParagraph"/>
                              <w:spacing w:before="59"/>
                              <w:ind w:right="142"/>
                              <w:rPr>
                                <w:rFonts w:ascii="Arial MT"/>
                                <w:sz w:val="9"/>
                              </w:rPr>
                            </w:pPr>
                            <w:r>
                              <w:rPr>
                                <w:rFonts w:ascii="Arial MT"/>
                                <w:color w:val="001F60"/>
                                <w:spacing w:val="-4"/>
                                <w:sz w:val="9"/>
                              </w:rPr>
                              <w:t>1,91</w:t>
                            </w:r>
                          </w:p>
                        </w:tc>
                        <w:tc>
                          <w:tcPr>
                            <w:tcW w:w="612" w:type="dxa"/>
                            <w:tcBorders>
                              <w:top w:val="single" w:sz="2" w:space="0" w:color="000000"/>
                            </w:tcBorders>
                          </w:tcPr>
                          <w:p w14:paraId="5505F901" w14:textId="77777777" w:rsidR="002C6574" w:rsidRDefault="00000000">
                            <w:pPr>
                              <w:pStyle w:val="TableParagraph"/>
                              <w:spacing w:before="59"/>
                              <w:ind w:right="131"/>
                              <w:rPr>
                                <w:rFonts w:ascii="Arial MT"/>
                                <w:sz w:val="9"/>
                              </w:rPr>
                            </w:pPr>
                            <w:r>
                              <w:rPr>
                                <w:rFonts w:ascii="Arial MT"/>
                                <w:color w:val="001F60"/>
                                <w:spacing w:val="-4"/>
                                <w:sz w:val="9"/>
                              </w:rPr>
                              <w:t>1,91</w:t>
                            </w:r>
                          </w:p>
                        </w:tc>
                        <w:tc>
                          <w:tcPr>
                            <w:tcW w:w="494" w:type="dxa"/>
                            <w:tcBorders>
                              <w:top w:val="single" w:sz="2" w:space="0" w:color="000000"/>
                            </w:tcBorders>
                          </w:tcPr>
                          <w:p w14:paraId="612E6FE1" w14:textId="77777777" w:rsidR="002C6574" w:rsidRDefault="00000000">
                            <w:pPr>
                              <w:pStyle w:val="TableParagraph"/>
                              <w:spacing w:before="59"/>
                              <w:ind w:right="58"/>
                              <w:rPr>
                                <w:rFonts w:ascii="Arial MT"/>
                                <w:sz w:val="9"/>
                              </w:rPr>
                            </w:pPr>
                            <w:r>
                              <w:rPr>
                                <w:rFonts w:ascii="Arial MT"/>
                                <w:color w:val="001F60"/>
                                <w:spacing w:val="-4"/>
                                <w:sz w:val="9"/>
                              </w:rPr>
                              <w:t>1,91</w:t>
                            </w:r>
                          </w:p>
                        </w:tc>
                        <w:tc>
                          <w:tcPr>
                            <w:tcW w:w="563" w:type="dxa"/>
                            <w:tcBorders>
                              <w:top w:val="single" w:sz="2" w:space="0" w:color="000000"/>
                            </w:tcBorders>
                          </w:tcPr>
                          <w:p w14:paraId="4D8706BE" w14:textId="77777777" w:rsidR="002C6574" w:rsidRDefault="00000000">
                            <w:pPr>
                              <w:pStyle w:val="TableParagraph"/>
                              <w:spacing w:before="59"/>
                              <w:ind w:left="10" w:right="27"/>
                              <w:jc w:val="center"/>
                              <w:rPr>
                                <w:rFonts w:ascii="Arial MT"/>
                                <w:sz w:val="9"/>
                              </w:rPr>
                            </w:pPr>
                            <w:r>
                              <w:rPr>
                                <w:rFonts w:ascii="Arial MT"/>
                                <w:color w:val="001F60"/>
                                <w:spacing w:val="-4"/>
                                <w:sz w:val="9"/>
                              </w:rPr>
                              <w:t>100%</w:t>
                            </w:r>
                          </w:p>
                        </w:tc>
                        <w:tc>
                          <w:tcPr>
                            <w:tcW w:w="553" w:type="dxa"/>
                            <w:tcBorders>
                              <w:top w:val="single" w:sz="2" w:space="0" w:color="000000"/>
                            </w:tcBorders>
                          </w:tcPr>
                          <w:p w14:paraId="501A9877" w14:textId="77777777" w:rsidR="002C6574" w:rsidRDefault="00000000">
                            <w:pPr>
                              <w:pStyle w:val="TableParagraph"/>
                              <w:spacing w:before="59"/>
                              <w:ind w:left="9" w:right="9"/>
                              <w:jc w:val="center"/>
                              <w:rPr>
                                <w:rFonts w:ascii="Arial MT"/>
                                <w:sz w:val="9"/>
                              </w:rPr>
                            </w:pPr>
                            <w:r>
                              <w:rPr>
                                <w:rFonts w:ascii="Arial MT"/>
                                <w:color w:val="001F60"/>
                                <w:spacing w:val="-4"/>
                                <w:sz w:val="9"/>
                              </w:rPr>
                              <w:t>100%</w:t>
                            </w:r>
                          </w:p>
                        </w:tc>
                      </w:tr>
                      <w:tr w:rsidR="002C6574" w14:paraId="154F3193" w14:textId="77777777">
                        <w:trPr>
                          <w:trHeight w:val="232"/>
                        </w:trPr>
                        <w:tc>
                          <w:tcPr>
                            <w:tcW w:w="3125" w:type="dxa"/>
                            <w:tcBorders>
                              <w:bottom w:val="single" w:sz="4" w:space="0" w:color="001F60"/>
                            </w:tcBorders>
                          </w:tcPr>
                          <w:p w14:paraId="724E2EF3" w14:textId="77777777" w:rsidR="002C6574" w:rsidRDefault="00000000">
                            <w:pPr>
                              <w:pStyle w:val="TableParagraph"/>
                              <w:tabs>
                                <w:tab w:val="right" w:pos="2427"/>
                              </w:tabs>
                              <w:spacing w:before="11"/>
                              <w:ind w:right="-317"/>
                              <w:rPr>
                                <w:rFonts w:ascii="Arial MT" w:hAnsi="Arial MT"/>
                                <w:position w:val="-5"/>
                                <w:sz w:val="9"/>
                              </w:rPr>
                            </w:pPr>
                            <w:r>
                              <w:rPr>
                                <w:rFonts w:ascii="Arial MT" w:hAnsi="Arial MT"/>
                                <w:color w:val="001F60"/>
                                <w:position w:val="-5"/>
                                <w:sz w:val="9"/>
                              </w:rPr>
                              <w:t>21C8</w:t>
                            </w:r>
                            <w:r>
                              <w:rPr>
                                <w:rFonts w:ascii="Arial MT" w:hAnsi="Arial MT"/>
                                <w:color w:val="001F60"/>
                                <w:spacing w:val="54"/>
                                <w:position w:val="-5"/>
                                <w:sz w:val="9"/>
                              </w:rPr>
                              <w:t xml:space="preserve"> </w:t>
                            </w:r>
                            <w:r>
                              <w:rPr>
                                <w:rFonts w:ascii="Arial MT" w:hAnsi="Arial MT"/>
                                <w:color w:val="001F60"/>
                                <w:sz w:val="9"/>
                              </w:rPr>
                              <w:t>Operação</w:t>
                            </w:r>
                            <w:r>
                              <w:rPr>
                                <w:rFonts w:ascii="Arial MT" w:hAnsi="Arial MT"/>
                                <w:color w:val="001F60"/>
                                <w:spacing w:val="4"/>
                                <w:sz w:val="9"/>
                              </w:rPr>
                              <w:t xml:space="preserve"> </w:t>
                            </w:r>
                            <w:r>
                              <w:rPr>
                                <w:rFonts w:ascii="Arial MT" w:hAnsi="Arial MT"/>
                                <w:color w:val="001F60"/>
                                <w:sz w:val="9"/>
                              </w:rPr>
                              <w:t>da</w:t>
                            </w:r>
                            <w:r>
                              <w:rPr>
                                <w:rFonts w:ascii="Arial MT" w:hAnsi="Arial MT"/>
                                <w:color w:val="001F60"/>
                                <w:spacing w:val="1"/>
                                <w:sz w:val="9"/>
                              </w:rPr>
                              <w:t xml:space="preserve"> </w:t>
                            </w:r>
                            <w:r>
                              <w:rPr>
                                <w:rFonts w:ascii="Arial MT" w:hAnsi="Arial MT"/>
                                <w:color w:val="001F60"/>
                                <w:sz w:val="9"/>
                              </w:rPr>
                              <w:t>Infraestrutura</w:t>
                            </w:r>
                            <w:r>
                              <w:rPr>
                                <w:rFonts w:ascii="Arial MT" w:hAnsi="Arial MT"/>
                                <w:color w:val="001F60"/>
                                <w:spacing w:val="1"/>
                                <w:sz w:val="9"/>
                              </w:rPr>
                              <w:t xml:space="preserve"> </w:t>
                            </w:r>
                            <w:r>
                              <w:rPr>
                                <w:rFonts w:ascii="Arial MT" w:hAnsi="Arial MT"/>
                                <w:color w:val="001F60"/>
                                <w:sz w:val="9"/>
                              </w:rPr>
                              <w:t>da</w:t>
                            </w:r>
                            <w:r>
                              <w:rPr>
                                <w:rFonts w:ascii="Arial MT" w:hAnsi="Arial MT"/>
                                <w:color w:val="001F60"/>
                                <w:spacing w:val="4"/>
                                <w:sz w:val="9"/>
                              </w:rPr>
                              <w:t xml:space="preserve"> </w:t>
                            </w:r>
                            <w:r>
                              <w:rPr>
                                <w:rFonts w:ascii="Arial MT" w:hAnsi="Arial MT"/>
                                <w:color w:val="001F60"/>
                                <w:sz w:val="9"/>
                              </w:rPr>
                              <w:t>Rede</w:t>
                            </w:r>
                            <w:r>
                              <w:rPr>
                                <w:rFonts w:ascii="Arial MT" w:hAnsi="Arial MT"/>
                                <w:color w:val="001F60"/>
                                <w:spacing w:val="4"/>
                                <w:sz w:val="9"/>
                              </w:rPr>
                              <w:t xml:space="preserve"> </w:t>
                            </w:r>
                            <w:r>
                              <w:rPr>
                                <w:rFonts w:ascii="Arial MT" w:hAnsi="Arial MT"/>
                                <w:color w:val="001F60"/>
                                <w:spacing w:val="-5"/>
                                <w:sz w:val="9"/>
                              </w:rPr>
                              <w:t>de</w:t>
                            </w:r>
                            <w:r>
                              <w:rPr>
                                <w:rFonts w:ascii="Times New Roman" w:hAnsi="Times New Roman"/>
                                <w:color w:val="001F60"/>
                                <w:sz w:val="9"/>
                              </w:rPr>
                              <w:tab/>
                            </w:r>
                            <w:r>
                              <w:rPr>
                                <w:rFonts w:ascii="Arial MT" w:hAnsi="Arial MT"/>
                                <w:color w:val="001F60"/>
                                <w:spacing w:val="-4"/>
                                <w:position w:val="-5"/>
                                <w:sz w:val="9"/>
                              </w:rPr>
                              <w:t>1050</w:t>
                            </w:r>
                          </w:p>
                        </w:tc>
                        <w:tc>
                          <w:tcPr>
                            <w:tcW w:w="2366" w:type="dxa"/>
                            <w:tcBorders>
                              <w:bottom w:val="single" w:sz="4" w:space="0" w:color="001F60"/>
                            </w:tcBorders>
                          </w:tcPr>
                          <w:p w14:paraId="3C6C17CA" w14:textId="77777777" w:rsidR="002C6574" w:rsidRDefault="00000000">
                            <w:pPr>
                              <w:pStyle w:val="TableParagraph"/>
                              <w:spacing w:before="66"/>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Próprios</w:t>
                            </w:r>
                            <w:r>
                              <w:rPr>
                                <w:rFonts w:ascii="Arial MT" w:hAnsi="Arial MT"/>
                                <w:color w:val="001F60"/>
                                <w:spacing w:val="3"/>
                                <w:sz w:val="9"/>
                              </w:rPr>
                              <w:t xml:space="preserve"> </w:t>
                            </w:r>
                            <w:r>
                              <w:rPr>
                                <w:rFonts w:ascii="Arial MT" w:hAnsi="Arial MT"/>
                                <w:color w:val="001F60"/>
                                <w:sz w:val="9"/>
                              </w:rPr>
                              <w:t>Livres</w:t>
                            </w:r>
                            <w:r>
                              <w:rPr>
                                <w:rFonts w:ascii="Arial MT" w:hAnsi="Arial MT"/>
                                <w:color w:val="001F60"/>
                                <w:spacing w:val="2"/>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5"/>
                                <w:sz w:val="9"/>
                              </w:rPr>
                              <w:t>UO</w:t>
                            </w:r>
                          </w:p>
                        </w:tc>
                        <w:tc>
                          <w:tcPr>
                            <w:tcW w:w="663" w:type="dxa"/>
                            <w:tcBorders>
                              <w:bottom w:val="single" w:sz="4" w:space="0" w:color="001F60"/>
                            </w:tcBorders>
                          </w:tcPr>
                          <w:p w14:paraId="19D96F6F" w14:textId="77777777" w:rsidR="002C6574" w:rsidRDefault="00000000">
                            <w:pPr>
                              <w:pStyle w:val="TableParagraph"/>
                              <w:spacing w:before="66"/>
                              <w:ind w:right="148"/>
                              <w:rPr>
                                <w:rFonts w:ascii="Arial MT"/>
                                <w:sz w:val="9"/>
                              </w:rPr>
                            </w:pPr>
                            <w:r>
                              <w:rPr>
                                <w:rFonts w:ascii="Arial MT"/>
                                <w:color w:val="001F60"/>
                                <w:spacing w:val="-2"/>
                                <w:sz w:val="9"/>
                              </w:rPr>
                              <w:t>49,35</w:t>
                            </w:r>
                          </w:p>
                        </w:tc>
                        <w:tc>
                          <w:tcPr>
                            <w:tcW w:w="616" w:type="dxa"/>
                            <w:tcBorders>
                              <w:bottom w:val="single" w:sz="4" w:space="0" w:color="001F60"/>
                            </w:tcBorders>
                          </w:tcPr>
                          <w:p w14:paraId="4594C100" w14:textId="77777777" w:rsidR="002C6574" w:rsidRDefault="00000000">
                            <w:pPr>
                              <w:pStyle w:val="TableParagraph"/>
                              <w:spacing w:before="66"/>
                              <w:ind w:right="142"/>
                              <w:rPr>
                                <w:rFonts w:ascii="Arial MT"/>
                                <w:sz w:val="9"/>
                              </w:rPr>
                            </w:pPr>
                            <w:r>
                              <w:rPr>
                                <w:rFonts w:ascii="Arial MT"/>
                                <w:color w:val="001F60"/>
                                <w:spacing w:val="-2"/>
                                <w:sz w:val="9"/>
                              </w:rPr>
                              <w:t>49,35</w:t>
                            </w:r>
                          </w:p>
                        </w:tc>
                        <w:tc>
                          <w:tcPr>
                            <w:tcW w:w="612" w:type="dxa"/>
                            <w:tcBorders>
                              <w:bottom w:val="single" w:sz="4" w:space="0" w:color="001F60"/>
                            </w:tcBorders>
                          </w:tcPr>
                          <w:p w14:paraId="76BD085F" w14:textId="77777777" w:rsidR="002C6574" w:rsidRDefault="00000000">
                            <w:pPr>
                              <w:pStyle w:val="TableParagraph"/>
                              <w:spacing w:before="66"/>
                              <w:ind w:right="131"/>
                              <w:rPr>
                                <w:rFonts w:ascii="Arial MT"/>
                                <w:sz w:val="9"/>
                              </w:rPr>
                            </w:pPr>
                            <w:r>
                              <w:rPr>
                                <w:rFonts w:ascii="Arial MT"/>
                                <w:color w:val="001F60"/>
                                <w:spacing w:val="-2"/>
                                <w:sz w:val="9"/>
                              </w:rPr>
                              <w:t>49,35</w:t>
                            </w:r>
                          </w:p>
                        </w:tc>
                        <w:tc>
                          <w:tcPr>
                            <w:tcW w:w="494" w:type="dxa"/>
                            <w:tcBorders>
                              <w:bottom w:val="single" w:sz="4" w:space="0" w:color="001F60"/>
                            </w:tcBorders>
                          </w:tcPr>
                          <w:p w14:paraId="4CF70984" w14:textId="77777777" w:rsidR="002C6574" w:rsidRDefault="00000000">
                            <w:pPr>
                              <w:pStyle w:val="TableParagraph"/>
                              <w:spacing w:before="66"/>
                              <w:ind w:right="58"/>
                              <w:rPr>
                                <w:rFonts w:ascii="Arial MT"/>
                                <w:sz w:val="9"/>
                              </w:rPr>
                            </w:pPr>
                            <w:r>
                              <w:rPr>
                                <w:rFonts w:ascii="Arial MT"/>
                                <w:color w:val="001F60"/>
                                <w:spacing w:val="-2"/>
                                <w:sz w:val="9"/>
                              </w:rPr>
                              <w:t>49,35</w:t>
                            </w:r>
                          </w:p>
                        </w:tc>
                        <w:tc>
                          <w:tcPr>
                            <w:tcW w:w="563" w:type="dxa"/>
                            <w:tcBorders>
                              <w:bottom w:val="single" w:sz="4" w:space="0" w:color="001F60"/>
                            </w:tcBorders>
                          </w:tcPr>
                          <w:p w14:paraId="3C34E119" w14:textId="77777777" w:rsidR="002C6574" w:rsidRDefault="00000000">
                            <w:pPr>
                              <w:pStyle w:val="TableParagraph"/>
                              <w:spacing w:before="66"/>
                              <w:ind w:left="10" w:right="27"/>
                              <w:jc w:val="center"/>
                              <w:rPr>
                                <w:rFonts w:ascii="Arial MT"/>
                                <w:sz w:val="9"/>
                              </w:rPr>
                            </w:pPr>
                            <w:r>
                              <w:rPr>
                                <w:rFonts w:ascii="Arial MT"/>
                                <w:color w:val="001F60"/>
                                <w:spacing w:val="-4"/>
                                <w:sz w:val="9"/>
                              </w:rPr>
                              <w:t>100%</w:t>
                            </w:r>
                          </w:p>
                        </w:tc>
                        <w:tc>
                          <w:tcPr>
                            <w:tcW w:w="553" w:type="dxa"/>
                            <w:tcBorders>
                              <w:bottom w:val="single" w:sz="4" w:space="0" w:color="001F60"/>
                            </w:tcBorders>
                          </w:tcPr>
                          <w:p w14:paraId="53AC553F" w14:textId="77777777" w:rsidR="002C6574" w:rsidRDefault="00000000">
                            <w:pPr>
                              <w:pStyle w:val="TableParagraph"/>
                              <w:spacing w:before="66"/>
                              <w:ind w:left="9" w:right="9"/>
                              <w:jc w:val="center"/>
                              <w:rPr>
                                <w:rFonts w:ascii="Arial MT"/>
                                <w:sz w:val="9"/>
                              </w:rPr>
                            </w:pPr>
                            <w:r>
                              <w:rPr>
                                <w:rFonts w:ascii="Arial MT"/>
                                <w:color w:val="001F60"/>
                                <w:spacing w:val="-4"/>
                                <w:sz w:val="9"/>
                              </w:rPr>
                              <w:t>100%</w:t>
                            </w:r>
                          </w:p>
                        </w:tc>
                      </w:tr>
                      <w:tr w:rsidR="002C6574" w14:paraId="1B336B95" w14:textId="77777777">
                        <w:trPr>
                          <w:trHeight w:val="107"/>
                        </w:trPr>
                        <w:tc>
                          <w:tcPr>
                            <w:tcW w:w="3125" w:type="dxa"/>
                            <w:tcBorders>
                              <w:top w:val="single" w:sz="4" w:space="0" w:color="001F60"/>
                              <w:bottom w:val="single" w:sz="4" w:space="0" w:color="001F60"/>
                            </w:tcBorders>
                          </w:tcPr>
                          <w:p w14:paraId="1A2D8628" w14:textId="77777777" w:rsidR="002C6574" w:rsidRDefault="00000000">
                            <w:pPr>
                              <w:pStyle w:val="TableParagraph"/>
                              <w:spacing w:before="6" w:line="82" w:lineRule="exact"/>
                              <w:ind w:left="513"/>
                              <w:jc w:val="left"/>
                              <w:rPr>
                                <w:rFonts w:ascii="Arial"/>
                                <w:b/>
                                <w:sz w:val="9"/>
                              </w:rPr>
                            </w:pPr>
                            <w:r>
                              <w:rPr>
                                <w:rFonts w:ascii="Arial"/>
                                <w:b/>
                                <w:color w:val="001F60"/>
                                <w:sz w:val="9"/>
                              </w:rPr>
                              <w:t>Despesas</w:t>
                            </w:r>
                            <w:r>
                              <w:rPr>
                                <w:rFonts w:ascii="Arial"/>
                                <w:b/>
                                <w:color w:val="001F60"/>
                                <w:spacing w:val="8"/>
                                <w:sz w:val="9"/>
                              </w:rPr>
                              <w:t xml:space="preserve"> </w:t>
                            </w:r>
                            <w:r>
                              <w:rPr>
                                <w:rFonts w:ascii="Arial"/>
                                <w:b/>
                                <w:color w:val="001F60"/>
                                <w:sz w:val="9"/>
                              </w:rPr>
                              <w:t>de</w:t>
                            </w:r>
                            <w:r>
                              <w:rPr>
                                <w:rFonts w:ascii="Arial"/>
                                <w:b/>
                                <w:color w:val="001F60"/>
                                <w:spacing w:val="13"/>
                                <w:sz w:val="9"/>
                              </w:rPr>
                              <w:t xml:space="preserve"> </w:t>
                            </w:r>
                            <w:r>
                              <w:rPr>
                                <w:rFonts w:ascii="Arial"/>
                                <w:b/>
                                <w:color w:val="001F60"/>
                                <w:spacing w:val="-2"/>
                                <w:sz w:val="9"/>
                              </w:rPr>
                              <w:t>Capital</w:t>
                            </w:r>
                          </w:p>
                        </w:tc>
                        <w:tc>
                          <w:tcPr>
                            <w:tcW w:w="2366" w:type="dxa"/>
                            <w:tcBorders>
                              <w:top w:val="single" w:sz="4" w:space="0" w:color="001F60"/>
                              <w:bottom w:val="single" w:sz="4" w:space="0" w:color="001F60"/>
                            </w:tcBorders>
                          </w:tcPr>
                          <w:p w14:paraId="5F807762" w14:textId="77777777" w:rsidR="002C6574" w:rsidRDefault="002C6574">
                            <w:pPr>
                              <w:pStyle w:val="TableParagraph"/>
                              <w:jc w:val="left"/>
                              <w:rPr>
                                <w:rFonts w:ascii="Times New Roman"/>
                                <w:sz w:val="4"/>
                              </w:rPr>
                            </w:pPr>
                          </w:p>
                        </w:tc>
                        <w:tc>
                          <w:tcPr>
                            <w:tcW w:w="663" w:type="dxa"/>
                            <w:tcBorders>
                              <w:top w:val="single" w:sz="4" w:space="0" w:color="001F60"/>
                              <w:bottom w:val="single" w:sz="4" w:space="0" w:color="001F60"/>
                            </w:tcBorders>
                          </w:tcPr>
                          <w:p w14:paraId="5E70D60C" w14:textId="77777777" w:rsidR="002C6574" w:rsidRDefault="00000000">
                            <w:pPr>
                              <w:pStyle w:val="TableParagraph"/>
                              <w:spacing w:before="6" w:line="82" w:lineRule="exact"/>
                              <w:ind w:right="148"/>
                              <w:rPr>
                                <w:rFonts w:ascii="Arial"/>
                                <w:b/>
                                <w:sz w:val="9"/>
                              </w:rPr>
                            </w:pPr>
                            <w:r>
                              <w:rPr>
                                <w:rFonts w:ascii="Arial"/>
                                <w:b/>
                                <w:color w:val="001F60"/>
                                <w:spacing w:val="-4"/>
                                <w:sz w:val="9"/>
                              </w:rPr>
                              <w:t>1,04</w:t>
                            </w:r>
                          </w:p>
                        </w:tc>
                        <w:tc>
                          <w:tcPr>
                            <w:tcW w:w="616" w:type="dxa"/>
                            <w:tcBorders>
                              <w:top w:val="single" w:sz="4" w:space="0" w:color="001F60"/>
                              <w:bottom w:val="single" w:sz="4" w:space="0" w:color="001F60"/>
                            </w:tcBorders>
                          </w:tcPr>
                          <w:p w14:paraId="29D07655" w14:textId="77777777" w:rsidR="002C6574" w:rsidRDefault="00000000">
                            <w:pPr>
                              <w:pStyle w:val="TableParagraph"/>
                              <w:spacing w:before="6" w:line="82" w:lineRule="exact"/>
                              <w:ind w:right="142"/>
                              <w:rPr>
                                <w:rFonts w:ascii="Arial"/>
                                <w:b/>
                                <w:sz w:val="9"/>
                              </w:rPr>
                            </w:pPr>
                            <w:r>
                              <w:rPr>
                                <w:rFonts w:ascii="Arial"/>
                                <w:b/>
                                <w:color w:val="001F60"/>
                                <w:spacing w:val="-4"/>
                                <w:sz w:val="9"/>
                              </w:rPr>
                              <w:t>1,04</w:t>
                            </w:r>
                          </w:p>
                        </w:tc>
                        <w:tc>
                          <w:tcPr>
                            <w:tcW w:w="612" w:type="dxa"/>
                            <w:tcBorders>
                              <w:top w:val="single" w:sz="4" w:space="0" w:color="001F60"/>
                              <w:bottom w:val="single" w:sz="4" w:space="0" w:color="001F60"/>
                            </w:tcBorders>
                          </w:tcPr>
                          <w:p w14:paraId="3D586AE7" w14:textId="77777777" w:rsidR="002C6574" w:rsidRDefault="00000000">
                            <w:pPr>
                              <w:pStyle w:val="TableParagraph"/>
                              <w:spacing w:before="6" w:line="82" w:lineRule="exact"/>
                              <w:ind w:right="131"/>
                              <w:rPr>
                                <w:rFonts w:ascii="Arial"/>
                                <w:b/>
                                <w:sz w:val="9"/>
                              </w:rPr>
                            </w:pPr>
                            <w:r>
                              <w:rPr>
                                <w:rFonts w:ascii="Arial"/>
                                <w:b/>
                                <w:color w:val="001F60"/>
                                <w:spacing w:val="-4"/>
                                <w:sz w:val="9"/>
                              </w:rPr>
                              <w:t>1,04</w:t>
                            </w:r>
                          </w:p>
                        </w:tc>
                        <w:tc>
                          <w:tcPr>
                            <w:tcW w:w="494" w:type="dxa"/>
                            <w:tcBorders>
                              <w:top w:val="single" w:sz="4" w:space="0" w:color="001F60"/>
                              <w:bottom w:val="single" w:sz="4" w:space="0" w:color="001F60"/>
                            </w:tcBorders>
                          </w:tcPr>
                          <w:p w14:paraId="0409F976" w14:textId="77777777" w:rsidR="002C6574" w:rsidRDefault="00000000">
                            <w:pPr>
                              <w:pStyle w:val="TableParagraph"/>
                              <w:spacing w:before="6" w:line="82" w:lineRule="exact"/>
                              <w:ind w:right="58"/>
                              <w:rPr>
                                <w:rFonts w:ascii="Arial"/>
                                <w:b/>
                                <w:sz w:val="9"/>
                              </w:rPr>
                            </w:pPr>
                            <w:r>
                              <w:rPr>
                                <w:rFonts w:ascii="Arial"/>
                                <w:b/>
                                <w:color w:val="001F60"/>
                                <w:spacing w:val="-4"/>
                                <w:sz w:val="9"/>
                              </w:rPr>
                              <w:t>1,04</w:t>
                            </w:r>
                          </w:p>
                        </w:tc>
                        <w:tc>
                          <w:tcPr>
                            <w:tcW w:w="563" w:type="dxa"/>
                            <w:tcBorders>
                              <w:top w:val="single" w:sz="4" w:space="0" w:color="001F60"/>
                              <w:bottom w:val="single" w:sz="4" w:space="0" w:color="001F60"/>
                            </w:tcBorders>
                          </w:tcPr>
                          <w:p w14:paraId="0DB3D9AB" w14:textId="77777777" w:rsidR="002C6574" w:rsidRDefault="00000000">
                            <w:pPr>
                              <w:pStyle w:val="TableParagraph"/>
                              <w:spacing w:before="6" w:line="82" w:lineRule="exact"/>
                              <w:ind w:right="27"/>
                              <w:jc w:val="center"/>
                              <w:rPr>
                                <w:rFonts w:ascii="Arial"/>
                                <w:b/>
                                <w:sz w:val="9"/>
                              </w:rPr>
                            </w:pPr>
                            <w:r>
                              <w:rPr>
                                <w:rFonts w:ascii="Arial"/>
                                <w:b/>
                                <w:color w:val="001F60"/>
                                <w:spacing w:val="-4"/>
                                <w:sz w:val="9"/>
                              </w:rPr>
                              <w:t>100%</w:t>
                            </w:r>
                          </w:p>
                        </w:tc>
                        <w:tc>
                          <w:tcPr>
                            <w:tcW w:w="553" w:type="dxa"/>
                            <w:tcBorders>
                              <w:top w:val="single" w:sz="4" w:space="0" w:color="001F60"/>
                              <w:bottom w:val="single" w:sz="4" w:space="0" w:color="001F60"/>
                            </w:tcBorders>
                          </w:tcPr>
                          <w:p w14:paraId="47B238A2" w14:textId="77777777" w:rsidR="002C6574" w:rsidRDefault="00000000">
                            <w:pPr>
                              <w:pStyle w:val="TableParagraph"/>
                              <w:spacing w:before="6" w:line="82" w:lineRule="exact"/>
                              <w:ind w:right="9"/>
                              <w:jc w:val="center"/>
                              <w:rPr>
                                <w:rFonts w:ascii="Arial"/>
                                <w:b/>
                                <w:sz w:val="9"/>
                              </w:rPr>
                            </w:pPr>
                            <w:r>
                              <w:rPr>
                                <w:rFonts w:ascii="Arial"/>
                                <w:b/>
                                <w:color w:val="001F60"/>
                                <w:spacing w:val="-4"/>
                                <w:sz w:val="9"/>
                              </w:rPr>
                              <w:t>100%</w:t>
                            </w:r>
                          </w:p>
                        </w:tc>
                      </w:tr>
                      <w:tr w:rsidR="002C6574" w14:paraId="61BDD9D8" w14:textId="77777777">
                        <w:trPr>
                          <w:trHeight w:val="349"/>
                        </w:trPr>
                        <w:tc>
                          <w:tcPr>
                            <w:tcW w:w="3125" w:type="dxa"/>
                            <w:tcBorders>
                              <w:top w:val="single" w:sz="4" w:space="0" w:color="001F60"/>
                              <w:bottom w:val="single" w:sz="2" w:space="0" w:color="000000"/>
                            </w:tcBorders>
                          </w:tcPr>
                          <w:p w14:paraId="1EB2E69B" w14:textId="77777777" w:rsidR="002C6574" w:rsidRDefault="00000000">
                            <w:pPr>
                              <w:pStyle w:val="TableParagraph"/>
                              <w:tabs>
                                <w:tab w:val="right" w:pos="2427"/>
                              </w:tabs>
                              <w:spacing w:before="61"/>
                              <w:ind w:right="-317"/>
                              <w:rPr>
                                <w:rFonts w:ascii="Arial MT" w:hAnsi="Arial MT"/>
                                <w:position w:val="-5"/>
                                <w:sz w:val="9"/>
                              </w:rPr>
                            </w:pPr>
                            <w:r>
                              <w:rPr>
                                <w:rFonts w:ascii="Arial MT" w:hAnsi="Arial MT"/>
                                <w:color w:val="001F60"/>
                                <w:position w:val="-5"/>
                                <w:sz w:val="9"/>
                              </w:rPr>
                              <w:t>15UI</w:t>
                            </w:r>
                            <w:r>
                              <w:rPr>
                                <w:rFonts w:ascii="Arial MT" w:hAnsi="Arial MT"/>
                                <w:color w:val="001F60"/>
                                <w:spacing w:val="78"/>
                                <w:position w:val="-5"/>
                                <w:sz w:val="9"/>
                              </w:rPr>
                              <w:t xml:space="preserve"> </w:t>
                            </w:r>
                            <w:r>
                              <w:rPr>
                                <w:rFonts w:ascii="Arial MT" w:hAnsi="Arial MT"/>
                                <w:color w:val="001F60"/>
                                <w:sz w:val="9"/>
                              </w:rPr>
                              <w:t>Implantação</w:t>
                            </w:r>
                            <w:r>
                              <w:rPr>
                                <w:rFonts w:ascii="Arial MT" w:hAnsi="Arial MT"/>
                                <w:color w:val="001F60"/>
                                <w:spacing w:val="1"/>
                                <w:sz w:val="9"/>
                              </w:rPr>
                              <w:t xml:space="preserve"> </w:t>
                            </w:r>
                            <w:r>
                              <w:rPr>
                                <w:rFonts w:ascii="Arial MT" w:hAnsi="Arial MT"/>
                                <w:color w:val="001F60"/>
                                <w:sz w:val="9"/>
                              </w:rPr>
                              <w:t>de</w:t>
                            </w:r>
                            <w:r>
                              <w:rPr>
                                <w:rFonts w:ascii="Arial MT" w:hAnsi="Arial MT"/>
                                <w:color w:val="001F60"/>
                                <w:spacing w:val="2"/>
                                <w:sz w:val="9"/>
                              </w:rPr>
                              <w:t xml:space="preserve"> </w:t>
                            </w:r>
                            <w:r>
                              <w:rPr>
                                <w:rFonts w:ascii="Arial MT" w:hAnsi="Arial MT"/>
                                <w:color w:val="001F60"/>
                                <w:sz w:val="9"/>
                              </w:rPr>
                              <w:t>Infraestrutura</w:t>
                            </w:r>
                            <w:r>
                              <w:rPr>
                                <w:rFonts w:ascii="Arial MT" w:hAnsi="Arial MT"/>
                                <w:color w:val="001F60"/>
                                <w:spacing w:val="1"/>
                                <w:sz w:val="9"/>
                              </w:rPr>
                              <w:t xml:space="preserve"> </w:t>
                            </w:r>
                            <w:r>
                              <w:rPr>
                                <w:rFonts w:ascii="Arial MT" w:hAnsi="Arial MT"/>
                                <w:color w:val="001F60"/>
                                <w:sz w:val="9"/>
                              </w:rPr>
                              <w:t>de</w:t>
                            </w:r>
                            <w:r>
                              <w:rPr>
                                <w:rFonts w:ascii="Arial MT" w:hAnsi="Arial MT"/>
                                <w:color w:val="001F60"/>
                                <w:spacing w:val="1"/>
                                <w:sz w:val="9"/>
                              </w:rPr>
                              <w:t xml:space="preserve"> </w:t>
                            </w:r>
                            <w:r>
                              <w:rPr>
                                <w:rFonts w:ascii="Arial MT" w:hAnsi="Arial MT"/>
                                <w:color w:val="001F60"/>
                                <w:sz w:val="9"/>
                              </w:rPr>
                              <w:t xml:space="preserve">Rede </w:t>
                            </w:r>
                            <w:r>
                              <w:rPr>
                                <w:rFonts w:ascii="Arial MT" w:hAnsi="Arial MT"/>
                                <w:color w:val="001F60"/>
                                <w:spacing w:val="-5"/>
                                <w:sz w:val="9"/>
                              </w:rPr>
                              <w:t>de</w:t>
                            </w:r>
                            <w:r>
                              <w:rPr>
                                <w:rFonts w:ascii="Times New Roman" w:hAnsi="Times New Roman"/>
                                <w:color w:val="001F60"/>
                                <w:sz w:val="9"/>
                              </w:rPr>
                              <w:tab/>
                            </w:r>
                            <w:r>
                              <w:rPr>
                                <w:rFonts w:ascii="Arial MT" w:hAnsi="Arial MT"/>
                                <w:color w:val="001F60"/>
                                <w:spacing w:val="-4"/>
                                <w:position w:val="-5"/>
                                <w:sz w:val="9"/>
                              </w:rPr>
                              <w:t>1050</w:t>
                            </w:r>
                          </w:p>
                        </w:tc>
                        <w:tc>
                          <w:tcPr>
                            <w:tcW w:w="2366" w:type="dxa"/>
                            <w:tcBorders>
                              <w:top w:val="single" w:sz="4" w:space="0" w:color="001F60"/>
                              <w:bottom w:val="single" w:sz="2" w:space="0" w:color="000000"/>
                            </w:tcBorders>
                          </w:tcPr>
                          <w:p w14:paraId="504599FB" w14:textId="77777777" w:rsidR="002C6574" w:rsidRDefault="002C6574">
                            <w:pPr>
                              <w:pStyle w:val="TableParagraph"/>
                              <w:spacing w:before="13"/>
                              <w:jc w:val="left"/>
                              <w:rPr>
                                <w:rFonts w:ascii="Calibri"/>
                                <w:sz w:val="9"/>
                              </w:rPr>
                            </w:pPr>
                          </w:p>
                          <w:p w14:paraId="19310B93" w14:textId="77777777" w:rsidR="002C6574" w:rsidRDefault="00000000">
                            <w:pPr>
                              <w:pStyle w:val="TableParagraph"/>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Próprios</w:t>
                            </w:r>
                            <w:r>
                              <w:rPr>
                                <w:rFonts w:ascii="Arial MT" w:hAnsi="Arial MT"/>
                                <w:color w:val="001F60"/>
                                <w:spacing w:val="3"/>
                                <w:sz w:val="9"/>
                              </w:rPr>
                              <w:t xml:space="preserve"> </w:t>
                            </w:r>
                            <w:r>
                              <w:rPr>
                                <w:rFonts w:ascii="Arial MT" w:hAnsi="Arial MT"/>
                                <w:color w:val="001F60"/>
                                <w:sz w:val="9"/>
                              </w:rPr>
                              <w:t>Livres</w:t>
                            </w:r>
                            <w:r>
                              <w:rPr>
                                <w:rFonts w:ascii="Arial MT" w:hAnsi="Arial MT"/>
                                <w:color w:val="001F60"/>
                                <w:spacing w:val="2"/>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5"/>
                                <w:sz w:val="9"/>
                              </w:rPr>
                              <w:t>UO</w:t>
                            </w:r>
                          </w:p>
                        </w:tc>
                        <w:tc>
                          <w:tcPr>
                            <w:tcW w:w="663" w:type="dxa"/>
                            <w:tcBorders>
                              <w:top w:val="single" w:sz="4" w:space="0" w:color="001F60"/>
                              <w:bottom w:val="single" w:sz="2" w:space="0" w:color="000000"/>
                            </w:tcBorders>
                          </w:tcPr>
                          <w:p w14:paraId="0995D4A2" w14:textId="77777777" w:rsidR="002C6574" w:rsidRDefault="002C6574">
                            <w:pPr>
                              <w:pStyle w:val="TableParagraph"/>
                              <w:spacing w:before="13"/>
                              <w:jc w:val="left"/>
                              <w:rPr>
                                <w:rFonts w:ascii="Calibri"/>
                                <w:sz w:val="9"/>
                              </w:rPr>
                            </w:pPr>
                          </w:p>
                          <w:p w14:paraId="540AF03D" w14:textId="77777777" w:rsidR="002C6574" w:rsidRDefault="00000000">
                            <w:pPr>
                              <w:pStyle w:val="TableParagraph"/>
                              <w:ind w:right="148"/>
                              <w:rPr>
                                <w:rFonts w:ascii="Arial MT"/>
                                <w:sz w:val="9"/>
                              </w:rPr>
                            </w:pPr>
                            <w:r>
                              <w:rPr>
                                <w:rFonts w:ascii="Arial MT"/>
                                <w:color w:val="001F60"/>
                                <w:spacing w:val="-4"/>
                                <w:sz w:val="9"/>
                              </w:rPr>
                              <w:t>0,15</w:t>
                            </w:r>
                          </w:p>
                        </w:tc>
                        <w:tc>
                          <w:tcPr>
                            <w:tcW w:w="616" w:type="dxa"/>
                            <w:tcBorders>
                              <w:top w:val="single" w:sz="4" w:space="0" w:color="001F60"/>
                              <w:bottom w:val="single" w:sz="2" w:space="0" w:color="000000"/>
                            </w:tcBorders>
                          </w:tcPr>
                          <w:p w14:paraId="42AF4680" w14:textId="77777777" w:rsidR="002C6574" w:rsidRDefault="002C6574">
                            <w:pPr>
                              <w:pStyle w:val="TableParagraph"/>
                              <w:spacing w:before="13"/>
                              <w:jc w:val="left"/>
                              <w:rPr>
                                <w:rFonts w:ascii="Calibri"/>
                                <w:sz w:val="9"/>
                              </w:rPr>
                            </w:pPr>
                          </w:p>
                          <w:p w14:paraId="59307D62" w14:textId="77777777" w:rsidR="002C6574" w:rsidRDefault="00000000">
                            <w:pPr>
                              <w:pStyle w:val="TableParagraph"/>
                              <w:ind w:right="142"/>
                              <w:rPr>
                                <w:rFonts w:ascii="Arial MT"/>
                                <w:sz w:val="9"/>
                              </w:rPr>
                            </w:pPr>
                            <w:r>
                              <w:rPr>
                                <w:rFonts w:ascii="Arial MT"/>
                                <w:color w:val="001F60"/>
                                <w:spacing w:val="-4"/>
                                <w:sz w:val="9"/>
                              </w:rPr>
                              <w:t>0,15</w:t>
                            </w:r>
                          </w:p>
                        </w:tc>
                        <w:tc>
                          <w:tcPr>
                            <w:tcW w:w="612" w:type="dxa"/>
                            <w:tcBorders>
                              <w:top w:val="single" w:sz="4" w:space="0" w:color="001F60"/>
                              <w:bottom w:val="single" w:sz="2" w:space="0" w:color="000000"/>
                            </w:tcBorders>
                          </w:tcPr>
                          <w:p w14:paraId="3446ED1F" w14:textId="77777777" w:rsidR="002C6574" w:rsidRDefault="002C6574">
                            <w:pPr>
                              <w:pStyle w:val="TableParagraph"/>
                              <w:spacing w:before="13"/>
                              <w:jc w:val="left"/>
                              <w:rPr>
                                <w:rFonts w:ascii="Calibri"/>
                                <w:sz w:val="9"/>
                              </w:rPr>
                            </w:pPr>
                          </w:p>
                          <w:p w14:paraId="200393E8" w14:textId="77777777" w:rsidR="002C6574" w:rsidRDefault="00000000">
                            <w:pPr>
                              <w:pStyle w:val="TableParagraph"/>
                              <w:ind w:right="131"/>
                              <w:rPr>
                                <w:rFonts w:ascii="Arial MT"/>
                                <w:sz w:val="9"/>
                              </w:rPr>
                            </w:pPr>
                            <w:r>
                              <w:rPr>
                                <w:rFonts w:ascii="Arial MT"/>
                                <w:color w:val="001F60"/>
                                <w:spacing w:val="-4"/>
                                <w:sz w:val="9"/>
                              </w:rPr>
                              <w:t>0,15</w:t>
                            </w:r>
                          </w:p>
                        </w:tc>
                        <w:tc>
                          <w:tcPr>
                            <w:tcW w:w="494" w:type="dxa"/>
                            <w:tcBorders>
                              <w:top w:val="single" w:sz="4" w:space="0" w:color="001F60"/>
                              <w:bottom w:val="single" w:sz="2" w:space="0" w:color="000000"/>
                            </w:tcBorders>
                          </w:tcPr>
                          <w:p w14:paraId="444DF65C" w14:textId="77777777" w:rsidR="002C6574" w:rsidRDefault="002C6574">
                            <w:pPr>
                              <w:pStyle w:val="TableParagraph"/>
                              <w:spacing w:before="13"/>
                              <w:jc w:val="left"/>
                              <w:rPr>
                                <w:rFonts w:ascii="Calibri"/>
                                <w:sz w:val="9"/>
                              </w:rPr>
                            </w:pPr>
                          </w:p>
                          <w:p w14:paraId="7DF10168" w14:textId="77777777" w:rsidR="002C6574" w:rsidRDefault="00000000">
                            <w:pPr>
                              <w:pStyle w:val="TableParagraph"/>
                              <w:ind w:right="58"/>
                              <w:rPr>
                                <w:rFonts w:ascii="Arial MT"/>
                                <w:sz w:val="9"/>
                              </w:rPr>
                            </w:pPr>
                            <w:r>
                              <w:rPr>
                                <w:rFonts w:ascii="Arial MT"/>
                                <w:color w:val="001F60"/>
                                <w:spacing w:val="-4"/>
                                <w:sz w:val="9"/>
                              </w:rPr>
                              <w:t>0,15</w:t>
                            </w:r>
                          </w:p>
                        </w:tc>
                        <w:tc>
                          <w:tcPr>
                            <w:tcW w:w="563" w:type="dxa"/>
                            <w:tcBorders>
                              <w:top w:val="single" w:sz="4" w:space="0" w:color="001F60"/>
                              <w:bottom w:val="single" w:sz="2" w:space="0" w:color="000000"/>
                            </w:tcBorders>
                          </w:tcPr>
                          <w:p w14:paraId="21CFF8C1" w14:textId="77777777" w:rsidR="002C6574" w:rsidRDefault="002C6574">
                            <w:pPr>
                              <w:pStyle w:val="TableParagraph"/>
                              <w:spacing w:before="13"/>
                              <w:jc w:val="left"/>
                              <w:rPr>
                                <w:rFonts w:ascii="Calibri"/>
                                <w:sz w:val="9"/>
                              </w:rPr>
                            </w:pPr>
                          </w:p>
                          <w:p w14:paraId="4286D543" w14:textId="77777777" w:rsidR="002C6574" w:rsidRDefault="00000000">
                            <w:pPr>
                              <w:pStyle w:val="TableParagraph"/>
                              <w:ind w:left="10" w:right="27"/>
                              <w:jc w:val="center"/>
                              <w:rPr>
                                <w:rFonts w:ascii="Arial MT"/>
                                <w:sz w:val="9"/>
                              </w:rPr>
                            </w:pPr>
                            <w:r>
                              <w:rPr>
                                <w:rFonts w:ascii="Arial MT"/>
                                <w:color w:val="001F60"/>
                                <w:spacing w:val="-4"/>
                                <w:sz w:val="9"/>
                              </w:rPr>
                              <w:t>100%</w:t>
                            </w:r>
                          </w:p>
                        </w:tc>
                        <w:tc>
                          <w:tcPr>
                            <w:tcW w:w="553" w:type="dxa"/>
                            <w:tcBorders>
                              <w:top w:val="single" w:sz="4" w:space="0" w:color="001F60"/>
                              <w:bottom w:val="single" w:sz="2" w:space="0" w:color="000000"/>
                            </w:tcBorders>
                          </w:tcPr>
                          <w:p w14:paraId="49B03A50" w14:textId="77777777" w:rsidR="002C6574" w:rsidRDefault="002C6574">
                            <w:pPr>
                              <w:pStyle w:val="TableParagraph"/>
                              <w:spacing w:before="13"/>
                              <w:jc w:val="left"/>
                              <w:rPr>
                                <w:rFonts w:ascii="Calibri"/>
                                <w:sz w:val="9"/>
                              </w:rPr>
                            </w:pPr>
                          </w:p>
                          <w:p w14:paraId="08B9FA24" w14:textId="77777777" w:rsidR="002C6574" w:rsidRDefault="00000000">
                            <w:pPr>
                              <w:pStyle w:val="TableParagraph"/>
                              <w:ind w:left="9" w:right="9"/>
                              <w:jc w:val="center"/>
                              <w:rPr>
                                <w:rFonts w:ascii="Arial MT"/>
                                <w:sz w:val="9"/>
                              </w:rPr>
                            </w:pPr>
                            <w:r>
                              <w:rPr>
                                <w:rFonts w:ascii="Arial MT"/>
                                <w:color w:val="001F60"/>
                                <w:spacing w:val="-4"/>
                                <w:sz w:val="9"/>
                              </w:rPr>
                              <w:t>100%</w:t>
                            </w:r>
                          </w:p>
                        </w:tc>
                      </w:tr>
                      <w:tr w:rsidR="002C6574" w14:paraId="0161C575" w14:textId="77777777">
                        <w:trPr>
                          <w:trHeight w:val="109"/>
                        </w:trPr>
                        <w:tc>
                          <w:tcPr>
                            <w:tcW w:w="3125" w:type="dxa"/>
                            <w:tcBorders>
                              <w:top w:val="single" w:sz="2" w:space="0" w:color="000000"/>
                              <w:bottom w:val="single" w:sz="4" w:space="0" w:color="001F60"/>
                            </w:tcBorders>
                          </w:tcPr>
                          <w:p w14:paraId="4B5B1819" w14:textId="77777777" w:rsidR="002C6574" w:rsidRDefault="00000000">
                            <w:pPr>
                              <w:pStyle w:val="TableParagraph"/>
                              <w:tabs>
                                <w:tab w:val="right" w:pos="2427"/>
                              </w:tabs>
                              <w:spacing w:before="4" w:line="86" w:lineRule="exact"/>
                              <w:ind w:right="-317"/>
                              <w:rPr>
                                <w:rFonts w:ascii="Arial MT" w:hAnsi="Arial MT"/>
                                <w:sz w:val="9"/>
                              </w:rPr>
                            </w:pPr>
                            <w:r>
                              <w:rPr>
                                <w:rFonts w:ascii="Arial MT" w:hAnsi="Arial MT"/>
                                <w:color w:val="001F60"/>
                                <w:sz w:val="9"/>
                              </w:rPr>
                              <w:t>2000</w:t>
                            </w:r>
                            <w:r>
                              <w:rPr>
                                <w:rFonts w:ascii="Arial MT" w:hAnsi="Arial MT"/>
                                <w:color w:val="001F60"/>
                                <w:spacing w:val="67"/>
                                <w:sz w:val="9"/>
                              </w:rPr>
                              <w:t xml:space="preserve"> </w:t>
                            </w:r>
                            <w:r>
                              <w:rPr>
                                <w:rFonts w:ascii="Arial MT" w:hAnsi="Arial MT"/>
                                <w:color w:val="001F60"/>
                                <w:sz w:val="9"/>
                              </w:rPr>
                              <w:t>Administração</w:t>
                            </w:r>
                            <w:r>
                              <w:rPr>
                                <w:rFonts w:ascii="Arial MT" w:hAnsi="Arial MT"/>
                                <w:color w:val="001F60"/>
                                <w:spacing w:val="1"/>
                                <w:sz w:val="9"/>
                              </w:rPr>
                              <w:t xml:space="preserve"> </w:t>
                            </w:r>
                            <w:r>
                              <w:rPr>
                                <w:rFonts w:ascii="Arial MT" w:hAnsi="Arial MT"/>
                                <w:color w:val="001F60"/>
                                <w:sz w:val="9"/>
                              </w:rPr>
                              <w:t xml:space="preserve">da </w:t>
                            </w:r>
                            <w:r>
                              <w:rPr>
                                <w:rFonts w:ascii="Arial MT" w:hAnsi="Arial MT"/>
                                <w:color w:val="001F60"/>
                                <w:spacing w:val="-2"/>
                                <w:sz w:val="9"/>
                              </w:rPr>
                              <w:t>Unidade</w:t>
                            </w:r>
                            <w:r>
                              <w:rPr>
                                <w:rFonts w:ascii="Times New Roman" w:hAnsi="Times New Roman"/>
                                <w:color w:val="001F60"/>
                                <w:sz w:val="9"/>
                              </w:rPr>
                              <w:tab/>
                            </w:r>
                            <w:r>
                              <w:rPr>
                                <w:rFonts w:ascii="Arial MT" w:hAnsi="Arial MT"/>
                                <w:color w:val="001F60"/>
                                <w:spacing w:val="-4"/>
                                <w:sz w:val="9"/>
                              </w:rPr>
                              <w:t>1050</w:t>
                            </w:r>
                          </w:p>
                        </w:tc>
                        <w:tc>
                          <w:tcPr>
                            <w:tcW w:w="2366" w:type="dxa"/>
                            <w:tcBorders>
                              <w:top w:val="single" w:sz="2" w:space="0" w:color="000000"/>
                              <w:bottom w:val="single" w:sz="4" w:space="0" w:color="001F60"/>
                            </w:tcBorders>
                          </w:tcPr>
                          <w:p w14:paraId="00B84EC1" w14:textId="77777777" w:rsidR="002C6574" w:rsidRDefault="00000000">
                            <w:pPr>
                              <w:pStyle w:val="TableParagraph"/>
                              <w:spacing w:before="4" w:line="86" w:lineRule="exact"/>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Próprios</w:t>
                            </w:r>
                            <w:r>
                              <w:rPr>
                                <w:rFonts w:ascii="Arial MT" w:hAnsi="Arial MT"/>
                                <w:color w:val="001F60"/>
                                <w:spacing w:val="3"/>
                                <w:sz w:val="9"/>
                              </w:rPr>
                              <w:t xml:space="preserve"> </w:t>
                            </w:r>
                            <w:r>
                              <w:rPr>
                                <w:rFonts w:ascii="Arial MT" w:hAnsi="Arial MT"/>
                                <w:color w:val="001F60"/>
                                <w:sz w:val="9"/>
                              </w:rPr>
                              <w:t>Livres</w:t>
                            </w:r>
                            <w:r>
                              <w:rPr>
                                <w:rFonts w:ascii="Arial MT" w:hAnsi="Arial MT"/>
                                <w:color w:val="001F60"/>
                                <w:spacing w:val="2"/>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5"/>
                                <w:sz w:val="9"/>
                              </w:rPr>
                              <w:t>UO</w:t>
                            </w:r>
                          </w:p>
                        </w:tc>
                        <w:tc>
                          <w:tcPr>
                            <w:tcW w:w="663" w:type="dxa"/>
                            <w:tcBorders>
                              <w:top w:val="single" w:sz="2" w:space="0" w:color="000000"/>
                              <w:bottom w:val="single" w:sz="4" w:space="0" w:color="001F60"/>
                            </w:tcBorders>
                          </w:tcPr>
                          <w:p w14:paraId="39B1E328" w14:textId="77777777" w:rsidR="002C6574" w:rsidRDefault="00000000">
                            <w:pPr>
                              <w:pStyle w:val="TableParagraph"/>
                              <w:spacing w:before="4" w:line="86" w:lineRule="exact"/>
                              <w:ind w:right="148"/>
                              <w:rPr>
                                <w:rFonts w:ascii="Arial MT"/>
                                <w:sz w:val="9"/>
                              </w:rPr>
                            </w:pPr>
                            <w:r>
                              <w:rPr>
                                <w:rFonts w:ascii="Arial MT"/>
                                <w:color w:val="001F60"/>
                                <w:spacing w:val="-4"/>
                                <w:sz w:val="9"/>
                              </w:rPr>
                              <w:t>0,89</w:t>
                            </w:r>
                          </w:p>
                        </w:tc>
                        <w:tc>
                          <w:tcPr>
                            <w:tcW w:w="616" w:type="dxa"/>
                            <w:tcBorders>
                              <w:top w:val="single" w:sz="2" w:space="0" w:color="000000"/>
                              <w:bottom w:val="single" w:sz="4" w:space="0" w:color="001F60"/>
                            </w:tcBorders>
                          </w:tcPr>
                          <w:p w14:paraId="78645357" w14:textId="77777777" w:rsidR="002C6574" w:rsidRDefault="00000000">
                            <w:pPr>
                              <w:pStyle w:val="TableParagraph"/>
                              <w:spacing w:before="4" w:line="86" w:lineRule="exact"/>
                              <w:ind w:right="142"/>
                              <w:rPr>
                                <w:rFonts w:ascii="Arial MT"/>
                                <w:sz w:val="9"/>
                              </w:rPr>
                            </w:pPr>
                            <w:r>
                              <w:rPr>
                                <w:rFonts w:ascii="Arial MT"/>
                                <w:color w:val="001F60"/>
                                <w:spacing w:val="-4"/>
                                <w:sz w:val="9"/>
                              </w:rPr>
                              <w:t>0,89</w:t>
                            </w:r>
                          </w:p>
                        </w:tc>
                        <w:tc>
                          <w:tcPr>
                            <w:tcW w:w="612" w:type="dxa"/>
                            <w:tcBorders>
                              <w:top w:val="single" w:sz="2" w:space="0" w:color="000000"/>
                              <w:bottom w:val="single" w:sz="4" w:space="0" w:color="001F60"/>
                            </w:tcBorders>
                          </w:tcPr>
                          <w:p w14:paraId="3BDE25CB" w14:textId="77777777" w:rsidR="002C6574" w:rsidRDefault="00000000">
                            <w:pPr>
                              <w:pStyle w:val="TableParagraph"/>
                              <w:spacing w:before="4" w:line="86" w:lineRule="exact"/>
                              <w:ind w:right="131"/>
                              <w:rPr>
                                <w:rFonts w:ascii="Arial MT"/>
                                <w:sz w:val="9"/>
                              </w:rPr>
                            </w:pPr>
                            <w:r>
                              <w:rPr>
                                <w:rFonts w:ascii="Arial MT"/>
                                <w:color w:val="001F60"/>
                                <w:spacing w:val="-4"/>
                                <w:sz w:val="9"/>
                              </w:rPr>
                              <w:t>0,89</w:t>
                            </w:r>
                          </w:p>
                        </w:tc>
                        <w:tc>
                          <w:tcPr>
                            <w:tcW w:w="494" w:type="dxa"/>
                            <w:tcBorders>
                              <w:top w:val="single" w:sz="2" w:space="0" w:color="000000"/>
                              <w:bottom w:val="single" w:sz="4" w:space="0" w:color="001F60"/>
                            </w:tcBorders>
                          </w:tcPr>
                          <w:p w14:paraId="545CB9E2" w14:textId="77777777" w:rsidR="002C6574" w:rsidRDefault="00000000">
                            <w:pPr>
                              <w:pStyle w:val="TableParagraph"/>
                              <w:spacing w:before="4" w:line="86" w:lineRule="exact"/>
                              <w:ind w:right="58"/>
                              <w:rPr>
                                <w:rFonts w:ascii="Arial MT"/>
                                <w:sz w:val="9"/>
                              </w:rPr>
                            </w:pPr>
                            <w:r>
                              <w:rPr>
                                <w:rFonts w:ascii="Arial MT"/>
                                <w:color w:val="001F60"/>
                                <w:spacing w:val="-4"/>
                                <w:sz w:val="9"/>
                              </w:rPr>
                              <w:t>0,89</w:t>
                            </w:r>
                          </w:p>
                        </w:tc>
                        <w:tc>
                          <w:tcPr>
                            <w:tcW w:w="563" w:type="dxa"/>
                            <w:tcBorders>
                              <w:top w:val="single" w:sz="2" w:space="0" w:color="000000"/>
                              <w:bottom w:val="single" w:sz="4" w:space="0" w:color="001F60"/>
                            </w:tcBorders>
                          </w:tcPr>
                          <w:p w14:paraId="0453E47A" w14:textId="77777777" w:rsidR="002C6574" w:rsidRDefault="00000000">
                            <w:pPr>
                              <w:pStyle w:val="TableParagraph"/>
                              <w:spacing w:before="4" w:line="86" w:lineRule="exact"/>
                              <w:ind w:left="10" w:right="27"/>
                              <w:jc w:val="center"/>
                              <w:rPr>
                                <w:rFonts w:ascii="Arial MT"/>
                                <w:sz w:val="9"/>
                              </w:rPr>
                            </w:pPr>
                            <w:r>
                              <w:rPr>
                                <w:rFonts w:ascii="Arial MT"/>
                                <w:color w:val="001F60"/>
                                <w:spacing w:val="-4"/>
                                <w:sz w:val="9"/>
                              </w:rPr>
                              <w:t>100%</w:t>
                            </w:r>
                          </w:p>
                        </w:tc>
                        <w:tc>
                          <w:tcPr>
                            <w:tcW w:w="553" w:type="dxa"/>
                            <w:tcBorders>
                              <w:top w:val="single" w:sz="2" w:space="0" w:color="000000"/>
                              <w:bottom w:val="single" w:sz="4" w:space="0" w:color="001F60"/>
                            </w:tcBorders>
                          </w:tcPr>
                          <w:p w14:paraId="2170D9D7" w14:textId="77777777" w:rsidR="002C6574" w:rsidRDefault="00000000">
                            <w:pPr>
                              <w:pStyle w:val="TableParagraph"/>
                              <w:spacing w:before="4" w:line="86" w:lineRule="exact"/>
                              <w:ind w:left="9" w:right="9"/>
                              <w:jc w:val="center"/>
                              <w:rPr>
                                <w:rFonts w:ascii="Arial MT"/>
                                <w:sz w:val="9"/>
                              </w:rPr>
                            </w:pPr>
                            <w:r>
                              <w:rPr>
                                <w:rFonts w:ascii="Arial MT"/>
                                <w:color w:val="001F60"/>
                                <w:spacing w:val="-4"/>
                                <w:sz w:val="9"/>
                              </w:rPr>
                              <w:t>100%</w:t>
                            </w:r>
                          </w:p>
                        </w:tc>
                      </w:tr>
                      <w:tr w:rsidR="002C6574" w14:paraId="2CCE4C19" w14:textId="77777777">
                        <w:trPr>
                          <w:trHeight w:val="107"/>
                        </w:trPr>
                        <w:tc>
                          <w:tcPr>
                            <w:tcW w:w="3125" w:type="dxa"/>
                            <w:tcBorders>
                              <w:top w:val="single" w:sz="4" w:space="0" w:color="001F60"/>
                              <w:bottom w:val="single" w:sz="4" w:space="0" w:color="001F60"/>
                            </w:tcBorders>
                          </w:tcPr>
                          <w:p w14:paraId="1EE0BD66" w14:textId="77777777" w:rsidR="002C6574" w:rsidRDefault="00000000">
                            <w:pPr>
                              <w:pStyle w:val="TableParagraph"/>
                              <w:spacing w:before="6" w:line="81" w:lineRule="exact"/>
                              <w:ind w:left="513"/>
                              <w:jc w:val="left"/>
                              <w:rPr>
                                <w:rFonts w:ascii="Arial" w:hAnsi="Arial"/>
                                <w:b/>
                                <w:sz w:val="9"/>
                              </w:rPr>
                            </w:pPr>
                            <w:r>
                              <w:rPr>
                                <w:rFonts w:ascii="Arial" w:hAnsi="Arial"/>
                                <w:b/>
                                <w:color w:val="001F60"/>
                                <w:sz w:val="9"/>
                              </w:rPr>
                              <w:t>Reserva</w:t>
                            </w:r>
                            <w:r>
                              <w:rPr>
                                <w:rFonts w:ascii="Arial" w:hAnsi="Arial"/>
                                <w:b/>
                                <w:color w:val="001F60"/>
                                <w:spacing w:val="11"/>
                                <w:sz w:val="9"/>
                              </w:rPr>
                              <w:t xml:space="preserve"> </w:t>
                            </w:r>
                            <w:r>
                              <w:rPr>
                                <w:rFonts w:ascii="Arial" w:hAnsi="Arial"/>
                                <w:b/>
                                <w:color w:val="001F60"/>
                                <w:sz w:val="9"/>
                              </w:rPr>
                              <w:t>de</w:t>
                            </w:r>
                            <w:r>
                              <w:rPr>
                                <w:rFonts w:ascii="Arial" w:hAnsi="Arial"/>
                                <w:b/>
                                <w:color w:val="001F60"/>
                                <w:spacing w:val="15"/>
                                <w:sz w:val="9"/>
                              </w:rPr>
                              <w:t xml:space="preserve"> </w:t>
                            </w:r>
                            <w:r>
                              <w:rPr>
                                <w:rFonts w:ascii="Arial" w:hAnsi="Arial"/>
                                <w:b/>
                                <w:color w:val="001F60"/>
                                <w:spacing w:val="-2"/>
                                <w:sz w:val="9"/>
                              </w:rPr>
                              <w:t>Contingência</w:t>
                            </w:r>
                          </w:p>
                        </w:tc>
                        <w:tc>
                          <w:tcPr>
                            <w:tcW w:w="2366" w:type="dxa"/>
                            <w:tcBorders>
                              <w:top w:val="single" w:sz="4" w:space="0" w:color="001F60"/>
                              <w:bottom w:val="single" w:sz="4" w:space="0" w:color="001F60"/>
                            </w:tcBorders>
                          </w:tcPr>
                          <w:p w14:paraId="2ECEA5C2" w14:textId="77777777" w:rsidR="002C6574" w:rsidRDefault="002C6574">
                            <w:pPr>
                              <w:pStyle w:val="TableParagraph"/>
                              <w:jc w:val="left"/>
                              <w:rPr>
                                <w:rFonts w:ascii="Times New Roman"/>
                                <w:sz w:val="4"/>
                              </w:rPr>
                            </w:pPr>
                          </w:p>
                        </w:tc>
                        <w:tc>
                          <w:tcPr>
                            <w:tcW w:w="663" w:type="dxa"/>
                            <w:tcBorders>
                              <w:top w:val="single" w:sz="4" w:space="0" w:color="001F60"/>
                              <w:bottom w:val="single" w:sz="4" w:space="0" w:color="001F60"/>
                            </w:tcBorders>
                          </w:tcPr>
                          <w:p w14:paraId="48B9CF31" w14:textId="77777777" w:rsidR="002C6574" w:rsidRDefault="00000000">
                            <w:pPr>
                              <w:pStyle w:val="TableParagraph"/>
                              <w:spacing w:before="6" w:line="81" w:lineRule="exact"/>
                              <w:ind w:left="126"/>
                              <w:jc w:val="center"/>
                              <w:rPr>
                                <w:rFonts w:ascii="Arial"/>
                                <w:b/>
                                <w:sz w:val="9"/>
                              </w:rPr>
                            </w:pPr>
                            <w:r>
                              <w:rPr>
                                <w:rFonts w:ascii="Arial"/>
                                <w:b/>
                                <w:color w:val="001F60"/>
                                <w:spacing w:val="-10"/>
                                <w:sz w:val="9"/>
                              </w:rPr>
                              <w:t>-</w:t>
                            </w:r>
                          </w:p>
                        </w:tc>
                        <w:tc>
                          <w:tcPr>
                            <w:tcW w:w="616" w:type="dxa"/>
                            <w:tcBorders>
                              <w:top w:val="single" w:sz="4" w:space="0" w:color="001F60"/>
                              <w:bottom w:val="single" w:sz="4" w:space="0" w:color="001F60"/>
                            </w:tcBorders>
                          </w:tcPr>
                          <w:p w14:paraId="1B4E667A" w14:textId="77777777" w:rsidR="002C6574" w:rsidRDefault="00000000">
                            <w:pPr>
                              <w:pStyle w:val="TableParagraph"/>
                              <w:spacing w:before="6" w:line="81" w:lineRule="exact"/>
                              <w:ind w:left="91" w:right="1"/>
                              <w:jc w:val="center"/>
                              <w:rPr>
                                <w:rFonts w:ascii="Arial"/>
                                <w:b/>
                                <w:sz w:val="9"/>
                              </w:rPr>
                            </w:pPr>
                            <w:r>
                              <w:rPr>
                                <w:rFonts w:ascii="Arial"/>
                                <w:b/>
                                <w:color w:val="001F60"/>
                                <w:spacing w:val="-10"/>
                                <w:sz w:val="9"/>
                              </w:rPr>
                              <w:t>-</w:t>
                            </w:r>
                          </w:p>
                        </w:tc>
                        <w:tc>
                          <w:tcPr>
                            <w:tcW w:w="612" w:type="dxa"/>
                            <w:tcBorders>
                              <w:top w:val="single" w:sz="4" w:space="0" w:color="001F60"/>
                              <w:bottom w:val="single" w:sz="4" w:space="0" w:color="001F60"/>
                            </w:tcBorders>
                          </w:tcPr>
                          <w:p w14:paraId="29BE260C" w14:textId="77777777" w:rsidR="002C6574" w:rsidRDefault="00000000">
                            <w:pPr>
                              <w:pStyle w:val="TableParagraph"/>
                              <w:spacing w:before="6" w:line="81" w:lineRule="exact"/>
                              <w:ind w:left="110" w:right="1"/>
                              <w:jc w:val="center"/>
                              <w:rPr>
                                <w:rFonts w:ascii="Arial"/>
                                <w:b/>
                                <w:sz w:val="9"/>
                              </w:rPr>
                            </w:pPr>
                            <w:r>
                              <w:rPr>
                                <w:rFonts w:ascii="Arial"/>
                                <w:b/>
                                <w:color w:val="001F60"/>
                                <w:spacing w:val="-10"/>
                                <w:sz w:val="9"/>
                              </w:rPr>
                              <w:t>-</w:t>
                            </w:r>
                          </w:p>
                        </w:tc>
                        <w:tc>
                          <w:tcPr>
                            <w:tcW w:w="494" w:type="dxa"/>
                            <w:tcBorders>
                              <w:top w:val="single" w:sz="4" w:space="0" w:color="001F60"/>
                              <w:bottom w:val="single" w:sz="4" w:space="0" w:color="001F60"/>
                            </w:tcBorders>
                          </w:tcPr>
                          <w:p w14:paraId="7EC65806" w14:textId="77777777" w:rsidR="002C6574" w:rsidRDefault="00000000">
                            <w:pPr>
                              <w:pStyle w:val="TableParagraph"/>
                              <w:spacing w:before="6" w:line="81" w:lineRule="exact"/>
                              <w:ind w:left="133"/>
                              <w:jc w:val="center"/>
                              <w:rPr>
                                <w:rFonts w:ascii="Arial"/>
                                <w:b/>
                                <w:sz w:val="9"/>
                              </w:rPr>
                            </w:pPr>
                            <w:r>
                              <w:rPr>
                                <w:rFonts w:ascii="Arial"/>
                                <w:b/>
                                <w:color w:val="001F60"/>
                                <w:spacing w:val="-10"/>
                                <w:sz w:val="9"/>
                              </w:rPr>
                              <w:t>-</w:t>
                            </w:r>
                          </w:p>
                        </w:tc>
                        <w:tc>
                          <w:tcPr>
                            <w:tcW w:w="563" w:type="dxa"/>
                            <w:tcBorders>
                              <w:top w:val="single" w:sz="4" w:space="0" w:color="001F60"/>
                              <w:bottom w:val="single" w:sz="4" w:space="0" w:color="001F60"/>
                            </w:tcBorders>
                          </w:tcPr>
                          <w:p w14:paraId="1A2BCAD4" w14:textId="77777777" w:rsidR="002C6574" w:rsidRDefault="002C6574">
                            <w:pPr>
                              <w:pStyle w:val="TableParagraph"/>
                              <w:jc w:val="left"/>
                              <w:rPr>
                                <w:rFonts w:ascii="Times New Roman"/>
                                <w:sz w:val="4"/>
                              </w:rPr>
                            </w:pPr>
                          </w:p>
                        </w:tc>
                        <w:tc>
                          <w:tcPr>
                            <w:tcW w:w="553" w:type="dxa"/>
                            <w:tcBorders>
                              <w:top w:val="single" w:sz="4" w:space="0" w:color="001F60"/>
                              <w:bottom w:val="single" w:sz="4" w:space="0" w:color="001F60"/>
                            </w:tcBorders>
                          </w:tcPr>
                          <w:p w14:paraId="1D10E92E" w14:textId="77777777" w:rsidR="002C6574" w:rsidRDefault="002C6574">
                            <w:pPr>
                              <w:pStyle w:val="TableParagraph"/>
                              <w:jc w:val="left"/>
                              <w:rPr>
                                <w:rFonts w:ascii="Times New Roman"/>
                                <w:sz w:val="4"/>
                              </w:rPr>
                            </w:pPr>
                          </w:p>
                        </w:tc>
                      </w:tr>
                      <w:tr w:rsidR="002C6574" w14:paraId="4A4650A8" w14:textId="77777777">
                        <w:trPr>
                          <w:trHeight w:val="107"/>
                        </w:trPr>
                        <w:tc>
                          <w:tcPr>
                            <w:tcW w:w="3125" w:type="dxa"/>
                            <w:tcBorders>
                              <w:top w:val="single" w:sz="4" w:space="0" w:color="001F60"/>
                              <w:bottom w:val="single" w:sz="4" w:space="0" w:color="001F60"/>
                            </w:tcBorders>
                          </w:tcPr>
                          <w:p w14:paraId="014A3261" w14:textId="77777777" w:rsidR="002C6574" w:rsidRDefault="00000000">
                            <w:pPr>
                              <w:pStyle w:val="TableParagraph"/>
                              <w:tabs>
                                <w:tab w:val="right" w:pos="2427"/>
                              </w:tabs>
                              <w:spacing w:before="3" w:line="84" w:lineRule="exact"/>
                              <w:ind w:right="-317"/>
                              <w:rPr>
                                <w:rFonts w:ascii="Arial MT" w:hAnsi="Arial MT"/>
                                <w:sz w:val="9"/>
                              </w:rPr>
                            </w:pPr>
                            <w:r>
                              <w:rPr>
                                <w:rFonts w:ascii="Arial MT" w:hAnsi="Arial MT"/>
                                <w:color w:val="001F60"/>
                                <w:sz w:val="9"/>
                              </w:rPr>
                              <w:t>0Z00</w:t>
                            </w:r>
                            <w:r>
                              <w:rPr>
                                <w:rFonts w:ascii="Arial MT" w:hAnsi="Arial MT"/>
                                <w:color w:val="001F60"/>
                                <w:spacing w:val="66"/>
                                <w:sz w:val="9"/>
                              </w:rPr>
                              <w:t xml:space="preserve"> </w:t>
                            </w:r>
                            <w:r>
                              <w:rPr>
                                <w:rFonts w:ascii="Arial MT" w:hAnsi="Arial MT"/>
                                <w:color w:val="001F60"/>
                                <w:sz w:val="9"/>
                              </w:rPr>
                              <w:t>Reserva</w:t>
                            </w:r>
                            <w:r>
                              <w:rPr>
                                <w:rFonts w:ascii="Arial MT" w:hAnsi="Arial MT"/>
                                <w:color w:val="001F60"/>
                                <w:spacing w:val="3"/>
                                <w:sz w:val="9"/>
                              </w:rPr>
                              <w:t xml:space="preserve"> </w:t>
                            </w:r>
                            <w:r>
                              <w:rPr>
                                <w:rFonts w:ascii="Arial MT" w:hAnsi="Arial MT"/>
                                <w:color w:val="001F60"/>
                                <w:sz w:val="9"/>
                              </w:rPr>
                              <w:t>De</w:t>
                            </w:r>
                            <w:r>
                              <w:rPr>
                                <w:rFonts w:ascii="Arial MT" w:hAnsi="Arial MT"/>
                                <w:color w:val="001F60"/>
                                <w:spacing w:val="2"/>
                                <w:sz w:val="9"/>
                              </w:rPr>
                              <w:t xml:space="preserve"> </w:t>
                            </w:r>
                            <w:r>
                              <w:rPr>
                                <w:rFonts w:ascii="Arial MT" w:hAnsi="Arial MT"/>
                                <w:color w:val="001F60"/>
                                <w:sz w:val="9"/>
                              </w:rPr>
                              <w:t>Contingência</w:t>
                            </w:r>
                            <w:r>
                              <w:rPr>
                                <w:rFonts w:ascii="Arial MT" w:hAnsi="Arial MT"/>
                                <w:color w:val="001F60"/>
                                <w:spacing w:val="4"/>
                                <w:sz w:val="9"/>
                              </w:rPr>
                              <w:t xml:space="preserve"> </w:t>
                            </w:r>
                            <w:r>
                              <w:rPr>
                                <w:rFonts w:ascii="Arial MT" w:hAnsi="Arial MT"/>
                                <w:color w:val="001F60"/>
                                <w:sz w:val="9"/>
                              </w:rPr>
                              <w:t>-</w:t>
                            </w:r>
                            <w:r>
                              <w:rPr>
                                <w:rFonts w:ascii="Arial MT" w:hAnsi="Arial MT"/>
                                <w:color w:val="001F60"/>
                                <w:spacing w:val="2"/>
                                <w:sz w:val="9"/>
                              </w:rPr>
                              <w:t xml:space="preserve"> </w:t>
                            </w:r>
                            <w:r>
                              <w:rPr>
                                <w:rFonts w:ascii="Arial MT" w:hAnsi="Arial MT"/>
                                <w:color w:val="001F60"/>
                                <w:spacing w:val="-2"/>
                                <w:sz w:val="9"/>
                              </w:rPr>
                              <w:t>Financeira</w:t>
                            </w:r>
                            <w:r>
                              <w:rPr>
                                <w:rFonts w:ascii="Times New Roman" w:hAnsi="Times New Roman"/>
                                <w:color w:val="001F60"/>
                                <w:sz w:val="9"/>
                              </w:rPr>
                              <w:tab/>
                            </w:r>
                            <w:r>
                              <w:rPr>
                                <w:rFonts w:ascii="Arial MT" w:hAnsi="Arial MT"/>
                                <w:color w:val="001F60"/>
                                <w:spacing w:val="-4"/>
                                <w:sz w:val="9"/>
                              </w:rPr>
                              <w:t>1050</w:t>
                            </w:r>
                          </w:p>
                        </w:tc>
                        <w:tc>
                          <w:tcPr>
                            <w:tcW w:w="2366" w:type="dxa"/>
                            <w:tcBorders>
                              <w:top w:val="single" w:sz="4" w:space="0" w:color="001F60"/>
                              <w:bottom w:val="single" w:sz="4" w:space="0" w:color="001F60"/>
                            </w:tcBorders>
                          </w:tcPr>
                          <w:p w14:paraId="167B57CE" w14:textId="77777777" w:rsidR="002C6574" w:rsidRDefault="00000000">
                            <w:pPr>
                              <w:pStyle w:val="TableParagraph"/>
                              <w:spacing w:before="3" w:line="84" w:lineRule="exact"/>
                              <w:ind w:left="397"/>
                              <w:jc w:val="left"/>
                              <w:rPr>
                                <w:rFonts w:ascii="Arial MT" w:hAnsi="Arial MT"/>
                                <w:sz w:val="9"/>
                              </w:rPr>
                            </w:pPr>
                            <w:r>
                              <w:rPr>
                                <w:rFonts w:ascii="Arial MT" w:hAnsi="Arial MT"/>
                                <w:color w:val="001F60"/>
                                <w:sz w:val="9"/>
                              </w:rPr>
                              <w:t>Recursos</w:t>
                            </w:r>
                            <w:r>
                              <w:rPr>
                                <w:rFonts w:ascii="Arial MT" w:hAnsi="Arial MT"/>
                                <w:color w:val="001F60"/>
                                <w:spacing w:val="2"/>
                                <w:sz w:val="9"/>
                              </w:rPr>
                              <w:t xml:space="preserve"> </w:t>
                            </w:r>
                            <w:r>
                              <w:rPr>
                                <w:rFonts w:ascii="Arial MT" w:hAnsi="Arial MT"/>
                                <w:color w:val="001F60"/>
                                <w:sz w:val="9"/>
                              </w:rPr>
                              <w:t>Próprios</w:t>
                            </w:r>
                            <w:r>
                              <w:rPr>
                                <w:rFonts w:ascii="Arial MT" w:hAnsi="Arial MT"/>
                                <w:color w:val="001F60"/>
                                <w:spacing w:val="3"/>
                                <w:sz w:val="9"/>
                              </w:rPr>
                              <w:t xml:space="preserve"> </w:t>
                            </w:r>
                            <w:r>
                              <w:rPr>
                                <w:rFonts w:ascii="Arial MT" w:hAnsi="Arial MT"/>
                                <w:color w:val="001F60"/>
                                <w:sz w:val="9"/>
                              </w:rPr>
                              <w:t>Livres</w:t>
                            </w:r>
                            <w:r>
                              <w:rPr>
                                <w:rFonts w:ascii="Arial MT" w:hAnsi="Arial MT"/>
                                <w:color w:val="001F60"/>
                                <w:spacing w:val="2"/>
                                <w:sz w:val="9"/>
                              </w:rPr>
                              <w:t xml:space="preserve"> </w:t>
                            </w:r>
                            <w:r>
                              <w:rPr>
                                <w:rFonts w:ascii="Arial MT" w:hAnsi="Arial MT"/>
                                <w:color w:val="001F60"/>
                                <w:sz w:val="9"/>
                              </w:rPr>
                              <w:t>da</w:t>
                            </w:r>
                            <w:r>
                              <w:rPr>
                                <w:rFonts w:ascii="Arial MT" w:hAnsi="Arial MT"/>
                                <w:color w:val="001F60"/>
                                <w:spacing w:val="3"/>
                                <w:sz w:val="9"/>
                              </w:rPr>
                              <w:t xml:space="preserve"> </w:t>
                            </w:r>
                            <w:r>
                              <w:rPr>
                                <w:rFonts w:ascii="Arial MT" w:hAnsi="Arial MT"/>
                                <w:color w:val="001F60"/>
                                <w:spacing w:val="-5"/>
                                <w:sz w:val="9"/>
                              </w:rPr>
                              <w:t>UO</w:t>
                            </w:r>
                          </w:p>
                        </w:tc>
                        <w:tc>
                          <w:tcPr>
                            <w:tcW w:w="663" w:type="dxa"/>
                            <w:tcBorders>
                              <w:top w:val="single" w:sz="4" w:space="0" w:color="001F60"/>
                              <w:bottom w:val="single" w:sz="4" w:space="0" w:color="001F60"/>
                            </w:tcBorders>
                          </w:tcPr>
                          <w:p w14:paraId="14E445E4" w14:textId="77777777" w:rsidR="002C6574" w:rsidRDefault="00000000">
                            <w:pPr>
                              <w:pStyle w:val="TableParagraph"/>
                              <w:spacing w:before="3" w:line="84" w:lineRule="exact"/>
                              <w:ind w:left="126"/>
                              <w:jc w:val="center"/>
                              <w:rPr>
                                <w:rFonts w:ascii="Arial MT"/>
                                <w:sz w:val="9"/>
                              </w:rPr>
                            </w:pPr>
                            <w:r>
                              <w:rPr>
                                <w:rFonts w:ascii="Arial MT"/>
                                <w:color w:val="001F60"/>
                                <w:spacing w:val="-10"/>
                                <w:sz w:val="9"/>
                              </w:rPr>
                              <w:t>-</w:t>
                            </w:r>
                          </w:p>
                        </w:tc>
                        <w:tc>
                          <w:tcPr>
                            <w:tcW w:w="616" w:type="dxa"/>
                            <w:tcBorders>
                              <w:top w:val="single" w:sz="4" w:space="0" w:color="001F60"/>
                              <w:bottom w:val="single" w:sz="4" w:space="0" w:color="001F60"/>
                            </w:tcBorders>
                          </w:tcPr>
                          <w:p w14:paraId="145A08D2" w14:textId="77777777" w:rsidR="002C6574" w:rsidRDefault="00000000">
                            <w:pPr>
                              <w:pStyle w:val="TableParagraph"/>
                              <w:spacing w:before="3" w:line="84" w:lineRule="exact"/>
                              <w:ind w:left="91"/>
                              <w:jc w:val="center"/>
                              <w:rPr>
                                <w:rFonts w:ascii="Arial MT"/>
                                <w:sz w:val="9"/>
                              </w:rPr>
                            </w:pPr>
                            <w:r>
                              <w:rPr>
                                <w:rFonts w:ascii="Arial MT"/>
                                <w:color w:val="001F60"/>
                                <w:spacing w:val="-10"/>
                                <w:sz w:val="9"/>
                              </w:rPr>
                              <w:t>-</w:t>
                            </w:r>
                          </w:p>
                        </w:tc>
                        <w:tc>
                          <w:tcPr>
                            <w:tcW w:w="612" w:type="dxa"/>
                            <w:tcBorders>
                              <w:top w:val="single" w:sz="4" w:space="0" w:color="001F60"/>
                              <w:bottom w:val="single" w:sz="4" w:space="0" w:color="001F60"/>
                            </w:tcBorders>
                          </w:tcPr>
                          <w:p w14:paraId="5D1118F9" w14:textId="77777777" w:rsidR="002C6574" w:rsidRDefault="00000000">
                            <w:pPr>
                              <w:pStyle w:val="TableParagraph"/>
                              <w:spacing w:before="3" w:line="84" w:lineRule="exact"/>
                              <w:ind w:left="110"/>
                              <w:jc w:val="center"/>
                              <w:rPr>
                                <w:rFonts w:ascii="Arial MT"/>
                                <w:sz w:val="9"/>
                              </w:rPr>
                            </w:pPr>
                            <w:r>
                              <w:rPr>
                                <w:rFonts w:ascii="Arial MT"/>
                                <w:color w:val="001F60"/>
                                <w:spacing w:val="-10"/>
                                <w:sz w:val="9"/>
                              </w:rPr>
                              <w:t>-</w:t>
                            </w:r>
                          </w:p>
                        </w:tc>
                        <w:tc>
                          <w:tcPr>
                            <w:tcW w:w="494" w:type="dxa"/>
                            <w:tcBorders>
                              <w:top w:val="single" w:sz="4" w:space="0" w:color="001F60"/>
                              <w:bottom w:val="single" w:sz="4" w:space="0" w:color="001F60"/>
                            </w:tcBorders>
                          </w:tcPr>
                          <w:p w14:paraId="73F7DEE2" w14:textId="77777777" w:rsidR="002C6574" w:rsidRDefault="00000000">
                            <w:pPr>
                              <w:pStyle w:val="TableParagraph"/>
                              <w:spacing w:before="3" w:line="84" w:lineRule="exact"/>
                              <w:ind w:left="131"/>
                              <w:jc w:val="center"/>
                              <w:rPr>
                                <w:rFonts w:ascii="Arial MT"/>
                                <w:sz w:val="9"/>
                              </w:rPr>
                            </w:pPr>
                            <w:r>
                              <w:rPr>
                                <w:rFonts w:ascii="Arial MT"/>
                                <w:color w:val="001F60"/>
                                <w:spacing w:val="-10"/>
                                <w:sz w:val="9"/>
                              </w:rPr>
                              <w:t>-</w:t>
                            </w:r>
                          </w:p>
                        </w:tc>
                        <w:tc>
                          <w:tcPr>
                            <w:tcW w:w="563" w:type="dxa"/>
                            <w:tcBorders>
                              <w:top w:val="single" w:sz="4" w:space="0" w:color="001F60"/>
                              <w:bottom w:val="single" w:sz="4" w:space="0" w:color="001F60"/>
                            </w:tcBorders>
                          </w:tcPr>
                          <w:p w14:paraId="072E8522" w14:textId="77777777" w:rsidR="002C6574" w:rsidRDefault="002C6574">
                            <w:pPr>
                              <w:pStyle w:val="TableParagraph"/>
                              <w:jc w:val="left"/>
                              <w:rPr>
                                <w:rFonts w:ascii="Times New Roman"/>
                                <w:sz w:val="4"/>
                              </w:rPr>
                            </w:pPr>
                          </w:p>
                        </w:tc>
                        <w:tc>
                          <w:tcPr>
                            <w:tcW w:w="553" w:type="dxa"/>
                            <w:tcBorders>
                              <w:top w:val="single" w:sz="4" w:space="0" w:color="001F60"/>
                              <w:bottom w:val="single" w:sz="4" w:space="0" w:color="001F60"/>
                            </w:tcBorders>
                          </w:tcPr>
                          <w:p w14:paraId="1EB614BD" w14:textId="77777777" w:rsidR="002C6574" w:rsidRDefault="002C6574">
                            <w:pPr>
                              <w:pStyle w:val="TableParagraph"/>
                              <w:jc w:val="left"/>
                              <w:rPr>
                                <w:rFonts w:ascii="Times New Roman"/>
                                <w:sz w:val="4"/>
                              </w:rPr>
                            </w:pPr>
                          </w:p>
                        </w:tc>
                      </w:tr>
                      <w:tr w:rsidR="002C6574" w14:paraId="72E8CD20" w14:textId="77777777">
                        <w:trPr>
                          <w:trHeight w:val="107"/>
                        </w:trPr>
                        <w:tc>
                          <w:tcPr>
                            <w:tcW w:w="3125" w:type="dxa"/>
                            <w:tcBorders>
                              <w:top w:val="single" w:sz="4" w:space="0" w:color="001F60"/>
                              <w:bottom w:val="single" w:sz="4" w:space="0" w:color="001F60"/>
                            </w:tcBorders>
                          </w:tcPr>
                          <w:p w14:paraId="06910724" w14:textId="77777777" w:rsidR="002C6574" w:rsidRDefault="00000000">
                            <w:pPr>
                              <w:pStyle w:val="TableParagraph"/>
                              <w:spacing w:before="5" w:line="82" w:lineRule="exact"/>
                              <w:ind w:right="719"/>
                              <w:rPr>
                                <w:rFonts w:ascii="Arial"/>
                                <w:b/>
                                <w:sz w:val="9"/>
                              </w:rPr>
                            </w:pPr>
                            <w:r>
                              <w:rPr>
                                <w:rFonts w:ascii="Arial"/>
                                <w:b/>
                                <w:color w:val="001F60"/>
                                <w:spacing w:val="-2"/>
                                <w:sz w:val="9"/>
                              </w:rPr>
                              <w:t>TOTAL</w:t>
                            </w:r>
                          </w:p>
                        </w:tc>
                        <w:tc>
                          <w:tcPr>
                            <w:tcW w:w="2366" w:type="dxa"/>
                            <w:tcBorders>
                              <w:top w:val="single" w:sz="4" w:space="0" w:color="001F60"/>
                              <w:bottom w:val="single" w:sz="4" w:space="0" w:color="001F60"/>
                            </w:tcBorders>
                          </w:tcPr>
                          <w:p w14:paraId="04CB95D9" w14:textId="77777777" w:rsidR="002C6574" w:rsidRDefault="002C6574">
                            <w:pPr>
                              <w:pStyle w:val="TableParagraph"/>
                              <w:jc w:val="left"/>
                              <w:rPr>
                                <w:rFonts w:ascii="Times New Roman"/>
                                <w:sz w:val="4"/>
                              </w:rPr>
                            </w:pPr>
                          </w:p>
                        </w:tc>
                        <w:tc>
                          <w:tcPr>
                            <w:tcW w:w="663" w:type="dxa"/>
                            <w:tcBorders>
                              <w:top w:val="single" w:sz="4" w:space="0" w:color="001F60"/>
                              <w:bottom w:val="single" w:sz="4" w:space="0" w:color="001F60"/>
                            </w:tcBorders>
                          </w:tcPr>
                          <w:p w14:paraId="114047ED" w14:textId="77777777" w:rsidR="002C6574" w:rsidRDefault="00000000">
                            <w:pPr>
                              <w:pStyle w:val="TableParagraph"/>
                              <w:spacing w:before="5" w:line="82" w:lineRule="exact"/>
                              <w:ind w:right="148"/>
                              <w:rPr>
                                <w:rFonts w:ascii="Arial"/>
                                <w:b/>
                                <w:sz w:val="9"/>
                              </w:rPr>
                            </w:pPr>
                            <w:r>
                              <w:rPr>
                                <w:rFonts w:ascii="Arial"/>
                                <w:b/>
                                <w:color w:val="001F60"/>
                                <w:spacing w:val="-2"/>
                                <w:sz w:val="9"/>
                              </w:rPr>
                              <w:t>294,98</w:t>
                            </w:r>
                          </w:p>
                        </w:tc>
                        <w:tc>
                          <w:tcPr>
                            <w:tcW w:w="616" w:type="dxa"/>
                            <w:tcBorders>
                              <w:top w:val="single" w:sz="4" w:space="0" w:color="001F60"/>
                              <w:bottom w:val="single" w:sz="4" w:space="0" w:color="001F60"/>
                            </w:tcBorders>
                          </w:tcPr>
                          <w:p w14:paraId="6A141B5F" w14:textId="77777777" w:rsidR="002C6574" w:rsidRDefault="00000000">
                            <w:pPr>
                              <w:pStyle w:val="TableParagraph"/>
                              <w:spacing w:before="5" w:line="82" w:lineRule="exact"/>
                              <w:ind w:right="142"/>
                              <w:rPr>
                                <w:rFonts w:ascii="Arial"/>
                                <w:b/>
                                <w:sz w:val="9"/>
                              </w:rPr>
                            </w:pPr>
                            <w:r>
                              <w:rPr>
                                <w:rFonts w:ascii="Arial"/>
                                <w:b/>
                                <w:color w:val="001F60"/>
                                <w:spacing w:val="-2"/>
                                <w:sz w:val="9"/>
                              </w:rPr>
                              <w:t>294,97</w:t>
                            </w:r>
                          </w:p>
                        </w:tc>
                        <w:tc>
                          <w:tcPr>
                            <w:tcW w:w="612" w:type="dxa"/>
                            <w:tcBorders>
                              <w:top w:val="single" w:sz="4" w:space="0" w:color="001F60"/>
                              <w:bottom w:val="single" w:sz="4" w:space="0" w:color="001F60"/>
                            </w:tcBorders>
                          </w:tcPr>
                          <w:p w14:paraId="206B0845" w14:textId="77777777" w:rsidR="002C6574" w:rsidRDefault="00000000">
                            <w:pPr>
                              <w:pStyle w:val="TableParagraph"/>
                              <w:spacing w:before="5" w:line="82" w:lineRule="exact"/>
                              <w:ind w:right="131"/>
                              <w:rPr>
                                <w:rFonts w:ascii="Arial"/>
                                <w:b/>
                                <w:sz w:val="9"/>
                              </w:rPr>
                            </w:pPr>
                            <w:r>
                              <w:rPr>
                                <w:rFonts w:ascii="Arial"/>
                                <w:b/>
                                <w:color w:val="001F60"/>
                                <w:spacing w:val="-2"/>
                                <w:sz w:val="9"/>
                              </w:rPr>
                              <w:t>294,97</w:t>
                            </w:r>
                          </w:p>
                        </w:tc>
                        <w:tc>
                          <w:tcPr>
                            <w:tcW w:w="494" w:type="dxa"/>
                            <w:tcBorders>
                              <w:top w:val="single" w:sz="4" w:space="0" w:color="001F60"/>
                              <w:bottom w:val="single" w:sz="4" w:space="0" w:color="001F60"/>
                            </w:tcBorders>
                          </w:tcPr>
                          <w:p w14:paraId="4529031A" w14:textId="77777777" w:rsidR="002C6574" w:rsidRDefault="00000000">
                            <w:pPr>
                              <w:pStyle w:val="TableParagraph"/>
                              <w:spacing w:before="5" w:line="82" w:lineRule="exact"/>
                              <w:ind w:right="58"/>
                              <w:rPr>
                                <w:rFonts w:ascii="Arial"/>
                                <w:b/>
                                <w:sz w:val="9"/>
                              </w:rPr>
                            </w:pPr>
                            <w:r>
                              <w:rPr>
                                <w:rFonts w:ascii="Arial"/>
                                <w:b/>
                                <w:color w:val="001F60"/>
                                <w:spacing w:val="-2"/>
                                <w:sz w:val="9"/>
                              </w:rPr>
                              <w:t>294,97</w:t>
                            </w:r>
                          </w:p>
                        </w:tc>
                        <w:tc>
                          <w:tcPr>
                            <w:tcW w:w="563" w:type="dxa"/>
                            <w:tcBorders>
                              <w:top w:val="single" w:sz="4" w:space="0" w:color="001F60"/>
                              <w:bottom w:val="single" w:sz="4" w:space="0" w:color="001F60"/>
                            </w:tcBorders>
                          </w:tcPr>
                          <w:p w14:paraId="5168D396" w14:textId="77777777" w:rsidR="002C6574" w:rsidRDefault="00000000">
                            <w:pPr>
                              <w:pStyle w:val="TableParagraph"/>
                              <w:spacing w:before="5" w:line="82" w:lineRule="exact"/>
                              <w:ind w:right="27"/>
                              <w:jc w:val="center"/>
                              <w:rPr>
                                <w:rFonts w:ascii="Arial"/>
                                <w:b/>
                                <w:sz w:val="9"/>
                              </w:rPr>
                            </w:pPr>
                            <w:r>
                              <w:rPr>
                                <w:rFonts w:ascii="Arial"/>
                                <w:b/>
                                <w:color w:val="001F60"/>
                                <w:spacing w:val="-4"/>
                                <w:sz w:val="9"/>
                              </w:rPr>
                              <w:t>100%</w:t>
                            </w:r>
                          </w:p>
                        </w:tc>
                        <w:tc>
                          <w:tcPr>
                            <w:tcW w:w="553" w:type="dxa"/>
                            <w:tcBorders>
                              <w:top w:val="single" w:sz="4" w:space="0" w:color="001F60"/>
                              <w:bottom w:val="single" w:sz="4" w:space="0" w:color="001F60"/>
                            </w:tcBorders>
                          </w:tcPr>
                          <w:p w14:paraId="3D8A04D9" w14:textId="77777777" w:rsidR="002C6574" w:rsidRDefault="00000000">
                            <w:pPr>
                              <w:pStyle w:val="TableParagraph"/>
                              <w:spacing w:before="5" w:line="82" w:lineRule="exact"/>
                              <w:ind w:right="9"/>
                              <w:jc w:val="center"/>
                              <w:rPr>
                                <w:rFonts w:ascii="Arial"/>
                                <w:b/>
                                <w:sz w:val="9"/>
                              </w:rPr>
                            </w:pPr>
                            <w:r>
                              <w:rPr>
                                <w:rFonts w:ascii="Arial"/>
                                <w:b/>
                                <w:color w:val="001F60"/>
                                <w:spacing w:val="-4"/>
                                <w:sz w:val="9"/>
                              </w:rPr>
                              <w:t>100%</w:t>
                            </w:r>
                          </w:p>
                        </w:tc>
                      </w:tr>
                    </w:tbl>
                    <w:p w14:paraId="68122BB9" w14:textId="77777777" w:rsidR="002C6574" w:rsidRDefault="002C6574">
                      <w:pPr>
                        <w:pStyle w:val="Corpodetexto"/>
                      </w:pPr>
                    </w:p>
                  </w:txbxContent>
                </v:textbox>
                <w10:wrap anchorx="page"/>
              </v:shape>
            </w:pict>
          </mc:Fallback>
        </mc:AlternateContent>
      </w:r>
      <w:r>
        <w:rPr>
          <w:rFonts w:ascii="Arial" w:hAnsi="Arial"/>
          <w:b/>
          <w:i/>
          <w:color w:val="001F60"/>
          <w:sz w:val="8"/>
        </w:rPr>
        <w:t>Valores</w:t>
      </w:r>
      <w:r>
        <w:rPr>
          <w:rFonts w:ascii="Arial" w:hAnsi="Arial"/>
          <w:b/>
          <w:i/>
          <w:color w:val="001F60"/>
          <w:spacing w:val="2"/>
          <w:sz w:val="8"/>
        </w:rPr>
        <w:t xml:space="preserve"> </w:t>
      </w:r>
      <w:r>
        <w:rPr>
          <w:rFonts w:ascii="Arial" w:hAnsi="Arial"/>
          <w:b/>
          <w:i/>
          <w:color w:val="001F60"/>
          <w:sz w:val="8"/>
        </w:rPr>
        <w:t>em</w:t>
      </w:r>
      <w:r>
        <w:rPr>
          <w:rFonts w:ascii="Arial" w:hAnsi="Arial"/>
          <w:b/>
          <w:i/>
          <w:color w:val="001F60"/>
          <w:spacing w:val="1"/>
          <w:sz w:val="8"/>
        </w:rPr>
        <w:t xml:space="preserve"> </w:t>
      </w:r>
      <w:r>
        <w:rPr>
          <w:rFonts w:ascii="Arial" w:hAnsi="Arial"/>
          <w:b/>
          <w:i/>
          <w:color w:val="001F60"/>
          <w:sz w:val="8"/>
        </w:rPr>
        <w:t>R$</w:t>
      </w:r>
      <w:r>
        <w:rPr>
          <w:rFonts w:ascii="Arial" w:hAnsi="Arial"/>
          <w:b/>
          <w:i/>
          <w:color w:val="001F60"/>
          <w:spacing w:val="-1"/>
          <w:sz w:val="8"/>
        </w:rPr>
        <w:t xml:space="preserve"> </w:t>
      </w:r>
      <w:r>
        <w:rPr>
          <w:rFonts w:ascii="Arial" w:hAnsi="Arial"/>
          <w:b/>
          <w:i/>
          <w:color w:val="001F60"/>
          <w:spacing w:val="-2"/>
          <w:sz w:val="8"/>
        </w:rPr>
        <w:t>Milhões</w:t>
      </w:r>
    </w:p>
    <w:p w14:paraId="0A64CB5C" w14:textId="77777777" w:rsidR="002C6574" w:rsidRDefault="00000000">
      <w:pPr>
        <w:tabs>
          <w:tab w:val="left" w:pos="2773"/>
          <w:tab w:val="left" w:pos="3975"/>
          <w:tab w:val="left" w:pos="4988"/>
          <w:tab w:val="left" w:pos="6255"/>
          <w:tab w:val="left" w:pos="8225"/>
        </w:tabs>
        <w:spacing w:before="38" w:line="144" w:lineRule="auto"/>
        <w:ind w:left="925" w:right="463" w:hanging="159"/>
        <w:rPr>
          <w:rFonts w:ascii="Arial" w:hAnsi="Arial"/>
          <w:b/>
          <w:sz w:val="9"/>
        </w:rPr>
      </w:pPr>
      <w:r>
        <w:rPr>
          <w:rFonts w:ascii="Arial" w:hAnsi="Arial"/>
          <w:b/>
          <w:color w:val="001F60"/>
          <w:position w:val="6"/>
          <w:sz w:val="9"/>
        </w:rPr>
        <w:t>Resultado</w:t>
      </w:r>
      <w:r>
        <w:rPr>
          <w:rFonts w:ascii="Arial" w:hAnsi="Arial"/>
          <w:b/>
          <w:color w:val="001F60"/>
          <w:spacing w:val="40"/>
          <w:position w:val="6"/>
          <w:sz w:val="9"/>
        </w:rPr>
        <w:t xml:space="preserve"> </w:t>
      </w:r>
      <w:r>
        <w:rPr>
          <w:rFonts w:ascii="Arial" w:hAnsi="Arial"/>
          <w:b/>
          <w:color w:val="001F60"/>
          <w:sz w:val="9"/>
        </w:rPr>
        <w:t>Descrição</w:t>
      </w:r>
      <w:r>
        <w:rPr>
          <w:rFonts w:ascii="Arial" w:hAnsi="Arial"/>
          <w:b/>
          <w:color w:val="001F60"/>
          <w:spacing w:val="40"/>
          <w:sz w:val="9"/>
        </w:rPr>
        <w:t xml:space="preserve"> </w:t>
      </w:r>
      <w:r>
        <w:rPr>
          <w:rFonts w:ascii="Arial" w:hAnsi="Arial"/>
          <w:b/>
          <w:color w:val="001F60"/>
          <w:sz w:val="9"/>
        </w:rPr>
        <w:t>Ação</w:t>
      </w:r>
      <w:r>
        <w:rPr>
          <w:rFonts w:ascii="Arial" w:hAnsi="Arial"/>
          <w:b/>
          <w:color w:val="001F60"/>
          <w:sz w:val="9"/>
        </w:rPr>
        <w:tab/>
      </w:r>
      <w:r>
        <w:rPr>
          <w:rFonts w:ascii="Arial" w:hAnsi="Arial"/>
          <w:b/>
          <w:color w:val="001F60"/>
          <w:spacing w:val="-2"/>
          <w:sz w:val="9"/>
        </w:rPr>
        <w:t>Descrição</w:t>
      </w:r>
      <w:r>
        <w:rPr>
          <w:rFonts w:ascii="Arial" w:hAnsi="Arial"/>
          <w:b/>
          <w:color w:val="001F60"/>
          <w:sz w:val="9"/>
        </w:rPr>
        <w:tab/>
      </w:r>
      <w:r>
        <w:rPr>
          <w:rFonts w:ascii="Arial" w:hAnsi="Arial"/>
          <w:b/>
          <w:color w:val="001F60"/>
          <w:spacing w:val="-2"/>
          <w:sz w:val="9"/>
        </w:rPr>
        <w:t>Fonte</w:t>
      </w:r>
      <w:r>
        <w:rPr>
          <w:rFonts w:ascii="Arial" w:hAnsi="Arial"/>
          <w:b/>
          <w:color w:val="001F60"/>
          <w:sz w:val="9"/>
        </w:rPr>
        <w:tab/>
      </w:r>
      <w:r>
        <w:rPr>
          <w:rFonts w:ascii="Arial" w:hAnsi="Arial"/>
          <w:b/>
          <w:color w:val="001F60"/>
          <w:spacing w:val="-2"/>
          <w:sz w:val="9"/>
        </w:rPr>
        <w:t>Descrição</w:t>
      </w:r>
      <w:r>
        <w:rPr>
          <w:rFonts w:ascii="Arial" w:hAnsi="Arial"/>
          <w:b/>
          <w:color w:val="001F60"/>
          <w:sz w:val="9"/>
        </w:rPr>
        <w:tab/>
        <w:t>Autorizado</w:t>
      </w:r>
      <w:r>
        <w:rPr>
          <w:rFonts w:ascii="Arial" w:hAnsi="Arial"/>
          <w:b/>
          <w:color w:val="001F60"/>
          <w:spacing w:val="80"/>
          <w:sz w:val="9"/>
        </w:rPr>
        <w:t xml:space="preserve"> </w:t>
      </w:r>
      <w:r>
        <w:rPr>
          <w:rFonts w:ascii="Arial" w:hAnsi="Arial"/>
          <w:b/>
          <w:color w:val="001F60"/>
          <w:sz w:val="9"/>
        </w:rPr>
        <w:t>Empenhado</w:t>
      </w:r>
      <w:r>
        <w:rPr>
          <w:rFonts w:ascii="Arial" w:hAnsi="Arial"/>
          <w:b/>
          <w:color w:val="001F60"/>
          <w:spacing w:val="80"/>
          <w:sz w:val="9"/>
        </w:rPr>
        <w:t xml:space="preserve"> </w:t>
      </w:r>
      <w:r>
        <w:rPr>
          <w:rFonts w:ascii="Arial" w:hAnsi="Arial"/>
          <w:b/>
          <w:color w:val="001F60"/>
          <w:sz w:val="9"/>
        </w:rPr>
        <w:t>Liquidado</w:t>
      </w:r>
      <w:r>
        <w:rPr>
          <w:rFonts w:ascii="Arial" w:hAnsi="Arial"/>
          <w:b/>
          <w:color w:val="001F60"/>
          <w:sz w:val="9"/>
        </w:rPr>
        <w:tab/>
        <w:t>Pago</w:t>
      </w:r>
      <w:r>
        <w:rPr>
          <w:rFonts w:ascii="Arial" w:hAnsi="Arial"/>
          <w:b/>
          <w:color w:val="001F60"/>
          <w:spacing w:val="40"/>
          <w:sz w:val="9"/>
        </w:rPr>
        <w:t xml:space="preserve">  </w:t>
      </w:r>
      <w:r>
        <w:rPr>
          <w:rFonts w:ascii="Arial" w:hAnsi="Arial"/>
          <w:b/>
          <w:color w:val="001F60"/>
          <w:sz w:val="9"/>
        </w:rPr>
        <w:t>Percentual</w:t>
      </w:r>
      <w:r>
        <w:rPr>
          <w:rFonts w:ascii="Arial" w:hAnsi="Arial"/>
          <w:b/>
          <w:color w:val="001F60"/>
          <w:spacing w:val="40"/>
          <w:sz w:val="9"/>
        </w:rPr>
        <w:t xml:space="preserve"> </w:t>
      </w:r>
      <w:r>
        <w:rPr>
          <w:rFonts w:ascii="Arial" w:hAnsi="Arial"/>
          <w:b/>
          <w:color w:val="001F60"/>
          <w:sz w:val="9"/>
        </w:rPr>
        <w:t>Percentual</w:t>
      </w:r>
      <w:r>
        <w:rPr>
          <w:rFonts w:ascii="Arial" w:hAnsi="Arial"/>
          <w:b/>
          <w:color w:val="001F60"/>
          <w:spacing w:val="40"/>
          <w:sz w:val="9"/>
        </w:rPr>
        <w:t xml:space="preserve"> </w:t>
      </w:r>
      <w:r>
        <w:rPr>
          <w:rFonts w:ascii="Arial" w:hAnsi="Arial"/>
          <w:b/>
          <w:color w:val="001F60"/>
          <w:spacing w:val="-4"/>
          <w:sz w:val="9"/>
        </w:rPr>
        <w:t>Lei</w:t>
      </w:r>
    </w:p>
    <w:p w14:paraId="57DA4E7B" w14:textId="77777777" w:rsidR="002C6574" w:rsidRDefault="002C6574">
      <w:pPr>
        <w:pStyle w:val="Corpodetexto"/>
        <w:rPr>
          <w:rFonts w:ascii="Arial"/>
          <w:b/>
          <w:sz w:val="9"/>
        </w:rPr>
      </w:pPr>
    </w:p>
    <w:p w14:paraId="6D019827" w14:textId="77777777" w:rsidR="002C6574" w:rsidRDefault="002C6574">
      <w:pPr>
        <w:pStyle w:val="Corpodetexto"/>
        <w:rPr>
          <w:rFonts w:ascii="Arial"/>
          <w:b/>
          <w:sz w:val="9"/>
        </w:rPr>
      </w:pPr>
    </w:p>
    <w:p w14:paraId="7136F757" w14:textId="77777777" w:rsidR="002C6574" w:rsidRDefault="002C6574">
      <w:pPr>
        <w:pStyle w:val="Corpodetexto"/>
        <w:rPr>
          <w:rFonts w:ascii="Arial"/>
          <w:b/>
          <w:sz w:val="9"/>
        </w:rPr>
      </w:pPr>
    </w:p>
    <w:p w14:paraId="64BBC974" w14:textId="77777777" w:rsidR="002C6574" w:rsidRDefault="002C6574">
      <w:pPr>
        <w:pStyle w:val="Corpodetexto"/>
        <w:rPr>
          <w:rFonts w:ascii="Arial"/>
          <w:b/>
          <w:sz w:val="9"/>
        </w:rPr>
      </w:pPr>
    </w:p>
    <w:p w14:paraId="132C42EE" w14:textId="77777777" w:rsidR="002C6574" w:rsidRDefault="002C6574">
      <w:pPr>
        <w:pStyle w:val="Corpodetexto"/>
        <w:rPr>
          <w:rFonts w:ascii="Arial"/>
          <w:b/>
          <w:sz w:val="9"/>
        </w:rPr>
      </w:pPr>
    </w:p>
    <w:p w14:paraId="24106B7F" w14:textId="77777777" w:rsidR="002C6574" w:rsidRDefault="002C6574">
      <w:pPr>
        <w:pStyle w:val="Corpodetexto"/>
        <w:rPr>
          <w:rFonts w:ascii="Arial"/>
          <w:b/>
          <w:sz w:val="9"/>
        </w:rPr>
      </w:pPr>
    </w:p>
    <w:p w14:paraId="24F8A21B" w14:textId="77777777" w:rsidR="002C6574" w:rsidRDefault="002C6574">
      <w:pPr>
        <w:pStyle w:val="Corpodetexto"/>
        <w:rPr>
          <w:rFonts w:ascii="Arial"/>
          <w:b/>
          <w:sz w:val="9"/>
        </w:rPr>
      </w:pPr>
    </w:p>
    <w:p w14:paraId="716FBDC6" w14:textId="77777777" w:rsidR="002C6574" w:rsidRDefault="002C6574">
      <w:pPr>
        <w:pStyle w:val="Corpodetexto"/>
        <w:rPr>
          <w:rFonts w:ascii="Arial"/>
          <w:b/>
          <w:sz w:val="9"/>
        </w:rPr>
      </w:pPr>
    </w:p>
    <w:p w14:paraId="66D03835" w14:textId="77777777" w:rsidR="002C6574" w:rsidRDefault="002C6574">
      <w:pPr>
        <w:pStyle w:val="Corpodetexto"/>
        <w:spacing w:before="36"/>
        <w:rPr>
          <w:rFonts w:ascii="Arial"/>
          <w:b/>
          <w:sz w:val="9"/>
        </w:rPr>
      </w:pPr>
    </w:p>
    <w:p w14:paraId="5D093D04" w14:textId="77777777" w:rsidR="002C6574" w:rsidRDefault="00000000">
      <w:pPr>
        <w:ind w:left="2051"/>
        <w:rPr>
          <w:rFonts w:ascii="Arial MT"/>
          <w:sz w:val="9"/>
        </w:rPr>
      </w:pPr>
      <w:r>
        <w:rPr>
          <w:rFonts w:ascii="Arial MT"/>
          <w:color w:val="001F60"/>
          <w:spacing w:val="-2"/>
          <w:sz w:val="9"/>
        </w:rPr>
        <w:t>Estatais</w:t>
      </w:r>
    </w:p>
    <w:p w14:paraId="4676B4A5" w14:textId="77777777" w:rsidR="002C6574" w:rsidRDefault="002C6574">
      <w:pPr>
        <w:pStyle w:val="Corpodetexto"/>
        <w:rPr>
          <w:rFonts w:ascii="Arial MT"/>
          <w:sz w:val="9"/>
        </w:rPr>
      </w:pPr>
    </w:p>
    <w:p w14:paraId="52FCF0E3" w14:textId="77777777" w:rsidR="002C6574" w:rsidRDefault="002C6574">
      <w:pPr>
        <w:pStyle w:val="Corpodetexto"/>
        <w:rPr>
          <w:rFonts w:ascii="Arial MT"/>
          <w:sz w:val="9"/>
        </w:rPr>
      </w:pPr>
    </w:p>
    <w:p w14:paraId="4CB2113A" w14:textId="77777777" w:rsidR="002C6574" w:rsidRDefault="002C6574">
      <w:pPr>
        <w:pStyle w:val="Corpodetexto"/>
        <w:rPr>
          <w:rFonts w:ascii="Arial MT"/>
          <w:sz w:val="9"/>
        </w:rPr>
      </w:pPr>
    </w:p>
    <w:p w14:paraId="664BB2F6" w14:textId="77777777" w:rsidR="002C6574" w:rsidRDefault="002C6574">
      <w:pPr>
        <w:pStyle w:val="Corpodetexto"/>
        <w:rPr>
          <w:rFonts w:ascii="Arial MT"/>
          <w:sz w:val="9"/>
        </w:rPr>
      </w:pPr>
    </w:p>
    <w:p w14:paraId="011D7FDB" w14:textId="77777777" w:rsidR="002C6574" w:rsidRDefault="002C6574">
      <w:pPr>
        <w:pStyle w:val="Corpodetexto"/>
        <w:rPr>
          <w:rFonts w:ascii="Arial MT"/>
          <w:sz w:val="9"/>
        </w:rPr>
      </w:pPr>
    </w:p>
    <w:p w14:paraId="63BEAB08" w14:textId="77777777" w:rsidR="002C6574" w:rsidRDefault="002C6574">
      <w:pPr>
        <w:pStyle w:val="Corpodetexto"/>
        <w:rPr>
          <w:rFonts w:ascii="Arial MT"/>
          <w:sz w:val="9"/>
        </w:rPr>
      </w:pPr>
    </w:p>
    <w:p w14:paraId="24B42DC6" w14:textId="77777777" w:rsidR="002C6574" w:rsidRDefault="002C6574">
      <w:pPr>
        <w:pStyle w:val="Corpodetexto"/>
        <w:rPr>
          <w:rFonts w:ascii="Arial MT"/>
          <w:sz w:val="9"/>
        </w:rPr>
      </w:pPr>
    </w:p>
    <w:p w14:paraId="2F4CB808" w14:textId="77777777" w:rsidR="002C6574" w:rsidRDefault="002C6574">
      <w:pPr>
        <w:pStyle w:val="Corpodetexto"/>
        <w:spacing w:before="71"/>
        <w:rPr>
          <w:rFonts w:ascii="Arial MT"/>
          <w:sz w:val="9"/>
        </w:rPr>
      </w:pPr>
    </w:p>
    <w:p w14:paraId="2D3CE01A" w14:textId="77777777" w:rsidR="002C6574" w:rsidRDefault="00000000">
      <w:pPr>
        <w:spacing w:before="1"/>
        <w:ind w:left="2051"/>
        <w:rPr>
          <w:rFonts w:ascii="Arial MT"/>
          <w:sz w:val="9"/>
        </w:rPr>
      </w:pPr>
      <w:r>
        <w:rPr>
          <w:rFonts w:ascii="Arial MT"/>
          <w:color w:val="001F60"/>
          <w:sz w:val="9"/>
        </w:rPr>
        <w:t>Empregados,</w:t>
      </w:r>
      <w:r>
        <w:rPr>
          <w:rFonts w:ascii="Arial MT"/>
          <w:color w:val="001F60"/>
          <w:spacing w:val="2"/>
          <w:sz w:val="9"/>
        </w:rPr>
        <w:t xml:space="preserve"> </w:t>
      </w:r>
      <w:r>
        <w:rPr>
          <w:rFonts w:ascii="Arial MT"/>
          <w:color w:val="001F60"/>
          <w:sz w:val="9"/>
        </w:rPr>
        <w:t>Militares</w:t>
      </w:r>
      <w:r>
        <w:rPr>
          <w:rFonts w:ascii="Arial MT"/>
          <w:color w:val="001F60"/>
          <w:spacing w:val="2"/>
          <w:sz w:val="9"/>
        </w:rPr>
        <w:t xml:space="preserve"> </w:t>
      </w:r>
      <w:r>
        <w:rPr>
          <w:rFonts w:ascii="Arial MT"/>
          <w:color w:val="001F60"/>
          <w:sz w:val="9"/>
        </w:rPr>
        <w:t>e</w:t>
      </w:r>
      <w:r>
        <w:rPr>
          <w:rFonts w:ascii="Arial MT"/>
          <w:color w:val="001F60"/>
          <w:spacing w:val="2"/>
          <w:sz w:val="9"/>
        </w:rPr>
        <w:t xml:space="preserve"> </w:t>
      </w:r>
      <w:r>
        <w:rPr>
          <w:rFonts w:ascii="Arial MT"/>
          <w:color w:val="001F60"/>
          <w:sz w:val="9"/>
        </w:rPr>
        <w:t>seus</w:t>
      </w:r>
      <w:r>
        <w:rPr>
          <w:rFonts w:ascii="Arial MT"/>
          <w:color w:val="001F60"/>
          <w:spacing w:val="3"/>
          <w:sz w:val="9"/>
        </w:rPr>
        <w:t xml:space="preserve"> </w:t>
      </w:r>
      <w:r>
        <w:rPr>
          <w:rFonts w:ascii="Arial MT"/>
          <w:color w:val="001F60"/>
          <w:spacing w:val="-2"/>
          <w:sz w:val="9"/>
        </w:rPr>
        <w:t>Dependentes</w:t>
      </w:r>
    </w:p>
    <w:p w14:paraId="136E0D14" w14:textId="77777777" w:rsidR="002C6574" w:rsidRDefault="002C6574">
      <w:pPr>
        <w:pStyle w:val="Corpodetexto"/>
        <w:rPr>
          <w:rFonts w:ascii="Arial MT"/>
          <w:sz w:val="9"/>
        </w:rPr>
      </w:pPr>
    </w:p>
    <w:p w14:paraId="7FF8849D" w14:textId="77777777" w:rsidR="002C6574" w:rsidRDefault="002C6574">
      <w:pPr>
        <w:pStyle w:val="Corpodetexto"/>
        <w:rPr>
          <w:rFonts w:ascii="Arial MT"/>
          <w:sz w:val="9"/>
        </w:rPr>
      </w:pPr>
    </w:p>
    <w:p w14:paraId="7C047EC1" w14:textId="77777777" w:rsidR="002C6574" w:rsidRDefault="002C6574">
      <w:pPr>
        <w:pStyle w:val="Corpodetexto"/>
        <w:spacing w:before="1"/>
        <w:rPr>
          <w:rFonts w:ascii="Arial MT"/>
          <w:sz w:val="9"/>
        </w:rPr>
      </w:pPr>
    </w:p>
    <w:p w14:paraId="537FBEE7" w14:textId="77777777" w:rsidR="002C6574" w:rsidRDefault="00000000">
      <w:pPr>
        <w:ind w:left="2051"/>
        <w:rPr>
          <w:rFonts w:ascii="Arial MT" w:hAnsi="Arial MT"/>
          <w:sz w:val="9"/>
        </w:rPr>
      </w:pPr>
      <w:r>
        <w:rPr>
          <w:rFonts w:ascii="Arial MT" w:hAnsi="Arial MT"/>
          <w:color w:val="001F60"/>
          <w:sz w:val="9"/>
        </w:rPr>
        <w:t>Dívida</w:t>
      </w:r>
      <w:r>
        <w:rPr>
          <w:rFonts w:ascii="Arial MT" w:hAnsi="Arial MT"/>
          <w:color w:val="001F60"/>
          <w:spacing w:val="6"/>
          <w:sz w:val="9"/>
        </w:rPr>
        <w:t xml:space="preserve"> </w:t>
      </w:r>
      <w:r>
        <w:rPr>
          <w:rFonts w:ascii="Arial MT" w:hAnsi="Arial MT"/>
          <w:color w:val="001F60"/>
          <w:sz w:val="9"/>
        </w:rPr>
        <w:t>Contratual</w:t>
      </w:r>
      <w:r>
        <w:rPr>
          <w:rFonts w:ascii="Arial MT" w:hAnsi="Arial MT"/>
          <w:color w:val="001F60"/>
          <w:spacing w:val="2"/>
          <w:sz w:val="9"/>
        </w:rPr>
        <w:t xml:space="preserve"> </w:t>
      </w:r>
      <w:r>
        <w:rPr>
          <w:rFonts w:ascii="Arial MT" w:hAnsi="Arial MT"/>
          <w:color w:val="001F60"/>
          <w:spacing w:val="-2"/>
          <w:sz w:val="9"/>
        </w:rPr>
        <w:t>Interna</w:t>
      </w:r>
    </w:p>
    <w:p w14:paraId="66CB8972" w14:textId="77777777" w:rsidR="002C6574" w:rsidRDefault="002C6574">
      <w:pPr>
        <w:pStyle w:val="Corpodetexto"/>
        <w:rPr>
          <w:rFonts w:ascii="Arial MT"/>
          <w:sz w:val="9"/>
        </w:rPr>
      </w:pPr>
    </w:p>
    <w:p w14:paraId="2964B8FA" w14:textId="77777777" w:rsidR="002C6574" w:rsidRDefault="002C6574">
      <w:pPr>
        <w:pStyle w:val="Corpodetexto"/>
        <w:rPr>
          <w:rFonts w:ascii="Arial MT"/>
          <w:sz w:val="9"/>
        </w:rPr>
      </w:pPr>
    </w:p>
    <w:p w14:paraId="18190B24" w14:textId="77777777" w:rsidR="002C6574" w:rsidRDefault="002C6574">
      <w:pPr>
        <w:pStyle w:val="Corpodetexto"/>
        <w:rPr>
          <w:rFonts w:ascii="Arial MT"/>
          <w:sz w:val="9"/>
        </w:rPr>
      </w:pPr>
    </w:p>
    <w:p w14:paraId="13CD2006" w14:textId="77777777" w:rsidR="002C6574" w:rsidRDefault="002C6574">
      <w:pPr>
        <w:pStyle w:val="Corpodetexto"/>
        <w:spacing w:before="13"/>
        <w:rPr>
          <w:rFonts w:ascii="Arial MT"/>
          <w:sz w:val="9"/>
        </w:rPr>
      </w:pPr>
    </w:p>
    <w:p w14:paraId="3F5245A5" w14:textId="77777777" w:rsidR="002C6574" w:rsidRDefault="00000000">
      <w:pPr>
        <w:ind w:left="2051"/>
        <w:rPr>
          <w:rFonts w:ascii="Arial MT" w:hAnsi="Arial MT"/>
          <w:sz w:val="9"/>
        </w:rPr>
      </w:pPr>
      <w:r>
        <w:rPr>
          <w:rFonts w:ascii="Arial MT" w:hAnsi="Arial MT"/>
          <w:color w:val="001F60"/>
          <w:sz w:val="9"/>
        </w:rPr>
        <w:t>Comunicação</w:t>
      </w:r>
      <w:r>
        <w:rPr>
          <w:rFonts w:ascii="Arial MT" w:hAnsi="Arial MT"/>
          <w:color w:val="001F60"/>
          <w:spacing w:val="1"/>
          <w:sz w:val="9"/>
        </w:rPr>
        <w:t xml:space="preserve"> </w:t>
      </w:r>
      <w:r>
        <w:rPr>
          <w:rFonts w:ascii="Arial MT" w:hAnsi="Arial MT"/>
          <w:color w:val="001F60"/>
          <w:sz w:val="9"/>
        </w:rPr>
        <w:t>de</w:t>
      </w:r>
      <w:r>
        <w:rPr>
          <w:rFonts w:ascii="Arial MT" w:hAnsi="Arial MT"/>
          <w:color w:val="001F60"/>
          <w:spacing w:val="2"/>
          <w:sz w:val="9"/>
        </w:rPr>
        <w:t xml:space="preserve"> </w:t>
      </w:r>
      <w:r>
        <w:rPr>
          <w:rFonts w:ascii="Arial MT" w:hAnsi="Arial MT"/>
          <w:color w:val="001F60"/>
          <w:sz w:val="9"/>
        </w:rPr>
        <w:t>Dados</w:t>
      </w:r>
      <w:r>
        <w:rPr>
          <w:rFonts w:ascii="Arial MT" w:hAnsi="Arial MT"/>
          <w:color w:val="001F60"/>
          <w:spacing w:val="2"/>
          <w:sz w:val="9"/>
        </w:rPr>
        <w:t xml:space="preserve"> </w:t>
      </w:r>
      <w:r>
        <w:rPr>
          <w:rFonts w:ascii="Arial MT" w:hAnsi="Arial MT"/>
          <w:color w:val="001F60"/>
          <w:sz w:val="9"/>
        </w:rPr>
        <w:t>para</w:t>
      </w:r>
      <w:r>
        <w:rPr>
          <w:rFonts w:ascii="Arial MT" w:hAnsi="Arial MT"/>
          <w:color w:val="001F60"/>
          <w:spacing w:val="1"/>
          <w:sz w:val="9"/>
        </w:rPr>
        <w:t xml:space="preserve"> </w:t>
      </w:r>
      <w:r>
        <w:rPr>
          <w:rFonts w:ascii="Arial MT" w:hAnsi="Arial MT"/>
          <w:color w:val="001F60"/>
          <w:sz w:val="9"/>
        </w:rPr>
        <w:t>Inclusão</w:t>
      </w:r>
      <w:r>
        <w:rPr>
          <w:rFonts w:ascii="Arial MT" w:hAnsi="Arial MT"/>
          <w:color w:val="001F60"/>
          <w:spacing w:val="2"/>
          <w:sz w:val="9"/>
        </w:rPr>
        <w:t xml:space="preserve"> </w:t>
      </w:r>
      <w:r>
        <w:rPr>
          <w:rFonts w:ascii="Arial MT" w:hAnsi="Arial MT"/>
          <w:color w:val="001F60"/>
          <w:spacing w:val="-2"/>
          <w:sz w:val="9"/>
        </w:rPr>
        <w:t>Digital</w:t>
      </w:r>
    </w:p>
    <w:p w14:paraId="52469F03" w14:textId="77777777" w:rsidR="002C6574" w:rsidRDefault="002C6574">
      <w:pPr>
        <w:pStyle w:val="Corpodetexto"/>
        <w:rPr>
          <w:rFonts w:ascii="Arial MT"/>
          <w:sz w:val="9"/>
        </w:rPr>
      </w:pPr>
    </w:p>
    <w:p w14:paraId="7A4F0848" w14:textId="77777777" w:rsidR="002C6574" w:rsidRDefault="002C6574">
      <w:pPr>
        <w:pStyle w:val="Corpodetexto"/>
        <w:rPr>
          <w:rFonts w:ascii="Arial MT"/>
          <w:sz w:val="9"/>
        </w:rPr>
      </w:pPr>
    </w:p>
    <w:p w14:paraId="44FDBC53" w14:textId="77777777" w:rsidR="002C6574" w:rsidRDefault="002C6574">
      <w:pPr>
        <w:pStyle w:val="Corpodetexto"/>
        <w:rPr>
          <w:rFonts w:ascii="Arial MT"/>
          <w:sz w:val="9"/>
        </w:rPr>
      </w:pPr>
    </w:p>
    <w:p w14:paraId="552E93E4" w14:textId="77777777" w:rsidR="002C6574" w:rsidRDefault="002C6574">
      <w:pPr>
        <w:pStyle w:val="Corpodetexto"/>
        <w:rPr>
          <w:rFonts w:ascii="Arial MT"/>
          <w:sz w:val="9"/>
        </w:rPr>
      </w:pPr>
    </w:p>
    <w:p w14:paraId="76EC8690" w14:textId="77777777" w:rsidR="002C6574" w:rsidRDefault="002C6574">
      <w:pPr>
        <w:pStyle w:val="Corpodetexto"/>
        <w:spacing w:before="34"/>
        <w:rPr>
          <w:rFonts w:ascii="Arial MT"/>
          <w:sz w:val="9"/>
        </w:rPr>
      </w:pPr>
    </w:p>
    <w:p w14:paraId="6AF3425D" w14:textId="77777777" w:rsidR="002C6574" w:rsidRDefault="00000000">
      <w:pPr>
        <w:spacing w:line="547" w:lineRule="auto"/>
        <w:ind w:left="2051" w:right="6828"/>
        <w:rPr>
          <w:rFonts w:ascii="Arial MT" w:hAnsi="Arial MT"/>
          <w:sz w:val="9"/>
        </w:rPr>
      </w:pPr>
      <w:r>
        <w:rPr>
          <w:rFonts w:ascii="Arial MT" w:hAnsi="Arial MT"/>
          <w:color w:val="001F60"/>
          <w:sz w:val="9"/>
        </w:rPr>
        <w:t>Moradia</w:t>
      </w:r>
      <w:r>
        <w:rPr>
          <w:rFonts w:ascii="Arial MT" w:hAnsi="Arial MT"/>
          <w:color w:val="001F60"/>
          <w:spacing w:val="-2"/>
          <w:sz w:val="9"/>
        </w:rPr>
        <w:t xml:space="preserve"> </w:t>
      </w:r>
      <w:r>
        <w:rPr>
          <w:rFonts w:ascii="Arial MT" w:hAnsi="Arial MT"/>
          <w:color w:val="001F60"/>
          <w:sz w:val="9"/>
        </w:rPr>
        <w:t>a</w:t>
      </w:r>
      <w:r>
        <w:rPr>
          <w:rFonts w:ascii="Arial MT" w:hAnsi="Arial MT"/>
          <w:color w:val="001F60"/>
          <w:spacing w:val="-3"/>
          <w:sz w:val="9"/>
        </w:rPr>
        <w:t xml:space="preserve"> </w:t>
      </w:r>
      <w:r>
        <w:rPr>
          <w:rFonts w:ascii="Arial MT" w:hAnsi="Arial MT"/>
          <w:color w:val="001F60"/>
          <w:sz w:val="9"/>
        </w:rPr>
        <w:t>Agentes</w:t>
      </w:r>
      <w:r>
        <w:rPr>
          <w:rFonts w:ascii="Arial MT" w:hAnsi="Arial MT"/>
          <w:color w:val="001F60"/>
          <w:spacing w:val="-3"/>
          <w:sz w:val="9"/>
        </w:rPr>
        <w:t xml:space="preserve"> </w:t>
      </w:r>
      <w:r>
        <w:rPr>
          <w:rFonts w:ascii="Arial MT" w:hAnsi="Arial MT"/>
          <w:color w:val="001F60"/>
          <w:sz w:val="9"/>
        </w:rPr>
        <w:t>Públicos</w:t>
      </w:r>
      <w:r>
        <w:rPr>
          <w:rFonts w:ascii="Arial MT" w:hAnsi="Arial MT"/>
          <w:color w:val="001F60"/>
          <w:spacing w:val="40"/>
          <w:sz w:val="9"/>
        </w:rPr>
        <w:t xml:space="preserve"> </w:t>
      </w:r>
      <w:r>
        <w:rPr>
          <w:rFonts w:ascii="Arial MT" w:hAnsi="Arial MT"/>
          <w:color w:val="001F60"/>
          <w:sz w:val="9"/>
        </w:rPr>
        <w:t>Serviço de Comunicação</w:t>
      </w:r>
      <w:r>
        <w:rPr>
          <w:rFonts w:ascii="Arial MT" w:hAnsi="Arial MT"/>
          <w:color w:val="001F60"/>
          <w:spacing w:val="40"/>
          <w:sz w:val="9"/>
        </w:rPr>
        <w:t xml:space="preserve"> </w:t>
      </w:r>
      <w:r>
        <w:rPr>
          <w:rFonts w:ascii="Arial MT" w:hAnsi="Arial MT"/>
          <w:color w:val="001F60"/>
          <w:sz w:val="9"/>
        </w:rPr>
        <w:t>Serviço de Comunicação</w:t>
      </w:r>
    </w:p>
    <w:p w14:paraId="1145D3F6" w14:textId="77777777" w:rsidR="002C6574" w:rsidRDefault="002C6574">
      <w:pPr>
        <w:pStyle w:val="Corpodetexto"/>
        <w:spacing w:before="72"/>
        <w:rPr>
          <w:rFonts w:ascii="Arial MT"/>
          <w:sz w:val="9"/>
        </w:rPr>
      </w:pPr>
    </w:p>
    <w:p w14:paraId="3EE146AE" w14:textId="77777777" w:rsidR="002C6574" w:rsidRDefault="00000000">
      <w:pPr>
        <w:ind w:left="2051"/>
        <w:rPr>
          <w:rFonts w:ascii="Arial MT" w:hAnsi="Arial MT"/>
          <w:sz w:val="9"/>
        </w:rPr>
      </w:pPr>
      <w:r>
        <w:rPr>
          <w:rFonts w:ascii="Arial MT" w:hAnsi="Arial MT"/>
          <w:color w:val="001F60"/>
          <w:sz w:val="9"/>
        </w:rPr>
        <w:t>Comunicação</w:t>
      </w:r>
      <w:r>
        <w:rPr>
          <w:rFonts w:ascii="Arial MT" w:hAnsi="Arial MT"/>
          <w:color w:val="001F60"/>
          <w:spacing w:val="1"/>
          <w:sz w:val="9"/>
        </w:rPr>
        <w:t xml:space="preserve"> </w:t>
      </w:r>
      <w:r>
        <w:rPr>
          <w:rFonts w:ascii="Arial MT" w:hAnsi="Arial MT"/>
          <w:color w:val="001F60"/>
          <w:sz w:val="9"/>
        </w:rPr>
        <w:t>de</w:t>
      </w:r>
      <w:r>
        <w:rPr>
          <w:rFonts w:ascii="Arial MT" w:hAnsi="Arial MT"/>
          <w:color w:val="001F60"/>
          <w:spacing w:val="2"/>
          <w:sz w:val="9"/>
        </w:rPr>
        <w:t xml:space="preserve"> </w:t>
      </w:r>
      <w:r>
        <w:rPr>
          <w:rFonts w:ascii="Arial MT" w:hAnsi="Arial MT"/>
          <w:color w:val="001F60"/>
          <w:sz w:val="9"/>
        </w:rPr>
        <w:t>Dados</w:t>
      </w:r>
      <w:r>
        <w:rPr>
          <w:rFonts w:ascii="Arial MT" w:hAnsi="Arial MT"/>
          <w:color w:val="001F60"/>
          <w:spacing w:val="2"/>
          <w:sz w:val="9"/>
        </w:rPr>
        <w:t xml:space="preserve"> </w:t>
      </w:r>
      <w:r>
        <w:rPr>
          <w:rFonts w:ascii="Arial MT" w:hAnsi="Arial MT"/>
          <w:color w:val="001F60"/>
          <w:sz w:val="9"/>
        </w:rPr>
        <w:t>para</w:t>
      </w:r>
      <w:r>
        <w:rPr>
          <w:rFonts w:ascii="Arial MT" w:hAnsi="Arial MT"/>
          <w:color w:val="001F60"/>
          <w:spacing w:val="1"/>
          <w:sz w:val="9"/>
        </w:rPr>
        <w:t xml:space="preserve"> </w:t>
      </w:r>
      <w:r>
        <w:rPr>
          <w:rFonts w:ascii="Arial MT" w:hAnsi="Arial MT"/>
          <w:color w:val="001F60"/>
          <w:sz w:val="9"/>
        </w:rPr>
        <w:t>Inclusão</w:t>
      </w:r>
      <w:r>
        <w:rPr>
          <w:rFonts w:ascii="Arial MT" w:hAnsi="Arial MT"/>
          <w:color w:val="001F60"/>
          <w:spacing w:val="2"/>
          <w:sz w:val="9"/>
        </w:rPr>
        <w:t xml:space="preserve"> </w:t>
      </w:r>
      <w:r>
        <w:rPr>
          <w:rFonts w:ascii="Arial MT" w:hAnsi="Arial MT"/>
          <w:color w:val="001F60"/>
          <w:spacing w:val="-2"/>
          <w:sz w:val="9"/>
        </w:rPr>
        <w:t>Digital</w:t>
      </w:r>
    </w:p>
    <w:p w14:paraId="63615188" w14:textId="77777777" w:rsidR="002C6574" w:rsidRDefault="002C6574">
      <w:pPr>
        <w:pStyle w:val="Corpodetexto"/>
        <w:rPr>
          <w:rFonts w:ascii="Arial MT"/>
          <w:sz w:val="9"/>
        </w:rPr>
      </w:pPr>
    </w:p>
    <w:p w14:paraId="2781C3D2" w14:textId="77777777" w:rsidR="002C6574" w:rsidRDefault="002C6574">
      <w:pPr>
        <w:pStyle w:val="Corpodetexto"/>
        <w:rPr>
          <w:rFonts w:ascii="Arial MT"/>
          <w:sz w:val="9"/>
        </w:rPr>
      </w:pPr>
    </w:p>
    <w:p w14:paraId="38421AF8" w14:textId="77777777" w:rsidR="002C6574" w:rsidRDefault="002C6574">
      <w:pPr>
        <w:pStyle w:val="Corpodetexto"/>
        <w:rPr>
          <w:rFonts w:ascii="Arial MT"/>
          <w:sz w:val="9"/>
        </w:rPr>
      </w:pPr>
    </w:p>
    <w:p w14:paraId="5B11611A" w14:textId="77777777" w:rsidR="002C6574" w:rsidRDefault="002C6574">
      <w:pPr>
        <w:pStyle w:val="Corpodetexto"/>
        <w:rPr>
          <w:rFonts w:ascii="Arial MT"/>
          <w:sz w:val="9"/>
        </w:rPr>
      </w:pPr>
    </w:p>
    <w:p w14:paraId="44C70773" w14:textId="77777777" w:rsidR="002C6574" w:rsidRDefault="002C6574">
      <w:pPr>
        <w:pStyle w:val="Corpodetexto"/>
        <w:spacing w:before="36"/>
        <w:rPr>
          <w:rFonts w:ascii="Arial MT"/>
          <w:sz w:val="9"/>
        </w:rPr>
      </w:pPr>
    </w:p>
    <w:p w14:paraId="22759AED" w14:textId="77777777" w:rsidR="002C6574" w:rsidRDefault="00000000">
      <w:pPr>
        <w:ind w:left="767"/>
        <w:rPr>
          <w:rFonts w:ascii="Arial"/>
          <w:i/>
          <w:position w:val="1"/>
          <w:sz w:val="8"/>
        </w:rPr>
      </w:pPr>
      <w:r>
        <w:rPr>
          <w:rFonts w:ascii="Arial"/>
          <w:b/>
          <w:color w:val="001F60"/>
          <w:sz w:val="8"/>
        </w:rPr>
        <w:t>Fonte:</w:t>
      </w:r>
      <w:r>
        <w:rPr>
          <w:rFonts w:ascii="Arial"/>
          <w:b/>
          <w:color w:val="001F60"/>
          <w:spacing w:val="5"/>
          <w:sz w:val="8"/>
        </w:rPr>
        <w:t xml:space="preserve"> </w:t>
      </w:r>
      <w:r>
        <w:rPr>
          <w:rFonts w:ascii="Arial"/>
          <w:i/>
          <w:color w:val="001F60"/>
          <w:position w:val="1"/>
          <w:sz w:val="8"/>
        </w:rPr>
        <w:t>Sistema</w:t>
      </w:r>
      <w:r>
        <w:rPr>
          <w:rFonts w:ascii="Arial"/>
          <w:i/>
          <w:color w:val="001F60"/>
          <w:spacing w:val="3"/>
          <w:position w:val="1"/>
          <w:sz w:val="8"/>
        </w:rPr>
        <w:t xml:space="preserve"> </w:t>
      </w:r>
      <w:r>
        <w:rPr>
          <w:rFonts w:ascii="Arial"/>
          <w:i/>
          <w:color w:val="001F60"/>
          <w:position w:val="1"/>
          <w:sz w:val="8"/>
        </w:rPr>
        <w:t>Siga</w:t>
      </w:r>
      <w:r>
        <w:rPr>
          <w:rFonts w:ascii="Arial"/>
          <w:i/>
          <w:color w:val="001F60"/>
          <w:spacing w:val="4"/>
          <w:position w:val="1"/>
          <w:sz w:val="8"/>
        </w:rPr>
        <w:t xml:space="preserve"> </w:t>
      </w:r>
      <w:r>
        <w:rPr>
          <w:rFonts w:ascii="Arial"/>
          <w:i/>
          <w:color w:val="001F60"/>
          <w:position w:val="1"/>
          <w:sz w:val="8"/>
        </w:rPr>
        <w:t>Brasil</w:t>
      </w:r>
      <w:r>
        <w:rPr>
          <w:rFonts w:ascii="Arial"/>
          <w:i/>
          <w:color w:val="001F60"/>
          <w:spacing w:val="6"/>
          <w:position w:val="1"/>
          <w:sz w:val="8"/>
        </w:rPr>
        <w:t xml:space="preserve"> </w:t>
      </w:r>
      <w:r>
        <w:rPr>
          <w:rFonts w:ascii="Arial"/>
          <w:i/>
          <w:color w:val="001F60"/>
          <w:position w:val="1"/>
          <w:sz w:val="8"/>
        </w:rPr>
        <w:t>- Senado</w:t>
      </w:r>
      <w:r>
        <w:rPr>
          <w:rFonts w:ascii="Arial"/>
          <w:i/>
          <w:color w:val="001F60"/>
          <w:spacing w:val="3"/>
          <w:position w:val="1"/>
          <w:sz w:val="8"/>
        </w:rPr>
        <w:t xml:space="preserve"> </w:t>
      </w:r>
      <w:r>
        <w:rPr>
          <w:rFonts w:ascii="Arial"/>
          <w:i/>
          <w:color w:val="001F60"/>
          <w:position w:val="1"/>
          <w:sz w:val="8"/>
        </w:rPr>
        <w:t>Federal:</w:t>
      </w:r>
      <w:r>
        <w:rPr>
          <w:rFonts w:ascii="Arial"/>
          <w:i/>
          <w:color w:val="001F60"/>
          <w:spacing w:val="1"/>
          <w:position w:val="1"/>
          <w:sz w:val="8"/>
        </w:rPr>
        <w:t xml:space="preserve"> </w:t>
      </w:r>
      <w:r>
        <w:rPr>
          <w:rFonts w:ascii="Arial"/>
          <w:i/>
          <w:color w:val="001F60"/>
          <w:spacing w:val="-2"/>
          <w:position w:val="1"/>
          <w:sz w:val="8"/>
        </w:rPr>
        <w:t>23/1/2026</w:t>
      </w:r>
    </w:p>
    <w:p w14:paraId="14C528E7" w14:textId="77777777" w:rsidR="002C6574" w:rsidRDefault="00000000">
      <w:pPr>
        <w:spacing w:before="140"/>
        <w:ind w:left="3356"/>
        <w:rPr>
          <w:rFonts w:ascii="Calibri" w:hAnsi="Calibri"/>
          <w:sz w:val="16"/>
        </w:rPr>
      </w:pPr>
      <w:r>
        <w:rPr>
          <w:rFonts w:ascii="Calibri" w:hAnsi="Calibri"/>
          <w:color w:val="001F60"/>
          <w:sz w:val="16"/>
        </w:rPr>
        <w:t>Tabela</w:t>
      </w:r>
      <w:r>
        <w:rPr>
          <w:rFonts w:ascii="Calibri" w:hAnsi="Calibri"/>
          <w:color w:val="001F60"/>
          <w:spacing w:val="-3"/>
          <w:sz w:val="16"/>
        </w:rPr>
        <w:t xml:space="preserve"> </w:t>
      </w:r>
      <w:r>
        <w:rPr>
          <w:rFonts w:ascii="Calibri" w:hAnsi="Calibri"/>
          <w:color w:val="001F60"/>
          <w:sz w:val="16"/>
        </w:rPr>
        <w:t>3-14</w:t>
      </w:r>
      <w:r>
        <w:rPr>
          <w:rFonts w:ascii="Calibri" w:hAnsi="Calibri"/>
          <w:color w:val="001F60"/>
          <w:spacing w:val="-5"/>
          <w:sz w:val="16"/>
        </w:rPr>
        <w:t xml:space="preserve"> </w:t>
      </w:r>
      <w:r>
        <w:rPr>
          <w:rFonts w:ascii="Calibri" w:hAnsi="Calibri"/>
          <w:color w:val="001F60"/>
          <w:sz w:val="16"/>
        </w:rPr>
        <w:t>Ações</w:t>
      </w:r>
      <w:r>
        <w:rPr>
          <w:rFonts w:ascii="Calibri" w:hAnsi="Calibri"/>
          <w:color w:val="001F60"/>
          <w:spacing w:val="-3"/>
          <w:sz w:val="16"/>
        </w:rPr>
        <w:t xml:space="preserve"> </w:t>
      </w:r>
      <w:r>
        <w:rPr>
          <w:rFonts w:ascii="Calibri" w:hAnsi="Calibri"/>
          <w:color w:val="001F60"/>
          <w:sz w:val="16"/>
        </w:rPr>
        <w:t>Orçamentárias</w:t>
      </w:r>
      <w:r>
        <w:rPr>
          <w:rFonts w:ascii="Calibri" w:hAnsi="Calibri"/>
          <w:color w:val="001F60"/>
          <w:spacing w:val="-3"/>
          <w:sz w:val="16"/>
        </w:rPr>
        <w:t xml:space="preserve"> </w:t>
      </w:r>
      <w:r>
        <w:rPr>
          <w:rFonts w:ascii="Calibri" w:hAnsi="Calibri"/>
          <w:color w:val="001F60"/>
          <w:sz w:val="16"/>
        </w:rPr>
        <w:t>de 2025</w:t>
      </w:r>
      <w:r>
        <w:rPr>
          <w:rFonts w:ascii="Calibri" w:hAnsi="Calibri"/>
          <w:color w:val="001F60"/>
          <w:spacing w:val="-2"/>
          <w:sz w:val="16"/>
        </w:rPr>
        <w:t xml:space="preserve"> </w:t>
      </w:r>
      <w:r>
        <w:rPr>
          <w:rFonts w:ascii="Calibri" w:hAnsi="Calibri"/>
          <w:color w:val="001F60"/>
          <w:sz w:val="16"/>
        </w:rPr>
        <w:t>–</w:t>
      </w:r>
      <w:r>
        <w:rPr>
          <w:rFonts w:ascii="Calibri" w:hAnsi="Calibri"/>
          <w:color w:val="001F60"/>
          <w:spacing w:val="-3"/>
          <w:sz w:val="16"/>
        </w:rPr>
        <w:t xml:space="preserve"> </w:t>
      </w:r>
      <w:r>
        <w:rPr>
          <w:rFonts w:ascii="Calibri" w:hAnsi="Calibri"/>
          <w:color w:val="001F60"/>
          <w:sz w:val="16"/>
        </w:rPr>
        <w:t>OFSS</w:t>
      </w:r>
      <w:r>
        <w:rPr>
          <w:rFonts w:ascii="Calibri" w:hAnsi="Calibri"/>
          <w:color w:val="001F60"/>
          <w:spacing w:val="-2"/>
          <w:sz w:val="16"/>
        </w:rPr>
        <w:t xml:space="preserve"> </w:t>
      </w:r>
      <w:r>
        <w:rPr>
          <w:rFonts w:ascii="Calibri" w:hAnsi="Calibri"/>
          <w:color w:val="001F60"/>
          <w:sz w:val="16"/>
        </w:rPr>
        <w:t>de</w:t>
      </w:r>
      <w:r>
        <w:rPr>
          <w:rFonts w:ascii="Calibri" w:hAnsi="Calibri"/>
          <w:color w:val="001F60"/>
          <w:spacing w:val="-3"/>
          <w:sz w:val="16"/>
        </w:rPr>
        <w:t xml:space="preserve"> </w:t>
      </w:r>
      <w:r>
        <w:rPr>
          <w:rFonts w:ascii="Calibri" w:hAnsi="Calibri"/>
          <w:color w:val="001F60"/>
          <w:spacing w:val="-4"/>
          <w:sz w:val="16"/>
        </w:rPr>
        <w:t>2025</w:t>
      </w:r>
    </w:p>
    <w:p w14:paraId="6ABEDF3C" w14:textId="77777777" w:rsidR="002C6574" w:rsidRDefault="00000000">
      <w:pPr>
        <w:pStyle w:val="Corpodetexto"/>
        <w:spacing w:before="120"/>
        <w:ind w:left="709"/>
        <w:jc w:val="both"/>
        <w:rPr>
          <w:rFonts w:ascii="Calibri" w:hAnsi="Calibri"/>
        </w:rPr>
      </w:pPr>
      <w:r>
        <w:rPr>
          <w:rFonts w:ascii="Calibri" w:hAnsi="Calibri"/>
          <w:color w:val="001F60"/>
        </w:rPr>
        <w:t>As</w:t>
      </w:r>
      <w:r>
        <w:rPr>
          <w:rFonts w:ascii="Calibri" w:hAnsi="Calibri"/>
          <w:color w:val="001F60"/>
          <w:spacing w:val="-5"/>
        </w:rPr>
        <w:t xml:space="preserve"> </w:t>
      </w:r>
      <w:r>
        <w:rPr>
          <w:rFonts w:ascii="Calibri" w:hAnsi="Calibri"/>
          <w:color w:val="001F60"/>
        </w:rPr>
        <w:t>ações</w:t>
      </w:r>
      <w:r>
        <w:rPr>
          <w:rFonts w:ascii="Calibri" w:hAnsi="Calibri"/>
          <w:color w:val="001F60"/>
          <w:spacing w:val="-4"/>
        </w:rPr>
        <w:t xml:space="preserve"> </w:t>
      </w:r>
      <w:r>
        <w:rPr>
          <w:rFonts w:ascii="Calibri" w:hAnsi="Calibri"/>
          <w:color w:val="001F60"/>
        </w:rPr>
        <w:t>orçamentárias</w:t>
      </w:r>
      <w:r>
        <w:rPr>
          <w:rFonts w:ascii="Calibri" w:hAnsi="Calibri"/>
          <w:color w:val="001F60"/>
          <w:spacing w:val="-3"/>
        </w:rPr>
        <w:t xml:space="preserve"> </w:t>
      </w:r>
      <w:r>
        <w:rPr>
          <w:rFonts w:ascii="Calibri" w:hAnsi="Calibri"/>
          <w:color w:val="001F60"/>
        </w:rPr>
        <w:t>utilizadas</w:t>
      </w:r>
      <w:r>
        <w:rPr>
          <w:rFonts w:ascii="Calibri" w:hAnsi="Calibri"/>
          <w:color w:val="001F60"/>
          <w:spacing w:val="-2"/>
        </w:rPr>
        <w:t xml:space="preserve"> </w:t>
      </w:r>
      <w:r>
        <w:rPr>
          <w:rFonts w:ascii="Calibri" w:hAnsi="Calibri"/>
          <w:color w:val="001F60"/>
        </w:rPr>
        <w:t>em</w:t>
      </w:r>
      <w:r>
        <w:rPr>
          <w:rFonts w:ascii="Calibri" w:hAnsi="Calibri"/>
          <w:color w:val="001F60"/>
          <w:spacing w:val="-4"/>
        </w:rPr>
        <w:t xml:space="preserve"> </w:t>
      </w:r>
      <w:r>
        <w:rPr>
          <w:rFonts w:ascii="Calibri" w:hAnsi="Calibri"/>
          <w:color w:val="001F60"/>
        </w:rPr>
        <w:t>2025,</w:t>
      </w:r>
      <w:r>
        <w:rPr>
          <w:rFonts w:ascii="Calibri" w:hAnsi="Calibri"/>
          <w:color w:val="001F60"/>
          <w:spacing w:val="-3"/>
        </w:rPr>
        <w:t xml:space="preserve"> </w:t>
      </w:r>
      <w:r>
        <w:rPr>
          <w:rFonts w:ascii="Calibri" w:hAnsi="Calibri"/>
          <w:color w:val="001F60"/>
        </w:rPr>
        <w:t>referentes</w:t>
      </w:r>
      <w:r>
        <w:rPr>
          <w:rFonts w:ascii="Calibri" w:hAnsi="Calibri"/>
          <w:color w:val="001F60"/>
          <w:spacing w:val="-5"/>
        </w:rPr>
        <w:t xml:space="preserve"> </w:t>
      </w:r>
      <w:r>
        <w:rPr>
          <w:rFonts w:ascii="Calibri" w:hAnsi="Calibri"/>
          <w:color w:val="001F60"/>
        </w:rPr>
        <w:t>ao</w:t>
      </w:r>
      <w:r>
        <w:rPr>
          <w:rFonts w:ascii="Calibri" w:hAnsi="Calibri"/>
          <w:color w:val="001F60"/>
          <w:spacing w:val="-4"/>
        </w:rPr>
        <w:t xml:space="preserve"> </w:t>
      </w:r>
      <w:r>
        <w:rPr>
          <w:rFonts w:ascii="Calibri" w:hAnsi="Calibri"/>
          <w:color w:val="001F60"/>
        </w:rPr>
        <w:t>OFSS,</w:t>
      </w:r>
      <w:r>
        <w:rPr>
          <w:rFonts w:ascii="Calibri" w:hAnsi="Calibri"/>
          <w:color w:val="001F60"/>
          <w:spacing w:val="-3"/>
        </w:rPr>
        <w:t xml:space="preserve"> </w:t>
      </w:r>
      <w:r>
        <w:rPr>
          <w:rFonts w:ascii="Calibri" w:hAnsi="Calibri"/>
          <w:color w:val="001F60"/>
        </w:rPr>
        <w:t>foram</w:t>
      </w:r>
      <w:r>
        <w:rPr>
          <w:rFonts w:ascii="Calibri" w:hAnsi="Calibri"/>
          <w:color w:val="001F60"/>
          <w:spacing w:val="-3"/>
        </w:rPr>
        <w:t xml:space="preserve"> </w:t>
      </w:r>
      <w:r>
        <w:rPr>
          <w:rFonts w:ascii="Calibri" w:hAnsi="Calibri"/>
          <w:color w:val="001F60"/>
        </w:rPr>
        <w:t>as</w:t>
      </w:r>
      <w:r>
        <w:rPr>
          <w:rFonts w:ascii="Calibri" w:hAnsi="Calibri"/>
          <w:color w:val="001F60"/>
          <w:spacing w:val="-2"/>
        </w:rPr>
        <w:t xml:space="preserve"> seguintes:</w:t>
      </w:r>
    </w:p>
    <w:p w14:paraId="3786FF47" w14:textId="77777777" w:rsidR="002C6574" w:rsidRDefault="00000000">
      <w:pPr>
        <w:pStyle w:val="Corpodetexto"/>
        <w:spacing w:before="120"/>
        <w:ind w:left="709" w:right="277"/>
        <w:jc w:val="both"/>
        <w:rPr>
          <w:rFonts w:ascii="Calibri" w:hAnsi="Calibri"/>
        </w:rPr>
      </w:pPr>
      <w:r>
        <w:rPr>
          <w:rFonts w:ascii="Calibri" w:hAnsi="Calibri"/>
          <w:b/>
          <w:color w:val="001F60"/>
        </w:rPr>
        <w:t>Ação</w:t>
      </w:r>
      <w:r>
        <w:rPr>
          <w:rFonts w:ascii="Calibri" w:hAnsi="Calibri"/>
          <w:b/>
          <w:color w:val="001F60"/>
          <w:spacing w:val="-10"/>
        </w:rPr>
        <w:t xml:space="preserve"> </w:t>
      </w:r>
      <w:r>
        <w:rPr>
          <w:rFonts w:ascii="Calibri" w:hAnsi="Calibri"/>
          <w:b/>
          <w:color w:val="001F60"/>
        </w:rPr>
        <w:t>20TP</w:t>
      </w:r>
      <w:r>
        <w:rPr>
          <w:rFonts w:ascii="Calibri" w:hAnsi="Calibri"/>
          <w:b/>
          <w:color w:val="001F60"/>
          <w:spacing w:val="-4"/>
        </w:rPr>
        <w:t xml:space="preserve"> </w:t>
      </w:r>
      <w:r>
        <w:rPr>
          <w:rFonts w:ascii="Calibri" w:hAnsi="Calibri"/>
          <w:b/>
          <w:color w:val="001F60"/>
        </w:rPr>
        <w:t>-</w:t>
      </w:r>
      <w:r>
        <w:rPr>
          <w:rFonts w:ascii="Calibri" w:hAnsi="Calibri"/>
          <w:b/>
          <w:color w:val="001F60"/>
          <w:spacing w:val="-7"/>
        </w:rPr>
        <w:t xml:space="preserve"> </w:t>
      </w:r>
      <w:r>
        <w:rPr>
          <w:rFonts w:ascii="Calibri" w:hAnsi="Calibri"/>
          <w:b/>
          <w:color w:val="001F60"/>
        </w:rPr>
        <w:t>Ativos</w:t>
      </w:r>
      <w:r>
        <w:rPr>
          <w:rFonts w:ascii="Calibri" w:hAnsi="Calibri"/>
          <w:b/>
          <w:color w:val="001F60"/>
          <w:spacing w:val="-6"/>
        </w:rPr>
        <w:t xml:space="preserve"> </w:t>
      </w:r>
      <w:r>
        <w:rPr>
          <w:rFonts w:ascii="Calibri" w:hAnsi="Calibri"/>
          <w:b/>
          <w:color w:val="001F60"/>
        </w:rPr>
        <w:t>Civis</w:t>
      </w:r>
      <w:r>
        <w:rPr>
          <w:rFonts w:ascii="Calibri" w:hAnsi="Calibri"/>
          <w:b/>
          <w:color w:val="001F60"/>
          <w:spacing w:val="-4"/>
        </w:rPr>
        <w:t xml:space="preserve"> </w:t>
      </w:r>
      <w:r>
        <w:rPr>
          <w:rFonts w:ascii="Calibri" w:hAnsi="Calibri"/>
          <w:b/>
          <w:color w:val="001F60"/>
        </w:rPr>
        <w:t>da</w:t>
      </w:r>
      <w:r>
        <w:rPr>
          <w:rFonts w:ascii="Calibri" w:hAnsi="Calibri"/>
          <w:b/>
          <w:color w:val="001F60"/>
          <w:spacing w:val="-7"/>
        </w:rPr>
        <w:t xml:space="preserve"> </w:t>
      </w:r>
      <w:r>
        <w:rPr>
          <w:rFonts w:ascii="Calibri" w:hAnsi="Calibri"/>
          <w:b/>
          <w:color w:val="001F60"/>
        </w:rPr>
        <w:t>União:</w:t>
      </w:r>
      <w:r>
        <w:rPr>
          <w:rFonts w:ascii="Calibri" w:hAnsi="Calibri"/>
          <w:b/>
          <w:color w:val="001F60"/>
          <w:spacing w:val="-5"/>
        </w:rPr>
        <w:t xml:space="preserve"> </w:t>
      </w:r>
      <w:r>
        <w:rPr>
          <w:rFonts w:ascii="Calibri" w:hAnsi="Calibri"/>
          <w:color w:val="001F60"/>
        </w:rPr>
        <w:t>destinada</w:t>
      </w:r>
      <w:r>
        <w:rPr>
          <w:rFonts w:ascii="Calibri" w:hAnsi="Calibri"/>
          <w:color w:val="001F60"/>
          <w:spacing w:val="-8"/>
        </w:rPr>
        <w:t xml:space="preserve"> </w:t>
      </w:r>
      <w:r>
        <w:rPr>
          <w:rFonts w:ascii="Calibri" w:hAnsi="Calibri"/>
          <w:color w:val="001F60"/>
        </w:rPr>
        <w:t>ao</w:t>
      </w:r>
      <w:r>
        <w:rPr>
          <w:rFonts w:ascii="Calibri" w:hAnsi="Calibri"/>
          <w:color w:val="001F60"/>
          <w:spacing w:val="-4"/>
        </w:rPr>
        <w:t xml:space="preserve"> </w:t>
      </w:r>
      <w:r>
        <w:rPr>
          <w:rFonts w:ascii="Calibri" w:hAnsi="Calibri"/>
          <w:color w:val="001F60"/>
        </w:rPr>
        <w:t>cumprimento</w:t>
      </w:r>
      <w:r>
        <w:rPr>
          <w:rFonts w:ascii="Calibri" w:hAnsi="Calibri"/>
          <w:color w:val="001F60"/>
          <w:spacing w:val="-4"/>
        </w:rPr>
        <w:t xml:space="preserve"> </w:t>
      </w:r>
      <w:r>
        <w:rPr>
          <w:rFonts w:ascii="Calibri" w:hAnsi="Calibri"/>
          <w:color w:val="001F60"/>
        </w:rPr>
        <w:t>dos</w:t>
      </w:r>
      <w:r>
        <w:rPr>
          <w:rFonts w:ascii="Calibri" w:hAnsi="Calibri"/>
          <w:color w:val="001F60"/>
          <w:spacing w:val="-6"/>
        </w:rPr>
        <w:t xml:space="preserve"> </w:t>
      </w:r>
      <w:r>
        <w:rPr>
          <w:rFonts w:ascii="Calibri" w:hAnsi="Calibri"/>
          <w:color w:val="001F60"/>
        </w:rPr>
        <w:t>compromissos</w:t>
      </w:r>
      <w:r>
        <w:rPr>
          <w:rFonts w:ascii="Calibri" w:hAnsi="Calibri"/>
          <w:color w:val="001F60"/>
          <w:spacing w:val="-6"/>
        </w:rPr>
        <w:t xml:space="preserve"> </w:t>
      </w:r>
      <w:r>
        <w:rPr>
          <w:rFonts w:ascii="Calibri" w:hAnsi="Calibri"/>
          <w:color w:val="001F60"/>
        </w:rPr>
        <w:t>relacionados</w:t>
      </w:r>
      <w:r>
        <w:rPr>
          <w:rFonts w:ascii="Calibri" w:hAnsi="Calibri"/>
          <w:color w:val="001F60"/>
          <w:spacing w:val="-6"/>
        </w:rPr>
        <w:t xml:space="preserve"> </w:t>
      </w:r>
      <w:r>
        <w:rPr>
          <w:rFonts w:ascii="Calibri" w:hAnsi="Calibri"/>
          <w:color w:val="001F60"/>
        </w:rPr>
        <w:t>à</w:t>
      </w:r>
      <w:r>
        <w:rPr>
          <w:rFonts w:ascii="Calibri" w:hAnsi="Calibri"/>
          <w:color w:val="001F60"/>
          <w:spacing w:val="-4"/>
        </w:rPr>
        <w:t xml:space="preserve"> </w:t>
      </w:r>
      <w:r>
        <w:rPr>
          <w:rFonts w:ascii="Calibri" w:hAnsi="Calibri"/>
          <w:color w:val="001F60"/>
        </w:rPr>
        <w:t>folha de pagamento dos empregados ativos civis da Telebras. Inclui despesas com vencimentos, contribuições, ressarcimentos, indenizações e demais despesas variáveis.</w:t>
      </w:r>
    </w:p>
    <w:p w14:paraId="50FC11A5" w14:textId="77777777" w:rsidR="002C6574" w:rsidRDefault="00000000">
      <w:pPr>
        <w:spacing w:before="121"/>
        <w:ind w:left="709"/>
        <w:jc w:val="both"/>
        <w:rPr>
          <w:rFonts w:ascii="Calibri" w:hAnsi="Calibri"/>
          <w:b/>
        </w:rPr>
      </w:pPr>
      <w:r>
        <w:rPr>
          <w:rFonts w:ascii="Calibri" w:hAnsi="Calibri"/>
          <w:b/>
          <w:color w:val="001F60"/>
          <w:spacing w:val="-2"/>
        </w:rPr>
        <w:t>Ação</w:t>
      </w:r>
      <w:r>
        <w:rPr>
          <w:rFonts w:ascii="Calibri" w:hAnsi="Calibri"/>
          <w:b/>
          <w:color w:val="001F60"/>
          <w:spacing w:val="-6"/>
        </w:rPr>
        <w:t xml:space="preserve"> </w:t>
      </w:r>
      <w:r>
        <w:rPr>
          <w:rFonts w:ascii="Calibri" w:hAnsi="Calibri"/>
          <w:b/>
          <w:color w:val="001F60"/>
          <w:spacing w:val="-2"/>
        </w:rPr>
        <w:t>212B</w:t>
      </w:r>
      <w:r>
        <w:rPr>
          <w:rFonts w:ascii="Calibri" w:hAnsi="Calibri"/>
          <w:b/>
          <w:color w:val="001F60"/>
          <w:spacing w:val="-3"/>
        </w:rPr>
        <w:t xml:space="preserve"> </w:t>
      </w:r>
      <w:r>
        <w:rPr>
          <w:rFonts w:ascii="Calibri" w:hAnsi="Calibri"/>
          <w:b/>
          <w:color w:val="001F60"/>
          <w:spacing w:val="-2"/>
        </w:rPr>
        <w:t>-</w:t>
      </w:r>
      <w:r>
        <w:rPr>
          <w:rFonts w:ascii="Calibri" w:hAnsi="Calibri"/>
          <w:b/>
          <w:color w:val="001F60"/>
          <w:spacing w:val="-4"/>
        </w:rPr>
        <w:t xml:space="preserve"> </w:t>
      </w:r>
      <w:r>
        <w:rPr>
          <w:rFonts w:ascii="Calibri" w:hAnsi="Calibri"/>
          <w:b/>
          <w:color w:val="001F60"/>
          <w:spacing w:val="-2"/>
        </w:rPr>
        <w:t>Benefícios</w:t>
      </w:r>
      <w:r>
        <w:rPr>
          <w:rFonts w:ascii="Calibri" w:hAnsi="Calibri"/>
          <w:b/>
          <w:color w:val="001F60"/>
          <w:spacing w:val="-1"/>
        </w:rPr>
        <w:t xml:space="preserve"> </w:t>
      </w:r>
      <w:r>
        <w:rPr>
          <w:rFonts w:ascii="Calibri" w:hAnsi="Calibri"/>
          <w:b/>
          <w:color w:val="001F60"/>
          <w:spacing w:val="-2"/>
        </w:rPr>
        <w:t>Obrigatórios</w:t>
      </w:r>
      <w:r>
        <w:rPr>
          <w:rFonts w:ascii="Calibri" w:hAnsi="Calibri"/>
          <w:b/>
          <w:color w:val="001F60"/>
          <w:spacing w:val="-1"/>
        </w:rPr>
        <w:t xml:space="preserve"> </w:t>
      </w:r>
      <w:r>
        <w:rPr>
          <w:rFonts w:ascii="Calibri" w:hAnsi="Calibri"/>
          <w:b/>
          <w:color w:val="001F60"/>
          <w:spacing w:val="-2"/>
        </w:rPr>
        <w:t>aos</w:t>
      </w:r>
      <w:r>
        <w:rPr>
          <w:rFonts w:ascii="Calibri" w:hAnsi="Calibri"/>
          <w:b/>
          <w:color w:val="001F60"/>
          <w:spacing w:val="-1"/>
        </w:rPr>
        <w:t xml:space="preserve"> </w:t>
      </w:r>
      <w:r>
        <w:rPr>
          <w:rFonts w:ascii="Calibri" w:hAnsi="Calibri"/>
          <w:b/>
          <w:color w:val="001F60"/>
          <w:spacing w:val="-2"/>
        </w:rPr>
        <w:t>Servidores</w:t>
      </w:r>
      <w:r>
        <w:rPr>
          <w:rFonts w:ascii="Calibri" w:hAnsi="Calibri"/>
          <w:b/>
          <w:color w:val="001F60"/>
          <w:spacing w:val="-1"/>
        </w:rPr>
        <w:t xml:space="preserve"> </w:t>
      </w:r>
      <w:r>
        <w:rPr>
          <w:rFonts w:ascii="Calibri" w:hAnsi="Calibri"/>
          <w:b/>
          <w:color w:val="001F60"/>
          <w:spacing w:val="-2"/>
        </w:rPr>
        <w:t>Civis,</w:t>
      </w:r>
      <w:r>
        <w:rPr>
          <w:rFonts w:ascii="Calibri" w:hAnsi="Calibri"/>
          <w:b/>
          <w:color w:val="001F60"/>
          <w:spacing w:val="-5"/>
        </w:rPr>
        <w:t xml:space="preserve"> </w:t>
      </w:r>
      <w:r>
        <w:rPr>
          <w:rFonts w:ascii="Calibri" w:hAnsi="Calibri"/>
          <w:b/>
          <w:color w:val="001F60"/>
          <w:spacing w:val="-2"/>
        </w:rPr>
        <w:t>Empregados,</w:t>
      </w:r>
      <w:r>
        <w:rPr>
          <w:rFonts w:ascii="Calibri" w:hAnsi="Calibri"/>
          <w:b/>
          <w:color w:val="001F60"/>
          <w:spacing w:val="-1"/>
        </w:rPr>
        <w:t xml:space="preserve"> </w:t>
      </w:r>
      <w:r>
        <w:rPr>
          <w:rFonts w:ascii="Calibri" w:hAnsi="Calibri"/>
          <w:b/>
          <w:color w:val="001F60"/>
          <w:spacing w:val="-2"/>
        </w:rPr>
        <w:t>Militares</w:t>
      </w:r>
      <w:r>
        <w:rPr>
          <w:rFonts w:ascii="Calibri" w:hAnsi="Calibri"/>
          <w:b/>
          <w:color w:val="001F60"/>
          <w:spacing w:val="-5"/>
        </w:rPr>
        <w:t xml:space="preserve"> </w:t>
      </w:r>
      <w:r>
        <w:rPr>
          <w:rFonts w:ascii="Calibri" w:hAnsi="Calibri"/>
          <w:b/>
          <w:color w:val="001F60"/>
          <w:spacing w:val="-2"/>
        </w:rPr>
        <w:t>e</w:t>
      </w:r>
      <w:r>
        <w:rPr>
          <w:rFonts w:ascii="Calibri" w:hAnsi="Calibri"/>
          <w:b/>
          <w:color w:val="001F60"/>
          <w:spacing w:val="-4"/>
        </w:rPr>
        <w:t xml:space="preserve"> </w:t>
      </w:r>
      <w:r>
        <w:rPr>
          <w:rFonts w:ascii="Calibri" w:hAnsi="Calibri"/>
          <w:b/>
          <w:color w:val="001F60"/>
          <w:spacing w:val="-2"/>
        </w:rPr>
        <w:t>seus</w:t>
      </w:r>
      <w:r>
        <w:rPr>
          <w:rFonts w:ascii="Calibri" w:hAnsi="Calibri"/>
          <w:b/>
          <w:color w:val="001F60"/>
          <w:spacing w:val="-1"/>
        </w:rPr>
        <w:t xml:space="preserve"> </w:t>
      </w:r>
      <w:r>
        <w:rPr>
          <w:rFonts w:ascii="Calibri" w:hAnsi="Calibri"/>
          <w:b/>
          <w:color w:val="001F60"/>
          <w:spacing w:val="-2"/>
        </w:rPr>
        <w:t>Dependentes:</w:t>
      </w:r>
    </w:p>
    <w:p w14:paraId="713DD263" w14:textId="77777777" w:rsidR="002C6574" w:rsidRDefault="00000000">
      <w:pPr>
        <w:pStyle w:val="Corpodetexto"/>
        <w:ind w:left="709"/>
        <w:jc w:val="both"/>
        <w:rPr>
          <w:rFonts w:ascii="Calibri" w:hAnsi="Calibri"/>
        </w:rPr>
      </w:pPr>
      <w:r>
        <w:rPr>
          <w:rFonts w:ascii="Calibri" w:hAnsi="Calibri"/>
          <w:color w:val="001F60"/>
        </w:rPr>
        <w:t>compreende</w:t>
      </w:r>
      <w:r>
        <w:rPr>
          <w:rFonts w:ascii="Calibri" w:hAnsi="Calibri"/>
          <w:color w:val="001F60"/>
          <w:spacing w:val="-7"/>
        </w:rPr>
        <w:t xml:space="preserve"> </w:t>
      </w:r>
      <w:r>
        <w:rPr>
          <w:rFonts w:ascii="Calibri" w:hAnsi="Calibri"/>
          <w:color w:val="001F60"/>
        </w:rPr>
        <w:t>despesas</w:t>
      </w:r>
      <w:r>
        <w:rPr>
          <w:rFonts w:ascii="Calibri" w:hAnsi="Calibri"/>
          <w:color w:val="001F60"/>
          <w:spacing w:val="-4"/>
        </w:rPr>
        <w:t xml:space="preserve"> </w:t>
      </w:r>
      <w:r>
        <w:rPr>
          <w:rFonts w:ascii="Calibri" w:hAnsi="Calibri"/>
          <w:color w:val="001F60"/>
        </w:rPr>
        <w:t>como</w:t>
      </w:r>
      <w:r>
        <w:rPr>
          <w:rFonts w:ascii="Calibri" w:hAnsi="Calibri"/>
          <w:color w:val="001F60"/>
          <w:spacing w:val="-3"/>
        </w:rPr>
        <w:t xml:space="preserve"> </w:t>
      </w:r>
      <w:r>
        <w:rPr>
          <w:rFonts w:ascii="Calibri" w:hAnsi="Calibri"/>
          <w:color w:val="001F60"/>
        </w:rPr>
        <w:t>auxílio</w:t>
      </w:r>
      <w:r>
        <w:rPr>
          <w:rFonts w:ascii="Calibri" w:hAnsi="Calibri"/>
          <w:color w:val="001F60"/>
          <w:spacing w:val="-3"/>
        </w:rPr>
        <w:t xml:space="preserve"> </w:t>
      </w:r>
      <w:r>
        <w:rPr>
          <w:rFonts w:ascii="Calibri" w:hAnsi="Calibri"/>
          <w:color w:val="001F60"/>
        </w:rPr>
        <w:t>alimentação,</w:t>
      </w:r>
      <w:r>
        <w:rPr>
          <w:rFonts w:ascii="Calibri" w:hAnsi="Calibri"/>
          <w:color w:val="001F60"/>
          <w:spacing w:val="-6"/>
        </w:rPr>
        <w:t xml:space="preserve"> </w:t>
      </w:r>
      <w:r>
        <w:rPr>
          <w:rFonts w:ascii="Calibri" w:hAnsi="Calibri"/>
          <w:color w:val="001F60"/>
        </w:rPr>
        <w:t>auxílio</w:t>
      </w:r>
      <w:r>
        <w:rPr>
          <w:rFonts w:ascii="Calibri" w:hAnsi="Calibri"/>
          <w:color w:val="001F60"/>
          <w:spacing w:val="-4"/>
        </w:rPr>
        <w:t xml:space="preserve"> </w:t>
      </w:r>
      <w:r>
        <w:rPr>
          <w:rFonts w:ascii="Calibri" w:hAnsi="Calibri"/>
          <w:color w:val="001F60"/>
        </w:rPr>
        <w:t>transporte</w:t>
      </w:r>
      <w:r>
        <w:rPr>
          <w:rFonts w:ascii="Calibri" w:hAnsi="Calibri"/>
          <w:color w:val="001F60"/>
          <w:spacing w:val="-4"/>
        </w:rPr>
        <w:t xml:space="preserve"> </w:t>
      </w:r>
      <w:r>
        <w:rPr>
          <w:rFonts w:ascii="Calibri" w:hAnsi="Calibri"/>
          <w:color w:val="001F60"/>
        </w:rPr>
        <w:t>e</w:t>
      </w:r>
      <w:r>
        <w:rPr>
          <w:rFonts w:ascii="Calibri" w:hAnsi="Calibri"/>
          <w:color w:val="001F60"/>
          <w:spacing w:val="-6"/>
        </w:rPr>
        <w:t xml:space="preserve"> </w:t>
      </w:r>
      <w:r>
        <w:rPr>
          <w:rFonts w:ascii="Calibri" w:hAnsi="Calibri"/>
          <w:color w:val="001F60"/>
        </w:rPr>
        <w:t>auxílio</w:t>
      </w:r>
      <w:r>
        <w:rPr>
          <w:rFonts w:ascii="Calibri" w:hAnsi="Calibri"/>
          <w:color w:val="001F60"/>
          <w:spacing w:val="-5"/>
        </w:rPr>
        <w:t xml:space="preserve"> </w:t>
      </w:r>
      <w:r>
        <w:rPr>
          <w:rFonts w:ascii="Calibri" w:hAnsi="Calibri"/>
          <w:color w:val="001F60"/>
          <w:spacing w:val="-2"/>
        </w:rPr>
        <w:t>creche.</w:t>
      </w:r>
    </w:p>
    <w:p w14:paraId="6BBD0BEF" w14:textId="77777777" w:rsidR="002C6574" w:rsidRDefault="002C6574">
      <w:pPr>
        <w:pStyle w:val="Corpodetexto"/>
        <w:jc w:val="both"/>
        <w:rPr>
          <w:rFonts w:ascii="Calibri" w:hAnsi="Calibri"/>
        </w:rPr>
        <w:sectPr w:rsidR="002C6574">
          <w:pgSz w:w="11910" w:h="16840"/>
          <w:pgMar w:top="1160" w:right="850" w:bottom="740" w:left="992" w:header="312" w:footer="542" w:gutter="0"/>
          <w:cols w:space="720"/>
        </w:sectPr>
      </w:pPr>
    </w:p>
    <w:p w14:paraId="4E7FC649" w14:textId="77777777" w:rsidR="002C6574" w:rsidRDefault="002C6574">
      <w:pPr>
        <w:pStyle w:val="Corpodetexto"/>
        <w:spacing w:before="263"/>
        <w:rPr>
          <w:rFonts w:ascii="Calibri"/>
        </w:rPr>
      </w:pPr>
    </w:p>
    <w:p w14:paraId="16E6BF1B" w14:textId="77777777" w:rsidR="002C6574" w:rsidRDefault="00000000">
      <w:pPr>
        <w:ind w:left="709" w:right="278"/>
        <w:jc w:val="both"/>
        <w:rPr>
          <w:rFonts w:ascii="Calibri" w:hAnsi="Calibri"/>
        </w:rPr>
      </w:pPr>
      <w:r>
        <w:rPr>
          <w:rFonts w:ascii="Calibri" w:hAnsi="Calibri"/>
          <w:b/>
          <w:color w:val="001F60"/>
        </w:rPr>
        <w:t>Ação 2004 - Assistência Médica e Odontológica aos Servidores Civis, Empregados, Militares e seus Dependentes</w:t>
      </w:r>
      <w:r>
        <w:rPr>
          <w:rFonts w:ascii="Calibri" w:hAnsi="Calibri"/>
          <w:color w:val="001F60"/>
        </w:rPr>
        <w:t>: refere-se à concessão suplementar do benefício de assistência médico hospitalar e odontológica aos empregados, ativos e inativos, dependentes e pensionistas.</w:t>
      </w:r>
    </w:p>
    <w:p w14:paraId="2D3E2775" w14:textId="77777777" w:rsidR="002C6574" w:rsidRDefault="00000000">
      <w:pPr>
        <w:spacing w:before="119"/>
        <w:ind w:left="709" w:right="280"/>
        <w:jc w:val="both"/>
        <w:rPr>
          <w:rFonts w:ascii="Calibri" w:hAnsi="Calibri"/>
        </w:rPr>
      </w:pPr>
      <w:r>
        <w:rPr>
          <w:rFonts w:ascii="Calibri" w:hAnsi="Calibri"/>
          <w:b/>
          <w:color w:val="001F60"/>
        </w:rPr>
        <w:t>Ação</w:t>
      </w:r>
      <w:r>
        <w:rPr>
          <w:rFonts w:ascii="Calibri" w:hAnsi="Calibri"/>
          <w:b/>
          <w:color w:val="001F60"/>
          <w:spacing w:val="-1"/>
        </w:rPr>
        <w:t xml:space="preserve"> </w:t>
      </w:r>
      <w:r>
        <w:rPr>
          <w:rFonts w:ascii="Calibri" w:hAnsi="Calibri"/>
          <w:b/>
          <w:color w:val="001F60"/>
        </w:rPr>
        <w:t>0022 -</w:t>
      </w:r>
      <w:r>
        <w:rPr>
          <w:rFonts w:ascii="Calibri" w:hAnsi="Calibri"/>
          <w:b/>
          <w:color w:val="001F60"/>
          <w:spacing w:val="-1"/>
        </w:rPr>
        <w:t xml:space="preserve"> </w:t>
      </w:r>
      <w:r>
        <w:rPr>
          <w:rFonts w:ascii="Calibri" w:hAnsi="Calibri"/>
          <w:b/>
          <w:color w:val="001F60"/>
        </w:rPr>
        <w:t xml:space="preserve">Sentenças Judiciais Devidas por Empresas Estatais: </w:t>
      </w:r>
      <w:r>
        <w:rPr>
          <w:rFonts w:ascii="Calibri" w:hAnsi="Calibri"/>
          <w:color w:val="001F60"/>
        </w:rPr>
        <w:t>contempla despesas decorrentes do cumprimento de decisões judiciais devidas por empresas públicas e sociedades de economia mista.</w:t>
      </w:r>
    </w:p>
    <w:p w14:paraId="447C7345" w14:textId="77777777" w:rsidR="002C6574" w:rsidRDefault="00000000">
      <w:pPr>
        <w:spacing w:before="120"/>
        <w:ind w:left="709" w:right="277"/>
        <w:jc w:val="both"/>
        <w:rPr>
          <w:rFonts w:ascii="Calibri" w:hAnsi="Calibri"/>
        </w:rPr>
      </w:pPr>
      <w:r>
        <w:rPr>
          <w:rFonts w:ascii="Calibri" w:hAnsi="Calibri"/>
          <w:b/>
          <w:color w:val="001F60"/>
        </w:rPr>
        <w:t xml:space="preserve">Ação 0283 - Amortização e Encargos de Financiamento da Dívida Contratual Interna: </w:t>
      </w:r>
      <w:r>
        <w:rPr>
          <w:rFonts w:ascii="Calibri" w:hAnsi="Calibri"/>
          <w:color w:val="001F60"/>
        </w:rPr>
        <w:t>destina à amortização e o pagamento de juros do financiamento contratado junto à Financiadora de Estudos e Projetos</w:t>
      </w:r>
      <w:r>
        <w:rPr>
          <w:rFonts w:ascii="Calibri" w:hAnsi="Calibri"/>
          <w:color w:val="001F60"/>
          <w:spacing w:val="-10"/>
        </w:rPr>
        <w:t xml:space="preserve"> </w:t>
      </w:r>
      <w:r>
        <w:rPr>
          <w:rFonts w:ascii="Calibri" w:hAnsi="Calibri"/>
          <w:color w:val="001F60"/>
        </w:rPr>
        <w:t>(Finep),</w:t>
      </w:r>
      <w:r>
        <w:rPr>
          <w:rFonts w:ascii="Calibri" w:hAnsi="Calibri"/>
          <w:color w:val="001F60"/>
          <w:spacing w:val="-4"/>
        </w:rPr>
        <w:t xml:space="preserve"> </w:t>
      </w:r>
      <w:r>
        <w:rPr>
          <w:rFonts w:ascii="Calibri" w:hAnsi="Calibri"/>
          <w:color w:val="001F60"/>
        </w:rPr>
        <w:t>destinado</w:t>
      </w:r>
      <w:r>
        <w:rPr>
          <w:rFonts w:ascii="Calibri" w:hAnsi="Calibri"/>
          <w:color w:val="001F60"/>
          <w:spacing w:val="-5"/>
        </w:rPr>
        <w:t xml:space="preserve"> </w:t>
      </w:r>
      <w:r>
        <w:rPr>
          <w:rFonts w:ascii="Calibri" w:hAnsi="Calibri"/>
          <w:color w:val="001F60"/>
        </w:rPr>
        <w:t>ao</w:t>
      </w:r>
      <w:r>
        <w:rPr>
          <w:rFonts w:ascii="Calibri" w:hAnsi="Calibri"/>
          <w:color w:val="001F60"/>
          <w:spacing w:val="-6"/>
        </w:rPr>
        <w:t xml:space="preserve"> </w:t>
      </w:r>
      <w:r>
        <w:rPr>
          <w:rFonts w:ascii="Calibri" w:hAnsi="Calibri"/>
          <w:color w:val="001F60"/>
        </w:rPr>
        <w:t>Projeto</w:t>
      </w:r>
      <w:r>
        <w:rPr>
          <w:rFonts w:ascii="Calibri" w:hAnsi="Calibri"/>
          <w:color w:val="001F60"/>
          <w:spacing w:val="-3"/>
        </w:rPr>
        <w:t xml:space="preserve"> </w:t>
      </w:r>
      <w:r>
        <w:rPr>
          <w:rFonts w:ascii="Calibri" w:hAnsi="Calibri"/>
          <w:color w:val="001F60"/>
        </w:rPr>
        <w:t>do</w:t>
      </w:r>
      <w:r>
        <w:rPr>
          <w:rFonts w:ascii="Calibri" w:hAnsi="Calibri"/>
          <w:color w:val="001F60"/>
          <w:spacing w:val="-3"/>
        </w:rPr>
        <w:t xml:space="preserve"> </w:t>
      </w:r>
      <w:r>
        <w:rPr>
          <w:rFonts w:ascii="Calibri" w:hAnsi="Calibri"/>
          <w:color w:val="001F60"/>
        </w:rPr>
        <w:t>Satélite</w:t>
      </w:r>
      <w:r>
        <w:rPr>
          <w:rFonts w:ascii="Calibri" w:hAnsi="Calibri"/>
          <w:color w:val="001F60"/>
          <w:spacing w:val="-8"/>
        </w:rPr>
        <w:t xml:space="preserve"> </w:t>
      </w:r>
      <w:r>
        <w:rPr>
          <w:rFonts w:ascii="Calibri" w:hAnsi="Calibri"/>
          <w:color w:val="001F60"/>
        </w:rPr>
        <w:t>Geoestacionário</w:t>
      </w:r>
      <w:r>
        <w:rPr>
          <w:rFonts w:ascii="Calibri" w:hAnsi="Calibri"/>
          <w:color w:val="001F60"/>
          <w:spacing w:val="-5"/>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Defesa</w:t>
      </w:r>
      <w:r>
        <w:rPr>
          <w:rFonts w:ascii="Calibri" w:hAnsi="Calibri"/>
          <w:color w:val="001F60"/>
          <w:spacing w:val="-8"/>
        </w:rPr>
        <w:t xml:space="preserve"> </w:t>
      </w:r>
      <w:r>
        <w:rPr>
          <w:rFonts w:ascii="Calibri" w:hAnsi="Calibri"/>
          <w:color w:val="001F60"/>
        </w:rPr>
        <w:t>e</w:t>
      </w:r>
      <w:r>
        <w:rPr>
          <w:rFonts w:ascii="Calibri" w:hAnsi="Calibri"/>
          <w:color w:val="001F60"/>
          <w:spacing w:val="-4"/>
        </w:rPr>
        <w:t xml:space="preserve"> </w:t>
      </w:r>
      <w:r>
        <w:rPr>
          <w:rFonts w:ascii="Calibri" w:hAnsi="Calibri"/>
          <w:color w:val="001F60"/>
        </w:rPr>
        <w:t>Comunicações</w:t>
      </w:r>
      <w:r>
        <w:rPr>
          <w:rFonts w:ascii="Calibri" w:hAnsi="Calibri"/>
          <w:color w:val="001F60"/>
          <w:spacing w:val="-5"/>
        </w:rPr>
        <w:t xml:space="preserve"> </w:t>
      </w:r>
      <w:r>
        <w:rPr>
          <w:rFonts w:ascii="Calibri" w:hAnsi="Calibri"/>
          <w:color w:val="001F60"/>
          <w:spacing w:val="-2"/>
        </w:rPr>
        <w:t>(SGDC).</w:t>
      </w:r>
    </w:p>
    <w:p w14:paraId="755EE7A5" w14:textId="77777777" w:rsidR="002C6574" w:rsidRDefault="00000000">
      <w:pPr>
        <w:spacing w:before="121"/>
        <w:ind w:left="709" w:right="277"/>
        <w:jc w:val="both"/>
        <w:rPr>
          <w:rFonts w:ascii="Calibri" w:hAnsi="Calibri"/>
        </w:rPr>
      </w:pPr>
      <w:r>
        <w:rPr>
          <w:rFonts w:ascii="Calibri" w:hAnsi="Calibri"/>
          <w:b/>
          <w:color w:val="001F60"/>
        </w:rPr>
        <w:t>Ação 15UI - Implantação da Infraestrutura para a Prestação de Serviço de Comunicação de Dados para</w:t>
      </w:r>
      <w:r>
        <w:rPr>
          <w:rFonts w:ascii="Calibri" w:hAnsi="Calibri"/>
          <w:b/>
          <w:color w:val="001F60"/>
          <w:spacing w:val="-13"/>
        </w:rPr>
        <w:t xml:space="preserve"> </w:t>
      </w:r>
      <w:r>
        <w:rPr>
          <w:rFonts w:ascii="Calibri" w:hAnsi="Calibri"/>
          <w:b/>
          <w:color w:val="001F60"/>
        </w:rPr>
        <w:t>Inclusão</w:t>
      </w:r>
      <w:r>
        <w:rPr>
          <w:rFonts w:ascii="Calibri" w:hAnsi="Calibri"/>
          <w:b/>
          <w:color w:val="001F60"/>
          <w:spacing w:val="-12"/>
        </w:rPr>
        <w:t xml:space="preserve"> </w:t>
      </w:r>
      <w:r>
        <w:rPr>
          <w:rFonts w:ascii="Calibri" w:hAnsi="Calibri"/>
          <w:b/>
          <w:color w:val="001F60"/>
        </w:rPr>
        <w:t>Digital:</w:t>
      </w:r>
      <w:r>
        <w:rPr>
          <w:rFonts w:ascii="Calibri" w:hAnsi="Calibri"/>
          <w:b/>
          <w:color w:val="001F60"/>
          <w:spacing w:val="-13"/>
        </w:rPr>
        <w:t xml:space="preserve"> </w:t>
      </w:r>
      <w:r>
        <w:rPr>
          <w:rFonts w:ascii="Calibri" w:hAnsi="Calibri"/>
          <w:color w:val="001F60"/>
        </w:rPr>
        <w:t>visa</w:t>
      </w:r>
      <w:r>
        <w:rPr>
          <w:rFonts w:ascii="Calibri" w:hAnsi="Calibri"/>
          <w:color w:val="001F60"/>
          <w:spacing w:val="-12"/>
        </w:rPr>
        <w:t xml:space="preserve"> </w:t>
      </w:r>
      <w:r>
        <w:rPr>
          <w:rFonts w:ascii="Calibri" w:hAnsi="Calibri"/>
          <w:color w:val="001F60"/>
        </w:rPr>
        <w:t>ampliar</w:t>
      </w:r>
      <w:r>
        <w:rPr>
          <w:rFonts w:ascii="Calibri" w:hAnsi="Calibri"/>
          <w:color w:val="001F60"/>
          <w:spacing w:val="-13"/>
        </w:rPr>
        <w:t xml:space="preserve"> </w:t>
      </w:r>
      <w:r>
        <w:rPr>
          <w:rFonts w:ascii="Calibri" w:hAnsi="Calibri"/>
          <w:color w:val="001F60"/>
        </w:rPr>
        <w:t>o</w:t>
      </w:r>
      <w:r>
        <w:rPr>
          <w:rFonts w:ascii="Calibri" w:hAnsi="Calibri"/>
          <w:color w:val="001F60"/>
          <w:spacing w:val="-12"/>
        </w:rPr>
        <w:t xml:space="preserve"> </w:t>
      </w:r>
      <w:r>
        <w:rPr>
          <w:rFonts w:ascii="Calibri" w:hAnsi="Calibri"/>
          <w:color w:val="001F60"/>
        </w:rPr>
        <w:t>acesso</w:t>
      </w:r>
      <w:r>
        <w:rPr>
          <w:rFonts w:ascii="Calibri" w:hAnsi="Calibri"/>
          <w:color w:val="001F60"/>
          <w:spacing w:val="-13"/>
        </w:rPr>
        <w:t xml:space="preserve"> </w:t>
      </w:r>
      <w:r>
        <w:rPr>
          <w:rFonts w:ascii="Calibri" w:hAnsi="Calibri"/>
          <w:color w:val="001F60"/>
        </w:rPr>
        <w:t>à</w:t>
      </w:r>
      <w:r>
        <w:rPr>
          <w:rFonts w:ascii="Calibri" w:hAnsi="Calibri"/>
          <w:color w:val="001F60"/>
          <w:spacing w:val="-12"/>
        </w:rPr>
        <w:t xml:space="preserve"> </w:t>
      </w:r>
      <w:r>
        <w:rPr>
          <w:rFonts w:ascii="Calibri" w:hAnsi="Calibri"/>
          <w:color w:val="001F60"/>
        </w:rPr>
        <w:t>internet</w:t>
      </w:r>
      <w:r>
        <w:rPr>
          <w:rFonts w:ascii="Calibri" w:hAnsi="Calibri"/>
          <w:color w:val="001F60"/>
          <w:spacing w:val="-12"/>
        </w:rPr>
        <w:t xml:space="preserve"> </w:t>
      </w:r>
      <w:r>
        <w:rPr>
          <w:rFonts w:ascii="Calibri" w:hAnsi="Calibri"/>
          <w:color w:val="001F60"/>
        </w:rPr>
        <w:t>em</w:t>
      </w:r>
      <w:r>
        <w:rPr>
          <w:rFonts w:ascii="Calibri" w:hAnsi="Calibri"/>
          <w:color w:val="001F60"/>
          <w:spacing w:val="-13"/>
        </w:rPr>
        <w:t xml:space="preserve"> </w:t>
      </w:r>
      <w:r>
        <w:rPr>
          <w:rFonts w:ascii="Calibri" w:hAnsi="Calibri"/>
          <w:color w:val="001F60"/>
        </w:rPr>
        <w:t>banda</w:t>
      </w:r>
      <w:r>
        <w:rPr>
          <w:rFonts w:ascii="Calibri" w:hAnsi="Calibri"/>
          <w:color w:val="001F60"/>
          <w:spacing w:val="-12"/>
        </w:rPr>
        <w:t xml:space="preserve"> </w:t>
      </w:r>
      <w:r>
        <w:rPr>
          <w:rFonts w:ascii="Calibri" w:hAnsi="Calibri"/>
          <w:color w:val="001F60"/>
        </w:rPr>
        <w:t>larga</w:t>
      </w:r>
      <w:r>
        <w:rPr>
          <w:rFonts w:ascii="Calibri" w:hAnsi="Calibri"/>
          <w:color w:val="001F60"/>
          <w:spacing w:val="-13"/>
        </w:rPr>
        <w:t xml:space="preserve"> </w:t>
      </w:r>
      <w:r>
        <w:rPr>
          <w:rFonts w:ascii="Calibri" w:hAnsi="Calibri"/>
          <w:color w:val="001F60"/>
        </w:rPr>
        <w:t>aos</w:t>
      </w:r>
      <w:r>
        <w:rPr>
          <w:rFonts w:ascii="Calibri" w:hAnsi="Calibri"/>
          <w:color w:val="001F60"/>
          <w:spacing w:val="-12"/>
        </w:rPr>
        <w:t xml:space="preserve"> </w:t>
      </w:r>
      <w:r>
        <w:rPr>
          <w:rFonts w:ascii="Calibri" w:hAnsi="Calibri"/>
          <w:color w:val="001F60"/>
        </w:rPr>
        <w:t>cidadãos,</w:t>
      </w:r>
      <w:r>
        <w:rPr>
          <w:rFonts w:ascii="Calibri" w:hAnsi="Calibri"/>
          <w:color w:val="001F60"/>
          <w:spacing w:val="-13"/>
        </w:rPr>
        <w:t xml:space="preserve"> </w:t>
      </w:r>
      <w:r>
        <w:rPr>
          <w:rFonts w:ascii="Calibri" w:hAnsi="Calibri"/>
          <w:color w:val="001F60"/>
        </w:rPr>
        <w:t>instituições,</w:t>
      </w:r>
      <w:r>
        <w:rPr>
          <w:rFonts w:ascii="Calibri" w:hAnsi="Calibri"/>
          <w:color w:val="001F60"/>
          <w:spacing w:val="-12"/>
        </w:rPr>
        <w:t xml:space="preserve"> </w:t>
      </w:r>
      <w:r>
        <w:rPr>
          <w:rFonts w:ascii="Calibri" w:hAnsi="Calibri"/>
          <w:color w:val="001F60"/>
        </w:rPr>
        <w:t>órgãos governamentais,</w:t>
      </w:r>
      <w:r>
        <w:rPr>
          <w:rFonts w:ascii="Calibri" w:hAnsi="Calibri"/>
          <w:color w:val="001F60"/>
          <w:spacing w:val="-8"/>
        </w:rPr>
        <w:t xml:space="preserve"> </w:t>
      </w:r>
      <w:r>
        <w:rPr>
          <w:rFonts w:ascii="Calibri" w:hAnsi="Calibri"/>
          <w:color w:val="001F60"/>
        </w:rPr>
        <w:t>entidades</w:t>
      </w:r>
      <w:r>
        <w:rPr>
          <w:rFonts w:ascii="Calibri" w:hAnsi="Calibri"/>
          <w:color w:val="001F60"/>
          <w:spacing w:val="-6"/>
        </w:rPr>
        <w:t xml:space="preserve"> </w:t>
      </w:r>
      <w:r>
        <w:rPr>
          <w:rFonts w:ascii="Calibri" w:hAnsi="Calibri"/>
          <w:color w:val="001F60"/>
        </w:rPr>
        <w:t>da</w:t>
      </w:r>
      <w:r>
        <w:rPr>
          <w:rFonts w:ascii="Calibri" w:hAnsi="Calibri"/>
          <w:color w:val="001F60"/>
          <w:spacing w:val="-4"/>
        </w:rPr>
        <w:t xml:space="preserve"> </w:t>
      </w:r>
      <w:r>
        <w:rPr>
          <w:rFonts w:ascii="Calibri" w:hAnsi="Calibri"/>
          <w:color w:val="001F60"/>
        </w:rPr>
        <w:t>sociedade</w:t>
      </w:r>
      <w:r>
        <w:rPr>
          <w:rFonts w:ascii="Calibri" w:hAnsi="Calibri"/>
          <w:color w:val="001F60"/>
          <w:spacing w:val="-4"/>
        </w:rPr>
        <w:t xml:space="preserve"> </w:t>
      </w:r>
      <w:r>
        <w:rPr>
          <w:rFonts w:ascii="Calibri" w:hAnsi="Calibri"/>
          <w:color w:val="001F60"/>
        </w:rPr>
        <w:t>civil</w:t>
      </w:r>
      <w:r>
        <w:rPr>
          <w:rFonts w:ascii="Calibri" w:hAnsi="Calibri"/>
          <w:color w:val="001F60"/>
          <w:spacing w:val="-4"/>
        </w:rPr>
        <w:t xml:space="preserve"> </w:t>
      </w:r>
      <w:r>
        <w:rPr>
          <w:rFonts w:ascii="Calibri" w:hAnsi="Calibri"/>
          <w:color w:val="001F60"/>
        </w:rPr>
        <w:t>e</w:t>
      </w:r>
      <w:r>
        <w:rPr>
          <w:rFonts w:ascii="Calibri" w:hAnsi="Calibri"/>
          <w:color w:val="001F60"/>
          <w:spacing w:val="-4"/>
        </w:rPr>
        <w:t xml:space="preserve"> </w:t>
      </w:r>
      <w:r>
        <w:rPr>
          <w:rFonts w:ascii="Calibri" w:hAnsi="Calibri"/>
          <w:color w:val="001F60"/>
        </w:rPr>
        <w:t>empresas,</w:t>
      </w:r>
      <w:r>
        <w:rPr>
          <w:rFonts w:ascii="Calibri" w:hAnsi="Calibri"/>
          <w:color w:val="001F60"/>
          <w:spacing w:val="-6"/>
        </w:rPr>
        <w:t xml:space="preserve"> </w:t>
      </w:r>
      <w:r>
        <w:rPr>
          <w:rFonts w:ascii="Calibri" w:hAnsi="Calibri"/>
          <w:color w:val="001F60"/>
        </w:rPr>
        <w:t>mediante</w:t>
      </w:r>
      <w:r>
        <w:rPr>
          <w:rFonts w:ascii="Calibri" w:hAnsi="Calibri"/>
          <w:color w:val="001F60"/>
          <w:spacing w:val="-6"/>
        </w:rPr>
        <w:t xml:space="preserve"> </w:t>
      </w:r>
      <w:r>
        <w:rPr>
          <w:rFonts w:ascii="Calibri" w:hAnsi="Calibri"/>
          <w:color w:val="001F60"/>
        </w:rPr>
        <w:t>expansão</w:t>
      </w:r>
      <w:r>
        <w:rPr>
          <w:rFonts w:ascii="Calibri" w:hAnsi="Calibri"/>
          <w:color w:val="001F60"/>
          <w:spacing w:val="-4"/>
        </w:rPr>
        <w:t xml:space="preserve"> </w:t>
      </w:r>
      <w:r>
        <w:rPr>
          <w:rFonts w:ascii="Calibri" w:hAnsi="Calibri"/>
          <w:color w:val="001F60"/>
        </w:rPr>
        <w:t>da</w:t>
      </w:r>
      <w:r>
        <w:rPr>
          <w:rFonts w:ascii="Calibri" w:hAnsi="Calibri"/>
          <w:color w:val="001F60"/>
          <w:spacing w:val="-6"/>
        </w:rPr>
        <w:t xml:space="preserve"> </w:t>
      </w:r>
      <w:r>
        <w:rPr>
          <w:rFonts w:ascii="Calibri" w:hAnsi="Calibri"/>
          <w:color w:val="001F60"/>
        </w:rPr>
        <w:t>cobertura,</w:t>
      </w:r>
      <w:r>
        <w:rPr>
          <w:rFonts w:ascii="Calibri" w:hAnsi="Calibri"/>
          <w:color w:val="001F60"/>
          <w:spacing w:val="-4"/>
        </w:rPr>
        <w:t xml:space="preserve"> </w:t>
      </w:r>
      <w:r>
        <w:rPr>
          <w:rFonts w:ascii="Calibri" w:hAnsi="Calibri"/>
          <w:color w:val="001F60"/>
        </w:rPr>
        <w:t xml:space="preserve">aumento da velocidade de transmissão e redução do valor final para o consumidor. A ação está associada ao </w:t>
      </w:r>
      <w:r>
        <w:rPr>
          <w:rFonts w:ascii="Arial" w:hAnsi="Arial"/>
          <w:i/>
          <w:color w:val="001F60"/>
          <w:spacing w:val="-2"/>
        </w:rPr>
        <w:t>Programa</w:t>
      </w:r>
      <w:r>
        <w:rPr>
          <w:rFonts w:ascii="Arial" w:hAnsi="Arial"/>
          <w:i/>
          <w:color w:val="001F60"/>
          <w:spacing w:val="-14"/>
        </w:rPr>
        <w:t xml:space="preserve"> </w:t>
      </w:r>
      <w:r>
        <w:rPr>
          <w:rFonts w:ascii="Arial" w:hAnsi="Arial"/>
          <w:i/>
          <w:color w:val="001F60"/>
          <w:spacing w:val="-2"/>
        </w:rPr>
        <w:t>Conecta</w:t>
      </w:r>
      <w:r>
        <w:rPr>
          <w:rFonts w:ascii="Arial" w:hAnsi="Arial"/>
          <w:i/>
          <w:color w:val="001F60"/>
          <w:spacing w:val="-13"/>
        </w:rPr>
        <w:t xml:space="preserve"> </w:t>
      </w:r>
      <w:r>
        <w:rPr>
          <w:rFonts w:ascii="Arial" w:hAnsi="Arial"/>
          <w:i/>
          <w:color w:val="001F60"/>
          <w:spacing w:val="-2"/>
        </w:rPr>
        <w:t>Brasil</w:t>
      </w:r>
      <w:r>
        <w:rPr>
          <w:rFonts w:ascii="Calibri" w:hAnsi="Calibri"/>
          <w:color w:val="001F60"/>
          <w:spacing w:val="-2"/>
        </w:rPr>
        <w:t>,</w:t>
      </w:r>
      <w:r>
        <w:rPr>
          <w:rFonts w:ascii="Calibri" w:hAnsi="Calibri"/>
          <w:color w:val="001F60"/>
          <w:spacing w:val="-8"/>
        </w:rPr>
        <w:t xml:space="preserve"> </w:t>
      </w:r>
      <w:r>
        <w:rPr>
          <w:rFonts w:ascii="Calibri" w:hAnsi="Calibri"/>
          <w:color w:val="001F60"/>
          <w:spacing w:val="-2"/>
        </w:rPr>
        <w:t>instituído</w:t>
      </w:r>
      <w:r>
        <w:rPr>
          <w:rFonts w:ascii="Calibri" w:hAnsi="Calibri"/>
          <w:color w:val="001F60"/>
          <w:spacing w:val="-4"/>
        </w:rPr>
        <w:t xml:space="preserve"> </w:t>
      </w:r>
      <w:r>
        <w:rPr>
          <w:rFonts w:ascii="Calibri" w:hAnsi="Calibri"/>
          <w:color w:val="001F60"/>
          <w:spacing w:val="-2"/>
        </w:rPr>
        <w:t>pelo</w:t>
      </w:r>
      <w:r>
        <w:rPr>
          <w:rFonts w:ascii="Calibri" w:hAnsi="Calibri"/>
          <w:color w:val="001F60"/>
          <w:spacing w:val="-5"/>
        </w:rPr>
        <w:t xml:space="preserve"> </w:t>
      </w:r>
      <w:r>
        <w:rPr>
          <w:rFonts w:ascii="Calibri" w:hAnsi="Calibri"/>
          <w:color w:val="001F60"/>
          <w:spacing w:val="-2"/>
        </w:rPr>
        <w:t>Decreto</w:t>
      </w:r>
      <w:r>
        <w:rPr>
          <w:rFonts w:ascii="Calibri" w:hAnsi="Calibri"/>
          <w:color w:val="001F60"/>
          <w:spacing w:val="-5"/>
        </w:rPr>
        <w:t xml:space="preserve"> </w:t>
      </w:r>
      <w:r>
        <w:rPr>
          <w:rFonts w:ascii="Calibri" w:hAnsi="Calibri"/>
          <w:color w:val="001F60"/>
          <w:spacing w:val="-2"/>
        </w:rPr>
        <w:t>nº</w:t>
      </w:r>
      <w:r>
        <w:rPr>
          <w:rFonts w:ascii="Calibri" w:hAnsi="Calibri"/>
          <w:color w:val="001F60"/>
          <w:spacing w:val="-5"/>
        </w:rPr>
        <w:t xml:space="preserve"> </w:t>
      </w:r>
      <w:r>
        <w:rPr>
          <w:rFonts w:ascii="Calibri" w:hAnsi="Calibri"/>
          <w:color w:val="001F60"/>
          <w:spacing w:val="-2"/>
        </w:rPr>
        <w:t>9.612,</w:t>
      </w:r>
      <w:r>
        <w:rPr>
          <w:rFonts w:ascii="Calibri" w:hAnsi="Calibri"/>
          <w:color w:val="001F60"/>
          <w:spacing w:val="-3"/>
        </w:rPr>
        <w:t xml:space="preserve"> </w:t>
      </w:r>
      <w:r>
        <w:rPr>
          <w:rFonts w:ascii="Calibri" w:hAnsi="Calibri"/>
          <w:color w:val="001F60"/>
          <w:spacing w:val="-2"/>
        </w:rPr>
        <w:t>de</w:t>
      </w:r>
      <w:r>
        <w:rPr>
          <w:rFonts w:ascii="Calibri" w:hAnsi="Calibri"/>
          <w:color w:val="001F60"/>
          <w:spacing w:val="-5"/>
        </w:rPr>
        <w:t xml:space="preserve"> </w:t>
      </w:r>
      <w:r>
        <w:rPr>
          <w:rFonts w:ascii="Calibri" w:hAnsi="Calibri"/>
          <w:color w:val="001F60"/>
          <w:spacing w:val="-2"/>
        </w:rPr>
        <w:t>17</w:t>
      </w:r>
      <w:r>
        <w:rPr>
          <w:rFonts w:ascii="Calibri" w:hAnsi="Calibri"/>
          <w:color w:val="001F60"/>
          <w:spacing w:val="-3"/>
        </w:rPr>
        <w:t xml:space="preserve"> </w:t>
      </w:r>
      <w:r>
        <w:rPr>
          <w:rFonts w:ascii="Calibri" w:hAnsi="Calibri"/>
          <w:color w:val="001F60"/>
          <w:spacing w:val="-2"/>
        </w:rPr>
        <w:t>de</w:t>
      </w:r>
      <w:r>
        <w:rPr>
          <w:rFonts w:ascii="Calibri" w:hAnsi="Calibri"/>
          <w:color w:val="001F60"/>
          <w:spacing w:val="-3"/>
        </w:rPr>
        <w:t xml:space="preserve"> </w:t>
      </w:r>
      <w:r>
        <w:rPr>
          <w:rFonts w:ascii="Calibri" w:hAnsi="Calibri"/>
          <w:color w:val="001F60"/>
          <w:spacing w:val="-2"/>
        </w:rPr>
        <w:t>dezembro</w:t>
      </w:r>
      <w:r>
        <w:rPr>
          <w:rFonts w:ascii="Calibri" w:hAnsi="Calibri"/>
          <w:color w:val="001F60"/>
          <w:spacing w:val="-3"/>
        </w:rPr>
        <w:t xml:space="preserve"> </w:t>
      </w:r>
      <w:r>
        <w:rPr>
          <w:rFonts w:ascii="Calibri" w:hAnsi="Calibri"/>
          <w:color w:val="001F60"/>
          <w:spacing w:val="-2"/>
        </w:rPr>
        <w:t>de</w:t>
      </w:r>
      <w:r>
        <w:rPr>
          <w:rFonts w:ascii="Calibri" w:hAnsi="Calibri"/>
          <w:color w:val="001F60"/>
          <w:spacing w:val="-3"/>
        </w:rPr>
        <w:t xml:space="preserve"> </w:t>
      </w:r>
      <w:r>
        <w:rPr>
          <w:rFonts w:ascii="Calibri" w:hAnsi="Calibri"/>
          <w:color w:val="001F60"/>
          <w:spacing w:val="-2"/>
        </w:rPr>
        <w:t>2018,</w:t>
      </w:r>
      <w:r>
        <w:rPr>
          <w:rFonts w:ascii="Calibri" w:hAnsi="Calibri"/>
          <w:color w:val="001F60"/>
          <w:spacing w:val="-5"/>
        </w:rPr>
        <w:t xml:space="preserve"> </w:t>
      </w:r>
      <w:r>
        <w:rPr>
          <w:rFonts w:ascii="Calibri" w:hAnsi="Calibri"/>
          <w:color w:val="001F60"/>
          <w:spacing w:val="-2"/>
        </w:rPr>
        <w:t>cujo</w:t>
      </w:r>
      <w:r>
        <w:rPr>
          <w:rFonts w:ascii="Calibri" w:hAnsi="Calibri"/>
          <w:color w:val="001F60"/>
          <w:spacing w:val="-8"/>
        </w:rPr>
        <w:t xml:space="preserve"> </w:t>
      </w:r>
      <w:r>
        <w:rPr>
          <w:rFonts w:ascii="Calibri" w:hAnsi="Calibri"/>
          <w:color w:val="001F60"/>
          <w:spacing w:val="-2"/>
        </w:rPr>
        <w:t xml:space="preserve">objetivo </w:t>
      </w:r>
      <w:r>
        <w:rPr>
          <w:rFonts w:ascii="Calibri" w:hAnsi="Calibri"/>
          <w:color w:val="001F60"/>
        </w:rPr>
        <w:t>é massificar o acesso à banda larga no país.</w:t>
      </w:r>
    </w:p>
    <w:p w14:paraId="54E98D04" w14:textId="77777777" w:rsidR="002C6574" w:rsidRDefault="00000000">
      <w:pPr>
        <w:spacing w:before="119"/>
        <w:ind w:left="709" w:right="276"/>
        <w:jc w:val="both"/>
        <w:rPr>
          <w:rFonts w:ascii="Calibri" w:hAnsi="Calibri"/>
        </w:rPr>
      </w:pPr>
      <w:r>
        <w:rPr>
          <w:rFonts w:ascii="Calibri" w:hAnsi="Calibri"/>
          <w:b/>
          <w:color w:val="001F60"/>
        </w:rPr>
        <w:t>Ação</w:t>
      </w:r>
      <w:r>
        <w:rPr>
          <w:rFonts w:ascii="Calibri" w:hAnsi="Calibri"/>
          <w:b/>
          <w:color w:val="001F60"/>
          <w:spacing w:val="-5"/>
        </w:rPr>
        <w:t xml:space="preserve"> </w:t>
      </w:r>
      <w:r>
        <w:rPr>
          <w:rFonts w:ascii="Calibri" w:hAnsi="Calibri"/>
          <w:b/>
          <w:color w:val="001F60"/>
        </w:rPr>
        <w:t>21C8</w:t>
      </w:r>
      <w:r>
        <w:rPr>
          <w:rFonts w:ascii="Calibri" w:hAnsi="Calibri"/>
          <w:b/>
          <w:color w:val="001F60"/>
          <w:spacing w:val="-2"/>
        </w:rPr>
        <w:t xml:space="preserve"> </w:t>
      </w:r>
      <w:r>
        <w:rPr>
          <w:rFonts w:ascii="Calibri" w:hAnsi="Calibri"/>
          <w:b/>
          <w:color w:val="001F60"/>
        </w:rPr>
        <w:t>-</w:t>
      </w:r>
      <w:r>
        <w:rPr>
          <w:rFonts w:ascii="Calibri" w:hAnsi="Calibri"/>
          <w:b/>
          <w:color w:val="001F60"/>
          <w:spacing w:val="-2"/>
        </w:rPr>
        <w:t xml:space="preserve"> </w:t>
      </w:r>
      <w:r>
        <w:rPr>
          <w:rFonts w:ascii="Calibri" w:hAnsi="Calibri"/>
          <w:b/>
          <w:color w:val="001F60"/>
        </w:rPr>
        <w:t>Operação</w:t>
      </w:r>
      <w:r>
        <w:rPr>
          <w:rFonts w:ascii="Calibri" w:hAnsi="Calibri"/>
          <w:b/>
          <w:color w:val="001F60"/>
          <w:spacing w:val="-2"/>
        </w:rPr>
        <w:t xml:space="preserve"> </w:t>
      </w:r>
      <w:r>
        <w:rPr>
          <w:rFonts w:ascii="Calibri" w:hAnsi="Calibri"/>
          <w:b/>
          <w:color w:val="001F60"/>
        </w:rPr>
        <w:t>da</w:t>
      </w:r>
      <w:r>
        <w:rPr>
          <w:rFonts w:ascii="Calibri" w:hAnsi="Calibri"/>
          <w:b/>
          <w:color w:val="001F60"/>
          <w:spacing w:val="-2"/>
        </w:rPr>
        <w:t xml:space="preserve"> </w:t>
      </w:r>
      <w:r>
        <w:rPr>
          <w:rFonts w:ascii="Calibri" w:hAnsi="Calibri"/>
          <w:b/>
          <w:color w:val="001F60"/>
        </w:rPr>
        <w:t>Infraestrutura</w:t>
      </w:r>
      <w:r>
        <w:rPr>
          <w:rFonts w:ascii="Calibri" w:hAnsi="Calibri"/>
          <w:b/>
          <w:color w:val="001F60"/>
          <w:spacing w:val="-2"/>
        </w:rPr>
        <w:t xml:space="preserve"> </w:t>
      </w:r>
      <w:r>
        <w:rPr>
          <w:rFonts w:ascii="Calibri" w:hAnsi="Calibri"/>
          <w:b/>
          <w:color w:val="001F60"/>
        </w:rPr>
        <w:t>da</w:t>
      </w:r>
      <w:r>
        <w:rPr>
          <w:rFonts w:ascii="Calibri" w:hAnsi="Calibri"/>
          <w:b/>
          <w:color w:val="001F60"/>
          <w:spacing w:val="-3"/>
        </w:rPr>
        <w:t xml:space="preserve"> </w:t>
      </w:r>
      <w:r>
        <w:rPr>
          <w:rFonts w:ascii="Calibri" w:hAnsi="Calibri"/>
          <w:b/>
          <w:color w:val="001F60"/>
        </w:rPr>
        <w:t>Rede</w:t>
      </w:r>
      <w:r>
        <w:rPr>
          <w:rFonts w:ascii="Calibri" w:hAnsi="Calibri"/>
          <w:b/>
          <w:color w:val="001F60"/>
          <w:spacing w:val="-3"/>
        </w:rPr>
        <w:t xml:space="preserve"> </w:t>
      </w:r>
      <w:r>
        <w:rPr>
          <w:rFonts w:ascii="Calibri" w:hAnsi="Calibri"/>
          <w:b/>
          <w:color w:val="001F60"/>
        </w:rPr>
        <w:t>de</w:t>
      </w:r>
      <w:r>
        <w:rPr>
          <w:rFonts w:ascii="Calibri" w:hAnsi="Calibri"/>
          <w:b/>
          <w:color w:val="001F60"/>
          <w:spacing w:val="-4"/>
        </w:rPr>
        <w:t xml:space="preserve"> </w:t>
      </w:r>
      <w:r>
        <w:rPr>
          <w:rFonts w:ascii="Calibri" w:hAnsi="Calibri"/>
          <w:b/>
          <w:color w:val="001F60"/>
        </w:rPr>
        <w:t>Serviço</w:t>
      </w:r>
      <w:r>
        <w:rPr>
          <w:rFonts w:ascii="Calibri" w:hAnsi="Calibri"/>
          <w:b/>
          <w:color w:val="001F60"/>
          <w:spacing w:val="-3"/>
        </w:rPr>
        <w:t xml:space="preserve"> </w:t>
      </w:r>
      <w:r>
        <w:rPr>
          <w:rFonts w:ascii="Calibri" w:hAnsi="Calibri"/>
          <w:b/>
          <w:color w:val="001F60"/>
        </w:rPr>
        <w:t>de</w:t>
      </w:r>
      <w:r>
        <w:rPr>
          <w:rFonts w:ascii="Calibri" w:hAnsi="Calibri"/>
          <w:b/>
          <w:color w:val="001F60"/>
          <w:spacing w:val="-3"/>
        </w:rPr>
        <w:t xml:space="preserve"> </w:t>
      </w:r>
      <w:r>
        <w:rPr>
          <w:rFonts w:ascii="Calibri" w:hAnsi="Calibri"/>
          <w:b/>
          <w:color w:val="001F60"/>
        </w:rPr>
        <w:t>Comunicação</w:t>
      </w:r>
      <w:r>
        <w:rPr>
          <w:rFonts w:ascii="Calibri" w:hAnsi="Calibri"/>
          <w:b/>
          <w:color w:val="001F60"/>
          <w:spacing w:val="-2"/>
        </w:rPr>
        <w:t xml:space="preserve"> </w:t>
      </w:r>
      <w:r>
        <w:rPr>
          <w:rFonts w:ascii="Calibri" w:hAnsi="Calibri"/>
          <w:b/>
          <w:color w:val="001F60"/>
        </w:rPr>
        <w:t>de</w:t>
      </w:r>
      <w:r>
        <w:rPr>
          <w:rFonts w:ascii="Calibri" w:hAnsi="Calibri"/>
          <w:b/>
          <w:color w:val="001F60"/>
          <w:spacing w:val="-2"/>
        </w:rPr>
        <w:t xml:space="preserve"> </w:t>
      </w:r>
      <w:r>
        <w:rPr>
          <w:rFonts w:ascii="Calibri" w:hAnsi="Calibri"/>
          <w:b/>
          <w:color w:val="001F60"/>
        </w:rPr>
        <w:t>Dados</w:t>
      </w:r>
      <w:r>
        <w:rPr>
          <w:rFonts w:ascii="Calibri" w:hAnsi="Calibri"/>
          <w:b/>
          <w:color w:val="001F60"/>
          <w:spacing w:val="-1"/>
        </w:rPr>
        <w:t xml:space="preserve"> </w:t>
      </w:r>
      <w:r>
        <w:rPr>
          <w:rFonts w:ascii="Calibri" w:hAnsi="Calibri"/>
          <w:b/>
          <w:color w:val="001F60"/>
        </w:rPr>
        <w:t>do</w:t>
      </w:r>
      <w:r>
        <w:rPr>
          <w:rFonts w:ascii="Calibri" w:hAnsi="Calibri"/>
          <w:b/>
          <w:color w:val="001F60"/>
          <w:spacing w:val="-3"/>
        </w:rPr>
        <w:t xml:space="preserve"> </w:t>
      </w:r>
      <w:r>
        <w:rPr>
          <w:rFonts w:ascii="Calibri" w:hAnsi="Calibri"/>
          <w:b/>
          <w:color w:val="001F60"/>
        </w:rPr>
        <w:t xml:space="preserve">Programa Conecta Brasil: </w:t>
      </w:r>
      <w:r>
        <w:rPr>
          <w:rFonts w:ascii="Calibri" w:hAnsi="Calibri"/>
          <w:color w:val="001F60"/>
        </w:rPr>
        <w:t>destina-se à disponibilização e ao fornecimento dos serviços de comunicação multimídia contratados pelos clientes da Telebras, em conformidade com as políticas públicas de telecomunicações e com a finalidade e missão institucional da empresa.</w:t>
      </w:r>
    </w:p>
    <w:p w14:paraId="1ED3B7D5" w14:textId="77777777" w:rsidR="002C6574" w:rsidRDefault="00000000">
      <w:pPr>
        <w:pStyle w:val="Corpodetexto"/>
        <w:spacing w:before="121"/>
        <w:ind w:left="709" w:right="277"/>
        <w:jc w:val="both"/>
        <w:rPr>
          <w:rFonts w:ascii="Calibri" w:hAnsi="Calibri"/>
        </w:rPr>
      </w:pPr>
      <w:r>
        <w:rPr>
          <w:rFonts w:ascii="Calibri" w:hAnsi="Calibri"/>
          <w:b/>
          <w:color w:val="001F60"/>
        </w:rPr>
        <w:t xml:space="preserve">Ação 2000 - Administração da Unidade: </w:t>
      </w:r>
      <w:r>
        <w:rPr>
          <w:rFonts w:ascii="Calibri" w:hAnsi="Calibri"/>
          <w:color w:val="001F60"/>
        </w:rPr>
        <w:t>complementa despesas que não podem ser apropriadas diretamente</w:t>
      </w:r>
      <w:r>
        <w:rPr>
          <w:rFonts w:ascii="Calibri" w:hAnsi="Calibri"/>
          <w:color w:val="001F60"/>
          <w:spacing w:val="-13"/>
        </w:rPr>
        <w:t xml:space="preserve"> </w:t>
      </w:r>
      <w:r>
        <w:rPr>
          <w:rFonts w:ascii="Calibri" w:hAnsi="Calibri"/>
          <w:color w:val="001F60"/>
        </w:rPr>
        <w:t>às</w:t>
      </w:r>
      <w:r>
        <w:rPr>
          <w:rFonts w:ascii="Calibri" w:hAnsi="Calibri"/>
          <w:color w:val="001F60"/>
          <w:spacing w:val="-12"/>
        </w:rPr>
        <w:t xml:space="preserve"> </w:t>
      </w:r>
      <w:r>
        <w:rPr>
          <w:rFonts w:ascii="Calibri" w:hAnsi="Calibri"/>
          <w:color w:val="001F60"/>
        </w:rPr>
        <w:t>ações</w:t>
      </w:r>
      <w:r>
        <w:rPr>
          <w:rFonts w:ascii="Calibri" w:hAnsi="Calibri"/>
          <w:color w:val="001F60"/>
          <w:spacing w:val="-13"/>
        </w:rPr>
        <w:t xml:space="preserve"> </w:t>
      </w:r>
      <w:r>
        <w:rPr>
          <w:rFonts w:ascii="Calibri" w:hAnsi="Calibri"/>
          <w:color w:val="001F60"/>
        </w:rPr>
        <w:t>finalísticas,</w:t>
      </w:r>
      <w:r>
        <w:rPr>
          <w:rFonts w:ascii="Calibri" w:hAnsi="Calibri"/>
          <w:color w:val="001F60"/>
          <w:spacing w:val="-12"/>
        </w:rPr>
        <w:t xml:space="preserve"> </w:t>
      </w:r>
      <w:r>
        <w:rPr>
          <w:rFonts w:ascii="Calibri" w:hAnsi="Calibri"/>
          <w:color w:val="001F60"/>
        </w:rPr>
        <w:t>abrangendo</w:t>
      </w:r>
      <w:r>
        <w:rPr>
          <w:rFonts w:ascii="Calibri" w:hAnsi="Calibri"/>
          <w:color w:val="001F60"/>
          <w:spacing w:val="-13"/>
        </w:rPr>
        <w:t xml:space="preserve"> </w:t>
      </w:r>
      <w:r>
        <w:rPr>
          <w:rFonts w:ascii="Calibri" w:hAnsi="Calibri"/>
          <w:color w:val="001F60"/>
        </w:rPr>
        <w:t>produtos,</w:t>
      </w:r>
      <w:r>
        <w:rPr>
          <w:rFonts w:ascii="Calibri" w:hAnsi="Calibri"/>
          <w:color w:val="001F60"/>
          <w:spacing w:val="-12"/>
        </w:rPr>
        <w:t xml:space="preserve"> </w:t>
      </w:r>
      <w:r>
        <w:rPr>
          <w:rFonts w:ascii="Calibri" w:hAnsi="Calibri"/>
          <w:color w:val="001F60"/>
        </w:rPr>
        <w:t>serviços</w:t>
      </w:r>
      <w:r>
        <w:rPr>
          <w:rFonts w:ascii="Calibri" w:hAnsi="Calibri"/>
          <w:color w:val="001F60"/>
          <w:spacing w:val="-13"/>
        </w:rPr>
        <w:t xml:space="preserve"> </w:t>
      </w:r>
      <w:r>
        <w:rPr>
          <w:rFonts w:ascii="Calibri" w:hAnsi="Calibri"/>
          <w:color w:val="001F60"/>
        </w:rPr>
        <w:t>e</w:t>
      </w:r>
      <w:r>
        <w:rPr>
          <w:rFonts w:ascii="Calibri" w:hAnsi="Calibri"/>
          <w:color w:val="001F60"/>
          <w:spacing w:val="-12"/>
        </w:rPr>
        <w:t xml:space="preserve"> </w:t>
      </w:r>
      <w:r>
        <w:rPr>
          <w:rFonts w:ascii="Calibri" w:hAnsi="Calibri"/>
          <w:color w:val="001F60"/>
        </w:rPr>
        <w:t>demais</w:t>
      </w:r>
      <w:r>
        <w:rPr>
          <w:rFonts w:ascii="Calibri" w:hAnsi="Calibri"/>
          <w:color w:val="001F60"/>
          <w:spacing w:val="-12"/>
        </w:rPr>
        <w:t xml:space="preserve"> </w:t>
      </w:r>
      <w:r>
        <w:rPr>
          <w:rFonts w:ascii="Calibri" w:hAnsi="Calibri"/>
          <w:color w:val="001F60"/>
        </w:rPr>
        <w:t>atividades-meio</w:t>
      </w:r>
      <w:r>
        <w:rPr>
          <w:rFonts w:ascii="Calibri" w:hAnsi="Calibri"/>
          <w:color w:val="001F60"/>
          <w:spacing w:val="-13"/>
        </w:rPr>
        <w:t xml:space="preserve"> </w:t>
      </w:r>
      <w:r>
        <w:rPr>
          <w:rFonts w:ascii="Calibri" w:hAnsi="Calibri"/>
          <w:color w:val="001F60"/>
        </w:rPr>
        <w:t>necessárias à gestão e à administração da unidade. Inclui despesas com obrigações tributárias, tecnologia da informação e comunicação, contratação de serviços de terceiros, diárias e passagens, aquisição de materiais e consultorias.</w:t>
      </w:r>
    </w:p>
    <w:p w14:paraId="3B403701" w14:textId="77777777" w:rsidR="002C6574" w:rsidRDefault="00000000">
      <w:pPr>
        <w:spacing w:before="119"/>
        <w:ind w:left="709" w:right="278"/>
        <w:jc w:val="both"/>
        <w:rPr>
          <w:rFonts w:ascii="Calibri" w:hAnsi="Calibri"/>
        </w:rPr>
      </w:pPr>
      <w:r>
        <w:rPr>
          <w:rFonts w:ascii="Calibri" w:hAnsi="Calibri"/>
          <w:b/>
          <w:color w:val="001F60"/>
        </w:rPr>
        <w:t xml:space="preserve">Ação 216H - Ajuda de Custo para Moradia ou Auxílio-Moradia a Agentes Públicos: </w:t>
      </w:r>
      <w:r>
        <w:rPr>
          <w:rFonts w:ascii="Calibri" w:hAnsi="Calibri"/>
          <w:color w:val="001F60"/>
        </w:rPr>
        <w:t>contempla despesas destinadas ao pagamento de ajuda de custo para moradia ou auxílio-moradia.</w:t>
      </w:r>
    </w:p>
    <w:p w14:paraId="298AE5ED" w14:textId="77777777" w:rsidR="002C6574" w:rsidRDefault="00000000">
      <w:pPr>
        <w:pStyle w:val="Corpodetexto"/>
        <w:spacing w:before="120"/>
        <w:ind w:left="709" w:right="277"/>
        <w:jc w:val="both"/>
        <w:rPr>
          <w:rFonts w:ascii="Calibri" w:hAnsi="Calibri"/>
        </w:rPr>
      </w:pPr>
      <w:r>
        <w:rPr>
          <w:rFonts w:ascii="Calibri" w:hAnsi="Calibri"/>
          <w:b/>
          <w:color w:val="001F60"/>
        </w:rPr>
        <w:t xml:space="preserve">Ação 0Z00 - Reserva de Contingência Financeira: </w:t>
      </w:r>
      <w:r>
        <w:rPr>
          <w:rFonts w:ascii="Calibri" w:hAnsi="Calibri"/>
          <w:color w:val="001F60"/>
        </w:rPr>
        <w:t>conforme dispõe o Decreto Lei nº 200, de 25 de fevereiro de 1967, a Reserva de Contingência é uma dotação global destinada à abertura de créditos adicionais.</w:t>
      </w:r>
      <w:r>
        <w:rPr>
          <w:rFonts w:ascii="Calibri" w:hAnsi="Calibri"/>
          <w:color w:val="001F60"/>
          <w:spacing w:val="-5"/>
        </w:rPr>
        <w:t xml:space="preserve"> </w:t>
      </w:r>
      <w:r>
        <w:rPr>
          <w:rFonts w:ascii="Calibri" w:hAnsi="Calibri"/>
          <w:color w:val="001F60"/>
        </w:rPr>
        <w:t>De</w:t>
      </w:r>
      <w:r>
        <w:rPr>
          <w:rFonts w:ascii="Calibri" w:hAnsi="Calibri"/>
          <w:color w:val="001F60"/>
          <w:spacing w:val="-1"/>
        </w:rPr>
        <w:t xml:space="preserve"> </w:t>
      </w:r>
      <w:r>
        <w:rPr>
          <w:rFonts w:ascii="Calibri" w:hAnsi="Calibri"/>
          <w:color w:val="001F60"/>
        </w:rPr>
        <w:t>acordo</w:t>
      </w:r>
      <w:r>
        <w:rPr>
          <w:rFonts w:ascii="Calibri" w:hAnsi="Calibri"/>
          <w:color w:val="001F60"/>
          <w:spacing w:val="-3"/>
        </w:rPr>
        <w:t xml:space="preserve"> </w:t>
      </w:r>
      <w:r>
        <w:rPr>
          <w:rFonts w:ascii="Calibri" w:hAnsi="Calibri"/>
          <w:color w:val="001F60"/>
        </w:rPr>
        <w:t>com</w:t>
      </w:r>
      <w:r>
        <w:rPr>
          <w:rFonts w:ascii="Calibri" w:hAnsi="Calibri"/>
          <w:color w:val="001F60"/>
          <w:spacing w:val="-5"/>
        </w:rPr>
        <w:t xml:space="preserve"> </w:t>
      </w:r>
      <w:r>
        <w:rPr>
          <w:rFonts w:ascii="Calibri" w:hAnsi="Calibri"/>
          <w:color w:val="001F60"/>
        </w:rPr>
        <w:t>o</w:t>
      </w:r>
      <w:r>
        <w:rPr>
          <w:rFonts w:ascii="Calibri" w:hAnsi="Calibri"/>
          <w:color w:val="001F60"/>
          <w:spacing w:val="-1"/>
        </w:rPr>
        <w:t xml:space="preserve"> </w:t>
      </w:r>
      <w:r>
        <w:rPr>
          <w:rFonts w:ascii="Calibri" w:hAnsi="Calibri"/>
          <w:color w:val="001F60"/>
        </w:rPr>
        <w:t>art.</w:t>
      </w:r>
      <w:r>
        <w:rPr>
          <w:rFonts w:ascii="Calibri" w:hAnsi="Calibri"/>
          <w:color w:val="001F60"/>
          <w:spacing w:val="-3"/>
        </w:rPr>
        <w:t xml:space="preserve"> </w:t>
      </w:r>
      <w:r>
        <w:rPr>
          <w:rFonts w:ascii="Calibri" w:hAnsi="Calibri"/>
          <w:color w:val="001F60"/>
        </w:rPr>
        <w:t>5º da</w:t>
      </w:r>
      <w:r>
        <w:rPr>
          <w:rFonts w:ascii="Calibri" w:hAnsi="Calibri"/>
          <w:color w:val="001F60"/>
          <w:spacing w:val="-3"/>
        </w:rPr>
        <w:t xml:space="preserve"> </w:t>
      </w:r>
      <w:r>
        <w:rPr>
          <w:rFonts w:ascii="Calibri" w:hAnsi="Calibri"/>
          <w:color w:val="001F60"/>
        </w:rPr>
        <w:t>Lei</w:t>
      </w:r>
      <w:r>
        <w:rPr>
          <w:rFonts w:ascii="Calibri" w:hAnsi="Calibri"/>
          <w:color w:val="001F60"/>
          <w:spacing w:val="-5"/>
        </w:rPr>
        <w:t xml:space="preserve"> </w:t>
      </w:r>
      <w:r>
        <w:rPr>
          <w:rFonts w:ascii="Calibri" w:hAnsi="Calibri"/>
          <w:color w:val="001F60"/>
        </w:rPr>
        <w:t>de</w:t>
      </w:r>
      <w:r>
        <w:rPr>
          <w:rFonts w:ascii="Calibri" w:hAnsi="Calibri"/>
          <w:color w:val="001F60"/>
          <w:spacing w:val="-3"/>
        </w:rPr>
        <w:t xml:space="preserve"> </w:t>
      </w:r>
      <w:r>
        <w:rPr>
          <w:rFonts w:ascii="Calibri" w:hAnsi="Calibri"/>
          <w:color w:val="001F60"/>
        </w:rPr>
        <w:t>Responsabilidade</w:t>
      </w:r>
      <w:r>
        <w:rPr>
          <w:rFonts w:ascii="Calibri" w:hAnsi="Calibri"/>
          <w:color w:val="001F60"/>
          <w:spacing w:val="-1"/>
        </w:rPr>
        <w:t xml:space="preserve"> </w:t>
      </w:r>
      <w:r>
        <w:rPr>
          <w:rFonts w:ascii="Calibri" w:hAnsi="Calibri"/>
          <w:color w:val="001F60"/>
        </w:rPr>
        <w:t>Fiscal</w:t>
      </w:r>
      <w:r>
        <w:rPr>
          <w:rFonts w:ascii="Calibri" w:hAnsi="Calibri"/>
          <w:color w:val="001F60"/>
          <w:spacing w:val="-1"/>
        </w:rPr>
        <w:t xml:space="preserve"> </w:t>
      </w:r>
      <w:r>
        <w:rPr>
          <w:rFonts w:ascii="Calibri" w:hAnsi="Calibri"/>
          <w:color w:val="001F60"/>
        </w:rPr>
        <w:t>(LRF),</w:t>
      </w:r>
      <w:r>
        <w:rPr>
          <w:rFonts w:ascii="Calibri" w:hAnsi="Calibri"/>
          <w:color w:val="001F60"/>
          <w:spacing w:val="-5"/>
        </w:rPr>
        <w:t xml:space="preserve"> </w:t>
      </w:r>
      <w:r>
        <w:rPr>
          <w:rFonts w:ascii="Calibri" w:hAnsi="Calibri"/>
          <w:color w:val="001F60"/>
        </w:rPr>
        <w:t>a</w:t>
      </w:r>
      <w:r>
        <w:rPr>
          <w:rFonts w:ascii="Calibri" w:hAnsi="Calibri"/>
          <w:color w:val="001F60"/>
          <w:spacing w:val="-1"/>
        </w:rPr>
        <w:t xml:space="preserve"> </w:t>
      </w:r>
      <w:r>
        <w:rPr>
          <w:rFonts w:ascii="Calibri" w:hAnsi="Calibri"/>
          <w:color w:val="001F60"/>
        </w:rPr>
        <w:t>Reserva</w:t>
      </w:r>
      <w:r>
        <w:rPr>
          <w:rFonts w:ascii="Calibri" w:hAnsi="Calibri"/>
          <w:color w:val="001F60"/>
          <w:spacing w:val="-6"/>
        </w:rPr>
        <w:t xml:space="preserve"> </w:t>
      </w:r>
      <w:r>
        <w:rPr>
          <w:rFonts w:ascii="Calibri" w:hAnsi="Calibri"/>
          <w:color w:val="001F60"/>
        </w:rPr>
        <w:t>de</w:t>
      </w:r>
      <w:r>
        <w:rPr>
          <w:rFonts w:ascii="Calibri" w:hAnsi="Calibri"/>
          <w:color w:val="001F60"/>
          <w:spacing w:val="-1"/>
        </w:rPr>
        <w:t xml:space="preserve"> </w:t>
      </w:r>
      <w:r>
        <w:rPr>
          <w:rFonts w:ascii="Calibri" w:hAnsi="Calibri"/>
          <w:color w:val="001F60"/>
        </w:rPr>
        <w:t>Contingência deve atender à cobertura de passivos contingentes e demais riscos e eventos fiscais imprevistos.</w:t>
      </w:r>
    </w:p>
    <w:p w14:paraId="50A3704A" w14:textId="77777777" w:rsidR="002C6574" w:rsidRDefault="00000000">
      <w:pPr>
        <w:pStyle w:val="Corpodetexto"/>
        <w:spacing w:before="121"/>
        <w:ind w:left="709" w:right="277"/>
        <w:jc w:val="both"/>
        <w:rPr>
          <w:rFonts w:ascii="Calibri" w:hAnsi="Calibri"/>
        </w:rPr>
      </w:pPr>
      <w:r>
        <w:rPr>
          <w:rFonts w:ascii="Calibri" w:hAnsi="Calibri"/>
          <w:color w:val="001F60"/>
        </w:rPr>
        <w:t>Conforme o Manual Técnico do Programa de Dispêndios Globais (MT PDG), o PDG é a peça orçamentária</w:t>
      </w:r>
      <w:r>
        <w:rPr>
          <w:rFonts w:ascii="Calibri" w:hAnsi="Calibri"/>
          <w:color w:val="001F60"/>
          <w:spacing w:val="-1"/>
        </w:rPr>
        <w:t xml:space="preserve"> </w:t>
      </w:r>
      <w:r>
        <w:rPr>
          <w:rFonts w:ascii="Calibri" w:hAnsi="Calibri"/>
          <w:color w:val="001F60"/>
        </w:rPr>
        <w:t>das</w:t>
      </w:r>
      <w:r>
        <w:rPr>
          <w:rFonts w:ascii="Calibri" w:hAnsi="Calibri"/>
          <w:color w:val="001F60"/>
          <w:spacing w:val="-2"/>
        </w:rPr>
        <w:t xml:space="preserve"> </w:t>
      </w:r>
      <w:r>
        <w:rPr>
          <w:rFonts w:ascii="Calibri" w:hAnsi="Calibri"/>
          <w:color w:val="001F60"/>
        </w:rPr>
        <w:t>empresas estatais federais</w:t>
      </w:r>
      <w:r>
        <w:rPr>
          <w:rFonts w:ascii="Calibri" w:hAnsi="Calibri"/>
          <w:color w:val="001F60"/>
          <w:spacing w:val="-2"/>
        </w:rPr>
        <w:t xml:space="preserve"> </w:t>
      </w:r>
      <w:r>
        <w:rPr>
          <w:rFonts w:ascii="Calibri" w:hAnsi="Calibri"/>
          <w:color w:val="001F60"/>
        </w:rPr>
        <w:t>não</w:t>
      </w:r>
      <w:r>
        <w:rPr>
          <w:rFonts w:ascii="Calibri" w:hAnsi="Calibri"/>
          <w:color w:val="001F60"/>
          <w:spacing w:val="-1"/>
        </w:rPr>
        <w:t xml:space="preserve"> </w:t>
      </w:r>
      <w:r>
        <w:rPr>
          <w:rFonts w:ascii="Calibri" w:hAnsi="Calibri"/>
          <w:color w:val="001F60"/>
        </w:rPr>
        <w:t>dependentes</w:t>
      </w:r>
      <w:r>
        <w:rPr>
          <w:rFonts w:ascii="Calibri" w:hAnsi="Calibri"/>
          <w:color w:val="001F60"/>
          <w:spacing w:val="-2"/>
        </w:rPr>
        <w:t xml:space="preserve"> </w:t>
      </w:r>
      <w:r>
        <w:rPr>
          <w:rFonts w:ascii="Calibri" w:hAnsi="Calibri"/>
          <w:color w:val="001F60"/>
        </w:rPr>
        <w:t>e compreende as</w:t>
      </w:r>
      <w:r>
        <w:rPr>
          <w:rFonts w:ascii="Calibri" w:hAnsi="Calibri"/>
          <w:color w:val="001F60"/>
          <w:spacing w:val="-2"/>
        </w:rPr>
        <w:t xml:space="preserve"> </w:t>
      </w:r>
      <w:r>
        <w:rPr>
          <w:rFonts w:ascii="Calibri" w:hAnsi="Calibri"/>
          <w:color w:val="001F60"/>
        </w:rPr>
        <w:t>fontes de</w:t>
      </w:r>
      <w:r>
        <w:rPr>
          <w:rFonts w:ascii="Calibri" w:hAnsi="Calibri"/>
          <w:color w:val="001F60"/>
          <w:spacing w:val="-1"/>
        </w:rPr>
        <w:t xml:space="preserve"> </w:t>
      </w:r>
      <w:r>
        <w:rPr>
          <w:rFonts w:ascii="Calibri" w:hAnsi="Calibri"/>
          <w:color w:val="001F60"/>
        </w:rPr>
        <w:t>recursos e os dispêndios previstos para o exercício, mantendo alinhamento com os registros contábeis das respectivas empresas.</w:t>
      </w:r>
    </w:p>
    <w:p w14:paraId="2917B3C1" w14:textId="77777777" w:rsidR="002C6574" w:rsidRDefault="00000000">
      <w:pPr>
        <w:spacing w:before="139"/>
        <w:ind w:right="543"/>
        <w:jc w:val="right"/>
        <w:rPr>
          <w:rFonts w:ascii="Arial" w:hAnsi="Arial"/>
          <w:b/>
          <w:i/>
          <w:sz w:val="14"/>
        </w:rPr>
      </w:pPr>
      <w:r>
        <w:rPr>
          <w:rFonts w:ascii="Arial" w:hAnsi="Arial"/>
          <w:b/>
          <w:i/>
          <w:noProof/>
          <w:sz w:val="14"/>
        </w:rPr>
        <mc:AlternateContent>
          <mc:Choice Requires="wps">
            <w:drawing>
              <wp:anchor distT="0" distB="0" distL="0" distR="0" simplePos="0" relativeHeight="15734784" behindDoc="0" locked="0" layoutInCell="1" allowOverlap="1" wp14:anchorId="4C7AFDE0" wp14:editId="256A6287">
                <wp:simplePos x="0" y="0"/>
                <wp:positionH relativeFrom="page">
                  <wp:posOffset>1080516</wp:posOffset>
                </wp:positionH>
                <wp:positionV relativeFrom="paragraph">
                  <wp:posOffset>202527</wp:posOffset>
                </wp:positionV>
                <wp:extent cx="5638800" cy="635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6350"/>
                        </a:xfrm>
                        <a:custGeom>
                          <a:avLst/>
                          <a:gdLst/>
                          <a:ahLst/>
                          <a:cxnLst/>
                          <a:rect l="l" t="t" r="r" b="b"/>
                          <a:pathLst>
                            <a:path w="5638800" h="6350">
                              <a:moveTo>
                                <a:pt x="5638800" y="0"/>
                              </a:moveTo>
                              <a:lnTo>
                                <a:pt x="4908791" y="0"/>
                              </a:lnTo>
                              <a:lnTo>
                                <a:pt x="0" y="0"/>
                              </a:lnTo>
                              <a:lnTo>
                                <a:pt x="0" y="6096"/>
                              </a:lnTo>
                              <a:lnTo>
                                <a:pt x="4908791" y="6096"/>
                              </a:lnTo>
                              <a:lnTo>
                                <a:pt x="5638800" y="6096"/>
                              </a:lnTo>
                              <a:lnTo>
                                <a:pt x="5638800" y="0"/>
                              </a:lnTo>
                              <a:close/>
                            </a:path>
                          </a:pathLst>
                        </a:custGeom>
                        <a:solidFill>
                          <a:srgbClr val="001F60"/>
                        </a:solidFill>
                      </wps:spPr>
                      <wps:bodyPr wrap="square" lIns="0" tIns="0" rIns="0" bIns="0" rtlCol="0">
                        <a:prstTxWarp prst="textNoShape">
                          <a:avLst/>
                        </a:prstTxWarp>
                        <a:noAutofit/>
                      </wps:bodyPr>
                    </wps:wsp>
                  </a:graphicData>
                </a:graphic>
              </wp:anchor>
            </w:drawing>
          </mc:Choice>
          <mc:Fallback>
            <w:pict>
              <v:shape w14:anchorId="0CD27587" id="Graphic 44" o:spid="_x0000_s1026" style="position:absolute;margin-left:85.1pt;margin-top:15.95pt;width:444pt;height:.5pt;z-index:15734784;visibility:visible;mso-wrap-style:square;mso-wrap-distance-left:0;mso-wrap-distance-top:0;mso-wrap-distance-right:0;mso-wrap-distance-bottom:0;mso-position-horizontal:absolute;mso-position-horizontal-relative:page;mso-position-vertical:absolute;mso-position-vertical-relative:text;v-text-anchor:top" coordsize="563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" path="m5638800,l4908791,,,,,6096r4908791,l5638800,6096r,-6096xe" fillcolor="#001f60" stroked="f">
                <v:path arrowok="t"/>
                <w10:wrap anchorx="page"/>
              </v:shape>
            </w:pict>
          </mc:Fallback>
        </mc:AlternateContent>
      </w:r>
      <w:r>
        <w:rPr>
          <w:rFonts w:ascii="Arial" w:hAnsi="Arial"/>
          <w:b/>
          <w:i/>
          <w:color w:val="001F60"/>
          <w:sz w:val="14"/>
        </w:rPr>
        <w:t>Valores</w:t>
      </w:r>
      <w:r>
        <w:rPr>
          <w:rFonts w:ascii="Arial" w:hAnsi="Arial"/>
          <w:b/>
          <w:i/>
          <w:color w:val="001F60"/>
          <w:spacing w:val="-5"/>
          <w:sz w:val="14"/>
        </w:rPr>
        <w:t xml:space="preserve"> </w:t>
      </w:r>
      <w:r>
        <w:rPr>
          <w:rFonts w:ascii="Arial" w:hAnsi="Arial"/>
          <w:b/>
          <w:i/>
          <w:color w:val="001F60"/>
          <w:sz w:val="14"/>
        </w:rPr>
        <w:t>em</w:t>
      </w:r>
      <w:r>
        <w:rPr>
          <w:rFonts w:ascii="Arial" w:hAnsi="Arial"/>
          <w:b/>
          <w:i/>
          <w:color w:val="001F60"/>
          <w:spacing w:val="-1"/>
          <w:sz w:val="14"/>
        </w:rPr>
        <w:t xml:space="preserve"> </w:t>
      </w:r>
      <w:r>
        <w:rPr>
          <w:rFonts w:ascii="Arial" w:hAnsi="Arial"/>
          <w:b/>
          <w:i/>
          <w:color w:val="001F60"/>
          <w:sz w:val="14"/>
        </w:rPr>
        <w:t>R$</w:t>
      </w:r>
      <w:r>
        <w:rPr>
          <w:rFonts w:ascii="Arial" w:hAnsi="Arial"/>
          <w:b/>
          <w:i/>
          <w:color w:val="001F60"/>
          <w:spacing w:val="-3"/>
          <w:sz w:val="14"/>
        </w:rPr>
        <w:t xml:space="preserve"> </w:t>
      </w:r>
      <w:r>
        <w:rPr>
          <w:rFonts w:ascii="Arial" w:hAnsi="Arial"/>
          <w:b/>
          <w:i/>
          <w:color w:val="001F60"/>
          <w:spacing w:val="-2"/>
          <w:sz w:val="14"/>
        </w:rPr>
        <w:t>Milhões</w:t>
      </w:r>
    </w:p>
    <w:p w14:paraId="0D57CA09" w14:textId="77777777" w:rsidR="002C6574" w:rsidRDefault="002C6574">
      <w:pPr>
        <w:jc w:val="right"/>
        <w:rPr>
          <w:rFonts w:ascii="Arial" w:hAnsi="Arial"/>
          <w:b/>
          <w:i/>
          <w:sz w:val="14"/>
        </w:rPr>
        <w:sectPr w:rsidR="002C6574">
          <w:pgSz w:w="11910" w:h="16840"/>
          <w:pgMar w:top="1160" w:right="850" w:bottom="740" w:left="992" w:header="312" w:footer="542" w:gutter="0"/>
          <w:cols w:space="720"/>
        </w:sectPr>
      </w:pPr>
    </w:p>
    <w:p w14:paraId="7BEE635A" w14:textId="77777777" w:rsidR="002C6574" w:rsidRDefault="00000000">
      <w:pPr>
        <w:tabs>
          <w:tab w:val="left" w:pos="5922"/>
        </w:tabs>
        <w:spacing w:before="31" w:line="200" w:lineRule="exact"/>
        <w:ind w:left="817"/>
        <w:rPr>
          <w:rFonts w:ascii="Arial"/>
          <w:b/>
          <w:position w:val="8"/>
          <w:sz w:val="14"/>
        </w:rPr>
      </w:pPr>
      <w:r>
        <w:rPr>
          <w:rFonts w:ascii="Arial"/>
          <w:b/>
          <w:color w:val="001F60"/>
          <w:sz w:val="14"/>
        </w:rPr>
        <w:t>Origem</w:t>
      </w:r>
      <w:r>
        <w:rPr>
          <w:rFonts w:ascii="Arial"/>
          <w:b/>
          <w:color w:val="001F60"/>
          <w:spacing w:val="-4"/>
          <w:sz w:val="14"/>
        </w:rPr>
        <w:t xml:space="preserve"> </w:t>
      </w:r>
      <w:r>
        <w:rPr>
          <w:rFonts w:ascii="Arial"/>
          <w:b/>
          <w:color w:val="001F60"/>
          <w:sz w:val="14"/>
        </w:rPr>
        <w:t>do</w:t>
      </w:r>
      <w:r>
        <w:rPr>
          <w:rFonts w:ascii="Arial"/>
          <w:b/>
          <w:color w:val="001F60"/>
          <w:spacing w:val="-5"/>
          <w:sz w:val="14"/>
        </w:rPr>
        <w:t xml:space="preserve"> </w:t>
      </w:r>
      <w:r>
        <w:rPr>
          <w:rFonts w:ascii="Arial"/>
          <w:b/>
          <w:color w:val="001F60"/>
          <w:spacing w:val="-2"/>
          <w:sz w:val="14"/>
        </w:rPr>
        <w:t>Recurso</w:t>
      </w:r>
      <w:r>
        <w:rPr>
          <w:rFonts w:ascii="Arial"/>
          <w:b/>
          <w:color w:val="001F60"/>
          <w:sz w:val="14"/>
        </w:rPr>
        <w:tab/>
      </w:r>
      <w:r>
        <w:rPr>
          <w:rFonts w:ascii="Arial"/>
          <w:b/>
          <w:color w:val="001F60"/>
          <w:spacing w:val="-2"/>
          <w:position w:val="8"/>
          <w:sz w:val="14"/>
        </w:rPr>
        <w:t>Autorizado</w:t>
      </w:r>
    </w:p>
    <w:p w14:paraId="03667AB8" w14:textId="77777777" w:rsidR="002C6574" w:rsidRDefault="00000000">
      <w:pPr>
        <w:spacing w:line="120" w:lineRule="exact"/>
        <w:jc w:val="right"/>
        <w:rPr>
          <w:rFonts w:ascii="Arial"/>
          <w:b/>
          <w:sz w:val="14"/>
        </w:rPr>
      </w:pPr>
      <w:r>
        <w:rPr>
          <w:rFonts w:ascii="Arial"/>
          <w:b/>
          <w:color w:val="001F60"/>
          <w:sz w:val="14"/>
        </w:rPr>
        <w:t>Set/Dez</w:t>
      </w:r>
      <w:r>
        <w:rPr>
          <w:rFonts w:ascii="Arial"/>
          <w:b/>
          <w:color w:val="001F60"/>
          <w:spacing w:val="-8"/>
          <w:sz w:val="14"/>
        </w:rPr>
        <w:t xml:space="preserve"> </w:t>
      </w:r>
      <w:r>
        <w:rPr>
          <w:rFonts w:ascii="Arial"/>
          <w:b/>
          <w:color w:val="001F60"/>
          <w:spacing w:val="-4"/>
          <w:sz w:val="14"/>
        </w:rPr>
        <w:t>2025</w:t>
      </w:r>
    </w:p>
    <w:p w14:paraId="0D7EA49C" w14:textId="77777777" w:rsidR="002C6574" w:rsidRDefault="00000000">
      <w:pPr>
        <w:spacing w:before="29"/>
        <w:ind w:left="545" w:firstLine="91"/>
        <w:rPr>
          <w:rFonts w:ascii="Arial"/>
          <w:b/>
          <w:sz w:val="14"/>
        </w:rPr>
      </w:pPr>
      <w:r>
        <w:br w:type="column"/>
      </w:r>
      <w:r>
        <w:rPr>
          <w:rFonts w:ascii="Arial"/>
          <w:b/>
          <w:color w:val="001F60"/>
          <w:spacing w:val="-2"/>
          <w:sz w:val="14"/>
        </w:rPr>
        <w:t>Executado</w:t>
      </w:r>
      <w:r>
        <w:rPr>
          <w:rFonts w:ascii="Arial"/>
          <w:b/>
          <w:color w:val="001F60"/>
          <w:spacing w:val="40"/>
          <w:sz w:val="14"/>
        </w:rPr>
        <w:t xml:space="preserve"> </w:t>
      </w:r>
      <w:r>
        <w:rPr>
          <w:rFonts w:ascii="Arial"/>
          <w:b/>
          <w:color w:val="001F60"/>
          <w:sz w:val="14"/>
        </w:rPr>
        <w:t>Set/Dez</w:t>
      </w:r>
      <w:r>
        <w:rPr>
          <w:rFonts w:ascii="Arial"/>
          <w:b/>
          <w:color w:val="001F60"/>
          <w:spacing w:val="-8"/>
          <w:sz w:val="14"/>
        </w:rPr>
        <w:t xml:space="preserve"> </w:t>
      </w:r>
      <w:r>
        <w:rPr>
          <w:rFonts w:ascii="Arial"/>
          <w:b/>
          <w:color w:val="001F60"/>
          <w:spacing w:val="-4"/>
          <w:sz w:val="14"/>
        </w:rPr>
        <w:t>2025</w:t>
      </w:r>
    </w:p>
    <w:p w14:paraId="4E7DBE40" w14:textId="77777777" w:rsidR="002C6574" w:rsidRDefault="00000000">
      <w:pPr>
        <w:spacing w:before="111"/>
        <w:ind w:left="492"/>
        <w:rPr>
          <w:rFonts w:ascii="Arial"/>
          <w:b/>
          <w:sz w:val="14"/>
        </w:rPr>
      </w:pPr>
      <w:r>
        <w:br w:type="column"/>
      </w:r>
      <w:r>
        <w:rPr>
          <w:rFonts w:ascii="Arial"/>
          <w:b/>
          <w:color w:val="001F60"/>
          <w:spacing w:val="-2"/>
          <w:sz w:val="14"/>
        </w:rPr>
        <w:t>Percentual</w:t>
      </w:r>
    </w:p>
    <w:p w14:paraId="48F88553" w14:textId="77777777" w:rsidR="002C6574" w:rsidRDefault="002C6574">
      <w:pPr>
        <w:rPr>
          <w:rFonts w:ascii="Arial"/>
          <w:b/>
          <w:sz w:val="14"/>
        </w:rPr>
        <w:sectPr w:rsidR="002C6574">
          <w:type w:val="continuous"/>
          <w:pgSz w:w="11910" w:h="16840"/>
          <w:pgMar w:top="0" w:right="850" w:bottom="0" w:left="992" w:header="312" w:footer="542" w:gutter="0"/>
          <w:cols w:num="3" w:space="720" w:equalWidth="0">
            <w:col w:w="6698" w:space="40"/>
            <w:col w:w="1401" w:space="39"/>
            <w:col w:w="1890"/>
          </w:cols>
        </w:sectPr>
      </w:pPr>
    </w:p>
    <w:tbl>
      <w:tblPr>
        <w:tblStyle w:val="TableNormal"/>
        <w:tblW w:w="0" w:type="auto"/>
        <w:tblInd w:w="717" w:type="dxa"/>
        <w:tblLayout w:type="fixed"/>
        <w:tblLook w:val="01E0" w:firstRow="1" w:lastRow="1" w:firstColumn="1" w:lastColumn="1" w:noHBand="0" w:noVBand="0"/>
      </w:tblPr>
      <w:tblGrid>
        <w:gridCol w:w="5724"/>
        <w:gridCol w:w="847"/>
        <w:gridCol w:w="597"/>
        <w:gridCol w:w="666"/>
        <w:gridCol w:w="1048"/>
      </w:tblGrid>
      <w:tr w:rsidR="002C6574" w14:paraId="2CD7AD0D" w14:textId="77777777">
        <w:trPr>
          <w:trHeight w:val="198"/>
        </w:trPr>
        <w:tc>
          <w:tcPr>
            <w:tcW w:w="5724" w:type="dxa"/>
            <w:tcBorders>
              <w:top w:val="single" w:sz="4" w:space="0" w:color="001F60"/>
              <w:bottom w:val="single" w:sz="4" w:space="0" w:color="001F60"/>
            </w:tcBorders>
          </w:tcPr>
          <w:p w14:paraId="011FA676" w14:textId="77777777" w:rsidR="002C6574" w:rsidRDefault="00000000">
            <w:pPr>
              <w:pStyle w:val="TableParagraph"/>
              <w:spacing w:before="19" w:line="159" w:lineRule="exact"/>
              <w:ind w:right="57"/>
              <w:rPr>
                <w:rFonts w:ascii="Arial"/>
                <w:b/>
                <w:sz w:val="14"/>
              </w:rPr>
            </w:pPr>
            <w:r>
              <w:rPr>
                <w:rFonts w:ascii="Arial"/>
                <w:b/>
                <w:color w:val="001F60"/>
                <w:spacing w:val="-5"/>
                <w:sz w:val="14"/>
              </w:rPr>
              <w:t>(a)</w:t>
            </w:r>
          </w:p>
        </w:tc>
        <w:tc>
          <w:tcPr>
            <w:tcW w:w="1444" w:type="dxa"/>
            <w:gridSpan w:val="2"/>
            <w:tcBorders>
              <w:top w:val="single" w:sz="4" w:space="0" w:color="001F60"/>
              <w:bottom w:val="single" w:sz="4" w:space="0" w:color="001F60"/>
            </w:tcBorders>
          </w:tcPr>
          <w:p w14:paraId="3641A029" w14:textId="77777777" w:rsidR="002C6574" w:rsidRDefault="00000000">
            <w:pPr>
              <w:pStyle w:val="TableParagraph"/>
              <w:spacing w:before="19" w:line="159" w:lineRule="exact"/>
              <w:ind w:right="56"/>
              <w:rPr>
                <w:rFonts w:ascii="Arial"/>
                <w:b/>
                <w:sz w:val="14"/>
              </w:rPr>
            </w:pPr>
            <w:r>
              <w:rPr>
                <w:rFonts w:ascii="Arial"/>
                <w:b/>
                <w:color w:val="001F60"/>
                <w:spacing w:val="-5"/>
                <w:sz w:val="14"/>
              </w:rPr>
              <w:t>(b)</w:t>
            </w:r>
          </w:p>
        </w:tc>
        <w:tc>
          <w:tcPr>
            <w:tcW w:w="1714" w:type="dxa"/>
            <w:gridSpan w:val="2"/>
            <w:tcBorders>
              <w:top w:val="single" w:sz="4" w:space="0" w:color="001F60"/>
              <w:bottom w:val="single" w:sz="4" w:space="0" w:color="001F60"/>
            </w:tcBorders>
          </w:tcPr>
          <w:p w14:paraId="0EAA0D94" w14:textId="77777777" w:rsidR="002C6574" w:rsidRDefault="00000000">
            <w:pPr>
              <w:pStyle w:val="TableParagraph"/>
              <w:spacing w:before="19" w:line="159" w:lineRule="exact"/>
              <w:ind w:left="845"/>
              <w:jc w:val="left"/>
              <w:rPr>
                <w:rFonts w:ascii="Arial"/>
                <w:b/>
                <w:sz w:val="14"/>
              </w:rPr>
            </w:pPr>
            <w:r>
              <w:rPr>
                <w:rFonts w:ascii="Arial"/>
                <w:b/>
                <w:color w:val="001F60"/>
                <w:sz w:val="14"/>
              </w:rPr>
              <w:t>c</w:t>
            </w:r>
            <w:r>
              <w:rPr>
                <w:rFonts w:ascii="Arial"/>
                <w:b/>
                <w:color w:val="001F60"/>
                <w:spacing w:val="-3"/>
                <w:sz w:val="14"/>
              </w:rPr>
              <w:t xml:space="preserve"> </w:t>
            </w:r>
            <w:r>
              <w:rPr>
                <w:rFonts w:ascii="Arial"/>
                <w:b/>
                <w:color w:val="001F60"/>
                <w:sz w:val="14"/>
              </w:rPr>
              <w:t>=</w:t>
            </w:r>
            <w:r>
              <w:rPr>
                <w:rFonts w:ascii="Arial"/>
                <w:b/>
                <w:color w:val="001F60"/>
                <w:spacing w:val="1"/>
                <w:sz w:val="14"/>
              </w:rPr>
              <w:t xml:space="preserve"> </w:t>
            </w:r>
            <w:r>
              <w:rPr>
                <w:rFonts w:ascii="Arial"/>
                <w:b/>
                <w:color w:val="001F60"/>
                <w:sz w:val="14"/>
              </w:rPr>
              <w:t>(b</w:t>
            </w:r>
            <w:r>
              <w:rPr>
                <w:rFonts w:ascii="Arial"/>
                <w:b/>
                <w:color w:val="001F60"/>
                <w:spacing w:val="-2"/>
                <w:sz w:val="14"/>
              </w:rPr>
              <w:t xml:space="preserve"> </w:t>
            </w:r>
            <w:r>
              <w:rPr>
                <w:rFonts w:ascii="Arial"/>
                <w:b/>
                <w:color w:val="001F60"/>
                <w:sz w:val="14"/>
              </w:rPr>
              <w:t>/</w:t>
            </w:r>
            <w:r>
              <w:rPr>
                <w:rFonts w:ascii="Arial"/>
                <w:b/>
                <w:color w:val="001F60"/>
                <w:spacing w:val="-2"/>
                <w:sz w:val="14"/>
              </w:rPr>
              <w:t xml:space="preserve"> </w:t>
            </w:r>
            <w:r>
              <w:rPr>
                <w:rFonts w:ascii="Arial"/>
                <w:b/>
                <w:color w:val="001F60"/>
                <w:spacing w:val="-5"/>
                <w:sz w:val="14"/>
              </w:rPr>
              <w:t>a)</w:t>
            </w:r>
          </w:p>
        </w:tc>
      </w:tr>
      <w:tr w:rsidR="002C6574" w14:paraId="46A2E212" w14:textId="77777777">
        <w:trPr>
          <w:trHeight w:val="201"/>
        </w:trPr>
        <w:tc>
          <w:tcPr>
            <w:tcW w:w="5724" w:type="dxa"/>
          </w:tcPr>
          <w:p w14:paraId="69168DBB" w14:textId="77777777" w:rsidR="002C6574" w:rsidRDefault="00000000">
            <w:pPr>
              <w:pStyle w:val="TableParagraph"/>
              <w:spacing w:before="15"/>
              <w:ind w:left="108"/>
              <w:jc w:val="left"/>
              <w:rPr>
                <w:rFonts w:ascii="Arial"/>
                <w:b/>
                <w:sz w:val="14"/>
              </w:rPr>
            </w:pPr>
            <w:r>
              <w:rPr>
                <w:rFonts w:ascii="Arial"/>
                <w:b/>
                <w:color w:val="001F60"/>
                <w:sz w:val="14"/>
              </w:rPr>
              <w:t>Receita</w:t>
            </w:r>
            <w:r>
              <w:rPr>
                <w:rFonts w:ascii="Arial"/>
                <w:b/>
                <w:color w:val="001F60"/>
                <w:spacing w:val="-4"/>
                <w:sz w:val="14"/>
              </w:rPr>
              <w:t xml:space="preserve"> </w:t>
            </w:r>
            <w:r>
              <w:rPr>
                <w:rFonts w:ascii="Arial"/>
                <w:b/>
                <w:color w:val="001F60"/>
                <w:sz w:val="14"/>
              </w:rPr>
              <w:t>de</w:t>
            </w:r>
            <w:r>
              <w:rPr>
                <w:rFonts w:ascii="Arial"/>
                <w:b/>
                <w:color w:val="001F60"/>
                <w:spacing w:val="-6"/>
                <w:sz w:val="14"/>
              </w:rPr>
              <w:t xml:space="preserve"> </w:t>
            </w:r>
            <w:r>
              <w:rPr>
                <w:rFonts w:ascii="Arial"/>
                <w:b/>
                <w:color w:val="001F60"/>
                <w:spacing w:val="-2"/>
                <w:sz w:val="14"/>
              </w:rPr>
              <w:t>Capital</w:t>
            </w:r>
          </w:p>
        </w:tc>
        <w:tc>
          <w:tcPr>
            <w:tcW w:w="847" w:type="dxa"/>
          </w:tcPr>
          <w:p w14:paraId="2148401D" w14:textId="77777777" w:rsidR="002C6574" w:rsidRDefault="00000000">
            <w:pPr>
              <w:pStyle w:val="TableParagraph"/>
              <w:spacing w:before="15"/>
              <w:ind w:right="359"/>
              <w:rPr>
                <w:rFonts w:ascii="Arial"/>
                <w:b/>
                <w:sz w:val="14"/>
              </w:rPr>
            </w:pPr>
            <w:r>
              <w:rPr>
                <w:rFonts w:ascii="Arial"/>
                <w:b/>
                <w:color w:val="001F60"/>
                <w:spacing w:val="-4"/>
                <w:sz w:val="14"/>
              </w:rPr>
              <w:t>8,10</w:t>
            </w:r>
          </w:p>
        </w:tc>
        <w:tc>
          <w:tcPr>
            <w:tcW w:w="1263" w:type="dxa"/>
            <w:gridSpan w:val="2"/>
          </w:tcPr>
          <w:p w14:paraId="6BD051B4" w14:textId="77777777" w:rsidR="002C6574" w:rsidRDefault="00000000">
            <w:pPr>
              <w:pStyle w:val="TableParagraph"/>
              <w:spacing w:before="15"/>
              <w:ind w:left="806"/>
              <w:jc w:val="left"/>
              <w:rPr>
                <w:rFonts w:ascii="Arial"/>
                <w:b/>
                <w:sz w:val="14"/>
              </w:rPr>
            </w:pPr>
            <w:r>
              <w:rPr>
                <w:rFonts w:ascii="Arial"/>
                <w:b/>
                <w:color w:val="001F60"/>
                <w:spacing w:val="-4"/>
                <w:sz w:val="14"/>
              </w:rPr>
              <w:t>8,58</w:t>
            </w:r>
          </w:p>
        </w:tc>
        <w:tc>
          <w:tcPr>
            <w:tcW w:w="1048" w:type="dxa"/>
          </w:tcPr>
          <w:p w14:paraId="31DB56EF" w14:textId="77777777" w:rsidR="002C6574" w:rsidRDefault="00000000">
            <w:pPr>
              <w:pStyle w:val="TableParagraph"/>
              <w:spacing w:before="15"/>
              <w:ind w:right="70"/>
              <w:rPr>
                <w:rFonts w:ascii="Arial"/>
                <w:b/>
                <w:sz w:val="14"/>
              </w:rPr>
            </w:pPr>
            <w:r>
              <w:rPr>
                <w:rFonts w:ascii="Arial"/>
                <w:b/>
                <w:color w:val="001F60"/>
                <w:spacing w:val="-4"/>
                <w:sz w:val="14"/>
              </w:rPr>
              <w:t>106%</w:t>
            </w:r>
          </w:p>
        </w:tc>
      </w:tr>
      <w:tr w:rsidR="002C6574" w14:paraId="3DB59C83" w14:textId="77777777">
        <w:trPr>
          <w:trHeight w:val="198"/>
        </w:trPr>
        <w:tc>
          <w:tcPr>
            <w:tcW w:w="5724" w:type="dxa"/>
          </w:tcPr>
          <w:p w14:paraId="71C79ECF" w14:textId="77777777" w:rsidR="002C6574" w:rsidRDefault="00000000">
            <w:pPr>
              <w:pStyle w:val="TableParagraph"/>
              <w:spacing w:before="15"/>
              <w:ind w:left="609"/>
              <w:jc w:val="left"/>
              <w:rPr>
                <w:rFonts w:ascii="Arial MT" w:hAnsi="Arial MT"/>
                <w:sz w:val="14"/>
              </w:rPr>
            </w:pPr>
            <w:r>
              <w:rPr>
                <w:rFonts w:ascii="Arial MT" w:hAnsi="Arial MT"/>
                <w:color w:val="001F60"/>
                <w:sz w:val="14"/>
              </w:rPr>
              <w:t>Resgate</w:t>
            </w:r>
            <w:r>
              <w:rPr>
                <w:rFonts w:ascii="Arial MT" w:hAnsi="Arial MT"/>
                <w:color w:val="001F60"/>
                <w:spacing w:val="-3"/>
                <w:sz w:val="14"/>
              </w:rPr>
              <w:t xml:space="preserve"> </w:t>
            </w:r>
            <w:r>
              <w:rPr>
                <w:rFonts w:ascii="Arial MT" w:hAnsi="Arial MT"/>
                <w:color w:val="001F60"/>
                <w:sz w:val="14"/>
              </w:rPr>
              <w:t>de</w:t>
            </w:r>
            <w:r>
              <w:rPr>
                <w:rFonts w:ascii="Arial MT" w:hAnsi="Arial MT"/>
                <w:color w:val="001F60"/>
                <w:spacing w:val="-4"/>
                <w:sz w:val="14"/>
              </w:rPr>
              <w:t xml:space="preserve"> </w:t>
            </w:r>
            <w:r>
              <w:rPr>
                <w:rFonts w:ascii="Arial MT" w:hAnsi="Arial MT"/>
                <w:color w:val="001F60"/>
                <w:sz w:val="14"/>
              </w:rPr>
              <w:t>Outros</w:t>
            </w:r>
            <w:r>
              <w:rPr>
                <w:rFonts w:ascii="Arial MT" w:hAnsi="Arial MT"/>
                <w:color w:val="001F60"/>
                <w:spacing w:val="-4"/>
                <w:sz w:val="14"/>
              </w:rPr>
              <w:t xml:space="preserve"> </w:t>
            </w:r>
            <w:r>
              <w:rPr>
                <w:rFonts w:ascii="Arial MT" w:hAnsi="Arial MT"/>
                <w:color w:val="001F60"/>
                <w:sz w:val="14"/>
              </w:rPr>
              <w:t>Instrumentos</w:t>
            </w:r>
            <w:r>
              <w:rPr>
                <w:rFonts w:ascii="Arial MT" w:hAnsi="Arial MT"/>
                <w:color w:val="001F60"/>
                <w:spacing w:val="-4"/>
                <w:sz w:val="14"/>
              </w:rPr>
              <w:t xml:space="preserve"> </w:t>
            </w:r>
            <w:r>
              <w:rPr>
                <w:rFonts w:ascii="Arial MT" w:hAnsi="Arial MT"/>
                <w:color w:val="001F60"/>
                <w:sz w:val="14"/>
              </w:rPr>
              <w:t>de</w:t>
            </w:r>
            <w:r>
              <w:rPr>
                <w:rFonts w:ascii="Arial MT" w:hAnsi="Arial MT"/>
                <w:color w:val="001F60"/>
                <w:spacing w:val="-3"/>
                <w:sz w:val="14"/>
              </w:rPr>
              <w:t xml:space="preserve"> </w:t>
            </w:r>
            <w:r>
              <w:rPr>
                <w:rFonts w:ascii="Arial MT" w:hAnsi="Arial MT"/>
                <w:color w:val="001F60"/>
                <w:spacing w:val="-2"/>
                <w:sz w:val="14"/>
              </w:rPr>
              <w:t>Captação</w:t>
            </w:r>
          </w:p>
        </w:tc>
        <w:tc>
          <w:tcPr>
            <w:tcW w:w="847" w:type="dxa"/>
          </w:tcPr>
          <w:p w14:paraId="122455FA" w14:textId="77777777" w:rsidR="002C6574" w:rsidRDefault="00000000">
            <w:pPr>
              <w:pStyle w:val="TableParagraph"/>
              <w:spacing w:before="15"/>
              <w:ind w:right="359"/>
              <w:rPr>
                <w:rFonts w:ascii="Arial MT"/>
                <w:sz w:val="14"/>
              </w:rPr>
            </w:pPr>
            <w:r>
              <w:rPr>
                <w:rFonts w:ascii="Arial MT"/>
                <w:color w:val="001F60"/>
                <w:spacing w:val="-4"/>
                <w:sz w:val="14"/>
              </w:rPr>
              <w:t>7,50</w:t>
            </w:r>
          </w:p>
        </w:tc>
        <w:tc>
          <w:tcPr>
            <w:tcW w:w="1263" w:type="dxa"/>
            <w:gridSpan w:val="2"/>
          </w:tcPr>
          <w:p w14:paraId="17030528" w14:textId="77777777" w:rsidR="002C6574" w:rsidRDefault="00000000">
            <w:pPr>
              <w:pStyle w:val="TableParagraph"/>
              <w:spacing w:before="15"/>
              <w:ind w:left="806"/>
              <w:jc w:val="left"/>
              <w:rPr>
                <w:rFonts w:ascii="Arial MT"/>
                <w:sz w:val="14"/>
              </w:rPr>
            </w:pPr>
            <w:r>
              <w:rPr>
                <w:rFonts w:ascii="Arial MT"/>
                <w:color w:val="001F60"/>
                <w:spacing w:val="-4"/>
                <w:sz w:val="14"/>
              </w:rPr>
              <w:t>8,58</w:t>
            </w:r>
          </w:p>
        </w:tc>
        <w:tc>
          <w:tcPr>
            <w:tcW w:w="1048" w:type="dxa"/>
          </w:tcPr>
          <w:p w14:paraId="69E97EE2" w14:textId="77777777" w:rsidR="002C6574" w:rsidRDefault="00000000">
            <w:pPr>
              <w:pStyle w:val="TableParagraph"/>
              <w:spacing w:before="15"/>
              <w:ind w:right="72"/>
              <w:rPr>
                <w:rFonts w:ascii="Arial MT"/>
                <w:sz w:val="14"/>
              </w:rPr>
            </w:pPr>
            <w:r>
              <w:rPr>
                <w:rFonts w:ascii="Arial MT"/>
                <w:color w:val="001F60"/>
                <w:spacing w:val="-4"/>
                <w:sz w:val="14"/>
              </w:rPr>
              <w:t>114%</w:t>
            </w:r>
          </w:p>
        </w:tc>
      </w:tr>
      <w:tr w:rsidR="002C6574" w14:paraId="62ED94D6" w14:textId="77777777">
        <w:trPr>
          <w:trHeight w:val="197"/>
        </w:trPr>
        <w:tc>
          <w:tcPr>
            <w:tcW w:w="5724" w:type="dxa"/>
          </w:tcPr>
          <w:p w14:paraId="7B422374" w14:textId="77777777" w:rsidR="002C6574" w:rsidRDefault="00000000">
            <w:pPr>
              <w:pStyle w:val="TableParagraph"/>
              <w:spacing w:before="16"/>
              <w:ind w:left="609"/>
              <w:jc w:val="left"/>
              <w:rPr>
                <w:rFonts w:ascii="Arial MT" w:hAnsi="Arial MT"/>
                <w:sz w:val="14"/>
              </w:rPr>
            </w:pPr>
            <w:r>
              <w:rPr>
                <w:rFonts w:ascii="Arial MT" w:hAnsi="Arial MT"/>
                <w:color w:val="001F60"/>
                <w:sz w:val="14"/>
              </w:rPr>
              <w:t>Subvenção</w:t>
            </w:r>
            <w:r>
              <w:rPr>
                <w:rFonts w:ascii="Arial MT" w:hAnsi="Arial MT"/>
                <w:color w:val="001F60"/>
                <w:spacing w:val="-4"/>
                <w:sz w:val="14"/>
              </w:rPr>
              <w:t xml:space="preserve"> </w:t>
            </w:r>
            <w:r>
              <w:rPr>
                <w:rFonts w:ascii="Arial MT" w:hAnsi="Arial MT"/>
                <w:color w:val="001F60"/>
                <w:sz w:val="14"/>
              </w:rPr>
              <w:t>para</w:t>
            </w:r>
            <w:r>
              <w:rPr>
                <w:rFonts w:ascii="Arial MT" w:hAnsi="Arial MT"/>
                <w:color w:val="001F60"/>
                <w:spacing w:val="-7"/>
                <w:sz w:val="14"/>
              </w:rPr>
              <w:t xml:space="preserve"> </w:t>
            </w:r>
            <w:r>
              <w:rPr>
                <w:rFonts w:ascii="Arial MT" w:hAnsi="Arial MT"/>
                <w:color w:val="001F60"/>
                <w:spacing w:val="-2"/>
                <w:sz w:val="14"/>
              </w:rPr>
              <w:t>Investimentos</w:t>
            </w:r>
          </w:p>
        </w:tc>
        <w:tc>
          <w:tcPr>
            <w:tcW w:w="847" w:type="dxa"/>
          </w:tcPr>
          <w:p w14:paraId="33571F7D" w14:textId="77777777" w:rsidR="002C6574" w:rsidRDefault="00000000">
            <w:pPr>
              <w:pStyle w:val="TableParagraph"/>
              <w:spacing w:before="16"/>
              <w:ind w:right="359"/>
              <w:rPr>
                <w:rFonts w:ascii="Arial MT"/>
                <w:sz w:val="14"/>
              </w:rPr>
            </w:pPr>
            <w:r>
              <w:rPr>
                <w:rFonts w:ascii="Arial MT"/>
                <w:color w:val="001F60"/>
                <w:spacing w:val="-4"/>
                <w:sz w:val="14"/>
              </w:rPr>
              <w:t>0,60</w:t>
            </w:r>
          </w:p>
        </w:tc>
        <w:tc>
          <w:tcPr>
            <w:tcW w:w="1263" w:type="dxa"/>
            <w:gridSpan w:val="2"/>
          </w:tcPr>
          <w:p w14:paraId="305FCC1D" w14:textId="77777777" w:rsidR="002C6574" w:rsidRDefault="00000000">
            <w:pPr>
              <w:pStyle w:val="TableParagraph"/>
              <w:spacing w:before="16"/>
              <w:ind w:right="180"/>
              <w:rPr>
                <w:rFonts w:ascii="Arial MT"/>
                <w:sz w:val="14"/>
              </w:rPr>
            </w:pPr>
            <w:r>
              <w:rPr>
                <w:rFonts w:ascii="Arial MT"/>
                <w:color w:val="001F60"/>
                <w:spacing w:val="-10"/>
                <w:sz w:val="14"/>
              </w:rPr>
              <w:t>-</w:t>
            </w:r>
          </w:p>
        </w:tc>
        <w:tc>
          <w:tcPr>
            <w:tcW w:w="1048" w:type="dxa"/>
          </w:tcPr>
          <w:p w14:paraId="662635DF" w14:textId="77777777" w:rsidR="002C6574" w:rsidRDefault="00000000">
            <w:pPr>
              <w:pStyle w:val="TableParagraph"/>
              <w:spacing w:before="16"/>
              <w:ind w:right="70"/>
              <w:rPr>
                <w:rFonts w:ascii="Arial MT"/>
                <w:sz w:val="14"/>
              </w:rPr>
            </w:pPr>
            <w:r>
              <w:rPr>
                <w:rFonts w:ascii="Arial MT"/>
                <w:color w:val="001F60"/>
                <w:spacing w:val="-5"/>
                <w:sz w:val="14"/>
              </w:rPr>
              <w:t>0%</w:t>
            </w:r>
          </w:p>
        </w:tc>
      </w:tr>
      <w:tr w:rsidR="002C6574" w14:paraId="459D3D30" w14:textId="77777777">
        <w:trPr>
          <w:trHeight w:val="198"/>
        </w:trPr>
        <w:tc>
          <w:tcPr>
            <w:tcW w:w="5724" w:type="dxa"/>
          </w:tcPr>
          <w:p w14:paraId="4F73B400" w14:textId="77777777" w:rsidR="002C6574" w:rsidRDefault="00000000">
            <w:pPr>
              <w:pStyle w:val="TableParagraph"/>
              <w:spacing w:before="15"/>
              <w:ind w:left="108"/>
              <w:jc w:val="left"/>
              <w:rPr>
                <w:rFonts w:ascii="Arial"/>
                <w:b/>
                <w:sz w:val="14"/>
              </w:rPr>
            </w:pPr>
            <w:r>
              <w:rPr>
                <w:rFonts w:ascii="Arial"/>
                <w:b/>
                <w:color w:val="001F60"/>
                <w:sz w:val="14"/>
              </w:rPr>
              <w:t>Receita</w:t>
            </w:r>
            <w:r>
              <w:rPr>
                <w:rFonts w:ascii="Arial"/>
                <w:b/>
                <w:color w:val="001F60"/>
                <w:spacing w:val="-7"/>
                <w:sz w:val="14"/>
              </w:rPr>
              <w:t xml:space="preserve"> </w:t>
            </w:r>
            <w:r>
              <w:rPr>
                <w:rFonts w:ascii="Arial"/>
                <w:b/>
                <w:color w:val="001F60"/>
                <w:spacing w:val="-2"/>
                <w:sz w:val="14"/>
              </w:rPr>
              <w:t>Corrente</w:t>
            </w:r>
          </w:p>
        </w:tc>
        <w:tc>
          <w:tcPr>
            <w:tcW w:w="847" w:type="dxa"/>
          </w:tcPr>
          <w:p w14:paraId="24CD512C" w14:textId="77777777" w:rsidR="002C6574" w:rsidRDefault="00000000">
            <w:pPr>
              <w:pStyle w:val="TableParagraph"/>
              <w:spacing w:before="15"/>
              <w:ind w:right="359"/>
              <w:rPr>
                <w:rFonts w:ascii="Arial"/>
                <w:b/>
                <w:sz w:val="14"/>
              </w:rPr>
            </w:pPr>
            <w:r>
              <w:rPr>
                <w:rFonts w:ascii="Arial"/>
                <w:b/>
                <w:color w:val="001F60"/>
                <w:spacing w:val="-2"/>
                <w:sz w:val="14"/>
              </w:rPr>
              <w:t>517,89</w:t>
            </w:r>
          </w:p>
        </w:tc>
        <w:tc>
          <w:tcPr>
            <w:tcW w:w="1263" w:type="dxa"/>
            <w:gridSpan w:val="2"/>
          </w:tcPr>
          <w:p w14:paraId="73AFD169" w14:textId="77777777" w:rsidR="002C6574" w:rsidRDefault="00000000">
            <w:pPr>
              <w:pStyle w:val="TableParagraph"/>
              <w:spacing w:before="15"/>
              <w:ind w:left="652"/>
              <w:jc w:val="left"/>
              <w:rPr>
                <w:rFonts w:ascii="Arial"/>
                <w:b/>
                <w:sz w:val="14"/>
              </w:rPr>
            </w:pPr>
            <w:r>
              <w:rPr>
                <w:rFonts w:ascii="Arial"/>
                <w:b/>
                <w:color w:val="001F60"/>
                <w:spacing w:val="-2"/>
                <w:sz w:val="14"/>
              </w:rPr>
              <w:t>656,97</w:t>
            </w:r>
          </w:p>
        </w:tc>
        <w:tc>
          <w:tcPr>
            <w:tcW w:w="1048" w:type="dxa"/>
          </w:tcPr>
          <w:p w14:paraId="3B018D79" w14:textId="77777777" w:rsidR="002C6574" w:rsidRDefault="00000000">
            <w:pPr>
              <w:pStyle w:val="TableParagraph"/>
              <w:spacing w:before="15"/>
              <w:ind w:right="70"/>
              <w:rPr>
                <w:rFonts w:ascii="Arial"/>
                <w:b/>
                <w:sz w:val="14"/>
              </w:rPr>
            </w:pPr>
            <w:r>
              <w:rPr>
                <w:rFonts w:ascii="Arial"/>
                <w:b/>
                <w:color w:val="001F60"/>
                <w:spacing w:val="-4"/>
                <w:sz w:val="14"/>
              </w:rPr>
              <w:t>127%</w:t>
            </w:r>
          </w:p>
        </w:tc>
      </w:tr>
      <w:tr w:rsidR="002C6574" w14:paraId="1E10EB63" w14:textId="77777777">
        <w:trPr>
          <w:trHeight w:val="198"/>
        </w:trPr>
        <w:tc>
          <w:tcPr>
            <w:tcW w:w="5724" w:type="dxa"/>
          </w:tcPr>
          <w:p w14:paraId="3C41394C" w14:textId="77777777" w:rsidR="002C6574" w:rsidRDefault="00000000">
            <w:pPr>
              <w:pStyle w:val="TableParagraph"/>
              <w:spacing w:before="16"/>
              <w:ind w:left="609"/>
              <w:jc w:val="left"/>
              <w:rPr>
                <w:rFonts w:ascii="Arial MT" w:hAnsi="Arial MT"/>
                <w:sz w:val="14"/>
              </w:rPr>
            </w:pPr>
            <w:r>
              <w:rPr>
                <w:rFonts w:ascii="Arial MT" w:hAnsi="Arial MT"/>
                <w:color w:val="001F60"/>
                <w:sz w:val="14"/>
              </w:rPr>
              <w:t>Venda</w:t>
            </w:r>
            <w:r>
              <w:rPr>
                <w:rFonts w:ascii="Arial MT" w:hAnsi="Arial MT"/>
                <w:color w:val="001F60"/>
                <w:spacing w:val="-5"/>
                <w:sz w:val="14"/>
              </w:rPr>
              <w:t xml:space="preserve"> </w:t>
            </w:r>
            <w:r>
              <w:rPr>
                <w:rFonts w:ascii="Arial MT" w:hAnsi="Arial MT"/>
                <w:color w:val="001F60"/>
                <w:sz w:val="14"/>
              </w:rPr>
              <w:t>de</w:t>
            </w:r>
            <w:r>
              <w:rPr>
                <w:rFonts w:ascii="Arial MT" w:hAnsi="Arial MT"/>
                <w:color w:val="001F60"/>
                <w:spacing w:val="-5"/>
                <w:sz w:val="14"/>
              </w:rPr>
              <w:t xml:space="preserve"> </w:t>
            </w:r>
            <w:r>
              <w:rPr>
                <w:rFonts w:ascii="Arial MT" w:hAnsi="Arial MT"/>
                <w:color w:val="001F60"/>
                <w:sz w:val="14"/>
              </w:rPr>
              <w:t>Produtos</w:t>
            </w:r>
            <w:r>
              <w:rPr>
                <w:rFonts w:ascii="Arial MT" w:hAnsi="Arial MT"/>
                <w:color w:val="001F60"/>
                <w:spacing w:val="-1"/>
                <w:sz w:val="14"/>
              </w:rPr>
              <w:t xml:space="preserve"> </w:t>
            </w:r>
            <w:r>
              <w:rPr>
                <w:rFonts w:ascii="Arial MT" w:hAnsi="Arial MT"/>
                <w:color w:val="001F60"/>
                <w:sz w:val="14"/>
              </w:rPr>
              <w:t>de</w:t>
            </w:r>
            <w:r>
              <w:rPr>
                <w:rFonts w:ascii="Arial MT" w:hAnsi="Arial MT"/>
                <w:color w:val="001F60"/>
                <w:spacing w:val="-5"/>
                <w:sz w:val="14"/>
              </w:rPr>
              <w:t xml:space="preserve"> </w:t>
            </w:r>
            <w:r>
              <w:rPr>
                <w:rFonts w:ascii="Arial MT" w:hAnsi="Arial MT"/>
                <w:color w:val="001F60"/>
                <w:spacing w:val="-2"/>
                <w:sz w:val="14"/>
              </w:rPr>
              <w:t>Serviços</w:t>
            </w:r>
          </w:p>
        </w:tc>
        <w:tc>
          <w:tcPr>
            <w:tcW w:w="847" w:type="dxa"/>
          </w:tcPr>
          <w:p w14:paraId="2D3FF0CD" w14:textId="77777777" w:rsidR="002C6574" w:rsidRDefault="00000000">
            <w:pPr>
              <w:pStyle w:val="TableParagraph"/>
              <w:spacing w:before="16"/>
              <w:ind w:right="359"/>
              <w:rPr>
                <w:rFonts w:ascii="Arial MT"/>
                <w:sz w:val="14"/>
              </w:rPr>
            </w:pPr>
            <w:r>
              <w:rPr>
                <w:rFonts w:ascii="Arial MT"/>
                <w:color w:val="001F60"/>
                <w:spacing w:val="-2"/>
                <w:sz w:val="14"/>
              </w:rPr>
              <w:t>122,29</w:t>
            </w:r>
          </w:p>
        </w:tc>
        <w:tc>
          <w:tcPr>
            <w:tcW w:w="1263" w:type="dxa"/>
            <w:gridSpan w:val="2"/>
          </w:tcPr>
          <w:p w14:paraId="0905BA4C" w14:textId="77777777" w:rsidR="002C6574" w:rsidRDefault="00000000">
            <w:pPr>
              <w:pStyle w:val="TableParagraph"/>
              <w:spacing w:before="16"/>
              <w:ind w:left="652"/>
              <w:jc w:val="left"/>
              <w:rPr>
                <w:rFonts w:ascii="Arial MT"/>
                <w:sz w:val="14"/>
              </w:rPr>
            </w:pPr>
            <w:r>
              <w:rPr>
                <w:rFonts w:ascii="Arial MT"/>
                <w:color w:val="001F60"/>
                <w:spacing w:val="-2"/>
                <w:sz w:val="14"/>
              </w:rPr>
              <w:t>193,07</w:t>
            </w:r>
          </w:p>
        </w:tc>
        <w:tc>
          <w:tcPr>
            <w:tcW w:w="1048" w:type="dxa"/>
          </w:tcPr>
          <w:p w14:paraId="3BC8B693" w14:textId="77777777" w:rsidR="002C6574" w:rsidRDefault="00000000">
            <w:pPr>
              <w:pStyle w:val="TableParagraph"/>
              <w:spacing w:before="16"/>
              <w:ind w:right="72"/>
              <w:rPr>
                <w:rFonts w:ascii="Arial MT"/>
                <w:sz w:val="14"/>
              </w:rPr>
            </w:pPr>
            <w:r>
              <w:rPr>
                <w:rFonts w:ascii="Arial MT"/>
                <w:color w:val="001F60"/>
                <w:spacing w:val="-4"/>
                <w:sz w:val="14"/>
              </w:rPr>
              <w:t>158%</w:t>
            </w:r>
          </w:p>
        </w:tc>
      </w:tr>
      <w:tr w:rsidR="002C6574" w14:paraId="76D56710" w14:textId="77777777">
        <w:trPr>
          <w:trHeight w:val="197"/>
        </w:trPr>
        <w:tc>
          <w:tcPr>
            <w:tcW w:w="5724" w:type="dxa"/>
          </w:tcPr>
          <w:p w14:paraId="0A230178" w14:textId="77777777" w:rsidR="002C6574" w:rsidRDefault="00000000">
            <w:pPr>
              <w:pStyle w:val="TableParagraph"/>
              <w:spacing w:before="15"/>
              <w:ind w:left="609"/>
              <w:jc w:val="left"/>
              <w:rPr>
                <w:rFonts w:ascii="Arial MT"/>
                <w:sz w:val="14"/>
              </w:rPr>
            </w:pPr>
            <w:r>
              <w:rPr>
                <w:rFonts w:ascii="Arial MT"/>
                <w:color w:val="001F60"/>
                <w:spacing w:val="-2"/>
                <w:sz w:val="14"/>
              </w:rPr>
              <w:t>Aluguel</w:t>
            </w:r>
          </w:p>
        </w:tc>
        <w:tc>
          <w:tcPr>
            <w:tcW w:w="847" w:type="dxa"/>
          </w:tcPr>
          <w:p w14:paraId="7BFC1D86" w14:textId="77777777" w:rsidR="002C6574" w:rsidRDefault="00000000">
            <w:pPr>
              <w:pStyle w:val="TableParagraph"/>
              <w:spacing w:before="15"/>
              <w:ind w:right="360"/>
              <w:rPr>
                <w:rFonts w:ascii="Arial MT"/>
                <w:sz w:val="14"/>
              </w:rPr>
            </w:pPr>
            <w:r>
              <w:rPr>
                <w:rFonts w:ascii="Arial MT"/>
                <w:color w:val="001F60"/>
                <w:spacing w:val="-2"/>
                <w:sz w:val="14"/>
              </w:rPr>
              <w:t>18,34</w:t>
            </w:r>
          </w:p>
        </w:tc>
        <w:tc>
          <w:tcPr>
            <w:tcW w:w="1263" w:type="dxa"/>
            <w:gridSpan w:val="2"/>
          </w:tcPr>
          <w:p w14:paraId="1205A215" w14:textId="77777777" w:rsidR="002C6574" w:rsidRDefault="00000000">
            <w:pPr>
              <w:pStyle w:val="TableParagraph"/>
              <w:spacing w:before="15"/>
              <w:ind w:left="729"/>
              <w:jc w:val="left"/>
              <w:rPr>
                <w:rFonts w:ascii="Arial MT"/>
                <w:sz w:val="14"/>
              </w:rPr>
            </w:pPr>
            <w:r>
              <w:rPr>
                <w:rFonts w:ascii="Arial MT"/>
                <w:color w:val="001F60"/>
                <w:spacing w:val="-2"/>
                <w:sz w:val="14"/>
              </w:rPr>
              <w:t>24,01</w:t>
            </w:r>
          </w:p>
        </w:tc>
        <w:tc>
          <w:tcPr>
            <w:tcW w:w="1048" w:type="dxa"/>
          </w:tcPr>
          <w:p w14:paraId="7D27B19A" w14:textId="77777777" w:rsidR="002C6574" w:rsidRDefault="00000000">
            <w:pPr>
              <w:pStyle w:val="TableParagraph"/>
              <w:spacing w:before="15"/>
              <w:ind w:right="72"/>
              <w:rPr>
                <w:rFonts w:ascii="Arial MT"/>
                <w:sz w:val="14"/>
              </w:rPr>
            </w:pPr>
            <w:r>
              <w:rPr>
                <w:rFonts w:ascii="Arial MT"/>
                <w:color w:val="001F60"/>
                <w:spacing w:val="-4"/>
                <w:sz w:val="14"/>
              </w:rPr>
              <w:t>131%</w:t>
            </w:r>
          </w:p>
        </w:tc>
      </w:tr>
      <w:tr w:rsidR="002C6574" w14:paraId="1878BB7F" w14:textId="77777777">
        <w:trPr>
          <w:trHeight w:val="197"/>
        </w:trPr>
        <w:tc>
          <w:tcPr>
            <w:tcW w:w="5724" w:type="dxa"/>
          </w:tcPr>
          <w:p w14:paraId="73DFD668" w14:textId="77777777" w:rsidR="002C6574" w:rsidRDefault="00000000">
            <w:pPr>
              <w:pStyle w:val="TableParagraph"/>
              <w:spacing w:before="16"/>
              <w:ind w:left="609"/>
              <w:jc w:val="left"/>
              <w:rPr>
                <w:rFonts w:ascii="Arial MT" w:hAnsi="Arial MT"/>
                <w:sz w:val="14"/>
              </w:rPr>
            </w:pPr>
            <w:r>
              <w:rPr>
                <w:rFonts w:ascii="Arial MT" w:hAnsi="Arial MT"/>
                <w:color w:val="001F60"/>
                <w:sz w:val="14"/>
              </w:rPr>
              <w:t>Recuperação</w:t>
            </w:r>
            <w:r>
              <w:rPr>
                <w:rFonts w:ascii="Arial MT" w:hAnsi="Arial MT"/>
                <w:color w:val="001F60"/>
                <w:spacing w:val="-4"/>
                <w:sz w:val="14"/>
              </w:rPr>
              <w:t xml:space="preserve"> </w:t>
            </w:r>
            <w:r>
              <w:rPr>
                <w:rFonts w:ascii="Arial MT" w:hAnsi="Arial MT"/>
                <w:color w:val="001F60"/>
                <w:sz w:val="14"/>
              </w:rPr>
              <w:t>de</w:t>
            </w:r>
            <w:r>
              <w:rPr>
                <w:rFonts w:ascii="Arial MT" w:hAnsi="Arial MT"/>
                <w:color w:val="001F60"/>
                <w:spacing w:val="-5"/>
                <w:sz w:val="14"/>
              </w:rPr>
              <w:t xml:space="preserve"> </w:t>
            </w:r>
            <w:r>
              <w:rPr>
                <w:rFonts w:ascii="Arial MT" w:hAnsi="Arial MT"/>
                <w:color w:val="001F60"/>
                <w:sz w:val="14"/>
              </w:rPr>
              <w:t>Encargos</w:t>
            </w:r>
            <w:r>
              <w:rPr>
                <w:rFonts w:ascii="Arial MT" w:hAnsi="Arial MT"/>
                <w:color w:val="001F60"/>
                <w:spacing w:val="-4"/>
                <w:sz w:val="14"/>
              </w:rPr>
              <w:t xml:space="preserve"> </w:t>
            </w:r>
            <w:r>
              <w:rPr>
                <w:rFonts w:ascii="Arial MT" w:hAnsi="Arial MT"/>
                <w:color w:val="001F60"/>
                <w:sz w:val="14"/>
              </w:rPr>
              <w:t>e</w:t>
            </w:r>
            <w:r>
              <w:rPr>
                <w:rFonts w:ascii="Arial MT" w:hAnsi="Arial MT"/>
                <w:color w:val="001F60"/>
                <w:spacing w:val="-4"/>
                <w:sz w:val="14"/>
              </w:rPr>
              <w:t xml:space="preserve"> </w:t>
            </w:r>
            <w:r>
              <w:rPr>
                <w:rFonts w:ascii="Arial MT" w:hAnsi="Arial MT"/>
                <w:color w:val="001F60"/>
                <w:spacing w:val="-2"/>
                <w:sz w:val="14"/>
              </w:rPr>
              <w:t>Despesas</w:t>
            </w:r>
          </w:p>
        </w:tc>
        <w:tc>
          <w:tcPr>
            <w:tcW w:w="847" w:type="dxa"/>
          </w:tcPr>
          <w:p w14:paraId="6D314EE3" w14:textId="77777777" w:rsidR="002C6574" w:rsidRDefault="00000000">
            <w:pPr>
              <w:pStyle w:val="TableParagraph"/>
              <w:spacing w:before="16"/>
              <w:ind w:right="359"/>
              <w:rPr>
                <w:rFonts w:ascii="Arial MT"/>
                <w:sz w:val="14"/>
              </w:rPr>
            </w:pPr>
            <w:r>
              <w:rPr>
                <w:rFonts w:ascii="Arial MT"/>
                <w:color w:val="001F60"/>
                <w:spacing w:val="-4"/>
                <w:sz w:val="14"/>
              </w:rPr>
              <w:t>5,19</w:t>
            </w:r>
          </w:p>
        </w:tc>
        <w:tc>
          <w:tcPr>
            <w:tcW w:w="1263" w:type="dxa"/>
            <w:gridSpan w:val="2"/>
          </w:tcPr>
          <w:p w14:paraId="17AC4517" w14:textId="77777777" w:rsidR="002C6574" w:rsidRDefault="00000000">
            <w:pPr>
              <w:pStyle w:val="TableParagraph"/>
              <w:spacing w:before="16"/>
              <w:ind w:left="806"/>
              <w:jc w:val="left"/>
              <w:rPr>
                <w:rFonts w:ascii="Arial MT"/>
                <w:sz w:val="14"/>
              </w:rPr>
            </w:pPr>
            <w:r>
              <w:rPr>
                <w:rFonts w:ascii="Arial MT"/>
                <w:color w:val="001F60"/>
                <w:spacing w:val="-4"/>
                <w:sz w:val="14"/>
              </w:rPr>
              <w:t>7,03</w:t>
            </w:r>
          </w:p>
        </w:tc>
        <w:tc>
          <w:tcPr>
            <w:tcW w:w="1048" w:type="dxa"/>
          </w:tcPr>
          <w:p w14:paraId="46E3491D" w14:textId="77777777" w:rsidR="002C6574" w:rsidRDefault="00000000">
            <w:pPr>
              <w:pStyle w:val="TableParagraph"/>
              <w:spacing w:before="16"/>
              <w:ind w:right="72"/>
              <w:rPr>
                <w:rFonts w:ascii="Arial MT"/>
                <w:sz w:val="14"/>
              </w:rPr>
            </w:pPr>
            <w:r>
              <w:rPr>
                <w:rFonts w:ascii="Arial MT"/>
                <w:color w:val="001F60"/>
                <w:spacing w:val="-4"/>
                <w:sz w:val="14"/>
              </w:rPr>
              <w:t>135%</w:t>
            </w:r>
          </w:p>
        </w:tc>
      </w:tr>
      <w:tr w:rsidR="002C6574" w14:paraId="3D0098E2" w14:textId="77777777">
        <w:trPr>
          <w:trHeight w:val="198"/>
        </w:trPr>
        <w:tc>
          <w:tcPr>
            <w:tcW w:w="5724" w:type="dxa"/>
          </w:tcPr>
          <w:p w14:paraId="6ABDC86E" w14:textId="77777777" w:rsidR="002C6574" w:rsidRDefault="00000000">
            <w:pPr>
              <w:pStyle w:val="TableParagraph"/>
              <w:spacing w:before="15"/>
              <w:ind w:left="609"/>
              <w:jc w:val="left"/>
              <w:rPr>
                <w:rFonts w:ascii="Arial MT"/>
                <w:sz w:val="14"/>
              </w:rPr>
            </w:pPr>
            <w:r>
              <w:rPr>
                <w:rFonts w:ascii="Arial MT"/>
                <w:color w:val="001F60"/>
                <w:sz w:val="14"/>
              </w:rPr>
              <w:t>Receitas</w:t>
            </w:r>
            <w:r>
              <w:rPr>
                <w:rFonts w:ascii="Arial MT"/>
                <w:color w:val="001F60"/>
                <w:spacing w:val="-5"/>
                <w:sz w:val="14"/>
              </w:rPr>
              <w:t xml:space="preserve"> </w:t>
            </w:r>
            <w:r>
              <w:rPr>
                <w:rFonts w:ascii="Arial MT"/>
                <w:color w:val="001F60"/>
                <w:spacing w:val="-2"/>
                <w:sz w:val="14"/>
              </w:rPr>
              <w:t>Financeiras</w:t>
            </w:r>
          </w:p>
        </w:tc>
        <w:tc>
          <w:tcPr>
            <w:tcW w:w="847" w:type="dxa"/>
          </w:tcPr>
          <w:p w14:paraId="0DBF273D" w14:textId="77777777" w:rsidR="002C6574" w:rsidRDefault="00000000">
            <w:pPr>
              <w:pStyle w:val="TableParagraph"/>
              <w:spacing w:before="15"/>
              <w:ind w:right="359"/>
              <w:rPr>
                <w:rFonts w:ascii="Arial MT"/>
                <w:sz w:val="14"/>
              </w:rPr>
            </w:pPr>
            <w:r>
              <w:rPr>
                <w:rFonts w:ascii="Arial MT"/>
                <w:color w:val="001F60"/>
                <w:spacing w:val="-2"/>
                <w:sz w:val="14"/>
              </w:rPr>
              <w:t>52,81</w:t>
            </w:r>
          </w:p>
        </w:tc>
        <w:tc>
          <w:tcPr>
            <w:tcW w:w="1263" w:type="dxa"/>
            <w:gridSpan w:val="2"/>
          </w:tcPr>
          <w:p w14:paraId="79510BA0" w14:textId="77777777" w:rsidR="002C6574" w:rsidRDefault="00000000">
            <w:pPr>
              <w:pStyle w:val="TableParagraph"/>
              <w:spacing w:before="15"/>
              <w:ind w:left="729"/>
              <w:jc w:val="left"/>
              <w:rPr>
                <w:rFonts w:ascii="Arial MT"/>
                <w:sz w:val="14"/>
              </w:rPr>
            </w:pPr>
            <w:r>
              <w:rPr>
                <w:rFonts w:ascii="Arial MT"/>
                <w:color w:val="001F60"/>
                <w:spacing w:val="-2"/>
                <w:sz w:val="14"/>
              </w:rPr>
              <w:t>68,49</w:t>
            </w:r>
          </w:p>
        </w:tc>
        <w:tc>
          <w:tcPr>
            <w:tcW w:w="1048" w:type="dxa"/>
          </w:tcPr>
          <w:p w14:paraId="3537E95E" w14:textId="77777777" w:rsidR="002C6574" w:rsidRDefault="00000000">
            <w:pPr>
              <w:pStyle w:val="TableParagraph"/>
              <w:spacing w:before="15"/>
              <w:ind w:right="72"/>
              <w:rPr>
                <w:rFonts w:ascii="Arial MT"/>
                <w:sz w:val="14"/>
              </w:rPr>
            </w:pPr>
            <w:r>
              <w:rPr>
                <w:rFonts w:ascii="Arial MT"/>
                <w:color w:val="001F60"/>
                <w:spacing w:val="-4"/>
                <w:sz w:val="14"/>
              </w:rPr>
              <w:t>130%</w:t>
            </w:r>
          </w:p>
        </w:tc>
      </w:tr>
      <w:tr w:rsidR="002C6574" w14:paraId="7A0B465C" w14:textId="77777777">
        <w:trPr>
          <w:trHeight w:val="198"/>
        </w:trPr>
        <w:tc>
          <w:tcPr>
            <w:tcW w:w="5724" w:type="dxa"/>
          </w:tcPr>
          <w:p w14:paraId="5AF5F8DB" w14:textId="77777777" w:rsidR="002C6574" w:rsidRDefault="00000000">
            <w:pPr>
              <w:pStyle w:val="TableParagraph"/>
              <w:spacing w:before="16"/>
              <w:ind w:left="609"/>
              <w:jc w:val="left"/>
              <w:rPr>
                <w:rFonts w:ascii="Arial MT" w:hAnsi="Arial MT"/>
                <w:sz w:val="14"/>
              </w:rPr>
            </w:pPr>
            <w:r>
              <w:rPr>
                <w:rFonts w:ascii="Arial MT" w:hAnsi="Arial MT"/>
                <w:color w:val="001F60"/>
                <w:sz w:val="14"/>
              </w:rPr>
              <w:t>Subvenção</w:t>
            </w:r>
            <w:r>
              <w:rPr>
                <w:rFonts w:ascii="Arial MT" w:hAnsi="Arial MT"/>
                <w:color w:val="001F60"/>
                <w:spacing w:val="-11"/>
                <w:sz w:val="14"/>
              </w:rPr>
              <w:t xml:space="preserve"> </w:t>
            </w:r>
            <w:r>
              <w:rPr>
                <w:rFonts w:ascii="Arial MT" w:hAnsi="Arial MT"/>
                <w:color w:val="001F60"/>
                <w:spacing w:val="-2"/>
                <w:sz w:val="14"/>
              </w:rPr>
              <w:t>Econômica</w:t>
            </w:r>
          </w:p>
        </w:tc>
        <w:tc>
          <w:tcPr>
            <w:tcW w:w="847" w:type="dxa"/>
          </w:tcPr>
          <w:p w14:paraId="2958D2D6" w14:textId="77777777" w:rsidR="002C6574" w:rsidRDefault="00000000">
            <w:pPr>
              <w:pStyle w:val="TableParagraph"/>
              <w:spacing w:before="16"/>
              <w:ind w:right="359"/>
              <w:rPr>
                <w:rFonts w:ascii="Arial MT"/>
                <w:sz w:val="14"/>
              </w:rPr>
            </w:pPr>
            <w:r>
              <w:rPr>
                <w:rFonts w:ascii="Arial MT"/>
                <w:color w:val="001F60"/>
                <w:spacing w:val="-2"/>
                <w:sz w:val="14"/>
              </w:rPr>
              <w:t>294,76</w:t>
            </w:r>
          </w:p>
        </w:tc>
        <w:tc>
          <w:tcPr>
            <w:tcW w:w="1263" w:type="dxa"/>
            <w:gridSpan w:val="2"/>
          </w:tcPr>
          <w:p w14:paraId="4F9D1716" w14:textId="77777777" w:rsidR="002C6574" w:rsidRDefault="00000000">
            <w:pPr>
              <w:pStyle w:val="TableParagraph"/>
              <w:spacing w:before="16"/>
              <w:ind w:left="652"/>
              <w:jc w:val="left"/>
              <w:rPr>
                <w:rFonts w:ascii="Arial MT"/>
                <w:sz w:val="14"/>
              </w:rPr>
            </w:pPr>
            <w:r>
              <w:rPr>
                <w:rFonts w:ascii="Arial MT"/>
                <w:color w:val="001F60"/>
                <w:spacing w:val="-2"/>
                <w:sz w:val="14"/>
              </w:rPr>
              <w:t>242,02</w:t>
            </w:r>
          </w:p>
        </w:tc>
        <w:tc>
          <w:tcPr>
            <w:tcW w:w="1048" w:type="dxa"/>
          </w:tcPr>
          <w:p w14:paraId="588B7B6F" w14:textId="77777777" w:rsidR="002C6574" w:rsidRDefault="00000000">
            <w:pPr>
              <w:pStyle w:val="TableParagraph"/>
              <w:spacing w:before="16"/>
              <w:ind w:right="73"/>
              <w:rPr>
                <w:rFonts w:ascii="Arial MT"/>
                <w:sz w:val="14"/>
              </w:rPr>
            </w:pPr>
            <w:r>
              <w:rPr>
                <w:rFonts w:ascii="Arial MT"/>
                <w:color w:val="001F60"/>
                <w:spacing w:val="-5"/>
                <w:sz w:val="14"/>
              </w:rPr>
              <w:t>82%</w:t>
            </w:r>
          </w:p>
        </w:tc>
      </w:tr>
      <w:tr w:rsidR="002C6574" w14:paraId="3A3EF221" w14:textId="77777777">
        <w:trPr>
          <w:trHeight w:val="194"/>
        </w:trPr>
        <w:tc>
          <w:tcPr>
            <w:tcW w:w="5724" w:type="dxa"/>
            <w:tcBorders>
              <w:bottom w:val="single" w:sz="4" w:space="0" w:color="001F60"/>
            </w:tcBorders>
          </w:tcPr>
          <w:p w14:paraId="1D972CFD" w14:textId="77777777" w:rsidR="002C6574" w:rsidRDefault="00000000">
            <w:pPr>
              <w:pStyle w:val="TableParagraph"/>
              <w:spacing w:before="15" w:line="159" w:lineRule="exact"/>
              <w:ind w:left="609"/>
              <w:jc w:val="left"/>
              <w:rPr>
                <w:rFonts w:ascii="Arial MT"/>
                <w:sz w:val="14"/>
              </w:rPr>
            </w:pPr>
            <w:r>
              <w:rPr>
                <w:rFonts w:ascii="Arial MT"/>
                <w:color w:val="001F60"/>
                <w:sz w:val="14"/>
              </w:rPr>
              <w:t>Outras</w:t>
            </w:r>
            <w:r>
              <w:rPr>
                <w:rFonts w:ascii="Arial MT"/>
                <w:color w:val="001F60"/>
                <w:spacing w:val="-6"/>
                <w:sz w:val="14"/>
              </w:rPr>
              <w:t xml:space="preserve"> </w:t>
            </w:r>
            <w:r>
              <w:rPr>
                <w:rFonts w:ascii="Arial MT"/>
                <w:color w:val="001F60"/>
                <w:sz w:val="14"/>
              </w:rPr>
              <w:t>Receitas</w:t>
            </w:r>
            <w:r>
              <w:rPr>
                <w:rFonts w:ascii="Arial MT"/>
                <w:color w:val="001F60"/>
                <w:spacing w:val="-3"/>
                <w:sz w:val="14"/>
              </w:rPr>
              <w:t xml:space="preserve"> </w:t>
            </w:r>
            <w:r>
              <w:rPr>
                <w:rFonts w:ascii="Arial MT"/>
                <w:color w:val="001F60"/>
                <w:spacing w:val="-2"/>
                <w:sz w:val="14"/>
              </w:rPr>
              <w:t>Correntes</w:t>
            </w:r>
          </w:p>
        </w:tc>
        <w:tc>
          <w:tcPr>
            <w:tcW w:w="847" w:type="dxa"/>
            <w:tcBorders>
              <w:bottom w:val="single" w:sz="4" w:space="0" w:color="001F60"/>
            </w:tcBorders>
          </w:tcPr>
          <w:p w14:paraId="4BA5993C" w14:textId="77777777" w:rsidR="002C6574" w:rsidRDefault="00000000">
            <w:pPr>
              <w:pStyle w:val="TableParagraph"/>
              <w:spacing w:before="15" w:line="159" w:lineRule="exact"/>
              <w:ind w:right="359"/>
              <w:rPr>
                <w:rFonts w:ascii="Arial MT"/>
                <w:sz w:val="14"/>
              </w:rPr>
            </w:pPr>
            <w:r>
              <w:rPr>
                <w:rFonts w:ascii="Arial MT"/>
                <w:color w:val="001F60"/>
                <w:spacing w:val="-2"/>
                <w:sz w:val="14"/>
              </w:rPr>
              <w:t>24,50</w:t>
            </w:r>
          </w:p>
        </w:tc>
        <w:tc>
          <w:tcPr>
            <w:tcW w:w="1263" w:type="dxa"/>
            <w:gridSpan w:val="2"/>
            <w:tcBorders>
              <w:bottom w:val="single" w:sz="4" w:space="0" w:color="001F60"/>
            </w:tcBorders>
          </w:tcPr>
          <w:p w14:paraId="2AF47CE6" w14:textId="77777777" w:rsidR="002C6574" w:rsidRDefault="00000000">
            <w:pPr>
              <w:pStyle w:val="TableParagraph"/>
              <w:spacing w:before="15" w:line="159" w:lineRule="exact"/>
              <w:ind w:left="652"/>
              <w:jc w:val="left"/>
              <w:rPr>
                <w:rFonts w:ascii="Arial MT"/>
                <w:sz w:val="14"/>
              </w:rPr>
            </w:pPr>
            <w:r>
              <w:rPr>
                <w:rFonts w:ascii="Arial MT"/>
                <w:color w:val="001F60"/>
                <w:spacing w:val="-2"/>
                <w:sz w:val="14"/>
              </w:rPr>
              <w:t>122,34</w:t>
            </w:r>
          </w:p>
        </w:tc>
        <w:tc>
          <w:tcPr>
            <w:tcW w:w="1048" w:type="dxa"/>
            <w:tcBorders>
              <w:bottom w:val="single" w:sz="4" w:space="0" w:color="001F60"/>
            </w:tcBorders>
          </w:tcPr>
          <w:p w14:paraId="00683ED4" w14:textId="77777777" w:rsidR="002C6574" w:rsidRDefault="00000000">
            <w:pPr>
              <w:pStyle w:val="TableParagraph"/>
              <w:spacing w:before="15" w:line="159" w:lineRule="exact"/>
              <w:ind w:right="72"/>
              <w:rPr>
                <w:rFonts w:ascii="Arial MT"/>
                <w:sz w:val="14"/>
              </w:rPr>
            </w:pPr>
            <w:r>
              <w:rPr>
                <w:rFonts w:ascii="Arial MT"/>
                <w:color w:val="001F60"/>
                <w:spacing w:val="-4"/>
                <w:sz w:val="14"/>
              </w:rPr>
              <w:t>499%</w:t>
            </w:r>
          </w:p>
        </w:tc>
      </w:tr>
      <w:tr w:rsidR="002C6574" w14:paraId="53891F05" w14:textId="77777777">
        <w:trPr>
          <w:trHeight w:val="198"/>
        </w:trPr>
        <w:tc>
          <w:tcPr>
            <w:tcW w:w="5724" w:type="dxa"/>
            <w:tcBorders>
              <w:top w:val="single" w:sz="4" w:space="0" w:color="001F60"/>
              <w:bottom w:val="single" w:sz="4" w:space="0" w:color="001F60"/>
            </w:tcBorders>
          </w:tcPr>
          <w:p w14:paraId="1BDBAECA" w14:textId="77777777" w:rsidR="002C6574" w:rsidRDefault="00000000">
            <w:pPr>
              <w:pStyle w:val="TableParagraph"/>
              <w:spacing w:before="19" w:line="159" w:lineRule="exact"/>
              <w:ind w:left="69"/>
              <w:jc w:val="left"/>
              <w:rPr>
                <w:rFonts w:ascii="Arial"/>
                <w:b/>
                <w:sz w:val="14"/>
              </w:rPr>
            </w:pPr>
            <w:r>
              <w:rPr>
                <w:rFonts w:ascii="Arial"/>
                <w:b/>
                <w:color w:val="001F60"/>
                <w:spacing w:val="-2"/>
                <w:sz w:val="14"/>
              </w:rPr>
              <w:t>TOTAL</w:t>
            </w:r>
          </w:p>
        </w:tc>
        <w:tc>
          <w:tcPr>
            <w:tcW w:w="847" w:type="dxa"/>
            <w:tcBorders>
              <w:top w:val="single" w:sz="4" w:space="0" w:color="001F60"/>
              <w:bottom w:val="single" w:sz="4" w:space="0" w:color="001F60"/>
            </w:tcBorders>
          </w:tcPr>
          <w:p w14:paraId="55CD323B" w14:textId="77777777" w:rsidR="002C6574" w:rsidRDefault="00000000">
            <w:pPr>
              <w:pStyle w:val="TableParagraph"/>
              <w:spacing w:before="19" w:line="159" w:lineRule="exact"/>
              <w:ind w:right="359"/>
              <w:rPr>
                <w:rFonts w:ascii="Arial"/>
                <w:b/>
                <w:sz w:val="14"/>
              </w:rPr>
            </w:pPr>
            <w:r>
              <w:rPr>
                <w:rFonts w:ascii="Arial"/>
                <w:b/>
                <w:color w:val="001F60"/>
                <w:spacing w:val="-2"/>
                <w:sz w:val="14"/>
              </w:rPr>
              <w:t>525,99</w:t>
            </w:r>
          </w:p>
        </w:tc>
        <w:tc>
          <w:tcPr>
            <w:tcW w:w="1263" w:type="dxa"/>
            <w:gridSpan w:val="2"/>
            <w:tcBorders>
              <w:top w:val="single" w:sz="4" w:space="0" w:color="001F60"/>
              <w:bottom w:val="single" w:sz="4" w:space="0" w:color="001F60"/>
            </w:tcBorders>
          </w:tcPr>
          <w:p w14:paraId="3C0CD9C6" w14:textId="77777777" w:rsidR="002C6574" w:rsidRDefault="00000000">
            <w:pPr>
              <w:pStyle w:val="TableParagraph"/>
              <w:spacing w:before="19" w:line="159" w:lineRule="exact"/>
              <w:ind w:left="652"/>
              <w:jc w:val="left"/>
              <w:rPr>
                <w:rFonts w:ascii="Arial"/>
                <w:b/>
                <w:sz w:val="14"/>
              </w:rPr>
            </w:pPr>
            <w:r>
              <w:rPr>
                <w:rFonts w:ascii="Arial"/>
                <w:b/>
                <w:color w:val="001F60"/>
                <w:spacing w:val="-2"/>
                <w:sz w:val="14"/>
              </w:rPr>
              <w:t>665,55</w:t>
            </w:r>
          </w:p>
        </w:tc>
        <w:tc>
          <w:tcPr>
            <w:tcW w:w="1048" w:type="dxa"/>
            <w:tcBorders>
              <w:top w:val="single" w:sz="4" w:space="0" w:color="001F60"/>
              <w:bottom w:val="single" w:sz="4" w:space="0" w:color="001F60"/>
            </w:tcBorders>
          </w:tcPr>
          <w:p w14:paraId="540B60B0" w14:textId="77777777" w:rsidR="002C6574" w:rsidRDefault="00000000">
            <w:pPr>
              <w:pStyle w:val="TableParagraph"/>
              <w:spacing w:before="19" w:line="159" w:lineRule="exact"/>
              <w:ind w:right="70"/>
              <w:rPr>
                <w:rFonts w:ascii="Arial"/>
                <w:b/>
                <w:sz w:val="14"/>
              </w:rPr>
            </w:pPr>
            <w:r>
              <w:rPr>
                <w:rFonts w:ascii="Arial"/>
                <w:b/>
                <w:color w:val="001F60"/>
                <w:spacing w:val="-4"/>
                <w:sz w:val="14"/>
              </w:rPr>
              <w:t>127%</w:t>
            </w:r>
          </w:p>
        </w:tc>
      </w:tr>
      <w:tr w:rsidR="002C6574" w14:paraId="3A6F41B0" w14:textId="77777777">
        <w:trPr>
          <w:trHeight w:val="180"/>
        </w:trPr>
        <w:tc>
          <w:tcPr>
            <w:tcW w:w="5724" w:type="dxa"/>
            <w:tcBorders>
              <w:top w:val="single" w:sz="4" w:space="0" w:color="001F60"/>
            </w:tcBorders>
          </w:tcPr>
          <w:p w14:paraId="4E77EFE9" w14:textId="77777777" w:rsidR="002C6574" w:rsidRDefault="00000000">
            <w:pPr>
              <w:pStyle w:val="TableParagraph"/>
              <w:spacing w:before="19" w:line="141" w:lineRule="exact"/>
              <w:ind w:left="69"/>
              <w:jc w:val="left"/>
              <w:rPr>
                <w:rFonts w:ascii="Arial" w:hAnsi="Arial"/>
                <w:i/>
                <w:sz w:val="14"/>
              </w:rPr>
            </w:pPr>
            <w:r>
              <w:rPr>
                <w:rFonts w:ascii="Arial" w:hAnsi="Arial"/>
                <w:b/>
                <w:color w:val="001F60"/>
                <w:sz w:val="14"/>
              </w:rPr>
              <w:t>Fonte:</w:t>
            </w:r>
            <w:r>
              <w:rPr>
                <w:rFonts w:ascii="Arial" w:hAnsi="Arial"/>
                <w:b/>
                <w:color w:val="001F60"/>
                <w:spacing w:val="-4"/>
                <w:sz w:val="14"/>
              </w:rPr>
              <w:t xml:space="preserve"> </w:t>
            </w:r>
            <w:r>
              <w:rPr>
                <w:rFonts w:ascii="Arial" w:hAnsi="Arial"/>
                <w:i/>
                <w:color w:val="001F60"/>
                <w:sz w:val="14"/>
              </w:rPr>
              <w:t>SIEST</w:t>
            </w:r>
            <w:r>
              <w:rPr>
                <w:rFonts w:ascii="Arial" w:hAnsi="Arial"/>
                <w:i/>
                <w:color w:val="001F60"/>
                <w:spacing w:val="-4"/>
                <w:sz w:val="14"/>
              </w:rPr>
              <w:t xml:space="preserve"> </w:t>
            </w:r>
            <w:r>
              <w:rPr>
                <w:rFonts w:ascii="Arial" w:hAnsi="Arial"/>
                <w:i/>
                <w:color w:val="001F60"/>
                <w:sz w:val="14"/>
              </w:rPr>
              <w:t>-</w:t>
            </w:r>
            <w:r>
              <w:rPr>
                <w:rFonts w:ascii="Arial" w:hAnsi="Arial"/>
                <w:i/>
                <w:color w:val="001F60"/>
                <w:spacing w:val="-5"/>
                <w:sz w:val="14"/>
              </w:rPr>
              <w:t xml:space="preserve"> </w:t>
            </w:r>
            <w:r>
              <w:rPr>
                <w:rFonts w:ascii="Arial" w:hAnsi="Arial"/>
                <w:i/>
                <w:color w:val="001F60"/>
                <w:sz w:val="14"/>
              </w:rPr>
              <w:t>Sistema</w:t>
            </w:r>
            <w:r>
              <w:rPr>
                <w:rFonts w:ascii="Arial" w:hAnsi="Arial"/>
                <w:i/>
                <w:color w:val="001F60"/>
                <w:spacing w:val="-4"/>
                <w:sz w:val="14"/>
              </w:rPr>
              <w:t xml:space="preserve"> </w:t>
            </w:r>
            <w:r>
              <w:rPr>
                <w:rFonts w:ascii="Arial" w:hAnsi="Arial"/>
                <w:i/>
                <w:color w:val="001F60"/>
                <w:sz w:val="14"/>
              </w:rPr>
              <w:t>de</w:t>
            </w:r>
            <w:r>
              <w:rPr>
                <w:rFonts w:ascii="Arial" w:hAnsi="Arial"/>
                <w:i/>
                <w:color w:val="001F60"/>
                <w:spacing w:val="-5"/>
                <w:sz w:val="14"/>
              </w:rPr>
              <w:t xml:space="preserve"> </w:t>
            </w:r>
            <w:r>
              <w:rPr>
                <w:rFonts w:ascii="Arial" w:hAnsi="Arial"/>
                <w:i/>
                <w:color w:val="001F60"/>
                <w:sz w:val="14"/>
              </w:rPr>
              <w:t>Informação</w:t>
            </w:r>
            <w:r>
              <w:rPr>
                <w:rFonts w:ascii="Arial" w:hAnsi="Arial"/>
                <w:i/>
                <w:color w:val="001F60"/>
                <w:spacing w:val="-2"/>
                <w:sz w:val="14"/>
              </w:rPr>
              <w:t xml:space="preserve"> </w:t>
            </w:r>
            <w:r>
              <w:rPr>
                <w:rFonts w:ascii="Arial" w:hAnsi="Arial"/>
                <w:i/>
                <w:color w:val="001F60"/>
                <w:sz w:val="14"/>
              </w:rPr>
              <w:t>das</w:t>
            </w:r>
            <w:r>
              <w:rPr>
                <w:rFonts w:ascii="Arial" w:hAnsi="Arial"/>
                <w:i/>
                <w:color w:val="001F60"/>
                <w:spacing w:val="-4"/>
                <w:sz w:val="14"/>
              </w:rPr>
              <w:t xml:space="preserve"> </w:t>
            </w:r>
            <w:r>
              <w:rPr>
                <w:rFonts w:ascii="Arial" w:hAnsi="Arial"/>
                <w:i/>
                <w:color w:val="001F60"/>
                <w:sz w:val="14"/>
              </w:rPr>
              <w:t>Estatais:</w:t>
            </w:r>
            <w:r>
              <w:rPr>
                <w:rFonts w:ascii="Arial" w:hAnsi="Arial"/>
                <w:i/>
                <w:color w:val="001F60"/>
                <w:spacing w:val="-2"/>
                <w:sz w:val="14"/>
              </w:rPr>
              <w:t xml:space="preserve"> 23/1/2026</w:t>
            </w:r>
          </w:p>
        </w:tc>
        <w:tc>
          <w:tcPr>
            <w:tcW w:w="847" w:type="dxa"/>
            <w:tcBorders>
              <w:top w:val="single" w:sz="4" w:space="0" w:color="001F60"/>
            </w:tcBorders>
          </w:tcPr>
          <w:p w14:paraId="6A3BA977" w14:textId="77777777" w:rsidR="002C6574" w:rsidRDefault="002C6574">
            <w:pPr>
              <w:pStyle w:val="TableParagraph"/>
              <w:jc w:val="left"/>
              <w:rPr>
                <w:rFonts w:ascii="Times New Roman"/>
                <w:sz w:val="12"/>
              </w:rPr>
            </w:pPr>
          </w:p>
        </w:tc>
        <w:tc>
          <w:tcPr>
            <w:tcW w:w="1263" w:type="dxa"/>
            <w:gridSpan w:val="2"/>
            <w:tcBorders>
              <w:top w:val="single" w:sz="4" w:space="0" w:color="001F60"/>
            </w:tcBorders>
          </w:tcPr>
          <w:p w14:paraId="0DE122AF" w14:textId="77777777" w:rsidR="002C6574" w:rsidRDefault="002C6574">
            <w:pPr>
              <w:pStyle w:val="TableParagraph"/>
              <w:jc w:val="left"/>
              <w:rPr>
                <w:rFonts w:ascii="Times New Roman"/>
                <w:sz w:val="12"/>
              </w:rPr>
            </w:pPr>
          </w:p>
        </w:tc>
        <w:tc>
          <w:tcPr>
            <w:tcW w:w="1048" w:type="dxa"/>
            <w:tcBorders>
              <w:top w:val="single" w:sz="4" w:space="0" w:color="001F60"/>
            </w:tcBorders>
          </w:tcPr>
          <w:p w14:paraId="10FC4EFF" w14:textId="77777777" w:rsidR="002C6574" w:rsidRDefault="002C6574">
            <w:pPr>
              <w:pStyle w:val="TableParagraph"/>
              <w:jc w:val="left"/>
              <w:rPr>
                <w:rFonts w:ascii="Times New Roman"/>
                <w:sz w:val="12"/>
              </w:rPr>
            </w:pPr>
          </w:p>
        </w:tc>
      </w:tr>
    </w:tbl>
    <w:p w14:paraId="5937C77D" w14:textId="77777777" w:rsidR="002C6574" w:rsidRDefault="00000000">
      <w:pPr>
        <w:spacing w:before="139"/>
        <w:ind w:left="3663"/>
        <w:rPr>
          <w:rFonts w:ascii="Calibri" w:hAnsi="Calibri"/>
          <w:sz w:val="16"/>
        </w:rPr>
      </w:pPr>
      <w:r>
        <w:rPr>
          <w:rFonts w:ascii="Calibri" w:hAnsi="Calibri"/>
          <w:color w:val="001F60"/>
          <w:sz w:val="16"/>
        </w:rPr>
        <w:t>Tabela</w:t>
      </w:r>
      <w:r>
        <w:rPr>
          <w:rFonts w:ascii="Calibri" w:hAnsi="Calibri"/>
          <w:color w:val="001F60"/>
          <w:spacing w:val="-3"/>
          <w:sz w:val="16"/>
        </w:rPr>
        <w:t xml:space="preserve"> </w:t>
      </w:r>
      <w:r>
        <w:rPr>
          <w:rFonts w:ascii="Calibri" w:hAnsi="Calibri"/>
          <w:color w:val="001F60"/>
          <w:sz w:val="16"/>
        </w:rPr>
        <w:t>3-15</w:t>
      </w:r>
      <w:r>
        <w:rPr>
          <w:rFonts w:ascii="Calibri" w:hAnsi="Calibri"/>
          <w:color w:val="001F60"/>
          <w:spacing w:val="-3"/>
          <w:sz w:val="16"/>
        </w:rPr>
        <w:t xml:space="preserve"> </w:t>
      </w:r>
      <w:r>
        <w:rPr>
          <w:rFonts w:ascii="Calibri" w:hAnsi="Calibri"/>
          <w:color w:val="001F60"/>
          <w:sz w:val="16"/>
        </w:rPr>
        <w:t>Origem</w:t>
      </w:r>
      <w:r>
        <w:rPr>
          <w:rFonts w:ascii="Calibri" w:hAnsi="Calibri"/>
          <w:color w:val="001F60"/>
          <w:spacing w:val="-2"/>
          <w:sz w:val="16"/>
        </w:rPr>
        <w:t xml:space="preserve"> </w:t>
      </w:r>
      <w:r>
        <w:rPr>
          <w:rFonts w:ascii="Calibri" w:hAnsi="Calibri"/>
          <w:color w:val="001F60"/>
          <w:sz w:val="16"/>
        </w:rPr>
        <w:t>dos</w:t>
      </w:r>
      <w:r>
        <w:rPr>
          <w:rFonts w:ascii="Calibri" w:hAnsi="Calibri"/>
          <w:color w:val="001F60"/>
          <w:spacing w:val="-3"/>
          <w:sz w:val="16"/>
        </w:rPr>
        <w:t xml:space="preserve"> </w:t>
      </w:r>
      <w:r>
        <w:rPr>
          <w:rFonts w:ascii="Calibri" w:hAnsi="Calibri"/>
          <w:color w:val="001F60"/>
          <w:sz w:val="16"/>
        </w:rPr>
        <w:t>Recursos</w:t>
      </w:r>
      <w:r>
        <w:rPr>
          <w:rFonts w:ascii="Calibri" w:hAnsi="Calibri"/>
          <w:color w:val="001F60"/>
          <w:spacing w:val="-2"/>
          <w:sz w:val="16"/>
        </w:rPr>
        <w:t xml:space="preserve"> </w:t>
      </w:r>
      <w:r>
        <w:rPr>
          <w:rFonts w:ascii="Calibri" w:hAnsi="Calibri"/>
          <w:color w:val="001F60"/>
          <w:sz w:val="16"/>
        </w:rPr>
        <w:t>–</w:t>
      </w:r>
      <w:r>
        <w:rPr>
          <w:rFonts w:ascii="Calibri" w:hAnsi="Calibri"/>
          <w:color w:val="001F60"/>
          <w:spacing w:val="-4"/>
          <w:sz w:val="16"/>
        </w:rPr>
        <w:t xml:space="preserve"> </w:t>
      </w:r>
      <w:r>
        <w:rPr>
          <w:rFonts w:ascii="Calibri" w:hAnsi="Calibri"/>
          <w:color w:val="001F60"/>
          <w:sz w:val="16"/>
        </w:rPr>
        <w:t>PDG</w:t>
      </w:r>
      <w:r>
        <w:rPr>
          <w:rFonts w:ascii="Calibri" w:hAnsi="Calibri"/>
          <w:color w:val="001F60"/>
          <w:spacing w:val="-3"/>
          <w:sz w:val="16"/>
        </w:rPr>
        <w:t xml:space="preserve"> </w:t>
      </w:r>
      <w:r>
        <w:rPr>
          <w:rFonts w:ascii="Calibri" w:hAnsi="Calibri"/>
          <w:color w:val="001F60"/>
          <w:sz w:val="16"/>
        </w:rPr>
        <w:t>de</w:t>
      </w:r>
      <w:r>
        <w:rPr>
          <w:rFonts w:ascii="Calibri" w:hAnsi="Calibri"/>
          <w:color w:val="001F60"/>
          <w:spacing w:val="-3"/>
          <w:sz w:val="16"/>
        </w:rPr>
        <w:t xml:space="preserve"> </w:t>
      </w:r>
      <w:r>
        <w:rPr>
          <w:rFonts w:ascii="Calibri" w:hAnsi="Calibri"/>
          <w:color w:val="001F60"/>
          <w:spacing w:val="-4"/>
          <w:sz w:val="16"/>
        </w:rPr>
        <w:t>2025</w:t>
      </w:r>
    </w:p>
    <w:p w14:paraId="4BECFC59" w14:textId="77777777" w:rsidR="002C6574" w:rsidRDefault="002C6574">
      <w:pPr>
        <w:rPr>
          <w:rFonts w:ascii="Calibri" w:hAnsi="Calibri"/>
          <w:sz w:val="16"/>
        </w:rPr>
        <w:sectPr w:rsidR="002C6574">
          <w:type w:val="continuous"/>
          <w:pgSz w:w="11910" w:h="16840"/>
          <w:pgMar w:top="0" w:right="850" w:bottom="0" w:left="992" w:header="312" w:footer="542" w:gutter="0"/>
          <w:cols w:space="720"/>
        </w:sectPr>
      </w:pPr>
    </w:p>
    <w:p w14:paraId="5D99B86C" w14:textId="77777777" w:rsidR="002C6574" w:rsidRDefault="002C6574">
      <w:pPr>
        <w:pStyle w:val="Corpodetexto"/>
        <w:spacing w:before="263"/>
        <w:rPr>
          <w:rFonts w:ascii="Calibri"/>
        </w:rPr>
      </w:pPr>
    </w:p>
    <w:p w14:paraId="6D44FC1F" w14:textId="77777777" w:rsidR="002C6574" w:rsidRDefault="00000000">
      <w:pPr>
        <w:pStyle w:val="Corpodetexto"/>
        <w:ind w:left="709"/>
        <w:jc w:val="both"/>
        <w:rPr>
          <w:rFonts w:ascii="Calibri"/>
        </w:rPr>
      </w:pPr>
      <w:r>
        <w:rPr>
          <w:rFonts w:ascii="Calibri"/>
          <w:color w:val="001F60"/>
        </w:rPr>
        <w:t>A</w:t>
      </w:r>
      <w:r>
        <w:rPr>
          <w:rFonts w:ascii="Calibri"/>
          <w:color w:val="001F60"/>
          <w:spacing w:val="-2"/>
        </w:rPr>
        <w:t xml:space="preserve"> </w:t>
      </w:r>
      <w:r>
        <w:rPr>
          <w:rFonts w:ascii="Calibri"/>
          <w:color w:val="001F60"/>
        </w:rPr>
        <w:t>Telebras</w:t>
      </w:r>
      <w:r>
        <w:rPr>
          <w:rFonts w:ascii="Calibri"/>
          <w:color w:val="001F60"/>
          <w:spacing w:val="-5"/>
        </w:rPr>
        <w:t xml:space="preserve"> </w:t>
      </w:r>
      <w:r>
        <w:rPr>
          <w:rFonts w:ascii="Calibri"/>
          <w:color w:val="001F60"/>
        </w:rPr>
        <w:t>registrou</w:t>
      </w:r>
      <w:r>
        <w:rPr>
          <w:rFonts w:ascii="Calibri"/>
          <w:color w:val="001F60"/>
          <w:spacing w:val="-3"/>
        </w:rPr>
        <w:t xml:space="preserve"> </w:t>
      </w:r>
      <w:r>
        <w:rPr>
          <w:rFonts w:ascii="Calibri"/>
          <w:color w:val="001F60"/>
        </w:rPr>
        <w:t>receita</w:t>
      </w:r>
      <w:r>
        <w:rPr>
          <w:rFonts w:ascii="Calibri"/>
          <w:color w:val="001F60"/>
          <w:spacing w:val="-3"/>
        </w:rPr>
        <w:t xml:space="preserve"> </w:t>
      </w:r>
      <w:r>
        <w:rPr>
          <w:rFonts w:ascii="Calibri"/>
          <w:color w:val="001F60"/>
        </w:rPr>
        <w:t>acima</w:t>
      </w:r>
      <w:r>
        <w:rPr>
          <w:rFonts w:ascii="Calibri"/>
          <w:color w:val="001F60"/>
          <w:spacing w:val="-2"/>
        </w:rPr>
        <w:t xml:space="preserve"> </w:t>
      </w:r>
      <w:r>
        <w:rPr>
          <w:rFonts w:ascii="Calibri"/>
          <w:color w:val="001F60"/>
        </w:rPr>
        <w:t>do</w:t>
      </w:r>
      <w:r>
        <w:rPr>
          <w:rFonts w:ascii="Calibri"/>
          <w:color w:val="001F60"/>
          <w:spacing w:val="-4"/>
        </w:rPr>
        <w:t xml:space="preserve"> </w:t>
      </w:r>
      <w:r>
        <w:rPr>
          <w:rFonts w:ascii="Calibri"/>
          <w:color w:val="001F60"/>
        </w:rPr>
        <w:t>projetado</w:t>
      </w:r>
      <w:r>
        <w:rPr>
          <w:rFonts w:ascii="Calibri"/>
          <w:color w:val="001F60"/>
          <w:spacing w:val="-4"/>
        </w:rPr>
        <w:t xml:space="preserve"> </w:t>
      </w:r>
      <w:r>
        <w:rPr>
          <w:rFonts w:ascii="Calibri"/>
          <w:color w:val="001F60"/>
        </w:rPr>
        <w:t>em</w:t>
      </w:r>
      <w:r>
        <w:rPr>
          <w:rFonts w:ascii="Calibri"/>
          <w:color w:val="001F60"/>
          <w:spacing w:val="1"/>
        </w:rPr>
        <w:t xml:space="preserve"> </w:t>
      </w:r>
      <w:r>
        <w:rPr>
          <w:rFonts w:ascii="Calibri"/>
          <w:color w:val="001F60"/>
        </w:rPr>
        <w:t>praticamente</w:t>
      </w:r>
      <w:r>
        <w:rPr>
          <w:rFonts w:ascii="Calibri"/>
          <w:color w:val="001F60"/>
          <w:spacing w:val="-5"/>
        </w:rPr>
        <w:t xml:space="preserve"> </w:t>
      </w:r>
      <w:r>
        <w:rPr>
          <w:rFonts w:ascii="Calibri"/>
          <w:color w:val="001F60"/>
        </w:rPr>
        <w:t>todas</w:t>
      </w:r>
      <w:r>
        <w:rPr>
          <w:rFonts w:ascii="Calibri"/>
          <w:color w:val="001F60"/>
          <w:spacing w:val="-2"/>
        </w:rPr>
        <w:t xml:space="preserve"> </w:t>
      </w:r>
      <w:r>
        <w:rPr>
          <w:rFonts w:ascii="Calibri"/>
          <w:color w:val="001F60"/>
        </w:rPr>
        <w:t>as</w:t>
      </w:r>
      <w:r>
        <w:rPr>
          <w:rFonts w:ascii="Calibri"/>
          <w:color w:val="001F60"/>
          <w:spacing w:val="-3"/>
        </w:rPr>
        <w:t xml:space="preserve"> </w:t>
      </w:r>
      <w:r>
        <w:rPr>
          <w:rFonts w:ascii="Calibri"/>
          <w:color w:val="001F60"/>
          <w:spacing w:val="-2"/>
        </w:rPr>
        <w:t>origens.</w:t>
      </w:r>
    </w:p>
    <w:p w14:paraId="0A8918E4" w14:textId="77777777" w:rsidR="002C6574" w:rsidRDefault="00000000">
      <w:pPr>
        <w:pStyle w:val="Corpodetexto"/>
        <w:spacing w:before="121"/>
        <w:ind w:left="709" w:right="278"/>
        <w:jc w:val="both"/>
        <w:rPr>
          <w:rFonts w:ascii="Calibri" w:hAnsi="Calibri"/>
        </w:rPr>
      </w:pPr>
      <w:r>
        <w:rPr>
          <w:rFonts w:ascii="Calibri" w:hAnsi="Calibri"/>
          <w:color w:val="001F60"/>
        </w:rPr>
        <w:t>Nas</w:t>
      </w:r>
      <w:r>
        <w:rPr>
          <w:rFonts w:ascii="Calibri" w:hAnsi="Calibri"/>
          <w:color w:val="001F60"/>
          <w:spacing w:val="-13"/>
        </w:rPr>
        <w:t xml:space="preserve"> </w:t>
      </w:r>
      <w:r>
        <w:rPr>
          <w:rFonts w:ascii="Calibri" w:hAnsi="Calibri"/>
          <w:color w:val="001F60"/>
        </w:rPr>
        <w:t>Receitas</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Capital,</w:t>
      </w:r>
      <w:r>
        <w:rPr>
          <w:rFonts w:ascii="Calibri" w:hAnsi="Calibri"/>
          <w:color w:val="001F60"/>
          <w:spacing w:val="-12"/>
        </w:rPr>
        <w:t xml:space="preserve"> </w:t>
      </w:r>
      <w:r>
        <w:rPr>
          <w:rFonts w:ascii="Calibri" w:hAnsi="Calibri"/>
          <w:color w:val="001F60"/>
        </w:rPr>
        <w:t>em</w:t>
      </w:r>
      <w:r>
        <w:rPr>
          <w:rFonts w:ascii="Calibri" w:hAnsi="Calibri"/>
          <w:color w:val="001F60"/>
          <w:spacing w:val="-13"/>
        </w:rPr>
        <w:t xml:space="preserve"> </w:t>
      </w:r>
      <w:r>
        <w:rPr>
          <w:rFonts w:ascii="Calibri" w:hAnsi="Calibri"/>
          <w:color w:val="001F60"/>
        </w:rPr>
        <w:t>decorrência</w:t>
      </w:r>
      <w:r>
        <w:rPr>
          <w:rFonts w:ascii="Calibri" w:hAnsi="Calibri"/>
          <w:color w:val="001F60"/>
          <w:spacing w:val="-12"/>
        </w:rPr>
        <w:t xml:space="preserve"> </w:t>
      </w:r>
      <w:r>
        <w:rPr>
          <w:rFonts w:ascii="Calibri" w:hAnsi="Calibri"/>
          <w:color w:val="001F60"/>
        </w:rPr>
        <w:t>da</w:t>
      </w:r>
      <w:r>
        <w:rPr>
          <w:rFonts w:ascii="Calibri" w:hAnsi="Calibri"/>
          <w:color w:val="001F60"/>
          <w:spacing w:val="-13"/>
        </w:rPr>
        <w:t xml:space="preserve"> </w:t>
      </w:r>
      <w:r>
        <w:rPr>
          <w:rFonts w:ascii="Calibri" w:hAnsi="Calibri"/>
          <w:color w:val="001F60"/>
        </w:rPr>
        <w:t>assinatura</w:t>
      </w:r>
      <w:r>
        <w:rPr>
          <w:rFonts w:ascii="Calibri" w:hAnsi="Calibri"/>
          <w:color w:val="001F60"/>
          <w:spacing w:val="-12"/>
        </w:rPr>
        <w:t xml:space="preserve"> </w:t>
      </w:r>
      <w:r>
        <w:rPr>
          <w:rFonts w:ascii="Calibri" w:hAnsi="Calibri"/>
          <w:color w:val="001F60"/>
        </w:rPr>
        <w:t>do</w:t>
      </w:r>
      <w:r>
        <w:rPr>
          <w:rFonts w:ascii="Calibri" w:hAnsi="Calibri"/>
          <w:color w:val="001F60"/>
          <w:spacing w:val="-12"/>
        </w:rPr>
        <w:t xml:space="preserve"> </w:t>
      </w:r>
      <w:r>
        <w:rPr>
          <w:rFonts w:ascii="Calibri" w:hAnsi="Calibri"/>
          <w:color w:val="001F60"/>
        </w:rPr>
        <w:t>Contrato</w:t>
      </w:r>
      <w:r>
        <w:rPr>
          <w:rFonts w:ascii="Calibri" w:hAnsi="Calibri"/>
          <w:color w:val="001F60"/>
          <w:spacing w:val="-13"/>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Gestão</w:t>
      </w:r>
      <w:r>
        <w:rPr>
          <w:rFonts w:ascii="Calibri" w:hAnsi="Calibri"/>
          <w:color w:val="001F60"/>
          <w:spacing w:val="-13"/>
        </w:rPr>
        <w:t xml:space="preserve"> </w:t>
      </w:r>
      <w:r>
        <w:rPr>
          <w:rFonts w:ascii="Calibri" w:hAnsi="Calibri"/>
          <w:color w:val="001F60"/>
        </w:rPr>
        <w:t>com</w:t>
      </w:r>
      <w:r>
        <w:rPr>
          <w:rFonts w:ascii="Calibri" w:hAnsi="Calibri"/>
          <w:color w:val="001F60"/>
          <w:spacing w:val="-12"/>
        </w:rPr>
        <w:t xml:space="preserve"> </w:t>
      </w:r>
      <w:r>
        <w:rPr>
          <w:rFonts w:ascii="Calibri" w:hAnsi="Calibri"/>
          <w:color w:val="001F60"/>
        </w:rPr>
        <w:t>o</w:t>
      </w:r>
      <w:r>
        <w:rPr>
          <w:rFonts w:ascii="Calibri" w:hAnsi="Calibri"/>
          <w:color w:val="001F60"/>
          <w:spacing w:val="-13"/>
        </w:rPr>
        <w:t xml:space="preserve"> </w:t>
      </w:r>
      <w:r>
        <w:rPr>
          <w:rFonts w:ascii="Calibri" w:hAnsi="Calibri"/>
          <w:color w:val="001F60"/>
        </w:rPr>
        <w:t>MCom,</w:t>
      </w:r>
      <w:r>
        <w:rPr>
          <w:rFonts w:ascii="Calibri" w:hAnsi="Calibri"/>
          <w:color w:val="001F60"/>
          <w:spacing w:val="-12"/>
        </w:rPr>
        <w:t xml:space="preserve"> </w:t>
      </w:r>
      <w:r>
        <w:rPr>
          <w:rFonts w:ascii="Calibri" w:hAnsi="Calibri"/>
          <w:color w:val="001F60"/>
        </w:rPr>
        <w:t>foi</w:t>
      </w:r>
      <w:r>
        <w:rPr>
          <w:rFonts w:ascii="Calibri" w:hAnsi="Calibri"/>
          <w:color w:val="001F60"/>
          <w:spacing w:val="-12"/>
        </w:rPr>
        <w:t xml:space="preserve"> </w:t>
      </w:r>
      <w:r>
        <w:rPr>
          <w:rFonts w:ascii="Calibri" w:hAnsi="Calibri"/>
          <w:color w:val="001F60"/>
        </w:rPr>
        <w:t>possível celebrar acordos de pagamento com fornecedores e prestadores de serviços, o que resultou na obtenção de descontos e ressarcimentos a favor da empresa.</w:t>
      </w:r>
    </w:p>
    <w:p w14:paraId="488C9E65" w14:textId="77777777" w:rsidR="002C6574" w:rsidRDefault="00000000">
      <w:pPr>
        <w:pStyle w:val="Corpodetexto"/>
        <w:spacing w:before="118"/>
        <w:ind w:left="709" w:right="277"/>
        <w:jc w:val="both"/>
        <w:rPr>
          <w:rFonts w:ascii="Calibri" w:hAnsi="Calibri"/>
        </w:rPr>
      </w:pPr>
      <w:r>
        <w:rPr>
          <w:rFonts w:ascii="Calibri" w:hAnsi="Calibri"/>
          <w:color w:val="001F60"/>
        </w:rPr>
        <w:t>Nas Receitas Correntes, o bom desempenho decorreu da entrada de contratos de parceria, do faturamento de valores referentes a reajustes e retroativos, bem como do aumento da receita com venda de serviços e aluguéis. Quanto à recuperação de encargos, o resultado positivo está associado ao reconhecimento decorrente de decisão favorável à Telebras.</w:t>
      </w:r>
    </w:p>
    <w:p w14:paraId="55A5720A" w14:textId="77777777" w:rsidR="002C6574" w:rsidRDefault="00000000">
      <w:pPr>
        <w:pStyle w:val="Corpodetexto"/>
        <w:spacing w:before="121"/>
        <w:ind w:left="709" w:right="279"/>
        <w:jc w:val="both"/>
        <w:rPr>
          <w:rFonts w:ascii="Calibri" w:hAnsi="Calibri"/>
        </w:rPr>
      </w:pPr>
      <w:r>
        <w:rPr>
          <w:rFonts w:ascii="Calibri" w:hAnsi="Calibri"/>
          <w:color w:val="001F60"/>
        </w:rPr>
        <w:t xml:space="preserve">A receita financeira foi influenciada pelo cenário macroeconômico do período, marcado por taxa de juros em níveis elevados, o que contribuiu para o resultado positivo das aplicações em fundos </w:t>
      </w:r>
      <w:r>
        <w:rPr>
          <w:rFonts w:ascii="Calibri" w:hAnsi="Calibri"/>
          <w:color w:val="001F60"/>
          <w:spacing w:val="-2"/>
        </w:rPr>
        <w:t>extramercado.</w:t>
      </w:r>
    </w:p>
    <w:p w14:paraId="4714D24F" w14:textId="77777777" w:rsidR="002C6574" w:rsidRDefault="00000000">
      <w:pPr>
        <w:pStyle w:val="Corpodetexto"/>
        <w:spacing w:before="121"/>
        <w:ind w:left="709" w:right="277"/>
        <w:jc w:val="both"/>
        <w:rPr>
          <w:rFonts w:ascii="Calibri" w:hAnsi="Calibri"/>
        </w:rPr>
      </w:pPr>
      <w:r>
        <w:rPr>
          <w:rFonts w:ascii="Calibri" w:hAnsi="Calibri"/>
          <w:color w:val="001F60"/>
        </w:rPr>
        <w:t>Em outras receitas correntes, a elevada execução decorre dos repasses relacionados ao Superávit Telebras</w:t>
      </w:r>
      <w:r>
        <w:rPr>
          <w:rFonts w:ascii="Calibri" w:hAnsi="Calibri"/>
          <w:color w:val="001F60"/>
          <w:spacing w:val="-10"/>
        </w:rPr>
        <w:t xml:space="preserve"> </w:t>
      </w:r>
      <w:r>
        <w:rPr>
          <w:rFonts w:ascii="Calibri" w:hAnsi="Calibri"/>
          <w:color w:val="001F60"/>
        </w:rPr>
        <w:t>Prev.</w:t>
      </w:r>
      <w:r>
        <w:rPr>
          <w:rFonts w:ascii="Calibri" w:hAnsi="Calibri"/>
          <w:color w:val="001F60"/>
          <w:spacing w:val="-10"/>
        </w:rPr>
        <w:t xml:space="preserve"> </w:t>
      </w:r>
      <w:r>
        <w:rPr>
          <w:rFonts w:ascii="Calibri" w:hAnsi="Calibri"/>
          <w:color w:val="001F60"/>
        </w:rPr>
        <w:t>Conforme</w:t>
      </w:r>
      <w:r>
        <w:rPr>
          <w:rFonts w:ascii="Calibri" w:hAnsi="Calibri"/>
          <w:color w:val="001F60"/>
          <w:spacing w:val="-8"/>
        </w:rPr>
        <w:t xml:space="preserve"> </w:t>
      </w:r>
      <w:r>
        <w:rPr>
          <w:rFonts w:ascii="Calibri" w:hAnsi="Calibri"/>
          <w:color w:val="001F60"/>
        </w:rPr>
        <w:t>acordo</w:t>
      </w:r>
      <w:r>
        <w:rPr>
          <w:rFonts w:ascii="Calibri" w:hAnsi="Calibri"/>
          <w:color w:val="001F60"/>
          <w:spacing w:val="-10"/>
        </w:rPr>
        <w:t xml:space="preserve"> </w:t>
      </w:r>
      <w:r>
        <w:rPr>
          <w:rFonts w:ascii="Calibri" w:hAnsi="Calibri"/>
          <w:color w:val="001F60"/>
        </w:rPr>
        <w:t>firmado</w:t>
      </w:r>
      <w:r>
        <w:rPr>
          <w:rFonts w:ascii="Calibri" w:hAnsi="Calibri"/>
          <w:color w:val="001F60"/>
          <w:spacing w:val="-10"/>
        </w:rPr>
        <w:t xml:space="preserve"> </w:t>
      </w:r>
      <w:r>
        <w:rPr>
          <w:rFonts w:ascii="Calibri" w:hAnsi="Calibri"/>
          <w:color w:val="001F60"/>
        </w:rPr>
        <w:t>entre</w:t>
      </w:r>
      <w:r>
        <w:rPr>
          <w:rFonts w:ascii="Calibri" w:hAnsi="Calibri"/>
          <w:color w:val="001F60"/>
          <w:spacing w:val="-10"/>
        </w:rPr>
        <w:t xml:space="preserve"> </w:t>
      </w:r>
      <w:r>
        <w:rPr>
          <w:rFonts w:ascii="Calibri" w:hAnsi="Calibri"/>
          <w:color w:val="001F60"/>
        </w:rPr>
        <w:t>a</w:t>
      </w:r>
      <w:r>
        <w:rPr>
          <w:rFonts w:ascii="Calibri" w:hAnsi="Calibri"/>
          <w:color w:val="001F60"/>
          <w:spacing w:val="-10"/>
        </w:rPr>
        <w:t xml:space="preserve"> </w:t>
      </w:r>
      <w:r>
        <w:rPr>
          <w:rFonts w:ascii="Calibri" w:hAnsi="Calibri"/>
          <w:color w:val="001F60"/>
        </w:rPr>
        <w:t>Telebras</w:t>
      </w:r>
      <w:r>
        <w:rPr>
          <w:rFonts w:ascii="Calibri" w:hAnsi="Calibri"/>
          <w:color w:val="001F60"/>
          <w:spacing w:val="-10"/>
        </w:rPr>
        <w:t xml:space="preserve"> </w:t>
      </w:r>
      <w:r>
        <w:rPr>
          <w:rFonts w:ascii="Calibri" w:hAnsi="Calibri"/>
          <w:color w:val="001F60"/>
        </w:rPr>
        <w:t>e</w:t>
      </w:r>
      <w:r>
        <w:rPr>
          <w:rFonts w:ascii="Calibri" w:hAnsi="Calibri"/>
          <w:color w:val="001F60"/>
          <w:spacing w:val="-8"/>
        </w:rPr>
        <w:t xml:space="preserve"> </w:t>
      </w:r>
      <w:r>
        <w:rPr>
          <w:rFonts w:ascii="Calibri" w:hAnsi="Calibri"/>
          <w:color w:val="001F60"/>
        </w:rPr>
        <w:t>a</w:t>
      </w:r>
      <w:r>
        <w:rPr>
          <w:rFonts w:ascii="Calibri" w:hAnsi="Calibri"/>
          <w:color w:val="001F60"/>
          <w:spacing w:val="-10"/>
        </w:rPr>
        <w:t xml:space="preserve"> </w:t>
      </w:r>
      <w:r>
        <w:rPr>
          <w:rFonts w:ascii="Calibri" w:hAnsi="Calibri"/>
          <w:color w:val="001F60"/>
        </w:rPr>
        <w:t>Sistel,</w:t>
      </w:r>
      <w:r>
        <w:rPr>
          <w:rFonts w:ascii="Calibri" w:hAnsi="Calibri"/>
          <w:color w:val="001F60"/>
          <w:spacing w:val="-12"/>
        </w:rPr>
        <w:t xml:space="preserve"> </w:t>
      </w:r>
      <w:r>
        <w:rPr>
          <w:rFonts w:ascii="Calibri" w:hAnsi="Calibri"/>
          <w:color w:val="001F60"/>
        </w:rPr>
        <w:t>foram</w:t>
      </w:r>
      <w:r>
        <w:rPr>
          <w:rFonts w:ascii="Calibri" w:hAnsi="Calibri"/>
          <w:color w:val="001F60"/>
          <w:spacing w:val="-10"/>
        </w:rPr>
        <w:t xml:space="preserve"> </w:t>
      </w:r>
      <w:r>
        <w:rPr>
          <w:rFonts w:ascii="Calibri" w:hAnsi="Calibri"/>
          <w:color w:val="001F60"/>
        </w:rPr>
        <w:t>realizados</w:t>
      </w:r>
      <w:r>
        <w:rPr>
          <w:rFonts w:ascii="Calibri" w:hAnsi="Calibri"/>
          <w:color w:val="001F60"/>
          <w:spacing w:val="-8"/>
        </w:rPr>
        <w:t xml:space="preserve"> </w:t>
      </w:r>
      <w:r>
        <w:rPr>
          <w:rFonts w:ascii="Calibri" w:hAnsi="Calibri"/>
          <w:color w:val="001F60"/>
        </w:rPr>
        <w:t>repasses</w:t>
      </w:r>
      <w:r>
        <w:rPr>
          <w:rFonts w:ascii="Calibri" w:hAnsi="Calibri"/>
          <w:color w:val="001F60"/>
          <w:spacing w:val="-10"/>
        </w:rPr>
        <w:t xml:space="preserve"> </w:t>
      </w:r>
      <w:r>
        <w:rPr>
          <w:rFonts w:ascii="Calibri" w:hAnsi="Calibri"/>
          <w:color w:val="001F60"/>
        </w:rPr>
        <w:t>mensais de valores oriundos do superávit financeiro dos Planos PBS-A (ano-base 2018) e PBS-Telebras (anos- base 2014 e 2015).</w:t>
      </w:r>
    </w:p>
    <w:p w14:paraId="04D4F107" w14:textId="77777777" w:rsidR="002C6574" w:rsidRDefault="00000000">
      <w:pPr>
        <w:spacing w:before="168"/>
        <w:ind w:right="543"/>
        <w:jc w:val="right"/>
        <w:rPr>
          <w:rFonts w:ascii="Arial" w:hAnsi="Arial"/>
          <w:b/>
          <w:i/>
          <w:sz w:val="14"/>
        </w:rPr>
      </w:pPr>
      <w:r>
        <w:rPr>
          <w:rFonts w:ascii="Arial" w:hAnsi="Arial"/>
          <w:b/>
          <w:i/>
          <w:noProof/>
          <w:sz w:val="14"/>
        </w:rPr>
        <mc:AlternateContent>
          <mc:Choice Requires="wps">
            <w:drawing>
              <wp:anchor distT="0" distB="0" distL="0" distR="0" simplePos="0" relativeHeight="15735296" behindDoc="0" locked="0" layoutInCell="1" allowOverlap="1" wp14:anchorId="7D529AF3" wp14:editId="650F482C">
                <wp:simplePos x="0" y="0"/>
                <wp:positionH relativeFrom="page">
                  <wp:posOffset>1080516</wp:posOffset>
                </wp:positionH>
                <wp:positionV relativeFrom="paragraph">
                  <wp:posOffset>237188</wp:posOffset>
                </wp:positionV>
                <wp:extent cx="5638800" cy="635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6350"/>
                        </a:xfrm>
                        <a:custGeom>
                          <a:avLst/>
                          <a:gdLst/>
                          <a:ahLst/>
                          <a:cxnLst/>
                          <a:rect l="l" t="t" r="r" b="b"/>
                          <a:pathLst>
                            <a:path w="5638800" h="6350">
                              <a:moveTo>
                                <a:pt x="5638800" y="0"/>
                              </a:moveTo>
                              <a:lnTo>
                                <a:pt x="4908791" y="0"/>
                              </a:lnTo>
                              <a:lnTo>
                                <a:pt x="0" y="0"/>
                              </a:lnTo>
                              <a:lnTo>
                                <a:pt x="0" y="6096"/>
                              </a:lnTo>
                              <a:lnTo>
                                <a:pt x="4908791" y="6096"/>
                              </a:lnTo>
                              <a:lnTo>
                                <a:pt x="5638800" y="6096"/>
                              </a:lnTo>
                              <a:lnTo>
                                <a:pt x="5638800" y="0"/>
                              </a:lnTo>
                              <a:close/>
                            </a:path>
                          </a:pathLst>
                        </a:custGeom>
                        <a:solidFill>
                          <a:srgbClr val="001F60"/>
                        </a:solidFill>
                      </wps:spPr>
                      <wps:bodyPr wrap="square" lIns="0" tIns="0" rIns="0" bIns="0" rtlCol="0">
                        <a:prstTxWarp prst="textNoShape">
                          <a:avLst/>
                        </a:prstTxWarp>
                        <a:noAutofit/>
                      </wps:bodyPr>
                    </wps:wsp>
                  </a:graphicData>
                </a:graphic>
              </wp:anchor>
            </w:drawing>
          </mc:Choice>
          <mc:Fallback>
            <w:pict>
              <v:shape w14:anchorId="40C9BCE5" id="Graphic 45" o:spid="_x0000_s1026" style="position:absolute;margin-left:85.1pt;margin-top:18.7pt;width:444pt;height:.5pt;z-index:15735296;visibility:visible;mso-wrap-style:square;mso-wrap-distance-left:0;mso-wrap-distance-top:0;mso-wrap-distance-right:0;mso-wrap-distance-bottom:0;mso-position-horizontal:absolute;mso-position-horizontal-relative:page;mso-position-vertical:absolute;mso-position-vertical-relative:text;v-text-anchor:top" coordsize="563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" path="m5638800,l4908791,,,,,6096r4908791,l5638800,6096r,-6096xe" fillcolor="#001f60" stroked="f">
                <v:path arrowok="t"/>
                <w10:wrap anchorx="page"/>
              </v:shape>
            </w:pict>
          </mc:Fallback>
        </mc:AlternateContent>
      </w:r>
      <w:r>
        <w:rPr>
          <w:rFonts w:ascii="Arial" w:hAnsi="Arial"/>
          <w:b/>
          <w:i/>
          <w:color w:val="001F60"/>
          <w:sz w:val="14"/>
        </w:rPr>
        <w:t>Valores</w:t>
      </w:r>
      <w:r>
        <w:rPr>
          <w:rFonts w:ascii="Arial" w:hAnsi="Arial"/>
          <w:b/>
          <w:i/>
          <w:color w:val="001F60"/>
          <w:spacing w:val="-5"/>
          <w:sz w:val="14"/>
        </w:rPr>
        <w:t xml:space="preserve"> </w:t>
      </w:r>
      <w:r>
        <w:rPr>
          <w:rFonts w:ascii="Arial" w:hAnsi="Arial"/>
          <w:b/>
          <w:i/>
          <w:color w:val="001F60"/>
          <w:sz w:val="14"/>
        </w:rPr>
        <w:t>em</w:t>
      </w:r>
      <w:r>
        <w:rPr>
          <w:rFonts w:ascii="Arial" w:hAnsi="Arial"/>
          <w:b/>
          <w:i/>
          <w:color w:val="001F60"/>
          <w:spacing w:val="-1"/>
          <w:sz w:val="14"/>
        </w:rPr>
        <w:t xml:space="preserve"> </w:t>
      </w:r>
      <w:r>
        <w:rPr>
          <w:rFonts w:ascii="Arial" w:hAnsi="Arial"/>
          <w:b/>
          <w:i/>
          <w:color w:val="001F60"/>
          <w:sz w:val="14"/>
        </w:rPr>
        <w:t>R$</w:t>
      </w:r>
      <w:r>
        <w:rPr>
          <w:rFonts w:ascii="Arial" w:hAnsi="Arial"/>
          <w:b/>
          <w:i/>
          <w:color w:val="001F60"/>
          <w:spacing w:val="-3"/>
          <w:sz w:val="14"/>
        </w:rPr>
        <w:t xml:space="preserve"> </w:t>
      </w:r>
      <w:r>
        <w:rPr>
          <w:rFonts w:ascii="Arial" w:hAnsi="Arial"/>
          <w:b/>
          <w:i/>
          <w:color w:val="001F60"/>
          <w:spacing w:val="-2"/>
          <w:sz w:val="14"/>
        </w:rPr>
        <w:t>Milhões</w:t>
      </w:r>
    </w:p>
    <w:p w14:paraId="782F423A" w14:textId="77777777" w:rsidR="002C6574" w:rsidRDefault="002C6574">
      <w:pPr>
        <w:jc w:val="right"/>
        <w:rPr>
          <w:rFonts w:ascii="Arial" w:hAnsi="Arial"/>
          <w:b/>
          <w:i/>
          <w:sz w:val="14"/>
        </w:rPr>
        <w:sectPr w:rsidR="002C6574">
          <w:pgSz w:w="11910" w:h="16840"/>
          <w:pgMar w:top="1160" w:right="850" w:bottom="740" w:left="992" w:header="312" w:footer="542" w:gutter="0"/>
          <w:cols w:space="720"/>
        </w:sectPr>
      </w:pPr>
    </w:p>
    <w:p w14:paraId="480C9D1C" w14:textId="77777777" w:rsidR="002C6574" w:rsidRDefault="00000000">
      <w:pPr>
        <w:tabs>
          <w:tab w:val="left" w:pos="5922"/>
        </w:tabs>
        <w:spacing w:before="135" w:line="201" w:lineRule="exact"/>
        <w:ind w:left="817"/>
        <w:rPr>
          <w:rFonts w:ascii="Arial" w:hAnsi="Arial"/>
          <w:b/>
          <w:position w:val="8"/>
          <w:sz w:val="14"/>
        </w:rPr>
      </w:pPr>
      <w:r>
        <w:rPr>
          <w:rFonts w:ascii="Arial" w:hAnsi="Arial"/>
          <w:b/>
          <w:color w:val="001F60"/>
          <w:sz w:val="14"/>
        </w:rPr>
        <w:t>Aplicação</w:t>
      </w:r>
      <w:r>
        <w:rPr>
          <w:rFonts w:ascii="Arial" w:hAnsi="Arial"/>
          <w:b/>
          <w:color w:val="001F60"/>
          <w:spacing w:val="-5"/>
          <w:sz w:val="14"/>
        </w:rPr>
        <w:t xml:space="preserve"> </w:t>
      </w:r>
      <w:r>
        <w:rPr>
          <w:rFonts w:ascii="Arial" w:hAnsi="Arial"/>
          <w:b/>
          <w:color w:val="001F60"/>
          <w:sz w:val="14"/>
        </w:rPr>
        <w:t>do</w:t>
      </w:r>
      <w:r>
        <w:rPr>
          <w:rFonts w:ascii="Arial" w:hAnsi="Arial"/>
          <w:b/>
          <w:color w:val="001F60"/>
          <w:spacing w:val="-4"/>
          <w:sz w:val="14"/>
        </w:rPr>
        <w:t xml:space="preserve"> </w:t>
      </w:r>
      <w:r>
        <w:rPr>
          <w:rFonts w:ascii="Arial" w:hAnsi="Arial"/>
          <w:b/>
          <w:color w:val="001F60"/>
          <w:spacing w:val="-2"/>
          <w:sz w:val="14"/>
        </w:rPr>
        <w:t>Recurso</w:t>
      </w:r>
      <w:r>
        <w:rPr>
          <w:rFonts w:ascii="Arial" w:hAnsi="Arial"/>
          <w:b/>
          <w:color w:val="001F60"/>
          <w:sz w:val="14"/>
        </w:rPr>
        <w:tab/>
      </w:r>
      <w:r>
        <w:rPr>
          <w:rFonts w:ascii="Arial" w:hAnsi="Arial"/>
          <w:b/>
          <w:color w:val="001F60"/>
          <w:spacing w:val="-2"/>
          <w:position w:val="8"/>
          <w:sz w:val="14"/>
        </w:rPr>
        <w:t>Autorizado</w:t>
      </w:r>
    </w:p>
    <w:p w14:paraId="26F426B2" w14:textId="77777777" w:rsidR="002C6574" w:rsidRDefault="00000000">
      <w:pPr>
        <w:spacing w:line="121" w:lineRule="exact"/>
        <w:jc w:val="right"/>
        <w:rPr>
          <w:rFonts w:ascii="Arial"/>
          <w:b/>
          <w:sz w:val="14"/>
        </w:rPr>
      </w:pPr>
      <w:r>
        <w:rPr>
          <w:rFonts w:ascii="Arial"/>
          <w:b/>
          <w:color w:val="001F60"/>
          <w:sz w:val="14"/>
        </w:rPr>
        <w:t>Set/Dez</w:t>
      </w:r>
      <w:r>
        <w:rPr>
          <w:rFonts w:ascii="Arial"/>
          <w:b/>
          <w:color w:val="001F60"/>
          <w:spacing w:val="-8"/>
          <w:sz w:val="14"/>
        </w:rPr>
        <w:t xml:space="preserve"> </w:t>
      </w:r>
      <w:r>
        <w:rPr>
          <w:rFonts w:ascii="Arial"/>
          <w:b/>
          <w:color w:val="001F60"/>
          <w:spacing w:val="-4"/>
          <w:sz w:val="14"/>
        </w:rPr>
        <w:t>2025</w:t>
      </w:r>
    </w:p>
    <w:p w14:paraId="7F7D473D" w14:textId="77777777" w:rsidR="002C6574" w:rsidRDefault="00000000">
      <w:pPr>
        <w:spacing w:before="136"/>
        <w:ind w:left="545" w:firstLine="91"/>
        <w:rPr>
          <w:rFonts w:ascii="Arial"/>
          <w:b/>
          <w:sz w:val="14"/>
        </w:rPr>
      </w:pPr>
      <w:r>
        <w:br w:type="column"/>
      </w:r>
      <w:r>
        <w:rPr>
          <w:rFonts w:ascii="Arial"/>
          <w:b/>
          <w:color w:val="001F60"/>
          <w:spacing w:val="-2"/>
          <w:sz w:val="14"/>
        </w:rPr>
        <w:t>Executado</w:t>
      </w:r>
      <w:r>
        <w:rPr>
          <w:rFonts w:ascii="Arial"/>
          <w:b/>
          <w:color w:val="001F60"/>
          <w:spacing w:val="40"/>
          <w:sz w:val="14"/>
        </w:rPr>
        <w:t xml:space="preserve"> </w:t>
      </w:r>
      <w:r>
        <w:rPr>
          <w:rFonts w:ascii="Arial"/>
          <w:b/>
          <w:color w:val="001F60"/>
          <w:sz w:val="14"/>
        </w:rPr>
        <w:t>Set/Dez</w:t>
      </w:r>
      <w:r>
        <w:rPr>
          <w:rFonts w:ascii="Arial"/>
          <w:b/>
          <w:color w:val="001F60"/>
          <w:spacing w:val="-8"/>
          <w:sz w:val="14"/>
        </w:rPr>
        <w:t xml:space="preserve"> </w:t>
      </w:r>
      <w:r>
        <w:rPr>
          <w:rFonts w:ascii="Arial"/>
          <w:b/>
          <w:color w:val="001F60"/>
          <w:spacing w:val="-4"/>
          <w:sz w:val="14"/>
        </w:rPr>
        <w:t>2025</w:t>
      </w:r>
    </w:p>
    <w:p w14:paraId="0422E16E" w14:textId="77777777" w:rsidR="002C6574" w:rsidRDefault="00000000">
      <w:pPr>
        <w:spacing w:before="54"/>
        <w:rPr>
          <w:rFonts w:ascii="Arial"/>
          <w:b/>
          <w:sz w:val="14"/>
        </w:rPr>
      </w:pPr>
      <w:r>
        <w:br w:type="column"/>
      </w:r>
    </w:p>
    <w:p w14:paraId="492EEC96" w14:textId="77777777" w:rsidR="002C6574" w:rsidRDefault="00000000">
      <w:pPr>
        <w:ind w:left="492"/>
        <w:rPr>
          <w:rFonts w:ascii="Arial"/>
          <w:b/>
          <w:sz w:val="14"/>
        </w:rPr>
      </w:pPr>
      <w:r>
        <w:rPr>
          <w:rFonts w:ascii="Arial"/>
          <w:b/>
          <w:color w:val="001F60"/>
          <w:spacing w:val="-2"/>
          <w:sz w:val="14"/>
        </w:rPr>
        <w:t>Percentual</w:t>
      </w:r>
    </w:p>
    <w:p w14:paraId="2837161A" w14:textId="77777777" w:rsidR="002C6574" w:rsidRDefault="002C6574">
      <w:pPr>
        <w:rPr>
          <w:rFonts w:ascii="Arial"/>
          <w:b/>
          <w:sz w:val="14"/>
        </w:rPr>
        <w:sectPr w:rsidR="002C6574">
          <w:type w:val="continuous"/>
          <w:pgSz w:w="11910" w:h="16840"/>
          <w:pgMar w:top="0" w:right="850" w:bottom="0" w:left="992" w:header="312" w:footer="542" w:gutter="0"/>
          <w:cols w:num="3" w:space="720" w:equalWidth="0">
            <w:col w:w="6698" w:space="40"/>
            <w:col w:w="1401" w:space="39"/>
            <w:col w:w="1890"/>
          </w:cols>
        </w:sectPr>
      </w:pPr>
    </w:p>
    <w:p w14:paraId="6457B497" w14:textId="77777777" w:rsidR="002C6574" w:rsidRDefault="002C6574">
      <w:pPr>
        <w:pStyle w:val="Corpodetexto"/>
        <w:spacing w:before="2" w:after="1"/>
        <w:rPr>
          <w:rFonts w:ascii="Arial"/>
          <w:b/>
          <w:sz w:val="7"/>
        </w:rPr>
      </w:pPr>
    </w:p>
    <w:tbl>
      <w:tblPr>
        <w:tblStyle w:val="TableNormal"/>
        <w:tblW w:w="0" w:type="auto"/>
        <w:tblInd w:w="717" w:type="dxa"/>
        <w:tblLayout w:type="fixed"/>
        <w:tblLook w:val="01E0" w:firstRow="1" w:lastRow="1" w:firstColumn="1" w:lastColumn="1" w:noHBand="0" w:noVBand="0"/>
      </w:tblPr>
      <w:tblGrid>
        <w:gridCol w:w="5725"/>
        <w:gridCol w:w="848"/>
        <w:gridCol w:w="595"/>
        <w:gridCol w:w="667"/>
        <w:gridCol w:w="1047"/>
      </w:tblGrid>
      <w:tr w:rsidR="002C6574" w14:paraId="7DDC9F7D" w14:textId="77777777">
        <w:trPr>
          <w:trHeight w:val="254"/>
        </w:trPr>
        <w:tc>
          <w:tcPr>
            <w:tcW w:w="5725" w:type="dxa"/>
            <w:tcBorders>
              <w:top w:val="single" w:sz="4" w:space="0" w:color="001F60"/>
              <w:bottom w:val="single" w:sz="4" w:space="0" w:color="001F60"/>
            </w:tcBorders>
          </w:tcPr>
          <w:p w14:paraId="13B7FA32" w14:textId="77777777" w:rsidR="002C6574" w:rsidRDefault="00000000">
            <w:pPr>
              <w:pStyle w:val="TableParagraph"/>
              <w:spacing w:before="46"/>
              <w:ind w:right="57"/>
              <w:rPr>
                <w:rFonts w:ascii="Arial"/>
                <w:b/>
                <w:sz w:val="14"/>
              </w:rPr>
            </w:pPr>
            <w:r>
              <w:rPr>
                <w:rFonts w:ascii="Arial"/>
                <w:b/>
                <w:color w:val="001F60"/>
                <w:spacing w:val="-5"/>
                <w:sz w:val="14"/>
              </w:rPr>
              <w:t>(a)</w:t>
            </w:r>
          </w:p>
        </w:tc>
        <w:tc>
          <w:tcPr>
            <w:tcW w:w="1443" w:type="dxa"/>
            <w:gridSpan w:val="2"/>
            <w:tcBorders>
              <w:top w:val="single" w:sz="4" w:space="0" w:color="001F60"/>
              <w:bottom w:val="single" w:sz="4" w:space="0" w:color="001F60"/>
            </w:tcBorders>
          </w:tcPr>
          <w:p w14:paraId="140614E0" w14:textId="77777777" w:rsidR="002C6574" w:rsidRDefault="00000000">
            <w:pPr>
              <w:pStyle w:val="TableParagraph"/>
              <w:spacing w:before="46"/>
              <w:ind w:right="56"/>
              <w:rPr>
                <w:rFonts w:ascii="Arial"/>
                <w:b/>
                <w:sz w:val="14"/>
              </w:rPr>
            </w:pPr>
            <w:r>
              <w:rPr>
                <w:rFonts w:ascii="Arial"/>
                <w:b/>
                <w:color w:val="001F60"/>
                <w:spacing w:val="-5"/>
                <w:sz w:val="14"/>
              </w:rPr>
              <w:t>(b)</w:t>
            </w:r>
          </w:p>
        </w:tc>
        <w:tc>
          <w:tcPr>
            <w:tcW w:w="1714" w:type="dxa"/>
            <w:gridSpan w:val="2"/>
            <w:tcBorders>
              <w:top w:val="single" w:sz="4" w:space="0" w:color="001F60"/>
              <w:bottom w:val="single" w:sz="4" w:space="0" w:color="001F60"/>
            </w:tcBorders>
          </w:tcPr>
          <w:p w14:paraId="485B9E81" w14:textId="77777777" w:rsidR="002C6574" w:rsidRDefault="00000000">
            <w:pPr>
              <w:pStyle w:val="TableParagraph"/>
              <w:spacing w:before="46"/>
              <w:ind w:left="845"/>
              <w:jc w:val="left"/>
              <w:rPr>
                <w:rFonts w:ascii="Arial"/>
                <w:b/>
                <w:sz w:val="14"/>
              </w:rPr>
            </w:pPr>
            <w:r>
              <w:rPr>
                <w:rFonts w:ascii="Arial"/>
                <w:b/>
                <w:color w:val="001F60"/>
                <w:sz w:val="14"/>
              </w:rPr>
              <w:t>c</w:t>
            </w:r>
            <w:r>
              <w:rPr>
                <w:rFonts w:ascii="Arial"/>
                <w:b/>
                <w:color w:val="001F60"/>
                <w:spacing w:val="-3"/>
                <w:sz w:val="14"/>
              </w:rPr>
              <w:t xml:space="preserve"> </w:t>
            </w:r>
            <w:r>
              <w:rPr>
                <w:rFonts w:ascii="Arial"/>
                <w:b/>
                <w:color w:val="001F60"/>
                <w:sz w:val="14"/>
              </w:rPr>
              <w:t>= (b</w:t>
            </w:r>
            <w:r>
              <w:rPr>
                <w:rFonts w:ascii="Arial"/>
                <w:b/>
                <w:color w:val="001F60"/>
                <w:spacing w:val="-2"/>
                <w:sz w:val="14"/>
              </w:rPr>
              <w:t xml:space="preserve"> </w:t>
            </w:r>
            <w:r>
              <w:rPr>
                <w:rFonts w:ascii="Arial"/>
                <w:b/>
                <w:color w:val="001F60"/>
                <w:sz w:val="14"/>
              </w:rPr>
              <w:t>/</w:t>
            </w:r>
            <w:r>
              <w:rPr>
                <w:rFonts w:ascii="Arial"/>
                <w:b/>
                <w:color w:val="001F60"/>
                <w:spacing w:val="-2"/>
                <w:sz w:val="14"/>
              </w:rPr>
              <w:t xml:space="preserve"> </w:t>
            </w:r>
            <w:r>
              <w:rPr>
                <w:rFonts w:ascii="Arial"/>
                <w:b/>
                <w:color w:val="001F60"/>
                <w:spacing w:val="-5"/>
                <w:sz w:val="14"/>
              </w:rPr>
              <w:t>a)</w:t>
            </w:r>
          </w:p>
        </w:tc>
      </w:tr>
      <w:tr w:rsidR="002C6574" w14:paraId="6641D264" w14:textId="77777777">
        <w:trPr>
          <w:trHeight w:val="258"/>
        </w:trPr>
        <w:tc>
          <w:tcPr>
            <w:tcW w:w="5725" w:type="dxa"/>
          </w:tcPr>
          <w:p w14:paraId="13DF7C71" w14:textId="77777777" w:rsidR="002C6574" w:rsidRDefault="00000000">
            <w:pPr>
              <w:pStyle w:val="TableParagraph"/>
              <w:spacing w:before="43"/>
              <w:ind w:left="108"/>
              <w:jc w:val="left"/>
              <w:rPr>
                <w:rFonts w:ascii="Arial"/>
                <w:b/>
                <w:sz w:val="14"/>
              </w:rPr>
            </w:pPr>
            <w:r>
              <w:rPr>
                <w:rFonts w:ascii="Arial"/>
                <w:b/>
                <w:color w:val="001F60"/>
                <w:sz w:val="14"/>
              </w:rPr>
              <w:t>Despesas</w:t>
            </w:r>
            <w:r>
              <w:rPr>
                <w:rFonts w:ascii="Arial"/>
                <w:b/>
                <w:color w:val="001F60"/>
                <w:spacing w:val="-6"/>
                <w:sz w:val="14"/>
              </w:rPr>
              <w:t xml:space="preserve"> </w:t>
            </w:r>
            <w:r>
              <w:rPr>
                <w:rFonts w:ascii="Arial"/>
                <w:b/>
                <w:color w:val="001F60"/>
                <w:sz w:val="14"/>
              </w:rPr>
              <w:t>de</w:t>
            </w:r>
            <w:r>
              <w:rPr>
                <w:rFonts w:ascii="Arial"/>
                <w:b/>
                <w:color w:val="001F60"/>
                <w:spacing w:val="-6"/>
                <w:sz w:val="14"/>
              </w:rPr>
              <w:t xml:space="preserve"> </w:t>
            </w:r>
            <w:r>
              <w:rPr>
                <w:rFonts w:ascii="Arial"/>
                <w:b/>
                <w:color w:val="001F60"/>
                <w:spacing w:val="-2"/>
                <w:sz w:val="14"/>
              </w:rPr>
              <w:t>Capital</w:t>
            </w:r>
          </w:p>
        </w:tc>
        <w:tc>
          <w:tcPr>
            <w:tcW w:w="848" w:type="dxa"/>
          </w:tcPr>
          <w:p w14:paraId="7FB5C29B" w14:textId="77777777" w:rsidR="002C6574" w:rsidRDefault="00000000">
            <w:pPr>
              <w:pStyle w:val="TableParagraph"/>
              <w:spacing w:before="43"/>
              <w:ind w:right="359"/>
              <w:rPr>
                <w:rFonts w:ascii="Arial"/>
                <w:b/>
                <w:sz w:val="14"/>
              </w:rPr>
            </w:pPr>
            <w:r>
              <w:rPr>
                <w:rFonts w:ascii="Arial"/>
                <w:b/>
                <w:color w:val="001F60"/>
                <w:spacing w:val="-2"/>
                <w:sz w:val="14"/>
              </w:rPr>
              <w:t>54,56</w:t>
            </w:r>
          </w:p>
        </w:tc>
        <w:tc>
          <w:tcPr>
            <w:tcW w:w="1262" w:type="dxa"/>
            <w:gridSpan w:val="2"/>
          </w:tcPr>
          <w:p w14:paraId="7AF7A00D" w14:textId="77777777" w:rsidR="002C6574" w:rsidRDefault="00000000">
            <w:pPr>
              <w:pStyle w:val="TableParagraph"/>
              <w:spacing w:before="43"/>
              <w:ind w:left="727"/>
              <w:jc w:val="left"/>
              <w:rPr>
                <w:rFonts w:ascii="Arial"/>
                <w:b/>
                <w:sz w:val="14"/>
              </w:rPr>
            </w:pPr>
            <w:r>
              <w:rPr>
                <w:rFonts w:ascii="Arial"/>
                <w:b/>
                <w:color w:val="001F60"/>
                <w:spacing w:val="-2"/>
                <w:sz w:val="14"/>
              </w:rPr>
              <w:t>22,92</w:t>
            </w:r>
          </w:p>
        </w:tc>
        <w:tc>
          <w:tcPr>
            <w:tcW w:w="1047" w:type="dxa"/>
          </w:tcPr>
          <w:p w14:paraId="08C41AB9" w14:textId="77777777" w:rsidR="002C6574" w:rsidRDefault="00000000">
            <w:pPr>
              <w:pStyle w:val="TableParagraph"/>
              <w:spacing w:before="43"/>
              <w:ind w:right="70"/>
              <w:rPr>
                <w:rFonts w:ascii="Arial"/>
                <w:b/>
                <w:sz w:val="14"/>
              </w:rPr>
            </w:pPr>
            <w:r>
              <w:rPr>
                <w:rFonts w:ascii="Arial"/>
                <w:b/>
                <w:color w:val="001F60"/>
                <w:spacing w:val="-5"/>
                <w:sz w:val="14"/>
              </w:rPr>
              <w:t>42%</w:t>
            </w:r>
          </w:p>
        </w:tc>
      </w:tr>
      <w:tr w:rsidR="002C6574" w14:paraId="504EC46F" w14:textId="77777777">
        <w:trPr>
          <w:trHeight w:val="254"/>
        </w:trPr>
        <w:tc>
          <w:tcPr>
            <w:tcW w:w="5725" w:type="dxa"/>
          </w:tcPr>
          <w:p w14:paraId="06314676" w14:textId="77777777" w:rsidR="002C6574" w:rsidRDefault="00000000">
            <w:pPr>
              <w:pStyle w:val="TableParagraph"/>
              <w:spacing w:before="44"/>
              <w:ind w:left="489"/>
              <w:jc w:val="left"/>
              <w:rPr>
                <w:rFonts w:ascii="Arial MT" w:hAnsi="Arial MT"/>
                <w:sz w:val="14"/>
              </w:rPr>
            </w:pPr>
            <w:r>
              <w:rPr>
                <w:rFonts w:ascii="Arial MT" w:hAnsi="Arial MT"/>
                <w:color w:val="001F60"/>
                <w:sz w:val="14"/>
              </w:rPr>
              <w:t>Móveis,</w:t>
            </w:r>
            <w:r>
              <w:rPr>
                <w:rFonts w:ascii="Arial MT" w:hAnsi="Arial MT"/>
                <w:color w:val="001F60"/>
                <w:spacing w:val="-6"/>
                <w:sz w:val="14"/>
              </w:rPr>
              <w:t xml:space="preserve"> </w:t>
            </w:r>
            <w:r>
              <w:rPr>
                <w:rFonts w:ascii="Arial MT" w:hAnsi="Arial MT"/>
                <w:color w:val="001F60"/>
                <w:sz w:val="14"/>
              </w:rPr>
              <w:t>Máquinas</w:t>
            </w:r>
            <w:r>
              <w:rPr>
                <w:rFonts w:ascii="Arial MT" w:hAnsi="Arial MT"/>
                <w:color w:val="001F60"/>
                <w:spacing w:val="-6"/>
                <w:sz w:val="14"/>
              </w:rPr>
              <w:t xml:space="preserve"> </w:t>
            </w:r>
            <w:r>
              <w:rPr>
                <w:rFonts w:ascii="Arial MT" w:hAnsi="Arial MT"/>
                <w:color w:val="001F60"/>
                <w:spacing w:val="-2"/>
                <w:sz w:val="14"/>
              </w:rPr>
              <w:t>Equipamentos</w:t>
            </w:r>
          </w:p>
        </w:tc>
        <w:tc>
          <w:tcPr>
            <w:tcW w:w="848" w:type="dxa"/>
          </w:tcPr>
          <w:p w14:paraId="2B68C136" w14:textId="77777777" w:rsidR="002C6574" w:rsidRDefault="00000000">
            <w:pPr>
              <w:pStyle w:val="TableParagraph"/>
              <w:spacing w:before="44"/>
              <w:ind w:right="359"/>
              <w:rPr>
                <w:rFonts w:ascii="Arial MT"/>
                <w:sz w:val="14"/>
              </w:rPr>
            </w:pPr>
            <w:r>
              <w:rPr>
                <w:rFonts w:ascii="Arial MT"/>
                <w:color w:val="001F60"/>
                <w:spacing w:val="-4"/>
                <w:sz w:val="14"/>
              </w:rPr>
              <w:t>0,21</w:t>
            </w:r>
          </w:p>
        </w:tc>
        <w:tc>
          <w:tcPr>
            <w:tcW w:w="1262" w:type="dxa"/>
            <w:gridSpan w:val="2"/>
          </w:tcPr>
          <w:p w14:paraId="6CC8EBC3" w14:textId="77777777" w:rsidR="002C6574" w:rsidRDefault="00000000">
            <w:pPr>
              <w:pStyle w:val="TableParagraph"/>
              <w:spacing w:before="44"/>
              <w:ind w:right="180"/>
              <w:rPr>
                <w:rFonts w:ascii="Arial MT"/>
                <w:sz w:val="14"/>
              </w:rPr>
            </w:pPr>
            <w:r>
              <w:rPr>
                <w:rFonts w:ascii="Arial MT"/>
                <w:color w:val="001F60"/>
                <w:spacing w:val="-10"/>
                <w:sz w:val="14"/>
              </w:rPr>
              <w:t>-</w:t>
            </w:r>
          </w:p>
        </w:tc>
        <w:tc>
          <w:tcPr>
            <w:tcW w:w="1047" w:type="dxa"/>
          </w:tcPr>
          <w:p w14:paraId="73098C0D" w14:textId="77777777" w:rsidR="002C6574" w:rsidRDefault="00000000">
            <w:pPr>
              <w:pStyle w:val="TableParagraph"/>
              <w:spacing w:before="44"/>
              <w:ind w:right="70"/>
              <w:rPr>
                <w:rFonts w:ascii="Arial MT"/>
                <w:sz w:val="14"/>
              </w:rPr>
            </w:pPr>
            <w:r>
              <w:rPr>
                <w:rFonts w:ascii="Arial MT"/>
                <w:color w:val="001F60"/>
                <w:spacing w:val="-5"/>
                <w:sz w:val="14"/>
              </w:rPr>
              <w:t>0%</w:t>
            </w:r>
          </w:p>
        </w:tc>
      </w:tr>
      <w:tr w:rsidR="002C6574" w14:paraId="339EA6AA" w14:textId="77777777">
        <w:trPr>
          <w:trHeight w:val="255"/>
        </w:trPr>
        <w:tc>
          <w:tcPr>
            <w:tcW w:w="5725" w:type="dxa"/>
          </w:tcPr>
          <w:p w14:paraId="78D2BDF2" w14:textId="77777777" w:rsidR="002C6574" w:rsidRDefault="00000000">
            <w:pPr>
              <w:pStyle w:val="TableParagraph"/>
              <w:spacing w:before="44"/>
              <w:ind w:left="489"/>
              <w:jc w:val="left"/>
              <w:rPr>
                <w:rFonts w:ascii="Arial MT" w:hAnsi="Arial MT"/>
                <w:sz w:val="14"/>
              </w:rPr>
            </w:pPr>
            <w:r>
              <w:rPr>
                <w:rFonts w:ascii="Arial MT" w:hAnsi="Arial MT"/>
                <w:color w:val="001F60"/>
                <w:sz w:val="14"/>
              </w:rPr>
              <w:t>Sistemas</w:t>
            </w:r>
            <w:r>
              <w:rPr>
                <w:rFonts w:ascii="Arial MT" w:hAnsi="Arial MT"/>
                <w:color w:val="001F60"/>
                <w:spacing w:val="-3"/>
                <w:sz w:val="14"/>
              </w:rPr>
              <w:t xml:space="preserve"> </w:t>
            </w:r>
            <w:r>
              <w:rPr>
                <w:rFonts w:ascii="Arial MT" w:hAnsi="Arial MT"/>
                <w:color w:val="001F60"/>
                <w:sz w:val="14"/>
              </w:rPr>
              <w:t>de</w:t>
            </w:r>
            <w:r>
              <w:rPr>
                <w:rFonts w:ascii="Arial MT" w:hAnsi="Arial MT"/>
                <w:color w:val="001F60"/>
                <w:spacing w:val="-4"/>
                <w:sz w:val="14"/>
              </w:rPr>
              <w:t xml:space="preserve"> </w:t>
            </w:r>
            <w:r>
              <w:rPr>
                <w:rFonts w:ascii="Arial MT" w:hAnsi="Arial MT"/>
                <w:color w:val="001F60"/>
                <w:sz w:val="14"/>
              </w:rPr>
              <w:t>Tecnologia</w:t>
            </w:r>
            <w:r>
              <w:rPr>
                <w:rFonts w:ascii="Arial MT" w:hAnsi="Arial MT"/>
                <w:color w:val="001F60"/>
                <w:spacing w:val="-5"/>
                <w:sz w:val="14"/>
              </w:rPr>
              <w:t xml:space="preserve"> </w:t>
            </w:r>
            <w:r>
              <w:rPr>
                <w:rFonts w:ascii="Arial MT" w:hAnsi="Arial MT"/>
                <w:color w:val="001F60"/>
                <w:sz w:val="14"/>
              </w:rPr>
              <w:t>da</w:t>
            </w:r>
            <w:r>
              <w:rPr>
                <w:rFonts w:ascii="Arial MT" w:hAnsi="Arial MT"/>
                <w:color w:val="001F60"/>
                <w:spacing w:val="-5"/>
                <w:sz w:val="14"/>
              </w:rPr>
              <w:t xml:space="preserve"> </w:t>
            </w:r>
            <w:r>
              <w:rPr>
                <w:rFonts w:ascii="Arial MT" w:hAnsi="Arial MT"/>
                <w:color w:val="001F60"/>
                <w:spacing w:val="-2"/>
                <w:sz w:val="14"/>
              </w:rPr>
              <w:t>Informação</w:t>
            </w:r>
          </w:p>
        </w:tc>
        <w:tc>
          <w:tcPr>
            <w:tcW w:w="848" w:type="dxa"/>
          </w:tcPr>
          <w:p w14:paraId="47CDF522" w14:textId="77777777" w:rsidR="002C6574" w:rsidRDefault="00000000">
            <w:pPr>
              <w:pStyle w:val="TableParagraph"/>
              <w:spacing w:before="44"/>
              <w:ind w:right="358"/>
              <w:rPr>
                <w:rFonts w:ascii="Arial MT"/>
                <w:sz w:val="14"/>
              </w:rPr>
            </w:pPr>
            <w:r>
              <w:rPr>
                <w:rFonts w:ascii="Arial MT"/>
                <w:color w:val="001F60"/>
                <w:spacing w:val="-4"/>
                <w:sz w:val="14"/>
              </w:rPr>
              <w:t>2,42</w:t>
            </w:r>
          </w:p>
        </w:tc>
        <w:tc>
          <w:tcPr>
            <w:tcW w:w="1262" w:type="dxa"/>
            <w:gridSpan w:val="2"/>
          </w:tcPr>
          <w:p w14:paraId="4341FBE2" w14:textId="77777777" w:rsidR="002C6574" w:rsidRDefault="00000000">
            <w:pPr>
              <w:pStyle w:val="TableParagraph"/>
              <w:spacing w:before="44"/>
              <w:ind w:left="806"/>
              <w:jc w:val="left"/>
              <w:rPr>
                <w:rFonts w:ascii="Arial MT"/>
                <w:sz w:val="14"/>
              </w:rPr>
            </w:pPr>
            <w:r>
              <w:rPr>
                <w:rFonts w:ascii="Arial MT"/>
                <w:color w:val="001F60"/>
                <w:spacing w:val="-4"/>
                <w:sz w:val="14"/>
              </w:rPr>
              <w:t>2,37</w:t>
            </w:r>
          </w:p>
        </w:tc>
        <w:tc>
          <w:tcPr>
            <w:tcW w:w="1047" w:type="dxa"/>
          </w:tcPr>
          <w:p w14:paraId="5568E178" w14:textId="77777777" w:rsidR="002C6574" w:rsidRDefault="00000000">
            <w:pPr>
              <w:pStyle w:val="TableParagraph"/>
              <w:spacing w:before="44"/>
              <w:ind w:right="73"/>
              <w:rPr>
                <w:rFonts w:ascii="Arial MT"/>
                <w:sz w:val="14"/>
              </w:rPr>
            </w:pPr>
            <w:r>
              <w:rPr>
                <w:rFonts w:ascii="Arial MT"/>
                <w:color w:val="001F60"/>
                <w:spacing w:val="-5"/>
                <w:sz w:val="14"/>
              </w:rPr>
              <w:t>98%</w:t>
            </w:r>
          </w:p>
        </w:tc>
      </w:tr>
      <w:tr w:rsidR="002C6574" w14:paraId="2CFF9A82" w14:textId="77777777">
        <w:trPr>
          <w:trHeight w:val="255"/>
        </w:trPr>
        <w:tc>
          <w:tcPr>
            <w:tcW w:w="5725" w:type="dxa"/>
          </w:tcPr>
          <w:p w14:paraId="686C9B13" w14:textId="77777777" w:rsidR="002C6574" w:rsidRDefault="00000000">
            <w:pPr>
              <w:pStyle w:val="TableParagraph"/>
              <w:spacing w:before="45"/>
              <w:ind w:left="489"/>
              <w:jc w:val="left"/>
              <w:rPr>
                <w:rFonts w:ascii="Arial MT"/>
                <w:sz w:val="14"/>
              </w:rPr>
            </w:pPr>
            <w:r>
              <w:rPr>
                <w:rFonts w:ascii="Arial MT"/>
                <w:color w:val="001F60"/>
                <w:sz w:val="14"/>
              </w:rPr>
              <w:t>Pessoal</w:t>
            </w:r>
            <w:r>
              <w:rPr>
                <w:rFonts w:ascii="Arial MT"/>
                <w:color w:val="001F60"/>
                <w:spacing w:val="-4"/>
                <w:sz w:val="14"/>
              </w:rPr>
              <w:t xml:space="preserve"> </w:t>
            </w:r>
            <w:r>
              <w:rPr>
                <w:rFonts w:ascii="Arial MT"/>
                <w:color w:val="001F60"/>
                <w:sz w:val="14"/>
              </w:rPr>
              <w:t>de</w:t>
            </w:r>
            <w:r>
              <w:rPr>
                <w:rFonts w:ascii="Arial MT"/>
                <w:color w:val="001F60"/>
                <w:spacing w:val="-5"/>
                <w:sz w:val="14"/>
              </w:rPr>
              <w:t xml:space="preserve"> </w:t>
            </w:r>
            <w:r>
              <w:rPr>
                <w:rFonts w:ascii="Arial MT"/>
                <w:color w:val="001F60"/>
                <w:spacing w:val="-2"/>
                <w:sz w:val="14"/>
              </w:rPr>
              <w:t>Investimento</w:t>
            </w:r>
          </w:p>
        </w:tc>
        <w:tc>
          <w:tcPr>
            <w:tcW w:w="848" w:type="dxa"/>
          </w:tcPr>
          <w:p w14:paraId="29862782" w14:textId="77777777" w:rsidR="002C6574" w:rsidRDefault="00000000">
            <w:pPr>
              <w:pStyle w:val="TableParagraph"/>
              <w:spacing w:before="45"/>
              <w:ind w:right="358"/>
              <w:rPr>
                <w:rFonts w:ascii="Arial MT"/>
                <w:sz w:val="14"/>
              </w:rPr>
            </w:pPr>
            <w:r>
              <w:rPr>
                <w:rFonts w:ascii="Arial MT"/>
                <w:color w:val="001F60"/>
                <w:spacing w:val="-4"/>
                <w:sz w:val="14"/>
              </w:rPr>
              <w:t>8,70</w:t>
            </w:r>
          </w:p>
        </w:tc>
        <w:tc>
          <w:tcPr>
            <w:tcW w:w="1262" w:type="dxa"/>
            <w:gridSpan w:val="2"/>
          </w:tcPr>
          <w:p w14:paraId="1AA66685" w14:textId="77777777" w:rsidR="002C6574" w:rsidRDefault="00000000">
            <w:pPr>
              <w:pStyle w:val="TableParagraph"/>
              <w:spacing w:before="45"/>
              <w:ind w:left="806"/>
              <w:jc w:val="left"/>
              <w:rPr>
                <w:rFonts w:ascii="Arial MT"/>
                <w:sz w:val="14"/>
              </w:rPr>
            </w:pPr>
            <w:r>
              <w:rPr>
                <w:rFonts w:ascii="Arial MT"/>
                <w:color w:val="001F60"/>
                <w:spacing w:val="-4"/>
                <w:sz w:val="14"/>
              </w:rPr>
              <w:t>6,91</w:t>
            </w:r>
          </w:p>
        </w:tc>
        <w:tc>
          <w:tcPr>
            <w:tcW w:w="1047" w:type="dxa"/>
          </w:tcPr>
          <w:p w14:paraId="7CB7A9F2" w14:textId="77777777" w:rsidR="002C6574" w:rsidRDefault="00000000">
            <w:pPr>
              <w:pStyle w:val="TableParagraph"/>
              <w:spacing w:before="45"/>
              <w:ind w:right="73"/>
              <w:rPr>
                <w:rFonts w:ascii="Arial MT"/>
                <w:sz w:val="14"/>
              </w:rPr>
            </w:pPr>
            <w:r>
              <w:rPr>
                <w:rFonts w:ascii="Arial MT"/>
                <w:color w:val="001F60"/>
                <w:spacing w:val="-5"/>
                <w:sz w:val="14"/>
              </w:rPr>
              <w:t>79%</w:t>
            </w:r>
          </w:p>
        </w:tc>
      </w:tr>
      <w:tr w:rsidR="002C6574" w14:paraId="30BC9706" w14:textId="77777777">
        <w:trPr>
          <w:trHeight w:val="254"/>
        </w:trPr>
        <w:tc>
          <w:tcPr>
            <w:tcW w:w="5725" w:type="dxa"/>
          </w:tcPr>
          <w:p w14:paraId="64D72EC9" w14:textId="77777777" w:rsidR="002C6574" w:rsidRDefault="00000000">
            <w:pPr>
              <w:pStyle w:val="TableParagraph"/>
              <w:spacing w:before="44"/>
              <w:ind w:left="489"/>
              <w:jc w:val="left"/>
              <w:rPr>
                <w:rFonts w:ascii="Arial MT"/>
                <w:sz w:val="14"/>
              </w:rPr>
            </w:pPr>
            <w:r>
              <w:rPr>
                <w:rFonts w:ascii="Arial MT"/>
                <w:color w:val="001F60"/>
                <w:sz w:val="14"/>
              </w:rPr>
              <w:t>Outros</w:t>
            </w:r>
            <w:r>
              <w:rPr>
                <w:rFonts w:ascii="Arial MT"/>
                <w:color w:val="001F60"/>
                <w:spacing w:val="-5"/>
                <w:sz w:val="14"/>
              </w:rPr>
              <w:t xml:space="preserve"> </w:t>
            </w:r>
            <w:r>
              <w:rPr>
                <w:rFonts w:ascii="Arial MT"/>
                <w:color w:val="001F60"/>
                <w:sz w:val="14"/>
              </w:rPr>
              <w:t>Investimentos</w:t>
            </w:r>
            <w:r>
              <w:rPr>
                <w:rFonts w:ascii="Arial MT"/>
                <w:color w:val="001F60"/>
                <w:spacing w:val="-3"/>
                <w:sz w:val="14"/>
              </w:rPr>
              <w:t xml:space="preserve"> </w:t>
            </w:r>
            <w:r>
              <w:rPr>
                <w:rFonts w:ascii="Arial MT"/>
                <w:color w:val="001F60"/>
                <w:sz w:val="14"/>
              </w:rPr>
              <w:t>no</w:t>
            </w:r>
            <w:r>
              <w:rPr>
                <w:rFonts w:ascii="Arial MT"/>
                <w:color w:val="001F60"/>
                <w:spacing w:val="-5"/>
                <w:sz w:val="14"/>
              </w:rPr>
              <w:t xml:space="preserve"> </w:t>
            </w:r>
            <w:r>
              <w:rPr>
                <w:rFonts w:ascii="Arial MT"/>
                <w:color w:val="001F60"/>
                <w:sz w:val="14"/>
              </w:rPr>
              <w:t>Ativo</w:t>
            </w:r>
            <w:r>
              <w:rPr>
                <w:rFonts w:ascii="Arial MT"/>
                <w:color w:val="001F60"/>
                <w:spacing w:val="-4"/>
                <w:sz w:val="14"/>
              </w:rPr>
              <w:t xml:space="preserve"> </w:t>
            </w:r>
            <w:r>
              <w:rPr>
                <w:rFonts w:ascii="Arial MT"/>
                <w:color w:val="001F60"/>
                <w:spacing w:val="-2"/>
                <w:sz w:val="14"/>
              </w:rPr>
              <w:t>Imobilizado</w:t>
            </w:r>
          </w:p>
        </w:tc>
        <w:tc>
          <w:tcPr>
            <w:tcW w:w="848" w:type="dxa"/>
          </w:tcPr>
          <w:p w14:paraId="2E2AD2C0" w14:textId="77777777" w:rsidR="002C6574" w:rsidRDefault="00000000">
            <w:pPr>
              <w:pStyle w:val="TableParagraph"/>
              <w:spacing w:before="44"/>
              <w:ind w:right="359"/>
              <w:rPr>
                <w:rFonts w:ascii="Arial MT"/>
                <w:sz w:val="14"/>
              </w:rPr>
            </w:pPr>
            <w:r>
              <w:rPr>
                <w:rFonts w:ascii="Arial MT"/>
                <w:color w:val="001F60"/>
                <w:spacing w:val="-2"/>
                <w:sz w:val="14"/>
              </w:rPr>
              <w:t>41,71</w:t>
            </w:r>
          </w:p>
        </w:tc>
        <w:tc>
          <w:tcPr>
            <w:tcW w:w="1262" w:type="dxa"/>
            <w:gridSpan w:val="2"/>
          </w:tcPr>
          <w:p w14:paraId="3BE3E1A6" w14:textId="77777777" w:rsidR="002C6574" w:rsidRDefault="00000000">
            <w:pPr>
              <w:pStyle w:val="TableParagraph"/>
              <w:spacing w:before="44"/>
              <w:ind w:left="727"/>
              <w:jc w:val="left"/>
              <w:rPr>
                <w:rFonts w:ascii="Arial MT"/>
                <w:sz w:val="14"/>
              </w:rPr>
            </w:pPr>
            <w:r>
              <w:rPr>
                <w:rFonts w:ascii="Arial MT"/>
                <w:color w:val="001F60"/>
                <w:spacing w:val="-2"/>
                <w:sz w:val="14"/>
              </w:rPr>
              <w:t>13,64</w:t>
            </w:r>
          </w:p>
        </w:tc>
        <w:tc>
          <w:tcPr>
            <w:tcW w:w="1047" w:type="dxa"/>
          </w:tcPr>
          <w:p w14:paraId="3054653D" w14:textId="77777777" w:rsidR="002C6574" w:rsidRDefault="00000000">
            <w:pPr>
              <w:pStyle w:val="TableParagraph"/>
              <w:spacing w:before="44"/>
              <w:ind w:right="73"/>
              <w:rPr>
                <w:rFonts w:ascii="Arial MT"/>
                <w:sz w:val="14"/>
              </w:rPr>
            </w:pPr>
            <w:r>
              <w:rPr>
                <w:rFonts w:ascii="Arial MT"/>
                <w:color w:val="001F60"/>
                <w:spacing w:val="-5"/>
                <w:sz w:val="14"/>
              </w:rPr>
              <w:t>33%</w:t>
            </w:r>
          </w:p>
        </w:tc>
      </w:tr>
      <w:tr w:rsidR="002C6574" w14:paraId="7EBA55F1" w14:textId="77777777">
        <w:trPr>
          <w:trHeight w:val="254"/>
        </w:trPr>
        <w:tc>
          <w:tcPr>
            <w:tcW w:w="5725" w:type="dxa"/>
          </w:tcPr>
          <w:p w14:paraId="4DFA8E0E" w14:textId="77777777" w:rsidR="002C6574" w:rsidRDefault="00000000">
            <w:pPr>
              <w:pStyle w:val="TableParagraph"/>
              <w:spacing w:before="44"/>
              <w:ind w:left="489"/>
              <w:jc w:val="left"/>
              <w:rPr>
                <w:rFonts w:ascii="Arial MT"/>
                <w:sz w:val="14"/>
              </w:rPr>
            </w:pPr>
            <w:r>
              <w:rPr>
                <w:rFonts w:ascii="Arial MT"/>
                <w:color w:val="001F60"/>
                <w:spacing w:val="-2"/>
                <w:sz w:val="14"/>
              </w:rPr>
              <w:t>Benfeitorias</w:t>
            </w:r>
          </w:p>
        </w:tc>
        <w:tc>
          <w:tcPr>
            <w:tcW w:w="848" w:type="dxa"/>
          </w:tcPr>
          <w:p w14:paraId="202896DD" w14:textId="77777777" w:rsidR="002C6574" w:rsidRDefault="00000000">
            <w:pPr>
              <w:pStyle w:val="TableParagraph"/>
              <w:spacing w:before="44"/>
              <w:ind w:right="358"/>
              <w:rPr>
                <w:rFonts w:ascii="Arial MT"/>
                <w:sz w:val="14"/>
              </w:rPr>
            </w:pPr>
            <w:r>
              <w:rPr>
                <w:rFonts w:ascii="Arial MT"/>
                <w:color w:val="001F60"/>
                <w:spacing w:val="-4"/>
                <w:sz w:val="14"/>
              </w:rPr>
              <w:t>0,60</w:t>
            </w:r>
          </w:p>
        </w:tc>
        <w:tc>
          <w:tcPr>
            <w:tcW w:w="1262" w:type="dxa"/>
            <w:gridSpan w:val="2"/>
          </w:tcPr>
          <w:p w14:paraId="503065B7" w14:textId="77777777" w:rsidR="002C6574" w:rsidRDefault="00000000">
            <w:pPr>
              <w:pStyle w:val="TableParagraph"/>
              <w:spacing w:before="44"/>
              <w:ind w:right="180"/>
              <w:rPr>
                <w:rFonts w:ascii="Arial MT"/>
                <w:sz w:val="14"/>
              </w:rPr>
            </w:pPr>
            <w:r>
              <w:rPr>
                <w:rFonts w:ascii="Arial MT"/>
                <w:color w:val="001F60"/>
                <w:spacing w:val="-10"/>
                <w:sz w:val="14"/>
              </w:rPr>
              <w:t>-</w:t>
            </w:r>
          </w:p>
        </w:tc>
        <w:tc>
          <w:tcPr>
            <w:tcW w:w="1047" w:type="dxa"/>
          </w:tcPr>
          <w:p w14:paraId="6BBAF79E" w14:textId="77777777" w:rsidR="002C6574" w:rsidRDefault="00000000">
            <w:pPr>
              <w:pStyle w:val="TableParagraph"/>
              <w:spacing w:before="44"/>
              <w:ind w:right="70"/>
              <w:rPr>
                <w:rFonts w:ascii="Arial MT"/>
                <w:sz w:val="14"/>
              </w:rPr>
            </w:pPr>
            <w:r>
              <w:rPr>
                <w:rFonts w:ascii="Arial MT"/>
                <w:color w:val="001F60"/>
                <w:spacing w:val="-5"/>
                <w:sz w:val="14"/>
              </w:rPr>
              <w:t>0%</w:t>
            </w:r>
          </w:p>
        </w:tc>
      </w:tr>
      <w:tr w:rsidR="002C6574" w14:paraId="6C82CECF" w14:textId="77777777">
        <w:trPr>
          <w:trHeight w:val="255"/>
        </w:trPr>
        <w:tc>
          <w:tcPr>
            <w:tcW w:w="5725" w:type="dxa"/>
          </w:tcPr>
          <w:p w14:paraId="4D7FEDF8" w14:textId="77777777" w:rsidR="002C6574" w:rsidRDefault="00000000">
            <w:pPr>
              <w:pStyle w:val="TableParagraph"/>
              <w:spacing w:before="44"/>
              <w:ind w:left="489"/>
              <w:jc w:val="left"/>
              <w:rPr>
                <w:rFonts w:ascii="Arial MT"/>
                <w:sz w:val="14"/>
              </w:rPr>
            </w:pPr>
            <w:r>
              <w:rPr>
                <w:rFonts w:ascii="Arial MT"/>
                <w:color w:val="001F60"/>
                <w:sz w:val="14"/>
              </w:rPr>
              <w:t>Outras</w:t>
            </w:r>
            <w:r>
              <w:rPr>
                <w:rFonts w:ascii="Arial MT"/>
                <w:color w:val="001F60"/>
                <w:spacing w:val="-5"/>
                <w:sz w:val="14"/>
              </w:rPr>
              <w:t xml:space="preserve"> </w:t>
            </w:r>
            <w:r>
              <w:rPr>
                <w:rFonts w:ascii="Arial MT"/>
                <w:color w:val="001F60"/>
                <w:sz w:val="14"/>
              </w:rPr>
              <w:t>Despesas</w:t>
            </w:r>
            <w:r>
              <w:rPr>
                <w:rFonts w:ascii="Arial MT"/>
                <w:color w:val="001F60"/>
                <w:spacing w:val="-5"/>
                <w:sz w:val="14"/>
              </w:rPr>
              <w:t xml:space="preserve"> </w:t>
            </w:r>
            <w:r>
              <w:rPr>
                <w:rFonts w:ascii="Arial MT"/>
                <w:color w:val="001F60"/>
                <w:sz w:val="14"/>
              </w:rPr>
              <w:t>de</w:t>
            </w:r>
            <w:r>
              <w:rPr>
                <w:rFonts w:ascii="Arial MT"/>
                <w:color w:val="001F60"/>
                <w:spacing w:val="-4"/>
                <w:sz w:val="14"/>
              </w:rPr>
              <w:t xml:space="preserve"> </w:t>
            </w:r>
            <w:r>
              <w:rPr>
                <w:rFonts w:ascii="Arial MT"/>
                <w:color w:val="001F60"/>
                <w:spacing w:val="-2"/>
                <w:sz w:val="14"/>
              </w:rPr>
              <w:t>Capital</w:t>
            </w:r>
          </w:p>
        </w:tc>
        <w:tc>
          <w:tcPr>
            <w:tcW w:w="848" w:type="dxa"/>
          </w:tcPr>
          <w:p w14:paraId="3FD920D4" w14:textId="77777777" w:rsidR="002C6574" w:rsidRDefault="00000000">
            <w:pPr>
              <w:pStyle w:val="TableParagraph"/>
              <w:spacing w:before="44"/>
              <w:ind w:right="358"/>
              <w:rPr>
                <w:rFonts w:ascii="Arial MT"/>
                <w:sz w:val="14"/>
              </w:rPr>
            </w:pPr>
            <w:r>
              <w:rPr>
                <w:rFonts w:ascii="Arial MT"/>
                <w:color w:val="001F60"/>
                <w:spacing w:val="-4"/>
                <w:sz w:val="14"/>
              </w:rPr>
              <w:t>0,92</w:t>
            </w:r>
          </w:p>
        </w:tc>
        <w:tc>
          <w:tcPr>
            <w:tcW w:w="1262" w:type="dxa"/>
            <w:gridSpan w:val="2"/>
          </w:tcPr>
          <w:p w14:paraId="07CD47C6" w14:textId="77777777" w:rsidR="002C6574" w:rsidRDefault="00000000">
            <w:pPr>
              <w:pStyle w:val="TableParagraph"/>
              <w:spacing w:before="44"/>
              <w:ind w:right="180"/>
              <w:rPr>
                <w:rFonts w:ascii="Arial MT"/>
                <w:sz w:val="14"/>
              </w:rPr>
            </w:pPr>
            <w:r>
              <w:rPr>
                <w:rFonts w:ascii="Arial MT"/>
                <w:color w:val="001F60"/>
                <w:spacing w:val="-10"/>
                <w:sz w:val="14"/>
              </w:rPr>
              <w:t>-</w:t>
            </w:r>
          </w:p>
        </w:tc>
        <w:tc>
          <w:tcPr>
            <w:tcW w:w="1047" w:type="dxa"/>
          </w:tcPr>
          <w:p w14:paraId="694739D7" w14:textId="77777777" w:rsidR="002C6574" w:rsidRDefault="00000000">
            <w:pPr>
              <w:pStyle w:val="TableParagraph"/>
              <w:spacing w:before="44"/>
              <w:ind w:right="70"/>
              <w:rPr>
                <w:rFonts w:ascii="Arial MT"/>
                <w:sz w:val="14"/>
              </w:rPr>
            </w:pPr>
            <w:r>
              <w:rPr>
                <w:rFonts w:ascii="Arial MT"/>
                <w:color w:val="001F60"/>
                <w:spacing w:val="-5"/>
                <w:sz w:val="14"/>
              </w:rPr>
              <w:t>0%</w:t>
            </w:r>
          </w:p>
        </w:tc>
      </w:tr>
      <w:tr w:rsidR="002C6574" w14:paraId="2A8AE630" w14:textId="77777777">
        <w:trPr>
          <w:trHeight w:val="255"/>
        </w:trPr>
        <w:tc>
          <w:tcPr>
            <w:tcW w:w="5725" w:type="dxa"/>
          </w:tcPr>
          <w:p w14:paraId="7144D601" w14:textId="77777777" w:rsidR="002C6574" w:rsidRDefault="00000000">
            <w:pPr>
              <w:pStyle w:val="TableParagraph"/>
              <w:spacing w:before="45"/>
              <w:ind w:left="69"/>
              <w:jc w:val="left"/>
              <w:rPr>
                <w:rFonts w:ascii="Arial"/>
                <w:b/>
                <w:sz w:val="14"/>
              </w:rPr>
            </w:pPr>
            <w:r>
              <w:rPr>
                <w:rFonts w:ascii="Arial"/>
                <w:b/>
                <w:color w:val="001F60"/>
                <w:sz w:val="14"/>
              </w:rPr>
              <w:t>Despesas</w:t>
            </w:r>
            <w:r>
              <w:rPr>
                <w:rFonts w:ascii="Arial"/>
                <w:b/>
                <w:color w:val="001F60"/>
                <w:spacing w:val="-7"/>
                <w:sz w:val="14"/>
              </w:rPr>
              <w:t xml:space="preserve"> </w:t>
            </w:r>
            <w:r>
              <w:rPr>
                <w:rFonts w:ascii="Arial"/>
                <w:b/>
                <w:color w:val="001F60"/>
                <w:spacing w:val="-2"/>
                <w:sz w:val="14"/>
              </w:rPr>
              <w:t>Correntes</w:t>
            </w:r>
          </w:p>
        </w:tc>
        <w:tc>
          <w:tcPr>
            <w:tcW w:w="848" w:type="dxa"/>
          </w:tcPr>
          <w:p w14:paraId="78D2D979" w14:textId="77777777" w:rsidR="002C6574" w:rsidRDefault="00000000">
            <w:pPr>
              <w:pStyle w:val="TableParagraph"/>
              <w:spacing w:before="45"/>
              <w:ind w:right="359"/>
              <w:rPr>
                <w:rFonts w:ascii="Arial"/>
                <w:b/>
                <w:sz w:val="14"/>
              </w:rPr>
            </w:pPr>
            <w:r>
              <w:rPr>
                <w:rFonts w:ascii="Arial"/>
                <w:b/>
                <w:color w:val="001F60"/>
                <w:spacing w:val="-2"/>
                <w:sz w:val="14"/>
              </w:rPr>
              <w:t>434,64</w:t>
            </w:r>
          </w:p>
        </w:tc>
        <w:tc>
          <w:tcPr>
            <w:tcW w:w="1262" w:type="dxa"/>
            <w:gridSpan w:val="2"/>
          </w:tcPr>
          <w:p w14:paraId="4BEDF390" w14:textId="77777777" w:rsidR="002C6574" w:rsidRDefault="00000000">
            <w:pPr>
              <w:pStyle w:val="TableParagraph"/>
              <w:spacing w:before="45"/>
              <w:ind w:left="650"/>
              <w:jc w:val="left"/>
              <w:rPr>
                <w:rFonts w:ascii="Arial"/>
                <w:b/>
                <w:sz w:val="14"/>
              </w:rPr>
            </w:pPr>
            <w:r>
              <w:rPr>
                <w:rFonts w:ascii="Arial"/>
                <w:b/>
                <w:color w:val="001F60"/>
                <w:spacing w:val="-2"/>
                <w:sz w:val="14"/>
              </w:rPr>
              <w:t>376,19</w:t>
            </w:r>
          </w:p>
        </w:tc>
        <w:tc>
          <w:tcPr>
            <w:tcW w:w="1047" w:type="dxa"/>
          </w:tcPr>
          <w:p w14:paraId="02A5B7DA" w14:textId="77777777" w:rsidR="002C6574" w:rsidRDefault="00000000">
            <w:pPr>
              <w:pStyle w:val="TableParagraph"/>
              <w:spacing w:before="45"/>
              <w:ind w:right="70"/>
              <w:rPr>
                <w:rFonts w:ascii="Arial"/>
                <w:b/>
                <w:sz w:val="14"/>
              </w:rPr>
            </w:pPr>
            <w:r>
              <w:rPr>
                <w:rFonts w:ascii="Arial"/>
                <w:b/>
                <w:color w:val="001F60"/>
                <w:spacing w:val="-5"/>
                <w:sz w:val="14"/>
              </w:rPr>
              <w:t>87%</w:t>
            </w:r>
          </w:p>
        </w:tc>
      </w:tr>
      <w:tr w:rsidR="002C6574" w14:paraId="05E95C9C" w14:textId="77777777">
        <w:trPr>
          <w:trHeight w:val="254"/>
        </w:trPr>
        <w:tc>
          <w:tcPr>
            <w:tcW w:w="5725" w:type="dxa"/>
          </w:tcPr>
          <w:p w14:paraId="2DAD7790" w14:textId="77777777" w:rsidR="002C6574" w:rsidRDefault="00000000">
            <w:pPr>
              <w:pStyle w:val="TableParagraph"/>
              <w:spacing w:before="44"/>
              <w:ind w:left="489"/>
              <w:jc w:val="left"/>
              <w:rPr>
                <w:rFonts w:ascii="Arial MT"/>
                <w:sz w:val="14"/>
              </w:rPr>
            </w:pPr>
            <w:r>
              <w:rPr>
                <w:rFonts w:ascii="Arial MT"/>
                <w:color w:val="001F60"/>
                <w:sz w:val="14"/>
              </w:rPr>
              <w:t>Despesas</w:t>
            </w:r>
            <w:r>
              <w:rPr>
                <w:rFonts w:ascii="Arial MT"/>
                <w:color w:val="001F60"/>
                <w:spacing w:val="-4"/>
                <w:sz w:val="14"/>
              </w:rPr>
              <w:t xml:space="preserve"> </w:t>
            </w:r>
            <w:r>
              <w:rPr>
                <w:rFonts w:ascii="Arial MT"/>
                <w:color w:val="001F60"/>
                <w:sz w:val="14"/>
              </w:rPr>
              <w:t>de</w:t>
            </w:r>
            <w:r>
              <w:rPr>
                <w:rFonts w:ascii="Arial MT"/>
                <w:color w:val="001F60"/>
                <w:spacing w:val="-5"/>
                <w:sz w:val="14"/>
              </w:rPr>
              <w:t xml:space="preserve"> </w:t>
            </w:r>
            <w:r>
              <w:rPr>
                <w:rFonts w:ascii="Arial MT"/>
                <w:color w:val="001F60"/>
                <w:spacing w:val="-2"/>
                <w:sz w:val="14"/>
              </w:rPr>
              <w:t>Pessoal</w:t>
            </w:r>
          </w:p>
        </w:tc>
        <w:tc>
          <w:tcPr>
            <w:tcW w:w="848" w:type="dxa"/>
          </w:tcPr>
          <w:p w14:paraId="72D09BA9" w14:textId="77777777" w:rsidR="002C6574" w:rsidRDefault="00000000">
            <w:pPr>
              <w:pStyle w:val="TableParagraph"/>
              <w:spacing w:before="44"/>
              <w:ind w:right="359"/>
              <w:rPr>
                <w:rFonts w:ascii="Arial MT"/>
                <w:sz w:val="14"/>
              </w:rPr>
            </w:pPr>
            <w:r>
              <w:rPr>
                <w:rFonts w:ascii="Arial MT"/>
                <w:color w:val="001F60"/>
                <w:spacing w:val="-2"/>
                <w:sz w:val="14"/>
              </w:rPr>
              <w:t>56,10</w:t>
            </w:r>
          </w:p>
        </w:tc>
        <w:tc>
          <w:tcPr>
            <w:tcW w:w="1262" w:type="dxa"/>
            <w:gridSpan w:val="2"/>
          </w:tcPr>
          <w:p w14:paraId="47F0A61E" w14:textId="77777777" w:rsidR="002C6574" w:rsidRDefault="00000000">
            <w:pPr>
              <w:pStyle w:val="TableParagraph"/>
              <w:spacing w:before="44"/>
              <w:ind w:left="727"/>
              <w:jc w:val="left"/>
              <w:rPr>
                <w:rFonts w:ascii="Arial MT"/>
                <w:sz w:val="14"/>
              </w:rPr>
            </w:pPr>
            <w:r>
              <w:rPr>
                <w:rFonts w:ascii="Arial MT"/>
                <w:color w:val="001F60"/>
                <w:spacing w:val="-2"/>
                <w:sz w:val="14"/>
              </w:rPr>
              <w:t>40,97</w:t>
            </w:r>
          </w:p>
        </w:tc>
        <w:tc>
          <w:tcPr>
            <w:tcW w:w="1047" w:type="dxa"/>
          </w:tcPr>
          <w:p w14:paraId="7621B353" w14:textId="77777777" w:rsidR="002C6574" w:rsidRDefault="00000000">
            <w:pPr>
              <w:pStyle w:val="TableParagraph"/>
              <w:spacing w:before="44"/>
              <w:ind w:right="73"/>
              <w:rPr>
                <w:rFonts w:ascii="Arial MT"/>
                <w:sz w:val="14"/>
              </w:rPr>
            </w:pPr>
            <w:r>
              <w:rPr>
                <w:rFonts w:ascii="Arial MT"/>
                <w:color w:val="001F60"/>
                <w:spacing w:val="-5"/>
                <w:sz w:val="14"/>
              </w:rPr>
              <w:t>73%</w:t>
            </w:r>
          </w:p>
        </w:tc>
      </w:tr>
      <w:tr w:rsidR="002C6574" w14:paraId="1BA6A964" w14:textId="77777777">
        <w:trPr>
          <w:trHeight w:val="254"/>
        </w:trPr>
        <w:tc>
          <w:tcPr>
            <w:tcW w:w="5725" w:type="dxa"/>
          </w:tcPr>
          <w:p w14:paraId="64927E0C" w14:textId="77777777" w:rsidR="002C6574" w:rsidRDefault="00000000">
            <w:pPr>
              <w:pStyle w:val="TableParagraph"/>
              <w:spacing w:before="44"/>
              <w:ind w:left="489"/>
              <w:jc w:val="left"/>
              <w:rPr>
                <w:rFonts w:ascii="Arial MT"/>
                <w:sz w:val="14"/>
              </w:rPr>
            </w:pPr>
            <w:r>
              <w:rPr>
                <w:rFonts w:ascii="Arial MT"/>
                <w:color w:val="001F60"/>
                <w:sz w:val="14"/>
              </w:rPr>
              <w:t>Despesas</w:t>
            </w:r>
            <w:r>
              <w:rPr>
                <w:rFonts w:ascii="Arial MT"/>
                <w:color w:val="001F60"/>
                <w:spacing w:val="-5"/>
                <w:sz w:val="14"/>
              </w:rPr>
              <w:t xml:space="preserve"> </w:t>
            </w:r>
            <w:r>
              <w:rPr>
                <w:rFonts w:ascii="Arial MT"/>
                <w:color w:val="001F60"/>
                <w:sz w:val="14"/>
              </w:rPr>
              <w:t>com</w:t>
            </w:r>
            <w:r>
              <w:rPr>
                <w:rFonts w:ascii="Arial MT"/>
                <w:color w:val="001F60"/>
                <w:spacing w:val="-3"/>
                <w:sz w:val="14"/>
              </w:rPr>
              <w:t xml:space="preserve"> </w:t>
            </w:r>
            <w:r>
              <w:rPr>
                <w:rFonts w:ascii="Arial MT"/>
                <w:color w:val="001F60"/>
                <w:spacing w:val="-2"/>
                <w:sz w:val="14"/>
              </w:rPr>
              <w:t>Dirigentes</w:t>
            </w:r>
          </w:p>
        </w:tc>
        <w:tc>
          <w:tcPr>
            <w:tcW w:w="848" w:type="dxa"/>
          </w:tcPr>
          <w:p w14:paraId="62FA8719" w14:textId="77777777" w:rsidR="002C6574" w:rsidRDefault="00000000">
            <w:pPr>
              <w:pStyle w:val="TableParagraph"/>
              <w:spacing w:before="44"/>
              <w:ind w:right="358"/>
              <w:rPr>
                <w:rFonts w:ascii="Arial MT"/>
                <w:sz w:val="14"/>
              </w:rPr>
            </w:pPr>
            <w:r>
              <w:rPr>
                <w:rFonts w:ascii="Arial MT"/>
                <w:color w:val="001F60"/>
                <w:spacing w:val="-4"/>
                <w:sz w:val="14"/>
              </w:rPr>
              <w:t>1,91</w:t>
            </w:r>
          </w:p>
        </w:tc>
        <w:tc>
          <w:tcPr>
            <w:tcW w:w="1262" w:type="dxa"/>
            <w:gridSpan w:val="2"/>
          </w:tcPr>
          <w:p w14:paraId="401DA3C6" w14:textId="77777777" w:rsidR="002C6574" w:rsidRDefault="00000000">
            <w:pPr>
              <w:pStyle w:val="TableParagraph"/>
              <w:spacing w:before="44"/>
              <w:ind w:left="806"/>
              <w:jc w:val="left"/>
              <w:rPr>
                <w:rFonts w:ascii="Arial MT"/>
                <w:sz w:val="14"/>
              </w:rPr>
            </w:pPr>
            <w:r>
              <w:rPr>
                <w:rFonts w:ascii="Arial MT"/>
                <w:color w:val="001F60"/>
                <w:spacing w:val="-4"/>
                <w:sz w:val="14"/>
              </w:rPr>
              <w:t>1,05</w:t>
            </w:r>
          </w:p>
        </w:tc>
        <w:tc>
          <w:tcPr>
            <w:tcW w:w="1047" w:type="dxa"/>
          </w:tcPr>
          <w:p w14:paraId="4C20A6AA" w14:textId="77777777" w:rsidR="002C6574" w:rsidRDefault="00000000">
            <w:pPr>
              <w:pStyle w:val="TableParagraph"/>
              <w:spacing w:before="44"/>
              <w:ind w:right="73"/>
              <w:rPr>
                <w:rFonts w:ascii="Arial MT"/>
                <w:sz w:val="14"/>
              </w:rPr>
            </w:pPr>
            <w:r>
              <w:rPr>
                <w:rFonts w:ascii="Arial MT"/>
                <w:color w:val="001F60"/>
                <w:spacing w:val="-5"/>
                <w:sz w:val="14"/>
              </w:rPr>
              <w:t>55%</w:t>
            </w:r>
          </w:p>
        </w:tc>
      </w:tr>
      <w:tr w:rsidR="002C6574" w14:paraId="6DD519EB" w14:textId="77777777">
        <w:trPr>
          <w:trHeight w:val="255"/>
        </w:trPr>
        <w:tc>
          <w:tcPr>
            <w:tcW w:w="5725" w:type="dxa"/>
          </w:tcPr>
          <w:p w14:paraId="63BD2ECD" w14:textId="77777777" w:rsidR="002C6574" w:rsidRDefault="00000000">
            <w:pPr>
              <w:pStyle w:val="TableParagraph"/>
              <w:spacing w:before="44"/>
              <w:ind w:left="489"/>
              <w:jc w:val="left"/>
              <w:rPr>
                <w:rFonts w:ascii="Arial MT" w:hAnsi="Arial MT"/>
                <w:sz w:val="14"/>
              </w:rPr>
            </w:pPr>
            <w:r>
              <w:rPr>
                <w:rFonts w:ascii="Arial MT" w:hAnsi="Arial MT"/>
                <w:color w:val="001F60"/>
                <w:sz w:val="14"/>
              </w:rPr>
              <w:t>Despesas</w:t>
            </w:r>
            <w:r>
              <w:rPr>
                <w:rFonts w:ascii="Arial MT" w:hAnsi="Arial MT"/>
                <w:color w:val="001F60"/>
                <w:spacing w:val="-4"/>
                <w:sz w:val="14"/>
              </w:rPr>
              <w:t xml:space="preserve"> </w:t>
            </w:r>
            <w:r>
              <w:rPr>
                <w:rFonts w:ascii="Arial MT" w:hAnsi="Arial MT"/>
                <w:color w:val="001F60"/>
                <w:sz w:val="14"/>
              </w:rPr>
              <w:t>com</w:t>
            </w:r>
            <w:r>
              <w:rPr>
                <w:rFonts w:ascii="Arial MT" w:hAnsi="Arial MT"/>
                <w:color w:val="001F60"/>
                <w:spacing w:val="-2"/>
                <w:sz w:val="14"/>
              </w:rPr>
              <w:t xml:space="preserve"> </w:t>
            </w:r>
            <w:r>
              <w:rPr>
                <w:rFonts w:ascii="Arial MT" w:hAnsi="Arial MT"/>
                <w:color w:val="001F60"/>
                <w:sz w:val="14"/>
              </w:rPr>
              <w:t>Conselhos</w:t>
            </w:r>
            <w:r>
              <w:rPr>
                <w:rFonts w:ascii="Arial MT" w:hAnsi="Arial MT"/>
                <w:color w:val="001F60"/>
                <w:spacing w:val="-5"/>
                <w:sz w:val="14"/>
              </w:rPr>
              <w:t xml:space="preserve"> </w:t>
            </w:r>
            <w:r>
              <w:rPr>
                <w:rFonts w:ascii="Arial MT" w:hAnsi="Arial MT"/>
                <w:color w:val="001F60"/>
                <w:sz w:val="14"/>
              </w:rPr>
              <w:t>e</w:t>
            </w:r>
            <w:r>
              <w:rPr>
                <w:rFonts w:ascii="Arial MT" w:hAnsi="Arial MT"/>
                <w:color w:val="001F60"/>
                <w:spacing w:val="-4"/>
                <w:sz w:val="14"/>
              </w:rPr>
              <w:t xml:space="preserve"> </w:t>
            </w:r>
            <w:r>
              <w:rPr>
                <w:rFonts w:ascii="Arial MT" w:hAnsi="Arial MT"/>
                <w:color w:val="001F60"/>
                <w:sz w:val="14"/>
              </w:rPr>
              <w:t>Comitês</w:t>
            </w:r>
            <w:r>
              <w:rPr>
                <w:rFonts w:ascii="Arial MT" w:hAnsi="Arial MT"/>
                <w:color w:val="001F60"/>
                <w:spacing w:val="-5"/>
                <w:sz w:val="14"/>
              </w:rPr>
              <w:t xml:space="preserve"> </w:t>
            </w:r>
            <w:r>
              <w:rPr>
                <w:rFonts w:ascii="Arial MT" w:hAnsi="Arial MT"/>
                <w:color w:val="001F60"/>
                <w:spacing w:val="-2"/>
                <w:sz w:val="14"/>
              </w:rPr>
              <w:t>Estatutários</w:t>
            </w:r>
          </w:p>
        </w:tc>
        <w:tc>
          <w:tcPr>
            <w:tcW w:w="848" w:type="dxa"/>
          </w:tcPr>
          <w:p w14:paraId="6BB967A1" w14:textId="77777777" w:rsidR="002C6574" w:rsidRDefault="00000000">
            <w:pPr>
              <w:pStyle w:val="TableParagraph"/>
              <w:spacing w:before="44"/>
              <w:ind w:right="358"/>
              <w:rPr>
                <w:rFonts w:ascii="Arial MT"/>
                <w:sz w:val="14"/>
              </w:rPr>
            </w:pPr>
            <w:r>
              <w:rPr>
                <w:rFonts w:ascii="Arial MT"/>
                <w:color w:val="001F60"/>
                <w:spacing w:val="-4"/>
                <w:sz w:val="14"/>
              </w:rPr>
              <w:t>0,35</w:t>
            </w:r>
          </w:p>
        </w:tc>
        <w:tc>
          <w:tcPr>
            <w:tcW w:w="1262" w:type="dxa"/>
            <w:gridSpan w:val="2"/>
          </w:tcPr>
          <w:p w14:paraId="42C980AD" w14:textId="77777777" w:rsidR="002C6574" w:rsidRDefault="00000000">
            <w:pPr>
              <w:pStyle w:val="TableParagraph"/>
              <w:spacing w:before="44"/>
              <w:ind w:left="806"/>
              <w:jc w:val="left"/>
              <w:rPr>
                <w:rFonts w:ascii="Arial MT"/>
                <w:sz w:val="14"/>
              </w:rPr>
            </w:pPr>
            <w:r>
              <w:rPr>
                <w:rFonts w:ascii="Arial MT"/>
                <w:color w:val="001F60"/>
                <w:spacing w:val="-4"/>
                <w:sz w:val="14"/>
              </w:rPr>
              <w:t>0,27</w:t>
            </w:r>
          </w:p>
        </w:tc>
        <w:tc>
          <w:tcPr>
            <w:tcW w:w="1047" w:type="dxa"/>
          </w:tcPr>
          <w:p w14:paraId="475A49FC" w14:textId="77777777" w:rsidR="002C6574" w:rsidRDefault="00000000">
            <w:pPr>
              <w:pStyle w:val="TableParagraph"/>
              <w:spacing w:before="44"/>
              <w:ind w:right="73"/>
              <w:rPr>
                <w:rFonts w:ascii="Arial MT"/>
                <w:sz w:val="14"/>
              </w:rPr>
            </w:pPr>
            <w:r>
              <w:rPr>
                <w:rFonts w:ascii="Arial MT"/>
                <w:color w:val="001F60"/>
                <w:spacing w:val="-5"/>
                <w:sz w:val="14"/>
              </w:rPr>
              <w:t>79%</w:t>
            </w:r>
          </w:p>
        </w:tc>
      </w:tr>
      <w:tr w:rsidR="002C6574" w14:paraId="2160466F" w14:textId="77777777">
        <w:trPr>
          <w:trHeight w:val="255"/>
        </w:trPr>
        <w:tc>
          <w:tcPr>
            <w:tcW w:w="5725" w:type="dxa"/>
          </w:tcPr>
          <w:p w14:paraId="23503041" w14:textId="77777777" w:rsidR="002C6574" w:rsidRDefault="00000000">
            <w:pPr>
              <w:pStyle w:val="TableParagraph"/>
              <w:spacing w:before="45"/>
              <w:ind w:left="489"/>
              <w:jc w:val="left"/>
              <w:rPr>
                <w:rFonts w:ascii="Arial MT"/>
                <w:sz w:val="14"/>
              </w:rPr>
            </w:pPr>
            <w:r>
              <w:rPr>
                <w:rFonts w:ascii="Arial MT"/>
                <w:color w:val="001F60"/>
                <w:sz w:val="14"/>
              </w:rPr>
              <w:t>Materiais</w:t>
            </w:r>
            <w:r>
              <w:rPr>
                <w:rFonts w:ascii="Arial MT"/>
                <w:color w:val="001F60"/>
                <w:spacing w:val="-5"/>
                <w:sz w:val="14"/>
              </w:rPr>
              <w:t xml:space="preserve"> </w:t>
            </w:r>
            <w:r>
              <w:rPr>
                <w:rFonts w:ascii="Arial MT"/>
                <w:color w:val="001F60"/>
                <w:sz w:val="14"/>
              </w:rPr>
              <w:t>e</w:t>
            </w:r>
            <w:r>
              <w:rPr>
                <w:rFonts w:ascii="Arial MT"/>
                <w:color w:val="001F60"/>
                <w:spacing w:val="-3"/>
                <w:sz w:val="14"/>
              </w:rPr>
              <w:t xml:space="preserve"> </w:t>
            </w:r>
            <w:r>
              <w:rPr>
                <w:rFonts w:ascii="Arial MT"/>
                <w:color w:val="001F60"/>
                <w:spacing w:val="-2"/>
                <w:sz w:val="14"/>
              </w:rPr>
              <w:t>Produtos</w:t>
            </w:r>
          </w:p>
        </w:tc>
        <w:tc>
          <w:tcPr>
            <w:tcW w:w="848" w:type="dxa"/>
          </w:tcPr>
          <w:p w14:paraId="5657E609" w14:textId="77777777" w:rsidR="002C6574" w:rsidRDefault="00000000">
            <w:pPr>
              <w:pStyle w:val="TableParagraph"/>
              <w:spacing w:before="45"/>
              <w:ind w:right="359"/>
              <w:rPr>
                <w:rFonts w:ascii="Arial MT"/>
                <w:sz w:val="14"/>
              </w:rPr>
            </w:pPr>
            <w:r>
              <w:rPr>
                <w:rFonts w:ascii="Arial MT"/>
                <w:color w:val="001F60"/>
                <w:spacing w:val="-4"/>
                <w:sz w:val="14"/>
              </w:rPr>
              <w:t>0,83</w:t>
            </w:r>
          </w:p>
        </w:tc>
        <w:tc>
          <w:tcPr>
            <w:tcW w:w="1262" w:type="dxa"/>
            <w:gridSpan w:val="2"/>
          </w:tcPr>
          <w:p w14:paraId="0520B87F" w14:textId="77777777" w:rsidR="002C6574" w:rsidRDefault="00000000">
            <w:pPr>
              <w:pStyle w:val="TableParagraph"/>
              <w:spacing w:before="45"/>
              <w:ind w:left="806"/>
              <w:jc w:val="left"/>
              <w:rPr>
                <w:rFonts w:ascii="Arial MT"/>
                <w:sz w:val="14"/>
              </w:rPr>
            </w:pPr>
            <w:r>
              <w:rPr>
                <w:rFonts w:ascii="Arial MT"/>
                <w:color w:val="001F60"/>
                <w:spacing w:val="-4"/>
                <w:sz w:val="14"/>
              </w:rPr>
              <w:t>0,05</w:t>
            </w:r>
          </w:p>
        </w:tc>
        <w:tc>
          <w:tcPr>
            <w:tcW w:w="1047" w:type="dxa"/>
          </w:tcPr>
          <w:p w14:paraId="53528FB7" w14:textId="77777777" w:rsidR="002C6574" w:rsidRDefault="00000000">
            <w:pPr>
              <w:pStyle w:val="TableParagraph"/>
              <w:spacing w:before="45"/>
              <w:ind w:right="70"/>
              <w:rPr>
                <w:rFonts w:ascii="Arial MT"/>
                <w:sz w:val="14"/>
              </w:rPr>
            </w:pPr>
            <w:r>
              <w:rPr>
                <w:rFonts w:ascii="Arial MT"/>
                <w:color w:val="001F60"/>
                <w:spacing w:val="-5"/>
                <w:sz w:val="14"/>
              </w:rPr>
              <w:t>6%</w:t>
            </w:r>
          </w:p>
        </w:tc>
      </w:tr>
      <w:tr w:rsidR="002C6574" w14:paraId="332CFA8C" w14:textId="77777777">
        <w:trPr>
          <w:trHeight w:val="254"/>
        </w:trPr>
        <w:tc>
          <w:tcPr>
            <w:tcW w:w="5725" w:type="dxa"/>
          </w:tcPr>
          <w:p w14:paraId="057AD9D5" w14:textId="77777777" w:rsidR="002C6574" w:rsidRDefault="00000000">
            <w:pPr>
              <w:pStyle w:val="TableParagraph"/>
              <w:spacing w:before="44"/>
              <w:ind w:left="489"/>
              <w:jc w:val="left"/>
              <w:rPr>
                <w:rFonts w:ascii="Arial MT" w:hAnsi="Arial MT"/>
                <w:sz w:val="14"/>
              </w:rPr>
            </w:pPr>
            <w:r>
              <w:rPr>
                <w:rFonts w:ascii="Arial MT" w:hAnsi="Arial MT"/>
                <w:color w:val="001F60"/>
                <w:sz w:val="14"/>
              </w:rPr>
              <w:t>Serviços</w:t>
            </w:r>
            <w:r>
              <w:rPr>
                <w:rFonts w:ascii="Arial MT" w:hAnsi="Arial MT"/>
                <w:color w:val="001F60"/>
                <w:spacing w:val="-4"/>
                <w:sz w:val="14"/>
              </w:rPr>
              <w:t xml:space="preserve"> </w:t>
            </w:r>
            <w:r>
              <w:rPr>
                <w:rFonts w:ascii="Arial MT" w:hAnsi="Arial MT"/>
                <w:color w:val="001F60"/>
                <w:sz w:val="14"/>
              </w:rPr>
              <w:t>de</w:t>
            </w:r>
            <w:r>
              <w:rPr>
                <w:rFonts w:ascii="Arial MT" w:hAnsi="Arial MT"/>
                <w:color w:val="001F60"/>
                <w:spacing w:val="-5"/>
                <w:sz w:val="14"/>
              </w:rPr>
              <w:t xml:space="preserve"> </w:t>
            </w:r>
            <w:r>
              <w:rPr>
                <w:rFonts w:ascii="Arial MT" w:hAnsi="Arial MT"/>
                <w:color w:val="001F60"/>
                <w:spacing w:val="-2"/>
                <w:sz w:val="14"/>
              </w:rPr>
              <w:t>Terceiros</w:t>
            </w:r>
          </w:p>
        </w:tc>
        <w:tc>
          <w:tcPr>
            <w:tcW w:w="848" w:type="dxa"/>
          </w:tcPr>
          <w:p w14:paraId="55037B1F" w14:textId="77777777" w:rsidR="002C6574" w:rsidRDefault="00000000">
            <w:pPr>
              <w:pStyle w:val="TableParagraph"/>
              <w:spacing w:before="44"/>
              <w:ind w:right="358"/>
              <w:rPr>
                <w:rFonts w:ascii="Arial MT"/>
                <w:sz w:val="14"/>
              </w:rPr>
            </w:pPr>
            <w:r>
              <w:rPr>
                <w:rFonts w:ascii="Arial MT"/>
                <w:color w:val="001F60"/>
                <w:spacing w:val="-2"/>
                <w:sz w:val="14"/>
              </w:rPr>
              <w:t>78,76</w:t>
            </w:r>
          </w:p>
        </w:tc>
        <w:tc>
          <w:tcPr>
            <w:tcW w:w="1262" w:type="dxa"/>
            <w:gridSpan w:val="2"/>
          </w:tcPr>
          <w:p w14:paraId="01973DB1" w14:textId="77777777" w:rsidR="002C6574" w:rsidRDefault="00000000">
            <w:pPr>
              <w:pStyle w:val="TableParagraph"/>
              <w:spacing w:before="44"/>
              <w:ind w:left="727"/>
              <w:jc w:val="left"/>
              <w:rPr>
                <w:rFonts w:ascii="Arial MT"/>
                <w:sz w:val="14"/>
              </w:rPr>
            </w:pPr>
            <w:r>
              <w:rPr>
                <w:rFonts w:ascii="Arial MT"/>
                <w:color w:val="001F60"/>
                <w:spacing w:val="-2"/>
                <w:sz w:val="14"/>
              </w:rPr>
              <w:t>45,37</w:t>
            </w:r>
          </w:p>
        </w:tc>
        <w:tc>
          <w:tcPr>
            <w:tcW w:w="1047" w:type="dxa"/>
          </w:tcPr>
          <w:p w14:paraId="22265238" w14:textId="77777777" w:rsidR="002C6574" w:rsidRDefault="00000000">
            <w:pPr>
              <w:pStyle w:val="TableParagraph"/>
              <w:spacing w:before="44"/>
              <w:ind w:right="73"/>
              <w:rPr>
                <w:rFonts w:ascii="Arial MT"/>
                <w:sz w:val="14"/>
              </w:rPr>
            </w:pPr>
            <w:r>
              <w:rPr>
                <w:rFonts w:ascii="Arial MT"/>
                <w:color w:val="001F60"/>
                <w:spacing w:val="-5"/>
                <w:sz w:val="14"/>
              </w:rPr>
              <w:t>58%</w:t>
            </w:r>
          </w:p>
        </w:tc>
      </w:tr>
      <w:tr w:rsidR="002C6574" w14:paraId="06E1D3A2" w14:textId="77777777">
        <w:trPr>
          <w:trHeight w:val="254"/>
        </w:trPr>
        <w:tc>
          <w:tcPr>
            <w:tcW w:w="5725" w:type="dxa"/>
          </w:tcPr>
          <w:p w14:paraId="5F94A7C9" w14:textId="77777777" w:rsidR="002C6574" w:rsidRDefault="00000000">
            <w:pPr>
              <w:pStyle w:val="TableParagraph"/>
              <w:spacing w:before="44"/>
              <w:ind w:left="489"/>
              <w:jc w:val="left"/>
              <w:rPr>
                <w:rFonts w:ascii="Arial MT"/>
                <w:sz w:val="14"/>
              </w:rPr>
            </w:pPr>
            <w:r>
              <w:rPr>
                <w:rFonts w:ascii="Arial MT"/>
                <w:color w:val="001F60"/>
                <w:spacing w:val="-2"/>
                <w:sz w:val="14"/>
              </w:rPr>
              <w:t>Tributos</w:t>
            </w:r>
          </w:p>
        </w:tc>
        <w:tc>
          <w:tcPr>
            <w:tcW w:w="848" w:type="dxa"/>
          </w:tcPr>
          <w:p w14:paraId="64F5A0D2" w14:textId="77777777" w:rsidR="002C6574" w:rsidRDefault="00000000">
            <w:pPr>
              <w:pStyle w:val="TableParagraph"/>
              <w:spacing w:before="44"/>
              <w:ind w:right="358"/>
              <w:rPr>
                <w:rFonts w:ascii="Arial MT"/>
                <w:sz w:val="14"/>
              </w:rPr>
            </w:pPr>
            <w:r>
              <w:rPr>
                <w:rFonts w:ascii="Arial MT"/>
                <w:color w:val="001F60"/>
                <w:spacing w:val="-2"/>
                <w:sz w:val="14"/>
              </w:rPr>
              <w:t>47,23</w:t>
            </w:r>
          </w:p>
        </w:tc>
        <w:tc>
          <w:tcPr>
            <w:tcW w:w="1262" w:type="dxa"/>
            <w:gridSpan w:val="2"/>
          </w:tcPr>
          <w:p w14:paraId="3E2795DF" w14:textId="77777777" w:rsidR="002C6574" w:rsidRDefault="00000000">
            <w:pPr>
              <w:pStyle w:val="TableParagraph"/>
              <w:spacing w:before="44"/>
              <w:ind w:left="727"/>
              <w:jc w:val="left"/>
              <w:rPr>
                <w:rFonts w:ascii="Arial MT"/>
                <w:sz w:val="14"/>
              </w:rPr>
            </w:pPr>
            <w:r>
              <w:rPr>
                <w:rFonts w:ascii="Arial MT"/>
                <w:color w:val="001F60"/>
                <w:spacing w:val="-2"/>
                <w:sz w:val="14"/>
              </w:rPr>
              <w:t>76,49</w:t>
            </w:r>
          </w:p>
        </w:tc>
        <w:tc>
          <w:tcPr>
            <w:tcW w:w="1047" w:type="dxa"/>
          </w:tcPr>
          <w:p w14:paraId="0FAD4FFA" w14:textId="77777777" w:rsidR="002C6574" w:rsidRDefault="00000000">
            <w:pPr>
              <w:pStyle w:val="TableParagraph"/>
              <w:spacing w:before="44"/>
              <w:ind w:right="72"/>
              <w:rPr>
                <w:rFonts w:ascii="Arial MT"/>
                <w:sz w:val="14"/>
              </w:rPr>
            </w:pPr>
            <w:r>
              <w:rPr>
                <w:rFonts w:ascii="Arial MT"/>
                <w:color w:val="001F60"/>
                <w:spacing w:val="-4"/>
                <w:sz w:val="14"/>
              </w:rPr>
              <w:t>162%</w:t>
            </w:r>
          </w:p>
        </w:tc>
      </w:tr>
      <w:tr w:rsidR="002C6574" w14:paraId="5519ED6F" w14:textId="77777777">
        <w:trPr>
          <w:trHeight w:val="255"/>
        </w:trPr>
        <w:tc>
          <w:tcPr>
            <w:tcW w:w="5725" w:type="dxa"/>
          </w:tcPr>
          <w:p w14:paraId="2080AEF7" w14:textId="77777777" w:rsidR="002C6574" w:rsidRDefault="00000000">
            <w:pPr>
              <w:pStyle w:val="TableParagraph"/>
              <w:spacing w:before="44"/>
              <w:ind w:left="489"/>
              <w:jc w:val="left"/>
              <w:rPr>
                <w:rFonts w:ascii="Arial MT"/>
                <w:sz w:val="14"/>
              </w:rPr>
            </w:pPr>
            <w:r>
              <w:rPr>
                <w:rFonts w:ascii="Arial MT"/>
                <w:color w:val="001F60"/>
                <w:sz w:val="14"/>
              </w:rPr>
              <w:t>Despesas</w:t>
            </w:r>
            <w:r>
              <w:rPr>
                <w:rFonts w:ascii="Arial MT"/>
                <w:color w:val="001F60"/>
                <w:spacing w:val="-7"/>
                <w:sz w:val="14"/>
              </w:rPr>
              <w:t xml:space="preserve"> </w:t>
            </w:r>
            <w:r>
              <w:rPr>
                <w:rFonts w:ascii="Arial MT"/>
                <w:color w:val="001F60"/>
                <w:spacing w:val="-2"/>
                <w:sz w:val="14"/>
              </w:rPr>
              <w:t>Financeiras</w:t>
            </w:r>
          </w:p>
        </w:tc>
        <w:tc>
          <w:tcPr>
            <w:tcW w:w="848" w:type="dxa"/>
          </w:tcPr>
          <w:p w14:paraId="03C50DA7" w14:textId="77777777" w:rsidR="002C6574" w:rsidRDefault="00000000">
            <w:pPr>
              <w:pStyle w:val="TableParagraph"/>
              <w:spacing w:before="44"/>
              <w:ind w:right="359"/>
              <w:rPr>
                <w:rFonts w:ascii="Arial MT"/>
                <w:sz w:val="14"/>
              </w:rPr>
            </w:pPr>
            <w:r>
              <w:rPr>
                <w:rFonts w:ascii="Arial MT"/>
                <w:color w:val="001F60"/>
                <w:spacing w:val="-2"/>
                <w:sz w:val="14"/>
              </w:rPr>
              <w:t>126,17</w:t>
            </w:r>
          </w:p>
        </w:tc>
        <w:tc>
          <w:tcPr>
            <w:tcW w:w="1262" w:type="dxa"/>
            <w:gridSpan w:val="2"/>
          </w:tcPr>
          <w:p w14:paraId="39A983EE" w14:textId="77777777" w:rsidR="002C6574" w:rsidRDefault="00000000">
            <w:pPr>
              <w:pStyle w:val="TableParagraph"/>
              <w:spacing w:before="44"/>
              <w:ind w:left="727"/>
              <w:jc w:val="left"/>
              <w:rPr>
                <w:rFonts w:ascii="Arial MT"/>
                <w:sz w:val="14"/>
              </w:rPr>
            </w:pPr>
            <w:r>
              <w:rPr>
                <w:rFonts w:ascii="Arial MT"/>
                <w:color w:val="001F60"/>
                <w:spacing w:val="-2"/>
                <w:sz w:val="14"/>
              </w:rPr>
              <w:t>98,91</w:t>
            </w:r>
          </w:p>
        </w:tc>
        <w:tc>
          <w:tcPr>
            <w:tcW w:w="1047" w:type="dxa"/>
          </w:tcPr>
          <w:p w14:paraId="37370725" w14:textId="77777777" w:rsidR="002C6574" w:rsidRDefault="00000000">
            <w:pPr>
              <w:pStyle w:val="TableParagraph"/>
              <w:spacing w:before="44"/>
              <w:ind w:right="73"/>
              <w:rPr>
                <w:rFonts w:ascii="Arial MT"/>
                <w:sz w:val="14"/>
              </w:rPr>
            </w:pPr>
            <w:r>
              <w:rPr>
                <w:rFonts w:ascii="Arial MT"/>
                <w:color w:val="001F60"/>
                <w:spacing w:val="-5"/>
                <w:sz w:val="14"/>
              </w:rPr>
              <w:t>78%</w:t>
            </w:r>
          </w:p>
        </w:tc>
      </w:tr>
      <w:tr w:rsidR="002C6574" w14:paraId="0C965938" w14:textId="77777777">
        <w:trPr>
          <w:trHeight w:val="250"/>
        </w:trPr>
        <w:tc>
          <w:tcPr>
            <w:tcW w:w="5725" w:type="dxa"/>
            <w:tcBorders>
              <w:bottom w:val="single" w:sz="4" w:space="0" w:color="001F60"/>
            </w:tcBorders>
          </w:tcPr>
          <w:p w14:paraId="5EB690BE" w14:textId="77777777" w:rsidR="002C6574" w:rsidRDefault="00000000">
            <w:pPr>
              <w:pStyle w:val="TableParagraph"/>
              <w:spacing w:before="45"/>
              <w:ind w:left="489"/>
              <w:jc w:val="left"/>
              <w:rPr>
                <w:rFonts w:ascii="Arial MT"/>
                <w:sz w:val="14"/>
              </w:rPr>
            </w:pPr>
            <w:r>
              <w:rPr>
                <w:rFonts w:ascii="Arial MT"/>
                <w:color w:val="001F60"/>
                <w:sz w:val="14"/>
              </w:rPr>
              <w:t>Outras</w:t>
            </w:r>
            <w:r>
              <w:rPr>
                <w:rFonts w:ascii="Arial MT"/>
                <w:color w:val="001F60"/>
                <w:spacing w:val="-6"/>
                <w:sz w:val="14"/>
              </w:rPr>
              <w:t xml:space="preserve"> </w:t>
            </w:r>
            <w:r>
              <w:rPr>
                <w:rFonts w:ascii="Arial MT"/>
                <w:color w:val="001F60"/>
                <w:sz w:val="14"/>
              </w:rPr>
              <w:t>Despesas</w:t>
            </w:r>
            <w:r>
              <w:rPr>
                <w:rFonts w:ascii="Arial MT"/>
                <w:color w:val="001F60"/>
                <w:spacing w:val="-7"/>
                <w:sz w:val="14"/>
              </w:rPr>
              <w:t xml:space="preserve"> </w:t>
            </w:r>
            <w:r>
              <w:rPr>
                <w:rFonts w:ascii="Arial MT"/>
                <w:color w:val="001F60"/>
                <w:spacing w:val="-2"/>
                <w:sz w:val="14"/>
              </w:rPr>
              <w:t>Correntes</w:t>
            </w:r>
          </w:p>
        </w:tc>
        <w:tc>
          <w:tcPr>
            <w:tcW w:w="848" w:type="dxa"/>
            <w:tcBorders>
              <w:bottom w:val="single" w:sz="4" w:space="0" w:color="001F60"/>
            </w:tcBorders>
          </w:tcPr>
          <w:p w14:paraId="1CDBA590" w14:textId="77777777" w:rsidR="002C6574" w:rsidRDefault="00000000">
            <w:pPr>
              <w:pStyle w:val="TableParagraph"/>
              <w:spacing w:before="45"/>
              <w:ind w:right="358"/>
              <w:rPr>
                <w:rFonts w:ascii="Arial MT"/>
                <w:sz w:val="14"/>
              </w:rPr>
            </w:pPr>
            <w:r>
              <w:rPr>
                <w:rFonts w:ascii="Arial MT"/>
                <w:color w:val="001F60"/>
                <w:spacing w:val="-2"/>
                <w:sz w:val="14"/>
              </w:rPr>
              <w:t>123,29</w:t>
            </w:r>
          </w:p>
        </w:tc>
        <w:tc>
          <w:tcPr>
            <w:tcW w:w="1262" w:type="dxa"/>
            <w:gridSpan w:val="2"/>
            <w:tcBorders>
              <w:bottom w:val="single" w:sz="4" w:space="0" w:color="001F60"/>
            </w:tcBorders>
          </w:tcPr>
          <w:p w14:paraId="316B454D" w14:textId="77777777" w:rsidR="002C6574" w:rsidRDefault="00000000">
            <w:pPr>
              <w:pStyle w:val="TableParagraph"/>
              <w:spacing w:before="45"/>
              <w:ind w:left="651"/>
              <w:jc w:val="left"/>
              <w:rPr>
                <w:rFonts w:ascii="Arial MT"/>
                <w:sz w:val="14"/>
              </w:rPr>
            </w:pPr>
            <w:r>
              <w:rPr>
                <w:rFonts w:ascii="Arial MT"/>
                <w:color w:val="001F60"/>
                <w:spacing w:val="-2"/>
                <w:sz w:val="14"/>
              </w:rPr>
              <w:t>113,09</w:t>
            </w:r>
          </w:p>
        </w:tc>
        <w:tc>
          <w:tcPr>
            <w:tcW w:w="1047" w:type="dxa"/>
            <w:tcBorders>
              <w:bottom w:val="single" w:sz="4" w:space="0" w:color="001F60"/>
            </w:tcBorders>
          </w:tcPr>
          <w:p w14:paraId="7B4E7974" w14:textId="77777777" w:rsidR="002C6574" w:rsidRDefault="00000000">
            <w:pPr>
              <w:pStyle w:val="TableParagraph"/>
              <w:spacing w:before="45"/>
              <w:ind w:right="73"/>
              <w:rPr>
                <w:rFonts w:ascii="Arial MT"/>
                <w:sz w:val="14"/>
              </w:rPr>
            </w:pPr>
            <w:r>
              <w:rPr>
                <w:rFonts w:ascii="Arial MT"/>
                <w:color w:val="001F60"/>
                <w:spacing w:val="-5"/>
                <w:sz w:val="14"/>
              </w:rPr>
              <w:t>92%</w:t>
            </w:r>
          </w:p>
        </w:tc>
      </w:tr>
      <w:tr w:rsidR="002C6574" w14:paraId="1108CE12" w14:textId="77777777">
        <w:trPr>
          <w:trHeight w:val="256"/>
        </w:trPr>
        <w:tc>
          <w:tcPr>
            <w:tcW w:w="5725" w:type="dxa"/>
            <w:tcBorders>
              <w:top w:val="single" w:sz="4" w:space="0" w:color="001F60"/>
              <w:bottom w:val="single" w:sz="4" w:space="0" w:color="001F60"/>
            </w:tcBorders>
          </w:tcPr>
          <w:p w14:paraId="7EE97967" w14:textId="77777777" w:rsidR="002C6574" w:rsidRDefault="00000000">
            <w:pPr>
              <w:pStyle w:val="TableParagraph"/>
              <w:spacing w:before="48"/>
              <w:ind w:left="69"/>
              <w:jc w:val="left"/>
              <w:rPr>
                <w:rFonts w:ascii="Arial"/>
                <w:b/>
                <w:sz w:val="14"/>
              </w:rPr>
            </w:pPr>
            <w:r>
              <w:rPr>
                <w:rFonts w:ascii="Arial"/>
                <w:b/>
                <w:color w:val="001F60"/>
                <w:spacing w:val="-2"/>
                <w:sz w:val="14"/>
              </w:rPr>
              <w:t>TOTAL</w:t>
            </w:r>
          </w:p>
        </w:tc>
        <w:tc>
          <w:tcPr>
            <w:tcW w:w="848" w:type="dxa"/>
            <w:tcBorders>
              <w:top w:val="single" w:sz="4" w:space="0" w:color="001F60"/>
              <w:bottom w:val="single" w:sz="4" w:space="0" w:color="001F60"/>
            </w:tcBorders>
          </w:tcPr>
          <w:p w14:paraId="5DE3703C" w14:textId="77777777" w:rsidR="002C6574" w:rsidRDefault="00000000">
            <w:pPr>
              <w:pStyle w:val="TableParagraph"/>
              <w:spacing w:before="48"/>
              <w:ind w:right="359"/>
              <w:rPr>
                <w:rFonts w:ascii="Arial"/>
                <w:b/>
                <w:sz w:val="14"/>
              </w:rPr>
            </w:pPr>
            <w:r>
              <w:rPr>
                <w:rFonts w:ascii="Arial"/>
                <w:b/>
                <w:color w:val="001F60"/>
                <w:spacing w:val="-2"/>
                <w:sz w:val="14"/>
              </w:rPr>
              <w:t>489,20</w:t>
            </w:r>
          </w:p>
        </w:tc>
        <w:tc>
          <w:tcPr>
            <w:tcW w:w="1262" w:type="dxa"/>
            <w:gridSpan w:val="2"/>
            <w:tcBorders>
              <w:top w:val="single" w:sz="4" w:space="0" w:color="001F60"/>
              <w:bottom w:val="single" w:sz="4" w:space="0" w:color="001F60"/>
            </w:tcBorders>
          </w:tcPr>
          <w:p w14:paraId="79558589" w14:textId="77777777" w:rsidR="002C6574" w:rsidRDefault="00000000">
            <w:pPr>
              <w:pStyle w:val="TableParagraph"/>
              <w:spacing w:before="48"/>
              <w:ind w:left="651"/>
              <w:jc w:val="left"/>
              <w:rPr>
                <w:rFonts w:ascii="Arial"/>
                <w:b/>
                <w:sz w:val="14"/>
              </w:rPr>
            </w:pPr>
            <w:r>
              <w:rPr>
                <w:rFonts w:ascii="Arial"/>
                <w:b/>
                <w:color w:val="001F60"/>
                <w:spacing w:val="-2"/>
                <w:sz w:val="14"/>
              </w:rPr>
              <w:t>399,11</w:t>
            </w:r>
          </w:p>
        </w:tc>
        <w:tc>
          <w:tcPr>
            <w:tcW w:w="1047" w:type="dxa"/>
            <w:tcBorders>
              <w:top w:val="single" w:sz="4" w:space="0" w:color="001F60"/>
              <w:bottom w:val="single" w:sz="4" w:space="0" w:color="001F60"/>
            </w:tcBorders>
          </w:tcPr>
          <w:p w14:paraId="60F0CD82" w14:textId="77777777" w:rsidR="002C6574" w:rsidRDefault="00000000">
            <w:pPr>
              <w:pStyle w:val="TableParagraph"/>
              <w:spacing w:before="48"/>
              <w:ind w:right="70"/>
              <w:rPr>
                <w:rFonts w:ascii="Arial"/>
                <w:b/>
                <w:sz w:val="14"/>
              </w:rPr>
            </w:pPr>
            <w:r>
              <w:rPr>
                <w:rFonts w:ascii="Arial"/>
                <w:b/>
                <w:color w:val="001F60"/>
                <w:spacing w:val="-5"/>
                <w:sz w:val="14"/>
              </w:rPr>
              <w:t>82%</w:t>
            </w:r>
          </w:p>
        </w:tc>
      </w:tr>
      <w:tr w:rsidR="002C6574" w14:paraId="7A6536BD" w14:textId="77777777">
        <w:trPr>
          <w:trHeight w:val="206"/>
        </w:trPr>
        <w:tc>
          <w:tcPr>
            <w:tcW w:w="5725" w:type="dxa"/>
            <w:tcBorders>
              <w:top w:val="single" w:sz="4" w:space="0" w:color="001F60"/>
            </w:tcBorders>
          </w:tcPr>
          <w:p w14:paraId="19D633DA" w14:textId="77777777" w:rsidR="002C6574" w:rsidRDefault="00000000">
            <w:pPr>
              <w:pStyle w:val="TableParagraph"/>
              <w:spacing w:before="46" w:line="141" w:lineRule="exact"/>
              <w:ind w:left="69"/>
              <w:jc w:val="left"/>
              <w:rPr>
                <w:rFonts w:ascii="Arial" w:hAnsi="Arial"/>
                <w:i/>
                <w:sz w:val="14"/>
              </w:rPr>
            </w:pPr>
            <w:r>
              <w:rPr>
                <w:rFonts w:ascii="Arial" w:hAnsi="Arial"/>
                <w:b/>
                <w:color w:val="001F60"/>
                <w:sz w:val="14"/>
              </w:rPr>
              <w:t>Fonte:</w:t>
            </w:r>
            <w:r>
              <w:rPr>
                <w:rFonts w:ascii="Arial" w:hAnsi="Arial"/>
                <w:b/>
                <w:color w:val="001F60"/>
                <w:spacing w:val="-4"/>
                <w:sz w:val="14"/>
              </w:rPr>
              <w:t xml:space="preserve"> </w:t>
            </w:r>
            <w:r>
              <w:rPr>
                <w:rFonts w:ascii="Arial" w:hAnsi="Arial"/>
                <w:i/>
                <w:color w:val="001F60"/>
                <w:sz w:val="14"/>
              </w:rPr>
              <w:t>SIEST</w:t>
            </w:r>
            <w:r>
              <w:rPr>
                <w:rFonts w:ascii="Arial" w:hAnsi="Arial"/>
                <w:i/>
                <w:color w:val="001F60"/>
                <w:spacing w:val="-4"/>
                <w:sz w:val="14"/>
              </w:rPr>
              <w:t xml:space="preserve"> </w:t>
            </w:r>
            <w:r>
              <w:rPr>
                <w:rFonts w:ascii="Arial" w:hAnsi="Arial"/>
                <w:i/>
                <w:color w:val="001F60"/>
                <w:sz w:val="14"/>
              </w:rPr>
              <w:t>-</w:t>
            </w:r>
            <w:r>
              <w:rPr>
                <w:rFonts w:ascii="Arial" w:hAnsi="Arial"/>
                <w:i/>
                <w:color w:val="001F60"/>
                <w:spacing w:val="-5"/>
                <w:sz w:val="14"/>
              </w:rPr>
              <w:t xml:space="preserve"> </w:t>
            </w:r>
            <w:r>
              <w:rPr>
                <w:rFonts w:ascii="Arial" w:hAnsi="Arial"/>
                <w:i/>
                <w:color w:val="001F60"/>
                <w:sz w:val="14"/>
              </w:rPr>
              <w:t>Sistema</w:t>
            </w:r>
            <w:r>
              <w:rPr>
                <w:rFonts w:ascii="Arial" w:hAnsi="Arial"/>
                <w:i/>
                <w:color w:val="001F60"/>
                <w:spacing w:val="-4"/>
                <w:sz w:val="14"/>
              </w:rPr>
              <w:t xml:space="preserve"> </w:t>
            </w:r>
            <w:r>
              <w:rPr>
                <w:rFonts w:ascii="Arial" w:hAnsi="Arial"/>
                <w:i/>
                <w:color w:val="001F60"/>
                <w:sz w:val="14"/>
              </w:rPr>
              <w:t>de</w:t>
            </w:r>
            <w:r>
              <w:rPr>
                <w:rFonts w:ascii="Arial" w:hAnsi="Arial"/>
                <w:i/>
                <w:color w:val="001F60"/>
                <w:spacing w:val="-5"/>
                <w:sz w:val="14"/>
              </w:rPr>
              <w:t xml:space="preserve"> </w:t>
            </w:r>
            <w:r>
              <w:rPr>
                <w:rFonts w:ascii="Arial" w:hAnsi="Arial"/>
                <w:i/>
                <w:color w:val="001F60"/>
                <w:sz w:val="14"/>
              </w:rPr>
              <w:t>Informação</w:t>
            </w:r>
            <w:r>
              <w:rPr>
                <w:rFonts w:ascii="Arial" w:hAnsi="Arial"/>
                <w:i/>
                <w:color w:val="001F60"/>
                <w:spacing w:val="-2"/>
                <w:sz w:val="14"/>
              </w:rPr>
              <w:t xml:space="preserve"> </w:t>
            </w:r>
            <w:r>
              <w:rPr>
                <w:rFonts w:ascii="Arial" w:hAnsi="Arial"/>
                <w:i/>
                <w:color w:val="001F60"/>
                <w:sz w:val="14"/>
              </w:rPr>
              <w:t>das</w:t>
            </w:r>
            <w:r>
              <w:rPr>
                <w:rFonts w:ascii="Arial" w:hAnsi="Arial"/>
                <w:i/>
                <w:color w:val="001F60"/>
                <w:spacing w:val="-4"/>
                <w:sz w:val="14"/>
              </w:rPr>
              <w:t xml:space="preserve"> </w:t>
            </w:r>
            <w:r>
              <w:rPr>
                <w:rFonts w:ascii="Arial" w:hAnsi="Arial"/>
                <w:i/>
                <w:color w:val="001F60"/>
                <w:sz w:val="14"/>
              </w:rPr>
              <w:t>Estatais:</w:t>
            </w:r>
            <w:r>
              <w:rPr>
                <w:rFonts w:ascii="Arial" w:hAnsi="Arial"/>
                <w:i/>
                <w:color w:val="001F60"/>
                <w:spacing w:val="-2"/>
                <w:sz w:val="14"/>
              </w:rPr>
              <w:t xml:space="preserve"> 23/1/2026</w:t>
            </w:r>
          </w:p>
        </w:tc>
        <w:tc>
          <w:tcPr>
            <w:tcW w:w="848" w:type="dxa"/>
            <w:tcBorders>
              <w:top w:val="single" w:sz="4" w:space="0" w:color="001F60"/>
            </w:tcBorders>
          </w:tcPr>
          <w:p w14:paraId="498FE539" w14:textId="77777777" w:rsidR="002C6574" w:rsidRDefault="002C6574">
            <w:pPr>
              <w:pStyle w:val="TableParagraph"/>
              <w:jc w:val="left"/>
              <w:rPr>
                <w:rFonts w:ascii="Times New Roman"/>
                <w:sz w:val="14"/>
              </w:rPr>
            </w:pPr>
          </w:p>
        </w:tc>
        <w:tc>
          <w:tcPr>
            <w:tcW w:w="1262" w:type="dxa"/>
            <w:gridSpan w:val="2"/>
            <w:tcBorders>
              <w:top w:val="single" w:sz="4" w:space="0" w:color="001F60"/>
            </w:tcBorders>
          </w:tcPr>
          <w:p w14:paraId="305989EF" w14:textId="77777777" w:rsidR="002C6574" w:rsidRDefault="002C6574">
            <w:pPr>
              <w:pStyle w:val="TableParagraph"/>
              <w:jc w:val="left"/>
              <w:rPr>
                <w:rFonts w:ascii="Times New Roman"/>
                <w:sz w:val="14"/>
              </w:rPr>
            </w:pPr>
          </w:p>
        </w:tc>
        <w:tc>
          <w:tcPr>
            <w:tcW w:w="1047" w:type="dxa"/>
            <w:tcBorders>
              <w:top w:val="single" w:sz="4" w:space="0" w:color="001F60"/>
            </w:tcBorders>
          </w:tcPr>
          <w:p w14:paraId="760D6193" w14:textId="77777777" w:rsidR="002C6574" w:rsidRDefault="002C6574">
            <w:pPr>
              <w:pStyle w:val="TableParagraph"/>
              <w:jc w:val="left"/>
              <w:rPr>
                <w:rFonts w:ascii="Times New Roman"/>
                <w:sz w:val="14"/>
              </w:rPr>
            </w:pPr>
          </w:p>
        </w:tc>
      </w:tr>
    </w:tbl>
    <w:p w14:paraId="17F1F80F" w14:textId="77777777" w:rsidR="002C6574" w:rsidRDefault="00000000">
      <w:pPr>
        <w:spacing w:before="171"/>
        <w:ind w:left="3532"/>
        <w:rPr>
          <w:rFonts w:ascii="Calibri" w:hAnsi="Calibri"/>
          <w:sz w:val="16"/>
        </w:rPr>
      </w:pPr>
      <w:r>
        <w:rPr>
          <w:rFonts w:ascii="Calibri" w:hAnsi="Calibri"/>
          <w:color w:val="001F60"/>
          <w:sz w:val="16"/>
        </w:rPr>
        <w:t>Tabela</w:t>
      </w:r>
      <w:r>
        <w:rPr>
          <w:rFonts w:ascii="Calibri" w:hAnsi="Calibri"/>
          <w:color w:val="001F60"/>
          <w:spacing w:val="-6"/>
          <w:sz w:val="16"/>
        </w:rPr>
        <w:t xml:space="preserve"> </w:t>
      </w:r>
      <w:r>
        <w:rPr>
          <w:rFonts w:ascii="Calibri" w:hAnsi="Calibri"/>
          <w:color w:val="001F60"/>
          <w:sz w:val="16"/>
        </w:rPr>
        <w:t>3-16</w:t>
      </w:r>
      <w:r>
        <w:rPr>
          <w:rFonts w:ascii="Calibri" w:hAnsi="Calibri"/>
          <w:color w:val="001F60"/>
          <w:spacing w:val="-6"/>
          <w:sz w:val="16"/>
        </w:rPr>
        <w:t xml:space="preserve"> </w:t>
      </w:r>
      <w:r>
        <w:rPr>
          <w:rFonts w:ascii="Calibri" w:hAnsi="Calibri"/>
          <w:color w:val="001F60"/>
          <w:sz w:val="16"/>
        </w:rPr>
        <w:t>Execução</w:t>
      </w:r>
      <w:r>
        <w:rPr>
          <w:rFonts w:ascii="Calibri" w:hAnsi="Calibri"/>
          <w:color w:val="001F60"/>
          <w:spacing w:val="-4"/>
          <w:sz w:val="16"/>
        </w:rPr>
        <w:t xml:space="preserve"> </w:t>
      </w:r>
      <w:r>
        <w:rPr>
          <w:rFonts w:ascii="Calibri" w:hAnsi="Calibri"/>
          <w:color w:val="001F60"/>
          <w:sz w:val="16"/>
        </w:rPr>
        <w:t>Orçamentária</w:t>
      </w:r>
      <w:r>
        <w:rPr>
          <w:rFonts w:ascii="Calibri" w:hAnsi="Calibri"/>
          <w:color w:val="001F60"/>
          <w:spacing w:val="-1"/>
          <w:sz w:val="16"/>
        </w:rPr>
        <w:t xml:space="preserve"> </w:t>
      </w:r>
      <w:r>
        <w:rPr>
          <w:rFonts w:ascii="Calibri" w:hAnsi="Calibri"/>
          <w:color w:val="001F60"/>
          <w:sz w:val="16"/>
        </w:rPr>
        <w:t>OI/PDG</w:t>
      </w:r>
      <w:r>
        <w:rPr>
          <w:rFonts w:ascii="Calibri" w:hAnsi="Calibri"/>
          <w:color w:val="001F60"/>
          <w:spacing w:val="-3"/>
          <w:sz w:val="16"/>
        </w:rPr>
        <w:t xml:space="preserve"> </w:t>
      </w:r>
      <w:r>
        <w:rPr>
          <w:rFonts w:ascii="Calibri" w:hAnsi="Calibri"/>
          <w:color w:val="001F60"/>
          <w:sz w:val="16"/>
        </w:rPr>
        <w:t>de</w:t>
      </w:r>
      <w:r>
        <w:rPr>
          <w:rFonts w:ascii="Calibri" w:hAnsi="Calibri"/>
          <w:color w:val="001F60"/>
          <w:spacing w:val="-4"/>
          <w:sz w:val="16"/>
        </w:rPr>
        <w:t xml:space="preserve"> 2025</w:t>
      </w:r>
    </w:p>
    <w:p w14:paraId="38C6139E" w14:textId="77777777" w:rsidR="002C6574" w:rsidRDefault="00000000">
      <w:pPr>
        <w:pStyle w:val="Corpodetexto"/>
        <w:spacing w:before="119"/>
        <w:ind w:left="709" w:right="277"/>
        <w:jc w:val="both"/>
        <w:rPr>
          <w:rFonts w:ascii="Calibri" w:hAnsi="Calibri"/>
        </w:rPr>
      </w:pPr>
      <w:r>
        <w:rPr>
          <w:rFonts w:ascii="Calibri" w:hAnsi="Calibri"/>
          <w:color w:val="001F60"/>
        </w:rPr>
        <w:t>Nas aplicações dos recursos, a execução manteve-se dentro do programado, com exceção das despesas</w:t>
      </w:r>
      <w:r>
        <w:rPr>
          <w:rFonts w:ascii="Calibri" w:hAnsi="Calibri"/>
          <w:color w:val="001F60"/>
          <w:spacing w:val="-2"/>
        </w:rPr>
        <w:t xml:space="preserve"> </w:t>
      </w:r>
      <w:r>
        <w:rPr>
          <w:rFonts w:ascii="Calibri" w:hAnsi="Calibri"/>
          <w:color w:val="001F60"/>
        </w:rPr>
        <w:t>tributárias.</w:t>
      </w:r>
      <w:r>
        <w:rPr>
          <w:rFonts w:ascii="Calibri" w:hAnsi="Calibri"/>
          <w:color w:val="001F60"/>
          <w:spacing w:val="-2"/>
        </w:rPr>
        <w:t xml:space="preserve"> </w:t>
      </w:r>
      <w:r>
        <w:rPr>
          <w:rFonts w:ascii="Calibri" w:hAnsi="Calibri"/>
          <w:color w:val="001F60"/>
        </w:rPr>
        <w:t>A</w:t>
      </w:r>
      <w:r>
        <w:rPr>
          <w:rFonts w:ascii="Calibri" w:hAnsi="Calibri"/>
          <w:color w:val="001F60"/>
          <w:spacing w:val="-2"/>
        </w:rPr>
        <w:t xml:space="preserve"> </w:t>
      </w:r>
      <w:r>
        <w:rPr>
          <w:rFonts w:ascii="Calibri" w:hAnsi="Calibri"/>
          <w:color w:val="001F60"/>
        </w:rPr>
        <w:t>elevação</w:t>
      </w:r>
      <w:r>
        <w:rPr>
          <w:rFonts w:ascii="Calibri" w:hAnsi="Calibri"/>
          <w:color w:val="001F60"/>
          <w:spacing w:val="-4"/>
        </w:rPr>
        <w:t xml:space="preserve"> </w:t>
      </w:r>
      <w:r>
        <w:rPr>
          <w:rFonts w:ascii="Calibri" w:hAnsi="Calibri"/>
          <w:color w:val="001F60"/>
        </w:rPr>
        <w:t>observada</w:t>
      </w:r>
      <w:r>
        <w:rPr>
          <w:rFonts w:ascii="Calibri" w:hAnsi="Calibri"/>
          <w:color w:val="001F60"/>
          <w:spacing w:val="-2"/>
        </w:rPr>
        <w:t xml:space="preserve"> </w:t>
      </w:r>
      <w:r>
        <w:rPr>
          <w:rFonts w:ascii="Calibri" w:hAnsi="Calibri"/>
          <w:color w:val="001F60"/>
        </w:rPr>
        <w:t>nesta</w:t>
      </w:r>
      <w:r>
        <w:rPr>
          <w:rFonts w:ascii="Calibri" w:hAnsi="Calibri"/>
          <w:color w:val="001F60"/>
          <w:spacing w:val="-2"/>
        </w:rPr>
        <w:t xml:space="preserve"> </w:t>
      </w:r>
      <w:r>
        <w:rPr>
          <w:rFonts w:ascii="Calibri" w:hAnsi="Calibri"/>
          <w:color w:val="001F60"/>
        </w:rPr>
        <w:t>categoria</w:t>
      </w:r>
      <w:r>
        <w:rPr>
          <w:rFonts w:ascii="Calibri" w:hAnsi="Calibri"/>
          <w:color w:val="001F60"/>
          <w:spacing w:val="-2"/>
        </w:rPr>
        <w:t xml:space="preserve"> </w:t>
      </w:r>
      <w:r>
        <w:rPr>
          <w:rFonts w:ascii="Calibri" w:hAnsi="Calibri"/>
          <w:color w:val="001F60"/>
        </w:rPr>
        <w:t>decorre</w:t>
      </w:r>
      <w:r>
        <w:rPr>
          <w:rFonts w:ascii="Calibri" w:hAnsi="Calibri"/>
          <w:color w:val="001F60"/>
          <w:spacing w:val="-4"/>
        </w:rPr>
        <w:t xml:space="preserve"> </w:t>
      </w:r>
      <w:r>
        <w:rPr>
          <w:rFonts w:ascii="Calibri" w:hAnsi="Calibri"/>
          <w:color w:val="001F60"/>
        </w:rPr>
        <w:t>do desempenho</w:t>
      </w:r>
      <w:r>
        <w:rPr>
          <w:rFonts w:ascii="Calibri" w:hAnsi="Calibri"/>
          <w:color w:val="001F60"/>
          <w:spacing w:val="-2"/>
        </w:rPr>
        <w:t xml:space="preserve"> </w:t>
      </w:r>
      <w:r>
        <w:rPr>
          <w:rFonts w:ascii="Calibri" w:hAnsi="Calibri"/>
          <w:color w:val="001F60"/>
        </w:rPr>
        <w:t>das</w:t>
      </w:r>
      <w:r>
        <w:rPr>
          <w:rFonts w:ascii="Calibri" w:hAnsi="Calibri"/>
          <w:color w:val="001F60"/>
          <w:spacing w:val="-2"/>
        </w:rPr>
        <w:t xml:space="preserve"> </w:t>
      </w:r>
      <w:r>
        <w:rPr>
          <w:rFonts w:ascii="Calibri" w:hAnsi="Calibri"/>
          <w:color w:val="001F60"/>
        </w:rPr>
        <w:t>receitas,</w:t>
      </w:r>
      <w:r>
        <w:rPr>
          <w:rFonts w:ascii="Calibri" w:hAnsi="Calibri"/>
          <w:color w:val="001F60"/>
          <w:spacing w:val="-7"/>
        </w:rPr>
        <w:t xml:space="preserve"> </w:t>
      </w:r>
      <w:r>
        <w:rPr>
          <w:rFonts w:ascii="Calibri" w:hAnsi="Calibri"/>
          <w:color w:val="001F60"/>
        </w:rPr>
        <w:t>que superaram</w:t>
      </w:r>
      <w:r>
        <w:rPr>
          <w:rFonts w:ascii="Calibri" w:hAnsi="Calibri"/>
          <w:color w:val="001F60"/>
          <w:spacing w:val="-9"/>
        </w:rPr>
        <w:t xml:space="preserve"> </w:t>
      </w:r>
      <w:r>
        <w:rPr>
          <w:rFonts w:ascii="Calibri" w:hAnsi="Calibri"/>
          <w:color w:val="001F60"/>
        </w:rPr>
        <w:t>as</w:t>
      </w:r>
      <w:r>
        <w:rPr>
          <w:rFonts w:ascii="Calibri" w:hAnsi="Calibri"/>
          <w:color w:val="001F60"/>
          <w:spacing w:val="-9"/>
        </w:rPr>
        <w:t xml:space="preserve"> </w:t>
      </w:r>
      <w:r>
        <w:rPr>
          <w:rFonts w:ascii="Calibri" w:hAnsi="Calibri"/>
          <w:color w:val="001F60"/>
        </w:rPr>
        <w:t>projeções,</w:t>
      </w:r>
      <w:r>
        <w:rPr>
          <w:rFonts w:ascii="Calibri" w:hAnsi="Calibri"/>
          <w:color w:val="001F60"/>
          <w:spacing w:val="-9"/>
        </w:rPr>
        <w:t xml:space="preserve"> </w:t>
      </w:r>
      <w:r>
        <w:rPr>
          <w:rFonts w:ascii="Calibri" w:hAnsi="Calibri"/>
          <w:color w:val="001F60"/>
        </w:rPr>
        <w:t>conforme</w:t>
      </w:r>
      <w:r>
        <w:rPr>
          <w:rFonts w:ascii="Calibri" w:hAnsi="Calibri"/>
          <w:color w:val="001F60"/>
          <w:spacing w:val="-9"/>
        </w:rPr>
        <w:t xml:space="preserve"> </w:t>
      </w:r>
      <w:r>
        <w:rPr>
          <w:rFonts w:ascii="Calibri" w:hAnsi="Calibri"/>
          <w:color w:val="001F60"/>
        </w:rPr>
        <w:t>descrito</w:t>
      </w:r>
      <w:r>
        <w:rPr>
          <w:rFonts w:ascii="Calibri" w:hAnsi="Calibri"/>
          <w:color w:val="001F60"/>
          <w:spacing w:val="-11"/>
        </w:rPr>
        <w:t xml:space="preserve"> </w:t>
      </w:r>
      <w:r>
        <w:rPr>
          <w:rFonts w:ascii="Calibri" w:hAnsi="Calibri"/>
          <w:color w:val="001F60"/>
        </w:rPr>
        <w:t>na</w:t>
      </w:r>
      <w:r>
        <w:rPr>
          <w:rFonts w:ascii="Calibri" w:hAnsi="Calibri"/>
          <w:color w:val="001F60"/>
          <w:spacing w:val="-9"/>
        </w:rPr>
        <w:t xml:space="preserve"> </w:t>
      </w:r>
      <w:r>
        <w:rPr>
          <w:rFonts w:ascii="Calibri" w:hAnsi="Calibri"/>
          <w:color w:val="001F60"/>
        </w:rPr>
        <w:t>origem</w:t>
      </w:r>
      <w:r>
        <w:rPr>
          <w:rFonts w:ascii="Calibri" w:hAnsi="Calibri"/>
          <w:color w:val="001F60"/>
          <w:spacing w:val="-9"/>
        </w:rPr>
        <w:t xml:space="preserve"> </w:t>
      </w:r>
      <w:r>
        <w:rPr>
          <w:rFonts w:ascii="Calibri" w:hAnsi="Calibri"/>
          <w:color w:val="001F60"/>
        </w:rPr>
        <w:t>dos</w:t>
      </w:r>
      <w:r>
        <w:rPr>
          <w:rFonts w:ascii="Calibri" w:hAnsi="Calibri"/>
          <w:color w:val="001F60"/>
          <w:spacing w:val="-9"/>
        </w:rPr>
        <w:t xml:space="preserve"> </w:t>
      </w:r>
      <w:r>
        <w:rPr>
          <w:rFonts w:ascii="Calibri" w:hAnsi="Calibri"/>
          <w:color w:val="001F60"/>
        </w:rPr>
        <w:t>recursos.</w:t>
      </w:r>
      <w:r>
        <w:rPr>
          <w:rFonts w:ascii="Calibri" w:hAnsi="Calibri"/>
          <w:color w:val="001F60"/>
          <w:spacing w:val="-11"/>
        </w:rPr>
        <w:t xml:space="preserve"> </w:t>
      </w:r>
      <w:r>
        <w:rPr>
          <w:rFonts w:ascii="Calibri" w:hAnsi="Calibri"/>
          <w:color w:val="001F60"/>
        </w:rPr>
        <w:t>Esse</w:t>
      </w:r>
      <w:r>
        <w:rPr>
          <w:rFonts w:ascii="Calibri" w:hAnsi="Calibri"/>
          <w:color w:val="001F60"/>
          <w:spacing w:val="-9"/>
        </w:rPr>
        <w:t xml:space="preserve"> </w:t>
      </w:r>
      <w:r>
        <w:rPr>
          <w:rFonts w:ascii="Calibri" w:hAnsi="Calibri"/>
          <w:color w:val="001F60"/>
        </w:rPr>
        <w:t>aumento</w:t>
      </w:r>
      <w:r>
        <w:rPr>
          <w:rFonts w:ascii="Calibri" w:hAnsi="Calibri"/>
          <w:color w:val="001F60"/>
          <w:spacing w:val="-11"/>
        </w:rPr>
        <w:t xml:space="preserve"> </w:t>
      </w:r>
      <w:r>
        <w:rPr>
          <w:rFonts w:ascii="Calibri" w:hAnsi="Calibri"/>
          <w:color w:val="001F60"/>
        </w:rPr>
        <w:t>de</w:t>
      </w:r>
      <w:r>
        <w:rPr>
          <w:rFonts w:ascii="Calibri" w:hAnsi="Calibri"/>
          <w:color w:val="001F60"/>
          <w:spacing w:val="-9"/>
        </w:rPr>
        <w:t xml:space="preserve"> </w:t>
      </w:r>
      <w:r>
        <w:rPr>
          <w:rFonts w:ascii="Calibri" w:hAnsi="Calibri"/>
          <w:color w:val="001F60"/>
        </w:rPr>
        <w:t>receita</w:t>
      </w:r>
      <w:r>
        <w:rPr>
          <w:rFonts w:ascii="Calibri" w:hAnsi="Calibri"/>
          <w:color w:val="001F60"/>
          <w:spacing w:val="-9"/>
        </w:rPr>
        <w:t xml:space="preserve"> </w:t>
      </w:r>
      <w:r>
        <w:rPr>
          <w:rFonts w:ascii="Calibri" w:hAnsi="Calibri"/>
          <w:color w:val="001F60"/>
        </w:rPr>
        <w:t>resultou, consequentemente, em maior recolhimento de tributos.</w:t>
      </w:r>
    </w:p>
    <w:p w14:paraId="21EB68C5" w14:textId="77777777" w:rsidR="002C6574" w:rsidRDefault="002C6574">
      <w:pPr>
        <w:pStyle w:val="Corpodetexto"/>
        <w:spacing w:before="93"/>
        <w:rPr>
          <w:rFonts w:ascii="Calibri"/>
        </w:rPr>
      </w:pPr>
    </w:p>
    <w:p w14:paraId="5F1F1545" w14:textId="77777777" w:rsidR="002C6574" w:rsidRDefault="00000000">
      <w:pPr>
        <w:numPr>
          <w:ilvl w:val="2"/>
          <w:numId w:val="74"/>
        </w:numPr>
        <w:tabs>
          <w:tab w:val="left" w:pos="1417"/>
        </w:tabs>
        <w:rPr>
          <w:rFonts w:ascii="Calibri" w:hAnsi="Calibri"/>
          <w:b/>
        </w:rPr>
      </w:pPr>
      <w:r>
        <w:rPr>
          <w:rFonts w:ascii="Calibri" w:hAnsi="Calibri"/>
          <w:b/>
          <w:color w:val="001F60"/>
        </w:rPr>
        <w:t>Execução</w:t>
      </w:r>
      <w:r>
        <w:rPr>
          <w:rFonts w:ascii="Calibri" w:hAnsi="Calibri"/>
          <w:b/>
          <w:color w:val="001F60"/>
          <w:spacing w:val="-4"/>
        </w:rPr>
        <w:t xml:space="preserve"> </w:t>
      </w:r>
      <w:r>
        <w:rPr>
          <w:rFonts w:ascii="Calibri" w:hAnsi="Calibri"/>
          <w:b/>
          <w:color w:val="001F60"/>
        </w:rPr>
        <w:t xml:space="preserve">de </w:t>
      </w:r>
      <w:r>
        <w:rPr>
          <w:rFonts w:ascii="Calibri" w:hAnsi="Calibri"/>
          <w:b/>
          <w:color w:val="001F60"/>
          <w:spacing w:val="-2"/>
        </w:rPr>
        <w:t>Pagamentos</w:t>
      </w:r>
    </w:p>
    <w:p w14:paraId="467FF1C0" w14:textId="77777777" w:rsidR="002C6574" w:rsidRDefault="00000000">
      <w:pPr>
        <w:pStyle w:val="Corpodetexto"/>
        <w:spacing w:before="240"/>
        <w:ind w:left="709" w:right="276"/>
        <w:jc w:val="both"/>
        <w:rPr>
          <w:rFonts w:ascii="Calibri" w:hAnsi="Calibri"/>
        </w:rPr>
      </w:pPr>
      <w:r>
        <w:rPr>
          <w:rFonts w:ascii="Calibri" w:hAnsi="Calibri"/>
          <w:color w:val="001F60"/>
        </w:rPr>
        <w:t xml:space="preserve">Em relação aos pagamentos das despesas correntes e de capital realizados no âmbito do OFSS, no período de janeiro a setembro de 2025, incluindo Restos a Pagar, distribuídos entre despesas </w:t>
      </w:r>
      <w:r>
        <w:rPr>
          <w:rFonts w:ascii="Calibri" w:hAnsi="Calibri"/>
          <w:color w:val="001F60"/>
          <w:spacing w:val="-2"/>
        </w:rPr>
        <w:t>financeiras,</w:t>
      </w:r>
      <w:r>
        <w:rPr>
          <w:rFonts w:ascii="Calibri" w:hAnsi="Calibri"/>
          <w:color w:val="001F60"/>
          <w:spacing w:val="-1"/>
        </w:rPr>
        <w:t xml:space="preserve"> </w:t>
      </w:r>
      <w:r>
        <w:rPr>
          <w:rFonts w:ascii="Calibri" w:hAnsi="Calibri"/>
          <w:color w:val="001F60"/>
          <w:spacing w:val="-2"/>
        </w:rPr>
        <w:t>obrigatórias</w:t>
      </w:r>
      <w:r>
        <w:rPr>
          <w:rFonts w:ascii="Calibri" w:hAnsi="Calibri"/>
          <w:color w:val="001F60"/>
          <w:spacing w:val="1"/>
        </w:rPr>
        <w:t xml:space="preserve"> </w:t>
      </w:r>
      <w:r>
        <w:rPr>
          <w:rFonts w:ascii="Calibri" w:hAnsi="Calibri"/>
          <w:color w:val="001F60"/>
          <w:spacing w:val="-2"/>
        </w:rPr>
        <w:t>e</w:t>
      </w:r>
      <w:r>
        <w:rPr>
          <w:rFonts w:ascii="Calibri" w:hAnsi="Calibri"/>
          <w:color w:val="001F60"/>
          <w:spacing w:val="1"/>
        </w:rPr>
        <w:t xml:space="preserve"> </w:t>
      </w:r>
      <w:r>
        <w:rPr>
          <w:rFonts w:ascii="Calibri" w:hAnsi="Calibri"/>
          <w:color w:val="001F60"/>
          <w:spacing w:val="-2"/>
        </w:rPr>
        <w:t>discricionárias,</w:t>
      </w:r>
      <w:r>
        <w:rPr>
          <w:rFonts w:ascii="Calibri" w:hAnsi="Calibri"/>
          <w:color w:val="001F60"/>
          <w:spacing w:val="-5"/>
        </w:rPr>
        <w:t xml:space="preserve"> </w:t>
      </w:r>
      <w:r>
        <w:rPr>
          <w:rFonts w:ascii="Calibri" w:hAnsi="Calibri"/>
          <w:color w:val="001F60"/>
          <w:spacing w:val="-2"/>
        </w:rPr>
        <w:t>os</w:t>
      </w:r>
      <w:r>
        <w:rPr>
          <w:rFonts w:ascii="Calibri" w:hAnsi="Calibri"/>
          <w:color w:val="001F60"/>
        </w:rPr>
        <w:t xml:space="preserve"> </w:t>
      </w:r>
      <w:r>
        <w:rPr>
          <w:rFonts w:ascii="Calibri" w:hAnsi="Calibri"/>
          <w:color w:val="001F60"/>
          <w:spacing w:val="-2"/>
        </w:rPr>
        <w:t>valores</w:t>
      </w:r>
      <w:r>
        <w:rPr>
          <w:rFonts w:ascii="Calibri" w:hAnsi="Calibri"/>
          <w:color w:val="001F60"/>
          <w:spacing w:val="-3"/>
        </w:rPr>
        <w:t xml:space="preserve"> </w:t>
      </w:r>
      <w:r>
        <w:rPr>
          <w:rFonts w:ascii="Calibri" w:hAnsi="Calibri"/>
          <w:color w:val="001F60"/>
          <w:spacing w:val="-2"/>
        </w:rPr>
        <w:t>executados</w:t>
      </w:r>
      <w:r>
        <w:rPr>
          <w:rFonts w:ascii="Calibri" w:hAnsi="Calibri"/>
          <w:color w:val="001F60"/>
        </w:rPr>
        <w:t xml:space="preserve"> </w:t>
      </w:r>
      <w:r>
        <w:rPr>
          <w:rFonts w:ascii="Calibri" w:hAnsi="Calibri"/>
          <w:color w:val="001F60"/>
          <w:spacing w:val="-2"/>
        </w:rPr>
        <w:t>estão</w:t>
      </w:r>
      <w:r>
        <w:rPr>
          <w:rFonts w:ascii="Calibri" w:hAnsi="Calibri"/>
          <w:color w:val="001F60"/>
          <w:spacing w:val="4"/>
        </w:rPr>
        <w:t xml:space="preserve"> </w:t>
      </w:r>
      <w:r>
        <w:rPr>
          <w:rFonts w:ascii="Calibri" w:hAnsi="Calibri"/>
          <w:color w:val="001F60"/>
          <w:spacing w:val="-2"/>
        </w:rPr>
        <w:t>apresentados</w:t>
      </w:r>
      <w:r>
        <w:rPr>
          <w:rFonts w:ascii="Calibri" w:hAnsi="Calibri"/>
          <w:color w:val="001F60"/>
          <w:spacing w:val="2"/>
        </w:rPr>
        <w:t xml:space="preserve"> </w:t>
      </w:r>
      <w:r>
        <w:rPr>
          <w:rFonts w:ascii="Calibri" w:hAnsi="Calibri"/>
          <w:color w:val="001F60"/>
          <w:spacing w:val="-2"/>
        </w:rPr>
        <w:t>na</w:t>
      </w:r>
      <w:r>
        <w:rPr>
          <w:rFonts w:ascii="Calibri" w:hAnsi="Calibri"/>
          <w:color w:val="001F60"/>
          <w:spacing w:val="2"/>
        </w:rPr>
        <w:t xml:space="preserve"> </w:t>
      </w:r>
      <w:r>
        <w:rPr>
          <w:rFonts w:ascii="Calibri" w:hAnsi="Calibri"/>
          <w:color w:val="001F60"/>
          <w:spacing w:val="-2"/>
        </w:rPr>
        <w:t>tabela a seguir.</w:t>
      </w:r>
    </w:p>
    <w:p w14:paraId="356A2BFE" w14:textId="77777777" w:rsidR="002C6574" w:rsidRDefault="002C6574">
      <w:pPr>
        <w:pStyle w:val="Corpodetexto"/>
        <w:jc w:val="both"/>
        <w:rPr>
          <w:rFonts w:ascii="Calibri" w:hAnsi="Calibri"/>
        </w:rPr>
        <w:sectPr w:rsidR="002C6574">
          <w:type w:val="continuous"/>
          <w:pgSz w:w="11910" w:h="16840"/>
          <w:pgMar w:top="0" w:right="850" w:bottom="0" w:left="992" w:header="312" w:footer="542" w:gutter="0"/>
          <w:cols w:space="720"/>
        </w:sectPr>
      </w:pPr>
    </w:p>
    <w:p w14:paraId="45266F90" w14:textId="77777777" w:rsidR="002C6574" w:rsidRDefault="002C6574">
      <w:pPr>
        <w:pStyle w:val="Corpodetexto"/>
        <w:rPr>
          <w:rFonts w:ascii="Calibri"/>
          <w:sz w:val="14"/>
        </w:rPr>
      </w:pPr>
    </w:p>
    <w:p w14:paraId="6E92BB4E" w14:textId="77777777" w:rsidR="002C6574" w:rsidRDefault="002C6574">
      <w:pPr>
        <w:pStyle w:val="Corpodetexto"/>
        <w:rPr>
          <w:rFonts w:ascii="Calibri"/>
          <w:sz w:val="14"/>
        </w:rPr>
      </w:pPr>
    </w:p>
    <w:p w14:paraId="0E2890EE" w14:textId="77777777" w:rsidR="002C6574" w:rsidRDefault="002C6574">
      <w:pPr>
        <w:pStyle w:val="Corpodetexto"/>
        <w:spacing w:before="80"/>
        <w:rPr>
          <w:rFonts w:ascii="Calibri"/>
          <w:sz w:val="14"/>
        </w:rPr>
      </w:pPr>
    </w:p>
    <w:p w14:paraId="454CBC06" w14:textId="77777777" w:rsidR="002C6574" w:rsidRDefault="00000000">
      <w:pPr>
        <w:ind w:right="323"/>
        <w:jc w:val="right"/>
        <w:rPr>
          <w:rFonts w:ascii="Arial" w:hAnsi="Arial"/>
          <w:b/>
          <w:i/>
          <w:sz w:val="14"/>
        </w:rPr>
      </w:pPr>
      <w:r>
        <w:rPr>
          <w:rFonts w:ascii="Arial" w:hAnsi="Arial"/>
          <w:b/>
          <w:i/>
          <w:noProof/>
          <w:sz w:val="14"/>
        </w:rPr>
        <mc:AlternateContent>
          <mc:Choice Requires="wps">
            <w:drawing>
              <wp:anchor distT="0" distB="0" distL="0" distR="0" simplePos="0" relativeHeight="15735808" behindDoc="0" locked="0" layoutInCell="1" allowOverlap="1" wp14:anchorId="1650AF68" wp14:editId="3065E014">
                <wp:simplePos x="0" y="0"/>
                <wp:positionH relativeFrom="page">
                  <wp:posOffset>1080516</wp:posOffset>
                </wp:positionH>
                <wp:positionV relativeFrom="paragraph">
                  <wp:posOffset>141798</wp:posOffset>
                </wp:positionV>
                <wp:extent cx="5779135" cy="635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135" cy="6350"/>
                        </a:xfrm>
                        <a:custGeom>
                          <a:avLst/>
                          <a:gdLst/>
                          <a:ahLst/>
                          <a:cxnLst/>
                          <a:rect l="l" t="t" r="r" b="b"/>
                          <a:pathLst>
                            <a:path w="5779135" h="6350">
                              <a:moveTo>
                                <a:pt x="5778995" y="0"/>
                              </a:moveTo>
                              <a:lnTo>
                                <a:pt x="5111496" y="0"/>
                              </a:lnTo>
                              <a:lnTo>
                                <a:pt x="0" y="0"/>
                              </a:lnTo>
                              <a:lnTo>
                                <a:pt x="0" y="6096"/>
                              </a:lnTo>
                              <a:lnTo>
                                <a:pt x="5111496" y="6096"/>
                              </a:lnTo>
                              <a:lnTo>
                                <a:pt x="5778995" y="6096"/>
                              </a:lnTo>
                              <a:lnTo>
                                <a:pt x="5778995" y="0"/>
                              </a:lnTo>
                              <a:close/>
                            </a:path>
                          </a:pathLst>
                        </a:custGeom>
                        <a:solidFill>
                          <a:srgbClr val="001F60"/>
                        </a:solidFill>
                      </wps:spPr>
                      <wps:bodyPr wrap="square" lIns="0" tIns="0" rIns="0" bIns="0" rtlCol="0">
                        <a:prstTxWarp prst="textNoShape">
                          <a:avLst/>
                        </a:prstTxWarp>
                        <a:noAutofit/>
                      </wps:bodyPr>
                    </wps:wsp>
                  </a:graphicData>
                </a:graphic>
              </wp:anchor>
            </w:drawing>
          </mc:Choice>
          <mc:Fallback>
            <w:pict>
              <v:shape w14:anchorId="34068C0A" id="Graphic 46" o:spid="_x0000_s1026" style="position:absolute;margin-left:85.1pt;margin-top:11.15pt;width:455.05pt;height:.5pt;z-index:15735808;visibility:visible;mso-wrap-style:square;mso-wrap-distance-left:0;mso-wrap-distance-top:0;mso-wrap-distance-right:0;mso-wrap-distance-bottom:0;mso-position-horizontal:absolute;mso-position-horizontal-relative:page;mso-position-vertical:absolute;mso-position-vertical-relative:text;v-text-anchor:top" coordsize="57791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" path="m5778995,l5111496,,,,,6096r5111496,l5778995,6096r,-6096xe" fillcolor="#001f60" stroked="f">
                <v:path arrowok="t"/>
                <w10:wrap anchorx="page"/>
              </v:shape>
            </w:pict>
          </mc:Fallback>
        </mc:AlternateContent>
      </w:r>
      <w:r>
        <w:rPr>
          <w:rFonts w:ascii="Arial" w:hAnsi="Arial"/>
          <w:b/>
          <w:i/>
          <w:color w:val="001F60"/>
          <w:sz w:val="14"/>
        </w:rPr>
        <w:t>Valores</w:t>
      </w:r>
      <w:r>
        <w:rPr>
          <w:rFonts w:ascii="Arial" w:hAnsi="Arial"/>
          <w:b/>
          <w:i/>
          <w:color w:val="001F60"/>
          <w:spacing w:val="-5"/>
          <w:sz w:val="14"/>
        </w:rPr>
        <w:t xml:space="preserve"> </w:t>
      </w:r>
      <w:r>
        <w:rPr>
          <w:rFonts w:ascii="Arial" w:hAnsi="Arial"/>
          <w:b/>
          <w:i/>
          <w:color w:val="001F60"/>
          <w:sz w:val="14"/>
        </w:rPr>
        <w:t>em</w:t>
      </w:r>
      <w:r>
        <w:rPr>
          <w:rFonts w:ascii="Arial" w:hAnsi="Arial"/>
          <w:b/>
          <w:i/>
          <w:color w:val="001F60"/>
          <w:spacing w:val="-1"/>
          <w:sz w:val="14"/>
        </w:rPr>
        <w:t xml:space="preserve"> </w:t>
      </w:r>
      <w:r>
        <w:rPr>
          <w:rFonts w:ascii="Arial" w:hAnsi="Arial"/>
          <w:b/>
          <w:i/>
          <w:color w:val="001F60"/>
          <w:sz w:val="14"/>
        </w:rPr>
        <w:t>R$</w:t>
      </w:r>
      <w:r>
        <w:rPr>
          <w:rFonts w:ascii="Arial" w:hAnsi="Arial"/>
          <w:b/>
          <w:i/>
          <w:color w:val="001F60"/>
          <w:spacing w:val="-3"/>
          <w:sz w:val="14"/>
        </w:rPr>
        <w:t xml:space="preserve"> </w:t>
      </w:r>
      <w:r>
        <w:rPr>
          <w:rFonts w:ascii="Arial" w:hAnsi="Arial"/>
          <w:b/>
          <w:i/>
          <w:color w:val="001F60"/>
          <w:spacing w:val="-2"/>
          <w:sz w:val="14"/>
        </w:rPr>
        <w:t>Milhões</w:t>
      </w:r>
    </w:p>
    <w:p w14:paraId="2BD6098C" w14:textId="77777777" w:rsidR="002C6574" w:rsidRDefault="002C6574">
      <w:pPr>
        <w:jc w:val="right"/>
        <w:rPr>
          <w:rFonts w:ascii="Arial" w:hAnsi="Arial"/>
          <w:b/>
          <w:i/>
          <w:sz w:val="14"/>
        </w:rPr>
        <w:sectPr w:rsidR="002C6574">
          <w:pgSz w:w="11910" w:h="16840"/>
          <w:pgMar w:top="1160" w:right="850" w:bottom="740" w:left="992" w:header="312" w:footer="542" w:gutter="0"/>
          <w:cols w:space="720"/>
        </w:sectPr>
      </w:pPr>
    </w:p>
    <w:p w14:paraId="4D3911C1" w14:textId="77777777" w:rsidR="002C6574" w:rsidRDefault="00000000">
      <w:pPr>
        <w:tabs>
          <w:tab w:val="left" w:pos="4228"/>
          <w:tab w:val="left" w:pos="6997"/>
        </w:tabs>
        <w:spacing w:before="136" w:line="122" w:lineRule="auto"/>
        <w:ind w:left="6870" w:hanging="4892"/>
        <w:rPr>
          <w:rFonts w:ascii="Arial MT" w:hAnsi="Arial MT"/>
          <w:sz w:val="14"/>
        </w:rPr>
      </w:pPr>
      <w:r>
        <w:rPr>
          <w:rFonts w:ascii="Arial MT" w:hAnsi="Arial MT"/>
          <w:color w:val="001F60"/>
          <w:spacing w:val="-2"/>
          <w:sz w:val="14"/>
        </w:rPr>
        <w:t>Fonte</w:t>
      </w:r>
      <w:r>
        <w:rPr>
          <w:rFonts w:ascii="Arial MT" w:hAnsi="Arial MT"/>
          <w:color w:val="001F60"/>
          <w:sz w:val="14"/>
        </w:rPr>
        <w:tab/>
      </w:r>
      <w:r>
        <w:rPr>
          <w:rFonts w:ascii="Arial MT" w:hAnsi="Arial MT"/>
          <w:color w:val="001F60"/>
          <w:spacing w:val="-2"/>
          <w:sz w:val="14"/>
        </w:rPr>
        <w:t>Descrição</w:t>
      </w:r>
      <w:r>
        <w:rPr>
          <w:rFonts w:ascii="Arial MT" w:hAnsi="Arial MT"/>
          <w:color w:val="001F60"/>
          <w:sz w:val="14"/>
        </w:rPr>
        <w:tab/>
      </w:r>
      <w:r>
        <w:rPr>
          <w:rFonts w:ascii="Arial MT" w:hAnsi="Arial MT"/>
          <w:color w:val="001F60"/>
          <w:sz w:val="14"/>
        </w:rPr>
        <w:tab/>
      </w:r>
      <w:r>
        <w:rPr>
          <w:rFonts w:ascii="Arial MT" w:hAnsi="Arial MT"/>
          <w:color w:val="001F60"/>
          <w:spacing w:val="-4"/>
          <w:position w:val="8"/>
          <w:sz w:val="14"/>
        </w:rPr>
        <w:t>Pago</w:t>
      </w:r>
      <w:r>
        <w:rPr>
          <w:rFonts w:ascii="Arial MT" w:hAnsi="Arial MT"/>
          <w:color w:val="001F60"/>
          <w:spacing w:val="40"/>
          <w:position w:val="8"/>
          <w:sz w:val="14"/>
        </w:rPr>
        <w:t xml:space="preserve"> </w:t>
      </w:r>
      <w:r>
        <w:rPr>
          <w:rFonts w:ascii="Arial MT" w:hAnsi="Arial MT"/>
          <w:color w:val="001F60"/>
          <w:spacing w:val="-2"/>
          <w:sz w:val="14"/>
        </w:rPr>
        <w:t>Exercício</w:t>
      </w:r>
    </w:p>
    <w:p w14:paraId="216B0769" w14:textId="77777777" w:rsidR="002C6574" w:rsidRDefault="00000000">
      <w:pPr>
        <w:spacing w:before="72"/>
        <w:ind w:left="363" w:firstLine="96"/>
        <w:rPr>
          <w:rFonts w:ascii="Arial MT"/>
          <w:sz w:val="14"/>
        </w:rPr>
      </w:pPr>
      <w:r>
        <w:br w:type="column"/>
      </w:r>
      <w:r>
        <w:rPr>
          <w:rFonts w:ascii="Arial MT"/>
          <w:color w:val="001F60"/>
          <w:sz w:val="14"/>
        </w:rPr>
        <w:t>Restos</w:t>
      </w:r>
      <w:r>
        <w:rPr>
          <w:rFonts w:ascii="Arial MT"/>
          <w:color w:val="001F60"/>
          <w:spacing w:val="-4"/>
          <w:sz w:val="14"/>
        </w:rPr>
        <w:t xml:space="preserve"> </w:t>
      </w:r>
      <w:r>
        <w:rPr>
          <w:rFonts w:ascii="Arial MT"/>
          <w:color w:val="001F60"/>
          <w:sz w:val="14"/>
        </w:rPr>
        <w:t>a</w:t>
      </w:r>
      <w:r>
        <w:rPr>
          <w:rFonts w:ascii="Arial MT"/>
          <w:color w:val="001F60"/>
          <w:spacing w:val="40"/>
          <w:sz w:val="14"/>
        </w:rPr>
        <w:t xml:space="preserve"> </w:t>
      </w:r>
      <w:r>
        <w:rPr>
          <w:rFonts w:ascii="Arial MT"/>
          <w:color w:val="001F60"/>
          <w:spacing w:val="-2"/>
          <w:sz w:val="14"/>
        </w:rPr>
        <w:t>Pagar</w:t>
      </w:r>
      <w:r>
        <w:rPr>
          <w:rFonts w:ascii="Arial MT"/>
          <w:color w:val="001F60"/>
          <w:spacing w:val="-8"/>
          <w:sz w:val="14"/>
        </w:rPr>
        <w:t xml:space="preserve"> </w:t>
      </w:r>
      <w:r>
        <w:rPr>
          <w:rFonts w:ascii="Arial MT"/>
          <w:color w:val="001F60"/>
          <w:spacing w:val="-2"/>
          <w:sz w:val="14"/>
        </w:rPr>
        <w:t>Pado</w:t>
      </w:r>
    </w:p>
    <w:p w14:paraId="22080902" w14:textId="77777777" w:rsidR="002C6574" w:rsidRDefault="00000000">
      <w:pPr>
        <w:spacing w:before="72"/>
        <w:ind w:left="496" w:right="439" w:hanging="180"/>
        <w:rPr>
          <w:rFonts w:ascii="Arial MT"/>
          <w:sz w:val="14"/>
        </w:rPr>
      </w:pPr>
      <w:r>
        <w:br w:type="column"/>
      </w:r>
      <w:r>
        <w:rPr>
          <w:rFonts w:ascii="Arial MT"/>
          <w:color w:val="001F60"/>
          <w:sz w:val="14"/>
        </w:rPr>
        <w:t>Total</w:t>
      </w:r>
      <w:r>
        <w:rPr>
          <w:rFonts w:ascii="Arial MT"/>
          <w:color w:val="001F60"/>
          <w:spacing w:val="-10"/>
          <w:sz w:val="14"/>
        </w:rPr>
        <w:t xml:space="preserve"> </w:t>
      </w:r>
      <w:r>
        <w:rPr>
          <w:rFonts w:ascii="Arial MT"/>
          <w:color w:val="001F60"/>
          <w:sz w:val="14"/>
        </w:rPr>
        <w:t>Pago</w:t>
      </w:r>
      <w:r>
        <w:rPr>
          <w:rFonts w:ascii="Arial MT"/>
          <w:color w:val="001F60"/>
          <w:spacing w:val="40"/>
          <w:sz w:val="14"/>
        </w:rPr>
        <w:t xml:space="preserve"> </w:t>
      </w:r>
      <w:r>
        <w:rPr>
          <w:rFonts w:ascii="Arial MT"/>
          <w:color w:val="001F60"/>
          <w:spacing w:val="-4"/>
          <w:sz w:val="14"/>
        </w:rPr>
        <w:t>2025</w:t>
      </w:r>
    </w:p>
    <w:p w14:paraId="294E5E9B" w14:textId="77777777" w:rsidR="002C6574" w:rsidRDefault="002C6574">
      <w:pPr>
        <w:rPr>
          <w:rFonts w:ascii="Arial MT"/>
          <w:sz w:val="14"/>
        </w:rPr>
        <w:sectPr w:rsidR="002C6574">
          <w:type w:val="continuous"/>
          <w:pgSz w:w="11910" w:h="16840"/>
          <w:pgMar w:top="0" w:right="850" w:bottom="0" w:left="992" w:header="312" w:footer="542" w:gutter="0"/>
          <w:cols w:num="3" w:space="720" w:equalWidth="0">
            <w:col w:w="7445" w:space="40"/>
            <w:col w:w="1101" w:space="39"/>
            <w:col w:w="1443"/>
          </w:cols>
        </w:sectPr>
      </w:pPr>
    </w:p>
    <w:p w14:paraId="3E9021B9" w14:textId="77777777" w:rsidR="002C6574" w:rsidRDefault="002C6574">
      <w:pPr>
        <w:pStyle w:val="Corpodetexto"/>
        <w:rPr>
          <w:rFonts w:ascii="Arial MT"/>
          <w:sz w:val="14"/>
        </w:rPr>
      </w:pPr>
    </w:p>
    <w:p w14:paraId="3A6A7FA3" w14:textId="77777777" w:rsidR="002C6574" w:rsidRDefault="002C6574">
      <w:pPr>
        <w:pStyle w:val="Corpodetexto"/>
        <w:rPr>
          <w:rFonts w:ascii="Arial MT"/>
          <w:sz w:val="14"/>
        </w:rPr>
      </w:pPr>
    </w:p>
    <w:p w14:paraId="22AF6A5B" w14:textId="77777777" w:rsidR="002C6574" w:rsidRDefault="002C6574">
      <w:pPr>
        <w:pStyle w:val="Corpodetexto"/>
        <w:rPr>
          <w:rFonts w:ascii="Arial MT"/>
          <w:sz w:val="14"/>
        </w:rPr>
      </w:pPr>
    </w:p>
    <w:p w14:paraId="3E8FEC3E" w14:textId="77777777" w:rsidR="002C6574" w:rsidRDefault="002C6574">
      <w:pPr>
        <w:pStyle w:val="Corpodetexto"/>
        <w:rPr>
          <w:rFonts w:ascii="Arial MT"/>
          <w:sz w:val="14"/>
        </w:rPr>
      </w:pPr>
    </w:p>
    <w:p w14:paraId="3266CF6E" w14:textId="77777777" w:rsidR="002C6574" w:rsidRDefault="002C6574">
      <w:pPr>
        <w:pStyle w:val="Corpodetexto"/>
        <w:rPr>
          <w:rFonts w:ascii="Arial MT"/>
          <w:sz w:val="14"/>
        </w:rPr>
      </w:pPr>
    </w:p>
    <w:p w14:paraId="2D307EB0" w14:textId="77777777" w:rsidR="002C6574" w:rsidRDefault="002C6574">
      <w:pPr>
        <w:pStyle w:val="Corpodetexto"/>
        <w:rPr>
          <w:rFonts w:ascii="Arial MT"/>
          <w:sz w:val="14"/>
        </w:rPr>
      </w:pPr>
    </w:p>
    <w:p w14:paraId="3878E39B" w14:textId="77777777" w:rsidR="002C6574" w:rsidRDefault="002C6574">
      <w:pPr>
        <w:pStyle w:val="Corpodetexto"/>
        <w:rPr>
          <w:rFonts w:ascii="Arial MT"/>
          <w:sz w:val="14"/>
        </w:rPr>
      </w:pPr>
    </w:p>
    <w:p w14:paraId="10C07798" w14:textId="77777777" w:rsidR="002C6574" w:rsidRDefault="002C6574">
      <w:pPr>
        <w:pStyle w:val="Corpodetexto"/>
        <w:rPr>
          <w:rFonts w:ascii="Arial MT"/>
          <w:sz w:val="14"/>
        </w:rPr>
      </w:pPr>
    </w:p>
    <w:p w14:paraId="42B8C43B" w14:textId="77777777" w:rsidR="002C6574" w:rsidRDefault="002C6574">
      <w:pPr>
        <w:pStyle w:val="Corpodetexto"/>
        <w:rPr>
          <w:rFonts w:ascii="Arial MT"/>
          <w:sz w:val="14"/>
        </w:rPr>
      </w:pPr>
    </w:p>
    <w:p w14:paraId="454CE63F" w14:textId="77777777" w:rsidR="002C6574" w:rsidRDefault="002C6574">
      <w:pPr>
        <w:pStyle w:val="Corpodetexto"/>
        <w:rPr>
          <w:rFonts w:ascii="Arial MT"/>
          <w:sz w:val="14"/>
        </w:rPr>
      </w:pPr>
    </w:p>
    <w:p w14:paraId="3229DE6C" w14:textId="77777777" w:rsidR="002C6574" w:rsidRDefault="002C6574">
      <w:pPr>
        <w:pStyle w:val="Corpodetexto"/>
        <w:rPr>
          <w:rFonts w:ascii="Arial MT"/>
          <w:sz w:val="14"/>
        </w:rPr>
      </w:pPr>
    </w:p>
    <w:p w14:paraId="0B469F6B" w14:textId="77777777" w:rsidR="002C6574" w:rsidRDefault="002C6574">
      <w:pPr>
        <w:pStyle w:val="Corpodetexto"/>
        <w:rPr>
          <w:rFonts w:ascii="Arial MT"/>
          <w:sz w:val="14"/>
        </w:rPr>
      </w:pPr>
    </w:p>
    <w:p w14:paraId="2F5E789B" w14:textId="77777777" w:rsidR="002C6574" w:rsidRDefault="002C6574">
      <w:pPr>
        <w:pStyle w:val="Corpodetexto"/>
        <w:rPr>
          <w:rFonts w:ascii="Arial MT"/>
          <w:sz w:val="14"/>
        </w:rPr>
      </w:pPr>
    </w:p>
    <w:p w14:paraId="564596A4" w14:textId="77777777" w:rsidR="002C6574" w:rsidRDefault="002C6574">
      <w:pPr>
        <w:pStyle w:val="Corpodetexto"/>
        <w:rPr>
          <w:rFonts w:ascii="Arial MT"/>
          <w:sz w:val="14"/>
        </w:rPr>
      </w:pPr>
    </w:p>
    <w:p w14:paraId="46B10498" w14:textId="77777777" w:rsidR="002C6574" w:rsidRDefault="002C6574">
      <w:pPr>
        <w:pStyle w:val="Corpodetexto"/>
        <w:rPr>
          <w:rFonts w:ascii="Arial MT"/>
          <w:sz w:val="14"/>
        </w:rPr>
      </w:pPr>
    </w:p>
    <w:p w14:paraId="100A0E18" w14:textId="77777777" w:rsidR="002C6574" w:rsidRDefault="002C6574">
      <w:pPr>
        <w:pStyle w:val="Corpodetexto"/>
        <w:spacing w:before="78"/>
        <w:rPr>
          <w:rFonts w:ascii="Arial MT"/>
          <w:sz w:val="14"/>
        </w:rPr>
      </w:pPr>
    </w:p>
    <w:p w14:paraId="6CCB5E25" w14:textId="77777777" w:rsidR="002C6574" w:rsidRDefault="00000000">
      <w:pPr>
        <w:spacing w:before="1"/>
        <w:ind w:left="2519"/>
        <w:rPr>
          <w:rFonts w:ascii="Arial MT"/>
          <w:sz w:val="14"/>
        </w:rPr>
      </w:pPr>
      <w:r>
        <w:rPr>
          <w:rFonts w:ascii="Arial MT"/>
          <w:noProof/>
          <w:sz w:val="14"/>
        </w:rPr>
        <mc:AlternateContent>
          <mc:Choice Requires="wps">
            <w:drawing>
              <wp:anchor distT="0" distB="0" distL="0" distR="0" simplePos="0" relativeHeight="15736320" behindDoc="0" locked="0" layoutInCell="1" allowOverlap="1" wp14:anchorId="4F523B0D" wp14:editId="20B04F1F">
                <wp:simplePos x="0" y="0"/>
                <wp:positionH relativeFrom="page">
                  <wp:posOffset>1042416</wp:posOffset>
                </wp:positionH>
                <wp:positionV relativeFrom="paragraph">
                  <wp:posOffset>-1682391</wp:posOffset>
                </wp:positionV>
                <wp:extent cx="5855335" cy="265684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5335" cy="265684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674"/>
                              <w:gridCol w:w="4808"/>
                              <w:gridCol w:w="684"/>
                              <w:gridCol w:w="437"/>
                              <w:gridCol w:w="504"/>
                              <w:gridCol w:w="991"/>
                            </w:tblGrid>
                            <w:tr w:rsidR="002C6574" w14:paraId="7F17CF9C" w14:textId="77777777">
                              <w:trPr>
                                <w:trHeight w:val="282"/>
                              </w:trPr>
                              <w:tc>
                                <w:tcPr>
                                  <w:tcW w:w="6482" w:type="dxa"/>
                                  <w:gridSpan w:val="2"/>
                                  <w:tcBorders>
                                    <w:top w:val="single" w:sz="4" w:space="0" w:color="001F60"/>
                                    <w:bottom w:val="single" w:sz="4" w:space="0" w:color="001F60"/>
                                  </w:tcBorders>
                                </w:tcPr>
                                <w:p w14:paraId="390489F5" w14:textId="77777777" w:rsidR="002C6574" w:rsidRDefault="00000000">
                                  <w:pPr>
                                    <w:pStyle w:val="TableParagraph"/>
                                    <w:spacing w:before="63"/>
                                    <w:ind w:right="-15"/>
                                    <w:rPr>
                                      <w:rFonts w:ascii="Arial MT"/>
                                      <w:sz w:val="14"/>
                                    </w:rPr>
                                  </w:pPr>
                                  <w:r>
                                    <w:rPr>
                                      <w:rFonts w:ascii="Arial MT"/>
                                      <w:color w:val="001F60"/>
                                      <w:spacing w:val="-5"/>
                                      <w:sz w:val="14"/>
                                    </w:rPr>
                                    <w:t>(a</w:t>
                                  </w:r>
                                </w:p>
                              </w:tc>
                              <w:tc>
                                <w:tcPr>
                                  <w:tcW w:w="1121" w:type="dxa"/>
                                  <w:gridSpan w:val="2"/>
                                  <w:tcBorders>
                                    <w:top w:val="single" w:sz="4" w:space="0" w:color="001F60"/>
                                    <w:bottom w:val="single" w:sz="4" w:space="0" w:color="001F60"/>
                                  </w:tcBorders>
                                </w:tcPr>
                                <w:p w14:paraId="7E2D3FCF" w14:textId="77777777" w:rsidR="002C6574" w:rsidRDefault="00000000">
                                  <w:pPr>
                                    <w:pStyle w:val="TableParagraph"/>
                                    <w:tabs>
                                      <w:tab w:val="left" w:pos="941"/>
                                    </w:tabs>
                                    <w:spacing w:before="63"/>
                                    <w:ind w:left="4"/>
                                    <w:jc w:val="left"/>
                                    <w:rPr>
                                      <w:rFonts w:ascii="Arial MT"/>
                                      <w:sz w:val="14"/>
                                    </w:rPr>
                                  </w:pPr>
                                  <w:r>
                                    <w:rPr>
                                      <w:rFonts w:ascii="Arial MT"/>
                                      <w:color w:val="001F60"/>
                                      <w:spacing w:val="-10"/>
                                      <w:sz w:val="14"/>
                                    </w:rPr>
                                    <w:t>)</w:t>
                                  </w:r>
                                  <w:r>
                                    <w:rPr>
                                      <w:rFonts w:ascii="Arial MT"/>
                                      <w:color w:val="001F60"/>
                                      <w:sz w:val="14"/>
                                    </w:rPr>
                                    <w:tab/>
                                  </w:r>
                                  <w:r>
                                    <w:rPr>
                                      <w:rFonts w:ascii="Arial MT"/>
                                      <w:color w:val="001F60"/>
                                      <w:spacing w:val="-5"/>
                                      <w:sz w:val="14"/>
                                    </w:rPr>
                                    <w:t>(b)</w:t>
                                  </w:r>
                                </w:p>
                              </w:tc>
                              <w:tc>
                                <w:tcPr>
                                  <w:tcW w:w="1495" w:type="dxa"/>
                                  <w:gridSpan w:val="2"/>
                                  <w:tcBorders>
                                    <w:top w:val="single" w:sz="4" w:space="0" w:color="001F60"/>
                                    <w:bottom w:val="single" w:sz="4" w:space="0" w:color="001F60"/>
                                  </w:tcBorders>
                                </w:tcPr>
                                <w:p w14:paraId="28F5F72A" w14:textId="77777777" w:rsidR="002C6574" w:rsidRDefault="00000000">
                                  <w:pPr>
                                    <w:pStyle w:val="TableParagraph"/>
                                    <w:spacing w:before="63"/>
                                    <w:ind w:left="646"/>
                                    <w:jc w:val="left"/>
                                    <w:rPr>
                                      <w:rFonts w:ascii="Arial MT"/>
                                      <w:sz w:val="14"/>
                                    </w:rPr>
                                  </w:pPr>
                                  <w:r>
                                    <w:rPr>
                                      <w:rFonts w:ascii="Arial MT"/>
                                      <w:color w:val="001F60"/>
                                      <w:sz w:val="14"/>
                                    </w:rPr>
                                    <w:t>(c</w:t>
                                  </w:r>
                                  <w:r>
                                    <w:rPr>
                                      <w:rFonts w:ascii="Arial MT"/>
                                      <w:color w:val="001F60"/>
                                      <w:spacing w:val="-3"/>
                                      <w:sz w:val="14"/>
                                    </w:rPr>
                                    <w:t xml:space="preserve"> </w:t>
                                  </w:r>
                                  <w:r>
                                    <w:rPr>
                                      <w:rFonts w:ascii="Arial MT"/>
                                      <w:color w:val="001F60"/>
                                      <w:sz w:val="14"/>
                                    </w:rPr>
                                    <w:t>=</w:t>
                                  </w:r>
                                  <w:r>
                                    <w:rPr>
                                      <w:rFonts w:ascii="Arial MT"/>
                                      <w:color w:val="001F60"/>
                                      <w:spacing w:val="1"/>
                                      <w:sz w:val="14"/>
                                    </w:rPr>
                                    <w:t xml:space="preserve"> </w:t>
                                  </w:r>
                                  <w:r>
                                    <w:rPr>
                                      <w:rFonts w:ascii="Arial MT"/>
                                      <w:color w:val="001F60"/>
                                      <w:sz w:val="14"/>
                                    </w:rPr>
                                    <w:t>a</w:t>
                                  </w:r>
                                  <w:r>
                                    <w:rPr>
                                      <w:rFonts w:ascii="Arial MT"/>
                                      <w:color w:val="001F60"/>
                                      <w:spacing w:val="-4"/>
                                      <w:sz w:val="14"/>
                                    </w:rPr>
                                    <w:t xml:space="preserve"> </w:t>
                                  </w:r>
                                  <w:r>
                                    <w:rPr>
                                      <w:rFonts w:ascii="Arial MT"/>
                                      <w:color w:val="001F60"/>
                                      <w:sz w:val="14"/>
                                    </w:rPr>
                                    <w:t>+</w:t>
                                  </w:r>
                                  <w:r>
                                    <w:rPr>
                                      <w:rFonts w:ascii="Arial MT"/>
                                      <w:color w:val="001F60"/>
                                      <w:spacing w:val="-2"/>
                                      <w:sz w:val="14"/>
                                    </w:rPr>
                                    <w:t xml:space="preserve"> </w:t>
                                  </w:r>
                                  <w:r>
                                    <w:rPr>
                                      <w:rFonts w:ascii="Arial MT"/>
                                      <w:color w:val="001F60"/>
                                      <w:spacing w:val="-5"/>
                                      <w:sz w:val="14"/>
                                    </w:rPr>
                                    <w:t>b)</w:t>
                                  </w:r>
                                </w:p>
                              </w:tc>
                            </w:tr>
                            <w:tr w:rsidR="002C6574" w14:paraId="07BDE924" w14:textId="77777777">
                              <w:trPr>
                                <w:trHeight w:val="282"/>
                              </w:trPr>
                              <w:tc>
                                <w:tcPr>
                                  <w:tcW w:w="6482" w:type="dxa"/>
                                  <w:gridSpan w:val="2"/>
                                  <w:tcBorders>
                                    <w:bottom w:val="dotted" w:sz="4" w:space="0" w:color="001F60"/>
                                  </w:tcBorders>
                                </w:tcPr>
                                <w:p w14:paraId="4F848D34" w14:textId="77777777" w:rsidR="002C6574" w:rsidRDefault="00000000">
                                  <w:pPr>
                                    <w:pStyle w:val="TableParagraph"/>
                                    <w:spacing w:before="58"/>
                                    <w:ind w:left="69"/>
                                    <w:jc w:val="left"/>
                                    <w:rPr>
                                      <w:rFonts w:ascii="Arial MT" w:hAnsi="Arial MT"/>
                                      <w:sz w:val="14"/>
                                    </w:rPr>
                                  </w:pPr>
                                  <w:r>
                                    <w:rPr>
                                      <w:rFonts w:ascii="Arial MT" w:hAnsi="Arial MT"/>
                                      <w:color w:val="001F60"/>
                                      <w:sz w:val="14"/>
                                    </w:rPr>
                                    <w:t>Despesas</w:t>
                                  </w:r>
                                  <w:r>
                                    <w:rPr>
                                      <w:rFonts w:ascii="Arial MT" w:hAnsi="Arial MT"/>
                                      <w:color w:val="001F60"/>
                                      <w:spacing w:val="-3"/>
                                      <w:sz w:val="14"/>
                                    </w:rPr>
                                    <w:t xml:space="preserve"> </w:t>
                                  </w:r>
                                  <w:r>
                                    <w:rPr>
                                      <w:rFonts w:ascii="Arial MT" w:hAnsi="Arial MT"/>
                                      <w:color w:val="001F60"/>
                                      <w:sz w:val="14"/>
                                    </w:rPr>
                                    <w:t>Financeiras</w:t>
                                  </w:r>
                                  <w:r>
                                    <w:rPr>
                                      <w:rFonts w:ascii="Arial MT" w:hAnsi="Arial MT"/>
                                      <w:color w:val="001F60"/>
                                      <w:spacing w:val="-2"/>
                                      <w:sz w:val="14"/>
                                    </w:rPr>
                                    <w:t xml:space="preserve"> </w:t>
                                  </w:r>
                                  <w:r>
                                    <w:rPr>
                                      <w:rFonts w:ascii="Arial MT" w:hAnsi="Arial MT"/>
                                      <w:color w:val="001F60"/>
                                      <w:sz w:val="14"/>
                                    </w:rPr>
                                    <w:t>e</w:t>
                                  </w:r>
                                  <w:r>
                                    <w:rPr>
                                      <w:rFonts w:ascii="Arial MT" w:hAnsi="Arial MT"/>
                                      <w:color w:val="001F60"/>
                                      <w:spacing w:val="-5"/>
                                      <w:sz w:val="14"/>
                                    </w:rPr>
                                    <w:t xml:space="preserve"> </w:t>
                                  </w:r>
                                  <w:r>
                                    <w:rPr>
                                      <w:rFonts w:ascii="Arial MT" w:hAnsi="Arial MT"/>
                                      <w:color w:val="001F60"/>
                                      <w:sz w:val="14"/>
                                    </w:rPr>
                                    <w:t>Obrigatórias</w:t>
                                  </w:r>
                                  <w:r>
                                    <w:rPr>
                                      <w:rFonts w:ascii="Arial MT" w:hAnsi="Arial MT"/>
                                      <w:color w:val="001F60"/>
                                      <w:spacing w:val="-5"/>
                                      <w:sz w:val="14"/>
                                    </w:rPr>
                                    <w:t xml:space="preserve"> </w:t>
                                  </w:r>
                                  <w:r>
                                    <w:rPr>
                                      <w:rFonts w:ascii="Arial MT" w:hAnsi="Arial MT"/>
                                      <w:color w:val="001F60"/>
                                      <w:sz w:val="14"/>
                                    </w:rPr>
                                    <w:t>(RP</w:t>
                                  </w:r>
                                  <w:r>
                                    <w:rPr>
                                      <w:rFonts w:ascii="Arial MT" w:hAnsi="Arial MT"/>
                                      <w:color w:val="001F60"/>
                                      <w:spacing w:val="-4"/>
                                      <w:sz w:val="14"/>
                                    </w:rPr>
                                    <w:t xml:space="preserve"> </w:t>
                                  </w:r>
                                  <w:r>
                                    <w:rPr>
                                      <w:rFonts w:ascii="Arial MT" w:hAnsi="Arial MT"/>
                                      <w:color w:val="001F60"/>
                                      <w:sz w:val="14"/>
                                    </w:rPr>
                                    <w:t>0</w:t>
                                  </w:r>
                                  <w:r>
                                    <w:rPr>
                                      <w:rFonts w:ascii="Arial MT" w:hAnsi="Arial MT"/>
                                      <w:color w:val="001F60"/>
                                      <w:spacing w:val="-5"/>
                                      <w:sz w:val="14"/>
                                    </w:rPr>
                                    <w:t xml:space="preserve"> </w:t>
                                  </w:r>
                                  <w:r>
                                    <w:rPr>
                                      <w:rFonts w:ascii="Arial MT" w:hAnsi="Arial MT"/>
                                      <w:color w:val="001F60"/>
                                      <w:sz w:val="14"/>
                                    </w:rPr>
                                    <w:t>e</w:t>
                                  </w:r>
                                  <w:r>
                                    <w:rPr>
                                      <w:rFonts w:ascii="Arial MT" w:hAnsi="Arial MT"/>
                                      <w:color w:val="001F60"/>
                                      <w:spacing w:val="-2"/>
                                      <w:sz w:val="14"/>
                                    </w:rPr>
                                    <w:t xml:space="preserve"> </w:t>
                                  </w:r>
                                  <w:r>
                                    <w:rPr>
                                      <w:rFonts w:ascii="Arial MT" w:hAnsi="Arial MT"/>
                                      <w:color w:val="001F60"/>
                                      <w:spacing w:val="-5"/>
                                      <w:sz w:val="14"/>
                                    </w:rPr>
                                    <w:t>1)</w:t>
                                  </w:r>
                                </w:p>
                              </w:tc>
                              <w:tc>
                                <w:tcPr>
                                  <w:tcW w:w="684" w:type="dxa"/>
                                  <w:tcBorders>
                                    <w:bottom w:val="dotted" w:sz="4" w:space="0" w:color="001F60"/>
                                  </w:tcBorders>
                                </w:tcPr>
                                <w:p w14:paraId="2B29F5B5" w14:textId="77777777" w:rsidR="002C6574" w:rsidRDefault="00000000">
                                  <w:pPr>
                                    <w:pStyle w:val="TableParagraph"/>
                                    <w:spacing w:before="58"/>
                                    <w:ind w:right="256"/>
                                    <w:rPr>
                                      <w:rFonts w:ascii="Arial MT"/>
                                      <w:sz w:val="14"/>
                                    </w:rPr>
                                  </w:pPr>
                                  <w:r>
                                    <w:rPr>
                                      <w:rFonts w:ascii="Arial MT"/>
                                      <w:color w:val="001F60"/>
                                      <w:spacing w:val="-2"/>
                                      <w:sz w:val="14"/>
                                    </w:rPr>
                                    <w:t>153,55</w:t>
                                  </w:r>
                                </w:p>
                              </w:tc>
                              <w:tc>
                                <w:tcPr>
                                  <w:tcW w:w="941" w:type="dxa"/>
                                  <w:gridSpan w:val="2"/>
                                  <w:tcBorders>
                                    <w:bottom w:val="dotted" w:sz="4" w:space="0" w:color="001F60"/>
                                  </w:tcBorders>
                                </w:tcPr>
                                <w:p w14:paraId="03C3F73A" w14:textId="77777777" w:rsidR="002C6574" w:rsidRDefault="00000000">
                                  <w:pPr>
                                    <w:pStyle w:val="TableParagraph"/>
                                    <w:spacing w:before="58"/>
                                    <w:ind w:left="451"/>
                                    <w:jc w:val="left"/>
                                    <w:rPr>
                                      <w:rFonts w:ascii="Arial MT"/>
                                      <w:sz w:val="14"/>
                                    </w:rPr>
                                  </w:pPr>
                                  <w:r>
                                    <w:rPr>
                                      <w:rFonts w:ascii="Arial MT"/>
                                      <w:color w:val="001F60"/>
                                      <w:spacing w:val="-2"/>
                                      <w:sz w:val="14"/>
                                    </w:rPr>
                                    <w:t>14,08</w:t>
                                  </w:r>
                                </w:p>
                              </w:tc>
                              <w:tc>
                                <w:tcPr>
                                  <w:tcW w:w="991" w:type="dxa"/>
                                  <w:tcBorders>
                                    <w:bottom w:val="dotted" w:sz="4" w:space="0" w:color="001F60"/>
                                  </w:tcBorders>
                                </w:tcPr>
                                <w:p w14:paraId="0FF010B7" w14:textId="77777777" w:rsidR="002C6574" w:rsidRDefault="00000000">
                                  <w:pPr>
                                    <w:pStyle w:val="TableParagraph"/>
                                    <w:spacing w:before="58"/>
                                    <w:ind w:right="69"/>
                                    <w:rPr>
                                      <w:rFonts w:ascii="Arial MT"/>
                                      <w:sz w:val="14"/>
                                    </w:rPr>
                                  </w:pPr>
                                  <w:r>
                                    <w:rPr>
                                      <w:rFonts w:ascii="Arial MT"/>
                                      <w:color w:val="001F60"/>
                                      <w:spacing w:val="-2"/>
                                      <w:sz w:val="14"/>
                                    </w:rPr>
                                    <w:t>167,63</w:t>
                                  </w:r>
                                </w:p>
                              </w:tc>
                            </w:tr>
                            <w:tr w:rsidR="002C6574" w14:paraId="15973E56" w14:textId="77777777">
                              <w:trPr>
                                <w:trHeight w:val="223"/>
                              </w:trPr>
                              <w:tc>
                                <w:tcPr>
                                  <w:tcW w:w="6482" w:type="dxa"/>
                                  <w:gridSpan w:val="2"/>
                                  <w:tcBorders>
                                    <w:top w:val="dotted" w:sz="4" w:space="0" w:color="001F60"/>
                                  </w:tcBorders>
                                </w:tcPr>
                                <w:p w14:paraId="1BA5C772" w14:textId="77777777" w:rsidR="002C6574" w:rsidRDefault="00000000">
                                  <w:pPr>
                                    <w:pStyle w:val="TableParagraph"/>
                                    <w:spacing w:before="63" w:line="141" w:lineRule="exact"/>
                                    <w:ind w:left="650"/>
                                    <w:jc w:val="left"/>
                                    <w:rPr>
                                      <w:rFonts w:ascii="Arial"/>
                                      <w:b/>
                                      <w:sz w:val="14"/>
                                    </w:rPr>
                                  </w:pPr>
                                  <w:r>
                                    <w:rPr>
                                      <w:rFonts w:ascii="Arial"/>
                                      <w:b/>
                                      <w:color w:val="001F60"/>
                                      <w:sz w:val="14"/>
                                    </w:rPr>
                                    <w:t>4</w:t>
                                  </w:r>
                                  <w:r>
                                    <w:rPr>
                                      <w:rFonts w:ascii="Arial"/>
                                      <w:b/>
                                      <w:color w:val="001F60"/>
                                      <w:spacing w:val="-5"/>
                                      <w:sz w:val="14"/>
                                    </w:rPr>
                                    <w:t xml:space="preserve"> </w:t>
                                  </w:r>
                                  <w:r>
                                    <w:rPr>
                                      <w:rFonts w:ascii="Arial"/>
                                      <w:b/>
                                      <w:color w:val="001F60"/>
                                      <w:sz w:val="14"/>
                                    </w:rPr>
                                    <w:t>-</w:t>
                                  </w:r>
                                  <w:r>
                                    <w:rPr>
                                      <w:rFonts w:ascii="Arial"/>
                                      <w:b/>
                                      <w:color w:val="001F60"/>
                                      <w:spacing w:val="-4"/>
                                      <w:sz w:val="14"/>
                                    </w:rPr>
                                    <w:t xml:space="preserve"> </w:t>
                                  </w:r>
                                  <w:r>
                                    <w:rPr>
                                      <w:rFonts w:ascii="Arial"/>
                                      <w:b/>
                                      <w:color w:val="001F60"/>
                                      <w:sz w:val="14"/>
                                    </w:rPr>
                                    <w:t>Despesas de</w:t>
                                  </w:r>
                                  <w:r>
                                    <w:rPr>
                                      <w:rFonts w:ascii="Arial"/>
                                      <w:b/>
                                      <w:color w:val="001F60"/>
                                      <w:spacing w:val="-4"/>
                                      <w:sz w:val="14"/>
                                    </w:rPr>
                                    <w:t xml:space="preserve"> </w:t>
                                  </w:r>
                                  <w:r>
                                    <w:rPr>
                                      <w:rFonts w:ascii="Arial"/>
                                      <w:b/>
                                      <w:color w:val="001F60"/>
                                      <w:spacing w:val="-2"/>
                                      <w:sz w:val="14"/>
                                    </w:rPr>
                                    <w:t>Capital</w:t>
                                  </w:r>
                                </w:p>
                              </w:tc>
                              <w:tc>
                                <w:tcPr>
                                  <w:tcW w:w="684" w:type="dxa"/>
                                  <w:tcBorders>
                                    <w:top w:val="dotted" w:sz="4" w:space="0" w:color="001F60"/>
                                  </w:tcBorders>
                                </w:tcPr>
                                <w:p w14:paraId="41E13130" w14:textId="77777777" w:rsidR="002C6574" w:rsidRDefault="00000000">
                                  <w:pPr>
                                    <w:pStyle w:val="TableParagraph"/>
                                    <w:spacing w:before="63" w:line="141" w:lineRule="exact"/>
                                    <w:ind w:right="256"/>
                                    <w:rPr>
                                      <w:rFonts w:ascii="Arial"/>
                                      <w:b/>
                                      <w:sz w:val="14"/>
                                    </w:rPr>
                                  </w:pPr>
                                  <w:r>
                                    <w:rPr>
                                      <w:rFonts w:ascii="Arial"/>
                                      <w:b/>
                                      <w:color w:val="001F60"/>
                                      <w:spacing w:val="-2"/>
                                      <w:sz w:val="14"/>
                                    </w:rPr>
                                    <w:t>44,86</w:t>
                                  </w:r>
                                </w:p>
                              </w:tc>
                              <w:tc>
                                <w:tcPr>
                                  <w:tcW w:w="941" w:type="dxa"/>
                                  <w:gridSpan w:val="2"/>
                                  <w:tcBorders>
                                    <w:top w:val="dotted" w:sz="4" w:space="0" w:color="001F60"/>
                                  </w:tcBorders>
                                </w:tcPr>
                                <w:p w14:paraId="7728D0EE" w14:textId="77777777" w:rsidR="002C6574" w:rsidRDefault="00000000">
                                  <w:pPr>
                                    <w:pStyle w:val="TableParagraph"/>
                                    <w:spacing w:before="63" w:line="141" w:lineRule="exact"/>
                                    <w:ind w:left="528"/>
                                    <w:jc w:val="left"/>
                                    <w:rPr>
                                      <w:rFonts w:ascii="Arial"/>
                                      <w:b/>
                                      <w:sz w:val="14"/>
                                    </w:rPr>
                                  </w:pPr>
                                  <w:r>
                                    <w:rPr>
                                      <w:rFonts w:ascii="Arial"/>
                                      <w:b/>
                                      <w:color w:val="001F60"/>
                                      <w:spacing w:val="-4"/>
                                      <w:sz w:val="14"/>
                                    </w:rPr>
                                    <w:t>0,92</w:t>
                                  </w:r>
                                </w:p>
                              </w:tc>
                              <w:tc>
                                <w:tcPr>
                                  <w:tcW w:w="991" w:type="dxa"/>
                                  <w:tcBorders>
                                    <w:top w:val="dotted" w:sz="4" w:space="0" w:color="001F60"/>
                                  </w:tcBorders>
                                </w:tcPr>
                                <w:p w14:paraId="73E43A23" w14:textId="77777777" w:rsidR="002C6574" w:rsidRDefault="00000000">
                                  <w:pPr>
                                    <w:pStyle w:val="TableParagraph"/>
                                    <w:spacing w:before="63" w:line="141" w:lineRule="exact"/>
                                    <w:ind w:right="68"/>
                                    <w:rPr>
                                      <w:rFonts w:ascii="Arial"/>
                                      <w:b/>
                                      <w:sz w:val="14"/>
                                    </w:rPr>
                                  </w:pPr>
                                  <w:r>
                                    <w:rPr>
                                      <w:rFonts w:ascii="Arial"/>
                                      <w:b/>
                                      <w:color w:val="001F60"/>
                                      <w:spacing w:val="-2"/>
                                      <w:sz w:val="14"/>
                                    </w:rPr>
                                    <w:t>45,78</w:t>
                                  </w:r>
                                </w:p>
                              </w:tc>
                            </w:tr>
                            <w:tr w:rsidR="002C6574" w14:paraId="13BBFBCD" w14:textId="77777777">
                              <w:trPr>
                                <w:trHeight w:val="283"/>
                              </w:trPr>
                              <w:tc>
                                <w:tcPr>
                                  <w:tcW w:w="1674" w:type="dxa"/>
                                </w:tcPr>
                                <w:p w14:paraId="663F3930" w14:textId="77777777" w:rsidR="002C6574" w:rsidRDefault="00000000">
                                  <w:pPr>
                                    <w:pStyle w:val="TableParagraph"/>
                                    <w:spacing w:before="122" w:line="141" w:lineRule="exact"/>
                                    <w:ind w:right="133"/>
                                    <w:rPr>
                                      <w:rFonts w:ascii="Arial MT"/>
                                      <w:sz w:val="14"/>
                                    </w:rPr>
                                  </w:pPr>
                                  <w:r>
                                    <w:rPr>
                                      <w:rFonts w:ascii="Arial MT"/>
                                      <w:color w:val="001F60"/>
                                      <w:spacing w:val="-4"/>
                                      <w:sz w:val="14"/>
                                    </w:rPr>
                                    <w:t>1443</w:t>
                                  </w:r>
                                </w:p>
                              </w:tc>
                              <w:tc>
                                <w:tcPr>
                                  <w:tcW w:w="4808" w:type="dxa"/>
                                </w:tcPr>
                                <w:p w14:paraId="2281DF60" w14:textId="77777777" w:rsidR="002C6574" w:rsidRDefault="00000000">
                                  <w:pPr>
                                    <w:pStyle w:val="TableParagraph"/>
                                    <w:spacing w:before="122" w:line="141" w:lineRule="exact"/>
                                    <w:ind w:left="135"/>
                                    <w:jc w:val="left"/>
                                    <w:rPr>
                                      <w:rFonts w:ascii="Arial MT" w:hAnsi="Arial MT"/>
                                      <w:sz w:val="14"/>
                                    </w:rPr>
                                  </w:pPr>
                                  <w:r>
                                    <w:rPr>
                                      <w:rFonts w:ascii="Arial MT" w:hAnsi="Arial MT"/>
                                      <w:color w:val="001F60"/>
                                      <w:sz w:val="14"/>
                                    </w:rPr>
                                    <w:t>Refinanciamento</w:t>
                                  </w:r>
                                  <w:r>
                                    <w:rPr>
                                      <w:rFonts w:ascii="Arial MT" w:hAnsi="Arial MT"/>
                                      <w:color w:val="001F60"/>
                                      <w:spacing w:val="-6"/>
                                      <w:sz w:val="14"/>
                                    </w:rPr>
                                    <w:t xml:space="preserve"> </w:t>
                                  </w:r>
                                  <w:r>
                                    <w:rPr>
                                      <w:rFonts w:ascii="Arial MT" w:hAnsi="Arial MT"/>
                                      <w:color w:val="001F60"/>
                                      <w:sz w:val="14"/>
                                    </w:rPr>
                                    <w:t>da</w:t>
                                  </w:r>
                                  <w:r>
                                    <w:rPr>
                                      <w:rFonts w:ascii="Arial MT" w:hAnsi="Arial MT"/>
                                      <w:color w:val="001F60"/>
                                      <w:spacing w:val="-6"/>
                                      <w:sz w:val="14"/>
                                    </w:rPr>
                                    <w:t xml:space="preserve"> </w:t>
                                  </w:r>
                                  <w:r>
                                    <w:rPr>
                                      <w:rFonts w:ascii="Arial MT" w:hAnsi="Arial MT"/>
                                      <w:color w:val="001F60"/>
                                      <w:sz w:val="14"/>
                                    </w:rPr>
                                    <w:t>Dívida</w:t>
                                  </w:r>
                                  <w:r>
                                    <w:rPr>
                                      <w:rFonts w:ascii="Arial MT" w:hAnsi="Arial MT"/>
                                      <w:color w:val="001F60"/>
                                      <w:spacing w:val="-5"/>
                                      <w:sz w:val="14"/>
                                    </w:rPr>
                                    <w:t xml:space="preserve"> </w:t>
                                  </w:r>
                                  <w:r>
                                    <w:rPr>
                                      <w:rFonts w:ascii="Arial MT" w:hAnsi="Arial MT"/>
                                      <w:color w:val="001F60"/>
                                      <w:sz w:val="14"/>
                                    </w:rPr>
                                    <w:t>Publica</w:t>
                                  </w:r>
                                  <w:r>
                                    <w:rPr>
                                      <w:rFonts w:ascii="Arial MT" w:hAnsi="Arial MT"/>
                                      <w:color w:val="001F60"/>
                                      <w:spacing w:val="-2"/>
                                      <w:sz w:val="14"/>
                                    </w:rPr>
                                    <w:t xml:space="preserve"> Federal</w:t>
                                  </w:r>
                                </w:p>
                              </w:tc>
                              <w:tc>
                                <w:tcPr>
                                  <w:tcW w:w="684" w:type="dxa"/>
                                </w:tcPr>
                                <w:p w14:paraId="6B631FCB" w14:textId="77777777" w:rsidR="002C6574" w:rsidRDefault="00000000">
                                  <w:pPr>
                                    <w:pStyle w:val="TableParagraph"/>
                                    <w:spacing w:before="122" w:line="141" w:lineRule="exact"/>
                                    <w:ind w:right="256"/>
                                    <w:rPr>
                                      <w:rFonts w:ascii="Arial MT"/>
                                      <w:sz w:val="14"/>
                                    </w:rPr>
                                  </w:pPr>
                                  <w:r>
                                    <w:rPr>
                                      <w:rFonts w:ascii="Arial MT"/>
                                      <w:color w:val="001F60"/>
                                      <w:spacing w:val="-2"/>
                                      <w:sz w:val="14"/>
                                    </w:rPr>
                                    <w:t>44,86</w:t>
                                  </w:r>
                                </w:p>
                              </w:tc>
                              <w:tc>
                                <w:tcPr>
                                  <w:tcW w:w="941" w:type="dxa"/>
                                  <w:gridSpan w:val="2"/>
                                </w:tcPr>
                                <w:p w14:paraId="54C7983F" w14:textId="77777777" w:rsidR="002C6574" w:rsidRDefault="00000000">
                                  <w:pPr>
                                    <w:pStyle w:val="TableParagraph"/>
                                    <w:spacing w:before="122" w:line="141" w:lineRule="exact"/>
                                    <w:ind w:left="528"/>
                                    <w:jc w:val="left"/>
                                    <w:rPr>
                                      <w:rFonts w:ascii="Arial MT"/>
                                      <w:sz w:val="14"/>
                                    </w:rPr>
                                  </w:pPr>
                                  <w:r>
                                    <w:rPr>
                                      <w:rFonts w:ascii="Arial MT"/>
                                      <w:color w:val="001F60"/>
                                      <w:spacing w:val="-4"/>
                                      <w:sz w:val="14"/>
                                    </w:rPr>
                                    <w:t>0,92</w:t>
                                  </w:r>
                                </w:p>
                              </w:tc>
                              <w:tc>
                                <w:tcPr>
                                  <w:tcW w:w="991" w:type="dxa"/>
                                </w:tcPr>
                                <w:p w14:paraId="08287923" w14:textId="77777777" w:rsidR="002C6574" w:rsidRDefault="00000000">
                                  <w:pPr>
                                    <w:pStyle w:val="TableParagraph"/>
                                    <w:spacing w:before="122" w:line="141" w:lineRule="exact"/>
                                    <w:ind w:right="68"/>
                                    <w:rPr>
                                      <w:rFonts w:ascii="Arial MT"/>
                                      <w:sz w:val="14"/>
                                    </w:rPr>
                                  </w:pPr>
                                  <w:r>
                                    <w:rPr>
                                      <w:rFonts w:ascii="Arial MT"/>
                                      <w:color w:val="001F60"/>
                                      <w:spacing w:val="-2"/>
                                      <w:sz w:val="14"/>
                                    </w:rPr>
                                    <w:t>45,78</w:t>
                                  </w:r>
                                </w:p>
                              </w:tc>
                            </w:tr>
                            <w:tr w:rsidR="002C6574" w14:paraId="7A43B882" w14:textId="77777777">
                              <w:trPr>
                                <w:trHeight w:val="315"/>
                              </w:trPr>
                              <w:tc>
                                <w:tcPr>
                                  <w:tcW w:w="6482" w:type="dxa"/>
                                  <w:gridSpan w:val="2"/>
                                </w:tcPr>
                                <w:p w14:paraId="2DB790E9" w14:textId="77777777" w:rsidR="002C6574" w:rsidRDefault="00000000">
                                  <w:pPr>
                                    <w:pStyle w:val="TableParagraph"/>
                                    <w:spacing w:before="122"/>
                                    <w:ind w:left="650"/>
                                    <w:jc w:val="left"/>
                                    <w:rPr>
                                      <w:rFonts w:ascii="Arial"/>
                                      <w:b/>
                                      <w:sz w:val="14"/>
                                    </w:rPr>
                                  </w:pPr>
                                  <w:r>
                                    <w:rPr>
                                      <w:rFonts w:ascii="Arial"/>
                                      <w:b/>
                                      <w:color w:val="001F60"/>
                                      <w:sz w:val="14"/>
                                    </w:rPr>
                                    <w:t>3</w:t>
                                  </w:r>
                                  <w:r>
                                    <w:rPr>
                                      <w:rFonts w:ascii="Arial"/>
                                      <w:b/>
                                      <w:color w:val="001F60"/>
                                      <w:spacing w:val="-4"/>
                                      <w:sz w:val="14"/>
                                    </w:rPr>
                                    <w:t xml:space="preserve"> </w:t>
                                  </w:r>
                                  <w:r>
                                    <w:rPr>
                                      <w:rFonts w:ascii="Arial"/>
                                      <w:b/>
                                      <w:color w:val="001F60"/>
                                      <w:sz w:val="14"/>
                                    </w:rPr>
                                    <w:t>-</w:t>
                                  </w:r>
                                  <w:r>
                                    <w:rPr>
                                      <w:rFonts w:ascii="Arial"/>
                                      <w:b/>
                                      <w:color w:val="001F60"/>
                                      <w:spacing w:val="-4"/>
                                      <w:sz w:val="14"/>
                                    </w:rPr>
                                    <w:t xml:space="preserve"> </w:t>
                                  </w:r>
                                  <w:r>
                                    <w:rPr>
                                      <w:rFonts w:ascii="Arial"/>
                                      <w:b/>
                                      <w:color w:val="001F60"/>
                                      <w:sz w:val="14"/>
                                    </w:rPr>
                                    <w:t>Despesas</w:t>
                                  </w:r>
                                  <w:r>
                                    <w:rPr>
                                      <w:rFonts w:ascii="Arial"/>
                                      <w:b/>
                                      <w:color w:val="001F60"/>
                                      <w:spacing w:val="-3"/>
                                      <w:sz w:val="14"/>
                                    </w:rPr>
                                    <w:t xml:space="preserve"> </w:t>
                                  </w:r>
                                  <w:r>
                                    <w:rPr>
                                      <w:rFonts w:ascii="Arial"/>
                                      <w:b/>
                                      <w:color w:val="001F60"/>
                                      <w:spacing w:val="-2"/>
                                      <w:sz w:val="14"/>
                                    </w:rPr>
                                    <w:t>Correntes</w:t>
                                  </w:r>
                                </w:p>
                              </w:tc>
                              <w:tc>
                                <w:tcPr>
                                  <w:tcW w:w="684" w:type="dxa"/>
                                </w:tcPr>
                                <w:p w14:paraId="763EFF47" w14:textId="77777777" w:rsidR="002C6574" w:rsidRDefault="00000000">
                                  <w:pPr>
                                    <w:pStyle w:val="TableParagraph"/>
                                    <w:spacing w:before="122"/>
                                    <w:ind w:right="256"/>
                                    <w:rPr>
                                      <w:rFonts w:ascii="Arial"/>
                                      <w:b/>
                                      <w:sz w:val="14"/>
                                    </w:rPr>
                                  </w:pPr>
                                  <w:r>
                                    <w:rPr>
                                      <w:rFonts w:ascii="Arial"/>
                                      <w:b/>
                                      <w:color w:val="001F60"/>
                                      <w:spacing w:val="-2"/>
                                      <w:sz w:val="14"/>
                                    </w:rPr>
                                    <w:t>108,69</w:t>
                                  </w:r>
                                </w:p>
                              </w:tc>
                              <w:tc>
                                <w:tcPr>
                                  <w:tcW w:w="941" w:type="dxa"/>
                                  <w:gridSpan w:val="2"/>
                                </w:tcPr>
                                <w:p w14:paraId="69D42F51" w14:textId="77777777" w:rsidR="002C6574" w:rsidRDefault="00000000">
                                  <w:pPr>
                                    <w:pStyle w:val="TableParagraph"/>
                                    <w:spacing w:before="122"/>
                                    <w:ind w:left="451"/>
                                    <w:jc w:val="left"/>
                                    <w:rPr>
                                      <w:rFonts w:ascii="Arial"/>
                                      <w:b/>
                                      <w:sz w:val="14"/>
                                    </w:rPr>
                                  </w:pPr>
                                  <w:r>
                                    <w:rPr>
                                      <w:rFonts w:ascii="Arial"/>
                                      <w:b/>
                                      <w:color w:val="001F60"/>
                                      <w:spacing w:val="-2"/>
                                      <w:sz w:val="14"/>
                                    </w:rPr>
                                    <w:t>13,16</w:t>
                                  </w:r>
                                </w:p>
                              </w:tc>
                              <w:tc>
                                <w:tcPr>
                                  <w:tcW w:w="991" w:type="dxa"/>
                                </w:tcPr>
                                <w:p w14:paraId="0C281F41" w14:textId="77777777" w:rsidR="002C6574" w:rsidRDefault="00000000">
                                  <w:pPr>
                                    <w:pStyle w:val="TableParagraph"/>
                                    <w:spacing w:before="122"/>
                                    <w:ind w:right="69"/>
                                    <w:rPr>
                                      <w:rFonts w:ascii="Arial"/>
                                      <w:b/>
                                      <w:sz w:val="14"/>
                                    </w:rPr>
                                  </w:pPr>
                                  <w:r>
                                    <w:rPr>
                                      <w:rFonts w:ascii="Arial"/>
                                      <w:b/>
                                      <w:color w:val="001F60"/>
                                      <w:spacing w:val="-2"/>
                                      <w:sz w:val="14"/>
                                    </w:rPr>
                                    <w:t>121,85</w:t>
                                  </w:r>
                                </w:p>
                              </w:tc>
                            </w:tr>
                            <w:tr w:rsidR="002C6574" w14:paraId="37CA4DFB" w14:textId="77777777">
                              <w:trPr>
                                <w:trHeight w:val="188"/>
                              </w:trPr>
                              <w:tc>
                                <w:tcPr>
                                  <w:tcW w:w="6482" w:type="dxa"/>
                                  <w:gridSpan w:val="2"/>
                                </w:tcPr>
                                <w:p w14:paraId="130A4066" w14:textId="77777777" w:rsidR="002C6574" w:rsidRDefault="00000000">
                                  <w:pPr>
                                    <w:pStyle w:val="TableParagraph"/>
                                    <w:spacing w:before="27" w:line="141" w:lineRule="exact"/>
                                    <w:ind w:left="1809"/>
                                    <w:jc w:val="left"/>
                                    <w:rPr>
                                      <w:rFonts w:ascii="Arial MT" w:hAnsi="Arial MT"/>
                                      <w:sz w:val="14"/>
                                    </w:rPr>
                                  </w:pPr>
                                  <w:r>
                                    <w:rPr>
                                      <w:rFonts w:ascii="Arial MT" w:hAnsi="Arial MT"/>
                                      <w:color w:val="001F60"/>
                                      <w:sz w:val="14"/>
                                    </w:rPr>
                                    <w:t>Demais</w:t>
                                  </w:r>
                                  <w:r>
                                    <w:rPr>
                                      <w:rFonts w:ascii="Arial MT" w:hAnsi="Arial MT"/>
                                      <w:color w:val="001F60"/>
                                      <w:spacing w:val="-6"/>
                                      <w:sz w:val="14"/>
                                    </w:rPr>
                                    <w:t xml:space="preserve"> </w:t>
                                  </w:r>
                                  <w:r>
                                    <w:rPr>
                                      <w:rFonts w:ascii="Arial MT" w:hAnsi="Arial MT"/>
                                      <w:color w:val="001F60"/>
                                      <w:sz w:val="14"/>
                                    </w:rPr>
                                    <w:t>Aplicações</w:t>
                                  </w:r>
                                  <w:r>
                                    <w:rPr>
                                      <w:rFonts w:ascii="Arial MT" w:hAnsi="Arial MT"/>
                                      <w:color w:val="001F60"/>
                                      <w:spacing w:val="-6"/>
                                      <w:sz w:val="14"/>
                                    </w:rPr>
                                    <w:t xml:space="preserve"> </w:t>
                                  </w:r>
                                  <w:r>
                                    <w:rPr>
                                      <w:rFonts w:ascii="Arial MT" w:hAnsi="Arial MT"/>
                                      <w:color w:val="001F60"/>
                                      <w:sz w:val="14"/>
                                    </w:rPr>
                                    <w:t>Autorizadas</w:t>
                                  </w:r>
                                  <w:r>
                                    <w:rPr>
                                      <w:rFonts w:ascii="Arial MT" w:hAnsi="Arial MT"/>
                                      <w:color w:val="001F60"/>
                                      <w:spacing w:val="-4"/>
                                      <w:sz w:val="14"/>
                                    </w:rPr>
                                    <w:t xml:space="preserve"> </w:t>
                                  </w:r>
                                  <w:r>
                                    <w:rPr>
                                      <w:rFonts w:ascii="Arial MT" w:hAnsi="Arial MT"/>
                                      <w:color w:val="001F60"/>
                                      <w:sz w:val="14"/>
                                    </w:rPr>
                                    <w:t>para</w:t>
                                  </w:r>
                                  <w:r>
                                    <w:rPr>
                                      <w:rFonts w:ascii="Arial MT" w:hAnsi="Arial MT"/>
                                      <w:color w:val="001F60"/>
                                      <w:spacing w:val="-5"/>
                                      <w:sz w:val="14"/>
                                    </w:rPr>
                                    <w:t xml:space="preserve"> </w:t>
                                  </w:r>
                                  <w:r>
                                    <w:rPr>
                                      <w:rFonts w:ascii="Arial MT" w:hAnsi="Arial MT"/>
                                      <w:color w:val="001F60"/>
                                      <w:sz w:val="14"/>
                                    </w:rPr>
                                    <w:t>Recursos</w:t>
                                  </w:r>
                                  <w:r>
                                    <w:rPr>
                                      <w:rFonts w:ascii="Arial MT" w:hAnsi="Arial MT"/>
                                      <w:color w:val="001F60"/>
                                      <w:spacing w:val="-4"/>
                                      <w:sz w:val="14"/>
                                    </w:rPr>
                                    <w:t xml:space="preserve"> </w:t>
                                  </w:r>
                                  <w:r>
                                    <w:rPr>
                                      <w:rFonts w:ascii="Arial MT" w:hAnsi="Arial MT"/>
                                      <w:color w:val="001F60"/>
                                      <w:sz w:val="14"/>
                                    </w:rPr>
                                    <w:t>Oriundos</w:t>
                                  </w:r>
                                  <w:r>
                                    <w:rPr>
                                      <w:rFonts w:ascii="Arial MT" w:hAnsi="Arial MT"/>
                                      <w:color w:val="001F60"/>
                                      <w:spacing w:val="-4"/>
                                      <w:sz w:val="14"/>
                                    </w:rPr>
                                    <w:t xml:space="preserve"> </w:t>
                                  </w:r>
                                  <w:r>
                                    <w:rPr>
                                      <w:rFonts w:ascii="Arial MT" w:hAnsi="Arial MT"/>
                                      <w:color w:val="001F60"/>
                                      <w:spacing w:val="-5"/>
                                      <w:sz w:val="14"/>
                                    </w:rPr>
                                    <w:t>de</w:t>
                                  </w:r>
                                </w:p>
                              </w:tc>
                              <w:tc>
                                <w:tcPr>
                                  <w:tcW w:w="684" w:type="dxa"/>
                                </w:tcPr>
                                <w:p w14:paraId="0B55558F" w14:textId="77777777" w:rsidR="002C6574" w:rsidRDefault="002C6574">
                                  <w:pPr>
                                    <w:pStyle w:val="TableParagraph"/>
                                    <w:jc w:val="left"/>
                                    <w:rPr>
                                      <w:rFonts w:ascii="Times New Roman"/>
                                      <w:sz w:val="12"/>
                                    </w:rPr>
                                  </w:pPr>
                                </w:p>
                              </w:tc>
                              <w:tc>
                                <w:tcPr>
                                  <w:tcW w:w="941" w:type="dxa"/>
                                  <w:gridSpan w:val="2"/>
                                </w:tcPr>
                                <w:p w14:paraId="63C013E2" w14:textId="77777777" w:rsidR="002C6574" w:rsidRDefault="002C6574">
                                  <w:pPr>
                                    <w:pStyle w:val="TableParagraph"/>
                                    <w:jc w:val="left"/>
                                    <w:rPr>
                                      <w:rFonts w:ascii="Times New Roman"/>
                                      <w:sz w:val="12"/>
                                    </w:rPr>
                                  </w:pPr>
                                </w:p>
                              </w:tc>
                              <w:tc>
                                <w:tcPr>
                                  <w:tcW w:w="991" w:type="dxa"/>
                                </w:tcPr>
                                <w:p w14:paraId="5AC7A323" w14:textId="77777777" w:rsidR="002C6574" w:rsidRDefault="002C6574">
                                  <w:pPr>
                                    <w:pStyle w:val="TableParagraph"/>
                                    <w:jc w:val="left"/>
                                    <w:rPr>
                                      <w:rFonts w:ascii="Times New Roman"/>
                                      <w:sz w:val="12"/>
                                    </w:rPr>
                                  </w:pPr>
                                </w:p>
                              </w:tc>
                            </w:tr>
                            <w:tr w:rsidR="002C6574" w14:paraId="6350299C" w14:textId="77777777">
                              <w:trPr>
                                <w:trHeight w:val="355"/>
                              </w:trPr>
                              <w:tc>
                                <w:tcPr>
                                  <w:tcW w:w="1674" w:type="dxa"/>
                                </w:tcPr>
                                <w:p w14:paraId="671E6EF9" w14:textId="77777777" w:rsidR="002C6574" w:rsidRDefault="00000000">
                                  <w:pPr>
                                    <w:pStyle w:val="TableParagraph"/>
                                    <w:spacing w:line="156" w:lineRule="exact"/>
                                    <w:ind w:right="133"/>
                                    <w:rPr>
                                      <w:rFonts w:ascii="Arial MT"/>
                                      <w:sz w:val="14"/>
                                    </w:rPr>
                                  </w:pPr>
                                  <w:r>
                                    <w:rPr>
                                      <w:rFonts w:ascii="Arial MT"/>
                                      <w:color w:val="001F60"/>
                                      <w:spacing w:val="-4"/>
                                      <w:sz w:val="14"/>
                                    </w:rPr>
                                    <w:t>1444</w:t>
                                  </w:r>
                                </w:p>
                              </w:tc>
                              <w:tc>
                                <w:tcPr>
                                  <w:tcW w:w="4808" w:type="dxa"/>
                                </w:tcPr>
                                <w:p w14:paraId="159429AA" w14:textId="77777777" w:rsidR="002C6574" w:rsidRDefault="00000000">
                                  <w:pPr>
                                    <w:pStyle w:val="TableParagraph"/>
                                    <w:ind w:left="135" w:right="462"/>
                                    <w:jc w:val="left"/>
                                    <w:rPr>
                                      <w:rFonts w:ascii="Arial MT" w:hAnsi="Arial MT"/>
                                      <w:sz w:val="14"/>
                                    </w:rPr>
                                  </w:pPr>
                                  <w:r>
                                    <w:rPr>
                                      <w:rFonts w:ascii="Arial MT" w:hAnsi="Arial MT"/>
                                      <w:color w:val="001F60"/>
                                      <w:sz w:val="14"/>
                                    </w:rPr>
                                    <w:t>Títulos</w:t>
                                  </w:r>
                                  <w:r>
                                    <w:rPr>
                                      <w:rFonts w:ascii="Arial MT" w:hAnsi="Arial MT"/>
                                      <w:color w:val="001F60"/>
                                      <w:spacing w:val="-4"/>
                                      <w:sz w:val="14"/>
                                    </w:rPr>
                                    <w:t xml:space="preserve"> </w:t>
                                  </w:r>
                                  <w:r>
                                    <w:rPr>
                                      <w:rFonts w:ascii="Arial MT" w:hAnsi="Arial MT"/>
                                      <w:color w:val="001F60"/>
                                      <w:sz w:val="14"/>
                                    </w:rPr>
                                    <w:t>do</w:t>
                                  </w:r>
                                  <w:r>
                                    <w:rPr>
                                      <w:rFonts w:ascii="Arial MT" w:hAnsi="Arial MT"/>
                                      <w:color w:val="001F60"/>
                                      <w:spacing w:val="-7"/>
                                      <w:sz w:val="14"/>
                                    </w:rPr>
                                    <w:t xml:space="preserve"> </w:t>
                                  </w:r>
                                  <w:r>
                                    <w:rPr>
                                      <w:rFonts w:ascii="Arial MT" w:hAnsi="Arial MT"/>
                                      <w:color w:val="001F60"/>
                                      <w:sz w:val="14"/>
                                    </w:rPr>
                                    <w:t>Tesouro</w:t>
                                  </w:r>
                                  <w:r>
                                    <w:rPr>
                                      <w:rFonts w:ascii="Arial MT" w:hAnsi="Arial MT"/>
                                      <w:color w:val="001F60"/>
                                      <w:spacing w:val="-6"/>
                                      <w:sz w:val="14"/>
                                    </w:rPr>
                                    <w:t xml:space="preserve"> </w:t>
                                  </w:r>
                                  <w:r>
                                    <w:rPr>
                                      <w:rFonts w:ascii="Arial MT" w:hAnsi="Arial MT"/>
                                      <w:color w:val="001F60"/>
                                      <w:sz w:val="14"/>
                                    </w:rPr>
                                    <w:t>Nacional,</w:t>
                                  </w:r>
                                  <w:r>
                                    <w:rPr>
                                      <w:rFonts w:ascii="Arial MT" w:hAnsi="Arial MT"/>
                                      <w:color w:val="001F60"/>
                                      <w:spacing w:val="-7"/>
                                      <w:sz w:val="14"/>
                                    </w:rPr>
                                    <w:t xml:space="preserve"> </w:t>
                                  </w:r>
                                  <w:r>
                                    <w:rPr>
                                      <w:rFonts w:ascii="Arial MT" w:hAnsi="Arial MT"/>
                                      <w:color w:val="001F60"/>
                                      <w:sz w:val="14"/>
                                    </w:rPr>
                                    <w:t>excetuado</w:t>
                                  </w:r>
                                  <w:r>
                                    <w:rPr>
                                      <w:rFonts w:ascii="Arial MT" w:hAnsi="Arial MT"/>
                                      <w:color w:val="001F60"/>
                                      <w:spacing w:val="-6"/>
                                      <w:sz w:val="14"/>
                                    </w:rPr>
                                    <w:t xml:space="preserve"> </w:t>
                                  </w:r>
                                  <w:r>
                                    <w:rPr>
                                      <w:rFonts w:ascii="Arial MT" w:hAnsi="Arial MT"/>
                                      <w:color w:val="001F60"/>
                                      <w:sz w:val="14"/>
                                    </w:rPr>
                                    <w:t>o</w:t>
                                  </w:r>
                                  <w:r>
                                    <w:rPr>
                                      <w:rFonts w:ascii="Arial MT" w:hAnsi="Arial MT"/>
                                      <w:color w:val="001F60"/>
                                      <w:spacing w:val="-7"/>
                                      <w:sz w:val="14"/>
                                    </w:rPr>
                                    <w:t xml:space="preserve"> </w:t>
                                  </w:r>
                                  <w:r>
                                    <w:rPr>
                                      <w:rFonts w:ascii="Arial MT" w:hAnsi="Arial MT"/>
                                      <w:color w:val="001F60"/>
                                      <w:sz w:val="14"/>
                                    </w:rPr>
                                    <w:t>Refinanciamento</w:t>
                                  </w:r>
                                  <w:r>
                                    <w:rPr>
                                      <w:rFonts w:ascii="Arial MT" w:hAnsi="Arial MT"/>
                                      <w:color w:val="001F60"/>
                                      <w:spacing w:val="-5"/>
                                      <w:sz w:val="14"/>
                                    </w:rPr>
                                    <w:t xml:space="preserve"> </w:t>
                                  </w:r>
                                  <w:r>
                                    <w:rPr>
                                      <w:rFonts w:ascii="Arial MT" w:hAnsi="Arial MT"/>
                                      <w:color w:val="001F60"/>
                                      <w:sz w:val="14"/>
                                    </w:rPr>
                                    <w:t>da</w:t>
                                  </w:r>
                                  <w:r>
                                    <w:rPr>
                                      <w:rFonts w:ascii="Arial MT" w:hAnsi="Arial MT"/>
                                      <w:color w:val="001F60"/>
                                      <w:spacing w:val="40"/>
                                      <w:sz w:val="14"/>
                                    </w:rPr>
                                    <w:t xml:space="preserve"> </w:t>
                                  </w:r>
                                  <w:r>
                                    <w:rPr>
                                      <w:rFonts w:ascii="Arial MT" w:hAnsi="Arial MT"/>
                                      <w:color w:val="001F60"/>
                                      <w:sz w:val="14"/>
                                    </w:rPr>
                                    <w:t>Dívida Pública</w:t>
                                  </w:r>
                                </w:p>
                              </w:tc>
                              <w:tc>
                                <w:tcPr>
                                  <w:tcW w:w="684" w:type="dxa"/>
                                </w:tcPr>
                                <w:p w14:paraId="700F251D" w14:textId="77777777" w:rsidR="002C6574" w:rsidRDefault="00000000">
                                  <w:pPr>
                                    <w:pStyle w:val="TableParagraph"/>
                                    <w:spacing w:line="156" w:lineRule="exact"/>
                                    <w:ind w:right="257"/>
                                    <w:rPr>
                                      <w:rFonts w:ascii="Arial MT"/>
                                      <w:sz w:val="14"/>
                                    </w:rPr>
                                  </w:pPr>
                                  <w:r>
                                    <w:rPr>
                                      <w:rFonts w:ascii="Arial MT"/>
                                      <w:color w:val="001F60"/>
                                      <w:spacing w:val="-4"/>
                                      <w:sz w:val="14"/>
                                    </w:rPr>
                                    <w:t>0,11</w:t>
                                  </w:r>
                                </w:p>
                              </w:tc>
                              <w:tc>
                                <w:tcPr>
                                  <w:tcW w:w="941" w:type="dxa"/>
                                  <w:gridSpan w:val="2"/>
                                </w:tcPr>
                                <w:p w14:paraId="100FB8E2" w14:textId="77777777" w:rsidR="002C6574" w:rsidRDefault="00000000">
                                  <w:pPr>
                                    <w:pStyle w:val="TableParagraph"/>
                                    <w:spacing w:line="156" w:lineRule="exact"/>
                                    <w:ind w:left="528"/>
                                    <w:jc w:val="left"/>
                                    <w:rPr>
                                      <w:rFonts w:ascii="Arial MT"/>
                                      <w:sz w:val="14"/>
                                    </w:rPr>
                                  </w:pPr>
                                  <w:r>
                                    <w:rPr>
                                      <w:rFonts w:ascii="Arial MT"/>
                                      <w:color w:val="001F60"/>
                                      <w:spacing w:val="-4"/>
                                      <w:sz w:val="14"/>
                                    </w:rPr>
                                    <w:t>0,12</w:t>
                                  </w:r>
                                </w:p>
                              </w:tc>
                              <w:tc>
                                <w:tcPr>
                                  <w:tcW w:w="991" w:type="dxa"/>
                                </w:tcPr>
                                <w:p w14:paraId="46346695" w14:textId="77777777" w:rsidR="002C6574" w:rsidRDefault="00000000">
                                  <w:pPr>
                                    <w:pStyle w:val="TableParagraph"/>
                                    <w:spacing w:line="156" w:lineRule="exact"/>
                                    <w:ind w:right="68"/>
                                    <w:rPr>
                                      <w:rFonts w:ascii="Arial MT"/>
                                      <w:sz w:val="14"/>
                                    </w:rPr>
                                  </w:pPr>
                                  <w:r>
                                    <w:rPr>
                                      <w:rFonts w:ascii="Arial MT"/>
                                      <w:color w:val="001F60"/>
                                      <w:spacing w:val="-4"/>
                                      <w:sz w:val="14"/>
                                    </w:rPr>
                                    <w:t>0,22</w:t>
                                  </w:r>
                                </w:p>
                              </w:tc>
                            </w:tr>
                            <w:tr w:rsidR="002C6574" w14:paraId="0C5E7DA0" w14:textId="77777777">
                              <w:trPr>
                                <w:trHeight w:val="253"/>
                              </w:trPr>
                              <w:tc>
                                <w:tcPr>
                                  <w:tcW w:w="1674" w:type="dxa"/>
                                </w:tcPr>
                                <w:p w14:paraId="15592A74" w14:textId="77777777" w:rsidR="002C6574" w:rsidRDefault="00000000">
                                  <w:pPr>
                                    <w:pStyle w:val="TableParagraph"/>
                                    <w:spacing w:before="28"/>
                                    <w:ind w:right="133"/>
                                    <w:rPr>
                                      <w:rFonts w:ascii="Arial MT"/>
                                      <w:sz w:val="14"/>
                                    </w:rPr>
                                  </w:pPr>
                                  <w:r>
                                    <w:rPr>
                                      <w:rFonts w:ascii="Arial MT"/>
                                      <w:color w:val="001F60"/>
                                      <w:spacing w:val="-4"/>
                                      <w:sz w:val="14"/>
                                    </w:rPr>
                                    <w:t>1000</w:t>
                                  </w:r>
                                </w:p>
                              </w:tc>
                              <w:tc>
                                <w:tcPr>
                                  <w:tcW w:w="4808" w:type="dxa"/>
                                </w:tcPr>
                                <w:p w14:paraId="18BE6362" w14:textId="77777777" w:rsidR="002C6574" w:rsidRDefault="00000000">
                                  <w:pPr>
                                    <w:pStyle w:val="TableParagraph"/>
                                    <w:spacing w:before="28"/>
                                    <w:ind w:left="135"/>
                                    <w:jc w:val="left"/>
                                    <w:rPr>
                                      <w:rFonts w:ascii="Arial MT"/>
                                      <w:sz w:val="14"/>
                                    </w:rPr>
                                  </w:pPr>
                                  <w:r>
                                    <w:rPr>
                                      <w:rFonts w:ascii="Arial MT"/>
                                      <w:color w:val="001F60"/>
                                      <w:sz w:val="14"/>
                                    </w:rPr>
                                    <w:t>Recursos</w:t>
                                  </w:r>
                                  <w:r>
                                    <w:rPr>
                                      <w:rFonts w:ascii="Arial MT"/>
                                      <w:color w:val="001F60"/>
                                      <w:spacing w:val="-4"/>
                                      <w:sz w:val="14"/>
                                    </w:rPr>
                                    <w:t xml:space="preserve"> </w:t>
                                  </w:r>
                                  <w:r>
                                    <w:rPr>
                                      <w:rFonts w:ascii="Arial MT"/>
                                      <w:color w:val="001F60"/>
                                      <w:sz w:val="14"/>
                                    </w:rPr>
                                    <w:t>Livres</w:t>
                                  </w:r>
                                  <w:r>
                                    <w:rPr>
                                      <w:rFonts w:ascii="Arial MT"/>
                                      <w:color w:val="001F60"/>
                                      <w:spacing w:val="-3"/>
                                      <w:sz w:val="14"/>
                                    </w:rPr>
                                    <w:t xml:space="preserve"> </w:t>
                                  </w:r>
                                  <w:r>
                                    <w:rPr>
                                      <w:rFonts w:ascii="Arial MT"/>
                                      <w:color w:val="001F60"/>
                                      <w:sz w:val="14"/>
                                    </w:rPr>
                                    <w:t>da</w:t>
                                  </w:r>
                                  <w:r>
                                    <w:rPr>
                                      <w:rFonts w:ascii="Arial MT"/>
                                      <w:color w:val="001F60"/>
                                      <w:spacing w:val="-4"/>
                                      <w:sz w:val="14"/>
                                    </w:rPr>
                                    <w:t xml:space="preserve"> Uniao</w:t>
                                  </w:r>
                                </w:p>
                              </w:tc>
                              <w:tc>
                                <w:tcPr>
                                  <w:tcW w:w="684" w:type="dxa"/>
                                </w:tcPr>
                                <w:p w14:paraId="5AF765C4" w14:textId="77777777" w:rsidR="002C6574" w:rsidRDefault="00000000">
                                  <w:pPr>
                                    <w:pStyle w:val="TableParagraph"/>
                                    <w:spacing w:before="28"/>
                                    <w:ind w:right="256"/>
                                    <w:rPr>
                                      <w:rFonts w:ascii="Arial MT"/>
                                      <w:sz w:val="14"/>
                                    </w:rPr>
                                  </w:pPr>
                                  <w:r>
                                    <w:rPr>
                                      <w:rFonts w:ascii="Arial MT"/>
                                      <w:color w:val="001F60"/>
                                      <w:spacing w:val="-2"/>
                                      <w:sz w:val="14"/>
                                    </w:rPr>
                                    <w:t>67,13</w:t>
                                  </w:r>
                                </w:p>
                              </w:tc>
                              <w:tc>
                                <w:tcPr>
                                  <w:tcW w:w="941" w:type="dxa"/>
                                  <w:gridSpan w:val="2"/>
                                </w:tcPr>
                                <w:p w14:paraId="6007EEC3" w14:textId="77777777" w:rsidR="002C6574" w:rsidRDefault="00000000">
                                  <w:pPr>
                                    <w:pStyle w:val="TableParagraph"/>
                                    <w:spacing w:before="28"/>
                                    <w:ind w:left="528"/>
                                    <w:jc w:val="left"/>
                                    <w:rPr>
                                      <w:rFonts w:ascii="Arial MT"/>
                                      <w:sz w:val="14"/>
                                    </w:rPr>
                                  </w:pPr>
                                  <w:r>
                                    <w:rPr>
                                      <w:rFonts w:ascii="Arial MT"/>
                                      <w:color w:val="001F60"/>
                                      <w:spacing w:val="-4"/>
                                      <w:sz w:val="14"/>
                                    </w:rPr>
                                    <w:t>4,29</w:t>
                                  </w:r>
                                </w:p>
                              </w:tc>
                              <w:tc>
                                <w:tcPr>
                                  <w:tcW w:w="991" w:type="dxa"/>
                                </w:tcPr>
                                <w:p w14:paraId="2B5F9186" w14:textId="77777777" w:rsidR="002C6574" w:rsidRDefault="00000000">
                                  <w:pPr>
                                    <w:pStyle w:val="TableParagraph"/>
                                    <w:spacing w:before="28"/>
                                    <w:ind w:right="68"/>
                                    <w:rPr>
                                      <w:rFonts w:ascii="Arial MT"/>
                                      <w:sz w:val="14"/>
                                    </w:rPr>
                                  </w:pPr>
                                  <w:r>
                                    <w:rPr>
                                      <w:rFonts w:ascii="Arial MT"/>
                                      <w:color w:val="001F60"/>
                                      <w:spacing w:val="-2"/>
                                      <w:sz w:val="14"/>
                                    </w:rPr>
                                    <w:t>71,42</w:t>
                                  </w:r>
                                </w:p>
                              </w:tc>
                            </w:tr>
                            <w:tr w:rsidR="002C6574" w14:paraId="322DCA9B" w14:textId="77777777">
                              <w:trPr>
                                <w:trHeight w:val="219"/>
                              </w:trPr>
                              <w:tc>
                                <w:tcPr>
                                  <w:tcW w:w="1674" w:type="dxa"/>
                                </w:tcPr>
                                <w:p w14:paraId="20062297" w14:textId="77777777" w:rsidR="002C6574" w:rsidRDefault="00000000">
                                  <w:pPr>
                                    <w:pStyle w:val="TableParagraph"/>
                                    <w:spacing w:before="58" w:line="141" w:lineRule="exact"/>
                                    <w:ind w:right="133"/>
                                    <w:rPr>
                                      <w:rFonts w:ascii="Arial MT"/>
                                      <w:sz w:val="14"/>
                                    </w:rPr>
                                  </w:pPr>
                                  <w:r>
                                    <w:rPr>
                                      <w:rFonts w:ascii="Arial MT"/>
                                      <w:color w:val="001F60"/>
                                      <w:spacing w:val="-4"/>
                                      <w:sz w:val="14"/>
                                    </w:rPr>
                                    <w:t>1050</w:t>
                                  </w:r>
                                </w:p>
                              </w:tc>
                              <w:tc>
                                <w:tcPr>
                                  <w:tcW w:w="4808" w:type="dxa"/>
                                </w:tcPr>
                                <w:p w14:paraId="2669CEED" w14:textId="77777777" w:rsidR="002C6574" w:rsidRDefault="00000000">
                                  <w:pPr>
                                    <w:pStyle w:val="TableParagraph"/>
                                    <w:spacing w:before="58" w:line="141" w:lineRule="exact"/>
                                    <w:ind w:left="135"/>
                                    <w:jc w:val="left"/>
                                    <w:rPr>
                                      <w:rFonts w:ascii="Arial MT"/>
                                      <w:sz w:val="14"/>
                                    </w:rPr>
                                  </w:pPr>
                                  <w:r>
                                    <w:rPr>
                                      <w:rFonts w:ascii="Arial MT"/>
                                      <w:color w:val="001F60"/>
                                      <w:sz w:val="14"/>
                                    </w:rPr>
                                    <w:t>Recursos</w:t>
                                  </w:r>
                                  <w:r>
                                    <w:rPr>
                                      <w:rFonts w:ascii="Arial MT"/>
                                      <w:color w:val="001F60"/>
                                      <w:spacing w:val="-3"/>
                                      <w:sz w:val="14"/>
                                    </w:rPr>
                                    <w:t xml:space="preserve"> </w:t>
                                  </w:r>
                                  <w:r>
                                    <w:rPr>
                                      <w:rFonts w:ascii="Arial MT"/>
                                      <w:color w:val="001F60"/>
                                      <w:sz w:val="14"/>
                                    </w:rPr>
                                    <w:t>Proprios</w:t>
                                  </w:r>
                                  <w:r>
                                    <w:rPr>
                                      <w:rFonts w:ascii="Arial MT"/>
                                      <w:color w:val="001F60"/>
                                      <w:spacing w:val="-5"/>
                                      <w:sz w:val="14"/>
                                    </w:rPr>
                                    <w:t xml:space="preserve"> </w:t>
                                  </w:r>
                                  <w:r>
                                    <w:rPr>
                                      <w:rFonts w:ascii="Arial MT"/>
                                      <w:color w:val="001F60"/>
                                      <w:sz w:val="14"/>
                                    </w:rPr>
                                    <w:t>Livres</w:t>
                                  </w:r>
                                  <w:r>
                                    <w:rPr>
                                      <w:rFonts w:ascii="Arial MT"/>
                                      <w:color w:val="001F60"/>
                                      <w:spacing w:val="-5"/>
                                      <w:sz w:val="14"/>
                                    </w:rPr>
                                    <w:t xml:space="preserve"> </w:t>
                                  </w:r>
                                  <w:r>
                                    <w:rPr>
                                      <w:rFonts w:ascii="Arial MT"/>
                                      <w:color w:val="001F60"/>
                                      <w:sz w:val="14"/>
                                    </w:rPr>
                                    <w:t>da</w:t>
                                  </w:r>
                                  <w:r>
                                    <w:rPr>
                                      <w:rFonts w:ascii="Arial MT"/>
                                      <w:color w:val="001F60"/>
                                      <w:spacing w:val="-6"/>
                                      <w:sz w:val="14"/>
                                    </w:rPr>
                                    <w:t xml:space="preserve"> </w:t>
                                  </w:r>
                                  <w:r>
                                    <w:rPr>
                                      <w:rFonts w:ascii="Arial MT"/>
                                      <w:color w:val="001F60"/>
                                      <w:spacing w:val="-5"/>
                                      <w:sz w:val="14"/>
                                    </w:rPr>
                                    <w:t>Uo</w:t>
                                  </w:r>
                                </w:p>
                              </w:tc>
                              <w:tc>
                                <w:tcPr>
                                  <w:tcW w:w="684" w:type="dxa"/>
                                </w:tcPr>
                                <w:p w14:paraId="44342C4B" w14:textId="77777777" w:rsidR="002C6574" w:rsidRDefault="00000000">
                                  <w:pPr>
                                    <w:pStyle w:val="TableParagraph"/>
                                    <w:spacing w:before="58" w:line="141" w:lineRule="exact"/>
                                    <w:ind w:right="254"/>
                                    <w:rPr>
                                      <w:rFonts w:ascii="Arial MT"/>
                                      <w:sz w:val="14"/>
                                    </w:rPr>
                                  </w:pPr>
                                  <w:r>
                                    <w:rPr>
                                      <w:rFonts w:ascii="Arial MT"/>
                                      <w:color w:val="001F60"/>
                                      <w:spacing w:val="-10"/>
                                      <w:sz w:val="14"/>
                                    </w:rPr>
                                    <w:t>-</w:t>
                                  </w:r>
                                </w:p>
                              </w:tc>
                              <w:tc>
                                <w:tcPr>
                                  <w:tcW w:w="941" w:type="dxa"/>
                                  <w:gridSpan w:val="2"/>
                                </w:tcPr>
                                <w:p w14:paraId="20941D0E" w14:textId="77777777" w:rsidR="002C6574" w:rsidRDefault="00000000">
                                  <w:pPr>
                                    <w:pStyle w:val="TableParagraph"/>
                                    <w:spacing w:before="58" w:line="141" w:lineRule="exact"/>
                                    <w:ind w:left="528"/>
                                    <w:jc w:val="left"/>
                                    <w:rPr>
                                      <w:rFonts w:ascii="Arial MT"/>
                                      <w:sz w:val="14"/>
                                    </w:rPr>
                                  </w:pPr>
                                  <w:r>
                                    <w:rPr>
                                      <w:rFonts w:ascii="Arial MT"/>
                                      <w:color w:val="001F60"/>
                                      <w:spacing w:val="-4"/>
                                      <w:sz w:val="14"/>
                                    </w:rPr>
                                    <w:t>8,76</w:t>
                                  </w:r>
                                </w:p>
                              </w:tc>
                              <w:tc>
                                <w:tcPr>
                                  <w:tcW w:w="991" w:type="dxa"/>
                                </w:tcPr>
                                <w:p w14:paraId="6D2B5376" w14:textId="77777777" w:rsidR="002C6574" w:rsidRDefault="00000000">
                                  <w:pPr>
                                    <w:pStyle w:val="TableParagraph"/>
                                    <w:spacing w:before="58" w:line="141" w:lineRule="exact"/>
                                    <w:ind w:right="68"/>
                                    <w:rPr>
                                      <w:rFonts w:ascii="Arial MT"/>
                                      <w:sz w:val="14"/>
                                    </w:rPr>
                                  </w:pPr>
                                  <w:r>
                                    <w:rPr>
                                      <w:rFonts w:ascii="Arial MT"/>
                                      <w:color w:val="001F60"/>
                                      <w:spacing w:val="-4"/>
                                      <w:sz w:val="14"/>
                                    </w:rPr>
                                    <w:t>8,76</w:t>
                                  </w:r>
                                </w:p>
                              </w:tc>
                            </w:tr>
                            <w:tr w:rsidR="002C6574" w14:paraId="14993A58" w14:textId="77777777">
                              <w:trPr>
                                <w:trHeight w:val="380"/>
                              </w:trPr>
                              <w:tc>
                                <w:tcPr>
                                  <w:tcW w:w="7166" w:type="dxa"/>
                                  <w:gridSpan w:val="3"/>
                                  <w:tcBorders>
                                    <w:bottom w:val="dotted" w:sz="4" w:space="0" w:color="001F60"/>
                                  </w:tcBorders>
                                </w:tcPr>
                                <w:p w14:paraId="21C27626" w14:textId="77777777" w:rsidR="002C6574" w:rsidRDefault="00000000">
                                  <w:pPr>
                                    <w:pStyle w:val="TableParagraph"/>
                                    <w:tabs>
                                      <w:tab w:val="left" w:pos="1809"/>
                                      <w:tab w:val="left" w:pos="6559"/>
                                    </w:tabs>
                                    <w:spacing w:before="60"/>
                                    <w:ind w:left="1228"/>
                                    <w:jc w:val="left"/>
                                    <w:rPr>
                                      <w:rFonts w:ascii="Arial MT" w:hAnsi="Arial MT"/>
                                      <w:position w:val="-7"/>
                                      <w:sz w:val="14"/>
                                    </w:rPr>
                                  </w:pPr>
                                  <w:r>
                                    <w:rPr>
                                      <w:rFonts w:ascii="Arial MT" w:hAnsi="Arial MT"/>
                                      <w:color w:val="001F60"/>
                                      <w:spacing w:val="-4"/>
                                      <w:position w:val="-7"/>
                                      <w:sz w:val="14"/>
                                    </w:rPr>
                                    <w:t>1120</w:t>
                                  </w:r>
                                  <w:r>
                                    <w:rPr>
                                      <w:rFonts w:ascii="Arial MT" w:hAnsi="Arial MT"/>
                                      <w:color w:val="001F60"/>
                                      <w:position w:val="-7"/>
                                      <w:sz w:val="14"/>
                                    </w:rPr>
                                    <w:tab/>
                                  </w:r>
                                  <w:r>
                                    <w:rPr>
                                      <w:rFonts w:ascii="Arial MT" w:hAnsi="Arial MT"/>
                                      <w:color w:val="001F60"/>
                                      <w:sz w:val="14"/>
                                    </w:rPr>
                                    <w:t>Recursos</w:t>
                                  </w:r>
                                  <w:r>
                                    <w:rPr>
                                      <w:rFonts w:ascii="Arial MT" w:hAnsi="Arial MT"/>
                                      <w:color w:val="001F60"/>
                                      <w:spacing w:val="-2"/>
                                      <w:sz w:val="14"/>
                                    </w:rPr>
                                    <w:t xml:space="preserve"> </w:t>
                                  </w:r>
                                  <w:r>
                                    <w:rPr>
                                      <w:rFonts w:ascii="Arial MT" w:hAnsi="Arial MT"/>
                                      <w:color w:val="001F60"/>
                                      <w:sz w:val="14"/>
                                    </w:rPr>
                                    <w:t>do</w:t>
                                  </w:r>
                                  <w:r>
                                    <w:rPr>
                                      <w:rFonts w:ascii="Arial MT" w:hAnsi="Arial MT"/>
                                      <w:color w:val="001F60"/>
                                      <w:spacing w:val="-1"/>
                                      <w:sz w:val="14"/>
                                    </w:rPr>
                                    <w:t xml:space="preserve"> </w:t>
                                  </w:r>
                                  <w:r>
                                    <w:rPr>
                                      <w:rFonts w:ascii="Arial MT" w:hAnsi="Arial MT"/>
                                      <w:color w:val="001F60"/>
                                      <w:sz w:val="14"/>
                                    </w:rPr>
                                    <w:t>FISTEL</w:t>
                                  </w:r>
                                  <w:r>
                                    <w:rPr>
                                      <w:rFonts w:ascii="Arial MT" w:hAnsi="Arial MT"/>
                                      <w:color w:val="001F60"/>
                                      <w:spacing w:val="-4"/>
                                      <w:sz w:val="14"/>
                                    </w:rPr>
                                    <w:t xml:space="preserve"> </w:t>
                                  </w:r>
                                  <w:r>
                                    <w:rPr>
                                      <w:rFonts w:ascii="Arial MT" w:hAnsi="Arial MT"/>
                                      <w:color w:val="001F60"/>
                                      <w:sz w:val="14"/>
                                    </w:rPr>
                                    <w:t>de</w:t>
                                  </w:r>
                                  <w:r>
                                    <w:rPr>
                                      <w:rFonts w:ascii="Arial MT" w:hAnsi="Arial MT"/>
                                      <w:color w:val="001F60"/>
                                      <w:spacing w:val="-4"/>
                                      <w:sz w:val="14"/>
                                    </w:rPr>
                                    <w:t xml:space="preserve"> </w:t>
                                  </w:r>
                                  <w:r>
                                    <w:rPr>
                                      <w:rFonts w:ascii="Arial MT" w:hAnsi="Arial MT"/>
                                      <w:color w:val="001F60"/>
                                      <w:sz w:val="14"/>
                                    </w:rPr>
                                    <w:t>Livre</w:t>
                                  </w:r>
                                  <w:r>
                                    <w:rPr>
                                      <w:rFonts w:ascii="Arial MT" w:hAnsi="Arial MT"/>
                                      <w:color w:val="001F60"/>
                                      <w:spacing w:val="-5"/>
                                      <w:sz w:val="14"/>
                                    </w:rPr>
                                    <w:t xml:space="preserve"> </w:t>
                                  </w:r>
                                  <w:r>
                                    <w:rPr>
                                      <w:rFonts w:ascii="Arial MT" w:hAnsi="Arial MT"/>
                                      <w:color w:val="001F60"/>
                                      <w:sz w:val="14"/>
                                    </w:rPr>
                                    <w:t>Aplicação</w:t>
                                  </w:r>
                                  <w:r>
                                    <w:rPr>
                                      <w:rFonts w:ascii="Arial MT" w:hAnsi="Arial MT"/>
                                      <w:color w:val="001F60"/>
                                      <w:spacing w:val="-3"/>
                                      <w:sz w:val="14"/>
                                    </w:rPr>
                                    <w:t xml:space="preserve"> </w:t>
                                  </w:r>
                                  <w:r>
                                    <w:rPr>
                                      <w:rFonts w:ascii="Arial MT" w:hAnsi="Arial MT"/>
                                      <w:color w:val="001F60"/>
                                      <w:sz w:val="14"/>
                                    </w:rPr>
                                    <w:t>na</w:t>
                                  </w:r>
                                  <w:r>
                                    <w:rPr>
                                      <w:rFonts w:ascii="Arial MT" w:hAnsi="Arial MT"/>
                                      <w:color w:val="001F60"/>
                                      <w:spacing w:val="-5"/>
                                      <w:sz w:val="14"/>
                                    </w:rPr>
                                    <w:t xml:space="preserve"> </w:t>
                                  </w:r>
                                  <w:r>
                                    <w:rPr>
                                      <w:rFonts w:ascii="Arial MT" w:hAnsi="Arial MT"/>
                                      <w:color w:val="001F60"/>
                                      <w:sz w:val="14"/>
                                    </w:rPr>
                                    <w:t>ANATEL</w:t>
                                  </w:r>
                                  <w:r>
                                    <w:rPr>
                                      <w:rFonts w:ascii="Arial MT" w:hAnsi="Arial MT"/>
                                      <w:color w:val="001F60"/>
                                      <w:spacing w:val="-5"/>
                                      <w:sz w:val="14"/>
                                    </w:rPr>
                                    <w:t xml:space="preserve"> </w:t>
                                  </w:r>
                                  <w:r>
                                    <w:rPr>
                                      <w:rFonts w:ascii="Arial MT" w:hAnsi="Arial MT"/>
                                      <w:color w:val="001F60"/>
                                      <w:sz w:val="14"/>
                                    </w:rPr>
                                    <w:t>e</w:t>
                                  </w:r>
                                  <w:r>
                                    <w:rPr>
                                      <w:rFonts w:ascii="Arial MT" w:hAnsi="Arial MT"/>
                                      <w:color w:val="001F60"/>
                                      <w:spacing w:val="-1"/>
                                      <w:sz w:val="14"/>
                                    </w:rPr>
                                    <w:t xml:space="preserve"> </w:t>
                                  </w:r>
                                  <w:r>
                                    <w:rPr>
                                      <w:rFonts w:ascii="Arial MT" w:hAnsi="Arial MT"/>
                                      <w:color w:val="001F60"/>
                                      <w:spacing w:val="-5"/>
                                      <w:sz w:val="14"/>
                                    </w:rPr>
                                    <w:t>no</w:t>
                                  </w:r>
                                  <w:r>
                                    <w:rPr>
                                      <w:rFonts w:ascii="Arial MT" w:hAnsi="Arial MT"/>
                                      <w:color w:val="001F60"/>
                                      <w:sz w:val="14"/>
                                    </w:rPr>
                                    <w:tab/>
                                  </w:r>
                                  <w:r>
                                    <w:rPr>
                                      <w:rFonts w:ascii="Arial MT" w:hAnsi="Arial MT"/>
                                      <w:color w:val="001F60"/>
                                      <w:spacing w:val="-2"/>
                                      <w:position w:val="-7"/>
                                      <w:sz w:val="14"/>
                                    </w:rPr>
                                    <w:t>41,45</w:t>
                                  </w:r>
                                </w:p>
                              </w:tc>
                              <w:tc>
                                <w:tcPr>
                                  <w:tcW w:w="941" w:type="dxa"/>
                                  <w:gridSpan w:val="2"/>
                                  <w:tcBorders>
                                    <w:bottom w:val="dotted" w:sz="4" w:space="0" w:color="001F60"/>
                                  </w:tcBorders>
                                </w:tcPr>
                                <w:p w14:paraId="3C3B617A" w14:textId="77777777" w:rsidR="002C6574" w:rsidRDefault="00000000">
                                  <w:pPr>
                                    <w:pStyle w:val="TableParagraph"/>
                                    <w:spacing w:before="141"/>
                                    <w:ind w:right="136"/>
                                    <w:rPr>
                                      <w:rFonts w:ascii="Arial MT"/>
                                      <w:sz w:val="14"/>
                                    </w:rPr>
                                  </w:pPr>
                                  <w:r>
                                    <w:rPr>
                                      <w:rFonts w:ascii="Arial MT"/>
                                      <w:color w:val="001F60"/>
                                      <w:spacing w:val="-10"/>
                                      <w:sz w:val="14"/>
                                    </w:rPr>
                                    <w:t>-</w:t>
                                  </w:r>
                                </w:p>
                              </w:tc>
                              <w:tc>
                                <w:tcPr>
                                  <w:tcW w:w="991" w:type="dxa"/>
                                  <w:tcBorders>
                                    <w:bottom w:val="dotted" w:sz="4" w:space="0" w:color="001F60"/>
                                  </w:tcBorders>
                                </w:tcPr>
                                <w:p w14:paraId="4D175EB6" w14:textId="77777777" w:rsidR="002C6574" w:rsidRDefault="00000000">
                                  <w:pPr>
                                    <w:pStyle w:val="TableParagraph"/>
                                    <w:spacing w:before="141"/>
                                    <w:ind w:right="68"/>
                                    <w:rPr>
                                      <w:rFonts w:ascii="Arial MT"/>
                                      <w:sz w:val="14"/>
                                    </w:rPr>
                                  </w:pPr>
                                  <w:r>
                                    <w:rPr>
                                      <w:rFonts w:ascii="Arial MT"/>
                                      <w:color w:val="001F60"/>
                                      <w:spacing w:val="-2"/>
                                      <w:sz w:val="14"/>
                                    </w:rPr>
                                    <w:t>41,45</w:t>
                                  </w:r>
                                </w:p>
                              </w:tc>
                            </w:tr>
                            <w:tr w:rsidR="002C6574" w14:paraId="6A3D2252" w14:textId="77777777">
                              <w:trPr>
                                <w:trHeight w:val="282"/>
                              </w:trPr>
                              <w:tc>
                                <w:tcPr>
                                  <w:tcW w:w="6482" w:type="dxa"/>
                                  <w:gridSpan w:val="2"/>
                                  <w:tcBorders>
                                    <w:bottom w:val="dotted" w:sz="4" w:space="0" w:color="001F60"/>
                                  </w:tcBorders>
                                </w:tcPr>
                                <w:p w14:paraId="55600DB8" w14:textId="77777777" w:rsidR="002C6574" w:rsidRDefault="00000000">
                                  <w:pPr>
                                    <w:pStyle w:val="TableParagraph"/>
                                    <w:spacing w:before="58"/>
                                    <w:ind w:left="69"/>
                                    <w:jc w:val="left"/>
                                    <w:rPr>
                                      <w:rFonts w:ascii="Arial MT" w:hAnsi="Arial MT"/>
                                      <w:sz w:val="14"/>
                                    </w:rPr>
                                  </w:pPr>
                                  <w:r>
                                    <w:rPr>
                                      <w:rFonts w:ascii="Arial MT" w:hAnsi="Arial MT"/>
                                      <w:color w:val="001F60"/>
                                      <w:sz w:val="14"/>
                                    </w:rPr>
                                    <w:t>Despesas</w:t>
                                  </w:r>
                                  <w:r>
                                    <w:rPr>
                                      <w:rFonts w:ascii="Arial MT" w:hAnsi="Arial MT"/>
                                      <w:color w:val="001F60"/>
                                      <w:spacing w:val="-5"/>
                                      <w:sz w:val="14"/>
                                    </w:rPr>
                                    <w:t xml:space="preserve"> </w:t>
                                  </w:r>
                                  <w:r>
                                    <w:rPr>
                                      <w:rFonts w:ascii="Arial MT" w:hAnsi="Arial MT"/>
                                      <w:color w:val="001F60"/>
                                      <w:sz w:val="14"/>
                                    </w:rPr>
                                    <w:t>Discricionárias</w:t>
                                  </w:r>
                                  <w:r>
                                    <w:rPr>
                                      <w:rFonts w:ascii="Arial MT" w:hAnsi="Arial MT"/>
                                      <w:color w:val="001F60"/>
                                      <w:spacing w:val="-4"/>
                                      <w:sz w:val="14"/>
                                    </w:rPr>
                                    <w:t xml:space="preserve"> </w:t>
                                  </w:r>
                                  <w:r>
                                    <w:rPr>
                                      <w:rFonts w:ascii="Arial MT" w:hAnsi="Arial MT"/>
                                      <w:color w:val="001F60"/>
                                      <w:sz w:val="14"/>
                                    </w:rPr>
                                    <w:t>(RP</w:t>
                                  </w:r>
                                  <w:r>
                                    <w:rPr>
                                      <w:rFonts w:ascii="Arial MT" w:hAnsi="Arial MT"/>
                                      <w:color w:val="001F60"/>
                                      <w:spacing w:val="-6"/>
                                      <w:sz w:val="14"/>
                                    </w:rPr>
                                    <w:t xml:space="preserve"> </w:t>
                                  </w:r>
                                  <w:r>
                                    <w:rPr>
                                      <w:rFonts w:ascii="Arial MT" w:hAnsi="Arial MT"/>
                                      <w:color w:val="001F60"/>
                                      <w:spacing w:val="-5"/>
                                      <w:sz w:val="14"/>
                                    </w:rPr>
                                    <w:t>2)</w:t>
                                  </w:r>
                                </w:p>
                              </w:tc>
                              <w:tc>
                                <w:tcPr>
                                  <w:tcW w:w="684" w:type="dxa"/>
                                  <w:tcBorders>
                                    <w:bottom w:val="dotted" w:sz="4" w:space="0" w:color="001F60"/>
                                  </w:tcBorders>
                                </w:tcPr>
                                <w:p w14:paraId="60FB3E2F" w14:textId="77777777" w:rsidR="002C6574" w:rsidRDefault="00000000">
                                  <w:pPr>
                                    <w:pStyle w:val="TableParagraph"/>
                                    <w:spacing w:before="58"/>
                                    <w:ind w:right="256"/>
                                    <w:rPr>
                                      <w:rFonts w:ascii="Arial MT"/>
                                      <w:sz w:val="14"/>
                                    </w:rPr>
                                  </w:pPr>
                                  <w:r>
                                    <w:rPr>
                                      <w:rFonts w:ascii="Arial MT"/>
                                      <w:color w:val="001F60"/>
                                      <w:spacing w:val="-2"/>
                                      <w:sz w:val="14"/>
                                    </w:rPr>
                                    <w:t>141,42</w:t>
                                  </w:r>
                                </w:p>
                              </w:tc>
                              <w:tc>
                                <w:tcPr>
                                  <w:tcW w:w="941" w:type="dxa"/>
                                  <w:gridSpan w:val="2"/>
                                  <w:tcBorders>
                                    <w:bottom w:val="dotted" w:sz="4" w:space="0" w:color="001F60"/>
                                  </w:tcBorders>
                                </w:tcPr>
                                <w:p w14:paraId="218D71F5" w14:textId="77777777" w:rsidR="002C6574" w:rsidRDefault="00000000">
                                  <w:pPr>
                                    <w:pStyle w:val="TableParagraph"/>
                                    <w:spacing w:before="58"/>
                                    <w:ind w:left="451"/>
                                    <w:jc w:val="left"/>
                                    <w:rPr>
                                      <w:rFonts w:ascii="Arial MT"/>
                                      <w:sz w:val="14"/>
                                    </w:rPr>
                                  </w:pPr>
                                  <w:r>
                                    <w:rPr>
                                      <w:rFonts w:ascii="Arial MT"/>
                                      <w:color w:val="001F60"/>
                                      <w:spacing w:val="-2"/>
                                      <w:sz w:val="14"/>
                                    </w:rPr>
                                    <w:t>32,08</w:t>
                                  </w:r>
                                </w:p>
                              </w:tc>
                              <w:tc>
                                <w:tcPr>
                                  <w:tcW w:w="991" w:type="dxa"/>
                                  <w:tcBorders>
                                    <w:bottom w:val="dotted" w:sz="4" w:space="0" w:color="001F60"/>
                                  </w:tcBorders>
                                </w:tcPr>
                                <w:p w14:paraId="4A599886" w14:textId="77777777" w:rsidR="002C6574" w:rsidRDefault="00000000">
                                  <w:pPr>
                                    <w:pStyle w:val="TableParagraph"/>
                                    <w:spacing w:before="58"/>
                                    <w:ind w:right="69"/>
                                    <w:rPr>
                                      <w:rFonts w:ascii="Arial MT"/>
                                      <w:sz w:val="14"/>
                                    </w:rPr>
                                  </w:pPr>
                                  <w:r>
                                    <w:rPr>
                                      <w:rFonts w:ascii="Arial MT"/>
                                      <w:color w:val="001F60"/>
                                      <w:spacing w:val="-2"/>
                                      <w:sz w:val="14"/>
                                    </w:rPr>
                                    <w:t>173,50</w:t>
                                  </w:r>
                                </w:p>
                              </w:tc>
                            </w:tr>
                            <w:tr w:rsidR="002C6574" w14:paraId="3D49A773" w14:textId="77777777">
                              <w:trPr>
                                <w:trHeight w:val="223"/>
                              </w:trPr>
                              <w:tc>
                                <w:tcPr>
                                  <w:tcW w:w="6482" w:type="dxa"/>
                                  <w:gridSpan w:val="2"/>
                                  <w:tcBorders>
                                    <w:top w:val="dotted" w:sz="4" w:space="0" w:color="001F60"/>
                                  </w:tcBorders>
                                </w:tcPr>
                                <w:p w14:paraId="465A953B" w14:textId="77777777" w:rsidR="002C6574" w:rsidRDefault="00000000">
                                  <w:pPr>
                                    <w:pStyle w:val="TableParagraph"/>
                                    <w:spacing w:before="63" w:line="141" w:lineRule="exact"/>
                                    <w:ind w:left="650"/>
                                    <w:jc w:val="left"/>
                                    <w:rPr>
                                      <w:rFonts w:ascii="Arial"/>
                                      <w:b/>
                                      <w:sz w:val="14"/>
                                    </w:rPr>
                                  </w:pPr>
                                  <w:r>
                                    <w:rPr>
                                      <w:rFonts w:ascii="Arial"/>
                                      <w:b/>
                                      <w:color w:val="001F60"/>
                                      <w:sz w:val="14"/>
                                    </w:rPr>
                                    <w:t>4</w:t>
                                  </w:r>
                                  <w:r>
                                    <w:rPr>
                                      <w:rFonts w:ascii="Arial"/>
                                      <w:b/>
                                      <w:color w:val="001F60"/>
                                      <w:spacing w:val="-5"/>
                                      <w:sz w:val="14"/>
                                    </w:rPr>
                                    <w:t xml:space="preserve"> </w:t>
                                  </w:r>
                                  <w:r>
                                    <w:rPr>
                                      <w:rFonts w:ascii="Arial"/>
                                      <w:b/>
                                      <w:color w:val="001F60"/>
                                      <w:sz w:val="14"/>
                                    </w:rPr>
                                    <w:t>-</w:t>
                                  </w:r>
                                  <w:r>
                                    <w:rPr>
                                      <w:rFonts w:ascii="Arial"/>
                                      <w:b/>
                                      <w:color w:val="001F60"/>
                                      <w:spacing w:val="-4"/>
                                      <w:sz w:val="14"/>
                                    </w:rPr>
                                    <w:t xml:space="preserve"> </w:t>
                                  </w:r>
                                  <w:r>
                                    <w:rPr>
                                      <w:rFonts w:ascii="Arial"/>
                                      <w:b/>
                                      <w:color w:val="001F60"/>
                                      <w:sz w:val="14"/>
                                    </w:rPr>
                                    <w:t>Despesas de</w:t>
                                  </w:r>
                                  <w:r>
                                    <w:rPr>
                                      <w:rFonts w:ascii="Arial"/>
                                      <w:b/>
                                      <w:color w:val="001F60"/>
                                      <w:spacing w:val="-4"/>
                                      <w:sz w:val="14"/>
                                    </w:rPr>
                                    <w:t xml:space="preserve"> </w:t>
                                  </w:r>
                                  <w:r>
                                    <w:rPr>
                                      <w:rFonts w:ascii="Arial"/>
                                      <w:b/>
                                      <w:color w:val="001F60"/>
                                      <w:spacing w:val="-2"/>
                                      <w:sz w:val="14"/>
                                    </w:rPr>
                                    <w:t>Capital</w:t>
                                  </w:r>
                                </w:p>
                              </w:tc>
                              <w:tc>
                                <w:tcPr>
                                  <w:tcW w:w="684" w:type="dxa"/>
                                  <w:tcBorders>
                                    <w:top w:val="dotted" w:sz="4" w:space="0" w:color="001F60"/>
                                  </w:tcBorders>
                                </w:tcPr>
                                <w:p w14:paraId="1C1BD26D" w14:textId="77777777" w:rsidR="002C6574" w:rsidRDefault="00000000">
                                  <w:pPr>
                                    <w:pStyle w:val="TableParagraph"/>
                                    <w:spacing w:before="63" w:line="141" w:lineRule="exact"/>
                                    <w:ind w:right="255"/>
                                    <w:rPr>
                                      <w:rFonts w:ascii="Arial"/>
                                      <w:b/>
                                      <w:sz w:val="14"/>
                                    </w:rPr>
                                  </w:pPr>
                                  <w:r>
                                    <w:rPr>
                                      <w:rFonts w:ascii="Arial"/>
                                      <w:b/>
                                      <w:color w:val="001F60"/>
                                      <w:spacing w:val="-4"/>
                                      <w:sz w:val="14"/>
                                    </w:rPr>
                                    <w:t>1,04</w:t>
                                  </w:r>
                                </w:p>
                              </w:tc>
                              <w:tc>
                                <w:tcPr>
                                  <w:tcW w:w="941" w:type="dxa"/>
                                  <w:gridSpan w:val="2"/>
                                  <w:tcBorders>
                                    <w:top w:val="dotted" w:sz="4" w:space="0" w:color="001F60"/>
                                  </w:tcBorders>
                                </w:tcPr>
                                <w:p w14:paraId="726458D7" w14:textId="77777777" w:rsidR="002C6574" w:rsidRDefault="00000000">
                                  <w:pPr>
                                    <w:pStyle w:val="TableParagraph"/>
                                    <w:spacing w:before="63" w:line="141" w:lineRule="exact"/>
                                    <w:ind w:left="528"/>
                                    <w:jc w:val="left"/>
                                    <w:rPr>
                                      <w:rFonts w:ascii="Arial"/>
                                      <w:b/>
                                      <w:sz w:val="14"/>
                                    </w:rPr>
                                  </w:pPr>
                                  <w:r>
                                    <w:rPr>
                                      <w:rFonts w:ascii="Arial"/>
                                      <w:b/>
                                      <w:color w:val="001F60"/>
                                      <w:spacing w:val="-4"/>
                                      <w:sz w:val="14"/>
                                    </w:rPr>
                                    <w:t>8,55</w:t>
                                  </w:r>
                                </w:p>
                              </w:tc>
                              <w:tc>
                                <w:tcPr>
                                  <w:tcW w:w="991" w:type="dxa"/>
                                  <w:tcBorders>
                                    <w:top w:val="dotted" w:sz="4" w:space="0" w:color="001F60"/>
                                  </w:tcBorders>
                                </w:tcPr>
                                <w:p w14:paraId="0EB1279F" w14:textId="77777777" w:rsidR="002C6574" w:rsidRDefault="00000000">
                                  <w:pPr>
                                    <w:pStyle w:val="TableParagraph"/>
                                    <w:spacing w:before="63" w:line="141" w:lineRule="exact"/>
                                    <w:ind w:right="68"/>
                                    <w:rPr>
                                      <w:rFonts w:ascii="Arial"/>
                                      <w:b/>
                                      <w:sz w:val="14"/>
                                    </w:rPr>
                                  </w:pPr>
                                  <w:r>
                                    <w:rPr>
                                      <w:rFonts w:ascii="Arial"/>
                                      <w:b/>
                                      <w:color w:val="001F60"/>
                                      <w:spacing w:val="-4"/>
                                      <w:sz w:val="14"/>
                                    </w:rPr>
                                    <w:t>9,59</w:t>
                                  </w:r>
                                </w:p>
                              </w:tc>
                            </w:tr>
                            <w:tr w:rsidR="002C6574" w14:paraId="064E064A" w14:textId="77777777">
                              <w:trPr>
                                <w:trHeight w:val="347"/>
                              </w:trPr>
                              <w:tc>
                                <w:tcPr>
                                  <w:tcW w:w="1674" w:type="dxa"/>
                                </w:tcPr>
                                <w:p w14:paraId="4DA9B274" w14:textId="77777777" w:rsidR="002C6574" w:rsidRDefault="00000000">
                                  <w:pPr>
                                    <w:pStyle w:val="TableParagraph"/>
                                    <w:spacing w:before="122"/>
                                    <w:ind w:right="133"/>
                                    <w:rPr>
                                      <w:rFonts w:ascii="Arial MT"/>
                                      <w:sz w:val="14"/>
                                    </w:rPr>
                                  </w:pPr>
                                  <w:r>
                                    <w:rPr>
                                      <w:rFonts w:ascii="Arial MT"/>
                                      <w:color w:val="001F60"/>
                                      <w:spacing w:val="-4"/>
                                      <w:sz w:val="14"/>
                                    </w:rPr>
                                    <w:t>1000</w:t>
                                  </w:r>
                                </w:p>
                              </w:tc>
                              <w:tc>
                                <w:tcPr>
                                  <w:tcW w:w="4808" w:type="dxa"/>
                                </w:tcPr>
                                <w:p w14:paraId="022FF784" w14:textId="77777777" w:rsidR="002C6574" w:rsidRDefault="00000000">
                                  <w:pPr>
                                    <w:pStyle w:val="TableParagraph"/>
                                    <w:spacing w:before="122"/>
                                    <w:ind w:left="135"/>
                                    <w:jc w:val="left"/>
                                    <w:rPr>
                                      <w:rFonts w:ascii="Arial MT"/>
                                      <w:sz w:val="14"/>
                                    </w:rPr>
                                  </w:pPr>
                                  <w:r>
                                    <w:rPr>
                                      <w:rFonts w:ascii="Arial MT"/>
                                      <w:color w:val="001F60"/>
                                      <w:sz w:val="14"/>
                                    </w:rPr>
                                    <w:t>Recursos</w:t>
                                  </w:r>
                                  <w:r>
                                    <w:rPr>
                                      <w:rFonts w:ascii="Arial MT"/>
                                      <w:color w:val="001F60"/>
                                      <w:spacing w:val="-4"/>
                                      <w:sz w:val="14"/>
                                    </w:rPr>
                                    <w:t xml:space="preserve"> </w:t>
                                  </w:r>
                                  <w:r>
                                    <w:rPr>
                                      <w:rFonts w:ascii="Arial MT"/>
                                      <w:color w:val="001F60"/>
                                      <w:sz w:val="14"/>
                                    </w:rPr>
                                    <w:t>Livres</w:t>
                                  </w:r>
                                  <w:r>
                                    <w:rPr>
                                      <w:rFonts w:ascii="Arial MT"/>
                                      <w:color w:val="001F60"/>
                                      <w:spacing w:val="-3"/>
                                      <w:sz w:val="14"/>
                                    </w:rPr>
                                    <w:t xml:space="preserve"> </w:t>
                                  </w:r>
                                  <w:r>
                                    <w:rPr>
                                      <w:rFonts w:ascii="Arial MT"/>
                                      <w:color w:val="001F60"/>
                                      <w:sz w:val="14"/>
                                    </w:rPr>
                                    <w:t>da</w:t>
                                  </w:r>
                                  <w:r>
                                    <w:rPr>
                                      <w:rFonts w:ascii="Arial MT"/>
                                      <w:color w:val="001F60"/>
                                      <w:spacing w:val="-4"/>
                                      <w:sz w:val="14"/>
                                    </w:rPr>
                                    <w:t xml:space="preserve"> Uniao</w:t>
                                  </w:r>
                                </w:p>
                              </w:tc>
                              <w:tc>
                                <w:tcPr>
                                  <w:tcW w:w="684" w:type="dxa"/>
                                </w:tcPr>
                                <w:p w14:paraId="05374199" w14:textId="77777777" w:rsidR="002C6574" w:rsidRDefault="00000000">
                                  <w:pPr>
                                    <w:pStyle w:val="TableParagraph"/>
                                    <w:spacing w:before="122"/>
                                    <w:ind w:right="253"/>
                                    <w:rPr>
                                      <w:rFonts w:ascii="Arial MT"/>
                                      <w:sz w:val="14"/>
                                    </w:rPr>
                                  </w:pPr>
                                  <w:r>
                                    <w:rPr>
                                      <w:rFonts w:ascii="Arial MT"/>
                                      <w:color w:val="001F60"/>
                                      <w:spacing w:val="-10"/>
                                      <w:sz w:val="14"/>
                                    </w:rPr>
                                    <w:t>-</w:t>
                                  </w:r>
                                </w:p>
                              </w:tc>
                              <w:tc>
                                <w:tcPr>
                                  <w:tcW w:w="941" w:type="dxa"/>
                                  <w:gridSpan w:val="2"/>
                                </w:tcPr>
                                <w:p w14:paraId="33DC385E" w14:textId="77777777" w:rsidR="002C6574" w:rsidRDefault="00000000">
                                  <w:pPr>
                                    <w:pStyle w:val="TableParagraph"/>
                                    <w:spacing w:before="122"/>
                                    <w:ind w:left="528"/>
                                    <w:jc w:val="left"/>
                                    <w:rPr>
                                      <w:rFonts w:ascii="Arial MT"/>
                                      <w:sz w:val="14"/>
                                    </w:rPr>
                                  </w:pPr>
                                  <w:r>
                                    <w:rPr>
                                      <w:rFonts w:ascii="Arial MT"/>
                                      <w:color w:val="001F60"/>
                                      <w:spacing w:val="-4"/>
                                      <w:sz w:val="14"/>
                                    </w:rPr>
                                    <w:t>1,89</w:t>
                                  </w:r>
                                </w:p>
                              </w:tc>
                              <w:tc>
                                <w:tcPr>
                                  <w:tcW w:w="991" w:type="dxa"/>
                                </w:tcPr>
                                <w:p w14:paraId="226B37F2" w14:textId="77777777" w:rsidR="002C6574" w:rsidRDefault="00000000">
                                  <w:pPr>
                                    <w:pStyle w:val="TableParagraph"/>
                                    <w:spacing w:before="122"/>
                                    <w:ind w:right="68"/>
                                    <w:rPr>
                                      <w:rFonts w:ascii="Arial MT"/>
                                      <w:sz w:val="14"/>
                                    </w:rPr>
                                  </w:pPr>
                                  <w:r>
                                    <w:rPr>
                                      <w:rFonts w:ascii="Arial MT"/>
                                      <w:color w:val="001F60"/>
                                      <w:spacing w:val="-4"/>
                                      <w:sz w:val="14"/>
                                    </w:rPr>
                                    <w:t>1,89</w:t>
                                  </w:r>
                                </w:p>
                              </w:tc>
                            </w:tr>
                            <w:tr w:rsidR="002C6574" w14:paraId="1595FF17" w14:textId="77777777">
                              <w:trPr>
                                <w:trHeight w:val="283"/>
                              </w:trPr>
                              <w:tc>
                                <w:tcPr>
                                  <w:tcW w:w="1674" w:type="dxa"/>
                                </w:tcPr>
                                <w:p w14:paraId="7A53E5A9" w14:textId="77777777" w:rsidR="002C6574" w:rsidRDefault="00000000">
                                  <w:pPr>
                                    <w:pStyle w:val="TableParagraph"/>
                                    <w:spacing w:before="58"/>
                                    <w:ind w:right="133"/>
                                    <w:rPr>
                                      <w:rFonts w:ascii="Arial MT"/>
                                      <w:sz w:val="14"/>
                                    </w:rPr>
                                  </w:pPr>
                                  <w:r>
                                    <w:rPr>
                                      <w:rFonts w:ascii="Arial MT"/>
                                      <w:color w:val="001F60"/>
                                      <w:spacing w:val="-4"/>
                                      <w:sz w:val="14"/>
                                    </w:rPr>
                                    <w:t>1050</w:t>
                                  </w:r>
                                </w:p>
                              </w:tc>
                              <w:tc>
                                <w:tcPr>
                                  <w:tcW w:w="4808" w:type="dxa"/>
                                </w:tcPr>
                                <w:p w14:paraId="7F9E835B" w14:textId="77777777" w:rsidR="002C6574" w:rsidRDefault="00000000">
                                  <w:pPr>
                                    <w:pStyle w:val="TableParagraph"/>
                                    <w:spacing w:before="58"/>
                                    <w:ind w:left="135"/>
                                    <w:jc w:val="left"/>
                                    <w:rPr>
                                      <w:rFonts w:ascii="Arial MT" w:hAnsi="Arial MT"/>
                                      <w:sz w:val="14"/>
                                    </w:rPr>
                                  </w:pPr>
                                  <w:r>
                                    <w:rPr>
                                      <w:rFonts w:ascii="Arial MT" w:hAnsi="Arial MT"/>
                                      <w:color w:val="001F60"/>
                                      <w:sz w:val="14"/>
                                    </w:rPr>
                                    <w:t>Recursos</w:t>
                                  </w:r>
                                  <w:r>
                                    <w:rPr>
                                      <w:rFonts w:ascii="Arial MT" w:hAnsi="Arial MT"/>
                                      <w:color w:val="001F60"/>
                                      <w:spacing w:val="-3"/>
                                      <w:sz w:val="14"/>
                                    </w:rPr>
                                    <w:t xml:space="preserve"> </w:t>
                                  </w:r>
                                  <w:r>
                                    <w:rPr>
                                      <w:rFonts w:ascii="Arial MT" w:hAnsi="Arial MT"/>
                                      <w:color w:val="001F60"/>
                                      <w:sz w:val="14"/>
                                    </w:rPr>
                                    <w:t>Próprios</w:t>
                                  </w:r>
                                  <w:r>
                                    <w:rPr>
                                      <w:rFonts w:ascii="Arial MT" w:hAnsi="Arial MT"/>
                                      <w:color w:val="001F60"/>
                                      <w:spacing w:val="-5"/>
                                      <w:sz w:val="14"/>
                                    </w:rPr>
                                    <w:t xml:space="preserve"> </w:t>
                                  </w:r>
                                  <w:r>
                                    <w:rPr>
                                      <w:rFonts w:ascii="Arial MT" w:hAnsi="Arial MT"/>
                                      <w:color w:val="001F60"/>
                                      <w:sz w:val="14"/>
                                    </w:rPr>
                                    <w:t>Livres</w:t>
                                  </w:r>
                                  <w:r>
                                    <w:rPr>
                                      <w:rFonts w:ascii="Arial MT" w:hAnsi="Arial MT"/>
                                      <w:color w:val="001F60"/>
                                      <w:spacing w:val="-5"/>
                                      <w:sz w:val="14"/>
                                    </w:rPr>
                                    <w:t xml:space="preserve"> </w:t>
                                  </w:r>
                                  <w:r>
                                    <w:rPr>
                                      <w:rFonts w:ascii="Arial MT" w:hAnsi="Arial MT"/>
                                      <w:color w:val="001F60"/>
                                      <w:sz w:val="14"/>
                                    </w:rPr>
                                    <w:t>da</w:t>
                                  </w:r>
                                  <w:r>
                                    <w:rPr>
                                      <w:rFonts w:ascii="Arial MT" w:hAnsi="Arial MT"/>
                                      <w:color w:val="001F60"/>
                                      <w:spacing w:val="-6"/>
                                      <w:sz w:val="14"/>
                                    </w:rPr>
                                    <w:t xml:space="preserve"> </w:t>
                                  </w:r>
                                  <w:r>
                                    <w:rPr>
                                      <w:rFonts w:ascii="Arial MT" w:hAnsi="Arial MT"/>
                                      <w:color w:val="001F60"/>
                                      <w:spacing w:val="-5"/>
                                      <w:sz w:val="14"/>
                                    </w:rPr>
                                    <w:t>Uo</w:t>
                                  </w:r>
                                </w:p>
                              </w:tc>
                              <w:tc>
                                <w:tcPr>
                                  <w:tcW w:w="684" w:type="dxa"/>
                                </w:tcPr>
                                <w:p w14:paraId="7F22457F" w14:textId="77777777" w:rsidR="002C6574" w:rsidRDefault="00000000">
                                  <w:pPr>
                                    <w:pStyle w:val="TableParagraph"/>
                                    <w:spacing w:before="58"/>
                                    <w:ind w:right="256"/>
                                    <w:rPr>
                                      <w:rFonts w:ascii="Arial MT"/>
                                      <w:sz w:val="14"/>
                                    </w:rPr>
                                  </w:pPr>
                                  <w:r>
                                    <w:rPr>
                                      <w:rFonts w:ascii="Arial MT"/>
                                      <w:color w:val="001F60"/>
                                      <w:spacing w:val="-4"/>
                                      <w:sz w:val="14"/>
                                    </w:rPr>
                                    <w:t>1,04</w:t>
                                  </w:r>
                                </w:p>
                              </w:tc>
                              <w:tc>
                                <w:tcPr>
                                  <w:tcW w:w="941" w:type="dxa"/>
                                  <w:gridSpan w:val="2"/>
                                </w:tcPr>
                                <w:p w14:paraId="60D11AB0" w14:textId="77777777" w:rsidR="002C6574" w:rsidRDefault="00000000">
                                  <w:pPr>
                                    <w:pStyle w:val="TableParagraph"/>
                                    <w:spacing w:before="58"/>
                                    <w:ind w:right="136"/>
                                    <w:rPr>
                                      <w:rFonts w:ascii="Arial MT"/>
                                      <w:sz w:val="14"/>
                                    </w:rPr>
                                  </w:pPr>
                                  <w:r>
                                    <w:rPr>
                                      <w:rFonts w:ascii="Arial MT"/>
                                      <w:color w:val="001F60"/>
                                      <w:spacing w:val="-10"/>
                                      <w:sz w:val="14"/>
                                    </w:rPr>
                                    <w:t>-</w:t>
                                  </w:r>
                                </w:p>
                              </w:tc>
                              <w:tc>
                                <w:tcPr>
                                  <w:tcW w:w="991" w:type="dxa"/>
                                </w:tcPr>
                                <w:p w14:paraId="50F9AE06" w14:textId="77777777" w:rsidR="002C6574" w:rsidRDefault="00000000">
                                  <w:pPr>
                                    <w:pStyle w:val="TableParagraph"/>
                                    <w:spacing w:before="58"/>
                                    <w:ind w:right="68"/>
                                    <w:rPr>
                                      <w:rFonts w:ascii="Arial MT"/>
                                      <w:sz w:val="14"/>
                                    </w:rPr>
                                  </w:pPr>
                                  <w:r>
                                    <w:rPr>
                                      <w:rFonts w:ascii="Arial MT"/>
                                      <w:color w:val="001F60"/>
                                      <w:spacing w:val="-4"/>
                                      <w:sz w:val="14"/>
                                    </w:rPr>
                                    <w:t>1,04</w:t>
                                  </w:r>
                                </w:p>
                              </w:tc>
                            </w:tr>
                            <w:tr w:rsidR="002C6574" w14:paraId="18C3F180" w14:textId="77777777">
                              <w:trPr>
                                <w:trHeight w:val="219"/>
                              </w:trPr>
                              <w:tc>
                                <w:tcPr>
                                  <w:tcW w:w="1674" w:type="dxa"/>
                                </w:tcPr>
                                <w:p w14:paraId="3667BFD7" w14:textId="77777777" w:rsidR="002C6574" w:rsidRDefault="00000000">
                                  <w:pPr>
                                    <w:pStyle w:val="TableParagraph"/>
                                    <w:spacing w:before="58" w:line="141" w:lineRule="exact"/>
                                    <w:ind w:right="133"/>
                                    <w:rPr>
                                      <w:rFonts w:ascii="Arial MT"/>
                                      <w:sz w:val="14"/>
                                    </w:rPr>
                                  </w:pPr>
                                  <w:r>
                                    <w:rPr>
                                      <w:rFonts w:ascii="Arial MT"/>
                                      <w:color w:val="001F60"/>
                                      <w:spacing w:val="-4"/>
                                      <w:sz w:val="14"/>
                                    </w:rPr>
                                    <w:t>3050</w:t>
                                  </w:r>
                                </w:p>
                              </w:tc>
                              <w:tc>
                                <w:tcPr>
                                  <w:tcW w:w="4808" w:type="dxa"/>
                                </w:tcPr>
                                <w:p w14:paraId="45377492" w14:textId="77777777" w:rsidR="002C6574" w:rsidRDefault="00000000">
                                  <w:pPr>
                                    <w:pStyle w:val="TableParagraph"/>
                                    <w:spacing w:before="58" w:line="141" w:lineRule="exact"/>
                                    <w:ind w:left="135"/>
                                    <w:jc w:val="left"/>
                                    <w:rPr>
                                      <w:rFonts w:ascii="Arial MT" w:hAnsi="Arial MT"/>
                                      <w:sz w:val="14"/>
                                    </w:rPr>
                                  </w:pPr>
                                  <w:r>
                                    <w:rPr>
                                      <w:rFonts w:ascii="Arial MT" w:hAnsi="Arial MT"/>
                                      <w:color w:val="001F60"/>
                                      <w:sz w:val="14"/>
                                    </w:rPr>
                                    <w:t>Recursos</w:t>
                                  </w:r>
                                  <w:r>
                                    <w:rPr>
                                      <w:rFonts w:ascii="Arial MT" w:hAnsi="Arial MT"/>
                                      <w:color w:val="001F60"/>
                                      <w:spacing w:val="-3"/>
                                      <w:sz w:val="14"/>
                                    </w:rPr>
                                    <w:t xml:space="preserve"> </w:t>
                                  </w:r>
                                  <w:r>
                                    <w:rPr>
                                      <w:rFonts w:ascii="Arial MT" w:hAnsi="Arial MT"/>
                                      <w:color w:val="001F60"/>
                                      <w:sz w:val="14"/>
                                    </w:rPr>
                                    <w:t>Próprios</w:t>
                                  </w:r>
                                  <w:r>
                                    <w:rPr>
                                      <w:rFonts w:ascii="Arial MT" w:hAnsi="Arial MT"/>
                                      <w:color w:val="001F60"/>
                                      <w:spacing w:val="-5"/>
                                      <w:sz w:val="14"/>
                                    </w:rPr>
                                    <w:t xml:space="preserve"> </w:t>
                                  </w:r>
                                  <w:r>
                                    <w:rPr>
                                      <w:rFonts w:ascii="Arial MT" w:hAnsi="Arial MT"/>
                                      <w:color w:val="001F60"/>
                                      <w:sz w:val="14"/>
                                    </w:rPr>
                                    <w:t>Livres</w:t>
                                  </w:r>
                                  <w:r>
                                    <w:rPr>
                                      <w:rFonts w:ascii="Arial MT" w:hAnsi="Arial MT"/>
                                      <w:color w:val="001F60"/>
                                      <w:spacing w:val="-5"/>
                                      <w:sz w:val="14"/>
                                    </w:rPr>
                                    <w:t xml:space="preserve"> </w:t>
                                  </w:r>
                                  <w:r>
                                    <w:rPr>
                                      <w:rFonts w:ascii="Arial MT" w:hAnsi="Arial MT"/>
                                      <w:color w:val="001F60"/>
                                      <w:sz w:val="14"/>
                                    </w:rPr>
                                    <w:t>da</w:t>
                                  </w:r>
                                  <w:r>
                                    <w:rPr>
                                      <w:rFonts w:ascii="Arial MT" w:hAnsi="Arial MT"/>
                                      <w:color w:val="001F60"/>
                                      <w:spacing w:val="-6"/>
                                      <w:sz w:val="14"/>
                                    </w:rPr>
                                    <w:t xml:space="preserve"> </w:t>
                                  </w:r>
                                  <w:r>
                                    <w:rPr>
                                      <w:rFonts w:ascii="Arial MT" w:hAnsi="Arial MT"/>
                                      <w:color w:val="001F60"/>
                                      <w:spacing w:val="-5"/>
                                      <w:sz w:val="14"/>
                                    </w:rPr>
                                    <w:t>Uo</w:t>
                                  </w:r>
                                </w:p>
                              </w:tc>
                              <w:tc>
                                <w:tcPr>
                                  <w:tcW w:w="684" w:type="dxa"/>
                                </w:tcPr>
                                <w:p w14:paraId="7B7FDA3B" w14:textId="77777777" w:rsidR="002C6574" w:rsidRDefault="00000000">
                                  <w:pPr>
                                    <w:pStyle w:val="TableParagraph"/>
                                    <w:spacing w:before="58" w:line="141" w:lineRule="exact"/>
                                    <w:ind w:right="254"/>
                                    <w:rPr>
                                      <w:rFonts w:ascii="Arial MT"/>
                                      <w:sz w:val="14"/>
                                    </w:rPr>
                                  </w:pPr>
                                  <w:r>
                                    <w:rPr>
                                      <w:rFonts w:ascii="Arial MT"/>
                                      <w:color w:val="001F60"/>
                                      <w:spacing w:val="-10"/>
                                      <w:sz w:val="14"/>
                                    </w:rPr>
                                    <w:t>-</w:t>
                                  </w:r>
                                </w:p>
                              </w:tc>
                              <w:tc>
                                <w:tcPr>
                                  <w:tcW w:w="941" w:type="dxa"/>
                                  <w:gridSpan w:val="2"/>
                                </w:tcPr>
                                <w:p w14:paraId="72E3F76D" w14:textId="77777777" w:rsidR="002C6574" w:rsidRDefault="00000000">
                                  <w:pPr>
                                    <w:pStyle w:val="TableParagraph"/>
                                    <w:spacing w:before="58" w:line="141" w:lineRule="exact"/>
                                    <w:ind w:left="528"/>
                                    <w:jc w:val="left"/>
                                    <w:rPr>
                                      <w:rFonts w:ascii="Arial MT"/>
                                      <w:sz w:val="14"/>
                                    </w:rPr>
                                  </w:pPr>
                                  <w:r>
                                    <w:rPr>
                                      <w:rFonts w:ascii="Arial MT"/>
                                      <w:color w:val="001F60"/>
                                      <w:spacing w:val="-4"/>
                                      <w:sz w:val="14"/>
                                    </w:rPr>
                                    <w:t>2,53</w:t>
                                  </w:r>
                                </w:p>
                              </w:tc>
                              <w:tc>
                                <w:tcPr>
                                  <w:tcW w:w="991" w:type="dxa"/>
                                </w:tcPr>
                                <w:p w14:paraId="2E980350" w14:textId="77777777" w:rsidR="002C6574" w:rsidRDefault="00000000">
                                  <w:pPr>
                                    <w:pStyle w:val="TableParagraph"/>
                                    <w:spacing w:before="58" w:line="141" w:lineRule="exact"/>
                                    <w:ind w:right="68"/>
                                    <w:rPr>
                                      <w:rFonts w:ascii="Arial MT"/>
                                      <w:sz w:val="14"/>
                                    </w:rPr>
                                  </w:pPr>
                                  <w:r>
                                    <w:rPr>
                                      <w:rFonts w:ascii="Arial MT"/>
                                      <w:color w:val="001F60"/>
                                      <w:spacing w:val="-4"/>
                                      <w:sz w:val="14"/>
                                    </w:rPr>
                                    <w:t>2,53</w:t>
                                  </w:r>
                                </w:p>
                              </w:tc>
                            </w:tr>
                          </w:tbl>
                          <w:p w14:paraId="30148262" w14:textId="77777777" w:rsidR="002C6574" w:rsidRDefault="002C6574">
                            <w:pPr>
                              <w:pStyle w:val="Corpodetexto"/>
                            </w:pPr>
                          </w:p>
                        </w:txbxContent>
                      </wps:txbx>
                      <wps:bodyPr wrap="square" lIns="0" tIns="0" rIns="0" bIns="0" rtlCol="0">
                        <a:noAutofit/>
                      </wps:bodyPr>
                    </wps:wsp>
                  </a:graphicData>
                </a:graphic>
              </wp:anchor>
            </w:drawing>
          </mc:Choice>
          <mc:Fallback>
            <w:pict>
              <v:shape w14:anchorId="4F523B0D" id="Textbox 47" o:spid="_x0000_s1027" type="#_x0000_t202" style="position:absolute;left:0;text-align:left;margin-left:82.1pt;margin-top:-132.45pt;width:461.05pt;height:209.2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" filled="f" stroked="f">
                <v:textbox inset="0,0,0,0">
                  <w:txbxContent>
                    <w:tbl>
                      <w:tblPr>
                        <w:tblStyle w:val="TableNormal"/>
                        <w:tblW w:w="0" w:type="auto"/>
                        <w:tblInd w:w="67" w:type="dxa"/>
                        <w:tblLayout w:type="fixed"/>
                        <w:tblLook w:val="01E0" w:firstRow="1" w:lastRow="1" w:firstColumn="1" w:lastColumn="1" w:noHBand="0" w:noVBand="0"/>
                      </w:tblPr>
                      <w:tblGrid>
                        <w:gridCol w:w="1674"/>
                        <w:gridCol w:w="4808"/>
                        <w:gridCol w:w="684"/>
                        <w:gridCol w:w="437"/>
                        <w:gridCol w:w="504"/>
                        <w:gridCol w:w="991"/>
                      </w:tblGrid>
                      <w:tr w:rsidR="002C6574" w14:paraId="7F17CF9C" w14:textId="77777777">
                        <w:trPr>
                          <w:trHeight w:val="282"/>
                        </w:trPr>
                        <w:tc>
                          <w:tcPr>
                            <w:tcW w:w="6482" w:type="dxa"/>
                            <w:gridSpan w:val="2"/>
                            <w:tcBorders>
                              <w:top w:val="single" w:sz="4" w:space="0" w:color="001F60"/>
                              <w:bottom w:val="single" w:sz="4" w:space="0" w:color="001F60"/>
                            </w:tcBorders>
                          </w:tcPr>
                          <w:p w14:paraId="390489F5" w14:textId="77777777" w:rsidR="002C6574" w:rsidRDefault="00000000">
                            <w:pPr>
                              <w:pStyle w:val="TableParagraph"/>
                              <w:spacing w:before="63"/>
                              <w:ind w:right="-15"/>
                              <w:rPr>
                                <w:rFonts w:ascii="Arial MT"/>
                                <w:sz w:val="14"/>
                              </w:rPr>
                            </w:pPr>
                            <w:r>
                              <w:rPr>
                                <w:rFonts w:ascii="Arial MT"/>
                                <w:color w:val="001F60"/>
                                <w:spacing w:val="-5"/>
                                <w:sz w:val="14"/>
                              </w:rPr>
                              <w:t>(a</w:t>
                            </w:r>
                          </w:p>
                        </w:tc>
                        <w:tc>
                          <w:tcPr>
                            <w:tcW w:w="1121" w:type="dxa"/>
                            <w:gridSpan w:val="2"/>
                            <w:tcBorders>
                              <w:top w:val="single" w:sz="4" w:space="0" w:color="001F60"/>
                              <w:bottom w:val="single" w:sz="4" w:space="0" w:color="001F60"/>
                            </w:tcBorders>
                          </w:tcPr>
                          <w:p w14:paraId="7E2D3FCF" w14:textId="77777777" w:rsidR="002C6574" w:rsidRDefault="00000000">
                            <w:pPr>
                              <w:pStyle w:val="TableParagraph"/>
                              <w:tabs>
                                <w:tab w:val="left" w:pos="941"/>
                              </w:tabs>
                              <w:spacing w:before="63"/>
                              <w:ind w:left="4"/>
                              <w:jc w:val="left"/>
                              <w:rPr>
                                <w:rFonts w:ascii="Arial MT"/>
                                <w:sz w:val="14"/>
                              </w:rPr>
                            </w:pPr>
                            <w:r>
                              <w:rPr>
                                <w:rFonts w:ascii="Arial MT"/>
                                <w:color w:val="001F60"/>
                                <w:spacing w:val="-10"/>
                                <w:sz w:val="14"/>
                              </w:rPr>
                              <w:t>)</w:t>
                            </w:r>
                            <w:r>
                              <w:rPr>
                                <w:rFonts w:ascii="Arial MT"/>
                                <w:color w:val="001F60"/>
                                <w:sz w:val="14"/>
                              </w:rPr>
                              <w:tab/>
                            </w:r>
                            <w:r>
                              <w:rPr>
                                <w:rFonts w:ascii="Arial MT"/>
                                <w:color w:val="001F60"/>
                                <w:spacing w:val="-5"/>
                                <w:sz w:val="14"/>
                              </w:rPr>
                              <w:t>(b)</w:t>
                            </w:r>
                          </w:p>
                        </w:tc>
                        <w:tc>
                          <w:tcPr>
                            <w:tcW w:w="1495" w:type="dxa"/>
                            <w:gridSpan w:val="2"/>
                            <w:tcBorders>
                              <w:top w:val="single" w:sz="4" w:space="0" w:color="001F60"/>
                              <w:bottom w:val="single" w:sz="4" w:space="0" w:color="001F60"/>
                            </w:tcBorders>
                          </w:tcPr>
                          <w:p w14:paraId="28F5F72A" w14:textId="77777777" w:rsidR="002C6574" w:rsidRDefault="00000000">
                            <w:pPr>
                              <w:pStyle w:val="TableParagraph"/>
                              <w:spacing w:before="63"/>
                              <w:ind w:left="646"/>
                              <w:jc w:val="left"/>
                              <w:rPr>
                                <w:rFonts w:ascii="Arial MT"/>
                                <w:sz w:val="14"/>
                              </w:rPr>
                            </w:pPr>
                            <w:r>
                              <w:rPr>
                                <w:rFonts w:ascii="Arial MT"/>
                                <w:color w:val="001F60"/>
                                <w:sz w:val="14"/>
                              </w:rPr>
                              <w:t>(c</w:t>
                            </w:r>
                            <w:r>
                              <w:rPr>
                                <w:rFonts w:ascii="Arial MT"/>
                                <w:color w:val="001F60"/>
                                <w:spacing w:val="-3"/>
                                <w:sz w:val="14"/>
                              </w:rPr>
                              <w:t xml:space="preserve"> </w:t>
                            </w:r>
                            <w:r>
                              <w:rPr>
                                <w:rFonts w:ascii="Arial MT"/>
                                <w:color w:val="001F60"/>
                                <w:sz w:val="14"/>
                              </w:rPr>
                              <w:t>=</w:t>
                            </w:r>
                            <w:r>
                              <w:rPr>
                                <w:rFonts w:ascii="Arial MT"/>
                                <w:color w:val="001F60"/>
                                <w:spacing w:val="1"/>
                                <w:sz w:val="14"/>
                              </w:rPr>
                              <w:t xml:space="preserve"> </w:t>
                            </w:r>
                            <w:r>
                              <w:rPr>
                                <w:rFonts w:ascii="Arial MT"/>
                                <w:color w:val="001F60"/>
                                <w:sz w:val="14"/>
                              </w:rPr>
                              <w:t>a</w:t>
                            </w:r>
                            <w:r>
                              <w:rPr>
                                <w:rFonts w:ascii="Arial MT"/>
                                <w:color w:val="001F60"/>
                                <w:spacing w:val="-4"/>
                                <w:sz w:val="14"/>
                              </w:rPr>
                              <w:t xml:space="preserve"> </w:t>
                            </w:r>
                            <w:r>
                              <w:rPr>
                                <w:rFonts w:ascii="Arial MT"/>
                                <w:color w:val="001F60"/>
                                <w:sz w:val="14"/>
                              </w:rPr>
                              <w:t>+</w:t>
                            </w:r>
                            <w:r>
                              <w:rPr>
                                <w:rFonts w:ascii="Arial MT"/>
                                <w:color w:val="001F60"/>
                                <w:spacing w:val="-2"/>
                                <w:sz w:val="14"/>
                              </w:rPr>
                              <w:t xml:space="preserve"> </w:t>
                            </w:r>
                            <w:r>
                              <w:rPr>
                                <w:rFonts w:ascii="Arial MT"/>
                                <w:color w:val="001F60"/>
                                <w:spacing w:val="-5"/>
                                <w:sz w:val="14"/>
                              </w:rPr>
                              <w:t>b)</w:t>
                            </w:r>
                          </w:p>
                        </w:tc>
                      </w:tr>
                      <w:tr w:rsidR="002C6574" w14:paraId="07BDE924" w14:textId="77777777">
                        <w:trPr>
                          <w:trHeight w:val="282"/>
                        </w:trPr>
                        <w:tc>
                          <w:tcPr>
                            <w:tcW w:w="6482" w:type="dxa"/>
                            <w:gridSpan w:val="2"/>
                            <w:tcBorders>
                              <w:bottom w:val="dotted" w:sz="4" w:space="0" w:color="001F60"/>
                            </w:tcBorders>
                          </w:tcPr>
                          <w:p w14:paraId="4F848D34" w14:textId="77777777" w:rsidR="002C6574" w:rsidRDefault="00000000">
                            <w:pPr>
                              <w:pStyle w:val="TableParagraph"/>
                              <w:spacing w:before="58"/>
                              <w:ind w:left="69"/>
                              <w:jc w:val="left"/>
                              <w:rPr>
                                <w:rFonts w:ascii="Arial MT" w:hAnsi="Arial MT"/>
                                <w:sz w:val="14"/>
                              </w:rPr>
                            </w:pPr>
                            <w:r>
                              <w:rPr>
                                <w:rFonts w:ascii="Arial MT" w:hAnsi="Arial MT"/>
                                <w:color w:val="001F60"/>
                                <w:sz w:val="14"/>
                              </w:rPr>
                              <w:t>Despesas</w:t>
                            </w:r>
                            <w:r>
                              <w:rPr>
                                <w:rFonts w:ascii="Arial MT" w:hAnsi="Arial MT"/>
                                <w:color w:val="001F60"/>
                                <w:spacing w:val="-3"/>
                                <w:sz w:val="14"/>
                              </w:rPr>
                              <w:t xml:space="preserve"> </w:t>
                            </w:r>
                            <w:r>
                              <w:rPr>
                                <w:rFonts w:ascii="Arial MT" w:hAnsi="Arial MT"/>
                                <w:color w:val="001F60"/>
                                <w:sz w:val="14"/>
                              </w:rPr>
                              <w:t>Financeiras</w:t>
                            </w:r>
                            <w:r>
                              <w:rPr>
                                <w:rFonts w:ascii="Arial MT" w:hAnsi="Arial MT"/>
                                <w:color w:val="001F60"/>
                                <w:spacing w:val="-2"/>
                                <w:sz w:val="14"/>
                              </w:rPr>
                              <w:t xml:space="preserve"> </w:t>
                            </w:r>
                            <w:r>
                              <w:rPr>
                                <w:rFonts w:ascii="Arial MT" w:hAnsi="Arial MT"/>
                                <w:color w:val="001F60"/>
                                <w:sz w:val="14"/>
                              </w:rPr>
                              <w:t>e</w:t>
                            </w:r>
                            <w:r>
                              <w:rPr>
                                <w:rFonts w:ascii="Arial MT" w:hAnsi="Arial MT"/>
                                <w:color w:val="001F60"/>
                                <w:spacing w:val="-5"/>
                                <w:sz w:val="14"/>
                              </w:rPr>
                              <w:t xml:space="preserve"> </w:t>
                            </w:r>
                            <w:r>
                              <w:rPr>
                                <w:rFonts w:ascii="Arial MT" w:hAnsi="Arial MT"/>
                                <w:color w:val="001F60"/>
                                <w:sz w:val="14"/>
                              </w:rPr>
                              <w:t>Obrigatórias</w:t>
                            </w:r>
                            <w:r>
                              <w:rPr>
                                <w:rFonts w:ascii="Arial MT" w:hAnsi="Arial MT"/>
                                <w:color w:val="001F60"/>
                                <w:spacing w:val="-5"/>
                                <w:sz w:val="14"/>
                              </w:rPr>
                              <w:t xml:space="preserve"> </w:t>
                            </w:r>
                            <w:r>
                              <w:rPr>
                                <w:rFonts w:ascii="Arial MT" w:hAnsi="Arial MT"/>
                                <w:color w:val="001F60"/>
                                <w:sz w:val="14"/>
                              </w:rPr>
                              <w:t>(RP</w:t>
                            </w:r>
                            <w:r>
                              <w:rPr>
                                <w:rFonts w:ascii="Arial MT" w:hAnsi="Arial MT"/>
                                <w:color w:val="001F60"/>
                                <w:spacing w:val="-4"/>
                                <w:sz w:val="14"/>
                              </w:rPr>
                              <w:t xml:space="preserve"> </w:t>
                            </w:r>
                            <w:r>
                              <w:rPr>
                                <w:rFonts w:ascii="Arial MT" w:hAnsi="Arial MT"/>
                                <w:color w:val="001F60"/>
                                <w:sz w:val="14"/>
                              </w:rPr>
                              <w:t>0</w:t>
                            </w:r>
                            <w:r>
                              <w:rPr>
                                <w:rFonts w:ascii="Arial MT" w:hAnsi="Arial MT"/>
                                <w:color w:val="001F60"/>
                                <w:spacing w:val="-5"/>
                                <w:sz w:val="14"/>
                              </w:rPr>
                              <w:t xml:space="preserve"> </w:t>
                            </w:r>
                            <w:r>
                              <w:rPr>
                                <w:rFonts w:ascii="Arial MT" w:hAnsi="Arial MT"/>
                                <w:color w:val="001F60"/>
                                <w:sz w:val="14"/>
                              </w:rPr>
                              <w:t>e</w:t>
                            </w:r>
                            <w:r>
                              <w:rPr>
                                <w:rFonts w:ascii="Arial MT" w:hAnsi="Arial MT"/>
                                <w:color w:val="001F60"/>
                                <w:spacing w:val="-2"/>
                                <w:sz w:val="14"/>
                              </w:rPr>
                              <w:t xml:space="preserve"> </w:t>
                            </w:r>
                            <w:r>
                              <w:rPr>
                                <w:rFonts w:ascii="Arial MT" w:hAnsi="Arial MT"/>
                                <w:color w:val="001F60"/>
                                <w:spacing w:val="-5"/>
                                <w:sz w:val="14"/>
                              </w:rPr>
                              <w:t>1)</w:t>
                            </w:r>
                          </w:p>
                        </w:tc>
                        <w:tc>
                          <w:tcPr>
                            <w:tcW w:w="684" w:type="dxa"/>
                            <w:tcBorders>
                              <w:bottom w:val="dotted" w:sz="4" w:space="0" w:color="001F60"/>
                            </w:tcBorders>
                          </w:tcPr>
                          <w:p w14:paraId="2B29F5B5" w14:textId="77777777" w:rsidR="002C6574" w:rsidRDefault="00000000">
                            <w:pPr>
                              <w:pStyle w:val="TableParagraph"/>
                              <w:spacing w:before="58"/>
                              <w:ind w:right="256"/>
                              <w:rPr>
                                <w:rFonts w:ascii="Arial MT"/>
                                <w:sz w:val="14"/>
                              </w:rPr>
                            </w:pPr>
                            <w:r>
                              <w:rPr>
                                <w:rFonts w:ascii="Arial MT"/>
                                <w:color w:val="001F60"/>
                                <w:spacing w:val="-2"/>
                                <w:sz w:val="14"/>
                              </w:rPr>
                              <w:t>153,55</w:t>
                            </w:r>
                          </w:p>
                        </w:tc>
                        <w:tc>
                          <w:tcPr>
                            <w:tcW w:w="941" w:type="dxa"/>
                            <w:gridSpan w:val="2"/>
                            <w:tcBorders>
                              <w:bottom w:val="dotted" w:sz="4" w:space="0" w:color="001F60"/>
                            </w:tcBorders>
                          </w:tcPr>
                          <w:p w14:paraId="03C3F73A" w14:textId="77777777" w:rsidR="002C6574" w:rsidRDefault="00000000">
                            <w:pPr>
                              <w:pStyle w:val="TableParagraph"/>
                              <w:spacing w:before="58"/>
                              <w:ind w:left="451"/>
                              <w:jc w:val="left"/>
                              <w:rPr>
                                <w:rFonts w:ascii="Arial MT"/>
                                <w:sz w:val="14"/>
                              </w:rPr>
                            </w:pPr>
                            <w:r>
                              <w:rPr>
                                <w:rFonts w:ascii="Arial MT"/>
                                <w:color w:val="001F60"/>
                                <w:spacing w:val="-2"/>
                                <w:sz w:val="14"/>
                              </w:rPr>
                              <w:t>14,08</w:t>
                            </w:r>
                          </w:p>
                        </w:tc>
                        <w:tc>
                          <w:tcPr>
                            <w:tcW w:w="991" w:type="dxa"/>
                            <w:tcBorders>
                              <w:bottom w:val="dotted" w:sz="4" w:space="0" w:color="001F60"/>
                            </w:tcBorders>
                          </w:tcPr>
                          <w:p w14:paraId="0FF010B7" w14:textId="77777777" w:rsidR="002C6574" w:rsidRDefault="00000000">
                            <w:pPr>
                              <w:pStyle w:val="TableParagraph"/>
                              <w:spacing w:before="58"/>
                              <w:ind w:right="69"/>
                              <w:rPr>
                                <w:rFonts w:ascii="Arial MT"/>
                                <w:sz w:val="14"/>
                              </w:rPr>
                            </w:pPr>
                            <w:r>
                              <w:rPr>
                                <w:rFonts w:ascii="Arial MT"/>
                                <w:color w:val="001F60"/>
                                <w:spacing w:val="-2"/>
                                <w:sz w:val="14"/>
                              </w:rPr>
                              <w:t>167,63</w:t>
                            </w:r>
                          </w:p>
                        </w:tc>
                      </w:tr>
                      <w:tr w:rsidR="002C6574" w14:paraId="15973E56" w14:textId="77777777">
                        <w:trPr>
                          <w:trHeight w:val="223"/>
                        </w:trPr>
                        <w:tc>
                          <w:tcPr>
                            <w:tcW w:w="6482" w:type="dxa"/>
                            <w:gridSpan w:val="2"/>
                            <w:tcBorders>
                              <w:top w:val="dotted" w:sz="4" w:space="0" w:color="001F60"/>
                            </w:tcBorders>
                          </w:tcPr>
                          <w:p w14:paraId="1BA5C772" w14:textId="77777777" w:rsidR="002C6574" w:rsidRDefault="00000000">
                            <w:pPr>
                              <w:pStyle w:val="TableParagraph"/>
                              <w:spacing w:before="63" w:line="141" w:lineRule="exact"/>
                              <w:ind w:left="650"/>
                              <w:jc w:val="left"/>
                              <w:rPr>
                                <w:rFonts w:ascii="Arial"/>
                                <w:b/>
                                <w:sz w:val="14"/>
                              </w:rPr>
                            </w:pPr>
                            <w:r>
                              <w:rPr>
                                <w:rFonts w:ascii="Arial"/>
                                <w:b/>
                                <w:color w:val="001F60"/>
                                <w:sz w:val="14"/>
                              </w:rPr>
                              <w:t>4</w:t>
                            </w:r>
                            <w:r>
                              <w:rPr>
                                <w:rFonts w:ascii="Arial"/>
                                <w:b/>
                                <w:color w:val="001F60"/>
                                <w:spacing w:val="-5"/>
                                <w:sz w:val="14"/>
                              </w:rPr>
                              <w:t xml:space="preserve"> </w:t>
                            </w:r>
                            <w:r>
                              <w:rPr>
                                <w:rFonts w:ascii="Arial"/>
                                <w:b/>
                                <w:color w:val="001F60"/>
                                <w:sz w:val="14"/>
                              </w:rPr>
                              <w:t>-</w:t>
                            </w:r>
                            <w:r>
                              <w:rPr>
                                <w:rFonts w:ascii="Arial"/>
                                <w:b/>
                                <w:color w:val="001F60"/>
                                <w:spacing w:val="-4"/>
                                <w:sz w:val="14"/>
                              </w:rPr>
                              <w:t xml:space="preserve"> </w:t>
                            </w:r>
                            <w:r>
                              <w:rPr>
                                <w:rFonts w:ascii="Arial"/>
                                <w:b/>
                                <w:color w:val="001F60"/>
                                <w:sz w:val="14"/>
                              </w:rPr>
                              <w:t>Despesas de</w:t>
                            </w:r>
                            <w:r>
                              <w:rPr>
                                <w:rFonts w:ascii="Arial"/>
                                <w:b/>
                                <w:color w:val="001F60"/>
                                <w:spacing w:val="-4"/>
                                <w:sz w:val="14"/>
                              </w:rPr>
                              <w:t xml:space="preserve"> </w:t>
                            </w:r>
                            <w:r>
                              <w:rPr>
                                <w:rFonts w:ascii="Arial"/>
                                <w:b/>
                                <w:color w:val="001F60"/>
                                <w:spacing w:val="-2"/>
                                <w:sz w:val="14"/>
                              </w:rPr>
                              <w:t>Capital</w:t>
                            </w:r>
                          </w:p>
                        </w:tc>
                        <w:tc>
                          <w:tcPr>
                            <w:tcW w:w="684" w:type="dxa"/>
                            <w:tcBorders>
                              <w:top w:val="dotted" w:sz="4" w:space="0" w:color="001F60"/>
                            </w:tcBorders>
                          </w:tcPr>
                          <w:p w14:paraId="41E13130" w14:textId="77777777" w:rsidR="002C6574" w:rsidRDefault="00000000">
                            <w:pPr>
                              <w:pStyle w:val="TableParagraph"/>
                              <w:spacing w:before="63" w:line="141" w:lineRule="exact"/>
                              <w:ind w:right="256"/>
                              <w:rPr>
                                <w:rFonts w:ascii="Arial"/>
                                <w:b/>
                                <w:sz w:val="14"/>
                              </w:rPr>
                            </w:pPr>
                            <w:r>
                              <w:rPr>
                                <w:rFonts w:ascii="Arial"/>
                                <w:b/>
                                <w:color w:val="001F60"/>
                                <w:spacing w:val="-2"/>
                                <w:sz w:val="14"/>
                              </w:rPr>
                              <w:t>44,86</w:t>
                            </w:r>
                          </w:p>
                        </w:tc>
                        <w:tc>
                          <w:tcPr>
                            <w:tcW w:w="941" w:type="dxa"/>
                            <w:gridSpan w:val="2"/>
                            <w:tcBorders>
                              <w:top w:val="dotted" w:sz="4" w:space="0" w:color="001F60"/>
                            </w:tcBorders>
                          </w:tcPr>
                          <w:p w14:paraId="7728D0EE" w14:textId="77777777" w:rsidR="002C6574" w:rsidRDefault="00000000">
                            <w:pPr>
                              <w:pStyle w:val="TableParagraph"/>
                              <w:spacing w:before="63" w:line="141" w:lineRule="exact"/>
                              <w:ind w:left="528"/>
                              <w:jc w:val="left"/>
                              <w:rPr>
                                <w:rFonts w:ascii="Arial"/>
                                <w:b/>
                                <w:sz w:val="14"/>
                              </w:rPr>
                            </w:pPr>
                            <w:r>
                              <w:rPr>
                                <w:rFonts w:ascii="Arial"/>
                                <w:b/>
                                <w:color w:val="001F60"/>
                                <w:spacing w:val="-4"/>
                                <w:sz w:val="14"/>
                              </w:rPr>
                              <w:t>0,92</w:t>
                            </w:r>
                          </w:p>
                        </w:tc>
                        <w:tc>
                          <w:tcPr>
                            <w:tcW w:w="991" w:type="dxa"/>
                            <w:tcBorders>
                              <w:top w:val="dotted" w:sz="4" w:space="0" w:color="001F60"/>
                            </w:tcBorders>
                          </w:tcPr>
                          <w:p w14:paraId="73E43A23" w14:textId="77777777" w:rsidR="002C6574" w:rsidRDefault="00000000">
                            <w:pPr>
                              <w:pStyle w:val="TableParagraph"/>
                              <w:spacing w:before="63" w:line="141" w:lineRule="exact"/>
                              <w:ind w:right="68"/>
                              <w:rPr>
                                <w:rFonts w:ascii="Arial"/>
                                <w:b/>
                                <w:sz w:val="14"/>
                              </w:rPr>
                            </w:pPr>
                            <w:r>
                              <w:rPr>
                                <w:rFonts w:ascii="Arial"/>
                                <w:b/>
                                <w:color w:val="001F60"/>
                                <w:spacing w:val="-2"/>
                                <w:sz w:val="14"/>
                              </w:rPr>
                              <w:t>45,78</w:t>
                            </w:r>
                          </w:p>
                        </w:tc>
                      </w:tr>
                      <w:tr w:rsidR="002C6574" w14:paraId="13BBFBCD" w14:textId="77777777">
                        <w:trPr>
                          <w:trHeight w:val="283"/>
                        </w:trPr>
                        <w:tc>
                          <w:tcPr>
                            <w:tcW w:w="1674" w:type="dxa"/>
                          </w:tcPr>
                          <w:p w14:paraId="663F3930" w14:textId="77777777" w:rsidR="002C6574" w:rsidRDefault="00000000">
                            <w:pPr>
                              <w:pStyle w:val="TableParagraph"/>
                              <w:spacing w:before="122" w:line="141" w:lineRule="exact"/>
                              <w:ind w:right="133"/>
                              <w:rPr>
                                <w:rFonts w:ascii="Arial MT"/>
                                <w:sz w:val="14"/>
                              </w:rPr>
                            </w:pPr>
                            <w:r>
                              <w:rPr>
                                <w:rFonts w:ascii="Arial MT"/>
                                <w:color w:val="001F60"/>
                                <w:spacing w:val="-4"/>
                                <w:sz w:val="14"/>
                              </w:rPr>
                              <w:t>1443</w:t>
                            </w:r>
                          </w:p>
                        </w:tc>
                        <w:tc>
                          <w:tcPr>
                            <w:tcW w:w="4808" w:type="dxa"/>
                          </w:tcPr>
                          <w:p w14:paraId="2281DF60" w14:textId="77777777" w:rsidR="002C6574" w:rsidRDefault="00000000">
                            <w:pPr>
                              <w:pStyle w:val="TableParagraph"/>
                              <w:spacing w:before="122" w:line="141" w:lineRule="exact"/>
                              <w:ind w:left="135"/>
                              <w:jc w:val="left"/>
                              <w:rPr>
                                <w:rFonts w:ascii="Arial MT" w:hAnsi="Arial MT"/>
                                <w:sz w:val="14"/>
                              </w:rPr>
                            </w:pPr>
                            <w:r>
                              <w:rPr>
                                <w:rFonts w:ascii="Arial MT" w:hAnsi="Arial MT"/>
                                <w:color w:val="001F60"/>
                                <w:sz w:val="14"/>
                              </w:rPr>
                              <w:t>Refinanciamento</w:t>
                            </w:r>
                            <w:r>
                              <w:rPr>
                                <w:rFonts w:ascii="Arial MT" w:hAnsi="Arial MT"/>
                                <w:color w:val="001F60"/>
                                <w:spacing w:val="-6"/>
                                <w:sz w:val="14"/>
                              </w:rPr>
                              <w:t xml:space="preserve"> </w:t>
                            </w:r>
                            <w:r>
                              <w:rPr>
                                <w:rFonts w:ascii="Arial MT" w:hAnsi="Arial MT"/>
                                <w:color w:val="001F60"/>
                                <w:sz w:val="14"/>
                              </w:rPr>
                              <w:t>da</w:t>
                            </w:r>
                            <w:r>
                              <w:rPr>
                                <w:rFonts w:ascii="Arial MT" w:hAnsi="Arial MT"/>
                                <w:color w:val="001F60"/>
                                <w:spacing w:val="-6"/>
                                <w:sz w:val="14"/>
                              </w:rPr>
                              <w:t xml:space="preserve"> </w:t>
                            </w:r>
                            <w:r>
                              <w:rPr>
                                <w:rFonts w:ascii="Arial MT" w:hAnsi="Arial MT"/>
                                <w:color w:val="001F60"/>
                                <w:sz w:val="14"/>
                              </w:rPr>
                              <w:t>Dívida</w:t>
                            </w:r>
                            <w:r>
                              <w:rPr>
                                <w:rFonts w:ascii="Arial MT" w:hAnsi="Arial MT"/>
                                <w:color w:val="001F60"/>
                                <w:spacing w:val="-5"/>
                                <w:sz w:val="14"/>
                              </w:rPr>
                              <w:t xml:space="preserve"> </w:t>
                            </w:r>
                            <w:r>
                              <w:rPr>
                                <w:rFonts w:ascii="Arial MT" w:hAnsi="Arial MT"/>
                                <w:color w:val="001F60"/>
                                <w:sz w:val="14"/>
                              </w:rPr>
                              <w:t>Publica</w:t>
                            </w:r>
                            <w:r>
                              <w:rPr>
                                <w:rFonts w:ascii="Arial MT" w:hAnsi="Arial MT"/>
                                <w:color w:val="001F60"/>
                                <w:spacing w:val="-2"/>
                                <w:sz w:val="14"/>
                              </w:rPr>
                              <w:t xml:space="preserve"> Federal</w:t>
                            </w:r>
                          </w:p>
                        </w:tc>
                        <w:tc>
                          <w:tcPr>
                            <w:tcW w:w="684" w:type="dxa"/>
                          </w:tcPr>
                          <w:p w14:paraId="6B631FCB" w14:textId="77777777" w:rsidR="002C6574" w:rsidRDefault="00000000">
                            <w:pPr>
                              <w:pStyle w:val="TableParagraph"/>
                              <w:spacing w:before="122" w:line="141" w:lineRule="exact"/>
                              <w:ind w:right="256"/>
                              <w:rPr>
                                <w:rFonts w:ascii="Arial MT"/>
                                <w:sz w:val="14"/>
                              </w:rPr>
                            </w:pPr>
                            <w:r>
                              <w:rPr>
                                <w:rFonts w:ascii="Arial MT"/>
                                <w:color w:val="001F60"/>
                                <w:spacing w:val="-2"/>
                                <w:sz w:val="14"/>
                              </w:rPr>
                              <w:t>44,86</w:t>
                            </w:r>
                          </w:p>
                        </w:tc>
                        <w:tc>
                          <w:tcPr>
                            <w:tcW w:w="941" w:type="dxa"/>
                            <w:gridSpan w:val="2"/>
                          </w:tcPr>
                          <w:p w14:paraId="54C7983F" w14:textId="77777777" w:rsidR="002C6574" w:rsidRDefault="00000000">
                            <w:pPr>
                              <w:pStyle w:val="TableParagraph"/>
                              <w:spacing w:before="122" w:line="141" w:lineRule="exact"/>
                              <w:ind w:left="528"/>
                              <w:jc w:val="left"/>
                              <w:rPr>
                                <w:rFonts w:ascii="Arial MT"/>
                                <w:sz w:val="14"/>
                              </w:rPr>
                            </w:pPr>
                            <w:r>
                              <w:rPr>
                                <w:rFonts w:ascii="Arial MT"/>
                                <w:color w:val="001F60"/>
                                <w:spacing w:val="-4"/>
                                <w:sz w:val="14"/>
                              </w:rPr>
                              <w:t>0,92</w:t>
                            </w:r>
                          </w:p>
                        </w:tc>
                        <w:tc>
                          <w:tcPr>
                            <w:tcW w:w="991" w:type="dxa"/>
                          </w:tcPr>
                          <w:p w14:paraId="08287923" w14:textId="77777777" w:rsidR="002C6574" w:rsidRDefault="00000000">
                            <w:pPr>
                              <w:pStyle w:val="TableParagraph"/>
                              <w:spacing w:before="122" w:line="141" w:lineRule="exact"/>
                              <w:ind w:right="68"/>
                              <w:rPr>
                                <w:rFonts w:ascii="Arial MT"/>
                                <w:sz w:val="14"/>
                              </w:rPr>
                            </w:pPr>
                            <w:r>
                              <w:rPr>
                                <w:rFonts w:ascii="Arial MT"/>
                                <w:color w:val="001F60"/>
                                <w:spacing w:val="-2"/>
                                <w:sz w:val="14"/>
                              </w:rPr>
                              <w:t>45,78</w:t>
                            </w:r>
                          </w:p>
                        </w:tc>
                      </w:tr>
                      <w:tr w:rsidR="002C6574" w14:paraId="7A43B882" w14:textId="77777777">
                        <w:trPr>
                          <w:trHeight w:val="315"/>
                        </w:trPr>
                        <w:tc>
                          <w:tcPr>
                            <w:tcW w:w="6482" w:type="dxa"/>
                            <w:gridSpan w:val="2"/>
                          </w:tcPr>
                          <w:p w14:paraId="2DB790E9" w14:textId="77777777" w:rsidR="002C6574" w:rsidRDefault="00000000">
                            <w:pPr>
                              <w:pStyle w:val="TableParagraph"/>
                              <w:spacing w:before="122"/>
                              <w:ind w:left="650"/>
                              <w:jc w:val="left"/>
                              <w:rPr>
                                <w:rFonts w:ascii="Arial"/>
                                <w:b/>
                                <w:sz w:val="14"/>
                              </w:rPr>
                            </w:pPr>
                            <w:r>
                              <w:rPr>
                                <w:rFonts w:ascii="Arial"/>
                                <w:b/>
                                <w:color w:val="001F60"/>
                                <w:sz w:val="14"/>
                              </w:rPr>
                              <w:t>3</w:t>
                            </w:r>
                            <w:r>
                              <w:rPr>
                                <w:rFonts w:ascii="Arial"/>
                                <w:b/>
                                <w:color w:val="001F60"/>
                                <w:spacing w:val="-4"/>
                                <w:sz w:val="14"/>
                              </w:rPr>
                              <w:t xml:space="preserve"> </w:t>
                            </w:r>
                            <w:r>
                              <w:rPr>
                                <w:rFonts w:ascii="Arial"/>
                                <w:b/>
                                <w:color w:val="001F60"/>
                                <w:sz w:val="14"/>
                              </w:rPr>
                              <w:t>-</w:t>
                            </w:r>
                            <w:r>
                              <w:rPr>
                                <w:rFonts w:ascii="Arial"/>
                                <w:b/>
                                <w:color w:val="001F60"/>
                                <w:spacing w:val="-4"/>
                                <w:sz w:val="14"/>
                              </w:rPr>
                              <w:t xml:space="preserve"> </w:t>
                            </w:r>
                            <w:r>
                              <w:rPr>
                                <w:rFonts w:ascii="Arial"/>
                                <w:b/>
                                <w:color w:val="001F60"/>
                                <w:sz w:val="14"/>
                              </w:rPr>
                              <w:t>Despesas</w:t>
                            </w:r>
                            <w:r>
                              <w:rPr>
                                <w:rFonts w:ascii="Arial"/>
                                <w:b/>
                                <w:color w:val="001F60"/>
                                <w:spacing w:val="-3"/>
                                <w:sz w:val="14"/>
                              </w:rPr>
                              <w:t xml:space="preserve"> </w:t>
                            </w:r>
                            <w:r>
                              <w:rPr>
                                <w:rFonts w:ascii="Arial"/>
                                <w:b/>
                                <w:color w:val="001F60"/>
                                <w:spacing w:val="-2"/>
                                <w:sz w:val="14"/>
                              </w:rPr>
                              <w:t>Correntes</w:t>
                            </w:r>
                          </w:p>
                        </w:tc>
                        <w:tc>
                          <w:tcPr>
                            <w:tcW w:w="684" w:type="dxa"/>
                          </w:tcPr>
                          <w:p w14:paraId="763EFF47" w14:textId="77777777" w:rsidR="002C6574" w:rsidRDefault="00000000">
                            <w:pPr>
                              <w:pStyle w:val="TableParagraph"/>
                              <w:spacing w:before="122"/>
                              <w:ind w:right="256"/>
                              <w:rPr>
                                <w:rFonts w:ascii="Arial"/>
                                <w:b/>
                                <w:sz w:val="14"/>
                              </w:rPr>
                            </w:pPr>
                            <w:r>
                              <w:rPr>
                                <w:rFonts w:ascii="Arial"/>
                                <w:b/>
                                <w:color w:val="001F60"/>
                                <w:spacing w:val="-2"/>
                                <w:sz w:val="14"/>
                              </w:rPr>
                              <w:t>108,69</w:t>
                            </w:r>
                          </w:p>
                        </w:tc>
                        <w:tc>
                          <w:tcPr>
                            <w:tcW w:w="941" w:type="dxa"/>
                            <w:gridSpan w:val="2"/>
                          </w:tcPr>
                          <w:p w14:paraId="69D42F51" w14:textId="77777777" w:rsidR="002C6574" w:rsidRDefault="00000000">
                            <w:pPr>
                              <w:pStyle w:val="TableParagraph"/>
                              <w:spacing w:before="122"/>
                              <w:ind w:left="451"/>
                              <w:jc w:val="left"/>
                              <w:rPr>
                                <w:rFonts w:ascii="Arial"/>
                                <w:b/>
                                <w:sz w:val="14"/>
                              </w:rPr>
                            </w:pPr>
                            <w:r>
                              <w:rPr>
                                <w:rFonts w:ascii="Arial"/>
                                <w:b/>
                                <w:color w:val="001F60"/>
                                <w:spacing w:val="-2"/>
                                <w:sz w:val="14"/>
                              </w:rPr>
                              <w:t>13,16</w:t>
                            </w:r>
                          </w:p>
                        </w:tc>
                        <w:tc>
                          <w:tcPr>
                            <w:tcW w:w="991" w:type="dxa"/>
                          </w:tcPr>
                          <w:p w14:paraId="0C281F41" w14:textId="77777777" w:rsidR="002C6574" w:rsidRDefault="00000000">
                            <w:pPr>
                              <w:pStyle w:val="TableParagraph"/>
                              <w:spacing w:before="122"/>
                              <w:ind w:right="69"/>
                              <w:rPr>
                                <w:rFonts w:ascii="Arial"/>
                                <w:b/>
                                <w:sz w:val="14"/>
                              </w:rPr>
                            </w:pPr>
                            <w:r>
                              <w:rPr>
                                <w:rFonts w:ascii="Arial"/>
                                <w:b/>
                                <w:color w:val="001F60"/>
                                <w:spacing w:val="-2"/>
                                <w:sz w:val="14"/>
                              </w:rPr>
                              <w:t>121,85</w:t>
                            </w:r>
                          </w:p>
                        </w:tc>
                      </w:tr>
                      <w:tr w:rsidR="002C6574" w14:paraId="37CA4DFB" w14:textId="77777777">
                        <w:trPr>
                          <w:trHeight w:val="188"/>
                        </w:trPr>
                        <w:tc>
                          <w:tcPr>
                            <w:tcW w:w="6482" w:type="dxa"/>
                            <w:gridSpan w:val="2"/>
                          </w:tcPr>
                          <w:p w14:paraId="130A4066" w14:textId="77777777" w:rsidR="002C6574" w:rsidRDefault="00000000">
                            <w:pPr>
                              <w:pStyle w:val="TableParagraph"/>
                              <w:spacing w:before="27" w:line="141" w:lineRule="exact"/>
                              <w:ind w:left="1809"/>
                              <w:jc w:val="left"/>
                              <w:rPr>
                                <w:rFonts w:ascii="Arial MT" w:hAnsi="Arial MT"/>
                                <w:sz w:val="14"/>
                              </w:rPr>
                            </w:pPr>
                            <w:r>
                              <w:rPr>
                                <w:rFonts w:ascii="Arial MT" w:hAnsi="Arial MT"/>
                                <w:color w:val="001F60"/>
                                <w:sz w:val="14"/>
                              </w:rPr>
                              <w:t>Demais</w:t>
                            </w:r>
                            <w:r>
                              <w:rPr>
                                <w:rFonts w:ascii="Arial MT" w:hAnsi="Arial MT"/>
                                <w:color w:val="001F60"/>
                                <w:spacing w:val="-6"/>
                                <w:sz w:val="14"/>
                              </w:rPr>
                              <w:t xml:space="preserve"> </w:t>
                            </w:r>
                            <w:r>
                              <w:rPr>
                                <w:rFonts w:ascii="Arial MT" w:hAnsi="Arial MT"/>
                                <w:color w:val="001F60"/>
                                <w:sz w:val="14"/>
                              </w:rPr>
                              <w:t>Aplicações</w:t>
                            </w:r>
                            <w:r>
                              <w:rPr>
                                <w:rFonts w:ascii="Arial MT" w:hAnsi="Arial MT"/>
                                <w:color w:val="001F60"/>
                                <w:spacing w:val="-6"/>
                                <w:sz w:val="14"/>
                              </w:rPr>
                              <w:t xml:space="preserve"> </w:t>
                            </w:r>
                            <w:r>
                              <w:rPr>
                                <w:rFonts w:ascii="Arial MT" w:hAnsi="Arial MT"/>
                                <w:color w:val="001F60"/>
                                <w:sz w:val="14"/>
                              </w:rPr>
                              <w:t>Autorizadas</w:t>
                            </w:r>
                            <w:r>
                              <w:rPr>
                                <w:rFonts w:ascii="Arial MT" w:hAnsi="Arial MT"/>
                                <w:color w:val="001F60"/>
                                <w:spacing w:val="-4"/>
                                <w:sz w:val="14"/>
                              </w:rPr>
                              <w:t xml:space="preserve"> </w:t>
                            </w:r>
                            <w:r>
                              <w:rPr>
                                <w:rFonts w:ascii="Arial MT" w:hAnsi="Arial MT"/>
                                <w:color w:val="001F60"/>
                                <w:sz w:val="14"/>
                              </w:rPr>
                              <w:t>para</w:t>
                            </w:r>
                            <w:r>
                              <w:rPr>
                                <w:rFonts w:ascii="Arial MT" w:hAnsi="Arial MT"/>
                                <w:color w:val="001F60"/>
                                <w:spacing w:val="-5"/>
                                <w:sz w:val="14"/>
                              </w:rPr>
                              <w:t xml:space="preserve"> </w:t>
                            </w:r>
                            <w:r>
                              <w:rPr>
                                <w:rFonts w:ascii="Arial MT" w:hAnsi="Arial MT"/>
                                <w:color w:val="001F60"/>
                                <w:sz w:val="14"/>
                              </w:rPr>
                              <w:t>Recursos</w:t>
                            </w:r>
                            <w:r>
                              <w:rPr>
                                <w:rFonts w:ascii="Arial MT" w:hAnsi="Arial MT"/>
                                <w:color w:val="001F60"/>
                                <w:spacing w:val="-4"/>
                                <w:sz w:val="14"/>
                              </w:rPr>
                              <w:t xml:space="preserve"> </w:t>
                            </w:r>
                            <w:r>
                              <w:rPr>
                                <w:rFonts w:ascii="Arial MT" w:hAnsi="Arial MT"/>
                                <w:color w:val="001F60"/>
                                <w:sz w:val="14"/>
                              </w:rPr>
                              <w:t>Oriundos</w:t>
                            </w:r>
                            <w:r>
                              <w:rPr>
                                <w:rFonts w:ascii="Arial MT" w:hAnsi="Arial MT"/>
                                <w:color w:val="001F60"/>
                                <w:spacing w:val="-4"/>
                                <w:sz w:val="14"/>
                              </w:rPr>
                              <w:t xml:space="preserve"> </w:t>
                            </w:r>
                            <w:r>
                              <w:rPr>
                                <w:rFonts w:ascii="Arial MT" w:hAnsi="Arial MT"/>
                                <w:color w:val="001F60"/>
                                <w:spacing w:val="-5"/>
                                <w:sz w:val="14"/>
                              </w:rPr>
                              <w:t>de</w:t>
                            </w:r>
                          </w:p>
                        </w:tc>
                        <w:tc>
                          <w:tcPr>
                            <w:tcW w:w="684" w:type="dxa"/>
                          </w:tcPr>
                          <w:p w14:paraId="0B55558F" w14:textId="77777777" w:rsidR="002C6574" w:rsidRDefault="002C6574">
                            <w:pPr>
                              <w:pStyle w:val="TableParagraph"/>
                              <w:jc w:val="left"/>
                              <w:rPr>
                                <w:rFonts w:ascii="Times New Roman"/>
                                <w:sz w:val="12"/>
                              </w:rPr>
                            </w:pPr>
                          </w:p>
                        </w:tc>
                        <w:tc>
                          <w:tcPr>
                            <w:tcW w:w="941" w:type="dxa"/>
                            <w:gridSpan w:val="2"/>
                          </w:tcPr>
                          <w:p w14:paraId="63C013E2" w14:textId="77777777" w:rsidR="002C6574" w:rsidRDefault="002C6574">
                            <w:pPr>
                              <w:pStyle w:val="TableParagraph"/>
                              <w:jc w:val="left"/>
                              <w:rPr>
                                <w:rFonts w:ascii="Times New Roman"/>
                                <w:sz w:val="12"/>
                              </w:rPr>
                            </w:pPr>
                          </w:p>
                        </w:tc>
                        <w:tc>
                          <w:tcPr>
                            <w:tcW w:w="991" w:type="dxa"/>
                          </w:tcPr>
                          <w:p w14:paraId="5AC7A323" w14:textId="77777777" w:rsidR="002C6574" w:rsidRDefault="002C6574">
                            <w:pPr>
                              <w:pStyle w:val="TableParagraph"/>
                              <w:jc w:val="left"/>
                              <w:rPr>
                                <w:rFonts w:ascii="Times New Roman"/>
                                <w:sz w:val="12"/>
                              </w:rPr>
                            </w:pPr>
                          </w:p>
                        </w:tc>
                      </w:tr>
                      <w:tr w:rsidR="002C6574" w14:paraId="6350299C" w14:textId="77777777">
                        <w:trPr>
                          <w:trHeight w:val="355"/>
                        </w:trPr>
                        <w:tc>
                          <w:tcPr>
                            <w:tcW w:w="1674" w:type="dxa"/>
                          </w:tcPr>
                          <w:p w14:paraId="671E6EF9" w14:textId="77777777" w:rsidR="002C6574" w:rsidRDefault="00000000">
                            <w:pPr>
                              <w:pStyle w:val="TableParagraph"/>
                              <w:spacing w:line="156" w:lineRule="exact"/>
                              <w:ind w:right="133"/>
                              <w:rPr>
                                <w:rFonts w:ascii="Arial MT"/>
                                <w:sz w:val="14"/>
                              </w:rPr>
                            </w:pPr>
                            <w:r>
                              <w:rPr>
                                <w:rFonts w:ascii="Arial MT"/>
                                <w:color w:val="001F60"/>
                                <w:spacing w:val="-4"/>
                                <w:sz w:val="14"/>
                              </w:rPr>
                              <w:t>1444</w:t>
                            </w:r>
                          </w:p>
                        </w:tc>
                        <w:tc>
                          <w:tcPr>
                            <w:tcW w:w="4808" w:type="dxa"/>
                          </w:tcPr>
                          <w:p w14:paraId="159429AA" w14:textId="77777777" w:rsidR="002C6574" w:rsidRDefault="00000000">
                            <w:pPr>
                              <w:pStyle w:val="TableParagraph"/>
                              <w:ind w:left="135" w:right="462"/>
                              <w:jc w:val="left"/>
                              <w:rPr>
                                <w:rFonts w:ascii="Arial MT" w:hAnsi="Arial MT"/>
                                <w:sz w:val="14"/>
                              </w:rPr>
                            </w:pPr>
                            <w:r>
                              <w:rPr>
                                <w:rFonts w:ascii="Arial MT" w:hAnsi="Arial MT"/>
                                <w:color w:val="001F60"/>
                                <w:sz w:val="14"/>
                              </w:rPr>
                              <w:t>Títulos</w:t>
                            </w:r>
                            <w:r>
                              <w:rPr>
                                <w:rFonts w:ascii="Arial MT" w:hAnsi="Arial MT"/>
                                <w:color w:val="001F60"/>
                                <w:spacing w:val="-4"/>
                                <w:sz w:val="14"/>
                              </w:rPr>
                              <w:t xml:space="preserve"> </w:t>
                            </w:r>
                            <w:r>
                              <w:rPr>
                                <w:rFonts w:ascii="Arial MT" w:hAnsi="Arial MT"/>
                                <w:color w:val="001F60"/>
                                <w:sz w:val="14"/>
                              </w:rPr>
                              <w:t>do</w:t>
                            </w:r>
                            <w:r>
                              <w:rPr>
                                <w:rFonts w:ascii="Arial MT" w:hAnsi="Arial MT"/>
                                <w:color w:val="001F60"/>
                                <w:spacing w:val="-7"/>
                                <w:sz w:val="14"/>
                              </w:rPr>
                              <w:t xml:space="preserve"> </w:t>
                            </w:r>
                            <w:r>
                              <w:rPr>
                                <w:rFonts w:ascii="Arial MT" w:hAnsi="Arial MT"/>
                                <w:color w:val="001F60"/>
                                <w:sz w:val="14"/>
                              </w:rPr>
                              <w:t>Tesouro</w:t>
                            </w:r>
                            <w:r>
                              <w:rPr>
                                <w:rFonts w:ascii="Arial MT" w:hAnsi="Arial MT"/>
                                <w:color w:val="001F60"/>
                                <w:spacing w:val="-6"/>
                                <w:sz w:val="14"/>
                              </w:rPr>
                              <w:t xml:space="preserve"> </w:t>
                            </w:r>
                            <w:r>
                              <w:rPr>
                                <w:rFonts w:ascii="Arial MT" w:hAnsi="Arial MT"/>
                                <w:color w:val="001F60"/>
                                <w:sz w:val="14"/>
                              </w:rPr>
                              <w:t>Nacional,</w:t>
                            </w:r>
                            <w:r>
                              <w:rPr>
                                <w:rFonts w:ascii="Arial MT" w:hAnsi="Arial MT"/>
                                <w:color w:val="001F60"/>
                                <w:spacing w:val="-7"/>
                                <w:sz w:val="14"/>
                              </w:rPr>
                              <w:t xml:space="preserve"> </w:t>
                            </w:r>
                            <w:r>
                              <w:rPr>
                                <w:rFonts w:ascii="Arial MT" w:hAnsi="Arial MT"/>
                                <w:color w:val="001F60"/>
                                <w:sz w:val="14"/>
                              </w:rPr>
                              <w:t>excetuado</w:t>
                            </w:r>
                            <w:r>
                              <w:rPr>
                                <w:rFonts w:ascii="Arial MT" w:hAnsi="Arial MT"/>
                                <w:color w:val="001F60"/>
                                <w:spacing w:val="-6"/>
                                <w:sz w:val="14"/>
                              </w:rPr>
                              <w:t xml:space="preserve"> </w:t>
                            </w:r>
                            <w:r>
                              <w:rPr>
                                <w:rFonts w:ascii="Arial MT" w:hAnsi="Arial MT"/>
                                <w:color w:val="001F60"/>
                                <w:sz w:val="14"/>
                              </w:rPr>
                              <w:t>o</w:t>
                            </w:r>
                            <w:r>
                              <w:rPr>
                                <w:rFonts w:ascii="Arial MT" w:hAnsi="Arial MT"/>
                                <w:color w:val="001F60"/>
                                <w:spacing w:val="-7"/>
                                <w:sz w:val="14"/>
                              </w:rPr>
                              <w:t xml:space="preserve"> </w:t>
                            </w:r>
                            <w:r>
                              <w:rPr>
                                <w:rFonts w:ascii="Arial MT" w:hAnsi="Arial MT"/>
                                <w:color w:val="001F60"/>
                                <w:sz w:val="14"/>
                              </w:rPr>
                              <w:t>Refinanciamento</w:t>
                            </w:r>
                            <w:r>
                              <w:rPr>
                                <w:rFonts w:ascii="Arial MT" w:hAnsi="Arial MT"/>
                                <w:color w:val="001F60"/>
                                <w:spacing w:val="-5"/>
                                <w:sz w:val="14"/>
                              </w:rPr>
                              <w:t xml:space="preserve"> </w:t>
                            </w:r>
                            <w:r>
                              <w:rPr>
                                <w:rFonts w:ascii="Arial MT" w:hAnsi="Arial MT"/>
                                <w:color w:val="001F60"/>
                                <w:sz w:val="14"/>
                              </w:rPr>
                              <w:t>da</w:t>
                            </w:r>
                            <w:r>
                              <w:rPr>
                                <w:rFonts w:ascii="Arial MT" w:hAnsi="Arial MT"/>
                                <w:color w:val="001F60"/>
                                <w:spacing w:val="40"/>
                                <w:sz w:val="14"/>
                              </w:rPr>
                              <w:t xml:space="preserve"> </w:t>
                            </w:r>
                            <w:r>
                              <w:rPr>
                                <w:rFonts w:ascii="Arial MT" w:hAnsi="Arial MT"/>
                                <w:color w:val="001F60"/>
                                <w:sz w:val="14"/>
                              </w:rPr>
                              <w:t>Dívida Pública</w:t>
                            </w:r>
                          </w:p>
                        </w:tc>
                        <w:tc>
                          <w:tcPr>
                            <w:tcW w:w="684" w:type="dxa"/>
                          </w:tcPr>
                          <w:p w14:paraId="700F251D" w14:textId="77777777" w:rsidR="002C6574" w:rsidRDefault="00000000">
                            <w:pPr>
                              <w:pStyle w:val="TableParagraph"/>
                              <w:spacing w:line="156" w:lineRule="exact"/>
                              <w:ind w:right="257"/>
                              <w:rPr>
                                <w:rFonts w:ascii="Arial MT"/>
                                <w:sz w:val="14"/>
                              </w:rPr>
                            </w:pPr>
                            <w:r>
                              <w:rPr>
                                <w:rFonts w:ascii="Arial MT"/>
                                <w:color w:val="001F60"/>
                                <w:spacing w:val="-4"/>
                                <w:sz w:val="14"/>
                              </w:rPr>
                              <w:t>0,11</w:t>
                            </w:r>
                          </w:p>
                        </w:tc>
                        <w:tc>
                          <w:tcPr>
                            <w:tcW w:w="941" w:type="dxa"/>
                            <w:gridSpan w:val="2"/>
                          </w:tcPr>
                          <w:p w14:paraId="100FB8E2" w14:textId="77777777" w:rsidR="002C6574" w:rsidRDefault="00000000">
                            <w:pPr>
                              <w:pStyle w:val="TableParagraph"/>
                              <w:spacing w:line="156" w:lineRule="exact"/>
                              <w:ind w:left="528"/>
                              <w:jc w:val="left"/>
                              <w:rPr>
                                <w:rFonts w:ascii="Arial MT"/>
                                <w:sz w:val="14"/>
                              </w:rPr>
                            </w:pPr>
                            <w:r>
                              <w:rPr>
                                <w:rFonts w:ascii="Arial MT"/>
                                <w:color w:val="001F60"/>
                                <w:spacing w:val="-4"/>
                                <w:sz w:val="14"/>
                              </w:rPr>
                              <w:t>0,12</w:t>
                            </w:r>
                          </w:p>
                        </w:tc>
                        <w:tc>
                          <w:tcPr>
                            <w:tcW w:w="991" w:type="dxa"/>
                          </w:tcPr>
                          <w:p w14:paraId="46346695" w14:textId="77777777" w:rsidR="002C6574" w:rsidRDefault="00000000">
                            <w:pPr>
                              <w:pStyle w:val="TableParagraph"/>
                              <w:spacing w:line="156" w:lineRule="exact"/>
                              <w:ind w:right="68"/>
                              <w:rPr>
                                <w:rFonts w:ascii="Arial MT"/>
                                <w:sz w:val="14"/>
                              </w:rPr>
                            </w:pPr>
                            <w:r>
                              <w:rPr>
                                <w:rFonts w:ascii="Arial MT"/>
                                <w:color w:val="001F60"/>
                                <w:spacing w:val="-4"/>
                                <w:sz w:val="14"/>
                              </w:rPr>
                              <w:t>0,22</w:t>
                            </w:r>
                          </w:p>
                        </w:tc>
                      </w:tr>
                      <w:tr w:rsidR="002C6574" w14:paraId="0C5E7DA0" w14:textId="77777777">
                        <w:trPr>
                          <w:trHeight w:val="253"/>
                        </w:trPr>
                        <w:tc>
                          <w:tcPr>
                            <w:tcW w:w="1674" w:type="dxa"/>
                          </w:tcPr>
                          <w:p w14:paraId="15592A74" w14:textId="77777777" w:rsidR="002C6574" w:rsidRDefault="00000000">
                            <w:pPr>
                              <w:pStyle w:val="TableParagraph"/>
                              <w:spacing w:before="28"/>
                              <w:ind w:right="133"/>
                              <w:rPr>
                                <w:rFonts w:ascii="Arial MT"/>
                                <w:sz w:val="14"/>
                              </w:rPr>
                            </w:pPr>
                            <w:r>
                              <w:rPr>
                                <w:rFonts w:ascii="Arial MT"/>
                                <w:color w:val="001F60"/>
                                <w:spacing w:val="-4"/>
                                <w:sz w:val="14"/>
                              </w:rPr>
                              <w:t>1000</w:t>
                            </w:r>
                          </w:p>
                        </w:tc>
                        <w:tc>
                          <w:tcPr>
                            <w:tcW w:w="4808" w:type="dxa"/>
                          </w:tcPr>
                          <w:p w14:paraId="18BE6362" w14:textId="77777777" w:rsidR="002C6574" w:rsidRDefault="00000000">
                            <w:pPr>
                              <w:pStyle w:val="TableParagraph"/>
                              <w:spacing w:before="28"/>
                              <w:ind w:left="135"/>
                              <w:jc w:val="left"/>
                              <w:rPr>
                                <w:rFonts w:ascii="Arial MT"/>
                                <w:sz w:val="14"/>
                              </w:rPr>
                            </w:pPr>
                            <w:r>
                              <w:rPr>
                                <w:rFonts w:ascii="Arial MT"/>
                                <w:color w:val="001F60"/>
                                <w:sz w:val="14"/>
                              </w:rPr>
                              <w:t>Recursos</w:t>
                            </w:r>
                            <w:r>
                              <w:rPr>
                                <w:rFonts w:ascii="Arial MT"/>
                                <w:color w:val="001F60"/>
                                <w:spacing w:val="-4"/>
                                <w:sz w:val="14"/>
                              </w:rPr>
                              <w:t xml:space="preserve"> </w:t>
                            </w:r>
                            <w:r>
                              <w:rPr>
                                <w:rFonts w:ascii="Arial MT"/>
                                <w:color w:val="001F60"/>
                                <w:sz w:val="14"/>
                              </w:rPr>
                              <w:t>Livres</w:t>
                            </w:r>
                            <w:r>
                              <w:rPr>
                                <w:rFonts w:ascii="Arial MT"/>
                                <w:color w:val="001F60"/>
                                <w:spacing w:val="-3"/>
                                <w:sz w:val="14"/>
                              </w:rPr>
                              <w:t xml:space="preserve"> </w:t>
                            </w:r>
                            <w:r>
                              <w:rPr>
                                <w:rFonts w:ascii="Arial MT"/>
                                <w:color w:val="001F60"/>
                                <w:sz w:val="14"/>
                              </w:rPr>
                              <w:t>da</w:t>
                            </w:r>
                            <w:r>
                              <w:rPr>
                                <w:rFonts w:ascii="Arial MT"/>
                                <w:color w:val="001F60"/>
                                <w:spacing w:val="-4"/>
                                <w:sz w:val="14"/>
                              </w:rPr>
                              <w:t xml:space="preserve"> Uniao</w:t>
                            </w:r>
                          </w:p>
                        </w:tc>
                        <w:tc>
                          <w:tcPr>
                            <w:tcW w:w="684" w:type="dxa"/>
                          </w:tcPr>
                          <w:p w14:paraId="5AF765C4" w14:textId="77777777" w:rsidR="002C6574" w:rsidRDefault="00000000">
                            <w:pPr>
                              <w:pStyle w:val="TableParagraph"/>
                              <w:spacing w:before="28"/>
                              <w:ind w:right="256"/>
                              <w:rPr>
                                <w:rFonts w:ascii="Arial MT"/>
                                <w:sz w:val="14"/>
                              </w:rPr>
                            </w:pPr>
                            <w:r>
                              <w:rPr>
                                <w:rFonts w:ascii="Arial MT"/>
                                <w:color w:val="001F60"/>
                                <w:spacing w:val="-2"/>
                                <w:sz w:val="14"/>
                              </w:rPr>
                              <w:t>67,13</w:t>
                            </w:r>
                          </w:p>
                        </w:tc>
                        <w:tc>
                          <w:tcPr>
                            <w:tcW w:w="941" w:type="dxa"/>
                            <w:gridSpan w:val="2"/>
                          </w:tcPr>
                          <w:p w14:paraId="6007EEC3" w14:textId="77777777" w:rsidR="002C6574" w:rsidRDefault="00000000">
                            <w:pPr>
                              <w:pStyle w:val="TableParagraph"/>
                              <w:spacing w:before="28"/>
                              <w:ind w:left="528"/>
                              <w:jc w:val="left"/>
                              <w:rPr>
                                <w:rFonts w:ascii="Arial MT"/>
                                <w:sz w:val="14"/>
                              </w:rPr>
                            </w:pPr>
                            <w:r>
                              <w:rPr>
                                <w:rFonts w:ascii="Arial MT"/>
                                <w:color w:val="001F60"/>
                                <w:spacing w:val="-4"/>
                                <w:sz w:val="14"/>
                              </w:rPr>
                              <w:t>4,29</w:t>
                            </w:r>
                          </w:p>
                        </w:tc>
                        <w:tc>
                          <w:tcPr>
                            <w:tcW w:w="991" w:type="dxa"/>
                          </w:tcPr>
                          <w:p w14:paraId="2B5F9186" w14:textId="77777777" w:rsidR="002C6574" w:rsidRDefault="00000000">
                            <w:pPr>
                              <w:pStyle w:val="TableParagraph"/>
                              <w:spacing w:before="28"/>
                              <w:ind w:right="68"/>
                              <w:rPr>
                                <w:rFonts w:ascii="Arial MT"/>
                                <w:sz w:val="14"/>
                              </w:rPr>
                            </w:pPr>
                            <w:r>
                              <w:rPr>
                                <w:rFonts w:ascii="Arial MT"/>
                                <w:color w:val="001F60"/>
                                <w:spacing w:val="-2"/>
                                <w:sz w:val="14"/>
                              </w:rPr>
                              <w:t>71,42</w:t>
                            </w:r>
                          </w:p>
                        </w:tc>
                      </w:tr>
                      <w:tr w:rsidR="002C6574" w14:paraId="322DCA9B" w14:textId="77777777">
                        <w:trPr>
                          <w:trHeight w:val="219"/>
                        </w:trPr>
                        <w:tc>
                          <w:tcPr>
                            <w:tcW w:w="1674" w:type="dxa"/>
                          </w:tcPr>
                          <w:p w14:paraId="20062297" w14:textId="77777777" w:rsidR="002C6574" w:rsidRDefault="00000000">
                            <w:pPr>
                              <w:pStyle w:val="TableParagraph"/>
                              <w:spacing w:before="58" w:line="141" w:lineRule="exact"/>
                              <w:ind w:right="133"/>
                              <w:rPr>
                                <w:rFonts w:ascii="Arial MT"/>
                                <w:sz w:val="14"/>
                              </w:rPr>
                            </w:pPr>
                            <w:r>
                              <w:rPr>
                                <w:rFonts w:ascii="Arial MT"/>
                                <w:color w:val="001F60"/>
                                <w:spacing w:val="-4"/>
                                <w:sz w:val="14"/>
                              </w:rPr>
                              <w:t>1050</w:t>
                            </w:r>
                          </w:p>
                        </w:tc>
                        <w:tc>
                          <w:tcPr>
                            <w:tcW w:w="4808" w:type="dxa"/>
                          </w:tcPr>
                          <w:p w14:paraId="2669CEED" w14:textId="77777777" w:rsidR="002C6574" w:rsidRDefault="00000000">
                            <w:pPr>
                              <w:pStyle w:val="TableParagraph"/>
                              <w:spacing w:before="58" w:line="141" w:lineRule="exact"/>
                              <w:ind w:left="135"/>
                              <w:jc w:val="left"/>
                              <w:rPr>
                                <w:rFonts w:ascii="Arial MT"/>
                                <w:sz w:val="14"/>
                              </w:rPr>
                            </w:pPr>
                            <w:r>
                              <w:rPr>
                                <w:rFonts w:ascii="Arial MT"/>
                                <w:color w:val="001F60"/>
                                <w:sz w:val="14"/>
                              </w:rPr>
                              <w:t>Recursos</w:t>
                            </w:r>
                            <w:r>
                              <w:rPr>
                                <w:rFonts w:ascii="Arial MT"/>
                                <w:color w:val="001F60"/>
                                <w:spacing w:val="-3"/>
                                <w:sz w:val="14"/>
                              </w:rPr>
                              <w:t xml:space="preserve"> </w:t>
                            </w:r>
                            <w:r>
                              <w:rPr>
                                <w:rFonts w:ascii="Arial MT"/>
                                <w:color w:val="001F60"/>
                                <w:sz w:val="14"/>
                              </w:rPr>
                              <w:t>Proprios</w:t>
                            </w:r>
                            <w:r>
                              <w:rPr>
                                <w:rFonts w:ascii="Arial MT"/>
                                <w:color w:val="001F60"/>
                                <w:spacing w:val="-5"/>
                                <w:sz w:val="14"/>
                              </w:rPr>
                              <w:t xml:space="preserve"> </w:t>
                            </w:r>
                            <w:r>
                              <w:rPr>
                                <w:rFonts w:ascii="Arial MT"/>
                                <w:color w:val="001F60"/>
                                <w:sz w:val="14"/>
                              </w:rPr>
                              <w:t>Livres</w:t>
                            </w:r>
                            <w:r>
                              <w:rPr>
                                <w:rFonts w:ascii="Arial MT"/>
                                <w:color w:val="001F60"/>
                                <w:spacing w:val="-5"/>
                                <w:sz w:val="14"/>
                              </w:rPr>
                              <w:t xml:space="preserve"> </w:t>
                            </w:r>
                            <w:r>
                              <w:rPr>
                                <w:rFonts w:ascii="Arial MT"/>
                                <w:color w:val="001F60"/>
                                <w:sz w:val="14"/>
                              </w:rPr>
                              <w:t>da</w:t>
                            </w:r>
                            <w:r>
                              <w:rPr>
                                <w:rFonts w:ascii="Arial MT"/>
                                <w:color w:val="001F60"/>
                                <w:spacing w:val="-6"/>
                                <w:sz w:val="14"/>
                              </w:rPr>
                              <w:t xml:space="preserve"> </w:t>
                            </w:r>
                            <w:r>
                              <w:rPr>
                                <w:rFonts w:ascii="Arial MT"/>
                                <w:color w:val="001F60"/>
                                <w:spacing w:val="-5"/>
                                <w:sz w:val="14"/>
                              </w:rPr>
                              <w:t>Uo</w:t>
                            </w:r>
                          </w:p>
                        </w:tc>
                        <w:tc>
                          <w:tcPr>
                            <w:tcW w:w="684" w:type="dxa"/>
                          </w:tcPr>
                          <w:p w14:paraId="44342C4B" w14:textId="77777777" w:rsidR="002C6574" w:rsidRDefault="00000000">
                            <w:pPr>
                              <w:pStyle w:val="TableParagraph"/>
                              <w:spacing w:before="58" w:line="141" w:lineRule="exact"/>
                              <w:ind w:right="254"/>
                              <w:rPr>
                                <w:rFonts w:ascii="Arial MT"/>
                                <w:sz w:val="14"/>
                              </w:rPr>
                            </w:pPr>
                            <w:r>
                              <w:rPr>
                                <w:rFonts w:ascii="Arial MT"/>
                                <w:color w:val="001F60"/>
                                <w:spacing w:val="-10"/>
                                <w:sz w:val="14"/>
                              </w:rPr>
                              <w:t>-</w:t>
                            </w:r>
                          </w:p>
                        </w:tc>
                        <w:tc>
                          <w:tcPr>
                            <w:tcW w:w="941" w:type="dxa"/>
                            <w:gridSpan w:val="2"/>
                          </w:tcPr>
                          <w:p w14:paraId="20941D0E" w14:textId="77777777" w:rsidR="002C6574" w:rsidRDefault="00000000">
                            <w:pPr>
                              <w:pStyle w:val="TableParagraph"/>
                              <w:spacing w:before="58" w:line="141" w:lineRule="exact"/>
                              <w:ind w:left="528"/>
                              <w:jc w:val="left"/>
                              <w:rPr>
                                <w:rFonts w:ascii="Arial MT"/>
                                <w:sz w:val="14"/>
                              </w:rPr>
                            </w:pPr>
                            <w:r>
                              <w:rPr>
                                <w:rFonts w:ascii="Arial MT"/>
                                <w:color w:val="001F60"/>
                                <w:spacing w:val="-4"/>
                                <w:sz w:val="14"/>
                              </w:rPr>
                              <w:t>8,76</w:t>
                            </w:r>
                          </w:p>
                        </w:tc>
                        <w:tc>
                          <w:tcPr>
                            <w:tcW w:w="991" w:type="dxa"/>
                          </w:tcPr>
                          <w:p w14:paraId="6D2B5376" w14:textId="77777777" w:rsidR="002C6574" w:rsidRDefault="00000000">
                            <w:pPr>
                              <w:pStyle w:val="TableParagraph"/>
                              <w:spacing w:before="58" w:line="141" w:lineRule="exact"/>
                              <w:ind w:right="68"/>
                              <w:rPr>
                                <w:rFonts w:ascii="Arial MT"/>
                                <w:sz w:val="14"/>
                              </w:rPr>
                            </w:pPr>
                            <w:r>
                              <w:rPr>
                                <w:rFonts w:ascii="Arial MT"/>
                                <w:color w:val="001F60"/>
                                <w:spacing w:val="-4"/>
                                <w:sz w:val="14"/>
                              </w:rPr>
                              <w:t>8,76</w:t>
                            </w:r>
                          </w:p>
                        </w:tc>
                      </w:tr>
                      <w:tr w:rsidR="002C6574" w14:paraId="14993A58" w14:textId="77777777">
                        <w:trPr>
                          <w:trHeight w:val="380"/>
                        </w:trPr>
                        <w:tc>
                          <w:tcPr>
                            <w:tcW w:w="7166" w:type="dxa"/>
                            <w:gridSpan w:val="3"/>
                            <w:tcBorders>
                              <w:bottom w:val="dotted" w:sz="4" w:space="0" w:color="001F60"/>
                            </w:tcBorders>
                          </w:tcPr>
                          <w:p w14:paraId="21C27626" w14:textId="77777777" w:rsidR="002C6574" w:rsidRDefault="00000000">
                            <w:pPr>
                              <w:pStyle w:val="TableParagraph"/>
                              <w:tabs>
                                <w:tab w:val="left" w:pos="1809"/>
                                <w:tab w:val="left" w:pos="6559"/>
                              </w:tabs>
                              <w:spacing w:before="60"/>
                              <w:ind w:left="1228"/>
                              <w:jc w:val="left"/>
                              <w:rPr>
                                <w:rFonts w:ascii="Arial MT" w:hAnsi="Arial MT"/>
                                <w:position w:val="-7"/>
                                <w:sz w:val="14"/>
                              </w:rPr>
                            </w:pPr>
                            <w:r>
                              <w:rPr>
                                <w:rFonts w:ascii="Arial MT" w:hAnsi="Arial MT"/>
                                <w:color w:val="001F60"/>
                                <w:spacing w:val="-4"/>
                                <w:position w:val="-7"/>
                                <w:sz w:val="14"/>
                              </w:rPr>
                              <w:t>1120</w:t>
                            </w:r>
                            <w:r>
                              <w:rPr>
                                <w:rFonts w:ascii="Arial MT" w:hAnsi="Arial MT"/>
                                <w:color w:val="001F60"/>
                                <w:position w:val="-7"/>
                                <w:sz w:val="14"/>
                              </w:rPr>
                              <w:tab/>
                            </w:r>
                            <w:r>
                              <w:rPr>
                                <w:rFonts w:ascii="Arial MT" w:hAnsi="Arial MT"/>
                                <w:color w:val="001F60"/>
                                <w:sz w:val="14"/>
                              </w:rPr>
                              <w:t>Recursos</w:t>
                            </w:r>
                            <w:r>
                              <w:rPr>
                                <w:rFonts w:ascii="Arial MT" w:hAnsi="Arial MT"/>
                                <w:color w:val="001F60"/>
                                <w:spacing w:val="-2"/>
                                <w:sz w:val="14"/>
                              </w:rPr>
                              <w:t xml:space="preserve"> </w:t>
                            </w:r>
                            <w:r>
                              <w:rPr>
                                <w:rFonts w:ascii="Arial MT" w:hAnsi="Arial MT"/>
                                <w:color w:val="001F60"/>
                                <w:sz w:val="14"/>
                              </w:rPr>
                              <w:t>do</w:t>
                            </w:r>
                            <w:r>
                              <w:rPr>
                                <w:rFonts w:ascii="Arial MT" w:hAnsi="Arial MT"/>
                                <w:color w:val="001F60"/>
                                <w:spacing w:val="-1"/>
                                <w:sz w:val="14"/>
                              </w:rPr>
                              <w:t xml:space="preserve"> </w:t>
                            </w:r>
                            <w:r>
                              <w:rPr>
                                <w:rFonts w:ascii="Arial MT" w:hAnsi="Arial MT"/>
                                <w:color w:val="001F60"/>
                                <w:sz w:val="14"/>
                              </w:rPr>
                              <w:t>FISTEL</w:t>
                            </w:r>
                            <w:r>
                              <w:rPr>
                                <w:rFonts w:ascii="Arial MT" w:hAnsi="Arial MT"/>
                                <w:color w:val="001F60"/>
                                <w:spacing w:val="-4"/>
                                <w:sz w:val="14"/>
                              </w:rPr>
                              <w:t xml:space="preserve"> </w:t>
                            </w:r>
                            <w:r>
                              <w:rPr>
                                <w:rFonts w:ascii="Arial MT" w:hAnsi="Arial MT"/>
                                <w:color w:val="001F60"/>
                                <w:sz w:val="14"/>
                              </w:rPr>
                              <w:t>de</w:t>
                            </w:r>
                            <w:r>
                              <w:rPr>
                                <w:rFonts w:ascii="Arial MT" w:hAnsi="Arial MT"/>
                                <w:color w:val="001F60"/>
                                <w:spacing w:val="-4"/>
                                <w:sz w:val="14"/>
                              </w:rPr>
                              <w:t xml:space="preserve"> </w:t>
                            </w:r>
                            <w:r>
                              <w:rPr>
                                <w:rFonts w:ascii="Arial MT" w:hAnsi="Arial MT"/>
                                <w:color w:val="001F60"/>
                                <w:sz w:val="14"/>
                              </w:rPr>
                              <w:t>Livre</w:t>
                            </w:r>
                            <w:r>
                              <w:rPr>
                                <w:rFonts w:ascii="Arial MT" w:hAnsi="Arial MT"/>
                                <w:color w:val="001F60"/>
                                <w:spacing w:val="-5"/>
                                <w:sz w:val="14"/>
                              </w:rPr>
                              <w:t xml:space="preserve"> </w:t>
                            </w:r>
                            <w:r>
                              <w:rPr>
                                <w:rFonts w:ascii="Arial MT" w:hAnsi="Arial MT"/>
                                <w:color w:val="001F60"/>
                                <w:sz w:val="14"/>
                              </w:rPr>
                              <w:t>Aplicação</w:t>
                            </w:r>
                            <w:r>
                              <w:rPr>
                                <w:rFonts w:ascii="Arial MT" w:hAnsi="Arial MT"/>
                                <w:color w:val="001F60"/>
                                <w:spacing w:val="-3"/>
                                <w:sz w:val="14"/>
                              </w:rPr>
                              <w:t xml:space="preserve"> </w:t>
                            </w:r>
                            <w:r>
                              <w:rPr>
                                <w:rFonts w:ascii="Arial MT" w:hAnsi="Arial MT"/>
                                <w:color w:val="001F60"/>
                                <w:sz w:val="14"/>
                              </w:rPr>
                              <w:t>na</w:t>
                            </w:r>
                            <w:r>
                              <w:rPr>
                                <w:rFonts w:ascii="Arial MT" w:hAnsi="Arial MT"/>
                                <w:color w:val="001F60"/>
                                <w:spacing w:val="-5"/>
                                <w:sz w:val="14"/>
                              </w:rPr>
                              <w:t xml:space="preserve"> </w:t>
                            </w:r>
                            <w:r>
                              <w:rPr>
                                <w:rFonts w:ascii="Arial MT" w:hAnsi="Arial MT"/>
                                <w:color w:val="001F60"/>
                                <w:sz w:val="14"/>
                              </w:rPr>
                              <w:t>ANATEL</w:t>
                            </w:r>
                            <w:r>
                              <w:rPr>
                                <w:rFonts w:ascii="Arial MT" w:hAnsi="Arial MT"/>
                                <w:color w:val="001F60"/>
                                <w:spacing w:val="-5"/>
                                <w:sz w:val="14"/>
                              </w:rPr>
                              <w:t xml:space="preserve"> </w:t>
                            </w:r>
                            <w:r>
                              <w:rPr>
                                <w:rFonts w:ascii="Arial MT" w:hAnsi="Arial MT"/>
                                <w:color w:val="001F60"/>
                                <w:sz w:val="14"/>
                              </w:rPr>
                              <w:t>e</w:t>
                            </w:r>
                            <w:r>
                              <w:rPr>
                                <w:rFonts w:ascii="Arial MT" w:hAnsi="Arial MT"/>
                                <w:color w:val="001F60"/>
                                <w:spacing w:val="-1"/>
                                <w:sz w:val="14"/>
                              </w:rPr>
                              <w:t xml:space="preserve"> </w:t>
                            </w:r>
                            <w:r>
                              <w:rPr>
                                <w:rFonts w:ascii="Arial MT" w:hAnsi="Arial MT"/>
                                <w:color w:val="001F60"/>
                                <w:spacing w:val="-5"/>
                                <w:sz w:val="14"/>
                              </w:rPr>
                              <w:t>no</w:t>
                            </w:r>
                            <w:r>
                              <w:rPr>
                                <w:rFonts w:ascii="Arial MT" w:hAnsi="Arial MT"/>
                                <w:color w:val="001F60"/>
                                <w:sz w:val="14"/>
                              </w:rPr>
                              <w:tab/>
                            </w:r>
                            <w:r>
                              <w:rPr>
                                <w:rFonts w:ascii="Arial MT" w:hAnsi="Arial MT"/>
                                <w:color w:val="001F60"/>
                                <w:spacing w:val="-2"/>
                                <w:position w:val="-7"/>
                                <w:sz w:val="14"/>
                              </w:rPr>
                              <w:t>41,45</w:t>
                            </w:r>
                          </w:p>
                        </w:tc>
                        <w:tc>
                          <w:tcPr>
                            <w:tcW w:w="941" w:type="dxa"/>
                            <w:gridSpan w:val="2"/>
                            <w:tcBorders>
                              <w:bottom w:val="dotted" w:sz="4" w:space="0" w:color="001F60"/>
                            </w:tcBorders>
                          </w:tcPr>
                          <w:p w14:paraId="3C3B617A" w14:textId="77777777" w:rsidR="002C6574" w:rsidRDefault="00000000">
                            <w:pPr>
                              <w:pStyle w:val="TableParagraph"/>
                              <w:spacing w:before="141"/>
                              <w:ind w:right="136"/>
                              <w:rPr>
                                <w:rFonts w:ascii="Arial MT"/>
                                <w:sz w:val="14"/>
                              </w:rPr>
                            </w:pPr>
                            <w:r>
                              <w:rPr>
                                <w:rFonts w:ascii="Arial MT"/>
                                <w:color w:val="001F60"/>
                                <w:spacing w:val="-10"/>
                                <w:sz w:val="14"/>
                              </w:rPr>
                              <w:t>-</w:t>
                            </w:r>
                          </w:p>
                        </w:tc>
                        <w:tc>
                          <w:tcPr>
                            <w:tcW w:w="991" w:type="dxa"/>
                            <w:tcBorders>
                              <w:bottom w:val="dotted" w:sz="4" w:space="0" w:color="001F60"/>
                            </w:tcBorders>
                          </w:tcPr>
                          <w:p w14:paraId="4D175EB6" w14:textId="77777777" w:rsidR="002C6574" w:rsidRDefault="00000000">
                            <w:pPr>
                              <w:pStyle w:val="TableParagraph"/>
                              <w:spacing w:before="141"/>
                              <w:ind w:right="68"/>
                              <w:rPr>
                                <w:rFonts w:ascii="Arial MT"/>
                                <w:sz w:val="14"/>
                              </w:rPr>
                            </w:pPr>
                            <w:r>
                              <w:rPr>
                                <w:rFonts w:ascii="Arial MT"/>
                                <w:color w:val="001F60"/>
                                <w:spacing w:val="-2"/>
                                <w:sz w:val="14"/>
                              </w:rPr>
                              <w:t>41,45</w:t>
                            </w:r>
                          </w:p>
                        </w:tc>
                      </w:tr>
                      <w:tr w:rsidR="002C6574" w14:paraId="6A3D2252" w14:textId="77777777">
                        <w:trPr>
                          <w:trHeight w:val="282"/>
                        </w:trPr>
                        <w:tc>
                          <w:tcPr>
                            <w:tcW w:w="6482" w:type="dxa"/>
                            <w:gridSpan w:val="2"/>
                            <w:tcBorders>
                              <w:bottom w:val="dotted" w:sz="4" w:space="0" w:color="001F60"/>
                            </w:tcBorders>
                          </w:tcPr>
                          <w:p w14:paraId="55600DB8" w14:textId="77777777" w:rsidR="002C6574" w:rsidRDefault="00000000">
                            <w:pPr>
                              <w:pStyle w:val="TableParagraph"/>
                              <w:spacing w:before="58"/>
                              <w:ind w:left="69"/>
                              <w:jc w:val="left"/>
                              <w:rPr>
                                <w:rFonts w:ascii="Arial MT" w:hAnsi="Arial MT"/>
                                <w:sz w:val="14"/>
                              </w:rPr>
                            </w:pPr>
                            <w:r>
                              <w:rPr>
                                <w:rFonts w:ascii="Arial MT" w:hAnsi="Arial MT"/>
                                <w:color w:val="001F60"/>
                                <w:sz w:val="14"/>
                              </w:rPr>
                              <w:t>Despesas</w:t>
                            </w:r>
                            <w:r>
                              <w:rPr>
                                <w:rFonts w:ascii="Arial MT" w:hAnsi="Arial MT"/>
                                <w:color w:val="001F60"/>
                                <w:spacing w:val="-5"/>
                                <w:sz w:val="14"/>
                              </w:rPr>
                              <w:t xml:space="preserve"> </w:t>
                            </w:r>
                            <w:r>
                              <w:rPr>
                                <w:rFonts w:ascii="Arial MT" w:hAnsi="Arial MT"/>
                                <w:color w:val="001F60"/>
                                <w:sz w:val="14"/>
                              </w:rPr>
                              <w:t>Discricionárias</w:t>
                            </w:r>
                            <w:r>
                              <w:rPr>
                                <w:rFonts w:ascii="Arial MT" w:hAnsi="Arial MT"/>
                                <w:color w:val="001F60"/>
                                <w:spacing w:val="-4"/>
                                <w:sz w:val="14"/>
                              </w:rPr>
                              <w:t xml:space="preserve"> </w:t>
                            </w:r>
                            <w:r>
                              <w:rPr>
                                <w:rFonts w:ascii="Arial MT" w:hAnsi="Arial MT"/>
                                <w:color w:val="001F60"/>
                                <w:sz w:val="14"/>
                              </w:rPr>
                              <w:t>(RP</w:t>
                            </w:r>
                            <w:r>
                              <w:rPr>
                                <w:rFonts w:ascii="Arial MT" w:hAnsi="Arial MT"/>
                                <w:color w:val="001F60"/>
                                <w:spacing w:val="-6"/>
                                <w:sz w:val="14"/>
                              </w:rPr>
                              <w:t xml:space="preserve"> </w:t>
                            </w:r>
                            <w:r>
                              <w:rPr>
                                <w:rFonts w:ascii="Arial MT" w:hAnsi="Arial MT"/>
                                <w:color w:val="001F60"/>
                                <w:spacing w:val="-5"/>
                                <w:sz w:val="14"/>
                              </w:rPr>
                              <w:t>2)</w:t>
                            </w:r>
                          </w:p>
                        </w:tc>
                        <w:tc>
                          <w:tcPr>
                            <w:tcW w:w="684" w:type="dxa"/>
                            <w:tcBorders>
                              <w:bottom w:val="dotted" w:sz="4" w:space="0" w:color="001F60"/>
                            </w:tcBorders>
                          </w:tcPr>
                          <w:p w14:paraId="60FB3E2F" w14:textId="77777777" w:rsidR="002C6574" w:rsidRDefault="00000000">
                            <w:pPr>
                              <w:pStyle w:val="TableParagraph"/>
                              <w:spacing w:before="58"/>
                              <w:ind w:right="256"/>
                              <w:rPr>
                                <w:rFonts w:ascii="Arial MT"/>
                                <w:sz w:val="14"/>
                              </w:rPr>
                            </w:pPr>
                            <w:r>
                              <w:rPr>
                                <w:rFonts w:ascii="Arial MT"/>
                                <w:color w:val="001F60"/>
                                <w:spacing w:val="-2"/>
                                <w:sz w:val="14"/>
                              </w:rPr>
                              <w:t>141,42</w:t>
                            </w:r>
                          </w:p>
                        </w:tc>
                        <w:tc>
                          <w:tcPr>
                            <w:tcW w:w="941" w:type="dxa"/>
                            <w:gridSpan w:val="2"/>
                            <w:tcBorders>
                              <w:bottom w:val="dotted" w:sz="4" w:space="0" w:color="001F60"/>
                            </w:tcBorders>
                          </w:tcPr>
                          <w:p w14:paraId="218D71F5" w14:textId="77777777" w:rsidR="002C6574" w:rsidRDefault="00000000">
                            <w:pPr>
                              <w:pStyle w:val="TableParagraph"/>
                              <w:spacing w:before="58"/>
                              <w:ind w:left="451"/>
                              <w:jc w:val="left"/>
                              <w:rPr>
                                <w:rFonts w:ascii="Arial MT"/>
                                <w:sz w:val="14"/>
                              </w:rPr>
                            </w:pPr>
                            <w:r>
                              <w:rPr>
                                <w:rFonts w:ascii="Arial MT"/>
                                <w:color w:val="001F60"/>
                                <w:spacing w:val="-2"/>
                                <w:sz w:val="14"/>
                              </w:rPr>
                              <w:t>32,08</w:t>
                            </w:r>
                          </w:p>
                        </w:tc>
                        <w:tc>
                          <w:tcPr>
                            <w:tcW w:w="991" w:type="dxa"/>
                            <w:tcBorders>
                              <w:bottom w:val="dotted" w:sz="4" w:space="0" w:color="001F60"/>
                            </w:tcBorders>
                          </w:tcPr>
                          <w:p w14:paraId="4A599886" w14:textId="77777777" w:rsidR="002C6574" w:rsidRDefault="00000000">
                            <w:pPr>
                              <w:pStyle w:val="TableParagraph"/>
                              <w:spacing w:before="58"/>
                              <w:ind w:right="69"/>
                              <w:rPr>
                                <w:rFonts w:ascii="Arial MT"/>
                                <w:sz w:val="14"/>
                              </w:rPr>
                            </w:pPr>
                            <w:r>
                              <w:rPr>
                                <w:rFonts w:ascii="Arial MT"/>
                                <w:color w:val="001F60"/>
                                <w:spacing w:val="-2"/>
                                <w:sz w:val="14"/>
                              </w:rPr>
                              <w:t>173,50</w:t>
                            </w:r>
                          </w:p>
                        </w:tc>
                      </w:tr>
                      <w:tr w:rsidR="002C6574" w14:paraId="3D49A773" w14:textId="77777777">
                        <w:trPr>
                          <w:trHeight w:val="223"/>
                        </w:trPr>
                        <w:tc>
                          <w:tcPr>
                            <w:tcW w:w="6482" w:type="dxa"/>
                            <w:gridSpan w:val="2"/>
                            <w:tcBorders>
                              <w:top w:val="dotted" w:sz="4" w:space="0" w:color="001F60"/>
                            </w:tcBorders>
                          </w:tcPr>
                          <w:p w14:paraId="465A953B" w14:textId="77777777" w:rsidR="002C6574" w:rsidRDefault="00000000">
                            <w:pPr>
                              <w:pStyle w:val="TableParagraph"/>
                              <w:spacing w:before="63" w:line="141" w:lineRule="exact"/>
                              <w:ind w:left="650"/>
                              <w:jc w:val="left"/>
                              <w:rPr>
                                <w:rFonts w:ascii="Arial"/>
                                <w:b/>
                                <w:sz w:val="14"/>
                              </w:rPr>
                            </w:pPr>
                            <w:r>
                              <w:rPr>
                                <w:rFonts w:ascii="Arial"/>
                                <w:b/>
                                <w:color w:val="001F60"/>
                                <w:sz w:val="14"/>
                              </w:rPr>
                              <w:t>4</w:t>
                            </w:r>
                            <w:r>
                              <w:rPr>
                                <w:rFonts w:ascii="Arial"/>
                                <w:b/>
                                <w:color w:val="001F60"/>
                                <w:spacing w:val="-5"/>
                                <w:sz w:val="14"/>
                              </w:rPr>
                              <w:t xml:space="preserve"> </w:t>
                            </w:r>
                            <w:r>
                              <w:rPr>
                                <w:rFonts w:ascii="Arial"/>
                                <w:b/>
                                <w:color w:val="001F60"/>
                                <w:sz w:val="14"/>
                              </w:rPr>
                              <w:t>-</w:t>
                            </w:r>
                            <w:r>
                              <w:rPr>
                                <w:rFonts w:ascii="Arial"/>
                                <w:b/>
                                <w:color w:val="001F60"/>
                                <w:spacing w:val="-4"/>
                                <w:sz w:val="14"/>
                              </w:rPr>
                              <w:t xml:space="preserve"> </w:t>
                            </w:r>
                            <w:r>
                              <w:rPr>
                                <w:rFonts w:ascii="Arial"/>
                                <w:b/>
                                <w:color w:val="001F60"/>
                                <w:sz w:val="14"/>
                              </w:rPr>
                              <w:t>Despesas de</w:t>
                            </w:r>
                            <w:r>
                              <w:rPr>
                                <w:rFonts w:ascii="Arial"/>
                                <w:b/>
                                <w:color w:val="001F60"/>
                                <w:spacing w:val="-4"/>
                                <w:sz w:val="14"/>
                              </w:rPr>
                              <w:t xml:space="preserve"> </w:t>
                            </w:r>
                            <w:r>
                              <w:rPr>
                                <w:rFonts w:ascii="Arial"/>
                                <w:b/>
                                <w:color w:val="001F60"/>
                                <w:spacing w:val="-2"/>
                                <w:sz w:val="14"/>
                              </w:rPr>
                              <w:t>Capital</w:t>
                            </w:r>
                          </w:p>
                        </w:tc>
                        <w:tc>
                          <w:tcPr>
                            <w:tcW w:w="684" w:type="dxa"/>
                            <w:tcBorders>
                              <w:top w:val="dotted" w:sz="4" w:space="0" w:color="001F60"/>
                            </w:tcBorders>
                          </w:tcPr>
                          <w:p w14:paraId="1C1BD26D" w14:textId="77777777" w:rsidR="002C6574" w:rsidRDefault="00000000">
                            <w:pPr>
                              <w:pStyle w:val="TableParagraph"/>
                              <w:spacing w:before="63" w:line="141" w:lineRule="exact"/>
                              <w:ind w:right="255"/>
                              <w:rPr>
                                <w:rFonts w:ascii="Arial"/>
                                <w:b/>
                                <w:sz w:val="14"/>
                              </w:rPr>
                            </w:pPr>
                            <w:r>
                              <w:rPr>
                                <w:rFonts w:ascii="Arial"/>
                                <w:b/>
                                <w:color w:val="001F60"/>
                                <w:spacing w:val="-4"/>
                                <w:sz w:val="14"/>
                              </w:rPr>
                              <w:t>1,04</w:t>
                            </w:r>
                          </w:p>
                        </w:tc>
                        <w:tc>
                          <w:tcPr>
                            <w:tcW w:w="941" w:type="dxa"/>
                            <w:gridSpan w:val="2"/>
                            <w:tcBorders>
                              <w:top w:val="dotted" w:sz="4" w:space="0" w:color="001F60"/>
                            </w:tcBorders>
                          </w:tcPr>
                          <w:p w14:paraId="726458D7" w14:textId="77777777" w:rsidR="002C6574" w:rsidRDefault="00000000">
                            <w:pPr>
                              <w:pStyle w:val="TableParagraph"/>
                              <w:spacing w:before="63" w:line="141" w:lineRule="exact"/>
                              <w:ind w:left="528"/>
                              <w:jc w:val="left"/>
                              <w:rPr>
                                <w:rFonts w:ascii="Arial"/>
                                <w:b/>
                                <w:sz w:val="14"/>
                              </w:rPr>
                            </w:pPr>
                            <w:r>
                              <w:rPr>
                                <w:rFonts w:ascii="Arial"/>
                                <w:b/>
                                <w:color w:val="001F60"/>
                                <w:spacing w:val="-4"/>
                                <w:sz w:val="14"/>
                              </w:rPr>
                              <w:t>8,55</w:t>
                            </w:r>
                          </w:p>
                        </w:tc>
                        <w:tc>
                          <w:tcPr>
                            <w:tcW w:w="991" w:type="dxa"/>
                            <w:tcBorders>
                              <w:top w:val="dotted" w:sz="4" w:space="0" w:color="001F60"/>
                            </w:tcBorders>
                          </w:tcPr>
                          <w:p w14:paraId="0EB1279F" w14:textId="77777777" w:rsidR="002C6574" w:rsidRDefault="00000000">
                            <w:pPr>
                              <w:pStyle w:val="TableParagraph"/>
                              <w:spacing w:before="63" w:line="141" w:lineRule="exact"/>
                              <w:ind w:right="68"/>
                              <w:rPr>
                                <w:rFonts w:ascii="Arial"/>
                                <w:b/>
                                <w:sz w:val="14"/>
                              </w:rPr>
                            </w:pPr>
                            <w:r>
                              <w:rPr>
                                <w:rFonts w:ascii="Arial"/>
                                <w:b/>
                                <w:color w:val="001F60"/>
                                <w:spacing w:val="-4"/>
                                <w:sz w:val="14"/>
                              </w:rPr>
                              <w:t>9,59</w:t>
                            </w:r>
                          </w:p>
                        </w:tc>
                      </w:tr>
                      <w:tr w:rsidR="002C6574" w14:paraId="064E064A" w14:textId="77777777">
                        <w:trPr>
                          <w:trHeight w:val="347"/>
                        </w:trPr>
                        <w:tc>
                          <w:tcPr>
                            <w:tcW w:w="1674" w:type="dxa"/>
                          </w:tcPr>
                          <w:p w14:paraId="4DA9B274" w14:textId="77777777" w:rsidR="002C6574" w:rsidRDefault="00000000">
                            <w:pPr>
                              <w:pStyle w:val="TableParagraph"/>
                              <w:spacing w:before="122"/>
                              <w:ind w:right="133"/>
                              <w:rPr>
                                <w:rFonts w:ascii="Arial MT"/>
                                <w:sz w:val="14"/>
                              </w:rPr>
                            </w:pPr>
                            <w:r>
                              <w:rPr>
                                <w:rFonts w:ascii="Arial MT"/>
                                <w:color w:val="001F60"/>
                                <w:spacing w:val="-4"/>
                                <w:sz w:val="14"/>
                              </w:rPr>
                              <w:t>1000</w:t>
                            </w:r>
                          </w:p>
                        </w:tc>
                        <w:tc>
                          <w:tcPr>
                            <w:tcW w:w="4808" w:type="dxa"/>
                          </w:tcPr>
                          <w:p w14:paraId="022FF784" w14:textId="77777777" w:rsidR="002C6574" w:rsidRDefault="00000000">
                            <w:pPr>
                              <w:pStyle w:val="TableParagraph"/>
                              <w:spacing w:before="122"/>
                              <w:ind w:left="135"/>
                              <w:jc w:val="left"/>
                              <w:rPr>
                                <w:rFonts w:ascii="Arial MT"/>
                                <w:sz w:val="14"/>
                              </w:rPr>
                            </w:pPr>
                            <w:r>
                              <w:rPr>
                                <w:rFonts w:ascii="Arial MT"/>
                                <w:color w:val="001F60"/>
                                <w:sz w:val="14"/>
                              </w:rPr>
                              <w:t>Recursos</w:t>
                            </w:r>
                            <w:r>
                              <w:rPr>
                                <w:rFonts w:ascii="Arial MT"/>
                                <w:color w:val="001F60"/>
                                <w:spacing w:val="-4"/>
                                <w:sz w:val="14"/>
                              </w:rPr>
                              <w:t xml:space="preserve"> </w:t>
                            </w:r>
                            <w:r>
                              <w:rPr>
                                <w:rFonts w:ascii="Arial MT"/>
                                <w:color w:val="001F60"/>
                                <w:sz w:val="14"/>
                              </w:rPr>
                              <w:t>Livres</w:t>
                            </w:r>
                            <w:r>
                              <w:rPr>
                                <w:rFonts w:ascii="Arial MT"/>
                                <w:color w:val="001F60"/>
                                <w:spacing w:val="-3"/>
                                <w:sz w:val="14"/>
                              </w:rPr>
                              <w:t xml:space="preserve"> </w:t>
                            </w:r>
                            <w:r>
                              <w:rPr>
                                <w:rFonts w:ascii="Arial MT"/>
                                <w:color w:val="001F60"/>
                                <w:sz w:val="14"/>
                              </w:rPr>
                              <w:t>da</w:t>
                            </w:r>
                            <w:r>
                              <w:rPr>
                                <w:rFonts w:ascii="Arial MT"/>
                                <w:color w:val="001F60"/>
                                <w:spacing w:val="-4"/>
                                <w:sz w:val="14"/>
                              </w:rPr>
                              <w:t xml:space="preserve"> Uniao</w:t>
                            </w:r>
                          </w:p>
                        </w:tc>
                        <w:tc>
                          <w:tcPr>
                            <w:tcW w:w="684" w:type="dxa"/>
                          </w:tcPr>
                          <w:p w14:paraId="05374199" w14:textId="77777777" w:rsidR="002C6574" w:rsidRDefault="00000000">
                            <w:pPr>
                              <w:pStyle w:val="TableParagraph"/>
                              <w:spacing w:before="122"/>
                              <w:ind w:right="253"/>
                              <w:rPr>
                                <w:rFonts w:ascii="Arial MT"/>
                                <w:sz w:val="14"/>
                              </w:rPr>
                            </w:pPr>
                            <w:r>
                              <w:rPr>
                                <w:rFonts w:ascii="Arial MT"/>
                                <w:color w:val="001F60"/>
                                <w:spacing w:val="-10"/>
                                <w:sz w:val="14"/>
                              </w:rPr>
                              <w:t>-</w:t>
                            </w:r>
                          </w:p>
                        </w:tc>
                        <w:tc>
                          <w:tcPr>
                            <w:tcW w:w="941" w:type="dxa"/>
                            <w:gridSpan w:val="2"/>
                          </w:tcPr>
                          <w:p w14:paraId="33DC385E" w14:textId="77777777" w:rsidR="002C6574" w:rsidRDefault="00000000">
                            <w:pPr>
                              <w:pStyle w:val="TableParagraph"/>
                              <w:spacing w:before="122"/>
                              <w:ind w:left="528"/>
                              <w:jc w:val="left"/>
                              <w:rPr>
                                <w:rFonts w:ascii="Arial MT"/>
                                <w:sz w:val="14"/>
                              </w:rPr>
                            </w:pPr>
                            <w:r>
                              <w:rPr>
                                <w:rFonts w:ascii="Arial MT"/>
                                <w:color w:val="001F60"/>
                                <w:spacing w:val="-4"/>
                                <w:sz w:val="14"/>
                              </w:rPr>
                              <w:t>1,89</w:t>
                            </w:r>
                          </w:p>
                        </w:tc>
                        <w:tc>
                          <w:tcPr>
                            <w:tcW w:w="991" w:type="dxa"/>
                          </w:tcPr>
                          <w:p w14:paraId="226B37F2" w14:textId="77777777" w:rsidR="002C6574" w:rsidRDefault="00000000">
                            <w:pPr>
                              <w:pStyle w:val="TableParagraph"/>
                              <w:spacing w:before="122"/>
                              <w:ind w:right="68"/>
                              <w:rPr>
                                <w:rFonts w:ascii="Arial MT"/>
                                <w:sz w:val="14"/>
                              </w:rPr>
                            </w:pPr>
                            <w:r>
                              <w:rPr>
                                <w:rFonts w:ascii="Arial MT"/>
                                <w:color w:val="001F60"/>
                                <w:spacing w:val="-4"/>
                                <w:sz w:val="14"/>
                              </w:rPr>
                              <w:t>1,89</w:t>
                            </w:r>
                          </w:p>
                        </w:tc>
                      </w:tr>
                      <w:tr w:rsidR="002C6574" w14:paraId="1595FF17" w14:textId="77777777">
                        <w:trPr>
                          <w:trHeight w:val="283"/>
                        </w:trPr>
                        <w:tc>
                          <w:tcPr>
                            <w:tcW w:w="1674" w:type="dxa"/>
                          </w:tcPr>
                          <w:p w14:paraId="7A53E5A9" w14:textId="77777777" w:rsidR="002C6574" w:rsidRDefault="00000000">
                            <w:pPr>
                              <w:pStyle w:val="TableParagraph"/>
                              <w:spacing w:before="58"/>
                              <w:ind w:right="133"/>
                              <w:rPr>
                                <w:rFonts w:ascii="Arial MT"/>
                                <w:sz w:val="14"/>
                              </w:rPr>
                            </w:pPr>
                            <w:r>
                              <w:rPr>
                                <w:rFonts w:ascii="Arial MT"/>
                                <w:color w:val="001F60"/>
                                <w:spacing w:val="-4"/>
                                <w:sz w:val="14"/>
                              </w:rPr>
                              <w:t>1050</w:t>
                            </w:r>
                          </w:p>
                        </w:tc>
                        <w:tc>
                          <w:tcPr>
                            <w:tcW w:w="4808" w:type="dxa"/>
                          </w:tcPr>
                          <w:p w14:paraId="7F9E835B" w14:textId="77777777" w:rsidR="002C6574" w:rsidRDefault="00000000">
                            <w:pPr>
                              <w:pStyle w:val="TableParagraph"/>
                              <w:spacing w:before="58"/>
                              <w:ind w:left="135"/>
                              <w:jc w:val="left"/>
                              <w:rPr>
                                <w:rFonts w:ascii="Arial MT" w:hAnsi="Arial MT"/>
                                <w:sz w:val="14"/>
                              </w:rPr>
                            </w:pPr>
                            <w:r>
                              <w:rPr>
                                <w:rFonts w:ascii="Arial MT" w:hAnsi="Arial MT"/>
                                <w:color w:val="001F60"/>
                                <w:sz w:val="14"/>
                              </w:rPr>
                              <w:t>Recursos</w:t>
                            </w:r>
                            <w:r>
                              <w:rPr>
                                <w:rFonts w:ascii="Arial MT" w:hAnsi="Arial MT"/>
                                <w:color w:val="001F60"/>
                                <w:spacing w:val="-3"/>
                                <w:sz w:val="14"/>
                              </w:rPr>
                              <w:t xml:space="preserve"> </w:t>
                            </w:r>
                            <w:r>
                              <w:rPr>
                                <w:rFonts w:ascii="Arial MT" w:hAnsi="Arial MT"/>
                                <w:color w:val="001F60"/>
                                <w:sz w:val="14"/>
                              </w:rPr>
                              <w:t>Próprios</w:t>
                            </w:r>
                            <w:r>
                              <w:rPr>
                                <w:rFonts w:ascii="Arial MT" w:hAnsi="Arial MT"/>
                                <w:color w:val="001F60"/>
                                <w:spacing w:val="-5"/>
                                <w:sz w:val="14"/>
                              </w:rPr>
                              <w:t xml:space="preserve"> </w:t>
                            </w:r>
                            <w:r>
                              <w:rPr>
                                <w:rFonts w:ascii="Arial MT" w:hAnsi="Arial MT"/>
                                <w:color w:val="001F60"/>
                                <w:sz w:val="14"/>
                              </w:rPr>
                              <w:t>Livres</w:t>
                            </w:r>
                            <w:r>
                              <w:rPr>
                                <w:rFonts w:ascii="Arial MT" w:hAnsi="Arial MT"/>
                                <w:color w:val="001F60"/>
                                <w:spacing w:val="-5"/>
                                <w:sz w:val="14"/>
                              </w:rPr>
                              <w:t xml:space="preserve"> </w:t>
                            </w:r>
                            <w:r>
                              <w:rPr>
                                <w:rFonts w:ascii="Arial MT" w:hAnsi="Arial MT"/>
                                <w:color w:val="001F60"/>
                                <w:sz w:val="14"/>
                              </w:rPr>
                              <w:t>da</w:t>
                            </w:r>
                            <w:r>
                              <w:rPr>
                                <w:rFonts w:ascii="Arial MT" w:hAnsi="Arial MT"/>
                                <w:color w:val="001F60"/>
                                <w:spacing w:val="-6"/>
                                <w:sz w:val="14"/>
                              </w:rPr>
                              <w:t xml:space="preserve"> </w:t>
                            </w:r>
                            <w:r>
                              <w:rPr>
                                <w:rFonts w:ascii="Arial MT" w:hAnsi="Arial MT"/>
                                <w:color w:val="001F60"/>
                                <w:spacing w:val="-5"/>
                                <w:sz w:val="14"/>
                              </w:rPr>
                              <w:t>Uo</w:t>
                            </w:r>
                          </w:p>
                        </w:tc>
                        <w:tc>
                          <w:tcPr>
                            <w:tcW w:w="684" w:type="dxa"/>
                          </w:tcPr>
                          <w:p w14:paraId="7F22457F" w14:textId="77777777" w:rsidR="002C6574" w:rsidRDefault="00000000">
                            <w:pPr>
                              <w:pStyle w:val="TableParagraph"/>
                              <w:spacing w:before="58"/>
                              <w:ind w:right="256"/>
                              <w:rPr>
                                <w:rFonts w:ascii="Arial MT"/>
                                <w:sz w:val="14"/>
                              </w:rPr>
                            </w:pPr>
                            <w:r>
                              <w:rPr>
                                <w:rFonts w:ascii="Arial MT"/>
                                <w:color w:val="001F60"/>
                                <w:spacing w:val="-4"/>
                                <w:sz w:val="14"/>
                              </w:rPr>
                              <w:t>1,04</w:t>
                            </w:r>
                          </w:p>
                        </w:tc>
                        <w:tc>
                          <w:tcPr>
                            <w:tcW w:w="941" w:type="dxa"/>
                            <w:gridSpan w:val="2"/>
                          </w:tcPr>
                          <w:p w14:paraId="60D11AB0" w14:textId="77777777" w:rsidR="002C6574" w:rsidRDefault="00000000">
                            <w:pPr>
                              <w:pStyle w:val="TableParagraph"/>
                              <w:spacing w:before="58"/>
                              <w:ind w:right="136"/>
                              <w:rPr>
                                <w:rFonts w:ascii="Arial MT"/>
                                <w:sz w:val="14"/>
                              </w:rPr>
                            </w:pPr>
                            <w:r>
                              <w:rPr>
                                <w:rFonts w:ascii="Arial MT"/>
                                <w:color w:val="001F60"/>
                                <w:spacing w:val="-10"/>
                                <w:sz w:val="14"/>
                              </w:rPr>
                              <w:t>-</w:t>
                            </w:r>
                          </w:p>
                        </w:tc>
                        <w:tc>
                          <w:tcPr>
                            <w:tcW w:w="991" w:type="dxa"/>
                          </w:tcPr>
                          <w:p w14:paraId="50F9AE06" w14:textId="77777777" w:rsidR="002C6574" w:rsidRDefault="00000000">
                            <w:pPr>
                              <w:pStyle w:val="TableParagraph"/>
                              <w:spacing w:before="58"/>
                              <w:ind w:right="68"/>
                              <w:rPr>
                                <w:rFonts w:ascii="Arial MT"/>
                                <w:sz w:val="14"/>
                              </w:rPr>
                            </w:pPr>
                            <w:r>
                              <w:rPr>
                                <w:rFonts w:ascii="Arial MT"/>
                                <w:color w:val="001F60"/>
                                <w:spacing w:val="-4"/>
                                <w:sz w:val="14"/>
                              </w:rPr>
                              <w:t>1,04</w:t>
                            </w:r>
                          </w:p>
                        </w:tc>
                      </w:tr>
                      <w:tr w:rsidR="002C6574" w14:paraId="18C3F180" w14:textId="77777777">
                        <w:trPr>
                          <w:trHeight w:val="219"/>
                        </w:trPr>
                        <w:tc>
                          <w:tcPr>
                            <w:tcW w:w="1674" w:type="dxa"/>
                          </w:tcPr>
                          <w:p w14:paraId="3667BFD7" w14:textId="77777777" w:rsidR="002C6574" w:rsidRDefault="00000000">
                            <w:pPr>
                              <w:pStyle w:val="TableParagraph"/>
                              <w:spacing w:before="58" w:line="141" w:lineRule="exact"/>
                              <w:ind w:right="133"/>
                              <w:rPr>
                                <w:rFonts w:ascii="Arial MT"/>
                                <w:sz w:val="14"/>
                              </w:rPr>
                            </w:pPr>
                            <w:r>
                              <w:rPr>
                                <w:rFonts w:ascii="Arial MT"/>
                                <w:color w:val="001F60"/>
                                <w:spacing w:val="-4"/>
                                <w:sz w:val="14"/>
                              </w:rPr>
                              <w:t>3050</w:t>
                            </w:r>
                          </w:p>
                        </w:tc>
                        <w:tc>
                          <w:tcPr>
                            <w:tcW w:w="4808" w:type="dxa"/>
                          </w:tcPr>
                          <w:p w14:paraId="45377492" w14:textId="77777777" w:rsidR="002C6574" w:rsidRDefault="00000000">
                            <w:pPr>
                              <w:pStyle w:val="TableParagraph"/>
                              <w:spacing w:before="58" w:line="141" w:lineRule="exact"/>
                              <w:ind w:left="135"/>
                              <w:jc w:val="left"/>
                              <w:rPr>
                                <w:rFonts w:ascii="Arial MT" w:hAnsi="Arial MT"/>
                                <w:sz w:val="14"/>
                              </w:rPr>
                            </w:pPr>
                            <w:r>
                              <w:rPr>
                                <w:rFonts w:ascii="Arial MT" w:hAnsi="Arial MT"/>
                                <w:color w:val="001F60"/>
                                <w:sz w:val="14"/>
                              </w:rPr>
                              <w:t>Recursos</w:t>
                            </w:r>
                            <w:r>
                              <w:rPr>
                                <w:rFonts w:ascii="Arial MT" w:hAnsi="Arial MT"/>
                                <w:color w:val="001F60"/>
                                <w:spacing w:val="-3"/>
                                <w:sz w:val="14"/>
                              </w:rPr>
                              <w:t xml:space="preserve"> </w:t>
                            </w:r>
                            <w:r>
                              <w:rPr>
                                <w:rFonts w:ascii="Arial MT" w:hAnsi="Arial MT"/>
                                <w:color w:val="001F60"/>
                                <w:sz w:val="14"/>
                              </w:rPr>
                              <w:t>Próprios</w:t>
                            </w:r>
                            <w:r>
                              <w:rPr>
                                <w:rFonts w:ascii="Arial MT" w:hAnsi="Arial MT"/>
                                <w:color w:val="001F60"/>
                                <w:spacing w:val="-5"/>
                                <w:sz w:val="14"/>
                              </w:rPr>
                              <w:t xml:space="preserve"> </w:t>
                            </w:r>
                            <w:r>
                              <w:rPr>
                                <w:rFonts w:ascii="Arial MT" w:hAnsi="Arial MT"/>
                                <w:color w:val="001F60"/>
                                <w:sz w:val="14"/>
                              </w:rPr>
                              <w:t>Livres</w:t>
                            </w:r>
                            <w:r>
                              <w:rPr>
                                <w:rFonts w:ascii="Arial MT" w:hAnsi="Arial MT"/>
                                <w:color w:val="001F60"/>
                                <w:spacing w:val="-5"/>
                                <w:sz w:val="14"/>
                              </w:rPr>
                              <w:t xml:space="preserve"> </w:t>
                            </w:r>
                            <w:r>
                              <w:rPr>
                                <w:rFonts w:ascii="Arial MT" w:hAnsi="Arial MT"/>
                                <w:color w:val="001F60"/>
                                <w:sz w:val="14"/>
                              </w:rPr>
                              <w:t>da</w:t>
                            </w:r>
                            <w:r>
                              <w:rPr>
                                <w:rFonts w:ascii="Arial MT" w:hAnsi="Arial MT"/>
                                <w:color w:val="001F60"/>
                                <w:spacing w:val="-6"/>
                                <w:sz w:val="14"/>
                              </w:rPr>
                              <w:t xml:space="preserve"> </w:t>
                            </w:r>
                            <w:r>
                              <w:rPr>
                                <w:rFonts w:ascii="Arial MT" w:hAnsi="Arial MT"/>
                                <w:color w:val="001F60"/>
                                <w:spacing w:val="-5"/>
                                <w:sz w:val="14"/>
                              </w:rPr>
                              <w:t>Uo</w:t>
                            </w:r>
                          </w:p>
                        </w:tc>
                        <w:tc>
                          <w:tcPr>
                            <w:tcW w:w="684" w:type="dxa"/>
                          </w:tcPr>
                          <w:p w14:paraId="7B7FDA3B" w14:textId="77777777" w:rsidR="002C6574" w:rsidRDefault="00000000">
                            <w:pPr>
                              <w:pStyle w:val="TableParagraph"/>
                              <w:spacing w:before="58" w:line="141" w:lineRule="exact"/>
                              <w:ind w:right="254"/>
                              <w:rPr>
                                <w:rFonts w:ascii="Arial MT"/>
                                <w:sz w:val="14"/>
                              </w:rPr>
                            </w:pPr>
                            <w:r>
                              <w:rPr>
                                <w:rFonts w:ascii="Arial MT"/>
                                <w:color w:val="001F60"/>
                                <w:spacing w:val="-10"/>
                                <w:sz w:val="14"/>
                              </w:rPr>
                              <w:t>-</w:t>
                            </w:r>
                          </w:p>
                        </w:tc>
                        <w:tc>
                          <w:tcPr>
                            <w:tcW w:w="941" w:type="dxa"/>
                            <w:gridSpan w:val="2"/>
                          </w:tcPr>
                          <w:p w14:paraId="72E3F76D" w14:textId="77777777" w:rsidR="002C6574" w:rsidRDefault="00000000">
                            <w:pPr>
                              <w:pStyle w:val="TableParagraph"/>
                              <w:spacing w:before="58" w:line="141" w:lineRule="exact"/>
                              <w:ind w:left="528"/>
                              <w:jc w:val="left"/>
                              <w:rPr>
                                <w:rFonts w:ascii="Arial MT"/>
                                <w:sz w:val="14"/>
                              </w:rPr>
                            </w:pPr>
                            <w:r>
                              <w:rPr>
                                <w:rFonts w:ascii="Arial MT"/>
                                <w:color w:val="001F60"/>
                                <w:spacing w:val="-4"/>
                                <w:sz w:val="14"/>
                              </w:rPr>
                              <w:t>2,53</w:t>
                            </w:r>
                          </w:p>
                        </w:tc>
                        <w:tc>
                          <w:tcPr>
                            <w:tcW w:w="991" w:type="dxa"/>
                          </w:tcPr>
                          <w:p w14:paraId="2E980350" w14:textId="77777777" w:rsidR="002C6574" w:rsidRDefault="00000000">
                            <w:pPr>
                              <w:pStyle w:val="TableParagraph"/>
                              <w:spacing w:before="58" w:line="141" w:lineRule="exact"/>
                              <w:ind w:right="68"/>
                              <w:rPr>
                                <w:rFonts w:ascii="Arial MT"/>
                                <w:sz w:val="14"/>
                              </w:rPr>
                            </w:pPr>
                            <w:r>
                              <w:rPr>
                                <w:rFonts w:ascii="Arial MT"/>
                                <w:color w:val="001F60"/>
                                <w:spacing w:val="-4"/>
                                <w:sz w:val="14"/>
                              </w:rPr>
                              <w:t>2,53</w:t>
                            </w:r>
                          </w:p>
                        </w:tc>
                      </w:tr>
                    </w:tbl>
                    <w:p w14:paraId="30148262" w14:textId="77777777" w:rsidR="002C6574" w:rsidRDefault="002C6574">
                      <w:pPr>
                        <w:pStyle w:val="Corpodetexto"/>
                      </w:pPr>
                    </w:p>
                  </w:txbxContent>
                </v:textbox>
                <w10:wrap anchorx="page"/>
              </v:shape>
            </w:pict>
          </mc:Fallback>
        </mc:AlternateContent>
      </w:r>
      <w:r>
        <w:rPr>
          <w:rFonts w:ascii="Arial MT"/>
          <w:color w:val="001F60"/>
          <w:sz w:val="14"/>
        </w:rPr>
        <w:t>Tesouro</w:t>
      </w:r>
      <w:r>
        <w:rPr>
          <w:rFonts w:ascii="Arial MT"/>
          <w:color w:val="001F60"/>
          <w:spacing w:val="-8"/>
          <w:sz w:val="14"/>
        </w:rPr>
        <w:t xml:space="preserve"> </w:t>
      </w:r>
      <w:r>
        <w:rPr>
          <w:rFonts w:ascii="Arial MT"/>
          <w:color w:val="001F60"/>
          <w:spacing w:val="-2"/>
          <w:sz w:val="14"/>
        </w:rPr>
        <w:t>Nacional</w:t>
      </w:r>
    </w:p>
    <w:p w14:paraId="50E7B0D2" w14:textId="77777777" w:rsidR="002C6574" w:rsidRDefault="002C6574">
      <w:pPr>
        <w:pStyle w:val="Corpodetexto"/>
        <w:rPr>
          <w:rFonts w:ascii="Arial MT"/>
          <w:sz w:val="20"/>
        </w:rPr>
      </w:pPr>
    </w:p>
    <w:p w14:paraId="63773A09" w14:textId="77777777" w:rsidR="002C6574" w:rsidRDefault="002C6574">
      <w:pPr>
        <w:pStyle w:val="Corpodetexto"/>
        <w:rPr>
          <w:rFonts w:ascii="Arial MT"/>
          <w:sz w:val="20"/>
        </w:rPr>
      </w:pPr>
    </w:p>
    <w:p w14:paraId="6FFA4BA0" w14:textId="77777777" w:rsidR="002C6574" w:rsidRDefault="002C6574">
      <w:pPr>
        <w:pStyle w:val="Corpodetexto"/>
        <w:rPr>
          <w:rFonts w:ascii="Arial MT"/>
          <w:sz w:val="20"/>
        </w:rPr>
      </w:pPr>
    </w:p>
    <w:p w14:paraId="70342997" w14:textId="77777777" w:rsidR="002C6574" w:rsidRDefault="002C6574">
      <w:pPr>
        <w:pStyle w:val="Corpodetexto"/>
        <w:rPr>
          <w:rFonts w:ascii="Arial MT"/>
          <w:sz w:val="20"/>
        </w:rPr>
      </w:pPr>
    </w:p>
    <w:p w14:paraId="1C2C786C" w14:textId="77777777" w:rsidR="002C6574" w:rsidRDefault="002C6574">
      <w:pPr>
        <w:pStyle w:val="Corpodetexto"/>
        <w:spacing w:before="190"/>
        <w:rPr>
          <w:rFonts w:ascii="Arial MT"/>
          <w:sz w:val="20"/>
        </w:rPr>
      </w:pPr>
    </w:p>
    <w:p w14:paraId="711496BB" w14:textId="77777777" w:rsidR="002C6574" w:rsidRDefault="002C6574">
      <w:pPr>
        <w:pStyle w:val="Corpodetexto"/>
        <w:rPr>
          <w:rFonts w:ascii="Arial MT"/>
          <w:sz w:val="20"/>
        </w:rPr>
        <w:sectPr w:rsidR="002C6574">
          <w:type w:val="continuous"/>
          <w:pgSz w:w="11910" w:h="16840"/>
          <w:pgMar w:top="0" w:right="850" w:bottom="0" w:left="992" w:header="312" w:footer="542" w:gutter="0"/>
          <w:cols w:space="720"/>
        </w:sectPr>
      </w:pPr>
    </w:p>
    <w:p w14:paraId="3DE7796C" w14:textId="77777777" w:rsidR="002C6574" w:rsidRDefault="00000000">
      <w:pPr>
        <w:tabs>
          <w:tab w:val="left" w:pos="2519"/>
        </w:tabs>
        <w:spacing w:before="112" w:line="160" w:lineRule="auto"/>
        <w:ind w:left="2519" w:hanging="581"/>
        <w:rPr>
          <w:rFonts w:ascii="Arial MT" w:hAnsi="Arial MT"/>
          <w:sz w:val="14"/>
        </w:rPr>
      </w:pPr>
      <w:r>
        <w:rPr>
          <w:rFonts w:ascii="Arial MT" w:hAnsi="Arial MT"/>
          <w:color w:val="001F60"/>
          <w:spacing w:val="-4"/>
          <w:position w:val="-7"/>
          <w:sz w:val="14"/>
        </w:rPr>
        <w:t>3051</w:t>
      </w:r>
      <w:r>
        <w:rPr>
          <w:rFonts w:ascii="Arial MT" w:hAnsi="Arial MT"/>
          <w:color w:val="001F60"/>
          <w:position w:val="-7"/>
          <w:sz w:val="14"/>
        </w:rPr>
        <w:tab/>
      </w:r>
      <w:r>
        <w:rPr>
          <w:rFonts w:ascii="Arial MT" w:hAnsi="Arial MT"/>
          <w:color w:val="001F60"/>
          <w:sz w:val="14"/>
        </w:rPr>
        <w:t>Recursos</w:t>
      </w:r>
      <w:r>
        <w:rPr>
          <w:rFonts w:ascii="Arial MT" w:hAnsi="Arial MT"/>
          <w:color w:val="001F60"/>
          <w:spacing w:val="-4"/>
          <w:sz w:val="14"/>
        </w:rPr>
        <w:t xml:space="preserve"> </w:t>
      </w:r>
      <w:r>
        <w:rPr>
          <w:rFonts w:ascii="Arial MT" w:hAnsi="Arial MT"/>
          <w:color w:val="001F60"/>
          <w:sz w:val="14"/>
        </w:rPr>
        <w:t>Próprios</w:t>
      </w:r>
      <w:r>
        <w:rPr>
          <w:rFonts w:ascii="Arial MT" w:hAnsi="Arial MT"/>
          <w:color w:val="001F60"/>
          <w:spacing w:val="-6"/>
          <w:sz w:val="14"/>
        </w:rPr>
        <w:t xml:space="preserve"> </w:t>
      </w:r>
      <w:r>
        <w:rPr>
          <w:rFonts w:ascii="Arial MT" w:hAnsi="Arial MT"/>
          <w:color w:val="001F60"/>
          <w:sz w:val="14"/>
        </w:rPr>
        <w:t>da</w:t>
      </w:r>
      <w:r>
        <w:rPr>
          <w:rFonts w:ascii="Arial MT" w:hAnsi="Arial MT"/>
          <w:color w:val="001F60"/>
          <w:spacing w:val="-8"/>
          <w:sz w:val="14"/>
        </w:rPr>
        <w:t xml:space="preserve"> </w:t>
      </w:r>
      <w:r>
        <w:rPr>
          <w:rFonts w:ascii="Arial MT" w:hAnsi="Arial MT"/>
          <w:color w:val="001F60"/>
          <w:sz w:val="14"/>
        </w:rPr>
        <w:t>UO</w:t>
      </w:r>
      <w:r>
        <w:rPr>
          <w:rFonts w:ascii="Arial MT" w:hAnsi="Arial MT"/>
          <w:color w:val="001F60"/>
          <w:spacing w:val="-7"/>
          <w:sz w:val="14"/>
        </w:rPr>
        <w:t xml:space="preserve"> </w:t>
      </w:r>
      <w:r>
        <w:rPr>
          <w:rFonts w:ascii="Arial MT" w:hAnsi="Arial MT"/>
          <w:color w:val="001F60"/>
          <w:sz w:val="14"/>
        </w:rPr>
        <w:t>para</w:t>
      </w:r>
      <w:r>
        <w:rPr>
          <w:rFonts w:ascii="Arial MT" w:hAnsi="Arial MT"/>
          <w:color w:val="001F60"/>
          <w:spacing w:val="-8"/>
          <w:sz w:val="14"/>
        </w:rPr>
        <w:t xml:space="preserve"> </w:t>
      </w:r>
      <w:r>
        <w:rPr>
          <w:rFonts w:ascii="Arial MT" w:hAnsi="Arial MT"/>
          <w:color w:val="001F60"/>
          <w:sz w:val="14"/>
        </w:rPr>
        <w:t>Aplicação</w:t>
      </w:r>
      <w:r>
        <w:rPr>
          <w:rFonts w:ascii="Arial MT" w:hAnsi="Arial MT"/>
          <w:color w:val="001F60"/>
          <w:spacing w:val="-7"/>
          <w:sz w:val="14"/>
        </w:rPr>
        <w:t xml:space="preserve"> </w:t>
      </w:r>
      <w:r>
        <w:rPr>
          <w:rFonts w:ascii="Arial MT" w:hAnsi="Arial MT"/>
          <w:color w:val="001F60"/>
          <w:sz w:val="14"/>
        </w:rPr>
        <w:t>Exclusiva</w:t>
      </w:r>
      <w:r>
        <w:rPr>
          <w:rFonts w:ascii="Arial MT" w:hAnsi="Arial MT"/>
          <w:color w:val="001F60"/>
          <w:spacing w:val="-5"/>
          <w:sz w:val="14"/>
        </w:rPr>
        <w:t xml:space="preserve"> </w:t>
      </w:r>
      <w:r>
        <w:rPr>
          <w:rFonts w:ascii="Arial MT" w:hAnsi="Arial MT"/>
          <w:color w:val="001F60"/>
          <w:sz w:val="14"/>
        </w:rPr>
        <w:t>em</w:t>
      </w:r>
      <w:r>
        <w:rPr>
          <w:rFonts w:ascii="Arial MT" w:hAnsi="Arial MT"/>
          <w:color w:val="001F60"/>
          <w:spacing w:val="40"/>
          <w:sz w:val="14"/>
        </w:rPr>
        <w:t xml:space="preserve"> </w:t>
      </w:r>
      <w:r>
        <w:rPr>
          <w:rFonts w:ascii="Arial MT" w:hAnsi="Arial MT"/>
          <w:color w:val="001F60"/>
          <w:sz w:val="14"/>
        </w:rPr>
        <w:t>Despesas de Capital</w:t>
      </w:r>
    </w:p>
    <w:p w14:paraId="7429F6E1" w14:textId="77777777" w:rsidR="002C6574" w:rsidRDefault="00000000">
      <w:pPr>
        <w:spacing w:before="15"/>
        <w:rPr>
          <w:rFonts w:ascii="Arial MT"/>
          <w:sz w:val="14"/>
        </w:rPr>
      </w:pPr>
      <w:r>
        <w:br w:type="column"/>
      </w:r>
    </w:p>
    <w:p w14:paraId="08F0FCFE" w14:textId="77777777" w:rsidR="002C6574" w:rsidRDefault="00000000">
      <w:pPr>
        <w:tabs>
          <w:tab w:val="left" w:pos="2423"/>
          <w:tab w:val="left" w:pos="3484"/>
        </w:tabs>
        <w:ind w:left="1593"/>
        <w:rPr>
          <w:rFonts w:ascii="Arial MT"/>
          <w:sz w:val="14"/>
        </w:rPr>
      </w:pPr>
      <w:r>
        <w:rPr>
          <w:rFonts w:ascii="Arial MT"/>
          <w:color w:val="001F60"/>
          <w:spacing w:val="-10"/>
          <w:sz w:val="14"/>
        </w:rPr>
        <w:t>-</w:t>
      </w:r>
      <w:r>
        <w:rPr>
          <w:rFonts w:ascii="Arial MT"/>
          <w:color w:val="001F60"/>
          <w:sz w:val="14"/>
        </w:rPr>
        <w:tab/>
      </w:r>
      <w:r>
        <w:rPr>
          <w:rFonts w:ascii="Arial MT"/>
          <w:color w:val="001F60"/>
          <w:spacing w:val="-4"/>
          <w:sz w:val="14"/>
        </w:rPr>
        <w:t>4,12</w:t>
      </w:r>
      <w:r>
        <w:rPr>
          <w:rFonts w:ascii="Arial MT"/>
          <w:color w:val="001F60"/>
          <w:sz w:val="14"/>
        </w:rPr>
        <w:tab/>
      </w:r>
      <w:r>
        <w:rPr>
          <w:rFonts w:ascii="Arial MT"/>
          <w:color w:val="001F60"/>
          <w:spacing w:val="-4"/>
          <w:sz w:val="14"/>
        </w:rPr>
        <w:t>4,12</w:t>
      </w:r>
    </w:p>
    <w:p w14:paraId="20265B71" w14:textId="77777777" w:rsidR="002C6574" w:rsidRDefault="002C6574">
      <w:pPr>
        <w:rPr>
          <w:rFonts w:ascii="Arial MT"/>
          <w:sz w:val="14"/>
        </w:rPr>
        <w:sectPr w:rsidR="002C6574">
          <w:type w:val="continuous"/>
          <w:pgSz w:w="11910" w:h="16840"/>
          <w:pgMar w:top="0" w:right="850" w:bottom="0" w:left="992" w:header="312" w:footer="542" w:gutter="0"/>
          <w:cols w:num="2" w:space="720" w:equalWidth="0">
            <w:col w:w="5941" w:space="40"/>
            <w:col w:w="4087"/>
          </w:cols>
        </w:sectPr>
      </w:pPr>
    </w:p>
    <w:p w14:paraId="7A8EB63E" w14:textId="77777777" w:rsidR="002C6574" w:rsidRDefault="002C6574">
      <w:pPr>
        <w:pStyle w:val="Corpodetexto"/>
        <w:spacing w:before="7"/>
        <w:rPr>
          <w:rFonts w:ascii="Arial MT"/>
          <w:sz w:val="6"/>
        </w:rPr>
      </w:pPr>
    </w:p>
    <w:tbl>
      <w:tblPr>
        <w:tblStyle w:val="TableNormal"/>
        <w:tblW w:w="0" w:type="auto"/>
        <w:tblInd w:w="717" w:type="dxa"/>
        <w:tblLayout w:type="fixed"/>
        <w:tblLook w:val="01E0" w:firstRow="1" w:lastRow="1" w:firstColumn="1" w:lastColumn="1" w:noHBand="0" w:noVBand="0"/>
      </w:tblPr>
      <w:tblGrid>
        <w:gridCol w:w="593"/>
        <w:gridCol w:w="1081"/>
        <w:gridCol w:w="3460"/>
        <w:gridCol w:w="2129"/>
        <w:gridCol w:w="1021"/>
        <w:gridCol w:w="816"/>
      </w:tblGrid>
      <w:tr w:rsidR="002C6574" w14:paraId="630E3A4B" w14:textId="77777777">
        <w:trPr>
          <w:trHeight w:val="155"/>
        </w:trPr>
        <w:tc>
          <w:tcPr>
            <w:tcW w:w="5134" w:type="dxa"/>
            <w:gridSpan w:val="3"/>
          </w:tcPr>
          <w:p w14:paraId="4FF27191" w14:textId="77777777" w:rsidR="002C6574" w:rsidRDefault="00000000">
            <w:pPr>
              <w:pStyle w:val="TableParagraph"/>
              <w:spacing w:line="136" w:lineRule="exact"/>
              <w:ind w:left="650"/>
              <w:jc w:val="left"/>
              <w:rPr>
                <w:rFonts w:ascii="Arial"/>
                <w:b/>
                <w:sz w:val="14"/>
              </w:rPr>
            </w:pPr>
            <w:r>
              <w:rPr>
                <w:rFonts w:ascii="Arial"/>
                <w:b/>
                <w:color w:val="001F60"/>
                <w:sz w:val="14"/>
              </w:rPr>
              <w:t>3</w:t>
            </w:r>
            <w:r>
              <w:rPr>
                <w:rFonts w:ascii="Arial"/>
                <w:b/>
                <w:color w:val="001F60"/>
                <w:spacing w:val="-4"/>
                <w:sz w:val="14"/>
              </w:rPr>
              <w:t xml:space="preserve"> </w:t>
            </w:r>
            <w:r>
              <w:rPr>
                <w:rFonts w:ascii="Arial"/>
                <w:b/>
                <w:color w:val="001F60"/>
                <w:sz w:val="14"/>
              </w:rPr>
              <w:t>-</w:t>
            </w:r>
            <w:r>
              <w:rPr>
                <w:rFonts w:ascii="Arial"/>
                <w:b/>
                <w:color w:val="001F60"/>
                <w:spacing w:val="-4"/>
                <w:sz w:val="14"/>
              </w:rPr>
              <w:t xml:space="preserve"> </w:t>
            </w:r>
            <w:r>
              <w:rPr>
                <w:rFonts w:ascii="Arial"/>
                <w:b/>
                <w:color w:val="001F60"/>
                <w:sz w:val="14"/>
              </w:rPr>
              <w:t>Despesas</w:t>
            </w:r>
            <w:r>
              <w:rPr>
                <w:rFonts w:ascii="Arial"/>
                <w:b/>
                <w:color w:val="001F60"/>
                <w:spacing w:val="-3"/>
                <w:sz w:val="14"/>
              </w:rPr>
              <w:t xml:space="preserve"> </w:t>
            </w:r>
            <w:r>
              <w:rPr>
                <w:rFonts w:ascii="Arial"/>
                <w:b/>
                <w:color w:val="001F60"/>
                <w:spacing w:val="-2"/>
                <w:sz w:val="14"/>
              </w:rPr>
              <w:t>Correntes</w:t>
            </w:r>
          </w:p>
        </w:tc>
        <w:tc>
          <w:tcPr>
            <w:tcW w:w="2129" w:type="dxa"/>
          </w:tcPr>
          <w:p w14:paraId="22FBAA0F" w14:textId="77777777" w:rsidR="002C6574" w:rsidRDefault="00000000">
            <w:pPr>
              <w:pStyle w:val="TableParagraph"/>
              <w:spacing w:line="136" w:lineRule="exact"/>
              <w:ind w:right="353"/>
              <w:rPr>
                <w:rFonts w:ascii="Arial"/>
                <w:b/>
                <w:sz w:val="14"/>
              </w:rPr>
            </w:pPr>
            <w:r>
              <w:rPr>
                <w:rFonts w:ascii="Arial"/>
                <w:b/>
                <w:color w:val="001F60"/>
                <w:spacing w:val="-2"/>
                <w:sz w:val="14"/>
              </w:rPr>
              <w:t>140,38</w:t>
            </w:r>
          </w:p>
        </w:tc>
        <w:tc>
          <w:tcPr>
            <w:tcW w:w="1021" w:type="dxa"/>
          </w:tcPr>
          <w:p w14:paraId="2BB7C7E2" w14:textId="77777777" w:rsidR="002C6574" w:rsidRDefault="00000000">
            <w:pPr>
              <w:pStyle w:val="TableParagraph"/>
              <w:spacing w:line="136" w:lineRule="exact"/>
              <w:ind w:left="113" w:right="76"/>
              <w:jc w:val="center"/>
              <w:rPr>
                <w:rFonts w:ascii="Arial"/>
                <w:b/>
                <w:sz w:val="14"/>
              </w:rPr>
            </w:pPr>
            <w:r>
              <w:rPr>
                <w:rFonts w:ascii="Arial"/>
                <w:b/>
                <w:color w:val="001F60"/>
                <w:spacing w:val="-2"/>
                <w:sz w:val="14"/>
              </w:rPr>
              <w:t>23,54</w:t>
            </w:r>
          </w:p>
        </w:tc>
        <w:tc>
          <w:tcPr>
            <w:tcW w:w="816" w:type="dxa"/>
          </w:tcPr>
          <w:p w14:paraId="447BF90D" w14:textId="77777777" w:rsidR="002C6574" w:rsidRDefault="00000000">
            <w:pPr>
              <w:pStyle w:val="TableParagraph"/>
              <w:spacing w:line="136" w:lineRule="exact"/>
              <w:ind w:right="71"/>
              <w:rPr>
                <w:rFonts w:ascii="Arial"/>
                <w:b/>
                <w:sz w:val="14"/>
              </w:rPr>
            </w:pPr>
            <w:r>
              <w:rPr>
                <w:rFonts w:ascii="Arial"/>
                <w:b/>
                <w:color w:val="001F60"/>
                <w:spacing w:val="-2"/>
                <w:sz w:val="14"/>
              </w:rPr>
              <w:t>163,91</w:t>
            </w:r>
          </w:p>
        </w:tc>
      </w:tr>
      <w:tr w:rsidR="002C6574" w14:paraId="23F34C76" w14:textId="77777777">
        <w:trPr>
          <w:trHeight w:val="347"/>
        </w:trPr>
        <w:tc>
          <w:tcPr>
            <w:tcW w:w="593" w:type="dxa"/>
          </w:tcPr>
          <w:p w14:paraId="33DF2F88" w14:textId="77777777" w:rsidR="002C6574" w:rsidRDefault="002C6574">
            <w:pPr>
              <w:pStyle w:val="TableParagraph"/>
              <w:jc w:val="left"/>
              <w:rPr>
                <w:rFonts w:ascii="Times New Roman"/>
                <w:sz w:val="18"/>
              </w:rPr>
            </w:pPr>
          </w:p>
        </w:tc>
        <w:tc>
          <w:tcPr>
            <w:tcW w:w="1081" w:type="dxa"/>
          </w:tcPr>
          <w:p w14:paraId="142F378C" w14:textId="77777777" w:rsidR="002C6574" w:rsidRDefault="00000000">
            <w:pPr>
              <w:pStyle w:val="TableParagraph"/>
              <w:spacing w:before="122"/>
              <w:ind w:right="133"/>
              <w:rPr>
                <w:rFonts w:ascii="Arial MT"/>
                <w:sz w:val="14"/>
              </w:rPr>
            </w:pPr>
            <w:r>
              <w:rPr>
                <w:rFonts w:ascii="Arial MT"/>
                <w:color w:val="001F60"/>
                <w:spacing w:val="-4"/>
                <w:sz w:val="14"/>
              </w:rPr>
              <w:t>1000</w:t>
            </w:r>
          </w:p>
        </w:tc>
        <w:tc>
          <w:tcPr>
            <w:tcW w:w="3460" w:type="dxa"/>
          </w:tcPr>
          <w:p w14:paraId="72729FBE" w14:textId="77777777" w:rsidR="002C6574" w:rsidRDefault="00000000">
            <w:pPr>
              <w:pStyle w:val="TableParagraph"/>
              <w:spacing w:before="122"/>
              <w:ind w:left="135"/>
              <w:jc w:val="left"/>
              <w:rPr>
                <w:rFonts w:ascii="Arial MT"/>
                <w:sz w:val="14"/>
              </w:rPr>
            </w:pPr>
            <w:r>
              <w:rPr>
                <w:rFonts w:ascii="Arial MT"/>
                <w:color w:val="001F60"/>
                <w:sz w:val="14"/>
              </w:rPr>
              <w:t>Recursos</w:t>
            </w:r>
            <w:r>
              <w:rPr>
                <w:rFonts w:ascii="Arial MT"/>
                <w:color w:val="001F60"/>
                <w:spacing w:val="-4"/>
                <w:sz w:val="14"/>
              </w:rPr>
              <w:t xml:space="preserve"> </w:t>
            </w:r>
            <w:r>
              <w:rPr>
                <w:rFonts w:ascii="Arial MT"/>
                <w:color w:val="001F60"/>
                <w:sz w:val="14"/>
              </w:rPr>
              <w:t>Livres</w:t>
            </w:r>
            <w:r>
              <w:rPr>
                <w:rFonts w:ascii="Arial MT"/>
                <w:color w:val="001F60"/>
                <w:spacing w:val="-3"/>
                <w:sz w:val="14"/>
              </w:rPr>
              <w:t xml:space="preserve"> </w:t>
            </w:r>
            <w:r>
              <w:rPr>
                <w:rFonts w:ascii="Arial MT"/>
                <w:color w:val="001F60"/>
                <w:sz w:val="14"/>
              </w:rPr>
              <w:t>da</w:t>
            </w:r>
            <w:r>
              <w:rPr>
                <w:rFonts w:ascii="Arial MT"/>
                <w:color w:val="001F60"/>
                <w:spacing w:val="-4"/>
                <w:sz w:val="14"/>
              </w:rPr>
              <w:t xml:space="preserve"> Uniao</w:t>
            </w:r>
          </w:p>
        </w:tc>
        <w:tc>
          <w:tcPr>
            <w:tcW w:w="2129" w:type="dxa"/>
          </w:tcPr>
          <w:p w14:paraId="32672A78" w14:textId="77777777" w:rsidR="002C6574" w:rsidRDefault="00000000">
            <w:pPr>
              <w:pStyle w:val="TableParagraph"/>
              <w:spacing w:before="122"/>
              <w:ind w:right="353"/>
              <w:rPr>
                <w:rFonts w:ascii="Arial MT"/>
                <w:sz w:val="14"/>
              </w:rPr>
            </w:pPr>
            <w:r>
              <w:rPr>
                <w:rFonts w:ascii="Arial MT"/>
                <w:color w:val="001F60"/>
                <w:spacing w:val="-2"/>
                <w:sz w:val="14"/>
              </w:rPr>
              <w:t>14,96</w:t>
            </w:r>
          </w:p>
        </w:tc>
        <w:tc>
          <w:tcPr>
            <w:tcW w:w="1021" w:type="dxa"/>
          </w:tcPr>
          <w:p w14:paraId="3AD50D8B" w14:textId="77777777" w:rsidR="002C6574" w:rsidRDefault="00000000">
            <w:pPr>
              <w:pStyle w:val="TableParagraph"/>
              <w:spacing w:before="122"/>
              <w:ind w:left="113"/>
              <w:jc w:val="center"/>
              <w:rPr>
                <w:rFonts w:ascii="Arial MT"/>
                <w:sz w:val="14"/>
              </w:rPr>
            </w:pPr>
            <w:r>
              <w:rPr>
                <w:rFonts w:ascii="Arial MT"/>
                <w:color w:val="001F60"/>
                <w:spacing w:val="-4"/>
                <w:sz w:val="14"/>
              </w:rPr>
              <w:t>0,00</w:t>
            </w:r>
          </w:p>
        </w:tc>
        <w:tc>
          <w:tcPr>
            <w:tcW w:w="816" w:type="dxa"/>
          </w:tcPr>
          <w:p w14:paraId="1A756012" w14:textId="77777777" w:rsidR="002C6574" w:rsidRDefault="00000000">
            <w:pPr>
              <w:pStyle w:val="TableParagraph"/>
              <w:spacing w:before="122"/>
              <w:ind w:right="70"/>
              <w:rPr>
                <w:rFonts w:ascii="Arial MT"/>
                <w:sz w:val="14"/>
              </w:rPr>
            </w:pPr>
            <w:r>
              <w:rPr>
                <w:rFonts w:ascii="Arial MT"/>
                <w:color w:val="001F60"/>
                <w:spacing w:val="-2"/>
                <w:sz w:val="14"/>
              </w:rPr>
              <w:t>14,97</w:t>
            </w:r>
          </w:p>
        </w:tc>
      </w:tr>
      <w:tr w:rsidR="002C6574" w14:paraId="3CC43F1F" w14:textId="77777777">
        <w:trPr>
          <w:trHeight w:val="283"/>
        </w:trPr>
        <w:tc>
          <w:tcPr>
            <w:tcW w:w="593" w:type="dxa"/>
          </w:tcPr>
          <w:p w14:paraId="47C90E01" w14:textId="77777777" w:rsidR="002C6574" w:rsidRDefault="002C6574">
            <w:pPr>
              <w:pStyle w:val="TableParagraph"/>
              <w:jc w:val="left"/>
              <w:rPr>
                <w:rFonts w:ascii="Times New Roman"/>
                <w:sz w:val="18"/>
              </w:rPr>
            </w:pPr>
          </w:p>
        </w:tc>
        <w:tc>
          <w:tcPr>
            <w:tcW w:w="1081" w:type="dxa"/>
          </w:tcPr>
          <w:p w14:paraId="072B0C9E" w14:textId="77777777" w:rsidR="002C6574" w:rsidRDefault="00000000">
            <w:pPr>
              <w:pStyle w:val="TableParagraph"/>
              <w:spacing w:before="58"/>
              <w:ind w:right="133"/>
              <w:rPr>
                <w:rFonts w:ascii="Arial MT"/>
                <w:sz w:val="14"/>
              </w:rPr>
            </w:pPr>
            <w:r>
              <w:rPr>
                <w:rFonts w:ascii="Arial MT"/>
                <w:color w:val="001F60"/>
                <w:spacing w:val="-4"/>
                <w:sz w:val="14"/>
              </w:rPr>
              <w:t>1050</w:t>
            </w:r>
          </w:p>
        </w:tc>
        <w:tc>
          <w:tcPr>
            <w:tcW w:w="3460" w:type="dxa"/>
          </w:tcPr>
          <w:p w14:paraId="198FAB1E" w14:textId="77777777" w:rsidR="002C6574" w:rsidRDefault="00000000">
            <w:pPr>
              <w:pStyle w:val="TableParagraph"/>
              <w:spacing w:before="58"/>
              <w:ind w:left="135"/>
              <w:jc w:val="left"/>
              <w:rPr>
                <w:rFonts w:ascii="Arial MT" w:hAnsi="Arial MT"/>
                <w:sz w:val="14"/>
              </w:rPr>
            </w:pPr>
            <w:r>
              <w:rPr>
                <w:rFonts w:ascii="Arial MT" w:hAnsi="Arial MT"/>
                <w:color w:val="001F60"/>
                <w:sz w:val="14"/>
              </w:rPr>
              <w:t>Recursos</w:t>
            </w:r>
            <w:r>
              <w:rPr>
                <w:rFonts w:ascii="Arial MT" w:hAnsi="Arial MT"/>
                <w:color w:val="001F60"/>
                <w:spacing w:val="-3"/>
                <w:sz w:val="14"/>
              </w:rPr>
              <w:t xml:space="preserve"> </w:t>
            </w:r>
            <w:r>
              <w:rPr>
                <w:rFonts w:ascii="Arial MT" w:hAnsi="Arial MT"/>
                <w:color w:val="001F60"/>
                <w:sz w:val="14"/>
              </w:rPr>
              <w:t>Próprios</w:t>
            </w:r>
            <w:r>
              <w:rPr>
                <w:rFonts w:ascii="Arial MT" w:hAnsi="Arial MT"/>
                <w:color w:val="001F60"/>
                <w:spacing w:val="-5"/>
                <w:sz w:val="14"/>
              </w:rPr>
              <w:t xml:space="preserve"> </w:t>
            </w:r>
            <w:r>
              <w:rPr>
                <w:rFonts w:ascii="Arial MT" w:hAnsi="Arial MT"/>
                <w:color w:val="001F60"/>
                <w:sz w:val="14"/>
              </w:rPr>
              <w:t>Livres</w:t>
            </w:r>
            <w:r>
              <w:rPr>
                <w:rFonts w:ascii="Arial MT" w:hAnsi="Arial MT"/>
                <w:color w:val="001F60"/>
                <w:spacing w:val="-5"/>
                <w:sz w:val="14"/>
              </w:rPr>
              <w:t xml:space="preserve"> </w:t>
            </w:r>
            <w:r>
              <w:rPr>
                <w:rFonts w:ascii="Arial MT" w:hAnsi="Arial MT"/>
                <w:color w:val="001F60"/>
                <w:sz w:val="14"/>
              </w:rPr>
              <w:t>da</w:t>
            </w:r>
            <w:r>
              <w:rPr>
                <w:rFonts w:ascii="Arial MT" w:hAnsi="Arial MT"/>
                <w:color w:val="001F60"/>
                <w:spacing w:val="-6"/>
                <w:sz w:val="14"/>
              </w:rPr>
              <w:t xml:space="preserve"> </w:t>
            </w:r>
            <w:r>
              <w:rPr>
                <w:rFonts w:ascii="Arial MT" w:hAnsi="Arial MT"/>
                <w:color w:val="001F60"/>
                <w:spacing w:val="-5"/>
                <w:sz w:val="14"/>
              </w:rPr>
              <w:t>Uo</w:t>
            </w:r>
          </w:p>
        </w:tc>
        <w:tc>
          <w:tcPr>
            <w:tcW w:w="2129" w:type="dxa"/>
          </w:tcPr>
          <w:p w14:paraId="37A46DB3" w14:textId="77777777" w:rsidR="002C6574" w:rsidRDefault="00000000">
            <w:pPr>
              <w:pStyle w:val="TableParagraph"/>
              <w:spacing w:before="58"/>
              <w:ind w:right="353"/>
              <w:rPr>
                <w:rFonts w:ascii="Arial MT"/>
                <w:sz w:val="14"/>
              </w:rPr>
            </w:pPr>
            <w:r>
              <w:rPr>
                <w:rFonts w:ascii="Arial MT"/>
                <w:color w:val="001F60"/>
                <w:spacing w:val="-2"/>
                <w:sz w:val="14"/>
              </w:rPr>
              <w:t>125,27</w:t>
            </w:r>
          </w:p>
        </w:tc>
        <w:tc>
          <w:tcPr>
            <w:tcW w:w="1021" w:type="dxa"/>
          </w:tcPr>
          <w:p w14:paraId="3A1130AA" w14:textId="77777777" w:rsidR="002C6574" w:rsidRDefault="00000000">
            <w:pPr>
              <w:pStyle w:val="TableParagraph"/>
              <w:spacing w:before="58"/>
              <w:ind w:left="113" w:right="76"/>
              <w:jc w:val="center"/>
              <w:rPr>
                <w:rFonts w:ascii="Arial MT"/>
                <w:sz w:val="14"/>
              </w:rPr>
            </w:pPr>
            <w:r>
              <w:rPr>
                <w:rFonts w:ascii="Arial MT"/>
                <w:color w:val="001F60"/>
                <w:spacing w:val="-2"/>
                <w:sz w:val="14"/>
              </w:rPr>
              <w:t>18,77</w:t>
            </w:r>
          </w:p>
        </w:tc>
        <w:tc>
          <w:tcPr>
            <w:tcW w:w="816" w:type="dxa"/>
          </w:tcPr>
          <w:p w14:paraId="4084ABEB" w14:textId="77777777" w:rsidR="002C6574" w:rsidRDefault="00000000">
            <w:pPr>
              <w:pStyle w:val="TableParagraph"/>
              <w:spacing w:before="58"/>
              <w:ind w:right="71"/>
              <w:rPr>
                <w:rFonts w:ascii="Arial MT"/>
                <w:sz w:val="14"/>
              </w:rPr>
            </w:pPr>
            <w:r>
              <w:rPr>
                <w:rFonts w:ascii="Arial MT"/>
                <w:color w:val="001F60"/>
                <w:spacing w:val="-2"/>
                <w:sz w:val="14"/>
              </w:rPr>
              <w:t>144,04</w:t>
            </w:r>
          </w:p>
        </w:tc>
      </w:tr>
      <w:tr w:rsidR="002C6574" w14:paraId="7B183788" w14:textId="77777777">
        <w:trPr>
          <w:trHeight w:val="278"/>
        </w:trPr>
        <w:tc>
          <w:tcPr>
            <w:tcW w:w="593" w:type="dxa"/>
            <w:tcBorders>
              <w:bottom w:val="single" w:sz="4" w:space="0" w:color="001F60"/>
            </w:tcBorders>
          </w:tcPr>
          <w:p w14:paraId="4FB65F8D" w14:textId="77777777" w:rsidR="002C6574" w:rsidRDefault="002C6574">
            <w:pPr>
              <w:pStyle w:val="TableParagraph"/>
              <w:jc w:val="left"/>
              <w:rPr>
                <w:rFonts w:ascii="Times New Roman"/>
                <w:sz w:val="18"/>
              </w:rPr>
            </w:pPr>
          </w:p>
        </w:tc>
        <w:tc>
          <w:tcPr>
            <w:tcW w:w="1081" w:type="dxa"/>
            <w:tcBorders>
              <w:bottom w:val="single" w:sz="4" w:space="0" w:color="001F60"/>
            </w:tcBorders>
          </w:tcPr>
          <w:p w14:paraId="227C9584" w14:textId="77777777" w:rsidR="002C6574" w:rsidRDefault="00000000">
            <w:pPr>
              <w:pStyle w:val="TableParagraph"/>
              <w:spacing w:before="58"/>
              <w:ind w:right="133"/>
              <w:rPr>
                <w:rFonts w:ascii="Arial MT"/>
                <w:sz w:val="14"/>
              </w:rPr>
            </w:pPr>
            <w:r>
              <w:rPr>
                <w:rFonts w:ascii="Arial MT"/>
                <w:color w:val="001F60"/>
                <w:spacing w:val="-4"/>
                <w:sz w:val="14"/>
              </w:rPr>
              <w:t>3050</w:t>
            </w:r>
          </w:p>
        </w:tc>
        <w:tc>
          <w:tcPr>
            <w:tcW w:w="3460" w:type="dxa"/>
            <w:tcBorders>
              <w:bottom w:val="single" w:sz="4" w:space="0" w:color="001F60"/>
            </w:tcBorders>
          </w:tcPr>
          <w:p w14:paraId="2080B502" w14:textId="77777777" w:rsidR="002C6574" w:rsidRDefault="00000000">
            <w:pPr>
              <w:pStyle w:val="TableParagraph"/>
              <w:spacing w:before="58"/>
              <w:ind w:left="135"/>
              <w:jc w:val="left"/>
              <w:rPr>
                <w:rFonts w:ascii="Arial MT" w:hAnsi="Arial MT"/>
                <w:sz w:val="14"/>
              </w:rPr>
            </w:pPr>
            <w:r>
              <w:rPr>
                <w:rFonts w:ascii="Arial MT" w:hAnsi="Arial MT"/>
                <w:color w:val="001F60"/>
                <w:sz w:val="14"/>
              </w:rPr>
              <w:t>Recursos</w:t>
            </w:r>
            <w:r>
              <w:rPr>
                <w:rFonts w:ascii="Arial MT" w:hAnsi="Arial MT"/>
                <w:color w:val="001F60"/>
                <w:spacing w:val="-3"/>
                <w:sz w:val="14"/>
              </w:rPr>
              <w:t xml:space="preserve"> </w:t>
            </w:r>
            <w:r>
              <w:rPr>
                <w:rFonts w:ascii="Arial MT" w:hAnsi="Arial MT"/>
                <w:color w:val="001F60"/>
                <w:sz w:val="14"/>
              </w:rPr>
              <w:t>Próprios</w:t>
            </w:r>
            <w:r>
              <w:rPr>
                <w:rFonts w:ascii="Arial MT" w:hAnsi="Arial MT"/>
                <w:color w:val="001F60"/>
                <w:spacing w:val="-5"/>
                <w:sz w:val="14"/>
              </w:rPr>
              <w:t xml:space="preserve"> </w:t>
            </w:r>
            <w:r>
              <w:rPr>
                <w:rFonts w:ascii="Arial MT" w:hAnsi="Arial MT"/>
                <w:color w:val="001F60"/>
                <w:sz w:val="14"/>
              </w:rPr>
              <w:t>Livres</w:t>
            </w:r>
            <w:r>
              <w:rPr>
                <w:rFonts w:ascii="Arial MT" w:hAnsi="Arial MT"/>
                <w:color w:val="001F60"/>
                <w:spacing w:val="-5"/>
                <w:sz w:val="14"/>
              </w:rPr>
              <w:t xml:space="preserve"> </w:t>
            </w:r>
            <w:r>
              <w:rPr>
                <w:rFonts w:ascii="Arial MT" w:hAnsi="Arial MT"/>
                <w:color w:val="001F60"/>
                <w:sz w:val="14"/>
              </w:rPr>
              <w:t>da</w:t>
            </w:r>
            <w:r>
              <w:rPr>
                <w:rFonts w:ascii="Arial MT" w:hAnsi="Arial MT"/>
                <w:color w:val="001F60"/>
                <w:spacing w:val="-6"/>
                <w:sz w:val="14"/>
              </w:rPr>
              <w:t xml:space="preserve"> </w:t>
            </w:r>
            <w:r>
              <w:rPr>
                <w:rFonts w:ascii="Arial MT" w:hAnsi="Arial MT"/>
                <w:color w:val="001F60"/>
                <w:spacing w:val="-5"/>
                <w:sz w:val="14"/>
              </w:rPr>
              <w:t>Uo</w:t>
            </w:r>
          </w:p>
        </w:tc>
        <w:tc>
          <w:tcPr>
            <w:tcW w:w="2129" w:type="dxa"/>
            <w:tcBorders>
              <w:bottom w:val="single" w:sz="4" w:space="0" w:color="001F60"/>
            </w:tcBorders>
          </w:tcPr>
          <w:p w14:paraId="04ACCF38" w14:textId="77777777" w:rsidR="002C6574" w:rsidRDefault="00000000">
            <w:pPr>
              <w:pStyle w:val="TableParagraph"/>
              <w:spacing w:before="58"/>
              <w:ind w:right="353"/>
              <w:rPr>
                <w:rFonts w:ascii="Arial MT"/>
                <w:sz w:val="14"/>
              </w:rPr>
            </w:pPr>
            <w:r>
              <w:rPr>
                <w:rFonts w:ascii="Arial MT"/>
                <w:color w:val="001F60"/>
                <w:spacing w:val="-4"/>
                <w:sz w:val="14"/>
              </w:rPr>
              <w:t>0,14</w:t>
            </w:r>
          </w:p>
        </w:tc>
        <w:tc>
          <w:tcPr>
            <w:tcW w:w="1021" w:type="dxa"/>
            <w:tcBorders>
              <w:bottom w:val="single" w:sz="4" w:space="0" w:color="001F60"/>
            </w:tcBorders>
          </w:tcPr>
          <w:p w14:paraId="74964160" w14:textId="77777777" w:rsidR="002C6574" w:rsidRDefault="00000000">
            <w:pPr>
              <w:pStyle w:val="TableParagraph"/>
              <w:spacing w:before="58"/>
              <w:ind w:left="113"/>
              <w:jc w:val="center"/>
              <w:rPr>
                <w:rFonts w:ascii="Arial MT"/>
                <w:sz w:val="14"/>
              </w:rPr>
            </w:pPr>
            <w:r>
              <w:rPr>
                <w:rFonts w:ascii="Arial MT"/>
                <w:color w:val="001F60"/>
                <w:spacing w:val="-4"/>
                <w:sz w:val="14"/>
              </w:rPr>
              <w:t>4,76</w:t>
            </w:r>
          </w:p>
        </w:tc>
        <w:tc>
          <w:tcPr>
            <w:tcW w:w="816" w:type="dxa"/>
            <w:tcBorders>
              <w:bottom w:val="single" w:sz="4" w:space="0" w:color="001F60"/>
            </w:tcBorders>
          </w:tcPr>
          <w:p w14:paraId="4356FC42" w14:textId="77777777" w:rsidR="002C6574" w:rsidRDefault="00000000">
            <w:pPr>
              <w:pStyle w:val="TableParagraph"/>
              <w:spacing w:before="58"/>
              <w:ind w:right="70"/>
              <w:rPr>
                <w:rFonts w:ascii="Arial MT"/>
                <w:sz w:val="14"/>
              </w:rPr>
            </w:pPr>
            <w:r>
              <w:rPr>
                <w:rFonts w:ascii="Arial MT"/>
                <w:color w:val="001F60"/>
                <w:spacing w:val="-4"/>
                <w:sz w:val="14"/>
              </w:rPr>
              <w:t>4,91</w:t>
            </w:r>
          </w:p>
        </w:tc>
      </w:tr>
      <w:tr w:rsidR="002C6574" w14:paraId="62FE96B2" w14:textId="77777777">
        <w:trPr>
          <w:trHeight w:val="282"/>
        </w:trPr>
        <w:tc>
          <w:tcPr>
            <w:tcW w:w="593" w:type="dxa"/>
            <w:tcBorders>
              <w:top w:val="single" w:sz="4" w:space="0" w:color="001F60"/>
              <w:bottom w:val="single" w:sz="4" w:space="0" w:color="001F60"/>
            </w:tcBorders>
          </w:tcPr>
          <w:p w14:paraId="6B174827" w14:textId="77777777" w:rsidR="002C6574" w:rsidRDefault="00000000">
            <w:pPr>
              <w:pStyle w:val="TableParagraph"/>
              <w:spacing w:before="63"/>
              <w:ind w:left="69"/>
              <w:jc w:val="left"/>
              <w:rPr>
                <w:rFonts w:ascii="Arial"/>
                <w:b/>
                <w:sz w:val="14"/>
              </w:rPr>
            </w:pPr>
            <w:r>
              <w:rPr>
                <w:rFonts w:ascii="Arial"/>
                <w:b/>
                <w:color w:val="001F60"/>
                <w:spacing w:val="-2"/>
                <w:sz w:val="14"/>
              </w:rPr>
              <w:t>TOTAL</w:t>
            </w:r>
          </w:p>
        </w:tc>
        <w:tc>
          <w:tcPr>
            <w:tcW w:w="1081" w:type="dxa"/>
            <w:tcBorders>
              <w:top w:val="single" w:sz="4" w:space="0" w:color="001F60"/>
              <w:bottom w:val="single" w:sz="4" w:space="0" w:color="001F60"/>
            </w:tcBorders>
          </w:tcPr>
          <w:p w14:paraId="7737E1CC" w14:textId="77777777" w:rsidR="002C6574" w:rsidRDefault="002C6574">
            <w:pPr>
              <w:pStyle w:val="TableParagraph"/>
              <w:jc w:val="left"/>
              <w:rPr>
                <w:rFonts w:ascii="Times New Roman"/>
                <w:sz w:val="18"/>
              </w:rPr>
            </w:pPr>
          </w:p>
        </w:tc>
        <w:tc>
          <w:tcPr>
            <w:tcW w:w="3460" w:type="dxa"/>
            <w:tcBorders>
              <w:top w:val="single" w:sz="4" w:space="0" w:color="001F60"/>
              <w:bottom w:val="single" w:sz="4" w:space="0" w:color="001F60"/>
            </w:tcBorders>
          </w:tcPr>
          <w:p w14:paraId="35DE4306" w14:textId="77777777" w:rsidR="002C6574" w:rsidRDefault="002C6574">
            <w:pPr>
              <w:pStyle w:val="TableParagraph"/>
              <w:jc w:val="left"/>
              <w:rPr>
                <w:rFonts w:ascii="Times New Roman"/>
                <w:sz w:val="18"/>
              </w:rPr>
            </w:pPr>
          </w:p>
        </w:tc>
        <w:tc>
          <w:tcPr>
            <w:tcW w:w="2129" w:type="dxa"/>
            <w:tcBorders>
              <w:top w:val="single" w:sz="4" w:space="0" w:color="001F60"/>
              <w:bottom w:val="single" w:sz="4" w:space="0" w:color="001F60"/>
            </w:tcBorders>
          </w:tcPr>
          <w:p w14:paraId="2ABE1705" w14:textId="77777777" w:rsidR="002C6574" w:rsidRDefault="00000000">
            <w:pPr>
              <w:pStyle w:val="TableParagraph"/>
              <w:spacing w:before="63"/>
              <w:ind w:right="353"/>
              <w:rPr>
                <w:rFonts w:ascii="Arial"/>
                <w:b/>
                <w:sz w:val="14"/>
              </w:rPr>
            </w:pPr>
            <w:r>
              <w:rPr>
                <w:rFonts w:ascii="Arial"/>
                <w:b/>
                <w:color w:val="001F60"/>
                <w:spacing w:val="-2"/>
                <w:sz w:val="14"/>
              </w:rPr>
              <w:t>294,97</w:t>
            </w:r>
          </w:p>
        </w:tc>
        <w:tc>
          <w:tcPr>
            <w:tcW w:w="1021" w:type="dxa"/>
            <w:tcBorders>
              <w:top w:val="single" w:sz="4" w:space="0" w:color="001F60"/>
              <w:bottom w:val="single" w:sz="4" w:space="0" w:color="001F60"/>
            </w:tcBorders>
          </w:tcPr>
          <w:p w14:paraId="5985EC7D" w14:textId="77777777" w:rsidR="002C6574" w:rsidRDefault="00000000">
            <w:pPr>
              <w:pStyle w:val="TableParagraph"/>
              <w:spacing w:before="63"/>
              <w:ind w:left="113" w:right="76"/>
              <w:jc w:val="center"/>
              <w:rPr>
                <w:rFonts w:ascii="Arial"/>
                <w:b/>
                <w:sz w:val="14"/>
              </w:rPr>
            </w:pPr>
            <w:r>
              <w:rPr>
                <w:rFonts w:ascii="Arial"/>
                <w:b/>
                <w:color w:val="001F60"/>
                <w:spacing w:val="-2"/>
                <w:sz w:val="14"/>
              </w:rPr>
              <w:t>46,16</w:t>
            </w:r>
          </w:p>
        </w:tc>
        <w:tc>
          <w:tcPr>
            <w:tcW w:w="816" w:type="dxa"/>
            <w:tcBorders>
              <w:top w:val="single" w:sz="4" w:space="0" w:color="001F60"/>
              <w:bottom w:val="single" w:sz="4" w:space="0" w:color="001F60"/>
            </w:tcBorders>
          </w:tcPr>
          <w:p w14:paraId="01CE50CE" w14:textId="77777777" w:rsidR="002C6574" w:rsidRDefault="00000000">
            <w:pPr>
              <w:pStyle w:val="TableParagraph"/>
              <w:spacing w:before="63"/>
              <w:ind w:right="71"/>
              <w:rPr>
                <w:rFonts w:ascii="Arial"/>
                <w:b/>
                <w:sz w:val="14"/>
              </w:rPr>
            </w:pPr>
            <w:r>
              <w:rPr>
                <w:rFonts w:ascii="Arial"/>
                <w:b/>
                <w:color w:val="001F60"/>
                <w:spacing w:val="-2"/>
                <w:sz w:val="14"/>
              </w:rPr>
              <w:t>341,13</w:t>
            </w:r>
          </w:p>
        </w:tc>
      </w:tr>
    </w:tbl>
    <w:p w14:paraId="5BE81CC8" w14:textId="77777777" w:rsidR="002C6574" w:rsidRDefault="00000000">
      <w:pPr>
        <w:spacing w:before="65"/>
        <w:ind w:left="779"/>
        <w:rPr>
          <w:rFonts w:ascii="Arial"/>
          <w:i/>
          <w:sz w:val="14"/>
        </w:rPr>
      </w:pPr>
      <w:r>
        <w:rPr>
          <w:rFonts w:ascii="Arial"/>
          <w:b/>
          <w:color w:val="001F60"/>
          <w:sz w:val="14"/>
        </w:rPr>
        <w:t>Fonte:</w:t>
      </w:r>
      <w:r>
        <w:rPr>
          <w:rFonts w:ascii="Arial"/>
          <w:b/>
          <w:color w:val="001F60"/>
          <w:spacing w:val="-5"/>
          <w:sz w:val="14"/>
        </w:rPr>
        <w:t xml:space="preserve"> </w:t>
      </w:r>
      <w:r>
        <w:rPr>
          <w:rFonts w:ascii="Arial"/>
          <w:i/>
          <w:color w:val="001F60"/>
          <w:sz w:val="14"/>
        </w:rPr>
        <w:t>Sistema</w:t>
      </w:r>
      <w:r>
        <w:rPr>
          <w:rFonts w:ascii="Arial"/>
          <w:i/>
          <w:color w:val="001F60"/>
          <w:spacing w:val="-5"/>
          <w:sz w:val="14"/>
        </w:rPr>
        <w:t xml:space="preserve"> </w:t>
      </w:r>
      <w:r>
        <w:rPr>
          <w:rFonts w:ascii="Arial"/>
          <w:i/>
          <w:color w:val="001F60"/>
          <w:sz w:val="14"/>
        </w:rPr>
        <w:t>Siga</w:t>
      </w:r>
      <w:r>
        <w:rPr>
          <w:rFonts w:ascii="Arial"/>
          <w:i/>
          <w:color w:val="001F60"/>
          <w:spacing w:val="-6"/>
          <w:sz w:val="14"/>
        </w:rPr>
        <w:t xml:space="preserve"> </w:t>
      </w:r>
      <w:r>
        <w:rPr>
          <w:rFonts w:ascii="Arial"/>
          <w:i/>
          <w:color w:val="001F60"/>
          <w:sz w:val="14"/>
        </w:rPr>
        <w:t>Brasil</w:t>
      </w:r>
      <w:r>
        <w:rPr>
          <w:rFonts w:ascii="Arial"/>
          <w:i/>
          <w:color w:val="001F60"/>
          <w:spacing w:val="-1"/>
          <w:sz w:val="14"/>
        </w:rPr>
        <w:t xml:space="preserve"> </w:t>
      </w:r>
      <w:r>
        <w:rPr>
          <w:rFonts w:ascii="Arial"/>
          <w:i/>
          <w:color w:val="001F60"/>
          <w:sz w:val="14"/>
        </w:rPr>
        <w:t>-</w:t>
      </w:r>
      <w:r>
        <w:rPr>
          <w:rFonts w:ascii="Arial"/>
          <w:i/>
          <w:color w:val="001F60"/>
          <w:spacing w:val="-5"/>
          <w:sz w:val="14"/>
        </w:rPr>
        <w:t xml:space="preserve"> </w:t>
      </w:r>
      <w:r>
        <w:rPr>
          <w:rFonts w:ascii="Arial"/>
          <w:i/>
          <w:color w:val="001F60"/>
          <w:sz w:val="14"/>
        </w:rPr>
        <w:t>Senado</w:t>
      </w:r>
      <w:r>
        <w:rPr>
          <w:rFonts w:ascii="Arial"/>
          <w:i/>
          <w:color w:val="001F60"/>
          <w:spacing w:val="-1"/>
          <w:sz w:val="14"/>
        </w:rPr>
        <w:t xml:space="preserve"> </w:t>
      </w:r>
      <w:r>
        <w:rPr>
          <w:rFonts w:ascii="Arial"/>
          <w:i/>
          <w:color w:val="001F60"/>
          <w:sz w:val="14"/>
        </w:rPr>
        <w:t>Federal:</w:t>
      </w:r>
      <w:r>
        <w:rPr>
          <w:rFonts w:ascii="Arial"/>
          <w:i/>
          <w:color w:val="001F60"/>
          <w:spacing w:val="-3"/>
          <w:sz w:val="14"/>
        </w:rPr>
        <w:t xml:space="preserve"> </w:t>
      </w:r>
      <w:r>
        <w:rPr>
          <w:rFonts w:ascii="Arial"/>
          <w:i/>
          <w:color w:val="001F60"/>
          <w:spacing w:val="-2"/>
          <w:sz w:val="14"/>
        </w:rPr>
        <w:t>26/1/2026</w:t>
      </w:r>
    </w:p>
    <w:p w14:paraId="72A507A2" w14:textId="77777777" w:rsidR="002C6574" w:rsidRDefault="00000000">
      <w:pPr>
        <w:spacing w:before="178"/>
        <w:ind w:left="427"/>
        <w:jc w:val="center"/>
        <w:rPr>
          <w:rFonts w:ascii="Calibri" w:hAnsi="Calibri"/>
          <w:sz w:val="16"/>
        </w:rPr>
      </w:pPr>
      <w:r>
        <w:rPr>
          <w:rFonts w:ascii="Calibri" w:hAnsi="Calibri"/>
          <w:color w:val="001F60"/>
          <w:sz w:val="16"/>
        </w:rPr>
        <w:t>Tabela</w:t>
      </w:r>
      <w:r>
        <w:rPr>
          <w:rFonts w:ascii="Calibri" w:hAnsi="Calibri"/>
          <w:color w:val="001F60"/>
          <w:spacing w:val="-3"/>
          <w:sz w:val="16"/>
        </w:rPr>
        <w:t xml:space="preserve"> </w:t>
      </w:r>
      <w:r>
        <w:rPr>
          <w:rFonts w:ascii="Calibri" w:hAnsi="Calibri"/>
          <w:color w:val="001F60"/>
          <w:sz w:val="16"/>
        </w:rPr>
        <w:t>3-17</w:t>
      </w:r>
      <w:r>
        <w:rPr>
          <w:rFonts w:ascii="Calibri" w:hAnsi="Calibri"/>
          <w:color w:val="001F60"/>
          <w:spacing w:val="-5"/>
          <w:sz w:val="16"/>
        </w:rPr>
        <w:t xml:space="preserve"> </w:t>
      </w:r>
      <w:r>
        <w:rPr>
          <w:rFonts w:ascii="Calibri" w:hAnsi="Calibri"/>
          <w:color w:val="001F60"/>
          <w:sz w:val="16"/>
        </w:rPr>
        <w:t>Execução</w:t>
      </w:r>
      <w:r>
        <w:rPr>
          <w:rFonts w:ascii="Calibri" w:hAnsi="Calibri"/>
          <w:color w:val="001F60"/>
          <w:spacing w:val="-2"/>
          <w:sz w:val="16"/>
        </w:rPr>
        <w:t xml:space="preserve"> </w:t>
      </w:r>
      <w:r>
        <w:rPr>
          <w:rFonts w:ascii="Calibri" w:hAnsi="Calibri"/>
          <w:color w:val="001F60"/>
          <w:sz w:val="16"/>
        </w:rPr>
        <w:t>de</w:t>
      </w:r>
      <w:r>
        <w:rPr>
          <w:rFonts w:ascii="Calibri" w:hAnsi="Calibri"/>
          <w:color w:val="001F60"/>
          <w:spacing w:val="-2"/>
          <w:sz w:val="16"/>
        </w:rPr>
        <w:t xml:space="preserve"> Pagamentos</w:t>
      </w:r>
    </w:p>
    <w:p w14:paraId="4022D008" w14:textId="77777777" w:rsidR="002C6574" w:rsidRDefault="002C6574">
      <w:pPr>
        <w:pStyle w:val="Corpodetexto"/>
        <w:rPr>
          <w:rFonts w:ascii="Calibri"/>
          <w:sz w:val="16"/>
        </w:rPr>
      </w:pPr>
    </w:p>
    <w:p w14:paraId="12939841" w14:textId="77777777" w:rsidR="002C6574" w:rsidRDefault="002C6574">
      <w:pPr>
        <w:pStyle w:val="Corpodetexto"/>
        <w:spacing w:before="146"/>
        <w:rPr>
          <w:rFonts w:ascii="Calibri"/>
          <w:sz w:val="16"/>
        </w:rPr>
      </w:pPr>
    </w:p>
    <w:p w14:paraId="4344A4D1" w14:textId="77777777" w:rsidR="002C6574" w:rsidRDefault="00000000">
      <w:pPr>
        <w:spacing w:before="1"/>
        <w:ind w:left="709"/>
        <w:jc w:val="both"/>
        <w:rPr>
          <w:rFonts w:ascii="Calibri" w:hAnsi="Calibri"/>
          <w:b/>
        </w:rPr>
      </w:pPr>
      <w:r>
        <w:rPr>
          <w:rFonts w:ascii="Calibri" w:hAnsi="Calibri"/>
          <w:b/>
          <w:color w:val="001F60"/>
        </w:rPr>
        <w:t>TED</w:t>
      </w:r>
      <w:r>
        <w:rPr>
          <w:rFonts w:ascii="Calibri" w:hAnsi="Calibri"/>
          <w:b/>
          <w:color w:val="001F60"/>
          <w:spacing w:val="-3"/>
        </w:rPr>
        <w:t xml:space="preserve"> </w:t>
      </w:r>
      <w:r>
        <w:rPr>
          <w:rFonts w:ascii="Calibri" w:hAnsi="Calibri"/>
          <w:b/>
          <w:color w:val="001F60"/>
        </w:rPr>
        <w:t>–</w:t>
      </w:r>
      <w:r>
        <w:rPr>
          <w:rFonts w:ascii="Calibri" w:hAnsi="Calibri"/>
          <w:b/>
          <w:color w:val="001F60"/>
          <w:spacing w:val="-3"/>
        </w:rPr>
        <w:t xml:space="preserve"> </w:t>
      </w:r>
      <w:r>
        <w:rPr>
          <w:rFonts w:ascii="Calibri" w:hAnsi="Calibri"/>
          <w:b/>
          <w:color w:val="001F60"/>
        </w:rPr>
        <w:t>Termo</w:t>
      </w:r>
      <w:r>
        <w:rPr>
          <w:rFonts w:ascii="Calibri" w:hAnsi="Calibri"/>
          <w:b/>
          <w:color w:val="001F60"/>
          <w:spacing w:val="-3"/>
        </w:rPr>
        <w:t xml:space="preserve"> </w:t>
      </w:r>
      <w:r>
        <w:rPr>
          <w:rFonts w:ascii="Calibri" w:hAnsi="Calibri"/>
          <w:b/>
          <w:color w:val="001F60"/>
        </w:rPr>
        <w:t>de</w:t>
      </w:r>
      <w:r>
        <w:rPr>
          <w:rFonts w:ascii="Calibri" w:hAnsi="Calibri"/>
          <w:b/>
          <w:color w:val="001F60"/>
          <w:spacing w:val="-1"/>
        </w:rPr>
        <w:t xml:space="preserve"> </w:t>
      </w:r>
      <w:r>
        <w:rPr>
          <w:rFonts w:ascii="Calibri" w:hAnsi="Calibri"/>
          <w:b/>
          <w:color w:val="001F60"/>
        </w:rPr>
        <w:t>Execução</w:t>
      </w:r>
      <w:r>
        <w:rPr>
          <w:rFonts w:ascii="Calibri" w:hAnsi="Calibri"/>
          <w:b/>
          <w:color w:val="001F60"/>
          <w:spacing w:val="-3"/>
        </w:rPr>
        <w:t xml:space="preserve"> </w:t>
      </w:r>
      <w:r>
        <w:rPr>
          <w:rFonts w:ascii="Calibri" w:hAnsi="Calibri"/>
          <w:b/>
          <w:color w:val="001F60"/>
          <w:spacing w:val="-2"/>
        </w:rPr>
        <w:t>Descentralizada</w:t>
      </w:r>
    </w:p>
    <w:p w14:paraId="3B73D066" w14:textId="77777777" w:rsidR="002C6574" w:rsidRDefault="00000000">
      <w:pPr>
        <w:pStyle w:val="Corpodetexto"/>
        <w:spacing w:before="120"/>
        <w:ind w:left="709" w:right="275"/>
        <w:jc w:val="both"/>
        <w:rPr>
          <w:rFonts w:ascii="Calibri" w:hAnsi="Calibri"/>
        </w:rPr>
      </w:pPr>
      <w:r>
        <w:rPr>
          <w:rFonts w:ascii="Calibri" w:hAnsi="Calibri"/>
          <w:color w:val="001F60"/>
        </w:rPr>
        <w:t>A Telebras recebeu, no exercício de 2024, recursos descentralizados por meio de Termo de Execução Descentralizada (TED), referentes às ações 162Q e 20V8. O TED é o instrumento por meio do qual se formaliza a descentralização de créditos entre órgãos e entidades integrantes do Orçamento Fiscal e da Seguridade Social da União (OFSS), para execução de ações de interesse da unidade orçamentária descentralizadora, conforme o plano de trabalho pactuado.</w:t>
      </w:r>
    </w:p>
    <w:p w14:paraId="650EB72A" w14:textId="77777777" w:rsidR="002C6574" w:rsidRDefault="00000000">
      <w:pPr>
        <w:pStyle w:val="Corpodetexto"/>
        <w:spacing w:before="121"/>
        <w:ind w:left="709" w:right="277"/>
        <w:jc w:val="both"/>
        <w:rPr>
          <w:rFonts w:ascii="Calibri" w:hAnsi="Calibri"/>
        </w:rPr>
      </w:pPr>
      <w:r>
        <w:rPr>
          <w:rFonts w:ascii="Calibri" w:hAnsi="Calibri"/>
          <w:b/>
          <w:color w:val="001F60"/>
        </w:rPr>
        <w:t xml:space="preserve">Ação 162Q - Implantação de Infraestrutura de Comunicações: </w:t>
      </w:r>
      <w:r>
        <w:rPr>
          <w:rFonts w:ascii="Calibri" w:hAnsi="Calibri"/>
          <w:color w:val="001F60"/>
        </w:rPr>
        <w:t>execução de projetos voltados ao suporte, implantação e expansão de infraestrutura de comunicações do país, alinhados às políticas públicas de telecomunicações. Os investimentos contribuem para a continuidade e efetividade das ações de inclusão digital, elemento essencial para a melhoria da qualidade de vida dos cidadãos.</w:t>
      </w:r>
    </w:p>
    <w:p w14:paraId="0095A57F" w14:textId="77777777" w:rsidR="002C6574" w:rsidRDefault="00000000">
      <w:pPr>
        <w:pStyle w:val="Corpodetexto"/>
        <w:spacing w:before="119"/>
        <w:ind w:left="709" w:right="279"/>
        <w:jc w:val="both"/>
        <w:rPr>
          <w:rFonts w:ascii="Calibri" w:hAnsi="Calibri"/>
        </w:rPr>
      </w:pPr>
      <w:r>
        <w:rPr>
          <w:rFonts w:ascii="Calibri" w:hAnsi="Calibri"/>
          <w:b/>
          <w:color w:val="001F60"/>
        </w:rPr>
        <w:t xml:space="preserve">Ação 20V8 - Apoio a Iniciativas e Projetos de Inclusão Digital: </w:t>
      </w:r>
      <w:r>
        <w:rPr>
          <w:rFonts w:ascii="Calibri" w:hAnsi="Calibri"/>
          <w:color w:val="001F60"/>
        </w:rPr>
        <w:t>apoia o fortalecimento do Sistema Nacional de Comunicações por meio de projetos de interiorização de Infovias Digitais no Estado do Maranhão. A ação objetiva prover conectividade a</w:t>
      </w:r>
      <w:r>
        <w:rPr>
          <w:rFonts w:ascii="Calibri" w:hAnsi="Calibri"/>
          <w:color w:val="001F60"/>
          <w:spacing w:val="-1"/>
        </w:rPr>
        <w:t xml:space="preserve"> </w:t>
      </w:r>
      <w:r>
        <w:rPr>
          <w:rFonts w:ascii="Calibri" w:hAnsi="Calibri"/>
          <w:color w:val="001F60"/>
        </w:rPr>
        <w:t>instituições públicas mediante parceria do MCom, o governo do estadual e provedores regionais, com a construção de redes metropolitanas e trechos de longa</w:t>
      </w:r>
      <w:r>
        <w:rPr>
          <w:rFonts w:ascii="Calibri" w:hAnsi="Calibri"/>
          <w:color w:val="001F60"/>
          <w:spacing w:val="-2"/>
        </w:rPr>
        <w:t xml:space="preserve"> </w:t>
      </w:r>
      <w:r>
        <w:rPr>
          <w:rFonts w:ascii="Calibri" w:hAnsi="Calibri"/>
          <w:color w:val="001F60"/>
        </w:rPr>
        <w:t>distância (b</w:t>
      </w:r>
      <w:r>
        <w:rPr>
          <w:rFonts w:ascii="Arial" w:hAnsi="Arial"/>
          <w:i/>
          <w:color w:val="001F60"/>
        </w:rPr>
        <w:t>ackhaul</w:t>
      </w:r>
      <w:r>
        <w:rPr>
          <w:rFonts w:ascii="Calibri" w:hAnsi="Calibri"/>
          <w:color w:val="001F60"/>
        </w:rPr>
        <w:t>) integrados</w:t>
      </w:r>
      <w:r>
        <w:rPr>
          <w:rFonts w:ascii="Calibri" w:hAnsi="Calibri"/>
          <w:color w:val="001F60"/>
          <w:spacing w:val="-2"/>
        </w:rPr>
        <w:t xml:space="preserve"> </w:t>
      </w:r>
      <w:r>
        <w:rPr>
          <w:rFonts w:ascii="Calibri" w:hAnsi="Calibri"/>
          <w:color w:val="001F60"/>
        </w:rPr>
        <w:t>ao</w:t>
      </w:r>
      <w:r>
        <w:rPr>
          <w:rFonts w:ascii="Calibri" w:hAnsi="Calibri"/>
          <w:color w:val="001F60"/>
          <w:spacing w:val="-2"/>
        </w:rPr>
        <w:t xml:space="preserve"> </w:t>
      </w:r>
      <w:r>
        <w:rPr>
          <w:rFonts w:ascii="Calibri" w:hAnsi="Calibri"/>
          <w:color w:val="001F60"/>
        </w:rPr>
        <w:t>b</w:t>
      </w:r>
      <w:r>
        <w:rPr>
          <w:rFonts w:ascii="Arial" w:hAnsi="Arial"/>
          <w:i/>
          <w:color w:val="001F60"/>
        </w:rPr>
        <w:t>ackbone</w:t>
      </w:r>
      <w:r>
        <w:rPr>
          <w:rFonts w:ascii="Arial" w:hAnsi="Arial"/>
          <w:i/>
          <w:color w:val="001F60"/>
          <w:spacing w:val="-11"/>
        </w:rPr>
        <w:t xml:space="preserve"> </w:t>
      </w:r>
      <w:r>
        <w:rPr>
          <w:rFonts w:ascii="Calibri" w:hAnsi="Calibri"/>
          <w:color w:val="001F60"/>
        </w:rPr>
        <w:t>da Telebras.</w:t>
      </w:r>
    </w:p>
    <w:p w14:paraId="07FAA772" w14:textId="77777777" w:rsidR="002C6574" w:rsidRDefault="00000000">
      <w:pPr>
        <w:pStyle w:val="Corpodetexto"/>
        <w:spacing w:before="121"/>
        <w:ind w:left="709"/>
        <w:jc w:val="both"/>
        <w:rPr>
          <w:rFonts w:ascii="Calibri"/>
        </w:rPr>
      </w:pPr>
      <w:r>
        <w:rPr>
          <w:rFonts w:ascii="Calibri"/>
          <w:color w:val="001F60"/>
        </w:rPr>
        <w:t>Os</w:t>
      </w:r>
      <w:r>
        <w:rPr>
          <w:rFonts w:ascii="Calibri"/>
          <w:color w:val="001F60"/>
          <w:spacing w:val="-4"/>
        </w:rPr>
        <w:t xml:space="preserve"> </w:t>
      </w:r>
      <w:r>
        <w:rPr>
          <w:rFonts w:ascii="Calibri"/>
          <w:color w:val="001F60"/>
        </w:rPr>
        <w:t>TEDs firmados entre</w:t>
      </w:r>
      <w:r>
        <w:rPr>
          <w:rFonts w:ascii="Calibri"/>
          <w:color w:val="001F60"/>
          <w:spacing w:val="-2"/>
        </w:rPr>
        <w:t xml:space="preserve"> </w:t>
      </w:r>
      <w:r>
        <w:rPr>
          <w:rFonts w:ascii="Calibri"/>
          <w:color w:val="001F60"/>
        </w:rPr>
        <w:t>a</w:t>
      </w:r>
      <w:r>
        <w:rPr>
          <w:rFonts w:ascii="Calibri"/>
          <w:color w:val="001F60"/>
          <w:spacing w:val="-4"/>
        </w:rPr>
        <w:t xml:space="preserve"> </w:t>
      </w:r>
      <w:r>
        <w:rPr>
          <w:rFonts w:ascii="Calibri"/>
          <w:color w:val="001F60"/>
        </w:rPr>
        <w:t>Telebras</w:t>
      </w:r>
      <w:r>
        <w:rPr>
          <w:rFonts w:ascii="Calibri"/>
          <w:color w:val="001F60"/>
          <w:spacing w:val="-4"/>
        </w:rPr>
        <w:t xml:space="preserve"> </w:t>
      </w:r>
      <w:r>
        <w:rPr>
          <w:rFonts w:ascii="Calibri"/>
          <w:color w:val="001F60"/>
        </w:rPr>
        <w:t>e</w:t>
      </w:r>
      <w:r>
        <w:rPr>
          <w:rFonts w:ascii="Calibri"/>
          <w:color w:val="001F60"/>
          <w:spacing w:val="-1"/>
        </w:rPr>
        <w:t xml:space="preserve"> </w:t>
      </w:r>
      <w:r>
        <w:rPr>
          <w:rFonts w:ascii="Calibri"/>
          <w:color w:val="001F60"/>
        </w:rPr>
        <w:t>o</w:t>
      </w:r>
      <w:r>
        <w:rPr>
          <w:rFonts w:ascii="Calibri"/>
          <w:color w:val="001F60"/>
          <w:spacing w:val="-4"/>
        </w:rPr>
        <w:t xml:space="preserve"> </w:t>
      </w:r>
      <w:r>
        <w:rPr>
          <w:rFonts w:ascii="Calibri"/>
          <w:color w:val="001F60"/>
        </w:rPr>
        <w:t>MCom</w:t>
      </w:r>
      <w:r>
        <w:rPr>
          <w:rFonts w:ascii="Calibri"/>
          <w:color w:val="001F60"/>
          <w:spacing w:val="-2"/>
        </w:rPr>
        <w:t xml:space="preserve"> </w:t>
      </w:r>
      <w:r>
        <w:rPr>
          <w:rFonts w:ascii="Calibri"/>
          <w:color w:val="001F60"/>
        </w:rPr>
        <w:t>tiveram</w:t>
      </w:r>
      <w:r>
        <w:rPr>
          <w:rFonts w:ascii="Calibri"/>
          <w:color w:val="001F60"/>
          <w:spacing w:val="-6"/>
        </w:rPr>
        <w:t xml:space="preserve"> </w:t>
      </w:r>
      <w:r>
        <w:rPr>
          <w:rFonts w:ascii="Calibri"/>
          <w:color w:val="001F60"/>
        </w:rPr>
        <w:t>como</w:t>
      </w:r>
      <w:r>
        <w:rPr>
          <w:rFonts w:ascii="Calibri"/>
          <w:color w:val="001F60"/>
          <w:spacing w:val="-1"/>
        </w:rPr>
        <w:t xml:space="preserve"> </w:t>
      </w:r>
      <w:r>
        <w:rPr>
          <w:rFonts w:ascii="Calibri"/>
          <w:color w:val="001F60"/>
          <w:spacing w:val="-2"/>
        </w:rPr>
        <w:t>objetivos:</w:t>
      </w:r>
    </w:p>
    <w:p w14:paraId="35F67DA2" w14:textId="77777777" w:rsidR="002C6574" w:rsidRDefault="00000000">
      <w:pPr>
        <w:pStyle w:val="PargrafodaLista"/>
        <w:numPr>
          <w:ilvl w:val="0"/>
          <w:numId w:val="68"/>
        </w:numPr>
        <w:tabs>
          <w:tab w:val="left" w:pos="1549"/>
        </w:tabs>
        <w:spacing w:before="120"/>
        <w:ind w:right="278"/>
        <w:jc w:val="both"/>
      </w:pPr>
      <w:r>
        <w:rPr>
          <w:color w:val="001F60"/>
        </w:rPr>
        <w:t>fortalecer o Sistema Nacional de Comunicações mediante projetos de interiorização de infovias digitais no Estado do Maranhão; e</w:t>
      </w:r>
    </w:p>
    <w:p w14:paraId="4C3E7E30" w14:textId="77777777" w:rsidR="002C6574" w:rsidRDefault="00000000">
      <w:pPr>
        <w:pStyle w:val="PargrafodaLista"/>
        <w:numPr>
          <w:ilvl w:val="0"/>
          <w:numId w:val="68"/>
        </w:numPr>
        <w:tabs>
          <w:tab w:val="left" w:pos="1548"/>
        </w:tabs>
        <w:spacing w:before="1"/>
        <w:ind w:left="1548" w:hanging="719"/>
        <w:jc w:val="both"/>
      </w:pPr>
      <w:r>
        <w:rPr>
          <w:color w:val="001F60"/>
        </w:rPr>
        <w:t>Implementar</w:t>
      </w:r>
      <w:r>
        <w:rPr>
          <w:color w:val="001F60"/>
          <w:spacing w:val="-7"/>
        </w:rPr>
        <w:t xml:space="preserve"> </w:t>
      </w:r>
      <w:r>
        <w:rPr>
          <w:color w:val="001F60"/>
        </w:rPr>
        <w:t>solução</w:t>
      </w:r>
      <w:r>
        <w:rPr>
          <w:color w:val="001F60"/>
          <w:spacing w:val="-3"/>
        </w:rPr>
        <w:t xml:space="preserve"> </w:t>
      </w:r>
      <w:r>
        <w:rPr>
          <w:color w:val="001F60"/>
        </w:rPr>
        <w:t>de</w:t>
      </w:r>
      <w:r>
        <w:rPr>
          <w:color w:val="001F60"/>
          <w:spacing w:val="-3"/>
        </w:rPr>
        <w:t xml:space="preserve"> </w:t>
      </w:r>
      <w:r>
        <w:rPr>
          <w:color w:val="001F60"/>
        </w:rPr>
        <w:t>conectividade</w:t>
      </w:r>
      <w:r>
        <w:rPr>
          <w:color w:val="001F60"/>
          <w:spacing w:val="-5"/>
        </w:rPr>
        <w:t xml:space="preserve"> </w:t>
      </w:r>
      <w:r>
        <w:rPr>
          <w:color w:val="001F60"/>
        </w:rPr>
        <w:t>via</w:t>
      </w:r>
      <w:r>
        <w:rPr>
          <w:color w:val="001F60"/>
          <w:spacing w:val="-5"/>
        </w:rPr>
        <w:t xml:space="preserve"> </w:t>
      </w:r>
      <w:r>
        <w:rPr>
          <w:color w:val="001F60"/>
        </w:rPr>
        <w:t>satélite</w:t>
      </w:r>
      <w:r>
        <w:rPr>
          <w:color w:val="001F60"/>
          <w:spacing w:val="-3"/>
        </w:rPr>
        <w:t xml:space="preserve"> </w:t>
      </w:r>
      <w:r>
        <w:rPr>
          <w:color w:val="001F60"/>
        </w:rPr>
        <w:t>para</w:t>
      </w:r>
      <w:r>
        <w:rPr>
          <w:color w:val="001F60"/>
          <w:spacing w:val="-3"/>
        </w:rPr>
        <w:t xml:space="preserve"> </w:t>
      </w:r>
      <w:r>
        <w:rPr>
          <w:color w:val="001F60"/>
        </w:rPr>
        <w:t>conexão</w:t>
      </w:r>
      <w:r>
        <w:rPr>
          <w:color w:val="001F60"/>
          <w:spacing w:val="-2"/>
        </w:rPr>
        <w:t xml:space="preserve"> </w:t>
      </w:r>
      <w:r>
        <w:rPr>
          <w:color w:val="001F60"/>
        </w:rPr>
        <w:t>à</w:t>
      </w:r>
      <w:r>
        <w:rPr>
          <w:color w:val="001F60"/>
          <w:spacing w:val="-3"/>
        </w:rPr>
        <w:t xml:space="preserve"> </w:t>
      </w:r>
      <w:r>
        <w:rPr>
          <w:color w:val="001F60"/>
        </w:rPr>
        <w:t>internet</w:t>
      </w:r>
      <w:r>
        <w:rPr>
          <w:color w:val="001F60"/>
          <w:spacing w:val="-4"/>
        </w:rPr>
        <w:t xml:space="preserve"> </w:t>
      </w:r>
      <w:r>
        <w:rPr>
          <w:color w:val="001F60"/>
        </w:rPr>
        <w:t>em</w:t>
      </w:r>
      <w:r>
        <w:rPr>
          <w:color w:val="001F60"/>
          <w:spacing w:val="-3"/>
        </w:rPr>
        <w:t xml:space="preserve"> </w:t>
      </w:r>
      <w:r>
        <w:rPr>
          <w:color w:val="001F60"/>
        </w:rPr>
        <w:t>banda</w:t>
      </w:r>
      <w:r>
        <w:rPr>
          <w:color w:val="001F60"/>
          <w:spacing w:val="-2"/>
        </w:rPr>
        <w:t xml:space="preserve"> larga.</w:t>
      </w:r>
    </w:p>
    <w:p w14:paraId="147BE0CA" w14:textId="77777777" w:rsidR="002C6574" w:rsidRDefault="002C6574">
      <w:pPr>
        <w:pStyle w:val="PargrafodaLista"/>
        <w:jc w:val="both"/>
        <w:sectPr w:rsidR="002C6574">
          <w:type w:val="continuous"/>
          <w:pgSz w:w="11910" w:h="16840"/>
          <w:pgMar w:top="0" w:right="850" w:bottom="0" w:left="992" w:header="312" w:footer="542" w:gutter="0"/>
          <w:cols w:space="720"/>
        </w:sectPr>
      </w:pPr>
    </w:p>
    <w:p w14:paraId="6F6B67B1" w14:textId="77777777" w:rsidR="002C6574" w:rsidRDefault="002C6574">
      <w:pPr>
        <w:pStyle w:val="Corpodetexto"/>
        <w:spacing w:before="263"/>
        <w:rPr>
          <w:rFonts w:ascii="Calibri"/>
        </w:rPr>
      </w:pPr>
    </w:p>
    <w:p w14:paraId="0675E7FE" w14:textId="77777777" w:rsidR="002C6574" w:rsidRDefault="00000000">
      <w:pPr>
        <w:pStyle w:val="Corpodetexto"/>
        <w:ind w:left="829" w:right="277"/>
        <w:jc w:val="both"/>
        <w:rPr>
          <w:rFonts w:ascii="Calibri" w:hAnsi="Calibri"/>
        </w:rPr>
      </w:pPr>
      <w:r>
        <w:rPr>
          <w:rFonts w:ascii="Calibri" w:hAnsi="Calibri"/>
          <w:color w:val="001F60"/>
        </w:rPr>
        <w:t>Como os destaques dos recursos ocorreram em dezembro de 2024, foi possível firmar contratos, emitir as notas de empenho e inscrever em Restos a Pagar (RAP).</w:t>
      </w:r>
    </w:p>
    <w:p w14:paraId="7451A3F5" w14:textId="77777777" w:rsidR="002C6574" w:rsidRDefault="00000000">
      <w:pPr>
        <w:pStyle w:val="Corpodetexto"/>
        <w:spacing w:before="118"/>
        <w:ind w:left="709" w:right="276"/>
        <w:jc w:val="both"/>
        <w:rPr>
          <w:rFonts w:ascii="Calibri" w:hAnsi="Calibri"/>
        </w:rPr>
      </w:pPr>
      <w:r>
        <w:rPr>
          <w:rFonts w:ascii="Calibri" w:hAnsi="Calibri"/>
          <w:color w:val="001F60"/>
        </w:rPr>
        <w:t>Conforme</w:t>
      </w:r>
      <w:r>
        <w:rPr>
          <w:rFonts w:ascii="Calibri" w:hAnsi="Calibri"/>
          <w:color w:val="001F60"/>
          <w:spacing w:val="-12"/>
        </w:rPr>
        <w:t xml:space="preserve"> </w:t>
      </w:r>
      <w:r>
        <w:rPr>
          <w:rFonts w:ascii="Calibri" w:hAnsi="Calibri"/>
          <w:color w:val="001F60"/>
        </w:rPr>
        <w:t>o</w:t>
      </w:r>
      <w:r>
        <w:rPr>
          <w:rFonts w:ascii="Calibri" w:hAnsi="Calibri"/>
          <w:color w:val="001F60"/>
          <w:spacing w:val="-8"/>
        </w:rPr>
        <w:t xml:space="preserve"> </w:t>
      </w:r>
      <w:r>
        <w:rPr>
          <w:rFonts w:ascii="Calibri" w:hAnsi="Calibri"/>
          <w:color w:val="001F60"/>
        </w:rPr>
        <w:t>Decreto</w:t>
      </w:r>
      <w:r>
        <w:rPr>
          <w:rFonts w:ascii="Calibri" w:hAnsi="Calibri"/>
          <w:color w:val="001F60"/>
          <w:spacing w:val="-6"/>
        </w:rPr>
        <w:t xml:space="preserve"> </w:t>
      </w:r>
      <w:r>
        <w:rPr>
          <w:rFonts w:ascii="Calibri" w:hAnsi="Calibri"/>
          <w:color w:val="001F60"/>
        </w:rPr>
        <w:t>nº</w:t>
      </w:r>
      <w:r>
        <w:rPr>
          <w:rFonts w:ascii="Calibri" w:hAnsi="Calibri"/>
          <w:color w:val="001F60"/>
          <w:spacing w:val="-9"/>
        </w:rPr>
        <w:t xml:space="preserve"> </w:t>
      </w:r>
      <w:r>
        <w:rPr>
          <w:rFonts w:ascii="Calibri" w:hAnsi="Calibri"/>
          <w:color w:val="001F60"/>
        </w:rPr>
        <w:t>10.429,</w:t>
      </w:r>
      <w:r>
        <w:rPr>
          <w:rFonts w:ascii="Calibri" w:hAnsi="Calibri"/>
          <w:color w:val="001F60"/>
          <w:spacing w:val="-6"/>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16</w:t>
      </w:r>
      <w:r>
        <w:rPr>
          <w:rFonts w:ascii="Calibri" w:hAnsi="Calibri"/>
          <w:color w:val="001F60"/>
          <w:spacing w:val="-6"/>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julho</w:t>
      </w:r>
      <w:r>
        <w:rPr>
          <w:rFonts w:ascii="Calibri" w:hAnsi="Calibri"/>
          <w:color w:val="001F60"/>
          <w:spacing w:val="-7"/>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2020,</w:t>
      </w:r>
      <w:r>
        <w:rPr>
          <w:rFonts w:ascii="Calibri" w:hAnsi="Calibri"/>
          <w:color w:val="001F60"/>
          <w:spacing w:val="-6"/>
        </w:rPr>
        <w:t xml:space="preserve"> </w:t>
      </w:r>
      <w:r>
        <w:rPr>
          <w:rFonts w:ascii="Calibri" w:hAnsi="Calibri"/>
          <w:color w:val="001F60"/>
        </w:rPr>
        <w:t>os</w:t>
      </w:r>
      <w:r>
        <w:rPr>
          <w:rFonts w:ascii="Calibri" w:hAnsi="Calibri"/>
          <w:color w:val="001F60"/>
          <w:spacing w:val="-8"/>
        </w:rPr>
        <w:t xml:space="preserve"> </w:t>
      </w:r>
      <w:r>
        <w:rPr>
          <w:rFonts w:ascii="Calibri" w:hAnsi="Calibri"/>
          <w:color w:val="001F60"/>
        </w:rPr>
        <w:t>TEDs</w:t>
      </w:r>
      <w:r>
        <w:rPr>
          <w:rFonts w:ascii="Calibri" w:hAnsi="Calibri"/>
          <w:color w:val="001F60"/>
          <w:spacing w:val="-6"/>
        </w:rPr>
        <w:t xml:space="preserve"> </w:t>
      </w:r>
      <w:r>
        <w:rPr>
          <w:rFonts w:ascii="Calibri" w:hAnsi="Calibri"/>
          <w:color w:val="001F60"/>
        </w:rPr>
        <w:t>devem</w:t>
      </w:r>
      <w:r>
        <w:rPr>
          <w:rFonts w:ascii="Calibri" w:hAnsi="Calibri"/>
          <w:color w:val="001F60"/>
          <w:spacing w:val="-8"/>
        </w:rPr>
        <w:t xml:space="preserve"> </w:t>
      </w:r>
      <w:r>
        <w:rPr>
          <w:rFonts w:ascii="Calibri" w:hAnsi="Calibri"/>
          <w:color w:val="001F60"/>
        </w:rPr>
        <w:t>ser</w:t>
      </w:r>
      <w:r>
        <w:rPr>
          <w:rFonts w:ascii="Calibri" w:hAnsi="Calibri"/>
          <w:color w:val="001F60"/>
          <w:spacing w:val="-8"/>
        </w:rPr>
        <w:t xml:space="preserve"> </w:t>
      </w:r>
      <w:r>
        <w:rPr>
          <w:rFonts w:ascii="Calibri" w:hAnsi="Calibri"/>
          <w:color w:val="001F60"/>
        </w:rPr>
        <w:t>celebrados</w:t>
      </w:r>
      <w:r>
        <w:rPr>
          <w:rFonts w:ascii="Calibri" w:hAnsi="Calibri"/>
          <w:color w:val="001F60"/>
          <w:spacing w:val="-8"/>
        </w:rPr>
        <w:t xml:space="preserve"> </w:t>
      </w:r>
      <w:r>
        <w:rPr>
          <w:rFonts w:ascii="Calibri" w:hAnsi="Calibri"/>
          <w:color w:val="001F60"/>
        </w:rPr>
        <w:t>entre</w:t>
      </w:r>
      <w:r>
        <w:rPr>
          <w:rFonts w:ascii="Calibri" w:hAnsi="Calibri"/>
          <w:color w:val="001F60"/>
          <w:spacing w:val="-8"/>
        </w:rPr>
        <w:t xml:space="preserve"> </w:t>
      </w:r>
      <w:r>
        <w:rPr>
          <w:rFonts w:ascii="Calibri" w:hAnsi="Calibri"/>
          <w:color w:val="001F60"/>
        </w:rPr>
        <w:t>entidades da Administração Pública Federal integrantes do OFSS.</w:t>
      </w:r>
    </w:p>
    <w:p w14:paraId="7B0BE00B" w14:textId="77777777" w:rsidR="002C6574" w:rsidRDefault="00000000">
      <w:pPr>
        <w:pStyle w:val="Corpodetexto"/>
        <w:spacing w:before="121"/>
        <w:ind w:left="709" w:right="275"/>
        <w:jc w:val="both"/>
        <w:rPr>
          <w:rFonts w:ascii="Calibri" w:hAnsi="Calibri"/>
        </w:rPr>
      </w:pPr>
      <w:r>
        <w:rPr>
          <w:rFonts w:ascii="Calibri" w:hAnsi="Calibri"/>
          <w:color w:val="001F60"/>
        </w:rPr>
        <w:t>No exercício de 2025, os pagamentos realizados pela Telebras no âmbito do OFSS referem-se a despesas</w:t>
      </w:r>
      <w:r>
        <w:rPr>
          <w:rFonts w:ascii="Calibri" w:hAnsi="Calibri"/>
          <w:color w:val="001F60"/>
          <w:spacing w:val="-9"/>
        </w:rPr>
        <w:t xml:space="preserve"> </w:t>
      </w:r>
      <w:r>
        <w:rPr>
          <w:rFonts w:ascii="Calibri" w:hAnsi="Calibri"/>
          <w:color w:val="001F60"/>
        </w:rPr>
        <w:t>inscritas</w:t>
      </w:r>
      <w:r>
        <w:rPr>
          <w:rFonts w:ascii="Calibri" w:hAnsi="Calibri"/>
          <w:color w:val="001F60"/>
          <w:spacing w:val="-7"/>
        </w:rPr>
        <w:t xml:space="preserve"> </w:t>
      </w:r>
      <w:r>
        <w:rPr>
          <w:rFonts w:ascii="Calibri" w:hAnsi="Calibri"/>
          <w:color w:val="001F60"/>
        </w:rPr>
        <w:t>em</w:t>
      </w:r>
      <w:r>
        <w:rPr>
          <w:rFonts w:ascii="Calibri" w:hAnsi="Calibri"/>
          <w:color w:val="001F60"/>
          <w:spacing w:val="-4"/>
        </w:rPr>
        <w:t xml:space="preserve"> </w:t>
      </w:r>
      <w:r>
        <w:rPr>
          <w:rFonts w:ascii="Calibri" w:hAnsi="Calibri"/>
          <w:color w:val="001F60"/>
        </w:rPr>
        <w:t>Restos</w:t>
      </w:r>
      <w:r>
        <w:rPr>
          <w:rFonts w:ascii="Calibri" w:hAnsi="Calibri"/>
          <w:color w:val="001F60"/>
          <w:spacing w:val="-5"/>
        </w:rPr>
        <w:t xml:space="preserve"> </w:t>
      </w:r>
      <w:r>
        <w:rPr>
          <w:rFonts w:ascii="Calibri" w:hAnsi="Calibri"/>
          <w:color w:val="001F60"/>
        </w:rPr>
        <w:t>a</w:t>
      </w:r>
      <w:r>
        <w:rPr>
          <w:rFonts w:ascii="Calibri" w:hAnsi="Calibri"/>
          <w:color w:val="001F60"/>
          <w:spacing w:val="-10"/>
        </w:rPr>
        <w:t xml:space="preserve"> </w:t>
      </w:r>
      <w:r>
        <w:rPr>
          <w:rFonts w:ascii="Calibri" w:hAnsi="Calibri"/>
          <w:color w:val="001F60"/>
        </w:rPr>
        <w:t>Pagar,</w:t>
      </w:r>
      <w:r>
        <w:rPr>
          <w:rFonts w:ascii="Calibri" w:hAnsi="Calibri"/>
          <w:color w:val="001F60"/>
          <w:spacing w:val="-7"/>
        </w:rPr>
        <w:t xml:space="preserve"> </w:t>
      </w:r>
      <w:r>
        <w:rPr>
          <w:rFonts w:ascii="Calibri" w:hAnsi="Calibri"/>
          <w:color w:val="001F60"/>
        </w:rPr>
        <w:t>executadas</w:t>
      </w:r>
      <w:r>
        <w:rPr>
          <w:rFonts w:ascii="Calibri" w:hAnsi="Calibri"/>
          <w:color w:val="001F60"/>
          <w:spacing w:val="-5"/>
        </w:rPr>
        <w:t xml:space="preserve"> </w:t>
      </w:r>
      <w:r>
        <w:rPr>
          <w:rFonts w:ascii="Calibri" w:hAnsi="Calibri"/>
          <w:color w:val="001F60"/>
        </w:rPr>
        <w:t>no</w:t>
      </w:r>
      <w:r>
        <w:rPr>
          <w:rFonts w:ascii="Calibri" w:hAnsi="Calibri"/>
          <w:color w:val="001F60"/>
          <w:spacing w:val="-7"/>
        </w:rPr>
        <w:t xml:space="preserve"> </w:t>
      </w:r>
      <w:r>
        <w:rPr>
          <w:rFonts w:ascii="Calibri" w:hAnsi="Calibri"/>
          <w:color w:val="001F60"/>
        </w:rPr>
        <w:t>período</w:t>
      </w:r>
      <w:r>
        <w:rPr>
          <w:rFonts w:ascii="Calibri" w:hAnsi="Calibri"/>
          <w:color w:val="001F60"/>
          <w:spacing w:val="-6"/>
        </w:rPr>
        <w:t xml:space="preserve"> </w:t>
      </w:r>
      <w:r>
        <w:rPr>
          <w:rFonts w:ascii="Calibri" w:hAnsi="Calibri"/>
          <w:color w:val="001F60"/>
        </w:rPr>
        <w:t>em</w:t>
      </w:r>
      <w:r>
        <w:rPr>
          <w:rFonts w:ascii="Calibri" w:hAnsi="Calibri"/>
          <w:color w:val="001F60"/>
          <w:spacing w:val="-7"/>
        </w:rPr>
        <w:t xml:space="preserve"> </w:t>
      </w:r>
      <w:r>
        <w:rPr>
          <w:rFonts w:ascii="Calibri" w:hAnsi="Calibri"/>
          <w:color w:val="001F60"/>
        </w:rPr>
        <w:t>que</w:t>
      </w:r>
      <w:r>
        <w:rPr>
          <w:rFonts w:ascii="Calibri" w:hAnsi="Calibri"/>
          <w:color w:val="001F60"/>
          <w:spacing w:val="-5"/>
        </w:rPr>
        <w:t xml:space="preserve"> </w:t>
      </w:r>
      <w:r>
        <w:rPr>
          <w:rFonts w:ascii="Calibri" w:hAnsi="Calibri"/>
          <w:color w:val="001F60"/>
        </w:rPr>
        <w:t>ainda</w:t>
      </w:r>
      <w:r>
        <w:rPr>
          <w:rFonts w:ascii="Calibri" w:hAnsi="Calibri"/>
          <w:color w:val="001F60"/>
          <w:spacing w:val="-6"/>
        </w:rPr>
        <w:t xml:space="preserve"> </w:t>
      </w:r>
      <w:r>
        <w:rPr>
          <w:rFonts w:ascii="Calibri" w:hAnsi="Calibri"/>
          <w:color w:val="001F60"/>
        </w:rPr>
        <w:t>integrava</w:t>
      </w:r>
      <w:r>
        <w:rPr>
          <w:rFonts w:ascii="Calibri" w:hAnsi="Calibri"/>
          <w:color w:val="001F60"/>
          <w:spacing w:val="-9"/>
        </w:rPr>
        <w:t xml:space="preserve"> </w:t>
      </w:r>
      <w:r>
        <w:rPr>
          <w:rFonts w:ascii="Calibri" w:hAnsi="Calibri"/>
          <w:color w:val="001F60"/>
        </w:rPr>
        <w:t>esse</w:t>
      </w:r>
      <w:r>
        <w:rPr>
          <w:rFonts w:ascii="Calibri" w:hAnsi="Calibri"/>
          <w:color w:val="001F60"/>
          <w:spacing w:val="-8"/>
        </w:rPr>
        <w:t xml:space="preserve"> </w:t>
      </w:r>
      <w:r>
        <w:rPr>
          <w:rFonts w:ascii="Calibri" w:hAnsi="Calibri"/>
          <w:color w:val="001F60"/>
          <w:spacing w:val="-2"/>
        </w:rPr>
        <w:t>orçamento.</w:t>
      </w:r>
    </w:p>
    <w:p w14:paraId="119EF185" w14:textId="77777777" w:rsidR="002C6574" w:rsidRDefault="00000000">
      <w:pPr>
        <w:pStyle w:val="Corpodetexto"/>
        <w:spacing w:before="120"/>
        <w:ind w:left="709" w:right="277"/>
        <w:jc w:val="both"/>
        <w:rPr>
          <w:rFonts w:ascii="Calibri" w:hAnsi="Calibri"/>
        </w:rPr>
      </w:pPr>
      <w:r>
        <w:rPr>
          <w:rFonts w:ascii="Calibri" w:hAnsi="Calibri"/>
          <w:color w:val="001F60"/>
        </w:rPr>
        <w:t>Com a migração da Telebras para o OI/PDG, a empresa ficou impedida de gerir os recursos descentralizados relativos</w:t>
      </w:r>
      <w:r>
        <w:rPr>
          <w:rFonts w:ascii="Calibri" w:hAnsi="Calibri"/>
          <w:color w:val="001F60"/>
          <w:spacing w:val="-6"/>
        </w:rPr>
        <w:t xml:space="preserve"> </w:t>
      </w:r>
      <w:r>
        <w:rPr>
          <w:rFonts w:ascii="Calibri" w:hAnsi="Calibri"/>
          <w:color w:val="001F60"/>
        </w:rPr>
        <w:t>ao</w:t>
      </w:r>
      <w:r>
        <w:rPr>
          <w:rFonts w:ascii="Calibri" w:hAnsi="Calibri"/>
          <w:color w:val="001F60"/>
          <w:spacing w:val="-1"/>
        </w:rPr>
        <w:t xml:space="preserve"> </w:t>
      </w:r>
      <w:r>
        <w:rPr>
          <w:rFonts w:ascii="Calibri" w:hAnsi="Calibri"/>
          <w:color w:val="001F60"/>
        </w:rPr>
        <w:t>OFSS.</w:t>
      </w:r>
      <w:r>
        <w:rPr>
          <w:rFonts w:ascii="Calibri" w:hAnsi="Calibri"/>
          <w:color w:val="001F60"/>
          <w:spacing w:val="-2"/>
        </w:rPr>
        <w:t xml:space="preserve"> </w:t>
      </w:r>
      <w:r>
        <w:rPr>
          <w:rFonts w:ascii="Calibri" w:hAnsi="Calibri"/>
          <w:color w:val="001F60"/>
        </w:rPr>
        <w:t>Dessa</w:t>
      </w:r>
      <w:r>
        <w:rPr>
          <w:rFonts w:ascii="Calibri" w:hAnsi="Calibri"/>
          <w:color w:val="001F60"/>
          <w:spacing w:val="-1"/>
        </w:rPr>
        <w:t xml:space="preserve"> </w:t>
      </w:r>
      <w:r>
        <w:rPr>
          <w:rFonts w:ascii="Calibri" w:hAnsi="Calibri"/>
          <w:color w:val="001F60"/>
        </w:rPr>
        <w:t>forma,</w:t>
      </w:r>
      <w:r>
        <w:rPr>
          <w:rFonts w:ascii="Calibri" w:hAnsi="Calibri"/>
          <w:color w:val="001F60"/>
          <w:spacing w:val="-1"/>
        </w:rPr>
        <w:t xml:space="preserve"> </w:t>
      </w:r>
      <w:r>
        <w:rPr>
          <w:rFonts w:ascii="Calibri" w:hAnsi="Calibri"/>
          <w:color w:val="001F60"/>
        </w:rPr>
        <w:t>os</w:t>
      </w:r>
      <w:r>
        <w:rPr>
          <w:rFonts w:ascii="Calibri" w:hAnsi="Calibri"/>
          <w:color w:val="001F60"/>
          <w:spacing w:val="-4"/>
        </w:rPr>
        <w:t xml:space="preserve"> </w:t>
      </w:r>
      <w:r>
        <w:rPr>
          <w:rFonts w:ascii="Calibri" w:hAnsi="Calibri"/>
          <w:color w:val="001F60"/>
        </w:rPr>
        <w:t>valores</w:t>
      </w:r>
      <w:r>
        <w:rPr>
          <w:rFonts w:ascii="Calibri" w:hAnsi="Calibri"/>
          <w:color w:val="001F60"/>
          <w:spacing w:val="-2"/>
        </w:rPr>
        <w:t xml:space="preserve"> </w:t>
      </w:r>
      <w:r>
        <w:rPr>
          <w:rFonts w:ascii="Calibri" w:hAnsi="Calibri"/>
          <w:color w:val="001F60"/>
        </w:rPr>
        <w:t>foram devolvidos ao</w:t>
      </w:r>
      <w:r>
        <w:rPr>
          <w:rFonts w:ascii="Calibri" w:hAnsi="Calibri"/>
          <w:color w:val="001F60"/>
          <w:spacing w:val="-1"/>
        </w:rPr>
        <w:t xml:space="preserve"> </w:t>
      </w:r>
      <w:r>
        <w:rPr>
          <w:rFonts w:ascii="Calibri" w:hAnsi="Calibri"/>
          <w:color w:val="001F60"/>
        </w:rPr>
        <w:t>MCom, que</w:t>
      </w:r>
      <w:r>
        <w:rPr>
          <w:rFonts w:ascii="Calibri" w:hAnsi="Calibri"/>
          <w:color w:val="001F60"/>
          <w:spacing w:val="-1"/>
        </w:rPr>
        <w:t xml:space="preserve"> </w:t>
      </w:r>
      <w:r>
        <w:rPr>
          <w:rFonts w:ascii="Calibri" w:hAnsi="Calibri"/>
          <w:color w:val="001F60"/>
        </w:rPr>
        <w:t>assumiu a gestão dos correspondentes Restos a Pagar.</w:t>
      </w:r>
    </w:p>
    <w:p w14:paraId="19A447F9" w14:textId="77777777" w:rsidR="002C6574" w:rsidRDefault="00000000">
      <w:pPr>
        <w:spacing w:before="170"/>
        <w:ind w:right="325"/>
        <w:jc w:val="right"/>
        <w:rPr>
          <w:rFonts w:ascii="Arial" w:hAnsi="Arial"/>
          <w:b/>
          <w:i/>
          <w:sz w:val="14"/>
        </w:rPr>
      </w:pPr>
      <w:r>
        <w:rPr>
          <w:rFonts w:ascii="Arial" w:hAnsi="Arial"/>
          <w:b/>
          <w:i/>
          <w:noProof/>
          <w:sz w:val="14"/>
        </w:rPr>
        <mc:AlternateContent>
          <mc:Choice Requires="wps">
            <w:drawing>
              <wp:anchor distT="0" distB="0" distL="0" distR="0" simplePos="0" relativeHeight="487596032" behindDoc="1" locked="0" layoutInCell="1" allowOverlap="1" wp14:anchorId="26D8133B" wp14:editId="4A669666">
                <wp:simplePos x="0" y="0"/>
                <wp:positionH relativeFrom="page">
                  <wp:posOffset>1080516</wp:posOffset>
                </wp:positionH>
                <wp:positionV relativeFrom="paragraph">
                  <wp:posOffset>242095</wp:posOffset>
                </wp:positionV>
                <wp:extent cx="5779135" cy="635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135" cy="6350"/>
                        </a:xfrm>
                        <a:custGeom>
                          <a:avLst/>
                          <a:gdLst/>
                          <a:ahLst/>
                          <a:cxnLst/>
                          <a:rect l="l" t="t" r="r" b="b"/>
                          <a:pathLst>
                            <a:path w="5779135" h="6350">
                              <a:moveTo>
                                <a:pt x="5778995" y="0"/>
                              </a:moveTo>
                              <a:lnTo>
                                <a:pt x="5111496" y="0"/>
                              </a:lnTo>
                              <a:lnTo>
                                <a:pt x="0" y="0"/>
                              </a:lnTo>
                              <a:lnTo>
                                <a:pt x="0" y="6096"/>
                              </a:lnTo>
                              <a:lnTo>
                                <a:pt x="5111496" y="6096"/>
                              </a:lnTo>
                              <a:lnTo>
                                <a:pt x="5778995" y="6096"/>
                              </a:lnTo>
                              <a:lnTo>
                                <a:pt x="5778995" y="0"/>
                              </a:lnTo>
                              <a:close/>
                            </a:path>
                          </a:pathLst>
                        </a:custGeom>
                        <a:solidFill>
                          <a:srgbClr val="001F60"/>
                        </a:solidFill>
                      </wps:spPr>
                      <wps:bodyPr wrap="square" lIns="0" tIns="0" rIns="0" bIns="0" rtlCol="0">
                        <a:prstTxWarp prst="textNoShape">
                          <a:avLst/>
                        </a:prstTxWarp>
                        <a:noAutofit/>
                      </wps:bodyPr>
                    </wps:wsp>
                  </a:graphicData>
                </a:graphic>
              </wp:anchor>
            </w:drawing>
          </mc:Choice>
          <mc:Fallback>
            <w:pict>
              <v:shape w14:anchorId="28EDA64A" id="Graphic 48" o:spid="_x0000_s1026" style="position:absolute;margin-left:85.1pt;margin-top:19.05pt;width:455.05pt;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57791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" path="m5778995,l5111496,,,,,6096r5111496,l5778995,6096r,-6096xe" fillcolor="#001f60" stroked="f">
                <v:path arrowok="t"/>
                <w10:wrap type="topAndBottom" anchorx="page"/>
              </v:shape>
            </w:pict>
          </mc:Fallback>
        </mc:AlternateContent>
      </w:r>
      <w:r>
        <w:rPr>
          <w:rFonts w:ascii="Arial" w:hAnsi="Arial"/>
          <w:b/>
          <w:i/>
          <w:color w:val="001F60"/>
          <w:sz w:val="14"/>
        </w:rPr>
        <w:t>Valores</w:t>
      </w:r>
      <w:r>
        <w:rPr>
          <w:rFonts w:ascii="Arial" w:hAnsi="Arial"/>
          <w:b/>
          <w:i/>
          <w:color w:val="001F60"/>
          <w:spacing w:val="-5"/>
          <w:sz w:val="14"/>
        </w:rPr>
        <w:t xml:space="preserve"> </w:t>
      </w:r>
      <w:r>
        <w:rPr>
          <w:rFonts w:ascii="Arial" w:hAnsi="Arial"/>
          <w:b/>
          <w:i/>
          <w:color w:val="001F60"/>
          <w:sz w:val="14"/>
        </w:rPr>
        <w:t>em</w:t>
      </w:r>
      <w:r>
        <w:rPr>
          <w:rFonts w:ascii="Arial" w:hAnsi="Arial"/>
          <w:b/>
          <w:i/>
          <w:color w:val="001F60"/>
          <w:spacing w:val="-1"/>
          <w:sz w:val="14"/>
        </w:rPr>
        <w:t xml:space="preserve"> </w:t>
      </w:r>
      <w:r>
        <w:rPr>
          <w:rFonts w:ascii="Arial" w:hAnsi="Arial"/>
          <w:b/>
          <w:i/>
          <w:color w:val="001F60"/>
          <w:sz w:val="14"/>
        </w:rPr>
        <w:t>R$</w:t>
      </w:r>
      <w:r>
        <w:rPr>
          <w:rFonts w:ascii="Arial" w:hAnsi="Arial"/>
          <w:b/>
          <w:i/>
          <w:color w:val="001F60"/>
          <w:spacing w:val="-3"/>
          <w:sz w:val="14"/>
        </w:rPr>
        <w:t xml:space="preserve"> </w:t>
      </w:r>
      <w:r>
        <w:rPr>
          <w:rFonts w:ascii="Arial" w:hAnsi="Arial"/>
          <w:b/>
          <w:i/>
          <w:color w:val="001F60"/>
          <w:spacing w:val="-2"/>
          <w:sz w:val="14"/>
        </w:rPr>
        <w:t>Milhões</w:t>
      </w:r>
    </w:p>
    <w:p w14:paraId="4E69C7F7" w14:textId="77777777" w:rsidR="002C6574" w:rsidRDefault="002C6574">
      <w:pPr>
        <w:pStyle w:val="Corpodetexto"/>
        <w:spacing w:before="1"/>
        <w:rPr>
          <w:rFonts w:ascii="Arial"/>
          <w:b/>
          <w:i/>
          <w:sz w:val="9"/>
        </w:rPr>
      </w:pPr>
    </w:p>
    <w:p w14:paraId="4B292486" w14:textId="77777777" w:rsidR="002C6574" w:rsidRDefault="002C6574">
      <w:pPr>
        <w:pStyle w:val="Corpodetexto"/>
        <w:rPr>
          <w:rFonts w:ascii="Arial"/>
          <w:b/>
          <w:i/>
          <w:sz w:val="9"/>
        </w:rPr>
        <w:sectPr w:rsidR="002C6574">
          <w:pgSz w:w="11910" w:h="16840"/>
          <w:pgMar w:top="1160" w:right="850" w:bottom="740" w:left="992" w:header="312" w:footer="542" w:gutter="0"/>
          <w:cols w:space="720"/>
        </w:sectPr>
      </w:pPr>
    </w:p>
    <w:p w14:paraId="046B01B3" w14:textId="77777777" w:rsidR="002C6574" w:rsidRDefault="00000000">
      <w:pPr>
        <w:tabs>
          <w:tab w:val="left" w:pos="4227"/>
          <w:tab w:val="left" w:pos="6997"/>
        </w:tabs>
        <w:spacing w:before="159" w:line="122" w:lineRule="auto"/>
        <w:ind w:left="6870" w:hanging="4873"/>
        <w:rPr>
          <w:rFonts w:ascii="Arial MT" w:hAnsi="Arial MT"/>
          <w:sz w:val="14"/>
        </w:rPr>
      </w:pPr>
      <w:r>
        <w:rPr>
          <w:rFonts w:ascii="Arial MT" w:hAnsi="Arial MT"/>
          <w:color w:val="001F60"/>
          <w:spacing w:val="-4"/>
          <w:sz w:val="14"/>
        </w:rPr>
        <w:t>Ação</w:t>
      </w:r>
      <w:r>
        <w:rPr>
          <w:rFonts w:ascii="Arial MT" w:hAnsi="Arial MT"/>
          <w:color w:val="001F60"/>
          <w:sz w:val="14"/>
        </w:rPr>
        <w:tab/>
      </w:r>
      <w:r>
        <w:rPr>
          <w:rFonts w:ascii="Arial MT" w:hAnsi="Arial MT"/>
          <w:color w:val="001F60"/>
          <w:spacing w:val="-2"/>
          <w:sz w:val="14"/>
        </w:rPr>
        <w:t>Descrição</w:t>
      </w:r>
      <w:r>
        <w:rPr>
          <w:rFonts w:ascii="Arial MT" w:hAnsi="Arial MT"/>
          <w:color w:val="001F60"/>
          <w:sz w:val="14"/>
        </w:rPr>
        <w:tab/>
      </w:r>
      <w:r>
        <w:rPr>
          <w:rFonts w:ascii="Arial MT" w:hAnsi="Arial MT"/>
          <w:color w:val="001F60"/>
          <w:sz w:val="14"/>
        </w:rPr>
        <w:tab/>
      </w:r>
      <w:r>
        <w:rPr>
          <w:rFonts w:ascii="Arial MT" w:hAnsi="Arial MT"/>
          <w:color w:val="001F60"/>
          <w:spacing w:val="-4"/>
          <w:position w:val="8"/>
          <w:sz w:val="14"/>
        </w:rPr>
        <w:t>Pago</w:t>
      </w:r>
      <w:r>
        <w:rPr>
          <w:rFonts w:ascii="Arial MT" w:hAnsi="Arial MT"/>
          <w:color w:val="001F60"/>
          <w:spacing w:val="40"/>
          <w:position w:val="8"/>
          <w:sz w:val="14"/>
        </w:rPr>
        <w:t xml:space="preserve"> </w:t>
      </w:r>
      <w:r>
        <w:rPr>
          <w:rFonts w:ascii="Arial MT" w:hAnsi="Arial MT"/>
          <w:color w:val="001F60"/>
          <w:spacing w:val="-2"/>
          <w:sz w:val="14"/>
        </w:rPr>
        <w:t>Exercício</w:t>
      </w:r>
    </w:p>
    <w:p w14:paraId="182CDB6A" w14:textId="77777777" w:rsidR="002C6574" w:rsidRDefault="00000000">
      <w:pPr>
        <w:spacing w:before="95"/>
        <w:ind w:left="363" w:firstLine="96"/>
        <w:rPr>
          <w:rFonts w:ascii="Arial MT"/>
          <w:sz w:val="14"/>
        </w:rPr>
      </w:pPr>
      <w:r>
        <w:br w:type="column"/>
      </w:r>
      <w:r>
        <w:rPr>
          <w:rFonts w:ascii="Arial MT"/>
          <w:color w:val="001F60"/>
          <w:sz w:val="14"/>
        </w:rPr>
        <w:t>Restos</w:t>
      </w:r>
      <w:r>
        <w:rPr>
          <w:rFonts w:ascii="Arial MT"/>
          <w:color w:val="001F60"/>
          <w:spacing w:val="-4"/>
          <w:sz w:val="14"/>
        </w:rPr>
        <w:t xml:space="preserve"> </w:t>
      </w:r>
      <w:r>
        <w:rPr>
          <w:rFonts w:ascii="Arial MT"/>
          <w:color w:val="001F60"/>
          <w:sz w:val="14"/>
        </w:rPr>
        <w:t>a</w:t>
      </w:r>
      <w:r>
        <w:rPr>
          <w:rFonts w:ascii="Arial MT"/>
          <w:color w:val="001F60"/>
          <w:spacing w:val="40"/>
          <w:sz w:val="14"/>
        </w:rPr>
        <w:t xml:space="preserve"> </w:t>
      </w:r>
      <w:r>
        <w:rPr>
          <w:rFonts w:ascii="Arial MT"/>
          <w:color w:val="001F60"/>
          <w:spacing w:val="-2"/>
          <w:sz w:val="14"/>
        </w:rPr>
        <w:t>Pagar</w:t>
      </w:r>
      <w:r>
        <w:rPr>
          <w:rFonts w:ascii="Arial MT"/>
          <w:color w:val="001F60"/>
          <w:spacing w:val="-8"/>
          <w:sz w:val="14"/>
        </w:rPr>
        <w:t xml:space="preserve"> </w:t>
      </w:r>
      <w:r>
        <w:rPr>
          <w:rFonts w:ascii="Arial MT"/>
          <w:color w:val="001F60"/>
          <w:spacing w:val="-2"/>
          <w:sz w:val="14"/>
        </w:rPr>
        <w:t>Pado</w:t>
      </w:r>
    </w:p>
    <w:p w14:paraId="0BEA2B81" w14:textId="77777777" w:rsidR="002C6574" w:rsidRDefault="00000000">
      <w:pPr>
        <w:spacing w:before="95"/>
        <w:ind w:left="496" w:right="439" w:hanging="180"/>
        <w:rPr>
          <w:rFonts w:ascii="Arial MT"/>
          <w:sz w:val="14"/>
        </w:rPr>
      </w:pPr>
      <w:r>
        <w:br w:type="column"/>
      </w:r>
      <w:r>
        <w:rPr>
          <w:rFonts w:ascii="Arial MT"/>
          <w:color w:val="001F60"/>
          <w:sz w:val="14"/>
        </w:rPr>
        <w:t>Total</w:t>
      </w:r>
      <w:r>
        <w:rPr>
          <w:rFonts w:ascii="Arial MT"/>
          <w:color w:val="001F60"/>
          <w:spacing w:val="-10"/>
          <w:sz w:val="14"/>
        </w:rPr>
        <w:t xml:space="preserve"> </w:t>
      </w:r>
      <w:r>
        <w:rPr>
          <w:rFonts w:ascii="Arial MT"/>
          <w:color w:val="001F60"/>
          <w:sz w:val="14"/>
        </w:rPr>
        <w:t>Pago</w:t>
      </w:r>
      <w:r>
        <w:rPr>
          <w:rFonts w:ascii="Arial MT"/>
          <w:color w:val="001F60"/>
          <w:spacing w:val="40"/>
          <w:sz w:val="14"/>
        </w:rPr>
        <w:t xml:space="preserve"> </w:t>
      </w:r>
      <w:r>
        <w:rPr>
          <w:rFonts w:ascii="Arial MT"/>
          <w:color w:val="001F60"/>
          <w:spacing w:val="-4"/>
          <w:sz w:val="14"/>
        </w:rPr>
        <w:t>2025</w:t>
      </w:r>
    </w:p>
    <w:p w14:paraId="3193BDF8" w14:textId="77777777" w:rsidR="002C6574" w:rsidRDefault="002C6574">
      <w:pPr>
        <w:rPr>
          <w:rFonts w:ascii="Arial MT"/>
          <w:sz w:val="14"/>
        </w:rPr>
        <w:sectPr w:rsidR="002C6574">
          <w:type w:val="continuous"/>
          <w:pgSz w:w="11910" w:h="16840"/>
          <w:pgMar w:top="0" w:right="850" w:bottom="0" w:left="992" w:header="312" w:footer="542" w:gutter="0"/>
          <w:cols w:num="3" w:space="720" w:equalWidth="0">
            <w:col w:w="7445" w:space="40"/>
            <w:col w:w="1101" w:space="39"/>
            <w:col w:w="1443"/>
          </w:cols>
        </w:sectPr>
      </w:pPr>
    </w:p>
    <w:p w14:paraId="0BEB9F39" w14:textId="77777777" w:rsidR="002C6574" w:rsidRDefault="002C6574">
      <w:pPr>
        <w:pStyle w:val="Corpodetexto"/>
        <w:spacing w:before="7" w:after="1"/>
        <w:rPr>
          <w:rFonts w:ascii="Arial MT"/>
          <w:sz w:val="17"/>
        </w:rPr>
      </w:pPr>
    </w:p>
    <w:tbl>
      <w:tblPr>
        <w:tblStyle w:val="TableNormal"/>
        <w:tblW w:w="0" w:type="auto"/>
        <w:tblInd w:w="709" w:type="dxa"/>
        <w:tblLayout w:type="fixed"/>
        <w:tblLook w:val="01E0" w:firstRow="1" w:lastRow="1" w:firstColumn="1" w:lastColumn="1" w:noHBand="0" w:noVBand="0"/>
      </w:tblPr>
      <w:tblGrid>
        <w:gridCol w:w="600"/>
        <w:gridCol w:w="5759"/>
        <w:gridCol w:w="599"/>
        <w:gridCol w:w="994"/>
        <w:gridCol w:w="1155"/>
      </w:tblGrid>
      <w:tr w:rsidR="002C6574" w14:paraId="6EB6B24A" w14:textId="77777777">
        <w:trPr>
          <w:trHeight w:val="253"/>
        </w:trPr>
        <w:tc>
          <w:tcPr>
            <w:tcW w:w="6958" w:type="dxa"/>
            <w:gridSpan w:val="3"/>
            <w:tcBorders>
              <w:top w:val="single" w:sz="4" w:space="0" w:color="001F60"/>
              <w:bottom w:val="single" w:sz="4" w:space="0" w:color="001F60"/>
            </w:tcBorders>
          </w:tcPr>
          <w:p w14:paraId="69481629" w14:textId="77777777" w:rsidR="002C6574" w:rsidRDefault="00000000">
            <w:pPr>
              <w:pStyle w:val="TableParagraph"/>
              <w:spacing w:before="48"/>
              <w:ind w:right="415"/>
              <w:rPr>
                <w:rFonts w:ascii="Arial MT"/>
                <w:sz w:val="14"/>
              </w:rPr>
            </w:pPr>
            <w:r>
              <w:rPr>
                <w:rFonts w:ascii="Arial MT"/>
                <w:color w:val="001F60"/>
                <w:spacing w:val="-5"/>
                <w:sz w:val="14"/>
              </w:rPr>
              <w:t>(a)</w:t>
            </w:r>
          </w:p>
        </w:tc>
        <w:tc>
          <w:tcPr>
            <w:tcW w:w="994" w:type="dxa"/>
            <w:tcBorders>
              <w:top w:val="single" w:sz="4" w:space="0" w:color="001F60"/>
              <w:bottom w:val="single" w:sz="4" w:space="0" w:color="001F60"/>
            </w:tcBorders>
          </w:tcPr>
          <w:p w14:paraId="0D87158A" w14:textId="77777777" w:rsidR="002C6574" w:rsidRDefault="00000000">
            <w:pPr>
              <w:pStyle w:val="TableParagraph"/>
              <w:spacing w:before="48"/>
              <w:ind w:left="119"/>
              <w:jc w:val="center"/>
              <w:rPr>
                <w:rFonts w:ascii="Arial MT"/>
                <w:sz w:val="14"/>
              </w:rPr>
            </w:pPr>
            <w:r>
              <w:rPr>
                <w:rFonts w:ascii="Arial MT"/>
                <w:color w:val="001F60"/>
                <w:spacing w:val="-5"/>
                <w:sz w:val="14"/>
              </w:rPr>
              <w:t>(b)</w:t>
            </w:r>
          </w:p>
        </w:tc>
        <w:tc>
          <w:tcPr>
            <w:tcW w:w="1155" w:type="dxa"/>
            <w:tcBorders>
              <w:top w:val="single" w:sz="4" w:space="0" w:color="001F60"/>
              <w:bottom w:val="single" w:sz="4" w:space="0" w:color="001F60"/>
            </w:tcBorders>
          </w:tcPr>
          <w:p w14:paraId="1251FF2A" w14:textId="77777777" w:rsidR="002C6574" w:rsidRDefault="00000000">
            <w:pPr>
              <w:pStyle w:val="TableParagraph"/>
              <w:spacing w:before="48"/>
              <w:ind w:left="90"/>
              <w:jc w:val="center"/>
              <w:rPr>
                <w:rFonts w:ascii="Arial MT"/>
                <w:sz w:val="14"/>
              </w:rPr>
            </w:pPr>
            <w:r>
              <w:rPr>
                <w:rFonts w:ascii="Arial MT"/>
                <w:color w:val="001F60"/>
                <w:sz w:val="14"/>
              </w:rPr>
              <w:t>(c</w:t>
            </w:r>
            <w:r>
              <w:rPr>
                <w:rFonts w:ascii="Arial MT"/>
                <w:color w:val="001F60"/>
                <w:spacing w:val="-3"/>
                <w:sz w:val="14"/>
              </w:rPr>
              <w:t xml:space="preserve"> </w:t>
            </w:r>
            <w:r>
              <w:rPr>
                <w:rFonts w:ascii="Arial MT"/>
                <w:color w:val="001F60"/>
                <w:sz w:val="14"/>
              </w:rPr>
              <w:t>=</w:t>
            </w:r>
            <w:r>
              <w:rPr>
                <w:rFonts w:ascii="Arial MT"/>
                <w:color w:val="001F60"/>
                <w:spacing w:val="1"/>
                <w:sz w:val="14"/>
              </w:rPr>
              <w:t xml:space="preserve"> </w:t>
            </w:r>
            <w:r>
              <w:rPr>
                <w:rFonts w:ascii="Arial MT"/>
                <w:color w:val="001F60"/>
                <w:sz w:val="14"/>
              </w:rPr>
              <w:t>a</w:t>
            </w:r>
            <w:r>
              <w:rPr>
                <w:rFonts w:ascii="Arial MT"/>
                <w:color w:val="001F60"/>
                <w:spacing w:val="-4"/>
                <w:sz w:val="14"/>
              </w:rPr>
              <w:t xml:space="preserve"> </w:t>
            </w:r>
            <w:r>
              <w:rPr>
                <w:rFonts w:ascii="Arial MT"/>
                <w:color w:val="001F60"/>
                <w:sz w:val="14"/>
              </w:rPr>
              <w:t>+</w:t>
            </w:r>
            <w:r>
              <w:rPr>
                <w:rFonts w:ascii="Arial MT"/>
                <w:color w:val="001F60"/>
                <w:spacing w:val="-2"/>
                <w:sz w:val="14"/>
              </w:rPr>
              <w:t xml:space="preserve"> </w:t>
            </w:r>
            <w:r>
              <w:rPr>
                <w:rFonts w:ascii="Arial MT"/>
                <w:color w:val="001F60"/>
                <w:spacing w:val="-5"/>
                <w:sz w:val="14"/>
              </w:rPr>
              <w:t>b)</w:t>
            </w:r>
          </w:p>
        </w:tc>
      </w:tr>
      <w:tr w:rsidR="002C6574" w14:paraId="16D83C79" w14:textId="77777777">
        <w:trPr>
          <w:trHeight w:val="209"/>
        </w:trPr>
        <w:tc>
          <w:tcPr>
            <w:tcW w:w="6359" w:type="dxa"/>
            <w:gridSpan w:val="2"/>
          </w:tcPr>
          <w:p w14:paraId="71E2BE63" w14:textId="77777777" w:rsidR="002C6574" w:rsidRDefault="00000000">
            <w:pPr>
              <w:pStyle w:val="TableParagraph"/>
              <w:spacing w:before="43" w:line="141" w:lineRule="exact"/>
              <w:ind w:left="657"/>
              <w:jc w:val="left"/>
              <w:rPr>
                <w:rFonts w:ascii="Arial"/>
                <w:b/>
                <w:sz w:val="14"/>
              </w:rPr>
            </w:pPr>
            <w:r>
              <w:rPr>
                <w:rFonts w:ascii="Arial"/>
                <w:b/>
                <w:color w:val="001F60"/>
                <w:sz w:val="14"/>
              </w:rPr>
              <w:t>3</w:t>
            </w:r>
            <w:r>
              <w:rPr>
                <w:rFonts w:ascii="Arial"/>
                <w:b/>
                <w:color w:val="001F60"/>
                <w:spacing w:val="-4"/>
                <w:sz w:val="14"/>
              </w:rPr>
              <w:t xml:space="preserve"> </w:t>
            </w:r>
            <w:r>
              <w:rPr>
                <w:rFonts w:ascii="Arial"/>
                <w:b/>
                <w:color w:val="001F60"/>
                <w:sz w:val="14"/>
              </w:rPr>
              <w:t>-</w:t>
            </w:r>
            <w:r>
              <w:rPr>
                <w:rFonts w:ascii="Arial"/>
                <w:b/>
                <w:color w:val="001F60"/>
                <w:spacing w:val="-4"/>
                <w:sz w:val="14"/>
              </w:rPr>
              <w:t xml:space="preserve"> </w:t>
            </w:r>
            <w:r>
              <w:rPr>
                <w:rFonts w:ascii="Arial"/>
                <w:b/>
                <w:color w:val="001F60"/>
                <w:sz w:val="14"/>
              </w:rPr>
              <w:t>Despesas</w:t>
            </w:r>
            <w:r>
              <w:rPr>
                <w:rFonts w:ascii="Arial"/>
                <w:b/>
                <w:color w:val="001F60"/>
                <w:spacing w:val="-3"/>
                <w:sz w:val="14"/>
              </w:rPr>
              <w:t xml:space="preserve"> </w:t>
            </w:r>
            <w:r>
              <w:rPr>
                <w:rFonts w:ascii="Arial"/>
                <w:b/>
                <w:color w:val="001F60"/>
                <w:spacing w:val="-2"/>
                <w:sz w:val="14"/>
              </w:rPr>
              <w:t>Correntes</w:t>
            </w:r>
          </w:p>
        </w:tc>
        <w:tc>
          <w:tcPr>
            <w:tcW w:w="599" w:type="dxa"/>
          </w:tcPr>
          <w:p w14:paraId="22AEBF66" w14:textId="77777777" w:rsidR="002C6574" w:rsidRDefault="00000000">
            <w:pPr>
              <w:pStyle w:val="TableParagraph"/>
              <w:spacing w:before="43" w:line="141" w:lineRule="exact"/>
              <w:ind w:left="74"/>
              <w:jc w:val="left"/>
              <w:rPr>
                <w:rFonts w:ascii="Arial"/>
                <w:b/>
                <w:sz w:val="14"/>
              </w:rPr>
            </w:pPr>
            <w:r>
              <w:rPr>
                <w:rFonts w:ascii="Arial"/>
                <w:b/>
                <w:color w:val="001F60"/>
                <w:spacing w:val="-10"/>
                <w:sz w:val="14"/>
              </w:rPr>
              <w:t>-</w:t>
            </w:r>
          </w:p>
        </w:tc>
        <w:tc>
          <w:tcPr>
            <w:tcW w:w="994" w:type="dxa"/>
          </w:tcPr>
          <w:p w14:paraId="24F16108" w14:textId="77777777" w:rsidR="002C6574" w:rsidRDefault="00000000">
            <w:pPr>
              <w:pStyle w:val="TableParagraph"/>
              <w:spacing w:before="43" w:line="141" w:lineRule="exact"/>
              <w:ind w:left="119" w:right="2"/>
              <w:jc w:val="center"/>
              <w:rPr>
                <w:rFonts w:ascii="Arial"/>
                <w:b/>
                <w:sz w:val="14"/>
              </w:rPr>
            </w:pPr>
            <w:r>
              <w:rPr>
                <w:rFonts w:ascii="Arial"/>
                <w:b/>
                <w:color w:val="001F60"/>
                <w:spacing w:val="-4"/>
                <w:sz w:val="14"/>
              </w:rPr>
              <w:t>0,78</w:t>
            </w:r>
          </w:p>
        </w:tc>
        <w:tc>
          <w:tcPr>
            <w:tcW w:w="1155" w:type="dxa"/>
          </w:tcPr>
          <w:p w14:paraId="5B24337E" w14:textId="77777777" w:rsidR="002C6574" w:rsidRDefault="00000000">
            <w:pPr>
              <w:pStyle w:val="TableParagraph"/>
              <w:spacing w:before="43" w:line="141" w:lineRule="exact"/>
              <w:ind w:left="90" w:right="1"/>
              <w:jc w:val="center"/>
              <w:rPr>
                <w:rFonts w:ascii="Arial"/>
                <w:b/>
                <w:sz w:val="14"/>
              </w:rPr>
            </w:pPr>
            <w:r>
              <w:rPr>
                <w:rFonts w:ascii="Arial"/>
                <w:b/>
                <w:color w:val="001F60"/>
                <w:spacing w:val="-4"/>
                <w:sz w:val="14"/>
              </w:rPr>
              <w:t>0,78</w:t>
            </w:r>
          </w:p>
        </w:tc>
      </w:tr>
      <w:tr w:rsidR="002C6574" w14:paraId="501795ED" w14:textId="77777777">
        <w:trPr>
          <w:trHeight w:val="329"/>
        </w:trPr>
        <w:tc>
          <w:tcPr>
            <w:tcW w:w="600" w:type="dxa"/>
          </w:tcPr>
          <w:p w14:paraId="00949D51" w14:textId="77777777" w:rsidR="002C6574" w:rsidRDefault="002C6574">
            <w:pPr>
              <w:pStyle w:val="TableParagraph"/>
              <w:jc w:val="left"/>
              <w:rPr>
                <w:rFonts w:ascii="Times New Roman"/>
                <w:sz w:val="18"/>
              </w:rPr>
            </w:pPr>
          </w:p>
        </w:tc>
        <w:tc>
          <w:tcPr>
            <w:tcW w:w="5759" w:type="dxa"/>
          </w:tcPr>
          <w:p w14:paraId="6063D81B" w14:textId="77777777" w:rsidR="002C6574" w:rsidRDefault="00000000">
            <w:pPr>
              <w:pStyle w:val="TableParagraph"/>
              <w:tabs>
                <w:tab w:val="left" w:pos="1216"/>
              </w:tabs>
              <w:spacing w:before="141"/>
              <w:ind w:left="691"/>
              <w:jc w:val="left"/>
              <w:rPr>
                <w:rFonts w:ascii="Arial MT" w:hAnsi="Arial MT"/>
                <w:sz w:val="14"/>
              </w:rPr>
            </w:pPr>
            <w:r>
              <w:rPr>
                <w:rFonts w:ascii="Arial MT" w:hAnsi="Arial MT"/>
                <w:color w:val="0A2F3F"/>
                <w:spacing w:val="-4"/>
                <w:sz w:val="14"/>
              </w:rPr>
              <w:t>20V8</w:t>
            </w:r>
            <w:r>
              <w:rPr>
                <w:rFonts w:ascii="Arial MT" w:hAnsi="Arial MT"/>
                <w:color w:val="0A2F3F"/>
                <w:sz w:val="14"/>
              </w:rPr>
              <w:tab/>
              <w:t>Inclusão</w:t>
            </w:r>
            <w:r>
              <w:rPr>
                <w:rFonts w:ascii="Arial MT" w:hAnsi="Arial MT"/>
                <w:color w:val="0A2F3F"/>
                <w:spacing w:val="-5"/>
                <w:sz w:val="14"/>
              </w:rPr>
              <w:t xml:space="preserve"> </w:t>
            </w:r>
            <w:r>
              <w:rPr>
                <w:rFonts w:ascii="Arial MT" w:hAnsi="Arial MT"/>
                <w:color w:val="0A2F3F"/>
                <w:spacing w:val="-2"/>
                <w:sz w:val="14"/>
              </w:rPr>
              <w:t>Digital</w:t>
            </w:r>
          </w:p>
        </w:tc>
        <w:tc>
          <w:tcPr>
            <w:tcW w:w="599" w:type="dxa"/>
          </w:tcPr>
          <w:p w14:paraId="7166800A" w14:textId="77777777" w:rsidR="002C6574" w:rsidRDefault="00000000">
            <w:pPr>
              <w:pStyle w:val="TableParagraph"/>
              <w:spacing w:before="93"/>
              <w:ind w:left="75"/>
              <w:jc w:val="left"/>
              <w:rPr>
                <w:rFonts w:ascii="Arial MT"/>
                <w:sz w:val="14"/>
              </w:rPr>
            </w:pPr>
            <w:r>
              <w:rPr>
                <w:rFonts w:ascii="Arial MT"/>
                <w:color w:val="001F60"/>
                <w:spacing w:val="-10"/>
                <w:sz w:val="14"/>
              </w:rPr>
              <w:t>-</w:t>
            </w:r>
          </w:p>
        </w:tc>
        <w:tc>
          <w:tcPr>
            <w:tcW w:w="994" w:type="dxa"/>
          </w:tcPr>
          <w:p w14:paraId="044AEB15" w14:textId="77777777" w:rsidR="002C6574" w:rsidRDefault="00000000">
            <w:pPr>
              <w:pStyle w:val="TableParagraph"/>
              <w:spacing w:before="93"/>
              <w:ind w:left="119" w:right="3"/>
              <w:jc w:val="center"/>
              <w:rPr>
                <w:rFonts w:ascii="Arial MT"/>
                <w:sz w:val="14"/>
              </w:rPr>
            </w:pPr>
            <w:r>
              <w:rPr>
                <w:rFonts w:ascii="Arial MT"/>
                <w:color w:val="001F60"/>
                <w:spacing w:val="-4"/>
                <w:sz w:val="14"/>
              </w:rPr>
              <w:t>0,78</w:t>
            </w:r>
          </w:p>
        </w:tc>
        <w:tc>
          <w:tcPr>
            <w:tcW w:w="1155" w:type="dxa"/>
          </w:tcPr>
          <w:p w14:paraId="49294A63" w14:textId="77777777" w:rsidR="002C6574" w:rsidRDefault="00000000">
            <w:pPr>
              <w:pStyle w:val="TableParagraph"/>
              <w:spacing w:before="93"/>
              <w:ind w:left="90"/>
              <w:jc w:val="center"/>
              <w:rPr>
                <w:rFonts w:ascii="Arial MT"/>
                <w:sz w:val="14"/>
              </w:rPr>
            </w:pPr>
            <w:r>
              <w:rPr>
                <w:rFonts w:ascii="Arial MT"/>
                <w:color w:val="001F60"/>
                <w:spacing w:val="-4"/>
                <w:sz w:val="14"/>
              </w:rPr>
              <w:t>0,78</w:t>
            </w:r>
          </w:p>
        </w:tc>
      </w:tr>
      <w:tr w:rsidR="002C6574" w14:paraId="7E12EDDB" w14:textId="77777777">
        <w:trPr>
          <w:trHeight w:val="231"/>
        </w:trPr>
        <w:tc>
          <w:tcPr>
            <w:tcW w:w="600" w:type="dxa"/>
          </w:tcPr>
          <w:p w14:paraId="33DF7665" w14:textId="77777777" w:rsidR="002C6574" w:rsidRDefault="002C6574">
            <w:pPr>
              <w:pStyle w:val="TableParagraph"/>
              <w:jc w:val="left"/>
              <w:rPr>
                <w:rFonts w:ascii="Times New Roman"/>
                <w:sz w:val="16"/>
              </w:rPr>
            </w:pPr>
          </w:p>
        </w:tc>
        <w:tc>
          <w:tcPr>
            <w:tcW w:w="5759" w:type="dxa"/>
          </w:tcPr>
          <w:p w14:paraId="1ECDDD9B" w14:textId="77777777" w:rsidR="002C6574" w:rsidRDefault="00000000">
            <w:pPr>
              <w:pStyle w:val="TableParagraph"/>
              <w:spacing w:before="21"/>
              <w:ind w:left="57"/>
              <w:jc w:val="left"/>
              <w:rPr>
                <w:rFonts w:ascii="Arial"/>
                <w:b/>
                <w:sz w:val="14"/>
              </w:rPr>
            </w:pPr>
            <w:r>
              <w:rPr>
                <w:rFonts w:ascii="Arial"/>
                <w:b/>
                <w:color w:val="001F60"/>
                <w:sz w:val="14"/>
              </w:rPr>
              <w:t>4</w:t>
            </w:r>
            <w:r>
              <w:rPr>
                <w:rFonts w:ascii="Arial"/>
                <w:b/>
                <w:color w:val="001F60"/>
                <w:spacing w:val="-5"/>
                <w:sz w:val="14"/>
              </w:rPr>
              <w:t xml:space="preserve"> </w:t>
            </w:r>
            <w:r>
              <w:rPr>
                <w:rFonts w:ascii="Arial"/>
                <w:b/>
                <w:color w:val="001F60"/>
                <w:sz w:val="14"/>
              </w:rPr>
              <w:t>-</w:t>
            </w:r>
            <w:r>
              <w:rPr>
                <w:rFonts w:ascii="Arial"/>
                <w:b/>
                <w:color w:val="001F60"/>
                <w:spacing w:val="-4"/>
                <w:sz w:val="14"/>
              </w:rPr>
              <w:t xml:space="preserve"> </w:t>
            </w:r>
            <w:r>
              <w:rPr>
                <w:rFonts w:ascii="Arial"/>
                <w:b/>
                <w:color w:val="001F60"/>
                <w:sz w:val="14"/>
              </w:rPr>
              <w:t>Despesas de</w:t>
            </w:r>
            <w:r>
              <w:rPr>
                <w:rFonts w:ascii="Arial"/>
                <w:b/>
                <w:color w:val="001F60"/>
                <w:spacing w:val="-4"/>
                <w:sz w:val="14"/>
              </w:rPr>
              <w:t xml:space="preserve"> </w:t>
            </w:r>
            <w:r>
              <w:rPr>
                <w:rFonts w:ascii="Arial"/>
                <w:b/>
                <w:color w:val="001F60"/>
                <w:spacing w:val="-2"/>
                <w:sz w:val="14"/>
              </w:rPr>
              <w:t>Capital</w:t>
            </w:r>
          </w:p>
        </w:tc>
        <w:tc>
          <w:tcPr>
            <w:tcW w:w="599" w:type="dxa"/>
          </w:tcPr>
          <w:p w14:paraId="5ABB3FC6" w14:textId="77777777" w:rsidR="002C6574" w:rsidRDefault="00000000">
            <w:pPr>
              <w:pStyle w:val="TableParagraph"/>
              <w:spacing w:before="21"/>
              <w:ind w:left="75"/>
              <w:jc w:val="left"/>
              <w:rPr>
                <w:rFonts w:ascii="Arial"/>
                <w:b/>
                <w:sz w:val="14"/>
              </w:rPr>
            </w:pPr>
            <w:r>
              <w:rPr>
                <w:rFonts w:ascii="Arial"/>
                <w:b/>
                <w:color w:val="001F60"/>
                <w:spacing w:val="-10"/>
                <w:sz w:val="14"/>
              </w:rPr>
              <w:t>-</w:t>
            </w:r>
          </w:p>
        </w:tc>
        <w:tc>
          <w:tcPr>
            <w:tcW w:w="994" w:type="dxa"/>
          </w:tcPr>
          <w:p w14:paraId="5C8A7F2C" w14:textId="77777777" w:rsidR="002C6574" w:rsidRDefault="00000000">
            <w:pPr>
              <w:pStyle w:val="TableParagraph"/>
              <w:spacing w:before="21"/>
              <w:ind w:left="119" w:right="3"/>
              <w:jc w:val="center"/>
              <w:rPr>
                <w:rFonts w:ascii="Arial"/>
                <w:b/>
                <w:sz w:val="14"/>
              </w:rPr>
            </w:pPr>
            <w:r>
              <w:rPr>
                <w:rFonts w:ascii="Arial"/>
                <w:b/>
                <w:color w:val="001F60"/>
                <w:spacing w:val="-4"/>
                <w:sz w:val="14"/>
              </w:rPr>
              <w:t>0,06</w:t>
            </w:r>
          </w:p>
        </w:tc>
        <w:tc>
          <w:tcPr>
            <w:tcW w:w="1155" w:type="dxa"/>
          </w:tcPr>
          <w:p w14:paraId="483D9892" w14:textId="77777777" w:rsidR="002C6574" w:rsidRDefault="00000000">
            <w:pPr>
              <w:pStyle w:val="TableParagraph"/>
              <w:spacing w:before="21"/>
              <w:ind w:left="90" w:right="1"/>
              <w:jc w:val="center"/>
              <w:rPr>
                <w:rFonts w:ascii="Arial"/>
                <w:b/>
                <w:sz w:val="14"/>
              </w:rPr>
            </w:pPr>
            <w:r>
              <w:rPr>
                <w:rFonts w:ascii="Arial"/>
                <w:b/>
                <w:color w:val="001F60"/>
                <w:spacing w:val="-4"/>
                <w:sz w:val="14"/>
              </w:rPr>
              <w:t>0,06</w:t>
            </w:r>
          </w:p>
        </w:tc>
      </w:tr>
      <w:tr w:rsidR="002C6574" w14:paraId="2C1DFD1C" w14:textId="77777777">
        <w:trPr>
          <w:trHeight w:val="249"/>
        </w:trPr>
        <w:tc>
          <w:tcPr>
            <w:tcW w:w="600" w:type="dxa"/>
            <w:tcBorders>
              <w:bottom w:val="single" w:sz="4" w:space="0" w:color="001F60"/>
            </w:tcBorders>
          </w:tcPr>
          <w:p w14:paraId="373BDC13" w14:textId="77777777" w:rsidR="002C6574" w:rsidRDefault="002C6574">
            <w:pPr>
              <w:pStyle w:val="TableParagraph"/>
              <w:jc w:val="left"/>
              <w:rPr>
                <w:rFonts w:ascii="Times New Roman"/>
                <w:sz w:val="18"/>
              </w:rPr>
            </w:pPr>
          </w:p>
        </w:tc>
        <w:tc>
          <w:tcPr>
            <w:tcW w:w="5759" w:type="dxa"/>
            <w:tcBorders>
              <w:bottom w:val="single" w:sz="4" w:space="0" w:color="001F60"/>
            </w:tcBorders>
          </w:tcPr>
          <w:p w14:paraId="0E76A5F0" w14:textId="77777777" w:rsidR="002C6574" w:rsidRDefault="00000000">
            <w:pPr>
              <w:pStyle w:val="TableParagraph"/>
              <w:tabs>
                <w:tab w:val="left" w:pos="1216"/>
              </w:tabs>
              <w:spacing w:before="44"/>
              <w:ind w:left="635"/>
              <w:jc w:val="left"/>
              <w:rPr>
                <w:rFonts w:ascii="Arial MT" w:hAnsi="Arial MT"/>
                <w:sz w:val="14"/>
              </w:rPr>
            </w:pPr>
            <w:r>
              <w:rPr>
                <w:rFonts w:ascii="Arial MT" w:hAnsi="Arial MT"/>
                <w:color w:val="001F60"/>
                <w:spacing w:val="-4"/>
                <w:sz w:val="14"/>
              </w:rPr>
              <w:t>162Q</w:t>
            </w:r>
            <w:r>
              <w:rPr>
                <w:rFonts w:ascii="Arial MT" w:hAnsi="Arial MT"/>
                <w:color w:val="001F60"/>
                <w:sz w:val="14"/>
              </w:rPr>
              <w:tab/>
              <w:t>Infraestrutura</w:t>
            </w:r>
            <w:r>
              <w:rPr>
                <w:rFonts w:ascii="Arial MT" w:hAnsi="Arial MT"/>
                <w:color w:val="001F60"/>
                <w:spacing w:val="-6"/>
                <w:sz w:val="14"/>
              </w:rPr>
              <w:t xml:space="preserve"> </w:t>
            </w:r>
            <w:r>
              <w:rPr>
                <w:rFonts w:ascii="Arial MT" w:hAnsi="Arial MT"/>
                <w:color w:val="001F60"/>
                <w:sz w:val="14"/>
              </w:rPr>
              <w:t>de</w:t>
            </w:r>
            <w:r>
              <w:rPr>
                <w:rFonts w:ascii="Arial MT" w:hAnsi="Arial MT"/>
                <w:color w:val="001F60"/>
                <w:spacing w:val="-7"/>
                <w:sz w:val="14"/>
              </w:rPr>
              <w:t xml:space="preserve"> </w:t>
            </w:r>
            <w:r>
              <w:rPr>
                <w:rFonts w:ascii="Arial MT" w:hAnsi="Arial MT"/>
                <w:color w:val="001F60"/>
                <w:spacing w:val="-2"/>
                <w:sz w:val="14"/>
              </w:rPr>
              <w:t>Telecomunicações</w:t>
            </w:r>
          </w:p>
        </w:tc>
        <w:tc>
          <w:tcPr>
            <w:tcW w:w="599" w:type="dxa"/>
            <w:tcBorders>
              <w:bottom w:val="single" w:sz="4" w:space="0" w:color="001F60"/>
            </w:tcBorders>
          </w:tcPr>
          <w:p w14:paraId="78C8A447" w14:textId="77777777" w:rsidR="002C6574" w:rsidRDefault="00000000">
            <w:pPr>
              <w:pStyle w:val="TableParagraph"/>
              <w:spacing w:before="44"/>
              <w:ind w:left="76"/>
              <w:jc w:val="left"/>
              <w:rPr>
                <w:rFonts w:ascii="Arial MT"/>
                <w:sz w:val="14"/>
              </w:rPr>
            </w:pPr>
            <w:r>
              <w:rPr>
                <w:rFonts w:ascii="Arial MT"/>
                <w:color w:val="001F60"/>
                <w:spacing w:val="-10"/>
                <w:sz w:val="14"/>
              </w:rPr>
              <w:t>-</w:t>
            </w:r>
          </w:p>
        </w:tc>
        <w:tc>
          <w:tcPr>
            <w:tcW w:w="994" w:type="dxa"/>
            <w:tcBorders>
              <w:bottom w:val="single" w:sz="4" w:space="0" w:color="001F60"/>
            </w:tcBorders>
          </w:tcPr>
          <w:p w14:paraId="44532B8F" w14:textId="77777777" w:rsidR="002C6574" w:rsidRDefault="00000000">
            <w:pPr>
              <w:pStyle w:val="TableParagraph"/>
              <w:spacing w:before="44"/>
              <w:ind w:left="119" w:right="2"/>
              <w:jc w:val="center"/>
              <w:rPr>
                <w:rFonts w:ascii="Arial MT"/>
                <w:sz w:val="14"/>
              </w:rPr>
            </w:pPr>
            <w:r>
              <w:rPr>
                <w:rFonts w:ascii="Arial MT"/>
                <w:color w:val="001F60"/>
                <w:spacing w:val="-4"/>
                <w:sz w:val="14"/>
              </w:rPr>
              <w:t>0,06</w:t>
            </w:r>
          </w:p>
        </w:tc>
        <w:tc>
          <w:tcPr>
            <w:tcW w:w="1155" w:type="dxa"/>
            <w:tcBorders>
              <w:bottom w:val="single" w:sz="4" w:space="0" w:color="001F60"/>
            </w:tcBorders>
          </w:tcPr>
          <w:p w14:paraId="45BAD8DA" w14:textId="77777777" w:rsidR="002C6574" w:rsidRDefault="00000000">
            <w:pPr>
              <w:pStyle w:val="TableParagraph"/>
              <w:spacing w:before="44"/>
              <w:ind w:left="90" w:right="2"/>
              <w:jc w:val="center"/>
              <w:rPr>
                <w:rFonts w:ascii="Arial MT"/>
                <w:sz w:val="14"/>
              </w:rPr>
            </w:pPr>
            <w:r>
              <w:rPr>
                <w:rFonts w:ascii="Arial MT"/>
                <w:color w:val="001F60"/>
                <w:spacing w:val="-4"/>
                <w:sz w:val="14"/>
              </w:rPr>
              <w:t>0,06</w:t>
            </w:r>
          </w:p>
        </w:tc>
      </w:tr>
      <w:tr w:rsidR="002C6574" w14:paraId="788C4693" w14:textId="77777777">
        <w:trPr>
          <w:trHeight w:val="256"/>
        </w:trPr>
        <w:tc>
          <w:tcPr>
            <w:tcW w:w="600" w:type="dxa"/>
            <w:tcBorders>
              <w:top w:val="single" w:sz="4" w:space="0" w:color="001F60"/>
              <w:bottom w:val="single" w:sz="4" w:space="0" w:color="001F60"/>
            </w:tcBorders>
          </w:tcPr>
          <w:p w14:paraId="1583F3D1" w14:textId="77777777" w:rsidR="002C6574" w:rsidRDefault="00000000">
            <w:pPr>
              <w:pStyle w:val="TableParagraph"/>
              <w:spacing w:before="48"/>
              <w:ind w:left="76"/>
              <w:jc w:val="left"/>
              <w:rPr>
                <w:rFonts w:ascii="Arial"/>
                <w:b/>
                <w:sz w:val="14"/>
              </w:rPr>
            </w:pPr>
            <w:r>
              <w:rPr>
                <w:rFonts w:ascii="Arial"/>
                <w:b/>
                <w:color w:val="001F60"/>
                <w:spacing w:val="-2"/>
                <w:sz w:val="14"/>
              </w:rPr>
              <w:t>TOTAL</w:t>
            </w:r>
          </w:p>
        </w:tc>
        <w:tc>
          <w:tcPr>
            <w:tcW w:w="5759" w:type="dxa"/>
            <w:tcBorders>
              <w:top w:val="single" w:sz="4" w:space="0" w:color="001F60"/>
              <w:bottom w:val="single" w:sz="4" w:space="0" w:color="001F60"/>
            </w:tcBorders>
          </w:tcPr>
          <w:p w14:paraId="022D47D6" w14:textId="77777777" w:rsidR="002C6574" w:rsidRDefault="002C6574">
            <w:pPr>
              <w:pStyle w:val="TableParagraph"/>
              <w:jc w:val="left"/>
              <w:rPr>
                <w:rFonts w:ascii="Times New Roman"/>
                <w:sz w:val="18"/>
              </w:rPr>
            </w:pPr>
          </w:p>
        </w:tc>
        <w:tc>
          <w:tcPr>
            <w:tcW w:w="599" w:type="dxa"/>
            <w:tcBorders>
              <w:top w:val="single" w:sz="4" w:space="0" w:color="001F60"/>
              <w:bottom w:val="single" w:sz="4" w:space="0" w:color="001F60"/>
            </w:tcBorders>
          </w:tcPr>
          <w:p w14:paraId="1E2984FB" w14:textId="77777777" w:rsidR="002C6574" w:rsidRDefault="00000000">
            <w:pPr>
              <w:pStyle w:val="TableParagraph"/>
              <w:spacing w:before="48"/>
              <w:ind w:left="75"/>
              <w:jc w:val="left"/>
              <w:rPr>
                <w:rFonts w:ascii="Arial"/>
                <w:b/>
                <w:sz w:val="14"/>
              </w:rPr>
            </w:pPr>
            <w:r>
              <w:rPr>
                <w:rFonts w:ascii="Arial"/>
                <w:b/>
                <w:color w:val="001F60"/>
                <w:spacing w:val="-10"/>
                <w:sz w:val="14"/>
              </w:rPr>
              <w:t>-</w:t>
            </w:r>
          </w:p>
        </w:tc>
        <w:tc>
          <w:tcPr>
            <w:tcW w:w="994" w:type="dxa"/>
            <w:tcBorders>
              <w:top w:val="single" w:sz="4" w:space="0" w:color="001F60"/>
              <w:bottom w:val="single" w:sz="4" w:space="0" w:color="001F60"/>
            </w:tcBorders>
          </w:tcPr>
          <w:p w14:paraId="39DF596B" w14:textId="77777777" w:rsidR="002C6574" w:rsidRDefault="00000000">
            <w:pPr>
              <w:pStyle w:val="TableParagraph"/>
              <w:spacing w:before="48"/>
              <w:ind w:left="119" w:right="2"/>
              <w:jc w:val="center"/>
              <w:rPr>
                <w:rFonts w:ascii="Arial"/>
                <w:b/>
                <w:sz w:val="14"/>
              </w:rPr>
            </w:pPr>
            <w:r>
              <w:rPr>
                <w:rFonts w:ascii="Arial"/>
                <w:b/>
                <w:color w:val="001F60"/>
                <w:spacing w:val="-4"/>
                <w:sz w:val="14"/>
              </w:rPr>
              <w:t>0,84</w:t>
            </w:r>
          </w:p>
        </w:tc>
        <w:tc>
          <w:tcPr>
            <w:tcW w:w="1155" w:type="dxa"/>
            <w:tcBorders>
              <w:top w:val="single" w:sz="4" w:space="0" w:color="001F60"/>
              <w:bottom w:val="single" w:sz="4" w:space="0" w:color="001F60"/>
            </w:tcBorders>
          </w:tcPr>
          <w:p w14:paraId="48762C3F" w14:textId="77777777" w:rsidR="002C6574" w:rsidRDefault="00000000">
            <w:pPr>
              <w:pStyle w:val="TableParagraph"/>
              <w:spacing w:before="48"/>
              <w:ind w:left="90" w:right="1"/>
              <w:jc w:val="center"/>
              <w:rPr>
                <w:rFonts w:ascii="Arial"/>
                <w:b/>
                <w:sz w:val="14"/>
              </w:rPr>
            </w:pPr>
            <w:r>
              <w:rPr>
                <w:rFonts w:ascii="Arial"/>
                <w:b/>
                <w:color w:val="001F60"/>
                <w:spacing w:val="-4"/>
                <w:sz w:val="14"/>
              </w:rPr>
              <w:t>0,84</w:t>
            </w:r>
          </w:p>
        </w:tc>
      </w:tr>
      <w:tr w:rsidR="002C6574" w14:paraId="6B759019" w14:textId="77777777">
        <w:trPr>
          <w:trHeight w:val="311"/>
        </w:trPr>
        <w:tc>
          <w:tcPr>
            <w:tcW w:w="600" w:type="dxa"/>
            <w:tcBorders>
              <w:top w:val="single" w:sz="4" w:space="0" w:color="001F60"/>
            </w:tcBorders>
          </w:tcPr>
          <w:p w14:paraId="387C5F80" w14:textId="77777777" w:rsidR="002C6574" w:rsidRDefault="002C6574">
            <w:pPr>
              <w:pStyle w:val="TableParagraph"/>
              <w:jc w:val="left"/>
              <w:rPr>
                <w:rFonts w:ascii="Times New Roman"/>
                <w:sz w:val="18"/>
              </w:rPr>
            </w:pPr>
          </w:p>
        </w:tc>
        <w:tc>
          <w:tcPr>
            <w:tcW w:w="5759" w:type="dxa"/>
            <w:tcBorders>
              <w:top w:val="single" w:sz="4" w:space="0" w:color="001F60"/>
            </w:tcBorders>
          </w:tcPr>
          <w:p w14:paraId="16689322" w14:textId="77777777" w:rsidR="002C6574" w:rsidRDefault="00000000">
            <w:pPr>
              <w:pStyle w:val="TableParagraph"/>
              <w:spacing w:before="118" w:line="173" w:lineRule="exact"/>
              <w:ind w:left="2200"/>
              <w:jc w:val="left"/>
              <w:rPr>
                <w:rFonts w:ascii="Calibri" w:hAnsi="Calibri"/>
                <w:sz w:val="16"/>
              </w:rPr>
            </w:pPr>
            <w:r>
              <w:rPr>
                <w:rFonts w:ascii="Calibri" w:hAnsi="Calibri"/>
                <w:color w:val="001F60"/>
                <w:sz w:val="16"/>
              </w:rPr>
              <w:t>Tabela</w:t>
            </w:r>
            <w:r>
              <w:rPr>
                <w:rFonts w:ascii="Calibri" w:hAnsi="Calibri"/>
                <w:color w:val="001F60"/>
                <w:spacing w:val="-3"/>
                <w:sz w:val="16"/>
              </w:rPr>
              <w:t xml:space="preserve"> </w:t>
            </w:r>
            <w:r>
              <w:rPr>
                <w:rFonts w:ascii="Calibri" w:hAnsi="Calibri"/>
                <w:color w:val="001F60"/>
                <w:sz w:val="16"/>
              </w:rPr>
              <w:t>3-18</w:t>
            </w:r>
            <w:r>
              <w:rPr>
                <w:rFonts w:ascii="Calibri" w:hAnsi="Calibri"/>
                <w:color w:val="001F60"/>
                <w:spacing w:val="-5"/>
                <w:sz w:val="16"/>
              </w:rPr>
              <w:t xml:space="preserve"> </w:t>
            </w:r>
            <w:r>
              <w:rPr>
                <w:rFonts w:ascii="Calibri" w:hAnsi="Calibri"/>
                <w:color w:val="001F60"/>
                <w:sz w:val="16"/>
              </w:rPr>
              <w:t>Execução</w:t>
            </w:r>
            <w:r>
              <w:rPr>
                <w:rFonts w:ascii="Calibri" w:hAnsi="Calibri"/>
                <w:color w:val="001F60"/>
                <w:spacing w:val="-3"/>
                <w:sz w:val="16"/>
              </w:rPr>
              <w:t xml:space="preserve"> </w:t>
            </w:r>
            <w:r>
              <w:rPr>
                <w:rFonts w:ascii="Calibri" w:hAnsi="Calibri"/>
                <w:color w:val="001F60"/>
                <w:sz w:val="16"/>
              </w:rPr>
              <w:t>de</w:t>
            </w:r>
            <w:r>
              <w:rPr>
                <w:rFonts w:ascii="Calibri" w:hAnsi="Calibri"/>
                <w:color w:val="001F60"/>
                <w:spacing w:val="-2"/>
                <w:sz w:val="16"/>
              </w:rPr>
              <w:t xml:space="preserve"> </w:t>
            </w:r>
            <w:r>
              <w:rPr>
                <w:rFonts w:ascii="Calibri" w:hAnsi="Calibri"/>
                <w:color w:val="001F60"/>
                <w:sz w:val="16"/>
              </w:rPr>
              <w:t>Pagamentos</w:t>
            </w:r>
            <w:r>
              <w:rPr>
                <w:rFonts w:ascii="Calibri" w:hAnsi="Calibri"/>
                <w:color w:val="001F60"/>
                <w:spacing w:val="-3"/>
                <w:sz w:val="16"/>
              </w:rPr>
              <w:t xml:space="preserve"> </w:t>
            </w:r>
            <w:r>
              <w:rPr>
                <w:rFonts w:ascii="Calibri" w:hAnsi="Calibri"/>
                <w:color w:val="001F60"/>
                <w:sz w:val="16"/>
              </w:rPr>
              <w:t>–</w:t>
            </w:r>
            <w:r>
              <w:rPr>
                <w:rFonts w:ascii="Calibri" w:hAnsi="Calibri"/>
                <w:color w:val="001F60"/>
                <w:spacing w:val="-3"/>
                <w:sz w:val="16"/>
              </w:rPr>
              <w:t xml:space="preserve"> </w:t>
            </w:r>
            <w:r>
              <w:rPr>
                <w:rFonts w:ascii="Calibri" w:hAnsi="Calibri"/>
                <w:color w:val="001F60"/>
                <w:sz w:val="16"/>
              </w:rPr>
              <w:t>OFSS</w:t>
            </w:r>
            <w:r>
              <w:rPr>
                <w:rFonts w:ascii="Calibri" w:hAnsi="Calibri"/>
                <w:color w:val="001F60"/>
                <w:spacing w:val="-2"/>
                <w:sz w:val="16"/>
              </w:rPr>
              <w:t xml:space="preserve"> </w:t>
            </w:r>
            <w:r>
              <w:rPr>
                <w:rFonts w:ascii="Calibri" w:hAnsi="Calibri"/>
                <w:color w:val="001F60"/>
                <w:sz w:val="16"/>
              </w:rPr>
              <w:t>de</w:t>
            </w:r>
            <w:r>
              <w:rPr>
                <w:rFonts w:ascii="Calibri" w:hAnsi="Calibri"/>
                <w:color w:val="001F60"/>
                <w:spacing w:val="-3"/>
                <w:sz w:val="16"/>
              </w:rPr>
              <w:t xml:space="preserve"> </w:t>
            </w:r>
            <w:r>
              <w:rPr>
                <w:rFonts w:ascii="Calibri" w:hAnsi="Calibri"/>
                <w:color w:val="001F60"/>
                <w:spacing w:val="-4"/>
                <w:sz w:val="16"/>
              </w:rPr>
              <w:t>2025</w:t>
            </w:r>
          </w:p>
        </w:tc>
        <w:tc>
          <w:tcPr>
            <w:tcW w:w="599" w:type="dxa"/>
            <w:tcBorders>
              <w:top w:val="single" w:sz="4" w:space="0" w:color="001F60"/>
            </w:tcBorders>
          </w:tcPr>
          <w:p w14:paraId="44E14CD4" w14:textId="77777777" w:rsidR="002C6574" w:rsidRDefault="002C6574">
            <w:pPr>
              <w:pStyle w:val="TableParagraph"/>
              <w:jc w:val="left"/>
              <w:rPr>
                <w:rFonts w:ascii="Times New Roman"/>
                <w:sz w:val="18"/>
              </w:rPr>
            </w:pPr>
          </w:p>
        </w:tc>
        <w:tc>
          <w:tcPr>
            <w:tcW w:w="994" w:type="dxa"/>
            <w:tcBorders>
              <w:top w:val="single" w:sz="4" w:space="0" w:color="001F60"/>
            </w:tcBorders>
          </w:tcPr>
          <w:p w14:paraId="124D33D1" w14:textId="77777777" w:rsidR="002C6574" w:rsidRDefault="002C6574">
            <w:pPr>
              <w:pStyle w:val="TableParagraph"/>
              <w:jc w:val="left"/>
              <w:rPr>
                <w:rFonts w:ascii="Times New Roman"/>
                <w:sz w:val="18"/>
              </w:rPr>
            </w:pPr>
          </w:p>
        </w:tc>
        <w:tc>
          <w:tcPr>
            <w:tcW w:w="1155" w:type="dxa"/>
            <w:tcBorders>
              <w:top w:val="single" w:sz="4" w:space="0" w:color="001F60"/>
            </w:tcBorders>
          </w:tcPr>
          <w:p w14:paraId="36C98163" w14:textId="77777777" w:rsidR="002C6574" w:rsidRDefault="002C6574">
            <w:pPr>
              <w:pStyle w:val="TableParagraph"/>
              <w:jc w:val="left"/>
              <w:rPr>
                <w:rFonts w:ascii="Times New Roman"/>
                <w:sz w:val="18"/>
              </w:rPr>
            </w:pPr>
          </w:p>
        </w:tc>
      </w:tr>
    </w:tbl>
    <w:p w14:paraId="182606D2" w14:textId="77777777" w:rsidR="002C6574" w:rsidRDefault="00000000">
      <w:pPr>
        <w:pStyle w:val="Corpodetexto"/>
        <w:spacing w:before="120"/>
        <w:ind w:left="709"/>
        <w:rPr>
          <w:rFonts w:ascii="Calibri" w:hAnsi="Calibri"/>
        </w:rPr>
      </w:pPr>
      <w:r>
        <w:rPr>
          <w:rFonts w:ascii="Calibri" w:hAnsi="Calibri"/>
          <w:color w:val="001F60"/>
        </w:rPr>
        <w:t>No</w:t>
      </w:r>
      <w:r>
        <w:rPr>
          <w:rFonts w:ascii="Calibri" w:hAnsi="Calibri"/>
          <w:color w:val="001F60"/>
          <w:spacing w:val="31"/>
        </w:rPr>
        <w:t xml:space="preserve"> </w:t>
      </w:r>
      <w:r>
        <w:rPr>
          <w:rFonts w:ascii="Calibri" w:hAnsi="Calibri"/>
          <w:color w:val="001F60"/>
        </w:rPr>
        <w:t>período</w:t>
      </w:r>
      <w:r>
        <w:rPr>
          <w:rFonts w:ascii="Calibri" w:hAnsi="Calibri"/>
          <w:color w:val="001F60"/>
          <w:spacing w:val="32"/>
        </w:rPr>
        <w:t xml:space="preserve"> </w:t>
      </w:r>
      <w:r>
        <w:rPr>
          <w:rFonts w:ascii="Calibri" w:hAnsi="Calibri"/>
          <w:color w:val="001F60"/>
        </w:rPr>
        <w:t>de</w:t>
      </w:r>
      <w:r>
        <w:rPr>
          <w:rFonts w:ascii="Calibri" w:hAnsi="Calibri"/>
          <w:color w:val="001F60"/>
          <w:spacing w:val="29"/>
        </w:rPr>
        <w:t xml:space="preserve"> </w:t>
      </w:r>
      <w:r>
        <w:rPr>
          <w:rFonts w:ascii="Calibri" w:hAnsi="Calibri"/>
          <w:color w:val="001F60"/>
        </w:rPr>
        <w:t>setembro</w:t>
      </w:r>
      <w:r>
        <w:rPr>
          <w:rFonts w:ascii="Calibri" w:hAnsi="Calibri"/>
          <w:color w:val="001F60"/>
          <w:spacing w:val="25"/>
        </w:rPr>
        <w:t xml:space="preserve"> </w:t>
      </w:r>
      <w:r>
        <w:rPr>
          <w:rFonts w:ascii="Calibri" w:hAnsi="Calibri"/>
          <w:color w:val="001F60"/>
        </w:rPr>
        <w:t>a</w:t>
      </w:r>
      <w:r>
        <w:rPr>
          <w:rFonts w:ascii="Calibri" w:hAnsi="Calibri"/>
          <w:color w:val="001F60"/>
          <w:spacing w:val="29"/>
        </w:rPr>
        <w:t xml:space="preserve"> </w:t>
      </w:r>
      <w:r>
        <w:rPr>
          <w:rFonts w:ascii="Calibri" w:hAnsi="Calibri"/>
          <w:color w:val="001F60"/>
        </w:rPr>
        <w:t>dezembro</w:t>
      </w:r>
      <w:r>
        <w:rPr>
          <w:rFonts w:ascii="Calibri" w:hAnsi="Calibri"/>
          <w:color w:val="001F60"/>
          <w:spacing w:val="29"/>
        </w:rPr>
        <w:t xml:space="preserve"> </w:t>
      </w:r>
      <w:r>
        <w:rPr>
          <w:rFonts w:ascii="Calibri" w:hAnsi="Calibri"/>
          <w:color w:val="001F60"/>
        </w:rPr>
        <w:t>de</w:t>
      </w:r>
      <w:r>
        <w:rPr>
          <w:rFonts w:ascii="Calibri" w:hAnsi="Calibri"/>
          <w:color w:val="001F60"/>
          <w:spacing w:val="31"/>
        </w:rPr>
        <w:t xml:space="preserve"> </w:t>
      </w:r>
      <w:r>
        <w:rPr>
          <w:rFonts w:ascii="Calibri" w:hAnsi="Calibri"/>
          <w:color w:val="001F60"/>
        </w:rPr>
        <w:t>2025,</w:t>
      </w:r>
      <w:r>
        <w:rPr>
          <w:rFonts w:ascii="Calibri" w:hAnsi="Calibri"/>
          <w:color w:val="001F60"/>
          <w:spacing w:val="29"/>
        </w:rPr>
        <w:t xml:space="preserve"> </w:t>
      </w:r>
      <w:r>
        <w:rPr>
          <w:rFonts w:ascii="Calibri" w:hAnsi="Calibri"/>
          <w:color w:val="001F60"/>
        </w:rPr>
        <w:t>já</w:t>
      </w:r>
      <w:r>
        <w:rPr>
          <w:rFonts w:ascii="Calibri" w:hAnsi="Calibri"/>
          <w:color w:val="001F60"/>
          <w:spacing w:val="27"/>
        </w:rPr>
        <w:t xml:space="preserve"> </w:t>
      </w:r>
      <w:r>
        <w:rPr>
          <w:rFonts w:ascii="Calibri" w:hAnsi="Calibri"/>
          <w:color w:val="001F60"/>
        </w:rPr>
        <w:t>sob</w:t>
      </w:r>
      <w:r>
        <w:rPr>
          <w:rFonts w:ascii="Calibri" w:hAnsi="Calibri"/>
          <w:color w:val="001F60"/>
          <w:spacing w:val="29"/>
        </w:rPr>
        <w:t xml:space="preserve"> </w:t>
      </w:r>
      <w:r>
        <w:rPr>
          <w:rFonts w:ascii="Calibri" w:hAnsi="Calibri"/>
          <w:color w:val="001F60"/>
        </w:rPr>
        <w:t>o</w:t>
      </w:r>
      <w:r>
        <w:rPr>
          <w:rFonts w:ascii="Calibri" w:hAnsi="Calibri"/>
          <w:color w:val="001F60"/>
          <w:spacing w:val="27"/>
        </w:rPr>
        <w:t xml:space="preserve"> </w:t>
      </w:r>
      <w:r>
        <w:rPr>
          <w:rFonts w:ascii="Calibri" w:hAnsi="Calibri"/>
          <w:color w:val="001F60"/>
        </w:rPr>
        <w:t>OI/PDG,</w:t>
      </w:r>
      <w:r>
        <w:rPr>
          <w:rFonts w:ascii="Calibri" w:hAnsi="Calibri"/>
          <w:color w:val="001F60"/>
          <w:spacing w:val="29"/>
        </w:rPr>
        <w:t xml:space="preserve"> </w:t>
      </w:r>
      <w:r>
        <w:rPr>
          <w:rFonts w:ascii="Calibri" w:hAnsi="Calibri"/>
          <w:color w:val="001F60"/>
        </w:rPr>
        <w:t>a</w:t>
      </w:r>
      <w:r>
        <w:rPr>
          <w:rFonts w:ascii="Calibri" w:hAnsi="Calibri"/>
          <w:color w:val="001F60"/>
          <w:spacing w:val="27"/>
        </w:rPr>
        <w:t xml:space="preserve"> </w:t>
      </w:r>
      <w:r>
        <w:rPr>
          <w:rFonts w:ascii="Calibri" w:hAnsi="Calibri"/>
          <w:color w:val="001F60"/>
        </w:rPr>
        <w:t>execução</w:t>
      </w:r>
      <w:r>
        <w:rPr>
          <w:rFonts w:ascii="Calibri" w:hAnsi="Calibri"/>
          <w:color w:val="001F60"/>
          <w:spacing w:val="27"/>
        </w:rPr>
        <w:t xml:space="preserve"> </w:t>
      </w:r>
      <w:r>
        <w:rPr>
          <w:rFonts w:ascii="Calibri" w:hAnsi="Calibri"/>
          <w:color w:val="001F60"/>
        </w:rPr>
        <w:t>dos</w:t>
      </w:r>
      <w:r>
        <w:rPr>
          <w:rFonts w:ascii="Calibri" w:hAnsi="Calibri"/>
          <w:color w:val="001F60"/>
          <w:spacing w:val="31"/>
        </w:rPr>
        <w:t xml:space="preserve"> </w:t>
      </w:r>
      <w:r>
        <w:rPr>
          <w:rFonts w:ascii="Calibri" w:hAnsi="Calibri"/>
          <w:color w:val="001F60"/>
        </w:rPr>
        <w:t>pagamentos</w:t>
      </w:r>
      <w:r>
        <w:rPr>
          <w:rFonts w:ascii="Calibri" w:hAnsi="Calibri"/>
          <w:color w:val="001F60"/>
          <w:spacing w:val="31"/>
        </w:rPr>
        <w:t xml:space="preserve"> </w:t>
      </w:r>
      <w:r>
        <w:rPr>
          <w:rFonts w:ascii="Calibri" w:hAnsi="Calibri"/>
          <w:color w:val="001F60"/>
        </w:rPr>
        <w:t>das despesas correntes e de capital encontra-se consolidada na tabela a seguir:</w:t>
      </w:r>
    </w:p>
    <w:p w14:paraId="05E063F5" w14:textId="77777777" w:rsidR="002C6574" w:rsidRDefault="00000000">
      <w:pPr>
        <w:spacing w:before="170"/>
        <w:ind w:right="543"/>
        <w:jc w:val="right"/>
        <w:rPr>
          <w:rFonts w:ascii="Arial" w:hAnsi="Arial"/>
          <w:b/>
          <w:i/>
          <w:sz w:val="14"/>
        </w:rPr>
      </w:pPr>
      <w:r>
        <w:rPr>
          <w:rFonts w:ascii="Arial" w:hAnsi="Arial"/>
          <w:b/>
          <w:i/>
          <w:noProof/>
          <w:sz w:val="14"/>
        </w:rPr>
        <mc:AlternateContent>
          <mc:Choice Requires="wps">
            <w:drawing>
              <wp:anchor distT="0" distB="0" distL="0" distR="0" simplePos="0" relativeHeight="15737344" behindDoc="0" locked="0" layoutInCell="1" allowOverlap="1" wp14:anchorId="5CA4AA55" wp14:editId="34277292">
                <wp:simplePos x="0" y="0"/>
                <wp:positionH relativeFrom="page">
                  <wp:posOffset>1080516</wp:posOffset>
                </wp:positionH>
                <wp:positionV relativeFrom="paragraph">
                  <wp:posOffset>240341</wp:posOffset>
                </wp:positionV>
                <wp:extent cx="5638800" cy="635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6350"/>
                        </a:xfrm>
                        <a:custGeom>
                          <a:avLst/>
                          <a:gdLst/>
                          <a:ahLst/>
                          <a:cxnLst/>
                          <a:rect l="l" t="t" r="r" b="b"/>
                          <a:pathLst>
                            <a:path w="5638800" h="6350">
                              <a:moveTo>
                                <a:pt x="5638800" y="0"/>
                              </a:moveTo>
                              <a:lnTo>
                                <a:pt x="4908791" y="0"/>
                              </a:lnTo>
                              <a:lnTo>
                                <a:pt x="0" y="0"/>
                              </a:lnTo>
                              <a:lnTo>
                                <a:pt x="0" y="6096"/>
                              </a:lnTo>
                              <a:lnTo>
                                <a:pt x="4908791" y="6096"/>
                              </a:lnTo>
                              <a:lnTo>
                                <a:pt x="5638800" y="6096"/>
                              </a:lnTo>
                              <a:lnTo>
                                <a:pt x="5638800" y="0"/>
                              </a:lnTo>
                              <a:close/>
                            </a:path>
                          </a:pathLst>
                        </a:custGeom>
                        <a:solidFill>
                          <a:srgbClr val="001F60"/>
                        </a:solidFill>
                      </wps:spPr>
                      <wps:bodyPr wrap="square" lIns="0" tIns="0" rIns="0" bIns="0" rtlCol="0">
                        <a:prstTxWarp prst="textNoShape">
                          <a:avLst/>
                        </a:prstTxWarp>
                        <a:noAutofit/>
                      </wps:bodyPr>
                    </wps:wsp>
                  </a:graphicData>
                </a:graphic>
              </wp:anchor>
            </w:drawing>
          </mc:Choice>
          <mc:Fallback>
            <w:pict>
              <v:shape w14:anchorId="5055C029" id="Graphic 49" o:spid="_x0000_s1026" style="position:absolute;margin-left:85.1pt;margin-top:18.9pt;width:444pt;height:.5pt;z-index:15737344;visibility:visible;mso-wrap-style:square;mso-wrap-distance-left:0;mso-wrap-distance-top:0;mso-wrap-distance-right:0;mso-wrap-distance-bottom:0;mso-position-horizontal:absolute;mso-position-horizontal-relative:page;mso-position-vertical:absolute;mso-position-vertical-relative:text;v-text-anchor:top" coordsize="563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" path="m5638800,l4908791,,,,,6096r4908791,l5638800,6096r,-6096xe" fillcolor="#001f60" stroked="f">
                <v:path arrowok="t"/>
                <w10:wrap anchorx="page"/>
              </v:shape>
            </w:pict>
          </mc:Fallback>
        </mc:AlternateContent>
      </w:r>
      <w:r>
        <w:rPr>
          <w:rFonts w:ascii="Arial" w:hAnsi="Arial"/>
          <w:b/>
          <w:i/>
          <w:color w:val="001F60"/>
          <w:sz w:val="14"/>
        </w:rPr>
        <w:t>Valores</w:t>
      </w:r>
      <w:r>
        <w:rPr>
          <w:rFonts w:ascii="Arial" w:hAnsi="Arial"/>
          <w:b/>
          <w:i/>
          <w:color w:val="001F60"/>
          <w:spacing w:val="-5"/>
          <w:sz w:val="14"/>
        </w:rPr>
        <w:t xml:space="preserve"> </w:t>
      </w:r>
      <w:r>
        <w:rPr>
          <w:rFonts w:ascii="Arial" w:hAnsi="Arial"/>
          <w:b/>
          <w:i/>
          <w:color w:val="001F60"/>
          <w:sz w:val="14"/>
        </w:rPr>
        <w:t>em</w:t>
      </w:r>
      <w:r>
        <w:rPr>
          <w:rFonts w:ascii="Arial" w:hAnsi="Arial"/>
          <w:b/>
          <w:i/>
          <w:color w:val="001F60"/>
          <w:spacing w:val="-1"/>
          <w:sz w:val="14"/>
        </w:rPr>
        <w:t xml:space="preserve"> </w:t>
      </w:r>
      <w:r>
        <w:rPr>
          <w:rFonts w:ascii="Arial" w:hAnsi="Arial"/>
          <w:b/>
          <w:i/>
          <w:color w:val="001F60"/>
          <w:sz w:val="14"/>
        </w:rPr>
        <w:t>R$</w:t>
      </w:r>
      <w:r>
        <w:rPr>
          <w:rFonts w:ascii="Arial" w:hAnsi="Arial"/>
          <w:b/>
          <w:i/>
          <w:color w:val="001F60"/>
          <w:spacing w:val="-3"/>
          <w:sz w:val="14"/>
        </w:rPr>
        <w:t xml:space="preserve"> </w:t>
      </w:r>
      <w:r>
        <w:rPr>
          <w:rFonts w:ascii="Arial" w:hAnsi="Arial"/>
          <w:b/>
          <w:i/>
          <w:color w:val="001F60"/>
          <w:spacing w:val="-2"/>
          <w:sz w:val="14"/>
        </w:rPr>
        <w:t>Milhões</w:t>
      </w:r>
    </w:p>
    <w:p w14:paraId="0C67744A" w14:textId="77777777" w:rsidR="002C6574" w:rsidRDefault="002C6574">
      <w:pPr>
        <w:jc w:val="right"/>
        <w:rPr>
          <w:rFonts w:ascii="Arial" w:hAnsi="Arial"/>
          <w:b/>
          <w:i/>
          <w:sz w:val="14"/>
        </w:rPr>
        <w:sectPr w:rsidR="002C6574">
          <w:type w:val="continuous"/>
          <w:pgSz w:w="11910" w:h="16840"/>
          <w:pgMar w:top="0" w:right="850" w:bottom="0" w:left="992" w:header="312" w:footer="542" w:gutter="0"/>
          <w:cols w:space="720"/>
        </w:sectPr>
      </w:pPr>
    </w:p>
    <w:p w14:paraId="77E4FCE4" w14:textId="77777777" w:rsidR="002C6574" w:rsidRDefault="00000000">
      <w:pPr>
        <w:tabs>
          <w:tab w:val="left" w:pos="5922"/>
        </w:tabs>
        <w:spacing w:before="136" w:line="201" w:lineRule="exact"/>
        <w:ind w:left="817"/>
        <w:rPr>
          <w:rFonts w:ascii="Arial" w:hAnsi="Arial"/>
          <w:b/>
          <w:position w:val="8"/>
          <w:sz w:val="14"/>
        </w:rPr>
      </w:pPr>
      <w:r>
        <w:rPr>
          <w:rFonts w:ascii="Arial" w:hAnsi="Arial"/>
          <w:b/>
          <w:color w:val="001F60"/>
          <w:sz w:val="14"/>
        </w:rPr>
        <w:t>Execução</w:t>
      </w:r>
      <w:r>
        <w:rPr>
          <w:rFonts w:ascii="Arial" w:hAnsi="Arial"/>
          <w:b/>
          <w:color w:val="001F60"/>
          <w:spacing w:val="-8"/>
          <w:sz w:val="14"/>
        </w:rPr>
        <w:t xml:space="preserve"> </w:t>
      </w:r>
      <w:r>
        <w:rPr>
          <w:rFonts w:ascii="Arial" w:hAnsi="Arial"/>
          <w:b/>
          <w:color w:val="001F60"/>
          <w:spacing w:val="-2"/>
          <w:sz w:val="14"/>
        </w:rPr>
        <w:t>Financeira</w:t>
      </w:r>
      <w:r>
        <w:rPr>
          <w:rFonts w:ascii="Arial" w:hAnsi="Arial"/>
          <w:b/>
          <w:color w:val="001F60"/>
          <w:sz w:val="14"/>
        </w:rPr>
        <w:tab/>
      </w:r>
      <w:r>
        <w:rPr>
          <w:rFonts w:ascii="Arial" w:hAnsi="Arial"/>
          <w:b/>
          <w:color w:val="001F60"/>
          <w:spacing w:val="-2"/>
          <w:position w:val="8"/>
          <w:sz w:val="14"/>
        </w:rPr>
        <w:t>Autorizado</w:t>
      </w:r>
    </w:p>
    <w:p w14:paraId="26C6B802" w14:textId="77777777" w:rsidR="002C6574" w:rsidRDefault="00000000">
      <w:pPr>
        <w:spacing w:line="121" w:lineRule="exact"/>
        <w:jc w:val="right"/>
        <w:rPr>
          <w:rFonts w:ascii="Arial"/>
          <w:b/>
          <w:sz w:val="14"/>
        </w:rPr>
      </w:pPr>
      <w:r>
        <w:rPr>
          <w:rFonts w:ascii="Arial"/>
          <w:b/>
          <w:color w:val="001F60"/>
          <w:sz w:val="14"/>
        </w:rPr>
        <w:t>Set/Dez</w:t>
      </w:r>
      <w:r>
        <w:rPr>
          <w:rFonts w:ascii="Arial"/>
          <w:b/>
          <w:color w:val="001F60"/>
          <w:spacing w:val="-8"/>
          <w:sz w:val="14"/>
        </w:rPr>
        <w:t xml:space="preserve"> </w:t>
      </w:r>
      <w:r>
        <w:rPr>
          <w:rFonts w:ascii="Arial"/>
          <w:b/>
          <w:color w:val="001F60"/>
          <w:spacing w:val="-4"/>
          <w:sz w:val="14"/>
        </w:rPr>
        <w:t>2025</w:t>
      </w:r>
    </w:p>
    <w:p w14:paraId="308DDDE6" w14:textId="77777777" w:rsidR="002C6574" w:rsidRDefault="00000000">
      <w:pPr>
        <w:spacing w:before="137"/>
        <w:ind w:left="545" w:firstLine="91"/>
        <w:rPr>
          <w:rFonts w:ascii="Arial"/>
          <w:b/>
          <w:sz w:val="14"/>
        </w:rPr>
      </w:pPr>
      <w:r>
        <w:br w:type="column"/>
      </w:r>
      <w:r>
        <w:rPr>
          <w:rFonts w:ascii="Arial"/>
          <w:b/>
          <w:color w:val="001F60"/>
          <w:spacing w:val="-2"/>
          <w:sz w:val="14"/>
        </w:rPr>
        <w:t>Executado</w:t>
      </w:r>
      <w:r>
        <w:rPr>
          <w:rFonts w:ascii="Arial"/>
          <w:b/>
          <w:color w:val="001F60"/>
          <w:spacing w:val="40"/>
          <w:sz w:val="14"/>
        </w:rPr>
        <w:t xml:space="preserve"> </w:t>
      </w:r>
      <w:r>
        <w:rPr>
          <w:rFonts w:ascii="Arial"/>
          <w:b/>
          <w:color w:val="001F60"/>
          <w:sz w:val="14"/>
        </w:rPr>
        <w:t>Set/Dez</w:t>
      </w:r>
      <w:r>
        <w:rPr>
          <w:rFonts w:ascii="Arial"/>
          <w:b/>
          <w:color w:val="001F60"/>
          <w:spacing w:val="-8"/>
          <w:sz w:val="14"/>
        </w:rPr>
        <w:t xml:space="preserve"> </w:t>
      </w:r>
      <w:r>
        <w:rPr>
          <w:rFonts w:ascii="Arial"/>
          <w:b/>
          <w:color w:val="001F60"/>
          <w:spacing w:val="-4"/>
          <w:sz w:val="14"/>
        </w:rPr>
        <w:t>2025</w:t>
      </w:r>
    </w:p>
    <w:p w14:paraId="4D868ABC" w14:textId="77777777" w:rsidR="002C6574" w:rsidRDefault="00000000">
      <w:pPr>
        <w:spacing w:before="55"/>
        <w:rPr>
          <w:rFonts w:ascii="Arial"/>
          <w:b/>
          <w:sz w:val="14"/>
        </w:rPr>
      </w:pPr>
      <w:r>
        <w:br w:type="column"/>
      </w:r>
    </w:p>
    <w:p w14:paraId="3D852165" w14:textId="77777777" w:rsidR="002C6574" w:rsidRDefault="00000000">
      <w:pPr>
        <w:ind w:left="492"/>
        <w:rPr>
          <w:rFonts w:ascii="Arial"/>
          <w:b/>
          <w:sz w:val="14"/>
        </w:rPr>
      </w:pPr>
      <w:r>
        <w:rPr>
          <w:rFonts w:ascii="Arial"/>
          <w:b/>
          <w:color w:val="001F60"/>
          <w:spacing w:val="-2"/>
          <w:sz w:val="14"/>
        </w:rPr>
        <w:t>Percentual</w:t>
      </w:r>
    </w:p>
    <w:p w14:paraId="375EE407" w14:textId="77777777" w:rsidR="002C6574" w:rsidRDefault="002C6574">
      <w:pPr>
        <w:rPr>
          <w:rFonts w:ascii="Arial"/>
          <w:b/>
          <w:sz w:val="14"/>
        </w:rPr>
        <w:sectPr w:rsidR="002C6574">
          <w:type w:val="continuous"/>
          <w:pgSz w:w="11910" w:h="16840"/>
          <w:pgMar w:top="0" w:right="850" w:bottom="0" w:left="992" w:header="312" w:footer="542" w:gutter="0"/>
          <w:cols w:num="3" w:space="720" w:equalWidth="0">
            <w:col w:w="6698" w:space="40"/>
            <w:col w:w="1401" w:space="39"/>
            <w:col w:w="1890"/>
          </w:cols>
        </w:sectPr>
      </w:pPr>
    </w:p>
    <w:p w14:paraId="4E5EAD32" w14:textId="77777777" w:rsidR="002C6574" w:rsidRDefault="002C6574">
      <w:pPr>
        <w:pStyle w:val="Corpodetexto"/>
        <w:spacing w:before="2"/>
        <w:rPr>
          <w:rFonts w:ascii="Arial"/>
          <w:b/>
          <w:sz w:val="7"/>
        </w:rPr>
      </w:pPr>
    </w:p>
    <w:tbl>
      <w:tblPr>
        <w:tblStyle w:val="TableNormal"/>
        <w:tblW w:w="0" w:type="auto"/>
        <w:tblInd w:w="717" w:type="dxa"/>
        <w:tblLayout w:type="fixed"/>
        <w:tblLook w:val="01E0" w:firstRow="1" w:lastRow="1" w:firstColumn="1" w:lastColumn="1" w:noHBand="0" w:noVBand="0"/>
      </w:tblPr>
      <w:tblGrid>
        <w:gridCol w:w="5724"/>
        <w:gridCol w:w="848"/>
        <w:gridCol w:w="596"/>
        <w:gridCol w:w="666"/>
        <w:gridCol w:w="1048"/>
      </w:tblGrid>
      <w:tr w:rsidR="002C6574" w14:paraId="5753D5C3" w14:textId="77777777">
        <w:trPr>
          <w:trHeight w:val="254"/>
        </w:trPr>
        <w:tc>
          <w:tcPr>
            <w:tcW w:w="5724" w:type="dxa"/>
            <w:tcBorders>
              <w:top w:val="single" w:sz="4" w:space="0" w:color="001F60"/>
              <w:bottom w:val="single" w:sz="4" w:space="0" w:color="001F60"/>
            </w:tcBorders>
          </w:tcPr>
          <w:p w14:paraId="21272A09" w14:textId="77777777" w:rsidR="002C6574" w:rsidRDefault="00000000">
            <w:pPr>
              <w:pStyle w:val="TableParagraph"/>
              <w:spacing w:before="46"/>
              <w:ind w:right="57"/>
              <w:rPr>
                <w:rFonts w:ascii="Arial"/>
                <w:b/>
                <w:sz w:val="14"/>
              </w:rPr>
            </w:pPr>
            <w:r>
              <w:rPr>
                <w:rFonts w:ascii="Arial"/>
                <w:b/>
                <w:color w:val="001F60"/>
                <w:spacing w:val="-5"/>
                <w:sz w:val="14"/>
              </w:rPr>
              <w:t>(a)</w:t>
            </w:r>
          </w:p>
        </w:tc>
        <w:tc>
          <w:tcPr>
            <w:tcW w:w="1444" w:type="dxa"/>
            <w:gridSpan w:val="2"/>
            <w:tcBorders>
              <w:top w:val="single" w:sz="4" w:space="0" w:color="001F60"/>
              <w:bottom w:val="single" w:sz="4" w:space="0" w:color="001F60"/>
            </w:tcBorders>
          </w:tcPr>
          <w:p w14:paraId="7684710F" w14:textId="77777777" w:rsidR="002C6574" w:rsidRDefault="00000000">
            <w:pPr>
              <w:pStyle w:val="TableParagraph"/>
              <w:spacing w:before="46"/>
              <w:ind w:right="56"/>
              <w:rPr>
                <w:rFonts w:ascii="Arial"/>
                <w:b/>
                <w:sz w:val="14"/>
              </w:rPr>
            </w:pPr>
            <w:r>
              <w:rPr>
                <w:rFonts w:ascii="Arial"/>
                <w:b/>
                <w:color w:val="001F60"/>
                <w:spacing w:val="-5"/>
                <w:sz w:val="14"/>
              </w:rPr>
              <w:t>(b)</w:t>
            </w:r>
          </w:p>
        </w:tc>
        <w:tc>
          <w:tcPr>
            <w:tcW w:w="1714" w:type="dxa"/>
            <w:gridSpan w:val="2"/>
            <w:tcBorders>
              <w:top w:val="single" w:sz="4" w:space="0" w:color="001F60"/>
              <w:bottom w:val="single" w:sz="4" w:space="0" w:color="001F60"/>
            </w:tcBorders>
          </w:tcPr>
          <w:p w14:paraId="51F24BD4" w14:textId="77777777" w:rsidR="002C6574" w:rsidRDefault="00000000">
            <w:pPr>
              <w:pStyle w:val="TableParagraph"/>
              <w:spacing w:before="46"/>
              <w:ind w:left="845"/>
              <w:jc w:val="left"/>
              <w:rPr>
                <w:rFonts w:ascii="Arial"/>
                <w:b/>
                <w:sz w:val="14"/>
              </w:rPr>
            </w:pPr>
            <w:r>
              <w:rPr>
                <w:rFonts w:ascii="Arial"/>
                <w:b/>
                <w:color w:val="001F60"/>
                <w:sz w:val="14"/>
              </w:rPr>
              <w:t>c</w:t>
            </w:r>
            <w:r>
              <w:rPr>
                <w:rFonts w:ascii="Arial"/>
                <w:b/>
                <w:color w:val="001F60"/>
                <w:spacing w:val="-3"/>
                <w:sz w:val="14"/>
              </w:rPr>
              <w:t xml:space="preserve"> </w:t>
            </w:r>
            <w:r>
              <w:rPr>
                <w:rFonts w:ascii="Arial"/>
                <w:b/>
                <w:color w:val="001F60"/>
                <w:sz w:val="14"/>
              </w:rPr>
              <w:t>=</w:t>
            </w:r>
            <w:r>
              <w:rPr>
                <w:rFonts w:ascii="Arial"/>
                <w:b/>
                <w:color w:val="001F60"/>
                <w:spacing w:val="1"/>
                <w:sz w:val="14"/>
              </w:rPr>
              <w:t xml:space="preserve"> </w:t>
            </w:r>
            <w:r>
              <w:rPr>
                <w:rFonts w:ascii="Arial"/>
                <w:b/>
                <w:color w:val="001F60"/>
                <w:sz w:val="14"/>
              </w:rPr>
              <w:t>(b</w:t>
            </w:r>
            <w:r>
              <w:rPr>
                <w:rFonts w:ascii="Arial"/>
                <w:b/>
                <w:color w:val="001F60"/>
                <w:spacing w:val="-2"/>
                <w:sz w:val="14"/>
              </w:rPr>
              <w:t xml:space="preserve"> </w:t>
            </w:r>
            <w:r>
              <w:rPr>
                <w:rFonts w:ascii="Arial"/>
                <w:b/>
                <w:color w:val="001F60"/>
                <w:sz w:val="14"/>
              </w:rPr>
              <w:t>/</w:t>
            </w:r>
            <w:r>
              <w:rPr>
                <w:rFonts w:ascii="Arial"/>
                <w:b/>
                <w:color w:val="001F60"/>
                <w:spacing w:val="-2"/>
                <w:sz w:val="14"/>
              </w:rPr>
              <w:t xml:space="preserve"> </w:t>
            </w:r>
            <w:r>
              <w:rPr>
                <w:rFonts w:ascii="Arial"/>
                <w:b/>
                <w:color w:val="001F60"/>
                <w:spacing w:val="-5"/>
                <w:sz w:val="14"/>
              </w:rPr>
              <w:t>a)</w:t>
            </w:r>
          </w:p>
        </w:tc>
      </w:tr>
      <w:tr w:rsidR="002C6574" w14:paraId="27A2F2DB" w14:textId="77777777">
        <w:trPr>
          <w:trHeight w:val="333"/>
        </w:trPr>
        <w:tc>
          <w:tcPr>
            <w:tcW w:w="5724" w:type="dxa"/>
          </w:tcPr>
          <w:p w14:paraId="463C7A33" w14:textId="77777777" w:rsidR="002C6574" w:rsidRDefault="00000000">
            <w:pPr>
              <w:pStyle w:val="TableParagraph"/>
              <w:spacing w:before="43"/>
              <w:ind w:left="69"/>
              <w:jc w:val="left"/>
              <w:rPr>
                <w:rFonts w:ascii="Arial"/>
                <w:b/>
                <w:sz w:val="14"/>
              </w:rPr>
            </w:pPr>
            <w:r>
              <w:rPr>
                <w:rFonts w:ascii="Arial"/>
                <w:b/>
                <w:color w:val="001F60"/>
                <w:sz w:val="14"/>
              </w:rPr>
              <w:t>Despesas</w:t>
            </w:r>
            <w:r>
              <w:rPr>
                <w:rFonts w:ascii="Arial"/>
                <w:b/>
                <w:color w:val="001F60"/>
                <w:spacing w:val="-4"/>
                <w:sz w:val="14"/>
              </w:rPr>
              <w:t xml:space="preserve"> </w:t>
            </w:r>
            <w:r>
              <w:rPr>
                <w:rFonts w:ascii="Arial"/>
                <w:b/>
                <w:color w:val="001F60"/>
                <w:sz w:val="14"/>
              </w:rPr>
              <w:t>de</w:t>
            </w:r>
            <w:r>
              <w:rPr>
                <w:rFonts w:ascii="Arial"/>
                <w:b/>
                <w:color w:val="001F60"/>
                <w:spacing w:val="-5"/>
                <w:sz w:val="14"/>
              </w:rPr>
              <w:t xml:space="preserve"> </w:t>
            </w:r>
            <w:r>
              <w:rPr>
                <w:rFonts w:ascii="Arial"/>
                <w:b/>
                <w:color w:val="001F60"/>
                <w:spacing w:val="-2"/>
                <w:sz w:val="14"/>
              </w:rPr>
              <w:t>Capital</w:t>
            </w:r>
          </w:p>
        </w:tc>
        <w:tc>
          <w:tcPr>
            <w:tcW w:w="848" w:type="dxa"/>
          </w:tcPr>
          <w:p w14:paraId="1928C0A2" w14:textId="77777777" w:rsidR="002C6574" w:rsidRDefault="00000000">
            <w:pPr>
              <w:pStyle w:val="TableParagraph"/>
              <w:spacing w:before="43"/>
              <w:ind w:right="360"/>
              <w:rPr>
                <w:rFonts w:ascii="Arial"/>
                <w:b/>
                <w:sz w:val="14"/>
              </w:rPr>
            </w:pPr>
            <w:r>
              <w:rPr>
                <w:rFonts w:ascii="Arial"/>
                <w:b/>
                <w:color w:val="001F60"/>
                <w:spacing w:val="-2"/>
                <w:sz w:val="14"/>
              </w:rPr>
              <w:t>80,46</w:t>
            </w:r>
          </w:p>
        </w:tc>
        <w:tc>
          <w:tcPr>
            <w:tcW w:w="1262" w:type="dxa"/>
            <w:gridSpan w:val="2"/>
          </w:tcPr>
          <w:p w14:paraId="4B72D2FA" w14:textId="77777777" w:rsidR="002C6574" w:rsidRDefault="00000000">
            <w:pPr>
              <w:pStyle w:val="TableParagraph"/>
              <w:spacing w:before="43"/>
              <w:ind w:left="728"/>
              <w:jc w:val="left"/>
              <w:rPr>
                <w:rFonts w:ascii="Arial"/>
                <w:b/>
                <w:sz w:val="14"/>
              </w:rPr>
            </w:pPr>
            <w:r>
              <w:rPr>
                <w:rFonts w:ascii="Arial"/>
                <w:b/>
                <w:color w:val="001F60"/>
                <w:spacing w:val="-2"/>
                <w:sz w:val="14"/>
              </w:rPr>
              <w:t>34,68</w:t>
            </w:r>
          </w:p>
        </w:tc>
        <w:tc>
          <w:tcPr>
            <w:tcW w:w="1048" w:type="dxa"/>
          </w:tcPr>
          <w:p w14:paraId="0F14AFA4" w14:textId="77777777" w:rsidR="002C6574" w:rsidRDefault="00000000">
            <w:pPr>
              <w:pStyle w:val="TableParagraph"/>
              <w:spacing w:before="43"/>
              <w:ind w:right="70"/>
              <w:rPr>
                <w:rFonts w:ascii="Arial"/>
                <w:b/>
                <w:sz w:val="14"/>
              </w:rPr>
            </w:pPr>
            <w:r>
              <w:rPr>
                <w:rFonts w:ascii="Arial"/>
                <w:b/>
                <w:color w:val="001F60"/>
                <w:spacing w:val="-5"/>
                <w:sz w:val="14"/>
              </w:rPr>
              <w:t>43%</w:t>
            </w:r>
          </w:p>
        </w:tc>
      </w:tr>
      <w:tr w:rsidR="002C6574" w14:paraId="06FE9E27" w14:textId="77777777">
        <w:trPr>
          <w:trHeight w:val="403"/>
        </w:trPr>
        <w:tc>
          <w:tcPr>
            <w:tcW w:w="5724" w:type="dxa"/>
          </w:tcPr>
          <w:p w14:paraId="314B91F4" w14:textId="77777777" w:rsidR="002C6574" w:rsidRDefault="00000000">
            <w:pPr>
              <w:pStyle w:val="TableParagraph"/>
              <w:spacing w:before="118"/>
              <w:ind w:left="609"/>
              <w:jc w:val="left"/>
              <w:rPr>
                <w:rFonts w:ascii="Arial MT" w:hAnsi="Arial MT"/>
                <w:sz w:val="14"/>
              </w:rPr>
            </w:pPr>
            <w:r>
              <w:rPr>
                <w:rFonts w:ascii="Arial MT" w:hAnsi="Arial MT"/>
                <w:color w:val="001F60"/>
                <w:sz w:val="14"/>
              </w:rPr>
              <w:t>Investimentos</w:t>
            </w:r>
            <w:r>
              <w:rPr>
                <w:rFonts w:ascii="Arial MT" w:hAnsi="Arial MT"/>
                <w:color w:val="001F60"/>
                <w:spacing w:val="-4"/>
                <w:sz w:val="14"/>
              </w:rPr>
              <w:t xml:space="preserve"> </w:t>
            </w:r>
            <w:r>
              <w:rPr>
                <w:rFonts w:ascii="Arial MT" w:hAnsi="Arial MT"/>
                <w:color w:val="001F60"/>
                <w:sz w:val="14"/>
              </w:rPr>
              <w:t>no</w:t>
            </w:r>
            <w:r>
              <w:rPr>
                <w:rFonts w:ascii="Arial MT" w:hAnsi="Arial MT"/>
                <w:color w:val="001F60"/>
                <w:spacing w:val="-5"/>
                <w:sz w:val="14"/>
              </w:rPr>
              <w:t xml:space="preserve"> </w:t>
            </w:r>
            <w:r>
              <w:rPr>
                <w:rFonts w:ascii="Arial MT" w:hAnsi="Arial MT"/>
                <w:color w:val="001F60"/>
                <w:sz w:val="14"/>
              </w:rPr>
              <w:t>Ativo</w:t>
            </w:r>
            <w:r>
              <w:rPr>
                <w:rFonts w:ascii="Arial MT" w:hAnsi="Arial MT"/>
                <w:color w:val="001F60"/>
                <w:spacing w:val="-7"/>
                <w:sz w:val="14"/>
              </w:rPr>
              <w:t xml:space="preserve"> </w:t>
            </w:r>
            <w:r>
              <w:rPr>
                <w:rFonts w:ascii="Arial MT" w:hAnsi="Arial MT"/>
                <w:color w:val="001F60"/>
                <w:sz w:val="14"/>
              </w:rPr>
              <w:t>Imobilizado,</w:t>
            </w:r>
            <w:r>
              <w:rPr>
                <w:rFonts w:ascii="Arial MT" w:hAnsi="Arial MT"/>
                <w:color w:val="001F60"/>
                <w:spacing w:val="-3"/>
                <w:sz w:val="14"/>
              </w:rPr>
              <w:t xml:space="preserve"> </w:t>
            </w:r>
            <w:r>
              <w:rPr>
                <w:rFonts w:ascii="Arial MT" w:hAnsi="Arial MT"/>
                <w:color w:val="001F60"/>
                <w:sz w:val="14"/>
              </w:rPr>
              <w:t>Intangível</w:t>
            </w:r>
            <w:r>
              <w:rPr>
                <w:rFonts w:ascii="Arial MT" w:hAnsi="Arial MT"/>
                <w:color w:val="001F60"/>
                <w:spacing w:val="-4"/>
                <w:sz w:val="14"/>
              </w:rPr>
              <w:t xml:space="preserve"> </w:t>
            </w:r>
            <w:r>
              <w:rPr>
                <w:rFonts w:ascii="Arial MT" w:hAnsi="Arial MT"/>
                <w:color w:val="001F60"/>
                <w:sz w:val="14"/>
              </w:rPr>
              <w:t>e</w:t>
            </w:r>
            <w:r>
              <w:rPr>
                <w:rFonts w:ascii="Arial MT" w:hAnsi="Arial MT"/>
                <w:color w:val="001F60"/>
                <w:spacing w:val="-5"/>
                <w:sz w:val="14"/>
              </w:rPr>
              <w:t xml:space="preserve"> </w:t>
            </w:r>
            <w:r>
              <w:rPr>
                <w:rFonts w:ascii="Arial MT" w:hAnsi="Arial MT"/>
                <w:color w:val="001F60"/>
                <w:spacing w:val="-2"/>
                <w:sz w:val="14"/>
              </w:rPr>
              <w:t>Benfeitorias</w:t>
            </w:r>
          </w:p>
        </w:tc>
        <w:tc>
          <w:tcPr>
            <w:tcW w:w="848" w:type="dxa"/>
          </w:tcPr>
          <w:p w14:paraId="3B2B01AD" w14:textId="77777777" w:rsidR="002C6574" w:rsidRDefault="00000000">
            <w:pPr>
              <w:pStyle w:val="TableParagraph"/>
              <w:spacing w:before="118"/>
              <w:ind w:right="360"/>
              <w:rPr>
                <w:rFonts w:ascii="Arial MT"/>
                <w:sz w:val="14"/>
              </w:rPr>
            </w:pPr>
            <w:r>
              <w:rPr>
                <w:rFonts w:ascii="Arial MT"/>
                <w:color w:val="001F60"/>
                <w:spacing w:val="-2"/>
                <w:sz w:val="14"/>
              </w:rPr>
              <w:t>59,86</w:t>
            </w:r>
          </w:p>
        </w:tc>
        <w:tc>
          <w:tcPr>
            <w:tcW w:w="1262" w:type="dxa"/>
            <w:gridSpan w:val="2"/>
          </w:tcPr>
          <w:p w14:paraId="7BEC20FC" w14:textId="77777777" w:rsidR="002C6574" w:rsidRDefault="00000000">
            <w:pPr>
              <w:pStyle w:val="TableParagraph"/>
              <w:spacing w:before="118"/>
              <w:ind w:left="728"/>
              <w:jc w:val="left"/>
              <w:rPr>
                <w:rFonts w:ascii="Arial MT"/>
                <w:sz w:val="14"/>
              </w:rPr>
            </w:pPr>
            <w:r>
              <w:rPr>
                <w:rFonts w:ascii="Arial MT"/>
                <w:color w:val="001F60"/>
                <w:spacing w:val="-2"/>
                <w:sz w:val="14"/>
              </w:rPr>
              <w:t>26,25</w:t>
            </w:r>
          </w:p>
        </w:tc>
        <w:tc>
          <w:tcPr>
            <w:tcW w:w="1048" w:type="dxa"/>
          </w:tcPr>
          <w:p w14:paraId="2CBA6D44" w14:textId="77777777" w:rsidR="002C6574" w:rsidRDefault="00000000">
            <w:pPr>
              <w:pStyle w:val="TableParagraph"/>
              <w:spacing w:before="118"/>
              <w:ind w:right="73"/>
              <w:rPr>
                <w:rFonts w:ascii="Arial MT"/>
                <w:sz w:val="14"/>
              </w:rPr>
            </w:pPr>
            <w:r>
              <w:rPr>
                <w:rFonts w:ascii="Arial MT"/>
                <w:color w:val="001F60"/>
                <w:spacing w:val="-5"/>
                <w:sz w:val="14"/>
              </w:rPr>
              <w:t>44%</w:t>
            </w:r>
          </w:p>
        </w:tc>
      </w:tr>
      <w:tr w:rsidR="002C6574" w14:paraId="5C310950" w14:textId="77777777">
        <w:trPr>
          <w:trHeight w:val="328"/>
        </w:trPr>
        <w:tc>
          <w:tcPr>
            <w:tcW w:w="5724" w:type="dxa"/>
          </w:tcPr>
          <w:p w14:paraId="7105E67A" w14:textId="77777777" w:rsidR="002C6574" w:rsidRDefault="00000000">
            <w:pPr>
              <w:pStyle w:val="TableParagraph"/>
              <w:spacing w:before="118"/>
              <w:ind w:left="609"/>
              <w:jc w:val="left"/>
              <w:rPr>
                <w:rFonts w:ascii="Arial MT" w:hAnsi="Arial MT"/>
                <w:sz w:val="14"/>
              </w:rPr>
            </w:pPr>
            <w:r>
              <w:rPr>
                <w:rFonts w:ascii="Arial MT" w:hAnsi="Arial MT"/>
                <w:color w:val="001F60"/>
                <w:sz w:val="14"/>
              </w:rPr>
              <w:t>Benfeitorias</w:t>
            </w:r>
            <w:r>
              <w:rPr>
                <w:rFonts w:ascii="Arial MT" w:hAnsi="Arial MT"/>
                <w:color w:val="001F60"/>
                <w:spacing w:val="-3"/>
                <w:sz w:val="14"/>
              </w:rPr>
              <w:t xml:space="preserve"> </w:t>
            </w:r>
            <w:r>
              <w:rPr>
                <w:rFonts w:ascii="Arial MT" w:hAnsi="Arial MT"/>
                <w:color w:val="001F60"/>
                <w:sz w:val="14"/>
              </w:rPr>
              <w:t>em</w:t>
            </w:r>
            <w:r>
              <w:rPr>
                <w:rFonts w:ascii="Arial MT" w:hAnsi="Arial MT"/>
                <w:color w:val="001F60"/>
                <w:spacing w:val="-3"/>
                <w:sz w:val="14"/>
              </w:rPr>
              <w:t xml:space="preserve"> </w:t>
            </w:r>
            <w:r>
              <w:rPr>
                <w:rFonts w:ascii="Arial MT" w:hAnsi="Arial MT"/>
                <w:color w:val="001F60"/>
                <w:sz w:val="14"/>
              </w:rPr>
              <w:t>Imóveis</w:t>
            </w:r>
            <w:r>
              <w:rPr>
                <w:rFonts w:ascii="Arial MT" w:hAnsi="Arial MT"/>
                <w:color w:val="001F60"/>
                <w:spacing w:val="-4"/>
                <w:sz w:val="14"/>
              </w:rPr>
              <w:t xml:space="preserve"> </w:t>
            </w:r>
            <w:r>
              <w:rPr>
                <w:rFonts w:ascii="Arial MT" w:hAnsi="Arial MT"/>
                <w:color w:val="001F60"/>
                <w:sz w:val="14"/>
              </w:rPr>
              <w:t>da</w:t>
            </w:r>
            <w:r>
              <w:rPr>
                <w:rFonts w:ascii="Arial MT" w:hAnsi="Arial MT"/>
                <w:color w:val="001F60"/>
                <w:spacing w:val="-6"/>
                <w:sz w:val="14"/>
              </w:rPr>
              <w:t xml:space="preserve"> </w:t>
            </w:r>
            <w:r>
              <w:rPr>
                <w:rFonts w:ascii="Arial MT" w:hAnsi="Arial MT"/>
                <w:color w:val="001F60"/>
                <w:spacing w:val="-4"/>
                <w:sz w:val="14"/>
              </w:rPr>
              <w:t>União</w:t>
            </w:r>
          </w:p>
        </w:tc>
        <w:tc>
          <w:tcPr>
            <w:tcW w:w="848" w:type="dxa"/>
          </w:tcPr>
          <w:p w14:paraId="0A67CBE3" w14:textId="77777777" w:rsidR="002C6574" w:rsidRDefault="00000000">
            <w:pPr>
              <w:pStyle w:val="TableParagraph"/>
              <w:spacing w:before="118"/>
              <w:ind w:right="360"/>
              <w:rPr>
                <w:rFonts w:ascii="Arial MT"/>
                <w:sz w:val="14"/>
              </w:rPr>
            </w:pPr>
            <w:r>
              <w:rPr>
                <w:rFonts w:ascii="Arial MT"/>
                <w:color w:val="001F60"/>
                <w:spacing w:val="-4"/>
                <w:sz w:val="14"/>
              </w:rPr>
              <w:t>0,60</w:t>
            </w:r>
          </w:p>
        </w:tc>
        <w:tc>
          <w:tcPr>
            <w:tcW w:w="1262" w:type="dxa"/>
            <w:gridSpan w:val="2"/>
          </w:tcPr>
          <w:p w14:paraId="4B0576CA" w14:textId="77777777" w:rsidR="002C6574" w:rsidRDefault="00000000">
            <w:pPr>
              <w:pStyle w:val="TableParagraph"/>
              <w:spacing w:before="118"/>
              <w:ind w:right="180"/>
              <w:rPr>
                <w:rFonts w:ascii="Arial MT"/>
                <w:sz w:val="14"/>
              </w:rPr>
            </w:pPr>
            <w:r>
              <w:rPr>
                <w:rFonts w:ascii="Arial MT"/>
                <w:color w:val="001F60"/>
                <w:spacing w:val="-10"/>
                <w:sz w:val="14"/>
              </w:rPr>
              <w:t>-</w:t>
            </w:r>
          </w:p>
        </w:tc>
        <w:tc>
          <w:tcPr>
            <w:tcW w:w="1048" w:type="dxa"/>
          </w:tcPr>
          <w:p w14:paraId="2BAB0D7C" w14:textId="77777777" w:rsidR="002C6574" w:rsidRDefault="00000000">
            <w:pPr>
              <w:pStyle w:val="TableParagraph"/>
              <w:spacing w:before="118"/>
              <w:ind w:right="70"/>
              <w:rPr>
                <w:rFonts w:ascii="Arial MT"/>
                <w:sz w:val="14"/>
              </w:rPr>
            </w:pPr>
            <w:r>
              <w:rPr>
                <w:rFonts w:ascii="Arial MT"/>
                <w:color w:val="001F60"/>
                <w:spacing w:val="-5"/>
                <w:sz w:val="14"/>
              </w:rPr>
              <w:t>0%</w:t>
            </w:r>
          </w:p>
        </w:tc>
      </w:tr>
      <w:tr w:rsidR="002C6574" w14:paraId="2C77F455" w14:textId="77777777">
        <w:trPr>
          <w:trHeight w:val="255"/>
        </w:trPr>
        <w:tc>
          <w:tcPr>
            <w:tcW w:w="5724" w:type="dxa"/>
          </w:tcPr>
          <w:p w14:paraId="603F35E6" w14:textId="77777777" w:rsidR="002C6574" w:rsidRDefault="00000000">
            <w:pPr>
              <w:pStyle w:val="TableParagraph"/>
              <w:spacing w:before="44"/>
              <w:ind w:left="609"/>
              <w:jc w:val="left"/>
              <w:rPr>
                <w:rFonts w:ascii="Arial MT" w:hAnsi="Arial MT"/>
                <w:sz w:val="14"/>
              </w:rPr>
            </w:pPr>
            <w:r>
              <w:rPr>
                <w:rFonts w:ascii="Arial MT" w:hAnsi="Arial MT"/>
                <w:color w:val="001F60"/>
                <w:sz w:val="14"/>
              </w:rPr>
              <w:t>Outras</w:t>
            </w:r>
            <w:r>
              <w:rPr>
                <w:rFonts w:ascii="Arial MT" w:hAnsi="Arial MT"/>
                <w:color w:val="001F60"/>
                <w:spacing w:val="-5"/>
                <w:sz w:val="14"/>
              </w:rPr>
              <w:t xml:space="preserve"> </w:t>
            </w:r>
            <w:r>
              <w:rPr>
                <w:rFonts w:ascii="Arial MT" w:hAnsi="Arial MT"/>
                <w:color w:val="001F60"/>
                <w:sz w:val="14"/>
              </w:rPr>
              <w:t>Saídas</w:t>
            </w:r>
            <w:r>
              <w:rPr>
                <w:rFonts w:ascii="Arial MT" w:hAnsi="Arial MT"/>
                <w:color w:val="001F60"/>
                <w:spacing w:val="-2"/>
                <w:sz w:val="14"/>
              </w:rPr>
              <w:t xml:space="preserve"> </w:t>
            </w:r>
            <w:r>
              <w:rPr>
                <w:rFonts w:ascii="Arial MT" w:hAnsi="Arial MT"/>
                <w:color w:val="001F60"/>
                <w:sz w:val="14"/>
              </w:rPr>
              <w:t>de</w:t>
            </w:r>
            <w:r>
              <w:rPr>
                <w:rFonts w:ascii="Arial MT" w:hAnsi="Arial MT"/>
                <w:color w:val="001F60"/>
                <w:spacing w:val="-7"/>
                <w:sz w:val="14"/>
              </w:rPr>
              <w:t xml:space="preserve"> </w:t>
            </w:r>
            <w:r>
              <w:rPr>
                <w:rFonts w:ascii="Arial MT" w:hAnsi="Arial MT"/>
                <w:color w:val="001F60"/>
                <w:spacing w:val="-2"/>
                <w:sz w:val="14"/>
              </w:rPr>
              <w:t>Capital</w:t>
            </w:r>
          </w:p>
        </w:tc>
        <w:tc>
          <w:tcPr>
            <w:tcW w:w="848" w:type="dxa"/>
          </w:tcPr>
          <w:p w14:paraId="7403B1B6" w14:textId="77777777" w:rsidR="002C6574" w:rsidRDefault="00000000">
            <w:pPr>
              <w:pStyle w:val="TableParagraph"/>
              <w:spacing w:before="44"/>
              <w:ind w:right="360"/>
              <w:rPr>
                <w:rFonts w:ascii="Arial MT"/>
                <w:sz w:val="14"/>
              </w:rPr>
            </w:pPr>
            <w:r>
              <w:rPr>
                <w:rFonts w:ascii="Arial MT"/>
                <w:color w:val="001F60"/>
                <w:spacing w:val="-2"/>
                <w:sz w:val="14"/>
              </w:rPr>
              <w:t>20,00</w:t>
            </w:r>
          </w:p>
        </w:tc>
        <w:tc>
          <w:tcPr>
            <w:tcW w:w="1262" w:type="dxa"/>
            <w:gridSpan w:val="2"/>
          </w:tcPr>
          <w:p w14:paraId="4CC5884E" w14:textId="77777777" w:rsidR="002C6574" w:rsidRDefault="00000000">
            <w:pPr>
              <w:pStyle w:val="TableParagraph"/>
              <w:spacing w:before="44"/>
              <w:ind w:left="805"/>
              <w:jc w:val="left"/>
              <w:rPr>
                <w:rFonts w:ascii="Arial MT"/>
                <w:sz w:val="14"/>
              </w:rPr>
            </w:pPr>
            <w:r>
              <w:rPr>
                <w:rFonts w:ascii="Arial MT"/>
                <w:color w:val="001F60"/>
                <w:spacing w:val="-4"/>
                <w:sz w:val="14"/>
              </w:rPr>
              <w:t>8,43</w:t>
            </w:r>
          </w:p>
        </w:tc>
        <w:tc>
          <w:tcPr>
            <w:tcW w:w="1048" w:type="dxa"/>
          </w:tcPr>
          <w:p w14:paraId="510AF579" w14:textId="77777777" w:rsidR="002C6574" w:rsidRDefault="00000000">
            <w:pPr>
              <w:pStyle w:val="TableParagraph"/>
              <w:spacing w:before="44"/>
              <w:ind w:right="73"/>
              <w:rPr>
                <w:rFonts w:ascii="Arial MT"/>
                <w:sz w:val="14"/>
              </w:rPr>
            </w:pPr>
            <w:r>
              <w:rPr>
                <w:rFonts w:ascii="Arial MT"/>
                <w:color w:val="001F60"/>
                <w:spacing w:val="-5"/>
                <w:sz w:val="14"/>
              </w:rPr>
              <w:t>42%</w:t>
            </w:r>
          </w:p>
        </w:tc>
      </w:tr>
      <w:tr w:rsidR="002C6574" w14:paraId="4F9B4570" w14:textId="77777777">
        <w:trPr>
          <w:trHeight w:val="255"/>
        </w:trPr>
        <w:tc>
          <w:tcPr>
            <w:tcW w:w="5724" w:type="dxa"/>
          </w:tcPr>
          <w:p w14:paraId="10E51E66" w14:textId="77777777" w:rsidR="002C6574" w:rsidRDefault="00000000">
            <w:pPr>
              <w:pStyle w:val="TableParagraph"/>
              <w:spacing w:before="45"/>
              <w:ind w:left="69"/>
              <w:jc w:val="left"/>
              <w:rPr>
                <w:rFonts w:ascii="Arial"/>
                <w:b/>
                <w:sz w:val="14"/>
              </w:rPr>
            </w:pPr>
            <w:r>
              <w:rPr>
                <w:rFonts w:ascii="Arial"/>
                <w:b/>
                <w:color w:val="001F60"/>
                <w:sz w:val="14"/>
              </w:rPr>
              <w:t>Despesas</w:t>
            </w:r>
            <w:r>
              <w:rPr>
                <w:rFonts w:ascii="Arial"/>
                <w:b/>
                <w:color w:val="001F60"/>
                <w:spacing w:val="-7"/>
                <w:sz w:val="14"/>
              </w:rPr>
              <w:t xml:space="preserve"> </w:t>
            </w:r>
            <w:r>
              <w:rPr>
                <w:rFonts w:ascii="Arial"/>
                <w:b/>
                <w:color w:val="001F60"/>
                <w:spacing w:val="-2"/>
                <w:sz w:val="14"/>
              </w:rPr>
              <w:t>Correntes</w:t>
            </w:r>
          </w:p>
        </w:tc>
        <w:tc>
          <w:tcPr>
            <w:tcW w:w="848" w:type="dxa"/>
          </w:tcPr>
          <w:p w14:paraId="40CBE767" w14:textId="77777777" w:rsidR="002C6574" w:rsidRDefault="00000000">
            <w:pPr>
              <w:pStyle w:val="TableParagraph"/>
              <w:spacing w:before="45"/>
              <w:ind w:right="360"/>
              <w:rPr>
                <w:rFonts w:ascii="Arial"/>
                <w:b/>
                <w:sz w:val="14"/>
              </w:rPr>
            </w:pPr>
            <w:r>
              <w:rPr>
                <w:rFonts w:ascii="Arial"/>
                <w:b/>
                <w:color w:val="001F60"/>
                <w:spacing w:val="-2"/>
                <w:sz w:val="14"/>
              </w:rPr>
              <w:t>845,21</w:t>
            </w:r>
          </w:p>
        </w:tc>
        <w:tc>
          <w:tcPr>
            <w:tcW w:w="1262" w:type="dxa"/>
            <w:gridSpan w:val="2"/>
          </w:tcPr>
          <w:p w14:paraId="697924AB" w14:textId="77777777" w:rsidR="002C6574" w:rsidRDefault="00000000">
            <w:pPr>
              <w:pStyle w:val="TableParagraph"/>
              <w:spacing w:before="45"/>
              <w:ind w:left="651"/>
              <w:jc w:val="left"/>
              <w:rPr>
                <w:rFonts w:ascii="Arial"/>
                <w:b/>
                <w:sz w:val="14"/>
              </w:rPr>
            </w:pPr>
            <w:r>
              <w:rPr>
                <w:rFonts w:ascii="Arial"/>
                <w:b/>
                <w:color w:val="001F60"/>
                <w:spacing w:val="-2"/>
                <w:sz w:val="14"/>
              </w:rPr>
              <w:t>373,97</w:t>
            </w:r>
          </w:p>
        </w:tc>
        <w:tc>
          <w:tcPr>
            <w:tcW w:w="1048" w:type="dxa"/>
          </w:tcPr>
          <w:p w14:paraId="6780B48C" w14:textId="77777777" w:rsidR="002C6574" w:rsidRDefault="00000000">
            <w:pPr>
              <w:pStyle w:val="TableParagraph"/>
              <w:spacing w:before="45"/>
              <w:ind w:right="70"/>
              <w:rPr>
                <w:rFonts w:ascii="Arial"/>
                <w:b/>
                <w:sz w:val="14"/>
              </w:rPr>
            </w:pPr>
            <w:r>
              <w:rPr>
                <w:rFonts w:ascii="Arial"/>
                <w:b/>
                <w:color w:val="001F60"/>
                <w:spacing w:val="-5"/>
                <w:sz w:val="14"/>
              </w:rPr>
              <w:t>44%</w:t>
            </w:r>
          </w:p>
        </w:tc>
      </w:tr>
      <w:tr w:rsidR="002C6574" w14:paraId="1E4B14A2" w14:textId="77777777">
        <w:trPr>
          <w:trHeight w:val="254"/>
        </w:trPr>
        <w:tc>
          <w:tcPr>
            <w:tcW w:w="5724" w:type="dxa"/>
          </w:tcPr>
          <w:p w14:paraId="12C3A6B8" w14:textId="77777777" w:rsidR="002C6574" w:rsidRDefault="00000000">
            <w:pPr>
              <w:pStyle w:val="TableParagraph"/>
              <w:spacing w:before="44"/>
              <w:ind w:left="609"/>
              <w:jc w:val="left"/>
              <w:rPr>
                <w:rFonts w:ascii="Arial MT"/>
                <w:sz w:val="14"/>
              </w:rPr>
            </w:pPr>
            <w:r>
              <w:rPr>
                <w:rFonts w:ascii="Arial MT"/>
                <w:color w:val="001F60"/>
                <w:sz w:val="14"/>
              </w:rPr>
              <w:t>Despesas</w:t>
            </w:r>
            <w:r>
              <w:rPr>
                <w:rFonts w:ascii="Arial MT"/>
                <w:color w:val="001F60"/>
                <w:spacing w:val="-4"/>
                <w:sz w:val="14"/>
              </w:rPr>
              <w:t xml:space="preserve"> </w:t>
            </w:r>
            <w:r>
              <w:rPr>
                <w:rFonts w:ascii="Arial MT"/>
                <w:color w:val="001F60"/>
                <w:sz w:val="14"/>
              </w:rPr>
              <w:t>de</w:t>
            </w:r>
            <w:r>
              <w:rPr>
                <w:rFonts w:ascii="Arial MT"/>
                <w:color w:val="001F60"/>
                <w:spacing w:val="-5"/>
                <w:sz w:val="14"/>
              </w:rPr>
              <w:t xml:space="preserve"> </w:t>
            </w:r>
            <w:r>
              <w:rPr>
                <w:rFonts w:ascii="Arial MT"/>
                <w:color w:val="001F60"/>
                <w:spacing w:val="-2"/>
                <w:sz w:val="14"/>
              </w:rPr>
              <w:t>Pessoal</w:t>
            </w:r>
          </w:p>
        </w:tc>
        <w:tc>
          <w:tcPr>
            <w:tcW w:w="848" w:type="dxa"/>
          </w:tcPr>
          <w:p w14:paraId="76DF89D4" w14:textId="77777777" w:rsidR="002C6574" w:rsidRDefault="00000000">
            <w:pPr>
              <w:pStyle w:val="TableParagraph"/>
              <w:spacing w:before="44"/>
              <w:ind w:right="360"/>
              <w:rPr>
                <w:rFonts w:ascii="Arial MT"/>
                <w:sz w:val="14"/>
              </w:rPr>
            </w:pPr>
            <w:r>
              <w:rPr>
                <w:rFonts w:ascii="Arial MT"/>
                <w:color w:val="001F60"/>
                <w:spacing w:val="-2"/>
                <w:sz w:val="14"/>
              </w:rPr>
              <w:t>65,13</w:t>
            </w:r>
          </w:p>
        </w:tc>
        <w:tc>
          <w:tcPr>
            <w:tcW w:w="1262" w:type="dxa"/>
            <w:gridSpan w:val="2"/>
          </w:tcPr>
          <w:p w14:paraId="78B77190" w14:textId="77777777" w:rsidR="002C6574" w:rsidRDefault="00000000">
            <w:pPr>
              <w:pStyle w:val="TableParagraph"/>
              <w:spacing w:before="44"/>
              <w:ind w:left="728"/>
              <w:jc w:val="left"/>
              <w:rPr>
                <w:rFonts w:ascii="Arial MT"/>
                <w:sz w:val="14"/>
              </w:rPr>
            </w:pPr>
            <w:r>
              <w:rPr>
                <w:rFonts w:ascii="Arial MT"/>
                <w:color w:val="001F60"/>
                <w:spacing w:val="-2"/>
                <w:sz w:val="14"/>
              </w:rPr>
              <w:t>31,18</w:t>
            </w:r>
          </w:p>
        </w:tc>
        <w:tc>
          <w:tcPr>
            <w:tcW w:w="1048" w:type="dxa"/>
          </w:tcPr>
          <w:p w14:paraId="308CA2B7" w14:textId="77777777" w:rsidR="002C6574" w:rsidRDefault="00000000">
            <w:pPr>
              <w:pStyle w:val="TableParagraph"/>
              <w:spacing w:before="44"/>
              <w:ind w:right="73"/>
              <w:rPr>
                <w:rFonts w:ascii="Arial MT"/>
                <w:sz w:val="14"/>
              </w:rPr>
            </w:pPr>
            <w:r>
              <w:rPr>
                <w:rFonts w:ascii="Arial MT"/>
                <w:color w:val="001F60"/>
                <w:spacing w:val="-5"/>
                <w:sz w:val="14"/>
              </w:rPr>
              <w:t>48%</w:t>
            </w:r>
          </w:p>
        </w:tc>
      </w:tr>
      <w:tr w:rsidR="002C6574" w14:paraId="40105384" w14:textId="77777777">
        <w:trPr>
          <w:trHeight w:val="254"/>
        </w:trPr>
        <w:tc>
          <w:tcPr>
            <w:tcW w:w="5724" w:type="dxa"/>
          </w:tcPr>
          <w:p w14:paraId="41634FA3" w14:textId="77777777" w:rsidR="002C6574" w:rsidRDefault="00000000">
            <w:pPr>
              <w:pStyle w:val="TableParagraph"/>
              <w:spacing w:before="44"/>
              <w:ind w:left="609"/>
              <w:jc w:val="left"/>
              <w:rPr>
                <w:rFonts w:ascii="Arial MT"/>
                <w:sz w:val="14"/>
              </w:rPr>
            </w:pPr>
            <w:r>
              <w:rPr>
                <w:rFonts w:ascii="Arial MT"/>
                <w:color w:val="001F60"/>
                <w:sz w:val="14"/>
              </w:rPr>
              <w:t>Despesas</w:t>
            </w:r>
            <w:r>
              <w:rPr>
                <w:rFonts w:ascii="Arial MT"/>
                <w:color w:val="001F60"/>
                <w:spacing w:val="-5"/>
                <w:sz w:val="14"/>
              </w:rPr>
              <w:t xml:space="preserve"> </w:t>
            </w:r>
            <w:r>
              <w:rPr>
                <w:rFonts w:ascii="Arial MT"/>
                <w:color w:val="001F60"/>
                <w:sz w:val="14"/>
              </w:rPr>
              <w:t>com</w:t>
            </w:r>
            <w:r>
              <w:rPr>
                <w:rFonts w:ascii="Arial MT"/>
                <w:color w:val="001F60"/>
                <w:spacing w:val="-3"/>
                <w:sz w:val="14"/>
              </w:rPr>
              <w:t xml:space="preserve"> </w:t>
            </w:r>
            <w:r>
              <w:rPr>
                <w:rFonts w:ascii="Arial MT"/>
                <w:color w:val="001F60"/>
                <w:spacing w:val="-2"/>
                <w:sz w:val="14"/>
              </w:rPr>
              <w:t>Dirigentes</w:t>
            </w:r>
          </w:p>
        </w:tc>
        <w:tc>
          <w:tcPr>
            <w:tcW w:w="848" w:type="dxa"/>
          </w:tcPr>
          <w:p w14:paraId="19F2F051" w14:textId="77777777" w:rsidR="002C6574" w:rsidRDefault="00000000">
            <w:pPr>
              <w:pStyle w:val="TableParagraph"/>
              <w:spacing w:before="44"/>
              <w:ind w:right="357"/>
              <w:rPr>
                <w:rFonts w:ascii="Arial MT"/>
                <w:sz w:val="14"/>
              </w:rPr>
            </w:pPr>
            <w:r>
              <w:rPr>
                <w:rFonts w:ascii="Arial MT"/>
                <w:color w:val="001F60"/>
                <w:spacing w:val="-10"/>
                <w:sz w:val="14"/>
              </w:rPr>
              <w:t>-</w:t>
            </w:r>
          </w:p>
        </w:tc>
        <w:tc>
          <w:tcPr>
            <w:tcW w:w="1262" w:type="dxa"/>
            <w:gridSpan w:val="2"/>
          </w:tcPr>
          <w:p w14:paraId="17FA0D93" w14:textId="77777777" w:rsidR="002C6574" w:rsidRDefault="00000000">
            <w:pPr>
              <w:pStyle w:val="TableParagraph"/>
              <w:spacing w:before="44"/>
              <w:ind w:left="805"/>
              <w:jc w:val="left"/>
              <w:rPr>
                <w:rFonts w:ascii="Arial MT"/>
                <w:sz w:val="14"/>
              </w:rPr>
            </w:pPr>
            <w:r>
              <w:rPr>
                <w:rFonts w:ascii="Arial MT"/>
                <w:color w:val="001F60"/>
                <w:spacing w:val="-4"/>
                <w:sz w:val="14"/>
              </w:rPr>
              <w:t>0,51</w:t>
            </w:r>
          </w:p>
        </w:tc>
        <w:tc>
          <w:tcPr>
            <w:tcW w:w="1048" w:type="dxa"/>
          </w:tcPr>
          <w:p w14:paraId="6EE77214" w14:textId="77777777" w:rsidR="002C6574" w:rsidRDefault="002C6574">
            <w:pPr>
              <w:pStyle w:val="TableParagraph"/>
              <w:jc w:val="left"/>
              <w:rPr>
                <w:rFonts w:ascii="Times New Roman"/>
                <w:sz w:val="18"/>
              </w:rPr>
            </w:pPr>
          </w:p>
        </w:tc>
      </w:tr>
      <w:tr w:rsidR="002C6574" w14:paraId="11C8D441" w14:textId="77777777">
        <w:trPr>
          <w:trHeight w:val="255"/>
        </w:trPr>
        <w:tc>
          <w:tcPr>
            <w:tcW w:w="5724" w:type="dxa"/>
          </w:tcPr>
          <w:p w14:paraId="4D60B84F" w14:textId="77777777" w:rsidR="002C6574" w:rsidRDefault="00000000">
            <w:pPr>
              <w:pStyle w:val="TableParagraph"/>
              <w:spacing w:before="44"/>
              <w:ind w:left="609"/>
              <w:jc w:val="left"/>
              <w:rPr>
                <w:rFonts w:ascii="Arial MT"/>
                <w:sz w:val="14"/>
              </w:rPr>
            </w:pPr>
            <w:r>
              <w:rPr>
                <w:rFonts w:ascii="Arial MT"/>
                <w:color w:val="001F60"/>
                <w:sz w:val="14"/>
              </w:rPr>
              <w:t>Materiais</w:t>
            </w:r>
            <w:r>
              <w:rPr>
                <w:rFonts w:ascii="Arial MT"/>
                <w:color w:val="001F60"/>
                <w:spacing w:val="-5"/>
                <w:sz w:val="14"/>
              </w:rPr>
              <w:t xml:space="preserve"> </w:t>
            </w:r>
            <w:r>
              <w:rPr>
                <w:rFonts w:ascii="Arial MT"/>
                <w:color w:val="001F60"/>
                <w:sz w:val="14"/>
              </w:rPr>
              <w:t>e</w:t>
            </w:r>
            <w:r>
              <w:rPr>
                <w:rFonts w:ascii="Arial MT"/>
                <w:color w:val="001F60"/>
                <w:spacing w:val="-3"/>
                <w:sz w:val="14"/>
              </w:rPr>
              <w:t xml:space="preserve"> </w:t>
            </w:r>
            <w:r>
              <w:rPr>
                <w:rFonts w:ascii="Arial MT"/>
                <w:color w:val="001F60"/>
                <w:spacing w:val="-2"/>
                <w:sz w:val="14"/>
              </w:rPr>
              <w:t>Produtos</w:t>
            </w:r>
          </w:p>
        </w:tc>
        <w:tc>
          <w:tcPr>
            <w:tcW w:w="848" w:type="dxa"/>
          </w:tcPr>
          <w:p w14:paraId="128B81DF" w14:textId="77777777" w:rsidR="002C6574" w:rsidRDefault="00000000">
            <w:pPr>
              <w:pStyle w:val="TableParagraph"/>
              <w:spacing w:before="44"/>
              <w:ind w:right="360"/>
              <w:rPr>
                <w:rFonts w:ascii="Arial MT"/>
                <w:sz w:val="14"/>
              </w:rPr>
            </w:pPr>
            <w:r>
              <w:rPr>
                <w:rFonts w:ascii="Arial MT"/>
                <w:color w:val="001F60"/>
                <w:spacing w:val="-4"/>
                <w:sz w:val="14"/>
              </w:rPr>
              <w:t>0,42</w:t>
            </w:r>
          </w:p>
        </w:tc>
        <w:tc>
          <w:tcPr>
            <w:tcW w:w="1262" w:type="dxa"/>
            <w:gridSpan w:val="2"/>
          </w:tcPr>
          <w:p w14:paraId="0D021351" w14:textId="77777777" w:rsidR="002C6574" w:rsidRDefault="00000000">
            <w:pPr>
              <w:pStyle w:val="TableParagraph"/>
              <w:spacing w:before="44"/>
              <w:ind w:left="805"/>
              <w:jc w:val="left"/>
              <w:rPr>
                <w:rFonts w:ascii="Arial MT"/>
                <w:sz w:val="14"/>
              </w:rPr>
            </w:pPr>
            <w:r>
              <w:rPr>
                <w:rFonts w:ascii="Arial MT"/>
                <w:color w:val="001F60"/>
                <w:spacing w:val="-4"/>
                <w:sz w:val="14"/>
              </w:rPr>
              <w:t>0,05</w:t>
            </w:r>
          </w:p>
        </w:tc>
        <w:tc>
          <w:tcPr>
            <w:tcW w:w="1048" w:type="dxa"/>
          </w:tcPr>
          <w:p w14:paraId="23ABD2F5" w14:textId="77777777" w:rsidR="002C6574" w:rsidRDefault="00000000">
            <w:pPr>
              <w:pStyle w:val="TableParagraph"/>
              <w:spacing w:before="44"/>
              <w:ind w:right="73"/>
              <w:rPr>
                <w:rFonts w:ascii="Arial MT"/>
                <w:sz w:val="14"/>
              </w:rPr>
            </w:pPr>
            <w:r>
              <w:rPr>
                <w:rFonts w:ascii="Arial MT"/>
                <w:color w:val="001F60"/>
                <w:spacing w:val="-5"/>
                <w:sz w:val="14"/>
              </w:rPr>
              <w:t>11%</w:t>
            </w:r>
          </w:p>
        </w:tc>
      </w:tr>
      <w:tr w:rsidR="002C6574" w14:paraId="08AE2F49" w14:textId="77777777">
        <w:trPr>
          <w:trHeight w:val="255"/>
        </w:trPr>
        <w:tc>
          <w:tcPr>
            <w:tcW w:w="5724" w:type="dxa"/>
          </w:tcPr>
          <w:p w14:paraId="60836D85" w14:textId="77777777" w:rsidR="002C6574" w:rsidRDefault="00000000">
            <w:pPr>
              <w:pStyle w:val="TableParagraph"/>
              <w:spacing w:before="45"/>
              <w:ind w:left="609"/>
              <w:jc w:val="left"/>
              <w:rPr>
                <w:rFonts w:ascii="Arial MT" w:hAnsi="Arial MT"/>
                <w:sz w:val="14"/>
              </w:rPr>
            </w:pPr>
            <w:r>
              <w:rPr>
                <w:rFonts w:ascii="Arial MT" w:hAnsi="Arial MT"/>
                <w:color w:val="001F60"/>
                <w:sz w:val="14"/>
              </w:rPr>
              <w:t>Serviços</w:t>
            </w:r>
            <w:r>
              <w:rPr>
                <w:rFonts w:ascii="Arial MT" w:hAnsi="Arial MT"/>
                <w:color w:val="001F60"/>
                <w:spacing w:val="-4"/>
                <w:sz w:val="14"/>
              </w:rPr>
              <w:t xml:space="preserve"> </w:t>
            </w:r>
            <w:r>
              <w:rPr>
                <w:rFonts w:ascii="Arial MT" w:hAnsi="Arial MT"/>
                <w:color w:val="001F60"/>
                <w:sz w:val="14"/>
              </w:rPr>
              <w:t>de</w:t>
            </w:r>
            <w:r>
              <w:rPr>
                <w:rFonts w:ascii="Arial MT" w:hAnsi="Arial MT"/>
                <w:color w:val="001F60"/>
                <w:spacing w:val="-5"/>
                <w:sz w:val="14"/>
              </w:rPr>
              <w:t xml:space="preserve"> </w:t>
            </w:r>
            <w:r>
              <w:rPr>
                <w:rFonts w:ascii="Arial MT" w:hAnsi="Arial MT"/>
                <w:color w:val="001F60"/>
                <w:spacing w:val="-2"/>
                <w:sz w:val="14"/>
              </w:rPr>
              <w:t>Terceiros</w:t>
            </w:r>
          </w:p>
        </w:tc>
        <w:tc>
          <w:tcPr>
            <w:tcW w:w="848" w:type="dxa"/>
          </w:tcPr>
          <w:p w14:paraId="2D0D7217" w14:textId="77777777" w:rsidR="002C6574" w:rsidRDefault="00000000">
            <w:pPr>
              <w:pStyle w:val="TableParagraph"/>
              <w:spacing w:before="45"/>
              <w:ind w:right="360"/>
              <w:rPr>
                <w:rFonts w:ascii="Arial MT"/>
                <w:sz w:val="14"/>
              </w:rPr>
            </w:pPr>
            <w:r>
              <w:rPr>
                <w:rFonts w:ascii="Arial MT"/>
                <w:color w:val="001F60"/>
                <w:spacing w:val="-2"/>
                <w:sz w:val="14"/>
              </w:rPr>
              <w:t>214,23</w:t>
            </w:r>
          </w:p>
        </w:tc>
        <w:tc>
          <w:tcPr>
            <w:tcW w:w="1262" w:type="dxa"/>
            <w:gridSpan w:val="2"/>
          </w:tcPr>
          <w:p w14:paraId="77DEAFF9" w14:textId="77777777" w:rsidR="002C6574" w:rsidRDefault="00000000">
            <w:pPr>
              <w:pStyle w:val="TableParagraph"/>
              <w:spacing w:before="45"/>
              <w:ind w:left="651"/>
              <w:jc w:val="left"/>
              <w:rPr>
                <w:rFonts w:ascii="Arial MT"/>
                <w:sz w:val="14"/>
              </w:rPr>
            </w:pPr>
            <w:r>
              <w:rPr>
                <w:rFonts w:ascii="Arial MT"/>
                <w:color w:val="001F60"/>
                <w:spacing w:val="-2"/>
                <w:sz w:val="14"/>
              </w:rPr>
              <w:t>104,00</w:t>
            </w:r>
          </w:p>
        </w:tc>
        <w:tc>
          <w:tcPr>
            <w:tcW w:w="1048" w:type="dxa"/>
          </w:tcPr>
          <w:p w14:paraId="3511D892" w14:textId="77777777" w:rsidR="002C6574" w:rsidRDefault="00000000">
            <w:pPr>
              <w:pStyle w:val="TableParagraph"/>
              <w:spacing w:before="45"/>
              <w:ind w:right="73"/>
              <w:rPr>
                <w:rFonts w:ascii="Arial MT"/>
                <w:sz w:val="14"/>
              </w:rPr>
            </w:pPr>
            <w:r>
              <w:rPr>
                <w:rFonts w:ascii="Arial MT"/>
                <w:color w:val="001F60"/>
                <w:spacing w:val="-5"/>
                <w:sz w:val="14"/>
              </w:rPr>
              <w:t>49%</w:t>
            </w:r>
          </w:p>
        </w:tc>
      </w:tr>
      <w:tr w:rsidR="002C6574" w14:paraId="76BFBFDE" w14:textId="77777777">
        <w:trPr>
          <w:trHeight w:val="254"/>
        </w:trPr>
        <w:tc>
          <w:tcPr>
            <w:tcW w:w="5724" w:type="dxa"/>
          </w:tcPr>
          <w:p w14:paraId="1D58B99F" w14:textId="77777777" w:rsidR="002C6574" w:rsidRDefault="00000000">
            <w:pPr>
              <w:pStyle w:val="TableParagraph"/>
              <w:spacing w:before="44"/>
              <w:ind w:left="609"/>
              <w:jc w:val="left"/>
              <w:rPr>
                <w:rFonts w:ascii="Arial MT"/>
                <w:sz w:val="14"/>
              </w:rPr>
            </w:pPr>
            <w:r>
              <w:rPr>
                <w:rFonts w:ascii="Arial MT"/>
                <w:color w:val="001F60"/>
                <w:spacing w:val="-2"/>
                <w:sz w:val="14"/>
              </w:rPr>
              <w:t>Tributos</w:t>
            </w:r>
          </w:p>
        </w:tc>
        <w:tc>
          <w:tcPr>
            <w:tcW w:w="848" w:type="dxa"/>
          </w:tcPr>
          <w:p w14:paraId="6FD5C1C8" w14:textId="77777777" w:rsidR="002C6574" w:rsidRDefault="00000000">
            <w:pPr>
              <w:pStyle w:val="TableParagraph"/>
              <w:spacing w:before="44"/>
              <w:ind w:right="360"/>
              <w:rPr>
                <w:rFonts w:ascii="Arial MT"/>
                <w:sz w:val="14"/>
              </w:rPr>
            </w:pPr>
            <w:r>
              <w:rPr>
                <w:rFonts w:ascii="Arial MT"/>
                <w:color w:val="001F60"/>
                <w:spacing w:val="-2"/>
                <w:sz w:val="14"/>
              </w:rPr>
              <w:t>52,32</w:t>
            </w:r>
          </w:p>
        </w:tc>
        <w:tc>
          <w:tcPr>
            <w:tcW w:w="1262" w:type="dxa"/>
            <w:gridSpan w:val="2"/>
          </w:tcPr>
          <w:p w14:paraId="7677F842" w14:textId="77777777" w:rsidR="002C6574" w:rsidRDefault="00000000">
            <w:pPr>
              <w:pStyle w:val="TableParagraph"/>
              <w:spacing w:before="44"/>
              <w:ind w:left="728"/>
              <w:jc w:val="left"/>
              <w:rPr>
                <w:rFonts w:ascii="Arial MT"/>
                <w:sz w:val="14"/>
              </w:rPr>
            </w:pPr>
            <w:r>
              <w:rPr>
                <w:rFonts w:ascii="Arial MT"/>
                <w:color w:val="001F60"/>
                <w:spacing w:val="-2"/>
                <w:sz w:val="14"/>
              </w:rPr>
              <w:t>29,88</w:t>
            </w:r>
          </w:p>
        </w:tc>
        <w:tc>
          <w:tcPr>
            <w:tcW w:w="1048" w:type="dxa"/>
          </w:tcPr>
          <w:p w14:paraId="737BFDAD" w14:textId="77777777" w:rsidR="002C6574" w:rsidRDefault="00000000">
            <w:pPr>
              <w:pStyle w:val="TableParagraph"/>
              <w:spacing w:before="44"/>
              <w:ind w:right="73"/>
              <w:rPr>
                <w:rFonts w:ascii="Arial MT"/>
                <w:sz w:val="14"/>
              </w:rPr>
            </w:pPr>
            <w:r>
              <w:rPr>
                <w:rFonts w:ascii="Arial MT"/>
                <w:color w:val="001F60"/>
                <w:spacing w:val="-5"/>
                <w:sz w:val="14"/>
              </w:rPr>
              <w:t>57%</w:t>
            </w:r>
          </w:p>
        </w:tc>
      </w:tr>
      <w:tr w:rsidR="002C6574" w14:paraId="4BAC764E" w14:textId="77777777">
        <w:trPr>
          <w:trHeight w:val="254"/>
        </w:trPr>
        <w:tc>
          <w:tcPr>
            <w:tcW w:w="5724" w:type="dxa"/>
          </w:tcPr>
          <w:p w14:paraId="3530A8C0" w14:textId="77777777" w:rsidR="002C6574" w:rsidRDefault="00000000">
            <w:pPr>
              <w:pStyle w:val="TableParagraph"/>
              <w:spacing w:before="44"/>
              <w:ind w:left="609"/>
              <w:jc w:val="left"/>
              <w:rPr>
                <w:rFonts w:ascii="Arial MT"/>
                <w:sz w:val="14"/>
              </w:rPr>
            </w:pPr>
            <w:r>
              <w:rPr>
                <w:rFonts w:ascii="Arial MT"/>
                <w:color w:val="001F60"/>
                <w:sz w:val="14"/>
              </w:rPr>
              <w:t>Despesas</w:t>
            </w:r>
            <w:r>
              <w:rPr>
                <w:rFonts w:ascii="Arial MT"/>
                <w:color w:val="001F60"/>
                <w:spacing w:val="-7"/>
                <w:sz w:val="14"/>
              </w:rPr>
              <w:t xml:space="preserve"> </w:t>
            </w:r>
            <w:r>
              <w:rPr>
                <w:rFonts w:ascii="Arial MT"/>
                <w:color w:val="001F60"/>
                <w:spacing w:val="-2"/>
                <w:sz w:val="14"/>
              </w:rPr>
              <w:t>Financeiras</w:t>
            </w:r>
          </w:p>
        </w:tc>
        <w:tc>
          <w:tcPr>
            <w:tcW w:w="848" w:type="dxa"/>
          </w:tcPr>
          <w:p w14:paraId="26C6A664" w14:textId="77777777" w:rsidR="002C6574" w:rsidRDefault="00000000">
            <w:pPr>
              <w:pStyle w:val="TableParagraph"/>
              <w:spacing w:before="44"/>
              <w:ind w:right="360"/>
              <w:rPr>
                <w:rFonts w:ascii="Arial MT"/>
                <w:sz w:val="14"/>
              </w:rPr>
            </w:pPr>
            <w:r>
              <w:rPr>
                <w:rFonts w:ascii="Arial MT"/>
                <w:color w:val="001F60"/>
                <w:spacing w:val="-2"/>
                <w:sz w:val="14"/>
              </w:rPr>
              <w:t>20,77</w:t>
            </w:r>
          </w:p>
        </w:tc>
        <w:tc>
          <w:tcPr>
            <w:tcW w:w="1262" w:type="dxa"/>
            <w:gridSpan w:val="2"/>
          </w:tcPr>
          <w:p w14:paraId="2DEA1F99" w14:textId="77777777" w:rsidR="002C6574" w:rsidRDefault="00000000">
            <w:pPr>
              <w:pStyle w:val="TableParagraph"/>
              <w:spacing w:before="44"/>
              <w:ind w:left="805"/>
              <w:jc w:val="left"/>
              <w:rPr>
                <w:rFonts w:ascii="Arial MT"/>
                <w:sz w:val="14"/>
              </w:rPr>
            </w:pPr>
            <w:r>
              <w:rPr>
                <w:rFonts w:ascii="Arial MT"/>
                <w:color w:val="001F60"/>
                <w:spacing w:val="-4"/>
                <w:sz w:val="14"/>
              </w:rPr>
              <w:t>0,05</w:t>
            </w:r>
          </w:p>
        </w:tc>
        <w:tc>
          <w:tcPr>
            <w:tcW w:w="1048" w:type="dxa"/>
          </w:tcPr>
          <w:p w14:paraId="09CAFF2F" w14:textId="77777777" w:rsidR="002C6574" w:rsidRDefault="00000000">
            <w:pPr>
              <w:pStyle w:val="TableParagraph"/>
              <w:spacing w:before="44"/>
              <w:ind w:right="70"/>
              <w:rPr>
                <w:rFonts w:ascii="Arial MT"/>
                <w:sz w:val="14"/>
              </w:rPr>
            </w:pPr>
            <w:r>
              <w:rPr>
                <w:rFonts w:ascii="Arial MT"/>
                <w:color w:val="001F60"/>
                <w:spacing w:val="-5"/>
                <w:sz w:val="14"/>
              </w:rPr>
              <w:t>0%</w:t>
            </w:r>
          </w:p>
        </w:tc>
      </w:tr>
      <w:tr w:rsidR="002C6574" w14:paraId="7512359F" w14:textId="77777777">
        <w:trPr>
          <w:trHeight w:val="252"/>
        </w:trPr>
        <w:tc>
          <w:tcPr>
            <w:tcW w:w="5724" w:type="dxa"/>
            <w:tcBorders>
              <w:bottom w:val="single" w:sz="4" w:space="0" w:color="001F60"/>
            </w:tcBorders>
          </w:tcPr>
          <w:p w14:paraId="32436C13" w14:textId="77777777" w:rsidR="002C6574" w:rsidRDefault="00000000">
            <w:pPr>
              <w:pStyle w:val="TableParagraph"/>
              <w:spacing w:before="44"/>
              <w:ind w:left="609"/>
              <w:jc w:val="left"/>
              <w:rPr>
                <w:rFonts w:ascii="Arial MT" w:hAnsi="Arial MT"/>
                <w:sz w:val="14"/>
              </w:rPr>
            </w:pPr>
            <w:r>
              <w:rPr>
                <w:rFonts w:ascii="Arial MT" w:hAnsi="Arial MT"/>
                <w:color w:val="001F60"/>
                <w:sz w:val="14"/>
              </w:rPr>
              <w:t>Outras</w:t>
            </w:r>
            <w:r>
              <w:rPr>
                <w:rFonts w:ascii="Arial MT" w:hAnsi="Arial MT"/>
                <w:color w:val="001F60"/>
                <w:spacing w:val="-6"/>
                <w:sz w:val="14"/>
              </w:rPr>
              <w:t xml:space="preserve"> </w:t>
            </w:r>
            <w:r>
              <w:rPr>
                <w:rFonts w:ascii="Arial MT" w:hAnsi="Arial MT"/>
                <w:color w:val="001F60"/>
                <w:sz w:val="14"/>
              </w:rPr>
              <w:t>Saídas</w:t>
            </w:r>
            <w:r>
              <w:rPr>
                <w:rFonts w:ascii="Arial MT" w:hAnsi="Arial MT"/>
                <w:color w:val="001F60"/>
                <w:spacing w:val="-5"/>
                <w:sz w:val="14"/>
              </w:rPr>
              <w:t xml:space="preserve"> </w:t>
            </w:r>
            <w:r>
              <w:rPr>
                <w:rFonts w:ascii="Arial MT" w:hAnsi="Arial MT"/>
                <w:color w:val="001F60"/>
                <w:spacing w:val="-2"/>
                <w:sz w:val="14"/>
              </w:rPr>
              <w:t>Correntes</w:t>
            </w:r>
          </w:p>
        </w:tc>
        <w:tc>
          <w:tcPr>
            <w:tcW w:w="848" w:type="dxa"/>
            <w:tcBorders>
              <w:bottom w:val="single" w:sz="4" w:space="0" w:color="001F60"/>
            </w:tcBorders>
          </w:tcPr>
          <w:p w14:paraId="5F95D14B" w14:textId="77777777" w:rsidR="002C6574" w:rsidRDefault="00000000">
            <w:pPr>
              <w:pStyle w:val="TableParagraph"/>
              <w:spacing w:before="44"/>
              <w:ind w:right="361"/>
              <w:rPr>
                <w:rFonts w:ascii="Arial MT"/>
                <w:sz w:val="14"/>
              </w:rPr>
            </w:pPr>
            <w:r>
              <w:rPr>
                <w:rFonts w:ascii="Arial MT"/>
                <w:color w:val="001F60"/>
                <w:spacing w:val="-2"/>
                <w:sz w:val="14"/>
              </w:rPr>
              <w:t>492,33</w:t>
            </w:r>
          </w:p>
        </w:tc>
        <w:tc>
          <w:tcPr>
            <w:tcW w:w="1262" w:type="dxa"/>
            <w:gridSpan w:val="2"/>
            <w:tcBorders>
              <w:bottom w:val="single" w:sz="4" w:space="0" w:color="001F60"/>
            </w:tcBorders>
          </w:tcPr>
          <w:p w14:paraId="118B1386" w14:textId="77777777" w:rsidR="002C6574" w:rsidRDefault="00000000">
            <w:pPr>
              <w:pStyle w:val="TableParagraph"/>
              <w:spacing w:before="44"/>
              <w:ind w:left="651"/>
              <w:jc w:val="left"/>
              <w:rPr>
                <w:rFonts w:ascii="Arial MT"/>
                <w:sz w:val="14"/>
              </w:rPr>
            </w:pPr>
            <w:r>
              <w:rPr>
                <w:rFonts w:ascii="Arial MT"/>
                <w:color w:val="001F60"/>
                <w:spacing w:val="-2"/>
                <w:sz w:val="14"/>
              </w:rPr>
              <w:t>208,31</w:t>
            </w:r>
          </w:p>
        </w:tc>
        <w:tc>
          <w:tcPr>
            <w:tcW w:w="1048" w:type="dxa"/>
            <w:tcBorders>
              <w:bottom w:val="single" w:sz="4" w:space="0" w:color="001F60"/>
            </w:tcBorders>
          </w:tcPr>
          <w:p w14:paraId="1F78B706" w14:textId="77777777" w:rsidR="002C6574" w:rsidRDefault="00000000">
            <w:pPr>
              <w:pStyle w:val="TableParagraph"/>
              <w:spacing w:before="44"/>
              <w:ind w:right="73"/>
              <w:rPr>
                <w:rFonts w:ascii="Arial MT"/>
                <w:sz w:val="14"/>
              </w:rPr>
            </w:pPr>
            <w:r>
              <w:rPr>
                <w:rFonts w:ascii="Arial MT"/>
                <w:color w:val="001F60"/>
                <w:spacing w:val="-5"/>
                <w:sz w:val="14"/>
              </w:rPr>
              <w:t>42%</w:t>
            </w:r>
          </w:p>
        </w:tc>
      </w:tr>
      <w:tr w:rsidR="002C6574" w14:paraId="2ED013C7" w14:textId="77777777">
        <w:trPr>
          <w:trHeight w:val="253"/>
        </w:trPr>
        <w:tc>
          <w:tcPr>
            <w:tcW w:w="5724" w:type="dxa"/>
            <w:tcBorders>
              <w:top w:val="single" w:sz="4" w:space="0" w:color="001F60"/>
              <w:bottom w:val="single" w:sz="4" w:space="0" w:color="001F60"/>
            </w:tcBorders>
          </w:tcPr>
          <w:p w14:paraId="56A009CC" w14:textId="77777777" w:rsidR="002C6574" w:rsidRDefault="00000000">
            <w:pPr>
              <w:pStyle w:val="TableParagraph"/>
              <w:spacing w:before="48"/>
              <w:ind w:left="69"/>
              <w:jc w:val="left"/>
              <w:rPr>
                <w:rFonts w:ascii="Arial"/>
                <w:b/>
                <w:sz w:val="14"/>
              </w:rPr>
            </w:pPr>
            <w:r>
              <w:rPr>
                <w:rFonts w:ascii="Arial"/>
                <w:b/>
                <w:color w:val="001F60"/>
                <w:spacing w:val="-2"/>
                <w:sz w:val="14"/>
              </w:rPr>
              <w:t>TOTAL</w:t>
            </w:r>
          </w:p>
        </w:tc>
        <w:tc>
          <w:tcPr>
            <w:tcW w:w="848" w:type="dxa"/>
            <w:tcBorders>
              <w:top w:val="single" w:sz="4" w:space="0" w:color="001F60"/>
              <w:bottom w:val="single" w:sz="4" w:space="0" w:color="001F60"/>
            </w:tcBorders>
          </w:tcPr>
          <w:p w14:paraId="54A4CCD2" w14:textId="77777777" w:rsidR="002C6574" w:rsidRDefault="00000000">
            <w:pPr>
              <w:pStyle w:val="TableParagraph"/>
              <w:spacing w:before="48"/>
              <w:ind w:right="360"/>
              <w:rPr>
                <w:rFonts w:ascii="Arial"/>
                <w:b/>
                <w:sz w:val="14"/>
              </w:rPr>
            </w:pPr>
            <w:r>
              <w:rPr>
                <w:rFonts w:ascii="Arial"/>
                <w:b/>
                <w:color w:val="001F60"/>
                <w:spacing w:val="-2"/>
                <w:sz w:val="14"/>
              </w:rPr>
              <w:t>780,07</w:t>
            </w:r>
          </w:p>
        </w:tc>
        <w:tc>
          <w:tcPr>
            <w:tcW w:w="1262" w:type="dxa"/>
            <w:gridSpan w:val="2"/>
            <w:tcBorders>
              <w:top w:val="single" w:sz="4" w:space="0" w:color="001F60"/>
              <w:bottom w:val="single" w:sz="4" w:space="0" w:color="001F60"/>
            </w:tcBorders>
          </w:tcPr>
          <w:p w14:paraId="51527BD7" w14:textId="77777777" w:rsidR="002C6574" w:rsidRDefault="00000000">
            <w:pPr>
              <w:pStyle w:val="TableParagraph"/>
              <w:spacing w:before="48"/>
              <w:ind w:left="651"/>
              <w:jc w:val="left"/>
              <w:rPr>
                <w:rFonts w:ascii="Arial"/>
                <w:b/>
                <w:sz w:val="14"/>
              </w:rPr>
            </w:pPr>
            <w:r>
              <w:rPr>
                <w:rFonts w:ascii="Arial"/>
                <w:b/>
                <w:color w:val="001F60"/>
                <w:spacing w:val="-2"/>
                <w:sz w:val="14"/>
              </w:rPr>
              <w:t>342,28</w:t>
            </w:r>
          </w:p>
        </w:tc>
        <w:tc>
          <w:tcPr>
            <w:tcW w:w="1048" w:type="dxa"/>
            <w:tcBorders>
              <w:top w:val="single" w:sz="4" w:space="0" w:color="001F60"/>
              <w:bottom w:val="single" w:sz="4" w:space="0" w:color="001F60"/>
            </w:tcBorders>
          </w:tcPr>
          <w:p w14:paraId="6465C1FE" w14:textId="77777777" w:rsidR="002C6574" w:rsidRDefault="00000000">
            <w:pPr>
              <w:pStyle w:val="TableParagraph"/>
              <w:spacing w:before="48"/>
              <w:ind w:right="70"/>
              <w:rPr>
                <w:rFonts w:ascii="Arial"/>
                <w:b/>
                <w:sz w:val="14"/>
              </w:rPr>
            </w:pPr>
            <w:r>
              <w:rPr>
                <w:rFonts w:ascii="Arial"/>
                <w:b/>
                <w:color w:val="001F60"/>
                <w:spacing w:val="-5"/>
                <w:sz w:val="14"/>
              </w:rPr>
              <w:t>44%</w:t>
            </w:r>
          </w:p>
        </w:tc>
      </w:tr>
      <w:tr w:rsidR="002C6574" w14:paraId="53F0D5D2" w14:textId="77777777">
        <w:trPr>
          <w:trHeight w:val="209"/>
        </w:trPr>
        <w:tc>
          <w:tcPr>
            <w:tcW w:w="5724" w:type="dxa"/>
            <w:tcBorders>
              <w:top w:val="single" w:sz="4" w:space="0" w:color="001F60"/>
            </w:tcBorders>
          </w:tcPr>
          <w:p w14:paraId="7F937F59" w14:textId="77777777" w:rsidR="002C6574" w:rsidRDefault="00000000">
            <w:pPr>
              <w:pStyle w:val="TableParagraph"/>
              <w:spacing w:before="48" w:line="141" w:lineRule="exact"/>
              <w:ind w:left="69"/>
              <w:jc w:val="left"/>
              <w:rPr>
                <w:rFonts w:ascii="Arial" w:hAnsi="Arial"/>
                <w:i/>
                <w:sz w:val="14"/>
              </w:rPr>
            </w:pPr>
            <w:r>
              <w:rPr>
                <w:rFonts w:ascii="Arial" w:hAnsi="Arial"/>
                <w:b/>
                <w:color w:val="001F60"/>
                <w:sz w:val="14"/>
              </w:rPr>
              <w:t>Fonte:</w:t>
            </w:r>
            <w:r>
              <w:rPr>
                <w:rFonts w:ascii="Arial" w:hAnsi="Arial"/>
                <w:b/>
                <w:color w:val="001F60"/>
                <w:spacing w:val="-4"/>
                <w:sz w:val="14"/>
              </w:rPr>
              <w:t xml:space="preserve"> </w:t>
            </w:r>
            <w:r>
              <w:rPr>
                <w:rFonts w:ascii="Arial" w:hAnsi="Arial"/>
                <w:i/>
                <w:color w:val="001F60"/>
                <w:sz w:val="14"/>
              </w:rPr>
              <w:t>SIEST</w:t>
            </w:r>
            <w:r>
              <w:rPr>
                <w:rFonts w:ascii="Arial" w:hAnsi="Arial"/>
                <w:i/>
                <w:color w:val="001F60"/>
                <w:spacing w:val="-4"/>
                <w:sz w:val="14"/>
              </w:rPr>
              <w:t xml:space="preserve"> </w:t>
            </w:r>
            <w:r>
              <w:rPr>
                <w:rFonts w:ascii="Arial" w:hAnsi="Arial"/>
                <w:i/>
                <w:color w:val="001F60"/>
                <w:sz w:val="14"/>
              </w:rPr>
              <w:t>-</w:t>
            </w:r>
            <w:r>
              <w:rPr>
                <w:rFonts w:ascii="Arial" w:hAnsi="Arial"/>
                <w:i/>
                <w:color w:val="001F60"/>
                <w:spacing w:val="-5"/>
                <w:sz w:val="14"/>
              </w:rPr>
              <w:t xml:space="preserve"> </w:t>
            </w:r>
            <w:r>
              <w:rPr>
                <w:rFonts w:ascii="Arial" w:hAnsi="Arial"/>
                <w:i/>
                <w:color w:val="001F60"/>
                <w:sz w:val="14"/>
              </w:rPr>
              <w:t>Sistema</w:t>
            </w:r>
            <w:r>
              <w:rPr>
                <w:rFonts w:ascii="Arial" w:hAnsi="Arial"/>
                <w:i/>
                <w:color w:val="001F60"/>
                <w:spacing w:val="-4"/>
                <w:sz w:val="14"/>
              </w:rPr>
              <w:t xml:space="preserve"> </w:t>
            </w:r>
            <w:r>
              <w:rPr>
                <w:rFonts w:ascii="Arial" w:hAnsi="Arial"/>
                <w:i/>
                <w:color w:val="001F60"/>
                <w:sz w:val="14"/>
              </w:rPr>
              <w:t>de</w:t>
            </w:r>
            <w:r>
              <w:rPr>
                <w:rFonts w:ascii="Arial" w:hAnsi="Arial"/>
                <w:i/>
                <w:color w:val="001F60"/>
                <w:spacing w:val="-5"/>
                <w:sz w:val="14"/>
              </w:rPr>
              <w:t xml:space="preserve"> </w:t>
            </w:r>
            <w:r>
              <w:rPr>
                <w:rFonts w:ascii="Arial" w:hAnsi="Arial"/>
                <w:i/>
                <w:color w:val="001F60"/>
                <w:sz w:val="14"/>
              </w:rPr>
              <w:t>Informação</w:t>
            </w:r>
            <w:r>
              <w:rPr>
                <w:rFonts w:ascii="Arial" w:hAnsi="Arial"/>
                <w:i/>
                <w:color w:val="001F60"/>
                <w:spacing w:val="-2"/>
                <w:sz w:val="14"/>
              </w:rPr>
              <w:t xml:space="preserve"> </w:t>
            </w:r>
            <w:r>
              <w:rPr>
                <w:rFonts w:ascii="Arial" w:hAnsi="Arial"/>
                <w:i/>
                <w:color w:val="001F60"/>
                <w:sz w:val="14"/>
              </w:rPr>
              <w:t>das</w:t>
            </w:r>
            <w:r>
              <w:rPr>
                <w:rFonts w:ascii="Arial" w:hAnsi="Arial"/>
                <w:i/>
                <w:color w:val="001F60"/>
                <w:spacing w:val="-4"/>
                <w:sz w:val="14"/>
              </w:rPr>
              <w:t xml:space="preserve"> </w:t>
            </w:r>
            <w:r>
              <w:rPr>
                <w:rFonts w:ascii="Arial" w:hAnsi="Arial"/>
                <w:i/>
                <w:color w:val="001F60"/>
                <w:sz w:val="14"/>
              </w:rPr>
              <w:t>Estatais:</w:t>
            </w:r>
            <w:r>
              <w:rPr>
                <w:rFonts w:ascii="Arial" w:hAnsi="Arial"/>
                <w:i/>
                <w:color w:val="001F60"/>
                <w:spacing w:val="-2"/>
                <w:sz w:val="14"/>
              </w:rPr>
              <w:t xml:space="preserve"> 23/1/2026</w:t>
            </w:r>
          </w:p>
        </w:tc>
        <w:tc>
          <w:tcPr>
            <w:tcW w:w="848" w:type="dxa"/>
            <w:tcBorders>
              <w:top w:val="single" w:sz="4" w:space="0" w:color="001F60"/>
            </w:tcBorders>
          </w:tcPr>
          <w:p w14:paraId="5889732A" w14:textId="77777777" w:rsidR="002C6574" w:rsidRDefault="002C6574">
            <w:pPr>
              <w:pStyle w:val="TableParagraph"/>
              <w:jc w:val="left"/>
              <w:rPr>
                <w:rFonts w:ascii="Times New Roman"/>
                <w:sz w:val="14"/>
              </w:rPr>
            </w:pPr>
          </w:p>
        </w:tc>
        <w:tc>
          <w:tcPr>
            <w:tcW w:w="1262" w:type="dxa"/>
            <w:gridSpan w:val="2"/>
            <w:tcBorders>
              <w:top w:val="single" w:sz="4" w:space="0" w:color="001F60"/>
            </w:tcBorders>
          </w:tcPr>
          <w:p w14:paraId="2C13F996" w14:textId="77777777" w:rsidR="002C6574" w:rsidRDefault="002C6574">
            <w:pPr>
              <w:pStyle w:val="TableParagraph"/>
              <w:jc w:val="left"/>
              <w:rPr>
                <w:rFonts w:ascii="Times New Roman"/>
                <w:sz w:val="14"/>
              </w:rPr>
            </w:pPr>
          </w:p>
        </w:tc>
        <w:tc>
          <w:tcPr>
            <w:tcW w:w="1048" w:type="dxa"/>
            <w:tcBorders>
              <w:top w:val="single" w:sz="4" w:space="0" w:color="001F60"/>
            </w:tcBorders>
          </w:tcPr>
          <w:p w14:paraId="155AB57A" w14:textId="77777777" w:rsidR="002C6574" w:rsidRDefault="002C6574">
            <w:pPr>
              <w:pStyle w:val="TableParagraph"/>
              <w:jc w:val="left"/>
              <w:rPr>
                <w:rFonts w:ascii="Times New Roman"/>
                <w:sz w:val="14"/>
              </w:rPr>
            </w:pPr>
          </w:p>
        </w:tc>
      </w:tr>
    </w:tbl>
    <w:p w14:paraId="5947C496" w14:textId="77777777" w:rsidR="002C6574" w:rsidRDefault="00000000">
      <w:pPr>
        <w:spacing w:before="167"/>
        <w:ind w:left="3421"/>
        <w:rPr>
          <w:rFonts w:ascii="Calibri" w:hAnsi="Calibri"/>
          <w:sz w:val="16"/>
        </w:rPr>
      </w:pPr>
      <w:r>
        <w:rPr>
          <w:rFonts w:ascii="Calibri" w:hAnsi="Calibri"/>
          <w:color w:val="001F60"/>
          <w:sz w:val="16"/>
        </w:rPr>
        <w:t>Tabela</w:t>
      </w:r>
      <w:r>
        <w:rPr>
          <w:rFonts w:ascii="Calibri" w:hAnsi="Calibri"/>
          <w:color w:val="001F60"/>
          <w:spacing w:val="-5"/>
          <w:sz w:val="16"/>
        </w:rPr>
        <w:t xml:space="preserve"> </w:t>
      </w:r>
      <w:r>
        <w:rPr>
          <w:rFonts w:ascii="Calibri" w:hAnsi="Calibri"/>
          <w:color w:val="001F60"/>
          <w:sz w:val="16"/>
        </w:rPr>
        <w:t>3-19</w:t>
      </w:r>
      <w:r>
        <w:rPr>
          <w:rFonts w:ascii="Calibri" w:hAnsi="Calibri"/>
          <w:color w:val="001F60"/>
          <w:spacing w:val="-6"/>
          <w:sz w:val="16"/>
        </w:rPr>
        <w:t xml:space="preserve"> </w:t>
      </w:r>
      <w:r>
        <w:rPr>
          <w:rFonts w:ascii="Calibri" w:hAnsi="Calibri"/>
          <w:color w:val="001F60"/>
          <w:sz w:val="16"/>
        </w:rPr>
        <w:t>Execução</w:t>
      </w:r>
      <w:r>
        <w:rPr>
          <w:rFonts w:ascii="Calibri" w:hAnsi="Calibri"/>
          <w:color w:val="001F60"/>
          <w:spacing w:val="-2"/>
          <w:sz w:val="16"/>
        </w:rPr>
        <w:t xml:space="preserve"> </w:t>
      </w:r>
      <w:r>
        <w:rPr>
          <w:rFonts w:ascii="Calibri" w:hAnsi="Calibri"/>
          <w:color w:val="001F60"/>
          <w:sz w:val="16"/>
        </w:rPr>
        <w:t>de</w:t>
      </w:r>
      <w:r>
        <w:rPr>
          <w:rFonts w:ascii="Calibri" w:hAnsi="Calibri"/>
          <w:color w:val="001F60"/>
          <w:spacing w:val="-3"/>
          <w:sz w:val="16"/>
        </w:rPr>
        <w:t xml:space="preserve"> </w:t>
      </w:r>
      <w:r>
        <w:rPr>
          <w:rFonts w:ascii="Calibri" w:hAnsi="Calibri"/>
          <w:color w:val="001F60"/>
          <w:sz w:val="16"/>
        </w:rPr>
        <w:t>Pagamentos</w:t>
      </w:r>
      <w:r>
        <w:rPr>
          <w:rFonts w:ascii="Calibri" w:hAnsi="Calibri"/>
          <w:color w:val="001F60"/>
          <w:spacing w:val="-3"/>
          <w:sz w:val="16"/>
        </w:rPr>
        <w:t xml:space="preserve"> </w:t>
      </w:r>
      <w:r>
        <w:rPr>
          <w:rFonts w:ascii="Calibri" w:hAnsi="Calibri"/>
          <w:color w:val="001F60"/>
          <w:sz w:val="16"/>
        </w:rPr>
        <w:t>–</w:t>
      </w:r>
      <w:r>
        <w:rPr>
          <w:rFonts w:ascii="Calibri" w:hAnsi="Calibri"/>
          <w:color w:val="001F60"/>
          <w:spacing w:val="-3"/>
          <w:sz w:val="16"/>
        </w:rPr>
        <w:t xml:space="preserve"> </w:t>
      </w:r>
      <w:r>
        <w:rPr>
          <w:rFonts w:ascii="Calibri" w:hAnsi="Calibri"/>
          <w:color w:val="001F60"/>
          <w:sz w:val="16"/>
        </w:rPr>
        <w:t>OI/PDG</w:t>
      </w:r>
      <w:r>
        <w:rPr>
          <w:rFonts w:ascii="Calibri" w:hAnsi="Calibri"/>
          <w:color w:val="001F60"/>
          <w:spacing w:val="-3"/>
          <w:sz w:val="16"/>
        </w:rPr>
        <w:t xml:space="preserve"> </w:t>
      </w:r>
      <w:r>
        <w:rPr>
          <w:rFonts w:ascii="Calibri" w:hAnsi="Calibri"/>
          <w:color w:val="001F60"/>
          <w:sz w:val="16"/>
        </w:rPr>
        <w:t>de</w:t>
      </w:r>
      <w:r>
        <w:rPr>
          <w:rFonts w:ascii="Calibri" w:hAnsi="Calibri"/>
          <w:color w:val="001F60"/>
          <w:spacing w:val="-2"/>
          <w:sz w:val="16"/>
        </w:rPr>
        <w:t xml:space="preserve"> </w:t>
      </w:r>
      <w:r>
        <w:rPr>
          <w:rFonts w:ascii="Calibri" w:hAnsi="Calibri"/>
          <w:color w:val="001F60"/>
          <w:spacing w:val="-4"/>
          <w:sz w:val="16"/>
        </w:rPr>
        <w:t>2025</w:t>
      </w:r>
    </w:p>
    <w:p w14:paraId="314D8C87" w14:textId="77777777" w:rsidR="002C6574" w:rsidRDefault="002C6574">
      <w:pPr>
        <w:pStyle w:val="Corpodetexto"/>
        <w:spacing w:before="164"/>
        <w:rPr>
          <w:rFonts w:ascii="Calibri"/>
          <w:sz w:val="16"/>
        </w:rPr>
      </w:pPr>
    </w:p>
    <w:p w14:paraId="0714EF50" w14:textId="77777777" w:rsidR="002C6574" w:rsidRDefault="00000000">
      <w:pPr>
        <w:numPr>
          <w:ilvl w:val="2"/>
          <w:numId w:val="74"/>
        </w:numPr>
        <w:tabs>
          <w:tab w:val="left" w:pos="1417"/>
        </w:tabs>
        <w:spacing w:before="1"/>
        <w:rPr>
          <w:rFonts w:ascii="Calibri" w:hAnsi="Calibri"/>
          <w:b/>
        </w:rPr>
      </w:pPr>
      <w:r>
        <w:rPr>
          <w:rFonts w:ascii="Calibri" w:hAnsi="Calibri"/>
          <w:b/>
          <w:color w:val="001F60"/>
        </w:rPr>
        <w:t>Orçamento</w:t>
      </w:r>
      <w:r>
        <w:rPr>
          <w:rFonts w:ascii="Calibri" w:hAnsi="Calibri"/>
          <w:b/>
          <w:color w:val="001F60"/>
          <w:spacing w:val="-4"/>
        </w:rPr>
        <w:t xml:space="preserve"> </w:t>
      </w:r>
      <w:r>
        <w:rPr>
          <w:rFonts w:ascii="Calibri" w:hAnsi="Calibri"/>
          <w:b/>
          <w:color w:val="001F60"/>
        </w:rPr>
        <w:t>de</w:t>
      </w:r>
      <w:r>
        <w:rPr>
          <w:rFonts w:ascii="Calibri" w:hAnsi="Calibri"/>
          <w:b/>
          <w:color w:val="001F60"/>
          <w:spacing w:val="-4"/>
        </w:rPr>
        <w:t xml:space="preserve"> </w:t>
      </w:r>
      <w:r>
        <w:rPr>
          <w:rFonts w:ascii="Calibri" w:hAnsi="Calibri"/>
          <w:b/>
          <w:color w:val="001F60"/>
          <w:spacing w:val="-2"/>
        </w:rPr>
        <w:t>Investimento</w:t>
      </w:r>
    </w:p>
    <w:p w14:paraId="492D827D" w14:textId="77777777" w:rsidR="002C6574" w:rsidRDefault="00000000">
      <w:pPr>
        <w:pStyle w:val="Corpodetexto"/>
        <w:spacing w:before="240"/>
        <w:ind w:left="709" w:right="276"/>
        <w:jc w:val="both"/>
        <w:rPr>
          <w:rFonts w:ascii="Calibri" w:hAnsi="Calibri"/>
        </w:rPr>
      </w:pPr>
      <w:r>
        <w:rPr>
          <w:rFonts w:ascii="Calibri" w:hAnsi="Calibri"/>
          <w:color w:val="001F60"/>
        </w:rPr>
        <w:t>No âmbito do OI, diferentemente do OFSS, somente os investimentos são classificados como ações orçamentárias. O OI da Telebras para o exercício de 2025 foi aprovado pela Lei nº 15.309, de 22 de dezembro de 2025, apresentando execução total equivalente a 43% do valor programado.</w:t>
      </w:r>
    </w:p>
    <w:p w14:paraId="71F3D89D" w14:textId="77777777" w:rsidR="002C6574" w:rsidRDefault="002C6574">
      <w:pPr>
        <w:pStyle w:val="Corpodetexto"/>
        <w:jc w:val="both"/>
        <w:rPr>
          <w:rFonts w:ascii="Calibri" w:hAnsi="Calibri"/>
        </w:rPr>
        <w:sectPr w:rsidR="002C6574">
          <w:type w:val="continuous"/>
          <w:pgSz w:w="11910" w:h="16840"/>
          <w:pgMar w:top="0" w:right="850" w:bottom="0" w:left="992" w:header="312" w:footer="542" w:gutter="0"/>
          <w:cols w:space="720"/>
        </w:sectPr>
      </w:pPr>
    </w:p>
    <w:p w14:paraId="32C9EBC2" w14:textId="77777777" w:rsidR="002C6574" w:rsidRDefault="002C6574">
      <w:pPr>
        <w:pStyle w:val="Corpodetexto"/>
        <w:spacing w:before="263"/>
        <w:rPr>
          <w:rFonts w:ascii="Calibri"/>
        </w:rPr>
      </w:pPr>
    </w:p>
    <w:p w14:paraId="07663A89" w14:textId="77777777" w:rsidR="002C6574" w:rsidRDefault="00000000">
      <w:pPr>
        <w:pStyle w:val="Corpodetexto"/>
        <w:ind w:left="709" w:right="275"/>
        <w:jc w:val="both"/>
        <w:rPr>
          <w:rFonts w:ascii="Calibri" w:hAnsi="Calibri"/>
        </w:rPr>
      </w:pPr>
      <w:r>
        <w:rPr>
          <w:rFonts w:ascii="Calibri" w:hAnsi="Calibri"/>
          <w:color w:val="001F60"/>
        </w:rPr>
        <w:t>A principal ação orçamentária do exercício foi a 169X - Implantação de Infraestrutura da Rede de Comunicação de Dados para Inclusão Digital, responsável pelos investimentos na Rede Terrestre. A execução atingiu 38% do valor aprovado, reflexo do tempo necessário para etapas como construção, desenvolvimento e instalações, características de projetos de infraestrutura que envolvem ciclos operacionais mais longos.</w:t>
      </w:r>
    </w:p>
    <w:p w14:paraId="77E05110" w14:textId="77777777" w:rsidR="002C6574" w:rsidRDefault="00000000">
      <w:pPr>
        <w:spacing w:before="183"/>
        <w:ind w:right="543"/>
        <w:jc w:val="right"/>
        <w:rPr>
          <w:rFonts w:ascii="Arial" w:hAnsi="Arial"/>
          <w:b/>
          <w:i/>
          <w:sz w:val="14"/>
        </w:rPr>
      </w:pPr>
      <w:r>
        <w:rPr>
          <w:rFonts w:ascii="Arial" w:hAnsi="Arial"/>
          <w:b/>
          <w:i/>
          <w:noProof/>
          <w:sz w:val="14"/>
        </w:rPr>
        <mc:AlternateContent>
          <mc:Choice Requires="wps">
            <w:drawing>
              <wp:anchor distT="0" distB="0" distL="0" distR="0" simplePos="0" relativeHeight="15738368" behindDoc="0" locked="0" layoutInCell="1" allowOverlap="1" wp14:anchorId="68630FE5" wp14:editId="3B65C19F">
                <wp:simplePos x="0" y="0"/>
                <wp:positionH relativeFrom="page">
                  <wp:posOffset>1080516</wp:posOffset>
                </wp:positionH>
                <wp:positionV relativeFrom="paragraph">
                  <wp:posOffset>256077</wp:posOffset>
                </wp:positionV>
                <wp:extent cx="5638800" cy="635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6350"/>
                        </a:xfrm>
                        <a:custGeom>
                          <a:avLst/>
                          <a:gdLst/>
                          <a:ahLst/>
                          <a:cxnLst/>
                          <a:rect l="l" t="t" r="r" b="b"/>
                          <a:pathLst>
                            <a:path w="5638800" h="6350">
                              <a:moveTo>
                                <a:pt x="5638800" y="0"/>
                              </a:moveTo>
                              <a:lnTo>
                                <a:pt x="4908791" y="0"/>
                              </a:lnTo>
                              <a:lnTo>
                                <a:pt x="0" y="0"/>
                              </a:lnTo>
                              <a:lnTo>
                                <a:pt x="0" y="6096"/>
                              </a:lnTo>
                              <a:lnTo>
                                <a:pt x="4908791" y="6096"/>
                              </a:lnTo>
                              <a:lnTo>
                                <a:pt x="5638800" y="6096"/>
                              </a:lnTo>
                              <a:lnTo>
                                <a:pt x="5638800" y="0"/>
                              </a:lnTo>
                              <a:close/>
                            </a:path>
                          </a:pathLst>
                        </a:custGeom>
                        <a:solidFill>
                          <a:srgbClr val="001F60"/>
                        </a:solidFill>
                      </wps:spPr>
                      <wps:bodyPr wrap="square" lIns="0" tIns="0" rIns="0" bIns="0" rtlCol="0">
                        <a:prstTxWarp prst="textNoShape">
                          <a:avLst/>
                        </a:prstTxWarp>
                        <a:noAutofit/>
                      </wps:bodyPr>
                    </wps:wsp>
                  </a:graphicData>
                </a:graphic>
              </wp:anchor>
            </w:drawing>
          </mc:Choice>
          <mc:Fallback>
            <w:pict>
              <v:shape w14:anchorId="5E8F3885" id="Graphic 54" o:spid="_x0000_s1026" style="position:absolute;margin-left:85.1pt;margin-top:20.15pt;width:444pt;height:.5pt;z-index:15738368;visibility:visible;mso-wrap-style:square;mso-wrap-distance-left:0;mso-wrap-distance-top:0;mso-wrap-distance-right:0;mso-wrap-distance-bottom:0;mso-position-horizontal:absolute;mso-position-horizontal-relative:page;mso-position-vertical:absolute;mso-position-vertical-relative:text;v-text-anchor:top" coordsize="563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" path="m5638800,l4908791,,,,,6096r4908791,l5638800,6096r,-6096xe" fillcolor="#001f60" stroked="f">
                <v:path arrowok="t"/>
                <w10:wrap anchorx="page"/>
              </v:shape>
            </w:pict>
          </mc:Fallback>
        </mc:AlternateContent>
      </w:r>
      <w:r>
        <w:rPr>
          <w:rFonts w:ascii="Arial" w:hAnsi="Arial"/>
          <w:b/>
          <w:i/>
          <w:color w:val="001F60"/>
          <w:sz w:val="14"/>
        </w:rPr>
        <w:t>Valores</w:t>
      </w:r>
      <w:r>
        <w:rPr>
          <w:rFonts w:ascii="Arial" w:hAnsi="Arial"/>
          <w:b/>
          <w:i/>
          <w:color w:val="001F60"/>
          <w:spacing w:val="-5"/>
          <w:sz w:val="14"/>
        </w:rPr>
        <w:t xml:space="preserve"> </w:t>
      </w:r>
      <w:r>
        <w:rPr>
          <w:rFonts w:ascii="Arial" w:hAnsi="Arial"/>
          <w:b/>
          <w:i/>
          <w:color w:val="001F60"/>
          <w:sz w:val="14"/>
        </w:rPr>
        <w:t>em</w:t>
      </w:r>
      <w:r>
        <w:rPr>
          <w:rFonts w:ascii="Arial" w:hAnsi="Arial"/>
          <w:b/>
          <w:i/>
          <w:color w:val="001F60"/>
          <w:spacing w:val="-1"/>
          <w:sz w:val="14"/>
        </w:rPr>
        <w:t xml:space="preserve"> </w:t>
      </w:r>
      <w:r>
        <w:rPr>
          <w:rFonts w:ascii="Arial" w:hAnsi="Arial"/>
          <w:b/>
          <w:i/>
          <w:color w:val="001F60"/>
          <w:sz w:val="14"/>
        </w:rPr>
        <w:t>R$</w:t>
      </w:r>
      <w:r>
        <w:rPr>
          <w:rFonts w:ascii="Arial" w:hAnsi="Arial"/>
          <w:b/>
          <w:i/>
          <w:color w:val="001F60"/>
          <w:spacing w:val="-3"/>
          <w:sz w:val="14"/>
        </w:rPr>
        <w:t xml:space="preserve"> </w:t>
      </w:r>
      <w:r>
        <w:rPr>
          <w:rFonts w:ascii="Arial" w:hAnsi="Arial"/>
          <w:b/>
          <w:i/>
          <w:color w:val="001F60"/>
          <w:spacing w:val="-2"/>
          <w:sz w:val="14"/>
        </w:rPr>
        <w:t>Milhões</w:t>
      </w:r>
    </w:p>
    <w:p w14:paraId="7392D4F6" w14:textId="77777777" w:rsidR="002C6574" w:rsidRDefault="002C6574">
      <w:pPr>
        <w:jc w:val="right"/>
        <w:rPr>
          <w:rFonts w:ascii="Arial" w:hAnsi="Arial"/>
          <w:b/>
          <w:i/>
          <w:sz w:val="14"/>
        </w:rPr>
        <w:sectPr w:rsidR="002C6574">
          <w:headerReference w:type="default" r:id="rId15"/>
          <w:footerReference w:type="default" r:id="rId16"/>
          <w:pgSz w:w="11910" w:h="16840"/>
          <w:pgMar w:top="1160" w:right="850" w:bottom="740" w:left="992" w:header="312" w:footer="542" w:gutter="0"/>
          <w:cols w:space="720"/>
        </w:sectPr>
      </w:pPr>
    </w:p>
    <w:p w14:paraId="6300CED6" w14:textId="77777777" w:rsidR="002C6574" w:rsidRDefault="00000000">
      <w:pPr>
        <w:tabs>
          <w:tab w:val="left" w:pos="3090"/>
          <w:tab w:val="left" w:pos="5922"/>
        </w:tabs>
        <w:spacing w:before="138" w:line="117" w:lineRule="auto"/>
        <w:ind w:left="5843" w:hanging="5026"/>
        <w:rPr>
          <w:rFonts w:ascii="Arial" w:hAnsi="Arial"/>
          <w:b/>
          <w:sz w:val="14"/>
        </w:rPr>
      </w:pPr>
      <w:r>
        <w:rPr>
          <w:rFonts w:ascii="Arial" w:hAnsi="Arial"/>
          <w:b/>
          <w:color w:val="001F60"/>
          <w:spacing w:val="-4"/>
          <w:sz w:val="14"/>
        </w:rPr>
        <w:t>Ação</w:t>
      </w:r>
      <w:r>
        <w:rPr>
          <w:rFonts w:ascii="Arial" w:hAnsi="Arial"/>
          <w:b/>
          <w:color w:val="001F60"/>
          <w:sz w:val="14"/>
        </w:rPr>
        <w:tab/>
      </w:r>
      <w:r>
        <w:rPr>
          <w:rFonts w:ascii="Arial" w:hAnsi="Arial"/>
          <w:b/>
          <w:color w:val="001F60"/>
          <w:spacing w:val="-2"/>
          <w:sz w:val="14"/>
        </w:rPr>
        <w:t>Descrição</w:t>
      </w:r>
      <w:r>
        <w:rPr>
          <w:rFonts w:ascii="Arial" w:hAnsi="Arial"/>
          <w:b/>
          <w:color w:val="001F60"/>
          <w:sz w:val="14"/>
        </w:rPr>
        <w:tab/>
      </w:r>
      <w:r>
        <w:rPr>
          <w:rFonts w:ascii="Arial" w:hAnsi="Arial"/>
          <w:b/>
          <w:color w:val="001F60"/>
          <w:sz w:val="14"/>
        </w:rPr>
        <w:tab/>
      </w:r>
      <w:r>
        <w:rPr>
          <w:rFonts w:ascii="Arial" w:hAnsi="Arial"/>
          <w:b/>
          <w:color w:val="001F60"/>
          <w:spacing w:val="-2"/>
          <w:position w:val="8"/>
          <w:sz w:val="14"/>
        </w:rPr>
        <w:t>Autorizado</w:t>
      </w:r>
      <w:r>
        <w:rPr>
          <w:rFonts w:ascii="Arial" w:hAnsi="Arial"/>
          <w:b/>
          <w:color w:val="001F60"/>
          <w:spacing w:val="40"/>
          <w:position w:val="8"/>
          <w:sz w:val="14"/>
        </w:rPr>
        <w:t xml:space="preserve"> </w:t>
      </w:r>
      <w:r>
        <w:rPr>
          <w:rFonts w:ascii="Arial" w:hAnsi="Arial"/>
          <w:b/>
          <w:color w:val="001F60"/>
          <w:sz w:val="14"/>
        </w:rPr>
        <w:t>Set/Dez</w:t>
      </w:r>
      <w:r>
        <w:rPr>
          <w:rFonts w:ascii="Arial" w:hAnsi="Arial"/>
          <w:b/>
          <w:color w:val="001F60"/>
          <w:spacing w:val="-8"/>
          <w:sz w:val="14"/>
        </w:rPr>
        <w:t xml:space="preserve"> </w:t>
      </w:r>
      <w:r>
        <w:rPr>
          <w:rFonts w:ascii="Arial" w:hAnsi="Arial"/>
          <w:b/>
          <w:color w:val="001F60"/>
          <w:spacing w:val="-4"/>
          <w:sz w:val="14"/>
        </w:rPr>
        <w:t>2025</w:t>
      </w:r>
    </w:p>
    <w:p w14:paraId="310BD01E" w14:textId="77777777" w:rsidR="002C6574" w:rsidRDefault="00000000">
      <w:pPr>
        <w:spacing w:before="69"/>
        <w:ind w:left="545" w:firstLine="91"/>
        <w:rPr>
          <w:rFonts w:ascii="Arial"/>
          <w:b/>
          <w:sz w:val="14"/>
        </w:rPr>
      </w:pPr>
      <w:r>
        <w:br w:type="column"/>
      </w:r>
      <w:r>
        <w:rPr>
          <w:rFonts w:ascii="Arial"/>
          <w:b/>
          <w:color w:val="001F60"/>
          <w:spacing w:val="-2"/>
          <w:sz w:val="14"/>
        </w:rPr>
        <w:t>Executado</w:t>
      </w:r>
      <w:r>
        <w:rPr>
          <w:rFonts w:ascii="Arial"/>
          <w:b/>
          <w:color w:val="001F60"/>
          <w:spacing w:val="40"/>
          <w:sz w:val="14"/>
        </w:rPr>
        <w:t xml:space="preserve"> </w:t>
      </w:r>
      <w:r>
        <w:rPr>
          <w:rFonts w:ascii="Arial"/>
          <w:b/>
          <w:color w:val="001F60"/>
          <w:sz w:val="14"/>
        </w:rPr>
        <w:t>Set/Dez</w:t>
      </w:r>
      <w:r>
        <w:rPr>
          <w:rFonts w:ascii="Arial"/>
          <w:b/>
          <w:color w:val="001F60"/>
          <w:spacing w:val="-8"/>
          <w:sz w:val="14"/>
        </w:rPr>
        <w:t xml:space="preserve"> </w:t>
      </w:r>
      <w:r>
        <w:rPr>
          <w:rFonts w:ascii="Arial"/>
          <w:b/>
          <w:color w:val="001F60"/>
          <w:spacing w:val="-4"/>
          <w:sz w:val="14"/>
        </w:rPr>
        <w:t>2025</w:t>
      </w:r>
    </w:p>
    <w:p w14:paraId="2D3BE9B7" w14:textId="77777777" w:rsidR="002C6574" w:rsidRDefault="00000000">
      <w:pPr>
        <w:spacing w:before="151"/>
        <w:ind w:left="492"/>
        <w:rPr>
          <w:rFonts w:ascii="Arial"/>
          <w:b/>
          <w:sz w:val="14"/>
        </w:rPr>
      </w:pPr>
      <w:r>
        <w:br w:type="column"/>
      </w:r>
      <w:r>
        <w:rPr>
          <w:rFonts w:ascii="Arial"/>
          <w:b/>
          <w:color w:val="001F60"/>
          <w:spacing w:val="-2"/>
          <w:sz w:val="14"/>
        </w:rPr>
        <w:t>Percentual</w:t>
      </w:r>
    </w:p>
    <w:p w14:paraId="6E81CAA6" w14:textId="77777777" w:rsidR="002C6574" w:rsidRDefault="002C6574">
      <w:pPr>
        <w:rPr>
          <w:rFonts w:ascii="Arial"/>
          <w:b/>
          <w:sz w:val="14"/>
        </w:rPr>
        <w:sectPr w:rsidR="002C6574">
          <w:type w:val="continuous"/>
          <w:pgSz w:w="11910" w:h="16840"/>
          <w:pgMar w:top="0" w:right="850" w:bottom="0" w:left="992" w:header="312" w:footer="542" w:gutter="0"/>
          <w:cols w:num="3" w:space="720" w:equalWidth="0">
            <w:col w:w="6698" w:space="40"/>
            <w:col w:w="1401" w:space="39"/>
            <w:col w:w="1890"/>
          </w:cols>
        </w:sectPr>
      </w:pPr>
    </w:p>
    <w:p w14:paraId="044832DA" w14:textId="77777777" w:rsidR="002C6574" w:rsidRDefault="00000000">
      <w:pPr>
        <w:pStyle w:val="Corpodetexto"/>
        <w:spacing w:line="20" w:lineRule="exact"/>
        <w:ind w:left="709"/>
        <w:rPr>
          <w:rFonts w:ascii="Arial"/>
          <w:sz w:val="2"/>
        </w:rPr>
      </w:pPr>
      <w:r>
        <w:rPr>
          <w:rFonts w:ascii="Arial"/>
          <w:noProof/>
          <w:sz w:val="2"/>
        </w:rPr>
        <mc:AlternateContent>
          <mc:Choice Requires="wpg">
            <w:drawing>
              <wp:inline distT="0" distB="0" distL="0" distR="0" wp14:anchorId="49C1CD26" wp14:editId="2AE80339">
                <wp:extent cx="5638800" cy="6350"/>
                <wp:effectExtent l="0" t="0" r="0" b="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0" cy="6350"/>
                          <a:chOff x="0" y="0"/>
                          <a:chExt cx="5638800" cy="6350"/>
                        </a:xfrm>
                      </wpg:grpSpPr>
                      <wps:wsp>
                        <wps:cNvPr id="56" name="Graphic 56"/>
                        <wps:cNvSpPr/>
                        <wps:spPr>
                          <a:xfrm>
                            <a:off x="0" y="0"/>
                            <a:ext cx="5638800" cy="6350"/>
                          </a:xfrm>
                          <a:custGeom>
                            <a:avLst/>
                            <a:gdLst/>
                            <a:ahLst/>
                            <a:cxnLst/>
                            <a:rect l="l" t="t" r="r" b="b"/>
                            <a:pathLst>
                              <a:path w="5638800" h="6350">
                                <a:moveTo>
                                  <a:pt x="5638800" y="0"/>
                                </a:moveTo>
                                <a:lnTo>
                                  <a:pt x="4908791" y="0"/>
                                </a:lnTo>
                                <a:lnTo>
                                  <a:pt x="0" y="0"/>
                                </a:lnTo>
                                <a:lnTo>
                                  <a:pt x="0" y="6096"/>
                                </a:lnTo>
                                <a:lnTo>
                                  <a:pt x="4908791" y="6096"/>
                                </a:lnTo>
                                <a:lnTo>
                                  <a:pt x="5638800" y="6096"/>
                                </a:lnTo>
                                <a:lnTo>
                                  <a:pt x="5638800" y="0"/>
                                </a:lnTo>
                                <a:close/>
                              </a:path>
                            </a:pathLst>
                          </a:custGeom>
                          <a:solidFill>
                            <a:srgbClr val="001F60"/>
                          </a:solidFill>
                        </wps:spPr>
                        <wps:bodyPr wrap="square" lIns="0" tIns="0" rIns="0" bIns="0" rtlCol="0">
                          <a:prstTxWarp prst="textNoShape">
                            <a:avLst/>
                          </a:prstTxWarp>
                          <a:noAutofit/>
                        </wps:bodyPr>
                      </wps:wsp>
                    </wpg:wgp>
                  </a:graphicData>
                </a:graphic>
              </wp:inline>
            </w:drawing>
          </mc:Choice>
          <mc:Fallback>
            <w:pict>
              <v:group w14:anchorId="37C07EE4" id="Group 55" o:spid="_x0000_s1026" style="width:444pt;height:.5pt;mso-position-horizontal-relative:char;mso-position-vertical-relative:line" coordsize="563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">
                <v:shape id="Graphic 56" o:spid="_x0000_s1027" style="position:absolute;width:56388;height:63;visibility:visible;mso-wrap-style:square;v-text-anchor:top" coordsize="5638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" path="m5638800,l4908791,,,,,6096r4908791,l5638800,6096r,-6096xe" fillcolor="#001f60" stroked="f">
                  <v:path arrowok="t"/>
                </v:shape>
                <w10:anchorlock/>
              </v:group>
            </w:pict>
          </mc:Fallback>
        </mc:AlternateContent>
      </w:r>
    </w:p>
    <w:p w14:paraId="60D38213" w14:textId="77777777" w:rsidR="002C6574" w:rsidRDefault="00000000">
      <w:pPr>
        <w:tabs>
          <w:tab w:val="left" w:pos="7640"/>
          <w:tab w:val="left" w:pos="8722"/>
        </w:tabs>
        <w:spacing w:before="52"/>
        <w:ind w:left="6202"/>
        <w:rPr>
          <w:rFonts w:ascii="Arial"/>
          <w:b/>
          <w:sz w:val="14"/>
        </w:rPr>
      </w:pPr>
      <w:r>
        <w:rPr>
          <w:rFonts w:ascii="Arial"/>
          <w:b/>
          <w:color w:val="001F60"/>
          <w:spacing w:val="-5"/>
          <w:sz w:val="14"/>
        </w:rPr>
        <w:t>(a)</w:t>
      </w:r>
      <w:r>
        <w:rPr>
          <w:rFonts w:ascii="Arial"/>
          <w:b/>
          <w:color w:val="001F60"/>
          <w:sz w:val="14"/>
        </w:rPr>
        <w:tab/>
      </w:r>
      <w:r>
        <w:rPr>
          <w:rFonts w:ascii="Arial"/>
          <w:b/>
          <w:color w:val="001F60"/>
          <w:spacing w:val="-5"/>
          <w:sz w:val="14"/>
        </w:rPr>
        <w:t>(b)</w:t>
      </w:r>
      <w:r>
        <w:rPr>
          <w:rFonts w:ascii="Arial"/>
          <w:b/>
          <w:color w:val="001F60"/>
          <w:sz w:val="14"/>
        </w:rPr>
        <w:tab/>
        <w:t>c</w:t>
      </w:r>
      <w:r>
        <w:rPr>
          <w:rFonts w:ascii="Arial"/>
          <w:b/>
          <w:color w:val="001F60"/>
          <w:spacing w:val="-3"/>
          <w:sz w:val="14"/>
        </w:rPr>
        <w:t xml:space="preserve"> </w:t>
      </w:r>
      <w:r>
        <w:rPr>
          <w:rFonts w:ascii="Arial"/>
          <w:b/>
          <w:color w:val="001F60"/>
          <w:sz w:val="14"/>
        </w:rPr>
        <w:t>=</w:t>
      </w:r>
      <w:r>
        <w:rPr>
          <w:rFonts w:ascii="Arial"/>
          <w:b/>
          <w:color w:val="001F60"/>
          <w:spacing w:val="1"/>
          <w:sz w:val="14"/>
        </w:rPr>
        <w:t xml:space="preserve"> </w:t>
      </w:r>
      <w:r>
        <w:rPr>
          <w:rFonts w:ascii="Arial"/>
          <w:b/>
          <w:color w:val="001F60"/>
          <w:sz w:val="14"/>
        </w:rPr>
        <w:t>(b</w:t>
      </w:r>
      <w:r>
        <w:rPr>
          <w:rFonts w:ascii="Arial"/>
          <w:b/>
          <w:color w:val="001F60"/>
          <w:spacing w:val="-2"/>
          <w:sz w:val="14"/>
        </w:rPr>
        <w:t xml:space="preserve"> </w:t>
      </w:r>
      <w:r>
        <w:rPr>
          <w:rFonts w:ascii="Arial"/>
          <w:b/>
          <w:color w:val="001F60"/>
          <w:sz w:val="14"/>
        </w:rPr>
        <w:t>/</w:t>
      </w:r>
      <w:r>
        <w:rPr>
          <w:rFonts w:ascii="Arial"/>
          <w:b/>
          <w:color w:val="001F60"/>
          <w:spacing w:val="-2"/>
          <w:sz w:val="14"/>
        </w:rPr>
        <w:t xml:space="preserve"> </w:t>
      </w:r>
      <w:r>
        <w:rPr>
          <w:rFonts w:ascii="Arial"/>
          <w:b/>
          <w:color w:val="001F60"/>
          <w:spacing w:val="-5"/>
          <w:sz w:val="14"/>
        </w:rPr>
        <w:t>a)</w:t>
      </w:r>
    </w:p>
    <w:p w14:paraId="2D320B8A" w14:textId="77777777" w:rsidR="002C6574" w:rsidRDefault="002C6574">
      <w:pPr>
        <w:pStyle w:val="Corpodetexto"/>
        <w:spacing w:before="71"/>
        <w:rPr>
          <w:rFonts w:ascii="Arial"/>
          <w:b/>
          <w:sz w:val="14"/>
        </w:rPr>
      </w:pPr>
    </w:p>
    <w:p w14:paraId="73F1718A" w14:textId="77777777" w:rsidR="002C6574" w:rsidRDefault="00000000">
      <w:pPr>
        <w:spacing w:before="1" w:line="480" w:lineRule="auto"/>
        <w:ind w:left="1331" w:right="6923"/>
        <w:rPr>
          <w:rFonts w:ascii="Arial MT"/>
          <w:sz w:val="14"/>
        </w:rPr>
      </w:pPr>
      <w:r>
        <w:rPr>
          <w:rFonts w:ascii="Arial MT"/>
          <w:noProof/>
          <w:sz w:val="14"/>
        </w:rPr>
        <mc:AlternateContent>
          <mc:Choice Requires="wps">
            <w:drawing>
              <wp:anchor distT="0" distB="0" distL="0" distR="0" simplePos="0" relativeHeight="15738880" behindDoc="0" locked="0" layoutInCell="1" allowOverlap="1" wp14:anchorId="21D06213" wp14:editId="524F2780">
                <wp:simplePos x="0" y="0"/>
                <wp:positionH relativeFrom="page">
                  <wp:posOffset>1042416</wp:posOffset>
                </wp:positionH>
                <wp:positionV relativeFrom="paragraph">
                  <wp:posOffset>-105067</wp:posOffset>
                </wp:positionV>
                <wp:extent cx="5715000" cy="119316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19316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6755"/>
                              <w:gridCol w:w="1335"/>
                              <w:gridCol w:w="789"/>
                            </w:tblGrid>
                            <w:tr w:rsidR="002C6574" w14:paraId="092ADB18" w14:textId="77777777">
                              <w:trPr>
                                <w:trHeight w:val="323"/>
                              </w:trPr>
                              <w:tc>
                                <w:tcPr>
                                  <w:tcW w:w="6755" w:type="dxa"/>
                                  <w:tcBorders>
                                    <w:top w:val="single" w:sz="4" w:space="0" w:color="001F60"/>
                                  </w:tcBorders>
                                </w:tcPr>
                                <w:p w14:paraId="6B9162D8" w14:textId="77777777" w:rsidR="002C6574" w:rsidRDefault="00000000">
                                  <w:pPr>
                                    <w:pStyle w:val="TableParagraph"/>
                                    <w:tabs>
                                      <w:tab w:val="left" w:pos="5937"/>
                                    </w:tabs>
                                    <w:ind w:left="120"/>
                                    <w:jc w:val="left"/>
                                    <w:rPr>
                                      <w:rFonts w:ascii="Arial MT" w:hAnsi="Arial MT"/>
                                      <w:position w:val="-7"/>
                                      <w:sz w:val="14"/>
                                    </w:rPr>
                                  </w:pPr>
                                  <w:r>
                                    <w:rPr>
                                      <w:rFonts w:ascii="Arial MT" w:hAnsi="Arial MT"/>
                                      <w:color w:val="001F60"/>
                                      <w:position w:val="-7"/>
                                      <w:sz w:val="14"/>
                                    </w:rPr>
                                    <w:t>4102</w:t>
                                  </w:r>
                                  <w:r>
                                    <w:rPr>
                                      <w:rFonts w:ascii="Arial MT" w:hAnsi="Arial MT"/>
                                      <w:color w:val="001F60"/>
                                      <w:spacing w:val="49"/>
                                      <w:position w:val="-7"/>
                                      <w:sz w:val="14"/>
                                    </w:rPr>
                                    <w:t xml:space="preserve">  </w:t>
                                  </w:r>
                                  <w:r>
                                    <w:rPr>
                                      <w:rFonts w:ascii="Arial MT" w:hAnsi="Arial MT"/>
                                      <w:color w:val="001F60"/>
                                      <w:sz w:val="14"/>
                                    </w:rPr>
                                    <w:t>Manutenção</w:t>
                                  </w:r>
                                  <w:r>
                                    <w:rPr>
                                      <w:rFonts w:ascii="Arial MT" w:hAnsi="Arial MT"/>
                                      <w:color w:val="001F60"/>
                                      <w:spacing w:val="-1"/>
                                      <w:sz w:val="14"/>
                                    </w:rPr>
                                    <w:t xml:space="preserve"> </w:t>
                                  </w:r>
                                  <w:r>
                                    <w:rPr>
                                      <w:rFonts w:ascii="Arial MT" w:hAnsi="Arial MT"/>
                                      <w:color w:val="001F60"/>
                                      <w:sz w:val="14"/>
                                    </w:rPr>
                                    <w:t>e</w:t>
                                  </w:r>
                                  <w:r>
                                    <w:rPr>
                                      <w:rFonts w:ascii="Arial MT" w:hAnsi="Arial MT"/>
                                      <w:color w:val="001F60"/>
                                      <w:spacing w:val="-6"/>
                                      <w:sz w:val="14"/>
                                    </w:rPr>
                                    <w:t xml:space="preserve"> </w:t>
                                  </w:r>
                                  <w:r>
                                    <w:rPr>
                                      <w:rFonts w:ascii="Arial MT" w:hAnsi="Arial MT"/>
                                      <w:color w:val="001F60"/>
                                      <w:sz w:val="14"/>
                                    </w:rPr>
                                    <w:t>Adequação</w:t>
                                  </w:r>
                                  <w:r>
                                    <w:rPr>
                                      <w:rFonts w:ascii="Arial MT" w:hAnsi="Arial MT"/>
                                      <w:color w:val="001F60"/>
                                      <w:spacing w:val="-3"/>
                                      <w:sz w:val="14"/>
                                    </w:rPr>
                                    <w:t xml:space="preserve"> </w:t>
                                  </w:r>
                                  <w:r>
                                    <w:rPr>
                                      <w:rFonts w:ascii="Arial MT" w:hAnsi="Arial MT"/>
                                      <w:color w:val="001F60"/>
                                      <w:sz w:val="14"/>
                                    </w:rPr>
                                    <w:t>de</w:t>
                                  </w:r>
                                  <w:r>
                                    <w:rPr>
                                      <w:rFonts w:ascii="Arial MT" w:hAnsi="Arial MT"/>
                                      <w:color w:val="001F60"/>
                                      <w:spacing w:val="-5"/>
                                      <w:sz w:val="14"/>
                                    </w:rPr>
                                    <w:t xml:space="preserve"> </w:t>
                                  </w:r>
                                  <w:r>
                                    <w:rPr>
                                      <w:rFonts w:ascii="Arial MT" w:hAnsi="Arial MT"/>
                                      <w:color w:val="001F60"/>
                                      <w:sz w:val="14"/>
                                    </w:rPr>
                                    <w:t>Bens</w:t>
                                  </w:r>
                                  <w:r>
                                    <w:rPr>
                                      <w:rFonts w:ascii="Arial MT" w:hAnsi="Arial MT"/>
                                      <w:color w:val="001F60"/>
                                      <w:spacing w:val="-1"/>
                                      <w:sz w:val="14"/>
                                    </w:rPr>
                                    <w:t xml:space="preserve"> </w:t>
                                  </w:r>
                                  <w:r>
                                    <w:rPr>
                                      <w:rFonts w:ascii="Arial MT" w:hAnsi="Arial MT"/>
                                      <w:color w:val="001F60"/>
                                      <w:sz w:val="14"/>
                                    </w:rPr>
                                    <w:t>Móveis,</w:t>
                                  </w:r>
                                  <w:r>
                                    <w:rPr>
                                      <w:rFonts w:ascii="Arial MT" w:hAnsi="Arial MT"/>
                                      <w:color w:val="001F60"/>
                                      <w:spacing w:val="-5"/>
                                      <w:sz w:val="14"/>
                                    </w:rPr>
                                    <w:t xml:space="preserve"> </w:t>
                                  </w:r>
                                  <w:r>
                                    <w:rPr>
                                      <w:rFonts w:ascii="Arial MT" w:hAnsi="Arial MT"/>
                                      <w:color w:val="001F60"/>
                                      <w:sz w:val="14"/>
                                    </w:rPr>
                                    <w:t>Veículos,</w:t>
                                  </w:r>
                                  <w:r>
                                    <w:rPr>
                                      <w:rFonts w:ascii="Arial MT" w:hAnsi="Arial MT"/>
                                      <w:color w:val="001F60"/>
                                      <w:spacing w:val="-1"/>
                                      <w:sz w:val="14"/>
                                    </w:rPr>
                                    <w:t xml:space="preserve"> </w:t>
                                  </w:r>
                                  <w:r>
                                    <w:rPr>
                                      <w:rFonts w:ascii="Arial MT" w:hAnsi="Arial MT"/>
                                      <w:color w:val="001F60"/>
                                      <w:sz w:val="14"/>
                                    </w:rPr>
                                    <w:t>Máquinas</w:t>
                                  </w:r>
                                  <w:r>
                                    <w:rPr>
                                      <w:rFonts w:ascii="Arial MT" w:hAnsi="Arial MT"/>
                                      <w:color w:val="001F60"/>
                                      <w:spacing w:val="-1"/>
                                      <w:sz w:val="14"/>
                                    </w:rPr>
                                    <w:t xml:space="preserve"> </w:t>
                                  </w:r>
                                  <w:r>
                                    <w:rPr>
                                      <w:rFonts w:ascii="Arial MT" w:hAnsi="Arial MT"/>
                                      <w:color w:val="001F60"/>
                                      <w:spacing w:val="-10"/>
                                      <w:sz w:val="14"/>
                                    </w:rPr>
                                    <w:t>e</w:t>
                                  </w:r>
                                  <w:r>
                                    <w:rPr>
                                      <w:rFonts w:ascii="Arial MT" w:hAnsi="Arial MT"/>
                                      <w:color w:val="001F60"/>
                                      <w:sz w:val="14"/>
                                    </w:rPr>
                                    <w:tab/>
                                  </w:r>
                                  <w:r>
                                    <w:rPr>
                                      <w:rFonts w:ascii="Arial MT" w:hAnsi="Arial MT"/>
                                      <w:color w:val="001F60"/>
                                      <w:spacing w:val="-4"/>
                                      <w:position w:val="-7"/>
                                      <w:sz w:val="14"/>
                                    </w:rPr>
                                    <w:t>0,21</w:t>
                                  </w:r>
                                </w:p>
                              </w:tc>
                              <w:tc>
                                <w:tcPr>
                                  <w:tcW w:w="1335" w:type="dxa"/>
                                  <w:tcBorders>
                                    <w:top w:val="single" w:sz="4" w:space="0" w:color="001F60"/>
                                  </w:tcBorders>
                                </w:tcPr>
                                <w:p w14:paraId="4389DB00" w14:textId="77777777" w:rsidR="002C6574" w:rsidRDefault="00000000">
                                  <w:pPr>
                                    <w:pStyle w:val="TableParagraph"/>
                                    <w:spacing w:before="79"/>
                                    <w:ind w:right="436"/>
                                    <w:rPr>
                                      <w:rFonts w:ascii="Arial MT"/>
                                      <w:sz w:val="14"/>
                                    </w:rPr>
                                  </w:pPr>
                                  <w:r>
                                    <w:rPr>
                                      <w:rFonts w:ascii="Arial MT"/>
                                      <w:color w:val="001F60"/>
                                      <w:spacing w:val="-10"/>
                                      <w:sz w:val="14"/>
                                    </w:rPr>
                                    <w:t>-</w:t>
                                  </w:r>
                                </w:p>
                              </w:tc>
                              <w:tc>
                                <w:tcPr>
                                  <w:tcW w:w="789" w:type="dxa"/>
                                  <w:tcBorders>
                                    <w:top w:val="single" w:sz="4" w:space="0" w:color="001F60"/>
                                  </w:tcBorders>
                                </w:tcPr>
                                <w:p w14:paraId="1AA36372" w14:textId="77777777" w:rsidR="002C6574" w:rsidRDefault="00000000">
                                  <w:pPr>
                                    <w:pStyle w:val="TableParagraph"/>
                                    <w:spacing w:before="79"/>
                                    <w:ind w:right="67"/>
                                    <w:rPr>
                                      <w:rFonts w:ascii="Arial MT"/>
                                      <w:sz w:val="14"/>
                                    </w:rPr>
                                  </w:pPr>
                                  <w:r>
                                    <w:rPr>
                                      <w:rFonts w:ascii="Arial MT"/>
                                      <w:color w:val="001F60"/>
                                      <w:spacing w:val="-5"/>
                                      <w:sz w:val="14"/>
                                    </w:rPr>
                                    <w:t>0%</w:t>
                                  </w:r>
                                </w:p>
                              </w:tc>
                            </w:tr>
                            <w:tr w:rsidR="002C6574" w14:paraId="040116CA" w14:textId="77777777">
                              <w:trPr>
                                <w:trHeight w:val="322"/>
                              </w:trPr>
                              <w:tc>
                                <w:tcPr>
                                  <w:tcW w:w="6755" w:type="dxa"/>
                                </w:tcPr>
                                <w:p w14:paraId="4C23D08E" w14:textId="77777777" w:rsidR="002C6574" w:rsidRDefault="00000000">
                                  <w:pPr>
                                    <w:pStyle w:val="TableParagraph"/>
                                    <w:tabs>
                                      <w:tab w:val="left" w:pos="5937"/>
                                    </w:tabs>
                                    <w:spacing w:line="235" w:lineRule="auto"/>
                                    <w:ind w:left="120"/>
                                    <w:jc w:val="left"/>
                                    <w:rPr>
                                      <w:rFonts w:ascii="Arial MT" w:hAnsi="Arial MT"/>
                                      <w:position w:val="-7"/>
                                      <w:sz w:val="14"/>
                                    </w:rPr>
                                  </w:pPr>
                                  <w:r>
                                    <w:rPr>
                                      <w:rFonts w:ascii="Arial MT" w:hAnsi="Arial MT"/>
                                      <w:color w:val="001F60"/>
                                      <w:position w:val="-7"/>
                                      <w:sz w:val="14"/>
                                    </w:rPr>
                                    <w:t>4103</w:t>
                                  </w:r>
                                  <w:r>
                                    <w:rPr>
                                      <w:rFonts w:ascii="Arial MT" w:hAnsi="Arial MT"/>
                                      <w:color w:val="001F60"/>
                                      <w:spacing w:val="49"/>
                                      <w:position w:val="-7"/>
                                      <w:sz w:val="14"/>
                                    </w:rPr>
                                    <w:t xml:space="preserve">  </w:t>
                                  </w:r>
                                  <w:r>
                                    <w:rPr>
                                      <w:rFonts w:ascii="Arial MT" w:hAnsi="Arial MT"/>
                                      <w:color w:val="001F60"/>
                                      <w:sz w:val="14"/>
                                    </w:rPr>
                                    <w:t>Manutenção</w:t>
                                  </w:r>
                                  <w:r>
                                    <w:rPr>
                                      <w:rFonts w:ascii="Arial MT" w:hAnsi="Arial MT"/>
                                      <w:color w:val="001F60"/>
                                      <w:spacing w:val="-1"/>
                                      <w:sz w:val="14"/>
                                    </w:rPr>
                                    <w:t xml:space="preserve"> </w:t>
                                  </w:r>
                                  <w:r>
                                    <w:rPr>
                                      <w:rFonts w:ascii="Arial MT" w:hAnsi="Arial MT"/>
                                      <w:color w:val="001F60"/>
                                      <w:sz w:val="14"/>
                                    </w:rPr>
                                    <w:t>e</w:t>
                                  </w:r>
                                  <w:r>
                                    <w:rPr>
                                      <w:rFonts w:ascii="Arial MT" w:hAnsi="Arial MT"/>
                                      <w:color w:val="001F60"/>
                                      <w:spacing w:val="-6"/>
                                      <w:sz w:val="14"/>
                                    </w:rPr>
                                    <w:t xml:space="preserve"> </w:t>
                                  </w:r>
                                  <w:r>
                                    <w:rPr>
                                      <w:rFonts w:ascii="Arial MT" w:hAnsi="Arial MT"/>
                                      <w:color w:val="001F60"/>
                                      <w:sz w:val="14"/>
                                    </w:rPr>
                                    <w:t>Adequação</w:t>
                                  </w:r>
                                  <w:r>
                                    <w:rPr>
                                      <w:rFonts w:ascii="Arial MT" w:hAnsi="Arial MT"/>
                                      <w:color w:val="001F60"/>
                                      <w:spacing w:val="-3"/>
                                      <w:sz w:val="14"/>
                                    </w:rPr>
                                    <w:t xml:space="preserve"> </w:t>
                                  </w:r>
                                  <w:r>
                                    <w:rPr>
                                      <w:rFonts w:ascii="Arial MT" w:hAnsi="Arial MT"/>
                                      <w:color w:val="001F60"/>
                                      <w:sz w:val="14"/>
                                    </w:rPr>
                                    <w:t>de</w:t>
                                  </w:r>
                                  <w:r>
                                    <w:rPr>
                                      <w:rFonts w:ascii="Arial MT" w:hAnsi="Arial MT"/>
                                      <w:color w:val="001F60"/>
                                      <w:spacing w:val="-4"/>
                                      <w:sz w:val="14"/>
                                    </w:rPr>
                                    <w:t xml:space="preserve"> </w:t>
                                  </w:r>
                                  <w:r>
                                    <w:rPr>
                                      <w:rFonts w:ascii="Arial MT" w:hAnsi="Arial MT"/>
                                      <w:color w:val="001F60"/>
                                      <w:sz w:val="14"/>
                                    </w:rPr>
                                    <w:t>Ativos</w:t>
                                  </w:r>
                                  <w:r>
                                    <w:rPr>
                                      <w:rFonts w:ascii="Arial MT" w:hAnsi="Arial MT"/>
                                      <w:color w:val="001F60"/>
                                      <w:spacing w:val="-2"/>
                                      <w:sz w:val="14"/>
                                    </w:rPr>
                                    <w:t xml:space="preserve"> </w:t>
                                  </w:r>
                                  <w:r>
                                    <w:rPr>
                                      <w:rFonts w:ascii="Arial MT" w:hAnsi="Arial MT"/>
                                      <w:color w:val="001F60"/>
                                      <w:sz w:val="14"/>
                                    </w:rPr>
                                    <w:t>de</w:t>
                                  </w:r>
                                  <w:r>
                                    <w:rPr>
                                      <w:rFonts w:ascii="Arial MT" w:hAnsi="Arial MT"/>
                                      <w:color w:val="001F60"/>
                                      <w:spacing w:val="-3"/>
                                      <w:sz w:val="14"/>
                                    </w:rPr>
                                    <w:t xml:space="preserve"> </w:t>
                                  </w:r>
                                  <w:r>
                                    <w:rPr>
                                      <w:rFonts w:ascii="Arial MT" w:hAnsi="Arial MT"/>
                                      <w:color w:val="001F60"/>
                                      <w:sz w:val="14"/>
                                    </w:rPr>
                                    <w:t>Informática,</w:t>
                                  </w:r>
                                  <w:r>
                                    <w:rPr>
                                      <w:rFonts w:ascii="Arial MT" w:hAnsi="Arial MT"/>
                                      <w:color w:val="001F60"/>
                                      <w:spacing w:val="-5"/>
                                      <w:sz w:val="14"/>
                                    </w:rPr>
                                    <w:t xml:space="preserve"> </w:t>
                                  </w:r>
                                  <w:r>
                                    <w:rPr>
                                      <w:rFonts w:ascii="Arial MT" w:hAnsi="Arial MT"/>
                                      <w:color w:val="001F60"/>
                                      <w:sz w:val="14"/>
                                    </w:rPr>
                                    <w:t>Informação</w:t>
                                  </w:r>
                                  <w:r>
                                    <w:rPr>
                                      <w:rFonts w:ascii="Arial MT" w:hAnsi="Arial MT"/>
                                      <w:color w:val="001F60"/>
                                      <w:spacing w:val="-1"/>
                                      <w:sz w:val="14"/>
                                    </w:rPr>
                                    <w:t xml:space="preserve"> </w:t>
                                  </w:r>
                                  <w:r>
                                    <w:rPr>
                                      <w:rFonts w:ascii="Arial MT" w:hAnsi="Arial MT"/>
                                      <w:color w:val="001F60"/>
                                      <w:spacing w:val="-10"/>
                                      <w:sz w:val="14"/>
                                    </w:rPr>
                                    <w:t>e</w:t>
                                  </w:r>
                                  <w:r>
                                    <w:rPr>
                                      <w:rFonts w:ascii="Arial MT" w:hAnsi="Arial MT"/>
                                      <w:color w:val="001F60"/>
                                      <w:sz w:val="14"/>
                                    </w:rPr>
                                    <w:tab/>
                                  </w:r>
                                  <w:r>
                                    <w:rPr>
                                      <w:rFonts w:ascii="Arial MT" w:hAnsi="Arial MT"/>
                                      <w:color w:val="001F60"/>
                                      <w:spacing w:val="-4"/>
                                      <w:position w:val="-7"/>
                                      <w:sz w:val="14"/>
                                    </w:rPr>
                                    <w:t>2,42</w:t>
                                  </w:r>
                                </w:p>
                              </w:tc>
                              <w:tc>
                                <w:tcPr>
                                  <w:tcW w:w="1335" w:type="dxa"/>
                                </w:tcPr>
                                <w:p w14:paraId="1504B134" w14:textId="77777777" w:rsidR="002C6574" w:rsidRDefault="00000000">
                                  <w:pPr>
                                    <w:pStyle w:val="TableParagraph"/>
                                    <w:spacing w:before="77"/>
                                    <w:ind w:right="438"/>
                                    <w:rPr>
                                      <w:rFonts w:ascii="Arial MT"/>
                                      <w:sz w:val="14"/>
                                    </w:rPr>
                                  </w:pPr>
                                  <w:r>
                                    <w:rPr>
                                      <w:rFonts w:ascii="Arial MT"/>
                                      <w:color w:val="001F60"/>
                                      <w:spacing w:val="-4"/>
                                      <w:sz w:val="14"/>
                                    </w:rPr>
                                    <w:t>2,37</w:t>
                                  </w:r>
                                </w:p>
                              </w:tc>
                              <w:tc>
                                <w:tcPr>
                                  <w:tcW w:w="789" w:type="dxa"/>
                                </w:tcPr>
                                <w:p w14:paraId="700ED4A8" w14:textId="77777777" w:rsidR="002C6574" w:rsidRDefault="00000000">
                                  <w:pPr>
                                    <w:pStyle w:val="TableParagraph"/>
                                    <w:spacing w:before="77"/>
                                    <w:ind w:right="70"/>
                                    <w:rPr>
                                      <w:rFonts w:ascii="Arial MT"/>
                                      <w:sz w:val="14"/>
                                    </w:rPr>
                                  </w:pPr>
                                  <w:r>
                                    <w:rPr>
                                      <w:rFonts w:ascii="Arial MT"/>
                                      <w:color w:val="001F60"/>
                                      <w:spacing w:val="-5"/>
                                      <w:sz w:val="14"/>
                                    </w:rPr>
                                    <w:t>98%</w:t>
                                  </w:r>
                                </w:p>
                              </w:tc>
                            </w:tr>
                            <w:tr w:rsidR="002C6574" w14:paraId="286C4BD6" w14:textId="77777777">
                              <w:trPr>
                                <w:trHeight w:val="322"/>
                              </w:trPr>
                              <w:tc>
                                <w:tcPr>
                                  <w:tcW w:w="6755" w:type="dxa"/>
                                </w:tcPr>
                                <w:p w14:paraId="38D3EA45" w14:textId="77777777" w:rsidR="002C6574" w:rsidRDefault="00000000">
                                  <w:pPr>
                                    <w:pStyle w:val="TableParagraph"/>
                                    <w:tabs>
                                      <w:tab w:val="left" w:pos="621"/>
                                      <w:tab w:val="left" w:pos="5937"/>
                                    </w:tabs>
                                    <w:spacing w:line="232" w:lineRule="auto"/>
                                    <w:ind w:left="131"/>
                                    <w:jc w:val="left"/>
                                    <w:rPr>
                                      <w:rFonts w:ascii="Arial MT" w:hAnsi="Arial MT"/>
                                      <w:position w:val="-7"/>
                                      <w:sz w:val="14"/>
                                    </w:rPr>
                                  </w:pPr>
                                  <w:r>
                                    <w:rPr>
                                      <w:rFonts w:ascii="Arial MT" w:hAnsi="Arial MT"/>
                                      <w:color w:val="001F60"/>
                                      <w:spacing w:val="-4"/>
                                      <w:position w:val="-7"/>
                                      <w:sz w:val="14"/>
                                    </w:rPr>
                                    <w:t>21IS</w:t>
                                  </w:r>
                                  <w:r>
                                    <w:rPr>
                                      <w:rFonts w:ascii="Arial MT" w:hAnsi="Arial MT"/>
                                      <w:color w:val="001F60"/>
                                      <w:position w:val="-7"/>
                                      <w:sz w:val="14"/>
                                    </w:rPr>
                                    <w:tab/>
                                  </w:r>
                                  <w:r>
                                    <w:rPr>
                                      <w:rFonts w:ascii="Arial MT" w:hAnsi="Arial MT"/>
                                      <w:color w:val="001F60"/>
                                      <w:sz w:val="14"/>
                                    </w:rPr>
                                    <w:t>Operação</w:t>
                                  </w:r>
                                  <w:r>
                                    <w:rPr>
                                      <w:rFonts w:ascii="Arial MT" w:hAnsi="Arial MT"/>
                                      <w:color w:val="001F60"/>
                                      <w:spacing w:val="-4"/>
                                      <w:sz w:val="14"/>
                                    </w:rPr>
                                    <w:t xml:space="preserve"> </w:t>
                                  </w:r>
                                  <w:r>
                                    <w:rPr>
                                      <w:rFonts w:ascii="Arial MT" w:hAnsi="Arial MT"/>
                                      <w:color w:val="001F60"/>
                                      <w:sz w:val="14"/>
                                    </w:rPr>
                                    <w:t>do</w:t>
                                  </w:r>
                                  <w:r>
                                    <w:rPr>
                                      <w:rFonts w:ascii="Arial MT" w:hAnsi="Arial MT"/>
                                      <w:color w:val="001F60"/>
                                      <w:spacing w:val="-3"/>
                                      <w:sz w:val="14"/>
                                    </w:rPr>
                                    <w:t xml:space="preserve"> </w:t>
                                  </w:r>
                                  <w:r>
                                    <w:rPr>
                                      <w:rFonts w:ascii="Arial MT" w:hAnsi="Arial MT"/>
                                      <w:color w:val="001F60"/>
                                      <w:sz w:val="14"/>
                                    </w:rPr>
                                    <w:t>Satélite</w:t>
                                  </w:r>
                                  <w:r>
                                    <w:rPr>
                                      <w:rFonts w:ascii="Arial MT" w:hAnsi="Arial MT"/>
                                      <w:color w:val="001F60"/>
                                      <w:spacing w:val="-3"/>
                                      <w:sz w:val="14"/>
                                    </w:rPr>
                                    <w:t xml:space="preserve"> </w:t>
                                  </w:r>
                                  <w:r>
                                    <w:rPr>
                                      <w:rFonts w:ascii="Arial MT" w:hAnsi="Arial MT"/>
                                      <w:color w:val="001F60"/>
                                      <w:sz w:val="14"/>
                                    </w:rPr>
                                    <w:t>Geoestacionário</w:t>
                                  </w:r>
                                  <w:r>
                                    <w:rPr>
                                      <w:rFonts w:ascii="Arial MT" w:hAnsi="Arial MT"/>
                                      <w:color w:val="001F60"/>
                                      <w:spacing w:val="-4"/>
                                      <w:sz w:val="14"/>
                                    </w:rPr>
                                    <w:t xml:space="preserve"> </w:t>
                                  </w:r>
                                  <w:r>
                                    <w:rPr>
                                      <w:rFonts w:ascii="Arial MT" w:hAnsi="Arial MT"/>
                                      <w:color w:val="001F60"/>
                                      <w:sz w:val="14"/>
                                    </w:rPr>
                                    <w:t>de</w:t>
                                  </w:r>
                                  <w:r>
                                    <w:rPr>
                                      <w:rFonts w:ascii="Arial MT" w:hAnsi="Arial MT"/>
                                      <w:color w:val="001F60"/>
                                      <w:spacing w:val="-6"/>
                                      <w:sz w:val="14"/>
                                    </w:rPr>
                                    <w:t xml:space="preserve"> </w:t>
                                  </w:r>
                                  <w:r>
                                    <w:rPr>
                                      <w:rFonts w:ascii="Arial MT" w:hAnsi="Arial MT"/>
                                      <w:color w:val="001F60"/>
                                      <w:sz w:val="14"/>
                                    </w:rPr>
                                    <w:t>Defesa</w:t>
                                  </w:r>
                                  <w:r>
                                    <w:rPr>
                                      <w:rFonts w:ascii="Arial MT" w:hAnsi="Arial MT"/>
                                      <w:color w:val="001F60"/>
                                      <w:spacing w:val="-4"/>
                                      <w:sz w:val="14"/>
                                    </w:rPr>
                                    <w:t xml:space="preserve"> </w:t>
                                  </w:r>
                                  <w:r>
                                    <w:rPr>
                                      <w:rFonts w:ascii="Arial MT" w:hAnsi="Arial MT"/>
                                      <w:color w:val="001F60"/>
                                      <w:sz w:val="14"/>
                                    </w:rPr>
                                    <w:t>e</w:t>
                                  </w:r>
                                  <w:r>
                                    <w:rPr>
                                      <w:rFonts w:ascii="Arial MT" w:hAnsi="Arial MT"/>
                                      <w:color w:val="001F60"/>
                                      <w:spacing w:val="-6"/>
                                      <w:sz w:val="14"/>
                                    </w:rPr>
                                    <w:t xml:space="preserve"> </w:t>
                                  </w:r>
                                  <w:r>
                                    <w:rPr>
                                      <w:rFonts w:ascii="Arial MT" w:hAnsi="Arial MT"/>
                                      <w:color w:val="001F60"/>
                                      <w:spacing w:val="-2"/>
                                      <w:sz w:val="14"/>
                                    </w:rPr>
                                    <w:t>Comunicação</w:t>
                                  </w:r>
                                  <w:r>
                                    <w:rPr>
                                      <w:rFonts w:ascii="Arial MT" w:hAnsi="Arial MT"/>
                                      <w:color w:val="001F60"/>
                                      <w:sz w:val="14"/>
                                    </w:rPr>
                                    <w:tab/>
                                  </w:r>
                                  <w:r>
                                    <w:rPr>
                                      <w:rFonts w:ascii="Arial MT" w:hAnsi="Arial MT"/>
                                      <w:color w:val="001F60"/>
                                      <w:spacing w:val="-4"/>
                                      <w:position w:val="-7"/>
                                      <w:sz w:val="14"/>
                                    </w:rPr>
                                    <w:t>2,30</w:t>
                                  </w:r>
                                </w:p>
                              </w:tc>
                              <w:tc>
                                <w:tcPr>
                                  <w:tcW w:w="1335" w:type="dxa"/>
                                </w:tcPr>
                                <w:p w14:paraId="34CF3D52" w14:textId="77777777" w:rsidR="002C6574" w:rsidRDefault="00000000">
                                  <w:pPr>
                                    <w:pStyle w:val="TableParagraph"/>
                                    <w:spacing w:before="79"/>
                                    <w:ind w:right="438"/>
                                    <w:rPr>
                                      <w:rFonts w:ascii="Arial MT"/>
                                      <w:sz w:val="14"/>
                                    </w:rPr>
                                  </w:pPr>
                                  <w:r>
                                    <w:rPr>
                                      <w:rFonts w:ascii="Arial MT"/>
                                      <w:color w:val="001F60"/>
                                      <w:spacing w:val="-4"/>
                                      <w:sz w:val="14"/>
                                    </w:rPr>
                                    <w:t>2,03</w:t>
                                  </w:r>
                                </w:p>
                              </w:tc>
                              <w:tc>
                                <w:tcPr>
                                  <w:tcW w:w="789" w:type="dxa"/>
                                </w:tcPr>
                                <w:p w14:paraId="0D704DFB" w14:textId="77777777" w:rsidR="002C6574" w:rsidRDefault="00000000">
                                  <w:pPr>
                                    <w:pStyle w:val="TableParagraph"/>
                                    <w:spacing w:before="79"/>
                                    <w:ind w:right="70"/>
                                    <w:rPr>
                                      <w:rFonts w:ascii="Arial MT"/>
                                      <w:sz w:val="14"/>
                                    </w:rPr>
                                  </w:pPr>
                                  <w:r>
                                    <w:rPr>
                                      <w:rFonts w:ascii="Arial MT"/>
                                      <w:color w:val="001F60"/>
                                      <w:spacing w:val="-5"/>
                                      <w:sz w:val="14"/>
                                    </w:rPr>
                                    <w:t>88%</w:t>
                                  </w:r>
                                </w:p>
                              </w:tc>
                            </w:tr>
                            <w:tr w:rsidR="002C6574" w14:paraId="5437D65F" w14:textId="77777777">
                              <w:trPr>
                                <w:trHeight w:val="312"/>
                              </w:trPr>
                              <w:tc>
                                <w:tcPr>
                                  <w:tcW w:w="6755" w:type="dxa"/>
                                </w:tcPr>
                                <w:p w14:paraId="5DA60650" w14:textId="77777777" w:rsidR="002C6574" w:rsidRDefault="00000000">
                                  <w:pPr>
                                    <w:pStyle w:val="TableParagraph"/>
                                    <w:tabs>
                                      <w:tab w:val="left" w:pos="5860"/>
                                    </w:tabs>
                                    <w:spacing w:line="232" w:lineRule="auto"/>
                                    <w:ind w:left="112"/>
                                    <w:jc w:val="left"/>
                                    <w:rPr>
                                      <w:rFonts w:ascii="Arial MT" w:hAnsi="Arial MT"/>
                                      <w:position w:val="-7"/>
                                      <w:sz w:val="14"/>
                                    </w:rPr>
                                  </w:pPr>
                                  <w:r>
                                    <w:rPr>
                                      <w:rFonts w:ascii="Arial MT" w:hAnsi="Arial MT"/>
                                      <w:color w:val="001F60"/>
                                      <w:position w:val="-7"/>
                                      <w:sz w:val="14"/>
                                    </w:rPr>
                                    <w:t>169X</w:t>
                                  </w:r>
                                  <w:r>
                                    <w:rPr>
                                      <w:rFonts w:ascii="Arial MT" w:hAnsi="Arial MT"/>
                                      <w:color w:val="001F60"/>
                                      <w:spacing w:val="47"/>
                                      <w:position w:val="-7"/>
                                      <w:sz w:val="14"/>
                                    </w:rPr>
                                    <w:t xml:space="preserve">  </w:t>
                                  </w:r>
                                  <w:r>
                                    <w:rPr>
                                      <w:rFonts w:ascii="Arial MT" w:hAnsi="Arial MT"/>
                                      <w:color w:val="001F60"/>
                                      <w:sz w:val="14"/>
                                    </w:rPr>
                                    <w:t>Implantação</w:t>
                                  </w:r>
                                  <w:r>
                                    <w:rPr>
                                      <w:rFonts w:ascii="Arial MT" w:hAnsi="Arial MT"/>
                                      <w:color w:val="001F60"/>
                                      <w:spacing w:val="-6"/>
                                      <w:sz w:val="14"/>
                                    </w:rPr>
                                    <w:t xml:space="preserve"> </w:t>
                                  </w:r>
                                  <w:r>
                                    <w:rPr>
                                      <w:rFonts w:ascii="Arial MT" w:hAnsi="Arial MT"/>
                                      <w:color w:val="001F60"/>
                                      <w:sz w:val="14"/>
                                    </w:rPr>
                                    <w:t>de</w:t>
                                  </w:r>
                                  <w:r>
                                    <w:rPr>
                                      <w:rFonts w:ascii="Arial MT" w:hAnsi="Arial MT"/>
                                      <w:color w:val="001F60"/>
                                      <w:spacing w:val="-4"/>
                                      <w:sz w:val="14"/>
                                    </w:rPr>
                                    <w:t xml:space="preserve"> </w:t>
                                  </w:r>
                                  <w:r>
                                    <w:rPr>
                                      <w:rFonts w:ascii="Arial MT" w:hAnsi="Arial MT"/>
                                      <w:color w:val="001F60"/>
                                      <w:sz w:val="14"/>
                                    </w:rPr>
                                    <w:t>Infraestrutura</w:t>
                                  </w:r>
                                  <w:r>
                                    <w:rPr>
                                      <w:rFonts w:ascii="Arial MT" w:hAnsi="Arial MT"/>
                                      <w:color w:val="001F60"/>
                                      <w:spacing w:val="-3"/>
                                      <w:sz w:val="14"/>
                                    </w:rPr>
                                    <w:t xml:space="preserve"> </w:t>
                                  </w:r>
                                  <w:r>
                                    <w:rPr>
                                      <w:rFonts w:ascii="Arial MT" w:hAnsi="Arial MT"/>
                                      <w:color w:val="001F60"/>
                                      <w:sz w:val="14"/>
                                    </w:rPr>
                                    <w:t>da</w:t>
                                  </w:r>
                                  <w:r>
                                    <w:rPr>
                                      <w:rFonts w:ascii="Arial MT" w:hAnsi="Arial MT"/>
                                      <w:color w:val="001F60"/>
                                      <w:spacing w:val="-2"/>
                                      <w:sz w:val="14"/>
                                    </w:rPr>
                                    <w:t xml:space="preserve"> </w:t>
                                  </w:r>
                                  <w:r>
                                    <w:rPr>
                                      <w:rFonts w:ascii="Arial MT" w:hAnsi="Arial MT"/>
                                      <w:color w:val="001F60"/>
                                      <w:sz w:val="14"/>
                                    </w:rPr>
                                    <w:t>rede</w:t>
                                  </w:r>
                                  <w:r>
                                    <w:rPr>
                                      <w:rFonts w:ascii="Arial MT" w:hAnsi="Arial MT"/>
                                      <w:color w:val="001F60"/>
                                      <w:spacing w:val="-3"/>
                                      <w:sz w:val="14"/>
                                    </w:rPr>
                                    <w:t xml:space="preserve"> </w:t>
                                  </w:r>
                                  <w:r>
                                    <w:rPr>
                                      <w:rFonts w:ascii="Arial MT" w:hAnsi="Arial MT"/>
                                      <w:color w:val="001F60"/>
                                      <w:sz w:val="14"/>
                                    </w:rPr>
                                    <w:t>de</w:t>
                                  </w:r>
                                  <w:r>
                                    <w:rPr>
                                      <w:rFonts w:ascii="Arial MT" w:hAnsi="Arial MT"/>
                                      <w:color w:val="001F60"/>
                                      <w:spacing w:val="-4"/>
                                      <w:sz w:val="14"/>
                                    </w:rPr>
                                    <w:t xml:space="preserve"> </w:t>
                                  </w:r>
                                  <w:r>
                                    <w:rPr>
                                      <w:rFonts w:ascii="Arial MT" w:hAnsi="Arial MT"/>
                                      <w:color w:val="001F60"/>
                                      <w:sz w:val="14"/>
                                    </w:rPr>
                                    <w:t>Comunicação</w:t>
                                  </w:r>
                                  <w:r>
                                    <w:rPr>
                                      <w:rFonts w:ascii="Arial MT" w:hAnsi="Arial MT"/>
                                      <w:color w:val="001F60"/>
                                      <w:spacing w:val="-5"/>
                                      <w:sz w:val="14"/>
                                    </w:rPr>
                                    <w:t xml:space="preserve"> </w:t>
                                  </w:r>
                                  <w:r>
                                    <w:rPr>
                                      <w:rFonts w:ascii="Arial MT" w:hAnsi="Arial MT"/>
                                      <w:color w:val="001F60"/>
                                      <w:sz w:val="14"/>
                                    </w:rPr>
                                    <w:t>de</w:t>
                                  </w:r>
                                  <w:r>
                                    <w:rPr>
                                      <w:rFonts w:ascii="Arial MT" w:hAnsi="Arial MT"/>
                                      <w:color w:val="001F60"/>
                                      <w:spacing w:val="-4"/>
                                      <w:sz w:val="14"/>
                                    </w:rPr>
                                    <w:t xml:space="preserve"> Dados</w:t>
                                  </w:r>
                                  <w:r>
                                    <w:rPr>
                                      <w:rFonts w:ascii="Arial MT" w:hAnsi="Arial MT"/>
                                      <w:color w:val="001F60"/>
                                      <w:sz w:val="14"/>
                                    </w:rPr>
                                    <w:tab/>
                                  </w:r>
                                  <w:r>
                                    <w:rPr>
                                      <w:rFonts w:ascii="Arial MT" w:hAnsi="Arial MT"/>
                                      <w:color w:val="001F60"/>
                                      <w:spacing w:val="-2"/>
                                      <w:position w:val="-7"/>
                                      <w:sz w:val="14"/>
                                    </w:rPr>
                                    <w:t>48,11</w:t>
                                  </w:r>
                                </w:p>
                              </w:tc>
                              <w:tc>
                                <w:tcPr>
                                  <w:tcW w:w="1335" w:type="dxa"/>
                                </w:tcPr>
                                <w:p w14:paraId="454D2665" w14:textId="77777777" w:rsidR="002C6574" w:rsidRDefault="00000000">
                                  <w:pPr>
                                    <w:pStyle w:val="TableParagraph"/>
                                    <w:spacing w:before="77"/>
                                    <w:ind w:right="438"/>
                                    <w:rPr>
                                      <w:rFonts w:ascii="Arial MT"/>
                                      <w:sz w:val="14"/>
                                    </w:rPr>
                                  </w:pPr>
                                  <w:r>
                                    <w:rPr>
                                      <w:rFonts w:ascii="Arial MT"/>
                                      <w:color w:val="001F60"/>
                                      <w:spacing w:val="-2"/>
                                      <w:sz w:val="14"/>
                                    </w:rPr>
                                    <w:t>18,52</w:t>
                                  </w:r>
                                </w:p>
                              </w:tc>
                              <w:tc>
                                <w:tcPr>
                                  <w:tcW w:w="789" w:type="dxa"/>
                                </w:tcPr>
                                <w:p w14:paraId="3BC6C9C8" w14:textId="77777777" w:rsidR="002C6574" w:rsidRDefault="00000000">
                                  <w:pPr>
                                    <w:pStyle w:val="TableParagraph"/>
                                    <w:spacing w:before="77"/>
                                    <w:ind w:right="70"/>
                                    <w:rPr>
                                      <w:rFonts w:ascii="Arial MT"/>
                                      <w:sz w:val="14"/>
                                    </w:rPr>
                                  </w:pPr>
                                  <w:r>
                                    <w:rPr>
                                      <w:rFonts w:ascii="Arial MT"/>
                                      <w:color w:val="001F60"/>
                                      <w:spacing w:val="-5"/>
                                      <w:sz w:val="14"/>
                                    </w:rPr>
                                    <w:t>38%</w:t>
                                  </w:r>
                                </w:p>
                              </w:tc>
                            </w:tr>
                            <w:tr w:rsidR="002C6574" w14:paraId="0D9877AB" w14:textId="77777777">
                              <w:trPr>
                                <w:trHeight w:val="288"/>
                              </w:trPr>
                              <w:tc>
                                <w:tcPr>
                                  <w:tcW w:w="6755" w:type="dxa"/>
                                  <w:tcBorders>
                                    <w:bottom w:val="single" w:sz="4" w:space="0" w:color="001F60"/>
                                  </w:tcBorders>
                                </w:tcPr>
                                <w:p w14:paraId="7D27D6BF" w14:textId="77777777" w:rsidR="002C6574" w:rsidRDefault="00000000">
                                  <w:pPr>
                                    <w:pStyle w:val="TableParagraph"/>
                                    <w:tabs>
                                      <w:tab w:val="left" w:pos="5937"/>
                                    </w:tabs>
                                    <w:spacing w:before="68"/>
                                    <w:ind w:left="93"/>
                                    <w:jc w:val="left"/>
                                    <w:rPr>
                                      <w:rFonts w:ascii="Arial MT" w:hAnsi="Arial MT"/>
                                      <w:sz w:val="14"/>
                                    </w:rPr>
                                  </w:pPr>
                                  <w:r>
                                    <w:rPr>
                                      <w:rFonts w:ascii="Arial MT" w:hAnsi="Arial MT"/>
                                      <w:color w:val="001F60"/>
                                      <w:sz w:val="14"/>
                                    </w:rPr>
                                    <w:t>169W</w:t>
                                  </w:r>
                                  <w:r>
                                    <w:rPr>
                                      <w:rFonts w:ascii="Arial MT" w:hAnsi="Arial MT"/>
                                      <w:color w:val="001F60"/>
                                      <w:spacing w:val="37"/>
                                      <w:sz w:val="14"/>
                                    </w:rPr>
                                    <w:t xml:space="preserve">  </w:t>
                                  </w:r>
                                  <w:r>
                                    <w:rPr>
                                      <w:rFonts w:ascii="Arial MT" w:hAnsi="Arial MT"/>
                                      <w:color w:val="001F60"/>
                                      <w:sz w:val="14"/>
                                    </w:rPr>
                                    <w:t>Benfeitorias em</w:t>
                                  </w:r>
                                  <w:r>
                                    <w:rPr>
                                      <w:rFonts w:ascii="Arial MT" w:hAnsi="Arial MT"/>
                                      <w:color w:val="001F60"/>
                                      <w:spacing w:val="-2"/>
                                      <w:sz w:val="14"/>
                                    </w:rPr>
                                    <w:t xml:space="preserve"> </w:t>
                                  </w:r>
                                  <w:r>
                                    <w:rPr>
                                      <w:rFonts w:ascii="Arial MT" w:hAnsi="Arial MT"/>
                                      <w:color w:val="001F60"/>
                                      <w:sz w:val="14"/>
                                    </w:rPr>
                                    <w:t>Bens</w:t>
                                  </w:r>
                                  <w:r>
                                    <w:rPr>
                                      <w:rFonts w:ascii="Arial MT" w:hAnsi="Arial MT"/>
                                      <w:color w:val="001F60"/>
                                      <w:spacing w:val="-2"/>
                                      <w:sz w:val="14"/>
                                    </w:rPr>
                                    <w:t xml:space="preserve"> </w:t>
                                  </w:r>
                                  <w:r>
                                    <w:rPr>
                                      <w:rFonts w:ascii="Arial MT" w:hAnsi="Arial MT"/>
                                      <w:color w:val="001F60"/>
                                      <w:sz w:val="14"/>
                                    </w:rPr>
                                    <w:t>da</w:t>
                                  </w:r>
                                  <w:r>
                                    <w:rPr>
                                      <w:rFonts w:ascii="Arial MT" w:hAnsi="Arial MT"/>
                                      <w:color w:val="001F60"/>
                                      <w:spacing w:val="-4"/>
                                      <w:sz w:val="14"/>
                                    </w:rPr>
                                    <w:t xml:space="preserve"> </w:t>
                                  </w:r>
                                  <w:r>
                                    <w:rPr>
                                      <w:rFonts w:ascii="Arial MT" w:hAnsi="Arial MT"/>
                                      <w:color w:val="001F60"/>
                                      <w:sz w:val="14"/>
                                    </w:rPr>
                                    <w:t>União</w:t>
                                  </w:r>
                                  <w:r>
                                    <w:rPr>
                                      <w:rFonts w:ascii="Arial MT" w:hAnsi="Arial MT"/>
                                      <w:color w:val="001F60"/>
                                      <w:spacing w:val="-3"/>
                                      <w:sz w:val="14"/>
                                    </w:rPr>
                                    <w:t xml:space="preserve"> </w:t>
                                  </w:r>
                                  <w:r>
                                    <w:rPr>
                                      <w:rFonts w:ascii="Arial MT" w:hAnsi="Arial MT"/>
                                      <w:color w:val="001F60"/>
                                      <w:sz w:val="14"/>
                                    </w:rPr>
                                    <w:t>por</w:t>
                                  </w:r>
                                  <w:r>
                                    <w:rPr>
                                      <w:rFonts w:ascii="Arial MT" w:hAnsi="Arial MT"/>
                                      <w:color w:val="001F60"/>
                                      <w:spacing w:val="-5"/>
                                      <w:sz w:val="14"/>
                                    </w:rPr>
                                    <w:t xml:space="preserve"> </w:t>
                                  </w:r>
                                  <w:r>
                                    <w:rPr>
                                      <w:rFonts w:ascii="Arial MT" w:hAnsi="Arial MT"/>
                                      <w:color w:val="001F60"/>
                                      <w:sz w:val="14"/>
                                    </w:rPr>
                                    <w:t>Empresas</w:t>
                                  </w:r>
                                  <w:r>
                                    <w:rPr>
                                      <w:rFonts w:ascii="Arial MT" w:hAnsi="Arial MT"/>
                                      <w:color w:val="001F60"/>
                                      <w:spacing w:val="-4"/>
                                      <w:sz w:val="14"/>
                                    </w:rPr>
                                    <w:t xml:space="preserve"> </w:t>
                                  </w:r>
                                  <w:r>
                                    <w:rPr>
                                      <w:rFonts w:ascii="Arial MT" w:hAnsi="Arial MT"/>
                                      <w:color w:val="001F60"/>
                                      <w:spacing w:val="-2"/>
                                      <w:sz w:val="14"/>
                                    </w:rPr>
                                    <w:t>Estatais</w:t>
                                  </w:r>
                                  <w:r>
                                    <w:rPr>
                                      <w:rFonts w:ascii="Arial MT" w:hAnsi="Arial MT"/>
                                      <w:color w:val="001F60"/>
                                      <w:sz w:val="14"/>
                                    </w:rPr>
                                    <w:tab/>
                                  </w:r>
                                  <w:r>
                                    <w:rPr>
                                      <w:rFonts w:ascii="Arial MT" w:hAnsi="Arial MT"/>
                                      <w:color w:val="001F60"/>
                                      <w:spacing w:val="-4"/>
                                      <w:sz w:val="14"/>
                                    </w:rPr>
                                    <w:t>0,60</w:t>
                                  </w:r>
                                </w:p>
                              </w:tc>
                              <w:tc>
                                <w:tcPr>
                                  <w:tcW w:w="1335" w:type="dxa"/>
                                  <w:tcBorders>
                                    <w:bottom w:val="single" w:sz="4" w:space="0" w:color="001F60"/>
                                  </w:tcBorders>
                                </w:tcPr>
                                <w:p w14:paraId="7C664E3A" w14:textId="77777777" w:rsidR="002C6574" w:rsidRDefault="00000000">
                                  <w:pPr>
                                    <w:pStyle w:val="TableParagraph"/>
                                    <w:spacing w:before="68"/>
                                    <w:ind w:right="436"/>
                                    <w:rPr>
                                      <w:rFonts w:ascii="Arial MT"/>
                                      <w:sz w:val="14"/>
                                    </w:rPr>
                                  </w:pPr>
                                  <w:r>
                                    <w:rPr>
                                      <w:rFonts w:ascii="Arial MT"/>
                                      <w:color w:val="001F60"/>
                                      <w:spacing w:val="-10"/>
                                      <w:sz w:val="14"/>
                                    </w:rPr>
                                    <w:t>-</w:t>
                                  </w:r>
                                </w:p>
                              </w:tc>
                              <w:tc>
                                <w:tcPr>
                                  <w:tcW w:w="789" w:type="dxa"/>
                                  <w:tcBorders>
                                    <w:bottom w:val="single" w:sz="4" w:space="0" w:color="001F60"/>
                                  </w:tcBorders>
                                </w:tcPr>
                                <w:p w14:paraId="7BD3F630" w14:textId="77777777" w:rsidR="002C6574" w:rsidRDefault="00000000">
                                  <w:pPr>
                                    <w:pStyle w:val="TableParagraph"/>
                                    <w:spacing w:before="68"/>
                                    <w:ind w:right="67"/>
                                    <w:rPr>
                                      <w:rFonts w:ascii="Arial MT"/>
                                      <w:sz w:val="14"/>
                                    </w:rPr>
                                  </w:pPr>
                                  <w:r>
                                    <w:rPr>
                                      <w:rFonts w:ascii="Arial MT"/>
                                      <w:color w:val="001F60"/>
                                      <w:spacing w:val="-5"/>
                                      <w:sz w:val="14"/>
                                    </w:rPr>
                                    <w:t>0%</w:t>
                                  </w:r>
                                </w:p>
                              </w:tc>
                            </w:tr>
                            <w:tr w:rsidR="002C6574" w14:paraId="7C6BA9B6" w14:textId="77777777">
                              <w:trPr>
                                <w:trHeight w:val="282"/>
                              </w:trPr>
                              <w:tc>
                                <w:tcPr>
                                  <w:tcW w:w="6755" w:type="dxa"/>
                                  <w:tcBorders>
                                    <w:top w:val="single" w:sz="4" w:space="0" w:color="001F60"/>
                                    <w:bottom w:val="single" w:sz="4" w:space="0" w:color="001F60"/>
                                  </w:tcBorders>
                                </w:tcPr>
                                <w:p w14:paraId="2D3381B6" w14:textId="77777777" w:rsidR="002C6574" w:rsidRDefault="00000000">
                                  <w:pPr>
                                    <w:pStyle w:val="TableParagraph"/>
                                    <w:tabs>
                                      <w:tab w:val="left" w:pos="5860"/>
                                    </w:tabs>
                                    <w:spacing w:before="63"/>
                                    <w:ind w:left="69"/>
                                    <w:jc w:val="left"/>
                                    <w:rPr>
                                      <w:rFonts w:ascii="Arial"/>
                                      <w:b/>
                                      <w:sz w:val="14"/>
                                    </w:rPr>
                                  </w:pPr>
                                  <w:r>
                                    <w:rPr>
                                      <w:rFonts w:ascii="Arial"/>
                                      <w:b/>
                                      <w:color w:val="001F60"/>
                                      <w:spacing w:val="-2"/>
                                      <w:sz w:val="14"/>
                                    </w:rPr>
                                    <w:t>TOTAL</w:t>
                                  </w:r>
                                  <w:r>
                                    <w:rPr>
                                      <w:rFonts w:ascii="Arial"/>
                                      <w:b/>
                                      <w:color w:val="001F60"/>
                                      <w:sz w:val="14"/>
                                    </w:rPr>
                                    <w:tab/>
                                  </w:r>
                                  <w:r>
                                    <w:rPr>
                                      <w:rFonts w:ascii="Arial"/>
                                      <w:b/>
                                      <w:color w:val="001F60"/>
                                      <w:spacing w:val="-2"/>
                                      <w:sz w:val="14"/>
                                    </w:rPr>
                                    <w:t>53,64</w:t>
                                  </w:r>
                                </w:p>
                              </w:tc>
                              <w:tc>
                                <w:tcPr>
                                  <w:tcW w:w="1335" w:type="dxa"/>
                                  <w:tcBorders>
                                    <w:top w:val="single" w:sz="4" w:space="0" w:color="001F60"/>
                                    <w:bottom w:val="single" w:sz="4" w:space="0" w:color="001F60"/>
                                  </w:tcBorders>
                                </w:tcPr>
                                <w:p w14:paraId="2C03EB80" w14:textId="77777777" w:rsidR="002C6574" w:rsidRDefault="00000000">
                                  <w:pPr>
                                    <w:pStyle w:val="TableParagraph"/>
                                    <w:spacing w:before="63"/>
                                    <w:ind w:right="438"/>
                                    <w:rPr>
                                      <w:rFonts w:ascii="Arial"/>
                                      <w:b/>
                                      <w:sz w:val="14"/>
                                    </w:rPr>
                                  </w:pPr>
                                  <w:r>
                                    <w:rPr>
                                      <w:rFonts w:ascii="Arial"/>
                                      <w:b/>
                                      <w:color w:val="001F60"/>
                                      <w:spacing w:val="-2"/>
                                      <w:sz w:val="14"/>
                                    </w:rPr>
                                    <w:t>22,92</w:t>
                                  </w:r>
                                </w:p>
                              </w:tc>
                              <w:tc>
                                <w:tcPr>
                                  <w:tcW w:w="789" w:type="dxa"/>
                                  <w:tcBorders>
                                    <w:top w:val="single" w:sz="4" w:space="0" w:color="001F60"/>
                                    <w:bottom w:val="single" w:sz="4" w:space="0" w:color="001F60"/>
                                  </w:tcBorders>
                                </w:tcPr>
                                <w:p w14:paraId="2D6E52CF" w14:textId="77777777" w:rsidR="002C6574" w:rsidRDefault="00000000">
                                  <w:pPr>
                                    <w:pStyle w:val="TableParagraph"/>
                                    <w:spacing w:before="63"/>
                                    <w:ind w:right="67"/>
                                    <w:rPr>
                                      <w:rFonts w:ascii="Arial"/>
                                      <w:b/>
                                      <w:sz w:val="14"/>
                                    </w:rPr>
                                  </w:pPr>
                                  <w:r>
                                    <w:rPr>
                                      <w:rFonts w:ascii="Arial"/>
                                      <w:b/>
                                      <w:color w:val="001F60"/>
                                      <w:spacing w:val="-5"/>
                                      <w:sz w:val="14"/>
                                    </w:rPr>
                                    <w:t>43%</w:t>
                                  </w:r>
                                </w:p>
                              </w:tc>
                            </w:tr>
                          </w:tbl>
                          <w:p w14:paraId="495A9524" w14:textId="77777777" w:rsidR="002C6574" w:rsidRDefault="002C6574">
                            <w:pPr>
                              <w:pStyle w:val="Corpodetexto"/>
                            </w:pPr>
                          </w:p>
                        </w:txbxContent>
                      </wps:txbx>
                      <wps:bodyPr wrap="square" lIns="0" tIns="0" rIns="0" bIns="0" rtlCol="0">
                        <a:noAutofit/>
                      </wps:bodyPr>
                    </wps:wsp>
                  </a:graphicData>
                </a:graphic>
              </wp:anchor>
            </w:drawing>
          </mc:Choice>
          <mc:Fallback>
            <w:pict>
              <v:shape w14:anchorId="21D06213" id="Textbox 57" o:spid="_x0000_s1028" type="#_x0000_t202" style="position:absolute;left:0;text-align:left;margin-left:82.1pt;margin-top:-8.25pt;width:450pt;height:93.9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6755"/>
                        <w:gridCol w:w="1335"/>
                        <w:gridCol w:w="789"/>
                      </w:tblGrid>
                      <w:tr w:rsidR="002C6574" w14:paraId="092ADB18" w14:textId="77777777">
                        <w:trPr>
                          <w:trHeight w:val="323"/>
                        </w:trPr>
                        <w:tc>
                          <w:tcPr>
                            <w:tcW w:w="6755" w:type="dxa"/>
                            <w:tcBorders>
                              <w:top w:val="single" w:sz="4" w:space="0" w:color="001F60"/>
                            </w:tcBorders>
                          </w:tcPr>
                          <w:p w14:paraId="6B9162D8" w14:textId="77777777" w:rsidR="002C6574" w:rsidRDefault="00000000">
                            <w:pPr>
                              <w:pStyle w:val="TableParagraph"/>
                              <w:tabs>
                                <w:tab w:val="left" w:pos="5937"/>
                              </w:tabs>
                              <w:ind w:left="120"/>
                              <w:jc w:val="left"/>
                              <w:rPr>
                                <w:rFonts w:ascii="Arial MT" w:hAnsi="Arial MT"/>
                                <w:position w:val="-7"/>
                                <w:sz w:val="14"/>
                              </w:rPr>
                            </w:pPr>
                            <w:r>
                              <w:rPr>
                                <w:rFonts w:ascii="Arial MT" w:hAnsi="Arial MT"/>
                                <w:color w:val="001F60"/>
                                <w:position w:val="-7"/>
                                <w:sz w:val="14"/>
                              </w:rPr>
                              <w:t>4102</w:t>
                            </w:r>
                            <w:r>
                              <w:rPr>
                                <w:rFonts w:ascii="Arial MT" w:hAnsi="Arial MT"/>
                                <w:color w:val="001F60"/>
                                <w:spacing w:val="49"/>
                                <w:position w:val="-7"/>
                                <w:sz w:val="14"/>
                              </w:rPr>
                              <w:t xml:space="preserve">  </w:t>
                            </w:r>
                            <w:r>
                              <w:rPr>
                                <w:rFonts w:ascii="Arial MT" w:hAnsi="Arial MT"/>
                                <w:color w:val="001F60"/>
                                <w:sz w:val="14"/>
                              </w:rPr>
                              <w:t>Manutenção</w:t>
                            </w:r>
                            <w:r>
                              <w:rPr>
                                <w:rFonts w:ascii="Arial MT" w:hAnsi="Arial MT"/>
                                <w:color w:val="001F60"/>
                                <w:spacing w:val="-1"/>
                                <w:sz w:val="14"/>
                              </w:rPr>
                              <w:t xml:space="preserve"> </w:t>
                            </w:r>
                            <w:r>
                              <w:rPr>
                                <w:rFonts w:ascii="Arial MT" w:hAnsi="Arial MT"/>
                                <w:color w:val="001F60"/>
                                <w:sz w:val="14"/>
                              </w:rPr>
                              <w:t>e</w:t>
                            </w:r>
                            <w:r>
                              <w:rPr>
                                <w:rFonts w:ascii="Arial MT" w:hAnsi="Arial MT"/>
                                <w:color w:val="001F60"/>
                                <w:spacing w:val="-6"/>
                                <w:sz w:val="14"/>
                              </w:rPr>
                              <w:t xml:space="preserve"> </w:t>
                            </w:r>
                            <w:r>
                              <w:rPr>
                                <w:rFonts w:ascii="Arial MT" w:hAnsi="Arial MT"/>
                                <w:color w:val="001F60"/>
                                <w:sz w:val="14"/>
                              </w:rPr>
                              <w:t>Adequação</w:t>
                            </w:r>
                            <w:r>
                              <w:rPr>
                                <w:rFonts w:ascii="Arial MT" w:hAnsi="Arial MT"/>
                                <w:color w:val="001F60"/>
                                <w:spacing w:val="-3"/>
                                <w:sz w:val="14"/>
                              </w:rPr>
                              <w:t xml:space="preserve"> </w:t>
                            </w:r>
                            <w:r>
                              <w:rPr>
                                <w:rFonts w:ascii="Arial MT" w:hAnsi="Arial MT"/>
                                <w:color w:val="001F60"/>
                                <w:sz w:val="14"/>
                              </w:rPr>
                              <w:t>de</w:t>
                            </w:r>
                            <w:r>
                              <w:rPr>
                                <w:rFonts w:ascii="Arial MT" w:hAnsi="Arial MT"/>
                                <w:color w:val="001F60"/>
                                <w:spacing w:val="-5"/>
                                <w:sz w:val="14"/>
                              </w:rPr>
                              <w:t xml:space="preserve"> </w:t>
                            </w:r>
                            <w:r>
                              <w:rPr>
                                <w:rFonts w:ascii="Arial MT" w:hAnsi="Arial MT"/>
                                <w:color w:val="001F60"/>
                                <w:sz w:val="14"/>
                              </w:rPr>
                              <w:t>Bens</w:t>
                            </w:r>
                            <w:r>
                              <w:rPr>
                                <w:rFonts w:ascii="Arial MT" w:hAnsi="Arial MT"/>
                                <w:color w:val="001F60"/>
                                <w:spacing w:val="-1"/>
                                <w:sz w:val="14"/>
                              </w:rPr>
                              <w:t xml:space="preserve"> </w:t>
                            </w:r>
                            <w:r>
                              <w:rPr>
                                <w:rFonts w:ascii="Arial MT" w:hAnsi="Arial MT"/>
                                <w:color w:val="001F60"/>
                                <w:sz w:val="14"/>
                              </w:rPr>
                              <w:t>Móveis,</w:t>
                            </w:r>
                            <w:r>
                              <w:rPr>
                                <w:rFonts w:ascii="Arial MT" w:hAnsi="Arial MT"/>
                                <w:color w:val="001F60"/>
                                <w:spacing w:val="-5"/>
                                <w:sz w:val="14"/>
                              </w:rPr>
                              <w:t xml:space="preserve"> </w:t>
                            </w:r>
                            <w:r>
                              <w:rPr>
                                <w:rFonts w:ascii="Arial MT" w:hAnsi="Arial MT"/>
                                <w:color w:val="001F60"/>
                                <w:sz w:val="14"/>
                              </w:rPr>
                              <w:t>Veículos,</w:t>
                            </w:r>
                            <w:r>
                              <w:rPr>
                                <w:rFonts w:ascii="Arial MT" w:hAnsi="Arial MT"/>
                                <w:color w:val="001F60"/>
                                <w:spacing w:val="-1"/>
                                <w:sz w:val="14"/>
                              </w:rPr>
                              <w:t xml:space="preserve"> </w:t>
                            </w:r>
                            <w:r>
                              <w:rPr>
                                <w:rFonts w:ascii="Arial MT" w:hAnsi="Arial MT"/>
                                <w:color w:val="001F60"/>
                                <w:sz w:val="14"/>
                              </w:rPr>
                              <w:t>Máquinas</w:t>
                            </w:r>
                            <w:r>
                              <w:rPr>
                                <w:rFonts w:ascii="Arial MT" w:hAnsi="Arial MT"/>
                                <w:color w:val="001F60"/>
                                <w:spacing w:val="-1"/>
                                <w:sz w:val="14"/>
                              </w:rPr>
                              <w:t xml:space="preserve"> </w:t>
                            </w:r>
                            <w:r>
                              <w:rPr>
                                <w:rFonts w:ascii="Arial MT" w:hAnsi="Arial MT"/>
                                <w:color w:val="001F60"/>
                                <w:spacing w:val="-10"/>
                                <w:sz w:val="14"/>
                              </w:rPr>
                              <w:t>e</w:t>
                            </w:r>
                            <w:r>
                              <w:rPr>
                                <w:rFonts w:ascii="Arial MT" w:hAnsi="Arial MT"/>
                                <w:color w:val="001F60"/>
                                <w:sz w:val="14"/>
                              </w:rPr>
                              <w:tab/>
                            </w:r>
                            <w:r>
                              <w:rPr>
                                <w:rFonts w:ascii="Arial MT" w:hAnsi="Arial MT"/>
                                <w:color w:val="001F60"/>
                                <w:spacing w:val="-4"/>
                                <w:position w:val="-7"/>
                                <w:sz w:val="14"/>
                              </w:rPr>
                              <w:t>0,21</w:t>
                            </w:r>
                          </w:p>
                        </w:tc>
                        <w:tc>
                          <w:tcPr>
                            <w:tcW w:w="1335" w:type="dxa"/>
                            <w:tcBorders>
                              <w:top w:val="single" w:sz="4" w:space="0" w:color="001F60"/>
                            </w:tcBorders>
                          </w:tcPr>
                          <w:p w14:paraId="4389DB00" w14:textId="77777777" w:rsidR="002C6574" w:rsidRDefault="00000000">
                            <w:pPr>
                              <w:pStyle w:val="TableParagraph"/>
                              <w:spacing w:before="79"/>
                              <w:ind w:right="436"/>
                              <w:rPr>
                                <w:rFonts w:ascii="Arial MT"/>
                                <w:sz w:val="14"/>
                              </w:rPr>
                            </w:pPr>
                            <w:r>
                              <w:rPr>
                                <w:rFonts w:ascii="Arial MT"/>
                                <w:color w:val="001F60"/>
                                <w:spacing w:val="-10"/>
                                <w:sz w:val="14"/>
                              </w:rPr>
                              <w:t>-</w:t>
                            </w:r>
                          </w:p>
                        </w:tc>
                        <w:tc>
                          <w:tcPr>
                            <w:tcW w:w="789" w:type="dxa"/>
                            <w:tcBorders>
                              <w:top w:val="single" w:sz="4" w:space="0" w:color="001F60"/>
                            </w:tcBorders>
                          </w:tcPr>
                          <w:p w14:paraId="1AA36372" w14:textId="77777777" w:rsidR="002C6574" w:rsidRDefault="00000000">
                            <w:pPr>
                              <w:pStyle w:val="TableParagraph"/>
                              <w:spacing w:before="79"/>
                              <w:ind w:right="67"/>
                              <w:rPr>
                                <w:rFonts w:ascii="Arial MT"/>
                                <w:sz w:val="14"/>
                              </w:rPr>
                            </w:pPr>
                            <w:r>
                              <w:rPr>
                                <w:rFonts w:ascii="Arial MT"/>
                                <w:color w:val="001F60"/>
                                <w:spacing w:val="-5"/>
                                <w:sz w:val="14"/>
                              </w:rPr>
                              <w:t>0%</w:t>
                            </w:r>
                          </w:p>
                        </w:tc>
                      </w:tr>
                      <w:tr w:rsidR="002C6574" w14:paraId="040116CA" w14:textId="77777777">
                        <w:trPr>
                          <w:trHeight w:val="322"/>
                        </w:trPr>
                        <w:tc>
                          <w:tcPr>
                            <w:tcW w:w="6755" w:type="dxa"/>
                          </w:tcPr>
                          <w:p w14:paraId="4C23D08E" w14:textId="77777777" w:rsidR="002C6574" w:rsidRDefault="00000000">
                            <w:pPr>
                              <w:pStyle w:val="TableParagraph"/>
                              <w:tabs>
                                <w:tab w:val="left" w:pos="5937"/>
                              </w:tabs>
                              <w:spacing w:line="235" w:lineRule="auto"/>
                              <w:ind w:left="120"/>
                              <w:jc w:val="left"/>
                              <w:rPr>
                                <w:rFonts w:ascii="Arial MT" w:hAnsi="Arial MT"/>
                                <w:position w:val="-7"/>
                                <w:sz w:val="14"/>
                              </w:rPr>
                            </w:pPr>
                            <w:r>
                              <w:rPr>
                                <w:rFonts w:ascii="Arial MT" w:hAnsi="Arial MT"/>
                                <w:color w:val="001F60"/>
                                <w:position w:val="-7"/>
                                <w:sz w:val="14"/>
                              </w:rPr>
                              <w:t>4103</w:t>
                            </w:r>
                            <w:r>
                              <w:rPr>
                                <w:rFonts w:ascii="Arial MT" w:hAnsi="Arial MT"/>
                                <w:color w:val="001F60"/>
                                <w:spacing w:val="49"/>
                                <w:position w:val="-7"/>
                                <w:sz w:val="14"/>
                              </w:rPr>
                              <w:t xml:space="preserve">  </w:t>
                            </w:r>
                            <w:r>
                              <w:rPr>
                                <w:rFonts w:ascii="Arial MT" w:hAnsi="Arial MT"/>
                                <w:color w:val="001F60"/>
                                <w:sz w:val="14"/>
                              </w:rPr>
                              <w:t>Manutenção</w:t>
                            </w:r>
                            <w:r>
                              <w:rPr>
                                <w:rFonts w:ascii="Arial MT" w:hAnsi="Arial MT"/>
                                <w:color w:val="001F60"/>
                                <w:spacing w:val="-1"/>
                                <w:sz w:val="14"/>
                              </w:rPr>
                              <w:t xml:space="preserve"> </w:t>
                            </w:r>
                            <w:r>
                              <w:rPr>
                                <w:rFonts w:ascii="Arial MT" w:hAnsi="Arial MT"/>
                                <w:color w:val="001F60"/>
                                <w:sz w:val="14"/>
                              </w:rPr>
                              <w:t>e</w:t>
                            </w:r>
                            <w:r>
                              <w:rPr>
                                <w:rFonts w:ascii="Arial MT" w:hAnsi="Arial MT"/>
                                <w:color w:val="001F60"/>
                                <w:spacing w:val="-6"/>
                                <w:sz w:val="14"/>
                              </w:rPr>
                              <w:t xml:space="preserve"> </w:t>
                            </w:r>
                            <w:r>
                              <w:rPr>
                                <w:rFonts w:ascii="Arial MT" w:hAnsi="Arial MT"/>
                                <w:color w:val="001F60"/>
                                <w:sz w:val="14"/>
                              </w:rPr>
                              <w:t>Adequação</w:t>
                            </w:r>
                            <w:r>
                              <w:rPr>
                                <w:rFonts w:ascii="Arial MT" w:hAnsi="Arial MT"/>
                                <w:color w:val="001F60"/>
                                <w:spacing w:val="-3"/>
                                <w:sz w:val="14"/>
                              </w:rPr>
                              <w:t xml:space="preserve"> </w:t>
                            </w:r>
                            <w:r>
                              <w:rPr>
                                <w:rFonts w:ascii="Arial MT" w:hAnsi="Arial MT"/>
                                <w:color w:val="001F60"/>
                                <w:sz w:val="14"/>
                              </w:rPr>
                              <w:t>de</w:t>
                            </w:r>
                            <w:r>
                              <w:rPr>
                                <w:rFonts w:ascii="Arial MT" w:hAnsi="Arial MT"/>
                                <w:color w:val="001F60"/>
                                <w:spacing w:val="-4"/>
                                <w:sz w:val="14"/>
                              </w:rPr>
                              <w:t xml:space="preserve"> </w:t>
                            </w:r>
                            <w:r>
                              <w:rPr>
                                <w:rFonts w:ascii="Arial MT" w:hAnsi="Arial MT"/>
                                <w:color w:val="001F60"/>
                                <w:sz w:val="14"/>
                              </w:rPr>
                              <w:t>Ativos</w:t>
                            </w:r>
                            <w:r>
                              <w:rPr>
                                <w:rFonts w:ascii="Arial MT" w:hAnsi="Arial MT"/>
                                <w:color w:val="001F60"/>
                                <w:spacing w:val="-2"/>
                                <w:sz w:val="14"/>
                              </w:rPr>
                              <w:t xml:space="preserve"> </w:t>
                            </w:r>
                            <w:r>
                              <w:rPr>
                                <w:rFonts w:ascii="Arial MT" w:hAnsi="Arial MT"/>
                                <w:color w:val="001F60"/>
                                <w:sz w:val="14"/>
                              </w:rPr>
                              <w:t>de</w:t>
                            </w:r>
                            <w:r>
                              <w:rPr>
                                <w:rFonts w:ascii="Arial MT" w:hAnsi="Arial MT"/>
                                <w:color w:val="001F60"/>
                                <w:spacing w:val="-3"/>
                                <w:sz w:val="14"/>
                              </w:rPr>
                              <w:t xml:space="preserve"> </w:t>
                            </w:r>
                            <w:r>
                              <w:rPr>
                                <w:rFonts w:ascii="Arial MT" w:hAnsi="Arial MT"/>
                                <w:color w:val="001F60"/>
                                <w:sz w:val="14"/>
                              </w:rPr>
                              <w:t>Informática,</w:t>
                            </w:r>
                            <w:r>
                              <w:rPr>
                                <w:rFonts w:ascii="Arial MT" w:hAnsi="Arial MT"/>
                                <w:color w:val="001F60"/>
                                <w:spacing w:val="-5"/>
                                <w:sz w:val="14"/>
                              </w:rPr>
                              <w:t xml:space="preserve"> </w:t>
                            </w:r>
                            <w:r>
                              <w:rPr>
                                <w:rFonts w:ascii="Arial MT" w:hAnsi="Arial MT"/>
                                <w:color w:val="001F60"/>
                                <w:sz w:val="14"/>
                              </w:rPr>
                              <w:t>Informação</w:t>
                            </w:r>
                            <w:r>
                              <w:rPr>
                                <w:rFonts w:ascii="Arial MT" w:hAnsi="Arial MT"/>
                                <w:color w:val="001F60"/>
                                <w:spacing w:val="-1"/>
                                <w:sz w:val="14"/>
                              </w:rPr>
                              <w:t xml:space="preserve"> </w:t>
                            </w:r>
                            <w:r>
                              <w:rPr>
                                <w:rFonts w:ascii="Arial MT" w:hAnsi="Arial MT"/>
                                <w:color w:val="001F60"/>
                                <w:spacing w:val="-10"/>
                                <w:sz w:val="14"/>
                              </w:rPr>
                              <w:t>e</w:t>
                            </w:r>
                            <w:r>
                              <w:rPr>
                                <w:rFonts w:ascii="Arial MT" w:hAnsi="Arial MT"/>
                                <w:color w:val="001F60"/>
                                <w:sz w:val="14"/>
                              </w:rPr>
                              <w:tab/>
                            </w:r>
                            <w:r>
                              <w:rPr>
                                <w:rFonts w:ascii="Arial MT" w:hAnsi="Arial MT"/>
                                <w:color w:val="001F60"/>
                                <w:spacing w:val="-4"/>
                                <w:position w:val="-7"/>
                                <w:sz w:val="14"/>
                              </w:rPr>
                              <w:t>2,42</w:t>
                            </w:r>
                          </w:p>
                        </w:tc>
                        <w:tc>
                          <w:tcPr>
                            <w:tcW w:w="1335" w:type="dxa"/>
                          </w:tcPr>
                          <w:p w14:paraId="1504B134" w14:textId="77777777" w:rsidR="002C6574" w:rsidRDefault="00000000">
                            <w:pPr>
                              <w:pStyle w:val="TableParagraph"/>
                              <w:spacing w:before="77"/>
                              <w:ind w:right="438"/>
                              <w:rPr>
                                <w:rFonts w:ascii="Arial MT"/>
                                <w:sz w:val="14"/>
                              </w:rPr>
                            </w:pPr>
                            <w:r>
                              <w:rPr>
                                <w:rFonts w:ascii="Arial MT"/>
                                <w:color w:val="001F60"/>
                                <w:spacing w:val="-4"/>
                                <w:sz w:val="14"/>
                              </w:rPr>
                              <w:t>2,37</w:t>
                            </w:r>
                          </w:p>
                        </w:tc>
                        <w:tc>
                          <w:tcPr>
                            <w:tcW w:w="789" w:type="dxa"/>
                          </w:tcPr>
                          <w:p w14:paraId="700ED4A8" w14:textId="77777777" w:rsidR="002C6574" w:rsidRDefault="00000000">
                            <w:pPr>
                              <w:pStyle w:val="TableParagraph"/>
                              <w:spacing w:before="77"/>
                              <w:ind w:right="70"/>
                              <w:rPr>
                                <w:rFonts w:ascii="Arial MT"/>
                                <w:sz w:val="14"/>
                              </w:rPr>
                            </w:pPr>
                            <w:r>
                              <w:rPr>
                                <w:rFonts w:ascii="Arial MT"/>
                                <w:color w:val="001F60"/>
                                <w:spacing w:val="-5"/>
                                <w:sz w:val="14"/>
                              </w:rPr>
                              <w:t>98%</w:t>
                            </w:r>
                          </w:p>
                        </w:tc>
                      </w:tr>
                      <w:tr w:rsidR="002C6574" w14:paraId="286C4BD6" w14:textId="77777777">
                        <w:trPr>
                          <w:trHeight w:val="322"/>
                        </w:trPr>
                        <w:tc>
                          <w:tcPr>
                            <w:tcW w:w="6755" w:type="dxa"/>
                          </w:tcPr>
                          <w:p w14:paraId="38D3EA45" w14:textId="77777777" w:rsidR="002C6574" w:rsidRDefault="00000000">
                            <w:pPr>
                              <w:pStyle w:val="TableParagraph"/>
                              <w:tabs>
                                <w:tab w:val="left" w:pos="621"/>
                                <w:tab w:val="left" w:pos="5937"/>
                              </w:tabs>
                              <w:spacing w:line="232" w:lineRule="auto"/>
                              <w:ind w:left="131"/>
                              <w:jc w:val="left"/>
                              <w:rPr>
                                <w:rFonts w:ascii="Arial MT" w:hAnsi="Arial MT"/>
                                <w:position w:val="-7"/>
                                <w:sz w:val="14"/>
                              </w:rPr>
                            </w:pPr>
                            <w:r>
                              <w:rPr>
                                <w:rFonts w:ascii="Arial MT" w:hAnsi="Arial MT"/>
                                <w:color w:val="001F60"/>
                                <w:spacing w:val="-4"/>
                                <w:position w:val="-7"/>
                                <w:sz w:val="14"/>
                              </w:rPr>
                              <w:t>21IS</w:t>
                            </w:r>
                            <w:r>
                              <w:rPr>
                                <w:rFonts w:ascii="Arial MT" w:hAnsi="Arial MT"/>
                                <w:color w:val="001F60"/>
                                <w:position w:val="-7"/>
                                <w:sz w:val="14"/>
                              </w:rPr>
                              <w:tab/>
                            </w:r>
                            <w:r>
                              <w:rPr>
                                <w:rFonts w:ascii="Arial MT" w:hAnsi="Arial MT"/>
                                <w:color w:val="001F60"/>
                                <w:sz w:val="14"/>
                              </w:rPr>
                              <w:t>Operação</w:t>
                            </w:r>
                            <w:r>
                              <w:rPr>
                                <w:rFonts w:ascii="Arial MT" w:hAnsi="Arial MT"/>
                                <w:color w:val="001F60"/>
                                <w:spacing w:val="-4"/>
                                <w:sz w:val="14"/>
                              </w:rPr>
                              <w:t xml:space="preserve"> </w:t>
                            </w:r>
                            <w:r>
                              <w:rPr>
                                <w:rFonts w:ascii="Arial MT" w:hAnsi="Arial MT"/>
                                <w:color w:val="001F60"/>
                                <w:sz w:val="14"/>
                              </w:rPr>
                              <w:t>do</w:t>
                            </w:r>
                            <w:r>
                              <w:rPr>
                                <w:rFonts w:ascii="Arial MT" w:hAnsi="Arial MT"/>
                                <w:color w:val="001F60"/>
                                <w:spacing w:val="-3"/>
                                <w:sz w:val="14"/>
                              </w:rPr>
                              <w:t xml:space="preserve"> </w:t>
                            </w:r>
                            <w:r>
                              <w:rPr>
                                <w:rFonts w:ascii="Arial MT" w:hAnsi="Arial MT"/>
                                <w:color w:val="001F60"/>
                                <w:sz w:val="14"/>
                              </w:rPr>
                              <w:t>Satélite</w:t>
                            </w:r>
                            <w:r>
                              <w:rPr>
                                <w:rFonts w:ascii="Arial MT" w:hAnsi="Arial MT"/>
                                <w:color w:val="001F60"/>
                                <w:spacing w:val="-3"/>
                                <w:sz w:val="14"/>
                              </w:rPr>
                              <w:t xml:space="preserve"> </w:t>
                            </w:r>
                            <w:r>
                              <w:rPr>
                                <w:rFonts w:ascii="Arial MT" w:hAnsi="Arial MT"/>
                                <w:color w:val="001F60"/>
                                <w:sz w:val="14"/>
                              </w:rPr>
                              <w:t>Geoestacionário</w:t>
                            </w:r>
                            <w:r>
                              <w:rPr>
                                <w:rFonts w:ascii="Arial MT" w:hAnsi="Arial MT"/>
                                <w:color w:val="001F60"/>
                                <w:spacing w:val="-4"/>
                                <w:sz w:val="14"/>
                              </w:rPr>
                              <w:t xml:space="preserve"> </w:t>
                            </w:r>
                            <w:r>
                              <w:rPr>
                                <w:rFonts w:ascii="Arial MT" w:hAnsi="Arial MT"/>
                                <w:color w:val="001F60"/>
                                <w:sz w:val="14"/>
                              </w:rPr>
                              <w:t>de</w:t>
                            </w:r>
                            <w:r>
                              <w:rPr>
                                <w:rFonts w:ascii="Arial MT" w:hAnsi="Arial MT"/>
                                <w:color w:val="001F60"/>
                                <w:spacing w:val="-6"/>
                                <w:sz w:val="14"/>
                              </w:rPr>
                              <w:t xml:space="preserve"> </w:t>
                            </w:r>
                            <w:r>
                              <w:rPr>
                                <w:rFonts w:ascii="Arial MT" w:hAnsi="Arial MT"/>
                                <w:color w:val="001F60"/>
                                <w:sz w:val="14"/>
                              </w:rPr>
                              <w:t>Defesa</w:t>
                            </w:r>
                            <w:r>
                              <w:rPr>
                                <w:rFonts w:ascii="Arial MT" w:hAnsi="Arial MT"/>
                                <w:color w:val="001F60"/>
                                <w:spacing w:val="-4"/>
                                <w:sz w:val="14"/>
                              </w:rPr>
                              <w:t xml:space="preserve"> </w:t>
                            </w:r>
                            <w:r>
                              <w:rPr>
                                <w:rFonts w:ascii="Arial MT" w:hAnsi="Arial MT"/>
                                <w:color w:val="001F60"/>
                                <w:sz w:val="14"/>
                              </w:rPr>
                              <w:t>e</w:t>
                            </w:r>
                            <w:r>
                              <w:rPr>
                                <w:rFonts w:ascii="Arial MT" w:hAnsi="Arial MT"/>
                                <w:color w:val="001F60"/>
                                <w:spacing w:val="-6"/>
                                <w:sz w:val="14"/>
                              </w:rPr>
                              <w:t xml:space="preserve"> </w:t>
                            </w:r>
                            <w:r>
                              <w:rPr>
                                <w:rFonts w:ascii="Arial MT" w:hAnsi="Arial MT"/>
                                <w:color w:val="001F60"/>
                                <w:spacing w:val="-2"/>
                                <w:sz w:val="14"/>
                              </w:rPr>
                              <w:t>Comunicação</w:t>
                            </w:r>
                            <w:r>
                              <w:rPr>
                                <w:rFonts w:ascii="Arial MT" w:hAnsi="Arial MT"/>
                                <w:color w:val="001F60"/>
                                <w:sz w:val="14"/>
                              </w:rPr>
                              <w:tab/>
                            </w:r>
                            <w:r>
                              <w:rPr>
                                <w:rFonts w:ascii="Arial MT" w:hAnsi="Arial MT"/>
                                <w:color w:val="001F60"/>
                                <w:spacing w:val="-4"/>
                                <w:position w:val="-7"/>
                                <w:sz w:val="14"/>
                              </w:rPr>
                              <w:t>2,30</w:t>
                            </w:r>
                          </w:p>
                        </w:tc>
                        <w:tc>
                          <w:tcPr>
                            <w:tcW w:w="1335" w:type="dxa"/>
                          </w:tcPr>
                          <w:p w14:paraId="34CF3D52" w14:textId="77777777" w:rsidR="002C6574" w:rsidRDefault="00000000">
                            <w:pPr>
                              <w:pStyle w:val="TableParagraph"/>
                              <w:spacing w:before="79"/>
                              <w:ind w:right="438"/>
                              <w:rPr>
                                <w:rFonts w:ascii="Arial MT"/>
                                <w:sz w:val="14"/>
                              </w:rPr>
                            </w:pPr>
                            <w:r>
                              <w:rPr>
                                <w:rFonts w:ascii="Arial MT"/>
                                <w:color w:val="001F60"/>
                                <w:spacing w:val="-4"/>
                                <w:sz w:val="14"/>
                              </w:rPr>
                              <w:t>2,03</w:t>
                            </w:r>
                          </w:p>
                        </w:tc>
                        <w:tc>
                          <w:tcPr>
                            <w:tcW w:w="789" w:type="dxa"/>
                          </w:tcPr>
                          <w:p w14:paraId="0D704DFB" w14:textId="77777777" w:rsidR="002C6574" w:rsidRDefault="00000000">
                            <w:pPr>
                              <w:pStyle w:val="TableParagraph"/>
                              <w:spacing w:before="79"/>
                              <w:ind w:right="70"/>
                              <w:rPr>
                                <w:rFonts w:ascii="Arial MT"/>
                                <w:sz w:val="14"/>
                              </w:rPr>
                            </w:pPr>
                            <w:r>
                              <w:rPr>
                                <w:rFonts w:ascii="Arial MT"/>
                                <w:color w:val="001F60"/>
                                <w:spacing w:val="-5"/>
                                <w:sz w:val="14"/>
                              </w:rPr>
                              <w:t>88%</w:t>
                            </w:r>
                          </w:p>
                        </w:tc>
                      </w:tr>
                      <w:tr w:rsidR="002C6574" w14:paraId="5437D65F" w14:textId="77777777">
                        <w:trPr>
                          <w:trHeight w:val="312"/>
                        </w:trPr>
                        <w:tc>
                          <w:tcPr>
                            <w:tcW w:w="6755" w:type="dxa"/>
                          </w:tcPr>
                          <w:p w14:paraId="5DA60650" w14:textId="77777777" w:rsidR="002C6574" w:rsidRDefault="00000000">
                            <w:pPr>
                              <w:pStyle w:val="TableParagraph"/>
                              <w:tabs>
                                <w:tab w:val="left" w:pos="5860"/>
                              </w:tabs>
                              <w:spacing w:line="232" w:lineRule="auto"/>
                              <w:ind w:left="112"/>
                              <w:jc w:val="left"/>
                              <w:rPr>
                                <w:rFonts w:ascii="Arial MT" w:hAnsi="Arial MT"/>
                                <w:position w:val="-7"/>
                                <w:sz w:val="14"/>
                              </w:rPr>
                            </w:pPr>
                            <w:r>
                              <w:rPr>
                                <w:rFonts w:ascii="Arial MT" w:hAnsi="Arial MT"/>
                                <w:color w:val="001F60"/>
                                <w:position w:val="-7"/>
                                <w:sz w:val="14"/>
                              </w:rPr>
                              <w:t>169X</w:t>
                            </w:r>
                            <w:r>
                              <w:rPr>
                                <w:rFonts w:ascii="Arial MT" w:hAnsi="Arial MT"/>
                                <w:color w:val="001F60"/>
                                <w:spacing w:val="47"/>
                                <w:position w:val="-7"/>
                                <w:sz w:val="14"/>
                              </w:rPr>
                              <w:t xml:space="preserve">  </w:t>
                            </w:r>
                            <w:r>
                              <w:rPr>
                                <w:rFonts w:ascii="Arial MT" w:hAnsi="Arial MT"/>
                                <w:color w:val="001F60"/>
                                <w:sz w:val="14"/>
                              </w:rPr>
                              <w:t>Implantação</w:t>
                            </w:r>
                            <w:r>
                              <w:rPr>
                                <w:rFonts w:ascii="Arial MT" w:hAnsi="Arial MT"/>
                                <w:color w:val="001F60"/>
                                <w:spacing w:val="-6"/>
                                <w:sz w:val="14"/>
                              </w:rPr>
                              <w:t xml:space="preserve"> </w:t>
                            </w:r>
                            <w:r>
                              <w:rPr>
                                <w:rFonts w:ascii="Arial MT" w:hAnsi="Arial MT"/>
                                <w:color w:val="001F60"/>
                                <w:sz w:val="14"/>
                              </w:rPr>
                              <w:t>de</w:t>
                            </w:r>
                            <w:r>
                              <w:rPr>
                                <w:rFonts w:ascii="Arial MT" w:hAnsi="Arial MT"/>
                                <w:color w:val="001F60"/>
                                <w:spacing w:val="-4"/>
                                <w:sz w:val="14"/>
                              </w:rPr>
                              <w:t xml:space="preserve"> </w:t>
                            </w:r>
                            <w:r>
                              <w:rPr>
                                <w:rFonts w:ascii="Arial MT" w:hAnsi="Arial MT"/>
                                <w:color w:val="001F60"/>
                                <w:sz w:val="14"/>
                              </w:rPr>
                              <w:t>Infraestrutura</w:t>
                            </w:r>
                            <w:r>
                              <w:rPr>
                                <w:rFonts w:ascii="Arial MT" w:hAnsi="Arial MT"/>
                                <w:color w:val="001F60"/>
                                <w:spacing w:val="-3"/>
                                <w:sz w:val="14"/>
                              </w:rPr>
                              <w:t xml:space="preserve"> </w:t>
                            </w:r>
                            <w:r>
                              <w:rPr>
                                <w:rFonts w:ascii="Arial MT" w:hAnsi="Arial MT"/>
                                <w:color w:val="001F60"/>
                                <w:sz w:val="14"/>
                              </w:rPr>
                              <w:t>da</w:t>
                            </w:r>
                            <w:r>
                              <w:rPr>
                                <w:rFonts w:ascii="Arial MT" w:hAnsi="Arial MT"/>
                                <w:color w:val="001F60"/>
                                <w:spacing w:val="-2"/>
                                <w:sz w:val="14"/>
                              </w:rPr>
                              <w:t xml:space="preserve"> </w:t>
                            </w:r>
                            <w:r>
                              <w:rPr>
                                <w:rFonts w:ascii="Arial MT" w:hAnsi="Arial MT"/>
                                <w:color w:val="001F60"/>
                                <w:sz w:val="14"/>
                              </w:rPr>
                              <w:t>rede</w:t>
                            </w:r>
                            <w:r>
                              <w:rPr>
                                <w:rFonts w:ascii="Arial MT" w:hAnsi="Arial MT"/>
                                <w:color w:val="001F60"/>
                                <w:spacing w:val="-3"/>
                                <w:sz w:val="14"/>
                              </w:rPr>
                              <w:t xml:space="preserve"> </w:t>
                            </w:r>
                            <w:r>
                              <w:rPr>
                                <w:rFonts w:ascii="Arial MT" w:hAnsi="Arial MT"/>
                                <w:color w:val="001F60"/>
                                <w:sz w:val="14"/>
                              </w:rPr>
                              <w:t>de</w:t>
                            </w:r>
                            <w:r>
                              <w:rPr>
                                <w:rFonts w:ascii="Arial MT" w:hAnsi="Arial MT"/>
                                <w:color w:val="001F60"/>
                                <w:spacing w:val="-4"/>
                                <w:sz w:val="14"/>
                              </w:rPr>
                              <w:t xml:space="preserve"> </w:t>
                            </w:r>
                            <w:r>
                              <w:rPr>
                                <w:rFonts w:ascii="Arial MT" w:hAnsi="Arial MT"/>
                                <w:color w:val="001F60"/>
                                <w:sz w:val="14"/>
                              </w:rPr>
                              <w:t>Comunicação</w:t>
                            </w:r>
                            <w:r>
                              <w:rPr>
                                <w:rFonts w:ascii="Arial MT" w:hAnsi="Arial MT"/>
                                <w:color w:val="001F60"/>
                                <w:spacing w:val="-5"/>
                                <w:sz w:val="14"/>
                              </w:rPr>
                              <w:t xml:space="preserve"> </w:t>
                            </w:r>
                            <w:r>
                              <w:rPr>
                                <w:rFonts w:ascii="Arial MT" w:hAnsi="Arial MT"/>
                                <w:color w:val="001F60"/>
                                <w:sz w:val="14"/>
                              </w:rPr>
                              <w:t>de</w:t>
                            </w:r>
                            <w:r>
                              <w:rPr>
                                <w:rFonts w:ascii="Arial MT" w:hAnsi="Arial MT"/>
                                <w:color w:val="001F60"/>
                                <w:spacing w:val="-4"/>
                                <w:sz w:val="14"/>
                              </w:rPr>
                              <w:t xml:space="preserve"> Dados</w:t>
                            </w:r>
                            <w:r>
                              <w:rPr>
                                <w:rFonts w:ascii="Arial MT" w:hAnsi="Arial MT"/>
                                <w:color w:val="001F60"/>
                                <w:sz w:val="14"/>
                              </w:rPr>
                              <w:tab/>
                            </w:r>
                            <w:r>
                              <w:rPr>
                                <w:rFonts w:ascii="Arial MT" w:hAnsi="Arial MT"/>
                                <w:color w:val="001F60"/>
                                <w:spacing w:val="-2"/>
                                <w:position w:val="-7"/>
                                <w:sz w:val="14"/>
                              </w:rPr>
                              <w:t>48,11</w:t>
                            </w:r>
                          </w:p>
                        </w:tc>
                        <w:tc>
                          <w:tcPr>
                            <w:tcW w:w="1335" w:type="dxa"/>
                          </w:tcPr>
                          <w:p w14:paraId="454D2665" w14:textId="77777777" w:rsidR="002C6574" w:rsidRDefault="00000000">
                            <w:pPr>
                              <w:pStyle w:val="TableParagraph"/>
                              <w:spacing w:before="77"/>
                              <w:ind w:right="438"/>
                              <w:rPr>
                                <w:rFonts w:ascii="Arial MT"/>
                                <w:sz w:val="14"/>
                              </w:rPr>
                            </w:pPr>
                            <w:r>
                              <w:rPr>
                                <w:rFonts w:ascii="Arial MT"/>
                                <w:color w:val="001F60"/>
                                <w:spacing w:val="-2"/>
                                <w:sz w:val="14"/>
                              </w:rPr>
                              <w:t>18,52</w:t>
                            </w:r>
                          </w:p>
                        </w:tc>
                        <w:tc>
                          <w:tcPr>
                            <w:tcW w:w="789" w:type="dxa"/>
                          </w:tcPr>
                          <w:p w14:paraId="3BC6C9C8" w14:textId="77777777" w:rsidR="002C6574" w:rsidRDefault="00000000">
                            <w:pPr>
                              <w:pStyle w:val="TableParagraph"/>
                              <w:spacing w:before="77"/>
                              <w:ind w:right="70"/>
                              <w:rPr>
                                <w:rFonts w:ascii="Arial MT"/>
                                <w:sz w:val="14"/>
                              </w:rPr>
                            </w:pPr>
                            <w:r>
                              <w:rPr>
                                <w:rFonts w:ascii="Arial MT"/>
                                <w:color w:val="001F60"/>
                                <w:spacing w:val="-5"/>
                                <w:sz w:val="14"/>
                              </w:rPr>
                              <w:t>38%</w:t>
                            </w:r>
                          </w:p>
                        </w:tc>
                      </w:tr>
                      <w:tr w:rsidR="002C6574" w14:paraId="0D9877AB" w14:textId="77777777">
                        <w:trPr>
                          <w:trHeight w:val="288"/>
                        </w:trPr>
                        <w:tc>
                          <w:tcPr>
                            <w:tcW w:w="6755" w:type="dxa"/>
                            <w:tcBorders>
                              <w:bottom w:val="single" w:sz="4" w:space="0" w:color="001F60"/>
                            </w:tcBorders>
                          </w:tcPr>
                          <w:p w14:paraId="7D27D6BF" w14:textId="77777777" w:rsidR="002C6574" w:rsidRDefault="00000000">
                            <w:pPr>
                              <w:pStyle w:val="TableParagraph"/>
                              <w:tabs>
                                <w:tab w:val="left" w:pos="5937"/>
                              </w:tabs>
                              <w:spacing w:before="68"/>
                              <w:ind w:left="93"/>
                              <w:jc w:val="left"/>
                              <w:rPr>
                                <w:rFonts w:ascii="Arial MT" w:hAnsi="Arial MT"/>
                                <w:sz w:val="14"/>
                              </w:rPr>
                            </w:pPr>
                            <w:r>
                              <w:rPr>
                                <w:rFonts w:ascii="Arial MT" w:hAnsi="Arial MT"/>
                                <w:color w:val="001F60"/>
                                <w:sz w:val="14"/>
                              </w:rPr>
                              <w:t>169W</w:t>
                            </w:r>
                            <w:r>
                              <w:rPr>
                                <w:rFonts w:ascii="Arial MT" w:hAnsi="Arial MT"/>
                                <w:color w:val="001F60"/>
                                <w:spacing w:val="37"/>
                                <w:sz w:val="14"/>
                              </w:rPr>
                              <w:t xml:space="preserve">  </w:t>
                            </w:r>
                            <w:r>
                              <w:rPr>
                                <w:rFonts w:ascii="Arial MT" w:hAnsi="Arial MT"/>
                                <w:color w:val="001F60"/>
                                <w:sz w:val="14"/>
                              </w:rPr>
                              <w:t>Benfeitorias em</w:t>
                            </w:r>
                            <w:r>
                              <w:rPr>
                                <w:rFonts w:ascii="Arial MT" w:hAnsi="Arial MT"/>
                                <w:color w:val="001F60"/>
                                <w:spacing w:val="-2"/>
                                <w:sz w:val="14"/>
                              </w:rPr>
                              <w:t xml:space="preserve"> </w:t>
                            </w:r>
                            <w:r>
                              <w:rPr>
                                <w:rFonts w:ascii="Arial MT" w:hAnsi="Arial MT"/>
                                <w:color w:val="001F60"/>
                                <w:sz w:val="14"/>
                              </w:rPr>
                              <w:t>Bens</w:t>
                            </w:r>
                            <w:r>
                              <w:rPr>
                                <w:rFonts w:ascii="Arial MT" w:hAnsi="Arial MT"/>
                                <w:color w:val="001F60"/>
                                <w:spacing w:val="-2"/>
                                <w:sz w:val="14"/>
                              </w:rPr>
                              <w:t xml:space="preserve"> </w:t>
                            </w:r>
                            <w:r>
                              <w:rPr>
                                <w:rFonts w:ascii="Arial MT" w:hAnsi="Arial MT"/>
                                <w:color w:val="001F60"/>
                                <w:sz w:val="14"/>
                              </w:rPr>
                              <w:t>da</w:t>
                            </w:r>
                            <w:r>
                              <w:rPr>
                                <w:rFonts w:ascii="Arial MT" w:hAnsi="Arial MT"/>
                                <w:color w:val="001F60"/>
                                <w:spacing w:val="-4"/>
                                <w:sz w:val="14"/>
                              </w:rPr>
                              <w:t xml:space="preserve"> </w:t>
                            </w:r>
                            <w:r>
                              <w:rPr>
                                <w:rFonts w:ascii="Arial MT" w:hAnsi="Arial MT"/>
                                <w:color w:val="001F60"/>
                                <w:sz w:val="14"/>
                              </w:rPr>
                              <w:t>União</w:t>
                            </w:r>
                            <w:r>
                              <w:rPr>
                                <w:rFonts w:ascii="Arial MT" w:hAnsi="Arial MT"/>
                                <w:color w:val="001F60"/>
                                <w:spacing w:val="-3"/>
                                <w:sz w:val="14"/>
                              </w:rPr>
                              <w:t xml:space="preserve"> </w:t>
                            </w:r>
                            <w:r>
                              <w:rPr>
                                <w:rFonts w:ascii="Arial MT" w:hAnsi="Arial MT"/>
                                <w:color w:val="001F60"/>
                                <w:sz w:val="14"/>
                              </w:rPr>
                              <w:t>por</w:t>
                            </w:r>
                            <w:r>
                              <w:rPr>
                                <w:rFonts w:ascii="Arial MT" w:hAnsi="Arial MT"/>
                                <w:color w:val="001F60"/>
                                <w:spacing w:val="-5"/>
                                <w:sz w:val="14"/>
                              </w:rPr>
                              <w:t xml:space="preserve"> </w:t>
                            </w:r>
                            <w:r>
                              <w:rPr>
                                <w:rFonts w:ascii="Arial MT" w:hAnsi="Arial MT"/>
                                <w:color w:val="001F60"/>
                                <w:sz w:val="14"/>
                              </w:rPr>
                              <w:t>Empresas</w:t>
                            </w:r>
                            <w:r>
                              <w:rPr>
                                <w:rFonts w:ascii="Arial MT" w:hAnsi="Arial MT"/>
                                <w:color w:val="001F60"/>
                                <w:spacing w:val="-4"/>
                                <w:sz w:val="14"/>
                              </w:rPr>
                              <w:t xml:space="preserve"> </w:t>
                            </w:r>
                            <w:r>
                              <w:rPr>
                                <w:rFonts w:ascii="Arial MT" w:hAnsi="Arial MT"/>
                                <w:color w:val="001F60"/>
                                <w:spacing w:val="-2"/>
                                <w:sz w:val="14"/>
                              </w:rPr>
                              <w:t>Estatais</w:t>
                            </w:r>
                            <w:r>
                              <w:rPr>
                                <w:rFonts w:ascii="Arial MT" w:hAnsi="Arial MT"/>
                                <w:color w:val="001F60"/>
                                <w:sz w:val="14"/>
                              </w:rPr>
                              <w:tab/>
                            </w:r>
                            <w:r>
                              <w:rPr>
                                <w:rFonts w:ascii="Arial MT" w:hAnsi="Arial MT"/>
                                <w:color w:val="001F60"/>
                                <w:spacing w:val="-4"/>
                                <w:sz w:val="14"/>
                              </w:rPr>
                              <w:t>0,60</w:t>
                            </w:r>
                          </w:p>
                        </w:tc>
                        <w:tc>
                          <w:tcPr>
                            <w:tcW w:w="1335" w:type="dxa"/>
                            <w:tcBorders>
                              <w:bottom w:val="single" w:sz="4" w:space="0" w:color="001F60"/>
                            </w:tcBorders>
                          </w:tcPr>
                          <w:p w14:paraId="7C664E3A" w14:textId="77777777" w:rsidR="002C6574" w:rsidRDefault="00000000">
                            <w:pPr>
                              <w:pStyle w:val="TableParagraph"/>
                              <w:spacing w:before="68"/>
                              <w:ind w:right="436"/>
                              <w:rPr>
                                <w:rFonts w:ascii="Arial MT"/>
                                <w:sz w:val="14"/>
                              </w:rPr>
                            </w:pPr>
                            <w:r>
                              <w:rPr>
                                <w:rFonts w:ascii="Arial MT"/>
                                <w:color w:val="001F60"/>
                                <w:spacing w:val="-10"/>
                                <w:sz w:val="14"/>
                              </w:rPr>
                              <w:t>-</w:t>
                            </w:r>
                          </w:p>
                        </w:tc>
                        <w:tc>
                          <w:tcPr>
                            <w:tcW w:w="789" w:type="dxa"/>
                            <w:tcBorders>
                              <w:bottom w:val="single" w:sz="4" w:space="0" w:color="001F60"/>
                            </w:tcBorders>
                          </w:tcPr>
                          <w:p w14:paraId="7BD3F630" w14:textId="77777777" w:rsidR="002C6574" w:rsidRDefault="00000000">
                            <w:pPr>
                              <w:pStyle w:val="TableParagraph"/>
                              <w:spacing w:before="68"/>
                              <w:ind w:right="67"/>
                              <w:rPr>
                                <w:rFonts w:ascii="Arial MT"/>
                                <w:sz w:val="14"/>
                              </w:rPr>
                            </w:pPr>
                            <w:r>
                              <w:rPr>
                                <w:rFonts w:ascii="Arial MT"/>
                                <w:color w:val="001F60"/>
                                <w:spacing w:val="-5"/>
                                <w:sz w:val="14"/>
                              </w:rPr>
                              <w:t>0%</w:t>
                            </w:r>
                          </w:p>
                        </w:tc>
                      </w:tr>
                      <w:tr w:rsidR="002C6574" w14:paraId="7C6BA9B6" w14:textId="77777777">
                        <w:trPr>
                          <w:trHeight w:val="282"/>
                        </w:trPr>
                        <w:tc>
                          <w:tcPr>
                            <w:tcW w:w="6755" w:type="dxa"/>
                            <w:tcBorders>
                              <w:top w:val="single" w:sz="4" w:space="0" w:color="001F60"/>
                              <w:bottom w:val="single" w:sz="4" w:space="0" w:color="001F60"/>
                            </w:tcBorders>
                          </w:tcPr>
                          <w:p w14:paraId="2D3381B6" w14:textId="77777777" w:rsidR="002C6574" w:rsidRDefault="00000000">
                            <w:pPr>
                              <w:pStyle w:val="TableParagraph"/>
                              <w:tabs>
                                <w:tab w:val="left" w:pos="5860"/>
                              </w:tabs>
                              <w:spacing w:before="63"/>
                              <w:ind w:left="69"/>
                              <w:jc w:val="left"/>
                              <w:rPr>
                                <w:rFonts w:ascii="Arial"/>
                                <w:b/>
                                <w:sz w:val="14"/>
                              </w:rPr>
                            </w:pPr>
                            <w:r>
                              <w:rPr>
                                <w:rFonts w:ascii="Arial"/>
                                <w:b/>
                                <w:color w:val="001F60"/>
                                <w:spacing w:val="-2"/>
                                <w:sz w:val="14"/>
                              </w:rPr>
                              <w:t>TOTAL</w:t>
                            </w:r>
                            <w:r>
                              <w:rPr>
                                <w:rFonts w:ascii="Arial"/>
                                <w:b/>
                                <w:color w:val="001F60"/>
                                <w:sz w:val="14"/>
                              </w:rPr>
                              <w:tab/>
                            </w:r>
                            <w:r>
                              <w:rPr>
                                <w:rFonts w:ascii="Arial"/>
                                <w:b/>
                                <w:color w:val="001F60"/>
                                <w:spacing w:val="-2"/>
                                <w:sz w:val="14"/>
                              </w:rPr>
                              <w:t>53,64</w:t>
                            </w:r>
                          </w:p>
                        </w:tc>
                        <w:tc>
                          <w:tcPr>
                            <w:tcW w:w="1335" w:type="dxa"/>
                            <w:tcBorders>
                              <w:top w:val="single" w:sz="4" w:space="0" w:color="001F60"/>
                              <w:bottom w:val="single" w:sz="4" w:space="0" w:color="001F60"/>
                            </w:tcBorders>
                          </w:tcPr>
                          <w:p w14:paraId="2C03EB80" w14:textId="77777777" w:rsidR="002C6574" w:rsidRDefault="00000000">
                            <w:pPr>
                              <w:pStyle w:val="TableParagraph"/>
                              <w:spacing w:before="63"/>
                              <w:ind w:right="438"/>
                              <w:rPr>
                                <w:rFonts w:ascii="Arial"/>
                                <w:b/>
                                <w:sz w:val="14"/>
                              </w:rPr>
                            </w:pPr>
                            <w:r>
                              <w:rPr>
                                <w:rFonts w:ascii="Arial"/>
                                <w:b/>
                                <w:color w:val="001F60"/>
                                <w:spacing w:val="-2"/>
                                <w:sz w:val="14"/>
                              </w:rPr>
                              <w:t>22,92</w:t>
                            </w:r>
                          </w:p>
                        </w:tc>
                        <w:tc>
                          <w:tcPr>
                            <w:tcW w:w="789" w:type="dxa"/>
                            <w:tcBorders>
                              <w:top w:val="single" w:sz="4" w:space="0" w:color="001F60"/>
                              <w:bottom w:val="single" w:sz="4" w:space="0" w:color="001F60"/>
                            </w:tcBorders>
                          </w:tcPr>
                          <w:p w14:paraId="2D6E52CF" w14:textId="77777777" w:rsidR="002C6574" w:rsidRDefault="00000000">
                            <w:pPr>
                              <w:pStyle w:val="TableParagraph"/>
                              <w:spacing w:before="63"/>
                              <w:ind w:right="67"/>
                              <w:rPr>
                                <w:rFonts w:ascii="Arial"/>
                                <w:b/>
                                <w:sz w:val="14"/>
                              </w:rPr>
                            </w:pPr>
                            <w:r>
                              <w:rPr>
                                <w:rFonts w:ascii="Arial"/>
                                <w:b/>
                                <w:color w:val="001F60"/>
                                <w:spacing w:val="-5"/>
                                <w:sz w:val="14"/>
                              </w:rPr>
                              <w:t>43%</w:t>
                            </w:r>
                          </w:p>
                        </w:tc>
                      </w:tr>
                    </w:tbl>
                    <w:p w14:paraId="495A9524" w14:textId="77777777" w:rsidR="002C6574" w:rsidRDefault="002C6574">
                      <w:pPr>
                        <w:pStyle w:val="Corpodetexto"/>
                      </w:pPr>
                    </w:p>
                  </w:txbxContent>
                </v:textbox>
                <w10:wrap anchorx="page"/>
              </v:shape>
            </w:pict>
          </mc:Fallback>
        </mc:AlternateContent>
      </w:r>
      <w:r>
        <w:rPr>
          <w:rFonts w:ascii="Arial MT"/>
          <w:color w:val="001F60"/>
          <w:spacing w:val="-2"/>
          <w:sz w:val="14"/>
        </w:rPr>
        <w:t>Equipamento</w:t>
      </w:r>
      <w:r>
        <w:rPr>
          <w:rFonts w:ascii="Arial MT"/>
          <w:color w:val="001F60"/>
          <w:spacing w:val="40"/>
          <w:sz w:val="14"/>
        </w:rPr>
        <w:t xml:space="preserve"> </w:t>
      </w:r>
      <w:r>
        <w:rPr>
          <w:rFonts w:ascii="Arial MT"/>
          <w:color w:val="001F60"/>
          <w:spacing w:val="-2"/>
          <w:sz w:val="14"/>
        </w:rPr>
        <w:t>Teleprocessamento</w:t>
      </w:r>
    </w:p>
    <w:p w14:paraId="109DB51F" w14:textId="77777777" w:rsidR="002C6574" w:rsidRDefault="00000000">
      <w:pPr>
        <w:spacing w:line="160" w:lineRule="exact"/>
        <w:ind w:left="1331"/>
        <w:rPr>
          <w:rFonts w:ascii="Arial MT"/>
          <w:sz w:val="14"/>
        </w:rPr>
      </w:pPr>
      <w:r>
        <w:rPr>
          <w:rFonts w:ascii="Arial MT"/>
          <w:color w:val="001F60"/>
          <w:sz w:val="14"/>
        </w:rPr>
        <w:t>-</w:t>
      </w:r>
      <w:r>
        <w:rPr>
          <w:rFonts w:ascii="Arial MT"/>
          <w:color w:val="001F60"/>
          <w:spacing w:val="-3"/>
          <w:sz w:val="14"/>
        </w:rPr>
        <w:t xml:space="preserve"> </w:t>
      </w:r>
      <w:r>
        <w:rPr>
          <w:rFonts w:ascii="Arial MT"/>
          <w:color w:val="001F60"/>
          <w:spacing w:val="-4"/>
          <w:sz w:val="14"/>
        </w:rPr>
        <w:t>SGDC</w:t>
      </w:r>
    </w:p>
    <w:p w14:paraId="0D3A0EA7" w14:textId="77777777" w:rsidR="002C6574" w:rsidRDefault="00000000">
      <w:pPr>
        <w:spacing w:before="160"/>
        <w:ind w:left="1331"/>
        <w:rPr>
          <w:rFonts w:ascii="Arial MT" w:hAnsi="Arial MT"/>
          <w:sz w:val="14"/>
        </w:rPr>
      </w:pPr>
      <w:r>
        <w:rPr>
          <w:rFonts w:ascii="Arial MT" w:hAnsi="Arial MT"/>
          <w:color w:val="001F60"/>
          <w:sz w:val="14"/>
        </w:rPr>
        <w:t>para</w:t>
      </w:r>
      <w:r>
        <w:rPr>
          <w:rFonts w:ascii="Arial MT" w:hAnsi="Arial MT"/>
          <w:color w:val="001F60"/>
          <w:spacing w:val="-6"/>
          <w:sz w:val="14"/>
        </w:rPr>
        <w:t xml:space="preserve"> </w:t>
      </w:r>
      <w:r>
        <w:rPr>
          <w:rFonts w:ascii="Arial MT" w:hAnsi="Arial MT"/>
          <w:color w:val="001F60"/>
          <w:sz w:val="14"/>
        </w:rPr>
        <w:t>Inclusão</w:t>
      </w:r>
      <w:r>
        <w:rPr>
          <w:rFonts w:ascii="Arial MT" w:hAnsi="Arial MT"/>
          <w:color w:val="001F60"/>
          <w:spacing w:val="-4"/>
          <w:sz w:val="14"/>
        </w:rPr>
        <w:t xml:space="preserve"> </w:t>
      </w:r>
      <w:r>
        <w:rPr>
          <w:rFonts w:ascii="Arial MT" w:hAnsi="Arial MT"/>
          <w:color w:val="001F60"/>
          <w:spacing w:val="-2"/>
          <w:sz w:val="14"/>
        </w:rPr>
        <w:t>Digital</w:t>
      </w:r>
    </w:p>
    <w:p w14:paraId="0750CC7A" w14:textId="77777777" w:rsidR="002C6574" w:rsidRDefault="002C6574">
      <w:pPr>
        <w:pStyle w:val="Corpodetexto"/>
        <w:rPr>
          <w:rFonts w:ascii="Arial MT"/>
          <w:sz w:val="14"/>
        </w:rPr>
      </w:pPr>
    </w:p>
    <w:p w14:paraId="41C11373" w14:textId="77777777" w:rsidR="002C6574" w:rsidRDefault="002C6574">
      <w:pPr>
        <w:pStyle w:val="Corpodetexto"/>
        <w:rPr>
          <w:rFonts w:ascii="Arial MT"/>
          <w:sz w:val="14"/>
        </w:rPr>
      </w:pPr>
    </w:p>
    <w:p w14:paraId="27140649" w14:textId="77777777" w:rsidR="002C6574" w:rsidRDefault="002C6574">
      <w:pPr>
        <w:pStyle w:val="Corpodetexto"/>
        <w:rPr>
          <w:rFonts w:ascii="Arial MT"/>
          <w:sz w:val="14"/>
        </w:rPr>
      </w:pPr>
    </w:p>
    <w:p w14:paraId="4641DA63" w14:textId="77777777" w:rsidR="002C6574" w:rsidRDefault="002C6574">
      <w:pPr>
        <w:pStyle w:val="Corpodetexto"/>
        <w:spacing w:before="4"/>
        <w:rPr>
          <w:rFonts w:ascii="Arial MT"/>
          <w:sz w:val="14"/>
        </w:rPr>
      </w:pPr>
    </w:p>
    <w:p w14:paraId="6763E6D2" w14:textId="77777777" w:rsidR="002C6574" w:rsidRDefault="00000000">
      <w:pPr>
        <w:ind w:left="779"/>
        <w:rPr>
          <w:rFonts w:ascii="Arial" w:hAnsi="Arial"/>
          <w:i/>
          <w:sz w:val="14"/>
        </w:rPr>
      </w:pPr>
      <w:r>
        <w:rPr>
          <w:rFonts w:ascii="Arial" w:hAnsi="Arial"/>
          <w:b/>
          <w:color w:val="001F60"/>
          <w:sz w:val="14"/>
        </w:rPr>
        <w:t>Fonte:</w:t>
      </w:r>
      <w:r>
        <w:rPr>
          <w:rFonts w:ascii="Arial" w:hAnsi="Arial"/>
          <w:b/>
          <w:color w:val="001F60"/>
          <w:spacing w:val="-5"/>
          <w:sz w:val="14"/>
        </w:rPr>
        <w:t xml:space="preserve"> </w:t>
      </w:r>
      <w:r>
        <w:rPr>
          <w:rFonts w:ascii="Arial MT" w:hAnsi="Arial MT"/>
          <w:color w:val="001F60"/>
          <w:sz w:val="14"/>
        </w:rPr>
        <w:t>SIOP</w:t>
      </w:r>
      <w:r>
        <w:rPr>
          <w:rFonts w:ascii="Arial MT" w:hAnsi="Arial MT"/>
          <w:color w:val="001F60"/>
          <w:spacing w:val="-4"/>
          <w:sz w:val="14"/>
        </w:rPr>
        <w:t xml:space="preserve"> </w:t>
      </w:r>
      <w:r>
        <w:rPr>
          <w:rFonts w:ascii="Arial MT" w:hAnsi="Arial MT"/>
          <w:color w:val="001F60"/>
          <w:sz w:val="14"/>
        </w:rPr>
        <w:t>-</w:t>
      </w:r>
      <w:r>
        <w:rPr>
          <w:rFonts w:ascii="Arial MT" w:hAnsi="Arial MT"/>
          <w:color w:val="001F60"/>
          <w:spacing w:val="-2"/>
          <w:sz w:val="14"/>
        </w:rPr>
        <w:t xml:space="preserve"> </w:t>
      </w:r>
      <w:r>
        <w:rPr>
          <w:rFonts w:ascii="Arial" w:hAnsi="Arial"/>
          <w:i/>
          <w:color w:val="001F60"/>
          <w:sz w:val="14"/>
        </w:rPr>
        <w:t>Sistema</w:t>
      </w:r>
      <w:r>
        <w:rPr>
          <w:rFonts w:ascii="Arial" w:hAnsi="Arial"/>
          <w:i/>
          <w:color w:val="001F60"/>
          <w:spacing w:val="-3"/>
          <w:sz w:val="14"/>
        </w:rPr>
        <w:t xml:space="preserve"> </w:t>
      </w:r>
      <w:r>
        <w:rPr>
          <w:rFonts w:ascii="Arial" w:hAnsi="Arial"/>
          <w:i/>
          <w:color w:val="001F60"/>
          <w:sz w:val="14"/>
        </w:rPr>
        <w:t>Integrado</w:t>
      </w:r>
      <w:r>
        <w:rPr>
          <w:rFonts w:ascii="Arial" w:hAnsi="Arial"/>
          <w:i/>
          <w:color w:val="001F60"/>
          <w:spacing w:val="-1"/>
          <w:sz w:val="14"/>
        </w:rPr>
        <w:t xml:space="preserve"> </w:t>
      </w:r>
      <w:r>
        <w:rPr>
          <w:rFonts w:ascii="Arial" w:hAnsi="Arial"/>
          <w:i/>
          <w:color w:val="001F60"/>
          <w:sz w:val="14"/>
        </w:rPr>
        <w:t>de</w:t>
      </w:r>
      <w:r>
        <w:rPr>
          <w:rFonts w:ascii="Arial" w:hAnsi="Arial"/>
          <w:i/>
          <w:color w:val="001F60"/>
          <w:spacing w:val="-5"/>
          <w:sz w:val="14"/>
        </w:rPr>
        <w:t xml:space="preserve"> </w:t>
      </w:r>
      <w:r>
        <w:rPr>
          <w:rFonts w:ascii="Arial" w:hAnsi="Arial"/>
          <w:i/>
          <w:color w:val="001F60"/>
          <w:sz w:val="14"/>
        </w:rPr>
        <w:t>Planejamento</w:t>
      </w:r>
      <w:r>
        <w:rPr>
          <w:rFonts w:ascii="Arial" w:hAnsi="Arial"/>
          <w:i/>
          <w:color w:val="001F60"/>
          <w:spacing w:val="-1"/>
          <w:sz w:val="14"/>
        </w:rPr>
        <w:t xml:space="preserve"> </w:t>
      </w:r>
      <w:r>
        <w:rPr>
          <w:rFonts w:ascii="Arial" w:hAnsi="Arial"/>
          <w:i/>
          <w:color w:val="001F60"/>
          <w:sz w:val="14"/>
        </w:rPr>
        <w:t>e</w:t>
      </w:r>
      <w:r>
        <w:rPr>
          <w:rFonts w:ascii="Arial" w:hAnsi="Arial"/>
          <w:i/>
          <w:color w:val="001F60"/>
          <w:spacing w:val="-6"/>
          <w:sz w:val="14"/>
        </w:rPr>
        <w:t xml:space="preserve"> </w:t>
      </w:r>
      <w:r>
        <w:rPr>
          <w:rFonts w:ascii="Arial" w:hAnsi="Arial"/>
          <w:i/>
          <w:color w:val="001F60"/>
          <w:sz w:val="14"/>
        </w:rPr>
        <w:t>Orçamento:</w:t>
      </w:r>
      <w:r>
        <w:rPr>
          <w:rFonts w:ascii="Arial" w:hAnsi="Arial"/>
          <w:i/>
          <w:color w:val="001F60"/>
          <w:spacing w:val="29"/>
          <w:sz w:val="14"/>
        </w:rPr>
        <w:t xml:space="preserve"> </w:t>
      </w:r>
      <w:r>
        <w:rPr>
          <w:rFonts w:ascii="Arial" w:hAnsi="Arial"/>
          <w:i/>
          <w:color w:val="001F60"/>
          <w:spacing w:val="-2"/>
          <w:sz w:val="14"/>
        </w:rPr>
        <w:t>26/1/2026</w:t>
      </w:r>
    </w:p>
    <w:p w14:paraId="7E9B04D7" w14:textId="77777777" w:rsidR="002C6574" w:rsidRDefault="00000000">
      <w:pPr>
        <w:spacing w:before="178"/>
        <w:ind w:left="3330"/>
        <w:rPr>
          <w:rFonts w:ascii="Calibri" w:hAnsi="Calibri"/>
          <w:sz w:val="16"/>
        </w:rPr>
      </w:pPr>
      <w:r>
        <w:rPr>
          <w:rFonts w:ascii="Calibri" w:hAnsi="Calibri"/>
          <w:color w:val="001F60"/>
          <w:sz w:val="16"/>
        </w:rPr>
        <w:t>Tabela</w:t>
      </w:r>
      <w:r>
        <w:rPr>
          <w:rFonts w:ascii="Calibri" w:hAnsi="Calibri"/>
          <w:color w:val="001F60"/>
          <w:spacing w:val="-3"/>
          <w:sz w:val="16"/>
        </w:rPr>
        <w:t xml:space="preserve"> </w:t>
      </w:r>
      <w:r>
        <w:rPr>
          <w:rFonts w:ascii="Calibri" w:hAnsi="Calibri"/>
          <w:color w:val="001F60"/>
          <w:sz w:val="16"/>
        </w:rPr>
        <w:t>3-20</w:t>
      </w:r>
      <w:r>
        <w:rPr>
          <w:rFonts w:ascii="Calibri" w:hAnsi="Calibri"/>
          <w:color w:val="001F60"/>
          <w:spacing w:val="-3"/>
          <w:sz w:val="16"/>
        </w:rPr>
        <w:t xml:space="preserve"> </w:t>
      </w:r>
      <w:r>
        <w:rPr>
          <w:rFonts w:ascii="Calibri" w:hAnsi="Calibri"/>
          <w:color w:val="001F60"/>
          <w:sz w:val="16"/>
        </w:rPr>
        <w:t>Orçamento</w:t>
      </w:r>
      <w:r>
        <w:rPr>
          <w:rFonts w:ascii="Calibri" w:hAnsi="Calibri"/>
          <w:color w:val="001F60"/>
          <w:spacing w:val="-4"/>
          <w:sz w:val="16"/>
        </w:rPr>
        <w:t xml:space="preserve"> </w:t>
      </w:r>
      <w:r>
        <w:rPr>
          <w:rFonts w:ascii="Calibri" w:hAnsi="Calibri"/>
          <w:color w:val="001F60"/>
          <w:sz w:val="16"/>
        </w:rPr>
        <w:t>de</w:t>
      </w:r>
      <w:r>
        <w:rPr>
          <w:rFonts w:ascii="Calibri" w:hAnsi="Calibri"/>
          <w:color w:val="001F60"/>
          <w:spacing w:val="-3"/>
          <w:sz w:val="16"/>
        </w:rPr>
        <w:t xml:space="preserve"> </w:t>
      </w:r>
      <w:r>
        <w:rPr>
          <w:rFonts w:ascii="Calibri" w:hAnsi="Calibri"/>
          <w:color w:val="001F60"/>
          <w:sz w:val="16"/>
        </w:rPr>
        <w:t>Investimento</w:t>
      </w:r>
      <w:r>
        <w:rPr>
          <w:rFonts w:ascii="Calibri" w:hAnsi="Calibri"/>
          <w:color w:val="001F60"/>
          <w:spacing w:val="-3"/>
          <w:sz w:val="16"/>
        </w:rPr>
        <w:t xml:space="preserve"> </w:t>
      </w:r>
      <w:r>
        <w:rPr>
          <w:rFonts w:ascii="Calibri" w:hAnsi="Calibri"/>
          <w:color w:val="001F60"/>
          <w:sz w:val="16"/>
        </w:rPr>
        <w:t>–</w:t>
      </w:r>
      <w:r>
        <w:rPr>
          <w:rFonts w:ascii="Calibri" w:hAnsi="Calibri"/>
          <w:color w:val="001F60"/>
          <w:spacing w:val="-4"/>
          <w:sz w:val="16"/>
        </w:rPr>
        <w:t xml:space="preserve"> </w:t>
      </w:r>
      <w:r>
        <w:rPr>
          <w:rFonts w:ascii="Calibri" w:hAnsi="Calibri"/>
          <w:color w:val="001F60"/>
          <w:sz w:val="16"/>
        </w:rPr>
        <w:t>OI/PDG</w:t>
      </w:r>
      <w:r>
        <w:rPr>
          <w:rFonts w:ascii="Calibri" w:hAnsi="Calibri"/>
          <w:color w:val="001F60"/>
          <w:spacing w:val="-3"/>
          <w:sz w:val="16"/>
        </w:rPr>
        <w:t xml:space="preserve"> </w:t>
      </w:r>
      <w:r>
        <w:rPr>
          <w:rFonts w:ascii="Calibri" w:hAnsi="Calibri"/>
          <w:color w:val="001F60"/>
          <w:sz w:val="16"/>
        </w:rPr>
        <w:t>de</w:t>
      </w:r>
      <w:r>
        <w:rPr>
          <w:rFonts w:ascii="Calibri" w:hAnsi="Calibri"/>
          <w:color w:val="001F60"/>
          <w:spacing w:val="-2"/>
          <w:sz w:val="16"/>
        </w:rPr>
        <w:t xml:space="preserve"> </w:t>
      </w:r>
      <w:r>
        <w:rPr>
          <w:rFonts w:ascii="Calibri" w:hAnsi="Calibri"/>
          <w:color w:val="001F60"/>
          <w:spacing w:val="-4"/>
          <w:sz w:val="16"/>
        </w:rPr>
        <w:t>2025</w:t>
      </w:r>
    </w:p>
    <w:p w14:paraId="1C15A44B" w14:textId="77777777" w:rsidR="002C6574" w:rsidRDefault="00000000">
      <w:pPr>
        <w:pStyle w:val="Corpodetexto"/>
        <w:spacing w:before="122"/>
        <w:ind w:left="709"/>
        <w:jc w:val="both"/>
        <w:rPr>
          <w:rFonts w:ascii="Calibri" w:hAnsi="Calibri"/>
        </w:rPr>
      </w:pPr>
      <w:r>
        <w:rPr>
          <w:rFonts w:ascii="Calibri" w:hAnsi="Calibri"/>
          <w:color w:val="001F60"/>
        </w:rPr>
        <w:t>As</w:t>
      </w:r>
      <w:r>
        <w:rPr>
          <w:rFonts w:ascii="Calibri" w:hAnsi="Calibri"/>
          <w:color w:val="001F60"/>
          <w:spacing w:val="-3"/>
        </w:rPr>
        <w:t xml:space="preserve"> </w:t>
      </w:r>
      <w:r>
        <w:rPr>
          <w:rFonts w:ascii="Calibri" w:hAnsi="Calibri"/>
          <w:color w:val="001F60"/>
        </w:rPr>
        <w:t>ações</w:t>
      </w:r>
      <w:r>
        <w:rPr>
          <w:rFonts w:ascii="Calibri" w:hAnsi="Calibri"/>
          <w:color w:val="001F60"/>
          <w:spacing w:val="-5"/>
        </w:rPr>
        <w:t xml:space="preserve"> </w:t>
      </w:r>
      <w:r>
        <w:rPr>
          <w:rFonts w:ascii="Calibri" w:hAnsi="Calibri"/>
          <w:color w:val="001F60"/>
        </w:rPr>
        <w:t>orçamentárias</w:t>
      </w:r>
      <w:r>
        <w:rPr>
          <w:rFonts w:ascii="Calibri" w:hAnsi="Calibri"/>
          <w:color w:val="001F60"/>
          <w:spacing w:val="-3"/>
        </w:rPr>
        <w:t xml:space="preserve"> </w:t>
      </w:r>
      <w:r>
        <w:rPr>
          <w:rFonts w:ascii="Calibri" w:hAnsi="Calibri"/>
          <w:color w:val="001F60"/>
        </w:rPr>
        <w:t>executadas</w:t>
      </w:r>
      <w:r>
        <w:rPr>
          <w:rFonts w:ascii="Calibri" w:hAnsi="Calibri"/>
          <w:color w:val="001F60"/>
          <w:spacing w:val="-5"/>
        </w:rPr>
        <w:t xml:space="preserve"> </w:t>
      </w:r>
      <w:r>
        <w:rPr>
          <w:rFonts w:ascii="Calibri" w:hAnsi="Calibri"/>
          <w:color w:val="001F60"/>
        </w:rPr>
        <w:t>em</w:t>
      </w:r>
      <w:r>
        <w:rPr>
          <w:rFonts w:ascii="Calibri" w:hAnsi="Calibri"/>
          <w:color w:val="001F60"/>
          <w:spacing w:val="-5"/>
        </w:rPr>
        <w:t xml:space="preserve"> </w:t>
      </w:r>
      <w:r>
        <w:rPr>
          <w:rFonts w:ascii="Calibri" w:hAnsi="Calibri"/>
          <w:color w:val="001F60"/>
        </w:rPr>
        <w:t>2025</w:t>
      </w:r>
      <w:r>
        <w:rPr>
          <w:rFonts w:ascii="Calibri" w:hAnsi="Calibri"/>
          <w:color w:val="001F60"/>
          <w:spacing w:val="-2"/>
        </w:rPr>
        <w:t xml:space="preserve"> foram:</w:t>
      </w:r>
    </w:p>
    <w:p w14:paraId="054C9236" w14:textId="77777777" w:rsidR="002C6574" w:rsidRDefault="00000000">
      <w:pPr>
        <w:spacing w:before="120"/>
        <w:ind w:left="709" w:right="279"/>
        <w:jc w:val="both"/>
        <w:rPr>
          <w:rFonts w:ascii="Calibri" w:hAnsi="Calibri"/>
        </w:rPr>
      </w:pPr>
      <w:r>
        <w:rPr>
          <w:rFonts w:ascii="Calibri" w:hAnsi="Calibri"/>
          <w:b/>
          <w:color w:val="001F60"/>
        </w:rPr>
        <w:t xml:space="preserve">Ação 4102 - Manutenção e Adequação de Bens Móveis, Veículos, Máquinas e Equipamento: </w:t>
      </w:r>
      <w:r>
        <w:rPr>
          <w:rFonts w:ascii="Calibri" w:hAnsi="Calibri"/>
          <w:color w:val="001F60"/>
        </w:rPr>
        <w:t>realização de serviços de manutenção e adequação de bens classificados no imobilizado, incluindo aquisição voltadas à melhoria qualidade dos serviços prestados.</w:t>
      </w:r>
    </w:p>
    <w:p w14:paraId="6591E799" w14:textId="77777777" w:rsidR="002C6574" w:rsidRDefault="00000000">
      <w:pPr>
        <w:spacing w:before="119"/>
        <w:ind w:left="709" w:right="276"/>
        <w:jc w:val="both"/>
        <w:rPr>
          <w:rFonts w:ascii="Calibri" w:hAnsi="Calibri"/>
        </w:rPr>
      </w:pPr>
      <w:r>
        <w:rPr>
          <w:rFonts w:ascii="Calibri" w:hAnsi="Calibri"/>
          <w:b/>
          <w:color w:val="001F60"/>
        </w:rPr>
        <w:t>Ação</w:t>
      </w:r>
      <w:r>
        <w:rPr>
          <w:rFonts w:ascii="Calibri" w:hAnsi="Calibri"/>
          <w:b/>
          <w:color w:val="001F60"/>
          <w:spacing w:val="-1"/>
        </w:rPr>
        <w:t xml:space="preserve"> </w:t>
      </w:r>
      <w:r>
        <w:rPr>
          <w:rFonts w:ascii="Calibri" w:hAnsi="Calibri"/>
          <w:b/>
          <w:color w:val="001F60"/>
        </w:rPr>
        <w:t>4103 -</w:t>
      </w:r>
      <w:r>
        <w:rPr>
          <w:rFonts w:ascii="Calibri" w:hAnsi="Calibri"/>
          <w:b/>
          <w:color w:val="001F60"/>
          <w:spacing w:val="-1"/>
        </w:rPr>
        <w:t xml:space="preserve"> </w:t>
      </w:r>
      <w:r>
        <w:rPr>
          <w:rFonts w:ascii="Calibri" w:hAnsi="Calibri"/>
          <w:b/>
          <w:color w:val="001F60"/>
        </w:rPr>
        <w:t>Manutenção e Adequação de Ativos de Informática, Informação e</w:t>
      </w:r>
      <w:r>
        <w:rPr>
          <w:rFonts w:ascii="Calibri" w:hAnsi="Calibri"/>
          <w:b/>
          <w:color w:val="001F60"/>
          <w:spacing w:val="-1"/>
        </w:rPr>
        <w:t xml:space="preserve"> </w:t>
      </w:r>
      <w:r>
        <w:rPr>
          <w:rFonts w:ascii="Calibri" w:hAnsi="Calibri"/>
          <w:b/>
          <w:color w:val="001F60"/>
        </w:rPr>
        <w:t>Teleprocessamento</w:t>
      </w:r>
      <w:r>
        <w:rPr>
          <w:rFonts w:ascii="Calibri" w:hAnsi="Calibri"/>
          <w:color w:val="001F60"/>
        </w:rPr>
        <w:t>: execução</w:t>
      </w:r>
      <w:r>
        <w:rPr>
          <w:rFonts w:ascii="Calibri" w:hAnsi="Calibri"/>
          <w:color w:val="001F60"/>
          <w:spacing w:val="-13"/>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serviços</w:t>
      </w:r>
      <w:r>
        <w:rPr>
          <w:rFonts w:ascii="Calibri" w:hAnsi="Calibri"/>
          <w:color w:val="001F60"/>
          <w:spacing w:val="-12"/>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manutenção</w:t>
      </w:r>
      <w:r>
        <w:rPr>
          <w:rFonts w:ascii="Calibri" w:hAnsi="Calibri"/>
          <w:color w:val="001F60"/>
          <w:spacing w:val="-13"/>
        </w:rPr>
        <w:t xml:space="preserve"> </w:t>
      </w:r>
      <w:r>
        <w:rPr>
          <w:rFonts w:ascii="Calibri" w:hAnsi="Calibri"/>
          <w:color w:val="001F60"/>
        </w:rPr>
        <w:t>e</w:t>
      </w:r>
      <w:r>
        <w:rPr>
          <w:rFonts w:ascii="Calibri" w:hAnsi="Calibri"/>
          <w:color w:val="001F60"/>
          <w:spacing w:val="-10"/>
        </w:rPr>
        <w:t xml:space="preserve"> </w:t>
      </w:r>
      <w:r>
        <w:rPr>
          <w:rFonts w:ascii="Calibri" w:hAnsi="Calibri"/>
          <w:color w:val="001F60"/>
        </w:rPr>
        <w:t>aquisições</w:t>
      </w:r>
      <w:r>
        <w:rPr>
          <w:rFonts w:ascii="Calibri" w:hAnsi="Calibri"/>
          <w:color w:val="001F60"/>
          <w:spacing w:val="-12"/>
        </w:rPr>
        <w:t xml:space="preserve"> </w:t>
      </w:r>
      <w:r>
        <w:rPr>
          <w:rFonts w:ascii="Calibri" w:hAnsi="Calibri"/>
          <w:color w:val="001F60"/>
        </w:rPr>
        <w:t>que</w:t>
      </w:r>
      <w:r>
        <w:rPr>
          <w:rFonts w:ascii="Calibri" w:hAnsi="Calibri"/>
          <w:color w:val="001F60"/>
          <w:spacing w:val="-12"/>
        </w:rPr>
        <w:t xml:space="preserve"> </w:t>
      </w:r>
      <w:r>
        <w:rPr>
          <w:rFonts w:ascii="Calibri" w:hAnsi="Calibri"/>
          <w:color w:val="001F60"/>
        </w:rPr>
        <w:t>prolonguem</w:t>
      </w:r>
      <w:r>
        <w:rPr>
          <w:rFonts w:ascii="Calibri" w:hAnsi="Calibri"/>
          <w:color w:val="001F60"/>
          <w:spacing w:val="-10"/>
        </w:rPr>
        <w:t xml:space="preserve"> </w:t>
      </w:r>
      <w:r>
        <w:rPr>
          <w:rFonts w:ascii="Calibri" w:hAnsi="Calibri"/>
          <w:color w:val="001F60"/>
        </w:rPr>
        <w:t>a</w:t>
      </w:r>
      <w:r>
        <w:rPr>
          <w:rFonts w:ascii="Calibri" w:hAnsi="Calibri"/>
          <w:color w:val="001F60"/>
          <w:spacing w:val="-13"/>
        </w:rPr>
        <w:t xml:space="preserve"> </w:t>
      </w:r>
      <w:r>
        <w:rPr>
          <w:rFonts w:ascii="Calibri" w:hAnsi="Calibri"/>
          <w:color w:val="001F60"/>
        </w:rPr>
        <w:t>vida</w:t>
      </w:r>
      <w:r>
        <w:rPr>
          <w:rFonts w:ascii="Calibri" w:hAnsi="Calibri"/>
          <w:color w:val="001F60"/>
          <w:spacing w:val="-12"/>
        </w:rPr>
        <w:t xml:space="preserve"> </w:t>
      </w:r>
      <w:r>
        <w:rPr>
          <w:rFonts w:ascii="Calibri" w:hAnsi="Calibri"/>
          <w:color w:val="001F60"/>
        </w:rPr>
        <w:t>útil</w:t>
      </w:r>
      <w:r>
        <w:rPr>
          <w:rFonts w:ascii="Calibri" w:hAnsi="Calibri"/>
          <w:color w:val="001F60"/>
          <w:spacing w:val="-12"/>
        </w:rPr>
        <w:t xml:space="preserve"> </w:t>
      </w:r>
      <w:r>
        <w:rPr>
          <w:rFonts w:ascii="Calibri" w:hAnsi="Calibri"/>
          <w:color w:val="001F60"/>
        </w:rPr>
        <w:t>dos</w:t>
      </w:r>
      <w:r>
        <w:rPr>
          <w:rFonts w:ascii="Calibri" w:hAnsi="Calibri"/>
          <w:color w:val="001F60"/>
          <w:spacing w:val="-13"/>
        </w:rPr>
        <w:t xml:space="preserve"> </w:t>
      </w:r>
      <w:r>
        <w:rPr>
          <w:rFonts w:ascii="Calibri" w:hAnsi="Calibri"/>
          <w:color w:val="001F60"/>
        </w:rPr>
        <w:t>ativos</w:t>
      </w:r>
      <w:r>
        <w:rPr>
          <w:rFonts w:ascii="Calibri" w:hAnsi="Calibri"/>
          <w:color w:val="001F60"/>
          <w:spacing w:val="-12"/>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informática e aprimorem a prestação dos serviços.</w:t>
      </w:r>
    </w:p>
    <w:p w14:paraId="296ECB73" w14:textId="77777777" w:rsidR="002C6574" w:rsidRDefault="00000000">
      <w:pPr>
        <w:spacing w:before="120"/>
        <w:ind w:left="709" w:right="277"/>
        <w:jc w:val="both"/>
        <w:rPr>
          <w:rFonts w:ascii="Calibri" w:hAnsi="Calibri"/>
        </w:rPr>
      </w:pPr>
      <w:r>
        <w:rPr>
          <w:rFonts w:ascii="Calibri" w:hAnsi="Calibri"/>
          <w:b/>
          <w:color w:val="001F60"/>
        </w:rPr>
        <w:t>21IS</w:t>
      </w:r>
      <w:r>
        <w:rPr>
          <w:rFonts w:ascii="Calibri" w:hAnsi="Calibri"/>
          <w:b/>
          <w:color w:val="001F60"/>
          <w:spacing w:val="-2"/>
        </w:rPr>
        <w:t xml:space="preserve"> </w:t>
      </w:r>
      <w:r>
        <w:rPr>
          <w:rFonts w:ascii="Calibri" w:hAnsi="Calibri"/>
          <w:b/>
          <w:color w:val="001F60"/>
        </w:rPr>
        <w:t>- Operação</w:t>
      </w:r>
      <w:r>
        <w:rPr>
          <w:rFonts w:ascii="Calibri" w:hAnsi="Calibri"/>
          <w:b/>
          <w:color w:val="001F60"/>
          <w:spacing w:val="-3"/>
        </w:rPr>
        <w:t xml:space="preserve"> </w:t>
      </w:r>
      <w:r>
        <w:rPr>
          <w:rFonts w:ascii="Calibri" w:hAnsi="Calibri"/>
          <w:b/>
          <w:color w:val="001F60"/>
        </w:rPr>
        <w:t>do</w:t>
      </w:r>
      <w:r>
        <w:rPr>
          <w:rFonts w:ascii="Calibri" w:hAnsi="Calibri"/>
          <w:b/>
          <w:color w:val="001F60"/>
          <w:spacing w:val="-1"/>
        </w:rPr>
        <w:t xml:space="preserve"> </w:t>
      </w:r>
      <w:r>
        <w:rPr>
          <w:rFonts w:ascii="Calibri" w:hAnsi="Calibri"/>
          <w:b/>
          <w:color w:val="001F60"/>
        </w:rPr>
        <w:t>Satélite Geoestacionário de</w:t>
      </w:r>
      <w:r>
        <w:rPr>
          <w:rFonts w:ascii="Calibri" w:hAnsi="Calibri"/>
          <w:b/>
          <w:color w:val="001F60"/>
          <w:spacing w:val="-2"/>
        </w:rPr>
        <w:t xml:space="preserve"> </w:t>
      </w:r>
      <w:r>
        <w:rPr>
          <w:rFonts w:ascii="Calibri" w:hAnsi="Calibri"/>
          <w:b/>
          <w:color w:val="001F60"/>
        </w:rPr>
        <w:t>Defesa e</w:t>
      </w:r>
      <w:r>
        <w:rPr>
          <w:rFonts w:ascii="Calibri" w:hAnsi="Calibri"/>
          <w:b/>
          <w:color w:val="001F60"/>
          <w:spacing w:val="-4"/>
        </w:rPr>
        <w:t xml:space="preserve"> </w:t>
      </w:r>
      <w:r>
        <w:rPr>
          <w:rFonts w:ascii="Calibri" w:hAnsi="Calibri"/>
          <w:b/>
          <w:color w:val="001F60"/>
        </w:rPr>
        <w:t>Comunicação</w:t>
      </w:r>
      <w:r>
        <w:rPr>
          <w:rFonts w:ascii="Calibri" w:hAnsi="Calibri"/>
          <w:b/>
          <w:color w:val="001F60"/>
          <w:spacing w:val="-1"/>
        </w:rPr>
        <w:t xml:space="preserve"> </w:t>
      </w:r>
      <w:r>
        <w:rPr>
          <w:rFonts w:ascii="Calibri" w:hAnsi="Calibri"/>
          <w:b/>
          <w:color w:val="001F60"/>
        </w:rPr>
        <w:t>–</w:t>
      </w:r>
      <w:r>
        <w:rPr>
          <w:rFonts w:ascii="Calibri" w:hAnsi="Calibri"/>
          <w:b/>
          <w:color w:val="001F60"/>
          <w:spacing w:val="-1"/>
        </w:rPr>
        <w:t xml:space="preserve"> </w:t>
      </w:r>
      <w:r>
        <w:rPr>
          <w:rFonts w:ascii="Calibri" w:hAnsi="Calibri"/>
          <w:b/>
          <w:color w:val="001F60"/>
        </w:rPr>
        <w:t>SGDC</w:t>
      </w:r>
      <w:r>
        <w:rPr>
          <w:rFonts w:ascii="Calibri" w:hAnsi="Calibri"/>
          <w:color w:val="001F60"/>
        </w:rPr>
        <w:t>:</w:t>
      </w:r>
      <w:r>
        <w:rPr>
          <w:rFonts w:ascii="Calibri" w:hAnsi="Calibri"/>
          <w:color w:val="001F60"/>
          <w:spacing w:val="-1"/>
        </w:rPr>
        <w:t xml:space="preserve"> </w:t>
      </w:r>
      <w:r>
        <w:rPr>
          <w:rFonts w:ascii="Calibri" w:hAnsi="Calibri"/>
          <w:color w:val="001F60"/>
        </w:rPr>
        <w:t>atividades contínuas de operação e manutenção do Satélite Geoestacionário de Defesa e Comunicação – SGDC.</w:t>
      </w:r>
    </w:p>
    <w:p w14:paraId="1A7FBFB7" w14:textId="77777777" w:rsidR="002C6574" w:rsidRDefault="00000000">
      <w:pPr>
        <w:spacing w:before="121"/>
        <w:ind w:left="709" w:right="278"/>
        <w:jc w:val="both"/>
        <w:rPr>
          <w:rFonts w:ascii="Calibri" w:hAnsi="Calibri"/>
        </w:rPr>
      </w:pPr>
      <w:r>
        <w:rPr>
          <w:rFonts w:ascii="Calibri" w:hAnsi="Calibri"/>
          <w:b/>
          <w:color w:val="001F60"/>
        </w:rPr>
        <w:t>169W - Benfeitorias em Bens da União por Empresas Estatais</w:t>
      </w:r>
      <w:r>
        <w:rPr>
          <w:rFonts w:ascii="Calibri" w:hAnsi="Calibri"/>
          <w:color w:val="001F60"/>
        </w:rPr>
        <w:t>: registro das intervenções realizadas em bens da União sob responsabilidade operacional da empresa.</w:t>
      </w:r>
    </w:p>
    <w:p w14:paraId="31EA8727" w14:textId="77777777" w:rsidR="002C6574" w:rsidRDefault="00000000">
      <w:pPr>
        <w:numPr>
          <w:ilvl w:val="1"/>
          <w:numId w:val="74"/>
        </w:numPr>
        <w:tabs>
          <w:tab w:val="left" w:pos="1275"/>
        </w:tabs>
        <w:spacing w:before="240"/>
        <w:ind w:left="1275" w:hanging="566"/>
        <w:rPr>
          <w:rFonts w:ascii="Calibri"/>
          <w:b/>
        </w:rPr>
      </w:pPr>
      <w:r>
        <w:rPr>
          <w:rFonts w:ascii="Calibri"/>
          <w:b/>
          <w:color w:val="001F60"/>
        </w:rPr>
        <w:t>Investimentos</w:t>
      </w:r>
      <w:r>
        <w:rPr>
          <w:rFonts w:ascii="Calibri"/>
          <w:b/>
          <w:color w:val="001F60"/>
          <w:spacing w:val="-5"/>
        </w:rPr>
        <w:t xml:space="preserve"> </w:t>
      </w:r>
      <w:r>
        <w:rPr>
          <w:rFonts w:ascii="Calibri"/>
          <w:b/>
          <w:color w:val="001F60"/>
        </w:rPr>
        <w:t>em</w:t>
      </w:r>
      <w:r>
        <w:rPr>
          <w:rFonts w:ascii="Calibri"/>
          <w:b/>
          <w:color w:val="001F60"/>
          <w:spacing w:val="-5"/>
        </w:rPr>
        <w:t xml:space="preserve"> </w:t>
      </w:r>
      <w:r>
        <w:rPr>
          <w:rFonts w:ascii="Calibri"/>
          <w:b/>
          <w:color w:val="001F60"/>
        </w:rPr>
        <w:t>sociedades</w:t>
      </w:r>
      <w:r>
        <w:rPr>
          <w:rFonts w:ascii="Calibri"/>
          <w:b/>
          <w:color w:val="001F60"/>
          <w:spacing w:val="-5"/>
        </w:rPr>
        <w:t xml:space="preserve"> </w:t>
      </w:r>
      <w:r>
        <w:rPr>
          <w:rFonts w:ascii="Calibri"/>
          <w:b/>
          <w:color w:val="001F60"/>
        </w:rPr>
        <w:t>coligadas</w:t>
      </w:r>
      <w:r>
        <w:rPr>
          <w:rFonts w:ascii="Calibri"/>
          <w:b/>
          <w:color w:val="001F60"/>
          <w:spacing w:val="-4"/>
        </w:rPr>
        <w:t xml:space="preserve"> </w:t>
      </w:r>
      <w:r>
        <w:rPr>
          <w:rFonts w:ascii="Calibri"/>
          <w:b/>
          <w:color w:val="001F60"/>
        </w:rPr>
        <w:t>e/ou</w:t>
      </w:r>
      <w:r>
        <w:rPr>
          <w:rFonts w:ascii="Calibri"/>
          <w:b/>
          <w:color w:val="001F60"/>
          <w:spacing w:val="-4"/>
        </w:rPr>
        <w:t xml:space="preserve"> </w:t>
      </w:r>
      <w:r>
        <w:rPr>
          <w:rFonts w:ascii="Calibri"/>
          <w:b/>
          <w:color w:val="001F60"/>
          <w:spacing w:val="-2"/>
        </w:rPr>
        <w:t>controladas</w:t>
      </w:r>
    </w:p>
    <w:p w14:paraId="0D4FBB70" w14:textId="77777777" w:rsidR="002C6574" w:rsidRDefault="002C6574">
      <w:pPr>
        <w:pStyle w:val="Corpodetexto"/>
        <w:spacing w:before="10"/>
        <w:rPr>
          <w:rFonts w:ascii="Calibri"/>
          <w:b/>
        </w:rPr>
      </w:pPr>
    </w:p>
    <w:p w14:paraId="46D66A1D" w14:textId="77777777" w:rsidR="002C6574" w:rsidRDefault="00000000">
      <w:pPr>
        <w:pStyle w:val="Corpodetexto"/>
        <w:ind w:left="709" w:right="278"/>
        <w:jc w:val="both"/>
        <w:rPr>
          <w:rFonts w:ascii="Calibri" w:hAnsi="Calibri"/>
        </w:rPr>
      </w:pPr>
      <w:r>
        <w:rPr>
          <w:rFonts w:ascii="Calibri" w:hAnsi="Calibri"/>
          <w:color w:val="001F60"/>
        </w:rPr>
        <w:t>A</w:t>
      </w:r>
      <w:r>
        <w:rPr>
          <w:rFonts w:ascii="Calibri" w:hAnsi="Calibri"/>
          <w:color w:val="001F60"/>
          <w:spacing w:val="-6"/>
        </w:rPr>
        <w:t xml:space="preserve"> </w:t>
      </w:r>
      <w:r>
        <w:rPr>
          <w:rFonts w:ascii="Calibri" w:hAnsi="Calibri"/>
          <w:color w:val="001F60"/>
        </w:rPr>
        <w:t>Telebras</w:t>
      </w:r>
      <w:r>
        <w:rPr>
          <w:rFonts w:ascii="Calibri" w:hAnsi="Calibri"/>
          <w:color w:val="001F60"/>
          <w:spacing w:val="-6"/>
        </w:rPr>
        <w:t xml:space="preserve"> </w:t>
      </w:r>
      <w:r>
        <w:rPr>
          <w:rFonts w:ascii="Calibri" w:hAnsi="Calibri"/>
          <w:color w:val="001F60"/>
        </w:rPr>
        <w:t>detém</w:t>
      </w:r>
      <w:r>
        <w:rPr>
          <w:rFonts w:ascii="Calibri" w:hAnsi="Calibri"/>
          <w:color w:val="001F60"/>
          <w:spacing w:val="-1"/>
        </w:rPr>
        <w:t xml:space="preserve"> </w:t>
      </w:r>
      <w:r>
        <w:rPr>
          <w:rFonts w:ascii="Calibri" w:hAnsi="Calibri"/>
          <w:color w:val="001F60"/>
        </w:rPr>
        <w:t>participação</w:t>
      </w:r>
      <w:r>
        <w:rPr>
          <w:rFonts w:ascii="Calibri" w:hAnsi="Calibri"/>
          <w:color w:val="001F60"/>
          <w:spacing w:val="-4"/>
        </w:rPr>
        <w:t xml:space="preserve"> </w:t>
      </w:r>
      <w:r>
        <w:rPr>
          <w:rFonts w:ascii="Calibri" w:hAnsi="Calibri"/>
          <w:color w:val="001F60"/>
        </w:rPr>
        <w:t>acionária</w:t>
      </w:r>
      <w:r>
        <w:rPr>
          <w:rFonts w:ascii="Calibri" w:hAnsi="Calibri"/>
          <w:color w:val="001F60"/>
          <w:spacing w:val="-8"/>
        </w:rPr>
        <w:t xml:space="preserve"> </w:t>
      </w:r>
      <w:r>
        <w:rPr>
          <w:rFonts w:ascii="Calibri" w:hAnsi="Calibri"/>
          <w:color w:val="001F60"/>
        </w:rPr>
        <w:t>na</w:t>
      </w:r>
      <w:r>
        <w:rPr>
          <w:rFonts w:ascii="Calibri" w:hAnsi="Calibri"/>
          <w:color w:val="001F60"/>
          <w:spacing w:val="-4"/>
        </w:rPr>
        <w:t xml:space="preserve"> </w:t>
      </w:r>
      <w:r>
        <w:rPr>
          <w:rFonts w:ascii="Calibri" w:hAnsi="Calibri"/>
          <w:color w:val="001F60"/>
        </w:rPr>
        <w:t>Visiona</w:t>
      </w:r>
      <w:r>
        <w:rPr>
          <w:rFonts w:ascii="Calibri" w:hAnsi="Calibri"/>
          <w:color w:val="001F60"/>
          <w:spacing w:val="-4"/>
        </w:rPr>
        <w:t xml:space="preserve"> </w:t>
      </w:r>
      <w:r>
        <w:rPr>
          <w:rFonts w:ascii="Calibri" w:hAnsi="Calibri"/>
          <w:color w:val="001F60"/>
        </w:rPr>
        <w:t>Tecnologia</w:t>
      </w:r>
      <w:r>
        <w:rPr>
          <w:rFonts w:ascii="Calibri" w:hAnsi="Calibri"/>
          <w:color w:val="001F60"/>
          <w:spacing w:val="-6"/>
        </w:rPr>
        <w:t xml:space="preserve"> </w:t>
      </w:r>
      <w:r>
        <w:rPr>
          <w:rFonts w:ascii="Calibri" w:hAnsi="Calibri"/>
          <w:color w:val="001F60"/>
        </w:rPr>
        <w:t>Espacial</w:t>
      </w:r>
      <w:r>
        <w:rPr>
          <w:rFonts w:ascii="Calibri" w:hAnsi="Calibri"/>
          <w:color w:val="001F60"/>
          <w:spacing w:val="-8"/>
        </w:rPr>
        <w:t xml:space="preserve"> </w:t>
      </w:r>
      <w:r>
        <w:rPr>
          <w:rFonts w:ascii="Calibri" w:hAnsi="Calibri"/>
          <w:color w:val="001F60"/>
        </w:rPr>
        <w:t>S.A.,</w:t>
      </w:r>
      <w:r>
        <w:rPr>
          <w:rFonts w:ascii="Calibri" w:hAnsi="Calibri"/>
          <w:color w:val="001F60"/>
          <w:spacing w:val="-4"/>
        </w:rPr>
        <w:t xml:space="preserve"> </w:t>
      </w:r>
      <w:r>
        <w:rPr>
          <w:rFonts w:ascii="Calibri" w:hAnsi="Calibri"/>
          <w:color w:val="001F60"/>
        </w:rPr>
        <w:t>uma</w:t>
      </w:r>
      <w:r>
        <w:rPr>
          <w:rFonts w:ascii="Calibri" w:hAnsi="Calibri"/>
          <w:color w:val="001F60"/>
          <w:spacing w:val="-10"/>
        </w:rPr>
        <w:t xml:space="preserve"> </w:t>
      </w:r>
      <w:r>
        <w:rPr>
          <w:rFonts w:ascii="Calibri" w:hAnsi="Calibri"/>
          <w:color w:val="001F60"/>
        </w:rPr>
        <w:t>empresa</w:t>
      </w:r>
      <w:r>
        <w:rPr>
          <w:rFonts w:ascii="Calibri" w:hAnsi="Calibri"/>
          <w:color w:val="001F60"/>
          <w:spacing w:val="-6"/>
        </w:rPr>
        <w:t xml:space="preserve"> </w:t>
      </w:r>
      <w:r>
        <w:rPr>
          <w:rFonts w:ascii="Calibri" w:hAnsi="Calibri"/>
          <w:color w:val="001F60"/>
        </w:rPr>
        <w:t>constituída em 14 de junho de 2011 e</w:t>
      </w:r>
      <w:r>
        <w:rPr>
          <w:rFonts w:ascii="Calibri" w:hAnsi="Calibri"/>
          <w:color w:val="001F60"/>
          <w:spacing w:val="-2"/>
        </w:rPr>
        <w:t xml:space="preserve"> </w:t>
      </w:r>
      <w:r>
        <w:rPr>
          <w:rFonts w:ascii="Calibri" w:hAnsi="Calibri"/>
          <w:color w:val="001F60"/>
        </w:rPr>
        <w:t>sediada em São José dos Campos, no Estado de São</w:t>
      </w:r>
      <w:r>
        <w:rPr>
          <w:rFonts w:ascii="Calibri" w:hAnsi="Calibri"/>
          <w:color w:val="001F60"/>
          <w:spacing w:val="-1"/>
        </w:rPr>
        <w:t xml:space="preserve"> </w:t>
      </w:r>
      <w:r>
        <w:rPr>
          <w:rFonts w:ascii="Calibri" w:hAnsi="Calibri"/>
          <w:color w:val="001F60"/>
        </w:rPr>
        <w:t>Paulo. A VISIONA</w:t>
      </w:r>
      <w:r>
        <w:rPr>
          <w:rFonts w:ascii="Calibri" w:hAnsi="Calibri"/>
          <w:color w:val="001F60"/>
          <w:spacing w:val="-1"/>
        </w:rPr>
        <w:t xml:space="preserve"> </w:t>
      </w:r>
      <w:r>
        <w:rPr>
          <w:rFonts w:ascii="Calibri" w:hAnsi="Calibri"/>
          <w:color w:val="001F60"/>
        </w:rPr>
        <w:t>atua em diversas atividades do setor aeroespacial, abrangendo pesquisa, desenvolvimento, fabricação e prestação de serviços relacionados a satélites e sistemas aeroespaciais.</w:t>
      </w:r>
      <w:r>
        <w:rPr>
          <w:rFonts w:ascii="Calibri" w:hAnsi="Calibri"/>
          <w:color w:val="001F60"/>
          <w:spacing w:val="40"/>
        </w:rPr>
        <w:t xml:space="preserve"> </w:t>
      </w:r>
      <w:r>
        <w:rPr>
          <w:rFonts w:ascii="Calibri" w:hAnsi="Calibri"/>
          <w:color w:val="001F60"/>
        </w:rPr>
        <w:t>Entre suas competências, destacam-se</w:t>
      </w:r>
      <w:r>
        <w:rPr>
          <w:rFonts w:ascii="Calibri" w:hAnsi="Calibri"/>
          <w:color w:val="001F60"/>
          <w:spacing w:val="-4"/>
        </w:rPr>
        <w:t xml:space="preserve"> </w:t>
      </w:r>
      <w:r>
        <w:rPr>
          <w:rFonts w:ascii="Calibri" w:hAnsi="Calibri"/>
          <w:color w:val="001F60"/>
        </w:rPr>
        <w:t>a manutenção,</w:t>
      </w:r>
      <w:r>
        <w:rPr>
          <w:rFonts w:ascii="Calibri" w:hAnsi="Calibri"/>
          <w:color w:val="001F60"/>
          <w:spacing w:val="-3"/>
        </w:rPr>
        <w:t xml:space="preserve"> </w:t>
      </w:r>
      <w:r>
        <w:rPr>
          <w:rFonts w:ascii="Calibri" w:hAnsi="Calibri"/>
          <w:color w:val="001F60"/>
        </w:rPr>
        <w:t>modernização,</w:t>
      </w:r>
      <w:r>
        <w:rPr>
          <w:rFonts w:ascii="Calibri" w:hAnsi="Calibri"/>
          <w:color w:val="001F60"/>
          <w:spacing w:val="-3"/>
        </w:rPr>
        <w:t xml:space="preserve"> </w:t>
      </w:r>
      <w:r>
        <w:rPr>
          <w:rFonts w:ascii="Calibri" w:hAnsi="Calibri"/>
          <w:color w:val="001F60"/>
        </w:rPr>
        <w:t>comercialização</w:t>
      </w:r>
      <w:r>
        <w:rPr>
          <w:rFonts w:ascii="Calibri" w:hAnsi="Calibri"/>
          <w:color w:val="001F60"/>
          <w:spacing w:val="-3"/>
        </w:rPr>
        <w:t xml:space="preserve"> </w:t>
      </w:r>
      <w:r>
        <w:rPr>
          <w:rFonts w:ascii="Calibri" w:hAnsi="Calibri"/>
          <w:color w:val="001F60"/>
        </w:rPr>
        <w:t>e</w:t>
      </w:r>
      <w:r>
        <w:rPr>
          <w:rFonts w:ascii="Calibri" w:hAnsi="Calibri"/>
          <w:color w:val="001F60"/>
          <w:spacing w:val="-1"/>
        </w:rPr>
        <w:t xml:space="preserve"> </w:t>
      </w:r>
      <w:r>
        <w:rPr>
          <w:rFonts w:ascii="Calibri" w:hAnsi="Calibri"/>
          <w:color w:val="001F60"/>
        </w:rPr>
        <w:t>operação</w:t>
      </w:r>
      <w:r>
        <w:rPr>
          <w:rFonts w:ascii="Calibri" w:hAnsi="Calibri"/>
          <w:color w:val="001F60"/>
          <w:spacing w:val="-2"/>
        </w:rPr>
        <w:t xml:space="preserve"> </w:t>
      </w:r>
      <w:r>
        <w:rPr>
          <w:rFonts w:ascii="Calibri" w:hAnsi="Calibri"/>
          <w:color w:val="001F60"/>
        </w:rPr>
        <w:t>de</w:t>
      </w:r>
      <w:r>
        <w:rPr>
          <w:rFonts w:ascii="Calibri" w:hAnsi="Calibri"/>
          <w:color w:val="001F60"/>
          <w:spacing w:val="-2"/>
        </w:rPr>
        <w:t xml:space="preserve"> </w:t>
      </w:r>
      <w:r>
        <w:rPr>
          <w:rFonts w:ascii="Calibri" w:hAnsi="Calibri"/>
          <w:color w:val="001F60"/>
        </w:rPr>
        <w:t>satélites,</w:t>
      </w:r>
      <w:r>
        <w:rPr>
          <w:rFonts w:ascii="Calibri" w:hAnsi="Calibri"/>
          <w:color w:val="001F60"/>
          <w:spacing w:val="-3"/>
        </w:rPr>
        <w:t xml:space="preserve"> </w:t>
      </w:r>
      <w:r>
        <w:rPr>
          <w:rFonts w:ascii="Calibri" w:hAnsi="Calibri"/>
          <w:color w:val="001F60"/>
        </w:rPr>
        <w:t>estações de solo e demais equipamentos associados.</w:t>
      </w:r>
    </w:p>
    <w:p w14:paraId="2AB1BDBE" w14:textId="77777777" w:rsidR="002C6574" w:rsidRDefault="00000000">
      <w:pPr>
        <w:pStyle w:val="Corpodetexto"/>
        <w:spacing w:before="122"/>
        <w:ind w:left="709" w:right="278"/>
        <w:jc w:val="both"/>
        <w:rPr>
          <w:rFonts w:ascii="Calibri" w:hAnsi="Calibri"/>
        </w:rPr>
      </w:pPr>
      <w:r>
        <w:rPr>
          <w:rFonts w:ascii="Calibri" w:hAnsi="Calibri"/>
          <w:color w:val="001F60"/>
        </w:rPr>
        <w:t>A</w:t>
      </w:r>
      <w:r>
        <w:rPr>
          <w:rFonts w:ascii="Calibri" w:hAnsi="Calibri"/>
          <w:color w:val="001F60"/>
          <w:spacing w:val="-8"/>
        </w:rPr>
        <w:t xml:space="preserve"> </w:t>
      </w:r>
      <w:r>
        <w:rPr>
          <w:rFonts w:ascii="Calibri" w:hAnsi="Calibri"/>
          <w:color w:val="001F60"/>
        </w:rPr>
        <w:t>VISIONA</w:t>
      </w:r>
      <w:r>
        <w:rPr>
          <w:rFonts w:ascii="Calibri" w:hAnsi="Calibri"/>
          <w:color w:val="001F60"/>
          <w:spacing w:val="-8"/>
        </w:rPr>
        <w:t xml:space="preserve"> </w:t>
      </w:r>
      <w:r>
        <w:rPr>
          <w:rFonts w:ascii="Calibri" w:hAnsi="Calibri"/>
          <w:color w:val="001F60"/>
        </w:rPr>
        <w:t>é</w:t>
      </w:r>
      <w:r>
        <w:rPr>
          <w:rFonts w:ascii="Calibri" w:hAnsi="Calibri"/>
          <w:color w:val="001F60"/>
          <w:spacing w:val="-6"/>
        </w:rPr>
        <w:t xml:space="preserve"> </w:t>
      </w:r>
      <w:r>
        <w:rPr>
          <w:rFonts w:ascii="Calibri" w:hAnsi="Calibri"/>
          <w:color w:val="001F60"/>
        </w:rPr>
        <w:t>uma</w:t>
      </w:r>
      <w:r>
        <w:rPr>
          <w:rFonts w:ascii="Calibri" w:hAnsi="Calibri"/>
          <w:color w:val="001F60"/>
          <w:spacing w:val="-6"/>
        </w:rPr>
        <w:t xml:space="preserve"> </w:t>
      </w:r>
      <w:r>
        <w:rPr>
          <w:rFonts w:ascii="Calibri" w:hAnsi="Calibri"/>
          <w:color w:val="001F60"/>
        </w:rPr>
        <w:t>sociedade</w:t>
      </w:r>
      <w:r>
        <w:rPr>
          <w:rFonts w:ascii="Calibri" w:hAnsi="Calibri"/>
          <w:color w:val="001F60"/>
          <w:spacing w:val="-6"/>
        </w:rPr>
        <w:t xml:space="preserve"> </w:t>
      </w:r>
      <w:r>
        <w:rPr>
          <w:rFonts w:ascii="Calibri" w:hAnsi="Calibri"/>
          <w:color w:val="001F60"/>
        </w:rPr>
        <w:t>empresarial</w:t>
      </w:r>
      <w:r>
        <w:rPr>
          <w:rFonts w:ascii="Calibri" w:hAnsi="Calibri"/>
          <w:color w:val="001F60"/>
          <w:spacing w:val="-8"/>
        </w:rPr>
        <w:t xml:space="preserve"> </w:t>
      </w:r>
      <w:r>
        <w:rPr>
          <w:rFonts w:ascii="Calibri" w:hAnsi="Calibri"/>
          <w:color w:val="001F60"/>
        </w:rPr>
        <w:t>formada</w:t>
      </w:r>
      <w:r>
        <w:rPr>
          <w:rFonts w:ascii="Calibri" w:hAnsi="Calibri"/>
          <w:color w:val="001F60"/>
          <w:spacing w:val="-10"/>
        </w:rPr>
        <w:t xml:space="preserve"> </w:t>
      </w:r>
      <w:r>
        <w:rPr>
          <w:rFonts w:ascii="Calibri" w:hAnsi="Calibri"/>
          <w:color w:val="001F60"/>
        </w:rPr>
        <w:t>pela</w:t>
      </w:r>
      <w:r>
        <w:rPr>
          <w:rFonts w:ascii="Calibri" w:hAnsi="Calibri"/>
          <w:color w:val="001F60"/>
          <w:spacing w:val="-8"/>
        </w:rPr>
        <w:t xml:space="preserve"> </w:t>
      </w:r>
      <w:r>
        <w:rPr>
          <w:rFonts w:ascii="Calibri" w:hAnsi="Calibri"/>
          <w:color w:val="001F60"/>
        </w:rPr>
        <w:t>Embraer</w:t>
      </w:r>
      <w:r>
        <w:rPr>
          <w:rFonts w:ascii="Calibri" w:hAnsi="Calibri"/>
          <w:color w:val="001F60"/>
          <w:spacing w:val="-8"/>
        </w:rPr>
        <w:t xml:space="preserve"> </w:t>
      </w:r>
      <w:r>
        <w:rPr>
          <w:rFonts w:ascii="Calibri" w:hAnsi="Calibri"/>
          <w:color w:val="001F60"/>
        </w:rPr>
        <w:t>Defesa</w:t>
      </w:r>
      <w:r>
        <w:rPr>
          <w:rFonts w:ascii="Calibri" w:hAnsi="Calibri"/>
          <w:color w:val="001F60"/>
          <w:spacing w:val="-8"/>
        </w:rPr>
        <w:t xml:space="preserve"> </w:t>
      </w:r>
      <w:r>
        <w:rPr>
          <w:rFonts w:ascii="Calibri" w:hAnsi="Calibri"/>
          <w:color w:val="001F60"/>
        </w:rPr>
        <w:t>e</w:t>
      </w:r>
      <w:r>
        <w:rPr>
          <w:rFonts w:ascii="Calibri" w:hAnsi="Calibri"/>
          <w:color w:val="001F60"/>
          <w:spacing w:val="-8"/>
        </w:rPr>
        <w:t xml:space="preserve"> </w:t>
      </w:r>
      <w:r>
        <w:rPr>
          <w:rFonts w:ascii="Calibri" w:hAnsi="Calibri"/>
          <w:color w:val="001F60"/>
        </w:rPr>
        <w:t>Segurança</w:t>
      </w:r>
      <w:r>
        <w:rPr>
          <w:rFonts w:ascii="Calibri" w:hAnsi="Calibri"/>
          <w:color w:val="001F60"/>
          <w:spacing w:val="-8"/>
        </w:rPr>
        <w:t xml:space="preserve"> </w:t>
      </w:r>
      <w:r>
        <w:rPr>
          <w:rFonts w:ascii="Calibri" w:hAnsi="Calibri"/>
          <w:color w:val="001F60"/>
        </w:rPr>
        <w:t>Participações</w:t>
      </w:r>
      <w:r>
        <w:rPr>
          <w:rFonts w:ascii="Calibri" w:hAnsi="Calibri"/>
          <w:color w:val="001F60"/>
          <w:spacing w:val="-11"/>
        </w:rPr>
        <w:t xml:space="preserve"> </w:t>
      </w:r>
      <w:r>
        <w:rPr>
          <w:rFonts w:ascii="Calibri" w:hAnsi="Calibri"/>
          <w:color w:val="001F60"/>
        </w:rPr>
        <w:t>S.A., detentora</w:t>
      </w:r>
      <w:r>
        <w:rPr>
          <w:rFonts w:ascii="Calibri" w:hAnsi="Calibri"/>
          <w:color w:val="001F60"/>
          <w:spacing w:val="-9"/>
        </w:rPr>
        <w:t xml:space="preserve"> </w:t>
      </w:r>
      <w:r>
        <w:rPr>
          <w:rFonts w:ascii="Calibri" w:hAnsi="Calibri"/>
          <w:color w:val="001F60"/>
        </w:rPr>
        <w:t>de</w:t>
      </w:r>
      <w:r>
        <w:rPr>
          <w:rFonts w:ascii="Calibri" w:hAnsi="Calibri"/>
          <w:color w:val="001F60"/>
          <w:spacing w:val="-11"/>
        </w:rPr>
        <w:t xml:space="preserve"> </w:t>
      </w:r>
      <w:r>
        <w:rPr>
          <w:rFonts w:ascii="Calibri" w:hAnsi="Calibri"/>
          <w:color w:val="001F60"/>
        </w:rPr>
        <w:t>51%</w:t>
      </w:r>
      <w:r>
        <w:rPr>
          <w:rFonts w:ascii="Calibri" w:hAnsi="Calibri"/>
          <w:color w:val="001F60"/>
          <w:spacing w:val="-10"/>
        </w:rPr>
        <w:t xml:space="preserve"> </w:t>
      </w:r>
      <w:r>
        <w:rPr>
          <w:rFonts w:ascii="Calibri" w:hAnsi="Calibri"/>
          <w:color w:val="001F60"/>
        </w:rPr>
        <w:t>do</w:t>
      </w:r>
      <w:r>
        <w:rPr>
          <w:rFonts w:ascii="Calibri" w:hAnsi="Calibri"/>
          <w:color w:val="001F60"/>
          <w:spacing w:val="-8"/>
        </w:rPr>
        <w:t xml:space="preserve"> </w:t>
      </w:r>
      <w:r>
        <w:rPr>
          <w:rFonts w:ascii="Calibri" w:hAnsi="Calibri"/>
          <w:color w:val="001F60"/>
        </w:rPr>
        <w:t>capital</w:t>
      </w:r>
      <w:r>
        <w:rPr>
          <w:rFonts w:ascii="Calibri" w:hAnsi="Calibri"/>
          <w:color w:val="001F60"/>
          <w:spacing w:val="-11"/>
        </w:rPr>
        <w:t xml:space="preserve"> </w:t>
      </w:r>
      <w:r>
        <w:rPr>
          <w:rFonts w:ascii="Calibri" w:hAnsi="Calibri"/>
          <w:color w:val="001F60"/>
        </w:rPr>
        <w:t>social,</w:t>
      </w:r>
      <w:r>
        <w:rPr>
          <w:rFonts w:ascii="Calibri" w:hAnsi="Calibri"/>
          <w:color w:val="001F60"/>
          <w:spacing w:val="-11"/>
        </w:rPr>
        <w:t xml:space="preserve"> </w:t>
      </w:r>
      <w:r>
        <w:rPr>
          <w:rFonts w:ascii="Calibri" w:hAnsi="Calibri"/>
          <w:color w:val="001F60"/>
        </w:rPr>
        <w:t>e</w:t>
      </w:r>
      <w:r>
        <w:rPr>
          <w:rFonts w:ascii="Calibri" w:hAnsi="Calibri"/>
          <w:color w:val="001F60"/>
          <w:spacing w:val="-11"/>
        </w:rPr>
        <w:t xml:space="preserve"> </w:t>
      </w:r>
      <w:r>
        <w:rPr>
          <w:rFonts w:ascii="Calibri" w:hAnsi="Calibri"/>
          <w:color w:val="001F60"/>
        </w:rPr>
        <w:t>a</w:t>
      </w:r>
      <w:r>
        <w:rPr>
          <w:rFonts w:ascii="Calibri" w:hAnsi="Calibri"/>
          <w:color w:val="001F60"/>
          <w:spacing w:val="-13"/>
        </w:rPr>
        <w:t xml:space="preserve"> </w:t>
      </w:r>
      <w:r>
        <w:rPr>
          <w:rFonts w:ascii="Calibri" w:hAnsi="Calibri"/>
          <w:color w:val="001F60"/>
        </w:rPr>
        <w:t>Telecomunicações</w:t>
      </w:r>
      <w:r>
        <w:rPr>
          <w:rFonts w:ascii="Calibri" w:hAnsi="Calibri"/>
          <w:color w:val="001F60"/>
          <w:spacing w:val="-8"/>
        </w:rPr>
        <w:t xml:space="preserve"> </w:t>
      </w:r>
      <w:r>
        <w:rPr>
          <w:rFonts w:ascii="Calibri" w:hAnsi="Calibri"/>
          <w:color w:val="001F60"/>
        </w:rPr>
        <w:t>Brasileiras</w:t>
      </w:r>
      <w:r>
        <w:rPr>
          <w:rFonts w:ascii="Calibri" w:hAnsi="Calibri"/>
          <w:color w:val="001F60"/>
          <w:spacing w:val="-11"/>
        </w:rPr>
        <w:t xml:space="preserve"> </w:t>
      </w:r>
      <w:r>
        <w:rPr>
          <w:rFonts w:ascii="Calibri" w:hAnsi="Calibri"/>
          <w:color w:val="001F60"/>
        </w:rPr>
        <w:t>S.A.</w:t>
      </w:r>
      <w:r>
        <w:rPr>
          <w:rFonts w:ascii="Calibri" w:hAnsi="Calibri"/>
          <w:color w:val="001F60"/>
          <w:spacing w:val="-11"/>
        </w:rPr>
        <w:t xml:space="preserve"> </w:t>
      </w:r>
      <w:r>
        <w:rPr>
          <w:rFonts w:ascii="Calibri" w:hAnsi="Calibri"/>
          <w:color w:val="001F60"/>
        </w:rPr>
        <w:t>(Telebras),</w:t>
      </w:r>
      <w:r>
        <w:rPr>
          <w:rFonts w:ascii="Calibri" w:hAnsi="Calibri"/>
          <w:color w:val="001F60"/>
          <w:spacing w:val="-11"/>
        </w:rPr>
        <w:t xml:space="preserve"> </w:t>
      </w:r>
      <w:r>
        <w:rPr>
          <w:rFonts w:ascii="Calibri" w:hAnsi="Calibri"/>
          <w:color w:val="001F60"/>
        </w:rPr>
        <w:t>que</w:t>
      </w:r>
      <w:r>
        <w:rPr>
          <w:rFonts w:ascii="Calibri" w:hAnsi="Calibri"/>
          <w:color w:val="001F60"/>
          <w:spacing w:val="-9"/>
        </w:rPr>
        <w:t xml:space="preserve"> </w:t>
      </w:r>
      <w:r>
        <w:rPr>
          <w:rFonts w:ascii="Calibri" w:hAnsi="Calibri"/>
          <w:color w:val="001F60"/>
        </w:rPr>
        <w:t>possui</w:t>
      </w:r>
      <w:r>
        <w:rPr>
          <w:rFonts w:ascii="Calibri" w:hAnsi="Calibri"/>
          <w:color w:val="001F60"/>
          <w:spacing w:val="-13"/>
        </w:rPr>
        <w:t xml:space="preserve"> </w:t>
      </w:r>
      <w:r>
        <w:rPr>
          <w:rFonts w:ascii="Calibri" w:hAnsi="Calibri"/>
          <w:color w:val="001F60"/>
        </w:rPr>
        <w:t>os</w:t>
      </w:r>
      <w:r>
        <w:rPr>
          <w:rFonts w:ascii="Calibri" w:hAnsi="Calibri"/>
          <w:color w:val="001F60"/>
          <w:spacing w:val="-10"/>
        </w:rPr>
        <w:t xml:space="preserve"> </w:t>
      </w:r>
      <w:r>
        <w:rPr>
          <w:rFonts w:ascii="Calibri" w:hAnsi="Calibri"/>
          <w:color w:val="001F60"/>
        </w:rPr>
        <w:t>49% restantes.</w:t>
      </w:r>
      <w:r>
        <w:rPr>
          <w:rFonts w:ascii="Calibri" w:hAnsi="Calibri"/>
          <w:color w:val="001F60"/>
          <w:spacing w:val="-10"/>
        </w:rPr>
        <w:t xml:space="preserve"> </w:t>
      </w:r>
      <w:r>
        <w:rPr>
          <w:rFonts w:ascii="Calibri" w:hAnsi="Calibri"/>
          <w:color w:val="001F60"/>
        </w:rPr>
        <w:t>A</w:t>
      </w:r>
      <w:r>
        <w:rPr>
          <w:rFonts w:ascii="Calibri" w:hAnsi="Calibri"/>
          <w:color w:val="001F60"/>
          <w:spacing w:val="-10"/>
        </w:rPr>
        <w:t xml:space="preserve"> </w:t>
      </w:r>
      <w:r>
        <w:rPr>
          <w:rFonts w:ascii="Calibri" w:hAnsi="Calibri"/>
          <w:color w:val="001F60"/>
        </w:rPr>
        <w:t>gestão</w:t>
      </w:r>
      <w:r>
        <w:rPr>
          <w:rFonts w:ascii="Calibri" w:hAnsi="Calibri"/>
          <w:color w:val="001F60"/>
          <w:spacing w:val="-8"/>
        </w:rPr>
        <w:t xml:space="preserve"> </w:t>
      </w:r>
      <w:r>
        <w:rPr>
          <w:rFonts w:ascii="Calibri" w:hAnsi="Calibri"/>
          <w:color w:val="001F60"/>
        </w:rPr>
        <w:t>e</w:t>
      </w:r>
      <w:r>
        <w:rPr>
          <w:rFonts w:ascii="Calibri" w:hAnsi="Calibri"/>
          <w:color w:val="001F60"/>
          <w:spacing w:val="-12"/>
        </w:rPr>
        <w:t xml:space="preserve"> </w:t>
      </w:r>
      <w:r>
        <w:rPr>
          <w:rFonts w:ascii="Calibri" w:hAnsi="Calibri"/>
          <w:color w:val="001F60"/>
        </w:rPr>
        <w:t>o</w:t>
      </w:r>
      <w:r>
        <w:rPr>
          <w:rFonts w:ascii="Calibri" w:hAnsi="Calibri"/>
          <w:color w:val="001F60"/>
          <w:spacing w:val="-7"/>
        </w:rPr>
        <w:t xml:space="preserve"> </w:t>
      </w:r>
      <w:r>
        <w:rPr>
          <w:rFonts w:ascii="Calibri" w:hAnsi="Calibri"/>
          <w:color w:val="001F60"/>
        </w:rPr>
        <w:t>controle</w:t>
      </w:r>
      <w:r>
        <w:rPr>
          <w:rFonts w:ascii="Calibri" w:hAnsi="Calibri"/>
          <w:color w:val="001F60"/>
          <w:spacing w:val="-8"/>
        </w:rPr>
        <w:t xml:space="preserve"> </w:t>
      </w:r>
      <w:r>
        <w:rPr>
          <w:rFonts w:ascii="Calibri" w:hAnsi="Calibri"/>
          <w:color w:val="001F60"/>
        </w:rPr>
        <w:t>societário</w:t>
      </w:r>
      <w:r>
        <w:rPr>
          <w:rFonts w:ascii="Calibri" w:hAnsi="Calibri"/>
          <w:color w:val="001F60"/>
          <w:spacing w:val="-8"/>
        </w:rPr>
        <w:t xml:space="preserve"> </w:t>
      </w:r>
      <w:r>
        <w:rPr>
          <w:rFonts w:ascii="Calibri" w:hAnsi="Calibri"/>
          <w:color w:val="001F60"/>
        </w:rPr>
        <w:t>da</w:t>
      </w:r>
      <w:r>
        <w:rPr>
          <w:rFonts w:ascii="Calibri" w:hAnsi="Calibri"/>
          <w:color w:val="001F60"/>
          <w:spacing w:val="-10"/>
        </w:rPr>
        <w:t xml:space="preserve"> </w:t>
      </w:r>
      <w:r>
        <w:rPr>
          <w:rFonts w:ascii="Calibri" w:hAnsi="Calibri"/>
          <w:color w:val="001F60"/>
        </w:rPr>
        <w:t>empresa</w:t>
      </w:r>
      <w:r>
        <w:rPr>
          <w:rFonts w:ascii="Calibri" w:hAnsi="Calibri"/>
          <w:color w:val="001F60"/>
          <w:spacing w:val="-10"/>
        </w:rPr>
        <w:t xml:space="preserve"> </w:t>
      </w:r>
      <w:r>
        <w:rPr>
          <w:rFonts w:ascii="Calibri" w:hAnsi="Calibri"/>
          <w:color w:val="001F60"/>
        </w:rPr>
        <w:t>são</w:t>
      </w:r>
      <w:r>
        <w:rPr>
          <w:rFonts w:ascii="Calibri" w:hAnsi="Calibri"/>
          <w:color w:val="001F60"/>
          <w:spacing w:val="-7"/>
        </w:rPr>
        <w:t xml:space="preserve"> </w:t>
      </w:r>
      <w:r>
        <w:rPr>
          <w:rFonts w:ascii="Calibri" w:hAnsi="Calibri"/>
          <w:color w:val="001F60"/>
        </w:rPr>
        <w:t>exercidos</w:t>
      </w:r>
      <w:r>
        <w:rPr>
          <w:rFonts w:ascii="Calibri" w:hAnsi="Calibri"/>
          <w:color w:val="001F60"/>
          <w:spacing w:val="-8"/>
        </w:rPr>
        <w:t xml:space="preserve"> </w:t>
      </w:r>
      <w:r>
        <w:rPr>
          <w:rFonts w:ascii="Calibri" w:hAnsi="Calibri"/>
          <w:color w:val="001F60"/>
        </w:rPr>
        <w:t>pela</w:t>
      </w:r>
      <w:r>
        <w:rPr>
          <w:rFonts w:ascii="Calibri" w:hAnsi="Calibri"/>
          <w:color w:val="001F60"/>
          <w:spacing w:val="-8"/>
        </w:rPr>
        <w:t xml:space="preserve"> </w:t>
      </w:r>
      <w:r>
        <w:rPr>
          <w:rFonts w:ascii="Calibri" w:hAnsi="Calibri"/>
          <w:color w:val="001F60"/>
        </w:rPr>
        <w:t>Embraer</w:t>
      </w:r>
      <w:r>
        <w:rPr>
          <w:rFonts w:ascii="Calibri" w:hAnsi="Calibri"/>
          <w:color w:val="001F60"/>
          <w:spacing w:val="-10"/>
        </w:rPr>
        <w:t xml:space="preserve"> </w:t>
      </w:r>
      <w:r>
        <w:rPr>
          <w:rFonts w:ascii="Calibri" w:hAnsi="Calibri"/>
          <w:color w:val="001F60"/>
        </w:rPr>
        <w:t>Defesa</w:t>
      </w:r>
      <w:r>
        <w:rPr>
          <w:rFonts w:ascii="Calibri" w:hAnsi="Calibri"/>
          <w:color w:val="001F60"/>
          <w:spacing w:val="-10"/>
        </w:rPr>
        <w:t xml:space="preserve"> </w:t>
      </w:r>
      <w:r>
        <w:rPr>
          <w:rFonts w:ascii="Calibri" w:hAnsi="Calibri"/>
          <w:color w:val="001F60"/>
        </w:rPr>
        <w:t>e</w:t>
      </w:r>
      <w:r>
        <w:rPr>
          <w:rFonts w:ascii="Calibri" w:hAnsi="Calibri"/>
          <w:color w:val="001F60"/>
          <w:spacing w:val="-8"/>
        </w:rPr>
        <w:t xml:space="preserve"> </w:t>
      </w:r>
      <w:r>
        <w:rPr>
          <w:rFonts w:ascii="Calibri" w:hAnsi="Calibri"/>
          <w:color w:val="001F60"/>
        </w:rPr>
        <w:t>Segurança Participações S.A.</w:t>
      </w:r>
    </w:p>
    <w:p w14:paraId="7FC8E861" w14:textId="77777777" w:rsidR="002C6574" w:rsidRDefault="002C6574">
      <w:pPr>
        <w:pStyle w:val="Corpodetexto"/>
        <w:jc w:val="both"/>
        <w:rPr>
          <w:rFonts w:ascii="Calibri" w:hAnsi="Calibri"/>
        </w:rPr>
        <w:sectPr w:rsidR="002C6574">
          <w:type w:val="continuous"/>
          <w:pgSz w:w="11910" w:h="16840"/>
          <w:pgMar w:top="0" w:right="850" w:bottom="0" w:left="992" w:header="312" w:footer="542" w:gutter="0"/>
          <w:cols w:space="720"/>
        </w:sectPr>
      </w:pPr>
    </w:p>
    <w:p w14:paraId="5987C095" w14:textId="77777777" w:rsidR="002C6574" w:rsidRDefault="002C6574">
      <w:pPr>
        <w:pStyle w:val="Corpodetexto"/>
        <w:spacing w:before="239"/>
        <w:rPr>
          <w:rFonts w:ascii="Calibri"/>
          <w:sz w:val="24"/>
        </w:rPr>
      </w:pPr>
    </w:p>
    <w:p w14:paraId="47F3EAF8" w14:textId="77777777" w:rsidR="002C6574" w:rsidRDefault="00000000">
      <w:pPr>
        <w:pStyle w:val="Ttulo8"/>
        <w:numPr>
          <w:ilvl w:val="0"/>
          <w:numId w:val="74"/>
        </w:numPr>
        <w:tabs>
          <w:tab w:val="left" w:pos="1275"/>
        </w:tabs>
        <w:ind w:left="1275" w:hanging="566"/>
      </w:pPr>
      <w:r>
        <w:rPr>
          <w:color w:val="001F60"/>
        </w:rPr>
        <w:t>Interesse coletivo</w:t>
      </w:r>
      <w:r>
        <w:rPr>
          <w:color w:val="001F60"/>
          <w:spacing w:val="-2"/>
        </w:rPr>
        <w:t xml:space="preserve"> </w:t>
      </w:r>
      <w:r>
        <w:rPr>
          <w:color w:val="001F60"/>
        </w:rPr>
        <w:t>e</w:t>
      </w:r>
      <w:r>
        <w:rPr>
          <w:color w:val="001F60"/>
          <w:spacing w:val="1"/>
        </w:rPr>
        <w:t xml:space="preserve"> </w:t>
      </w:r>
      <w:r>
        <w:rPr>
          <w:color w:val="001F60"/>
        </w:rPr>
        <w:t>execução</w:t>
      </w:r>
      <w:r>
        <w:rPr>
          <w:color w:val="001F60"/>
          <w:spacing w:val="-2"/>
        </w:rPr>
        <w:t xml:space="preserve"> </w:t>
      </w:r>
      <w:r>
        <w:rPr>
          <w:color w:val="001F60"/>
        </w:rPr>
        <w:t>de</w:t>
      </w:r>
      <w:r>
        <w:rPr>
          <w:color w:val="001F60"/>
          <w:spacing w:val="-2"/>
        </w:rPr>
        <w:t xml:space="preserve"> </w:t>
      </w:r>
      <w:r>
        <w:rPr>
          <w:color w:val="001F60"/>
        </w:rPr>
        <w:t>Políticas</w:t>
      </w:r>
      <w:r>
        <w:rPr>
          <w:color w:val="001F60"/>
          <w:spacing w:val="1"/>
        </w:rPr>
        <w:t xml:space="preserve"> </w:t>
      </w:r>
      <w:r>
        <w:rPr>
          <w:color w:val="001F60"/>
          <w:spacing w:val="-2"/>
        </w:rPr>
        <w:t>Públicas</w:t>
      </w:r>
    </w:p>
    <w:p w14:paraId="738A19F0" w14:textId="77777777" w:rsidR="002C6574" w:rsidRDefault="00000000">
      <w:pPr>
        <w:pStyle w:val="Corpodetexto"/>
        <w:spacing w:before="234"/>
        <w:ind w:left="709" w:right="275"/>
        <w:jc w:val="both"/>
        <w:rPr>
          <w:rFonts w:ascii="Calibri" w:hAnsi="Calibri"/>
        </w:rPr>
      </w:pPr>
      <w:r>
        <w:rPr>
          <w:rFonts w:ascii="Calibri" w:hAnsi="Calibri"/>
          <w:color w:val="001F60"/>
        </w:rPr>
        <w:t>A Telebras desempenha papel estratégico na implementação de políticas públicas de conectividade, atuando</w:t>
      </w:r>
      <w:r>
        <w:rPr>
          <w:rFonts w:ascii="Calibri" w:hAnsi="Calibri"/>
          <w:color w:val="001F60"/>
          <w:spacing w:val="-3"/>
        </w:rPr>
        <w:t xml:space="preserve"> </w:t>
      </w:r>
      <w:r>
        <w:rPr>
          <w:rFonts w:ascii="Calibri" w:hAnsi="Calibri"/>
          <w:color w:val="001F60"/>
        </w:rPr>
        <w:t>como instrumento do</w:t>
      </w:r>
      <w:r>
        <w:rPr>
          <w:rFonts w:ascii="Calibri" w:hAnsi="Calibri"/>
          <w:color w:val="001F60"/>
          <w:spacing w:val="-2"/>
        </w:rPr>
        <w:t xml:space="preserve"> </w:t>
      </w:r>
      <w:r>
        <w:rPr>
          <w:rFonts w:ascii="Calibri" w:hAnsi="Calibri"/>
          <w:color w:val="001F60"/>
        </w:rPr>
        <w:t>Estado</w:t>
      </w:r>
      <w:r>
        <w:rPr>
          <w:rFonts w:ascii="Calibri" w:hAnsi="Calibri"/>
          <w:color w:val="001F60"/>
          <w:spacing w:val="-2"/>
        </w:rPr>
        <w:t xml:space="preserve"> </w:t>
      </w:r>
      <w:r>
        <w:rPr>
          <w:rFonts w:ascii="Calibri" w:hAnsi="Calibri"/>
          <w:color w:val="001F60"/>
        </w:rPr>
        <w:t>para ampliar</w:t>
      </w:r>
      <w:r>
        <w:rPr>
          <w:rFonts w:ascii="Calibri" w:hAnsi="Calibri"/>
          <w:color w:val="001F60"/>
          <w:spacing w:val="-2"/>
        </w:rPr>
        <w:t xml:space="preserve"> </w:t>
      </w:r>
      <w:r>
        <w:rPr>
          <w:rFonts w:ascii="Calibri" w:hAnsi="Calibri"/>
          <w:color w:val="001F60"/>
        </w:rPr>
        <w:t>o</w:t>
      </w:r>
      <w:r>
        <w:rPr>
          <w:rFonts w:ascii="Calibri" w:hAnsi="Calibri"/>
          <w:color w:val="001F60"/>
          <w:spacing w:val="-2"/>
        </w:rPr>
        <w:t xml:space="preserve"> </w:t>
      </w:r>
      <w:r>
        <w:rPr>
          <w:rFonts w:ascii="Calibri" w:hAnsi="Calibri"/>
          <w:color w:val="001F60"/>
        </w:rPr>
        <w:t>acesso</w:t>
      </w:r>
      <w:r>
        <w:rPr>
          <w:rFonts w:ascii="Calibri" w:hAnsi="Calibri"/>
          <w:color w:val="001F60"/>
          <w:spacing w:val="-2"/>
        </w:rPr>
        <w:t xml:space="preserve"> </w:t>
      </w:r>
      <w:r>
        <w:rPr>
          <w:rFonts w:ascii="Calibri" w:hAnsi="Calibri"/>
          <w:color w:val="001F60"/>
        </w:rPr>
        <w:t>à</w:t>
      </w:r>
      <w:r>
        <w:rPr>
          <w:rFonts w:ascii="Calibri" w:hAnsi="Calibri"/>
          <w:color w:val="001F60"/>
          <w:spacing w:val="-2"/>
        </w:rPr>
        <w:t xml:space="preserve"> </w:t>
      </w:r>
      <w:r>
        <w:rPr>
          <w:rFonts w:ascii="Calibri" w:hAnsi="Calibri"/>
          <w:color w:val="001F60"/>
        </w:rPr>
        <w:t>internet,</w:t>
      </w:r>
      <w:r>
        <w:rPr>
          <w:rFonts w:ascii="Calibri" w:hAnsi="Calibri"/>
          <w:color w:val="001F60"/>
          <w:spacing w:val="-2"/>
        </w:rPr>
        <w:t xml:space="preserve"> </w:t>
      </w:r>
      <w:r>
        <w:rPr>
          <w:rFonts w:ascii="Calibri" w:hAnsi="Calibri"/>
          <w:color w:val="001F60"/>
        </w:rPr>
        <w:t>reduzir</w:t>
      </w:r>
      <w:r>
        <w:rPr>
          <w:rFonts w:ascii="Calibri" w:hAnsi="Calibri"/>
          <w:color w:val="001F60"/>
          <w:spacing w:val="-3"/>
        </w:rPr>
        <w:t xml:space="preserve"> </w:t>
      </w:r>
      <w:r>
        <w:rPr>
          <w:rFonts w:ascii="Calibri" w:hAnsi="Calibri"/>
          <w:color w:val="001F60"/>
        </w:rPr>
        <w:t>desigualdades digitais e apoiar serviços essenciais em regiões onde a iniciativa privada não opera por falta de viabilidade técnica ou econômica. Suas ações contribuem para o desenvolvimento socioeconômico nacional e para a promoção da universalização do acesso à conectividade, em alinhamento com diretrizes governamentais e com as necessidades da população.</w:t>
      </w:r>
    </w:p>
    <w:p w14:paraId="1411F0F8" w14:textId="77777777" w:rsidR="002C6574" w:rsidRDefault="00000000">
      <w:pPr>
        <w:pStyle w:val="Corpodetexto"/>
        <w:spacing w:before="120"/>
        <w:ind w:left="709" w:right="276"/>
        <w:jc w:val="both"/>
        <w:rPr>
          <w:rFonts w:ascii="Calibri" w:hAnsi="Calibri"/>
        </w:rPr>
      </w:pPr>
      <w:r>
        <w:rPr>
          <w:rFonts w:ascii="Calibri" w:hAnsi="Calibri"/>
          <w:color w:val="001F60"/>
        </w:rPr>
        <w:t>O projeto Governo Eletrônico – Serviço de Atendimento ao Cidadão (GESAC) é uma política pública federal voltada à inclusão digital de populações em áreas remotas, vulneráveis ou de interesse estratégico.</w:t>
      </w:r>
      <w:r>
        <w:rPr>
          <w:rFonts w:ascii="Calibri" w:hAnsi="Calibri"/>
          <w:color w:val="001F60"/>
          <w:spacing w:val="-10"/>
        </w:rPr>
        <w:t xml:space="preserve"> </w:t>
      </w:r>
      <w:r>
        <w:rPr>
          <w:rFonts w:ascii="Calibri" w:hAnsi="Calibri"/>
          <w:color w:val="001F60"/>
        </w:rPr>
        <w:t>O</w:t>
      </w:r>
      <w:r>
        <w:rPr>
          <w:rFonts w:ascii="Calibri" w:hAnsi="Calibri"/>
          <w:color w:val="001F60"/>
          <w:spacing w:val="-6"/>
        </w:rPr>
        <w:t xml:space="preserve"> </w:t>
      </w:r>
      <w:r>
        <w:rPr>
          <w:rFonts w:ascii="Calibri" w:hAnsi="Calibri"/>
          <w:color w:val="001F60"/>
        </w:rPr>
        <w:t>programa</w:t>
      </w:r>
      <w:r>
        <w:rPr>
          <w:rFonts w:ascii="Calibri" w:hAnsi="Calibri"/>
          <w:color w:val="001F60"/>
          <w:spacing w:val="-8"/>
        </w:rPr>
        <w:t xml:space="preserve"> </w:t>
      </w:r>
      <w:r>
        <w:rPr>
          <w:rFonts w:ascii="Calibri" w:hAnsi="Calibri"/>
          <w:color w:val="001F60"/>
        </w:rPr>
        <w:t>fornece</w:t>
      </w:r>
      <w:r>
        <w:rPr>
          <w:rFonts w:ascii="Calibri" w:hAnsi="Calibri"/>
          <w:color w:val="001F60"/>
          <w:spacing w:val="-6"/>
        </w:rPr>
        <w:t xml:space="preserve"> </w:t>
      </w:r>
      <w:r>
        <w:rPr>
          <w:rFonts w:ascii="Calibri" w:hAnsi="Calibri"/>
          <w:color w:val="001F60"/>
        </w:rPr>
        <w:t>acesso</w:t>
      </w:r>
      <w:r>
        <w:rPr>
          <w:rFonts w:ascii="Calibri" w:hAnsi="Calibri"/>
          <w:color w:val="001F60"/>
          <w:spacing w:val="-6"/>
        </w:rPr>
        <w:t xml:space="preserve"> </w:t>
      </w:r>
      <w:r>
        <w:rPr>
          <w:rFonts w:ascii="Calibri" w:hAnsi="Calibri"/>
          <w:color w:val="001F60"/>
        </w:rPr>
        <w:t>à</w:t>
      </w:r>
      <w:r>
        <w:rPr>
          <w:rFonts w:ascii="Calibri" w:hAnsi="Calibri"/>
          <w:color w:val="001F60"/>
          <w:spacing w:val="-8"/>
        </w:rPr>
        <w:t xml:space="preserve"> </w:t>
      </w:r>
      <w:r>
        <w:rPr>
          <w:rFonts w:ascii="Calibri" w:hAnsi="Calibri"/>
          <w:color w:val="001F60"/>
        </w:rPr>
        <w:t>internet</w:t>
      </w:r>
      <w:r>
        <w:rPr>
          <w:rFonts w:ascii="Calibri" w:hAnsi="Calibri"/>
          <w:color w:val="001F60"/>
          <w:spacing w:val="-8"/>
        </w:rPr>
        <w:t xml:space="preserve"> </w:t>
      </w:r>
      <w:r>
        <w:rPr>
          <w:rFonts w:ascii="Calibri" w:hAnsi="Calibri"/>
          <w:color w:val="001F60"/>
        </w:rPr>
        <w:t>banda</w:t>
      </w:r>
      <w:r>
        <w:rPr>
          <w:rFonts w:ascii="Calibri" w:hAnsi="Calibri"/>
          <w:color w:val="001F60"/>
          <w:spacing w:val="-8"/>
        </w:rPr>
        <w:t xml:space="preserve"> </w:t>
      </w:r>
      <w:r>
        <w:rPr>
          <w:rFonts w:ascii="Calibri" w:hAnsi="Calibri"/>
          <w:color w:val="001F60"/>
        </w:rPr>
        <w:t>larga</w:t>
      </w:r>
      <w:r>
        <w:rPr>
          <w:rFonts w:ascii="Calibri" w:hAnsi="Calibri"/>
          <w:color w:val="001F60"/>
          <w:spacing w:val="-8"/>
        </w:rPr>
        <w:t xml:space="preserve"> </w:t>
      </w:r>
      <w:r>
        <w:rPr>
          <w:rFonts w:ascii="Calibri" w:hAnsi="Calibri"/>
          <w:color w:val="001F60"/>
        </w:rPr>
        <w:t>via</w:t>
      </w:r>
      <w:r>
        <w:rPr>
          <w:rFonts w:ascii="Calibri" w:hAnsi="Calibri"/>
          <w:color w:val="001F60"/>
          <w:spacing w:val="-10"/>
        </w:rPr>
        <w:t xml:space="preserve"> </w:t>
      </w:r>
      <w:r>
        <w:rPr>
          <w:rFonts w:ascii="Calibri" w:hAnsi="Calibri"/>
          <w:color w:val="001F60"/>
        </w:rPr>
        <w:t>satélite</w:t>
      </w:r>
      <w:r>
        <w:rPr>
          <w:rFonts w:ascii="Calibri" w:hAnsi="Calibri"/>
          <w:color w:val="001F60"/>
          <w:spacing w:val="-8"/>
        </w:rPr>
        <w:t xml:space="preserve"> </w:t>
      </w:r>
      <w:r>
        <w:rPr>
          <w:rFonts w:ascii="Calibri" w:hAnsi="Calibri"/>
          <w:color w:val="001F60"/>
        </w:rPr>
        <w:t>em</w:t>
      </w:r>
      <w:r>
        <w:rPr>
          <w:rFonts w:ascii="Calibri" w:hAnsi="Calibri"/>
          <w:color w:val="001F60"/>
          <w:spacing w:val="-8"/>
        </w:rPr>
        <w:t xml:space="preserve"> </w:t>
      </w:r>
      <w:r>
        <w:rPr>
          <w:rFonts w:ascii="Calibri" w:hAnsi="Calibri"/>
          <w:color w:val="001F60"/>
        </w:rPr>
        <w:t>localidades</w:t>
      </w:r>
      <w:r>
        <w:rPr>
          <w:rFonts w:ascii="Calibri" w:hAnsi="Calibri"/>
          <w:color w:val="001F60"/>
          <w:spacing w:val="-6"/>
        </w:rPr>
        <w:t xml:space="preserve"> </w:t>
      </w:r>
      <w:r>
        <w:rPr>
          <w:rFonts w:ascii="Calibri" w:hAnsi="Calibri"/>
          <w:color w:val="001F60"/>
        </w:rPr>
        <w:t>onde</w:t>
      </w:r>
      <w:r>
        <w:rPr>
          <w:rFonts w:ascii="Calibri" w:hAnsi="Calibri"/>
          <w:color w:val="001F60"/>
          <w:spacing w:val="-6"/>
        </w:rPr>
        <w:t xml:space="preserve"> </w:t>
      </w:r>
      <w:r>
        <w:rPr>
          <w:rFonts w:ascii="Calibri" w:hAnsi="Calibri"/>
          <w:color w:val="001F60"/>
        </w:rPr>
        <w:t>não</w:t>
      </w:r>
      <w:r>
        <w:rPr>
          <w:rFonts w:ascii="Calibri" w:hAnsi="Calibri"/>
          <w:color w:val="001F60"/>
          <w:spacing w:val="-6"/>
        </w:rPr>
        <w:t xml:space="preserve"> </w:t>
      </w:r>
      <w:r>
        <w:rPr>
          <w:rFonts w:ascii="Calibri" w:hAnsi="Calibri"/>
          <w:color w:val="001F60"/>
        </w:rPr>
        <w:t>há viabilidade técnica ou econômica para outros meios de conectividade.</w:t>
      </w:r>
    </w:p>
    <w:p w14:paraId="0F561969" w14:textId="77777777" w:rsidR="002C6574" w:rsidRDefault="00000000">
      <w:pPr>
        <w:pStyle w:val="Corpodetexto"/>
        <w:spacing w:before="121"/>
        <w:ind w:left="709" w:right="278"/>
        <w:jc w:val="both"/>
        <w:rPr>
          <w:rFonts w:ascii="Calibri" w:hAnsi="Calibri"/>
        </w:rPr>
      </w:pPr>
      <w:r>
        <w:rPr>
          <w:rFonts w:ascii="Calibri" w:hAnsi="Calibri"/>
          <w:color w:val="001F60"/>
        </w:rPr>
        <w:t>O Projeto Aprender Conectado, executado pela Telebras em parceria com a EACE (Associação Administradora da Conectividade de Escolas), é uma política pública focada na universalização da conectividade escolar. A Telebras é contratada para oferecer conexão via satélite onde não há infraestrutura de fibra óptica ou enlaces de rádio.</w:t>
      </w:r>
    </w:p>
    <w:p w14:paraId="75199746" w14:textId="77777777" w:rsidR="002C6574" w:rsidRDefault="00000000">
      <w:pPr>
        <w:pStyle w:val="Corpodetexto"/>
        <w:spacing w:before="118"/>
        <w:ind w:left="709" w:right="278"/>
        <w:jc w:val="both"/>
        <w:rPr>
          <w:rFonts w:ascii="Calibri" w:hAnsi="Calibri"/>
        </w:rPr>
      </w:pPr>
      <w:r>
        <w:rPr>
          <w:rFonts w:ascii="Calibri" w:hAnsi="Calibri"/>
          <w:color w:val="001F60"/>
        </w:rPr>
        <w:t>As</w:t>
      </w:r>
      <w:r>
        <w:rPr>
          <w:rFonts w:ascii="Calibri" w:hAnsi="Calibri"/>
          <w:color w:val="001F60"/>
          <w:spacing w:val="-8"/>
        </w:rPr>
        <w:t xml:space="preserve"> </w:t>
      </w:r>
      <w:r>
        <w:rPr>
          <w:rFonts w:ascii="Calibri" w:hAnsi="Calibri"/>
          <w:color w:val="001F60"/>
        </w:rPr>
        <w:t>políticas</w:t>
      </w:r>
      <w:r>
        <w:rPr>
          <w:rFonts w:ascii="Calibri" w:hAnsi="Calibri"/>
          <w:color w:val="001F60"/>
          <w:spacing w:val="-8"/>
        </w:rPr>
        <w:t xml:space="preserve"> </w:t>
      </w:r>
      <w:r>
        <w:rPr>
          <w:rFonts w:ascii="Calibri" w:hAnsi="Calibri"/>
          <w:color w:val="001F60"/>
        </w:rPr>
        <w:t>públicas</w:t>
      </w:r>
      <w:r>
        <w:rPr>
          <w:rFonts w:ascii="Calibri" w:hAnsi="Calibri"/>
          <w:color w:val="001F60"/>
          <w:spacing w:val="-7"/>
        </w:rPr>
        <w:t xml:space="preserve"> </w:t>
      </w:r>
      <w:r>
        <w:rPr>
          <w:rFonts w:ascii="Calibri" w:hAnsi="Calibri"/>
          <w:color w:val="001F60"/>
        </w:rPr>
        <w:t>atendidas</w:t>
      </w:r>
      <w:r>
        <w:rPr>
          <w:rFonts w:ascii="Calibri" w:hAnsi="Calibri"/>
          <w:color w:val="001F60"/>
          <w:spacing w:val="-7"/>
        </w:rPr>
        <w:t xml:space="preserve"> </w:t>
      </w:r>
      <w:r>
        <w:rPr>
          <w:rFonts w:ascii="Calibri" w:hAnsi="Calibri"/>
          <w:color w:val="001F60"/>
        </w:rPr>
        <w:t>pelos</w:t>
      </w:r>
      <w:r>
        <w:rPr>
          <w:rFonts w:ascii="Calibri" w:hAnsi="Calibri"/>
          <w:color w:val="001F60"/>
          <w:spacing w:val="-11"/>
        </w:rPr>
        <w:t xml:space="preserve"> </w:t>
      </w:r>
      <w:r>
        <w:rPr>
          <w:rFonts w:ascii="Calibri" w:hAnsi="Calibri"/>
          <w:color w:val="001F60"/>
        </w:rPr>
        <w:t>programas</w:t>
      </w:r>
      <w:r>
        <w:rPr>
          <w:rFonts w:ascii="Calibri" w:hAnsi="Calibri"/>
          <w:color w:val="001F60"/>
          <w:spacing w:val="-8"/>
        </w:rPr>
        <w:t xml:space="preserve"> </w:t>
      </w:r>
      <w:r>
        <w:rPr>
          <w:rFonts w:ascii="Calibri" w:hAnsi="Calibri"/>
          <w:color w:val="001F60"/>
        </w:rPr>
        <w:t>GESAC</w:t>
      </w:r>
      <w:r>
        <w:rPr>
          <w:rFonts w:ascii="Calibri" w:hAnsi="Calibri"/>
          <w:color w:val="001F60"/>
          <w:spacing w:val="-7"/>
        </w:rPr>
        <w:t xml:space="preserve"> </w:t>
      </w:r>
      <w:r>
        <w:rPr>
          <w:rFonts w:ascii="Calibri" w:hAnsi="Calibri"/>
          <w:color w:val="001F60"/>
        </w:rPr>
        <w:t>e</w:t>
      </w:r>
      <w:r>
        <w:rPr>
          <w:rFonts w:ascii="Calibri" w:hAnsi="Calibri"/>
          <w:color w:val="001F60"/>
          <w:spacing w:val="-7"/>
        </w:rPr>
        <w:t xml:space="preserve"> </w:t>
      </w:r>
      <w:r>
        <w:rPr>
          <w:rFonts w:ascii="Calibri" w:hAnsi="Calibri"/>
          <w:color w:val="001F60"/>
        </w:rPr>
        <w:t>EACE</w:t>
      </w:r>
      <w:r>
        <w:rPr>
          <w:rFonts w:ascii="Calibri" w:hAnsi="Calibri"/>
          <w:color w:val="001F60"/>
          <w:spacing w:val="-7"/>
        </w:rPr>
        <w:t xml:space="preserve"> </w:t>
      </w:r>
      <w:r>
        <w:rPr>
          <w:rFonts w:ascii="Calibri" w:hAnsi="Calibri"/>
          <w:color w:val="001F60"/>
        </w:rPr>
        <w:t>contam</w:t>
      </w:r>
      <w:r>
        <w:rPr>
          <w:rFonts w:ascii="Calibri" w:hAnsi="Calibri"/>
          <w:color w:val="001F60"/>
          <w:spacing w:val="-7"/>
        </w:rPr>
        <w:t xml:space="preserve"> </w:t>
      </w:r>
      <w:r>
        <w:rPr>
          <w:rFonts w:ascii="Calibri" w:hAnsi="Calibri"/>
          <w:color w:val="001F60"/>
        </w:rPr>
        <w:t>com</w:t>
      </w:r>
      <w:r>
        <w:rPr>
          <w:rFonts w:ascii="Calibri" w:hAnsi="Calibri"/>
          <w:color w:val="001F60"/>
          <w:spacing w:val="-7"/>
        </w:rPr>
        <w:t xml:space="preserve"> </w:t>
      </w:r>
      <w:r>
        <w:rPr>
          <w:rFonts w:ascii="Calibri" w:hAnsi="Calibri"/>
          <w:color w:val="001F60"/>
        </w:rPr>
        <w:t>um</w:t>
      </w:r>
      <w:r>
        <w:rPr>
          <w:rFonts w:ascii="Calibri" w:hAnsi="Calibri"/>
          <w:color w:val="001F60"/>
          <w:spacing w:val="-7"/>
        </w:rPr>
        <w:t xml:space="preserve"> </w:t>
      </w:r>
      <w:r>
        <w:rPr>
          <w:rFonts w:ascii="Calibri" w:hAnsi="Calibri"/>
          <w:color w:val="001F60"/>
        </w:rPr>
        <w:t>total</w:t>
      </w:r>
      <w:r>
        <w:rPr>
          <w:rFonts w:ascii="Calibri" w:hAnsi="Calibri"/>
          <w:color w:val="001F60"/>
          <w:spacing w:val="-8"/>
        </w:rPr>
        <w:t xml:space="preserve"> </w:t>
      </w:r>
      <w:r>
        <w:rPr>
          <w:rFonts w:ascii="Calibri" w:hAnsi="Calibri"/>
          <w:color w:val="001F60"/>
        </w:rPr>
        <w:t>de</w:t>
      </w:r>
      <w:r>
        <w:rPr>
          <w:rFonts w:ascii="Calibri" w:hAnsi="Calibri"/>
          <w:color w:val="001F60"/>
          <w:spacing w:val="-7"/>
        </w:rPr>
        <w:t xml:space="preserve"> </w:t>
      </w:r>
      <w:r>
        <w:rPr>
          <w:rFonts w:ascii="Calibri" w:hAnsi="Calibri"/>
          <w:color w:val="001F60"/>
        </w:rPr>
        <w:t>14.979</w:t>
      </w:r>
      <w:r>
        <w:rPr>
          <w:rFonts w:ascii="Calibri" w:hAnsi="Calibri"/>
          <w:color w:val="001F60"/>
          <w:spacing w:val="-7"/>
        </w:rPr>
        <w:t xml:space="preserve"> </w:t>
      </w:r>
      <w:r>
        <w:rPr>
          <w:rFonts w:ascii="Calibri" w:hAnsi="Calibri"/>
          <w:color w:val="001F60"/>
        </w:rPr>
        <w:t>pontos de conectividade pública em operação ao final de 2025, divididos em:</w:t>
      </w:r>
    </w:p>
    <w:p w14:paraId="71CD593B" w14:textId="77777777" w:rsidR="002C6574" w:rsidRDefault="00000000">
      <w:pPr>
        <w:pStyle w:val="PargrafodaLista"/>
        <w:numPr>
          <w:ilvl w:val="0"/>
          <w:numId w:val="2"/>
        </w:numPr>
        <w:tabs>
          <w:tab w:val="left" w:pos="1428"/>
        </w:tabs>
        <w:spacing w:before="133"/>
        <w:ind w:left="1428" w:hanging="359"/>
      </w:pPr>
      <w:r>
        <w:rPr>
          <w:b/>
          <w:color w:val="001F60"/>
        </w:rPr>
        <w:t>Educação:</w:t>
      </w:r>
      <w:r>
        <w:rPr>
          <w:b/>
          <w:color w:val="001F60"/>
          <w:spacing w:val="-6"/>
        </w:rPr>
        <w:t xml:space="preserve"> </w:t>
      </w:r>
      <w:r>
        <w:rPr>
          <w:color w:val="001F60"/>
        </w:rPr>
        <w:t>12.655</w:t>
      </w:r>
      <w:r>
        <w:rPr>
          <w:color w:val="001F60"/>
          <w:spacing w:val="-3"/>
        </w:rPr>
        <w:t xml:space="preserve"> </w:t>
      </w:r>
      <w:r>
        <w:rPr>
          <w:color w:val="001F60"/>
        </w:rPr>
        <w:t>pontos</w:t>
      </w:r>
      <w:r>
        <w:rPr>
          <w:color w:val="001F60"/>
          <w:spacing w:val="-3"/>
        </w:rPr>
        <w:t xml:space="preserve"> </w:t>
      </w:r>
      <w:r>
        <w:rPr>
          <w:color w:val="001F60"/>
        </w:rPr>
        <w:t>em</w:t>
      </w:r>
      <w:r>
        <w:rPr>
          <w:color w:val="001F60"/>
          <w:spacing w:val="-1"/>
        </w:rPr>
        <w:t xml:space="preserve"> </w:t>
      </w:r>
      <w:r>
        <w:rPr>
          <w:color w:val="001F60"/>
          <w:spacing w:val="-2"/>
        </w:rPr>
        <w:t>escolas;</w:t>
      </w:r>
    </w:p>
    <w:p w14:paraId="6DE50F90" w14:textId="77777777" w:rsidR="002C6574" w:rsidRDefault="00000000">
      <w:pPr>
        <w:pStyle w:val="PargrafodaLista"/>
        <w:numPr>
          <w:ilvl w:val="0"/>
          <w:numId w:val="2"/>
        </w:numPr>
        <w:tabs>
          <w:tab w:val="left" w:pos="1428"/>
        </w:tabs>
        <w:spacing w:before="5"/>
        <w:ind w:left="1428" w:hanging="359"/>
      </w:pPr>
      <w:r>
        <w:rPr>
          <w:b/>
          <w:color w:val="001F60"/>
        </w:rPr>
        <w:t>Saúde:</w:t>
      </w:r>
      <w:r>
        <w:rPr>
          <w:b/>
          <w:color w:val="001F60"/>
          <w:spacing w:val="-12"/>
        </w:rPr>
        <w:t xml:space="preserve"> </w:t>
      </w:r>
      <w:r>
        <w:rPr>
          <w:color w:val="001F60"/>
        </w:rPr>
        <w:t>1.141</w:t>
      </w:r>
      <w:r>
        <w:rPr>
          <w:color w:val="001F60"/>
          <w:spacing w:val="-7"/>
        </w:rPr>
        <w:t xml:space="preserve"> </w:t>
      </w:r>
      <w:r>
        <w:rPr>
          <w:color w:val="001F60"/>
        </w:rPr>
        <w:t>pontos</w:t>
      </w:r>
      <w:r>
        <w:rPr>
          <w:color w:val="001F60"/>
          <w:spacing w:val="-9"/>
        </w:rPr>
        <w:t xml:space="preserve"> </w:t>
      </w:r>
      <w:r>
        <w:rPr>
          <w:color w:val="001F60"/>
        </w:rPr>
        <w:t>em</w:t>
      </w:r>
      <w:r>
        <w:rPr>
          <w:color w:val="001F60"/>
          <w:spacing w:val="-7"/>
        </w:rPr>
        <w:t xml:space="preserve"> </w:t>
      </w:r>
      <w:r>
        <w:rPr>
          <w:color w:val="001F60"/>
        </w:rPr>
        <w:t>Unidades</w:t>
      </w:r>
      <w:r>
        <w:rPr>
          <w:color w:val="001F60"/>
          <w:spacing w:val="-6"/>
        </w:rPr>
        <w:t xml:space="preserve"> </w:t>
      </w:r>
      <w:r>
        <w:rPr>
          <w:color w:val="001F60"/>
        </w:rPr>
        <w:t>Básicas</w:t>
      </w:r>
      <w:r>
        <w:rPr>
          <w:color w:val="001F60"/>
          <w:spacing w:val="-9"/>
        </w:rPr>
        <w:t xml:space="preserve"> </w:t>
      </w:r>
      <w:r>
        <w:rPr>
          <w:color w:val="001F60"/>
        </w:rPr>
        <w:t>de</w:t>
      </w:r>
      <w:r>
        <w:rPr>
          <w:color w:val="001F60"/>
          <w:spacing w:val="-9"/>
        </w:rPr>
        <w:t xml:space="preserve"> </w:t>
      </w:r>
      <w:r>
        <w:rPr>
          <w:color w:val="001F60"/>
        </w:rPr>
        <w:t>Saúde,</w:t>
      </w:r>
      <w:r>
        <w:rPr>
          <w:color w:val="001F60"/>
          <w:spacing w:val="-9"/>
        </w:rPr>
        <w:t xml:space="preserve"> </w:t>
      </w:r>
      <w:r>
        <w:rPr>
          <w:color w:val="001F60"/>
        </w:rPr>
        <w:t>postos</w:t>
      </w:r>
      <w:r>
        <w:rPr>
          <w:color w:val="001F60"/>
          <w:spacing w:val="-8"/>
        </w:rPr>
        <w:t xml:space="preserve"> </w:t>
      </w:r>
      <w:r>
        <w:rPr>
          <w:color w:val="001F60"/>
        </w:rPr>
        <w:t>de</w:t>
      </w:r>
      <w:r>
        <w:rPr>
          <w:color w:val="001F60"/>
          <w:spacing w:val="-9"/>
        </w:rPr>
        <w:t xml:space="preserve"> </w:t>
      </w:r>
      <w:r>
        <w:rPr>
          <w:color w:val="001F60"/>
        </w:rPr>
        <w:t>saúde</w:t>
      </w:r>
      <w:r>
        <w:rPr>
          <w:color w:val="001F60"/>
          <w:spacing w:val="-7"/>
        </w:rPr>
        <w:t xml:space="preserve"> </w:t>
      </w:r>
      <w:r>
        <w:rPr>
          <w:color w:val="001F60"/>
        </w:rPr>
        <w:t>e</w:t>
      </w:r>
      <w:r>
        <w:rPr>
          <w:color w:val="001F60"/>
          <w:spacing w:val="-7"/>
        </w:rPr>
        <w:t xml:space="preserve"> </w:t>
      </w:r>
      <w:r>
        <w:rPr>
          <w:color w:val="001F60"/>
        </w:rPr>
        <w:t>unidades</w:t>
      </w:r>
      <w:r>
        <w:rPr>
          <w:color w:val="001F60"/>
          <w:spacing w:val="-8"/>
        </w:rPr>
        <w:t xml:space="preserve"> </w:t>
      </w:r>
      <w:r>
        <w:rPr>
          <w:color w:val="001F60"/>
          <w:spacing w:val="-2"/>
        </w:rPr>
        <w:t>hospitalares;</w:t>
      </w:r>
    </w:p>
    <w:p w14:paraId="0792ED25" w14:textId="77777777" w:rsidR="002C6574" w:rsidRDefault="00000000">
      <w:pPr>
        <w:pStyle w:val="PargrafodaLista"/>
        <w:numPr>
          <w:ilvl w:val="0"/>
          <w:numId w:val="2"/>
        </w:numPr>
        <w:tabs>
          <w:tab w:val="left" w:pos="1428"/>
        </w:tabs>
        <w:spacing w:before="3"/>
        <w:ind w:left="1428" w:hanging="359"/>
      </w:pPr>
      <w:r>
        <w:rPr>
          <w:b/>
          <w:color w:val="001F60"/>
        </w:rPr>
        <w:t>Segurança</w:t>
      </w:r>
      <w:r>
        <w:rPr>
          <w:b/>
          <w:color w:val="001F60"/>
          <w:spacing w:val="-9"/>
        </w:rPr>
        <w:t xml:space="preserve"> </w:t>
      </w:r>
      <w:r>
        <w:rPr>
          <w:b/>
          <w:color w:val="001F60"/>
        </w:rPr>
        <w:t>Pública</w:t>
      </w:r>
      <w:r>
        <w:rPr>
          <w:b/>
          <w:color w:val="001F60"/>
          <w:spacing w:val="-4"/>
        </w:rPr>
        <w:t xml:space="preserve"> </w:t>
      </w:r>
      <w:r>
        <w:rPr>
          <w:b/>
          <w:color w:val="001F60"/>
        </w:rPr>
        <w:t>e</w:t>
      </w:r>
      <w:r>
        <w:rPr>
          <w:b/>
          <w:color w:val="001F60"/>
          <w:spacing w:val="-5"/>
        </w:rPr>
        <w:t xml:space="preserve"> </w:t>
      </w:r>
      <w:r>
        <w:rPr>
          <w:b/>
          <w:color w:val="001F60"/>
        </w:rPr>
        <w:t>Fronteiras:</w:t>
      </w:r>
      <w:r>
        <w:rPr>
          <w:b/>
          <w:color w:val="001F60"/>
          <w:spacing w:val="-3"/>
        </w:rPr>
        <w:t xml:space="preserve"> </w:t>
      </w:r>
      <w:r>
        <w:rPr>
          <w:color w:val="001F60"/>
        </w:rPr>
        <w:t>140</w:t>
      </w:r>
      <w:r>
        <w:rPr>
          <w:color w:val="001F60"/>
          <w:spacing w:val="-3"/>
        </w:rPr>
        <w:t xml:space="preserve"> </w:t>
      </w:r>
      <w:r>
        <w:rPr>
          <w:color w:val="001F60"/>
        </w:rPr>
        <w:t>pontos,</w:t>
      </w:r>
      <w:r>
        <w:rPr>
          <w:color w:val="001F60"/>
          <w:spacing w:val="-4"/>
        </w:rPr>
        <w:t xml:space="preserve"> </w:t>
      </w:r>
      <w:r>
        <w:rPr>
          <w:color w:val="001F60"/>
        </w:rPr>
        <w:t>incluindo</w:t>
      </w:r>
      <w:r>
        <w:rPr>
          <w:color w:val="001F60"/>
          <w:spacing w:val="-2"/>
        </w:rPr>
        <w:t xml:space="preserve"> </w:t>
      </w:r>
      <w:r>
        <w:rPr>
          <w:color w:val="001F60"/>
        </w:rPr>
        <w:t>postos</w:t>
      </w:r>
      <w:r>
        <w:rPr>
          <w:color w:val="001F60"/>
          <w:spacing w:val="-3"/>
        </w:rPr>
        <w:t xml:space="preserve"> </w:t>
      </w:r>
      <w:r>
        <w:rPr>
          <w:color w:val="001F60"/>
        </w:rPr>
        <w:t>de</w:t>
      </w:r>
      <w:r>
        <w:rPr>
          <w:color w:val="001F60"/>
          <w:spacing w:val="-2"/>
        </w:rPr>
        <w:t xml:space="preserve"> fronteira;</w:t>
      </w:r>
    </w:p>
    <w:p w14:paraId="2AA05239" w14:textId="77777777" w:rsidR="002C6574" w:rsidRDefault="00000000">
      <w:pPr>
        <w:pStyle w:val="PargrafodaLista"/>
        <w:numPr>
          <w:ilvl w:val="0"/>
          <w:numId w:val="2"/>
        </w:numPr>
        <w:tabs>
          <w:tab w:val="left" w:pos="1428"/>
        </w:tabs>
        <w:spacing w:before="5"/>
        <w:ind w:left="1428" w:hanging="359"/>
      </w:pPr>
      <w:r>
        <w:rPr>
          <w:b/>
          <w:color w:val="001F60"/>
        </w:rPr>
        <w:t>Assistência</w:t>
      </w:r>
      <w:r>
        <w:rPr>
          <w:b/>
          <w:color w:val="001F60"/>
          <w:spacing w:val="-3"/>
        </w:rPr>
        <w:t xml:space="preserve"> </w:t>
      </w:r>
      <w:r>
        <w:rPr>
          <w:b/>
          <w:color w:val="001F60"/>
        </w:rPr>
        <w:t>Social</w:t>
      </w:r>
      <w:r>
        <w:rPr>
          <w:b/>
          <w:color w:val="001F60"/>
          <w:spacing w:val="-3"/>
        </w:rPr>
        <w:t xml:space="preserve"> </w:t>
      </w:r>
      <w:r>
        <w:rPr>
          <w:b/>
          <w:color w:val="001F60"/>
        </w:rPr>
        <w:t>e</w:t>
      </w:r>
      <w:r>
        <w:rPr>
          <w:b/>
          <w:color w:val="001F60"/>
          <w:spacing w:val="-5"/>
        </w:rPr>
        <w:t xml:space="preserve"> </w:t>
      </w:r>
      <w:r>
        <w:rPr>
          <w:b/>
          <w:color w:val="001F60"/>
        </w:rPr>
        <w:t>cidadania:</w:t>
      </w:r>
      <w:r>
        <w:rPr>
          <w:b/>
          <w:color w:val="001F60"/>
          <w:spacing w:val="-5"/>
        </w:rPr>
        <w:t xml:space="preserve"> </w:t>
      </w:r>
      <w:r>
        <w:rPr>
          <w:color w:val="001F60"/>
        </w:rPr>
        <w:t>128</w:t>
      </w:r>
      <w:r>
        <w:rPr>
          <w:color w:val="001F60"/>
          <w:spacing w:val="1"/>
        </w:rPr>
        <w:t xml:space="preserve"> </w:t>
      </w:r>
      <w:r>
        <w:rPr>
          <w:color w:val="001F60"/>
          <w:spacing w:val="-2"/>
        </w:rPr>
        <w:t>pontos;</w:t>
      </w:r>
    </w:p>
    <w:p w14:paraId="637F2DDF" w14:textId="77777777" w:rsidR="002C6574" w:rsidRDefault="00000000">
      <w:pPr>
        <w:numPr>
          <w:ilvl w:val="0"/>
          <w:numId w:val="2"/>
        </w:numPr>
        <w:tabs>
          <w:tab w:val="left" w:pos="1428"/>
        </w:tabs>
        <w:spacing w:before="5"/>
        <w:ind w:left="1428" w:hanging="359"/>
        <w:rPr>
          <w:rFonts w:ascii="Calibri"/>
        </w:rPr>
      </w:pPr>
      <w:r>
        <w:rPr>
          <w:rFonts w:ascii="Calibri"/>
          <w:b/>
          <w:color w:val="001F60"/>
        </w:rPr>
        <w:t>Comunidades</w:t>
      </w:r>
      <w:r>
        <w:rPr>
          <w:rFonts w:ascii="Calibri"/>
          <w:b/>
          <w:color w:val="001F60"/>
          <w:spacing w:val="-4"/>
        </w:rPr>
        <w:t xml:space="preserve"> </w:t>
      </w:r>
      <w:r>
        <w:rPr>
          <w:rFonts w:ascii="Calibri"/>
          <w:b/>
          <w:color w:val="001F60"/>
        </w:rPr>
        <w:t>Tradicionais</w:t>
      </w:r>
      <w:r>
        <w:rPr>
          <w:rFonts w:ascii="Calibri"/>
          <w:b/>
          <w:color w:val="001F60"/>
          <w:spacing w:val="-4"/>
        </w:rPr>
        <w:t xml:space="preserve"> </w:t>
      </w:r>
      <w:r>
        <w:rPr>
          <w:rFonts w:ascii="Calibri"/>
          <w:b/>
          <w:color w:val="001F60"/>
        </w:rPr>
        <w:t>e</w:t>
      </w:r>
      <w:r>
        <w:rPr>
          <w:rFonts w:ascii="Calibri"/>
          <w:b/>
          <w:color w:val="001F60"/>
          <w:spacing w:val="-3"/>
        </w:rPr>
        <w:t xml:space="preserve"> </w:t>
      </w:r>
      <w:r>
        <w:rPr>
          <w:rFonts w:ascii="Calibri"/>
          <w:b/>
          <w:color w:val="001F60"/>
        </w:rPr>
        <w:t>Localidades</w:t>
      </w:r>
      <w:r>
        <w:rPr>
          <w:rFonts w:ascii="Calibri"/>
          <w:b/>
          <w:color w:val="001F60"/>
          <w:spacing w:val="-5"/>
        </w:rPr>
        <w:t xml:space="preserve"> </w:t>
      </w:r>
      <w:r>
        <w:rPr>
          <w:rFonts w:ascii="Calibri"/>
          <w:b/>
          <w:color w:val="001F60"/>
        </w:rPr>
        <w:t>Remotas:</w:t>
      </w:r>
      <w:r>
        <w:rPr>
          <w:rFonts w:ascii="Calibri"/>
          <w:b/>
          <w:color w:val="001F60"/>
          <w:spacing w:val="-6"/>
        </w:rPr>
        <w:t xml:space="preserve"> </w:t>
      </w:r>
      <w:r>
        <w:rPr>
          <w:rFonts w:ascii="Calibri"/>
          <w:color w:val="001F60"/>
        </w:rPr>
        <w:t xml:space="preserve">185 </w:t>
      </w:r>
      <w:r>
        <w:rPr>
          <w:rFonts w:ascii="Calibri"/>
          <w:color w:val="001F60"/>
          <w:spacing w:val="-2"/>
        </w:rPr>
        <w:t>pontos;</w:t>
      </w:r>
    </w:p>
    <w:p w14:paraId="210FA3B3" w14:textId="77777777" w:rsidR="002C6574" w:rsidRDefault="00000000">
      <w:pPr>
        <w:pStyle w:val="PargrafodaLista"/>
        <w:numPr>
          <w:ilvl w:val="0"/>
          <w:numId w:val="2"/>
        </w:numPr>
        <w:tabs>
          <w:tab w:val="left" w:pos="1428"/>
        </w:tabs>
        <w:spacing w:before="6"/>
        <w:ind w:left="1428" w:hanging="359"/>
      </w:pPr>
      <w:r>
        <w:rPr>
          <w:b/>
          <w:color w:val="001F60"/>
        </w:rPr>
        <w:t>Meio</w:t>
      </w:r>
      <w:r>
        <w:rPr>
          <w:b/>
          <w:color w:val="001F60"/>
          <w:spacing w:val="-6"/>
        </w:rPr>
        <w:t xml:space="preserve"> </w:t>
      </w:r>
      <w:r>
        <w:rPr>
          <w:b/>
          <w:color w:val="001F60"/>
        </w:rPr>
        <w:t>Ambiente</w:t>
      </w:r>
      <w:r>
        <w:rPr>
          <w:b/>
          <w:color w:val="001F60"/>
          <w:spacing w:val="-3"/>
        </w:rPr>
        <w:t xml:space="preserve"> </w:t>
      </w:r>
      <w:r>
        <w:rPr>
          <w:b/>
          <w:color w:val="001F60"/>
        </w:rPr>
        <w:t>e</w:t>
      </w:r>
      <w:r>
        <w:rPr>
          <w:b/>
          <w:color w:val="001F60"/>
          <w:spacing w:val="-4"/>
        </w:rPr>
        <w:t xml:space="preserve"> </w:t>
      </w:r>
      <w:r>
        <w:rPr>
          <w:b/>
          <w:color w:val="001F60"/>
        </w:rPr>
        <w:t>Monitoramento</w:t>
      </w:r>
      <w:r>
        <w:rPr>
          <w:b/>
          <w:color w:val="001F60"/>
          <w:spacing w:val="-5"/>
        </w:rPr>
        <w:t xml:space="preserve"> </w:t>
      </w:r>
      <w:r>
        <w:rPr>
          <w:b/>
          <w:color w:val="001F60"/>
        </w:rPr>
        <w:t>Territorial:</w:t>
      </w:r>
      <w:r>
        <w:rPr>
          <w:b/>
          <w:color w:val="001F60"/>
          <w:spacing w:val="-5"/>
        </w:rPr>
        <w:t xml:space="preserve"> </w:t>
      </w:r>
      <w:r>
        <w:rPr>
          <w:color w:val="001F60"/>
        </w:rPr>
        <w:t>71</w:t>
      </w:r>
      <w:r>
        <w:rPr>
          <w:color w:val="001F60"/>
          <w:spacing w:val="-3"/>
        </w:rPr>
        <w:t xml:space="preserve"> </w:t>
      </w:r>
      <w:r>
        <w:rPr>
          <w:color w:val="001F60"/>
        </w:rPr>
        <w:t>pontos;</w:t>
      </w:r>
      <w:r>
        <w:rPr>
          <w:color w:val="001F60"/>
          <w:spacing w:val="-3"/>
        </w:rPr>
        <w:t xml:space="preserve"> </w:t>
      </w:r>
      <w:r>
        <w:rPr>
          <w:color w:val="001F60"/>
          <w:spacing w:val="-10"/>
        </w:rPr>
        <w:t>e</w:t>
      </w:r>
    </w:p>
    <w:p w14:paraId="7007BBC7" w14:textId="77777777" w:rsidR="002C6574" w:rsidRDefault="00000000">
      <w:pPr>
        <w:pStyle w:val="PargrafodaLista"/>
        <w:numPr>
          <w:ilvl w:val="0"/>
          <w:numId w:val="2"/>
        </w:numPr>
        <w:tabs>
          <w:tab w:val="left" w:pos="1428"/>
        </w:tabs>
        <w:spacing w:before="5"/>
        <w:ind w:left="1428" w:hanging="359"/>
      </w:pPr>
      <w:r>
        <w:rPr>
          <w:b/>
          <w:color w:val="001F60"/>
        </w:rPr>
        <w:t>Órgãos</w:t>
      </w:r>
      <w:r>
        <w:rPr>
          <w:b/>
          <w:color w:val="001F60"/>
          <w:spacing w:val="-2"/>
        </w:rPr>
        <w:t xml:space="preserve"> </w:t>
      </w:r>
      <w:r>
        <w:rPr>
          <w:b/>
          <w:color w:val="001F60"/>
        </w:rPr>
        <w:t>da</w:t>
      </w:r>
      <w:r>
        <w:rPr>
          <w:b/>
          <w:color w:val="001F60"/>
          <w:spacing w:val="-4"/>
        </w:rPr>
        <w:t xml:space="preserve"> </w:t>
      </w:r>
      <w:r>
        <w:rPr>
          <w:b/>
          <w:color w:val="001F60"/>
        </w:rPr>
        <w:t>Administração</w:t>
      </w:r>
      <w:r>
        <w:rPr>
          <w:b/>
          <w:color w:val="001F60"/>
          <w:spacing w:val="-8"/>
        </w:rPr>
        <w:t xml:space="preserve"> </w:t>
      </w:r>
      <w:r>
        <w:rPr>
          <w:b/>
          <w:color w:val="001F60"/>
        </w:rPr>
        <w:t>Pública:</w:t>
      </w:r>
      <w:r>
        <w:rPr>
          <w:b/>
          <w:color w:val="001F60"/>
          <w:spacing w:val="-6"/>
        </w:rPr>
        <w:t xml:space="preserve"> </w:t>
      </w:r>
      <w:r>
        <w:rPr>
          <w:color w:val="001F60"/>
        </w:rPr>
        <w:t>139</w:t>
      </w:r>
      <w:r>
        <w:rPr>
          <w:color w:val="001F60"/>
          <w:spacing w:val="2"/>
        </w:rPr>
        <w:t xml:space="preserve"> </w:t>
      </w:r>
      <w:r>
        <w:rPr>
          <w:color w:val="001F60"/>
          <w:spacing w:val="-2"/>
        </w:rPr>
        <w:t>pontos;</w:t>
      </w:r>
    </w:p>
    <w:p w14:paraId="73BBB282" w14:textId="77777777" w:rsidR="002C6574" w:rsidRDefault="00000000">
      <w:pPr>
        <w:pStyle w:val="PargrafodaLista"/>
        <w:numPr>
          <w:ilvl w:val="0"/>
          <w:numId w:val="2"/>
        </w:numPr>
        <w:tabs>
          <w:tab w:val="left" w:pos="1428"/>
        </w:tabs>
        <w:spacing w:before="5"/>
        <w:ind w:left="1428" w:hanging="359"/>
      </w:pPr>
      <w:r>
        <w:rPr>
          <w:b/>
          <w:color w:val="001F60"/>
        </w:rPr>
        <w:t>Outros</w:t>
      </w:r>
      <w:r>
        <w:rPr>
          <w:b/>
          <w:color w:val="001F60"/>
          <w:spacing w:val="-3"/>
        </w:rPr>
        <w:t xml:space="preserve"> </w:t>
      </w:r>
      <w:r>
        <w:rPr>
          <w:b/>
          <w:color w:val="001F60"/>
        </w:rPr>
        <w:t>pontos</w:t>
      </w:r>
      <w:r>
        <w:rPr>
          <w:b/>
          <w:color w:val="001F60"/>
          <w:spacing w:val="-1"/>
        </w:rPr>
        <w:t xml:space="preserve"> </w:t>
      </w:r>
      <w:r>
        <w:rPr>
          <w:b/>
          <w:color w:val="001F60"/>
        </w:rPr>
        <w:t>de</w:t>
      </w:r>
      <w:r>
        <w:rPr>
          <w:b/>
          <w:color w:val="001F60"/>
          <w:spacing w:val="-5"/>
        </w:rPr>
        <w:t xml:space="preserve"> </w:t>
      </w:r>
      <w:r>
        <w:rPr>
          <w:b/>
          <w:color w:val="001F60"/>
        </w:rPr>
        <w:t>conexão:</w:t>
      </w:r>
      <w:r>
        <w:rPr>
          <w:b/>
          <w:color w:val="001F60"/>
          <w:spacing w:val="-2"/>
        </w:rPr>
        <w:t xml:space="preserve"> </w:t>
      </w:r>
      <w:r>
        <w:rPr>
          <w:color w:val="001F60"/>
        </w:rPr>
        <w:t>520</w:t>
      </w:r>
      <w:r>
        <w:rPr>
          <w:color w:val="001F60"/>
          <w:spacing w:val="-2"/>
        </w:rPr>
        <w:t xml:space="preserve"> pontos.</w:t>
      </w:r>
    </w:p>
    <w:p w14:paraId="02BC10C1" w14:textId="77777777" w:rsidR="002C6574" w:rsidRDefault="00000000">
      <w:pPr>
        <w:pStyle w:val="Corpodetexto"/>
        <w:spacing w:before="111"/>
        <w:ind w:left="709" w:right="278"/>
        <w:jc w:val="both"/>
        <w:rPr>
          <w:rFonts w:ascii="Calibri" w:hAnsi="Calibri"/>
        </w:rPr>
      </w:pPr>
      <w:r>
        <w:rPr>
          <w:rFonts w:ascii="Calibri" w:hAnsi="Calibri"/>
          <w:color w:val="001F60"/>
        </w:rPr>
        <w:t>Esses resultados demonstram o compromisso da Telebras em ampliar o acesso à conectividade em todos o território nacional, contribuindo para políticas públicas essenciais e para a redução das desigualdades digitais.</w:t>
      </w:r>
    </w:p>
    <w:p w14:paraId="03DB6268" w14:textId="77777777" w:rsidR="002C6574" w:rsidRDefault="00000000">
      <w:pPr>
        <w:pStyle w:val="Corpodetexto"/>
        <w:spacing w:before="121"/>
        <w:ind w:left="709" w:right="276"/>
        <w:jc w:val="both"/>
        <w:rPr>
          <w:rFonts w:ascii="Calibri" w:hAnsi="Calibri"/>
        </w:rPr>
      </w:pPr>
      <w:r>
        <w:rPr>
          <w:rFonts w:ascii="Calibri" w:hAnsi="Calibri"/>
          <w:color w:val="001F60"/>
        </w:rPr>
        <w:t>No contexto da execução dessas políticas públicas, a Telebras adota uma estrutura consolidada para organizar</w:t>
      </w:r>
      <w:r>
        <w:rPr>
          <w:rFonts w:ascii="Calibri" w:hAnsi="Calibri"/>
          <w:color w:val="001F60"/>
          <w:spacing w:val="-5"/>
        </w:rPr>
        <w:t xml:space="preserve"> </w:t>
      </w:r>
      <w:r>
        <w:rPr>
          <w:rFonts w:ascii="Calibri" w:hAnsi="Calibri"/>
          <w:color w:val="001F60"/>
        </w:rPr>
        <w:t>e</w:t>
      </w:r>
      <w:r>
        <w:rPr>
          <w:rFonts w:ascii="Calibri" w:hAnsi="Calibri"/>
          <w:color w:val="001F60"/>
          <w:spacing w:val="-5"/>
        </w:rPr>
        <w:t xml:space="preserve"> </w:t>
      </w:r>
      <w:r>
        <w:rPr>
          <w:rFonts w:ascii="Calibri" w:hAnsi="Calibri"/>
          <w:color w:val="001F60"/>
        </w:rPr>
        <w:t>acompanhar</w:t>
      </w:r>
      <w:r>
        <w:rPr>
          <w:rFonts w:ascii="Calibri" w:hAnsi="Calibri"/>
          <w:color w:val="001F60"/>
          <w:spacing w:val="-5"/>
        </w:rPr>
        <w:t xml:space="preserve"> </w:t>
      </w:r>
      <w:r>
        <w:rPr>
          <w:rFonts w:ascii="Calibri" w:hAnsi="Calibri"/>
          <w:color w:val="001F60"/>
        </w:rPr>
        <w:t>as</w:t>
      </w:r>
      <w:r>
        <w:rPr>
          <w:rFonts w:ascii="Calibri" w:hAnsi="Calibri"/>
          <w:color w:val="001F60"/>
          <w:spacing w:val="-11"/>
        </w:rPr>
        <w:t xml:space="preserve"> </w:t>
      </w:r>
      <w:r>
        <w:rPr>
          <w:rFonts w:ascii="Calibri" w:hAnsi="Calibri"/>
          <w:color w:val="001F60"/>
        </w:rPr>
        <w:t>informações</w:t>
      </w:r>
      <w:r>
        <w:rPr>
          <w:rFonts w:ascii="Calibri" w:hAnsi="Calibri"/>
          <w:color w:val="001F60"/>
          <w:spacing w:val="-5"/>
        </w:rPr>
        <w:t xml:space="preserve"> </w:t>
      </w:r>
      <w:r>
        <w:rPr>
          <w:rFonts w:ascii="Calibri" w:hAnsi="Calibri"/>
          <w:color w:val="001F60"/>
        </w:rPr>
        <w:t>relacionadas</w:t>
      </w:r>
      <w:r>
        <w:rPr>
          <w:rFonts w:ascii="Calibri" w:hAnsi="Calibri"/>
          <w:color w:val="001F60"/>
          <w:spacing w:val="-7"/>
        </w:rPr>
        <w:t xml:space="preserve"> </w:t>
      </w:r>
      <w:r>
        <w:rPr>
          <w:rFonts w:ascii="Calibri" w:hAnsi="Calibri"/>
          <w:color w:val="001F60"/>
        </w:rPr>
        <w:t>às</w:t>
      </w:r>
      <w:r>
        <w:rPr>
          <w:rFonts w:ascii="Calibri" w:hAnsi="Calibri"/>
          <w:color w:val="001F60"/>
          <w:spacing w:val="-5"/>
        </w:rPr>
        <w:t xml:space="preserve"> </w:t>
      </w:r>
      <w:r>
        <w:rPr>
          <w:rFonts w:ascii="Calibri" w:hAnsi="Calibri"/>
          <w:color w:val="001F60"/>
        </w:rPr>
        <w:t>atividades</w:t>
      </w:r>
      <w:r>
        <w:rPr>
          <w:rFonts w:ascii="Calibri" w:hAnsi="Calibri"/>
          <w:color w:val="001F60"/>
          <w:spacing w:val="-5"/>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interesse</w:t>
      </w:r>
      <w:r>
        <w:rPr>
          <w:rFonts w:ascii="Calibri" w:hAnsi="Calibri"/>
          <w:color w:val="001F60"/>
          <w:spacing w:val="-5"/>
        </w:rPr>
        <w:t xml:space="preserve"> </w:t>
      </w:r>
      <w:r>
        <w:rPr>
          <w:rFonts w:ascii="Calibri" w:hAnsi="Calibri"/>
          <w:color w:val="001F60"/>
        </w:rPr>
        <w:t>público.</w:t>
      </w:r>
      <w:r>
        <w:rPr>
          <w:rFonts w:ascii="Calibri" w:hAnsi="Calibri"/>
          <w:color w:val="001F60"/>
          <w:spacing w:val="-5"/>
        </w:rPr>
        <w:t xml:space="preserve"> </w:t>
      </w:r>
      <w:r>
        <w:rPr>
          <w:rFonts w:ascii="Calibri" w:hAnsi="Calibri"/>
          <w:color w:val="001F60"/>
        </w:rPr>
        <w:t>A</w:t>
      </w:r>
      <w:r>
        <w:rPr>
          <w:rFonts w:ascii="Calibri" w:hAnsi="Calibri"/>
          <w:color w:val="001F60"/>
          <w:spacing w:val="-5"/>
        </w:rPr>
        <w:t xml:space="preserve"> </w:t>
      </w:r>
      <w:r>
        <w:rPr>
          <w:rFonts w:ascii="Calibri" w:hAnsi="Calibri"/>
          <w:color w:val="001F60"/>
        </w:rPr>
        <w:t>Companhia realiza a segregação dos custos conforme os segmentos operacionais, classificados em Serviços Terrestres,</w:t>
      </w:r>
      <w:r>
        <w:rPr>
          <w:rFonts w:ascii="Calibri" w:hAnsi="Calibri"/>
          <w:color w:val="001F60"/>
          <w:spacing w:val="-11"/>
        </w:rPr>
        <w:t xml:space="preserve"> </w:t>
      </w:r>
      <w:r>
        <w:rPr>
          <w:rFonts w:ascii="Calibri" w:hAnsi="Calibri"/>
          <w:color w:val="001F60"/>
        </w:rPr>
        <w:t>Serviços</w:t>
      </w:r>
      <w:r>
        <w:rPr>
          <w:rFonts w:ascii="Calibri" w:hAnsi="Calibri"/>
          <w:color w:val="001F60"/>
          <w:spacing w:val="-9"/>
        </w:rPr>
        <w:t xml:space="preserve"> </w:t>
      </w:r>
      <w:r>
        <w:rPr>
          <w:rFonts w:ascii="Calibri" w:hAnsi="Calibri"/>
          <w:color w:val="001F60"/>
        </w:rPr>
        <w:t>Via</w:t>
      </w:r>
      <w:r>
        <w:rPr>
          <w:rFonts w:ascii="Calibri" w:hAnsi="Calibri"/>
          <w:color w:val="001F60"/>
          <w:spacing w:val="-11"/>
        </w:rPr>
        <w:t xml:space="preserve"> </w:t>
      </w:r>
      <w:r>
        <w:rPr>
          <w:rFonts w:ascii="Calibri" w:hAnsi="Calibri"/>
          <w:color w:val="001F60"/>
        </w:rPr>
        <w:t>Satélite</w:t>
      </w:r>
      <w:r>
        <w:rPr>
          <w:rFonts w:ascii="Calibri" w:hAnsi="Calibri"/>
          <w:color w:val="001F60"/>
          <w:spacing w:val="-9"/>
        </w:rPr>
        <w:t xml:space="preserve"> </w:t>
      </w:r>
      <w:r>
        <w:rPr>
          <w:rFonts w:ascii="Calibri" w:hAnsi="Calibri"/>
          <w:color w:val="001F60"/>
        </w:rPr>
        <w:t>e</w:t>
      </w:r>
      <w:r>
        <w:rPr>
          <w:rFonts w:ascii="Calibri" w:hAnsi="Calibri"/>
          <w:color w:val="001F60"/>
          <w:spacing w:val="-9"/>
        </w:rPr>
        <w:t xml:space="preserve"> </w:t>
      </w:r>
      <w:r>
        <w:rPr>
          <w:rFonts w:ascii="Calibri" w:hAnsi="Calibri"/>
          <w:color w:val="001F60"/>
        </w:rPr>
        <w:t>Atendimento</w:t>
      </w:r>
      <w:r>
        <w:rPr>
          <w:rFonts w:ascii="Calibri" w:hAnsi="Calibri"/>
          <w:color w:val="001F60"/>
          <w:spacing w:val="-11"/>
        </w:rPr>
        <w:t xml:space="preserve"> </w:t>
      </w:r>
      <w:r>
        <w:rPr>
          <w:rFonts w:ascii="Calibri" w:hAnsi="Calibri"/>
          <w:color w:val="001F60"/>
        </w:rPr>
        <w:t>ao</w:t>
      </w:r>
      <w:r>
        <w:rPr>
          <w:rFonts w:ascii="Calibri" w:hAnsi="Calibri"/>
          <w:color w:val="001F60"/>
          <w:spacing w:val="-11"/>
        </w:rPr>
        <w:t xml:space="preserve"> </w:t>
      </w:r>
      <w:r>
        <w:rPr>
          <w:rFonts w:ascii="Calibri" w:hAnsi="Calibri"/>
          <w:color w:val="001F60"/>
        </w:rPr>
        <w:t>Governo,</w:t>
      </w:r>
      <w:r>
        <w:rPr>
          <w:rFonts w:ascii="Calibri" w:hAnsi="Calibri"/>
          <w:color w:val="001F60"/>
          <w:spacing w:val="-9"/>
        </w:rPr>
        <w:t xml:space="preserve"> </w:t>
      </w:r>
      <w:r>
        <w:rPr>
          <w:rFonts w:ascii="Calibri" w:hAnsi="Calibri"/>
          <w:color w:val="001F60"/>
        </w:rPr>
        <w:t>com</w:t>
      </w:r>
      <w:r>
        <w:rPr>
          <w:rFonts w:ascii="Calibri" w:hAnsi="Calibri"/>
          <w:color w:val="001F60"/>
          <w:spacing w:val="-9"/>
        </w:rPr>
        <w:t xml:space="preserve"> </w:t>
      </w:r>
      <w:r>
        <w:rPr>
          <w:rFonts w:ascii="Calibri" w:hAnsi="Calibri"/>
          <w:color w:val="001F60"/>
        </w:rPr>
        <w:t>a</w:t>
      </w:r>
      <w:r>
        <w:rPr>
          <w:rFonts w:ascii="Calibri" w:hAnsi="Calibri"/>
          <w:color w:val="001F60"/>
          <w:spacing w:val="-9"/>
        </w:rPr>
        <w:t xml:space="preserve"> </w:t>
      </w:r>
      <w:r>
        <w:rPr>
          <w:rFonts w:ascii="Calibri" w:hAnsi="Calibri"/>
          <w:color w:val="001F60"/>
        </w:rPr>
        <w:t>totalidade</w:t>
      </w:r>
      <w:r>
        <w:rPr>
          <w:rFonts w:ascii="Calibri" w:hAnsi="Calibri"/>
          <w:color w:val="001F60"/>
          <w:spacing w:val="-9"/>
        </w:rPr>
        <w:t xml:space="preserve"> </w:t>
      </w:r>
      <w:r>
        <w:rPr>
          <w:rFonts w:ascii="Calibri" w:hAnsi="Calibri"/>
          <w:color w:val="001F60"/>
        </w:rPr>
        <w:t>de</w:t>
      </w:r>
      <w:r>
        <w:rPr>
          <w:rFonts w:ascii="Calibri" w:hAnsi="Calibri"/>
          <w:color w:val="001F60"/>
          <w:spacing w:val="-9"/>
        </w:rPr>
        <w:t xml:space="preserve"> </w:t>
      </w:r>
      <w:r>
        <w:rPr>
          <w:rFonts w:ascii="Calibri" w:hAnsi="Calibri"/>
          <w:color w:val="001F60"/>
        </w:rPr>
        <w:t>seus</w:t>
      </w:r>
      <w:r>
        <w:rPr>
          <w:rFonts w:ascii="Calibri" w:hAnsi="Calibri"/>
          <w:color w:val="001F60"/>
          <w:spacing w:val="-9"/>
        </w:rPr>
        <w:t xml:space="preserve"> </w:t>
      </w:r>
      <w:r>
        <w:rPr>
          <w:rFonts w:ascii="Calibri" w:hAnsi="Calibri"/>
          <w:color w:val="001F60"/>
        </w:rPr>
        <w:t>custos</w:t>
      </w:r>
      <w:r>
        <w:rPr>
          <w:rFonts w:ascii="Calibri" w:hAnsi="Calibri"/>
          <w:color w:val="001F60"/>
          <w:spacing w:val="-9"/>
        </w:rPr>
        <w:t xml:space="preserve"> </w:t>
      </w:r>
      <w:r>
        <w:rPr>
          <w:rFonts w:ascii="Calibri" w:hAnsi="Calibri"/>
          <w:color w:val="001F60"/>
        </w:rPr>
        <w:t xml:space="preserve">destinada às atividades de interesse público previstas na legislação, tendo em vista que a infraestrutura e os ativos utilizados são empregados de maneira integrada na prestação dos serviços públicos sob sua </w:t>
      </w:r>
      <w:r>
        <w:rPr>
          <w:rFonts w:ascii="Calibri" w:hAnsi="Calibri"/>
          <w:color w:val="001F60"/>
          <w:spacing w:val="-2"/>
        </w:rPr>
        <w:t>responsabilidade.</w:t>
      </w:r>
    </w:p>
    <w:p w14:paraId="125ADC4B" w14:textId="77777777" w:rsidR="002C6574" w:rsidRDefault="00000000">
      <w:pPr>
        <w:pStyle w:val="Corpodetexto"/>
        <w:spacing w:before="119"/>
        <w:ind w:left="709" w:right="275"/>
        <w:jc w:val="both"/>
        <w:rPr>
          <w:rFonts w:ascii="Calibri" w:hAnsi="Calibri"/>
        </w:rPr>
      </w:pPr>
      <w:r>
        <w:rPr>
          <w:rFonts w:ascii="Calibri" w:hAnsi="Calibri"/>
          <w:color w:val="001F60"/>
        </w:rPr>
        <w:t>Além disso, sua estrutura contábil observa os requisitos legais e regulatórios aplicáveis, e o Plano de Contas é elaborado para atender às particularidades de uma sociedade anônima de capital aberto, contemplando</w:t>
      </w:r>
      <w:r>
        <w:rPr>
          <w:rFonts w:ascii="Calibri" w:hAnsi="Calibri"/>
          <w:color w:val="001F60"/>
          <w:spacing w:val="-12"/>
        </w:rPr>
        <w:t xml:space="preserve"> </w:t>
      </w:r>
      <w:r>
        <w:rPr>
          <w:rFonts w:ascii="Calibri" w:hAnsi="Calibri"/>
          <w:color w:val="001F60"/>
        </w:rPr>
        <w:t>as</w:t>
      </w:r>
      <w:r>
        <w:rPr>
          <w:rFonts w:ascii="Calibri" w:hAnsi="Calibri"/>
          <w:color w:val="001F60"/>
          <w:spacing w:val="-13"/>
        </w:rPr>
        <w:t xml:space="preserve"> </w:t>
      </w:r>
      <w:r>
        <w:rPr>
          <w:rFonts w:ascii="Calibri" w:hAnsi="Calibri"/>
          <w:color w:val="001F60"/>
        </w:rPr>
        <w:t>normas</w:t>
      </w:r>
      <w:r>
        <w:rPr>
          <w:rFonts w:ascii="Calibri" w:hAnsi="Calibri"/>
          <w:color w:val="001F60"/>
          <w:spacing w:val="-8"/>
        </w:rPr>
        <w:t xml:space="preserve"> </w:t>
      </w:r>
      <w:r>
        <w:rPr>
          <w:rFonts w:ascii="Calibri" w:hAnsi="Calibri"/>
          <w:color w:val="001F60"/>
        </w:rPr>
        <w:t>da</w:t>
      </w:r>
      <w:r>
        <w:rPr>
          <w:rFonts w:ascii="Calibri" w:hAnsi="Calibri"/>
          <w:color w:val="001F60"/>
          <w:spacing w:val="-10"/>
        </w:rPr>
        <w:t xml:space="preserve"> </w:t>
      </w:r>
      <w:r>
        <w:rPr>
          <w:rFonts w:ascii="Calibri" w:hAnsi="Calibri"/>
          <w:color w:val="001F60"/>
        </w:rPr>
        <w:t>CVM,</w:t>
      </w:r>
      <w:r>
        <w:rPr>
          <w:rFonts w:ascii="Calibri" w:hAnsi="Calibri"/>
          <w:color w:val="001F60"/>
          <w:spacing w:val="-10"/>
        </w:rPr>
        <w:t xml:space="preserve"> </w:t>
      </w:r>
      <w:r>
        <w:rPr>
          <w:rFonts w:ascii="Calibri" w:hAnsi="Calibri"/>
          <w:color w:val="001F60"/>
        </w:rPr>
        <w:t>as</w:t>
      </w:r>
      <w:r>
        <w:rPr>
          <w:rFonts w:ascii="Calibri" w:hAnsi="Calibri"/>
          <w:color w:val="001F60"/>
          <w:spacing w:val="-8"/>
        </w:rPr>
        <w:t xml:space="preserve"> </w:t>
      </w:r>
      <w:r>
        <w:rPr>
          <w:rFonts w:ascii="Calibri" w:hAnsi="Calibri"/>
          <w:color w:val="001F60"/>
        </w:rPr>
        <w:t>regras</w:t>
      </w:r>
      <w:r>
        <w:rPr>
          <w:rFonts w:ascii="Calibri" w:hAnsi="Calibri"/>
          <w:color w:val="001F60"/>
          <w:spacing w:val="-11"/>
        </w:rPr>
        <w:t xml:space="preserve"> </w:t>
      </w:r>
      <w:r>
        <w:rPr>
          <w:rFonts w:ascii="Calibri" w:hAnsi="Calibri"/>
          <w:color w:val="001F60"/>
        </w:rPr>
        <w:t>da</w:t>
      </w:r>
      <w:r>
        <w:rPr>
          <w:rFonts w:ascii="Calibri" w:hAnsi="Calibri"/>
          <w:color w:val="001F60"/>
          <w:spacing w:val="-8"/>
        </w:rPr>
        <w:t xml:space="preserve"> </w:t>
      </w:r>
      <w:r>
        <w:rPr>
          <w:rFonts w:ascii="Calibri" w:hAnsi="Calibri"/>
          <w:color w:val="001F60"/>
        </w:rPr>
        <w:t>Anatel</w:t>
      </w:r>
      <w:r>
        <w:rPr>
          <w:rFonts w:ascii="Calibri" w:hAnsi="Calibri"/>
          <w:color w:val="001F60"/>
          <w:spacing w:val="-13"/>
        </w:rPr>
        <w:t xml:space="preserve"> </w:t>
      </w:r>
      <w:r>
        <w:rPr>
          <w:rFonts w:ascii="Calibri" w:hAnsi="Calibri"/>
          <w:color w:val="001F60"/>
        </w:rPr>
        <w:t>e</w:t>
      </w:r>
      <w:r>
        <w:rPr>
          <w:rFonts w:ascii="Calibri" w:hAnsi="Calibri"/>
          <w:color w:val="001F60"/>
          <w:spacing w:val="-8"/>
        </w:rPr>
        <w:t xml:space="preserve"> </w:t>
      </w:r>
      <w:r>
        <w:rPr>
          <w:rFonts w:ascii="Calibri" w:hAnsi="Calibri"/>
          <w:color w:val="001F60"/>
        </w:rPr>
        <w:t>a</w:t>
      </w:r>
      <w:r>
        <w:rPr>
          <w:rFonts w:ascii="Calibri" w:hAnsi="Calibri"/>
          <w:color w:val="001F60"/>
          <w:spacing w:val="-12"/>
        </w:rPr>
        <w:t xml:space="preserve"> </w:t>
      </w:r>
      <w:r>
        <w:rPr>
          <w:rFonts w:ascii="Calibri" w:hAnsi="Calibri"/>
          <w:color w:val="001F60"/>
        </w:rPr>
        <w:t>legislação</w:t>
      </w:r>
      <w:r>
        <w:rPr>
          <w:rFonts w:ascii="Calibri" w:hAnsi="Calibri"/>
          <w:color w:val="001F60"/>
          <w:spacing w:val="-12"/>
        </w:rPr>
        <w:t xml:space="preserve"> </w:t>
      </w:r>
      <w:r>
        <w:rPr>
          <w:rFonts w:ascii="Calibri" w:hAnsi="Calibri"/>
          <w:color w:val="001F60"/>
        </w:rPr>
        <w:t>tributária.</w:t>
      </w:r>
      <w:r>
        <w:rPr>
          <w:rFonts w:ascii="Calibri" w:hAnsi="Calibri"/>
          <w:color w:val="001F60"/>
          <w:spacing w:val="-11"/>
        </w:rPr>
        <w:t xml:space="preserve"> </w:t>
      </w:r>
      <w:r>
        <w:rPr>
          <w:rFonts w:ascii="Calibri" w:hAnsi="Calibri"/>
          <w:color w:val="001F60"/>
        </w:rPr>
        <w:t>Nesse</w:t>
      </w:r>
      <w:r>
        <w:rPr>
          <w:rFonts w:ascii="Calibri" w:hAnsi="Calibri"/>
          <w:color w:val="001F60"/>
          <w:spacing w:val="-10"/>
        </w:rPr>
        <w:t xml:space="preserve"> </w:t>
      </w:r>
      <w:r>
        <w:rPr>
          <w:rFonts w:ascii="Calibri" w:hAnsi="Calibri"/>
          <w:color w:val="001F60"/>
        </w:rPr>
        <w:t>contexto,</w:t>
      </w:r>
      <w:r>
        <w:rPr>
          <w:rFonts w:ascii="Calibri" w:hAnsi="Calibri"/>
          <w:color w:val="001F60"/>
          <w:spacing w:val="-12"/>
        </w:rPr>
        <w:t xml:space="preserve"> </w:t>
      </w:r>
      <w:r>
        <w:rPr>
          <w:rFonts w:ascii="Calibri" w:hAnsi="Calibri"/>
          <w:color w:val="001F60"/>
        </w:rPr>
        <w:t>o</w:t>
      </w:r>
      <w:r>
        <w:rPr>
          <w:rFonts w:ascii="Calibri" w:hAnsi="Calibri"/>
          <w:color w:val="001F60"/>
          <w:spacing w:val="-10"/>
        </w:rPr>
        <w:t xml:space="preserve"> </w:t>
      </w:r>
      <w:r>
        <w:rPr>
          <w:rFonts w:ascii="Calibri" w:hAnsi="Calibri"/>
          <w:color w:val="001F60"/>
        </w:rPr>
        <w:t>Plano de Contas organiza receitas e ativos de forma a permitir a adequada fiscalização e arrecadação de tributos</w:t>
      </w:r>
      <w:r>
        <w:rPr>
          <w:rFonts w:ascii="Calibri" w:hAnsi="Calibri"/>
          <w:color w:val="001F60"/>
          <w:spacing w:val="-8"/>
        </w:rPr>
        <w:t xml:space="preserve"> </w:t>
      </w:r>
      <w:r>
        <w:rPr>
          <w:rFonts w:ascii="Calibri" w:hAnsi="Calibri"/>
          <w:color w:val="001F60"/>
        </w:rPr>
        <w:t>setoriais,</w:t>
      </w:r>
      <w:r>
        <w:rPr>
          <w:rFonts w:ascii="Calibri" w:hAnsi="Calibri"/>
          <w:color w:val="001F60"/>
          <w:spacing w:val="-10"/>
        </w:rPr>
        <w:t xml:space="preserve"> </w:t>
      </w:r>
      <w:r>
        <w:rPr>
          <w:rFonts w:ascii="Calibri" w:hAnsi="Calibri"/>
          <w:color w:val="001F60"/>
        </w:rPr>
        <w:t>como</w:t>
      </w:r>
      <w:r>
        <w:rPr>
          <w:rFonts w:ascii="Calibri" w:hAnsi="Calibri"/>
          <w:color w:val="001F60"/>
          <w:spacing w:val="-6"/>
        </w:rPr>
        <w:t xml:space="preserve"> </w:t>
      </w:r>
      <w:r>
        <w:rPr>
          <w:rFonts w:ascii="Calibri" w:hAnsi="Calibri"/>
          <w:color w:val="001F60"/>
        </w:rPr>
        <w:t>FUST</w:t>
      </w:r>
      <w:r>
        <w:rPr>
          <w:rFonts w:ascii="Calibri" w:hAnsi="Calibri"/>
          <w:color w:val="001F60"/>
          <w:spacing w:val="-6"/>
        </w:rPr>
        <w:t xml:space="preserve"> </w:t>
      </w:r>
      <w:r>
        <w:rPr>
          <w:rFonts w:ascii="Calibri" w:hAnsi="Calibri"/>
          <w:color w:val="001F60"/>
        </w:rPr>
        <w:t>e</w:t>
      </w:r>
      <w:r>
        <w:rPr>
          <w:rFonts w:ascii="Calibri" w:hAnsi="Calibri"/>
          <w:color w:val="001F60"/>
          <w:spacing w:val="-8"/>
        </w:rPr>
        <w:t xml:space="preserve"> </w:t>
      </w:r>
      <w:r>
        <w:rPr>
          <w:rFonts w:ascii="Calibri" w:hAnsi="Calibri"/>
          <w:color w:val="001F60"/>
        </w:rPr>
        <w:t>FUNTTEL,</w:t>
      </w:r>
      <w:r>
        <w:rPr>
          <w:rFonts w:ascii="Calibri" w:hAnsi="Calibri"/>
          <w:color w:val="001F60"/>
          <w:spacing w:val="-8"/>
        </w:rPr>
        <w:t xml:space="preserve"> </w:t>
      </w:r>
      <w:r>
        <w:rPr>
          <w:rFonts w:ascii="Calibri" w:hAnsi="Calibri"/>
          <w:color w:val="001F60"/>
        </w:rPr>
        <w:t>e</w:t>
      </w:r>
      <w:r>
        <w:rPr>
          <w:rFonts w:ascii="Calibri" w:hAnsi="Calibri"/>
          <w:color w:val="001F60"/>
          <w:spacing w:val="-8"/>
        </w:rPr>
        <w:t xml:space="preserve"> </w:t>
      </w:r>
      <w:r>
        <w:rPr>
          <w:rFonts w:ascii="Calibri" w:hAnsi="Calibri"/>
          <w:color w:val="001F60"/>
        </w:rPr>
        <w:t>tributos</w:t>
      </w:r>
      <w:r>
        <w:rPr>
          <w:rFonts w:ascii="Calibri" w:hAnsi="Calibri"/>
          <w:color w:val="001F60"/>
          <w:spacing w:val="-6"/>
        </w:rPr>
        <w:t xml:space="preserve"> </w:t>
      </w:r>
      <w:r>
        <w:rPr>
          <w:rFonts w:ascii="Calibri" w:hAnsi="Calibri"/>
          <w:color w:val="001F60"/>
        </w:rPr>
        <w:t>estaduais</w:t>
      </w:r>
      <w:r>
        <w:rPr>
          <w:rFonts w:ascii="Calibri" w:hAnsi="Calibri"/>
          <w:color w:val="001F60"/>
          <w:spacing w:val="-6"/>
        </w:rPr>
        <w:t xml:space="preserve"> </w:t>
      </w:r>
      <w:r>
        <w:rPr>
          <w:rFonts w:ascii="Calibri" w:hAnsi="Calibri"/>
          <w:color w:val="001F60"/>
        </w:rPr>
        <w:t>e</w:t>
      </w:r>
      <w:r>
        <w:rPr>
          <w:rFonts w:ascii="Calibri" w:hAnsi="Calibri"/>
          <w:color w:val="001F60"/>
          <w:spacing w:val="-6"/>
        </w:rPr>
        <w:t xml:space="preserve"> </w:t>
      </w:r>
      <w:r>
        <w:rPr>
          <w:rFonts w:ascii="Calibri" w:hAnsi="Calibri"/>
          <w:color w:val="001F60"/>
        </w:rPr>
        <w:t>federais,</w:t>
      </w:r>
      <w:r>
        <w:rPr>
          <w:rFonts w:ascii="Calibri" w:hAnsi="Calibri"/>
          <w:color w:val="001F60"/>
          <w:spacing w:val="-8"/>
        </w:rPr>
        <w:t xml:space="preserve"> </w:t>
      </w:r>
      <w:r>
        <w:rPr>
          <w:rFonts w:ascii="Calibri" w:hAnsi="Calibri"/>
          <w:color w:val="001F60"/>
        </w:rPr>
        <w:t>como</w:t>
      </w:r>
      <w:r>
        <w:rPr>
          <w:rFonts w:ascii="Calibri" w:hAnsi="Calibri"/>
          <w:color w:val="001F60"/>
          <w:spacing w:val="-6"/>
        </w:rPr>
        <w:t xml:space="preserve"> </w:t>
      </w:r>
      <w:r>
        <w:rPr>
          <w:rFonts w:ascii="Calibri" w:hAnsi="Calibri"/>
          <w:color w:val="001F60"/>
        </w:rPr>
        <w:t>ICMS,</w:t>
      </w:r>
      <w:r>
        <w:rPr>
          <w:rFonts w:ascii="Calibri" w:hAnsi="Calibri"/>
          <w:color w:val="001F60"/>
          <w:spacing w:val="-8"/>
        </w:rPr>
        <w:t xml:space="preserve"> </w:t>
      </w:r>
      <w:r>
        <w:rPr>
          <w:rFonts w:ascii="Calibri" w:hAnsi="Calibri"/>
          <w:color w:val="001F60"/>
        </w:rPr>
        <w:t>PIS</w:t>
      </w:r>
      <w:r>
        <w:rPr>
          <w:rFonts w:ascii="Calibri" w:hAnsi="Calibri"/>
          <w:color w:val="001F60"/>
          <w:spacing w:val="-6"/>
        </w:rPr>
        <w:t xml:space="preserve"> </w:t>
      </w:r>
      <w:r>
        <w:rPr>
          <w:rFonts w:ascii="Calibri" w:hAnsi="Calibri"/>
          <w:color w:val="001F60"/>
        </w:rPr>
        <w:t>e</w:t>
      </w:r>
      <w:r>
        <w:rPr>
          <w:rFonts w:ascii="Calibri" w:hAnsi="Calibri"/>
          <w:color w:val="001F60"/>
          <w:spacing w:val="-8"/>
        </w:rPr>
        <w:t xml:space="preserve"> </w:t>
      </w:r>
      <w:r>
        <w:rPr>
          <w:rFonts w:ascii="Calibri" w:hAnsi="Calibri"/>
          <w:color w:val="001F60"/>
        </w:rPr>
        <w:t>COFINS.</w:t>
      </w:r>
      <w:r>
        <w:rPr>
          <w:rFonts w:ascii="Calibri" w:hAnsi="Calibri"/>
          <w:color w:val="001F60"/>
          <w:spacing w:val="-8"/>
        </w:rPr>
        <w:t xml:space="preserve"> </w:t>
      </w:r>
      <w:r>
        <w:rPr>
          <w:rFonts w:ascii="Calibri" w:hAnsi="Calibri"/>
          <w:color w:val="001F60"/>
        </w:rPr>
        <w:t>No exercício</w:t>
      </w:r>
      <w:r>
        <w:rPr>
          <w:rFonts w:ascii="Calibri" w:hAnsi="Calibri"/>
          <w:color w:val="001F60"/>
          <w:spacing w:val="-5"/>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2025,</w:t>
      </w:r>
      <w:r>
        <w:rPr>
          <w:rFonts w:ascii="Calibri" w:hAnsi="Calibri"/>
          <w:color w:val="001F60"/>
          <w:spacing w:val="-3"/>
        </w:rPr>
        <w:t xml:space="preserve"> </w:t>
      </w:r>
      <w:r>
        <w:rPr>
          <w:rFonts w:ascii="Calibri" w:hAnsi="Calibri"/>
          <w:color w:val="001F60"/>
        </w:rPr>
        <w:t>os</w:t>
      </w:r>
      <w:r>
        <w:rPr>
          <w:rFonts w:ascii="Calibri" w:hAnsi="Calibri"/>
          <w:color w:val="001F60"/>
          <w:spacing w:val="-3"/>
        </w:rPr>
        <w:t xml:space="preserve"> </w:t>
      </w:r>
      <w:r>
        <w:rPr>
          <w:rFonts w:ascii="Calibri" w:hAnsi="Calibri"/>
          <w:color w:val="001F60"/>
        </w:rPr>
        <w:t>custos</w:t>
      </w:r>
      <w:r>
        <w:rPr>
          <w:rFonts w:ascii="Calibri" w:hAnsi="Calibri"/>
          <w:color w:val="001F60"/>
          <w:spacing w:val="-3"/>
        </w:rPr>
        <w:t xml:space="preserve"> </w:t>
      </w:r>
      <w:r>
        <w:rPr>
          <w:rFonts w:ascii="Calibri" w:hAnsi="Calibri"/>
          <w:color w:val="001F60"/>
        </w:rPr>
        <w:t>segregados</w:t>
      </w:r>
      <w:r>
        <w:rPr>
          <w:rFonts w:ascii="Calibri" w:hAnsi="Calibri"/>
          <w:color w:val="001F60"/>
          <w:spacing w:val="-1"/>
        </w:rPr>
        <w:t xml:space="preserve"> </w:t>
      </w:r>
      <w:r>
        <w:rPr>
          <w:rFonts w:ascii="Calibri" w:hAnsi="Calibri"/>
          <w:color w:val="001F60"/>
        </w:rPr>
        <w:t>gerencialmente</w:t>
      </w:r>
      <w:r>
        <w:rPr>
          <w:rFonts w:ascii="Calibri" w:hAnsi="Calibri"/>
          <w:color w:val="001F60"/>
          <w:spacing w:val="-3"/>
        </w:rPr>
        <w:t xml:space="preserve"> </w:t>
      </w:r>
      <w:r>
        <w:rPr>
          <w:rFonts w:ascii="Calibri" w:hAnsi="Calibri"/>
          <w:color w:val="001F60"/>
        </w:rPr>
        <w:t>por</w:t>
      </w:r>
      <w:r>
        <w:rPr>
          <w:rFonts w:ascii="Calibri" w:hAnsi="Calibri"/>
          <w:color w:val="001F60"/>
          <w:spacing w:val="-3"/>
        </w:rPr>
        <w:t xml:space="preserve"> </w:t>
      </w:r>
      <w:r>
        <w:rPr>
          <w:rFonts w:ascii="Calibri" w:hAnsi="Calibri"/>
          <w:color w:val="001F60"/>
        </w:rPr>
        <w:t>segmento</w:t>
      </w:r>
      <w:r>
        <w:rPr>
          <w:rFonts w:ascii="Calibri" w:hAnsi="Calibri"/>
          <w:color w:val="001F60"/>
          <w:spacing w:val="-5"/>
        </w:rPr>
        <w:t xml:space="preserve"> </w:t>
      </w:r>
      <w:r>
        <w:rPr>
          <w:rFonts w:ascii="Calibri" w:hAnsi="Calibri"/>
          <w:color w:val="001F60"/>
        </w:rPr>
        <w:t>foram</w:t>
      </w:r>
      <w:r>
        <w:rPr>
          <w:rFonts w:ascii="Calibri" w:hAnsi="Calibri"/>
          <w:color w:val="001F60"/>
          <w:spacing w:val="-5"/>
        </w:rPr>
        <w:t xml:space="preserve"> </w:t>
      </w:r>
      <w:r>
        <w:rPr>
          <w:rFonts w:ascii="Calibri" w:hAnsi="Calibri"/>
          <w:color w:val="001F60"/>
        </w:rPr>
        <w:t>distribuídos</w:t>
      </w:r>
      <w:r>
        <w:rPr>
          <w:rFonts w:ascii="Calibri" w:hAnsi="Calibri"/>
          <w:color w:val="001F60"/>
          <w:spacing w:val="-1"/>
        </w:rPr>
        <w:t xml:space="preserve"> </w:t>
      </w:r>
      <w:r>
        <w:rPr>
          <w:rFonts w:ascii="Calibri" w:hAnsi="Calibri"/>
          <w:color w:val="001F60"/>
        </w:rPr>
        <w:t>da</w:t>
      </w:r>
      <w:r>
        <w:rPr>
          <w:rFonts w:ascii="Calibri" w:hAnsi="Calibri"/>
          <w:color w:val="001F60"/>
          <w:spacing w:val="-3"/>
        </w:rPr>
        <w:t xml:space="preserve"> </w:t>
      </w:r>
      <w:r>
        <w:rPr>
          <w:rFonts w:ascii="Calibri" w:hAnsi="Calibri"/>
          <w:color w:val="001F60"/>
        </w:rPr>
        <w:t xml:space="preserve">seguinte </w:t>
      </w:r>
      <w:r>
        <w:rPr>
          <w:rFonts w:ascii="Calibri" w:hAnsi="Calibri"/>
          <w:color w:val="001F60"/>
          <w:spacing w:val="-2"/>
        </w:rPr>
        <w:t>forma:</w:t>
      </w:r>
    </w:p>
    <w:p w14:paraId="42C1EFAB" w14:textId="77777777" w:rsidR="002C6574" w:rsidRDefault="00000000">
      <w:pPr>
        <w:pStyle w:val="PargrafodaLista"/>
        <w:numPr>
          <w:ilvl w:val="0"/>
          <w:numId w:val="2"/>
        </w:numPr>
        <w:tabs>
          <w:tab w:val="left" w:pos="1428"/>
        </w:tabs>
        <w:spacing w:before="131"/>
        <w:ind w:left="1428" w:hanging="359"/>
      </w:pPr>
      <w:r>
        <w:rPr>
          <w:color w:val="001F60"/>
        </w:rPr>
        <w:t>Serviços</w:t>
      </w:r>
      <w:r>
        <w:rPr>
          <w:color w:val="001F60"/>
          <w:spacing w:val="-4"/>
        </w:rPr>
        <w:t xml:space="preserve"> </w:t>
      </w:r>
      <w:r>
        <w:rPr>
          <w:color w:val="001F60"/>
        </w:rPr>
        <w:t>Terrestres:</w:t>
      </w:r>
      <w:r>
        <w:rPr>
          <w:color w:val="001F60"/>
          <w:spacing w:val="-3"/>
        </w:rPr>
        <w:t xml:space="preserve"> </w:t>
      </w:r>
      <w:r>
        <w:rPr>
          <w:color w:val="001F60"/>
        </w:rPr>
        <w:t>R$</w:t>
      </w:r>
      <w:r>
        <w:rPr>
          <w:color w:val="001F60"/>
          <w:spacing w:val="-5"/>
        </w:rPr>
        <w:t xml:space="preserve"> </w:t>
      </w:r>
      <w:r>
        <w:rPr>
          <w:color w:val="001F60"/>
        </w:rPr>
        <w:t>220,9</w:t>
      </w:r>
      <w:r>
        <w:rPr>
          <w:color w:val="001F60"/>
          <w:spacing w:val="-3"/>
        </w:rPr>
        <w:t xml:space="preserve"> </w:t>
      </w:r>
      <w:r>
        <w:rPr>
          <w:color w:val="001F60"/>
          <w:spacing w:val="-2"/>
        </w:rPr>
        <w:t>milhões;</w:t>
      </w:r>
    </w:p>
    <w:p w14:paraId="25145A30" w14:textId="77777777" w:rsidR="002C6574" w:rsidRDefault="00000000">
      <w:pPr>
        <w:pStyle w:val="PargrafodaLista"/>
        <w:numPr>
          <w:ilvl w:val="0"/>
          <w:numId w:val="2"/>
        </w:numPr>
        <w:tabs>
          <w:tab w:val="left" w:pos="1428"/>
        </w:tabs>
        <w:spacing w:before="6"/>
        <w:ind w:left="1428" w:hanging="359"/>
      </w:pPr>
      <w:r>
        <w:rPr>
          <w:color w:val="001F60"/>
        </w:rPr>
        <w:t>Serviços</w:t>
      </w:r>
      <w:r>
        <w:rPr>
          <w:color w:val="001F60"/>
          <w:spacing w:val="-3"/>
        </w:rPr>
        <w:t xml:space="preserve"> </w:t>
      </w:r>
      <w:r>
        <w:rPr>
          <w:color w:val="001F60"/>
        </w:rPr>
        <w:t>Via</w:t>
      </w:r>
      <w:r>
        <w:rPr>
          <w:color w:val="001F60"/>
          <w:spacing w:val="-2"/>
        </w:rPr>
        <w:t xml:space="preserve"> </w:t>
      </w:r>
      <w:r>
        <w:rPr>
          <w:color w:val="001F60"/>
        </w:rPr>
        <w:t>Satélite:</w:t>
      </w:r>
      <w:r>
        <w:rPr>
          <w:color w:val="001F60"/>
          <w:spacing w:val="-4"/>
        </w:rPr>
        <w:t xml:space="preserve"> </w:t>
      </w:r>
      <w:r>
        <w:rPr>
          <w:color w:val="001F60"/>
        </w:rPr>
        <w:t>R$</w:t>
      </w:r>
      <w:r>
        <w:rPr>
          <w:color w:val="001F60"/>
          <w:spacing w:val="-4"/>
        </w:rPr>
        <w:t xml:space="preserve"> </w:t>
      </w:r>
      <w:r>
        <w:rPr>
          <w:color w:val="001F60"/>
        </w:rPr>
        <w:t>367,7</w:t>
      </w:r>
      <w:r>
        <w:rPr>
          <w:color w:val="001F60"/>
          <w:spacing w:val="-4"/>
        </w:rPr>
        <w:t xml:space="preserve"> </w:t>
      </w:r>
      <w:r>
        <w:rPr>
          <w:color w:val="001F60"/>
        </w:rPr>
        <w:t>milhões;</w:t>
      </w:r>
      <w:r>
        <w:rPr>
          <w:color w:val="001F60"/>
          <w:spacing w:val="-2"/>
        </w:rPr>
        <w:t xml:space="preserve"> </w:t>
      </w:r>
      <w:r>
        <w:rPr>
          <w:color w:val="001F60"/>
          <w:spacing w:val="-10"/>
        </w:rPr>
        <w:t>e</w:t>
      </w:r>
    </w:p>
    <w:p w14:paraId="18D4A42E" w14:textId="77777777" w:rsidR="002C6574" w:rsidRDefault="00000000">
      <w:pPr>
        <w:pStyle w:val="PargrafodaLista"/>
        <w:numPr>
          <w:ilvl w:val="0"/>
          <w:numId w:val="2"/>
        </w:numPr>
        <w:tabs>
          <w:tab w:val="left" w:pos="1428"/>
        </w:tabs>
        <w:spacing w:before="5"/>
        <w:ind w:left="1428" w:hanging="359"/>
      </w:pPr>
      <w:r>
        <w:rPr>
          <w:color w:val="001F60"/>
        </w:rPr>
        <w:t>Atendimento</w:t>
      </w:r>
      <w:r>
        <w:rPr>
          <w:color w:val="001F60"/>
          <w:spacing w:val="-4"/>
        </w:rPr>
        <w:t xml:space="preserve"> </w:t>
      </w:r>
      <w:r>
        <w:rPr>
          <w:color w:val="001F60"/>
        </w:rPr>
        <w:t>ao</w:t>
      </w:r>
      <w:r>
        <w:rPr>
          <w:color w:val="001F60"/>
          <w:spacing w:val="-4"/>
        </w:rPr>
        <w:t xml:space="preserve"> </w:t>
      </w:r>
      <w:r>
        <w:rPr>
          <w:color w:val="001F60"/>
        </w:rPr>
        <w:t>Governo:</w:t>
      </w:r>
      <w:r>
        <w:rPr>
          <w:color w:val="001F60"/>
          <w:spacing w:val="-5"/>
        </w:rPr>
        <w:t xml:space="preserve"> </w:t>
      </w:r>
      <w:r>
        <w:rPr>
          <w:color w:val="001F60"/>
        </w:rPr>
        <w:t>R$</w:t>
      </w:r>
      <w:r>
        <w:rPr>
          <w:color w:val="001F60"/>
          <w:spacing w:val="-4"/>
        </w:rPr>
        <w:t xml:space="preserve"> </w:t>
      </w:r>
      <w:r>
        <w:rPr>
          <w:color w:val="001F60"/>
        </w:rPr>
        <w:t>74,4</w:t>
      </w:r>
      <w:r>
        <w:rPr>
          <w:color w:val="001F60"/>
          <w:spacing w:val="-2"/>
        </w:rPr>
        <w:t xml:space="preserve"> milhões.</w:t>
      </w:r>
    </w:p>
    <w:p w14:paraId="30AB29CA" w14:textId="77777777" w:rsidR="002C6574" w:rsidRDefault="002C6574">
      <w:pPr>
        <w:pStyle w:val="PargrafodaLista"/>
        <w:sectPr w:rsidR="002C6574">
          <w:headerReference w:type="default" r:id="rId17"/>
          <w:footerReference w:type="default" r:id="rId18"/>
          <w:pgSz w:w="11910" w:h="16840"/>
          <w:pgMar w:top="1160" w:right="850" w:bottom="740" w:left="992" w:header="312" w:footer="542" w:gutter="0"/>
          <w:pgNumType w:start="1"/>
          <w:cols w:space="720"/>
        </w:sectPr>
      </w:pPr>
    </w:p>
    <w:p w14:paraId="316F0340" w14:textId="77777777" w:rsidR="002C6574" w:rsidRDefault="002C6574">
      <w:pPr>
        <w:pStyle w:val="Corpodetexto"/>
        <w:spacing w:before="263"/>
        <w:rPr>
          <w:rFonts w:ascii="Calibri"/>
        </w:rPr>
      </w:pPr>
    </w:p>
    <w:p w14:paraId="0ADC7210" w14:textId="77777777" w:rsidR="002C6574" w:rsidRDefault="00000000">
      <w:pPr>
        <w:pStyle w:val="Corpodetexto"/>
        <w:ind w:left="709" w:right="276"/>
        <w:jc w:val="both"/>
        <w:rPr>
          <w:rFonts w:ascii="Calibri" w:hAnsi="Calibri"/>
        </w:rPr>
      </w:pPr>
      <w:r>
        <w:rPr>
          <w:rFonts w:ascii="Calibri" w:hAnsi="Calibri"/>
          <w:color w:val="001F60"/>
        </w:rPr>
        <w:t>Essa forma de organização proporciona clareza quanto à aplicação dos recursos e estabelece a base para avanços futuros no detalhamento das informações por política pública.Embora a Telebras atue sob</w:t>
      </w:r>
      <w:r>
        <w:rPr>
          <w:rFonts w:ascii="Calibri" w:hAnsi="Calibri"/>
          <w:color w:val="001F60"/>
          <w:spacing w:val="-13"/>
        </w:rPr>
        <w:t xml:space="preserve"> </w:t>
      </w:r>
      <w:r>
        <w:rPr>
          <w:rFonts w:ascii="Calibri" w:hAnsi="Calibri"/>
          <w:color w:val="001F60"/>
        </w:rPr>
        <w:t>diretrizes</w:t>
      </w:r>
      <w:r>
        <w:rPr>
          <w:rFonts w:ascii="Calibri" w:hAnsi="Calibri"/>
          <w:color w:val="001F60"/>
          <w:spacing w:val="-10"/>
        </w:rPr>
        <w:t xml:space="preserve"> </w:t>
      </w:r>
      <w:r>
        <w:rPr>
          <w:rFonts w:ascii="Calibri" w:hAnsi="Calibri"/>
          <w:color w:val="001F60"/>
        </w:rPr>
        <w:t>específicas</w:t>
      </w:r>
      <w:r>
        <w:rPr>
          <w:rFonts w:ascii="Calibri" w:hAnsi="Calibri"/>
          <w:color w:val="001F60"/>
          <w:spacing w:val="-13"/>
        </w:rPr>
        <w:t xml:space="preserve"> </w:t>
      </w:r>
      <w:r>
        <w:rPr>
          <w:rFonts w:ascii="Calibri" w:hAnsi="Calibri"/>
          <w:color w:val="001F60"/>
        </w:rPr>
        <w:t>voltadas</w:t>
      </w:r>
      <w:r>
        <w:rPr>
          <w:rFonts w:ascii="Calibri" w:hAnsi="Calibri"/>
          <w:color w:val="001F60"/>
          <w:spacing w:val="-12"/>
        </w:rPr>
        <w:t xml:space="preserve"> </w:t>
      </w:r>
      <w:r>
        <w:rPr>
          <w:rFonts w:ascii="Calibri" w:hAnsi="Calibri"/>
          <w:color w:val="001F60"/>
        </w:rPr>
        <w:t>à</w:t>
      </w:r>
      <w:r>
        <w:rPr>
          <w:rFonts w:ascii="Calibri" w:hAnsi="Calibri"/>
          <w:color w:val="001F60"/>
          <w:spacing w:val="-12"/>
        </w:rPr>
        <w:t xml:space="preserve"> </w:t>
      </w:r>
      <w:r>
        <w:rPr>
          <w:rFonts w:ascii="Calibri" w:hAnsi="Calibri"/>
          <w:color w:val="001F60"/>
        </w:rPr>
        <w:t>execução</w:t>
      </w:r>
      <w:r>
        <w:rPr>
          <w:rFonts w:ascii="Calibri" w:hAnsi="Calibri"/>
          <w:color w:val="001F60"/>
          <w:spacing w:val="-11"/>
        </w:rPr>
        <w:t xml:space="preserve"> </w:t>
      </w:r>
      <w:r>
        <w:rPr>
          <w:rFonts w:ascii="Calibri" w:hAnsi="Calibri"/>
          <w:color w:val="001F60"/>
        </w:rPr>
        <w:t>de</w:t>
      </w:r>
      <w:r>
        <w:rPr>
          <w:rFonts w:ascii="Calibri" w:hAnsi="Calibri"/>
          <w:color w:val="001F60"/>
          <w:spacing w:val="-11"/>
        </w:rPr>
        <w:t xml:space="preserve"> </w:t>
      </w:r>
      <w:r>
        <w:rPr>
          <w:rFonts w:ascii="Calibri" w:hAnsi="Calibri"/>
          <w:color w:val="001F60"/>
        </w:rPr>
        <w:t>políticas</w:t>
      </w:r>
      <w:r>
        <w:rPr>
          <w:rFonts w:ascii="Calibri" w:hAnsi="Calibri"/>
          <w:color w:val="001F60"/>
          <w:spacing w:val="-12"/>
        </w:rPr>
        <w:t xml:space="preserve"> </w:t>
      </w:r>
      <w:r>
        <w:rPr>
          <w:rFonts w:ascii="Calibri" w:hAnsi="Calibri"/>
          <w:color w:val="001F60"/>
        </w:rPr>
        <w:t>públicas,</w:t>
      </w:r>
      <w:r>
        <w:rPr>
          <w:rFonts w:ascii="Calibri" w:hAnsi="Calibri"/>
          <w:color w:val="001F60"/>
          <w:spacing w:val="-11"/>
        </w:rPr>
        <w:t xml:space="preserve"> </w:t>
      </w:r>
      <w:r>
        <w:rPr>
          <w:rFonts w:ascii="Calibri" w:hAnsi="Calibri"/>
          <w:color w:val="001F60"/>
        </w:rPr>
        <w:t>distintas</w:t>
      </w:r>
      <w:r>
        <w:rPr>
          <w:rFonts w:ascii="Calibri" w:hAnsi="Calibri"/>
          <w:color w:val="001F60"/>
          <w:spacing w:val="-12"/>
        </w:rPr>
        <w:t xml:space="preserve"> </w:t>
      </w:r>
      <w:r>
        <w:rPr>
          <w:rFonts w:ascii="Calibri" w:hAnsi="Calibri"/>
          <w:color w:val="001F60"/>
        </w:rPr>
        <w:t>das</w:t>
      </w:r>
      <w:r>
        <w:rPr>
          <w:rFonts w:ascii="Calibri" w:hAnsi="Calibri"/>
          <w:color w:val="001F60"/>
          <w:spacing w:val="-12"/>
        </w:rPr>
        <w:t xml:space="preserve"> </w:t>
      </w:r>
      <w:r>
        <w:rPr>
          <w:rFonts w:ascii="Calibri" w:hAnsi="Calibri"/>
          <w:color w:val="001F60"/>
        </w:rPr>
        <w:t>condições</w:t>
      </w:r>
      <w:r>
        <w:rPr>
          <w:rFonts w:ascii="Calibri" w:hAnsi="Calibri"/>
          <w:color w:val="001F60"/>
          <w:spacing w:val="-12"/>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mercado enfrentadas</w:t>
      </w:r>
      <w:r>
        <w:rPr>
          <w:rFonts w:ascii="Calibri" w:hAnsi="Calibri"/>
          <w:color w:val="001F60"/>
          <w:spacing w:val="-4"/>
        </w:rPr>
        <w:t xml:space="preserve"> </w:t>
      </w:r>
      <w:r>
        <w:rPr>
          <w:rFonts w:ascii="Calibri" w:hAnsi="Calibri"/>
          <w:color w:val="001F60"/>
        </w:rPr>
        <w:t>por</w:t>
      </w:r>
      <w:r>
        <w:rPr>
          <w:rFonts w:ascii="Calibri" w:hAnsi="Calibri"/>
          <w:color w:val="001F60"/>
          <w:spacing w:val="-6"/>
        </w:rPr>
        <w:t xml:space="preserve"> </w:t>
      </w:r>
      <w:r>
        <w:rPr>
          <w:rFonts w:ascii="Calibri" w:hAnsi="Calibri"/>
          <w:color w:val="001F60"/>
        </w:rPr>
        <w:t>empresas</w:t>
      </w:r>
      <w:r>
        <w:rPr>
          <w:rFonts w:ascii="Calibri" w:hAnsi="Calibri"/>
          <w:color w:val="001F60"/>
          <w:spacing w:val="-8"/>
        </w:rPr>
        <w:t xml:space="preserve"> </w:t>
      </w:r>
      <w:r>
        <w:rPr>
          <w:rFonts w:ascii="Calibri" w:hAnsi="Calibri"/>
          <w:color w:val="001F60"/>
        </w:rPr>
        <w:t>privadas</w:t>
      </w:r>
      <w:r>
        <w:rPr>
          <w:rFonts w:ascii="Calibri" w:hAnsi="Calibri"/>
          <w:color w:val="001F60"/>
          <w:spacing w:val="-4"/>
        </w:rPr>
        <w:t xml:space="preserve"> </w:t>
      </w:r>
      <w:r>
        <w:rPr>
          <w:rFonts w:ascii="Calibri" w:hAnsi="Calibri"/>
          <w:color w:val="001F60"/>
        </w:rPr>
        <w:t>no</w:t>
      </w:r>
      <w:r>
        <w:rPr>
          <w:rFonts w:ascii="Calibri" w:hAnsi="Calibri"/>
          <w:color w:val="001F60"/>
          <w:spacing w:val="-3"/>
        </w:rPr>
        <w:t xml:space="preserve"> </w:t>
      </w:r>
      <w:r>
        <w:rPr>
          <w:rFonts w:ascii="Calibri" w:hAnsi="Calibri"/>
          <w:color w:val="001F60"/>
        </w:rPr>
        <w:t>setor</w:t>
      </w:r>
      <w:r>
        <w:rPr>
          <w:rFonts w:ascii="Calibri" w:hAnsi="Calibri"/>
          <w:color w:val="001F60"/>
          <w:spacing w:val="-4"/>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telecomunicações,</w:t>
      </w:r>
      <w:r>
        <w:rPr>
          <w:rFonts w:ascii="Calibri" w:hAnsi="Calibri"/>
          <w:color w:val="001F60"/>
          <w:spacing w:val="-8"/>
        </w:rPr>
        <w:t xml:space="preserve"> </w:t>
      </w:r>
      <w:r>
        <w:rPr>
          <w:rFonts w:ascii="Calibri" w:hAnsi="Calibri"/>
          <w:color w:val="001F60"/>
        </w:rPr>
        <w:t>mantém</w:t>
      </w:r>
      <w:r>
        <w:rPr>
          <w:rFonts w:ascii="Calibri" w:hAnsi="Calibri"/>
          <w:color w:val="001F60"/>
          <w:spacing w:val="-4"/>
        </w:rPr>
        <w:t xml:space="preserve"> </w:t>
      </w:r>
      <w:r>
        <w:rPr>
          <w:rFonts w:ascii="Calibri" w:hAnsi="Calibri"/>
          <w:color w:val="001F60"/>
        </w:rPr>
        <w:t>equivalência</w:t>
      </w:r>
      <w:r>
        <w:rPr>
          <w:rFonts w:ascii="Calibri" w:hAnsi="Calibri"/>
          <w:color w:val="001F60"/>
          <w:spacing w:val="-4"/>
        </w:rPr>
        <w:t xml:space="preserve"> </w:t>
      </w:r>
      <w:r>
        <w:rPr>
          <w:rFonts w:ascii="Calibri" w:hAnsi="Calibri"/>
          <w:color w:val="001F60"/>
        </w:rPr>
        <w:t>em</w:t>
      </w:r>
      <w:r>
        <w:rPr>
          <w:rFonts w:ascii="Calibri" w:hAnsi="Calibri"/>
          <w:color w:val="001F60"/>
          <w:spacing w:val="-4"/>
        </w:rPr>
        <w:t xml:space="preserve"> </w:t>
      </w:r>
      <w:r>
        <w:rPr>
          <w:rFonts w:ascii="Calibri" w:hAnsi="Calibri"/>
          <w:color w:val="001F60"/>
        </w:rPr>
        <w:t>aspectos essenciais, como preços dos serviços, níveis de Acordos de Nível de Serviço (SLA), condições contratuais, tecnologias adotadas e padrões de atendimento.</w:t>
      </w:r>
    </w:p>
    <w:p w14:paraId="4610920D" w14:textId="77777777" w:rsidR="002C6574" w:rsidRDefault="00000000">
      <w:pPr>
        <w:pStyle w:val="Corpodetexto"/>
        <w:spacing w:before="119"/>
        <w:ind w:left="709" w:right="278"/>
        <w:jc w:val="both"/>
        <w:rPr>
          <w:rFonts w:ascii="Calibri" w:hAnsi="Calibri"/>
        </w:rPr>
      </w:pPr>
      <w:r>
        <w:rPr>
          <w:rFonts w:ascii="Calibri" w:hAnsi="Calibri"/>
          <w:color w:val="001F60"/>
        </w:rPr>
        <w:t>Essa equivalência é estratégica, permitindo que a Telebras contribua para a inclusão digital e para a ampliação do acesso aos serviços de telecomunicações, alinhando-se aos objetivos nacionais de desenvolvimento socioeconômico e à promoção da universalização do acesso à conectividade, sem renunciar a competitividade e às melhores práticas de mercado.</w:t>
      </w:r>
    </w:p>
    <w:p w14:paraId="04BFC615" w14:textId="77777777" w:rsidR="002C6574" w:rsidRDefault="00000000">
      <w:pPr>
        <w:pStyle w:val="Corpodetexto"/>
        <w:spacing w:before="121"/>
        <w:ind w:left="709" w:right="278"/>
        <w:jc w:val="both"/>
        <w:rPr>
          <w:rFonts w:ascii="Calibri" w:hAnsi="Calibri"/>
        </w:rPr>
      </w:pPr>
      <w:r>
        <w:rPr>
          <w:rFonts w:ascii="Calibri" w:hAnsi="Calibri"/>
          <w:color w:val="001F60"/>
        </w:rPr>
        <w:t>Desta forma, mesmo atuando em um contexto diferenciado, a Telebras reafirma seu compromisso com construção de uma sociedade mais conectada e inclusiva, assegurando condições de serviço comparáveis às melhores disponíveis no setor privado.</w:t>
      </w:r>
    </w:p>
    <w:p w14:paraId="4C1EC070" w14:textId="77777777" w:rsidR="002C6574" w:rsidRDefault="002C6574">
      <w:pPr>
        <w:pStyle w:val="Corpodetexto"/>
        <w:jc w:val="both"/>
        <w:rPr>
          <w:rFonts w:ascii="Calibri" w:hAnsi="Calibri"/>
        </w:rPr>
        <w:sectPr w:rsidR="002C6574">
          <w:pgSz w:w="11910" w:h="16840"/>
          <w:pgMar w:top="1160" w:right="850" w:bottom="740" w:left="992" w:header="312" w:footer="542" w:gutter="0"/>
          <w:cols w:space="720"/>
        </w:sectPr>
      </w:pPr>
    </w:p>
    <w:p w14:paraId="52C953FD" w14:textId="77777777" w:rsidR="002C6574" w:rsidRDefault="002C6574">
      <w:pPr>
        <w:pStyle w:val="Corpodetexto"/>
        <w:spacing w:before="239"/>
        <w:rPr>
          <w:rFonts w:ascii="Calibri"/>
          <w:sz w:val="24"/>
        </w:rPr>
      </w:pPr>
    </w:p>
    <w:p w14:paraId="10A7FFCF" w14:textId="77777777" w:rsidR="002C6574" w:rsidRDefault="00000000">
      <w:pPr>
        <w:pStyle w:val="Ttulo8"/>
        <w:numPr>
          <w:ilvl w:val="0"/>
          <w:numId w:val="74"/>
        </w:numPr>
        <w:tabs>
          <w:tab w:val="left" w:pos="1136"/>
        </w:tabs>
        <w:ind w:left="1136" w:hanging="427"/>
      </w:pPr>
      <w:r>
        <w:rPr>
          <w:color w:val="001F60"/>
        </w:rPr>
        <w:t>Governança</w:t>
      </w:r>
      <w:r>
        <w:rPr>
          <w:color w:val="001F60"/>
          <w:spacing w:val="-1"/>
        </w:rPr>
        <w:t xml:space="preserve"> </w:t>
      </w:r>
      <w:r>
        <w:rPr>
          <w:color w:val="001F60"/>
        </w:rPr>
        <w:t xml:space="preserve">Corporativa, Relações com Investidores e </w:t>
      </w:r>
      <w:r>
        <w:rPr>
          <w:color w:val="001F60"/>
          <w:spacing w:val="-2"/>
        </w:rPr>
        <w:t>Mercado</w:t>
      </w:r>
    </w:p>
    <w:p w14:paraId="180D5516" w14:textId="77777777" w:rsidR="002C6574" w:rsidRDefault="00000000">
      <w:pPr>
        <w:numPr>
          <w:ilvl w:val="1"/>
          <w:numId w:val="74"/>
        </w:numPr>
        <w:tabs>
          <w:tab w:val="left" w:pos="1275"/>
        </w:tabs>
        <w:spacing w:before="234"/>
        <w:ind w:left="1275" w:hanging="566"/>
        <w:rPr>
          <w:rFonts w:ascii="Calibri"/>
          <w:b/>
        </w:rPr>
      </w:pPr>
      <w:r>
        <w:rPr>
          <w:rFonts w:ascii="Calibri"/>
          <w:b/>
          <w:color w:val="001F60"/>
        </w:rPr>
        <w:t>Integridade,</w:t>
      </w:r>
      <w:r>
        <w:rPr>
          <w:rFonts w:ascii="Calibri"/>
          <w:b/>
          <w:color w:val="001F60"/>
          <w:spacing w:val="-3"/>
        </w:rPr>
        <w:t xml:space="preserve"> </w:t>
      </w:r>
      <w:r>
        <w:rPr>
          <w:rFonts w:ascii="Calibri"/>
          <w:b/>
          <w:color w:val="001F60"/>
        </w:rPr>
        <w:t>Riscos</w:t>
      </w:r>
      <w:r>
        <w:rPr>
          <w:rFonts w:ascii="Calibri"/>
          <w:b/>
          <w:color w:val="001F60"/>
          <w:spacing w:val="-2"/>
        </w:rPr>
        <w:t xml:space="preserve"> </w:t>
      </w:r>
      <w:r>
        <w:rPr>
          <w:rFonts w:ascii="Calibri"/>
          <w:b/>
          <w:color w:val="001F60"/>
        </w:rPr>
        <w:t>e</w:t>
      </w:r>
      <w:r>
        <w:rPr>
          <w:rFonts w:ascii="Calibri"/>
          <w:b/>
          <w:color w:val="001F60"/>
          <w:spacing w:val="-4"/>
        </w:rPr>
        <w:t xml:space="preserve"> </w:t>
      </w:r>
      <w:r>
        <w:rPr>
          <w:rFonts w:ascii="Calibri"/>
          <w:b/>
          <w:color w:val="001F60"/>
          <w:spacing w:val="-2"/>
        </w:rPr>
        <w:t>Conformidade</w:t>
      </w:r>
    </w:p>
    <w:p w14:paraId="5285D8E6" w14:textId="77777777" w:rsidR="002C6574" w:rsidRDefault="002C6574">
      <w:pPr>
        <w:pStyle w:val="Corpodetexto"/>
        <w:spacing w:before="10"/>
        <w:rPr>
          <w:rFonts w:ascii="Calibri"/>
          <w:b/>
        </w:rPr>
      </w:pPr>
    </w:p>
    <w:p w14:paraId="73DEDA53" w14:textId="77777777" w:rsidR="002C6574" w:rsidRDefault="00000000">
      <w:pPr>
        <w:pStyle w:val="Corpodetexto"/>
        <w:spacing w:before="1"/>
        <w:ind w:left="709" w:right="278"/>
        <w:jc w:val="both"/>
        <w:rPr>
          <w:rFonts w:ascii="Calibri" w:hAnsi="Calibri"/>
        </w:rPr>
      </w:pPr>
      <w:r>
        <w:rPr>
          <w:rFonts w:ascii="Calibri" w:hAnsi="Calibri"/>
          <w:color w:val="001F60"/>
        </w:rPr>
        <w:t>Em 2025, a Telebras consolidou avanços significativos em sua estratégia de Integridade, Riscos e Conformidade, por meio de iniciativas estruturantes que fortaleceram a governança corporativa e promoveram uma cultura organizacional orientada pela ética, transparência e responsabilidade.</w:t>
      </w:r>
    </w:p>
    <w:p w14:paraId="476A9C23" w14:textId="77777777" w:rsidR="002C6574" w:rsidRDefault="00000000">
      <w:pPr>
        <w:pStyle w:val="Corpodetexto"/>
        <w:spacing w:before="120"/>
        <w:ind w:left="709" w:right="276"/>
        <w:jc w:val="both"/>
        <w:rPr>
          <w:rFonts w:ascii="Calibri" w:hAnsi="Calibri"/>
        </w:rPr>
      </w:pPr>
      <w:r>
        <w:rPr>
          <w:rFonts w:ascii="Calibri" w:hAnsi="Calibri"/>
          <w:color w:val="001F60"/>
        </w:rPr>
        <w:t>Foi realizada a avaliação anual de desempenho de administradores, conselheiros e membros de comitês, em conformidade com os requisitos estabelecidos na Lei 13.303/16 - Lei das Estatais. O processo contemplou critérios relacionados à formação acadêmica, experiência profissional, conhecimentos em governança corporativa, alinhamento à cultura organizacional, compreensão da estratégia</w:t>
      </w:r>
      <w:r>
        <w:rPr>
          <w:rFonts w:ascii="Calibri" w:hAnsi="Calibri"/>
          <w:color w:val="001F60"/>
          <w:spacing w:val="-6"/>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negócios,</w:t>
      </w:r>
      <w:r>
        <w:rPr>
          <w:rFonts w:ascii="Calibri" w:hAnsi="Calibri"/>
          <w:color w:val="001F60"/>
          <w:spacing w:val="-6"/>
        </w:rPr>
        <w:t xml:space="preserve"> </w:t>
      </w:r>
      <w:r>
        <w:rPr>
          <w:rFonts w:ascii="Calibri" w:hAnsi="Calibri"/>
          <w:color w:val="001F60"/>
        </w:rPr>
        <w:t>gestão</w:t>
      </w:r>
      <w:r>
        <w:rPr>
          <w:rFonts w:ascii="Calibri" w:hAnsi="Calibri"/>
          <w:color w:val="001F60"/>
          <w:spacing w:val="-5"/>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riscos</w:t>
      </w:r>
      <w:r>
        <w:rPr>
          <w:rFonts w:ascii="Calibri" w:hAnsi="Calibri"/>
          <w:color w:val="001F60"/>
          <w:spacing w:val="-6"/>
        </w:rPr>
        <w:t xml:space="preserve"> </w:t>
      </w:r>
      <w:r>
        <w:rPr>
          <w:rFonts w:ascii="Calibri" w:hAnsi="Calibri"/>
          <w:color w:val="001F60"/>
        </w:rPr>
        <w:t>corporativos,</w:t>
      </w:r>
      <w:r>
        <w:rPr>
          <w:rFonts w:ascii="Calibri" w:hAnsi="Calibri"/>
          <w:color w:val="001F60"/>
          <w:spacing w:val="-10"/>
        </w:rPr>
        <w:t xml:space="preserve"> </w:t>
      </w:r>
      <w:r>
        <w:rPr>
          <w:rFonts w:ascii="Calibri" w:hAnsi="Calibri"/>
          <w:color w:val="001F60"/>
        </w:rPr>
        <w:t>conformidade</w:t>
      </w:r>
      <w:r>
        <w:rPr>
          <w:rFonts w:ascii="Calibri" w:hAnsi="Calibri"/>
          <w:color w:val="001F60"/>
          <w:spacing w:val="-6"/>
        </w:rPr>
        <w:t xml:space="preserve"> </w:t>
      </w:r>
      <w:r>
        <w:rPr>
          <w:rFonts w:ascii="Calibri" w:hAnsi="Calibri"/>
          <w:color w:val="001F60"/>
        </w:rPr>
        <w:t>regulatória</w:t>
      </w:r>
      <w:r>
        <w:rPr>
          <w:rFonts w:ascii="Calibri" w:hAnsi="Calibri"/>
          <w:color w:val="001F60"/>
          <w:spacing w:val="-6"/>
        </w:rPr>
        <w:t xml:space="preserve"> </w:t>
      </w:r>
      <w:r>
        <w:rPr>
          <w:rFonts w:ascii="Calibri" w:hAnsi="Calibri"/>
          <w:color w:val="001F60"/>
        </w:rPr>
        <w:t>e</w:t>
      </w:r>
      <w:r>
        <w:rPr>
          <w:rFonts w:ascii="Calibri" w:hAnsi="Calibri"/>
          <w:color w:val="001F60"/>
          <w:spacing w:val="-8"/>
        </w:rPr>
        <w:t xml:space="preserve"> </w:t>
      </w:r>
      <w:r>
        <w:rPr>
          <w:rFonts w:ascii="Calibri" w:hAnsi="Calibri"/>
          <w:color w:val="001F60"/>
        </w:rPr>
        <w:t>compromisso</w:t>
      </w:r>
      <w:r>
        <w:rPr>
          <w:rFonts w:ascii="Calibri" w:hAnsi="Calibri"/>
          <w:color w:val="001F60"/>
          <w:spacing w:val="-5"/>
        </w:rPr>
        <w:t xml:space="preserve"> </w:t>
      </w:r>
      <w:r>
        <w:rPr>
          <w:rFonts w:ascii="Calibri" w:hAnsi="Calibri"/>
          <w:color w:val="001F60"/>
        </w:rPr>
        <w:t>com</w:t>
      </w:r>
      <w:r>
        <w:rPr>
          <w:rFonts w:ascii="Calibri" w:hAnsi="Calibri"/>
          <w:color w:val="001F60"/>
          <w:spacing w:val="-8"/>
        </w:rPr>
        <w:t xml:space="preserve"> </w:t>
      </w:r>
      <w:r>
        <w:rPr>
          <w:rFonts w:ascii="Calibri" w:hAnsi="Calibri"/>
          <w:color w:val="001F60"/>
        </w:rPr>
        <w:t xml:space="preserve">a </w:t>
      </w:r>
      <w:r>
        <w:rPr>
          <w:rFonts w:ascii="Calibri" w:hAnsi="Calibri"/>
          <w:color w:val="001F60"/>
          <w:spacing w:val="-2"/>
        </w:rPr>
        <w:t>transparência.</w:t>
      </w:r>
    </w:p>
    <w:p w14:paraId="5FF4B976" w14:textId="77777777" w:rsidR="002C6574" w:rsidRDefault="00000000">
      <w:pPr>
        <w:pStyle w:val="Corpodetexto"/>
        <w:spacing w:before="119"/>
        <w:ind w:left="709" w:right="278"/>
        <w:jc w:val="both"/>
        <w:rPr>
          <w:rFonts w:ascii="Calibri" w:hAnsi="Calibri"/>
        </w:rPr>
      </w:pPr>
      <w:r>
        <w:rPr>
          <w:rFonts w:ascii="Calibri" w:hAnsi="Calibri"/>
          <w:color w:val="001F60"/>
        </w:rPr>
        <w:t>No</w:t>
      </w:r>
      <w:r>
        <w:rPr>
          <w:rFonts w:ascii="Calibri" w:hAnsi="Calibri"/>
          <w:color w:val="001F60"/>
          <w:spacing w:val="-1"/>
        </w:rPr>
        <w:t xml:space="preserve"> </w:t>
      </w:r>
      <w:r>
        <w:rPr>
          <w:rFonts w:ascii="Calibri" w:hAnsi="Calibri"/>
          <w:color w:val="001F60"/>
        </w:rPr>
        <w:t>eixo</w:t>
      </w:r>
      <w:r>
        <w:rPr>
          <w:rFonts w:ascii="Calibri" w:hAnsi="Calibri"/>
          <w:color w:val="001F60"/>
          <w:spacing w:val="-1"/>
        </w:rPr>
        <w:t xml:space="preserve"> </w:t>
      </w:r>
      <w:r>
        <w:rPr>
          <w:rFonts w:ascii="Calibri" w:hAnsi="Calibri"/>
          <w:color w:val="001F60"/>
        </w:rPr>
        <w:t>da</w:t>
      </w:r>
      <w:r>
        <w:rPr>
          <w:rFonts w:ascii="Calibri" w:hAnsi="Calibri"/>
          <w:color w:val="001F60"/>
          <w:spacing w:val="-3"/>
        </w:rPr>
        <w:t xml:space="preserve"> </w:t>
      </w:r>
      <w:r>
        <w:rPr>
          <w:rFonts w:ascii="Calibri" w:hAnsi="Calibri"/>
          <w:color w:val="001F60"/>
        </w:rPr>
        <w:t>transparência,</w:t>
      </w:r>
      <w:r>
        <w:rPr>
          <w:rFonts w:ascii="Calibri" w:hAnsi="Calibri"/>
          <w:color w:val="001F60"/>
          <w:spacing w:val="-3"/>
        </w:rPr>
        <w:t xml:space="preserve"> </w:t>
      </w:r>
      <w:r>
        <w:rPr>
          <w:rFonts w:ascii="Calibri" w:hAnsi="Calibri"/>
          <w:color w:val="001F60"/>
        </w:rPr>
        <w:t>a</w:t>
      </w:r>
      <w:r>
        <w:rPr>
          <w:rFonts w:ascii="Calibri" w:hAnsi="Calibri"/>
          <w:color w:val="001F60"/>
          <w:spacing w:val="-3"/>
        </w:rPr>
        <w:t xml:space="preserve"> </w:t>
      </w:r>
      <w:r>
        <w:rPr>
          <w:rFonts w:ascii="Calibri" w:hAnsi="Calibri"/>
          <w:color w:val="001F60"/>
        </w:rPr>
        <w:t>Telebras</w:t>
      </w:r>
      <w:r>
        <w:rPr>
          <w:rFonts w:ascii="Calibri" w:hAnsi="Calibri"/>
          <w:color w:val="001F60"/>
          <w:spacing w:val="-1"/>
        </w:rPr>
        <w:t xml:space="preserve"> </w:t>
      </w:r>
      <w:r>
        <w:rPr>
          <w:rFonts w:ascii="Calibri" w:hAnsi="Calibri"/>
          <w:color w:val="001F60"/>
        </w:rPr>
        <w:t>conquistou</w:t>
      </w:r>
      <w:r>
        <w:rPr>
          <w:rFonts w:ascii="Calibri" w:hAnsi="Calibri"/>
          <w:color w:val="001F60"/>
          <w:spacing w:val="-4"/>
        </w:rPr>
        <w:t xml:space="preserve"> </w:t>
      </w:r>
      <w:r>
        <w:rPr>
          <w:rFonts w:ascii="Calibri" w:hAnsi="Calibri"/>
          <w:color w:val="001F60"/>
        </w:rPr>
        <w:t>o</w:t>
      </w:r>
      <w:r>
        <w:rPr>
          <w:rFonts w:ascii="Calibri" w:hAnsi="Calibri"/>
          <w:color w:val="001F60"/>
          <w:spacing w:val="-1"/>
        </w:rPr>
        <w:t xml:space="preserve"> </w:t>
      </w:r>
      <w:r>
        <w:rPr>
          <w:rFonts w:ascii="Calibri" w:hAnsi="Calibri"/>
          <w:color w:val="001F60"/>
        </w:rPr>
        <w:t>Selo</w:t>
      </w:r>
      <w:r>
        <w:rPr>
          <w:rFonts w:ascii="Calibri" w:hAnsi="Calibri"/>
          <w:color w:val="001F60"/>
          <w:spacing w:val="-3"/>
        </w:rPr>
        <w:t xml:space="preserve"> </w:t>
      </w:r>
      <w:r>
        <w:rPr>
          <w:rFonts w:ascii="Calibri" w:hAnsi="Calibri"/>
          <w:color w:val="001F60"/>
        </w:rPr>
        <w:t>Prata</w:t>
      </w:r>
      <w:r>
        <w:rPr>
          <w:rFonts w:ascii="Calibri" w:hAnsi="Calibri"/>
          <w:color w:val="001F60"/>
          <w:spacing w:val="-3"/>
        </w:rPr>
        <w:t xml:space="preserve"> </w:t>
      </w:r>
      <w:r>
        <w:rPr>
          <w:rFonts w:ascii="Calibri" w:hAnsi="Calibri"/>
          <w:color w:val="001F60"/>
        </w:rPr>
        <w:t>no</w:t>
      </w:r>
      <w:r>
        <w:rPr>
          <w:rFonts w:ascii="Calibri" w:hAnsi="Calibri"/>
          <w:color w:val="001F60"/>
          <w:spacing w:val="-3"/>
        </w:rPr>
        <w:t xml:space="preserve"> </w:t>
      </w:r>
      <w:r>
        <w:rPr>
          <w:rFonts w:ascii="Calibri" w:hAnsi="Calibri"/>
          <w:color w:val="001F60"/>
        </w:rPr>
        <w:t>Índice</w:t>
      </w:r>
      <w:r>
        <w:rPr>
          <w:rFonts w:ascii="Calibri" w:hAnsi="Calibri"/>
          <w:color w:val="001F60"/>
          <w:spacing w:val="-1"/>
        </w:rPr>
        <w:t xml:space="preserve"> </w:t>
      </w:r>
      <w:r>
        <w:rPr>
          <w:rFonts w:ascii="Calibri" w:hAnsi="Calibri"/>
          <w:color w:val="001F60"/>
        </w:rPr>
        <w:t>de</w:t>
      </w:r>
      <w:r>
        <w:rPr>
          <w:rFonts w:ascii="Calibri" w:hAnsi="Calibri"/>
          <w:color w:val="001F60"/>
          <w:spacing w:val="-3"/>
        </w:rPr>
        <w:t xml:space="preserve"> </w:t>
      </w:r>
      <w:r>
        <w:rPr>
          <w:rFonts w:ascii="Calibri" w:hAnsi="Calibri"/>
          <w:color w:val="001F60"/>
        </w:rPr>
        <w:t>Transparência</w:t>
      </w:r>
      <w:r>
        <w:rPr>
          <w:rFonts w:ascii="Calibri" w:hAnsi="Calibri"/>
          <w:color w:val="001F60"/>
          <w:spacing w:val="-3"/>
        </w:rPr>
        <w:t xml:space="preserve"> </w:t>
      </w:r>
      <w:r>
        <w:rPr>
          <w:rFonts w:ascii="Calibri" w:hAnsi="Calibri"/>
          <w:color w:val="001F60"/>
        </w:rPr>
        <w:t>do</w:t>
      </w:r>
      <w:r>
        <w:rPr>
          <w:rFonts w:ascii="Calibri" w:hAnsi="Calibri"/>
          <w:color w:val="001F60"/>
          <w:spacing w:val="-3"/>
        </w:rPr>
        <w:t xml:space="preserve"> </w:t>
      </w:r>
      <w:r>
        <w:rPr>
          <w:rFonts w:ascii="Calibri" w:hAnsi="Calibri"/>
          <w:color w:val="001F60"/>
        </w:rPr>
        <w:t>Programa Nacional</w:t>
      </w:r>
      <w:r>
        <w:rPr>
          <w:rFonts w:ascii="Calibri" w:hAnsi="Calibri"/>
          <w:color w:val="001F60"/>
          <w:spacing w:val="-13"/>
        </w:rPr>
        <w:t xml:space="preserve"> </w:t>
      </w:r>
      <w:r>
        <w:rPr>
          <w:rFonts w:ascii="Calibri" w:hAnsi="Calibri"/>
          <w:color w:val="001F60"/>
        </w:rPr>
        <w:t>da</w:t>
      </w:r>
      <w:r>
        <w:rPr>
          <w:rFonts w:ascii="Calibri" w:hAnsi="Calibri"/>
          <w:color w:val="001F60"/>
          <w:spacing w:val="-12"/>
        </w:rPr>
        <w:t xml:space="preserve"> </w:t>
      </w:r>
      <w:r>
        <w:rPr>
          <w:rFonts w:ascii="Calibri" w:hAnsi="Calibri"/>
          <w:color w:val="001F60"/>
        </w:rPr>
        <w:t>Transparência</w:t>
      </w:r>
      <w:r>
        <w:rPr>
          <w:rFonts w:ascii="Calibri" w:hAnsi="Calibri"/>
          <w:color w:val="001F60"/>
          <w:spacing w:val="-13"/>
        </w:rPr>
        <w:t xml:space="preserve"> </w:t>
      </w:r>
      <w:r>
        <w:rPr>
          <w:rFonts w:ascii="Calibri" w:hAnsi="Calibri"/>
          <w:color w:val="001F60"/>
        </w:rPr>
        <w:t>Pública</w:t>
      </w:r>
      <w:r>
        <w:rPr>
          <w:rFonts w:ascii="Calibri" w:hAnsi="Calibri"/>
          <w:color w:val="001F60"/>
          <w:spacing w:val="-12"/>
        </w:rPr>
        <w:t xml:space="preserve"> </w:t>
      </w:r>
      <w:r>
        <w:rPr>
          <w:rFonts w:ascii="Calibri" w:hAnsi="Calibri"/>
          <w:color w:val="001F60"/>
        </w:rPr>
        <w:t>(PNTP),</w:t>
      </w:r>
      <w:r>
        <w:rPr>
          <w:rFonts w:ascii="Calibri" w:hAnsi="Calibri"/>
          <w:color w:val="001F60"/>
          <w:spacing w:val="-13"/>
        </w:rPr>
        <w:t xml:space="preserve"> </w:t>
      </w:r>
      <w:r>
        <w:rPr>
          <w:rFonts w:ascii="Calibri" w:hAnsi="Calibri"/>
          <w:color w:val="001F60"/>
        </w:rPr>
        <w:t>com</w:t>
      </w:r>
      <w:r>
        <w:rPr>
          <w:rFonts w:ascii="Calibri" w:hAnsi="Calibri"/>
          <w:color w:val="001F60"/>
          <w:spacing w:val="-12"/>
        </w:rPr>
        <w:t xml:space="preserve"> </w:t>
      </w:r>
      <w:r>
        <w:rPr>
          <w:rFonts w:ascii="Calibri" w:hAnsi="Calibri"/>
          <w:color w:val="001F60"/>
        </w:rPr>
        <w:t>pontuação</w:t>
      </w:r>
      <w:r>
        <w:rPr>
          <w:rFonts w:ascii="Calibri" w:hAnsi="Calibri"/>
          <w:color w:val="001F60"/>
          <w:spacing w:val="-13"/>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83,14%,</w:t>
      </w:r>
      <w:r>
        <w:rPr>
          <w:rFonts w:ascii="Calibri" w:hAnsi="Calibri"/>
          <w:color w:val="001F60"/>
          <w:spacing w:val="-12"/>
        </w:rPr>
        <w:t xml:space="preserve"> </w:t>
      </w:r>
      <w:r>
        <w:rPr>
          <w:rFonts w:ascii="Calibri" w:hAnsi="Calibri"/>
          <w:color w:val="001F60"/>
        </w:rPr>
        <w:t>posicionando-se</w:t>
      </w:r>
      <w:r>
        <w:rPr>
          <w:rFonts w:ascii="Calibri" w:hAnsi="Calibri"/>
          <w:color w:val="001F60"/>
          <w:spacing w:val="-13"/>
        </w:rPr>
        <w:t xml:space="preserve"> </w:t>
      </w:r>
      <w:r>
        <w:rPr>
          <w:rFonts w:ascii="Calibri" w:hAnsi="Calibri"/>
          <w:color w:val="001F60"/>
        </w:rPr>
        <w:t>acima</w:t>
      </w:r>
      <w:r>
        <w:rPr>
          <w:rFonts w:ascii="Calibri" w:hAnsi="Calibri"/>
          <w:color w:val="001F60"/>
          <w:spacing w:val="-12"/>
        </w:rPr>
        <w:t xml:space="preserve"> </w:t>
      </w:r>
      <w:r>
        <w:rPr>
          <w:rFonts w:ascii="Calibri" w:hAnsi="Calibri"/>
          <w:color w:val="001F60"/>
        </w:rPr>
        <w:t>da</w:t>
      </w:r>
      <w:r>
        <w:rPr>
          <w:rFonts w:ascii="Calibri" w:hAnsi="Calibri"/>
          <w:color w:val="001F60"/>
          <w:spacing w:val="-13"/>
        </w:rPr>
        <w:t xml:space="preserve"> </w:t>
      </w:r>
      <w:r>
        <w:rPr>
          <w:rFonts w:ascii="Calibri" w:hAnsi="Calibri"/>
          <w:color w:val="001F60"/>
        </w:rPr>
        <w:t>média nacional. Vale destacar</w:t>
      </w:r>
      <w:r>
        <w:rPr>
          <w:rFonts w:ascii="Calibri" w:hAnsi="Calibri"/>
          <w:color w:val="001F60"/>
          <w:spacing w:val="-5"/>
        </w:rPr>
        <w:t xml:space="preserve"> </w:t>
      </w:r>
      <w:r>
        <w:rPr>
          <w:rFonts w:ascii="Calibri" w:hAnsi="Calibri"/>
          <w:color w:val="001F60"/>
        </w:rPr>
        <w:t>que</w:t>
      </w:r>
      <w:r>
        <w:rPr>
          <w:rFonts w:ascii="Calibri" w:hAnsi="Calibri"/>
          <w:color w:val="001F60"/>
          <w:spacing w:val="-3"/>
        </w:rPr>
        <w:t xml:space="preserve"> </w:t>
      </w:r>
      <w:r>
        <w:rPr>
          <w:rFonts w:ascii="Calibri" w:hAnsi="Calibri"/>
          <w:color w:val="001F60"/>
        </w:rPr>
        <w:t>66,60% das</w:t>
      </w:r>
      <w:r>
        <w:rPr>
          <w:rFonts w:ascii="Calibri" w:hAnsi="Calibri"/>
          <w:color w:val="001F60"/>
          <w:spacing w:val="-6"/>
        </w:rPr>
        <w:t xml:space="preserve"> </w:t>
      </w:r>
      <w:r>
        <w:rPr>
          <w:rFonts w:ascii="Calibri" w:hAnsi="Calibri"/>
          <w:color w:val="001F60"/>
        </w:rPr>
        <w:t>organizações</w:t>
      </w:r>
      <w:r>
        <w:rPr>
          <w:rFonts w:ascii="Calibri" w:hAnsi="Calibri"/>
          <w:color w:val="001F60"/>
          <w:spacing w:val="-3"/>
        </w:rPr>
        <w:t xml:space="preserve"> </w:t>
      </w:r>
      <w:r>
        <w:rPr>
          <w:rFonts w:ascii="Calibri" w:hAnsi="Calibri"/>
          <w:color w:val="001F60"/>
        </w:rPr>
        <w:t>avaliadas ficaram no nível</w:t>
      </w:r>
      <w:r>
        <w:rPr>
          <w:rFonts w:ascii="Calibri" w:hAnsi="Calibri"/>
          <w:color w:val="001F60"/>
          <w:spacing w:val="-2"/>
        </w:rPr>
        <w:t xml:space="preserve"> </w:t>
      </w:r>
      <w:r>
        <w:rPr>
          <w:rFonts w:ascii="Calibri" w:hAnsi="Calibri"/>
          <w:color w:val="001F60"/>
        </w:rPr>
        <w:t>intermediário,</w:t>
      </w:r>
      <w:r>
        <w:rPr>
          <w:rFonts w:ascii="Calibri" w:hAnsi="Calibri"/>
          <w:color w:val="001F60"/>
          <w:spacing w:val="-3"/>
        </w:rPr>
        <w:t xml:space="preserve"> </w:t>
      </w:r>
      <w:r>
        <w:rPr>
          <w:rFonts w:ascii="Calibri" w:hAnsi="Calibri"/>
          <w:color w:val="001F60"/>
        </w:rPr>
        <w:t>abaixo do Selo Prata, o que evidencia a posição de destaque da Companhia no cenário nacional de transparência pública.</w:t>
      </w:r>
    </w:p>
    <w:p w14:paraId="4A7BE066" w14:textId="77777777" w:rsidR="002C6574" w:rsidRDefault="00000000">
      <w:pPr>
        <w:pStyle w:val="Corpodetexto"/>
        <w:spacing w:before="122"/>
        <w:ind w:left="709" w:right="277"/>
        <w:jc w:val="both"/>
        <w:rPr>
          <w:rFonts w:ascii="Calibri" w:hAnsi="Calibri"/>
        </w:rPr>
      </w:pPr>
      <w:r>
        <w:rPr>
          <w:rFonts w:ascii="Calibri" w:hAnsi="Calibri"/>
          <w:color w:val="001F60"/>
        </w:rPr>
        <w:t>No combate à corrupção e na promoção da integridade, a Telebras obteve progresso substancial no Programa Nacional de Prevenção à Corrupção (PNPC), elevando seu grau de aderência do nível “aprimorado” para “avançado”, conforme autoavaliação realizada na plataforma e-Prevenção. A evolução reforça</w:t>
      </w:r>
      <w:r>
        <w:rPr>
          <w:rFonts w:ascii="Calibri" w:hAnsi="Calibri"/>
          <w:color w:val="001F60"/>
          <w:spacing w:val="-4"/>
        </w:rPr>
        <w:t xml:space="preserve"> </w:t>
      </w:r>
      <w:r>
        <w:rPr>
          <w:rFonts w:ascii="Calibri" w:hAnsi="Calibri"/>
          <w:color w:val="001F60"/>
        </w:rPr>
        <w:t>a</w:t>
      </w:r>
      <w:r>
        <w:rPr>
          <w:rFonts w:ascii="Calibri" w:hAnsi="Calibri"/>
          <w:color w:val="001F60"/>
          <w:spacing w:val="-4"/>
        </w:rPr>
        <w:t xml:space="preserve"> </w:t>
      </w:r>
      <w:r>
        <w:rPr>
          <w:rFonts w:ascii="Calibri" w:hAnsi="Calibri"/>
          <w:color w:val="001F60"/>
        </w:rPr>
        <w:t>maturidade</w:t>
      </w:r>
      <w:r>
        <w:rPr>
          <w:rFonts w:ascii="Calibri" w:hAnsi="Calibri"/>
          <w:color w:val="001F60"/>
          <w:spacing w:val="-2"/>
        </w:rPr>
        <w:t xml:space="preserve"> </w:t>
      </w:r>
      <w:r>
        <w:rPr>
          <w:rFonts w:ascii="Calibri" w:hAnsi="Calibri"/>
          <w:color w:val="001F60"/>
        </w:rPr>
        <w:t>dos controles</w:t>
      </w:r>
      <w:r>
        <w:rPr>
          <w:rFonts w:ascii="Calibri" w:hAnsi="Calibri"/>
          <w:color w:val="001F60"/>
          <w:spacing w:val="-2"/>
        </w:rPr>
        <w:t xml:space="preserve"> </w:t>
      </w:r>
      <w:r>
        <w:rPr>
          <w:rFonts w:ascii="Calibri" w:hAnsi="Calibri"/>
          <w:color w:val="001F60"/>
        </w:rPr>
        <w:t>internos,</w:t>
      </w:r>
      <w:r>
        <w:rPr>
          <w:rFonts w:ascii="Calibri" w:hAnsi="Calibri"/>
          <w:color w:val="001F60"/>
          <w:spacing w:val="-4"/>
        </w:rPr>
        <w:t xml:space="preserve"> </w:t>
      </w:r>
      <w:r>
        <w:rPr>
          <w:rFonts w:ascii="Calibri" w:hAnsi="Calibri"/>
          <w:color w:val="001F60"/>
        </w:rPr>
        <w:t>a</w:t>
      </w:r>
      <w:r>
        <w:rPr>
          <w:rFonts w:ascii="Calibri" w:hAnsi="Calibri"/>
          <w:color w:val="001F60"/>
          <w:spacing w:val="-2"/>
        </w:rPr>
        <w:t xml:space="preserve"> </w:t>
      </w:r>
      <w:r>
        <w:rPr>
          <w:rFonts w:ascii="Calibri" w:hAnsi="Calibri"/>
          <w:color w:val="001F60"/>
        </w:rPr>
        <w:t>redução</w:t>
      </w:r>
      <w:r>
        <w:rPr>
          <w:rFonts w:ascii="Calibri" w:hAnsi="Calibri"/>
          <w:color w:val="001F60"/>
          <w:spacing w:val="-1"/>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exposição</w:t>
      </w:r>
      <w:r>
        <w:rPr>
          <w:rFonts w:ascii="Calibri" w:hAnsi="Calibri"/>
          <w:color w:val="001F60"/>
          <w:spacing w:val="-1"/>
        </w:rPr>
        <w:t xml:space="preserve"> </w:t>
      </w:r>
      <w:r>
        <w:rPr>
          <w:rFonts w:ascii="Calibri" w:hAnsi="Calibri"/>
          <w:color w:val="001F60"/>
        </w:rPr>
        <w:t>a</w:t>
      </w:r>
      <w:r>
        <w:rPr>
          <w:rFonts w:ascii="Calibri" w:hAnsi="Calibri"/>
          <w:color w:val="001F60"/>
          <w:spacing w:val="-2"/>
        </w:rPr>
        <w:t xml:space="preserve"> </w:t>
      </w:r>
      <w:r>
        <w:rPr>
          <w:rFonts w:ascii="Calibri" w:hAnsi="Calibri"/>
          <w:color w:val="001F60"/>
        </w:rPr>
        <w:t>riscos</w:t>
      </w:r>
      <w:r>
        <w:rPr>
          <w:rFonts w:ascii="Calibri" w:hAnsi="Calibri"/>
          <w:color w:val="001F60"/>
          <w:spacing w:val="-2"/>
        </w:rPr>
        <w:t xml:space="preserve"> </w:t>
      </w:r>
      <w:r>
        <w:rPr>
          <w:rFonts w:ascii="Calibri" w:hAnsi="Calibri"/>
          <w:color w:val="001F60"/>
        </w:rPr>
        <w:t>de</w:t>
      </w:r>
      <w:r>
        <w:rPr>
          <w:rFonts w:ascii="Calibri" w:hAnsi="Calibri"/>
          <w:color w:val="001F60"/>
          <w:spacing w:val="-2"/>
        </w:rPr>
        <w:t xml:space="preserve"> </w:t>
      </w:r>
      <w:r>
        <w:rPr>
          <w:rFonts w:ascii="Calibri" w:hAnsi="Calibri"/>
          <w:color w:val="001F60"/>
        </w:rPr>
        <w:t>integridade e o fortalecimento das práticas de prevenção à fraude e corrupção.</w:t>
      </w:r>
    </w:p>
    <w:p w14:paraId="0D5C7E8D" w14:textId="77777777" w:rsidR="002C6574" w:rsidRDefault="00000000">
      <w:pPr>
        <w:pStyle w:val="Corpodetexto"/>
        <w:spacing w:before="118"/>
        <w:ind w:left="709" w:right="275"/>
        <w:jc w:val="both"/>
        <w:rPr>
          <w:rFonts w:ascii="Calibri" w:hAnsi="Calibri"/>
        </w:rPr>
      </w:pPr>
      <w:r>
        <w:rPr>
          <w:rFonts w:ascii="Calibri" w:hAnsi="Calibri"/>
          <w:color w:val="001F60"/>
        </w:rPr>
        <w:t>Em 2025, foi lançada a 4ª Edição do Programa de Integridade – Integra +, consolidando medidas e orientações institucionais voltadas à promoção de padrões elevados de conduta e conformidade. Alinhado às diretrizes da Controladoria-Geral da União (CGU), o Programa integra princípios e boas práticas de gestão da integridade no setor público, com o propósito de prevenir, detectar, punir e remediar</w:t>
      </w:r>
      <w:r>
        <w:rPr>
          <w:rFonts w:ascii="Calibri" w:hAnsi="Calibri"/>
          <w:color w:val="001F60"/>
          <w:spacing w:val="-2"/>
        </w:rPr>
        <w:t xml:space="preserve"> </w:t>
      </w:r>
      <w:r>
        <w:rPr>
          <w:rFonts w:ascii="Calibri" w:hAnsi="Calibri"/>
          <w:color w:val="001F60"/>
        </w:rPr>
        <w:t>desvios</w:t>
      </w:r>
      <w:r>
        <w:rPr>
          <w:rFonts w:ascii="Calibri" w:hAnsi="Calibri"/>
          <w:color w:val="001F60"/>
          <w:spacing w:val="-4"/>
        </w:rPr>
        <w:t xml:space="preserve"> </w:t>
      </w:r>
      <w:r>
        <w:rPr>
          <w:rFonts w:ascii="Calibri" w:hAnsi="Calibri"/>
          <w:color w:val="001F60"/>
        </w:rPr>
        <w:t>éticos,</w:t>
      </w:r>
      <w:r>
        <w:rPr>
          <w:rFonts w:ascii="Calibri" w:hAnsi="Calibri"/>
          <w:color w:val="001F60"/>
          <w:spacing w:val="-4"/>
        </w:rPr>
        <w:t xml:space="preserve"> </w:t>
      </w:r>
      <w:r>
        <w:rPr>
          <w:rFonts w:ascii="Calibri" w:hAnsi="Calibri"/>
          <w:color w:val="001F60"/>
        </w:rPr>
        <w:t>incluindo</w:t>
      </w:r>
      <w:r>
        <w:rPr>
          <w:rFonts w:ascii="Calibri" w:hAnsi="Calibri"/>
          <w:color w:val="001F60"/>
          <w:spacing w:val="-3"/>
        </w:rPr>
        <w:t xml:space="preserve"> </w:t>
      </w:r>
      <w:r>
        <w:rPr>
          <w:rFonts w:ascii="Calibri" w:hAnsi="Calibri"/>
          <w:color w:val="001F60"/>
        </w:rPr>
        <w:t>corrupção,</w:t>
      </w:r>
      <w:r>
        <w:rPr>
          <w:rFonts w:ascii="Calibri" w:hAnsi="Calibri"/>
          <w:color w:val="001F60"/>
          <w:spacing w:val="-4"/>
        </w:rPr>
        <w:t xml:space="preserve"> </w:t>
      </w:r>
      <w:r>
        <w:rPr>
          <w:rFonts w:ascii="Calibri" w:hAnsi="Calibri"/>
          <w:color w:val="001F60"/>
        </w:rPr>
        <w:t>fraude,</w:t>
      </w:r>
      <w:r>
        <w:rPr>
          <w:rFonts w:ascii="Calibri" w:hAnsi="Calibri"/>
          <w:color w:val="001F60"/>
          <w:spacing w:val="-6"/>
        </w:rPr>
        <w:t xml:space="preserve"> </w:t>
      </w:r>
      <w:r>
        <w:rPr>
          <w:rFonts w:ascii="Calibri" w:hAnsi="Calibri"/>
          <w:color w:val="001F60"/>
        </w:rPr>
        <w:t>assédio</w:t>
      </w:r>
      <w:r>
        <w:rPr>
          <w:rFonts w:ascii="Calibri" w:hAnsi="Calibri"/>
          <w:color w:val="001F60"/>
          <w:spacing w:val="-3"/>
        </w:rPr>
        <w:t xml:space="preserve"> </w:t>
      </w:r>
      <w:r>
        <w:rPr>
          <w:rFonts w:ascii="Calibri" w:hAnsi="Calibri"/>
          <w:color w:val="001F60"/>
        </w:rPr>
        <w:t>e</w:t>
      </w:r>
      <w:r>
        <w:rPr>
          <w:rFonts w:ascii="Calibri" w:hAnsi="Calibri"/>
          <w:color w:val="001F60"/>
          <w:spacing w:val="-4"/>
        </w:rPr>
        <w:t xml:space="preserve"> </w:t>
      </w:r>
      <w:r>
        <w:rPr>
          <w:rFonts w:ascii="Calibri" w:hAnsi="Calibri"/>
          <w:color w:val="001F60"/>
        </w:rPr>
        <w:t>discriminação.</w:t>
      </w:r>
      <w:r>
        <w:rPr>
          <w:rFonts w:ascii="Calibri" w:hAnsi="Calibri"/>
          <w:color w:val="001F60"/>
          <w:spacing w:val="-4"/>
        </w:rPr>
        <w:t xml:space="preserve"> </w:t>
      </w:r>
      <w:r>
        <w:rPr>
          <w:rFonts w:ascii="Calibri" w:hAnsi="Calibri"/>
          <w:color w:val="001F60"/>
        </w:rPr>
        <w:t>Também</w:t>
      </w:r>
      <w:r>
        <w:rPr>
          <w:rFonts w:ascii="Calibri" w:hAnsi="Calibri"/>
          <w:color w:val="001F60"/>
          <w:spacing w:val="-3"/>
        </w:rPr>
        <w:t xml:space="preserve"> </w:t>
      </w:r>
      <w:r>
        <w:rPr>
          <w:rFonts w:ascii="Calibri" w:hAnsi="Calibri"/>
          <w:color w:val="001F60"/>
        </w:rPr>
        <w:t>busca</w:t>
      </w:r>
      <w:r>
        <w:rPr>
          <w:rFonts w:ascii="Calibri" w:hAnsi="Calibri"/>
          <w:color w:val="001F60"/>
          <w:spacing w:val="-6"/>
        </w:rPr>
        <w:t xml:space="preserve"> </w:t>
      </w:r>
      <w:r>
        <w:rPr>
          <w:rFonts w:ascii="Calibri" w:hAnsi="Calibri"/>
          <w:color w:val="001F60"/>
        </w:rPr>
        <w:t>engajar o corpo funcional no compromisso</w:t>
      </w:r>
      <w:r>
        <w:rPr>
          <w:rFonts w:ascii="Calibri" w:hAnsi="Calibri"/>
          <w:color w:val="001F60"/>
          <w:spacing w:val="-2"/>
        </w:rPr>
        <w:t xml:space="preserve"> </w:t>
      </w:r>
      <w:r>
        <w:rPr>
          <w:rFonts w:ascii="Calibri" w:hAnsi="Calibri"/>
          <w:color w:val="001F60"/>
        </w:rPr>
        <w:t>com</w:t>
      </w:r>
      <w:r>
        <w:rPr>
          <w:rFonts w:ascii="Calibri" w:hAnsi="Calibri"/>
          <w:color w:val="001F60"/>
          <w:spacing w:val="-2"/>
        </w:rPr>
        <w:t xml:space="preserve"> </w:t>
      </w:r>
      <w:r>
        <w:rPr>
          <w:rFonts w:ascii="Calibri" w:hAnsi="Calibri"/>
          <w:color w:val="001F60"/>
        </w:rPr>
        <w:t>o interesse público, fortalecer controles</w:t>
      </w:r>
      <w:r>
        <w:rPr>
          <w:rFonts w:ascii="Calibri" w:hAnsi="Calibri"/>
          <w:color w:val="001F60"/>
          <w:spacing w:val="-2"/>
        </w:rPr>
        <w:t xml:space="preserve"> </w:t>
      </w:r>
      <w:r>
        <w:rPr>
          <w:rFonts w:ascii="Calibri" w:hAnsi="Calibri"/>
          <w:color w:val="001F60"/>
        </w:rPr>
        <w:t>internos e promover ambiente de trabalho saudável, baseado em respeito, dignidade, diversidade e sustentabilidade.</w:t>
      </w:r>
    </w:p>
    <w:p w14:paraId="306FA45E" w14:textId="77777777" w:rsidR="002C6574" w:rsidRDefault="00000000">
      <w:pPr>
        <w:pStyle w:val="Corpodetexto"/>
        <w:spacing w:before="122"/>
        <w:ind w:left="709"/>
        <w:jc w:val="both"/>
        <w:rPr>
          <w:rFonts w:ascii="Calibri" w:hAnsi="Calibri"/>
        </w:rPr>
      </w:pPr>
      <w:r>
        <w:rPr>
          <w:rFonts w:ascii="Calibri" w:hAnsi="Calibri"/>
          <w:color w:val="001F60"/>
        </w:rPr>
        <w:t>O</w:t>
      </w:r>
      <w:r>
        <w:rPr>
          <w:rFonts w:ascii="Calibri" w:hAnsi="Calibri"/>
          <w:color w:val="001F60"/>
          <w:spacing w:val="-3"/>
        </w:rPr>
        <w:t xml:space="preserve"> </w:t>
      </w:r>
      <w:r>
        <w:rPr>
          <w:rFonts w:ascii="Calibri" w:hAnsi="Calibri"/>
          <w:color w:val="001F60"/>
        </w:rPr>
        <w:t>Programa</w:t>
      </w:r>
      <w:r>
        <w:rPr>
          <w:rFonts w:ascii="Calibri" w:hAnsi="Calibri"/>
          <w:color w:val="001F60"/>
          <w:spacing w:val="-2"/>
        </w:rPr>
        <w:t xml:space="preserve"> </w:t>
      </w:r>
      <w:r>
        <w:rPr>
          <w:rFonts w:ascii="Calibri" w:hAnsi="Calibri"/>
          <w:color w:val="001F60"/>
        </w:rPr>
        <w:t>está</w:t>
      </w:r>
      <w:r>
        <w:rPr>
          <w:rFonts w:ascii="Calibri" w:hAnsi="Calibri"/>
          <w:color w:val="001F60"/>
          <w:spacing w:val="-6"/>
        </w:rPr>
        <w:t xml:space="preserve"> </w:t>
      </w:r>
      <w:r>
        <w:rPr>
          <w:rFonts w:ascii="Calibri" w:hAnsi="Calibri"/>
          <w:color w:val="001F60"/>
        </w:rPr>
        <w:t>estruturado</w:t>
      </w:r>
      <w:r>
        <w:rPr>
          <w:rFonts w:ascii="Calibri" w:hAnsi="Calibri"/>
          <w:color w:val="001F60"/>
          <w:spacing w:val="-3"/>
        </w:rPr>
        <w:t xml:space="preserve"> </w:t>
      </w:r>
      <w:r>
        <w:rPr>
          <w:rFonts w:ascii="Calibri" w:hAnsi="Calibri"/>
          <w:color w:val="001F60"/>
        </w:rPr>
        <w:t>em cinco</w:t>
      </w:r>
      <w:r>
        <w:rPr>
          <w:rFonts w:ascii="Calibri" w:hAnsi="Calibri"/>
          <w:color w:val="001F60"/>
          <w:spacing w:val="-3"/>
        </w:rPr>
        <w:t xml:space="preserve"> </w:t>
      </w:r>
      <w:r>
        <w:rPr>
          <w:rFonts w:ascii="Calibri" w:hAnsi="Calibri"/>
          <w:color w:val="001F60"/>
        </w:rPr>
        <w:t>eixos</w:t>
      </w:r>
      <w:r>
        <w:rPr>
          <w:rFonts w:ascii="Calibri" w:hAnsi="Calibri"/>
          <w:color w:val="001F60"/>
          <w:spacing w:val="-2"/>
        </w:rPr>
        <w:t xml:space="preserve"> principais:</w:t>
      </w:r>
    </w:p>
    <w:p w14:paraId="46016604" w14:textId="77777777" w:rsidR="002C6574" w:rsidRDefault="00000000">
      <w:pPr>
        <w:pStyle w:val="PargrafodaLista"/>
        <w:numPr>
          <w:ilvl w:val="0"/>
          <w:numId w:val="67"/>
        </w:numPr>
        <w:tabs>
          <w:tab w:val="left" w:pos="1428"/>
        </w:tabs>
        <w:spacing w:before="120" w:line="267" w:lineRule="exact"/>
        <w:ind w:left="1428" w:hanging="359"/>
      </w:pPr>
      <w:r>
        <w:rPr>
          <w:color w:val="001F60"/>
        </w:rPr>
        <w:t>Comprometimento</w:t>
      </w:r>
      <w:r>
        <w:rPr>
          <w:color w:val="001F60"/>
          <w:spacing w:val="-5"/>
        </w:rPr>
        <w:t xml:space="preserve"> </w:t>
      </w:r>
      <w:r>
        <w:rPr>
          <w:color w:val="001F60"/>
        </w:rPr>
        <w:t>da</w:t>
      </w:r>
      <w:r>
        <w:rPr>
          <w:color w:val="001F60"/>
          <w:spacing w:val="-2"/>
        </w:rPr>
        <w:t xml:space="preserve"> </w:t>
      </w:r>
      <w:r>
        <w:rPr>
          <w:color w:val="001F60"/>
        </w:rPr>
        <w:t>Alta</w:t>
      </w:r>
      <w:r>
        <w:rPr>
          <w:color w:val="001F60"/>
          <w:spacing w:val="-4"/>
        </w:rPr>
        <w:t xml:space="preserve"> </w:t>
      </w:r>
      <w:r>
        <w:rPr>
          <w:color w:val="001F60"/>
          <w:spacing w:val="-2"/>
        </w:rPr>
        <w:t>Administração;</w:t>
      </w:r>
    </w:p>
    <w:p w14:paraId="3EB38650" w14:textId="77777777" w:rsidR="002C6574" w:rsidRDefault="00000000">
      <w:pPr>
        <w:pStyle w:val="PargrafodaLista"/>
        <w:numPr>
          <w:ilvl w:val="0"/>
          <w:numId w:val="67"/>
        </w:numPr>
        <w:tabs>
          <w:tab w:val="left" w:pos="1428"/>
        </w:tabs>
        <w:spacing w:line="267" w:lineRule="exact"/>
        <w:ind w:left="1428" w:hanging="359"/>
      </w:pPr>
      <w:r>
        <w:rPr>
          <w:color w:val="001F60"/>
        </w:rPr>
        <w:t>Análise</w:t>
      </w:r>
      <w:r>
        <w:rPr>
          <w:color w:val="001F60"/>
          <w:spacing w:val="-3"/>
        </w:rPr>
        <w:t xml:space="preserve"> </w:t>
      </w:r>
      <w:r>
        <w:rPr>
          <w:color w:val="001F60"/>
        </w:rPr>
        <w:t>e</w:t>
      </w:r>
      <w:r>
        <w:rPr>
          <w:color w:val="001F60"/>
          <w:spacing w:val="-3"/>
        </w:rPr>
        <w:t xml:space="preserve"> </w:t>
      </w:r>
      <w:r>
        <w:rPr>
          <w:color w:val="001F60"/>
        </w:rPr>
        <w:t>Gestão</w:t>
      </w:r>
      <w:r>
        <w:rPr>
          <w:color w:val="001F60"/>
          <w:spacing w:val="-2"/>
        </w:rPr>
        <w:t xml:space="preserve"> </w:t>
      </w:r>
      <w:r>
        <w:rPr>
          <w:color w:val="001F60"/>
        </w:rPr>
        <w:t xml:space="preserve">de </w:t>
      </w:r>
      <w:r>
        <w:rPr>
          <w:color w:val="001F60"/>
          <w:spacing w:val="-2"/>
        </w:rPr>
        <w:t>Riscos;</w:t>
      </w:r>
    </w:p>
    <w:p w14:paraId="08348342" w14:textId="77777777" w:rsidR="002C6574" w:rsidRDefault="00000000">
      <w:pPr>
        <w:pStyle w:val="PargrafodaLista"/>
        <w:numPr>
          <w:ilvl w:val="0"/>
          <w:numId w:val="67"/>
        </w:numPr>
        <w:tabs>
          <w:tab w:val="left" w:pos="1428"/>
        </w:tabs>
        <w:spacing w:before="1"/>
        <w:ind w:left="1428" w:hanging="359"/>
      </w:pPr>
      <w:r>
        <w:rPr>
          <w:color w:val="001F60"/>
        </w:rPr>
        <w:t>Comunicação</w:t>
      </w:r>
      <w:r>
        <w:rPr>
          <w:color w:val="001F60"/>
          <w:spacing w:val="-4"/>
        </w:rPr>
        <w:t xml:space="preserve"> </w:t>
      </w:r>
      <w:r>
        <w:rPr>
          <w:color w:val="001F60"/>
        </w:rPr>
        <w:t>e</w:t>
      </w:r>
      <w:r>
        <w:rPr>
          <w:color w:val="001F60"/>
          <w:spacing w:val="-4"/>
        </w:rPr>
        <w:t xml:space="preserve"> </w:t>
      </w:r>
      <w:r>
        <w:rPr>
          <w:color w:val="001F60"/>
          <w:spacing w:val="-2"/>
        </w:rPr>
        <w:t>Capacitação;</w:t>
      </w:r>
    </w:p>
    <w:p w14:paraId="619C266F" w14:textId="77777777" w:rsidR="002C6574" w:rsidRDefault="00000000">
      <w:pPr>
        <w:pStyle w:val="PargrafodaLista"/>
        <w:numPr>
          <w:ilvl w:val="0"/>
          <w:numId w:val="67"/>
        </w:numPr>
        <w:tabs>
          <w:tab w:val="left" w:pos="1428"/>
        </w:tabs>
        <w:ind w:left="1428" w:hanging="359"/>
      </w:pPr>
      <w:r>
        <w:rPr>
          <w:color w:val="001F60"/>
        </w:rPr>
        <w:t>Políticas</w:t>
      </w:r>
      <w:r>
        <w:rPr>
          <w:color w:val="001F60"/>
          <w:spacing w:val="-4"/>
        </w:rPr>
        <w:t xml:space="preserve"> </w:t>
      </w:r>
      <w:r>
        <w:rPr>
          <w:color w:val="001F60"/>
        </w:rPr>
        <w:t>e</w:t>
      </w:r>
      <w:r>
        <w:rPr>
          <w:color w:val="001F60"/>
          <w:spacing w:val="-4"/>
        </w:rPr>
        <w:t xml:space="preserve"> </w:t>
      </w:r>
      <w:r>
        <w:rPr>
          <w:color w:val="001F60"/>
        </w:rPr>
        <w:t>Procedimentos;</w:t>
      </w:r>
      <w:r>
        <w:rPr>
          <w:color w:val="001F60"/>
          <w:spacing w:val="-4"/>
        </w:rPr>
        <w:t xml:space="preserve"> </w:t>
      </w:r>
      <w:r>
        <w:rPr>
          <w:color w:val="001F60"/>
          <w:spacing w:val="-12"/>
        </w:rPr>
        <w:t>e</w:t>
      </w:r>
    </w:p>
    <w:p w14:paraId="3E7B57A7" w14:textId="77777777" w:rsidR="002C6574" w:rsidRDefault="00000000">
      <w:pPr>
        <w:pStyle w:val="PargrafodaLista"/>
        <w:numPr>
          <w:ilvl w:val="0"/>
          <w:numId w:val="67"/>
        </w:numPr>
        <w:tabs>
          <w:tab w:val="left" w:pos="1427"/>
        </w:tabs>
        <w:ind w:left="1427" w:hanging="358"/>
      </w:pPr>
      <w:r>
        <w:rPr>
          <w:color w:val="001F60"/>
        </w:rPr>
        <w:t>Monitoramento</w:t>
      </w:r>
      <w:r>
        <w:rPr>
          <w:color w:val="001F60"/>
          <w:spacing w:val="-3"/>
        </w:rPr>
        <w:t xml:space="preserve"> </w:t>
      </w:r>
      <w:r>
        <w:rPr>
          <w:color w:val="001F60"/>
          <w:spacing w:val="-2"/>
        </w:rPr>
        <w:t>Contínuo.</w:t>
      </w:r>
    </w:p>
    <w:p w14:paraId="1CDE67A7" w14:textId="77777777" w:rsidR="002C6574" w:rsidRDefault="00000000">
      <w:pPr>
        <w:pStyle w:val="Corpodetexto"/>
        <w:spacing w:before="120"/>
        <w:ind w:left="709" w:right="277"/>
        <w:jc w:val="both"/>
        <w:rPr>
          <w:rFonts w:ascii="Calibri" w:hAnsi="Calibri"/>
        </w:rPr>
      </w:pPr>
      <w:r>
        <w:rPr>
          <w:rFonts w:ascii="Calibri" w:hAnsi="Calibri"/>
          <w:color w:val="001F60"/>
        </w:rPr>
        <w:t>Sua</w:t>
      </w:r>
      <w:r>
        <w:rPr>
          <w:rFonts w:ascii="Calibri" w:hAnsi="Calibri"/>
          <w:color w:val="001F60"/>
          <w:spacing w:val="-9"/>
        </w:rPr>
        <w:t xml:space="preserve"> </w:t>
      </w:r>
      <w:r>
        <w:rPr>
          <w:rFonts w:ascii="Calibri" w:hAnsi="Calibri"/>
          <w:color w:val="001F60"/>
        </w:rPr>
        <w:t>governança</w:t>
      </w:r>
      <w:r>
        <w:rPr>
          <w:rFonts w:ascii="Calibri" w:hAnsi="Calibri"/>
          <w:color w:val="001F60"/>
          <w:spacing w:val="-11"/>
        </w:rPr>
        <w:t xml:space="preserve"> </w:t>
      </w:r>
      <w:r>
        <w:rPr>
          <w:rFonts w:ascii="Calibri" w:hAnsi="Calibri"/>
          <w:color w:val="001F60"/>
        </w:rPr>
        <w:t>é</w:t>
      </w:r>
      <w:r>
        <w:rPr>
          <w:rFonts w:ascii="Calibri" w:hAnsi="Calibri"/>
          <w:color w:val="001F60"/>
          <w:spacing w:val="-7"/>
        </w:rPr>
        <w:t xml:space="preserve"> </w:t>
      </w:r>
      <w:r>
        <w:rPr>
          <w:rFonts w:ascii="Calibri" w:hAnsi="Calibri"/>
          <w:color w:val="001F60"/>
        </w:rPr>
        <w:t>apoiada</w:t>
      </w:r>
      <w:r>
        <w:rPr>
          <w:rFonts w:ascii="Calibri" w:hAnsi="Calibri"/>
          <w:color w:val="001F60"/>
          <w:spacing w:val="-9"/>
        </w:rPr>
        <w:t xml:space="preserve"> </w:t>
      </w:r>
      <w:r>
        <w:rPr>
          <w:rFonts w:ascii="Calibri" w:hAnsi="Calibri"/>
          <w:color w:val="001F60"/>
        </w:rPr>
        <w:t>pelo</w:t>
      </w:r>
      <w:r>
        <w:rPr>
          <w:rFonts w:ascii="Calibri" w:hAnsi="Calibri"/>
          <w:color w:val="001F60"/>
          <w:spacing w:val="-7"/>
        </w:rPr>
        <w:t xml:space="preserve"> </w:t>
      </w:r>
      <w:r>
        <w:rPr>
          <w:rFonts w:ascii="Calibri" w:hAnsi="Calibri"/>
          <w:color w:val="001F60"/>
        </w:rPr>
        <w:t>Sistema</w:t>
      </w:r>
      <w:r>
        <w:rPr>
          <w:rFonts w:ascii="Calibri" w:hAnsi="Calibri"/>
          <w:color w:val="001F60"/>
          <w:spacing w:val="-7"/>
        </w:rPr>
        <w:t xml:space="preserve"> </w:t>
      </w:r>
      <w:r>
        <w:rPr>
          <w:rFonts w:ascii="Calibri" w:hAnsi="Calibri"/>
          <w:color w:val="001F60"/>
        </w:rPr>
        <w:t>de</w:t>
      </w:r>
      <w:r>
        <w:rPr>
          <w:rFonts w:ascii="Calibri" w:hAnsi="Calibri"/>
          <w:color w:val="001F60"/>
          <w:spacing w:val="-9"/>
        </w:rPr>
        <w:t xml:space="preserve"> </w:t>
      </w:r>
      <w:r>
        <w:rPr>
          <w:rFonts w:ascii="Calibri" w:hAnsi="Calibri"/>
          <w:color w:val="001F60"/>
        </w:rPr>
        <w:t>Integridade</w:t>
      </w:r>
      <w:r>
        <w:rPr>
          <w:rFonts w:ascii="Calibri" w:hAnsi="Calibri"/>
          <w:color w:val="001F60"/>
          <w:spacing w:val="-7"/>
        </w:rPr>
        <w:t xml:space="preserve"> </w:t>
      </w:r>
      <w:r>
        <w:rPr>
          <w:rFonts w:ascii="Calibri" w:hAnsi="Calibri"/>
          <w:color w:val="001F60"/>
        </w:rPr>
        <w:t>da</w:t>
      </w:r>
      <w:r>
        <w:rPr>
          <w:rFonts w:ascii="Calibri" w:hAnsi="Calibri"/>
          <w:color w:val="001F60"/>
          <w:spacing w:val="-7"/>
        </w:rPr>
        <w:t xml:space="preserve"> </w:t>
      </w:r>
      <w:r>
        <w:rPr>
          <w:rFonts w:ascii="Calibri" w:hAnsi="Calibri"/>
          <w:color w:val="001F60"/>
        </w:rPr>
        <w:t>Telebras,</w:t>
      </w:r>
      <w:r>
        <w:rPr>
          <w:rFonts w:ascii="Calibri" w:hAnsi="Calibri"/>
          <w:color w:val="001F60"/>
          <w:spacing w:val="-11"/>
        </w:rPr>
        <w:t xml:space="preserve"> </w:t>
      </w:r>
      <w:r>
        <w:rPr>
          <w:rFonts w:ascii="Calibri" w:hAnsi="Calibri"/>
          <w:color w:val="001F60"/>
        </w:rPr>
        <w:t>composto</w:t>
      </w:r>
      <w:r>
        <w:rPr>
          <w:rFonts w:ascii="Calibri" w:hAnsi="Calibri"/>
          <w:color w:val="001F60"/>
          <w:spacing w:val="-8"/>
        </w:rPr>
        <w:t xml:space="preserve"> </w:t>
      </w:r>
      <w:r>
        <w:rPr>
          <w:rFonts w:ascii="Calibri" w:hAnsi="Calibri"/>
          <w:color w:val="001F60"/>
        </w:rPr>
        <w:t>pela</w:t>
      </w:r>
      <w:r>
        <w:rPr>
          <w:rFonts w:ascii="Calibri" w:hAnsi="Calibri"/>
          <w:color w:val="001F60"/>
          <w:spacing w:val="-7"/>
        </w:rPr>
        <w:t xml:space="preserve"> </w:t>
      </w:r>
      <w:r>
        <w:rPr>
          <w:rFonts w:ascii="Calibri" w:hAnsi="Calibri"/>
          <w:color w:val="001F60"/>
        </w:rPr>
        <w:t>Alta</w:t>
      </w:r>
      <w:r>
        <w:rPr>
          <w:rFonts w:ascii="Calibri" w:hAnsi="Calibri"/>
          <w:color w:val="001F60"/>
          <w:spacing w:val="-9"/>
        </w:rPr>
        <w:t xml:space="preserve"> </w:t>
      </w:r>
      <w:r>
        <w:rPr>
          <w:rFonts w:ascii="Calibri" w:hAnsi="Calibri"/>
          <w:color w:val="001F60"/>
        </w:rPr>
        <w:t>Administração (Conselho de Administração e Diretoria Executiva), pela Gerência de Integridade, Riscos, Conformidade e Controle Interno (GIRC), pela Unidade Correicional, pela Comissão de Ética, pela Ouvidoria</w:t>
      </w:r>
      <w:r>
        <w:rPr>
          <w:rFonts w:ascii="Calibri" w:hAnsi="Calibri"/>
          <w:color w:val="001F60"/>
          <w:spacing w:val="-13"/>
        </w:rPr>
        <w:t xml:space="preserve"> </w:t>
      </w:r>
      <w:r>
        <w:rPr>
          <w:rFonts w:ascii="Calibri" w:hAnsi="Calibri"/>
          <w:color w:val="001F60"/>
        </w:rPr>
        <w:t>e</w:t>
      </w:r>
      <w:r>
        <w:rPr>
          <w:rFonts w:ascii="Calibri" w:hAnsi="Calibri"/>
          <w:color w:val="001F60"/>
          <w:spacing w:val="-12"/>
        </w:rPr>
        <w:t xml:space="preserve"> </w:t>
      </w:r>
      <w:r>
        <w:rPr>
          <w:rFonts w:ascii="Calibri" w:hAnsi="Calibri"/>
          <w:color w:val="001F60"/>
        </w:rPr>
        <w:t>pela</w:t>
      </w:r>
      <w:r>
        <w:rPr>
          <w:rFonts w:ascii="Calibri" w:hAnsi="Calibri"/>
          <w:color w:val="001F60"/>
          <w:spacing w:val="-13"/>
        </w:rPr>
        <w:t xml:space="preserve"> </w:t>
      </w:r>
      <w:r>
        <w:rPr>
          <w:rFonts w:ascii="Calibri" w:hAnsi="Calibri"/>
          <w:color w:val="001F60"/>
        </w:rPr>
        <w:t>Gerência</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Auditoria</w:t>
      </w:r>
      <w:r>
        <w:rPr>
          <w:rFonts w:ascii="Calibri" w:hAnsi="Calibri"/>
          <w:color w:val="001F60"/>
          <w:spacing w:val="-12"/>
        </w:rPr>
        <w:t xml:space="preserve"> </w:t>
      </w:r>
      <w:r>
        <w:rPr>
          <w:rFonts w:ascii="Calibri" w:hAnsi="Calibri"/>
          <w:color w:val="001F60"/>
        </w:rPr>
        <w:t>Interna,</w:t>
      </w:r>
      <w:r>
        <w:rPr>
          <w:rFonts w:ascii="Calibri" w:hAnsi="Calibri"/>
          <w:color w:val="001F60"/>
          <w:spacing w:val="-13"/>
        </w:rPr>
        <w:t xml:space="preserve"> </w:t>
      </w:r>
      <w:r>
        <w:rPr>
          <w:rFonts w:ascii="Calibri" w:hAnsi="Calibri"/>
          <w:color w:val="001F60"/>
        </w:rPr>
        <w:t>que</w:t>
      </w:r>
      <w:r>
        <w:rPr>
          <w:rFonts w:ascii="Calibri" w:hAnsi="Calibri"/>
          <w:color w:val="001F60"/>
          <w:spacing w:val="-12"/>
        </w:rPr>
        <w:t xml:space="preserve"> </w:t>
      </w:r>
      <w:r>
        <w:rPr>
          <w:rFonts w:ascii="Calibri" w:hAnsi="Calibri"/>
          <w:color w:val="001F60"/>
        </w:rPr>
        <w:t>atuam</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forma</w:t>
      </w:r>
      <w:r>
        <w:rPr>
          <w:rFonts w:ascii="Calibri" w:hAnsi="Calibri"/>
          <w:color w:val="001F60"/>
          <w:spacing w:val="-12"/>
        </w:rPr>
        <w:t xml:space="preserve"> </w:t>
      </w:r>
      <w:r>
        <w:rPr>
          <w:rFonts w:ascii="Calibri" w:hAnsi="Calibri"/>
          <w:color w:val="001F60"/>
        </w:rPr>
        <w:t>articulada</w:t>
      </w:r>
      <w:r>
        <w:rPr>
          <w:rFonts w:ascii="Calibri" w:hAnsi="Calibri"/>
          <w:color w:val="001F60"/>
          <w:spacing w:val="-13"/>
        </w:rPr>
        <w:t xml:space="preserve"> </w:t>
      </w:r>
      <w:r>
        <w:rPr>
          <w:rFonts w:ascii="Calibri" w:hAnsi="Calibri"/>
          <w:color w:val="001F60"/>
        </w:rPr>
        <w:t>na</w:t>
      </w:r>
      <w:r>
        <w:rPr>
          <w:rFonts w:ascii="Calibri" w:hAnsi="Calibri"/>
          <w:color w:val="001F60"/>
          <w:spacing w:val="-12"/>
        </w:rPr>
        <w:t xml:space="preserve"> </w:t>
      </w:r>
      <w:r>
        <w:rPr>
          <w:rFonts w:ascii="Calibri" w:hAnsi="Calibri"/>
          <w:color w:val="001F60"/>
        </w:rPr>
        <w:t>prevenção,</w:t>
      </w:r>
      <w:r>
        <w:rPr>
          <w:rFonts w:ascii="Calibri" w:hAnsi="Calibri"/>
          <w:color w:val="001F60"/>
          <w:spacing w:val="-13"/>
        </w:rPr>
        <w:t xml:space="preserve"> </w:t>
      </w:r>
      <w:r>
        <w:rPr>
          <w:rFonts w:ascii="Calibri" w:hAnsi="Calibri"/>
          <w:color w:val="001F60"/>
        </w:rPr>
        <w:t>detecção e tratamento de riscos e violações.</w:t>
      </w:r>
    </w:p>
    <w:p w14:paraId="1B3B3E2C" w14:textId="77777777" w:rsidR="002C6574" w:rsidRDefault="00000000">
      <w:pPr>
        <w:pStyle w:val="Corpodetexto"/>
        <w:spacing w:before="122"/>
        <w:ind w:left="709" w:right="277"/>
        <w:jc w:val="both"/>
        <w:rPr>
          <w:rFonts w:ascii="Calibri" w:hAnsi="Calibri"/>
        </w:rPr>
      </w:pPr>
      <w:r>
        <w:rPr>
          <w:rFonts w:ascii="Calibri" w:hAnsi="Calibri"/>
          <w:color w:val="001F60"/>
        </w:rPr>
        <w:t>A publicação do Programa foi acompanhada do Plano de Integridade 2025-2026, documento operacional que define referencias de ética e conduta, análise de riscos, ações de comunicação e capacitação, cronogramas e responsáveis, além de estratégias de monitoramento. O Plano possui vigência de dois anos, enquanto o Programa possui caráter permanente. Entre as principais ações realizadas</w:t>
      </w:r>
      <w:r>
        <w:rPr>
          <w:rFonts w:ascii="Calibri" w:hAnsi="Calibri"/>
          <w:color w:val="001F60"/>
          <w:spacing w:val="76"/>
        </w:rPr>
        <w:t xml:space="preserve"> </w:t>
      </w:r>
      <w:r>
        <w:rPr>
          <w:rFonts w:ascii="Calibri" w:hAnsi="Calibri"/>
          <w:color w:val="001F60"/>
        </w:rPr>
        <w:t>em</w:t>
      </w:r>
      <w:r>
        <w:rPr>
          <w:rFonts w:ascii="Calibri" w:hAnsi="Calibri"/>
          <w:color w:val="001F60"/>
          <w:spacing w:val="76"/>
        </w:rPr>
        <w:t xml:space="preserve"> </w:t>
      </w:r>
      <w:r>
        <w:rPr>
          <w:rFonts w:ascii="Calibri" w:hAnsi="Calibri"/>
          <w:color w:val="001F60"/>
        </w:rPr>
        <w:t>2025,</w:t>
      </w:r>
      <w:r>
        <w:rPr>
          <w:rFonts w:ascii="Calibri" w:hAnsi="Calibri"/>
          <w:color w:val="001F60"/>
          <w:spacing w:val="76"/>
        </w:rPr>
        <w:t xml:space="preserve"> </w:t>
      </w:r>
      <w:r>
        <w:rPr>
          <w:rFonts w:ascii="Calibri" w:hAnsi="Calibri"/>
          <w:color w:val="001F60"/>
        </w:rPr>
        <w:t>destacam-se:</w:t>
      </w:r>
      <w:r>
        <w:rPr>
          <w:rFonts w:ascii="Calibri" w:hAnsi="Calibri"/>
          <w:color w:val="001F60"/>
          <w:spacing w:val="78"/>
        </w:rPr>
        <w:t xml:space="preserve"> </w:t>
      </w:r>
      <w:r>
        <w:rPr>
          <w:rFonts w:ascii="Calibri" w:hAnsi="Calibri"/>
          <w:color w:val="001F60"/>
        </w:rPr>
        <w:t>a</w:t>
      </w:r>
      <w:r>
        <w:rPr>
          <w:rFonts w:ascii="Calibri" w:hAnsi="Calibri"/>
          <w:color w:val="001F60"/>
          <w:spacing w:val="73"/>
        </w:rPr>
        <w:t xml:space="preserve"> </w:t>
      </w:r>
      <w:r>
        <w:rPr>
          <w:rFonts w:ascii="Calibri" w:hAnsi="Calibri"/>
          <w:color w:val="001F60"/>
        </w:rPr>
        <w:t>Campanha</w:t>
      </w:r>
      <w:r>
        <w:rPr>
          <w:rFonts w:ascii="Calibri" w:hAnsi="Calibri"/>
          <w:color w:val="001F60"/>
          <w:spacing w:val="77"/>
        </w:rPr>
        <w:t xml:space="preserve"> </w:t>
      </w:r>
      <w:r>
        <w:rPr>
          <w:rFonts w:ascii="Calibri" w:hAnsi="Calibri"/>
          <w:color w:val="001F60"/>
        </w:rPr>
        <w:t>de</w:t>
      </w:r>
      <w:r>
        <w:rPr>
          <w:rFonts w:ascii="Calibri" w:hAnsi="Calibri"/>
          <w:color w:val="001F60"/>
          <w:spacing w:val="78"/>
        </w:rPr>
        <w:t xml:space="preserve"> </w:t>
      </w:r>
      <w:r>
        <w:rPr>
          <w:rFonts w:ascii="Calibri" w:hAnsi="Calibri"/>
          <w:color w:val="001F60"/>
        </w:rPr>
        <w:t>Integridade,</w:t>
      </w:r>
      <w:r>
        <w:rPr>
          <w:rFonts w:ascii="Calibri" w:hAnsi="Calibri"/>
          <w:color w:val="001F60"/>
          <w:spacing w:val="78"/>
        </w:rPr>
        <w:t xml:space="preserve"> </w:t>
      </w:r>
      <w:r>
        <w:rPr>
          <w:rFonts w:ascii="Calibri" w:hAnsi="Calibri"/>
          <w:color w:val="001F60"/>
        </w:rPr>
        <w:t>a</w:t>
      </w:r>
      <w:r>
        <w:rPr>
          <w:rFonts w:ascii="Calibri" w:hAnsi="Calibri"/>
          <w:color w:val="001F60"/>
          <w:spacing w:val="74"/>
        </w:rPr>
        <w:t xml:space="preserve"> </w:t>
      </w:r>
      <w:r>
        <w:rPr>
          <w:rFonts w:ascii="Calibri" w:hAnsi="Calibri"/>
          <w:color w:val="001F60"/>
        </w:rPr>
        <w:t>Pesquisa</w:t>
      </w:r>
      <w:r>
        <w:rPr>
          <w:rFonts w:ascii="Calibri" w:hAnsi="Calibri"/>
          <w:color w:val="001F60"/>
          <w:spacing w:val="78"/>
        </w:rPr>
        <w:t xml:space="preserve"> </w:t>
      </w:r>
      <w:r>
        <w:rPr>
          <w:rFonts w:ascii="Calibri" w:hAnsi="Calibri"/>
          <w:color w:val="001F60"/>
        </w:rPr>
        <w:t>de</w:t>
      </w:r>
      <w:r>
        <w:rPr>
          <w:rFonts w:ascii="Calibri" w:hAnsi="Calibri"/>
          <w:color w:val="001F60"/>
          <w:spacing w:val="76"/>
        </w:rPr>
        <w:t xml:space="preserve"> </w:t>
      </w:r>
      <w:r>
        <w:rPr>
          <w:rFonts w:ascii="Calibri" w:hAnsi="Calibri"/>
          <w:color w:val="001F60"/>
        </w:rPr>
        <w:t>Percepção</w:t>
      </w:r>
      <w:r>
        <w:rPr>
          <w:rFonts w:ascii="Calibri" w:hAnsi="Calibri"/>
          <w:color w:val="001F60"/>
          <w:spacing w:val="75"/>
        </w:rPr>
        <w:t xml:space="preserve"> </w:t>
      </w:r>
      <w:r>
        <w:rPr>
          <w:rFonts w:ascii="Calibri" w:hAnsi="Calibri"/>
          <w:color w:val="001F60"/>
          <w:spacing w:val="-5"/>
        </w:rPr>
        <w:t>de</w:t>
      </w:r>
    </w:p>
    <w:p w14:paraId="4ACCE2EB" w14:textId="77777777" w:rsidR="002C6574" w:rsidRDefault="002C6574">
      <w:pPr>
        <w:pStyle w:val="Corpodetexto"/>
        <w:jc w:val="both"/>
        <w:rPr>
          <w:rFonts w:ascii="Calibri" w:hAnsi="Calibri"/>
        </w:rPr>
        <w:sectPr w:rsidR="002C6574">
          <w:pgSz w:w="11910" w:h="16840"/>
          <w:pgMar w:top="1160" w:right="850" w:bottom="740" w:left="992" w:header="312" w:footer="542" w:gutter="0"/>
          <w:cols w:space="720"/>
        </w:sectPr>
      </w:pPr>
    </w:p>
    <w:p w14:paraId="312A2F68" w14:textId="77777777" w:rsidR="002C6574" w:rsidRDefault="002C6574">
      <w:pPr>
        <w:pStyle w:val="Corpodetexto"/>
        <w:spacing w:before="263"/>
        <w:rPr>
          <w:rFonts w:ascii="Calibri"/>
        </w:rPr>
      </w:pPr>
    </w:p>
    <w:p w14:paraId="3A69810C" w14:textId="77777777" w:rsidR="002C6574" w:rsidRDefault="00000000">
      <w:pPr>
        <w:pStyle w:val="Corpodetexto"/>
        <w:ind w:left="709" w:right="278"/>
        <w:jc w:val="both"/>
        <w:rPr>
          <w:rFonts w:ascii="Calibri" w:hAnsi="Calibri"/>
        </w:rPr>
      </w:pPr>
      <w:r>
        <w:rPr>
          <w:rFonts w:ascii="Calibri" w:hAnsi="Calibri"/>
          <w:color w:val="001F60"/>
        </w:rPr>
        <w:t>Integridade, o Calendário da Diversidade, a aplicação da Matriz de Segregação de Funções, entre outras iniciativas.</w:t>
      </w:r>
    </w:p>
    <w:p w14:paraId="7C888225" w14:textId="77777777" w:rsidR="002C6574" w:rsidRDefault="00000000">
      <w:pPr>
        <w:pStyle w:val="Corpodetexto"/>
        <w:spacing w:before="118"/>
        <w:ind w:left="709" w:right="276"/>
        <w:jc w:val="both"/>
        <w:rPr>
          <w:rFonts w:ascii="Calibri" w:hAnsi="Calibri"/>
        </w:rPr>
      </w:pPr>
      <w:r>
        <w:rPr>
          <w:rFonts w:ascii="Calibri" w:hAnsi="Calibri"/>
          <w:color w:val="001F60"/>
        </w:rPr>
        <w:t>Em</w:t>
      </w:r>
      <w:r>
        <w:rPr>
          <w:rFonts w:ascii="Calibri" w:hAnsi="Calibri"/>
          <w:color w:val="001F60"/>
          <w:spacing w:val="-2"/>
        </w:rPr>
        <w:t xml:space="preserve"> </w:t>
      </w:r>
      <w:r>
        <w:rPr>
          <w:rFonts w:ascii="Calibri" w:hAnsi="Calibri"/>
          <w:color w:val="001F60"/>
        </w:rPr>
        <w:t>2025,</w:t>
      </w:r>
      <w:r>
        <w:rPr>
          <w:rFonts w:ascii="Calibri" w:hAnsi="Calibri"/>
          <w:color w:val="001F60"/>
          <w:spacing w:val="-1"/>
        </w:rPr>
        <w:t xml:space="preserve"> </w:t>
      </w:r>
      <w:r>
        <w:rPr>
          <w:rFonts w:ascii="Calibri" w:hAnsi="Calibri"/>
          <w:color w:val="001F60"/>
        </w:rPr>
        <w:t>a</w:t>
      </w:r>
      <w:r>
        <w:rPr>
          <w:rFonts w:ascii="Calibri" w:hAnsi="Calibri"/>
          <w:color w:val="001F60"/>
          <w:spacing w:val="-3"/>
        </w:rPr>
        <w:t xml:space="preserve"> </w:t>
      </w:r>
      <w:r>
        <w:rPr>
          <w:rFonts w:ascii="Calibri" w:hAnsi="Calibri"/>
          <w:color w:val="001F60"/>
        </w:rPr>
        <w:t>Telebras</w:t>
      </w:r>
      <w:r>
        <w:rPr>
          <w:rFonts w:ascii="Calibri" w:hAnsi="Calibri"/>
          <w:color w:val="001F60"/>
          <w:spacing w:val="-4"/>
        </w:rPr>
        <w:t xml:space="preserve"> </w:t>
      </w:r>
      <w:r>
        <w:rPr>
          <w:rFonts w:ascii="Calibri" w:hAnsi="Calibri"/>
          <w:color w:val="001F60"/>
        </w:rPr>
        <w:t>avançou</w:t>
      </w:r>
      <w:r>
        <w:rPr>
          <w:rFonts w:ascii="Calibri" w:hAnsi="Calibri"/>
          <w:color w:val="001F60"/>
          <w:spacing w:val="-1"/>
        </w:rPr>
        <w:t xml:space="preserve"> </w:t>
      </w:r>
      <w:r>
        <w:rPr>
          <w:rFonts w:ascii="Calibri" w:hAnsi="Calibri"/>
          <w:color w:val="001F60"/>
        </w:rPr>
        <w:t>de</w:t>
      </w:r>
      <w:r>
        <w:rPr>
          <w:rFonts w:ascii="Calibri" w:hAnsi="Calibri"/>
          <w:color w:val="001F60"/>
          <w:spacing w:val="-3"/>
        </w:rPr>
        <w:t xml:space="preserve"> </w:t>
      </w:r>
      <w:r>
        <w:rPr>
          <w:rFonts w:ascii="Calibri" w:hAnsi="Calibri"/>
          <w:color w:val="001F60"/>
        </w:rPr>
        <w:t>maneira</w:t>
      </w:r>
      <w:r>
        <w:rPr>
          <w:rFonts w:ascii="Calibri" w:hAnsi="Calibri"/>
          <w:color w:val="001F60"/>
          <w:spacing w:val="-3"/>
        </w:rPr>
        <w:t xml:space="preserve"> </w:t>
      </w:r>
      <w:r>
        <w:rPr>
          <w:rFonts w:ascii="Calibri" w:hAnsi="Calibri"/>
          <w:color w:val="001F60"/>
        </w:rPr>
        <w:t>significativa</w:t>
      </w:r>
      <w:r>
        <w:rPr>
          <w:rFonts w:ascii="Calibri" w:hAnsi="Calibri"/>
          <w:color w:val="001F60"/>
          <w:spacing w:val="-5"/>
        </w:rPr>
        <w:t xml:space="preserve"> </w:t>
      </w:r>
      <w:r>
        <w:rPr>
          <w:rFonts w:ascii="Calibri" w:hAnsi="Calibri"/>
          <w:color w:val="001F60"/>
        </w:rPr>
        <w:t>no aprimoramento</w:t>
      </w:r>
      <w:r>
        <w:rPr>
          <w:rFonts w:ascii="Calibri" w:hAnsi="Calibri"/>
          <w:color w:val="001F60"/>
          <w:spacing w:val="-1"/>
        </w:rPr>
        <w:t xml:space="preserve"> </w:t>
      </w:r>
      <w:r>
        <w:rPr>
          <w:rFonts w:ascii="Calibri" w:hAnsi="Calibri"/>
          <w:color w:val="001F60"/>
        </w:rPr>
        <w:t>de</w:t>
      </w:r>
      <w:r>
        <w:rPr>
          <w:rFonts w:ascii="Calibri" w:hAnsi="Calibri"/>
          <w:color w:val="001F60"/>
          <w:spacing w:val="-1"/>
        </w:rPr>
        <w:t xml:space="preserve"> </w:t>
      </w:r>
      <w:r>
        <w:rPr>
          <w:rFonts w:ascii="Calibri" w:hAnsi="Calibri"/>
          <w:color w:val="001F60"/>
        </w:rPr>
        <w:t>seu</w:t>
      </w:r>
      <w:r>
        <w:rPr>
          <w:rFonts w:ascii="Calibri" w:hAnsi="Calibri"/>
          <w:color w:val="001F60"/>
          <w:spacing w:val="-4"/>
        </w:rPr>
        <w:t xml:space="preserve"> </w:t>
      </w:r>
      <w:r>
        <w:rPr>
          <w:rFonts w:ascii="Calibri" w:hAnsi="Calibri"/>
          <w:color w:val="001F60"/>
        </w:rPr>
        <w:t>sistema</w:t>
      </w:r>
      <w:r>
        <w:rPr>
          <w:rFonts w:ascii="Calibri" w:hAnsi="Calibri"/>
          <w:color w:val="001F60"/>
          <w:spacing w:val="-1"/>
        </w:rPr>
        <w:t xml:space="preserve"> </w:t>
      </w:r>
      <w:r>
        <w:rPr>
          <w:rFonts w:ascii="Calibri" w:hAnsi="Calibri"/>
          <w:color w:val="001F60"/>
        </w:rPr>
        <w:t>de</w:t>
      </w:r>
      <w:r>
        <w:rPr>
          <w:rFonts w:ascii="Calibri" w:hAnsi="Calibri"/>
          <w:color w:val="001F60"/>
          <w:spacing w:val="-3"/>
        </w:rPr>
        <w:t xml:space="preserve"> </w:t>
      </w:r>
      <w:r>
        <w:rPr>
          <w:rFonts w:ascii="Calibri" w:hAnsi="Calibri"/>
          <w:color w:val="001F60"/>
        </w:rPr>
        <w:t>gestão</w:t>
      </w:r>
      <w:r>
        <w:rPr>
          <w:rFonts w:ascii="Calibri" w:hAnsi="Calibri"/>
          <w:color w:val="001F60"/>
          <w:spacing w:val="-1"/>
        </w:rPr>
        <w:t xml:space="preserve"> </w:t>
      </w:r>
      <w:r>
        <w:rPr>
          <w:rFonts w:ascii="Calibri" w:hAnsi="Calibri"/>
          <w:color w:val="001F60"/>
        </w:rPr>
        <w:t>de riscos, com destaque para a realização do Workshop de Qualificação de Riscos. Como resultado preliminar desse processo, o portfólio corporativo passou por uma redução aproximada de 68% na quantidade de riscos considerados ativos, resultando em um inventário mais objetivo, aderente aos processos</w:t>
      </w:r>
      <w:r>
        <w:rPr>
          <w:rFonts w:ascii="Calibri" w:hAnsi="Calibri"/>
          <w:color w:val="001F60"/>
          <w:spacing w:val="-12"/>
        </w:rPr>
        <w:t xml:space="preserve"> </w:t>
      </w:r>
      <w:r>
        <w:rPr>
          <w:rFonts w:ascii="Calibri" w:hAnsi="Calibri"/>
          <w:color w:val="001F60"/>
        </w:rPr>
        <w:t>internos,</w:t>
      </w:r>
      <w:r>
        <w:rPr>
          <w:rFonts w:ascii="Calibri" w:hAnsi="Calibri"/>
          <w:color w:val="001F60"/>
          <w:spacing w:val="-12"/>
        </w:rPr>
        <w:t xml:space="preserve"> </w:t>
      </w:r>
      <w:r>
        <w:rPr>
          <w:rFonts w:ascii="Calibri" w:hAnsi="Calibri"/>
          <w:color w:val="001F60"/>
        </w:rPr>
        <w:t>consistente</w:t>
      </w:r>
      <w:r>
        <w:rPr>
          <w:rFonts w:ascii="Calibri" w:hAnsi="Calibri"/>
          <w:color w:val="001F60"/>
          <w:spacing w:val="-10"/>
        </w:rPr>
        <w:t xml:space="preserve"> </w:t>
      </w:r>
      <w:r>
        <w:rPr>
          <w:rFonts w:ascii="Calibri" w:hAnsi="Calibri"/>
          <w:color w:val="001F60"/>
        </w:rPr>
        <w:t>com</w:t>
      </w:r>
      <w:r>
        <w:rPr>
          <w:rFonts w:ascii="Calibri" w:hAnsi="Calibri"/>
          <w:color w:val="001F60"/>
          <w:spacing w:val="-10"/>
        </w:rPr>
        <w:t xml:space="preserve"> </w:t>
      </w:r>
      <w:r>
        <w:rPr>
          <w:rFonts w:ascii="Calibri" w:hAnsi="Calibri"/>
          <w:color w:val="001F60"/>
        </w:rPr>
        <w:t>a</w:t>
      </w:r>
      <w:r>
        <w:rPr>
          <w:rFonts w:ascii="Calibri" w:hAnsi="Calibri"/>
          <w:color w:val="001F60"/>
          <w:spacing w:val="-10"/>
        </w:rPr>
        <w:t xml:space="preserve"> </w:t>
      </w:r>
      <w:r>
        <w:rPr>
          <w:rFonts w:ascii="Calibri" w:hAnsi="Calibri"/>
          <w:color w:val="001F60"/>
        </w:rPr>
        <w:t>realidade</w:t>
      </w:r>
      <w:r>
        <w:rPr>
          <w:rFonts w:ascii="Calibri" w:hAnsi="Calibri"/>
          <w:color w:val="001F60"/>
          <w:spacing w:val="-10"/>
        </w:rPr>
        <w:t xml:space="preserve"> </w:t>
      </w:r>
      <w:r>
        <w:rPr>
          <w:rFonts w:ascii="Calibri" w:hAnsi="Calibri"/>
          <w:color w:val="001F60"/>
        </w:rPr>
        <w:t>operacional</w:t>
      </w:r>
      <w:r>
        <w:rPr>
          <w:rFonts w:ascii="Calibri" w:hAnsi="Calibri"/>
          <w:color w:val="001F60"/>
          <w:spacing w:val="-12"/>
        </w:rPr>
        <w:t xml:space="preserve"> </w:t>
      </w:r>
      <w:r>
        <w:rPr>
          <w:rFonts w:ascii="Calibri" w:hAnsi="Calibri"/>
          <w:color w:val="001F60"/>
        </w:rPr>
        <w:t>e</w:t>
      </w:r>
      <w:r>
        <w:rPr>
          <w:rFonts w:ascii="Calibri" w:hAnsi="Calibri"/>
          <w:color w:val="001F60"/>
          <w:spacing w:val="-10"/>
        </w:rPr>
        <w:t xml:space="preserve"> </w:t>
      </w:r>
      <w:r>
        <w:rPr>
          <w:rFonts w:ascii="Calibri" w:hAnsi="Calibri"/>
          <w:color w:val="001F60"/>
        </w:rPr>
        <w:t>alinhado</w:t>
      </w:r>
      <w:r>
        <w:rPr>
          <w:rFonts w:ascii="Calibri" w:hAnsi="Calibri"/>
          <w:color w:val="001F60"/>
          <w:spacing w:val="-10"/>
        </w:rPr>
        <w:t xml:space="preserve"> </w:t>
      </w:r>
      <w:r>
        <w:rPr>
          <w:rFonts w:ascii="Calibri" w:hAnsi="Calibri"/>
          <w:color w:val="001F60"/>
        </w:rPr>
        <w:t>às</w:t>
      </w:r>
      <w:r>
        <w:rPr>
          <w:rFonts w:ascii="Calibri" w:hAnsi="Calibri"/>
          <w:color w:val="001F60"/>
          <w:spacing w:val="-12"/>
        </w:rPr>
        <w:t xml:space="preserve"> </w:t>
      </w:r>
      <w:r>
        <w:rPr>
          <w:rFonts w:ascii="Calibri" w:hAnsi="Calibri"/>
          <w:color w:val="001F60"/>
        </w:rPr>
        <w:t>melhores</w:t>
      </w:r>
      <w:r>
        <w:rPr>
          <w:rFonts w:ascii="Calibri" w:hAnsi="Calibri"/>
          <w:color w:val="001F60"/>
          <w:spacing w:val="-11"/>
        </w:rPr>
        <w:t xml:space="preserve"> </w:t>
      </w:r>
      <w:r>
        <w:rPr>
          <w:rFonts w:ascii="Calibri" w:hAnsi="Calibri"/>
          <w:color w:val="001F60"/>
        </w:rPr>
        <w:t>práticas</w:t>
      </w:r>
      <w:r>
        <w:rPr>
          <w:rFonts w:ascii="Calibri" w:hAnsi="Calibri"/>
          <w:color w:val="001F60"/>
          <w:spacing w:val="-12"/>
        </w:rPr>
        <w:t xml:space="preserve"> </w:t>
      </w:r>
      <w:r>
        <w:rPr>
          <w:rFonts w:ascii="Calibri" w:hAnsi="Calibri"/>
          <w:color w:val="001F60"/>
        </w:rPr>
        <w:t>de</w:t>
      </w:r>
      <w:r>
        <w:rPr>
          <w:rFonts w:ascii="Calibri" w:hAnsi="Calibri"/>
          <w:color w:val="001F60"/>
          <w:spacing w:val="-10"/>
        </w:rPr>
        <w:t xml:space="preserve"> </w:t>
      </w:r>
      <w:r>
        <w:rPr>
          <w:rFonts w:ascii="Calibri" w:hAnsi="Calibri"/>
          <w:color w:val="001F60"/>
        </w:rPr>
        <w:t>gestão de riscos do setor público, conforme apresentado abaixo.</w:t>
      </w:r>
    </w:p>
    <w:p w14:paraId="1BF5CF03" w14:textId="77777777" w:rsidR="002C6574" w:rsidRDefault="00000000">
      <w:pPr>
        <w:pStyle w:val="Corpodetexto"/>
        <w:spacing w:before="238"/>
        <w:rPr>
          <w:rFonts w:ascii="Calibri"/>
          <w:sz w:val="20"/>
        </w:rPr>
      </w:pPr>
      <w:r>
        <w:rPr>
          <w:rFonts w:ascii="Calibri"/>
          <w:noProof/>
          <w:sz w:val="20"/>
        </w:rPr>
        <w:drawing>
          <wp:anchor distT="0" distB="0" distL="0" distR="0" simplePos="0" relativeHeight="487598592" behindDoc="1" locked="0" layoutInCell="1" allowOverlap="1" wp14:anchorId="41AB46F8" wp14:editId="62CE8064">
            <wp:simplePos x="0" y="0"/>
            <wp:positionH relativeFrom="page">
              <wp:posOffset>2819400</wp:posOffset>
            </wp:positionH>
            <wp:positionV relativeFrom="paragraph">
              <wp:posOffset>321822</wp:posOffset>
            </wp:positionV>
            <wp:extent cx="2282952" cy="1011936"/>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9" cstate="print"/>
                    <a:stretch>
                      <a:fillRect/>
                    </a:stretch>
                  </pic:blipFill>
                  <pic:spPr>
                    <a:xfrm>
                      <a:off x="0" y="0"/>
                      <a:ext cx="2282952" cy="1011936"/>
                    </a:xfrm>
                    <a:prstGeom prst="rect">
                      <a:avLst/>
                    </a:prstGeom>
                  </pic:spPr>
                </pic:pic>
              </a:graphicData>
            </a:graphic>
          </wp:anchor>
        </w:drawing>
      </w:r>
    </w:p>
    <w:p w14:paraId="40136C73" w14:textId="77777777" w:rsidR="002C6574" w:rsidRDefault="00000000">
      <w:pPr>
        <w:spacing w:before="119"/>
        <w:ind w:left="424"/>
        <w:jc w:val="center"/>
        <w:rPr>
          <w:rFonts w:ascii="Calibri"/>
          <w:sz w:val="16"/>
        </w:rPr>
      </w:pPr>
      <w:r>
        <w:rPr>
          <w:rFonts w:ascii="Calibri"/>
          <w:color w:val="001F60"/>
          <w:sz w:val="16"/>
        </w:rPr>
        <w:t>Tabela</w:t>
      </w:r>
      <w:r>
        <w:rPr>
          <w:rFonts w:ascii="Calibri"/>
          <w:color w:val="001F60"/>
          <w:spacing w:val="-4"/>
          <w:sz w:val="16"/>
        </w:rPr>
        <w:t xml:space="preserve"> </w:t>
      </w:r>
      <w:r>
        <w:rPr>
          <w:rFonts w:ascii="Calibri"/>
          <w:color w:val="001F60"/>
          <w:sz w:val="16"/>
        </w:rPr>
        <w:t>5-1</w:t>
      </w:r>
      <w:r>
        <w:rPr>
          <w:rFonts w:ascii="Calibri"/>
          <w:color w:val="001F60"/>
          <w:spacing w:val="-5"/>
          <w:sz w:val="16"/>
        </w:rPr>
        <w:t xml:space="preserve"> </w:t>
      </w:r>
      <w:r>
        <w:rPr>
          <w:rFonts w:ascii="Calibri"/>
          <w:color w:val="001F60"/>
          <w:sz w:val="16"/>
        </w:rPr>
        <w:t>Principais</w:t>
      </w:r>
      <w:r>
        <w:rPr>
          <w:rFonts w:ascii="Calibri"/>
          <w:color w:val="001F60"/>
          <w:spacing w:val="-3"/>
          <w:sz w:val="16"/>
        </w:rPr>
        <w:t xml:space="preserve"> </w:t>
      </w:r>
      <w:r>
        <w:rPr>
          <w:rFonts w:ascii="Calibri"/>
          <w:color w:val="001F60"/>
          <w:spacing w:val="-2"/>
          <w:sz w:val="16"/>
        </w:rPr>
        <w:t>Investidores</w:t>
      </w:r>
    </w:p>
    <w:p w14:paraId="443440C2" w14:textId="77777777" w:rsidR="002C6574" w:rsidRDefault="00000000">
      <w:pPr>
        <w:pStyle w:val="Corpodetexto"/>
        <w:spacing w:before="122"/>
        <w:ind w:left="709" w:right="277"/>
        <w:jc w:val="both"/>
        <w:rPr>
          <w:rFonts w:ascii="Calibri" w:hAnsi="Calibri"/>
        </w:rPr>
      </w:pPr>
      <w:r>
        <w:rPr>
          <w:rFonts w:ascii="Calibri" w:hAnsi="Calibri"/>
          <w:color w:val="001F60"/>
        </w:rPr>
        <w:t xml:space="preserve">Com esse movimento, a Telebras reforça seu compromisso com uma gestão de riscos robusta, participativa e orientada às boas práticas definidas pela Instrução Normativa Conjunta MP/CGU nº </w:t>
      </w:r>
      <w:r>
        <w:rPr>
          <w:rFonts w:ascii="Calibri" w:hAnsi="Calibri"/>
          <w:color w:val="001F60"/>
          <w:spacing w:val="-2"/>
        </w:rPr>
        <w:t>01/2016.</w:t>
      </w:r>
    </w:p>
    <w:p w14:paraId="23A5292C" w14:textId="77777777" w:rsidR="002C6574" w:rsidRDefault="00000000">
      <w:pPr>
        <w:numPr>
          <w:ilvl w:val="1"/>
          <w:numId w:val="74"/>
        </w:numPr>
        <w:tabs>
          <w:tab w:val="left" w:pos="1275"/>
        </w:tabs>
        <w:spacing w:before="238"/>
        <w:ind w:left="1275" w:hanging="566"/>
        <w:rPr>
          <w:rFonts w:ascii="Calibri" w:hAnsi="Calibri"/>
          <w:b/>
        </w:rPr>
      </w:pPr>
      <w:r>
        <w:rPr>
          <w:rFonts w:ascii="Calibri" w:hAnsi="Calibri"/>
          <w:b/>
          <w:color w:val="001F60"/>
        </w:rPr>
        <w:t>Gestão</w:t>
      </w:r>
      <w:r>
        <w:rPr>
          <w:rFonts w:ascii="Calibri" w:hAnsi="Calibri"/>
          <w:b/>
          <w:color w:val="001F60"/>
          <w:spacing w:val="-4"/>
        </w:rPr>
        <w:t xml:space="preserve"> </w:t>
      </w:r>
      <w:r>
        <w:rPr>
          <w:rFonts w:ascii="Calibri" w:hAnsi="Calibri"/>
          <w:b/>
          <w:color w:val="001F60"/>
        </w:rPr>
        <w:t>Ambiental,</w:t>
      </w:r>
      <w:r>
        <w:rPr>
          <w:rFonts w:ascii="Calibri" w:hAnsi="Calibri"/>
          <w:b/>
          <w:color w:val="001F60"/>
          <w:spacing w:val="-4"/>
        </w:rPr>
        <w:t xml:space="preserve"> </w:t>
      </w:r>
      <w:r>
        <w:rPr>
          <w:rFonts w:ascii="Calibri" w:hAnsi="Calibri"/>
          <w:b/>
          <w:color w:val="001F60"/>
        </w:rPr>
        <w:t>Social</w:t>
      </w:r>
      <w:r>
        <w:rPr>
          <w:rFonts w:ascii="Calibri" w:hAnsi="Calibri"/>
          <w:b/>
          <w:color w:val="001F60"/>
          <w:spacing w:val="-5"/>
        </w:rPr>
        <w:t xml:space="preserve"> </w:t>
      </w:r>
      <w:r>
        <w:rPr>
          <w:rFonts w:ascii="Calibri" w:hAnsi="Calibri"/>
          <w:b/>
          <w:color w:val="001F60"/>
        </w:rPr>
        <w:t>e</w:t>
      </w:r>
      <w:r>
        <w:rPr>
          <w:rFonts w:ascii="Calibri" w:hAnsi="Calibri"/>
          <w:b/>
          <w:color w:val="001F60"/>
          <w:spacing w:val="-4"/>
        </w:rPr>
        <w:t xml:space="preserve"> </w:t>
      </w:r>
      <w:r>
        <w:rPr>
          <w:rFonts w:ascii="Calibri" w:hAnsi="Calibri"/>
          <w:b/>
          <w:color w:val="001F60"/>
        </w:rPr>
        <w:t>de</w:t>
      </w:r>
      <w:r>
        <w:rPr>
          <w:rFonts w:ascii="Calibri" w:hAnsi="Calibri"/>
          <w:b/>
          <w:color w:val="001F60"/>
          <w:spacing w:val="-1"/>
        </w:rPr>
        <w:t xml:space="preserve"> </w:t>
      </w:r>
      <w:r>
        <w:rPr>
          <w:rFonts w:ascii="Calibri" w:hAnsi="Calibri"/>
          <w:b/>
          <w:color w:val="001F60"/>
        </w:rPr>
        <w:t>Governança</w:t>
      </w:r>
      <w:r>
        <w:rPr>
          <w:rFonts w:ascii="Calibri" w:hAnsi="Calibri"/>
          <w:b/>
          <w:color w:val="001F60"/>
          <w:spacing w:val="-4"/>
        </w:rPr>
        <w:t xml:space="preserve"> </w:t>
      </w:r>
      <w:r>
        <w:rPr>
          <w:rFonts w:ascii="Calibri" w:hAnsi="Calibri"/>
          <w:b/>
          <w:color w:val="001F60"/>
        </w:rPr>
        <w:t>–</w:t>
      </w:r>
      <w:r>
        <w:rPr>
          <w:rFonts w:ascii="Calibri" w:hAnsi="Calibri"/>
          <w:b/>
          <w:color w:val="001F60"/>
          <w:spacing w:val="-1"/>
        </w:rPr>
        <w:t xml:space="preserve"> </w:t>
      </w:r>
      <w:r>
        <w:rPr>
          <w:rFonts w:ascii="Calibri" w:hAnsi="Calibri"/>
          <w:b/>
          <w:color w:val="001F60"/>
          <w:spacing w:val="-5"/>
        </w:rPr>
        <w:t>ESG</w:t>
      </w:r>
    </w:p>
    <w:p w14:paraId="12293688" w14:textId="77777777" w:rsidR="002C6574" w:rsidRDefault="002C6574">
      <w:pPr>
        <w:pStyle w:val="Corpodetexto"/>
        <w:spacing w:before="12"/>
        <w:rPr>
          <w:rFonts w:ascii="Calibri"/>
          <w:b/>
        </w:rPr>
      </w:pPr>
    </w:p>
    <w:p w14:paraId="521DC610" w14:textId="77777777" w:rsidR="002C6574" w:rsidRDefault="00000000">
      <w:pPr>
        <w:pStyle w:val="Corpodetexto"/>
        <w:ind w:left="709" w:right="275"/>
        <w:jc w:val="both"/>
        <w:rPr>
          <w:rFonts w:ascii="Calibri" w:hAnsi="Calibri"/>
        </w:rPr>
      </w:pPr>
      <w:r>
        <w:rPr>
          <w:rFonts w:ascii="Calibri" w:hAnsi="Calibri"/>
          <w:color w:val="001F60"/>
        </w:rPr>
        <w:t>A Telebras reconhece a importância da sustentabilidade e da responsabilidade social, atuando com ética,</w:t>
      </w:r>
      <w:r>
        <w:rPr>
          <w:rFonts w:ascii="Calibri" w:hAnsi="Calibri"/>
          <w:color w:val="001F60"/>
          <w:spacing w:val="-2"/>
        </w:rPr>
        <w:t xml:space="preserve"> </w:t>
      </w:r>
      <w:r>
        <w:rPr>
          <w:rFonts w:ascii="Calibri" w:hAnsi="Calibri"/>
          <w:color w:val="001F60"/>
        </w:rPr>
        <w:t>transparência</w:t>
      </w:r>
      <w:r>
        <w:rPr>
          <w:rFonts w:ascii="Calibri" w:hAnsi="Calibri"/>
          <w:color w:val="001F60"/>
          <w:spacing w:val="-2"/>
        </w:rPr>
        <w:t xml:space="preserve"> </w:t>
      </w:r>
      <w:r>
        <w:rPr>
          <w:rFonts w:ascii="Calibri" w:hAnsi="Calibri"/>
          <w:color w:val="001F60"/>
        </w:rPr>
        <w:t>e</w:t>
      </w:r>
      <w:r>
        <w:rPr>
          <w:rFonts w:ascii="Calibri" w:hAnsi="Calibri"/>
          <w:color w:val="001F60"/>
          <w:spacing w:val="-2"/>
        </w:rPr>
        <w:t xml:space="preserve"> </w:t>
      </w:r>
      <w:r>
        <w:rPr>
          <w:rFonts w:ascii="Calibri" w:hAnsi="Calibri"/>
          <w:color w:val="001F60"/>
        </w:rPr>
        <w:t>compromisso</w:t>
      </w:r>
      <w:r>
        <w:rPr>
          <w:rFonts w:ascii="Calibri" w:hAnsi="Calibri"/>
          <w:color w:val="001F60"/>
          <w:spacing w:val="-2"/>
        </w:rPr>
        <w:t xml:space="preserve"> </w:t>
      </w:r>
      <w:r>
        <w:rPr>
          <w:rFonts w:ascii="Calibri" w:hAnsi="Calibri"/>
          <w:color w:val="001F60"/>
        </w:rPr>
        <w:t>com</w:t>
      </w:r>
      <w:r>
        <w:rPr>
          <w:rFonts w:ascii="Calibri" w:hAnsi="Calibri"/>
          <w:color w:val="001F60"/>
          <w:spacing w:val="-1"/>
        </w:rPr>
        <w:t xml:space="preserve"> </w:t>
      </w:r>
      <w:r>
        <w:rPr>
          <w:rFonts w:ascii="Calibri" w:hAnsi="Calibri"/>
          <w:color w:val="001F60"/>
        </w:rPr>
        <w:t>o interesse</w:t>
      </w:r>
      <w:r>
        <w:rPr>
          <w:rFonts w:ascii="Calibri" w:hAnsi="Calibri"/>
          <w:color w:val="001F60"/>
          <w:spacing w:val="-4"/>
        </w:rPr>
        <w:t xml:space="preserve"> </w:t>
      </w:r>
      <w:r>
        <w:rPr>
          <w:rFonts w:ascii="Calibri" w:hAnsi="Calibri"/>
          <w:color w:val="001F60"/>
        </w:rPr>
        <w:t>público. Em</w:t>
      </w:r>
      <w:r>
        <w:rPr>
          <w:rFonts w:ascii="Calibri" w:hAnsi="Calibri"/>
          <w:color w:val="001F60"/>
          <w:spacing w:val="-1"/>
        </w:rPr>
        <w:t xml:space="preserve"> </w:t>
      </w:r>
      <w:r>
        <w:rPr>
          <w:rFonts w:ascii="Calibri" w:hAnsi="Calibri"/>
          <w:color w:val="001F60"/>
        </w:rPr>
        <w:t>2025,</w:t>
      </w:r>
      <w:r>
        <w:rPr>
          <w:rFonts w:ascii="Calibri" w:hAnsi="Calibri"/>
          <w:color w:val="001F60"/>
          <w:spacing w:val="-4"/>
        </w:rPr>
        <w:t xml:space="preserve"> </w:t>
      </w:r>
      <w:r>
        <w:rPr>
          <w:rFonts w:ascii="Calibri" w:hAnsi="Calibri"/>
          <w:color w:val="001F60"/>
        </w:rPr>
        <w:t>a Companhia intensificou</w:t>
      </w:r>
      <w:r>
        <w:rPr>
          <w:rFonts w:ascii="Calibri" w:hAnsi="Calibri"/>
          <w:color w:val="001F60"/>
          <w:spacing w:val="-1"/>
        </w:rPr>
        <w:t xml:space="preserve"> </w:t>
      </w:r>
      <w:r>
        <w:rPr>
          <w:rFonts w:ascii="Calibri" w:hAnsi="Calibri"/>
          <w:color w:val="001F60"/>
        </w:rPr>
        <w:t>suas iniciativas</w:t>
      </w:r>
      <w:r>
        <w:rPr>
          <w:rFonts w:ascii="Calibri" w:hAnsi="Calibri"/>
          <w:color w:val="001F60"/>
          <w:spacing w:val="-6"/>
        </w:rPr>
        <w:t xml:space="preserve"> </w:t>
      </w:r>
      <w:r>
        <w:rPr>
          <w:rFonts w:ascii="Calibri" w:hAnsi="Calibri"/>
          <w:color w:val="001F60"/>
        </w:rPr>
        <w:t>nas</w:t>
      </w:r>
      <w:r>
        <w:rPr>
          <w:rFonts w:ascii="Calibri" w:hAnsi="Calibri"/>
          <w:color w:val="001F60"/>
          <w:spacing w:val="-8"/>
        </w:rPr>
        <w:t xml:space="preserve"> </w:t>
      </w:r>
      <w:r>
        <w:rPr>
          <w:rFonts w:ascii="Calibri" w:hAnsi="Calibri"/>
          <w:color w:val="001F60"/>
        </w:rPr>
        <w:t>dimensões</w:t>
      </w:r>
      <w:r>
        <w:rPr>
          <w:rFonts w:ascii="Calibri" w:hAnsi="Calibri"/>
          <w:color w:val="001F60"/>
          <w:spacing w:val="-8"/>
        </w:rPr>
        <w:t xml:space="preserve"> </w:t>
      </w:r>
      <w:r>
        <w:rPr>
          <w:rFonts w:ascii="Calibri" w:hAnsi="Calibri"/>
          <w:color w:val="001F60"/>
        </w:rPr>
        <w:t>ambiental,</w:t>
      </w:r>
      <w:r>
        <w:rPr>
          <w:rFonts w:ascii="Calibri" w:hAnsi="Calibri"/>
          <w:color w:val="001F60"/>
          <w:spacing w:val="-6"/>
        </w:rPr>
        <w:t xml:space="preserve"> </w:t>
      </w:r>
      <w:r>
        <w:rPr>
          <w:rFonts w:ascii="Calibri" w:hAnsi="Calibri"/>
          <w:color w:val="001F60"/>
        </w:rPr>
        <w:t>social</w:t>
      </w:r>
      <w:r>
        <w:rPr>
          <w:rFonts w:ascii="Calibri" w:hAnsi="Calibri"/>
          <w:color w:val="001F60"/>
          <w:spacing w:val="-10"/>
        </w:rPr>
        <w:t xml:space="preserve"> </w:t>
      </w:r>
      <w:r>
        <w:rPr>
          <w:rFonts w:ascii="Calibri" w:hAnsi="Calibri"/>
          <w:color w:val="001F60"/>
        </w:rPr>
        <w:t>e</w:t>
      </w:r>
      <w:r>
        <w:rPr>
          <w:rFonts w:ascii="Calibri" w:hAnsi="Calibri"/>
          <w:color w:val="001F60"/>
          <w:spacing w:val="-6"/>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governança</w:t>
      </w:r>
      <w:r>
        <w:rPr>
          <w:rFonts w:ascii="Calibri" w:hAnsi="Calibri"/>
          <w:color w:val="001F60"/>
          <w:spacing w:val="-6"/>
        </w:rPr>
        <w:t xml:space="preserve"> </w:t>
      </w:r>
      <w:r>
        <w:rPr>
          <w:rFonts w:ascii="Calibri" w:hAnsi="Calibri"/>
          <w:color w:val="001F60"/>
        </w:rPr>
        <w:t>(ESG),</w:t>
      </w:r>
      <w:r>
        <w:rPr>
          <w:rFonts w:ascii="Calibri" w:hAnsi="Calibri"/>
          <w:color w:val="001F60"/>
          <w:spacing w:val="-8"/>
        </w:rPr>
        <w:t xml:space="preserve"> </w:t>
      </w:r>
      <w:r>
        <w:rPr>
          <w:rFonts w:ascii="Calibri" w:hAnsi="Calibri"/>
          <w:color w:val="001F60"/>
        </w:rPr>
        <w:t>com</w:t>
      </w:r>
      <w:r>
        <w:rPr>
          <w:rFonts w:ascii="Calibri" w:hAnsi="Calibri"/>
          <w:color w:val="001F60"/>
          <w:spacing w:val="-6"/>
        </w:rPr>
        <w:t xml:space="preserve"> </w:t>
      </w:r>
      <w:r>
        <w:rPr>
          <w:rFonts w:ascii="Calibri" w:hAnsi="Calibri"/>
          <w:color w:val="001F60"/>
        </w:rPr>
        <w:t>foco</w:t>
      </w:r>
      <w:r>
        <w:rPr>
          <w:rFonts w:ascii="Calibri" w:hAnsi="Calibri"/>
          <w:color w:val="001F60"/>
          <w:spacing w:val="-6"/>
        </w:rPr>
        <w:t xml:space="preserve"> </w:t>
      </w:r>
      <w:r>
        <w:rPr>
          <w:rFonts w:ascii="Calibri" w:hAnsi="Calibri"/>
          <w:color w:val="001F60"/>
        </w:rPr>
        <w:t>na</w:t>
      </w:r>
      <w:r>
        <w:rPr>
          <w:rFonts w:ascii="Calibri" w:hAnsi="Calibri"/>
          <w:color w:val="001F60"/>
          <w:spacing w:val="-8"/>
        </w:rPr>
        <w:t xml:space="preserve"> </w:t>
      </w:r>
      <w:r>
        <w:rPr>
          <w:rFonts w:ascii="Calibri" w:hAnsi="Calibri"/>
          <w:color w:val="001F60"/>
        </w:rPr>
        <w:t>mitigação</w:t>
      </w:r>
      <w:r>
        <w:rPr>
          <w:rFonts w:ascii="Calibri" w:hAnsi="Calibri"/>
          <w:color w:val="001F60"/>
          <w:spacing w:val="-5"/>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impactos ambientais,</w:t>
      </w:r>
      <w:r>
        <w:rPr>
          <w:rFonts w:ascii="Calibri" w:hAnsi="Calibri"/>
          <w:color w:val="001F60"/>
          <w:spacing w:val="-1"/>
        </w:rPr>
        <w:t xml:space="preserve"> </w:t>
      </w:r>
      <w:r>
        <w:rPr>
          <w:rFonts w:ascii="Calibri" w:hAnsi="Calibri"/>
          <w:color w:val="001F60"/>
        </w:rPr>
        <w:t>no</w:t>
      </w:r>
      <w:r>
        <w:rPr>
          <w:rFonts w:ascii="Calibri" w:hAnsi="Calibri"/>
          <w:color w:val="001F60"/>
          <w:spacing w:val="-1"/>
        </w:rPr>
        <w:t xml:space="preserve"> </w:t>
      </w:r>
      <w:r>
        <w:rPr>
          <w:rFonts w:ascii="Calibri" w:hAnsi="Calibri"/>
          <w:color w:val="001F60"/>
        </w:rPr>
        <w:t>fortalecimento da</w:t>
      </w:r>
      <w:r>
        <w:rPr>
          <w:rFonts w:ascii="Calibri" w:hAnsi="Calibri"/>
          <w:color w:val="001F60"/>
          <w:spacing w:val="-1"/>
        </w:rPr>
        <w:t xml:space="preserve"> </w:t>
      </w:r>
      <w:r>
        <w:rPr>
          <w:rFonts w:ascii="Calibri" w:hAnsi="Calibri"/>
          <w:color w:val="001F60"/>
        </w:rPr>
        <w:t>diversidade,</w:t>
      </w:r>
      <w:r>
        <w:rPr>
          <w:rFonts w:ascii="Calibri" w:hAnsi="Calibri"/>
          <w:color w:val="001F60"/>
          <w:spacing w:val="-2"/>
        </w:rPr>
        <w:t xml:space="preserve"> </w:t>
      </w:r>
      <w:r>
        <w:rPr>
          <w:rFonts w:ascii="Calibri" w:hAnsi="Calibri"/>
          <w:color w:val="001F60"/>
        </w:rPr>
        <w:t>equidade e</w:t>
      </w:r>
      <w:r>
        <w:rPr>
          <w:rFonts w:ascii="Calibri" w:hAnsi="Calibri"/>
          <w:color w:val="001F60"/>
          <w:spacing w:val="-1"/>
        </w:rPr>
        <w:t xml:space="preserve"> </w:t>
      </w:r>
      <w:r>
        <w:rPr>
          <w:rFonts w:ascii="Calibri" w:hAnsi="Calibri"/>
          <w:color w:val="001F60"/>
        </w:rPr>
        <w:t>inclusão</w:t>
      </w:r>
      <w:r>
        <w:rPr>
          <w:rFonts w:ascii="Calibri" w:hAnsi="Calibri"/>
          <w:color w:val="001F60"/>
          <w:spacing w:val="-1"/>
        </w:rPr>
        <w:t xml:space="preserve"> </w:t>
      </w:r>
      <w:r>
        <w:rPr>
          <w:rFonts w:ascii="Calibri" w:hAnsi="Calibri"/>
          <w:color w:val="001F60"/>
        </w:rPr>
        <w:t>e</w:t>
      </w:r>
      <w:r>
        <w:rPr>
          <w:rFonts w:ascii="Calibri" w:hAnsi="Calibri"/>
          <w:color w:val="001F60"/>
          <w:spacing w:val="-1"/>
        </w:rPr>
        <w:t xml:space="preserve"> </w:t>
      </w:r>
      <w:r>
        <w:rPr>
          <w:rFonts w:ascii="Calibri" w:hAnsi="Calibri"/>
          <w:color w:val="001F60"/>
        </w:rPr>
        <w:t>no</w:t>
      </w:r>
      <w:r>
        <w:rPr>
          <w:rFonts w:ascii="Calibri" w:hAnsi="Calibri"/>
          <w:color w:val="001F60"/>
          <w:spacing w:val="-1"/>
        </w:rPr>
        <w:t xml:space="preserve"> </w:t>
      </w:r>
      <w:r>
        <w:rPr>
          <w:rFonts w:ascii="Calibri" w:hAnsi="Calibri"/>
          <w:color w:val="001F60"/>
        </w:rPr>
        <w:t>aprimoramento</w:t>
      </w:r>
      <w:r>
        <w:rPr>
          <w:rFonts w:ascii="Calibri" w:hAnsi="Calibri"/>
          <w:color w:val="001F60"/>
          <w:spacing w:val="-3"/>
        </w:rPr>
        <w:t xml:space="preserve"> </w:t>
      </w:r>
      <w:r>
        <w:rPr>
          <w:rFonts w:ascii="Calibri" w:hAnsi="Calibri"/>
          <w:color w:val="001F60"/>
        </w:rPr>
        <w:t>contínuo das práticas de governança corporativa.</w:t>
      </w:r>
    </w:p>
    <w:p w14:paraId="5B4438AA" w14:textId="77777777" w:rsidR="002C6574" w:rsidRDefault="00000000">
      <w:pPr>
        <w:pStyle w:val="Corpodetexto"/>
        <w:spacing w:before="119"/>
        <w:ind w:left="709" w:right="276"/>
        <w:jc w:val="both"/>
        <w:rPr>
          <w:rFonts w:ascii="Calibri" w:hAnsi="Calibri"/>
        </w:rPr>
      </w:pPr>
      <w:r>
        <w:rPr>
          <w:rFonts w:ascii="Calibri" w:hAnsi="Calibri"/>
          <w:color w:val="001F60"/>
        </w:rPr>
        <w:t>Nesse eixo ambiental, a Telebras avançou na implementação de seu Modelo de Gestão Ambiental, referência interna voltada à estruturação de um Sistema de Gestão Ambiental eficaz e alinhado às melhores práticas do setor público. O modelo estabelece diretrizes e mecanismos para identificar, mitigar</w:t>
      </w:r>
      <w:r>
        <w:rPr>
          <w:rFonts w:ascii="Calibri" w:hAnsi="Calibri"/>
          <w:color w:val="001F60"/>
          <w:spacing w:val="-4"/>
        </w:rPr>
        <w:t xml:space="preserve"> </w:t>
      </w:r>
      <w:r>
        <w:rPr>
          <w:rFonts w:ascii="Calibri" w:hAnsi="Calibri"/>
          <w:color w:val="001F60"/>
        </w:rPr>
        <w:t>e</w:t>
      </w:r>
      <w:r>
        <w:rPr>
          <w:rFonts w:ascii="Calibri" w:hAnsi="Calibri"/>
          <w:color w:val="001F60"/>
          <w:spacing w:val="-4"/>
        </w:rPr>
        <w:t xml:space="preserve"> </w:t>
      </w:r>
      <w:r>
        <w:rPr>
          <w:rFonts w:ascii="Calibri" w:hAnsi="Calibri"/>
          <w:color w:val="001F60"/>
        </w:rPr>
        <w:t>monitorar</w:t>
      </w:r>
      <w:r>
        <w:rPr>
          <w:rFonts w:ascii="Calibri" w:hAnsi="Calibri"/>
          <w:color w:val="001F60"/>
          <w:spacing w:val="-4"/>
        </w:rPr>
        <w:t xml:space="preserve"> </w:t>
      </w:r>
      <w:r>
        <w:rPr>
          <w:rFonts w:ascii="Calibri" w:hAnsi="Calibri"/>
          <w:color w:val="001F60"/>
        </w:rPr>
        <w:t>impactos</w:t>
      </w:r>
      <w:r>
        <w:rPr>
          <w:rFonts w:ascii="Calibri" w:hAnsi="Calibri"/>
          <w:color w:val="001F60"/>
          <w:spacing w:val="-4"/>
        </w:rPr>
        <w:t xml:space="preserve"> </w:t>
      </w:r>
      <w:r>
        <w:rPr>
          <w:rFonts w:ascii="Calibri" w:hAnsi="Calibri"/>
          <w:color w:val="001F60"/>
        </w:rPr>
        <w:t>ambientais</w:t>
      </w:r>
      <w:r>
        <w:rPr>
          <w:rFonts w:ascii="Calibri" w:hAnsi="Calibri"/>
          <w:color w:val="001F60"/>
          <w:spacing w:val="-6"/>
        </w:rPr>
        <w:t xml:space="preserve"> </w:t>
      </w:r>
      <w:r>
        <w:rPr>
          <w:rFonts w:ascii="Calibri" w:hAnsi="Calibri"/>
          <w:color w:val="001F60"/>
        </w:rPr>
        <w:t>associados</w:t>
      </w:r>
      <w:r>
        <w:rPr>
          <w:rFonts w:ascii="Calibri" w:hAnsi="Calibri"/>
          <w:color w:val="001F60"/>
          <w:spacing w:val="-4"/>
        </w:rPr>
        <w:t xml:space="preserve"> </w:t>
      </w:r>
      <w:r>
        <w:rPr>
          <w:rFonts w:ascii="Calibri" w:hAnsi="Calibri"/>
          <w:color w:val="001F60"/>
        </w:rPr>
        <w:t>às</w:t>
      </w:r>
      <w:r>
        <w:rPr>
          <w:rFonts w:ascii="Calibri" w:hAnsi="Calibri"/>
          <w:color w:val="001F60"/>
          <w:spacing w:val="-2"/>
        </w:rPr>
        <w:t xml:space="preserve"> </w:t>
      </w:r>
      <w:r>
        <w:rPr>
          <w:rFonts w:ascii="Calibri" w:hAnsi="Calibri"/>
          <w:color w:val="001F60"/>
        </w:rPr>
        <w:t>operações</w:t>
      </w:r>
      <w:r>
        <w:rPr>
          <w:rFonts w:ascii="Calibri" w:hAnsi="Calibri"/>
          <w:color w:val="001F60"/>
          <w:spacing w:val="-5"/>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telecomunicações,</w:t>
      </w:r>
      <w:r>
        <w:rPr>
          <w:rFonts w:ascii="Calibri" w:hAnsi="Calibri"/>
          <w:color w:val="001F60"/>
          <w:spacing w:val="-4"/>
        </w:rPr>
        <w:t xml:space="preserve"> </w:t>
      </w:r>
      <w:r>
        <w:rPr>
          <w:rFonts w:ascii="Calibri" w:hAnsi="Calibri"/>
          <w:color w:val="001F60"/>
        </w:rPr>
        <w:t>promovendo a integração</w:t>
      </w:r>
      <w:r>
        <w:rPr>
          <w:rFonts w:ascii="Calibri" w:hAnsi="Calibri"/>
          <w:color w:val="001F60"/>
          <w:spacing w:val="-1"/>
        </w:rPr>
        <w:t xml:space="preserve"> </w:t>
      </w:r>
      <w:r>
        <w:rPr>
          <w:rFonts w:ascii="Calibri" w:hAnsi="Calibri"/>
          <w:color w:val="001F60"/>
        </w:rPr>
        <w:t>entre atividades corporativas e o meio ambiente. Nesse contexto,</w:t>
      </w:r>
      <w:r>
        <w:rPr>
          <w:rFonts w:ascii="Calibri" w:hAnsi="Calibri"/>
          <w:color w:val="001F60"/>
          <w:spacing w:val="-2"/>
        </w:rPr>
        <w:t xml:space="preserve"> </w:t>
      </w:r>
      <w:r>
        <w:rPr>
          <w:rFonts w:ascii="Calibri" w:hAnsi="Calibri"/>
          <w:color w:val="001F60"/>
        </w:rPr>
        <w:t>destaca-se o</w:t>
      </w:r>
      <w:r>
        <w:rPr>
          <w:rFonts w:ascii="Calibri" w:hAnsi="Calibri"/>
          <w:color w:val="001F60"/>
          <w:spacing w:val="-1"/>
        </w:rPr>
        <w:t xml:space="preserve"> </w:t>
      </w:r>
      <w:r>
        <w:rPr>
          <w:rFonts w:ascii="Calibri" w:hAnsi="Calibri"/>
          <w:color w:val="001F60"/>
        </w:rPr>
        <w:t>Plano de Logística Sustentável (PLS), que abrange ações de análise de aspectos e impactos ambientais, gestão de resíduos, práticas de consumo consciente e programas de capacitação e conscientização voltados aos empregados e demais partes interessadas.</w:t>
      </w:r>
    </w:p>
    <w:p w14:paraId="633EBE54" w14:textId="77777777" w:rsidR="002C6574" w:rsidRDefault="00000000">
      <w:pPr>
        <w:pStyle w:val="Corpodetexto"/>
        <w:spacing w:before="122"/>
        <w:ind w:left="709" w:right="277"/>
        <w:jc w:val="both"/>
        <w:rPr>
          <w:rFonts w:ascii="Calibri" w:hAnsi="Calibri"/>
        </w:rPr>
      </w:pPr>
      <w:r>
        <w:rPr>
          <w:rFonts w:ascii="Calibri" w:hAnsi="Calibri"/>
          <w:color w:val="001F60"/>
        </w:rPr>
        <w:t>Sob</w:t>
      </w:r>
      <w:r>
        <w:rPr>
          <w:rFonts w:ascii="Calibri" w:hAnsi="Calibri"/>
          <w:color w:val="001F60"/>
          <w:spacing w:val="-3"/>
        </w:rPr>
        <w:t xml:space="preserve"> </w:t>
      </w:r>
      <w:r>
        <w:rPr>
          <w:rFonts w:ascii="Calibri" w:hAnsi="Calibri"/>
          <w:color w:val="001F60"/>
        </w:rPr>
        <w:t>a</w:t>
      </w:r>
      <w:r>
        <w:rPr>
          <w:rFonts w:ascii="Calibri" w:hAnsi="Calibri"/>
          <w:color w:val="001F60"/>
          <w:spacing w:val="-2"/>
        </w:rPr>
        <w:t xml:space="preserve"> </w:t>
      </w:r>
      <w:r>
        <w:rPr>
          <w:rFonts w:ascii="Calibri" w:hAnsi="Calibri"/>
          <w:color w:val="001F60"/>
        </w:rPr>
        <w:t>perspectiva</w:t>
      </w:r>
      <w:r>
        <w:rPr>
          <w:rFonts w:ascii="Calibri" w:hAnsi="Calibri"/>
          <w:color w:val="001F60"/>
          <w:spacing w:val="-2"/>
        </w:rPr>
        <w:t xml:space="preserve"> </w:t>
      </w:r>
      <w:r>
        <w:rPr>
          <w:rFonts w:ascii="Calibri" w:hAnsi="Calibri"/>
          <w:color w:val="001F60"/>
        </w:rPr>
        <w:t>da</w:t>
      </w:r>
      <w:r>
        <w:rPr>
          <w:rFonts w:ascii="Calibri" w:hAnsi="Calibri"/>
          <w:color w:val="001F60"/>
          <w:spacing w:val="-2"/>
        </w:rPr>
        <w:t xml:space="preserve"> </w:t>
      </w:r>
      <w:r>
        <w:rPr>
          <w:rFonts w:ascii="Calibri" w:hAnsi="Calibri"/>
          <w:color w:val="001F60"/>
        </w:rPr>
        <w:t>sustentabilidade</w:t>
      </w:r>
      <w:r>
        <w:rPr>
          <w:rFonts w:ascii="Calibri" w:hAnsi="Calibri"/>
          <w:color w:val="001F60"/>
          <w:spacing w:val="-2"/>
        </w:rPr>
        <w:t xml:space="preserve"> </w:t>
      </w:r>
      <w:r>
        <w:rPr>
          <w:rFonts w:ascii="Calibri" w:hAnsi="Calibri"/>
          <w:color w:val="001F60"/>
        </w:rPr>
        <w:t>social,</w:t>
      </w:r>
      <w:r>
        <w:rPr>
          <w:rFonts w:ascii="Calibri" w:hAnsi="Calibri"/>
          <w:color w:val="001F60"/>
          <w:spacing w:val="-2"/>
        </w:rPr>
        <w:t xml:space="preserve"> </w:t>
      </w:r>
      <w:r>
        <w:rPr>
          <w:rFonts w:ascii="Calibri" w:hAnsi="Calibri"/>
          <w:color w:val="001F60"/>
        </w:rPr>
        <w:t>a</w:t>
      </w:r>
      <w:r>
        <w:rPr>
          <w:rFonts w:ascii="Calibri" w:hAnsi="Calibri"/>
          <w:color w:val="001F60"/>
          <w:spacing w:val="-2"/>
        </w:rPr>
        <w:t xml:space="preserve"> </w:t>
      </w:r>
      <w:r>
        <w:rPr>
          <w:rFonts w:ascii="Calibri" w:hAnsi="Calibri"/>
          <w:color w:val="001F60"/>
        </w:rPr>
        <w:t>Telebras</w:t>
      </w:r>
      <w:r>
        <w:rPr>
          <w:rFonts w:ascii="Calibri" w:hAnsi="Calibri"/>
          <w:color w:val="001F60"/>
          <w:spacing w:val="-2"/>
        </w:rPr>
        <w:t xml:space="preserve"> </w:t>
      </w:r>
      <w:r>
        <w:rPr>
          <w:rFonts w:ascii="Calibri" w:hAnsi="Calibri"/>
          <w:color w:val="001F60"/>
        </w:rPr>
        <w:t>reafirmou</w:t>
      </w:r>
      <w:r>
        <w:rPr>
          <w:rFonts w:ascii="Calibri" w:hAnsi="Calibri"/>
          <w:color w:val="001F60"/>
          <w:spacing w:val="-3"/>
        </w:rPr>
        <w:t xml:space="preserve"> </w:t>
      </w:r>
      <w:r>
        <w:rPr>
          <w:rFonts w:ascii="Calibri" w:hAnsi="Calibri"/>
          <w:color w:val="001F60"/>
        </w:rPr>
        <w:t>seu</w:t>
      </w:r>
      <w:r>
        <w:rPr>
          <w:rFonts w:ascii="Calibri" w:hAnsi="Calibri"/>
          <w:color w:val="001F60"/>
          <w:spacing w:val="-3"/>
        </w:rPr>
        <w:t xml:space="preserve"> </w:t>
      </w:r>
      <w:r>
        <w:rPr>
          <w:rFonts w:ascii="Calibri" w:hAnsi="Calibri"/>
          <w:color w:val="001F60"/>
        </w:rPr>
        <w:t>compromisso com a</w:t>
      </w:r>
      <w:r>
        <w:rPr>
          <w:rFonts w:ascii="Calibri" w:hAnsi="Calibri"/>
          <w:color w:val="001F60"/>
          <w:spacing w:val="-2"/>
        </w:rPr>
        <w:t xml:space="preserve"> </w:t>
      </w:r>
      <w:r>
        <w:rPr>
          <w:rFonts w:ascii="Calibri" w:hAnsi="Calibri"/>
          <w:color w:val="001F60"/>
        </w:rPr>
        <w:t>promoção da diversidade, equidade e inclusão. Em 2025, a Companhia executou ações no âmbito do Programa Pró-Equidade em Gênero e Raça, 7ª Edição, iniciativa que estimula práticas de equidade nas organizações,</w:t>
      </w:r>
      <w:r>
        <w:rPr>
          <w:rFonts w:ascii="Calibri" w:hAnsi="Calibri"/>
          <w:color w:val="001F60"/>
          <w:spacing w:val="-9"/>
        </w:rPr>
        <w:t xml:space="preserve"> </w:t>
      </w:r>
      <w:r>
        <w:rPr>
          <w:rFonts w:ascii="Calibri" w:hAnsi="Calibri"/>
          <w:color w:val="001F60"/>
        </w:rPr>
        <w:t>com</w:t>
      </w:r>
      <w:r>
        <w:rPr>
          <w:rFonts w:ascii="Calibri" w:hAnsi="Calibri"/>
          <w:color w:val="001F60"/>
          <w:spacing w:val="-9"/>
        </w:rPr>
        <w:t xml:space="preserve"> </w:t>
      </w:r>
      <w:r>
        <w:rPr>
          <w:rFonts w:ascii="Calibri" w:hAnsi="Calibri"/>
          <w:color w:val="001F60"/>
        </w:rPr>
        <w:t>ênfase</w:t>
      </w:r>
      <w:r>
        <w:rPr>
          <w:rFonts w:ascii="Calibri" w:hAnsi="Calibri"/>
          <w:color w:val="001F60"/>
          <w:spacing w:val="-9"/>
        </w:rPr>
        <w:t xml:space="preserve"> </w:t>
      </w:r>
      <w:r>
        <w:rPr>
          <w:rFonts w:ascii="Calibri" w:hAnsi="Calibri"/>
          <w:color w:val="001F60"/>
        </w:rPr>
        <w:t>nas</w:t>
      </w:r>
      <w:r>
        <w:rPr>
          <w:rFonts w:ascii="Calibri" w:hAnsi="Calibri"/>
          <w:color w:val="001F60"/>
          <w:spacing w:val="-9"/>
        </w:rPr>
        <w:t xml:space="preserve"> </w:t>
      </w:r>
      <w:r>
        <w:rPr>
          <w:rFonts w:ascii="Calibri" w:hAnsi="Calibri"/>
          <w:color w:val="001F60"/>
        </w:rPr>
        <w:t>áreas</w:t>
      </w:r>
      <w:r>
        <w:rPr>
          <w:rFonts w:ascii="Calibri" w:hAnsi="Calibri"/>
          <w:color w:val="001F60"/>
          <w:spacing w:val="-7"/>
        </w:rPr>
        <w:t xml:space="preserve"> </w:t>
      </w:r>
      <w:r>
        <w:rPr>
          <w:rFonts w:ascii="Calibri" w:hAnsi="Calibri"/>
          <w:color w:val="001F60"/>
        </w:rPr>
        <w:t>de</w:t>
      </w:r>
      <w:r>
        <w:rPr>
          <w:rFonts w:ascii="Calibri" w:hAnsi="Calibri"/>
          <w:color w:val="001F60"/>
          <w:spacing w:val="-7"/>
        </w:rPr>
        <w:t xml:space="preserve"> </w:t>
      </w:r>
      <w:r>
        <w:rPr>
          <w:rFonts w:ascii="Calibri" w:hAnsi="Calibri"/>
          <w:color w:val="001F60"/>
        </w:rPr>
        <w:t>gestão</w:t>
      </w:r>
      <w:r>
        <w:rPr>
          <w:rFonts w:ascii="Calibri" w:hAnsi="Calibri"/>
          <w:color w:val="001F60"/>
          <w:spacing w:val="-8"/>
        </w:rPr>
        <w:t xml:space="preserve"> </w:t>
      </w:r>
      <w:r>
        <w:rPr>
          <w:rFonts w:ascii="Calibri" w:hAnsi="Calibri"/>
          <w:color w:val="001F60"/>
        </w:rPr>
        <w:t>e</w:t>
      </w:r>
      <w:r>
        <w:rPr>
          <w:rFonts w:ascii="Calibri" w:hAnsi="Calibri"/>
          <w:color w:val="001F60"/>
          <w:spacing w:val="-11"/>
        </w:rPr>
        <w:t xml:space="preserve"> </w:t>
      </w:r>
      <w:r>
        <w:rPr>
          <w:rFonts w:ascii="Calibri" w:hAnsi="Calibri"/>
          <w:color w:val="001F60"/>
        </w:rPr>
        <w:t>pessoas.</w:t>
      </w:r>
      <w:r>
        <w:rPr>
          <w:rFonts w:ascii="Calibri" w:hAnsi="Calibri"/>
          <w:color w:val="001F60"/>
          <w:spacing w:val="-9"/>
        </w:rPr>
        <w:t xml:space="preserve"> </w:t>
      </w:r>
      <w:r>
        <w:rPr>
          <w:rFonts w:ascii="Calibri" w:hAnsi="Calibri"/>
          <w:color w:val="001F60"/>
        </w:rPr>
        <w:t>Adicionalmente,</w:t>
      </w:r>
      <w:r>
        <w:rPr>
          <w:rFonts w:ascii="Calibri" w:hAnsi="Calibri"/>
          <w:color w:val="001F60"/>
          <w:spacing w:val="-9"/>
        </w:rPr>
        <w:t xml:space="preserve"> </w:t>
      </w:r>
      <w:r>
        <w:rPr>
          <w:rFonts w:ascii="Calibri" w:hAnsi="Calibri"/>
          <w:color w:val="001F60"/>
        </w:rPr>
        <w:t>participou</w:t>
      </w:r>
      <w:r>
        <w:rPr>
          <w:rFonts w:ascii="Calibri" w:hAnsi="Calibri"/>
          <w:color w:val="001F60"/>
          <w:spacing w:val="-7"/>
        </w:rPr>
        <w:t xml:space="preserve"> </w:t>
      </w:r>
      <w:r>
        <w:rPr>
          <w:rFonts w:ascii="Calibri" w:hAnsi="Calibri"/>
          <w:color w:val="001F60"/>
        </w:rPr>
        <w:t>das</w:t>
      </w:r>
      <w:r>
        <w:rPr>
          <w:rFonts w:ascii="Calibri" w:hAnsi="Calibri"/>
          <w:color w:val="001F60"/>
          <w:spacing w:val="-9"/>
        </w:rPr>
        <w:t xml:space="preserve"> </w:t>
      </w:r>
      <w:r>
        <w:rPr>
          <w:rFonts w:ascii="Calibri" w:hAnsi="Calibri"/>
          <w:color w:val="001F60"/>
        </w:rPr>
        <w:t>atividades</w:t>
      </w:r>
      <w:r>
        <w:rPr>
          <w:rFonts w:ascii="Calibri" w:hAnsi="Calibri"/>
          <w:color w:val="001F60"/>
          <w:spacing w:val="-9"/>
        </w:rPr>
        <w:t xml:space="preserve"> </w:t>
      </w:r>
      <w:r>
        <w:rPr>
          <w:rFonts w:ascii="Calibri" w:hAnsi="Calibri"/>
          <w:color w:val="001F60"/>
        </w:rPr>
        <w:t>do Grupo Executivo do Pacto pela Diversidade, Equidade e Inclusão nas Empresas Estatais, iniciativa do Ministério da Gestão e Inovação no Serviço Público (MGI) voltada ao desenvolvimento de políticas públicas e ações integradas que ampliam a diversidade e a inclusão nas empresas estatais.</w:t>
      </w:r>
    </w:p>
    <w:p w14:paraId="79187DEB" w14:textId="77777777" w:rsidR="002C6574" w:rsidRDefault="00000000">
      <w:pPr>
        <w:pStyle w:val="Corpodetexto"/>
        <w:spacing w:before="119"/>
        <w:ind w:left="709" w:right="278"/>
        <w:jc w:val="both"/>
        <w:rPr>
          <w:rFonts w:ascii="Calibri" w:hAnsi="Calibri"/>
        </w:rPr>
      </w:pPr>
      <w:r>
        <w:rPr>
          <w:rFonts w:ascii="Calibri" w:hAnsi="Calibri"/>
          <w:color w:val="001F60"/>
        </w:rPr>
        <w:t>No eixo da governança, a Telebras obteve desempenho de destaque no 7º Ciclo do Indicador de Governança</w:t>
      </w:r>
      <w:r>
        <w:rPr>
          <w:rFonts w:ascii="Calibri" w:hAnsi="Calibri"/>
          <w:color w:val="001F60"/>
          <w:spacing w:val="-6"/>
        </w:rPr>
        <w:t xml:space="preserve"> </w:t>
      </w:r>
      <w:r>
        <w:rPr>
          <w:rFonts w:ascii="Calibri" w:hAnsi="Calibri"/>
          <w:color w:val="001F60"/>
        </w:rPr>
        <w:t>das</w:t>
      </w:r>
      <w:r>
        <w:rPr>
          <w:rFonts w:ascii="Calibri" w:hAnsi="Calibri"/>
          <w:color w:val="001F60"/>
          <w:spacing w:val="-6"/>
        </w:rPr>
        <w:t xml:space="preserve"> </w:t>
      </w:r>
      <w:r>
        <w:rPr>
          <w:rFonts w:ascii="Calibri" w:hAnsi="Calibri"/>
          <w:color w:val="001F60"/>
        </w:rPr>
        <w:t>Empresas</w:t>
      </w:r>
      <w:r>
        <w:rPr>
          <w:rFonts w:ascii="Calibri" w:hAnsi="Calibri"/>
          <w:color w:val="001F60"/>
          <w:spacing w:val="-6"/>
        </w:rPr>
        <w:t xml:space="preserve"> </w:t>
      </w:r>
      <w:r>
        <w:rPr>
          <w:rFonts w:ascii="Calibri" w:hAnsi="Calibri"/>
          <w:color w:val="001F60"/>
        </w:rPr>
        <w:t>Estatais</w:t>
      </w:r>
      <w:r>
        <w:rPr>
          <w:rFonts w:ascii="Calibri" w:hAnsi="Calibri"/>
          <w:color w:val="001F60"/>
          <w:spacing w:val="-6"/>
        </w:rPr>
        <w:t xml:space="preserve"> </w:t>
      </w:r>
      <w:r>
        <w:rPr>
          <w:rFonts w:ascii="Calibri" w:hAnsi="Calibri"/>
          <w:color w:val="001F60"/>
        </w:rPr>
        <w:t>(IG-Sest),</w:t>
      </w:r>
      <w:r>
        <w:rPr>
          <w:rFonts w:ascii="Calibri" w:hAnsi="Calibri"/>
          <w:color w:val="001F60"/>
          <w:spacing w:val="-6"/>
        </w:rPr>
        <w:t xml:space="preserve"> </w:t>
      </w:r>
      <w:r>
        <w:rPr>
          <w:rFonts w:ascii="Calibri" w:hAnsi="Calibri"/>
          <w:color w:val="001F60"/>
        </w:rPr>
        <w:t>referente</w:t>
      </w:r>
      <w:r>
        <w:rPr>
          <w:rFonts w:ascii="Calibri" w:hAnsi="Calibri"/>
          <w:color w:val="001F60"/>
          <w:spacing w:val="-5"/>
        </w:rPr>
        <w:t xml:space="preserve"> </w:t>
      </w:r>
      <w:r>
        <w:rPr>
          <w:rFonts w:ascii="Calibri" w:hAnsi="Calibri"/>
          <w:color w:val="001F60"/>
        </w:rPr>
        <w:t>ao</w:t>
      </w:r>
      <w:r>
        <w:rPr>
          <w:rFonts w:ascii="Calibri" w:hAnsi="Calibri"/>
          <w:color w:val="001F60"/>
          <w:spacing w:val="-5"/>
        </w:rPr>
        <w:t xml:space="preserve"> </w:t>
      </w:r>
      <w:r>
        <w:rPr>
          <w:rFonts w:ascii="Calibri" w:hAnsi="Calibri"/>
          <w:color w:val="001F60"/>
        </w:rPr>
        <w:t>exercício</w:t>
      </w:r>
      <w:r>
        <w:rPr>
          <w:rFonts w:ascii="Calibri" w:hAnsi="Calibri"/>
          <w:color w:val="001F60"/>
          <w:spacing w:val="-4"/>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2025.</w:t>
      </w:r>
      <w:r>
        <w:rPr>
          <w:rFonts w:ascii="Calibri" w:hAnsi="Calibri"/>
          <w:color w:val="001F60"/>
          <w:spacing w:val="-9"/>
        </w:rPr>
        <w:t xml:space="preserve"> </w:t>
      </w:r>
      <w:r>
        <w:rPr>
          <w:rFonts w:ascii="Calibri" w:hAnsi="Calibri"/>
          <w:color w:val="001F60"/>
        </w:rPr>
        <w:t>O</w:t>
      </w:r>
      <w:r>
        <w:rPr>
          <w:rFonts w:ascii="Calibri" w:hAnsi="Calibri"/>
          <w:color w:val="001F60"/>
          <w:spacing w:val="-5"/>
        </w:rPr>
        <w:t xml:space="preserve"> </w:t>
      </w:r>
      <w:r>
        <w:rPr>
          <w:rFonts w:ascii="Calibri" w:hAnsi="Calibri"/>
          <w:color w:val="001F60"/>
        </w:rPr>
        <w:t>indicador</w:t>
      </w:r>
      <w:r>
        <w:rPr>
          <w:rFonts w:ascii="Calibri" w:hAnsi="Calibri"/>
          <w:color w:val="001F60"/>
          <w:spacing w:val="-5"/>
        </w:rPr>
        <w:t xml:space="preserve"> </w:t>
      </w:r>
      <w:r>
        <w:rPr>
          <w:rFonts w:ascii="Calibri" w:hAnsi="Calibri"/>
          <w:color w:val="001F60"/>
        </w:rPr>
        <w:t>desenvolvido pela Secretaria de Coordenação e Governança das Empresas Estatais (Sest), avalia o nível de maturidade das estatais federais em práticas de governança, geração de valor público e alinhamento às diretrizes governamentais.</w:t>
      </w:r>
    </w:p>
    <w:p w14:paraId="3BA3A5AB" w14:textId="77777777" w:rsidR="002C6574" w:rsidRDefault="002C6574">
      <w:pPr>
        <w:pStyle w:val="Corpodetexto"/>
        <w:jc w:val="both"/>
        <w:rPr>
          <w:rFonts w:ascii="Calibri" w:hAnsi="Calibri"/>
        </w:rPr>
        <w:sectPr w:rsidR="002C6574">
          <w:pgSz w:w="11910" w:h="16840"/>
          <w:pgMar w:top="1160" w:right="850" w:bottom="740" w:left="992" w:header="312" w:footer="542" w:gutter="0"/>
          <w:cols w:space="720"/>
        </w:sectPr>
      </w:pPr>
    </w:p>
    <w:p w14:paraId="1017705C" w14:textId="77777777" w:rsidR="002C6574" w:rsidRDefault="002C6574">
      <w:pPr>
        <w:pStyle w:val="Corpodetexto"/>
        <w:spacing w:before="263"/>
        <w:rPr>
          <w:rFonts w:ascii="Calibri"/>
        </w:rPr>
      </w:pPr>
    </w:p>
    <w:p w14:paraId="6E3E27BA" w14:textId="77777777" w:rsidR="002C6574" w:rsidRDefault="00000000">
      <w:pPr>
        <w:pStyle w:val="Corpodetexto"/>
        <w:ind w:left="709" w:right="274"/>
        <w:jc w:val="both"/>
        <w:rPr>
          <w:rFonts w:ascii="Calibri" w:hAnsi="Calibri"/>
        </w:rPr>
      </w:pPr>
      <w:r>
        <w:rPr>
          <w:rFonts w:ascii="Calibri" w:hAnsi="Calibri"/>
          <w:color w:val="001F60"/>
        </w:rPr>
        <w:t>A</w:t>
      </w:r>
      <w:r>
        <w:rPr>
          <w:rFonts w:ascii="Calibri" w:hAnsi="Calibri"/>
          <w:color w:val="001F60"/>
          <w:spacing w:val="-1"/>
        </w:rPr>
        <w:t xml:space="preserve"> </w:t>
      </w:r>
      <w:r>
        <w:rPr>
          <w:rFonts w:ascii="Calibri" w:hAnsi="Calibri"/>
          <w:color w:val="001F60"/>
        </w:rPr>
        <w:t>metodologia</w:t>
      </w:r>
      <w:r>
        <w:rPr>
          <w:rFonts w:ascii="Calibri" w:hAnsi="Calibri"/>
          <w:color w:val="001F60"/>
          <w:spacing w:val="-1"/>
        </w:rPr>
        <w:t xml:space="preserve"> </w:t>
      </w:r>
      <w:r>
        <w:rPr>
          <w:rFonts w:ascii="Calibri" w:hAnsi="Calibri"/>
          <w:color w:val="001F60"/>
        </w:rPr>
        <w:t>contempla</w:t>
      </w:r>
      <w:r>
        <w:rPr>
          <w:rFonts w:ascii="Calibri" w:hAnsi="Calibri"/>
          <w:color w:val="001F60"/>
          <w:spacing w:val="-2"/>
        </w:rPr>
        <w:t xml:space="preserve"> </w:t>
      </w:r>
      <w:r>
        <w:rPr>
          <w:rFonts w:ascii="Calibri" w:hAnsi="Calibri"/>
          <w:color w:val="001F60"/>
        </w:rPr>
        <w:t>três</w:t>
      </w:r>
      <w:r>
        <w:rPr>
          <w:rFonts w:ascii="Calibri" w:hAnsi="Calibri"/>
          <w:color w:val="001F60"/>
          <w:spacing w:val="-1"/>
        </w:rPr>
        <w:t xml:space="preserve"> </w:t>
      </w:r>
      <w:r>
        <w:rPr>
          <w:rFonts w:ascii="Calibri" w:hAnsi="Calibri"/>
          <w:color w:val="001F60"/>
        </w:rPr>
        <w:t>dimensões</w:t>
      </w:r>
      <w:r>
        <w:rPr>
          <w:rFonts w:ascii="Calibri" w:hAnsi="Calibri"/>
          <w:color w:val="001F60"/>
          <w:spacing w:val="-3"/>
        </w:rPr>
        <w:t xml:space="preserve"> </w:t>
      </w:r>
      <w:r>
        <w:rPr>
          <w:rFonts w:ascii="Calibri" w:hAnsi="Calibri"/>
          <w:color w:val="001F60"/>
        </w:rPr>
        <w:t>estruturantes:</w:t>
      </w:r>
      <w:r>
        <w:rPr>
          <w:rFonts w:ascii="Calibri" w:hAnsi="Calibri"/>
          <w:color w:val="001F60"/>
          <w:spacing w:val="-1"/>
        </w:rPr>
        <w:t xml:space="preserve"> </w:t>
      </w:r>
      <w:r>
        <w:rPr>
          <w:rFonts w:ascii="Calibri" w:hAnsi="Calibri"/>
          <w:color w:val="001F60"/>
        </w:rPr>
        <w:t>Governança</w:t>
      </w:r>
      <w:r>
        <w:rPr>
          <w:rFonts w:ascii="Calibri" w:hAnsi="Calibri"/>
          <w:color w:val="001F60"/>
          <w:spacing w:val="-3"/>
        </w:rPr>
        <w:t xml:space="preserve"> </w:t>
      </w:r>
      <w:r>
        <w:rPr>
          <w:rFonts w:ascii="Calibri" w:hAnsi="Calibri"/>
          <w:color w:val="001F60"/>
        </w:rPr>
        <w:t>Corporativa,</w:t>
      </w:r>
      <w:r>
        <w:rPr>
          <w:rFonts w:ascii="Calibri" w:hAnsi="Calibri"/>
          <w:color w:val="001F60"/>
          <w:spacing w:val="-1"/>
        </w:rPr>
        <w:t xml:space="preserve"> </w:t>
      </w:r>
      <w:r>
        <w:rPr>
          <w:rFonts w:ascii="Calibri" w:hAnsi="Calibri"/>
          <w:color w:val="001F60"/>
        </w:rPr>
        <w:t>Políticas</w:t>
      </w:r>
      <w:r>
        <w:rPr>
          <w:rFonts w:ascii="Calibri" w:hAnsi="Calibri"/>
          <w:color w:val="001F60"/>
          <w:spacing w:val="-1"/>
        </w:rPr>
        <w:t xml:space="preserve"> </w:t>
      </w:r>
      <w:r>
        <w:rPr>
          <w:rFonts w:ascii="Calibri" w:hAnsi="Calibri"/>
          <w:color w:val="001F60"/>
        </w:rPr>
        <w:t>Públicas</w:t>
      </w:r>
      <w:r>
        <w:rPr>
          <w:rFonts w:ascii="Calibri" w:hAnsi="Calibri"/>
          <w:color w:val="001F60"/>
          <w:spacing w:val="-3"/>
        </w:rPr>
        <w:t xml:space="preserve"> </w:t>
      </w:r>
      <w:r>
        <w:rPr>
          <w:rFonts w:ascii="Calibri" w:hAnsi="Calibri"/>
          <w:color w:val="001F60"/>
        </w:rPr>
        <w:t>e Boas</w:t>
      </w:r>
      <w:r>
        <w:rPr>
          <w:rFonts w:ascii="Calibri" w:hAnsi="Calibri"/>
          <w:color w:val="001F60"/>
          <w:spacing w:val="-7"/>
        </w:rPr>
        <w:t xml:space="preserve"> </w:t>
      </w:r>
      <w:r>
        <w:rPr>
          <w:rFonts w:ascii="Calibri" w:hAnsi="Calibri"/>
          <w:color w:val="001F60"/>
        </w:rPr>
        <w:t>Práticas</w:t>
      </w:r>
      <w:r>
        <w:rPr>
          <w:rFonts w:ascii="Calibri" w:hAnsi="Calibri"/>
          <w:color w:val="001F60"/>
          <w:spacing w:val="-5"/>
        </w:rPr>
        <w:t xml:space="preserve"> </w:t>
      </w:r>
      <w:r>
        <w:rPr>
          <w:rFonts w:ascii="Calibri" w:hAnsi="Calibri"/>
          <w:color w:val="001F60"/>
        </w:rPr>
        <w:t>e</w:t>
      </w:r>
      <w:r>
        <w:rPr>
          <w:rFonts w:ascii="Calibri" w:hAnsi="Calibri"/>
          <w:color w:val="001F60"/>
          <w:spacing w:val="-7"/>
        </w:rPr>
        <w:t xml:space="preserve"> </w:t>
      </w:r>
      <w:r>
        <w:rPr>
          <w:rFonts w:ascii="Calibri" w:hAnsi="Calibri"/>
          <w:color w:val="001F60"/>
        </w:rPr>
        <w:t>Inovação.</w:t>
      </w:r>
      <w:r>
        <w:rPr>
          <w:rFonts w:ascii="Calibri" w:hAnsi="Calibri"/>
          <w:color w:val="001F60"/>
          <w:spacing w:val="-7"/>
        </w:rPr>
        <w:t xml:space="preserve"> </w:t>
      </w:r>
      <w:r>
        <w:rPr>
          <w:rFonts w:ascii="Calibri" w:hAnsi="Calibri"/>
          <w:color w:val="001F60"/>
        </w:rPr>
        <w:t>No</w:t>
      </w:r>
      <w:r>
        <w:rPr>
          <w:rFonts w:ascii="Calibri" w:hAnsi="Calibri"/>
          <w:color w:val="001F60"/>
          <w:spacing w:val="-5"/>
        </w:rPr>
        <w:t xml:space="preserve"> </w:t>
      </w:r>
      <w:r>
        <w:rPr>
          <w:rFonts w:ascii="Calibri" w:hAnsi="Calibri"/>
          <w:color w:val="001F60"/>
        </w:rPr>
        <w:t>ciclo</w:t>
      </w:r>
      <w:r>
        <w:rPr>
          <w:rFonts w:ascii="Calibri" w:hAnsi="Calibri"/>
          <w:color w:val="001F60"/>
          <w:spacing w:val="-4"/>
        </w:rPr>
        <w:t xml:space="preserve"> </w:t>
      </w:r>
      <w:r>
        <w:rPr>
          <w:rFonts w:ascii="Calibri" w:hAnsi="Calibri"/>
          <w:color w:val="001F60"/>
        </w:rPr>
        <w:t>avaliado,</w:t>
      </w:r>
      <w:r>
        <w:rPr>
          <w:rFonts w:ascii="Calibri" w:hAnsi="Calibri"/>
          <w:color w:val="001F60"/>
          <w:spacing w:val="-7"/>
        </w:rPr>
        <w:t xml:space="preserve"> </w:t>
      </w:r>
      <w:r>
        <w:rPr>
          <w:rFonts w:ascii="Calibri" w:hAnsi="Calibri"/>
          <w:color w:val="001F60"/>
        </w:rPr>
        <w:t>a</w:t>
      </w:r>
      <w:r>
        <w:rPr>
          <w:rFonts w:ascii="Calibri" w:hAnsi="Calibri"/>
          <w:color w:val="001F60"/>
          <w:spacing w:val="-7"/>
        </w:rPr>
        <w:t xml:space="preserve"> </w:t>
      </w:r>
      <w:r>
        <w:rPr>
          <w:rFonts w:ascii="Calibri" w:hAnsi="Calibri"/>
          <w:color w:val="001F60"/>
        </w:rPr>
        <w:t>Telebras</w:t>
      </w:r>
      <w:r>
        <w:rPr>
          <w:rFonts w:ascii="Calibri" w:hAnsi="Calibri"/>
          <w:color w:val="001F60"/>
          <w:spacing w:val="-12"/>
        </w:rPr>
        <w:t xml:space="preserve"> </w:t>
      </w:r>
      <w:r>
        <w:rPr>
          <w:rFonts w:ascii="Calibri" w:hAnsi="Calibri"/>
          <w:color w:val="001F60"/>
        </w:rPr>
        <w:t>alcançou</w:t>
      </w:r>
      <w:r>
        <w:rPr>
          <w:rFonts w:ascii="Calibri" w:hAnsi="Calibri"/>
          <w:color w:val="001F60"/>
          <w:spacing w:val="-7"/>
        </w:rPr>
        <w:t xml:space="preserve"> </w:t>
      </w:r>
      <w:r>
        <w:rPr>
          <w:rFonts w:ascii="Calibri" w:hAnsi="Calibri"/>
          <w:color w:val="001F60"/>
        </w:rPr>
        <w:t>os</w:t>
      </w:r>
      <w:r>
        <w:rPr>
          <w:rFonts w:ascii="Calibri" w:hAnsi="Calibri"/>
          <w:color w:val="001F60"/>
          <w:spacing w:val="-7"/>
        </w:rPr>
        <w:t xml:space="preserve"> </w:t>
      </w:r>
      <w:r>
        <w:rPr>
          <w:rFonts w:ascii="Calibri" w:hAnsi="Calibri"/>
          <w:color w:val="001F60"/>
        </w:rPr>
        <w:t>mais</w:t>
      </w:r>
      <w:r>
        <w:rPr>
          <w:rFonts w:ascii="Calibri" w:hAnsi="Calibri"/>
          <w:color w:val="001F60"/>
          <w:spacing w:val="-5"/>
        </w:rPr>
        <w:t xml:space="preserve"> </w:t>
      </w:r>
      <w:r>
        <w:rPr>
          <w:rFonts w:ascii="Calibri" w:hAnsi="Calibri"/>
          <w:color w:val="001F60"/>
        </w:rPr>
        <w:t>altos</w:t>
      </w:r>
      <w:r>
        <w:rPr>
          <w:rFonts w:ascii="Calibri" w:hAnsi="Calibri"/>
          <w:color w:val="001F60"/>
          <w:spacing w:val="-5"/>
        </w:rPr>
        <w:t xml:space="preserve"> </w:t>
      </w:r>
      <w:r>
        <w:rPr>
          <w:rFonts w:ascii="Calibri" w:hAnsi="Calibri"/>
          <w:color w:val="001F60"/>
        </w:rPr>
        <w:t>níveis</w:t>
      </w:r>
      <w:r>
        <w:rPr>
          <w:rFonts w:ascii="Calibri" w:hAnsi="Calibri"/>
          <w:color w:val="001F60"/>
          <w:spacing w:val="-5"/>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maturidade</w:t>
      </w:r>
      <w:r>
        <w:rPr>
          <w:rFonts w:ascii="Calibri" w:hAnsi="Calibri"/>
          <w:color w:val="001F60"/>
          <w:spacing w:val="-5"/>
        </w:rPr>
        <w:t xml:space="preserve"> </w:t>
      </w:r>
      <w:r>
        <w:rPr>
          <w:rFonts w:ascii="Calibri" w:hAnsi="Calibri"/>
          <w:color w:val="001F60"/>
        </w:rPr>
        <w:t>em duas</w:t>
      </w:r>
      <w:r>
        <w:rPr>
          <w:rFonts w:ascii="Calibri" w:hAnsi="Calibri"/>
          <w:color w:val="001F60"/>
          <w:spacing w:val="-13"/>
        </w:rPr>
        <w:t xml:space="preserve"> </w:t>
      </w:r>
      <w:r>
        <w:rPr>
          <w:rFonts w:ascii="Calibri" w:hAnsi="Calibri"/>
          <w:color w:val="001F60"/>
        </w:rPr>
        <w:t>dessas</w:t>
      </w:r>
      <w:r>
        <w:rPr>
          <w:rFonts w:ascii="Calibri" w:hAnsi="Calibri"/>
          <w:color w:val="001F60"/>
          <w:spacing w:val="-12"/>
        </w:rPr>
        <w:t xml:space="preserve"> </w:t>
      </w:r>
      <w:r>
        <w:rPr>
          <w:rFonts w:ascii="Calibri" w:hAnsi="Calibri"/>
          <w:color w:val="001F60"/>
        </w:rPr>
        <w:t>dimensões:</w:t>
      </w:r>
      <w:r>
        <w:rPr>
          <w:rFonts w:ascii="Calibri" w:hAnsi="Calibri"/>
          <w:color w:val="001F60"/>
          <w:spacing w:val="-13"/>
        </w:rPr>
        <w:t xml:space="preserve"> </w:t>
      </w:r>
      <w:r>
        <w:rPr>
          <w:rFonts w:ascii="Calibri" w:hAnsi="Calibri"/>
          <w:color w:val="001F60"/>
        </w:rPr>
        <w:t>políticas</w:t>
      </w:r>
      <w:r>
        <w:rPr>
          <w:rFonts w:ascii="Calibri" w:hAnsi="Calibri"/>
          <w:color w:val="001F60"/>
          <w:spacing w:val="-12"/>
        </w:rPr>
        <w:t xml:space="preserve"> </w:t>
      </w:r>
      <w:r>
        <w:rPr>
          <w:rFonts w:ascii="Calibri" w:hAnsi="Calibri"/>
          <w:color w:val="001F60"/>
        </w:rPr>
        <w:t>públicas,</w:t>
      </w:r>
      <w:r>
        <w:rPr>
          <w:rFonts w:ascii="Calibri" w:hAnsi="Calibri"/>
          <w:color w:val="001F60"/>
          <w:spacing w:val="-13"/>
        </w:rPr>
        <w:t xml:space="preserve"> </w:t>
      </w:r>
      <w:r>
        <w:rPr>
          <w:rFonts w:ascii="Calibri" w:hAnsi="Calibri"/>
          <w:color w:val="001F60"/>
        </w:rPr>
        <w:t>com</w:t>
      </w:r>
      <w:r>
        <w:rPr>
          <w:rFonts w:ascii="Calibri" w:hAnsi="Calibri"/>
          <w:color w:val="001F60"/>
          <w:spacing w:val="-12"/>
        </w:rPr>
        <w:t xml:space="preserve"> </w:t>
      </w:r>
      <w:r>
        <w:rPr>
          <w:rFonts w:ascii="Calibri" w:hAnsi="Calibri"/>
          <w:color w:val="001F60"/>
        </w:rPr>
        <w:t>97,27%</w:t>
      </w:r>
      <w:r>
        <w:rPr>
          <w:rFonts w:ascii="Calibri" w:hAnsi="Calibri"/>
          <w:color w:val="001F60"/>
          <w:spacing w:val="-13"/>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atendimento</w:t>
      </w:r>
      <w:r>
        <w:rPr>
          <w:rFonts w:ascii="Calibri" w:hAnsi="Calibri"/>
          <w:color w:val="001F60"/>
          <w:spacing w:val="-12"/>
        </w:rPr>
        <w:t xml:space="preserve"> </w:t>
      </w:r>
      <w:r>
        <w:rPr>
          <w:rFonts w:ascii="Calibri" w:hAnsi="Calibri"/>
          <w:color w:val="001F60"/>
        </w:rPr>
        <w:t>e</w:t>
      </w:r>
      <w:r>
        <w:rPr>
          <w:rFonts w:ascii="Calibri" w:hAnsi="Calibri"/>
          <w:color w:val="001F60"/>
          <w:spacing w:val="-13"/>
        </w:rPr>
        <w:t xml:space="preserve"> </w:t>
      </w:r>
      <w:r>
        <w:rPr>
          <w:rFonts w:ascii="Calibri" w:hAnsi="Calibri"/>
          <w:color w:val="001F60"/>
        </w:rPr>
        <w:t>governança</w:t>
      </w:r>
      <w:r>
        <w:rPr>
          <w:rFonts w:ascii="Calibri" w:hAnsi="Calibri"/>
          <w:color w:val="001F60"/>
          <w:spacing w:val="-12"/>
        </w:rPr>
        <w:t xml:space="preserve"> </w:t>
      </w:r>
      <w:r>
        <w:rPr>
          <w:rFonts w:ascii="Calibri" w:hAnsi="Calibri"/>
          <w:color w:val="001F60"/>
        </w:rPr>
        <w:t>corporativa,</w:t>
      </w:r>
      <w:r>
        <w:rPr>
          <w:rFonts w:ascii="Calibri" w:hAnsi="Calibri"/>
          <w:color w:val="001F60"/>
          <w:spacing w:val="-13"/>
        </w:rPr>
        <w:t xml:space="preserve"> </w:t>
      </w:r>
      <w:r>
        <w:rPr>
          <w:rFonts w:ascii="Calibri" w:hAnsi="Calibri"/>
          <w:color w:val="001F60"/>
        </w:rPr>
        <w:t>com 88,43% de atendimento, posicionando-se entre as empresas com melhor desempenho, acima da média do setor e da média geral das empresas estatais, evidenciando o compromisso e consistência das práticas adotadas.</w:t>
      </w:r>
    </w:p>
    <w:p w14:paraId="6186EE26" w14:textId="77777777" w:rsidR="002C6574" w:rsidRDefault="00000000">
      <w:pPr>
        <w:numPr>
          <w:ilvl w:val="1"/>
          <w:numId w:val="74"/>
        </w:numPr>
        <w:tabs>
          <w:tab w:val="left" w:pos="1275"/>
        </w:tabs>
        <w:spacing w:before="239"/>
        <w:ind w:left="1275" w:hanging="566"/>
        <w:rPr>
          <w:rFonts w:ascii="Calibri" w:hAnsi="Calibri"/>
          <w:b/>
        </w:rPr>
      </w:pPr>
      <w:r>
        <w:rPr>
          <w:rFonts w:ascii="Calibri" w:hAnsi="Calibri"/>
          <w:b/>
          <w:color w:val="001F60"/>
        </w:rPr>
        <w:t>Relações</w:t>
      </w:r>
      <w:r>
        <w:rPr>
          <w:rFonts w:ascii="Calibri" w:hAnsi="Calibri"/>
          <w:b/>
          <w:color w:val="001F60"/>
          <w:spacing w:val="-6"/>
        </w:rPr>
        <w:t xml:space="preserve"> </w:t>
      </w:r>
      <w:r>
        <w:rPr>
          <w:rFonts w:ascii="Calibri" w:hAnsi="Calibri"/>
          <w:b/>
          <w:color w:val="001F60"/>
        </w:rPr>
        <w:t>com</w:t>
      </w:r>
      <w:r>
        <w:rPr>
          <w:rFonts w:ascii="Calibri" w:hAnsi="Calibri"/>
          <w:b/>
          <w:color w:val="001F60"/>
          <w:spacing w:val="-3"/>
        </w:rPr>
        <w:t xml:space="preserve"> </w:t>
      </w:r>
      <w:r>
        <w:rPr>
          <w:rFonts w:ascii="Calibri" w:hAnsi="Calibri"/>
          <w:b/>
          <w:color w:val="001F60"/>
        </w:rPr>
        <w:t>Investidores</w:t>
      </w:r>
      <w:r>
        <w:rPr>
          <w:rFonts w:ascii="Calibri" w:hAnsi="Calibri"/>
          <w:b/>
          <w:color w:val="001F60"/>
          <w:spacing w:val="-5"/>
        </w:rPr>
        <w:t xml:space="preserve"> </w:t>
      </w:r>
      <w:r>
        <w:rPr>
          <w:rFonts w:ascii="Calibri" w:hAnsi="Calibri"/>
          <w:b/>
          <w:color w:val="001F60"/>
        </w:rPr>
        <w:t>e</w:t>
      </w:r>
      <w:r>
        <w:rPr>
          <w:rFonts w:ascii="Calibri" w:hAnsi="Calibri"/>
          <w:b/>
          <w:color w:val="001F60"/>
          <w:spacing w:val="-1"/>
        </w:rPr>
        <w:t xml:space="preserve"> </w:t>
      </w:r>
      <w:r>
        <w:rPr>
          <w:rFonts w:ascii="Calibri" w:hAnsi="Calibri"/>
          <w:b/>
          <w:color w:val="001F60"/>
          <w:spacing w:val="-2"/>
        </w:rPr>
        <w:t>Mercado</w:t>
      </w:r>
    </w:p>
    <w:p w14:paraId="106B1115" w14:textId="77777777" w:rsidR="002C6574" w:rsidRDefault="002C6574">
      <w:pPr>
        <w:pStyle w:val="Corpodetexto"/>
        <w:spacing w:before="13"/>
        <w:rPr>
          <w:rFonts w:ascii="Calibri"/>
          <w:b/>
        </w:rPr>
      </w:pPr>
    </w:p>
    <w:p w14:paraId="767B0DF8" w14:textId="77777777" w:rsidR="002C6574" w:rsidRDefault="00000000">
      <w:pPr>
        <w:pStyle w:val="Corpodetexto"/>
        <w:ind w:left="709" w:right="278"/>
        <w:jc w:val="both"/>
        <w:rPr>
          <w:rFonts w:ascii="Calibri" w:hAnsi="Calibri"/>
        </w:rPr>
      </w:pPr>
      <w:r>
        <w:rPr>
          <w:rFonts w:ascii="Calibri" w:hAnsi="Calibri"/>
          <w:color w:val="082A75"/>
        </w:rPr>
        <w:t>Em</w:t>
      </w:r>
      <w:r>
        <w:rPr>
          <w:rFonts w:ascii="Calibri" w:hAnsi="Calibri"/>
          <w:color w:val="082A75"/>
          <w:spacing w:val="-6"/>
        </w:rPr>
        <w:t xml:space="preserve"> </w:t>
      </w:r>
      <w:r>
        <w:rPr>
          <w:rFonts w:ascii="Calibri" w:hAnsi="Calibri"/>
          <w:color w:val="082A75"/>
        </w:rPr>
        <w:t>2025,</w:t>
      </w:r>
      <w:r>
        <w:rPr>
          <w:rFonts w:ascii="Calibri" w:hAnsi="Calibri"/>
          <w:color w:val="082A75"/>
          <w:spacing w:val="-6"/>
        </w:rPr>
        <w:t xml:space="preserve"> </w:t>
      </w:r>
      <w:r>
        <w:rPr>
          <w:rFonts w:ascii="Calibri" w:hAnsi="Calibri"/>
          <w:color w:val="082A75"/>
        </w:rPr>
        <w:t>a</w:t>
      </w:r>
      <w:r>
        <w:rPr>
          <w:rFonts w:ascii="Calibri" w:hAnsi="Calibri"/>
          <w:color w:val="082A75"/>
          <w:spacing w:val="-8"/>
        </w:rPr>
        <w:t xml:space="preserve"> </w:t>
      </w:r>
      <w:r>
        <w:rPr>
          <w:rFonts w:ascii="Calibri" w:hAnsi="Calibri"/>
          <w:color w:val="082A75"/>
        </w:rPr>
        <w:t>Telebras</w:t>
      </w:r>
      <w:r>
        <w:rPr>
          <w:rFonts w:ascii="Calibri" w:hAnsi="Calibri"/>
          <w:color w:val="082A75"/>
          <w:spacing w:val="-6"/>
        </w:rPr>
        <w:t xml:space="preserve"> </w:t>
      </w:r>
      <w:r>
        <w:rPr>
          <w:rFonts w:ascii="Calibri" w:hAnsi="Calibri"/>
          <w:color w:val="082A75"/>
        </w:rPr>
        <w:t>registrou</w:t>
      </w:r>
      <w:r>
        <w:rPr>
          <w:rFonts w:ascii="Calibri" w:hAnsi="Calibri"/>
          <w:color w:val="082A75"/>
          <w:spacing w:val="-5"/>
        </w:rPr>
        <w:t xml:space="preserve"> </w:t>
      </w:r>
      <w:r>
        <w:rPr>
          <w:rFonts w:ascii="Calibri" w:hAnsi="Calibri"/>
          <w:color w:val="082A75"/>
        </w:rPr>
        <w:t>alterações</w:t>
      </w:r>
      <w:r>
        <w:rPr>
          <w:rFonts w:ascii="Calibri" w:hAnsi="Calibri"/>
          <w:color w:val="082A75"/>
          <w:spacing w:val="-6"/>
        </w:rPr>
        <w:t xml:space="preserve"> </w:t>
      </w:r>
      <w:r>
        <w:rPr>
          <w:rFonts w:ascii="Calibri" w:hAnsi="Calibri"/>
          <w:color w:val="082A75"/>
        </w:rPr>
        <w:t>em</w:t>
      </w:r>
      <w:r>
        <w:rPr>
          <w:rFonts w:ascii="Calibri" w:hAnsi="Calibri"/>
          <w:color w:val="082A75"/>
          <w:spacing w:val="-6"/>
        </w:rPr>
        <w:t xml:space="preserve"> </w:t>
      </w:r>
      <w:r>
        <w:rPr>
          <w:rFonts w:ascii="Calibri" w:hAnsi="Calibri"/>
          <w:color w:val="082A75"/>
        </w:rPr>
        <w:t>sua</w:t>
      </w:r>
      <w:r>
        <w:rPr>
          <w:rFonts w:ascii="Calibri" w:hAnsi="Calibri"/>
          <w:color w:val="082A75"/>
          <w:spacing w:val="-6"/>
        </w:rPr>
        <w:t xml:space="preserve"> </w:t>
      </w:r>
      <w:r>
        <w:rPr>
          <w:rFonts w:ascii="Calibri" w:hAnsi="Calibri"/>
          <w:color w:val="082A75"/>
        </w:rPr>
        <w:t>estrutura</w:t>
      </w:r>
      <w:r>
        <w:rPr>
          <w:rFonts w:ascii="Calibri" w:hAnsi="Calibri"/>
          <w:color w:val="082A75"/>
          <w:spacing w:val="-5"/>
        </w:rPr>
        <w:t xml:space="preserve"> </w:t>
      </w:r>
      <w:r>
        <w:rPr>
          <w:rFonts w:ascii="Calibri" w:hAnsi="Calibri"/>
          <w:color w:val="082A75"/>
        </w:rPr>
        <w:t>acionária</w:t>
      </w:r>
      <w:r>
        <w:rPr>
          <w:rFonts w:ascii="Calibri" w:hAnsi="Calibri"/>
          <w:color w:val="082A75"/>
          <w:spacing w:val="-6"/>
        </w:rPr>
        <w:t xml:space="preserve"> </w:t>
      </w:r>
      <w:r>
        <w:rPr>
          <w:rFonts w:ascii="Calibri" w:hAnsi="Calibri"/>
          <w:color w:val="082A75"/>
        </w:rPr>
        <w:t>decorrentes</w:t>
      </w:r>
      <w:r>
        <w:rPr>
          <w:rFonts w:ascii="Calibri" w:hAnsi="Calibri"/>
          <w:color w:val="082A75"/>
          <w:spacing w:val="-8"/>
        </w:rPr>
        <w:t xml:space="preserve"> </w:t>
      </w:r>
      <w:r>
        <w:rPr>
          <w:rFonts w:ascii="Calibri" w:hAnsi="Calibri"/>
          <w:color w:val="082A75"/>
        </w:rPr>
        <w:t>de</w:t>
      </w:r>
      <w:r>
        <w:rPr>
          <w:rFonts w:ascii="Calibri" w:hAnsi="Calibri"/>
          <w:color w:val="082A75"/>
          <w:spacing w:val="-5"/>
        </w:rPr>
        <w:t xml:space="preserve"> </w:t>
      </w:r>
      <w:r>
        <w:rPr>
          <w:rFonts w:ascii="Calibri" w:hAnsi="Calibri"/>
          <w:color w:val="082A75"/>
        </w:rPr>
        <w:t>dois</w:t>
      </w:r>
      <w:r>
        <w:rPr>
          <w:rFonts w:ascii="Calibri" w:hAnsi="Calibri"/>
          <w:color w:val="082A75"/>
          <w:spacing w:val="-5"/>
        </w:rPr>
        <w:t xml:space="preserve"> </w:t>
      </w:r>
      <w:r>
        <w:rPr>
          <w:rFonts w:ascii="Calibri" w:hAnsi="Calibri"/>
          <w:color w:val="082A75"/>
        </w:rPr>
        <w:t>aumentos</w:t>
      </w:r>
      <w:r>
        <w:rPr>
          <w:rFonts w:ascii="Calibri" w:hAnsi="Calibri"/>
          <w:color w:val="082A75"/>
          <w:spacing w:val="-6"/>
        </w:rPr>
        <w:t xml:space="preserve"> </w:t>
      </w:r>
      <w:r>
        <w:rPr>
          <w:rFonts w:ascii="Calibri" w:hAnsi="Calibri"/>
          <w:color w:val="082A75"/>
        </w:rPr>
        <w:t>de capital,</w:t>
      </w:r>
      <w:r>
        <w:rPr>
          <w:rFonts w:ascii="Calibri" w:hAnsi="Calibri"/>
          <w:color w:val="082A75"/>
          <w:spacing w:val="-8"/>
        </w:rPr>
        <w:t xml:space="preserve"> </w:t>
      </w:r>
      <w:r>
        <w:rPr>
          <w:rFonts w:ascii="Calibri" w:hAnsi="Calibri"/>
          <w:color w:val="082A75"/>
        </w:rPr>
        <w:t>resultando</w:t>
      </w:r>
      <w:r>
        <w:rPr>
          <w:rFonts w:ascii="Calibri" w:hAnsi="Calibri"/>
          <w:color w:val="082A75"/>
          <w:spacing w:val="-7"/>
        </w:rPr>
        <w:t xml:space="preserve"> </w:t>
      </w:r>
      <w:r>
        <w:rPr>
          <w:rFonts w:ascii="Calibri" w:hAnsi="Calibri"/>
          <w:color w:val="082A75"/>
        </w:rPr>
        <w:t>em</w:t>
      </w:r>
      <w:r>
        <w:rPr>
          <w:rFonts w:ascii="Calibri" w:hAnsi="Calibri"/>
          <w:color w:val="082A75"/>
          <w:spacing w:val="-6"/>
        </w:rPr>
        <w:t xml:space="preserve"> </w:t>
      </w:r>
      <w:r>
        <w:rPr>
          <w:rFonts w:ascii="Calibri" w:hAnsi="Calibri"/>
          <w:color w:val="082A75"/>
        </w:rPr>
        <w:t>um</w:t>
      </w:r>
      <w:r>
        <w:rPr>
          <w:rFonts w:ascii="Calibri" w:hAnsi="Calibri"/>
          <w:color w:val="082A75"/>
          <w:spacing w:val="-8"/>
        </w:rPr>
        <w:t xml:space="preserve"> </w:t>
      </w:r>
      <w:r>
        <w:rPr>
          <w:rFonts w:ascii="Calibri" w:hAnsi="Calibri"/>
          <w:color w:val="082A75"/>
        </w:rPr>
        <w:t>total</w:t>
      </w:r>
      <w:r>
        <w:rPr>
          <w:rFonts w:ascii="Calibri" w:hAnsi="Calibri"/>
          <w:color w:val="082A75"/>
          <w:spacing w:val="-8"/>
        </w:rPr>
        <w:t xml:space="preserve"> </w:t>
      </w:r>
      <w:r>
        <w:rPr>
          <w:rFonts w:ascii="Calibri" w:hAnsi="Calibri"/>
          <w:color w:val="082A75"/>
        </w:rPr>
        <w:t>de</w:t>
      </w:r>
      <w:r>
        <w:rPr>
          <w:rFonts w:ascii="Calibri" w:hAnsi="Calibri"/>
          <w:color w:val="082A75"/>
          <w:spacing w:val="-6"/>
        </w:rPr>
        <w:t xml:space="preserve"> </w:t>
      </w:r>
      <w:r>
        <w:rPr>
          <w:rFonts w:ascii="Calibri" w:hAnsi="Calibri"/>
          <w:color w:val="082A75"/>
        </w:rPr>
        <w:t>101.983.403</w:t>
      </w:r>
      <w:r>
        <w:rPr>
          <w:rFonts w:ascii="Calibri" w:hAnsi="Calibri"/>
          <w:color w:val="082A75"/>
          <w:spacing w:val="-6"/>
        </w:rPr>
        <w:t xml:space="preserve"> </w:t>
      </w:r>
      <w:r>
        <w:rPr>
          <w:rFonts w:ascii="Calibri" w:hAnsi="Calibri"/>
          <w:color w:val="082A75"/>
        </w:rPr>
        <w:t>ações,</w:t>
      </w:r>
      <w:r>
        <w:rPr>
          <w:rFonts w:ascii="Calibri" w:hAnsi="Calibri"/>
          <w:color w:val="082A75"/>
          <w:spacing w:val="-10"/>
        </w:rPr>
        <w:t xml:space="preserve"> </w:t>
      </w:r>
      <w:r>
        <w:rPr>
          <w:rFonts w:ascii="Calibri" w:hAnsi="Calibri"/>
          <w:color w:val="082A75"/>
        </w:rPr>
        <w:t>dos</w:t>
      </w:r>
      <w:r>
        <w:rPr>
          <w:rFonts w:ascii="Calibri" w:hAnsi="Calibri"/>
          <w:color w:val="082A75"/>
          <w:spacing w:val="-6"/>
        </w:rPr>
        <w:t xml:space="preserve"> </w:t>
      </w:r>
      <w:r>
        <w:rPr>
          <w:rFonts w:ascii="Calibri" w:hAnsi="Calibri"/>
          <w:color w:val="082A75"/>
        </w:rPr>
        <w:t>quais</w:t>
      </w:r>
      <w:r>
        <w:rPr>
          <w:rFonts w:ascii="Calibri" w:hAnsi="Calibri"/>
          <w:color w:val="082A75"/>
          <w:spacing w:val="-10"/>
        </w:rPr>
        <w:t xml:space="preserve"> </w:t>
      </w:r>
      <w:r>
        <w:rPr>
          <w:rFonts w:ascii="Calibri" w:hAnsi="Calibri"/>
          <w:color w:val="082A75"/>
        </w:rPr>
        <w:t>83.575.912</w:t>
      </w:r>
      <w:r>
        <w:rPr>
          <w:rFonts w:ascii="Calibri" w:hAnsi="Calibri"/>
          <w:color w:val="082A75"/>
          <w:spacing w:val="-8"/>
        </w:rPr>
        <w:t xml:space="preserve"> </w:t>
      </w:r>
      <w:r>
        <w:rPr>
          <w:rFonts w:ascii="Calibri" w:hAnsi="Calibri"/>
          <w:color w:val="082A75"/>
        </w:rPr>
        <w:t>são</w:t>
      </w:r>
      <w:r>
        <w:rPr>
          <w:rFonts w:ascii="Calibri" w:hAnsi="Calibri"/>
          <w:color w:val="082A75"/>
          <w:spacing w:val="-7"/>
        </w:rPr>
        <w:t xml:space="preserve"> </w:t>
      </w:r>
      <w:r>
        <w:rPr>
          <w:rFonts w:ascii="Calibri" w:hAnsi="Calibri"/>
          <w:color w:val="082A75"/>
        </w:rPr>
        <w:t>ações</w:t>
      </w:r>
      <w:r>
        <w:rPr>
          <w:rFonts w:ascii="Calibri" w:hAnsi="Calibri"/>
          <w:color w:val="082A75"/>
          <w:spacing w:val="-8"/>
        </w:rPr>
        <w:t xml:space="preserve"> </w:t>
      </w:r>
      <w:r>
        <w:rPr>
          <w:rFonts w:ascii="Calibri" w:hAnsi="Calibri"/>
          <w:color w:val="082A75"/>
        </w:rPr>
        <w:t>ordinárias</w:t>
      </w:r>
      <w:r>
        <w:rPr>
          <w:rFonts w:ascii="Calibri" w:hAnsi="Calibri"/>
          <w:color w:val="082A75"/>
          <w:spacing w:val="-8"/>
        </w:rPr>
        <w:t xml:space="preserve"> </w:t>
      </w:r>
      <w:r>
        <w:rPr>
          <w:rFonts w:ascii="Calibri" w:hAnsi="Calibri"/>
          <w:color w:val="082A75"/>
        </w:rPr>
        <w:t>(ON) e 18.407.491 ações preferenciais (PN).</w:t>
      </w:r>
    </w:p>
    <w:p w14:paraId="69D3DDE6" w14:textId="77777777" w:rsidR="002C6574" w:rsidRDefault="00000000">
      <w:pPr>
        <w:pStyle w:val="Corpodetexto"/>
        <w:spacing w:before="118"/>
        <w:ind w:left="709" w:right="276"/>
        <w:jc w:val="both"/>
        <w:rPr>
          <w:rFonts w:ascii="Calibri" w:hAnsi="Calibri"/>
        </w:rPr>
      </w:pPr>
      <w:r>
        <w:rPr>
          <w:rFonts w:ascii="Calibri" w:hAnsi="Calibri"/>
          <w:color w:val="082A75"/>
        </w:rPr>
        <w:t>O quadro a seguir apresenta os principais investidores da Companhia, enquanto o organograma societário fornece uma visão consolidada da estrutura organizacional e da distribuição acionária.</w:t>
      </w:r>
    </w:p>
    <w:p w14:paraId="7FF4B5AA" w14:textId="77777777" w:rsidR="002C6574" w:rsidRDefault="00000000">
      <w:pPr>
        <w:spacing w:before="151" w:after="12"/>
        <w:ind w:left="745"/>
        <w:jc w:val="both"/>
        <w:rPr>
          <w:rFonts w:ascii="Trebuchet MS"/>
          <w:b/>
          <w:sz w:val="17"/>
        </w:rPr>
      </w:pPr>
      <w:r>
        <w:rPr>
          <w:rFonts w:ascii="Trebuchet MS"/>
          <w:b/>
          <w:color w:val="001F60"/>
          <w:w w:val="90"/>
          <w:sz w:val="17"/>
        </w:rPr>
        <w:t>Principais</w:t>
      </w:r>
      <w:r>
        <w:rPr>
          <w:rFonts w:ascii="Trebuchet MS"/>
          <w:b/>
          <w:color w:val="001F60"/>
          <w:spacing w:val="-3"/>
          <w:sz w:val="17"/>
        </w:rPr>
        <w:t xml:space="preserve"> </w:t>
      </w:r>
      <w:r>
        <w:rPr>
          <w:rFonts w:ascii="Trebuchet MS"/>
          <w:b/>
          <w:color w:val="001F60"/>
          <w:spacing w:val="-2"/>
          <w:sz w:val="17"/>
        </w:rPr>
        <w:t>investidores</w:t>
      </w:r>
    </w:p>
    <w:tbl>
      <w:tblPr>
        <w:tblStyle w:val="TableNormal"/>
        <w:tblW w:w="0" w:type="auto"/>
        <w:tblInd w:w="717" w:type="dxa"/>
        <w:tblLayout w:type="fixed"/>
        <w:tblLook w:val="01E0" w:firstRow="1" w:lastRow="1" w:firstColumn="1" w:lastColumn="1" w:noHBand="0" w:noVBand="0"/>
      </w:tblPr>
      <w:tblGrid>
        <w:gridCol w:w="3412"/>
        <w:gridCol w:w="1230"/>
        <w:gridCol w:w="938"/>
        <w:gridCol w:w="865"/>
        <w:gridCol w:w="845"/>
        <w:gridCol w:w="965"/>
        <w:gridCol w:w="817"/>
      </w:tblGrid>
      <w:tr w:rsidR="002C6574" w14:paraId="4B826BAA" w14:textId="77777777">
        <w:trPr>
          <w:trHeight w:val="214"/>
        </w:trPr>
        <w:tc>
          <w:tcPr>
            <w:tcW w:w="3412" w:type="dxa"/>
            <w:tcBorders>
              <w:top w:val="single" w:sz="8" w:space="0" w:color="000000"/>
              <w:bottom w:val="single" w:sz="6" w:space="0" w:color="000000"/>
            </w:tcBorders>
          </w:tcPr>
          <w:p w14:paraId="69EA3749" w14:textId="77777777" w:rsidR="002C6574" w:rsidRDefault="00000000">
            <w:pPr>
              <w:pStyle w:val="TableParagraph"/>
              <w:spacing w:before="14" w:line="180" w:lineRule="exact"/>
              <w:ind w:left="36"/>
              <w:jc w:val="left"/>
              <w:rPr>
                <w:rFonts w:ascii="Trebuchet MS"/>
                <w:b/>
                <w:sz w:val="17"/>
              </w:rPr>
            </w:pPr>
            <w:r>
              <w:rPr>
                <w:rFonts w:ascii="Trebuchet MS"/>
                <w:b/>
                <w:color w:val="001F60"/>
                <w:spacing w:val="-2"/>
                <w:sz w:val="17"/>
              </w:rPr>
              <w:t>Acionista</w:t>
            </w:r>
          </w:p>
        </w:tc>
        <w:tc>
          <w:tcPr>
            <w:tcW w:w="1230" w:type="dxa"/>
            <w:tcBorders>
              <w:top w:val="single" w:sz="8" w:space="0" w:color="000000"/>
              <w:bottom w:val="single" w:sz="6" w:space="0" w:color="000000"/>
            </w:tcBorders>
          </w:tcPr>
          <w:p w14:paraId="5957E786" w14:textId="77777777" w:rsidR="002C6574" w:rsidRDefault="00000000">
            <w:pPr>
              <w:pStyle w:val="TableParagraph"/>
              <w:spacing w:before="14" w:line="180" w:lineRule="exact"/>
              <w:ind w:right="95"/>
              <w:rPr>
                <w:rFonts w:ascii="Trebuchet MS" w:hAnsi="Trebuchet MS"/>
                <w:b/>
                <w:sz w:val="17"/>
              </w:rPr>
            </w:pPr>
            <w:r>
              <w:rPr>
                <w:rFonts w:ascii="Trebuchet MS" w:hAnsi="Trebuchet MS"/>
                <w:b/>
                <w:color w:val="001F60"/>
                <w:spacing w:val="-5"/>
                <w:sz w:val="17"/>
              </w:rPr>
              <w:t>ON</w:t>
            </w:r>
            <w:r>
              <w:rPr>
                <w:rFonts w:ascii="Trebuchet MS" w:hAnsi="Trebuchet MS"/>
                <w:b/>
                <w:color w:val="001F60"/>
                <w:spacing w:val="-12"/>
                <w:sz w:val="17"/>
              </w:rPr>
              <w:t xml:space="preserve"> </w:t>
            </w:r>
            <w:r>
              <w:rPr>
                <w:rFonts w:ascii="Trebuchet MS" w:hAnsi="Trebuchet MS"/>
                <w:b/>
                <w:color w:val="001F60"/>
                <w:spacing w:val="-2"/>
                <w:sz w:val="17"/>
              </w:rPr>
              <w:t>Ações</w:t>
            </w:r>
          </w:p>
        </w:tc>
        <w:tc>
          <w:tcPr>
            <w:tcW w:w="938" w:type="dxa"/>
            <w:tcBorders>
              <w:top w:val="single" w:sz="8" w:space="0" w:color="000000"/>
              <w:bottom w:val="single" w:sz="6" w:space="0" w:color="000000"/>
            </w:tcBorders>
          </w:tcPr>
          <w:p w14:paraId="1C59F120" w14:textId="77777777" w:rsidR="002C6574" w:rsidRDefault="00000000">
            <w:pPr>
              <w:pStyle w:val="TableParagraph"/>
              <w:spacing w:before="14" w:line="180" w:lineRule="exact"/>
              <w:ind w:right="37"/>
              <w:jc w:val="center"/>
              <w:rPr>
                <w:rFonts w:ascii="Trebuchet MS"/>
                <w:b/>
                <w:sz w:val="17"/>
              </w:rPr>
            </w:pPr>
            <w:r>
              <w:rPr>
                <w:rFonts w:ascii="Trebuchet MS"/>
                <w:b/>
                <w:color w:val="001F60"/>
                <w:w w:val="105"/>
                <w:sz w:val="17"/>
              </w:rPr>
              <w:t>%</w:t>
            </w:r>
            <w:r>
              <w:rPr>
                <w:rFonts w:ascii="Trebuchet MS"/>
                <w:b/>
                <w:color w:val="001F60"/>
                <w:spacing w:val="-14"/>
                <w:w w:val="105"/>
                <w:sz w:val="17"/>
              </w:rPr>
              <w:t xml:space="preserve"> </w:t>
            </w:r>
            <w:r>
              <w:rPr>
                <w:rFonts w:ascii="Trebuchet MS"/>
                <w:b/>
                <w:color w:val="001F60"/>
                <w:spacing w:val="-5"/>
                <w:w w:val="105"/>
                <w:sz w:val="17"/>
              </w:rPr>
              <w:t>ON</w:t>
            </w:r>
          </w:p>
        </w:tc>
        <w:tc>
          <w:tcPr>
            <w:tcW w:w="865" w:type="dxa"/>
            <w:tcBorders>
              <w:top w:val="single" w:sz="8" w:space="0" w:color="000000"/>
              <w:bottom w:val="single" w:sz="6" w:space="0" w:color="000000"/>
            </w:tcBorders>
          </w:tcPr>
          <w:p w14:paraId="41840C40" w14:textId="77777777" w:rsidR="002C6574" w:rsidRDefault="00000000">
            <w:pPr>
              <w:pStyle w:val="TableParagraph"/>
              <w:spacing w:before="14" w:line="180" w:lineRule="exact"/>
              <w:ind w:right="96"/>
              <w:rPr>
                <w:rFonts w:ascii="Trebuchet MS" w:hAnsi="Trebuchet MS"/>
                <w:b/>
                <w:sz w:val="17"/>
              </w:rPr>
            </w:pPr>
            <w:r>
              <w:rPr>
                <w:rFonts w:ascii="Trebuchet MS" w:hAnsi="Trebuchet MS"/>
                <w:b/>
                <w:color w:val="001F60"/>
                <w:spacing w:val="-7"/>
                <w:sz w:val="17"/>
              </w:rPr>
              <w:t>PN</w:t>
            </w:r>
            <w:r>
              <w:rPr>
                <w:rFonts w:ascii="Trebuchet MS" w:hAnsi="Trebuchet MS"/>
                <w:b/>
                <w:color w:val="001F60"/>
                <w:spacing w:val="-11"/>
                <w:sz w:val="17"/>
              </w:rPr>
              <w:t xml:space="preserve"> </w:t>
            </w:r>
            <w:r>
              <w:rPr>
                <w:rFonts w:ascii="Trebuchet MS" w:hAnsi="Trebuchet MS"/>
                <w:b/>
                <w:color w:val="001F60"/>
                <w:spacing w:val="-2"/>
                <w:sz w:val="17"/>
              </w:rPr>
              <w:t>Ações</w:t>
            </w:r>
          </w:p>
        </w:tc>
        <w:tc>
          <w:tcPr>
            <w:tcW w:w="845" w:type="dxa"/>
            <w:tcBorders>
              <w:top w:val="single" w:sz="8" w:space="0" w:color="000000"/>
              <w:bottom w:val="single" w:sz="6" w:space="0" w:color="000000"/>
            </w:tcBorders>
          </w:tcPr>
          <w:p w14:paraId="01D6D2DD" w14:textId="77777777" w:rsidR="002C6574" w:rsidRDefault="00000000">
            <w:pPr>
              <w:pStyle w:val="TableParagraph"/>
              <w:spacing w:before="14" w:line="180" w:lineRule="exact"/>
              <w:ind w:left="5"/>
              <w:jc w:val="center"/>
              <w:rPr>
                <w:rFonts w:ascii="Trebuchet MS"/>
                <w:b/>
                <w:sz w:val="17"/>
              </w:rPr>
            </w:pPr>
            <w:r>
              <w:rPr>
                <w:rFonts w:ascii="Trebuchet MS"/>
                <w:b/>
                <w:color w:val="001F60"/>
                <w:w w:val="105"/>
                <w:sz w:val="17"/>
              </w:rPr>
              <w:t>%</w:t>
            </w:r>
            <w:r>
              <w:rPr>
                <w:rFonts w:ascii="Trebuchet MS"/>
                <w:b/>
                <w:color w:val="001F60"/>
                <w:spacing w:val="-16"/>
                <w:w w:val="105"/>
                <w:sz w:val="17"/>
              </w:rPr>
              <w:t xml:space="preserve"> </w:t>
            </w:r>
            <w:r>
              <w:rPr>
                <w:rFonts w:ascii="Trebuchet MS"/>
                <w:b/>
                <w:color w:val="001F60"/>
                <w:spacing w:val="-5"/>
                <w:w w:val="105"/>
                <w:sz w:val="17"/>
              </w:rPr>
              <w:t>PN</w:t>
            </w:r>
          </w:p>
        </w:tc>
        <w:tc>
          <w:tcPr>
            <w:tcW w:w="965" w:type="dxa"/>
            <w:tcBorders>
              <w:top w:val="single" w:sz="8" w:space="0" w:color="000000"/>
              <w:bottom w:val="single" w:sz="6" w:space="0" w:color="000000"/>
            </w:tcBorders>
          </w:tcPr>
          <w:p w14:paraId="29641312" w14:textId="77777777" w:rsidR="002C6574" w:rsidRDefault="00000000">
            <w:pPr>
              <w:pStyle w:val="TableParagraph"/>
              <w:spacing w:before="14" w:line="180" w:lineRule="exact"/>
              <w:ind w:right="68"/>
              <w:rPr>
                <w:rFonts w:ascii="Trebuchet MS" w:hAnsi="Trebuchet MS"/>
                <w:b/>
                <w:sz w:val="17"/>
              </w:rPr>
            </w:pPr>
            <w:r>
              <w:rPr>
                <w:rFonts w:ascii="Trebuchet MS" w:hAnsi="Trebuchet MS"/>
                <w:b/>
                <w:color w:val="001F60"/>
                <w:w w:val="85"/>
                <w:sz w:val="17"/>
              </w:rPr>
              <w:t>Total</w:t>
            </w:r>
            <w:r>
              <w:rPr>
                <w:rFonts w:ascii="Trebuchet MS" w:hAnsi="Trebuchet MS"/>
                <w:b/>
                <w:color w:val="001F60"/>
                <w:spacing w:val="-8"/>
                <w:sz w:val="17"/>
              </w:rPr>
              <w:t xml:space="preserve"> </w:t>
            </w:r>
            <w:r>
              <w:rPr>
                <w:rFonts w:ascii="Trebuchet MS" w:hAnsi="Trebuchet MS"/>
                <w:b/>
                <w:color w:val="001F60"/>
                <w:spacing w:val="-2"/>
                <w:sz w:val="17"/>
              </w:rPr>
              <w:t>Ações</w:t>
            </w:r>
          </w:p>
        </w:tc>
        <w:tc>
          <w:tcPr>
            <w:tcW w:w="817" w:type="dxa"/>
            <w:tcBorders>
              <w:top w:val="single" w:sz="8" w:space="0" w:color="000000"/>
              <w:bottom w:val="single" w:sz="6" w:space="0" w:color="000000"/>
            </w:tcBorders>
          </w:tcPr>
          <w:p w14:paraId="7F3C6883" w14:textId="77777777" w:rsidR="002C6574" w:rsidRDefault="00000000">
            <w:pPr>
              <w:pStyle w:val="TableParagraph"/>
              <w:spacing w:before="14" w:line="180" w:lineRule="exact"/>
              <w:ind w:left="2" w:right="11"/>
              <w:jc w:val="center"/>
              <w:rPr>
                <w:rFonts w:ascii="Trebuchet MS"/>
                <w:b/>
                <w:sz w:val="17"/>
              </w:rPr>
            </w:pPr>
            <w:r>
              <w:rPr>
                <w:rFonts w:ascii="Trebuchet MS"/>
                <w:b/>
                <w:color w:val="001F60"/>
                <w:sz w:val="17"/>
              </w:rPr>
              <w:t>%</w:t>
            </w:r>
            <w:r>
              <w:rPr>
                <w:rFonts w:ascii="Trebuchet MS"/>
                <w:b/>
                <w:color w:val="001F60"/>
                <w:spacing w:val="-8"/>
                <w:sz w:val="17"/>
              </w:rPr>
              <w:t xml:space="preserve"> </w:t>
            </w:r>
            <w:r>
              <w:rPr>
                <w:rFonts w:ascii="Trebuchet MS"/>
                <w:b/>
                <w:color w:val="001F60"/>
                <w:spacing w:val="-2"/>
                <w:sz w:val="17"/>
              </w:rPr>
              <w:t>Total</w:t>
            </w:r>
          </w:p>
        </w:tc>
      </w:tr>
      <w:tr w:rsidR="002C6574" w14:paraId="31F8060A" w14:textId="77777777">
        <w:trPr>
          <w:trHeight w:val="234"/>
        </w:trPr>
        <w:tc>
          <w:tcPr>
            <w:tcW w:w="3412" w:type="dxa"/>
            <w:tcBorders>
              <w:top w:val="single" w:sz="6" w:space="0" w:color="000000"/>
            </w:tcBorders>
          </w:tcPr>
          <w:p w14:paraId="65693F2F" w14:textId="77777777" w:rsidR="002C6574" w:rsidRDefault="00000000">
            <w:pPr>
              <w:pStyle w:val="TableParagraph"/>
              <w:spacing w:before="22"/>
              <w:ind w:left="36"/>
              <w:jc w:val="left"/>
              <w:rPr>
                <w:rFonts w:ascii="Trebuchet MS"/>
                <w:sz w:val="15"/>
              </w:rPr>
            </w:pPr>
            <w:r>
              <w:rPr>
                <w:rFonts w:ascii="Trebuchet MS"/>
                <w:color w:val="001F60"/>
                <w:spacing w:val="-7"/>
                <w:sz w:val="15"/>
              </w:rPr>
              <w:t>UNIAO</w:t>
            </w:r>
            <w:r>
              <w:rPr>
                <w:rFonts w:ascii="Trebuchet MS"/>
                <w:color w:val="001F60"/>
                <w:spacing w:val="-11"/>
                <w:sz w:val="15"/>
              </w:rPr>
              <w:t xml:space="preserve"> </w:t>
            </w:r>
            <w:r>
              <w:rPr>
                <w:rFonts w:ascii="Trebuchet MS"/>
                <w:color w:val="001F60"/>
                <w:spacing w:val="-2"/>
                <w:sz w:val="15"/>
              </w:rPr>
              <w:t>FEDERAL</w:t>
            </w:r>
          </w:p>
        </w:tc>
        <w:tc>
          <w:tcPr>
            <w:tcW w:w="1230" w:type="dxa"/>
            <w:tcBorders>
              <w:top w:val="single" w:sz="6" w:space="0" w:color="000000"/>
            </w:tcBorders>
          </w:tcPr>
          <w:p w14:paraId="11A9D388" w14:textId="77777777" w:rsidR="002C6574" w:rsidRDefault="00000000">
            <w:pPr>
              <w:pStyle w:val="TableParagraph"/>
              <w:spacing w:before="34"/>
              <w:ind w:right="75"/>
              <w:rPr>
                <w:rFonts w:ascii="Trebuchet MS"/>
                <w:sz w:val="15"/>
              </w:rPr>
            </w:pPr>
            <w:r>
              <w:rPr>
                <w:rFonts w:ascii="Trebuchet MS"/>
                <w:color w:val="001F60"/>
                <w:spacing w:val="-2"/>
                <w:sz w:val="15"/>
              </w:rPr>
              <w:t>69.551.828</w:t>
            </w:r>
          </w:p>
        </w:tc>
        <w:tc>
          <w:tcPr>
            <w:tcW w:w="938" w:type="dxa"/>
            <w:tcBorders>
              <w:top w:val="single" w:sz="6" w:space="0" w:color="000000"/>
            </w:tcBorders>
          </w:tcPr>
          <w:p w14:paraId="3B24B9A2" w14:textId="77777777" w:rsidR="002C6574" w:rsidRDefault="00000000">
            <w:pPr>
              <w:pStyle w:val="TableParagraph"/>
              <w:spacing w:before="34"/>
              <w:ind w:left="3" w:right="37"/>
              <w:jc w:val="center"/>
              <w:rPr>
                <w:rFonts w:ascii="Trebuchet MS"/>
                <w:sz w:val="15"/>
              </w:rPr>
            </w:pPr>
            <w:r>
              <w:rPr>
                <w:rFonts w:ascii="Trebuchet MS"/>
                <w:color w:val="001F60"/>
                <w:spacing w:val="-2"/>
                <w:sz w:val="15"/>
              </w:rPr>
              <w:t>83,21995%</w:t>
            </w:r>
          </w:p>
        </w:tc>
        <w:tc>
          <w:tcPr>
            <w:tcW w:w="865" w:type="dxa"/>
            <w:tcBorders>
              <w:top w:val="single" w:sz="6" w:space="0" w:color="000000"/>
            </w:tcBorders>
          </w:tcPr>
          <w:p w14:paraId="0AF262A8" w14:textId="77777777" w:rsidR="002C6574" w:rsidRDefault="00000000">
            <w:pPr>
              <w:pStyle w:val="TableParagraph"/>
              <w:spacing w:before="34"/>
              <w:ind w:right="64"/>
              <w:rPr>
                <w:rFonts w:ascii="Trebuchet MS"/>
                <w:sz w:val="15"/>
              </w:rPr>
            </w:pPr>
            <w:r>
              <w:rPr>
                <w:rFonts w:ascii="Trebuchet MS"/>
                <w:color w:val="001F60"/>
                <w:spacing w:val="-2"/>
                <w:sz w:val="15"/>
              </w:rPr>
              <w:t>13.820.477</w:t>
            </w:r>
          </w:p>
        </w:tc>
        <w:tc>
          <w:tcPr>
            <w:tcW w:w="845" w:type="dxa"/>
            <w:tcBorders>
              <w:top w:val="single" w:sz="6" w:space="0" w:color="000000"/>
            </w:tcBorders>
          </w:tcPr>
          <w:p w14:paraId="0FBF829A" w14:textId="77777777" w:rsidR="002C6574" w:rsidRDefault="00000000">
            <w:pPr>
              <w:pStyle w:val="TableParagraph"/>
              <w:spacing w:before="34"/>
              <w:jc w:val="center"/>
              <w:rPr>
                <w:rFonts w:ascii="Trebuchet MS"/>
                <w:sz w:val="15"/>
              </w:rPr>
            </w:pPr>
            <w:r>
              <w:rPr>
                <w:rFonts w:ascii="Trebuchet MS"/>
                <w:color w:val="001F60"/>
                <w:spacing w:val="-2"/>
                <w:sz w:val="15"/>
              </w:rPr>
              <w:t>75,0807%</w:t>
            </w:r>
          </w:p>
        </w:tc>
        <w:tc>
          <w:tcPr>
            <w:tcW w:w="965" w:type="dxa"/>
            <w:tcBorders>
              <w:top w:val="single" w:sz="6" w:space="0" w:color="000000"/>
            </w:tcBorders>
          </w:tcPr>
          <w:p w14:paraId="410210EE" w14:textId="77777777" w:rsidR="002C6574" w:rsidRDefault="00000000">
            <w:pPr>
              <w:pStyle w:val="TableParagraph"/>
              <w:spacing w:before="22"/>
              <w:ind w:right="59"/>
              <w:rPr>
                <w:rFonts w:ascii="Trebuchet MS"/>
                <w:sz w:val="15"/>
              </w:rPr>
            </w:pPr>
            <w:r>
              <w:rPr>
                <w:rFonts w:ascii="Trebuchet MS"/>
                <w:color w:val="001F60"/>
                <w:spacing w:val="-2"/>
                <w:sz w:val="15"/>
              </w:rPr>
              <w:t>83.372.305</w:t>
            </w:r>
          </w:p>
        </w:tc>
        <w:tc>
          <w:tcPr>
            <w:tcW w:w="817" w:type="dxa"/>
            <w:tcBorders>
              <w:top w:val="single" w:sz="6" w:space="0" w:color="000000"/>
            </w:tcBorders>
          </w:tcPr>
          <w:p w14:paraId="07506324" w14:textId="77777777" w:rsidR="002C6574" w:rsidRDefault="00000000">
            <w:pPr>
              <w:pStyle w:val="TableParagraph"/>
              <w:spacing w:before="34"/>
              <w:ind w:right="11"/>
              <w:jc w:val="center"/>
              <w:rPr>
                <w:rFonts w:ascii="Trebuchet MS"/>
                <w:sz w:val="15"/>
              </w:rPr>
            </w:pPr>
            <w:r>
              <w:rPr>
                <w:rFonts w:ascii="Trebuchet MS"/>
                <w:color w:val="001F60"/>
                <w:spacing w:val="-2"/>
                <w:sz w:val="15"/>
              </w:rPr>
              <w:t>81,7509%</w:t>
            </w:r>
          </w:p>
        </w:tc>
      </w:tr>
      <w:tr w:rsidR="002C6574" w14:paraId="1ABAD1C3" w14:textId="77777777">
        <w:trPr>
          <w:trHeight w:val="231"/>
        </w:trPr>
        <w:tc>
          <w:tcPr>
            <w:tcW w:w="3412" w:type="dxa"/>
          </w:tcPr>
          <w:p w14:paraId="130C7CAF" w14:textId="77777777" w:rsidR="002C6574" w:rsidRDefault="00000000">
            <w:pPr>
              <w:pStyle w:val="TableParagraph"/>
              <w:spacing w:before="19"/>
              <w:ind w:left="36"/>
              <w:jc w:val="left"/>
              <w:rPr>
                <w:rFonts w:ascii="Trebuchet MS"/>
                <w:sz w:val="15"/>
              </w:rPr>
            </w:pPr>
            <w:r>
              <w:rPr>
                <w:rFonts w:ascii="Trebuchet MS"/>
                <w:color w:val="001F60"/>
                <w:spacing w:val="-6"/>
                <w:sz w:val="15"/>
              </w:rPr>
              <w:t>MINISTERIO</w:t>
            </w:r>
            <w:r>
              <w:rPr>
                <w:rFonts w:ascii="Trebuchet MS"/>
                <w:color w:val="001F60"/>
                <w:spacing w:val="-11"/>
                <w:sz w:val="15"/>
              </w:rPr>
              <w:t xml:space="preserve"> </w:t>
            </w:r>
            <w:r>
              <w:rPr>
                <w:rFonts w:ascii="Trebuchet MS"/>
                <w:color w:val="001F60"/>
                <w:spacing w:val="-6"/>
                <w:sz w:val="15"/>
              </w:rPr>
              <w:t>DA</w:t>
            </w:r>
            <w:r>
              <w:rPr>
                <w:rFonts w:ascii="Trebuchet MS"/>
                <w:color w:val="001F60"/>
                <w:spacing w:val="-15"/>
                <w:sz w:val="15"/>
              </w:rPr>
              <w:t xml:space="preserve"> </w:t>
            </w:r>
            <w:r>
              <w:rPr>
                <w:rFonts w:ascii="Trebuchet MS"/>
                <w:color w:val="001F60"/>
                <w:spacing w:val="-6"/>
                <w:sz w:val="15"/>
              </w:rPr>
              <w:t>FAZENDA</w:t>
            </w:r>
          </w:p>
        </w:tc>
        <w:tc>
          <w:tcPr>
            <w:tcW w:w="1230" w:type="dxa"/>
          </w:tcPr>
          <w:p w14:paraId="61181140" w14:textId="77777777" w:rsidR="002C6574" w:rsidRDefault="00000000">
            <w:pPr>
              <w:pStyle w:val="TableParagraph"/>
              <w:spacing w:before="31"/>
              <w:ind w:right="75"/>
              <w:rPr>
                <w:rFonts w:ascii="Trebuchet MS"/>
                <w:sz w:val="15"/>
              </w:rPr>
            </w:pPr>
            <w:r>
              <w:rPr>
                <w:rFonts w:ascii="Trebuchet MS"/>
                <w:color w:val="001F60"/>
                <w:spacing w:val="-2"/>
                <w:sz w:val="15"/>
              </w:rPr>
              <w:t>9.665.727</w:t>
            </w:r>
          </w:p>
        </w:tc>
        <w:tc>
          <w:tcPr>
            <w:tcW w:w="938" w:type="dxa"/>
          </w:tcPr>
          <w:p w14:paraId="735AAF9F" w14:textId="77777777" w:rsidR="002C6574" w:rsidRDefault="00000000">
            <w:pPr>
              <w:pStyle w:val="TableParagraph"/>
              <w:spacing w:before="31"/>
              <w:ind w:left="2" w:right="37"/>
              <w:jc w:val="center"/>
              <w:rPr>
                <w:rFonts w:ascii="Trebuchet MS"/>
                <w:sz w:val="15"/>
              </w:rPr>
            </w:pPr>
            <w:r>
              <w:rPr>
                <w:rFonts w:ascii="Trebuchet MS"/>
                <w:color w:val="001F60"/>
                <w:spacing w:val="-2"/>
                <w:sz w:val="15"/>
              </w:rPr>
              <w:t>11,56521%</w:t>
            </w:r>
          </w:p>
        </w:tc>
        <w:tc>
          <w:tcPr>
            <w:tcW w:w="865" w:type="dxa"/>
          </w:tcPr>
          <w:p w14:paraId="79104BC3" w14:textId="77777777" w:rsidR="002C6574" w:rsidRDefault="00000000">
            <w:pPr>
              <w:pStyle w:val="TableParagraph"/>
              <w:spacing w:before="31"/>
              <w:ind w:right="64"/>
              <w:rPr>
                <w:rFonts w:ascii="Trebuchet MS"/>
                <w:sz w:val="15"/>
              </w:rPr>
            </w:pPr>
            <w:r>
              <w:rPr>
                <w:rFonts w:ascii="Trebuchet MS"/>
                <w:color w:val="001F60"/>
                <w:spacing w:val="-2"/>
                <w:sz w:val="15"/>
              </w:rPr>
              <w:t>2.333.139</w:t>
            </w:r>
          </w:p>
        </w:tc>
        <w:tc>
          <w:tcPr>
            <w:tcW w:w="845" w:type="dxa"/>
          </w:tcPr>
          <w:p w14:paraId="0137725A" w14:textId="77777777" w:rsidR="002C6574" w:rsidRDefault="00000000">
            <w:pPr>
              <w:pStyle w:val="TableParagraph"/>
              <w:spacing w:before="31"/>
              <w:jc w:val="center"/>
              <w:rPr>
                <w:rFonts w:ascii="Trebuchet MS"/>
                <w:sz w:val="15"/>
              </w:rPr>
            </w:pPr>
            <w:r>
              <w:rPr>
                <w:rFonts w:ascii="Trebuchet MS"/>
                <w:color w:val="001F60"/>
                <w:spacing w:val="-2"/>
                <w:sz w:val="15"/>
              </w:rPr>
              <w:t>12,6749%</w:t>
            </w:r>
          </w:p>
        </w:tc>
        <w:tc>
          <w:tcPr>
            <w:tcW w:w="965" w:type="dxa"/>
          </w:tcPr>
          <w:p w14:paraId="472A9992" w14:textId="77777777" w:rsidR="002C6574" w:rsidRDefault="00000000">
            <w:pPr>
              <w:pStyle w:val="TableParagraph"/>
              <w:spacing w:before="19"/>
              <w:ind w:right="59"/>
              <w:rPr>
                <w:rFonts w:ascii="Trebuchet MS"/>
                <w:sz w:val="15"/>
              </w:rPr>
            </w:pPr>
            <w:r>
              <w:rPr>
                <w:rFonts w:ascii="Trebuchet MS"/>
                <w:color w:val="001F60"/>
                <w:spacing w:val="-2"/>
                <w:sz w:val="15"/>
              </w:rPr>
              <w:t>11.998.866</w:t>
            </w:r>
          </w:p>
        </w:tc>
        <w:tc>
          <w:tcPr>
            <w:tcW w:w="817" w:type="dxa"/>
          </w:tcPr>
          <w:p w14:paraId="48525CB1" w14:textId="77777777" w:rsidR="002C6574" w:rsidRDefault="00000000">
            <w:pPr>
              <w:pStyle w:val="TableParagraph"/>
              <w:spacing w:before="31"/>
              <w:ind w:right="11"/>
              <w:jc w:val="center"/>
              <w:rPr>
                <w:rFonts w:ascii="Trebuchet MS"/>
                <w:sz w:val="15"/>
              </w:rPr>
            </w:pPr>
            <w:r>
              <w:rPr>
                <w:rFonts w:ascii="Trebuchet MS"/>
                <w:color w:val="001F60"/>
                <w:spacing w:val="-2"/>
                <w:sz w:val="15"/>
              </w:rPr>
              <w:t>11,7655%</w:t>
            </w:r>
          </w:p>
        </w:tc>
      </w:tr>
      <w:tr w:rsidR="002C6574" w14:paraId="54F15233" w14:textId="77777777">
        <w:trPr>
          <w:trHeight w:val="231"/>
        </w:trPr>
        <w:tc>
          <w:tcPr>
            <w:tcW w:w="3412" w:type="dxa"/>
          </w:tcPr>
          <w:p w14:paraId="0C0DE90E" w14:textId="77777777" w:rsidR="002C6574" w:rsidRDefault="00000000">
            <w:pPr>
              <w:pStyle w:val="TableParagraph"/>
              <w:spacing w:before="18"/>
              <w:ind w:left="36"/>
              <w:jc w:val="left"/>
              <w:rPr>
                <w:rFonts w:ascii="Trebuchet MS"/>
                <w:sz w:val="15"/>
              </w:rPr>
            </w:pPr>
            <w:r>
              <w:rPr>
                <w:rFonts w:ascii="Trebuchet MS"/>
                <w:color w:val="001F60"/>
                <w:spacing w:val="-6"/>
                <w:sz w:val="15"/>
              </w:rPr>
              <w:t>FINANCIADORA</w:t>
            </w:r>
            <w:r>
              <w:rPr>
                <w:rFonts w:ascii="Trebuchet MS"/>
                <w:color w:val="001F60"/>
                <w:spacing w:val="-7"/>
                <w:sz w:val="15"/>
              </w:rPr>
              <w:t xml:space="preserve"> </w:t>
            </w:r>
            <w:r>
              <w:rPr>
                <w:rFonts w:ascii="Trebuchet MS"/>
                <w:color w:val="001F60"/>
                <w:spacing w:val="-6"/>
                <w:sz w:val="15"/>
              </w:rPr>
              <w:t>DE</w:t>
            </w:r>
            <w:r>
              <w:rPr>
                <w:rFonts w:ascii="Trebuchet MS"/>
                <w:color w:val="001F60"/>
                <w:spacing w:val="-3"/>
                <w:sz w:val="15"/>
              </w:rPr>
              <w:t xml:space="preserve"> </w:t>
            </w:r>
            <w:r>
              <w:rPr>
                <w:rFonts w:ascii="Trebuchet MS"/>
                <w:color w:val="001F60"/>
                <w:spacing w:val="-6"/>
                <w:sz w:val="15"/>
              </w:rPr>
              <w:t>ESTUDOS</w:t>
            </w:r>
            <w:r>
              <w:rPr>
                <w:rFonts w:ascii="Trebuchet MS"/>
                <w:color w:val="001F60"/>
                <w:spacing w:val="-5"/>
                <w:sz w:val="15"/>
              </w:rPr>
              <w:t xml:space="preserve"> </w:t>
            </w:r>
            <w:r>
              <w:rPr>
                <w:rFonts w:ascii="Trebuchet MS"/>
                <w:color w:val="001F60"/>
                <w:spacing w:val="-6"/>
                <w:sz w:val="15"/>
              </w:rPr>
              <w:t>E</w:t>
            </w:r>
            <w:r>
              <w:rPr>
                <w:rFonts w:ascii="Trebuchet MS"/>
                <w:color w:val="001F60"/>
                <w:spacing w:val="-2"/>
                <w:sz w:val="15"/>
              </w:rPr>
              <w:t xml:space="preserve"> </w:t>
            </w:r>
            <w:r>
              <w:rPr>
                <w:rFonts w:ascii="Trebuchet MS"/>
                <w:color w:val="001F60"/>
                <w:spacing w:val="-6"/>
                <w:sz w:val="15"/>
              </w:rPr>
              <w:t>PROJETOS-FINEP</w:t>
            </w:r>
          </w:p>
        </w:tc>
        <w:tc>
          <w:tcPr>
            <w:tcW w:w="1230" w:type="dxa"/>
          </w:tcPr>
          <w:p w14:paraId="0CB26EF1" w14:textId="77777777" w:rsidR="002C6574" w:rsidRDefault="00000000">
            <w:pPr>
              <w:pStyle w:val="TableParagraph"/>
              <w:spacing w:before="30"/>
              <w:ind w:right="75"/>
              <w:rPr>
                <w:rFonts w:ascii="Trebuchet MS"/>
                <w:sz w:val="15"/>
              </w:rPr>
            </w:pPr>
            <w:r>
              <w:rPr>
                <w:rFonts w:ascii="Trebuchet MS"/>
                <w:color w:val="001F60"/>
                <w:spacing w:val="-2"/>
                <w:sz w:val="15"/>
              </w:rPr>
              <w:t>3.231.600</w:t>
            </w:r>
          </w:p>
        </w:tc>
        <w:tc>
          <w:tcPr>
            <w:tcW w:w="938" w:type="dxa"/>
          </w:tcPr>
          <w:p w14:paraId="3456D783" w14:textId="77777777" w:rsidR="002C6574" w:rsidRDefault="00000000">
            <w:pPr>
              <w:pStyle w:val="TableParagraph"/>
              <w:spacing w:before="30"/>
              <w:ind w:left="12" w:right="37"/>
              <w:jc w:val="center"/>
              <w:rPr>
                <w:rFonts w:ascii="Trebuchet MS"/>
                <w:sz w:val="15"/>
              </w:rPr>
            </w:pPr>
            <w:r>
              <w:rPr>
                <w:rFonts w:ascii="Trebuchet MS"/>
                <w:color w:val="001F60"/>
                <w:spacing w:val="-2"/>
                <w:sz w:val="15"/>
              </w:rPr>
              <w:t>3,86666%</w:t>
            </w:r>
          </w:p>
        </w:tc>
        <w:tc>
          <w:tcPr>
            <w:tcW w:w="865" w:type="dxa"/>
          </w:tcPr>
          <w:p w14:paraId="02968CC4" w14:textId="77777777" w:rsidR="002C6574" w:rsidRDefault="00000000">
            <w:pPr>
              <w:pStyle w:val="TableParagraph"/>
              <w:spacing w:before="30"/>
              <w:ind w:right="221"/>
              <w:rPr>
                <w:rFonts w:ascii="Trebuchet MS"/>
                <w:sz w:val="15"/>
              </w:rPr>
            </w:pPr>
            <w:r>
              <w:rPr>
                <w:rFonts w:ascii="Trebuchet MS"/>
                <w:color w:val="001F60"/>
                <w:spacing w:val="-10"/>
                <w:w w:val="95"/>
                <w:sz w:val="15"/>
              </w:rPr>
              <w:t>-</w:t>
            </w:r>
          </w:p>
        </w:tc>
        <w:tc>
          <w:tcPr>
            <w:tcW w:w="845" w:type="dxa"/>
          </w:tcPr>
          <w:p w14:paraId="64A2FC50" w14:textId="77777777" w:rsidR="002C6574" w:rsidRDefault="00000000">
            <w:pPr>
              <w:pStyle w:val="TableParagraph"/>
              <w:spacing w:before="30"/>
              <w:ind w:left="6"/>
              <w:jc w:val="center"/>
              <w:rPr>
                <w:rFonts w:ascii="Trebuchet MS"/>
                <w:sz w:val="15"/>
              </w:rPr>
            </w:pPr>
            <w:r>
              <w:rPr>
                <w:rFonts w:ascii="Trebuchet MS"/>
                <w:color w:val="001F60"/>
                <w:spacing w:val="-2"/>
                <w:sz w:val="15"/>
              </w:rPr>
              <w:t>0,0000%</w:t>
            </w:r>
          </w:p>
        </w:tc>
        <w:tc>
          <w:tcPr>
            <w:tcW w:w="965" w:type="dxa"/>
          </w:tcPr>
          <w:p w14:paraId="5BB68359" w14:textId="77777777" w:rsidR="002C6574" w:rsidRDefault="00000000">
            <w:pPr>
              <w:pStyle w:val="TableParagraph"/>
              <w:spacing w:before="18"/>
              <w:ind w:right="47"/>
              <w:rPr>
                <w:rFonts w:ascii="Trebuchet MS"/>
                <w:sz w:val="15"/>
              </w:rPr>
            </w:pPr>
            <w:r>
              <w:rPr>
                <w:rFonts w:ascii="Trebuchet MS"/>
                <w:color w:val="001F60"/>
                <w:spacing w:val="-2"/>
                <w:sz w:val="15"/>
              </w:rPr>
              <w:t>3.231.600</w:t>
            </w:r>
          </w:p>
        </w:tc>
        <w:tc>
          <w:tcPr>
            <w:tcW w:w="817" w:type="dxa"/>
          </w:tcPr>
          <w:p w14:paraId="03D9C899" w14:textId="77777777" w:rsidR="002C6574" w:rsidRDefault="00000000">
            <w:pPr>
              <w:pStyle w:val="TableParagraph"/>
              <w:spacing w:before="30"/>
              <w:ind w:left="9" w:right="11"/>
              <w:jc w:val="center"/>
              <w:rPr>
                <w:rFonts w:ascii="Trebuchet MS"/>
                <w:sz w:val="15"/>
              </w:rPr>
            </w:pPr>
            <w:r>
              <w:rPr>
                <w:rFonts w:ascii="Trebuchet MS"/>
                <w:color w:val="001F60"/>
                <w:spacing w:val="-2"/>
                <w:sz w:val="15"/>
              </w:rPr>
              <w:t>3,1688%</w:t>
            </w:r>
          </w:p>
        </w:tc>
      </w:tr>
      <w:tr w:rsidR="002C6574" w14:paraId="46373265" w14:textId="77777777">
        <w:trPr>
          <w:trHeight w:val="232"/>
        </w:trPr>
        <w:tc>
          <w:tcPr>
            <w:tcW w:w="3412" w:type="dxa"/>
          </w:tcPr>
          <w:p w14:paraId="48EB4658" w14:textId="77777777" w:rsidR="002C6574" w:rsidRDefault="00000000">
            <w:pPr>
              <w:pStyle w:val="TableParagraph"/>
              <w:spacing w:before="19"/>
              <w:ind w:left="36"/>
              <w:jc w:val="left"/>
              <w:rPr>
                <w:rFonts w:ascii="Trebuchet MS"/>
                <w:sz w:val="15"/>
              </w:rPr>
            </w:pPr>
            <w:r>
              <w:rPr>
                <w:rFonts w:ascii="Trebuchet MS"/>
                <w:color w:val="001F60"/>
                <w:spacing w:val="-4"/>
                <w:sz w:val="15"/>
              </w:rPr>
              <w:t>BANCO</w:t>
            </w:r>
            <w:r>
              <w:rPr>
                <w:rFonts w:ascii="Trebuchet MS"/>
                <w:color w:val="001F60"/>
                <w:spacing w:val="-17"/>
                <w:sz w:val="15"/>
              </w:rPr>
              <w:t xml:space="preserve"> </w:t>
            </w:r>
            <w:r>
              <w:rPr>
                <w:rFonts w:ascii="Trebuchet MS"/>
                <w:color w:val="001F60"/>
                <w:spacing w:val="-4"/>
                <w:sz w:val="15"/>
              </w:rPr>
              <w:t>CRUZEIRO</w:t>
            </w:r>
            <w:r>
              <w:rPr>
                <w:rFonts w:ascii="Trebuchet MS"/>
                <w:color w:val="001F60"/>
                <w:spacing w:val="-15"/>
                <w:sz w:val="15"/>
              </w:rPr>
              <w:t xml:space="preserve"> </w:t>
            </w:r>
            <w:r>
              <w:rPr>
                <w:rFonts w:ascii="Trebuchet MS"/>
                <w:color w:val="001F60"/>
                <w:spacing w:val="-4"/>
                <w:sz w:val="15"/>
              </w:rPr>
              <w:t>DO</w:t>
            </w:r>
            <w:r>
              <w:rPr>
                <w:rFonts w:ascii="Trebuchet MS"/>
                <w:color w:val="001F60"/>
                <w:spacing w:val="-14"/>
                <w:sz w:val="15"/>
              </w:rPr>
              <w:t xml:space="preserve"> </w:t>
            </w:r>
            <w:r>
              <w:rPr>
                <w:rFonts w:ascii="Trebuchet MS"/>
                <w:color w:val="001F60"/>
                <w:spacing w:val="-4"/>
                <w:sz w:val="15"/>
              </w:rPr>
              <w:t>SUL</w:t>
            </w:r>
            <w:r>
              <w:rPr>
                <w:rFonts w:ascii="Trebuchet MS"/>
                <w:color w:val="001F60"/>
                <w:spacing w:val="-19"/>
                <w:sz w:val="15"/>
              </w:rPr>
              <w:t xml:space="preserve"> </w:t>
            </w:r>
            <w:r>
              <w:rPr>
                <w:rFonts w:ascii="Trebuchet MS"/>
                <w:color w:val="001F60"/>
                <w:spacing w:val="-5"/>
                <w:sz w:val="15"/>
              </w:rPr>
              <w:t>S/A</w:t>
            </w:r>
          </w:p>
        </w:tc>
        <w:tc>
          <w:tcPr>
            <w:tcW w:w="1230" w:type="dxa"/>
          </w:tcPr>
          <w:p w14:paraId="04F67351" w14:textId="77777777" w:rsidR="002C6574" w:rsidRDefault="00000000">
            <w:pPr>
              <w:pStyle w:val="TableParagraph"/>
              <w:spacing w:before="31"/>
              <w:ind w:right="75"/>
              <w:rPr>
                <w:rFonts w:ascii="Trebuchet MS"/>
                <w:sz w:val="15"/>
              </w:rPr>
            </w:pPr>
            <w:r>
              <w:rPr>
                <w:rFonts w:ascii="Trebuchet MS"/>
                <w:color w:val="001F60"/>
                <w:spacing w:val="-2"/>
                <w:sz w:val="15"/>
              </w:rPr>
              <w:t>592.598</w:t>
            </w:r>
          </w:p>
        </w:tc>
        <w:tc>
          <w:tcPr>
            <w:tcW w:w="938" w:type="dxa"/>
          </w:tcPr>
          <w:p w14:paraId="7DB299A1" w14:textId="77777777" w:rsidR="002C6574" w:rsidRDefault="00000000">
            <w:pPr>
              <w:pStyle w:val="TableParagraph"/>
              <w:spacing w:before="31"/>
              <w:ind w:left="12" w:right="37"/>
              <w:jc w:val="center"/>
              <w:rPr>
                <w:rFonts w:ascii="Trebuchet MS"/>
                <w:sz w:val="15"/>
              </w:rPr>
            </w:pPr>
            <w:r>
              <w:rPr>
                <w:rFonts w:ascii="Trebuchet MS"/>
                <w:color w:val="001F60"/>
                <w:spacing w:val="-2"/>
                <w:sz w:val="15"/>
              </w:rPr>
              <w:t>0,70905%</w:t>
            </w:r>
          </w:p>
        </w:tc>
        <w:tc>
          <w:tcPr>
            <w:tcW w:w="865" w:type="dxa"/>
          </w:tcPr>
          <w:p w14:paraId="47BC9FF6" w14:textId="77777777" w:rsidR="002C6574" w:rsidRDefault="00000000">
            <w:pPr>
              <w:pStyle w:val="TableParagraph"/>
              <w:spacing w:before="31"/>
              <w:ind w:right="64"/>
              <w:rPr>
                <w:rFonts w:ascii="Trebuchet MS"/>
                <w:sz w:val="15"/>
              </w:rPr>
            </w:pPr>
            <w:r>
              <w:rPr>
                <w:rFonts w:ascii="Trebuchet MS"/>
                <w:color w:val="001F60"/>
                <w:spacing w:val="-2"/>
                <w:sz w:val="15"/>
              </w:rPr>
              <w:t>542.630</w:t>
            </w:r>
          </w:p>
        </w:tc>
        <w:tc>
          <w:tcPr>
            <w:tcW w:w="845" w:type="dxa"/>
          </w:tcPr>
          <w:p w14:paraId="2A517E8E" w14:textId="77777777" w:rsidR="002C6574" w:rsidRDefault="00000000">
            <w:pPr>
              <w:pStyle w:val="TableParagraph"/>
              <w:spacing w:before="31"/>
              <w:ind w:left="6"/>
              <w:jc w:val="center"/>
              <w:rPr>
                <w:rFonts w:ascii="Trebuchet MS"/>
                <w:sz w:val="15"/>
              </w:rPr>
            </w:pPr>
            <w:r>
              <w:rPr>
                <w:rFonts w:ascii="Trebuchet MS"/>
                <w:color w:val="001F60"/>
                <w:spacing w:val="-2"/>
                <w:sz w:val="15"/>
              </w:rPr>
              <w:t>2,9479%</w:t>
            </w:r>
          </w:p>
        </w:tc>
        <w:tc>
          <w:tcPr>
            <w:tcW w:w="965" w:type="dxa"/>
          </w:tcPr>
          <w:p w14:paraId="1370CD6E" w14:textId="77777777" w:rsidR="002C6574" w:rsidRDefault="00000000">
            <w:pPr>
              <w:pStyle w:val="TableParagraph"/>
              <w:spacing w:before="19"/>
              <w:ind w:right="47"/>
              <w:rPr>
                <w:rFonts w:ascii="Trebuchet MS"/>
                <w:sz w:val="15"/>
              </w:rPr>
            </w:pPr>
            <w:r>
              <w:rPr>
                <w:rFonts w:ascii="Trebuchet MS"/>
                <w:color w:val="001F60"/>
                <w:spacing w:val="-2"/>
                <w:sz w:val="15"/>
              </w:rPr>
              <w:t>1.135.228</w:t>
            </w:r>
          </w:p>
        </w:tc>
        <w:tc>
          <w:tcPr>
            <w:tcW w:w="817" w:type="dxa"/>
          </w:tcPr>
          <w:p w14:paraId="69859F25" w14:textId="77777777" w:rsidR="002C6574" w:rsidRDefault="00000000">
            <w:pPr>
              <w:pStyle w:val="TableParagraph"/>
              <w:spacing w:before="31"/>
              <w:ind w:left="9" w:right="11"/>
              <w:jc w:val="center"/>
              <w:rPr>
                <w:rFonts w:ascii="Trebuchet MS"/>
                <w:sz w:val="15"/>
              </w:rPr>
            </w:pPr>
            <w:r>
              <w:rPr>
                <w:rFonts w:ascii="Trebuchet MS"/>
                <w:color w:val="001F60"/>
                <w:spacing w:val="-2"/>
                <w:sz w:val="15"/>
              </w:rPr>
              <w:t>1,1131%</w:t>
            </w:r>
          </w:p>
        </w:tc>
      </w:tr>
      <w:tr w:rsidR="002C6574" w14:paraId="32BD086A" w14:textId="77777777">
        <w:trPr>
          <w:trHeight w:val="231"/>
        </w:trPr>
        <w:tc>
          <w:tcPr>
            <w:tcW w:w="3412" w:type="dxa"/>
          </w:tcPr>
          <w:p w14:paraId="4E95325E" w14:textId="77777777" w:rsidR="002C6574" w:rsidRDefault="00000000">
            <w:pPr>
              <w:pStyle w:val="TableParagraph"/>
              <w:spacing w:before="19"/>
              <w:ind w:left="36"/>
              <w:jc w:val="left"/>
              <w:rPr>
                <w:rFonts w:ascii="Trebuchet MS"/>
                <w:sz w:val="15"/>
              </w:rPr>
            </w:pPr>
            <w:r>
              <w:rPr>
                <w:rFonts w:ascii="Trebuchet MS"/>
                <w:color w:val="001F60"/>
                <w:w w:val="90"/>
                <w:sz w:val="15"/>
              </w:rPr>
              <w:t>CPF</w:t>
            </w:r>
            <w:r>
              <w:rPr>
                <w:rFonts w:ascii="Trebuchet MS"/>
                <w:color w:val="001F60"/>
                <w:spacing w:val="11"/>
                <w:sz w:val="15"/>
              </w:rPr>
              <w:t xml:space="preserve"> </w:t>
            </w:r>
            <w:r>
              <w:rPr>
                <w:rFonts w:ascii="Trebuchet MS"/>
                <w:color w:val="001F60"/>
                <w:w w:val="90"/>
                <w:sz w:val="15"/>
              </w:rPr>
              <w:t>2XX.XXX.XXX-</w:t>
            </w:r>
            <w:r>
              <w:rPr>
                <w:rFonts w:ascii="Trebuchet MS"/>
                <w:color w:val="001F60"/>
                <w:spacing w:val="-5"/>
                <w:w w:val="90"/>
                <w:sz w:val="15"/>
              </w:rPr>
              <w:t>45</w:t>
            </w:r>
          </w:p>
        </w:tc>
        <w:tc>
          <w:tcPr>
            <w:tcW w:w="1230" w:type="dxa"/>
          </w:tcPr>
          <w:p w14:paraId="4CBA2CA5" w14:textId="77777777" w:rsidR="002C6574" w:rsidRDefault="00000000">
            <w:pPr>
              <w:pStyle w:val="TableParagraph"/>
              <w:spacing w:before="31"/>
              <w:ind w:right="75"/>
              <w:rPr>
                <w:rFonts w:ascii="Trebuchet MS"/>
                <w:sz w:val="15"/>
              </w:rPr>
            </w:pPr>
            <w:r>
              <w:rPr>
                <w:rFonts w:ascii="Trebuchet MS"/>
                <w:color w:val="001F60"/>
                <w:spacing w:val="-2"/>
                <w:sz w:val="15"/>
              </w:rPr>
              <w:t>4.000</w:t>
            </w:r>
          </w:p>
        </w:tc>
        <w:tc>
          <w:tcPr>
            <w:tcW w:w="938" w:type="dxa"/>
          </w:tcPr>
          <w:p w14:paraId="1D4F9062" w14:textId="77777777" w:rsidR="002C6574" w:rsidRDefault="00000000">
            <w:pPr>
              <w:pStyle w:val="TableParagraph"/>
              <w:spacing w:before="31"/>
              <w:ind w:left="12" w:right="37"/>
              <w:jc w:val="center"/>
              <w:rPr>
                <w:rFonts w:ascii="Trebuchet MS"/>
                <w:sz w:val="15"/>
              </w:rPr>
            </w:pPr>
            <w:r>
              <w:rPr>
                <w:rFonts w:ascii="Trebuchet MS"/>
                <w:color w:val="001F60"/>
                <w:spacing w:val="-2"/>
                <w:sz w:val="15"/>
              </w:rPr>
              <w:t>0,00479%</w:t>
            </w:r>
          </w:p>
        </w:tc>
        <w:tc>
          <w:tcPr>
            <w:tcW w:w="865" w:type="dxa"/>
          </w:tcPr>
          <w:p w14:paraId="1062BC4C" w14:textId="77777777" w:rsidR="002C6574" w:rsidRDefault="00000000">
            <w:pPr>
              <w:pStyle w:val="TableParagraph"/>
              <w:spacing w:before="31"/>
              <w:ind w:right="64"/>
              <w:rPr>
                <w:rFonts w:ascii="Trebuchet MS"/>
                <w:sz w:val="15"/>
              </w:rPr>
            </w:pPr>
            <w:r>
              <w:rPr>
                <w:rFonts w:ascii="Trebuchet MS"/>
                <w:color w:val="001F60"/>
                <w:spacing w:val="-2"/>
                <w:sz w:val="15"/>
              </w:rPr>
              <w:t>120.000</w:t>
            </w:r>
          </w:p>
        </w:tc>
        <w:tc>
          <w:tcPr>
            <w:tcW w:w="845" w:type="dxa"/>
          </w:tcPr>
          <w:p w14:paraId="36DE6808" w14:textId="77777777" w:rsidR="002C6574" w:rsidRDefault="00000000">
            <w:pPr>
              <w:pStyle w:val="TableParagraph"/>
              <w:spacing w:before="31"/>
              <w:ind w:left="6"/>
              <w:jc w:val="center"/>
              <w:rPr>
                <w:rFonts w:ascii="Trebuchet MS"/>
                <w:sz w:val="15"/>
              </w:rPr>
            </w:pPr>
            <w:r>
              <w:rPr>
                <w:rFonts w:ascii="Trebuchet MS"/>
                <w:color w:val="001F60"/>
                <w:spacing w:val="-2"/>
                <w:sz w:val="15"/>
              </w:rPr>
              <w:t>0,6519%</w:t>
            </w:r>
          </w:p>
        </w:tc>
        <w:tc>
          <w:tcPr>
            <w:tcW w:w="965" w:type="dxa"/>
          </w:tcPr>
          <w:p w14:paraId="0D49CC22" w14:textId="77777777" w:rsidR="002C6574" w:rsidRDefault="00000000">
            <w:pPr>
              <w:pStyle w:val="TableParagraph"/>
              <w:spacing w:before="19"/>
              <w:ind w:right="47"/>
              <w:rPr>
                <w:rFonts w:ascii="Trebuchet MS"/>
                <w:sz w:val="15"/>
              </w:rPr>
            </w:pPr>
            <w:r>
              <w:rPr>
                <w:rFonts w:ascii="Trebuchet MS"/>
                <w:color w:val="001F60"/>
                <w:spacing w:val="-2"/>
                <w:sz w:val="15"/>
              </w:rPr>
              <w:t>124.000</w:t>
            </w:r>
          </w:p>
        </w:tc>
        <w:tc>
          <w:tcPr>
            <w:tcW w:w="817" w:type="dxa"/>
          </w:tcPr>
          <w:p w14:paraId="6328E3EE" w14:textId="77777777" w:rsidR="002C6574" w:rsidRDefault="00000000">
            <w:pPr>
              <w:pStyle w:val="TableParagraph"/>
              <w:spacing w:before="31"/>
              <w:ind w:left="9" w:right="11"/>
              <w:jc w:val="center"/>
              <w:rPr>
                <w:rFonts w:ascii="Trebuchet MS"/>
                <w:sz w:val="15"/>
              </w:rPr>
            </w:pPr>
            <w:r>
              <w:rPr>
                <w:rFonts w:ascii="Trebuchet MS"/>
                <w:color w:val="001F60"/>
                <w:spacing w:val="-2"/>
                <w:sz w:val="15"/>
              </w:rPr>
              <w:t>0,1216%</w:t>
            </w:r>
          </w:p>
        </w:tc>
      </w:tr>
      <w:tr w:rsidR="002C6574" w14:paraId="29D23E9E" w14:textId="77777777">
        <w:trPr>
          <w:trHeight w:val="231"/>
        </w:trPr>
        <w:tc>
          <w:tcPr>
            <w:tcW w:w="3412" w:type="dxa"/>
          </w:tcPr>
          <w:p w14:paraId="18F89404" w14:textId="77777777" w:rsidR="002C6574" w:rsidRDefault="00000000">
            <w:pPr>
              <w:pStyle w:val="TableParagraph"/>
              <w:spacing w:before="18"/>
              <w:ind w:left="36"/>
              <w:jc w:val="left"/>
              <w:rPr>
                <w:rFonts w:ascii="Trebuchet MS"/>
                <w:sz w:val="15"/>
              </w:rPr>
            </w:pPr>
            <w:r>
              <w:rPr>
                <w:rFonts w:ascii="Trebuchet MS"/>
                <w:color w:val="001F60"/>
                <w:spacing w:val="-4"/>
                <w:sz w:val="15"/>
              </w:rPr>
              <w:t>BANCO</w:t>
            </w:r>
            <w:r>
              <w:rPr>
                <w:rFonts w:ascii="Trebuchet MS"/>
                <w:color w:val="001F60"/>
                <w:spacing w:val="-16"/>
                <w:sz w:val="15"/>
              </w:rPr>
              <w:t xml:space="preserve"> </w:t>
            </w:r>
            <w:r>
              <w:rPr>
                <w:rFonts w:ascii="Trebuchet MS"/>
                <w:color w:val="001F60"/>
                <w:spacing w:val="-4"/>
                <w:sz w:val="15"/>
              </w:rPr>
              <w:t>DO</w:t>
            </w:r>
            <w:r>
              <w:rPr>
                <w:rFonts w:ascii="Trebuchet MS"/>
                <w:color w:val="001F60"/>
                <w:spacing w:val="-16"/>
                <w:sz w:val="15"/>
              </w:rPr>
              <w:t xml:space="preserve"> </w:t>
            </w:r>
            <w:r>
              <w:rPr>
                <w:rFonts w:ascii="Trebuchet MS"/>
                <w:color w:val="001F60"/>
                <w:spacing w:val="-4"/>
                <w:sz w:val="15"/>
              </w:rPr>
              <w:t>BRASIL</w:t>
            </w:r>
            <w:r>
              <w:rPr>
                <w:rFonts w:ascii="Trebuchet MS"/>
                <w:color w:val="001F60"/>
                <w:spacing w:val="-18"/>
                <w:sz w:val="15"/>
              </w:rPr>
              <w:t xml:space="preserve"> </w:t>
            </w:r>
            <w:r>
              <w:rPr>
                <w:rFonts w:ascii="Trebuchet MS"/>
                <w:color w:val="001F60"/>
                <w:spacing w:val="-5"/>
                <w:sz w:val="15"/>
              </w:rPr>
              <w:t>S/A</w:t>
            </w:r>
          </w:p>
        </w:tc>
        <w:tc>
          <w:tcPr>
            <w:tcW w:w="1230" w:type="dxa"/>
          </w:tcPr>
          <w:p w14:paraId="13531833" w14:textId="77777777" w:rsidR="002C6574" w:rsidRDefault="00000000">
            <w:pPr>
              <w:pStyle w:val="TableParagraph"/>
              <w:spacing w:before="30"/>
              <w:ind w:right="75"/>
              <w:rPr>
                <w:rFonts w:ascii="Trebuchet MS"/>
                <w:sz w:val="15"/>
              </w:rPr>
            </w:pPr>
            <w:r>
              <w:rPr>
                <w:rFonts w:ascii="Trebuchet MS"/>
                <w:color w:val="001F60"/>
                <w:spacing w:val="-2"/>
                <w:sz w:val="15"/>
              </w:rPr>
              <w:t>97.660</w:t>
            </w:r>
          </w:p>
        </w:tc>
        <w:tc>
          <w:tcPr>
            <w:tcW w:w="938" w:type="dxa"/>
          </w:tcPr>
          <w:p w14:paraId="75D41F96" w14:textId="77777777" w:rsidR="002C6574" w:rsidRDefault="00000000">
            <w:pPr>
              <w:pStyle w:val="TableParagraph"/>
              <w:spacing w:before="30"/>
              <w:ind w:left="12" w:right="37"/>
              <w:jc w:val="center"/>
              <w:rPr>
                <w:rFonts w:ascii="Trebuchet MS"/>
                <w:sz w:val="15"/>
              </w:rPr>
            </w:pPr>
            <w:r>
              <w:rPr>
                <w:rFonts w:ascii="Trebuchet MS"/>
                <w:color w:val="001F60"/>
                <w:spacing w:val="-2"/>
                <w:sz w:val="15"/>
              </w:rPr>
              <w:t>0,11685%</w:t>
            </w:r>
          </w:p>
        </w:tc>
        <w:tc>
          <w:tcPr>
            <w:tcW w:w="865" w:type="dxa"/>
          </w:tcPr>
          <w:p w14:paraId="65CCAD22" w14:textId="77777777" w:rsidR="002C6574" w:rsidRDefault="00000000">
            <w:pPr>
              <w:pStyle w:val="TableParagraph"/>
              <w:spacing w:before="30"/>
              <w:ind w:right="221"/>
              <w:rPr>
                <w:rFonts w:ascii="Trebuchet MS"/>
                <w:sz w:val="15"/>
              </w:rPr>
            </w:pPr>
            <w:r>
              <w:rPr>
                <w:rFonts w:ascii="Trebuchet MS"/>
                <w:color w:val="001F60"/>
                <w:spacing w:val="-10"/>
                <w:w w:val="95"/>
                <w:sz w:val="15"/>
              </w:rPr>
              <w:t>-</w:t>
            </w:r>
          </w:p>
        </w:tc>
        <w:tc>
          <w:tcPr>
            <w:tcW w:w="845" w:type="dxa"/>
          </w:tcPr>
          <w:p w14:paraId="781AE410" w14:textId="77777777" w:rsidR="002C6574" w:rsidRDefault="00000000">
            <w:pPr>
              <w:pStyle w:val="TableParagraph"/>
              <w:spacing w:before="30"/>
              <w:ind w:left="6"/>
              <w:jc w:val="center"/>
              <w:rPr>
                <w:rFonts w:ascii="Trebuchet MS"/>
                <w:sz w:val="15"/>
              </w:rPr>
            </w:pPr>
            <w:r>
              <w:rPr>
                <w:rFonts w:ascii="Trebuchet MS"/>
                <w:color w:val="001F60"/>
                <w:spacing w:val="-2"/>
                <w:sz w:val="15"/>
              </w:rPr>
              <w:t>0,0000%</w:t>
            </w:r>
          </w:p>
        </w:tc>
        <w:tc>
          <w:tcPr>
            <w:tcW w:w="965" w:type="dxa"/>
          </w:tcPr>
          <w:p w14:paraId="3AAC3D89" w14:textId="77777777" w:rsidR="002C6574" w:rsidRDefault="00000000">
            <w:pPr>
              <w:pStyle w:val="TableParagraph"/>
              <w:spacing w:before="18"/>
              <w:ind w:right="59"/>
              <w:rPr>
                <w:rFonts w:ascii="Trebuchet MS"/>
                <w:sz w:val="15"/>
              </w:rPr>
            </w:pPr>
            <w:r>
              <w:rPr>
                <w:rFonts w:ascii="Trebuchet MS"/>
                <w:color w:val="001F60"/>
                <w:spacing w:val="-2"/>
                <w:sz w:val="15"/>
              </w:rPr>
              <w:t>97.660</w:t>
            </w:r>
          </w:p>
        </w:tc>
        <w:tc>
          <w:tcPr>
            <w:tcW w:w="817" w:type="dxa"/>
          </w:tcPr>
          <w:p w14:paraId="7CC19731" w14:textId="77777777" w:rsidR="002C6574" w:rsidRDefault="00000000">
            <w:pPr>
              <w:pStyle w:val="TableParagraph"/>
              <w:spacing w:before="30"/>
              <w:ind w:left="9" w:right="11"/>
              <w:jc w:val="center"/>
              <w:rPr>
                <w:rFonts w:ascii="Trebuchet MS"/>
                <w:sz w:val="15"/>
              </w:rPr>
            </w:pPr>
            <w:r>
              <w:rPr>
                <w:rFonts w:ascii="Trebuchet MS"/>
                <w:color w:val="001F60"/>
                <w:spacing w:val="-2"/>
                <w:sz w:val="15"/>
              </w:rPr>
              <w:t>0,0958%</w:t>
            </w:r>
          </w:p>
        </w:tc>
      </w:tr>
      <w:tr w:rsidR="002C6574" w14:paraId="39DF72D8" w14:textId="77777777">
        <w:trPr>
          <w:trHeight w:val="232"/>
        </w:trPr>
        <w:tc>
          <w:tcPr>
            <w:tcW w:w="3412" w:type="dxa"/>
          </w:tcPr>
          <w:p w14:paraId="01B90B25" w14:textId="77777777" w:rsidR="002C6574" w:rsidRDefault="00000000">
            <w:pPr>
              <w:pStyle w:val="TableParagraph"/>
              <w:spacing w:before="19"/>
              <w:ind w:left="36"/>
              <w:jc w:val="left"/>
              <w:rPr>
                <w:rFonts w:ascii="Trebuchet MS" w:hAnsi="Trebuchet MS"/>
                <w:sz w:val="15"/>
              </w:rPr>
            </w:pPr>
            <w:r>
              <w:rPr>
                <w:rFonts w:ascii="Trebuchet MS" w:hAnsi="Trebuchet MS"/>
                <w:color w:val="001F60"/>
                <w:spacing w:val="-4"/>
                <w:sz w:val="15"/>
              </w:rPr>
              <w:t>OUTROS</w:t>
            </w:r>
            <w:r>
              <w:rPr>
                <w:rFonts w:ascii="Trebuchet MS" w:hAnsi="Trebuchet MS"/>
                <w:color w:val="001F60"/>
                <w:spacing w:val="-18"/>
                <w:sz w:val="15"/>
              </w:rPr>
              <w:t xml:space="preserve"> </w:t>
            </w:r>
            <w:r>
              <w:rPr>
                <w:rFonts w:ascii="Trebuchet MS" w:hAnsi="Trebuchet MS"/>
                <w:color w:val="001F60"/>
                <w:spacing w:val="-4"/>
                <w:sz w:val="15"/>
              </w:rPr>
              <w:t>ACIONISTAS</w:t>
            </w:r>
            <w:r>
              <w:rPr>
                <w:rFonts w:ascii="Trebuchet MS" w:hAnsi="Trebuchet MS"/>
                <w:color w:val="001F60"/>
                <w:spacing w:val="-14"/>
                <w:sz w:val="15"/>
              </w:rPr>
              <w:t xml:space="preserve"> </w:t>
            </w:r>
            <w:r>
              <w:rPr>
                <w:rFonts w:ascii="Trebuchet MS" w:hAnsi="Trebuchet MS"/>
                <w:color w:val="001F60"/>
                <w:spacing w:val="-4"/>
                <w:sz w:val="15"/>
              </w:rPr>
              <w:t>MINORITÁRIOS</w:t>
            </w:r>
          </w:p>
        </w:tc>
        <w:tc>
          <w:tcPr>
            <w:tcW w:w="1230" w:type="dxa"/>
          </w:tcPr>
          <w:p w14:paraId="32ED3274" w14:textId="77777777" w:rsidR="002C6574" w:rsidRDefault="00000000">
            <w:pPr>
              <w:pStyle w:val="TableParagraph"/>
              <w:spacing w:before="31"/>
              <w:ind w:right="75"/>
              <w:rPr>
                <w:rFonts w:ascii="Trebuchet MS"/>
                <w:sz w:val="15"/>
              </w:rPr>
            </w:pPr>
            <w:r>
              <w:rPr>
                <w:rFonts w:ascii="Trebuchet MS"/>
                <w:color w:val="001F60"/>
                <w:spacing w:val="-2"/>
                <w:sz w:val="15"/>
              </w:rPr>
              <w:t>432.306</w:t>
            </w:r>
          </w:p>
        </w:tc>
        <w:tc>
          <w:tcPr>
            <w:tcW w:w="938" w:type="dxa"/>
          </w:tcPr>
          <w:p w14:paraId="50B565D5" w14:textId="77777777" w:rsidR="002C6574" w:rsidRDefault="00000000">
            <w:pPr>
              <w:pStyle w:val="TableParagraph"/>
              <w:spacing w:before="31"/>
              <w:ind w:left="12" w:right="37"/>
              <w:jc w:val="center"/>
              <w:rPr>
                <w:rFonts w:ascii="Trebuchet MS"/>
                <w:sz w:val="15"/>
              </w:rPr>
            </w:pPr>
            <w:r>
              <w:rPr>
                <w:rFonts w:ascii="Trebuchet MS"/>
                <w:color w:val="001F60"/>
                <w:spacing w:val="-2"/>
                <w:sz w:val="15"/>
              </w:rPr>
              <w:t>0,51726%</w:t>
            </w:r>
          </w:p>
        </w:tc>
        <w:tc>
          <w:tcPr>
            <w:tcW w:w="865" w:type="dxa"/>
          </w:tcPr>
          <w:p w14:paraId="5A10771E" w14:textId="77777777" w:rsidR="002C6574" w:rsidRDefault="00000000">
            <w:pPr>
              <w:pStyle w:val="TableParagraph"/>
              <w:spacing w:before="31"/>
              <w:ind w:right="64"/>
              <w:rPr>
                <w:rFonts w:ascii="Trebuchet MS"/>
                <w:sz w:val="15"/>
              </w:rPr>
            </w:pPr>
            <w:r>
              <w:rPr>
                <w:rFonts w:ascii="Trebuchet MS"/>
                <w:color w:val="001F60"/>
                <w:spacing w:val="-2"/>
                <w:sz w:val="15"/>
              </w:rPr>
              <w:t>1.591.245</w:t>
            </w:r>
          </w:p>
        </w:tc>
        <w:tc>
          <w:tcPr>
            <w:tcW w:w="845" w:type="dxa"/>
          </w:tcPr>
          <w:p w14:paraId="44B69277" w14:textId="77777777" w:rsidR="002C6574" w:rsidRDefault="00000000">
            <w:pPr>
              <w:pStyle w:val="TableParagraph"/>
              <w:spacing w:before="31"/>
              <w:ind w:left="6"/>
              <w:jc w:val="center"/>
              <w:rPr>
                <w:rFonts w:ascii="Trebuchet MS"/>
                <w:sz w:val="15"/>
              </w:rPr>
            </w:pPr>
            <w:r>
              <w:rPr>
                <w:rFonts w:ascii="Trebuchet MS"/>
                <w:color w:val="001F60"/>
                <w:spacing w:val="-2"/>
                <w:sz w:val="15"/>
              </w:rPr>
              <w:t>8,6446%</w:t>
            </w:r>
          </w:p>
        </w:tc>
        <w:tc>
          <w:tcPr>
            <w:tcW w:w="965" w:type="dxa"/>
          </w:tcPr>
          <w:p w14:paraId="2B1DAD88" w14:textId="77777777" w:rsidR="002C6574" w:rsidRDefault="00000000">
            <w:pPr>
              <w:pStyle w:val="TableParagraph"/>
              <w:spacing w:before="19"/>
              <w:ind w:right="47"/>
              <w:rPr>
                <w:rFonts w:ascii="Trebuchet MS"/>
                <w:sz w:val="15"/>
              </w:rPr>
            </w:pPr>
            <w:r>
              <w:rPr>
                <w:rFonts w:ascii="Trebuchet MS"/>
                <w:color w:val="001F60"/>
                <w:spacing w:val="-2"/>
                <w:sz w:val="15"/>
              </w:rPr>
              <w:t>2.023.551</w:t>
            </w:r>
          </w:p>
        </w:tc>
        <w:tc>
          <w:tcPr>
            <w:tcW w:w="817" w:type="dxa"/>
          </w:tcPr>
          <w:p w14:paraId="2C970D21" w14:textId="77777777" w:rsidR="002C6574" w:rsidRDefault="00000000">
            <w:pPr>
              <w:pStyle w:val="TableParagraph"/>
              <w:spacing w:before="31"/>
              <w:ind w:left="9" w:right="11"/>
              <w:jc w:val="center"/>
              <w:rPr>
                <w:rFonts w:ascii="Trebuchet MS"/>
                <w:sz w:val="15"/>
              </w:rPr>
            </w:pPr>
            <w:r>
              <w:rPr>
                <w:rFonts w:ascii="Trebuchet MS"/>
                <w:color w:val="001F60"/>
                <w:spacing w:val="-2"/>
                <w:sz w:val="15"/>
              </w:rPr>
              <w:t>1,9842%</w:t>
            </w:r>
          </w:p>
        </w:tc>
      </w:tr>
      <w:tr w:rsidR="002C6574" w14:paraId="4AD99234" w14:textId="77777777">
        <w:trPr>
          <w:trHeight w:val="211"/>
        </w:trPr>
        <w:tc>
          <w:tcPr>
            <w:tcW w:w="3412" w:type="dxa"/>
            <w:tcBorders>
              <w:bottom w:val="single" w:sz="8" w:space="0" w:color="000000"/>
            </w:tcBorders>
          </w:tcPr>
          <w:p w14:paraId="4C45A9BA" w14:textId="77777777" w:rsidR="002C6574" w:rsidRDefault="00000000">
            <w:pPr>
              <w:pStyle w:val="TableParagraph"/>
              <w:spacing w:before="19" w:line="172" w:lineRule="exact"/>
              <w:ind w:left="36"/>
              <w:jc w:val="left"/>
              <w:rPr>
                <w:rFonts w:ascii="Trebuchet MS" w:hAnsi="Trebuchet MS"/>
                <w:sz w:val="15"/>
              </w:rPr>
            </w:pPr>
            <w:r>
              <w:rPr>
                <w:rFonts w:ascii="Trebuchet MS" w:hAnsi="Trebuchet MS"/>
                <w:color w:val="001F60"/>
                <w:sz w:val="15"/>
              </w:rPr>
              <w:t>AÇÕES</w:t>
            </w:r>
            <w:r>
              <w:rPr>
                <w:rFonts w:ascii="Trebuchet MS" w:hAnsi="Trebuchet MS"/>
                <w:color w:val="001F60"/>
                <w:spacing w:val="-20"/>
                <w:sz w:val="15"/>
              </w:rPr>
              <w:t xml:space="preserve"> </w:t>
            </w:r>
            <w:r>
              <w:rPr>
                <w:rFonts w:ascii="Trebuchet MS" w:hAnsi="Trebuchet MS"/>
                <w:color w:val="001F60"/>
                <w:sz w:val="15"/>
              </w:rPr>
              <w:t>EM</w:t>
            </w:r>
            <w:r>
              <w:rPr>
                <w:rFonts w:ascii="Trebuchet MS" w:hAnsi="Trebuchet MS"/>
                <w:color w:val="001F60"/>
                <w:spacing w:val="-23"/>
                <w:sz w:val="15"/>
              </w:rPr>
              <w:t xml:space="preserve"> </w:t>
            </w:r>
            <w:r>
              <w:rPr>
                <w:rFonts w:ascii="Trebuchet MS" w:hAnsi="Trebuchet MS"/>
                <w:color w:val="001F60"/>
                <w:spacing w:val="-2"/>
                <w:sz w:val="15"/>
              </w:rPr>
              <w:t>TESOURARIA</w:t>
            </w:r>
          </w:p>
        </w:tc>
        <w:tc>
          <w:tcPr>
            <w:tcW w:w="1230" w:type="dxa"/>
            <w:tcBorders>
              <w:bottom w:val="single" w:sz="8" w:space="0" w:color="000000"/>
            </w:tcBorders>
          </w:tcPr>
          <w:p w14:paraId="278D1592" w14:textId="77777777" w:rsidR="002C6574" w:rsidRDefault="00000000">
            <w:pPr>
              <w:pStyle w:val="TableParagraph"/>
              <w:spacing w:before="19" w:line="172" w:lineRule="exact"/>
              <w:ind w:right="51"/>
              <w:rPr>
                <w:rFonts w:ascii="Trebuchet MS"/>
                <w:sz w:val="15"/>
              </w:rPr>
            </w:pPr>
            <w:r>
              <w:rPr>
                <w:rFonts w:ascii="Trebuchet MS"/>
                <w:color w:val="001F60"/>
                <w:spacing w:val="-5"/>
                <w:sz w:val="15"/>
              </w:rPr>
              <w:t>193</w:t>
            </w:r>
          </w:p>
        </w:tc>
        <w:tc>
          <w:tcPr>
            <w:tcW w:w="938" w:type="dxa"/>
            <w:tcBorders>
              <w:bottom w:val="single" w:sz="8" w:space="0" w:color="000000"/>
            </w:tcBorders>
          </w:tcPr>
          <w:p w14:paraId="6A814313" w14:textId="77777777" w:rsidR="002C6574" w:rsidRDefault="00000000">
            <w:pPr>
              <w:pStyle w:val="TableParagraph"/>
              <w:spacing w:before="31" w:line="160" w:lineRule="exact"/>
              <w:ind w:left="12" w:right="37"/>
              <w:jc w:val="center"/>
              <w:rPr>
                <w:rFonts w:ascii="Trebuchet MS"/>
                <w:sz w:val="15"/>
              </w:rPr>
            </w:pPr>
            <w:r>
              <w:rPr>
                <w:rFonts w:ascii="Trebuchet MS"/>
                <w:color w:val="001F60"/>
                <w:spacing w:val="-2"/>
                <w:sz w:val="15"/>
              </w:rPr>
              <w:t>0,00023%</w:t>
            </w:r>
          </w:p>
        </w:tc>
        <w:tc>
          <w:tcPr>
            <w:tcW w:w="865" w:type="dxa"/>
            <w:tcBorders>
              <w:bottom w:val="single" w:sz="8" w:space="0" w:color="000000"/>
            </w:tcBorders>
          </w:tcPr>
          <w:p w14:paraId="7BF72337" w14:textId="77777777" w:rsidR="002C6574" w:rsidRDefault="00000000">
            <w:pPr>
              <w:pStyle w:val="TableParagraph"/>
              <w:spacing w:before="31" w:line="160" w:lineRule="exact"/>
              <w:ind w:right="221"/>
              <w:rPr>
                <w:rFonts w:ascii="Trebuchet MS"/>
                <w:sz w:val="15"/>
              </w:rPr>
            </w:pPr>
            <w:r>
              <w:rPr>
                <w:rFonts w:ascii="Trebuchet MS"/>
                <w:color w:val="001F60"/>
                <w:spacing w:val="-10"/>
                <w:w w:val="95"/>
                <w:sz w:val="15"/>
              </w:rPr>
              <w:t>-</w:t>
            </w:r>
          </w:p>
        </w:tc>
        <w:tc>
          <w:tcPr>
            <w:tcW w:w="845" w:type="dxa"/>
            <w:tcBorders>
              <w:bottom w:val="single" w:sz="8" w:space="0" w:color="000000"/>
            </w:tcBorders>
          </w:tcPr>
          <w:p w14:paraId="530EE3B9" w14:textId="77777777" w:rsidR="002C6574" w:rsidRDefault="00000000">
            <w:pPr>
              <w:pStyle w:val="TableParagraph"/>
              <w:spacing w:before="31" w:line="160" w:lineRule="exact"/>
              <w:ind w:left="6"/>
              <w:jc w:val="center"/>
              <w:rPr>
                <w:rFonts w:ascii="Trebuchet MS"/>
                <w:sz w:val="15"/>
              </w:rPr>
            </w:pPr>
            <w:r>
              <w:rPr>
                <w:rFonts w:ascii="Trebuchet MS"/>
                <w:color w:val="001F60"/>
                <w:spacing w:val="-2"/>
                <w:sz w:val="15"/>
              </w:rPr>
              <w:t>0,0000%</w:t>
            </w:r>
          </w:p>
        </w:tc>
        <w:tc>
          <w:tcPr>
            <w:tcW w:w="965" w:type="dxa"/>
            <w:tcBorders>
              <w:bottom w:val="single" w:sz="8" w:space="0" w:color="000000"/>
            </w:tcBorders>
          </w:tcPr>
          <w:p w14:paraId="7D431C07" w14:textId="77777777" w:rsidR="002C6574" w:rsidRDefault="00000000">
            <w:pPr>
              <w:pStyle w:val="TableParagraph"/>
              <w:spacing w:before="19" w:line="172" w:lineRule="exact"/>
              <w:ind w:right="47"/>
              <w:rPr>
                <w:rFonts w:ascii="Trebuchet MS"/>
                <w:sz w:val="15"/>
              </w:rPr>
            </w:pPr>
            <w:r>
              <w:rPr>
                <w:rFonts w:ascii="Trebuchet MS"/>
                <w:color w:val="001F60"/>
                <w:spacing w:val="-5"/>
                <w:sz w:val="15"/>
              </w:rPr>
              <w:t>193</w:t>
            </w:r>
          </w:p>
        </w:tc>
        <w:tc>
          <w:tcPr>
            <w:tcW w:w="817" w:type="dxa"/>
            <w:tcBorders>
              <w:bottom w:val="single" w:sz="8" w:space="0" w:color="000000"/>
            </w:tcBorders>
          </w:tcPr>
          <w:p w14:paraId="129720FF" w14:textId="77777777" w:rsidR="002C6574" w:rsidRDefault="00000000">
            <w:pPr>
              <w:pStyle w:val="TableParagraph"/>
              <w:spacing w:before="31" w:line="160" w:lineRule="exact"/>
              <w:ind w:left="9" w:right="11"/>
              <w:jc w:val="center"/>
              <w:rPr>
                <w:rFonts w:ascii="Trebuchet MS"/>
                <w:sz w:val="15"/>
              </w:rPr>
            </w:pPr>
            <w:r>
              <w:rPr>
                <w:rFonts w:ascii="Trebuchet MS"/>
                <w:color w:val="001F60"/>
                <w:spacing w:val="-2"/>
                <w:sz w:val="15"/>
              </w:rPr>
              <w:t>0,0002%</w:t>
            </w:r>
          </w:p>
        </w:tc>
      </w:tr>
      <w:tr w:rsidR="002C6574" w14:paraId="5BA90AD4" w14:textId="77777777">
        <w:trPr>
          <w:trHeight w:val="213"/>
        </w:trPr>
        <w:tc>
          <w:tcPr>
            <w:tcW w:w="3412" w:type="dxa"/>
            <w:tcBorders>
              <w:top w:val="single" w:sz="8" w:space="0" w:color="000000"/>
              <w:bottom w:val="single" w:sz="6" w:space="0" w:color="000000"/>
            </w:tcBorders>
          </w:tcPr>
          <w:p w14:paraId="17CABE3E" w14:textId="77777777" w:rsidR="002C6574" w:rsidRDefault="00000000">
            <w:pPr>
              <w:pStyle w:val="TableParagraph"/>
              <w:spacing w:before="30" w:line="163" w:lineRule="exact"/>
              <w:ind w:left="36"/>
              <w:jc w:val="left"/>
              <w:rPr>
                <w:rFonts w:ascii="Trebuchet MS"/>
                <w:b/>
                <w:sz w:val="15"/>
              </w:rPr>
            </w:pPr>
            <w:r>
              <w:rPr>
                <w:rFonts w:ascii="Trebuchet MS"/>
                <w:b/>
                <w:color w:val="001F60"/>
                <w:spacing w:val="-2"/>
                <w:w w:val="90"/>
                <w:sz w:val="15"/>
              </w:rPr>
              <w:t>TOTAL:</w:t>
            </w:r>
          </w:p>
        </w:tc>
        <w:tc>
          <w:tcPr>
            <w:tcW w:w="1230" w:type="dxa"/>
            <w:tcBorders>
              <w:top w:val="single" w:sz="8" w:space="0" w:color="000000"/>
              <w:bottom w:val="single" w:sz="6" w:space="0" w:color="000000"/>
            </w:tcBorders>
          </w:tcPr>
          <w:p w14:paraId="57F112D5" w14:textId="77777777" w:rsidR="002C6574" w:rsidRDefault="00000000">
            <w:pPr>
              <w:pStyle w:val="TableParagraph"/>
              <w:spacing w:before="30" w:line="163" w:lineRule="exact"/>
              <w:ind w:right="75"/>
              <w:rPr>
                <w:rFonts w:ascii="Trebuchet MS"/>
                <w:b/>
                <w:sz w:val="15"/>
              </w:rPr>
            </w:pPr>
            <w:r>
              <w:rPr>
                <w:rFonts w:ascii="Trebuchet MS"/>
                <w:b/>
                <w:color w:val="001F60"/>
                <w:spacing w:val="-2"/>
                <w:w w:val="95"/>
                <w:sz w:val="15"/>
              </w:rPr>
              <w:t>83.575.G12</w:t>
            </w:r>
          </w:p>
        </w:tc>
        <w:tc>
          <w:tcPr>
            <w:tcW w:w="938" w:type="dxa"/>
            <w:tcBorders>
              <w:top w:val="single" w:sz="8" w:space="0" w:color="000000"/>
              <w:bottom w:val="single" w:sz="6" w:space="0" w:color="000000"/>
            </w:tcBorders>
          </w:tcPr>
          <w:p w14:paraId="566C6C10" w14:textId="77777777" w:rsidR="002C6574" w:rsidRDefault="00000000">
            <w:pPr>
              <w:pStyle w:val="TableParagraph"/>
              <w:spacing w:before="30" w:line="163" w:lineRule="exact"/>
              <w:ind w:left="11" w:right="37"/>
              <w:jc w:val="center"/>
              <w:rPr>
                <w:rFonts w:ascii="Trebuchet MS"/>
                <w:b/>
                <w:sz w:val="15"/>
              </w:rPr>
            </w:pPr>
            <w:r>
              <w:rPr>
                <w:rFonts w:ascii="Trebuchet MS"/>
                <w:b/>
                <w:color w:val="001F60"/>
                <w:spacing w:val="-2"/>
                <w:sz w:val="15"/>
              </w:rPr>
              <w:t>100,00000%</w:t>
            </w:r>
          </w:p>
        </w:tc>
        <w:tc>
          <w:tcPr>
            <w:tcW w:w="865" w:type="dxa"/>
            <w:tcBorders>
              <w:top w:val="single" w:sz="8" w:space="0" w:color="000000"/>
              <w:bottom w:val="single" w:sz="6" w:space="0" w:color="000000"/>
            </w:tcBorders>
          </w:tcPr>
          <w:p w14:paraId="187A973A" w14:textId="77777777" w:rsidR="002C6574" w:rsidRDefault="00000000">
            <w:pPr>
              <w:pStyle w:val="TableParagraph"/>
              <w:spacing w:before="30" w:line="163" w:lineRule="exact"/>
              <w:ind w:right="64"/>
              <w:rPr>
                <w:rFonts w:ascii="Trebuchet MS"/>
                <w:b/>
                <w:sz w:val="15"/>
              </w:rPr>
            </w:pPr>
            <w:r>
              <w:rPr>
                <w:rFonts w:ascii="Trebuchet MS"/>
                <w:b/>
                <w:color w:val="001F60"/>
                <w:spacing w:val="-2"/>
                <w:w w:val="90"/>
                <w:sz w:val="15"/>
              </w:rPr>
              <w:t>18.407.4G1</w:t>
            </w:r>
          </w:p>
        </w:tc>
        <w:tc>
          <w:tcPr>
            <w:tcW w:w="845" w:type="dxa"/>
            <w:tcBorders>
              <w:top w:val="single" w:sz="8" w:space="0" w:color="000000"/>
              <w:bottom w:val="single" w:sz="6" w:space="0" w:color="000000"/>
            </w:tcBorders>
          </w:tcPr>
          <w:p w14:paraId="320857C0" w14:textId="77777777" w:rsidR="002C6574" w:rsidRDefault="00000000">
            <w:pPr>
              <w:pStyle w:val="TableParagraph"/>
              <w:spacing w:before="30" w:line="163" w:lineRule="exact"/>
              <w:ind w:left="6" w:right="1"/>
              <w:jc w:val="center"/>
              <w:rPr>
                <w:rFonts w:ascii="Trebuchet MS"/>
                <w:b/>
                <w:sz w:val="15"/>
              </w:rPr>
            </w:pPr>
            <w:r>
              <w:rPr>
                <w:rFonts w:ascii="Trebuchet MS"/>
                <w:b/>
                <w:color w:val="001F60"/>
                <w:spacing w:val="-2"/>
                <w:sz w:val="15"/>
              </w:rPr>
              <w:t>100,0000%</w:t>
            </w:r>
          </w:p>
        </w:tc>
        <w:tc>
          <w:tcPr>
            <w:tcW w:w="965" w:type="dxa"/>
            <w:tcBorders>
              <w:top w:val="single" w:sz="8" w:space="0" w:color="000000"/>
              <w:bottom w:val="single" w:sz="6" w:space="0" w:color="000000"/>
            </w:tcBorders>
          </w:tcPr>
          <w:p w14:paraId="051B25C3" w14:textId="77777777" w:rsidR="002C6574" w:rsidRDefault="00000000">
            <w:pPr>
              <w:pStyle w:val="TableParagraph"/>
              <w:spacing w:before="30" w:line="163" w:lineRule="exact"/>
              <w:ind w:right="84"/>
              <w:rPr>
                <w:rFonts w:ascii="Trebuchet MS"/>
                <w:b/>
                <w:sz w:val="15"/>
              </w:rPr>
            </w:pPr>
            <w:r>
              <w:rPr>
                <w:rFonts w:ascii="Trebuchet MS"/>
                <w:b/>
                <w:color w:val="001F60"/>
                <w:spacing w:val="-2"/>
                <w:w w:val="90"/>
                <w:sz w:val="15"/>
              </w:rPr>
              <w:t>101.G83.403</w:t>
            </w:r>
          </w:p>
        </w:tc>
        <w:tc>
          <w:tcPr>
            <w:tcW w:w="817" w:type="dxa"/>
            <w:tcBorders>
              <w:top w:val="single" w:sz="8" w:space="0" w:color="000000"/>
              <w:bottom w:val="single" w:sz="6" w:space="0" w:color="000000"/>
            </w:tcBorders>
          </w:tcPr>
          <w:p w14:paraId="7D84687A" w14:textId="77777777" w:rsidR="002C6574" w:rsidRDefault="00000000">
            <w:pPr>
              <w:pStyle w:val="TableParagraph"/>
              <w:spacing w:before="30" w:line="163" w:lineRule="exact"/>
              <w:ind w:left="7" w:right="11"/>
              <w:jc w:val="center"/>
              <w:rPr>
                <w:rFonts w:ascii="Trebuchet MS"/>
                <w:b/>
                <w:sz w:val="15"/>
              </w:rPr>
            </w:pPr>
            <w:r>
              <w:rPr>
                <w:rFonts w:ascii="Trebuchet MS"/>
                <w:b/>
                <w:color w:val="001F60"/>
                <w:spacing w:val="-2"/>
                <w:sz w:val="15"/>
              </w:rPr>
              <w:t>100,0000%</w:t>
            </w:r>
          </w:p>
        </w:tc>
      </w:tr>
    </w:tbl>
    <w:p w14:paraId="7F114040" w14:textId="77777777" w:rsidR="002C6574" w:rsidRDefault="00000000">
      <w:pPr>
        <w:spacing w:before="31"/>
        <w:ind w:left="791"/>
        <w:jc w:val="both"/>
        <w:rPr>
          <w:rFonts w:ascii="Trebuchet MS" w:hAnsi="Trebuchet MS"/>
          <w:i/>
          <w:sz w:val="15"/>
        </w:rPr>
      </w:pPr>
      <w:r>
        <w:rPr>
          <w:rFonts w:ascii="Trebuchet MS" w:hAnsi="Trebuchet MS"/>
          <w:i/>
          <w:color w:val="001F60"/>
          <w:w w:val="85"/>
          <w:sz w:val="15"/>
        </w:rPr>
        <w:t>Fonte:</w:t>
      </w:r>
      <w:r>
        <w:rPr>
          <w:rFonts w:ascii="Trebuchet MS" w:hAnsi="Trebuchet MS"/>
          <w:i/>
          <w:color w:val="001F60"/>
          <w:spacing w:val="-2"/>
          <w:w w:val="85"/>
          <w:sz w:val="15"/>
        </w:rPr>
        <w:t xml:space="preserve"> </w:t>
      </w:r>
      <w:r>
        <w:rPr>
          <w:rFonts w:ascii="Trebuchet MS" w:hAnsi="Trebuchet MS"/>
          <w:i/>
          <w:color w:val="001F60"/>
          <w:w w:val="85"/>
          <w:sz w:val="15"/>
        </w:rPr>
        <w:t>Relatório</w:t>
      </w:r>
      <w:r>
        <w:rPr>
          <w:rFonts w:ascii="Trebuchet MS" w:hAnsi="Trebuchet MS"/>
          <w:i/>
          <w:color w:val="001F60"/>
          <w:spacing w:val="9"/>
          <w:sz w:val="15"/>
        </w:rPr>
        <w:t xml:space="preserve"> </w:t>
      </w:r>
      <w:r>
        <w:rPr>
          <w:rFonts w:ascii="Trebuchet MS" w:hAnsi="Trebuchet MS"/>
          <w:i/>
          <w:color w:val="001F60"/>
          <w:w w:val="85"/>
          <w:sz w:val="15"/>
        </w:rPr>
        <w:t>parametrizado</w:t>
      </w:r>
      <w:r>
        <w:rPr>
          <w:rFonts w:ascii="Trebuchet MS" w:hAnsi="Trebuchet MS"/>
          <w:i/>
          <w:color w:val="001F60"/>
          <w:spacing w:val="5"/>
          <w:sz w:val="15"/>
        </w:rPr>
        <w:t xml:space="preserve"> </w:t>
      </w:r>
      <w:r>
        <w:rPr>
          <w:rFonts w:ascii="Trebuchet MS" w:hAnsi="Trebuchet MS"/>
          <w:i/>
          <w:color w:val="001F60"/>
          <w:w w:val="85"/>
          <w:sz w:val="15"/>
        </w:rPr>
        <w:t>da</w:t>
      </w:r>
      <w:r>
        <w:rPr>
          <w:rFonts w:ascii="Trebuchet MS" w:hAnsi="Trebuchet MS"/>
          <w:i/>
          <w:color w:val="001F60"/>
          <w:spacing w:val="-1"/>
          <w:w w:val="85"/>
          <w:sz w:val="15"/>
        </w:rPr>
        <w:t xml:space="preserve"> </w:t>
      </w:r>
      <w:r>
        <w:rPr>
          <w:rFonts w:ascii="Trebuchet MS" w:hAnsi="Trebuchet MS"/>
          <w:i/>
          <w:color w:val="001F60"/>
          <w:w w:val="85"/>
          <w:sz w:val="15"/>
        </w:rPr>
        <w:t>base</w:t>
      </w:r>
      <w:r>
        <w:rPr>
          <w:rFonts w:ascii="Trebuchet MS" w:hAnsi="Trebuchet MS"/>
          <w:i/>
          <w:color w:val="001F60"/>
          <w:spacing w:val="-5"/>
          <w:w w:val="85"/>
          <w:sz w:val="15"/>
        </w:rPr>
        <w:t xml:space="preserve"> </w:t>
      </w:r>
      <w:r>
        <w:rPr>
          <w:rFonts w:ascii="Trebuchet MS" w:hAnsi="Trebuchet MS"/>
          <w:i/>
          <w:color w:val="001F60"/>
          <w:w w:val="85"/>
          <w:sz w:val="15"/>
        </w:rPr>
        <w:t>de</w:t>
      </w:r>
      <w:r>
        <w:rPr>
          <w:rFonts w:ascii="Trebuchet MS" w:hAnsi="Trebuchet MS"/>
          <w:i/>
          <w:color w:val="001F60"/>
          <w:spacing w:val="-2"/>
          <w:w w:val="85"/>
          <w:sz w:val="15"/>
        </w:rPr>
        <w:t xml:space="preserve"> </w:t>
      </w:r>
      <w:r>
        <w:rPr>
          <w:rFonts w:ascii="Trebuchet MS" w:hAnsi="Trebuchet MS"/>
          <w:i/>
          <w:color w:val="001F60"/>
          <w:w w:val="85"/>
          <w:sz w:val="15"/>
        </w:rPr>
        <w:t>investidores</w:t>
      </w:r>
      <w:r>
        <w:rPr>
          <w:rFonts w:ascii="Trebuchet MS" w:hAnsi="Trebuchet MS"/>
          <w:i/>
          <w:color w:val="001F60"/>
          <w:spacing w:val="4"/>
          <w:sz w:val="15"/>
        </w:rPr>
        <w:t xml:space="preserve"> </w:t>
      </w:r>
      <w:r>
        <w:rPr>
          <w:rFonts w:ascii="Trebuchet MS" w:hAnsi="Trebuchet MS"/>
          <w:i/>
          <w:color w:val="001F60"/>
          <w:w w:val="85"/>
          <w:sz w:val="15"/>
        </w:rPr>
        <w:t>(Bradesco)</w:t>
      </w:r>
      <w:r>
        <w:rPr>
          <w:rFonts w:ascii="Trebuchet MS" w:hAnsi="Trebuchet MS"/>
          <w:i/>
          <w:color w:val="001F60"/>
          <w:spacing w:val="-3"/>
          <w:sz w:val="15"/>
        </w:rPr>
        <w:t xml:space="preserve"> </w:t>
      </w:r>
      <w:r>
        <w:rPr>
          <w:rFonts w:ascii="Trebuchet MS" w:hAnsi="Trebuchet MS"/>
          <w:i/>
          <w:color w:val="001F60"/>
          <w:w w:val="85"/>
          <w:sz w:val="15"/>
        </w:rPr>
        <w:t>-</w:t>
      </w:r>
      <w:r>
        <w:rPr>
          <w:rFonts w:ascii="Trebuchet MS" w:hAnsi="Trebuchet MS"/>
          <w:i/>
          <w:color w:val="001F60"/>
          <w:spacing w:val="-2"/>
          <w:sz w:val="15"/>
        </w:rPr>
        <w:t xml:space="preserve"> </w:t>
      </w:r>
      <w:r>
        <w:rPr>
          <w:rFonts w:ascii="Trebuchet MS" w:hAnsi="Trebuchet MS"/>
          <w:i/>
          <w:color w:val="001F60"/>
          <w:w w:val="85"/>
          <w:sz w:val="15"/>
        </w:rPr>
        <w:t>posição</w:t>
      </w:r>
      <w:r>
        <w:rPr>
          <w:rFonts w:ascii="Trebuchet MS" w:hAnsi="Trebuchet MS"/>
          <w:i/>
          <w:color w:val="001F60"/>
          <w:spacing w:val="8"/>
          <w:sz w:val="15"/>
        </w:rPr>
        <w:t xml:space="preserve"> </w:t>
      </w:r>
      <w:r>
        <w:rPr>
          <w:rFonts w:ascii="Trebuchet MS" w:hAnsi="Trebuchet MS"/>
          <w:i/>
          <w:color w:val="001F60"/>
          <w:w w:val="85"/>
          <w:sz w:val="15"/>
        </w:rPr>
        <w:t>de</w:t>
      </w:r>
      <w:r>
        <w:rPr>
          <w:rFonts w:ascii="Trebuchet MS" w:hAnsi="Trebuchet MS"/>
          <w:i/>
          <w:color w:val="001F60"/>
          <w:spacing w:val="-1"/>
          <w:w w:val="85"/>
          <w:sz w:val="15"/>
        </w:rPr>
        <w:t xml:space="preserve"> </w:t>
      </w:r>
      <w:r>
        <w:rPr>
          <w:rFonts w:ascii="Trebuchet MS" w:hAnsi="Trebuchet MS"/>
          <w:i/>
          <w:color w:val="001F60"/>
          <w:w w:val="85"/>
          <w:sz w:val="15"/>
        </w:rPr>
        <w:t>30</w:t>
      </w:r>
      <w:r>
        <w:rPr>
          <w:rFonts w:ascii="Trebuchet MS" w:hAnsi="Trebuchet MS"/>
          <w:i/>
          <w:color w:val="001F60"/>
          <w:spacing w:val="1"/>
          <w:sz w:val="15"/>
        </w:rPr>
        <w:t xml:space="preserve"> </w:t>
      </w:r>
      <w:r>
        <w:rPr>
          <w:rFonts w:ascii="Trebuchet MS" w:hAnsi="Trebuchet MS"/>
          <w:i/>
          <w:color w:val="001F60"/>
          <w:w w:val="85"/>
          <w:sz w:val="15"/>
        </w:rPr>
        <w:t>de</w:t>
      </w:r>
      <w:r>
        <w:rPr>
          <w:rFonts w:ascii="Trebuchet MS" w:hAnsi="Trebuchet MS"/>
          <w:i/>
          <w:color w:val="001F60"/>
          <w:spacing w:val="-1"/>
          <w:w w:val="85"/>
          <w:sz w:val="15"/>
        </w:rPr>
        <w:t xml:space="preserve"> </w:t>
      </w:r>
      <w:r>
        <w:rPr>
          <w:rFonts w:ascii="Trebuchet MS" w:hAnsi="Trebuchet MS"/>
          <w:i/>
          <w:color w:val="001F60"/>
          <w:w w:val="85"/>
          <w:sz w:val="15"/>
        </w:rPr>
        <w:t>dezembro</w:t>
      </w:r>
      <w:r>
        <w:rPr>
          <w:rFonts w:ascii="Trebuchet MS" w:hAnsi="Trebuchet MS"/>
          <w:i/>
          <w:color w:val="001F60"/>
          <w:spacing w:val="9"/>
          <w:sz w:val="15"/>
        </w:rPr>
        <w:t xml:space="preserve"> </w:t>
      </w:r>
      <w:r>
        <w:rPr>
          <w:rFonts w:ascii="Trebuchet MS" w:hAnsi="Trebuchet MS"/>
          <w:i/>
          <w:color w:val="001F60"/>
          <w:w w:val="85"/>
          <w:sz w:val="15"/>
        </w:rPr>
        <w:t>de</w:t>
      </w:r>
      <w:r>
        <w:rPr>
          <w:rFonts w:ascii="Trebuchet MS" w:hAnsi="Trebuchet MS"/>
          <w:i/>
          <w:color w:val="001F60"/>
          <w:spacing w:val="-2"/>
          <w:w w:val="85"/>
          <w:sz w:val="15"/>
        </w:rPr>
        <w:t xml:space="preserve"> </w:t>
      </w:r>
      <w:r>
        <w:rPr>
          <w:rFonts w:ascii="Trebuchet MS" w:hAnsi="Trebuchet MS"/>
          <w:i/>
          <w:color w:val="001F60"/>
          <w:spacing w:val="-4"/>
          <w:w w:val="85"/>
          <w:sz w:val="15"/>
        </w:rPr>
        <w:t>2025</w:t>
      </w:r>
    </w:p>
    <w:p w14:paraId="53DAE444" w14:textId="77777777" w:rsidR="002C6574" w:rsidRDefault="00000000">
      <w:pPr>
        <w:spacing w:before="145"/>
        <w:ind w:left="424"/>
        <w:jc w:val="center"/>
        <w:rPr>
          <w:rFonts w:ascii="Calibri"/>
          <w:sz w:val="16"/>
        </w:rPr>
      </w:pPr>
      <w:r>
        <w:rPr>
          <w:rFonts w:ascii="Calibri"/>
          <w:color w:val="001F60"/>
          <w:sz w:val="16"/>
        </w:rPr>
        <w:t>Tabela</w:t>
      </w:r>
      <w:r>
        <w:rPr>
          <w:rFonts w:ascii="Calibri"/>
          <w:color w:val="001F60"/>
          <w:spacing w:val="-4"/>
          <w:sz w:val="16"/>
        </w:rPr>
        <w:t xml:space="preserve"> </w:t>
      </w:r>
      <w:r>
        <w:rPr>
          <w:rFonts w:ascii="Calibri"/>
          <w:color w:val="001F60"/>
          <w:sz w:val="16"/>
        </w:rPr>
        <w:t>5-2</w:t>
      </w:r>
      <w:r>
        <w:rPr>
          <w:rFonts w:ascii="Calibri"/>
          <w:color w:val="001F60"/>
          <w:spacing w:val="-5"/>
          <w:sz w:val="16"/>
        </w:rPr>
        <w:t xml:space="preserve"> </w:t>
      </w:r>
      <w:r>
        <w:rPr>
          <w:rFonts w:ascii="Calibri"/>
          <w:color w:val="001F60"/>
          <w:sz w:val="16"/>
        </w:rPr>
        <w:t>Principais</w:t>
      </w:r>
      <w:r>
        <w:rPr>
          <w:rFonts w:ascii="Calibri"/>
          <w:color w:val="001F60"/>
          <w:spacing w:val="-3"/>
          <w:sz w:val="16"/>
        </w:rPr>
        <w:t xml:space="preserve"> </w:t>
      </w:r>
      <w:r>
        <w:rPr>
          <w:rFonts w:ascii="Calibri"/>
          <w:color w:val="001F60"/>
          <w:spacing w:val="-2"/>
          <w:sz w:val="16"/>
        </w:rPr>
        <w:t>Investidores</w:t>
      </w:r>
    </w:p>
    <w:p w14:paraId="0F73D8DA" w14:textId="77777777" w:rsidR="002C6574" w:rsidRDefault="00000000">
      <w:pPr>
        <w:pStyle w:val="Corpodetexto"/>
        <w:spacing w:before="1"/>
        <w:rPr>
          <w:rFonts w:ascii="Calibri"/>
          <w:sz w:val="8"/>
        </w:rPr>
      </w:pPr>
      <w:r>
        <w:rPr>
          <w:rFonts w:ascii="Calibri"/>
          <w:noProof/>
          <w:sz w:val="8"/>
        </w:rPr>
        <w:drawing>
          <wp:anchor distT="0" distB="0" distL="0" distR="0" simplePos="0" relativeHeight="487599104" behindDoc="1" locked="0" layoutInCell="1" allowOverlap="1" wp14:anchorId="2720768A" wp14:editId="2370496D">
            <wp:simplePos x="0" y="0"/>
            <wp:positionH relativeFrom="page">
              <wp:posOffset>1126236</wp:posOffset>
            </wp:positionH>
            <wp:positionV relativeFrom="paragraph">
              <wp:posOffset>78211</wp:posOffset>
            </wp:positionV>
            <wp:extent cx="5444791" cy="2887599"/>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0" cstate="print"/>
                    <a:stretch>
                      <a:fillRect/>
                    </a:stretch>
                  </pic:blipFill>
                  <pic:spPr>
                    <a:xfrm>
                      <a:off x="0" y="0"/>
                      <a:ext cx="5444791" cy="2887599"/>
                    </a:xfrm>
                    <a:prstGeom prst="rect">
                      <a:avLst/>
                    </a:prstGeom>
                  </pic:spPr>
                </pic:pic>
              </a:graphicData>
            </a:graphic>
          </wp:anchor>
        </w:drawing>
      </w:r>
    </w:p>
    <w:p w14:paraId="6A52D5FF" w14:textId="77777777" w:rsidR="002C6574" w:rsidRDefault="00000000">
      <w:pPr>
        <w:spacing w:before="81"/>
        <w:ind w:left="425"/>
        <w:jc w:val="center"/>
        <w:rPr>
          <w:rFonts w:ascii="Calibri" w:hAnsi="Calibri"/>
          <w:sz w:val="16"/>
        </w:rPr>
      </w:pPr>
      <w:r>
        <w:rPr>
          <w:rFonts w:ascii="Calibri" w:hAnsi="Calibri"/>
          <w:color w:val="001F60"/>
          <w:sz w:val="16"/>
        </w:rPr>
        <w:t>Figura</w:t>
      </w:r>
      <w:r>
        <w:rPr>
          <w:rFonts w:ascii="Calibri" w:hAnsi="Calibri"/>
          <w:color w:val="001F60"/>
          <w:spacing w:val="-4"/>
          <w:sz w:val="16"/>
        </w:rPr>
        <w:t xml:space="preserve"> </w:t>
      </w:r>
      <w:r>
        <w:rPr>
          <w:rFonts w:ascii="Calibri" w:hAnsi="Calibri"/>
          <w:color w:val="001F60"/>
          <w:sz w:val="16"/>
        </w:rPr>
        <w:t>5-1</w:t>
      </w:r>
      <w:r>
        <w:rPr>
          <w:rFonts w:ascii="Calibri" w:hAnsi="Calibri"/>
          <w:color w:val="001F60"/>
          <w:spacing w:val="-4"/>
          <w:sz w:val="16"/>
        </w:rPr>
        <w:t xml:space="preserve"> </w:t>
      </w:r>
      <w:r>
        <w:rPr>
          <w:rFonts w:ascii="Calibri" w:hAnsi="Calibri"/>
          <w:color w:val="001F60"/>
          <w:sz w:val="16"/>
        </w:rPr>
        <w:t>Organograma</w:t>
      </w:r>
      <w:r>
        <w:rPr>
          <w:rFonts w:ascii="Calibri" w:hAnsi="Calibri"/>
          <w:color w:val="001F60"/>
          <w:spacing w:val="-3"/>
          <w:sz w:val="16"/>
        </w:rPr>
        <w:t xml:space="preserve"> </w:t>
      </w:r>
      <w:r>
        <w:rPr>
          <w:rFonts w:ascii="Calibri" w:hAnsi="Calibri"/>
          <w:color w:val="001F60"/>
          <w:spacing w:val="-2"/>
          <w:sz w:val="16"/>
        </w:rPr>
        <w:t>Societário</w:t>
      </w:r>
    </w:p>
    <w:p w14:paraId="06E87753" w14:textId="77777777" w:rsidR="002C6574" w:rsidRDefault="002C6574">
      <w:pPr>
        <w:pStyle w:val="Corpodetexto"/>
        <w:rPr>
          <w:rFonts w:ascii="Calibri"/>
          <w:sz w:val="16"/>
        </w:rPr>
      </w:pPr>
    </w:p>
    <w:p w14:paraId="1F365CE8" w14:textId="77777777" w:rsidR="002C6574" w:rsidRDefault="002C6574">
      <w:pPr>
        <w:pStyle w:val="Corpodetexto"/>
        <w:spacing w:before="117"/>
        <w:rPr>
          <w:rFonts w:ascii="Calibri"/>
          <w:sz w:val="16"/>
        </w:rPr>
      </w:pPr>
    </w:p>
    <w:p w14:paraId="0396FB23" w14:textId="77777777" w:rsidR="002C6574" w:rsidRDefault="00000000">
      <w:pPr>
        <w:pStyle w:val="Corpodetexto"/>
        <w:ind w:left="709"/>
        <w:rPr>
          <w:rFonts w:ascii="Calibri" w:hAnsi="Calibri"/>
        </w:rPr>
      </w:pPr>
      <w:r>
        <w:rPr>
          <w:rFonts w:ascii="Calibri" w:hAnsi="Calibri"/>
          <w:color w:val="001F60"/>
        </w:rPr>
        <w:t>Durante</w:t>
      </w:r>
      <w:r>
        <w:rPr>
          <w:rFonts w:ascii="Calibri" w:hAnsi="Calibri"/>
          <w:color w:val="001F60"/>
          <w:spacing w:val="32"/>
        </w:rPr>
        <w:t xml:space="preserve"> </w:t>
      </w:r>
      <w:r>
        <w:rPr>
          <w:rFonts w:ascii="Calibri" w:hAnsi="Calibri"/>
          <w:color w:val="001F60"/>
        </w:rPr>
        <w:t>o</w:t>
      </w:r>
      <w:r>
        <w:rPr>
          <w:rFonts w:ascii="Calibri" w:hAnsi="Calibri"/>
          <w:color w:val="001F60"/>
          <w:spacing w:val="33"/>
        </w:rPr>
        <w:t xml:space="preserve"> </w:t>
      </w:r>
      <w:r>
        <w:rPr>
          <w:rFonts w:ascii="Calibri" w:hAnsi="Calibri"/>
          <w:color w:val="001F60"/>
        </w:rPr>
        <w:t>exercício</w:t>
      </w:r>
      <w:r>
        <w:rPr>
          <w:rFonts w:ascii="Calibri" w:hAnsi="Calibri"/>
          <w:color w:val="001F60"/>
          <w:spacing w:val="34"/>
        </w:rPr>
        <w:t xml:space="preserve"> </w:t>
      </w:r>
      <w:r>
        <w:rPr>
          <w:rFonts w:ascii="Calibri" w:hAnsi="Calibri"/>
          <w:color w:val="001F60"/>
        </w:rPr>
        <w:t>de</w:t>
      </w:r>
      <w:r>
        <w:rPr>
          <w:rFonts w:ascii="Calibri" w:hAnsi="Calibri"/>
          <w:color w:val="001F60"/>
          <w:spacing w:val="34"/>
        </w:rPr>
        <w:t xml:space="preserve"> </w:t>
      </w:r>
      <w:r>
        <w:rPr>
          <w:rFonts w:ascii="Calibri" w:hAnsi="Calibri"/>
          <w:color w:val="001F60"/>
        </w:rPr>
        <w:t>2025,</w:t>
      </w:r>
      <w:r>
        <w:rPr>
          <w:rFonts w:ascii="Calibri" w:hAnsi="Calibri"/>
          <w:color w:val="001F60"/>
          <w:spacing w:val="32"/>
        </w:rPr>
        <w:t xml:space="preserve"> </w:t>
      </w:r>
      <w:r>
        <w:rPr>
          <w:rFonts w:ascii="Calibri" w:hAnsi="Calibri"/>
          <w:color w:val="001F60"/>
        </w:rPr>
        <w:t>a</w:t>
      </w:r>
      <w:r>
        <w:rPr>
          <w:rFonts w:ascii="Calibri" w:hAnsi="Calibri"/>
          <w:color w:val="001F60"/>
          <w:spacing w:val="32"/>
        </w:rPr>
        <w:t xml:space="preserve"> </w:t>
      </w:r>
      <w:r>
        <w:rPr>
          <w:rFonts w:ascii="Calibri" w:hAnsi="Calibri"/>
          <w:color w:val="001F60"/>
        </w:rPr>
        <w:t>Companhia</w:t>
      </w:r>
      <w:r>
        <w:rPr>
          <w:rFonts w:ascii="Calibri" w:hAnsi="Calibri"/>
          <w:color w:val="001F60"/>
          <w:spacing w:val="34"/>
        </w:rPr>
        <w:t xml:space="preserve"> </w:t>
      </w:r>
      <w:r>
        <w:rPr>
          <w:rFonts w:ascii="Calibri" w:hAnsi="Calibri"/>
          <w:color w:val="001F60"/>
        </w:rPr>
        <w:t>realizou</w:t>
      </w:r>
      <w:r>
        <w:rPr>
          <w:rFonts w:ascii="Calibri" w:hAnsi="Calibri"/>
          <w:color w:val="001F60"/>
          <w:spacing w:val="31"/>
        </w:rPr>
        <w:t xml:space="preserve"> </w:t>
      </w:r>
      <w:r>
        <w:rPr>
          <w:rFonts w:ascii="Calibri" w:hAnsi="Calibri"/>
          <w:color w:val="001F60"/>
        </w:rPr>
        <w:t>dois</w:t>
      </w:r>
      <w:r>
        <w:rPr>
          <w:rFonts w:ascii="Calibri" w:hAnsi="Calibri"/>
          <w:color w:val="001F60"/>
          <w:spacing w:val="34"/>
        </w:rPr>
        <w:t xml:space="preserve"> </w:t>
      </w:r>
      <w:r>
        <w:rPr>
          <w:rFonts w:ascii="Calibri" w:hAnsi="Calibri"/>
          <w:color w:val="001F60"/>
        </w:rPr>
        <w:t>aumentos</w:t>
      </w:r>
      <w:r>
        <w:rPr>
          <w:rFonts w:ascii="Calibri" w:hAnsi="Calibri"/>
          <w:color w:val="001F60"/>
          <w:spacing w:val="32"/>
        </w:rPr>
        <w:t xml:space="preserve"> </w:t>
      </w:r>
      <w:r>
        <w:rPr>
          <w:rFonts w:ascii="Calibri" w:hAnsi="Calibri"/>
          <w:color w:val="001F60"/>
        </w:rPr>
        <w:t>de</w:t>
      </w:r>
      <w:r>
        <w:rPr>
          <w:rFonts w:ascii="Calibri" w:hAnsi="Calibri"/>
          <w:color w:val="001F60"/>
          <w:spacing w:val="32"/>
        </w:rPr>
        <w:t xml:space="preserve"> </w:t>
      </w:r>
      <w:r>
        <w:rPr>
          <w:rFonts w:ascii="Calibri" w:hAnsi="Calibri"/>
          <w:color w:val="001F60"/>
        </w:rPr>
        <w:t>capital</w:t>
      </w:r>
      <w:r>
        <w:rPr>
          <w:rFonts w:ascii="Calibri" w:hAnsi="Calibri"/>
          <w:color w:val="001F60"/>
          <w:spacing w:val="30"/>
        </w:rPr>
        <w:t xml:space="preserve"> </w:t>
      </w:r>
      <w:r>
        <w:rPr>
          <w:rFonts w:ascii="Calibri" w:hAnsi="Calibri"/>
          <w:color w:val="001F60"/>
        </w:rPr>
        <w:t>social</w:t>
      </w:r>
      <w:r>
        <w:rPr>
          <w:rFonts w:ascii="Calibri" w:hAnsi="Calibri"/>
          <w:color w:val="001F60"/>
          <w:spacing w:val="32"/>
        </w:rPr>
        <w:t xml:space="preserve"> </w:t>
      </w:r>
      <w:r>
        <w:rPr>
          <w:rFonts w:ascii="Calibri" w:hAnsi="Calibri"/>
          <w:color w:val="001F60"/>
        </w:rPr>
        <w:t>devidamente homologados em Assembleias Gerais Extraordinárias.</w:t>
      </w:r>
    </w:p>
    <w:p w14:paraId="522D32CC" w14:textId="77777777" w:rsidR="002C6574" w:rsidRDefault="002C6574">
      <w:pPr>
        <w:pStyle w:val="Corpodetexto"/>
        <w:rPr>
          <w:rFonts w:ascii="Calibri" w:hAnsi="Calibri"/>
        </w:rPr>
        <w:sectPr w:rsidR="002C6574">
          <w:pgSz w:w="11910" w:h="16840"/>
          <w:pgMar w:top="1160" w:right="850" w:bottom="740" w:left="992" w:header="312" w:footer="542" w:gutter="0"/>
          <w:cols w:space="720"/>
        </w:sectPr>
      </w:pPr>
    </w:p>
    <w:p w14:paraId="2B02A815" w14:textId="77777777" w:rsidR="002C6574" w:rsidRDefault="002C6574">
      <w:pPr>
        <w:pStyle w:val="Corpodetexto"/>
        <w:spacing w:before="263"/>
        <w:rPr>
          <w:rFonts w:ascii="Calibri"/>
        </w:rPr>
      </w:pPr>
    </w:p>
    <w:p w14:paraId="1FF6FDA8" w14:textId="77777777" w:rsidR="002C6574" w:rsidRDefault="00000000">
      <w:pPr>
        <w:pStyle w:val="Corpodetexto"/>
        <w:ind w:left="709" w:right="277" w:firstLine="49"/>
        <w:jc w:val="both"/>
        <w:rPr>
          <w:rFonts w:ascii="Calibri" w:hAnsi="Calibri"/>
        </w:rPr>
      </w:pPr>
      <w:r>
        <w:rPr>
          <w:rFonts w:ascii="Calibri" w:hAnsi="Calibri"/>
          <w:color w:val="001F60"/>
        </w:rPr>
        <w:t>Em</w:t>
      </w:r>
      <w:r>
        <w:rPr>
          <w:rFonts w:ascii="Calibri" w:hAnsi="Calibri"/>
          <w:color w:val="001F60"/>
          <w:spacing w:val="-13"/>
        </w:rPr>
        <w:t xml:space="preserve"> </w:t>
      </w:r>
      <w:r>
        <w:rPr>
          <w:rFonts w:ascii="Calibri" w:hAnsi="Calibri"/>
          <w:color w:val="001F60"/>
        </w:rPr>
        <w:t>8</w:t>
      </w:r>
      <w:r>
        <w:rPr>
          <w:rFonts w:ascii="Calibri" w:hAnsi="Calibri"/>
          <w:color w:val="001F60"/>
          <w:spacing w:val="-12"/>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maio</w:t>
      </w:r>
      <w:r>
        <w:rPr>
          <w:rFonts w:ascii="Calibri" w:hAnsi="Calibri"/>
          <w:color w:val="001F60"/>
          <w:spacing w:val="-10"/>
        </w:rPr>
        <w:t xml:space="preserve"> </w:t>
      </w:r>
      <w:r>
        <w:rPr>
          <w:rFonts w:ascii="Calibri" w:hAnsi="Calibri"/>
          <w:color w:val="001F60"/>
        </w:rPr>
        <w:t>de</w:t>
      </w:r>
      <w:r>
        <w:rPr>
          <w:rFonts w:ascii="Calibri" w:hAnsi="Calibri"/>
          <w:color w:val="001F60"/>
          <w:spacing w:val="-10"/>
        </w:rPr>
        <w:t xml:space="preserve"> </w:t>
      </w:r>
      <w:r>
        <w:rPr>
          <w:rFonts w:ascii="Calibri" w:hAnsi="Calibri"/>
          <w:color w:val="001F60"/>
        </w:rPr>
        <w:t>2025,</w:t>
      </w:r>
      <w:r>
        <w:rPr>
          <w:rFonts w:ascii="Calibri" w:hAnsi="Calibri"/>
          <w:color w:val="001F60"/>
          <w:spacing w:val="-10"/>
        </w:rPr>
        <w:t xml:space="preserve"> </w:t>
      </w:r>
      <w:r>
        <w:rPr>
          <w:rFonts w:ascii="Calibri" w:hAnsi="Calibri"/>
          <w:color w:val="001F60"/>
        </w:rPr>
        <w:t>a</w:t>
      </w:r>
      <w:r>
        <w:rPr>
          <w:rFonts w:ascii="Calibri" w:hAnsi="Calibri"/>
          <w:color w:val="001F60"/>
          <w:spacing w:val="-10"/>
        </w:rPr>
        <w:t xml:space="preserve"> </w:t>
      </w:r>
      <w:r>
        <w:rPr>
          <w:rFonts w:ascii="Calibri" w:hAnsi="Calibri"/>
          <w:color w:val="001F60"/>
        </w:rPr>
        <w:t>118ª</w:t>
      </w:r>
      <w:r>
        <w:rPr>
          <w:rFonts w:ascii="Calibri" w:hAnsi="Calibri"/>
          <w:color w:val="001F60"/>
          <w:spacing w:val="-11"/>
        </w:rPr>
        <w:t xml:space="preserve"> </w:t>
      </w:r>
      <w:r>
        <w:rPr>
          <w:rFonts w:ascii="Calibri" w:hAnsi="Calibri"/>
          <w:color w:val="001F60"/>
        </w:rPr>
        <w:t>Assembleia</w:t>
      </w:r>
      <w:r>
        <w:rPr>
          <w:rFonts w:ascii="Calibri" w:hAnsi="Calibri"/>
          <w:color w:val="001F60"/>
          <w:spacing w:val="-12"/>
        </w:rPr>
        <w:t xml:space="preserve"> </w:t>
      </w:r>
      <w:r>
        <w:rPr>
          <w:rFonts w:ascii="Calibri" w:hAnsi="Calibri"/>
          <w:color w:val="001F60"/>
        </w:rPr>
        <w:t>Geral</w:t>
      </w:r>
      <w:r>
        <w:rPr>
          <w:rFonts w:ascii="Calibri" w:hAnsi="Calibri"/>
          <w:color w:val="001F60"/>
          <w:spacing w:val="-12"/>
        </w:rPr>
        <w:t xml:space="preserve"> </w:t>
      </w:r>
      <w:r>
        <w:rPr>
          <w:rFonts w:ascii="Calibri" w:hAnsi="Calibri"/>
          <w:color w:val="001F60"/>
        </w:rPr>
        <w:t>Extraordinária</w:t>
      </w:r>
      <w:r>
        <w:rPr>
          <w:rFonts w:ascii="Calibri" w:hAnsi="Calibri"/>
          <w:color w:val="001F60"/>
          <w:spacing w:val="-10"/>
        </w:rPr>
        <w:t xml:space="preserve"> </w:t>
      </w:r>
      <w:r>
        <w:rPr>
          <w:rFonts w:ascii="Calibri" w:hAnsi="Calibri"/>
          <w:color w:val="001F60"/>
        </w:rPr>
        <w:t>(AGE)</w:t>
      </w:r>
      <w:r>
        <w:rPr>
          <w:rFonts w:ascii="Calibri" w:hAnsi="Calibri"/>
          <w:color w:val="001F60"/>
          <w:spacing w:val="-11"/>
        </w:rPr>
        <w:t xml:space="preserve"> </w:t>
      </w:r>
      <w:r>
        <w:rPr>
          <w:rFonts w:ascii="Calibri" w:hAnsi="Calibri"/>
          <w:color w:val="001F60"/>
        </w:rPr>
        <w:t>homologou</w:t>
      </w:r>
      <w:r>
        <w:rPr>
          <w:rFonts w:ascii="Calibri" w:hAnsi="Calibri"/>
          <w:color w:val="001F60"/>
          <w:spacing w:val="-13"/>
        </w:rPr>
        <w:t xml:space="preserve"> </w:t>
      </w:r>
      <w:r>
        <w:rPr>
          <w:rFonts w:ascii="Calibri" w:hAnsi="Calibri"/>
          <w:color w:val="001F60"/>
        </w:rPr>
        <w:t>o</w:t>
      </w:r>
      <w:r>
        <w:rPr>
          <w:rFonts w:ascii="Calibri" w:hAnsi="Calibri"/>
          <w:color w:val="001F60"/>
          <w:spacing w:val="-10"/>
        </w:rPr>
        <w:t xml:space="preserve"> </w:t>
      </w:r>
      <w:r>
        <w:rPr>
          <w:rFonts w:ascii="Calibri" w:hAnsi="Calibri"/>
          <w:color w:val="001F60"/>
        </w:rPr>
        <w:t>aumento</w:t>
      </w:r>
      <w:r>
        <w:rPr>
          <w:rFonts w:ascii="Calibri" w:hAnsi="Calibri"/>
          <w:color w:val="001F60"/>
          <w:spacing w:val="-10"/>
        </w:rPr>
        <w:t xml:space="preserve"> </w:t>
      </w:r>
      <w:r>
        <w:rPr>
          <w:rFonts w:ascii="Calibri" w:hAnsi="Calibri"/>
          <w:color w:val="001F60"/>
        </w:rPr>
        <w:t>de</w:t>
      </w:r>
      <w:r>
        <w:rPr>
          <w:rFonts w:ascii="Calibri" w:hAnsi="Calibri"/>
          <w:color w:val="001F60"/>
          <w:spacing w:val="-10"/>
        </w:rPr>
        <w:t xml:space="preserve"> </w:t>
      </w:r>
      <w:r>
        <w:rPr>
          <w:rFonts w:ascii="Calibri" w:hAnsi="Calibri"/>
          <w:color w:val="001F60"/>
        </w:rPr>
        <w:t>capital previamente aprovado na</w:t>
      </w:r>
      <w:r>
        <w:rPr>
          <w:rFonts w:ascii="Calibri" w:hAnsi="Calibri"/>
          <w:color w:val="001F60"/>
          <w:spacing w:val="-3"/>
        </w:rPr>
        <w:t xml:space="preserve"> </w:t>
      </w:r>
      <w:r>
        <w:rPr>
          <w:rFonts w:ascii="Calibri" w:hAnsi="Calibri"/>
          <w:color w:val="001F60"/>
        </w:rPr>
        <w:t>117ª</w:t>
      </w:r>
      <w:r>
        <w:rPr>
          <w:rFonts w:ascii="Calibri" w:hAnsi="Calibri"/>
          <w:color w:val="001F60"/>
          <w:spacing w:val="-1"/>
        </w:rPr>
        <w:t xml:space="preserve"> </w:t>
      </w:r>
      <w:r>
        <w:rPr>
          <w:rFonts w:ascii="Calibri" w:hAnsi="Calibri"/>
          <w:color w:val="001F60"/>
        </w:rPr>
        <w:t>AGE, no valor</w:t>
      </w:r>
      <w:r>
        <w:rPr>
          <w:rFonts w:ascii="Calibri" w:hAnsi="Calibri"/>
          <w:color w:val="001F60"/>
          <w:spacing w:val="-2"/>
        </w:rPr>
        <w:t xml:space="preserve"> </w:t>
      </w:r>
      <w:r>
        <w:rPr>
          <w:rFonts w:ascii="Calibri" w:hAnsi="Calibri"/>
          <w:color w:val="001F60"/>
        </w:rPr>
        <w:t>de</w:t>
      </w:r>
      <w:r>
        <w:rPr>
          <w:rFonts w:ascii="Calibri" w:hAnsi="Calibri"/>
          <w:color w:val="001F60"/>
          <w:spacing w:val="-1"/>
        </w:rPr>
        <w:t xml:space="preserve"> </w:t>
      </w:r>
      <w:r>
        <w:rPr>
          <w:rFonts w:ascii="Calibri" w:hAnsi="Calibri"/>
          <w:color w:val="001F60"/>
        </w:rPr>
        <w:t>R$</w:t>
      </w:r>
      <w:r>
        <w:rPr>
          <w:rFonts w:ascii="Calibri" w:hAnsi="Calibri"/>
          <w:color w:val="001F60"/>
          <w:spacing w:val="-1"/>
        </w:rPr>
        <w:t xml:space="preserve"> </w:t>
      </w:r>
      <w:r>
        <w:rPr>
          <w:rFonts w:ascii="Calibri" w:hAnsi="Calibri"/>
          <w:color w:val="001F60"/>
        </w:rPr>
        <w:t>112.256, mediante a emissão de 7.214.422 ações ordinárias, ao preço de emissão de R$ 15,56 por ação. Após essa operação, o capital social integralmente</w:t>
      </w:r>
      <w:r>
        <w:rPr>
          <w:rFonts w:ascii="Calibri" w:hAnsi="Calibri"/>
          <w:color w:val="001F60"/>
          <w:spacing w:val="-3"/>
        </w:rPr>
        <w:t xml:space="preserve"> </w:t>
      </w:r>
      <w:r>
        <w:rPr>
          <w:rFonts w:ascii="Calibri" w:hAnsi="Calibri"/>
          <w:color w:val="001F60"/>
        </w:rPr>
        <w:t>subscrito</w:t>
      </w:r>
      <w:r>
        <w:rPr>
          <w:rFonts w:ascii="Calibri" w:hAnsi="Calibri"/>
          <w:color w:val="001F60"/>
          <w:spacing w:val="-2"/>
        </w:rPr>
        <w:t xml:space="preserve"> </w:t>
      </w:r>
      <w:r>
        <w:rPr>
          <w:rFonts w:ascii="Calibri" w:hAnsi="Calibri"/>
          <w:color w:val="001F60"/>
        </w:rPr>
        <w:t>passou</w:t>
      </w:r>
      <w:r>
        <w:rPr>
          <w:rFonts w:ascii="Calibri" w:hAnsi="Calibri"/>
          <w:color w:val="001F60"/>
          <w:spacing w:val="1"/>
        </w:rPr>
        <w:t xml:space="preserve"> </w:t>
      </w:r>
      <w:r>
        <w:rPr>
          <w:rFonts w:ascii="Calibri" w:hAnsi="Calibri"/>
          <w:color w:val="001F60"/>
        </w:rPr>
        <w:t>de</w:t>
      </w:r>
      <w:r>
        <w:rPr>
          <w:rFonts w:ascii="Calibri" w:hAnsi="Calibri"/>
          <w:color w:val="001F60"/>
          <w:spacing w:val="2"/>
        </w:rPr>
        <w:t xml:space="preserve"> </w:t>
      </w:r>
      <w:r>
        <w:rPr>
          <w:rFonts w:ascii="Calibri" w:hAnsi="Calibri"/>
          <w:color w:val="001F60"/>
        </w:rPr>
        <w:t>R$ 3.474.498</w:t>
      </w:r>
      <w:r>
        <w:rPr>
          <w:rFonts w:ascii="Calibri" w:hAnsi="Calibri"/>
          <w:color w:val="001F60"/>
          <w:spacing w:val="-1"/>
        </w:rPr>
        <w:t xml:space="preserve"> </w:t>
      </w:r>
      <w:r>
        <w:rPr>
          <w:rFonts w:ascii="Calibri" w:hAnsi="Calibri"/>
          <w:color w:val="001F60"/>
        </w:rPr>
        <w:t>para</w:t>
      </w:r>
      <w:r>
        <w:rPr>
          <w:rFonts w:ascii="Calibri" w:hAnsi="Calibri"/>
          <w:color w:val="001F60"/>
          <w:spacing w:val="-2"/>
        </w:rPr>
        <w:t xml:space="preserve"> </w:t>
      </w:r>
      <w:r>
        <w:rPr>
          <w:rFonts w:ascii="Calibri" w:hAnsi="Calibri"/>
          <w:color w:val="001F60"/>
        </w:rPr>
        <w:t>R$ 3.586.754,</w:t>
      </w:r>
      <w:r>
        <w:rPr>
          <w:rFonts w:ascii="Calibri" w:hAnsi="Calibri"/>
          <w:color w:val="001F60"/>
          <w:spacing w:val="-1"/>
        </w:rPr>
        <w:t xml:space="preserve"> </w:t>
      </w:r>
      <w:r>
        <w:rPr>
          <w:rFonts w:ascii="Calibri" w:hAnsi="Calibri"/>
          <w:color w:val="001F60"/>
        </w:rPr>
        <w:t>passando a</w:t>
      </w:r>
      <w:r>
        <w:rPr>
          <w:rFonts w:ascii="Calibri" w:hAnsi="Calibri"/>
          <w:color w:val="001F60"/>
          <w:spacing w:val="-1"/>
        </w:rPr>
        <w:t xml:space="preserve"> </w:t>
      </w:r>
      <w:r>
        <w:rPr>
          <w:rFonts w:ascii="Calibri" w:hAnsi="Calibri"/>
          <w:color w:val="001F60"/>
        </w:rPr>
        <w:t>ser</w:t>
      </w:r>
      <w:r>
        <w:rPr>
          <w:rFonts w:ascii="Calibri" w:hAnsi="Calibri"/>
          <w:color w:val="001F60"/>
          <w:spacing w:val="2"/>
        </w:rPr>
        <w:t xml:space="preserve"> </w:t>
      </w:r>
      <w:r>
        <w:rPr>
          <w:rFonts w:ascii="Calibri" w:hAnsi="Calibri"/>
          <w:color w:val="001F60"/>
        </w:rPr>
        <w:t xml:space="preserve">representado </w:t>
      </w:r>
      <w:r>
        <w:rPr>
          <w:rFonts w:ascii="Calibri" w:hAnsi="Calibri"/>
          <w:color w:val="001F60"/>
          <w:spacing w:val="-5"/>
        </w:rPr>
        <w:t>por</w:t>
      </w:r>
    </w:p>
    <w:p w14:paraId="616DC935" w14:textId="77777777" w:rsidR="002C6574" w:rsidRDefault="00000000">
      <w:pPr>
        <w:pStyle w:val="Corpodetexto"/>
        <w:ind w:left="709" w:right="277"/>
        <w:jc w:val="both"/>
        <w:rPr>
          <w:rFonts w:ascii="Calibri" w:hAnsi="Calibri"/>
        </w:rPr>
      </w:pPr>
      <w:r>
        <w:rPr>
          <w:rFonts w:ascii="Calibri" w:hAnsi="Calibri"/>
          <w:color w:val="001F60"/>
        </w:rPr>
        <w:t>93.597.512 ações, sendo 75.190.021 ações ordinárias e 18.407.491 ações preferenciais, todas nominativas, escriturais e sem valor nominal.</w:t>
      </w:r>
    </w:p>
    <w:p w14:paraId="4BCCD26A" w14:textId="77777777" w:rsidR="002C6574" w:rsidRDefault="00000000">
      <w:pPr>
        <w:pStyle w:val="Corpodetexto"/>
        <w:spacing w:before="119"/>
        <w:ind w:left="709" w:right="278" w:firstLine="49"/>
        <w:jc w:val="both"/>
        <w:rPr>
          <w:rFonts w:ascii="Calibri" w:hAnsi="Calibri"/>
        </w:rPr>
      </w:pPr>
      <w:r>
        <w:rPr>
          <w:rFonts w:ascii="Calibri" w:hAnsi="Calibri"/>
          <w:color w:val="001F60"/>
        </w:rPr>
        <w:t>Posteriormente, em 25 de setembro de 2025, a 120ª</w:t>
      </w:r>
      <w:r>
        <w:rPr>
          <w:rFonts w:ascii="Calibri" w:hAnsi="Calibri"/>
          <w:color w:val="001F60"/>
          <w:spacing w:val="-1"/>
        </w:rPr>
        <w:t xml:space="preserve"> </w:t>
      </w:r>
      <w:r>
        <w:rPr>
          <w:rFonts w:ascii="Calibri" w:hAnsi="Calibri"/>
          <w:color w:val="001F60"/>
        </w:rPr>
        <w:t>AGE homologou o segundo aumento de capital do exercício, no montante de R$ 132.781, decorrente da emissão de 8.385.891 ações ordinárias, ao preço</w:t>
      </w:r>
      <w:r>
        <w:rPr>
          <w:rFonts w:ascii="Calibri" w:hAnsi="Calibri"/>
          <w:color w:val="001F60"/>
          <w:spacing w:val="-5"/>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emissão</w:t>
      </w:r>
      <w:r>
        <w:rPr>
          <w:rFonts w:ascii="Calibri" w:hAnsi="Calibri"/>
          <w:color w:val="001F60"/>
          <w:spacing w:val="-3"/>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R$</w:t>
      </w:r>
      <w:r>
        <w:rPr>
          <w:rFonts w:ascii="Calibri" w:hAnsi="Calibri"/>
          <w:color w:val="001F60"/>
          <w:spacing w:val="-6"/>
        </w:rPr>
        <w:t xml:space="preserve"> </w:t>
      </w:r>
      <w:r>
        <w:rPr>
          <w:rFonts w:ascii="Calibri" w:hAnsi="Calibri"/>
          <w:color w:val="001F60"/>
        </w:rPr>
        <w:t>15,83388257</w:t>
      </w:r>
      <w:r>
        <w:rPr>
          <w:rFonts w:ascii="Calibri" w:hAnsi="Calibri"/>
          <w:color w:val="001F60"/>
          <w:spacing w:val="-5"/>
        </w:rPr>
        <w:t xml:space="preserve"> </w:t>
      </w:r>
      <w:r>
        <w:rPr>
          <w:rFonts w:ascii="Calibri" w:hAnsi="Calibri"/>
          <w:color w:val="001F60"/>
        </w:rPr>
        <w:t>por</w:t>
      </w:r>
      <w:r>
        <w:rPr>
          <w:rFonts w:ascii="Calibri" w:hAnsi="Calibri"/>
          <w:color w:val="001F60"/>
          <w:spacing w:val="-6"/>
        </w:rPr>
        <w:t xml:space="preserve"> </w:t>
      </w:r>
      <w:r>
        <w:rPr>
          <w:rFonts w:ascii="Calibri" w:hAnsi="Calibri"/>
          <w:color w:val="001F60"/>
        </w:rPr>
        <w:t>ação.</w:t>
      </w:r>
      <w:r>
        <w:rPr>
          <w:rFonts w:ascii="Calibri" w:hAnsi="Calibri"/>
          <w:color w:val="001F60"/>
          <w:spacing w:val="-6"/>
        </w:rPr>
        <w:t xml:space="preserve"> </w:t>
      </w:r>
      <w:r>
        <w:rPr>
          <w:rFonts w:ascii="Calibri" w:hAnsi="Calibri"/>
          <w:color w:val="001F60"/>
        </w:rPr>
        <w:t>Com</w:t>
      </w:r>
      <w:r>
        <w:rPr>
          <w:rFonts w:ascii="Calibri" w:hAnsi="Calibri"/>
          <w:color w:val="001F60"/>
          <w:spacing w:val="-6"/>
        </w:rPr>
        <w:t xml:space="preserve"> </w:t>
      </w:r>
      <w:r>
        <w:rPr>
          <w:rFonts w:ascii="Calibri" w:hAnsi="Calibri"/>
          <w:color w:val="001F60"/>
        </w:rPr>
        <w:t>essa</w:t>
      </w:r>
      <w:r>
        <w:rPr>
          <w:rFonts w:ascii="Calibri" w:hAnsi="Calibri"/>
          <w:color w:val="001F60"/>
          <w:spacing w:val="-6"/>
        </w:rPr>
        <w:t xml:space="preserve"> </w:t>
      </w:r>
      <w:r>
        <w:rPr>
          <w:rFonts w:ascii="Calibri" w:hAnsi="Calibri"/>
          <w:color w:val="001F60"/>
        </w:rPr>
        <w:t>homologação,</w:t>
      </w:r>
      <w:r>
        <w:rPr>
          <w:rFonts w:ascii="Calibri" w:hAnsi="Calibri"/>
          <w:color w:val="001F60"/>
          <w:spacing w:val="-6"/>
        </w:rPr>
        <w:t xml:space="preserve"> </w:t>
      </w:r>
      <w:r>
        <w:rPr>
          <w:rFonts w:ascii="Calibri" w:hAnsi="Calibri"/>
          <w:color w:val="001F60"/>
        </w:rPr>
        <w:t>o</w:t>
      </w:r>
      <w:r>
        <w:rPr>
          <w:rFonts w:ascii="Calibri" w:hAnsi="Calibri"/>
          <w:color w:val="001F60"/>
          <w:spacing w:val="-6"/>
        </w:rPr>
        <w:t xml:space="preserve"> </w:t>
      </w:r>
      <w:r>
        <w:rPr>
          <w:rFonts w:ascii="Calibri" w:hAnsi="Calibri"/>
          <w:color w:val="001F60"/>
        </w:rPr>
        <w:t>capital</w:t>
      </w:r>
      <w:r>
        <w:rPr>
          <w:rFonts w:ascii="Calibri" w:hAnsi="Calibri"/>
          <w:color w:val="001F60"/>
          <w:spacing w:val="-6"/>
        </w:rPr>
        <w:t xml:space="preserve"> </w:t>
      </w:r>
      <w:r>
        <w:rPr>
          <w:rFonts w:ascii="Calibri" w:hAnsi="Calibri"/>
          <w:color w:val="001F60"/>
        </w:rPr>
        <w:t>social</w:t>
      </w:r>
      <w:r>
        <w:rPr>
          <w:rFonts w:ascii="Calibri" w:hAnsi="Calibri"/>
          <w:color w:val="001F60"/>
          <w:spacing w:val="-8"/>
        </w:rPr>
        <w:t xml:space="preserve"> </w:t>
      </w:r>
      <w:r>
        <w:rPr>
          <w:rFonts w:ascii="Calibri" w:hAnsi="Calibri"/>
          <w:color w:val="001F60"/>
        </w:rPr>
        <w:t>integralmente subscrito</w:t>
      </w:r>
      <w:r>
        <w:rPr>
          <w:rFonts w:ascii="Calibri" w:hAnsi="Calibri"/>
          <w:color w:val="001F60"/>
          <w:spacing w:val="-13"/>
        </w:rPr>
        <w:t xml:space="preserve"> </w:t>
      </w:r>
      <w:r>
        <w:rPr>
          <w:rFonts w:ascii="Calibri" w:hAnsi="Calibri"/>
          <w:color w:val="001F60"/>
        </w:rPr>
        <w:t>passou</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R$</w:t>
      </w:r>
      <w:r>
        <w:rPr>
          <w:rFonts w:ascii="Calibri" w:hAnsi="Calibri"/>
          <w:color w:val="001F60"/>
          <w:spacing w:val="-12"/>
        </w:rPr>
        <w:t xml:space="preserve"> </w:t>
      </w:r>
      <w:r>
        <w:rPr>
          <w:rFonts w:ascii="Calibri" w:hAnsi="Calibri"/>
          <w:color w:val="001F60"/>
        </w:rPr>
        <w:t>3.586.754</w:t>
      </w:r>
      <w:r>
        <w:rPr>
          <w:rFonts w:ascii="Calibri" w:hAnsi="Calibri"/>
          <w:color w:val="001F60"/>
          <w:spacing w:val="-13"/>
        </w:rPr>
        <w:t xml:space="preserve"> </w:t>
      </w:r>
      <w:r>
        <w:rPr>
          <w:rFonts w:ascii="Calibri" w:hAnsi="Calibri"/>
          <w:color w:val="001F60"/>
        </w:rPr>
        <w:t>para</w:t>
      </w:r>
      <w:r>
        <w:rPr>
          <w:rFonts w:ascii="Calibri" w:hAnsi="Calibri"/>
          <w:color w:val="001F60"/>
          <w:spacing w:val="-12"/>
        </w:rPr>
        <w:t xml:space="preserve"> </w:t>
      </w:r>
      <w:r>
        <w:rPr>
          <w:rFonts w:ascii="Calibri" w:hAnsi="Calibri"/>
          <w:color w:val="001F60"/>
        </w:rPr>
        <w:t>R$</w:t>
      </w:r>
      <w:r>
        <w:rPr>
          <w:rFonts w:ascii="Calibri" w:hAnsi="Calibri"/>
          <w:color w:val="001F60"/>
          <w:spacing w:val="-13"/>
        </w:rPr>
        <w:t xml:space="preserve"> </w:t>
      </w:r>
      <w:r>
        <w:rPr>
          <w:rFonts w:ascii="Calibri" w:hAnsi="Calibri"/>
          <w:color w:val="001F60"/>
        </w:rPr>
        <w:t>3.719.535,</w:t>
      </w:r>
      <w:r>
        <w:rPr>
          <w:rFonts w:ascii="Calibri" w:hAnsi="Calibri"/>
          <w:color w:val="001F60"/>
          <w:spacing w:val="-12"/>
        </w:rPr>
        <w:t xml:space="preserve"> </w:t>
      </w:r>
      <w:r>
        <w:rPr>
          <w:rFonts w:ascii="Calibri" w:hAnsi="Calibri"/>
          <w:color w:val="001F60"/>
        </w:rPr>
        <w:t>totalizando</w:t>
      </w:r>
      <w:r>
        <w:rPr>
          <w:rFonts w:ascii="Calibri" w:hAnsi="Calibri"/>
          <w:color w:val="001F60"/>
          <w:spacing w:val="-12"/>
        </w:rPr>
        <w:t xml:space="preserve"> </w:t>
      </w:r>
      <w:r>
        <w:rPr>
          <w:rFonts w:ascii="Calibri" w:hAnsi="Calibri"/>
          <w:color w:val="001F60"/>
        </w:rPr>
        <w:t>101.983.403</w:t>
      </w:r>
      <w:r>
        <w:rPr>
          <w:rFonts w:ascii="Calibri" w:hAnsi="Calibri"/>
          <w:color w:val="001F60"/>
          <w:spacing w:val="-13"/>
        </w:rPr>
        <w:t xml:space="preserve"> </w:t>
      </w:r>
      <w:r>
        <w:rPr>
          <w:rFonts w:ascii="Calibri" w:hAnsi="Calibri"/>
          <w:color w:val="001F60"/>
        </w:rPr>
        <w:t>ações,</w:t>
      </w:r>
      <w:r>
        <w:rPr>
          <w:rFonts w:ascii="Calibri" w:hAnsi="Calibri"/>
          <w:color w:val="001F60"/>
          <w:spacing w:val="-12"/>
        </w:rPr>
        <w:t xml:space="preserve"> </w:t>
      </w:r>
      <w:r>
        <w:rPr>
          <w:rFonts w:ascii="Calibri" w:hAnsi="Calibri"/>
          <w:color w:val="001F60"/>
        </w:rPr>
        <w:t>sendo</w:t>
      </w:r>
      <w:r>
        <w:rPr>
          <w:rFonts w:ascii="Calibri" w:hAnsi="Calibri"/>
          <w:color w:val="001F60"/>
          <w:spacing w:val="-13"/>
        </w:rPr>
        <w:t xml:space="preserve"> </w:t>
      </w:r>
      <w:r>
        <w:rPr>
          <w:rFonts w:ascii="Calibri" w:hAnsi="Calibri"/>
          <w:color w:val="001F60"/>
        </w:rPr>
        <w:t>83.575.912 ações</w:t>
      </w:r>
      <w:r>
        <w:rPr>
          <w:rFonts w:ascii="Calibri" w:hAnsi="Calibri"/>
          <w:color w:val="001F60"/>
          <w:spacing w:val="-8"/>
        </w:rPr>
        <w:t xml:space="preserve"> </w:t>
      </w:r>
      <w:r>
        <w:rPr>
          <w:rFonts w:ascii="Calibri" w:hAnsi="Calibri"/>
          <w:color w:val="001F60"/>
        </w:rPr>
        <w:t>ordinárias</w:t>
      </w:r>
      <w:r>
        <w:rPr>
          <w:rFonts w:ascii="Calibri" w:hAnsi="Calibri"/>
          <w:color w:val="001F60"/>
          <w:spacing w:val="-9"/>
        </w:rPr>
        <w:t xml:space="preserve"> </w:t>
      </w:r>
      <w:r>
        <w:rPr>
          <w:rFonts w:ascii="Calibri" w:hAnsi="Calibri"/>
          <w:color w:val="001F60"/>
        </w:rPr>
        <w:t>e</w:t>
      </w:r>
      <w:r>
        <w:rPr>
          <w:rFonts w:ascii="Calibri" w:hAnsi="Calibri"/>
          <w:color w:val="001F60"/>
          <w:spacing w:val="-10"/>
        </w:rPr>
        <w:t xml:space="preserve"> </w:t>
      </w:r>
      <w:r>
        <w:rPr>
          <w:rFonts w:ascii="Calibri" w:hAnsi="Calibri"/>
          <w:color w:val="001F60"/>
        </w:rPr>
        <w:t>18.407.491</w:t>
      </w:r>
      <w:r>
        <w:rPr>
          <w:rFonts w:ascii="Calibri" w:hAnsi="Calibri"/>
          <w:color w:val="001F60"/>
          <w:spacing w:val="-6"/>
        </w:rPr>
        <w:t xml:space="preserve"> </w:t>
      </w:r>
      <w:r>
        <w:rPr>
          <w:rFonts w:ascii="Calibri" w:hAnsi="Calibri"/>
          <w:color w:val="001F60"/>
        </w:rPr>
        <w:t>ações</w:t>
      </w:r>
      <w:r>
        <w:rPr>
          <w:rFonts w:ascii="Calibri" w:hAnsi="Calibri"/>
          <w:color w:val="001F60"/>
          <w:spacing w:val="-8"/>
        </w:rPr>
        <w:t xml:space="preserve"> </w:t>
      </w:r>
      <w:r>
        <w:rPr>
          <w:rFonts w:ascii="Calibri" w:hAnsi="Calibri"/>
          <w:color w:val="001F60"/>
        </w:rPr>
        <w:t>preferenciais,</w:t>
      </w:r>
      <w:r>
        <w:rPr>
          <w:rFonts w:ascii="Calibri" w:hAnsi="Calibri"/>
          <w:color w:val="001F60"/>
          <w:spacing w:val="-9"/>
        </w:rPr>
        <w:t xml:space="preserve"> </w:t>
      </w:r>
      <w:r>
        <w:rPr>
          <w:rFonts w:ascii="Calibri" w:hAnsi="Calibri"/>
          <w:color w:val="001F60"/>
        </w:rPr>
        <w:t>todas</w:t>
      </w:r>
      <w:r>
        <w:rPr>
          <w:rFonts w:ascii="Calibri" w:hAnsi="Calibri"/>
          <w:color w:val="001F60"/>
          <w:spacing w:val="-8"/>
        </w:rPr>
        <w:t xml:space="preserve"> </w:t>
      </w:r>
      <w:r>
        <w:rPr>
          <w:rFonts w:ascii="Calibri" w:hAnsi="Calibri"/>
          <w:color w:val="001F60"/>
        </w:rPr>
        <w:t>nominativas,</w:t>
      </w:r>
      <w:r>
        <w:rPr>
          <w:rFonts w:ascii="Calibri" w:hAnsi="Calibri"/>
          <w:color w:val="001F60"/>
          <w:spacing w:val="-9"/>
        </w:rPr>
        <w:t xml:space="preserve"> </w:t>
      </w:r>
      <w:r>
        <w:rPr>
          <w:rFonts w:ascii="Calibri" w:hAnsi="Calibri"/>
          <w:color w:val="001F60"/>
        </w:rPr>
        <w:t>escriturais</w:t>
      </w:r>
      <w:r>
        <w:rPr>
          <w:rFonts w:ascii="Calibri" w:hAnsi="Calibri"/>
          <w:color w:val="001F60"/>
          <w:spacing w:val="-12"/>
        </w:rPr>
        <w:t xml:space="preserve"> </w:t>
      </w:r>
      <w:r>
        <w:rPr>
          <w:rFonts w:ascii="Calibri" w:hAnsi="Calibri"/>
          <w:color w:val="001F60"/>
        </w:rPr>
        <w:t>e</w:t>
      </w:r>
      <w:r>
        <w:rPr>
          <w:rFonts w:ascii="Calibri" w:hAnsi="Calibri"/>
          <w:color w:val="001F60"/>
          <w:spacing w:val="-8"/>
        </w:rPr>
        <w:t xml:space="preserve"> </w:t>
      </w:r>
      <w:r>
        <w:rPr>
          <w:rFonts w:ascii="Calibri" w:hAnsi="Calibri"/>
          <w:color w:val="001F60"/>
        </w:rPr>
        <w:t>sem</w:t>
      </w:r>
      <w:r>
        <w:rPr>
          <w:rFonts w:ascii="Calibri" w:hAnsi="Calibri"/>
          <w:color w:val="001F60"/>
          <w:spacing w:val="-9"/>
        </w:rPr>
        <w:t xml:space="preserve"> </w:t>
      </w:r>
      <w:r>
        <w:rPr>
          <w:rFonts w:ascii="Calibri" w:hAnsi="Calibri"/>
          <w:color w:val="001F60"/>
        </w:rPr>
        <w:t>valor</w:t>
      </w:r>
      <w:r>
        <w:rPr>
          <w:rFonts w:ascii="Calibri" w:hAnsi="Calibri"/>
          <w:color w:val="001F60"/>
          <w:spacing w:val="-7"/>
        </w:rPr>
        <w:t xml:space="preserve"> </w:t>
      </w:r>
      <w:r>
        <w:rPr>
          <w:rFonts w:ascii="Calibri" w:hAnsi="Calibri"/>
          <w:color w:val="001F60"/>
          <w:spacing w:val="-2"/>
        </w:rPr>
        <w:t>nominal.</w:t>
      </w:r>
    </w:p>
    <w:p w14:paraId="0BB11663" w14:textId="77777777" w:rsidR="002C6574" w:rsidRDefault="00000000">
      <w:pPr>
        <w:pStyle w:val="Corpodetexto"/>
        <w:spacing w:before="122"/>
        <w:ind w:left="709" w:right="274"/>
        <w:jc w:val="both"/>
        <w:rPr>
          <w:rFonts w:ascii="Calibri" w:hAnsi="Calibri"/>
        </w:rPr>
      </w:pPr>
      <w:r>
        <w:rPr>
          <w:rFonts w:ascii="Calibri" w:hAnsi="Calibri"/>
          <w:color w:val="001F60"/>
        </w:rPr>
        <w:t xml:space="preserve">Em 28/10/2025 foi aprovada na 523ª Reunião Ordinária do Conselho de Administração (ROCA) a solicitação de decreto para novo aumento de capital. Atualmente, o processo encontra-se na Casa </w:t>
      </w:r>
      <w:r>
        <w:rPr>
          <w:rFonts w:ascii="Calibri" w:hAnsi="Calibri"/>
          <w:color w:val="001F60"/>
          <w:spacing w:val="-2"/>
        </w:rPr>
        <w:t>Civil.</w:t>
      </w:r>
    </w:p>
    <w:p w14:paraId="23B47A55" w14:textId="77777777" w:rsidR="002C6574" w:rsidRDefault="00000000">
      <w:pPr>
        <w:pStyle w:val="Corpodetexto"/>
        <w:spacing w:before="118"/>
        <w:ind w:left="709" w:right="276"/>
        <w:jc w:val="both"/>
        <w:rPr>
          <w:rFonts w:ascii="Calibri" w:hAnsi="Calibri"/>
        </w:rPr>
      </w:pPr>
      <w:r>
        <w:rPr>
          <w:rFonts w:ascii="Calibri" w:hAnsi="Calibri"/>
          <w:color w:val="001F60"/>
        </w:rPr>
        <w:t>Seguindo</w:t>
      </w:r>
      <w:r>
        <w:rPr>
          <w:rFonts w:ascii="Calibri" w:hAnsi="Calibri"/>
          <w:color w:val="001F60"/>
          <w:spacing w:val="-4"/>
        </w:rPr>
        <w:t xml:space="preserve"> </w:t>
      </w:r>
      <w:r>
        <w:rPr>
          <w:rFonts w:ascii="Calibri" w:hAnsi="Calibri"/>
          <w:color w:val="001F60"/>
        </w:rPr>
        <w:t>as</w:t>
      </w:r>
      <w:r>
        <w:rPr>
          <w:rFonts w:ascii="Calibri" w:hAnsi="Calibri"/>
          <w:color w:val="001F60"/>
          <w:spacing w:val="-4"/>
        </w:rPr>
        <w:t xml:space="preserve"> </w:t>
      </w:r>
      <w:r>
        <w:rPr>
          <w:rFonts w:ascii="Calibri" w:hAnsi="Calibri"/>
          <w:color w:val="001F60"/>
        </w:rPr>
        <w:t>normativas</w:t>
      </w:r>
      <w:r>
        <w:rPr>
          <w:rFonts w:ascii="Calibri" w:hAnsi="Calibri"/>
          <w:color w:val="001F60"/>
          <w:spacing w:val="-6"/>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sustentabilidade</w:t>
      </w:r>
      <w:r>
        <w:rPr>
          <w:rFonts w:ascii="Calibri" w:hAnsi="Calibri"/>
          <w:color w:val="001F60"/>
          <w:spacing w:val="-4"/>
        </w:rPr>
        <w:t xml:space="preserve"> </w:t>
      </w:r>
      <w:r>
        <w:rPr>
          <w:rFonts w:ascii="Calibri" w:hAnsi="Calibri"/>
          <w:color w:val="001F60"/>
        </w:rPr>
        <w:t>da</w:t>
      </w:r>
      <w:r>
        <w:rPr>
          <w:rFonts w:ascii="Calibri" w:hAnsi="Calibri"/>
          <w:color w:val="001F60"/>
          <w:spacing w:val="-6"/>
        </w:rPr>
        <w:t xml:space="preserve"> </w:t>
      </w:r>
      <w:r>
        <w:rPr>
          <w:rFonts w:ascii="Calibri" w:hAnsi="Calibri"/>
          <w:color w:val="001F60"/>
        </w:rPr>
        <w:t>empresa</w:t>
      </w:r>
      <w:r>
        <w:rPr>
          <w:rFonts w:ascii="Calibri" w:hAnsi="Calibri"/>
          <w:color w:val="001F60"/>
          <w:spacing w:val="-6"/>
        </w:rPr>
        <w:t xml:space="preserve"> </w:t>
      </w:r>
      <w:r>
        <w:rPr>
          <w:rFonts w:ascii="Calibri" w:hAnsi="Calibri"/>
          <w:color w:val="001F60"/>
        </w:rPr>
        <w:t>e</w:t>
      </w:r>
      <w:r>
        <w:rPr>
          <w:rFonts w:ascii="Calibri" w:hAnsi="Calibri"/>
          <w:color w:val="001F60"/>
          <w:spacing w:val="-4"/>
        </w:rPr>
        <w:t xml:space="preserve"> </w:t>
      </w:r>
      <w:r>
        <w:rPr>
          <w:rFonts w:ascii="Calibri" w:hAnsi="Calibri"/>
          <w:color w:val="001F60"/>
        </w:rPr>
        <w:t>as</w:t>
      </w:r>
      <w:r>
        <w:rPr>
          <w:rFonts w:ascii="Calibri" w:hAnsi="Calibri"/>
          <w:color w:val="001F60"/>
          <w:spacing w:val="-6"/>
        </w:rPr>
        <w:t xml:space="preserve"> </w:t>
      </w:r>
      <w:r>
        <w:rPr>
          <w:rFonts w:ascii="Calibri" w:hAnsi="Calibri"/>
          <w:color w:val="001F60"/>
        </w:rPr>
        <w:t>recomendações</w:t>
      </w:r>
      <w:r>
        <w:rPr>
          <w:rFonts w:ascii="Calibri" w:hAnsi="Calibri"/>
          <w:color w:val="001F60"/>
          <w:spacing w:val="-4"/>
        </w:rPr>
        <w:t xml:space="preserve"> </w:t>
      </w:r>
      <w:r>
        <w:rPr>
          <w:rFonts w:ascii="Calibri" w:hAnsi="Calibri"/>
          <w:color w:val="001F60"/>
        </w:rPr>
        <w:t>feitas</w:t>
      </w:r>
      <w:r>
        <w:rPr>
          <w:rFonts w:ascii="Calibri" w:hAnsi="Calibri"/>
          <w:color w:val="001F60"/>
          <w:spacing w:val="-4"/>
        </w:rPr>
        <w:t xml:space="preserve"> </w:t>
      </w:r>
      <w:r>
        <w:rPr>
          <w:rFonts w:ascii="Calibri" w:hAnsi="Calibri"/>
          <w:color w:val="001F60"/>
        </w:rPr>
        <w:t>pela</w:t>
      </w:r>
      <w:r>
        <w:rPr>
          <w:rFonts w:ascii="Calibri" w:hAnsi="Calibri"/>
          <w:color w:val="001F60"/>
          <w:spacing w:val="-4"/>
        </w:rPr>
        <w:t xml:space="preserve"> </w:t>
      </w:r>
      <w:r>
        <w:rPr>
          <w:rFonts w:ascii="Calibri" w:hAnsi="Calibri"/>
          <w:color w:val="001F60"/>
        </w:rPr>
        <w:t>Secretaria</w:t>
      </w:r>
      <w:r>
        <w:rPr>
          <w:rFonts w:ascii="Calibri" w:hAnsi="Calibri"/>
          <w:color w:val="001F60"/>
          <w:spacing w:val="-6"/>
        </w:rPr>
        <w:t xml:space="preserve"> </w:t>
      </w:r>
      <w:r>
        <w:rPr>
          <w:rFonts w:ascii="Calibri" w:hAnsi="Calibri"/>
          <w:color w:val="001F60"/>
        </w:rPr>
        <w:t xml:space="preserve">do Tesouro Nacional e Procuradoria da Fazenda Nacional, seguiremos com a realização de processos de aumento de capital a cada 06 (seis) meses, porém sempre após a publicação de demonstrações </w:t>
      </w:r>
      <w:r>
        <w:rPr>
          <w:rFonts w:ascii="Calibri" w:hAnsi="Calibri"/>
          <w:color w:val="001F60"/>
          <w:spacing w:val="-2"/>
        </w:rPr>
        <w:t>financeiras.</w:t>
      </w:r>
    </w:p>
    <w:p w14:paraId="5DC5C25A" w14:textId="77777777" w:rsidR="002C6574" w:rsidRDefault="00000000">
      <w:pPr>
        <w:pStyle w:val="Corpodetexto"/>
        <w:spacing w:before="121"/>
        <w:ind w:left="709" w:right="278"/>
        <w:jc w:val="both"/>
        <w:rPr>
          <w:rFonts w:ascii="Calibri" w:hAnsi="Calibri"/>
        </w:rPr>
      </w:pPr>
      <w:r>
        <w:rPr>
          <w:rFonts w:ascii="Calibri" w:hAnsi="Calibri"/>
          <w:color w:val="001F60"/>
        </w:rPr>
        <w:t>Os</w:t>
      </w:r>
      <w:r>
        <w:rPr>
          <w:rFonts w:ascii="Calibri" w:hAnsi="Calibri"/>
          <w:color w:val="001F60"/>
          <w:spacing w:val="-4"/>
        </w:rPr>
        <w:t xml:space="preserve"> </w:t>
      </w:r>
      <w:r>
        <w:rPr>
          <w:rFonts w:ascii="Calibri" w:hAnsi="Calibri"/>
          <w:color w:val="001F60"/>
        </w:rPr>
        <w:t>acionistas</w:t>
      </w:r>
      <w:r>
        <w:rPr>
          <w:rFonts w:ascii="Calibri" w:hAnsi="Calibri"/>
          <w:color w:val="001F60"/>
          <w:spacing w:val="-6"/>
        </w:rPr>
        <w:t xml:space="preserve"> </w:t>
      </w:r>
      <w:r>
        <w:rPr>
          <w:rFonts w:ascii="Calibri" w:hAnsi="Calibri"/>
          <w:color w:val="001F60"/>
        </w:rPr>
        <w:t>e</w:t>
      </w:r>
      <w:r>
        <w:rPr>
          <w:rFonts w:ascii="Calibri" w:hAnsi="Calibri"/>
          <w:color w:val="001F60"/>
          <w:spacing w:val="-8"/>
        </w:rPr>
        <w:t xml:space="preserve"> </w:t>
      </w:r>
      <w:r>
        <w:rPr>
          <w:rFonts w:ascii="Calibri" w:hAnsi="Calibri"/>
          <w:color w:val="001F60"/>
        </w:rPr>
        <w:t>investidores</w:t>
      </w:r>
      <w:r>
        <w:rPr>
          <w:rFonts w:ascii="Calibri" w:hAnsi="Calibri"/>
          <w:color w:val="001F60"/>
          <w:spacing w:val="-6"/>
        </w:rPr>
        <w:t xml:space="preserve"> </w:t>
      </w:r>
      <w:r>
        <w:rPr>
          <w:rFonts w:ascii="Calibri" w:hAnsi="Calibri"/>
          <w:color w:val="001F60"/>
        </w:rPr>
        <w:t>que</w:t>
      </w:r>
      <w:r>
        <w:rPr>
          <w:rFonts w:ascii="Calibri" w:hAnsi="Calibri"/>
          <w:color w:val="001F60"/>
          <w:spacing w:val="-4"/>
        </w:rPr>
        <w:t xml:space="preserve"> </w:t>
      </w:r>
      <w:r>
        <w:rPr>
          <w:rFonts w:ascii="Calibri" w:hAnsi="Calibri"/>
          <w:color w:val="001F60"/>
        </w:rPr>
        <w:t>desejarem</w:t>
      </w:r>
      <w:r>
        <w:rPr>
          <w:rFonts w:ascii="Calibri" w:hAnsi="Calibri"/>
          <w:color w:val="001F60"/>
          <w:spacing w:val="-6"/>
        </w:rPr>
        <w:t xml:space="preserve"> </w:t>
      </w:r>
      <w:r>
        <w:rPr>
          <w:rFonts w:ascii="Calibri" w:hAnsi="Calibri"/>
          <w:color w:val="001F60"/>
        </w:rPr>
        <w:t>obter</w:t>
      </w:r>
      <w:r>
        <w:rPr>
          <w:rFonts w:ascii="Calibri" w:hAnsi="Calibri"/>
          <w:color w:val="001F60"/>
          <w:spacing w:val="-6"/>
        </w:rPr>
        <w:t xml:space="preserve"> </w:t>
      </w:r>
      <w:r>
        <w:rPr>
          <w:rFonts w:ascii="Calibri" w:hAnsi="Calibri"/>
          <w:color w:val="001F60"/>
        </w:rPr>
        <w:t>informações</w:t>
      </w:r>
      <w:r>
        <w:rPr>
          <w:rFonts w:ascii="Calibri" w:hAnsi="Calibri"/>
          <w:color w:val="001F60"/>
          <w:spacing w:val="-8"/>
        </w:rPr>
        <w:t xml:space="preserve"> </w:t>
      </w:r>
      <w:r>
        <w:rPr>
          <w:rFonts w:ascii="Calibri" w:hAnsi="Calibri"/>
          <w:color w:val="001F60"/>
        </w:rPr>
        <w:t>adicionais</w:t>
      </w:r>
      <w:r>
        <w:rPr>
          <w:rFonts w:ascii="Calibri" w:hAnsi="Calibri"/>
          <w:color w:val="001F60"/>
          <w:spacing w:val="-6"/>
        </w:rPr>
        <w:t xml:space="preserve"> </w:t>
      </w:r>
      <w:r>
        <w:rPr>
          <w:rFonts w:ascii="Calibri" w:hAnsi="Calibri"/>
          <w:color w:val="001F60"/>
        </w:rPr>
        <w:t>podem</w:t>
      </w:r>
      <w:r>
        <w:rPr>
          <w:rFonts w:ascii="Calibri" w:hAnsi="Calibri"/>
          <w:color w:val="001F60"/>
          <w:spacing w:val="-3"/>
        </w:rPr>
        <w:t xml:space="preserve"> </w:t>
      </w:r>
      <w:r>
        <w:rPr>
          <w:rFonts w:ascii="Calibri" w:hAnsi="Calibri"/>
          <w:color w:val="001F60"/>
        </w:rPr>
        <w:t>contatar</w:t>
      </w:r>
      <w:r>
        <w:rPr>
          <w:rFonts w:ascii="Calibri" w:hAnsi="Calibri"/>
          <w:color w:val="001F60"/>
          <w:spacing w:val="-8"/>
        </w:rPr>
        <w:t xml:space="preserve"> </w:t>
      </w:r>
      <w:r>
        <w:rPr>
          <w:rFonts w:ascii="Calibri" w:hAnsi="Calibri"/>
          <w:color w:val="001F60"/>
        </w:rPr>
        <w:t>a</w:t>
      </w:r>
      <w:r>
        <w:rPr>
          <w:rFonts w:ascii="Calibri" w:hAnsi="Calibri"/>
          <w:color w:val="001F60"/>
          <w:spacing w:val="-4"/>
        </w:rPr>
        <w:t xml:space="preserve"> </w:t>
      </w:r>
      <w:r>
        <w:rPr>
          <w:rFonts w:ascii="Calibri" w:hAnsi="Calibri"/>
          <w:color w:val="001F60"/>
        </w:rPr>
        <w:t xml:space="preserve">Assessoria de Relações com Investidores pelo e-mail </w:t>
      </w:r>
      <w:hyperlink r:id="rId21">
        <w:r>
          <w:rPr>
            <w:rFonts w:ascii="Calibri" w:hAnsi="Calibri"/>
            <w:color w:val="001F60"/>
          </w:rPr>
          <w:t>investidores@telebras.com.br</w:t>
        </w:r>
      </w:hyperlink>
      <w:r>
        <w:rPr>
          <w:rFonts w:ascii="Calibri" w:hAnsi="Calibri"/>
          <w:color w:val="001F60"/>
        </w:rPr>
        <w:t xml:space="preserve"> ou pelo telefone (61) 2027- </w:t>
      </w:r>
      <w:r>
        <w:rPr>
          <w:rFonts w:ascii="Calibri" w:hAnsi="Calibri"/>
          <w:color w:val="001F60"/>
          <w:spacing w:val="-2"/>
        </w:rPr>
        <w:t>1210.</w:t>
      </w:r>
    </w:p>
    <w:p w14:paraId="06BDEEBC" w14:textId="77777777" w:rsidR="002C6574" w:rsidRDefault="002C6574">
      <w:pPr>
        <w:pStyle w:val="Corpodetexto"/>
        <w:spacing w:before="92"/>
        <w:rPr>
          <w:rFonts w:ascii="Calibri"/>
        </w:rPr>
      </w:pPr>
    </w:p>
    <w:p w14:paraId="3F7C5553" w14:textId="77777777" w:rsidR="002C6574" w:rsidRDefault="00000000">
      <w:pPr>
        <w:numPr>
          <w:ilvl w:val="1"/>
          <w:numId w:val="74"/>
        </w:numPr>
        <w:tabs>
          <w:tab w:val="left" w:pos="1274"/>
        </w:tabs>
        <w:ind w:left="1274" w:hanging="565"/>
        <w:jc w:val="both"/>
        <w:rPr>
          <w:rFonts w:ascii="Calibri" w:hAnsi="Calibri"/>
          <w:b/>
        </w:rPr>
      </w:pPr>
      <w:r>
        <w:rPr>
          <w:rFonts w:ascii="Calibri" w:hAnsi="Calibri"/>
          <w:b/>
          <w:color w:val="001F60"/>
        </w:rPr>
        <w:t>Gestão</w:t>
      </w:r>
      <w:r>
        <w:rPr>
          <w:rFonts w:ascii="Calibri" w:hAnsi="Calibri"/>
          <w:b/>
          <w:color w:val="001F60"/>
          <w:spacing w:val="-2"/>
        </w:rPr>
        <w:t xml:space="preserve"> Empresarial</w:t>
      </w:r>
    </w:p>
    <w:p w14:paraId="1FE21F61" w14:textId="77777777" w:rsidR="002C6574" w:rsidRDefault="002C6574">
      <w:pPr>
        <w:pStyle w:val="Corpodetexto"/>
        <w:spacing w:before="10"/>
        <w:rPr>
          <w:rFonts w:ascii="Calibri"/>
          <w:b/>
        </w:rPr>
      </w:pPr>
    </w:p>
    <w:p w14:paraId="40DA97FE" w14:textId="77777777" w:rsidR="002C6574" w:rsidRDefault="00000000">
      <w:pPr>
        <w:pStyle w:val="PargrafodaLista"/>
        <w:numPr>
          <w:ilvl w:val="2"/>
          <w:numId w:val="74"/>
        </w:numPr>
        <w:tabs>
          <w:tab w:val="left" w:pos="1414"/>
        </w:tabs>
        <w:ind w:left="1414" w:hanging="705"/>
        <w:jc w:val="both"/>
        <w:rPr>
          <w:b/>
        </w:rPr>
      </w:pPr>
      <w:r>
        <w:rPr>
          <w:b/>
          <w:color w:val="001F60"/>
        </w:rPr>
        <w:t>Desempenho</w:t>
      </w:r>
      <w:r>
        <w:rPr>
          <w:b/>
          <w:color w:val="001F60"/>
          <w:spacing w:val="-6"/>
        </w:rPr>
        <w:t xml:space="preserve"> </w:t>
      </w:r>
      <w:r>
        <w:rPr>
          <w:b/>
          <w:color w:val="001F60"/>
          <w:spacing w:val="-2"/>
        </w:rPr>
        <w:t>Estratégico</w:t>
      </w:r>
    </w:p>
    <w:p w14:paraId="1D05B741" w14:textId="77777777" w:rsidR="002C6574" w:rsidRDefault="00000000">
      <w:pPr>
        <w:pStyle w:val="Corpodetexto"/>
        <w:spacing w:before="120"/>
        <w:ind w:left="709" w:right="275"/>
        <w:jc w:val="both"/>
        <w:rPr>
          <w:rFonts w:ascii="Calibri" w:hAnsi="Calibri"/>
        </w:rPr>
      </w:pPr>
      <w:r>
        <w:rPr>
          <w:rFonts w:ascii="Calibri" w:hAnsi="Calibri"/>
          <w:color w:val="001F60"/>
        </w:rPr>
        <w:t>Em</w:t>
      </w:r>
      <w:r>
        <w:rPr>
          <w:rFonts w:ascii="Calibri" w:hAnsi="Calibri"/>
          <w:color w:val="001F60"/>
          <w:spacing w:val="-3"/>
        </w:rPr>
        <w:t xml:space="preserve"> </w:t>
      </w:r>
      <w:r>
        <w:rPr>
          <w:rFonts w:ascii="Calibri" w:hAnsi="Calibri"/>
          <w:color w:val="001F60"/>
        </w:rPr>
        <w:t>setembro</w:t>
      </w:r>
      <w:r>
        <w:rPr>
          <w:rFonts w:ascii="Calibri" w:hAnsi="Calibri"/>
          <w:color w:val="001F60"/>
          <w:spacing w:val="-2"/>
        </w:rPr>
        <w:t xml:space="preserve"> </w:t>
      </w:r>
      <w:r>
        <w:rPr>
          <w:rFonts w:ascii="Calibri" w:hAnsi="Calibri"/>
          <w:color w:val="001F60"/>
        </w:rPr>
        <w:t>de</w:t>
      </w:r>
      <w:r>
        <w:rPr>
          <w:rFonts w:ascii="Calibri" w:hAnsi="Calibri"/>
          <w:color w:val="001F60"/>
          <w:spacing w:val="-2"/>
        </w:rPr>
        <w:t xml:space="preserve"> </w:t>
      </w:r>
      <w:r>
        <w:rPr>
          <w:rFonts w:ascii="Calibri" w:hAnsi="Calibri"/>
          <w:color w:val="001F60"/>
        </w:rPr>
        <w:t>2025,</w:t>
      </w:r>
      <w:r>
        <w:rPr>
          <w:rFonts w:ascii="Calibri" w:hAnsi="Calibri"/>
          <w:color w:val="001F60"/>
          <w:spacing w:val="-6"/>
        </w:rPr>
        <w:t xml:space="preserve"> </w:t>
      </w:r>
      <w:r>
        <w:rPr>
          <w:rFonts w:ascii="Calibri" w:hAnsi="Calibri"/>
          <w:color w:val="001F60"/>
        </w:rPr>
        <w:t>a</w:t>
      </w:r>
      <w:r>
        <w:rPr>
          <w:rFonts w:ascii="Calibri" w:hAnsi="Calibri"/>
          <w:color w:val="001F60"/>
          <w:spacing w:val="-2"/>
        </w:rPr>
        <w:t xml:space="preserve"> </w:t>
      </w:r>
      <w:r>
        <w:rPr>
          <w:rFonts w:ascii="Calibri" w:hAnsi="Calibri"/>
          <w:color w:val="001F60"/>
        </w:rPr>
        <w:t>Telebras</w:t>
      </w:r>
      <w:r>
        <w:rPr>
          <w:rFonts w:ascii="Calibri" w:hAnsi="Calibri"/>
          <w:color w:val="001F60"/>
          <w:spacing w:val="-2"/>
        </w:rPr>
        <w:t xml:space="preserve"> </w:t>
      </w:r>
      <w:r>
        <w:rPr>
          <w:rFonts w:ascii="Calibri" w:hAnsi="Calibri"/>
          <w:color w:val="001F60"/>
        </w:rPr>
        <w:t>firmou</w:t>
      </w:r>
      <w:r>
        <w:rPr>
          <w:rFonts w:ascii="Calibri" w:hAnsi="Calibri"/>
          <w:color w:val="001F60"/>
          <w:spacing w:val="-3"/>
        </w:rPr>
        <w:t xml:space="preserve"> </w:t>
      </w:r>
      <w:r>
        <w:rPr>
          <w:rFonts w:ascii="Calibri" w:hAnsi="Calibri"/>
          <w:color w:val="001F60"/>
        </w:rPr>
        <w:t>um</w:t>
      </w:r>
      <w:r>
        <w:rPr>
          <w:rFonts w:ascii="Calibri" w:hAnsi="Calibri"/>
          <w:color w:val="001F60"/>
          <w:spacing w:val="-3"/>
        </w:rPr>
        <w:t xml:space="preserve"> </w:t>
      </w:r>
      <w:r>
        <w:rPr>
          <w:rFonts w:ascii="Calibri" w:hAnsi="Calibri"/>
          <w:b/>
          <w:color w:val="001F60"/>
        </w:rPr>
        <w:t>Contrato</w:t>
      </w:r>
      <w:r>
        <w:rPr>
          <w:rFonts w:ascii="Calibri" w:hAnsi="Calibri"/>
          <w:b/>
          <w:color w:val="001F60"/>
          <w:spacing w:val="-4"/>
        </w:rPr>
        <w:t xml:space="preserve"> </w:t>
      </w:r>
      <w:r>
        <w:rPr>
          <w:rFonts w:ascii="Calibri" w:hAnsi="Calibri"/>
          <w:b/>
          <w:color w:val="001F60"/>
        </w:rPr>
        <w:t>de</w:t>
      </w:r>
      <w:r>
        <w:rPr>
          <w:rFonts w:ascii="Calibri" w:hAnsi="Calibri"/>
          <w:b/>
          <w:color w:val="001F60"/>
          <w:spacing w:val="-2"/>
        </w:rPr>
        <w:t xml:space="preserve"> </w:t>
      </w:r>
      <w:r>
        <w:rPr>
          <w:rFonts w:ascii="Calibri" w:hAnsi="Calibri"/>
          <w:b/>
          <w:color w:val="001F60"/>
        </w:rPr>
        <w:t>Gestão</w:t>
      </w:r>
      <w:r>
        <w:rPr>
          <w:rFonts w:ascii="Calibri" w:hAnsi="Calibri"/>
          <w:b/>
          <w:color w:val="001F60"/>
          <w:spacing w:val="-3"/>
        </w:rPr>
        <w:t xml:space="preserve"> </w:t>
      </w:r>
      <w:r>
        <w:rPr>
          <w:rFonts w:ascii="Calibri" w:hAnsi="Calibri"/>
          <w:color w:val="001F60"/>
        </w:rPr>
        <w:t>com</w:t>
      </w:r>
      <w:r>
        <w:rPr>
          <w:rFonts w:ascii="Calibri" w:hAnsi="Calibri"/>
          <w:color w:val="001F60"/>
          <w:spacing w:val="-1"/>
        </w:rPr>
        <w:t xml:space="preserve"> </w:t>
      </w:r>
      <w:r>
        <w:rPr>
          <w:rFonts w:ascii="Calibri" w:hAnsi="Calibri"/>
          <w:color w:val="001F60"/>
        </w:rPr>
        <w:t>o</w:t>
      </w:r>
      <w:r>
        <w:rPr>
          <w:rFonts w:ascii="Calibri" w:hAnsi="Calibri"/>
          <w:color w:val="001F60"/>
          <w:spacing w:val="-3"/>
        </w:rPr>
        <w:t xml:space="preserve"> </w:t>
      </w:r>
      <w:r>
        <w:rPr>
          <w:rFonts w:ascii="Calibri" w:hAnsi="Calibri"/>
          <w:color w:val="001F60"/>
        </w:rPr>
        <w:t>Ministério</w:t>
      </w:r>
      <w:r>
        <w:rPr>
          <w:rFonts w:ascii="Calibri" w:hAnsi="Calibri"/>
          <w:color w:val="001F60"/>
          <w:spacing w:val="-2"/>
        </w:rPr>
        <w:t xml:space="preserve"> </w:t>
      </w:r>
      <w:r>
        <w:rPr>
          <w:rFonts w:ascii="Calibri" w:hAnsi="Calibri"/>
          <w:color w:val="001F60"/>
        </w:rPr>
        <w:t>das</w:t>
      </w:r>
      <w:r>
        <w:rPr>
          <w:rFonts w:ascii="Calibri" w:hAnsi="Calibri"/>
          <w:color w:val="001F60"/>
          <w:spacing w:val="-4"/>
        </w:rPr>
        <w:t xml:space="preserve"> </w:t>
      </w:r>
      <w:r>
        <w:rPr>
          <w:rFonts w:ascii="Calibri" w:hAnsi="Calibri"/>
          <w:color w:val="001F60"/>
        </w:rPr>
        <w:t>Comunicações (MCom), em atendimento</w:t>
      </w:r>
      <w:r>
        <w:rPr>
          <w:rFonts w:ascii="Calibri" w:hAnsi="Calibri"/>
          <w:color w:val="001F60"/>
          <w:spacing w:val="-2"/>
        </w:rPr>
        <w:t xml:space="preserve"> </w:t>
      </w:r>
      <w:r>
        <w:rPr>
          <w:rFonts w:ascii="Calibri" w:hAnsi="Calibri"/>
          <w:color w:val="001F60"/>
        </w:rPr>
        <w:t>à Lei nº 15.080, de</w:t>
      </w:r>
      <w:r>
        <w:rPr>
          <w:rFonts w:ascii="Calibri" w:hAnsi="Calibri"/>
          <w:color w:val="001F60"/>
          <w:spacing w:val="-2"/>
        </w:rPr>
        <w:t xml:space="preserve"> </w:t>
      </w:r>
      <w:r>
        <w:rPr>
          <w:rFonts w:ascii="Calibri" w:hAnsi="Calibri"/>
          <w:color w:val="001F60"/>
        </w:rPr>
        <w:t>30 de dezembro de 2024 (LDO</w:t>
      </w:r>
      <w:r>
        <w:rPr>
          <w:rFonts w:ascii="Calibri" w:hAnsi="Calibri"/>
          <w:color w:val="001F60"/>
          <w:spacing w:val="-2"/>
        </w:rPr>
        <w:t xml:space="preserve"> </w:t>
      </w:r>
      <w:r>
        <w:rPr>
          <w:rFonts w:ascii="Calibri" w:hAnsi="Calibri"/>
          <w:color w:val="001F60"/>
        </w:rPr>
        <w:t>2025). Esse instrumento estabeleceu</w:t>
      </w:r>
      <w:r>
        <w:rPr>
          <w:rFonts w:ascii="Calibri" w:hAnsi="Calibri"/>
          <w:color w:val="001F60"/>
          <w:spacing w:val="-10"/>
        </w:rPr>
        <w:t xml:space="preserve"> </w:t>
      </w:r>
      <w:r>
        <w:rPr>
          <w:rFonts w:ascii="Calibri" w:hAnsi="Calibri"/>
          <w:color w:val="001F60"/>
        </w:rPr>
        <w:t>metas</w:t>
      </w:r>
      <w:r>
        <w:rPr>
          <w:rFonts w:ascii="Calibri" w:hAnsi="Calibri"/>
          <w:color w:val="001F60"/>
          <w:spacing w:val="-13"/>
        </w:rPr>
        <w:t xml:space="preserve"> </w:t>
      </w:r>
      <w:r>
        <w:rPr>
          <w:rFonts w:ascii="Calibri" w:hAnsi="Calibri"/>
          <w:color w:val="001F60"/>
        </w:rPr>
        <w:t>institucionais</w:t>
      </w:r>
      <w:r>
        <w:rPr>
          <w:rFonts w:ascii="Calibri" w:hAnsi="Calibri"/>
          <w:color w:val="001F60"/>
          <w:spacing w:val="-12"/>
        </w:rPr>
        <w:t xml:space="preserve"> </w:t>
      </w:r>
      <w:r>
        <w:rPr>
          <w:rFonts w:ascii="Calibri" w:hAnsi="Calibri"/>
          <w:color w:val="001F60"/>
        </w:rPr>
        <w:t>e</w:t>
      </w:r>
      <w:r>
        <w:rPr>
          <w:rFonts w:ascii="Calibri" w:hAnsi="Calibri"/>
          <w:color w:val="001F60"/>
          <w:spacing w:val="-10"/>
        </w:rPr>
        <w:t xml:space="preserve"> </w:t>
      </w:r>
      <w:r>
        <w:rPr>
          <w:rFonts w:ascii="Calibri" w:hAnsi="Calibri"/>
          <w:color w:val="001F60"/>
        </w:rPr>
        <w:t>orientou</w:t>
      </w:r>
      <w:r>
        <w:rPr>
          <w:rFonts w:ascii="Calibri" w:hAnsi="Calibri"/>
          <w:color w:val="001F60"/>
          <w:spacing w:val="-9"/>
        </w:rPr>
        <w:t xml:space="preserve"> </w:t>
      </w:r>
      <w:r>
        <w:rPr>
          <w:rFonts w:ascii="Calibri" w:hAnsi="Calibri"/>
          <w:color w:val="001F60"/>
        </w:rPr>
        <w:t>a</w:t>
      </w:r>
      <w:r>
        <w:rPr>
          <w:rFonts w:ascii="Calibri" w:hAnsi="Calibri"/>
          <w:color w:val="001F60"/>
          <w:spacing w:val="-12"/>
        </w:rPr>
        <w:t xml:space="preserve"> </w:t>
      </w:r>
      <w:r>
        <w:rPr>
          <w:rFonts w:ascii="Calibri" w:hAnsi="Calibri"/>
          <w:color w:val="001F60"/>
        </w:rPr>
        <w:t>reorganização</w:t>
      </w:r>
      <w:r>
        <w:rPr>
          <w:rFonts w:ascii="Calibri" w:hAnsi="Calibri"/>
          <w:color w:val="001F60"/>
          <w:spacing w:val="-8"/>
        </w:rPr>
        <w:t xml:space="preserve"> </w:t>
      </w:r>
      <w:r>
        <w:rPr>
          <w:rFonts w:ascii="Calibri" w:hAnsi="Calibri"/>
          <w:color w:val="001F60"/>
        </w:rPr>
        <w:t>da</w:t>
      </w:r>
      <w:r>
        <w:rPr>
          <w:rFonts w:ascii="Calibri" w:hAnsi="Calibri"/>
          <w:color w:val="001F60"/>
          <w:spacing w:val="-12"/>
        </w:rPr>
        <w:t xml:space="preserve"> </w:t>
      </w:r>
      <w:r>
        <w:rPr>
          <w:rFonts w:ascii="Calibri" w:hAnsi="Calibri"/>
          <w:color w:val="001F60"/>
        </w:rPr>
        <w:t>estrutura</w:t>
      </w:r>
      <w:r>
        <w:rPr>
          <w:rFonts w:ascii="Calibri" w:hAnsi="Calibri"/>
          <w:color w:val="001F60"/>
          <w:spacing w:val="-12"/>
        </w:rPr>
        <w:t xml:space="preserve"> </w:t>
      </w:r>
      <w:r>
        <w:rPr>
          <w:rFonts w:ascii="Calibri" w:hAnsi="Calibri"/>
          <w:color w:val="001F60"/>
        </w:rPr>
        <w:t>orçamentária</w:t>
      </w:r>
      <w:r>
        <w:rPr>
          <w:rFonts w:ascii="Calibri" w:hAnsi="Calibri"/>
          <w:color w:val="001F60"/>
          <w:spacing w:val="-8"/>
        </w:rPr>
        <w:t xml:space="preserve"> </w:t>
      </w:r>
      <w:r>
        <w:rPr>
          <w:rFonts w:ascii="Calibri" w:hAnsi="Calibri"/>
          <w:color w:val="001F60"/>
        </w:rPr>
        <w:t>da</w:t>
      </w:r>
      <w:r>
        <w:rPr>
          <w:rFonts w:ascii="Calibri" w:hAnsi="Calibri"/>
          <w:color w:val="001F60"/>
          <w:spacing w:val="-10"/>
        </w:rPr>
        <w:t xml:space="preserve"> </w:t>
      </w:r>
      <w:r>
        <w:rPr>
          <w:rFonts w:ascii="Calibri" w:hAnsi="Calibri"/>
          <w:color w:val="001F60"/>
        </w:rPr>
        <w:t>Companhia, viabilizando a transição do Orçamento Fiscal e da Seguridade Social (OFSS) para o Programa de Dispêndios Globais (PDG) e para o Orçamento de Investimento (OI).</w:t>
      </w:r>
    </w:p>
    <w:p w14:paraId="7F53F321" w14:textId="77777777" w:rsidR="002C6574" w:rsidRDefault="00000000">
      <w:pPr>
        <w:pStyle w:val="Corpodetexto"/>
        <w:spacing w:before="122"/>
        <w:ind w:left="709" w:right="276"/>
        <w:jc w:val="both"/>
        <w:rPr>
          <w:rFonts w:ascii="Calibri" w:hAnsi="Calibri"/>
        </w:rPr>
      </w:pPr>
      <w:r>
        <w:rPr>
          <w:rFonts w:ascii="Calibri" w:hAnsi="Calibri"/>
          <w:color w:val="001F60"/>
        </w:rPr>
        <w:t>Como</w:t>
      </w:r>
      <w:r>
        <w:rPr>
          <w:rFonts w:ascii="Calibri" w:hAnsi="Calibri"/>
          <w:color w:val="001F60"/>
          <w:spacing w:val="-6"/>
        </w:rPr>
        <w:t xml:space="preserve"> </w:t>
      </w:r>
      <w:r>
        <w:rPr>
          <w:rFonts w:ascii="Calibri" w:hAnsi="Calibri"/>
          <w:color w:val="001F60"/>
        </w:rPr>
        <w:t>parte</w:t>
      </w:r>
      <w:r>
        <w:rPr>
          <w:rFonts w:ascii="Calibri" w:hAnsi="Calibri"/>
          <w:color w:val="001F60"/>
          <w:spacing w:val="-6"/>
        </w:rPr>
        <w:t xml:space="preserve"> </w:t>
      </w:r>
      <w:r>
        <w:rPr>
          <w:rFonts w:ascii="Calibri" w:hAnsi="Calibri"/>
          <w:color w:val="001F60"/>
        </w:rPr>
        <w:t>desse</w:t>
      </w:r>
      <w:r>
        <w:rPr>
          <w:rFonts w:ascii="Calibri" w:hAnsi="Calibri"/>
          <w:color w:val="001F60"/>
          <w:spacing w:val="-6"/>
        </w:rPr>
        <w:t xml:space="preserve"> </w:t>
      </w:r>
      <w:r>
        <w:rPr>
          <w:rFonts w:ascii="Calibri" w:hAnsi="Calibri"/>
          <w:color w:val="001F60"/>
        </w:rPr>
        <w:t>processo,</w:t>
      </w:r>
      <w:r>
        <w:rPr>
          <w:rFonts w:ascii="Calibri" w:hAnsi="Calibri"/>
          <w:color w:val="001F60"/>
          <w:spacing w:val="-7"/>
        </w:rPr>
        <w:t xml:space="preserve"> </w:t>
      </w:r>
      <w:r>
        <w:rPr>
          <w:rFonts w:ascii="Calibri" w:hAnsi="Calibri"/>
          <w:color w:val="001F60"/>
        </w:rPr>
        <w:t>a</w:t>
      </w:r>
      <w:r>
        <w:rPr>
          <w:rFonts w:ascii="Calibri" w:hAnsi="Calibri"/>
          <w:color w:val="001F60"/>
          <w:spacing w:val="-6"/>
        </w:rPr>
        <w:t xml:space="preserve"> </w:t>
      </w:r>
      <w:r>
        <w:rPr>
          <w:rFonts w:ascii="Calibri" w:hAnsi="Calibri"/>
          <w:color w:val="001F60"/>
        </w:rPr>
        <w:t>Portaria</w:t>
      </w:r>
      <w:r>
        <w:rPr>
          <w:rFonts w:ascii="Calibri" w:hAnsi="Calibri"/>
          <w:color w:val="001F60"/>
          <w:spacing w:val="-6"/>
        </w:rPr>
        <w:t xml:space="preserve"> </w:t>
      </w:r>
      <w:r>
        <w:rPr>
          <w:rFonts w:ascii="Calibri" w:hAnsi="Calibri"/>
          <w:color w:val="001F60"/>
        </w:rPr>
        <w:t>GM/MPO</w:t>
      </w:r>
      <w:r>
        <w:rPr>
          <w:rFonts w:ascii="Calibri" w:hAnsi="Calibri"/>
          <w:color w:val="001F60"/>
          <w:spacing w:val="-4"/>
        </w:rPr>
        <w:t xml:space="preserve"> </w:t>
      </w:r>
      <w:r>
        <w:rPr>
          <w:rFonts w:ascii="Calibri" w:hAnsi="Calibri"/>
          <w:color w:val="001F60"/>
        </w:rPr>
        <w:t>nº</w:t>
      </w:r>
      <w:r>
        <w:rPr>
          <w:rFonts w:ascii="Calibri" w:hAnsi="Calibri"/>
          <w:color w:val="001F60"/>
          <w:spacing w:val="-7"/>
        </w:rPr>
        <w:t xml:space="preserve"> </w:t>
      </w:r>
      <w:r>
        <w:rPr>
          <w:rFonts w:ascii="Calibri" w:hAnsi="Calibri"/>
          <w:color w:val="001F60"/>
        </w:rPr>
        <w:t>339,</w:t>
      </w:r>
      <w:r>
        <w:rPr>
          <w:rFonts w:ascii="Calibri" w:hAnsi="Calibri"/>
          <w:color w:val="001F60"/>
          <w:spacing w:val="-6"/>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23</w:t>
      </w:r>
      <w:r>
        <w:rPr>
          <w:rFonts w:ascii="Calibri" w:hAnsi="Calibri"/>
          <w:color w:val="001F60"/>
          <w:spacing w:val="-6"/>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setembro</w:t>
      </w:r>
      <w:r>
        <w:rPr>
          <w:rFonts w:ascii="Calibri" w:hAnsi="Calibri"/>
          <w:color w:val="001F60"/>
          <w:spacing w:val="-6"/>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2025,</w:t>
      </w:r>
      <w:r>
        <w:rPr>
          <w:rFonts w:ascii="Calibri" w:hAnsi="Calibri"/>
          <w:color w:val="001F60"/>
          <w:spacing w:val="-7"/>
        </w:rPr>
        <w:t xml:space="preserve"> </w:t>
      </w:r>
      <w:r>
        <w:rPr>
          <w:rFonts w:ascii="Calibri" w:hAnsi="Calibri"/>
          <w:color w:val="001F60"/>
        </w:rPr>
        <w:t>anulou</w:t>
      </w:r>
      <w:r>
        <w:rPr>
          <w:rFonts w:ascii="Calibri" w:hAnsi="Calibri"/>
          <w:color w:val="001F60"/>
          <w:spacing w:val="-7"/>
        </w:rPr>
        <w:t xml:space="preserve"> </w:t>
      </w:r>
      <w:r>
        <w:rPr>
          <w:rFonts w:ascii="Calibri" w:hAnsi="Calibri"/>
          <w:color w:val="001F60"/>
        </w:rPr>
        <w:t>os</w:t>
      </w:r>
      <w:r>
        <w:rPr>
          <w:rFonts w:ascii="Calibri" w:hAnsi="Calibri"/>
          <w:color w:val="001F60"/>
          <w:spacing w:val="-6"/>
        </w:rPr>
        <w:t xml:space="preserve"> </w:t>
      </w:r>
      <w:r>
        <w:rPr>
          <w:rFonts w:ascii="Calibri" w:hAnsi="Calibri"/>
          <w:color w:val="001F60"/>
        </w:rPr>
        <w:t>saldos e</w:t>
      </w:r>
      <w:r>
        <w:rPr>
          <w:rFonts w:ascii="Calibri" w:hAnsi="Calibri"/>
          <w:color w:val="001F60"/>
          <w:spacing w:val="-10"/>
        </w:rPr>
        <w:t xml:space="preserve"> </w:t>
      </w:r>
      <w:r>
        <w:rPr>
          <w:rFonts w:ascii="Calibri" w:hAnsi="Calibri"/>
          <w:color w:val="001F60"/>
        </w:rPr>
        <w:t>dotações</w:t>
      </w:r>
      <w:r>
        <w:rPr>
          <w:rFonts w:ascii="Calibri" w:hAnsi="Calibri"/>
          <w:color w:val="001F60"/>
          <w:spacing w:val="-12"/>
        </w:rPr>
        <w:t xml:space="preserve"> </w:t>
      </w:r>
      <w:r>
        <w:rPr>
          <w:rFonts w:ascii="Calibri" w:hAnsi="Calibri"/>
          <w:color w:val="001F60"/>
        </w:rPr>
        <w:t>orçamentárias</w:t>
      </w:r>
      <w:r>
        <w:rPr>
          <w:rFonts w:ascii="Calibri" w:hAnsi="Calibri"/>
          <w:color w:val="001F60"/>
          <w:spacing w:val="-13"/>
        </w:rPr>
        <w:t xml:space="preserve"> </w:t>
      </w:r>
      <w:r>
        <w:rPr>
          <w:rFonts w:ascii="Calibri" w:hAnsi="Calibri"/>
          <w:color w:val="001F60"/>
        </w:rPr>
        <w:t>da</w:t>
      </w:r>
      <w:r>
        <w:rPr>
          <w:rFonts w:ascii="Calibri" w:hAnsi="Calibri"/>
          <w:color w:val="001F60"/>
          <w:spacing w:val="-7"/>
        </w:rPr>
        <w:t xml:space="preserve"> </w:t>
      </w:r>
      <w:r>
        <w:rPr>
          <w:rFonts w:ascii="Calibri" w:hAnsi="Calibri"/>
          <w:color w:val="001F60"/>
        </w:rPr>
        <w:t>Telebras</w:t>
      </w:r>
      <w:r>
        <w:rPr>
          <w:rFonts w:ascii="Calibri" w:hAnsi="Calibri"/>
          <w:color w:val="001F60"/>
          <w:spacing w:val="-13"/>
        </w:rPr>
        <w:t xml:space="preserve"> </w:t>
      </w:r>
      <w:r>
        <w:rPr>
          <w:rFonts w:ascii="Calibri" w:hAnsi="Calibri"/>
          <w:color w:val="001F60"/>
        </w:rPr>
        <w:t>no</w:t>
      </w:r>
      <w:r>
        <w:rPr>
          <w:rFonts w:ascii="Calibri" w:hAnsi="Calibri"/>
          <w:color w:val="001F60"/>
          <w:spacing w:val="-9"/>
        </w:rPr>
        <w:t xml:space="preserve"> </w:t>
      </w:r>
      <w:r>
        <w:rPr>
          <w:rFonts w:ascii="Calibri" w:hAnsi="Calibri"/>
          <w:color w:val="001F60"/>
        </w:rPr>
        <w:t>âmbito</w:t>
      </w:r>
      <w:r>
        <w:rPr>
          <w:rFonts w:ascii="Calibri" w:hAnsi="Calibri"/>
          <w:color w:val="001F60"/>
          <w:spacing w:val="-10"/>
        </w:rPr>
        <w:t xml:space="preserve"> </w:t>
      </w:r>
      <w:r>
        <w:rPr>
          <w:rFonts w:ascii="Calibri" w:hAnsi="Calibri"/>
          <w:color w:val="001F60"/>
        </w:rPr>
        <w:t>do</w:t>
      </w:r>
      <w:r>
        <w:rPr>
          <w:rFonts w:ascii="Calibri" w:hAnsi="Calibri"/>
          <w:color w:val="001F60"/>
          <w:spacing w:val="-12"/>
        </w:rPr>
        <w:t xml:space="preserve"> </w:t>
      </w:r>
      <w:r>
        <w:rPr>
          <w:rFonts w:ascii="Calibri" w:hAnsi="Calibri"/>
          <w:color w:val="001F60"/>
        </w:rPr>
        <w:t>OFSS,</w:t>
      </w:r>
      <w:r>
        <w:rPr>
          <w:rFonts w:ascii="Calibri" w:hAnsi="Calibri"/>
          <w:color w:val="001F60"/>
          <w:spacing w:val="-8"/>
        </w:rPr>
        <w:t xml:space="preserve"> </w:t>
      </w:r>
      <w:r>
        <w:rPr>
          <w:rFonts w:ascii="Calibri" w:hAnsi="Calibri"/>
          <w:color w:val="001F60"/>
        </w:rPr>
        <w:t>enquanto</w:t>
      </w:r>
      <w:r>
        <w:rPr>
          <w:rFonts w:ascii="Calibri" w:hAnsi="Calibri"/>
          <w:color w:val="001F60"/>
          <w:spacing w:val="-8"/>
        </w:rPr>
        <w:t xml:space="preserve"> </w:t>
      </w:r>
      <w:r>
        <w:rPr>
          <w:rFonts w:ascii="Calibri" w:hAnsi="Calibri"/>
          <w:color w:val="001F60"/>
        </w:rPr>
        <w:t>a</w:t>
      </w:r>
      <w:r>
        <w:rPr>
          <w:rFonts w:ascii="Calibri" w:hAnsi="Calibri"/>
          <w:color w:val="001F60"/>
          <w:spacing w:val="-10"/>
        </w:rPr>
        <w:t xml:space="preserve"> </w:t>
      </w:r>
      <w:r>
        <w:rPr>
          <w:rFonts w:ascii="Calibri" w:hAnsi="Calibri"/>
          <w:color w:val="001F60"/>
        </w:rPr>
        <w:t>Portaria</w:t>
      </w:r>
      <w:r>
        <w:rPr>
          <w:rFonts w:ascii="Calibri" w:hAnsi="Calibri"/>
          <w:color w:val="001F60"/>
          <w:spacing w:val="-12"/>
        </w:rPr>
        <w:t xml:space="preserve"> </w:t>
      </w:r>
      <w:r>
        <w:rPr>
          <w:rFonts w:ascii="Calibri" w:hAnsi="Calibri"/>
          <w:color w:val="001F60"/>
        </w:rPr>
        <w:t>MGI</w:t>
      </w:r>
      <w:r>
        <w:rPr>
          <w:rFonts w:ascii="Calibri" w:hAnsi="Calibri"/>
          <w:color w:val="001F60"/>
          <w:spacing w:val="-8"/>
        </w:rPr>
        <w:t xml:space="preserve"> </w:t>
      </w:r>
      <w:r>
        <w:rPr>
          <w:rFonts w:ascii="Calibri" w:hAnsi="Calibri"/>
          <w:color w:val="001F60"/>
        </w:rPr>
        <w:t>nº</w:t>
      </w:r>
      <w:r>
        <w:rPr>
          <w:rFonts w:ascii="Calibri" w:hAnsi="Calibri"/>
          <w:color w:val="001F60"/>
          <w:spacing w:val="-10"/>
        </w:rPr>
        <w:t xml:space="preserve"> </w:t>
      </w:r>
      <w:r>
        <w:rPr>
          <w:rFonts w:ascii="Calibri" w:hAnsi="Calibri"/>
          <w:color w:val="001F60"/>
        </w:rPr>
        <w:t>8.249</w:t>
      </w:r>
      <w:r>
        <w:rPr>
          <w:rFonts w:ascii="Calibri" w:hAnsi="Calibri"/>
          <w:color w:val="001F60"/>
          <w:spacing w:val="-8"/>
        </w:rPr>
        <w:t xml:space="preserve"> </w:t>
      </w:r>
      <w:r>
        <w:rPr>
          <w:rFonts w:ascii="Calibri" w:hAnsi="Calibri"/>
          <w:color w:val="001F60"/>
        </w:rPr>
        <w:t>autorizou a execução do orçamento no PDG, formalizando a nova conformação orçamentária e reforçando o alinhamento</w:t>
      </w:r>
      <w:r>
        <w:rPr>
          <w:rFonts w:ascii="Calibri" w:hAnsi="Calibri"/>
          <w:color w:val="001F60"/>
          <w:spacing w:val="-6"/>
        </w:rPr>
        <w:t xml:space="preserve"> </w:t>
      </w:r>
      <w:r>
        <w:rPr>
          <w:rFonts w:ascii="Calibri" w:hAnsi="Calibri"/>
          <w:color w:val="001F60"/>
        </w:rPr>
        <w:t>da</w:t>
      </w:r>
      <w:r>
        <w:rPr>
          <w:rFonts w:ascii="Calibri" w:hAnsi="Calibri"/>
          <w:color w:val="001F60"/>
          <w:spacing w:val="-9"/>
        </w:rPr>
        <w:t xml:space="preserve"> </w:t>
      </w:r>
      <w:r>
        <w:rPr>
          <w:rFonts w:ascii="Calibri" w:hAnsi="Calibri"/>
          <w:color w:val="001F60"/>
        </w:rPr>
        <w:t>Companhia</w:t>
      </w:r>
      <w:r>
        <w:rPr>
          <w:rFonts w:ascii="Calibri" w:hAnsi="Calibri"/>
          <w:color w:val="001F60"/>
          <w:spacing w:val="-6"/>
        </w:rPr>
        <w:t xml:space="preserve"> </w:t>
      </w:r>
      <w:r>
        <w:rPr>
          <w:rFonts w:ascii="Calibri" w:hAnsi="Calibri"/>
          <w:color w:val="001F60"/>
        </w:rPr>
        <w:t>às</w:t>
      </w:r>
      <w:r>
        <w:rPr>
          <w:rFonts w:ascii="Calibri" w:hAnsi="Calibri"/>
          <w:color w:val="001F60"/>
          <w:spacing w:val="-7"/>
        </w:rPr>
        <w:t xml:space="preserve"> </w:t>
      </w:r>
      <w:r>
        <w:rPr>
          <w:rFonts w:ascii="Calibri" w:hAnsi="Calibri"/>
          <w:color w:val="001F60"/>
        </w:rPr>
        <w:t>diretrizes</w:t>
      </w:r>
      <w:r>
        <w:rPr>
          <w:rFonts w:ascii="Calibri" w:hAnsi="Calibri"/>
          <w:color w:val="001F60"/>
          <w:spacing w:val="-7"/>
        </w:rPr>
        <w:t xml:space="preserve"> </w:t>
      </w:r>
      <w:r>
        <w:rPr>
          <w:rFonts w:ascii="Calibri" w:hAnsi="Calibri"/>
          <w:color w:val="001F60"/>
        </w:rPr>
        <w:t>de</w:t>
      </w:r>
      <w:r>
        <w:rPr>
          <w:rFonts w:ascii="Calibri" w:hAnsi="Calibri"/>
          <w:color w:val="001F60"/>
          <w:spacing w:val="-7"/>
        </w:rPr>
        <w:t xml:space="preserve"> </w:t>
      </w:r>
      <w:r>
        <w:rPr>
          <w:rFonts w:ascii="Calibri" w:hAnsi="Calibri"/>
          <w:color w:val="001F60"/>
        </w:rPr>
        <w:t>sustentabilidade</w:t>
      </w:r>
      <w:r>
        <w:rPr>
          <w:rFonts w:ascii="Calibri" w:hAnsi="Calibri"/>
          <w:color w:val="001F60"/>
          <w:spacing w:val="-6"/>
        </w:rPr>
        <w:t xml:space="preserve"> </w:t>
      </w:r>
      <w:r>
        <w:rPr>
          <w:rFonts w:ascii="Calibri" w:hAnsi="Calibri"/>
          <w:color w:val="001F60"/>
        </w:rPr>
        <w:t>econômico</w:t>
      </w:r>
      <w:r>
        <w:rPr>
          <w:rFonts w:ascii="Times New Roman" w:hAnsi="Times New Roman"/>
          <w:color w:val="001F60"/>
        </w:rPr>
        <w:t>‑</w:t>
      </w:r>
      <w:r>
        <w:rPr>
          <w:rFonts w:ascii="Calibri" w:hAnsi="Calibri"/>
          <w:color w:val="001F60"/>
        </w:rPr>
        <w:t>financeira</w:t>
      </w:r>
      <w:r>
        <w:rPr>
          <w:rFonts w:ascii="Calibri" w:hAnsi="Calibri"/>
          <w:color w:val="001F60"/>
          <w:spacing w:val="-6"/>
        </w:rPr>
        <w:t xml:space="preserve"> </w:t>
      </w:r>
      <w:r>
        <w:rPr>
          <w:rFonts w:ascii="Calibri" w:hAnsi="Calibri"/>
          <w:color w:val="001F60"/>
        </w:rPr>
        <w:t>estabelecidas</w:t>
      </w:r>
      <w:r>
        <w:rPr>
          <w:rFonts w:ascii="Calibri" w:hAnsi="Calibri"/>
          <w:color w:val="001F60"/>
          <w:spacing w:val="-7"/>
        </w:rPr>
        <w:t xml:space="preserve"> </w:t>
      </w:r>
      <w:r>
        <w:rPr>
          <w:rFonts w:ascii="Calibri" w:hAnsi="Calibri"/>
          <w:color w:val="001F60"/>
        </w:rPr>
        <w:t>pelo acionista</w:t>
      </w:r>
      <w:r>
        <w:rPr>
          <w:rFonts w:ascii="Calibri" w:hAnsi="Calibri"/>
          <w:color w:val="001F60"/>
          <w:spacing w:val="-1"/>
        </w:rPr>
        <w:t xml:space="preserve"> </w:t>
      </w:r>
      <w:r>
        <w:rPr>
          <w:rFonts w:ascii="Calibri" w:hAnsi="Calibri"/>
          <w:color w:val="001F60"/>
        </w:rPr>
        <w:t>controlador.</w:t>
      </w:r>
    </w:p>
    <w:p w14:paraId="52A333DF" w14:textId="77777777" w:rsidR="002C6574" w:rsidRDefault="00000000">
      <w:pPr>
        <w:pStyle w:val="Corpodetexto"/>
        <w:spacing w:before="118"/>
        <w:ind w:left="709" w:right="275"/>
        <w:jc w:val="both"/>
        <w:rPr>
          <w:rFonts w:ascii="Calibri" w:hAnsi="Calibri"/>
        </w:rPr>
      </w:pPr>
      <w:r>
        <w:rPr>
          <w:rFonts w:ascii="Calibri" w:hAnsi="Calibri"/>
          <w:color w:val="001F60"/>
        </w:rPr>
        <w:t xml:space="preserve">No mesmo período, durante a 525ª ROCA, foi aprovada a nova versão do </w:t>
      </w:r>
      <w:r>
        <w:rPr>
          <w:rFonts w:ascii="Calibri" w:hAnsi="Calibri"/>
          <w:b/>
          <w:color w:val="001F60"/>
        </w:rPr>
        <w:t>Plano Estratégico Institucional (PEI) 2026</w:t>
      </w:r>
      <w:r>
        <w:rPr>
          <w:rFonts w:ascii="Times New Roman" w:hAnsi="Times New Roman"/>
          <w:color w:val="001F60"/>
        </w:rPr>
        <w:t>‑</w:t>
      </w:r>
      <w:r>
        <w:rPr>
          <w:rFonts w:ascii="Calibri" w:hAnsi="Calibri"/>
          <w:b/>
          <w:color w:val="001F60"/>
        </w:rPr>
        <w:t>2030</w:t>
      </w:r>
      <w:r>
        <w:rPr>
          <w:rFonts w:ascii="Calibri" w:hAnsi="Calibri"/>
          <w:color w:val="001F60"/>
        </w:rPr>
        <w:t>. A revisão do PEI foi conduzida com abordagem metodológica quantitativo</w:t>
      </w:r>
      <w:r>
        <w:rPr>
          <w:rFonts w:ascii="Times New Roman" w:hAnsi="Times New Roman"/>
          <w:color w:val="001F60"/>
        </w:rPr>
        <w:t>‑</w:t>
      </w:r>
      <w:r>
        <w:rPr>
          <w:rFonts w:ascii="Calibri" w:hAnsi="Calibri"/>
          <w:color w:val="001F60"/>
        </w:rPr>
        <w:t>qualitativa, assegurando análise técnica, participação das unidades organizacionais e integração das perspectivas estratégicas da empresa. O processo resultou na consolidação de diretrizes alinhadas à missão institucional, às políticas públicas de telecomunicações e aos objetivos de longo prazo da Companhia.</w:t>
      </w:r>
    </w:p>
    <w:p w14:paraId="5A09C7A7" w14:textId="77777777" w:rsidR="002C6574" w:rsidRDefault="00000000">
      <w:pPr>
        <w:pStyle w:val="Corpodetexto"/>
        <w:spacing w:before="122"/>
        <w:ind w:left="709"/>
        <w:jc w:val="both"/>
        <w:rPr>
          <w:rFonts w:ascii="Calibri" w:hAnsi="Calibri"/>
        </w:rPr>
      </w:pPr>
      <w:r>
        <w:rPr>
          <w:rFonts w:ascii="Calibri" w:hAnsi="Calibri"/>
          <w:color w:val="001F60"/>
        </w:rPr>
        <w:t>Os</w:t>
      </w:r>
      <w:r>
        <w:rPr>
          <w:rFonts w:ascii="Calibri" w:hAnsi="Calibri"/>
          <w:color w:val="001F60"/>
          <w:spacing w:val="-4"/>
        </w:rPr>
        <w:t xml:space="preserve"> </w:t>
      </w:r>
      <w:r>
        <w:rPr>
          <w:rFonts w:ascii="Calibri" w:hAnsi="Calibri"/>
          <w:color w:val="001F60"/>
        </w:rPr>
        <w:t>direcionadores</w:t>
      </w:r>
      <w:r>
        <w:rPr>
          <w:rFonts w:ascii="Calibri" w:hAnsi="Calibri"/>
          <w:color w:val="001F60"/>
          <w:spacing w:val="-2"/>
        </w:rPr>
        <w:t xml:space="preserve"> </w:t>
      </w:r>
      <w:r>
        <w:rPr>
          <w:rFonts w:ascii="Calibri" w:hAnsi="Calibri"/>
          <w:color w:val="001F60"/>
        </w:rPr>
        <w:t>estratégicos</w:t>
      </w:r>
      <w:r>
        <w:rPr>
          <w:rFonts w:ascii="Calibri" w:hAnsi="Calibri"/>
          <w:color w:val="001F60"/>
          <w:spacing w:val="-4"/>
        </w:rPr>
        <w:t xml:space="preserve"> </w:t>
      </w:r>
      <w:r>
        <w:rPr>
          <w:rFonts w:ascii="Calibri" w:hAnsi="Calibri"/>
          <w:color w:val="001F60"/>
        </w:rPr>
        <w:t>atualizados,</w:t>
      </w:r>
      <w:r>
        <w:rPr>
          <w:rFonts w:ascii="Calibri" w:hAnsi="Calibri"/>
          <w:color w:val="001F60"/>
          <w:spacing w:val="-8"/>
        </w:rPr>
        <w:t xml:space="preserve"> </w:t>
      </w:r>
      <w:r>
        <w:rPr>
          <w:rFonts w:ascii="Calibri" w:hAnsi="Calibri"/>
          <w:color w:val="001F60"/>
        </w:rPr>
        <w:t>estão</w:t>
      </w:r>
      <w:r>
        <w:rPr>
          <w:rFonts w:ascii="Calibri" w:hAnsi="Calibri"/>
          <w:color w:val="001F60"/>
          <w:spacing w:val="-4"/>
        </w:rPr>
        <w:t xml:space="preserve"> </w:t>
      </w:r>
      <w:r>
        <w:rPr>
          <w:rFonts w:ascii="Calibri" w:hAnsi="Calibri"/>
          <w:color w:val="001F60"/>
        </w:rPr>
        <w:t>descritos</w:t>
      </w:r>
      <w:r>
        <w:rPr>
          <w:rFonts w:ascii="Calibri" w:hAnsi="Calibri"/>
          <w:color w:val="001F60"/>
          <w:spacing w:val="-4"/>
        </w:rPr>
        <w:t xml:space="preserve"> </w:t>
      </w:r>
      <w:r>
        <w:rPr>
          <w:rFonts w:ascii="Calibri" w:hAnsi="Calibri"/>
          <w:color w:val="001F60"/>
        </w:rPr>
        <w:t>a</w:t>
      </w:r>
      <w:r>
        <w:rPr>
          <w:rFonts w:ascii="Calibri" w:hAnsi="Calibri"/>
          <w:color w:val="001F60"/>
          <w:spacing w:val="-5"/>
        </w:rPr>
        <w:t xml:space="preserve"> </w:t>
      </w:r>
      <w:r>
        <w:rPr>
          <w:rFonts w:ascii="Calibri" w:hAnsi="Calibri"/>
          <w:color w:val="001F60"/>
          <w:spacing w:val="-2"/>
        </w:rPr>
        <w:t>seguir:</w:t>
      </w:r>
    </w:p>
    <w:p w14:paraId="443D431C" w14:textId="77777777" w:rsidR="002C6574" w:rsidRDefault="00000000">
      <w:pPr>
        <w:spacing w:before="118" w:line="242" w:lineRule="auto"/>
        <w:ind w:left="709" w:right="276"/>
        <w:jc w:val="both"/>
        <w:rPr>
          <w:rFonts w:ascii="Arial" w:hAnsi="Arial"/>
          <w:i/>
        </w:rPr>
      </w:pPr>
      <w:r>
        <w:rPr>
          <w:rFonts w:ascii="Calibri" w:hAnsi="Calibri"/>
          <w:b/>
          <w:color w:val="001F60"/>
          <w:w w:val="90"/>
        </w:rPr>
        <w:t>Missão:</w:t>
      </w:r>
      <w:r>
        <w:rPr>
          <w:rFonts w:ascii="Calibri" w:hAnsi="Calibri"/>
          <w:b/>
          <w:color w:val="001F60"/>
        </w:rPr>
        <w:t xml:space="preserve"> </w:t>
      </w:r>
      <w:r>
        <w:rPr>
          <w:rFonts w:ascii="Arial" w:hAnsi="Arial"/>
          <w:i/>
          <w:color w:val="001F60"/>
          <w:w w:val="90"/>
        </w:rPr>
        <w:t xml:space="preserve">Conectar o Brasil com soluções inovadoras, seguras e sustentáveis que promovam a inclusão </w:t>
      </w:r>
      <w:r>
        <w:rPr>
          <w:rFonts w:ascii="Arial" w:hAnsi="Arial"/>
          <w:i/>
          <w:color w:val="001F60"/>
          <w:spacing w:val="-4"/>
        </w:rPr>
        <w:t>digital,</w:t>
      </w:r>
      <w:r>
        <w:rPr>
          <w:rFonts w:ascii="Arial" w:hAnsi="Arial"/>
          <w:i/>
          <w:color w:val="001F60"/>
          <w:spacing w:val="-12"/>
        </w:rPr>
        <w:t xml:space="preserve"> </w:t>
      </w:r>
      <w:r>
        <w:rPr>
          <w:rFonts w:ascii="Arial" w:hAnsi="Arial"/>
          <w:i/>
          <w:color w:val="001F60"/>
          <w:spacing w:val="-4"/>
        </w:rPr>
        <w:t>ampliem</w:t>
      </w:r>
      <w:r>
        <w:rPr>
          <w:rFonts w:ascii="Arial" w:hAnsi="Arial"/>
          <w:i/>
          <w:color w:val="001F60"/>
          <w:spacing w:val="-12"/>
        </w:rPr>
        <w:t xml:space="preserve"> </w:t>
      </w:r>
      <w:r>
        <w:rPr>
          <w:rFonts w:ascii="Arial" w:hAnsi="Arial"/>
          <w:i/>
          <w:color w:val="001F60"/>
          <w:spacing w:val="-4"/>
        </w:rPr>
        <w:t>a</w:t>
      </w:r>
      <w:r>
        <w:rPr>
          <w:rFonts w:ascii="Arial" w:hAnsi="Arial"/>
          <w:i/>
          <w:color w:val="001F60"/>
          <w:spacing w:val="-12"/>
        </w:rPr>
        <w:t xml:space="preserve"> </w:t>
      </w:r>
      <w:r>
        <w:rPr>
          <w:rFonts w:ascii="Arial" w:hAnsi="Arial"/>
          <w:i/>
          <w:color w:val="001F60"/>
          <w:spacing w:val="-4"/>
        </w:rPr>
        <w:t>cidadania</w:t>
      </w:r>
      <w:r>
        <w:rPr>
          <w:rFonts w:ascii="Arial" w:hAnsi="Arial"/>
          <w:i/>
          <w:color w:val="001F60"/>
          <w:spacing w:val="-12"/>
        </w:rPr>
        <w:t xml:space="preserve"> </w:t>
      </w:r>
      <w:r>
        <w:rPr>
          <w:rFonts w:ascii="Arial" w:hAnsi="Arial"/>
          <w:i/>
          <w:color w:val="001F60"/>
          <w:spacing w:val="-4"/>
        </w:rPr>
        <w:t>e</w:t>
      </w:r>
      <w:r>
        <w:rPr>
          <w:rFonts w:ascii="Arial" w:hAnsi="Arial"/>
          <w:i/>
          <w:color w:val="001F60"/>
          <w:spacing w:val="-12"/>
        </w:rPr>
        <w:t xml:space="preserve"> </w:t>
      </w:r>
      <w:r>
        <w:rPr>
          <w:rFonts w:ascii="Arial" w:hAnsi="Arial"/>
          <w:i/>
          <w:color w:val="001F60"/>
          <w:spacing w:val="-4"/>
        </w:rPr>
        <w:t>fortaleçam</w:t>
      </w:r>
      <w:r>
        <w:rPr>
          <w:rFonts w:ascii="Arial" w:hAnsi="Arial"/>
          <w:i/>
          <w:color w:val="001F60"/>
          <w:spacing w:val="-12"/>
        </w:rPr>
        <w:t xml:space="preserve"> </w:t>
      </w:r>
      <w:r>
        <w:rPr>
          <w:rFonts w:ascii="Arial" w:hAnsi="Arial"/>
          <w:i/>
          <w:color w:val="001F60"/>
          <w:spacing w:val="-4"/>
        </w:rPr>
        <w:t>a</w:t>
      </w:r>
      <w:r>
        <w:rPr>
          <w:rFonts w:ascii="Arial" w:hAnsi="Arial"/>
          <w:i/>
          <w:color w:val="001F60"/>
          <w:spacing w:val="-12"/>
        </w:rPr>
        <w:t xml:space="preserve"> </w:t>
      </w:r>
      <w:r>
        <w:rPr>
          <w:rFonts w:ascii="Arial" w:hAnsi="Arial"/>
          <w:i/>
          <w:color w:val="001F60"/>
          <w:spacing w:val="-4"/>
        </w:rPr>
        <w:t>soberania</w:t>
      </w:r>
      <w:r>
        <w:rPr>
          <w:rFonts w:ascii="Arial" w:hAnsi="Arial"/>
          <w:i/>
          <w:color w:val="001F60"/>
          <w:spacing w:val="-15"/>
        </w:rPr>
        <w:t xml:space="preserve"> </w:t>
      </w:r>
      <w:r>
        <w:rPr>
          <w:rFonts w:ascii="Arial" w:hAnsi="Arial"/>
          <w:i/>
          <w:color w:val="001F60"/>
          <w:spacing w:val="-4"/>
        </w:rPr>
        <w:t>nacional.</w:t>
      </w:r>
    </w:p>
    <w:p w14:paraId="7D446328" w14:textId="77777777" w:rsidR="002C6574" w:rsidRDefault="002C6574">
      <w:pPr>
        <w:spacing w:line="242" w:lineRule="auto"/>
        <w:jc w:val="both"/>
        <w:rPr>
          <w:rFonts w:ascii="Arial" w:hAnsi="Arial"/>
          <w:i/>
        </w:rPr>
        <w:sectPr w:rsidR="002C6574">
          <w:pgSz w:w="11910" w:h="16840"/>
          <w:pgMar w:top="1160" w:right="850" w:bottom="740" w:left="992" w:header="312" w:footer="542" w:gutter="0"/>
          <w:cols w:space="720"/>
        </w:sectPr>
      </w:pPr>
    </w:p>
    <w:p w14:paraId="439CFB81" w14:textId="77777777" w:rsidR="002C6574" w:rsidRDefault="002C6574">
      <w:pPr>
        <w:pStyle w:val="Corpodetexto"/>
        <w:rPr>
          <w:rFonts w:ascii="Arial"/>
          <w:i/>
        </w:rPr>
      </w:pPr>
    </w:p>
    <w:p w14:paraId="78695502" w14:textId="77777777" w:rsidR="002C6574" w:rsidRDefault="002C6574">
      <w:pPr>
        <w:pStyle w:val="Corpodetexto"/>
        <w:spacing w:before="26"/>
        <w:rPr>
          <w:rFonts w:ascii="Arial"/>
          <w:i/>
        </w:rPr>
      </w:pPr>
    </w:p>
    <w:p w14:paraId="7BEF2310" w14:textId="77777777" w:rsidR="002C6574" w:rsidRDefault="00000000">
      <w:pPr>
        <w:spacing w:line="249" w:lineRule="auto"/>
        <w:ind w:left="709" w:right="278"/>
        <w:jc w:val="both"/>
        <w:rPr>
          <w:rFonts w:ascii="Arial" w:hAnsi="Arial"/>
          <w:i/>
        </w:rPr>
      </w:pPr>
      <w:r>
        <w:rPr>
          <w:rFonts w:ascii="Calibri" w:hAnsi="Calibri"/>
          <w:b/>
          <w:color w:val="001F60"/>
        </w:rPr>
        <w:t xml:space="preserve">Visão: </w:t>
      </w:r>
      <w:r>
        <w:rPr>
          <w:rFonts w:ascii="Arial" w:hAnsi="Arial"/>
          <w:i/>
          <w:color w:val="001F60"/>
        </w:rPr>
        <w:t xml:space="preserve">Consolidar-se como agente estratégico da soberania digital e referência nacional em conectividade e tecnologia sustentável, fortalecendo a execução das políticas públicas que </w:t>
      </w:r>
      <w:r>
        <w:rPr>
          <w:rFonts w:ascii="Arial" w:hAnsi="Arial"/>
          <w:i/>
          <w:color w:val="001F60"/>
          <w:spacing w:val="-6"/>
        </w:rPr>
        <w:t>impulsionam</w:t>
      </w:r>
      <w:r>
        <w:rPr>
          <w:rFonts w:ascii="Arial" w:hAnsi="Arial"/>
          <w:i/>
          <w:color w:val="001F60"/>
          <w:spacing w:val="-8"/>
        </w:rPr>
        <w:t xml:space="preserve"> </w:t>
      </w:r>
      <w:r>
        <w:rPr>
          <w:rFonts w:ascii="Arial" w:hAnsi="Arial"/>
          <w:i/>
          <w:color w:val="001F60"/>
          <w:spacing w:val="-6"/>
        </w:rPr>
        <w:t>a</w:t>
      </w:r>
      <w:r>
        <w:rPr>
          <w:rFonts w:ascii="Arial" w:hAnsi="Arial"/>
          <w:i/>
          <w:color w:val="001F60"/>
          <w:spacing w:val="-9"/>
        </w:rPr>
        <w:t xml:space="preserve"> </w:t>
      </w:r>
      <w:r>
        <w:rPr>
          <w:rFonts w:ascii="Arial" w:hAnsi="Arial"/>
          <w:i/>
          <w:color w:val="001F60"/>
          <w:spacing w:val="-6"/>
        </w:rPr>
        <w:t>transformação</w:t>
      </w:r>
      <w:r>
        <w:rPr>
          <w:rFonts w:ascii="Arial" w:hAnsi="Arial"/>
          <w:i/>
          <w:color w:val="001F60"/>
          <w:spacing w:val="-9"/>
        </w:rPr>
        <w:t xml:space="preserve"> </w:t>
      </w:r>
      <w:r>
        <w:rPr>
          <w:rFonts w:ascii="Arial" w:hAnsi="Arial"/>
          <w:i/>
          <w:color w:val="001F60"/>
          <w:spacing w:val="-6"/>
        </w:rPr>
        <w:t>digital</w:t>
      </w:r>
      <w:r>
        <w:rPr>
          <w:rFonts w:ascii="Arial" w:hAnsi="Arial"/>
          <w:i/>
          <w:color w:val="001F60"/>
          <w:spacing w:val="-10"/>
        </w:rPr>
        <w:t xml:space="preserve"> </w:t>
      </w:r>
      <w:r>
        <w:rPr>
          <w:rFonts w:ascii="Arial" w:hAnsi="Arial"/>
          <w:i/>
          <w:color w:val="001F60"/>
          <w:spacing w:val="-6"/>
        </w:rPr>
        <w:t>do</w:t>
      </w:r>
      <w:r>
        <w:rPr>
          <w:rFonts w:ascii="Arial" w:hAnsi="Arial"/>
          <w:i/>
          <w:color w:val="001F60"/>
          <w:spacing w:val="-8"/>
        </w:rPr>
        <w:t xml:space="preserve"> </w:t>
      </w:r>
      <w:r>
        <w:rPr>
          <w:rFonts w:ascii="Arial" w:hAnsi="Arial"/>
          <w:i/>
          <w:color w:val="001F60"/>
          <w:spacing w:val="-6"/>
        </w:rPr>
        <w:t>Estado</w:t>
      </w:r>
      <w:r>
        <w:rPr>
          <w:rFonts w:ascii="Arial" w:hAnsi="Arial"/>
          <w:i/>
          <w:color w:val="001F60"/>
          <w:spacing w:val="-11"/>
        </w:rPr>
        <w:t xml:space="preserve"> </w:t>
      </w:r>
      <w:r>
        <w:rPr>
          <w:rFonts w:ascii="Arial" w:hAnsi="Arial"/>
          <w:i/>
          <w:color w:val="001F60"/>
          <w:spacing w:val="-6"/>
        </w:rPr>
        <w:t>e da</w:t>
      </w:r>
      <w:r>
        <w:rPr>
          <w:rFonts w:ascii="Arial" w:hAnsi="Arial"/>
          <w:i/>
          <w:color w:val="001F60"/>
          <w:spacing w:val="-12"/>
        </w:rPr>
        <w:t xml:space="preserve"> </w:t>
      </w:r>
      <w:r>
        <w:rPr>
          <w:rFonts w:ascii="Arial" w:hAnsi="Arial"/>
          <w:i/>
          <w:color w:val="001F60"/>
          <w:spacing w:val="-6"/>
        </w:rPr>
        <w:t>sociedade</w:t>
      </w:r>
      <w:r>
        <w:rPr>
          <w:rFonts w:ascii="Arial" w:hAnsi="Arial"/>
          <w:i/>
          <w:color w:val="001F60"/>
          <w:spacing w:val="-9"/>
        </w:rPr>
        <w:t xml:space="preserve"> </w:t>
      </w:r>
      <w:r>
        <w:rPr>
          <w:rFonts w:ascii="Arial" w:hAnsi="Arial"/>
          <w:i/>
          <w:color w:val="001F60"/>
          <w:spacing w:val="-6"/>
        </w:rPr>
        <w:t>brasileira.</w:t>
      </w:r>
    </w:p>
    <w:p w14:paraId="2021080A" w14:textId="77777777" w:rsidR="002C6574" w:rsidRDefault="00000000">
      <w:pPr>
        <w:spacing w:before="118"/>
        <w:ind w:left="709"/>
        <w:rPr>
          <w:rFonts w:ascii="Calibri"/>
          <w:b/>
        </w:rPr>
      </w:pPr>
      <w:r>
        <w:rPr>
          <w:rFonts w:ascii="Calibri"/>
          <w:b/>
          <w:color w:val="001F60"/>
          <w:spacing w:val="-2"/>
        </w:rPr>
        <w:t>Valores:</w:t>
      </w:r>
    </w:p>
    <w:p w14:paraId="2E3E186A" w14:textId="77777777" w:rsidR="002C6574" w:rsidRDefault="00000000">
      <w:pPr>
        <w:pStyle w:val="PargrafodaLista"/>
        <w:numPr>
          <w:ilvl w:val="0"/>
          <w:numId w:val="66"/>
        </w:numPr>
        <w:tabs>
          <w:tab w:val="left" w:pos="1429"/>
        </w:tabs>
        <w:spacing w:before="121" w:line="249" w:lineRule="auto"/>
        <w:ind w:right="279"/>
        <w:jc w:val="both"/>
        <w:rPr>
          <w:rFonts w:ascii="Arial" w:hAnsi="Arial"/>
          <w:i/>
        </w:rPr>
      </w:pPr>
      <w:r>
        <w:rPr>
          <w:b/>
          <w:color w:val="001F60"/>
          <w:spacing w:val="-8"/>
        </w:rPr>
        <w:t>Foco</w:t>
      </w:r>
      <w:r>
        <w:rPr>
          <w:b/>
          <w:color w:val="001F60"/>
          <w:spacing w:val="7"/>
        </w:rPr>
        <w:t xml:space="preserve"> </w:t>
      </w:r>
      <w:r>
        <w:rPr>
          <w:b/>
          <w:color w:val="001F60"/>
          <w:spacing w:val="-8"/>
        </w:rPr>
        <w:t>na</w:t>
      </w:r>
      <w:r>
        <w:rPr>
          <w:b/>
          <w:color w:val="001F60"/>
          <w:spacing w:val="5"/>
        </w:rPr>
        <w:t xml:space="preserve"> </w:t>
      </w:r>
      <w:r>
        <w:rPr>
          <w:b/>
          <w:color w:val="001F60"/>
          <w:spacing w:val="-8"/>
        </w:rPr>
        <w:t>Sociedade</w:t>
      </w:r>
      <w:r>
        <w:rPr>
          <w:color w:val="001F60"/>
          <w:spacing w:val="-8"/>
        </w:rPr>
        <w:t>:</w:t>
      </w:r>
      <w:r>
        <w:rPr>
          <w:color w:val="001F60"/>
          <w:spacing w:val="9"/>
        </w:rPr>
        <w:t xml:space="preserve"> </w:t>
      </w:r>
      <w:r>
        <w:rPr>
          <w:rFonts w:ascii="Arial" w:hAnsi="Arial"/>
          <w:i/>
          <w:color w:val="001F60"/>
          <w:spacing w:val="-8"/>
        </w:rPr>
        <w:t>Trabalhamos</w:t>
      </w:r>
      <w:r>
        <w:rPr>
          <w:rFonts w:ascii="Arial" w:hAnsi="Arial"/>
          <w:i/>
          <w:color w:val="001F60"/>
          <w:spacing w:val="-4"/>
        </w:rPr>
        <w:t xml:space="preserve"> </w:t>
      </w:r>
      <w:r>
        <w:rPr>
          <w:rFonts w:ascii="Arial" w:hAnsi="Arial"/>
          <w:i/>
          <w:color w:val="001F60"/>
          <w:spacing w:val="-8"/>
        </w:rPr>
        <w:t>para</w:t>
      </w:r>
      <w:r>
        <w:rPr>
          <w:rFonts w:ascii="Arial" w:hAnsi="Arial"/>
          <w:i/>
          <w:color w:val="001F60"/>
          <w:spacing w:val="-6"/>
        </w:rPr>
        <w:t xml:space="preserve"> </w:t>
      </w:r>
      <w:r>
        <w:rPr>
          <w:rFonts w:ascii="Arial" w:hAnsi="Arial"/>
          <w:i/>
          <w:color w:val="001F60"/>
          <w:spacing w:val="-8"/>
        </w:rPr>
        <w:t>melhorar</w:t>
      </w:r>
      <w:r>
        <w:rPr>
          <w:rFonts w:ascii="Arial" w:hAnsi="Arial"/>
          <w:i/>
          <w:color w:val="001F60"/>
          <w:spacing w:val="-2"/>
        </w:rPr>
        <w:t xml:space="preserve"> </w:t>
      </w:r>
      <w:r>
        <w:rPr>
          <w:rFonts w:ascii="Arial" w:hAnsi="Arial"/>
          <w:i/>
          <w:color w:val="001F60"/>
          <w:spacing w:val="-8"/>
        </w:rPr>
        <w:t>a</w:t>
      </w:r>
      <w:r>
        <w:rPr>
          <w:rFonts w:ascii="Arial" w:hAnsi="Arial"/>
          <w:i/>
          <w:color w:val="001F60"/>
          <w:spacing w:val="-7"/>
        </w:rPr>
        <w:t xml:space="preserve"> </w:t>
      </w:r>
      <w:r>
        <w:rPr>
          <w:rFonts w:ascii="Arial" w:hAnsi="Arial"/>
          <w:i/>
          <w:color w:val="001F60"/>
          <w:spacing w:val="-8"/>
        </w:rPr>
        <w:t>vida</w:t>
      </w:r>
      <w:r>
        <w:rPr>
          <w:rFonts w:ascii="Arial" w:hAnsi="Arial"/>
          <w:i/>
          <w:color w:val="001F60"/>
          <w:spacing w:val="-4"/>
        </w:rPr>
        <w:t xml:space="preserve"> </w:t>
      </w:r>
      <w:r>
        <w:rPr>
          <w:rFonts w:ascii="Arial" w:hAnsi="Arial"/>
          <w:i/>
          <w:color w:val="001F60"/>
          <w:spacing w:val="-8"/>
        </w:rPr>
        <w:t>das</w:t>
      </w:r>
      <w:r>
        <w:rPr>
          <w:rFonts w:ascii="Arial" w:hAnsi="Arial"/>
          <w:i/>
          <w:color w:val="001F60"/>
          <w:spacing w:val="-2"/>
        </w:rPr>
        <w:t xml:space="preserve"> </w:t>
      </w:r>
      <w:r>
        <w:rPr>
          <w:rFonts w:ascii="Arial" w:hAnsi="Arial"/>
          <w:i/>
          <w:color w:val="001F60"/>
          <w:spacing w:val="-8"/>
        </w:rPr>
        <w:t>pessoas,</w:t>
      </w:r>
      <w:r>
        <w:rPr>
          <w:rFonts w:ascii="Arial" w:hAnsi="Arial"/>
          <w:i/>
          <w:color w:val="001F60"/>
          <w:spacing w:val="-6"/>
        </w:rPr>
        <w:t xml:space="preserve"> </w:t>
      </w:r>
      <w:r>
        <w:rPr>
          <w:rFonts w:ascii="Arial" w:hAnsi="Arial"/>
          <w:i/>
          <w:color w:val="001F60"/>
          <w:spacing w:val="-8"/>
        </w:rPr>
        <w:t>levando</w:t>
      </w:r>
      <w:r>
        <w:rPr>
          <w:rFonts w:ascii="Arial" w:hAnsi="Arial"/>
          <w:i/>
          <w:color w:val="001F60"/>
          <w:spacing w:val="-5"/>
        </w:rPr>
        <w:t xml:space="preserve"> </w:t>
      </w:r>
      <w:r>
        <w:rPr>
          <w:rFonts w:ascii="Arial" w:hAnsi="Arial"/>
          <w:i/>
          <w:color w:val="001F60"/>
          <w:spacing w:val="-8"/>
        </w:rPr>
        <w:t>conectividade</w:t>
      </w:r>
      <w:r>
        <w:rPr>
          <w:rFonts w:ascii="Arial" w:hAnsi="Arial"/>
          <w:i/>
          <w:color w:val="001F60"/>
          <w:spacing w:val="-6"/>
        </w:rPr>
        <w:t xml:space="preserve"> </w:t>
      </w:r>
      <w:r>
        <w:rPr>
          <w:rFonts w:ascii="Arial" w:hAnsi="Arial"/>
          <w:i/>
          <w:color w:val="001F60"/>
          <w:spacing w:val="-8"/>
        </w:rPr>
        <w:t xml:space="preserve">e </w:t>
      </w:r>
      <w:r>
        <w:rPr>
          <w:rFonts w:ascii="Arial" w:hAnsi="Arial"/>
          <w:i/>
          <w:color w:val="001F60"/>
          <w:w w:val="90"/>
        </w:rPr>
        <w:t>inclusão</w:t>
      </w:r>
      <w:r>
        <w:rPr>
          <w:rFonts w:ascii="Arial" w:hAnsi="Arial"/>
          <w:i/>
          <w:color w:val="001F60"/>
          <w:spacing w:val="-10"/>
          <w:w w:val="90"/>
        </w:rPr>
        <w:t xml:space="preserve"> </w:t>
      </w:r>
      <w:r>
        <w:rPr>
          <w:rFonts w:ascii="Arial" w:hAnsi="Arial"/>
          <w:i/>
          <w:color w:val="001F60"/>
          <w:w w:val="90"/>
        </w:rPr>
        <w:t>digital</w:t>
      </w:r>
      <w:r>
        <w:rPr>
          <w:rFonts w:ascii="Arial" w:hAnsi="Arial"/>
          <w:i/>
          <w:color w:val="001F60"/>
          <w:spacing w:val="-7"/>
          <w:w w:val="90"/>
        </w:rPr>
        <w:t xml:space="preserve"> </w:t>
      </w:r>
      <w:r>
        <w:rPr>
          <w:rFonts w:ascii="Arial" w:hAnsi="Arial"/>
          <w:i/>
          <w:color w:val="001F60"/>
          <w:w w:val="90"/>
        </w:rPr>
        <w:t>a</w:t>
      </w:r>
      <w:r>
        <w:rPr>
          <w:rFonts w:ascii="Arial" w:hAnsi="Arial"/>
          <w:i/>
          <w:color w:val="001F60"/>
          <w:spacing w:val="-10"/>
          <w:w w:val="90"/>
        </w:rPr>
        <w:t xml:space="preserve"> </w:t>
      </w:r>
      <w:r>
        <w:rPr>
          <w:rFonts w:ascii="Arial" w:hAnsi="Arial"/>
          <w:i/>
          <w:color w:val="001F60"/>
          <w:w w:val="90"/>
        </w:rPr>
        <w:t>todo</w:t>
      </w:r>
      <w:r>
        <w:rPr>
          <w:rFonts w:ascii="Arial" w:hAnsi="Arial"/>
          <w:i/>
          <w:color w:val="001F60"/>
          <w:spacing w:val="-8"/>
          <w:w w:val="90"/>
        </w:rPr>
        <w:t xml:space="preserve"> </w:t>
      </w:r>
      <w:r>
        <w:rPr>
          <w:rFonts w:ascii="Arial" w:hAnsi="Arial"/>
          <w:i/>
          <w:color w:val="001F60"/>
          <w:w w:val="90"/>
        </w:rPr>
        <w:t>o</w:t>
      </w:r>
      <w:r>
        <w:rPr>
          <w:rFonts w:ascii="Arial" w:hAnsi="Arial"/>
          <w:i/>
          <w:color w:val="001F60"/>
          <w:spacing w:val="-10"/>
          <w:w w:val="90"/>
        </w:rPr>
        <w:t xml:space="preserve"> </w:t>
      </w:r>
      <w:r>
        <w:rPr>
          <w:rFonts w:ascii="Arial" w:hAnsi="Arial"/>
          <w:i/>
          <w:color w:val="001F60"/>
          <w:w w:val="90"/>
        </w:rPr>
        <w:t>Brasil.</w:t>
      </w:r>
      <w:r>
        <w:rPr>
          <w:rFonts w:ascii="Arial" w:hAnsi="Arial"/>
          <w:i/>
          <w:color w:val="001F60"/>
          <w:spacing w:val="-6"/>
          <w:w w:val="90"/>
        </w:rPr>
        <w:t xml:space="preserve"> </w:t>
      </w:r>
      <w:r>
        <w:rPr>
          <w:rFonts w:ascii="Arial" w:hAnsi="Arial"/>
          <w:i/>
          <w:color w:val="001F60"/>
          <w:w w:val="90"/>
        </w:rPr>
        <w:t>Nosso</w:t>
      </w:r>
      <w:r>
        <w:rPr>
          <w:rFonts w:ascii="Arial" w:hAnsi="Arial"/>
          <w:i/>
          <w:color w:val="001F60"/>
          <w:spacing w:val="-8"/>
          <w:w w:val="90"/>
        </w:rPr>
        <w:t xml:space="preserve"> </w:t>
      </w:r>
      <w:r>
        <w:rPr>
          <w:rFonts w:ascii="Arial" w:hAnsi="Arial"/>
          <w:i/>
          <w:color w:val="001F60"/>
          <w:w w:val="90"/>
        </w:rPr>
        <w:t>compromisso</w:t>
      </w:r>
      <w:r>
        <w:rPr>
          <w:rFonts w:ascii="Arial" w:hAnsi="Arial"/>
          <w:i/>
          <w:color w:val="001F60"/>
          <w:spacing w:val="-7"/>
          <w:w w:val="90"/>
        </w:rPr>
        <w:t xml:space="preserve"> </w:t>
      </w:r>
      <w:r>
        <w:rPr>
          <w:rFonts w:ascii="Arial" w:hAnsi="Arial"/>
          <w:i/>
          <w:color w:val="001F60"/>
          <w:w w:val="90"/>
        </w:rPr>
        <w:t>é</w:t>
      </w:r>
      <w:r>
        <w:rPr>
          <w:rFonts w:ascii="Arial" w:hAnsi="Arial"/>
          <w:i/>
          <w:color w:val="001F60"/>
          <w:spacing w:val="-10"/>
          <w:w w:val="90"/>
        </w:rPr>
        <w:t xml:space="preserve"> </w:t>
      </w:r>
      <w:r>
        <w:rPr>
          <w:rFonts w:ascii="Arial" w:hAnsi="Arial"/>
          <w:i/>
          <w:color w:val="001F60"/>
          <w:w w:val="90"/>
        </w:rPr>
        <w:t>gerar</w:t>
      </w:r>
      <w:r>
        <w:rPr>
          <w:rFonts w:ascii="Arial" w:hAnsi="Arial"/>
          <w:i/>
          <w:color w:val="001F60"/>
          <w:spacing w:val="-9"/>
          <w:w w:val="90"/>
        </w:rPr>
        <w:t xml:space="preserve"> </w:t>
      </w:r>
      <w:r>
        <w:rPr>
          <w:rFonts w:ascii="Arial" w:hAnsi="Arial"/>
          <w:i/>
          <w:color w:val="001F60"/>
          <w:w w:val="90"/>
        </w:rPr>
        <w:t>valor</w:t>
      </w:r>
      <w:r>
        <w:rPr>
          <w:rFonts w:ascii="Arial" w:hAnsi="Arial"/>
          <w:i/>
          <w:color w:val="001F60"/>
          <w:spacing w:val="-6"/>
          <w:w w:val="90"/>
        </w:rPr>
        <w:t xml:space="preserve"> </w:t>
      </w:r>
      <w:r>
        <w:rPr>
          <w:rFonts w:ascii="Arial" w:hAnsi="Arial"/>
          <w:i/>
          <w:color w:val="001F60"/>
          <w:w w:val="90"/>
        </w:rPr>
        <w:t>público,</w:t>
      </w:r>
      <w:r>
        <w:rPr>
          <w:rFonts w:ascii="Arial" w:hAnsi="Arial"/>
          <w:i/>
          <w:color w:val="001F60"/>
          <w:spacing w:val="-7"/>
          <w:w w:val="90"/>
        </w:rPr>
        <w:t xml:space="preserve"> </w:t>
      </w:r>
      <w:r>
        <w:rPr>
          <w:rFonts w:ascii="Arial" w:hAnsi="Arial"/>
          <w:i/>
          <w:color w:val="001F60"/>
          <w:w w:val="90"/>
        </w:rPr>
        <w:t>reduzir</w:t>
      </w:r>
      <w:r>
        <w:rPr>
          <w:rFonts w:ascii="Arial" w:hAnsi="Arial"/>
          <w:i/>
          <w:color w:val="001F60"/>
          <w:spacing w:val="-5"/>
          <w:w w:val="90"/>
        </w:rPr>
        <w:t xml:space="preserve"> </w:t>
      </w:r>
      <w:r>
        <w:rPr>
          <w:rFonts w:ascii="Arial" w:hAnsi="Arial"/>
          <w:i/>
          <w:color w:val="001F60"/>
          <w:w w:val="90"/>
        </w:rPr>
        <w:t xml:space="preserve">desigualdades </w:t>
      </w:r>
      <w:r>
        <w:rPr>
          <w:rFonts w:ascii="Arial" w:hAnsi="Arial"/>
          <w:i/>
          <w:color w:val="001F60"/>
          <w:spacing w:val="-6"/>
        </w:rPr>
        <w:t>e apoiar o desenvolvimento</w:t>
      </w:r>
      <w:r>
        <w:rPr>
          <w:rFonts w:ascii="Arial" w:hAnsi="Arial"/>
          <w:i/>
          <w:color w:val="001F60"/>
          <w:spacing w:val="-8"/>
        </w:rPr>
        <w:t xml:space="preserve"> </w:t>
      </w:r>
      <w:r>
        <w:rPr>
          <w:rFonts w:ascii="Arial" w:hAnsi="Arial"/>
          <w:i/>
          <w:color w:val="001F60"/>
          <w:spacing w:val="-6"/>
        </w:rPr>
        <w:t>nacional por meio da</w:t>
      </w:r>
      <w:r>
        <w:rPr>
          <w:rFonts w:ascii="Arial" w:hAnsi="Arial"/>
          <w:i/>
          <w:color w:val="001F60"/>
          <w:spacing w:val="-8"/>
        </w:rPr>
        <w:t xml:space="preserve"> </w:t>
      </w:r>
      <w:r>
        <w:rPr>
          <w:rFonts w:ascii="Arial" w:hAnsi="Arial"/>
          <w:i/>
          <w:color w:val="001F60"/>
          <w:spacing w:val="-6"/>
        </w:rPr>
        <w:t>transformação.</w:t>
      </w:r>
    </w:p>
    <w:p w14:paraId="1F3B5780" w14:textId="77777777" w:rsidR="002C6574" w:rsidRDefault="00000000">
      <w:pPr>
        <w:pStyle w:val="PargrafodaLista"/>
        <w:numPr>
          <w:ilvl w:val="0"/>
          <w:numId w:val="66"/>
        </w:numPr>
        <w:tabs>
          <w:tab w:val="left" w:pos="1429"/>
        </w:tabs>
        <w:spacing w:before="121" w:line="249" w:lineRule="auto"/>
        <w:ind w:right="277"/>
        <w:jc w:val="both"/>
        <w:rPr>
          <w:rFonts w:ascii="Arial" w:hAnsi="Arial"/>
          <w:i/>
        </w:rPr>
      </w:pPr>
      <w:r>
        <w:rPr>
          <w:b/>
          <w:color w:val="001F60"/>
          <w:spacing w:val="-4"/>
        </w:rPr>
        <w:t>Compromisso com Resultados</w:t>
      </w:r>
      <w:r>
        <w:rPr>
          <w:b/>
          <w:color w:val="001F60"/>
        </w:rPr>
        <w:t xml:space="preserve"> </w:t>
      </w:r>
      <w:r>
        <w:rPr>
          <w:b/>
          <w:color w:val="001F60"/>
          <w:spacing w:val="-4"/>
        </w:rPr>
        <w:t>Sustentáveis</w:t>
      </w:r>
      <w:r>
        <w:rPr>
          <w:color w:val="001F60"/>
          <w:spacing w:val="-4"/>
        </w:rPr>
        <w:t>:</w:t>
      </w:r>
      <w:r>
        <w:rPr>
          <w:color w:val="001F60"/>
        </w:rPr>
        <w:t xml:space="preserve"> </w:t>
      </w:r>
      <w:r>
        <w:rPr>
          <w:rFonts w:ascii="Arial" w:hAnsi="Arial"/>
          <w:i/>
          <w:color w:val="001F60"/>
          <w:spacing w:val="-4"/>
        </w:rPr>
        <w:t>Buscamos</w:t>
      </w:r>
      <w:r>
        <w:rPr>
          <w:rFonts w:ascii="Arial" w:hAnsi="Arial"/>
          <w:i/>
          <w:color w:val="001F60"/>
          <w:spacing w:val="-12"/>
        </w:rPr>
        <w:t xml:space="preserve"> </w:t>
      </w:r>
      <w:r>
        <w:rPr>
          <w:rFonts w:ascii="Arial" w:hAnsi="Arial"/>
          <w:i/>
          <w:color w:val="001F60"/>
          <w:spacing w:val="-4"/>
        </w:rPr>
        <w:t>resultados</w:t>
      </w:r>
      <w:r>
        <w:rPr>
          <w:rFonts w:ascii="Arial" w:hAnsi="Arial"/>
          <w:i/>
          <w:color w:val="001F60"/>
          <w:spacing w:val="-11"/>
        </w:rPr>
        <w:t xml:space="preserve"> </w:t>
      </w:r>
      <w:r>
        <w:rPr>
          <w:rFonts w:ascii="Arial" w:hAnsi="Arial"/>
          <w:i/>
          <w:color w:val="001F60"/>
          <w:spacing w:val="-4"/>
        </w:rPr>
        <w:t>que</w:t>
      </w:r>
      <w:r>
        <w:rPr>
          <w:rFonts w:ascii="Arial" w:hAnsi="Arial"/>
          <w:i/>
          <w:color w:val="001F60"/>
          <w:spacing w:val="-10"/>
        </w:rPr>
        <w:t xml:space="preserve"> </w:t>
      </w:r>
      <w:r>
        <w:rPr>
          <w:rFonts w:ascii="Arial" w:hAnsi="Arial"/>
          <w:i/>
          <w:color w:val="001F60"/>
          <w:spacing w:val="-4"/>
        </w:rPr>
        <w:t>beneficiem</w:t>
      </w:r>
      <w:r>
        <w:rPr>
          <w:rFonts w:ascii="Arial" w:hAnsi="Arial"/>
          <w:i/>
          <w:color w:val="001F60"/>
          <w:spacing w:val="-10"/>
        </w:rPr>
        <w:t xml:space="preserve"> </w:t>
      </w:r>
      <w:r>
        <w:rPr>
          <w:rFonts w:ascii="Arial" w:hAnsi="Arial"/>
          <w:i/>
          <w:color w:val="001F60"/>
          <w:spacing w:val="-4"/>
        </w:rPr>
        <w:t>o</w:t>
      </w:r>
      <w:r>
        <w:rPr>
          <w:rFonts w:ascii="Arial" w:hAnsi="Arial"/>
          <w:i/>
          <w:color w:val="001F60"/>
          <w:spacing w:val="-12"/>
        </w:rPr>
        <w:t xml:space="preserve"> </w:t>
      </w:r>
      <w:r>
        <w:rPr>
          <w:rFonts w:ascii="Arial" w:hAnsi="Arial"/>
          <w:i/>
          <w:color w:val="001F60"/>
          <w:spacing w:val="-4"/>
        </w:rPr>
        <w:t>país</w:t>
      </w:r>
      <w:r>
        <w:rPr>
          <w:rFonts w:ascii="Arial" w:hAnsi="Arial"/>
          <w:i/>
          <w:color w:val="001F60"/>
          <w:spacing w:val="-9"/>
        </w:rPr>
        <w:t xml:space="preserve"> </w:t>
      </w:r>
      <w:r>
        <w:rPr>
          <w:rFonts w:ascii="Arial" w:hAnsi="Arial"/>
          <w:i/>
          <w:color w:val="001F60"/>
          <w:spacing w:val="-4"/>
        </w:rPr>
        <w:t xml:space="preserve">de </w:t>
      </w:r>
      <w:r>
        <w:rPr>
          <w:rFonts w:ascii="Arial" w:hAnsi="Arial"/>
          <w:i/>
          <w:color w:val="001F60"/>
          <w:spacing w:val="-6"/>
        </w:rPr>
        <w:t>forma</w:t>
      </w:r>
      <w:r>
        <w:rPr>
          <w:rFonts w:ascii="Arial" w:hAnsi="Arial"/>
          <w:i/>
          <w:color w:val="001F60"/>
          <w:spacing w:val="-10"/>
        </w:rPr>
        <w:t xml:space="preserve"> </w:t>
      </w:r>
      <w:r>
        <w:rPr>
          <w:rFonts w:ascii="Arial" w:hAnsi="Arial"/>
          <w:i/>
          <w:color w:val="001F60"/>
          <w:spacing w:val="-6"/>
        </w:rPr>
        <w:t>equilibrada,</w:t>
      </w:r>
      <w:r>
        <w:rPr>
          <w:rFonts w:ascii="Arial" w:hAnsi="Arial"/>
          <w:i/>
          <w:color w:val="001F60"/>
          <w:spacing w:val="-9"/>
        </w:rPr>
        <w:t xml:space="preserve"> </w:t>
      </w:r>
      <w:r>
        <w:rPr>
          <w:rFonts w:ascii="Arial" w:hAnsi="Arial"/>
          <w:i/>
          <w:color w:val="001F60"/>
          <w:spacing w:val="-6"/>
        </w:rPr>
        <w:t>considerando</w:t>
      </w:r>
      <w:r>
        <w:rPr>
          <w:rFonts w:ascii="Arial" w:hAnsi="Arial"/>
          <w:i/>
          <w:color w:val="001F60"/>
          <w:spacing w:val="-9"/>
        </w:rPr>
        <w:t xml:space="preserve"> </w:t>
      </w:r>
      <w:r>
        <w:rPr>
          <w:rFonts w:ascii="Arial" w:hAnsi="Arial"/>
          <w:i/>
          <w:color w:val="001F60"/>
          <w:spacing w:val="-6"/>
        </w:rPr>
        <w:t>aspectos</w:t>
      </w:r>
      <w:r>
        <w:rPr>
          <w:rFonts w:ascii="Arial" w:hAnsi="Arial"/>
          <w:i/>
          <w:color w:val="001F60"/>
          <w:spacing w:val="-10"/>
        </w:rPr>
        <w:t xml:space="preserve"> </w:t>
      </w:r>
      <w:r>
        <w:rPr>
          <w:rFonts w:ascii="Arial" w:hAnsi="Arial"/>
          <w:i/>
          <w:color w:val="001F60"/>
          <w:spacing w:val="-6"/>
        </w:rPr>
        <w:t>econômicos,</w:t>
      </w:r>
      <w:r>
        <w:rPr>
          <w:rFonts w:ascii="Arial" w:hAnsi="Arial"/>
          <w:i/>
          <w:color w:val="001F60"/>
          <w:spacing w:val="-9"/>
        </w:rPr>
        <w:t xml:space="preserve"> </w:t>
      </w:r>
      <w:r>
        <w:rPr>
          <w:rFonts w:ascii="Arial" w:hAnsi="Arial"/>
          <w:i/>
          <w:color w:val="001F60"/>
          <w:spacing w:val="-6"/>
        </w:rPr>
        <w:t>sociais</w:t>
      </w:r>
      <w:r>
        <w:rPr>
          <w:rFonts w:ascii="Arial" w:hAnsi="Arial"/>
          <w:i/>
          <w:color w:val="001F60"/>
          <w:spacing w:val="-9"/>
        </w:rPr>
        <w:t xml:space="preserve"> </w:t>
      </w:r>
      <w:r>
        <w:rPr>
          <w:rFonts w:ascii="Arial" w:hAnsi="Arial"/>
          <w:i/>
          <w:color w:val="001F60"/>
          <w:spacing w:val="-6"/>
        </w:rPr>
        <w:t>e</w:t>
      </w:r>
      <w:r>
        <w:rPr>
          <w:rFonts w:ascii="Arial" w:hAnsi="Arial"/>
          <w:i/>
          <w:color w:val="001F60"/>
          <w:spacing w:val="-9"/>
        </w:rPr>
        <w:t xml:space="preserve"> </w:t>
      </w:r>
      <w:r>
        <w:rPr>
          <w:rFonts w:ascii="Arial" w:hAnsi="Arial"/>
          <w:i/>
          <w:color w:val="001F60"/>
          <w:spacing w:val="-6"/>
        </w:rPr>
        <w:t>ambientais.</w:t>
      </w:r>
      <w:r>
        <w:rPr>
          <w:rFonts w:ascii="Arial" w:hAnsi="Arial"/>
          <w:i/>
          <w:color w:val="001F60"/>
          <w:spacing w:val="-10"/>
        </w:rPr>
        <w:t xml:space="preserve"> </w:t>
      </w:r>
      <w:r>
        <w:rPr>
          <w:rFonts w:ascii="Arial" w:hAnsi="Arial"/>
          <w:i/>
          <w:color w:val="001F60"/>
          <w:spacing w:val="-6"/>
        </w:rPr>
        <w:t>Atuamos</w:t>
      </w:r>
      <w:r>
        <w:rPr>
          <w:rFonts w:ascii="Arial" w:hAnsi="Arial"/>
          <w:i/>
          <w:color w:val="001F60"/>
          <w:spacing w:val="-9"/>
        </w:rPr>
        <w:t xml:space="preserve"> </w:t>
      </w:r>
      <w:r>
        <w:rPr>
          <w:rFonts w:ascii="Arial" w:hAnsi="Arial"/>
          <w:i/>
          <w:color w:val="001F60"/>
          <w:spacing w:val="-6"/>
        </w:rPr>
        <w:t>com responsabilidade</w:t>
      </w:r>
      <w:r>
        <w:rPr>
          <w:rFonts w:ascii="Arial" w:hAnsi="Arial"/>
          <w:i/>
          <w:color w:val="001F60"/>
          <w:spacing w:val="-10"/>
        </w:rPr>
        <w:t xml:space="preserve"> </w:t>
      </w:r>
      <w:r>
        <w:rPr>
          <w:rFonts w:ascii="Arial" w:hAnsi="Arial"/>
          <w:i/>
          <w:color w:val="001F60"/>
          <w:spacing w:val="-6"/>
        </w:rPr>
        <w:t>para</w:t>
      </w:r>
      <w:r>
        <w:rPr>
          <w:rFonts w:ascii="Arial" w:hAnsi="Arial"/>
          <w:i/>
          <w:color w:val="001F60"/>
          <w:spacing w:val="-9"/>
        </w:rPr>
        <w:t xml:space="preserve"> </w:t>
      </w:r>
      <w:r>
        <w:rPr>
          <w:rFonts w:ascii="Arial" w:hAnsi="Arial"/>
          <w:i/>
          <w:color w:val="001F60"/>
          <w:spacing w:val="-6"/>
        </w:rPr>
        <w:t>garantir</w:t>
      </w:r>
      <w:r>
        <w:rPr>
          <w:rFonts w:ascii="Arial" w:hAnsi="Arial"/>
          <w:i/>
          <w:color w:val="001F60"/>
          <w:spacing w:val="-9"/>
        </w:rPr>
        <w:t xml:space="preserve"> </w:t>
      </w:r>
      <w:r>
        <w:rPr>
          <w:rFonts w:ascii="Arial" w:hAnsi="Arial"/>
          <w:i/>
          <w:color w:val="001F60"/>
          <w:spacing w:val="-6"/>
        </w:rPr>
        <w:t>que</w:t>
      </w:r>
      <w:r>
        <w:rPr>
          <w:rFonts w:ascii="Arial" w:hAnsi="Arial"/>
          <w:i/>
          <w:color w:val="001F60"/>
          <w:spacing w:val="-9"/>
        </w:rPr>
        <w:t xml:space="preserve"> </w:t>
      </w:r>
      <w:r>
        <w:rPr>
          <w:rFonts w:ascii="Arial" w:hAnsi="Arial"/>
          <w:i/>
          <w:color w:val="001F60"/>
          <w:spacing w:val="-6"/>
        </w:rPr>
        <w:t>cada</w:t>
      </w:r>
      <w:r>
        <w:rPr>
          <w:rFonts w:ascii="Arial" w:hAnsi="Arial"/>
          <w:i/>
          <w:color w:val="001F60"/>
          <w:spacing w:val="-10"/>
        </w:rPr>
        <w:t xml:space="preserve"> </w:t>
      </w:r>
      <w:r>
        <w:rPr>
          <w:rFonts w:ascii="Arial" w:hAnsi="Arial"/>
          <w:i/>
          <w:color w:val="001F60"/>
          <w:spacing w:val="-6"/>
        </w:rPr>
        <w:t>ação</w:t>
      </w:r>
      <w:r>
        <w:rPr>
          <w:rFonts w:ascii="Arial" w:hAnsi="Arial"/>
          <w:i/>
          <w:color w:val="001F60"/>
          <w:spacing w:val="-10"/>
        </w:rPr>
        <w:t xml:space="preserve"> </w:t>
      </w:r>
      <w:r>
        <w:rPr>
          <w:rFonts w:ascii="Arial" w:hAnsi="Arial"/>
          <w:i/>
          <w:color w:val="001F60"/>
          <w:spacing w:val="-6"/>
        </w:rPr>
        <w:t>gere</w:t>
      </w:r>
      <w:r>
        <w:rPr>
          <w:rFonts w:ascii="Arial" w:hAnsi="Arial"/>
          <w:i/>
          <w:color w:val="001F60"/>
          <w:spacing w:val="-10"/>
        </w:rPr>
        <w:t xml:space="preserve"> </w:t>
      </w:r>
      <w:r>
        <w:rPr>
          <w:rFonts w:ascii="Arial" w:hAnsi="Arial"/>
          <w:i/>
          <w:color w:val="001F60"/>
          <w:spacing w:val="-6"/>
        </w:rPr>
        <w:t>impacto</w:t>
      </w:r>
      <w:r>
        <w:rPr>
          <w:rFonts w:ascii="Arial" w:hAnsi="Arial"/>
          <w:i/>
          <w:color w:val="001F60"/>
          <w:spacing w:val="-10"/>
        </w:rPr>
        <w:t xml:space="preserve"> </w:t>
      </w:r>
      <w:r>
        <w:rPr>
          <w:rFonts w:ascii="Arial" w:hAnsi="Arial"/>
          <w:i/>
          <w:color w:val="001F60"/>
          <w:spacing w:val="-6"/>
        </w:rPr>
        <w:t>positivo</w:t>
      </w:r>
      <w:r>
        <w:rPr>
          <w:rFonts w:ascii="Arial" w:hAnsi="Arial"/>
          <w:i/>
          <w:color w:val="001F60"/>
          <w:spacing w:val="-9"/>
        </w:rPr>
        <w:t xml:space="preserve"> </w:t>
      </w:r>
      <w:r>
        <w:rPr>
          <w:rFonts w:ascii="Arial" w:hAnsi="Arial"/>
          <w:i/>
          <w:color w:val="001F60"/>
          <w:spacing w:val="-6"/>
        </w:rPr>
        <w:t>e</w:t>
      </w:r>
      <w:r>
        <w:rPr>
          <w:rFonts w:ascii="Arial" w:hAnsi="Arial"/>
          <w:i/>
          <w:color w:val="001F60"/>
          <w:spacing w:val="-9"/>
        </w:rPr>
        <w:t xml:space="preserve"> </w:t>
      </w:r>
      <w:r>
        <w:rPr>
          <w:rFonts w:ascii="Arial" w:hAnsi="Arial"/>
          <w:i/>
          <w:color w:val="001F60"/>
          <w:spacing w:val="-6"/>
        </w:rPr>
        <w:t>duradouro.</w:t>
      </w:r>
    </w:p>
    <w:p w14:paraId="42989DCB" w14:textId="77777777" w:rsidR="002C6574" w:rsidRDefault="00000000">
      <w:pPr>
        <w:pStyle w:val="PargrafodaLista"/>
        <w:numPr>
          <w:ilvl w:val="0"/>
          <w:numId w:val="66"/>
        </w:numPr>
        <w:tabs>
          <w:tab w:val="left" w:pos="1429"/>
        </w:tabs>
        <w:spacing w:before="120" w:line="249" w:lineRule="auto"/>
        <w:ind w:right="275"/>
        <w:jc w:val="both"/>
        <w:rPr>
          <w:rFonts w:ascii="Arial" w:hAnsi="Arial"/>
          <w:i/>
        </w:rPr>
      </w:pPr>
      <w:r>
        <w:rPr>
          <w:b/>
          <w:color w:val="001F60"/>
          <w:spacing w:val="-2"/>
        </w:rPr>
        <w:t>Valorização</w:t>
      </w:r>
      <w:r>
        <w:rPr>
          <w:b/>
          <w:color w:val="001F60"/>
          <w:spacing w:val="-10"/>
        </w:rPr>
        <w:t xml:space="preserve"> </w:t>
      </w:r>
      <w:r>
        <w:rPr>
          <w:b/>
          <w:color w:val="001F60"/>
          <w:spacing w:val="-2"/>
        </w:rPr>
        <w:t>das Pessoas</w:t>
      </w:r>
      <w:r>
        <w:rPr>
          <w:color w:val="001F60"/>
          <w:spacing w:val="-2"/>
        </w:rPr>
        <w:t>:</w:t>
      </w:r>
      <w:r>
        <w:rPr>
          <w:color w:val="001F60"/>
          <w:spacing w:val="-3"/>
        </w:rPr>
        <w:t xml:space="preserve"> </w:t>
      </w:r>
      <w:r>
        <w:rPr>
          <w:rFonts w:ascii="Arial" w:hAnsi="Arial"/>
          <w:i/>
          <w:color w:val="001F60"/>
          <w:spacing w:val="-2"/>
        </w:rPr>
        <w:t>Acreditamos</w:t>
      </w:r>
      <w:r>
        <w:rPr>
          <w:rFonts w:ascii="Arial" w:hAnsi="Arial"/>
          <w:i/>
          <w:color w:val="001F60"/>
          <w:spacing w:val="-14"/>
        </w:rPr>
        <w:t xml:space="preserve"> </w:t>
      </w:r>
      <w:r>
        <w:rPr>
          <w:rFonts w:ascii="Arial" w:hAnsi="Arial"/>
          <w:i/>
          <w:color w:val="001F60"/>
          <w:spacing w:val="-2"/>
        </w:rPr>
        <w:t>que</w:t>
      </w:r>
      <w:r>
        <w:rPr>
          <w:rFonts w:ascii="Arial" w:hAnsi="Arial"/>
          <w:i/>
          <w:color w:val="001F60"/>
          <w:spacing w:val="-13"/>
        </w:rPr>
        <w:t xml:space="preserve"> </w:t>
      </w:r>
      <w:r>
        <w:rPr>
          <w:rFonts w:ascii="Arial" w:hAnsi="Arial"/>
          <w:i/>
          <w:color w:val="001F60"/>
          <w:spacing w:val="-2"/>
        </w:rPr>
        <w:t>as</w:t>
      </w:r>
      <w:r>
        <w:rPr>
          <w:rFonts w:ascii="Arial" w:hAnsi="Arial"/>
          <w:i/>
          <w:color w:val="001F60"/>
          <w:spacing w:val="-13"/>
        </w:rPr>
        <w:t xml:space="preserve"> </w:t>
      </w:r>
      <w:r>
        <w:rPr>
          <w:rFonts w:ascii="Arial" w:hAnsi="Arial"/>
          <w:i/>
          <w:color w:val="001F60"/>
          <w:spacing w:val="-2"/>
        </w:rPr>
        <w:t>pessoas</w:t>
      </w:r>
      <w:r>
        <w:rPr>
          <w:rFonts w:ascii="Arial" w:hAnsi="Arial"/>
          <w:i/>
          <w:color w:val="001F60"/>
          <w:spacing w:val="-13"/>
        </w:rPr>
        <w:t xml:space="preserve"> </w:t>
      </w:r>
      <w:r>
        <w:rPr>
          <w:rFonts w:ascii="Arial" w:hAnsi="Arial"/>
          <w:i/>
          <w:color w:val="001F60"/>
          <w:spacing w:val="-2"/>
        </w:rPr>
        <w:t>são</w:t>
      </w:r>
      <w:r>
        <w:rPr>
          <w:rFonts w:ascii="Arial" w:hAnsi="Arial"/>
          <w:i/>
          <w:color w:val="001F60"/>
          <w:spacing w:val="-13"/>
        </w:rPr>
        <w:t xml:space="preserve"> </w:t>
      </w:r>
      <w:r>
        <w:rPr>
          <w:rFonts w:ascii="Arial" w:hAnsi="Arial"/>
          <w:i/>
          <w:color w:val="001F60"/>
          <w:spacing w:val="-2"/>
        </w:rPr>
        <w:t>a</w:t>
      </w:r>
      <w:r>
        <w:rPr>
          <w:rFonts w:ascii="Arial" w:hAnsi="Arial"/>
          <w:i/>
          <w:color w:val="001F60"/>
          <w:spacing w:val="-14"/>
        </w:rPr>
        <w:t xml:space="preserve"> </w:t>
      </w:r>
      <w:r>
        <w:rPr>
          <w:rFonts w:ascii="Arial" w:hAnsi="Arial"/>
          <w:i/>
          <w:color w:val="001F60"/>
          <w:spacing w:val="-2"/>
        </w:rPr>
        <w:t>base</w:t>
      </w:r>
      <w:r>
        <w:rPr>
          <w:rFonts w:ascii="Arial" w:hAnsi="Arial"/>
          <w:i/>
          <w:color w:val="001F60"/>
          <w:spacing w:val="-13"/>
        </w:rPr>
        <w:t xml:space="preserve"> </w:t>
      </w:r>
      <w:r>
        <w:rPr>
          <w:rFonts w:ascii="Arial" w:hAnsi="Arial"/>
          <w:i/>
          <w:color w:val="001F60"/>
          <w:spacing w:val="-2"/>
        </w:rPr>
        <w:t>de</w:t>
      </w:r>
      <w:r>
        <w:rPr>
          <w:rFonts w:ascii="Arial" w:hAnsi="Arial"/>
          <w:i/>
          <w:color w:val="001F60"/>
          <w:spacing w:val="-13"/>
        </w:rPr>
        <w:t xml:space="preserve"> </w:t>
      </w:r>
      <w:r>
        <w:rPr>
          <w:rFonts w:ascii="Arial" w:hAnsi="Arial"/>
          <w:i/>
          <w:color w:val="001F60"/>
          <w:spacing w:val="-2"/>
        </w:rPr>
        <w:t>tudo</w:t>
      </w:r>
      <w:r>
        <w:rPr>
          <w:rFonts w:ascii="Arial" w:hAnsi="Arial"/>
          <w:i/>
          <w:color w:val="001F60"/>
          <w:spacing w:val="-12"/>
        </w:rPr>
        <w:t xml:space="preserve"> </w:t>
      </w:r>
      <w:r>
        <w:rPr>
          <w:rFonts w:ascii="Arial" w:hAnsi="Arial"/>
          <w:i/>
          <w:color w:val="001F60"/>
          <w:spacing w:val="-2"/>
        </w:rPr>
        <w:t>o</w:t>
      </w:r>
      <w:r>
        <w:rPr>
          <w:rFonts w:ascii="Arial" w:hAnsi="Arial"/>
          <w:i/>
          <w:color w:val="001F60"/>
          <w:spacing w:val="-14"/>
        </w:rPr>
        <w:t xml:space="preserve"> </w:t>
      </w:r>
      <w:r>
        <w:rPr>
          <w:rFonts w:ascii="Arial" w:hAnsi="Arial"/>
          <w:i/>
          <w:color w:val="001F60"/>
          <w:spacing w:val="-2"/>
        </w:rPr>
        <w:t>que</w:t>
      </w:r>
      <w:r>
        <w:rPr>
          <w:rFonts w:ascii="Arial" w:hAnsi="Arial"/>
          <w:i/>
          <w:color w:val="001F60"/>
          <w:spacing w:val="-12"/>
        </w:rPr>
        <w:t xml:space="preserve"> </w:t>
      </w:r>
      <w:r>
        <w:rPr>
          <w:rFonts w:ascii="Arial" w:hAnsi="Arial"/>
          <w:i/>
          <w:color w:val="001F60"/>
          <w:spacing w:val="-2"/>
        </w:rPr>
        <w:t xml:space="preserve">fazemos. </w:t>
      </w:r>
      <w:r>
        <w:rPr>
          <w:rFonts w:ascii="Arial" w:hAnsi="Arial"/>
          <w:i/>
          <w:color w:val="001F60"/>
          <w:w w:val="90"/>
        </w:rPr>
        <w:t>Valorizamos a diversidade e a equidade, incentivamos o crescimento profissional e o respeito às</w:t>
      </w:r>
      <w:r>
        <w:rPr>
          <w:rFonts w:ascii="Arial" w:hAnsi="Arial"/>
          <w:i/>
          <w:color w:val="001F60"/>
          <w:spacing w:val="-3"/>
          <w:w w:val="90"/>
        </w:rPr>
        <w:t xml:space="preserve"> </w:t>
      </w:r>
      <w:r>
        <w:rPr>
          <w:rFonts w:ascii="Arial" w:hAnsi="Arial"/>
          <w:i/>
          <w:color w:val="001F60"/>
          <w:w w:val="90"/>
        </w:rPr>
        <w:t>diferenças, a</w:t>
      </w:r>
      <w:r>
        <w:rPr>
          <w:rFonts w:ascii="Arial" w:hAnsi="Arial"/>
          <w:i/>
          <w:color w:val="001F60"/>
          <w:spacing w:val="-3"/>
          <w:w w:val="90"/>
        </w:rPr>
        <w:t xml:space="preserve"> </w:t>
      </w:r>
      <w:r>
        <w:rPr>
          <w:rFonts w:ascii="Arial" w:hAnsi="Arial"/>
          <w:i/>
          <w:color w:val="001F60"/>
          <w:w w:val="90"/>
        </w:rPr>
        <w:t>fim de</w:t>
      </w:r>
      <w:r>
        <w:rPr>
          <w:rFonts w:ascii="Arial" w:hAnsi="Arial"/>
          <w:i/>
          <w:color w:val="001F60"/>
          <w:spacing w:val="-2"/>
          <w:w w:val="90"/>
        </w:rPr>
        <w:t xml:space="preserve"> </w:t>
      </w:r>
      <w:r>
        <w:rPr>
          <w:rFonts w:ascii="Arial" w:hAnsi="Arial"/>
          <w:i/>
          <w:color w:val="001F60"/>
          <w:w w:val="90"/>
        </w:rPr>
        <w:t>promover</w:t>
      </w:r>
      <w:r>
        <w:rPr>
          <w:rFonts w:ascii="Arial" w:hAnsi="Arial"/>
          <w:i/>
          <w:color w:val="001F60"/>
          <w:spacing w:val="-3"/>
          <w:w w:val="90"/>
        </w:rPr>
        <w:t xml:space="preserve"> </w:t>
      </w:r>
      <w:r>
        <w:rPr>
          <w:rFonts w:ascii="Arial" w:hAnsi="Arial"/>
          <w:i/>
          <w:color w:val="001F60"/>
          <w:w w:val="90"/>
        </w:rPr>
        <w:t>um</w:t>
      </w:r>
      <w:r>
        <w:rPr>
          <w:rFonts w:ascii="Arial" w:hAnsi="Arial"/>
          <w:i/>
          <w:color w:val="001F60"/>
          <w:spacing w:val="-3"/>
          <w:w w:val="90"/>
        </w:rPr>
        <w:t xml:space="preserve"> </w:t>
      </w:r>
      <w:r>
        <w:rPr>
          <w:rFonts w:ascii="Arial" w:hAnsi="Arial"/>
          <w:i/>
          <w:color w:val="001F60"/>
          <w:w w:val="90"/>
        </w:rPr>
        <w:t>ambiente</w:t>
      </w:r>
      <w:r>
        <w:rPr>
          <w:rFonts w:ascii="Arial" w:hAnsi="Arial"/>
          <w:i/>
          <w:color w:val="001F60"/>
          <w:spacing w:val="-3"/>
          <w:w w:val="90"/>
        </w:rPr>
        <w:t xml:space="preserve"> </w:t>
      </w:r>
      <w:r>
        <w:rPr>
          <w:rFonts w:ascii="Arial" w:hAnsi="Arial"/>
          <w:i/>
          <w:color w:val="001F60"/>
          <w:w w:val="90"/>
        </w:rPr>
        <w:t>de</w:t>
      </w:r>
      <w:r>
        <w:rPr>
          <w:rFonts w:ascii="Arial" w:hAnsi="Arial"/>
          <w:i/>
          <w:color w:val="001F60"/>
          <w:spacing w:val="-2"/>
          <w:w w:val="90"/>
        </w:rPr>
        <w:t xml:space="preserve"> </w:t>
      </w:r>
      <w:r>
        <w:rPr>
          <w:rFonts w:ascii="Arial" w:hAnsi="Arial"/>
          <w:i/>
          <w:color w:val="001F60"/>
          <w:w w:val="90"/>
        </w:rPr>
        <w:t>trabalho</w:t>
      </w:r>
      <w:r>
        <w:rPr>
          <w:rFonts w:ascii="Arial" w:hAnsi="Arial"/>
          <w:i/>
          <w:color w:val="001F60"/>
          <w:spacing w:val="-3"/>
          <w:w w:val="90"/>
        </w:rPr>
        <w:t xml:space="preserve"> </w:t>
      </w:r>
      <w:r>
        <w:rPr>
          <w:rFonts w:ascii="Arial" w:hAnsi="Arial"/>
          <w:i/>
          <w:color w:val="001F60"/>
          <w:w w:val="90"/>
        </w:rPr>
        <w:t>saudável, colaborativo e</w:t>
      </w:r>
      <w:r>
        <w:rPr>
          <w:rFonts w:ascii="Arial" w:hAnsi="Arial"/>
          <w:i/>
          <w:color w:val="001F60"/>
          <w:spacing w:val="-2"/>
          <w:w w:val="90"/>
        </w:rPr>
        <w:t xml:space="preserve"> </w:t>
      </w:r>
      <w:r>
        <w:rPr>
          <w:rFonts w:ascii="Arial" w:hAnsi="Arial"/>
          <w:i/>
          <w:color w:val="001F60"/>
          <w:w w:val="90"/>
        </w:rPr>
        <w:t>respeitoso.</w:t>
      </w:r>
    </w:p>
    <w:p w14:paraId="73EA5BD8" w14:textId="77777777" w:rsidR="002C6574" w:rsidRDefault="00000000">
      <w:pPr>
        <w:pStyle w:val="PargrafodaLista"/>
        <w:numPr>
          <w:ilvl w:val="0"/>
          <w:numId w:val="66"/>
        </w:numPr>
        <w:tabs>
          <w:tab w:val="left" w:pos="1429"/>
        </w:tabs>
        <w:spacing w:before="119" w:line="249" w:lineRule="auto"/>
        <w:ind w:right="276"/>
        <w:jc w:val="both"/>
        <w:rPr>
          <w:rFonts w:ascii="Arial" w:hAnsi="Arial"/>
          <w:i/>
        </w:rPr>
      </w:pPr>
      <w:r>
        <w:rPr>
          <w:b/>
          <w:color w:val="001F60"/>
          <w:w w:val="90"/>
        </w:rPr>
        <w:t xml:space="preserve">Ser Inovador: </w:t>
      </w:r>
      <w:r>
        <w:rPr>
          <w:rFonts w:ascii="Arial" w:hAnsi="Arial"/>
          <w:i/>
          <w:color w:val="001F60"/>
          <w:w w:val="90"/>
        </w:rPr>
        <w:t>Buscamos</w:t>
      </w:r>
      <w:r>
        <w:rPr>
          <w:rFonts w:ascii="Arial" w:hAnsi="Arial"/>
          <w:i/>
          <w:color w:val="001F60"/>
          <w:spacing w:val="-5"/>
          <w:w w:val="90"/>
        </w:rPr>
        <w:t xml:space="preserve"> </w:t>
      </w:r>
      <w:r>
        <w:rPr>
          <w:rFonts w:ascii="Arial" w:hAnsi="Arial"/>
          <w:i/>
          <w:color w:val="001F60"/>
          <w:w w:val="90"/>
        </w:rPr>
        <w:t>novas</w:t>
      </w:r>
      <w:r>
        <w:rPr>
          <w:rFonts w:ascii="Arial" w:hAnsi="Arial"/>
          <w:i/>
          <w:color w:val="001F60"/>
          <w:spacing w:val="-5"/>
          <w:w w:val="90"/>
        </w:rPr>
        <w:t xml:space="preserve"> </w:t>
      </w:r>
      <w:r>
        <w:rPr>
          <w:rFonts w:ascii="Arial" w:hAnsi="Arial"/>
          <w:i/>
          <w:color w:val="001F60"/>
          <w:w w:val="90"/>
        </w:rPr>
        <w:t>ideias</w:t>
      </w:r>
      <w:r>
        <w:rPr>
          <w:rFonts w:ascii="Arial" w:hAnsi="Arial"/>
          <w:i/>
          <w:color w:val="001F60"/>
          <w:spacing w:val="-8"/>
          <w:w w:val="90"/>
        </w:rPr>
        <w:t xml:space="preserve"> </w:t>
      </w:r>
      <w:r>
        <w:rPr>
          <w:rFonts w:ascii="Arial" w:hAnsi="Arial"/>
          <w:i/>
          <w:color w:val="001F60"/>
          <w:w w:val="90"/>
        </w:rPr>
        <w:t>e</w:t>
      </w:r>
      <w:r>
        <w:rPr>
          <w:rFonts w:ascii="Arial" w:hAnsi="Arial"/>
          <w:i/>
          <w:color w:val="001F60"/>
          <w:spacing w:val="-5"/>
          <w:w w:val="90"/>
        </w:rPr>
        <w:t xml:space="preserve"> </w:t>
      </w:r>
      <w:r>
        <w:rPr>
          <w:rFonts w:ascii="Arial" w:hAnsi="Arial"/>
          <w:i/>
          <w:color w:val="001F60"/>
          <w:w w:val="90"/>
        </w:rPr>
        <w:t>soluções</w:t>
      </w:r>
      <w:r>
        <w:rPr>
          <w:rFonts w:ascii="Arial" w:hAnsi="Arial"/>
          <w:i/>
          <w:color w:val="001F60"/>
          <w:spacing w:val="-5"/>
          <w:w w:val="90"/>
        </w:rPr>
        <w:t xml:space="preserve"> </w:t>
      </w:r>
      <w:r>
        <w:rPr>
          <w:rFonts w:ascii="Arial" w:hAnsi="Arial"/>
          <w:i/>
          <w:color w:val="001F60"/>
          <w:w w:val="90"/>
        </w:rPr>
        <w:t>tecnológicas</w:t>
      </w:r>
      <w:r>
        <w:rPr>
          <w:rFonts w:ascii="Arial" w:hAnsi="Arial"/>
          <w:i/>
          <w:color w:val="001F60"/>
          <w:spacing w:val="-8"/>
          <w:w w:val="90"/>
        </w:rPr>
        <w:t xml:space="preserve"> </w:t>
      </w:r>
      <w:r>
        <w:rPr>
          <w:rFonts w:ascii="Arial" w:hAnsi="Arial"/>
          <w:i/>
          <w:color w:val="001F60"/>
          <w:w w:val="90"/>
        </w:rPr>
        <w:t>que</w:t>
      </w:r>
      <w:r>
        <w:rPr>
          <w:rFonts w:ascii="Arial" w:hAnsi="Arial"/>
          <w:i/>
          <w:color w:val="001F60"/>
          <w:spacing w:val="-6"/>
          <w:w w:val="90"/>
        </w:rPr>
        <w:t xml:space="preserve"> </w:t>
      </w:r>
      <w:r>
        <w:rPr>
          <w:rFonts w:ascii="Arial" w:hAnsi="Arial"/>
          <w:i/>
          <w:color w:val="001F60"/>
          <w:w w:val="90"/>
        </w:rPr>
        <w:t>impulsionem</w:t>
      </w:r>
      <w:r>
        <w:rPr>
          <w:rFonts w:ascii="Arial" w:hAnsi="Arial"/>
          <w:i/>
          <w:color w:val="001F60"/>
          <w:spacing w:val="-5"/>
          <w:w w:val="90"/>
        </w:rPr>
        <w:t xml:space="preserve"> </w:t>
      </w:r>
      <w:r>
        <w:rPr>
          <w:rFonts w:ascii="Arial" w:hAnsi="Arial"/>
          <w:i/>
          <w:color w:val="001F60"/>
          <w:w w:val="90"/>
        </w:rPr>
        <w:t>a</w:t>
      </w:r>
      <w:r>
        <w:rPr>
          <w:rFonts w:ascii="Arial" w:hAnsi="Arial"/>
          <w:i/>
          <w:color w:val="001F60"/>
          <w:spacing w:val="-8"/>
          <w:w w:val="90"/>
        </w:rPr>
        <w:t xml:space="preserve"> </w:t>
      </w:r>
      <w:r>
        <w:rPr>
          <w:rFonts w:ascii="Arial" w:hAnsi="Arial"/>
          <w:i/>
          <w:color w:val="001F60"/>
          <w:w w:val="90"/>
        </w:rPr>
        <w:t>conectividade e apoiem a transformação</w:t>
      </w:r>
      <w:r>
        <w:rPr>
          <w:rFonts w:ascii="Arial" w:hAnsi="Arial"/>
          <w:i/>
          <w:color w:val="001F60"/>
          <w:spacing w:val="-2"/>
          <w:w w:val="90"/>
        </w:rPr>
        <w:t xml:space="preserve"> </w:t>
      </w:r>
      <w:r>
        <w:rPr>
          <w:rFonts w:ascii="Arial" w:hAnsi="Arial"/>
          <w:i/>
          <w:color w:val="001F60"/>
          <w:w w:val="90"/>
        </w:rPr>
        <w:t>digital do Estado e</w:t>
      </w:r>
      <w:r>
        <w:rPr>
          <w:rFonts w:ascii="Arial" w:hAnsi="Arial"/>
          <w:i/>
          <w:color w:val="001F60"/>
          <w:spacing w:val="-1"/>
          <w:w w:val="90"/>
        </w:rPr>
        <w:t xml:space="preserve"> </w:t>
      </w:r>
      <w:r>
        <w:rPr>
          <w:rFonts w:ascii="Arial" w:hAnsi="Arial"/>
          <w:i/>
          <w:color w:val="001F60"/>
          <w:w w:val="90"/>
        </w:rPr>
        <w:t>da sociedade. Inovamos para aproximar o</w:t>
      </w:r>
      <w:r>
        <w:rPr>
          <w:rFonts w:ascii="Arial" w:hAnsi="Arial"/>
          <w:i/>
          <w:color w:val="001F60"/>
          <w:spacing w:val="-2"/>
          <w:w w:val="90"/>
        </w:rPr>
        <w:t xml:space="preserve"> </w:t>
      </w:r>
      <w:r>
        <w:rPr>
          <w:rFonts w:ascii="Arial" w:hAnsi="Arial"/>
          <w:i/>
          <w:color w:val="001F60"/>
          <w:w w:val="90"/>
        </w:rPr>
        <w:t xml:space="preserve">Brasil </w:t>
      </w:r>
      <w:r>
        <w:rPr>
          <w:rFonts w:ascii="Arial" w:hAnsi="Arial"/>
          <w:i/>
          <w:color w:val="001F60"/>
        </w:rPr>
        <w:t>do</w:t>
      </w:r>
      <w:r>
        <w:rPr>
          <w:rFonts w:ascii="Arial" w:hAnsi="Arial"/>
          <w:i/>
          <w:color w:val="001F60"/>
          <w:spacing w:val="-6"/>
        </w:rPr>
        <w:t xml:space="preserve"> </w:t>
      </w:r>
      <w:r>
        <w:rPr>
          <w:rFonts w:ascii="Arial" w:hAnsi="Arial"/>
          <w:i/>
          <w:color w:val="001F60"/>
        </w:rPr>
        <w:t>futuro.</w:t>
      </w:r>
    </w:p>
    <w:p w14:paraId="00D26B47" w14:textId="77777777" w:rsidR="002C6574" w:rsidRDefault="00000000">
      <w:pPr>
        <w:pStyle w:val="PargrafodaLista"/>
        <w:numPr>
          <w:ilvl w:val="0"/>
          <w:numId w:val="66"/>
        </w:numPr>
        <w:tabs>
          <w:tab w:val="left" w:pos="1429"/>
        </w:tabs>
        <w:spacing w:before="121" w:line="252" w:lineRule="auto"/>
        <w:ind w:right="278"/>
        <w:jc w:val="both"/>
        <w:rPr>
          <w:rFonts w:ascii="Arial" w:hAnsi="Arial"/>
          <w:i/>
        </w:rPr>
      </w:pPr>
      <w:r>
        <w:rPr>
          <w:b/>
          <w:color w:val="001F60"/>
        </w:rPr>
        <w:t>Responsabilidade Social, Ambiental e Governança Corporativa (ESG)</w:t>
      </w:r>
      <w:r>
        <w:rPr>
          <w:color w:val="001F60"/>
        </w:rPr>
        <w:t xml:space="preserve">: </w:t>
      </w:r>
      <w:r>
        <w:rPr>
          <w:rFonts w:ascii="Arial" w:hAnsi="Arial"/>
          <w:i/>
          <w:color w:val="001F60"/>
        </w:rPr>
        <w:t xml:space="preserve">Atuamos com </w:t>
      </w:r>
      <w:r>
        <w:rPr>
          <w:rFonts w:ascii="Arial" w:hAnsi="Arial"/>
          <w:i/>
          <w:color w:val="001F60"/>
          <w:w w:val="90"/>
        </w:rPr>
        <w:t>responsabilidade</w:t>
      </w:r>
      <w:r>
        <w:rPr>
          <w:rFonts w:ascii="Arial" w:hAnsi="Arial"/>
          <w:i/>
          <w:color w:val="001F60"/>
          <w:spacing w:val="-3"/>
          <w:w w:val="90"/>
        </w:rPr>
        <w:t xml:space="preserve"> </w:t>
      </w:r>
      <w:r>
        <w:rPr>
          <w:rFonts w:ascii="Arial" w:hAnsi="Arial"/>
          <w:i/>
          <w:color w:val="001F60"/>
          <w:w w:val="90"/>
        </w:rPr>
        <w:t>social,</w:t>
      </w:r>
      <w:r>
        <w:rPr>
          <w:rFonts w:ascii="Arial" w:hAnsi="Arial"/>
          <w:i/>
          <w:color w:val="001F60"/>
          <w:spacing w:val="-2"/>
          <w:w w:val="90"/>
        </w:rPr>
        <w:t xml:space="preserve"> </w:t>
      </w:r>
      <w:r>
        <w:rPr>
          <w:rFonts w:ascii="Arial" w:hAnsi="Arial"/>
          <w:i/>
          <w:color w:val="001F60"/>
          <w:w w:val="90"/>
        </w:rPr>
        <w:t>ambiental</w:t>
      </w:r>
      <w:r>
        <w:rPr>
          <w:rFonts w:ascii="Arial" w:hAnsi="Arial"/>
          <w:i/>
          <w:color w:val="001F60"/>
          <w:spacing w:val="-4"/>
          <w:w w:val="90"/>
        </w:rPr>
        <w:t xml:space="preserve"> </w:t>
      </w:r>
      <w:r>
        <w:rPr>
          <w:rFonts w:ascii="Arial" w:hAnsi="Arial"/>
          <w:i/>
          <w:color w:val="001F60"/>
          <w:w w:val="90"/>
        </w:rPr>
        <w:t>e</w:t>
      </w:r>
      <w:r>
        <w:rPr>
          <w:rFonts w:ascii="Arial" w:hAnsi="Arial"/>
          <w:i/>
          <w:color w:val="001F60"/>
          <w:spacing w:val="-2"/>
          <w:w w:val="90"/>
        </w:rPr>
        <w:t xml:space="preserve"> </w:t>
      </w:r>
      <w:r>
        <w:rPr>
          <w:rFonts w:ascii="Arial" w:hAnsi="Arial"/>
          <w:i/>
          <w:color w:val="001F60"/>
          <w:w w:val="90"/>
        </w:rPr>
        <w:t>de</w:t>
      </w:r>
      <w:r>
        <w:rPr>
          <w:rFonts w:ascii="Arial" w:hAnsi="Arial"/>
          <w:i/>
          <w:color w:val="001F60"/>
          <w:spacing w:val="-2"/>
          <w:w w:val="90"/>
        </w:rPr>
        <w:t xml:space="preserve"> </w:t>
      </w:r>
      <w:r>
        <w:rPr>
          <w:rFonts w:ascii="Arial" w:hAnsi="Arial"/>
          <w:i/>
          <w:color w:val="001F60"/>
          <w:w w:val="90"/>
        </w:rPr>
        <w:t>governança</w:t>
      </w:r>
      <w:r>
        <w:rPr>
          <w:rFonts w:ascii="Arial" w:hAnsi="Arial"/>
          <w:i/>
          <w:color w:val="001F60"/>
          <w:spacing w:val="-2"/>
          <w:w w:val="90"/>
        </w:rPr>
        <w:t xml:space="preserve"> </w:t>
      </w:r>
      <w:r>
        <w:rPr>
          <w:rFonts w:ascii="Arial" w:hAnsi="Arial"/>
          <w:i/>
          <w:color w:val="001F60"/>
          <w:w w:val="90"/>
        </w:rPr>
        <w:t>(ESG),</w:t>
      </w:r>
      <w:r>
        <w:rPr>
          <w:rFonts w:ascii="Arial" w:hAnsi="Arial"/>
          <w:i/>
          <w:color w:val="001F60"/>
          <w:spacing w:val="-2"/>
          <w:w w:val="90"/>
        </w:rPr>
        <w:t xml:space="preserve"> </w:t>
      </w:r>
      <w:r>
        <w:rPr>
          <w:rFonts w:ascii="Arial" w:hAnsi="Arial"/>
          <w:i/>
          <w:color w:val="001F60"/>
          <w:w w:val="90"/>
        </w:rPr>
        <w:t>garantindo</w:t>
      </w:r>
      <w:r>
        <w:rPr>
          <w:rFonts w:ascii="Arial" w:hAnsi="Arial"/>
          <w:i/>
          <w:color w:val="001F60"/>
          <w:spacing w:val="-5"/>
          <w:w w:val="90"/>
        </w:rPr>
        <w:t xml:space="preserve"> </w:t>
      </w:r>
      <w:r>
        <w:rPr>
          <w:rFonts w:ascii="Arial" w:hAnsi="Arial"/>
          <w:i/>
          <w:color w:val="001F60"/>
          <w:w w:val="90"/>
        </w:rPr>
        <w:t>acessibilidade,</w:t>
      </w:r>
      <w:r>
        <w:rPr>
          <w:rFonts w:ascii="Arial" w:hAnsi="Arial"/>
          <w:i/>
          <w:color w:val="001F60"/>
          <w:spacing w:val="-2"/>
          <w:w w:val="90"/>
        </w:rPr>
        <w:t xml:space="preserve"> </w:t>
      </w:r>
      <w:r>
        <w:rPr>
          <w:rFonts w:ascii="Arial" w:hAnsi="Arial"/>
          <w:i/>
          <w:color w:val="001F60"/>
          <w:w w:val="90"/>
        </w:rPr>
        <w:t xml:space="preserve">inclusão digital e sustentabilidade em nossas ações. Respeitamos o meio ambiente e trabalhamos por </w:t>
      </w:r>
      <w:r>
        <w:rPr>
          <w:rFonts w:ascii="Arial" w:hAnsi="Arial"/>
          <w:i/>
          <w:color w:val="001F60"/>
          <w:spacing w:val="-6"/>
        </w:rPr>
        <w:t>um</w:t>
      </w:r>
      <w:r>
        <w:rPr>
          <w:rFonts w:ascii="Arial" w:hAnsi="Arial"/>
          <w:i/>
          <w:color w:val="001F60"/>
          <w:spacing w:val="-10"/>
        </w:rPr>
        <w:t xml:space="preserve"> </w:t>
      </w:r>
      <w:r>
        <w:rPr>
          <w:rFonts w:ascii="Arial" w:hAnsi="Arial"/>
          <w:i/>
          <w:color w:val="001F60"/>
          <w:spacing w:val="-6"/>
        </w:rPr>
        <w:t>Brasil</w:t>
      </w:r>
      <w:r>
        <w:rPr>
          <w:rFonts w:ascii="Arial" w:hAnsi="Arial"/>
          <w:i/>
          <w:color w:val="001F60"/>
          <w:spacing w:val="-10"/>
        </w:rPr>
        <w:t xml:space="preserve"> </w:t>
      </w:r>
      <w:r>
        <w:rPr>
          <w:rFonts w:ascii="Arial" w:hAnsi="Arial"/>
          <w:i/>
          <w:color w:val="001F60"/>
          <w:spacing w:val="-6"/>
        </w:rPr>
        <w:t>mais</w:t>
      </w:r>
      <w:r>
        <w:rPr>
          <w:rFonts w:ascii="Arial" w:hAnsi="Arial"/>
          <w:i/>
          <w:color w:val="001F60"/>
          <w:spacing w:val="-13"/>
        </w:rPr>
        <w:t xml:space="preserve"> </w:t>
      </w:r>
      <w:r>
        <w:rPr>
          <w:rFonts w:ascii="Arial" w:hAnsi="Arial"/>
          <w:i/>
          <w:color w:val="001F60"/>
          <w:spacing w:val="-6"/>
        </w:rPr>
        <w:t>conectado,</w:t>
      </w:r>
      <w:r>
        <w:rPr>
          <w:rFonts w:ascii="Arial" w:hAnsi="Arial"/>
          <w:i/>
          <w:color w:val="001F60"/>
          <w:spacing w:val="-11"/>
        </w:rPr>
        <w:t xml:space="preserve"> </w:t>
      </w:r>
      <w:r>
        <w:rPr>
          <w:rFonts w:ascii="Arial" w:hAnsi="Arial"/>
          <w:i/>
          <w:color w:val="001F60"/>
          <w:spacing w:val="-6"/>
        </w:rPr>
        <w:t>seguro</w:t>
      </w:r>
      <w:r>
        <w:rPr>
          <w:rFonts w:ascii="Arial" w:hAnsi="Arial"/>
          <w:i/>
          <w:color w:val="001F60"/>
          <w:spacing w:val="-11"/>
        </w:rPr>
        <w:t xml:space="preserve"> </w:t>
      </w:r>
      <w:r>
        <w:rPr>
          <w:rFonts w:ascii="Arial" w:hAnsi="Arial"/>
          <w:i/>
          <w:color w:val="001F60"/>
          <w:spacing w:val="-6"/>
        </w:rPr>
        <w:t>e</w:t>
      </w:r>
      <w:r>
        <w:rPr>
          <w:rFonts w:ascii="Arial" w:hAnsi="Arial"/>
          <w:i/>
          <w:color w:val="001F60"/>
          <w:spacing w:val="-11"/>
        </w:rPr>
        <w:t xml:space="preserve"> </w:t>
      </w:r>
      <w:r>
        <w:rPr>
          <w:rFonts w:ascii="Arial" w:hAnsi="Arial"/>
          <w:i/>
          <w:color w:val="001F60"/>
          <w:spacing w:val="-6"/>
        </w:rPr>
        <w:t>sustentável.</w:t>
      </w:r>
    </w:p>
    <w:p w14:paraId="236A355F" w14:textId="77777777" w:rsidR="002C6574" w:rsidRDefault="00000000">
      <w:pPr>
        <w:pStyle w:val="PargrafodaLista"/>
        <w:numPr>
          <w:ilvl w:val="0"/>
          <w:numId w:val="66"/>
        </w:numPr>
        <w:tabs>
          <w:tab w:val="left" w:pos="1429"/>
        </w:tabs>
        <w:spacing w:before="116" w:line="242" w:lineRule="auto"/>
        <w:ind w:right="277"/>
        <w:jc w:val="both"/>
        <w:rPr>
          <w:rFonts w:ascii="Arial" w:hAnsi="Arial"/>
          <w:i/>
        </w:rPr>
      </w:pPr>
      <w:r>
        <w:rPr>
          <w:b/>
          <w:color w:val="001F60"/>
        </w:rPr>
        <w:t>Integridade e Ética</w:t>
      </w:r>
      <w:r>
        <w:rPr>
          <w:color w:val="001F60"/>
        </w:rPr>
        <w:t xml:space="preserve">: </w:t>
      </w:r>
      <w:r>
        <w:rPr>
          <w:rFonts w:ascii="Arial" w:hAnsi="Arial"/>
          <w:i/>
          <w:color w:val="001F60"/>
        </w:rPr>
        <w:t>Conduzimos</w:t>
      </w:r>
      <w:r>
        <w:rPr>
          <w:rFonts w:ascii="Arial" w:hAnsi="Arial"/>
          <w:i/>
          <w:color w:val="001F60"/>
          <w:spacing w:val="-1"/>
        </w:rPr>
        <w:t xml:space="preserve"> </w:t>
      </w:r>
      <w:r>
        <w:rPr>
          <w:rFonts w:ascii="Arial" w:hAnsi="Arial"/>
          <w:i/>
          <w:color w:val="001F60"/>
        </w:rPr>
        <w:t>nossas</w:t>
      </w:r>
      <w:r>
        <w:rPr>
          <w:rFonts w:ascii="Arial" w:hAnsi="Arial"/>
          <w:i/>
          <w:color w:val="001F60"/>
          <w:spacing w:val="-1"/>
        </w:rPr>
        <w:t xml:space="preserve"> </w:t>
      </w:r>
      <w:r>
        <w:rPr>
          <w:rFonts w:ascii="Arial" w:hAnsi="Arial"/>
          <w:i/>
          <w:color w:val="001F60"/>
        </w:rPr>
        <w:t>ações com integridade, ética</w:t>
      </w:r>
      <w:r>
        <w:rPr>
          <w:rFonts w:ascii="Arial" w:hAnsi="Arial"/>
          <w:i/>
          <w:color w:val="001F60"/>
          <w:spacing w:val="-1"/>
        </w:rPr>
        <w:t xml:space="preserve"> </w:t>
      </w:r>
      <w:r>
        <w:rPr>
          <w:rFonts w:ascii="Arial" w:hAnsi="Arial"/>
          <w:i/>
          <w:color w:val="001F60"/>
        </w:rPr>
        <w:t>e</w:t>
      </w:r>
      <w:r>
        <w:rPr>
          <w:rFonts w:ascii="Arial" w:hAnsi="Arial"/>
          <w:i/>
          <w:color w:val="001F60"/>
          <w:spacing w:val="-2"/>
        </w:rPr>
        <w:t xml:space="preserve"> </w:t>
      </w:r>
      <w:r>
        <w:rPr>
          <w:rFonts w:ascii="Arial" w:hAnsi="Arial"/>
          <w:i/>
          <w:color w:val="001F60"/>
        </w:rPr>
        <w:t xml:space="preserve">transparência, </w:t>
      </w:r>
      <w:r>
        <w:rPr>
          <w:rFonts w:ascii="Arial" w:hAnsi="Arial"/>
          <w:i/>
          <w:color w:val="001F60"/>
          <w:w w:val="90"/>
        </w:rPr>
        <w:t>fortalecendo a confiança da sociedade e dos nossos parceiros.</w:t>
      </w:r>
    </w:p>
    <w:p w14:paraId="3C8E484B" w14:textId="77777777" w:rsidR="002C6574" w:rsidRDefault="00000000">
      <w:pPr>
        <w:pStyle w:val="PargrafodaLista"/>
        <w:numPr>
          <w:ilvl w:val="0"/>
          <w:numId w:val="66"/>
        </w:numPr>
        <w:tabs>
          <w:tab w:val="left" w:pos="1429"/>
        </w:tabs>
        <w:spacing w:before="129" w:line="249" w:lineRule="auto"/>
        <w:ind w:right="278"/>
        <w:jc w:val="both"/>
        <w:rPr>
          <w:rFonts w:ascii="Arial" w:hAnsi="Arial"/>
          <w:i/>
        </w:rPr>
      </w:pPr>
      <w:r>
        <w:rPr>
          <w:b/>
          <w:color w:val="001F60"/>
          <w:w w:val="85"/>
        </w:rPr>
        <w:t>Agilidade:</w:t>
      </w:r>
      <w:r>
        <w:rPr>
          <w:b/>
          <w:color w:val="001F60"/>
        </w:rPr>
        <w:t xml:space="preserve"> </w:t>
      </w:r>
      <w:r>
        <w:rPr>
          <w:rFonts w:ascii="Arial" w:hAnsi="Arial"/>
          <w:i/>
          <w:color w:val="001F60"/>
          <w:w w:val="85"/>
        </w:rPr>
        <w:t xml:space="preserve">Respondemos com rapidez e eficiência às necessidades do país e dos nossos clientes. </w:t>
      </w:r>
      <w:r>
        <w:rPr>
          <w:rFonts w:ascii="Arial" w:hAnsi="Arial"/>
          <w:i/>
          <w:color w:val="001F60"/>
          <w:spacing w:val="-6"/>
        </w:rPr>
        <w:t>Trabalhamos</w:t>
      </w:r>
      <w:r>
        <w:rPr>
          <w:rFonts w:ascii="Arial" w:hAnsi="Arial"/>
          <w:i/>
          <w:color w:val="001F60"/>
          <w:spacing w:val="-7"/>
        </w:rPr>
        <w:t xml:space="preserve"> </w:t>
      </w:r>
      <w:r>
        <w:rPr>
          <w:rFonts w:ascii="Arial" w:hAnsi="Arial"/>
          <w:i/>
          <w:color w:val="001F60"/>
          <w:spacing w:val="-6"/>
        </w:rPr>
        <w:t>em</w:t>
      </w:r>
      <w:r>
        <w:rPr>
          <w:rFonts w:ascii="Arial" w:hAnsi="Arial"/>
          <w:i/>
          <w:color w:val="001F60"/>
          <w:spacing w:val="-8"/>
        </w:rPr>
        <w:t xml:space="preserve"> </w:t>
      </w:r>
      <w:r>
        <w:rPr>
          <w:rFonts w:ascii="Arial" w:hAnsi="Arial"/>
          <w:i/>
          <w:color w:val="001F60"/>
          <w:spacing w:val="-6"/>
        </w:rPr>
        <w:t>rede,</w:t>
      </w:r>
      <w:r>
        <w:rPr>
          <w:rFonts w:ascii="Arial" w:hAnsi="Arial"/>
          <w:i/>
          <w:color w:val="001F60"/>
          <w:spacing w:val="-7"/>
        </w:rPr>
        <w:t xml:space="preserve"> </w:t>
      </w:r>
      <w:r>
        <w:rPr>
          <w:rFonts w:ascii="Arial" w:hAnsi="Arial"/>
          <w:i/>
          <w:color w:val="001F60"/>
          <w:spacing w:val="-6"/>
        </w:rPr>
        <w:t>com colaboração</w:t>
      </w:r>
      <w:r>
        <w:rPr>
          <w:rFonts w:ascii="Arial" w:hAnsi="Arial"/>
          <w:i/>
          <w:color w:val="001F60"/>
          <w:spacing w:val="-8"/>
        </w:rPr>
        <w:t xml:space="preserve"> </w:t>
      </w:r>
      <w:r>
        <w:rPr>
          <w:rFonts w:ascii="Arial" w:hAnsi="Arial"/>
          <w:i/>
          <w:color w:val="001F60"/>
          <w:spacing w:val="-6"/>
        </w:rPr>
        <w:t>e</w:t>
      </w:r>
      <w:r>
        <w:rPr>
          <w:rFonts w:ascii="Arial" w:hAnsi="Arial"/>
          <w:i/>
          <w:color w:val="001F60"/>
          <w:spacing w:val="-7"/>
        </w:rPr>
        <w:t xml:space="preserve"> </w:t>
      </w:r>
      <w:r>
        <w:rPr>
          <w:rFonts w:ascii="Arial" w:hAnsi="Arial"/>
          <w:i/>
          <w:color w:val="001F60"/>
          <w:spacing w:val="-6"/>
        </w:rPr>
        <w:t>foco em</w:t>
      </w:r>
      <w:r>
        <w:rPr>
          <w:rFonts w:ascii="Arial" w:hAnsi="Arial"/>
          <w:i/>
          <w:color w:val="001F60"/>
          <w:spacing w:val="-10"/>
        </w:rPr>
        <w:t xml:space="preserve"> </w:t>
      </w:r>
      <w:r>
        <w:rPr>
          <w:rFonts w:ascii="Arial" w:hAnsi="Arial"/>
          <w:i/>
          <w:color w:val="001F60"/>
          <w:spacing w:val="-6"/>
        </w:rPr>
        <w:t>resultados,</w:t>
      </w:r>
      <w:r>
        <w:rPr>
          <w:rFonts w:ascii="Arial" w:hAnsi="Arial"/>
          <w:i/>
          <w:color w:val="001F60"/>
          <w:spacing w:val="-9"/>
        </w:rPr>
        <w:t xml:space="preserve"> </w:t>
      </w:r>
      <w:r>
        <w:rPr>
          <w:rFonts w:ascii="Arial" w:hAnsi="Arial"/>
          <w:i/>
          <w:color w:val="001F60"/>
          <w:spacing w:val="-6"/>
        </w:rPr>
        <w:t>superando</w:t>
      </w:r>
      <w:r>
        <w:rPr>
          <w:rFonts w:ascii="Arial" w:hAnsi="Arial"/>
          <w:i/>
          <w:color w:val="001F60"/>
          <w:spacing w:val="-8"/>
        </w:rPr>
        <w:t xml:space="preserve"> </w:t>
      </w:r>
      <w:r>
        <w:rPr>
          <w:rFonts w:ascii="Arial" w:hAnsi="Arial"/>
          <w:i/>
          <w:color w:val="001F60"/>
          <w:spacing w:val="-6"/>
        </w:rPr>
        <w:t>desafios</w:t>
      </w:r>
      <w:r>
        <w:rPr>
          <w:rFonts w:ascii="Arial" w:hAnsi="Arial"/>
          <w:i/>
          <w:color w:val="001F60"/>
          <w:spacing w:val="-7"/>
        </w:rPr>
        <w:t xml:space="preserve"> </w:t>
      </w:r>
      <w:r>
        <w:rPr>
          <w:rFonts w:ascii="Arial" w:hAnsi="Arial"/>
          <w:i/>
          <w:color w:val="001F60"/>
          <w:spacing w:val="-6"/>
        </w:rPr>
        <w:t xml:space="preserve">em um </w:t>
      </w:r>
      <w:r>
        <w:rPr>
          <w:rFonts w:ascii="Arial" w:hAnsi="Arial"/>
          <w:i/>
          <w:color w:val="001F60"/>
          <w:spacing w:val="-2"/>
        </w:rPr>
        <w:t>ambiente</w:t>
      </w:r>
      <w:r>
        <w:rPr>
          <w:rFonts w:ascii="Arial" w:hAnsi="Arial"/>
          <w:i/>
          <w:color w:val="001F60"/>
          <w:spacing w:val="-14"/>
        </w:rPr>
        <w:t xml:space="preserve"> </w:t>
      </w:r>
      <w:r>
        <w:rPr>
          <w:rFonts w:ascii="Arial" w:hAnsi="Arial"/>
          <w:i/>
          <w:color w:val="001F60"/>
          <w:spacing w:val="-2"/>
        </w:rPr>
        <w:t>em</w:t>
      </w:r>
      <w:r>
        <w:rPr>
          <w:rFonts w:ascii="Arial" w:hAnsi="Arial"/>
          <w:i/>
          <w:color w:val="001F60"/>
          <w:spacing w:val="-13"/>
        </w:rPr>
        <w:t xml:space="preserve"> </w:t>
      </w:r>
      <w:r>
        <w:rPr>
          <w:rFonts w:ascii="Arial" w:hAnsi="Arial"/>
          <w:i/>
          <w:color w:val="001F60"/>
          <w:spacing w:val="-2"/>
        </w:rPr>
        <w:t>constante</w:t>
      </w:r>
      <w:r>
        <w:rPr>
          <w:rFonts w:ascii="Arial" w:hAnsi="Arial"/>
          <w:i/>
          <w:color w:val="001F60"/>
          <w:spacing w:val="-13"/>
        </w:rPr>
        <w:t xml:space="preserve"> </w:t>
      </w:r>
      <w:r>
        <w:rPr>
          <w:rFonts w:ascii="Arial" w:hAnsi="Arial"/>
          <w:i/>
          <w:color w:val="001F60"/>
          <w:spacing w:val="-2"/>
        </w:rPr>
        <w:t>mudança.</w:t>
      </w:r>
    </w:p>
    <w:p w14:paraId="39782EDD" w14:textId="77777777" w:rsidR="002C6574" w:rsidRDefault="00000000">
      <w:pPr>
        <w:pStyle w:val="Corpodetexto"/>
        <w:spacing w:before="121"/>
        <w:ind w:left="709" w:right="277"/>
        <w:jc w:val="both"/>
        <w:rPr>
          <w:rFonts w:ascii="Calibri" w:hAnsi="Calibri"/>
        </w:rPr>
      </w:pPr>
      <w:r>
        <w:rPr>
          <w:rFonts w:ascii="Calibri" w:hAnsi="Calibri"/>
          <w:b/>
          <w:color w:val="001F60"/>
        </w:rPr>
        <w:t>Mapa</w:t>
      </w:r>
      <w:r>
        <w:rPr>
          <w:rFonts w:ascii="Calibri" w:hAnsi="Calibri"/>
          <w:b/>
          <w:color w:val="001F60"/>
          <w:spacing w:val="-8"/>
        </w:rPr>
        <w:t xml:space="preserve"> </w:t>
      </w:r>
      <w:r>
        <w:rPr>
          <w:rFonts w:ascii="Calibri" w:hAnsi="Calibri"/>
          <w:b/>
          <w:color w:val="001F60"/>
        </w:rPr>
        <w:t>Estratégico:</w:t>
      </w:r>
      <w:r>
        <w:rPr>
          <w:rFonts w:ascii="Calibri" w:hAnsi="Calibri"/>
          <w:b/>
          <w:color w:val="001F60"/>
          <w:spacing w:val="-7"/>
        </w:rPr>
        <w:t xml:space="preserve"> </w:t>
      </w:r>
      <w:r>
        <w:rPr>
          <w:rFonts w:ascii="Calibri" w:hAnsi="Calibri"/>
          <w:color w:val="001F60"/>
        </w:rPr>
        <w:t>O</w:t>
      </w:r>
      <w:r>
        <w:rPr>
          <w:rFonts w:ascii="Calibri" w:hAnsi="Calibri"/>
          <w:color w:val="001F60"/>
          <w:spacing w:val="-8"/>
        </w:rPr>
        <w:t xml:space="preserve"> </w:t>
      </w:r>
      <w:r>
        <w:rPr>
          <w:rFonts w:ascii="Calibri" w:hAnsi="Calibri"/>
          <w:color w:val="001F60"/>
        </w:rPr>
        <w:t>Mapa</w:t>
      </w:r>
      <w:r>
        <w:rPr>
          <w:rFonts w:ascii="Calibri" w:hAnsi="Calibri"/>
          <w:color w:val="001F60"/>
          <w:spacing w:val="-8"/>
        </w:rPr>
        <w:t xml:space="preserve"> </w:t>
      </w:r>
      <w:r>
        <w:rPr>
          <w:rFonts w:ascii="Calibri" w:hAnsi="Calibri"/>
          <w:color w:val="001F60"/>
        </w:rPr>
        <w:t>Estratégico</w:t>
      </w:r>
      <w:r>
        <w:rPr>
          <w:rFonts w:ascii="Calibri" w:hAnsi="Calibri"/>
          <w:color w:val="001F60"/>
          <w:spacing w:val="-6"/>
        </w:rPr>
        <w:t xml:space="preserve"> </w:t>
      </w:r>
      <w:r>
        <w:rPr>
          <w:rFonts w:ascii="Calibri" w:hAnsi="Calibri"/>
          <w:color w:val="001F60"/>
        </w:rPr>
        <w:t>da</w:t>
      </w:r>
      <w:r>
        <w:rPr>
          <w:rFonts w:ascii="Calibri" w:hAnsi="Calibri"/>
          <w:color w:val="001F60"/>
          <w:spacing w:val="-6"/>
        </w:rPr>
        <w:t xml:space="preserve"> </w:t>
      </w:r>
      <w:r>
        <w:rPr>
          <w:rFonts w:ascii="Calibri" w:hAnsi="Calibri"/>
          <w:color w:val="001F60"/>
        </w:rPr>
        <w:t>Telebras</w:t>
      </w:r>
      <w:r>
        <w:rPr>
          <w:rFonts w:ascii="Calibri" w:hAnsi="Calibri"/>
          <w:color w:val="001F60"/>
          <w:spacing w:val="-6"/>
        </w:rPr>
        <w:t xml:space="preserve"> </w:t>
      </w:r>
      <w:r>
        <w:rPr>
          <w:rFonts w:ascii="Calibri" w:hAnsi="Calibri"/>
          <w:color w:val="001F60"/>
        </w:rPr>
        <w:t>para</w:t>
      </w:r>
      <w:r>
        <w:rPr>
          <w:rFonts w:ascii="Calibri" w:hAnsi="Calibri"/>
          <w:color w:val="001F60"/>
          <w:spacing w:val="-6"/>
        </w:rPr>
        <w:t xml:space="preserve"> </w:t>
      </w:r>
      <w:r>
        <w:rPr>
          <w:rFonts w:ascii="Calibri" w:hAnsi="Calibri"/>
          <w:color w:val="001F60"/>
        </w:rPr>
        <w:t>o</w:t>
      </w:r>
      <w:r>
        <w:rPr>
          <w:rFonts w:ascii="Calibri" w:hAnsi="Calibri"/>
          <w:color w:val="001F60"/>
          <w:spacing w:val="-6"/>
        </w:rPr>
        <w:t xml:space="preserve"> </w:t>
      </w:r>
      <w:r>
        <w:rPr>
          <w:rFonts w:ascii="Calibri" w:hAnsi="Calibri"/>
          <w:color w:val="001F60"/>
        </w:rPr>
        <w:t>período</w:t>
      </w:r>
      <w:r>
        <w:rPr>
          <w:rFonts w:ascii="Calibri" w:hAnsi="Calibri"/>
          <w:color w:val="001F60"/>
          <w:spacing w:val="-7"/>
        </w:rPr>
        <w:t xml:space="preserve"> </w:t>
      </w:r>
      <w:r>
        <w:rPr>
          <w:rFonts w:ascii="Calibri" w:hAnsi="Calibri"/>
          <w:color w:val="001F60"/>
        </w:rPr>
        <w:t>2026-2030</w:t>
      </w:r>
      <w:r>
        <w:rPr>
          <w:rFonts w:ascii="Calibri" w:hAnsi="Calibri"/>
          <w:color w:val="001F60"/>
          <w:spacing w:val="-8"/>
        </w:rPr>
        <w:t xml:space="preserve"> </w:t>
      </w:r>
      <w:r>
        <w:rPr>
          <w:rFonts w:ascii="Calibri" w:hAnsi="Calibri"/>
          <w:color w:val="001F60"/>
        </w:rPr>
        <w:t>é</w:t>
      </w:r>
      <w:r>
        <w:rPr>
          <w:rFonts w:ascii="Calibri" w:hAnsi="Calibri"/>
          <w:color w:val="001F60"/>
          <w:spacing w:val="-8"/>
        </w:rPr>
        <w:t xml:space="preserve"> </w:t>
      </w:r>
      <w:r>
        <w:rPr>
          <w:rFonts w:ascii="Calibri" w:hAnsi="Calibri"/>
          <w:color w:val="001F60"/>
        </w:rPr>
        <w:t>a</w:t>
      </w:r>
      <w:r>
        <w:rPr>
          <w:rFonts w:ascii="Calibri" w:hAnsi="Calibri"/>
          <w:color w:val="001F60"/>
          <w:spacing w:val="-6"/>
        </w:rPr>
        <w:t xml:space="preserve"> </w:t>
      </w:r>
      <w:r>
        <w:rPr>
          <w:rFonts w:ascii="Calibri" w:hAnsi="Calibri"/>
          <w:color w:val="001F60"/>
        </w:rPr>
        <w:t>representação</w:t>
      </w:r>
      <w:r>
        <w:rPr>
          <w:rFonts w:ascii="Calibri" w:hAnsi="Calibri"/>
          <w:color w:val="001F60"/>
          <w:spacing w:val="-8"/>
        </w:rPr>
        <w:t xml:space="preserve"> </w:t>
      </w:r>
      <w:r>
        <w:rPr>
          <w:rFonts w:ascii="Calibri" w:hAnsi="Calibri"/>
          <w:color w:val="001F60"/>
        </w:rPr>
        <w:t>visual que</w:t>
      </w:r>
      <w:r>
        <w:rPr>
          <w:rFonts w:ascii="Calibri" w:hAnsi="Calibri"/>
          <w:color w:val="001F60"/>
          <w:spacing w:val="-7"/>
        </w:rPr>
        <w:t xml:space="preserve"> </w:t>
      </w:r>
      <w:r>
        <w:rPr>
          <w:rFonts w:ascii="Calibri" w:hAnsi="Calibri"/>
          <w:color w:val="001F60"/>
        </w:rPr>
        <w:t>integra</w:t>
      </w:r>
      <w:r>
        <w:rPr>
          <w:rFonts w:ascii="Calibri" w:hAnsi="Calibri"/>
          <w:color w:val="001F60"/>
          <w:spacing w:val="-9"/>
        </w:rPr>
        <w:t xml:space="preserve"> </w:t>
      </w:r>
      <w:r>
        <w:rPr>
          <w:rFonts w:ascii="Calibri" w:hAnsi="Calibri"/>
          <w:color w:val="001F60"/>
        </w:rPr>
        <w:t>a</w:t>
      </w:r>
      <w:r>
        <w:rPr>
          <w:rFonts w:ascii="Calibri" w:hAnsi="Calibri"/>
          <w:color w:val="001F60"/>
          <w:spacing w:val="-7"/>
        </w:rPr>
        <w:t xml:space="preserve"> </w:t>
      </w:r>
      <w:r>
        <w:rPr>
          <w:rFonts w:ascii="Calibri" w:hAnsi="Calibri"/>
          <w:color w:val="001F60"/>
        </w:rPr>
        <w:t>missão,</w:t>
      </w:r>
      <w:r>
        <w:rPr>
          <w:rFonts w:ascii="Calibri" w:hAnsi="Calibri"/>
          <w:color w:val="001F60"/>
          <w:spacing w:val="-9"/>
        </w:rPr>
        <w:t xml:space="preserve"> </w:t>
      </w:r>
      <w:r>
        <w:rPr>
          <w:rFonts w:ascii="Calibri" w:hAnsi="Calibri"/>
          <w:color w:val="001F60"/>
        </w:rPr>
        <w:t>a</w:t>
      </w:r>
      <w:r>
        <w:rPr>
          <w:rFonts w:ascii="Calibri" w:hAnsi="Calibri"/>
          <w:color w:val="001F60"/>
          <w:spacing w:val="-7"/>
        </w:rPr>
        <w:t xml:space="preserve"> </w:t>
      </w:r>
      <w:r>
        <w:rPr>
          <w:rFonts w:ascii="Calibri" w:hAnsi="Calibri"/>
          <w:color w:val="001F60"/>
        </w:rPr>
        <w:t>visão,</w:t>
      </w:r>
      <w:r>
        <w:rPr>
          <w:rFonts w:ascii="Calibri" w:hAnsi="Calibri"/>
          <w:color w:val="001F60"/>
          <w:spacing w:val="-8"/>
        </w:rPr>
        <w:t xml:space="preserve"> </w:t>
      </w:r>
      <w:r>
        <w:rPr>
          <w:rFonts w:ascii="Calibri" w:hAnsi="Calibri"/>
          <w:color w:val="001F60"/>
        </w:rPr>
        <w:t>os</w:t>
      </w:r>
      <w:r>
        <w:rPr>
          <w:rFonts w:ascii="Calibri" w:hAnsi="Calibri"/>
          <w:color w:val="001F60"/>
          <w:spacing w:val="-7"/>
        </w:rPr>
        <w:t xml:space="preserve"> </w:t>
      </w:r>
      <w:r>
        <w:rPr>
          <w:rFonts w:ascii="Calibri" w:hAnsi="Calibri"/>
          <w:color w:val="001F60"/>
        </w:rPr>
        <w:t>valores</w:t>
      </w:r>
      <w:r>
        <w:rPr>
          <w:rFonts w:ascii="Calibri" w:hAnsi="Calibri"/>
          <w:color w:val="001F60"/>
          <w:spacing w:val="-10"/>
        </w:rPr>
        <w:t xml:space="preserve"> </w:t>
      </w:r>
      <w:r>
        <w:rPr>
          <w:rFonts w:ascii="Calibri" w:hAnsi="Calibri"/>
          <w:color w:val="001F60"/>
        </w:rPr>
        <w:t>e</w:t>
      </w:r>
      <w:r>
        <w:rPr>
          <w:rFonts w:ascii="Calibri" w:hAnsi="Calibri"/>
          <w:color w:val="001F60"/>
          <w:spacing w:val="-7"/>
        </w:rPr>
        <w:t xml:space="preserve"> </w:t>
      </w:r>
      <w:r>
        <w:rPr>
          <w:rFonts w:ascii="Calibri" w:hAnsi="Calibri"/>
          <w:color w:val="001F60"/>
        </w:rPr>
        <w:t>os</w:t>
      </w:r>
      <w:r>
        <w:rPr>
          <w:rFonts w:ascii="Calibri" w:hAnsi="Calibri"/>
          <w:color w:val="001F60"/>
          <w:spacing w:val="-8"/>
        </w:rPr>
        <w:t xml:space="preserve"> </w:t>
      </w:r>
      <w:r>
        <w:rPr>
          <w:rFonts w:ascii="Calibri" w:hAnsi="Calibri"/>
          <w:color w:val="001F60"/>
        </w:rPr>
        <w:t>objetivos</w:t>
      </w:r>
      <w:r>
        <w:rPr>
          <w:rFonts w:ascii="Calibri" w:hAnsi="Calibri"/>
          <w:color w:val="001F60"/>
          <w:spacing w:val="-11"/>
        </w:rPr>
        <w:t xml:space="preserve"> </w:t>
      </w:r>
      <w:r>
        <w:rPr>
          <w:rFonts w:ascii="Calibri" w:hAnsi="Calibri"/>
          <w:color w:val="001F60"/>
        </w:rPr>
        <w:t>estratégicos</w:t>
      </w:r>
      <w:r>
        <w:rPr>
          <w:rFonts w:ascii="Calibri" w:hAnsi="Calibri"/>
          <w:color w:val="001F60"/>
          <w:spacing w:val="-7"/>
        </w:rPr>
        <w:t xml:space="preserve"> </w:t>
      </w:r>
      <w:r>
        <w:rPr>
          <w:rFonts w:ascii="Calibri" w:hAnsi="Calibri"/>
          <w:color w:val="001F60"/>
        </w:rPr>
        <w:t>da</w:t>
      </w:r>
      <w:r>
        <w:rPr>
          <w:rFonts w:ascii="Calibri" w:hAnsi="Calibri"/>
          <w:color w:val="001F60"/>
          <w:spacing w:val="-11"/>
        </w:rPr>
        <w:t xml:space="preserve"> </w:t>
      </w:r>
      <w:r>
        <w:rPr>
          <w:rFonts w:ascii="Calibri" w:hAnsi="Calibri"/>
          <w:color w:val="001F60"/>
        </w:rPr>
        <w:t>Companhia</w:t>
      </w:r>
      <w:r>
        <w:rPr>
          <w:rFonts w:ascii="Calibri" w:hAnsi="Calibri"/>
          <w:color w:val="001F60"/>
          <w:spacing w:val="-11"/>
        </w:rPr>
        <w:t xml:space="preserve"> </w:t>
      </w:r>
      <w:r>
        <w:rPr>
          <w:rFonts w:ascii="Calibri" w:hAnsi="Calibri"/>
          <w:color w:val="001F60"/>
        </w:rPr>
        <w:t>uma</w:t>
      </w:r>
      <w:r>
        <w:rPr>
          <w:rFonts w:ascii="Calibri" w:hAnsi="Calibri"/>
          <w:color w:val="001F60"/>
          <w:spacing w:val="-9"/>
        </w:rPr>
        <w:t xml:space="preserve"> </w:t>
      </w:r>
      <w:r>
        <w:rPr>
          <w:rFonts w:ascii="Calibri" w:hAnsi="Calibri"/>
          <w:color w:val="001F60"/>
        </w:rPr>
        <w:t>estrutura</w:t>
      </w:r>
      <w:r>
        <w:rPr>
          <w:rFonts w:ascii="Calibri" w:hAnsi="Calibri"/>
          <w:color w:val="001F60"/>
          <w:spacing w:val="-9"/>
        </w:rPr>
        <w:t xml:space="preserve"> </w:t>
      </w:r>
      <w:r>
        <w:rPr>
          <w:rFonts w:ascii="Calibri" w:hAnsi="Calibri"/>
          <w:color w:val="001F60"/>
        </w:rPr>
        <w:t>única e coerente. O instrumento organiza os objetivos em perspectivas que orientam a execução da estratégia,</w:t>
      </w:r>
      <w:r>
        <w:rPr>
          <w:rFonts w:ascii="Calibri" w:hAnsi="Calibri"/>
          <w:color w:val="001F60"/>
          <w:spacing w:val="-9"/>
        </w:rPr>
        <w:t xml:space="preserve"> </w:t>
      </w:r>
      <w:r>
        <w:rPr>
          <w:rFonts w:ascii="Calibri" w:hAnsi="Calibri"/>
          <w:color w:val="001F60"/>
        </w:rPr>
        <w:t>favorecendo</w:t>
      </w:r>
      <w:r>
        <w:rPr>
          <w:rFonts w:ascii="Calibri" w:hAnsi="Calibri"/>
          <w:color w:val="001F60"/>
          <w:spacing w:val="-11"/>
        </w:rPr>
        <w:t xml:space="preserve"> </w:t>
      </w:r>
      <w:r>
        <w:rPr>
          <w:rFonts w:ascii="Calibri" w:hAnsi="Calibri"/>
          <w:color w:val="001F60"/>
        </w:rPr>
        <w:t>o</w:t>
      </w:r>
      <w:r>
        <w:rPr>
          <w:rFonts w:ascii="Calibri" w:hAnsi="Calibri"/>
          <w:color w:val="001F60"/>
          <w:spacing w:val="-9"/>
        </w:rPr>
        <w:t xml:space="preserve"> </w:t>
      </w:r>
      <w:r>
        <w:rPr>
          <w:rFonts w:ascii="Calibri" w:hAnsi="Calibri"/>
          <w:color w:val="001F60"/>
        </w:rPr>
        <w:t>alinhamento</w:t>
      </w:r>
      <w:r>
        <w:rPr>
          <w:rFonts w:ascii="Calibri" w:hAnsi="Calibri"/>
          <w:color w:val="001F60"/>
          <w:spacing w:val="-9"/>
        </w:rPr>
        <w:t xml:space="preserve"> </w:t>
      </w:r>
      <w:r>
        <w:rPr>
          <w:rFonts w:ascii="Calibri" w:hAnsi="Calibri"/>
          <w:color w:val="001F60"/>
        </w:rPr>
        <w:t>institucional,</w:t>
      </w:r>
      <w:r>
        <w:rPr>
          <w:rFonts w:ascii="Calibri" w:hAnsi="Calibri"/>
          <w:color w:val="001F60"/>
          <w:spacing w:val="-11"/>
        </w:rPr>
        <w:t xml:space="preserve"> </w:t>
      </w:r>
      <w:r>
        <w:rPr>
          <w:rFonts w:ascii="Calibri" w:hAnsi="Calibri"/>
          <w:color w:val="001F60"/>
        </w:rPr>
        <w:t>a</w:t>
      </w:r>
      <w:r>
        <w:rPr>
          <w:rFonts w:ascii="Calibri" w:hAnsi="Calibri"/>
          <w:color w:val="001F60"/>
          <w:spacing w:val="-11"/>
        </w:rPr>
        <w:t xml:space="preserve"> </w:t>
      </w:r>
      <w:r>
        <w:rPr>
          <w:rFonts w:ascii="Calibri" w:hAnsi="Calibri"/>
          <w:color w:val="001F60"/>
        </w:rPr>
        <w:t>priorização</w:t>
      </w:r>
      <w:r>
        <w:rPr>
          <w:rFonts w:ascii="Calibri" w:hAnsi="Calibri"/>
          <w:color w:val="001F60"/>
          <w:spacing w:val="-8"/>
        </w:rPr>
        <w:t xml:space="preserve"> </w:t>
      </w:r>
      <w:r>
        <w:rPr>
          <w:rFonts w:ascii="Calibri" w:hAnsi="Calibri"/>
          <w:color w:val="001F60"/>
        </w:rPr>
        <w:t>de</w:t>
      </w:r>
      <w:r>
        <w:rPr>
          <w:rFonts w:ascii="Calibri" w:hAnsi="Calibri"/>
          <w:color w:val="001F60"/>
          <w:spacing w:val="-9"/>
        </w:rPr>
        <w:t xml:space="preserve"> </w:t>
      </w:r>
      <w:r>
        <w:rPr>
          <w:rFonts w:ascii="Calibri" w:hAnsi="Calibri"/>
          <w:color w:val="001F60"/>
        </w:rPr>
        <w:t>iniciativas</w:t>
      </w:r>
      <w:r>
        <w:rPr>
          <w:rFonts w:ascii="Calibri" w:hAnsi="Calibri"/>
          <w:color w:val="001F60"/>
          <w:spacing w:val="-9"/>
        </w:rPr>
        <w:t xml:space="preserve"> </w:t>
      </w:r>
      <w:r>
        <w:rPr>
          <w:rFonts w:ascii="Calibri" w:hAnsi="Calibri"/>
          <w:color w:val="001F60"/>
        </w:rPr>
        <w:t>e</w:t>
      </w:r>
      <w:r>
        <w:rPr>
          <w:rFonts w:ascii="Calibri" w:hAnsi="Calibri"/>
          <w:color w:val="001F60"/>
          <w:spacing w:val="-13"/>
        </w:rPr>
        <w:t xml:space="preserve"> </w:t>
      </w:r>
      <w:r>
        <w:rPr>
          <w:rFonts w:ascii="Calibri" w:hAnsi="Calibri"/>
          <w:color w:val="001F60"/>
        </w:rPr>
        <w:t>o</w:t>
      </w:r>
      <w:r>
        <w:rPr>
          <w:rFonts w:ascii="Calibri" w:hAnsi="Calibri"/>
          <w:color w:val="001F60"/>
          <w:spacing w:val="-7"/>
        </w:rPr>
        <w:t xml:space="preserve"> </w:t>
      </w:r>
      <w:r>
        <w:rPr>
          <w:rFonts w:ascii="Calibri" w:hAnsi="Calibri"/>
          <w:color w:val="001F60"/>
        </w:rPr>
        <w:t>monitoramento</w:t>
      </w:r>
      <w:r>
        <w:rPr>
          <w:rFonts w:ascii="Calibri" w:hAnsi="Calibri"/>
          <w:color w:val="001F60"/>
          <w:spacing w:val="-11"/>
        </w:rPr>
        <w:t xml:space="preserve"> </w:t>
      </w:r>
      <w:r>
        <w:rPr>
          <w:rFonts w:ascii="Calibri" w:hAnsi="Calibri"/>
          <w:color w:val="001F60"/>
        </w:rPr>
        <w:t>do dos resultados em todos os níveis organizacionais.</w:t>
      </w:r>
    </w:p>
    <w:p w14:paraId="52AAACB3" w14:textId="77777777" w:rsidR="002C6574" w:rsidRDefault="00000000">
      <w:pPr>
        <w:pStyle w:val="Corpodetexto"/>
        <w:spacing w:before="121"/>
        <w:ind w:left="709" w:right="275"/>
        <w:jc w:val="both"/>
        <w:rPr>
          <w:rFonts w:ascii="Calibri" w:hAnsi="Calibri"/>
        </w:rPr>
      </w:pPr>
      <w:r>
        <w:rPr>
          <w:rFonts w:ascii="Calibri" w:hAnsi="Calibri"/>
          <w:color w:val="001F60"/>
        </w:rPr>
        <w:t>A</w:t>
      </w:r>
      <w:r>
        <w:rPr>
          <w:rFonts w:ascii="Calibri" w:hAnsi="Calibri"/>
          <w:color w:val="001F60"/>
          <w:spacing w:val="-10"/>
        </w:rPr>
        <w:t xml:space="preserve"> </w:t>
      </w:r>
      <w:r>
        <w:rPr>
          <w:rFonts w:ascii="Calibri" w:hAnsi="Calibri"/>
          <w:color w:val="001F60"/>
        </w:rPr>
        <w:t>Telebras</w:t>
      </w:r>
      <w:r>
        <w:rPr>
          <w:rFonts w:ascii="Calibri" w:hAnsi="Calibri"/>
          <w:color w:val="001F60"/>
          <w:spacing w:val="-12"/>
        </w:rPr>
        <w:t xml:space="preserve"> </w:t>
      </w:r>
      <w:r>
        <w:rPr>
          <w:rFonts w:ascii="Calibri" w:hAnsi="Calibri"/>
          <w:color w:val="001F60"/>
        </w:rPr>
        <w:t>manteve</w:t>
      </w:r>
      <w:r>
        <w:rPr>
          <w:rFonts w:ascii="Calibri" w:hAnsi="Calibri"/>
          <w:color w:val="001F60"/>
          <w:spacing w:val="-8"/>
        </w:rPr>
        <w:t xml:space="preserve"> </w:t>
      </w:r>
      <w:r>
        <w:rPr>
          <w:rFonts w:ascii="Calibri" w:hAnsi="Calibri"/>
          <w:color w:val="001F60"/>
        </w:rPr>
        <w:t>sua</w:t>
      </w:r>
      <w:r>
        <w:rPr>
          <w:rFonts w:ascii="Calibri" w:hAnsi="Calibri"/>
          <w:color w:val="001F60"/>
          <w:spacing w:val="-10"/>
        </w:rPr>
        <w:t xml:space="preserve"> </w:t>
      </w:r>
      <w:r>
        <w:rPr>
          <w:rFonts w:ascii="Calibri" w:hAnsi="Calibri"/>
          <w:color w:val="001F60"/>
        </w:rPr>
        <w:t>estrutura</w:t>
      </w:r>
      <w:r>
        <w:rPr>
          <w:rFonts w:ascii="Calibri" w:hAnsi="Calibri"/>
          <w:color w:val="001F60"/>
          <w:spacing w:val="-8"/>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gestão</w:t>
      </w:r>
      <w:r>
        <w:rPr>
          <w:rFonts w:ascii="Calibri" w:hAnsi="Calibri"/>
          <w:color w:val="001F60"/>
          <w:spacing w:val="-7"/>
        </w:rPr>
        <w:t xml:space="preserve"> </w:t>
      </w:r>
      <w:r>
        <w:rPr>
          <w:rFonts w:ascii="Calibri" w:hAnsi="Calibri"/>
          <w:color w:val="001F60"/>
        </w:rPr>
        <w:t>estratégica</w:t>
      </w:r>
      <w:r>
        <w:rPr>
          <w:rFonts w:ascii="Calibri" w:hAnsi="Calibri"/>
          <w:color w:val="001F60"/>
          <w:spacing w:val="-10"/>
        </w:rPr>
        <w:t xml:space="preserve"> </w:t>
      </w:r>
      <w:r>
        <w:rPr>
          <w:rFonts w:ascii="Calibri" w:hAnsi="Calibri"/>
          <w:color w:val="001F60"/>
        </w:rPr>
        <w:t>baseada</w:t>
      </w:r>
      <w:r>
        <w:rPr>
          <w:rFonts w:ascii="Calibri" w:hAnsi="Calibri"/>
          <w:color w:val="001F60"/>
          <w:spacing w:val="-8"/>
        </w:rPr>
        <w:t xml:space="preserve"> </w:t>
      </w:r>
      <w:r>
        <w:rPr>
          <w:rFonts w:ascii="Calibri" w:hAnsi="Calibri"/>
          <w:color w:val="001F60"/>
        </w:rPr>
        <w:t>no</w:t>
      </w:r>
      <w:r>
        <w:rPr>
          <w:rFonts w:ascii="Calibri" w:hAnsi="Calibri"/>
          <w:color w:val="001F60"/>
          <w:spacing w:val="-10"/>
        </w:rPr>
        <w:t xml:space="preserve"> </w:t>
      </w:r>
      <w:r>
        <w:rPr>
          <w:rFonts w:ascii="Calibri" w:hAnsi="Calibri"/>
          <w:color w:val="001F60"/>
        </w:rPr>
        <w:t>modelo</w:t>
      </w:r>
      <w:r>
        <w:rPr>
          <w:rFonts w:ascii="Calibri" w:hAnsi="Calibri"/>
          <w:color w:val="001F60"/>
          <w:spacing w:val="-8"/>
        </w:rPr>
        <w:t xml:space="preserve"> </w:t>
      </w:r>
      <w:r>
        <w:rPr>
          <w:rFonts w:ascii="Calibri" w:hAnsi="Calibri"/>
          <w:color w:val="001F60"/>
        </w:rPr>
        <w:t>Balanced</w:t>
      </w:r>
      <w:r>
        <w:rPr>
          <w:rFonts w:ascii="Calibri" w:hAnsi="Calibri"/>
          <w:color w:val="001F60"/>
          <w:spacing w:val="-9"/>
        </w:rPr>
        <w:t xml:space="preserve"> </w:t>
      </w:r>
      <w:r>
        <w:rPr>
          <w:rFonts w:ascii="Calibri" w:hAnsi="Calibri"/>
          <w:color w:val="001F60"/>
        </w:rPr>
        <w:t>Scorecard</w:t>
      </w:r>
      <w:r>
        <w:rPr>
          <w:rFonts w:ascii="Calibri" w:hAnsi="Calibri"/>
          <w:color w:val="001F60"/>
          <w:spacing w:val="-8"/>
        </w:rPr>
        <w:t xml:space="preserve"> </w:t>
      </w:r>
      <w:r>
        <w:rPr>
          <w:rFonts w:ascii="Calibri" w:hAnsi="Calibri"/>
          <w:color w:val="001F60"/>
        </w:rPr>
        <w:t>(BSC). As perspectivas tradicionais do BSC foram desdobradas em sete dimensões estratégicas, ajustadas às necessidades</w:t>
      </w:r>
      <w:r>
        <w:rPr>
          <w:rFonts w:ascii="Calibri" w:hAnsi="Calibri"/>
          <w:color w:val="001F60"/>
          <w:spacing w:val="-13"/>
        </w:rPr>
        <w:t xml:space="preserve"> </w:t>
      </w:r>
      <w:r>
        <w:rPr>
          <w:rFonts w:ascii="Calibri" w:hAnsi="Calibri"/>
          <w:color w:val="001F60"/>
        </w:rPr>
        <w:t>contemporâneas</w:t>
      </w:r>
      <w:r>
        <w:rPr>
          <w:rFonts w:ascii="Calibri" w:hAnsi="Calibri"/>
          <w:color w:val="001F60"/>
          <w:spacing w:val="-12"/>
        </w:rPr>
        <w:t xml:space="preserve"> </w:t>
      </w:r>
      <w:r>
        <w:rPr>
          <w:rFonts w:ascii="Calibri" w:hAnsi="Calibri"/>
          <w:color w:val="001F60"/>
        </w:rPr>
        <w:t>da</w:t>
      </w:r>
      <w:r>
        <w:rPr>
          <w:rFonts w:ascii="Calibri" w:hAnsi="Calibri"/>
          <w:color w:val="001F60"/>
          <w:spacing w:val="-13"/>
        </w:rPr>
        <w:t xml:space="preserve"> </w:t>
      </w:r>
      <w:r>
        <w:rPr>
          <w:rFonts w:ascii="Calibri" w:hAnsi="Calibri"/>
          <w:color w:val="001F60"/>
        </w:rPr>
        <w:t>Companhia</w:t>
      </w:r>
      <w:r>
        <w:rPr>
          <w:rFonts w:ascii="Calibri" w:hAnsi="Calibri"/>
          <w:color w:val="001F60"/>
          <w:spacing w:val="-12"/>
        </w:rPr>
        <w:t xml:space="preserve"> </w:t>
      </w:r>
      <w:r>
        <w:rPr>
          <w:rFonts w:ascii="Calibri" w:hAnsi="Calibri"/>
          <w:color w:val="001F60"/>
        </w:rPr>
        <w:t>e</w:t>
      </w:r>
      <w:r>
        <w:rPr>
          <w:rFonts w:ascii="Calibri" w:hAnsi="Calibri"/>
          <w:color w:val="001F60"/>
          <w:spacing w:val="-11"/>
        </w:rPr>
        <w:t xml:space="preserve"> </w:t>
      </w:r>
      <w:r>
        <w:rPr>
          <w:rFonts w:ascii="Calibri" w:hAnsi="Calibri"/>
          <w:color w:val="001F60"/>
        </w:rPr>
        <w:t>alinhadas</w:t>
      </w:r>
      <w:r>
        <w:rPr>
          <w:rFonts w:ascii="Calibri" w:hAnsi="Calibri"/>
          <w:color w:val="001F60"/>
          <w:spacing w:val="-13"/>
        </w:rPr>
        <w:t xml:space="preserve"> </w:t>
      </w:r>
      <w:r>
        <w:rPr>
          <w:rFonts w:ascii="Calibri" w:hAnsi="Calibri"/>
          <w:color w:val="001F60"/>
        </w:rPr>
        <w:t>às</w:t>
      </w:r>
      <w:r>
        <w:rPr>
          <w:rFonts w:ascii="Calibri" w:hAnsi="Calibri"/>
          <w:color w:val="001F60"/>
          <w:spacing w:val="-11"/>
        </w:rPr>
        <w:t xml:space="preserve"> </w:t>
      </w:r>
      <w:r>
        <w:rPr>
          <w:rFonts w:ascii="Calibri" w:hAnsi="Calibri"/>
          <w:color w:val="001F60"/>
        </w:rPr>
        <w:t>diretrizes</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governança</w:t>
      </w:r>
      <w:r>
        <w:rPr>
          <w:rFonts w:ascii="Calibri" w:hAnsi="Calibri"/>
          <w:color w:val="001F60"/>
          <w:spacing w:val="-12"/>
        </w:rPr>
        <w:t xml:space="preserve"> </w:t>
      </w:r>
      <w:r>
        <w:rPr>
          <w:rFonts w:ascii="Calibri" w:hAnsi="Calibri"/>
          <w:color w:val="001F60"/>
        </w:rPr>
        <w:t>do</w:t>
      </w:r>
      <w:r>
        <w:rPr>
          <w:rFonts w:ascii="Calibri" w:hAnsi="Calibri"/>
          <w:color w:val="001F60"/>
          <w:spacing w:val="-11"/>
        </w:rPr>
        <w:t xml:space="preserve"> </w:t>
      </w:r>
      <w:r>
        <w:rPr>
          <w:rFonts w:ascii="Calibri" w:hAnsi="Calibri"/>
          <w:color w:val="001F60"/>
        </w:rPr>
        <w:t>setor</w:t>
      </w:r>
      <w:r>
        <w:rPr>
          <w:rFonts w:ascii="Calibri" w:hAnsi="Calibri"/>
          <w:color w:val="001F60"/>
          <w:spacing w:val="-13"/>
        </w:rPr>
        <w:t xml:space="preserve"> </w:t>
      </w:r>
      <w:r>
        <w:rPr>
          <w:rFonts w:ascii="Calibri" w:hAnsi="Calibri"/>
          <w:color w:val="001F60"/>
        </w:rPr>
        <w:t>público. Essa estruturação permite maior clareza na priorização dos objetivos, facilita o monitoramento dos resultados e reforça o alinhamento institucional em todos os níveis organizacionais.</w:t>
      </w:r>
    </w:p>
    <w:p w14:paraId="78B035C0" w14:textId="77777777" w:rsidR="002C6574" w:rsidRDefault="00000000">
      <w:pPr>
        <w:pStyle w:val="Corpodetexto"/>
        <w:spacing w:before="119"/>
        <w:ind w:left="709" w:right="276"/>
        <w:jc w:val="both"/>
        <w:rPr>
          <w:rFonts w:ascii="Calibri" w:hAnsi="Calibri"/>
        </w:rPr>
      </w:pPr>
      <w:r>
        <w:rPr>
          <w:rFonts w:ascii="Calibri" w:hAnsi="Calibri"/>
          <w:color w:val="001F60"/>
        </w:rPr>
        <w:t>O desempenho estratégico é monitorado por meio da análise dos resultados da execução da estratégia, os quais são refletidos nos indicadores estratégicos. Esses indicadores fornecem informações cruciais para avaliar o progresso em direção às metas estabelecidas e identificar a necessidade de implementar ações corretivas, quando necessário.</w:t>
      </w:r>
    </w:p>
    <w:p w14:paraId="1B0B0814" w14:textId="77777777" w:rsidR="002C6574" w:rsidRDefault="00000000">
      <w:pPr>
        <w:pStyle w:val="Corpodetexto"/>
        <w:spacing w:before="121"/>
        <w:ind w:left="709" w:right="279"/>
        <w:jc w:val="both"/>
        <w:rPr>
          <w:rFonts w:ascii="Calibri" w:hAnsi="Calibri"/>
        </w:rPr>
      </w:pPr>
      <w:r>
        <w:rPr>
          <w:rFonts w:ascii="Calibri" w:hAnsi="Calibri"/>
          <w:color w:val="001F60"/>
        </w:rPr>
        <w:t>Informações adicionais sobre o Plano Estratégico Institucional podem ser consultadas no portal da Telebras, em:</w:t>
      </w:r>
    </w:p>
    <w:p w14:paraId="1141AE87" w14:textId="77777777" w:rsidR="002C6574" w:rsidRDefault="00000000">
      <w:pPr>
        <w:pStyle w:val="Corpodetexto"/>
        <w:spacing w:before="120"/>
        <w:ind w:left="709"/>
        <w:rPr>
          <w:rFonts w:ascii="Calibri"/>
        </w:rPr>
      </w:pPr>
      <w:r>
        <w:rPr>
          <w:rFonts w:ascii="Calibri"/>
          <w:color w:val="001F60"/>
          <w:spacing w:val="-2"/>
        </w:rPr>
        <w:t>https://</w:t>
      </w:r>
      <w:hyperlink r:id="rId22">
        <w:r>
          <w:rPr>
            <w:rFonts w:ascii="Calibri"/>
            <w:color w:val="001F60"/>
            <w:spacing w:val="-2"/>
          </w:rPr>
          <w:t>www.telebras.com.br/conheca-a-telebras/plano-estrategico/</w:t>
        </w:r>
      </w:hyperlink>
    </w:p>
    <w:p w14:paraId="1FD11A8E" w14:textId="77777777" w:rsidR="002C6574" w:rsidRDefault="002C6574">
      <w:pPr>
        <w:pStyle w:val="Corpodetexto"/>
        <w:rPr>
          <w:rFonts w:ascii="Calibri"/>
        </w:rPr>
        <w:sectPr w:rsidR="002C6574">
          <w:pgSz w:w="11910" w:h="16840"/>
          <w:pgMar w:top="1160" w:right="850" w:bottom="740" w:left="992" w:header="312" w:footer="542" w:gutter="0"/>
          <w:cols w:space="720"/>
        </w:sectPr>
      </w:pPr>
    </w:p>
    <w:p w14:paraId="33F48531" w14:textId="77777777" w:rsidR="002C6574" w:rsidRDefault="002C6574">
      <w:pPr>
        <w:pStyle w:val="Corpodetexto"/>
        <w:rPr>
          <w:rFonts w:ascii="Calibri"/>
          <w:sz w:val="20"/>
        </w:rPr>
      </w:pPr>
    </w:p>
    <w:p w14:paraId="46A666D7" w14:textId="77777777" w:rsidR="002C6574" w:rsidRDefault="002C6574">
      <w:pPr>
        <w:pStyle w:val="Corpodetexto"/>
        <w:spacing w:before="42"/>
        <w:rPr>
          <w:rFonts w:ascii="Calibri"/>
          <w:sz w:val="20"/>
        </w:rPr>
      </w:pPr>
    </w:p>
    <w:p w14:paraId="78C42F3A" w14:textId="77777777" w:rsidR="002C6574" w:rsidRDefault="00000000">
      <w:pPr>
        <w:pStyle w:val="Corpodetexto"/>
        <w:ind w:left="702" w:right="-29"/>
        <w:rPr>
          <w:rFonts w:ascii="Calibri"/>
          <w:sz w:val="20"/>
        </w:rPr>
      </w:pPr>
      <w:r>
        <w:rPr>
          <w:rFonts w:ascii="Calibri"/>
          <w:noProof/>
          <w:sz w:val="20"/>
        </w:rPr>
        <w:drawing>
          <wp:inline distT="0" distB="0" distL="0" distR="0" wp14:anchorId="25BDA467" wp14:editId="7758DA08">
            <wp:extent cx="5931407" cy="801624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3" cstate="print"/>
                    <a:stretch>
                      <a:fillRect/>
                    </a:stretch>
                  </pic:blipFill>
                  <pic:spPr>
                    <a:xfrm>
                      <a:off x="0" y="0"/>
                      <a:ext cx="5931407" cy="8016240"/>
                    </a:xfrm>
                    <a:prstGeom prst="rect">
                      <a:avLst/>
                    </a:prstGeom>
                  </pic:spPr>
                </pic:pic>
              </a:graphicData>
            </a:graphic>
          </wp:inline>
        </w:drawing>
      </w:r>
    </w:p>
    <w:p w14:paraId="1954BE35" w14:textId="77777777" w:rsidR="002C6574" w:rsidRDefault="00000000">
      <w:pPr>
        <w:spacing w:before="167"/>
        <w:ind w:left="425"/>
        <w:jc w:val="center"/>
        <w:rPr>
          <w:rFonts w:ascii="Calibri" w:hAnsi="Calibri"/>
          <w:sz w:val="16"/>
        </w:rPr>
      </w:pPr>
      <w:r>
        <w:rPr>
          <w:rFonts w:ascii="Calibri" w:hAnsi="Calibri"/>
          <w:color w:val="001F60"/>
          <w:sz w:val="16"/>
        </w:rPr>
        <w:t>Figura</w:t>
      </w:r>
      <w:r>
        <w:rPr>
          <w:rFonts w:ascii="Calibri" w:hAnsi="Calibri"/>
          <w:color w:val="001F60"/>
          <w:spacing w:val="-3"/>
          <w:sz w:val="16"/>
        </w:rPr>
        <w:t xml:space="preserve"> </w:t>
      </w:r>
      <w:r>
        <w:rPr>
          <w:rFonts w:ascii="Calibri" w:hAnsi="Calibri"/>
          <w:color w:val="001F60"/>
          <w:sz w:val="16"/>
        </w:rPr>
        <w:t>5-2</w:t>
      </w:r>
      <w:r>
        <w:rPr>
          <w:rFonts w:ascii="Calibri" w:hAnsi="Calibri"/>
          <w:color w:val="001F60"/>
          <w:spacing w:val="-2"/>
          <w:sz w:val="16"/>
        </w:rPr>
        <w:t xml:space="preserve"> </w:t>
      </w:r>
      <w:r>
        <w:rPr>
          <w:rFonts w:ascii="Calibri" w:hAnsi="Calibri"/>
          <w:color w:val="001F60"/>
          <w:sz w:val="16"/>
        </w:rPr>
        <w:t>Mapa</w:t>
      </w:r>
      <w:r>
        <w:rPr>
          <w:rFonts w:ascii="Calibri" w:hAnsi="Calibri"/>
          <w:color w:val="001F60"/>
          <w:spacing w:val="-4"/>
          <w:sz w:val="16"/>
        </w:rPr>
        <w:t xml:space="preserve"> </w:t>
      </w:r>
      <w:r>
        <w:rPr>
          <w:rFonts w:ascii="Calibri" w:hAnsi="Calibri"/>
          <w:color w:val="001F60"/>
          <w:sz w:val="16"/>
        </w:rPr>
        <w:t>Estratégico</w:t>
      </w:r>
      <w:r>
        <w:rPr>
          <w:rFonts w:ascii="Calibri" w:hAnsi="Calibri"/>
          <w:color w:val="001F60"/>
          <w:spacing w:val="-3"/>
          <w:sz w:val="16"/>
        </w:rPr>
        <w:t xml:space="preserve"> </w:t>
      </w:r>
      <w:r>
        <w:rPr>
          <w:rFonts w:ascii="Calibri" w:hAnsi="Calibri"/>
          <w:color w:val="001F60"/>
          <w:sz w:val="16"/>
        </w:rPr>
        <w:t>2025</w:t>
      </w:r>
      <w:r>
        <w:rPr>
          <w:rFonts w:ascii="Calibri" w:hAnsi="Calibri"/>
          <w:color w:val="001F60"/>
          <w:spacing w:val="-1"/>
          <w:sz w:val="16"/>
        </w:rPr>
        <w:t xml:space="preserve"> </w:t>
      </w:r>
      <w:r>
        <w:rPr>
          <w:rFonts w:ascii="Calibri" w:hAnsi="Calibri"/>
          <w:color w:val="001F60"/>
          <w:sz w:val="16"/>
        </w:rPr>
        <w:t>a</w:t>
      </w:r>
      <w:r>
        <w:rPr>
          <w:rFonts w:ascii="Calibri" w:hAnsi="Calibri"/>
          <w:color w:val="001F60"/>
          <w:spacing w:val="-2"/>
          <w:sz w:val="16"/>
        </w:rPr>
        <w:t xml:space="preserve"> </w:t>
      </w:r>
      <w:r>
        <w:rPr>
          <w:rFonts w:ascii="Calibri" w:hAnsi="Calibri"/>
          <w:color w:val="001F60"/>
          <w:spacing w:val="-4"/>
          <w:sz w:val="16"/>
        </w:rPr>
        <w:t>2030</w:t>
      </w:r>
    </w:p>
    <w:p w14:paraId="6311ADBA" w14:textId="77777777" w:rsidR="002C6574" w:rsidRDefault="002C6574">
      <w:pPr>
        <w:jc w:val="center"/>
        <w:rPr>
          <w:rFonts w:ascii="Calibri" w:hAnsi="Calibri"/>
          <w:sz w:val="16"/>
        </w:rPr>
        <w:sectPr w:rsidR="002C6574">
          <w:pgSz w:w="11910" w:h="16840"/>
          <w:pgMar w:top="1160" w:right="850" w:bottom="740" w:left="992" w:header="312" w:footer="542" w:gutter="0"/>
          <w:cols w:space="720"/>
        </w:sectPr>
      </w:pPr>
    </w:p>
    <w:p w14:paraId="3842946F" w14:textId="77777777" w:rsidR="002C6574" w:rsidRDefault="002C6574">
      <w:pPr>
        <w:pStyle w:val="Corpodetexto"/>
        <w:spacing w:before="263"/>
        <w:rPr>
          <w:rFonts w:ascii="Calibri"/>
        </w:rPr>
      </w:pPr>
    </w:p>
    <w:p w14:paraId="6D453452" w14:textId="77777777" w:rsidR="002C6574" w:rsidRDefault="00000000">
      <w:pPr>
        <w:numPr>
          <w:ilvl w:val="2"/>
          <w:numId w:val="74"/>
        </w:numPr>
        <w:tabs>
          <w:tab w:val="left" w:pos="1414"/>
        </w:tabs>
        <w:ind w:left="1414" w:hanging="705"/>
        <w:jc w:val="both"/>
        <w:rPr>
          <w:rFonts w:ascii="Calibri" w:hAnsi="Calibri"/>
          <w:b/>
        </w:rPr>
      </w:pPr>
      <w:r>
        <w:rPr>
          <w:rFonts w:ascii="Calibri" w:hAnsi="Calibri"/>
          <w:b/>
          <w:color w:val="001F60"/>
        </w:rPr>
        <w:t>Gestão</w:t>
      </w:r>
      <w:r>
        <w:rPr>
          <w:rFonts w:ascii="Calibri" w:hAnsi="Calibri"/>
          <w:b/>
          <w:color w:val="001F60"/>
          <w:spacing w:val="-2"/>
        </w:rPr>
        <w:t xml:space="preserve"> </w:t>
      </w:r>
      <w:r>
        <w:rPr>
          <w:rFonts w:ascii="Calibri" w:hAnsi="Calibri"/>
          <w:b/>
          <w:color w:val="001F60"/>
        </w:rPr>
        <w:t xml:space="preserve">de </w:t>
      </w:r>
      <w:r>
        <w:rPr>
          <w:rFonts w:ascii="Calibri" w:hAnsi="Calibri"/>
          <w:b/>
          <w:color w:val="001F60"/>
          <w:spacing w:val="-2"/>
        </w:rPr>
        <w:t>Processos</w:t>
      </w:r>
    </w:p>
    <w:p w14:paraId="12F5315E" w14:textId="77777777" w:rsidR="002C6574" w:rsidRDefault="00000000">
      <w:pPr>
        <w:pStyle w:val="Corpodetexto"/>
        <w:spacing w:before="121"/>
        <w:ind w:left="709" w:right="276"/>
        <w:jc w:val="both"/>
        <w:rPr>
          <w:rFonts w:ascii="Calibri" w:hAnsi="Calibri"/>
        </w:rPr>
      </w:pPr>
      <w:r>
        <w:rPr>
          <w:rFonts w:ascii="Calibri" w:hAnsi="Calibri"/>
          <w:color w:val="001F60"/>
        </w:rPr>
        <w:t>Em</w:t>
      </w:r>
      <w:r>
        <w:rPr>
          <w:rFonts w:ascii="Calibri" w:hAnsi="Calibri"/>
          <w:color w:val="001F60"/>
          <w:spacing w:val="-8"/>
        </w:rPr>
        <w:t xml:space="preserve"> </w:t>
      </w:r>
      <w:r>
        <w:rPr>
          <w:rFonts w:ascii="Calibri" w:hAnsi="Calibri"/>
          <w:color w:val="001F60"/>
        </w:rPr>
        <w:t>2025,</w:t>
      </w:r>
      <w:r>
        <w:rPr>
          <w:rFonts w:ascii="Calibri" w:hAnsi="Calibri"/>
          <w:color w:val="001F60"/>
          <w:spacing w:val="-8"/>
        </w:rPr>
        <w:t xml:space="preserve"> </w:t>
      </w:r>
      <w:r>
        <w:rPr>
          <w:rFonts w:ascii="Calibri" w:hAnsi="Calibri"/>
          <w:color w:val="001F60"/>
        </w:rPr>
        <w:t>a</w:t>
      </w:r>
      <w:r>
        <w:rPr>
          <w:rFonts w:ascii="Calibri" w:hAnsi="Calibri"/>
          <w:color w:val="001F60"/>
          <w:spacing w:val="-8"/>
        </w:rPr>
        <w:t xml:space="preserve"> </w:t>
      </w:r>
      <w:r>
        <w:rPr>
          <w:rFonts w:ascii="Calibri" w:hAnsi="Calibri"/>
          <w:color w:val="001F60"/>
        </w:rPr>
        <w:t>Telebras</w:t>
      </w:r>
      <w:r>
        <w:rPr>
          <w:rFonts w:ascii="Calibri" w:hAnsi="Calibri"/>
          <w:color w:val="001F60"/>
          <w:spacing w:val="-6"/>
        </w:rPr>
        <w:t xml:space="preserve"> </w:t>
      </w:r>
      <w:r>
        <w:rPr>
          <w:rFonts w:ascii="Calibri" w:hAnsi="Calibri"/>
          <w:color w:val="001F60"/>
        </w:rPr>
        <w:t>concentrou</w:t>
      </w:r>
      <w:r>
        <w:rPr>
          <w:rFonts w:ascii="Calibri" w:hAnsi="Calibri"/>
          <w:color w:val="001F60"/>
          <w:spacing w:val="-6"/>
        </w:rPr>
        <w:t xml:space="preserve"> </w:t>
      </w:r>
      <w:r>
        <w:rPr>
          <w:rFonts w:ascii="Calibri" w:hAnsi="Calibri"/>
          <w:color w:val="001F60"/>
        </w:rPr>
        <w:t>esforços</w:t>
      </w:r>
      <w:r>
        <w:rPr>
          <w:rFonts w:ascii="Calibri" w:hAnsi="Calibri"/>
          <w:color w:val="001F60"/>
          <w:spacing w:val="-8"/>
        </w:rPr>
        <w:t xml:space="preserve"> </w:t>
      </w:r>
      <w:r>
        <w:rPr>
          <w:rFonts w:ascii="Calibri" w:hAnsi="Calibri"/>
          <w:color w:val="001F60"/>
        </w:rPr>
        <w:t>no</w:t>
      </w:r>
      <w:r>
        <w:rPr>
          <w:rFonts w:ascii="Calibri" w:hAnsi="Calibri"/>
          <w:color w:val="001F60"/>
          <w:spacing w:val="-7"/>
        </w:rPr>
        <w:t xml:space="preserve"> </w:t>
      </w:r>
      <w:r>
        <w:rPr>
          <w:rFonts w:ascii="Calibri" w:hAnsi="Calibri"/>
          <w:color w:val="001F60"/>
        </w:rPr>
        <w:t>aprimoramento</w:t>
      </w:r>
      <w:r>
        <w:rPr>
          <w:rFonts w:ascii="Calibri" w:hAnsi="Calibri"/>
          <w:color w:val="001F60"/>
          <w:spacing w:val="-7"/>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seus</w:t>
      </w:r>
      <w:r>
        <w:rPr>
          <w:rFonts w:ascii="Calibri" w:hAnsi="Calibri"/>
          <w:color w:val="001F60"/>
          <w:spacing w:val="-8"/>
        </w:rPr>
        <w:t xml:space="preserve"> </w:t>
      </w:r>
      <w:r>
        <w:rPr>
          <w:rFonts w:ascii="Calibri" w:hAnsi="Calibri"/>
          <w:color w:val="001F60"/>
        </w:rPr>
        <w:t>processos</w:t>
      </w:r>
      <w:r>
        <w:rPr>
          <w:rFonts w:ascii="Calibri" w:hAnsi="Calibri"/>
          <w:color w:val="001F60"/>
          <w:spacing w:val="-11"/>
        </w:rPr>
        <w:t xml:space="preserve"> </w:t>
      </w:r>
      <w:r>
        <w:rPr>
          <w:rFonts w:ascii="Calibri" w:hAnsi="Calibri"/>
          <w:color w:val="001F60"/>
        </w:rPr>
        <w:t>estratégicos,</w:t>
      </w:r>
      <w:r>
        <w:rPr>
          <w:rFonts w:ascii="Calibri" w:hAnsi="Calibri"/>
          <w:color w:val="001F60"/>
          <w:spacing w:val="-10"/>
        </w:rPr>
        <w:t xml:space="preserve"> </w:t>
      </w:r>
      <w:r>
        <w:rPr>
          <w:rFonts w:ascii="Calibri" w:hAnsi="Calibri"/>
          <w:color w:val="001F60"/>
        </w:rPr>
        <w:t>com</w:t>
      </w:r>
      <w:r>
        <w:rPr>
          <w:rFonts w:ascii="Calibri" w:hAnsi="Calibri"/>
          <w:color w:val="001F60"/>
          <w:spacing w:val="-8"/>
        </w:rPr>
        <w:t xml:space="preserve"> </w:t>
      </w:r>
      <w:r>
        <w:rPr>
          <w:rFonts w:ascii="Calibri" w:hAnsi="Calibri"/>
          <w:color w:val="001F60"/>
        </w:rPr>
        <w:t>foco na eficiência operacional e na geração de valor público. Nesse período, priorizaram</w:t>
      </w:r>
      <w:r>
        <w:rPr>
          <w:rFonts w:ascii="Times New Roman" w:hAnsi="Times New Roman"/>
          <w:color w:val="001F60"/>
        </w:rPr>
        <w:t>‑</w:t>
      </w:r>
      <w:r>
        <w:rPr>
          <w:rFonts w:ascii="Calibri" w:hAnsi="Calibri"/>
          <w:color w:val="001F60"/>
        </w:rPr>
        <w:t>se os processos com</w:t>
      </w:r>
      <w:r>
        <w:rPr>
          <w:rFonts w:ascii="Calibri" w:hAnsi="Calibri"/>
          <w:color w:val="001F60"/>
          <w:spacing w:val="-10"/>
        </w:rPr>
        <w:t xml:space="preserve"> </w:t>
      </w:r>
      <w:r>
        <w:rPr>
          <w:rFonts w:ascii="Calibri" w:hAnsi="Calibri"/>
          <w:color w:val="001F60"/>
        </w:rPr>
        <w:t>maior</w:t>
      </w:r>
      <w:r>
        <w:rPr>
          <w:rFonts w:ascii="Calibri" w:hAnsi="Calibri"/>
          <w:color w:val="001F60"/>
          <w:spacing w:val="-10"/>
        </w:rPr>
        <w:t xml:space="preserve"> </w:t>
      </w:r>
      <w:r>
        <w:rPr>
          <w:rFonts w:ascii="Calibri" w:hAnsi="Calibri"/>
          <w:color w:val="001F60"/>
        </w:rPr>
        <w:t>potencial</w:t>
      </w:r>
      <w:r>
        <w:rPr>
          <w:rFonts w:ascii="Calibri" w:hAnsi="Calibri"/>
          <w:color w:val="001F60"/>
          <w:spacing w:val="-12"/>
        </w:rPr>
        <w:t xml:space="preserve"> </w:t>
      </w:r>
      <w:r>
        <w:rPr>
          <w:rFonts w:ascii="Calibri" w:hAnsi="Calibri"/>
          <w:color w:val="001F60"/>
        </w:rPr>
        <w:t>de</w:t>
      </w:r>
      <w:r>
        <w:rPr>
          <w:rFonts w:ascii="Calibri" w:hAnsi="Calibri"/>
          <w:color w:val="001F60"/>
          <w:spacing w:val="-10"/>
        </w:rPr>
        <w:t xml:space="preserve"> </w:t>
      </w:r>
      <w:r>
        <w:rPr>
          <w:rFonts w:ascii="Calibri" w:hAnsi="Calibri"/>
          <w:color w:val="001F60"/>
        </w:rPr>
        <w:t>incremento</w:t>
      </w:r>
      <w:r>
        <w:rPr>
          <w:rFonts w:ascii="Calibri" w:hAnsi="Calibri"/>
          <w:color w:val="001F60"/>
          <w:spacing w:val="-10"/>
        </w:rPr>
        <w:t xml:space="preserve"> </w:t>
      </w:r>
      <w:r>
        <w:rPr>
          <w:rFonts w:ascii="Calibri" w:hAnsi="Calibri"/>
          <w:color w:val="001F60"/>
        </w:rPr>
        <w:t>de</w:t>
      </w:r>
      <w:r>
        <w:rPr>
          <w:rFonts w:ascii="Calibri" w:hAnsi="Calibri"/>
          <w:color w:val="001F60"/>
          <w:spacing w:val="-10"/>
        </w:rPr>
        <w:t xml:space="preserve"> </w:t>
      </w:r>
      <w:r>
        <w:rPr>
          <w:rFonts w:ascii="Calibri" w:hAnsi="Calibri"/>
          <w:color w:val="001F60"/>
        </w:rPr>
        <w:t>receita</w:t>
      </w:r>
      <w:r>
        <w:rPr>
          <w:rFonts w:ascii="Calibri" w:hAnsi="Calibri"/>
          <w:color w:val="001F60"/>
          <w:spacing w:val="-12"/>
        </w:rPr>
        <w:t xml:space="preserve"> </w:t>
      </w:r>
      <w:r>
        <w:rPr>
          <w:rFonts w:ascii="Calibri" w:hAnsi="Calibri"/>
          <w:color w:val="001F60"/>
        </w:rPr>
        <w:t>e</w:t>
      </w:r>
      <w:r>
        <w:rPr>
          <w:rFonts w:ascii="Calibri" w:hAnsi="Calibri"/>
          <w:color w:val="001F60"/>
          <w:spacing w:val="-12"/>
        </w:rPr>
        <w:t xml:space="preserve"> </w:t>
      </w:r>
      <w:r>
        <w:rPr>
          <w:rFonts w:ascii="Calibri" w:hAnsi="Calibri"/>
          <w:color w:val="001F60"/>
        </w:rPr>
        <w:t>otimização</w:t>
      </w:r>
      <w:r>
        <w:rPr>
          <w:rFonts w:ascii="Calibri" w:hAnsi="Calibri"/>
          <w:color w:val="001F60"/>
          <w:spacing w:val="-10"/>
        </w:rPr>
        <w:t xml:space="preserve"> </w:t>
      </w:r>
      <w:r>
        <w:rPr>
          <w:rFonts w:ascii="Calibri" w:hAnsi="Calibri"/>
          <w:color w:val="001F60"/>
        </w:rPr>
        <w:t>de</w:t>
      </w:r>
      <w:r>
        <w:rPr>
          <w:rFonts w:ascii="Calibri" w:hAnsi="Calibri"/>
          <w:color w:val="001F60"/>
          <w:spacing w:val="-10"/>
        </w:rPr>
        <w:t xml:space="preserve"> </w:t>
      </w:r>
      <w:r>
        <w:rPr>
          <w:rFonts w:ascii="Calibri" w:hAnsi="Calibri"/>
          <w:color w:val="001F60"/>
        </w:rPr>
        <w:t>custos,</w:t>
      </w:r>
      <w:r>
        <w:rPr>
          <w:rFonts w:ascii="Calibri" w:hAnsi="Calibri"/>
          <w:color w:val="001F60"/>
          <w:spacing w:val="-12"/>
        </w:rPr>
        <w:t xml:space="preserve"> </w:t>
      </w:r>
      <w:r>
        <w:rPr>
          <w:rFonts w:ascii="Calibri" w:hAnsi="Calibri"/>
          <w:color w:val="001F60"/>
        </w:rPr>
        <w:t>com</w:t>
      </w:r>
      <w:r>
        <w:rPr>
          <w:rFonts w:ascii="Calibri" w:hAnsi="Calibri"/>
          <w:color w:val="001F60"/>
          <w:spacing w:val="-10"/>
        </w:rPr>
        <w:t xml:space="preserve"> </w:t>
      </w:r>
      <w:r>
        <w:rPr>
          <w:rFonts w:ascii="Calibri" w:hAnsi="Calibri"/>
          <w:color w:val="001F60"/>
        </w:rPr>
        <w:t>base</w:t>
      </w:r>
      <w:r>
        <w:rPr>
          <w:rFonts w:ascii="Calibri" w:hAnsi="Calibri"/>
          <w:color w:val="001F60"/>
          <w:spacing w:val="-12"/>
        </w:rPr>
        <w:t xml:space="preserve"> </w:t>
      </w:r>
      <w:r>
        <w:rPr>
          <w:rFonts w:ascii="Calibri" w:hAnsi="Calibri"/>
          <w:color w:val="001F60"/>
        </w:rPr>
        <w:t>em</w:t>
      </w:r>
      <w:r>
        <w:rPr>
          <w:rFonts w:ascii="Calibri" w:hAnsi="Calibri"/>
          <w:color w:val="001F60"/>
          <w:spacing w:val="-10"/>
        </w:rPr>
        <w:t xml:space="preserve"> </w:t>
      </w:r>
      <w:r>
        <w:rPr>
          <w:rFonts w:ascii="Calibri" w:hAnsi="Calibri"/>
          <w:color w:val="001F60"/>
        </w:rPr>
        <w:t>pesquisa</w:t>
      </w:r>
      <w:r>
        <w:rPr>
          <w:rFonts w:ascii="Calibri" w:hAnsi="Calibri"/>
          <w:color w:val="001F60"/>
          <w:spacing w:val="-12"/>
        </w:rPr>
        <w:t xml:space="preserve"> </w:t>
      </w:r>
      <w:r>
        <w:rPr>
          <w:rFonts w:ascii="Calibri" w:hAnsi="Calibri"/>
          <w:color w:val="001F60"/>
        </w:rPr>
        <w:t>realizada junto</w:t>
      </w:r>
      <w:r>
        <w:rPr>
          <w:rFonts w:ascii="Calibri" w:hAnsi="Calibri"/>
          <w:color w:val="001F60"/>
          <w:spacing w:val="-12"/>
        </w:rPr>
        <w:t xml:space="preserve"> </w:t>
      </w:r>
      <w:r>
        <w:rPr>
          <w:rFonts w:ascii="Calibri" w:hAnsi="Calibri"/>
          <w:color w:val="001F60"/>
        </w:rPr>
        <w:t>aos</w:t>
      </w:r>
      <w:r>
        <w:rPr>
          <w:rFonts w:ascii="Calibri" w:hAnsi="Calibri"/>
          <w:color w:val="001F60"/>
          <w:spacing w:val="-10"/>
        </w:rPr>
        <w:t xml:space="preserve"> </w:t>
      </w:r>
      <w:r>
        <w:rPr>
          <w:rFonts w:ascii="Calibri" w:hAnsi="Calibri"/>
          <w:color w:val="001F60"/>
        </w:rPr>
        <w:t>gestores</w:t>
      </w:r>
      <w:r>
        <w:rPr>
          <w:rFonts w:ascii="Calibri" w:hAnsi="Calibri"/>
          <w:color w:val="001F60"/>
          <w:spacing w:val="-12"/>
        </w:rPr>
        <w:t xml:space="preserve"> </w:t>
      </w:r>
      <w:r>
        <w:rPr>
          <w:rFonts w:ascii="Calibri" w:hAnsi="Calibri"/>
          <w:color w:val="001F60"/>
        </w:rPr>
        <w:t>das</w:t>
      </w:r>
      <w:r>
        <w:rPr>
          <w:rFonts w:ascii="Calibri" w:hAnsi="Calibri"/>
          <w:color w:val="001F60"/>
          <w:spacing w:val="-12"/>
        </w:rPr>
        <w:t xml:space="preserve"> </w:t>
      </w:r>
      <w:r>
        <w:rPr>
          <w:rFonts w:ascii="Calibri" w:hAnsi="Calibri"/>
          <w:color w:val="001F60"/>
        </w:rPr>
        <w:t>áreas</w:t>
      </w:r>
      <w:r>
        <w:rPr>
          <w:rFonts w:ascii="Calibri" w:hAnsi="Calibri"/>
          <w:color w:val="001F60"/>
          <w:spacing w:val="-9"/>
        </w:rPr>
        <w:t xml:space="preserve"> </w:t>
      </w:r>
      <w:r>
        <w:rPr>
          <w:rFonts w:ascii="Calibri" w:hAnsi="Calibri"/>
          <w:color w:val="001F60"/>
        </w:rPr>
        <w:t>finalísticas,</w:t>
      </w:r>
      <w:r>
        <w:rPr>
          <w:rFonts w:ascii="Calibri" w:hAnsi="Calibri"/>
          <w:color w:val="001F60"/>
          <w:spacing w:val="-11"/>
        </w:rPr>
        <w:t xml:space="preserve"> </w:t>
      </w:r>
      <w:r>
        <w:rPr>
          <w:rFonts w:ascii="Calibri" w:hAnsi="Calibri"/>
          <w:color w:val="001F60"/>
        </w:rPr>
        <w:t>garantindo</w:t>
      </w:r>
      <w:r>
        <w:rPr>
          <w:rFonts w:ascii="Calibri" w:hAnsi="Calibri"/>
          <w:color w:val="001F60"/>
          <w:spacing w:val="-11"/>
        </w:rPr>
        <w:t xml:space="preserve"> </w:t>
      </w:r>
      <w:r>
        <w:rPr>
          <w:rFonts w:ascii="Calibri" w:hAnsi="Calibri"/>
          <w:color w:val="001F60"/>
        </w:rPr>
        <w:t>que</w:t>
      </w:r>
      <w:r>
        <w:rPr>
          <w:rFonts w:ascii="Calibri" w:hAnsi="Calibri"/>
          <w:color w:val="001F60"/>
          <w:spacing w:val="-11"/>
        </w:rPr>
        <w:t xml:space="preserve"> </w:t>
      </w:r>
      <w:r>
        <w:rPr>
          <w:rFonts w:ascii="Calibri" w:hAnsi="Calibri"/>
          <w:color w:val="001F60"/>
        </w:rPr>
        <w:t>os</w:t>
      </w:r>
      <w:r>
        <w:rPr>
          <w:rFonts w:ascii="Calibri" w:hAnsi="Calibri"/>
          <w:color w:val="001F60"/>
          <w:spacing w:val="-12"/>
        </w:rPr>
        <w:t xml:space="preserve"> </w:t>
      </w:r>
      <w:r>
        <w:rPr>
          <w:rFonts w:ascii="Calibri" w:hAnsi="Calibri"/>
          <w:color w:val="001F60"/>
        </w:rPr>
        <w:t>recursos</w:t>
      </w:r>
      <w:r>
        <w:rPr>
          <w:rFonts w:ascii="Calibri" w:hAnsi="Calibri"/>
          <w:color w:val="001F60"/>
          <w:spacing w:val="-13"/>
        </w:rPr>
        <w:t xml:space="preserve"> </w:t>
      </w:r>
      <w:r>
        <w:rPr>
          <w:rFonts w:ascii="Calibri" w:hAnsi="Calibri"/>
          <w:color w:val="001F60"/>
        </w:rPr>
        <w:t>institucionais</w:t>
      </w:r>
      <w:r>
        <w:rPr>
          <w:rFonts w:ascii="Calibri" w:hAnsi="Calibri"/>
          <w:color w:val="001F60"/>
          <w:spacing w:val="-12"/>
        </w:rPr>
        <w:t xml:space="preserve"> </w:t>
      </w:r>
      <w:r>
        <w:rPr>
          <w:rFonts w:ascii="Calibri" w:hAnsi="Calibri"/>
          <w:color w:val="001F60"/>
        </w:rPr>
        <w:t>fossem</w:t>
      </w:r>
      <w:r>
        <w:rPr>
          <w:rFonts w:ascii="Calibri" w:hAnsi="Calibri"/>
          <w:color w:val="001F60"/>
          <w:spacing w:val="-10"/>
        </w:rPr>
        <w:t xml:space="preserve"> </w:t>
      </w:r>
      <w:r>
        <w:rPr>
          <w:rFonts w:ascii="Calibri" w:hAnsi="Calibri"/>
          <w:color w:val="001F60"/>
        </w:rPr>
        <w:t>direcionados às iniciativas de maior impacto no desempenho organizacional.</w:t>
      </w:r>
    </w:p>
    <w:p w14:paraId="63739520" w14:textId="77777777" w:rsidR="002C6574" w:rsidRDefault="00000000">
      <w:pPr>
        <w:pStyle w:val="Corpodetexto"/>
        <w:spacing w:before="118"/>
        <w:ind w:left="709" w:right="277"/>
        <w:jc w:val="both"/>
        <w:rPr>
          <w:rFonts w:ascii="Calibri" w:hAnsi="Calibri"/>
        </w:rPr>
      </w:pPr>
      <w:r>
        <w:rPr>
          <w:rFonts w:ascii="Calibri" w:hAnsi="Calibri"/>
          <w:color w:val="001F60"/>
        </w:rPr>
        <w:t>Também foi estabelecida a atualização contínua dos processos mapeados desde 2019, assegurando sua aderência às práticas atuais de gestão, à legislação aplicável e aos objetivos estratégicos da Companhia.</w:t>
      </w:r>
      <w:r>
        <w:rPr>
          <w:rFonts w:ascii="Calibri" w:hAnsi="Calibri"/>
          <w:color w:val="001F60"/>
          <w:spacing w:val="-12"/>
        </w:rPr>
        <w:t xml:space="preserve"> </w:t>
      </w:r>
      <w:r>
        <w:rPr>
          <w:rFonts w:ascii="Calibri" w:hAnsi="Calibri"/>
          <w:color w:val="001F60"/>
        </w:rPr>
        <w:t>A</w:t>
      </w:r>
      <w:r>
        <w:rPr>
          <w:rFonts w:ascii="Calibri" w:hAnsi="Calibri"/>
          <w:color w:val="001F60"/>
          <w:spacing w:val="-11"/>
        </w:rPr>
        <w:t xml:space="preserve"> </w:t>
      </w:r>
      <w:r>
        <w:rPr>
          <w:rFonts w:ascii="Calibri" w:hAnsi="Calibri"/>
          <w:color w:val="001F60"/>
        </w:rPr>
        <w:t>disponibilização</w:t>
      </w:r>
      <w:r>
        <w:rPr>
          <w:rFonts w:ascii="Calibri" w:hAnsi="Calibri"/>
          <w:color w:val="001F60"/>
          <w:spacing w:val="-11"/>
        </w:rPr>
        <w:t xml:space="preserve"> </w:t>
      </w:r>
      <w:r>
        <w:rPr>
          <w:rFonts w:ascii="Calibri" w:hAnsi="Calibri"/>
          <w:color w:val="001F60"/>
        </w:rPr>
        <w:t>de</w:t>
      </w:r>
      <w:r>
        <w:rPr>
          <w:rFonts w:ascii="Calibri" w:hAnsi="Calibri"/>
          <w:color w:val="001F60"/>
          <w:spacing w:val="-9"/>
        </w:rPr>
        <w:t xml:space="preserve"> </w:t>
      </w:r>
      <w:r>
        <w:rPr>
          <w:rFonts w:ascii="Calibri" w:hAnsi="Calibri"/>
          <w:color w:val="001F60"/>
        </w:rPr>
        <w:t>painéis</w:t>
      </w:r>
      <w:r>
        <w:rPr>
          <w:rFonts w:ascii="Calibri" w:hAnsi="Calibri"/>
          <w:color w:val="001F60"/>
          <w:spacing w:val="-11"/>
        </w:rPr>
        <w:t xml:space="preserve"> </w:t>
      </w:r>
      <w:r>
        <w:rPr>
          <w:rFonts w:ascii="Calibri" w:hAnsi="Calibri"/>
          <w:color w:val="001F60"/>
        </w:rPr>
        <w:t>de</w:t>
      </w:r>
      <w:r>
        <w:rPr>
          <w:rFonts w:ascii="Calibri" w:hAnsi="Calibri"/>
          <w:color w:val="001F60"/>
          <w:spacing w:val="-11"/>
        </w:rPr>
        <w:t xml:space="preserve"> </w:t>
      </w:r>
      <w:r>
        <w:rPr>
          <w:rFonts w:ascii="Calibri" w:hAnsi="Calibri"/>
          <w:color w:val="001F60"/>
        </w:rPr>
        <w:t>indicadores</w:t>
      </w:r>
      <w:r>
        <w:rPr>
          <w:rFonts w:ascii="Calibri" w:hAnsi="Calibri"/>
          <w:color w:val="001F60"/>
          <w:spacing w:val="-9"/>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desempenho</w:t>
      </w:r>
      <w:r>
        <w:rPr>
          <w:rFonts w:ascii="Calibri" w:hAnsi="Calibri"/>
          <w:color w:val="001F60"/>
          <w:spacing w:val="-11"/>
        </w:rPr>
        <w:t xml:space="preserve"> </w:t>
      </w:r>
      <w:r>
        <w:rPr>
          <w:rFonts w:ascii="Calibri" w:hAnsi="Calibri"/>
          <w:color w:val="001F60"/>
        </w:rPr>
        <w:t>de</w:t>
      </w:r>
      <w:r>
        <w:rPr>
          <w:rFonts w:ascii="Calibri" w:hAnsi="Calibri"/>
          <w:color w:val="001F60"/>
          <w:spacing w:val="-9"/>
        </w:rPr>
        <w:t xml:space="preserve"> </w:t>
      </w:r>
      <w:r>
        <w:rPr>
          <w:rFonts w:ascii="Calibri" w:hAnsi="Calibri"/>
          <w:color w:val="001F60"/>
        </w:rPr>
        <w:t>processos</w:t>
      </w:r>
      <w:r>
        <w:rPr>
          <w:rFonts w:ascii="Calibri" w:hAnsi="Calibri"/>
          <w:color w:val="001F60"/>
          <w:spacing w:val="-13"/>
        </w:rPr>
        <w:t xml:space="preserve"> </w:t>
      </w:r>
      <w:r>
        <w:rPr>
          <w:rFonts w:ascii="Calibri" w:hAnsi="Calibri"/>
          <w:color w:val="001F60"/>
        </w:rPr>
        <w:t>contribuiu</w:t>
      </w:r>
      <w:r>
        <w:rPr>
          <w:rFonts w:ascii="Calibri" w:hAnsi="Calibri"/>
          <w:color w:val="001F60"/>
          <w:spacing w:val="-10"/>
        </w:rPr>
        <w:t xml:space="preserve"> </w:t>
      </w:r>
      <w:r>
        <w:rPr>
          <w:rFonts w:ascii="Calibri" w:hAnsi="Calibri"/>
          <w:color w:val="001F60"/>
        </w:rPr>
        <w:t>para o monitoramento sistemático dos resultados, o suporte à tomada de decisão gerencial e o fortalecimento da governança organizacional, ampliando a capacidade de acompanhamento, análise e melhoria contínua.</w:t>
      </w:r>
    </w:p>
    <w:p w14:paraId="642CCC62" w14:textId="77777777" w:rsidR="002C6574" w:rsidRDefault="002C6574">
      <w:pPr>
        <w:pStyle w:val="Corpodetexto"/>
        <w:spacing w:before="213"/>
        <w:rPr>
          <w:rFonts w:ascii="Calibri"/>
        </w:rPr>
      </w:pPr>
    </w:p>
    <w:p w14:paraId="25A9AAB0" w14:textId="77777777" w:rsidR="002C6574" w:rsidRDefault="00000000">
      <w:pPr>
        <w:numPr>
          <w:ilvl w:val="2"/>
          <w:numId w:val="74"/>
        </w:numPr>
        <w:tabs>
          <w:tab w:val="left" w:pos="1414"/>
        </w:tabs>
        <w:ind w:left="1414" w:hanging="705"/>
        <w:jc w:val="both"/>
        <w:rPr>
          <w:rFonts w:ascii="Calibri" w:hAnsi="Calibri"/>
          <w:b/>
        </w:rPr>
      </w:pPr>
      <w:r>
        <w:rPr>
          <w:rFonts w:ascii="Calibri" w:hAnsi="Calibri"/>
          <w:b/>
          <w:color w:val="001F60"/>
        </w:rPr>
        <w:t>Gestão</w:t>
      </w:r>
      <w:r>
        <w:rPr>
          <w:rFonts w:ascii="Calibri" w:hAnsi="Calibri"/>
          <w:b/>
          <w:color w:val="001F60"/>
          <w:spacing w:val="-2"/>
        </w:rPr>
        <w:t xml:space="preserve"> </w:t>
      </w:r>
      <w:r>
        <w:rPr>
          <w:rFonts w:ascii="Calibri" w:hAnsi="Calibri"/>
          <w:b/>
          <w:color w:val="001F60"/>
        </w:rPr>
        <w:t xml:space="preserve">de </w:t>
      </w:r>
      <w:r>
        <w:rPr>
          <w:rFonts w:ascii="Calibri" w:hAnsi="Calibri"/>
          <w:b/>
          <w:color w:val="001F60"/>
          <w:spacing w:val="-2"/>
        </w:rPr>
        <w:t>Projetos</w:t>
      </w:r>
    </w:p>
    <w:p w14:paraId="7905E8AB" w14:textId="77777777" w:rsidR="002C6574" w:rsidRDefault="00000000">
      <w:pPr>
        <w:pStyle w:val="Corpodetexto"/>
        <w:spacing w:before="118"/>
        <w:ind w:left="709" w:right="277"/>
        <w:jc w:val="both"/>
        <w:rPr>
          <w:rFonts w:ascii="Calibri" w:hAnsi="Calibri"/>
        </w:rPr>
      </w:pPr>
      <w:r>
        <w:rPr>
          <w:rFonts w:ascii="Calibri" w:hAnsi="Calibri"/>
          <w:color w:val="001F60"/>
        </w:rPr>
        <w:t>Em 2025, a Telebras intensificou o monitoramento e o controle de sua carteira de projetos, acompanhando 52 frentes, das quais 21 foram concluídas no exercício. As iniciativas conduzidas no período contemplaram projetos voltados ao fortalecimento da infraestrutura corporativa, ao aprimoramento</w:t>
      </w:r>
      <w:r>
        <w:rPr>
          <w:rFonts w:ascii="Calibri" w:hAnsi="Calibri"/>
          <w:color w:val="001F60"/>
          <w:spacing w:val="-8"/>
        </w:rPr>
        <w:t xml:space="preserve"> </w:t>
      </w:r>
      <w:r>
        <w:rPr>
          <w:rFonts w:ascii="Calibri" w:hAnsi="Calibri"/>
          <w:color w:val="001F60"/>
        </w:rPr>
        <w:t>de</w:t>
      </w:r>
      <w:r>
        <w:rPr>
          <w:rFonts w:ascii="Calibri" w:hAnsi="Calibri"/>
          <w:color w:val="001F60"/>
          <w:spacing w:val="-7"/>
        </w:rPr>
        <w:t xml:space="preserve"> </w:t>
      </w:r>
      <w:r>
        <w:rPr>
          <w:rFonts w:ascii="Calibri" w:hAnsi="Calibri"/>
          <w:color w:val="001F60"/>
        </w:rPr>
        <w:t>processos</w:t>
      </w:r>
      <w:r>
        <w:rPr>
          <w:rFonts w:ascii="Calibri" w:hAnsi="Calibri"/>
          <w:color w:val="001F60"/>
          <w:spacing w:val="-7"/>
        </w:rPr>
        <w:t xml:space="preserve"> </w:t>
      </w:r>
      <w:r>
        <w:rPr>
          <w:rFonts w:ascii="Calibri" w:hAnsi="Calibri"/>
          <w:color w:val="001F60"/>
        </w:rPr>
        <w:t>internos,</w:t>
      </w:r>
      <w:r>
        <w:rPr>
          <w:rFonts w:ascii="Calibri" w:hAnsi="Calibri"/>
          <w:color w:val="001F60"/>
          <w:spacing w:val="-11"/>
        </w:rPr>
        <w:t xml:space="preserve"> </w:t>
      </w:r>
      <w:r>
        <w:rPr>
          <w:rFonts w:ascii="Calibri" w:hAnsi="Calibri"/>
          <w:color w:val="001F60"/>
        </w:rPr>
        <w:t>ao</w:t>
      </w:r>
      <w:r>
        <w:rPr>
          <w:rFonts w:ascii="Calibri" w:hAnsi="Calibri"/>
          <w:color w:val="001F60"/>
          <w:spacing w:val="-7"/>
        </w:rPr>
        <w:t xml:space="preserve"> </w:t>
      </w:r>
      <w:r>
        <w:rPr>
          <w:rFonts w:ascii="Calibri" w:hAnsi="Calibri"/>
          <w:color w:val="001F60"/>
        </w:rPr>
        <w:t>desenvolvimento</w:t>
      </w:r>
      <w:r>
        <w:rPr>
          <w:rFonts w:ascii="Calibri" w:hAnsi="Calibri"/>
          <w:color w:val="001F60"/>
          <w:spacing w:val="-11"/>
        </w:rPr>
        <w:t xml:space="preserve"> </w:t>
      </w:r>
      <w:r>
        <w:rPr>
          <w:rFonts w:ascii="Calibri" w:hAnsi="Calibri"/>
          <w:color w:val="001F60"/>
        </w:rPr>
        <w:t>e</w:t>
      </w:r>
      <w:r>
        <w:rPr>
          <w:rFonts w:ascii="Calibri" w:hAnsi="Calibri"/>
          <w:color w:val="001F60"/>
          <w:spacing w:val="-9"/>
        </w:rPr>
        <w:t xml:space="preserve"> </w:t>
      </w:r>
      <w:r>
        <w:rPr>
          <w:rFonts w:ascii="Calibri" w:hAnsi="Calibri"/>
          <w:color w:val="001F60"/>
        </w:rPr>
        <w:t>modernização</w:t>
      </w:r>
      <w:r>
        <w:rPr>
          <w:rFonts w:ascii="Calibri" w:hAnsi="Calibri"/>
          <w:color w:val="001F60"/>
          <w:spacing w:val="-8"/>
        </w:rPr>
        <w:t xml:space="preserve"> </w:t>
      </w:r>
      <w:r>
        <w:rPr>
          <w:rFonts w:ascii="Calibri" w:hAnsi="Calibri"/>
          <w:color w:val="001F60"/>
        </w:rPr>
        <w:t>de</w:t>
      </w:r>
      <w:r>
        <w:rPr>
          <w:rFonts w:ascii="Calibri" w:hAnsi="Calibri"/>
          <w:color w:val="001F60"/>
          <w:spacing w:val="-9"/>
        </w:rPr>
        <w:t xml:space="preserve"> </w:t>
      </w:r>
      <w:r>
        <w:rPr>
          <w:rFonts w:ascii="Calibri" w:hAnsi="Calibri"/>
          <w:color w:val="001F60"/>
        </w:rPr>
        <w:t>soluções</w:t>
      </w:r>
      <w:r>
        <w:rPr>
          <w:rFonts w:ascii="Calibri" w:hAnsi="Calibri"/>
          <w:color w:val="001F60"/>
          <w:spacing w:val="-9"/>
        </w:rPr>
        <w:t xml:space="preserve"> </w:t>
      </w:r>
      <w:r>
        <w:rPr>
          <w:rFonts w:ascii="Calibri" w:hAnsi="Calibri"/>
          <w:color w:val="001F60"/>
        </w:rPr>
        <w:t>tecnológicas, ao suporte às operações finalísticas e à execução de ações necessárias ao atendimento de requisitos legais, regulatórios e organizacionais.</w:t>
      </w:r>
    </w:p>
    <w:p w14:paraId="72BBD3F1" w14:textId="77777777" w:rsidR="002C6574" w:rsidRDefault="00000000">
      <w:pPr>
        <w:pStyle w:val="Corpodetexto"/>
        <w:spacing w:before="122"/>
        <w:ind w:left="709" w:right="278"/>
        <w:jc w:val="both"/>
        <w:rPr>
          <w:rFonts w:ascii="Calibri" w:hAnsi="Calibri"/>
        </w:rPr>
      </w:pPr>
      <w:r>
        <w:rPr>
          <w:rFonts w:ascii="Calibri" w:hAnsi="Calibri"/>
          <w:color w:val="001F60"/>
        </w:rPr>
        <w:t>Esses esforços reforçam o compromisso da Telebras com a eficiência operacional, a otimização de recursos, a governança de projetos e o alinhamento da execução aos objetivos estratégicos, assegurando que os investimentos priorizados contribuam para a geração de valor público e o fortalecimento institucional.</w:t>
      </w:r>
    </w:p>
    <w:p w14:paraId="2ABEAD14" w14:textId="77777777" w:rsidR="002C6574" w:rsidRDefault="002C6574">
      <w:pPr>
        <w:pStyle w:val="Corpodetexto"/>
        <w:jc w:val="both"/>
        <w:rPr>
          <w:rFonts w:ascii="Calibri" w:hAnsi="Calibri"/>
        </w:rPr>
        <w:sectPr w:rsidR="002C6574">
          <w:pgSz w:w="11910" w:h="16840"/>
          <w:pgMar w:top="1160" w:right="850" w:bottom="740" w:left="992" w:header="312" w:footer="542" w:gutter="0"/>
          <w:cols w:space="720"/>
        </w:sectPr>
      </w:pPr>
    </w:p>
    <w:p w14:paraId="70029AB9" w14:textId="77777777" w:rsidR="002C6574" w:rsidRDefault="002C6574">
      <w:pPr>
        <w:pStyle w:val="Corpodetexto"/>
        <w:spacing w:before="239"/>
        <w:rPr>
          <w:rFonts w:ascii="Calibri"/>
          <w:sz w:val="24"/>
        </w:rPr>
      </w:pPr>
    </w:p>
    <w:p w14:paraId="2EF6AFD5" w14:textId="77777777" w:rsidR="002C6574" w:rsidRDefault="00000000">
      <w:pPr>
        <w:pStyle w:val="Ttulo8"/>
        <w:numPr>
          <w:ilvl w:val="0"/>
          <w:numId w:val="74"/>
        </w:numPr>
        <w:tabs>
          <w:tab w:val="left" w:pos="1134"/>
        </w:tabs>
        <w:ind w:left="1134" w:hanging="425"/>
      </w:pPr>
      <w:r>
        <w:rPr>
          <w:color w:val="001F60"/>
        </w:rPr>
        <w:t>Os Negócios</w:t>
      </w:r>
      <w:r>
        <w:rPr>
          <w:color w:val="001F60"/>
          <w:spacing w:val="-2"/>
        </w:rPr>
        <w:t xml:space="preserve"> </w:t>
      </w:r>
      <w:r>
        <w:rPr>
          <w:color w:val="001F60"/>
        </w:rPr>
        <w:t>da</w:t>
      </w:r>
      <w:r>
        <w:rPr>
          <w:color w:val="001F60"/>
          <w:spacing w:val="-1"/>
        </w:rPr>
        <w:t xml:space="preserve"> </w:t>
      </w:r>
      <w:r>
        <w:rPr>
          <w:color w:val="001F60"/>
          <w:spacing w:val="-2"/>
        </w:rPr>
        <w:t>Telebras</w:t>
      </w:r>
    </w:p>
    <w:p w14:paraId="48C44556" w14:textId="77777777" w:rsidR="002C6574" w:rsidRDefault="00000000">
      <w:pPr>
        <w:numPr>
          <w:ilvl w:val="1"/>
          <w:numId w:val="74"/>
        </w:numPr>
        <w:tabs>
          <w:tab w:val="left" w:pos="1275"/>
        </w:tabs>
        <w:spacing w:before="278"/>
        <w:ind w:left="1275" w:hanging="566"/>
        <w:rPr>
          <w:rFonts w:ascii="Calibri" w:hAnsi="Calibri"/>
          <w:b/>
        </w:rPr>
      </w:pPr>
      <w:r>
        <w:rPr>
          <w:rFonts w:ascii="Calibri" w:hAnsi="Calibri"/>
          <w:b/>
          <w:color w:val="001F60"/>
        </w:rPr>
        <w:t>Conjuntura</w:t>
      </w:r>
      <w:r>
        <w:rPr>
          <w:rFonts w:ascii="Calibri" w:hAnsi="Calibri"/>
          <w:b/>
          <w:color w:val="001F60"/>
          <w:spacing w:val="-4"/>
        </w:rPr>
        <w:t xml:space="preserve"> </w:t>
      </w:r>
      <w:r>
        <w:rPr>
          <w:rFonts w:ascii="Calibri" w:hAnsi="Calibri"/>
          <w:b/>
          <w:color w:val="001F60"/>
        </w:rPr>
        <w:t>Econômica</w:t>
      </w:r>
      <w:r>
        <w:rPr>
          <w:rFonts w:ascii="Calibri" w:hAnsi="Calibri"/>
          <w:b/>
          <w:color w:val="001F60"/>
          <w:spacing w:val="-7"/>
        </w:rPr>
        <w:t xml:space="preserve"> </w:t>
      </w:r>
      <w:r>
        <w:rPr>
          <w:rFonts w:ascii="Calibri" w:hAnsi="Calibri"/>
          <w:b/>
          <w:color w:val="001F60"/>
          <w:spacing w:val="-2"/>
        </w:rPr>
        <w:t>Setorial</w:t>
      </w:r>
    </w:p>
    <w:p w14:paraId="2CA4CE9B" w14:textId="77777777" w:rsidR="002C6574" w:rsidRDefault="002C6574">
      <w:pPr>
        <w:pStyle w:val="Corpodetexto"/>
        <w:spacing w:before="12"/>
        <w:rPr>
          <w:rFonts w:ascii="Calibri"/>
          <w:b/>
        </w:rPr>
      </w:pPr>
    </w:p>
    <w:p w14:paraId="4996EC65" w14:textId="77777777" w:rsidR="002C6574" w:rsidRDefault="00000000">
      <w:pPr>
        <w:pStyle w:val="Corpodetexto"/>
        <w:ind w:left="709" w:right="277"/>
        <w:jc w:val="both"/>
        <w:rPr>
          <w:rFonts w:ascii="Calibri" w:hAnsi="Calibri"/>
        </w:rPr>
      </w:pPr>
      <w:r>
        <w:rPr>
          <w:rFonts w:ascii="Calibri" w:hAnsi="Calibri"/>
          <w:color w:val="001F60"/>
        </w:rPr>
        <w:t>Em 2025, o setor de telecomunicações manteve trajetória de crescimento e consolidação, impulsionando pela expansão das redes de fibra óptica, pela ampliação da cobertura 5G e pela crescente</w:t>
      </w:r>
      <w:r>
        <w:rPr>
          <w:rFonts w:ascii="Calibri" w:hAnsi="Calibri"/>
          <w:color w:val="001F60"/>
          <w:spacing w:val="-4"/>
        </w:rPr>
        <w:t xml:space="preserve"> </w:t>
      </w:r>
      <w:r>
        <w:rPr>
          <w:rFonts w:ascii="Calibri" w:hAnsi="Calibri"/>
          <w:color w:val="001F60"/>
        </w:rPr>
        <w:t>demanda</w:t>
      </w:r>
      <w:r>
        <w:rPr>
          <w:rFonts w:ascii="Calibri" w:hAnsi="Calibri"/>
          <w:color w:val="001F60"/>
          <w:spacing w:val="-4"/>
        </w:rPr>
        <w:t xml:space="preserve"> </w:t>
      </w:r>
      <w:r>
        <w:rPr>
          <w:rFonts w:ascii="Calibri" w:hAnsi="Calibri"/>
          <w:color w:val="001F60"/>
        </w:rPr>
        <w:t>por</w:t>
      </w:r>
      <w:r>
        <w:rPr>
          <w:rFonts w:ascii="Calibri" w:hAnsi="Calibri"/>
          <w:color w:val="001F60"/>
          <w:spacing w:val="-4"/>
        </w:rPr>
        <w:t xml:space="preserve"> </w:t>
      </w:r>
      <w:r>
        <w:rPr>
          <w:rFonts w:ascii="Calibri" w:hAnsi="Calibri"/>
          <w:color w:val="001F60"/>
        </w:rPr>
        <w:t>serviços</w:t>
      </w:r>
      <w:r>
        <w:rPr>
          <w:rFonts w:ascii="Calibri" w:hAnsi="Calibri"/>
          <w:color w:val="001F60"/>
          <w:spacing w:val="-4"/>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banda</w:t>
      </w:r>
      <w:r>
        <w:rPr>
          <w:rFonts w:ascii="Calibri" w:hAnsi="Calibri"/>
          <w:color w:val="001F60"/>
          <w:spacing w:val="-4"/>
        </w:rPr>
        <w:t xml:space="preserve"> </w:t>
      </w:r>
      <w:r>
        <w:rPr>
          <w:rFonts w:ascii="Calibri" w:hAnsi="Calibri"/>
          <w:color w:val="001F60"/>
        </w:rPr>
        <w:t>larga</w:t>
      </w:r>
      <w:r>
        <w:rPr>
          <w:rFonts w:ascii="Calibri" w:hAnsi="Calibri"/>
          <w:color w:val="001F60"/>
          <w:spacing w:val="-4"/>
        </w:rPr>
        <w:t xml:space="preserve"> </w:t>
      </w:r>
      <w:r>
        <w:rPr>
          <w:rFonts w:ascii="Calibri" w:hAnsi="Calibri"/>
          <w:color w:val="001F60"/>
        </w:rPr>
        <w:t>fixa</w:t>
      </w:r>
      <w:r>
        <w:rPr>
          <w:rFonts w:ascii="Calibri" w:hAnsi="Calibri"/>
          <w:color w:val="001F60"/>
          <w:spacing w:val="-6"/>
        </w:rPr>
        <w:t xml:space="preserve"> </w:t>
      </w:r>
      <w:r>
        <w:rPr>
          <w:rFonts w:ascii="Calibri" w:hAnsi="Calibri"/>
          <w:color w:val="001F60"/>
        </w:rPr>
        <w:t>e</w:t>
      </w:r>
      <w:r>
        <w:rPr>
          <w:rFonts w:ascii="Calibri" w:hAnsi="Calibri"/>
          <w:color w:val="001F60"/>
          <w:spacing w:val="-4"/>
        </w:rPr>
        <w:t xml:space="preserve"> </w:t>
      </w:r>
      <w:r>
        <w:rPr>
          <w:rFonts w:ascii="Calibri" w:hAnsi="Calibri"/>
          <w:color w:val="001F60"/>
        </w:rPr>
        <w:t>móvel.</w:t>
      </w:r>
      <w:r>
        <w:rPr>
          <w:rFonts w:ascii="Calibri" w:hAnsi="Calibri"/>
          <w:color w:val="001F60"/>
          <w:spacing w:val="-4"/>
        </w:rPr>
        <w:t xml:space="preserve"> </w:t>
      </w:r>
      <w:r>
        <w:rPr>
          <w:rFonts w:ascii="Calibri" w:hAnsi="Calibri"/>
          <w:color w:val="001F60"/>
        </w:rPr>
        <w:t>No</w:t>
      </w:r>
      <w:r>
        <w:rPr>
          <w:rFonts w:ascii="Calibri" w:hAnsi="Calibri"/>
          <w:color w:val="001F60"/>
          <w:spacing w:val="-4"/>
        </w:rPr>
        <w:t xml:space="preserve"> </w:t>
      </w:r>
      <w:r>
        <w:rPr>
          <w:rFonts w:ascii="Calibri" w:hAnsi="Calibri"/>
          <w:color w:val="001F60"/>
        </w:rPr>
        <w:t>primeiro</w:t>
      </w:r>
      <w:r>
        <w:rPr>
          <w:rFonts w:ascii="Calibri" w:hAnsi="Calibri"/>
          <w:color w:val="001F60"/>
          <w:spacing w:val="-3"/>
        </w:rPr>
        <w:t xml:space="preserve"> </w:t>
      </w:r>
      <w:r>
        <w:rPr>
          <w:rFonts w:ascii="Calibri" w:hAnsi="Calibri"/>
          <w:color w:val="001F60"/>
        </w:rPr>
        <w:t>semestre</w:t>
      </w:r>
      <w:r>
        <w:rPr>
          <w:rFonts w:ascii="Calibri" w:hAnsi="Calibri"/>
          <w:color w:val="001F60"/>
          <w:spacing w:val="-4"/>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2025,</w:t>
      </w:r>
      <w:r>
        <w:rPr>
          <w:rFonts w:ascii="Calibri" w:hAnsi="Calibri"/>
          <w:color w:val="001F60"/>
          <w:spacing w:val="-1"/>
        </w:rPr>
        <w:t xml:space="preserve"> </w:t>
      </w:r>
      <w:r>
        <w:rPr>
          <w:rFonts w:ascii="Calibri" w:hAnsi="Calibri"/>
          <w:color w:val="001F60"/>
        </w:rPr>
        <w:t>a</w:t>
      </w:r>
      <w:r>
        <w:rPr>
          <w:rFonts w:ascii="Calibri" w:hAnsi="Calibri"/>
          <w:color w:val="001F60"/>
          <w:spacing w:val="-6"/>
        </w:rPr>
        <w:t xml:space="preserve"> </w:t>
      </w:r>
      <w:r>
        <w:rPr>
          <w:rFonts w:ascii="Calibri" w:hAnsi="Calibri"/>
          <w:color w:val="001F60"/>
        </w:rPr>
        <w:t>receita bruta</w:t>
      </w:r>
      <w:r>
        <w:rPr>
          <w:rFonts w:ascii="Calibri" w:hAnsi="Calibri"/>
          <w:color w:val="001F60"/>
          <w:spacing w:val="-10"/>
        </w:rPr>
        <w:t xml:space="preserve"> </w:t>
      </w:r>
      <w:r>
        <w:rPr>
          <w:rFonts w:ascii="Calibri" w:hAnsi="Calibri"/>
          <w:color w:val="001F60"/>
        </w:rPr>
        <w:t>do</w:t>
      </w:r>
      <w:r>
        <w:rPr>
          <w:rFonts w:ascii="Calibri" w:hAnsi="Calibri"/>
          <w:color w:val="001F60"/>
          <w:spacing w:val="-10"/>
        </w:rPr>
        <w:t xml:space="preserve"> </w:t>
      </w:r>
      <w:r>
        <w:rPr>
          <w:rFonts w:ascii="Calibri" w:hAnsi="Calibri"/>
          <w:color w:val="001F60"/>
        </w:rPr>
        <w:t>setor</w:t>
      </w:r>
      <w:r>
        <w:rPr>
          <w:rFonts w:ascii="Calibri" w:hAnsi="Calibri"/>
          <w:color w:val="001F60"/>
          <w:spacing w:val="-10"/>
        </w:rPr>
        <w:t xml:space="preserve"> </w:t>
      </w:r>
      <w:r>
        <w:rPr>
          <w:rFonts w:ascii="Calibri" w:hAnsi="Calibri"/>
          <w:color w:val="001F60"/>
        </w:rPr>
        <w:t>em</w:t>
      </w:r>
      <w:r>
        <w:rPr>
          <w:rFonts w:ascii="Calibri" w:hAnsi="Calibri"/>
          <w:color w:val="001F60"/>
          <w:spacing w:val="-10"/>
        </w:rPr>
        <w:t xml:space="preserve"> </w:t>
      </w:r>
      <w:r>
        <w:rPr>
          <w:rFonts w:ascii="Calibri" w:hAnsi="Calibri"/>
          <w:color w:val="001F60"/>
        </w:rPr>
        <w:t>todo</w:t>
      </w:r>
      <w:r>
        <w:rPr>
          <w:rFonts w:ascii="Calibri" w:hAnsi="Calibri"/>
          <w:color w:val="001F60"/>
          <w:spacing w:val="-10"/>
        </w:rPr>
        <w:t xml:space="preserve"> </w:t>
      </w:r>
      <w:r>
        <w:rPr>
          <w:rFonts w:ascii="Calibri" w:hAnsi="Calibri"/>
          <w:color w:val="001F60"/>
        </w:rPr>
        <w:t>o</w:t>
      </w:r>
      <w:r>
        <w:rPr>
          <w:rFonts w:ascii="Calibri" w:hAnsi="Calibri"/>
          <w:color w:val="001F60"/>
          <w:spacing w:val="-10"/>
        </w:rPr>
        <w:t xml:space="preserve"> </w:t>
      </w:r>
      <w:r>
        <w:rPr>
          <w:rFonts w:ascii="Calibri" w:hAnsi="Calibri"/>
          <w:color w:val="001F60"/>
        </w:rPr>
        <w:t>Brasil</w:t>
      </w:r>
      <w:r>
        <w:rPr>
          <w:rFonts w:ascii="Calibri" w:hAnsi="Calibri"/>
          <w:color w:val="001F60"/>
          <w:spacing w:val="-9"/>
        </w:rPr>
        <w:t xml:space="preserve"> </w:t>
      </w:r>
      <w:r>
        <w:rPr>
          <w:rFonts w:ascii="Calibri" w:hAnsi="Calibri"/>
          <w:color w:val="001F60"/>
        </w:rPr>
        <w:t>alcançou</w:t>
      </w:r>
      <w:r>
        <w:rPr>
          <w:rFonts w:ascii="Calibri" w:hAnsi="Calibri"/>
          <w:color w:val="001F60"/>
          <w:spacing w:val="-9"/>
        </w:rPr>
        <w:t xml:space="preserve"> </w:t>
      </w:r>
      <w:r>
        <w:rPr>
          <w:rFonts w:ascii="Calibri" w:hAnsi="Calibri"/>
          <w:color w:val="001F60"/>
        </w:rPr>
        <w:t>cerca</w:t>
      </w:r>
      <w:r>
        <w:rPr>
          <w:rFonts w:ascii="Calibri" w:hAnsi="Calibri"/>
          <w:color w:val="001F60"/>
          <w:spacing w:val="-12"/>
        </w:rPr>
        <w:t xml:space="preserve"> </w:t>
      </w:r>
      <w:r>
        <w:rPr>
          <w:rFonts w:ascii="Calibri" w:hAnsi="Calibri"/>
          <w:color w:val="001F60"/>
        </w:rPr>
        <w:t>de</w:t>
      </w:r>
      <w:r>
        <w:rPr>
          <w:rFonts w:ascii="Calibri" w:hAnsi="Calibri"/>
          <w:color w:val="001F60"/>
          <w:spacing w:val="-10"/>
        </w:rPr>
        <w:t xml:space="preserve"> </w:t>
      </w:r>
      <w:r>
        <w:rPr>
          <w:rFonts w:ascii="Calibri" w:hAnsi="Calibri"/>
          <w:color w:val="001F60"/>
        </w:rPr>
        <w:t>R$</w:t>
      </w:r>
      <w:r>
        <w:rPr>
          <w:rFonts w:ascii="Calibri" w:hAnsi="Calibri"/>
          <w:color w:val="001F60"/>
          <w:spacing w:val="-12"/>
        </w:rPr>
        <w:t xml:space="preserve"> </w:t>
      </w:r>
      <w:r>
        <w:rPr>
          <w:rFonts w:ascii="Calibri" w:hAnsi="Calibri"/>
          <w:color w:val="001F60"/>
        </w:rPr>
        <w:t>162</w:t>
      </w:r>
      <w:r>
        <w:rPr>
          <w:rFonts w:ascii="Calibri" w:hAnsi="Calibri"/>
          <w:color w:val="001F60"/>
          <w:spacing w:val="-9"/>
        </w:rPr>
        <w:t xml:space="preserve"> </w:t>
      </w:r>
      <w:r>
        <w:rPr>
          <w:rFonts w:ascii="Calibri" w:hAnsi="Calibri"/>
          <w:color w:val="001F60"/>
        </w:rPr>
        <w:t>bilhões,</w:t>
      </w:r>
      <w:r>
        <w:rPr>
          <w:rFonts w:ascii="Calibri" w:hAnsi="Calibri"/>
          <w:color w:val="001F60"/>
          <w:spacing w:val="-10"/>
        </w:rPr>
        <w:t xml:space="preserve"> </w:t>
      </w:r>
      <w:r>
        <w:rPr>
          <w:rFonts w:ascii="Calibri" w:hAnsi="Calibri"/>
          <w:color w:val="001F60"/>
        </w:rPr>
        <w:t>registrando</w:t>
      </w:r>
      <w:r>
        <w:rPr>
          <w:rFonts w:ascii="Calibri" w:hAnsi="Calibri"/>
          <w:color w:val="001F60"/>
          <w:spacing w:val="-9"/>
        </w:rPr>
        <w:t xml:space="preserve"> </w:t>
      </w:r>
      <w:r>
        <w:rPr>
          <w:rFonts w:ascii="Calibri" w:hAnsi="Calibri"/>
          <w:color w:val="001F60"/>
        </w:rPr>
        <w:t>um</w:t>
      </w:r>
      <w:r>
        <w:rPr>
          <w:rFonts w:ascii="Calibri" w:hAnsi="Calibri"/>
          <w:color w:val="001F60"/>
          <w:spacing w:val="-10"/>
        </w:rPr>
        <w:t xml:space="preserve"> </w:t>
      </w:r>
      <w:r>
        <w:rPr>
          <w:rFonts w:ascii="Calibri" w:hAnsi="Calibri"/>
          <w:color w:val="001F60"/>
        </w:rPr>
        <w:t>crescimento</w:t>
      </w:r>
      <w:r>
        <w:rPr>
          <w:rFonts w:ascii="Calibri" w:hAnsi="Calibri"/>
          <w:color w:val="001F60"/>
          <w:spacing w:val="-10"/>
        </w:rPr>
        <w:t xml:space="preserve"> </w:t>
      </w:r>
      <w:r>
        <w:rPr>
          <w:rFonts w:ascii="Calibri" w:hAnsi="Calibri"/>
          <w:color w:val="001F60"/>
        </w:rPr>
        <w:t xml:space="preserve">nominal de aproximadamente 4,9% em relação ao mesmo período de 2024 (Fonte: </w:t>
      </w:r>
      <w:r>
        <w:rPr>
          <w:rFonts w:ascii="Calibri" w:hAnsi="Calibri"/>
          <w:color w:val="0000FF"/>
          <w:u w:val="single" w:color="0000FF"/>
        </w:rPr>
        <w:t>Conexis</w:t>
      </w:r>
      <w:r>
        <w:rPr>
          <w:rFonts w:ascii="Calibri" w:hAnsi="Calibri"/>
          <w:color w:val="001F60"/>
        </w:rPr>
        <w:t>).</w:t>
      </w:r>
    </w:p>
    <w:p w14:paraId="3DF7C199" w14:textId="77777777" w:rsidR="002C6574" w:rsidRDefault="00000000">
      <w:pPr>
        <w:pStyle w:val="Corpodetexto"/>
        <w:spacing w:before="119"/>
        <w:ind w:left="709" w:right="278"/>
        <w:jc w:val="both"/>
        <w:rPr>
          <w:rFonts w:ascii="Calibri" w:hAnsi="Calibri"/>
        </w:rPr>
      </w:pPr>
      <w:r>
        <w:rPr>
          <w:rFonts w:ascii="Calibri" w:hAnsi="Calibri"/>
          <w:color w:val="001F60"/>
        </w:rPr>
        <w:t>Os</w:t>
      </w:r>
      <w:r>
        <w:rPr>
          <w:rFonts w:ascii="Calibri" w:hAnsi="Calibri"/>
          <w:color w:val="001F60"/>
          <w:spacing w:val="-5"/>
        </w:rPr>
        <w:t xml:space="preserve"> </w:t>
      </w:r>
      <w:r>
        <w:rPr>
          <w:rFonts w:ascii="Calibri" w:hAnsi="Calibri"/>
          <w:color w:val="001F60"/>
        </w:rPr>
        <w:t>investimentos</w:t>
      </w:r>
      <w:r>
        <w:rPr>
          <w:rFonts w:ascii="Calibri" w:hAnsi="Calibri"/>
          <w:color w:val="001F60"/>
          <w:spacing w:val="-5"/>
        </w:rPr>
        <w:t xml:space="preserve"> </w:t>
      </w:r>
      <w:r>
        <w:rPr>
          <w:rFonts w:ascii="Calibri" w:hAnsi="Calibri"/>
          <w:color w:val="001F60"/>
        </w:rPr>
        <w:t>do</w:t>
      </w:r>
      <w:r>
        <w:rPr>
          <w:rFonts w:ascii="Calibri" w:hAnsi="Calibri"/>
          <w:color w:val="001F60"/>
          <w:spacing w:val="-4"/>
        </w:rPr>
        <w:t xml:space="preserve"> </w:t>
      </w:r>
      <w:r>
        <w:rPr>
          <w:rFonts w:ascii="Calibri" w:hAnsi="Calibri"/>
          <w:color w:val="001F60"/>
        </w:rPr>
        <w:t>setor</w:t>
      </w:r>
      <w:r>
        <w:rPr>
          <w:rFonts w:ascii="Calibri" w:hAnsi="Calibri"/>
          <w:color w:val="001F60"/>
          <w:spacing w:val="-5"/>
        </w:rPr>
        <w:t xml:space="preserve"> </w:t>
      </w:r>
      <w:r>
        <w:rPr>
          <w:rFonts w:ascii="Calibri" w:hAnsi="Calibri"/>
          <w:color w:val="001F60"/>
        </w:rPr>
        <w:t>também</w:t>
      </w:r>
      <w:r>
        <w:rPr>
          <w:rFonts w:ascii="Calibri" w:hAnsi="Calibri"/>
          <w:color w:val="001F60"/>
          <w:spacing w:val="-5"/>
        </w:rPr>
        <w:t xml:space="preserve"> </w:t>
      </w:r>
      <w:r>
        <w:rPr>
          <w:rFonts w:ascii="Calibri" w:hAnsi="Calibri"/>
          <w:color w:val="001F60"/>
        </w:rPr>
        <w:t>registraram</w:t>
      </w:r>
      <w:r>
        <w:rPr>
          <w:rFonts w:ascii="Calibri" w:hAnsi="Calibri"/>
          <w:color w:val="001F60"/>
          <w:spacing w:val="-5"/>
        </w:rPr>
        <w:t xml:space="preserve"> </w:t>
      </w:r>
      <w:r>
        <w:rPr>
          <w:rFonts w:ascii="Calibri" w:hAnsi="Calibri"/>
          <w:color w:val="001F60"/>
        </w:rPr>
        <w:t>incremento</w:t>
      </w:r>
      <w:r>
        <w:rPr>
          <w:rFonts w:ascii="Calibri" w:hAnsi="Calibri"/>
          <w:color w:val="001F60"/>
          <w:spacing w:val="-7"/>
        </w:rPr>
        <w:t xml:space="preserve"> </w:t>
      </w:r>
      <w:r>
        <w:rPr>
          <w:rFonts w:ascii="Calibri" w:hAnsi="Calibri"/>
          <w:color w:val="001F60"/>
        </w:rPr>
        <w:t>relevante.</w:t>
      </w:r>
      <w:r>
        <w:rPr>
          <w:rFonts w:ascii="Calibri" w:hAnsi="Calibri"/>
          <w:color w:val="001F60"/>
          <w:spacing w:val="-7"/>
        </w:rPr>
        <w:t xml:space="preserve"> </w:t>
      </w:r>
      <w:r>
        <w:rPr>
          <w:rFonts w:ascii="Calibri" w:hAnsi="Calibri"/>
          <w:color w:val="001F60"/>
        </w:rPr>
        <w:t>No</w:t>
      </w:r>
      <w:r>
        <w:rPr>
          <w:rFonts w:ascii="Calibri" w:hAnsi="Calibri"/>
          <w:color w:val="001F60"/>
          <w:spacing w:val="-5"/>
        </w:rPr>
        <w:t xml:space="preserve"> </w:t>
      </w:r>
      <w:r>
        <w:rPr>
          <w:rFonts w:ascii="Calibri" w:hAnsi="Calibri"/>
          <w:color w:val="001F60"/>
        </w:rPr>
        <w:t>primeiro</w:t>
      </w:r>
      <w:r>
        <w:rPr>
          <w:rFonts w:ascii="Calibri" w:hAnsi="Calibri"/>
          <w:color w:val="001F60"/>
          <w:spacing w:val="-5"/>
        </w:rPr>
        <w:t xml:space="preserve"> </w:t>
      </w:r>
      <w:r>
        <w:rPr>
          <w:rFonts w:ascii="Calibri" w:hAnsi="Calibri"/>
          <w:color w:val="001F60"/>
        </w:rPr>
        <w:t>semestre</w:t>
      </w:r>
      <w:r>
        <w:rPr>
          <w:rFonts w:ascii="Calibri" w:hAnsi="Calibri"/>
          <w:color w:val="001F60"/>
          <w:spacing w:val="-7"/>
        </w:rPr>
        <w:t xml:space="preserve"> </w:t>
      </w:r>
      <w:r>
        <w:rPr>
          <w:rFonts w:ascii="Calibri" w:hAnsi="Calibri"/>
          <w:color w:val="001F60"/>
        </w:rPr>
        <w:t>de</w:t>
      </w:r>
      <w:r>
        <w:rPr>
          <w:rFonts w:ascii="Calibri" w:hAnsi="Calibri"/>
          <w:color w:val="001F60"/>
          <w:spacing w:val="-7"/>
        </w:rPr>
        <w:t xml:space="preserve"> </w:t>
      </w:r>
      <w:r>
        <w:rPr>
          <w:rFonts w:ascii="Calibri" w:hAnsi="Calibri"/>
          <w:color w:val="001F60"/>
        </w:rPr>
        <w:t>2025, as</w:t>
      </w:r>
      <w:r>
        <w:rPr>
          <w:rFonts w:ascii="Calibri" w:hAnsi="Calibri"/>
          <w:color w:val="001F60"/>
          <w:spacing w:val="-4"/>
        </w:rPr>
        <w:t xml:space="preserve"> </w:t>
      </w:r>
      <w:r>
        <w:rPr>
          <w:rFonts w:ascii="Calibri" w:hAnsi="Calibri"/>
          <w:color w:val="001F60"/>
        </w:rPr>
        <w:t>operadoras</w:t>
      </w:r>
      <w:r>
        <w:rPr>
          <w:rFonts w:ascii="Calibri" w:hAnsi="Calibri"/>
          <w:color w:val="001F60"/>
          <w:spacing w:val="-6"/>
        </w:rPr>
        <w:t xml:space="preserve"> </w:t>
      </w:r>
      <w:r>
        <w:rPr>
          <w:rFonts w:ascii="Calibri" w:hAnsi="Calibri"/>
          <w:color w:val="001F60"/>
        </w:rPr>
        <w:t>investiram</w:t>
      </w:r>
      <w:r>
        <w:rPr>
          <w:rFonts w:ascii="Calibri" w:hAnsi="Calibri"/>
          <w:color w:val="001F60"/>
          <w:spacing w:val="-4"/>
        </w:rPr>
        <w:t xml:space="preserve"> </w:t>
      </w:r>
      <w:r>
        <w:rPr>
          <w:rFonts w:ascii="Calibri" w:hAnsi="Calibri"/>
          <w:color w:val="001F60"/>
        </w:rPr>
        <w:t>cerca</w:t>
      </w:r>
      <w:r>
        <w:rPr>
          <w:rFonts w:ascii="Calibri" w:hAnsi="Calibri"/>
          <w:color w:val="001F60"/>
          <w:spacing w:val="-6"/>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R$</w:t>
      </w:r>
      <w:r>
        <w:rPr>
          <w:rFonts w:ascii="Calibri" w:hAnsi="Calibri"/>
          <w:color w:val="001F60"/>
          <w:spacing w:val="-5"/>
        </w:rPr>
        <w:t xml:space="preserve"> </w:t>
      </w:r>
      <w:r>
        <w:rPr>
          <w:rFonts w:ascii="Calibri" w:hAnsi="Calibri"/>
          <w:color w:val="001F60"/>
        </w:rPr>
        <w:t>16,5</w:t>
      </w:r>
      <w:r>
        <w:rPr>
          <w:rFonts w:ascii="Calibri" w:hAnsi="Calibri"/>
          <w:color w:val="001F60"/>
          <w:spacing w:val="-5"/>
        </w:rPr>
        <w:t xml:space="preserve"> </w:t>
      </w:r>
      <w:r>
        <w:rPr>
          <w:rFonts w:ascii="Calibri" w:hAnsi="Calibri"/>
          <w:color w:val="001F60"/>
        </w:rPr>
        <w:t>bilhões,</w:t>
      </w:r>
      <w:r>
        <w:rPr>
          <w:rFonts w:ascii="Calibri" w:hAnsi="Calibri"/>
          <w:color w:val="001F60"/>
          <w:spacing w:val="-4"/>
        </w:rPr>
        <w:t xml:space="preserve"> </w:t>
      </w:r>
      <w:r>
        <w:rPr>
          <w:rFonts w:ascii="Calibri" w:hAnsi="Calibri"/>
          <w:color w:val="001F60"/>
        </w:rPr>
        <w:t>com</w:t>
      </w:r>
      <w:r>
        <w:rPr>
          <w:rFonts w:ascii="Calibri" w:hAnsi="Calibri"/>
          <w:color w:val="001F60"/>
          <w:spacing w:val="-3"/>
        </w:rPr>
        <w:t xml:space="preserve"> </w:t>
      </w:r>
      <w:r>
        <w:rPr>
          <w:rFonts w:ascii="Calibri" w:hAnsi="Calibri"/>
          <w:color w:val="001F60"/>
        </w:rPr>
        <w:t>foco</w:t>
      </w:r>
      <w:r>
        <w:rPr>
          <w:rFonts w:ascii="Calibri" w:hAnsi="Calibri"/>
          <w:color w:val="001F60"/>
          <w:spacing w:val="-3"/>
        </w:rPr>
        <w:t xml:space="preserve"> </w:t>
      </w:r>
      <w:r>
        <w:rPr>
          <w:rFonts w:ascii="Calibri" w:hAnsi="Calibri"/>
          <w:color w:val="001F60"/>
        </w:rPr>
        <w:t>na</w:t>
      </w:r>
      <w:r>
        <w:rPr>
          <w:rFonts w:ascii="Calibri" w:hAnsi="Calibri"/>
          <w:color w:val="001F60"/>
          <w:spacing w:val="-6"/>
        </w:rPr>
        <w:t xml:space="preserve"> </w:t>
      </w:r>
      <w:r>
        <w:rPr>
          <w:rFonts w:ascii="Calibri" w:hAnsi="Calibri"/>
          <w:color w:val="001F60"/>
        </w:rPr>
        <w:t>expansão</w:t>
      </w:r>
      <w:r>
        <w:rPr>
          <w:rFonts w:ascii="Calibri" w:hAnsi="Calibri"/>
          <w:color w:val="001F60"/>
          <w:spacing w:val="-4"/>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redes</w:t>
      </w:r>
      <w:r>
        <w:rPr>
          <w:rFonts w:ascii="Calibri" w:hAnsi="Calibri"/>
          <w:color w:val="001F60"/>
          <w:spacing w:val="-4"/>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alta</w:t>
      </w:r>
      <w:r>
        <w:rPr>
          <w:rFonts w:ascii="Calibri" w:hAnsi="Calibri"/>
          <w:color w:val="001F60"/>
          <w:spacing w:val="-6"/>
        </w:rPr>
        <w:t xml:space="preserve"> </w:t>
      </w:r>
      <w:r>
        <w:rPr>
          <w:rFonts w:ascii="Calibri" w:hAnsi="Calibri"/>
          <w:color w:val="001F60"/>
        </w:rPr>
        <w:t>capacidade e</w:t>
      </w:r>
      <w:r>
        <w:rPr>
          <w:rFonts w:ascii="Calibri" w:hAnsi="Calibri"/>
          <w:color w:val="001F60"/>
          <w:spacing w:val="-13"/>
        </w:rPr>
        <w:t xml:space="preserve"> </w:t>
      </w:r>
      <w:r>
        <w:rPr>
          <w:rFonts w:ascii="Calibri" w:hAnsi="Calibri"/>
          <w:color w:val="001F60"/>
        </w:rPr>
        <w:t>na</w:t>
      </w:r>
      <w:r>
        <w:rPr>
          <w:rFonts w:ascii="Calibri" w:hAnsi="Calibri"/>
          <w:color w:val="001F60"/>
          <w:spacing w:val="-12"/>
        </w:rPr>
        <w:t xml:space="preserve"> </w:t>
      </w:r>
      <w:r>
        <w:rPr>
          <w:rFonts w:ascii="Calibri" w:hAnsi="Calibri"/>
          <w:color w:val="001F60"/>
        </w:rPr>
        <w:t>ampliação</w:t>
      </w:r>
      <w:r>
        <w:rPr>
          <w:rFonts w:ascii="Calibri" w:hAnsi="Calibri"/>
          <w:color w:val="001F60"/>
          <w:spacing w:val="-12"/>
        </w:rPr>
        <w:t xml:space="preserve"> </w:t>
      </w:r>
      <w:r>
        <w:rPr>
          <w:rFonts w:ascii="Calibri" w:hAnsi="Calibri"/>
          <w:color w:val="001F60"/>
        </w:rPr>
        <w:t>da</w:t>
      </w:r>
      <w:r>
        <w:rPr>
          <w:rFonts w:ascii="Calibri" w:hAnsi="Calibri"/>
          <w:color w:val="001F60"/>
          <w:spacing w:val="-12"/>
        </w:rPr>
        <w:t xml:space="preserve"> </w:t>
      </w:r>
      <w:r>
        <w:rPr>
          <w:rFonts w:ascii="Calibri" w:hAnsi="Calibri"/>
          <w:color w:val="001F60"/>
        </w:rPr>
        <w:t>infraestrutura</w:t>
      </w:r>
      <w:r>
        <w:rPr>
          <w:rFonts w:ascii="Calibri" w:hAnsi="Calibri"/>
          <w:color w:val="001F60"/>
          <w:spacing w:val="-12"/>
        </w:rPr>
        <w:t xml:space="preserve"> </w:t>
      </w:r>
      <w:r>
        <w:rPr>
          <w:rFonts w:ascii="Calibri" w:hAnsi="Calibri"/>
          <w:color w:val="001F60"/>
        </w:rPr>
        <w:t>5G,</w:t>
      </w:r>
      <w:r>
        <w:rPr>
          <w:rFonts w:ascii="Calibri" w:hAnsi="Calibri"/>
          <w:color w:val="001F60"/>
          <w:spacing w:val="-13"/>
        </w:rPr>
        <w:t xml:space="preserve"> </w:t>
      </w:r>
      <w:r>
        <w:rPr>
          <w:rFonts w:ascii="Calibri" w:hAnsi="Calibri"/>
          <w:color w:val="001F60"/>
        </w:rPr>
        <w:t>tecnologia</w:t>
      </w:r>
      <w:r>
        <w:rPr>
          <w:rFonts w:ascii="Calibri" w:hAnsi="Calibri"/>
          <w:color w:val="001F60"/>
          <w:spacing w:val="-12"/>
        </w:rPr>
        <w:t xml:space="preserve"> </w:t>
      </w:r>
      <w:r>
        <w:rPr>
          <w:rFonts w:ascii="Calibri" w:hAnsi="Calibri"/>
          <w:color w:val="001F60"/>
        </w:rPr>
        <w:t>que</w:t>
      </w:r>
      <w:r>
        <w:rPr>
          <w:rFonts w:ascii="Calibri" w:hAnsi="Calibri"/>
          <w:color w:val="001F60"/>
          <w:spacing w:val="-10"/>
        </w:rPr>
        <w:t xml:space="preserve"> </w:t>
      </w:r>
      <w:r>
        <w:rPr>
          <w:rFonts w:ascii="Calibri" w:hAnsi="Calibri"/>
          <w:color w:val="001F60"/>
        </w:rPr>
        <w:t>passou</w:t>
      </w:r>
      <w:r>
        <w:rPr>
          <w:rFonts w:ascii="Calibri" w:hAnsi="Calibri"/>
          <w:color w:val="001F60"/>
          <w:spacing w:val="-12"/>
        </w:rPr>
        <w:t xml:space="preserve"> </w:t>
      </w:r>
      <w:r>
        <w:rPr>
          <w:rFonts w:ascii="Calibri" w:hAnsi="Calibri"/>
          <w:color w:val="001F60"/>
        </w:rPr>
        <w:t>a</w:t>
      </w:r>
      <w:r>
        <w:rPr>
          <w:rFonts w:ascii="Calibri" w:hAnsi="Calibri"/>
          <w:color w:val="001F60"/>
          <w:spacing w:val="-12"/>
        </w:rPr>
        <w:t xml:space="preserve"> </w:t>
      </w:r>
      <w:r>
        <w:rPr>
          <w:rFonts w:ascii="Calibri" w:hAnsi="Calibri"/>
          <w:color w:val="001F60"/>
        </w:rPr>
        <w:t>estar</w:t>
      </w:r>
      <w:r>
        <w:rPr>
          <w:rFonts w:ascii="Calibri" w:hAnsi="Calibri"/>
          <w:color w:val="001F60"/>
          <w:spacing w:val="-13"/>
        </w:rPr>
        <w:t xml:space="preserve"> </w:t>
      </w:r>
      <w:r>
        <w:rPr>
          <w:rFonts w:ascii="Calibri" w:hAnsi="Calibri"/>
          <w:color w:val="001F60"/>
        </w:rPr>
        <w:t>presente</w:t>
      </w:r>
      <w:r>
        <w:rPr>
          <w:rFonts w:ascii="Calibri" w:hAnsi="Calibri"/>
          <w:color w:val="001F60"/>
          <w:spacing w:val="-12"/>
        </w:rPr>
        <w:t xml:space="preserve"> </w:t>
      </w:r>
      <w:r>
        <w:rPr>
          <w:rFonts w:ascii="Calibri" w:hAnsi="Calibri"/>
          <w:color w:val="001F60"/>
        </w:rPr>
        <w:t>em</w:t>
      </w:r>
      <w:r>
        <w:rPr>
          <w:rFonts w:ascii="Calibri" w:hAnsi="Calibri"/>
          <w:color w:val="001F60"/>
          <w:spacing w:val="-10"/>
        </w:rPr>
        <w:t xml:space="preserve"> </w:t>
      </w:r>
      <w:r>
        <w:rPr>
          <w:rFonts w:ascii="Calibri" w:hAnsi="Calibri"/>
          <w:color w:val="001F60"/>
        </w:rPr>
        <w:t>1.068</w:t>
      </w:r>
      <w:r>
        <w:rPr>
          <w:rFonts w:ascii="Calibri" w:hAnsi="Calibri"/>
          <w:color w:val="001F60"/>
          <w:spacing w:val="-12"/>
        </w:rPr>
        <w:t xml:space="preserve"> </w:t>
      </w:r>
      <w:r>
        <w:rPr>
          <w:rFonts w:ascii="Calibri" w:hAnsi="Calibri"/>
          <w:color w:val="001F60"/>
        </w:rPr>
        <w:t>municípios,</w:t>
      </w:r>
      <w:r>
        <w:rPr>
          <w:rFonts w:ascii="Calibri" w:hAnsi="Calibri"/>
          <w:color w:val="001F60"/>
          <w:spacing w:val="-12"/>
        </w:rPr>
        <w:t xml:space="preserve"> </w:t>
      </w:r>
      <w:r>
        <w:rPr>
          <w:rFonts w:ascii="Calibri" w:hAnsi="Calibri"/>
          <w:color w:val="001F60"/>
        </w:rPr>
        <w:t>com aumento significativo no número de antenas ativas. No terceiro trimestre do ano, os investimentos permaneceram consistentes, totalizando aproximadamente R$ 5,94 bilhões, conforme dados divulgados pela Agência Nacional de Telecomunicações (Anatel).</w:t>
      </w:r>
    </w:p>
    <w:p w14:paraId="64CADB6E" w14:textId="77777777" w:rsidR="002C6574" w:rsidRDefault="00000000">
      <w:pPr>
        <w:pStyle w:val="Corpodetexto"/>
        <w:spacing w:before="121"/>
        <w:ind w:left="709" w:right="277"/>
        <w:jc w:val="both"/>
        <w:rPr>
          <w:rFonts w:ascii="Calibri" w:hAnsi="Calibri"/>
        </w:rPr>
      </w:pPr>
      <w:r>
        <w:rPr>
          <w:rFonts w:ascii="Calibri" w:hAnsi="Calibri"/>
          <w:color w:val="001F60"/>
        </w:rPr>
        <w:t>O setor continuou atraindo capital internacional, registrando crescendo de 12,1% no investimento estrangeiro direto entre janeiro e novembro de 2025, alcançando US$ 6,29 bilhões no período.</w:t>
      </w:r>
      <w:r>
        <w:rPr>
          <w:rFonts w:ascii="Calibri" w:hAnsi="Calibri"/>
          <w:color w:val="001F60"/>
          <w:spacing w:val="-2"/>
        </w:rPr>
        <w:t xml:space="preserve"> </w:t>
      </w:r>
      <w:r>
        <w:rPr>
          <w:rFonts w:ascii="Calibri" w:hAnsi="Calibri"/>
          <w:color w:val="001F60"/>
        </w:rPr>
        <w:t xml:space="preserve">Esses resultados reforçam a vitalidade do segmento e a consolidação de uma tendência de expansão baseada na modernização da infraestrutura de telecomunicações e no crescimento da demanda por serviços de conectividade (Fonte: </w:t>
      </w:r>
      <w:r>
        <w:rPr>
          <w:rFonts w:ascii="Calibri" w:hAnsi="Calibri"/>
          <w:color w:val="0000FF"/>
          <w:u w:val="single" w:color="0000FF"/>
        </w:rPr>
        <w:t>MCom</w:t>
      </w:r>
      <w:r>
        <w:rPr>
          <w:rFonts w:ascii="Calibri" w:hAnsi="Calibri"/>
          <w:color w:val="001F60"/>
        </w:rPr>
        <w:t>).</w:t>
      </w:r>
    </w:p>
    <w:p w14:paraId="5550E46D" w14:textId="77777777" w:rsidR="002C6574" w:rsidRDefault="00000000">
      <w:pPr>
        <w:pStyle w:val="Corpodetexto"/>
        <w:spacing w:before="119"/>
        <w:ind w:left="709" w:right="278"/>
        <w:jc w:val="both"/>
        <w:rPr>
          <w:rFonts w:ascii="Calibri" w:hAnsi="Calibri"/>
        </w:rPr>
      </w:pPr>
      <w:r>
        <w:rPr>
          <w:rFonts w:ascii="Calibri" w:hAnsi="Calibri"/>
          <w:color w:val="001F60"/>
        </w:rPr>
        <w:t>A</w:t>
      </w:r>
      <w:r>
        <w:rPr>
          <w:rFonts w:ascii="Calibri" w:hAnsi="Calibri"/>
          <w:color w:val="001F60"/>
          <w:spacing w:val="-6"/>
        </w:rPr>
        <w:t xml:space="preserve"> </w:t>
      </w:r>
      <w:r>
        <w:rPr>
          <w:rFonts w:ascii="Calibri" w:hAnsi="Calibri"/>
          <w:color w:val="001F60"/>
        </w:rPr>
        <w:t>evolução</w:t>
      </w:r>
      <w:r>
        <w:rPr>
          <w:rFonts w:ascii="Calibri" w:hAnsi="Calibri"/>
          <w:color w:val="001F60"/>
          <w:spacing w:val="-3"/>
        </w:rPr>
        <w:t xml:space="preserve"> </w:t>
      </w:r>
      <w:r>
        <w:rPr>
          <w:rFonts w:ascii="Calibri" w:hAnsi="Calibri"/>
          <w:color w:val="001F60"/>
        </w:rPr>
        <w:t>do</w:t>
      </w:r>
      <w:r>
        <w:rPr>
          <w:rFonts w:ascii="Calibri" w:hAnsi="Calibri"/>
          <w:color w:val="001F60"/>
          <w:spacing w:val="-3"/>
        </w:rPr>
        <w:t xml:space="preserve"> </w:t>
      </w:r>
      <w:r>
        <w:rPr>
          <w:rFonts w:ascii="Calibri" w:hAnsi="Calibri"/>
          <w:color w:val="001F60"/>
        </w:rPr>
        <w:t>setor</w:t>
      </w:r>
      <w:r>
        <w:rPr>
          <w:rFonts w:ascii="Calibri" w:hAnsi="Calibri"/>
          <w:color w:val="001F60"/>
          <w:spacing w:val="-4"/>
        </w:rPr>
        <w:t xml:space="preserve"> </w:t>
      </w:r>
      <w:r>
        <w:rPr>
          <w:rFonts w:ascii="Calibri" w:hAnsi="Calibri"/>
          <w:color w:val="001F60"/>
        </w:rPr>
        <w:t>reafirmou</w:t>
      </w:r>
      <w:r>
        <w:rPr>
          <w:rFonts w:ascii="Calibri" w:hAnsi="Calibri"/>
          <w:color w:val="001F60"/>
          <w:spacing w:val="-7"/>
        </w:rPr>
        <w:t xml:space="preserve"> </w:t>
      </w:r>
      <w:r>
        <w:rPr>
          <w:rFonts w:ascii="Calibri" w:hAnsi="Calibri"/>
          <w:color w:val="001F60"/>
        </w:rPr>
        <w:t>seu</w:t>
      </w:r>
      <w:r>
        <w:rPr>
          <w:rFonts w:ascii="Calibri" w:hAnsi="Calibri"/>
          <w:color w:val="001F60"/>
          <w:spacing w:val="-4"/>
        </w:rPr>
        <w:t xml:space="preserve"> </w:t>
      </w:r>
      <w:r>
        <w:rPr>
          <w:rFonts w:ascii="Calibri" w:hAnsi="Calibri"/>
          <w:color w:val="001F60"/>
        </w:rPr>
        <w:t>papel</w:t>
      </w:r>
      <w:r>
        <w:rPr>
          <w:rFonts w:ascii="Calibri" w:hAnsi="Calibri"/>
          <w:color w:val="001F60"/>
          <w:spacing w:val="-4"/>
        </w:rPr>
        <w:t xml:space="preserve"> </w:t>
      </w:r>
      <w:r>
        <w:rPr>
          <w:rFonts w:ascii="Calibri" w:hAnsi="Calibri"/>
          <w:color w:val="001F60"/>
        </w:rPr>
        <w:t>estratégico</w:t>
      </w:r>
      <w:r>
        <w:rPr>
          <w:rFonts w:ascii="Calibri" w:hAnsi="Calibri"/>
          <w:color w:val="001F60"/>
          <w:spacing w:val="-6"/>
        </w:rPr>
        <w:t xml:space="preserve"> </w:t>
      </w:r>
      <w:r>
        <w:rPr>
          <w:rFonts w:ascii="Calibri" w:hAnsi="Calibri"/>
          <w:color w:val="001F60"/>
        </w:rPr>
        <w:t>no</w:t>
      </w:r>
      <w:r>
        <w:rPr>
          <w:rFonts w:ascii="Calibri" w:hAnsi="Calibri"/>
          <w:color w:val="001F60"/>
          <w:spacing w:val="-4"/>
        </w:rPr>
        <w:t xml:space="preserve"> </w:t>
      </w:r>
      <w:r>
        <w:rPr>
          <w:rFonts w:ascii="Calibri" w:hAnsi="Calibri"/>
          <w:color w:val="001F60"/>
        </w:rPr>
        <w:t>desenvolvimento</w:t>
      </w:r>
      <w:r>
        <w:rPr>
          <w:rFonts w:ascii="Calibri" w:hAnsi="Calibri"/>
          <w:color w:val="001F60"/>
          <w:spacing w:val="-4"/>
        </w:rPr>
        <w:t xml:space="preserve"> </w:t>
      </w:r>
      <w:r>
        <w:rPr>
          <w:rFonts w:ascii="Calibri" w:hAnsi="Calibri"/>
          <w:color w:val="001F60"/>
        </w:rPr>
        <w:t>digital</w:t>
      </w:r>
      <w:r>
        <w:rPr>
          <w:rFonts w:ascii="Calibri" w:hAnsi="Calibri"/>
          <w:color w:val="001F60"/>
          <w:spacing w:val="-8"/>
        </w:rPr>
        <w:t xml:space="preserve"> </w:t>
      </w:r>
      <w:r>
        <w:rPr>
          <w:rFonts w:ascii="Calibri" w:hAnsi="Calibri"/>
          <w:color w:val="001F60"/>
        </w:rPr>
        <w:t>do</w:t>
      </w:r>
      <w:r>
        <w:rPr>
          <w:rFonts w:ascii="Calibri" w:hAnsi="Calibri"/>
          <w:color w:val="001F60"/>
          <w:spacing w:val="-4"/>
        </w:rPr>
        <w:t xml:space="preserve"> </w:t>
      </w:r>
      <w:r>
        <w:rPr>
          <w:rFonts w:ascii="Calibri" w:hAnsi="Calibri"/>
          <w:color w:val="001F60"/>
        </w:rPr>
        <w:t>país,</w:t>
      </w:r>
      <w:r>
        <w:rPr>
          <w:rFonts w:ascii="Calibri" w:hAnsi="Calibri"/>
          <w:color w:val="001F60"/>
          <w:spacing w:val="-4"/>
        </w:rPr>
        <w:t xml:space="preserve"> </w:t>
      </w:r>
      <w:r>
        <w:rPr>
          <w:rFonts w:ascii="Calibri" w:hAnsi="Calibri"/>
          <w:color w:val="001F60"/>
        </w:rPr>
        <w:t>contribuindo diretamente para a competividade econômica e para a ampliação do acesso da população a serviços essenciais de comunicação.</w:t>
      </w:r>
    </w:p>
    <w:p w14:paraId="1B57FECB" w14:textId="77777777" w:rsidR="002C6574" w:rsidRDefault="00000000">
      <w:pPr>
        <w:pStyle w:val="Corpodetexto"/>
        <w:spacing w:before="121"/>
        <w:ind w:left="709" w:right="277"/>
        <w:jc w:val="both"/>
        <w:rPr>
          <w:rFonts w:ascii="Calibri" w:hAnsi="Calibri"/>
        </w:rPr>
      </w:pPr>
      <w:r>
        <w:rPr>
          <w:rFonts w:ascii="Calibri" w:hAnsi="Calibri"/>
          <w:color w:val="001F60"/>
        </w:rPr>
        <w:t>Em paralelo ao cenário setorial, a Telebras consolidou, em 2025, avanços relevantes no processo de transição</w:t>
      </w:r>
      <w:r>
        <w:rPr>
          <w:rFonts w:ascii="Calibri" w:hAnsi="Calibri"/>
          <w:color w:val="001F60"/>
          <w:spacing w:val="-2"/>
        </w:rPr>
        <w:t xml:space="preserve"> </w:t>
      </w:r>
      <w:r>
        <w:rPr>
          <w:rFonts w:ascii="Calibri" w:hAnsi="Calibri"/>
          <w:color w:val="001F60"/>
        </w:rPr>
        <w:t>para</w:t>
      </w:r>
      <w:r>
        <w:rPr>
          <w:rFonts w:ascii="Calibri" w:hAnsi="Calibri"/>
          <w:color w:val="001F60"/>
          <w:spacing w:val="-2"/>
        </w:rPr>
        <w:t xml:space="preserve"> </w:t>
      </w:r>
      <w:r>
        <w:rPr>
          <w:rFonts w:ascii="Calibri" w:hAnsi="Calibri"/>
          <w:color w:val="001F60"/>
        </w:rPr>
        <w:t>a condição</w:t>
      </w:r>
      <w:r>
        <w:rPr>
          <w:rFonts w:ascii="Calibri" w:hAnsi="Calibri"/>
          <w:color w:val="001F60"/>
          <w:spacing w:val="-2"/>
        </w:rPr>
        <w:t xml:space="preserve"> </w:t>
      </w:r>
      <w:r>
        <w:rPr>
          <w:rFonts w:ascii="Calibri" w:hAnsi="Calibri"/>
          <w:color w:val="001F60"/>
        </w:rPr>
        <w:t>de empresa</w:t>
      </w:r>
      <w:r>
        <w:rPr>
          <w:rFonts w:ascii="Calibri" w:hAnsi="Calibri"/>
          <w:color w:val="001F60"/>
          <w:spacing w:val="-2"/>
        </w:rPr>
        <w:t xml:space="preserve"> </w:t>
      </w:r>
      <w:r>
        <w:rPr>
          <w:rFonts w:ascii="Calibri" w:hAnsi="Calibri"/>
          <w:color w:val="001F60"/>
        </w:rPr>
        <w:t>não dependente do</w:t>
      </w:r>
      <w:r>
        <w:rPr>
          <w:rFonts w:ascii="Calibri" w:hAnsi="Calibri"/>
          <w:color w:val="001F60"/>
          <w:spacing w:val="-2"/>
        </w:rPr>
        <w:t xml:space="preserve"> </w:t>
      </w:r>
      <w:r>
        <w:rPr>
          <w:rFonts w:ascii="Calibri" w:hAnsi="Calibri"/>
          <w:color w:val="001F60"/>
        </w:rPr>
        <w:t>Orçamento</w:t>
      </w:r>
      <w:r>
        <w:rPr>
          <w:rFonts w:ascii="Calibri" w:hAnsi="Calibri"/>
          <w:color w:val="001F60"/>
          <w:spacing w:val="-2"/>
        </w:rPr>
        <w:t xml:space="preserve"> </w:t>
      </w:r>
      <w:r>
        <w:rPr>
          <w:rFonts w:ascii="Calibri" w:hAnsi="Calibri"/>
          <w:color w:val="001F60"/>
        </w:rPr>
        <w:t>Geral</w:t>
      </w:r>
      <w:r>
        <w:rPr>
          <w:rFonts w:ascii="Calibri" w:hAnsi="Calibri"/>
          <w:color w:val="001F60"/>
          <w:spacing w:val="-2"/>
        </w:rPr>
        <w:t xml:space="preserve"> </w:t>
      </w:r>
      <w:r>
        <w:rPr>
          <w:rFonts w:ascii="Calibri" w:hAnsi="Calibri"/>
          <w:color w:val="001F60"/>
        </w:rPr>
        <w:t>da</w:t>
      </w:r>
      <w:r>
        <w:rPr>
          <w:rFonts w:ascii="Calibri" w:hAnsi="Calibri"/>
          <w:color w:val="001F60"/>
          <w:spacing w:val="-2"/>
        </w:rPr>
        <w:t xml:space="preserve"> </w:t>
      </w:r>
      <w:r>
        <w:rPr>
          <w:rFonts w:ascii="Calibri" w:hAnsi="Calibri"/>
          <w:color w:val="001F60"/>
        </w:rPr>
        <w:t>União,</w:t>
      </w:r>
      <w:r>
        <w:rPr>
          <w:rFonts w:ascii="Calibri" w:hAnsi="Calibri"/>
          <w:color w:val="001F60"/>
          <w:spacing w:val="-1"/>
        </w:rPr>
        <w:t xml:space="preserve"> </w:t>
      </w:r>
      <w:r>
        <w:rPr>
          <w:rFonts w:ascii="Calibri" w:hAnsi="Calibri"/>
          <w:color w:val="001F60"/>
        </w:rPr>
        <w:t>ampliando sua autonomia</w:t>
      </w:r>
      <w:r>
        <w:rPr>
          <w:rFonts w:ascii="Calibri" w:hAnsi="Calibri"/>
          <w:color w:val="001F60"/>
          <w:spacing w:val="-4"/>
        </w:rPr>
        <w:t xml:space="preserve"> </w:t>
      </w:r>
      <w:r>
        <w:rPr>
          <w:rFonts w:ascii="Calibri" w:hAnsi="Calibri"/>
          <w:color w:val="001F60"/>
        </w:rPr>
        <w:t>financeira</w:t>
      </w:r>
      <w:r>
        <w:rPr>
          <w:rFonts w:ascii="Calibri" w:hAnsi="Calibri"/>
          <w:color w:val="001F60"/>
          <w:spacing w:val="-6"/>
        </w:rPr>
        <w:t xml:space="preserve"> </w:t>
      </w:r>
      <w:r>
        <w:rPr>
          <w:rFonts w:ascii="Calibri" w:hAnsi="Calibri"/>
          <w:color w:val="001F60"/>
        </w:rPr>
        <w:t>e</w:t>
      </w:r>
      <w:r>
        <w:rPr>
          <w:rFonts w:ascii="Calibri" w:hAnsi="Calibri"/>
          <w:color w:val="001F60"/>
          <w:spacing w:val="-6"/>
        </w:rPr>
        <w:t xml:space="preserve"> </w:t>
      </w:r>
      <w:r>
        <w:rPr>
          <w:rFonts w:ascii="Calibri" w:hAnsi="Calibri"/>
          <w:color w:val="001F60"/>
        </w:rPr>
        <w:t>orçamentária.</w:t>
      </w:r>
      <w:r>
        <w:rPr>
          <w:rFonts w:ascii="Calibri" w:hAnsi="Calibri"/>
          <w:color w:val="001F60"/>
          <w:spacing w:val="-4"/>
        </w:rPr>
        <w:t xml:space="preserve"> </w:t>
      </w:r>
      <w:r>
        <w:rPr>
          <w:rFonts w:ascii="Calibri" w:hAnsi="Calibri"/>
          <w:color w:val="001F60"/>
        </w:rPr>
        <w:t>Esse</w:t>
      </w:r>
      <w:r>
        <w:rPr>
          <w:rFonts w:ascii="Calibri" w:hAnsi="Calibri"/>
          <w:color w:val="001F60"/>
          <w:spacing w:val="-6"/>
        </w:rPr>
        <w:t xml:space="preserve"> </w:t>
      </w:r>
      <w:r>
        <w:rPr>
          <w:rFonts w:ascii="Calibri" w:hAnsi="Calibri"/>
          <w:color w:val="001F60"/>
        </w:rPr>
        <w:t>movimento</w:t>
      </w:r>
      <w:r>
        <w:rPr>
          <w:rFonts w:ascii="Calibri" w:hAnsi="Calibri"/>
          <w:color w:val="001F60"/>
          <w:spacing w:val="-5"/>
        </w:rPr>
        <w:t xml:space="preserve"> </w:t>
      </w:r>
      <w:r>
        <w:rPr>
          <w:rFonts w:ascii="Calibri" w:hAnsi="Calibri"/>
          <w:color w:val="001F60"/>
        </w:rPr>
        <w:t>foi</w:t>
      </w:r>
      <w:r>
        <w:rPr>
          <w:rFonts w:ascii="Calibri" w:hAnsi="Calibri"/>
          <w:color w:val="001F60"/>
          <w:spacing w:val="-4"/>
        </w:rPr>
        <w:t xml:space="preserve"> </w:t>
      </w:r>
      <w:r>
        <w:rPr>
          <w:rFonts w:ascii="Calibri" w:hAnsi="Calibri"/>
          <w:color w:val="001F60"/>
        </w:rPr>
        <w:t>formalizado</w:t>
      </w:r>
      <w:r>
        <w:rPr>
          <w:rFonts w:ascii="Calibri" w:hAnsi="Calibri"/>
          <w:color w:val="001F60"/>
          <w:spacing w:val="-4"/>
        </w:rPr>
        <w:t xml:space="preserve"> </w:t>
      </w:r>
      <w:r>
        <w:rPr>
          <w:rFonts w:ascii="Calibri" w:hAnsi="Calibri"/>
          <w:color w:val="001F60"/>
        </w:rPr>
        <w:t>pela</w:t>
      </w:r>
      <w:r>
        <w:rPr>
          <w:rFonts w:ascii="Calibri" w:hAnsi="Calibri"/>
          <w:color w:val="001F60"/>
          <w:spacing w:val="-6"/>
        </w:rPr>
        <w:t xml:space="preserve"> </w:t>
      </w:r>
      <w:r>
        <w:rPr>
          <w:rFonts w:ascii="Calibri" w:hAnsi="Calibri"/>
          <w:color w:val="001F60"/>
        </w:rPr>
        <w:t>assinatura</w:t>
      </w:r>
      <w:r>
        <w:rPr>
          <w:rFonts w:ascii="Calibri" w:hAnsi="Calibri"/>
          <w:color w:val="001F60"/>
          <w:spacing w:val="-4"/>
        </w:rPr>
        <w:t xml:space="preserve"> </w:t>
      </w:r>
      <w:r>
        <w:rPr>
          <w:rFonts w:ascii="Calibri" w:hAnsi="Calibri"/>
          <w:color w:val="001F60"/>
        </w:rPr>
        <w:t>do</w:t>
      </w:r>
      <w:r>
        <w:rPr>
          <w:rFonts w:ascii="Calibri" w:hAnsi="Calibri"/>
          <w:color w:val="001F60"/>
          <w:spacing w:val="-6"/>
        </w:rPr>
        <w:t xml:space="preserve"> </w:t>
      </w:r>
      <w:r>
        <w:rPr>
          <w:rFonts w:ascii="Calibri" w:hAnsi="Calibri"/>
          <w:color w:val="001F60"/>
        </w:rPr>
        <w:t>Contrato</w:t>
      </w:r>
      <w:r>
        <w:rPr>
          <w:rFonts w:ascii="Calibri" w:hAnsi="Calibri"/>
          <w:color w:val="001F60"/>
          <w:spacing w:val="-5"/>
        </w:rPr>
        <w:t xml:space="preserve"> </w:t>
      </w:r>
      <w:r>
        <w:rPr>
          <w:rFonts w:ascii="Calibri" w:hAnsi="Calibri"/>
          <w:color w:val="001F60"/>
        </w:rPr>
        <w:t>de Gestão com o MCom, que estabeleceu o regime de transição e conferiu maior flexibilidade para planejamento e execução de investimentos.</w:t>
      </w:r>
    </w:p>
    <w:p w14:paraId="19D67961" w14:textId="77777777" w:rsidR="002C6574" w:rsidRDefault="00000000">
      <w:pPr>
        <w:pStyle w:val="Corpodetexto"/>
        <w:spacing w:before="119"/>
        <w:ind w:left="709" w:right="275"/>
        <w:jc w:val="both"/>
        <w:rPr>
          <w:rFonts w:ascii="Calibri" w:hAnsi="Calibri"/>
        </w:rPr>
      </w:pPr>
      <w:r>
        <w:rPr>
          <w:rFonts w:ascii="Calibri" w:hAnsi="Calibri"/>
          <w:color w:val="001F60"/>
        </w:rPr>
        <w:t>O</w:t>
      </w:r>
      <w:r>
        <w:rPr>
          <w:rFonts w:ascii="Calibri" w:hAnsi="Calibri"/>
          <w:color w:val="001F60"/>
          <w:spacing w:val="-11"/>
        </w:rPr>
        <w:t xml:space="preserve"> </w:t>
      </w:r>
      <w:r>
        <w:rPr>
          <w:rFonts w:ascii="Calibri" w:hAnsi="Calibri"/>
          <w:color w:val="001F60"/>
        </w:rPr>
        <w:t>processo</w:t>
      </w:r>
      <w:r>
        <w:rPr>
          <w:rFonts w:ascii="Calibri" w:hAnsi="Calibri"/>
          <w:color w:val="001F60"/>
          <w:spacing w:val="-10"/>
        </w:rPr>
        <w:t xml:space="preserve"> </w:t>
      </w:r>
      <w:r>
        <w:rPr>
          <w:rFonts w:ascii="Calibri" w:hAnsi="Calibri"/>
          <w:color w:val="001F60"/>
        </w:rPr>
        <w:t>contou</w:t>
      </w:r>
      <w:r>
        <w:rPr>
          <w:rFonts w:ascii="Calibri" w:hAnsi="Calibri"/>
          <w:color w:val="001F60"/>
          <w:spacing w:val="-10"/>
        </w:rPr>
        <w:t xml:space="preserve"> </w:t>
      </w:r>
      <w:r>
        <w:rPr>
          <w:rFonts w:ascii="Calibri" w:hAnsi="Calibri"/>
          <w:color w:val="001F60"/>
        </w:rPr>
        <w:t>ainda</w:t>
      </w:r>
      <w:r>
        <w:rPr>
          <w:rFonts w:ascii="Calibri" w:hAnsi="Calibri"/>
          <w:color w:val="001F60"/>
          <w:spacing w:val="-12"/>
        </w:rPr>
        <w:t xml:space="preserve"> </w:t>
      </w:r>
      <w:r>
        <w:rPr>
          <w:rFonts w:ascii="Calibri" w:hAnsi="Calibri"/>
          <w:color w:val="001F60"/>
        </w:rPr>
        <w:t>com</w:t>
      </w:r>
      <w:r>
        <w:rPr>
          <w:rFonts w:ascii="Calibri" w:hAnsi="Calibri"/>
          <w:color w:val="001F60"/>
          <w:spacing w:val="-10"/>
        </w:rPr>
        <w:t xml:space="preserve"> </w:t>
      </w:r>
      <w:r>
        <w:rPr>
          <w:rFonts w:ascii="Calibri" w:hAnsi="Calibri"/>
          <w:color w:val="001F60"/>
        </w:rPr>
        <w:t>respaldo</w:t>
      </w:r>
      <w:r>
        <w:rPr>
          <w:rFonts w:ascii="Calibri" w:hAnsi="Calibri"/>
          <w:color w:val="001F60"/>
          <w:spacing w:val="-10"/>
        </w:rPr>
        <w:t xml:space="preserve"> </w:t>
      </w:r>
      <w:r>
        <w:rPr>
          <w:rFonts w:ascii="Calibri" w:hAnsi="Calibri"/>
          <w:color w:val="001F60"/>
        </w:rPr>
        <w:t>legal,</w:t>
      </w:r>
      <w:r>
        <w:rPr>
          <w:rFonts w:ascii="Calibri" w:hAnsi="Calibri"/>
          <w:color w:val="001F60"/>
          <w:spacing w:val="-12"/>
        </w:rPr>
        <w:t xml:space="preserve"> </w:t>
      </w:r>
      <w:r>
        <w:rPr>
          <w:rFonts w:ascii="Calibri" w:hAnsi="Calibri"/>
          <w:color w:val="001F60"/>
        </w:rPr>
        <w:t>por</w:t>
      </w:r>
      <w:r>
        <w:rPr>
          <w:rFonts w:ascii="Calibri" w:hAnsi="Calibri"/>
          <w:color w:val="001F60"/>
          <w:spacing w:val="-12"/>
        </w:rPr>
        <w:t xml:space="preserve"> </w:t>
      </w:r>
      <w:r>
        <w:rPr>
          <w:rFonts w:ascii="Calibri" w:hAnsi="Calibri"/>
          <w:color w:val="001F60"/>
        </w:rPr>
        <w:t>meio</w:t>
      </w:r>
      <w:r>
        <w:rPr>
          <w:rFonts w:ascii="Calibri" w:hAnsi="Calibri"/>
          <w:color w:val="001F60"/>
          <w:spacing w:val="-12"/>
        </w:rPr>
        <w:t xml:space="preserve"> </w:t>
      </w:r>
      <w:r>
        <w:rPr>
          <w:rFonts w:ascii="Calibri" w:hAnsi="Calibri"/>
          <w:color w:val="001F60"/>
        </w:rPr>
        <w:t>da</w:t>
      </w:r>
      <w:r>
        <w:rPr>
          <w:rFonts w:ascii="Calibri" w:hAnsi="Calibri"/>
          <w:color w:val="001F60"/>
          <w:spacing w:val="-10"/>
        </w:rPr>
        <w:t xml:space="preserve"> </w:t>
      </w:r>
      <w:r>
        <w:rPr>
          <w:rFonts w:ascii="Calibri" w:hAnsi="Calibri"/>
          <w:color w:val="001F60"/>
        </w:rPr>
        <w:t>sanção</w:t>
      </w:r>
      <w:r>
        <w:rPr>
          <w:rFonts w:ascii="Calibri" w:hAnsi="Calibri"/>
          <w:color w:val="001F60"/>
          <w:spacing w:val="-10"/>
        </w:rPr>
        <w:t xml:space="preserve"> </w:t>
      </w:r>
      <w:r>
        <w:rPr>
          <w:rFonts w:ascii="Calibri" w:hAnsi="Calibri"/>
          <w:color w:val="001F60"/>
        </w:rPr>
        <w:t>das</w:t>
      </w:r>
      <w:r>
        <w:rPr>
          <w:rFonts w:ascii="Calibri" w:hAnsi="Calibri"/>
          <w:color w:val="001F60"/>
          <w:spacing w:val="-13"/>
        </w:rPr>
        <w:t xml:space="preserve"> </w:t>
      </w:r>
      <w:r>
        <w:rPr>
          <w:rFonts w:ascii="Calibri" w:hAnsi="Calibri"/>
          <w:color w:val="001F60"/>
        </w:rPr>
        <w:t>Leis</w:t>
      </w:r>
      <w:r>
        <w:rPr>
          <w:rFonts w:ascii="Calibri" w:hAnsi="Calibri"/>
          <w:color w:val="001F60"/>
          <w:spacing w:val="-12"/>
        </w:rPr>
        <w:t xml:space="preserve"> </w:t>
      </w:r>
      <w:r>
        <w:rPr>
          <w:rFonts w:ascii="Calibri" w:hAnsi="Calibri"/>
          <w:color w:val="001F60"/>
        </w:rPr>
        <w:t>nº</w:t>
      </w:r>
      <w:r>
        <w:rPr>
          <w:rFonts w:ascii="Calibri" w:hAnsi="Calibri"/>
          <w:color w:val="001F60"/>
          <w:spacing w:val="-10"/>
        </w:rPr>
        <w:t xml:space="preserve"> </w:t>
      </w:r>
      <w:r>
        <w:rPr>
          <w:rFonts w:ascii="Calibri" w:hAnsi="Calibri"/>
          <w:color w:val="001F60"/>
        </w:rPr>
        <w:t>15.309</w:t>
      </w:r>
      <w:r>
        <w:rPr>
          <w:rFonts w:ascii="Calibri" w:hAnsi="Calibri"/>
          <w:color w:val="001F60"/>
          <w:spacing w:val="-10"/>
        </w:rPr>
        <w:t xml:space="preserve"> </w:t>
      </w:r>
      <w:r>
        <w:rPr>
          <w:rFonts w:ascii="Calibri" w:hAnsi="Calibri"/>
          <w:color w:val="001F60"/>
        </w:rPr>
        <w:t>e</w:t>
      </w:r>
      <w:r>
        <w:rPr>
          <w:rFonts w:ascii="Calibri" w:hAnsi="Calibri"/>
          <w:color w:val="001F60"/>
          <w:spacing w:val="-12"/>
        </w:rPr>
        <w:t xml:space="preserve"> </w:t>
      </w:r>
      <w:r>
        <w:rPr>
          <w:rFonts w:ascii="Calibri" w:hAnsi="Calibri"/>
          <w:color w:val="001F60"/>
        </w:rPr>
        <w:t>nº</w:t>
      </w:r>
      <w:r>
        <w:rPr>
          <w:rFonts w:ascii="Calibri" w:hAnsi="Calibri"/>
          <w:color w:val="001F60"/>
          <w:spacing w:val="-12"/>
        </w:rPr>
        <w:t xml:space="preserve"> </w:t>
      </w:r>
      <w:r>
        <w:rPr>
          <w:rFonts w:ascii="Calibri" w:hAnsi="Calibri"/>
          <w:color w:val="001F60"/>
        </w:rPr>
        <w:t>15.317,</w:t>
      </w:r>
      <w:r>
        <w:rPr>
          <w:rFonts w:ascii="Calibri" w:hAnsi="Calibri"/>
          <w:color w:val="001F60"/>
          <w:spacing w:val="-12"/>
        </w:rPr>
        <w:t xml:space="preserve"> </w:t>
      </w:r>
      <w:r>
        <w:rPr>
          <w:rFonts w:ascii="Calibri" w:hAnsi="Calibri"/>
          <w:color w:val="001F60"/>
        </w:rPr>
        <w:t>ambas de 22 de dezembro de 2025, que autorizaram a abertura de créditos especiais ao Orçamento de Investimento da União em favor da Telebras, direcionados ao fortalecimento da infraestrutura, à modernização tecnológica e ao fomento ao desenvolvimento científico no âmbito da Companhia.</w:t>
      </w:r>
    </w:p>
    <w:p w14:paraId="53FB4A97" w14:textId="77777777" w:rsidR="002C6574" w:rsidRDefault="002C6574">
      <w:pPr>
        <w:pStyle w:val="Corpodetexto"/>
        <w:spacing w:before="92"/>
        <w:rPr>
          <w:rFonts w:ascii="Calibri"/>
        </w:rPr>
      </w:pPr>
    </w:p>
    <w:p w14:paraId="6A696037" w14:textId="77777777" w:rsidR="002C6574" w:rsidRDefault="00000000">
      <w:pPr>
        <w:numPr>
          <w:ilvl w:val="1"/>
          <w:numId w:val="74"/>
        </w:numPr>
        <w:tabs>
          <w:tab w:val="left" w:pos="1275"/>
        </w:tabs>
        <w:ind w:left="1275" w:hanging="566"/>
        <w:rPr>
          <w:rFonts w:ascii="Calibri" w:hAnsi="Calibri"/>
          <w:b/>
        </w:rPr>
      </w:pPr>
      <w:r>
        <w:rPr>
          <w:rFonts w:ascii="Calibri" w:hAnsi="Calibri"/>
          <w:b/>
          <w:color w:val="001F60"/>
        </w:rPr>
        <w:t>Serviços</w:t>
      </w:r>
      <w:r>
        <w:rPr>
          <w:rFonts w:ascii="Calibri" w:hAnsi="Calibri"/>
          <w:b/>
          <w:color w:val="001F60"/>
          <w:spacing w:val="-2"/>
        </w:rPr>
        <w:t xml:space="preserve"> </w:t>
      </w:r>
      <w:r>
        <w:rPr>
          <w:rFonts w:ascii="Calibri" w:hAnsi="Calibri"/>
          <w:b/>
          <w:color w:val="001F60"/>
        </w:rPr>
        <w:t>e</w:t>
      </w:r>
      <w:r>
        <w:rPr>
          <w:rFonts w:ascii="Calibri" w:hAnsi="Calibri"/>
          <w:b/>
          <w:color w:val="001F60"/>
          <w:spacing w:val="-2"/>
        </w:rPr>
        <w:t xml:space="preserve"> Produtos</w:t>
      </w:r>
    </w:p>
    <w:p w14:paraId="679D0441" w14:textId="77777777" w:rsidR="002C6574" w:rsidRDefault="002C6574">
      <w:pPr>
        <w:pStyle w:val="Corpodetexto"/>
        <w:spacing w:before="10"/>
        <w:rPr>
          <w:rFonts w:ascii="Calibri"/>
          <w:b/>
        </w:rPr>
      </w:pPr>
    </w:p>
    <w:p w14:paraId="0DB92F7F" w14:textId="77777777" w:rsidR="002C6574" w:rsidRDefault="00000000">
      <w:pPr>
        <w:pStyle w:val="Corpodetexto"/>
        <w:ind w:left="709" w:right="276"/>
        <w:jc w:val="both"/>
        <w:rPr>
          <w:rFonts w:ascii="Calibri" w:hAnsi="Calibri"/>
        </w:rPr>
      </w:pPr>
      <w:r>
        <w:rPr>
          <w:rFonts w:ascii="Calibri" w:hAnsi="Calibri"/>
          <w:color w:val="001F60"/>
        </w:rPr>
        <w:t>Os serviços e produtos da Telebras são periodicamente revisados e aprimorados para garantir aderência ao modelo de Negócio da Companhia, bem como para atender às demandas das políticas públicas de telecomunicações e contribuir para a ampliação da conectividade em todo o território nacional.</w:t>
      </w:r>
      <w:r>
        <w:rPr>
          <w:rFonts w:ascii="Calibri" w:hAnsi="Calibri"/>
          <w:color w:val="001F60"/>
          <w:spacing w:val="40"/>
        </w:rPr>
        <w:t xml:space="preserve"> </w:t>
      </w:r>
      <w:r>
        <w:rPr>
          <w:rFonts w:ascii="Calibri" w:hAnsi="Calibri"/>
          <w:color w:val="001F60"/>
        </w:rPr>
        <w:t>Em 2025, o portfólio da Telebras manteve foco em soluções de conectividade satelital e terrestre,</w:t>
      </w:r>
      <w:r>
        <w:rPr>
          <w:rFonts w:ascii="Calibri" w:hAnsi="Calibri"/>
          <w:color w:val="001F60"/>
          <w:spacing w:val="-4"/>
        </w:rPr>
        <w:t xml:space="preserve"> </w:t>
      </w:r>
      <w:r>
        <w:rPr>
          <w:rFonts w:ascii="Calibri" w:hAnsi="Calibri"/>
          <w:color w:val="001F60"/>
        </w:rPr>
        <w:t>serviços</w:t>
      </w:r>
      <w:r>
        <w:rPr>
          <w:rFonts w:ascii="Calibri" w:hAnsi="Calibri"/>
          <w:color w:val="001F60"/>
          <w:spacing w:val="-4"/>
        </w:rPr>
        <w:t xml:space="preserve"> </w:t>
      </w:r>
      <w:r>
        <w:rPr>
          <w:rFonts w:ascii="Calibri" w:hAnsi="Calibri"/>
          <w:color w:val="001F60"/>
        </w:rPr>
        <w:t>corporativos</w:t>
      </w:r>
      <w:r>
        <w:rPr>
          <w:rFonts w:ascii="Calibri" w:hAnsi="Calibri"/>
          <w:color w:val="001F60"/>
          <w:spacing w:val="-8"/>
        </w:rPr>
        <w:t xml:space="preserve"> </w:t>
      </w:r>
      <w:r>
        <w:rPr>
          <w:rFonts w:ascii="Calibri" w:hAnsi="Calibri"/>
          <w:color w:val="001F60"/>
        </w:rPr>
        <w:t>e</w:t>
      </w:r>
      <w:r>
        <w:rPr>
          <w:rFonts w:ascii="Calibri" w:hAnsi="Calibri"/>
          <w:color w:val="001F60"/>
          <w:spacing w:val="-4"/>
        </w:rPr>
        <w:t xml:space="preserve"> </w:t>
      </w:r>
      <w:r>
        <w:rPr>
          <w:rFonts w:ascii="Calibri" w:hAnsi="Calibri"/>
          <w:color w:val="001F60"/>
        </w:rPr>
        <w:t>produtos</w:t>
      </w:r>
      <w:r>
        <w:rPr>
          <w:rFonts w:ascii="Calibri" w:hAnsi="Calibri"/>
          <w:color w:val="001F60"/>
          <w:spacing w:val="-4"/>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suporte</w:t>
      </w:r>
      <w:r>
        <w:rPr>
          <w:rFonts w:ascii="Calibri" w:hAnsi="Calibri"/>
          <w:color w:val="001F60"/>
          <w:spacing w:val="-6"/>
        </w:rPr>
        <w:t xml:space="preserve"> </w:t>
      </w:r>
      <w:r>
        <w:rPr>
          <w:rFonts w:ascii="Calibri" w:hAnsi="Calibri"/>
          <w:color w:val="001F60"/>
        </w:rPr>
        <w:t>às</w:t>
      </w:r>
      <w:r>
        <w:rPr>
          <w:rFonts w:ascii="Calibri" w:hAnsi="Calibri"/>
          <w:color w:val="001F60"/>
          <w:spacing w:val="-6"/>
        </w:rPr>
        <w:t xml:space="preserve"> </w:t>
      </w:r>
      <w:r>
        <w:rPr>
          <w:rFonts w:ascii="Calibri" w:hAnsi="Calibri"/>
          <w:color w:val="001F60"/>
        </w:rPr>
        <w:t>operações</w:t>
      </w:r>
      <w:r>
        <w:rPr>
          <w:rFonts w:ascii="Calibri" w:hAnsi="Calibri"/>
          <w:color w:val="001F60"/>
          <w:spacing w:val="-4"/>
        </w:rPr>
        <w:t xml:space="preserve"> </w:t>
      </w:r>
      <w:r>
        <w:rPr>
          <w:rFonts w:ascii="Calibri" w:hAnsi="Calibri"/>
          <w:color w:val="001F60"/>
        </w:rPr>
        <w:t>governamentais,</w:t>
      </w:r>
      <w:r>
        <w:rPr>
          <w:rFonts w:ascii="Calibri" w:hAnsi="Calibri"/>
          <w:color w:val="001F60"/>
          <w:spacing w:val="-4"/>
        </w:rPr>
        <w:t xml:space="preserve"> </w:t>
      </w:r>
      <w:r>
        <w:rPr>
          <w:rFonts w:ascii="Calibri" w:hAnsi="Calibri"/>
          <w:color w:val="001F60"/>
        </w:rPr>
        <w:t>além</w:t>
      </w:r>
      <w:r>
        <w:rPr>
          <w:rFonts w:ascii="Calibri" w:hAnsi="Calibri"/>
          <w:color w:val="001F60"/>
          <w:spacing w:val="-4"/>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ampliar a</w:t>
      </w:r>
      <w:r>
        <w:rPr>
          <w:rFonts w:ascii="Calibri" w:hAnsi="Calibri"/>
          <w:color w:val="001F60"/>
          <w:spacing w:val="-4"/>
        </w:rPr>
        <w:t xml:space="preserve"> </w:t>
      </w:r>
      <w:r>
        <w:rPr>
          <w:rFonts w:ascii="Calibri" w:hAnsi="Calibri"/>
          <w:color w:val="001F60"/>
        </w:rPr>
        <w:t>oferta</w:t>
      </w:r>
      <w:r>
        <w:rPr>
          <w:rFonts w:ascii="Calibri" w:hAnsi="Calibri"/>
          <w:color w:val="001F60"/>
          <w:spacing w:val="-6"/>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Serviços</w:t>
      </w:r>
      <w:r>
        <w:rPr>
          <w:rFonts w:ascii="Calibri" w:hAnsi="Calibri"/>
          <w:color w:val="001F60"/>
          <w:spacing w:val="-6"/>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Valor</w:t>
      </w:r>
      <w:r>
        <w:rPr>
          <w:rFonts w:ascii="Calibri" w:hAnsi="Calibri"/>
          <w:color w:val="001F60"/>
          <w:spacing w:val="-4"/>
        </w:rPr>
        <w:t xml:space="preserve"> </w:t>
      </w:r>
      <w:r>
        <w:rPr>
          <w:rFonts w:ascii="Calibri" w:hAnsi="Calibri"/>
          <w:color w:val="001F60"/>
        </w:rPr>
        <w:t>Adicionado</w:t>
      </w:r>
      <w:r>
        <w:rPr>
          <w:rFonts w:ascii="Calibri" w:hAnsi="Calibri"/>
          <w:color w:val="001F60"/>
          <w:spacing w:val="-3"/>
        </w:rPr>
        <w:t xml:space="preserve"> </w:t>
      </w:r>
      <w:r>
        <w:rPr>
          <w:rFonts w:ascii="Calibri" w:hAnsi="Calibri"/>
          <w:color w:val="001F60"/>
        </w:rPr>
        <w:t>(SVA),</w:t>
      </w:r>
      <w:r>
        <w:rPr>
          <w:rFonts w:ascii="Calibri" w:hAnsi="Calibri"/>
          <w:color w:val="001F60"/>
          <w:spacing w:val="-6"/>
        </w:rPr>
        <w:t xml:space="preserve"> </w:t>
      </w:r>
      <w:r>
        <w:rPr>
          <w:rFonts w:ascii="Calibri" w:hAnsi="Calibri"/>
          <w:color w:val="001F60"/>
        </w:rPr>
        <w:t>reforçando</w:t>
      </w:r>
      <w:r>
        <w:rPr>
          <w:rFonts w:ascii="Calibri" w:hAnsi="Calibri"/>
          <w:color w:val="001F60"/>
          <w:spacing w:val="-4"/>
        </w:rPr>
        <w:t xml:space="preserve"> </w:t>
      </w:r>
      <w:r>
        <w:rPr>
          <w:rFonts w:ascii="Calibri" w:hAnsi="Calibri"/>
          <w:color w:val="001F60"/>
        </w:rPr>
        <w:t>sua</w:t>
      </w:r>
      <w:r>
        <w:rPr>
          <w:rFonts w:ascii="Calibri" w:hAnsi="Calibri"/>
          <w:color w:val="001F60"/>
          <w:spacing w:val="-6"/>
        </w:rPr>
        <w:t xml:space="preserve"> </w:t>
      </w:r>
      <w:r>
        <w:rPr>
          <w:rFonts w:ascii="Calibri" w:hAnsi="Calibri"/>
          <w:color w:val="001F60"/>
        </w:rPr>
        <w:t>atuação</w:t>
      </w:r>
      <w:r>
        <w:rPr>
          <w:rFonts w:ascii="Calibri" w:hAnsi="Calibri"/>
          <w:color w:val="001F60"/>
          <w:spacing w:val="-5"/>
        </w:rPr>
        <w:t xml:space="preserve"> </w:t>
      </w:r>
      <w:r>
        <w:rPr>
          <w:rFonts w:ascii="Calibri" w:hAnsi="Calibri"/>
          <w:color w:val="001F60"/>
        </w:rPr>
        <w:t>estratégica</w:t>
      </w:r>
      <w:r>
        <w:rPr>
          <w:rFonts w:ascii="Calibri" w:hAnsi="Calibri"/>
          <w:color w:val="001F60"/>
          <w:spacing w:val="-6"/>
        </w:rPr>
        <w:t xml:space="preserve"> </w:t>
      </w:r>
      <w:r>
        <w:rPr>
          <w:rFonts w:ascii="Calibri" w:hAnsi="Calibri"/>
          <w:color w:val="001F60"/>
        </w:rPr>
        <w:t>no</w:t>
      </w:r>
      <w:r>
        <w:rPr>
          <w:rFonts w:ascii="Calibri" w:hAnsi="Calibri"/>
          <w:color w:val="001F60"/>
          <w:spacing w:val="-3"/>
        </w:rPr>
        <w:t xml:space="preserve"> </w:t>
      </w:r>
      <w:r>
        <w:rPr>
          <w:rFonts w:ascii="Calibri" w:hAnsi="Calibri"/>
          <w:color w:val="001F60"/>
        </w:rPr>
        <w:t>ecossistema</w:t>
      </w:r>
      <w:r>
        <w:rPr>
          <w:rFonts w:ascii="Calibri" w:hAnsi="Calibri"/>
          <w:color w:val="001F60"/>
          <w:spacing w:val="-4"/>
        </w:rPr>
        <w:t xml:space="preserve"> </w:t>
      </w:r>
      <w:r>
        <w:rPr>
          <w:rFonts w:ascii="Calibri" w:hAnsi="Calibri"/>
          <w:color w:val="001F60"/>
        </w:rPr>
        <w:t>de telecomunicações do setor público e corporativo.</w:t>
      </w:r>
    </w:p>
    <w:p w14:paraId="145FD49C" w14:textId="77777777" w:rsidR="002C6574" w:rsidRDefault="00000000">
      <w:pPr>
        <w:pStyle w:val="Corpodetexto"/>
        <w:spacing w:before="122"/>
        <w:ind w:left="709" w:right="278"/>
        <w:jc w:val="both"/>
        <w:rPr>
          <w:rFonts w:ascii="Calibri" w:hAnsi="Calibri"/>
        </w:rPr>
      </w:pPr>
      <w:r>
        <w:rPr>
          <w:rFonts w:ascii="Calibri" w:hAnsi="Calibri"/>
          <w:color w:val="001F60"/>
        </w:rPr>
        <w:t xml:space="preserve">A seguir, apresenta-se a composição do portfólio de serviços e produtos da Telebras no exercício de </w:t>
      </w:r>
      <w:r>
        <w:rPr>
          <w:rFonts w:ascii="Calibri" w:hAnsi="Calibri"/>
          <w:color w:val="001F60"/>
          <w:spacing w:val="-2"/>
        </w:rPr>
        <w:t>2025.</w:t>
      </w:r>
    </w:p>
    <w:p w14:paraId="3B6C245D" w14:textId="77777777" w:rsidR="002C6574" w:rsidRDefault="00000000">
      <w:pPr>
        <w:spacing w:before="121"/>
        <w:ind w:left="709"/>
        <w:jc w:val="both"/>
        <w:rPr>
          <w:rFonts w:ascii="Calibri"/>
          <w:b/>
        </w:rPr>
      </w:pPr>
      <w:r>
        <w:rPr>
          <w:rFonts w:ascii="Calibri"/>
          <w:b/>
          <w:color w:val="001F60"/>
        </w:rPr>
        <w:t>Telebras</w:t>
      </w:r>
      <w:r>
        <w:rPr>
          <w:rFonts w:ascii="Calibri"/>
          <w:b/>
          <w:color w:val="001F60"/>
          <w:spacing w:val="-3"/>
        </w:rPr>
        <w:t xml:space="preserve"> </w:t>
      </w:r>
      <w:r>
        <w:rPr>
          <w:rFonts w:ascii="Calibri"/>
          <w:b/>
          <w:color w:val="001F60"/>
          <w:spacing w:val="-5"/>
        </w:rPr>
        <w:t>SAT</w:t>
      </w:r>
    </w:p>
    <w:p w14:paraId="3EBBC666" w14:textId="77777777" w:rsidR="002C6574" w:rsidRDefault="002C6574">
      <w:pPr>
        <w:jc w:val="both"/>
        <w:rPr>
          <w:rFonts w:ascii="Calibri"/>
          <w:b/>
        </w:rPr>
        <w:sectPr w:rsidR="002C6574">
          <w:headerReference w:type="default" r:id="rId24"/>
          <w:footerReference w:type="default" r:id="rId25"/>
          <w:pgSz w:w="11910" w:h="16840"/>
          <w:pgMar w:top="1160" w:right="850" w:bottom="740" w:left="992" w:header="312" w:footer="542" w:gutter="0"/>
          <w:cols w:space="720"/>
        </w:sectPr>
      </w:pPr>
    </w:p>
    <w:p w14:paraId="44B6FCE3" w14:textId="77777777" w:rsidR="002C6574" w:rsidRDefault="002C6574">
      <w:pPr>
        <w:pStyle w:val="Corpodetexto"/>
        <w:spacing w:before="263"/>
        <w:rPr>
          <w:rFonts w:ascii="Calibri"/>
          <w:b/>
        </w:rPr>
      </w:pPr>
    </w:p>
    <w:p w14:paraId="3B107565" w14:textId="77777777" w:rsidR="002C6574" w:rsidRDefault="00000000">
      <w:pPr>
        <w:pStyle w:val="Corpodetexto"/>
        <w:ind w:left="709" w:right="279"/>
        <w:jc w:val="both"/>
        <w:rPr>
          <w:rFonts w:ascii="Calibri" w:hAnsi="Calibri"/>
        </w:rPr>
      </w:pPr>
      <w:r>
        <w:rPr>
          <w:rFonts w:ascii="Calibri" w:hAnsi="Calibri"/>
          <w:color w:val="001F60"/>
        </w:rPr>
        <w:t>O Telebras SAT é o serviço de banda larga via satélite de Telebras, operando em banda Ka, com cobertura em todo o território nacional. Por meio de seus feixes de alta capacidade, o serviço possibilita a oferta em áreas remotas ou de difícil acesso, contribuindo para a ampliação da inclusão digital e para o atendimento a políticas públicas de telecomunicações.</w:t>
      </w:r>
    </w:p>
    <w:p w14:paraId="017470DF" w14:textId="77777777" w:rsidR="002C6574" w:rsidRDefault="00000000">
      <w:pPr>
        <w:pStyle w:val="Corpodetexto"/>
        <w:spacing w:before="119"/>
        <w:ind w:left="709" w:right="278"/>
        <w:jc w:val="both"/>
        <w:rPr>
          <w:rFonts w:ascii="Calibri" w:hAnsi="Calibri"/>
        </w:rPr>
      </w:pPr>
      <w:r>
        <w:rPr>
          <w:rFonts w:ascii="Calibri" w:hAnsi="Calibri"/>
          <w:color w:val="001F60"/>
        </w:rPr>
        <w:t>O</w:t>
      </w:r>
      <w:r>
        <w:rPr>
          <w:rFonts w:ascii="Calibri" w:hAnsi="Calibri"/>
          <w:color w:val="001F60"/>
          <w:spacing w:val="-6"/>
        </w:rPr>
        <w:t xml:space="preserve"> </w:t>
      </w:r>
      <w:r>
        <w:rPr>
          <w:rFonts w:ascii="Calibri" w:hAnsi="Calibri"/>
          <w:color w:val="001F60"/>
        </w:rPr>
        <w:t>satélite</w:t>
      </w:r>
      <w:r>
        <w:rPr>
          <w:rFonts w:ascii="Calibri" w:hAnsi="Calibri"/>
          <w:color w:val="001F60"/>
          <w:spacing w:val="-6"/>
        </w:rPr>
        <w:t xml:space="preserve"> </w:t>
      </w:r>
      <w:r>
        <w:rPr>
          <w:rFonts w:ascii="Calibri" w:hAnsi="Calibri"/>
          <w:color w:val="001F60"/>
        </w:rPr>
        <w:t>utilizado</w:t>
      </w:r>
      <w:r>
        <w:rPr>
          <w:rFonts w:ascii="Calibri" w:hAnsi="Calibri"/>
          <w:color w:val="001F60"/>
          <w:spacing w:val="-6"/>
        </w:rPr>
        <w:t xml:space="preserve"> </w:t>
      </w:r>
      <w:r>
        <w:rPr>
          <w:rFonts w:ascii="Calibri" w:hAnsi="Calibri"/>
          <w:color w:val="001F60"/>
        </w:rPr>
        <w:t>é</w:t>
      </w:r>
      <w:r>
        <w:rPr>
          <w:rFonts w:ascii="Calibri" w:hAnsi="Calibri"/>
          <w:color w:val="001F60"/>
          <w:spacing w:val="-8"/>
        </w:rPr>
        <w:t xml:space="preserve"> </w:t>
      </w:r>
      <w:r>
        <w:rPr>
          <w:rFonts w:ascii="Calibri" w:hAnsi="Calibri"/>
          <w:color w:val="001F60"/>
        </w:rPr>
        <w:t>o</w:t>
      </w:r>
      <w:r>
        <w:rPr>
          <w:rFonts w:ascii="Calibri" w:hAnsi="Calibri"/>
          <w:color w:val="001F60"/>
          <w:spacing w:val="-6"/>
        </w:rPr>
        <w:t xml:space="preserve"> </w:t>
      </w:r>
      <w:r>
        <w:rPr>
          <w:rFonts w:ascii="Calibri" w:hAnsi="Calibri"/>
          <w:color w:val="001F60"/>
        </w:rPr>
        <w:t>SGDC</w:t>
      </w:r>
      <w:r>
        <w:rPr>
          <w:rFonts w:ascii="Calibri" w:hAnsi="Calibri"/>
          <w:color w:val="001F60"/>
          <w:spacing w:val="-8"/>
        </w:rPr>
        <w:t xml:space="preserve"> </w:t>
      </w:r>
      <w:r>
        <w:rPr>
          <w:rFonts w:ascii="Calibri" w:hAnsi="Calibri"/>
          <w:color w:val="001F60"/>
        </w:rPr>
        <w:t>com</w:t>
      </w:r>
      <w:r>
        <w:rPr>
          <w:rFonts w:ascii="Calibri" w:hAnsi="Calibri"/>
          <w:color w:val="001F60"/>
          <w:spacing w:val="-6"/>
        </w:rPr>
        <w:t xml:space="preserve"> </w:t>
      </w:r>
      <w:r>
        <w:rPr>
          <w:rFonts w:ascii="Calibri" w:hAnsi="Calibri"/>
          <w:color w:val="001F60"/>
        </w:rPr>
        <w:t>maior</w:t>
      </w:r>
      <w:r>
        <w:rPr>
          <w:rFonts w:ascii="Calibri" w:hAnsi="Calibri"/>
          <w:color w:val="001F60"/>
          <w:spacing w:val="-8"/>
        </w:rPr>
        <w:t xml:space="preserve"> </w:t>
      </w:r>
      <w:r>
        <w:rPr>
          <w:rFonts w:ascii="Calibri" w:hAnsi="Calibri"/>
          <w:color w:val="001F60"/>
        </w:rPr>
        <w:t>capacidade</w:t>
      </w:r>
      <w:r>
        <w:rPr>
          <w:rFonts w:ascii="Calibri" w:hAnsi="Calibri"/>
          <w:color w:val="001F60"/>
          <w:spacing w:val="-6"/>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banda</w:t>
      </w:r>
      <w:r>
        <w:rPr>
          <w:rFonts w:ascii="Calibri" w:hAnsi="Calibri"/>
          <w:color w:val="001F60"/>
          <w:spacing w:val="-6"/>
        </w:rPr>
        <w:t xml:space="preserve"> </w:t>
      </w:r>
      <w:r>
        <w:rPr>
          <w:rFonts w:ascii="Calibri" w:hAnsi="Calibri"/>
          <w:color w:val="001F60"/>
        </w:rPr>
        <w:t>Ka</w:t>
      </w:r>
      <w:r>
        <w:rPr>
          <w:rFonts w:ascii="Calibri" w:hAnsi="Calibri"/>
          <w:color w:val="001F60"/>
          <w:spacing w:val="-6"/>
        </w:rPr>
        <w:t xml:space="preserve"> </w:t>
      </w:r>
      <w:r>
        <w:rPr>
          <w:rFonts w:ascii="Calibri" w:hAnsi="Calibri"/>
          <w:color w:val="001F60"/>
        </w:rPr>
        <w:t>sobre</w:t>
      </w:r>
      <w:r>
        <w:rPr>
          <w:rFonts w:ascii="Calibri" w:hAnsi="Calibri"/>
          <w:color w:val="001F60"/>
          <w:spacing w:val="-6"/>
        </w:rPr>
        <w:t xml:space="preserve"> </w:t>
      </w:r>
      <w:r>
        <w:rPr>
          <w:rFonts w:ascii="Calibri" w:hAnsi="Calibri"/>
          <w:color w:val="001F60"/>
        </w:rPr>
        <w:t>o</w:t>
      </w:r>
      <w:r>
        <w:rPr>
          <w:rFonts w:ascii="Calibri" w:hAnsi="Calibri"/>
          <w:color w:val="001F60"/>
          <w:spacing w:val="-8"/>
        </w:rPr>
        <w:t xml:space="preserve"> </w:t>
      </w:r>
      <w:r>
        <w:rPr>
          <w:rFonts w:ascii="Calibri" w:hAnsi="Calibri"/>
          <w:color w:val="001F60"/>
        </w:rPr>
        <w:t>território</w:t>
      </w:r>
      <w:r>
        <w:rPr>
          <w:rFonts w:ascii="Calibri" w:hAnsi="Calibri"/>
          <w:color w:val="001F60"/>
          <w:spacing w:val="-7"/>
        </w:rPr>
        <w:t xml:space="preserve"> </w:t>
      </w:r>
      <w:r>
        <w:rPr>
          <w:rFonts w:ascii="Calibri" w:hAnsi="Calibri"/>
          <w:color w:val="001F60"/>
        </w:rPr>
        <w:t>brasileiro,</w:t>
      </w:r>
      <w:r>
        <w:rPr>
          <w:rFonts w:ascii="Calibri" w:hAnsi="Calibri"/>
          <w:color w:val="001F60"/>
          <w:spacing w:val="-6"/>
        </w:rPr>
        <w:t xml:space="preserve"> </w:t>
      </w:r>
      <w:r>
        <w:rPr>
          <w:rFonts w:ascii="Calibri" w:hAnsi="Calibri"/>
          <w:color w:val="001F60"/>
        </w:rPr>
        <w:t>cobrindo inclusive</w:t>
      </w:r>
      <w:r>
        <w:rPr>
          <w:rFonts w:ascii="Calibri" w:hAnsi="Calibri"/>
          <w:color w:val="001F60"/>
          <w:spacing w:val="-4"/>
        </w:rPr>
        <w:t xml:space="preserve"> </w:t>
      </w:r>
      <w:r>
        <w:rPr>
          <w:rFonts w:ascii="Calibri" w:hAnsi="Calibri"/>
          <w:color w:val="001F60"/>
        </w:rPr>
        <w:t>áreas</w:t>
      </w:r>
      <w:r>
        <w:rPr>
          <w:rFonts w:ascii="Calibri" w:hAnsi="Calibri"/>
          <w:color w:val="001F60"/>
          <w:spacing w:val="-4"/>
        </w:rPr>
        <w:t xml:space="preserve"> </w:t>
      </w:r>
      <w:r>
        <w:rPr>
          <w:rFonts w:ascii="Calibri" w:hAnsi="Calibri"/>
          <w:color w:val="001F60"/>
        </w:rPr>
        <w:t>estratégicas</w:t>
      </w:r>
      <w:r>
        <w:rPr>
          <w:rFonts w:ascii="Calibri" w:hAnsi="Calibri"/>
          <w:color w:val="001F60"/>
          <w:spacing w:val="-6"/>
        </w:rPr>
        <w:t xml:space="preserve"> </w:t>
      </w:r>
      <w:r>
        <w:rPr>
          <w:rFonts w:ascii="Calibri" w:hAnsi="Calibri"/>
          <w:color w:val="001F60"/>
        </w:rPr>
        <w:t>como</w:t>
      </w:r>
      <w:r>
        <w:rPr>
          <w:rFonts w:ascii="Calibri" w:hAnsi="Calibri"/>
          <w:color w:val="001F60"/>
          <w:spacing w:val="-7"/>
        </w:rPr>
        <w:t xml:space="preserve"> </w:t>
      </w:r>
      <w:r>
        <w:rPr>
          <w:rFonts w:ascii="Calibri" w:hAnsi="Calibri"/>
          <w:color w:val="001F60"/>
        </w:rPr>
        <w:t>o</w:t>
      </w:r>
      <w:r>
        <w:rPr>
          <w:rFonts w:ascii="Calibri" w:hAnsi="Calibri"/>
          <w:color w:val="001F60"/>
          <w:spacing w:val="-3"/>
        </w:rPr>
        <w:t xml:space="preserve"> </w:t>
      </w:r>
      <w:r>
        <w:rPr>
          <w:rFonts w:ascii="Calibri" w:hAnsi="Calibri"/>
          <w:color w:val="001F60"/>
        </w:rPr>
        <w:t>arquipélago</w:t>
      </w:r>
      <w:r>
        <w:rPr>
          <w:rFonts w:ascii="Calibri" w:hAnsi="Calibri"/>
          <w:color w:val="001F60"/>
          <w:spacing w:val="-4"/>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Fernando</w:t>
      </w:r>
      <w:r>
        <w:rPr>
          <w:rFonts w:ascii="Calibri" w:hAnsi="Calibri"/>
          <w:color w:val="001F60"/>
          <w:spacing w:val="-3"/>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Noronha.</w:t>
      </w:r>
      <w:r>
        <w:rPr>
          <w:rFonts w:ascii="Calibri" w:hAnsi="Calibri"/>
          <w:color w:val="001F60"/>
          <w:spacing w:val="-6"/>
        </w:rPr>
        <w:t xml:space="preserve"> </w:t>
      </w:r>
      <w:r>
        <w:rPr>
          <w:rFonts w:ascii="Calibri" w:hAnsi="Calibri"/>
          <w:color w:val="001F60"/>
        </w:rPr>
        <w:t>Essa</w:t>
      </w:r>
      <w:r>
        <w:rPr>
          <w:rFonts w:ascii="Calibri" w:hAnsi="Calibri"/>
          <w:color w:val="001F60"/>
          <w:spacing w:val="-6"/>
        </w:rPr>
        <w:t xml:space="preserve"> </w:t>
      </w:r>
      <w:r>
        <w:rPr>
          <w:rFonts w:ascii="Calibri" w:hAnsi="Calibri"/>
          <w:color w:val="001F60"/>
        </w:rPr>
        <w:t>infraestrutura</w:t>
      </w:r>
      <w:r>
        <w:rPr>
          <w:rFonts w:ascii="Calibri" w:hAnsi="Calibri"/>
          <w:color w:val="001F60"/>
          <w:spacing w:val="-6"/>
        </w:rPr>
        <w:t xml:space="preserve"> </w:t>
      </w:r>
      <w:r>
        <w:rPr>
          <w:rFonts w:ascii="Calibri" w:hAnsi="Calibri"/>
          <w:color w:val="001F60"/>
        </w:rPr>
        <w:t>permite a oferta de internet de alta velocidade e tráfego de dados de forma segura e resiliente.</w:t>
      </w:r>
    </w:p>
    <w:p w14:paraId="6B1AD1EF" w14:textId="77777777" w:rsidR="002C6574" w:rsidRDefault="00000000">
      <w:pPr>
        <w:pStyle w:val="Corpodetexto"/>
        <w:spacing w:before="121"/>
        <w:ind w:left="709" w:right="277"/>
        <w:jc w:val="both"/>
        <w:rPr>
          <w:rFonts w:ascii="Calibri" w:hAnsi="Calibri"/>
        </w:rPr>
      </w:pPr>
      <w:r>
        <w:rPr>
          <w:rFonts w:ascii="Calibri" w:hAnsi="Calibri"/>
          <w:color w:val="001F60"/>
        </w:rPr>
        <w:t>O serviço também se destaca pelos elevados padrões de continuidade e segurança operacional, apoiados com cinco estações de acesso (</w:t>
      </w:r>
      <w:r>
        <w:rPr>
          <w:rFonts w:ascii="Arial" w:hAnsi="Arial"/>
          <w:i/>
          <w:color w:val="001F60"/>
        </w:rPr>
        <w:t>gateways</w:t>
      </w:r>
      <w:r>
        <w:rPr>
          <w:rFonts w:ascii="Calibri" w:hAnsi="Calibri"/>
          <w:color w:val="001F60"/>
        </w:rPr>
        <w:t xml:space="preserve">) localizadas em áreas militares brasileiras. Além </w:t>
      </w:r>
      <w:r>
        <w:rPr>
          <w:rFonts w:ascii="Calibri" w:hAnsi="Calibri"/>
          <w:color w:val="001F60"/>
          <w:spacing w:val="-2"/>
        </w:rPr>
        <w:t>disso,</w:t>
      </w:r>
      <w:r>
        <w:rPr>
          <w:rFonts w:ascii="Calibri" w:hAnsi="Calibri"/>
          <w:color w:val="001F60"/>
          <w:spacing w:val="-11"/>
        </w:rPr>
        <w:t xml:space="preserve"> </w:t>
      </w:r>
      <w:r>
        <w:rPr>
          <w:rFonts w:ascii="Calibri" w:hAnsi="Calibri"/>
          <w:color w:val="001F60"/>
          <w:spacing w:val="-2"/>
        </w:rPr>
        <w:t>a</w:t>
      </w:r>
      <w:r>
        <w:rPr>
          <w:rFonts w:ascii="Calibri" w:hAnsi="Calibri"/>
          <w:color w:val="001F60"/>
          <w:spacing w:val="-8"/>
        </w:rPr>
        <w:t xml:space="preserve"> </w:t>
      </w:r>
      <w:r>
        <w:rPr>
          <w:rFonts w:ascii="Calibri" w:hAnsi="Calibri"/>
          <w:color w:val="001F60"/>
          <w:spacing w:val="-2"/>
        </w:rPr>
        <w:t>Telebras</w:t>
      </w:r>
      <w:r>
        <w:rPr>
          <w:rFonts w:ascii="Calibri" w:hAnsi="Calibri"/>
          <w:color w:val="001F60"/>
          <w:spacing w:val="-10"/>
        </w:rPr>
        <w:t xml:space="preserve"> </w:t>
      </w:r>
      <w:r>
        <w:rPr>
          <w:rFonts w:ascii="Calibri" w:hAnsi="Calibri"/>
          <w:color w:val="001F60"/>
          <w:spacing w:val="-2"/>
        </w:rPr>
        <w:t>mantém</w:t>
      </w:r>
      <w:r>
        <w:rPr>
          <w:rFonts w:ascii="Calibri" w:hAnsi="Calibri"/>
          <w:color w:val="001F60"/>
          <w:spacing w:val="-4"/>
        </w:rPr>
        <w:t xml:space="preserve"> </w:t>
      </w:r>
      <w:r>
        <w:rPr>
          <w:rFonts w:ascii="Calibri" w:hAnsi="Calibri"/>
          <w:color w:val="001F60"/>
          <w:spacing w:val="-2"/>
        </w:rPr>
        <w:t>dois</w:t>
      </w:r>
      <w:r>
        <w:rPr>
          <w:rFonts w:ascii="Calibri" w:hAnsi="Calibri"/>
          <w:color w:val="001F60"/>
          <w:spacing w:val="-6"/>
        </w:rPr>
        <w:t xml:space="preserve"> </w:t>
      </w:r>
      <w:r>
        <w:rPr>
          <w:rFonts w:ascii="Calibri" w:hAnsi="Calibri"/>
          <w:color w:val="001F60"/>
          <w:spacing w:val="-2"/>
        </w:rPr>
        <w:t>centros</w:t>
      </w:r>
      <w:r>
        <w:rPr>
          <w:rFonts w:ascii="Calibri" w:hAnsi="Calibri"/>
          <w:color w:val="001F60"/>
          <w:spacing w:val="-4"/>
        </w:rPr>
        <w:t xml:space="preserve"> </w:t>
      </w:r>
      <w:r>
        <w:rPr>
          <w:rFonts w:ascii="Calibri" w:hAnsi="Calibri"/>
          <w:color w:val="001F60"/>
          <w:spacing w:val="-2"/>
        </w:rPr>
        <w:t>de</w:t>
      </w:r>
      <w:r>
        <w:rPr>
          <w:rFonts w:ascii="Calibri" w:hAnsi="Calibri"/>
          <w:color w:val="001F60"/>
          <w:spacing w:val="-9"/>
        </w:rPr>
        <w:t xml:space="preserve"> </w:t>
      </w:r>
      <w:r>
        <w:rPr>
          <w:rFonts w:ascii="Calibri" w:hAnsi="Calibri"/>
          <w:color w:val="001F60"/>
          <w:spacing w:val="-2"/>
        </w:rPr>
        <w:t>Operações</w:t>
      </w:r>
      <w:r>
        <w:rPr>
          <w:rFonts w:ascii="Calibri" w:hAnsi="Calibri"/>
          <w:color w:val="001F60"/>
          <w:spacing w:val="-7"/>
        </w:rPr>
        <w:t xml:space="preserve"> </w:t>
      </w:r>
      <w:r>
        <w:rPr>
          <w:rFonts w:ascii="Calibri" w:hAnsi="Calibri"/>
          <w:color w:val="001F60"/>
          <w:spacing w:val="-2"/>
        </w:rPr>
        <w:t>Espaciais</w:t>
      </w:r>
      <w:r>
        <w:rPr>
          <w:rFonts w:ascii="Calibri" w:hAnsi="Calibri"/>
          <w:color w:val="001F60"/>
          <w:spacing w:val="-6"/>
        </w:rPr>
        <w:t xml:space="preserve"> </w:t>
      </w:r>
      <w:r>
        <w:rPr>
          <w:rFonts w:ascii="Calibri" w:hAnsi="Calibri"/>
          <w:color w:val="001F60"/>
          <w:spacing w:val="-2"/>
        </w:rPr>
        <w:t>com</w:t>
      </w:r>
      <w:r>
        <w:rPr>
          <w:rFonts w:ascii="Calibri" w:hAnsi="Calibri"/>
          <w:color w:val="001F60"/>
          <w:spacing w:val="-8"/>
        </w:rPr>
        <w:t xml:space="preserve"> </w:t>
      </w:r>
      <w:r>
        <w:rPr>
          <w:rFonts w:ascii="Arial" w:hAnsi="Arial"/>
          <w:i/>
          <w:color w:val="001F60"/>
          <w:spacing w:val="-2"/>
        </w:rPr>
        <w:t>Datacenters</w:t>
      </w:r>
      <w:r>
        <w:rPr>
          <w:rFonts w:ascii="Arial" w:hAnsi="Arial"/>
          <w:i/>
          <w:color w:val="001F60"/>
          <w:spacing w:val="-14"/>
        </w:rPr>
        <w:t xml:space="preserve"> </w:t>
      </w:r>
      <w:r>
        <w:rPr>
          <w:rFonts w:ascii="Calibri" w:hAnsi="Calibri"/>
          <w:color w:val="001F60"/>
          <w:spacing w:val="-2"/>
        </w:rPr>
        <w:t>classificados</w:t>
      </w:r>
      <w:r>
        <w:rPr>
          <w:rFonts w:ascii="Calibri" w:hAnsi="Calibri"/>
          <w:color w:val="001F60"/>
          <w:spacing w:val="-9"/>
        </w:rPr>
        <w:t xml:space="preserve"> </w:t>
      </w:r>
      <w:r>
        <w:rPr>
          <w:rFonts w:ascii="Calibri" w:hAnsi="Calibri"/>
          <w:color w:val="001F60"/>
          <w:spacing w:val="-2"/>
        </w:rPr>
        <w:t>nos</w:t>
      </w:r>
      <w:r>
        <w:rPr>
          <w:rFonts w:ascii="Calibri" w:hAnsi="Calibri"/>
          <w:color w:val="001F60"/>
          <w:spacing w:val="-7"/>
        </w:rPr>
        <w:t xml:space="preserve"> </w:t>
      </w:r>
      <w:r>
        <w:rPr>
          <w:rFonts w:ascii="Calibri" w:hAnsi="Calibri"/>
          <w:color w:val="001F60"/>
          <w:spacing w:val="-2"/>
        </w:rPr>
        <w:t xml:space="preserve">níveis </w:t>
      </w:r>
      <w:r>
        <w:rPr>
          <w:rFonts w:ascii="Calibri" w:hAnsi="Calibri"/>
          <w:color w:val="001F60"/>
        </w:rPr>
        <w:t>TIER IV e TIER III, os mais elevados padrões de disponibilidade e segurança existentes no mercado.</w:t>
      </w:r>
    </w:p>
    <w:p w14:paraId="7EF49D21" w14:textId="77777777" w:rsidR="002C6574" w:rsidRDefault="00000000">
      <w:pPr>
        <w:pStyle w:val="Corpodetexto"/>
        <w:spacing w:before="121"/>
        <w:ind w:left="709"/>
        <w:jc w:val="both"/>
        <w:rPr>
          <w:rFonts w:ascii="Calibri"/>
        </w:rPr>
      </w:pPr>
      <w:r>
        <w:rPr>
          <w:rFonts w:ascii="Calibri"/>
          <w:color w:val="001F60"/>
        </w:rPr>
        <w:t>Link:</w:t>
      </w:r>
      <w:r>
        <w:rPr>
          <w:rFonts w:ascii="Calibri"/>
          <w:color w:val="001F60"/>
          <w:spacing w:val="-2"/>
        </w:rPr>
        <w:t xml:space="preserve"> </w:t>
      </w:r>
      <w:r>
        <w:rPr>
          <w:rFonts w:ascii="Calibri"/>
          <w:color w:val="0000FF"/>
          <w:u w:val="single" w:color="0000FF"/>
        </w:rPr>
        <w:t>Telebras</w:t>
      </w:r>
      <w:r>
        <w:rPr>
          <w:rFonts w:ascii="Calibri"/>
          <w:color w:val="0000FF"/>
          <w:spacing w:val="-3"/>
          <w:u w:val="single" w:color="0000FF"/>
        </w:rPr>
        <w:t xml:space="preserve"> </w:t>
      </w:r>
      <w:r>
        <w:rPr>
          <w:rFonts w:ascii="Calibri"/>
          <w:color w:val="0000FF"/>
          <w:spacing w:val="-5"/>
          <w:u w:val="single" w:color="0000FF"/>
        </w:rPr>
        <w:t>SAT</w:t>
      </w:r>
    </w:p>
    <w:p w14:paraId="093D0888" w14:textId="77777777" w:rsidR="002C6574" w:rsidRDefault="002C6574">
      <w:pPr>
        <w:pStyle w:val="Corpodetexto"/>
        <w:spacing w:before="237"/>
        <w:rPr>
          <w:rFonts w:ascii="Calibri"/>
        </w:rPr>
      </w:pPr>
    </w:p>
    <w:p w14:paraId="057D0188" w14:textId="77777777" w:rsidR="002C6574" w:rsidRDefault="00000000">
      <w:pPr>
        <w:spacing w:before="1"/>
        <w:ind w:left="709"/>
        <w:jc w:val="both"/>
        <w:rPr>
          <w:rFonts w:ascii="Calibri"/>
          <w:b/>
        </w:rPr>
      </w:pPr>
      <w:r>
        <w:rPr>
          <w:rFonts w:ascii="Calibri"/>
          <w:b/>
          <w:color w:val="001F60"/>
        </w:rPr>
        <w:t xml:space="preserve">IP </w:t>
      </w:r>
      <w:r>
        <w:rPr>
          <w:rFonts w:ascii="Calibri"/>
          <w:b/>
          <w:color w:val="001F60"/>
          <w:spacing w:val="-2"/>
        </w:rPr>
        <w:t>Telebras</w:t>
      </w:r>
    </w:p>
    <w:p w14:paraId="27B073C2" w14:textId="77777777" w:rsidR="002C6574" w:rsidRDefault="00000000">
      <w:pPr>
        <w:pStyle w:val="Corpodetexto"/>
        <w:spacing w:before="120"/>
        <w:ind w:left="709" w:right="277"/>
        <w:jc w:val="both"/>
        <w:rPr>
          <w:rFonts w:ascii="Calibri" w:hAnsi="Calibri"/>
        </w:rPr>
      </w:pPr>
      <w:r>
        <w:rPr>
          <w:rFonts w:ascii="Calibri" w:hAnsi="Calibri"/>
          <w:color w:val="001F60"/>
        </w:rPr>
        <w:t>É uma solução de conectividade ágil, segura e eficiente, destinada ao atendimento de demandas do mercado corporativo e institucional. A solução é ideal para provedores de internet, escolas, universidades, centros de pesquisa, hospitais, postos de atendimento, telecentros comunitários, escritórios</w:t>
      </w:r>
      <w:r>
        <w:rPr>
          <w:rFonts w:ascii="Calibri" w:hAnsi="Calibri"/>
          <w:color w:val="001F60"/>
          <w:spacing w:val="-2"/>
        </w:rPr>
        <w:t xml:space="preserve"> </w:t>
      </w:r>
      <w:r>
        <w:rPr>
          <w:rFonts w:ascii="Calibri" w:hAnsi="Calibri"/>
          <w:color w:val="001F60"/>
        </w:rPr>
        <w:t>regionais,</w:t>
      </w:r>
      <w:r>
        <w:rPr>
          <w:rFonts w:ascii="Calibri" w:hAnsi="Calibri"/>
          <w:color w:val="001F60"/>
          <w:spacing w:val="-2"/>
        </w:rPr>
        <w:t xml:space="preserve"> </w:t>
      </w:r>
      <w:r>
        <w:rPr>
          <w:rFonts w:ascii="Calibri" w:hAnsi="Calibri"/>
          <w:color w:val="001F60"/>
        </w:rPr>
        <w:t>entre</w:t>
      </w:r>
      <w:r>
        <w:rPr>
          <w:rFonts w:ascii="Calibri" w:hAnsi="Calibri"/>
          <w:color w:val="001F60"/>
          <w:spacing w:val="-4"/>
        </w:rPr>
        <w:t xml:space="preserve"> </w:t>
      </w:r>
      <w:r>
        <w:rPr>
          <w:rFonts w:ascii="Calibri" w:hAnsi="Calibri"/>
          <w:color w:val="001F60"/>
        </w:rPr>
        <w:t>outros.</w:t>
      </w:r>
      <w:r>
        <w:rPr>
          <w:rFonts w:ascii="Calibri" w:hAnsi="Calibri"/>
          <w:color w:val="001F60"/>
          <w:spacing w:val="-2"/>
        </w:rPr>
        <w:t xml:space="preserve"> </w:t>
      </w:r>
      <w:r>
        <w:rPr>
          <w:rFonts w:ascii="Calibri" w:hAnsi="Calibri"/>
          <w:color w:val="001F60"/>
        </w:rPr>
        <w:t>O</w:t>
      </w:r>
      <w:r>
        <w:rPr>
          <w:rFonts w:ascii="Calibri" w:hAnsi="Calibri"/>
          <w:color w:val="001F60"/>
          <w:spacing w:val="-2"/>
        </w:rPr>
        <w:t xml:space="preserve"> </w:t>
      </w:r>
      <w:r>
        <w:rPr>
          <w:rFonts w:ascii="Calibri" w:hAnsi="Calibri"/>
          <w:color w:val="001F60"/>
        </w:rPr>
        <w:t>serviço</w:t>
      </w:r>
      <w:r>
        <w:rPr>
          <w:rFonts w:ascii="Calibri" w:hAnsi="Calibri"/>
          <w:color w:val="001F60"/>
          <w:spacing w:val="-3"/>
        </w:rPr>
        <w:t xml:space="preserve"> </w:t>
      </w:r>
      <w:r>
        <w:rPr>
          <w:rFonts w:ascii="Calibri" w:hAnsi="Calibri"/>
          <w:color w:val="001F60"/>
        </w:rPr>
        <w:t>oferece</w:t>
      </w:r>
      <w:r>
        <w:rPr>
          <w:rFonts w:ascii="Calibri" w:hAnsi="Calibri"/>
          <w:color w:val="001F60"/>
          <w:spacing w:val="-4"/>
        </w:rPr>
        <w:t xml:space="preserve"> </w:t>
      </w:r>
      <w:r>
        <w:rPr>
          <w:rFonts w:ascii="Calibri" w:hAnsi="Calibri"/>
          <w:color w:val="001F60"/>
        </w:rPr>
        <w:t>conexão</w:t>
      </w:r>
      <w:r>
        <w:rPr>
          <w:rFonts w:ascii="Calibri" w:hAnsi="Calibri"/>
          <w:color w:val="001F60"/>
          <w:spacing w:val="-2"/>
        </w:rPr>
        <w:t xml:space="preserve"> </w:t>
      </w:r>
      <w:r>
        <w:rPr>
          <w:rFonts w:ascii="Calibri" w:hAnsi="Calibri"/>
          <w:color w:val="001F60"/>
        </w:rPr>
        <w:t>simétrica</w:t>
      </w:r>
      <w:r>
        <w:rPr>
          <w:rFonts w:ascii="Calibri" w:hAnsi="Calibri"/>
          <w:color w:val="001F60"/>
          <w:spacing w:val="-2"/>
        </w:rPr>
        <w:t xml:space="preserve"> </w:t>
      </w:r>
      <w:r>
        <w:rPr>
          <w:rFonts w:ascii="Calibri" w:hAnsi="Calibri"/>
          <w:color w:val="001F60"/>
        </w:rPr>
        <w:t>para</w:t>
      </w:r>
      <w:r>
        <w:rPr>
          <w:rFonts w:ascii="Calibri" w:hAnsi="Calibri"/>
          <w:color w:val="001F60"/>
          <w:spacing w:val="-2"/>
        </w:rPr>
        <w:t xml:space="preserve"> </w:t>
      </w:r>
      <w:r>
        <w:rPr>
          <w:rFonts w:ascii="Calibri" w:hAnsi="Calibri"/>
          <w:color w:val="001F60"/>
        </w:rPr>
        <w:t>download</w:t>
      </w:r>
      <w:r>
        <w:rPr>
          <w:rFonts w:ascii="Calibri" w:hAnsi="Calibri"/>
          <w:color w:val="001F60"/>
          <w:spacing w:val="-3"/>
        </w:rPr>
        <w:t xml:space="preserve"> </w:t>
      </w:r>
      <w:r>
        <w:rPr>
          <w:rFonts w:ascii="Calibri" w:hAnsi="Calibri"/>
          <w:color w:val="001F60"/>
        </w:rPr>
        <w:t>e</w:t>
      </w:r>
      <w:r>
        <w:rPr>
          <w:rFonts w:ascii="Calibri" w:hAnsi="Calibri"/>
          <w:color w:val="001F60"/>
          <w:spacing w:val="-2"/>
        </w:rPr>
        <w:t xml:space="preserve"> </w:t>
      </w:r>
      <w:r>
        <w:rPr>
          <w:rFonts w:ascii="Calibri" w:hAnsi="Calibri"/>
          <w:color w:val="001F60"/>
        </w:rPr>
        <w:t>upload,</w:t>
      </w:r>
      <w:r>
        <w:rPr>
          <w:rFonts w:ascii="Calibri" w:hAnsi="Calibri"/>
          <w:color w:val="001F60"/>
          <w:spacing w:val="-4"/>
        </w:rPr>
        <w:t xml:space="preserve"> </w:t>
      </w:r>
      <w:r>
        <w:rPr>
          <w:rFonts w:ascii="Calibri" w:hAnsi="Calibri"/>
          <w:color w:val="001F60"/>
        </w:rPr>
        <w:t>com possibilidade</w:t>
      </w:r>
      <w:r>
        <w:rPr>
          <w:rFonts w:ascii="Calibri" w:hAnsi="Calibri"/>
          <w:color w:val="001F60"/>
          <w:spacing w:val="-13"/>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alocação</w:t>
      </w:r>
      <w:r>
        <w:rPr>
          <w:rFonts w:ascii="Calibri" w:hAnsi="Calibri"/>
          <w:color w:val="001F60"/>
          <w:spacing w:val="-13"/>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endereços</w:t>
      </w:r>
      <w:r>
        <w:rPr>
          <w:rFonts w:ascii="Calibri" w:hAnsi="Calibri"/>
          <w:color w:val="001F60"/>
          <w:spacing w:val="-13"/>
        </w:rPr>
        <w:t xml:space="preserve"> </w:t>
      </w:r>
      <w:r>
        <w:rPr>
          <w:rFonts w:ascii="Calibri" w:hAnsi="Calibri"/>
          <w:color w:val="001F60"/>
        </w:rPr>
        <w:t>IP</w:t>
      </w:r>
      <w:r>
        <w:rPr>
          <w:rFonts w:ascii="Calibri" w:hAnsi="Calibri"/>
          <w:color w:val="001F60"/>
          <w:spacing w:val="-12"/>
        </w:rPr>
        <w:t xml:space="preserve"> </w:t>
      </w:r>
      <w:r>
        <w:rPr>
          <w:rFonts w:ascii="Calibri" w:hAnsi="Calibri"/>
          <w:color w:val="001F60"/>
        </w:rPr>
        <w:t>públicos.</w:t>
      </w:r>
      <w:r>
        <w:rPr>
          <w:rFonts w:ascii="Calibri" w:hAnsi="Calibri"/>
          <w:color w:val="001F60"/>
          <w:spacing w:val="-13"/>
        </w:rPr>
        <w:t xml:space="preserve"> </w:t>
      </w:r>
      <w:r>
        <w:rPr>
          <w:rFonts w:ascii="Calibri" w:hAnsi="Calibri"/>
          <w:color w:val="001F60"/>
        </w:rPr>
        <w:t>O</w:t>
      </w:r>
      <w:r>
        <w:rPr>
          <w:rFonts w:ascii="Calibri" w:hAnsi="Calibri"/>
          <w:color w:val="001F60"/>
          <w:spacing w:val="-12"/>
        </w:rPr>
        <w:t xml:space="preserve"> </w:t>
      </w:r>
      <w:r>
        <w:rPr>
          <w:rFonts w:ascii="Calibri" w:hAnsi="Calibri"/>
          <w:color w:val="001F60"/>
        </w:rPr>
        <w:t>cliente</w:t>
      </w:r>
      <w:r>
        <w:rPr>
          <w:rFonts w:ascii="Calibri" w:hAnsi="Calibri"/>
          <w:color w:val="001F60"/>
          <w:spacing w:val="-12"/>
        </w:rPr>
        <w:t xml:space="preserve"> </w:t>
      </w:r>
      <w:r>
        <w:rPr>
          <w:rFonts w:ascii="Calibri" w:hAnsi="Calibri"/>
          <w:color w:val="001F60"/>
        </w:rPr>
        <w:t>pode</w:t>
      </w:r>
      <w:r>
        <w:rPr>
          <w:rFonts w:ascii="Calibri" w:hAnsi="Calibri"/>
          <w:color w:val="001F60"/>
          <w:spacing w:val="-13"/>
        </w:rPr>
        <w:t xml:space="preserve"> </w:t>
      </w:r>
      <w:r>
        <w:rPr>
          <w:rFonts w:ascii="Calibri" w:hAnsi="Calibri"/>
          <w:color w:val="001F60"/>
        </w:rPr>
        <w:t>optar</w:t>
      </w:r>
      <w:r>
        <w:rPr>
          <w:rFonts w:ascii="Calibri" w:hAnsi="Calibri"/>
          <w:color w:val="001F60"/>
          <w:spacing w:val="-12"/>
        </w:rPr>
        <w:t xml:space="preserve"> </w:t>
      </w:r>
      <w:r>
        <w:rPr>
          <w:rFonts w:ascii="Calibri" w:hAnsi="Calibri"/>
          <w:color w:val="001F60"/>
        </w:rPr>
        <w:t>entre</w:t>
      </w:r>
      <w:r>
        <w:rPr>
          <w:rFonts w:ascii="Calibri" w:hAnsi="Calibri"/>
          <w:color w:val="001F60"/>
          <w:spacing w:val="-13"/>
        </w:rPr>
        <w:t xml:space="preserve"> </w:t>
      </w:r>
      <w:r>
        <w:rPr>
          <w:rFonts w:ascii="Calibri" w:hAnsi="Calibri"/>
          <w:color w:val="001F60"/>
        </w:rPr>
        <w:t>protocolos</w:t>
      </w:r>
      <w:r>
        <w:rPr>
          <w:rFonts w:ascii="Calibri" w:hAnsi="Calibri"/>
          <w:color w:val="001F60"/>
          <w:spacing w:val="-12"/>
        </w:rPr>
        <w:t xml:space="preserve"> </w:t>
      </w:r>
      <w:r>
        <w:rPr>
          <w:rFonts w:ascii="Calibri" w:hAnsi="Calibri"/>
          <w:color w:val="001F60"/>
        </w:rPr>
        <w:t>IPv4</w:t>
      </w:r>
      <w:r>
        <w:rPr>
          <w:rFonts w:ascii="Calibri" w:hAnsi="Calibri"/>
          <w:color w:val="001F60"/>
          <w:spacing w:val="-13"/>
        </w:rPr>
        <w:t xml:space="preserve"> </w:t>
      </w:r>
      <w:r>
        <w:rPr>
          <w:rFonts w:ascii="Calibri" w:hAnsi="Calibri"/>
          <w:color w:val="001F60"/>
        </w:rPr>
        <w:t>ou</w:t>
      </w:r>
      <w:r>
        <w:rPr>
          <w:rFonts w:ascii="Calibri" w:hAnsi="Calibri"/>
          <w:color w:val="001F60"/>
          <w:spacing w:val="-12"/>
        </w:rPr>
        <w:t xml:space="preserve"> </w:t>
      </w:r>
      <w:r>
        <w:rPr>
          <w:rFonts w:ascii="Calibri" w:hAnsi="Calibri"/>
          <w:color w:val="001F60"/>
        </w:rPr>
        <w:t>IPv6, com</w:t>
      </w:r>
      <w:r>
        <w:rPr>
          <w:rFonts w:ascii="Calibri" w:hAnsi="Calibri"/>
          <w:color w:val="001F60"/>
          <w:spacing w:val="-9"/>
        </w:rPr>
        <w:t xml:space="preserve"> </w:t>
      </w:r>
      <w:r>
        <w:rPr>
          <w:rFonts w:ascii="Calibri" w:hAnsi="Calibri"/>
          <w:color w:val="001F60"/>
        </w:rPr>
        <w:t>disponibilização</w:t>
      </w:r>
      <w:r>
        <w:rPr>
          <w:rFonts w:ascii="Calibri" w:hAnsi="Calibri"/>
          <w:color w:val="001F60"/>
          <w:spacing w:val="-8"/>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até</w:t>
      </w:r>
      <w:r>
        <w:rPr>
          <w:rFonts w:ascii="Calibri" w:hAnsi="Calibri"/>
          <w:color w:val="001F60"/>
          <w:spacing w:val="-13"/>
        </w:rPr>
        <w:t xml:space="preserve"> </w:t>
      </w:r>
      <w:r>
        <w:rPr>
          <w:rFonts w:ascii="Calibri" w:hAnsi="Calibri"/>
          <w:color w:val="001F60"/>
        </w:rPr>
        <w:t>280</w:t>
      </w:r>
      <w:r>
        <w:rPr>
          <w:rFonts w:ascii="Calibri" w:hAnsi="Calibri"/>
          <w:color w:val="001F60"/>
          <w:spacing w:val="-9"/>
        </w:rPr>
        <w:t xml:space="preserve"> </w:t>
      </w:r>
      <w:r>
        <w:rPr>
          <w:rFonts w:ascii="Calibri" w:hAnsi="Calibri"/>
          <w:color w:val="001F60"/>
        </w:rPr>
        <w:t>endereços</w:t>
      </w:r>
      <w:r>
        <w:rPr>
          <w:rFonts w:ascii="Calibri" w:hAnsi="Calibri"/>
          <w:color w:val="001F60"/>
          <w:spacing w:val="-8"/>
        </w:rPr>
        <w:t xml:space="preserve"> </w:t>
      </w:r>
      <w:r>
        <w:rPr>
          <w:rFonts w:ascii="Calibri" w:hAnsi="Calibri"/>
          <w:color w:val="001F60"/>
        </w:rPr>
        <w:t>IP,</w:t>
      </w:r>
      <w:r>
        <w:rPr>
          <w:rFonts w:ascii="Calibri" w:hAnsi="Calibri"/>
          <w:color w:val="001F60"/>
          <w:spacing w:val="-8"/>
        </w:rPr>
        <w:t xml:space="preserve"> </w:t>
      </w:r>
      <w:r>
        <w:rPr>
          <w:rFonts w:ascii="Calibri" w:hAnsi="Calibri"/>
          <w:color w:val="001F60"/>
        </w:rPr>
        <w:t>garantindo</w:t>
      </w:r>
      <w:r>
        <w:rPr>
          <w:rFonts w:ascii="Calibri" w:hAnsi="Calibri"/>
          <w:color w:val="001F60"/>
          <w:spacing w:val="-8"/>
        </w:rPr>
        <w:t xml:space="preserve"> </w:t>
      </w:r>
      <w:r>
        <w:rPr>
          <w:rFonts w:ascii="Calibri" w:hAnsi="Calibri"/>
          <w:color w:val="001F60"/>
        </w:rPr>
        <w:t>maior</w:t>
      </w:r>
      <w:r>
        <w:rPr>
          <w:rFonts w:ascii="Calibri" w:hAnsi="Calibri"/>
          <w:color w:val="001F60"/>
          <w:spacing w:val="-10"/>
        </w:rPr>
        <w:t xml:space="preserve"> </w:t>
      </w:r>
      <w:r>
        <w:rPr>
          <w:rFonts w:ascii="Calibri" w:hAnsi="Calibri"/>
          <w:color w:val="001F60"/>
        </w:rPr>
        <w:t>flexibilidade</w:t>
      </w:r>
      <w:r>
        <w:rPr>
          <w:rFonts w:ascii="Calibri" w:hAnsi="Calibri"/>
          <w:color w:val="001F60"/>
          <w:spacing w:val="-8"/>
        </w:rPr>
        <w:t xml:space="preserve"> </w:t>
      </w:r>
      <w:r>
        <w:rPr>
          <w:rFonts w:ascii="Calibri" w:hAnsi="Calibri"/>
          <w:color w:val="001F60"/>
        </w:rPr>
        <w:t>e</w:t>
      </w:r>
      <w:r>
        <w:rPr>
          <w:rFonts w:ascii="Calibri" w:hAnsi="Calibri"/>
          <w:color w:val="001F60"/>
          <w:spacing w:val="-8"/>
        </w:rPr>
        <w:t xml:space="preserve"> </w:t>
      </w:r>
      <w:r>
        <w:rPr>
          <w:rFonts w:ascii="Calibri" w:hAnsi="Calibri"/>
          <w:color w:val="001F60"/>
        </w:rPr>
        <w:t>segurança</w:t>
      </w:r>
      <w:r>
        <w:rPr>
          <w:rFonts w:ascii="Calibri" w:hAnsi="Calibri"/>
          <w:color w:val="001F60"/>
          <w:spacing w:val="-10"/>
        </w:rPr>
        <w:t xml:space="preserve"> </w:t>
      </w:r>
      <w:r>
        <w:rPr>
          <w:rFonts w:ascii="Calibri" w:hAnsi="Calibri"/>
          <w:color w:val="001F60"/>
        </w:rPr>
        <w:t>na</w:t>
      </w:r>
      <w:r>
        <w:rPr>
          <w:rFonts w:ascii="Calibri" w:hAnsi="Calibri"/>
          <w:color w:val="001F60"/>
          <w:spacing w:val="-8"/>
        </w:rPr>
        <w:t xml:space="preserve"> </w:t>
      </w:r>
      <w:r>
        <w:rPr>
          <w:rFonts w:ascii="Calibri" w:hAnsi="Calibri"/>
          <w:color w:val="001F60"/>
        </w:rPr>
        <w:t>gestão</w:t>
      </w:r>
      <w:r>
        <w:rPr>
          <w:rFonts w:ascii="Calibri" w:hAnsi="Calibri"/>
          <w:color w:val="001F60"/>
          <w:spacing w:val="-8"/>
        </w:rPr>
        <w:t xml:space="preserve"> </w:t>
      </w:r>
      <w:r>
        <w:rPr>
          <w:rFonts w:ascii="Calibri" w:hAnsi="Calibri"/>
          <w:color w:val="001F60"/>
        </w:rPr>
        <w:t xml:space="preserve">de </w:t>
      </w:r>
      <w:r>
        <w:rPr>
          <w:rFonts w:ascii="Calibri" w:hAnsi="Calibri"/>
          <w:color w:val="001F60"/>
          <w:spacing w:val="-2"/>
        </w:rPr>
        <w:t>redes.</w:t>
      </w:r>
    </w:p>
    <w:p w14:paraId="3755998B" w14:textId="77777777" w:rsidR="002C6574" w:rsidRDefault="00000000">
      <w:pPr>
        <w:pStyle w:val="Corpodetexto"/>
        <w:spacing w:before="122"/>
        <w:ind w:left="709"/>
        <w:jc w:val="both"/>
        <w:rPr>
          <w:rFonts w:ascii="Calibri"/>
        </w:rPr>
      </w:pPr>
      <w:r>
        <w:rPr>
          <w:rFonts w:ascii="Calibri"/>
          <w:color w:val="001F60"/>
        </w:rPr>
        <w:t>Link:</w:t>
      </w:r>
      <w:r>
        <w:rPr>
          <w:rFonts w:ascii="Calibri"/>
          <w:color w:val="001F60"/>
          <w:spacing w:val="-4"/>
        </w:rPr>
        <w:t xml:space="preserve"> </w:t>
      </w:r>
      <w:r>
        <w:rPr>
          <w:rFonts w:ascii="Calibri"/>
          <w:color w:val="0000FF"/>
          <w:u w:val="single" w:color="0000FF"/>
        </w:rPr>
        <w:t>IP</w:t>
      </w:r>
      <w:r>
        <w:rPr>
          <w:rFonts w:ascii="Calibri"/>
          <w:color w:val="0000FF"/>
          <w:spacing w:val="-1"/>
          <w:u w:val="single" w:color="0000FF"/>
        </w:rPr>
        <w:t xml:space="preserve"> </w:t>
      </w:r>
      <w:r>
        <w:rPr>
          <w:rFonts w:ascii="Calibri"/>
          <w:color w:val="0000FF"/>
          <w:spacing w:val="-2"/>
          <w:u w:val="single" w:color="0000FF"/>
        </w:rPr>
        <w:t>Telebras</w:t>
      </w:r>
    </w:p>
    <w:p w14:paraId="69F02895" w14:textId="77777777" w:rsidR="002C6574" w:rsidRDefault="002C6574">
      <w:pPr>
        <w:pStyle w:val="Corpodetexto"/>
        <w:spacing w:before="238"/>
        <w:rPr>
          <w:rFonts w:ascii="Calibri"/>
        </w:rPr>
      </w:pPr>
    </w:p>
    <w:p w14:paraId="3D51DA15" w14:textId="77777777" w:rsidR="002C6574" w:rsidRDefault="00000000">
      <w:pPr>
        <w:ind w:left="709"/>
        <w:jc w:val="both"/>
        <w:rPr>
          <w:rFonts w:ascii="Calibri" w:hAnsi="Calibri"/>
          <w:b/>
        </w:rPr>
      </w:pPr>
      <w:r>
        <w:rPr>
          <w:rFonts w:ascii="Calibri" w:hAnsi="Calibri"/>
          <w:b/>
          <w:color w:val="001F60"/>
        </w:rPr>
        <w:t>L3VPN</w:t>
      </w:r>
      <w:r>
        <w:rPr>
          <w:rFonts w:ascii="Calibri" w:hAnsi="Calibri"/>
          <w:b/>
          <w:color w:val="001F60"/>
          <w:spacing w:val="-4"/>
        </w:rPr>
        <w:t xml:space="preserve"> </w:t>
      </w:r>
      <w:r>
        <w:rPr>
          <w:rFonts w:ascii="Calibri" w:hAnsi="Calibri"/>
          <w:b/>
          <w:color w:val="001F60"/>
        </w:rPr>
        <w:t>–</w:t>
      </w:r>
      <w:r>
        <w:rPr>
          <w:rFonts w:ascii="Calibri" w:hAnsi="Calibri"/>
          <w:b/>
          <w:color w:val="001F60"/>
          <w:spacing w:val="1"/>
        </w:rPr>
        <w:t xml:space="preserve"> </w:t>
      </w:r>
      <w:r>
        <w:rPr>
          <w:rFonts w:ascii="Calibri" w:hAnsi="Calibri"/>
          <w:b/>
          <w:color w:val="001F60"/>
          <w:spacing w:val="-4"/>
        </w:rPr>
        <w:t>MPLS</w:t>
      </w:r>
    </w:p>
    <w:p w14:paraId="08283E6F" w14:textId="77777777" w:rsidR="002C6574" w:rsidRDefault="00000000">
      <w:pPr>
        <w:pStyle w:val="Corpodetexto"/>
        <w:spacing w:before="120"/>
        <w:ind w:left="709" w:right="278"/>
        <w:jc w:val="both"/>
        <w:rPr>
          <w:rFonts w:ascii="Calibri" w:hAnsi="Calibri"/>
        </w:rPr>
      </w:pPr>
      <w:r>
        <w:rPr>
          <w:rFonts w:ascii="Calibri" w:hAnsi="Calibri"/>
          <w:color w:val="001F60"/>
        </w:rPr>
        <w:t>A solução L3VPN-MPLS da Telebras possibilita a criação de redes privativas virtuais (VPNs) para cada cliente</w:t>
      </w:r>
      <w:r>
        <w:rPr>
          <w:rFonts w:ascii="Calibri" w:hAnsi="Calibri"/>
          <w:color w:val="001F60"/>
          <w:spacing w:val="-13"/>
        </w:rPr>
        <w:t xml:space="preserve"> </w:t>
      </w:r>
      <w:r>
        <w:rPr>
          <w:rFonts w:ascii="Calibri" w:hAnsi="Calibri"/>
          <w:color w:val="001F60"/>
        </w:rPr>
        <w:t>adicionado</w:t>
      </w:r>
      <w:r>
        <w:rPr>
          <w:rFonts w:ascii="Calibri" w:hAnsi="Calibri"/>
          <w:color w:val="001F60"/>
          <w:spacing w:val="-8"/>
        </w:rPr>
        <w:t xml:space="preserve"> </w:t>
      </w:r>
      <w:r>
        <w:rPr>
          <w:rFonts w:ascii="Calibri" w:hAnsi="Calibri"/>
          <w:color w:val="001F60"/>
        </w:rPr>
        <w:t>à</w:t>
      </w:r>
      <w:r>
        <w:rPr>
          <w:rFonts w:ascii="Calibri" w:hAnsi="Calibri"/>
          <w:color w:val="001F60"/>
          <w:spacing w:val="-13"/>
        </w:rPr>
        <w:t xml:space="preserve"> </w:t>
      </w:r>
      <w:r>
        <w:rPr>
          <w:rFonts w:ascii="Calibri" w:hAnsi="Calibri"/>
          <w:color w:val="001F60"/>
        </w:rPr>
        <w:t>rede,</w:t>
      </w:r>
      <w:r>
        <w:rPr>
          <w:rFonts w:ascii="Calibri" w:hAnsi="Calibri"/>
          <w:color w:val="001F60"/>
          <w:spacing w:val="-8"/>
        </w:rPr>
        <w:t xml:space="preserve"> </w:t>
      </w:r>
      <w:r>
        <w:rPr>
          <w:rFonts w:ascii="Calibri" w:hAnsi="Calibri"/>
          <w:color w:val="001F60"/>
        </w:rPr>
        <w:t>garantindo</w:t>
      </w:r>
      <w:r>
        <w:rPr>
          <w:rFonts w:ascii="Calibri" w:hAnsi="Calibri"/>
          <w:color w:val="001F60"/>
          <w:spacing w:val="-11"/>
        </w:rPr>
        <w:t xml:space="preserve"> </w:t>
      </w:r>
      <w:r>
        <w:rPr>
          <w:rFonts w:ascii="Calibri" w:hAnsi="Calibri"/>
          <w:color w:val="001F60"/>
        </w:rPr>
        <w:t>o</w:t>
      </w:r>
      <w:r>
        <w:rPr>
          <w:rFonts w:ascii="Calibri" w:hAnsi="Calibri"/>
          <w:color w:val="001F60"/>
          <w:spacing w:val="-9"/>
        </w:rPr>
        <w:t xml:space="preserve"> </w:t>
      </w:r>
      <w:r>
        <w:rPr>
          <w:rFonts w:ascii="Calibri" w:hAnsi="Calibri"/>
          <w:color w:val="001F60"/>
        </w:rPr>
        <w:t>isolamento</w:t>
      </w:r>
      <w:r>
        <w:rPr>
          <w:rFonts w:ascii="Calibri" w:hAnsi="Calibri"/>
          <w:color w:val="001F60"/>
          <w:spacing w:val="-13"/>
        </w:rPr>
        <w:t xml:space="preserve"> </w:t>
      </w:r>
      <w:r>
        <w:rPr>
          <w:rFonts w:ascii="Calibri" w:hAnsi="Calibri"/>
          <w:color w:val="001F60"/>
        </w:rPr>
        <w:t>completo</w:t>
      </w:r>
      <w:r>
        <w:rPr>
          <w:rFonts w:ascii="Calibri" w:hAnsi="Calibri"/>
          <w:color w:val="001F60"/>
          <w:spacing w:val="-10"/>
        </w:rPr>
        <w:t xml:space="preserve"> </w:t>
      </w:r>
      <w:r>
        <w:rPr>
          <w:rFonts w:ascii="Calibri" w:hAnsi="Calibri"/>
          <w:color w:val="001F60"/>
        </w:rPr>
        <w:t>das</w:t>
      </w:r>
      <w:r>
        <w:rPr>
          <w:rFonts w:ascii="Calibri" w:hAnsi="Calibri"/>
          <w:color w:val="001F60"/>
          <w:spacing w:val="-9"/>
        </w:rPr>
        <w:t xml:space="preserve"> </w:t>
      </w:r>
      <w:r>
        <w:rPr>
          <w:rFonts w:ascii="Calibri" w:hAnsi="Calibri"/>
          <w:color w:val="001F60"/>
        </w:rPr>
        <w:t>informações</w:t>
      </w:r>
      <w:r>
        <w:rPr>
          <w:rFonts w:ascii="Calibri" w:hAnsi="Calibri"/>
          <w:color w:val="001F60"/>
          <w:spacing w:val="-9"/>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cada</w:t>
      </w:r>
      <w:r>
        <w:rPr>
          <w:rFonts w:ascii="Calibri" w:hAnsi="Calibri"/>
          <w:color w:val="001F60"/>
          <w:spacing w:val="-10"/>
        </w:rPr>
        <w:t xml:space="preserve"> </w:t>
      </w:r>
      <w:r>
        <w:rPr>
          <w:rFonts w:ascii="Calibri" w:hAnsi="Calibri"/>
          <w:color w:val="001F60"/>
        </w:rPr>
        <w:t>VPN</w:t>
      </w:r>
      <w:r>
        <w:rPr>
          <w:rFonts w:ascii="Calibri" w:hAnsi="Calibri"/>
          <w:color w:val="001F60"/>
          <w:spacing w:val="-12"/>
        </w:rPr>
        <w:t xml:space="preserve"> </w:t>
      </w:r>
      <w:r>
        <w:rPr>
          <w:rFonts w:ascii="Calibri" w:hAnsi="Calibri"/>
          <w:color w:val="001F60"/>
        </w:rPr>
        <w:t>em</w:t>
      </w:r>
      <w:r>
        <w:rPr>
          <w:rFonts w:ascii="Calibri" w:hAnsi="Calibri"/>
          <w:color w:val="001F60"/>
          <w:spacing w:val="-11"/>
        </w:rPr>
        <w:t xml:space="preserve"> </w:t>
      </w:r>
      <w:r>
        <w:rPr>
          <w:rFonts w:ascii="Calibri" w:hAnsi="Calibri"/>
          <w:color w:val="001F60"/>
        </w:rPr>
        <w:t xml:space="preserve">relação a outras VPNs, a outros clientes e à internet, dentro do </w:t>
      </w:r>
      <w:r>
        <w:rPr>
          <w:rFonts w:ascii="Arial" w:hAnsi="Arial"/>
          <w:i/>
          <w:color w:val="001F60"/>
        </w:rPr>
        <w:t>Backbone</w:t>
      </w:r>
      <w:r>
        <w:rPr>
          <w:rFonts w:ascii="Arial" w:hAnsi="Arial"/>
          <w:i/>
          <w:color w:val="001F60"/>
          <w:spacing w:val="-9"/>
        </w:rPr>
        <w:t xml:space="preserve"> </w:t>
      </w:r>
      <w:r>
        <w:rPr>
          <w:rFonts w:ascii="Calibri" w:hAnsi="Calibri"/>
          <w:color w:val="001F60"/>
        </w:rPr>
        <w:t>IP Telebras.</w:t>
      </w:r>
    </w:p>
    <w:p w14:paraId="0AEFE3E5" w14:textId="77777777" w:rsidR="002C6574" w:rsidRDefault="00000000">
      <w:pPr>
        <w:pStyle w:val="Corpodetexto"/>
        <w:spacing w:before="121"/>
        <w:ind w:left="709" w:right="276"/>
        <w:jc w:val="both"/>
        <w:rPr>
          <w:rFonts w:ascii="Calibri" w:hAnsi="Calibri"/>
        </w:rPr>
      </w:pPr>
      <w:r>
        <w:rPr>
          <w:rFonts w:ascii="Calibri" w:hAnsi="Calibri"/>
          <w:color w:val="001F60"/>
        </w:rPr>
        <w:t>Baseada na tecnologia</w:t>
      </w:r>
      <w:r>
        <w:rPr>
          <w:rFonts w:ascii="Calibri" w:hAnsi="Calibri"/>
          <w:color w:val="001F60"/>
          <w:spacing w:val="-13"/>
        </w:rPr>
        <w:t xml:space="preserve"> </w:t>
      </w:r>
      <w:r>
        <w:rPr>
          <w:rFonts w:ascii="Arial" w:hAnsi="Arial"/>
          <w:i/>
          <w:color w:val="001F60"/>
        </w:rPr>
        <w:t>Multi Protocol Label Switching</w:t>
      </w:r>
      <w:r>
        <w:rPr>
          <w:rFonts w:ascii="Arial" w:hAnsi="Arial"/>
          <w:i/>
          <w:color w:val="001F60"/>
          <w:spacing w:val="-16"/>
        </w:rPr>
        <w:t xml:space="preserve"> </w:t>
      </w:r>
      <w:r>
        <w:rPr>
          <w:rFonts w:ascii="Calibri" w:hAnsi="Calibri"/>
          <w:color w:val="001F60"/>
        </w:rPr>
        <w:t xml:space="preserve">(MPLS), a solução combina a inteligência do roteamento com o desempenho da comutação, permitindo a convergência de redes para integrar </w:t>
      </w:r>
      <w:r>
        <w:rPr>
          <w:rFonts w:ascii="Calibri" w:hAnsi="Calibri"/>
          <w:color w:val="001F60"/>
          <w:spacing w:val="-2"/>
        </w:rPr>
        <w:t>aplicações</w:t>
      </w:r>
      <w:r>
        <w:rPr>
          <w:rFonts w:ascii="Calibri" w:hAnsi="Calibri"/>
          <w:color w:val="001F60"/>
          <w:spacing w:val="-4"/>
        </w:rPr>
        <w:t xml:space="preserve"> </w:t>
      </w:r>
      <w:r>
        <w:rPr>
          <w:rFonts w:ascii="Calibri" w:hAnsi="Calibri"/>
          <w:color w:val="001F60"/>
          <w:spacing w:val="-2"/>
        </w:rPr>
        <w:t>de</w:t>
      </w:r>
      <w:r>
        <w:rPr>
          <w:rFonts w:ascii="Calibri" w:hAnsi="Calibri"/>
          <w:color w:val="001F60"/>
          <w:spacing w:val="-1"/>
        </w:rPr>
        <w:t xml:space="preserve"> </w:t>
      </w:r>
      <w:r>
        <w:rPr>
          <w:rFonts w:ascii="Calibri" w:hAnsi="Calibri"/>
          <w:color w:val="001F60"/>
          <w:spacing w:val="-2"/>
        </w:rPr>
        <w:t>dados,</w:t>
      </w:r>
      <w:r>
        <w:rPr>
          <w:rFonts w:ascii="Calibri" w:hAnsi="Calibri"/>
          <w:color w:val="001F60"/>
          <w:spacing w:val="-8"/>
        </w:rPr>
        <w:t xml:space="preserve"> </w:t>
      </w:r>
      <w:r>
        <w:rPr>
          <w:rFonts w:ascii="Calibri" w:hAnsi="Calibri"/>
          <w:color w:val="001F60"/>
          <w:spacing w:val="-2"/>
        </w:rPr>
        <w:t>voz</w:t>
      </w:r>
      <w:r>
        <w:rPr>
          <w:rFonts w:ascii="Calibri" w:hAnsi="Calibri"/>
          <w:color w:val="001F60"/>
          <w:spacing w:val="-7"/>
        </w:rPr>
        <w:t xml:space="preserve"> </w:t>
      </w:r>
      <w:r>
        <w:rPr>
          <w:rFonts w:ascii="Calibri" w:hAnsi="Calibri"/>
          <w:color w:val="001F60"/>
          <w:spacing w:val="-2"/>
        </w:rPr>
        <w:t>e</w:t>
      </w:r>
      <w:r>
        <w:rPr>
          <w:rFonts w:ascii="Calibri" w:hAnsi="Calibri"/>
          <w:color w:val="001F60"/>
          <w:spacing w:val="-5"/>
        </w:rPr>
        <w:t xml:space="preserve"> </w:t>
      </w:r>
      <w:r>
        <w:rPr>
          <w:rFonts w:ascii="Calibri" w:hAnsi="Calibri"/>
          <w:color w:val="001F60"/>
          <w:spacing w:val="-2"/>
        </w:rPr>
        <w:t>vídeo,</w:t>
      </w:r>
      <w:r>
        <w:rPr>
          <w:rFonts w:ascii="Calibri" w:hAnsi="Calibri"/>
          <w:color w:val="001F60"/>
          <w:spacing w:val="-6"/>
        </w:rPr>
        <w:t xml:space="preserve"> </w:t>
      </w:r>
      <w:r>
        <w:rPr>
          <w:rFonts w:ascii="Calibri" w:hAnsi="Calibri"/>
          <w:color w:val="001F60"/>
          <w:spacing w:val="-2"/>
        </w:rPr>
        <w:t>utilizando</w:t>
      </w:r>
      <w:r>
        <w:rPr>
          <w:rFonts w:ascii="Calibri" w:hAnsi="Calibri"/>
          <w:color w:val="001F60"/>
          <w:spacing w:val="-4"/>
        </w:rPr>
        <w:t xml:space="preserve"> </w:t>
      </w:r>
      <w:r>
        <w:rPr>
          <w:rFonts w:ascii="Calibri" w:hAnsi="Calibri"/>
          <w:color w:val="001F60"/>
          <w:spacing w:val="-2"/>
        </w:rPr>
        <w:t>classes</w:t>
      </w:r>
      <w:r>
        <w:rPr>
          <w:rFonts w:ascii="Calibri" w:hAnsi="Calibri"/>
          <w:color w:val="001F60"/>
          <w:spacing w:val="-5"/>
        </w:rPr>
        <w:t xml:space="preserve"> </w:t>
      </w:r>
      <w:r>
        <w:rPr>
          <w:rFonts w:ascii="Calibri" w:hAnsi="Calibri"/>
          <w:color w:val="001F60"/>
          <w:spacing w:val="-2"/>
        </w:rPr>
        <w:t>de</w:t>
      </w:r>
      <w:r>
        <w:rPr>
          <w:rFonts w:ascii="Calibri" w:hAnsi="Calibri"/>
          <w:color w:val="001F60"/>
          <w:spacing w:val="-7"/>
        </w:rPr>
        <w:t xml:space="preserve"> </w:t>
      </w:r>
      <w:r>
        <w:rPr>
          <w:rFonts w:ascii="Calibri" w:hAnsi="Calibri"/>
          <w:color w:val="001F60"/>
          <w:spacing w:val="-2"/>
        </w:rPr>
        <w:t>serviço diferenciadas</w:t>
      </w:r>
      <w:r>
        <w:rPr>
          <w:rFonts w:ascii="Calibri" w:hAnsi="Calibri"/>
          <w:color w:val="001F60"/>
          <w:spacing w:val="-8"/>
        </w:rPr>
        <w:t xml:space="preserve"> </w:t>
      </w:r>
      <w:r>
        <w:rPr>
          <w:rFonts w:ascii="Calibri" w:hAnsi="Calibri"/>
          <w:color w:val="001F60"/>
          <w:spacing w:val="-2"/>
        </w:rPr>
        <w:t>e uma</w:t>
      </w:r>
      <w:r>
        <w:rPr>
          <w:rFonts w:ascii="Calibri" w:hAnsi="Calibri"/>
          <w:color w:val="001F60"/>
          <w:spacing w:val="-5"/>
        </w:rPr>
        <w:t xml:space="preserve"> </w:t>
      </w:r>
      <w:r>
        <w:rPr>
          <w:rFonts w:ascii="Calibri" w:hAnsi="Calibri"/>
          <w:color w:val="001F60"/>
          <w:spacing w:val="-2"/>
        </w:rPr>
        <w:t>única</w:t>
      </w:r>
      <w:r>
        <w:rPr>
          <w:rFonts w:ascii="Calibri" w:hAnsi="Calibri"/>
          <w:color w:val="001F60"/>
          <w:spacing w:val="-5"/>
        </w:rPr>
        <w:t xml:space="preserve"> </w:t>
      </w:r>
      <w:r>
        <w:rPr>
          <w:rFonts w:ascii="Calibri" w:hAnsi="Calibri"/>
          <w:color w:val="001F60"/>
          <w:spacing w:val="-2"/>
        </w:rPr>
        <w:t>infraestrutura.</w:t>
      </w:r>
    </w:p>
    <w:p w14:paraId="30068B2E" w14:textId="77777777" w:rsidR="002C6574" w:rsidRDefault="00000000">
      <w:pPr>
        <w:pStyle w:val="Corpodetexto"/>
        <w:spacing w:before="120"/>
        <w:ind w:left="709" w:right="277"/>
        <w:jc w:val="both"/>
        <w:rPr>
          <w:rFonts w:ascii="Calibri" w:hAnsi="Calibri"/>
        </w:rPr>
      </w:pPr>
      <w:r>
        <w:rPr>
          <w:rFonts w:ascii="Calibri" w:hAnsi="Calibri"/>
          <w:color w:val="001F60"/>
        </w:rPr>
        <w:t>Com a solução L3VPN-MPLS, é possível oferecer diversos serviços agregados em uma rede privativa virtual, otimizando a comunicação entre os pontos de um órgão ou entidade. Entre os principais benefícios destacam-se:</w:t>
      </w:r>
    </w:p>
    <w:p w14:paraId="06162607" w14:textId="77777777" w:rsidR="002C6574" w:rsidRDefault="00000000">
      <w:pPr>
        <w:pStyle w:val="PargrafodaLista"/>
        <w:numPr>
          <w:ilvl w:val="0"/>
          <w:numId w:val="65"/>
        </w:numPr>
        <w:tabs>
          <w:tab w:val="left" w:pos="1428"/>
        </w:tabs>
        <w:spacing w:before="119"/>
        <w:ind w:left="1428" w:hanging="359"/>
        <w:jc w:val="both"/>
      </w:pPr>
      <w:r>
        <w:rPr>
          <w:color w:val="001F60"/>
        </w:rPr>
        <w:t>Redução</w:t>
      </w:r>
      <w:r>
        <w:rPr>
          <w:color w:val="001F60"/>
          <w:spacing w:val="-5"/>
        </w:rPr>
        <w:t xml:space="preserve"> </w:t>
      </w:r>
      <w:r>
        <w:rPr>
          <w:color w:val="001F60"/>
        </w:rPr>
        <w:t>de</w:t>
      </w:r>
      <w:r>
        <w:rPr>
          <w:color w:val="001F60"/>
          <w:spacing w:val="-3"/>
        </w:rPr>
        <w:t xml:space="preserve"> </w:t>
      </w:r>
      <w:r>
        <w:rPr>
          <w:color w:val="001F60"/>
        </w:rPr>
        <w:t>investimento</w:t>
      </w:r>
      <w:r>
        <w:rPr>
          <w:color w:val="001F60"/>
          <w:spacing w:val="-4"/>
        </w:rPr>
        <w:t xml:space="preserve"> </w:t>
      </w:r>
      <w:r>
        <w:rPr>
          <w:color w:val="001F60"/>
        </w:rPr>
        <w:t>em</w:t>
      </w:r>
      <w:r>
        <w:rPr>
          <w:color w:val="001F60"/>
          <w:spacing w:val="-1"/>
        </w:rPr>
        <w:t xml:space="preserve"> </w:t>
      </w:r>
      <w:r>
        <w:rPr>
          <w:color w:val="001F60"/>
        </w:rPr>
        <w:t>ativos</w:t>
      </w:r>
      <w:r>
        <w:rPr>
          <w:color w:val="001F60"/>
          <w:spacing w:val="-2"/>
        </w:rPr>
        <w:t xml:space="preserve"> tecnológicos;</w:t>
      </w:r>
    </w:p>
    <w:p w14:paraId="1ABD8481" w14:textId="77777777" w:rsidR="002C6574" w:rsidRDefault="00000000">
      <w:pPr>
        <w:pStyle w:val="PargrafodaLista"/>
        <w:numPr>
          <w:ilvl w:val="0"/>
          <w:numId w:val="65"/>
        </w:numPr>
        <w:tabs>
          <w:tab w:val="left" w:pos="1428"/>
        </w:tabs>
        <w:spacing w:before="119"/>
        <w:ind w:left="1428" w:hanging="359"/>
        <w:jc w:val="both"/>
      </w:pPr>
      <w:r>
        <w:rPr>
          <w:color w:val="001F60"/>
        </w:rPr>
        <w:t>Gestão</w:t>
      </w:r>
      <w:r>
        <w:rPr>
          <w:color w:val="001F60"/>
          <w:spacing w:val="-6"/>
        </w:rPr>
        <w:t xml:space="preserve"> </w:t>
      </w:r>
      <w:r>
        <w:rPr>
          <w:color w:val="001F60"/>
        </w:rPr>
        <w:t>do</w:t>
      </w:r>
      <w:r>
        <w:rPr>
          <w:color w:val="001F60"/>
          <w:spacing w:val="-2"/>
        </w:rPr>
        <w:t xml:space="preserve"> </w:t>
      </w:r>
      <w:r>
        <w:rPr>
          <w:color w:val="001F60"/>
        </w:rPr>
        <w:t>tráfego</w:t>
      </w:r>
      <w:r>
        <w:rPr>
          <w:color w:val="001F60"/>
          <w:spacing w:val="-4"/>
        </w:rPr>
        <w:t xml:space="preserve"> </w:t>
      </w:r>
      <w:r>
        <w:rPr>
          <w:color w:val="001F60"/>
        </w:rPr>
        <w:t>de</w:t>
      </w:r>
      <w:r>
        <w:rPr>
          <w:color w:val="001F60"/>
          <w:spacing w:val="-1"/>
        </w:rPr>
        <w:t xml:space="preserve"> </w:t>
      </w:r>
      <w:r>
        <w:rPr>
          <w:color w:val="001F60"/>
        </w:rPr>
        <w:t>dados</w:t>
      </w:r>
      <w:r>
        <w:rPr>
          <w:color w:val="001F60"/>
          <w:spacing w:val="-4"/>
        </w:rPr>
        <w:t xml:space="preserve"> </w:t>
      </w:r>
      <w:r>
        <w:rPr>
          <w:color w:val="001F60"/>
        </w:rPr>
        <w:t>com</w:t>
      </w:r>
      <w:r>
        <w:rPr>
          <w:color w:val="001F60"/>
          <w:spacing w:val="-4"/>
        </w:rPr>
        <w:t xml:space="preserve"> </w:t>
      </w:r>
      <w:r>
        <w:rPr>
          <w:color w:val="001F60"/>
        </w:rPr>
        <w:t>autonomia</w:t>
      </w:r>
      <w:r>
        <w:rPr>
          <w:color w:val="001F60"/>
          <w:spacing w:val="-4"/>
        </w:rPr>
        <w:t xml:space="preserve"> </w:t>
      </w:r>
      <w:r>
        <w:rPr>
          <w:color w:val="001F60"/>
        </w:rPr>
        <w:t>para</w:t>
      </w:r>
      <w:r>
        <w:rPr>
          <w:color w:val="001F60"/>
          <w:spacing w:val="-4"/>
        </w:rPr>
        <w:t xml:space="preserve"> </w:t>
      </w:r>
      <w:r>
        <w:rPr>
          <w:color w:val="001F60"/>
        </w:rPr>
        <w:t>aplicações</w:t>
      </w:r>
      <w:r>
        <w:rPr>
          <w:color w:val="001F60"/>
          <w:spacing w:val="-3"/>
        </w:rPr>
        <w:t xml:space="preserve"> </w:t>
      </w:r>
      <w:r>
        <w:rPr>
          <w:color w:val="001F60"/>
          <w:spacing w:val="-2"/>
        </w:rPr>
        <w:t>prioritárias;</w:t>
      </w:r>
    </w:p>
    <w:p w14:paraId="739117E9" w14:textId="77777777" w:rsidR="002C6574" w:rsidRDefault="00000000">
      <w:pPr>
        <w:pStyle w:val="PargrafodaLista"/>
        <w:numPr>
          <w:ilvl w:val="0"/>
          <w:numId w:val="65"/>
        </w:numPr>
        <w:tabs>
          <w:tab w:val="left" w:pos="1429"/>
        </w:tabs>
        <w:spacing w:before="119"/>
        <w:ind w:right="278"/>
        <w:jc w:val="both"/>
        <w:rPr>
          <w:rFonts w:ascii="Arial" w:hAnsi="Arial"/>
          <w:i/>
        </w:rPr>
      </w:pPr>
      <w:r>
        <w:rPr>
          <w:color w:val="001F60"/>
        </w:rPr>
        <w:t xml:space="preserve">Transporte de aplicações críticas com alto desempenho, incluindo aplicações multimídia, como videoconferência, </w:t>
      </w:r>
      <w:r>
        <w:rPr>
          <w:rFonts w:ascii="Arial" w:hAnsi="Arial"/>
          <w:i/>
          <w:color w:val="001F60"/>
        </w:rPr>
        <w:t>e-learning; e</w:t>
      </w:r>
    </w:p>
    <w:p w14:paraId="204F37B0" w14:textId="77777777" w:rsidR="002C6574" w:rsidRDefault="00000000">
      <w:pPr>
        <w:pStyle w:val="PargrafodaLista"/>
        <w:numPr>
          <w:ilvl w:val="0"/>
          <w:numId w:val="65"/>
        </w:numPr>
        <w:tabs>
          <w:tab w:val="left" w:pos="1429"/>
        </w:tabs>
        <w:spacing w:before="120"/>
        <w:ind w:right="278"/>
        <w:jc w:val="both"/>
      </w:pPr>
      <w:r>
        <w:rPr>
          <w:color w:val="001F60"/>
        </w:rPr>
        <w:t xml:space="preserve">Simplificação na formação de VPNs com Qualidade de Serviço (QoS) e classes de serviço </w:t>
      </w:r>
      <w:r>
        <w:rPr>
          <w:color w:val="001F60"/>
          <w:spacing w:val="-2"/>
        </w:rPr>
        <w:t>diferenciadas.</w:t>
      </w:r>
    </w:p>
    <w:p w14:paraId="1A182019" w14:textId="77777777" w:rsidR="002C6574" w:rsidRDefault="00000000">
      <w:pPr>
        <w:pStyle w:val="Corpodetexto"/>
        <w:spacing w:before="119"/>
        <w:ind w:left="709"/>
        <w:jc w:val="both"/>
        <w:rPr>
          <w:rFonts w:ascii="Calibri"/>
        </w:rPr>
      </w:pPr>
      <w:r>
        <w:rPr>
          <w:rFonts w:ascii="Calibri"/>
          <w:color w:val="001F60"/>
        </w:rPr>
        <w:t>Link:</w:t>
      </w:r>
      <w:r>
        <w:rPr>
          <w:rFonts w:ascii="Calibri"/>
          <w:color w:val="001F60"/>
          <w:spacing w:val="-4"/>
        </w:rPr>
        <w:t xml:space="preserve"> </w:t>
      </w:r>
      <w:r>
        <w:rPr>
          <w:rFonts w:ascii="Calibri"/>
          <w:color w:val="0000FF"/>
          <w:u w:val="single" w:color="0000FF"/>
        </w:rPr>
        <w:t>L3VPN-</w:t>
      </w:r>
      <w:r>
        <w:rPr>
          <w:rFonts w:ascii="Calibri"/>
          <w:color w:val="0000FF"/>
          <w:spacing w:val="-4"/>
          <w:u w:val="single" w:color="0000FF"/>
        </w:rPr>
        <w:t>MPLS</w:t>
      </w:r>
    </w:p>
    <w:p w14:paraId="2A942BA9" w14:textId="77777777" w:rsidR="002C6574" w:rsidRDefault="002C6574">
      <w:pPr>
        <w:pStyle w:val="Corpodetexto"/>
        <w:jc w:val="both"/>
        <w:rPr>
          <w:rFonts w:ascii="Calibri"/>
        </w:rPr>
        <w:sectPr w:rsidR="002C6574">
          <w:headerReference w:type="default" r:id="rId26"/>
          <w:footerReference w:type="default" r:id="rId27"/>
          <w:pgSz w:w="11910" w:h="16840"/>
          <w:pgMar w:top="1160" w:right="850" w:bottom="740" w:left="992" w:header="312" w:footer="542" w:gutter="0"/>
          <w:pgNumType w:start="1"/>
          <w:cols w:space="720"/>
        </w:sectPr>
      </w:pPr>
    </w:p>
    <w:p w14:paraId="115BBE4D" w14:textId="77777777" w:rsidR="002C6574" w:rsidRDefault="002C6574">
      <w:pPr>
        <w:pStyle w:val="Corpodetexto"/>
        <w:spacing w:before="263"/>
        <w:rPr>
          <w:rFonts w:ascii="Calibri"/>
        </w:rPr>
      </w:pPr>
    </w:p>
    <w:p w14:paraId="07A04387" w14:textId="77777777" w:rsidR="002C6574" w:rsidRDefault="00000000">
      <w:pPr>
        <w:ind w:left="709"/>
        <w:jc w:val="both"/>
        <w:rPr>
          <w:rFonts w:ascii="Calibri" w:hAnsi="Calibri"/>
          <w:b/>
        </w:rPr>
      </w:pPr>
      <w:r>
        <w:rPr>
          <w:rFonts w:ascii="Calibri" w:hAnsi="Calibri"/>
          <w:b/>
          <w:color w:val="001F60"/>
        </w:rPr>
        <w:t>Ponto</w:t>
      </w:r>
      <w:r>
        <w:rPr>
          <w:rFonts w:ascii="Calibri" w:hAnsi="Calibri"/>
          <w:b/>
          <w:color w:val="001F60"/>
          <w:spacing w:val="-4"/>
        </w:rPr>
        <w:t xml:space="preserve"> </w:t>
      </w:r>
      <w:r>
        <w:rPr>
          <w:rFonts w:ascii="Calibri" w:hAnsi="Calibri"/>
          <w:b/>
          <w:color w:val="001F60"/>
        </w:rPr>
        <w:t>a</w:t>
      </w:r>
      <w:r>
        <w:rPr>
          <w:rFonts w:ascii="Calibri" w:hAnsi="Calibri"/>
          <w:b/>
          <w:color w:val="001F60"/>
          <w:spacing w:val="-1"/>
        </w:rPr>
        <w:t xml:space="preserve"> </w:t>
      </w:r>
      <w:r>
        <w:rPr>
          <w:rFonts w:ascii="Calibri" w:hAnsi="Calibri"/>
          <w:b/>
          <w:color w:val="001F60"/>
        </w:rPr>
        <w:t>Ponto</w:t>
      </w:r>
      <w:r>
        <w:rPr>
          <w:rFonts w:ascii="Calibri" w:hAnsi="Calibri"/>
          <w:b/>
          <w:color w:val="001F60"/>
          <w:spacing w:val="-3"/>
        </w:rPr>
        <w:t xml:space="preserve"> </w:t>
      </w:r>
      <w:r>
        <w:rPr>
          <w:rFonts w:ascii="Calibri" w:hAnsi="Calibri"/>
          <w:b/>
          <w:color w:val="001F60"/>
        </w:rPr>
        <w:t xml:space="preserve">– </w:t>
      </w:r>
      <w:r>
        <w:rPr>
          <w:rFonts w:ascii="Calibri" w:hAnsi="Calibri"/>
          <w:b/>
          <w:color w:val="001F60"/>
          <w:spacing w:val="-5"/>
        </w:rPr>
        <w:t>P2P</w:t>
      </w:r>
    </w:p>
    <w:p w14:paraId="2A4B4452" w14:textId="77777777" w:rsidR="002C6574" w:rsidRDefault="00000000">
      <w:pPr>
        <w:pStyle w:val="Corpodetexto"/>
        <w:spacing w:before="121"/>
        <w:ind w:left="709" w:right="277"/>
        <w:jc w:val="both"/>
        <w:rPr>
          <w:rFonts w:ascii="Calibri" w:hAnsi="Calibri"/>
        </w:rPr>
      </w:pPr>
      <w:r>
        <w:rPr>
          <w:rFonts w:ascii="Calibri" w:hAnsi="Calibri"/>
          <w:color w:val="001F60"/>
        </w:rPr>
        <w:t>O serviço Ponto a Ponto (P2P) oferece uma solução de transmissão de dados por meio de circuitos dedicados, que possibilitam a interligação de pontos de interesse dos clientes em âmbito nacional, metropolitano ou regional, com elevados níveis de transparência e segurança.</w:t>
      </w:r>
    </w:p>
    <w:p w14:paraId="2488D30F" w14:textId="77777777" w:rsidR="002C6574" w:rsidRDefault="00000000">
      <w:pPr>
        <w:pStyle w:val="Corpodetexto"/>
        <w:spacing w:before="118"/>
        <w:ind w:left="709" w:right="277"/>
        <w:jc w:val="both"/>
        <w:rPr>
          <w:rFonts w:ascii="Calibri" w:hAnsi="Calibri"/>
        </w:rPr>
      </w:pPr>
      <w:r>
        <w:rPr>
          <w:rFonts w:ascii="Calibri" w:hAnsi="Calibri"/>
          <w:color w:val="001F60"/>
        </w:rPr>
        <w:t>Trata-se</w:t>
      </w:r>
      <w:r>
        <w:rPr>
          <w:rFonts w:ascii="Calibri" w:hAnsi="Calibri"/>
          <w:color w:val="001F60"/>
          <w:spacing w:val="-1"/>
        </w:rPr>
        <w:t xml:space="preserve"> </w:t>
      </w:r>
      <w:r>
        <w:rPr>
          <w:rFonts w:ascii="Calibri" w:hAnsi="Calibri"/>
          <w:color w:val="001F60"/>
        </w:rPr>
        <w:t>de</w:t>
      </w:r>
      <w:r>
        <w:rPr>
          <w:rFonts w:ascii="Calibri" w:hAnsi="Calibri"/>
          <w:color w:val="001F60"/>
          <w:spacing w:val="-1"/>
        </w:rPr>
        <w:t xml:space="preserve"> </w:t>
      </w:r>
      <w:r>
        <w:rPr>
          <w:rFonts w:ascii="Calibri" w:hAnsi="Calibri"/>
          <w:color w:val="001F60"/>
        </w:rPr>
        <w:t>uma</w:t>
      </w:r>
      <w:r>
        <w:rPr>
          <w:rFonts w:ascii="Calibri" w:hAnsi="Calibri"/>
          <w:color w:val="001F60"/>
          <w:spacing w:val="-2"/>
        </w:rPr>
        <w:t xml:space="preserve"> </w:t>
      </w:r>
      <w:r>
        <w:rPr>
          <w:rFonts w:ascii="Calibri" w:hAnsi="Calibri"/>
          <w:color w:val="001F60"/>
        </w:rPr>
        <w:t>solução</w:t>
      </w:r>
      <w:r>
        <w:rPr>
          <w:rFonts w:ascii="Calibri" w:hAnsi="Calibri"/>
          <w:color w:val="001F60"/>
          <w:spacing w:val="-1"/>
        </w:rPr>
        <w:t xml:space="preserve"> </w:t>
      </w:r>
      <w:r>
        <w:rPr>
          <w:rFonts w:ascii="Calibri" w:hAnsi="Calibri"/>
          <w:color w:val="001F60"/>
        </w:rPr>
        <w:t>dedicada,</w:t>
      </w:r>
      <w:r>
        <w:rPr>
          <w:rFonts w:ascii="Calibri" w:hAnsi="Calibri"/>
          <w:color w:val="001F60"/>
          <w:spacing w:val="-2"/>
        </w:rPr>
        <w:t xml:space="preserve"> </w:t>
      </w:r>
      <w:r>
        <w:rPr>
          <w:rFonts w:ascii="Calibri" w:hAnsi="Calibri"/>
          <w:color w:val="001F60"/>
        </w:rPr>
        <w:t>escalável</w:t>
      </w:r>
      <w:r>
        <w:rPr>
          <w:rFonts w:ascii="Calibri" w:hAnsi="Calibri"/>
          <w:color w:val="001F60"/>
          <w:spacing w:val="-1"/>
        </w:rPr>
        <w:t xml:space="preserve"> </w:t>
      </w:r>
      <w:r>
        <w:rPr>
          <w:rFonts w:ascii="Calibri" w:hAnsi="Calibri"/>
          <w:color w:val="001F60"/>
        </w:rPr>
        <w:t>e</w:t>
      </w:r>
      <w:r>
        <w:rPr>
          <w:rFonts w:ascii="Calibri" w:hAnsi="Calibri"/>
          <w:color w:val="001F60"/>
          <w:spacing w:val="-1"/>
        </w:rPr>
        <w:t xml:space="preserve"> </w:t>
      </w:r>
      <w:r>
        <w:rPr>
          <w:rFonts w:ascii="Calibri" w:hAnsi="Calibri"/>
          <w:color w:val="001F60"/>
        </w:rPr>
        <w:t>de</w:t>
      </w:r>
      <w:r>
        <w:rPr>
          <w:rFonts w:ascii="Calibri" w:hAnsi="Calibri"/>
          <w:color w:val="001F60"/>
          <w:spacing w:val="-1"/>
        </w:rPr>
        <w:t xml:space="preserve"> </w:t>
      </w:r>
      <w:r>
        <w:rPr>
          <w:rFonts w:ascii="Calibri" w:hAnsi="Calibri"/>
          <w:color w:val="001F60"/>
        </w:rPr>
        <w:t>alta</w:t>
      </w:r>
      <w:r>
        <w:rPr>
          <w:rFonts w:ascii="Calibri" w:hAnsi="Calibri"/>
          <w:color w:val="001F60"/>
          <w:spacing w:val="-4"/>
        </w:rPr>
        <w:t xml:space="preserve"> </w:t>
      </w:r>
      <w:r>
        <w:rPr>
          <w:rFonts w:ascii="Calibri" w:hAnsi="Calibri"/>
          <w:color w:val="001F60"/>
        </w:rPr>
        <w:t>disponibilidade,</w:t>
      </w:r>
      <w:r>
        <w:rPr>
          <w:rFonts w:ascii="Calibri" w:hAnsi="Calibri"/>
          <w:color w:val="001F60"/>
          <w:spacing w:val="-1"/>
        </w:rPr>
        <w:t xml:space="preserve"> </w:t>
      </w:r>
      <w:r>
        <w:rPr>
          <w:rFonts w:ascii="Calibri" w:hAnsi="Calibri"/>
          <w:color w:val="001F60"/>
        </w:rPr>
        <w:t>destinada</w:t>
      </w:r>
      <w:r>
        <w:rPr>
          <w:rFonts w:ascii="Calibri" w:hAnsi="Calibri"/>
          <w:color w:val="001F60"/>
          <w:spacing w:val="-4"/>
        </w:rPr>
        <w:t xml:space="preserve"> </w:t>
      </w:r>
      <w:r>
        <w:rPr>
          <w:rFonts w:ascii="Calibri" w:hAnsi="Calibri"/>
          <w:color w:val="001F60"/>
        </w:rPr>
        <w:t>a empresas</w:t>
      </w:r>
      <w:r>
        <w:rPr>
          <w:rFonts w:ascii="Calibri" w:hAnsi="Calibri"/>
          <w:color w:val="001F60"/>
          <w:spacing w:val="-4"/>
        </w:rPr>
        <w:t xml:space="preserve"> </w:t>
      </w:r>
      <w:r>
        <w:rPr>
          <w:rFonts w:ascii="Calibri" w:hAnsi="Calibri"/>
          <w:color w:val="001F60"/>
        </w:rPr>
        <w:t>e</w:t>
      </w:r>
      <w:r>
        <w:rPr>
          <w:rFonts w:ascii="Calibri" w:hAnsi="Calibri"/>
          <w:color w:val="001F60"/>
          <w:spacing w:val="-2"/>
        </w:rPr>
        <w:t xml:space="preserve"> </w:t>
      </w:r>
      <w:r>
        <w:rPr>
          <w:rFonts w:ascii="Calibri" w:hAnsi="Calibri"/>
          <w:color w:val="001F60"/>
        </w:rPr>
        <w:t>órgãos governamentais que necessitam de conectividade entre dois pontos ou entre postos de trabalho situados em diferentes localidades dentro de uma mesma cidade.</w:t>
      </w:r>
    </w:p>
    <w:p w14:paraId="3015B50D" w14:textId="77777777" w:rsidR="002C6574" w:rsidRDefault="00000000">
      <w:pPr>
        <w:pStyle w:val="Corpodetexto"/>
        <w:spacing w:before="121"/>
        <w:ind w:left="709" w:right="277"/>
        <w:jc w:val="both"/>
        <w:rPr>
          <w:rFonts w:ascii="Calibri" w:hAnsi="Calibri"/>
        </w:rPr>
      </w:pPr>
      <w:r>
        <w:rPr>
          <w:rFonts w:ascii="Calibri" w:hAnsi="Calibri"/>
          <w:color w:val="001F60"/>
        </w:rPr>
        <w:t>Entre os principais benefícios do serviço estão a compatibilidade com diversas aplicações e a possibilidade</w:t>
      </w:r>
      <w:r>
        <w:rPr>
          <w:rFonts w:ascii="Calibri" w:hAnsi="Calibri"/>
          <w:color w:val="001F60"/>
          <w:spacing w:val="-13"/>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múltiplas</w:t>
      </w:r>
      <w:r>
        <w:rPr>
          <w:rFonts w:ascii="Calibri" w:hAnsi="Calibri"/>
          <w:color w:val="001F60"/>
          <w:spacing w:val="-13"/>
        </w:rPr>
        <w:t xml:space="preserve"> </w:t>
      </w:r>
      <w:r>
        <w:rPr>
          <w:rFonts w:ascii="Calibri" w:hAnsi="Calibri"/>
          <w:color w:val="001F60"/>
        </w:rPr>
        <w:t>velocidades</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transmissão</w:t>
      </w:r>
      <w:r>
        <w:rPr>
          <w:rFonts w:ascii="Calibri" w:hAnsi="Calibri"/>
          <w:color w:val="001F60"/>
          <w:spacing w:val="-12"/>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dados</w:t>
      </w:r>
      <w:r>
        <w:rPr>
          <w:rFonts w:ascii="Calibri" w:hAnsi="Calibri"/>
          <w:color w:val="001F60"/>
          <w:spacing w:val="-12"/>
        </w:rPr>
        <w:t xml:space="preserve"> </w:t>
      </w:r>
      <w:r>
        <w:rPr>
          <w:rFonts w:ascii="Calibri" w:hAnsi="Calibri"/>
          <w:color w:val="001F60"/>
        </w:rPr>
        <w:t>digitais,</w:t>
      </w:r>
      <w:r>
        <w:rPr>
          <w:rFonts w:ascii="Calibri" w:hAnsi="Calibri"/>
          <w:color w:val="001F60"/>
          <w:spacing w:val="-12"/>
        </w:rPr>
        <w:t xml:space="preserve"> </w:t>
      </w:r>
      <w:r>
        <w:rPr>
          <w:rFonts w:ascii="Calibri" w:hAnsi="Calibri"/>
          <w:color w:val="001F60"/>
        </w:rPr>
        <w:t>adaptando-se</w:t>
      </w:r>
      <w:r>
        <w:rPr>
          <w:rFonts w:ascii="Calibri" w:hAnsi="Calibri"/>
          <w:color w:val="001F60"/>
          <w:spacing w:val="-11"/>
        </w:rPr>
        <w:t xml:space="preserve"> </w:t>
      </w:r>
      <w:r>
        <w:rPr>
          <w:rFonts w:ascii="Calibri" w:hAnsi="Calibri"/>
          <w:color w:val="001F60"/>
        </w:rPr>
        <w:t>às</w:t>
      </w:r>
      <w:r>
        <w:rPr>
          <w:rFonts w:ascii="Calibri" w:hAnsi="Calibri"/>
          <w:color w:val="001F60"/>
          <w:spacing w:val="-12"/>
        </w:rPr>
        <w:t xml:space="preserve"> </w:t>
      </w:r>
      <w:r>
        <w:rPr>
          <w:rFonts w:ascii="Calibri" w:hAnsi="Calibri"/>
          <w:color w:val="001F60"/>
        </w:rPr>
        <w:t>necessidades específicas dos clientes.</w:t>
      </w:r>
    </w:p>
    <w:p w14:paraId="4BCF7BF4" w14:textId="77777777" w:rsidR="002C6574" w:rsidRDefault="00000000">
      <w:pPr>
        <w:pStyle w:val="Corpodetexto"/>
        <w:spacing w:before="120"/>
        <w:ind w:left="709"/>
        <w:jc w:val="both"/>
        <w:rPr>
          <w:rFonts w:ascii="Calibri" w:hAnsi="Calibri"/>
        </w:rPr>
      </w:pPr>
      <w:r>
        <w:rPr>
          <w:rFonts w:ascii="Calibri" w:hAnsi="Calibri"/>
          <w:color w:val="001F60"/>
        </w:rPr>
        <w:t>Link:</w:t>
      </w:r>
      <w:r>
        <w:rPr>
          <w:rFonts w:ascii="Calibri" w:hAnsi="Calibri"/>
          <w:color w:val="001F60"/>
          <w:spacing w:val="-4"/>
        </w:rPr>
        <w:t xml:space="preserve"> </w:t>
      </w:r>
      <w:r>
        <w:rPr>
          <w:rFonts w:ascii="Calibri" w:hAnsi="Calibri"/>
          <w:color w:val="0000FF"/>
          <w:u w:val="single" w:color="0000FF"/>
        </w:rPr>
        <w:t>Ponto</w:t>
      </w:r>
      <w:r>
        <w:rPr>
          <w:rFonts w:ascii="Calibri" w:hAnsi="Calibri"/>
          <w:color w:val="0000FF"/>
          <w:spacing w:val="-2"/>
          <w:u w:val="single" w:color="0000FF"/>
        </w:rPr>
        <w:t xml:space="preserve"> </w:t>
      </w:r>
      <w:r>
        <w:rPr>
          <w:rFonts w:ascii="Calibri" w:hAnsi="Calibri"/>
          <w:color w:val="0000FF"/>
          <w:u w:val="single" w:color="0000FF"/>
        </w:rPr>
        <w:t>a</w:t>
      </w:r>
      <w:r>
        <w:rPr>
          <w:rFonts w:ascii="Calibri" w:hAnsi="Calibri"/>
          <w:color w:val="0000FF"/>
          <w:spacing w:val="-3"/>
          <w:u w:val="single" w:color="0000FF"/>
        </w:rPr>
        <w:t xml:space="preserve"> </w:t>
      </w:r>
      <w:r>
        <w:rPr>
          <w:rFonts w:ascii="Calibri" w:hAnsi="Calibri"/>
          <w:color w:val="0000FF"/>
          <w:u w:val="single" w:color="0000FF"/>
        </w:rPr>
        <w:t>Ponto</w:t>
      </w:r>
      <w:r>
        <w:rPr>
          <w:rFonts w:ascii="Calibri" w:hAnsi="Calibri"/>
          <w:color w:val="0000FF"/>
          <w:spacing w:val="-3"/>
          <w:u w:val="single" w:color="0000FF"/>
        </w:rPr>
        <w:t xml:space="preserve"> </w:t>
      </w:r>
      <w:r>
        <w:rPr>
          <w:rFonts w:ascii="Calibri" w:hAnsi="Calibri"/>
          <w:color w:val="0000FF"/>
          <w:u w:val="single" w:color="0000FF"/>
        </w:rPr>
        <w:t>–</w:t>
      </w:r>
      <w:r>
        <w:rPr>
          <w:rFonts w:ascii="Calibri" w:hAnsi="Calibri"/>
          <w:color w:val="0000FF"/>
          <w:spacing w:val="-2"/>
          <w:u w:val="single" w:color="0000FF"/>
        </w:rPr>
        <w:t xml:space="preserve"> </w:t>
      </w:r>
      <w:r>
        <w:rPr>
          <w:rFonts w:ascii="Calibri" w:hAnsi="Calibri"/>
          <w:color w:val="0000FF"/>
          <w:spacing w:val="-5"/>
          <w:u w:val="single" w:color="0000FF"/>
        </w:rPr>
        <w:t>P2P</w:t>
      </w:r>
    </w:p>
    <w:p w14:paraId="71D31D60" w14:textId="77777777" w:rsidR="002C6574" w:rsidRDefault="002C6574">
      <w:pPr>
        <w:pStyle w:val="Corpodetexto"/>
        <w:spacing w:before="238"/>
        <w:rPr>
          <w:rFonts w:ascii="Calibri"/>
        </w:rPr>
      </w:pPr>
    </w:p>
    <w:p w14:paraId="4B1ACEA1" w14:textId="77777777" w:rsidR="002C6574" w:rsidRDefault="00000000">
      <w:pPr>
        <w:ind w:left="709"/>
        <w:jc w:val="both"/>
        <w:rPr>
          <w:rFonts w:ascii="Calibri"/>
          <w:b/>
        </w:rPr>
      </w:pPr>
      <w:r>
        <w:rPr>
          <w:rFonts w:ascii="Calibri"/>
          <w:b/>
          <w:color w:val="001F60"/>
        </w:rPr>
        <w:t>Wi-Fi</w:t>
      </w:r>
      <w:r>
        <w:rPr>
          <w:rFonts w:ascii="Calibri"/>
          <w:b/>
          <w:color w:val="001F60"/>
          <w:spacing w:val="-6"/>
        </w:rPr>
        <w:t xml:space="preserve"> </w:t>
      </w:r>
      <w:r>
        <w:rPr>
          <w:rFonts w:ascii="Calibri"/>
          <w:b/>
          <w:color w:val="001F60"/>
          <w:spacing w:val="-2"/>
        </w:rPr>
        <w:t>Brasil</w:t>
      </w:r>
    </w:p>
    <w:p w14:paraId="5E75DFE9" w14:textId="77777777" w:rsidR="002C6574" w:rsidRDefault="00000000">
      <w:pPr>
        <w:pStyle w:val="Corpodetexto"/>
        <w:spacing w:before="121"/>
        <w:ind w:left="709" w:right="279"/>
        <w:jc w:val="both"/>
        <w:rPr>
          <w:rFonts w:ascii="Calibri" w:hAnsi="Calibri"/>
        </w:rPr>
      </w:pPr>
      <w:r>
        <w:rPr>
          <w:rFonts w:ascii="Calibri" w:hAnsi="Calibri"/>
          <w:color w:val="001F60"/>
        </w:rPr>
        <w:t>O Wi-Fi Brasil é uma solução desenvolvida pela Telebras para atender às demandas do MCom, como foco</w:t>
      </w:r>
      <w:r>
        <w:rPr>
          <w:rFonts w:ascii="Calibri" w:hAnsi="Calibri"/>
          <w:color w:val="001F60"/>
          <w:spacing w:val="-10"/>
        </w:rPr>
        <w:t xml:space="preserve"> </w:t>
      </w:r>
      <w:r>
        <w:rPr>
          <w:rFonts w:ascii="Calibri" w:hAnsi="Calibri"/>
          <w:color w:val="001F60"/>
        </w:rPr>
        <w:t>na</w:t>
      </w:r>
      <w:r>
        <w:rPr>
          <w:rFonts w:ascii="Calibri" w:hAnsi="Calibri"/>
          <w:color w:val="001F60"/>
          <w:spacing w:val="-10"/>
        </w:rPr>
        <w:t xml:space="preserve"> </w:t>
      </w:r>
      <w:r>
        <w:rPr>
          <w:rFonts w:ascii="Calibri" w:hAnsi="Calibri"/>
          <w:color w:val="001F60"/>
        </w:rPr>
        <w:t>oferta</w:t>
      </w:r>
      <w:r>
        <w:rPr>
          <w:rFonts w:ascii="Calibri" w:hAnsi="Calibri"/>
          <w:color w:val="001F60"/>
          <w:spacing w:val="-12"/>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acesso</w:t>
      </w:r>
      <w:r>
        <w:rPr>
          <w:rFonts w:ascii="Calibri" w:hAnsi="Calibri"/>
          <w:color w:val="001F60"/>
          <w:spacing w:val="-10"/>
        </w:rPr>
        <w:t xml:space="preserve"> </w:t>
      </w:r>
      <w:r>
        <w:rPr>
          <w:rFonts w:ascii="Calibri" w:hAnsi="Calibri"/>
          <w:color w:val="001F60"/>
        </w:rPr>
        <w:t>gratuito</w:t>
      </w:r>
      <w:r>
        <w:rPr>
          <w:rFonts w:ascii="Calibri" w:hAnsi="Calibri"/>
          <w:color w:val="001F60"/>
          <w:spacing w:val="-10"/>
        </w:rPr>
        <w:t xml:space="preserve"> </w:t>
      </w:r>
      <w:r>
        <w:rPr>
          <w:rFonts w:ascii="Calibri" w:hAnsi="Calibri"/>
          <w:color w:val="001F60"/>
        </w:rPr>
        <w:t>à</w:t>
      </w:r>
      <w:r>
        <w:rPr>
          <w:rFonts w:ascii="Calibri" w:hAnsi="Calibri"/>
          <w:color w:val="001F60"/>
          <w:spacing w:val="-12"/>
        </w:rPr>
        <w:t xml:space="preserve"> </w:t>
      </w:r>
      <w:r>
        <w:rPr>
          <w:rFonts w:ascii="Calibri" w:hAnsi="Calibri"/>
          <w:color w:val="001F60"/>
        </w:rPr>
        <w:t>internet</w:t>
      </w:r>
      <w:r>
        <w:rPr>
          <w:rFonts w:ascii="Calibri" w:hAnsi="Calibri"/>
          <w:color w:val="001F60"/>
          <w:spacing w:val="-9"/>
        </w:rPr>
        <w:t xml:space="preserve"> </w:t>
      </w:r>
      <w:r>
        <w:rPr>
          <w:rFonts w:ascii="Calibri" w:hAnsi="Calibri"/>
          <w:color w:val="001F60"/>
        </w:rPr>
        <w:t>em</w:t>
      </w:r>
      <w:r>
        <w:rPr>
          <w:rFonts w:ascii="Calibri" w:hAnsi="Calibri"/>
          <w:color w:val="001F60"/>
          <w:spacing w:val="-10"/>
        </w:rPr>
        <w:t xml:space="preserve"> </w:t>
      </w:r>
      <w:r>
        <w:rPr>
          <w:rFonts w:ascii="Calibri" w:hAnsi="Calibri"/>
          <w:color w:val="001F60"/>
        </w:rPr>
        <w:t>espaços</w:t>
      </w:r>
      <w:r>
        <w:rPr>
          <w:rFonts w:ascii="Calibri" w:hAnsi="Calibri"/>
          <w:color w:val="001F60"/>
          <w:spacing w:val="-11"/>
        </w:rPr>
        <w:t xml:space="preserve"> </w:t>
      </w:r>
      <w:r>
        <w:rPr>
          <w:rFonts w:ascii="Calibri" w:hAnsi="Calibri"/>
          <w:color w:val="001F60"/>
        </w:rPr>
        <w:t>públicos</w:t>
      </w:r>
      <w:r>
        <w:rPr>
          <w:rFonts w:ascii="Calibri" w:hAnsi="Calibri"/>
          <w:color w:val="001F60"/>
          <w:spacing w:val="-11"/>
        </w:rPr>
        <w:t xml:space="preserve"> </w:t>
      </w:r>
      <w:r>
        <w:rPr>
          <w:rFonts w:ascii="Calibri" w:hAnsi="Calibri"/>
          <w:color w:val="001F60"/>
        </w:rPr>
        <w:t>e</w:t>
      </w:r>
      <w:r>
        <w:rPr>
          <w:rFonts w:ascii="Calibri" w:hAnsi="Calibri"/>
          <w:color w:val="001F60"/>
          <w:spacing w:val="-10"/>
        </w:rPr>
        <w:t xml:space="preserve"> </w:t>
      </w:r>
      <w:r>
        <w:rPr>
          <w:rFonts w:ascii="Calibri" w:hAnsi="Calibri"/>
          <w:color w:val="001F60"/>
        </w:rPr>
        <w:t>de</w:t>
      </w:r>
      <w:r>
        <w:rPr>
          <w:rFonts w:ascii="Calibri" w:hAnsi="Calibri"/>
          <w:color w:val="001F60"/>
          <w:spacing w:val="-10"/>
        </w:rPr>
        <w:t xml:space="preserve"> </w:t>
      </w:r>
      <w:r>
        <w:rPr>
          <w:rFonts w:ascii="Calibri" w:hAnsi="Calibri"/>
          <w:color w:val="001F60"/>
        </w:rPr>
        <w:t>livre</w:t>
      </w:r>
      <w:r>
        <w:rPr>
          <w:rFonts w:ascii="Calibri" w:hAnsi="Calibri"/>
          <w:color w:val="001F60"/>
          <w:spacing w:val="-10"/>
        </w:rPr>
        <w:t xml:space="preserve"> </w:t>
      </w:r>
      <w:r>
        <w:rPr>
          <w:rFonts w:ascii="Calibri" w:hAnsi="Calibri"/>
          <w:color w:val="001F60"/>
        </w:rPr>
        <w:t>circulação.</w:t>
      </w:r>
      <w:r>
        <w:rPr>
          <w:rFonts w:ascii="Calibri" w:hAnsi="Calibri"/>
          <w:color w:val="001F60"/>
          <w:spacing w:val="-10"/>
        </w:rPr>
        <w:t xml:space="preserve"> </w:t>
      </w:r>
      <w:r>
        <w:rPr>
          <w:rFonts w:ascii="Calibri" w:hAnsi="Calibri"/>
          <w:color w:val="001F60"/>
        </w:rPr>
        <w:t>O</w:t>
      </w:r>
      <w:r>
        <w:rPr>
          <w:rFonts w:ascii="Calibri" w:hAnsi="Calibri"/>
          <w:color w:val="001F60"/>
          <w:spacing w:val="-12"/>
        </w:rPr>
        <w:t xml:space="preserve"> </w:t>
      </w:r>
      <w:r>
        <w:rPr>
          <w:rFonts w:ascii="Calibri" w:hAnsi="Calibri"/>
          <w:color w:val="001F60"/>
        </w:rPr>
        <w:t>contrato</w:t>
      </w:r>
      <w:r>
        <w:rPr>
          <w:rFonts w:ascii="Calibri" w:hAnsi="Calibri"/>
          <w:color w:val="001F60"/>
          <w:spacing w:val="-12"/>
        </w:rPr>
        <w:t xml:space="preserve"> </w:t>
      </w:r>
      <w:r>
        <w:rPr>
          <w:rFonts w:ascii="Calibri" w:hAnsi="Calibri"/>
          <w:color w:val="001F60"/>
        </w:rPr>
        <w:t>prevê a implantação, a operação e a manutenção, sob demanda, de 2 mil pontos de acesso, utilizando infraestrutura de conectividade integrada ao Programa GESAC.</w:t>
      </w:r>
    </w:p>
    <w:p w14:paraId="6B1BDD49" w14:textId="77777777" w:rsidR="002C6574" w:rsidRDefault="00000000">
      <w:pPr>
        <w:pStyle w:val="Corpodetexto"/>
        <w:spacing w:before="121"/>
        <w:ind w:left="709" w:right="277"/>
        <w:jc w:val="both"/>
        <w:rPr>
          <w:rFonts w:ascii="Calibri" w:hAnsi="Calibri"/>
        </w:rPr>
      </w:pPr>
      <w:r>
        <w:rPr>
          <w:rFonts w:ascii="Calibri" w:hAnsi="Calibri"/>
          <w:color w:val="001F60"/>
        </w:rPr>
        <w:t>A solução é composta por kits de infraestrutura de comunicação, implantação de portal de acesso à rede Wi-Fi, plataforma de monitoramento e emissão de relatórios de disponibilidade, assegurando o controle e a qualidade dos serviços prestados.</w:t>
      </w:r>
    </w:p>
    <w:p w14:paraId="27052C16" w14:textId="77777777" w:rsidR="002C6574" w:rsidRDefault="00000000">
      <w:pPr>
        <w:pStyle w:val="Corpodetexto"/>
        <w:spacing w:before="120"/>
        <w:ind w:left="709"/>
        <w:jc w:val="both"/>
        <w:rPr>
          <w:rFonts w:ascii="Calibri"/>
        </w:rPr>
      </w:pPr>
      <w:r>
        <w:rPr>
          <w:rFonts w:ascii="Calibri"/>
          <w:color w:val="001F60"/>
        </w:rPr>
        <w:t>Link:</w:t>
      </w:r>
      <w:r>
        <w:rPr>
          <w:rFonts w:ascii="Calibri"/>
          <w:color w:val="001F60"/>
          <w:spacing w:val="-3"/>
        </w:rPr>
        <w:t xml:space="preserve"> </w:t>
      </w:r>
      <w:r>
        <w:rPr>
          <w:rFonts w:ascii="Calibri"/>
          <w:color w:val="0000FF"/>
          <w:u w:val="single" w:color="0000FF"/>
        </w:rPr>
        <w:t>Wi-Fi</w:t>
      </w:r>
      <w:r>
        <w:rPr>
          <w:rFonts w:ascii="Calibri"/>
          <w:color w:val="0000FF"/>
          <w:spacing w:val="-1"/>
          <w:u w:val="single" w:color="0000FF"/>
        </w:rPr>
        <w:t xml:space="preserve"> </w:t>
      </w:r>
      <w:r>
        <w:rPr>
          <w:rFonts w:ascii="Calibri"/>
          <w:color w:val="0000FF"/>
          <w:spacing w:val="-2"/>
          <w:u w:val="single" w:color="0000FF"/>
        </w:rPr>
        <w:t>Brasil</w:t>
      </w:r>
    </w:p>
    <w:p w14:paraId="0C79177F" w14:textId="77777777" w:rsidR="002C6574" w:rsidRDefault="002C6574">
      <w:pPr>
        <w:pStyle w:val="Corpodetexto"/>
        <w:spacing w:before="238"/>
        <w:rPr>
          <w:rFonts w:ascii="Calibri"/>
        </w:rPr>
      </w:pPr>
    </w:p>
    <w:p w14:paraId="1C870BE6" w14:textId="77777777" w:rsidR="002C6574" w:rsidRDefault="00000000">
      <w:pPr>
        <w:ind w:left="709"/>
        <w:rPr>
          <w:rFonts w:ascii="Calibri"/>
          <w:b/>
        </w:rPr>
      </w:pPr>
      <w:r>
        <w:rPr>
          <w:rFonts w:ascii="Calibri"/>
          <w:b/>
          <w:color w:val="001F60"/>
          <w:spacing w:val="-2"/>
        </w:rPr>
        <w:t>SD-</w:t>
      </w:r>
      <w:r>
        <w:rPr>
          <w:rFonts w:ascii="Calibri"/>
          <w:b/>
          <w:color w:val="001F60"/>
          <w:spacing w:val="-5"/>
        </w:rPr>
        <w:t>WAN</w:t>
      </w:r>
    </w:p>
    <w:p w14:paraId="03E04934" w14:textId="77777777" w:rsidR="002C6574" w:rsidRDefault="00000000">
      <w:pPr>
        <w:pStyle w:val="Corpodetexto"/>
        <w:spacing w:before="121"/>
        <w:ind w:left="709" w:right="278"/>
        <w:jc w:val="both"/>
        <w:rPr>
          <w:rFonts w:ascii="Calibri" w:hAnsi="Calibri"/>
        </w:rPr>
      </w:pPr>
      <w:r>
        <w:rPr>
          <w:rFonts w:ascii="Calibri" w:hAnsi="Calibri"/>
          <w:color w:val="001F60"/>
        </w:rPr>
        <w:t>A solução SD-WAN da Telebras permite a composição de conexões finais com maior confiabilidade, estabilidade e qualidade de serviço, integrando diferentes tipos de enlaces de comunicação em uma arquitetura unificada. A tecnologia utiliza dispositivos de borda gerenciados centralmente por software, o que possibilita maior flexibilidade na configuração, no gerenciamento do tráfego e na adaptação dinâmica das rotas de comunicação.</w:t>
      </w:r>
    </w:p>
    <w:p w14:paraId="4E6510C7" w14:textId="77777777" w:rsidR="002C6574" w:rsidRDefault="00000000">
      <w:pPr>
        <w:pStyle w:val="Corpodetexto"/>
        <w:spacing w:before="121"/>
        <w:ind w:left="709" w:right="274"/>
        <w:jc w:val="both"/>
        <w:rPr>
          <w:rFonts w:ascii="Calibri" w:hAnsi="Calibri"/>
        </w:rPr>
      </w:pPr>
      <w:r>
        <w:rPr>
          <w:rFonts w:ascii="Calibri" w:hAnsi="Calibri"/>
          <w:color w:val="001F60"/>
        </w:rPr>
        <w:t>Ao</w:t>
      </w:r>
      <w:r>
        <w:rPr>
          <w:rFonts w:ascii="Calibri" w:hAnsi="Calibri"/>
          <w:color w:val="001F60"/>
          <w:spacing w:val="-4"/>
        </w:rPr>
        <w:t xml:space="preserve"> </w:t>
      </w:r>
      <w:r>
        <w:rPr>
          <w:rFonts w:ascii="Calibri" w:hAnsi="Calibri"/>
          <w:color w:val="001F60"/>
        </w:rPr>
        <w:t>separar</w:t>
      </w:r>
      <w:r>
        <w:rPr>
          <w:rFonts w:ascii="Calibri" w:hAnsi="Calibri"/>
          <w:color w:val="001F60"/>
          <w:spacing w:val="-6"/>
        </w:rPr>
        <w:t xml:space="preserve"> </w:t>
      </w:r>
      <w:r>
        <w:rPr>
          <w:rFonts w:ascii="Calibri" w:hAnsi="Calibri"/>
          <w:color w:val="001F60"/>
        </w:rPr>
        <w:t>o</w:t>
      </w:r>
      <w:r>
        <w:rPr>
          <w:rFonts w:ascii="Calibri" w:hAnsi="Calibri"/>
          <w:color w:val="001F60"/>
          <w:spacing w:val="-4"/>
        </w:rPr>
        <w:t xml:space="preserve"> </w:t>
      </w:r>
      <w:r>
        <w:rPr>
          <w:rFonts w:ascii="Calibri" w:hAnsi="Calibri"/>
          <w:color w:val="001F60"/>
        </w:rPr>
        <w:t>plano</w:t>
      </w:r>
      <w:r>
        <w:rPr>
          <w:rFonts w:ascii="Calibri" w:hAnsi="Calibri"/>
          <w:color w:val="001F60"/>
          <w:spacing w:val="-4"/>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controle</w:t>
      </w:r>
      <w:r>
        <w:rPr>
          <w:rFonts w:ascii="Calibri" w:hAnsi="Calibri"/>
          <w:color w:val="001F60"/>
          <w:spacing w:val="-4"/>
        </w:rPr>
        <w:t xml:space="preserve"> </w:t>
      </w:r>
      <w:r>
        <w:rPr>
          <w:rFonts w:ascii="Calibri" w:hAnsi="Calibri"/>
          <w:color w:val="001F60"/>
        </w:rPr>
        <w:t>do</w:t>
      </w:r>
      <w:r>
        <w:rPr>
          <w:rFonts w:ascii="Calibri" w:hAnsi="Calibri"/>
          <w:color w:val="001F60"/>
          <w:spacing w:val="-3"/>
        </w:rPr>
        <w:t xml:space="preserve"> </w:t>
      </w:r>
      <w:r>
        <w:rPr>
          <w:rFonts w:ascii="Calibri" w:hAnsi="Calibri"/>
          <w:color w:val="001F60"/>
        </w:rPr>
        <w:t>plano</w:t>
      </w:r>
      <w:r>
        <w:rPr>
          <w:rFonts w:ascii="Calibri" w:hAnsi="Calibri"/>
          <w:color w:val="001F60"/>
          <w:spacing w:val="-4"/>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dados,</w:t>
      </w:r>
      <w:r>
        <w:rPr>
          <w:rFonts w:ascii="Calibri" w:hAnsi="Calibri"/>
          <w:color w:val="001F60"/>
          <w:spacing w:val="-4"/>
        </w:rPr>
        <w:t xml:space="preserve"> </w:t>
      </w:r>
      <w:r>
        <w:rPr>
          <w:rFonts w:ascii="Calibri" w:hAnsi="Calibri"/>
          <w:color w:val="001F60"/>
        </w:rPr>
        <w:t>a</w:t>
      </w:r>
      <w:r>
        <w:rPr>
          <w:rFonts w:ascii="Calibri" w:hAnsi="Calibri"/>
          <w:color w:val="001F60"/>
          <w:spacing w:val="-8"/>
        </w:rPr>
        <w:t xml:space="preserve"> </w:t>
      </w:r>
      <w:r>
        <w:rPr>
          <w:rFonts w:ascii="Calibri" w:hAnsi="Calibri"/>
          <w:color w:val="001F60"/>
        </w:rPr>
        <w:t>solução</w:t>
      </w:r>
      <w:r>
        <w:rPr>
          <w:rFonts w:ascii="Calibri" w:hAnsi="Calibri"/>
          <w:color w:val="001F60"/>
          <w:spacing w:val="-5"/>
        </w:rPr>
        <w:t xml:space="preserve"> </w:t>
      </w:r>
      <w:r>
        <w:rPr>
          <w:rFonts w:ascii="Calibri" w:hAnsi="Calibri"/>
          <w:color w:val="001F60"/>
        </w:rPr>
        <w:t>amplia</w:t>
      </w:r>
      <w:r>
        <w:rPr>
          <w:rFonts w:ascii="Calibri" w:hAnsi="Calibri"/>
          <w:color w:val="001F60"/>
          <w:spacing w:val="-4"/>
        </w:rPr>
        <w:t xml:space="preserve"> </w:t>
      </w:r>
      <w:r>
        <w:rPr>
          <w:rFonts w:ascii="Calibri" w:hAnsi="Calibri"/>
          <w:color w:val="001F60"/>
        </w:rPr>
        <w:t>a</w:t>
      </w:r>
      <w:r>
        <w:rPr>
          <w:rFonts w:ascii="Calibri" w:hAnsi="Calibri"/>
          <w:color w:val="001F60"/>
          <w:spacing w:val="-4"/>
        </w:rPr>
        <w:t xml:space="preserve"> </w:t>
      </w:r>
      <w:r>
        <w:rPr>
          <w:rFonts w:ascii="Calibri" w:hAnsi="Calibri"/>
          <w:color w:val="001F60"/>
        </w:rPr>
        <w:t>capacidade</w:t>
      </w:r>
      <w:r>
        <w:rPr>
          <w:rFonts w:ascii="Calibri" w:hAnsi="Calibri"/>
          <w:color w:val="001F60"/>
          <w:spacing w:val="-5"/>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análise</w:t>
      </w:r>
      <w:r>
        <w:rPr>
          <w:rFonts w:ascii="Calibri" w:hAnsi="Calibri"/>
          <w:color w:val="001F60"/>
          <w:spacing w:val="-8"/>
        </w:rPr>
        <w:t xml:space="preserve"> </w:t>
      </w:r>
      <w:r>
        <w:rPr>
          <w:rFonts w:ascii="Calibri" w:hAnsi="Calibri"/>
          <w:color w:val="001F60"/>
        </w:rPr>
        <w:t>e</w:t>
      </w:r>
      <w:r>
        <w:rPr>
          <w:rFonts w:ascii="Calibri" w:hAnsi="Calibri"/>
          <w:color w:val="001F60"/>
          <w:spacing w:val="-6"/>
        </w:rPr>
        <w:t xml:space="preserve"> </w:t>
      </w:r>
      <w:r>
        <w:rPr>
          <w:rFonts w:ascii="Calibri" w:hAnsi="Calibri"/>
          <w:color w:val="001F60"/>
        </w:rPr>
        <w:t>tomada de decisão em tempo real, contribuindo para a otimização dos recursos de rede e para a redução de custos operacionais. Essa abordagem favorece o desempenho de aplicações críticas, aumenta a eficiência na utilização da infraestrutura disponível e reforça a resiliência das conexões corporativas.</w:t>
      </w:r>
    </w:p>
    <w:p w14:paraId="164187AC" w14:textId="77777777" w:rsidR="002C6574" w:rsidRDefault="00000000">
      <w:pPr>
        <w:pStyle w:val="Corpodetexto"/>
        <w:spacing w:before="119"/>
        <w:ind w:left="709"/>
        <w:rPr>
          <w:rFonts w:ascii="Calibri"/>
        </w:rPr>
      </w:pPr>
      <w:r>
        <w:rPr>
          <w:rFonts w:ascii="Calibri"/>
          <w:color w:val="001F60"/>
        </w:rPr>
        <w:t>Link:</w:t>
      </w:r>
      <w:r>
        <w:rPr>
          <w:rFonts w:ascii="Calibri"/>
          <w:color w:val="001F60"/>
          <w:spacing w:val="-5"/>
        </w:rPr>
        <w:t xml:space="preserve"> </w:t>
      </w:r>
      <w:r>
        <w:rPr>
          <w:rFonts w:ascii="Calibri"/>
          <w:color w:val="0000FF"/>
          <w:u w:val="single" w:color="0000FF"/>
        </w:rPr>
        <w:t>SD-</w:t>
      </w:r>
      <w:r>
        <w:rPr>
          <w:rFonts w:ascii="Calibri"/>
          <w:color w:val="0000FF"/>
          <w:spacing w:val="-5"/>
          <w:u w:val="single" w:color="0000FF"/>
        </w:rPr>
        <w:t>WAN</w:t>
      </w:r>
    </w:p>
    <w:p w14:paraId="6AFEA21B" w14:textId="77777777" w:rsidR="002C6574" w:rsidRDefault="002C6574">
      <w:pPr>
        <w:pStyle w:val="Corpodetexto"/>
        <w:spacing w:before="240"/>
        <w:rPr>
          <w:rFonts w:ascii="Calibri"/>
        </w:rPr>
      </w:pPr>
    </w:p>
    <w:p w14:paraId="459DD0BB" w14:textId="77777777" w:rsidR="002C6574" w:rsidRDefault="00000000">
      <w:pPr>
        <w:ind w:left="709"/>
        <w:rPr>
          <w:rFonts w:ascii="Calibri"/>
          <w:b/>
        </w:rPr>
      </w:pPr>
      <w:r>
        <w:rPr>
          <w:rFonts w:ascii="Calibri"/>
          <w:b/>
          <w:color w:val="001F60"/>
          <w:spacing w:val="-2"/>
        </w:rPr>
        <w:t>T3SAT</w:t>
      </w:r>
    </w:p>
    <w:p w14:paraId="525D7790" w14:textId="77777777" w:rsidR="002C6574" w:rsidRDefault="00000000">
      <w:pPr>
        <w:pStyle w:val="Corpodetexto"/>
        <w:spacing w:before="120"/>
        <w:ind w:left="709" w:right="277"/>
        <w:jc w:val="both"/>
        <w:rPr>
          <w:rFonts w:ascii="Calibri" w:hAnsi="Calibri"/>
        </w:rPr>
      </w:pPr>
      <w:r>
        <w:rPr>
          <w:rFonts w:ascii="Calibri" w:hAnsi="Calibri"/>
          <w:color w:val="001F60"/>
        </w:rPr>
        <w:t>A</w:t>
      </w:r>
      <w:r>
        <w:rPr>
          <w:rFonts w:ascii="Calibri" w:hAnsi="Calibri"/>
          <w:color w:val="001F60"/>
          <w:spacing w:val="-1"/>
        </w:rPr>
        <w:t xml:space="preserve"> </w:t>
      </w:r>
      <w:r>
        <w:rPr>
          <w:rFonts w:ascii="Calibri" w:hAnsi="Calibri"/>
          <w:color w:val="001F60"/>
        </w:rPr>
        <w:t>T3SAT</w:t>
      </w:r>
      <w:r>
        <w:rPr>
          <w:rFonts w:ascii="Calibri" w:hAnsi="Calibri"/>
          <w:color w:val="001F60"/>
          <w:spacing w:val="-1"/>
        </w:rPr>
        <w:t xml:space="preserve"> </w:t>
      </w:r>
      <w:r>
        <w:rPr>
          <w:rFonts w:ascii="Calibri" w:hAnsi="Calibri"/>
          <w:color w:val="001F60"/>
        </w:rPr>
        <w:t>é</w:t>
      </w:r>
      <w:r>
        <w:rPr>
          <w:rFonts w:ascii="Calibri" w:hAnsi="Calibri"/>
          <w:color w:val="001F60"/>
          <w:spacing w:val="-1"/>
        </w:rPr>
        <w:t xml:space="preserve"> </w:t>
      </w:r>
      <w:r>
        <w:rPr>
          <w:rFonts w:ascii="Calibri" w:hAnsi="Calibri"/>
          <w:color w:val="001F60"/>
        </w:rPr>
        <w:t>uma</w:t>
      </w:r>
      <w:r>
        <w:rPr>
          <w:rFonts w:ascii="Calibri" w:hAnsi="Calibri"/>
          <w:color w:val="001F60"/>
          <w:spacing w:val="-1"/>
        </w:rPr>
        <w:t xml:space="preserve"> </w:t>
      </w:r>
      <w:r>
        <w:rPr>
          <w:rFonts w:ascii="Calibri" w:hAnsi="Calibri"/>
          <w:color w:val="001F60"/>
        </w:rPr>
        <w:t>solução de</w:t>
      </w:r>
      <w:r>
        <w:rPr>
          <w:rFonts w:ascii="Calibri" w:hAnsi="Calibri"/>
          <w:color w:val="001F60"/>
          <w:spacing w:val="-3"/>
        </w:rPr>
        <w:t xml:space="preserve"> </w:t>
      </w:r>
      <w:r>
        <w:rPr>
          <w:rFonts w:ascii="Calibri" w:hAnsi="Calibri"/>
          <w:color w:val="001F60"/>
        </w:rPr>
        <w:t>acesso à</w:t>
      </w:r>
      <w:r>
        <w:rPr>
          <w:rFonts w:ascii="Calibri" w:hAnsi="Calibri"/>
          <w:color w:val="001F60"/>
          <w:spacing w:val="-1"/>
        </w:rPr>
        <w:t xml:space="preserve"> </w:t>
      </w:r>
      <w:r>
        <w:rPr>
          <w:rFonts w:ascii="Calibri" w:hAnsi="Calibri"/>
          <w:color w:val="001F60"/>
        </w:rPr>
        <w:t>internet por</w:t>
      </w:r>
      <w:r>
        <w:rPr>
          <w:rFonts w:ascii="Calibri" w:hAnsi="Calibri"/>
          <w:color w:val="001F60"/>
          <w:spacing w:val="-3"/>
        </w:rPr>
        <w:t xml:space="preserve"> </w:t>
      </w:r>
      <w:r>
        <w:rPr>
          <w:rFonts w:ascii="Calibri" w:hAnsi="Calibri"/>
          <w:color w:val="001F60"/>
        </w:rPr>
        <w:t>meio</w:t>
      </w:r>
      <w:r>
        <w:rPr>
          <w:rFonts w:ascii="Calibri" w:hAnsi="Calibri"/>
          <w:color w:val="001F60"/>
          <w:spacing w:val="-3"/>
        </w:rPr>
        <w:t xml:space="preserve"> </w:t>
      </w:r>
      <w:r>
        <w:rPr>
          <w:rFonts w:ascii="Calibri" w:hAnsi="Calibri"/>
          <w:color w:val="001F60"/>
        </w:rPr>
        <w:t>de</w:t>
      </w:r>
      <w:r>
        <w:rPr>
          <w:rFonts w:ascii="Calibri" w:hAnsi="Calibri"/>
          <w:color w:val="001F60"/>
          <w:spacing w:val="-1"/>
        </w:rPr>
        <w:t xml:space="preserve"> </w:t>
      </w:r>
      <w:r>
        <w:rPr>
          <w:rFonts w:ascii="Calibri" w:hAnsi="Calibri"/>
          <w:color w:val="001F60"/>
        </w:rPr>
        <w:t>link de</w:t>
      </w:r>
      <w:r>
        <w:rPr>
          <w:rFonts w:ascii="Calibri" w:hAnsi="Calibri"/>
          <w:color w:val="001F60"/>
          <w:spacing w:val="-1"/>
        </w:rPr>
        <w:t xml:space="preserve"> </w:t>
      </w:r>
      <w:r>
        <w:rPr>
          <w:rFonts w:ascii="Calibri" w:hAnsi="Calibri"/>
          <w:color w:val="001F60"/>
        </w:rPr>
        <w:t>satélite</w:t>
      </w:r>
      <w:r>
        <w:rPr>
          <w:rFonts w:ascii="Calibri" w:hAnsi="Calibri"/>
          <w:color w:val="001F60"/>
          <w:spacing w:val="-1"/>
        </w:rPr>
        <w:t xml:space="preserve"> </w:t>
      </w:r>
      <w:r>
        <w:rPr>
          <w:rFonts w:ascii="Calibri" w:hAnsi="Calibri"/>
          <w:color w:val="001F60"/>
        </w:rPr>
        <w:t>de</w:t>
      </w:r>
      <w:r>
        <w:rPr>
          <w:rFonts w:ascii="Calibri" w:hAnsi="Calibri"/>
          <w:color w:val="001F60"/>
          <w:spacing w:val="-1"/>
        </w:rPr>
        <w:t xml:space="preserve"> </w:t>
      </w:r>
      <w:r>
        <w:rPr>
          <w:rFonts w:ascii="Calibri" w:hAnsi="Calibri"/>
          <w:color w:val="001F60"/>
        </w:rPr>
        <w:t>alta</w:t>
      </w:r>
      <w:r>
        <w:rPr>
          <w:rFonts w:ascii="Calibri" w:hAnsi="Calibri"/>
          <w:color w:val="001F60"/>
          <w:spacing w:val="-1"/>
        </w:rPr>
        <w:t xml:space="preserve"> </w:t>
      </w:r>
      <w:r>
        <w:rPr>
          <w:rFonts w:ascii="Calibri" w:hAnsi="Calibri"/>
          <w:color w:val="001F60"/>
        </w:rPr>
        <w:t>velocidade,</w:t>
      </w:r>
      <w:r>
        <w:rPr>
          <w:rFonts w:ascii="Calibri" w:hAnsi="Calibri"/>
          <w:color w:val="001F60"/>
          <w:spacing w:val="-1"/>
        </w:rPr>
        <w:t xml:space="preserve"> </w:t>
      </w:r>
      <w:r>
        <w:rPr>
          <w:rFonts w:ascii="Calibri" w:hAnsi="Calibri"/>
          <w:color w:val="001F60"/>
        </w:rPr>
        <w:t>projetada para</w:t>
      </w:r>
      <w:r>
        <w:rPr>
          <w:rFonts w:ascii="Calibri" w:hAnsi="Calibri"/>
          <w:color w:val="001F60"/>
          <w:spacing w:val="-10"/>
        </w:rPr>
        <w:t xml:space="preserve"> </w:t>
      </w:r>
      <w:r>
        <w:rPr>
          <w:rFonts w:ascii="Calibri" w:hAnsi="Calibri"/>
          <w:color w:val="001F60"/>
        </w:rPr>
        <w:t>operar</w:t>
      </w:r>
      <w:r>
        <w:rPr>
          <w:rFonts w:ascii="Calibri" w:hAnsi="Calibri"/>
          <w:color w:val="001F60"/>
          <w:spacing w:val="-13"/>
        </w:rPr>
        <w:t xml:space="preserve"> </w:t>
      </w:r>
      <w:r>
        <w:rPr>
          <w:rFonts w:ascii="Calibri" w:hAnsi="Calibri"/>
          <w:color w:val="001F60"/>
        </w:rPr>
        <w:t>em</w:t>
      </w:r>
      <w:r>
        <w:rPr>
          <w:rFonts w:ascii="Calibri" w:hAnsi="Calibri"/>
          <w:color w:val="001F60"/>
          <w:spacing w:val="-9"/>
        </w:rPr>
        <w:t xml:space="preserve"> </w:t>
      </w:r>
      <w:r>
        <w:rPr>
          <w:rFonts w:ascii="Calibri" w:hAnsi="Calibri"/>
          <w:color w:val="001F60"/>
        </w:rPr>
        <w:t>qualquer</w:t>
      </w:r>
      <w:r>
        <w:rPr>
          <w:rFonts w:ascii="Calibri" w:hAnsi="Calibri"/>
          <w:color w:val="001F60"/>
          <w:spacing w:val="-11"/>
        </w:rPr>
        <w:t xml:space="preserve"> </w:t>
      </w:r>
      <w:r>
        <w:rPr>
          <w:rFonts w:ascii="Calibri" w:hAnsi="Calibri"/>
          <w:color w:val="001F60"/>
        </w:rPr>
        <w:t>localidade</w:t>
      </w:r>
      <w:r>
        <w:rPr>
          <w:rFonts w:ascii="Calibri" w:hAnsi="Calibri"/>
          <w:color w:val="001F60"/>
          <w:spacing w:val="-9"/>
        </w:rPr>
        <w:t xml:space="preserve"> </w:t>
      </w:r>
      <w:r>
        <w:rPr>
          <w:rFonts w:ascii="Calibri" w:hAnsi="Calibri"/>
          <w:color w:val="001F60"/>
        </w:rPr>
        <w:t>do</w:t>
      </w:r>
      <w:r>
        <w:rPr>
          <w:rFonts w:ascii="Calibri" w:hAnsi="Calibri"/>
          <w:color w:val="001F60"/>
          <w:spacing w:val="-11"/>
        </w:rPr>
        <w:t xml:space="preserve"> </w:t>
      </w:r>
      <w:r>
        <w:rPr>
          <w:rFonts w:ascii="Calibri" w:hAnsi="Calibri"/>
          <w:color w:val="001F60"/>
        </w:rPr>
        <w:t>território</w:t>
      </w:r>
      <w:r>
        <w:rPr>
          <w:rFonts w:ascii="Calibri" w:hAnsi="Calibri"/>
          <w:color w:val="001F60"/>
          <w:spacing w:val="-9"/>
        </w:rPr>
        <w:t xml:space="preserve"> </w:t>
      </w:r>
      <w:r>
        <w:rPr>
          <w:rFonts w:ascii="Calibri" w:hAnsi="Calibri"/>
          <w:color w:val="001F60"/>
        </w:rPr>
        <w:t>brasileiro.</w:t>
      </w:r>
      <w:r>
        <w:rPr>
          <w:rFonts w:ascii="Calibri" w:hAnsi="Calibri"/>
          <w:color w:val="001F60"/>
          <w:spacing w:val="-12"/>
        </w:rPr>
        <w:t xml:space="preserve"> </w:t>
      </w:r>
      <w:r>
        <w:rPr>
          <w:rFonts w:ascii="Calibri" w:hAnsi="Calibri"/>
          <w:color w:val="001F60"/>
        </w:rPr>
        <w:t>A</w:t>
      </w:r>
      <w:r>
        <w:rPr>
          <w:rFonts w:ascii="Calibri" w:hAnsi="Calibri"/>
          <w:color w:val="001F60"/>
          <w:spacing w:val="-11"/>
        </w:rPr>
        <w:t xml:space="preserve"> </w:t>
      </w:r>
      <w:r>
        <w:rPr>
          <w:rFonts w:ascii="Calibri" w:hAnsi="Calibri"/>
          <w:color w:val="001F60"/>
        </w:rPr>
        <w:t>solução</w:t>
      </w:r>
      <w:r>
        <w:rPr>
          <w:rFonts w:ascii="Calibri" w:hAnsi="Calibri"/>
          <w:color w:val="001F60"/>
          <w:spacing w:val="-11"/>
        </w:rPr>
        <w:t xml:space="preserve"> </w:t>
      </w:r>
      <w:r>
        <w:rPr>
          <w:rFonts w:ascii="Calibri" w:hAnsi="Calibri"/>
          <w:color w:val="001F60"/>
        </w:rPr>
        <w:t>inclui</w:t>
      </w:r>
      <w:r>
        <w:rPr>
          <w:rFonts w:ascii="Calibri" w:hAnsi="Calibri"/>
          <w:color w:val="001F60"/>
          <w:spacing w:val="-9"/>
        </w:rPr>
        <w:t xml:space="preserve"> </w:t>
      </w:r>
      <w:r>
        <w:rPr>
          <w:rFonts w:ascii="Calibri" w:hAnsi="Calibri"/>
          <w:color w:val="001F60"/>
        </w:rPr>
        <w:t>um</w:t>
      </w:r>
      <w:r>
        <w:rPr>
          <w:rFonts w:ascii="Calibri" w:hAnsi="Calibri"/>
          <w:color w:val="001F60"/>
          <w:spacing w:val="-11"/>
        </w:rPr>
        <w:t xml:space="preserve"> </w:t>
      </w:r>
      <w:r>
        <w:rPr>
          <w:rFonts w:ascii="Calibri" w:hAnsi="Calibri"/>
          <w:color w:val="001F60"/>
        </w:rPr>
        <w:t>kit</w:t>
      </w:r>
      <w:r>
        <w:rPr>
          <w:rFonts w:ascii="Calibri" w:hAnsi="Calibri"/>
          <w:color w:val="001F60"/>
          <w:spacing w:val="-12"/>
        </w:rPr>
        <w:t xml:space="preserve"> </w:t>
      </w:r>
      <w:r>
        <w:rPr>
          <w:rFonts w:ascii="Calibri" w:hAnsi="Calibri"/>
          <w:color w:val="001F60"/>
        </w:rPr>
        <w:t>completo</w:t>
      </w:r>
      <w:r>
        <w:rPr>
          <w:rFonts w:ascii="Calibri" w:hAnsi="Calibri"/>
          <w:color w:val="001F60"/>
          <w:spacing w:val="-13"/>
        </w:rPr>
        <w:t xml:space="preserve"> </w:t>
      </w:r>
      <w:r>
        <w:rPr>
          <w:rFonts w:ascii="Calibri" w:hAnsi="Calibri"/>
          <w:color w:val="001F60"/>
        </w:rPr>
        <w:t>composto por</w:t>
      </w:r>
      <w:r>
        <w:rPr>
          <w:rFonts w:ascii="Calibri" w:hAnsi="Calibri"/>
          <w:color w:val="001F60"/>
          <w:spacing w:val="-8"/>
        </w:rPr>
        <w:t xml:space="preserve"> </w:t>
      </w:r>
      <w:r>
        <w:rPr>
          <w:rFonts w:ascii="Calibri" w:hAnsi="Calibri"/>
          <w:color w:val="001F60"/>
        </w:rPr>
        <w:t>bateria</w:t>
      </w:r>
      <w:r>
        <w:rPr>
          <w:rFonts w:ascii="Calibri" w:hAnsi="Calibri"/>
          <w:color w:val="001F60"/>
          <w:spacing w:val="-8"/>
        </w:rPr>
        <w:t xml:space="preserve"> </w:t>
      </w:r>
      <w:r>
        <w:rPr>
          <w:rFonts w:ascii="Calibri" w:hAnsi="Calibri"/>
          <w:color w:val="001F60"/>
        </w:rPr>
        <w:t>para</w:t>
      </w:r>
      <w:r>
        <w:rPr>
          <w:rFonts w:ascii="Calibri" w:hAnsi="Calibri"/>
          <w:color w:val="001F60"/>
          <w:spacing w:val="-10"/>
        </w:rPr>
        <w:t xml:space="preserve"> </w:t>
      </w:r>
      <w:r>
        <w:rPr>
          <w:rFonts w:ascii="Calibri" w:hAnsi="Calibri"/>
          <w:color w:val="001F60"/>
        </w:rPr>
        <w:t>operação</w:t>
      </w:r>
      <w:r>
        <w:rPr>
          <w:rFonts w:ascii="Calibri" w:hAnsi="Calibri"/>
          <w:color w:val="001F60"/>
          <w:spacing w:val="-10"/>
        </w:rPr>
        <w:t xml:space="preserve"> </w:t>
      </w:r>
      <w:r>
        <w:rPr>
          <w:rFonts w:ascii="Calibri" w:hAnsi="Calibri"/>
          <w:color w:val="001F60"/>
        </w:rPr>
        <w:t>em</w:t>
      </w:r>
      <w:r>
        <w:rPr>
          <w:rFonts w:ascii="Calibri" w:hAnsi="Calibri"/>
          <w:color w:val="001F60"/>
          <w:spacing w:val="-8"/>
        </w:rPr>
        <w:t xml:space="preserve"> </w:t>
      </w:r>
      <w:r>
        <w:rPr>
          <w:rFonts w:ascii="Calibri" w:hAnsi="Calibri"/>
          <w:color w:val="001F60"/>
        </w:rPr>
        <w:t>locais</w:t>
      </w:r>
      <w:r>
        <w:rPr>
          <w:rFonts w:ascii="Calibri" w:hAnsi="Calibri"/>
          <w:color w:val="001F60"/>
          <w:spacing w:val="-12"/>
        </w:rPr>
        <w:t xml:space="preserve"> </w:t>
      </w:r>
      <w:r>
        <w:rPr>
          <w:rFonts w:ascii="Calibri" w:hAnsi="Calibri"/>
          <w:color w:val="001F60"/>
        </w:rPr>
        <w:t>sem</w:t>
      </w:r>
      <w:r>
        <w:rPr>
          <w:rFonts w:ascii="Calibri" w:hAnsi="Calibri"/>
          <w:color w:val="001F60"/>
          <w:spacing w:val="-8"/>
        </w:rPr>
        <w:t xml:space="preserve"> </w:t>
      </w:r>
      <w:r>
        <w:rPr>
          <w:rFonts w:ascii="Calibri" w:hAnsi="Calibri"/>
          <w:color w:val="001F60"/>
        </w:rPr>
        <w:t>energia</w:t>
      </w:r>
      <w:r>
        <w:rPr>
          <w:rFonts w:ascii="Calibri" w:hAnsi="Calibri"/>
          <w:color w:val="001F60"/>
          <w:spacing w:val="-12"/>
        </w:rPr>
        <w:t xml:space="preserve"> </w:t>
      </w:r>
      <w:r>
        <w:rPr>
          <w:rFonts w:ascii="Calibri" w:hAnsi="Calibri"/>
          <w:color w:val="001F60"/>
        </w:rPr>
        <w:t>elétrica,</w:t>
      </w:r>
      <w:r>
        <w:rPr>
          <w:rFonts w:ascii="Calibri" w:hAnsi="Calibri"/>
          <w:color w:val="001F60"/>
          <w:spacing w:val="-10"/>
        </w:rPr>
        <w:t xml:space="preserve"> </w:t>
      </w:r>
      <w:r>
        <w:rPr>
          <w:rFonts w:ascii="Calibri" w:hAnsi="Calibri"/>
          <w:color w:val="001F60"/>
        </w:rPr>
        <w:t>sistema</w:t>
      </w:r>
      <w:r>
        <w:rPr>
          <w:rFonts w:ascii="Calibri" w:hAnsi="Calibri"/>
          <w:color w:val="001F60"/>
          <w:spacing w:val="-8"/>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recarga</w:t>
      </w:r>
      <w:r>
        <w:rPr>
          <w:rFonts w:ascii="Calibri" w:hAnsi="Calibri"/>
          <w:color w:val="001F60"/>
          <w:spacing w:val="-12"/>
        </w:rPr>
        <w:t xml:space="preserve"> </w:t>
      </w:r>
      <w:r>
        <w:rPr>
          <w:rFonts w:ascii="Calibri" w:hAnsi="Calibri"/>
          <w:color w:val="001F60"/>
        </w:rPr>
        <w:t>e</w:t>
      </w:r>
      <w:r>
        <w:rPr>
          <w:rFonts w:ascii="Calibri" w:hAnsi="Calibri"/>
          <w:color w:val="001F60"/>
          <w:spacing w:val="-8"/>
        </w:rPr>
        <w:t xml:space="preserve"> </w:t>
      </w:r>
      <w:r>
        <w:rPr>
          <w:rFonts w:ascii="Calibri" w:hAnsi="Calibri"/>
          <w:color w:val="001F60"/>
        </w:rPr>
        <w:t>todos</w:t>
      </w:r>
      <w:r>
        <w:rPr>
          <w:rFonts w:ascii="Calibri" w:hAnsi="Calibri"/>
          <w:color w:val="001F60"/>
          <w:spacing w:val="-8"/>
        </w:rPr>
        <w:t xml:space="preserve"> </w:t>
      </w:r>
      <w:r>
        <w:rPr>
          <w:rFonts w:ascii="Calibri" w:hAnsi="Calibri"/>
          <w:color w:val="001F60"/>
        </w:rPr>
        <w:t>os</w:t>
      </w:r>
      <w:r>
        <w:rPr>
          <w:rFonts w:ascii="Calibri" w:hAnsi="Calibri"/>
          <w:color w:val="001F60"/>
          <w:spacing w:val="-8"/>
        </w:rPr>
        <w:t xml:space="preserve"> </w:t>
      </w:r>
      <w:r>
        <w:rPr>
          <w:rFonts w:ascii="Calibri" w:hAnsi="Calibri"/>
          <w:color w:val="001F60"/>
        </w:rPr>
        <w:t>equipamentos necessários para montagem e utilização do serviço em diferentes condições.</w:t>
      </w:r>
    </w:p>
    <w:p w14:paraId="66C0C326" w14:textId="77777777" w:rsidR="002C6574" w:rsidRDefault="00000000">
      <w:pPr>
        <w:pStyle w:val="Corpodetexto"/>
        <w:spacing w:before="121"/>
        <w:ind w:left="709" w:right="277"/>
        <w:jc w:val="both"/>
        <w:rPr>
          <w:rFonts w:ascii="Calibri" w:hAnsi="Calibri"/>
        </w:rPr>
      </w:pPr>
      <w:r>
        <w:rPr>
          <w:rFonts w:ascii="Calibri" w:hAnsi="Calibri"/>
          <w:color w:val="001F60"/>
        </w:rPr>
        <w:t>Os equipamentos são acondicionados em uma maleta especialmente desenvolvida para facilitar o transporte,</w:t>
      </w:r>
      <w:r>
        <w:rPr>
          <w:rFonts w:ascii="Calibri" w:hAnsi="Calibri"/>
          <w:color w:val="001F60"/>
          <w:spacing w:val="25"/>
        </w:rPr>
        <w:t xml:space="preserve"> </w:t>
      </w:r>
      <w:r>
        <w:rPr>
          <w:rFonts w:ascii="Calibri" w:hAnsi="Calibri"/>
          <w:color w:val="001F60"/>
        </w:rPr>
        <w:t>garantindo</w:t>
      </w:r>
      <w:r>
        <w:rPr>
          <w:rFonts w:ascii="Calibri" w:hAnsi="Calibri"/>
          <w:color w:val="001F60"/>
          <w:spacing w:val="25"/>
        </w:rPr>
        <w:t xml:space="preserve"> </w:t>
      </w:r>
      <w:r>
        <w:rPr>
          <w:rFonts w:ascii="Calibri" w:hAnsi="Calibri"/>
          <w:color w:val="001F60"/>
        </w:rPr>
        <w:t>segurança,</w:t>
      </w:r>
      <w:r>
        <w:rPr>
          <w:rFonts w:ascii="Calibri" w:hAnsi="Calibri"/>
          <w:color w:val="001F60"/>
          <w:spacing w:val="27"/>
        </w:rPr>
        <w:t xml:space="preserve"> </w:t>
      </w:r>
      <w:r>
        <w:rPr>
          <w:rFonts w:ascii="Calibri" w:hAnsi="Calibri"/>
          <w:color w:val="001F60"/>
        </w:rPr>
        <w:t>mobilidade</w:t>
      </w:r>
      <w:r>
        <w:rPr>
          <w:rFonts w:ascii="Calibri" w:hAnsi="Calibri"/>
          <w:color w:val="001F60"/>
          <w:spacing w:val="27"/>
        </w:rPr>
        <w:t xml:space="preserve"> </w:t>
      </w:r>
      <w:r>
        <w:rPr>
          <w:rFonts w:ascii="Calibri" w:hAnsi="Calibri"/>
          <w:color w:val="001F60"/>
        </w:rPr>
        <w:t>e</w:t>
      </w:r>
      <w:r>
        <w:rPr>
          <w:rFonts w:ascii="Calibri" w:hAnsi="Calibri"/>
          <w:color w:val="001F60"/>
          <w:spacing w:val="26"/>
        </w:rPr>
        <w:t xml:space="preserve"> </w:t>
      </w:r>
      <w:r>
        <w:rPr>
          <w:rFonts w:ascii="Calibri" w:hAnsi="Calibri"/>
          <w:color w:val="001F60"/>
        </w:rPr>
        <w:t>praticidade</w:t>
      </w:r>
      <w:r>
        <w:rPr>
          <w:rFonts w:ascii="Calibri" w:hAnsi="Calibri"/>
          <w:color w:val="001F60"/>
          <w:spacing w:val="27"/>
        </w:rPr>
        <w:t xml:space="preserve"> </w:t>
      </w:r>
      <w:r>
        <w:rPr>
          <w:rFonts w:ascii="Calibri" w:hAnsi="Calibri"/>
          <w:color w:val="001F60"/>
        </w:rPr>
        <w:t>na</w:t>
      </w:r>
      <w:r>
        <w:rPr>
          <w:rFonts w:ascii="Calibri" w:hAnsi="Calibri"/>
          <w:color w:val="001F60"/>
          <w:spacing w:val="27"/>
        </w:rPr>
        <w:t xml:space="preserve"> </w:t>
      </w:r>
      <w:r>
        <w:rPr>
          <w:rFonts w:ascii="Calibri" w:hAnsi="Calibri"/>
          <w:color w:val="001F60"/>
        </w:rPr>
        <w:t>instalação.</w:t>
      </w:r>
      <w:r>
        <w:rPr>
          <w:rFonts w:ascii="Calibri" w:hAnsi="Calibri"/>
          <w:color w:val="001F60"/>
          <w:spacing w:val="27"/>
        </w:rPr>
        <w:t xml:space="preserve"> </w:t>
      </w:r>
      <w:r>
        <w:rPr>
          <w:rFonts w:ascii="Calibri" w:hAnsi="Calibri"/>
          <w:color w:val="001F60"/>
        </w:rPr>
        <w:t>A</w:t>
      </w:r>
      <w:r>
        <w:rPr>
          <w:rFonts w:ascii="Calibri" w:hAnsi="Calibri"/>
          <w:color w:val="001F60"/>
          <w:spacing w:val="24"/>
        </w:rPr>
        <w:t xml:space="preserve"> </w:t>
      </w:r>
      <w:r>
        <w:rPr>
          <w:rFonts w:ascii="Calibri" w:hAnsi="Calibri"/>
          <w:color w:val="001F60"/>
        </w:rPr>
        <w:t>T3SAT</w:t>
      </w:r>
      <w:r>
        <w:rPr>
          <w:rFonts w:ascii="Calibri" w:hAnsi="Calibri"/>
          <w:color w:val="001F60"/>
          <w:spacing w:val="27"/>
        </w:rPr>
        <w:t xml:space="preserve"> </w:t>
      </w:r>
      <w:r>
        <w:rPr>
          <w:rFonts w:ascii="Calibri" w:hAnsi="Calibri"/>
          <w:color w:val="001F60"/>
        </w:rPr>
        <w:t>permite</w:t>
      </w:r>
      <w:r>
        <w:rPr>
          <w:rFonts w:ascii="Calibri" w:hAnsi="Calibri"/>
          <w:color w:val="001F60"/>
          <w:spacing w:val="27"/>
        </w:rPr>
        <w:t xml:space="preserve"> </w:t>
      </w:r>
      <w:r>
        <w:rPr>
          <w:rFonts w:ascii="Calibri" w:hAnsi="Calibri"/>
          <w:color w:val="001F60"/>
        </w:rPr>
        <w:t>que</w:t>
      </w:r>
      <w:r>
        <w:rPr>
          <w:rFonts w:ascii="Calibri" w:hAnsi="Calibri"/>
          <w:color w:val="001F60"/>
          <w:spacing w:val="26"/>
        </w:rPr>
        <w:t xml:space="preserve"> </w:t>
      </w:r>
      <w:r>
        <w:rPr>
          <w:rFonts w:ascii="Calibri" w:hAnsi="Calibri"/>
          <w:color w:val="001F60"/>
          <w:spacing w:val="-10"/>
        </w:rPr>
        <w:t>o</w:t>
      </w:r>
    </w:p>
    <w:p w14:paraId="0C0B81F8" w14:textId="77777777" w:rsidR="002C6574" w:rsidRDefault="002C6574">
      <w:pPr>
        <w:pStyle w:val="Corpodetexto"/>
        <w:jc w:val="both"/>
        <w:rPr>
          <w:rFonts w:ascii="Calibri" w:hAnsi="Calibri"/>
        </w:rPr>
        <w:sectPr w:rsidR="002C6574">
          <w:pgSz w:w="11910" w:h="16840"/>
          <w:pgMar w:top="1160" w:right="850" w:bottom="740" w:left="992" w:header="312" w:footer="542" w:gutter="0"/>
          <w:cols w:space="720"/>
        </w:sectPr>
      </w:pPr>
    </w:p>
    <w:p w14:paraId="3085AF8E" w14:textId="77777777" w:rsidR="002C6574" w:rsidRDefault="002C6574">
      <w:pPr>
        <w:pStyle w:val="Corpodetexto"/>
        <w:spacing w:before="263"/>
        <w:rPr>
          <w:rFonts w:ascii="Calibri"/>
        </w:rPr>
      </w:pPr>
    </w:p>
    <w:p w14:paraId="13ACB7BA" w14:textId="77777777" w:rsidR="002C6574" w:rsidRDefault="00000000">
      <w:pPr>
        <w:pStyle w:val="Corpodetexto"/>
        <w:ind w:left="709" w:right="178"/>
        <w:rPr>
          <w:rFonts w:ascii="Calibri" w:hAnsi="Calibri"/>
        </w:rPr>
      </w:pPr>
      <w:r>
        <w:rPr>
          <w:rFonts w:ascii="Calibri" w:hAnsi="Calibri"/>
          <w:color w:val="001F60"/>
        </w:rPr>
        <w:t>usuário realize a montagem de forma rápida e simplificada, assegurando acesso confiável à internet em situações emergenciais ou em áreas remotas.</w:t>
      </w:r>
    </w:p>
    <w:p w14:paraId="64110594" w14:textId="77777777" w:rsidR="002C6574" w:rsidRDefault="00000000">
      <w:pPr>
        <w:pStyle w:val="Corpodetexto"/>
        <w:spacing w:before="118"/>
        <w:ind w:left="709"/>
        <w:rPr>
          <w:rFonts w:ascii="Calibri"/>
        </w:rPr>
      </w:pPr>
      <w:r>
        <w:rPr>
          <w:rFonts w:ascii="Calibri"/>
          <w:color w:val="001F60"/>
        </w:rPr>
        <w:t>Link:</w:t>
      </w:r>
      <w:r>
        <w:rPr>
          <w:rFonts w:ascii="Calibri"/>
          <w:color w:val="001F60"/>
          <w:spacing w:val="-2"/>
        </w:rPr>
        <w:t xml:space="preserve"> </w:t>
      </w:r>
      <w:r>
        <w:rPr>
          <w:rFonts w:ascii="Calibri"/>
          <w:color w:val="0000FF"/>
          <w:spacing w:val="-2"/>
          <w:u w:val="single" w:color="0000FF"/>
        </w:rPr>
        <w:t>T3SAT</w:t>
      </w:r>
    </w:p>
    <w:p w14:paraId="7C0FE2A4" w14:textId="77777777" w:rsidR="002C6574" w:rsidRDefault="002C6574">
      <w:pPr>
        <w:pStyle w:val="Corpodetexto"/>
        <w:spacing w:before="241"/>
        <w:rPr>
          <w:rFonts w:ascii="Calibri"/>
        </w:rPr>
      </w:pPr>
    </w:p>
    <w:p w14:paraId="0876B2A8" w14:textId="77777777" w:rsidR="002C6574" w:rsidRDefault="00000000">
      <w:pPr>
        <w:ind w:left="709"/>
        <w:jc w:val="both"/>
        <w:rPr>
          <w:rFonts w:ascii="Calibri"/>
          <w:b/>
        </w:rPr>
      </w:pPr>
      <w:r>
        <w:rPr>
          <w:rFonts w:ascii="Calibri"/>
          <w:b/>
          <w:color w:val="001F60"/>
        </w:rPr>
        <w:t>TELEBRAS</w:t>
      </w:r>
      <w:r>
        <w:rPr>
          <w:rFonts w:ascii="Calibri"/>
          <w:b/>
          <w:color w:val="001F60"/>
          <w:spacing w:val="-6"/>
        </w:rPr>
        <w:t xml:space="preserve"> </w:t>
      </w:r>
      <w:r>
        <w:rPr>
          <w:rFonts w:ascii="Calibri"/>
          <w:b/>
          <w:color w:val="001F60"/>
          <w:spacing w:val="-4"/>
        </w:rPr>
        <w:t>TECH</w:t>
      </w:r>
    </w:p>
    <w:p w14:paraId="4CB07AEC" w14:textId="77777777" w:rsidR="002C6574" w:rsidRDefault="00000000">
      <w:pPr>
        <w:pStyle w:val="Corpodetexto"/>
        <w:spacing w:before="120"/>
        <w:ind w:left="709" w:right="278"/>
        <w:jc w:val="both"/>
        <w:rPr>
          <w:rFonts w:ascii="Calibri" w:hAnsi="Calibri"/>
        </w:rPr>
      </w:pPr>
      <w:r>
        <w:rPr>
          <w:rFonts w:ascii="Calibri" w:hAnsi="Calibri"/>
          <w:color w:val="001F60"/>
        </w:rPr>
        <w:t>Os serviços digitais</w:t>
      </w:r>
      <w:r>
        <w:rPr>
          <w:rFonts w:ascii="Calibri" w:hAnsi="Calibri"/>
          <w:color w:val="001F60"/>
          <w:spacing w:val="-2"/>
        </w:rPr>
        <w:t xml:space="preserve"> </w:t>
      </w:r>
      <w:r>
        <w:rPr>
          <w:rFonts w:ascii="Calibri" w:hAnsi="Calibri"/>
          <w:color w:val="001F60"/>
        </w:rPr>
        <w:t>ofertados pela Telebras Tech são classificados como Serviços</w:t>
      </w:r>
      <w:r>
        <w:rPr>
          <w:rFonts w:ascii="Calibri" w:hAnsi="Calibri"/>
          <w:color w:val="001F60"/>
          <w:spacing w:val="-2"/>
        </w:rPr>
        <w:t xml:space="preserve"> </w:t>
      </w:r>
      <w:r>
        <w:rPr>
          <w:rFonts w:ascii="Calibri" w:hAnsi="Calibri"/>
          <w:color w:val="001F60"/>
        </w:rPr>
        <w:t>de Valor Adicionado (SVA), por complementarem e ampliarem as funcionalidades dos serviços de telecomunicações prestados pela Telebras. Essas soluções apoiam a transformação digital de clientes institucionais e corporativos,</w:t>
      </w:r>
      <w:r>
        <w:rPr>
          <w:rFonts w:ascii="Calibri" w:hAnsi="Calibri"/>
          <w:color w:val="001F60"/>
          <w:spacing w:val="-10"/>
        </w:rPr>
        <w:t xml:space="preserve"> </w:t>
      </w:r>
      <w:r>
        <w:rPr>
          <w:rFonts w:ascii="Calibri" w:hAnsi="Calibri"/>
          <w:color w:val="001F60"/>
        </w:rPr>
        <w:t>oferecendo</w:t>
      </w:r>
      <w:r>
        <w:rPr>
          <w:rFonts w:ascii="Calibri" w:hAnsi="Calibri"/>
          <w:color w:val="001F60"/>
          <w:spacing w:val="-6"/>
        </w:rPr>
        <w:t xml:space="preserve"> </w:t>
      </w:r>
      <w:r>
        <w:rPr>
          <w:rFonts w:ascii="Calibri" w:hAnsi="Calibri"/>
          <w:color w:val="001F60"/>
        </w:rPr>
        <w:t>recursos</w:t>
      </w:r>
      <w:r>
        <w:rPr>
          <w:rFonts w:ascii="Calibri" w:hAnsi="Calibri"/>
          <w:color w:val="001F60"/>
          <w:spacing w:val="-8"/>
        </w:rPr>
        <w:t xml:space="preserve"> </w:t>
      </w:r>
      <w:r>
        <w:rPr>
          <w:rFonts w:ascii="Calibri" w:hAnsi="Calibri"/>
          <w:color w:val="001F60"/>
        </w:rPr>
        <w:t>tecnológicos</w:t>
      </w:r>
      <w:r>
        <w:rPr>
          <w:rFonts w:ascii="Calibri" w:hAnsi="Calibri"/>
          <w:color w:val="001F60"/>
          <w:spacing w:val="-8"/>
        </w:rPr>
        <w:t xml:space="preserve"> </w:t>
      </w:r>
      <w:r>
        <w:rPr>
          <w:rFonts w:ascii="Calibri" w:hAnsi="Calibri"/>
          <w:color w:val="001F60"/>
        </w:rPr>
        <w:t>que</w:t>
      </w:r>
      <w:r>
        <w:rPr>
          <w:rFonts w:ascii="Calibri" w:hAnsi="Calibri"/>
          <w:color w:val="001F60"/>
          <w:spacing w:val="-6"/>
        </w:rPr>
        <w:t xml:space="preserve"> </w:t>
      </w:r>
      <w:r>
        <w:rPr>
          <w:rFonts w:ascii="Calibri" w:hAnsi="Calibri"/>
          <w:color w:val="001F60"/>
        </w:rPr>
        <w:t>agregam</w:t>
      </w:r>
      <w:r>
        <w:rPr>
          <w:rFonts w:ascii="Calibri" w:hAnsi="Calibri"/>
          <w:color w:val="001F60"/>
          <w:spacing w:val="-8"/>
        </w:rPr>
        <w:t xml:space="preserve"> </w:t>
      </w:r>
      <w:r>
        <w:rPr>
          <w:rFonts w:ascii="Calibri" w:hAnsi="Calibri"/>
          <w:color w:val="001F60"/>
        </w:rPr>
        <w:t>valor,</w:t>
      </w:r>
      <w:r>
        <w:rPr>
          <w:rFonts w:ascii="Calibri" w:hAnsi="Calibri"/>
          <w:color w:val="001F60"/>
          <w:spacing w:val="-8"/>
        </w:rPr>
        <w:t xml:space="preserve"> </w:t>
      </w:r>
      <w:r>
        <w:rPr>
          <w:rFonts w:ascii="Calibri" w:hAnsi="Calibri"/>
          <w:color w:val="001F60"/>
        </w:rPr>
        <w:t>modernizam</w:t>
      </w:r>
      <w:r>
        <w:rPr>
          <w:rFonts w:ascii="Calibri" w:hAnsi="Calibri"/>
          <w:color w:val="001F60"/>
          <w:spacing w:val="-6"/>
        </w:rPr>
        <w:t xml:space="preserve"> </w:t>
      </w:r>
      <w:r>
        <w:rPr>
          <w:rFonts w:ascii="Calibri" w:hAnsi="Calibri"/>
          <w:color w:val="001F60"/>
        </w:rPr>
        <w:t>processos</w:t>
      </w:r>
      <w:r>
        <w:rPr>
          <w:rFonts w:ascii="Calibri" w:hAnsi="Calibri"/>
          <w:color w:val="001F60"/>
          <w:spacing w:val="-10"/>
        </w:rPr>
        <w:t xml:space="preserve"> </w:t>
      </w:r>
      <w:r>
        <w:rPr>
          <w:rFonts w:ascii="Calibri" w:hAnsi="Calibri"/>
          <w:color w:val="001F60"/>
        </w:rPr>
        <w:t>e</w:t>
      </w:r>
      <w:r>
        <w:rPr>
          <w:rFonts w:ascii="Calibri" w:hAnsi="Calibri"/>
          <w:color w:val="001F60"/>
          <w:spacing w:val="-6"/>
        </w:rPr>
        <w:t xml:space="preserve"> </w:t>
      </w:r>
      <w:r>
        <w:rPr>
          <w:rFonts w:ascii="Calibri" w:hAnsi="Calibri"/>
          <w:color w:val="001F60"/>
        </w:rPr>
        <w:t>ampliam a eficiência operacional dos ambientes atendidos.</w:t>
      </w:r>
    </w:p>
    <w:p w14:paraId="296889CD" w14:textId="77777777" w:rsidR="002C6574" w:rsidRDefault="00000000">
      <w:pPr>
        <w:pStyle w:val="Corpodetexto"/>
        <w:spacing w:before="121"/>
        <w:ind w:left="709"/>
        <w:jc w:val="both"/>
        <w:rPr>
          <w:rFonts w:ascii="Calibri"/>
        </w:rPr>
      </w:pPr>
      <w:r>
        <w:rPr>
          <w:rFonts w:ascii="Calibri"/>
          <w:color w:val="001F60"/>
        </w:rPr>
        <w:t>Link:</w:t>
      </w:r>
      <w:r>
        <w:rPr>
          <w:rFonts w:ascii="Calibri"/>
          <w:color w:val="001F60"/>
          <w:spacing w:val="-4"/>
        </w:rPr>
        <w:t xml:space="preserve"> </w:t>
      </w:r>
      <w:r>
        <w:rPr>
          <w:rFonts w:ascii="Calibri"/>
          <w:color w:val="0000FF"/>
          <w:u w:val="single" w:color="0000FF"/>
        </w:rPr>
        <w:t>Telebras</w:t>
      </w:r>
      <w:r>
        <w:rPr>
          <w:rFonts w:ascii="Calibri"/>
          <w:color w:val="0000FF"/>
          <w:spacing w:val="-3"/>
          <w:u w:val="single" w:color="0000FF"/>
        </w:rPr>
        <w:t xml:space="preserve"> </w:t>
      </w:r>
      <w:r>
        <w:rPr>
          <w:rFonts w:ascii="Calibri"/>
          <w:color w:val="0000FF"/>
          <w:spacing w:val="-4"/>
          <w:u w:val="single" w:color="0000FF"/>
        </w:rPr>
        <w:t>Tech</w:t>
      </w:r>
    </w:p>
    <w:p w14:paraId="2A7B3DB0" w14:textId="77777777" w:rsidR="002C6574" w:rsidRDefault="00000000">
      <w:pPr>
        <w:spacing w:before="121"/>
        <w:ind w:left="709"/>
        <w:jc w:val="both"/>
        <w:rPr>
          <w:rFonts w:ascii="Calibri" w:hAnsi="Calibri"/>
          <w:b/>
          <w:i/>
        </w:rPr>
      </w:pPr>
      <w:r>
        <w:rPr>
          <w:rFonts w:ascii="Calibri" w:hAnsi="Calibri"/>
          <w:b/>
          <w:color w:val="001F60"/>
        </w:rPr>
        <w:t>Computação</w:t>
      </w:r>
      <w:r>
        <w:rPr>
          <w:rFonts w:ascii="Calibri" w:hAnsi="Calibri"/>
          <w:b/>
          <w:color w:val="001F60"/>
          <w:spacing w:val="-4"/>
        </w:rPr>
        <w:t xml:space="preserve"> </w:t>
      </w:r>
      <w:r>
        <w:rPr>
          <w:rFonts w:ascii="Calibri" w:hAnsi="Calibri"/>
          <w:b/>
          <w:color w:val="001F60"/>
        </w:rPr>
        <w:t>de</w:t>
      </w:r>
      <w:r>
        <w:rPr>
          <w:rFonts w:ascii="Calibri" w:hAnsi="Calibri"/>
          <w:b/>
          <w:color w:val="001F60"/>
          <w:spacing w:val="-2"/>
        </w:rPr>
        <w:t xml:space="preserve"> </w:t>
      </w:r>
      <w:r>
        <w:rPr>
          <w:rFonts w:ascii="Calibri" w:hAnsi="Calibri"/>
          <w:b/>
          <w:color w:val="001F60"/>
        </w:rPr>
        <w:t>Borda</w:t>
      </w:r>
      <w:r>
        <w:rPr>
          <w:rFonts w:ascii="Calibri" w:hAnsi="Calibri"/>
          <w:b/>
          <w:color w:val="001F60"/>
          <w:spacing w:val="-5"/>
        </w:rPr>
        <w:t xml:space="preserve"> </w:t>
      </w:r>
      <w:r>
        <w:rPr>
          <w:rFonts w:ascii="Calibri" w:hAnsi="Calibri"/>
          <w:b/>
          <w:color w:val="001F60"/>
        </w:rPr>
        <w:t>(</w:t>
      </w:r>
      <w:r>
        <w:rPr>
          <w:rFonts w:ascii="Calibri" w:hAnsi="Calibri"/>
          <w:b/>
          <w:i/>
          <w:color w:val="001F60"/>
        </w:rPr>
        <w:t>EDGE</w:t>
      </w:r>
      <w:r>
        <w:rPr>
          <w:rFonts w:ascii="Calibri" w:hAnsi="Calibri"/>
          <w:b/>
          <w:i/>
          <w:color w:val="001F60"/>
          <w:spacing w:val="-3"/>
        </w:rPr>
        <w:t xml:space="preserve"> </w:t>
      </w:r>
      <w:r>
        <w:rPr>
          <w:rFonts w:ascii="Calibri" w:hAnsi="Calibri"/>
          <w:b/>
          <w:i/>
          <w:color w:val="001F60"/>
          <w:spacing w:val="-2"/>
        </w:rPr>
        <w:t>Computing)</w:t>
      </w:r>
    </w:p>
    <w:p w14:paraId="54FA55F6" w14:textId="77777777" w:rsidR="002C6574" w:rsidRDefault="00000000">
      <w:pPr>
        <w:pStyle w:val="Corpodetexto"/>
        <w:spacing w:before="117"/>
        <w:ind w:left="709" w:right="277"/>
        <w:jc w:val="both"/>
        <w:rPr>
          <w:rFonts w:ascii="Calibri" w:hAnsi="Calibri"/>
        </w:rPr>
      </w:pPr>
      <w:r>
        <w:rPr>
          <w:rFonts w:ascii="Calibri" w:hAnsi="Calibri"/>
          <w:color w:val="001F60"/>
        </w:rPr>
        <w:t>É uma</w:t>
      </w:r>
      <w:r>
        <w:rPr>
          <w:rFonts w:ascii="Calibri" w:hAnsi="Calibri"/>
          <w:color w:val="001F60"/>
          <w:spacing w:val="-1"/>
        </w:rPr>
        <w:t xml:space="preserve"> </w:t>
      </w:r>
      <w:r>
        <w:rPr>
          <w:rFonts w:ascii="Calibri" w:hAnsi="Calibri"/>
          <w:color w:val="001F60"/>
        </w:rPr>
        <w:t>solução da Telebras</w:t>
      </w:r>
      <w:r>
        <w:rPr>
          <w:rFonts w:ascii="Calibri" w:hAnsi="Calibri"/>
          <w:color w:val="001F60"/>
          <w:spacing w:val="-2"/>
        </w:rPr>
        <w:t xml:space="preserve"> </w:t>
      </w:r>
      <w:r>
        <w:rPr>
          <w:rFonts w:ascii="Calibri" w:hAnsi="Calibri"/>
          <w:color w:val="001F60"/>
        </w:rPr>
        <w:t>que permite o processamento descentralizado de dados, próximo ao local onde são gerados. Ao reduzir a necessidade de encaminhamento das informações para ambientes centralizados</w:t>
      </w:r>
      <w:r>
        <w:rPr>
          <w:rFonts w:ascii="Calibri" w:hAnsi="Calibri"/>
          <w:color w:val="001F60"/>
          <w:spacing w:val="-13"/>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processamento,</w:t>
      </w:r>
      <w:r>
        <w:rPr>
          <w:rFonts w:ascii="Calibri" w:hAnsi="Calibri"/>
          <w:color w:val="001F60"/>
          <w:spacing w:val="-13"/>
        </w:rPr>
        <w:t xml:space="preserve"> </w:t>
      </w:r>
      <w:r>
        <w:rPr>
          <w:rFonts w:ascii="Calibri" w:hAnsi="Calibri"/>
          <w:color w:val="001F60"/>
        </w:rPr>
        <w:t>a</w:t>
      </w:r>
      <w:r>
        <w:rPr>
          <w:rFonts w:ascii="Calibri" w:hAnsi="Calibri"/>
          <w:color w:val="001F60"/>
          <w:spacing w:val="-12"/>
        </w:rPr>
        <w:t xml:space="preserve"> </w:t>
      </w:r>
      <w:r>
        <w:rPr>
          <w:rFonts w:ascii="Calibri" w:hAnsi="Calibri"/>
          <w:color w:val="001F60"/>
        </w:rPr>
        <w:t>tecnologia</w:t>
      </w:r>
      <w:r>
        <w:rPr>
          <w:rFonts w:ascii="Calibri" w:hAnsi="Calibri"/>
          <w:color w:val="001F60"/>
          <w:spacing w:val="-13"/>
        </w:rPr>
        <w:t xml:space="preserve"> </w:t>
      </w:r>
      <w:r>
        <w:rPr>
          <w:rFonts w:ascii="Calibri" w:hAnsi="Calibri"/>
          <w:color w:val="001F60"/>
        </w:rPr>
        <w:t>diminui</w:t>
      </w:r>
      <w:r>
        <w:rPr>
          <w:rFonts w:ascii="Calibri" w:hAnsi="Calibri"/>
          <w:color w:val="001F60"/>
          <w:spacing w:val="-12"/>
        </w:rPr>
        <w:t xml:space="preserve"> </w:t>
      </w:r>
      <w:r>
        <w:rPr>
          <w:rFonts w:ascii="Calibri" w:hAnsi="Calibri"/>
          <w:color w:val="001F60"/>
        </w:rPr>
        <w:t>a</w:t>
      </w:r>
      <w:r>
        <w:rPr>
          <w:rFonts w:ascii="Calibri" w:hAnsi="Calibri"/>
          <w:color w:val="001F60"/>
          <w:spacing w:val="-13"/>
        </w:rPr>
        <w:t xml:space="preserve"> </w:t>
      </w:r>
      <w:r>
        <w:rPr>
          <w:rFonts w:ascii="Calibri" w:hAnsi="Calibri"/>
          <w:color w:val="001F60"/>
        </w:rPr>
        <w:t>latência,</w:t>
      </w:r>
      <w:r>
        <w:rPr>
          <w:rFonts w:ascii="Calibri" w:hAnsi="Calibri"/>
          <w:color w:val="001F60"/>
          <w:spacing w:val="-12"/>
        </w:rPr>
        <w:t xml:space="preserve"> </w:t>
      </w:r>
      <w:r>
        <w:rPr>
          <w:rFonts w:ascii="Calibri" w:hAnsi="Calibri"/>
          <w:color w:val="001F60"/>
        </w:rPr>
        <w:t>melhora</w:t>
      </w:r>
      <w:r>
        <w:rPr>
          <w:rFonts w:ascii="Calibri" w:hAnsi="Calibri"/>
          <w:color w:val="001F60"/>
          <w:spacing w:val="-12"/>
        </w:rPr>
        <w:t xml:space="preserve"> </w:t>
      </w:r>
      <w:r>
        <w:rPr>
          <w:rFonts w:ascii="Calibri" w:hAnsi="Calibri"/>
          <w:color w:val="001F60"/>
        </w:rPr>
        <w:t>o</w:t>
      </w:r>
      <w:r>
        <w:rPr>
          <w:rFonts w:ascii="Calibri" w:hAnsi="Calibri"/>
          <w:color w:val="001F60"/>
          <w:spacing w:val="-13"/>
        </w:rPr>
        <w:t xml:space="preserve"> </w:t>
      </w:r>
      <w:r>
        <w:rPr>
          <w:rFonts w:ascii="Calibri" w:hAnsi="Calibri"/>
          <w:color w:val="001F60"/>
        </w:rPr>
        <w:t>desempenho</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aplicações sensíveis ao tempo de resposta e amplia a eficiência operacional em cenários distribuídos.</w:t>
      </w:r>
    </w:p>
    <w:p w14:paraId="22C0B415" w14:textId="77777777" w:rsidR="002C6574" w:rsidRDefault="00000000">
      <w:pPr>
        <w:pStyle w:val="Corpodetexto"/>
        <w:spacing w:before="121"/>
        <w:ind w:left="709" w:right="279"/>
        <w:jc w:val="both"/>
        <w:rPr>
          <w:rFonts w:ascii="Arial" w:hAnsi="Arial"/>
          <w:i/>
        </w:rPr>
      </w:pPr>
      <w:r>
        <w:rPr>
          <w:rFonts w:ascii="Calibri" w:hAnsi="Calibri"/>
          <w:color w:val="001F60"/>
        </w:rPr>
        <w:t>Essa</w:t>
      </w:r>
      <w:r>
        <w:rPr>
          <w:rFonts w:ascii="Calibri" w:hAnsi="Calibri"/>
          <w:color w:val="001F60"/>
          <w:spacing w:val="-8"/>
        </w:rPr>
        <w:t xml:space="preserve"> </w:t>
      </w:r>
      <w:r>
        <w:rPr>
          <w:rFonts w:ascii="Calibri" w:hAnsi="Calibri"/>
          <w:color w:val="001F60"/>
        </w:rPr>
        <w:t>abordagem</w:t>
      </w:r>
      <w:r>
        <w:rPr>
          <w:rFonts w:ascii="Calibri" w:hAnsi="Calibri"/>
          <w:color w:val="001F60"/>
          <w:spacing w:val="-8"/>
        </w:rPr>
        <w:t xml:space="preserve"> </w:t>
      </w:r>
      <w:r>
        <w:rPr>
          <w:rFonts w:ascii="Calibri" w:hAnsi="Calibri"/>
          <w:color w:val="001F60"/>
        </w:rPr>
        <w:t>contribui</w:t>
      </w:r>
      <w:r>
        <w:rPr>
          <w:rFonts w:ascii="Calibri" w:hAnsi="Calibri"/>
          <w:color w:val="001F60"/>
          <w:spacing w:val="-12"/>
        </w:rPr>
        <w:t xml:space="preserve"> </w:t>
      </w:r>
      <w:r>
        <w:rPr>
          <w:rFonts w:ascii="Calibri" w:hAnsi="Calibri"/>
          <w:color w:val="001F60"/>
        </w:rPr>
        <w:t>para</w:t>
      </w:r>
      <w:r>
        <w:rPr>
          <w:rFonts w:ascii="Calibri" w:hAnsi="Calibri"/>
          <w:color w:val="001F60"/>
          <w:spacing w:val="-10"/>
        </w:rPr>
        <w:t xml:space="preserve"> </w:t>
      </w:r>
      <w:r>
        <w:rPr>
          <w:rFonts w:ascii="Calibri" w:hAnsi="Calibri"/>
          <w:color w:val="001F60"/>
        </w:rPr>
        <w:t>a</w:t>
      </w:r>
      <w:r>
        <w:rPr>
          <w:rFonts w:ascii="Calibri" w:hAnsi="Calibri"/>
          <w:color w:val="001F60"/>
          <w:spacing w:val="-8"/>
        </w:rPr>
        <w:t xml:space="preserve"> </w:t>
      </w:r>
      <w:r>
        <w:rPr>
          <w:rFonts w:ascii="Calibri" w:hAnsi="Calibri"/>
          <w:color w:val="001F60"/>
        </w:rPr>
        <w:t>otimização</w:t>
      </w:r>
      <w:r>
        <w:rPr>
          <w:rFonts w:ascii="Calibri" w:hAnsi="Calibri"/>
          <w:color w:val="001F60"/>
          <w:spacing w:val="-8"/>
        </w:rPr>
        <w:t xml:space="preserve"> </w:t>
      </w:r>
      <w:r>
        <w:rPr>
          <w:rFonts w:ascii="Calibri" w:hAnsi="Calibri"/>
          <w:color w:val="001F60"/>
        </w:rPr>
        <w:t>do</w:t>
      </w:r>
      <w:r>
        <w:rPr>
          <w:rFonts w:ascii="Calibri" w:hAnsi="Calibri"/>
          <w:color w:val="001F60"/>
          <w:spacing w:val="-8"/>
        </w:rPr>
        <w:t xml:space="preserve"> </w:t>
      </w:r>
      <w:r>
        <w:rPr>
          <w:rFonts w:ascii="Calibri" w:hAnsi="Calibri"/>
          <w:color w:val="001F60"/>
        </w:rPr>
        <w:t>uso</w:t>
      </w:r>
      <w:r>
        <w:rPr>
          <w:rFonts w:ascii="Calibri" w:hAnsi="Calibri"/>
          <w:color w:val="001F60"/>
          <w:spacing w:val="-8"/>
        </w:rPr>
        <w:t xml:space="preserve"> </w:t>
      </w:r>
      <w:r>
        <w:rPr>
          <w:rFonts w:ascii="Calibri" w:hAnsi="Calibri"/>
          <w:color w:val="001F60"/>
        </w:rPr>
        <w:t>da</w:t>
      </w:r>
      <w:r>
        <w:rPr>
          <w:rFonts w:ascii="Calibri" w:hAnsi="Calibri"/>
          <w:color w:val="001F60"/>
          <w:spacing w:val="-8"/>
        </w:rPr>
        <w:t xml:space="preserve"> </w:t>
      </w:r>
      <w:r>
        <w:rPr>
          <w:rFonts w:ascii="Calibri" w:hAnsi="Calibri"/>
          <w:color w:val="001F60"/>
        </w:rPr>
        <w:t>infraestrutura</w:t>
      </w:r>
      <w:r>
        <w:rPr>
          <w:rFonts w:ascii="Calibri" w:hAnsi="Calibri"/>
          <w:color w:val="001F60"/>
          <w:spacing w:val="-10"/>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rede,</w:t>
      </w:r>
      <w:r>
        <w:rPr>
          <w:rFonts w:ascii="Calibri" w:hAnsi="Calibri"/>
          <w:color w:val="001F60"/>
          <w:spacing w:val="-8"/>
        </w:rPr>
        <w:t xml:space="preserve"> </w:t>
      </w:r>
      <w:r>
        <w:rPr>
          <w:rFonts w:ascii="Calibri" w:hAnsi="Calibri"/>
          <w:color w:val="001F60"/>
        </w:rPr>
        <w:t>favorece</w:t>
      </w:r>
      <w:r>
        <w:rPr>
          <w:rFonts w:ascii="Calibri" w:hAnsi="Calibri"/>
          <w:color w:val="001F60"/>
          <w:spacing w:val="-10"/>
        </w:rPr>
        <w:t xml:space="preserve"> </w:t>
      </w:r>
      <w:r>
        <w:rPr>
          <w:rFonts w:ascii="Calibri" w:hAnsi="Calibri"/>
          <w:color w:val="001F60"/>
        </w:rPr>
        <w:t>a</w:t>
      </w:r>
      <w:r>
        <w:rPr>
          <w:rFonts w:ascii="Calibri" w:hAnsi="Calibri"/>
          <w:color w:val="001F60"/>
          <w:spacing w:val="-8"/>
        </w:rPr>
        <w:t xml:space="preserve"> </w:t>
      </w:r>
      <w:r>
        <w:rPr>
          <w:rFonts w:ascii="Calibri" w:hAnsi="Calibri"/>
          <w:color w:val="001F60"/>
        </w:rPr>
        <w:t>continuidade de serviços e apoia aplicações que demandam maior agilidade, escalabilidade e confiabilidade</w:t>
      </w:r>
      <w:r>
        <w:rPr>
          <w:rFonts w:ascii="Arial" w:hAnsi="Arial"/>
          <w:i/>
          <w:color w:val="001F60"/>
        </w:rPr>
        <w:t>.</w:t>
      </w:r>
    </w:p>
    <w:p w14:paraId="55C94AD1" w14:textId="77777777" w:rsidR="002C6574" w:rsidRDefault="00000000">
      <w:pPr>
        <w:spacing w:before="121"/>
        <w:ind w:left="709"/>
        <w:jc w:val="both"/>
        <w:rPr>
          <w:rFonts w:ascii="Calibri"/>
          <w:b/>
        </w:rPr>
      </w:pPr>
      <w:r>
        <w:rPr>
          <w:rFonts w:ascii="Calibri"/>
          <w:b/>
          <w:color w:val="001F60"/>
        </w:rPr>
        <w:t>Infraestrutura</w:t>
      </w:r>
      <w:r>
        <w:rPr>
          <w:rFonts w:ascii="Calibri"/>
          <w:b/>
          <w:color w:val="001F60"/>
          <w:spacing w:val="-4"/>
        </w:rPr>
        <w:t xml:space="preserve"> </w:t>
      </w:r>
      <w:r>
        <w:rPr>
          <w:rFonts w:ascii="Calibri"/>
          <w:b/>
          <w:color w:val="001F60"/>
          <w:spacing w:val="-2"/>
        </w:rPr>
        <w:t>(IaaS)</w:t>
      </w:r>
    </w:p>
    <w:p w14:paraId="26480ED1" w14:textId="77777777" w:rsidR="002C6574" w:rsidRDefault="00000000">
      <w:pPr>
        <w:pStyle w:val="Corpodetexto"/>
        <w:spacing w:before="120"/>
        <w:ind w:left="709" w:right="274"/>
        <w:jc w:val="both"/>
        <w:rPr>
          <w:rFonts w:ascii="Calibri" w:hAnsi="Calibri"/>
        </w:rPr>
      </w:pPr>
      <w:r>
        <w:rPr>
          <w:rFonts w:ascii="Calibri" w:hAnsi="Calibri"/>
          <w:color w:val="001F60"/>
        </w:rPr>
        <w:t>A solução de Infraestrutura como serviço (IaaS) disponibiliza, sob demanda, recursos de computação escaláveis para atendimento às necessidades de clientes institucionais e corporativos. Essa modalidade permite que os usuários utilizem recursos de processamento, armazenamento e de rede sem a necessidade de adquirir, instalar ou gerenciar equipamentos físicos, resultando em maior flexibilidade, escalabilidade e otimização de custos operacionais.</w:t>
      </w:r>
    </w:p>
    <w:p w14:paraId="356D2811" w14:textId="77777777" w:rsidR="002C6574" w:rsidRDefault="00000000">
      <w:pPr>
        <w:pStyle w:val="Corpodetexto"/>
        <w:spacing w:before="119"/>
        <w:ind w:left="709" w:right="277"/>
        <w:jc w:val="both"/>
        <w:rPr>
          <w:rFonts w:ascii="Calibri" w:hAnsi="Calibri"/>
        </w:rPr>
      </w:pPr>
      <w:r>
        <w:rPr>
          <w:rFonts w:ascii="Calibri" w:hAnsi="Calibri"/>
          <w:color w:val="001F60"/>
        </w:rPr>
        <w:t>Ao adotar o modelo IaaS, a infraestrutura é provisionada e gerenciada de forma centralizada, possibilitando a alocação eficiente de recursos, o ajuste dinâmico da capacidade contratada e a adequação do ambiente tecnológico às demandas específicas de cada operação. Essa abordagem contribui para a modernização dos ambientes de tecnologia e para o ganho de eficiência no uso de recursos computacionais.</w:t>
      </w:r>
    </w:p>
    <w:p w14:paraId="37A6DA3C" w14:textId="77777777" w:rsidR="002C6574" w:rsidRDefault="00000000">
      <w:pPr>
        <w:spacing w:before="121"/>
        <w:ind w:left="709"/>
        <w:jc w:val="both"/>
        <w:rPr>
          <w:rFonts w:ascii="Calibri"/>
          <w:b/>
        </w:rPr>
      </w:pPr>
      <w:r>
        <w:rPr>
          <w:rFonts w:ascii="Calibri"/>
          <w:b/>
          <w:i/>
          <w:color w:val="001F60"/>
        </w:rPr>
        <w:t>Backup</w:t>
      </w:r>
      <w:r>
        <w:rPr>
          <w:rFonts w:ascii="Calibri"/>
          <w:b/>
          <w:i/>
          <w:color w:val="001F60"/>
          <w:spacing w:val="-2"/>
        </w:rPr>
        <w:t xml:space="preserve"> </w:t>
      </w:r>
      <w:r>
        <w:rPr>
          <w:rFonts w:ascii="Calibri"/>
          <w:b/>
          <w:color w:val="001F60"/>
          <w:spacing w:val="-2"/>
        </w:rPr>
        <w:t>(BaaS)</w:t>
      </w:r>
    </w:p>
    <w:p w14:paraId="170F0345" w14:textId="77777777" w:rsidR="002C6574" w:rsidRDefault="00000000">
      <w:pPr>
        <w:pStyle w:val="Corpodetexto"/>
        <w:spacing w:before="120"/>
        <w:ind w:left="709" w:right="277"/>
        <w:jc w:val="both"/>
        <w:rPr>
          <w:rFonts w:ascii="Calibri" w:hAnsi="Calibri"/>
        </w:rPr>
      </w:pPr>
      <w:r>
        <w:rPr>
          <w:rFonts w:ascii="Calibri" w:hAnsi="Calibri"/>
          <w:color w:val="001F60"/>
        </w:rPr>
        <w:t>O Backup como Serviço (BaaS) da Telebras oferece uma solução gerenciada de proteção de dados, baseada em infraestrutura em nuvem, com elevados padrões de disponibilidade, escalabilidade e confiabilidade.</w:t>
      </w:r>
      <w:r>
        <w:rPr>
          <w:rFonts w:ascii="Calibri" w:hAnsi="Calibri"/>
          <w:color w:val="001F60"/>
          <w:spacing w:val="-5"/>
        </w:rPr>
        <w:t xml:space="preserve"> </w:t>
      </w:r>
      <w:r>
        <w:rPr>
          <w:rFonts w:ascii="Calibri" w:hAnsi="Calibri"/>
          <w:color w:val="001F60"/>
        </w:rPr>
        <w:t>O</w:t>
      </w:r>
      <w:r>
        <w:rPr>
          <w:rFonts w:ascii="Calibri" w:hAnsi="Calibri"/>
          <w:color w:val="001F60"/>
          <w:spacing w:val="-3"/>
        </w:rPr>
        <w:t xml:space="preserve"> </w:t>
      </w:r>
      <w:r>
        <w:rPr>
          <w:rFonts w:ascii="Calibri" w:hAnsi="Calibri"/>
          <w:color w:val="001F60"/>
        </w:rPr>
        <w:t>serviço</w:t>
      </w:r>
      <w:r>
        <w:rPr>
          <w:rFonts w:ascii="Calibri" w:hAnsi="Calibri"/>
          <w:color w:val="001F60"/>
          <w:spacing w:val="-5"/>
        </w:rPr>
        <w:t xml:space="preserve"> </w:t>
      </w:r>
      <w:r>
        <w:rPr>
          <w:rFonts w:ascii="Calibri" w:hAnsi="Calibri"/>
          <w:color w:val="001F60"/>
        </w:rPr>
        <w:t>permite</w:t>
      </w:r>
      <w:r>
        <w:rPr>
          <w:rFonts w:ascii="Calibri" w:hAnsi="Calibri"/>
          <w:color w:val="001F60"/>
          <w:spacing w:val="-5"/>
        </w:rPr>
        <w:t xml:space="preserve"> </w:t>
      </w:r>
      <w:r>
        <w:rPr>
          <w:rFonts w:ascii="Calibri" w:hAnsi="Calibri"/>
          <w:color w:val="001F60"/>
        </w:rPr>
        <w:t>a</w:t>
      </w:r>
      <w:r>
        <w:rPr>
          <w:rFonts w:ascii="Calibri" w:hAnsi="Calibri"/>
          <w:color w:val="001F60"/>
          <w:spacing w:val="-3"/>
        </w:rPr>
        <w:t xml:space="preserve"> </w:t>
      </w:r>
      <w:r>
        <w:rPr>
          <w:rFonts w:ascii="Calibri" w:hAnsi="Calibri"/>
          <w:color w:val="001F60"/>
        </w:rPr>
        <w:t>realização</w:t>
      </w:r>
      <w:r>
        <w:rPr>
          <w:rFonts w:ascii="Calibri" w:hAnsi="Calibri"/>
          <w:color w:val="001F60"/>
          <w:spacing w:val="-1"/>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cópias</w:t>
      </w:r>
      <w:r>
        <w:rPr>
          <w:rFonts w:ascii="Calibri" w:hAnsi="Calibri"/>
          <w:color w:val="001F60"/>
          <w:spacing w:val="-3"/>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segurança,</w:t>
      </w:r>
      <w:r>
        <w:rPr>
          <w:rFonts w:ascii="Calibri" w:hAnsi="Calibri"/>
          <w:color w:val="001F60"/>
          <w:spacing w:val="-3"/>
        </w:rPr>
        <w:t xml:space="preserve"> </w:t>
      </w:r>
      <w:r>
        <w:rPr>
          <w:rFonts w:ascii="Calibri" w:hAnsi="Calibri"/>
          <w:color w:val="001F60"/>
        </w:rPr>
        <w:t>armazenamento</w:t>
      </w:r>
      <w:r>
        <w:rPr>
          <w:rFonts w:ascii="Calibri" w:hAnsi="Calibri"/>
          <w:color w:val="001F60"/>
          <w:spacing w:val="-5"/>
        </w:rPr>
        <w:t xml:space="preserve"> </w:t>
      </w:r>
      <w:r>
        <w:rPr>
          <w:rFonts w:ascii="Calibri" w:hAnsi="Calibri"/>
          <w:color w:val="001F60"/>
        </w:rPr>
        <w:t>e</w:t>
      </w:r>
      <w:r>
        <w:rPr>
          <w:rFonts w:ascii="Calibri" w:hAnsi="Calibri"/>
          <w:color w:val="001F60"/>
          <w:spacing w:val="-3"/>
        </w:rPr>
        <w:t xml:space="preserve"> </w:t>
      </w:r>
      <w:r>
        <w:rPr>
          <w:rFonts w:ascii="Calibri" w:hAnsi="Calibri"/>
          <w:color w:val="001F60"/>
        </w:rPr>
        <w:t>recuperação de</w:t>
      </w:r>
      <w:r>
        <w:rPr>
          <w:rFonts w:ascii="Calibri" w:hAnsi="Calibri"/>
          <w:color w:val="001F60"/>
          <w:spacing w:val="-3"/>
        </w:rPr>
        <w:t xml:space="preserve"> </w:t>
      </w:r>
      <w:r>
        <w:rPr>
          <w:rFonts w:ascii="Calibri" w:hAnsi="Calibri"/>
          <w:color w:val="001F60"/>
        </w:rPr>
        <w:t>informações</w:t>
      </w:r>
      <w:r>
        <w:rPr>
          <w:rFonts w:ascii="Calibri" w:hAnsi="Calibri"/>
          <w:color w:val="001F60"/>
          <w:spacing w:val="-3"/>
        </w:rPr>
        <w:t xml:space="preserve"> </w:t>
      </w:r>
      <w:r>
        <w:rPr>
          <w:rFonts w:ascii="Calibri" w:hAnsi="Calibri"/>
          <w:color w:val="001F60"/>
        </w:rPr>
        <w:t>críticas</w:t>
      </w:r>
      <w:r>
        <w:rPr>
          <w:rFonts w:ascii="Calibri" w:hAnsi="Calibri"/>
          <w:color w:val="001F60"/>
          <w:spacing w:val="-6"/>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forma</w:t>
      </w:r>
      <w:r>
        <w:rPr>
          <w:rFonts w:ascii="Calibri" w:hAnsi="Calibri"/>
          <w:color w:val="001F60"/>
          <w:spacing w:val="-3"/>
        </w:rPr>
        <w:t xml:space="preserve"> </w:t>
      </w:r>
      <w:r>
        <w:rPr>
          <w:rFonts w:ascii="Calibri" w:hAnsi="Calibri"/>
          <w:color w:val="001F60"/>
        </w:rPr>
        <w:t>segura,</w:t>
      </w:r>
      <w:r>
        <w:rPr>
          <w:rFonts w:ascii="Calibri" w:hAnsi="Calibri"/>
          <w:color w:val="001F60"/>
          <w:spacing w:val="-3"/>
        </w:rPr>
        <w:t xml:space="preserve"> </w:t>
      </w:r>
      <w:r>
        <w:rPr>
          <w:rFonts w:ascii="Calibri" w:hAnsi="Calibri"/>
          <w:color w:val="001F60"/>
        </w:rPr>
        <w:t>sem</w:t>
      </w:r>
      <w:r>
        <w:rPr>
          <w:rFonts w:ascii="Calibri" w:hAnsi="Calibri"/>
          <w:color w:val="001F60"/>
          <w:spacing w:val="-1"/>
        </w:rPr>
        <w:t xml:space="preserve"> </w:t>
      </w:r>
      <w:r>
        <w:rPr>
          <w:rFonts w:ascii="Calibri" w:hAnsi="Calibri"/>
          <w:color w:val="001F60"/>
        </w:rPr>
        <w:t>a</w:t>
      </w:r>
      <w:r>
        <w:rPr>
          <w:rFonts w:ascii="Calibri" w:hAnsi="Calibri"/>
          <w:color w:val="001F60"/>
          <w:spacing w:val="-5"/>
        </w:rPr>
        <w:t xml:space="preserve"> </w:t>
      </w:r>
      <w:r>
        <w:rPr>
          <w:rFonts w:ascii="Calibri" w:hAnsi="Calibri"/>
          <w:color w:val="001F60"/>
        </w:rPr>
        <w:t>necessidade</w:t>
      </w:r>
      <w:r>
        <w:rPr>
          <w:rFonts w:ascii="Calibri" w:hAnsi="Calibri"/>
          <w:color w:val="001F60"/>
          <w:spacing w:val="-3"/>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manutenção</w:t>
      </w:r>
      <w:r>
        <w:rPr>
          <w:rFonts w:ascii="Calibri" w:hAnsi="Calibri"/>
          <w:color w:val="001F60"/>
          <w:spacing w:val="-2"/>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infraestrutura</w:t>
      </w:r>
      <w:r>
        <w:rPr>
          <w:rFonts w:ascii="Calibri" w:hAnsi="Calibri"/>
          <w:color w:val="001F60"/>
          <w:spacing w:val="-6"/>
        </w:rPr>
        <w:t xml:space="preserve"> </w:t>
      </w:r>
      <w:r>
        <w:rPr>
          <w:rFonts w:ascii="Calibri" w:hAnsi="Calibri"/>
          <w:color w:val="001F60"/>
        </w:rPr>
        <w:t>própria por parte dos clientes.</w:t>
      </w:r>
    </w:p>
    <w:p w14:paraId="35FD2EE1" w14:textId="77777777" w:rsidR="002C6574" w:rsidRDefault="00000000">
      <w:pPr>
        <w:pStyle w:val="Corpodetexto"/>
        <w:spacing w:before="119"/>
        <w:ind w:left="709" w:right="275"/>
        <w:jc w:val="both"/>
        <w:rPr>
          <w:rFonts w:ascii="Calibri" w:hAnsi="Calibri"/>
        </w:rPr>
      </w:pPr>
      <w:r>
        <w:rPr>
          <w:rFonts w:ascii="Calibri" w:hAnsi="Calibri"/>
          <w:color w:val="001F60"/>
        </w:rPr>
        <w:t xml:space="preserve">A adoção do modelo BaaS contribui para a continuidade de negócios, oferecendo proteção contra perdas acidentais de dados, falhas de equipamentos, incidentes cibernéticos e outros eventos que possam comprometer a integridade das informações. A solução favorece a rápida recuperação em cenários de contingência e otimiza custos operacionais ao permitir o uso eficiente dos recursos de </w:t>
      </w:r>
      <w:r>
        <w:rPr>
          <w:rFonts w:ascii="Calibri" w:hAnsi="Calibri"/>
          <w:color w:val="001F60"/>
          <w:spacing w:val="-2"/>
        </w:rPr>
        <w:t>tecnologia.</w:t>
      </w:r>
    </w:p>
    <w:p w14:paraId="4CFC4C26" w14:textId="77777777" w:rsidR="002C6574" w:rsidRDefault="002C6574">
      <w:pPr>
        <w:pStyle w:val="Corpodetexto"/>
        <w:jc w:val="both"/>
        <w:rPr>
          <w:rFonts w:ascii="Calibri" w:hAnsi="Calibri"/>
        </w:rPr>
        <w:sectPr w:rsidR="002C6574">
          <w:pgSz w:w="11910" w:h="16840"/>
          <w:pgMar w:top="1160" w:right="850" w:bottom="740" w:left="992" w:header="312" w:footer="542" w:gutter="0"/>
          <w:cols w:space="720"/>
        </w:sectPr>
      </w:pPr>
    </w:p>
    <w:p w14:paraId="0602228D" w14:textId="77777777" w:rsidR="002C6574" w:rsidRDefault="002C6574">
      <w:pPr>
        <w:pStyle w:val="Corpodetexto"/>
        <w:spacing w:before="263"/>
        <w:rPr>
          <w:rFonts w:ascii="Calibri"/>
        </w:rPr>
      </w:pPr>
    </w:p>
    <w:p w14:paraId="1AF43F69" w14:textId="77777777" w:rsidR="002C6574" w:rsidRDefault="00000000">
      <w:pPr>
        <w:ind w:left="709"/>
        <w:rPr>
          <w:rFonts w:ascii="Calibri"/>
          <w:b/>
        </w:rPr>
      </w:pPr>
      <w:r>
        <w:rPr>
          <w:rFonts w:ascii="Calibri"/>
          <w:b/>
          <w:color w:val="001F60"/>
          <w:spacing w:val="-2"/>
        </w:rPr>
        <w:t>Imageamento</w:t>
      </w:r>
    </w:p>
    <w:p w14:paraId="27315DDD" w14:textId="77777777" w:rsidR="002C6574" w:rsidRDefault="00000000">
      <w:pPr>
        <w:pStyle w:val="Corpodetexto"/>
        <w:spacing w:before="121"/>
        <w:ind w:left="709" w:right="277"/>
        <w:jc w:val="both"/>
        <w:rPr>
          <w:rFonts w:ascii="Calibri" w:hAnsi="Calibri"/>
        </w:rPr>
      </w:pPr>
      <w:r>
        <w:rPr>
          <w:rFonts w:ascii="Calibri" w:hAnsi="Calibri"/>
          <w:color w:val="001F60"/>
        </w:rPr>
        <w:t>O serviço de Imageamento refere-se à aquisição e fornecimento de imagens digitais capturadas por satélite, que podem ser utilizados para múltiplas análises geoespaciais, como monitoramento ambiental,</w:t>
      </w:r>
      <w:r>
        <w:rPr>
          <w:rFonts w:ascii="Calibri" w:hAnsi="Calibri"/>
          <w:color w:val="001F60"/>
          <w:spacing w:val="-13"/>
        </w:rPr>
        <w:t xml:space="preserve"> </w:t>
      </w:r>
      <w:r>
        <w:rPr>
          <w:rFonts w:ascii="Calibri" w:hAnsi="Calibri"/>
          <w:color w:val="001F60"/>
        </w:rPr>
        <w:t>planejamento</w:t>
      </w:r>
      <w:r>
        <w:rPr>
          <w:rFonts w:ascii="Calibri" w:hAnsi="Calibri"/>
          <w:color w:val="001F60"/>
          <w:spacing w:val="-12"/>
        </w:rPr>
        <w:t xml:space="preserve"> </w:t>
      </w:r>
      <w:r>
        <w:rPr>
          <w:rFonts w:ascii="Calibri" w:hAnsi="Calibri"/>
          <w:color w:val="001F60"/>
        </w:rPr>
        <w:t>urbano,</w:t>
      </w:r>
      <w:r>
        <w:rPr>
          <w:rFonts w:ascii="Calibri" w:hAnsi="Calibri"/>
          <w:color w:val="001F60"/>
          <w:spacing w:val="-13"/>
        </w:rPr>
        <w:t xml:space="preserve"> </w:t>
      </w:r>
      <w:r>
        <w:rPr>
          <w:rFonts w:ascii="Calibri" w:hAnsi="Calibri"/>
          <w:color w:val="001F60"/>
        </w:rPr>
        <w:t>gestão</w:t>
      </w:r>
      <w:r>
        <w:rPr>
          <w:rFonts w:ascii="Calibri" w:hAnsi="Calibri"/>
          <w:color w:val="001F60"/>
          <w:spacing w:val="-11"/>
        </w:rPr>
        <w:t xml:space="preserve"> </w:t>
      </w:r>
      <w:r>
        <w:rPr>
          <w:rFonts w:ascii="Calibri" w:hAnsi="Calibri"/>
          <w:color w:val="001F60"/>
        </w:rPr>
        <w:t>de</w:t>
      </w:r>
      <w:r>
        <w:rPr>
          <w:rFonts w:ascii="Calibri" w:hAnsi="Calibri"/>
          <w:color w:val="001F60"/>
          <w:spacing w:val="-11"/>
        </w:rPr>
        <w:t xml:space="preserve"> </w:t>
      </w:r>
      <w:r>
        <w:rPr>
          <w:rFonts w:ascii="Calibri" w:hAnsi="Calibri"/>
          <w:color w:val="001F60"/>
        </w:rPr>
        <w:t>desastres,</w:t>
      </w:r>
      <w:r>
        <w:rPr>
          <w:rFonts w:ascii="Calibri" w:hAnsi="Calibri"/>
          <w:color w:val="001F60"/>
          <w:spacing w:val="-13"/>
        </w:rPr>
        <w:t xml:space="preserve"> </w:t>
      </w:r>
      <w:r>
        <w:rPr>
          <w:rFonts w:ascii="Calibri" w:hAnsi="Calibri"/>
          <w:color w:val="001F60"/>
        </w:rPr>
        <w:t>agricultura</w:t>
      </w:r>
      <w:r>
        <w:rPr>
          <w:rFonts w:ascii="Calibri" w:hAnsi="Calibri"/>
          <w:color w:val="001F60"/>
          <w:spacing w:val="-12"/>
        </w:rPr>
        <w:t xml:space="preserve"> </w:t>
      </w:r>
      <w:r>
        <w:rPr>
          <w:rFonts w:ascii="Calibri" w:hAnsi="Calibri"/>
          <w:color w:val="001F60"/>
        </w:rPr>
        <w:t>e</w:t>
      </w:r>
      <w:r>
        <w:rPr>
          <w:rFonts w:ascii="Calibri" w:hAnsi="Calibri"/>
          <w:color w:val="001F60"/>
          <w:spacing w:val="-11"/>
        </w:rPr>
        <w:t xml:space="preserve"> </w:t>
      </w:r>
      <w:r>
        <w:rPr>
          <w:rFonts w:ascii="Calibri" w:hAnsi="Calibri"/>
          <w:color w:val="001F60"/>
        </w:rPr>
        <w:t>defesa</w:t>
      </w:r>
      <w:r>
        <w:rPr>
          <w:rFonts w:ascii="Calibri" w:hAnsi="Calibri"/>
          <w:color w:val="001F60"/>
          <w:spacing w:val="-11"/>
        </w:rPr>
        <w:t xml:space="preserve"> </w:t>
      </w:r>
      <w:r>
        <w:rPr>
          <w:rFonts w:ascii="Calibri" w:hAnsi="Calibri"/>
          <w:color w:val="001F60"/>
        </w:rPr>
        <w:t>nacional.</w:t>
      </w:r>
      <w:r>
        <w:rPr>
          <w:rFonts w:ascii="Calibri" w:hAnsi="Calibri"/>
          <w:color w:val="001F60"/>
          <w:spacing w:val="-13"/>
        </w:rPr>
        <w:t xml:space="preserve"> </w:t>
      </w:r>
      <w:r>
        <w:rPr>
          <w:rFonts w:ascii="Calibri" w:hAnsi="Calibri"/>
          <w:color w:val="001F60"/>
        </w:rPr>
        <w:t>O</w:t>
      </w:r>
      <w:r>
        <w:rPr>
          <w:rFonts w:ascii="Calibri" w:hAnsi="Calibri"/>
          <w:color w:val="001F60"/>
          <w:spacing w:val="-12"/>
        </w:rPr>
        <w:t xml:space="preserve"> </w:t>
      </w:r>
      <w:r>
        <w:rPr>
          <w:rFonts w:ascii="Calibri" w:hAnsi="Calibri"/>
          <w:color w:val="001F60"/>
        </w:rPr>
        <w:t>processamento e disponibilização de imagens podem ser utilizados tanto para análises pontuais quanto para integração com</w:t>
      </w:r>
      <w:r>
        <w:rPr>
          <w:rFonts w:ascii="Calibri" w:hAnsi="Calibri"/>
          <w:color w:val="001F60"/>
          <w:spacing w:val="-1"/>
        </w:rPr>
        <w:t xml:space="preserve"> </w:t>
      </w:r>
      <w:r>
        <w:rPr>
          <w:rFonts w:ascii="Calibri" w:hAnsi="Calibri"/>
          <w:color w:val="001F60"/>
        </w:rPr>
        <w:t>sistemas de informação geográfica (GIS), fortalecendo iniciativas de inovação pública e decisões baseadas em evidências.</w:t>
      </w:r>
    </w:p>
    <w:p w14:paraId="2BEA9C09" w14:textId="77777777" w:rsidR="002C6574" w:rsidRDefault="002C6574">
      <w:pPr>
        <w:pStyle w:val="Corpodetexto"/>
        <w:spacing w:before="90"/>
        <w:rPr>
          <w:rFonts w:ascii="Calibri"/>
        </w:rPr>
      </w:pPr>
    </w:p>
    <w:p w14:paraId="6270DA50" w14:textId="77777777" w:rsidR="002C6574" w:rsidRDefault="00000000">
      <w:pPr>
        <w:numPr>
          <w:ilvl w:val="1"/>
          <w:numId w:val="74"/>
        </w:numPr>
        <w:tabs>
          <w:tab w:val="left" w:pos="1275"/>
        </w:tabs>
        <w:ind w:left="1275" w:hanging="566"/>
        <w:rPr>
          <w:rFonts w:ascii="Calibri"/>
          <w:b/>
        </w:rPr>
      </w:pPr>
      <w:r>
        <w:rPr>
          <w:rFonts w:ascii="Calibri"/>
          <w:b/>
          <w:color w:val="001F60"/>
          <w:spacing w:val="-2"/>
        </w:rPr>
        <w:t>Vendas</w:t>
      </w:r>
    </w:p>
    <w:p w14:paraId="1E740F1F" w14:textId="77777777" w:rsidR="002C6574" w:rsidRDefault="002C6574">
      <w:pPr>
        <w:pStyle w:val="Corpodetexto"/>
        <w:spacing w:before="12"/>
        <w:rPr>
          <w:rFonts w:ascii="Calibri"/>
          <w:b/>
        </w:rPr>
      </w:pPr>
    </w:p>
    <w:p w14:paraId="6574ECDB" w14:textId="77777777" w:rsidR="002C6574" w:rsidRDefault="00000000">
      <w:pPr>
        <w:pStyle w:val="Corpodetexto"/>
        <w:spacing w:before="1"/>
        <w:ind w:left="709" w:right="277"/>
        <w:jc w:val="both"/>
        <w:rPr>
          <w:rFonts w:ascii="Calibri" w:hAnsi="Calibri"/>
        </w:rPr>
      </w:pPr>
      <w:r>
        <w:rPr>
          <w:rFonts w:ascii="Calibri" w:hAnsi="Calibri"/>
          <w:color w:val="001F60"/>
        </w:rPr>
        <w:t>Em 2025, com o objetivo de avançar no processo de retorno à condição de sociedade de economia mista não dependente do Orçamento Fiscal e da Seguridade Social, a Telebras intensificou as ações voltadas à sustentabilidade</w:t>
      </w:r>
      <w:r>
        <w:rPr>
          <w:rFonts w:ascii="Calibri" w:hAnsi="Calibri"/>
          <w:color w:val="001F60"/>
          <w:spacing w:val="-2"/>
        </w:rPr>
        <w:t xml:space="preserve"> </w:t>
      </w:r>
      <w:r>
        <w:rPr>
          <w:rFonts w:ascii="Calibri" w:hAnsi="Calibri"/>
          <w:color w:val="001F60"/>
        </w:rPr>
        <w:t>financeira e ao fortalecimento de sua atuação</w:t>
      </w:r>
      <w:r>
        <w:rPr>
          <w:rFonts w:ascii="Calibri" w:hAnsi="Calibri"/>
          <w:color w:val="001F60"/>
          <w:spacing w:val="-1"/>
        </w:rPr>
        <w:t xml:space="preserve"> </w:t>
      </w:r>
      <w:r>
        <w:rPr>
          <w:rFonts w:ascii="Calibri" w:hAnsi="Calibri"/>
          <w:color w:val="001F60"/>
        </w:rPr>
        <w:t>comercial. Nesse contexto, a</w:t>
      </w:r>
      <w:r>
        <w:rPr>
          <w:rFonts w:ascii="Calibri" w:hAnsi="Calibri"/>
          <w:color w:val="001F60"/>
          <w:spacing w:val="-13"/>
        </w:rPr>
        <w:t xml:space="preserve"> </w:t>
      </w:r>
      <w:r>
        <w:rPr>
          <w:rFonts w:ascii="Calibri" w:hAnsi="Calibri"/>
          <w:color w:val="001F60"/>
        </w:rPr>
        <w:t>Companhia</w:t>
      </w:r>
      <w:r>
        <w:rPr>
          <w:rFonts w:ascii="Calibri" w:hAnsi="Calibri"/>
          <w:color w:val="001F60"/>
          <w:spacing w:val="-12"/>
        </w:rPr>
        <w:t xml:space="preserve"> </w:t>
      </w:r>
      <w:r>
        <w:rPr>
          <w:rFonts w:ascii="Calibri" w:hAnsi="Calibri"/>
          <w:color w:val="001F60"/>
        </w:rPr>
        <w:t>concentrou</w:t>
      </w:r>
      <w:r>
        <w:rPr>
          <w:rFonts w:ascii="Calibri" w:hAnsi="Calibri"/>
          <w:color w:val="001F60"/>
          <w:spacing w:val="-13"/>
        </w:rPr>
        <w:t xml:space="preserve"> </w:t>
      </w:r>
      <w:r>
        <w:rPr>
          <w:rFonts w:ascii="Calibri" w:hAnsi="Calibri"/>
          <w:color w:val="001F60"/>
        </w:rPr>
        <w:t>esforços</w:t>
      </w:r>
      <w:r>
        <w:rPr>
          <w:rFonts w:ascii="Calibri" w:hAnsi="Calibri"/>
          <w:color w:val="001F60"/>
          <w:spacing w:val="-12"/>
        </w:rPr>
        <w:t xml:space="preserve"> </w:t>
      </w:r>
      <w:r>
        <w:rPr>
          <w:rFonts w:ascii="Calibri" w:hAnsi="Calibri"/>
          <w:color w:val="001F60"/>
        </w:rPr>
        <w:t>na</w:t>
      </w:r>
      <w:r>
        <w:rPr>
          <w:rFonts w:ascii="Calibri" w:hAnsi="Calibri"/>
          <w:color w:val="001F60"/>
          <w:spacing w:val="-13"/>
        </w:rPr>
        <w:t xml:space="preserve"> </w:t>
      </w:r>
      <w:r>
        <w:rPr>
          <w:rFonts w:ascii="Calibri" w:hAnsi="Calibri"/>
          <w:color w:val="001F60"/>
        </w:rPr>
        <w:t>manutenção,</w:t>
      </w:r>
      <w:r>
        <w:rPr>
          <w:rFonts w:ascii="Calibri" w:hAnsi="Calibri"/>
          <w:color w:val="001F60"/>
          <w:spacing w:val="-12"/>
        </w:rPr>
        <w:t xml:space="preserve"> </w:t>
      </w:r>
      <w:r>
        <w:rPr>
          <w:rFonts w:ascii="Calibri" w:hAnsi="Calibri"/>
          <w:color w:val="001F60"/>
        </w:rPr>
        <w:t>ampliação</w:t>
      </w:r>
      <w:r>
        <w:rPr>
          <w:rFonts w:ascii="Calibri" w:hAnsi="Calibri"/>
          <w:color w:val="001F60"/>
          <w:spacing w:val="-13"/>
        </w:rPr>
        <w:t xml:space="preserve"> </w:t>
      </w:r>
      <w:r>
        <w:rPr>
          <w:rFonts w:ascii="Calibri" w:hAnsi="Calibri"/>
          <w:color w:val="001F60"/>
        </w:rPr>
        <w:t>e</w:t>
      </w:r>
      <w:r>
        <w:rPr>
          <w:rFonts w:ascii="Calibri" w:hAnsi="Calibri"/>
          <w:color w:val="001F60"/>
          <w:spacing w:val="-12"/>
        </w:rPr>
        <w:t xml:space="preserve"> </w:t>
      </w:r>
      <w:r>
        <w:rPr>
          <w:rFonts w:ascii="Calibri" w:hAnsi="Calibri"/>
          <w:color w:val="001F60"/>
        </w:rPr>
        <w:t>execução</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contratos</w:t>
      </w:r>
      <w:r>
        <w:rPr>
          <w:rFonts w:ascii="Calibri" w:hAnsi="Calibri"/>
          <w:color w:val="001F60"/>
          <w:spacing w:val="-12"/>
        </w:rPr>
        <w:t xml:space="preserve"> </w:t>
      </w:r>
      <w:r>
        <w:rPr>
          <w:rFonts w:ascii="Calibri" w:hAnsi="Calibri"/>
          <w:color w:val="001F60"/>
        </w:rPr>
        <w:t>celebrados</w:t>
      </w:r>
      <w:r>
        <w:rPr>
          <w:rFonts w:ascii="Calibri" w:hAnsi="Calibri"/>
          <w:color w:val="001F60"/>
          <w:spacing w:val="-13"/>
        </w:rPr>
        <w:t xml:space="preserve"> </w:t>
      </w:r>
      <w:r>
        <w:rPr>
          <w:rFonts w:ascii="Calibri" w:hAnsi="Calibri"/>
          <w:color w:val="001F60"/>
        </w:rPr>
        <w:t>com órgãos da Administração Pública e com clientes corporativos, reafirmando sua presença como provedora de soluções de conectividade e serviços digitais essenciais.</w:t>
      </w:r>
    </w:p>
    <w:p w14:paraId="51AF6A2B" w14:textId="77777777" w:rsidR="002C6574" w:rsidRDefault="00000000">
      <w:pPr>
        <w:pStyle w:val="Corpodetexto"/>
        <w:spacing w:before="119"/>
        <w:ind w:left="709" w:right="275"/>
        <w:jc w:val="both"/>
        <w:rPr>
          <w:rFonts w:ascii="Calibri" w:hAnsi="Calibri"/>
        </w:rPr>
      </w:pPr>
      <w:r>
        <w:rPr>
          <w:rFonts w:ascii="Calibri" w:hAnsi="Calibri"/>
          <w:color w:val="001F60"/>
        </w:rPr>
        <w:t>Entre</w:t>
      </w:r>
      <w:r>
        <w:rPr>
          <w:rFonts w:ascii="Calibri" w:hAnsi="Calibri"/>
          <w:color w:val="001F60"/>
          <w:spacing w:val="-13"/>
        </w:rPr>
        <w:t xml:space="preserve"> </w:t>
      </w:r>
      <w:r>
        <w:rPr>
          <w:rFonts w:ascii="Calibri" w:hAnsi="Calibri"/>
          <w:color w:val="001F60"/>
        </w:rPr>
        <w:t>os</w:t>
      </w:r>
      <w:r>
        <w:rPr>
          <w:rFonts w:ascii="Calibri" w:hAnsi="Calibri"/>
          <w:color w:val="001F60"/>
          <w:spacing w:val="-12"/>
        </w:rPr>
        <w:t xml:space="preserve"> </w:t>
      </w:r>
      <w:r>
        <w:rPr>
          <w:rFonts w:ascii="Calibri" w:hAnsi="Calibri"/>
          <w:color w:val="001F60"/>
        </w:rPr>
        <w:t>avanços</w:t>
      </w:r>
      <w:r>
        <w:rPr>
          <w:rFonts w:ascii="Calibri" w:hAnsi="Calibri"/>
          <w:color w:val="001F60"/>
          <w:spacing w:val="-13"/>
        </w:rPr>
        <w:t xml:space="preserve"> </w:t>
      </w:r>
      <w:r>
        <w:rPr>
          <w:rFonts w:ascii="Calibri" w:hAnsi="Calibri"/>
          <w:color w:val="001F60"/>
        </w:rPr>
        <w:t>alcançados,</w:t>
      </w:r>
      <w:r>
        <w:rPr>
          <w:rFonts w:ascii="Calibri" w:hAnsi="Calibri"/>
          <w:color w:val="001F60"/>
          <w:spacing w:val="-12"/>
        </w:rPr>
        <w:t xml:space="preserve"> </w:t>
      </w:r>
      <w:r>
        <w:rPr>
          <w:rFonts w:ascii="Calibri" w:hAnsi="Calibri"/>
          <w:color w:val="001F60"/>
        </w:rPr>
        <w:t>destacam</w:t>
      </w:r>
      <w:r>
        <w:rPr>
          <w:rFonts w:ascii="Times New Roman" w:hAnsi="Times New Roman"/>
          <w:color w:val="001F60"/>
        </w:rPr>
        <w:t>‑</w:t>
      </w:r>
      <w:r>
        <w:rPr>
          <w:rFonts w:ascii="Calibri" w:hAnsi="Calibri"/>
          <w:color w:val="001F60"/>
        </w:rPr>
        <w:t>se</w:t>
      </w:r>
      <w:r>
        <w:rPr>
          <w:rFonts w:ascii="Calibri" w:hAnsi="Calibri"/>
          <w:color w:val="001F60"/>
          <w:spacing w:val="-13"/>
        </w:rPr>
        <w:t xml:space="preserve"> </w:t>
      </w:r>
      <w:r>
        <w:rPr>
          <w:rFonts w:ascii="Calibri" w:hAnsi="Calibri"/>
          <w:color w:val="001F60"/>
        </w:rPr>
        <w:t>a</w:t>
      </w:r>
      <w:r>
        <w:rPr>
          <w:rFonts w:ascii="Calibri" w:hAnsi="Calibri"/>
          <w:color w:val="001F60"/>
          <w:spacing w:val="-12"/>
        </w:rPr>
        <w:t xml:space="preserve"> </w:t>
      </w:r>
      <w:r>
        <w:rPr>
          <w:rFonts w:ascii="Calibri" w:hAnsi="Calibri"/>
          <w:color w:val="001F60"/>
        </w:rPr>
        <w:t>ampliação</w:t>
      </w:r>
      <w:r>
        <w:rPr>
          <w:rFonts w:ascii="Calibri" w:hAnsi="Calibri"/>
          <w:color w:val="001F60"/>
          <w:spacing w:val="-13"/>
        </w:rPr>
        <w:t xml:space="preserve"> </w:t>
      </w:r>
      <w:r>
        <w:rPr>
          <w:rFonts w:ascii="Calibri" w:hAnsi="Calibri"/>
          <w:color w:val="001F60"/>
        </w:rPr>
        <w:t>da</w:t>
      </w:r>
      <w:r>
        <w:rPr>
          <w:rFonts w:ascii="Calibri" w:hAnsi="Calibri"/>
          <w:color w:val="001F60"/>
          <w:spacing w:val="-12"/>
        </w:rPr>
        <w:t xml:space="preserve"> </w:t>
      </w:r>
      <w:r>
        <w:rPr>
          <w:rFonts w:ascii="Calibri" w:hAnsi="Calibri"/>
          <w:color w:val="001F60"/>
        </w:rPr>
        <w:t>oferta</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Serviços</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Valor</w:t>
      </w:r>
      <w:r>
        <w:rPr>
          <w:rFonts w:ascii="Calibri" w:hAnsi="Calibri"/>
          <w:color w:val="001F60"/>
          <w:spacing w:val="-10"/>
        </w:rPr>
        <w:t xml:space="preserve"> </w:t>
      </w:r>
      <w:r>
        <w:rPr>
          <w:rFonts w:ascii="Calibri" w:hAnsi="Calibri"/>
          <w:color w:val="001F60"/>
        </w:rPr>
        <w:t>Adicionado</w:t>
      </w:r>
      <w:r>
        <w:rPr>
          <w:rFonts w:ascii="Calibri" w:hAnsi="Calibri"/>
          <w:color w:val="001F60"/>
          <w:spacing w:val="-13"/>
        </w:rPr>
        <w:t xml:space="preserve"> </w:t>
      </w:r>
      <w:r>
        <w:rPr>
          <w:rFonts w:ascii="Calibri" w:hAnsi="Calibri"/>
          <w:color w:val="001F60"/>
        </w:rPr>
        <w:t>(SVA) e a execução de contratos relevantes, como aqueles firmados com a Entidade Administradora da Conectividade de Escolas (EACE) e com o MCom, no âmbito do novo GESAC. A Telebras também manteve contratos junto a instituições estratégicas da Administração Pública Federal, além da operação compartilhada do Satélite Geoestacionário de Defesa e Comunicações Estratégicas (SGDC) em parceria com o Ministério da Defesa.</w:t>
      </w:r>
    </w:p>
    <w:p w14:paraId="5188E0F1" w14:textId="77777777" w:rsidR="002C6574" w:rsidRDefault="00000000">
      <w:pPr>
        <w:pStyle w:val="Corpodetexto"/>
        <w:spacing w:before="119"/>
        <w:ind w:left="709" w:right="277"/>
        <w:jc w:val="both"/>
        <w:rPr>
          <w:rFonts w:ascii="Calibri" w:hAnsi="Calibri"/>
        </w:rPr>
      </w:pPr>
      <w:r>
        <w:rPr>
          <w:rFonts w:ascii="Calibri" w:hAnsi="Calibri"/>
          <w:color w:val="001F60"/>
        </w:rPr>
        <w:t>No segmento de Serviços de Valor Agregado (SVA), a</w:t>
      </w:r>
      <w:r>
        <w:rPr>
          <w:rFonts w:ascii="Calibri" w:hAnsi="Calibri"/>
          <w:color w:val="001F60"/>
          <w:spacing w:val="-2"/>
        </w:rPr>
        <w:t xml:space="preserve"> </w:t>
      </w:r>
      <w:r>
        <w:rPr>
          <w:rFonts w:ascii="Calibri" w:hAnsi="Calibri"/>
          <w:color w:val="001F60"/>
        </w:rPr>
        <w:t>Telebras firmou contratos</w:t>
      </w:r>
      <w:r>
        <w:rPr>
          <w:rFonts w:ascii="Calibri" w:hAnsi="Calibri"/>
          <w:color w:val="001F60"/>
          <w:spacing w:val="-2"/>
        </w:rPr>
        <w:t xml:space="preserve"> </w:t>
      </w:r>
      <w:r>
        <w:rPr>
          <w:rFonts w:ascii="Calibri" w:hAnsi="Calibri"/>
          <w:color w:val="001F60"/>
        </w:rPr>
        <w:t>com a</w:t>
      </w:r>
      <w:r>
        <w:rPr>
          <w:rFonts w:ascii="Calibri" w:hAnsi="Calibri"/>
          <w:color w:val="001F60"/>
          <w:spacing w:val="-1"/>
        </w:rPr>
        <w:t xml:space="preserve"> </w:t>
      </w:r>
      <w:r>
        <w:rPr>
          <w:rFonts w:ascii="Calibri" w:hAnsi="Calibri"/>
          <w:color w:val="001F60"/>
        </w:rPr>
        <w:t>Empresa Brasil de Comunicação (EBC), o Instituto Nacional de Meteorologia (INMET), o Ministério do Trabalho e Emprego (MTE), o Tribunal de Justiça do Estado do Espírito Santo (TJ-ES) e o Tribunal de Justiça do Estado</w:t>
      </w:r>
      <w:r>
        <w:rPr>
          <w:rFonts w:ascii="Calibri" w:hAnsi="Calibri"/>
          <w:color w:val="001F60"/>
          <w:spacing w:val="-9"/>
        </w:rPr>
        <w:t xml:space="preserve"> </w:t>
      </w:r>
      <w:r>
        <w:rPr>
          <w:rFonts w:ascii="Calibri" w:hAnsi="Calibri"/>
          <w:color w:val="001F60"/>
        </w:rPr>
        <w:t>de</w:t>
      </w:r>
      <w:r>
        <w:rPr>
          <w:rFonts w:ascii="Calibri" w:hAnsi="Calibri"/>
          <w:color w:val="001F60"/>
          <w:spacing w:val="-11"/>
        </w:rPr>
        <w:t xml:space="preserve"> </w:t>
      </w:r>
      <w:r>
        <w:rPr>
          <w:rFonts w:ascii="Calibri" w:hAnsi="Calibri"/>
          <w:color w:val="001F60"/>
        </w:rPr>
        <w:t>Minas</w:t>
      </w:r>
      <w:r>
        <w:rPr>
          <w:rFonts w:ascii="Calibri" w:hAnsi="Calibri"/>
          <w:color w:val="001F60"/>
          <w:spacing w:val="-9"/>
        </w:rPr>
        <w:t xml:space="preserve"> </w:t>
      </w:r>
      <w:r>
        <w:rPr>
          <w:rFonts w:ascii="Calibri" w:hAnsi="Calibri"/>
          <w:color w:val="001F60"/>
        </w:rPr>
        <w:t>Gerais</w:t>
      </w:r>
      <w:r>
        <w:rPr>
          <w:rFonts w:ascii="Calibri" w:hAnsi="Calibri"/>
          <w:color w:val="001F60"/>
          <w:spacing w:val="-9"/>
        </w:rPr>
        <w:t xml:space="preserve"> </w:t>
      </w:r>
      <w:r>
        <w:rPr>
          <w:rFonts w:ascii="Calibri" w:hAnsi="Calibri"/>
          <w:color w:val="001F60"/>
        </w:rPr>
        <w:t>(TJ-MG).</w:t>
      </w:r>
      <w:r>
        <w:rPr>
          <w:rFonts w:ascii="Calibri" w:hAnsi="Calibri"/>
          <w:color w:val="001F60"/>
          <w:spacing w:val="-11"/>
        </w:rPr>
        <w:t xml:space="preserve"> </w:t>
      </w:r>
      <w:r>
        <w:rPr>
          <w:rFonts w:ascii="Calibri" w:hAnsi="Calibri"/>
          <w:color w:val="001F60"/>
        </w:rPr>
        <w:t>Essas</w:t>
      </w:r>
      <w:r>
        <w:rPr>
          <w:rFonts w:ascii="Calibri" w:hAnsi="Calibri"/>
          <w:color w:val="001F60"/>
          <w:spacing w:val="-9"/>
        </w:rPr>
        <w:t xml:space="preserve"> </w:t>
      </w:r>
      <w:r>
        <w:rPr>
          <w:rFonts w:ascii="Calibri" w:hAnsi="Calibri"/>
          <w:color w:val="001F60"/>
        </w:rPr>
        <w:t>contratações</w:t>
      </w:r>
      <w:r>
        <w:rPr>
          <w:rFonts w:ascii="Calibri" w:hAnsi="Calibri"/>
          <w:color w:val="001F60"/>
          <w:spacing w:val="-9"/>
        </w:rPr>
        <w:t xml:space="preserve"> </w:t>
      </w:r>
      <w:r>
        <w:rPr>
          <w:rFonts w:ascii="Calibri" w:hAnsi="Calibri"/>
          <w:color w:val="001F60"/>
        </w:rPr>
        <w:t>reforçaram</w:t>
      </w:r>
      <w:r>
        <w:rPr>
          <w:rFonts w:ascii="Calibri" w:hAnsi="Calibri"/>
          <w:color w:val="001F60"/>
          <w:spacing w:val="-9"/>
        </w:rPr>
        <w:t xml:space="preserve"> </w:t>
      </w:r>
      <w:r>
        <w:rPr>
          <w:rFonts w:ascii="Calibri" w:hAnsi="Calibri"/>
          <w:color w:val="001F60"/>
        </w:rPr>
        <w:t>a</w:t>
      </w:r>
      <w:r>
        <w:rPr>
          <w:rFonts w:ascii="Calibri" w:hAnsi="Calibri"/>
          <w:color w:val="001F60"/>
          <w:spacing w:val="-9"/>
        </w:rPr>
        <w:t xml:space="preserve"> </w:t>
      </w:r>
      <w:r>
        <w:rPr>
          <w:rFonts w:ascii="Calibri" w:hAnsi="Calibri"/>
          <w:color w:val="001F60"/>
        </w:rPr>
        <w:t>presença</w:t>
      </w:r>
      <w:r>
        <w:rPr>
          <w:rFonts w:ascii="Calibri" w:hAnsi="Calibri"/>
          <w:color w:val="001F60"/>
          <w:spacing w:val="-13"/>
        </w:rPr>
        <w:t xml:space="preserve"> </w:t>
      </w:r>
      <w:r>
        <w:rPr>
          <w:rFonts w:ascii="Calibri" w:hAnsi="Calibri"/>
          <w:color w:val="001F60"/>
        </w:rPr>
        <w:t>da</w:t>
      </w:r>
      <w:r>
        <w:rPr>
          <w:rFonts w:ascii="Calibri" w:hAnsi="Calibri"/>
          <w:color w:val="001F60"/>
          <w:spacing w:val="-9"/>
        </w:rPr>
        <w:t xml:space="preserve"> </w:t>
      </w:r>
      <w:r>
        <w:rPr>
          <w:rFonts w:ascii="Calibri" w:hAnsi="Calibri"/>
          <w:color w:val="001F60"/>
        </w:rPr>
        <w:t>Companhia</w:t>
      </w:r>
      <w:r>
        <w:rPr>
          <w:rFonts w:ascii="Calibri" w:hAnsi="Calibri"/>
          <w:color w:val="001F60"/>
          <w:spacing w:val="-9"/>
        </w:rPr>
        <w:t xml:space="preserve"> </w:t>
      </w:r>
      <w:r>
        <w:rPr>
          <w:rFonts w:ascii="Calibri" w:hAnsi="Calibri"/>
          <w:color w:val="001F60"/>
        </w:rPr>
        <w:t>no</w:t>
      </w:r>
      <w:r>
        <w:rPr>
          <w:rFonts w:ascii="Calibri" w:hAnsi="Calibri"/>
          <w:color w:val="001F60"/>
          <w:spacing w:val="-11"/>
        </w:rPr>
        <w:t xml:space="preserve"> </w:t>
      </w:r>
      <w:r>
        <w:rPr>
          <w:rFonts w:ascii="Calibri" w:hAnsi="Calibri"/>
          <w:color w:val="001F60"/>
        </w:rPr>
        <w:t>mercado de serviços</w:t>
      </w:r>
      <w:r>
        <w:rPr>
          <w:rFonts w:ascii="Calibri" w:hAnsi="Calibri"/>
          <w:color w:val="001F60"/>
          <w:spacing w:val="-3"/>
        </w:rPr>
        <w:t xml:space="preserve"> </w:t>
      </w:r>
      <w:r>
        <w:rPr>
          <w:rFonts w:ascii="Calibri" w:hAnsi="Calibri"/>
          <w:color w:val="001F60"/>
        </w:rPr>
        <w:t>digitais,</w:t>
      </w:r>
      <w:r>
        <w:rPr>
          <w:rFonts w:ascii="Calibri" w:hAnsi="Calibri"/>
          <w:color w:val="001F60"/>
          <w:spacing w:val="-2"/>
        </w:rPr>
        <w:t xml:space="preserve"> </w:t>
      </w:r>
      <w:r>
        <w:rPr>
          <w:rFonts w:ascii="Calibri" w:hAnsi="Calibri"/>
          <w:color w:val="001F60"/>
        </w:rPr>
        <w:t>especialmente</w:t>
      </w:r>
      <w:r>
        <w:rPr>
          <w:rFonts w:ascii="Calibri" w:hAnsi="Calibri"/>
          <w:color w:val="001F60"/>
          <w:spacing w:val="-3"/>
        </w:rPr>
        <w:t xml:space="preserve"> </w:t>
      </w:r>
      <w:r>
        <w:rPr>
          <w:rFonts w:ascii="Calibri" w:hAnsi="Calibri"/>
          <w:color w:val="001F60"/>
        </w:rPr>
        <w:t>em soluções</w:t>
      </w:r>
      <w:r>
        <w:rPr>
          <w:rFonts w:ascii="Calibri" w:hAnsi="Calibri"/>
          <w:color w:val="001F60"/>
          <w:spacing w:val="-3"/>
        </w:rPr>
        <w:t xml:space="preserve"> </w:t>
      </w:r>
      <w:r>
        <w:rPr>
          <w:rFonts w:ascii="Calibri" w:hAnsi="Calibri"/>
          <w:color w:val="001F60"/>
        </w:rPr>
        <w:t>baseadas em</w:t>
      </w:r>
      <w:r>
        <w:rPr>
          <w:rFonts w:ascii="Calibri" w:hAnsi="Calibri"/>
          <w:color w:val="001F60"/>
          <w:spacing w:val="-2"/>
        </w:rPr>
        <w:t xml:space="preserve"> </w:t>
      </w:r>
      <w:r>
        <w:rPr>
          <w:rFonts w:ascii="Calibri" w:hAnsi="Calibri"/>
          <w:color w:val="001F60"/>
        </w:rPr>
        <w:t>computação</w:t>
      </w:r>
      <w:r>
        <w:rPr>
          <w:rFonts w:ascii="Calibri" w:hAnsi="Calibri"/>
          <w:color w:val="001F60"/>
          <w:spacing w:val="-2"/>
        </w:rPr>
        <w:t xml:space="preserve"> </w:t>
      </w:r>
      <w:r>
        <w:rPr>
          <w:rFonts w:ascii="Calibri" w:hAnsi="Calibri"/>
          <w:color w:val="001F60"/>
        </w:rPr>
        <w:t>de</w:t>
      </w:r>
      <w:r>
        <w:rPr>
          <w:rFonts w:ascii="Calibri" w:hAnsi="Calibri"/>
          <w:color w:val="001F60"/>
          <w:spacing w:val="-2"/>
        </w:rPr>
        <w:t xml:space="preserve"> </w:t>
      </w:r>
      <w:r>
        <w:rPr>
          <w:rFonts w:ascii="Calibri" w:hAnsi="Calibri"/>
          <w:color w:val="001F60"/>
        </w:rPr>
        <w:t>borda e</w:t>
      </w:r>
      <w:r>
        <w:rPr>
          <w:rFonts w:ascii="Calibri" w:hAnsi="Calibri"/>
          <w:color w:val="001F60"/>
          <w:spacing w:val="-2"/>
        </w:rPr>
        <w:t xml:space="preserve"> </w:t>
      </w:r>
      <w:r>
        <w:rPr>
          <w:rFonts w:ascii="Calibri" w:hAnsi="Calibri"/>
          <w:color w:val="001F60"/>
        </w:rPr>
        <w:t xml:space="preserve">processamento avançado de dados, contribuindo para a diversificação das receitas e para o fortalecimento </w:t>
      </w:r>
      <w:r>
        <w:rPr>
          <w:rFonts w:ascii="Calibri" w:hAnsi="Calibri"/>
          <w:color w:val="001F60"/>
          <w:spacing w:val="-2"/>
        </w:rPr>
        <w:t>institucional.</w:t>
      </w:r>
    </w:p>
    <w:p w14:paraId="0B2A57EB" w14:textId="77777777" w:rsidR="002C6574" w:rsidRDefault="00000000">
      <w:pPr>
        <w:pStyle w:val="Corpodetexto"/>
        <w:spacing w:before="121"/>
        <w:ind w:left="709" w:right="277"/>
        <w:jc w:val="both"/>
        <w:rPr>
          <w:rFonts w:ascii="Calibri" w:hAnsi="Calibri"/>
        </w:rPr>
      </w:pPr>
      <w:r>
        <w:rPr>
          <w:rFonts w:ascii="Calibri" w:hAnsi="Calibri"/>
          <w:color w:val="001F60"/>
        </w:rPr>
        <w:t>Destacam-se ainda os contratos de maior vulto celebrados no âmbito da estratégia Tech/SVA, incluindo os firmados com o Detran-DF e com o DF Legal. Ambos têm relevância significativa para o desempenho econômico-financeiro da Telebras e demonstram a ampliação do portfólio de soluções tecnológicas ofertadas pela Companhia.</w:t>
      </w:r>
    </w:p>
    <w:p w14:paraId="727B8818" w14:textId="77777777" w:rsidR="002C6574" w:rsidRDefault="00000000">
      <w:pPr>
        <w:pStyle w:val="Corpodetexto"/>
        <w:spacing w:before="119"/>
        <w:ind w:left="709" w:right="276"/>
        <w:jc w:val="both"/>
        <w:rPr>
          <w:rFonts w:ascii="Calibri" w:hAnsi="Calibri"/>
        </w:rPr>
      </w:pPr>
      <w:r>
        <w:rPr>
          <w:rFonts w:ascii="Calibri" w:hAnsi="Calibri"/>
          <w:color w:val="001F60"/>
        </w:rPr>
        <w:t>No segmento de conectividade, merece destaque o contrato de grande porte firmado com a EACE, envolvendo a</w:t>
      </w:r>
      <w:r>
        <w:rPr>
          <w:rFonts w:ascii="Calibri" w:hAnsi="Calibri"/>
          <w:color w:val="001F60"/>
          <w:spacing w:val="-2"/>
        </w:rPr>
        <w:t xml:space="preserve"> </w:t>
      </w:r>
      <w:r>
        <w:rPr>
          <w:rFonts w:ascii="Calibri" w:hAnsi="Calibri"/>
          <w:color w:val="001F60"/>
        </w:rPr>
        <w:t>ativação de milhares de pontos de acesso satelital com diferentes</w:t>
      </w:r>
      <w:r>
        <w:rPr>
          <w:rFonts w:ascii="Calibri" w:hAnsi="Calibri"/>
          <w:color w:val="001F60"/>
          <w:spacing w:val="-1"/>
        </w:rPr>
        <w:t xml:space="preserve"> </w:t>
      </w:r>
      <w:r>
        <w:rPr>
          <w:rFonts w:ascii="Calibri" w:hAnsi="Calibri"/>
          <w:color w:val="001F60"/>
        </w:rPr>
        <w:t>perfis de velocidade, utilizando tecnologias adequadas às necessidades operacionais do projeto. Este contrato representa um</w:t>
      </w:r>
      <w:r>
        <w:rPr>
          <w:rFonts w:ascii="Calibri" w:hAnsi="Calibri"/>
          <w:color w:val="001F60"/>
          <w:spacing w:val="-6"/>
        </w:rPr>
        <w:t xml:space="preserve"> </w:t>
      </w:r>
      <w:r>
        <w:rPr>
          <w:rFonts w:ascii="Calibri" w:hAnsi="Calibri"/>
          <w:color w:val="001F60"/>
        </w:rPr>
        <w:t>marco</w:t>
      </w:r>
      <w:r>
        <w:rPr>
          <w:rFonts w:ascii="Calibri" w:hAnsi="Calibri"/>
          <w:color w:val="001F60"/>
          <w:spacing w:val="-4"/>
        </w:rPr>
        <w:t xml:space="preserve"> </w:t>
      </w:r>
      <w:r>
        <w:rPr>
          <w:rFonts w:ascii="Calibri" w:hAnsi="Calibri"/>
          <w:color w:val="001F60"/>
        </w:rPr>
        <w:t>relevante</w:t>
      </w:r>
      <w:r>
        <w:rPr>
          <w:rFonts w:ascii="Calibri" w:hAnsi="Calibri"/>
          <w:color w:val="001F60"/>
          <w:spacing w:val="-4"/>
        </w:rPr>
        <w:t xml:space="preserve"> </w:t>
      </w:r>
      <w:r>
        <w:rPr>
          <w:rFonts w:ascii="Calibri" w:hAnsi="Calibri"/>
          <w:color w:val="001F60"/>
        </w:rPr>
        <w:t>para</w:t>
      </w:r>
      <w:r>
        <w:rPr>
          <w:rFonts w:ascii="Calibri" w:hAnsi="Calibri"/>
          <w:color w:val="001F60"/>
          <w:spacing w:val="-6"/>
        </w:rPr>
        <w:t xml:space="preserve"> </w:t>
      </w:r>
      <w:r>
        <w:rPr>
          <w:rFonts w:ascii="Calibri" w:hAnsi="Calibri"/>
          <w:color w:val="001F60"/>
        </w:rPr>
        <w:t>a</w:t>
      </w:r>
      <w:r>
        <w:rPr>
          <w:rFonts w:ascii="Calibri" w:hAnsi="Calibri"/>
          <w:color w:val="001F60"/>
          <w:spacing w:val="-8"/>
        </w:rPr>
        <w:t xml:space="preserve"> </w:t>
      </w:r>
      <w:r>
        <w:rPr>
          <w:rFonts w:ascii="Calibri" w:hAnsi="Calibri"/>
          <w:color w:val="001F60"/>
        </w:rPr>
        <w:t>Telebras,</w:t>
      </w:r>
      <w:r>
        <w:rPr>
          <w:rFonts w:ascii="Calibri" w:hAnsi="Calibri"/>
          <w:color w:val="001F60"/>
          <w:spacing w:val="-6"/>
        </w:rPr>
        <w:t xml:space="preserve"> </w:t>
      </w:r>
      <w:r>
        <w:rPr>
          <w:rFonts w:ascii="Calibri" w:hAnsi="Calibri"/>
          <w:color w:val="001F60"/>
        </w:rPr>
        <w:t>contribuindo</w:t>
      </w:r>
      <w:r>
        <w:rPr>
          <w:rFonts w:ascii="Calibri" w:hAnsi="Calibri"/>
          <w:color w:val="001F60"/>
          <w:spacing w:val="-3"/>
        </w:rPr>
        <w:t xml:space="preserve"> </w:t>
      </w:r>
      <w:r>
        <w:rPr>
          <w:rFonts w:ascii="Calibri" w:hAnsi="Calibri"/>
          <w:color w:val="001F60"/>
        </w:rPr>
        <w:t>expressivamente</w:t>
      </w:r>
      <w:r>
        <w:rPr>
          <w:rFonts w:ascii="Calibri" w:hAnsi="Calibri"/>
          <w:color w:val="001F60"/>
          <w:spacing w:val="-4"/>
        </w:rPr>
        <w:t xml:space="preserve"> </w:t>
      </w:r>
      <w:r>
        <w:rPr>
          <w:rFonts w:ascii="Calibri" w:hAnsi="Calibri"/>
          <w:color w:val="001F60"/>
        </w:rPr>
        <w:t>para</w:t>
      </w:r>
      <w:r>
        <w:rPr>
          <w:rFonts w:ascii="Calibri" w:hAnsi="Calibri"/>
          <w:color w:val="001F60"/>
          <w:spacing w:val="-6"/>
        </w:rPr>
        <w:t xml:space="preserve"> </w:t>
      </w:r>
      <w:r>
        <w:rPr>
          <w:rFonts w:ascii="Calibri" w:hAnsi="Calibri"/>
          <w:color w:val="001F60"/>
        </w:rPr>
        <w:t>o</w:t>
      </w:r>
      <w:r>
        <w:rPr>
          <w:rFonts w:ascii="Calibri" w:hAnsi="Calibri"/>
          <w:color w:val="001F60"/>
          <w:spacing w:val="-7"/>
        </w:rPr>
        <w:t xml:space="preserve"> </w:t>
      </w:r>
      <w:r>
        <w:rPr>
          <w:rFonts w:ascii="Calibri" w:hAnsi="Calibri"/>
          <w:color w:val="001F60"/>
        </w:rPr>
        <w:t>fortalecimento</w:t>
      </w:r>
      <w:r>
        <w:rPr>
          <w:rFonts w:ascii="Calibri" w:hAnsi="Calibri"/>
          <w:color w:val="001F60"/>
          <w:spacing w:val="-5"/>
        </w:rPr>
        <w:t xml:space="preserve"> </w:t>
      </w:r>
      <w:r>
        <w:rPr>
          <w:rFonts w:ascii="Calibri" w:hAnsi="Calibri"/>
          <w:color w:val="001F60"/>
        </w:rPr>
        <w:t>do</w:t>
      </w:r>
      <w:r>
        <w:rPr>
          <w:rFonts w:ascii="Calibri" w:hAnsi="Calibri"/>
          <w:color w:val="001F60"/>
          <w:spacing w:val="-4"/>
        </w:rPr>
        <w:t xml:space="preserve"> </w:t>
      </w:r>
      <w:r>
        <w:rPr>
          <w:rFonts w:ascii="Calibri" w:hAnsi="Calibri"/>
          <w:color w:val="001F60"/>
        </w:rPr>
        <w:t>fluxo</w:t>
      </w:r>
      <w:r>
        <w:rPr>
          <w:rFonts w:ascii="Calibri" w:hAnsi="Calibri"/>
          <w:color w:val="001F60"/>
          <w:spacing w:val="-7"/>
        </w:rPr>
        <w:t xml:space="preserve"> </w:t>
      </w:r>
      <w:r>
        <w:rPr>
          <w:rFonts w:ascii="Calibri" w:hAnsi="Calibri"/>
          <w:color w:val="001F60"/>
        </w:rPr>
        <w:t>de caixa e para a atuação da Companhia em iniciativas de grande escala e elevada complexidade.</w:t>
      </w:r>
    </w:p>
    <w:p w14:paraId="0820E3A1" w14:textId="77777777" w:rsidR="002C6574" w:rsidRDefault="00000000">
      <w:pPr>
        <w:pStyle w:val="Corpodetexto"/>
        <w:spacing w:before="121"/>
        <w:ind w:left="709" w:right="277"/>
        <w:jc w:val="both"/>
        <w:rPr>
          <w:rFonts w:ascii="Calibri" w:hAnsi="Calibri"/>
        </w:rPr>
      </w:pPr>
      <w:r>
        <w:rPr>
          <w:rFonts w:ascii="Calibri" w:hAnsi="Calibri"/>
          <w:color w:val="001F60"/>
        </w:rPr>
        <w:t>Paralelamente, a Telebras deu continuidade à expansão de soluções SD</w:t>
      </w:r>
      <w:r>
        <w:rPr>
          <w:rFonts w:ascii="Times New Roman" w:hAnsi="Times New Roman"/>
          <w:color w:val="001F60"/>
        </w:rPr>
        <w:t>‑</w:t>
      </w:r>
      <w:r>
        <w:rPr>
          <w:rFonts w:ascii="Calibri" w:hAnsi="Calibri"/>
          <w:color w:val="001F60"/>
        </w:rPr>
        <w:t>WAN junto a órgãos da Administração Pública, modernizando infraestruturas de conectividade, ampliando a eficiência operacional e elevando a qualidade dos serviços oferecidos.</w:t>
      </w:r>
    </w:p>
    <w:p w14:paraId="70C941F8" w14:textId="77777777" w:rsidR="002C6574" w:rsidRDefault="002C6574">
      <w:pPr>
        <w:pStyle w:val="Corpodetexto"/>
        <w:spacing w:before="92"/>
        <w:rPr>
          <w:rFonts w:ascii="Calibri"/>
        </w:rPr>
      </w:pPr>
    </w:p>
    <w:p w14:paraId="73F4C6EB" w14:textId="77777777" w:rsidR="002C6574" w:rsidRDefault="00000000">
      <w:pPr>
        <w:numPr>
          <w:ilvl w:val="1"/>
          <w:numId w:val="74"/>
        </w:numPr>
        <w:tabs>
          <w:tab w:val="left" w:pos="1275"/>
        </w:tabs>
        <w:ind w:left="1275" w:hanging="566"/>
        <w:rPr>
          <w:rFonts w:ascii="Calibri" w:hAnsi="Calibri"/>
          <w:b/>
        </w:rPr>
      </w:pPr>
      <w:r>
        <w:rPr>
          <w:rFonts w:ascii="Calibri" w:hAnsi="Calibri"/>
          <w:b/>
          <w:color w:val="001F60"/>
        </w:rPr>
        <w:t>Inovação</w:t>
      </w:r>
      <w:r>
        <w:rPr>
          <w:rFonts w:ascii="Calibri" w:hAnsi="Calibri"/>
          <w:b/>
          <w:color w:val="001F60"/>
          <w:spacing w:val="-6"/>
        </w:rPr>
        <w:t xml:space="preserve"> </w:t>
      </w:r>
      <w:r>
        <w:rPr>
          <w:rFonts w:ascii="Calibri" w:hAnsi="Calibri"/>
          <w:b/>
          <w:color w:val="001F60"/>
        </w:rPr>
        <w:t>e</w:t>
      </w:r>
      <w:r>
        <w:rPr>
          <w:rFonts w:ascii="Calibri" w:hAnsi="Calibri"/>
          <w:b/>
          <w:color w:val="001F60"/>
          <w:spacing w:val="-3"/>
        </w:rPr>
        <w:t xml:space="preserve"> </w:t>
      </w:r>
      <w:r>
        <w:rPr>
          <w:rFonts w:ascii="Calibri" w:hAnsi="Calibri"/>
          <w:b/>
          <w:color w:val="001F60"/>
        </w:rPr>
        <w:t>Desenvolvimento</w:t>
      </w:r>
      <w:r>
        <w:rPr>
          <w:rFonts w:ascii="Calibri" w:hAnsi="Calibri"/>
          <w:b/>
          <w:color w:val="001F60"/>
          <w:spacing w:val="-3"/>
        </w:rPr>
        <w:t xml:space="preserve"> </w:t>
      </w:r>
      <w:r>
        <w:rPr>
          <w:rFonts w:ascii="Calibri" w:hAnsi="Calibri"/>
          <w:b/>
          <w:color w:val="001F60"/>
        </w:rPr>
        <w:t>de</w:t>
      </w:r>
      <w:r>
        <w:rPr>
          <w:rFonts w:ascii="Calibri" w:hAnsi="Calibri"/>
          <w:b/>
          <w:color w:val="001F60"/>
          <w:spacing w:val="-3"/>
        </w:rPr>
        <w:t xml:space="preserve"> </w:t>
      </w:r>
      <w:r>
        <w:rPr>
          <w:rFonts w:ascii="Calibri" w:hAnsi="Calibri"/>
          <w:b/>
          <w:color w:val="001F60"/>
        </w:rPr>
        <w:t>Produtos</w:t>
      </w:r>
      <w:r>
        <w:rPr>
          <w:rFonts w:ascii="Calibri" w:hAnsi="Calibri"/>
          <w:b/>
          <w:color w:val="001F60"/>
          <w:spacing w:val="-3"/>
        </w:rPr>
        <w:t xml:space="preserve"> </w:t>
      </w:r>
      <w:r>
        <w:rPr>
          <w:rFonts w:ascii="Calibri" w:hAnsi="Calibri"/>
          <w:b/>
          <w:color w:val="001F60"/>
        </w:rPr>
        <w:t>e</w:t>
      </w:r>
      <w:r>
        <w:rPr>
          <w:rFonts w:ascii="Calibri" w:hAnsi="Calibri"/>
          <w:b/>
          <w:color w:val="001F60"/>
          <w:spacing w:val="-5"/>
        </w:rPr>
        <w:t xml:space="preserve"> </w:t>
      </w:r>
      <w:r>
        <w:rPr>
          <w:rFonts w:ascii="Calibri" w:hAnsi="Calibri"/>
          <w:b/>
          <w:color w:val="001F60"/>
          <w:spacing w:val="-2"/>
        </w:rPr>
        <w:t>Serviços</w:t>
      </w:r>
    </w:p>
    <w:p w14:paraId="10802115" w14:textId="77777777" w:rsidR="002C6574" w:rsidRDefault="002C6574">
      <w:pPr>
        <w:pStyle w:val="Corpodetexto"/>
        <w:spacing w:before="10"/>
        <w:rPr>
          <w:rFonts w:ascii="Calibri"/>
          <w:b/>
        </w:rPr>
      </w:pPr>
    </w:p>
    <w:p w14:paraId="1E81D1E9" w14:textId="77777777" w:rsidR="002C6574" w:rsidRDefault="00000000">
      <w:pPr>
        <w:pStyle w:val="Corpodetexto"/>
        <w:ind w:left="709" w:right="275"/>
        <w:jc w:val="both"/>
        <w:rPr>
          <w:rFonts w:ascii="Calibri" w:hAnsi="Calibri"/>
        </w:rPr>
      </w:pPr>
      <w:r>
        <w:rPr>
          <w:rFonts w:ascii="Calibri" w:hAnsi="Calibri"/>
          <w:color w:val="001F60"/>
        </w:rPr>
        <w:t>Em 2025, a Telebras avançou de forma consistente na agenda de inovação e desenvolvimento de produtos</w:t>
      </w:r>
      <w:r>
        <w:rPr>
          <w:rFonts w:ascii="Calibri" w:hAnsi="Calibri"/>
          <w:color w:val="001F60"/>
          <w:spacing w:val="-9"/>
        </w:rPr>
        <w:t xml:space="preserve"> </w:t>
      </w:r>
      <w:r>
        <w:rPr>
          <w:rFonts w:ascii="Calibri" w:hAnsi="Calibri"/>
          <w:color w:val="001F60"/>
        </w:rPr>
        <w:t>e</w:t>
      </w:r>
      <w:r>
        <w:rPr>
          <w:rFonts w:ascii="Calibri" w:hAnsi="Calibri"/>
          <w:color w:val="001F60"/>
          <w:spacing w:val="-7"/>
        </w:rPr>
        <w:t xml:space="preserve"> </w:t>
      </w:r>
      <w:r>
        <w:rPr>
          <w:rFonts w:ascii="Calibri" w:hAnsi="Calibri"/>
          <w:color w:val="001F60"/>
        </w:rPr>
        <w:t>serviços,</w:t>
      </w:r>
      <w:r>
        <w:rPr>
          <w:rFonts w:ascii="Calibri" w:hAnsi="Calibri"/>
          <w:color w:val="001F60"/>
          <w:spacing w:val="-7"/>
        </w:rPr>
        <w:t xml:space="preserve"> </w:t>
      </w:r>
      <w:r>
        <w:rPr>
          <w:rFonts w:ascii="Calibri" w:hAnsi="Calibri"/>
          <w:color w:val="001F60"/>
        </w:rPr>
        <w:t>priorizando</w:t>
      </w:r>
      <w:r>
        <w:rPr>
          <w:rFonts w:ascii="Calibri" w:hAnsi="Calibri"/>
          <w:color w:val="001F60"/>
          <w:spacing w:val="-7"/>
        </w:rPr>
        <w:t xml:space="preserve"> </w:t>
      </w:r>
      <w:r>
        <w:rPr>
          <w:rFonts w:ascii="Calibri" w:hAnsi="Calibri"/>
          <w:color w:val="001F60"/>
        </w:rPr>
        <w:t>soluções</w:t>
      </w:r>
      <w:r>
        <w:rPr>
          <w:rFonts w:ascii="Calibri" w:hAnsi="Calibri"/>
          <w:color w:val="001F60"/>
          <w:spacing w:val="-9"/>
        </w:rPr>
        <w:t xml:space="preserve"> </w:t>
      </w:r>
      <w:r>
        <w:rPr>
          <w:rFonts w:ascii="Calibri" w:hAnsi="Calibri"/>
          <w:color w:val="001F60"/>
        </w:rPr>
        <w:t>voltadas</w:t>
      </w:r>
      <w:r>
        <w:rPr>
          <w:rFonts w:ascii="Calibri" w:hAnsi="Calibri"/>
          <w:color w:val="001F60"/>
          <w:spacing w:val="-7"/>
        </w:rPr>
        <w:t xml:space="preserve"> </w:t>
      </w:r>
      <w:r>
        <w:rPr>
          <w:rFonts w:ascii="Calibri" w:hAnsi="Calibri"/>
          <w:color w:val="001F60"/>
        </w:rPr>
        <w:t>à</w:t>
      </w:r>
      <w:r>
        <w:rPr>
          <w:rFonts w:ascii="Calibri" w:hAnsi="Calibri"/>
          <w:color w:val="001F60"/>
          <w:spacing w:val="-11"/>
        </w:rPr>
        <w:t xml:space="preserve"> </w:t>
      </w:r>
      <w:r>
        <w:rPr>
          <w:rFonts w:ascii="Calibri" w:hAnsi="Calibri"/>
          <w:color w:val="001F60"/>
        </w:rPr>
        <w:t>conectividade,</w:t>
      </w:r>
      <w:r>
        <w:rPr>
          <w:rFonts w:ascii="Calibri" w:hAnsi="Calibri"/>
          <w:color w:val="001F60"/>
          <w:spacing w:val="-9"/>
        </w:rPr>
        <w:t xml:space="preserve"> </w:t>
      </w:r>
      <w:r>
        <w:rPr>
          <w:rFonts w:ascii="Calibri" w:hAnsi="Calibri"/>
          <w:color w:val="001F60"/>
        </w:rPr>
        <w:t>mobilidade,</w:t>
      </w:r>
      <w:r>
        <w:rPr>
          <w:rFonts w:ascii="Calibri" w:hAnsi="Calibri"/>
          <w:color w:val="001F60"/>
          <w:spacing w:val="-7"/>
        </w:rPr>
        <w:t xml:space="preserve"> </w:t>
      </w:r>
      <w:r>
        <w:rPr>
          <w:rFonts w:ascii="Calibri" w:hAnsi="Calibri"/>
          <w:color w:val="001F60"/>
        </w:rPr>
        <w:t>segurança</w:t>
      </w:r>
      <w:r>
        <w:rPr>
          <w:rFonts w:ascii="Calibri" w:hAnsi="Calibri"/>
          <w:color w:val="001F60"/>
          <w:spacing w:val="-9"/>
        </w:rPr>
        <w:t xml:space="preserve"> </w:t>
      </w:r>
      <w:r>
        <w:rPr>
          <w:rFonts w:ascii="Calibri" w:hAnsi="Calibri"/>
          <w:color w:val="001F60"/>
        </w:rPr>
        <w:t>e</w:t>
      </w:r>
      <w:r>
        <w:rPr>
          <w:rFonts w:ascii="Calibri" w:hAnsi="Calibri"/>
          <w:color w:val="001F60"/>
          <w:spacing w:val="-9"/>
        </w:rPr>
        <w:t xml:space="preserve"> </w:t>
      </w:r>
      <w:r>
        <w:rPr>
          <w:rFonts w:ascii="Calibri" w:hAnsi="Calibri"/>
          <w:color w:val="001F60"/>
        </w:rPr>
        <w:t>eficiência operacional.</w:t>
      </w:r>
      <w:r>
        <w:rPr>
          <w:rFonts w:ascii="Calibri" w:hAnsi="Calibri"/>
          <w:color w:val="001F60"/>
          <w:spacing w:val="-13"/>
        </w:rPr>
        <w:t xml:space="preserve"> </w:t>
      </w:r>
      <w:r>
        <w:rPr>
          <w:rFonts w:ascii="Calibri" w:hAnsi="Calibri"/>
          <w:color w:val="001F60"/>
        </w:rPr>
        <w:t>Foram</w:t>
      </w:r>
      <w:r>
        <w:rPr>
          <w:rFonts w:ascii="Calibri" w:hAnsi="Calibri"/>
          <w:color w:val="001F60"/>
          <w:spacing w:val="-12"/>
        </w:rPr>
        <w:t xml:space="preserve"> </w:t>
      </w:r>
      <w:r>
        <w:rPr>
          <w:rFonts w:ascii="Calibri" w:hAnsi="Calibri"/>
          <w:color w:val="001F60"/>
        </w:rPr>
        <w:t>desenvolvidas</w:t>
      </w:r>
      <w:r>
        <w:rPr>
          <w:rFonts w:ascii="Calibri" w:hAnsi="Calibri"/>
          <w:color w:val="001F60"/>
          <w:spacing w:val="-13"/>
        </w:rPr>
        <w:t xml:space="preserve"> </w:t>
      </w:r>
      <w:r>
        <w:rPr>
          <w:rFonts w:ascii="Calibri" w:hAnsi="Calibri"/>
          <w:color w:val="001F60"/>
        </w:rPr>
        <w:t>e</w:t>
      </w:r>
      <w:r>
        <w:rPr>
          <w:rFonts w:ascii="Calibri" w:hAnsi="Calibri"/>
          <w:color w:val="001F60"/>
          <w:spacing w:val="-11"/>
        </w:rPr>
        <w:t xml:space="preserve"> </w:t>
      </w:r>
      <w:r>
        <w:rPr>
          <w:rFonts w:ascii="Calibri" w:hAnsi="Calibri"/>
          <w:color w:val="001F60"/>
        </w:rPr>
        <w:t>testadas</w:t>
      </w:r>
      <w:r>
        <w:rPr>
          <w:rFonts w:ascii="Calibri" w:hAnsi="Calibri"/>
          <w:color w:val="001F60"/>
          <w:spacing w:val="-12"/>
        </w:rPr>
        <w:t xml:space="preserve"> </w:t>
      </w:r>
      <w:r>
        <w:rPr>
          <w:rFonts w:ascii="Calibri" w:hAnsi="Calibri"/>
          <w:color w:val="001F60"/>
        </w:rPr>
        <w:t>novas</w:t>
      </w:r>
      <w:r>
        <w:rPr>
          <w:rFonts w:ascii="Calibri" w:hAnsi="Calibri"/>
          <w:color w:val="001F60"/>
          <w:spacing w:val="-12"/>
        </w:rPr>
        <w:t xml:space="preserve"> </w:t>
      </w:r>
      <w:r>
        <w:rPr>
          <w:rFonts w:ascii="Calibri" w:hAnsi="Calibri"/>
          <w:color w:val="001F60"/>
        </w:rPr>
        <w:t>versões</w:t>
      </w:r>
      <w:r>
        <w:rPr>
          <w:rFonts w:ascii="Calibri" w:hAnsi="Calibri"/>
          <w:color w:val="001F60"/>
          <w:spacing w:val="-13"/>
        </w:rPr>
        <w:t xml:space="preserve"> </w:t>
      </w:r>
      <w:r>
        <w:rPr>
          <w:rFonts w:ascii="Calibri" w:hAnsi="Calibri"/>
          <w:color w:val="001F60"/>
        </w:rPr>
        <w:t>de</w:t>
      </w:r>
      <w:r>
        <w:rPr>
          <w:rFonts w:ascii="Calibri" w:hAnsi="Calibri"/>
          <w:color w:val="001F60"/>
          <w:spacing w:val="-10"/>
        </w:rPr>
        <w:t xml:space="preserve"> </w:t>
      </w:r>
      <w:r>
        <w:rPr>
          <w:rFonts w:ascii="Calibri" w:hAnsi="Calibri"/>
          <w:color w:val="001F60"/>
        </w:rPr>
        <w:t>terminais</w:t>
      </w:r>
      <w:r>
        <w:rPr>
          <w:rFonts w:ascii="Calibri" w:hAnsi="Calibri"/>
          <w:color w:val="001F60"/>
          <w:spacing w:val="-10"/>
        </w:rPr>
        <w:t xml:space="preserve"> </w:t>
      </w:r>
      <w:r>
        <w:rPr>
          <w:rFonts w:ascii="Calibri" w:hAnsi="Calibri"/>
          <w:color w:val="001F60"/>
        </w:rPr>
        <w:t>satelitais</w:t>
      </w:r>
      <w:r>
        <w:rPr>
          <w:rFonts w:ascii="Calibri" w:hAnsi="Calibri"/>
          <w:color w:val="001F60"/>
          <w:spacing w:val="-12"/>
        </w:rPr>
        <w:t xml:space="preserve"> </w:t>
      </w:r>
      <w:r>
        <w:rPr>
          <w:rFonts w:ascii="Calibri" w:hAnsi="Calibri"/>
          <w:color w:val="001F60"/>
        </w:rPr>
        <w:t>transportáveis,</w:t>
      </w:r>
      <w:r>
        <w:rPr>
          <w:rFonts w:ascii="Calibri" w:hAnsi="Calibri"/>
          <w:color w:val="001F60"/>
          <w:spacing w:val="-11"/>
        </w:rPr>
        <w:t xml:space="preserve"> </w:t>
      </w:r>
      <w:r>
        <w:rPr>
          <w:rFonts w:ascii="Calibri" w:hAnsi="Calibri"/>
          <w:color w:val="001F60"/>
          <w:spacing w:val="-5"/>
        </w:rPr>
        <w:t>com</w:t>
      </w:r>
    </w:p>
    <w:p w14:paraId="755EA2B8" w14:textId="77777777" w:rsidR="002C6574" w:rsidRDefault="002C6574">
      <w:pPr>
        <w:pStyle w:val="Corpodetexto"/>
        <w:jc w:val="both"/>
        <w:rPr>
          <w:rFonts w:ascii="Calibri" w:hAnsi="Calibri"/>
        </w:rPr>
        <w:sectPr w:rsidR="002C6574">
          <w:pgSz w:w="11910" w:h="16840"/>
          <w:pgMar w:top="1160" w:right="850" w:bottom="740" w:left="992" w:header="312" w:footer="542" w:gutter="0"/>
          <w:cols w:space="720"/>
        </w:sectPr>
      </w:pPr>
    </w:p>
    <w:p w14:paraId="4A956D32" w14:textId="77777777" w:rsidR="002C6574" w:rsidRDefault="002C6574">
      <w:pPr>
        <w:pStyle w:val="Corpodetexto"/>
        <w:spacing w:before="263"/>
        <w:rPr>
          <w:rFonts w:ascii="Calibri"/>
        </w:rPr>
      </w:pPr>
    </w:p>
    <w:p w14:paraId="618AF6D9" w14:textId="77777777" w:rsidR="002C6574" w:rsidRDefault="00000000">
      <w:pPr>
        <w:pStyle w:val="Corpodetexto"/>
        <w:ind w:left="709" w:right="277"/>
        <w:jc w:val="both"/>
        <w:rPr>
          <w:rFonts w:ascii="Calibri" w:hAnsi="Calibri"/>
        </w:rPr>
      </w:pPr>
      <w:r>
        <w:rPr>
          <w:rFonts w:ascii="Calibri" w:hAnsi="Calibri"/>
          <w:color w:val="001F60"/>
        </w:rPr>
        <w:t>melhorias significativas em portabilidade, desempenho e adequação para uso em campo, ampliando o potencial de aplicação em diferentes cenários operacionais e fortalecendo o portfólio de produtos destinados a regiões remotas ou com infraestrutura limitada.</w:t>
      </w:r>
    </w:p>
    <w:p w14:paraId="2B2CBAF3" w14:textId="77777777" w:rsidR="002C6574" w:rsidRDefault="00000000">
      <w:pPr>
        <w:pStyle w:val="Corpodetexto"/>
        <w:spacing w:before="119"/>
        <w:ind w:left="709" w:right="276"/>
        <w:jc w:val="both"/>
        <w:rPr>
          <w:rFonts w:ascii="Calibri" w:hAnsi="Calibri"/>
        </w:rPr>
      </w:pPr>
      <w:r>
        <w:rPr>
          <w:rFonts w:ascii="Calibri" w:hAnsi="Calibri"/>
          <w:color w:val="001F60"/>
        </w:rPr>
        <w:t>A Companhia também realizou avaliações de tecnologias emergentes, com foco em conectividade móvel e acesso em ambientes remotos, conduzindo estudos comparativos entre diferentes arquiteturas e soluções de comunicação. As análises contemplaram aspectos como desempenho, integração, viabilidade operacional e aderência às demandas das áreas comerciais e finalísticas, contribuindo para a identificação de oportunidades de modernização tecnológica.</w:t>
      </w:r>
    </w:p>
    <w:p w14:paraId="6E0CC721" w14:textId="77777777" w:rsidR="002C6574" w:rsidRDefault="00000000">
      <w:pPr>
        <w:pStyle w:val="Corpodetexto"/>
        <w:spacing w:before="121"/>
        <w:ind w:left="709" w:right="275"/>
        <w:jc w:val="both"/>
        <w:rPr>
          <w:rFonts w:ascii="Calibri" w:hAnsi="Calibri"/>
        </w:rPr>
      </w:pPr>
      <w:r>
        <w:rPr>
          <w:rFonts w:ascii="Calibri" w:hAnsi="Calibri"/>
          <w:color w:val="001F60"/>
        </w:rPr>
        <w:t>Além disso, foi estruturado e consolidado o laboratório de inovação, ambiente dedicado exclusivamente à experimentação tecnológica e à realização de provas de conceito em soluções de conectividade avançada. O laboratório opera de forma isolada da rede corporativa, oferecendo segurança, robustez e flexibilidade para testes, análises e estudos voltados à inovação.</w:t>
      </w:r>
    </w:p>
    <w:p w14:paraId="7B40286F" w14:textId="77777777" w:rsidR="002C6574" w:rsidRDefault="00000000">
      <w:pPr>
        <w:pStyle w:val="Corpodetexto"/>
        <w:spacing w:before="118"/>
        <w:ind w:left="709" w:right="278"/>
        <w:jc w:val="both"/>
        <w:rPr>
          <w:rFonts w:ascii="Calibri" w:hAnsi="Calibri"/>
        </w:rPr>
      </w:pPr>
      <w:r>
        <w:rPr>
          <w:rFonts w:ascii="Calibri" w:hAnsi="Calibri"/>
          <w:color w:val="001F60"/>
        </w:rPr>
        <w:t>A gestão da inovação na Telebras está organizada em três horizontes de desenvolvimento, que equilibram resultados imediatos e preparação para tecnologias futuras:</w:t>
      </w:r>
    </w:p>
    <w:p w14:paraId="675C1672" w14:textId="77777777" w:rsidR="002C6574" w:rsidRDefault="00000000">
      <w:pPr>
        <w:pStyle w:val="PargrafodaLista"/>
        <w:numPr>
          <w:ilvl w:val="0"/>
          <w:numId w:val="64"/>
        </w:numPr>
        <w:tabs>
          <w:tab w:val="left" w:pos="1429"/>
        </w:tabs>
        <w:spacing w:before="137" w:line="235" w:lineRule="auto"/>
        <w:ind w:right="277"/>
        <w:jc w:val="both"/>
      </w:pPr>
      <w:r>
        <w:rPr>
          <w:color w:val="001F60"/>
        </w:rPr>
        <w:t>Horizonte 1 (70%) – evolução e aprimoramento das soluções já consolidadas no portfólio da Companhia, com foco em melhorias de desempenho, eficiência técnica e usabilidade;</w:t>
      </w:r>
    </w:p>
    <w:p w14:paraId="52D5F173" w14:textId="77777777" w:rsidR="002C6574" w:rsidRDefault="00000000">
      <w:pPr>
        <w:pStyle w:val="PargrafodaLista"/>
        <w:numPr>
          <w:ilvl w:val="0"/>
          <w:numId w:val="64"/>
        </w:numPr>
        <w:tabs>
          <w:tab w:val="left" w:pos="1429"/>
        </w:tabs>
        <w:spacing w:before="16" w:line="235" w:lineRule="auto"/>
        <w:ind w:right="276"/>
        <w:jc w:val="both"/>
      </w:pPr>
      <w:r>
        <w:rPr>
          <w:color w:val="001F60"/>
        </w:rPr>
        <w:t>Horizonte</w:t>
      </w:r>
      <w:r>
        <w:rPr>
          <w:color w:val="001F60"/>
          <w:spacing w:val="-6"/>
        </w:rPr>
        <w:t xml:space="preserve"> </w:t>
      </w:r>
      <w:r>
        <w:rPr>
          <w:color w:val="001F60"/>
        </w:rPr>
        <w:t>2</w:t>
      </w:r>
      <w:r>
        <w:rPr>
          <w:color w:val="001F60"/>
          <w:spacing w:val="-4"/>
        </w:rPr>
        <w:t xml:space="preserve"> </w:t>
      </w:r>
      <w:r>
        <w:rPr>
          <w:color w:val="001F60"/>
        </w:rPr>
        <w:t>(20%)</w:t>
      </w:r>
      <w:r>
        <w:rPr>
          <w:color w:val="001F60"/>
          <w:spacing w:val="-4"/>
        </w:rPr>
        <w:t xml:space="preserve"> </w:t>
      </w:r>
      <w:r>
        <w:rPr>
          <w:color w:val="001F60"/>
        </w:rPr>
        <w:t>–</w:t>
      </w:r>
      <w:r>
        <w:rPr>
          <w:color w:val="001F60"/>
          <w:spacing w:val="-4"/>
        </w:rPr>
        <w:t xml:space="preserve"> </w:t>
      </w:r>
      <w:r>
        <w:rPr>
          <w:color w:val="001F60"/>
        </w:rPr>
        <w:t>avaliação</w:t>
      </w:r>
      <w:r>
        <w:rPr>
          <w:color w:val="001F60"/>
          <w:spacing w:val="-3"/>
        </w:rPr>
        <w:t xml:space="preserve"> </w:t>
      </w:r>
      <w:r>
        <w:rPr>
          <w:color w:val="001F60"/>
        </w:rPr>
        <w:t>de</w:t>
      </w:r>
      <w:r>
        <w:rPr>
          <w:color w:val="001F60"/>
          <w:spacing w:val="-4"/>
        </w:rPr>
        <w:t xml:space="preserve"> </w:t>
      </w:r>
      <w:r>
        <w:rPr>
          <w:color w:val="001F60"/>
        </w:rPr>
        <w:t>novas</w:t>
      </w:r>
      <w:r>
        <w:rPr>
          <w:color w:val="001F60"/>
          <w:spacing w:val="-6"/>
        </w:rPr>
        <w:t xml:space="preserve"> </w:t>
      </w:r>
      <w:r>
        <w:rPr>
          <w:color w:val="001F60"/>
        </w:rPr>
        <w:t>tecnologias</w:t>
      </w:r>
      <w:r>
        <w:rPr>
          <w:color w:val="001F60"/>
          <w:spacing w:val="-4"/>
        </w:rPr>
        <w:t xml:space="preserve"> </w:t>
      </w:r>
      <w:r>
        <w:rPr>
          <w:color w:val="001F60"/>
        </w:rPr>
        <w:t>disponíveis</w:t>
      </w:r>
      <w:r>
        <w:rPr>
          <w:color w:val="001F60"/>
          <w:spacing w:val="-4"/>
        </w:rPr>
        <w:t xml:space="preserve"> </w:t>
      </w:r>
      <w:r>
        <w:rPr>
          <w:color w:val="001F60"/>
        </w:rPr>
        <w:t>no</w:t>
      </w:r>
      <w:r>
        <w:rPr>
          <w:color w:val="001F60"/>
          <w:spacing w:val="-6"/>
        </w:rPr>
        <w:t xml:space="preserve"> </w:t>
      </w:r>
      <w:r>
        <w:rPr>
          <w:color w:val="001F60"/>
        </w:rPr>
        <w:t>mercado,</w:t>
      </w:r>
      <w:r>
        <w:rPr>
          <w:color w:val="001F60"/>
          <w:spacing w:val="-4"/>
        </w:rPr>
        <w:t xml:space="preserve"> </w:t>
      </w:r>
      <w:r>
        <w:rPr>
          <w:color w:val="001F60"/>
        </w:rPr>
        <w:t>com</w:t>
      </w:r>
      <w:r>
        <w:rPr>
          <w:color w:val="001F60"/>
          <w:spacing w:val="-3"/>
        </w:rPr>
        <w:t xml:space="preserve"> </w:t>
      </w:r>
      <w:r>
        <w:rPr>
          <w:color w:val="001F60"/>
        </w:rPr>
        <w:t>potencial</w:t>
      </w:r>
      <w:r>
        <w:rPr>
          <w:color w:val="001F60"/>
          <w:spacing w:val="-4"/>
        </w:rPr>
        <w:t xml:space="preserve"> </w:t>
      </w:r>
      <w:r>
        <w:rPr>
          <w:color w:val="001F60"/>
        </w:rPr>
        <w:t>de complementar ou ampliar as soluções da Telebras;</w:t>
      </w:r>
    </w:p>
    <w:p w14:paraId="749CA10A" w14:textId="77777777" w:rsidR="002C6574" w:rsidRDefault="00000000">
      <w:pPr>
        <w:pStyle w:val="PargrafodaLista"/>
        <w:numPr>
          <w:ilvl w:val="0"/>
          <w:numId w:val="64"/>
        </w:numPr>
        <w:tabs>
          <w:tab w:val="left" w:pos="1429"/>
        </w:tabs>
        <w:spacing w:before="12" w:line="237" w:lineRule="auto"/>
        <w:ind w:right="278"/>
        <w:jc w:val="both"/>
      </w:pPr>
      <w:r>
        <w:rPr>
          <w:color w:val="001F60"/>
        </w:rPr>
        <w:t>Horizonte 3 (10%) – acompanhamento de tecnologias emergentes, considerando tendências de médio e longo prazo, como conectividade avançada, automação inteligente de redes, cidades inteligentes e evolução da capacidade satelital.</w:t>
      </w:r>
    </w:p>
    <w:p w14:paraId="37DAFBC9" w14:textId="77777777" w:rsidR="002C6574" w:rsidRDefault="00000000">
      <w:pPr>
        <w:pStyle w:val="Corpodetexto"/>
        <w:spacing w:before="120"/>
        <w:ind w:left="709" w:right="277"/>
        <w:jc w:val="both"/>
        <w:rPr>
          <w:rFonts w:ascii="Calibri" w:hAnsi="Calibri"/>
        </w:rPr>
      </w:pPr>
      <w:r>
        <w:rPr>
          <w:rFonts w:ascii="Calibri" w:hAnsi="Calibri"/>
          <w:color w:val="001F60"/>
        </w:rPr>
        <w:t>Essa abordagem assegura previsibilidade, equilíbrio e direcionamento estratégico na gestão da inovação,</w:t>
      </w:r>
      <w:r>
        <w:rPr>
          <w:rFonts w:ascii="Calibri" w:hAnsi="Calibri"/>
          <w:color w:val="001F60"/>
          <w:spacing w:val="-13"/>
        </w:rPr>
        <w:t xml:space="preserve"> </w:t>
      </w:r>
      <w:r>
        <w:rPr>
          <w:rFonts w:ascii="Calibri" w:hAnsi="Calibri"/>
          <w:color w:val="001F60"/>
        </w:rPr>
        <w:t>fortalecendo</w:t>
      </w:r>
      <w:r>
        <w:rPr>
          <w:rFonts w:ascii="Calibri" w:hAnsi="Calibri"/>
          <w:color w:val="001F60"/>
          <w:spacing w:val="-10"/>
        </w:rPr>
        <w:t xml:space="preserve"> </w:t>
      </w:r>
      <w:r>
        <w:rPr>
          <w:rFonts w:ascii="Calibri" w:hAnsi="Calibri"/>
          <w:color w:val="001F60"/>
        </w:rPr>
        <w:t>a</w:t>
      </w:r>
      <w:r>
        <w:rPr>
          <w:rFonts w:ascii="Calibri" w:hAnsi="Calibri"/>
          <w:color w:val="001F60"/>
          <w:spacing w:val="-13"/>
        </w:rPr>
        <w:t xml:space="preserve"> </w:t>
      </w:r>
      <w:r>
        <w:rPr>
          <w:rFonts w:ascii="Calibri" w:hAnsi="Calibri"/>
          <w:color w:val="001F60"/>
        </w:rPr>
        <w:t>capacidade</w:t>
      </w:r>
      <w:r>
        <w:rPr>
          <w:rFonts w:ascii="Calibri" w:hAnsi="Calibri"/>
          <w:color w:val="001F60"/>
          <w:spacing w:val="-10"/>
        </w:rPr>
        <w:t xml:space="preserve"> </w:t>
      </w:r>
      <w:r>
        <w:rPr>
          <w:rFonts w:ascii="Calibri" w:hAnsi="Calibri"/>
          <w:color w:val="001F60"/>
        </w:rPr>
        <w:t>da</w:t>
      </w:r>
      <w:r>
        <w:rPr>
          <w:rFonts w:ascii="Calibri" w:hAnsi="Calibri"/>
          <w:color w:val="001F60"/>
          <w:spacing w:val="-13"/>
        </w:rPr>
        <w:t xml:space="preserve"> </w:t>
      </w:r>
      <w:r>
        <w:rPr>
          <w:rFonts w:ascii="Calibri" w:hAnsi="Calibri"/>
          <w:color w:val="001F60"/>
        </w:rPr>
        <w:t>Telebras</w:t>
      </w:r>
      <w:r>
        <w:rPr>
          <w:rFonts w:ascii="Calibri" w:hAnsi="Calibri"/>
          <w:color w:val="001F60"/>
          <w:spacing w:val="-10"/>
        </w:rPr>
        <w:t xml:space="preserve"> </w:t>
      </w:r>
      <w:r>
        <w:rPr>
          <w:rFonts w:ascii="Calibri" w:hAnsi="Calibri"/>
          <w:color w:val="001F60"/>
        </w:rPr>
        <w:t>de</w:t>
      </w:r>
      <w:r>
        <w:rPr>
          <w:rFonts w:ascii="Calibri" w:hAnsi="Calibri"/>
          <w:color w:val="001F60"/>
          <w:spacing w:val="-11"/>
        </w:rPr>
        <w:t xml:space="preserve"> </w:t>
      </w:r>
      <w:r>
        <w:rPr>
          <w:rFonts w:ascii="Calibri" w:hAnsi="Calibri"/>
          <w:color w:val="001F60"/>
        </w:rPr>
        <w:t>antecipar</w:t>
      </w:r>
      <w:r>
        <w:rPr>
          <w:rFonts w:ascii="Calibri" w:hAnsi="Calibri"/>
          <w:color w:val="001F60"/>
          <w:spacing w:val="-13"/>
        </w:rPr>
        <w:t xml:space="preserve"> </w:t>
      </w:r>
      <w:r>
        <w:rPr>
          <w:rFonts w:ascii="Calibri" w:hAnsi="Calibri"/>
          <w:color w:val="001F60"/>
        </w:rPr>
        <w:t>tendências,</w:t>
      </w:r>
      <w:r>
        <w:rPr>
          <w:rFonts w:ascii="Calibri" w:hAnsi="Calibri"/>
          <w:color w:val="001F60"/>
          <w:spacing w:val="-10"/>
        </w:rPr>
        <w:t xml:space="preserve"> </w:t>
      </w:r>
      <w:r>
        <w:rPr>
          <w:rFonts w:ascii="Calibri" w:hAnsi="Calibri"/>
          <w:color w:val="001F60"/>
        </w:rPr>
        <w:t>adotar</w:t>
      </w:r>
      <w:r>
        <w:rPr>
          <w:rFonts w:ascii="Calibri" w:hAnsi="Calibri"/>
          <w:color w:val="001F60"/>
          <w:spacing w:val="-13"/>
        </w:rPr>
        <w:t xml:space="preserve"> </w:t>
      </w:r>
      <w:r>
        <w:rPr>
          <w:rFonts w:ascii="Calibri" w:hAnsi="Calibri"/>
          <w:color w:val="001F60"/>
        </w:rPr>
        <w:t>tecnologias</w:t>
      </w:r>
      <w:r>
        <w:rPr>
          <w:rFonts w:ascii="Calibri" w:hAnsi="Calibri"/>
          <w:color w:val="001F60"/>
          <w:spacing w:val="-10"/>
        </w:rPr>
        <w:t xml:space="preserve"> </w:t>
      </w:r>
      <w:r>
        <w:rPr>
          <w:rFonts w:ascii="Calibri" w:hAnsi="Calibri"/>
          <w:color w:val="001F60"/>
        </w:rPr>
        <w:t>de</w:t>
      </w:r>
      <w:r>
        <w:rPr>
          <w:rFonts w:ascii="Calibri" w:hAnsi="Calibri"/>
          <w:color w:val="001F60"/>
          <w:spacing w:val="-11"/>
        </w:rPr>
        <w:t xml:space="preserve"> </w:t>
      </w:r>
      <w:r>
        <w:rPr>
          <w:rFonts w:ascii="Calibri" w:hAnsi="Calibri"/>
          <w:color w:val="001F60"/>
        </w:rPr>
        <w:t xml:space="preserve">forma responsável e incorporar soluções alinhadas às necessidades do país e às políticas públicas de </w:t>
      </w:r>
      <w:r>
        <w:rPr>
          <w:rFonts w:ascii="Calibri" w:hAnsi="Calibri"/>
          <w:color w:val="001F60"/>
          <w:spacing w:val="-2"/>
        </w:rPr>
        <w:t>telecomunicações.</w:t>
      </w:r>
    </w:p>
    <w:p w14:paraId="66FA314C" w14:textId="77777777" w:rsidR="002C6574" w:rsidRDefault="002C6574">
      <w:pPr>
        <w:pStyle w:val="Corpodetexto"/>
        <w:jc w:val="both"/>
        <w:rPr>
          <w:rFonts w:ascii="Calibri" w:hAnsi="Calibri"/>
        </w:rPr>
        <w:sectPr w:rsidR="002C6574">
          <w:pgSz w:w="11910" w:h="16840"/>
          <w:pgMar w:top="1160" w:right="850" w:bottom="740" w:left="992" w:header="312" w:footer="542" w:gutter="0"/>
          <w:cols w:space="720"/>
        </w:sectPr>
      </w:pPr>
    </w:p>
    <w:p w14:paraId="2742244D" w14:textId="77777777" w:rsidR="002C6574" w:rsidRDefault="002C6574">
      <w:pPr>
        <w:pStyle w:val="Corpodetexto"/>
        <w:rPr>
          <w:rFonts w:ascii="Calibri"/>
          <w:sz w:val="24"/>
        </w:rPr>
      </w:pPr>
    </w:p>
    <w:p w14:paraId="2F7762D5" w14:textId="77777777" w:rsidR="002C6574" w:rsidRDefault="002C6574">
      <w:pPr>
        <w:pStyle w:val="Corpodetexto"/>
        <w:spacing w:before="121"/>
        <w:rPr>
          <w:rFonts w:ascii="Calibri"/>
          <w:sz w:val="24"/>
        </w:rPr>
      </w:pPr>
    </w:p>
    <w:p w14:paraId="12175C73" w14:textId="77777777" w:rsidR="002C6574" w:rsidRDefault="00000000">
      <w:pPr>
        <w:pStyle w:val="Ttulo8"/>
        <w:numPr>
          <w:ilvl w:val="0"/>
          <w:numId w:val="74"/>
        </w:numPr>
        <w:tabs>
          <w:tab w:val="left" w:pos="991"/>
        </w:tabs>
        <w:ind w:left="991" w:hanging="282"/>
      </w:pPr>
      <w:r>
        <w:rPr>
          <w:color w:val="001F60"/>
        </w:rPr>
        <w:t>Evolução</w:t>
      </w:r>
      <w:r>
        <w:rPr>
          <w:color w:val="001F60"/>
          <w:spacing w:val="-4"/>
        </w:rPr>
        <w:t xml:space="preserve"> </w:t>
      </w:r>
      <w:r>
        <w:rPr>
          <w:color w:val="001F60"/>
        </w:rPr>
        <w:t>da</w:t>
      </w:r>
      <w:r>
        <w:rPr>
          <w:color w:val="001F60"/>
          <w:spacing w:val="3"/>
        </w:rPr>
        <w:t xml:space="preserve"> </w:t>
      </w:r>
      <w:r>
        <w:rPr>
          <w:color w:val="001F60"/>
        </w:rPr>
        <w:t>Rede</w:t>
      </w:r>
      <w:r>
        <w:rPr>
          <w:color w:val="001F60"/>
          <w:spacing w:val="1"/>
        </w:rPr>
        <w:t xml:space="preserve"> </w:t>
      </w:r>
      <w:r>
        <w:rPr>
          <w:color w:val="001F60"/>
        </w:rPr>
        <w:t>de</w:t>
      </w:r>
      <w:r>
        <w:rPr>
          <w:color w:val="001F60"/>
          <w:spacing w:val="-1"/>
        </w:rPr>
        <w:t xml:space="preserve"> </w:t>
      </w:r>
      <w:r>
        <w:rPr>
          <w:color w:val="001F60"/>
          <w:spacing w:val="-2"/>
        </w:rPr>
        <w:t>Telecomunicações</w:t>
      </w:r>
    </w:p>
    <w:p w14:paraId="25425DCD" w14:textId="77777777" w:rsidR="002C6574" w:rsidRDefault="002C6574">
      <w:pPr>
        <w:pStyle w:val="Corpodetexto"/>
        <w:spacing w:before="182"/>
        <w:rPr>
          <w:rFonts w:ascii="Calibri"/>
          <w:b/>
          <w:sz w:val="24"/>
        </w:rPr>
      </w:pPr>
    </w:p>
    <w:p w14:paraId="7E1559E2" w14:textId="77777777" w:rsidR="002C6574" w:rsidRDefault="00000000">
      <w:pPr>
        <w:numPr>
          <w:ilvl w:val="1"/>
          <w:numId w:val="74"/>
        </w:numPr>
        <w:tabs>
          <w:tab w:val="left" w:pos="1275"/>
        </w:tabs>
        <w:ind w:left="1275" w:hanging="566"/>
        <w:rPr>
          <w:rFonts w:ascii="Calibri"/>
          <w:b/>
        </w:rPr>
      </w:pPr>
      <w:r>
        <w:rPr>
          <w:rFonts w:ascii="Calibri"/>
          <w:b/>
          <w:color w:val="001F60"/>
        </w:rPr>
        <w:t>Rede</w:t>
      </w:r>
      <w:r>
        <w:rPr>
          <w:rFonts w:ascii="Calibri"/>
          <w:b/>
          <w:color w:val="001F60"/>
          <w:spacing w:val="-3"/>
        </w:rPr>
        <w:t xml:space="preserve"> </w:t>
      </w:r>
      <w:r>
        <w:rPr>
          <w:rFonts w:ascii="Calibri"/>
          <w:b/>
          <w:color w:val="001F60"/>
          <w:spacing w:val="-2"/>
        </w:rPr>
        <w:t>Terrestre</w:t>
      </w:r>
    </w:p>
    <w:p w14:paraId="14264032" w14:textId="77777777" w:rsidR="002C6574" w:rsidRDefault="002C6574">
      <w:pPr>
        <w:pStyle w:val="Corpodetexto"/>
        <w:spacing w:before="10"/>
        <w:rPr>
          <w:rFonts w:ascii="Calibri"/>
          <w:b/>
        </w:rPr>
      </w:pPr>
    </w:p>
    <w:p w14:paraId="1A7972D7" w14:textId="77777777" w:rsidR="002C6574" w:rsidRDefault="00000000">
      <w:pPr>
        <w:pStyle w:val="Corpodetexto"/>
        <w:ind w:left="709"/>
        <w:jc w:val="both"/>
        <w:rPr>
          <w:rFonts w:ascii="Calibri"/>
        </w:rPr>
      </w:pPr>
      <w:r>
        <w:rPr>
          <w:rFonts w:ascii="Calibri"/>
          <w:color w:val="001F60"/>
          <w:spacing w:val="-2"/>
        </w:rPr>
        <w:t>A</w:t>
      </w:r>
      <w:r>
        <w:rPr>
          <w:rFonts w:ascii="Calibri"/>
          <w:color w:val="001F60"/>
          <w:spacing w:val="-5"/>
        </w:rPr>
        <w:t xml:space="preserve"> </w:t>
      </w:r>
      <w:r>
        <w:rPr>
          <w:rFonts w:ascii="Calibri"/>
          <w:color w:val="001F60"/>
          <w:spacing w:val="-2"/>
        </w:rPr>
        <w:t>Rede</w:t>
      </w:r>
      <w:r>
        <w:rPr>
          <w:rFonts w:ascii="Calibri"/>
          <w:color w:val="001F60"/>
          <w:spacing w:val="-3"/>
        </w:rPr>
        <w:t xml:space="preserve"> </w:t>
      </w:r>
      <w:r>
        <w:rPr>
          <w:rFonts w:ascii="Calibri"/>
          <w:color w:val="001F60"/>
          <w:spacing w:val="-2"/>
        </w:rPr>
        <w:t>Terrestre da</w:t>
      </w:r>
      <w:r>
        <w:rPr>
          <w:rFonts w:ascii="Calibri"/>
          <w:color w:val="001F60"/>
          <w:spacing w:val="-3"/>
        </w:rPr>
        <w:t xml:space="preserve"> </w:t>
      </w:r>
      <w:r>
        <w:rPr>
          <w:rFonts w:ascii="Calibri"/>
          <w:color w:val="001F60"/>
          <w:spacing w:val="-2"/>
        </w:rPr>
        <w:t>Telebras</w:t>
      </w:r>
      <w:r>
        <w:rPr>
          <w:rFonts w:ascii="Calibri"/>
          <w:color w:val="001F60"/>
          <w:spacing w:val="-3"/>
        </w:rPr>
        <w:t xml:space="preserve"> </w:t>
      </w:r>
      <w:r>
        <w:rPr>
          <w:rFonts w:ascii="Calibri"/>
          <w:color w:val="001F60"/>
          <w:spacing w:val="-2"/>
        </w:rPr>
        <w:t>cobre todo</w:t>
      </w:r>
      <w:r>
        <w:rPr>
          <w:rFonts w:ascii="Calibri"/>
          <w:color w:val="001F60"/>
          <w:spacing w:val="-5"/>
        </w:rPr>
        <w:t xml:space="preserve"> </w:t>
      </w:r>
      <w:r>
        <w:rPr>
          <w:rFonts w:ascii="Calibri"/>
          <w:color w:val="001F60"/>
          <w:spacing w:val="-2"/>
        </w:rPr>
        <w:t>o</w:t>
      </w:r>
      <w:r>
        <w:rPr>
          <w:rFonts w:ascii="Calibri"/>
          <w:color w:val="001F60"/>
          <w:spacing w:val="-3"/>
        </w:rPr>
        <w:t xml:space="preserve"> </w:t>
      </w:r>
      <w:r>
        <w:rPr>
          <w:rFonts w:ascii="Calibri"/>
          <w:color w:val="001F60"/>
          <w:spacing w:val="-2"/>
        </w:rPr>
        <w:t>Brasil, sustentada</w:t>
      </w:r>
      <w:r>
        <w:rPr>
          <w:rFonts w:ascii="Calibri"/>
          <w:color w:val="001F60"/>
          <w:spacing w:val="-3"/>
        </w:rPr>
        <w:t xml:space="preserve"> </w:t>
      </w:r>
      <w:r>
        <w:rPr>
          <w:rFonts w:ascii="Calibri"/>
          <w:color w:val="001F60"/>
          <w:spacing w:val="-2"/>
        </w:rPr>
        <w:t>por</w:t>
      </w:r>
      <w:r>
        <w:rPr>
          <w:rFonts w:ascii="Calibri"/>
          <w:color w:val="001F60"/>
          <w:spacing w:val="-3"/>
        </w:rPr>
        <w:t xml:space="preserve"> </w:t>
      </w:r>
      <w:r>
        <w:rPr>
          <w:rFonts w:ascii="Calibri"/>
          <w:color w:val="001F60"/>
          <w:spacing w:val="-2"/>
        </w:rPr>
        <w:t>um</w:t>
      </w:r>
      <w:r>
        <w:rPr>
          <w:rFonts w:ascii="Calibri"/>
          <w:color w:val="001F60"/>
          <w:spacing w:val="-1"/>
        </w:rPr>
        <w:t xml:space="preserve"> </w:t>
      </w:r>
      <w:r>
        <w:rPr>
          <w:rFonts w:ascii="Arial"/>
          <w:i/>
          <w:color w:val="001F60"/>
          <w:spacing w:val="-2"/>
        </w:rPr>
        <w:t>backbone</w:t>
      </w:r>
      <w:r>
        <w:rPr>
          <w:rFonts w:ascii="Arial"/>
          <w:i/>
          <w:color w:val="001F60"/>
          <w:spacing w:val="-13"/>
        </w:rPr>
        <w:t xml:space="preserve"> </w:t>
      </w:r>
      <w:r>
        <w:rPr>
          <w:rFonts w:ascii="Calibri"/>
          <w:color w:val="001F60"/>
          <w:spacing w:val="-2"/>
        </w:rPr>
        <w:t>nacional</w:t>
      </w:r>
      <w:r>
        <w:rPr>
          <w:rFonts w:ascii="Calibri"/>
          <w:color w:val="001F60"/>
          <w:spacing w:val="-3"/>
        </w:rPr>
        <w:t xml:space="preserve"> </w:t>
      </w:r>
      <w:r>
        <w:rPr>
          <w:rFonts w:ascii="Calibri"/>
          <w:color w:val="001F60"/>
          <w:spacing w:val="-2"/>
        </w:rPr>
        <w:t>composto</w:t>
      </w:r>
      <w:r>
        <w:rPr>
          <w:rFonts w:ascii="Calibri"/>
          <w:color w:val="001F60"/>
          <w:spacing w:val="-1"/>
        </w:rPr>
        <w:t xml:space="preserve"> </w:t>
      </w:r>
      <w:r>
        <w:rPr>
          <w:rFonts w:ascii="Calibri"/>
          <w:color w:val="001F60"/>
          <w:spacing w:val="-5"/>
        </w:rPr>
        <w:t>por</w:t>
      </w:r>
    </w:p>
    <w:p w14:paraId="4037702E" w14:textId="77777777" w:rsidR="002C6574" w:rsidRDefault="00000000">
      <w:pPr>
        <w:pStyle w:val="Corpodetexto"/>
        <w:ind w:left="709" w:right="278"/>
        <w:jc w:val="both"/>
        <w:rPr>
          <w:rFonts w:ascii="Calibri" w:hAnsi="Calibri"/>
        </w:rPr>
      </w:pPr>
      <w:r>
        <w:rPr>
          <w:rFonts w:ascii="Calibri" w:hAnsi="Calibri"/>
          <w:color w:val="001F60"/>
        </w:rPr>
        <w:t>30.115 km de fibras ópticas. Essa infraestrutura essencial para a conectividade do país atravessa diversas regiões, sendo predominantemente baseada em cabos OPGW (</w:t>
      </w:r>
      <w:r>
        <w:rPr>
          <w:rFonts w:ascii="Arial" w:hAnsi="Arial"/>
          <w:i/>
          <w:color w:val="001F60"/>
        </w:rPr>
        <w:t>Optical Ground Wire</w:t>
      </w:r>
      <w:r>
        <w:rPr>
          <w:rFonts w:ascii="Calibri" w:hAnsi="Calibri"/>
          <w:color w:val="001F60"/>
        </w:rPr>
        <w:t>) instalados ao longo de linhas de transmissão de energia elétrica. Além disso, a rede se expande por gasodutos e rodovias, tanto estaduais quanto federais.</w:t>
      </w:r>
    </w:p>
    <w:p w14:paraId="29D778E4" w14:textId="77777777" w:rsidR="002C6574" w:rsidRDefault="00000000">
      <w:pPr>
        <w:pStyle w:val="Corpodetexto"/>
        <w:spacing w:before="121"/>
        <w:ind w:left="709"/>
        <w:jc w:val="both"/>
        <w:rPr>
          <w:rFonts w:ascii="Calibri" w:hAnsi="Calibri"/>
        </w:rPr>
      </w:pPr>
      <w:r>
        <w:rPr>
          <w:rFonts w:ascii="Calibri" w:hAnsi="Calibri"/>
          <w:color w:val="001F60"/>
        </w:rPr>
        <w:t>A</w:t>
      </w:r>
      <w:r>
        <w:rPr>
          <w:rFonts w:ascii="Calibri" w:hAnsi="Calibri"/>
          <w:color w:val="001F60"/>
          <w:spacing w:val="-2"/>
        </w:rPr>
        <w:t xml:space="preserve"> </w:t>
      </w:r>
      <w:r>
        <w:rPr>
          <w:rFonts w:ascii="Calibri" w:hAnsi="Calibri"/>
          <w:color w:val="001F60"/>
        </w:rPr>
        <w:t>composição</w:t>
      </w:r>
      <w:r>
        <w:rPr>
          <w:rFonts w:ascii="Calibri" w:hAnsi="Calibri"/>
          <w:color w:val="001F60"/>
          <w:spacing w:val="-4"/>
        </w:rPr>
        <w:t xml:space="preserve"> </w:t>
      </w:r>
      <w:r>
        <w:rPr>
          <w:rFonts w:ascii="Calibri" w:hAnsi="Calibri"/>
          <w:color w:val="001F60"/>
        </w:rPr>
        <w:t>detalhada</w:t>
      </w:r>
      <w:r>
        <w:rPr>
          <w:rFonts w:ascii="Calibri" w:hAnsi="Calibri"/>
          <w:color w:val="001F60"/>
          <w:spacing w:val="-2"/>
        </w:rPr>
        <w:t xml:space="preserve"> </w:t>
      </w:r>
      <w:r>
        <w:rPr>
          <w:rFonts w:ascii="Calibri" w:hAnsi="Calibri"/>
          <w:color w:val="001F60"/>
        </w:rPr>
        <w:t>dessa</w:t>
      </w:r>
      <w:r>
        <w:rPr>
          <w:rFonts w:ascii="Calibri" w:hAnsi="Calibri"/>
          <w:color w:val="001F60"/>
          <w:spacing w:val="-3"/>
        </w:rPr>
        <w:t xml:space="preserve"> </w:t>
      </w:r>
      <w:r>
        <w:rPr>
          <w:rFonts w:ascii="Calibri" w:hAnsi="Calibri"/>
          <w:color w:val="001F60"/>
        </w:rPr>
        <w:t>rede</w:t>
      </w:r>
      <w:r>
        <w:rPr>
          <w:rFonts w:ascii="Calibri" w:hAnsi="Calibri"/>
          <w:color w:val="001F60"/>
          <w:spacing w:val="-2"/>
        </w:rPr>
        <w:t xml:space="preserve"> </w:t>
      </w:r>
      <w:r>
        <w:rPr>
          <w:rFonts w:ascii="Calibri" w:hAnsi="Calibri"/>
          <w:color w:val="001F60"/>
        </w:rPr>
        <w:t>é</w:t>
      </w:r>
      <w:r>
        <w:rPr>
          <w:rFonts w:ascii="Calibri" w:hAnsi="Calibri"/>
          <w:color w:val="001F60"/>
          <w:spacing w:val="-4"/>
        </w:rPr>
        <w:t xml:space="preserve"> </w:t>
      </w:r>
      <w:r>
        <w:rPr>
          <w:rFonts w:ascii="Calibri" w:hAnsi="Calibri"/>
          <w:color w:val="001F60"/>
        </w:rPr>
        <w:t>a</w:t>
      </w:r>
      <w:r>
        <w:rPr>
          <w:rFonts w:ascii="Calibri" w:hAnsi="Calibri"/>
          <w:color w:val="001F60"/>
          <w:spacing w:val="-1"/>
        </w:rPr>
        <w:t xml:space="preserve"> </w:t>
      </w:r>
      <w:r>
        <w:rPr>
          <w:rFonts w:ascii="Calibri" w:hAnsi="Calibri"/>
          <w:color w:val="001F60"/>
          <w:spacing w:val="-2"/>
        </w:rPr>
        <w:t>seguinte:</w:t>
      </w:r>
    </w:p>
    <w:p w14:paraId="4A45970C" w14:textId="77777777" w:rsidR="002C6574" w:rsidRDefault="00000000">
      <w:pPr>
        <w:pStyle w:val="PargrafodaLista"/>
        <w:numPr>
          <w:ilvl w:val="0"/>
          <w:numId w:val="63"/>
        </w:numPr>
        <w:tabs>
          <w:tab w:val="left" w:pos="1429"/>
        </w:tabs>
        <w:spacing w:before="120"/>
      </w:pPr>
      <w:r>
        <w:rPr>
          <w:color w:val="001F60"/>
        </w:rPr>
        <w:t>2.433,5</w:t>
      </w:r>
      <w:r>
        <w:rPr>
          <w:color w:val="001F60"/>
          <w:spacing w:val="-2"/>
        </w:rPr>
        <w:t xml:space="preserve"> </w:t>
      </w:r>
      <w:r>
        <w:rPr>
          <w:color w:val="001F60"/>
        </w:rPr>
        <w:t>km</w:t>
      </w:r>
      <w:r>
        <w:rPr>
          <w:color w:val="001F60"/>
          <w:spacing w:val="-2"/>
        </w:rPr>
        <w:t xml:space="preserve"> </w:t>
      </w:r>
      <w:r>
        <w:rPr>
          <w:color w:val="001F60"/>
        </w:rPr>
        <w:t>de</w:t>
      </w:r>
      <w:r>
        <w:rPr>
          <w:color w:val="001F60"/>
          <w:spacing w:val="-2"/>
        </w:rPr>
        <w:t xml:space="preserve"> </w:t>
      </w:r>
      <w:r>
        <w:rPr>
          <w:color w:val="001F60"/>
        </w:rPr>
        <w:t>fibras</w:t>
      </w:r>
      <w:r>
        <w:rPr>
          <w:color w:val="001F60"/>
          <w:spacing w:val="-2"/>
        </w:rPr>
        <w:t xml:space="preserve"> </w:t>
      </w:r>
      <w:r>
        <w:rPr>
          <w:color w:val="001F60"/>
        </w:rPr>
        <w:t>são</w:t>
      </w:r>
      <w:r>
        <w:rPr>
          <w:color w:val="001F60"/>
          <w:spacing w:val="-1"/>
        </w:rPr>
        <w:t xml:space="preserve"> </w:t>
      </w:r>
      <w:r>
        <w:rPr>
          <w:color w:val="001F60"/>
        </w:rPr>
        <w:t>de</w:t>
      </w:r>
      <w:r>
        <w:rPr>
          <w:color w:val="001F60"/>
          <w:spacing w:val="-4"/>
        </w:rPr>
        <w:t xml:space="preserve"> </w:t>
      </w:r>
      <w:r>
        <w:rPr>
          <w:color w:val="001F60"/>
        </w:rPr>
        <w:t>propriedade</w:t>
      </w:r>
      <w:r>
        <w:rPr>
          <w:color w:val="001F60"/>
          <w:spacing w:val="-2"/>
        </w:rPr>
        <w:t xml:space="preserve"> </w:t>
      </w:r>
      <w:r>
        <w:rPr>
          <w:color w:val="001F60"/>
        </w:rPr>
        <w:t>direta</w:t>
      </w:r>
      <w:r>
        <w:rPr>
          <w:color w:val="001F60"/>
          <w:spacing w:val="-4"/>
        </w:rPr>
        <w:t xml:space="preserve"> </w:t>
      </w:r>
      <w:r>
        <w:rPr>
          <w:color w:val="001F60"/>
        </w:rPr>
        <w:t>da</w:t>
      </w:r>
      <w:r>
        <w:rPr>
          <w:color w:val="001F60"/>
          <w:spacing w:val="-3"/>
        </w:rPr>
        <w:t xml:space="preserve"> </w:t>
      </w:r>
      <w:r>
        <w:rPr>
          <w:color w:val="001F60"/>
          <w:spacing w:val="-2"/>
        </w:rPr>
        <w:t>Telebras;</w:t>
      </w:r>
    </w:p>
    <w:p w14:paraId="6AC0877D" w14:textId="77777777" w:rsidR="002C6574" w:rsidRDefault="00000000">
      <w:pPr>
        <w:pStyle w:val="PargrafodaLista"/>
        <w:numPr>
          <w:ilvl w:val="0"/>
          <w:numId w:val="63"/>
        </w:numPr>
        <w:tabs>
          <w:tab w:val="left" w:pos="1429"/>
        </w:tabs>
        <w:spacing w:before="121"/>
      </w:pPr>
      <w:r>
        <w:rPr>
          <w:color w:val="001F60"/>
        </w:rPr>
        <w:t>17.623,7</w:t>
      </w:r>
      <w:r>
        <w:rPr>
          <w:color w:val="001F60"/>
          <w:spacing w:val="-5"/>
        </w:rPr>
        <w:t xml:space="preserve"> </w:t>
      </w:r>
      <w:r>
        <w:rPr>
          <w:color w:val="001F60"/>
        </w:rPr>
        <w:t>km</w:t>
      </w:r>
      <w:r>
        <w:rPr>
          <w:color w:val="001F60"/>
          <w:spacing w:val="-2"/>
        </w:rPr>
        <w:t xml:space="preserve"> </w:t>
      </w:r>
      <w:r>
        <w:rPr>
          <w:color w:val="001F60"/>
        </w:rPr>
        <w:t>estão</w:t>
      </w:r>
      <w:r>
        <w:rPr>
          <w:color w:val="001F60"/>
          <w:spacing w:val="-2"/>
        </w:rPr>
        <w:t xml:space="preserve"> </w:t>
      </w:r>
      <w:r>
        <w:rPr>
          <w:color w:val="001F60"/>
        </w:rPr>
        <w:t>instalados</w:t>
      </w:r>
      <w:r>
        <w:rPr>
          <w:color w:val="001F60"/>
          <w:spacing w:val="-3"/>
        </w:rPr>
        <w:t xml:space="preserve"> </w:t>
      </w:r>
      <w:r>
        <w:rPr>
          <w:color w:val="001F60"/>
        </w:rPr>
        <w:t>em</w:t>
      </w:r>
      <w:r>
        <w:rPr>
          <w:color w:val="001F60"/>
          <w:spacing w:val="-2"/>
        </w:rPr>
        <w:t xml:space="preserve"> </w:t>
      </w:r>
      <w:r>
        <w:rPr>
          <w:color w:val="001F60"/>
        </w:rPr>
        <w:t>infraestrutura</w:t>
      </w:r>
      <w:r>
        <w:rPr>
          <w:color w:val="001F60"/>
          <w:spacing w:val="-7"/>
        </w:rPr>
        <w:t xml:space="preserve"> </w:t>
      </w:r>
      <w:r>
        <w:rPr>
          <w:color w:val="001F60"/>
        </w:rPr>
        <w:t>da</w:t>
      </w:r>
      <w:r>
        <w:rPr>
          <w:color w:val="001F60"/>
          <w:spacing w:val="-2"/>
        </w:rPr>
        <w:t xml:space="preserve"> Eletrobras;</w:t>
      </w:r>
    </w:p>
    <w:p w14:paraId="771AC855" w14:textId="77777777" w:rsidR="002C6574" w:rsidRDefault="00000000">
      <w:pPr>
        <w:pStyle w:val="PargrafodaLista"/>
        <w:numPr>
          <w:ilvl w:val="0"/>
          <w:numId w:val="63"/>
        </w:numPr>
        <w:tabs>
          <w:tab w:val="left" w:pos="1429"/>
        </w:tabs>
        <w:spacing w:before="120"/>
      </w:pPr>
      <w:r>
        <w:rPr>
          <w:color w:val="001F60"/>
        </w:rPr>
        <w:t>2.229,5</w:t>
      </w:r>
      <w:r>
        <w:rPr>
          <w:color w:val="001F60"/>
          <w:spacing w:val="-3"/>
        </w:rPr>
        <w:t xml:space="preserve"> </w:t>
      </w:r>
      <w:r>
        <w:rPr>
          <w:color w:val="001F60"/>
        </w:rPr>
        <w:t>km</w:t>
      </w:r>
      <w:r>
        <w:rPr>
          <w:color w:val="001F60"/>
          <w:spacing w:val="-2"/>
        </w:rPr>
        <w:t xml:space="preserve"> </w:t>
      </w:r>
      <w:r>
        <w:rPr>
          <w:color w:val="001F60"/>
        </w:rPr>
        <w:t>utilizam</w:t>
      </w:r>
      <w:r>
        <w:rPr>
          <w:color w:val="001F60"/>
          <w:spacing w:val="-2"/>
        </w:rPr>
        <w:t xml:space="preserve"> </w:t>
      </w:r>
      <w:r>
        <w:rPr>
          <w:color w:val="001F60"/>
        </w:rPr>
        <w:t>a</w:t>
      </w:r>
      <w:r>
        <w:rPr>
          <w:color w:val="001F60"/>
          <w:spacing w:val="-4"/>
        </w:rPr>
        <w:t xml:space="preserve"> </w:t>
      </w:r>
      <w:r>
        <w:rPr>
          <w:color w:val="001F60"/>
        </w:rPr>
        <w:t>infraestrutura</w:t>
      </w:r>
      <w:r>
        <w:rPr>
          <w:color w:val="001F60"/>
          <w:spacing w:val="-4"/>
        </w:rPr>
        <w:t xml:space="preserve"> </w:t>
      </w:r>
      <w:r>
        <w:rPr>
          <w:color w:val="001F60"/>
        </w:rPr>
        <w:t>da</w:t>
      </w:r>
      <w:r>
        <w:rPr>
          <w:color w:val="001F60"/>
          <w:spacing w:val="-3"/>
        </w:rPr>
        <w:t xml:space="preserve"> </w:t>
      </w:r>
      <w:r>
        <w:rPr>
          <w:color w:val="001F60"/>
          <w:spacing w:val="-2"/>
        </w:rPr>
        <w:t>Petrobras;</w:t>
      </w:r>
    </w:p>
    <w:p w14:paraId="598463BB" w14:textId="77777777" w:rsidR="002C6574" w:rsidRDefault="00000000">
      <w:pPr>
        <w:pStyle w:val="PargrafodaLista"/>
        <w:numPr>
          <w:ilvl w:val="0"/>
          <w:numId w:val="63"/>
        </w:numPr>
        <w:tabs>
          <w:tab w:val="left" w:pos="1429"/>
        </w:tabs>
        <w:spacing w:before="120"/>
      </w:pPr>
      <w:r>
        <w:rPr>
          <w:color w:val="001F60"/>
        </w:rPr>
        <w:t>1235,0</w:t>
      </w:r>
      <w:r>
        <w:rPr>
          <w:color w:val="001F60"/>
          <w:spacing w:val="-4"/>
        </w:rPr>
        <w:t xml:space="preserve"> </w:t>
      </w:r>
      <w:r>
        <w:rPr>
          <w:color w:val="001F60"/>
        </w:rPr>
        <w:t>km</w:t>
      </w:r>
      <w:r>
        <w:rPr>
          <w:color w:val="001F60"/>
          <w:spacing w:val="-3"/>
        </w:rPr>
        <w:t xml:space="preserve"> </w:t>
      </w:r>
      <w:r>
        <w:rPr>
          <w:color w:val="001F60"/>
        </w:rPr>
        <w:t>percorrem</w:t>
      </w:r>
      <w:r>
        <w:rPr>
          <w:color w:val="001F60"/>
          <w:spacing w:val="-4"/>
        </w:rPr>
        <w:t xml:space="preserve"> </w:t>
      </w:r>
      <w:r>
        <w:rPr>
          <w:color w:val="001F60"/>
        </w:rPr>
        <w:t>cabos</w:t>
      </w:r>
      <w:r>
        <w:rPr>
          <w:color w:val="001F60"/>
          <w:spacing w:val="-3"/>
        </w:rPr>
        <w:t xml:space="preserve"> </w:t>
      </w:r>
      <w:r>
        <w:rPr>
          <w:color w:val="001F60"/>
          <w:spacing w:val="-2"/>
        </w:rPr>
        <w:t>subfluviais;</w:t>
      </w:r>
    </w:p>
    <w:p w14:paraId="46F2EAB4" w14:textId="77777777" w:rsidR="002C6574" w:rsidRDefault="00000000">
      <w:pPr>
        <w:pStyle w:val="PargrafodaLista"/>
        <w:numPr>
          <w:ilvl w:val="0"/>
          <w:numId w:val="63"/>
        </w:numPr>
        <w:tabs>
          <w:tab w:val="left" w:pos="1429"/>
        </w:tabs>
        <w:spacing w:before="118"/>
      </w:pPr>
      <w:r>
        <w:rPr>
          <w:color w:val="001F60"/>
        </w:rPr>
        <w:t>6.593,5</w:t>
      </w:r>
      <w:r>
        <w:rPr>
          <w:color w:val="001F60"/>
          <w:spacing w:val="-5"/>
        </w:rPr>
        <w:t xml:space="preserve"> </w:t>
      </w:r>
      <w:r>
        <w:rPr>
          <w:color w:val="001F60"/>
        </w:rPr>
        <w:t>km</w:t>
      </w:r>
      <w:r>
        <w:rPr>
          <w:color w:val="001F60"/>
          <w:spacing w:val="-2"/>
        </w:rPr>
        <w:t xml:space="preserve"> </w:t>
      </w:r>
      <w:r>
        <w:rPr>
          <w:color w:val="001F60"/>
        </w:rPr>
        <w:t>são provenientes</w:t>
      </w:r>
      <w:r>
        <w:rPr>
          <w:color w:val="001F60"/>
          <w:spacing w:val="-3"/>
        </w:rPr>
        <w:t xml:space="preserve"> </w:t>
      </w:r>
      <w:r>
        <w:rPr>
          <w:color w:val="001F60"/>
        </w:rPr>
        <w:t>de</w:t>
      </w:r>
      <w:r>
        <w:rPr>
          <w:color w:val="001F60"/>
          <w:spacing w:val="-2"/>
        </w:rPr>
        <w:t xml:space="preserve"> </w:t>
      </w:r>
      <w:r>
        <w:rPr>
          <w:color w:val="001F60"/>
        </w:rPr>
        <w:t>parcerias</w:t>
      </w:r>
      <w:r>
        <w:rPr>
          <w:color w:val="001F60"/>
          <w:spacing w:val="-4"/>
        </w:rPr>
        <w:t xml:space="preserve"> </w:t>
      </w:r>
      <w:r>
        <w:rPr>
          <w:color w:val="001F60"/>
        </w:rPr>
        <w:t>ou</w:t>
      </w:r>
      <w:r>
        <w:rPr>
          <w:color w:val="001F60"/>
          <w:spacing w:val="-4"/>
        </w:rPr>
        <w:t xml:space="preserve"> </w:t>
      </w:r>
      <w:r>
        <w:rPr>
          <w:color w:val="001F60"/>
        </w:rPr>
        <w:t>acordos</w:t>
      </w:r>
      <w:r>
        <w:rPr>
          <w:color w:val="001F60"/>
          <w:spacing w:val="-4"/>
        </w:rPr>
        <w:t xml:space="preserve"> </w:t>
      </w:r>
      <w:r>
        <w:rPr>
          <w:color w:val="001F60"/>
        </w:rPr>
        <w:t>com</w:t>
      </w:r>
      <w:r>
        <w:rPr>
          <w:color w:val="001F60"/>
          <w:spacing w:val="-4"/>
        </w:rPr>
        <w:t xml:space="preserve"> </w:t>
      </w:r>
      <w:r>
        <w:rPr>
          <w:color w:val="001F60"/>
        </w:rPr>
        <w:t>operadoras</w:t>
      </w:r>
      <w:r>
        <w:rPr>
          <w:color w:val="001F60"/>
          <w:spacing w:val="-2"/>
        </w:rPr>
        <w:t xml:space="preserve"> </w:t>
      </w:r>
      <w:r>
        <w:rPr>
          <w:color w:val="001F60"/>
        </w:rPr>
        <w:t>de</w:t>
      </w:r>
      <w:r>
        <w:rPr>
          <w:color w:val="001F60"/>
          <w:spacing w:val="-4"/>
        </w:rPr>
        <w:t xml:space="preserve"> </w:t>
      </w:r>
      <w:r>
        <w:rPr>
          <w:color w:val="001F60"/>
          <w:spacing w:val="-2"/>
        </w:rPr>
        <w:t>telecomunicação.</w:t>
      </w:r>
    </w:p>
    <w:p w14:paraId="7022D933" w14:textId="77777777" w:rsidR="002C6574" w:rsidRDefault="00000000">
      <w:pPr>
        <w:pStyle w:val="Corpodetexto"/>
        <w:spacing w:before="120"/>
        <w:ind w:left="709" w:right="278"/>
        <w:jc w:val="both"/>
        <w:rPr>
          <w:rFonts w:ascii="Calibri" w:hAnsi="Calibri"/>
        </w:rPr>
      </w:pPr>
      <w:r>
        <w:rPr>
          <w:rFonts w:ascii="Calibri" w:hAnsi="Calibri"/>
          <w:color w:val="001F60"/>
        </w:rPr>
        <w:t xml:space="preserve">É importante destacar que os números apresentados se referem exclusivamente à infraestrutura de </w:t>
      </w:r>
      <w:r>
        <w:rPr>
          <w:rFonts w:ascii="Arial" w:hAnsi="Arial"/>
          <w:i/>
          <w:color w:val="001F60"/>
        </w:rPr>
        <w:t>backbone</w:t>
      </w:r>
      <w:r>
        <w:rPr>
          <w:rFonts w:ascii="Calibri" w:hAnsi="Calibri"/>
          <w:color w:val="001F60"/>
        </w:rPr>
        <w:t>, não abrangendo as conexões de última milha, que são disponibilizadas por parceiros comerciais nas localidades onde a Telebras não dispõe de Rede Metropolitana própria.</w:t>
      </w:r>
    </w:p>
    <w:p w14:paraId="03F36341" w14:textId="77777777" w:rsidR="002C6574" w:rsidRDefault="00000000">
      <w:pPr>
        <w:pStyle w:val="Corpodetexto"/>
        <w:spacing w:before="121"/>
        <w:ind w:left="709" w:right="278"/>
        <w:jc w:val="both"/>
        <w:rPr>
          <w:rFonts w:ascii="Calibri" w:hAnsi="Calibri"/>
        </w:rPr>
      </w:pPr>
      <w:r>
        <w:rPr>
          <w:rFonts w:ascii="Calibri" w:hAnsi="Calibri"/>
          <w:color w:val="001F60"/>
        </w:rPr>
        <w:t>O mapa a seguir destaca, em laranja, a abrangência da Rede Terrestre Telebras, evidenciando sua capilaridade e presença estratégica no Brasil.</w:t>
      </w:r>
    </w:p>
    <w:p w14:paraId="2B33737B" w14:textId="77777777" w:rsidR="002C6574" w:rsidRDefault="00000000">
      <w:pPr>
        <w:pStyle w:val="Corpodetexto"/>
        <w:spacing w:before="237"/>
        <w:rPr>
          <w:rFonts w:ascii="Calibri"/>
          <w:sz w:val="20"/>
        </w:rPr>
      </w:pPr>
      <w:r>
        <w:rPr>
          <w:rFonts w:ascii="Calibri"/>
          <w:noProof/>
          <w:sz w:val="20"/>
        </w:rPr>
        <w:drawing>
          <wp:anchor distT="0" distB="0" distL="0" distR="0" simplePos="0" relativeHeight="487599616" behindDoc="1" locked="0" layoutInCell="1" allowOverlap="1" wp14:anchorId="26B16436" wp14:editId="7E5E3678">
            <wp:simplePos x="0" y="0"/>
            <wp:positionH relativeFrom="page">
              <wp:posOffset>2310383</wp:posOffset>
            </wp:positionH>
            <wp:positionV relativeFrom="paragraph">
              <wp:posOffset>320882</wp:posOffset>
            </wp:positionV>
            <wp:extent cx="3197352" cy="3194304"/>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8" cstate="print"/>
                    <a:stretch>
                      <a:fillRect/>
                    </a:stretch>
                  </pic:blipFill>
                  <pic:spPr>
                    <a:xfrm>
                      <a:off x="0" y="0"/>
                      <a:ext cx="3197352" cy="3194304"/>
                    </a:xfrm>
                    <a:prstGeom prst="rect">
                      <a:avLst/>
                    </a:prstGeom>
                  </pic:spPr>
                </pic:pic>
              </a:graphicData>
            </a:graphic>
          </wp:anchor>
        </w:drawing>
      </w:r>
    </w:p>
    <w:p w14:paraId="6FE1F85E" w14:textId="77777777" w:rsidR="002C6574" w:rsidRDefault="00000000">
      <w:pPr>
        <w:spacing w:before="143"/>
        <w:ind w:left="427"/>
        <w:jc w:val="center"/>
        <w:rPr>
          <w:rFonts w:ascii="Calibri"/>
          <w:sz w:val="16"/>
        </w:rPr>
      </w:pPr>
      <w:r>
        <w:rPr>
          <w:rFonts w:ascii="Calibri"/>
          <w:color w:val="001F60"/>
          <w:sz w:val="16"/>
        </w:rPr>
        <w:t>Figura</w:t>
      </w:r>
      <w:r>
        <w:rPr>
          <w:rFonts w:ascii="Calibri"/>
          <w:color w:val="001F60"/>
          <w:spacing w:val="-2"/>
          <w:sz w:val="16"/>
        </w:rPr>
        <w:t xml:space="preserve"> </w:t>
      </w:r>
      <w:r>
        <w:rPr>
          <w:rFonts w:ascii="Calibri"/>
          <w:color w:val="001F60"/>
          <w:sz w:val="16"/>
        </w:rPr>
        <w:t>7-1</w:t>
      </w:r>
      <w:r>
        <w:rPr>
          <w:rFonts w:ascii="Calibri"/>
          <w:color w:val="001F60"/>
          <w:spacing w:val="-3"/>
          <w:sz w:val="16"/>
        </w:rPr>
        <w:t xml:space="preserve"> </w:t>
      </w:r>
      <w:r>
        <w:rPr>
          <w:rFonts w:ascii="Calibri"/>
          <w:color w:val="001F60"/>
          <w:sz w:val="16"/>
        </w:rPr>
        <w:t>Rede</w:t>
      </w:r>
      <w:r>
        <w:rPr>
          <w:rFonts w:ascii="Calibri"/>
          <w:color w:val="001F60"/>
          <w:spacing w:val="-2"/>
          <w:sz w:val="16"/>
        </w:rPr>
        <w:t xml:space="preserve"> Nacional</w:t>
      </w:r>
    </w:p>
    <w:p w14:paraId="4B022150" w14:textId="77777777" w:rsidR="002C6574" w:rsidRDefault="002C6574">
      <w:pPr>
        <w:jc w:val="center"/>
        <w:rPr>
          <w:rFonts w:ascii="Calibri"/>
          <w:sz w:val="16"/>
        </w:rPr>
        <w:sectPr w:rsidR="002C6574">
          <w:headerReference w:type="default" r:id="rId29"/>
          <w:footerReference w:type="default" r:id="rId30"/>
          <w:pgSz w:w="11910" w:h="16840"/>
          <w:pgMar w:top="1100" w:right="850" w:bottom="1060" w:left="992" w:header="298" w:footer="863" w:gutter="0"/>
          <w:cols w:space="720"/>
        </w:sectPr>
      </w:pPr>
    </w:p>
    <w:p w14:paraId="2BC4DAF2" w14:textId="77777777" w:rsidR="002C6574" w:rsidRDefault="002C6574">
      <w:pPr>
        <w:pStyle w:val="Corpodetexto"/>
        <w:rPr>
          <w:rFonts w:ascii="Calibri"/>
        </w:rPr>
      </w:pPr>
    </w:p>
    <w:p w14:paraId="3A104A6F" w14:textId="77777777" w:rsidR="002C6574" w:rsidRDefault="002C6574">
      <w:pPr>
        <w:pStyle w:val="Corpodetexto"/>
        <w:spacing w:before="50"/>
        <w:rPr>
          <w:rFonts w:ascii="Calibri"/>
        </w:rPr>
      </w:pPr>
    </w:p>
    <w:p w14:paraId="1E0459F8" w14:textId="77777777" w:rsidR="002C6574" w:rsidRDefault="00000000">
      <w:pPr>
        <w:pStyle w:val="Corpodetexto"/>
        <w:ind w:left="709" w:right="278"/>
        <w:jc w:val="both"/>
        <w:rPr>
          <w:rFonts w:ascii="Calibri" w:hAnsi="Calibri"/>
        </w:rPr>
      </w:pPr>
      <w:r>
        <w:rPr>
          <w:rFonts w:ascii="Calibri" w:hAnsi="Calibri"/>
          <w:color w:val="001F60"/>
        </w:rPr>
        <w:t xml:space="preserve">Em 2025, a Telebras avançou substancialmente nos projetos e na operação de suas redes, com o objetivo de aprimorar e expandir sua infraestrutura de telecomunicações em todo o território </w:t>
      </w:r>
      <w:r>
        <w:rPr>
          <w:rFonts w:ascii="Calibri" w:hAnsi="Calibri"/>
          <w:color w:val="001F60"/>
          <w:spacing w:val="-2"/>
        </w:rPr>
        <w:t>nacional.</w:t>
      </w:r>
    </w:p>
    <w:p w14:paraId="27FC4A2C" w14:textId="77777777" w:rsidR="002C6574" w:rsidRDefault="00000000">
      <w:pPr>
        <w:pStyle w:val="Corpodetexto"/>
        <w:spacing w:before="118"/>
        <w:ind w:left="709"/>
        <w:jc w:val="both"/>
        <w:rPr>
          <w:rFonts w:ascii="Calibri"/>
        </w:rPr>
      </w:pPr>
      <w:r>
        <w:rPr>
          <w:rFonts w:ascii="Calibri"/>
          <w:color w:val="001F60"/>
        </w:rPr>
        <w:t>Dentre</w:t>
      </w:r>
      <w:r>
        <w:rPr>
          <w:rFonts w:ascii="Calibri"/>
          <w:color w:val="001F60"/>
          <w:spacing w:val="-5"/>
        </w:rPr>
        <w:t xml:space="preserve"> </w:t>
      </w:r>
      <w:r>
        <w:rPr>
          <w:rFonts w:ascii="Calibri"/>
          <w:color w:val="001F60"/>
        </w:rPr>
        <w:t>as</w:t>
      </w:r>
      <w:r>
        <w:rPr>
          <w:rFonts w:ascii="Calibri"/>
          <w:color w:val="001F60"/>
          <w:spacing w:val="-5"/>
        </w:rPr>
        <w:t xml:space="preserve"> </w:t>
      </w:r>
      <w:r>
        <w:rPr>
          <w:rFonts w:ascii="Calibri"/>
          <w:color w:val="001F60"/>
        </w:rPr>
        <w:t>principais</w:t>
      </w:r>
      <w:r>
        <w:rPr>
          <w:rFonts w:ascii="Calibri"/>
          <w:color w:val="001F60"/>
          <w:spacing w:val="-5"/>
        </w:rPr>
        <w:t xml:space="preserve"> </w:t>
      </w:r>
      <w:r>
        <w:rPr>
          <w:rFonts w:ascii="Calibri"/>
          <w:color w:val="001F60"/>
        </w:rPr>
        <w:t>iniciativas,</w:t>
      </w:r>
      <w:r>
        <w:rPr>
          <w:rFonts w:ascii="Calibri"/>
          <w:color w:val="001F60"/>
          <w:spacing w:val="-4"/>
        </w:rPr>
        <w:t xml:space="preserve"> </w:t>
      </w:r>
      <w:r>
        <w:rPr>
          <w:rFonts w:ascii="Calibri"/>
          <w:color w:val="001F60"/>
        </w:rPr>
        <w:t>destacam-</w:t>
      </w:r>
      <w:r>
        <w:rPr>
          <w:rFonts w:ascii="Calibri"/>
          <w:color w:val="001F60"/>
          <w:spacing w:val="-5"/>
        </w:rPr>
        <w:t>se:</w:t>
      </w:r>
    </w:p>
    <w:p w14:paraId="14B653FA" w14:textId="77777777" w:rsidR="002C6574" w:rsidRDefault="00000000">
      <w:pPr>
        <w:spacing w:before="120"/>
        <w:ind w:left="1069"/>
        <w:jc w:val="both"/>
        <w:rPr>
          <w:rFonts w:ascii="Calibri" w:hAnsi="Calibri"/>
          <w:b/>
        </w:rPr>
      </w:pPr>
      <w:r>
        <w:rPr>
          <w:rFonts w:ascii="Calibri" w:hAnsi="Calibri"/>
          <w:b/>
          <w:color w:val="001F60"/>
        </w:rPr>
        <w:t>Desenvolvimento</w:t>
      </w:r>
      <w:r>
        <w:rPr>
          <w:rFonts w:ascii="Calibri" w:hAnsi="Calibri"/>
          <w:b/>
          <w:color w:val="001F60"/>
          <w:spacing w:val="-10"/>
        </w:rPr>
        <w:t xml:space="preserve"> </w:t>
      </w:r>
      <w:r>
        <w:rPr>
          <w:rFonts w:ascii="Calibri" w:hAnsi="Calibri"/>
          <w:b/>
          <w:color w:val="001F60"/>
          <w:spacing w:val="-2"/>
        </w:rPr>
        <w:t>Técnico</w:t>
      </w:r>
    </w:p>
    <w:p w14:paraId="31C05711" w14:textId="77777777" w:rsidR="002C6574" w:rsidRDefault="00000000">
      <w:pPr>
        <w:pStyle w:val="PargrafodaLista"/>
        <w:numPr>
          <w:ilvl w:val="1"/>
          <w:numId w:val="63"/>
        </w:numPr>
        <w:tabs>
          <w:tab w:val="left" w:pos="1559"/>
          <w:tab w:val="left" w:pos="1561"/>
        </w:tabs>
        <w:spacing w:before="121"/>
        <w:ind w:right="277"/>
      </w:pPr>
      <w:r>
        <w:rPr>
          <w:color w:val="001F60"/>
        </w:rPr>
        <w:t>Implementação</w:t>
      </w:r>
      <w:r>
        <w:rPr>
          <w:color w:val="001F60"/>
          <w:spacing w:val="40"/>
        </w:rPr>
        <w:t xml:space="preserve"> </w:t>
      </w:r>
      <w:r>
        <w:rPr>
          <w:color w:val="001F60"/>
        </w:rPr>
        <w:t>de</w:t>
      </w:r>
      <w:r>
        <w:rPr>
          <w:color w:val="001F60"/>
          <w:spacing w:val="40"/>
        </w:rPr>
        <w:t xml:space="preserve"> </w:t>
      </w:r>
      <w:r>
        <w:rPr>
          <w:color w:val="001F60"/>
        </w:rPr>
        <w:t>notas</w:t>
      </w:r>
      <w:r>
        <w:rPr>
          <w:color w:val="001F60"/>
          <w:spacing w:val="40"/>
        </w:rPr>
        <w:t xml:space="preserve"> </w:t>
      </w:r>
      <w:r>
        <w:rPr>
          <w:color w:val="001F60"/>
        </w:rPr>
        <w:t>técnicas</w:t>
      </w:r>
      <w:r>
        <w:rPr>
          <w:color w:val="001F60"/>
          <w:spacing w:val="40"/>
        </w:rPr>
        <w:t xml:space="preserve"> </w:t>
      </w:r>
      <w:r>
        <w:rPr>
          <w:color w:val="001F60"/>
        </w:rPr>
        <w:t>de</w:t>
      </w:r>
      <w:r>
        <w:rPr>
          <w:color w:val="001F60"/>
          <w:spacing w:val="40"/>
        </w:rPr>
        <w:t xml:space="preserve"> </w:t>
      </w:r>
      <w:r>
        <w:rPr>
          <w:color w:val="001F60"/>
        </w:rPr>
        <w:t>planejamento</w:t>
      </w:r>
      <w:r>
        <w:rPr>
          <w:color w:val="001F60"/>
          <w:spacing w:val="40"/>
        </w:rPr>
        <w:t xml:space="preserve"> </w:t>
      </w:r>
      <w:r>
        <w:rPr>
          <w:color w:val="001F60"/>
        </w:rPr>
        <w:t>para</w:t>
      </w:r>
      <w:r>
        <w:rPr>
          <w:color w:val="001F60"/>
          <w:spacing w:val="40"/>
        </w:rPr>
        <w:t xml:space="preserve"> </w:t>
      </w:r>
      <w:r>
        <w:rPr>
          <w:color w:val="001F60"/>
        </w:rPr>
        <w:t>atendimento</w:t>
      </w:r>
      <w:r>
        <w:rPr>
          <w:color w:val="001F60"/>
          <w:spacing w:val="40"/>
        </w:rPr>
        <w:t xml:space="preserve"> </w:t>
      </w:r>
      <w:r>
        <w:rPr>
          <w:color w:val="001F60"/>
        </w:rPr>
        <w:t>a</w:t>
      </w:r>
      <w:r>
        <w:rPr>
          <w:color w:val="001F60"/>
          <w:spacing w:val="40"/>
        </w:rPr>
        <w:t xml:space="preserve"> </w:t>
      </w:r>
      <w:r>
        <w:rPr>
          <w:color w:val="001F60"/>
        </w:rPr>
        <w:t>clientes</w:t>
      </w:r>
      <w:r>
        <w:rPr>
          <w:color w:val="001F60"/>
          <w:spacing w:val="40"/>
        </w:rPr>
        <w:t xml:space="preserve"> </w:t>
      </w:r>
      <w:r>
        <w:rPr>
          <w:color w:val="001F60"/>
        </w:rPr>
        <w:t>com</w:t>
      </w:r>
      <w:r>
        <w:rPr>
          <w:color w:val="001F60"/>
          <w:spacing w:val="40"/>
        </w:rPr>
        <w:t xml:space="preserve"> </w:t>
      </w:r>
      <w:r>
        <w:rPr>
          <w:color w:val="001F60"/>
        </w:rPr>
        <w:t>circuitos de alta capacidade;</w:t>
      </w:r>
    </w:p>
    <w:p w14:paraId="3AD8F853" w14:textId="77777777" w:rsidR="002C6574" w:rsidRDefault="00000000">
      <w:pPr>
        <w:pStyle w:val="PargrafodaLista"/>
        <w:numPr>
          <w:ilvl w:val="1"/>
          <w:numId w:val="63"/>
        </w:numPr>
        <w:tabs>
          <w:tab w:val="left" w:pos="1560"/>
        </w:tabs>
        <w:ind w:left="1560" w:hanging="126"/>
      </w:pPr>
      <w:r>
        <w:rPr>
          <w:color w:val="001F60"/>
          <w:spacing w:val="-4"/>
        </w:rPr>
        <w:t>Expansão</w:t>
      </w:r>
      <w:r>
        <w:rPr>
          <w:color w:val="001F60"/>
          <w:spacing w:val="-1"/>
        </w:rPr>
        <w:t xml:space="preserve"> </w:t>
      </w:r>
      <w:r>
        <w:rPr>
          <w:color w:val="001F60"/>
          <w:spacing w:val="-4"/>
        </w:rPr>
        <w:t>contínua</w:t>
      </w:r>
      <w:r>
        <w:rPr>
          <w:color w:val="001F60"/>
          <w:spacing w:val="1"/>
        </w:rPr>
        <w:t xml:space="preserve"> </w:t>
      </w:r>
      <w:r>
        <w:rPr>
          <w:color w:val="001F60"/>
          <w:spacing w:val="-4"/>
        </w:rPr>
        <w:t>dos</w:t>
      </w:r>
      <w:r>
        <w:rPr>
          <w:color w:val="001F60"/>
          <w:spacing w:val="1"/>
        </w:rPr>
        <w:t xml:space="preserve"> </w:t>
      </w:r>
      <w:r>
        <w:rPr>
          <w:rFonts w:ascii="Arial" w:hAnsi="Arial"/>
          <w:i/>
          <w:color w:val="001F60"/>
          <w:spacing w:val="-4"/>
        </w:rPr>
        <w:t>backbones</w:t>
      </w:r>
      <w:r>
        <w:rPr>
          <w:rFonts w:ascii="Arial" w:hAnsi="Arial"/>
          <w:i/>
          <w:color w:val="001F60"/>
          <w:spacing w:val="-9"/>
        </w:rPr>
        <w:t xml:space="preserve"> </w:t>
      </w:r>
      <w:r>
        <w:rPr>
          <w:color w:val="001F60"/>
          <w:spacing w:val="-4"/>
        </w:rPr>
        <w:t>IP</w:t>
      </w:r>
      <w:r>
        <w:rPr>
          <w:color w:val="001F60"/>
          <w:spacing w:val="-1"/>
        </w:rPr>
        <w:t xml:space="preserve"> </w:t>
      </w:r>
      <w:r>
        <w:rPr>
          <w:color w:val="001F60"/>
          <w:spacing w:val="-4"/>
        </w:rPr>
        <w:t>e</w:t>
      </w:r>
      <w:r>
        <w:rPr>
          <w:color w:val="001F60"/>
        </w:rPr>
        <w:t xml:space="preserve"> </w:t>
      </w:r>
      <w:r>
        <w:rPr>
          <w:color w:val="001F60"/>
          <w:spacing w:val="-4"/>
        </w:rPr>
        <w:t>DWDM;</w:t>
      </w:r>
      <w:r>
        <w:rPr>
          <w:color w:val="001F60"/>
          <w:spacing w:val="-1"/>
        </w:rPr>
        <w:t xml:space="preserve"> </w:t>
      </w:r>
      <w:r>
        <w:rPr>
          <w:color w:val="001F60"/>
          <w:spacing w:val="-10"/>
        </w:rPr>
        <w:t>e</w:t>
      </w:r>
    </w:p>
    <w:p w14:paraId="30BB5721" w14:textId="77777777" w:rsidR="002C6574" w:rsidRDefault="00000000">
      <w:pPr>
        <w:pStyle w:val="PargrafodaLista"/>
        <w:numPr>
          <w:ilvl w:val="1"/>
          <w:numId w:val="63"/>
        </w:numPr>
        <w:tabs>
          <w:tab w:val="left" w:pos="1560"/>
        </w:tabs>
        <w:ind w:left="1560" w:hanging="126"/>
      </w:pPr>
      <w:r>
        <w:rPr>
          <w:color w:val="001F60"/>
        </w:rPr>
        <w:t>Melhorias</w:t>
      </w:r>
      <w:r>
        <w:rPr>
          <w:color w:val="001F60"/>
          <w:spacing w:val="-5"/>
        </w:rPr>
        <w:t xml:space="preserve"> </w:t>
      </w:r>
      <w:r>
        <w:rPr>
          <w:color w:val="001F60"/>
        </w:rPr>
        <w:t>e</w:t>
      </w:r>
      <w:r>
        <w:rPr>
          <w:color w:val="001F60"/>
          <w:spacing w:val="-5"/>
        </w:rPr>
        <w:t xml:space="preserve"> </w:t>
      </w:r>
      <w:r>
        <w:rPr>
          <w:color w:val="001F60"/>
        </w:rPr>
        <w:t>adequações</w:t>
      </w:r>
      <w:r>
        <w:rPr>
          <w:color w:val="001F60"/>
          <w:spacing w:val="-3"/>
        </w:rPr>
        <w:t xml:space="preserve"> </w:t>
      </w:r>
      <w:r>
        <w:rPr>
          <w:color w:val="001F60"/>
        </w:rPr>
        <w:t>da</w:t>
      </w:r>
      <w:r>
        <w:rPr>
          <w:color w:val="001F60"/>
          <w:spacing w:val="-5"/>
        </w:rPr>
        <w:t xml:space="preserve"> </w:t>
      </w:r>
      <w:r>
        <w:rPr>
          <w:color w:val="001F60"/>
        </w:rPr>
        <w:t>infraestrutura</w:t>
      </w:r>
      <w:r>
        <w:rPr>
          <w:color w:val="001F60"/>
          <w:spacing w:val="-7"/>
        </w:rPr>
        <w:t xml:space="preserve"> </w:t>
      </w:r>
      <w:r>
        <w:rPr>
          <w:color w:val="001F60"/>
        </w:rPr>
        <w:t>visando redução</w:t>
      </w:r>
      <w:r>
        <w:rPr>
          <w:color w:val="001F60"/>
          <w:spacing w:val="-3"/>
        </w:rPr>
        <w:t xml:space="preserve"> </w:t>
      </w:r>
      <w:r>
        <w:rPr>
          <w:color w:val="001F60"/>
        </w:rPr>
        <w:t>de</w:t>
      </w:r>
      <w:r>
        <w:rPr>
          <w:color w:val="001F60"/>
          <w:spacing w:val="-5"/>
        </w:rPr>
        <w:t xml:space="preserve"> </w:t>
      </w:r>
      <w:r>
        <w:rPr>
          <w:color w:val="001F60"/>
        </w:rPr>
        <w:t>custos</w:t>
      </w:r>
      <w:r>
        <w:rPr>
          <w:color w:val="001F60"/>
          <w:spacing w:val="-4"/>
        </w:rPr>
        <w:t xml:space="preserve"> </w:t>
      </w:r>
      <w:r>
        <w:rPr>
          <w:color w:val="001F60"/>
          <w:spacing w:val="-2"/>
        </w:rPr>
        <w:t>operacionais.</w:t>
      </w:r>
    </w:p>
    <w:p w14:paraId="1E0A51B3" w14:textId="77777777" w:rsidR="002C6574" w:rsidRDefault="00000000">
      <w:pPr>
        <w:spacing w:before="121"/>
        <w:ind w:left="1074"/>
        <w:rPr>
          <w:rFonts w:ascii="Calibri"/>
          <w:b/>
        </w:rPr>
      </w:pPr>
      <w:r>
        <w:rPr>
          <w:rFonts w:ascii="Calibri"/>
          <w:b/>
          <w:color w:val="001F60"/>
        </w:rPr>
        <w:t>Atendimento</w:t>
      </w:r>
      <w:r>
        <w:rPr>
          <w:rFonts w:ascii="Calibri"/>
          <w:b/>
          <w:color w:val="001F60"/>
          <w:spacing w:val="-4"/>
        </w:rPr>
        <w:t xml:space="preserve"> </w:t>
      </w:r>
      <w:r>
        <w:rPr>
          <w:rFonts w:ascii="Calibri"/>
          <w:b/>
          <w:color w:val="001F60"/>
        </w:rPr>
        <w:t>a</w:t>
      </w:r>
      <w:r>
        <w:rPr>
          <w:rFonts w:ascii="Calibri"/>
          <w:b/>
          <w:color w:val="001F60"/>
          <w:spacing w:val="-1"/>
        </w:rPr>
        <w:t xml:space="preserve"> </w:t>
      </w:r>
      <w:r>
        <w:rPr>
          <w:rFonts w:ascii="Calibri"/>
          <w:b/>
          <w:color w:val="001F60"/>
          <w:spacing w:val="-2"/>
        </w:rPr>
        <w:t>Clientes</w:t>
      </w:r>
    </w:p>
    <w:p w14:paraId="0CED0929" w14:textId="77777777" w:rsidR="002C6574" w:rsidRDefault="00000000">
      <w:pPr>
        <w:pStyle w:val="PargrafodaLista"/>
        <w:numPr>
          <w:ilvl w:val="1"/>
          <w:numId w:val="63"/>
        </w:numPr>
        <w:tabs>
          <w:tab w:val="left" w:pos="1559"/>
          <w:tab w:val="left" w:pos="1561"/>
        </w:tabs>
        <w:spacing w:before="120"/>
        <w:ind w:right="279"/>
        <w:jc w:val="both"/>
      </w:pPr>
      <w:r>
        <w:rPr>
          <w:color w:val="001F60"/>
        </w:rPr>
        <w:t>Implantação de 455 novos pontos de atendimento com tecnologia SD-WAN, contemplando clientes como ANM, IPHAN e MTE, reforçando o compromisso da Telebras com serviços essenciais, por meio de uma infraestrutura moderna e eficiente.</w:t>
      </w:r>
    </w:p>
    <w:p w14:paraId="7C852828" w14:textId="77777777" w:rsidR="002C6574" w:rsidRDefault="00000000">
      <w:pPr>
        <w:spacing w:before="118"/>
        <w:ind w:left="1074"/>
        <w:jc w:val="both"/>
        <w:rPr>
          <w:rFonts w:ascii="Calibri"/>
          <w:b/>
        </w:rPr>
      </w:pPr>
      <w:r>
        <w:rPr>
          <w:rFonts w:ascii="Calibri"/>
          <w:b/>
          <w:color w:val="001F60"/>
        </w:rPr>
        <w:t>Capacidade</w:t>
      </w:r>
      <w:r>
        <w:rPr>
          <w:rFonts w:ascii="Calibri"/>
          <w:b/>
          <w:color w:val="001F60"/>
          <w:spacing w:val="-3"/>
        </w:rPr>
        <w:t xml:space="preserve"> </w:t>
      </w:r>
      <w:r>
        <w:rPr>
          <w:rFonts w:ascii="Calibri"/>
          <w:b/>
          <w:color w:val="001F60"/>
        </w:rPr>
        <w:t>de</w:t>
      </w:r>
      <w:r>
        <w:rPr>
          <w:rFonts w:ascii="Calibri"/>
          <w:b/>
          <w:color w:val="001F60"/>
          <w:spacing w:val="-3"/>
        </w:rPr>
        <w:t xml:space="preserve"> </w:t>
      </w:r>
      <w:r>
        <w:rPr>
          <w:rFonts w:ascii="Calibri"/>
          <w:b/>
          <w:color w:val="001F60"/>
          <w:spacing w:val="-2"/>
        </w:rPr>
        <w:t>200Gbps</w:t>
      </w:r>
    </w:p>
    <w:p w14:paraId="1B628490" w14:textId="77777777" w:rsidR="002C6574" w:rsidRDefault="00000000">
      <w:pPr>
        <w:pStyle w:val="PargrafodaLista"/>
        <w:numPr>
          <w:ilvl w:val="1"/>
          <w:numId w:val="63"/>
        </w:numPr>
        <w:tabs>
          <w:tab w:val="left" w:pos="1559"/>
          <w:tab w:val="left" w:pos="1561"/>
        </w:tabs>
        <w:spacing w:before="121"/>
        <w:ind w:right="278"/>
        <w:jc w:val="both"/>
      </w:pPr>
      <w:r>
        <w:rPr>
          <w:color w:val="001F60"/>
        </w:rPr>
        <w:t>Entrega de circuitos de transmissão de 200 Gbps, representando uma evolução</w:t>
      </w:r>
      <w:r>
        <w:rPr>
          <w:color w:val="001F60"/>
          <w:spacing w:val="-2"/>
        </w:rPr>
        <w:t xml:space="preserve"> </w:t>
      </w:r>
      <w:r>
        <w:rPr>
          <w:color w:val="001F60"/>
        </w:rPr>
        <w:t>significativa na capacidade e qualidade da Rede Terrestre Telebras.</w:t>
      </w:r>
    </w:p>
    <w:p w14:paraId="2D844FDF" w14:textId="77777777" w:rsidR="002C6574" w:rsidRDefault="00000000">
      <w:pPr>
        <w:spacing w:before="120"/>
        <w:ind w:left="1074"/>
        <w:jc w:val="both"/>
        <w:rPr>
          <w:rFonts w:ascii="Calibri" w:hAnsi="Calibri"/>
          <w:b/>
        </w:rPr>
      </w:pPr>
      <w:r>
        <w:rPr>
          <w:rFonts w:ascii="Calibri" w:hAnsi="Calibri"/>
          <w:b/>
          <w:color w:val="001F60"/>
        </w:rPr>
        <w:t>Infraestrutura</w:t>
      </w:r>
      <w:r>
        <w:rPr>
          <w:rFonts w:ascii="Calibri" w:hAnsi="Calibri"/>
          <w:b/>
          <w:color w:val="001F60"/>
          <w:spacing w:val="-3"/>
        </w:rPr>
        <w:t xml:space="preserve"> </w:t>
      </w:r>
      <w:r>
        <w:rPr>
          <w:rFonts w:ascii="Calibri" w:hAnsi="Calibri"/>
          <w:b/>
          <w:color w:val="001F60"/>
        </w:rPr>
        <w:t>e</w:t>
      </w:r>
      <w:r>
        <w:rPr>
          <w:rFonts w:ascii="Calibri" w:hAnsi="Calibri"/>
          <w:b/>
          <w:color w:val="001F60"/>
          <w:spacing w:val="-2"/>
        </w:rPr>
        <w:t xml:space="preserve"> </w:t>
      </w:r>
      <w:r>
        <w:rPr>
          <w:rFonts w:ascii="Calibri" w:hAnsi="Calibri"/>
          <w:b/>
          <w:color w:val="001F60"/>
        </w:rPr>
        <w:t>Expansão</w:t>
      </w:r>
      <w:r>
        <w:rPr>
          <w:rFonts w:ascii="Calibri" w:hAnsi="Calibri"/>
          <w:b/>
          <w:color w:val="001F60"/>
          <w:spacing w:val="-4"/>
        </w:rPr>
        <w:t xml:space="preserve"> </w:t>
      </w:r>
      <w:r>
        <w:rPr>
          <w:rFonts w:ascii="Calibri" w:hAnsi="Calibri"/>
          <w:b/>
          <w:color w:val="001F60"/>
        </w:rPr>
        <w:t>da</w:t>
      </w:r>
      <w:r>
        <w:rPr>
          <w:rFonts w:ascii="Calibri" w:hAnsi="Calibri"/>
          <w:b/>
          <w:color w:val="001F60"/>
          <w:spacing w:val="-3"/>
        </w:rPr>
        <w:t xml:space="preserve"> </w:t>
      </w:r>
      <w:r>
        <w:rPr>
          <w:rFonts w:ascii="Calibri" w:hAnsi="Calibri"/>
          <w:b/>
          <w:color w:val="001F60"/>
          <w:spacing w:val="-4"/>
        </w:rPr>
        <w:t>Rede</w:t>
      </w:r>
    </w:p>
    <w:p w14:paraId="47F8E365" w14:textId="77777777" w:rsidR="002C6574" w:rsidRDefault="00000000">
      <w:pPr>
        <w:pStyle w:val="PargrafodaLista"/>
        <w:numPr>
          <w:ilvl w:val="1"/>
          <w:numId w:val="63"/>
        </w:numPr>
        <w:tabs>
          <w:tab w:val="left" w:pos="1559"/>
          <w:tab w:val="left" w:pos="1561"/>
        </w:tabs>
        <w:spacing w:before="120"/>
        <w:ind w:right="275"/>
        <w:jc w:val="both"/>
      </w:pPr>
      <w:r>
        <w:rPr>
          <w:color w:val="001F60"/>
        </w:rPr>
        <w:t xml:space="preserve">Instalação de novas infraestruturas em estações de telecomunicações da Rede Terrestre </w:t>
      </w:r>
      <w:r>
        <w:rPr>
          <w:color w:val="001F60"/>
          <w:spacing w:val="-2"/>
        </w:rPr>
        <w:t>Telebras;</w:t>
      </w:r>
    </w:p>
    <w:p w14:paraId="32387B2D" w14:textId="77777777" w:rsidR="002C6574" w:rsidRDefault="00000000">
      <w:pPr>
        <w:pStyle w:val="PargrafodaLista"/>
        <w:numPr>
          <w:ilvl w:val="1"/>
          <w:numId w:val="63"/>
        </w:numPr>
        <w:tabs>
          <w:tab w:val="left" w:pos="1559"/>
          <w:tab w:val="left" w:pos="1561"/>
        </w:tabs>
        <w:spacing w:before="1"/>
        <w:ind w:right="277"/>
        <w:jc w:val="both"/>
      </w:pPr>
      <w:r>
        <w:rPr>
          <w:color w:val="001F60"/>
        </w:rPr>
        <w:t>Continuidade da implementação física de roteadores no Backbone IP, assegurando suporte às demandas atuais e futuras.</w:t>
      </w:r>
    </w:p>
    <w:p w14:paraId="3BDA2CE3" w14:textId="77777777" w:rsidR="002C6574" w:rsidRDefault="00000000">
      <w:pPr>
        <w:spacing w:before="120"/>
        <w:ind w:left="1074"/>
        <w:jc w:val="both"/>
        <w:rPr>
          <w:rFonts w:ascii="Calibri"/>
          <w:b/>
        </w:rPr>
      </w:pPr>
      <w:r>
        <w:rPr>
          <w:rFonts w:ascii="Calibri"/>
          <w:b/>
          <w:color w:val="001F60"/>
        </w:rPr>
        <w:t>Projeto</w:t>
      </w:r>
      <w:r>
        <w:rPr>
          <w:rFonts w:ascii="Calibri"/>
          <w:b/>
          <w:color w:val="001F60"/>
          <w:spacing w:val="-2"/>
        </w:rPr>
        <w:t xml:space="preserve"> </w:t>
      </w:r>
      <w:r>
        <w:rPr>
          <w:rFonts w:ascii="Calibri"/>
          <w:b/>
          <w:color w:val="001F60"/>
          <w:spacing w:val="-5"/>
        </w:rPr>
        <w:t>DNS</w:t>
      </w:r>
    </w:p>
    <w:p w14:paraId="3BF8DB81" w14:textId="77777777" w:rsidR="002C6574" w:rsidRDefault="00000000">
      <w:pPr>
        <w:pStyle w:val="PargrafodaLista"/>
        <w:numPr>
          <w:ilvl w:val="1"/>
          <w:numId w:val="63"/>
        </w:numPr>
        <w:tabs>
          <w:tab w:val="left" w:pos="1559"/>
          <w:tab w:val="left" w:pos="1561"/>
        </w:tabs>
        <w:spacing w:before="118"/>
        <w:ind w:right="277"/>
        <w:jc w:val="both"/>
      </w:pPr>
      <w:r>
        <w:rPr>
          <w:color w:val="001F60"/>
        </w:rPr>
        <w:t>Substituição da Plataforma DNS (</w:t>
      </w:r>
      <w:r>
        <w:rPr>
          <w:rFonts w:ascii="Arial" w:hAnsi="Arial"/>
          <w:i/>
          <w:color w:val="001F60"/>
        </w:rPr>
        <w:t>Domain Name System</w:t>
      </w:r>
      <w:r>
        <w:rPr>
          <w:color w:val="001F60"/>
        </w:rPr>
        <w:t>), ampliando a capacidade de resolução</w:t>
      </w:r>
      <w:r>
        <w:rPr>
          <w:color w:val="001F60"/>
          <w:spacing w:val="-13"/>
        </w:rPr>
        <w:t xml:space="preserve"> </w:t>
      </w:r>
      <w:r>
        <w:rPr>
          <w:color w:val="001F60"/>
        </w:rPr>
        <w:t>de</w:t>
      </w:r>
      <w:r>
        <w:rPr>
          <w:color w:val="001F60"/>
          <w:spacing w:val="-12"/>
        </w:rPr>
        <w:t xml:space="preserve"> </w:t>
      </w:r>
      <w:r>
        <w:rPr>
          <w:color w:val="001F60"/>
        </w:rPr>
        <w:t>nomes,</w:t>
      </w:r>
      <w:r>
        <w:rPr>
          <w:color w:val="001F60"/>
          <w:spacing w:val="-12"/>
        </w:rPr>
        <w:t xml:space="preserve"> </w:t>
      </w:r>
      <w:r>
        <w:rPr>
          <w:color w:val="001F60"/>
        </w:rPr>
        <w:t>alinhada</w:t>
      </w:r>
      <w:r>
        <w:rPr>
          <w:color w:val="001F60"/>
          <w:spacing w:val="-13"/>
        </w:rPr>
        <w:t xml:space="preserve"> </w:t>
      </w:r>
      <w:r>
        <w:rPr>
          <w:color w:val="001F60"/>
        </w:rPr>
        <w:t>aos</w:t>
      </w:r>
      <w:r>
        <w:rPr>
          <w:color w:val="001F60"/>
          <w:spacing w:val="-12"/>
        </w:rPr>
        <w:t xml:space="preserve"> </w:t>
      </w:r>
      <w:r>
        <w:rPr>
          <w:color w:val="001F60"/>
        </w:rPr>
        <w:t>novos</w:t>
      </w:r>
      <w:r>
        <w:rPr>
          <w:color w:val="001F60"/>
          <w:spacing w:val="-11"/>
        </w:rPr>
        <w:t xml:space="preserve"> </w:t>
      </w:r>
      <w:r>
        <w:rPr>
          <w:color w:val="001F60"/>
        </w:rPr>
        <w:t>projetos,</w:t>
      </w:r>
      <w:r>
        <w:rPr>
          <w:color w:val="001F60"/>
          <w:spacing w:val="-13"/>
        </w:rPr>
        <w:t xml:space="preserve"> </w:t>
      </w:r>
      <w:r>
        <w:rPr>
          <w:color w:val="001F60"/>
        </w:rPr>
        <w:t>e</w:t>
      </w:r>
      <w:r>
        <w:rPr>
          <w:color w:val="001F60"/>
          <w:spacing w:val="-10"/>
        </w:rPr>
        <w:t xml:space="preserve"> </w:t>
      </w:r>
      <w:r>
        <w:rPr>
          <w:color w:val="001F60"/>
        </w:rPr>
        <w:t>fortalecendo</w:t>
      </w:r>
      <w:r>
        <w:rPr>
          <w:color w:val="001F60"/>
          <w:spacing w:val="-11"/>
        </w:rPr>
        <w:t xml:space="preserve"> </w:t>
      </w:r>
      <w:r>
        <w:rPr>
          <w:color w:val="001F60"/>
        </w:rPr>
        <w:t>a</w:t>
      </w:r>
      <w:r>
        <w:rPr>
          <w:color w:val="001F60"/>
          <w:spacing w:val="-12"/>
        </w:rPr>
        <w:t xml:space="preserve"> </w:t>
      </w:r>
      <w:r>
        <w:rPr>
          <w:color w:val="001F60"/>
        </w:rPr>
        <w:t>segurança</w:t>
      </w:r>
      <w:r>
        <w:rPr>
          <w:color w:val="001F60"/>
          <w:spacing w:val="-13"/>
        </w:rPr>
        <w:t xml:space="preserve"> </w:t>
      </w:r>
      <w:r>
        <w:rPr>
          <w:color w:val="001F60"/>
        </w:rPr>
        <w:t>do</w:t>
      </w:r>
      <w:r>
        <w:rPr>
          <w:color w:val="001F60"/>
          <w:spacing w:val="-12"/>
        </w:rPr>
        <w:t xml:space="preserve"> </w:t>
      </w:r>
      <w:r>
        <w:rPr>
          <w:color w:val="001F60"/>
        </w:rPr>
        <w:t>serviço</w:t>
      </w:r>
      <w:r>
        <w:rPr>
          <w:color w:val="001F60"/>
          <w:spacing w:val="-12"/>
        </w:rPr>
        <w:t xml:space="preserve"> </w:t>
      </w:r>
      <w:r>
        <w:rPr>
          <w:color w:val="001F60"/>
        </w:rPr>
        <w:t>para clientes do Backbone IP Telebras.</w:t>
      </w:r>
    </w:p>
    <w:p w14:paraId="5509B1F0" w14:textId="77777777" w:rsidR="002C6574" w:rsidRDefault="00000000">
      <w:pPr>
        <w:spacing w:before="121"/>
        <w:ind w:left="1074"/>
        <w:jc w:val="both"/>
        <w:rPr>
          <w:rFonts w:ascii="Calibri"/>
          <w:b/>
        </w:rPr>
      </w:pPr>
      <w:r>
        <w:rPr>
          <w:rFonts w:ascii="Calibri"/>
          <w:b/>
          <w:color w:val="001F60"/>
        </w:rPr>
        <w:t>Cobertura</w:t>
      </w:r>
      <w:r>
        <w:rPr>
          <w:rFonts w:ascii="Calibri"/>
          <w:b/>
          <w:color w:val="001F60"/>
          <w:spacing w:val="-3"/>
        </w:rPr>
        <w:t xml:space="preserve"> </w:t>
      </w:r>
      <w:r>
        <w:rPr>
          <w:rFonts w:ascii="Calibri"/>
          <w:b/>
          <w:color w:val="001F60"/>
          <w:spacing w:val="-2"/>
        </w:rPr>
        <w:t>Nacional</w:t>
      </w:r>
    </w:p>
    <w:p w14:paraId="6FFC285D" w14:textId="77777777" w:rsidR="002C6574" w:rsidRDefault="00000000">
      <w:pPr>
        <w:pStyle w:val="PargrafodaLista"/>
        <w:numPr>
          <w:ilvl w:val="1"/>
          <w:numId w:val="63"/>
        </w:numPr>
        <w:tabs>
          <w:tab w:val="left" w:pos="1559"/>
          <w:tab w:val="left" w:pos="1561"/>
        </w:tabs>
        <w:spacing w:before="120"/>
        <w:ind w:right="276"/>
        <w:jc w:val="both"/>
      </w:pPr>
      <w:r>
        <w:rPr>
          <w:color w:val="001F60"/>
        </w:rPr>
        <w:t>Ao</w:t>
      </w:r>
      <w:r>
        <w:rPr>
          <w:color w:val="001F60"/>
          <w:spacing w:val="-1"/>
        </w:rPr>
        <w:t xml:space="preserve"> </w:t>
      </w:r>
      <w:r>
        <w:rPr>
          <w:color w:val="001F60"/>
        </w:rPr>
        <w:t>final</w:t>
      </w:r>
      <w:r>
        <w:rPr>
          <w:color w:val="001F60"/>
          <w:spacing w:val="-1"/>
        </w:rPr>
        <w:t xml:space="preserve"> </w:t>
      </w:r>
      <w:r>
        <w:rPr>
          <w:color w:val="001F60"/>
        </w:rPr>
        <w:t>de</w:t>
      </w:r>
      <w:r>
        <w:rPr>
          <w:color w:val="001F60"/>
          <w:spacing w:val="-3"/>
        </w:rPr>
        <w:t xml:space="preserve"> </w:t>
      </w:r>
      <w:r>
        <w:rPr>
          <w:color w:val="001F60"/>
        </w:rPr>
        <w:t>2025,</w:t>
      </w:r>
      <w:r>
        <w:rPr>
          <w:color w:val="001F60"/>
          <w:spacing w:val="-3"/>
        </w:rPr>
        <w:t xml:space="preserve"> </w:t>
      </w:r>
      <w:r>
        <w:rPr>
          <w:color w:val="001F60"/>
        </w:rPr>
        <w:t>a</w:t>
      </w:r>
      <w:r>
        <w:rPr>
          <w:color w:val="001F60"/>
          <w:spacing w:val="-1"/>
        </w:rPr>
        <w:t xml:space="preserve"> </w:t>
      </w:r>
      <w:r>
        <w:rPr>
          <w:color w:val="001F60"/>
        </w:rPr>
        <w:t>Rede</w:t>
      </w:r>
      <w:r>
        <w:rPr>
          <w:color w:val="001F60"/>
          <w:spacing w:val="-1"/>
        </w:rPr>
        <w:t xml:space="preserve"> </w:t>
      </w:r>
      <w:r>
        <w:rPr>
          <w:color w:val="001F60"/>
        </w:rPr>
        <w:t>Terrestre</w:t>
      </w:r>
      <w:r>
        <w:rPr>
          <w:color w:val="001F60"/>
          <w:spacing w:val="-3"/>
        </w:rPr>
        <w:t xml:space="preserve"> </w:t>
      </w:r>
      <w:r>
        <w:rPr>
          <w:color w:val="001F60"/>
        </w:rPr>
        <w:t>Telebras</w:t>
      </w:r>
      <w:r>
        <w:rPr>
          <w:color w:val="001F60"/>
          <w:spacing w:val="-3"/>
        </w:rPr>
        <w:t xml:space="preserve"> </w:t>
      </w:r>
      <w:r>
        <w:rPr>
          <w:color w:val="001F60"/>
        </w:rPr>
        <w:t>manteve</w:t>
      </w:r>
      <w:r>
        <w:rPr>
          <w:color w:val="001F60"/>
          <w:spacing w:val="-3"/>
        </w:rPr>
        <w:t xml:space="preserve"> </w:t>
      </w:r>
      <w:r>
        <w:rPr>
          <w:color w:val="001F60"/>
        </w:rPr>
        <w:t>seu</w:t>
      </w:r>
      <w:r>
        <w:rPr>
          <w:color w:val="001F60"/>
          <w:spacing w:val="-2"/>
        </w:rPr>
        <w:t xml:space="preserve"> </w:t>
      </w:r>
      <w:r>
        <w:rPr>
          <w:color w:val="001F60"/>
        </w:rPr>
        <w:t>potencial</w:t>
      </w:r>
      <w:r>
        <w:rPr>
          <w:color w:val="001F60"/>
          <w:spacing w:val="-1"/>
        </w:rPr>
        <w:t xml:space="preserve"> </w:t>
      </w:r>
      <w:r>
        <w:rPr>
          <w:color w:val="001F60"/>
        </w:rPr>
        <w:t>de</w:t>
      </w:r>
      <w:r>
        <w:rPr>
          <w:color w:val="001F60"/>
          <w:spacing w:val="-1"/>
        </w:rPr>
        <w:t xml:space="preserve"> </w:t>
      </w:r>
      <w:r>
        <w:rPr>
          <w:color w:val="001F60"/>
        </w:rPr>
        <w:t>cobertura,</w:t>
      </w:r>
      <w:r>
        <w:rPr>
          <w:color w:val="001F60"/>
          <w:spacing w:val="-3"/>
        </w:rPr>
        <w:t xml:space="preserve"> </w:t>
      </w:r>
      <w:r>
        <w:rPr>
          <w:color w:val="001F60"/>
        </w:rPr>
        <w:t>atendendo diretamente 499 municípios e indiretamente 1.420 municípios, por meio de provedores de internet parceiros.</w:t>
      </w:r>
    </w:p>
    <w:p w14:paraId="37A5725E" w14:textId="77777777" w:rsidR="002C6574" w:rsidRDefault="00000000">
      <w:pPr>
        <w:pStyle w:val="Corpodetexto"/>
        <w:spacing w:before="121"/>
        <w:ind w:left="709" w:right="278"/>
        <w:jc w:val="both"/>
        <w:rPr>
          <w:rFonts w:ascii="Calibri" w:hAnsi="Calibri"/>
        </w:rPr>
      </w:pPr>
      <w:r>
        <w:rPr>
          <w:rFonts w:ascii="Calibri" w:hAnsi="Calibri"/>
          <w:color w:val="001F60"/>
        </w:rPr>
        <w:t>Essas ações demonstram o compromisso permanente da Telebras em consolidar a infraestrutura de telecomunicações do Brasil, garantindo comunicações seguras e promovendo a inclusão digital em âmbito nacional.</w:t>
      </w:r>
    </w:p>
    <w:p w14:paraId="61216048" w14:textId="77777777" w:rsidR="002C6574" w:rsidRDefault="002C6574">
      <w:pPr>
        <w:pStyle w:val="Corpodetexto"/>
        <w:spacing w:before="89"/>
        <w:rPr>
          <w:rFonts w:ascii="Calibri"/>
        </w:rPr>
      </w:pPr>
    </w:p>
    <w:p w14:paraId="587785B8" w14:textId="77777777" w:rsidR="002C6574" w:rsidRDefault="00000000">
      <w:pPr>
        <w:numPr>
          <w:ilvl w:val="1"/>
          <w:numId w:val="74"/>
        </w:numPr>
        <w:tabs>
          <w:tab w:val="left" w:pos="1275"/>
        </w:tabs>
        <w:spacing w:before="1"/>
        <w:ind w:left="1275" w:hanging="566"/>
        <w:rPr>
          <w:rFonts w:ascii="Calibri" w:hAnsi="Calibri"/>
          <w:b/>
        </w:rPr>
      </w:pPr>
      <w:r>
        <w:rPr>
          <w:rFonts w:ascii="Calibri" w:hAnsi="Calibri"/>
          <w:b/>
          <w:color w:val="001F60"/>
        </w:rPr>
        <w:t>Satélite</w:t>
      </w:r>
      <w:r>
        <w:rPr>
          <w:rFonts w:ascii="Calibri" w:hAnsi="Calibri"/>
          <w:b/>
          <w:color w:val="001F60"/>
          <w:spacing w:val="-4"/>
        </w:rPr>
        <w:t xml:space="preserve"> </w:t>
      </w:r>
      <w:r>
        <w:rPr>
          <w:rFonts w:ascii="Calibri" w:hAnsi="Calibri"/>
          <w:b/>
          <w:color w:val="001F60"/>
        </w:rPr>
        <w:t>Geoestacionário</w:t>
      </w:r>
      <w:r>
        <w:rPr>
          <w:rFonts w:ascii="Calibri" w:hAnsi="Calibri"/>
          <w:b/>
          <w:color w:val="001F60"/>
          <w:spacing w:val="-3"/>
        </w:rPr>
        <w:t xml:space="preserve"> </w:t>
      </w:r>
      <w:r>
        <w:rPr>
          <w:rFonts w:ascii="Calibri" w:hAnsi="Calibri"/>
          <w:b/>
          <w:color w:val="001F60"/>
        </w:rPr>
        <w:t>de</w:t>
      </w:r>
      <w:r>
        <w:rPr>
          <w:rFonts w:ascii="Calibri" w:hAnsi="Calibri"/>
          <w:b/>
          <w:color w:val="001F60"/>
          <w:spacing w:val="-5"/>
        </w:rPr>
        <w:t xml:space="preserve"> </w:t>
      </w:r>
      <w:r>
        <w:rPr>
          <w:rFonts w:ascii="Calibri" w:hAnsi="Calibri"/>
          <w:b/>
          <w:color w:val="001F60"/>
        </w:rPr>
        <w:t>Defesa</w:t>
      </w:r>
      <w:r>
        <w:rPr>
          <w:rFonts w:ascii="Calibri" w:hAnsi="Calibri"/>
          <w:b/>
          <w:color w:val="001F60"/>
          <w:spacing w:val="-3"/>
        </w:rPr>
        <w:t xml:space="preserve"> </w:t>
      </w:r>
      <w:r>
        <w:rPr>
          <w:rFonts w:ascii="Calibri" w:hAnsi="Calibri"/>
          <w:b/>
          <w:color w:val="001F60"/>
        </w:rPr>
        <w:t>e</w:t>
      </w:r>
      <w:r>
        <w:rPr>
          <w:rFonts w:ascii="Calibri" w:hAnsi="Calibri"/>
          <w:b/>
          <w:color w:val="001F60"/>
          <w:spacing w:val="-3"/>
        </w:rPr>
        <w:t xml:space="preserve"> </w:t>
      </w:r>
      <w:r>
        <w:rPr>
          <w:rFonts w:ascii="Calibri" w:hAnsi="Calibri"/>
          <w:b/>
          <w:color w:val="001F60"/>
        </w:rPr>
        <w:t>Comunicações</w:t>
      </w:r>
      <w:r>
        <w:rPr>
          <w:rFonts w:ascii="Calibri" w:hAnsi="Calibri"/>
          <w:b/>
          <w:color w:val="001F60"/>
          <w:spacing w:val="-8"/>
        </w:rPr>
        <w:t xml:space="preserve"> </w:t>
      </w:r>
      <w:r>
        <w:rPr>
          <w:rFonts w:ascii="Calibri" w:hAnsi="Calibri"/>
          <w:b/>
          <w:color w:val="001F60"/>
          <w:spacing w:val="-2"/>
        </w:rPr>
        <w:t>Estratégicas</w:t>
      </w:r>
    </w:p>
    <w:p w14:paraId="7C51BC55" w14:textId="77777777" w:rsidR="002C6574" w:rsidRDefault="002C6574">
      <w:pPr>
        <w:pStyle w:val="Corpodetexto"/>
        <w:spacing w:before="12"/>
        <w:rPr>
          <w:rFonts w:ascii="Calibri"/>
          <w:b/>
        </w:rPr>
      </w:pPr>
    </w:p>
    <w:p w14:paraId="66B2F692" w14:textId="77777777" w:rsidR="002C6574" w:rsidRDefault="00000000">
      <w:pPr>
        <w:pStyle w:val="Corpodetexto"/>
        <w:ind w:left="709" w:right="276" w:firstLine="7"/>
        <w:jc w:val="both"/>
        <w:rPr>
          <w:rFonts w:ascii="Calibri" w:hAnsi="Calibri"/>
        </w:rPr>
      </w:pPr>
      <w:r>
        <w:rPr>
          <w:rFonts w:ascii="Calibri" w:hAnsi="Calibri"/>
          <w:color w:val="001F60"/>
        </w:rPr>
        <w:t>Lançado</w:t>
      </w:r>
      <w:r>
        <w:rPr>
          <w:rFonts w:ascii="Calibri" w:hAnsi="Calibri"/>
          <w:color w:val="001F60"/>
          <w:spacing w:val="-1"/>
        </w:rPr>
        <w:t xml:space="preserve"> </w:t>
      </w:r>
      <w:r>
        <w:rPr>
          <w:rFonts w:ascii="Calibri" w:hAnsi="Calibri"/>
          <w:color w:val="001F60"/>
        </w:rPr>
        <w:t>em</w:t>
      </w:r>
      <w:r>
        <w:rPr>
          <w:rFonts w:ascii="Calibri" w:hAnsi="Calibri"/>
          <w:color w:val="001F60"/>
          <w:spacing w:val="-2"/>
        </w:rPr>
        <w:t xml:space="preserve"> </w:t>
      </w:r>
      <w:r>
        <w:rPr>
          <w:rFonts w:ascii="Calibri" w:hAnsi="Calibri"/>
          <w:color w:val="001F60"/>
        </w:rPr>
        <w:t>maio de</w:t>
      </w:r>
      <w:r>
        <w:rPr>
          <w:rFonts w:ascii="Calibri" w:hAnsi="Calibri"/>
          <w:color w:val="001F60"/>
          <w:spacing w:val="-1"/>
        </w:rPr>
        <w:t xml:space="preserve"> </w:t>
      </w:r>
      <w:r>
        <w:rPr>
          <w:rFonts w:ascii="Calibri" w:hAnsi="Calibri"/>
          <w:color w:val="001F60"/>
        </w:rPr>
        <w:t>2017,</w:t>
      </w:r>
      <w:r>
        <w:rPr>
          <w:rFonts w:ascii="Calibri" w:hAnsi="Calibri"/>
          <w:color w:val="001F60"/>
          <w:spacing w:val="-1"/>
        </w:rPr>
        <w:t xml:space="preserve"> </w:t>
      </w:r>
      <w:r>
        <w:rPr>
          <w:rFonts w:ascii="Calibri" w:hAnsi="Calibri"/>
          <w:color w:val="001F60"/>
        </w:rPr>
        <w:t>o Satélite Geoestacionário</w:t>
      </w:r>
      <w:r>
        <w:rPr>
          <w:rFonts w:ascii="Calibri" w:hAnsi="Calibri"/>
          <w:color w:val="001F60"/>
          <w:spacing w:val="-1"/>
        </w:rPr>
        <w:t xml:space="preserve"> </w:t>
      </w:r>
      <w:r>
        <w:rPr>
          <w:rFonts w:ascii="Calibri" w:hAnsi="Calibri"/>
          <w:color w:val="001F60"/>
        </w:rPr>
        <w:t>de</w:t>
      </w:r>
      <w:r>
        <w:rPr>
          <w:rFonts w:ascii="Calibri" w:hAnsi="Calibri"/>
          <w:color w:val="001F60"/>
          <w:spacing w:val="-2"/>
        </w:rPr>
        <w:t xml:space="preserve"> </w:t>
      </w:r>
      <w:r>
        <w:rPr>
          <w:rFonts w:ascii="Calibri" w:hAnsi="Calibri"/>
          <w:color w:val="001F60"/>
        </w:rPr>
        <w:t>Defesa e</w:t>
      </w:r>
      <w:r>
        <w:rPr>
          <w:rFonts w:ascii="Calibri" w:hAnsi="Calibri"/>
          <w:color w:val="001F60"/>
          <w:spacing w:val="-1"/>
        </w:rPr>
        <w:t xml:space="preserve"> </w:t>
      </w:r>
      <w:r>
        <w:rPr>
          <w:rFonts w:ascii="Calibri" w:hAnsi="Calibri"/>
          <w:color w:val="001F60"/>
        </w:rPr>
        <w:t>Comunicações</w:t>
      </w:r>
      <w:r>
        <w:rPr>
          <w:rFonts w:ascii="Calibri" w:hAnsi="Calibri"/>
          <w:color w:val="001F60"/>
          <w:spacing w:val="-2"/>
        </w:rPr>
        <w:t xml:space="preserve"> </w:t>
      </w:r>
      <w:r>
        <w:rPr>
          <w:rFonts w:ascii="Calibri" w:hAnsi="Calibri"/>
          <w:color w:val="001F60"/>
        </w:rPr>
        <w:t>Estratégicas</w:t>
      </w:r>
      <w:r>
        <w:rPr>
          <w:rFonts w:ascii="Calibri" w:hAnsi="Calibri"/>
          <w:color w:val="001F60"/>
          <w:spacing w:val="-2"/>
        </w:rPr>
        <w:t xml:space="preserve"> </w:t>
      </w:r>
      <w:r>
        <w:rPr>
          <w:rFonts w:ascii="Calibri" w:hAnsi="Calibri"/>
          <w:color w:val="001F60"/>
        </w:rPr>
        <w:t>(SGDC) continua sendo um elemento essencial da infraestrutura de telecomunicações do Brasil, garantindo cobertura</w:t>
      </w:r>
      <w:r>
        <w:rPr>
          <w:rFonts w:ascii="Calibri" w:hAnsi="Calibri"/>
          <w:color w:val="001F60"/>
          <w:spacing w:val="-6"/>
        </w:rPr>
        <w:t xml:space="preserve"> </w:t>
      </w:r>
      <w:r>
        <w:rPr>
          <w:rFonts w:ascii="Calibri" w:hAnsi="Calibri"/>
          <w:color w:val="001F60"/>
        </w:rPr>
        <w:t>nacional</w:t>
      </w:r>
      <w:r>
        <w:rPr>
          <w:rFonts w:ascii="Calibri" w:hAnsi="Calibri"/>
          <w:color w:val="001F60"/>
          <w:spacing w:val="-4"/>
        </w:rPr>
        <w:t xml:space="preserve"> </w:t>
      </w:r>
      <w:r>
        <w:rPr>
          <w:rFonts w:ascii="Calibri" w:hAnsi="Calibri"/>
          <w:color w:val="001F60"/>
        </w:rPr>
        <w:t>homogênea</w:t>
      </w:r>
      <w:r>
        <w:rPr>
          <w:rFonts w:ascii="Calibri" w:hAnsi="Calibri"/>
          <w:color w:val="001F60"/>
          <w:spacing w:val="-4"/>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internet</w:t>
      </w:r>
      <w:r>
        <w:rPr>
          <w:rFonts w:ascii="Calibri" w:hAnsi="Calibri"/>
          <w:color w:val="001F60"/>
          <w:spacing w:val="-3"/>
        </w:rPr>
        <w:t xml:space="preserve"> </w:t>
      </w:r>
      <w:r>
        <w:rPr>
          <w:rFonts w:ascii="Calibri" w:hAnsi="Calibri"/>
          <w:color w:val="001F60"/>
        </w:rPr>
        <w:t>banda</w:t>
      </w:r>
      <w:r>
        <w:rPr>
          <w:rFonts w:ascii="Calibri" w:hAnsi="Calibri"/>
          <w:color w:val="001F60"/>
          <w:spacing w:val="-4"/>
        </w:rPr>
        <w:t xml:space="preserve"> </w:t>
      </w:r>
      <w:r>
        <w:rPr>
          <w:rFonts w:ascii="Calibri" w:hAnsi="Calibri"/>
          <w:color w:val="001F60"/>
        </w:rPr>
        <w:t>larga.</w:t>
      </w:r>
      <w:r>
        <w:rPr>
          <w:rFonts w:ascii="Calibri" w:hAnsi="Calibri"/>
          <w:color w:val="001F60"/>
          <w:spacing w:val="-6"/>
        </w:rPr>
        <w:t xml:space="preserve"> </w:t>
      </w:r>
      <w:r>
        <w:rPr>
          <w:rFonts w:ascii="Calibri" w:hAnsi="Calibri"/>
          <w:color w:val="001F60"/>
        </w:rPr>
        <w:t>Além</w:t>
      </w:r>
      <w:r>
        <w:rPr>
          <w:rFonts w:ascii="Calibri" w:hAnsi="Calibri"/>
          <w:color w:val="001F60"/>
          <w:spacing w:val="-6"/>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seu</w:t>
      </w:r>
      <w:r>
        <w:rPr>
          <w:rFonts w:ascii="Calibri" w:hAnsi="Calibri"/>
          <w:color w:val="001F60"/>
          <w:spacing w:val="-4"/>
        </w:rPr>
        <w:t xml:space="preserve"> </w:t>
      </w:r>
      <w:r>
        <w:rPr>
          <w:rFonts w:ascii="Calibri" w:hAnsi="Calibri"/>
          <w:color w:val="001F60"/>
        </w:rPr>
        <w:t>papel</w:t>
      </w:r>
      <w:r>
        <w:rPr>
          <w:rFonts w:ascii="Calibri" w:hAnsi="Calibri"/>
          <w:color w:val="001F60"/>
          <w:spacing w:val="-6"/>
        </w:rPr>
        <w:t xml:space="preserve"> </w:t>
      </w:r>
      <w:r>
        <w:rPr>
          <w:rFonts w:ascii="Calibri" w:hAnsi="Calibri"/>
          <w:color w:val="001F60"/>
        </w:rPr>
        <w:t>na</w:t>
      </w:r>
      <w:r>
        <w:rPr>
          <w:rFonts w:ascii="Calibri" w:hAnsi="Calibri"/>
          <w:color w:val="001F60"/>
          <w:spacing w:val="-4"/>
        </w:rPr>
        <w:t xml:space="preserve"> </w:t>
      </w:r>
      <w:r>
        <w:rPr>
          <w:rFonts w:ascii="Calibri" w:hAnsi="Calibri"/>
          <w:color w:val="001F60"/>
        </w:rPr>
        <w:t>inclusão</w:t>
      </w:r>
      <w:r>
        <w:rPr>
          <w:rFonts w:ascii="Calibri" w:hAnsi="Calibri"/>
          <w:color w:val="001F60"/>
          <w:spacing w:val="-4"/>
        </w:rPr>
        <w:t xml:space="preserve"> </w:t>
      </w:r>
      <w:r>
        <w:rPr>
          <w:rFonts w:ascii="Calibri" w:hAnsi="Calibri"/>
          <w:color w:val="001F60"/>
        </w:rPr>
        <w:t>digital,</w:t>
      </w:r>
      <w:r>
        <w:rPr>
          <w:rFonts w:ascii="Calibri" w:hAnsi="Calibri"/>
          <w:color w:val="001F60"/>
          <w:spacing w:val="-10"/>
        </w:rPr>
        <w:t xml:space="preserve"> </w:t>
      </w:r>
      <w:r>
        <w:rPr>
          <w:rFonts w:ascii="Calibri" w:hAnsi="Calibri"/>
          <w:color w:val="001F60"/>
        </w:rPr>
        <w:t>o</w:t>
      </w:r>
      <w:r>
        <w:rPr>
          <w:rFonts w:ascii="Calibri" w:hAnsi="Calibri"/>
          <w:color w:val="001F60"/>
          <w:spacing w:val="-4"/>
        </w:rPr>
        <w:t xml:space="preserve"> </w:t>
      </w:r>
      <w:r>
        <w:rPr>
          <w:rFonts w:ascii="Calibri" w:hAnsi="Calibri"/>
          <w:color w:val="001F60"/>
        </w:rPr>
        <w:t>SGDC desempenha funções estratégicas para a defesa nacional, por meio de suas duas cargas úteis: uma para comunicações civis na banda Ka e outra para operações militares na banda X.</w:t>
      </w:r>
    </w:p>
    <w:p w14:paraId="7AAA3C3E" w14:textId="77777777" w:rsidR="002C6574" w:rsidRDefault="00000000">
      <w:pPr>
        <w:pStyle w:val="Corpodetexto"/>
        <w:spacing w:before="121"/>
        <w:ind w:left="709" w:right="278" w:firstLine="7"/>
        <w:jc w:val="both"/>
        <w:rPr>
          <w:rFonts w:ascii="Calibri" w:hAnsi="Calibri"/>
        </w:rPr>
      </w:pPr>
      <w:r>
        <w:rPr>
          <w:rFonts w:ascii="Calibri" w:hAnsi="Calibri"/>
          <w:color w:val="001F60"/>
        </w:rPr>
        <w:t>Por meio do SGDC, a Telebras amplia significativamente o acesso à internet banda larga em regiões remotas, beneficiando escolas, unidades de saúde, postos de fronteira e aldeias indígenas. O satélite também é fundamental para comunicações em emergências e para promover a inclusão digital.</w:t>
      </w:r>
    </w:p>
    <w:p w14:paraId="6FD6045E" w14:textId="77777777" w:rsidR="002C6574" w:rsidRDefault="002C6574">
      <w:pPr>
        <w:pStyle w:val="Corpodetexto"/>
        <w:jc w:val="both"/>
        <w:rPr>
          <w:rFonts w:ascii="Calibri" w:hAnsi="Calibri"/>
        </w:rPr>
        <w:sectPr w:rsidR="002C6574">
          <w:pgSz w:w="11910" w:h="16840"/>
          <w:pgMar w:top="1100" w:right="850" w:bottom="1060" w:left="992" w:header="298" w:footer="863" w:gutter="0"/>
          <w:cols w:space="720"/>
        </w:sectPr>
      </w:pPr>
    </w:p>
    <w:p w14:paraId="00726F15" w14:textId="77777777" w:rsidR="002C6574" w:rsidRDefault="002C6574">
      <w:pPr>
        <w:pStyle w:val="Corpodetexto"/>
        <w:rPr>
          <w:rFonts w:ascii="Calibri"/>
        </w:rPr>
      </w:pPr>
    </w:p>
    <w:p w14:paraId="411C1F84" w14:textId="77777777" w:rsidR="002C6574" w:rsidRDefault="002C6574">
      <w:pPr>
        <w:pStyle w:val="Corpodetexto"/>
        <w:spacing w:before="50"/>
        <w:rPr>
          <w:rFonts w:ascii="Calibri"/>
        </w:rPr>
      </w:pPr>
    </w:p>
    <w:p w14:paraId="6EF1EF35" w14:textId="77777777" w:rsidR="002C6574" w:rsidRDefault="00000000">
      <w:pPr>
        <w:ind w:left="716"/>
        <w:jc w:val="both"/>
        <w:rPr>
          <w:rFonts w:ascii="Calibri" w:hAnsi="Calibri"/>
          <w:b/>
        </w:rPr>
      </w:pPr>
      <w:r>
        <w:rPr>
          <w:rFonts w:ascii="Calibri" w:hAnsi="Calibri"/>
          <w:b/>
          <w:color w:val="001F60"/>
        </w:rPr>
        <w:t>Operação</w:t>
      </w:r>
      <w:r>
        <w:rPr>
          <w:rFonts w:ascii="Calibri" w:hAnsi="Calibri"/>
          <w:b/>
          <w:color w:val="001F60"/>
          <w:spacing w:val="-5"/>
        </w:rPr>
        <w:t xml:space="preserve"> </w:t>
      </w:r>
      <w:r>
        <w:rPr>
          <w:rFonts w:ascii="Calibri" w:hAnsi="Calibri"/>
          <w:b/>
          <w:color w:val="001F60"/>
        </w:rPr>
        <w:t>e</w:t>
      </w:r>
      <w:r>
        <w:rPr>
          <w:rFonts w:ascii="Calibri" w:hAnsi="Calibri"/>
          <w:b/>
          <w:color w:val="001F60"/>
          <w:spacing w:val="-1"/>
        </w:rPr>
        <w:t xml:space="preserve"> </w:t>
      </w:r>
      <w:r>
        <w:rPr>
          <w:rFonts w:ascii="Calibri" w:hAnsi="Calibri"/>
          <w:b/>
          <w:color w:val="001F60"/>
          <w:spacing w:val="-2"/>
        </w:rPr>
        <w:t>Infraestrutura</w:t>
      </w:r>
    </w:p>
    <w:p w14:paraId="5272AAE8" w14:textId="77777777" w:rsidR="002C6574" w:rsidRDefault="00000000">
      <w:pPr>
        <w:pStyle w:val="Corpodetexto"/>
        <w:spacing w:before="120"/>
        <w:ind w:left="709" w:right="277" w:firstLine="7"/>
        <w:jc w:val="both"/>
        <w:rPr>
          <w:rFonts w:ascii="Calibri" w:hAnsi="Calibri"/>
        </w:rPr>
      </w:pPr>
      <w:r>
        <w:rPr>
          <w:rFonts w:ascii="Calibri" w:hAnsi="Calibri"/>
          <w:color w:val="001F60"/>
        </w:rPr>
        <w:t>O</w:t>
      </w:r>
      <w:r>
        <w:rPr>
          <w:rFonts w:ascii="Calibri" w:hAnsi="Calibri"/>
          <w:color w:val="001F60"/>
          <w:spacing w:val="-2"/>
        </w:rPr>
        <w:t xml:space="preserve"> </w:t>
      </w:r>
      <w:r>
        <w:rPr>
          <w:rFonts w:ascii="Calibri" w:hAnsi="Calibri"/>
          <w:color w:val="001F60"/>
        </w:rPr>
        <w:t>sistema</w:t>
      </w:r>
      <w:r>
        <w:rPr>
          <w:rFonts w:ascii="Calibri" w:hAnsi="Calibri"/>
          <w:color w:val="001F60"/>
          <w:spacing w:val="-2"/>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operação do</w:t>
      </w:r>
      <w:r>
        <w:rPr>
          <w:rFonts w:ascii="Calibri" w:hAnsi="Calibri"/>
          <w:color w:val="001F60"/>
          <w:spacing w:val="-4"/>
        </w:rPr>
        <w:t xml:space="preserve"> </w:t>
      </w:r>
      <w:r>
        <w:rPr>
          <w:rFonts w:ascii="Calibri" w:hAnsi="Calibri"/>
          <w:color w:val="001F60"/>
        </w:rPr>
        <w:t>SGDC</w:t>
      </w:r>
      <w:r>
        <w:rPr>
          <w:rFonts w:ascii="Calibri" w:hAnsi="Calibri"/>
          <w:color w:val="001F60"/>
          <w:spacing w:val="-4"/>
        </w:rPr>
        <w:t xml:space="preserve"> </w:t>
      </w:r>
      <w:r>
        <w:rPr>
          <w:rFonts w:ascii="Calibri" w:hAnsi="Calibri"/>
          <w:color w:val="001F60"/>
        </w:rPr>
        <w:t>é</w:t>
      </w:r>
      <w:r>
        <w:rPr>
          <w:rFonts w:ascii="Calibri" w:hAnsi="Calibri"/>
          <w:color w:val="001F60"/>
          <w:spacing w:val="-2"/>
        </w:rPr>
        <w:t xml:space="preserve"> </w:t>
      </w:r>
      <w:r>
        <w:rPr>
          <w:rFonts w:ascii="Calibri" w:hAnsi="Calibri"/>
          <w:color w:val="001F60"/>
        </w:rPr>
        <w:t>apoiado</w:t>
      </w:r>
      <w:r>
        <w:rPr>
          <w:rFonts w:ascii="Calibri" w:hAnsi="Calibri"/>
          <w:color w:val="001F60"/>
          <w:spacing w:val="-4"/>
        </w:rPr>
        <w:t xml:space="preserve"> </w:t>
      </w:r>
      <w:r>
        <w:rPr>
          <w:rFonts w:ascii="Calibri" w:hAnsi="Calibri"/>
          <w:color w:val="001F60"/>
        </w:rPr>
        <w:t>por</w:t>
      </w:r>
      <w:r>
        <w:rPr>
          <w:rFonts w:ascii="Calibri" w:hAnsi="Calibri"/>
          <w:color w:val="001F60"/>
          <w:spacing w:val="-6"/>
        </w:rPr>
        <w:t xml:space="preserve"> </w:t>
      </w:r>
      <w:r>
        <w:rPr>
          <w:rFonts w:ascii="Calibri" w:hAnsi="Calibri"/>
          <w:color w:val="001F60"/>
        </w:rPr>
        <w:t>Centros</w:t>
      </w:r>
      <w:r>
        <w:rPr>
          <w:rFonts w:ascii="Calibri" w:hAnsi="Calibri"/>
          <w:color w:val="001F60"/>
          <w:spacing w:val="-2"/>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Operações</w:t>
      </w:r>
      <w:r>
        <w:rPr>
          <w:rFonts w:ascii="Calibri" w:hAnsi="Calibri"/>
          <w:color w:val="001F60"/>
          <w:spacing w:val="-5"/>
        </w:rPr>
        <w:t xml:space="preserve"> </w:t>
      </w:r>
      <w:r>
        <w:rPr>
          <w:rFonts w:ascii="Calibri" w:hAnsi="Calibri"/>
          <w:color w:val="001F60"/>
        </w:rPr>
        <w:t>Espaciais</w:t>
      </w:r>
      <w:r>
        <w:rPr>
          <w:rFonts w:ascii="Calibri" w:hAnsi="Calibri"/>
          <w:color w:val="001F60"/>
          <w:spacing w:val="-5"/>
        </w:rPr>
        <w:t xml:space="preserve"> </w:t>
      </w:r>
      <w:r>
        <w:rPr>
          <w:rFonts w:ascii="Calibri" w:hAnsi="Calibri"/>
          <w:color w:val="001F60"/>
        </w:rPr>
        <w:t>em Brasília</w:t>
      </w:r>
      <w:r>
        <w:rPr>
          <w:rFonts w:ascii="Calibri" w:hAnsi="Calibri"/>
          <w:color w:val="001F60"/>
          <w:spacing w:val="-2"/>
        </w:rPr>
        <w:t xml:space="preserve"> </w:t>
      </w:r>
      <w:r>
        <w:rPr>
          <w:rFonts w:ascii="Calibri" w:hAnsi="Calibri"/>
          <w:color w:val="001F60"/>
        </w:rPr>
        <w:t>(COPE-P)</w:t>
      </w:r>
      <w:r>
        <w:rPr>
          <w:rFonts w:ascii="Calibri" w:hAnsi="Calibri"/>
          <w:color w:val="001F60"/>
          <w:spacing w:val="-6"/>
        </w:rPr>
        <w:t xml:space="preserve"> </w:t>
      </w:r>
      <w:r>
        <w:rPr>
          <w:rFonts w:ascii="Calibri" w:hAnsi="Calibri"/>
          <w:color w:val="001F60"/>
        </w:rPr>
        <w:t>e no Rio de Janeiro (COPE-S). O COPE-P, localizado na capital, destaca-se por sua infraestrutura de missão crítica, sendo classificado como tolerante a falhas de acordo com a norma norte-americana ANSI/TIA</w:t>
      </w:r>
      <w:r>
        <w:rPr>
          <w:rFonts w:ascii="Calibri" w:hAnsi="Calibri"/>
          <w:color w:val="001F60"/>
          <w:spacing w:val="-13"/>
        </w:rPr>
        <w:t xml:space="preserve"> </w:t>
      </w:r>
      <w:r>
        <w:rPr>
          <w:rFonts w:ascii="Calibri" w:hAnsi="Calibri"/>
          <w:color w:val="001F60"/>
        </w:rPr>
        <w:t>e</w:t>
      </w:r>
      <w:r>
        <w:rPr>
          <w:rFonts w:ascii="Calibri" w:hAnsi="Calibri"/>
          <w:color w:val="001F60"/>
          <w:spacing w:val="-12"/>
        </w:rPr>
        <w:t xml:space="preserve"> </w:t>
      </w:r>
      <w:r>
        <w:rPr>
          <w:rFonts w:ascii="Calibri" w:hAnsi="Calibri"/>
          <w:color w:val="001F60"/>
        </w:rPr>
        <w:t>certificado</w:t>
      </w:r>
      <w:r>
        <w:rPr>
          <w:rFonts w:ascii="Calibri" w:hAnsi="Calibri"/>
          <w:color w:val="001F60"/>
          <w:spacing w:val="-13"/>
        </w:rPr>
        <w:t xml:space="preserve"> </w:t>
      </w:r>
      <w:r>
        <w:rPr>
          <w:rFonts w:ascii="Calibri" w:hAnsi="Calibri"/>
          <w:color w:val="001F60"/>
        </w:rPr>
        <w:t>TIER</w:t>
      </w:r>
      <w:r>
        <w:rPr>
          <w:rFonts w:ascii="Calibri" w:hAnsi="Calibri"/>
          <w:color w:val="001F60"/>
          <w:spacing w:val="-12"/>
        </w:rPr>
        <w:t xml:space="preserve"> </w:t>
      </w:r>
      <w:r>
        <w:rPr>
          <w:rFonts w:ascii="Calibri" w:hAnsi="Calibri"/>
          <w:color w:val="001F60"/>
        </w:rPr>
        <w:t>IV</w:t>
      </w:r>
      <w:r>
        <w:rPr>
          <w:rFonts w:ascii="Calibri" w:hAnsi="Calibri"/>
          <w:color w:val="001F60"/>
          <w:spacing w:val="-13"/>
        </w:rPr>
        <w:t xml:space="preserve"> </w:t>
      </w:r>
      <w:r>
        <w:rPr>
          <w:rFonts w:ascii="Calibri" w:hAnsi="Calibri"/>
          <w:color w:val="001F60"/>
        </w:rPr>
        <w:t>pelo</w:t>
      </w:r>
      <w:r>
        <w:rPr>
          <w:rFonts w:ascii="Calibri" w:hAnsi="Calibri"/>
          <w:color w:val="001F60"/>
          <w:spacing w:val="-12"/>
        </w:rPr>
        <w:t xml:space="preserve"> </w:t>
      </w:r>
      <w:r>
        <w:rPr>
          <w:rFonts w:ascii="Arial" w:hAnsi="Arial"/>
          <w:i/>
          <w:color w:val="001F60"/>
        </w:rPr>
        <w:t>Uptime</w:t>
      </w:r>
      <w:r>
        <w:rPr>
          <w:rFonts w:ascii="Arial" w:hAnsi="Arial"/>
          <w:i/>
          <w:color w:val="001F60"/>
          <w:spacing w:val="-15"/>
        </w:rPr>
        <w:t xml:space="preserve"> </w:t>
      </w:r>
      <w:r>
        <w:rPr>
          <w:rFonts w:ascii="Arial" w:hAnsi="Arial"/>
          <w:i/>
          <w:color w:val="001F60"/>
        </w:rPr>
        <w:t>Institute</w:t>
      </w:r>
      <w:r>
        <w:rPr>
          <w:rFonts w:ascii="Calibri" w:hAnsi="Calibri"/>
          <w:color w:val="001F60"/>
        </w:rPr>
        <w:t>.</w:t>
      </w:r>
      <w:r>
        <w:rPr>
          <w:rFonts w:ascii="Calibri" w:hAnsi="Calibri"/>
          <w:color w:val="001F60"/>
          <w:spacing w:val="-13"/>
        </w:rPr>
        <w:t xml:space="preserve"> </w:t>
      </w:r>
      <w:r>
        <w:rPr>
          <w:rFonts w:ascii="Calibri" w:hAnsi="Calibri"/>
          <w:color w:val="001F60"/>
        </w:rPr>
        <w:t>Esta</w:t>
      </w:r>
      <w:r>
        <w:rPr>
          <w:rFonts w:ascii="Calibri" w:hAnsi="Calibri"/>
          <w:color w:val="001F60"/>
          <w:spacing w:val="-12"/>
        </w:rPr>
        <w:t xml:space="preserve"> </w:t>
      </w:r>
      <w:r>
        <w:rPr>
          <w:rFonts w:ascii="Calibri" w:hAnsi="Calibri"/>
          <w:color w:val="001F60"/>
        </w:rPr>
        <w:t>certificação</w:t>
      </w:r>
      <w:r>
        <w:rPr>
          <w:rFonts w:ascii="Calibri" w:hAnsi="Calibri"/>
          <w:color w:val="001F60"/>
          <w:spacing w:val="-13"/>
        </w:rPr>
        <w:t xml:space="preserve"> </w:t>
      </w:r>
      <w:r>
        <w:rPr>
          <w:rFonts w:ascii="Calibri" w:hAnsi="Calibri"/>
          <w:color w:val="001F60"/>
        </w:rPr>
        <w:t>coloca</w:t>
      </w:r>
      <w:r>
        <w:rPr>
          <w:rFonts w:ascii="Calibri" w:hAnsi="Calibri"/>
          <w:color w:val="001F60"/>
          <w:spacing w:val="-12"/>
        </w:rPr>
        <w:t xml:space="preserve"> </w:t>
      </w:r>
      <w:r>
        <w:rPr>
          <w:rFonts w:ascii="Calibri" w:hAnsi="Calibri"/>
          <w:color w:val="001F60"/>
        </w:rPr>
        <w:t>o</w:t>
      </w:r>
      <w:r>
        <w:rPr>
          <w:rFonts w:ascii="Calibri" w:hAnsi="Calibri"/>
          <w:color w:val="001F60"/>
          <w:spacing w:val="-13"/>
        </w:rPr>
        <w:t xml:space="preserve"> </w:t>
      </w:r>
      <w:r>
        <w:rPr>
          <w:rFonts w:ascii="Calibri" w:hAnsi="Calibri"/>
          <w:color w:val="001F60"/>
        </w:rPr>
        <w:t>centro</w:t>
      </w:r>
      <w:r>
        <w:rPr>
          <w:rFonts w:ascii="Calibri" w:hAnsi="Calibri"/>
          <w:color w:val="001F60"/>
          <w:spacing w:val="-12"/>
        </w:rPr>
        <w:t xml:space="preserve"> </w:t>
      </w:r>
      <w:r>
        <w:rPr>
          <w:rFonts w:ascii="Calibri" w:hAnsi="Calibri"/>
          <w:color w:val="001F60"/>
        </w:rPr>
        <w:t>no</w:t>
      </w:r>
      <w:r>
        <w:rPr>
          <w:rFonts w:ascii="Calibri" w:hAnsi="Calibri"/>
          <w:color w:val="001F60"/>
          <w:spacing w:val="-12"/>
        </w:rPr>
        <w:t xml:space="preserve"> </w:t>
      </w:r>
      <w:r>
        <w:rPr>
          <w:rFonts w:ascii="Calibri" w:hAnsi="Calibri"/>
          <w:color w:val="001F60"/>
        </w:rPr>
        <w:t>mais</w:t>
      </w:r>
      <w:r>
        <w:rPr>
          <w:rFonts w:ascii="Calibri" w:hAnsi="Calibri"/>
          <w:color w:val="001F60"/>
          <w:spacing w:val="-13"/>
        </w:rPr>
        <w:t xml:space="preserve"> </w:t>
      </w:r>
      <w:r>
        <w:rPr>
          <w:rFonts w:ascii="Calibri" w:hAnsi="Calibri"/>
          <w:color w:val="001F60"/>
        </w:rPr>
        <w:t>alto</w:t>
      </w:r>
      <w:r>
        <w:rPr>
          <w:rFonts w:ascii="Calibri" w:hAnsi="Calibri"/>
          <w:color w:val="001F60"/>
          <w:spacing w:val="-12"/>
        </w:rPr>
        <w:t xml:space="preserve"> </w:t>
      </w:r>
      <w:r>
        <w:rPr>
          <w:rFonts w:ascii="Calibri" w:hAnsi="Calibri"/>
          <w:color w:val="001F60"/>
        </w:rPr>
        <w:t>nível de</w:t>
      </w:r>
      <w:r>
        <w:rPr>
          <w:rFonts w:ascii="Calibri" w:hAnsi="Calibri"/>
          <w:color w:val="001F60"/>
          <w:spacing w:val="-5"/>
        </w:rPr>
        <w:t xml:space="preserve"> </w:t>
      </w:r>
      <w:r>
        <w:rPr>
          <w:rFonts w:ascii="Calibri" w:hAnsi="Calibri"/>
          <w:color w:val="001F60"/>
        </w:rPr>
        <w:t>resiliência,</w:t>
      </w:r>
      <w:r>
        <w:rPr>
          <w:rFonts w:ascii="Calibri" w:hAnsi="Calibri"/>
          <w:color w:val="001F60"/>
          <w:spacing w:val="-5"/>
        </w:rPr>
        <w:t xml:space="preserve"> </w:t>
      </w:r>
      <w:r>
        <w:rPr>
          <w:rFonts w:ascii="Calibri" w:hAnsi="Calibri"/>
          <w:color w:val="001F60"/>
        </w:rPr>
        <w:t>assegurando</w:t>
      </w:r>
      <w:r>
        <w:rPr>
          <w:rFonts w:ascii="Calibri" w:hAnsi="Calibri"/>
          <w:color w:val="001F60"/>
          <w:spacing w:val="-6"/>
        </w:rPr>
        <w:t xml:space="preserve"> </w:t>
      </w:r>
      <w:r>
        <w:rPr>
          <w:rFonts w:ascii="Calibri" w:hAnsi="Calibri"/>
          <w:color w:val="001F60"/>
        </w:rPr>
        <w:t>que</w:t>
      </w:r>
      <w:r>
        <w:rPr>
          <w:rFonts w:ascii="Calibri" w:hAnsi="Calibri"/>
          <w:color w:val="001F60"/>
          <w:spacing w:val="-5"/>
        </w:rPr>
        <w:t xml:space="preserve"> </w:t>
      </w:r>
      <w:r>
        <w:rPr>
          <w:rFonts w:ascii="Calibri" w:hAnsi="Calibri"/>
          <w:color w:val="001F60"/>
        </w:rPr>
        <w:t>a</w:t>
      </w:r>
      <w:r>
        <w:rPr>
          <w:rFonts w:ascii="Calibri" w:hAnsi="Calibri"/>
          <w:color w:val="001F60"/>
          <w:spacing w:val="-5"/>
        </w:rPr>
        <w:t xml:space="preserve"> </w:t>
      </w:r>
      <w:r>
        <w:rPr>
          <w:rFonts w:ascii="Calibri" w:hAnsi="Calibri"/>
          <w:color w:val="001F60"/>
        </w:rPr>
        <w:t>infraestrutura</w:t>
      </w:r>
      <w:r>
        <w:rPr>
          <w:rFonts w:ascii="Calibri" w:hAnsi="Calibri"/>
          <w:color w:val="001F60"/>
          <w:spacing w:val="-5"/>
        </w:rPr>
        <w:t xml:space="preserve"> </w:t>
      </w:r>
      <w:r>
        <w:rPr>
          <w:rFonts w:ascii="Calibri" w:hAnsi="Calibri"/>
          <w:color w:val="001F60"/>
        </w:rPr>
        <w:t>possa</w:t>
      </w:r>
      <w:r>
        <w:rPr>
          <w:rFonts w:ascii="Calibri" w:hAnsi="Calibri"/>
          <w:color w:val="001F60"/>
          <w:spacing w:val="-7"/>
        </w:rPr>
        <w:t xml:space="preserve"> </w:t>
      </w:r>
      <w:r>
        <w:rPr>
          <w:rFonts w:ascii="Calibri" w:hAnsi="Calibri"/>
          <w:color w:val="001F60"/>
        </w:rPr>
        <w:t>suportar</w:t>
      </w:r>
      <w:r>
        <w:rPr>
          <w:rFonts w:ascii="Calibri" w:hAnsi="Calibri"/>
          <w:color w:val="001F60"/>
          <w:spacing w:val="-7"/>
        </w:rPr>
        <w:t xml:space="preserve"> </w:t>
      </w:r>
      <w:r>
        <w:rPr>
          <w:rFonts w:ascii="Calibri" w:hAnsi="Calibri"/>
          <w:color w:val="001F60"/>
        </w:rPr>
        <w:t>interrupções</w:t>
      </w:r>
      <w:r>
        <w:rPr>
          <w:rFonts w:ascii="Calibri" w:hAnsi="Calibri"/>
          <w:color w:val="001F60"/>
          <w:spacing w:val="-5"/>
        </w:rPr>
        <w:t xml:space="preserve"> </w:t>
      </w:r>
      <w:r>
        <w:rPr>
          <w:rFonts w:ascii="Calibri" w:hAnsi="Calibri"/>
          <w:color w:val="001F60"/>
        </w:rPr>
        <w:t>sem</w:t>
      </w:r>
      <w:r>
        <w:rPr>
          <w:rFonts w:ascii="Calibri" w:hAnsi="Calibri"/>
          <w:color w:val="001F60"/>
          <w:spacing w:val="-7"/>
        </w:rPr>
        <w:t xml:space="preserve"> </w:t>
      </w:r>
      <w:r>
        <w:rPr>
          <w:rFonts w:ascii="Calibri" w:hAnsi="Calibri"/>
          <w:color w:val="001F60"/>
        </w:rPr>
        <w:t>impactar</w:t>
      </w:r>
      <w:r>
        <w:rPr>
          <w:rFonts w:ascii="Calibri" w:hAnsi="Calibri"/>
          <w:color w:val="001F60"/>
          <w:spacing w:val="-7"/>
        </w:rPr>
        <w:t xml:space="preserve"> </w:t>
      </w:r>
      <w:r>
        <w:rPr>
          <w:rFonts w:ascii="Calibri" w:hAnsi="Calibri"/>
          <w:color w:val="001F60"/>
        </w:rPr>
        <w:t>os</w:t>
      </w:r>
      <w:r>
        <w:rPr>
          <w:rFonts w:ascii="Calibri" w:hAnsi="Calibri"/>
          <w:color w:val="001F60"/>
          <w:spacing w:val="-7"/>
        </w:rPr>
        <w:t xml:space="preserve"> </w:t>
      </w:r>
      <w:r>
        <w:rPr>
          <w:rFonts w:ascii="Calibri" w:hAnsi="Calibri"/>
          <w:color w:val="001F60"/>
        </w:rPr>
        <w:t>serviços críticos de tecnologia da informação.</w:t>
      </w:r>
    </w:p>
    <w:p w14:paraId="14135A6E" w14:textId="77777777" w:rsidR="002C6574" w:rsidRDefault="00000000">
      <w:pPr>
        <w:pStyle w:val="Corpodetexto"/>
        <w:spacing w:before="119"/>
        <w:ind w:left="709" w:right="274" w:firstLine="7"/>
        <w:jc w:val="both"/>
        <w:rPr>
          <w:rFonts w:ascii="Calibri" w:hAnsi="Calibri"/>
        </w:rPr>
      </w:pPr>
      <w:r>
        <w:rPr>
          <w:rFonts w:ascii="Calibri" w:hAnsi="Calibri"/>
          <w:color w:val="001F60"/>
        </w:rPr>
        <w:t>A comunicação entre</w:t>
      </w:r>
      <w:r>
        <w:rPr>
          <w:rFonts w:ascii="Calibri" w:hAnsi="Calibri"/>
          <w:color w:val="001F60"/>
          <w:spacing w:val="-1"/>
        </w:rPr>
        <w:t xml:space="preserve"> </w:t>
      </w:r>
      <w:r>
        <w:rPr>
          <w:rFonts w:ascii="Calibri" w:hAnsi="Calibri"/>
          <w:color w:val="001F60"/>
        </w:rPr>
        <w:t>a rede terrestre e o satélite é</w:t>
      </w:r>
      <w:r>
        <w:rPr>
          <w:rFonts w:ascii="Calibri" w:hAnsi="Calibri"/>
          <w:color w:val="001F60"/>
          <w:spacing w:val="-1"/>
        </w:rPr>
        <w:t xml:space="preserve"> </w:t>
      </w:r>
      <w:r>
        <w:rPr>
          <w:rFonts w:ascii="Calibri" w:hAnsi="Calibri"/>
          <w:color w:val="001F60"/>
        </w:rPr>
        <w:t>viabilizada pelas</w:t>
      </w:r>
      <w:r>
        <w:rPr>
          <w:rFonts w:ascii="Calibri" w:hAnsi="Calibri"/>
          <w:color w:val="001F60"/>
          <w:spacing w:val="-1"/>
        </w:rPr>
        <w:t xml:space="preserve"> </w:t>
      </w:r>
      <w:r>
        <w:rPr>
          <w:rFonts w:ascii="Calibri" w:hAnsi="Calibri"/>
          <w:color w:val="001F60"/>
        </w:rPr>
        <w:t>Estações de Acesso (</w:t>
      </w:r>
      <w:r>
        <w:rPr>
          <w:rFonts w:ascii="Arial" w:hAnsi="Arial"/>
          <w:i/>
          <w:color w:val="001F60"/>
        </w:rPr>
        <w:t>Gateways</w:t>
      </w:r>
      <w:r>
        <w:rPr>
          <w:rFonts w:ascii="Calibri" w:hAnsi="Calibri"/>
          <w:color w:val="001F60"/>
        </w:rPr>
        <w:t>), estrategicamente distribuídas pelo país, em locais como Campo Grande, Florianópolis, Salvador, Brasília</w:t>
      </w:r>
      <w:r>
        <w:rPr>
          <w:rFonts w:ascii="Calibri" w:hAnsi="Calibri"/>
          <w:color w:val="001F60"/>
          <w:spacing w:val="-13"/>
        </w:rPr>
        <w:t xml:space="preserve"> </w:t>
      </w:r>
      <w:r>
        <w:rPr>
          <w:rFonts w:ascii="Calibri" w:hAnsi="Calibri"/>
          <w:color w:val="001F60"/>
        </w:rPr>
        <w:t>e</w:t>
      </w:r>
      <w:r>
        <w:rPr>
          <w:rFonts w:ascii="Calibri" w:hAnsi="Calibri"/>
          <w:color w:val="001F60"/>
          <w:spacing w:val="-12"/>
        </w:rPr>
        <w:t xml:space="preserve"> </w:t>
      </w:r>
      <w:r>
        <w:rPr>
          <w:rFonts w:ascii="Calibri" w:hAnsi="Calibri"/>
          <w:color w:val="001F60"/>
        </w:rPr>
        <w:t>Rio</w:t>
      </w:r>
      <w:r>
        <w:rPr>
          <w:rFonts w:ascii="Calibri" w:hAnsi="Calibri"/>
          <w:color w:val="001F60"/>
          <w:spacing w:val="-13"/>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Janeiro.</w:t>
      </w:r>
      <w:r>
        <w:rPr>
          <w:rFonts w:ascii="Calibri" w:hAnsi="Calibri"/>
          <w:color w:val="001F60"/>
          <w:spacing w:val="-13"/>
        </w:rPr>
        <w:t xml:space="preserve"> </w:t>
      </w:r>
      <w:r>
        <w:rPr>
          <w:rFonts w:ascii="Calibri" w:hAnsi="Calibri"/>
          <w:color w:val="001F60"/>
        </w:rPr>
        <w:t>Essas</w:t>
      </w:r>
      <w:r>
        <w:rPr>
          <w:rFonts w:ascii="Calibri" w:hAnsi="Calibri"/>
          <w:color w:val="001F60"/>
          <w:spacing w:val="-12"/>
        </w:rPr>
        <w:t xml:space="preserve"> </w:t>
      </w:r>
      <w:r>
        <w:rPr>
          <w:rFonts w:ascii="Calibri" w:hAnsi="Calibri"/>
          <w:color w:val="001F60"/>
        </w:rPr>
        <w:t>estações</w:t>
      </w:r>
      <w:r>
        <w:rPr>
          <w:rFonts w:ascii="Calibri" w:hAnsi="Calibri"/>
          <w:color w:val="001F60"/>
          <w:spacing w:val="-13"/>
        </w:rPr>
        <w:t xml:space="preserve"> </w:t>
      </w:r>
      <w:r>
        <w:rPr>
          <w:rFonts w:ascii="Calibri" w:hAnsi="Calibri"/>
          <w:color w:val="001F60"/>
        </w:rPr>
        <w:t>controlam</w:t>
      </w:r>
      <w:r>
        <w:rPr>
          <w:rFonts w:ascii="Calibri" w:hAnsi="Calibri"/>
          <w:color w:val="001F60"/>
          <w:spacing w:val="-12"/>
        </w:rPr>
        <w:t xml:space="preserve"> </w:t>
      </w:r>
      <w:r>
        <w:rPr>
          <w:rFonts w:ascii="Calibri" w:hAnsi="Calibri"/>
          <w:color w:val="001F60"/>
        </w:rPr>
        <w:t>e</w:t>
      </w:r>
      <w:r>
        <w:rPr>
          <w:rFonts w:ascii="Calibri" w:hAnsi="Calibri"/>
          <w:color w:val="001F60"/>
          <w:spacing w:val="-12"/>
        </w:rPr>
        <w:t xml:space="preserve"> </w:t>
      </w:r>
      <w:r>
        <w:rPr>
          <w:rFonts w:ascii="Calibri" w:hAnsi="Calibri"/>
          <w:color w:val="001F60"/>
        </w:rPr>
        <w:t>otimizam</w:t>
      </w:r>
      <w:r>
        <w:rPr>
          <w:rFonts w:ascii="Calibri" w:hAnsi="Calibri"/>
          <w:color w:val="001F60"/>
          <w:spacing w:val="-13"/>
        </w:rPr>
        <w:t xml:space="preserve"> </w:t>
      </w:r>
      <w:r>
        <w:rPr>
          <w:rFonts w:ascii="Calibri" w:hAnsi="Calibri"/>
          <w:color w:val="001F60"/>
        </w:rPr>
        <w:t>o</w:t>
      </w:r>
      <w:r>
        <w:rPr>
          <w:rFonts w:ascii="Calibri" w:hAnsi="Calibri"/>
          <w:color w:val="001F60"/>
          <w:spacing w:val="-12"/>
        </w:rPr>
        <w:t xml:space="preserve"> </w:t>
      </w:r>
      <w:r>
        <w:rPr>
          <w:rFonts w:ascii="Calibri" w:hAnsi="Calibri"/>
          <w:color w:val="001F60"/>
        </w:rPr>
        <w:t>tráfego</w:t>
      </w:r>
      <w:r>
        <w:rPr>
          <w:rFonts w:ascii="Calibri" w:hAnsi="Calibri"/>
          <w:color w:val="001F60"/>
          <w:spacing w:val="-13"/>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dados,</w:t>
      </w:r>
      <w:r>
        <w:rPr>
          <w:rFonts w:ascii="Calibri" w:hAnsi="Calibri"/>
          <w:color w:val="001F60"/>
          <w:spacing w:val="-13"/>
        </w:rPr>
        <w:t xml:space="preserve"> </w:t>
      </w:r>
      <w:r>
        <w:rPr>
          <w:rFonts w:ascii="Calibri" w:hAnsi="Calibri"/>
          <w:color w:val="001F60"/>
        </w:rPr>
        <w:t>garantindo</w:t>
      </w:r>
      <w:r>
        <w:rPr>
          <w:rFonts w:ascii="Calibri" w:hAnsi="Calibri"/>
          <w:color w:val="001F60"/>
          <w:spacing w:val="-12"/>
        </w:rPr>
        <w:t xml:space="preserve"> </w:t>
      </w:r>
      <w:r>
        <w:rPr>
          <w:rFonts w:ascii="Calibri" w:hAnsi="Calibri"/>
          <w:color w:val="001F60"/>
        </w:rPr>
        <w:t>eficiência e segurança nas comunicações via satélite. Além disso, Estações de Monitoramento e Controle, espalhadas pelo território nacional, acompanham continuamente os parâmetros do satélite, assegurando a integridade e o desempenho da rede.</w:t>
      </w:r>
    </w:p>
    <w:p w14:paraId="4580E0C3" w14:textId="77777777" w:rsidR="002C6574" w:rsidRDefault="00000000">
      <w:pPr>
        <w:numPr>
          <w:ilvl w:val="1"/>
          <w:numId w:val="74"/>
        </w:numPr>
        <w:tabs>
          <w:tab w:val="left" w:pos="1275"/>
        </w:tabs>
        <w:spacing w:before="239"/>
        <w:ind w:left="1275" w:hanging="566"/>
        <w:rPr>
          <w:rFonts w:ascii="Calibri"/>
          <w:b/>
        </w:rPr>
      </w:pPr>
      <w:r>
        <w:rPr>
          <w:rFonts w:ascii="Calibri"/>
          <w:b/>
          <w:color w:val="001F60"/>
        </w:rPr>
        <w:t>Circuitos</w:t>
      </w:r>
      <w:r>
        <w:rPr>
          <w:rFonts w:ascii="Calibri"/>
          <w:b/>
          <w:color w:val="001F60"/>
          <w:spacing w:val="-5"/>
        </w:rPr>
        <w:t xml:space="preserve"> </w:t>
      </w:r>
      <w:r>
        <w:rPr>
          <w:rFonts w:ascii="Calibri"/>
          <w:b/>
          <w:color w:val="001F60"/>
          <w:spacing w:val="-2"/>
        </w:rPr>
        <w:t>GESAC</w:t>
      </w:r>
    </w:p>
    <w:p w14:paraId="7C3B7885" w14:textId="77777777" w:rsidR="002C6574" w:rsidRDefault="002C6574">
      <w:pPr>
        <w:pStyle w:val="Corpodetexto"/>
        <w:spacing w:before="13"/>
        <w:rPr>
          <w:rFonts w:ascii="Calibri"/>
          <w:b/>
        </w:rPr>
      </w:pPr>
    </w:p>
    <w:p w14:paraId="108B84CC" w14:textId="77777777" w:rsidR="002C6574" w:rsidRDefault="00000000">
      <w:pPr>
        <w:pStyle w:val="Corpodetexto"/>
        <w:ind w:left="709" w:right="277"/>
        <w:jc w:val="both"/>
        <w:rPr>
          <w:rFonts w:ascii="Calibri" w:hAnsi="Calibri"/>
        </w:rPr>
      </w:pPr>
      <w:r>
        <w:rPr>
          <w:rFonts w:ascii="Calibri" w:hAnsi="Calibri"/>
          <w:color w:val="001F60"/>
        </w:rPr>
        <w:t>É essencial compreender a importância e o impacto do projeto Governo Eletrônico – Serviço de Atendimento ao Cidadão (GESAC) na estratégia e no valor da Telebras. O GESAC é uma iniciativa governamental destinada a fornecer acesso à internet em banda larga para comunidades em áreas remotas e estratégicas do Brasil, promovendo inclusão digital e o acesso a serviços públicos digitais.</w:t>
      </w:r>
    </w:p>
    <w:p w14:paraId="537250F6" w14:textId="77777777" w:rsidR="002C6574" w:rsidRDefault="00000000">
      <w:pPr>
        <w:pStyle w:val="Corpodetexto"/>
        <w:spacing w:before="121"/>
        <w:ind w:left="709" w:right="278"/>
        <w:jc w:val="both"/>
        <w:rPr>
          <w:rFonts w:ascii="Calibri" w:hAnsi="Calibri"/>
        </w:rPr>
      </w:pPr>
      <w:r>
        <w:rPr>
          <w:rFonts w:ascii="Calibri" w:hAnsi="Calibri"/>
          <w:color w:val="001F60"/>
        </w:rPr>
        <w:t>Em 21 de dezembro de 2023, o MCom confirmou a renovação do contrato com a Telebras para dar continuidade</w:t>
      </w:r>
      <w:r>
        <w:rPr>
          <w:rFonts w:ascii="Calibri" w:hAnsi="Calibri"/>
          <w:color w:val="001F60"/>
          <w:spacing w:val="-13"/>
        </w:rPr>
        <w:t xml:space="preserve"> </w:t>
      </w:r>
      <w:r>
        <w:rPr>
          <w:rFonts w:ascii="Calibri" w:hAnsi="Calibri"/>
          <w:color w:val="001F60"/>
        </w:rPr>
        <w:t>ao</w:t>
      </w:r>
      <w:r>
        <w:rPr>
          <w:rFonts w:ascii="Calibri" w:hAnsi="Calibri"/>
          <w:color w:val="001F60"/>
          <w:spacing w:val="-12"/>
        </w:rPr>
        <w:t xml:space="preserve"> </w:t>
      </w:r>
      <w:r>
        <w:rPr>
          <w:rFonts w:ascii="Calibri" w:hAnsi="Calibri"/>
          <w:color w:val="001F60"/>
        </w:rPr>
        <w:t>programa</w:t>
      </w:r>
      <w:r>
        <w:rPr>
          <w:rFonts w:ascii="Calibri" w:hAnsi="Calibri"/>
          <w:color w:val="001F60"/>
          <w:spacing w:val="-13"/>
        </w:rPr>
        <w:t xml:space="preserve"> </w:t>
      </w:r>
      <w:r>
        <w:rPr>
          <w:rFonts w:ascii="Calibri" w:hAnsi="Calibri"/>
          <w:color w:val="001F60"/>
        </w:rPr>
        <w:t>GESAC,</w:t>
      </w:r>
      <w:r>
        <w:rPr>
          <w:rFonts w:ascii="Calibri" w:hAnsi="Calibri"/>
          <w:color w:val="001F60"/>
          <w:spacing w:val="-12"/>
        </w:rPr>
        <w:t xml:space="preserve"> </w:t>
      </w:r>
      <w:r>
        <w:rPr>
          <w:rFonts w:ascii="Calibri" w:hAnsi="Calibri"/>
          <w:color w:val="001F60"/>
        </w:rPr>
        <w:t>com</w:t>
      </w:r>
      <w:r>
        <w:rPr>
          <w:rFonts w:ascii="Calibri" w:hAnsi="Calibri"/>
          <w:color w:val="001F60"/>
          <w:spacing w:val="-13"/>
        </w:rPr>
        <w:t xml:space="preserve"> </w:t>
      </w:r>
      <w:r>
        <w:rPr>
          <w:rFonts w:ascii="Calibri" w:hAnsi="Calibri"/>
          <w:color w:val="001F60"/>
        </w:rPr>
        <w:t>fundamento</w:t>
      </w:r>
      <w:r>
        <w:rPr>
          <w:rFonts w:ascii="Calibri" w:hAnsi="Calibri"/>
          <w:color w:val="001F60"/>
          <w:spacing w:val="-12"/>
        </w:rPr>
        <w:t xml:space="preserve"> </w:t>
      </w:r>
      <w:r>
        <w:rPr>
          <w:rFonts w:ascii="Calibri" w:hAnsi="Calibri"/>
          <w:color w:val="001F60"/>
        </w:rPr>
        <w:t>na</w:t>
      </w:r>
      <w:r>
        <w:rPr>
          <w:rFonts w:ascii="Calibri" w:hAnsi="Calibri"/>
          <w:color w:val="001F60"/>
          <w:spacing w:val="-13"/>
        </w:rPr>
        <w:t xml:space="preserve"> </w:t>
      </w:r>
      <w:r>
        <w:rPr>
          <w:rFonts w:ascii="Calibri" w:hAnsi="Calibri"/>
          <w:color w:val="001F60"/>
        </w:rPr>
        <w:t>Lei</w:t>
      </w:r>
      <w:r>
        <w:rPr>
          <w:rFonts w:ascii="Calibri" w:hAnsi="Calibri"/>
          <w:color w:val="001F60"/>
          <w:spacing w:val="-12"/>
        </w:rPr>
        <w:t xml:space="preserve"> </w:t>
      </w:r>
      <w:r>
        <w:rPr>
          <w:rFonts w:ascii="Calibri" w:hAnsi="Calibri"/>
          <w:color w:val="001F60"/>
        </w:rPr>
        <w:t>Nº</w:t>
      </w:r>
      <w:r>
        <w:rPr>
          <w:rFonts w:ascii="Calibri" w:hAnsi="Calibri"/>
          <w:color w:val="001F60"/>
          <w:spacing w:val="-12"/>
        </w:rPr>
        <w:t xml:space="preserve"> </w:t>
      </w:r>
      <w:r>
        <w:rPr>
          <w:rFonts w:ascii="Calibri" w:hAnsi="Calibri"/>
          <w:color w:val="001F60"/>
        </w:rPr>
        <w:t>14.744,</w:t>
      </w:r>
      <w:r>
        <w:rPr>
          <w:rFonts w:ascii="Calibri" w:hAnsi="Calibri"/>
          <w:color w:val="001F60"/>
          <w:spacing w:val="-13"/>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2023.</w:t>
      </w:r>
      <w:r>
        <w:rPr>
          <w:rFonts w:ascii="Calibri" w:hAnsi="Calibri"/>
          <w:color w:val="001F60"/>
          <w:spacing w:val="-12"/>
        </w:rPr>
        <w:t xml:space="preserve"> </w:t>
      </w:r>
      <w:r>
        <w:rPr>
          <w:rFonts w:ascii="Calibri" w:hAnsi="Calibri"/>
          <w:color w:val="001F60"/>
        </w:rPr>
        <w:t>Este</w:t>
      </w:r>
      <w:r>
        <w:rPr>
          <w:rFonts w:ascii="Calibri" w:hAnsi="Calibri"/>
          <w:color w:val="001F60"/>
          <w:spacing w:val="-10"/>
        </w:rPr>
        <w:t xml:space="preserve"> </w:t>
      </w:r>
      <w:r>
        <w:rPr>
          <w:rFonts w:ascii="Calibri" w:hAnsi="Calibri"/>
          <w:color w:val="001F60"/>
        </w:rPr>
        <w:t>acordo</w:t>
      </w:r>
      <w:r>
        <w:rPr>
          <w:rFonts w:ascii="Calibri" w:hAnsi="Calibri"/>
          <w:color w:val="001F60"/>
          <w:spacing w:val="-11"/>
        </w:rPr>
        <w:t xml:space="preserve"> </w:t>
      </w:r>
      <w:r>
        <w:rPr>
          <w:rFonts w:ascii="Calibri" w:hAnsi="Calibri"/>
          <w:color w:val="001F60"/>
        </w:rPr>
        <w:t>estratégico visa estabelecer até 28 mil pontos de acesso à internet via satélite, focando em regiões remotas e comunidades em situação de vulnerabilidade social.</w:t>
      </w:r>
    </w:p>
    <w:p w14:paraId="6398D8D0" w14:textId="77777777" w:rsidR="002C6574" w:rsidRDefault="00000000">
      <w:pPr>
        <w:pStyle w:val="Corpodetexto"/>
        <w:spacing w:before="118"/>
        <w:ind w:left="709" w:right="276"/>
        <w:jc w:val="both"/>
        <w:rPr>
          <w:rFonts w:ascii="Calibri" w:hAnsi="Calibri"/>
        </w:rPr>
      </w:pPr>
      <w:r>
        <w:rPr>
          <w:rFonts w:ascii="Calibri" w:hAnsi="Calibri"/>
          <w:color w:val="001F60"/>
        </w:rPr>
        <w:t>A iniciativa constitui um marco na promoção da inclusão digital e na oferta de serviços essenciais e manteve a Telebras como execução do programa, que abrange escolas, unidades de saúde, comunidades indígenas, quilombolas, órgãos de segurança pública, postos de fronteira, bem como programas de monitoramento ambiental na Amazônia. Outros beneficiários incluem os Centros de Referência de Assistência Social (CRAS), reforçando o compromisso do programa em assegurar conectividade e acesso à informação para todos, contribuindo para o desenvolvimento social e econômico das áreas atendidas.</w:t>
      </w:r>
    </w:p>
    <w:p w14:paraId="79C28F88" w14:textId="77777777" w:rsidR="002C6574" w:rsidRDefault="00000000">
      <w:pPr>
        <w:pStyle w:val="Corpodetexto"/>
        <w:spacing w:before="120"/>
        <w:ind w:left="709" w:right="276"/>
        <w:jc w:val="both"/>
        <w:rPr>
          <w:rFonts w:ascii="Calibri" w:hAnsi="Calibri"/>
        </w:rPr>
      </w:pPr>
      <w:r>
        <w:rPr>
          <w:rFonts w:ascii="Calibri" w:hAnsi="Calibri"/>
          <w:color w:val="001F60"/>
        </w:rPr>
        <w:t>Esse contrato traz melhorias significativas no modelo de atendimento ao programa GESAC, especialmente</w:t>
      </w:r>
      <w:r>
        <w:rPr>
          <w:rFonts w:ascii="Calibri" w:hAnsi="Calibri"/>
          <w:color w:val="001F60"/>
          <w:spacing w:val="-8"/>
        </w:rPr>
        <w:t xml:space="preserve"> </w:t>
      </w:r>
      <w:r>
        <w:rPr>
          <w:rFonts w:ascii="Calibri" w:hAnsi="Calibri"/>
          <w:color w:val="001F60"/>
        </w:rPr>
        <w:t>no</w:t>
      </w:r>
      <w:r>
        <w:rPr>
          <w:rFonts w:ascii="Calibri" w:hAnsi="Calibri"/>
          <w:color w:val="001F60"/>
          <w:spacing w:val="-6"/>
        </w:rPr>
        <w:t xml:space="preserve"> </w:t>
      </w:r>
      <w:r>
        <w:rPr>
          <w:rFonts w:ascii="Calibri" w:hAnsi="Calibri"/>
          <w:color w:val="001F60"/>
        </w:rPr>
        <w:t>que</w:t>
      </w:r>
      <w:r>
        <w:rPr>
          <w:rFonts w:ascii="Calibri" w:hAnsi="Calibri"/>
          <w:color w:val="001F60"/>
          <w:spacing w:val="-8"/>
        </w:rPr>
        <w:t xml:space="preserve"> </w:t>
      </w:r>
      <w:r>
        <w:rPr>
          <w:rFonts w:ascii="Calibri" w:hAnsi="Calibri"/>
          <w:color w:val="001F60"/>
        </w:rPr>
        <w:t>tange</w:t>
      </w:r>
      <w:r>
        <w:rPr>
          <w:rFonts w:ascii="Calibri" w:hAnsi="Calibri"/>
          <w:color w:val="001F60"/>
          <w:spacing w:val="-6"/>
        </w:rPr>
        <w:t xml:space="preserve"> </w:t>
      </w:r>
      <w:r>
        <w:rPr>
          <w:rFonts w:ascii="Calibri" w:hAnsi="Calibri"/>
          <w:color w:val="001F60"/>
        </w:rPr>
        <w:t>às</w:t>
      </w:r>
      <w:r>
        <w:rPr>
          <w:rFonts w:ascii="Calibri" w:hAnsi="Calibri"/>
          <w:color w:val="001F60"/>
          <w:spacing w:val="-8"/>
        </w:rPr>
        <w:t xml:space="preserve"> </w:t>
      </w:r>
      <w:r>
        <w:rPr>
          <w:rFonts w:ascii="Calibri" w:hAnsi="Calibri"/>
          <w:color w:val="001F60"/>
        </w:rPr>
        <w:t>velocidades</w:t>
      </w:r>
      <w:r>
        <w:rPr>
          <w:rFonts w:ascii="Calibri" w:hAnsi="Calibri"/>
          <w:color w:val="001F60"/>
          <w:spacing w:val="-8"/>
        </w:rPr>
        <w:t xml:space="preserve"> </w:t>
      </w:r>
      <w:r>
        <w:rPr>
          <w:rFonts w:ascii="Calibri" w:hAnsi="Calibri"/>
          <w:color w:val="001F60"/>
        </w:rPr>
        <w:t>ofertadas,</w:t>
      </w:r>
      <w:r>
        <w:rPr>
          <w:rFonts w:ascii="Calibri" w:hAnsi="Calibri"/>
          <w:color w:val="001F60"/>
          <w:spacing w:val="-12"/>
        </w:rPr>
        <w:t xml:space="preserve"> </w:t>
      </w:r>
      <w:r>
        <w:rPr>
          <w:rFonts w:ascii="Calibri" w:hAnsi="Calibri"/>
          <w:color w:val="001F60"/>
        </w:rPr>
        <w:t>que</w:t>
      </w:r>
      <w:r>
        <w:rPr>
          <w:rFonts w:ascii="Calibri" w:hAnsi="Calibri"/>
          <w:color w:val="001F60"/>
          <w:spacing w:val="-6"/>
        </w:rPr>
        <w:t xml:space="preserve"> </w:t>
      </w:r>
      <w:r>
        <w:rPr>
          <w:rFonts w:ascii="Calibri" w:hAnsi="Calibri"/>
          <w:color w:val="001F60"/>
        </w:rPr>
        <w:t>podem</w:t>
      </w:r>
      <w:r>
        <w:rPr>
          <w:rFonts w:ascii="Calibri" w:hAnsi="Calibri"/>
          <w:color w:val="001F60"/>
          <w:spacing w:val="-6"/>
        </w:rPr>
        <w:t xml:space="preserve"> </w:t>
      </w:r>
      <w:r>
        <w:rPr>
          <w:rFonts w:ascii="Calibri" w:hAnsi="Calibri"/>
          <w:color w:val="001F60"/>
        </w:rPr>
        <w:t>ser</w:t>
      </w:r>
      <w:r>
        <w:rPr>
          <w:rFonts w:ascii="Calibri" w:hAnsi="Calibri"/>
          <w:color w:val="001F60"/>
          <w:spacing w:val="-6"/>
        </w:rPr>
        <w:t xml:space="preserve"> </w:t>
      </w:r>
      <w:r>
        <w:rPr>
          <w:rFonts w:ascii="Calibri" w:hAnsi="Calibri"/>
          <w:color w:val="001F60"/>
        </w:rPr>
        <w:t>de</w:t>
      </w:r>
      <w:r>
        <w:rPr>
          <w:rFonts w:ascii="Calibri" w:hAnsi="Calibri"/>
          <w:color w:val="001F60"/>
          <w:spacing w:val="-10"/>
        </w:rPr>
        <w:t xml:space="preserve"> </w:t>
      </w:r>
      <w:r>
        <w:rPr>
          <w:rFonts w:ascii="Calibri" w:hAnsi="Calibri"/>
          <w:color w:val="001F60"/>
        </w:rPr>
        <w:t>20</w:t>
      </w:r>
      <w:r>
        <w:rPr>
          <w:rFonts w:ascii="Calibri" w:hAnsi="Calibri"/>
          <w:color w:val="001F60"/>
          <w:spacing w:val="-8"/>
        </w:rPr>
        <w:t xml:space="preserve"> </w:t>
      </w:r>
      <w:r>
        <w:rPr>
          <w:rFonts w:ascii="Calibri" w:hAnsi="Calibri"/>
          <w:color w:val="001F60"/>
        </w:rPr>
        <w:t>Mbps,</w:t>
      </w:r>
      <w:r>
        <w:rPr>
          <w:rFonts w:ascii="Calibri" w:hAnsi="Calibri"/>
          <w:color w:val="001F60"/>
          <w:spacing w:val="-6"/>
        </w:rPr>
        <w:t xml:space="preserve"> </w:t>
      </w:r>
      <w:r>
        <w:rPr>
          <w:rFonts w:ascii="Calibri" w:hAnsi="Calibri"/>
          <w:color w:val="001F60"/>
        </w:rPr>
        <w:t>30</w:t>
      </w:r>
      <w:r>
        <w:rPr>
          <w:rFonts w:ascii="Calibri" w:hAnsi="Calibri"/>
          <w:color w:val="001F60"/>
          <w:spacing w:val="-8"/>
        </w:rPr>
        <w:t xml:space="preserve"> </w:t>
      </w:r>
      <w:r>
        <w:rPr>
          <w:rFonts w:ascii="Calibri" w:hAnsi="Calibri"/>
          <w:color w:val="001F60"/>
        </w:rPr>
        <w:t>Mbps,</w:t>
      </w:r>
      <w:r>
        <w:rPr>
          <w:rFonts w:ascii="Calibri" w:hAnsi="Calibri"/>
          <w:color w:val="001F60"/>
          <w:spacing w:val="-6"/>
        </w:rPr>
        <w:t xml:space="preserve"> </w:t>
      </w:r>
      <w:r>
        <w:rPr>
          <w:rFonts w:ascii="Calibri" w:hAnsi="Calibri"/>
          <w:color w:val="001F60"/>
        </w:rPr>
        <w:t>40</w:t>
      </w:r>
      <w:r>
        <w:rPr>
          <w:rFonts w:ascii="Calibri" w:hAnsi="Calibri"/>
          <w:color w:val="001F60"/>
          <w:spacing w:val="-8"/>
        </w:rPr>
        <w:t xml:space="preserve"> </w:t>
      </w:r>
      <w:r>
        <w:rPr>
          <w:rFonts w:ascii="Calibri" w:hAnsi="Calibri"/>
          <w:color w:val="001F60"/>
        </w:rPr>
        <w:t>Mbps, 40</w:t>
      </w:r>
      <w:r>
        <w:rPr>
          <w:rFonts w:ascii="Calibri" w:hAnsi="Calibri"/>
          <w:color w:val="001F60"/>
          <w:spacing w:val="-2"/>
        </w:rPr>
        <w:t xml:space="preserve"> </w:t>
      </w:r>
      <w:r>
        <w:rPr>
          <w:rFonts w:ascii="Calibri" w:hAnsi="Calibri"/>
          <w:color w:val="001F60"/>
        </w:rPr>
        <w:t>Mbps</w:t>
      </w:r>
      <w:r>
        <w:rPr>
          <w:rFonts w:ascii="Calibri" w:hAnsi="Calibri"/>
          <w:color w:val="001F60"/>
          <w:spacing w:val="-2"/>
        </w:rPr>
        <w:t xml:space="preserve"> </w:t>
      </w:r>
      <w:r>
        <w:rPr>
          <w:rFonts w:ascii="Calibri" w:hAnsi="Calibri"/>
          <w:color w:val="001F60"/>
        </w:rPr>
        <w:t>com</w:t>
      </w:r>
      <w:r>
        <w:rPr>
          <w:rFonts w:ascii="Calibri" w:hAnsi="Calibri"/>
          <w:color w:val="001F60"/>
          <w:spacing w:val="-2"/>
        </w:rPr>
        <w:t xml:space="preserve"> </w:t>
      </w:r>
      <w:r>
        <w:rPr>
          <w:rFonts w:ascii="Calibri" w:hAnsi="Calibri"/>
          <w:color w:val="001F60"/>
        </w:rPr>
        <w:t>Wi-Fi</w:t>
      </w:r>
      <w:r>
        <w:rPr>
          <w:rFonts w:ascii="Calibri" w:hAnsi="Calibri"/>
          <w:color w:val="001F60"/>
          <w:spacing w:val="-4"/>
        </w:rPr>
        <w:t xml:space="preserve"> </w:t>
      </w:r>
      <w:r>
        <w:rPr>
          <w:rFonts w:ascii="Calibri" w:hAnsi="Calibri"/>
          <w:color w:val="001F60"/>
        </w:rPr>
        <w:t>externo</w:t>
      </w:r>
      <w:r>
        <w:rPr>
          <w:rFonts w:ascii="Calibri" w:hAnsi="Calibri"/>
          <w:color w:val="001F60"/>
          <w:spacing w:val="-2"/>
        </w:rPr>
        <w:t xml:space="preserve"> </w:t>
      </w:r>
      <w:r>
        <w:rPr>
          <w:rFonts w:ascii="Calibri" w:hAnsi="Calibri"/>
          <w:color w:val="001F60"/>
        </w:rPr>
        <w:t>e</w:t>
      </w:r>
      <w:r>
        <w:rPr>
          <w:rFonts w:ascii="Calibri" w:hAnsi="Calibri"/>
          <w:color w:val="001F60"/>
          <w:spacing w:val="-1"/>
        </w:rPr>
        <w:t xml:space="preserve"> </w:t>
      </w:r>
      <w:r>
        <w:rPr>
          <w:rFonts w:ascii="Calibri" w:hAnsi="Calibri"/>
          <w:color w:val="001F60"/>
        </w:rPr>
        <w:t>60</w:t>
      </w:r>
      <w:r>
        <w:rPr>
          <w:rFonts w:ascii="Calibri" w:hAnsi="Calibri"/>
          <w:color w:val="001F60"/>
          <w:spacing w:val="-2"/>
        </w:rPr>
        <w:t xml:space="preserve"> </w:t>
      </w:r>
      <w:r>
        <w:rPr>
          <w:rFonts w:ascii="Calibri" w:hAnsi="Calibri"/>
          <w:color w:val="001F60"/>
        </w:rPr>
        <w:t>Mbps</w:t>
      </w:r>
      <w:r>
        <w:rPr>
          <w:rFonts w:ascii="Calibri" w:hAnsi="Calibri"/>
          <w:color w:val="001F60"/>
          <w:spacing w:val="-4"/>
        </w:rPr>
        <w:t xml:space="preserve"> </w:t>
      </w:r>
      <w:r>
        <w:rPr>
          <w:rFonts w:ascii="Calibri" w:hAnsi="Calibri"/>
          <w:color w:val="001F60"/>
        </w:rPr>
        <w:t>com</w:t>
      </w:r>
      <w:r>
        <w:rPr>
          <w:rFonts w:ascii="Calibri" w:hAnsi="Calibri"/>
          <w:color w:val="001F60"/>
          <w:spacing w:val="-4"/>
        </w:rPr>
        <w:t xml:space="preserve"> </w:t>
      </w:r>
      <w:r>
        <w:rPr>
          <w:rFonts w:ascii="Calibri" w:hAnsi="Calibri"/>
          <w:color w:val="001F60"/>
        </w:rPr>
        <w:t>Wi-Fi</w:t>
      </w:r>
      <w:r>
        <w:rPr>
          <w:rFonts w:ascii="Calibri" w:hAnsi="Calibri"/>
          <w:color w:val="001F60"/>
          <w:spacing w:val="-4"/>
        </w:rPr>
        <w:t xml:space="preserve"> </w:t>
      </w:r>
      <w:r>
        <w:rPr>
          <w:rFonts w:ascii="Calibri" w:hAnsi="Calibri"/>
          <w:color w:val="001F60"/>
        </w:rPr>
        <w:t>externo, consideravelmente</w:t>
      </w:r>
      <w:r>
        <w:rPr>
          <w:rFonts w:ascii="Calibri" w:hAnsi="Calibri"/>
          <w:color w:val="001F60"/>
          <w:spacing w:val="-2"/>
        </w:rPr>
        <w:t xml:space="preserve"> </w:t>
      </w:r>
      <w:r>
        <w:rPr>
          <w:rFonts w:ascii="Calibri" w:hAnsi="Calibri"/>
          <w:color w:val="001F60"/>
        </w:rPr>
        <w:t>superiores</w:t>
      </w:r>
      <w:r>
        <w:rPr>
          <w:rFonts w:ascii="Calibri" w:hAnsi="Calibri"/>
          <w:color w:val="001F60"/>
          <w:spacing w:val="-4"/>
        </w:rPr>
        <w:t xml:space="preserve"> </w:t>
      </w:r>
      <w:r>
        <w:rPr>
          <w:rFonts w:ascii="Calibri" w:hAnsi="Calibri"/>
          <w:color w:val="001F60"/>
        </w:rPr>
        <w:t>ao</w:t>
      </w:r>
      <w:r>
        <w:rPr>
          <w:rFonts w:ascii="Calibri" w:hAnsi="Calibri"/>
          <w:color w:val="001F60"/>
          <w:spacing w:val="-1"/>
        </w:rPr>
        <w:t xml:space="preserve"> </w:t>
      </w:r>
      <w:r>
        <w:rPr>
          <w:rFonts w:ascii="Calibri" w:hAnsi="Calibri"/>
          <w:color w:val="001F60"/>
        </w:rPr>
        <w:t>limite</w:t>
      </w:r>
      <w:r>
        <w:rPr>
          <w:rFonts w:ascii="Calibri" w:hAnsi="Calibri"/>
          <w:color w:val="001F60"/>
          <w:spacing w:val="-4"/>
        </w:rPr>
        <w:t xml:space="preserve"> </w:t>
      </w:r>
      <w:r>
        <w:rPr>
          <w:rFonts w:ascii="Calibri" w:hAnsi="Calibri"/>
          <w:color w:val="001F60"/>
        </w:rPr>
        <w:t>de 20 Mbps do contrato anterior, o que promove a ampliação da qualidade do serviço prestado.</w:t>
      </w:r>
    </w:p>
    <w:p w14:paraId="38094ACB" w14:textId="77777777" w:rsidR="002C6574" w:rsidRDefault="00000000">
      <w:pPr>
        <w:pStyle w:val="Corpodetexto"/>
        <w:spacing w:before="121"/>
        <w:ind w:left="709" w:right="280"/>
        <w:jc w:val="both"/>
        <w:rPr>
          <w:rFonts w:ascii="Calibri" w:hAnsi="Calibri"/>
        </w:rPr>
      </w:pPr>
      <w:r>
        <w:rPr>
          <w:rFonts w:ascii="Calibri" w:hAnsi="Calibri"/>
          <w:color w:val="001F60"/>
        </w:rPr>
        <w:t>A representação visual a seguir ilustra o acompanhamento acumulado do projeto GESAC em 2025, conforme demandado pelo MCom.</w:t>
      </w:r>
    </w:p>
    <w:p w14:paraId="57872749" w14:textId="77777777" w:rsidR="002C6574" w:rsidRDefault="00000000">
      <w:pPr>
        <w:pStyle w:val="Ttulo5"/>
        <w:spacing w:before="272"/>
      </w:pPr>
      <w:r>
        <w:rPr>
          <w:color w:val="595959"/>
        </w:rPr>
        <w:t>Total</w:t>
      </w:r>
      <w:r>
        <w:rPr>
          <w:color w:val="595959"/>
          <w:spacing w:val="-14"/>
        </w:rPr>
        <w:t xml:space="preserve"> </w:t>
      </w:r>
      <w:r>
        <w:rPr>
          <w:color w:val="595959"/>
        </w:rPr>
        <w:t>de</w:t>
      </w:r>
      <w:r>
        <w:rPr>
          <w:color w:val="595959"/>
          <w:spacing w:val="-13"/>
        </w:rPr>
        <w:t xml:space="preserve"> </w:t>
      </w:r>
      <w:r>
        <w:rPr>
          <w:color w:val="595959"/>
        </w:rPr>
        <w:t>Instalações</w:t>
      </w:r>
      <w:r>
        <w:rPr>
          <w:color w:val="595959"/>
          <w:spacing w:val="-12"/>
        </w:rPr>
        <w:t xml:space="preserve"> </w:t>
      </w:r>
      <w:r>
        <w:rPr>
          <w:color w:val="595959"/>
        </w:rPr>
        <w:t>GESAC</w:t>
      </w:r>
      <w:r>
        <w:rPr>
          <w:color w:val="595959"/>
          <w:spacing w:val="-14"/>
        </w:rPr>
        <w:t xml:space="preserve"> </w:t>
      </w:r>
      <w:r>
        <w:rPr>
          <w:color w:val="595959"/>
        </w:rPr>
        <w:t>-</w:t>
      </w:r>
      <w:r>
        <w:rPr>
          <w:color w:val="595959"/>
          <w:spacing w:val="-12"/>
        </w:rPr>
        <w:t xml:space="preserve"> </w:t>
      </w:r>
      <w:r>
        <w:rPr>
          <w:color w:val="595959"/>
          <w:spacing w:val="-2"/>
        </w:rPr>
        <w:t>Acumulado</w:t>
      </w:r>
    </w:p>
    <w:p w14:paraId="76FAF7AE" w14:textId="77777777" w:rsidR="002C6574" w:rsidRDefault="00000000">
      <w:pPr>
        <w:tabs>
          <w:tab w:val="left" w:pos="4380"/>
          <w:tab w:val="left" w:pos="5040"/>
          <w:tab w:val="left" w:pos="5697"/>
          <w:tab w:val="left" w:pos="6357"/>
          <w:tab w:val="left" w:pos="7015"/>
          <w:tab w:val="left" w:pos="7675"/>
        </w:tabs>
        <w:spacing w:before="127"/>
        <w:ind w:left="3722"/>
        <w:jc w:val="center"/>
        <w:rPr>
          <w:rFonts w:ascii="Calibri"/>
          <w:b/>
          <w:position w:val="2"/>
          <w:sz w:val="18"/>
        </w:rPr>
      </w:pPr>
      <w:r>
        <w:rPr>
          <w:rFonts w:ascii="Calibri"/>
          <w:b/>
          <w:color w:val="3F3F3F"/>
          <w:spacing w:val="-2"/>
          <w:position w:val="-7"/>
          <w:sz w:val="18"/>
        </w:rPr>
        <w:t>12533</w:t>
      </w:r>
      <w:r>
        <w:rPr>
          <w:rFonts w:ascii="Calibri"/>
          <w:b/>
          <w:color w:val="3F3F3F"/>
          <w:position w:val="-7"/>
          <w:sz w:val="18"/>
        </w:rPr>
        <w:tab/>
      </w:r>
      <w:r>
        <w:rPr>
          <w:rFonts w:ascii="Calibri"/>
          <w:b/>
          <w:color w:val="3F3F3F"/>
          <w:spacing w:val="-2"/>
          <w:position w:val="-1"/>
          <w:sz w:val="18"/>
        </w:rPr>
        <w:t>12628</w:t>
      </w:r>
      <w:r>
        <w:rPr>
          <w:rFonts w:ascii="Calibri"/>
          <w:b/>
          <w:color w:val="3F3F3F"/>
          <w:position w:val="-1"/>
          <w:sz w:val="18"/>
        </w:rPr>
        <w:tab/>
      </w:r>
      <w:r>
        <w:rPr>
          <w:rFonts w:ascii="Calibri"/>
          <w:b/>
          <w:color w:val="3F3F3F"/>
          <w:spacing w:val="-4"/>
          <w:sz w:val="18"/>
        </w:rPr>
        <w:t>12666</w:t>
      </w:r>
      <w:r>
        <w:rPr>
          <w:rFonts w:ascii="Calibri"/>
          <w:b/>
          <w:color w:val="3F3F3F"/>
          <w:sz w:val="18"/>
        </w:rPr>
        <w:tab/>
      </w:r>
      <w:r>
        <w:rPr>
          <w:rFonts w:ascii="Calibri"/>
          <w:b/>
          <w:color w:val="3F3F3F"/>
          <w:spacing w:val="-4"/>
          <w:position w:val="1"/>
          <w:sz w:val="18"/>
        </w:rPr>
        <w:t>12680</w:t>
      </w:r>
      <w:r>
        <w:rPr>
          <w:rFonts w:ascii="Calibri"/>
          <w:b/>
          <w:color w:val="3F3F3F"/>
          <w:position w:val="1"/>
          <w:sz w:val="18"/>
        </w:rPr>
        <w:tab/>
      </w:r>
      <w:r>
        <w:rPr>
          <w:rFonts w:ascii="Calibri"/>
          <w:b/>
          <w:color w:val="3F3F3F"/>
          <w:spacing w:val="-2"/>
          <w:position w:val="2"/>
          <w:sz w:val="18"/>
        </w:rPr>
        <w:t>12691</w:t>
      </w:r>
      <w:r>
        <w:rPr>
          <w:rFonts w:ascii="Calibri"/>
          <w:b/>
          <w:color w:val="3F3F3F"/>
          <w:position w:val="2"/>
          <w:sz w:val="18"/>
        </w:rPr>
        <w:tab/>
      </w:r>
      <w:r>
        <w:rPr>
          <w:rFonts w:ascii="Calibri"/>
          <w:b/>
          <w:color w:val="3F3F3F"/>
          <w:spacing w:val="-2"/>
          <w:position w:val="2"/>
          <w:sz w:val="18"/>
        </w:rPr>
        <w:t>12698</w:t>
      </w:r>
      <w:r>
        <w:rPr>
          <w:rFonts w:ascii="Calibri"/>
          <w:b/>
          <w:color w:val="3F3F3F"/>
          <w:position w:val="2"/>
          <w:sz w:val="18"/>
        </w:rPr>
        <w:tab/>
      </w:r>
      <w:r>
        <w:rPr>
          <w:rFonts w:ascii="Calibri"/>
          <w:b/>
          <w:color w:val="3F3F3F"/>
          <w:spacing w:val="-2"/>
          <w:position w:val="2"/>
          <w:sz w:val="18"/>
        </w:rPr>
        <w:t>12703</w:t>
      </w:r>
    </w:p>
    <w:p w14:paraId="14FCB816" w14:textId="77777777" w:rsidR="002C6574" w:rsidRDefault="00000000">
      <w:pPr>
        <w:pStyle w:val="Corpodetexto"/>
        <w:ind w:left="1284"/>
        <w:rPr>
          <w:rFonts w:ascii="Calibri"/>
          <w:sz w:val="20"/>
        </w:rPr>
      </w:pPr>
      <w:r>
        <w:rPr>
          <w:rFonts w:ascii="Calibri"/>
          <w:noProof/>
          <w:sz w:val="20"/>
        </w:rPr>
        <mc:AlternateContent>
          <mc:Choice Requires="wpg">
            <w:drawing>
              <wp:inline distT="0" distB="0" distL="0" distR="0" wp14:anchorId="7F5C850A" wp14:editId="1B68BCC2">
                <wp:extent cx="5021580" cy="681355"/>
                <wp:effectExtent l="9525" t="0" r="0" b="4445"/>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1580" cy="681355"/>
                          <a:chOff x="0" y="0"/>
                          <a:chExt cx="5021580" cy="681355"/>
                        </a:xfrm>
                      </wpg:grpSpPr>
                      <wps:wsp>
                        <wps:cNvPr id="79" name="Graphic 79"/>
                        <wps:cNvSpPr/>
                        <wps:spPr>
                          <a:xfrm>
                            <a:off x="134099" y="0"/>
                            <a:ext cx="4752340" cy="676910"/>
                          </a:xfrm>
                          <a:custGeom>
                            <a:avLst/>
                            <a:gdLst/>
                            <a:ahLst/>
                            <a:cxnLst/>
                            <a:rect l="l" t="t" r="r" b="b"/>
                            <a:pathLst>
                              <a:path w="4752340" h="676910">
                                <a:moveTo>
                                  <a:pt x="149352" y="435864"/>
                                </a:moveTo>
                                <a:lnTo>
                                  <a:pt x="0" y="435864"/>
                                </a:lnTo>
                                <a:lnTo>
                                  <a:pt x="0" y="676656"/>
                                </a:lnTo>
                                <a:lnTo>
                                  <a:pt x="149352" y="676656"/>
                                </a:lnTo>
                                <a:lnTo>
                                  <a:pt x="149352" y="435864"/>
                                </a:lnTo>
                                <a:close/>
                              </a:path>
                              <a:path w="4752340" h="676910">
                                <a:moveTo>
                                  <a:pt x="566928" y="411480"/>
                                </a:moveTo>
                                <a:lnTo>
                                  <a:pt x="417576" y="411480"/>
                                </a:lnTo>
                                <a:lnTo>
                                  <a:pt x="417576" y="676656"/>
                                </a:lnTo>
                                <a:lnTo>
                                  <a:pt x="566928" y="676656"/>
                                </a:lnTo>
                                <a:lnTo>
                                  <a:pt x="566928" y="411480"/>
                                </a:lnTo>
                                <a:close/>
                              </a:path>
                              <a:path w="4752340" h="676910">
                                <a:moveTo>
                                  <a:pt x="986028" y="384048"/>
                                </a:moveTo>
                                <a:lnTo>
                                  <a:pt x="836676" y="384048"/>
                                </a:lnTo>
                                <a:lnTo>
                                  <a:pt x="836676" y="676656"/>
                                </a:lnTo>
                                <a:lnTo>
                                  <a:pt x="986028" y="676656"/>
                                </a:lnTo>
                                <a:lnTo>
                                  <a:pt x="986028" y="384048"/>
                                </a:lnTo>
                                <a:close/>
                              </a:path>
                              <a:path w="4752340" h="676910">
                                <a:moveTo>
                                  <a:pt x="1403604" y="368808"/>
                                </a:moveTo>
                                <a:lnTo>
                                  <a:pt x="1254252" y="368808"/>
                                </a:lnTo>
                                <a:lnTo>
                                  <a:pt x="1254252" y="676656"/>
                                </a:lnTo>
                                <a:lnTo>
                                  <a:pt x="1403604" y="676656"/>
                                </a:lnTo>
                                <a:lnTo>
                                  <a:pt x="1403604" y="368808"/>
                                </a:lnTo>
                                <a:close/>
                              </a:path>
                              <a:path w="4752340" h="676910">
                                <a:moveTo>
                                  <a:pt x="1822716" y="300228"/>
                                </a:moveTo>
                                <a:lnTo>
                                  <a:pt x="1673352" y="300228"/>
                                </a:lnTo>
                                <a:lnTo>
                                  <a:pt x="1673352" y="676656"/>
                                </a:lnTo>
                                <a:lnTo>
                                  <a:pt x="1822716" y="676656"/>
                                </a:lnTo>
                                <a:lnTo>
                                  <a:pt x="1822716" y="300228"/>
                                </a:lnTo>
                                <a:close/>
                              </a:path>
                              <a:path w="4752340" h="676910">
                                <a:moveTo>
                                  <a:pt x="2241816" y="67056"/>
                                </a:moveTo>
                                <a:lnTo>
                                  <a:pt x="2090940" y="67056"/>
                                </a:lnTo>
                                <a:lnTo>
                                  <a:pt x="2090940" y="676656"/>
                                </a:lnTo>
                                <a:lnTo>
                                  <a:pt x="2241816" y="676656"/>
                                </a:lnTo>
                                <a:lnTo>
                                  <a:pt x="2241816" y="67056"/>
                                </a:lnTo>
                                <a:close/>
                              </a:path>
                              <a:path w="4752340" h="676910">
                                <a:moveTo>
                                  <a:pt x="2659392" y="30480"/>
                                </a:moveTo>
                                <a:lnTo>
                                  <a:pt x="2510028" y="30480"/>
                                </a:lnTo>
                                <a:lnTo>
                                  <a:pt x="2510028" y="676656"/>
                                </a:lnTo>
                                <a:lnTo>
                                  <a:pt x="2659392" y="676656"/>
                                </a:lnTo>
                                <a:lnTo>
                                  <a:pt x="2659392" y="30480"/>
                                </a:lnTo>
                                <a:close/>
                              </a:path>
                              <a:path w="4752340" h="676910">
                                <a:moveTo>
                                  <a:pt x="3078492" y="15240"/>
                                </a:moveTo>
                                <a:lnTo>
                                  <a:pt x="2929128" y="15240"/>
                                </a:lnTo>
                                <a:lnTo>
                                  <a:pt x="2929128" y="676656"/>
                                </a:lnTo>
                                <a:lnTo>
                                  <a:pt x="3078492" y="676656"/>
                                </a:lnTo>
                                <a:lnTo>
                                  <a:pt x="3078492" y="15240"/>
                                </a:lnTo>
                                <a:close/>
                              </a:path>
                              <a:path w="4752340" h="676910">
                                <a:moveTo>
                                  <a:pt x="3496068" y="9144"/>
                                </a:moveTo>
                                <a:lnTo>
                                  <a:pt x="3346704" y="9144"/>
                                </a:lnTo>
                                <a:lnTo>
                                  <a:pt x="3346704" y="676656"/>
                                </a:lnTo>
                                <a:lnTo>
                                  <a:pt x="3496068" y="676656"/>
                                </a:lnTo>
                                <a:lnTo>
                                  <a:pt x="3496068" y="9144"/>
                                </a:lnTo>
                                <a:close/>
                              </a:path>
                              <a:path w="4752340" h="676910">
                                <a:moveTo>
                                  <a:pt x="3915168" y="4572"/>
                                </a:moveTo>
                                <a:lnTo>
                                  <a:pt x="3765804" y="4572"/>
                                </a:lnTo>
                                <a:lnTo>
                                  <a:pt x="3765804" y="676656"/>
                                </a:lnTo>
                                <a:lnTo>
                                  <a:pt x="3915168" y="676656"/>
                                </a:lnTo>
                                <a:lnTo>
                                  <a:pt x="3915168" y="4572"/>
                                </a:lnTo>
                                <a:close/>
                              </a:path>
                              <a:path w="4752340" h="676910">
                                <a:moveTo>
                                  <a:pt x="4332744" y="3048"/>
                                </a:moveTo>
                                <a:lnTo>
                                  <a:pt x="4183392" y="3048"/>
                                </a:lnTo>
                                <a:lnTo>
                                  <a:pt x="4183392" y="676656"/>
                                </a:lnTo>
                                <a:lnTo>
                                  <a:pt x="4332744" y="676656"/>
                                </a:lnTo>
                                <a:lnTo>
                                  <a:pt x="4332744" y="3048"/>
                                </a:lnTo>
                                <a:close/>
                              </a:path>
                              <a:path w="4752340" h="676910">
                                <a:moveTo>
                                  <a:pt x="4751844" y="0"/>
                                </a:moveTo>
                                <a:lnTo>
                                  <a:pt x="4602492" y="0"/>
                                </a:lnTo>
                                <a:lnTo>
                                  <a:pt x="4602492" y="676656"/>
                                </a:lnTo>
                                <a:lnTo>
                                  <a:pt x="4751844" y="676656"/>
                                </a:lnTo>
                                <a:lnTo>
                                  <a:pt x="4751844" y="0"/>
                                </a:lnTo>
                                <a:close/>
                              </a:path>
                            </a:pathLst>
                          </a:custGeom>
                          <a:solidFill>
                            <a:srgbClr val="70A1DB"/>
                          </a:solidFill>
                        </wps:spPr>
                        <wps:bodyPr wrap="square" lIns="0" tIns="0" rIns="0" bIns="0" rtlCol="0">
                          <a:prstTxWarp prst="textNoShape">
                            <a:avLst/>
                          </a:prstTxWarp>
                          <a:noAutofit/>
                        </wps:bodyPr>
                      </wps:wsp>
                      <wps:wsp>
                        <wps:cNvPr id="80" name="Graphic 80"/>
                        <wps:cNvSpPr/>
                        <wps:spPr>
                          <a:xfrm>
                            <a:off x="0" y="676656"/>
                            <a:ext cx="5021580" cy="1270"/>
                          </a:xfrm>
                          <a:custGeom>
                            <a:avLst/>
                            <a:gdLst/>
                            <a:ahLst/>
                            <a:cxnLst/>
                            <a:rect l="l" t="t" r="r" b="b"/>
                            <a:pathLst>
                              <a:path w="5021580">
                                <a:moveTo>
                                  <a:pt x="0" y="0"/>
                                </a:moveTo>
                                <a:lnTo>
                                  <a:pt x="5021580" y="0"/>
                                </a:lnTo>
                              </a:path>
                            </a:pathLst>
                          </a:custGeom>
                          <a:ln w="9144">
                            <a:solidFill>
                              <a:srgbClr val="D8D8D8"/>
                            </a:solidFill>
                            <a:prstDash val="solid"/>
                          </a:ln>
                        </wps:spPr>
                        <wps:bodyPr wrap="square" lIns="0" tIns="0" rIns="0" bIns="0" rtlCol="0">
                          <a:prstTxWarp prst="textNoShape">
                            <a:avLst/>
                          </a:prstTxWarp>
                          <a:noAutofit/>
                        </wps:bodyPr>
                      </wps:wsp>
                      <wps:wsp>
                        <wps:cNvPr id="81" name="Textbox 81"/>
                        <wps:cNvSpPr txBox="1"/>
                        <wps:spPr>
                          <a:xfrm>
                            <a:off x="64013" y="261759"/>
                            <a:ext cx="302895" cy="114300"/>
                          </a:xfrm>
                          <a:prstGeom prst="rect">
                            <a:avLst/>
                          </a:prstGeom>
                        </wps:spPr>
                        <wps:txbx>
                          <w:txbxContent>
                            <w:p w14:paraId="49470A7E" w14:textId="77777777" w:rsidR="002C6574" w:rsidRDefault="00000000">
                              <w:pPr>
                                <w:spacing w:line="180" w:lineRule="exact"/>
                                <w:rPr>
                                  <w:rFonts w:ascii="Calibri"/>
                                  <w:b/>
                                  <w:sz w:val="18"/>
                                </w:rPr>
                              </w:pPr>
                              <w:r>
                                <w:rPr>
                                  <w:rFonts w:ascii="Calibri"/>
                                  <w:b/>
                                  <w:color w:val="3F3F3F"/>
                                  <w:spacing w:val="-2"/>
                                  <w:sz w:val="18"/>
                                </w:rPr>
                                <w:t>11604</w:t>
                              </w:r>
                            </w:p>
                          </w:txbxContent>
                        </wps:txbx>
                        <wps:bodyPr wrap="square" lIns="0" tIns="0" rIns="0" bIns="0" rtlCol="0">
                          <a:noAutofit/>
                        </wps:bodyPr>
                      </wps:wsp>
                      <wps:wsp>
                        <wps:cNvPr id="82" name="Textbox 82"/>
                        <wps:cNvSpPr txBox="1"/>
                        <wps:spPr>
                          <a:xfrm>
                            <a:off x="483094" y="237377"/>
                            <a:ext cx="302895" cy="114300"/>
                          </a:xfrm>
                          <a:prstGeom prst="rect">
                            <a:avLst/>
                          </a:prstGeom>
                        </wps:spPr>
                        <wps:txbx>
                          <w:txbxContent>
                            <w:p w14:paraId="1ADB75A0" w14:textId="77777777" w:rsidR="002C6574" w:rsidRDefault="00000000">
                              <w:pPr>
                                <w:spacing w:line="180" w:lineRule="exact"/>
                                <w:rPr>
                                  <w:rFonts w:ascii="Calibri"/>
                                  <w:b/>
                                  <w:sz w:val="18"/>
                                </w:rPr>
                              </w:pPr>
                              <w:r>
                                <w:rPr>
                                  <w:rFonts w:ascii="Calibri"/>
                                  <w:b/>
                                  <w:color w:val="3F3F3F"/>
                                  <w:spacing w:val="-2"/>
                                  <w:sz w:val="18"/>
                                </w:rPr>
                                <w:t>11667</w:t>
                              </w:r>
                            </w:p>
                          </w:txbxContent>
                        </wps:txbx>
                        <wps:bodyPr wrap="square" lIns="0" tIns="0" rIns="0" bIns="0" rtlCol="0">
                          <a:noAutofit/>
                        </wps:bodyPr>
                      </wps:wsp>
                      <wps:wsp>
                        <wps:cNvPr id="83" name="Textbox 83"/>
                        <wps:cNvSpPr txBox="1"/>
                        <wps:spPr>
                          <a:xfrm>
                            <a:off x="900667" y="209890"/>
                            <a:ext cx="302895" cy="114300"/>
                          </a:xfrm>
                          <a:prstGeom prst="rect">
                            <a:avLst/>
                          </a:prstGeom>
                        </wps:spPr>
                        <wps:txbx>
                          <w:txbxContent>
                            <w:p w14:paraId="52E27871" w14:textId="77777777" w:rsidR="002C6574" w:rsidRDefault="00000000">
                              <w:pPr>
                                <w:spacing w:line="180" w:lineRule="exact"/>
                                <w:rPr>
                                  <w:rFonts w:ascii="Calibri"/>
                                  <w:b/>
                                  <w:sz w:val="18"/>
                                </w:rPr>
                              </w:pPr>
                              <w:r>
                                <w:rPr>
                                  <w:rFonts w:ascii="Calibri"/>
                                  <w:b/>
                                  <w:color w:val="3F3F3F"/>
                                  <w:spacing w:val="-2"/>
                                  <w:sz w:val="18"/>
                                </w:rPr>
                                <w:t>11734</w:t>
                              </w:r>
                            </w:p>
                          </w:txbxContent>
                        </wps:txbx>
                        <wps:bodyPr wrap="square" lIns="0" tIns="0" rIns="0" bIns="0" rtlCol="0">
                          <a:noAutofit/>
                        </wps:bodyPr>
                      </wps:wsp>
                      <wps:wsp>
                        <wps:cNvPr id="84" name="Textbox 84"/>
                        <wps:cNvSpPr txBox="1"/>
                        <wps:spPr>
                          <a:xfrm>
                            <a:off x="1319803" y="194681"/>
                            <a:ext cx="302895" cy="114300"/>
                          </a:xfrm>
                          <a:prstGeom prst="rect">
                            <a:avLst/>
                          </a:prstGeom>
                        </wps:spPr>
                        <wps:txbx>
                          <w:txbxContent>
                            <w:p w14:paraId="2DCB6B81" w14:textId="77777777" w:rsidR="002C6574" w:rsidRDefault="00000000">
                              <w:pPr>
                                <w:spacing w:line="180" w:lineRule="exact"/>
                                <w:rPr>
                                  <w:rFonts w:ascii="Calibri"/>
                                  <w:b/>
                                  <w:sz w:val="18"/>
                                </w:rPr>
                              </w:pPr>
                              <w:r>
                                <w:rPr>
                                  <w:rFonts w:ascii="Calibri"/>
                                  <w:b/>
                                  <w:color w:val="3F3F3F"/>
                                  <w:spacing w:val="-2"/>
                                  <w:sz w:val="18"/>
                                </w:rPr>
                                <w:t>11773</w:t>
                              </w:r>
                            </w:p>
                          </w:txbxContent>
                        </wps:txbx>
                        <wps:bodyPr wrap="square" lIns="0" tIns="0" rIns="0" bIns="0" rtlCol="0">
                          <a:noAutofit/>
                        </wps:bodyPr>
                      </wps:wsp>
                      <wps:wsp>
                        <wps:cNvPr id="85" name="Textbox 85"/>
                        <wps:cNvSpPr txBox="1"/>
                        <wps:spPr>
                          <a:xfrm>
                            <a:off x="1737377" y="126070"/>
                            <a:ext cx="302895" cy="114300"/>
                          </a:xfrm>
                          <a:prstGeom prst="rect">
                            <a:avLst/>
                          </a:prstGeom>
                        </wps:spPr>
                        <wps:txbx>
                          <w:txbxContent>
                            <w:p w14:paraId="3137E889" w14:textId="77777777" w:rsidR="002C6574" w:rsidRDefault="00000000">
                              <w:pPr>
                                <w:spacing w:line="180" w:lineRule="exact"/>
                                <w:rPr>
                                  <w:rFonts w:ascii="Calibri"/>
                                  <w:b/>
                                  <w:sz w:val="18"/>
                                </w:rPr>
                              </w:pPr>
                              <w:r>
                                <w:rPr>
                                  <w:rFonts w:ascii="Calibri"/>
                                  <w:b/>
                                  <w:color w:val="3F3F3F"/>
                                  <w:spacing w:val="-2"/>
                                  <w:sz w:val="18"/>
                                </w:rPr>
                                <w:t>11947</w:t>
                              </w:r>
                            </w:p>
                          </w:txbxContent>
                        </wps:txbx>
                        <wps:bodyPr wrap="square" lIns="0" tIns="0" rIns="0" bIns="0" rtlCol="0">
                          <a:noAutofit/>
                        </wps:bodyPr>
                      </wps:wsp>
                    </wpg:wgp>
                  </a:graphicData>
                </a:graphic>
              </wp:inline>
            </w:drawing>
          </mc:Choice>
          <mc:Fallback>
            <w:pict>
              <v:group w14:anchorId="7F5C850A" id="Group 78" o:spid="_x0000_s1029" style="width:395.4pt;height:53.65pt;mso-position-horizontal-relative:char;mso-position-vertical-relative:line" coordsize="50215,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">
                <v:shape id="Graphic 79" o:spid="_x0000_s1030" style="position:absolute;left:1340;width:47524;height:6769;visibility:visible;mso-wrap-style:square;v-text-anchor:top" coordsize="4752340,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" path="m149352,435864l,435864,,676656r149352,l149352,435864xem566928,411480r-149352,l417576,676656r149352,l566928,411480xem986028,384048r-149352,l836676,676656r149352,l986028,384048xem1403604,368808r-149352,l1254252,676656r149352,l1403604,368808xem1822716,300228r-149364,l1673352,676656r149364,l1822716,300228xem2241816,67056r-150876,l2090940,676656r150876,l2241816,67056xem2659392,30480r-149364,l2510028,676656r149364,l2659392,30480xem3078492,15240r-149364,l2929128,676656r149364,l3078492,15240xem3496068,9144r-149364,l3346704,676656r149364,l3496068,9144xem3915168,4572r-149364,l3765804,676656r149364,l3915168,4572xem4332744,3048r-149352,l4183392,676656r149352,l4332744,3048xem4751844,l4602492,r,676656l4751844,676656,4751844,xe" fillcolor="#70a1db" stroked="f">
                  <v:path arrowok="t"/>
                </v:shape>
                <v:shape id="Graphic 80" o:spid="_x0000_s1031" style="position:absolute;top:6766;width:50215;height:13;visibility:visible;mso-wrap-style:square;v-text-anchor:top" coordsize="5021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" path="m,l5021580,e" filled="f" strokecolor="#d8d8d8" strokeweight=".72pt">
                  <v:path arrowok="t"/>
                </v:shape>
                <v:shape id="Textbox 81" o:spid="_x0000_s1032" type="#_x0000_t202" style="position:absolute;left:640;top:2617;width:30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9470A7E" w14:textId="77777777" w:rsidR="002C6574" w:rsidRDefault="00000000">
                        <w:pPr>
                          <w:spacing w:line="180" w:lineRule="exact"/>
                          <w:rPr>
                            <w:rFonts w:ascii="Calibri"/>
                            <w:b/>
                            <w:sz w:val="18"/>
                          </w:rPr>
                        </w:pPr>
                        <w:r>
                          <w:rPr>
                            <w:rFonts w:ascii="Calibri"/>
                            <w:b/>
                            <w:color w:val="3F3F3F"/>
                            <w:spacing w:val="-2"/>
                            <w:sz w:val="18"/>
                          </w:rPr>
                          <w:t>11604</w:t>
                        </w:r>
                      </w:p>
                    </w:txbxContent>
                  </v:textbox>
                </v:shape>
                <v:shape id="Textbox 82" o:spid="_x0000_s1033" type="#_x0000_t202" style="position:absolute;left:4830;top:2373;width:30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ADB75A0" w14:textId="77777777" w:rsidR="002C6574" w:rsidRDefault="00000000">
                        <w:pPr>
                          <w:spacing w:line="180" w:lineRule="exact"/>
                          <w:rPr>
                            <w:rFonts w:ascii="Calibri"/>
                            <w:b/>
                            <w:sz w:val="18"/>
                          </w:rPr>
                        </w:pPr>
                        <w:r>
                          <w:rPr>
                            <w:rFonts w:ascii="Calibri"/>
                            <w:b/>
                            <w:color w:val="3F3F3F"/>
                            <w:spacing w:val="-2"/>
                            <w:sz w:val="18"/>
                          </w:rPr>
                          <w:t>11667</w:t>
                        </w:r>
                      </w:p>
                    </w:txbxContent>
                  </v:textbox>
                </v:shape>
                <v:shape id="Textbox 83" o:spid="_x0000_s1034" type="#_x0000_t202" style="position:absolute;left:9006;top:2098;width:30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2E27871" w14:textId="77777777" w:rsidR="002C6574" w:rsidRDefault="00000000">
                        <w:pPr>
                          <w:spacing w:line="180" w:lineRule="exact"/>
                          <w:rPr>
                            <w:rFonts w:ascii="Calibri"/>
                            <w:b/>
                            <w:sz w:val="18"/>
                          </w:rPr>
                        </w:pPr>
                        <w:r>
                          <w:rPr>
                            <w:rFonts w:ascii="Calibri"/>
                            <w:b/>
                            <w:color w:val="3F3F3F"/>
                            <w:spacing w:val="-2"/>
                            <w:sz w:val="18"/>
                          </w:rPr>
                          <w:t>11734</w:t>
                        </w:r>
                      </w:p>
                    </w:txbxContent>
                  </v:textbox>
                </v:shape>
                <v:shape id="Textbox 84" o:spid="_x0000_s1035" type="#_x0000_t202" style="position:absolute;left:13198;top:1946;width:302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DCB6B81" w14:textId="77777777" w:rsidR="002C6574" w:rsidRDefault="00000000">
                        <w:pPr>
                          <w:spacing w:line="180" w:lineRule="exact"/>
                          <w:rPr>
                            <w:rFonts w:ascii="Calibri"/>
                            <w:b/>
                            <w:sz w:val="18"/>
                          </w:rPr>
                        </w:pPr>
                        <w:r>
                          <w:rPr>
                            <w:rFonts w:ascii="Calibri"/>
                            <w:b/>
                            <w:color w:val="3F3F3F"/>
                            <w:spacing w:val="-2"/>
                            <w:sz w:val="18"/>
                          </w:rPr>
                          <w:t>11773</w:t>
                        </w:r>
                      </w:p>
                    </w:txbxContent>
                  </v:textbox>
                </v:shape>
                <v:shape id="Textbox 85" o:spid="_x0000_s1036" type="#_x0000_t202" style="position:absolute;left:17373;top:1260;width:30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137E889" w14:textId="77777777" w:rsidR="002C6574" w:rsidRDefault="00000000">
                        <w:pPr>
                          <w:spacing w:line="180" w:lineRule="exact"/>
                          <w:rPr>
                            <w:rFonts w:ascii="Calibri"/>
                            <w:b/>
                            <w:sz w:val="18"/>
                          </w:rPr>
                        </w:pPr>
                        <w:r>
                          <w:rPr>
                            <w:rFonts w:ascii="Calibri"/>
                            <w:b/>
                            <w:color w:val="3F3F3F"/>
                            <w:spacing w:val="-2"/>
                            <w:sz w:val="18"/>
                          </w:rPr>
                          <w:t>11947</w:t>
                        </w:r>
                      </w:p>
                    </w:txbxContent>
                  </v:textbox>
                </v:shape>
                <w10:anchorlock/>
              </v:group>
            </w:pict>
          </mc:Fallback>
        </mc:AlternateContent>
      </w:r>
    </w:p>
    <w:p w14:paraId="3E2EF0CB" w14:textId="77777777" w:rsidR="002C6574" w:rsidRPr="00E15B92" w:rsidRDefault="00000000">
      <w:pPr>
        <w:tabs>
          <w:tab w:val="left" w:pos="1097"/>
          <w:tab w:val="left" w:pos="1721"/>
          <w:tab w:val="left" w:pos="2408"/>
          <w:tab w:val="left" w:pos="3050"/>
          <w:tab w:val="left" w:pos="3731"/>
          <w:tab w:val="left" w:pos="4420"/>
          <w:tab w:val="left" w:pos="5032"/>
          <w:tab w:val="left" w:pos="5715"/>
          <w:tab w:val="left" w:pos="6358"/>
          <w:tab w:val="left" w:pos="7004"/>
          <w:tab w:val="left" w:pos="7673"/>
        </w:tabs>
        <w:spacing w:before="76"/>
        <w:ind w:left="440"/>
        <w:jc w:val="center"/>
        <w:rPr>
          <w:rFonts w:ascii="Calibri"/>
          <w:b/>
          <w:sz w:val="20"/>
          <w:lang w:val="en-US"/>
        </w:rPr>
      </w:pPr>
      <w:r w:rsidRPr="00E15B92">
        <w:rPr>
          <w:rFonts w:ascii="Calibri"/>
          <w:b/>
          <w:color w:val="595959"/>
          <w:spacing w:val="-5"/>
          <w:sz w:val="20"/>
          <w:lang w:val="en-US"/>
        </w:rPr>
        <w:t>jan</w:t>
      </w:r>
      <w:r w:rsidRPr="00E15B92">
        <w:rPr>
          <w:rFonts w:ascii="Calibri"/>
          <w:b/>
          <w:color w:val="595959"/>
          <w:sz w:val="20"/>
          <w:lang w:val="en-US"/>
        </w:rPr>
        <w:tab/>
      </w:r>
      <w:r w:rsidRPr="00E15B92">
        <w:rPr>
          <w:rFonts w:ascii="Calibri"/>
          <w:b/>
          <w:color w:val="595959"/>
          <w:spacing w:val="-5"/>
          <w:sz w:val="20"/>
          <w:lang w:val="en-US"/>
        </w:rPr>
        <w:t>fev</w:t>
      </w:r>
      <w:r w:rsidRPr="00E15B92">
        <w:rPr>
          <w:rFonts w:ascii="Calibri"/>
          <w:b/>
          <w:color w:val="595959"/>
          <w:sz w:val="20"/>
          <w:lang w:val="en-US"/>
        </w:rPr>
        <w:tab/>
      </w:r>
      <w:r w:rsidRPr="00E15B92">
        <w:rPr>
          <w:rFonts w:ascii="Calibri"/>
          <w:b/>
          <w:color w:val="595959"/>
          <w:spacing w:val="-5"/>
          <w:sz w:val="20"/>
          <w:lang w:val="en-US"/>
        </w:rPr>
        <w:t>mar</w:t>
      </w:r>
      <w:r w:rsidRPr="00E15B92">
        <w:rPr>
          <w:rFonts w:ascii="Calibri"/>
          <w:b/>
          <w:color w:val="595959"/>
          <w:sz w:val="20"/>
          <w:lang w:val="en-US"/>
        </w:rPr>
        <w:tab/>
      </w:r>
      <w:r w:rsidRPr="00E15B92">
        <w:rPr>
          <w:rFonts w:ascii="Calibri"/>
          <w:b/>
          <w:color w:val="595959"/>
          <w:spacing w:val="-5"/>
          <w:sz w:val="20"/>
          <w:lang w:val="en-US"/>
        </w:rPr>
        <w:t>abr</w:t>
      </w:r>
      <w:r w:rsidRPr="00E15B92">
        <w:rPr>
          <w:rFonts w:ascii="Calibri"/>
          <w:b/>
          <w:color w:val="595959"/>
          <w:sz w:val="20"/>
          <w:lang w:val="en-US"/>
        </w:rPr>
        <w:tab/>
      </w:r>
      <w:r w:rsidRPr="00E15B92">
        <w:rPr>
          <w:rFonts w:ascii="Calibri"/>
          <w:b/>
          <w:color w:val="595959"/>
          <w:spacing w:val="-5"/>
          <w:sz w:val="20"/>
          <w:lang w:val="en-US"/>
        </w:rPr>
        <w:t>mai</w:t>
      </w:r>
      <w:r w:rsidRPr="00E15B92">
        <w:rPr>
          <w:rFonts w:ascii="Calibri"/>
          <w:b/>
          <w:color w:val="595959"/>
          <w:sz w:val="20"/>
          <w:lang w:val="en-US"/>
        </w:rPr>
        <w:tab/>
      </w:r>
      <w:r w:rsidRPr="00E15B92">
        <w:rPr>
          <w:rFonts w:ascii="Calibri"/>
          <w:b/>
          <w:color w:val="595959"/>
          <w:spacing w:val="-5"/>
          <w:sz w:val="20"/>
          <w:lang w:val="en-US"/>
        </w:rPr>
        <w:t>jun</w:t>
      </w:r>
      <w:r w:rsidRPr="00E15B92">
        <w:rPr>
          <w:rFonts w:ascii="Calibri"/>
          <w:b/>
          <w:color w:val="595959"/>
          <w:sz w:val="20"/>
          <w:lang w:val="en-US"/>
        </w:rPr>
        <w:tab/>
      </w:r>
      <w:r w:rsidRPr="00E15B92">
        <w:rPr>
          <w:rFonts w:ascii="Calibri"/>
          <w:b/>
          <w:color w:val="595959"/>
          <w:spacing w:val="-5"/>
          <w:sz w:val="20"/>
          <w:lang w:val="en-US"/>
        </w:rPr>
        <w:t>jul</w:t>
      </w:r>
      <w:r w:rsidRPr="00E15B92">
        <w:rPr>
          <w:rFonts w:ascii="Calibri"/>
          <w:b/>
          <w:color w:val="595959"/>
          <w:sz w:val="20"/>
          <w:lang w:val="en-US"/>
        </w:rPr>
        <w:tab/>
      </w:r>
      <w:r w:rsidRPr="00E15B92">
        <w:rPr>
          <w:rFonts w:ascii="Calibri"/>
          <w:b/>
          <w:color w:val="595959"/>
          <w:spacing w:val="-5"/>
          <w:sz w:val="20"/>
          <w:lang w:val="en-US"/>
        </w:rPr>
        <w:t>ago</w:t>
      </w:r>
      <w:r w:rsidRPr="00E15B92">
        <w:rPr>
          <w:rFonts w:ascii="Calibri"/>
          <w:b/>
          <w:color w:val="595959"/>
          <w:sz w:val="20"/>
          <w:lang w:val="en-US"/>
        </w:rPr>
        <w:tab/>
      </w:r>
      <w:r w:rsidRPr="00E15B92">
        <w:rPr>
          <w:rFonts w:ascii="Calibri"/>
          <w:b/>
          <w:color w:val="595959"/>
          <w:spacing w:val="-5"/>
          <w:sz w:val="20"/>
          <w:lang w:val="en-US"/>
        </w:rPr>
        <w:t>set</w:t>
      </w:r>
      <w:r w:rsidRPr="00E15B92">
        <w:rPr>
          <w:rFonts w:ascii="Calibri"/>
          <w:b/>
          <w:color w:val="595959"/>
          <w:sz w:val="20"/>
          <w:lang w:val="en-US"/>
        </w:rPr>
        <w:tab/>
      </w:r>
      <w:r w:rsidRPr="00E15B92">
        <w:rPr>
          <w:rFonts w:ascii="Calibri"/>
          <w:b/>
          <w:color w:val="595959"/>
          <w:spacing w:val="-5"/>
          <w:sz w:val="20"/>
          <w:lang w:val="en-US"/>
        </w:rPr>
        <w:t>out</w:t>
      </w:r>
      <w:r w:rsidRPr="00E15B92">
        <w:rPr>
          <w:rFonts w:ascii="Calibri"/>
          <w:b/>
          <w:color w:val="595959"/>
          <w:sz w:val="20"/>
          <w:lang w:val="en-US"/>
        </w:rPr>
        <w:tab/>
      </w:r>
      <w:r w:rsidRPr="00E15B92">
        <w:rPr>
          <w:rFonts w:ascii="Calibri"/>
          <w:b/>
          <w:color w:val="595959"/>
          <w:spacing w:val="-5"/>
          <w:sz w:val="20"/>
          <w:lang w:val="en-US"/>
        </w:rPr>
        <w:t>nov</w:t>
      </w:r>
      <w:r w:rsidRPr="00E15B92">
        <w:rPr>
          <w:rFonts w:ascii="Calibri"/>
          <w:b/>
          <w:color w:val="595959"/>
          <w:sz w:val="20"/>
          <w:lang w:val="en-US"/>
        </w:rPr>
        <w:tab/>
      </w:r>
      <w:r w:rsidRPr="00E15B92">
        <w:rPr>
          <w:rFonts w:ascii="Calibri"/>
          <w:b/>
          <w:color w:val="595959"/>
          <w:spacing w:val="-5"/>
          <w:sz w:val="20"/>
          <w:lang w:val="en-US"/>
        </w:rPr>
        <w:t>dez</w:t>
      </w:r>
    </w:p>
    <w:p w14:paraId="29D87C8E" w14:textId="77777777" w:rsidR="002C6574" w:rsidRPr="00E15B92" w:rsidRDefault="002C6574">
      <w:pPr>
        <w:pStyle w:val="Corpodetexto"/>
        <w:spacing w:before="54"/>
        <w:rPr>
          <w:rFonts w:ascii="Calibri"/>
          <w:b/>
          <w:sz w:val="16"/>
          <w:lang w:val="en-US"/>
        </w:rPr>
      </w:pPr>
    </w:p>
    <w:p w14:paraId="712F2122" w14:textId="77777777" w:rsidR="002C6574" w:rsidRDefault="00000000">
      <w:pPr>
        <w:ind w:left="461"/>
        <w:jc w:val="center"/>
        <w:rPr>
          <w:rFonts w:ascii="Calibri" w:hAnsi="Calibri"/>
          <w:sz w:val="16"/>
        </w:rPr>
      </w:pPr>
      <w:r>
        <w:rPr>
          <w:rFonts w:ascii="Calibri" w:hAnsi="Calibri"/>
          <w:color w:val="001F60"/>
          <w:sz w:val="16"/>
        </w:rPr>
        <w:t>Gráfico</w:t>
      </w:r>
      <w:r>
        <w:rPr>
          <w:rFonts w:ascii="Calibri" w:hAnsi="Calibri"/>
          <w:color w:val="001F60"/>
          <w:spacing w:val="-4"/>
          <w:sz w:val="16"/>
        </w:rPr>
        <w:t xml:space="preserve"> </w:t>
      </w:r>
      <w:r>
        <w:rPr>
          <w:rFonts w:ascii="Calibri" w:hAnsi="Calibri"/>
          <w:color w:val="001F60"/>
          <w:sz w:val="16"/>
        </w:rPr>
        <w:t>7-1</w:t>
      </w:r>
      <w:r>
        <w:rPr>
          <w:rFonts w:ascii="Calibri" w:hAnsi="Calibri"/>
          <w:color w:val="001F60"/>
          <w:spacing w:val="-2"/>
          <w:sz w:val="16"/>
        </w:rPr>
        <w:t xml:space="preserve"> </w:t>
      </w:r>
      <w:r>
        <w:rPr>
          <w:rFonts w:ascii="Calibri" w:hAnsi="Calibri"/>
          <w:color w:val="001F60"/>
          <w:sz w:val="16"/>
        </w:rPr>
        <w:t>Projeto</w:t>
      </w:r>
      <w:r>
        <w:rPr>
          <w:rFonts w:ascii="Calibri" w:hAnsi="Calibri"/>
          <w:color w:val="001F60"/>
          <w:spacing w:val="-5"/>
          <w:sz w:val="16"/>
        </w:rPr>
        <w:t xml:space="preserve"> </w:t>
      </w:r>
      <w:r>
        <w:rPr>
          <w:rFonts w:ascii="Calibri" w:hAnsi="Calibri"/>
          <w:color w:val="001F60"/>
          <w:spacing w:val="-2"/>
          <w:sz w:val="16"/>
        </w:rPr>
        <w:t>GESAC</w:t>
      </w:r>
    </w:p>
    <w:p w14:paraId="3817157B" w14:textId="77777777" w:rsidR="002C6574" w:rsidRDefault="002C6574">
      <w:pPr>
        <w:jc w:val="center"/>
        <w:rPr>
          <w:rFonts w:ascii="Calibri" w:hAnsi="Calibri"/>
          <w:sz w:val="16"/>
        </w:rPr>
        <w:sectPr w:rsidR="002C6574">
          <w:pgSz w:w="11910" w:h="16840"/>
          <w:pgMar w:top="1100" w:right="850" w:bottom="1060" w:left="992" w:header="298" w:footer="863" w:gutter="0"/>
          <w:cols w:space="720"/>
        </w:sectPr>
      </w:pPr>
    </w:p>
    <w:p w14:paraId="689FDA89" w14:textId="77777777" w:rsidR="002C6574" w:rsidRDefault="002C6574">
      <w:pPr>
        <w:pStyle w:val="Corpodetexto"/>
        <w:rPr>
          <w:rFonts w:ascii="Calibri"/>
        </w:rPr>
      </w:pPr>
    </w:p>
    <w:p w14:paraId="578FA537" w14:textId="77777777" w:rsidR="002C6574" w:rsidRDefault="002C6574">
      <w:pPr>
        <w:pStyle w:val="Corpodetexto"/>
        <w:spacing w:before="50"/>
        <w:rPr>
          <w:rFonts w:ascii="Calibri"/>
        </w:rPr>
      </w:pPr>
    </w:p>
    <w:p w14:paraId="3CC21AF4" w14:textId="77777777" w:rsidR="002C6574" w:rsidRDefault="00000000">
      <w:pPr>
        <w:ind w:left="709"/>
        <w:jc w:val="both"/>
        <w:rPr>
          <w:rFonts w:ascii="Calibri"/>
          <w:b/>
        </w:rPr>
      </w:pPr>
      <w:r>
        <w:rPr>
          <w:rFonts w:ascii="Calibri"/>
          <w:b/>
          <w:color w:val="001F60"/>
        </w:rPr>
        <w:t>Projeto</w:t>
      </w:r>
      <w:r>
        <w:rPr>
          <w:rFonts w:ascii="Calibri"/>
          <w:b/>
          <w:color w:val="001F60"/>
          <w:spacing w:val="-6"/>
        </w:rPr>
        <w:t xml:space="preserve"> </w:t>
      </w:r>
      <w:r>
        <w:rPr>
          <w:rFonts w:ascii="Calibri"/>
          <w:b/>
          <w:color w:val="001F60"/>
        </w:rPr>
        <w:t>Aprender</w:t>
      </w:r>
      <w:r>
        <w:rPr>
          <w:rFonts w:ascii="Calibri"/>
          <w:b/>
          <w:color w:val="001F60"/>
          <w:spacing w:val="-4"/>
        </w:rPr>
        <w:t xml:space="preserve"> </w:t>
      </w:r>
      <w:r>
        <w:rPr>
          <w:rFonts w:ascii="Calibri"/>
          <w:b/>
          <w:color w:val="001F60"/>
        </w:rPr>
        <w:t>Conectado</w:t>
      </w:r>
      <w:r>
        <w:rPr>
          <w:rFonts w:ascii="Calibri"/>
          <w:b/>
          <w:color w:val="001F60"/>
          <w:spacing w:val="-5"/>
        </w:rPr>
        <w:t xml:space="preserve"> </w:t>
      </w:r>
      <w:r>
        <w:rPr>
          <w:rFonts w:ascii="Calibri"/>
          <w:b/>
          <w:color w:val="001F60"/>
          <w:spacing w:val="-2"/>
        </w:rPr>
        <w:t>(EACE)</w:t>
      </w:r>
    </w:p>
    <w:p w14:paraId="7D90D2A9" w14:textId="77777777" w:rsidR="002C6574" w:rsidRDefault="00000000">
      <w:pPr>
        <w:pStyle w:val="Corpodetexto"/>
        <w:spacing w:before="120"/>
        <w:ind w:left="709" w:right="278"/>
        <w:jc w:val="both"/>
        <w:rPr>
          <w:rFonts w:ascii="Calibri" w:hAnsi="Calibri"/>
        </w:rPr>
      </w:pPr>
      <w:r>
        <w:rPr>
          <w:rFonts w:ascii="Calibri" w:hAnsi="Calibri"/>
          <w:color w:val="001F60"/>
        </w:rPr>
        <w:t>A</w:t>
      </w:r>
      <w:r>
        <w:rPr>
          <w:rFonts w:ascii="Calibri" w:hAnsi="Calibri"/>
          <w:color w:val="001F60"/>
          <w:spacing w:val="-8"/>
        </w:rPr>
        <w:t xml:space="preserve"> </w:t>
      </w:r>
      <w:r>
        <w:rPr>
          <w:rFonts w:ascii="Calibri" w:hAnsi="Calibri"/>
          <w:color w:val="001F60"/>
        </w:rPr>
        <w:t>Telebras</w:t>
      </w:r>
      <w:r>
        <w:rPr>
          <w:rFonts w:ascii="Calibri" w:hAnsi="Calibri"/>
          <w:color w:val="001F60"/>
          <w:spacing w:val="-6"/>
        </w:rPr>
        <w:t xml:space="preserve"> </w:t>
      </w:r>
      <w:r>
        <w:rPr>
          <w:rFonts w:ascii="Calibri" w:hAnsi="Calibri"/>
          <w:color w:val="001F60"/>
        </w:rPr>
        <w:t>segue</w:t>
      </w:r>
      <w:r>
        <w:rPr>
          <w:rFonts w:ascii="Calibri" w:hAnsi="Calibri"/>
          <w:color w:val="001F60"/>
          <w:spacing w:val="-6"/>
        </w:rPr>
        <w:t xml:space="preserve"> </w:t>
      </w:r>
      <w:r>
        <w:rPr>
          <w:rFonts w:ascii="Calibri" w:hAnsi="Calibri"/>
          <w:color w:val="001F60"/>
        </w:rPr>
        <w:t>ampliando</w:t>
      </w:r>
      <w:r>
        <w:rPr>
          <w:rFonts w:ascii="Calibri" w:hAnsi="Calibri"/>
          <w:color w:val="001F60"/>
          <w:spacing w:val="-5"/>
        </w:rPr>
        <w:t xml:space="preserve"> </w:t>
      </w:r>
      <w:r>
        <w:rPr>
          <w:rFonts w:ascii="Calibri" w:hAnsi="Calibri"/>
          <w:color w:val="001F60"/>
        </w:rPr>
        <w:t>seu</w:t>
      </w:r>
      <w:r>
        <w:rPr>
          <w:rFonts w:ascii="Calibri" w:hAnsi="Calibri"/>
          <w:color w:val="001F60"/>
          <w:spacing w:val="-6"/>
        </w:rPr>
        <w:t xml:space="preserve"> </w:t>
      </w:r>
      <w:r>
        <w:rPr>
          <w:rFonts w:ascii="Calibri" w:hAnsi="Calibri"/>
          <w:color w:val="001F60"/>
        </w:rPr>
        <w:t>papel</w:t>
      </w:r>
      <w:r>
        <w:rPr>
          <w:rFonts w:ascii="Calibri" w:hAnsi="Calibri"/>
          <w:color w:val="001F60"/>
          <w:spacing w:val="-6"/>
        </w:rPr>
        <w:t xml:space="preserve"> </w:t>
      </w:r>
      <w:r>
        <w:rPr>
          <w:rFonts w:ascii="Calibri" w:hAnsi="Calibri"/>
          <w:color w:val="001F60"/>
        </w:rPr>
        <w:t>estratégico</w:t>
      </w:r>
      <w:r>
        <w:rPr>
          <w:rFonts w:ascii="Calibri" w:hAnsi="Calibri"/>
          <w:color w:val="001F60"/>
          <w:spacing w:val="-6"/>
        </w:rPr>
        <w:t xml:space="preserve"> </w:t>
      </w:r>
      <w:r>
        <w:rPr>
          <w:rFonts w:ascii="Calibri" w:hAnsi="Calibri"/>
          <w:color w:val="001F60"/>
        </w:rPr>
        <w:t>na</w:t>
      </w:r>
      <w:r>
        <w:rPr>
          <w:rFonts w:ascii="Calibri" w:hAnsi="Calibri"/>
          <w:color w:val="001F60"/>
          <w:spacing w:val="-10"/>
        </w:rPr>
        <w:t xml:space="preserve"> </w:t>
      </w:r>
      <w:r>
        <w:rPr>
          <w:rFonts w:ascii="Calibri" w:hAnsi="Calibri"/>
          <w:color w:val="001F60"/>
        </w:rPr>
        <w:t>execução</w:t>
      </w:r>
      <w:r>
        <w:rPr>
          <w:rFonts w:ascii="Calibri" w:hAnsi="Calibri"/>
          <w:color w:val="001F60"/>
          <w:spacing w:val="-6"/>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políticas</w:t>
      </w:r>
      <w:r>
        <w:rPr>
          <w:rFonts w:ascii="Calibri" w:hAnsi="Calibri"/>
          <w:color w:val="001F60"/>
          <w:spacing w:val="-6"/>
        </w:rPr>
        <w:t xml:space="preserve"> </w:t>
      </w:r>
      <w:r>
        <w:rPr>
          <w:rFonts w:ascii="Calibri" w:hAnsi="Calibri"/>
          <w:color w:val="001F60"/>
        </w:rPr>
        <w:t>públicas</w:t>
      </w:r>
      <w:r>
        <w:rPr>
          <w:rFonts w:ascii="Calibri" w:hAnsi="Calibri"/>
          <w:color w:val="001F60"/>
          <w:spacing w:val="-8"/>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inclusão</w:t>
      </w:r>
      <w:r>
        <w:rPr>
          <w:rFonts w:ascii="Calibri" w:hAnsi="Calibri"/>
          <w:color w:val="001F60"/>
          <w:spacing w:val="-6"/>
        </w:rPr>
        <w:t xml:space="preserve"> </w:t>
      </w:r>
      <w:r>
        <w:rPr>
          <w:rFonts w:ascii="Calibri" w:hAnsi="Calibri"/>
          <w:color w:val="001F60"/>
        </w:rPr>
        <w:t>digital no</w:t>
      </w:r>
      <w:r>
        <w:rPr>
          <w:rFonts w:ascii="Calibri" w:hAnsi="Calibri"/>
          <w:color w:val="001F60"/>
          <w:spacing w:val="-13"/>
        </w:rPr>
        <w:t xml:space="preserve"> </w:t>
      </w:r>
      <w:r>
        <w:rPr>
          <w:rFonts w:ascii="Calibri" w:hAnsi="Calibri"/>
          <w:color w:val="001F60"/>
        </w:rPr>
        <w:t>Brasil.</w:t>
      </w:r>
      <w:r>
        <w:rPr>
          <w:rFonts w:ascii="Calibri" w:hAnsi="Calibri"/>
          <w:color w:val="001F60"/>
          <w:spacing w:val="-12"/>
        </w:rPr>
        <w:t xml:space="preserve"> </w:t>
      </w:r>
      <w:r>
        <w:rPr>
          <w:rFonts w:ascii="Calibri" w:hAnsi="Calibri"/>
          <w:color w:val="001F60"/>
        </w:rPr>
        <w:t>Em</w:t>
      </w:r>
      <w:r>
        <w:rPr>
          <w:rFonts w:ascii="Calibri" w:hAnsi="Calibri"/>
          <w:color w:val="001F60"/>
          <w:spacing w:val="-13"/>
        </w:rPr>
        <w:t xml:space="preserve"> </w:t>
      </w:r>
      <w:r>
        <w:rPr>
          <w:rFonts w:ascii="Calibri" w:hAnsi="Calibri"/>
          <w:color w:val="001F60"/>
        </w:rPr>
        <w:t>parceria</w:t>
      </w:r>
      <w:r>
        <w:rPr>
          <w:rFonts w:ascii="Calibri" w:hAnsi="Calibri"/>
          <w:color w:val="001F60"/>
          <w:spacing w:val="-12"/>
        </w:rPr>
        <w:t xml:space="preserve"> </w:t>
      </w:r>
      <w:r>
        <w:rPr>
          <w:rFonts w:ascii="Calibri" w:hAnsi="Calibri"/>
          <w:color w:val="001F60"/>
        </w:rPr>
        <w:t>com</w:t>
      </w:r>
      <w:r>
        <w:rPr>
          <w:rFonts w:ascii="Calibri" w:hAnsi="Calibri"/>
          <w:color w:val="001F60"/>
          <w:spacing w:val="-13"/>
        </w:rPr>
        <w:t xml:space="preserve"> </w:t>
      </w:r>
      <w:r>
        <w:rPr>
          <w:rFonts w:ascii="Calibri" w:hAnsi="Calibri"/>
          <w:color w:val="001F60"/>
        </w:rPr>
        <w:t>a</w:t>
      </w:r>
      <w:r>
        <w:rPr>
          <w:rFonts w:ascii="Calibri" w:hAnsi="Calibri"/>
          <w:color w:val="001F60"/>
          <w:spacing w:val="-12"/>
        </w:rPr>
        <w:t xml:space="preserve"> </w:t>
      </w:r>
      <w:r>
        <w:rPr>
          <w:rFonts w:ascii="Calibri" w:hAnsi="Calibri"/>
          <w:color w:val="001F60"/>
        </w:rPr>
        <w:t>Associação</w:t>
      </w:r>
      <w:r>
        <w:rPr>
          <w:rFonts w:ascii="Calibri" w:hAnsi="Calibri"/>
          <w:color w:val="001F60"/>
          <w:spacing w:val="-13"/>
        </w:rPr>
        <w:t xml:space="preserve"> </w:t>
      </w:r>
      <w:r>
        <w:rPr>
          <w:rFonts w:ascii="Calibri" w:hAnsi="Calibri"/>
          <w:color w:val="001F60"/>
        </w:rPr>
        <w:t>Administradora</w:t>
      </w:r>
      <w:r>
        <w:rPr>
          <w:rFonts w:ascii="Calibri" w:hAnsi="Calibri"/>
          <w:color w:val="001F60"/>
          <w:spacing w:val="-12"/>
        </w:rPr>
        <w:t xml:space="preserve"> </w:t>
      </w:r>
      <w:r>
        <w:rPr>
          <w:rFonts w:ascii="Calibri" w:hAnsi="Calibri"/>
          <w:color w:val="001F60"/>
        </w:rPr>
        <w:t>da</w:t>
      </w:r>
      <w:r>
        <w:rPr>
          <w:rFonts w:ascii="Calibri" w:hAnsi="Calibri"/>
          <w:color w:val="001F60"/>
          <w:spacing w:val="-12"/>
        </w:rPr>
        <w:t xml:space="preserve"> </w:t>
      </w:r>
      <w:r>
        <w:rPr>
          <w:rFonts w:ascii="Calibri" w:hAnsi="Calibri"/>
          <w:color w:val="001F60"/>
        </w:rPr>
        <w:t>Conectividade</w:t>
      </w:r>
      <w:r>
        <w:rPr>
          <w:rFonts w:ascii="Calibri" w:hAnsi="Calibri"/>
          <w:color w:val="001F60"/>
          <w:spacing w:val="-13"/>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Escolas</w:t>
      </w:r>
      <w:r>
        <w:rPr>
          <w:rFonts w:ascii="Calibri" w:hAnsi="Calibri"/>
          <w:color w:val="001F60"/>
          <w:spacing w:val="-13"/>
        </w:rPr>
        <w:t xml:space="preserve"> </w:t>
      </w:r>
      <w:r>
        <w:rPr>
          <w:rFonts w:ascii="Calibri" w:hAnsi="Calibri"/>
          <w:color w:val="001F60"/>
        </w:rPr>
        <w:t>(EACE),</w:t>
      </w:r>
      <w:r>
        <w:rPr>
          <w:rFonts w:ascii="Calibri" w:hAnsi="Calibri"/>
          <w:color w:val="001F60"/>
          <w:spacing w:val="-12"/>
        </w:rPr>
        <w:t xml:space="preserve"> </w:t>
      </w:r>
      <w:r>
        <w:rPr>
          <w:rFonts w:ascii="Calibri" w:hAnsi="Calibri"/>
          <w:color w:val="001F60"/>
        </w:rPr>
        <w:t>no</w:t>
      </w:r>
      <w:r>
        <w:rPr>
          <w:rFonts w:ascii="Calibri" w:hAnsi="Calibri"/>
          <w:color w:val="001F60"/>
          <w:spacing w:val="-13"/>
        </w:rPr>
        <w:t xml:space="preserve"> </w:t>
      </w:r>
      <w:r>
        <w:rPr>
          <w:rFonts w:ascii="Calibri" w:hAnsi="Calibri"/>
          <w:color w:val="001F60"/>
        </w:rPr>
        <w:t>âmbito do Projeto Aprender Conectado, a Companhia atua na expansão da conectividade satelital de qualidade destinada a escolas públicas que não dispõem de acesso por fibra ou rádio, contribuindo para que nenhuma localidade fique desconectada das oportunidades de aprendizado digital.</w:t>
      </w:r>
    </w:p>
    <w:p w14:paraId="37EE9D4C" w14:textId="77777777" w:rsidR="002C6574" w:rsidRDefault="00000000">
      <w:pPr>
        <w:pStyle w:val="Corpodetexto"/>
        <w:spacing w:before="119"/>
        <w:ind w:left="709" w:right="275"/>
        <w:jc w:val="both"/>
        <w:rPr>
          <w:rFonts w:ascii="Calibri" w:hAnsi="Calibri"/>
        </w:rPr>
      </w:pPr>
      <w:r>
        <w:rPr>
          <w:rFonts w:ascii="Calibri" w:hAnsi="Calibri"/>
          <w:color w:val="001F60"/>
        </w:rPr>
        <w:t>Como</w:t>
      </w:r>
      <w:r>
        <w:rPr>
          <w:rFonts w:ascii="Calibri" w:hAnsi="Calibri"/>
          <w:color w:val="001F60"/>
          <w:spacing w:val="-9"/>
        </w:rPr>
        <w:t xml:space="preserve"> </w:t>
      </w:r>
      <w:r>
        <w:rPr>
          <w:rFonts w:ascii="Calibri" w:hAnsi="Calibri"/>
          <w:color w:val="001F60"/>
        </w:rPr>
        <w:t>prestadora</w:t>
      </w:r>
      <w:r>
        <w:rPr>
          <w:rFonts w:ascii="Calibri" w:hAnsi="Calibri"/>
          <w:color w:val="001F60"/>
          <w:spacing w:val="-7"/>
        </w:rPr>
        <w:t xml:space="preserve"> </w:t>
      </w:r>
      <w:r>
        <w:rPr>
          <w:rFonts w:ascii="Calibri" w:hAnsi="Calibri"/>
          <w:color w:val="001F60"/>
        </w:rPr>
        <w:t>oficial</w:t>
      </w:r>
      <w:r>
        <w:rPr>
          <w:rFonts w:ascii="Calibri" w:hAnsi="Calibri"/>
          <w:color w:val="001F60"/>
          <w:spacing w:val="-7"/>
        </w:rPr>
        <w:t xml:space="preserve"> </w:t>
      </w:r>
      <w:r>
        <w:rPr>
          <w:rFonts w:ascii="Calibri" w:hAnsi="Calibri"/>
          <w:color w:val="001F60"/>
        </w:rPr>
        <w:t>dos</w:t>
      </w:r>
      <w:r>
        <w:rPr>
          <w:rFonts w:ascii="Calibri" w:hAnsi="Calibri"/>
          <w:color w:val="001F60"/>
          <w:spacing w:val="-5"/>
        </w:rPr>
        <w:t xml:space="preserve"> </w:t>
      </w:r>
      <w:r>
        <w:rPr>
          <w:rFonts w:ascii="Calibri" w:hAnsi="Calibri"/>
          <w:color w:val="001F60"/>
        </w:rPr>
        <w:t>serviços</w:t>
      </w:r>
      <w:r>
        <w:rPr>
          <w:rFonts w:ascii="Calibri" w:hAnsi="Calibri"/>
          <w:color w:val="001F60"/>
          <w:spacing w:val="-7"/>
        </w:rPr>
        <w:t xml:space="preserve"> </w:t>
      </w:r>
      <w:r>
        <w:rPr>
          <w:rFonts w:ascii="Calibri" w:hAnsi="Calibri"/>
          <w:color w:val="001F60"/>
        </w:rPr>
        <w:t>de</w:t>
      </w:r>
      <w:r>
        <w:rPr>
          <w:rFonts w:ascii="Calibri" w:hAnsi="Calibri"/>
          <w:color w:val="001F60"/>
          <w:spacing w:val="-7"/>
        </w:rPr>
        <w:t xml:space="preserve"> </w:t>
      </w:r>
      <w:r>
        <w:rPr>
          <w:rFonts w:ascii="Calibri" w:hAnsi="Calibri"/>
          <w:color w:val="001F60"/>
        </w:rPr>
        <w:t>comunicação</w:t>
      </w:r>
      <w:r>
        <w:rPr>
          <w:rFonts w:ascii="Calibri" w:hAnsi="Calibri"/>
          <w:color w:val="001F60"/>
          <w:spacing w:val="-9"/>
        </w:rPr>
        <w:t xml:space="preserve"> </w:t>
      </w:r>
      <w:r>
        <w:rPr>
          <w:rFonts w:ascii="Calibri" w:hAnsi="Calibri"/>
          <w:color w:val="001F60"/>
        </w:rPr>
        <w:t>multimídia</w:t>
      </w:r>
      <w:r>
        <w:rPr>
          <w:rFonts w:ascii="Calibri" w:hAnsi="Calibri"/>
          <w:color w:val="001F60"/>
          <w:spacing w:val="-7"/>
        </w:rPr>
        <w:t xml:space="preserve"> </w:t>
      </w:r>
      <w:r>
        <w:rPr>
          <w:rFonts w:ascii="Calibri" w:hAnsi="Calibri"/>
          <w:color w:val="001F60"/>
        </w:rPr>
        <w:t>via</w:t>
      </w:r>
      <w:r>
        <w:rPr>
          <w:rFonts w:ascii="Calibri" w:hAnsi="Calibri"/>
          <w:color w:val="001F60"/>
          <w:spacing w:val="-9"/>
        </w:rPr>
        <w:t xml:space="preserve"> </w:t>
      </w:r>
      <w:r>
        <w:rPr>
          <w:rFonts w:ascii="Calibri" w:hAnsi="Calibri"/>
          <w:color w:val="001F60"/>
        </w:rPr>
        <w:t>satélite,</w:t>
      </w:r>
      <w:r>
        <w:rPr>
          <w:rFonts w:ascii="Calibri" w:hAnsi="Calibri"/>
          <w:color w:val="001F60"/>
          <w:spacing w:val="-7"/>
        </w:rPr>
        <w:t xml:space="preserve"> </w:t>
      </w:r>
      <w:r>
        <w:rPr>
          <w:rFonts w:ascii="Calibri" w:hAnsi="Calibri"/>
          <w:color w:val="001F60"/>
        </w:rPr>
        <w:t>a</w:t>
      </w:r>
      <w:r>
        <w:rPr>
          <w:rFonts w:ascii="Calibri" w:hAnsi="Calibri"/>
          <w:color w:val="001F60"/>
          <w:spacing w:val="-9"/>
        </w:rPr>
        <w:t xml:space="preserve"> </w:t>
      </w:r>
      <w:r>
        <w:rPr>
          <w:rFonts w:ascii="Calibri" w:hAnsi="Calibri"/>
          <w:color w:val="001F60"/>
        </w:rPr>
        <w:t>Telebras</w:t>
      </w:r>
      <w:r>
        <w:rPr>
          <w:rFonts w:ascii="Calibri" w:hAnsi="Calibri"/>
          <w:color w:val="001F60"/>
          <w:spacing w:val="-5"/>
        </w:rPr>
        <w:t xml:space="preserve"> </w:t>
      </w:r>
      <w:r>
        <w:rPr>
          <w:rFonts w:ascii="Calibri" w:hAnsi="Calibri"/>
          <w:color w:val="001F60"/>
        </w:rPr>
        <w:t>foi</w:t>
      </w:r>
      <w:r>
        <w:rPr>
          <w:rFonts w:ascii="Calibri" w:hAnsi="Calibri"/>
          <w:color w:val="001F60"/>
          <w:spacing w:val="-9"/>
        </w:rPr>
        <w:t xml:space="preserve"> </w:t>
      </w:r>
      <w:r>
        <w:rPr>
          <w:rFonts w:ascii="Calibri" w:hAnsi="Calibri"/>
          <w:color w:val="001F60"/>
        </w:rPr>
        <w:t>contratada pela EACE para prover, implementar e manter pontos de presença satelitais associados ao Programa Governo</w:t>
      </w:r>
      <w:r>
        <w:rPr>
          <w:rFonts w:ascii="Calibri" w:hAnsi="Calibri"/>
          <w:color w:val="001F60"/>
          <w:spacing w:val="-10"/>
        </w:rPr>
        <w:t xml:space="preserve"> </w:t>
      </w:r>
      <w:r>
        <w:rPr>
          <w:rFonts w:ascii="Calibri" w:hAnsi="Calibri"/>
          <w:color w:val="001F60"/>
        </w:rPr>
        <w:t>Eletrônico</w:t>
      </w:r>
      <w:r>
        <w:rPr>
          <w:rFonts w:ascii="Calibri" w:hAnsi="Calibri"/>
          <w:color w:val="001F60"/>
          <w:spacing w:val="-10"/>
        </w:rPr>
        <w:t xml:space="preserve"> </w:t>
      </w:r>
      <w:r>
        <w:rPr>
          <w:rFonts w:ascii="Calibri" w:hAnsi="Calibri"/>
          <w:color w:val="001F60"/>
        </w:rPr>
        <w:t>–</w:t>
      </w:r>
      <w:r>
        <w:rPr>
          <w:rFonts w:ascii="Calibri" w:hAnsi="Calibri"/>
          <w:color w:val="001F60"/>
          <w:spacing w:val="-10"/>
        </w:rPr>
        <w:t xml:space="preserve"> </w:t>
      </w:r>
      <w:r>
        <w:rPr>
          <w:rFonts w:ascii="Calibri" w:hAnsi="Calibri"/>
          <w:color w:val="001F60"/>
        </w:rPr>
        <w:t>Serviço</w:t>
      </w:r>
      <w:r>
        <w:rPr>
          <w:rFonts w:ascii="Calibri" w:hAnsi="Calibri"/>
          <w:color w:val="001F60"/>
          <w:spacing w:val="-9"/>
        </w:rPr>
        <w:t xml:space="preserve"> </w:t>
      </w:r>
      <w:r>
        <w:rPr>
          <w:rFonts w:ascii="Calibri" w:hAnsi="Calibri"/>
          <w:color w:val="001F60"/>
        </w:rPr>
        <w:t>de</w:t>
      </w:r>
      <w:r>
        <w:rPr>
          <w:rFonts w:ascii="Calibri" w:hAnsi="Calibri"/>
          <w:color w:val="001F60"/>
          <w:spacing w:val="-10"/>
        </w:rPr>
        <w:t xml:space="preserve"> </w:t>
      </w:r>
      <w:r>
        <w:rPr>
          <w:rFonts w:ascii="Calibri" w:hAnsi="Calibri"/>
          <w:color w:val="001F60"/>
        </w:rPr>
        <w:t>Atendimento</w:t>
      </w:r>
      <w:r>
        <w:rPr>
          <w:rFonts w:ascii="Calibri" w:hAnsi="Calibri"/>
          <w:color w:val="001F60"/>
          <w:spacing w:val="-12"/>
        </w:rPr>
        <w:t xml:space="preserve"> </w:t>
      </w:r>
      <w:r>
        <w:rPr>
          <w:rFonts w:ascii="Calibri" w:hAnsi="Calibri"/>
          <w:color w:val="001F60"/>
        </w:rPr>
        <w:t>ao</w:t>
      </w:r>
      <w:r>
        <w:rPr>
          <w:rFonts w:ascii="Calibri" w:hAnsi="Calibri"/>
          <w:color w:val="001F60"/>
          <w:spacing w:val="-10"/>
        </w:rPr>
        <w:t xml:space="preserve"> </w:t>
      </w:r>
      <w:r>
        <w:rPr>
          <w:rFonts w:ascii="Calibri" w:hAnsi="Calibri"/>
          <w:color w:val="001F60"/>
        </w:rPr>
        <w:t>Cidadão</w:t>
      </w:r>
      <w:r>
        <w:rPr>
          <w:rFonts w:ascii="Calibri" w:hAnsi="Calibri"/>
          <w:color w:val="001F60"/>
          <w:spacing w:val="-9"/>
        </w:rPr>
        <w:t xml:space="preserve"> </w:t>
      </w:r>
      <w:r>
        <w:rPr>
          <w:rFonts w:ascii="Calibri" w:hAnsi="Calibri"/>
          <w:color w:val="001F60"/>
        </w:rPr>
        <w:t>(GESAC),</w:t>
      </w:r>
      <w:r>
        <w:rPr>
          <w:rFonts w:ascii="Calibri" w:hAnsi="Calibri"/>
          <w:color w:val="001F60"/>
          <w:spacing w:val="-12"/>
        </w:rPr>
        <w:t xml:space="preserve"> </w:t>
      </w:r>
      <w:r>
        <w:rPr>
          <w:rFonts w:ascii="Calibri" w:hAnsi="Calibri"/>
          <w:color w:val="001F60"/>
        </w:rPr>
        <w:t>em</w:t>
      </w:r>
      <w:r>
        <w:rPr>
          <w:rFonts w:ascii="Calibri" w:hAnsi="Calibri"/>
          <w:color w:val="001F60"/>
          <w:spacing w:val="-9"/>
        </w:rPr>
        <w:t xml:space="preserve"> </w:t>
      </w:r>
      <w:r>
        <w:rPr>
          <w:rFonts w:ascii="Calibri" w:hAnsi="Calibri"/>
          <w:color w:val="001F60"/>
        </w:rPr>
        <w:t>conformidade</w:t>
      </w:r>
      <w:r>
        <w:rPr>
          <w:rFonts w:ascii="Calibri" w:hAnsi="Calibri"/>
          <w:color w:val="001F60"/>
          <w:spacing w:val="-9"/>
        </w:rPr>
        <w:t xml:space="preserve"> </w:t>
      </w:r>
      <w:r>
        <w:rPr>
          <w:rFonts w:ascii="Calibri" w:hAnsi="Calibri"/>
          <w:color w:val="001F60"/>
        </w:rPr>
        <w:t>com</w:t>
      </w:r>
      <w:r>
        <w:rPr>
          <w:rFonts w:ascii="Calibri" w:hAnsi="Calibri"/>
          <w:color w:val="001F60"/>
          <w:spacing w:val="-12"/>
        </w:rPr>
        <w:t xml:space="preserve"> </w:t>
      </w:r>
      <w:r>
        <w:rPr>
          <w:rFonts w:ascii="Calibri" w:hAnsi="Calibri"/>
          <w:color w:val="001F60"/>
        </w:rPr>
        <w:t>as</w:t>
      </w:r>
      <w:r>
        <w:rPr>
          <w:rFonts w:ascii="Calibri" w:hAnsi="Calibri"/>
          <w:color w:val="001F60"/>
          <w:spacing w:val="-11"/>
        </w:rPr>
        <w:t xml:space="preserve"> </w:t>
      </w:r>
      <w:r>
        <w:rPr>
          <w:rFonts w:ascii="Calibri" w:hAnsi="Calibri"/>
          <w:color w:val="001F60"/>
        </w:rPr>
        <w:t>diretrizes estabelecidas pelo MCom. A iniciativa representa um avanço relevante para a ampliação da conectividade no ambiente educacional, apoiando o objetivo de assegurar atendimento integral às escolas públicas em todo o país.</w:t>
      </w:r>
    </w:p>
    <w:p w14:paraId="581548D8" w14:textId="77777777" w:rsidR="002C6574" w:rsidRDefault="00000000">
      <w:pPr>
        <w:spacing w:before="121"/>
        <w:ind w:left="709"/>
        <w:jc w:val="both"/>
        <w:rPr>
          <w:rFonts w:ascii="Calibri" w:hAnsi="Calibri"/>
          <w:b/>
        </w:rPr>
      </w:pPr>
      <w:r>
        <w:rPr>
          <w:rFonts w:ascii="Calibri" w:hAnsi="Calibri"/>
          <w:b/>
          <w:color w:val="001F60"/>
        </w:rPr>
        <w:t>Resultados</w:t>
      </w:r>
      <w:r>
        <w:rPr>
          <w:rFonts w:ascii="Calibri" w:hAnsi="Calibri"/>
          <w:b/>
          <w:color w:val="001F60"/>
          <w:spacing w:val="-3"/>
        </w:rPr>
        <w:t xml:space="preserve"> </w:t>
      </w:r>
      <w:r>
        <w:rPr>
          <w:rFonts w:ascii="Calibri" w:hAnsi="Calibri"/>
          <w:b/>
          <w:color w:val="001F60"/>
        </w:rPr>
        <w:t>e</w:t>
      </w:r>
      <w:r>
        <w:rPr>
          <w:rFonts w:ascii="Calibri" w:hAnsi="Calibri"/>
          <w:b/>
          <w:color w:val="001F60"/>
          <w:spacing w:val="-2"/>
        </w:rPr>
        <w:t xml:space="preserve"> </w:t>
      </w:r>
      <w:r>
        <w:rPr>
          <w:rFonts w:ascii="Calibri" w:hAnsi="Calibri"/>
          <w:b/>
          <w:color w:val="001F60"/>
        </w:rPr>
        <w:t>expansão</w:t>
      </w:r>
      <w:r>
        <w:rPr>
          <w:rFonts w:ascii="Calibri" w:hAnsi="Calibri"/>
          <w:b/>
          <w:color w:val="001F60"/>
          <w:spacing w:val="-5"/>
        </w:rPr>
        <w:t xml:space="preserve"> </w:t>
      </w:r>
      <w:r>
        <w:rPr>
          <w:rFonts w:ascii="Calibri" w:hAnsi="Calibri"/>
          <w:b/>
          <w:color w:val="001F60"/>
        </w:rPr>
        <w:t>da</w:t>
      </w:r>
      <w:r>
        <w:rPr>
          <w:rFonts w:ascii="Calibri" w:hAnsi="Calibri"/>
          <w:b/>
          <w:color w:val="001F60"/>
          <w:spacing w:val="-2"/>
        </w:rPr>
        <w:t xml:space="preserve"> </w:t>
      </w:r>
      <w:r>
        <w:rPr>
          <w:rFonts w:ascii="Calibri" w:hAnsi="Calibri"/>
          <w:b/>
          <w:color w:val="001F60"/>
        </w:rPr>
        <w:t>conectividade</w:t>
      </w:r>
      <w:r>
        <w:rPr>
          <w:rFonts w:ascii="Calibri" w:hAnsi="Calibri"/>
          <w:b/>
          <w:color w:val="001F60"/>
          <w:spacing w:val="-4"/>
        </w:rPr>
        <w:t xml:space="preserve"> </w:t>
      </w:r>
      <w:r>
        <w:rPr>
          <w:rFonts w:ascii="Calibri" w:hAnsi="Calibri"/>
          <w:b/>
          <w:color w:val="001F60"/>
          <w:spacing w:val="-2"/>
        </w:rPr>
        <w:t>educacional</w:t>
      </w:r>
    </w:p>
    <w:p w14:paraId="43987750" w14:textId="77777777" w:rsidR="002C6574" w:rsidRDefault="00000000">
      <w:pPr>
        <w:pStyle w:val="Corpodetexto"/>
        <w:spacing w:before="118"/>
        <w:ind w:left="709" w:right="277"/>
        <w:jc w:val="both"/>
        <w:rPr>
          <w:rFonts w:ascii="Calibri" w:hAnsi="Calibri"/>
        </w:rPr>
      </w:pPr>
      <w:r>
        <w:rPr>
          <w:rFonts w:ascii="Calibri" w:hAnsi="Calibri"/>
          <w:color w:val="001F60"/>
        </w:rPr>
        <w:t>Com</w:t>
      </w:r>
      <w:r>
        <w:rPr>
          <w:rFonts w:ascii="Calibri" w:hAnsi="Calibri"/>
          <w:color w:val="001F60"/>
          <w:spacing w:val="-1"/>
        </w:rPr>
        <w:t xml:space="preserve"> </w:t>
      </w:r>
      <w:r>
        <w:rPr>
          <w:rFonts w:ascii="Calibri" w:hAnsi="Calibri"/>
          <w:color w:val="001F60"/>
        </w:rPr>
        <w:t>o</w:t>
      </w:r>
      <w:r>
        <w:rPr>
          <w:rFonts w:ascii="Calibri" w:hAnsi="Calibri"/>
          <w:color w:val="001F60"/>
          <w:spacing w:val="-2"/>
        </w:rPr>
        <w:t xml:space="preserve"> </w:t>
      </w:r>
      <w:r>
        <w:rPr>
          <w:rFonts w:ascii="Calibri" w:hAnsi="Calibri"/>
          <w:color w:val="001F60"/>
        </w:rPr>
        <w:t>avanço</w:t>
      </w:r>
      <w:r>
        <w:rPr>
          <w:rFonts w:ascii="Calibri" w:hAnsi="Calibri"/>
          <w:color w:val="001F60"/>
          <w:spacing w:val="-1"/>
        </w:rPr>
        <w:t xml:space="preserve"> </w:t>
      </w:r>
      <w:r>
        <w:rPr>
          <w:rFonts w:ascii="Calibri" w:hAnsi="Calibri"/>
          <w:color w:val="001F60"/>
        </w:rPr>
        <w:t>do</w:t>
      </w:r>
      <w:r>
        <w:rPr>
          <w:rFonts w:ascii="Calibri" w:hAnsi="Calibri"/>
          <w:color w:val="001F60"/>
          <w:spacing w:val="-4"/>
        </w:rPr>
        <w:t xml:space="preserve"> </w:t>
      </w:r>
      <w:r>
        <w:rPr>
          <w:rFonts w:ascii="Calibri" w:hAnsi="Calibri"/>
          <w:color w:val="001F60"/>
        </w:rPr>
        <w:t>Projeto</w:t>
      </w:r>
      <w:r>
        <w:rPr>
          <w:rFonts w:ascii="Calibri" w:hAnsi="Calibri"/>
          <w:color w:val="001F60"/>
          <w:spacing w:val="-4"/>
        </w:rPr>
        <w:t xml:space="preserve"> </w:t>
      </w:r>
      <w:r>
        <w:rPr>
          <w:rFonts w:ascii="Calibri" w:hAnsi="Calibri"/>
          <w:color w:val="001F60"/>
        </w:rPr>
        <w:t>Aprender</w:t>
      </w:r>
      <w:r>
        <w:rPr>
          <w:rFonts w:ascii="Calibri" w:hAnsi="Calibri"/>
          <w:color w:val="001F60"/>
          <w:spacing w:val="-2"/>
        </w:rPr>
        <w:t xml:space="preserve"> </w:t>
      </w:r>
      <w:r>
        <w:rPr>
          <w:rFonts w:ascii="Calibri" w:hAnsi="Calibri"/>
          <w:color w:val="001F60"/>
        </w:rPr>
        <w:t>Conectado,</w:t>
      </w:r>
      <w:r>
        <w:rPr>
          <w:rFonts w:ascii="Calibri" w:hAnsi="Calibri"/>
          <w:color w:val="001F60"/>
          <w:spacing w:val="-2"/>
        </w:rPr>
        <w:t xml:space="preserve"> </w:t>
      </w:r>
      <w:r>
        <w:rPr>
          <w:rFonts w:ascii="Calibri" w:hAnsi="Calibri"/>
          <w:color w:val="001F60"/>
        </w:rPr>
        <w:t>a</w:t>
      </w:r>
      <w:r>
        <w:rPr>
          <w:rFonts w:ascii="Calibri" w:hAnsi="Calibri"/>
          <w:color w:val="001F60"/>
          <w:spacing w:val="-4"/>
        </w:rPr>
        <w:t xml:space="preserve"> </w:t>
      </w:r>
      <w:r>
        <w:rPr>
          <w:rFonts w:ascii="Calibri" w:hAnsi="Calibri"/>
          <w:color w:val="001F60"/>
        </w:rPr>
        <w:t>Telebras</w:t>
      </w:r>
      <w:r>
        <w:rPr>
          <w:rFonts w:ascii="Calibri" w:hAnsi="Calibri"/>
          <w:color w:val="001F60"/>
          <w:spacing w:val="-2"/>
        </w:rPr>
        <w:t xml:space="preserve"> </w:t>
      </w:r>
      <w:r>
        <w:rPr>
          <w:rFonts w:ascii="Calibri" w:hAnsi="Calibri"/>
          <w:color w:val="001F60"/>
        </w:rPr>
        <w:t>vem</w:t>
      </w:r>
      <w:r>
        <w:rPr>
          <w:rFonts w:ascii="Calibri" w:hAnsi="Calibri"/>
          <w:color w:val="001F60"/>
          <w:spacing w:val="-2"/>
        </w:rPr>
        <w:t xml:space="preserve"> </w:t>
      </w:r>
      <w:r>
        <w:rPr>
          <w:rFonts w:ascii="Calibri" w:hAnsi="Calibri"/>
          <w:color w:val="001F60"/>
        </w:rPr>
        <w:t>realizando a</w:t>
      </w:r>
      <w:r>
        <w:rPr>
          <w:rFonts w:ascii="Calibri" w:hAnsi="Calibri"/>
          <w:color w:val="001F60"/>
          <w:spacing w:val="-2"/>
        </w:rPr>
        <w:t xml:space="preserve"> </w:t>
      </w:r>
      <w:r>
        <w:rPr>
          <w:rFonts w:ascii="Calibri" w:hAnsi="Calibri"/>
          <w:color w:val="001F60"/>
        </w:rPr>
        <w:t>instalação</w:t>
      </w:r>
      <w:r>
        <w:rPr>
          <w:rFonts w:ascii="Calibri" w:hAnsi="Calibri"/>
          <w:color w:val="001F60"/>
          <w:spacing w:val="-2"/>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milhares de Pontos</w:t>
      </w:r>
      <w:r>
        <w:rPr>
          <w:rFonts w:ascii="Calibri" w:hAnsi="Calibri"/>
          <w:color w:val="001F60"/>
          <w:spacing w:val="-12"/>
        </w:rPr>
        <w:t xml:space="preserve"> </w:t>
      </w:r>
      <w:r>
        <w:rPr>
          <w:rFonts w:ascii="Calibri" w:hAnsi="Calibri"/>
          <w:color w:val="001F60"/>
        </w:rPr>
        <w:t>de</w:t>
      </w:r>
      <w:r>
        <w:rPr>
          <w:rFonts w:ascii="Calibri" w:hAnsi="Calibri"/>
          <w:color w:val="001F60"/>
          <w:spacing w:val="-10"/>
        </w:rPr>
        <w:t xml:space="preserve"> </w:t>
      </w:r>
      <w:r>
        <w:rPr>
          <w:rFonts w:ascii="Calibri" w:hAnsi="Calibri"/>
          <w:color w:val="001F60"/>
        </w:rPr>
        <w:t>Presença</w:t>
      </w:r>
      <w:r>
        <w:rPr>
          <w:rFonts w:ascii="Calibri" w:hAnsi="Calibri"/>
          <w:color w:val="001F60"/>
          <w:spacing w:val="-12"/>
        </w:rPr>
        <w:t xml:space="preserve"> </w:t>
      </w:r>
      <w:r>
        <w:rPr>
          <w:rFonts w:ascii="Calibri" w:hAnsi="Calibri"/>
          <w:color w:val="001F60"/>
        </w:rPr>
        <w:t>em</w:t>
      </w:r>
      <w:r>
        <w:rPr>
          <w:rFonts w:ascii="Calibri" w:hAnsi="Calibri"/>
          <w:color w:val="001F60"/>
          <w:spacing w:val="-10"/>
        </w:rPr>
        <w:t xml:space="preserve"> </w:t>
      </w:r>
      <w:r>
        <w:rPr>
          <w:rFonts w:ascii="Calibri" w:hAnsi="Calibri"/>
          <w:color w:val="001F60"/>
        </w:rPr>
        <w:t>escolas</w:t>
      </w:r>
      <w:r>
        <w:rPr>
          <w:rFonts w:ascii="Calibri" w:hAnsi="Calibri"/>
          <w:color w:val="001F60"/>
          <w:spacing w:val="-8"/>
        </w:rPr>
        <w:t xml:space="preserve"> </w:t>
      </w:r>
      <w:r>
        <w:rPr>
          <w:rFonts w:ascii="Calibri" w:hAnsi="Calibri"/>
          <w:color w:val="001F60"/>
        </w:rPr>
        <w:t>identificadas</w:t>
      </w:r>
      <w:r>
        <w:rPr>
          <w:rFonts w:ascii="Calibri" w:hAnsi="Calibri"/>
          <w:color w:val="001F60"/>
          <w:spacing w:val="-13"/>
        </w:rPr>
        <w:t xml:space="preserve"> </w:t>
      </w:r>
      <w:r>
        <w:rPr>
          <w:rFonts w:ascii="Calibri" w:hAnsi="Calibri"/>
          <w:color w:val="001F60"/>
        </w:rPr>
        <w:t>pela</w:t>
      </w:r>
      <w:r>
        <w:rPr>
          <w:rFonts w:ascii="Calibri" w:hAnsi="Calibri"/>
          <w:color w:val="001F60"/>
          <w:spacing w:val="-10"/>
        </w:rPr>
        <w:t xml:space="preserve"> </w:t>
      </w:r>
      <w:r>
        <w:rPr>
          <w:rFonts w:ascii="Calibri" w:hAnsi="Calibri"/>
          <w:color w:val="001F60"/>
        </w:rPr>
        <w:t>EACE</w:t>
      </w:r>
      <w:r>
        <w:rPr>
          <w:rFonts w:ascii="Calibri" w:hAnsi="Calibri"/>
          <w:color w:val="001F60"/>
          <w:spacing w:val="-8"/>
        </w:rPr>
        <w:t xml:space="preserve"> </w:t>
      </w:r>
      <w:r>
        <w:rPr>
          <w:rFonts w:ascii="Calibri" w:hAnsi="Calibri"/>
          <w:color w:val="001F60"/>
        </w:rPr>
        <w:t>em</w:t>
      </w:r>
      <w:r>
        <w:rPr>
          <w:rFonts w:ascii="Calibri" w:hAnsi="Calibri"/>
          <w:color w:val="001F60"/>
          <w:spacing w:val="-10"/>
        </w:rPr>
        <w:t xml:space="preserve"> </w:t>
      </w:r>
      <w:r>
        <w:rPr>
          <w:rFonts w:ascii="Calibri" w:hAnsi="Calibri"/>
          <w:color w:val="001F60"/>
        </w:rPr>
        <w:t>todo</w:t>
      </w:r>
      <w:r>
        <w:rPr>
          <w:rFonts w:ascii="Calibri" w:hAnsi="Calibri"/>
          <w:color w:val="001F60"/>
          <w:spacing w:val="-10"/>
        </w:rPr>
        <w:t xml:space="preserve"> </w:t>
      </w:r>
      <w:r>
        <w:rPr>
          <w:rFonts w:ascii="Calibri" w:hAnsi="Calibri"/>
          <w:color w:val="001F60"/>
        </w:rPr>
        <w:t>o</w:t>
      </w:r>
      <w:r>
        <w:rPr>
          <w:rFonts w:ascii="Calibri" w:hAnsi="Calibri"/>
          <w:color w:val="001F60"/>
          <w:spacing w:val="-10"/>
        </w:rPr>
        <w:t xml:space="preserve"> </w:t>
      </w:r>
      <w:r>
        <w:rPr>
          <w:rFonts w:ascii="Calibri" w:hAnsi="Calibri"/>
          <w:color w:val="001F60"/>
        </w:rPr>
        <w:t>território</w:t>
      </w:r>
      <w:r>
        <w:rPr>
          <w:rFonts w:ascii="Calibri" w:hAnsi="Calibri"/>
          <w:color w:val="001F60"/>
          <w:spacing w:val="-8"/>
        </w:rPr>
        <w:t xml:space="preserve"> </w:t>
      </w:r>
      <w:r>
        <w:rPr>
          <w:rFonts w:ascii="Calibri" w:hAnsi="Calibri"/>
          <w:color w:val="001F60"/>
        </w:rPr>
        <w:t>nacional.</w:t>
      </w:r>
      <w:r>
        <w:rPr>
          <w:rFonts w:ascii="Calibri" w:hAnsi="Calibri"/>
          <w:color w:val="001F60"/>
          <w:spacing w:val="-10"/>
        </w:rPr>
        <w:t xml:space="preserve"> </w:t>
      </w:r>
      <w:r>
        <w:rPr>
          <w:rFonts w:ascii="Calibri" w:hAnsi="Calibri"/>
          <w:color w:val="001F60"/>
        </w:rPr>
        <w:t>O</w:t>
      </w:r>
      <w:r>
        <w:rPr>
          <w:rFonts w:ascii="Calibri" w:hAnsi="Calibri"/>
          <w:color w:val="001F60"/>
          <w:spacing w:val="-8"/>
        </w:rPr>
        <w:t xml:space="preserve"> </w:t>
      </w:r>
      <w:r>
        <w:rPr>
          <w:rFonts w:ascii="Calibri" w:hAnsi="Calibri"/>
          <w:color w:val="001F60"/>
        </w:rPr>
        <w:t>contrato</w:t>
      </w:r>
      <w:r>
        <w:rPr>
          <w:rFonts w:ascii="Calibri" w:hAnsi="Calibri"/>
          <w:color w:val="001F60"/>
          <w:spacing w:val="-10"/>
        </w:rPr>
        <w:t xml:space="preserve"> </w:t>
      </w:r>
      <w:r>
        <w:rPr>
          <w:rFonts w:ascii="Calibri" w:hAnsi="Calibri"/>
          <w:color w:val="001F60"/>
        </w:rPr>
        <w:t>prevê a</w:t>
      </w:r>
      <w:r>
        <w:rPr>
          <w:rFonts w:ascii="Calibri" w:hAnsi="Calibri"/>
          <w:color w:val="001F60"/>
          <w:spacing w:val="-12"/>
        </w:rPr>
        <w:t xml:space="preserve"> </w:t>
      </w:r>
      <w:r>
        <w:rPr>
          <w:rFonts w:ascii="Calibri" w:hAnsi="Calibri"/>
          <w:color w:val="001F60"/>
        </w:rPr>
        <w:t>instalação,</w:t>
      </w:r>
      <w:r>
        <w:rPr>
          <w:rFonts w:ascii="Calibri" w:hAnsi="Calibri"/>
          <w:color w:val="001F60"/>
          <w:spacing w:val="-11"/>
        </w:rPr>
        <w:t xml:space="preserve"> </w:t>
      </w:r>
      <w:r>
        <w:rPr>
          <w:rFonts w:ascii="Calibri" w:hAnsi="Calibri"/>
          <w:color w:val="001F60"/>
        </w:rPr>
        <w:t>ativação,</w:t>
      </w:r>
      <w:r>
        <w:rPr>
          <w:rFonts w:ascii="Calibri" w:hAnsi="Calibri"/>
          <w:color w:val="001F60"/>
          <w:spacing w:val="-13"/>
        </w:rPr>
        <w:t xml:space="preserve"> </w:t>
      </w:r>
      <w:r>
        <w:rPr>
          <w:rFonts w:ascii="Calibri" w:hAnsi="Calibri"/>
          <w:color w:val="001F60"/>
        </w:rPr>
        <w:t>manutenção</w:t>
      </w:r>
      <w:r>
        <w:rPr>
          <w:rFonts w:ascii="Calibri" w:hAnsi="Calibri"/>
          <w:color w:val="001F60"/>
          <w:spacing w:val="-11"/>
        </w:rPr>
        <w:t xml:space="preserve"> </w:t>
      </w:r>
      <w:r>
        <w:rPr>
          <w:rFonts w:ascii="Calibri" w:hAnsi="Calibri"/>
          <w:color w:val="001F60"/>
        </w:rPr>
        <w:t>e</w:t>
      </w:r>
      <w:r>
        <w:rPr>
          <w:rFonts w:ascii="Calibri" w:hAnsi="Calibri"/>
          <w:color w:val="001F60"/>
          <w:spacing w:val="-13"/>
        </w:rPr>
        <w:t xml:space="preserve"> </w:t>
      </w:r>
      <w:r>
        <w:rPr>
          <w:rFonts w:ascii="Calibri" w:hAnsi="Calibri"/>
          <w:color w:val="001F60"/>
        </w:rPr>
        <w:t>monitoramento</w:t>
      </w:r>
      <w:r>
        <w:rPr>
          <w:rFonts w:ascii="Calibri" w:hAnsi="Calibri"/>
          <w:color w:val="001F60"/>
          <w:spacing w:val="-12"/>
        </w:rPr>
        <w:t xml:space="preserve"> </w:t>
      </w:r>
      <w:r>
        <w:rPr>
          <w:rFonts w:ascii="Calibri" w:hAnsi="Calibri"/>
          <w:color w:val="001F60"/>
        </w:rPr>
        <w:t>desses</w:t>
      </w:r>
      <w:r>
        <w:rPr>
          <w:rFonts w:ascii="Calibri" w:hAnsi="Calibri"/>
          <w:color w:val="001F60"/>
          <w:spacing w:val="-12"/>
        </w:rPr>
        <w:t xml:space="preserve"> </w:t>
      </w:r>
      <w:r>
        <w:rPr>
          <w:rFonts w:ascii="Calibri" w:hAnsi="Calibri"/>
          <w:color w:val="001F60"/>
        </w:rPr>
        <w:t>pontos,</w:t>
      </w:r>
      <w:r>
        <w:rPr>
          <w:rFonts w:ascii="Calibri" w:hAnsi="Calibri"/>
          <w:color w:val="001F60"/>
          <w:spacing w:val="-13"/>
        </w:rPr>
        <w:t xml:space="preserve"> </w:t>
      </w:r>
      <w:r>
        <w:rPr>
          <w:rFonts w:ascii="Calibri" w:hAnsi="Calibri"/>
          <w:color w:val="001F60"/>
        </w:rPr>
        <w:t>assegurando</w:t>
      </w:r>
      <w:r>
        <w:rPr>
          <w:rFonts w:ascii="Calibri" w:hAnsi="Calibri"/>
          <w:color w:val="001F60"/>
          <w:spacing w:val="-9"/>
        </w:rPr>
        <w:t xml:space="preserve"> </w:t>
      </w:r>
      <w:r>
        <w:rPr>
          <w:rFonts w:ascii="Calibri" w:hAnsi="Calibri"/>
          <w:color w:val="001F60"/>
        </w:rPr>
        <w:t>que</w:t>
      </w:r>
      <w:r>
        <w:rPr>
          <w:rFonts w:ascii="Calibri" w:hAnsi="Calibri"/>
          <w:color w:val="001F60"/>
          <w:spacing w:val="-11"/>
        </w:rPr>
        <w:t xml:space="preserve"> </w:t>
      </w:r>
      <w:r>
        <w:rPr>
          <w:rFonts w:ascii="Calibri" w:hAnsi="Calibri"/>
          <w:color w:val="001F60"/>
        </w:rPr>
        <w:t>cada</w:t>
      </w:r>
      <w:r>
        <w:rPr>
          <w:rFonts w:ascii="Calibri" w:hAnsi="Calibri"/>
          <w:color w:val="001F60"/>
          <w:spacing w:val="-9"/>
        </w:rPr>
        <w:t xml:space="preserve"> </w:t>
      </w:r>
      <w:r>
        <w:rPr>
          <w:rFonts w:ascii="Calibri" w:hAnsi="Calibri"/>
          <w:color w:val="001F60"/>
        </w:rPr>
        <w:t>instituição educacional receba o serviço em conformidade com as diretrizes do MCom.</w:t>
      </w:r>
    </w:p>
    <w:p w14:paraId="4B2600AB" w14:textId="77777777" w:rsidR="002C6574" w:rsidRDefault="002C6574">
      <w:pPr>
        <w:pStyle w:val="Corpodetexto"/>
        <w:spacing w:before="6"/>
        <w:rPr>
          <w:rFonts w:ascii="Calibri"/>
        </w:rPr>
      </w:pPr>
    </w:p>
    <w:p w14:paraId="0BF47A57" w14:textId="77777777" w:rsidR="002C6574" w:rsidRDefault="00000000">
      <w:pPr>
        <w:pStyle w:val="Ttulo5"/>
        <w:ind w:left="426"/>
        <w:rPr>
          <w:rFonts w:ascii="Trebuchet MS" w:hAnsi="Trebuchet MS"/>
        </w:rPr>
      </w:pPr>
      <w:r>
        <w:rPr>
          <w:rFonts w:ascii="Trebuchet MS" w:hAnsi="Trebuchet MS"/>
          <w:color w:val="595959"/>
          <w:spacing w:val="-2"/>
          <w:w w:val="90"/>
        </w:rPr>
        <w:t>Total</w:t>
      </w:r>
      <w:r>
        <w:rPr>
          <w:rFonts w:ascii="Trebuchet MS" w:hAnsi="Trebuchet MS"/>
          <w:color w:val="595959"/>
          <w:spacing w:val="-20"/>
          <w:w w:val="90"/>
        </w:rPr>
        <w:t xml:space="preserve"> </w:t>
      </w:r>
      <w:r>
        <w:rPr>
          <w:rFonts w:ascii="Trebuchet MS" w:hAnsi="Trebuchet MS"/>
          <w:color w:val="595959"/>
          <w:spacing w:val="-2"/>
          <w:w w:val="90"/>
        </w:rPr>
        <w:t>de</w:t>
      </w:r>
      <w:r>
        <w:rPr>
          <w:rFonts w:ascii="Trebuchet MS" w:hAnsi="Trebuchet MS"/>
          <w:color w:val="595959"/>
          <w:spacing w:val="-16"/>
          <w:w w:val="90"/>
        </w:rPr>
        <w:t xml:space="preserve"> </w:t>
      </w:r>
      <w:r>
        <w:rPr>
          <w:rFonts w:ascii="Trebuchet MS" w:hAnsi="Trebuchet MS"/>
          <w:color w:val="595959"/>
          <w:spacing w:val="-2"/>
          <w:w w:val="90"/>
        </w:rPr>
        <w:t>Instalações</w:t>
      </w:r>
      <w:r>
        <w:rPr>
          <w:rFonts w:ascii="Trebuchet MS" w:hAnsi="Trebuchet MS"/>
          <w:color w:val="595959"/>
          <w:spacing w:val="-19"/>
          <w:w w:val="90"/>
        </w:rPr>
        <w:t xml:space="preserve"> </w:t>
      </w:r>
      <w:r>
        <w:rPr>
          <w:rFonts w:ascii="Trebuchet MS" w:hAnsi="Trebuchet MS"/>
          <w:color w:val="595959"/>
          <w:spacing w:val="-2"/>
          <w:w w:val="90"/>
        </w:rPr>
        <w:t>-</w:t>
      </w:r>
      <w:r>
        <w:rPr>
          <w:rFonts w:ascii="Trebuchet MS" w:hAnsi="Trebuchet MS"/>
          <w:color w:val="595959"/>
          <w:spacing w:val="-14"/>
          <w:w w:val="90"/>
        </w:rPr>
        <w:t xml:space="preserve"> </w:t>
      </w:r>
      <w:r>
        <w:rPr>
          <w:rFonts w:ascii="Trebuchet MS" w:hAnsi="Trebuchet MS"/>
          <w:color w:val="595959"/>
          <w:spacing w:val="-2"/>
          <w:w w:val="90"/>
        </w:rPr>
        <w:t>Pontos</w:t>
      </w:r>
      <w:r>
        <w:rPr>
          <w:rFonts w:ascii="Trebuchet MS" w:hAnsi="Trebuchet MS"/>
          <w:color w:val="595959"/>
          <w:spacing w:val="-22"/>
          <w:w w:val="90"/>
        </w:rPr>
        <w:t xml:space="preserve"> </w:t>
      </w:r>
      <w:r>
        <w:rPr>
          <w:rFonts w:ascii="Trebuchet MS" w:hAnsi="Trebuchet MS"/>
          <w:color w:val="595959"/>
          <w:spacing w:val="-4"/>
          <w:w w:val="90"/>
        </w:rPr>
        <w:t>EACE</w:t>
      </w:r>
    </w:p>
    <w:p w14:paraId="3D060365" w14:textId="77777777" w:rsidR="002C6574" w:rsidRDefault="00000000">
      <w:pPr>
        <w:spacing w:before="160"/>
        <w:ind w:right="1982"/>
        <w:jc w:val="right"/>
        <w:rPr>
          <w:rFonts w:ascii="Trebuchet MS"/>
          <w:b/>
          <w:sz w:val="18"/>
        </w:rPr>
      </w:pPr>
      <w:r>
        <w:rPr>
          <w:rFonts w:ascii="Trebuchet MS"/>
          <w:b/>
          <w:color w:val="3F3F3F"/>
          <w:spacing w:val="-4"/>
          <w:w w:val="95"/>
          <w:sz w:val="18"/>
        </w:rPr>
        <w:t>3223</w:t>
      </w:r>
    </w:p>
    <w:p w14:paraId="2ABCFE7A" w14:textId="77777777" w:rsidR="002C6574" w:rsidRDefault="00000000">
      <w:pPr>
        <w:pStyle w:val="Corpodetexto"/>
        <w:spacing w:before="7"/>
        <w:rPr>
          <w:rFonts w:ascii="Trebuchet MS"/>
          <w:b/>
          <w:sz w:val="6"/>
        </w:rPr>
      </w:pPr>
      <w:r>
        <w:rPr>
          <w:rFonts w:ascii="Trebuchet MS"/>
          <w:b/>
          <w:noProof/>
          <w:sz w:val="6"/>
        </w:rPr>
        <mc:AlternateContent>
          <mc:Choice Requires="wpg">
            <w:drawing>
              <wp:anchor distT="0" distB="0" distL="0" distR="0" simplePos="0" relativeHeight="487600640" behindDoc="1" locked="0" layoutInCell="1" allowOverlap="1" wp14:anchorId="1C1E1627" wp14:editId="49448812">
                <wp:simplePos x="0" y="0"/>
                <wp:positionH relativeFrom="page">
                  <wp:posOffset>1996439</wp:posOffset>
                </wp:positionH>
                <wp:positionV relativeFrom="paragraph">
                  <wp:posOffset>64506</wp:posOffset>
                </wp:positionV>
                <wp:extent cx="3929379" cy="1536700"/>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9379" cy="1536700"/>
                          <a:chOff x="0" y="0"/>
                          <a:chExt cx="3929379" cy="1536700"/>
                        </a:xfrm>
                      </wpg:grpSpPr>
                      <wps:wsp>
                        <wps:cNvPr id="87" name="Graphic 87"/>
                        <wps:cNvSpPr/>
                        <wps:spPr>
                          <a:xfrm>
                            <a:off x="118872" y="0"/>
                            <a:ext cx="3689985" cy="1531620"/>
                          </a:xfrm>
                          <a:custGeom>
                            <a:avLst/>
                            <a:gdLst/>
                            <a:ahLst/>
                            <a:cxnLst/>
                            <a:rect l="l" t="t" r="r" b="b"/>
                            <a:pathLst>
                              <a:path w="3689985" h="1531620">
                                <a:moveTo>
                                  <a:pt x="321564" y="1484376"/>
                                </a:moveTo>
                                <a:lnTo>
                                  <a:pt x="0" y="1484376"/>
                                </a:lnTo>
                                <a:lnTo>
                                  <a:pt x="0" y="1531620"/>
                                </a:lnTo>
                                <a:lnTo>
                                  <a:pt x="321564" y="1531620"/>
                                </a:lnTo>
                                <a:lnTo>
                                  <a:pt x="321564" y="1484376"/>
                                </a:lnTo>
                                <a:close/>
                              </a:path>
                              <a:path w="3689985" h="1531620">
                                <a:moveTo>
                                  <a:pt x="882396" y="1211580"/>
                                </a:moveTo>
                                <a:lnTo>
                                  <a:pt x="562356" y="1211580"/>
                                </a:lnTo>
                                <a:lnTo>
                                  <a:pt x="562356" y="1531620"/>
                                </a:lnTo>
                                <a:lnTo>
                                  <a:pt x="882396" y="1531620"/>
                                </a:lnTo>
                                <a:lnTo>
                                  <a:pt x="882396" y="1211580"/>
                                </a:lnTo>
                                <a:close/>
                              </a:path>
                              <a:path w="3689985" h="1531620">
                                <a:moveTo>
                                  <a:pt x="1443228" y="1025652"/>
                                </a:moveTo>
                                <a:lnTo>
                                  <a:pt x="1123188" y="1025652"/>
                                </a:lnTo>
                                <a:lnTo>
                                  <a:pt x="1123188" y="1531620"/>
                                </a:lnTo>
                                <a:lnTo>
                                  <a:pt x="1443228" y="1531620"/>
                                </a:lnTo>
                                <a:lnTo>
                                  <a:pt x="1443228" y="1025652"/>
                                </a:lnTo>
                                <a:close/>
                              </a:path>
                              <a:path w="3689985" h="1531620">
                                <a:moveTo>
                                  <a:pt x="2005584" y="1357884"/>
                                </a:moveTo>
                                <a:lnTo>
                                  <a:pt x="1684020" y="1357884"/>
                                </a:lnTo>
                                <a:lnTo>
                                  <a:pt x="1684020" y="1531620"/>
                                </a:lnTo>
                                <a:lnTo>
                                  <a:pt x="2005584" y="1531620"/>
                                </a:lnTo>
                                <a:lnTo>
                                  <a:pt x="2005584" y="1357884"/>
                                </a:lnTo>
                                <a:close/>
                              </a:path>
                              <a:path w="3689985" h="1531620">
                                <a:moveTo>
                                  <a:pt x="2566416" y="1341120"/>
                                </a:moveTo>
                                <a:lnTo>
                                  <a:pt x="2246376" y="1341120"/>
                                </a:lnTo>
                                <a:lnTo>
                                  <a:pt x="2246376" y="1531620"/>
                                </a:lnTo>
                                <a:lnTo>
                                  <a:pt x="2566416" y="1531620"/>
                                </a:lnTo>
                                <a:lnTo>
                                  <a:pt x="2566416" y="1341120"/>
                                </a:lnTo>
                                <a:close/>
                              </a:path>
                              <a:path w="3689985" h="1531620">
                                <a:moveTo>
                                  <a:pt x="3128772" y="1234440"/>
                                </a:moveTo>
                                <a:lnTo>
                                  <a:pt x="2807208" y="1234440"/>
                                </a:lnTo>
                                <a:lnTo>
                                  <a:pt x="2807208" y="1531620"/>
                                </a:lnTo>
                                <a:lnTo>
                                  <a:pt x="3128772" y="1531620"/>
                                </a:lnTo>
                                <a:lnTo>
                                  <a:pt x="3128772" y="1234440"/>
                                </a:lnTo>
                                <a:close/>
                              </a:path>
                              <a:path w="3689985" h="1531620">
                                <a:moveTo>
                                  <a:pt x="3689591" y="0"/>
                                </a:moveTo>
                                <a:lnTo>
                                  <a:pt x="3368040" y="0"/>
                                </a:lnTo>
                                <a:lnTo>
                                  <a:pt x="3368040" y="1531620"/>
                                </a:lnTo>
                                <a:lnTo>
                                  <a:pt x="3689591" y="1531620"/>
                                </a:lnTo>
                                <a:lnTo>
                                  <a:pt x="3689591" y="0"/>
                                </a:lnTo>
                                <a:close/>
                              </a:path>
                            </a:pathLst>
                          </a:custGeom>
                          <a:solidFill>
                            <a:srgbClr val="4D95D8"/>
                          </a:solidFill>
                        </wps:spPr>
                        <wps:bodyPr wrap="square" lIns="0" tIns="0" rIns="0" bIns="0" rtlCol="0">
                          <a:prstTxWarp prst="textNoShape">
                            <a:avLst/>
                          </a:prstTxWarp>
                          <a:noAutofit/>
                        </wps:bodyPr>
                      </wps:wsp>
                      <wps:wsp>
                        <wps:cNvPr id="88" name="Graphic 88"/>
                        <wps:cNvSpPr/>
                        <wps:spPr>
                          <a:xfrm>
                            <a:off x="0" y="1531620"/>
                            <a:ext cx="3929379" cy="1270"/>
                          </a:xfrm>
                          <a:custGeom>
                            <a:avLst/>
                            <a:gdLst/>
                            <a:ahLst/>
                            <a:cxnLst/>
                            <a:rect l="l" t="t" r="r" b="b"/>
                            <a:pathLst>
                              <a:path w="3929379">
                                <a:moveTo>
                                  <a:pt x="0" y="0"/>
                                </a:moveTo>
                                <a:lnTo>
                                  <a:pt x="3928872" y="0"/>
                                </a:lnTo>
                              </a:path>
                            </a:pathLst>
                          </a:custGeom>
                          <a:ln w="9144">
                            <a:solidFill>
                              <a:srgbClr val="D8D8D8"/>
                            </a:solidFill>
                            <a:prstDash val="solid"/>
                          </a:ln>
                        </wps:spPr>
                        <wps:bodyPr wrap="square" lIns="0" tIns="0" rIns="0" bIns="0" rtlCol="0">
                          <a:prstTxWarp prst="textNoShape">
                            <a:avLst/>
                          </a:prstTxWarp>
                          <a:noAutofit/>
                        </wps:bodyPr>
                      </wps:wsp>
                      <wps:wsp>
                        <wps:cNvPr id="89" name="Textbox 89"/>
                        <wps:cNvSpPr txBox="1"/>
                        <wps:spPr>
                          <a:xfrm>
                            <a:off x="1286272" y="828402"/>
                            <a:ext cx="244475" cy="139700"/>
                          </a:xfrm>
                          <a:prstGeom prst="rect">
                            <a:avLst/>
                          </a:prstGeom>
                        </wps:spPr>
                        <wps:txbx>
                          <w:txbxContent>
                            <w:p w14:paraId="69B5C6EF" w14:textId="77777777" w:rsidR="002C6574" w:rsidRDefault="00000000">
                              <w:pPr>
                                <w:rPr>
                                  <w:rFonts w:ascii="Trebuchet MS"/>
                                  <w:b/>
                                  <w:sz w:val="18"/>
                                </w:rPr>
                              </w:pPr>
                              <w:r>
                                <w:rPr>
                                  <w:rFonts w:ascii="Trebuchet MS"/>
                                  <w:b/>
                                  <w:color w:val="3F3F3F"/>
                                  <w:spacing w:val="-4"/>
                                  <w:w w:val="90"/>
                                  <w:sz w:val="18"/>
                                </w:rPr>
                                <w:t>1064</w:t>
                              </w:r>
                            </w:p>
                          </w:txbxContent>
                        </wps:txbx>
                        <wps:bodyPr wrap="square" lIns="0" tIns="0" rIns="0" bIns="0" rtlCol="0">
                          <a:noAutofit/>
                        </wps:bodyPr>
                      </wps:wsp>
                      <wps:wsp>
                        <wps:cNvPr id="90" name="Textbox 90"/>
                        <wps:cNvSpPr txBox="1"/>
                        <wps:spPr>
                          <a:xfrm>
                            <a:off x="754399" y="1014320"/>
                            <a:ext cx="186690" cy="139700"/>
                          </a:xfrm>
                          <a:prstGeom prst="rect">
                            <a:avLst/>
                          </a:prstGeom>
                        </wps:spPr>
                        <wps:txbx>
                          <w:txbxContent>
                            <w:p w14:paraId="24F32108" w14:textId="77777777" w:rsidR="002C6574" w:rsidRDefault="00000000">
                              <w:pPr>
                                <w:rPr>
                                  <w:rFonts w:ascii="Trebuchet MS"/>
                                  <w:b/>
                                  <w:sz w:val="18"/>
                                </w:rPr>
                              </w:pPr>
                              <w:r>
                                <w:rPr>
                                  <w:rFonts w:ascii="Trebuchet MS"/>
                                  <w:b/>
                                  <w:color w:val="3F3F3F"/>
                                  <w:spacing w:val="-5"/>
                                  <w:w w:val="90"/>
                                  <w:sz w:val="18"/>
                                </w:rPr>
                                <w:t>673</w:t>
                              </w:r>
                            </w:p>
                          </w:txbxContent>
                        </wps:txbx>
                        <wps:bodyPr wrap="square" lIns="0" tIns="0" rIns="0" bIns="0" rtlCol="0">
                          <a:noAutofit/>
                        </wps:bodyPr>
                      </wps:wsp>
                      <wps:wsp>
                        <wps:cNvPr id="91" name="Textbox 91"/>
                        <wps:cNvSpPr txBox="1"/>
                        <wps:spPr>
                          <a:xfrm>
                            <a:off x="1876034" y="1160648"/>
                            <a:ext cx="186690" cy="139700"/>
                          </a:xfrm>
                          <a:prstGeom prst="rect">
                            <a:avLst/>
                          </a:prstGeom>
                        </wps:spPr>
                        <wps:txbx>
                          <w:txbxContent>
                            <w:p w14:paraId="22EF5CDC" w14:textId="77777777" w:rsidR="002C6574" w:rsidRDefault="00000000">
                              <w:pPr>
                                <w:rPr>
                                  <w:rFonts w:ascii="Trebuchet MS"/>
                                  <w:b/>
                                  <w:sz w:val="18"/>
                                </w:rPr>
                              </w:pPr>
                              <w:r>
                                <w:rPr>
                                  <w:rFonts w:ascii="Trebuchet MS"/>
                                  <w:b/>
                                  <w:color w:val="3F3F3F"/>
                                  <w:spacing w:val="-5"/>
                                  <w:w w:val="90"/>
                                  <w:sz w:val="18"/>
                                </w:rPr>
                                <w:t>365</w:t>
                              </w:r>
                            </w:p>
                          </w:txbxContent>
                        </wps:txbx>
                        <wps:bodyPr wrap="square" lIns="0" tIns="0" rIns="0" bIns="0" rtlCol="0">
                          <a:noAutofit/>
                        </wps:bodyPr>
                      </wps:wsp>
                      <wps:wsp>
                        <wps:cNvPr id="92" name="Textbox 92"/>
                        <wps:cNvSpPr txBox="1"/>
                        <wps:spPr>
                          <a:xfrm>
                            <a:off x="2438359" y="1143835"/>
                            <a:ext cx="186690" cy="139700"/>
                          </a:xfrm>
                          <a:prstGeom prst="rect">
                            <a:avLst/>
                          </a:prstGeom>
                        </wps:spPr>
                        <wps:txbx>
                          <w:txbxContent>
                            <w:p w14:paraId="0C2CA781" w14:textId="77777777" w:rsidR="002C6574" w:rsidRDefault="00000000">
                              <w:pPr>
                                <w:rPr>
                                  <w:rFonts w:ascii="Trebuchet MS"/>
                                  <w:b/>
                                  <w:sz w:val="18"/>
                                </w:rPr>
                              </w:pPr>
                              <w:r>
                                <w:rPr>
                                  <w:rFonts w:ascii="Trebuchet MS"/>
                                  <w:b/>
                                  <w:color w:val="3F3F3F"/>
                                  <w:spacing w:val="-5"/>
                                  <w:w w:val="85"/>
                                  <w:sz w:val="18"/>
                                </w:rPr>
                                <w:t>3GG</w:t>
                              </w:r>
                            </w:p>
                          </w:txbxContent>
                        </wps:txbx>
                        <wps:bodyPr wrap="square" lIns="0" tIns="0" rIns="0" bIns="0" rtlCol="0">
                          <a:noAutofit/>
                        </wps:bodyPr>
                      </wps:wsp>
                      <wps:wsp>
                        <wps:cNvPr id="93" name="Textbox 93"/>
                        <wps:cNvSpPr txBox="1"/>
                        <wps:spPr>
                          <a:xfrm>
                            <a:off x="2999218" y="1037202"/>
                            <a:ext cx="186690" cy="139700"/>
                          </a:xfrm>
                          <a:prstGeom prst="rect">
                            <a:avLst/>
                          </a:prstGeom>
                        </wps:spPr>
                        <wps:txbx>
                          <w:txbxContent>
                            <w:p w14:paraId="5743D6E5" w14:textId="77777777" w:rsidR="002C6574" w:rsidRDefault="00000000">
                              <w:pPr>
                                <w:rPr>
                                  <w:rFonts w:ascii="Trebuchet MS"/>
                                  <w:b/>
                                  <w:sz w:val="18"/>
                                </w:rPr>
                              </w:pPr>
                              <w:r>
                                <w:rPr>
                                  <w:rFonts w:ascii="Trebuchet MS"/>
                                  <w:b/>
                                  <w:color w:val="3F3F3F"/>
                                  <w:spacing w:val="-5"/>
                                  <w:w w:val="90"/>
                                  <w:sz w:val="18"/>
                                </w:rPr>
                                <w:t>625</w:t>
                              </w:r>
                            </w:p>
                          </w:txbxContent>
                        </wps:txbx>
                        <wps:bodyPr wrap="square" lIns="0" tIns="0" rIns="0" bIns="0" rtlCol="0">
                          <a:noAutofit/>
                        </wps:bodyPr>
                      </wps:wsp>
                      <wps:wsp>
                        <wps:cNvPr id="94" name="Textbox 94"/>
                        <wps:cNvSpPr txBox="1"/>
                        <wps:spPr>
                          <a:xfrm>
                            <a:off x="220963" y="1287128"/>
                            <a:ext cx="129539" cy="139700"/>
                          </a:xfrm>
                          <a:prstGeom prst="rect">
                            <a:avLst/>
                          </a:prstGeom>
                        </wps:spPr>
                        <wps:txbx>
                          <w:txbxContent>
                            <w:p w14:paraId="41E74625" w14:textId="77777777" w:rsidR="002C6574" w:rsidRDefault="00000000">
                              <w:pPr>
                                <w:rPr>
                                  <w:rFonts w:ascii="Trebuchet MS"/>
                                  <w:b/>
                                  <w:sz w:val="18"/>
                                </w:rPr>
                              </w:pPr>
                              <w:r>
                                <w:rPr>
                                  <w:rFonts w:ascii="Trebuchet MS"/>
                                  <w:b/>
                                  <w:color w:val="3F3F3F"/>
                                  <w:spacing w:val="-5"/>
                                  <w:w w:val="90"/>
                                  <w:sz w:val="18"/>
                                </w:rPr>
                                <w:t>G7</w:t>
                              </w:r>
                            </w:p>
                          </w:txbxContent>
                        </wps:txbx>
                        <wps:bodyPr wrap="square" lIns="0" tIns="0" rIns="0" bIns="0" rtlCol="0">
                          <a:noAutofit/>
                        </wps:bodyPr>
                      </wps:wsp>
                    </wpg:wgp>
                  </a:graphicData>
                </a:graphic>
              </wp:anchor>
            </w:drawing>
          </mc:Choice>
          <mc:Fallback>
            <w:pict>
              <v:group w14:anchorId="1C1E1627" id="Group 86" o:spid="_x0000_s1037" style="position:absolute;margin-left:157.2pt;margin-top:5.1pt;width:309.4pt;height:121pt;z-index:-15715840;mso-wrap-distance-left:0;mso-wrap-distance-right:0;mso-position-horizontal-relative:page;mso-position-vertical-relative:text" coordsize="39293,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">
                <v:shape id="Graphic 87" o:spid="_x0000_s1038" style="position:absolute;left:1188;width:36900;height:15316;visibility:visible;mso-wrap-style:square;v-text-anchor:top" coordsize="3689985,15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" path="m321564,1484376l,1484376r,47244l321564,1531620r,-47244xem882396,1211580r-320040,l562356,1531620r320040,l882396,1211580xem1443228,1025652r-320040,l1123188,1531620r320040,l1443228,1025652xem2005584,1357884r-321564,l1684020,1531620r321564,l2005584,1357884xem2566416,1341120r-320040,l2246376,1531620r320040,l2566416,1341120xem3128772,1234440r-321564,l2807208,1531620r321564,l3128772,1234440xem3689591,l3368040,r,1531620l3689591,1531620,3689591,xe" fillcolor="#4d95d8" stroked="f">
                  <v:path arrowok="t"/>
                </v:shape>
                <v:shape id="Graphic 88" o:spid="_x0000_s1039" style="position:absolute;top:15316;width:39293;height:12;visibility:visible;mso-wrap-style:square;v-text-anchor:top" coordsize="39293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" path="m,l3928872,e" filled="f" strokecolor="#d8d8d8" strokeweight=".72pt">
                  <v:path arrowok="t"/>
                </v:shape>
                <v:shape id="Textbox 89" o:spid="_x0000_s1040" type="#_x0000_t202" style="position:absolute;left:12862;top:8284;width:244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69B5C6EF" w14:textId="77777777" w:rsidR="002C6574" w:rsidRDefault="00000000">
                        <w:pPr>
                          <w:rPr>
                            <w:rFonts w:ascii="Trebuchet MS"/>
                            <w:b/>
                            <w:sz w:val="18"/>
                          </w:rPr>
                        </w:pPr>
                        <w:r>
                          <w:rPr>
                            <w:rFonts w:ascii="Trebuchet MS"/>
                            <w:b/>
                            <w:color w:val="3F3F3F"/>
                            <w:spacing w:val="-4"/>
                            <w:w w:val="90"/>
                            <w:sz w:val="18"/>
                          </w:rPr>
                          <w:t>1064</w:t>
                        </w:r>
                      </w:p>
                    </w:txbxContent>
                  </v:textbox>
                </v:shape>
                <v:shape id="Textbox 90" o:spid="_x0000_s1041" type="#_x0000_t202" style="position:absolute;left:7543;top:10143;width:186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4F32108" w14:textId="77777777" w:rsidR="002C6574" w:rsidRDefault="00000000">
                        <w:pPr>
                          <w:rPr>
                            <w:rFonts w:ascii="Trebuchet MS"/>
                            <w:b/>
                            <w:sz w:val="18"/>
                          </w:rPr>
                        </w:pPr>
                        <w:r>
                          <w:rPr>
                            <w:rFonts w:ascii="Trebuchet MS"/>
                            <w:b/>
                            <w:color w:val="3F3F3F"/>
                            <w:spacing w:val="-5"/>
                            <w:w w:val="90"/>
                            <w:sz w:val="18"/>
                          </w:rPr>
                          <w:t>673</w:t>
                        </w:r>
                      </w:p>
                    </w:txbxContent>
                  </v:textbox>
                </v:shape>
                <v:shape id="Textbox 91" o:spid="_x0000_s1042" type="#_x0000_t202" style="position:absolute;left:18760;top:11606;width:186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2EF5CDC" w14:textId="77777777" w:rsidR="002C6574" w:rsidRDefault="00000000">
                        <w:pPr>
                          <w:rPr>
                            <w:rFonts w:ascii="Trebuchet MS"/>
                            <w:b/>
                            <w:sz w:val="18"/>
                          </w:rPr>
                        </w:pPr>
                        <w:r>
                          <w:rPr>
                            <w:rFonts w:ascii="Trebuchet MS"/>
                            <w:b/>
                            <w:color w:val="3F3F3F"/>
                            <w:spacing w:val="-5"/>
                            <w:w w:val="90"/>
                            <w:sz w:val="18"/>
                          </w:rPr>
                          <w:t>365</w:t>
                        </w:r>
                      </w:p>
                    </w:txbxContent>
                  </v:textbox>
                </v:shape>
                <v:shape id="Textbox 92" o:spid="_x0000_s1043" type="#_x0000_t202" style="position:absolute;left:24383;top:11438;width:186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0C2CA781" w14:textId="77777777" w:rsidR="002C6574" w:rsidRDefault="00000000">
                        <w:pPr>
                          <w:rPr>
                            <w:rFonts w:ascii="Trebuchet MS"/>
                            <w:b/>
                            <w:sz w:val="18"/>
                          </w:rPr>
                        </w:pPr>
                        <w:r>
                          <w:rPr>
                            <w:rFonts w:ascii="Trebuchet MS"/>
                            <w:b/>
                            <w:color w:val="3F3F3F"/>
                            <w:spacing w:val="-5"/>
                            <w:w w:val="85"/>
                            <w:sz w:val="18"/>
                          </w:rPr>
                          <w:t>3GG</w:t>
                        </w:r>
                      </w:p>
                    </w:txbxContent>
                  </v:textbox>
                </v:shape>
                <v:shape id="Textbox 93" o:spid="_x0000_s1044" type="#_x0000_t202" style="position:absolute;left:29992;top:10372;width:186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743D6E5" w14:textId="77777777" w:rsidR="002C6574" w:rsidRDefault="00000000">
                        <w:pPr>
                          <w:rPr>
                            <w:rFonts w:ascii="Trebuchet MS"/>
                            <w:b/>
                            <w:sz w:val="18"/>
                          </w:rPr>
                        </w:pPr>
                        <w:r>
                          <w:rPr>
                            <w:rFonts w:ascii="Trebuchet MS"/>
                            <w:b/>
                            <w:color w:val="3F3F3F"/>
                            <w:spacing w:val="-5"/>
                            <w:w w:val="90"/>
                            <w:sz w:val="18"/>
                          </w:rPr>
                          <w:t>625</w:t>
                        </w:r>
                      </w:p>
                    </w:txbxContent>
                  </v:textbox>
                </v:shape>
                <v:shape id="Textbox 94" o:spid="_x0000_s1045" type="#_x0000_t202" style="position:absolute;left:2209;top:12871;width:129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1E74625" w14:textId="77777777" w:rsidR="002C6574" w:rsidRDefault="00000000">
                        <w:pPr>
                          <w:rPr>
                            <w:rFonts w:ascii="Trebuchet MS"/>
                            <w:b/>
                            <w:sz w:val="18"/>
                          </w:rPr>
                        </w:pPr>
                        <w:r>
                          <w:rPr>
                            <w:rFonts w:ascii="Trebuchet MS"/>
                            <w:b/>
                            <w:color w:val="3F3F3F"/>
                            <w:spacing w:val="-5"/>
                            <w:w w:val="90"/>
                            <w:sz w:val="18"/>
                          </w:rPr>
                          <w:t>G7</w:t>
                        </w:r>
                      </w:p>
                    </w:txbxContent>
                  </v:textbox>
                </v:shape>
                <w10:wrap type="topAndBottom" anchorx="page"/>
              </v:group>
            </w:pict>
          </mc:Fallback>
        </mc:AlternateContent>
      </w:r>
    </w:p>
    <w:p w14:paraId="2F7B5E6C" w14:textId="77777777" w:rsidR="002C6574" w:rsidRPr="00E15B92" w:rsidRDefault="00000000">
      <w:pPr>
        <w:tabs>
          <w:tab w:val="left" w:pos="840"/>
          <w:tab w:val="left" w:pos="1744"/>
          <w:tab w:val="left" w:pos="2621"/>
          <w:tab w:val="left" w:pos="3491"/>
          <w:tab w:val="left" w:pos="4380"/>
          <w:tab w:val="left" w:pos="5202"/>
        </w:tabs>
        <w:spacing w:before="117"/>
        <w:ind w:right="1958"/>
        <w:jc w:val="right"/>
        <w:rPr>
          <w:rFonts w:ascii="Trebuchet MS"/>
          <w:b/>
          <w:sz w:val="20"/>
          <w:lang w:val="en-US"/>
        </w:rPr>
      </w:pPr>
      <w:r w:rsidRPr="00E15B92">
        <w:rPr>
          <w:rFonts w:ascii="Trebuchet MS"/>
          <w:b/>
          <w:color w:val="595959"/>
          <w:spacing w:val="-5"/>
          <w:w w:val="95"/>
          <w:sz w:val="20"/>
          <w:lang w:val="en-US"/>
        </w:rPr>
        <w:t>jul</w:t>
      </w:r>
      <w:r w:rsidRPr="00E15B92">
        <w:rPr>
          <w:rFonts w:ascii="Trebuchet MS"/>
          <w:b/>
          <w:color w:val="595959"/>
          <w:sz w:val="20"/>
          <w:lang w:val="en-US"/>
        </w:rPr>
        <w:tab/>
      </w:r>
      <w:r w:rsidRPr="00E15B92">
        <w:rPr>
          <w:rFonts w:ascii="Trebuchet MS"/>
          <w:b/>
          <w:color w:val="595959"/>
          <w:spacing w:val="-5"/>
          <w:w w:val="95"/>
          <w:sz w:val="20"/>
          <w:lang w:val="en-US"/>
        </w:rPr>
        <w:t>ago</w:t>
      </w:r>
      <w:r w:rsidRPr="00E15B92">
        <w:rPr>
          <w:rFonts w:ascii="Trebuchet MS"/>
          <w:b/>
          <w:color w:val="595959"/>
          <w:sz w:val="20"/>
          <w:lang w:val="en-US"/>
        </w:rPr>
        <w:tab/>
      </w:r>
      <w:r w:rsidRPr="00E15B92">
        <w:rPr>
          <w:rFonts w:ascii="Trebuchet MS"/>
          <w:b/>
          <w:color w:val="595959"/>
          <w:spacing w:val="-5"/>
          <w:w w:val="95"/>
          <w:sz w:val="20"/>
          <w:lang w:val="en-US"/>
        </w:rPr>
        <w:t>set</w:t>
      </w:r>
      <w:r w:rsidRPr="00E15B92">
        <w:rPr>
          <w:rFonts w:ascii="Trebuchet MS"/>
          <w:b/>
          <w:color w:val="595959"/>
          <w:sz w:val="20"/>
          <w:lang w:val="en-US"/>
        </w:rPr>
        <w:tab/>
      </w:r>
      <w:r w:rsidRPr="00E15B92">
        <w:rPr>
          <w:rFonts w:ascii="Trebuchet MS"/>
          <w:b/>
          <w:color w:val="595959"/>
          <w:spacing w:val="-5"/>
          <w:w w:val="95"/>
          <w:sz w:val="20"/>
          <w:lang w:val="en-US"/>
        </w:rPr>
        <w:t>out</w:t>
      </w:r>
      <w:r w:rsidRPr="00E15B92">
        <w:rPr>
          <w:rFonts w:ascii="Trebuchet MS"/>
          <w:b/>
          <w:color w:val="595959"/>
          <w:sz w:val="20"/>
          <w:lang w:val="en-US"/>
        </w:rPr>
        <w:tab/>
      </w:r>
      <w:r w:rsidRPr="00E15B92">
        <w:rPr>
          <w:rFonts w:ascii="Trebuchet MS"/>
          <w:b/>
          <w:color w:val="595959"/>
          <w:spacing w:val="-5"/>
          <w:w w:val="95"/>
          <w:sz w:val="20"/>
          <w:lang w:val="en-US"/>
        </w:rPr>
        <w:t>nov</w:t>
      </w:r>
      <w:r w:rsidRPr="00E15B92">
        <w:rPr>
          <w:rFonts w:ascii="Trebuchet MS"/>
          <w:b/>
          <w:color w:val="595959"/>
          <w:sz w:val="20"/>
          <w:lang w:val="en-US"/>
        </w:rPr>
        <w:tab/>
      </w:r>
      <w:r w:rsidRPr="00E15B92">
        <w:rPr>
          <w:rFonts w:ascii="Trebuchet MS"/>
          <w:b/>
          <w:color w:val="595959"/>
          <w:spacing w:val="-5"/>
          <w:w w:val="95"/>
          <w:sz w:val="20"/>
          <w:lang w:val="en-US"/>
        </w:rPr>
        <w:t>dez</w:t>
      </w:r>
      <w:r w:rsidRPr="00E15B92">
        <w:rPr>
          <w:rFonts w:ascii="Trebuchet MS"/>
          <w:b/>
          <w:color w:val="595959"/>
          <w:sz w:val="20"/>
          <w:lang w:val="en-US"/>
        </w:rPr>
        <w:tab/>
      </w:r>
      <w:r w:rsidRPr="00E15B92">
        <w:rPr>
          <w:rFonts w:ascii="Trebuchet MS"/>
          <w:b/>
          <w:color w:val="595959"/>
          <w:spacing w:val="-2"/>
          <w:w w:val="95"/>
          <w:sz w:val="20"/>
          <w:lang w:val="en-US"/>
        </w:rPr>
        <w:t>Total</w:t>
      </w:r>
    </w:p>
    <w:p w14:paraId="2AE20F61" w14:textId="77777777" w:rsidR="002C6574" w:rsidRPr="00E15B92" w:rsidRDefault="002C6574">
      <w:pPr>
        <w:pStyle w:val="Corpodetexto"/>
        <w:spacing w:before="87"/>
        <w:rPr>
          <w:rFonts w:ascii="Trebuchet MS"/>
          <w:b/>
          <w:sz w:val="16"/>
          <w:lang w:val="en-US"/>
        </w:rPr>
      </w:pPr>
    </w:p>
    <w:p w14:paraId="3D74D448" w14:textId="77777777" w:rsidR="002C6574" w:rsidRDefault="00000000">
      <w:pPr>
        <w:spacing w:before="1"/>
        <w:ind w:left="425"/>
        <w:jc w:val="center"/>
        <w:rPr>
          <w:rFonts w:ascii="Calibri" w:hAnsi="Calibri"/>
          <w:sz w:val="16"/>
        </w:rPr>
      </w:pPr>
      <w:r>
        <w:rPr>
          <w:rFonts w:ascii="Calibri" w:hAnsi="Calibri"/>
          <w:color w:val="001F60"/>
          <w:sz w:val="16"/>
        </w:rPr>
        <w:t>Gráfico</w:t>
      </w:r>
      <w:r>
        <w:rPr>
          <w:rFonts w:ascii="Calibri" w:hAnsi="Calibri"/>
          <w:color w:val="001F60"/>
          <w:spacing w:val="-5"/>
          <w:sz w:val="16"/>
        </w:rPr>
        <w:t xml:space="preserve"> </w:t>
      </w:r>
      <w:r>
        <w:rPr>
          <w:rFonts w:ascii="Calibri" w:hAnsi="Calibri"/>
          <w:color w:val="001F60"/>
          <w:sz w:val="16"/>
        </w:rPr>
        <w:t>7-2</w:t>
      </w:r>
      <w:r>
        <w:rPr>
          <w:rFonts w:ascii="Calibri" w:hAnsi="Calibri"/>
          <w:color w:val="001F60"/>
          <w:spacing w:val="-4"/>
          <w:sz w:val="16"/>
        </w:rPr>
        <w:t xml:space="preserve"> </w:t>
      </w:r>
      <w:r>
        <w:rPr>
          <w:rFonts w:ascii="Calibri" w:hAnsi="Calibri"/>
          <w:color w:val="001F60"/>
          <w:sz w:val="16"/>
        </w:rPr>
        <w:t>Instalações</w:t>
      </w:r>
      <w:r>
        <w:rPr>
          <w:rFonts w:ascii="Calibri" w:hAnsi="Calibri"/>
          <w:color w:val="001F60"/>
          <w:spacing w:val="-4"/>
          <w:sz w:val="16"/>
        </w:rPr>
        <w:t xml:space="preserve"> </w:t>
      </w:r>
      <w:r>
        <w:rPr>
          <w:rFonts w:ascii="Calibri" w:hAnsi="Calibri"/>
          <w:color w:val="001F60"/>
          <w:sz w:val="16"/>
        </w:rPr>
        <w:t>Projeto</w:t>
      </w:r>
      <w:r>
        <w:rPr>
          <w:rFonts w:ascii="Calibri" w:hAnsi="Calibri"/>
          <w:color w:val="001F60"/>
          <w:spacing w:val="-4"/>
          <w:sz w:val="16"/>
        </w:rPr>
        <w:t xml:space="preserve"> </w:t>
      </w:r>
      <w:r>
        <w:rPr>
          <w:rFonts w:ascii="Calibri" w:hAnsi="Calibri"/>
          <w:color w:val="001F60"/>
          <w:spacing w:val="-2"/>
          <w:sz w:val="16"/>
        </w:rPr>
        <w:t>GESAC/EACE</w:t>
      </w:r>
    </w:p>
    <w:p w14:paraId="4600920B" w14:textId="77777777" w:rsidR="002C6574" w:rsidRDefault="00000000">
      <w:pPr>
        <w:pStyle w:val="Corpodetexto"/>
        <w:spacing w:before="119"/>
        <w:ind w:left="709" w:right="276"/>
        <w:jc w:val="both"/>
        <w:rPr>
          <w:rFonts w:ascii="Calibri" w:hAnsi="Calibri"/>
        </w:rPr>
      </w:pPr>
      <w:r>
        <w:rPr>
          <w:rFonts w:ascii="Calibri" w:hAnsi="Calibri"/>
          <w:color w:val="001F60"/>
        </w:rPr>
        <w:t>A parceria Telebras–EACE reafirma o papel institucional da Companhia na execução de políticas públicas de telecomunicações, somando-se às iniciativas estruturantes do Governo Federal, como o próprio Programa GESAC e o Wi-Fi Brasil.</w:t>
      </w:r>
    </w:p>
    <w:p w14:paraId="1EEF7934" w14:textId="77777777" w:rsidR="002C6574" w:rsidRDefault="00000000">
      <w:pPr>
        <w:pStyle w:val="Corpodetexto"/>
        <w:spacing w:before="118"/>
        <w:ind w:left="709" w:right="279"/>
        <w:jc w:val="both"/>
        <w:rPr>
          <w:rFonts w:ascii="Calibri" w:hAnsi="Calibri"/>
        </w:rPr>
      </w:pPr>
      <w:r>
        <w:rPr>
          <w:rFonts w:ascii="Calibri" w:hAnsi="Calibri"/>
          <w:color w:val="001F60"/>
        </w:rPr>
        <w:t>O fornecimento de conectividade satelital às escolas públicas representa não apenas a expansão de infraestrutura, mas o fortalecimento da democratização do acesso ao conhecimento, contribuindo para um país mais conectado, mais justo e com melhores oportunidades educacionais.</w:t>
      </w:r>
    </w:p>
    <w:p w14:paraId="6409851F" w14:textId="77777777" w:rsidR="002C6574" w:rsidRDefault="00000000">
      <w:pPr>
        <w:numPr>
          <w:ilvl w:val="1"/>
          <w:numId w:val="74"/>
        </w:numPr>
        <w:tabs>
          <w:tab w:val="left" w:pos="1275"/>
        </w:tabs>
        <w:spacing w:before="241"/>
        <w:ind w:left="1275" w:hanging="566"/>
        <w:rPr>
          <w:rFonts w:ascii="Calibri" w:hAnsi="Calibri"/>
          <w:b/>
        </w:rPr>
      </w:pPr>
      <w:r>
        <w:rPr>
          <w:rFonts w:ascii="Calibri" w:hAnsi="Calibri"/>
          <w:b/>
          <w:color w:val="001F60"/>
        </w:rPr>
        <w:t>Operação</w:t>
      </w:r>
      <w:r>
        <w:rPr>
          <w:rFonts w:ascii="Calibri" w:hAnsi="Calibri"/>
          <w:b/>
          <w:color w:val="001F60"/>
          <w:spacing w:val="-3"/>
        </w:rPr>
        <w:t xml:space="preserve"> </w:t>
      </w:r>
      <w:r>
        <w:rPr>
          <w:rFonts w:ascii="Calibri" w:hAnsi="Calibri"/>
          <w:b/>
          <w:color w:val="001F60"/>
        </w:rPr>
        <w:t>e</w:t>
      </w:r>
      <w:r>
        <w:rPr>
          <w:rFonts w:ascii="Calibri" w:hAnsi="Calibri"/>
          <w:b/>
          <w:color w:val="001F60"/>
          <w:spacing w:val="-1"/>
        </w:rPr>
        <w:t xml:space="preserve"> </w:t>
      </w:r>
      <w:r>
        <w:rPr>
          <w:rFonts w:ascii="Calibri" w:hAnsi="Calibri"/>
          <w:b/>
          <w:color w:val="001F60"/>
          <w:spacing w:val="-2"/>
        </w:rPr>
        <w:t>Manutenção</w:t>
      </w:r>
    </w:p>
    <w:p w14:paraId="5C44F02B" w14:textId="77777777" w:rsidR="002C6574" w:rsidRDefault="00000000">
      <w:pPr>
        <w:pStyle w:val="Corpodetexto"/>
        <w:spacing w:before="161"/>
        <w:ind w:left="709" w:right="277" w:firstLine="7"/>
        <w:jc w:val="both"/>
        <w:rPr>
          <w:rFonts w:ascii="Calibri" w:hAnsi="Calibri"/>
        </w:rPr>
      </w:pPr>
      <w:r>
        <w:rPr>
          <w:rFonts w:ascii="Calibri" w:hAnsi="Calibri"/>
          <w:color w:val="001F60"/>
        </w:rPr>
        <w:t>A</w:t>
      </w:r>
      <w:r>
        <w:rPr>
          <w:rFonts w:ascii="Calibri" w:hAnsi="Calibri"/>
          <w:color w:val="001F60"/>
          <w:spacing w:val="-10"/>
        </w:rPr>
        <w:t xml:space="preserve"> </w:t>
      </w:r>
      <w:r>
        <w:rPr>
          <w:rFonts w:ascii="Calibri" w:hAnsi="Calibri"/>
          <w:color w:val="001F60"/>
        </w:rPr>
        <w:t>Telebras</w:t>
      </w:r>
      <w:r>
        <w:rPr>
          <w:rFonts w:ascii="Calibri" w:hAnsi="Calibri"/>
          <w:color w:val="001F60"/>
          <w:spacing w:val="-12"/>
        </w:rPr>
        <w:t xml:space="preserve"> </w:t>
      </w:r>
      <w:r>
        <w:rPr>
          <w:rFonts w:ascii="Calibri" w:hAnsi="Calibri"/>
          <w:color w:val="001F60"/>
        </w:rPr>
        <w:t>manteve,</w:t>
      </w:r>
      <w:r>
        <w:rPr>
          <w:rFonts w:ascii="Calibri" w:hAnsi="Calibri"/>
          <w:color w:val="001F60"/>
          <w:spacing w:val="-8"/>
        </w:rPr>
        <w:t xml:space="preserve"> </w:t>
      </w:r>
      <w:r>
        <w:rPr>
          <w:rFonts w:ascii="Calibri" w:hAnsi="Calibri"/>
          <w:color w:val="001F60"/>
        </w:rPr>
        <w:t>ao</w:t>
      </w:r>
      <w:r>
        <w:rPr>
          <w:rFonts w:ascii="Calibri" w:hAnsi="Calibri"/>
          <w:color w:val="001F60"/>
          <w:spacing w:val="-8"/>
        </w:rPr>
        <w:t xml:space="preserve"> </w:t>
      </w:r>
      <w:r>
        <w:rPr>
          <w:rFonts w:ascii="Calibri" w:hAnsi="Calibri"/>
          <w:color w:val="001F60"/>
        </w:rPr>
        <w:t>longo</w:t>
      </w:r>
      <w:r>
        <w:rPr>
          <w:rFonts w:ascii="Calibri" w:hAnsi="Calibri"/>
          <w:color w:val="001F60"/>
          <w:spacing w:val="-8"/>
        </w:rPr>
        <w:t xml:space="preserve"> </w:t>
      </w:r>
      <w:r>
        <w:rPr>
          <w:rFonts w:ascii="Calibri" w:hAnsi="Calibri"/>
          <w:color w:val="001F60"/>
        </w:rPr>
        <w:t>do</w:t>
      </w:r>
      <w:r>
        <w:rPr>
          <w:rFonts w:ascii="Calibri" w:hAnsi="Calibri"/>
          <w:color w:val="001F60"/>
          <w:spacing w:val="-8"/>
        </w:rPr>
        <w:t xml:space="preserve"> </w:t>
      </w:r>
      <w:r>
        <w:rPr>
          <w:rFonts w:ascii="Calibri" w:hAnsi="Calibri"/>
          <w:color w:val="001F60"/>
        </w:rPr>
        <w:t>exercício</w:t>
      </w:r>
      <w:r>
        <w:rPr>
          <w:rFonts w:ascii="Calibri" w:hAnsi="Calibri"/>
          <w:color w:val="001F60"/>
          <w:spacing w:val="-8"/>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2025,</w:t>
      </w:r>
      <w:r>
        <w:rPr>
          <w:rFonts w:ascii="Calibri" w:hAnsi="Calibri"/>
          <w:color w:val="001F60"/>
          <w:spacing w:val="-8"/>
        </w:rPr>
        <w:t xml:space="preserve"> </w:t>
      </w:r>
      <w:r>
        <w:rPr>
          <w:rFonts w:ascii="Calibri" w:hAnsi="Calibri"/>
          <w:color w:val="001F60"/>
        </w:rPr>
        <w:t>padrões</w:t>
      </w:r>
      <w:r>
        <w:rPr>
          <w:rFonts w:ascii="Calibri" w:hAnsi="Calibri"/>
          <w:color w:val="001F60"/>
          <w:spacing w:val="-10"/>
        </w:rPr>
        <w:t xml:space="preserve"> </w:t>
      </w:r>
      <w:r>
        <w:rPr>
          <w:rFonts w:ascii="Calibri" w:hAnsi="Calibri"/>
          <w:color w:val="001F60"/>
        </w:rPr>
        <w:t>elevados</w:t>
      </w:r>
      <w:r>
        <w:rPr>
          <w:rFonts w:ascii="Calibri" w:hAnsi="Calibri"/>
          <w:color w:val="001F60"/>
          <w:spacing w:val="-8"/>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desempenho</w:t>
      </w:r>
      <w:r>
        <w:rPr>
          <w:rFonts w:ascii="Calibri" w:hAnsi="Calibri"/>
          <w:color w:val="001F60"/>
          <w:spacing w:val="-8"/>
        </w:rPr>
        <w:t xml:space="preserve"> </w:t>
      </w:r>
      <w:r>
        <w:rPr>
          <w:rFonts w:ascii="Calibri" w:hAnsi="Calibri"/>
          <w:color w:val="001F60"/>
        </w:rPr>
        <w:t>operacional</w:t>
      </w:r>
      <w:r>
        <w:rPr>
          <w:rFonts w:ascii="Calibri" w:hAnsi="Calibri"/>
          <w:color w:val="001F60"/>
          <w:spacing w:val="-10"/>
        </w:rPr>
        <w:t xml:space="preserve"> </w:t>
      </w:r>
      <w:r>
        <w:rPr>
          <w:rFonts w:ascii="Calibri" w:hAnsi="Calibri"/>
          <w:color w:val="001F60"/>
        </w:rPr>
        <w:t>em sua Rede Nacional de Telecomunicações por meio de uma gestão integrada que alia manutenção de campo, operações centralizadas e rigor técnico na condução de seus processos.</w:t>
      </w:r>
    </w:p>
    <w:p w14:paraId="5BBE8FC4" w14:textId="77777777" w:rsidR="002C6574" w:rsidRDefault="00000000">
      <w:pPr>
        <w:pStyle w:val="Corpodetexto"/>
        <w:spacing w:before="121"/>
        <w:ind w:left="709" w:right="277" w:firstLine="7"/>
        <w:jc w:val="both"/>
        <w:rPr>
          <w:rFonts w:ascii="Calibri" w:hAnsi="Calibri"/>
        </w:rPr>
      </w:pPr>
      <w:r>
        <w:rPr>
          <w:rFonts w:ascii="Calibri" w:hAnsi="Calibri"/>
          <w:color w:val="001F60"/>
        </w:rPr>
        <w:t>O Centro Integrado de Gerência de Rede (CIGR/NOC), sediado em Brasília, constitui o núcleo das operações da Companhia. Sua atuação é voltada ao monitoramento contínuo da infraestrutura de rede,</w:t>
      </w:r>
      <w:r>
        <w:rPr>
          <w:rFonts w:ascii="Calibri" w:hAnsi="Calibri"/>
          <w:color w:val="001F60"/>
          <w:spacing w:val="4"/>
        </w:rPr>
        <w:t xml:space="preserve"> </w:t>
      </w:r>
      <w:r>
        <w:rPr>
          <w:rFonts w:ascii="Calibri" w:hAnsi="Calibri"/>
          <w:color w:val="001F60"/>
        </w:rPr>
        <w:t>à análise</w:t>
      </w:r>
      <w:r>
        <w:rPr>
          <w:rFonts w:ascii="Calibri" w:hAnsi="Calibri"/>
          <w:color w:val="001F60"/>
          <w:spacing w:val="3"/>
        </w:rPr>
        <w:t xml:space="preserve"> </w:t>
      </w:r>
      <w:r>
        <w:rPr>
          <w:rFonts w:ascii="Calibri" w:hAnsi="Calibri"/>
          <w:color w:val="001F60"/>
        </w:rPr>
        <w:t>de</w:t>
      </w:r>
      <w:r>
        <w:rPr>
          <w:rFonts w:ascii="Calibri" w:hAnsi="Calibri"/>
          <w:color w:val="001F60"/>
          <w:spacing w:val="2"/>
        </w:rPr>
        <w:t xml:space="preserve"> </w:t>
      </w:r>
      <w:r>
        <w:rPr>
          <w:rFonts w:ascii="Calibri" w:hAnsi="Calibri"/>
          <w:color w:val="001F60"/>
        </w:rPr>
        <w:t>desempenho</w:t>
      </w:r>
      <w:r>
        <w:rPr>
          <w:rFonts w:ascii="Calibri" w:hAnsi="Calibri"/>
          <w:color w:val="001F60"/>
          <w:spacing w:val="6"/>
        </w:rPr>
        <w:t xml:space="preserve"> </w:t>
      </w:r>
      <w:r>
        <w:rPr>
          <w:rFonts w:ascii="Calibri" w:hAnsi="Calibri"/>
          <w:color w:val="001F60"/>
        </w:rPr>
        <w:t>e</w:t>
      </w:r>
      <w:r>
        <w:rPr>
          <w:rFonts w:ascii="Calibri" w:hAnsi="Calibri"/>
          <w:color w:val="001F60"/>
          <w:spacing w:val="2"/>
        </w:rPr>
        <w:t xml:space="preserve"> </w:t>
      </w:r>
      <w:r>
        <w:rPr>
          <w:rFonts w:ascii="Calibri" w:hAnsi="Calibri"/>
          <w:color w:val="001F60"/>
        </w:rPr>
        <w:t>tráfego,</w:t>
      </w:r>
      <w:r>
        <w:rPr>
          <w:rFonts w:ascii="Calibri" w:hAnsi="Calibri"/>
          <w:color w:val="001F60"/>
          <w:spacing w:val="2"/>
        </w:rPr>
        <w:t xml:space="preserve"> </w:t>
      </w:r>
      <w:r>
        <w:rPr>
          <w:rFonts w:ascii="Calibri" w:hAnsi="Calibri"/>
          <w:color w:val="001F60"/>
        </w:rPr>
        <w:t>à</w:t>
      </w:r>
      <w:r>
        <w:rPr>
          <w:rFonts w:ascii="Calibri" w:hAnsi="Calibri"/>
          <w:color w:val="001F60"/>
          <w:spacing w:val="3"/>
        </w:rPr>
        <w:t xml:space="preserve"> </w:t>
      </w:r>
      <w:r>
        <w:rPr>
          <w:rFonts w:ascii="Calibri" w:hAnsi="Calibri"/>
          <w:color w:val="001F60"/>
        </w:rPr>
        <w:t>gestão</w:t>
      </w:r>
      <w:r>
        <w:rPr>
          <w:rFonts w:ascii="Calibri" w:hAnsi="Calibri"/>
          <w:color w:val="001F60"/>
          <w:spacing w:val="5"/>
        </w:rPr>
        <w:t xml:space="preserve"> </w:t>
      </w:r>
      <w:r>
        <w:rPr>
          <w:rFonts w:ascii="Calibri" w:hAnsi="Calibri"/>
          <w:color w:val="001F60"/>
        </w:rPr>
        <w:t>e</w:t>
      </w:r>
      <w:r>
        <w:rPr>
          <w:rFonts w:ascii="Calibri" w:hAnsi="Calibri"/>
          <w:color w:val="001F60"/>
          <w:spacing w:val="1"/>
        </w:rPr>
        <w:t xml:space="preserve"> </w:t>
      </w:r>
      <w:r>
        <w:rPr>
          <w:rFonts w:ascii="Calibri" w:hAnsi="Calibri"/>
          <w:color w:val="001F60"/>
        </w:rPr>
        <w:t>ao</w:t>
      </w:r>
      <w:r>
        <w:rPr>
          <w:rFonts w:ascii="Calibri" w:hAnsi="Calibri"/>
          <w:color w:val="001F60"/>
          <w:spacing w:val="2"/>
        </w:rPr>
        <w:t xml:space="preserve"> </w:t>
      </w:r>
      <w:r>
        <w:rPr>
          <w:rFonts w:ascii="Calibri" w:hAnsi="Calibri"/>
          <w:color w:val="001F60"/>
        </w:rPr>
        <w:t>escalonamento</w:t>
      </w:r>
      <w:r>
        <w:rPr>
          <w:rFonts w:ascii="Calibri" w:hAnsi="Calibri"/>
          <w:color w:val="001F60"/>
          <w:spacing w:val="1"/>
        </w:rPr>
        <w:t xml:space="preserve"> </w:t>
      </w:r>
      <w:r>
        <w:rPr>
          <w:rFonts w:ascii="Calibri" w:hAnsi="Calibri"/>
          <w:color w:val="001F60"/>
        </w:rPr>
        <w:t>de</w:t>
      </w:r>
      <w:r>
        <w:rPr>
          <w:rFonts w:ascii="Calibri" w:hAnsi="Calibri"/>
          <w:color w:val="001F60"/>
          <w:spacing w:val="2"/>
        </w:rPr>
        <w:t xml:space="preserve"> </w:t>
      </w:r>
      <w:r>
        <w:rPr>
          <w:rFonts w:ascii="Calibri" w:hAnsi="Calibri"/>
          <w:color w:val="001F60"/>
        </w:rPr>
        <w:t>incidentes,</w:t>
      </w:r>
      <w:r>
        <w:rPr>
          <w:rFonts w:ascii="Calibri" w:hAnsi="Calibri"/>
          <w:color w:val="001F60"/>
          <w:spacing w:val="3"/>
        </w:rPr>
        <w:t xml:space="preserve"> </w:t>
      </w:r>
      <w:r>
        <w:rPr>
          <w:rFonts w:ascii="Calibri" w:hAnsi="Calibri"/>
          <w:color w:val="001F60"/>
        </w:rPr>
        <w:t>à</w:t>
      </w:r>
      <w:r>
        <w:rPr>
          <w:rFonts w:ascii="Calibri" w:hAnsi="Calibri"/>
          <w:color w:val="001F60"/>
          <w:spacing w:val="2"/>
        </w:rPr>
        <w:t xml:space="preserve"> </w:t>
      </w:r>
      <w:r>
        <w:rPr>
          <w:rFonts w:ascii="Calibri" w:hAnsi="Calibri"/>
          <w:color w:val="001F60"/>
        </w:rPr>
        <w:t>aceitação</w:t>
      </w:r>
      <w:r>
        <w:rPr>
          <w:rFonts w:ascii="Calibri" w:hAnsi="Calibri"/>
          <w:color w:val="001F60"/>
          <w:spacing w:val="3"/>
        </w:rPr>
        <w:t xml:space="preserve"> </w:t>
      </w:r>
      <w:r>
        <w:rPr>
          <w:rFonts w:ascii="Calibri" w:hAnsi="Calibri"/>
          <w:color w:val="001F60"/>
          <w:spacing w:val="-5"/>
        </w:rPr>
        <w:t>de</w:t>
      </w:r>
    </w:p>
    <w:p w14:paraId="389E2C7E" w14:textId="77777777" w:rsidR="002C6574" w:rsidRDefault="002C6574">
      <w:pPr>
        <w:pStyle w:val="Corpodetexto"/>
        <w:jc w:val="both"/>
        <w:rPr>
          <w:rFonts w:ascii="Calibri" w:hAnsi="Calibri"/>
        </w:rPr>
        <w:sectPr w:rsidR="002C6574">
          <w:pgSz w:w="11910" w:h="16840"/>
          <w:pgMar w:top="1100" w:right="850" w:bottom="1060" w:left="992" w:header="298" w:footer="863" w:gutter="0"/>
          <w:cols w:space="720"/>
        </w:sectPr>
      </w:pPr>
    </w:p>
    <w:p w14:paraId="271DB2E5" w14:textId="77777777" w:rsidR="002C6574" w:rsidRDefault="002C6574">
      <w:pPr>
        <w:pStyle w:val="Corpodetexto"/>
        <w:rPr>
          <w:rFonts w:ascii="Calibri"/>
        </w:rPr>
      </w:pPr>
    </w:p>
    <w:p w14:paraId="3964BBDB" w14:textId="77777777" w:rsidR="002C6574" w:rsidRDefault="002C6574">
      <w:pPr>
        <w:pStyle w:val="Corpodetexto"/>
        <w:spacing w:before="50"/>
        <w:rPr>
          <w:rFonts w:ascii="Calibri"/>
        </w:rPr>
      </w:pPr>
    </w:p>
    <w:p w14:paraId="68879108" w14:textId="77777777" w:rsidR="002C6574" w:rsidRDefault="00000000">
      <w:pPr>
        <w:pStyle w:val="Corpodetexto"/>
        <w:ind w:left="709" w:right="278"/>
        <w:jc w:val="both"/>
        <w:rPr>
          <w:rFonts w:ascii="Calibri" w:hAnsi="Calibri"/>
        </w:rPr>
      </w:pPr>
      <w:r>
        <w:rPr>
          <w:rFonts w:ascii="Calibri" w:hAnsi="Calibri"/>
          <w:color w:val="001F60"/>
        </w:rPr>
        <w:t>novas estações, à coordenação de mudanças e à administração proativa de clientes e circuitos. Essas atividades asseguram o cumprimento sistemático dos Níveis de Serviço Acordados (SLAs), em conformidade com os padrões de qualidade exigidos pelos contratos e regulamentos aplicáveis.</w:t>
      </w:r>
    </w:p>
    <w:p w14:paraId="33D3BCE5" w14:textId="77777777" w:rsidR="002C6574" w:rsidRDefault="00000000">
      <w:pPr>
        <w:pStyle w:val="Corpodetexto"/>
        <w:spacing w:before="118"/>
        <w:ind w:left="709" w:right="276" w:firstLine="7"/>
        <w:jc w:val="both"/>
        <w:rPr>
          <w:rFonts w:ascii="Calibri" w:hAnsi="Calibri"/>
        </w:rPr>
      </w:pPr>
      <w:r>
        <w:rPr>
          <w:rFonts w:ascii="Calibri" w:hAnsi="Calibri"/>
          <w:color w:val="001F60"/>
        </w:rPr>
        <w:t>A</w:t>
      </w:r>
      <w:r>
        <w:rPr>
          <w:rFonts w:ascii="Calibri" w:hAnsi="Calibri"/>
          <w:color w:val="001F60"/>
          <w:spacing w:val="-8"/>
        </w:rPr>
        <w:t xml:space="preserve"> </w:t>
      </w:r>
      <w:r>
        <w:rPr>
          <w:rFonts w:ascii="Calibri" w:hAnsi="Calibri"/>
          <w:color w:val="001F60"/>
        </w:rPr>
        <w:t>observância</w:t>
      </w:r>
      <w:r>
        <w:rPr>
          <w:rFonts w:ascii="Calibri" w:hAnsi="Calibri"/>
          <w:color w:val="001F60"/>
          <w:spacing w:val="-10"/>
        </w:rPr>
        <w:t xml:space="preserve"> </w:t>
      </w:r>
      <w:r>
        <w:rPr>
          <w:rFonts w:ascii="Calibri" w:hAnsi="Calibri"/>
          <w:color w:val="001F60"/>
        </w:rPr>
        <w:t>rigorosa</w:t>
      </w:r>
      <w:r>
        <w:rPr>
          <w:rFonts w:ascii="Calibri" w:hAnsi="Calibri"/>
          <w:color w:val="001F60"/>
          <w:spacing w:val="-8"/>
        </w:rPr>
        <w:t xml:space="preserve"> </w:t>
      </w:r>
      <w:r>
        <w:rPr>
          <w:rFonts w:ascii="Calibri" w:hAnsi="Calibri"/>
          <w:color w:val="001F60"/>
        </w:rPr>
        <w:t>dos</w:t>
      </w:r>
      <w:r>
        <w:rPr>
          <w:rFonts w:ascii="Calibri" w:hAnsi="Calibri"/>
          <w:color w:val="001F60"/>
          <w:spacing w:val="-11"/>
        </w:rPr>
        <w:t xml:space="preserve"> </w:t>
      </w:r>
      <w:r>
        <w:rPr>
          <w:rFonts w:ascii="Calibri" w:hAnsi="Calibri"/>
          <w:color w:val="001F60"/>
        </w:rPr>
        <w:t>SLAs</w:t>
      </w:r>
      <w:r>
        <w:rPr>
          <w:rFonts w:ascii="Calibri" w:hAnsi="Calibri"/>
          <w:color w:val="001F60"/>
          <w:spacing w:val="-8"/>
        </w:rPr>
        <w:t xml:space="preserve"> </w:t>
      </w:r>
      <w:r>
        <w:rPr>
          <w:rFonts w:ascii="Calibri" w:hAnsi="Calibri"/>
          <w:color w:val="001F60"/>
        </w:rPr>
        <w:t>traduz</w:t>
      </w:r>
      <w:r>
        <w:rPr>
          <w:rFonts w:ascii="Calibri" w:hAnsi="Calibri"/>
          <w:color w:val="001F60"/>
          <w:spacing w:val="-9"/>
        </w:rPr>
        <w:t xml:space="preserve"> </w:t>
      </w:r>
      <w:r>
        <w:rPr>
          <w:rFonts w:ascii="Calibri" w:hAnsi="Calibri"/>
          <w:color w:val="001F60"/>
        </w:rPr>
        <w:t>o</w:t>
      </w:r>
      <w:r>
        <w:rPr>
          <w:rFonts w:ascii="Calibri" w:hAnsi="Calibri"/>
          <w:color w:val="001F60"/>
          <w:spacing w:val="-8"/>
        </w:rPr>
        <w:t xml:space="preserve"> </w:t>
      </w:r>
      <w:r>
        <w:rPr>
          <w:rFonts w:ascii="Calibri" w:hAnsi="Calibri"/>
          <w:color w:val="001F60"/>
        </w:rPr>
        <w:t>comprometimento</w:t>
      </w:r>
      <w:r>
        <w:rPr>
          <w:rFonts w:ascii="Calibri" w:hAnsi="Calibri"/>
          <w:color w:val="001F60"/>
          <w:spacing w:val="-8"/>
        </w:rPr>
        <w:t xml:space="preserve"> </w:t>
      </w:r>
      <w:r>
        <w:rPr>
          <w:rFonts w:ascii="Calibri" w:hAnsi="Calibri"/>
          <w:color w:val="001F60"/>
        </w:rPr>
        <w:t>institucional</w:t>
      </w:r>
      <w:r>
        <w:rPr>
          <w:rFonts w:ascii="Calibri" w:hAnsi="Calibri"/>
          <w:color w:val="001F60"/>
          <w:spacing w:val="-8"/>
        </w:rPr>
        <w:t xml:space="preserve"> </w:t>
      </w:r>
      <w:r>
        <w:rPr>
          <w:rFonts w:ascii="Calibri" w:hAnsi="Calibri"/>
          <w:color w:val="001F60"/>
        </w:rPr>
        <w:t>da</w:t>
      </w:r>
      <w:r>
        <w:rPr>
          <w:rFonts w:ascii="Calibri" w:hAnsi="Calibri"/>
          <w:color w:val="001F60"/>
          <w:spacing w:val="-8"/>
        </w:rPr>
        <w:t xml:space="preserve"> </w:t>
      </w:r>
      <w:r>
        <w:rPr>
          <w:rFonts w:ascii="Calibri" w:hAnsi="Calibri"/>
          <w:color w:val="001F60"/>
        </w:rPr>
        <w:t>Telebras</w:t>
      </w:r>
      <w:r>
        <w:rPr>
          <w:rFonts w:ascii="Calibri" w:hAnsi="Calibri"/>
          <w:color w:val="001F60"/>
          <w:spacing w:val="-6"/>
        </w:rPr>
        <w:t xml:space="preserve"> </w:t>
      </w:r>
      <w:r>
        <w:rPr>
          <w:rFonts w:ascii="Calibri" w:hAnsi="Calibri"/>
          <w:color w:val="001F60"/>
        </w:rPr>
        <w:t>com</w:t>
      </w:r>
      <w:r>
        <w:rPr>
          <w:rFonts w:ascii="Calibri" w:hAnsi="Calibri"/>
          <w:color w:val="001F60"/>
          <w:spacing w:val="-8"/>
        </w:rPr>
        <w:t xml:space="preserve"> </w:t>
      </w:r>
      <w:r>
        <w:rPr>
          <w:rFonts w:ascii="Calibri" w:hAnsi="Calibri"/>
          <w:color w:val="001F60"/>
        </w:rPr>
        <w:t>a</w:t>
      </w:r>
      <w:r>
        <w:rPr>
          <w:rFonts w:ascii="Calibri" w:hAnsi="Calibri"/>
          <w:color w:val="001F60"/>
          <w:spacing w:val="-8"/>
        </w:rPr>
        <w:t xml:space="preserve"> </w:t>
      </w:r>
      <w:r>
        <w:rPr>
          <w:rFonts w:ascii="Calibri" w:hAnsi="Calibri"/>
          <w:color w:val="001F60"/>
        </w:rPr>
        <w:t>prestação de serviços de alta confiabilidade, garantindo previsibilidade operacional e aderência às melhores práticas do setor de telecomunicações. O monitoramento contínuo dos indicadores de desempenho permite à Companhia manter elevado controle sobre a performance da rede, reduzindo riscos operacionais e assegurando níveis superiores de disponibilidade.</w:t>
      </w:r>
    </w:p>
    <w:p w14:paraId="5D0260A0" w14:textId="77777777" w:rsidR="002C6574" w:rsidRDefault="00000000">
      <w:pPr>
        <w:pStyle w:val="Corpodetexto"/>
        <w:spacing w:before="121"/>
        <w:ind w:left="709" w:right="277" w:firstLine="7"/>
        <w:jc w:val="both"/>
        <w:rPr>
          <w:rFonts w:ascii="Calibri" w:hAnsi="Calibri"/>
        </w:rPr>
      </w:pPr>
      <w:r>
        <w:rPr>
          <w:rFonts w:ascii="Calibri" w:hAnsi="Calibri"/>
          <w:color w:val="001F60"/>
        </w:rPr>
        <w:t>Em</w:t>
      </w:r>
      <w:r>
        <w:rPr>
          <w:rFonts w:ascii="Calibri" w:hAnsi="Calibri"/>
          <w:color w:val="001F60"/>
          <w:spacing w:val="-6"/>
        </w:rPr>
        <w:t xml:space="preserve"> </w:t>
      </w:r>
      <w:r>
        <w:rPr>
          <w:rFonts w:ascii="Calibri" w:hAnsi="Calibri"/>
          <w:color w:val="001F60"/>
        </w:rPr>
        <w:t>dezembro</w:t>
      </w:r>
      <w:r>
        <w:rPr>
          <w:rFonts w:ascii="Calibri" w:hAnsi="Calibri"/>
          <w:color w:val="001F60"/>
          <w:spacing w:val="-7"/>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2025,</w:t>
      </w:r>
      <w:r>
        <w:rPr>
          <w:rFonts w:ascii="Calibri" w:hAnsi="Calibri"/>
          <w:color w:val="001F60"/>
          <w:spacing w:val="-10"/>
        </w:rPr>
        <w:t xml:space="preserve"> </w:t>
      </w:r>
      <w:r>
        <w:rPr>
          <w:rFonts w:ascii="Calibri" w:hAnsi="Calibri"/>
          <w:color w:val="001F60"/>
        </w:rPr>
        <w:t>a</w:t>
      </w:r>
      <w:r>
        <w:rPr>
          <w:rFonts w:ascii="Calibri" w:hAnsi="Calibri"/>
          <w:color w:val="001F60"/>
          <w:spacing w:val="-8"/>
        </w:rPr>
        <w:t xml:space="preserve"> </w:t>
      </w:r>
      <w:r>
        <w:rPr>
          <w:rFonts w:ascii="Calibri" w:hAnsi="Calibri"/>
          <w:color w:val="001F60"/>
        </w:rPr>
        <w:t>Telebras</w:t>
      </w:r>
      <w:r>
        <w:rPr>
          <w:rFonts w:ascii="Calibri" w:hAnsi="Calibri"/>
          <w:color w:val="001F60"/>
          <w:spacing w:val="-6"/>
        </w:rPr>
        <w:t xml:space="preserve"> </w:t>
      </w:r>
      <w:r>
        <w:rPr>
          <w:rFonts w:ascii="Calibri" w:hAnsi="Calibri"/>
          <w:color w:val="001F60"/>
        </w:rPr>
        <w:t>alcançou</w:t>
      </w:r>
      <w:r>
        <w:rPr>
          <w:rFonts w:ascii="Calibri" w:hAnsi="Calibri"/>
          <w:color w:val="001F60"/>
          <w:spacing w:val="-9"/>
        </w:rPr>
        <w:t xml:space="preserve"> </w:t>
      </w:r>
      <w:r>
        <w:rPr>
          <w:rFonts w:ascii="Calibri" w:hAnsi="Calibri"/>
          <w:color w:val="001F60"/>
        </w:rPr>
        <w:t>índice</w:t>
      </w:r>
      <w:r>
        <w:rPr>
          <w:rFonts w:ascii="Calibri" w:hAnsi="Calibri"/>
          <w:color w:val="001F60"/>
          <w:spacing w:val="-8"/>
        </w:rPr>
        <w:t xml:space="preserve"> </w:t>
      </w:r>
      <w:r>
        <w:rPr>
          <w:rFonts w:ascii="Calibri" w:hAnsi="Calibri"/>
          <w:color w:val="001F60"/>
        </w:rPr>
        <w:t>médio</w:t>
      </w:r>
      <w:r>
        <w:rPr>
          <w:rFonts w:ascii="Calibri" w:hAnsi="Calibri"/>
          <w:color w:val="001F60"/>
          <w:spacing w:val="-5"/>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disponibilidade</w:t>
      </w:r>
      <w:r>
        <w:rPr>
          <w:rFonts w:ascii="Calibri" w:hAnsi="Calibri"/>
          <w:color w:val="001F60"/>
          <w:spacing w:val="-6"/>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99,76%.</w:t>
      </w:r>
      <w:r>
        <w:rPr>
          <w:rFonts w:ascii="Calibri" w:hAnsi="Calibri"/>
          <w:color w:val="001F60"/>
          <w:spacing w:val="-8"/>
        </w:rPr>
        <w:t xml:space="preserve"> </w:t>
      </w:r>
      <w:r>
        <w:rPr>
          <w:rFonts w:ascii="Calibri" w:hAnsi="Calibri"/>
          <w:color w:val="001F60"/>
        </w:rPr>
        <w:t>Esse</w:t>
      </w:r>
      <w:r>
        <w:rPr>
          <w:rFonts w:ascii="Calibri" w:hAnsi="Calibri"/>
          <w:color w:val="001F60"/>
          <w:spacing w:val="-10"/>
        </w:rPr>
        <w:t xml:space="preserve"> </w:t>
      </w:r>
      <w:r>
        <w:rPr>
          <w:rFonts w:ascii="Calibri" w:hAnsi="Calibri"/>
          <w:color w:val="001F60"/>
        </w:rPr>
        <w:t>resultado comprova a eficácia das políticas de gestão adotadas e a robustez da infraestrutura implantada, refletindo</w:t>
      </w:r>
      <w:r>
        <w:rPr>
          <w:rFonts w:ascii="Calibri" w:hAnsi="Calibri"/>
          <w:color w:val="001F60"/>
          <w:spacing w:val="-8"/>
        </w:rPr>
        <w:t xml:space="preserve"> </w:t>
      </w:r>
      <w:r>
        <w:rPr>
          <w:rFonts w:ascii="Calibri" w:hAnsi="Calibri"/>
          <w:color w:val="001F60"/>
        </w:rPr>
        <w:t>a</w:t>
      </w:r>
      <w:r>
        <w:rPr>
          <w:rFonts w:ascii="Calibri" w:hAnsi="Calibri"/>
          <w:color w:val="001F60"/>
          <w:spacing w:val="-11"/>
        </w:rPr>
        <w:t xml:space="preserve"> </w:t>
      </w:r>
      <w:r>
        <w:rPr>
          <w:rFonts w:ascii="Calibri" w:hAnsi="Calibri"/>
          <w:color w:val="001F60"/>
        </w:rPr>
        <w:t>consolidação</w:t>
      </w:r>
      <w:r>
        <w:rPr>
          <w:rFonts w:ascii="Calibri" w:hAnsi="Calibri"/>
          <w:color w:val="001F60"/>
          <w:spacing w:val="-8"/>
        </w:rPr>
        <w:t xml:space="preserve"> </w:t>
      </w:r>
      <w:r>
        <w:rPr>
          <w:rFonts w:ascii="Calibri" w:hAnsi="Calibri"/>
          <w:color w:val="001F60"/>
        </w:rPr>
        <w:t>de</w:t>
      </w:r>
      <w:r>
        <w:rPr>
          <w:rFonts w:ascii="Calibri" w:hAnsi="Calibri"/>
          <w:color w:val="001F60"/>
          <w:spacing w:val="-7"/>
        </w:rPr>
        <w:t xml:space="preserve"> </w:t>
      </w:r>
      <w:r>
        <w:rPr>
          <w:rFonts w:ascii="Calibri" w:hAnsi="Calibri"/>
          <w:color w:val="001F60"/>
        </w:rPr>
        <w:t>um</w:t>
      </w:r>
      <w:r>
        <w:rPr>
          <w:rFonts w:ascii="Calibri" w:hAnsi="Calibri"/>
          <w:color w:val="001F60"/>
          <w:spacing w:val="-9"/>
        </w:rPr>
        <w:t xml:space="preserve"> </w:t>
      </w:r>
      <w:r>
        <w:rPr>
          <w:rFonts w:ascii="Calibri" w:hAnsi="Calibri"/>
          <w:color w:val="001F60"/>
        </w:rPr>
        <w:t>modelo</w:t>
      </w:r>
      <w:r>
        <w:rPr>
          <w:rFonts w:ascii="Calibri" w:hAnsi="Calibri"/>
          <w:color w:val="001F60"/>
          <w:spacing w:val="-9"/>
        </w:rPr>
        <w:t xml:space="preserve"> </w:t>
      </w:r>
      <w:r>
        <w:rPr>
          <w:rFonts w:ascii="Calibri" w:hAnsi="Calibri"/>
          <w:color w:val="001F60"/>
        </w:rPr>
        <w:t>operacional</w:t>
      </w:r>
      <w:r>
        <w:rPr>
          <w:rFonts w:ascii="Calibri" w:hAnsi="Calibri"/>
          <w:color w:val="001F60"/>
          <w:spacing w:val="-9"/>
        </w:rPr>
        <w:t xml:space="preserve"> </w:t>
      </w:r>
      <w:r>
        <w:rPr>
          <w:rFonts w:ascii="Calibri" w:hAnsi="Calibri"/>
          <w:color w:val="001F60"/>
        </w:rPr>
        <w:t>orientado</w:t>
      </w:r>
      <w:r>
        <w:rPr>
          <w:rFonts w:ascii="Calibri" w:hAnsi="Calibri"/>
          <w:color w:val="001F60"/>
          <w:spacing w:val="-8"/>
        </w:rPr>
        <w:t xml:space="preserve"> </w:t>
      </w:r>
      <w:r>
        <w:rPr>
          <w:rFonts w:ascii="Calibri" w:hAnsi="Calibri"/>
          <w:color w:val="001F60"/>
        </w:rPr>
        <w:t>à</w:t>
      </w:r>
      <w:r>
        <w:rPr>
          <w:rFonts w:ascii="Calibri" w:hAnsi="Calibri"/>
          <w:color w:val="001F60"/>
          <w:spacing w:val="-11"/>
        </w:rPr>
        <w:t xml:space="preserve"> </w:t>
      </w:r>
      <w:r>
        <w:rPr>
          <w:rFonts w:ascii="Calibri" w:hAnsi="Calibri"/>
          <w:color w:val="001F60"/>
        </w:rPr>
        <w:t>continuidade</w:t>
      </w:r>
      <w:r>
        <w:rPr>
          <w:rFonts w:ascii="Calibri" w:hAnsi="Calibri"/>
          <w:color w:val="001F60"/>
          <w:spacing w:val="-7"/>
        </w:rPr>
        <w:t xml:space="preserve"> </w:t>
      </w:r>
      <w:r>
        <w:rPr>
          <w:rFonts w:ascii="Calibri" w:hAnsi="Calibri"/>
          <w:color w:val="001F60"/>
        </w:rPr>
        <w:t>do</w:t>
      </w:r>
      <w:r>
        <w:rPr>
          <w:rFonts w:ascii="Calibri" w:hAnsi="Calibri"/>
          <w:color w:val="001F60"/>
          <w:spacing w:val="-8"/>
        </w:rPr>
        <w:t xml:space="preserve"> </w:t>
      </w:r>
      <w:r>
        <w:rPr>
          <w:rFonts w:ascii="Calibri" w:hAnsi="Calibri"/>
          <w:color w:val="001F60"/>
        </w:rPr>
        <w:t>serviço,</w:t>
      </w:r>
      <w:r>
        <w:rPr>
          <w:rFonts w:ascii="Calibri" w:hAnsi="Calibri"/>
          <w:color w:val="001F60"/>
          <w:spacing w:val="-9"/>
        </w:rPr>
        <w:t xml:space="preserve"> </w:t>
      </w:r>
      <w:r>
        <w:rPr>
          <w:rFonts w:ascii="Calibri" w:hAnsi="Calibri"/>
          <w:color w:val="001F60"/>
        </w:rPr>
        <w:t>à</w:t>
      </w:r>
      <w:r>
        <w:rPr>
          <w:rFonts w:ascii="Calibri" w:hAnsi="Calibri"/>
          <w:color w:val="001F60"/>
          <w:spacing w:val="-9"/>
        </w:rPr>
        <w:t xml:space="preserve"> </w:t>
      </w:r>
      <w:r>
        <w:rPr>
          <w:rFonts w:ascii="Calibri" w:hAnsi="Calibri"/>
          <w:color w:val="001F60"/>
        </w:rPr>
        <w:t>segurança da</w:t>
      </w:r>
      <w:r>
        <w:rPr>
          <w:rFonts w:ascii="Calibri" w:hAnsi="Calibri"/>
          <w:color w:val="001F60"/>
          <w:spacing w:val="69"/>
        </w:rPr>
        <w:t xml:space="preserve"> </w:t>
      </w:r>
      <w:r>
        <w:rPr>
          <w:rFonts w:ascii="Calibri" w:hAnsi="Calibri"/>
          <w:color w:val="001F60"/>
        </w:rPr>
        <w:t>informação</w:t>
      </w:r>
      <w:r>
        <w:rPr>
          <w:rFonts w:ascii="Calibri" w:hAnsi="Calibri"/>
          <w:color w:val="001F60"/>
          <w:spacing w:val="65"/>
        </w:rPr>
        <w:t xml:space="preserve"> </w:t>
      </w:r>
      <w:r>
        <w:rPr>
          <w:rFonts w:ascii="Calibri" w:hAnsi="Calibri"/>
          <w:color w:val="001F60"/>
        </w:rPr>
        <w:t>e</w:t>
      </w:r>
      <w:r>
        <w:rPr>
          <w:rFonts w:ascii="Calibri" w:hAnsi="Calibri"/>
          <w:color w:val="001F60"/>
          <w:spacing w:val="70"/>
        </w:rPr>
        <w:t xml:space="preserve"> </w:t>
      </w:r>
      <w:r>
        <w:rPr>
          <w:rFonts w:ascii="Calibri" w:hAnsi="Calibri"/>
          <w:color w:val="001F60"/>
        </w:rPr>
        <w:t>à</w:t>
      </w:r>
      <w:r>
        <w:rPr>
          <w:rFonts w:ascii="Calibri" w:hAnsi="Calibri"/>
          <w:color w:val="001F60"/>
          <w:spacing w:val="65"/>
        </w:rPr>
        <w:t xml:space="preserve"> </w:t>
      </w:r>
      <w:r>
        <w:rPr>
          <w:rFonts w:ascii="Calibri" w:hAnsi="Calibri"/>
          <w:color w:val="001F60"/>
        </w:rPr>
        <w:t>eficiência</w:t>
      </w:r>
      <w:r>
        <w:rPr>
          <w:rFonts w:ascii="Calibri" w:hAnsi="Calibri"/>
          <w:color w:val="001F60"/>
          <w:spacing w:val="67"/>
        </w:rPr>
        <w:t xml:space="preserve"> </w:t>
      </w:r>
      <w:r>
        <w:rPr>
          <w:rFonts w:ascii="Calibri" w:hAnsi="Calibri"/>
          <w:color w:val="001F60"/>
        </w:rPr>
        <w:t>no</w:t>
      </w:r>
      <w:r>
        <w:rPr>
          <w:rFonts w:ascii="Calibri" w:hAnsi="Calibri"/>
          <w:color w:val="001F60"/>
          <w:spacing w:val="68"/>
        </w:rPr>
        <w:t xml:space="preserve"> </w:t>
      </w:r>
      <w:r>
        <w:rPr>
          <w:rFonts w:ascii="Calibri" w:hAnsi="Calibri"/>
          <w:color w:val="001F60"/>
        </w:rPr>
        <w:t>atendimento</w:t>
      </w:r>
      <w:r>
        <w:rPr>
          <w:rFonts w:ascii="Calibri" w:hAnsi="Calibri"/>
          <w:color w:val="001F60"/>
          <w:spacing w:val="67"/>
        </w:rPr>
        <w:t xml:space="preserve"> </w:t>
      </w:r>
      <w:r>
        <w:rPr>
          <w:rFonts w:ascii="Calibri" w:hAnsi="Calibri"/>
          <w:color w:val="001F60"/>
        </w:rPr>
        <w:t>às</w:t>
      </w:r>
      <w:r>
        <w:rPr>
          <w:rFonts w:ascii="Calibri" w:hAnsi="Calibri"/>
          <w:color w:val="001F60"/>
          <w:spacing w:val="66"/>
        </w:rPr>
        <w:t xml:space="preserve"> </w:t>
      </w:r>
      <w:r>
        <w:rPr>
          <w:rFonts w:ascii="Calibri" w:hAnsi="Calibri"/>
          <w:color w:val="001F60"/>
        </w:rPr>
        <w:t>demandas</w:t>
      </w:r>
      <w:r>
        <w:rPr>
          <w:rFonts w:ascii="Calibri" w:hAnsi="Calibri"/>
          <w:color w:val="001F60"/>
          <w:spacing w:val="65"/>
        </w:rPr>
        <w:t xml:space="preserve"> </w:t>
      </w:r>
      <w:r>
        <w:rPr>
          <w:rFonts w:ascii="Calibri" w:hAnsi="Calibri"/>
          <w:color w:val="001F60"/>
        </w:rPr>
        <w:t>estratégicas</w:t>
      </w:r>
      <w:r>
        <w:rPr>
          <w:rFonts w:ascii="Calibri" w:hAnsi="Calibri"/>
          <w:color w:val="001F60"/>
          <w:spacing w:val="65"/>
        </w:rPr>
        <w:t xml:space="preserve"> </w:t>
      </w:r>
      <w:r>
        <w:rPr>
          <w:rFonts w:ascii="Calibri" w:hAnsi="Calibri"/>
          <w:color w:val="001F60"/>
        </w:rPr>
        <w:t>do</w:t>
      </w:r>
      <w:r>
        <w:rPr>
          <w:rFonts w:ascii="Calibri" w:hAnsi="Calibri"/>
          <w:color w:val="001F60"/>
          <w:spacing w:val="70"/>
        </w:rPr>
        <w:t xml:space="preserve"> </w:t>
      </w:r>
      <w:r>
        <w:rPr>
          <w:rFonts w:ascii="Calibri" w:hAnsi="Calibri"/>
          <w:color w:val="001F60"/>
        </w:rPr>
        <w:t>Estado</w:t>
      </w:r>
      <w:r>
        <w:rPr>
          <w:rFonts w:ascii="Calibri" w:hAnsi="Calibri"/>
          <w:color w:val="001F60"/>
          <w:spacing w:val="68"/>
        </w:rPr>
        <w:t xml:space="preserve"> </w:t>
      </w:r>
      <w:r>
        <w:rPr>
          <w:rFonts w:ascii="Calibri" w:hAnsi="Calibri"/>
          <w:color w:val="001F60"/>
          <w:spacing w:val="-2"/>
        </w:rPr>
        <w:t>brasileiro.</w:t>
      </w:r>
    </w:p>
    <w:p w14:paraId="3F41C63F" w14:textId="77777777" w:rsidR="002C6574" w:rsidRDefault="00000000">
      <w:pPr>
        <w:pStyle w:val="Corpodetexto"/>
        <w:spacing w:before="11"/>
        <w:rPr>
          <w:rFonts w:ascii="Calibri"/>
          <w:sz w:val="16"/>
        </w:rPr>
      </w:pPr>
      <w:r>
        <w:rPr>
          <w:rFonts w:ascii="Calibri"/>
          <w:noProof/>
          <w:sz w:val="16"/>
        </w:rPr>
        <w:drawing>
          <wp:anchor distT="0" distB="0" distL="0" distR="0" simplePos="0" relativeHeight="487601152" behindDoc="1" locked="0" layoutInCell="1" allowOverlap="1" wp14:anchorId="6524F354" wp14:editId="5597C0B8">
            <wp:simplePos x="0" y="0"/>
            <wp:positionH relativeFrom="page">
              <wp:posOffset>1230192</wp:posOffset>
            </wp:positionH>
            <wp:positionV relativeFrom="paragraph">
              <wp:posOffset>146610</wp:posOffset>
            </wp:positionV>
            <wp:extent cx="5411568" cy="2394299"/>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31" cstate="print"/>
                    <a:stretch>
                      <a:fillRect/>
                    </a:stretch>
                  </pic:blipFill>
                  <pic:spPr>
                    <a:xfrm>
                      <a:off x="0" y="0"/>
                      <a:ext cx="5411568" cy="2394299"/>
                    </a:xfrm>
                    <a:prstGeom prst="rect">
                      <a:avLst/>
                    </a:prstGeom>
                  </pic:spPr>
                </pic:pic>
              </a:graphicData>
            </a:graphic>
          </wp:anchor>
        </w:drawing>
      </w:r>
    </w:p>
    <w:p w14:paraId="595F3CD8" w14:textId="77777777" w:rsidR="002C6574" w:rsidRDefault="002C6574">
      <w:pPr>
        <w:pStyle w:val="Corpodetexto"/>
        <w:spacing w:before="27"/>
        <w:rPr>
          <w:rFonts w:ascii="Calibri"/>
        </w:rPr>
      </w:pPr>
    </w:p>
    <w:p w14:paraId="35AE2221" w14:textId="77777777" w:rsidR="002C6574" w:rsidRDefault="00000000">
      <w:pPr>
        <w:ind w:left="3488"/>
        <w:rPr>
          <w:rFonts w:ascii="Calibri" w:hAnsi="Calibri"/>
          <w:sz w:val="16"/>
        </w:rPr>
      </w:pPr>
      <w:r>
        <w:rPr>
          <w:rFonts w:ascii="Calibri" w:hAnsi="Calibri"/>
          <w:color w:val="001F60"/>
          <w:sz w:val="16"/>
        </w:rPr>
        <w:t>Gráfico</w:t>
      </w:r>
      <w:r>
        <w:rPr>
          <w:rFonts w:ascii="Calibri" w:hAnsi="Calibri"/>
          <w:color w:val="001F60"/>
          <w:spacing w:val="-4"/>
          <w:sz w:val="16"/>
        </w:rPr>
        <w:t xml:space="preserve"> </w:t>
      </w:r>
      <w:r>
        <w:rPr>
          <w:rFonts w:ascii="Calibri" w:hAnsi="Calibri"/>
          <w:color w:val="001F60"/>
          <w:sz w:val="16"/>
        </w:rPr>
        <w:t>7-3</w:t>
      </w:r>
      <w:r>
        <w:rPr>
          <w:rFonts w:ascii="Calibri" w:hAnsi="Calibri"/>
          <w:color w:val="001F60"/>
          <w:spacing w:val="-3"/>
          <w:sz w:val="16"/>
        </w:rPr>
        <w:t xml:space="preserve"> </w:t>
      </w:r>
      <w:r>
        <w:rPr>
          <w:rFonts w:ascii="Calibri" w:hAnsi="Calibri"/>
          <w:color w:val="001F60"/>
          <w:sz w:val="16"/>
        </w:rPr>
        <w:t>Nível</w:t>
      </w:r>
      <w:r>
        <w:rPr>
          <w:rFonts w:ascii="Calibri" w:hAnsi="Calibri"/>
          <w:color w:val="001F60"/>
          <w:spacing w:val="-4"/>
          <w:sz w:val="16"/>
        </w:rPr>
        <w:t xml:space="preserve"> </w:t>
      </w:r>
      <w:r>
        <w:rPr>
          <w:rFonts w:ascii="Calibri" w:hAnsi="Calibri"/>
          <w:color w:val="001F60"/>
          <w:sz w:val="16"/>
        </w:rPr>
        <w:t>de</w:t>
      </w:r>
      <w:r>
        <w:rPr>
          <w:rFonts w:ascii="Calibri" w:hAnsi="Calibri"/>
          <w:color w:val="001F60"/>
          <w:spacing w:val="-4"/>
          <w:sz w:val="16"/>
        </w:rPr>
        <w:t xml:space="preserve"> </w:t>
      </w:r>
      <w:r>
        <w:rPr>
          <w:rFonts w:ascii="Calibri" w:hAnsi="Calibri"/>
          <w:color w:val="001F60"/>
          <w:sz w:val="16"/>
        </w:rPr>
        <w:t>Serviço</w:t>
      </w:r>
      <w:r>
        <w:rPr>
          <w:rFonts w:ascii="Calibri" w:hAnsi="Calibri"/>
          <w:color w:val="001F60"/>
          <w:spacing w:val="-2"/>
          <w:sz w:val="16"/>
        </w:rPr>
        <w:t xml:space="preserve"> </w:t>
      </w:r>
      <w:r>
        <w:rPr>
          <w:rFonts w:ascii="Calibri" w:hAnsi="Calibri"/>
          <w:color w:val="001F60"/>
          <w:sz w:val="16"/>
        </w:rPr>
        <w:t>–</w:t>
      </w:r>
      <w:r>
        <w:rPr>
          <w:rFonts w:ascii="Calibri" w:hAnsi="Calibri"/>
          <w:color w:val="001F60"/>
          <w:spacing w:val="-4"/>
          <w:sz w:val="16"/>
        </w:rPr>
        <w:t xml:space="preserve"> </w:t>
      </w:r>
      <w:r>
        <w:rPr>
          <w:rFonts w:ascii="Calibri" w:hAnsi="Calibri"/>
          <w:color w:val="001F60"/>
          <w:sz w:val="16"/>
        </w:rPr>
        <w:t>Disponibilidade</w:t>
      </w:r>
      <w:r>
        <w:rPr>
          <w:rFonts w:ascii="Calibri" w:hAnsi="Calibri"/>
          <w:color w:val="001F60"/>
          <w:spacing w:val="-3"/>
          <w:sz w:val="16"/>
        </w:rPr>
        <w:t xml:space="preserve"> </w:t>
      </w:r>
      <w:r>
        <w:rPr>
          <w:rFonts w:ascii="Calibri" w:hAnsi="Calibri"/>
          <w:color w:val="001F60"/>
          <w:sz w:val="16"/>
        </w:rPr>
        <w:t>da</w:t>
      </w:r>
      <w:r>
        <w:rPr>
          <w:rFonts w:ascii="Calibri" w:hAnsi="Calibri"/>
          <w:color w:val="001F60"/>
          <w:spacing w:val="-3"/>
          <w:sz w:val="16"/>
        </w:rPr>
        <w:t xml:space="preserve"> </w:t>
      </w:r>
      <w:r>
        <w:rPr>
          <w:rFonts w:ascii="Calibri" w:hAnsi="Calibri"/>
          <w:color w:val="001F60"/>
          <w:spacing w:val="-4"/>
          <w:sz w:val="16"/>
        </w:rPr>
        <w:t>Rede</w:t>
      </w:r>
    </w:p>
    <w:p w14:paraId="746028E6" w14:textId="77777777" w:rsidR="002C6574" w:rsidRDefault="00000000">
      <w:pPr>
        <w:pStyle w:val="Corpodetexto"/>
        <w:spacing w:before="122"/>
        <w:ind w:left="709" w:right="279"/>
        <w:jc w:val="both"/>
        <w:rPr>
          <w:rFonts w:ascii="Calibri" w:hAnsi="Calibri"/>
        </w:rPr>
      </w:pPr>
      <w:r>
        <w:rPr>
          <w:rFonts w:ascii="Calibri" w:hAnsi="Calibri"/>
          <w:color w:val="001F60"/>
        </w:rPr>
        <w:t>Nos</w:t>
      </w:r>
      <w:r>
        <w:rPr>
          <w:rFonts w:ascii="Calibri" w:hAnsi="Calibri"/>
          <w:color w:val="001F60"/>
          <w:spacing w:val="-13"/>
        </w:rPr>
        <w:t xml:space="preserve"> </w:t>
      </w:r>
      <w:r>
        <w:rPr>
          <w:rFonts w:ascii="Calibri" w:hAnsi="Calibri"/>
          <w:color w:val="001F60"/>
        </w:rPr>
        <w:t>últimos</w:t>
      </w:r>
      <w:r>
        <w:rPr>
          <w:rFonts w:ascii="Calibri" w:hAnsi="Calibri"/>
          <w:color w:val="001F60"/>
          <w:spacing w:val="-12"/>
        </w:rPr>
        <w:t xml:space="preserve"> </w:t>
      </w:r>
      <w:r>
        <w:rPr>
          <w:rFonts w:ascii="Calibri" w:hAnsi="Calibri"/>
          <w:color w:val="001F60"/>
        </w:rPr>
        <w:t>12</w:t>
      </w:r>
      <w:r>
        <w:rPr>
          <w:rFonts w:ascii="Calibri" w:hAnsi="Calibri"/>
          <w:color w:val="001F60"/>
          <w:spacing w:val="-13"/>
        </w:rPr>
        <w:t xml:space="preserve"> </w:t>
      </w:r>
      <w:r>
        <w:rPr>
          <w:rFonts w:ascii="Calibri" w:hAnsi="Calibri"/>
          <w:color w:val="001F60"/>
        </w:rPr>
        <w:t>meses,</w:t>
      </w:r>
      <w:r>
        <w:rPr>
          <w:rFonts w:ascii="Calibri" w:hAnsi="Calibri"/>
          <w:color w:val="001F60"/>
          <w:spacing w:val="-12"/>
        </w:rPr>
        <w:t xml:space="preserve"> </w:t>
      </w:r>
      <w:r>
        <w:rPr>
          <w:rFonts w:ascii="Calibri" w:hAnsi="Calibri"/>
          <w:color w:val="001F60"/>
        </w:rPr>
        <w:t>a</w:t>
      </w:r>
      <w:r>
        <w:rPr>
          <w:rFonts w:ascii="Calibri" w:hAnsi="Calibri"/>
          <w:color w:val="001F60"/>
          <w:spacing w:val="-13"/>
        </w:rPr>
        <w:t xml:space="preserve"> </w:t>
      </w:r>
      <w:r>
        <w:rPr>
          <w:rFonts w:ascii="Calibri" w:hAnsi="Calibri"/>
          <w:color w:val="001F60"/>
        </w:rPr>
        <w:t>Telebras</w:t>
      </w:r>
      <w:r>
        <w:rPr>
          <w:rFonts w:ascii="Calibri" w:hAnsi="Calibri"/>
          <w:color w:val="001F60"/>
          <w:spacing w:val="-12"/>
        </w:rPr>
        <w:t xml:space="preserve"> </w:t>
      </w:r>
      <w:r>
        <w:rPr>
          <w:rFonts w:ascii="Calibri" w:hAnsi="Calibri"/>
          <w:color w:val="001F60"/>
        </w:rPr>
        <w:t>identificou</w:t>
      </w:r>
      <w:r>
        <w:rPr>
          <w:rFonts w:ascii="Calibri" w:hAnsi="Calibri"/>
          <w:color w:val="001F60"/>
          <w:spacing w:val="-13"/>
        </w:rPr>
        <w:t xml:space="preserve"> </w:t>
      </w:r>
      <w:r>
        <w:rPr>
          <w:rFonts w:ascii="Calibri" w:hAnsi="Calibri"/>
          <w:color w:val="001F60"/>
        </w:rPr>
        <w:t>os</w:t>
      </w:r>
      <w:r>
        <w:rPr>
          <w:rFonts w:ascii="Calibri" w:hAnsi="Calibri"/>
          <w:color w:val="001F60"/>
          <w:spacing w:val="-12"/>
        </w:rPr>
        <w:t xml:space="preserve"> </w:t>
      </w:r>
      <w:r>
        <w:rPr>
          <w:rFonts w:ascii="Calibri" w:hAnsi="Calibri"/>
          <w:color w:val="001F60"/>
        </w:rPr>
        <w:t>principais</w:t>
      </w:r>
      <w:r>
        <w:rPr>
          <w:rFonts w:ascii="Calibri" w:hAnsi="Calibri"/>
          <w:color w:val="001F60"/>
          <w:spacing w:val="-12"/>
        </w:rPr>
        <w:t xml:space="preserve"> </w:t>
      </w:r>
      <w:r>
        <w:rPr>
          <w:rFonts w:ascii="Calibri" w:hAnsi="Calibri"/>
          <w:color w:val="001F60"/>
        </w:rPr>
        <w:t>desafios</w:t>
      </w:r>
      <w:r>
        <w:rPr>
          <w:rFonts w:ascii="Calibri" w:hAnsi="Calibri"/>
          <w:color w:val="001F60"/>
          <w:spacing w:val="-13"/>
        </w:rPr>
        <w:t xml:space="preserve"> </w:t>
      </w:r>
      <w:r>
        <w:rPr>
          <w:rFonts w:ascii="Calibri" w:hAnsi="Calibri"/>
          <w:color w:val="001F60"/>
        </w:rPr>
        <w:t>que</w:t>
      </w:r>
      <w:r>
        <w:rPr>
          <w:rFonts w:ascii="Calibri" w:hAnsi="Calibri"/>
          <w:color w:val="001F60"/>
          <w:spacing w:val="-11"/>
        </w:rPr>
        <w:t xml:space="preserve"> </w:t>
      </w:r>
      <w:r>
        <w:rPr>
          <w:rFonts w:ascii="Calibri" w:hAnsi="Calibri"/>
          <w:color w:val="001F60"/>
        </w:rPr>
        <w:t>impactaram</w:t>
      </w:r>
      <w:r>
        <w:rPr>
          <w:rFonts w:ascii="Calibri" w:hAnsi="Calibri"/>
          <w:color w:val="001F60"/>
          <w:spacing w:val="-11"/>
        </w:rPr>
        <w:t xml:space="preserve"> </w:t>
      </w:r>
      <w:r>
        <w:rPr>
          <w:rFonts w:ascii="Calibri" w:hAnsi="Calibri"/>
          <w:color w:val="001F60"/>
        </w:rPr>
        <w:t>a</w:t>
      </w:r>
      <w:r>
        <w:rPr>
          <w:rFonts w:ascii="Calibri" w:hAnsi="Calibri"/>
          <w:color w:val="001F60"/>
          <w:spacing w:val="-12"/>
        </w:rPr>
        <w:t xml:space="preserve"> </w:t>
      </w:r>
      <w:r>
        <w:rPr>
          <w:rFonts w:ascii="Calibri" w:hAnsi="Calibri"/>
          <w:color w:val="001F60"/>
        </w:rPr>
        <w:t>operacionalidade da rede e implementou estratégias de mitigação para reduzir seus efeitos.</w:t>
      </w:r>
    </w:p>
    <w:p w14:paraId="280DE263" w14:textId="77777777" w:rsidR="002C6574" w:rsidRDefault="00000000">
      <w:pPr>
        <w:spacing w:before="120"/>
        <w:ind w:left="709"/>
        <w:jc w:val="both"/>
        <w:rPr>
          <w:rFonts w:ascii="Calibri"/>
          <w:b/>
        </w:rPr>
      </w:pPr>
      <w:r>
        <w:rPr>
          <w:rFonts w:ascii="Calibri"/>
          <w:b/>
          <w:color w:val="001F60"/>
        </w:rPr>
        <w:t>Principais</w:t>
      </w:r>
      <w:r>
        <w:rPr>
          <w:rFonts w:ascii="Calibri"/>
          <w:b/>
          <w:color w:val="001F60"/>
          <w:spacing w:val="-7"/>
        </w:rPr>
        <w:t xml:space="preserve"> </w:t>
      </w:r>
      <w:r>
        <w:rPr>
          <w:rFonts w:ascii="Calibri"/>
          <w:b/>
          <w:color w:val="001F60"/>
          <w:spacing w:val="-2"/>
        </w:rPr>
        <w:t>desafios</w:t>
      </w:r>
    </w:p>
    <w:p w14:paraId="37B2B9EB" w14:textId="77777777" w:rsidR="002C6574" w:rsidRDefault="00000000">
      <w:pPr>
        <w:pStyle w:val="Corpodetexto"/>
        <w:spacing w:before="118"/>
        <w:ind w:left="709" w:right="279"/>
        <w:jc w:val="both"/>
        <w:rPr>
          <w:rFonts w:ascii="Calibri" w:hAnsi="Calibri"/>
        </w:rPr>
      </w:pPr>
      <w:r>
        <w:rPr>
          <w:rFonts w:ascii="Calibri" w:hAnsi="Calibri"/>
          <w:color w:val="001F60"/>
        </w:rPr>
        <w:t>A</w:t>
      </w:r>
      <w:r>
        <w:rPr>
          <w:rFonts w:ascii="Calibri" w:hAnsi="Calibri"/>
          <w:color w:val="001F60"/>
          <w:spacing w:val="-2"/>
        </w:rPr>
        <w:t xml:space="preserve"> </w:t>
      </w:r>
      <w:r>
        <w:rPr>
          <w:rFonts w:ascii="Calibri" w:hAnsi="Calibri"/>
          <w:color w:val="001F60"/>
        </w:rPr>
        <w:t>Telebras</w:t>
      </w:r>
      <w:r>
        <w:rPr>
          <w:rFonts w:ascii="Calibri" w:hAnsi="Calibri"/>
          <w:color w:val="001F60"/>
          <w:spacing w:val="-2"/>
        </w:rPr>
        <w:t xml:space="preserve"> </w:t>
      </w:r>
      <w:r>
        <w:rPr>
          <w:rFonts w:ascii="Calibri" w:hAnsi="Calibri"/>
          <w:color w:val="001F60"/>
        </w:rPr>
        <w:t>enfrentou,</w:t>
      </w:r>
      <w:r>
        <w:rPr>
          <w:rFonts w:ascii="Calibri" w:hAnsi="Calibri"/>
          <w:color w:val="001F60"/>
          <w:spacing w:val="-2"/>
        </w:rPr>
        <w:t xml:space="preserve"> </w:t>
      </w:r>
      <w:r>
        <w:rPr>
          <w:rFonts w:ascii="Calibri" w:hAnsi="Calibri"/>
          <w:color w:val="001F60"/>
        </w:rPr>
        <w:t>ao</w:t>
      </w:r>
      <w:r>
        <w:rPr>
          <w:rFonts w:ascii="Calibri" w:hAnsi="Calibri"/>
          <w:color w:val="001F60"/>
          <w:spacing w:val="-2"/>
        </w:rPr>
        <w:t xml:space="preserve"> </w:t>
      </w:r>
      <w:r>
        <w:rPr>
          <w:rFonts w:ascii="Calibri" w:hAnsi="Calibri"/>
          <w:color w:val="001F60"/>
        </w:rPr>
        <w:t>longo</w:t>
      </w:r>
      <w:r>
        <w:rPr>
          <w:rFonts w:ascii="Calibri" w:hAnsi="Calibri"/>
          <w:color w:val="001F60"/>
          <w:spacing w:val="-2"/>
        </w:rPr>
        <w:t xml:space="preserve"> </w:t>
      </w:r>
      <w:r>
        <w:rPr>
          <w:rFonts w:ascii="Calibri" w:hAnsi="Calibri"/>
          <w:color w:val="001F60"/>
        </w:rPr>
        <w:t>do</w:t>
      </w:r>
      <w:r>
        <w:rPr>
          <w:rFonts w:ascii="Calibri" w:hAnsi="Calibri"/>
          <w:color w:val="001F60"/>
          <w:spacing w:val="-2"/>
        </w:rPr>
        <w:t xml:space="preserve"> </w:t>
      </w:r>
      <w:r>
        <w:rPr>
          <w:rFonts w:ascii="Calibri" w:hAnsi="Calibri"/>
          <w:color w:val="001F60"/>
        </w:rPr>
        <w:t>exercício</w:t>
      </w:r>
      <w:r>
        <w:rPr>
          <w:rFonts w:ascii="Calibri" w:hAnsi="Calibri"/>
          <w:color w:val="001F60"/>
          <w:spacing w:val="-2"/>
        </w:rPr>
        <w:t xml:space="preserve"> </w:t>
      </w:r>
      <w:r>
        <w:rPr>
          <w:rFonts w:ascii="Calibri" w:hAnsi="Calibri"/>
          <w:color w:val="001F60"/>
        </w:rPr>
        <w:t>de</w:t>
      </w:r>
      <w:r>
        <w:rPr>
          <w:rFonts w:ascii="Calibri" w:hAnsi="Calibri"/>
          <w:color w:val="001F60"/>
          <w:spacing w:val="-2"/>
        </w:rPr>
        <w:t xml:space="preserve"> </w:t>
      </w:r>
      <w:r>
        <w:rPr>
          <w:rFonts w:ascii="Calibri" w:hAnsi="Calibri"/>
          <w:color w:val="001F60"/>
        </w:rPr>
        <w:t>2025,</w:t>
      </w:r>
      <w:r>
        <w:rPr>
          <w:rFonts w:ascii="Calibri" w:hAnsi="Calibri"/>
          <w:color w:val="001F60"/>
          <w:spacing w:val="-2"/>
        </w:rPr>
        <w:t xml:space="preserve"> </w:t>
      </w:r>
      <w:r>
        <w:rPr>
          <w:rFonts w:ascii="Calibri" w:hAnsi="Calibri"/>
          <w:color w:val="001F60"/>
        </w:rPr>
        <w:t>desafios relevantes</w:t>
      </w:r>
      <w:r>
        <w:rPr>
          <w:rFonts w:ascii="Calibri" w:hAnsi="Calibri"/>
          <w:color w:val="001F60"/>
          <w:spacing w:val="-2"/>
        </w:rPr>
        <w:t xml:space="preserve"> </w:t>
      </w:r>
      <w:r>
        <w:rPr>
          <w:rFonts w:ascii="Calibri" w:hAnsi="Calibri"/>
          <w:color w:val="001F60"/>
        </w:rPr>
        <w:t>relacionados à</w:t>
      </w:r>
      <w:r>
        <w:rPr>
          <w:rFonts w:ascii="Calibri" w:hAnsi="Calibri"/>
          <w:color w:val="001F60"/>
          <w:spacing w:val="-2"/>
        </w:rPr>
        <w:t xml:space="preserve"> </w:t>
      </w:r>
      <w:r>
        <w:rPr>
          <w:rFonts w:ascii="Calibri" w:hAnsi="Calibri"/>
          <w:color w:val="001F60"/>
        </w:rPr>
        <w:t>continuidade operacional e à integridade de sua infraestrutura estratégica. As ocorrências observadas foram tratadas de forma sistêmica, com foco em mitigação de riscos, resiliência e na manutenção dos elevados padrões de disponibilidade da rede nacional.</w:t>
      </w:r>
    </w:p>
    <w:p w14:paraId="5E9350EC" w14:textId="77777777" w:rsidR="002C6574" w:rsidRDefault="00000000">
      <w:pPr>
        <w:pStyle w:val="PargrafodaLista"/>
        <w:numPr>
          <w:ilvl w:val="0"/>
          <w:numId w:val="62"/>
        </w:numPr>
        <w:tabs>
          <w:tab w:val="left" w:pos="1434"/>
        </w:tabs>
        <w:spacing w:before="121"/>
        <w:ind w:right="277"/>
        <w:jc w:val="both"/>
      </w:pPr>
      <w:r>
        <w:rPr>
          <w:b/>
          <w:color w:val="001F60"/>
        </w:rPr>
        <w:t>Qualidade do fornecimento de energia elétrica</w:t>
      </w:r>
      <w:r>
        <w:rPr>
          <w:color w:val="001F60"/>
        </w:rPr>
        <w:t>: flutuações e interrupções no fornecimento de energia impactaram temporariamente o funcionamento de estações e a durabilidade de componentes críticos, como bancos de baterias e sistemas de climatização. Esses episódios têm influência direta sobre a confiabilidade dos serviços prestados.</w:t>
      </w:r>
    </w:p>
    <w:p w14:paraId="549464CB" w14:textId="77777777" w:rsidR="002C6574" w:rsidRDefault="00000000">
      <w:pPr>
        <w:pStyle w:val="PargrafodaLista"/>
        <w:numPr>
          <w:ilvl w:val="0"/>
          <w:numId w:val="62"/>
        </w:numPr>
        <w:tabs>
          <w:tab w:val="left" w:pos="1434"/>
        </w:tabs>
        <w:spacing w:before="121"/>
        <w:ind w:right="275"/>
        <w:jc w:val="both"/>
      </w:pPr>
      <w:r>
        <w:rPr>
          <w:b/>
          <w:color w:val="001F60"/>
        </w:rPr>
        <w:t>Para reforçar a resiliência da infraestrutura</w:t>
      </w:r>
      <w:r>
        <w:rPr>
          <w:color w:val="001F60"/>
        </w:rPr>
        <w:t>, a Telebras vem mantendo investimentos na modernização</w:t>
      </w:r>
      <w:r>
        <w:rPr>
          <w:color w:val="001F60"/>
          <w:spacing w:val="-13"/>
        </w:rPr>
        <w:t xml:space="preserve"> </w:t>
      </w:r>
      <w:r>
        <w:rPr>
          <w:color w:val="001F60"/>
        </w:rPr>
        <w:t>dos</w:t>
      </w:r>
      <w:r>
        <w:rPr>
          <w:color w:val="001F60"/>
          <w:spacing w:val="-12"/>
        </w:rPr>
        <w:t xml:space="preserve"> </w:t>
      </w:r>
      <w:r>
        <w:rPr>
          <w:color w:val="001F60"/>
        </w:rPr>
        <w:t>bancos</w:t>
      </w:r>
      <w:r>
        <w:rPr>
          <w:color w:val="001F60"/>
          <w:spacing w:val="-13"/>
        </w:rPr>
        <w:t xml:space="preserve"> </w:t>
      </w:r>
      <w:r>
        <w:rPr>
          <w:color w:val="001F60"/>
        </w:rPr>
        <w:t>de</w:t>
      </w:r>
      <w:r>
        <w:rPr>
          <w:color w:val="001F60"/>
          <w:spacing w:val="-12"/>
        </w:rPr>
        <w:t xml:space="preserve"> </w:t>
      </w:r>
      <w:r>
        <w:rPr>
          <w:color w:val="001F60"/>
        </w:rPr>
        <w:t>baterias,</w:t>
      </w:r>
      <w:r>
        <w:rPr>
          <w:color w:val="001F60"/>
          <w:spacing w:val="-13"/>
        </w:rPr>
        <w:t xml:space="preserve"> </w:t>
      </w:r>
      <w:r>
        <w:rPr>
          <w:color w:val="001F60"/>
        </w:rPr>
        <w:t>na</w:t>
      </w:r>
      <w:r>
        <w:rPr>
          <w:color w:val="001F60"/>
          <w:spacing w:val="-12"/>
        </w:rPr>
        <w:t xml:space="preserve"> </w:t>
      </w:r>
      <w:r>
        <w:rPr>
          <w:color w:val="001F60"/>
        </w:rPr>
        <w:t>manutenção</w:t>
      </w:r>
      <w:r>
        <w:rPr>
          <w:color w:val="001F60"/>
          <w:spacing w:val="-13"/>
        </w:rPr>
        <w:t xml:space="preserve"> </w:t>
      </w:r>
      <w:r>
        <w:rPr>
          <w:color w:val="001F60"/>
        </w:rPr>
        <w:t>preventiva</w:t>
      </w:r>
      <w:r>
        <w:rPr>
          <w:color w:val="001F60"/>
          <w:spacing w:val="-12"/>
        </w:rPr>
        <w:t xml:space="preserve"> </w:t>
      </w:r>
      <w:r>
        <w:rPr>
          <w:color w:val="001F60"/>
        </w:rPr>
        <w:t>de</w:t>
      </w:r>
      <w:r>
        <w:rPr>
          <w:color w:val="001F60"/>
          <w:spacing w:val="-12"/>
        </w:rPr>
        <w:t xml:space="preserve"> </w:t>
      </w:r>
      <w:r>
        <w:rPr>
          <w:color w:val="001F60"/>
        </w:rPr>
        <w:t>geradores</w:t>
      </w:r>
      <w:r>
        <w:rPr>
          <w:color w:val="001F60"/>
          <w:spacing w:val="-13"/>
        </w:rPr>
        <w:t xml:space="preserve"> </w:t>
      </w:r>
      <w:r>
        <w:rPr>
          <w:color w:val="001F60"/>
        </w:rPr>
        <w:t>e</w:t>
      </w:r>
      <w:r>
        <w:rPr>
          <w:color w:val="001F60"/>
          <w:spacing w:val="-12"/>
        </w:rPr>
        <w:t xml:space="preserve"> </w:t>
      </w:r>
      <w:r>
        <w:rPr>
          <w:color w:val="001F60"/>
        </w:rPr>
        <w:t>na</w:t>
      </w:r>
      <w:r>
        <w:rPr>
          <w:color w:val="001F60"/>
          <w:spacing w:val="-13"/>
        </w:rPr>
        <w:t xml:space="preserve"> </w:t>
      </w:r>
      <w:r>
        <w:rPr>
          <w:color w:val="001F60"/>
        </w:rPr>
        <w:t>realização de</w:t>
      </w:r>
      <w:r>
        <w:rPr>
          <w:color w:val="001F60"/>
          <w:spacing w:val="-4"/>
        </w:rPr>
        <w:t xml:space="preserve"> </w:t>
      </w:r>
      <w:r>
        <w:rPr>
          <w:color w:val="001F60"/>
        </w:rPr>
        <w:t>tratativas</w:t>
      </w:r>
      <w:r>
        <w:rPr>
          <w:color w:val="001F60"/>
          <w:spacing w:val="-4"/>
        </w:rPr>
        <w:t xml:space="preserve"> </w:t>
      </w:r>
      <w:r>
        <w:rPr>
          <w:color w:val="001F60"/>
        </w:rPr>
        <w:t>institucionais</w:t>
      </w:r>
      <w:r>
        <w:rPr>
          <w:color w:val="001F60"/>
          <w:spacing w:val="-6"/>
        </w:rPr>
        <w:t xml:space="preserve"> </w:t>
      </w:r>
      <w:r>
        <w:rPr>
          <w:color w:val="001F60"/>
        </w:rPr>
        <w:t>junto</w:t>
      </w:r>
      <w:r>
        <w:rPr>
          <w:color w:val="001F60"/>
          <w:spacing w:val="-4"/>
        </w:rPr>
        <w:t xml:space="preserve"> </w:t>
      </w:r>
      <w:r>
        <w:rPr>
          <w:color w:val="001F60"/>
        </w:rPr>
        <w:t>às</w:t>
      </w:r>
      <w:r>
        <w:rPr>
          <w:color w:val="001F60"/>
          <w:spacing w:val="-6"/>
        </w:rPr>
        <w:t xml:space="preserve"> </w:t>
      </w:r>
      <w:r>
        <w:rPr>
          <w:color w:val="001F60"/>
        </w:rPr>
        <w:t>concessionárias</w:t>
      </w:r>
      <w:r>
        <w:rPr>
          <w:color w:val="001F60"/>
          <w:spacing w:val="-6"/>
        </w:rPr>
        <w:t xml:space="preserve"> </w:t>
      </w:r>
      <w:r>
        <w:rPr>
          <w:color w:val="001F60"/>
        </w:rPr>
        <w:t>de</w:t>
      </w:r>
      <w:r>
        <w:rPr>
          <w:color w:val="001F60"/>
          <w:spacing w:val="-10"/>
        </w:rPr>
        <w:t xml:space="preserve"> </w:t>
      </w:r>
      <w:r>
        <w:rPr>
          <w:color w:val="001F60"/>
        </w:rPr>
        <w:t>energia,</w:t>
      </w:r>
      <w:r>
        <w:rPr>
          <w:color w:val="001F60"/>
          <w:spacing w:val="-4"/>
        </w:rPr>
        <w:t xml:space="preserve"> </w:t>
      </w:r>
      <w:r>
        <w:rPr>
          <w:color w:val="001F60"/>
        </w:rPr>
        <w:t>com</w:t>
      </w:r>
      <w:r>
        <w:rPr>
          <w:color w:val="001F60"/>
          <w:spacing w:val="-6"/>
        </w:rPr>
        <w:t xml:space="preserve"> </w:t>
      </w:r>
      <w:r>
        <w:rPr>
          <w:color w:val="001F60"/>
        </w:rPr>
        <w:t>o</w:t>
      </w:r>
      <w:r>
        <w:rPr>
          <w:color w:val="001F60"/>
          <w:spacing w:val="-5"/>
        </w:rPr>
        <w:t xml:space="preserve"> </w:t>
      </w:r>
      <w:r>
        <w:rPr>
          <w:color w:val="001F60"/>
        </w:rPr>
        <w:t>objetivo</w:t>
      </w:r>
      <w:r>
        <w:rPr>
          <w:color w:val="001F60"/>
          <w:spacing w:val="-7"/>
        </w:rPr>
        <w:t xml:space="preserve"> </w:t>
      </w:r>
      <w:r>
        <w:rPr>
          <w:color w:val="001F60"/>
        </w:rPr>
        <w:t>de</w:t>
      </w:r>
      <w:r>
        <w:rPr>
          <w:color w:val="001F60"/>
          <w:spacing w:val="-6"/>
        </w:rPr>
        <w:t xml:space="preserve"> </w:t>
      </w:r>
      <w:r>
        <w:rPr>
          <w:color w:val="001F60"/>
        </w:rPr>
        <w:t>aprimorar</w:t>
      </w:r>
      <w:r>
        <w:rPr>
          <w:color w:val="001F60"/>
          <w:spacing w:val="-8"/>
        </w:rPr>
        <w:t xml:space="preserve"> </w:t>
      </w:r>
      <w:r>
        <w:rPr>
          <w:color w:val="001F60"/>
        </w:rPr>
        <w:t>a estabilidade do fornecimento.</w:t>
      </w:r>
    </w:p>
    <w:p w14:paraId="5BEBB1A3" w14:textId="77777777" w:rsidR="002C6574" w:rsidRDefault="002C6574">
      <w:pPr>
        <w:pStyle w:val="PargrafodaLista"/>
        <w:jc w:val="both"/>
        <w:sectPr w:rsidR="002C6574">
          <w:headerReference w:type="default" r:id="rId32"/>
          <w:footerReference w:type="default" r:id="rId33"/>
          <w:pgSz w:w="11910" w:h="16840"/>
          <w:pgMar w:top="1100" w:right="850" w:bottom="1060" w:left="992" w:header="288" w:footer="863" w:gutter="0"/>
          <w:cols w:space="720"/>
        </w:sectPr>
      </w:pPr>
    </w:p>
    <w:p w14:paraId="7C0A97A6" w14:textId="77777777" w:rsidR="002C6574" w:rsidRDefault="002C6574">
      <w:pPr>
        <w:pStyle w:val="Corpodetexto"/>
        <w:rPr>
          <w:rFonts w:ascii="Calibri"/>
        </w:rPr>
      </w:pPr>
    </w:p>
    <w:p w14:paraId="3D68A88D" w14:textId="77777777" w:rsidR="002C6574" w:rsidRDefault="002C6574">
      <w:pPr>
        <w:pStyle w:val="Corpodetexto"/>
        <w:spacing w:before="50"/>
        <w:rPr>
          <w:rFonts w:ascii="Calibri"/>
        </w:rPr>
      </w:pPr>
    </w:p>
    <w:p w14:paraId="7316FCC4" w14:textId="77777777" w:rsidR="002C6574" w:rsidRDefault="00000000">
      <w:pPr>
        <w:ind w:left="1069"/>
        <w:jc w:val="both"/>
        <w:rPr>
          <w:rFonts w:ascii="Calibri"/>
          <w:b/>
        </w:rPr>
      </w:pPr>
      <w:r>
        <w:rPr>
          <w:rFonts w:ascii="Calibri"/>
          <w:b/>
          <w:color w:val="001F60"/>
        </w:rPr>
        <w:t>Rompimento</w:t>
      </w:r>
      <w:r>
        <w:rPr>
          <w:rFonts w:ascii="Calibri"/>
          <w:b/>
          <w:color w:val="001F60"/>
          <w:spacing w:val="-6"/>
        </w:rPr>
        <w:t xml:space="preserve"> </w:t>
      </w:r>
      <w:r>
        <w:rPr>
          <w:rFonts w:ascii="Calibri"/>
          <w:b/>
          <w:color w:val="001F60"/>
        </w:rPr>
        <w:t>de</w:t>
      </w:r>
      <w:r>
        <w:rPr>
          <w:rFonts w:ascii="Calibri"/>
          <w:b/>
          <w:color w:val="001F60"/>
          <w:spacing w:val="-2"/>
        </w:rPr>
        <w:t xml:space="preserve"> Fibras</w:t>
      </w:r>
    </w:p>
    <w:p w14:paraId="53EBD959" w14:textId="77777777" w:rsidR="002C6574" w:rsidRDefault="00000000">
      <w:pPr>
        <w:pStyle w:val="PargrafodaLista"/>
        <w:numPr>
          <w:ilvl w:val="0"/>
          <w:numId w:val="62"/>
        </w:numPr>
        <w:tabs>
          <w:tab w:val="left" w:pos="1434"/>
        </w:tabs>
        <w:spacing w:before="120"/>
        <w:ind w:right="276"/>
        <w:jc w:val="both"/>
      </w:pPr>
      <w:r>
        <w:rPr>
          <w:color w:val="001F60"/>
        </w:rPr>
        <w:t>Incidentes de rompimento</w:t>
      </w:r>
      <w:r>
        <w:rPr>
          <w:color w:val="001F60"/>
          <w:spacing w:val="-3"/>
        </w:rPr>
        <w:t xml:space="preserve"> </w:t>
      </w:r>
      <w:r>
        <w:rPr>
          <w:color w:val="001F60"/>
        </w:rPr>
        <w:t>em trechos da rede externa provocaram interrupções</w:t>
      </w:r>
      <w:r>
        <w:rPr>
          <w:color w:val="001F60"/>
          <w:spacing w:val="-3"/>
        </w:rPr>
        <w:t xml:space="preserve"> </w:t>
      </w:r>
      <w:r>
        <w:rPr>
          <w:color w:val="001F60"/>
        </w:rPr>
        <w:t xml:space="preserve">pontuais na rede </w:t>
      </w:r>
      <w:r>
        <w:rPr>
          <w:rFonts w:ascii="Arial" w:hAnsi="Arial"/>
          <w:i/>
          <w:color w:val="001F60"/>
        </w:rPr>
        <w:t>backbone</w:t>
      </w:r>
      <w:r>
        <w:rPr>
          <w:color w:val="001F60"/>
        </w:rPr>
        <w:t>, exigindo resposta imediata para restauração da conectividade. Esses incidentes impactam a qualidade do serviço e exigem ações imediatas para reparo e recuperação da conectividade. Para mitigar esse risco, a Telebras adota estratégias de redundância e monitoramento contínuo,</w:t>
      </w:r>
      <w:r>
        <w:rPr>
          <w:color w:val="001F60"/>
          <w:spacing w:val="-2"/>
        </w:rPr>
        <w:t xml:space="preserve"> </w:t>
      </w:r>
      <w:r>
        <w:rPr>
          <w:color w:val="001F60"/>
        </w:rPr>
        <w:t>além de reforçar parcerias para manutenção rápida da infraestrutura.</w:t>
      </w:r>
    </w:p>
    <w:p w14:paraId="19FE05C6" w14:textId="77777777" w:rsidR="002C6574" w:rsidRDefault="00000000">
      <w:pPr>
        <w:spacing w:before="119"/>
        <w:ind w:left="1069"/>
        <w:jc w:val="both"/>
        <w:rPr>
          <w:rFonts w:ascii="Calibri"/>
          <w:b/>
        </w:rPr>
      </w:pPr>
      <w:r>
        <w:rPr>
          <w:rFonts w:ascii="Calibri"/>
          <w:b/>
          <w:color w:val="001F60"/>
        </w:rPr>
        <w:t>Vandalismo</w:t>
      </w:r>
      <w:r>
        <w:rPr>
          <w:rFonts w:ascii="Calibri"/>
          <w:b/>
          <w:color w:val="001F60"/>
          <w:spacing w:val="-4"/>
        </w:rPr>
        <w:t xml:space="preserve"> </w:t>
      </w:r>
      <w:r>
        <w:rPr>
          <w:rFonts w:ascii="Calibri"/>
          <w:b/>
          <w:color w:val="001F60"/>
        </w:rPr>
        <w:t>e</w:t>
      </w:r>
      <w:r>
        <w:rPr>
          <w:rFonts w:ascii="Calibri"/>
          <w:b/>
          <w:color w:val="001F60"/>
          <w:spacing w:val="-2"/>
        </w:rPr>
        <w:t xml:space="preserve"> </w:t>
      </w:r>
      <w:r>
        <w:rPr>
          <w:rFonts w:ascii="Calibri"/>
          <w:b/>
          <w:color w:val="001F60"/>
        </w:rPr>
        <w:t>Furtos</w:t>
      </w:r>
      <w:r>
        <w:rPr>
          <w:rFonts w:ascii="Calibri"/>
          <w:b/>
          <w:color w:val="001F60"/>
          <w:spacing w:val="-4"/>
        </w:rPr>
        <w:t xml:space="preserve"> </w:t>
      </w:r>
      <w:r>
        <w:rPr>
          <w:rFonts w:ascii="Calibri"/>
          <w:b/>
          <w:color w:val="001F60"/>
        </w:rPr>
        <w:t>de</w:t>
      </w:r>
      <w:r>
        <w:rPr>
          <w:rFonts w:ascii="Calibri"/>
          <w:b/>
          <w:color w:val="001F60"/>
          <w:spacing w:val="-2"/>
        </w:rPr>
        <w:t xml:space="preserve"> infraestrutura</w:t>
      </w:r>
    </w:p>
    <w:p w14:paraId="4130399F" w14:textId="77777777" w:rsidR="002C6574" w:rsidRDefault="00000000">
      <w:pPr>
        <w:pStyle w:val="PargrafodaLista"/>
        <w:numPr>
          <w:ilvl w:val="0"/>
          <w:numId w:val="62"/>
        </w:numPr>
        <w:tabs>
          <w:tab w:val="left" w:pos="1434"/>
        </w:tabs>
        <w:spacing w:before="120"/>
        <w:ind w:right="274"/>
        <w:jc w:val="both"/>
      </w:pPr>
      <w:r>
        <w:rPr>
          <w:color w:val="001F60"/>
        </w:rPr>
        <w:t xml:space="preserve">Atos de vandalismo, incluindo furtos de baterias, cabos ópticos e cabos de energia, representaram desafios adicionais para a manutenção da operação. Além dos custos de reposição e reparo, essas ocorrências impactam temporariamente a disponibilidade dos </w:t>
      </w:r>
      <w:r>
        <w:rPr>
          <w:color w:val="001F60"/>
          <w:spacing w:val="-2"/>
        </w:rPr>
        <w:t>serviços.</w:t>
      </w:r>
    </w:p>
    <w:p w14:paraId="721F678B" w14:textId="77777777" w:rsidR="002C6574" w:rsidRDefault="00000000">
      <w:pPr>
        <w:pStyle w:val="PargrafodaLista"/>
        <w:numPr>
          <w:ilvl w:val="0"/>
          <w:numId w:val="62"/>
        </w:numPr>
        <w:tabs>
          <w:tab w:val="left" w:pos="1434"/>
        </w:tabs>
        <w:spacing w:before="119"/>
        <w:ind w:right="277"/>
        <w:jc w:val="both"/>
      </w:pPr>
      <w:r>
        <w:rPr>
          <w:color w:val="001F60"/>
        </w:rPr>
        <w:t>Como</w:t>
      </w:r>
      <w:r>
        <w:rPr>
          <w:color w:val="001F60"/>
          <w:spacing w:val="-13"/>
        </w:rPr>
        <w:t xml:space="preserve"> </w:t>
      </w:r>
      <w:r>
        <w:rPr>
          <w:color w:val="001F60"/>
        </w:rPr>
        <w:t>resposta,</w:t>
      </w:r>
      <w:r>
        <w:rPr>
          <w:color w:val="001F60"/>
          <w:spacing w:val="-12"/>
        </w:rPr>
        <w:t xml:space="preserve"> </w:t>
      </w:r>
      <w:r>
        <w:rPr>
          <w:color w:val="001F60"/>
        </w:rPr>
        <w:t>a</w:t>
      </w:r>
      <w:r>
        <w:rPr>
          <w:color w:val="001F60"/>
          <w:spacing w:val="-13"/>
        </w:rPr>
        <w:t xml:space="preserve"> </w:t>
      </w:r>
      <w:r>
        <w:rPr>
          <w:color w:val="001F60"/>
        </w:rPr>
        <w:t>Telebras</w:t>
      </w:r>
      <w:r>
        <w:rPr>
          <w:color w:val="001F60"/>
          <w:spacing w:val="-12"/>
        </w:rPr>
        <w:t xml:space="preserve"> </w:t>
      </w:r>
      <w:r>
        <w:rPr>
          <w:color w:val="001F60"/>
        </w:rPr>
        <w:t>reforçou</w:t>
      </w:r>
      <w:r>
        <w:rPr>
          <w:color w:val="001F60"/>
          <w:spacing w:val="-13"/>
        </w:rPr>
        <w:t xml:space="preserve"> </w:t>
      </w:r>
      <w:r>
        <w:rPr>
          <w:color w:val="001F60"/>
        </w:rPr>
        <w:t>as</w:t>
      </w:r>
      <w:r>
        <w:rPr>
          <w:color w:val="001F60"/>
          <w:spacing w:val="-12"/>
        </w:rPr>
        <w:t xml:space="preserve"> </w:t>
      </w:r>
      <w:r>
        <w:rPr>
          <w:color w:val="001F60"/>
        </w:rPr>
        <w:t>medidas</w:t>
      </w:r>
      <w:r>
        <w:rPr>
          <w:color w:val="001F60"/>
          <w:spacing w:val="-13"/>
        </w:rPr>
        <w:t xml:space="preserve"> </w:t>
      </w:r>
      <w:r>
        <w:rPr>
          <w:color w:val="001F60"/>
        </w:rPr>
        <w:t>de</w:t>
      </w:r>
      <w:r>
        <w:rPr>
          <w:color w:val="001F60"/>
          <w:spacing w:val="-12"/>
        </w:rPr>
        <w:t xml:space="preserve"> </w:t>
      </w:r>
      <w:r>
        <w:rPr>
          <w:color w:val="001F60"/>
        </w:rPr>
        <w:t>segurança</w:t>
      </w:r>
      <w:r>
        <w:rPr>
          <w:color w:val="001F60"/>
          <w:spacing w:val="-12"/>
        </w:rPr>
        <w:t xml:space="preserve"> </w:t>
      </w:r>
      <w:r>
        <w:rPr>
          <w:color w:val="001F60"/>
        </w:rPr>
        <w:t>e</w:t>
      </w:r>
      <w:r>
        <w:rPr>
          <w:color w:val="001F60"/>
          <w:spacing w:val="-13"/>
        </w:rPr>
        <w:t xml:space="preserve"> </w:t>
      </w:r>
      <w:r>
        <w:rPr>
          <w:color w:val="001F60"/>
        </w:rPr>
        <w:t>proteção</w:t>
      </w:r>
      <w:r>
        <w:rPr>
          <w:color w:val="001F60"/>
          <w:spacing w:val="-12"/>
        </w:rPr>
        <w:t xml:space="preserve"> </w:t>
      </w:r>
      <w:r>
        <w:rPr>
          <w:color w:val="001F60"/>
        </w:rPr>
        <w:t>de</w:t>
      </w:r>
      <w:r>
        <w:rPr>
          <w:color w:val="001F60"/>
          <w:spacing w:val="-13"/>
        </w:rPr>
        <w:t xml:space="preserve"> </w:t>
      </w:r>
      <w:r>
        <w:rPr>
          <w:color w:val="001F60"/>
        </w:rPr>
        <w:t>ativos,</w:t>
      </w:r>
      <w:r>
        <w:rPr>
          <w:color w:val="001F60"/>
          <w:spacing w:val="-12"/>
        </w:rPr>
        <w:t xml:space="preserve"> </w:t>
      </w:r>
      <w:r>
        <w:rPr>
          <w:color w:val="001F60"/>
        </w:rPr>
        <w:t>expandindo o monitoramento remoto e fortalecendo a cooperação interinstitucional para reduzir os impactos decorrentes dessas ações.</w:t>
      </w:r>
    </w:p>
    <w:p w14:paraId="39D43715" w14:textId="77777777" w:rsidR="002C6574" w:rsidRDefault="00000000">
      <w:pPr>
        <w:pStyle w:val="Corpodetexto"/>
        <w:spacing w:before="121"/>
        <w:ind w:left="709" w:right="277"/>
        <w:jc w:val="both"/>
        <w:rPr>
          <w:rFonts w:ascii="Calibri" w:hAnsi="Calibri"/>
        </w:rPr>
      </w:pPr>
      <w:r>
        <w:rPr>
          <w:rFonts w:ascii="Calibri" w:hAnsi="Calibri"/>
          <w:color w:val="001F60"/>
        </w:rPr>
        <w:t>Em que pese a materialidade dos desafios aqui apresentados, as medidas adotadas pela Companhia permitiram preservar elevados padrões de continuidade e qualidade na prestação dos serviços. A atuação coordenada entre as áreas técnicas e de gestão de riscos contribuiu para mitigar impactos operacionais, assegurando</w:t>
      </w:r>
      <w:r>
        <w:rPr>
          <w:rFonts w:ascii="Calibri" w:hAnsi="Calibri"/>
          <w:color w:val="001F60"/>
          <w:spacing w:val="-2"/>
        </w:rPr>
        <w:t xml:space="preserve"> </w:t>
      </w:r>
      <w:r>
        <w:rPr>
          <w:rFonts w:ascii="Calibri" w:hAnsi="Calibri"/>
          <w:color w:val="001F60"/>
        </w:rPr>
        <w:t>a manutenção da disponibilidade da rede em patamares compatíveis</w:t>
      </w:r>
      <w:r>
        <w:rPr>
          <w:rFonts w:ascii="Calibri" w:hAnsi="Calibri"/>
          <w:color w:val="001F60"/>
          <w:spacing w:val="-1"/>
        </w:rPr>
        <w:t xml:space="preserve"> </w:t>
      </w:r>
      <w:r>
        <w:rPr>
          <w:rFonts w:ascii="Calibri" w:hAnsi="Calibri"/>
          <w:color w:val="001F60"/>
        </w:rPr>
        <w:t>com as exigências regulatórias e</w:t>
      </w:r>
      <w:r>
        <w:rPr>
          <w:rFonts w:ascii="Calibri" w:hAnsi="Calibri"/>
          <w:color w:val="001F60"/>
          <w:spacing w:val="-1"/>
        </w:rPr>
        <w:t xml:space="preserve"> </w:t>
      </w:r>
      <w:r>
        <w:rPr>
          <w:rFonts w:ascii="Calibri" w:hAnsi="Calibri"/>
          <w:color w:val="001F60"/>
        </w:rPr>
        <w:t>contratuais. Nesse contexto, os</w:t>
      </w:r>
      <w:r>
        <w:rPr>
          <w:rFonts w:ascii="Calibri" w:hAnsi="Calibri"/>
          <w:color w:val="001F60"/>
          <w:spacing w:val="-2"/>
        </w:rPr>
        <w:t xml:space="preserve"> </w:t>
      </w:r>
      <w:r>
        <w:rPr>
          <w:rFonts w:ascii="Calibri" w:hAnsi="Calibri"/>
          <w:color w:val="001F60"/>
        </w:rPr>
        <w:t>resultados operacionais e as perspectivas para o exercício de 2026 refletem o compromisso permanente da Telebras com a melhoria contínua de sua infraestrutura, com a resiliência de seus ativos estratégicos e com a adequada prestação de contas às partes interessadas.</w:t>
      </w:r>
    </w:p>
    <w:p w14:paraId="1D51F693" w14:textId="77777777" w:rsidR="002C6574" w:rsidRDefault="00000000">
      <w:pPr>
        <w:numPr>
          <w:ilvl w:val="1"/>
          <w:numId w:val="74"/>
        </w:numPr>
        <w:tabs>
          <w:tab w:val="left" w:pos="1275"/>
        </w:tabs>
        <w:spacing w:before="239"/>
        <w:ind w:left="1275" w:hanging="566"/>
        <w:rPr>
          <w:rFonts w:ascii="Calibri" w:hAnsi="Calibri"/>
          <w:b/>
        </w:rPr>
      </w:pPr>
      <w:r>
        <w:rPr>
          <w:rFonts w:ascii="Calibri" w:hAnsi="Calibri"/>
          <w:b/>
          <w:color w:val="001F60"/>
        </w:rPr>
        <w:t>Tecnologia</w:t>
      </w:r>
      <w:r>
        <w:rPr>
          <w:rFonts w:ascii="Calibri" w:hAnsi="Calibri"/>
          <w:b/>
          <w:color w:val="001F60"/>
          <w:spacing w:val="-5"/>
        </w:rPr>
        <w:t xml:space="preserve"> </w:t>
      </w:r>
      <w:r>
        <w:rPr>
          <w:rFonts w:ascii="Calibri" w:hAnsi="Calibri"/>
          <w:b/>
          <w:color w:val="001F60"/>
        </w:rPr>
        <w:t>da</w:t>
      </w:r>
      <w:r>
        <w:rPr>
          <w:rFonts w:ascii="Calibri" w:hAnsi="Calibri"/>
          <w:b/>
          <w:color w:val="001F60"/>
          <w:spacing w:val="-3"/>
        </w:rPr>
        <w:t xml:space="preserve"> </w:t>
      </w:r>
      <w:r>
        <w:rPr>
          <w:rFonts w:ascii="Calibri" w:hAnsi="Calibri"/>
          <w:b/>
          <w:color w:val="001F60"/>
          <w:spacing w:val="-2"/>
        </w:rPr>
        <w:t>Informação</w:t>
      </w:r>
    </w:p>
    <w:p w14:paraId="6C6D25FD" w14:textId="77777777" w:rsidR="002C6574" w:rsidRDefault="00000000">
      <w:pPr>
        <w:pStyle w:val="Corpodetexto"/>
        <w:spacing w:before="161"/>
        <w:ind w:left="709" w:right="277"/>
        <w:jc w:val="both"/>
        <w:rPr>
          <w:rFonts w:ascii="Calibri" w:hAnsi="Calibri"/>
        </w:rPr>
      </w:pPr>
      <w:r>
        <w:rPr>
          <w:rFonts w:ascii="Calibri" w:hAnsi="Calibri"/>
          <w:color w:val="001F60"/>
        </w:rPr>
        <w:t>A</w:t>
      </w:r>
      <w:r>
        <w:rPr>
          <w:rFonts w:ascii="Calibri" w:hAnsi="Calibri"/>
          <w:color w:val="001F60"/>
          <w:spacing w:val="-6"/>
        </w:rPr>
        <w:t xml:space="preserve"> </w:t>
      </w:r>
      <w:r>
        <w:rPr>
          <w:rFonts w:ascii="Calibri" w:hAnsi="Calibri"/>
          <w:color w:val="001F60"/>
        </w:rPr>
        <w:t>área</w:t>
      </w:r>
      <w:r>
        <w:rPr>
          <w:rFonts w:ascii="Calibri" w:hAnsi="Calibri"/>
          <w:color w:val="001F60"/>
          <w:spacing w:val="-6"/>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Tecnologia</w:t>
      </w:r>
      <w:r>
        <w:rPr>
          <w:rFonts w:ascii="Calibri" w:hAnsi="Calibri"/>
          <w:color w:val="001F60"/>
          <w:spacing w:val="-6"/>
        </w:rPr>
        <w:t xml:space="preserve"> </w:t>
      </w:r>
      <w:r>
        <w:rPr>
          <w:rFonts w:ascii="Calibri" w:hAnsi="Calibri"/>
          <w:color w:val="001F60"/>
        </w:rPr>
        <w:t>da</w:t>
      </w:r>
      <w:r>
        <w:rPr>
          <w:rFonts w:ascii="Calibri" w:hAnsi="Calibri"/>
          <w:color w:val="001F60"/>
          <w:spacing w:val="-4"/>
        </w:rPr>
        <w:t xml:space="preserve"> </w:t>
      </w:r>
      <w:r>
        <w:rPr>
          <w:rFonts w:ascii="Calibri" w:hAnsi="Calibri"/>
          <w:color w:val="001F60"/>
        </w:rPr>
        <w:t>Informação</w:t>
      </w:r>
      <w:r>
        <w:rPr>
          <w:rFonts w:ascii="Calibri" w:hAnsi="Calibri"/>
          <w:color w:val="001F60"/>
          <w:spacing w:val="-4"/>
        </w:rPr>
        <w:t xml:space="preserve"> </w:t>
      </w:r>
      <w:r>
        <w:rPr>
          <w:rFonts w:ascii="Calibri" w:hAnsi="Calibri"/>
          <w:color w:val="001F60"/>
        </w:rPr>
        <w:t>da</w:t>
      </w:r>
      <w:r>
        <w:rPr>
          <w:rFonts w:ascii="Calibri" w:hAnsi="Calibri"/>
          <w:color w:val="001F60"/>
          <w:spacing w:val="-6"/>
        </w:rPr>
        <w:t xml:space="preserve"> </w:t>
      </w:r>
      <w:r>
        <w:rPr>
          <w:rFonts w:ascii="Calibri" w:hAnsi="Calibri"/>
          <w:color w:val="001F60"/>
        </w:rPr>
        <w:t>Telebras</w:t>
      </w:r>
      <w:r>
        <w:rPr>
          <w:rFonts w:ascii="Calibri" w:hAnsi="Calibri"/>
          <w:color w:val="001F60"/>
          <w:spacing w:val="-4"/>
        </w:rPr>
        <w:t xml:space="preserve"> </w:t>
      </w:r>
      <w:r>
        <w:rPr>
          <w:rFonts w:ascii="Calibri" w:hAnsi="Calibri"/>
          <w:color w:val="001F60"/>
        </w:rPr>
        <w:t>promoveu,</w:t>
      </w:r>
      <w:r>
        <w:rPr>
          <w:rFonts w:ascii="Calibri" w:hAnsi="Calibri"/>
          <w:color w:val="001F60"/>
          <w:spacing w:val="-4"/>
        </w:rPr>
        <w:t xml:space="preserve"> </w:t>
      </w:r>
      <w:r>
        <w:rPr>
          <w:rFonts w:ascii="Calibri" w:hAnsi="Calibri"/>
          <w:color w:val="001F60"/>
        </w:rPr>
        <w:t>em</w:t>
      </w:r>
      <w:r>
        <w:rPr>
          <w:rFonts w:ascii="Calibri" w:hAnsi="Calibri"/>
          <w:color w:val="001F60"/>
          <w:spacing w:val="-6"/>
        </w:rPr>
        <w:t xml:space="preserve"> </w:t>
      </w:r>
      <w:r>
        <w:rPr>
          <w:rFonts w:ascii="Calibri" w:hAnsi="Calibri"/>
          <w:color w:val="001F60"/>
        </w:rPr>
        <w:t>2025,</w:t>
      </w:r>
      <w:r>
        <w:rPr>
          <w:rFonts w:ascii="Calibri" w:hAnsi="Calibri"/>
          <w:color w:val="001F60"/>
          <w:spacing w:val="-6"/>
        </w:rPr>
        <w:t xml:space="preserve"> </w:t>
      </w:r>
      <w:r>
        <w:rPr>
          <w:rFonts w:ascii="Calibri" w:hAnsi="Calibri"/>
          <w:color w:val="001F60"/>
        </w:rPr>
        <w:t>um</w:t>
      </w:r>
      <w:r>
        <w:rPr>
          <w:rFonts w:ascii="Calibri" w:hAnsi="Calibri"/>
          <w:color w:val="001F60"/>
          <w:spacing w:val="-4"/>
        </w:rPr>
        <w:t xml:space="preserve"> </w:t>
      </w:r>
      <w:r>
        <w:rPr>
          <w:rFonts w:ascii="Calibri" w:hAnsi="Calibri"/>
          <w:color w:val="001F60"/>
        </w:rPr>
        <w:t>amplo</w:t>
      </w:r>
      <w:r>
        <w:rPr>
          <w:rFonts w:ascii="Calibri" w:hAnsi="Calibri"/>
          <w:color w:val="001F60"/>
          <w:spacing w:val="-6"/>
        </w:rPr>
        <w:t xml:space="preserve"> </w:t>
      </w:r>
      <w:r>
        <w:rPr>
          <w:rFonts w:ascii="Calibri" w:hAnsi="Calibri"/>
          <w:color w:val="001F60"/>
        </w:rPr>
        <w:t>conjunto</w:t>
      </w:r>
      <w:r>
        <w:rPr>
          <w:rFonts w:ascii="Calibri" w:hAnsi="Calibri"/>
          <w:color w:val="001F60"/>
          <w:spacing w:val="-5"/>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ações</w:t>
      </w:r>
      <w:r>
        <w:rPr>
          <w:rFonts w:ascii="Calibri" w:hAnsi="Calibri"/>
          <w:color w:val="001F60"/>
          <w:spacing w:val="-6"/>
        </w:rPr>
        <w:t xml:space="preserve"> </w:t>
      </w:r>
      <w:r>
        <w:rPr>
          <w:rFonts w:ascii="Calibri" w:hAnsi="Calibri"/>
          <w:color w:val="001F60"/>
        </w:rPr>
        <w:t>de modernização voltadas a elevar a eficiência operacional, fortalecer a segurança, otimizar processos internos e apoiar a transformação digital da Companhia.</w:t>
      </w:r>
    </w:p>
    <w:p w14:paraId="32574AC7" w14:textId="77777777" w:rsidR="002C6574" w:rsidRDefault="00000000">
      <w:pPr>
        <w:spacing w:before="121"/>
        <w:ind w:left="709"/>
        <w:jc w:val="both"/>
        <w:rPr>
          <w:rFonts w:ascii="Calibri" w:hAnsi="Calibri"/>
          <w:b/>
        </w:rPr>
      </w:pPr>
      <w:r>
        <w:rPr>
          <w:rFonts w:ascii="Calibri" w:hAnsi="Calibri"/>
          <w:b/>
          <w:color w:val="001F60"/>
        </w:rPr>
        <w:t>Principais</w:t>
      </w:r>
      <w:r>
        <w:rPr>
          <w:rFonts w:ascii="Calibri" w:hAnsi="Calibri"/>
          <w:b/>
          <w:color w:val="001F60"/>
          <w:spacing w:val="-7"/>
        </w:rPr>
        <w:t xml:space="preserve"> </w:t>
      </w:r>
      <w:r>
        <w:rPr>
          <w:rFonts w:ascii="Calibri" w:hAnsi="Calibri"/>
          <w:b/>
          <w:color w:val="001F60"/>
          <w:spacing w:val="-2"/>
        </w:rPr>
        <w:t>Avanços</w:t>
      </w:r>
    </w:p>
    <w:p w14:paraId="59DC9579" w14:textId="77777777" w:rsidR="002C6574" w:rsidRDefault="00000000">
      <w:pPr>
        <w:pStyle w:val="PargrafodaLista"/>
        <w:numPr>
          <w:ilvl w:val="0"/>
          <w:numId w:val="61"/>
        </w:numPr>
        <w:tabs>
          <w:tab w:val="left" w:pos="1429"/>
        </w:tabs>
        <w:spacing w:before="122" w:line="237" w:lineRule="auto"/>
        <w:ind w:right="278"/>
        <w:jc w:val="both"/>
      </w:pPr>
      <w:r>
        <w:rPr>
          <w:b/>
          <w:color w:val="001F60"/>
        </w:rPr>
        <w:t xml:space="preserve">Portal de Clientes: </w:t>
      </w:r>
      <w:r>
        <w:rPr>
          <w:color w:val="001F60"/>
        </w:rPr>
        <w:t xml:space="preserve">centralização da gestão técnica, monitoramento de telemetria, SLAs e </w:t>
      </w:r>
      <w:r>
        <w:rPr>
          <w:color w:val="001F60"/>
          <w:spacing w:val="-2"/>
        </w:rPr>
        <w:t>saúde</w:t>
      </w:r>
      <w:r>
        <w:rPr>
          <w:color w:val="001F60"/>
          <w:spacing w:val="-6"/>
        </w:rPr>
        <w:t xml:space="preserve"> </w:t>
      </w:r>
      <w:r>
        <w:rPr>
          <w:color w:val="001F60"/>
          <w:spacing w:val="-2"/>
        </w:rPr>
        <w:t>da</w:t>
      </w:r>
      <w:r>
        <w:rPr>
          <w:color w:val="001F60"/>
          <w:spacing w:val="-4"/>
        </w:rPr>
        <w:t xml:space="preserve"> </w:t>
      </w:r>
      <w:r>
        <w:rPr>
          <w:color w:val="001F60"/>
          <w:spacing w:val="-2"/>
        </w:rPr>
        <w:t>rede,</w:t>
      </w:r>
      <w:r>
        <w:rPr>
          <w:color w:val="001F60"/>
          <w:spacing w:val="-6"/>
        </w:rPr>
        <w:t xml:space="preserve"> </w:t>
      </w:r>
      <w:r>
        <w:rPr>
          <w:color w:val="001F60"/>
          <w:spacing w:val="-2"/>
        </w:rPr>
        <w:t>com</w:t>
      </w:r>
      <w:r>
        <w:rPr>
          <w:color w:val="001F60"/>
          <w:spacing w:val="-3"/>
        </w:rPr>
        <w:t xml:space="preserve"> </w:t>
      </w:r>
      <w:r>
        <w:rPr>
          <w:rFonts w:ascii="Arial" w:hAnsi="Arial"/>
          <w:i/>
          <w:color w:val="001F60"/>
          <w:spacing w:val="-2"/>
        </w:rPr>
        <w:t>dashboards</w:t>
      </w:r>
      <w:r>
        <w:rPr>
          <w:rFonts w:ascii="Arial" w:hAnsi="Arial"/>
          <w:i/>
          <w:color w:val="001F60"/>
          <w:spacing w:val="-14"/>
        </w:rPr>
        <w:t xml:space="preserve"> </w:t>
      </w:r>
      <w:r>
        <w:rPr>
          <w:color w:val="001F60"/>
          <w:spacing w:val="-2"/>
        </w:rPr>
        <w:t>e</w:t>
      </w:r>
      <w:r>
        <w:rPr>
          <w:color w:val="001F60"/>
          <w:spacing w:val="-3"/>
        </w:rPr>
        <w:t xml:space="preserve"> </w:t>
      </w:r>
      <w:r>
        <w:rPr>
          <w:color w:val="001F60"/>
          <w:spacing w:val="-2"/>
        </w:rPr>
        <w:t>relatórios</w:t>
      </w:r>
      <w:r>
        <w:rPr>
          <w:color w:val="001F60"/>
          <w:spacing w:val="-4"/>
        </w:rPr>
        <w:t xml:space="preserve"> </w:t>
      </w:r>
      <w:r>
        <w:rPr>
          <w:color w:val="001F60"/>
          <w:spacing w:val="-2"/>
        </w:rPr>
        <w:t>que</w:t>
      </w:r>
      <w:r>
        <w:rPr>
          <w:color w:val="001F60"/>
          <w:spacing w:val="-4"/>
        </w:rPr>
        <w:t xml:space="preserve"> </w:t>
      </w:r>
      <w:r>
        <w:rPr>
          <w:color w:val="001F60"/>
          <w:spacing w:val="-2"/>
        </w:rPr>
        <w:t>aprimoram</w:t>
      </w:r>
      <w:r>
        <w:rPr>
          <w:color w:val="001F60"/>
          <w:spacing w:val="-4"/>
        </w:rPr>
        <w:t xml:space="preserve"> </w:t>
      </w:r>
      <w:r>
        <w:rPr>
          <w:color w:val="001F60"/>
          <w:spacing w:val="-2"/>
        </w:rPr>
        <w:t>o</w:t>
      </w:r>
      <w:r>
        <w:rPr>
          <w:color w:val="001F60"/>
          <w:spacing w:val="-5"/>
        </w:rPr>
        <w:t xml:space="preserve"> </w:t>
      </w:r>
      <w:r>
        <w:rPr>
          <w:color w:val="001F60"/>
          <w:spacing w:val="-2"/>
        </w:rPr>
        <w:t>acompanhamento</w:t>
      </w:r>
      <w:r>
        <w:rPr>
          <w:color w:val="001F60"/>
          <w:spacing w:val="-8"/>
        </w:rPr>
        <w:t xml:space="preserve"> </w:t>
      </w:r>
      <w:r>
        <w:rPr>
          <w:color w:val="001F60"/>
          <w:spacing w:val="-2"/>
        </w:rPr>
        <w:t>da</w:t>
      </w:r>
      <w:r>
        <w:rPr>
          <w:color w:val="001F60"/>
          <w:spacing w:val="-4"/>
        </w:rPr>
        <w:t xml:space="preserve"> </w:t>
      </w:r>
      <w:r>
        <w:rPr>
          <w:color w:val="001F60"/>
          <w:spacing w:val="-2"/>
        </w:rPr>
        <w:t xml:space="preserve">qualidade </w:t>
      </w:r>
      <w:r>
        <w:rPr>
          <w:color w:val="001F60"/>
        </w:rPr>
        <w:t>dos serviços.</w:t>
      </w:r>
    </w:p>
    <w:p w14:paraId="7E5F3359" w14:textId="77777777" w:rsidR="002C6574" w:rsidRDefault="00000000">
      <w:pPr>
        <w:pStyle w:val="PargrafodaLista"/>
        <w:numPr>
          <w:ilvl w:val="0"/>
          <w:numId w:val="61"/>
        </w:numPr>
        <w:tabs>
          <w:tab w:val="left" w:pos="1429"/>
        </w:tabs>
        <w:spacing w:before="124"/>
        <w:ind w:right="278"/>
        <w:jc w:val="both"/>
      </w:pPr>
      <w:r>
        <w:rPr>
          <w:b/>
          <w:color w:val="001F60"/>
        </w:rPr>
        <w:t xml:space="preserve">Governança e Normativos: </w:t>
      </w:r>
      <w:r>
        <w:rPr>
          <w:color w:val="001F60"/>
        </w:rPr>
        <w:t>publicação, revisão e atualização de diretrizes e práticas que reforçam</w:t>
      </w:r>
      <w:r>
        <w:rPr>
          <w:color w:val="001F60"/>
          <w:spacing w:val="-2"/>
        </w:rPr>
        <w:t xml:space="preserve"> </w:t>
      </w:r>
      <w:r>
        <w:rPr>
          <w:color w:val="001F60"/>
        </w:rPr>
        <w:t>segurança,</w:t>
      </w:r>
      <w:r>
        <w:rPr>
          <w:color w:val="001F60"/>
          <w:spacing w:val="-2"/>
        </w:rPr>
        <w:t xml:space="preserve"> </w:t>
      </w:r>
      <w:r>
        <w:rPr>
          <w:color w:val="001F60"/>
        </w:rPr>
        <w:t>conformidade,</w:t>
      </w:r>
      <w:r>
        <w:rPr>
          <w:color w:val="001F60"/>
          <w:spacing w:val="-2"/>
        </w:rPr>
        <w:t xml:space="preserve"> </w:t>
      </w:r>
      <w:r>
        <w:rPr>
          <w:color w:val="001F60"/>
        </w:rPr>
        <w:t>gestão</w:t>
      </w:r>
      <w:r>
        <w:rPr>
          <w:color w:val="001F60"/>
          <w:spacing w:val="-4"/>
        </w:rPr>
        <w:t xml:space="preserve"> </w:t>
      </w:r>
      <w:r>
        <w:rPr>
          <w:color w:val="001F60"/>
        </w:rPr>
        <w:t>de</w:t>
      </w:r>
      <w:r>
        <w:rPr>
          <w:color w:val="001F60"/>
          <w:spacing w:val="-2"/>
        </w:rPr>
        <w:t xml:space="preserve"> </w:t>
      </w:r>
      <w:r>
        <w:rPr>
          <w:color w:val="001F60"/>
        </w:rPr>
        <w:t>acesso,</w:t>
      </w:r>
      <w:r>
        <w:rPr>
          <w:color w:val="001F60"/>
          <w:spacing w:val="-4"/>
        </w:rPr>
        <w:t xml:space="preserve"> </w:t>
      </w:r>
      <w:r>
        <w:rPr>
          <w:color w:val="001F60"/>
        </w:rPr>
        <w:t>uso</w:t>
      </w:r>
      <w:r>
        <w:rPr>
          <w:color w:val="001F60"/>
          <w:spacing w:val="-1"/>
        </w:rPr>
        <w:t xml:space="preserve"> </w:t>
      </w:r>
      <w:r>
        <w:rPr>
          <w:color w:val="001F60"/>
        </w:rPr>
        <w:t>de</w:t>
      </w:r>
      <w:r>
        <w:rPr>
          <w:color w:val="001F60"/>
          <w:spacing w:val="-2"/>
        </w:rPr>
        <w:t xml:space="preserve"> </w:t>
      </w:r>
      <w:r>
        <w:rPr>
          <w:color w:val="001F60"/>
        </w:rPr>
        <w:t>dispositivos,</w:t>
      </w:r>
      <w:r>
        <w:rPr>
          <w:color w:val="001F60"/>
          <w:spacing w:val="-2"/>
        </w:rPr>
        <w:t xml:space="preserve"> </w:t>
      </w:r>
      <w:r>
        <w:rPr>
          <w:color w:val="001F60"/>
        </w:rPr>
        <w:t>governança</w:t>
      </w:r>
      <w:r>
        <w:rPr>
          <w:color w:val="001F60"/>
          <w:spacing w:val="-2"/>
        </w:rPr>
        <w:t xml:space="preserve"> </w:t>
      </w:r>
      <w:r>
        <w:rPr>
          <w:color w:val="001F60"/>
        </w:rPr>
        <w:t>de</w:t>
      </w:r>
      <w:r>
        <w:rPr>
          <w:color w:val="001F60"/>
          <w:spacing w:val="-2"/>
        </w:rPr>
        <w:t xml:space="preserve"> </w:t>
      </w:r>
      <w:r>
        <w:rPr>
          <w:color w:val="001F60"/>
        </w:rPr>
        <w:t>TI</w:t>
      </w:r>
      <w:r>
        <w:rPr>
          <w:color w:val="001F60"/>
          <w:spacing w:val="-4"/>
        </w:rPr>
        <w:t xml:space="preserve"> </w:t>
      </w:r>
      <w:r>
        <w:rPr>
          <w:color w:val="001F60"/>
        </w:rPr>
        <w:t>e alinhamento regulatório, contribuindo para evolução do indicador iESGo.</w:t>
      </w:r>
    </w:p>
    <w:p w14:paraId="2541C8DB" w14:textId="77777777" w:rsidR="002C6574" w:rsidRDefault="00000000">
      <w:pPr>
        <w:pStyle w:val="PargrafodaLista"/>
        <w:numPr>
          <w:ilvl w:val="0"/>
          <w:numId w:val="61"/>
        </w:numPr>
        <w:tabs>
          <w:tab w:val="left" w:pos="1429"/>
        </w:tabs>
        <w:spacing w:before="120"/>
        <w:ind w:right="279"/>
        <w:jc w:val="both"/>
      </w:pPr>
      <w:r>
        <w:rPr>
          <w:b/>
          <w:color w:val="001F60"/>
        </w:rPr>
        <w:t xml:space="preserve">OSS </w:t>
      </w:r>
      <w:r>
        <w:rPr>
          <w:b/>
          <w:i/>
          <w:color w:val="001F60"/>
        </w:rPr>
        <w:t>Order Management</w:t>
      </w:r>
      <w:r>
        <w:rPr>
          <w:b/>
          <w:color w:val="001F60"/>
        </w:rPr>
        <w:t xml:space="preserve">: </w:t>
      </w:r>
      <w:r>
        <w:rPr>
          <w:color w:val="001F60"/>
        </w:rPr>
        <w:t>evoluções que ampliam segurança, integração e estabilidade, com melhorias em APIs, fluxos OM/CRM/ITSM e interoperabilidade via arquitetura REST.</w:t>
      </w:r>
    </w:p>
    <w:p w14:paraId="67C34635" w14:textId="77777777" w:rsidR="002C6574" w:rsidRDefault="00000000">
      <w:pPr>
        <w:pStyle w:val="PargrafodaLista"/>
        <w:numPr>
          <w:ilvl w:val="0"/>
          <w:numId w:val="61"/>
        </w:numPr>
        <w:tabs>
          <w:tab w:val="left" w:pos="1429"/>
        </w:tabs>
        <w:spacing w:before="119"/>
        <w:ind w:right="278"/>
        <w:jc w:val="both"/>
      </w:pPr>
      <w:r>
        <w:rPr>
          <w:b/>
          <w:color w:val="001F60"/>
        </w:rPr>
        <w:t>SAP</w:t>
      </w:r>
      <w:r>
        <w:rPr>
          <w:b/>
          <w:color w:val="001F60"/>
          <w:spacing w:val="-3"/>
        </w:rPr>
        <w:t xml:space="preserve"> </w:t>
      </w:r>
      <w:r>
        <w:rPr>
          <w:b/>
          <w:color w:val="001F60"/>
        </w:rPr>
        <w:t>e</w:t>
      </w:r>
      <w:r>
        <w:rPr>
          <w:b/>
          <w:color w:val="001F60"/>
          <w:spacing w:val="-1"/>
        </w:rPr>
        <w:t xml:space="preserve"> </w:t>
      </w:r>
      <w:r>
        <w:rPr>
          <w:b/>
          <w:color w:val="001F60"/>
        </w:rPr>
        <w:t>Escrituração:</w:t>
      </w:r>
      <w:r>
        <w:rPr>
          <w:b/>
          <w:color w:val="001F60"/>
          <w:spacing w:val="-2"/>
        </w:rPr>
        <w:t xml:space="preserve"> </w:t>
      </w:r>
      <w:r>
        <w:rPr>
          <w:color w:val="001F60"/>
        </w:rPr>
        <w:t>otimização do</w:t>
      </w:r>
      <w:r>
        <w:rPr>
          <w:color w:val="001F60"/>
          <w:spacing w:val="-1"/>
        </w:rPr>
        <w:t xml:space="preserve"> </w:t>
      </w:r>
      <w:r>
        <w:rPr>
          <w:color w:val="001F60"/>
        </w:rPr>
        <w:t>faturamento,</w:t>
      </w:r>
      <w:r>
        <w:rPr>
          <w:color w:val="001F60"/>
          <w:spacing w:val="-3"/>
        </w:rPr>
        <w:t xml:space="preserve"> </w:t>
      </w:r>
      <w:r>
        <w:rPr>
          <w:color w:val="001F60"/>
        </w:rPr>
        <w:t>captura</w:t>
      </w:r>
      <w:r>
        <w:rPr>
          <w:color w:val="001F60"/>
          <w:spacing w:val="-1"/>
        </w:rPr>
        <w:t xml:space="preserve"> </w:t>
      </w:r>
      <w:r>
        <w:rPr>
          <w:color w:val="001F60"/>
        </w:rPr>
        <w:t>automatizada</w:t>
      </w:r>
      <w:r>
        <w:rPr>
          <w:color w:val="001F60"/>
          <w:spacing w:val="-3"/>
        </w:rPr>
        <w:t xml:space="preserve"> </w:t>
      </w:r>
      <w:r>
        <w:rPr>
          <w:color w:val="001F60"/>
        </w:rPr>
        <w:t>de</w:t>
      </w:r>
      <w:r>
        <w:rPr>
          <w:color w:val="001F60"/>
          <w:spacing w:val="-1"/>
        </w:rPr>
        <w:t xml:space="preserve"> </w:t>
      </w:r>
      <w:r>
        <w:rPr>
          <w:color w:val="001F60"/>
        </w:rPr>
        <w:t>documentos</w:t>
      </w:r>
      <w:r>
        <w:rPr>
          <w:color w:val="001F60"/>
          <w:spacing w:val="-3"/>
        </w:rPr>
        <w:t xml:space="preserve"> </w:t>
      </w:r>
      <w:r>
        <w:rPr>
          <w:color w:val="001F60"/>
        </w:rPr>
        <w:t>fiscais e desenvolvimento de soluções integradas para escrituração contábil e fiscal.</w:t>
      </w:r>
    </w:p>
    <w:p w14:paraId="4969587D" w14:textId="77777777" w:rsidR="002C6574" w:rsidRDefault="00000000">
      <w:pPr>
        <w:pStyle w:val="PargrafodaLista"/>
        <w:numPr>
          <w:ilvl w:val="0"/>
          <w:numId w:val="61"/>
        </w:numPr>
        <w:tabs>
          <w:tab w:val="left" w:pos="1429"/>
        </w:tabs>
        <w:spacing w:before="120"/>
        <w:ind w:right="278"/>
        <w:jc w:val="both"/>
      </w:pPr>
      <w:r>
        <w:rPr>
          <w:b/>
          <w:color w:val="001F60"/>
        </w:rPr>
        <w:t xml:space="preserve">NFCOM: </w:t>
      </w:r>
      <w:r>
        <w:rPr>
          <w:color w:val="001F60"/>
        </w:rPr>
        <w:t>implantação do novo modelo fiscal nacional, com integrações SAP, adequações de faturamento e saneamento de dados, culminando na entrada em produção.</w:t>
      </w:r>
    </w:p>
    <w:p w14:paraId="69748933" w14:textId="77777777" w:rsidR="002C6574" w:rsidRDefault="00000000">
      <w:pPr>
        <w:pStyle w:val="PargrafodaLista"/>
        <w:numPr>
          <w:ilvl w:val="0"/>
          <w:numId w:val="61"/>
        </w:numPr>
        <w:tabs>
          <w:tab w:val="left" w:pos="1429"/>
        </w:tabs>
        <w:spacing w:before="117"/>
        <w:ind w:right="280"/>
        <w:jc w:val="both"/>
      </w:pPr>
      <w:r>
        <w:rPr>
          <w:b/>
          <w:color w:val="001F60"/>
          <w:spacing w:val="-2"/>
        </w:rPr>
        <w:t xml:space="preserve">Segurança Cibernética: </w:t>
      </w:r>
      <w:r>
        <w:rPr>
          <w:color w:val="001F60"/>
          <w:spacing w:val="-2"/>
        </w:rPr>
        <w:t xml:space="preserve">ações de conscientização, implantação de </w:t>
      </w:r>
      <w:r>
        <w:rPr>
          <w:rFonts w:ascii="Arial" w:hAnsi="Arial"/>
          <w:i/>
          <w:color w:val="001F60"/>
          <w:spacing w:val="-2"/>
        </w:rPr>
        <w:t>firewall</w:t>
      </w:r>
      <w:r>
        <w:rPr>
          <w:rFonts w:ascii="Arial" w:hAnsi="Arial"/>
          <w:i/>
          <w:color w:val="001F60"/>
          <w:spacing w:val="-12"/>
        </w:rPr>
        <w:t xml:space="preserve"> </w:t>
      </w:r>
      <w:r>
        <w:rPr>
          <w:color w:val="001F60"/>
          <w:spacing w:val="-2"/>
        </w:rPr>
        <w:t xml:space="preserve">corporativo, reforço </w:t>
      </w:r>
      <w:r>
        <w:rPr>
          <w:color w:val="001F60"/>
        </w:rPr>
        <w:t>de VPNs, adoção de Intune, MFA, Microsoft Defender e políticas padronizadas.</w:t>
      </w:r>
    </w:p>
    <w:p w14:paraId="36C068E8" w14:textId="77777777" w:rsidR="002C6574" w:rsidRDefault="002C6574">
      <w:pPr>
        <w:pStyle w:val="PargrafodaLista"/>
        <w:jc w:val="both"/>
        <w:sectPr w:rsidR="002C6574">
          <w:headerReference w:type="default" r:id="rId34"/>
          <w:footerReference w:type="default" r:id="rId35"/>
          <w:pgSz w:w="11910" w:h="16840"/>
          <w:pgMar w:top="1100" w:right="850" w:bottom="1060" w:left="992" w:header="288" w:footer="863" w:gutter="0"/>
          <w:pgNumType w:start="1"/>
          <w:cols w:space="720"/>
        </w:sectPr>
      </w:pPr>
    </w:p>
    <w:p w14:paraId="0E855E08" w14:textId="77777777" w:rsidR="002C6574" w:rsidRDefault="002C6574">
      <w:pPr>
        <w:pStyle w:val="Corpodetexto"/>
        <w:rPr>
          <w:rFonts w:ascii="Calibri"/>
        </w:rPr>
      </w:pPr>
    </w:p>
    <w:p w14:paraId="2D7512E7" w14:textId="77777777" w:rsidR="002C6574" w:rsidRDefault="002C6574">
      <w:pPr>
        <w:pStyle w:val="Corpodetexto"/>
        <w:spacing w:before="50"/>
        <w:rPr>
          <w:rFonts w:ascii="Calibri"/>
        </w:rPr>
      </w:pPr>
    </w:p>
    <w:p w14:paraId="7F62F205" w14:textId="77777777" w:rsidR="002C6574" w:rsidRDefault="00000000">
      <w:pPr>
        <w:pStyle w:val="PargrafodaLista"/>
        <w:numPr>
          <w:ilvl w:val="0"/>
          <w:numId w:val="61"/>
        </w:numPr>
        <w:tabs>
          <w:tab w:val="left" w:pos="1429"/>
        </w:tabs>
        <w:ind w:right="278"/>
      </w:pPr>
      <w:r>
        <w:rPr>
          <w:b/>
          <w:color w:val="001F60"/>
        </w:rPr>
        <w:t>Suíte</w:t>
      </w:r>
      <w:r>
        <w:rPr>
          <w:b/>
          <w:color w:val="001F60"/>
          <w:spacing w:val="32"/>
        </w:rPr>
        <w:t xml:space="preserve"> </w:t>
      </w:r>
      <w:r>
        <w:rPr>
          <w:b/>
          <w:color w:val="001F60"/>
        </w:rPr>
        <w:t>Microsoft:</w:t>
      </w:r>
      <w:r>
        <w:rPr>
          <w:b/>
          <w:color w:val="001F60"/>
          <w:spacing w:val="30"/>
        </w:rPr>
        <w:t xml:space="preserve"> </w:t>
      </w:r>
      <w:r>
        <w:rPr>
          <w:color w:val="001F60"/>
        </w:rPr>
        <w:t>licenciamento</w:t>
      </w:r>
      <w:r>
        <w:rPr>
          <w:color w:val="001F60"/>
          <w:spacing w:val="32"/>
        </w:rPr>
        <w:t xml:space="preserve"> </w:t>
      </w:r>
      <w:r>
        <w:rPr>
          <w:color w:val="001F60"/>
        </w:rPr>
        <w:t>E3/Teams,</w:t>
      </w:r>
      <w:r>
        <w:rPr>
          <w:color w:val="001F60"/>
          <w:spacing w:val="28"/>
        </w:rPr>
        <w:t xml:space="preserve"> </w:t>
      </w:r>
      <w:r>
        <w:rPr>
          <w:color w:val="001F60"/>
        </w:rPr>
        <w:t>modernização</w:t>
      </w:r>
      <w:r>
        <w:rPr>
          <w:color w:val="001F60"/>
          <w:spacing w:val="32"/>
        </w:rPr>
        <w:t xml:space="preserve"> </w:t>
      </w:r>
      <w:r>
        <w:rPr>
          <w:color w:val="001F60"/>
        </w:rPr>
        <w:t>de</w:t>
      </w:r>
      <w:r>
        <w:rPr>
          <w:color w:val="001F60"/>
          <w:spacing w:val="30"/>
        </w:rPr>
        <w:t xml:space="preserve"> </w:t>
      </w:r>
      <w:r>
        <w:rPr>
          <w:color w:val="001F60"/>
        </w:rPr>
        <w:t>sistemas</w:t>
      </w:r>
      <w:r>
        <w:rPr>
          <w:color w:val="001F60"/>
          <w:spacing w:val="32"/>
        </w:rPr>
        <w:t xml:space="preserve"> </w:t>
      </w:r>
      <w:r>
        <w:rPr>
          <w:color w:val="001F60"/>
        </w:rPr>
        <w:t>operacionais,</w:t>
      </w:r>
      <w:r>
        <w:rPr>
          <w:color w:val="001F60"/>
          <w:spacing w:val="31"/>
        </w:rPr>
        <w:t xml:space="preserve"> </w:t>
      </w:r>
      <w:r>
        <w:rPr>
          <w:rFonts w:ascii="Arial" w:hAnsi="Arial"/>
          <w:i/>
          <w:color w:val="001F60"/>
        </w:rPr>
        <w:t>Active Directory</w:t>
      </w:r>
      <w:r>
        <w:rPr>
          <w:rFonts w:ascii="Arial" w:hAnsi="Arial"/>
          <w:i/>
          <w:color w:val="001F60"/>
          <w:spacing w:val="-16"/>
        </w:rPr>
        <w:t xml:space="preserve"> </w:t>
      </w:r>
      <w:r>
        <w:rPr>
          <w:color w:val="001F60"/>
        </w:rPr>
        <w:t>e</w:t>
      </w:r>
      <w:r>
        <w:rPr>
          <w:color w:val="001F60"/>
          <w:spacing w:val="-12"/>
        </w:rPr>
        <w:t xml:space="preserve"> </w:t>
      </w:r>
      <w:r>
        <w:rPr>
          <w:rFonts w:ascii="Arial" w:hAnsi="Arial"/>
          <w:i/>
          <w:color w:val="001F60"/>
        </w:rPr>
        <w:t>Windows</w:t>
      </w:r>
      <w:r>
        <w:rPr>
          <w:rFonts w:ascii="Arial" w:hAnsi="Arial"/>
          <w:i/>
          <w:color w:val="001F60"/>
          <w:spacing w:val="-15"/>
        </w:rPr>
        <w:t xml:space="preserve"> </w:t>
      </w:r>
      <w:r>
        <w:rPr>
          <w:rFonts w:ascii="Arial" w:hAnsi="Arial"/>
          <w:i/>
          <w:color w:val="001F60"/>
        </w:rPr>
        <w:t>Server</w:t>
      </w:r>
      <w:r>
        <w:rPr>
          <w:color w:val="001F60"/>
        </w:rPr>
        <w:t>,</w:t>
      </w:r>
      <w:r>
        <w:rPr>
          <w:color w:val="001F60"/>
          <w:spacing w:val="-13"/>
        </w:rPr>
        <w:t xml:space="preserve"> </w:t>
      </w:r>
      <w:r>
        <w:rPr>
          <w:color w:val="001F60"/>
        </w:rPr>
        <w:t>garantindo</w:t>
      </w:r>
      <w:r>
        <w:rPr>
          <w:color w:val="001F60"/>
          <w:spacing w:val="-12"/>
        </w:rPr>
        <w:t xml:space="preserve"> </w:t>
      </w:r>
      <w:r>
        <w:rPr>
          <w:color w:val="001F60"/>
        </w:rPr>
        <w:t>colaboração</w:t>
      </w:r>
      <w:r>
        <w:rPr>
          <w:color w:val="001F60"/>
          <w:spacing w:val="-13"/>
        </w:rPr>
        <w:t xml:space="preserve"> </w:t>
      </w:r>
      <w:r>
        <w:rPr>
          <w:color w:val="001F60"/>
        </w:rPr>
        <w:t>e</w:t>
      </w:r>
      <w:r>
        <w:rPr>
          <w:color w:val="001F60"/>
          <w:spacing w:val="-8"/>
        </w:rPr>
        <w:t xml:space="preserve"> </w:t>
      </w:r>
      <w:r>
        <w:rPr>
          <w:color w:val="001F60"/>
        </w:rPr>
        <w:t>segurança.</w:t>
      </w:r>
    </w:p>
    <w:p w14:paraId="11EB9C4F" w14:textId="77777777" w:rsidR="002C6574" w:rsidRDefault="00000000">
      <w:pPr>
        <w:pStyle w:val="PargrafodaLista"/>
        <w:numPr>
          <w:ilvl w:val="0"/>
          <w:numId w:val="61"/>
        </w:numPr>
        <w:tabs>
          <w:tab w:val="left" w:pos="1429"/>
        </w:tabs>
        <w:spacing w:before="117"/>
        <w:ind w:right="279"/>
      </w:pPr>
      <w:r>
        <w:rPr>
          <w:b/>
          <w:color w:val="001F60"/>
        </w:rPr>
        <w:t>Gestão</w:t>
      </w:r>
      <w:r>
        <w:rPr>
          <w:b/>
          <w:color w:val="001F60"/>
          <w:spacing w:val="-5"/>
        </w:rPr>
        <w:t xml:space="preserve"> </w:t>
      </w:r>
      <w:r>
        <w:rPr>
          <w:b/>
          <w:color w:val="001F60"/>
        </w:rPr>
        <w:t>Orçamentária</w:t>
      </w:r>
      <w:r>
        <w:rPr>
          <w:b/>
          <w:color w:val="001F60"/>
          <w:spacing w:val="-3"/>
        </w:rPr>
        <w:t xml:space="preserve"> </w:t>
      </w:r>
      <w:r>
        <w:rPr>
          <w:b/>
          <w:color w:val="001F60"/>
        </w:rPr>
        <w:t>e</w:t>
      </w:r>
      <w:r>
        <w:rPr>
          <w:b/>
          <w:color w:val="001F60"/>
          <w:spacing w:val="-3"/>
        </w:rPr>
        <w:t xml:space="preserve"> </w:t>
      </w:r>
      <w:r>
        <w:rPr>
          <w:b/>
          <w:color w:val="001F60"/>
        </w:rPr>
        <w:t>Financeira:</w:t>
      </w:r>
      <w:r>
        <w:rPr>
          <w:b/>
          <w:color w:val="001F60"/>
          <w:spacing w:val="-4"/>
        </w:rPr>
        <w:t xml:space="preserve"> </w:t>
      </w:r>
      <w:r>
        <w:rPr>
          <w:color w:val="001F60"/>
        </w:rPr>
        <w:t>modelos</w:t>
      </w:r>
      <w:r>
        <w:rPr>
          <w:color w:val="001F60"/>
          <w:spacing w:val="-5"/>
        </w:rPr>
        <w:t xml:space="preserve"> </w:t>
      </w:r>
      <w:r>
        <w:rPr>
          <w:color w:val="001F60"/>
        </w:rPr>
        <w:t>aprimorados</w:t>
      </w:r>
      <w:r>
        <w:rPr>
          <w:color w:val="001F60"/>
          <w:spacing w:val="-3"/>
        </w:rPr>
        <w:t xml:space="preserve"> </w:t>
      </w:r>
      <w:r>
        <w:rPr>
          <w:color w:val="001F60"/>
        </w:rPr>
        <w:t>de</w:t>
      </w:r>
      <w:r>
        <w:rPr>
          <w:color w:val="001F60"/>
          <w:spacing w:val="-3"/>
        </w:rPr>
        <w:t xml:space="preserve"> </w:t>
      </w:r>
      <w:r>
        <w:rPr>
          <w:color w:val="001F60"/>
        </w:rPr>
        <w:t>acompanhamento,</w:t>
      </w:r>
      <w:r>
        <w:rPr>
          <w:color w:val="001F60"/>
          <w:spacing w:val="-5"/>
        </w:rPr>
        <w:t xml:space="preserve"> </w:t>
      </w:r>
      <w:r>
        <w:rPr>
          <w:color w:val="001F60"/>
        </w:rPr>
        <w:t>arrecadação e fluxo de caixa, com maior granularidade por segmentos.</w:t>
      </w:r>
    </w:p>
    <w:p w14:paraId="16D84B28" w14:textId="77777777" w:rsidR="002C6574" w:rsidRDefault="00000000">
      <w:pPr>
        <w:pStyle w:val="PargrafodaLista"/>
        <w:numPr>
          <w:ilvl w:val="0"/>
          <w:numId w:val="61"/>
        </w:numPr>
        <w:tabs>
          <w:tab w:val="left" w:pos="1428"/>
        </w:tabs>
        <w:spacing w:before="120"/>
        <w:ind w:left="1428" w:hanging="359"/>
      </w:pPr>
      <w:r>
        <w:rPr>
          <w:b/>
          <w:color w:val="001F60"/>
        </w:rPr>
        <w:t>Reforma</w:t>
      </w:r>
      <w:r>
        <w:rPr>
          <w:b/>
          <w:color w:val="001F60"/>
          <w:spacing w:val="-7"/>
        </w:rPr>
        <w:t xml:space="preserve"> </w:t>
      </w:r>
      <w:r>
        <w:rPr>
          <w:b/>
          <w:color w:val="001F60"/>
        </w:rPr>
        <w:t>Tributária:</w:t>
      </w:r>
      <w:r>
        <w:rPr>
          <w:b/>
          <w:color w:val="001F60"/>
          <w:spacing w:val="-7"/>
        </w:rPr>
        <w:t xml:space="preserve"> </w:t>
      </w:r>
      <w:r>
        <w:rPr>
          <w:color w:val="001F60"/>
        </w:rPr>
        <w:t>desenvolvimento</w:t>
      </w:r>
      <w:r>
        <w:rPr>
          <w:color w:val="001F60"/>
          <w:spacing w:val="-5"/>
        </w:rPr>
        <w:t xml:space="preserve"> </w:t>
      </w:r>
      <w:r>
        <w:rPr>
          <w:color w:val="001F60"/>
        </w:rPr>
        <w:t>para</w:t>
      </w:r>
      <w:r>
        <w:rPr>
          <w:color w:val="001F60"/>
          <w:spacing w:val="-5"/>
        </w:rPr>
        <w:t xml:space="preserve"> </w:t>
      </w:r>
      <w:r>
        <w:rPr>
          <w:color w:val="001F60"/>
        </w:rPr>
        <w:t>adequação</w:t>
      </w:r>
      <w:r>
        <w:rPr>
          <w:color w:val="001F60"/>
          <w:spacing w:val="-4"/>
        </w:rPr>
        <w:t xml:space="preserve"> </w:t>
      </w:r>
      <w:r>
        <w:rPr>
          <w:color w:val="001F60"/>
        </w:rPr>
        <w:t>ao</w:t>
      </w:r>
      <w:r>
        <w:rPr>
          <w:color w:val="001F60"/>
          <w:spacing w:val="-2"/>
        </w:rPr>
        <w:t xml:space="preserve"> </w:t>
      </w:r>
      <w:r>
        <w:rPr>
          <w:color w:val="001F60"/>
        </w:rPr>
        <w:t>novo</w:t>
      </w:r>
      <w:r>
        <w:rPr>
          <w:color w:val="001F60"/>
          <w:spacing w:val="-6"/>
        </w:rPr>
        <w:t xml:space="preserve"> </w:t>
      </w:r>
      <w:r>
        <w:rPr>
          <w:color w:val="001F60"/>
        </w:rPr>
        <w:t>modelo</w:t>
      </w:r>
      <w:r>
        <w:rPr>
          <w:color w:val="001F60"/>
          <w:spacing w:val="-6"/>
        </w:rPr>
        <w:t xml:space="preserve"> </w:t>
      </w:r>
      <w:r>
        <w:rPr>
          <w:color w:val="001F60"/>
          <w:spacing w:val="-2"/>
        </w:rPr>
        <w:t>IBS/CBS.</w:t>
      </w:r>
    </w:p>
    <w:p w14:paraId="02C809D0" w14:textId="77777777" w:rsidR="002C6574" w:rsidRDefault="00000000">
      <w:pPr>
        <w:pStyle w:val="PargrafodaLista"/>
        <w:numPr>
          <w:ilvl w:val="0"/>
          <w:numId w:val="61"/>
        </w:numPr>
        <w:tabs>
          <w:tab w:val="left" w:pos="1429"/>
        </w:tabs>
        <w:spacing w:before="119"/>
        <w:ind w:right="276"/>
      </w:pPr>
      <w:r>
        <w:rPr>
          <w:b/>
          <w:color w:val="001F60"/>
        </w:rPr>
        <w:t>Copilot</w:t>
      </w:r>
      <w:r>
        <w:rPr>
          <w:b/>
          <w:color w:val="001F60"/>
          <w:spacing w:val="-11"/>
        </w:rPr>
        <w:t xml:space="preserve"> </w:t>
      </w:r>
      <w:r>
        <w:rPr>
          <w:b/>
          <w:color w:val="001F60"/>
        </w:rPr>
        <w:t>(IA):</w:t>
      </w:r>
      <w:r>
        <w:rPr>
          <w:b/>
          <w:color w:val="001F60"/>
          <w:spacing w:val="-8"/>
        </w:rPr>
        <w:t xml:space="preserve"> </w:t>
      </w:r>
      <w:r>
        <w:rPr>
          <w:color w:val="001F60"/>
        </w:rPr>
        <w:t>integração</w:t>
      </w:r>
      <w:r>
        <w:rPr>
          <w:color w:val="001F60"/>
          <w:spacing w:val="-8"/>
        </w:rPr>
        <w:t xml:space="preserve"> </w:t>
      </w:r>
      <w:r>
        <w:rPr>
          <w:color w:val="001F60"/>
        </w:rPr>
        <w:t>de</w:t>
      </w:r>
      <w:r>
        <w:rPr>
          <w:color w:val="001F60"/>
          <w:spacing w:val="-7"/>
        </w:rPr>
        <w:t xml:space="preserve"> </w:t>
      </w:r>
      <w:r>
        <w:rPr>
          <w:color w:val="001F60"/>
        </w:rPr>
        <w:t>inteligência</w:t>
      </w:r>
      <w:r>
        <w:rPr>
          <w:color w:val="001F60"/>
          <w:spacing w:val="-9"/>
        </w:rPr>
        <w:t xml:space="preserve"> </w:t>
      </w:r>
      <w:r>
        <w:rPr>
          <w:color w:val="001F60"/>
        </w:rPr>
        <w:t>artificial</w:t>
      </w:r>
      <w:r>
        <w:rPr>
          <w:color w:val="001F60"/>
          <w:spacing w:val="-7"/>
        </w:rPr>
        <w:t xml:space="preserve"> </w:t>
      </w:r>
      <w:r>
        <w:rPr>
          <w:color w:val="001F60"/>
        </w:rPr>
        <w:t>para</w:t>
      </w:r>
      <w:r>
        <w:rPr>
          <w:color w:val="001F60"/>
          <w:spacing w:val="-7"/>
        </w:rPr>
        <w:t xml:space="preserve"> </w:t>
      </w:r>
      <w:r>
        <w:rPr>
          <w:color w:val="001F60"/>
        </w:rPr>
        <w:t>aumentar</w:t>
      </w:r>
      <w:r>
        <w:rPr>
          <w:color w:val="001F60"/>
          <w:spacing w:val="-11"/>
        </w:rPr>
        <w:t xml:space="preserve"> </w:t>
      </w:r>
      <w:r>
        <w:rPr>
          <w:color w:val="001F60"/>
        </w:rPr>
        <w:t>produtividade</w:t>
      </w:r>
      <w:r>
        <w:rPr>
          <w:color w:val="001F60"/>
          <w:spacing w:val="-7"/>
        </w:rPr>
        <w:t xml:space="preserve"> </w:t>
      </w:r>
      <w:r>
        <w:rPr>
          <w:color w:val="001F60"/>
        </w:rPr>
        <w:t>e</w:t>
      </w:r>
      <w:r>
        <w:rPr>
          <w:color w:val="001F60"/>
          <w:spacing w:val="-9"/>
        </w:rPr>
        <w:t xml:space="preserve"> </w:t>
      </w:r>
      <w:r>
        <w:rPr>
          <w:color w:val="001F60"/>
        </w:rPr>
        <w:t>automação</w:t>
      </w:r>
      <w:r>
        <w:rPr>
          <w:color w:val="001F60"/>
          <w:spacing w:val="-7"/>
        </w:rPr>
        <w:t xml:space="preserve"> </w:t>
      </w:r>
      <w:r>
        <w:rPr>
          <w:color w:val="001F60"/>
        </w:rPr>
        <w:t xml:space="preserve">no </w:t>
      </w:r>
      <w:r>
        <w:rPr>
          <w:color w:val="001F60"/>
          <w:spacing w:val="-2"/>
        </w:rPr>
        <w:t>M365.</w:t>
      </w:r>
    </w:p>
    <w:p w14:paraId="4F2D2097" w14:textId="77777777" w:rsidR="002C6574" w:rsidRDefault="002C6574">
      <w:pPr>
        <w:pStyle w:val="PargrafodaLista"/>
        <w:sectPr w:rsidR="002C6574">
          <w:pgSz w:w="11910" w:h="16840"/>
          <w:pgMar w:top="1100" w:right="850" w:bottom="1060" w:left="992" w:header="288" w:footer="863" w:gutter="0"/>
          <w:cols w:space="720"/>
        </w:sectPr>
      </w:pPr>
    </w:p>
    <w:p w14:paraId="11482B42" w14:textId="77777777" w:rsidR="002C6574" w:rsidRDefault="002C6574">
      <w:pPr>
        <w:pStyle w:val="Corpodetexto"/>
        <w:rPr>
          <w:rFonts w:ascii="Calibri"/>
          <w:sz w:val="24"/>
        </w:rPr>
      </w:pPr>
    </w:p>
    <w:p w14:paraId="18B04AC3" w14:textId="77777777" w:rsidR="002C6574" w:rsidRDefault="002C6574">
      <w:pPr>
        <w:pStyle w:val="Corpodetexto"/>
        <w:spacing w:before="1"/>
        <w:rPr>
          <w:rFonts w:ascii="Calibri"/>
          <w:sz w:val="24"/>
        </w:rPr>
      </w:pPr>
    </w:p>
    <w:p w14:paraId="3E30CEC4" w14:textId="77777777" w:rsidR="002C6574" w:rsidRDefault="00000000">
      <w:pPr>
        <w:pStyle w:val="Ttulo8"/>
        <w:numPr>
          <w:ilvl w:val="0"/>
          <w:numId w:val="74"/>
        </w:numPr>
        <w:tabs>
          <w:tab w:val="left" w:pos="1275"/>
        </w:tabs>
        <w:ind w:left="1275" w:hanging="566"/>
      </w:pPr>
      <w:r>
        <w:rPr>
          <w:color w:val="001F60"/>
        </w:rPr>
        <w:t>Gestão</w:t>
      </w:r>
      <w:r>
        <w:rPr>
          <w:color w:val="001F60"/>
          <w:spacing w:val="1"/>
        </w:rPr>
        <w:t xml:space="preserve"> </w:t>
      </w:r>
      <w:r>
        <w:rPr>
          <w:color w:val="001F60"/>
        </w:rPr>
        <w:t xml:space="preserve">de </w:t>
      </w:r>
      <w:r>
        <w:rPr>
          <w:color w:val="001F60"/>
          <w:spacing w:val="-2"/>
        </w:rPr>
        <w:t>Pessoas</w:t>
      </w:r>
    </w:p>
    <w:p w14:paraId="71790A52" w14:textId="77777777" w:rsidR="002C6574" w:rsidRDefault="00000000">
      <w:pPr>
        <w:numPr>
          <w:ilvl w:val="1"/>
          <w:numId w:val="74"/>
        </w:numPr>
        <w:tabs>
          <w:tab w:val="left" w:pos="1275"/>
        </w:tabs>
        <w:spacing w:before="235"/>
        <w:ind w:left="1275" w:hanging="566"/>
        <w:rPr>
          <w:rFonts w:ascii="Calibri" w:hAnsi="Calibri"/>
          <w:b/>
        </w:rPr>
      </w:pPr>
      <w:r>
        <w:rPr>
          <w:rFonts w:ascii="Calibri" w:hAnsi="Calibri"/>
          <w:b/>
          <w:color w:val="001F60"/>
        </w:rPr>
        <w:t>Planos</w:t>
      </w:r>
      <w:r>
        <w:rPr>
          <w:rFonts w:ascii="Calibri" w:hAnsi="Calibri"/>
          <w:b/>
          <w:color w:val="001F60"/>
          <w:spacing w:val="-2"/>
        </w:rPr>
        <w:t xml:space="preserve"> </w:t>
      </w:r>
      <w:r>
        <w:rPr>
          <w:rFonts w:ascii="Calibri" w:hAnsi="Calibri"/>
          <w:b/>
          <w:color w:val="001F60"/>
        </w:rPr>
        <w:t>de</w:t>
      </w:r>
      <w:r>
        <w:rPr>
          <w:rFonts w:ascii="Calibri" w:hAnsi="Calibri"/>
          <w:b/>
          <w:color w:val="001F60"/>
          <w:spacing w:val="-4"/>
        </w:rPr>
        <w:t xml:space="preserve"> </w:t>
      </w:r>
      <w:r>
        <w:rPr>
          <w:rFonts w:ascii="Calibri" w:hAnsi="Calibri"/>
          <w:b/>
          <w:color w:val="001F60"/>
        </w:rPr>
        <w:t>Previdência</w:t>
      </w:r>
      <w:r>
        <w:rPr>
          <w:rFonts w:ascii="Calibri" w:hAnsi="Calibri"/>
          <w:b/>
          <w:color w:val="001F60"/>
          <w:spacing w:val="-2"/>
        </w:rPr>
        <w:t xml:space="preserve"> </w:t>
      </w:r>
      <w:r>
        <w:rPr>
          <w:rFonts w:ascii="Calibri" w:hAnsi="Calibri"/>
          <w:b/>
          <w:color w:val="001F60"/>
        </w:rPr>
        <w:t>e</w:t>
      </w:r>
      <w:r>
        <w:rPr>
          <w:rFonts w:ascii="Calibri" w:hAnsi="Calibri"/>
          <w:b/>
          <w:color w:val="001F60"/>
          <w:spacing w:val="-6"/>
        </w:rPr>
        <w:t xml:space="preserve"> </w:t>
      </w:r>
      <w:r>
        <w:rPr>
          <w:rFonts w:ascii="Calibri" w:hAnsi="Calibri"/>
          <w:b/>
          <w:color w:val="001F60"/>
        </w:rPr>
        <w:t>Seguridade</w:t>
      </w:r>
      <w:r>
        <w:rPr>
          <w:rFonts w:ascii="Calibri" w:hAnsi="Calibri"/>
          <w:b/>
          <w:color w:val="001F60"/>
          <w:spacing w:val="-1"/>
        </w:rPr>
        <w:t xml:space="preserve"> </w:t>
      </w:r>
      <w:r>
        <w:rPr>
          <w:rFonts w:ascii="Calibri" w:hAnsi="Calibri"/>
          <w:b/>
          <w:color w:val="001F60"/>
          <w:spacing w:val="-2"/>
        </w:rPr>
        <w:t>Social</w:t>
      </w:r>
    </w:p>
    <w:p w14:paraId="4B8DD2D1" w14:textId="77777777" w:rsidR="002C6574" w:rsidRDefault="00000000">
      <w:pPr>
        <w:pStyle w:val="Corpodetexto"/>
        <w:spacing w:before="158"/>
        <w:ind w:left="709" w:right="275"/>
        <w:jc w:val="both"/>
        <w:rPr>
          <w:rFonts w:ascii="Calibri" w:hAnsi="Calibri"/>
        </w:rPr>
      </w:pPr>
      <w:r>
        <w:rPr>
          <w:rFonts w:ascii="Calibri" w:hAnsi="Calibri"/>
          <w:color w:val="001F60"/>
        </w:rPr>
        <w:t xml:space="preserve">A Telebras patrocina três planos de previdência complementar geridos pela Fundação Sistel de Seguridade Social, demonstrando seu compromisso com o bem-estar dos empregados atuais e </w:t>
      </w:r>
      <w:r>
        <w:rPr>
          <w:rFonts w:ascii="Calibri" w:hAnsi="Calibri"/>
          <w:color w:val="001F60"/>
          <w:spacing w:val="-2"/>
        </w:rPr>
        <w:t>aposentados:</w:t>
      </w:r>
    </w:p>
    <w:p w14:paraId="1ADD6C7A" w14:textId="77777777" w:rsidR="002C6574" w:rsidRDefault="00000000">
      <w:pPr>
        <w:pStyle w:val="Corpodetexto"/>
        <w:spacing w:before="121"/>
        <w:ind w:left="709" w:right="277"/>
        <w:jc w:val="both"/>
        <w:rPr>
          <w:rFonts w:ascii="Calibri" w:hAnsi="Calibri"/>
        </w:rPr>
      </w:pPr>
      <w:r>
        <w:rPr>
          <w:rFonts w:ascii="Calibri" w:hAnsi="Calibri"/>
          <w:b/>
          <w:color w:val="001F60"/>
        </w:rPr>
        <w:t>Plano de Benefícios da Sistel - PBS-A</w:t>
      </w:r>
      <w:r>
        <w:rPr>
          <w:rFonts w:ascii="Calibri" w:hAnsi="Calibri"/>
          <w:color w:val="001F60"/>
        </w:rPr>
        <w:t>: Este plano de benefício definido atende ex-funcionários do Sistema Telebras,</w:t>
      </w:r>
      <w:r>
        <w:rPr>
          <w:rFonts w:ascii="Calibri" w:hAnsi="Calibri"/>
          <w:color w:val="001F60"/>
          <w:spacing w:val="-1"/>
        </w:rPr>
        <w:t xml:space="preserve"> </w:t>
      </w:r>
      <w:r>
        <w:rPr>
          <w:rFonts w:ascii="Calibri" w:hAnsi="Calibri"/>
          <w:color w:val="001F60"/>
        </w:rPr>
        <w:t>aposentados até janeiro de 2000. Oferece</w:t>
      </w:r>
      <w:r>
        <w:rPr>
          <w:rFonts w:ascii="Calibri" w:hAnsi="Calibri"/>
          <w:color w:val="001F60"/>
          <w:spacing w:val="-2"/>
        </w:rPr>
        <w:t xml:space="preserve"> </w:t>
      </w:r>
      <w:r>
        <w:rPr>
          <w:rFonts w:ascii="Calibri" w:hAnsi="Calibri"/>
          <w:color w:val="001F60"/>
        </w:rPr>
        <w:t>aposentadoria, pensão, auxílios diversos e pecúlios por morte.</w:t>
      </w:r>
    </w:p>
    <w:p w14:paraId="3B9741E9" w14:textId="77777777" w:rsidR="002C6574" w:rsidRDefault="00000000">
      <w:pPr>
        <w:pStyle w:val="Corpodetexto"/>
        <w:spacing w:before="121"/>
        <w:ind w:left="709" w:right="277"/>
        <w:jc w:val="both"/>
        <w:rPr>
          <w:rFonts w:ascii="Calibri" w:hAnsi="Calibri"/>
        </w:rPr>
      </w:pPr>
      <w:r>
        <w:rPr>
          <w:rFonts w:ascii="Calibri" w:hAnsi="Calibri"/>
          <w:b/>
          <w:color w:val="001F60"/>
        </w:rPr>
        <w:t>Plano PBS-Telebras</w:t>
      </w:r>
      <w:r>
        <w:rPr>
          <w:rFonts w:ascii="Calibri" w:hAnsi="Calibri"/>
          <w:color w:val="001F60"/>
        </w:rPr>
        <w:t>: Também um plano de benefício definido, patrocinado exclusivamente pela Telebras</w:t>
      </w:r>
      <w:r>
        <w:rPr>
          <w:rFonts w:ascii="Calibri" w:hAnsi="Calibri"/>
          <w:color w:val="001F60"/>
          <w:spacing w:val="-10"/>
        </w:rPr>
        <w:t xml:space="preserve"> </w:t>
      </w:r>
      <w:r>
        <w:rPr>
          <w:rFonts w:ascii="Calibri" w:hAnsi="Calibri"/>
          <w:color w:val="001F60"/>
        </w:rPr>
        <w:t>e</w:t>
      </w:r>
      <w:r>
        <w:rPr>
          <w:rFonts w:ascii="Calibri" w:hAnsi="Calibri"/>
          <w:color w:val="001F60"/>
          <w:spacing w:val="-10"/>
        </w:rPr>
        <w:t xml:space="preserve"> </w:t>
      </w:r>
      <w:r>
        <w:rPr>
          <w:rFonts w:ascii="Calibri" w:hAnsi="Calibri"/>
          <w:color w:val="001F60"/>
        </w:rPr>
        <w:t>em</w:t>
      </w:r>
      <w:r>
        <w:rPr>
          <w:rFonts w:ascii="Calibri" w:hAnsi="Calibri"/>
          <w:color w:val="001F60"/>
          <w:spacing w:val="-9"/>
        </w:rPr>
        <w:t xml:space="preserve"> </w:t>
      </w:r>
      <w:r>
        <w:rPr>
          <w:rFonts w:ascii="Calibri" w:hAnsi="Calibri"/>
          <w:color w:val="001F60"/>
        </w:rPr>
        <w:t>fase</w:t>
      </w:r>
      <w:r>
        <w:rPr>
          <w:rFonts w:ascii="Calibri" w:hAnsi="Calibri"/>
          <w:color w:val="001F60"/>
          <w:spacing w:val="-9"/>
        </w:rPr>
        <w:t xml:space="preserve"> </w:t>
      </w:r>
      <w:r>
        <w:rPr>
          <w:rFonts w:ascii="Calibri" w:hAnsi="Calibri"/>
          <w:color w:val="001F60"/>
        </w:rPr>
        <w:t>de</w:t>
      </w:r>
      <w:r>
        <w:rPr>
          <w:rFonts w:ascii="Calibri" w:hAnsi="Calibri"/>
          <w:color w:val="001F60"/>
          <w:spacing w:val="-10"/>
        </w:rPr>
        <w:t xml:space="preserve"> </w:t>
      </w:r>
      <w:r>
        <w:rPr>
          <w:rFonts w:ascii="Calibri" w:hAnsi="Calibri"/>
          <w:color w:val="001F60"/>
        </w:rPr>
        <w:t>extinção.</w:t>
      </w:r>
      <w:r>
        <w:rPr>
          <w:rFonts w:ascii="Calibri" w:hAnsi="Calibri"/>
          <w:color w:val="001F60"/>
          <w:spacing w:val="-9"/>
        </w:rPr>
        <w:t xml:space="preserve"> </w:t>
      </w:r>
      <w:r>
        <w:rPr>
          <w:rFonts w:ascii="Calibri" w:hAnsi="Calibri"/>
          <w:color w:val="001F60"/>
        </w:rPr>
        <w:t>Garante</w:t>
      </w:r>
      <w:r>
        <w:rPr>
          <w:rFonts w:ascii="Calibri" w:hAnsi="Calibri"/>
          <w:color w:val="001F60"/>
          <w:spacing w:val="-10"/>
        </w:rPr>
        <w:t xml:space="preserve"> </w:t>
      </w:r>
      <w:r>
        <w:rPr>
          <w:rFonts w:ascii="Calibri" w:hAnsi="Calibri"/>
          <w:color w:val="001F60"/>
        </w:rPr>
        <w:t>aposentadoria,</w:t>
      </w:r>
      <w:r>
        <w:rPr>
          <w:rFonts w:ascii="Calibri" w:hAnsi="Calibri"/>
          <w:color w:val="001F60"/>
          <w:spacing w:val="-10"/>
        </w:rPr>
        <w:t xml:space="preserve"> </w:t>
      </w:r>
      <w:r>
        <w:rPr>
          <w:rFonts w:ascii="Calibri" w:hAnsi="Calibri"/>
          <w:color w:val="001F60"/>
        </w:rPr>
        <w:t>auxílio-doença,</w:t>
      </w:r>
      <w:r>
        <w:rPr>
          <w:rFonts w:ascii="Calibri" w:hAnsi="Calibri"/>
          <w:color w:val="001F60"/>
          <w:spacing w:val="-10"/>
        </w:rPr>
        <w:t xml:space="preserve"> </w:t>
      </w:r>
      <w:r>
        <w:rPr>
          <w:rFonts w:ascii="Calibri" w:hAnsi="Calibri"/>
          <w:color w:val="001F60"/>
        </w:rPr>
        <w:t>auxílio-reclusão</w:t>
      </w:r>
      <w:r>
        <w:rPr>
          <w:rFonts w:ascii="Calibri" w:hAnsi="Calibri"/>
          <w:color w:val="001F60"/>
          <w:spacing w:val="-9"/>
        </w:rPr>
        <w:t xml:space="preserve"> </w:t>
      </w:r>
      <w:r>
        <w:rPr>
          <w:rFonts w:ascii="Calibri" w:hAnsi="Calibri"/>
          <w:color w:val="001F60"/>
        </w:rPr>
        <w:t>e</w:t>
      </w:r>
      <w:r>
        <w:rPr>
          <w:rFonts w:ascii="Calibri" w:hAnsi="Calibri"/>
          <w:color w:val="001F60"/>
          <w:spacing w:val="-9"/>
        </w:rPr>
        <w:t xml:space="preserve"> </w:t>
      </w:r>
      <w:r>
        <w:rPr>
          <w:rFonts w:ascii="Calibri" w:hAnsi="Calibri"/>
          <w:color w:val="001F60"/>
        </w:rPr>
        <w:t>pecúlios</w:t>
      </w:r>
      <w:r>
        <w:rPr>
          <w:rFonts w:ascii="Calibri" w:hAnsi="Calibri"/>
          <w:color w:val="001F60"/>
          <w:spacing w:val="-9"/>
        </w:rPr>
        <w:t xml:space="preserve"> </w:t>
      </w:r>
      <w:r>
        <w:rPr>
          <w:rFonts w:ascii="Calibri" w:hAnsi="Calibri"/>
          <w:color w:val="001F60"/>
        </w:rPr>
        <w:t xml:space="preserve">por </w:t>
      </w:r>
      <w:r>
        <w:rPr>
          <w:rFonts w:ascii="Calibri" w:hAnsi="Calibri"/>
          <w:color w:val="001F60"/>
          <w:spacing w:val="-2"/>
        </w:rPr>
        <w:t>morte.</w:t>
      </w:r>
    </w:p>
    <w:p w14:paraId="34C86D53" w14:textId="77777777" w:rsidR="002C6574" w:rsidRDefault="00000000">
      <w:pPr>
        <w:pStyle w:val="Corpodetexto"/>
        <w:spacing w:before="118"/>
        <w:ind w:left="709" w:right="278"/>
        <w:jc w:val="both"/>
        <w:rPr>
          <w:rFonts w:ascii="Calibri" w:hAnsi="Calibri"/>
        </w:rPr>
      </w:pPr>
      <w:r>
        <w:rPr>
          <w:rFonts w:ascii="Calibri" w:hAnsi="Calibri"/>
          <w:b/>
          <w:color w:val="001F60"/>
        </w:rPr>
        <w:t>Plano Telebrasprev</w:t>
      </w:r>
      <w:r>
        <w:rPr>
          <w:rFonts w:ascii="Calibri" w:hAnsi="Calibri"/>
          <w:color w:val="001F60"/>
        </w:rPr>
        <w:t>: Estruturado na modalidade de contribuição variável, está fechado a novos participantes e oferece benefícios programados e de risco, incluindo aposentadoria (ordinária e por invalidez), pensão por morte e auxílio-doença.</w:t>
      </w:r>
    </w:p>
    <w:p w14:paraId="0816CF4A" w14:textId="77777777" w:rsidR="002C6574" w:rsidRDefault="00000000">
      <w:pPr>
        <w:pStyle w:val="Corpodetexto"/>
        <w:spacing w:before="121"/>
        <w:ind w:left="709" w:right="277"/>
        <w:jc w:val="both"/>
        <w:rPr>
          <w:rFonts w:ascii="Calibri" w:hAnsi="Calibri"/>
        </w:rPr>
      </w:pPr>
      <w:r>
        <w:rPr>
          <w:rFonts w:ascii="Calibri" w:hAnsi="Calibri"/>
          <w:color w:val="001F60"/>
        </w:rPr>
        <w:t>Esses planos refletem o esforço contínuo da Telebras em assegurar segurança financeira e tranquilidade para seus profissionais e suas famílias, reafirmando seu papel como empregador responsável e comprometido com a sustentabilidade social de sua força de trabalho.</w:t>
      </w:r>
    </w:p>
    <w:p w14:paraId="6E1AFDF5" w14:textId="77777777" w:rsidR="002C6574" w:rsidRDefault="00000000">
      <w:pPr>
        <w:spacing w:before="121"/>
        <w:ind w:left="709"/>
        <w:jc w:val="both"/>
        <w:rPr>
          <w:rFonts w:ascii="Calibri" w:hAnsi="Calibri"/>
          <w:b/>
        </w:rPr>
      </w:pPr>
      <w:r>
        <w:rPr>
          <w:rFonts w:ascii="Calibri" w:hAnsi="Calibri"/>
          <w:b/>
          <w:color w:val="001F60"/>
        </w:rPr>
        <w:t>Processos</w:t>
      </w:r>
      <w:r>
        <w:rPr>
          <w:rFonts w:ascii="Calibri" w:hAnsi="Calibri"/>
          <w:b/>
          <w:color w:val="001F60"/>
          <w:spacing w:val="-2"/>
        </w:rPr>
        <w:t xml:space="preserve"> </w:t>
      </w:r>
      <w:r>
        <w:rPr>
          <w:rFonts w:ascii="Calibri" w:hAnsi="Calibri"/>
          <w:b/>
          <w:color w:val="001F60"/>
        </w:rPr>
        <w:t>de</w:t>
      </w:r>
      <w:r>
        <w:rPr>
          <w:rFonts w:ascii="Calibri" w:hAnsi="Calibri"/>
          <w:b/>
          <w:color w:val="001F60"/>
          <w:spacing w:val="-4"/>
        </w:rPr>
        <w:t xml:space="preserve"> </w:t>
      </w:r>
      <w:r>
        <w:rPr>
          <w:rFonts w:ascii="Calibri" w:hAnsi="Calibri"/>
          <w:b/>
          <w:color w:val="001F60"/>
        </w:rPr>
        <w:t>Superávit</w:t>
      </w:r>
      <w:r>
        <w:rPr>
          <w:rFonts w:ascii="Calibri" w:hAnsi="Calibri"/>
          <w:b/>
          <w:color w:val="001F60"/>
          <w:spacing w:val="-1"/>
        </w:rPr>
        <w:t xml:space="preserve"> </w:t>
      </w:r>
      <w:r>
        <w:rPr>
          <w:rFonts w:ascii="Calibri" w:hAnsi="Calibri"/>
          <w:b/>
          <w:color w:val="001F60"/>
        </w:rPr>
        <w:t>de</w:t>
      </w:r>
      <w:r>
        <w:rPr>
          <w:rFonts w:ascii="Calibri" w:hAnsi="Calibri"/>
          <w:b/>
          <w:color w:val="001F60"/>
          <w:spacing w:val="-5"/>
        </w:rPr>
        <w:t xml:space="preserve"> </w:t>
      </w:r>
      <w:r>
        <w:rPr>
          <w:rFonts w:ascii="Calibri" w:hAnsi="Calibri"/>
          <w:b/>
          <w:color w:val="001F60"/>
          <w:spacing w:val="-2"/>
        </w:rPr>
        <w:t>2025:</w:t>
      </w:r>
    </w:p>
    <w:p w14:paraId="1C8D8310" w14:textId="77777777" w:rsidR="002C6574" w:rsidRDefault="00000000">
      <w:pPr>
        <w:pStyle w:val="PargrafodaLista"/>
        <w:numPr>
          <w:ilvl w:val="0"/>
          <w:numId w:val="60"/>
        </w:numPr>
        <w:tabs>
          <w:tab w:val="left" w:pos="1428"/>
        </w:tabs>
        <w:spacing w:before="120"/>
        <w:ind w:left="1428" w:hanging="359"/>
      </w:pPr>
      <w:r>
        <w:rPr>
          <w:color w:val="001F60"/>
        </w:rPr>
        <w:t>Distribuição</w:t>
      </w:r>
      <w:r>
        <w:rPr>
          <w:color w:val="001F60"/>
          <w:spacing w:val="-3"/>
        </w:rPr>
        <w:t xml:space="preserve"> </w:t>
      </w:r>
      <w:r>
        <w:rPr>
          <w:color w:val="001F60"/>
        </w:rPr>
        <w:t>do</w:t>
      </w:r>
      <w:r>
        <w:rPr>
          <w:color w:val="001F60"/>
          <w:spacing w:val="-3"/>
        </w:rPr>
        <w:t xml:space="preserve"> </w:t>
      </w:r>
      <w:r>
        <w:rPr>
          <w:color w:val="001F60"/>
        </w:rPr>
        <w:t>Superávit</w:t>
      </w:r>
      <w:r>
        <w:rPr>
          <w:color w:val="001F60"/>
          <w:spacing w:val="-3"/>
        </w:rPr>
        <w:t xml:space="preserve"> </w:t>
      </w:r>
      <w:r>
        <w:rPr>
          <w:color w:val="001F60"/>
        </w:rPr>
        <w:t>PBS-A</w:t>
      </w:r>
      <w:r>
        <w:rPr>
          <w:color w:val="001F60"/>
          <w:spacing w:val="-2"/>
        </w:rPr>
        <w:t xml:space="preserve"> </w:t>
      </w:r>
      <w:r>
        <w:rPr>
          <w:color w:val="001F60"/>
        </w:rPr>
        <w:t>-</w:t>
      </w:r>
      <w:r>
        <w:rPr>
          <w:color w:val="001F60"/>
          <w:spacing w:val="-2"/>
        </w:rPr>
        <w:t xml:space="preserve"> </w:t>
      </w:r>
      <w:r>
        <w:rPr>
          <w:color w:val="001F60"/>
        </w:rPr>
        <w:t>Exercícios</w:t>
      </w:r>
      <w:r>
        <w:rPr>
          <w:color w:val="001F60"/>
          <w:spacing w:val="-2"/>
        </w:rPr>
        <w:t xml:space="preserve"> </w:t>
      </w:r>
      <w:r>
        <w:rPr>
          <w:color w:val="001F60"/>
        </w:rPr>
        <w:t>de</w:t>
      </w:r>
      <w:r>
        <w:rPr>
          <w:color w:val="001F60"/>
          <w:spacing w:val="-4"/>
        </w:rPr>
        <w:t xml:space="preserve"> </w:t>
      </w:r>
      <w:r>
        <w:rPr>
          <w:color w:val="001F60"/>
        </w:rPr>
        <w:t>2022</w:t>
      </w:r>
      <w:r>
        <w:rPr>
          <w:color w:val="001F60"/>
          <w:spacing w:val="-3"/>
        </w:rPr>
        <w:t xml:space="preserve"> </w:t>
      </w:r>
      <w:r>
        <w:rPr>
          <w:color w:val="001F60"/>
        </w:rPr>
        <w:t>e</w:t>
      </w:r>
      <w:r>
        <w:rPr>
          <w:color w:val="001F60"/>
          <w:spacing w:val="-3"/>
        </w:rPr>
        <w:t xml:space="preserve"> </w:t>
      </w:r>
      <w:r>
        <w:rPr>
          <w:color w:val="001F60"/>
          <w:spacing w:val="-2"/>
        </w:rPr>
        <w:t>2023.</w:t>
      </w:r>
    </w:p>
    <w:p w14:paraId="7BE9B561" w14:textId="77777777" w:rsidR="002C6574" w:rsidRDefault="00000000">
      <w:pPr>
        <w:pStyle w:val="PargrafodaLista"/>
        <w:numPr>
          <w:ilvl w:val="0"/>
          <w:numId w:val="60"/>
        </w:numPr>
        <w:tabs>
          <w:tab w:val="left" w:pos="1428"/>
        </w:tabs>
        <w:ind w:left="1428" w:hanging="359"/>
      </w:pPr>
      <w:r>
        <w:rPr>
          <w:color w:val="001F60"/>
        </w:rPr>
        <w:t>Distribuição</w:t>
      </w:r>
      <w:r>
        <w:rPr>
          <w:color w:val="001F60"/>
          <w:spacing w:val="-5"/>
        </w:rPr>
        <w:t xml:space="preserve"> </w:t>
      </w:r>
      <w:r>
        <w:rPr>
          <w:color w:val="001F60"/>
        </w:rPr>
        <w:t>do</w:t>
      </w:r>
      <w:r>
        <w:rPr>
          <w:color w:val="001F60"/>
          <w:spacing w:val="-5"/>
        </w:rPr>
        <w:t xml:space="preserve"> </w:t>
      </w:r>
      <w:r>
        <w:rPr>
          <w:color w:val="001F60"/>
        </w:rPr>
        <w:t>Superávit</w:t>
      </w:r>
      <w:r>
        <w:rPr>
          <w:color w:val="001F60"/>
          <w:spacing w:val="-3"/>
        </w:rPr>
        <w:t xml:space="preserve"> </w:t>
      </w:r>
      <w:r>
        <w:rPr>
          <w:color w:val="001F60"/>
        </w:rPr>
        <w:t>TelebrasPrev</w:t>
      </w:r>
      <w:r>
        <w:rPr>
          <w:color w:val="001F60"/>
          <w:spacing w:val="-1"/>
        </w:rPr>
        <w:t xml:space="preserve"> </w:t>
      </w:r>
      <w:r>
        <w:rPr>
          <w:color w:val="001F60"/>
        </w:rPr>
        <w:t>-</w:t>
      </w:r>
      <w:r>
        <w:rPr>
          <w:color w:val="001F60"/>
          <w:spacing w:val="-3"/>
        </w:rPr>
        <w:t xml:space="preserve"> </w:t>
      </w:r>
      <w:r>
        <w:rPr>
          <w:color w:val="001F60"/>
        </w:rPr>
        <w:t>Exercícios</w:t>
      </w:r>
      <w:r>
        <w:rPr>
          <w:color w:val="001F60"/>
          <w:spacing w:val="-3"/>
        </w:rPr>
        <w:t xml:space="preserve"> </w:t>
      </w:r>
      <w:r>
        <w:rPr>
          <w:color w:val="001F60"/>
        </w:rPr>
        <w:t>de</w:t>
      </w:r>
      <w:r>
        <w:rPr>
          <w:color w:val="001F60"/>
          <w:spacing w:val="-4"/>
        </w:rPr>
        <w:t xml:space="preserve"> </w:t>
      </w:r>
      <w:r>
        <w:rPr>
          <w:color w:val="001F60"/>
        </w:rPr>
        <w:t>2016,</w:t>
      </w:r>
      <w:r>
        <w:rPr>
          <w:color w:val="001F60"/>
          <w:spacing w:val="-5"/>
        </w:rPr>
        <w:t xml:space="preserve"> </w:t>
      </w:r>
      <w:r>
        <w:rPr>
          <w:color w:val="001F60"/>
        </w:rPr>
        <w:t>2017,</w:t>
      </w:r>
      <w:r>
        <w:rPr>
          <w:color w:val="001F60"/>
          <w:spacing w:val="-5"/>
        </w:rPr>
        <w:t xml:space="preserve"> </w:t>
      </w:r>
      <w:r>
        <w:rPr>
          <w:color w:val="001F60"/>
        </w:rPr>
        <w:t>2022</w:t>
      </w:r>
      <w:r>
        <w:rPr>
          <w:color w:val="001F60"/>
          <w:spacing w:val="-3"/>
        </w:rPr>
        <w:t xml:space="preserve"> </w:t>
      </w:r>
      <w:r>
        <w:rPr>
          <w:color w:val="001F60"/>
        </w:rPr>
        <w:t>e</w:t>
      </w:r>
      <w:r>
        <w:rPr>
          <w:color w:val="001F60"/>
          <w:spacing w:val="-4"/>
        </w:rPr>
        <w:t xml:space="preserve"> </w:t>
      </w:r>
      <w:r>
        <w:rPr>
          <w:color w:val="001F60"/>
          <w:spacing w:val="-2"/>
        </w:rPr>
        <w:t>2023.</w:t>
      </w:r>
    </w:p>
    <w:p w14:paraId="4FE04FC3" w14:textId="77777777" w:rsidR="002C6574" w:rsidRDefault="00000000">
      <w:pPr>
        <w:pStyle w:val="PargrafodaLista"/>
        <w:numPr>
          <w:ilvl w:val="0"/>
          <w:numId w:val="60"/>
        </w:numPr>
        <w:tabs>
          <w:tab w:val="left" w:pos="1428"/>
        </w:tabs>
        <w:ind w:left="1428" w:hanging="359"/>
      </w:pPr>
      <w:r>
        <w:rPr>
          <w:color w:val="001F60"/>
        </w:rPr>
        <w:t>Distribuição</w:t>
      </w:r>
      <w:r>
        <w:rPr>
          <w:color w:val="001F60"/>
          <w:spacing w:val="-4"/>
        </w:rPr>
        <w:t xml:space="preserve"> </w:t>
      </w:r>
      <w:r>
        <w:rPr>
          <w:color w:val="001F60"/>
        </w:rPr>
        <w:t>do</w:t>
      </w:r>
      <w:r>
        <w:rPr>
          <w:color w:val="001F60"/>
          <w:spacing w:val="-4"/>
        </w:rPr>
        <w:t xml:space="preserve"> </w:t>
      </w:r>
      <w:r>
        <w:rPr>
          <w:color w:val="001F60"/>
        </w:rPr>
        <w:t>Superávit</w:t>
      </w:r>
      <w:r>
        <w:rPr>
          <w:color w:val="001F60"/>
          <w:spacing w:val="-2"/>
        </w:rPr>
        <w:t xml:space="preserve"> </w:t>
      </w:r>
      <w:r>
        <w:rPr>
          <w:color w:val="001F60"/>
        </w:rPr>
        <w:t>PBS</w:t>
      </w:r>
      <w:r>
        <w:rPr>
          <w:color w:val="001F60"/>
          <w:spacing w:val="-1"/>
        </w:rPr>
        <w:t xml:space="preserve"> </w:t>
      </w:r>
      <w:r>
        <w:rPr>
          <w:color w:val="001F60"/>
        </w:rPr>
        <w:t>Telebras</w:t>
      </w:r>
      <w:r>
        <w:rPr>
          <w:color w:val="001F60"/>
          <w:spacing w:val="-5"/>
        </w:rPr>
        <w:t xml:space="preserve"> </w:t>
      </w:r>
      <w:r>
        <w:rPr>
          <w:color w:val="001F60"/>
        </w:rPr>
        <w:t>-</w:t>
      </w:r>
      <w:r>
        <w:rPr>
          <w:color w:val="001F60"/>
          <w:spacing w:val="-2"/>
        </w:rPr>
        <w:t xml:space="preserve"> </w:t>
      </w:r>
      <w:r>
        <w:rPr>
          <w:color w:val="001F60"/>
        </w:rPr>
        <w:t>Exercícios</w:t>
      </w:r>
      <w:r>
        <w:rPr>
          <w:color w:val="001F60"/>
          <w:spacing w:val="-2"/>
        </w:rPr>
        <w:t xml:space="preserve"> </w:t>
      </w:r>
      <w:r>
        <w:rPr>
          <w:color w:val="001F60"/>
        </w:rPr>
        <w:t>de</w:t>
      </w:r>
      <w:r>
        <w:rPr>
          <w:color w:val="001F60"/>
          <w:spacing w:val="-3"/>
        </w:rPr>
        <w:t xml:space="preserve"> </w:t>
      </w:r>
      <w:r>
        <w:rPr>
          <w:color w:val="001F60"/>
        </w:rPr>
        <w:t>2017,</w:t>
      </w:r>
      <w:r>
        <w:rPr>
          <w:color w:val="001F60"/>
          <w:spacing w:val="-7"/>
        </w:rPr>
        <w:t xml:space="preserve"> </w:t>
      </w:r>
      <w:r>
        <w:rPr>
          <w:color w:val="001F60"/>
        </w:rPr>
        <w:t>2018,</w:t>
      </w:r>
      <w:r>
        <w:rPr>
          <w:color w:val="001F60"/>
          <w:spacing w:val="-1"/>
        </w:rPr>
        <w:t xml:space="preserve"> </w:t>
      </w:r>
      <w:r>
        <w:rPr>
          <w:color w:val="001F60"/>
        </w:rPr>
        <w:t>2020,</w:t>
      </w:r>
      <w:r>
        <w:rPr>
          <w:color w:val="001F60"/>
          <w:spacing w:val="-1"/>
        </w:rPr>
        <w:t xml:space="preserve"> </w:t>
      </w:r>
      <w:r>
        <w:rPr>
          <w:color w:val="001F60"/>
        </w:rPr>
        <w:t>2021,</w:t>
      </w:r>
      <w:r>
        <w:rPr>
          <w:color w:val="001F60"/>
          <w:spacing w:val="-4"/>
        </w:rPr>
        <w:t xml:space="preserve"> </w:t>
      </w:r>
      <w:r>
        <w:rPr>
          <w:color w:val="001F60"/>
        </w:rPr>
        <w:t>2022</w:t>
      </w:r>
      <w:r>
        <w:rPr>
          <w:color w:val="001F60"/>
          <w:spacing w:val="-4"/>
        </w:rPr>
        <w:t xml:space="preserve"> </w:t>
      </w:r>
      <w:r>
        <w:rPr>
          <w:color w:val="001F60"/>
        </w:rPr>
        <w:t>e</w:t>
      </w:r>
      <w:r>
        <w:rPr>
          <w:color w:val="001F60"/>
          <w:spacing w:val="-3"/>
        </w:rPr>
        <w:t xml:space="preserve"> </w:t>
      </w:r>
      <w:r>
        <w:rPr>
          <w:color w:val="001F60"/>
          <w:spacing w:val="-2"/>
        </w:rPr>
        <w:t>2023.</w:t>
      </w:r>
    </w:p>
    <w:p w14:paraId="6B60B9B0" w14:textId="77777777" w:rsidR="002C6574" w:rsidRDefault="00000000">
      <w:pPr>
        <w:pStyle w:val="Corpodetexto"/>
        <w:spacing w:before="118"/>
        <w:ind w:left="709" w:right="276"/>
        <w:jc w:val="both"/>
        <w:rPr>
          <w:rFonts w:ascii="Calibri" w:hAnsi="Calibri"/>
        </w:rPr>
      </w:pPr>
      <w:r>
        <w:rPr>
          <w:rFonts w:ascii="Calibri" w:hAnsi="Calibri"/>
          <w:color w:val="001F60"/>
        </w:rPr>
        <w:t>Conforme</w:t>
      </w:r>
      <w:r>
        <w:rPr>
          <w:rFonts w:ascii="Calibri" w:hAnsi="Calibri"/>
          <w:color w:val="001F60"/>
          <w:spacing w:val="-13"/>
        </w:rPr>
        <w:t xml:space="preserve"> </w:t>
      </w:r>
      <w:r>
        <w:rPr>
          <w:rFonts w:ascii="Calibri" w:hAnsi="Calibri"/>
          <w:color w:val="001F60"/>
        </w:rPr>
        <w:t>mencionado</w:t>
      </w:r>
      <w:r>
        <w:rPr>
          <w:rFonts w:ascii="Calibri" w:hAnsi="Calibri"/>
          <w:color w:val="001F60"/>
          <w:spacing w:val="-12"/>
        </w:rPr>
        <w:t xml:space="preserve"> </w:t>
      </w:r>
      <w:r>
        <w:rPr>
          <w:rFonts w:ascii="Calibri" w:hAnsi="Calibri"/>
          <w:color w:val="001F60"/>
        </w:rPr>
        <w:t>acima,</w:t>
      </w:r>
      <w:r>
        <w:rPr>
          <w:rFonts w:ascii="Calibri" w:hAnsi="Calibri"/>
          <w:color w:val="001F60"/>
          <w:spacing w:val="-13"/>
        </w:rPr>
        <w:t xml:space="preserve"> </w:t>
      </w:r>
      <w:r>
        <w:rPr>
          <w:rFonts w:ascii="Calibri" w:hAnsi="Calibri"/>
          <w:color w:val="001F60"/>
        </w:rPr>
        <w:t>a</w:t>
      </w:r>
      <w:r>
        <w:rPr>
          <w:rFonts w:ascii="Calibri" w:hAnsi="Calibri"/>
          <w:color w:val="001F60"/>
          <w:spacing w:val="-12"/>
        </w:rPr>
        <w:t xml:space="preserve"> </w:t>
      </w:r>
      <w:r>
        <w:rPr>
          <w:rFonts w:ascii="Calibri" w:hAnsi="Calibri"/>
          <w:color w:val="001F60"/>
        </w:rPr>
        <w:t>Telebras</w:t>
      </w:r>
      <w:r>
        <w:rPr>
          <w:rFonts w:ascii="Calibri" w:hAnsi="Calibri"/>
          <w:color w:val="001F60"/>
          <w:spacing w:val="-13"/>
        </w:rPr>
        <w:t xml:space="preserve"> </w:t>
      </w:r>
      <w:r>
        <w:rPr>
          <w:rFonts w:ascii="Calibri" w:hAnsi="Calibri"/>
          <w:color w:val="001F60"/>
        </w:rPr>
        <w:t>é</w:t>
      </w:r>
      <w:r>
        <w:rPr>
          <w:rFonts w:ascii="Calibri" w:hAnsi="Calibri"/>
          <w:color w:val="001F60"/>
          <w:spacing w:val="-12"/>
        </w:rPr>
        <w:t xml:space="preserve"> </w:t>
      </w:r>
      <w:r>
        <w:rPr>
          <w:rFonts w:ascii="Calibri" w:hAnsi="Calibri"/>
          <w:color w:val="001F60"/>
        </w:rPr>
        <w:t>patrocinadora</w:t>
      </w:r>
      <w:r>
        <w:rPr>
          <w:rFonts w:ascii="Calibri" w:hAnsi="Calibri"/>
          <w:color w:val="001F60"/>
          <w:spacing w:val="-13"/>
        </w:rPr>
        <w:t xml:space="preserve"> </w:t>
      </w:r>
      <w:r>
        <w:rPr>
          <w:rFonts w:ascii="Calibri" w:hAnsi="Calibri"/>
          <w:color w:val="001F60"/>
        </w:rPr>
        <w:t>dos</w:t>
      </w:r>
      <w:r>
        <w:rPr>
          <w:rFonts w:ascii="Calibri" w:hAnsi="Calibri"/>
          <w:color w:val="001F60"/>
          <w:spacing w:val="-12"/>
        </w:rPr>
        <w:t xml:space="preserve"> </w:t>
      </w:r>
      <w:r>
        <w:rPr>
          <w:rFonts w:ascii="Calibri" w:hAnsi="Calibri"/>
          <w:color w:val="001F60"/>
        </w:rPr>
        <w:t>planos</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benefícios</w:t>
      </w:r>
      <w:r>
        <w:rPr>
          <w:rFonts w:ascii="Calibri" w:hAnsi="Calibri"/>
          <w:color w:val="001F60"/>
          <w:spacing w:val="-12"/>
        </w:rPr>
        <w:t xml:space="preserve"> </w:t>
      </w:r>
      <w:r>
        <w:rPr>
          <w:rFonts w:ascii="Calibri" w:hAnsi="Calibri"/>
          <w:color w:val="001F60"/>
        </w:rPr>
        <w:t>PBS-A,</w:t>
      </w:r>
      <w:r>
        <w:rPr>
          <w:rFonts w:ascii="Calibri" w:hAnsi="Calibri"/>
          <w:color w:val="001F60"/>
          <w:spacing w:val="-13"/>
        </w:rPr>
        <w:t xml:space="preserve"> </w:t>
      </w:r>
      <w:r>
        <w:rPr>
          <w:rFonts w:ascii="Calibri" w:hAnsi="Calibri"/>
          <w:color w:val="001F60"/>
        </w:rPr>
        <w:t>TelebrasPrev e PBS Telebras. Historicamente, os resultados positivos dos planos são distribuídos na forma de reversão de valores para a patrocinadora e na forma de renda adicional temporária para os participantes e assistidos, com critérios e prazos para distribuição estabelecidos.</w:t>
      </w:r>
    </w:p>
    <w:p w14:paraId="78C08A92" w14:textId="77777777" w:rsidR="002C6574" w:rsidRDefault="00000000">
      <w:pPr>
        <w:pStyle w:val="Corpodetexto"/>
        <w:spacing w:before="121"/>
        <w:ind w:left="709" w:right="276"/>
        <w:jc w:val="both"/>
        <w:rPr>
          <w:rFonts w:ascii="Calibri" w:hAnsi="Calibri"/>
        </w:rPr>
      </w:pPr>
      <w:r>
        <w:rPr>
          <w:rFonts w:ascii="Calibri" w:hAnsi="Calibri"/>
          <w:color w:val="001F60"/>
        </w:rPr>
        <w:t>Em 2025, foram aprovadas as seguintes propostas de distribuições dos planos de previdência complementar patrocinados pela Telebras: PBS-A, referente aos exercícios de 2022 e de 2023; TelebrasPrev, referente</w:t>
      </w:r>
      <w:r>
        <w:rPr>
          <w:rFonts w:ascii="Calibri" w:hAnsi="Calibri"/>
          <w:color w:val="001F60"/>
          <w:spacing w:val="-1"/>
        </w:rPr>
        <w:t xml:space="preserve"> </w:t>
      </w:r>
      <w:r>
        <w:rPr>
          <w:rFonts w:ascii="Calibri" w:hAnsi="Calibri"/>
          <w:color w:val="001F60"/>
        </w:rPr>
        <w:t>aos exercícios de 2016,</w:t>
      </w:r>
      <w:r>
        <w:rPr>
          <w:rFonts w:ascii="Calibri" w:hAnsi="Calibri"/>
          <w:color w:val="001F60"/>
          <w:spacing w:val="-2"/>
        </w:rPr>
        <w:t xml:space="preserve"> </w:t>
      </w:r>
      <w:r>
        <w:rPr>
          <w:rFonts w:ascii="Calibri" w:hAnsi="Calibri"/>
          <w:color w:val="001F60"/>
        </w:rPr>
        <w:t>2017,</w:t>
      </w:r>
      <w:r>
        <w:rPr>
          <w:rFonts w:ascii="Calibri" w:hAnsi="Calibri"/>
          <w:color w:val="001F60"/>
          <w:spacing w:val="-1"/>
        </w:rPr>
        <w:t xml:space="preserve"> </w:t>
      </w:r>
      <w:r>
        <w:rPr>
          <w:rFonts w:ascii="Calibri" w:hAnsi="Calibri"/>
          <w:color w:val="001F60"/>
        </w:rPr>
        <w:t>2022</w:t>
      </w:r>
      <w:r>
        <w:rPr>
          <w:rFonts w:ascii="Calibri" w:hAnsi="Calibri"/>
          <w:color w:val="001F60"/>
          <w:spacing w:val="-1"/>
        </w:rPr>
        <w:t xml:space="preserve"> </w:t>
      </w:r>
      <w:r>
        <w:rPr>
          <w:rFonts w:ascii="Calibri" w:hAnsi="Calibri"/>
          <w:color w:val="001F60"/>
        </w:rPr>
        <w:t>e 2023;</w:t>
      </w:r>
      <w:r>
        <w:rPr>
          <w:rFonts w:ascii="Calibri" w:hAnsi="Calibri"/>
          <w:color w:val="001F60"/>
          <w:spacing w:val="-1"/>
        </w:rPr>
        <w:t xml:space="preserve"> </w:t>
      </w:r>
      <w:r>
        <w:rPr>
          <w:rFonts w:ascii="Calibri" w:hAnsi="Calibri"/>
          <w:color w:val="001F60"/>
        </w:rPr>
        <w:t>e PBS</w:t>
      </w:r>
      <w:r>
        <w:rPr>
          <w:rFonts w:ascii="Calibri" w:hAnsi="Calibri"/>
          <w:color w:val="001F60"/>
          <w:spacing w:val="-2"/>
        </w:rPr>
        <w:t xml:space="preserve"> </w:t>
      </w:r>
      <w:r>
        <w:rPr>
          <w:rFonts w:ascii="Calibri" w:hAnsi="Calibri"/>
          <w:color w:val="001F60"/>
        </w:rPr>
        <w:t>Telebras, para os</w:t>
      </w:r>
      <w:r>
        <w:rPr>
          <w:rFonts w:ascii="Calibri" w:hAnsi="Calibri"/>
          <w:color w:val="001F60"/>
          <w:spacing w:val="-2"/>
        </w:rPr>
        <w:t xml:space="preserve"> </w:t>
      </w:r>
      <w:r>
        <w:rPr>
          <w:rFonts w:ascii="Calibri" w:hAnsi="Calibri"/>
          <w:color w:val="001F60"/>
        </w:rPr>
        <w:t>exercícios de 2017, 2018, 2020, 2021, 2022 e 2023. Todos esses processos propostos passaram pelo rito de aprovação interna entre Reunião da Diretoria - REDIR, Comitê de Auditoria - COAUD e Conselho de Administração - CA. E, posteriormente, foram remetidos ao MCom, para então encaminhamento à Secretaria</w:t>
      </w:r>
      <w:r>
        <w:rPr>
          <w:rFonts w:ascii="Calibri" w:hAnsi="Calibri"/>
          <w:color w:val="001F60"/>
          <w:spacing w:val="-2"/>
        </w:rPr>
        <w:t xml:space="preserve"> </w:t>
      </w:r>
      <w:r>
        <w:rPr>
          <w:rFonts w:ascii="Calibri" w:hAnsi="Calibri"/>
          <w:color w:val="001F60"/>
        </w:rPr>
        <w:t>de Coordenação e Governança de Empresas Estatais - SEST. As propostas são previamente submetidas</w:t>
      </w:r>
      <w:r>
        <w:rPr>
          <w:rFonts w:ascii="Calibri" w:hAnsi="Calibri"/>
          <w:color w:val="001F60"/>
          <w:spacing w:val="-2"/>
        </w:rPr>
        <w:t xml:space="preserve"> </w:t>
      </w:r>
      <w:r>
        <w:rPr>
          <w:rFonts w:ascii="Calibri" w:hAnsi="Calibri"/>
          <w:color w:val="001F60"/>
        </w:rPr>
        <w:t>à</w:t>
      </w:r>
      <w:r>
        <w:rPr>
          <w:rFonts w:ascii="Calibri" w:hAnsi="Calibri"/>
          <w:color w:val="001F60"/>
          <w:spacing w:val="-3"/>
        </w:rPr>
        <w:t xml:space="preserve"> </w:t>
      </w:r>
      <w:r>
        <w:rPr>
          <w:rFonts w:ascii="Calibri" w:hAnsi="Calibri"/>
          <w:color w:val="001F60"/>
        </w:rPr>
        <w:t>Previc</w:t>
      </w:r>
      <w:r>
        <w:rPr>
          <w:rFonts w:ascii="Calibri" w:hAnsi="Calibri"/>
          <w:color w:val="001F60"/>
          <w:spacing w:val="-1"/>
        </w:rPr>
        <w:t xml:space="preserve"> </w:t>
      </w:r>
      <w:r>
        <w:rPr>
          <w:rFonts w:ascii="Calibri" w:hAnsi="Calibri"/>
          <w:color w:val="001F60"/>
        </w:rPr>
        <w:t>e somente</w:t>
      </w:r>
      <w:r>
        <w:rPr>
          <w:rFonts w:ascii="Calibri" w:hAnsi="Calibri"/>
          <w:color w:val="001F60"/>
          <w:spacing w:val="-1"/>
        </w:rPr>
        <w:t xml:space="preserve"> </w:t>
      </w:r>
      <w:r>
        <w:rPr>
          <w:rFonts w:ascii="Calibri" w:hAnsi="Calibri"/>
          <w:color w:val="001F60"/>
        </w:rPr>
        <w:t>após</w:t>
      </w:r>
      <w:r>
        <w:rPr>
          <w:rFonts w:ascii="Calibri" w:hAnsi="Calibri"/>
          <w:color w:val="001F60"/>
          <w:spacing w:val="-2"/>
        </w:rPr>
        <w:t xml:space="preserve"> </w:t>
      </w:r>
      <w:r>
        <w:rPr>
          <w:rFonts w:ascii="Calibri" w:hAnsi="Calibri"/>
          <w:color w:val="001F60"/>
        </w:rPr>
        <w:t>sua</w:t>
      </w:r>
      <w:r>
        <w:rPr>
          <w:rFonts w:ascii="Calibri" w:hAnsi="Calibri"/>
          <w:color w:val="001F60"/>
          <w:spacing w:val="-1"/>
        </w:rPr>
        <w:t xml:space="preserve"> </w:t>
      </w:r>
      <w:r>
        <w:rPr>
          <w:rFonts w:ascii="Calibri" w:hAnsi="Calibri"/>
          <w:color w:val="001F60"/>
        </w:rPr>
        <w:t>aprovação são iniciadas as</w:t>
      </w:r>
      <w:r>
        <w:rPr>
          <w:rFonts w:ascii="Calibri" w:hAnsi="Calibri"/>
          <w:color w:val="001F60"/>
          <w:spacing w:val="-2"/>
        </w:rPr>
        <w:t xml:space="preserve"> </w:t>
      </w:r>
      <w:r>
        <w:rPr>
          <w:rFonts w:ascii="Calibri" w:hAnsi="Calibri"/>
          <w:color w:val="001F60"/>
        </w:rPr>
        <w:t>reversões</w:t>
      </w:r>
      <w:r>
        <w:rPr>
          <w:rFonts w:ascii="Calibri" w:hAnsi="Calibri"/>
          <w:color w:val="001F60"/>
          <w:spacing w:val="-2"/>
        </w:rPr>
        <w:t xml:space="preserve"> </w:t>
      </w:r>
      <w:r>
        <w:rPr>
          <w:rFonts w:ascii="Calibri" w:hAnsi="Calibri"/>
          <w:color w:val="001F60"/>
        </w:rPr>
        <w:t>dos</w:t>
      </w:r>
      <w:r>
        <w:rPr>
          <w:rFonts w:ascii="Calibri" w:hAnsi="Calibri"/>
          <w:color w:val="001F60"/>
          <w:spacing w:val="-2"/>
        </w:rPr>
        <w:t xml:space="preserve"> </w:t>
      </w:r>
      <w:r>
        <w:rPr>
          <w:rFonts w:ascii="Calibri" w:hAnsi="Calibri"/>
          <w:color w:val="001F60"/>
        </w:rPr>
        <w:t>valores,</w:t>
      </w:r>
      <w:r>
        <w:rPr>
          <w:rFonts w:ascii="Calibri" w:hAnsi="Calibri"/>
          <w:color w:val="001F60"/>
          <w:spacing w:val="-4"/>
        </w:rPr>
        <w:t xml:space="preserve"> </w:t>
      </w:r>
      <w:r>
        <w:rPr>
          <w:rFonts w:ascii="Calibri" w:hAnsi="Calibri"/>
          <w:color w:val="001F60"/>
        </w:rPr>
        <w:t>respeitado o prazo mínimo de 36 parcelas, de acordo com a Resolução CNPC Nº 30, de 10 de outubro de 2018.</w:t>
      </w:r>
    </w:p>
    <w:p w14:paraId="0D910A23" w14:textId="77777777" w:rsidR="002C6574" w:rsidRDefault="00000000">
      <w:pPr>
        <w:pStyle w:val="Corpodetexto"/>
        <w:spacing w:before="120"/>
        <w:ind w:left="709" w:right="277"/>
        <w:jc w:val="both"/>
        <w:rPr>
          <w:rFonts w:ascii="Calibri" w:hAnsi="Calibri"/>
        </w:rPr>
      </w:pPr>
      <w:r>
        <w:rPr>
          <w:rFonts w:ascii="Calibri" w:hAnsi="Calibri"/>
          <w:color w:val="001F60"/>
        </w:rPr>
        <w:t>Em relação ao PBS-A, na destinação dos superávits, no valor de R$ 478.302.761,88 e de R$ 477.405.074,68 para os anos de 2022 e 2023, respectivamente, a participação da Telebras é de aproximadamente 6,80%, totalizando R$ 32.576.390,24.</w:t>
      </w:r>
    </w:p>
    <w:p w14:paraId="103EA760" w14:textId="77777777" w:rsidR="002C6574" w:rsidRDefault="00000000">
      <w:pPr>
        <w:pStyle w:val="Corpodetexto"/>
        <w:spacing w:before="121"/>
        <w:ind w:left="709" w:right="279"/>
        <w:jc w:val="both"/>
        <w:rPr>
          <w:rFonts w:ascii="Calibri" w:hAnsi="Calibri"/>
        </w:rPr>
      </w:pPr>
      <w:r>
        <w:rPr>
          <w:rFonts w:ascii="Calibri" w:hAnsi="Calibri"/>
          <w:color w:val="001F60"/>
        </w:rPr>
        <w:t>Para</w:t>
      </w:r>
      <w:r>
        <w:rPr>
          <w:rFonts w:ascii="Calibri" w:hAnsi="Calibri"/>
          <w:color w:val="001F60"/>
          <w:spacing w:val="-3"/>
        </w:rPr>
        <w:t xml:space="preserve"> </w:t>
      </w:r>
      <w:r>
        <w:rPr>
          <w:rFonts w:ascii="Calibri" w:hAnsi="Calibri"/>
          <w:color w:val="001F60"/>
        </w:rPr>
        <w:t>o</w:t>
      </w:r>
      <w:r>
        <w:rPr>
          <w:rFonts w:ascii="Calibri" w:hAnsi="Calibri"/>
          <w:color w:val="001F60"/>
          <w:spacing w:val="-1"/>
        </w:rPr>
        <w:t xml:space="preserve"> </w:t>
      </w:r>
      <w:r>
        <w:rPr>
          <w:rFonts w:ascii="Calibri" w:hAnsi="Calibri"/>
          <w:color w:val="001F60"/>
        </w:rPr>
        <w:t>TelebrasPrev,</w:t>
      </w:r>
      <w:r>
        <w:rPr>
          <w:rFonts w:ascii="Calibri" w:hAnsi="Calibri"/>
          <w:color w:val="001F60"/>
          <w:spacing w:val="-3"/>
        </w:rPr>
        <w:t xml:space="preserve"> </w:t>
      </w:r>
      <w:r>
        <w:rPr>
          <w:rFonts w:ascii="Calibri" w:hAnsi="Calibri"/>
          <w:color w:val="001F60"/>
        </w:rPr>
        <w:t>as</w:t>
      </w:r>
      <w:r>
        <w:rPr>
          <w:rFonts w:ascii="Calibri" w:hAnsi="Calibri"/>
          <w:color w:val="001F60"/>
          <w:spacing w:val="-1"/>
        </w:rPr>
        <w:t xml:space="preserve"> </w:t>
      </w:r>
      <w:r>
        <w:rPr>
          <w:rFonts w:ascii="Calibri" w:hAnsi="Calibri"/>
          <w:color w:val="001F60"/>
        </w:rPr>
        <w:t>distribuições</w:t>
      </w:r>
      <w:r>
        <w:rPr>
          <w:rFonts w:ascii="Calibri" w:hAnsi="Calibri"/>
          <w:color w:val="001F60"/>
          <w:spacing w:val="-1"/>
        </w:rPr>
        <w:t xml:space="preserve"> </w:t>
      </w:r>
      <w:r>
        <w:rPr>
          <w:rFonts w:ascii="Calibri" w:hAnsi="Calibri"/>
          <w:color w:val="001F60"/>
        </w:rPr>
        <w:t>à</w:t>
      </w:r>
      <w:r>
        <w:rPr>
          <w:rFonts w:ascii="Calibri" w:hAnsi="Calibri"/>
          <w:color w:val="001F60"/>
          <w:spacing w:val="-1"/>
        </w:rPr>
        <w:t xml:space="preserve"> </w:t>
      </w:r>
      <w:r>
        <w:rPr>
          <w:rFonts w:ascii="Calibri" w:hAnsi="Calibri"/>
          <w:color w:val="001F60"/>
        </w:rPr>
        <w:t>Telebras</w:t>
      </w:r>
      <w:r>
        <w:rPr>
          <w:rFonts w:ascii="Calibri" w:hAnsi="Calibri"/>
          <w:color w:val="001F60"/>
          <w:spacing w:val="-1"/>
        </w:rPr>
        <w:t xml:space="preserve"> </w:t>
      </w:r>
      <w:r>
        <w:rPr>
          <w:rFonts w:ascii="Calibri" w:hAnsi="Calibri"/>
          <w:color w:val="001F60"/>
        </w:rPr>
        <w:t>referentes</w:t>
      </w:r>
      <w:r>
        <w:rPr>
          <w:rFonts w:ascii="Calibri" w:hAnsi="Calibri"/>
          <w:color w:val="001F60"/>
          <w:spacing w:val="-1"/>
        </w:rPr>
        <w:t xml:space="preserve"> </w:t>
      </w:r>
      <w:r>
        <w:rPr>
          <w:rFonts w:ascii="Calibri" w:hAnsi="Calibri"/>
          <w:color w:val="001F60"/>
        </w:rPr>
        <w:t>aos</w:t>
      </w:r>
      <w:r>
        <w:rPr>
          <w:rFonts w:ascii="Calibri" w:hAnsi="Calibri"/>
          <w:color w:val="001F60"/>
          <w:spacing w:val="-1"/>
        </w:rPr>
        <w:t xml:space="preserve"> </w:t>
      </w:r>
      <w:r>
        <w:rPr>
          <w:rFonts w:ascii="Calibri" w:hAnsi="Calibri"/>
          <w:color w:val="001F60"/>
        </w:rPr>
        <w:t>superávits</w:t>
      </w:r>
      <w:r>
        <w:rPr>
          <w:rFonts w:ascii="Calibri" w:hAnsi="Calibri"/>
          <w:color w:val="001F60"/>
          <w:spacing w:val="-1"/>
        </w:rPr>
        <w:t xml:space="preserve"> </w:t>
      </w:r>
      <w:r>
        <w:rPr>
          <w:rFonts w:ascii="Calibri" w:hAnsi="Calibri"/>
          <w:color w:val="001F60"/>
        </w:rPr>
        <w:t>de</w:t>
      </w:r>
      <w:r>
        <w:rPr>
          <w:rFonts w:ascii="Calibri" w:hAnsi="Calibri"/>
          <w:color w:val="001F60"/>
          <w:spacing w:val="-3"/>
        </w:rPr>
        <w:t xml:space="preserve"> </w:t>
      </w:r>
      <w:r>
        <w:rPr>
          <w:rFonts w:ascii="Calibri" w:hAnsi="Calibri"/>
          <w:color w:val="001F60"/>
        </w:rPr>
        <w:t>2016,</w:t>
      </w:r>
      <w:r>
        <w:rPr>
          <w:rFonts w:ascii="Calibri" w:hAnsi="Calibri"/>
          <w:color w:val="001F60"/>
          <w:spacing w:val="-3"/>
        </w:rPr>
        <w:t xml:space="preserve"> </w:t>
      </w:r>
      <w:r>
        <w:rPr>
          <w:rFonts w:ascii="Calibri" w:hAnsi="Calibri"/>
          <w:color w:val="001F60"/>
        </w:rPr>
        <w:t>2017,</w:t>
      </w:r>
      <w:r>
        <w:rPr>
          <w:rFonts w:ascii="Calibri" w:hAnsi="Calibri"/>
          <w:color w:val="001F60"/>
          <w:spacing w:val="-1"/>
        </w:rPr>
        <w:t xml:space="preserve"> </w:t>
      </w:r>
      <w:r>
        <w:rPr>
          <w:rFonts w:ascii="Calibri" w:hAnsi="Calibri"/>
          <w:color w:val="001F60"/>
        </w:rPr>
        <w:t>2022 e</w:t>
      </w:r>
      <w:r>
        <w:rPr>
          <w:rFonts w:ascii="Calibri" w:hAnsi="Calibri"/>
          <w:color w:val="001F60"/>
          <w:spacing w:val="-3"/>
        </w:rPr>
        <w:t xml:space="preserve"> </w:t>
      </w:r>
      <w:r>
        <w:rPr>
          <w:rFonts w:ascii="Calibri" w:hAnsi="Calibri"/>
          <w:color w:val="001F60"/>
        </w:rPr>
        <w:t>2023 montam</w:t>
      </w:r>
      <w:r>
        <w:rPr>
          <w:rFonts w:ascii="Calibri" w:hAnsi="Calibri"/>
          <w:color w:val="001F60"/>
          <w:spacing w:val="33"/>
        </w:rPr>
        <w:t xml:space="preserve">  </w:t>
      </w:r>
      <w:r>
        <w:rPr>
          <w:rFonts w:ascii="Calibri" w:hAnsi="Calibri"/>
          <w:color w:val="001F60"/>
        </w:rPr>
        <w:t>em</w:t>
      </w:r>
      <w:r>
        <w:rPr>
          <w:rFonts w:ascii="Calibri" w:hAnsi="Calibri"/>
          <w:color w:val="001F60"/>
          <w:spacing w:val="35"/>
        </w:rPr>
        <w:t xml:space="preserve">  </w:t>
      </w:r>
      <w:r>
        <w:rPr>
          <w:rFonts w:ascii="Calibri" w:hAnsi="Calibri"/>
          <w:color w:val="001F60"/>
        </w:rPr>
        <w:t>R$</w:t>
      </w:r>
      <w:r>
        <w:rPr>
          <w:rFonts w:ascii="Calibri" w:hAnsi="Calibri"/>
          <w:color w:val="001F60"/>
          <w:spacing w:val="32"/>
        </w:rPr>
        <w:t xml:space="preserve">  </w:t>
      </w:r>
      <w:r>
        <w:rPr>
          <w:rFonts w:ascii="Calibri" w:hAnsi="Calibri"/>
          <w:color w:val="001F60"/>
        </w:rPr>
        <w:t>28.961.979,90,</w:t>
      </w:r>
      <w:r>
        <w:rPr>
          <w:rFonts w:ascii="Calibri" w:hAnsi="Calibri"/>
          <w:color w:val="001F60"/>
          <w:spacing w:val="33"/>
        </w:rPr>
        <w:t xml:space="preserve">  </w:t>
      </w:r>
      <w:r>
        <w:rPr>
          <w:rFonts w:ascii="Calibri" w:hAnsi="Calibri"/>
          <w:color w:val="001F60"/>
        </w:rPr>
        <w:t>R$</w:t>
      </w:r>
      <w:r>
        <w:rPr>
          <w:rFonts w:ascii="Calibri" w:hAnsi="Calibri"/>
          <w:color w:val="001F60"/>
          <w:spacing w:val="33"/>
        </w:rPr>
        <w:t xml:space="preserve">  </w:t>
      </w:r>
      <w:r>
        <w:rPr>
          <w:rFonts w:ascii="Calibri" w:hAnsi="Calibri"/>
          <w:color w:val="001F60"/>
        </w:rPr>
        <w:t>16.994.426,02,</w:t>
      </w:r>
      <w:r>
        <w:rPr>
          <w:rFonts w:ascii="Calibri" w:hAnsi="Calibri"/>
          <w:color w:val="001F60"/>
          <w:spacing w:val="33"/>
        </w:rPr>
        <w:t xml:space="preserve">  </w:t>
      </w:r>
      <w:r>
        <w:rPr>
          <w:rFonts w:ascii="Calibri" w:hAnsi="Calibri"/>
          <w:color w:val="001F60"/>
        </w:rPr>
        <w:t>R$</w:t>
      </w:r>
      <w:r>
        <w:rPr>
          <w:rFonts w:ascii="Calibri" w:hAnsi="Calibri"/>
          <w:color w:val="001F60"/>
          <w:spacing w:val="33"/>
        </w:rPr>
        <w:t xml:space="preserve">  </w:t>
      </w:r>
      <w:r>
        <w:rPr>
          <w:rFonts w:ascii="Calibri" w:hAnsi="Calibri"/>
          <w:color w:val="001F60"/>
        </w:rPr>
        <w:t>21.590.524,50</w:t>
      </w:r>
      <w:r>
        <w:rPr>
          <w:rFonts w:ascii="Calibri" w:hAnsi="Calibri"/>
          <w:color w:val="001F60"/>
          <w:spacing w:val="34"/>
        </w:rPr>
        <w:t xml:space="preserve">  </w:t>
      </w:r>
      <w:r>
        <w:rPr>
          <w:rFonts w:ascii="Calibri" w:hAnsi="Calibri"/>
          <w:color w:val="001F60"/>
        </w:rPr>
        <w:t>e</w:t>
      </w:r>
      <w:r>
        <w:rPr>
          <w:rFonts w:ascii="Calibri" w:hAnsi="Calibri"/>
          <w:color w:val="001F60"/>
          <w:spacing w:val="32"/>
        </w:rPr>
        <w:t xml:space="preserve">  </w:t>
      </w:r>
      <w:r>
        <w:rPr>
          <w:rFonts w:ascii="Calibri" w:hAnsi="Calibri"/>
          <w:color w:val="001F60"/>
        </w:rPr>
        <w:t>R$</w:t>
      </w:r>
      <w:r>
        <w:rPr>
          <w:rFonts w:ascii="Calibri" w:hAnsi="Calibri"/>
          <w:color w:val="001F60"/>
          <w:spacing w:val="35"/>
        </w:rPr>
        <w:t xml:space="preserve">  </w:t>
      </w:r>
      <w:r>
        <w:rPr>
          <w:rFonts w:ascii="Calibri" w:hAnsi="Calibri"/>
          <w:color w:val="001F60"/>
          <w:spacing w:val="-2"/>
        </w:rPr>
        <w:t>34.677.847,10,</w:t>
      </w:r>
    </w:p>
    <w:p w14:paraId="4EA7CC5D" w14:textId="77777777" w:rsidR="002C6574" w:rsidRDefault="00000000">
      <w:pPr>
        <w:pStyle w:val="Corpodetexto"/>
        <w:ind w:left="709"/>
        <w:jc w:val="both"/>
        <w:rPr>
          <w:rFonts w:ascii="Calibri"/>
        </w:rPr>
      </w:pPr>
      <w:r>
        <w:rPr>
          <w:rFonts w:ascii="Calibri"/>
          <w:color w:val="001F60"/>
        </w:rPr>
        <w:t>respectivamente,</w:t>
      </w:r>
      <w:r>
        <w:rPr>
          <w:rFonts w:ascii="Calibri"/>
          <w:color w:val="001F60"/>
          <w:spacing w:val="-5"/>
        </w:rPr>
        <w:t xml:space="preserve"> </w:t>
      </w:r>
      <w:r>
        <w:rPr>
          <w:rFonts w:ascii="Calibri"/>
          <w:color w:val="001F60"/>
        </w:rPr>
        <w:t>totalizando</w:t>
      </w:r>
      <w:r>
        <w:rPr>
          <w:rFonts w:ascii="Calibri"/>
          <w:color w:val="001F60"/>
          <w:spacing w:val="-5"/>
        </w:rPr>
        <w:t xml:space="preserve"> </w:t>
      </w:r>
      <w:r>
        <w:rPr>
          <w:rFonts w:ascii="Calibri"/>
          <w:color w:val="001F60"/>
        </w:rPr>
        <w:t>R$</w:t>
      </w:r>
      <w:r>
        <w:rPr>
          <w:rFonts w:ascii="Calibri"/>
          <w:color w:val="001F60"/>
          <w:spacing w:val="-5"/>
        </w:rPr>
        <w:t xml:space="preserve"> </w:t>
      </w:r>
      <w:r>
        <w:rPr>
          <w:rFonts w:ascii="Calibri"/>
          <w:color w:val="001F60"/>
          <w:spacing w:val="-2"/>
        </w:rPr>
        <w:t>102.224.777,53.</w:t>
      </w:r>
    </w:p>
    <w:p w14:paraId="1657F85C" w14:textId="77777777" w:rsidR="002C6574" w:rsidRDefault="00000000">
      <w:pPr>
        <w:pStyle w:val="Corpodetexto"/>
        <w:spacing w:before="118"/>
        <w:ind w:left="709" w:right="275"/>
        <w:jc w:val="both"/>
        <w:rPr>
          <w:rFonts w:ascii="Calibri" w:hAnsi="Calibri"/>
        </w:rPr>
      </w:pPr>
      <w:r>
        <w:rPr>
          <w:rFonts w:ascii="Calibri" w:hAnsi="Calibri"/>
          <w:color w:val="001F60"/>
        </w:rPr>
        <w:t>Por fim, para o PBS Telebras, as destinações dos exercícios de 2017, 2018, 2020, 2021, 2022 e 2023 resultam à Telebras respectivamente em: R$ 5.297.507,66, R$ 509.602,89, R$ 505.243,90, R$ 2.865.645,38,</w:t>
      </w:r>
      <w:r>
        <w:rPr>
          <w:rFonts w:ascii="Calibri" w:hAnsi="Calibri"/>
          <w:color w:val="001F60"/>
          <w:spacing w:val="-13"/>
        </w:rPr>
        <w:t xml:space="preserve"> </w:t>
      </w:r>
      <w:r>
        <w:rPr>
          <w:rFonts w:ascii="Calibri" w:hAnsi="Calibri"/>
          <w:color w:val="001F60"/>
        </w:rPr>
        <w:t>R$</w:t>
      </w:r>
      <w:r>
        <w:rPr>
          <w:rFonts w:ascii="Calibri" w:hAnsi="Calibri"/>
          <w:color w:val="001F60"/>
          <w:spacing w:val="-12"/>
        </w:rPr>
        <w:t xml:space="preserve"> </w:t>
      </w:r>
      <w:r>
        <w:rPr>
          <w:rFonts w:ascii="Calibri" w:hAnsi="Calibri"/>
          <w:color w:val="001F60"/>
        </w:rPr>
        <w:t>8.354.957,49</w:t>
      </w:r>
      <w:r>
        <w:rPr>
          <w:rFonts w:ascii="Calibri" w:hAnsi="Calibri"/>
          <w:color w:val="001F60"/>
          <w:spacing w:val="-13"/>
        </w:rPr>
        <w:t xml:space="preserve"> </w:t>
      </w:r>
      <w:r>
        <w:rPr>
          <w:rFonts w:ascii="Calibri" w:hAnsi="Calibri"/>
          <w:color w:val="001F60"/>
        </w:rPr>
        <w:t>e</w:t>
      </w:r>
      <w:r>
        <w:rPr>
          <w:rFonts w:ascii="Calibri" w:hAnsi="Calibri"/>
          <w:color w:val="001F60"/>
          <w:spacing w:val="-12"/>
        </w:rPr>
        <w:t xml:space="preserve"> </w:t>
      </w:r>
      <w:r>
        <w:rPr>
          <w:rFonts w:ascii="Calibri" w:hAnsi="Calibri"/>
          <w:color w:val="001F60"/>
        </w:rPr>
        <w:t>R$</w:t>
      </w:r>
      <w:r>
        <w:rPr>
          <w:rFonts w:ascii="Calibri" w:hAnsi="Calibri"/>
          <w:color w:val="001F60"/>
          <w:spacing w:val="-13"/>
        </w:rPr>
        <w:t xml:space="preserve"> </w:t>
      </w:r>
      <w:r>
        <w:rPr>
          <w:rFonts w:ascii="Calibri" w:hAnsi="Calibri"/>
          <w:color w:val="001F60"/>
        </w:rPr>
        <w:t>21.228.787,82,</w:t>
      </w:r>
      <w:r>
        <w:rPr>
          <w:rFonts w:ascii="Calibri" w:hAnsi="Calibri"/>
          <w:color w:val="001F60"/>
          <w:spacing w:val="-12"/>
        </w:rPr>
        <w:t xml:space="preserve"> </w:t>
      </w:r>
      <w:r>
        <w:rPr>
          <w:rFonts w:ascii="Calibri" w:hAnsi="Calibri"/>
          <w:color w:val="001F60"/>
        </w:rPr>
        <w:t>considerada</w:t>
      </w:r>
      <w:r>
        <w:rPr>
          <w:rFonts w:ascii="Calibri" w:hAnsi="Calibri"/>
          <w:color w:val="001F60"/>
          <w:spacing w:val="-13"/>
        </w:rPr>
        <w:t xml:space="preserve"> </w:t>
      </w:r>
      <w:r>
        <w:rPr>
          <w:rFonts w:ascii="Calibri" w:hAnsi="Calibri"/>
          <w:color w:val="001F60"/>
        </w:rPr>
        <w:t>a</w:t>
      </w:r>
      <w:r>
        <w:rPr>
          <w:rFonts w:ascii="Calibri" w:hAnsi="Calibri"/>
          <w:color w:val="001F60"/>
          <w:spacing w:val="-12"/>
        </w:rPr>
        <w:t xml:space="preserve"> </w:t>
      </w:r>
      <w:r>
        <w:rPr>
          <w:rFonts w:ascii="Calibri" w:hAnsi="Calibri"/>
          <w:color w:val="001F60"/>
        </w:rPr>
        <w:t>proporção</w:t>
      </w:r>
      <w:r>
        <w:rPr>
          <w:rFonts w:ascii="Calibri" w:hAnsi="Calibri"/>
          <w:color w:val="001F60"/>
          <w:spacing w:val="-12"/>
        </w:rPr>
        <w:t xml:space="preserve"> </w:t>
      </w:r>
      <w:r>
        <w:rPr>
          <w:rFonts w:ascii="Calibri" w:hAnsi="Calibri"/>
          <w:color w:val="001F60"/>
        </w:rPr>
        <w:t>contributiva</w:t>
      </w:r>
      <w:r>
        <w:rPr>
          <w:rFonts w:ascii="Calibri" w:hAnsi="Calibri"/>
          <w:color w:val="001F60"/>
          <w:spacing w:val="-13"/>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50%</w:t>
      </w:r>
      <w:r>
        <w:rPr>
          <w:rFonts w:ascii="Calibri" w:hAnsi="Calibri"/>
          <w:color w:val="001F60"/>
          <w:spacing w:val="-13"/>
        </w:rPr>
        <w:t xml:space="preserve"> </w:t>
      </w:r>
      <w:r>
        <w:rPr>
          <w:rFonts w:ascii="Calibri" w:hAnsi="Calibri"/>
          <w:color w:val="001F60"/>
        </w:rPr>
        <w:t>entre participantes/assistidos e patrocinadora.</w:t>
      </w:r>
    </w:p>
    <w:p w14:paraId="47DF9C77" w14:textId="77777777" w:rsidR="002C6574" w:rsidRDefault="002C6574">
      <w:pPr>
        <w:pStyle w:val="Corpodetexto"/>
        <w:jc w:val="both"/>
        <w:rPr>
          <w:rFonts w:ascii="Calibri" w:hAnsi="Calibri"/>
        </w:rPr>
        <w:sectPr w:rsidR="002C6574">
          <w:pgSz w:w="11910" w:h="16840"/>
          <w:pgMar w:top="1100" w:right="850" w:bottom="1060" w:left="992" w:header="288" w:footer="863" w:gutter="0"/>
          <w:cols w:space="720"/>
        </w:sectPr>
      </w:pPr>
    </w:p>
    <w:p w14:paraId="6882602A" w14:textId="77777777" w:rsidR="002C6574" w:rsidRDefault="002C6574">
      <w:pPr>
        <w:pStyle w:val="Corpodetexto"/>
        <w:rPr>
          <w:rFonts w:ascii="Calibri"/>
        </w:rPr>
      </w:pPr>
    </w:p>
    <w:p w14:paraId="6CB00A6A" w14:textId="77777777" w:rsidR="002C6574" w:rsidRDefault="002C6574">
      <w:pPr>
        <w:pStyle w:val="Corpodetexto"/>
        <w:spacing w:before="50"/>
        <w:rPr>
          <w:rFonts w:ascii="Calibri"/>
        </w:rPr>
      </w:pPr>
    </w:p>
    <w:p w14:paraId="388C7893" w14:textId="77777777" w:rsidR="002C6574" w:rsidRDefault="00000000">
      <w:pPr>
        <w:numPr>
          <w:ilvl w:val="1"/>
          <w:numId w:val="74"/>
        </w:numPr>
        <w:tabs>
          <w:tab w:val="left" w:pos="1275"/>
        </w:tabs>
        <w:ind w:left="1275" w:hanging="566"/>
        <w:rPr>
          <w:rFonts w:ascii="Calibri"/>
          <w:b/>
        </w:rPr>
      </w:pPr>
      <w:r>
        <w:rPr>
          <w:rFonts w:ascii="Calibri"/>
          <w:b/>
          <w:color w:val="001F60"/>
        </w:rPr>
        <w:t>Quadro</w:t>
      </w:r>
      <w:r>
        <w:rPr>
          <w:rFonts w:ascii="Calibri"/>
          <w:b/>
          <w:color w:val="001F60"/>
          <w:spacing w:val="-4"/>
        </w:rPr>
        <w:t xml:space="preserve"> </w:t>
      </w:r>
      <w:r>
        <w:rPr>
          <w:rFonts w:ascii="Calibri"/>
          <w:b/>
          <w:color w:val="001F60"/>
        </w:rPr>
        <w:t>de</w:t>
      </w:r>
      <w:r>
        <w:rPr>
          <w:rFonts w:ascii="Calibri"/>
          <w:b/>
          <w:color w:val="001F60"/>
          <w:spacing w:val="-2"/>
        </w:rPr>
        <w:t xml:space="preserve"> Pessoal</w:t>
      </w:r>
    </w:p>
    <w:p w14:paraId="7FFA60D0" w14:textId="77777777" w:rsidR="002C6574" w:rsidRDefault="00000000">
      <w:pPr>
        <w:pStyle w:val="Corpodetexto"/>
        <w:spacing w:before="159"/>
        <w:ind w:left="709" w:right="277"/>
        <w:jc w:val="both"/>
        <w:rPr>
          <w:rFonts w:ascii="Calibri" w:hAnsi="Calibri"/>
        </w:rPr>
      </w:pPr>
      <w:r>
        <w:rPr>
          <w:rFonts w:ascii="Calibri" w:hAnsi="Calibri"/>
          <w:color w:val="001F60"/>
        </w:rPr>
        <w:t>Em 2025, a Telebras obteve autorização do Ministério da Gestão e da Inovação em Serviços Públicos (MGI),</w:t>
      </w:r>
      <w:r>
        <w:rPr>
          <w:rFonts w:ascii="Calibri" w:hAnsi="Calibri"/>
          <w:color w:val="001F60"/>
          <w:spacing w:val="-5"/>
        </w:rPr>
        <w:t xml:space="preserve"> </w:t>
      </w:r>
      <w:r>
        <w:rPr>
          <w:rFonts w:ascii="Calibri" w:hAnsi="Calibri"/>
          <w:color w:val="001F60"/>
        </w:rPr>
        <w:t>por</w:t>
      </w:r>
      <w:r>
        <w:rPr>
          <w:rFonts w:ascii="Calibri" w:hAnsi="Calibri"/>
          <w:color w:val="001F60"/>
          <w:spacing w:val="-5"/>
        </w:rPr>
        <w:t xml:space="preserve"> </w:t>
      </w:r>
      <w:r>
        <w:rPr>
          <w:rFonts w:ascii="Calibri" w:hAnsi="Calibri"/>
          <w:color w:val="001F60"/>
        </w:rPr>
        <w:t>intermédio</w:t>
      </w:r>
      <w:r>
        <w:rPr>
          <w:rFonts w:ascii="Calibri" w:hAnsi="Calibri"/>
          <w:color w:val="001F60"/>
          <w:spacing w:val="-6"/>
        </w:rPr>
        <w:t xml:space="preserve"> </w:t>
      </w:r>
      <w:r>
        <w:rPr>
          <w:rFonts w:ascii="Calibri" w:hAnsi="Calibri"/>
          <w:color w:val="001F60"/>
        </w:rPr>
        <w:t>da</w:t>
      </w:r>
      <w:r>
        <w:rPr>
          <w:rFonts w:ascii="Calibri" w:hAnsi="Calibri"/>
          <w:color w:val="001F60"/>
          <w:spacing w:val="-5"/>
        </w:rPr>
        <w:t xml:space="preserve"> </w:t>
      </w:r>
      <w:r>
        <w:rPr>
          <w:rFonts w:ascii="Calibri" w:hAnsi="Calibri"/>
          <w:color w:val="001F60"/>
        </w:rPr>
        <w:t>Secretaria</w:t>
      </w:r>
      <w:r>
        <w:rPr>
          <w:rFonts w:ascii="Calibri" w:hAnsi="Calibri"/>
          <w:color w:val="001F60"/>
          <w:spacing w:val="-5"/>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Coordenação</w:t>
      </w:r>
      <w:r>
        <w:rPr>
          <w:rFonts w:ascii="Calibri" w:hAnsi="Calibri"/>
          <w:color w:val="001F60"/>
          <w:spacing w:val="-6"/>
        </w:rPr>
        <w:t xml:space="preserve"> </w:t>
      </w:r>
      <w:r>
        <w:rPr>
          <w:rFonts w:ascii="Calibri" w:hAnsi="Calibri"/>
          <w:color w:val="001F60"/>
        </w:rPr>
        <w:t>e</w:t>
      </w:r>
      <w:r>
        <w:rPr>
          <w:rFonts w:ascii="Calibri" w:hAnsi="Calibri"/>
          <w:color w:val="001F60"/>
          <w:spacing w:val="-5"/>
        </w:rPr>
        <w:t xml:space="preserve"> </w:t>
      </w:r>
      <w:r>
        <w:rPr>
          <w:rFonts w:ascii="Calibri" w:hAnsi="Calibri"/>
          <w:color w:val="001F60"/>
        </w:rPr>
        <w:t>Governança</w:t>
      </w:r>
      <w:r>
        <w:rPr>
          <w:rFonts w:ascii="Calibri" w:hAnsi="Calibri"/>
          <w:color w:val="001F60"/>
          <w:spacing w:val="-7"/>
        </w:rPr>
        <w:t xml:space="preserve"> </w:t>
      </w:r>
      <w:r>
        <w:rPr>
          <w:rFonts w:ascii="Calibri" w:hAnsi="Calibri"/>
          <w:color w:val="001F60"/>
        </w:rPr>
        <w:t>das</w:t>
      </w:r>
      <w:r>
        <w:rPr>
          <w:rFonts w:ascii="Calibri" w:hAnsi="Calibri"/>
          <w:color w:val="001F60"/>
          <w:spacing w:val="-5"/>
        </w:rPr>
        <w:t xml:space="preserve"> </w:t>
      </w:r>
      <w:r>
        <w:rPr>
          <w:rFonts w:ascii="Calibri" w:hAnsi="Calibri"/>
          <w:color w:val="001F60"/>
        </w:rPr>
        <w:t>Empresas</w:t>
      </w:r>
      <w:r>
        <w:rPr>
          <w:rFonts w:ascii="Calibri" w:hAnsi="Calibri"/>
          <w:color w:val="001F60"/>
          <w:spacing w:val="-7"/>
        </w:rPr>
        <w:t xml:space="preserve"> </w:t>
      </w:r>
      <w:r>
        <w:rPr>
          <w:rFonts w:ascii="Calibri" w:hAnsi="Calibri"/>
          <w:color w:val="001F60"/>
        </w:rPr>
        <w:t>Estatais</w:t>
      </w:r>
      <w:r>
        <w:rPr>
          <w:rFonts w:ascii="Calibri" w:hAnsi="Calibri"/>
          <w:color w:val="001F60"/>
          <w:spacing w:val="-5"/>
        </w:rPr>
        <w:t xml:space="preserve"> </w:t>
      </w:r>
      <w:r>
        <w:rPr>
          <w:rFonts w:ascii="Calibri" w:hAnsi="Calibri"/>
          <w:color w:val="001F60"/>
        </w:rPr>
        <w:t>(SEST),</w:t>
      </w:r>
      <w:r>
        <w:rPr>
          <w:rFonts w:ascii="Calibri" w:hAnsi="Calibri"/>
          <w:color w:val="001F60"/>
          <w:spacing w:val="-7"/>
        </w:rPr>
        <w:t xml:space="preserve"> </w:t>
      </w:r>
      <w:r>
        <w:rPr>
          <w:rFonts w:ascii="Calibri" w:hAnsi="Calibri"/>
          <w:color w:val="001F60"/>
        </w:rPr>
        <w:t>para dois</w:t>
      </w:r>
      <w:r>
        <w:rPr>
          <w:rFonts w:ascii="Calibri" w:hAnsi="Calibri"/>
          <w:color w:val="001F60"/>
          <w:spacing w:val="-1"/>
        </w:rPr>
        <w:t xml:space="preserve"> </w:t>
      </w:r>
      <w:r>
        <w:rPr>
          <w:rFonts w:ascii="Calibri" w:hAnsi="Calibri"/>
          <w:color w:val="001F60"/>
        </w:rPr>
        <w:t>aumentos</w:t>
      </w:r>
      <w:r>
        <w:rPr>
          <w:rFonts w:ascii="Calibri" w:hAnsi="Calibri"/>
          <w:color w:val="001F60"/>
          <w:spacing w:val="-1"/>
        </w:rPr>
        <w:t xml:space="preserve"> </w:t>
      </w:r>
      <w:r>
        <w:rPr>
          <w:rFonts w:ascii="Calibri" w:hAnsi="Calibri"/>
          <w:color w:val="001F60"/>
        </w:rPr>
        <w:t>em seu quadro de pessoal.</w:t>
      </w:r>
      <w:r>
        <w:rPr>
          <w:rFonts w:ascii="Calibri" w:hAnsi="Calibri"/>
          <w:color w:val="001F60"/>
          <w:spacing w:val="-1"/>
        </w:rPr>
        <w:t xml:space="preserve"> </w:t>
      </w:r>
      <w:r>
        <w:rPr>
          <w:rFonts w:ascii="Calibri" w:hAnsi="Calibri"/>
          <w:color w:val="001F60"/>
        </w:rPr>
        <w:t>O primeiro</w:t>
      </w:r>
      <w:r>
        <w:rPr>
          <w:rFonts w:ascii="Calibri" w:hAnsi="Calibri"/>
          <w:color w:val="001F60"/>
          <w:spacing w:val="-1"/>
        </w:rPr>
        <w:t xml:space="preserve"> </w:t>
      </w:r>
      <w:r>
        <w:rPr>
          <w:rFonts w:ascii="Calibri" w:hAnsi="Calibri"/>
          <w:color w:val="001F60"/>
        </w:rPr>
        <w:t>ocorreu</w:t>
      </w:r>
      <w:r>
        <w:rPr>
          <w:rFonts w:ascii="Calibri" w:hAnsi="Calibri"/>
          <w:color w:val="001F60"/>
          <w:spacing w:val="-1"/>
        </w:rPr>
        <w:t xml:space="preserve"> </w:t>
      </w:r>
      <w:r>
        <w:rPr>
          <w:rFonts w:ascii="Calibri" w:hAnsi="Calibri"/>
          <w:color w:val="001F60"/>
        </w:rPr>
        <w:t>em abril de</w:t>
      </w:r>
      <w:r>
        <w:rPr>
          <w:rFonts w:ascii="Calibri" w:hAnsi="Calibri"/>
          <w:color w:val="001F60"/>
          <w:spacing w:val="-1"/>
        </w:rPr>
        <w:t xml:space="preserve"> </w:t>
      </w:r>
      <w:r>
        <w:rPr>
          <w:rFonts w:ascii="Calibri" w:hAnsi="Calibri"/>
          <w:color w:val="001F60"/>
        </w:rPr>
        <w:t>2025,</w:t>
      </w:r>
      <w:r>
        <w:rPr>
          <w:rFonts w:ascii="Calibri" w:hAnsi="Calibri"/>
          <w:color w:val="001F60"/>
          <w:spacing w:val="-6"/>
        </w:rPr>
        <w:t xml:space="preserve"> </w:t>
      </w:r>
      <w:r>
        <w:rPr>
          <w:rFonts w:ascii="Calibri" w:hAnsi="Calibri"/>
          <w:color w:val="001F60"/>
        </w:rPr>
        <w:t>por</w:t>
      </w:r>
      <w:r>
        <w:rPr>
          <w:rFonts w:ascii="Calibri" w:hAnsi="Calibri"/>
          <w:color w:val="001F60"/>
          <w:spacing w:val="-3"/>
        </w:rPr>
        <w:t xml:space="preserve"> </w:t>
      </w:r>
      <w:r>
        <w:rPr>
          <w:rFonts w:ascii="Calibri" w:hAnsi="Calibri"/>
          <w:color w:val="001F60"/>
        </w:rPr>
        <w:t>meio da</w:t>
      </w:r>
      <w:r>
        <w:rPr>
          <w:rFonts w:ascii="Calibri" w:hAnsi="Calibri"/>
          <w:color w:val="001F60"/>
          <w:spacing w:val="-1"/>
        </w:rPr>
        <w:t xml:space="preserve"> </w:t>
      </w:r>
      <w:r>
        <w:rPr>
          <w:rFonts w:ascii="Calibri" w:hAnsi="Calibri"/>
          <w:color w:val="001F60"/>
        </w:rPr>
        <w:t>Portaria SEST/MGI</w:t>
      </w:r>
      <w:r>
        <w:rPr>
          <w:rFonts w:ascii="Calibri" w:hAnsi="Calibri"/>
          <w:color w:val="001F60"/>
          <w:spacing w:val="-6"/>
        </w:rPr>
        <w:t xml:space="preserve"> </w:t>
      </w:r>
      <w:r>
        <w:rPr>
          <w:rFonts w:ascii="Calibri" w:hAnsi="Calibri"/>
          <w:color w:val="001F60"/>
        </w:rPr>
        <w:t>nº</w:t>
      </w:r>
      <w:r>
        <w:rPr>
          <w:rFonts w:ascii="Calibri" w:hAnsi="Calibri"/>
          <w:color w:val="001F60"/>
          <w:spacing w:val="-6"/>
        </w:rPr>
        <w:t xml:space="preserve"> </w:t>
      </w:r>
      <w:r>
        <w:rPr>
          <w:rFonts w:ascii="Calibri" w:hAnsi="Calibri"/>
          <w:color w:val="001F60"/>
        </w:rPr>
        <w:t>3.066,</w:t>
      </w:r>
      <w:r>
        <w:rPr>
          <w:rFonts w:ascii="Calibri" w:hAnsi="Calibri"/>
          <w:color w:val="001F60"/>
          <w:spacing w:val="-4"/>
        </w:rPr>
        <w:t xml:space="preserve"> </w:t>
      </w:r>
      <w:r>
        <w:rPr>
          <w:rFonts w:ascii="Calibri" w:hAnsi="Calibri"/>
          <w:color w:val="001F60"/>
        </w:rPr>
        <w:t>que</w:t>
      </w:r>
      <w:r>
        <w:rPr>
          <w:rFonts w:ascii="Calibri" w:hAnsi="Calibri"/>
          <w:color w:val="001F60"/>
          <w:spacing w:val="-4"/>
        </w:rPr>
        <w:t xml:space="preserve"> </w:t>
      </w:r>
      <w:r>
        <w:rPr>
          <w:rFonts w:ascii="Calibri" w:hAnsi="Calibri"/>
          <w:color w:val="001F60"/>
        </w:rPr>
        <w:t>autorizou</w:t>
      </w:r>
      <w:r>
        <w:rPr>
          <w:rFonts w:ascii="Calibri" w:hAnsi="Calibri"/>
          <w:color w:val="001F60"/>
          <w:spacing w:val="-7"/>
        </w:rPr>
        <w:t xml:space="preserve"> </w:t>
      </w:r>
      <w:r>
        <w:rPr>
          <w:rFonts w:ascii="Calibri" w:hAnsi="Calibri"/>
          <w:color w:val="001F60"/>
        </w:rPr>
        <w:t>a</w:t>
      </w:r>
      <w:r>
        <w:rPr>
          <w:rFonts w:ascii="Calibri" w:hAnsi="Calibri"/>
          <w:color w:val="001F60"/>
          <w:spacing w:val="-4"/>
        </w:rPr>
        <w:t xml:space="preserve"> </w:t>
      </w:r>
      <w:r>
        <w:rPr>
          <w:rFonts w:ascii="Calibri" w:hAnsi="Calibri"/>
          <w:color w:val="001F60"/>
        </w:rPr>
        <w:t>ampliação</w:t>
      </w:r>
      <w:r>
        <w:rPr>
          <w:rFonts w:ascii="Calibri" w:hAnsi="Calibri"/>
          <w:color w:val="001F60"/>
          <w:spacing w:val="-4"/>
        </w:rPr>
        <w:t xml:space="preserve"> </w:t>
      </w:r>
      <w:r>
        <w:rPr>
          <w:rFonts w:ascii="Calibri" w:hAnsi="Calibri"/>
          <w:color w:val="001F60"/>
        </w:rPr>
        <w:t>do</w:t>
      </w:r>
      <w:r>
        <w:rPr>
          <w:rFonts w:ascii="Calibri" w:hAnsi="Calibri"/>
          <w:color w:val="001F60"/>
          <w:spacing w:val="-4"/>
        </w:rPr>
        <w:t xml:space="preserve"> </w:t>
      </w:r>
      <w:r>
        <w:rPr>
          <w:rFonts w:ascii="Calibri" w:hAnsi="Calibri"/>
          <w:color w:val="001F60"/>
        </w:rPr>
        <w:t>quadro</w:t>
      </w:r>
      <w:r>
        <w:rPr>
          <w:rFonts w:ascii="Calibri" w:hAnsi="Calibri"/>
          <w:color w:val="001F60"/>
          <w:spacing w:val="-4"/>
        </w:rPr>
        <w:t xml:space="preserve"> </w:t>
      </w:r>
      <w:r>
        <w:rPr>
          <w:rFonts w:ascii="Calibri" w:hAnsi="Calibri"/>
          <w:color w:val="001F60"/>
        </w:rPr>
        <w:t>em</w:t>
      </w:r>
      <w:r>
        <w:rPr>
          <w:rFonts w:ascii="Calibri" w:hAnsi="Calibri"/>
          <w:color w:val="001F60"/>
          <w:spacing w:val="-6"/>
        </w:rPr>
        <w:t xml:space="preserve"> </w:t>
      </w:r>
      <w:r>
        <w:rPr>
          <w:rFonts w:ascii="Calibri" w:hAnsi="Calibri"/>
          <w:color w:val="001F60"/>
        </w:rPr>
        <w:t>35</w:t>
      </w:r>
      <w:r>
        <w:rPr>
          <w:rFonts w:ascii="Calibri" w:hAnsi="Calibri"/>
          <w:color w:val="001F60"/>
          <w:spacing w:val="-4"/>
        </w:rPr>
        <w:t xml:space="preserve"> </w:t>
      </w:r>
      <w:r>
        <w:rPr>
          <w:rFonts w:ascii="Calibri" w:hAnsi="Calibri"/>
          <w:color w:val="001F60"/>
        </w:rPr>
        <w:t>vagas</w:t>
      </w:r>
      <w:r>
        <w:rPr>
          <w:rFonts w:ascii="Calibri" w:hAnsi="Calibri"/>
          <w:color w:val="001F60"/>
          <w:spacing w:val="-4"/>
        </w:rPr>
        <w:t xml:space="preserve"> </w:t>
      </w:r>
      <w:r>
        <w:rPr>
          <w:rFonts w:ascii="Calibri" w:hAnsi="Calibri"/>
          <w:color w:val="001F60"/>
        </w:rPr>
        <w:t>permanentes.</w:t>
      </w:r>
      <w:r>
        <w:rPr>
          <w:rFonts w:ascii="Calibri" w:hAnsi="Calibri"/>
          <w:color w:val="001F60"/>
          <w:spacing w:val="-8"/>
        </w:rPr>
        <w:t xml:space="preserve"> </w:t>
      </w:r>
      <w:r>
        <w:rPr>
          <w:rFonts w:ascii="Calibri" w:hAnsi="Calibri"/>
          <w:color w:val="001F60"/>
        </w:rPr>
        <w:t>Posteriormente, em novembro de 2025, a Portaria SEST/MGI nº 9.457 aprovou a criação de mais 32 cargos para empregados(as) públicos(as). Com essas autorizações, o quadro passou a totalizar 438 vagas para cargos permanentes e 29 vagas para cargos transitórios, estabelecendo, ao final de 2025, o limite de 467 vagas para o quadro próprio autorizado da Telebras. Dessa forma, a</w:t>
      </w:r>
      <w:r>
        <w:rPr>
          <w:rFonts w:ascii="Calibri" w:hAnsi="Calibri"/>
          <w:color w:val="001F60"/>
          <w:spacing w:val="-1"/>
        </w:rPr>
        <w:t xml:space="preserve"> </w:t>
      </w:r>
      <w:r>
        <w:rPr>
          <w:rFonts w:ascii="Calibri" w:hAnsi="Calibri"/>
          <w:color w:val="001F60"/>
        </w:rPr>
        <w:t>Telebras ajustou seu quadro de pessoal para alinhar-se</w:t>
      </w:r>
      <w:r>
        <w:rPr>
          <w:rFonts w:ascii="Calibri" w:hAnsi="Calibri"/>
          <w:color w:val="001F60"/>
          <w:spacing w:val="-1"/>
        </w:rPr>
        <w:t xml:space="preserve"> </w:t>
      </w:r>
      <w:r>
        <w:rPr>
          <w:rFonts w:ascii="Calibri" w:hAnsi="Calibri"/>
          <w:color w:val="001F60"/>
        </w:rPr>
        <w:t>às necessidades operacionais e estratégicas da empresa, finalizando o ano com um total de 485 empregados, distribuídos da seguinte forma:</w:t>
      </w:r>
    </w:p>
    <w:p w14:paraId="4360FB5B" w14:textId="77777777" w:rsidR="002C6574" w:rsidRDefault="002C6574">
      <w:pPr>
        <w:pStyle w:val="Corpodetexto"/>
        <w:rPr>
          <w:rFonts w:ascii="Calibri"/>
          <w:sz w:val="20"/>
        </w:rPr>
      </w:pPr>
    </w:p>
    <w:p w14:paraId="7A97AC32" w14:textId="77777777" w:rsidR="002C6574" w:rsidRDefault="002C6574">
      <w:pPr>
        <w:pStyle w:val="Corpodetexto"/>
        <w:spacing w:before="21"/>
        <w:rPr>
          <w:rFonts w:ascii="Calibri"/>
          <w:sz w:val="20"/>
        </w:rPr>
      </w:pPr>
    </w:p>
    <w:tbl>
      <w:tblPr>
        <w:tblStyle w:val="TableNormal"/>
        <w:tblW w:w="0" w:type="auto"/>
        <w:tblInd w:w="2447" w:type="dxa"/>
        <w:tblLayout w:type="fixed"/>
        <w:tblLook w:val="01E0" w:firstRow="1" w:lastRow="1" w:firstColumn="1" w:lastColumn="1" w:noHBand="0" w:noVBand="0"/>
      </w:tblPr>
      <w:tblGrid>
        <w:gridCol w:w="2467"/>
        <w:gridCol w:w="817"/>
        <w:gridCol w:w="658"/>
        <w:gridCol w:w="1121"/>
      </w:tblGrid>
      <w:tr w:rsidR="002C6574" w14:paraId="7060610F" w14:textId="77777777">
        <w:trPr>
          <w:trHeight w:val="464"/>
        </w:trPr>
        <w:tc>
          <w:tcPr>
            <w:tcW w:w="2467" w:type="dxa"/>
            <w:tcBorders>
              <w:top w:val="single" w:sz="8" w:space="0" w:color="95B3D6"/>
              <w:bottom w:val="single" w:sz="8" w:space="0" w:color="95B3D6"/>
            </w:tcBorders>
            <w:shd w:val="clear" w:color="auto" w:fill="DBE6F0"/>
          </w:tcPr>
          <w:p w14:paraId="27B5E7B6" w14:textId="77777777" w:rsidR="002C6574" w:rsidRDefault="00000000">
            <w:pPr>
              <w:pStyle w:val="TableParagraph"/>
              <w:spacing w:before="123"/>
              <w:ind w:left="160" w:right="8"/>
              <w:jc w:val="center"/>
              <w:rPr>
                <w:rFonts w:ascii="Calibri"/>
                <w:b/>
                <w:sz w:val="18"/>
              </w:rPr>
            </w:pPr>
            <w:r>
              <w:rPr>
                <w:rFonts w:ascii="Calibri"/>
                <w:b/>
                <w:color w:val="233F62"/>
                <w:sz w:val="18"/>
              </w:rPr>
              <w:t>QUADRO</w:t>
            </w:r>
            <w:r>
              <w:rPr>
                <w:rFonts w:ascii="Calibri"/>
                <w:b/>
                <w:color w:val="233F62"/>
                <w:spacing w:val="-4"/>
                <w:sz w:val="18"/>
              </w:rPr>
              <w:t xml:space="preserve"> </w:t>
            </w:r>
            <w:r>
              <w:rPr>
                <w:rFonts w:ascii="Calibri"/>
                <w:b/>
                <w:color w:val="233F62"/>
                <w:sz w:val="18"/>
              </w:rPr>
              <w:t>DE</w:t>
            </w:r>
            <w:r>
              <w:rPr>
                <w:rFonts w:ascii="Calibri"/>
                <w:b/>
                <w:color w:val="233F62"/>
                <w:spacing w:val="-2"/>
                <w:sz w:val="18"/>
              </w:rPr>
              <w:t xml:space="preserve"> PESSOAL</w:t>
            </w:r>
          </w:p>
        </w:tc>
        <w:tc>
          <w:tcPr>
            <w:tcW w:w="817" w:type="dxa"/>
            <w:tcBorders>
              <w:top w:val="single" w:sz="8" w:space="0" w:color="95B3D6"/>
              <w:bottom w:val="single" w:sz="8" w:space="0" w:color="95B3D6"/>
              <w:right w:val="single" w:sz="4" w:space="0" w:color="95B3D6"/>
            </w:tcBorders>
            <w:shd w:val="clear" w:color="auto" w:fill="DBE6F0"/>
          </w:tcPr>
          <w:p w14:paraId="0886FA2D" w14:textId="77777777" w:rsidR="002C6574" w:rsidRDefault="00000000">
            <w:pPr>
              <w:pStyle w:val="TableParagraph"/>
              <w:spacing w:before="123"/>
              <w:ind w:right="65"/>
              <w:rPr>
                <w:rFonts w:ascii="Calibri"/>
                <w:b/>
                <w:sz w:val="18"/>
              </w:rPr>
            </w:pPr>
            <w:r>
              <w:rPr>
                <w:rFonts w:ascii="Calibri"/>
                <w:b/>
                <w:color w:val="233F62"/>
                <w:spacing w:val="-2"/>
                <w:sz w:val="18"/>
              </w:rPr>
              <w:t>dez/25</w:t>
            </w:r>
          </w:p>
        </w:tc>
        <w:tc>
          <w:tcPr>
            <w:tcW w:w="658" w:type="dxa"/>
            <w:tcBorders>
              <w:top w:val="single" w:sz="8" w:space="0" w:color="95B3D6"/>
              <w:left w:val="single" w:sz="4" w:space="0" w:color="95B3D6"/>
              <w:bottom w:val="single" w:sz="8" w:space="0" w:color="95B3D6"/>
              <w:right w:val="single" w:sz="4" w:space="0" w:color="95B3D6"/>
            </w:tcBorders>
            <w:shd w:val="clear" w:color="auto" w:fill="DBE6F0"/>
          </w:tcPr>
          <w:p w14:paraId="3D3847A5" w14:textId="77777777" w:rsidR="002C6574" w:rsidRDefault="00000000">
            <w:pPr>
              <w:pStyle w:val="TableParagraph"/>
              <w:spacing w:before="123"/>
              <w:ind w:right="63"/>
              <w:rPr>
                <w:rFonts w:ascii="Calibri"/>
                <w:b/>
                <w:sz w:val="18"/>
              </w:rPr>
            </w:pPr>
            <w:r>
              <w:rPr>
                <w:rFonts w:ascii="Calibri"/>
                <w:b/>
                <w:color w:val="233F62"/>
                <w:spacing w:val="-2"/>
                <w:sz w:val="18"/>
              </w:rPr>
              <w:t>dez/24</w:t>
            </w:r>
          </w:p>
        </w:tc>
        <w:tc>
          <w:tcPr>
            <w:tcW w:w="1121" w:type="dxa"/>
            <w:tcBorders>
              <w:top w:val="single" w:sz="8" w:space="0" w:color="95B3D6"/>
              <w:left w:val="single" w:sz="4" w:space="0" w:color="95B3D6"/>
              <w:bottom w:val="single" w:sz="8" w:space="0" w:color="95B3D6"/>
            </w:tcBorders>
            <w:shd w:val="clear" w:color="auto" w:fill="DBE6F0"/>
          </w:tcPr>
          <w:p w14:paraId="332160BB" w14:textId="77777777" w:rsidR="002C6574" w:rsidRDefault="00000000">
            <w:pPr>
              <w:pStyle w:val="TableParagraph"/>
              <w:spacing w:before="37"/>
              <w:ind w:left="17" w:right="26"/>
              <w:jc w:val="center"/>
              <w:rPr>
                <w:rFonts w:ascii="Calibri" w:hAnsi="Calibri"/>
                <w:b/>
                <w:sz w:val="16"/>
              </w:rPr>
            </w:pPr>
            <w:r>
              <w:rPr>
                <w:rFonts w:ascii="Calibri" w:hAnsi="Calibri"/>
                <w:b/>
                <w:color w:val="233F62"/>
                <w:spacing w:val="-5"/>
                <w:sz w:val="16"/>
              </w:rPr>
              <w:t>∆%</w:t>
            </w:r>
          </w:p>
          <w:p w14:paraId="2288ACF8" w14:textId="77777777" w:rsidR="002C6574" w:rsidRDefault="00000000">
            <w:pPr>
              <w:pStyle w:val="TableParagraph"/>
              <w:spacing w:before="1"/>
              <w:ind w:left="17" w:right="25"/>
              <w:jc w:val="center"/>
              <w:rPr>
                <w:rFonts w:ascii="Calibri"/>
                <w:b/>
                <w:sz w:val="16"/>
              </w:rPr>
            </w:pPr>
            <w:r>
              <w:rPr>
                <w:rFonts w:ascii="Calibri"/>
                <w:b/>
                <w:color w:val="233F62"/>
                <w:sz w:val="16"/>
              </w:rPr>
              <w:t>dez</w:t>
            </w:r>
            <w:r>
              <w:rPr>
                <w:rFonts w:ascii="Calibri"/>
                <w:b/>
                <w:color w:val="233F62"/>
                <w:spacing w:val="-2"/>
                <w:sz w:val="16"/>
              </w:rPr>
              <w:t xml:space="preserve"> </w:t>
            </w:r>
            <w:r>
              <w:rPr>
                <w:rFonts w:ascii="Calibri"/>
                <w:b/>
                <w:color w:val="233F62"/>
                <w:sz w:val="16"/>
              </w:rPr>
              <w:t>25/</w:t>
            </w:r>
            <w:r>
              <w:rPr>
                <w:rFonts w:ascii="Calibri"/>
                <w:b/>
                <w:color w:val="233F62"/>
                <w:spacing w:val="-2"/>
                <w:sz w:val="16"/>
              </w:rPr>
              <w:t xml:space="preserve"> </w:t>
            </w:r>
            <w:r>
              <w:rPr>
                <w:rFonts w:ascii="Calibri"/>
                <w:b/>
                <w:color w:val="233F62"/>
                <w:sz w:val="16"/>
              </w:rPr>
              <w:t xml:space="preserve">dez </w:t>
            </w:r>
            <w:r>
              <w:rPr>
                <w:rFonts w:ascii="Calibri"/>
                <w:b/>
                <w:color w:val="233F62"/>
                <w:spacing w:val="-5"/>
                <w:sz w:val="16"/>
              </w:rPr>
              <w:t>24</w:t>
            </w:r>
          </w:p>
        </w:tc>
      </w:tr>
      <w:tr w:rsidR="002C6574" w14:paraId="6A229BF5" w14:textId="77777777">
        <w:trPr>
          <w:trHeight w:val="320"/>
        </w:trPr>
        <w:tc>
          <w:tcPr>
            <w:tcW w:w="2467" w:type="dxa"/>
            <w:tcBorders>
              <w:top w:val="single" w:sz="8" w:space="0" w:color="95B3D6"/>
            </w:tcBorders>
          </w:tcPr>
          <w:p w14:paraId="3C787AC7" w14:textId="77777777" w:rsidR="002C6574" w:rsidRDefault="00000000">
            <w:pPr>
              <w:pStyle w:val="TableParagraph"/>
              <w:spacing w:before="30"/>
              <w:ind w:left="160" w:right="7"/>
              <w:jc w:val="center"/>
              <w:rPr>
                <w:rFonts w:ascii="Calibri"/>
                <w:sz w:val="20"/>
              </w:rPr>
            </w:pPr>
            <w:r>
              <w:rPr>
                <w:rFonts w:ascii="Calibri"/>
                <w:color w:val="233F62"/>
                <w:sz w:val="20"/>
              </w:rPr>
              <w:t>Empregados</w:t>
            </w:r>
            <w:r>
              <w:rPr>
                <w:rFonts w:ascii="Calibri"/>
                <w:color w:val="233F62"/>
                <w:spacing w:val="-10"/>
                <w:sz w:val="20"/>
              </w:rPr>
              <w:t xml:space="preserve"> </w:t>
            </w:r>
            <w:r>
              <w:rPr>
                <w:rFonts w:ascii="Calibri"/>
                <w:color w:val="233F62"/>
                <w:spacing w:val="-2"/>
                <w:sz w:val="20"/>
              </w:rPr>
              <w:t>efetivos</w:t>
            </w:r>
          </w:p>
        </w:tc>
        <w:tc>
          <w:tcPr>
            <w:tcW w:w="817" w:type="dxa"/>
            <w:tcBorders>
              <w:top w:val="single" w:sz="8" w:space="0" w:color="95B3D6"/>
              <w:right w:val="single" w:sz="4" w:space="0" w:color="95B3D6"/>
            </w:tcBorders>
          </w:tcPr>
          <w:p w14:paraId="750B07B8" w14:textId="77777777" w:rsidR="002C6574" w:rsidRDefault="00000000">
            <w:pPr>
              <w:pStyle w:val="TableParagraph"/>
              <w:spacing w:before="30"/>
              <w:ind w:right="68"/>
              <w:rPr>
                <w:rFonts w:ascii="Calibri"/>
                <w:sz w:val="20"/>
              </w:rPr>
            </w:pPr>
            <w:r>
              <w:rPr>
                <w:rFonts w:ascii="Calibri"/>
                <w:color w:val="233F62"/>
                <w:spacing w:val="-5"/>
                <w:sz w:val="20"/>
              </w:rPr>
              <w:t>363</w:t>
            </w:r>
          </w:p>
        </w:tc>
        <w:tc>
          <w:tcPr>
            <w:tcW w:w="658" w:type="dxa"/>
            <w:tcBorders>
              <w:top w:val="single" w:sz="8" w:space="0" w:color="95B3D6"/>
              <w:left w:val="single" w:sz="4" w:space="0" w:color="95B3D6"/>
              <w:right w:val="single" w:sz="4" w:space="0" w:color="95B3D6"/>
            </w:tcBorders>
          </w:tcPr>
          <w:p w14:paraId="43341F78" w14:textId="77777777" w:rsidR="002C6574" w:rsidRDefault="00000000">
            <w:pPr>
              <w:pStyle w:val="TableParagraph"/>
              <w:spacing w:before="30"/>
              <w:ind w:right="65"/>
              <w:rPr>
                <w:rFonts w:ascii="Calibri"/>
                <w:sz w:val="20"/>
              </w:rPr>
            </w:pPr>
            <w:r>
              <w:rPr>
                <w:rFonts w:ascii="Calibri"/>
                <w:color w:val="233F62"/>
                <w:spacing w:val="-5"/>
                <w:sz w:val="20"/>
              </w:rPr>
              <w:t>345</w:t>
            </w:r>
          </w:p>
        </w:tc>
        <w:tc>
          <w:tcPr>
            <w:tcW w:w="1121" w:type="dxa"/>
            <w:tcBorders>
              <w:top w:val="single" w:sz="8" w:space="0" w:color="95B3D6"/>
              <w:left w:val="single" w:sz="4" w:space="0" w:color="95B3D6"/>
            </w:tcBorders>
          </w:tcPr>
          <w:p w14:paraId="41A821B9" w14:textId="77777777" w:rsidR="002C6574" w:rsidRDefault="00000000">
            <w:pPr>
              <w:pStyle w:val="TableParagraph"/>
              <w:spacing w:before="30"/>
              <w:ind w:right="73"/>
              <w:rPr>
                <w:rFonts w:ascii="Calibri"/>
                <w:sz w:val="20"/>
              </w:rPr>
            </w:pPr>
            <w:r>
              <w:rPr>
                <w:rFonts w:ascii="Calibri"/>
                <w:color w:val="233F62"/>
                <w:spacing w:val="-4"/>
                <w:sz w:val="20"/>
              </w:rPr>
              <w:t>5,2%</w:t>
            </w:r>
          </w:p>
        </w:tc>
      </w:tr>
      <w:tr w:rsidR="002C6574" w14:paraId="6CCFAE3C" w14:textId="77777777">
        <w:trPr>
          <w:trHeight w:val="300"/>
        </w:trPr>
        <w:tc>
          <w:tcPr>
            <w:tcW w:w="2467" w:type="dxa"/>
          </w:tcPr>
          <w:p w14:paraId="4CC5F978" w14:textId="77777777" w:rsidR="002C6574" w:rsidRDefault="00000000">
            <w:pPr>
              <w:pStyle w:val="TableParagraph"/>
              <w:spacing w:before="9"/>
              <w:ind w:left="160"/>
              <w:jc w:val="center"/>
              <w:rPr>
                <w:rFonts w:ascii="Arial"/>
                <w:i/>
                <w:sz w:val="20"/>
              </w:rPr>
            </w:pPr>
            <w:r>
              <w:rPr>
                <w:rFonts w:ascii="Calibri"/>
                <w:color w:val="233F62"/>
                <w:spacing w:val="-4"/>
                <w:sz w:val="20"/>
              </w:rPr>
              <w:t>Empregados</w:t>
            </w:r>
            <w:r>
              <w:rPr>
                <w:rFonts w:ascii="Calibri"/>
                <w:color w:val="233F62"/>
                <w:spacing w:val="6"/>
                <w:sz w:val="20"/>
              </w:rPr>
              <w:t xml:space="preserve"> </w:t>
            </w:r>
            <w:r>
              <w:rPr>
                <w:rFonts w:ascii="Arial"/>
                <w:i/>
                <w:color w:val="233F62"/>
                <w:spacing w:val="-4"/>
                <w:sz w:val="20"/>
              </w:rPr>
              <w:t>Ad nutum</w:t>
            </w:r>
          </w:p>
        </w:tc>
        <w:tc>
          <w:tcPr>
            <w:tcW w:w="817" w:type="dxa"/>
            <w:tcBorders>
              <w:right w:val="single" w:sz="4" w:space="0" w:color="95B3D6"/>
            </w:tcBorders>
          </w:tcPr>
          <w:p w14:paraId="620046E9" w14:textId="77777777" w:rsidR="002C6574" w:rsidRDefault="00000000">
            <w:pPr>
              <w:pStyle w:val="TableParagraph"/>
              <w:spacing w:before="9"/>
              <w:ind w:right="65"/>
              <w:rPr>
                <w:rFonts w:ascii="Calibri"/>
                <w:sz w:val="20"/>
              </w:rPr>
            </w:pPr>
            <w:r>
              <w:rPr>
                <w:rFonts w:ascii="Calibri"/>
                <w:color w:val="233F62"/>
                <w:spacing w:val="-5"/>
                <w:sz w:val="20"/>
              </w:rPr>
              <w:t>47</w:t>
            </w:r>
          </w:p>
        </w:tc>
        <w:tc>
          <w:tcPr>
            <w:tcW w:w="658" w:type="dxa"/>
            <w:tcBorders>
              <w:left w:val="single" w:sz="4" w:space="0" w:color="95B3D6"/>
              <w:right w:val="single" w:sz="4" w:space="0" w:color="95B3D6"/>
            </w:tcBorders>
          </w:tcPr>
          <w:p w14:paraId="3FAD3C13" w14:textId="77777777" w:rsidR="002C6574" w:rsidRDefault="00000000">
            <w:pPr>
              <w:pStyle w:val="TableParagraph"/>
              <w:spacing w:before="9"/>
              <w:ind w:right="63"/>
              <w:rPr>
                <w:rFonts w:ascii="Calibri"/>
                <w:sz w:val="20"/>
              </w:rPr>
            </w:pPr>
            <w:r>
              <w:rPr>
                <w:rFonts w:ascii="Calibri"/>
                <w:color w:val="233F62"/>
                <w:spacing w:val="-5"/>
                <w:sz w:val="20"/>
              </w:rPr>
              <w:t>47</w:t>
            </w:r>
          </w:p>
        </w:tc>
        <w:tc>
          <w:tcPr>
            <w:tcW w:w="1121" w:type="dxa"/>
            <w:tcBorders>
              <w:left w:val="single" w:sz="4" w:space="0" w:color="95B3D6"/>
            </w:tcBorders>
          </w:tcPr>
          <w:p w14:paraId="73E6802A" w14:textId="77777777" w:rsidR="002C6574" w:rsidRDefault="00000000">
            <w:pPr>
              <w:pStyle w:val="TableParagraph"/>
              <w:spacing w:before="9"/>
              <w:ind w:right="73"/>
              <w:rPr>
                <w:rFonts w:ascii="Calibri"/>
                <w:sz w:val="20"/>
              </w:rPr>
            </w:pPr>
            <w:r>
              <w:rPr>
                <w:rFonts w:ascii="Calibri"/>
                <w:color w:val="233F62"/>
                <w:spacing w:val="-4"/>
                <w:sz w:val="20"/>
              </w:rPr>
              <w:t>0,0%</w:t>
            </w:r>
          </w:p>
        </w:tc>
      </w:tr>
      <w:tr w:rsidR="002C6574" w14:paraId="1FC39D33" w14:textId="77777777">
        <w:trPr>
          <w:trHeight w:val="299"/>
        </w:trPr>
        <w:tc>
          <w:tcPr>
            <w:tcW w:w="2467" w:type="dxa"/>
          </w:tcPr>
          <w:p w14:paraId="765C320C" w14:textId="77777777" w:rsidR="002C6574" w:rsidRDefault="00000000">
            <w:pPr>
              <w:pStyle w:val="TableParagraph"/>
              <w:spacing w:before="9"/>
              <w:ind w:left="160" w:right="3"/>
              <w:jc w:val="center"/>
              <w:rPr>
                <w:rFonts w:ascii="Calibri"/>
                <w:sz w:val="20"/>
              </w:rPr>
            </w:pPr>
            <w:r>
              <w:rPr>
                <w:rFonts w:ascii="Calibri"/>
                <w:color w:val="233F62"/>
                <w:spacing w:val="-2"/>
                <w:sz w:val="20"/>
              </w:rPr>
              <w:t>Requisitados</w:t>
            </w:r>
          </w:p>
        </w:tc>
        <w:tc>
          <w:tcPr>
            <w:tcW w:w="817" w:type="dxa"/>
            <w:tcBorders>
              <w:right w:val="single" w:sz="4" w:space="0" w:color="95B3D6"/>
            </w:tcBorders>
          </w:tcPr>
          <w:p w14:paraId="49F8F91C" w14:textId="77777777" w:rsidR="002C6574" w:rsidRDefault="00000000">
            <w:pPr>
              <w:pStyle w:val="TableParagraph"/>
              <w:spacing w:before="9"/>
              <w:ind w:right="64"/>
              <w:rPr>
                <w:rFonts w:ascii="Calibri"/>
                <w:sz w:val="20"/>
              </w:rPr>
            </w:pPr>
            <w:r>
              <w:rPr>
                <w:rFonts w:ascii="Calibri"/>
                <w:color w:val="233F62"/>
                <w:spacing w:val="-10"/>
                <w:sz w:val="20"/>
              </w:rPr>
              <w:t>2</w:t>
            </w:r>
          </w:p>
        </w:tc>
        <w:tc>
          <w:tcPr>
            <w:tcW w:w="658" w:type="dxa"/>
            <w:tcBorders>
              <w:left w:val="single" w:sz="4" w:space="0" w:color="95B3D6"/>
              <w:right w:val="single" w:sz="4" w:space="0" w:color="95B3D6"/>
            </w:tcBorders>
          </w:tcPr>
          <w:p w14:paraId="6F797FA9" w14:textId="77777777" w:rsidR="002C6574" w:rsidRDefault="00000000">
            <w:pPr>
              <w:pStyle w:val="TableParagraph"/>
              <w:spacing w:before="9"/>
              <w:ind w:right="63"/>
              <w:rPr>
                <w:rFonts w:ascii="Calibri"/>
                <w:sz w:val="20"/>
              </w:rPr>
            </w:pPr>
            <w:r>
              <w:rPr>
                <w:rFonts w:ascii="Calibri"/>
                <w:color w:val="233F62"/>
                <w:spacing w:val="-10"/>
                <w:sz w:val="20"/>
              </w:rPr>
              <w:t>3</w:t>
            </w:r>
          </w:p>
        </w:tc>
        <w:tc>
          <w:tcPr>
            <w:tcW w:w="1121" w:type="dxa"/>
            <w:tcBorders>
              <w:left w:val="single" w:sz="4" w:space="0" w:color="95B3D6"/>
            </w:tcBorders>
          </w:tcPr>
          <w:p w14:paraId="23236417" w14:textId="77777777" w:rsidR="002C6574" w:rsidRDefault="00000000">
            <w:pPr>
              <w:pStyle w:val="TableParagraph"/>
              <w:spacing w:before="9"/>
              <w:ind w:right="73"/>
              <w:rPr>
                <w:rFonts w:ascii="Calibri"/>
                <w:sz w:val="20"/>
              </w:rPr>
            </w:pPr>
            <w:r>
              <w:rPr>
                <w:rFonts w:ascii="Calibri"/>
                <w:color w:val="233F62"/>
                <w:spacing w:val="-4"/>
                <w:sz w:val="20"/>
              </w:rPr>
              <w:t>-</w:t>
            </w:r>
            <w:r>
              <w:rPr>
                <w:rFonts w:ascii="Calibri"/>
                <w:color w:val="233F62"/>
                <w:spacing w:val="-2"/>
                <w:sz w:val="20"/>
              </w:rPr>
              <w:t>33,3%</w:t>
            </w:r>
          </w:p>
        </w:tc>
      </w:tr>
      <w:tr w:rsidR="002C6574" w14:paraId="331D870A" w14:textId="77777777">
        <w:trPr>
          <w:trHeight w:val="303"/>
        </w:trPr>
        <w:tc>
          <w:tcPr>
            <w:tcW w:w="2467" w:type="dxa"/>
          </w:tcPr>
          <w:p w14:paraId="2E727503" w14:textId="77777777" w:rsidR="002C6574" w:rsidRDefault="00000000">
            <w:pPr>
              <w:pStyle w:val="TableParagraph"/>
              <w:spacing w:before="9"/>
              <w:ind w:left="160"/>
              <w:jc w:val="center"/>
              <w:rPr>
                <w:rFonts w:ascii="Calibri" w:hAnsi="Calibri"/>
                <w:sz w:val="20"/>
              </w:rPr>
            </w:pPr>
            <w:r>
              <w:rPr>
                <w:rFonts w:ascii="Calibri" w:hAnsi="Calibri"/>
                <w:color w:val="233F62"/>
                <w:spacing w:val="-2"/>
                <w:sz w:val="20"/>
              </w:rPr>
              <w:t>Estagiários</w:t>
            </w:r>
          </w:p>
        </w:tc>
        <w:tc>
          <w:tcPr>
            <w:tcW w:w="817" w:type="dxa"/>
            <w:tcBorders>
              <w:right w:val="single" w:sz="4" w:space="0" w:color="95B3D6"/>
            </w:tcBorders>
          </w:tcPr>
          <w:p w14:paraId="77FFB281" w14:textId="77777777" w:rsidR="002C6574" w:rsidRDefault="00000000">
            <w:pPr>
              <w:pStyle w:val="TableParagraph"/>
              <w:spacing w:before="9"/>
              <w:ind w:right="67"/>
              <w:rPr>
                <w:rFonts w:ascii="Calibri"/>
                <w:sz w:val="20"/>
              </w:rPr>
            </w:pPr>
            <w:r>
              <w:rPr>
                <w:rFonts w:ascii="Calibri"/>
                <w:color w:val="233F62"/>
                <w:spacing w:val="-5"/>
                <w:sz w:val="20"/>
              </w:rPr>
              <w:t>70</w:t>
            </w:r>
          </w:p>
        </w:tc>
        <w:tc>
          <w:tcPr>
            <w:tcW w:w="658" w:type="dxa"/>
            <w:tcBorders>
              <w:left w:val="single" w:sz="4" w:space="0" w:color="95B3D6"/>
              <w:right w:val="single" w:sz="4" w:space="0" w:color="95B3D6"/>
            </w:tcBorders>
          </w:tcPr>
          <w:p w14:paraId="276FE478" w14:textId="77777777" w:rsidR="002C6574" w:rsidRDefault="00000000">
            <w:pPr>
              <w:pStyle w:val="TableParagraph"/>
              <w:spacing w:before="9"/>
              <w:ind w:right="63"/>
              <w:rPr>
                <w:rFonts w:ascii="Calibri"/>
                <w:sz w:val="20"/>
              </w:rPr>
            </w:pPr>
            <w:r>
              <w:rPr>
                <w:rFonts w:ascii="Calibri"/>
                <w:color w:val="233F62"/>
                <w:spacing w:val="-5"/>
                <w:sz w:val="20"/>
              </w:rPr>
              <w:t>71</w:t>
            </w:r>
          </w:p>
        </w:tc>
        <w:tc>
          <w:tcPr>
            <w:tcW w:w="1121" w:type="dxa"/>
            <w:tcBorders>
              <w:left w:val="single" w:sz="4" w:space="0" w:color="95B3D6"/>
            </w:tcBorders>
          </w:tcPr>
          <w:p w14:paraId="0A9C8EC3" w14:textId="77777777" w:rsidR="002C6574" w:rsidRDefault="00000000">
            <w:pPr>
              <w:pStyle w:val="TableParagraph"/>
              <w:spacing w:before="9"/>
              <w:ind w:right="73"/>
              <w:rPr>
                <w:rFonts w:ascii="Calibri"/>
                <w:sz w:val="20"/>
              </w:rPr>
            </w:pPr>
            <w:r>
              <w:rPr>
                <w:rFonts w:ascii="Calibri"/>
                <w:color w:val="233F62"/>
                <w:spacing w:val="-4"/>
                <w:sz w:val="20"/>
              </w:rPr>
              <w:t>-1,4%</w:t>
            </w:r>
          </w:p>
        </w:tc>
      </w:tr>
      <w:tr w:rsidR="002C6574" w14:paraId="50998D19" w14:textId="77777777">
        <w:trPr>
          <w:trHeight w:val="291"/>
        </w:trPr>
        <w:tc>
          <w:tcPr>
            <w:tcW w:w="2467" w:type="dxa"/>
            <w:tcBorders>
              <w:bottom w:val="single" w:sz="8" w:space="0" w:color="95B3D6"/>
            </w:tcBorders>
          </w:tcPr>
          <w:p w14:paraId="0ED246F4" w14:textId="77777777" w:rsidR="002C6574" w:rsidRDefault="00000000">
            <w:pPr>
              <w:pStyle w:val="TableParagraph"/>
              <w:spacing w:before="13"/>
              <w:ind w:left="160" w:right="3"/>
              <w:jc w:val="center"/>
              <w:rPr>
                <w:rFonts w:ascii="Calibri"/>
                <w:sz w:val="20"/>
              </w:rPr>
            </w:pPr>
            <w:r>
              <w:rPr>
                <w:rFonts w:ascii="Calibri"/>
                <w:color w:val="233F62"/>
                <w:sz w:val="20"/>
              </w:rPr>
              <w:t>Jovens</w:t>
            </w:r>
            <w:r>
              <w:rPr>
                <w:rFonts w:ascii="Calibri"/>
                <w:color w:val="233F62"/>
                <w:spacing w:val="-4"/>
                <w:sz w:val="20"/>
              </w:rPr>
              <w:t xml:space="preserve"> </w:t>
            </w:r>
            <w:r>
              <w:rPr>
                <w:rFonts w:ascii="Calibri"/>
                <w:color w:val="233F62"/>
                <w:spacing w:val="-2"/>
                <w:sz w:val="20"/>
              </w:rPr>
              <w:t>aprendizes</w:t>
            </w:r>
          </w:p>
        </w:tc>
        <w:tc>
          <w:tcPr>
            <w:tcW w:w="817" w:type="dxa"/>
            <w:tcBorders>
              <w:bottom w:val="single" w:sz="8" w:space="0" w:color="95B3D6"/>
              <w:right w:val="single" w:sz="4" w:space="0" w:color="95B3D6"/>
            </w:tcBorders>
          </w:tcPr>
          <w:p w14:paraId="33F8BA96" w14:textId="77777777" w:rsidR="002C6574" w:rsidRDefault="00000000">
            <w:pPr>
              <w:pStyle w:val="TableParagraph"/>
              <w:spacing w:before="13"/>
              <w:ind w:right="66"/>
              <w:rPr>
                <w:rFonts w:ascii="Calibri"/>
                <w:sz w:val="20"/>
              </w:rPr>
            </w:pPr>
            <w:r>
              <w:rPr>
                <w:rFonts w:ascii="Calibri"/>
                <w:color w:val="233F62"/>
                <w:spacing w:val="-10"/>
                <w:sz w:val="20"/>
              </w:rPr>
              <w:t>3</w:t>
            </w:r>
          </w:p>
        </w:tc>
        <w:tc>
          <w:tcPr>
            <w:tcW w:w="658" w:type="dxa"/>
            <w:tcBorders>
              <w:left w:val="single" w:sz="4" w:space="0" w:color="95B3D6"/>
              <w:bottom w:val="single" w:sz="8" w:space="0" w:color="95B3D6"/>
              <w:right w:val="single" w:sz="4" w:space="0" w:color="95B3D6"/>
            </w:tcBorders>
          </w:tcPr>
          <w:p w14:paraId="681ACBF4" w14:textId="77777777" w:rsidR="002C6574" w:rsidRDefault="00000000">
            <w:pPr>
              <w:pStyle w:val="TableParagraph"/>
              <w:spacing w:before="13"/>
              <w:ind w:right="63"/>
              <w:rPr>
                <w:rFonts w:ascii="Calibri"/>
                <w:sz w:val="20"/>
              </w:rPr>
            </w:pPr>
            <w:r>
              <w:rPr>
                <w:rFonts w:ascii="Calibri"/>
                <w:color w:val="233F62"/>
                <w:spacing w:val="-10"/>
                <w:sz w:val="20"/>
              </w:rPr>
              <w:t>3</w:t>
            </w:r>
          </w:p>
        </w:tc>
        <w:tc>
          <w:tcPr>
            <w:tcW w:w="1121" w:type="dxa"/>
            <w:tcBorders>
              <w:left w:val="single" w:sz="4" w:space="0" w:color="95B3D6"/>
              <w:bottom w:val="single" w:sz="8" w:space="0" w:color="95B3D6"/>
            </w:tcBorders>
          </w:tcPr>
          <w:p w14:paraId="670F4A12" w14:textId="77777777" w:rsidR="002C6574" w:rsidRDefault="00000000">
            <w:pPr>
              <w:pStyle w:val="TableParagraph"/>
              <w:spacing w:before="13"/>
              <w:ind w:right="73"/>
              <w:rPr>
                <w:rFonts w:ascii="Calibri"/>
                <w:sz w:val="20"/>
              </w:rPr>
            </w:pPr>
            <w:r>
              <w:rPr>
                <w:rFonts w:ascii="Calibri"/>
                <w:color w:val="233F62"/>
                <w:spacing w:val="-4"/>
                <w:sz w:val="20"/>
              </w:rPr>
              <w:t>0,0%</w:t>
            </w:r>
          </w:p>
        </w:tc>
      </w:tr>
      <w:tr w:rsidR="002C6574" w14:paraId="432B8872" w14:textId="77777777">
        <w:trPr>
          <w:trHeight w:val="316"/>
        </w:trPr>
        <w:tc>
          <w:tcPr>
            <w:tcW w:w="2467" w:type="dxa"/>
            <w:tcBorders>
              <w:top w:val="single" w:sz="8" w:space="0" w:color="95B3D6"/>
              <w:bottom w:val="single" w:sz="8" w:space="0" w:color="95B3D6"/>
            </w:tcBorders>
            <w:shd w:val="clear" w:color="auto" w:fill="DBE6F0"/>
          </w:tcPr>
          <w:p w14:paraId="2DC6DBE3" w14:textId="77777777" w:rsidR="002C6574" w:rsidRDefault="00000000">
            <w:pPr>
              <w:pStyle w:val="TableParagraph"/>
              <w:spacing w:before="37"/>
              <w:ind w:left="160" w:right="6"/>
              <w:jc w:val="center"/>
              <w:rPr>
                <w:rFonts w:ascii="Calibri"/>
                <w:b/>
                <w:sz w:val="20"/>
              </w:rPr>
            </w:pPr>
            <w:r>
              <w:rPr>
                <w:rFonts w:ascii="Calibri"/>
                <w:b/>
                <w:color w:val="233F62"/>
                <w:spacing w:val="-2"/>
                <w:sz w:val="20"/>
              </w:rPr>
              <w:t>TOTAL</w:t>
            </w:r>
          </w:p>
        </w:tc>
        <w:tc>
          <w:tcPr>
            <w:tcW w:w="817" w:type="dxa"/>
            <w:tcBorders>
              <w:top w:val="single" w:sz="8" w:space="0" w:color="95B3D6"/>
              <w:bottom w:val="single" w:sz="8" w:space="0" w:color="95B3D6"/>
              <w:right w:val="single" w:sz="4" w:space="0" w:color="95B3D6"/>
            </w:tcBorders>
            <w:shd w:val="clear" w:color="auto" w:fill="DBE6F0"/>
          </w:tcPr>
          <w:p w14:paraId="40EE6B35" w14:textId="77777777" w:rsidR="002C6574" w:rsidRDefault="00000000">
            <w:pPr>
              <w:pStyle w:val="TableParagraph"/>
              <w:spacing w:before="37"/>
              <w:ind w:left="331"/>
              <w:jc w:val="left"/>
              <w:rPr>
                <w:rFonts w:ascii="Calibri"/>
                <w:b/>
                <w:sz w:val="20"/>
              </w:rPr>
            </w:pPr>
            <w:r>
              <w:rPr>
                <w:rFonts w:ascii="Calibri"/>
                <w:b/>
                <w:color w:val="233F62"/>
                <w:spacing w:val="-5"/>
                <w:sz w:val="20"/>
              </w:rPr>
              <w:t>485</w:t>
            </w:r>
          </w:p>
        </w:tc>
        <w:tc>
          <w:tcPr>
            <w:tcW w:w="658" w:type="dxa"/>
            <w:tcBorders>
              <w:top w:val="single" w:sz="8" w:space="0" w:color="95B3D6"/>
              <w:left w:val="single" w:sz="4" w:space="0" w:color="95B3D6"/>
              <w:bottom w:val="single" w:sz="8" w:space="0" w:color="95B3D6"/>
              <w:right w:val="single" w:sz="4" w:space="0" w:color="95B3D6"/>
            </w:tcBorders>
            <w:shd w:val="clear" w:color="auto" w:fill="DBE6F0"/>
          </w:tcPr>
          <w:p w14:paraId="15939EA2" w14:textId="77777777" w:rsidR="002C6574" w:rsidRDefault="00000000">
            <w:pPr>
              <w:pStyle w:val="TableParagraph"/>
              <w:spacing w:before="37"/>
              <w:ind w:left="169"/>
              <w:jc w:val="left"/>
              <w:rPr>
                <w:rFonts w:ascii="Calibri"/>
                <w:b/>
                <w:sz w:val="20"/>
              </w:rPr>
            </w:pPr>
            <w:r>
              <w:rPr>
                <w:rFonts w:ascii="Calibri"/>
                <w:b/>
                <w:color w:val="233F62"/>
                <w:spacing w:val="-5"/>
                <w:sz w:val="20"/>
              </w:rPr>
              <w:t>469</w:t>
            </w:r>
          </w:p>
        </w:tc>
        <w:tc>
          <w:tcPr>
            <w:tcW w:w="1121" w:type="dxa"/>
            <w:tcBorders>
              <w:top w:val="single" w:sz="8" w:space="0" w:color="95B3D6"/>
              <w:left w:val="single" w:sz="4" w:space="0" w:color="95B3D6"/>
              <w:bottom w:val="single" w:sz="8" w:space="0" w:color="95B3D6"/>
            </w:tcBorders>
            <w:shd w:val="clear" w:color="auto" w:fill="DBE6F0"/>
          </w:tcPr>
          <w:p w14:paraId="5B39602D" w14:textId="77777777" w:rsidR="002C6574" w:rsidRDefault="00000000">
            <w:pPr>
              <w:pStyle w:val="TableParagraph"/>
              <w:spacing w:before="37"/>
              <w:ind w:left="300"/>
              <w:jc w:val="left"/>
              <w:rPr>
                <w:rFonts w:ascii="Calibri"/>
                <w:b/>
                <w:sz w:val="20"/>
              </w:rPr>
            </w:pPr>
            <w:r>
              <w:rPr>
                <w:rFonts w:ascii="Calibri"/>
                <w:b/>
                <w:color w:val="233F62"/>
                <w:spacing w:val="-4"/>
                <w:sz w:val="20"/>
              </w:rPr>
              <w:t>3,41%</w:t>
            </w:r>
          </w:p>
        </w:tc>
      </w:tr>
    </w:tbl>
    <w:p w14:paraId="781E5F0B" w14:textId="77777777" w:rsidR="002C6574" w:rsidRDefault="00000000">
      <w:pPr>
        <w:spacing w:before="122"/>
        <w:ind w:left="3419"/>
        <w:rPr>
          <w:rFonts w:ascii="Calibri" w:hAnsi="Calibri"/>
          <w:sz w:val="16"/>
        </w:rPr>
      </w:pPr>
      <w:r>
        <w:rPr>
          <w:rFonts w:ascii="Calibri" w:hAnsi="Calibri"/>
          <w:color w:val="001F60"/>
          <w:sz w:val="16"/>
        </w:rPr>
        <w:t>Tabela</w:t>
      </w:r>
      <w:r>
        <w:rPr>
          <w:rFonts w:ascii="Calibri" w:hAnsi="Calibri"/>
          <w:color w:val="001F60"/>
          <w:spacing w:val="-4"/>
          <w:sz w:val="16"/>
        </w:rPr>
        <w:t xml:space="preserve"> </w:t>
      </w:r>
      <w:r>
        <w:rPr>
          <w:rFonts w:ascii="Calibri" w:hAnsi="Calibri"/>
          <w:color w:val="001F60"/>
          <w:sz w:val="16"/>
        </w:rPr>
        <w:t>8-1</w:t>
      </w:r>
      <w:r>
        <w:rPr>
          <w:rFonts w:ascii="Calibri" w:hAnsi="Calibri"/>
          <w:color w:val="001F60"/>
          <w:spacing w:val="-2"/>
          <w:sz w:val="16"/>
        </w:rPr>
        <w:t xml:space="preserve"> </w:t>
      </w:r>
      <w:r>
        <w:rPr>
          <w:rFonts w:ascii="Calibri" w:hAnsi="Calibri"/>
          <w:color w:val="001F60"/>
          <w:sz w:val="16"/>
        </w:rPr>
        <w:t>Quadro</w:t>
      </w:r>
      <w:r>
        <w:rPr>
          <w:rFonts w:ascii="Calibri" w:hAnsi="Calibri"/>
          <w:color w:val="001F60"/>
          <w:spacing w:val="-3"/>
          <w:sz w:val="16"/>
        </w:rPr>
        <w:t xml:space="preserve"> </w:t>
      </w:r>
      <w:r>
        <w:rPr>
          <w:rFonts w:ascii="Calibri" w:hAnsi="Calibri"/>
          <w:color w:val="001F60"/>
          <w:sz w:val="16"/>
        </w:rPr>
        <w:t>de</w:t>
      </w:r>
      <w:r>
        <w:rPr>
          <w:rFonts w:ascii="Calibri" w:hAnsi="Calibri"/>
          <w:color w:val="001F60"/>
          <w:spacing w:val="-4"/>
          <w:sz w:val="16"/>
        </w:rPr>
        <w:t xml:space="preserve"> </w:t>
      </w:r>
      <w:r>
        <w:rPr>
          <w:rFonts w:ascii="Calibri" w:hAnsi="Calibri"/>
          <w:color w:val="001F60"/>
          <w:sz w:val="16"/>
        </w:rPr>
        <w:t>Empregados</w:t>
      </w:r>
      <w:r>
        <w:rPr>
          <w:rFonts w:ascii="Calibri" w:hAnsi="Calibri"/>
          <w:color w:val="001F60"/>
          <w:spacing w:val="-4"/>
          <w:sz w:val="16"/>
        </w:rPr>
        <w:t xml:space="preserve"> </w:t>
      </w:r>
      <w:r>
        <w:rPr>
          <w:rFonts w:ascii="Calibri" w:hAnsi="Calibri"/>
          <w:color w:val="001F60"/>
          <w:sz w:val="16"/>
        </w:rPr>
        <w:t>–</w:t>
      </w:r>
      <w:r>
        <w:rPr>
          <w:rFonts w:ascii="Calibri" w:hAnsi="Calibri"/>
          <w:color w:val="001F60"/>
          <w:spacing w:val="-4"/>
          <w:sz w:val="16"/>
        </w:rPr>
        <w:t xml:space="preserve"> </w:t>
      </w:r>
      <w:r>
        <w:rPr>
          <w:rFonts w:ascii="Calibri" w:hAnsi="Calibri"/>
          <w:color w:val="001F60"/>
          <w:sz w:val="16"/>
        </w:rPr>
        <w:t>Comparativo</w:t>
      </w:r>
      <w:r>
        <w:rPr>
          <w:rFonts w:ascii="Calibri" w:hAnsi="Calibri"/>
          <w:color w:val="001F60"/>
          <w:spacing w:val="-4"/>
          <w:sz w:val="16"/>
        </w:rPr>
        <w:t xml:space="preserve"> Anual</w:t>
      </w:r>
    </w:p>
    <w:p w14:paraId="40311CD6" w14:textId="77777777" w:rsidR="002C6574" w:rsidRDefault="00000000">
      <w:pPr>
        <w:pStyle w:val="Corpodetexto"/>
        <w:spacing w:before="119"/>
        <w:ind w:left="709" w:right="277"/>
        <w:jc w:val="both"/>
        <w:rPr>
          <w:rFonts w:ascii="Calibri" w:hAnsi="Calibri"/>
        </w:rPr>
      </w:pPr>
      <w:r>
        <w:rPr>
          <w:rFonts w:ascii="Calibri" w:hAnsi="Calibri"/>
          <w:color w:val="001F60"/>
        </w:rPr>
        <w:t>Destaca-se que, entre os empregados efetivos, 12 encontravam-se cedidos para outros órgãos da Administração Pública e 23 integravam o quadro transitório, por estarem cedidos à Telebras.</w:t>
      </w:r>
    </w:p>
    <w:p w14:paraId="372C10B0" w14:textId="77777777" w:rsidR="002C6574" w:rsidRDefault="00000000">
      <w:pPr>
        <w:pStyle w:val="Corpodetexto"/>
        <w:spacing w:before="121"/>
        <w:ind w:left="709" w:right="279"/>
        <w:jc w:val="both"/>
        <w:rPr>
          <w:rFonts w:ascii="Calibri" w:hAnsi="Calibri"/>
        </w:rPr>
      </w:pPr>
      <w:r>
        <w:rPr>
          <w:rFonts w:ascii="Calibri" w:hAnsi="Calibri"/>
          <w:color w:val="001F60"/>
        </w:rPr>
        <w:t>Na comparação entre os dados do quadro de pessoal de dezembro de 2024 e dezembro de 2025, observou-se um aumento de 5,2% no número de empregados efetivos, enquanto o quantitativo de empregados</w:t>
      </w:r>
      <w:r>
        <w:rPr>
          <w:rFonts w:ascii="Calibri" w:hAnsi="Calibri"/>
          <w:color w:val="001F60"/>
          <w:spacing w:val="-13"/>
        </w:rPr>
        <w:t xml:space="preserve"> </w:t>
      </w:r>
      <w:r>
        <w:rPr>
          <w:rFonts w:ascii="Arial" w:hAnsi="Arial"/>
          <w:i/>
          <w:color w:val="001F60"/>
        </w:rPr>
        <w:t>Ad</w:t>
      </w:r>
      <w:r>
        <w:rPr>
          <w:rFonts w:ascii="Arial" w:hAnsi="Arial"/>
          <w:i/>
          <w:color w:val="001F60"/>
          <w:spacing w:val="-15"/>
        </w:rPr>
        <w:t xml:space="preserve"> </w:t>
      </w:r>
      <w:r>
        <w:rPr>
          <w:rFonts w:ascii="Arial" w:hAnsi="Arial"/>
          <w:i/>
          <w:color w:val="001F60"/>
        </w:rPr>
        <w:t>nutum</w:t>
      </w:r>
      <w:r>
        <w:rPr>
          <w:rFonts w:ascii="Arial" w:hAnsi="Arial"/>
          <w:i/>
          <w:color w:val="001F60"/>
          <w:spacing w:val="-15"/>
        </w:rPr>
        <w:t xml:space="preserve"> </w:t>
      </w:r>
      <w:r>
        <w:rPr>
          <w:rFonts w:ascii="Calibri" w:hAnsi="Calibri"/>
          <w:color w:val="001F60"/>
        </w:rPr>
        <w:t>permaneceu</w:t>
      </w:r>
      <w:r>
        <w:rPr>
          <w:rFonts w:ascii="Calibri" w:hAnsi="Calibri"/>
          <w:color w:val="001F60"/>
          <w:spacing w:val="-13"/>
        </w:rPr>
        <w:t xml:space="preserve"> </w:t>
      </w:r>
      <w:r>
        <w:rPr>
          <w:rFonts w:ascii="Calibri" w:hAnsi="Calibri"/>
          <w:color w:val="001F60"/>
        </w:rPr>
        <w:t>inalterado.</w:t>
      </w:r>
      <w:r>
        <w:rPr>
          <w:rFonts w:ascii="Calibri" w:hAnsi="Calibri"/>
          <w:color w:val="001F60"/>
          <w:spacing w:val="-12"/>
        </w:rPr>
        <w:t xml:space="preserve"> </w:t>
      </w:r>
      <w:r>
        <w:rPr>
          <w:rFonts w:ascii="Calibri" w:hAnsi="Calibri"/>
          <w:color w:val="001F60"/>
        </w:rPr>
        <w:t>Também</w:t>
      </w:r>
      <w:r>
        <w:rPr>
          <w:rFonts w:ascii="Calibri" w:hAnsi="Calibri"/>
          <w:color w:val="001F60"/>
          <w:spacing w:val="-13"/>
        </w:rPr>
        <w:t xml:space="preserve"> </w:t>
      </w:r>
      <w:r>
        <w:rPr>
          <w:rFonts w:ascii="Calibri" w:hAnsi="Calibri"/>
          <w:color w:val="001F60"/>
        </w:rPr>
        <w:t>foi</w:t>
      </w:r>
      <w:r>
        <w:rPr>
          <w:rFonts w:ascii="Calibri" w:hAnsi="Calibri"/>
          <w:color w:val="001F60"/>
          <w:spacing w:val="-12"/>
        </w:rPr>
        <w:t xml:space="preserve"> </w:t>
      </w:r>
      <w:r>
        <w:rPr>
          <w:rFonts w:ascii="Calibri" w:hAnsi="Calibri"/>
          <w:color w:val="001F60"/>
        </w:rPr>
        <w:t>verificada</w:t>
      </w:r>
      <w:r>
        <w:rPr>
          <w:rFonts w:ascii="Calibri" w:hAnsi="Calibri"/>
          <w:color w:val="001F60"/>
          <w:spacing w:val="-13"/>
        </w:rPr>
        <w:t xml:space="preserve"> </w:t>
      </w:r>
      <w:r>
        <w:rPr>
          <w:rFonts w:ascii="Calibri" w:hAnsi="Calibri"/>
          <w:color w:val="001F60"/>
        </w:rPr>
        <w:t>uma</w:t>
      </w:r>
      <w:r>
        <w:rPr>
          <w:rFonts w:ascii="Calibri" w:hAnsi="Calibri"/>
          <w:color w:val="001F60"/>
          <w:spacing w:val="-12"/>
        </w:rPr>
        <w:t xml:space="preserve"> </w:t>
      </w:r>
      <w:r>
        <w:rPr>
          <w:rFonts w:ascii="Calibri" w:hAnsi="Calibri"/>
          <w:color w:val="001F60"/>
        </w:rPr>
        <w:t>redução</w:t>
      </w:r>
      <w:r>
        <w:rPr>
          <w:rFonts w:ascii="Calibri" w:hAnsi="Calibri"/>
          <w:color w:val="001F60"/>
          <w:spacing w:val="-13"/>
        </w:rPr>
        <w:t xml:space="preserve"> </w:t>
      </w:r>
      <w:r>
        <w:rPr>
          <w:rFonts w:ascii="Calibri" w:hAnsi="Calibri"/>
          <w:color w:val="001F60"/>
        </w:rPr>
        <w:t>nos</w:t>
      </w:r>
      <w:r>
        <w:rPr>
          <w:rFonts w:ascii="Calibri" w:hAnsi="Calibri"/>
          <w:color w:val="001F60"/>
          <w:spacing w:val="-12"/>
        </w:rPr>
        <w:t xml:space="preserve"> </w:t>
      </w:r>
      <w:r>
        <w:rPr>
          <w:rFonts w:ascii="Calibri" w:hAnsi="Calibri"/>
          <w:color w:val="001F60"/>
        </w:rPr>
        <w:t>subgrupos</w:t>
      </w:r>
      <w:r>
        <w:rPr>
          <w:rFonts w:ascii="Calibri" w:hAnsi="Calibri"/>
          <w:color w:val="001F60"/>
          <w:spacing w:val="-12"/>
        </w:rPr>
        <w:t xml:space="preserve"> </w:t>
      </w:r>
      <w:r>
        <w:rPr>
          <w:rFonts w:ascii="Calibri" w:hAnsi="Calibri"/>
          <w:color w:val="001F60"/>
        </w:rPr>
        <w:t>de estagiários e requisitados.</w:t>
      </w:r>
    </w:p>
    <w:p w14:paraId="30890CB3" w14:textId="77777777" w:rsidR="002C6574" w:rsidRDefault="00000000">
      <w:pPr>
        <w:pStyle w:val="Corpodetexto"/>
        <w:spacing w:before="121" w:line="273" w:lineRule="auto"/>
        <w:ind w:left="709" w:right="278"/>
        <w:jc w:val="both"/>
        <w:rPr>
          <w:rFonts w:ascii="Calibri" w:hAnsi="Calibri"/>
        </w:rPr>
      </w:pPr>
      <w:r>
        <w:rPr>
          <w:rFonts w:ascii="Calibri" w:hAnsi="Calibri"/>
          <w:color w:val="001F60"/>
        </w:rPr>
        <w:t>O</w:t>
      </w:r>
      <w:r>
        <w:rPr>
          <w:rFonts w:ascii="Calibri" w:hAnsi="Calibri"/>
          <w:color w:val="001F60"/>
          <w:spacing w:val="-4"/>
        </w:rPr>
        <w:t xml:space="preserve"> </w:t>
      </w:r>
      <w:r>
        <w:rPr>
          <w:rFonts w:ascii="Calibri" w:hAnsi="Calibri"/>
          <w:color w:val="001F60"/>
        </w:rPr>
        <w:t>painel</w:t>
      </w:r>
      <w:r>
        <w:rPr>
          <w:rFonts w:ascii="Calibri" w:hAnsi="Calibri"/>
          <w:color w:val="001F60"/>
          <w:spacing w:val="-4"/>
        </w:rPr>
        <w:t xml:space="preserve"> </w:t>
      </w:r>
      <w:r>
        <w:rPr>
          <w:rFonts w:ascii="Calibri" w:hAnsi="Calibri"/>
          <w:color w:val="001F60"/>
        </w:rPr>
        <w:t>abaixo</w:t>
      </w:r>
      <w:r>
        <w:rPr>
          <w:rFonts w:ascii="Calibri" w:hAnsi="Calibri"/>
          <w:color w:val="001F60"/>
          <w:spacing w:val="-4"/>
        </w:rPr>
        <w:t xml:space="preserve"> </w:t>
      </w:r>
      <w:r>
        <w:rPr>
          <w:rFonts w:ascii="Calibri" w:hAnsi="Calibri"/>
          <w:color w:val="001F60"/>
        </w:rPr>
        <w:t>apresenta</w:t>
      </w:r>
      <w:r>
        <w:rPr>
          <w:rFonts w:ascii="Calibri" w:hAnsi="Calibri"/>
          <w:color w:val="001F60"/>
          <w:spacing w:val="-8"/>
        </w:rPr>
        <w:t xml:space="preserve"> </w:t>
      </w:r>
      <w:r>
        <w:rPr>
          <w:rFonts w:ascii="Calibri" w:hAnsi="Calibri"/>
          <w:color w:val="001F60"/>
        </w:rPr>
        <w:t>recortes</w:t>
      </w:r>
      <w:r>
        <w:rPr>
          <w:rFonts w:ascii="Calibri" w:hAnsi="Calibri"/>
          <w:color w:val="001F60"/>
          <w:spacing w:val="-6"/>
        </w:rPr>
        <w:t xml:space="preserve"> </w:t>
      </w:r>
      <w:r>
        <w:rPr>
          <w:rFonts w:ascii="Calibri" w:hAnsi="Calibri"/>
          <w:color w:val="001F60"/>
        </w:rPr>
        <w:t>do</w:t>
      </w:r>
      <w:r>
        <w:rPr>
          <w:rFonts w:ascii="Calibri" w:hAnsi="Calibri"/>
          <w:color w:val="001F60"/>
          <w:spacing w:val="-3"/>
        </w:rPr>
        <w:t xml:space="preserve"> </w:t>
      </w:r>
      <w:r>
        <w:rPr>
          <w:rFonts w:ascii="Calibri" w:hAnsi="Calibri"/>
          <w:color w:val="001F60"/>
        </w:rPr>
        <w:t>quadro</w:t>
      </w:r>
      <w:r>
        <w:rPr>
          <w:rFonts w:ascii="Calibri" w:hAnsi="Calibri"/>
          <w:color w:val="001F60"/>
          <w:spacing w:val="-4"/>
        </w:rPr>
        <w:t xml:space="preserve"> </w:t>
      </w:r>
      <w:r>
        <w:rPr>
          <w:rFonts w:ascii="Calibri" w:hAnsi="Calibri"/>
          <w:color w:val="001F60"/>
        </w:rPr>
        <w:t>de</w:t>
      </w:r>
      <w:r>
        <w:rPr>
          <w:rFonts w:ascii="Calibri" w:hAnsi="Calibri"/>
          <w:color w:val="001F60"/>
          <w:spacing w:val="-5"/>
        </w:rPr>
        <w:t xml:space="preserve"> </w:t>
      </w:r>
      <w:r>
        <w:rPr>
          <w:rFonts w:ascii="Calibri" w:hAnsi="Calibri"/>
          <w:color w:val="001F60"/>
        </w:rPr>
        <w:t>pessoal</w:t>
      </w:r>
      <w:r>
        <w:rPr>
          <w:rFonts w:ascii="Calibri" w:hAnsi="Calibri"/>
          <w:color w:val="001F60"/>
          <w:spacing w:val="-4"/>
        </w:rPr>
        <w:t xml:space="preserve"> </w:t>
      </w:r>
      <w:r>
        <w:rPr>
          <w:rFonts w:ascii="Calibri" w:hAnsi="Calibri"/>
          <w:color w:val="001F60"/>
        </w:rPr>
        <w:t>em</w:t>
      </w:r>
      <w:r>
        <w:rPr>
          <w:rFonts w:ascii="Calibri" w:hAnsi="Calibri"/>
          <w:color w:val="001F60"/>
          <w:spacing w:val="-6"/>
        </w:rPr>
        <w:t xml:space="preserve"> </w:t>
      </w:r>
      <w:r>
        <w:rPr>
          <w:rFonts w:ascii="Calibri" w:hAnsi="Calibri"/>
          <w:color w:val="001F60"/>
        </w:rPr>
        <w:t>2025</w:t>
      </w:r>
      <w:r>
        <w:rPr>
          <w:rFonts w:ascii="Calibri" w:hAnsi="Calibri"/>
          <w:color w:val="001F60"/>
          <w:spacing w:val="-4"/>
        </w:rPr>
        <w:t xml:space="preserve"> </w:t>
      </w:r>
      <w:r>
        <w:rPr>
          <w:rFonts w:ascii="Calibri" w:hAnsi="Calibri"/>
          <w:color w:val="001F60"/>
        </w:rPr>
        <w:t>por</w:t>
      </w:r>
      <w:r>
        <w:rPr>
          <w:rFonts w:ascii="Calibri" w:hAnsi="Calibri"/>
          <w:color w:val="001F60"/>
          <w:spacing w:val="-6"/>
        </w:rPr>
        <w:t xml:space="preserve"> </w:t>
      </w:r>
      <w:r>
        <w:rPr>
          <w:rFonts w:ascii="Calibri" w:hAnsi="Calibri"/>
          <w:color w:val="001F60"/>
        </w:rPr>
        <w:t>gênero,</w:t>
      </w:r>
      <w:r>
        <w:rPr>
          <w:rFonts w:ascii="Calibri" w:hAnsi="Calibri"/>
          <w:color w:val="001F60"/>
          <w:spacing w:val="-6"/>
        </w:rPr>
        <w:t xml:space="preserve"> </w:t>
      </w:r>
      <w:r>
        <w:rPr>
          <w:rFonts w:ascii="Calibri" w:hAnsi="Calibri"/>
          <w:color w:val="001F60"/>
        </w:rPr>
        <w:t>cor</w:t>
      </w:r>
      <w:r>
        <w:rPr>
          <w:rFonts w:ascii="Calibri" w:hAnsi="Calibri"/>
          <w:color w:val="001F60"/>
          <w:spacing w:val="-4"/>
        </w:rPr>
        <w:t xml:space="preserve"> </w:t>
      </w:r>
      <w:r>
        <w:rPr>
          <w:rFonts w:ascii="Calibri" w:hAnsi="Calibri"/>
          <w:color w:val="001F60"/>
        </w:rPr>
        <w:t>declarada</w:t>
      </w:r>
      <w:r>
        <w:rPr>
          <w:rFonts w:ascii="Calibri" w:hAnsi="Calibri"/>
          <w:color w:val="001F60"/>
          <w:spacing w:val="-6"/>
        </w:rPr>
        <w:t xml:space="preserve"> </w:t>
      </w:r>
      <w:r>
        <w:rPr>
          <w:rFonts w:ascii="Calibri" w:hAnsi="Calibri"/>
          <w:color w:val="001F60"/>
        </w:rPr>
        <w:t>e</w:t>
      </w:r>
      <w:r>
        <w:rPr>
          <w:rFonts w:ascii="Calibri" w:hAnsi="Calibri"/>
          <w:color w:val="001F60"/>
          <w:spacing w:val="-4"/>
        </w:rPr>
        <w:t xml:space="preserve"> </w:t>
      </w:r>
      <w:r>
        <w:rPr>
          <w:rFonts w:ascii="Calibri" w:hAnsi="Calibri"/>
          <w:color w:val="001F60"/>
        </w:rPr>
        <w:t>gênero no âmbito das lideranças:</w:t>
      </w:r>
    </w:p>
    <w:p w14:paraId="14B903ED" w14:textId="77777777" w:rsidR="002C6574" w:rsidRDefault="002C6574">
      <w:pPr>
        <w:pStyle w:val="Corpodetexto"/>
        <w:spacing w:before="40"/>
        <w:rPr>
          <w:rFonts w:ascii="Calibri"/>
        </w:rPr>
      </w:pPr>
    </w:p>
    <w:p w14:paraId="18D846DC" w14:textId="77777777" w:rsidR="002C6574" w:rsidRDefault="00000000">
      <w:pPr>
        <w:ind w:left="440" w:right="4841"/>
        <w:jc w:val="center"/>
        <w:rPr>
          <w:rFonts w:ascii="Calibri" w:hAnsi="Calibri"/>
          <w:sz w:val="24"/>
        </w:rPr>
      </w:pPr>
      <w:r>
        <w:rPr>
          <w:rFonts w:ascii="Calibri" w:hAnsi="Calibri"/>
          <w:noProof/>
          <w:sz w:val="24"/>
        </w:rPr>
        <mc:AlternateContent>
          <mc:Choice Requires="wpg">
            <w:drawing>
              <wp:anchor distT="0" distB="0" distL="0" distR="0" simplePos="0" relativeHeight="15742464" behindDoc="0" locked="0" layoutInCell="1" allowOverlap="1" wp14:anchorId="39C93F91" wp14:editId="789866A7">
                <wp:simplePos x="0" y="0"/>
                <wp:positionH relativeFrom="page">
                  <wp:posOffset>1942315</wp:posOffset>
                </wp:positionH>
                <wp:positionV relativeFrom="paragraph">
                  <wp:posOffset>244665</wp:posOffset>
                </wp:positionV>
                <wp:extent cx="970280" cy="97028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0280" cy="970280"/>
                          <a:chOff x="0" y="0"/>
                          <a:chExt cx="970280" cy="970280"/>
                        </a:xfrm>
                      </wpg:grpSpPr>
                      <wps:wsp>
                        <wps:cNvPr id="105" name="Graphic 105"/>
                        <wps:cNvSpPr/>
                        <wps:spPr>
                          <a:xfrm>
                            <a:off x="485416" y="0"/>
                            <a:ext cx="485140" cy="817244"/>
                          </a:xfrm>
                          <a:custGeom>
                            <a:avLst/>
                            <a:gdLst/>
                            <a:ahLst/>
                            <a:cxnLst/>
                            <a:rect l="l" t="t" r="r" b="b"/>
                            <a:pathLst>
                              <a:path w="485140" h="817244">
                                <a:moveTo>
                                  <a:pt x="353567" y="816864"/>
                                </a:moveTo>
                                <a:lnTo>
                                  <a:pt x="0" y="484632"/>
                                </a:lnTo>
                                <a:lnTo>
                                  <a:pt x="0" y="0"/>
                                </a:lnTo>
                                <a:lnTo>
                                  <a:pt x="46762" y="2227"/>
                                </a:lnTo>
                                <a:lnTo>
                                  <a:pt x="92247" y="8773"/>
                                </a:lnTo>
                                <a:lnTo>
                                  <a:pt x="136255" y="19430"/>
                                </a:lnTo>
                                <a:lnTo>
                                  <a:pt x="178584" y="33992"/>
                                </a:lnTo>
                                <a:lnTo>
                                  <a:pt x="219033" y="52252"/>
                                </a:lnTo>
                                <a:lnTo>
                                  <a:pt x="257401" y="74004"/>
                                </a:lnTo>
                                <a:lnTo>
                                  <a:pt x="293488" y="99041"/>
                                </a:lnTo>
                                <a:lnTo>
                                  <a:pt x="327092" y="127156"/>
                                </a:lnTo>
                                <a:lnTo>
                                  <a:pt x="358011" y="158142"/>
                                </a:lnTo>
                                <a:lnTo>
                                  <a:pt x="386046" y="191795"/>
                                </a:lnTo>
                                <a:lnTo>
                                  <a:pt x="410996" y="227905"/>
                                </a:lnTo>
                                <a:lnTo>
                                  <a:pt x="432658" y="266268"/>
                                </a:lnTo>
                                <a:lnTo>
                                  <a:pt x="450832" y="306676"/>
                                </a:lnTo>
                                <a:lnTo>
                                  <a:pt x="465318" y="348923"/>
                                </a:lnTo>
                                <a:lnTo>
                                  <a:pt x="475914" y="392803"/>
                                </a:lnTo>
                                <a:lnTo>
                                  <a:pt x="482419" y="438107"/>
                                </a:lnTo>
                                <a:lnTo>
                                  <a:pt x="484632" y="484632"/>
                                </a:lnTo>
                                <a:lnTo>
                                  <a:pt x="481770" y="537185"/>
                                </a:lnTo>
                                <a:lnTo>
                                  <a:pt x="473310" y="588752"/>
                                </a:lnTo>
                                <a:lnTo>
                                  <a:pt x="459439" y="638907"/>
                                </a:lnTo>
                                <a:lnTo>
                                  <a:pt x="440342" y="687221"/>
                                </a:lnTo>
                                <a:lnTo>
                                  <a:pt x="416207" y="733270"/>
                                </a:lnTo>
                                <a:lnTo>
                                  <a:pt x="387220" y="776626"/>
                                </a:lnTo>
                                <a:lnTo>
                                  <a:pt x="353567" y="816864"/>
                                </a:lnTo>
                                <a:close/>
                              </a:path>
                            </a:pathLst>
                          </a:custGeom>
                          <a:solidFill>
                            <a:srgbClr val="CFBC36"/>
                          </a:solidFill>
                        </wps:spPr>
                        <wps:bodyPr wrap="square" lIns="0" tIns="0" rIns="0" bIns="0" rtlCol="0">
                          <a:prstTxWarp prst="textNoShape">
                            <a:avLst/>
                          </a:prstTxWarp>
                          <a:noAutofit/>
                        </wps:bodyPr>
                      </wps:wsp>
                      <wps:wsp>
                        <wps:cNvPr id="106" name="Graphic 106"/>
                        <wps:cNvSpPr/>
                        <wps:spPr>
                          <a:xfrm>
                            <a:off x="0" y="0"/>
                            <a:ext cx="839469" cy="970280"/>
                          </a:xfrm>
                          <a:custGeom>
                            <a:avLst/>
                            <a:gdLst/>
                            <a:ahLst/>
                            <a:cxnLst/>
                            <a:rect l="l" t="t" r="r" b="b"/>
                            <a:pathLst>
                              <a:path w="839469" h="970280">
                                <a:moveTo>
                                  <a:pt x="478192" y="970048"/>
                                </a:moveTo>
                                <a:lnTo>
                                  <a:pt x="434465" y="967514"/>
                                </a:lnTo>
                                <a:lnTo>
                                  <a:pt x="391055" y="961021"/>
                                </a:lnTo>
                                <a:lnTo>
                                  <a:pt x="348246" y="950556"/>
                                </a:lnTo>
                                <a:lnTo>
                                  <a:pt x="306323" y="936107"/>
                                </a:lnTo>
                                <a:lnTo>
                                  <a:pt x="265570" y="917659"/>
                                </a:lnTo>
                                <a:lnTo>
                                  <a:pt x="226273" y="895201"/>
                                </a:lnTo>
                                <a:lnTo>
                                  <a:pt x="188716" y="868719"/>
                                </a:lnTo>
                                <a:lnTo>
                                  <a:pt x="153184" y="838200"/>
                                </a:lnTo>
                                <a:lnTo>
                                  <a:pt x="120676" y="804693"/>
                                </a:lnTo>
                                <a:lnTo>
                                  <a:pt x="92010" y="768910"/>
                                </a:lnTo>
                                <a:lnTo>
                                  <a:pt x="67198" y="731138"/>
                                </a:lnTo>
                                <a:lnTo>
                                  <a:pt x="46253" y="691662"/>
                                </a:lnTo>
                                <a:lnTo>
                                  <a:pt x="29189" y="650770"/>
                                </a:lnTo>
                                <a:lnTo>
                                  <a:pt x="16019" y="608749"/>
                                </a:lnTo>
                                <a:lnTo>
                                  <a:pt x="6755" y="565884"/>
                                </a:lnTo>
                                <a:lnTo>
                                  <a:pt x="1411" y="522463"/>
                                </a:lnTo>
                                <a:lnTo>
                                  <a:pt x="0" y="478772"/>
                                </a:lnTo>
                                <a:lnTo>
                                  <a:pt x="2534" y="435098"/>
                                </a:lnTo>
                                <a:lnTo>
                                  <a:pt x="9027" y="391727"/>
                                </a:lnTo>
                                <a:lnTo>
                                  <a:pt x="19492" y="348946"/>
                                </a:lnTo>
                                <a:lnTo>
                                  <a:pt x="33941" y="307042"/>
                                </a:lnTo>
                                <a:lnTo>
                                  <a:pt x="52389" y="266301"/>
                                </a:lnTo>
                                <a:lnTo>
                                  <a:pt x="74847" y="227010"/>
                                </a:lnTo>
                                <a:lnTo>
                                  <a:pt x="101329" y="189455"/>
                                </a:lnTo>
                                <a:lnTo>
                                  <a:pt x="131848" y="153924"/>
                                </a:lnTo>
                                <a:lnTo>
                                  <a:pt x="167793" y="119306"/>
                                </a:lnTo>
                                <a:lnTo>
                                  <a:pt x="206810" y="88725"/>
                                </a:lnTo>
                                <a:lnTo>
                                  <a:pt x="248541" y="62359"/>
                                </a:lnTo>
                                <a:lnTo>
                                  <a:pt x="292630" y="40386"/>
                                </a:lnTo>
                                <a:lnTo>
                                  <a:pt x="338719" y="22985"/>
                                </a:lnTo>
                                <a:lnTo>
                                  <a:pt x="386452" y="10334"/>
                                </a:lnTo>
                                <a:lnTo>
                                  <a:pt x="435470" y="2613"/>
                                </a:lnTo>
                                <a:lnTo>
                                  <a:pt x="485416" y="0"/>
                                </a:lnTo>
                                <a:lnTo>
                                  <a:pt x="485416" y="484632"/>
                                </a:lnTo>
                                <a:lnTo>
                                  <a:pt x="838984" y="816864"/>
                                </a:lnTo>
                                <a:lnTo>
                                  <a:pt x="805224" y="849372"/>
                                </a:lnTo>
                                <a:lnTo>
                                  <a:pt x="769218" y="878038"/>
                                </a:lnTo>
                                <a:lnTo>
                                  <a:pt x="731250" y="902850"/>
                                </a:lnTo>
                                <a:lnTo>
                                  <a:pt x="691605" y="923795"/>
                                </a:lnTo>
                                <a:lnTo>
                                  <a:pt x="650567" y="940859"/>
                                </a:lnTo>
                                <a:lnTo>
                                  <a:pt x="608423" y="954029"/>
                                </a:lnTo>
                                <a:lnTo>
                                  <a:pt x="565455" y="963293"/>
                                </a:lnTo>
                                <a:lnTo>
                                  <a:pt x="521950" y="968637"/>
                                </a:lnTo>
                                <a:lnTo>
                                  <a:pt x="478192" y="970048"/>
                                </a:lnTo>
                                <a:close/>
                              </a:path>
                            </a:pathLst>
                          </a:custGeom>
                          <a:solidFill>
                            <a:srgbClr val="2A5990"/>
                          </a:solidFill>
                        </wps:spPr>
                        <wps:bodyPr wrap="square" lIns="0" tIns="0" rIns="0" bIns="0" rtlCol="0">
                          <a:prstTxWarp prst="textNoShape">
                            <a:avLst/>
                          </a:prstTxWarp>
                          <a:noAutofit/>
                        </wps:bodyPr>
                      </wps:wsp>
                    </wpg:wgp>
                  </a:graphicData>
                </a:graphic>
              </wp:anchor>
            </w:drawing>
          </mc:Choice>
          <mc:Fallback>
            <w:pict>
              <v:group w14:anchorId="69E177D4" id="Group 104" o:spid="_x0000_s1026" style="position:absolute;margin-left:152.95pt;margin-top:19.25pt;width:76.4pt;height:76.4pt;z-index:15742464;mso-wrap-distance-left:0;mso-wrap-distance-right:0;mso-position-horizontal-relative:page" coordsize="9702,9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">
                <v:shape id="Graphic 105" o:spid="_x0000_s1027" style="position:absolute;left:4854;width:4851;height:8172;visibility:visible;mso-wrap-style:square;v-text-anchor:top" coordsize="485140,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" path="m353567,816864l,484632,,,46762,2227,92247,8773r44008,10657l178584,33992r40449,18260l257401,74004r36087,25037l327092,127156r30919,30986l386046,191795r24950,36110l432658,266268r18174,40408l465318,348923r10596,43880l482419,438107r2213,46525l481770,537185r-8460,51567l459439,638907r-19097,48314l416207,733270r-28987,43356l353567,816864xe" fillcolor="#cfbc36" stroked="f">
                  <v:path arrowok="t"/>
                </v:shape>
                <v:shape id="Graphic 106" o:spid="_x0000_s1028" style="position:absolute;width:8394;height:9702;visibility:visible;mso-wrap-style:square;v-text-anchor:top" coordsize="839469,9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" path="m478192,970048r-43727,-2534l391055,961021,348246,950556,306323,936107,265570,917659,226273,895201,188716,868719,153184,838200,120676,804693,92010,768910,67198,731138,46253,691662,29189,650770,16019,608749,6755,565884,1411,522463,,478772,2534,435098,9027,391727,19492,348946,33941,307042,52389,266301,74847,227010r26482,-37555l131848,153924r35945,-34618l206810,88725,248541,62359,292630,40386,338719,22985,386452,10334,435470,2613,485416,r,484632l838984,816864r-33760,32508l769218,878038r-37968,24812l691605,923795r-41038,17064l608423,954029r-42968,9264l521950,968637r-43758,1411xe" fillcolor="#2a5990" stroked="f">
                  <v:path arrowok="t"/>
                </v:shape>
                <w10:wrap anchorx="page"/>
              </v:group>
            </w:pict>
          </mc:Fallback>
        </mc:AlternateContent>
      </w:r>
      <w:r>
        <w:rPr>
          <w:rFonts w:ascii="Calibri" w:hAnsi="Calibri"/>
          <w:noProof/>
          <w:sz w:val="24"/>
        </w:rPr>
        <w:drawing>
          <wp:anchor distT="0" distB="0" distL="0" distR="0" simplePos="0" relativeHeight="15742976" behindDoc="0" locked="0" layoutInCell="1" allowOverlap="1" wp14:anchorId="09A711BA" wp14:editId="695FC630">
            <wp:simplePos x="0" y="0"/>
            <wp:positionH relativeFrom="page">
              <wp:posOffset>3264408</wp:posOffset>
            </wp:positionH>
            <wp:positionV relativeFrom="paragraph">
              <wp:posOffset>-73850</wp:posOffset>
            </wp:positionV>
            <wp:extent cx="2852928" cy="1566671"/>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36" cstate="print"/>
                    <a:stretch>
                      <a:fillRect/>
                    </a:stretch>
                  </pic:blipFill>
                  <pic:spPr>
                    <a:xfrm>
                      <a:off x="0" y="0"/>
                      <a:ext cx="2852928" cy="1566671"/>
                    </a:xfrm>
                    <a:prstGeom prst="rect">
                      <a:avLst/>
                    </a:prstGeom>
                  </pic:spPr>
                </pic:pic>
              </a:graphicData>
            </a:graphic>
          </wp:anchor>
        </w:drawing>
      </w:r>
      <w:r>
        <w:rPr>
          <w:rFonts w:ascii="Calibri" w:hAnsi="Calibri"/>
          <w:color w:val="595959"/>
          <w:sz w:val="24"/>
        </w:rPr>
        <w:t>Gênero</w:t>
      </w:r>
      <w:r>
        <w:rPr>
          <w:rFonts w:ascii="Calibri" w:hAnsi="Calibri"/>
          <w:color w:val="595959"/>
          <w:spacing w:val="-6"/>
          <w:sz w:val="24"/>
        </w:rPr>
        <w:t xml:space="preserve"> </w:t>
      </w:r>
      <w:r>
        <w:rPr>
          <w:rFonts w:ascii="Calibri" w:hAnsi="Calibri"/>
          <w:color w:val="595959"/>
          <w:spacing w:val="-4"/>
          <w:sz w:val="24"/>
        </w:rPr>
        <w:t>2025</w:t>
      </w:r>
    </w:p>
    <w:p w14:paraId="3C231C65" w14:textId="77777777" w:rsidR="002C6574" w:rsidRDefault="002C6574">
      <w:pPr>
        <w:pStyle w:val="Corpodetexto"/>
        <w:spacing w:before="76"/>
        <w:rPr>
          <w:rFonts w:ascii="Calibri"/>
          <w:sz w:val="24"/>
        </w:rPr>
      </w:pPr>
    </w:p>
    <w:p w14:paraId="2A052A8E" w14:textId="77777777" w:rsidR="002C6574" w:rsidRDefault="00000000">
      <w:pPr>
        <w:ind w:left="-1" w:right="2491"/>
        <w:jc w:val="center"/>
        <w:rPr>
          <w:rFonts w:ascii="Calibri"/>
          <w:sz w:val="18"/>
        </w:rPr>
      </w:pPr>
      <w:r>
        <w:rPr>
          <w:rFonts w:ascii="Calibri"/>
          <w:color w:val="3F3F3F"/>
          <w:spacing w:val="-5"/>
          <w:sz w:val="18"/>
        </w:rPr>
        <w:t>37%</w:t>
      </w:r>
    </w:p>
    <w:p w14:paraId="233E5797" w14:textId="77777777" w:rsidR="002C6574" w:rsidRDefault="002C6574">
      <w:pPr>
        <w:pStyle w:val="Corpodetexto"/>
        <w:rPr>
          <w:rFonts w:ascii="Calibri"/>
          <w:sz w:val="18"/>
        </w:rPr>
      </w:pPr>
    </w:p>
    <w:p w14:paraId="29B2F2B4" w14:textId="77777777" w:rsidR="002C6574" w:rsidRDefault="002C6574">
      <w:pPr>
        <w:pStyle w:val="Corpodetexto"/>
        <w:spacing w:before="92"/>
        <w:rPr>
          <w:rFonts w:ascii="Calibri"/>
          <w:sz w:val="18"/>
        </w:rPr>
      </w:pPr>
    </w:p>
    <w:p w14:paraId="5115BBBB" w14:textId="77777777" w:rsidR="002C6574" w:rsidRDefault="00000000">
      <w:pPr>
        <w:ind w:left="1717"/>
        <w:rPr>
          <w:rFonts w:ascii="Calibri"/>
          <w:sz w:val="18"/>
        </w:rPr>
      </w:pPr>
      <w:r>
        <w:rPr>
          <w:rFonts w:ascii="Calibri"/>
          <w:color w:val="3F3F3F"/>
          <w:spacing w:val="-5"/>
          <w:sz w:val="18"/>
        </w:rPr>
        <w:t>63%</w:t>
      </w:r>
    </w:p>
    <w:p w14:paraId="49CFD4B1" w14:textId="77777777" w:rsidR="002C6574" w:rsidRDefault="002C6574">
      <w:pPr>
        <w:pStyle w:val="Corpodetexto"/>
        <w:spacing w:before="153"/>
        <w:rPr>
          <w:rFonts w:ascii="Calibri"/>
          <w:sz w:val="18"/>
        </w:rPr>
      </w:pPr>
    </w:p>
    <w:p w14:paraId="451F6963" w14:textId="77777777" w:rsidR="002C6574" w:rsidRDefault="00000000">
      <w:pPr>
        <w:spacing w:before="1"/>
        <w:ind w:left="440" w:right="4777"/>
        <w:jc w:val="center"/>
        <w:rPr>
          <w:rFonts w:ascii="Calibri"/>
          <w:sz w:val="16"/>
        </w:rPr>
      </w:pPr>
      <w:r>
        <w:rPr>
          <w:noProof/>
        </w:rPr>
        <w:drawing>
          <wp:inline distT="0" distB="0" distL="0" distR="0" wp14:anchorId="1A43136E" wp14:editId="1A4D1D55">
            <wp:extent cx="56387" cy="54863"/>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37" cstate="print"/>
                    <a:stretch>
                      <a:fillRect/>
                    </a:stretch>
                  </pic:blipFill>
                  <pic:spPr>
                    <a:xfrm>
                      <a:off x="0" y="0"/>
                      <a:ext cx="56387" cy="54863"/>
                    </a:xfrm>
                    <a:prstGeom prst="rect">
                      <a:avLst/>
                    </a:prstGeom>
                  </pic:spPr>
                </pic:pic>
              </a:graphicData>
            </a:graphic>
          </wp:inline>
        </w:drawing>
      </w:r>
      <w:r>
        <w:rPr>
          <w:rFonts w:ascii="Times New Roman"/>
          <w:spacing w:val="-14"/>
          <w:sz w:val="20"/>
        </w:rPr>
        <w:t xml:space="preserve"> </w:t>
      </w:r>
      <w:r>
        <w:rPr>
          <w:rFonts w:ascii="Calibri"/>
          <w:color w:val="595959"/>
          <w:sz w:val="16"/>
        </w:rPr>
        <w:t>FEMININO</w:t>
      </w:r>
      <w:r>
        <w:rPr>
          <w:rFonts w:ascii="Calibri"/>
          <w:color w:val="595959"/>
          <w:spacing w:val="47"/>
          <w:sz w:val="16"/>
        </w:rPr>
        <w:t xml:space="preserve">  </w:t>
      </w:r>
      <w:r>
        <w:rPr>
          <w:rFonts w:ascii="Calibri"/>
          <w:noProof/>
          <w:color w:val="595959"/>
          <w:spacing w:val="-7"/>
          <w:sz w:val="16"/>
        </w:rPr>
        <w:drawing>
          <wp:inline distT="0" distB="0" distL="0" distR="0" wp14:anchorId="1B6B0C77" wp14:editId="74C9E8C0">
            <wp:extent cx="54864" cy="54863"/>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8" cstate="print"/>
                    <a:stretch>
                      <a:fillRect/>
                    </a:stretch>
                  </pic:blipFill>
                  <pic:spPr>
                    <a:xfrm>
                      <a:off x="0" y="0"/>
                      <a:ext cx="54864" cy="54863"/>
                    </a:xfrm>
                    <a:prstGeom prst="rect">
                      <a:avLst/>
                    </a:prstGeom>
                  </pic:spPr>
                </pic:pic>
              </a:graphicData>
            </a:graphic>
          </wp:inline>
        </w:drawing>
      </w:r>
      <w:r>
        <w:rPr>
          <w:rFonts w:ascii="Times New Roman"/>
          <w:color w:val="595959"/>
          <w:spacing w:val="3"/>
          <w:sz w:val="16"/>
        </w:rPr>
        <w:t xml:space="preserve"> </w:t>
      </w:r>
      <w:r>
        <w:rPr>
          <w:rFonts w:ascii="Calibri"/>
          <w:color w:val="595959"/>
          <w:sz w:val="16"/>
        </w:rPr>
        <w:t>MASCULINO</w:t>
      </w:r>
    </w:p>
    <w:p w14:paraId="611AC1B2" w14:textId="77777777" w:rsidR="002C6574" w:rsidRDefault="002C6574">
      <w:pPr>
        <w:pStyle w:val="Corpodetexto"/>
        <w:spacing w:before="163"/>
        <w:rPr>
          <w:rFonts w:ascii="Calibri"/>
          <w:sz w:val="16"/>
        </w:rPr>
      </w:pPr>
    </w:p>
    <w:p w14:paraId="5A85B57C" w14:textId="77777777" w:rsidR="002C6574" w:rsidRDefault="00000000">
      <w:pPr>
        <w:ind w:left="1760"/>
        <w:rPr>
          <w:rFonts w:ascii="Calibri" w:hAnsi="Calibri"/>
          <w:sz w:val="16"/>
        </w:rPr>
      </w:pPr>
      <w:r>
        <w:rPr>
          <w:rFonts w:ascii="Calibri" w:hAnsi="Calibri"/>
          <w:color w:val="001F60"/>
          <w:sz w:val="16"/>
        </w:rPr>
        <w:t>Gráfico</w:t>
      </w:r>
      <w:r>
        <w:rPr>
          <w:rFonts w:ascii="Calibri" w:hAnsi="Calibri"/>
          <w:color w:val="001F60"/>
          <w:spacing w:val="-6"/>
          <w:sz w:val="16"/>
        </w:rPr>
        <w:t xml:space="preserve"> </w:t>
      </w:r>
      <w:r>
        <w:rPr>
          <w:rFonts w:ascii="Calibri" w:hAnsi="Calibri"/>
          <w:color w:val="001F60"/>
          <w:sz w:val="16"/>
        </w:rPr>
        <w:t>8-1</w:t>
      </w:r>
      <w:r>
        <w:rPr>
          <w:rFonts w:ascii="Calibri" w:hAnsi="Calibri"/>
          <w:color w:val="001F60"/>
          <w:spacing w:val="-3"/>
          <w:sz w:val="16"/>
        </w:rPr>
        <w:t xml:space="preserve"> </w:t>
      </w:r>
      <w:r>
        <w:rPr>
          <w:rFonts w:ascii="Calibri" w:hAnsi="Calibri"/>
          <w:color w:val="001F60"/>
          <w:sz w:val="16"/>
        </w:rPr>
        <w:t>Painel</w:t>
      </w:r>
      <w:r>
        <w:rPr>
          <w:rFonts w:ascii="Calibri" w:hAnsi="Calibri"/>
          <w:color w:val="001F60"/>
          <w:spacing w:val="-3"/>
          <w:sz w:val="16"/>
        </w:rPr>
        <w:t xml:space="preserve"> </w:t>
      </w:r>
      <w:r>
        <w:rPr>
          <w:rFonts w:ascii="Calibri" w:hAnsi="Calibri"/>
          <w:color w:val="001F60"/>
          <w:sz w:val="16"/>
        </w:rPr>
        <w:t>do</w:t>
      </w:r>
      <w:r>
        <w:rPr>
          <w:rFonts w:ascii="Calibri" w:hAnsi="Calibri"/>
          <w:color w:val="001F60"/>
          <w:spacing w:val="-2"/>
          <w:sz w:val="16"/>
        </w:rPr>
        <w:t xml:space="preserve"> </w:t>
      </w:r>
      <w:r>
        <w:rPr>
          <w:rFonts w:ascii="Calibri" w:hAnsi="Calibri"/>
          <w:color w:val="001F60"/>
          <w:sz w:val="16"/>
        </w:rPr>
        <w:t>quadro</w:t>
      </w:r>
      <w:r>
        <w:rPr>
          <w:rFonts w:ascii="Calibri" w:hAnsi="Calibri"/>
          <w:color w:val="001F60"/>
          <w:spacing w:val="-3"/>
          <w:sz w:val="16"/>
        </w:rPr>
        <w:t xml:space="preserve"> </w:t>
      </w:r>
      <w:r>
        <w:rPr>
          <w:rFonts w:ascii="Calibri" w:hAnsi="Calibri"/>
          <w:color w:val="001F60"/>
          <w:sz w:val="16"/>
        </w:rPr>
        <w:t>de</w:t>
      </w:r>
      <w:r>
        <w:rPr>
          <w:rFonts w:ascii="Calibri" w:hAnsi="Calibri"/>
          <w:color w:val="001F60"/>
          <w:spacing w:val="-4"/>
          <w:sz w:val="16"/>
        </w:rPr>
        <w:t xml:space="preserve"> </w:t>
      </w:r>
      <w:r>
        <w:rPr>
          <w:rFonts w:ascii="Calibri" w:hAnsi="Calibri"/>
          <w:color w:val="001F60"/>
          <w:sz w:val="16"/>
        </w:rPr>
        <w:t>pessoal</w:t>
      </w:r>
      <w:r>
        <w:rPr>
          <w:rFonts w:ascii="Calibri" w:hAnsi="Calibri"/>
          <w:color w:val="001F60"/>
          <w:spacing w:val="-3"/>
          <w:sz w:val="16"/>
        </w:rPr>
        <w:t xml:space="preserve"> </w:t>
      </w:r>
      <w:r>
        <w:rPr>
          <w:rFonts w:ascii="Calibri" w:hAnsi="Calibri"/>
          <w:color w:val="001F60"/>
          <w:sz w:val="16"/>
        </w:rPr>
        <w:t>2024,</w:t>
      </w:r>
      <w:r>
        <w:rPr>
          <w:rFonts w:ascii="Calibri" w:hAnsi="Calibri"/>
          <w:color w:val="001F60"/>
          <w:spacing w:val="-2"/>
          <w:sz w:val="16"/>
        </w:rPr>
        <w:t xml:space="preserve"> </w:t>
      </w:r>
      <w:r>
        <w:rPr>
          <w:rFonts w:ascii="Calibri" w:hAnsi="Calibri"/>
          <w:color w:val="001F60"/>
          <w:sz w:val="16"/>
        </w:rPr>
        <w:t>por</w:t>
      </w:r>
      <w:r>
        <w:rPr>
          <w:rFonts w:ascii="Calibri" w:hAnsi="Calibri"/>
          <w:color w:val="001F60"/>
          <w:spacing w:val="-5"/>
          <w:sz w:val="16"/>
        </w:rPr>
        <w:t xml:space="preserve"> </w:t>
      </w:r>
      <w:r>
        <w:rPr>
          <w:rFonts w:ascii="Calibri" w:hAnsi="Calibri"/>
          <w:color w:val="001F60"/>
          <w:sz w:val="16"/>
        </w:rPr>
        <w:t>gênero,</w:t>
      </w:r>
      <w:r>
        <w:rPr>
          <w:rFonts w:ascii="Calibri" w:hAnsi="Calibri"/>
          <w:color w:val="001F60"/>
          <w:spacing w:val="-2"/>
          <w:sz w:val="16"/>
        </w:rPr>
        <w:t xml:space="preserve"> </w:t>
      </w:r>
      <w:r>
        <w:rPr>
          <w:rFonts w:ascii="Calibri" w:hAnsi="Calibri"/>
          <w:color w:val="001F60"/>
          <w:sz w:val="16"/>
        </w:rPr>
        <w:t>cor</w:t>
      </w:r>
      <w:r>
        <w:rPr>
          <w:rFonts w:ascii="Calibri" w:hAnsi="Calibri"/>
          <w:color w:val="001F60"/>
          <w:spacing w:val="-4"/>
          <w:sz w:val="16"/>
        </w:rPr>
        <w:t xml:space="preserve"> </w:t>
      </w:r>
      <w:r>
        <w:rPr>
          <w:rFonts w:ascii="Calibri" w:hAnsi="Calibri"/>
          <w:color w:val="001F60"/>
          <w:sz w:val="16"/>
        </w:rPr>
        <w:t>declarada</w:t>
      </w:r>
      <w:r>
        <w:rPr>
          <w:rFonts w:ascii="Calibri" w:hAnsi="Calibri"/>
          <w:color w:val="001F60"/>
          <w:spacing w:val="-2"/>
          <w:sz w:val="16"/>
        </w:rPr>
        <w:t xml:space="preserve"> </w:t>
      </w:r>
      <w:r>
        <w:rPr>
          <w:rFonts w:ascii="Calibri" w:hAnsi="Calibri"/>
          <w:color w:val="001F60"/>
          <w:sz w:val="16"/>
        </w:rPr>
        <w:t>e</w:t>
      </w:r>
      <w:r>
        <w:rPr>
          <w:rFonts w:ascii="Calibri" w:hAnsi="Calibri"/>
          <w:color w:val="001F60"/>
          <w:spacing w:val="-1"/>
          <w:sz w:val="16"/>
        </w:rPr>
        <w:t xml:space="preserve"> </w:t>
      </w:r>
      <w:r>
        <w:rPr>
          <w:rFonts w:ascii="Calibri" w:hAnsi="Calibri"/>
          <w:color w:val="001F60"/>
          <w:sz w:val="16"/>
        </w:rPr>
        <w:t>gênero</w:t>
      </w:r>
      <w:r>
        <w:rPr>
          <w:rFonts w:ascii="Calibri" w:hAnsi="Calibri"/>
          <w:color w:val="001F60"/>
          <w:spacing w:val="-3"/>
          <w:sz w:val="16"/>
        </w:rPr>
        <w:t xml:space="preserve"> </w:t>
      </w:r>
      <w:r>
        <w:rPr>
          <w:rFonts w:ascii="Calibri" w:hAnsi="Calibri"/>
          <w:color w:val="001F60"/>
          <w:sz w:val="16"/>
        </w:rPr>
        <w:t>no</w:t>
      </w:r>
      <w:r>
        <w:rPr>
          <w:rFonts w:ascii="Calibri" w:hAnsi="Calibri"/>
          <w:color w:val="001F60"/>
          <w:spacing w:val="-3"/>
          <w:sz w:val="16"/>
        </w:rPr>
        <w:t xml:space="preserve"> </w:t>
      </w:r>
      <w:r>
        <w:rPr>
          <w:rFonts w:ascii="Calibri" w:hAnsi="Calibri"/>
          <w:color w:val="001F60"/>
          <w:sz w:val="16"/>
        </w:rPr>
        <w:t>âmbito</w:t>
      </w:r>
      <w:r>
        <w:rPr>
          <w:rFonts w:ascii="Calibri" w:hAnsi="Calibri"/>
          <w:color w:val="001F60"/>
          <w:spacing w:val="-5"/>
          <w:sz w:val="16"/>
        </w:rPr>
        <w:t xml:space="preserve"> </w:t>
      </w:r>
      <w:r>
        <w:rPr>
          <w:rFonts w:ascii="Calibri" w:hAnsi="Calibri"/>
          <w:color w:val="001F60"/>
          <w:sz w:val="16"/>
        </w:rPr>
        <w:t>das</w:t>
      </w:r>
      <w:r>
        <w:rPr>
          <w:rFonts w:ascii="Calibri" w:hAnsi="Calibri"/>
          <w:color w:val="001F60"/>
          <w:spacing w:val="-2"/>
          <w:sz w:val="16"/>
        </w:rPr>
        <w:t xml:space="preserve"> lideranças</w:t>
      </w:r>
    </w:p>
    <w:p w14:paraId="56903E7F" w14:textId="77777777" w:rsidR="002C6574" w:rsidRDefault="00000000">
      <w:pPr>
        <w:pStyle w:val="Corpodetexto"/>
        <w:spacing w:before="120"/>
        <w:ind w:left="709" w:right="278"/>
        <w:jc w:val="both"/>
        <w:rPr>
          <w:rFonts w:ascii="Calibri" w:hAnsi="Calibri"/>
        </w:rPr>
      </w:pPr>
      <w:r>
        <w:rPr>
          <w:rFonts w:ascii="Calibri" w:hAnsi="Calibri"/>
          <w:color w:val="001F60"/>
        </w:rPr>
        <w:t>As tabelas abaixo apresentam o comparativo anual do quadro de pessoal por gênero, por posição na empresa. Liderança se refere aos cargos de gerente, chefe de gabinete, diretores e presidente. Com Cargo se refere aos cargos de assessoria e coordenadoria.</w:t>
      </w:r>
    </w:p>
    <w:p w14:paraId="76BA6FEA" w14:textId="77777777" w:rsidR="002C6574" w:rsidRDefault="002C6574">
      <w:pPr>
        <w:pStyle w:val="Corpodetexto"/>
        <w:jc w:val="both"/>
        <w:rPr>
          <w:rFonts w:ascii="Calibri" w:hAnsi="Calibri"/>
        </w:rPr>
        <w:sectPr w:rsidR="002C6574">
          <w:pgSz w:w="11910" w:h="16840"/>
          <w:pgMar w:top="1100" w:right="850" w:bottom="1060" w:left="992" w:header="288" w:footer="863" w:gutter="0"/>
          <w:cols w:space="720"/>
        </w:sectPr>
      </w:pPr>
    </w:p>
    <w:p w14:paraId="696465C8" w14:textId="77777777" w:rsidR="002C6574" w:rsidRDefault="002C6574">
      <w:pPr>
        <w:pStyle w:val="Corpodetexto"/>
        <w:rPr>
          <w:rFonts w:ascii="Calibri"/>
          <w:sz w:val="20"/>
        </w:rPr>
      </w:pPr>
    </w:p>
    <w:p w14:paraId="4BA19A93" w14:textId="77777777" w:rsidR="002C6574" w:rsidRDefault="002C6574">
      <w:pPr>
        <w:pStyle w:val="Corpodetexto"/>
        <w:spacing w:before="109"/>
        <w:rPr>
          <w:rFonts w:ascii="Calibri"/>
          <w:sz w:val="20"/>
        </w:rPr>
      </w:pPr>
    </w:p>
    <w:tbl>
      <w:tblPr>
        <w:tblStyle w:val="TableNormal"/>
        <w:tblW w:w="0" w:type="auto"/>
        <w:tblInd w:w="1132" w:type="dxa"/>
        <w:tblLayout w:type="fixed"/>
        <w:tblLook w:val="01E0" w:firstRow="1" w:lastRow="1" w:firstColumn="1" w:lastColumn="1" w:noHBand="0" w:noVBand="0"/>
      </w:tblPr>
      <w:tblGrid>
        <w:gridCol w:w="1754"/>
        <w:gridCol w:w="1456"/>
        <w:gridCol w:w="675"/>
        <w:gridCol w:w="461"/>
        <w:gridCol w:w="563"/>
        <w:gridCol w:w="383"/>
        <w:gridCol w:w="1579"/>
        <w:gridCol w:w="1369"/>
      </w:tblGrid>
      <w:tr w:rsidR="002C6574" w14:paraId="39CE9485" w14:textId="77777777">
        <w:trPr>
          <w:trHeight w:val="313"/>
        </w:trPr>
        <w:tc>
          <w:tcPr>
            <w:tcW w:w="1754" w:type="dxa"/>
            <w:tcBorders>
              <w:top w:val="single" w:sz="8" w:space="0" w:color="95B3D6"/>
              <w:bottom w:val="single" w:sz="8" w:space="0" w:color="95B3D6"/>
            </w:tcBorders>
            <w:shd w:val="clear" w:color="auto" w:fill="DBE6F0"/>
          </w:tcPr>
          <w:p w14:paraId="11B3C8FB" w14:textId="77777777" w:rsidR="002C6574" w:rsidRDefault="00000000">
            <w:pPr>
              <w:pStyle w:val="TableParagraph"/>
              <w:spacing w:before="58"/>
              <w:ind w:left="5" w:right="76"/>
              <w:jc w:val="center"/>
              <w:rPr>
                <w:rFonts w:ascii="Calibri" w:hAnsi="Calibri"/>
                <w:b/>
                <w:sz w:val="16"/>
              </w:rPr>
            </w:pPr>
            <w:r>
              <w:rPr>
                <w:rFonts w:ascii="Calibri" w:hAnsi="Calibri"/>
                <w:b/>
                <w:color w:val="233F62"/>
                <w:spacing w:val="-2"/>
                <w:sz w:val="16"/>
              </w:rPr>
              <w:t>Posição</w:t>
            </w:r>
          </w:p>
        </w:tc>
        <w:tc>
          <w:tcPr>
            <w:tcW w:w="1456" w:type="dxa"/>
            <w:tcBorders>
              <w:top w:val="single" w:sz="8" w:space="0" w:color="95B3D6"/>
              <w:bottom w:val="single" w:sz="8" w:space="0" w:color="95B3D6"/>
            </w:tcBorders>
            <w:shd w:val="clear" w:color="auto" w:fill="DBE6F0"/>
          </w:tcPr>
          <w:p w14:paraId="3931F4EA" w14:textId="77777777" w:rsidR="002C6574" w:rsidRDefault="00000000">
            <w:pPr>
              <w:pStyle w:val="TableParagraph"/>
              <w:spacing w:before="58"/>
              <w:ind w:left="1" w:right="43"/>
              <w:jc w:val="center"/>
              <w:rPr>
                <w:rFonts w:ascii="Calibri" w:hAnsi="Calibri"/>
                <w:b/>
                <w:sz w:val="16"/>
              </w:rPr>
            </w:pPr>
            <w:r>
              <w:rPr>
                <w:rFonts w:ascii="Calibri" w:hAnsi="Calibri"/>
                <w:b/>
                <w:color w:val="233F62"/>
                <w:spacing w:val="-2"/>
                <w:sz w:val="16"/>
              </w:rPr>
              <w:t>Gênero</w:t>
            </w:r>
          </w:p>
        </w:tc>
        <w:tc>
          <w:tcPr>
            <w:tcW w:w="675" w:type="dxa"/>
            <w:tcBorders>
              <w:top w:val="single" w:sz="8" w:space="0" w:color="95B3D6"/>
              <w:bottom w:val="single" w:sz="8" w:space="0" w:color="95B3D6"/>
            </w:tcBorders>
            <w:shd w:val="clear" w:color="auto" w:fill="DBE6F0"/>
          </w:tcPr>
          <w:p w14:paraId="4C8D8388" w14:textId="77777777" w:rsidR="002C6574" w:rsidRDefault="00000000">
            <w:pPr>
              <w:pStyle w:val="TableParagraph"/>
              <w:spacing w:before="58"/>
              <w:ind w:left="346"/>
              <w:jc w:val="left"/>
              <w:rPr>
                <w:rFonts w:ascii="Calibri"/>
                <w:b/>
                <w:sz w:val="16"/>
              </w:rPr>
            </w:pPr>
            <w:r>
              <w:rPr>
                <w:rFonts w:ascii="Calibri"/>
                <w:b/>
                <w:color w:val="233F62"/>
                <w:spacing w:val="-4"/>
                <w:sz w:val="16"/>
              </w:rPr>
              <w:t>2024</w:t>
            </w:r>
          </w:p>
        </w:tc>
        <w:tc>
          <w:tcPr>
            <w:tcW w:w="461" w:type="dxa"/>
            <w:tcBorders>
              <w:top w:val="single" w:sz="8" w:space="0" w:color="95B3D6"/>
              <w:bottom w:val="single" w:sz="8" w:space="0" w:color="95B3D6"/>
            </w:tcBorders>
            <w:shd w:val="clear" w:color="auto" w:fill="DBE6F0"/>
          </w:tcPr>
          <w:p w14:paraId="6BFBE008" w14:textId="77777777" w:rsidR="002C6574" w:rsidRDefault="002C6574">
            <w:pPr>
              <w:pStyle w:val="TableParagraph"/>
              <w:jc w:val="left"/>
              <w:rPr>
                <w:rFonts w:ascii="Times New Roman"/>
                <w:sz w:val="18"/>
              </w:rPr>
            </w:pPr>
          </w:p>
        </w:tc>
        <w:tc>
          <w:tcPr>
            <w:tcW w:w="563" w:type="dxa"/>
            <w:tcBorders>
              <w:top w:val="single" w:sz="8" w:space="0" w:color="95B3D6"/>
              <w:bottom w:val="single" w:sz="8" w:space="0" w:color="95B3D6"/>
            </w:tcBorders>
            <w:shd w:val="clear" w:color="auto" w:fill="DBE6F0"/>
          </w:tcPr>
          <w:p w14:paraId="38CE74C3" w14:textId="77777777" w:rsidR="002C6574" w:rsidRDefault="00000000">
            <w:pPr>
              <w:pStyle w:val="TableParagraph"/>
              <w:spacing w:before="58"/>
              <w:ind w:left="213"/>
              <w:jc w:val="left"/>
              <w:rPr>
                <w:rFonts w:ascii="Calibri"/>
                <w:b/>
                <w:sz w:val="16"/>
              </w:rPr>
            </w:pPr>
            <w:r>
              <w:rPr>
                <w:rFonts w:ascii="Calibri"/>
                <w:b/>
                <w:color w:val="233F62"/>
                <w:spacing w:val="-4"/>
                <w:sz w:val="16"/>
              </w:rPr>
              <w:t>2025</w:t>
            </w:r>
          </w:p>
        </w:tc>
        <w:tc>
          <w:tcPr>
            <w:tcW w:w="383" w:type="dxa"/>
            <w:tcBorders>
              <w:top w:val="single" w:sz="8" w:space="0" w:color="95B3D6"/>
              <w:bottom w:val="single" w:sz="8" w:space="0" w:color="95B3D6"/>
            </w:tcBorders>
            <w:shd w:val="clear" w:color="auto" w:fill="DBE6F0"/>
          </w:tcPr>
          <w:p w14:paraId="63623F5E" w14:textId="77777777" w:rsidR="002C6574" w:rsidRDefault="002C6574">
            <w:pPr>
              <w:pStyle w:val="TableParagraph"/>
              <w:jc w:val="left"/>
              <w:rPr>
                <w:rFonts w:ascii="Times New Roman"/>
                <w:sz w:val="18"/>
              </w:rPr>
            </w:pPr>
          </w:p>
        </w:tc>
        <w:tc>
          <w:tcPr>
            <w:tcW w:w="1579" w:type="dxa"/>
            <w:tcBorders>
              <w:top w:val="single" w:sz="8" w:space="0" w:color="95B3D6"/>
              <w:bottom w:val="single" w:sz="8" w:space="0" w:color="95B3D6"/>
            </w:tcBorders>
            <w:shd w:val="clear" w:color="auto" w:fill="DBE6F0"/>
          </w:tcPr>
          <w:p w14:paraId="4B25F3E1" w14:textId="77777777" w:rsidR="002C6574" w:rsidRDefault="00000000">
            <w:pPr>
              <w:pStyle w:val="TableParagraph"/>
              <w:spacing w:before="58"/>
              <w:ind w:left="115"/>
              <w:jc w:val="left"/>
              <w:rPr>
                <w:rFonts w:ascii="Calibri" w:hAnsi="Calibri"/>
                <w:b/>
                <w:sz w:val="16"/>
              </w:rPr>
            </w:pPr>
            <w:r>
              <w:rPr>
                <w:rFonts w:ascii="Calibri" w:hAnsi="Calibri"/>
                <w:b/>
                <w:color w:val="233F62"/>
                <w:sz w:val="16"/>
              </w:rPr>
              <w:t>Δ</w:t>
            </w:r>
            <w:r>
              <w:rPr>
                <w:rFonts w:ascii="Calibri" w:hAnsi="Calibri"/>
                <w:b/>
                <w:color w:val="233F62"/>
                <w:spacing w:val="-4"/>
                <w:sz w:val="16"/>
              </w:rPr>
              <w:t xml:space="preserve"> </w:t>
            </w:r>
            <w:r>
              <w:rPr>
                <w:rFonts w:ascii="Calibri" w:hAnsi="Calibri"/>
                <w:b/>
                <w:color w:val="233F62"/>
                <w:sz w:val="16"/>
              </w:rPr>
              <w:t>Abs.</w:t>
            </w:r>
            <w:r>
              <w:rPr>
                <w:rFonts w:ascii="Calibri" w:hAnsi="Calibri"/>
                <w:b/>
                <w:color w:val="233F62"/>
                <w:spacing w:val="-4"/>
                <w:sz w:val="16"/>
              </w:rPr>
              <w:t xml:space="preserve"> </w:t>
            </w:r>
            <w:r>
              <w:rPr>
                <w:rFonts w:ascii="Calibri" w:hAnsi="Calibri"/>
                <w:b/>
                <w:color w:val="233F62"/>
                <w:sz w:val="16"/>
              </w:rPr>
              <w:t>(2025-</w:t>
            </w:r>
            <w:r>
              <w:rPr>
                <w:rFonts w:ascii="Calibri" w:hAnsi="Calibri"/>
                <w:b/>
                <w:color w:val="233F62"/>
                <w:spacing w:val="-2"/>
                <w:sz w:val="16"/>
              </w:rPr>
              <w:t>2024)</w:t>
            </w:r>
          </w:p>
        </w:tc>
        <w:tc>
          <w:tcPr>
            <w:tcW w:w="1369" w:type="dxa"/>
            <w:tcBorders>
              <w:top w:val="single" w:sz="8" w:space="0" w:color="95B3D6"/>
              <w:bottom w:val="single" w:sz="8" w:space="0" w:color="95B3D6"/>
            </w:tcBorders>
            <w:shd w:val="clear" w:color="auto" w:fill="DBE6F0"/>
          </w:tcPr>
          <w:p w14:paraId="0A09ECD0" w14:textId="77777777" w:rsidR="002C6574" w:rsidRDefault="00000000">
            <w:pPr>
              <w:pStyle w:val="TableParagraph"/>
              <w:spacing w:before="58"/>
              <w:ind w:left="117"/>
              <w:jc w:val="left"/>
              <w:rPr>
                <w:rFonts w:ascii="Calibri" w:hAnsi="Calibri"/>
                <w:b/>
                <w:sz w:val="16"/>
              </w:rPr>
            </w:pPr>
            <w:r>
              <w:rPr>
                <w:rFonts w:ascii="Calibri" w:hAnsi="Calibri"/>
                <w:b/>
                <w:color w:val="233F62"/>
                <w:sz w:val="16"/>
              </w:rPr>
              <w:t>Δ</w:t>
            </w:r>
            <w:r>
              <w:rPr>
                <w:rFonts w:ascii="Calibri" w:hAnsi="Calibri"/>
                <w:b/>
                <w:color w:val="233F62"/>
                <w:spacing w:val="-3"/>
                <w:sz w:val="16"/>
              </w:rPr>
              <w:t xml:space="preserve"> </w:t>
            </w:r>
            <w:r>
              <w:rPr>
                <w:rFonts w:ascii="Calibri" w:hAnsi="Calibri"/>
                <w:b/>
                <w:color w:val="233F62"/>
                <w:sz w:val="16"/>
              </w:rPr>
              <w:t>%</w:t>
            </w:r>
            <w:r>
              <w:rPr>
                <w:rFonts w:ascii="Calibri" w:hAnsi="Calibri"/>
                <w:b/>
                <w:color w:val="233F62"/>
                <w:spacing w:val="-3"/>
                <w:sz w:val="16"/>
              </w:rPr>
              <w:t xml:space="preserve"> </w:t>
            </w:r>
            <w:r>
              <w:rPr>
                <w:rFonts w:ascii="Calibri" w:hAnsi="Calibri"/>
                <w:b/>
                <w:color w:val="233F62"/>
                <w:sz w:val="16"/>
              </w:rPr>
              <w:t>(2025-</w:t>
            </w:r>
            <w:r>
              <w:rPr>
                <w:rFonts w:ascii="Calibri" w:hAnsi="Calibri"/>
                <w:b/>
                <w:color w:val="233F62"/>
                <w:spacing w:val="-2"/>
                <w:sz w:val="16"/>
              </w:rPr>
              <w:t>2024)</w:t>
            </w:r>
          </w:p>
        </w:tc>
      </w:tr>
      <w:tr w:rsidR="002C6574" w14:paraId="329E4EA0" w14:textId="77777777">
        <w:trPr>
          <w:trHeight w:val="611"/>
        </w:trPr>
        <w:tc>
          <w:tcPr>
            <w:tcW w:w="1754" w:type="dxa"/>
            <w:tcBorders>
              <w:top w:val="single" w:sz="8" w:space="0" w:color="95B3D6"/>
              <w:bottom w:val="single" w:sz="4" w:space="0" w:color="95B3D6"/>
            </w:tcBorders>
          </w:tcPr>
          <w:p w14:paraId="45248B8E" w14:textId="77777777" w:rsidR="002C6574" w:rsidRDefault="002C6574">
            <w:pPr>
              <w:pStyle w:val="TableParagraph"/>
              <w:spacing w:before="11"/>
              <w:jc w:val="left"/>
              <w:rPr>
                <w:rFonts w:ascii="Calibri"/>
                <w:sz w:val="16"/>
              </w:rPr>
            </w:pPr>
          </w:p>
          <w:p w14:paraId="260AAD3D" w14:textId="77777777" w:rsidR="002C6574" w:rsidRDefault="00000000">
            <w:pPr>
              <w:pStyle w:val="TableParagraph"/>
              <w:spacing w:before="1"/>
              <w:ind w:right="76"/>
              <w:jc w:val="center"/>
              <w:rPr>
                <w:rFonts w:ascii="Calibri"/>
                <w:sz w:val="16"/>
              </w:rPr>
            </w:pPr>
            <w:r>
              <w:rPr>
                <w:rFonts w:ascii="Calibri"/>
                <w:color w:val="233F62"/>
                <w:sz w:val="16"/>
              </w:rPr>
              <w:t>Empregado</w:t>
            </w:r>
            <w:r>
              <w:rPr>
                <w:rFonts w:ascii="Calibri"/>
                <w:color w:val="233F62"/>
                <w:spacing w:val="-9"/>
                <w:sz w:val="16"/>
              </w:rPr>
              <w:t xml:space="preserve"> </w:t>
            </w:r>
            <w:r>
              <w:rPr>
                <w:rFonts w:ascii="Calibri"/>
                <w:color w:val="233F62"/>
                <w:spacing w:val="-2"/>
                <w:sz w:val="16"/>
              </w:rPr>
              <w:t>Efetivo</w:t>
            </w:r>
          </w:p>
        </w:tc>
        <w:tc>
          <w:tcPr>
            <w:tcW w:w="1456" w:type="dxa"/>
            <w:tcBorders>
              <w:top w:val="single" w:sz="8" w:space="0" w:color="95B3D6"/>
              <w:bottom w:val="single" w:sz="4" w:space="0" w:color="95B3D6"/>
            </w:tcBorders>
          </w:tcPr>
          <w:p w14:paraId="02A4D129" w14:textId="77777777" w:rsidR="002C6574" w:rsidRDefault="00000000">
            <w:pPr>
              <w:pStyle w:val="TableParagraph"/>
              <w:spacing w:before="51"/>
              <w:ind w:left="365"/>
              <w:jc w:val="left"/>
              <w:rPr>
                <w:rFonts w:ascii="Calibri"/>
                <w:sz w:val="16"/>
              </w:rPr>
            </w:pPr>
            <w:r>
              <w:rPr>
                <w:rFonts w:ascii="Calibri"/>
                <w:color w:val="233F62"/>
                <w:spacing w:val="-2"/>
                <w:sz w:val="16"/>
              </w:rPr>
              <w:t>FEMININO</w:t>
            </w:r>
          </w:p>
          <w:p w14:paraId="07F8B6C3" w14:textId="77777777" w:rsidR="002C6574" w:rsidRDefault="00000000">
            <w:pPr>
              <w:pStyle w:val="TableParagraph"/>
              <w:spacing w:before="117"/>
              <w:ind w:left="300"/>
              <w:jc w:val="left"/>
              <w:rPr>
                <w:rFonts w:ascii="Calibri"/>
                <w:sz w:val="16"/>
              </w:rPr>
            </w:pPr>
            <w:r>
              <w:rPr>
                <w:rFonts w:ascii="Calibri"/>
                <w:color w:val="233F62"/>
                <w:spacing w:val="-2"/>
                <w:sz w:val="16"/>
              </w:rPr>
              <w:t>MASCULINO</w:t>
            </w:r>
          </w:p>
        </w:tc>
        <w:tc>
          <w:tcPr>
            <w:tcW w:w="675" w:type="dxa"/>
            <w:tcBorders>
              <w:top w:val="single" w:sz="8" w:space="0" w:color="95B3D6"/>
              <w:bottom w:val="single" w:sz="4" w:space="0" w:color="95B3D6"/>
            </w:tcBorders>
          </w:tcPr>
          <w:p w14:paraId="6B881867" w14:textId="77777777" w:rsidR="002C6574" w:rsidRDefault="002C6574">
            <w:pPr>
              <w:pStyle w:val="TableParagraph"/>
              <w:jc w:val="left"/>
              <w:rPr>
                <w:rFonts w:ascii="Times New Roman"/>
                <w:sz w:val="18"/>
              </w:rPr>
            </w:pPr>
          </w:p>
        </w:tc>
        <w:tc>
          <w:tcPr>
            <w:tcW w:w="461" w:type="dxa"/>
            <w:tcBorders>
              <w:top w:val="single" w:sz="8" w:space="0" w:color="95B3D6"/>
              <w:bottom w:val="single" w:sz="4" w:space="0" w:color="95B3D6"/>
            </w:tcBorders>
          </w:tcPr>
          <w:p w14:paraId="5F1D15C7" w14:textId="77777777" w:rsidR="002C6574" w:rsidRDefault="00000000">
            <w:pPr>
              <w:pStyle w:val="TableParagraph"/>
              <w:spacing w:before="51"/>
              <w:ind w:left="81"/>
              <w:jc w:val="left"/>
              <w:rPr>
                <w:rFonts w:ascii="Calibri"/>
                <w:sz w:val="16"/>
              </w:rPr>
            </w:pPr>
            <w:r>
              <w:rPr>
                <w:rFonts w:ascii="Calibri"/>
                <w:color w:val="233F62"/>
                <w:spacing w:val="-5"/>
                <w:sz w:val="16"/>
              </w:rPr>
              <w:t>86</w:t>
            </w:r>
          </w:p>
          <w:p w14:paraId="79D95346" w14:textId="77777777" w:rsidR="002C6574" w:rsidRDefault="00000000">
            <w:pPr>
              <w:pStyle w:val="TableParagraph"/>
              <w:spacing w:before="117"/>
              <w:ind w:left="3"/>
              <w:jc w:val="left"/>
              <w:rPr>
                <w:rFonts w:ascii="Calibri"/>
                <w:sz w:val="16"/>
              </w:rPr>
            </w:pPr>
            <w:r>
              <w:rPr>
                <w:rFonts w:ascii="Calibri"/>
                <w:color w:val="233F62"/>
                <w:spacing w:val="-5"/>
                <w:sz w:val="16"/>
              </w:rPr>
              <w:t>157</w:t>
            </w:r>
          </w:p>
        </w:tc>
        <w:tc>
          <w:tcPr>
            <w:tcW w:w="563" w:type="dxa"/>
            <w:tcBorders>
              <w:top w:val="single" w:sz="8" w:space="0" w:color="95B3D6"/>
              <w:bottom w:val="single" w:sz="4" w:space="0" w:color="95B3D6"/>
            </w:tcBorders>
          </w:tcPr>
          <w:p w14:paraId="215C986C" w14:textId="77777777" w:rsidR="002C6574" w:rsidRDefault="002C6574">
            <w:pPr>
              <w:pStyle w:val="TableParagraph"/>
              <w:jc w:val="left"/>
              <w:rPr>
                <w:rFonts w:ascii="Times New Roman"/>
                <w:sz w:val="18"/>
              </w:rPr>
            </w:pPr>
          </w:p>
        </w:tc>
        <w:tc>
          <w:tcPr>
            <w:tcW w:w="383" w:type="dxa"/>
            <w:tcBorders>
              <w:top w:val="single" w:sz="8" w:space="0" w:color="95B3D6"/>
              <w:bottom w:val="single" w:sz="4" w:space="0" w:color="95B3D6"/>
            </w:tcBorders>
          </w:tcPr>
          <w:p w14:paraId="7850219A" w14:textId="77777777" w:rsidR="002C6574" w:rsidRDefault="00000000">
            <w:pPr>
              <w:pStyle w:val="TableParagraph"/>
              <w:spacing w:before="51"/>
              <w:ind w:left="23"/>
              <w:jc w:val="left"/>
              <w:rPr>
                <w:rFonts w:ascii="Calibri"/>
                <w:sz w:val="16"/>
              </w:rPr>
            </w:pPr>
            <w:r>
              <w:rPr>
                <w:rFonts w:ascii="Calibri"/>
                <w:color w:val="233F62"/>
                <w:spacing w:val="-5"/>
                <w:sz w:val="16"/>
              </w:rPr>
              <w:t>103</w:t>
            </w:r>
          </w:p>
          <w:p w14:paraId="3525FDE4" w14:textId="77777777" w:rsidR="002C6574" w:rsidRDefault="00000000">
            <w:pPr>
              <w:pStyle w:val="TableParagraph"/>
              <w:spacing w:before="117"/>
              <w:ind w:left="23"/>
              <w:jc w:val="left"/>
              <w:rPr>
                <w:rFonts w:ascii="Calibri"/>
                <w:sz w:val="16"/>
              </w:rPr>
            </w:pPr>
            <w:r>
              <w:rPr>
                <w:rFonts w:ascii="Calibri"/>
                <w:color w:val="233F62"/>
                <w:spacing w:val="-5"/>
                <w:sz w:val="16"/>
              </w:rPr>
              <w:t>160</w:t>
            </w:r>
          </w:p>
        </w:tc>
        <w:tc>
          <w:tcPr>
            <w:tcW w:w="1579" w:type="dxa"/>
            <w:tcBorders>
              <w:top w:val="single" w:sz="8" w:space="0" w:color="95B3D6"/>
              <w:bottom w:val="single" w:sz="4" w:space="0" w:color="95B3D6"/>
            </w:tcBorders>
          </w:tcPr>
          <w:p w14:paraId="0D89F1DE" w14:textId="77777777" w:rsidR="002C6574" w:rsidRDefault="00000000">
            <w:pPr>
              <w:pStyle w:val="TableParagraph"/>
              <w:spacing w:before="51"/>
              <w:ind w:right="119"/>
              <w:rPr>
                <w:rFonts w:ascii="Calibri"/>
                <w:sz w:val="16"/>
              </w:rPr>
            </w:pPr>
            <w:r>
              <w:rPr>
                <w:rFonts w:ascii="Calibri"/>
                <w:color w:val="233F62"/>
                <w:spacing w:val="-5"/>
                <w:sz w:val="16"/>
              </w:rPr>
              <w:t>17</w:t>
            </w:r>
          </w:p>
          <w:p w14:paraId="0010838E" w14:textId="77777777" w:rsidR="002C6574" w:rsidRDefault="00000000">
            <w:pPr>
              <w:pStyle w:val="TableParagraph"/>
              <w:spacing w:before="117"/>
              <w:ind w:right="117"/>
              <w:rPr>
                <w:rFonts w:ascii="Calibri"/>
                <w:sz w:val="16"/>
              </w:rPr>
            </w:pPr>
            <w:r>
              <w:rPr>
                <w:rFonts w:ascii="Calibri"/>
                <w:color w:val="233F62"/>
                <w:spacing w:val="-10"/>
                <w:sz w:val="16"/>
              </w:rPr>
              <w:t>3</w:t>
            </w:r>
          </w:p>
        </w:tc>
        <w:tc>
          <w:tcPr>
            <w:tcW w:w="1369" w:type="dxa"/>
            <w:tcBorders>
              <w:top w:val="single" w:sz="8" w:space="0" w:color="95B3D6"/>
              <w:bottom w:val="single" w:sz="4" w:space="0" w:color="95B3D6"/>
            </w:tcBorders>
          </w:tcPr>
          <w:p w14:paraId="14939104" w14:textId="77777777" w:rsidR="002C6574" w:rsidRDefault="00000000">
            <w:pPr>
              <w:pStyle w:val="TableParagraph"/>
              <w:spacing w:before="51"/>
              <w:ind w:left="820"/>
              <w:jc w:val="left"/>
              <w:rPr>
                <w:rFonts w:ascii="Calibri"/>
                <w:sz w:val="16"/>
              </w:rPr>
            </w:pPr>
            <w:r>
              <w:rPr>
                <w:rFonts w:ascii="Calibri"/>
                <w:color w:val="233F62"/>
                <w:spacing w:val="-2"/>
                <w:sz w:val="16"/>
              </w:rPr>
              <w:t>19,77%</w:t>
            </w:r>
          </w:p>
          <w:p w14:paraId="7C2F034B" w14:textId="77777777" w:rsidR="002C6574" w:rsidRDefault="00000000">
            <w:pPr>
              <w:pStyle w:val="TableParagraph"/>
              <w:spacing w:before="117"/>
              <w:ind w:left="900"/>
              <w:jc w:val="left"/>
              <w:rPr>
                <w:rFonts w:ascii="Calibri"/>
                <w:sz w:val="16"/>
              </w:rPr>
            </w:pPr>
            <w:r>
              <w:rPr>
                <w:rFonts w:ascii="Calibri"/>
                <w:color w:val="233F62"/>
                <w:spacing w:val="-2"/>
                <w:sz w:val="16"/>
              </w:rPr>
              <w:t>1,91%</w:t>
            </w:r>
          </w:p>
        </w:tc>
      </w:tr>
      <w:tr w:rsidR="002C6574" w14:paraId="5A1338A9" w14:textId="77777777">
        <w:trPr>
          <w:trHeight w:val="609"/>
        </w:trPr>
        <w:tc>
          <w:tcPr>
            <w:tcW w:w="1754" w:type="dxa"/>
            <w:tcBorders>
              <w:top w:val="single" w:sz="4" w:space="0" w:color="95B3D6"/>
              <w:bottom w:val="single" w:sz="4" w:space="0" w:color="95B3D6"/>
            </w:tcBorders>
          </w:tcPr>
          <w:p w14:paraId="7E3B13A2" w14:textId="77777777" w:rsidR="002C6574" w:rsidRDefault="002C6574">
            <w:pPr>
              <w:pStyle w:val="TableParagraph"/>
              <w:spacing w:before="9"/>
              <w:jc w:val="left"/>
              <w:rPr>
                <w:rFonts w:ascii="Calibri"/>
                <w:sz w:val="16"/>
              </w:rPr>
            </w:pPr>
          </w:p>
          <w:p w14:paraId="3B6D20F1" w14:textId="77777777" w:rsidR="002C6574" w:rsidRDefault="00000000">
            <w:pPr>
              <w:pStyle w:val="TableParagraph"/>
              <w:ind w:left="8" w:right="76"/>
              <w:jc w:val="center"/>
              <w:rPr>
                <w:rFonts w:ascii="Calibri"/>
                <w:sz w:val="16"/>
              </w:rPr>
            </w:pPr>
            <w:r>
              <w:rPr>
                <w:rFonts w:ascii="Calibri"/>
                <w:color w:val="233F62"/>
                <w:sz w:val="16"/>
              </w:rPr>
              <w:t>Com</w:t>
            </w:r>
            <w:r>
              <w:rPr>
                <w:rFonts w:ascii="Calibri"/>
                <w:color w:val="233F62"/>
                <w:spacing w:val="-2"/>
                <w:sz w:val="16"/>
              </w:rPr>
              <w:t xml:space="preserve"> Cargo</w:t>
            </w:r>
          </w:p>
        </w:tc>
        <w:tc>
          <w:tcPr>
            <w:tcW w:w="1456" w:type="dxa"/>
            <w:tcBorders>
              <w:top w:val="single" w:sz="4" w:space="0" w:color="95B3D6"/>
              <w:bottom w:val="single" w:sz="4" w:space="0" w:color="95B3D6"/>
            </w:tcBorders>
          </w:tcPr>
          <w:p w14:paraId="64959763" w14:textId="77777777" w:rsidR="002C6574" w:rsidRDefault="00000000">
            <w:pPr>
              <w:pStyle w:val="TableParagraph"/>
              <w:spacing w:before="51"/>
              <w:ind w:left="365"/>
              <w:jc w:val="left"/>
              <w:rPr>
                <w:rFonts w:ascii="Calibri"/>
                <w:sz w:val="16"/>
              </w:rPr>
            </w:pPr>
            <w:r>
              <w:rPr>
                <w:rFonts w:ascii="Calibri"/>
                <w:color w:val="233F62"/>
                <w:spacing w:val="-2"/>
                <w:sz w:val="16"/>
              </w:rPr>
              <w:t>FEMININO</w:t>
            </w:r>
          </w:p>
          <w:p w14:paraId="59DDA900" w14:textId="77777777" w:rsidR="002C6574" w:rsidRDefault="00000000">
            <w:pPr>
              <w:pStyle w:val="TableParagraph"/>
              <w:spacing w:before="114"/>
              <w:ind w:left="300"/>
              <w:jc w:val="left"/>
              <w:rPr>
                <w:rFonts w:ascii="Calibri"/>
                <w:sz w:val="16"/>
              </w:rPr>
            </w:pPr>
            <w:r>
              <w:rPr>
                <w:rFonts w:ascii="Calibri"/>
                <w:color w:val="233F62"/>
                <w:spacing w:val="-2"/>
                <w:sz w:val="16"/>
              </w:rPr>
              <w:t>MASCULINO</w:t>
            </w:r>
          </w:p>
        </w:tc>
        <w:tc>
          <w:tcPr>
            <w:tcW w:w="675" w:type="dxa"/>
            <w:tcBorders>
              <w:top w:val="single" w:sz="4" w:space="0" w:color="95B3D6"/>
              <w:bottom w:val="single" w:sz="4" w:space="0" w:color="95B3D6"/>
            </w:tcBorders>
          </w:tcPr>
          <w:p w14:paraId="27A93E64" w14:textId="77777777" w:rsidR="002C6574" w:rsidRDefault="002C6574">
            <w:pPr>
              <w:pStyle w:val="TableParagraph"/>
              <w:jc w:val="left"/>
              <w:rPr>
                <w:rFonts w:ascii="Times New Roman"/>
                <w:sz w:val="18"/>
              </w:rPr>
            </w:pPr>
          </w:p>
        </w:tc>
        <w:tc>
          <w:tcPr>
            <w:tcW w:w="461" w:type="dxa"/>
            <w:tcBorders>
              <w:top w:val="single" w:sz="4" w:space="0" w:color="95B3D6"/>
              <w:bottom w:val="single" w:sz="4" w:space="0" w:color="95B3D6"/>
            </w:tcBorders>
          </w:tcPr>
          <w:p w14:paraId="22CB508E" w14:textId="77777777" w:rsidR="002C6574" w:rsidRDefault="00000000">
            <w:pPr>
              <w:pStyle w:val="TableParagraph"/>
              <w:spacing w:before="51"/>
              <w:ind w:left="81"/>
              <w:jc w:val="left"/>
              <w:rPr>
                <w:rFonts w:ascii="Calibri"/>
                <w:sz w:val="16"/>
              </w:rPr>
            </w:pPr>
            <w:r>
              <w:rPr>
                <w:rFonts w:ascii="Calibri"/>
                <w:color w:val="233F62"/>
                <w:spacing w:val="-5"/>
                <w:sz w:val="16"/>
              </w:rPr>
              <w:t>31</w:t>
            </w:r>
          </w:p>
          <w:p w14:paraId="6CDE2356" w14:textId="77777777" w:rsidR="002C6574" w:rsidRDefault="00000000">
            <w:pPr>
              <w:pStyle w:val="TableParagraph"/>
              <w:spacing w:before="114"/>
              <w:ind w:left="82"/>
              <w:jc w:val="left"/>
              <w:rPr>
                <w:rFonts w:ascii="Calibri"/>
                <w:sz w:val="16"/>
              </w:rPr>
            </w:pPr>
            <w:r>
              <w:rPr>
                <w:rFonts w:ascii="Calibri"/>
                <w:color w:val="233F62"/>
                <w:spacing w:val="-5"/>
                <w:sz w:val="16"/>
              </w:rPr>
              <w:t>51</w:t>
            </w:r>
          </w:p>
        </w:tc>
        <w:tc>
          <w:tcPr>
            <w:tcW w:w="563" w:type="dxa"/>
            <w:tcBorders>
              <w:top w:val="single" w:sz="4" w:space="0" w:color="95B3D6"/>
              <w:bottom w:val="single" w:sz="4" w:space="0" w:color="95B3D6"/>
            </w:tcBorders>
          </w:tcPr>
          <w:p w14:paraId="20FE8C96" w14:textId="77777777" w:rsidR="002C6574" w:rsidRDefault="002C6574">
            <w:pPr>
              <w:pStyle w:val="TableParagraph"/>
              <w:jc w:val="left"/>
              <w:rPr>
                <w:rFonts w:ascii="Times New Roman"/>
                <w:sz w:val="18"/>
              </w:rPr>
            </w:pPr>
          </w:p>
        </w:tc>
        <w:tc>
          <w:tcPr>
            <w:tcW w:w="383" w:type="dxa"/>
            <w:tcBorders>
              <w:top w:val="single" w:sz="4" w:space="0" w:color="95B3D6"/>
              <w:bottom w:val="single" w:sz="4" w:space="0" w:color="95B3D6"/>
            </w:tcBorders>
          </w:tcPr>
          <w:p w14:paraId="60641129" w14:textId="77777777" w:rsidR="002C6574" w:rsidRDefault="00000000">
            <w:pPr>
              <w:pStyle w:val="TableParagraph"/>
              <w:spacing w:before="51"/>
              <w:ind w:left="102"/>
              <w:jc w:val="left"/>
              <w:rPr>
                <w:rFonts w:ascii="Calibri"/>
                <w:sz w:val="16"/>
              </w:rPr>
            </w:pPr>
            <w:r>
              <w:rPr>
                <w:rFonts w:ascii="Calibri"/>
                <w:color w:val="233F62"/>
                <w:spacing w:val="-5"/>
                <w:sz w:val="16"/>
              </w:rPr>
              <w:t>34</w:t>
            </w:r>
          </w:p>
          <w:p w14:paraId="79F33459" w14:textId="77777777" w:rsidR="002C6574" w:rsidRDefault="00000000">
            <w:pPr>
              <w:pStyle w:val="TableParagraph"/>
              <w:spacing w:before="114"/>
              <w:ind w:left="102"/>
              <w:jc w:val="left"/>
              <w:rPr>
                <w:rFonts w:ascii="Calibri"/>
                <w:sz w:val="16"/>
              </w:rPr>
            </w:pPr>
            <w:r>
              <w:rPr>
                <w:rFonts w:ascii="Calibri"/>
                <w:color w:val="233F62"/>
                <w:spacing w:val="-5"/>
                <w:sz w:val="16"/>
              </w:rPr>
              <w:t>51</w:t>
            </w:r>
          </w:p>
        </w:tc>
        <w:tc>
          <w:tcPr>
            <w:tcW w:w="1579" w:type="dxa"/>
            <w:tcBorders>
              <w:top w:val="single" w:sz="4" w:space="0" w:color="95B3D6"/>
              <w:bottom w:val="single" w:sz="4" w:space="0" w:color="95B3D6"/>
            </w:tcBorders>
          </w:tcPr>
          <w:p w14:paraId="022C2E1A" w14:textId="77777777" w:rsidR="002C6574" w:rsidRDefault="00000000">
            <w:pPr>
              <w:pStyle w:val="TableParagraph"/>
              <w:spacing w:before="51"/>
              <w:ind w:right="117"/>
              <w:rPr>
                <w:rFonts w:ascii="Calibri"/>
                <w:sz w:val="16"/>
              </w:rPr>
            </w:pPr>
            <w:r>
              <w:rPr>
                <w:rFonts w:ascii="Calibri"/>
                <w:color w:val="233F62"/>
                <w:spacing w:val="-10"/>
                <w:sz w:val="16"/>
              </w:rPr>
              <w:t>3</w:t>
            </w:r>
          </w:p>
          <w:p w14:paraId="73F140FB" w14:textId="77777777" w:rsidR="002C6574" w:rsidRDefault="00000000">
            <w:pPr>
              <w:pStyle w:val="TableParagraph"/>
              <w:spacing w:before="114"/>
              <w:ind w:right="117"/>
              <w:rPr>
                <w:rFonts w:ascii="Calibri"/>
                <w:sz w:val="16"/>
              </w:rPr>
            </w:pPr>
            <w:r>
              <w:rPr>
                <w:rFonts w:ascii="Calibri"/>
                <w:color w:val="233F62"/>
                <w:spacing w:val="-10"/>
                <w:sz w:val="16"/>
              </w:rPr>
              <w:t>0</w:t>
            </w:r>
          </w:p>
        </w:tc>
        <w:tc>
          <w:tcPr>
            <w:tcW w:w="1369" w:type="dxa"/>
            <w:tcBorders>
              <w:top w:val="single" w:sz="4" w:space="0" w:color="95B3D6"/>
              <w:bottom w:val="single" w:sz="4" w:space="0" w:color="95B3D6"/>
            </w:tcBorders>
          </w:tcPr>
          <w:p w14:paraId="0956DD78" w14:textId="77777777" w:rsidR="002C6574" w:rsidRDefault="00000000">
            <w:pPr>
              <w:pStyle w:val="TableParagraph"/>
              <w:spacing w:before="51"/>
              <w:ind w:left="900"/>
              <w:jc w:val="left"/>
              <w:rPr>
                <w:rFonts w:ascii="Calibri"/>
                <w:sz w:val="16"/>
              </w:rPr>
            </w:pPr>
            <w:r>
              <w:rPr>
                <w:rFonts w:ascii="Calibri"/>
                <w:color w:val="233F62"/>
                <w:spacing w:val="-2"/>
                <w:sz w:val="16"/>
              </w:rPr>
              <w:t>9,68%</w:t>
            </w:r>
          </w:p>
          <w:p w14:paraId="647AE795" w14:textId="77777777" w:rsidR="002C6574" w:rsidRDefault="00000000">
            <w:pPr>
              <w:pStyle w:val="TableParagraph"/>
              <w:spacing w:before="114"/>
              <w:ind w:left="900"/>
              <w:jc w:val="left"/>
              <w:rPr>
                <w:rFonts w:ascii="Calibri"/>
                <w:sz w:val="16"/>
              </w:rPr>
            </w:pPr>
            <w:r>
              <w:rPr>
                <w:rFonts w:ascii="Calibri"/>
                <w:color w:val="233F62"/>
                <w:spacing w:val="-2"/>
                <w:sz w:val="16"/>
              </w:rPr>
              <w:t>0,00%</w:t>
            </w:r>
          </w:p>
        </w:tc>
      </w:tr>
      <w:tr w:rsidR="002C6574" w14:paraId="451E82BD" w14:textId="77777777">
        <w:trPr>
          <w:trHeight w:val="247"/>
        </w:trPr>
        <w:tc>
          <w:tcPr>
            <w:tcW w:w="1754" w:type="dxa"/>
            <w:tcBorders>
              <w:top w:val="single" w:sz="4" w:space="0" w:color="95B3D6"/>
            </w:tcBorders>
          </w:tcPr>
          <w:p w14:paraId="2E719D10" w14:textId="77777777" w:rsidR="002C6574" w:rsidRDefault="002C6574">
            <w:pPr>
              <w:pStyle w:val="TableParagraph"/>
              <w:jc w:val="left"/>
              <w:rPr>
                <w:rFonts w:ascii="Times New Roman"/>
                <w:sz w:val="18"/>
              </w:rPr>
            </w:pPr>
          </w:p>
        </w:tc>
        <w:tc>
          <w:tcPr>
            <w:tcW w:w="1456" w:type="dxa"/>
            <w:tcBorders>
              <w:top w:val="single" w:sz="4" w:space="0" w:color="95B3D6"/>
            </w:tcBorders>
          </w:tcPr>
          <w:p w14:paraId="57A33758" w14:textId="77777777" w:rsidR="002C6574" w:rsidRDefault="00000000">
            <w:pPr>
              <w:pStyle w:val="TableParagraph"/>
              <w:spacing w:before="51" w:line="176" w:lineRule="exact"/>
              <w:ind w:left="5" w:right="43"/>
              <w:jc w:val="center"/>
              <w:rPr>
                <w:rFonts w:ascii="Calibri"/>
                <w:sz w:val="16"/>
              </w:rPr>
            </w:pPr>
            <w:r>
              <w:rPr>
                <w:rFonts w:ascii="Calibri"/>
                <w:color w:val="233F62"/>
                <w:spacing w:val="-2"/>
                <w:sz w:val="16"/>
              </w:rPr>
              <w:t>FEMININO</w:t>
            </w:r>
          </w:p>
        </w:tc>
        <w:tc>
          <w:tcPr>
            <w:tcW w:w="675" w:type="dxa"/>
            <w:tcBorders>
              <w:top w:val="single" w:sz="4" w:space="0" w:color="95B3D6"/>
            </w:tcBorders>
          </w:tcPr>
          <w:p w14:paraId="2B8EFE37" w14:textId="77777777" w:rsidR="002C6574" w:rsidRDefault="002C6574">
            <w:pPr>
              <w:pStyle w:val="TableParagraph"/>
              <w:jc w:val="left"/>
              <w:rPr>
                <w:rFonts w:ascii="Times New Roman"/>
                <w:sz w:val="18"/>
              </w:rPr>
            </w:pPr>
          </w:p>
        </w:tc>
        <w:tc>
          <w:tcPr>
            <w:tcW w:w="461" w:type="dxa"/>
            <w:tcBorders>
              <w:top w:val="single" w:sz="4" w:space="0" w:color="95B3D6"/>
            </w:tcBorders>
          </w:tcPr>
          <w:p w14:paraId="27BB5641" w14:textId="77777777" w:rsidR="002C6574" w:rsidRDefault="00000000">
            <w:pPr>
              <w:pStyle w:val="TableParagraph"/>
              <w:spacing w:before="51" w:line="176" w:lineRule="exact"/>
              <w:ind w:right="213"/>
              <w:rPr>
                <w:rFonts w:ascii="Calibri"/>
                <w:sz w:val="16"/>
              </w:rPr>
            </w:pPr>
            <w:r>
              <w:rPr>
                <w:rFonts w:ascii="Calibri"/>
                <w:color w:val="233F62"/>
                <w:spacing w:val="-10"/>
                <w:sz w:val="16"/>
              </w:rPr>
              <w:t>3</w:t>
            </w:r>
          </w:p>
        </w:tc>
        <w:tc>
          <w:tcPr>
            <w:tcW w:w="563" w:type="dxa"/>
            <w:tcBorders>
              <w:top w:val="single" w:sz="4" w:space="0" w:color="95B3D6"/>
            </w:tcBorders>
          </w:tcPr>
          <w:p w14:paraId="58E8C006" w14:textId="77777777" w:rsidR="002C6574" w:rsidRDefault="002C6574">
            <w:pPr>
              <w:pStyle w:val="TableParagraph"/>
              <w:jc w:val="left"/>
              <w:rPr>
                <w:rFonts w:ascii="Times New Roman"/>
                <w:sz w:val="18"/>
              </w:rPr>
            </w:pPr>
          </w:p>
        </w:tc>
        <w:tc>
          <w:tcPr>
            <w:tcW w:w="383" w:type="dxa"/>
            <w:tcBorders>
              <w:top w:val="single" w:sz="4" w:space="0" w:color="95B3D6"/>
            </w:tcBorders>
          </w:tcPr>
          <w:p w14:paraId="741B79CC" w14:textId="77777777" w:rsidR="002C6574" w:rsidRDefault="00000000">
            <w:pPr>
              <w:pStyle w:val="TableParagraph"/>
              <w:spacing w:before="51" w:line="176" w:lineRule="exact"/>
              <w:ind w:right="115"/>
              <w:rPr>
                <w:rFonts w:ascii="Calibri"/>
                <w:sz w:val="16"/>
              </w:rPr>
            </w:pPr>
            <w:r>
              <w:rPr>
                <w:rFonts w:ascii="Calibri"/>
                <w:color w:val="233F62"/>
                <w:spacing w:val="-10"/>
                <w:sz w:val="16"/>
              </w:rPr>
              <w:t>5</w:t>
            </w:r>
          </w:p>
        </w:tc>
        <w:tc>
          <w:tcPr>
            <w:tcW w:w="1579" w:type="dxa"/>
            <w:tcBorders>
              <w:top w:val="single" w:sz="4" w:space="0" w:color="95B3D6"/>
            </w:tcBorders>
          </w:tcPr>
          <w:p w14:paraId="5D1C7C39" w14:textId="77777777" w:rsidR="002C6574" w:rsidRDefault="00000000">
            <w:pPr>
              <w:pStyle w:val="TableParagraph"/>
              <w:spacing w:before="51" w:line="176" w:lineRule="exact"/>
              <w:ind w:right="117"/>
              <w:rPr>
                <w:rFonts w:ascii="Calibri"/>
                <w:sz w:val="16"/>
              </w:rPr>
            </w:pPr>
            <w:r>
              <w:rPr>
                <w:rFonts w:ascii="Calibri"/>
                <w:color w:val="233F62"/>
                <w:spacing w:val="-10"/>
                <w:sz w:val="16"/>
              </w:rPr>
              <w:t>2</w:t>
            </w:r>
          </w:p>
        </w:tc>
        <w:tc>
          <w:tcPr>
            <w:tcW w:w="1369" w:type="dxa"/>
            <w:tcBorders>
              <w:top w:val="single" w:sz="4" w:space="0" w:color="95B3D6"/>
            </w:tcBorders>
          </w:tcPr>
          <w:p w14:paraId="28D66CF4" w14:textId="77777777" w:rsidR="002C6574" w:rsidRDefault="00000000">
            <w:pPr>
              <w:pStyle w:val="TableParagraph"/>
              <w:spacing w:before="51" w:line="176" w:lineRule="exact"/>
              <w:ind w:right="66"/>
              <w:rPr>
                <w:rFonts w:ascii="Calibri"/>
                <w:sz w:val="16"/>
              </w:rPr>
            </w:pPr>
            <w:r>
              <w:rPr>
                <w:rFonts w:ascii="Calibri"/>
                <w:color w:val="233F62"/>
                <w:spacing w:val="-2"/>
                <w:sz w:val="16"/>
              </w:rPr>
              <w:t>66,67%</w:t>
            </w:r>
          </w:p>
        </w:tc>
      </w:tr>
      <w:tr w:rsidR="002C6574" w14:paraId="443036A6" w14:textId="77777777">
        <w:trPr>
          <w:trHeight w:val="387"/>
        </w:trPr>
        <w:tc>
          <w:tcPr>
            <w:tcW w:w="1754" w:type="dxa"/>
            <w:tcBorders>
              <w:bottom w:val="single" w:sz="8" w:space="0" w:color="95B3D6"/>
            </w:tcBorders>
          </w:tcPr>
          <w:p w14:paraId="3E8A6C0B" w14:textId="77777777" w:rsidR="002C6574" w:rsidRDefault="00000000">
            <w:pPr>
              <w:pStyle w:val="TableParagraph"/>
              <w:spacing w:line="167" w:lineRule="exact"/>
              <w:ind w:left="3" w:right="76"/>
              <w:jc w:val="center"/>
              <w:rPr>
                <w:rFonts w:ascii="Calibri" w:hAnsi="Calibri"/>
                <w:sz w:val="16"/>
              </w:rPr>
            </w:pPr>
            <w:r>
              <w:rPr>
                <w:rFonts w:ascii="Calibri" w:hAnsi="Calibri"/>
                <w:color w:val="233F62"/>
                <w:spacing w:val="-2"/>
                <w:sz w:val="16"/>
              </w:rPr>
              <w:t>Liderança</w:t>
            </w:r>
          </w:p>
        </w:tc>
        <w:tc>
          <w:tcPr>
            <w:tcW w:w="1456" w:type="dxa"/>
            <w:tcBorders>
              <w:bottom w:val="single" w:sz="8" w:space="0" w:color="95B3D6"/>
            </w:tcBorders>
          </w:tcPr>
          <w:p w14:paraId="5F5FC49A" w14:textId="77777777" w:rsidR="002C6574" w:rsidRDefault="00000000">
            <w:pPr>
              <w:pStyle w:val="TableParagraph"/>
              <w:spacing w:before="132"/>
              <w:ind w:right="43"/>
              <w:jc w:val="center"/>
              <w:rPr>
                <w:rFonts w:ascii="Calibri"/>
                <w:sz w:val="16"/>
              </w:rPr>
            </w:pPr>
            <w:r>
              <w:rPr>
                <w:rFonts w:ascii="Calibri"/>
                <w:color w:val="233F62"/>
                <w:spacing w:val="-2"/>
                <w:sz w:val="16"/>
              </w:rPr>
              <w:t>MASCULINO</w:t>
            </w:r>
          </w:p>
        </w:tc>
        <w:tc>
          <w:tcPr>
            <w:tcW w:w="675" w:type="dxa"/>
            <w:tcBorders>
              <w:bottom w:val="single" w:sz="8" w:space="0" w:color="95B3D6"/>
            </w:tcBorders>
          </w:tcPr>
          <w:p w14:paraId="78062348" w14:textId="77777777" w:rsidR="002C6574" w:rsidRDefault="002C6574">
            <w:pPr>
              <w:pStyle w:val="TableParagraph"/>
              <w:jc w:val="left"/>
              <w:rPr>
                <w:rFonts w:ascii="Times New Roman"/>
                <w:sz w:val="18"/>
              </w:rPr>
            </w:pPr>
          </w:p>
        </w:tc>
        <w:tc>
          <w:tcPr>
            <w:tcW w:w="461" w:type="dxa"/>
            <w:tcBorders>
              <w:bottom w:val="single" w:sz="8" w:space="0" w:color="95B3D6"/>
            </w:tcBorders>
          </w:tcPr>
          <w:p w14:paraId="1E846B1B" w14:textId="77777777" w:rsidR="002C6574" w:rsidRDefault="00000000">
            <w:pPr>
              <w:pStyle w:val="TableParagraph"/>
              <w:spacing w:before="132"/>
              <w:ind w:right="213"/>
              <w:rPr>
                <w:rFonts w:ascii="Calibri"/>
                <w:sz w:val="16"/>
              </w:rPr>
            </w:pPr>
            <w:r>
              <w:rPr>
                <w:rFonts w:ascii="Calibri"/>
                <w:color w:val="233F62"/>
                <w:spacing w:val="-5"/>
                <w:sz w:val="16"/>
              </w:rPr>
              <w:t>31</w:t>
            </w:r>
          </w:p>
        </w:tc>
        <w:tc>
          <w:tcPr>
            <w:tcW w:w="563" w:type="dxa"/>
            <w:tcBorders>
              <w:bottom w:val="single" w:sz="8" w:space="0" w:color="95B3D6"/>
            </w:tcBorders>
          </w:tcPr>
          <w:p w14:paraId="590DBEA7" w14:textId="77777777" w:rsidR="002C6574" w:rsidRDefault="002C6574">
            <w:pPr>
              <w:pStyle w:val="TableParagraph"/>
              <w:jc w:val="left"/>
              <w:rPr>
                <w:rFonts w:ascii="Times New Roman"/>
                <w:sz w:val="18"/>
              </w:rPr>
            </w:pPr>
          </w:p>
        </w:tc>
        <w:tc>
          <w:tcPr>
            <w:tcW w:w="383" w:type="dxa"/>
            <w:tcBorders>
              <w:bottom w:val="single" w:sz="8" w:space="0" w:color="95B3D6"/>
            </w:tcBorders>
          </w:tcPr>
          <w:p w14:paraId="7F57F052" w14:textId="77777777" w:rsidR="002C6574" w:rsidRDefault="00000000">
            <w:pPr>
              <w:pStyle w:val="TableParagraph"/>
              <w:spacing w:before="132"/>
              <w:ind w:right="115"/>
              <w:rPr>
                <w:rFonts w:ascii="Calibri"/>
                <w:sz w:val="16"/>
              </w:rPr>
            </w:pPr>
            <w:r>
              <w:rPr>
                <w:rFonts w:ascii="Calibri"/>
                <w:color w:val="233F62"/>
                <w:spacing w:val="-5"/>
                <w:sz w:val="16"/>
              </w:rPr>
              <w:t>29</w:t>
            </w:r>
          </w:p>
        </w:tc>
        <w:tc>
          <w:tcPr>
            <w:tcW w:w="1579" w:type="dxa"/>
            <w:tcBorders>
              <w:bottom w:val="single" w:sz="8" w:space="0" w:color="95B3D6"/>
            </w:tcBorders>
          </w:tcPr>
          <w:p w14:paraId="6BAB69F4" w14:textId="77777777" w:rsidR="002C6574" w:rsidRDefault="00000000">
            <w:pPr>
              <w:pStyle w:val="TableParagraph"/>
              <w:spacing w:before="132"/>
              <w:ind w:right="116"/>
              <w:rPr>
                <w:rFonts w:ascii="Calibri"/>
                <w:sz w:val="16"/>
              </w:rPr>
            </w:pPr>
            <w:r>
              <w:rPr>
                <w:rFonts w:ascii="Calibri"/>
                <w:color w:val="233F62"/>
                <w:sz w:val="16"/>
              </w:rPr>
              <w:t>-</w:t>
            </w:r>
            <w:r>
              <w:rPr>
                <w:rFonts w:ascii="Calibri"/>
                <w:color w:val="233F62"/>
                <w:spacing w:val="-10"/>
                <w:sz w:val="16"/>
              </w:rPr>
              <w:t>2</w:t>
            </w:r>
          </w:p>
        </w:tc>
        <w:tc>
          <w:tcPr>
            <w:tcW w:w="1369" w:type="dxa"/>
            <w:tcBorders>
              <w:bottom w:val="single" w:sz="8" w:space="0" w:color="95B3D6"/>
            </w:tcBorders>
          </w:tcPr>
          <w:p w14:paraId="2A0CB2B3" w14:textId="77777777" w:rsidR="002C6574" w:rsidRDefault="00000000">
            <w:pPr>
              <w:pStyle w:val="TableParagraph"/>
              <w:spacing w:before="132"/>
              <w:ind w:right="67"/>
              <w:rPr>
                <w:rFonts w:ascii="Calibri"/>
                <w:sz w:val="16"/>
              </w:rPr>
            </w:pPr>
            <w:r>
              <w:rPr>
                <w:rFonts w:ascii="Calibri"/>
                <w:color w:val="233F62"/>
                <w:sz w:val="16"/>
              </w:rPr>
              <w:t>-</w:t>
            </w:r>
            <w:r>
              <w:rPr>
                <w:rFonts w:ascii="Calibri"/>
                <w:color w:val="233F62"/>
                <w:spacing w:val="-2"/>
                <w:sz w:val="16"/>
              </w:rPr>
              <w:t>6,45%</w:t>
            </w:r>
          </w:p>
        </w:tc>
      </w:tr>
      <w:tr w:rsidR="002C6574" w14:paraId="52F1A076" w14:textId="77777777">
        <w:trPr>
          <w:trHeight w:val="316"/>
        </w:trPr>
        <w:tc>
          <w:tcPr>
            <w:tcW w:w="1754" w:type="dxa"/>
            <w:tcBorders>
              <w:top w:val="single" w:sz="8" w:space="0" w:color="95B3D6"/>
              <w:bottom w:val="single" w:sz="8" w:space="0" w:color="95B3D6"/>
            </w:tcBorders>
            <w:shd w:val="clear" w:color="auto" w:fill="DBE6F0"/>
          </w:tcPr>
          <w:p w14:paraId="08AD4BEF" w14:textId="77777777" w:rsidR="002C6574" w:rsidRDefault="00000000">
            <w:pPr>
              <w:pStyle w:val="TableParagraph"/>
              <w:spacing w:before="58"/>
              <w:ind w:left="4" w:right="76"/>
              <w:jc w:val="center"/>
              <w:rPr>
                <w:rFonts w:ascii="Calibri"/>
                <w:b/>
                <w:sz w:val="16"/>
              </w:rPr>
            </w:pPr>
            <w:r>
              <w:rPr>
                <w:rFonts w:ascii="Calibri"/>
                <w:b/>
                <w:color w:val="233F62"/>
                <w:spacing w:val="-2"/>
                <w:sz w:val="16"/>
              </w:rPr>
              <w:t>Total</w:t>
            </w:r>
          </w:p>
        </w:tc>
        <w:tc>
          <w:tcPr>
            <w:tcW w:w="1456" w:type="dxa"/>
            <w:tcBorders>
              <w:top w:val="single" w:sz="8" w:space="0" w:color="95B3D6"/>
              <w:bottom w:val="single" w:sz="8" w:space="0" w:color="95B3D6"/>
            </w:tcBorders>
            <w:shd w:val="clear" w:color="auto" w:fill="DBE6F0"/>
          </w:tcPr>
          <w:p w14:paraId="7B46CA31" w14:textId="77777777" w:rsidR="002C6574" w:rsidRDefault="002C6574">
            <w:pPr>
              <w:pStyle w:val="TableParagraph"/>
              <w:jc w:val="left"/>
              <w:rPr>
                <w:rFonts w:ascii="Times New Roman"/>
                <w:sz w:val="18"/>
              </w:rPr>
            </w:pPr>
          </w:p>
        </w:tc>
        <w:tc>
          <w:tcPr>
            <w:tcW w:w="675" w:type="dxa"/>
            <w:tcBorders>
              <w:top w:val="single" w:sz="8" w:space="0" w:color="95B3D6"/>
              <w:bottom w:val="single" w:sz="8" w:space="0" w:color="95B3D6"/>
            </w:tcBorders>
            <w:shd w:val="clear" w:color="auto" w:fill="DBE6F0"/>
          </w:tcPr>
          <w:p w14:paraId="65C7A6BF" w14:textId="77777777" w:rsidR="002C6574" w:rsidRDefault="002C6574">
            <w:pPr>
              <w:pStyle w:val="TableParagraph"/>
              <w:jc w:val="left"/>
              <w:rPr>
                <w:rFonts w:ascii="Times New Roman"/>
                <w:sz w:val="18"/>
              </w:rPr>
            </w:pPr>
          </w:p>
        </w:tc>
        <w:tc>
          <w:tcPr>
            <w:tcW w:w="461" w:type="dxa"/>
            <w:tcBorders>
              <w:top w:val="single" w:sz="8" w:space="0" w:color="95B3D6"/>
              <w:bottom w:val="single" w:sz="8" w:space="0" w:color="95B3D6"/>
            </w:tcBorders>
            <w:shd w:val="clear" w:color="auto" w:fill="DBE6F0"/>
          </w:tcPr>
          <w:p w14:paraId="3754CB6C" w14:textId="77777777" w:rsidR="002C6574" w:rsidRDefault="00000000">
            <w:pPr>
              <w:pStyle w:val="TableParagraph"/>
              <w:spacing w:before="58"/>
              <w:ind w:right="211"/>
              <w:rPr>
                <w:rFonts w:ascii="Calibri"/>
                <w:b/>
                <w:sz w:val="16"/>
              </w:rPr>
            </w:pPr>
            <w:r>
              <w:rPr>
                <w:rFonts w:ascii="Calibri"/>
                <w:b/>
                <w:color w:val="233F62"/>
                <w:spacing w:val="-5"/>
                <w:sz w:val="16"/>
              </w:rPr>
              <w:t>359</w:t>
            </w:r>
          </w:p>
        </w:tc>
        <w:tc>
          <w:tcPr>
            <w:tcW w:w="563" w:type="dxa"/>
            <w:tcBorders>
              <w:top w:val="single" w:sz="8" w:space="0" w:color="95B3D6"/>
              <w:bottom w:val="single" w:sz="8" w:space="0" w:color="95B3D6"/>
            </w:tcBorders>
            <w:shd w:val="clear" w:color="auto" w:fill="DBE6F0"/>
          </w:tcPr>
          <w:p w14:paraId="4B0CC680" w14:textId="77777777" w:rsidR="002C6574" w:rsidRDefault="002C6574">
            <w:pPr>
              <w:pStyle w:val="TableParagraph"/>
              <w:jc w:val="left"/>
              <w:rPr>
                <w:rFonts w:ascii="Times New Roman"/>
                <w:sz w:val="18"/>
              </w:rPr>
            </w:pPr>
          </w:p>
        </w:tc>
        <w:tc>
          <w:tcPr>
            <w:tcW w:w="383" w:type="dxa"/>
            <w:tcBorders>
              <w:top w:val="single" w:sz="8" w:space="0" w:color="95B3D6"/>
              <w:bottom w:val="single" w:sz="8" w:space="0" w:color="95B3D6"/>
            </w:tcBorders>
            <w:shd w:val="clear" w:color="auto" w:fill="DBE6F0"/>
          </w:tcPr>
          <w:p w14:paraId="4427F54A" w14:textId="77777777" w:rsidR="002C6574" w:rsidRDefault="00000000">
            <w:pPr>
              <w:pStyle w:val="TableParagraph"/>
              <w:spacing w:before="58"/>
              <w:ind w:right="113"/>
              <w:rPr>
                <w:rFonts w:ascii="Calibri"/>
                <w:b/>
                <w:sz w:val="16"/>
              </w:rPr>
            </w:pPr>
            <w:r>
              <w:rPr>
                <w:rFonts w:ascii="Calibri"/>
                <w:b/>
                <w:color w:val="233F62"/>
                <w:spacing w:val="-5"/>
                <w:sz w:val="16"/>
              </w:rPr>
              <w:t>382</w:t>
            </w:r>
          </w:p>
        </w:tc>
        <w:tc>
          <w:tcPr>
            <w:tcW w:w="1579" w:type="dxa"/>
            <w:tcBorders>
              <w:top w:val="single" w:sz="8" w:space="0" w:color="95B3D6"/>
              <w:bottom w:val="single" w:sz="8" w:space="0" w:color="95B3D6"/>
            </w:tcBorders>
            <w:shd w:val="clear" w:color="auto" w:fill="DBE6F0"/>
          </w:tcPr>
          <w:p w14:paraId="4BF9FB16" w14:textId="77777777" w:rsidR="002C6574" w:rsidRDefault="00000000">
            <w:pPr>
              <w:pStyle w:val="TableParagraph"/>
              <w:spacing w:before="58"/>
              <w:ind w:right="119"/>
              <w:rPr>
                <w:rFonts w:ascii="Calibri"/>
                <w:b/>
                <w:sz w:val="16"/>
              </w:rPr>
            </w:pPr>
            <w:r>
              <w:rPr>
                <w:rFonts w:ascii="Calibri"/>
                <w:b/>
                <w:color w:val="233F62"/>
                <w:spacing w:val="-5"/>
                <w:sz w:val="16"/>
              </w:rPr>
              <w:t>23</w:t>
            </w:r>
          </w:p>
        </w:tc>
        <w:tc>
          <w:tcPr>
            <w:tcW w:w="1369" w:type="dxa"/>
            <w:tcBorders>
              <w:top w:val="single" w:sz="8" w:space="0" w:color="95B3D6"/>
              <w:bottom w:val="single" w:sz="8" w:space="0" w:color="95B3D6"/>
            </w:tcBorders>
            <w:shd w:val="clear" w:color="auto" w:fill="DBE6F0"/>
          </w:tcPr>
          <w:p w14:paraId="502267B6" w14:textId="77777777" w:rsidR="002C6574" w:rsidRDefault="00000000">
            <w:pPr>
              <w:pStyle w:val="TableParagraph"/>
              <w:spacing w:before="58"/>
              <w:ind w:right="67"/>
              <w:rPr>
                <w:rFonts w:ascii="Calibri"/>
                <w:b/>
                <w:sz w:val="16"/>
              </w:rPr>
            </w:pPr>
            <w:r>
              <w:rPr>
                <w:rFonts w:ascii="Calibri"/>
                <w:b/>
                <w:color w:val="233F62"/>
                <w:spacing w:val="-2"/>
                <w:sz w:val="16"/>
              </w:rPr>
              <w:t>6,41%</w:t>
            </w:r>
          </w:p>
        </w:tc>
      </w:tr>
    </w:tbl>
    <w:p w14:paraId="1AA5A590" w14:textId="77777777" w:rsidR="002C6574" w:rsidRDefault="00000000">
      <w:pPr>
        <w:spacing w:before="111"/>
        <w:ind w:left="424"/>
        <w:jc w:val="center"/>
        <w:rPr>
          <w:rFonts w:ascii="Calibri" w:hAnsi="Calibri"/>
          <w:sz w:val="16"/>
        </w:rPr>
      </w:pPr>
      <w:r>
        <w:rPr>
          <w:rFonts w:ascii="Calibri" w:hAnsi="Calibri"/>
          <w:color w:val="001F60"/>
          <w:sz w:val="16"/>
        </w:rPr>
        <w:t>Tabela</w:t>
      </w:r>
      <w:r>
        <w:rPr>
          <w:rFonts w:ascii="Calibri" w:hAnsi="Calibri"/>
          <w:color w:val="001F60"/>
          <w:spacing w:val="-3"/>
          <w:sz w:val="16"/>
        </w:rPr>
        <w:t xml:space="preserve"> </w:t>
      </w:r>
      <w:r>
        <w:rPr>
          <w:rFonts w:ascii="Calibri" w:hAnsi="Calibri"/>
          <w:color w:val="001F60"/>
          <w:sz w:val="16"/>
        </w:rPr>
        <w:t>8-2</w:t>
      </w:r>
      <w:r>
        <w:rPr>
          <w:rFonts w:ascii="Calibri" w:hAnsi="Calibri"/>
          <w:color w:val="001F60"/>
          <w:spacing w:val="-1"/>
          <w:sz w:val="16"/>
        </w:rPr>
        <w:t xml:space="preserve"> </w:t>
      </w:r>
      <w:r>
        <w:rPr>
          <w:rFonts w:ascii="Calibri" w:hAnsi="Calibri"/>
          <w:color w:val="001F60"/>
          <w:sz w:val="16"/>
        </w:rPr>
        <w:t>Quadro</w:t>
      </w:r>
      <w:r>
        <w:rPr>
          <w:rFonts w:ascii="Calibri" w:hAnsi="Calibri"/>
          <w:color w:val="001F60"/>
          <w:spacing w:val="-3"/>
          <w:sz w:val="16"/>
        </w:rPr>
        <w:t xml:space="preserve"> </w:t>
      </w:r>
      <w:r>
        <w:rPr>
          <w:rFonts w:ascii="Calibri" w:hAnsi="Calibri"/>
          <w:color w:val="001F60"/>
          <w:sz w:val="16"/>
        </w:rPr>
        <w:t>de</w:t>
      </w:r>
      <w:r>
        <w:rPr>
          <w:rFonts w:ascii="Calibri" w:hAnsi="Calibri"/>
          <w:color w:val="001F60"/>
          <w:spacing w:val="-3"/>
          <w:sz w:val="16"/>
        </w:rPr>
        <w:t xml:space="preserve"> </w:t>
      </w:r>
      <w:r>
        <w:rPr>
          <w:rFonts w:ascii="Calibri" w:hAnsi="Calibri"/>
          <w:color w:val="001F60"/>
          <w:sz w:val="16"/>
        </w:rPr>
        <w:t>Pessoal</w:t>
      </w:r>
      <w:r>
        <w:rPr>
          <w:rFonts w:ascii="Calibri" w:hAnsi="Calibri"/>
          <w:color w:val="001F60"/>
          <w:spacing w:val="-5"/>
          <w:sz w:val="16"/>
        </w:rPr>
        <w:t xml:space="preserve"> </w:t>
      </w:r>
      <w:r>
        <w:rPr>
          <w:rFonts w:ascii="Calibri" w:hAnsi="Calibri"/>
          <w:color w:val="001F60"/>
          <w:sz w:val="16"/>
        </w:rPr>
        <w:t>por</w:t>
      </w:r>
      <w:r>
        <w:rPr>
          <w:rFonts w:ascii="Calibri" w:hAnsi="Calibri"/>
          <w:color w:val="001F60"/>
          <w:spacing w:val="-2"/>
          <w:sz w:val="16"/>
        </w:rPr>
        <w:t xml:space="preserve"> Gênero</w:t>
      </w:r>
    </w:p>
    <w:p w14:paraId="5FCD3EDB" w14:textId="77777777" w:rsidR="002C6574" w:rsidRDefault="002C6574">
      <w:pPr>
        <w:pStyle w:val="Corpodetexto"/>
        <w:rPr>
          <w:rFonts w:ascii="Calibri"/>
          <w:sz w:val="20"/>
        </w:rPr>
      </w:pPr>
    </w:p>
    <w:p w14:paraId="5FF14494" w14:textId="77777777" w:rsidR="002C6574" w:rsidRDefault="002C6574">
      <w:pPr>
        <w:pStyle w:val="Corpodetexto"/>
        <w:spacing w:before="30"/>
        <w:rPr>
          <w:rFonts w:ascii="Calibri"/>
          <w:sz w:val="20"/>
        </w:rPr>
      </w:pPr>
    </w:p>
    <w:tbl>
      <w:tblPr>
        <w:tblStyle w:val="TableNormal"/>
        <w:tblW w:w="0" w:type="auto"/>
        <w:tblInd w:w="1780" w:type="dxa"/>
        <w:tblLayout w:type="fixed"/>
        <w:tblLook w:val="01E0" w:firstRow="1" w:lastRow="1" w:firstColumn="1" w:lastColumn="1" w:noHBand="0" w:noVBand="0"/>
      </w:tblPr>
      <w:tblGrid>
        <w:gridCol w:w="1754"/>
        <w:gridCol w:w="1456"/>
        <w:gridCol w:w="1160"/>
        <w:gridCol w:w="1034"/>
        <w:gridCol w:w="1541"/>
      </w:tblGrid>
      <w:tr w:rsidR="002C6574" w14:paraId="0944C29F" w14:textId="77777777">
        <w:trPr>
          <w:trHeight w:val="315"/>
        </w:trPr>
        <w:tc>
          <w:tcPr>
            <w:tcW w:w="1754" w:type="dxa"/>
            <w:tcBorders>
              <w:top w:val="single" w:sz="8" w:space="0" w:color="95B3D6"/>
              <w:bottom w:val="single" w:sz="8" w:space="0" w:color="95B3D6"/>
            </w:tcBorders>
            <w:shd w:val="clear" w:color="auto" w:fill="DBE6F0"/>
          </w:tcPr>
          <w:p w14:paraId="45E0C69E" w14:textId="77777777" w:rsidR="002C6574" w:rsidRDefault="00000000">
            <w:pPr>
              <w:pStyle w:val="TableParagraph"/>
              <w:spacing w:before="58"/>
              <w:ind w:left="5" w:right="76"/>
              <w:jc w:val="center"/>
              <w:rPr>
                <w:rFonts w:ascii="Calibri" w:hAnsi="Calibri"/>
                <w:b/>
                <w:sz w:val="16"/>
              </w:rPr>
            </w:pPr>
            <w:r>
              <w:rPr>
                <w:rFonts w:ascii="Calibri" w:hAnsi="Calibri"/>
                <w:b/>
                <w:color w:val="233F62"/>
                <w:spacing w:val="-2"/>
                <w:sz w:val="16"/>
              </w:rPr>
              <w:t>Posição</w:t>
            </w:r>
          </w:p>
        </w:tc>
        <w:tc>
          <w:tcPr>
            <w:tcW w:w="1456" w:type="dxa"/>
            <w:tcBorders>
              <w:top w:val="single" w:sz="8" w:space="0" w:color="95B3D6"/>
              <w:bottom w:val="single" w:sz="8" w:space="0" w:color="95B3D6"/>
            </w:tcBorders>
            <w:shd w:val="clear" w:color="auto" w:fill="DBE6F0"/>
          </w:tcPr>
          <w:p w14:paraId="5B3087F8" w14:textId="77777777" w:rsidR="002C6574" w:rsidRDefault="00000000">
            <w:pPr>
              <w:pStyle w:val="TableParagraph"/>
              <w:spacing w:before="58"/>
              <w:ind w:left="1" w:right="43"/>
              <w:jc w:val="center"/>
              <w:rPr>
                <w:rFonts w:ascii="Calibri" w:hAnsi="Calibri"/>
                <w:b/>
                <w:sz w:val="16"/>
              </w:rPr>
            </w:pPr>
            <w:r>
              <w:rPr>
                <w:rFonts w:ascii="Calibri" w:hAnsi="Calibri"/>
                <w:b/>
                <w:color w:val="233F62"/>
                <w:spacing w:val="-2"/>
                <w:sz w:val="16"/>
              </w:rPr>
              <w:t>Gênero</w:t>
            </w:r>
          </w:p>
        </w:tc>
        <w:tc>
          <w:tcPr>
            <w:tcW w:w="1160" w:type="dxa"/>
            <w:tcBorders>
              <w:top w:val="single" w:sz="8" w:space="0" w:color="95B3D6"/>
              <w:bottom w:val="single" w:sz="8" w:space="0" w:color="95B3D6"/>
            </w:tcBorders>
            <w:shd w:val="clear" w:color="auto" w:fill="DBE6F0"/>
          </w:tcPr>
          <w:p w14:paraId="6FDD167F" w14:textId="77777777" w:rsidR="002C6574" w:rsidRDefault="00000000">
            <w:pPr>
              <w:pStyle w:val="TableParagraph"/>
              <w:spacing w:before="58"/>
              <w:ind w:left="346"/>
              <w:jc w:val="left"/>
              <w:rPr>
                <w:rFonts w:ascii="Calibri"/>
                <w:b/>
                <w:sz w:val="16"/>
              </w:rPr>
            </w:pPr>
            <w:r>
              <w:rPr>
                <w:rFonts w:ascii="Calibri"/>
                <w:b/>
                <w:color w:val="233F62"/>
                <w:spacing w:val="-4"/>
                <w:sz w:val="16"/>
              </w:rPr>
              <w:t>2024</w:t>
            </w:r>
          </w:p>
        </w:tc>
        <w:tc>
          <w:tcPr>
            <w:tcW w:w="1034" w:type="dxa"/>
            <w:tcBorders>
              <w:top w:val="single" w:sz="8" w:space="0" w:color="95B3D6"/>
              <w:bottom w:val="single" w:sz="8" w:space="0" w:color="95B3D6"/>
            </w:tcBorders>
            <w:shd w:val="clear" w:color="auto" w:fill="DBE6F0"/>
          </w:tcPr>
          <w:p w14:paraId="0FB50B70" w14:textId="77777777" w:rsidR="002C6574" w:rsidRDefault="00000000">
            <w:pPr>
              <w:pStyle w:val="TableParagraph"/>
              <w:spacing w:before="58"/>
              <w:ind w:left="237"/>
              <w:jc w:val="left"/>
              <w:rPr>
                <w:rFonts w:ascii="Calibri"/>
                <w:b/>
                <w:sz w:val="16"/>
              </w:rPr>
            </w:pPr>
            <w:r>
              <w:rPr>
                <w:rFonts w:ascii="Calibri"/>
                <w:b/>
                <w:color w:val="233F62"/>
                <w:spacing w:val="-4"/>
                <w:sz w:val="16"/>
              </w:rPr>
              <w:t>2025</w:t>
            </w:r>
          </w:p>
        </w:tc>
        <w:tc>
          <w:tcPr>
            <w:tcW w:w="1541" w:type="dxa"/>
            <w:tcBorders>
              <w:top w:val="single" w:sz="8" w:space="0" w:color="95B3D6"/>
              <w:bottom w:val="single" w:sz="8" w:space="0" w:color="95B3D6"/>
            </w:tcBorders>
            <w:shd w:val="clear" w:color="auto" w:fill="DBE6F0"/>
          </w:tcPr>
          <w:p w14:paraId="2F84808F" w14:textId="77777777" w:rsidR="002C6574" w:rsidRDefault="00000000">
            <w:pPr>
              <w:pStyle w:val="TableParagraph"/>
              <w:spacing w:before="58"/>
              <w:ind w:left="132"/>
              <w:jc w:val="left"/>
              <w:rPr>
                <w:rFonts w:ascii="Calibri" w:hAnsi="Calibri"/>
                <w:b/>
                <w:sz w:val="16"/>
              </w:rPr>
            </w:pPr>
            <w:r>
              <w:rPr>
                <w:rFonts w:ascii="Calibri" w:hAnsi="Calibri"/>
                <w:b/>
                <w:color w:val="233F62"/>
                <w:sz w:val="16"/>
              </w:rPr>
              <w:t>Δ</w:t>
            </w:r>
            <w:r>
              <w:rPr>
                <w:rFonts w:ascii="Calibri" w:hAnsi="Calibri"/>
                <w:b/>
                <w:color w:val="233F62"/>
                <w:spacing w:val="-3"/>
                <w:sz w:val="16"/>
              </w:rPr>
              <w:t xml:space="preserve"> </w:t>
            </w:r>
            <w:r>
              <w:rPr>
                <w:rFonts w:ascii="Calibri" w:hAnsi="Calibri"/>
                <w:b/>
                <w:color w:val="233F62"/>
                <w:sz w:val="16"/>
              </w:rPr>
              <w:t>Abs</w:t>
            </w:r>
            <w:r>
              <w:rPr>
                <w:rFonts w:ascii="Calibri" w:hAnsi="Calibri"/>
                <w:b/>
                <w:color w:val="233F62"/>
                <w:spacing w:val="-2"/>
                <w:sz w:val="16"/>
              </w:rPr>
              <w:t xml:space="preserve"> </w:t>
            </w:r>
            <w:r>
              <w:rPr>
                <w:rFonts w:ascii="Calibri" w:hAnsi="Calibri"/>
                <w:b/>
                <w:color w:val="233F62"/>
                <w:sz w:val="16"/>
              </w:rPr>
              <w:t>(2025-</w:t>
            </w:r>
            <w:r>
              <w:rPr>
                <w:rFonts w:ascii="Calibri" w:hAnsi="Calibri"/>
                <w:b/>
                <w:color w:val="233F62"/>
                <w:spacing w:val="-2"/>
                <w:sz w:val="16"/>
              </w:rPr>
              <w:t>2024)</w:t>
            </w:r>
          </w:p>
        </w:tc>
      </w:tr>
      <w:tr w:rsidR="002C6574" w14:paraId="0D38EBC8" w14:textId="77777777">
        <w:trPr>
          <w:trHeight w:val="240"/>
        </w:trPr>
        <w:tc>
          <w:tcPr>
            <w:tcW w:w="1754" w:type="dxa"/>
            <w:tcBorders>
              <w:top w:val="single" w:sz="8" w:space="0" w:color="95B3D6"/>
            </w:tcBorders>
          </w:tcPr>
          <w:p w14:paraId="2DEB0AFB" w14:textId="77777777" w:rsidR="002C6574" w:rsidRDefault="002C6574">
            <w:pPr>
              <w:pStyle w:val="TableParagraph"/>
              <w:jc w:val="left"/>
              <w:rPr>
                <w:rFonts w:ascii="Times New Roman"/>
                <w:sz w:val="16"/>
              </w:rPr>
            </w:pPr>
          </w:p>
        </w:tc>
        <w:tc>
          <w:tcPr>
            <w:tcW w:w="1456" w:type="dxa"/>
            <w:tcBorders>
              <w:top w:val="single" w:sz="8" w:space="0" w:color="95B3D6"/>
            </w:tcBorders>
          </w:tcPr>
          <w:p w14:paraId="2D110205" w14:textId="77777777" w:rsidR="002C6574" w:rsidRDefault="00000000">
            <w:pPr>
              <w:pStyle w:val="TableParagraph"/>
              <w:spacing w:before="51" w:line="169" w:lineRule="exact"/>
              <w:ind w:left="5" w:right="43"/>
              <w:jc w:val="center"/>
              <w:rPr>
                <w:rFonts w:ascii="Calibri"/>
                <w:sz w:val="16"/>
              </w:rPr>
            </w:pPr>
            <w:r>
              <w:rPr>
                <w:rFonts w:ascii="Calibri"/>
                <w:color w:val="233F62"/>
                <w:spacing w:val="-2"/>
                <w:sz w:val="16"/>
              </w:rPr>
              <w:t>FEMININO</w:t>
            </w:r>
          </w:p>
        </w:tc>
        <w:tc>
          <w:tcPr>
            <w:tcW w:w="1160" w:type="dxa"/>
            <w:tcBorders>
              <w:top w:val="single" w:sz="8" w:space="0" w:color="95B3D6"/>
            </w:tcBorders>
          </w:tcPr>
          <w:p w14:paraId="0087548F" w14:textId="77777777" w:rsidR="002C6574" w:rsidRDefault="00000000">
            <w:pPr>
              <w:pStyle w:val="TableParagraph"/>
              <w:spacing w:before="51" w:line="169" w:lineRule="exact"/>
              <w:ind w:right="236"/>
              <w:rPr>
                <w:rFonts w:ascii="Calibri"/>
                <w:sz w:val="16"/>
              </w:rPr>
            </w:pPr>
            <w:r>
              <w:rPr>
                <w:rFonts w:ascii="Calibri"/>
                <w:color w:val="233F62"/>
                <w:spacing w:val="-2"/>
                <w:sz w:val="16"/>
              </w:rPr>
              <w:t>35,39%</w:t>
            </w:r>
          </w:p>
        </w:tc>
        <w:tc>
          <w:tcPr>
            <w:tcW w:w="1034" w:type="dxa"/>
            <w:tcBorders>
              <w:top w:val="single" w:sz="8" w:space="0" w:color="95B3D6"/>
            </w:tcBorders>
          </w:tcPr>
          <w:p w14:paraId="62C3A426" w14:textId="77777777" w:rsidR="002C6574" w:rsidRDefault="00000000">
            <w:pPr>
              <w:pStyle w:val="TableParagraph"/>
              <w:spacing w:before="51" w:line="169" w:lineRule="exact"/>
              <w:ind w:right="129"/>
              <w:rPr>
                <w:rFonts w:ascii="Calibri"/>
                <w:sz w:val="16"/>
              </w:rPr>
            </w:pPr>
            <w:r>
              <w:rPr>
                <w:rFonts w:ascii="Calibri"/>
                <w:color w:val="233F62"/>
                <w:spacing w:val="-2"/>
                <w:sz w:val="16"/>
              </w:rPr>
              <w:t>39,16%</w:t>
            </w:r>
          </w:p>
        </w:tc>
        <w:tc>
          <w:tcPr>
            <w:tcW w:w="1541" w:type="dxa"/>
            <w:tcBorders>
              <w:top w:val="single" w:sz="8" w:space="0" w:color="95B3D6"/>
            </w:tcBorders>
          </w:tcPr>
          <w:p w14:paraId="067D3A79" w14:textId="77777777" w:rsidR="002C6574" w:rsidRDefault="00000000">
            <w:pPr>
              <w:pStyle w:val="TableParagraph"/>
              <w:spacing w:before="51" w:line="169" w:lineRule="exact"/>
              <w:ind w:right="65"/>
              <w:rPr>
                <w:rFonts w:ascii="Calibri"/>
                <w:sz w:val="16"/>
              </w:rPr>
            </w:pPr>
            <w:r>
              <w:rPr>
                <w:rFonts w:ascii="Calibri"/>
                <w:color w:val="233F62"/>
                <w:spacing w:val="-2"/>
                <w:sz w:val="16"/>
              </w:rPr>
              <w:t>3,77%</w:t>
            </w:r>
          </w:p>
        </w:tc>
      </w:tr>
      <w:tr w:rsidR="002C6574" w14:paraId="45CA5B0B" w14:textId="77777777">
        <w:trPr>
          <w:trHeight w:val="154"/>
        </w:trPr>
        <w:tc>
          <w:tcPr>
            <w:tcW w:w="1754" w:type="dxa"/>
          </w:tcPr>
          <w:p w14:paraId="5BBA177E" w14:textId="77777777" w:rsidR="002C6574" w:rsidRDefault="00000000">
            <w:pPr>
              <w:pStyle w:val="TableParagraph"/>
              <w:spacing w:line="135" w:lineRule="exact"/>
              <w:ind w:right="76"/>
              <w:jc w:val="center"/>
              <w:rPr>
                <w:rFonts w:ascii="Calibri"/>
                <w:sz w:val="16"/>
              </w:rPr>
            </w:pPr>
            <w:r>
              <w:rPr>
                <w:rFonts w:ascii="Calibri"/>
                <w:color w:val="233F62"/>
                <w:sz w:val="16"/>
              </w:rPr>
              <w:t>Empregado</w:t>
            </w:r>
            <w:r>
              <w:rPr>
                <w:rFonts w:ascii="Calibri"/>
                <w:color w:val="233F62"/>
                <w:spacing w:val="-9"/>
                <w:sz w:val="16"/>
              </w:rPr>
              <w:t xml:space="preserve"> </w:t>
            </w:r>
            <w:r>
              <w:rPr>
                <w:rFonts w:ascii="Calibri"/>
                <w:color w:val="233F62"/>
                <w:spacing w:val="-2"/>
                <w:sz w:val="16"/>
              </w:rPr>
              <w:t>Efetivo</w:t>
            </w:r>
          </w:p>
        </w:tc>
        <w:tc>
          <w:tcPr>
            <w:tcW w:w="1456" w:type="dxa"/>
          </w:tcPr>
          <w:p w14:paraId="0D2433B0" w14:textId="77777777" w:rsidR="002C6574" w:rsidRDefault="002C6574">
            <w:pPr>
              <w:pStyle w:val="TableParagraph"/>
              <w:jc w:val="left"/>
              <w:rPr>
                <w:rFonts w:ascii="Times New Roman"/>
                <w:sz w:val="8"/>
              </w:rPr>
            </w:pPr>
          </w:p>
        </w:tc>
        <w:tc>
          <w:tcPr>
            <w:tcW w:w="1160" w:type="dxa"/>
          </w:tcPr>
          <w:p w14:paraId="40DFA487" w14:textId="77777777" w:rsidR="002C6574" w:rsidRDefault="002C6574">
            <w:pPr>
              <w:pStyle w:val="TableParagraph"/>
              <w:jc w:val="left"/>
              <w:rPr>
                <w:rFonts w:ascii="Times New Roman"/>
                <w:sz w:val="8"/>
              </w:rPr>
            </w:pPr>
          </w:p>
        </w:tc>
        <w:tc>
          <w:tcPr>
            <w:tcW w:w="1034" w:type="dxa"/>
          </w:tcPr>
          <w:p w14:paraId="5EB7B4B8" w14:textId="77777777" w:rsidR="002C6574" w:rsidRDefault="002C6574">
            <w:pPr>
              <w:pStyle w:val="TableParagraph"/>
              <w:jc w:val="left"/>
              <w:rPr>
                <w:rFonts w:ascii="Times New Roman"/>
                <w:sz w:val="8"/>
              </w:rPr>
            </w:pPr>
          </w:p>
        </w:tc>
        <w:tc>
          <w:tcPr>
            <w:tcW w:w="1541" w:type="dxa"/>
          </w:tcPr>
          <w:p w14:paraId="489CE357" w14:textId="77777777" w:rsidR="002C6574" w:rsidRDefault="002C6574">
            <w:pPr>
              <w:pStyle w:val="TableParagraph"/>
              <w:jc w:val="left"/>
              <w:rPr>
                <w:rFonts w:ascii="Times New Roman"/>
                <w:sz w:val="8"/>
              </w:rPr>
            </w:pPr>
          </w:p>
        </w:tc>
      </w:tr>
      <w:tr w:rsidR="002C6574" w14:paraId="173ECEE5" w14:textId="77777777">
        <w:trPr>
          <w:trHeight w:val="214"/>
        </w:trPr>
        <w:tc>
          <w:tcPr>
            <w:tcW w:w="1754" w:type="dxa"/>
            <w:tcBorders>
              <w:bottom w:val="single" w:sz="4" w:space="0" w:color="95B3D6"/>
            </w:tcBorders>
          </w:tcPr>
          <w:p w14:paraId="7F13980C" w14:textId="77777777" w:rsidR="002C6574" w:rsidRDefault="002C6574">
            <w:pPr>
              <w:pStyle w:val="TableParagraph"/>
              <w:jc w:val="left"/>
              <w:rPr>
                <w:rFonts w:ascii="Times New Roman"/>
                <w:sz w:val="14"/>
              </w:rPr>
            </w:pPr>
          </w:p>
        </w:tc>
        <w:tc>
          <w:tcPr>
            <w:tcW w:w="1456" w:type="dxa"/>
            <w:tcBorders>
              <w:bottom w:val="single" w:sz="4" w:space="0" w:color="95B3D6"/>
            </w:tcBorders>
          </w:tcPr>
          <w:p w14:paraId="2DBD0982" w14:textId="77777777" w:rsidR="002C6574" w:rsidRDefault="00000000">
            <w:pPr>
              <w:pStyle w:val="TableParagraph"/>
              <w:spacing w:line="161" w:lineRule="exact"/>
              <w:ind w:right="43"/>
              <w:jc w:val="center"/>
              <w:rPr>
                <w:rFonts w:ascii="Calibri"/>
                <w:sz w:val="16"/>
              </w:rPr>
            </w:pPr>
            <w:r>
              <w:rPr>
                <w:rFonts w:ascii="Calibri"/>
                <w:color w:val="233F62"/>
                <w:spacing w:val="-2"/>
                <w:sz w:val="16"/>
              </w:rPr>
              <w:t>MASCULINO</w:t>
            </w:r>
          </w:p>
        </w:tc>
        <w:tc>
          <w:tcPr>
            <w:tcW w:w="1160" w:type="dxa"/>
            <w:tcBorders>
              <w:bottom w:val="single" w:sz="4" w:space="0" w:color="95B3D6"/>
            </w:tcBorders>
          </w:tcPr>
          <w:p w14:paraId="48229186" w14:textId="77777777" w:rsidR="002C6574" w:rsidRDefault="00000000">
            <w:pPr>
              <w:pStyle w:val="TableParagraph"/>
              <w:spacing w:line="161" w:lineRule="exact"/>
              <w:ind w:right="235"/>
              <w:rPr>
                <w:rFonts w:ascii="Calibri"/>
                <w:sz w:val="16"/>
              </w:rPr>
            </w:pPr>
            <w:r>
              <w:rPr>
                <w:rFonts w:ascii="Calibri"/>
                <w:color w:val="233F62"/>
                <w:spacing w:val="-2"/>
                <w:sz w:val="16"/>
              </w:rPr>
              <w:t>64,61%</w:t>
            </w:r>
          </w:p>
        </w:tc>
        <w:tc>
          <w:tcPr>
            <w:tcW w:w="1034" w:type="dxa"/>
            <w:tcBorders>
              <w:bottom w:val="single" w:sz="4" w:space="0" w:color="95B3D6"/>
            </w:tcBorders>
          </w:tcPr>
          <w:p w14:paraId="71359E97" w14:textId="77777777" w:rsidR="002C6574" w:rsidRDefault="00000000">
            <w:pPr>
              <w:pStyle w:val="TableParagraph"/>
              <w:spacing w:line="161" w:lineRule="exact"/>
              <w:ind w:right="129"/>
              <w:rPr>
                <w:rFonts w:ascii="Calibri"/>
                <w:sz w:val="16"/>
              </w:rPr>
            </w:pPr>
            <w:r>
              <w:rPr>
                <w:rFonts w:ascii="Calibri"/>
                <w:color w:val="233F62"/>
                <w:spacing w:val="-2"/>
                <w:sz w:val="16"/>
              </w:rPr>
              <w:t>60,84%</w:t>
            </w:r>
          </w:p>
        </w:tc>
        <w:tc>
          <w:tcPr>
            <w:tcW w:w="1541" w:type="dxa"/>
            <w:tcBorders>
              <w:bottom w:val="single" w:sz="4" w:space="0" w:color="95B3D6"/>
            </w:tcBorders>
          </w:tcPr>
          <w:p w14:paraId="3111E9B0" w14:textId="77777777" w:rsidR="002C6574" w:rsidRDefault="00000000">
            <w:pPr>
              <w:pStyle w:val="TableParagraph"/>
              <w:spacing w:line="161" w:lineRule="exact"/>
              <w:ind w:right="65"/>
              <w:rPr>
                <w:rFonts w:ascii="Calibri"/>
                <w:sz w:val="16"/>
              </w:rPr>
            </w:pPr>
            <w:r>
              <w:rPr>
                <w:rFonts w:ascii="Calibri"/>
                <w:color w:val="233F62"/>
                <w:sz w:val="16"/>
              </w:rPr>
              <w:t>-</w:t>
            </w:r>
            <w:r>
              <w:rPr>
                <w:rFonts w:ascii="Calibri"/>
                <w:color w:val="233F62"/>
                <w:spacing w:val="-2"/>
                <w:sz w:val="16"/>
              </w:rPr>
              <w:t>3,77%</w:t>
            </w:r>
          </w:p>
        </w:tc>
      </w:tr>
      <w:tr w:rsidR="002C6574" w14:paraId="6A2C58EF" w14:textId="77777777">
        <w:trPr>
          <w:trHeight w:val="241"/>
        </w:trPr>
        <w:tc>
          <w:tcPr>
            <w:tcW w:w="1754" w:type="dxa"/>
            <w:tcBorders>
              <w:top w:val="single" w:sz="4" w:space="0" w:color="95B3D6"/>
            </w:tcBorders>
          </w:tcPr>
          <w:p w14:paraId="5F93E561" w14:textId="77777777" w:rsidR="002C6574" w:rsidRDefault="002C6574">
            <w:pPr>
              <w:pStyle w:val="TableParagraph"/>
              <w:jc w:val="left"/>
              <w:rPr>
                <w:rFonts w:ascii="Times New Roman"/>
                <w:sz w:val="16"/>
              </w:rPr>
            </w:pPr>
          </w:p>
        </w:tc>
        <w:tc>
          <w:tcPr>
            <w:tcW w:w="1456" w:type="dxa"/>
            <w:tcBorders>
              <w:top w:val="single" w:sz="4" w:space="0" w:color="95B3D6"/>
            </w:tcBorders>
          </w:tcPr>
          <w:p w14:paraId="47D3B14D" w14:textId="77777777" w:rsidR="002C6574" w:rsidRDefault="00000000">
            <w:pPr>
              <w:pStyle w:val="TableParagraph"/>
              <w:spacing w:before="51" w:line="170" w:lineRule="exact"/>
              <w:ind w:left="5" w:right="43"/>
              <w:jc w:val="center"/>
              <w:rPr>
                <w:rFonts w:ascii="Calibri"/>
                <w:sz w:val="16"/>
              </w:rPr>
            </w:pPr>
            <w:r>
              <w:rPr>
                <w:rFonts w:ascii="Calibri"/>
                <w:color w:val="233F62"/>
                <w:spacing w:val="-2"/>
                <w:sz w:val="16"/>
              </w:rPr>
              <w:t>FEMININO</w:t>
            </w:r>
          </w:p>
        </w:tc>
        <w:tc>
          <w:tcPr>
            <w:tcW w:w="1160" w:type="dxa"/>
            <w:tcBorders>
              <w:top w:val="single" w:sz="4" w:space="0" w:color="95B3D6"/>
            </w:tcBorders>
          </w:tcPr>
          <w:p w14:paraId="1F45A281" w14:textId="77777777" w:rsidR="002C6574" w:rsidRDefault="00000000">
            <w:pPr>
              <w:pStyle w:val="TableParagraph"/>
              <w:spacing w:before="51" w:line="170" w:lineRule="exact"/>
              <w:ind w:right="236"/>
              <w:rPr>
                <w:rFonts w:ascii="Calibri"/>
                <w:sz w:val="16"/>
              </w:rPr>
            </w:pPr>
            <w:r>
              <w:rPr>
                <w:rFonts w:ascii="Calibri"/>
                <w:color w:val="233F62"/>
                <w:spacing w:val="-2"/>
                <w:sz w:val="16"/>
              </w:rPr>
              <w:t>37,80%</w:t>
            </w:r>
          </w:p>
        </w:tc>
        <w:tc>
          <w:tcPr>
            <w:tcW w:w="1034" w:type="dxa"/>
            <w:tcBorders>
              <w:top w:val="single" w:sz="4" w:space="0" w:color="95B3D6"/>
            </w:tcBorders>
          </w:tcPr>
          <w:p w14:paraId="4D77E5EF" w14:textId="77777777" w:rsidR="002C6574" w:rsidRDefault="00000000">
            <w:pPr>
              <w:pStyle w:val="TableParagraph"/>
              <w:spacing w:before="51" w:line="170" w:lineRule="exact"/>
              <w:ind w:right="129"/>
              <w:rPr>
                <w:rFonts w:ascii="Calibri"/>
                <w:sz w:val="16"/>
              </w:rPr>
            </w:pPr>
            <w:r>
              <w:rPr>
                <w:rFonts w:ascii="Calibri"/>
                <w:color w:val="233F62"/>
                <w:spacing w:val="-2"/>
                <w:sz w:val="16"/>
              </w:rPr>
              <w:t>40,00%</w:t>
            </w:r>
          </w:p>
        </w:tc>
        <w:tc>
          <w:tcPr>
            <w:tcW w:w="1541" w:type="dxa"/>
            <w:tcBorders>
              <w:top w:val="single" w:sz="4" w:space="0" w:color="95B3D6"/>
            </w:tcBorders>
          </w:tcPr>
          <w:p w14:paraId="0BBCEF13" w14:textId="77777777" w:rsidR="002C6574" w:rsidRDefault="00000000">
            <w:pPr>
              <w:pStyle w:val="TableParagraph"/>
              <w:spacing w:before="51" w:line="170" w:lineRule="exact"/>
              <w:ind w:right="65"/>
              <w:rPr>
                <w:rFonts w:ascii="Calibri"/>
                <w:sz w:val="16"/>
              </w:rPr>
            </w:pPr>
            <w:r>
              <w:rPr>
                <w:rFonts w:ascii="Calibri"/>
                <w:color w:val="233F62"/>
                <w:spacing w:val="-2"/>
                <w:sz w:val="16"/>
              </w:rPr>
              <w:t>2,20%</w:t>
            </w:r>
          </w:p>
        </w:tc>
      </w:tr>
      <w:tr w:rsidR="002C6574" w14:paraId="74A06F37" w14:textId="77777777">
        <w:trPr>
          <w:trHeight w:val="154"/>
        </w:trPr>
        <w:tc>
          <w:tcPr>
            <w:tcW w:w="1754" w:type="dxa"/>
          </w:tcPr>
          <w:p w14:paraId="425CA908" w14:textId="77777777" w:rsidR="002C6574" w:rsidRDefault="00000000">
            <w:pPr>
              <w:pStyle w:val="TableParagraph"/>
              <w:spacing w:line="135" w:lineRule="exact"/>
              <w:ind w:left="8" w:right="76"/>
              <w:jc w:val="center"/>
              <w:rPr>
                <w:rFonts w:ascii="Calibri"/>
                <w:sz w:val="16"/>
              </w:rPr>
            </w:pPr>
            <w:r>
              <w:rPr>
                <w:rFonts w:ascii="Calibri"/>
                <w:color w:val="233F62"/>
                <w:sz w:val="16"/>
              </w:rPr>
              <w:t>Com</w:t>
            </w:r>
            <w:r>
              <w:rPr>
                <w:rFonts w:ascii="Calibri"/>
                <w:color w:val="233F62"/>
                <w:spacing w:val="-2"/>
                <w:sz w:val="16"/>
              </w:rPr>
              <w:t xml:space="preserve"> Cargo</w:t>
            </w:r>
          </w:p>
        </w:tc>
        <w:tc>
          <w:tcPr>
            <w:tcW w:w="1456" w:type="dxa"/>
          </w:tcPr>
          <w:p w14:paraId="77CD7A6F" w14:textId="77777777" w:rsidR="002C6574" w:rsidRDefault="002C6574">
            <w:pPr>
              <w:pStyle w:val="TableParagraph"/>
              <w:jc w:val="left"/>
              <w:rPr>
                <w:rFonts w:ascii="Times New Roman"/>
                <w:sz w:val="8"/>
              </w:rPr>
            </w:pPr>
          </w:p>
        </w:tc>
        <w:tc>
          <w:tcPr>
            <w:tcW w:w="1160" w:type="dxa"/>
          </w:tcPr>
          <w:p w14:paraId="20DEEF0F" w14:textId="77777777" w:rsidR="002C6574" w:rsidRDefault="002C6574">
            <w:pPr>
              <w:pStyle w:val="TableParagraph"/>
              <w:jc w:val="left"/>
              <w:rPr>
                <w:rFonts w:ascii="Times New Roman"/>
                <w:sz w:val="8"/>
              </w:rPr>
            </w:pPr>
          </w:p>
        </w:tc>
        <w:tc>
          <w:tcPr>
            <w:tcW w:w="1034" w:type="dxa"/>
          </w:tcPr>
          <w:p w14:paraId="2385DA4F" w14:textId="77777777" w:rsidR="002C6574" w:rsidRDefault="002C6574">
            <w:pPr>
              <w:pStyle w:val="TableParagraph"/>
              <w:jc w:val="left"/>
              <w:rPr>
                <w:rFonts w:ascii="Times New Roman"/>
                <w:sz w:val="8"/>
              </w:rPr>
            </w:pPr>
          </w:p>
        </w:tc>
        <w:tc>
          <w:tcPr>
            <w:tcW w:w="1541" w:type="dxa"/>
          </w:tcPr>
          <w:p w14:paraId="6114C397" w14:textId="77777777" w:rsidR="002C6574" w:rsidRDefault="002C6574">
            <w:pPr>
              <w:pStyle w:val="TableParagraph"/>
              <w:jc w:val="left"/>
              <w:rPr>
                <w:rFonts w:ascii="Times New Roman"/>
                <w:sz w:val="8"/>
              </w:rPr>
            </w:pPr>
          </w:p>
        </w:tc>
      </w:tr>
      <w:tr w:rsidR="002C6574" w14:paraId="09455F7D" w14:textId="77777777">
        <w:trPr>
          <w:trHeight w:val="215"/>
        </w:trPr>
        <w:tc>
          <w:tcPr>
            <w:tcW w:w="1754" w:type="dxa"/>
            <w:tcBorders>
              <w:bottom w:val="single" w:sz="4" w:space="0" w:color="95B3D6"/>
            </w:tcBorders>
          </w:tcPr>
          <w:p w14:paraId="49D77862" w14:textId="77777777" w:rsidR="002C6574" w:rsidRDefault="002C6574">
            <w:pPr>
              <w:pStyle w:val="TableParagraph"/>
              <w:jc w:val="left"/>
              <w:rPr>
                <w:rFonts w:ascii="Times New Roman"/>
                <w:sz w:val="14"/>
              </w:rPr>
            </w:pPr>
          </w:p>
        </w:tc>
        <w:tc>
          <w:tcPr>
            <w:tcW w:w="1456" w:type="dxa"/>
            <w:tcBorders>
              <w:bottom w:val="single" w:sz="4" w:space="0" w:color="95B3D6"/>
            </w:tcBorders>
          </w:tcPr>
          <w:p w14:paraId="6A32148D" w14:textId="77777777" w:rsidR="002C6574" w:rsidRDefault="00000000">
            <w:pPr>
              <w:pStyle w:val="TableParagraph"/>
              <w:spacing w:line="160" w:lineRule="exact"/>
              <w:ind w:right="43"/>
              <w:jc w:val="center"/>
              <w:rPr>
                <w:rFonts w:ascii="Calibri"/>
                <w:sz w:val="16"/>
              </w:rPr>
            </w:pPr>
            <w:r>
              <w:rPr>
                <w:rFonts w:ascii="Calibri"/>
                <w:color w:val="233F62"/>
                <w:spacing w:val="-2"/>
                <w:sz w:val="16"/>
              </w:rPr>
              <w:t>MASCULINO</w:t>
            </w:r>
          </w:p>
        </w:tc>
        <w:tc>
          <w:tcPr>
            <w:tcW w:w="1160" w:type="dxa"/>
            <w:tcBorders>
              <w:bottom w:val="single" w:sz="4" w:space="0" w:color="95B3D6"/>
            </w:tcBorders>
          </w:tcPr>
          <w:p w14:paraId="1E4B53F8" w14:textId="77777777" w:rsidR="002C6574" w:rsidRDefault="00000000">
            <w:pPr>
              <w:pStyle w:val="TableParagraph"/>
              <w:spacing w:line="160" w:lineRule="exact"/>
              <w:ind w:right="235"/>
              <w:rPr>
                <w:rFonts w:ascii="Calibri"/>
                <w:sz w:val="16"/>
              </w:rPr>
            </w:pPr>
            <w:r>
              <w:rPr>
                <w:rFonts w:ascii="Calibri"/>
                <w:color w:val="233F62"/>
                <w:spacing w:val="-2"/>
                <w:sz w:val="16"/>
              </w:rPr>
              <w:t>62,20%</w:t>
            </w:r>
          </w:p>
        </w:tc>
        <w:tc>
          <w:tcPr>
            <w:tcW w:w="1034" w:type="dxa"/>
            <w:tcBorders>
              <w:bottom w:val="single" w:sz="4" w:space="0" w:color="95B3D6"/>
            </w:tcBorders>
          </w:tcPr>
          <w:p w14:paraId="4AE11667" w14:textId="77777777" w:rsidR="002C6574" w:rsidRDefault="00000000">
            <w:pPr>
              <w:pStyle w:val="TableParagraph"/>
              <w:spacing w:line="160" w:lineRule="exact"/>
              <w:ind w:right="129"/>
              <w:rPr>
                <w:rFonts w:ascii="Calibri"/>
                <w:sz w:val="16"/>
              </w:rPr>
            </w:pPr>
            <w:r>
              <w:rPr>
                <w:rFonts w:ascii="Calibri"/>
                <w:color w:val="233F62"/>
                <w:spacing w:val="-2"/>
                <w:sz w:val="16"/>
              </w:rPr>
              <w:t>60,00%</w:t>
            </w:r>
          </w:p>
        </w:tc>
        <w:tc>
          <w:tcPr>
            <w:tcW w:w="1541" w:type="dxa"/>
            <w:tcBorders>
              <w:bottom w:val="single" w:sz="4" w:space="0" w:color="95B3D6"/>
            </w:tcBorders>
          </w:tcPr>
          <w:p w14:paraId="382547EF" w14:textId="77777777" w:rsidR="002C6574" w:rsidRDefault="00000000">
            <w:pPr>
              <w:pStyle w:val="TableParagraph"/>
              <w:spacing w:line="160" w:lineRule="exact"/>
              <w:ind w:right="65"/>
              <w:rPr>
                <w:rFonts w:ascii="Calibri"/>
                <w:sz w:val="16"/>
              </w:rPr>
            </w:pPr>
            <w:r>
              <w:rPr>
                <w:rFonts w:ascii="Calibri"/>
                <w:color w:val="233F62"/>
                <w:sz w:val="16"/>
              </w:rPr>
              <w:t>-</w:t>
            </w:r>
            <w:r>
              <w:rPr>
                <w:rFonts w:ascii="Calibri"/>
                <w:color w:val="233F62"/>
                <w:spacing w:val="-2"/>
                <w:sz w:val="16"/>
              </w:rPr>
              <w:t>2,20%</w:t>
            </w:r>
          </w:p>
        </w:tc>
      </w:tr>
      <w:tr w:rsidR="002C6574" w14:paraId="4C8C5813" w14:textId="77777777">
        <w:trPr>
          <w:trHeight w:val="237"/>
        </w:trPr>
        <w:tc>
          <w:tcPr>
            <w:tcW w:w="1754" w:type="dxa"/>
            <w:tcBorders>
              <w:top w:val="single" w:sz="4" w:space="0" w:color="95B3D6"/>
            </w:tcBorders>
          </w:tcPr>
          <w:p w14:paraId="456CF2B6" w14:textId="77777777" w:rsidR="002C6574" w:rsidRDefault="002C6574">
            <w:pPr>
              <w:pStyle w:val="TableParagraph"/>
              <w:jc w:val="left"/>
              <w:rPr>
                <w:rFonts w:ascii="Times New Roman"/>
                <w:sz w:val="16"/>
              </w:rPr>
            </w:pPr>
          </w:p>
        </w:tc>
        <w:tc>
          <w:tcPr>
            <w:tcW w:w="1456" w:type="dxa"/>
            <w:tcBorders>
              <w:top w:val="single" w:sz="4" w:space="0" w:color="95B3D6"/>
            </w:tcBorders>
          </w:tcPr>
          <w:p w14:paraId="7FA801B6" w14:textId="77777777" w:rsidR="002C6574" w:rsidRDefault="00000000">
            <w:pPr>
              <w:pStyle w:val="TableParagraph"/>
              <w:spacing w:before="51" w:line="167" w:lineRule="exact"/>
              <w:ind w:left="5" w:right="43"/>
              <w:jc w:val="center"/>
              <w:rPr>
                <w:rFonts w:ascii="Calibri"/>
                <w:sz w:val="16"/>
              </w:rPr>
            </w:pPr>
            <w:r>
              <w:rPr>
                <w:rFonts w:ascii="Calibri"/>
                <w:color w:val="233F62"/>
                <w:spacing w:val="-2"/>
                <w:sz w:val="16"/>
              </w:rPr>
              <w:t>FEMININO</w:t>
            </w:r>
          </w:p>
        </w:tc>
        <w:tc>
          <w:tcPr>
            <w:tcW w:w="1160" w:type="dxa"/>
            <w:tcBorders>
              <w:top w:val="single" w:sz="4" w:space="0" w:color="95B3D6"/>
            </w:tcBorders>
          </w:tcPr>
          <w:p w14:paraId="6B569BE6" w14:textId="77777777" w:rsidR="002C6574" w:rsidRDefault="00000000">
            <w:pPr>
              <w:pStyle w:val="TableParagraph"/>
              <w:spacing w:before="51" w:line="167" w:lineRule="exact"/>
              <w:ind w:right="236"/>
              <w:rPr>
                <w:rFonts w:ascii="Calibri"/>
                <w:sz w:val="16"/>
              </w:rPr>
            </w:pPr>
            <w:r>
              <w:rPr>
                <w:rFonts w:ascii="Calibri"/>
                <w:color w:val="233F62"/>
                <w:spacing w:val="-2"/>
                <w:sz w:val="16"/>
              </w:rPr>
              <w:t>8,82%</w:t>
            </w:r>
          </w:p>
        </w:tc>
        <w:tc>
          <w:tcPr>
            <w:tcW w:w="1034" w:type="dxa"/>
            <w:tcBorders>
              <w:top w:val="single" w:sz="4" w:space="0" w:color="95B3D6"/>
            </w:tcBorders>
          </w:tcPr>
          <w:p w14:paraId="74A7BF43" w14:textId="77777777" w:rsidR="002C6574" w:rsidRDefault="00000000">
            <w:pPr>
              <w:pStyle w:val="TableParagraph"/>
              <w:spacing w:before="51" w:line="167" w:lineRule="exact"/>
              <w:ind w:right="129"/>
              <w:rPr>
                <w:rFonts w:ascii="Calibri"/>
                <w:sz w:val="16"/>
              </w:rPr>
            </w:pPr>
            <w:r>
              <w:rPr>
                <w:rFonts w:ascii="Calibri"/>
                <w:color w:val="233F62"/>
                <w:spacing w:val="-2"/>
                <w:sz w:val="16"/>
              </w:rPr>
              <w:t>14,71%</w:t>
            </w:r>
          </w:p>
        </w:tc>
        <w:tc>
          <w:tcPr>
            <w:tcW w:w="1541" w:type="dxa"/>
            <w:tcBorders>
              <w:top w:val="single" w:sz="4" w:space="0" w:color="95B3D6"/>
            </w:tcBorders>
          </w:tcPr>
          <w:p w14:paraId="62615F27" w14:textId="77777777" w:rsidR="002C6574" w:rsidRDefault="00000000">
            <w:pPr>
              <w:pStyle w:val="TableParagraph"/>
              <w:spacing w:before="51" w:line="167" w:lineRule="exact"/>
              <w:ind w:right="65"/>
              <w:rPr>
                <w:rFonts w:ascii="Calibri"/>
                <w:sz w:val="16"/>
              </w:rPr>
            </w:pPr>
            <w:r>
              <w:rPr>
                <w:rFonts w:ascii="Calibri"/>
                <w:color w:val="233F62"/>
                <w:spacing w:val="-2"/>
                <w:sz w:val="16"/>
              </w:rPr>
              <w:t>5,89%</w:t>
            </w:r>
          </w:p>
        </w:tc>
      </w:tr>
      <w:tr w:rsidR="002C6574" w14:paraId="348F1DE1" w14:textId="77777777">
        <w:trPr>
          <w:trHeight w:val="150"/>
        </w:trPr>
        <w:tc>
          <w:tcPr>
            <w:tcW w:w="1754" w:type="dxa"/>
          </w:tcPr>
          <w:p w14:paraId="3F1BA2E0" w14:textId="77777777" w:rsidR="002C6574" w:rsidRDefault="00000000">
            <w:pPr>
              <w:pStyle w:val="TableParagraph"/>
              <w:spacing w:line="130" w:lineRule="exact"/>
              <w:ind w:left="3" w:right="76"/>
              <w:jc w:val="center"/>
              <w:rPr>
                <w:rFonts w:ascii="Calibri" w:hAnsi="Calibri"/>
                <w:sz w:val="16"/>
              </w:rPr>
            </w:pPr>
            <w:r>
              <w:rPr>
                <w:rFonts w:ascii="Calibri" w:hAnsi="Calibri"/>
                <w:color w:val="233F62"/>
                <w:spacing w:val="-2"/>
                <w:sz w:val="16"/>
              </w:rPr>
              <w:t>Liderança</w:t>
            </w:r>
          </w:p>
        </w:tc>
        <w:tc>
          <w:tcPr>
            <w:tcW w:w="1456" w:type="dxa"/>
          </w:tcPr>
          <w:p w14:paraId="22443A47" w14:textId="77777777" w:rsidR="002C6574" w:rsidRDefault="002C6574">
            <w:pPr>
              <w:pStyle w:val="TableParagraph"/>
              <w:jc w:val="left"/>
              <w:rPr>
                <w:rFonts w:ascii="Times New Roman"/>
                <w:sz w:val="8"/>
              </w:rPr>
            </w:pPr>
          </w:p>
        </w:tc>
        <w:tc>
          <w:tcPr>
            <w:tcW w:w="1160" w:type="dxa"/>
          </w:tcPr>
          <w:p w14:paraId="2E7C7389" w14:textId="77777777" w:rsidR="002C6574" w:rsidRDefault="002C6574">
            <w:pPr>
              <w:pStyle w:val="TableParagraph"/>
              <w:jc w:val="left"/>
              <w:rPr>
                <w:rFonts w:ascii="Times New Roman"/>
                <w:sz w:val="8"/>
              </w:rPr>
            </w:pPr>
          </w:p>
        </w:tc>
        <w:tc>
          <w:tcPr>
            <w:tcW w:w="1034" w:type="dxa"/>
          </w:tcPr>
          <w:p w14:paraId="77691C04" w14:textId="77777777" w:rsidR="002C6574" w:rsidRDefault="002C6574">
            <w:pPr>
              <w:pStyle w:val="TableParagraph"/>
              <w:jc w:val="left"/>
              <w:rPr>
                <w:rFonts w:ascii="Times New Roman"/>
                <w:sz w:val="8"/>
              </w:rPr>
            </w:pPr>
          </w:p>
        </w:tc>
        <w:tc>
          <w:tcPr>
            <w:tcW w:w="1541" w:type="dxa"/>
          </w:tcPr>
          <w:p w14:paraId="1664D013" w14:textId="77777777" w:rsidR="002C6574" w:rsidRDefault="002C6574">
            <w:pPr>
              <w:pStyle w:val="TableParagraph"/>
              <w:jc w:val="left"/>
              <w:rPr>
                <w:rFonts w:ascii="Times New Roman"/>
                <w:sz w:val="8"/>
              </w:rPr>
            </w:pPr>
          </w:p>
        </w:tc>
      </w:tr>
      <w:tr w:rsidR="002C6574" w14:paraId="2E725AE7" w14:textId="77777777">
        <w:trPr>
          <w:trHeight w:val="211"/>
        </w:trPr>
        <w:tc>
          <w:tcPr>
            <w:tcW w:w="1754" w:type="dxa"/>
            <w:tcBorders>
              <w:bottom w:val="single" w:sz="4" w:space="0" w:color="95B3D6"/>
            </w:tcBorders>
          </w:tcPr>
          <w:p w14:paraId="717A0452" w14:textId="77777777" w:rsidR="002C6574" w:rsidRDefault="002C6574">
            <w:pPr>
              <w:pStyle w:val="TableParagraph"/>
              <w:jc w:val="left"/>
              <w:rPr>
                <w:rFonts w:ascii="Times New Roman"/>
                <w:sz w:val="14"/>
              </w:rPr>
            </w:pPr>
          </w:p>
        </w:tc>
        <w:tc>
          <w:tcPr>
            <w:tcW w:w="1456" w:type="dxa"/>
            <w:tcBorders>
              <w:bottom w:val="single" w:sz="4" w:space="0" w:color="95B3D6"/>
            </w:tcBorders>
          </w:tcPr>
          <w:p w14:paraId="7104B7D8" w14:textId="77777777" w:rsidR="002C6574" w:rsidRDefault="00000000">
            <w:pPr>
              <w:pStyle w:val="TableParagraph"/>
              <w:spacing w:line="159" w:lineRule="exact"/>
              <w:ind w:right="43"/>
              <w:jc w:val="center"/>
              <w:rPr>
                <w:rFonts w:ascii="Calibri"/>
                <w:sz w:val="16"/>
              </w:rPr>
            </w:pPr>
            <w:r>
              <w:rPr>
                <w:rFonts w:ascii="Calibri"/>
                <w:color w:val="233F62"/>
                <w:spacing w:val="-2"/>
                <w:sz w:val="16"/>
              </w:rPr>
              <w:t>MASCULINO</w:t>
            </w:r>
          </w:p>
        </w:tc>
        <w:tc>
          <w:tcPr>
            <w:tcW w:w="1160" w:type="dxa"/>
            <w:tcBorders>
              <w:bottom w:val="single" w:sz="4" w:space="0" w:color="95B3D6"/>
            </w:tcBorders>
          </w:tcPr>
          <w:p w14:paraId="5D0DD5A0" w14:textId="77777777" w:rsidR="002C6574" w:rsidRDefault="00000000">
            <w:pPr>
              <w:pStyle w:val="TableParagraph"/>
              <w:spacing w:line="159" w:lineRule="exact"/>
              <w:ind w:right="235"/>
              <w:rPr>
                <w:rFonts w:ascii="Calibri"/>
                <w:sz w:val="16"/>
              </w:rPr>
            </w:pPr>
            <w:r>
              <w:rPr>
                <w:rFonts w:ascii="Calibri"/>
                <w:color w:val="233F62"/>
                <w:spacing w:val="-2"/>
                <w:sz w:val="16"/>
              </w:rPr>
              <w:t>91,18%</w:t>
            </w:r>
          </w:p>
        </w:tc>
        <w:tc>
          <w:tcPr>
            <w:tcW w:w="1034" w:type="dxa"/>
            <w:tcBorders>
              <w:bottom w:val="single" w:sz="4" w:space="0" w:color="95B3D6"/>
            </w:tcBorders>
          </w:tcPr>
          <w:p w14:paraId="76C93436" w14:textId="77777777" w:rsidR="002C6574" w:rsidRDefault="00000000">
            <w:pPr>
              <w:pStyle w:val="TableParagraph"/>
              <w:spacing w:line="159" w:lineRule="exact"/>
              <w:ind w:right="129"/>
              <w:rPr>
                <w:rFonts w:ascii="Calibri"/>
                <w:sz w:val="16"/>
              </w:rPr>
            </w:pPr>
            <w:r>
              <w:rPr>
                <w:rFonts w:ascii="Calibri"/>
                <w:color w:val="233F62"/>
                <w:spacing w:val="-2"/>
                <w:sz w:val="16"/>
              </w:rPr>
              <w:t>85,29%</w:t>
            </w:r>
          </w:p>
        </w:tc>
        <w:tc>
          <w:tcPr>
            <w:tcW w:w="1541" w:type="dxa"/>
            <w:tcBorders>
              <w:bottom w:val="single" w:sz="4" w:space="0" w:color="95B3D6"/>
            </w:tcBorders>
          </w:tcPr>
          <w:p w14:paraId="1FE4FAB3" w14:textId="77777777" w:rsidR="002C6574" w:rsidRDefault="00000000">
            <w:pPr>
              <w:pStyle w:val="TableParagraph"/>
              <w:spacing w:line="159" w:lineRule="exact"/>
              <w:ind w:right="65"/>
              <w:rPr>
                <w:rFonts w:ascii="Calibri"/>
                <w:sz w:val="16"/>
              </w:rPr>
            </w:pPr>
            <w:r>
              <w:rPr>
                <w:rFonts w:ascii="Calibri"/>
                <w:color w:val="233F62"/>
                <w:sz w:val="16"/>
              </w:rPr>
              <w:t>-</w:t>
            </w:r>
            <w:r>
              <w:rPr>
                <w:rFonts w:ascii="Calibri"/>
                <w:color w:val="233F62"/>
                <w:spacing w:val="-2"/>
                <w:sz w:val="16"/>
              </w:rPr>
              <w:t>5,89%</w:t>
            </w:r>
          </w:p>
        </w:tc>
      </w:tr>
    </w:tbl>
    <w:p w14:paraId="74161A65" w14:textId="77777777" w:rsidR="002C6574" w:rsidRDefault="00000000">
      <w:pPr>
        <w:spacing w:before="114"/>
        <w:ind w:left="3767"/>
        <w:rPr>
          <w:rFonts w:ascii="Calibri" w:hAnsi="Calibri"/>
          <w:sz w:val="16"/>
        </w:rPr>
      </w:pPr>
      <w:r>
        <w:rPr>
          <w:rFonts w:ascii="Calibri" w:hAnsi="Calibri"/>
          <w:color w:val="001F60"/>
          <w:sz w:val="16"/>
        </w:rPr>
        <w:t>Tabela</w:t>
      </w:r>
      <w:r>
        <w:rPr>
          <w:rFonts w:ascii="Calibri" w:hAnsi="Calibri"/>
          <w:color w:val="001F60"/>
          <w:spacing w:val="-3"/>
          <w:sz w:val="16"/>
        </w:rPr>
        <w:t xml:space="preserve"> </w:t>
      </w:r>
      <w:r>
        <w:rPr>
          <w:rFonts w:ascii="Calibri" w:hAnsi="Calibri"/>
          <w:color w:val="001F60"/>
          <w:sz w:val="16"/>
        </w:rPr>
        <w:t>8-3 Quadro</w:t>
      </w:r>
      <w:r>
        <w:rPr>
          <w:rFonts w:ascii="Calibri" w:hAnsi="Calibri"/>
          <w:color w:val="001F60"/>
          <w:spacing w:val="-2"/>
          <w:sz w:val="16"/>
        </w:rPr>
        <w:t xml:space="preserve"> </w:t>
      </w:r>
      <w:r>
        <w:rPr>
          <w:rFonts w:ascii="Calibri" w:hAnsi="Calibri"/>
          <w:color w:val="001F60"/>
          <w:sz w:val="16"/>
        </w:rPr>
        <w:t>de</w:t>
      </w:r>
      <w:r>
        <w:rPr>
          <w:rFonts w:ascii="Calibri" w:hAnsi="Calibri"/>
          <w:color w:val="001F60"/>
          <w:spacing w:val="-4"/>
          <w:sz w:val="16"/>
        </w:rPr>
        <w:t xml:space="preserve"> </w:t>
      </w:r>
      <w:r>
        <w:rPr>
          <w:rFonts w:ascii="Calibri" w:hAnsi="Calibri"/>
          <w:color w:val="001F60"/>
          <w:sz w:val="16"/>
        </w:rPr>
        <w:t>Pessoal</w:t>
      </w:r>
      <w:r>
        <w:rPr>
          <w:rFonts w:ascii="Calibri" w:hAnsi="Calibri"/>
          <w:color w:val="001F60"/>
          <w:spacing w:val="-4"/>
          <w:sz w:val="16"/>
        </w:rPr>
        <w:t xml:space="preserve"> </w:t>
      </w:r>
      <w:r>
        <w:rPr>
          <w:rFonts w:ascii="Calibri" w:hAnsi="Calibri"/>
          <w:color w:val="001F60"/>
          <w:sz w:val="16"/>
        </w:rPr>
        <w:t>(%)</w:t>
      </w:r>
      <w:r>
        <w:rPr>
          <w:rFonts w:ascii="Calibri" w:hAnsi="Calibri"/>
          <w:color w:val="001F60"/>
          <w:spacing w:val="-3"/>
          <w:sz w:val="16"/>
        </w:rPr>
        <w:t xml:space="preserve"> </w:t>
      </w:r>
      <w:r>
        <w:rPr>
          <w:rFonts w:ascii="Calibri" w:hAnsi="Calibri"/>
          <w:color w:val="001F60"/>
          <w:sz w:val="16"/>
        </w:rPr>
        <w:t>por</w:t>
      </w:r>
      <w:r>
        <w:rPr>
          <w:rFonts w:ascii="Calibri" w:hAnsi="Calibri"/>
          <w:color w:val="001F60"/>
          <w:spacing w:val="-3"/>
          <w:sz w:val="16"/>
        </w:rPr>
        <w:t xml:space="preserve"> </w:t>
      </w:r>
      <w:r>
        <w:rPr>
          <w:rFonts w:ascii="Calibri" w:hAnsi="Calibri"/>
          <w:color w:val="001F60"/>
          <w:spacing w:val="-2"/>
          <w:sz w:val="16"/>
        </w:rPr>
        <w:t>Gênero</w:t>
      </w:r>
    </w:p>
    <w:p w14:paraId="0EFF83AA" w14:textId="77777777" w:rsidR="002C6574" w:rsidRDefault="002C6574">
      <w:pPr>
        <w:pStyle w:val="Corpodetexto"/>
        <w:rPr>
          <w:rFonts w:ascii="Calibri"/>
          <w:sz w:val="20"/>
        </w:rPr>
      </w:pPr>
    </w:p>
    <w:p w14:paraId="7B6AC4AE" w14:textId="77777777" w:rsidR="002C6574" w:rsidRDefault="002C6574">
      <w:pPr>
        <w:pStyle w:val="Corpodetexto"/>
        <w:spacing w:before="30"/>
        <w:rPr>
          <w:rFonts w:ascii="Calibri"/>
          <w:sz w:val="20"/>
        </w:rPr>
      </w:pPr>
    </w:p>
    <w:tbl>
      <w:tblPr>
        <w:tblStyle w:val="TableNormal"/>
        <w:tblW w:w="0" w:type="auto"/>
        <w:tblInd w:w="1602" w:type="dxa"/>
        <w:tblLayout w:type="fixed"/>
        <w:tblLook w:val="01E0" w:firstRow="1" w:lastRow="1" w:firstColumn="1" w:lastColumn="1" w:noHBand="0" w:noVBand="0"/>
      </w:tblPr>
      <w:tblGrid>
        <w:gridCol w:w="1870"/>
        <w:gridCol w:w="1447"/>
        <w:gridCol w:w="1459"/>
        <w:gridCol w:w="1202"/>
        <w:gridCol w:w="1326"/>
      </w:tblGrid>
      <w:tr w:rsidR="002C6574" w14:paraId="1E597309" w14:textId="77777777">
        <w:trPr>
          <w:trHeight w:val="495"/>
        </w:trPr>
        <w:tc>
          <w:tcPr>
            <w:tcW w:w="1870" w:type="dxa"/>
            <w:tcBorders>
              <w:top w:val="single" w:sz="8" w:space="0" w:color="95B3D6"/>
              <w:bottom w:val="single" w:sz="8" w:space="0" w:color="95B3D6"/>
            </w:tcBorders>
            <w:shd w:val="clear" w:color="auto" w:fill="DBE6F0"/>
          </w:tcPr>
          <w:p w14:paraId="4A0842B1" w14:textId="77777777" w:rsidR="002C6574" w:rsidRDefault="00000000">
            <w:pPr>
              <w:pStyle w:val="TableParagraph"/>
              <w:spacing w:before="149"/>
              <w:ind w:left="91" w:right="3"/>
              <w:jc w:val="center"/>
              <w:rPr>
                <w:rFonts w:ascii="Calibri" w:hAnsi="Calibri"/>
                <w:b/>
                <w:sz w:val="16"/>
              </w:rPr>
            </w:pPr>
            <w:r>
              <w:rPr>
                <w:rFonts w:ascii="Calibri" w:hAnsi="Calibri"/>
                <w:b/>
                <w:color w:val="233F62"/>
                <w:spacing w:val="-2"/>
                <w:sz w:val="16"/>
              </w:rPr>
              <w:t>Posição</w:t>
            </w:r>
          </w:p>
        </w:tc>
        <w:tc>
          <w:tcPr>
            <w:tcW w:w="1447" w:type="dxa"/>
            <w:tcBorders>
              <w:top w:val="single" w:sz="8" w:space="0" w:color="95B3D6"/>
              <w:bottom w:val="single" w:sz="8" w:space="0" w:color="95B3D6"/>
            </w:tcBorders>
            <w:shd w:val="clear" w:color="auto" w:fill="DBE6F0"/>
          </w:tcPr>
          <w:p w14:paraId="39F36754" w14:textId="77777777" w:rsidR="002C6574" w:rsidRDefault="00000000">
            <w:pPr>
              <w:pStyle w:val="TableParagraph"/>
              <w:spacing w:before="149"/>
              <w:ind w:right="83"/>
              <w:jc w:val="center"/>
              <w:rPr>
                <w:rFonts w:ascii="Calibri" w:hAnsi="Calibri"/>
                <w:b/>
                <w:sz w:val="16"/>
              </w:rPr>
            </w:pPr>
            <w:r>
              <w:rPr>
                <w:rFonts w:ascii="Calibri" w:hAnsi="Calibri"/>
                <w:b/>
                <w:color w:val="233F62"/>
                <w:spacing w:val="-2"/>
                <w:sz w:val="16"/>
              </w:rPr>
              <w:t>Gênero</w:t>
            </w:r>
          </w:p>
        </w:tc>
        <w:tc>
          <w:tcPr>
            <w:tcW w:w="1459" w:type="dxa"/>
            <w:tcBorders>
              <w:top w:val="single" w:sz="8" w:space="0" w:color="95B3D6"/>
              <w:bottom w:val="single" w:sz="8" w:space="0" w:color="95B3D6"/>
            </w:tcBorders>
            <w:shd w:val="clear" w:color="auto" w:fill="DBE6F0"/>
          </w:tcPr>
          <w:p w14:paraId="49CFD1FD" w14:textId="77777777" w:rsidR="002C6574" w:rsidRDefault="00000000">
            <w:pPr>
              <w:pStyle w:val="TableParagraph"/>
              <w:spacing w:before="149"/>
              <w:ind w:left="359"/>
              <w:jc w:val="left"/>
              <w:rPr>
                <w:rFonts w:ascii="Calibri"/>
                <w:b/>
                <w:sz w:val="16"/>
              </w:rPr>
            </w:pPr>
            <w:r>
              <w:rPr>
                <w:rFonts w:ascii="Calibri"/>
                <w:b/>
                <w:color w:val="233F62"/>
                <w:spacing w:val="-4"/>
                <w:sz w:val="16"/>
              </w:rPr>
              <w:t>2024</w:t>
            </w:r>
          </w:p>
        </w:tc>
        <w:tc>
          <w:tcPr>
            <w:tcW w:w="1202" w:type="dxa"/>
            <w:tcBorders>
              <w:top w:val="single" w:sz="8" w:space="0" w:color="95B3D6"/>
              <w:bottom w:val="single" w:sz="8" w:space="0" w:color="95B3D6"/>
            </w:tcBorders>
            <w:shd w:val="clear" w:color="auto" w:fill="DBE6F0"/>
          </w:tcPr>
          <w:p w14:paraId="44B7B3E5" w14:textId="77777777" w:rsidR="002C6574" w:rsidRDefault="00000000">
            <w:pPr>
              <w:pStyle w:val="TableParagraph"/>
              <w:spacing w:before="149"/>
              <w:ind w:left="302"/>
              <w:jc w:val="left"/>
              <w:rPr>
                <w:rFonts w:ascii="Calibri"/>
                <w:b/>
                <w:sz w:val="16"/>
              </w:rPr>
            </w:pPr>
            <w:r>
              <w:rPr>
                <w:rFonts w:ascii="Calibri"/>
                <w:b/>
                <w:color w:val="233F62"/>
                <w:spacing w:val="-4"/>
                <w:sz w:val="16"/>
              </w:rPr>
              <w:t>2025</w:t>
            </w:r>
          </w:p>
        </w:tc>
        <w:tc>
          <w:tcPr>
            <w:tcW w:w="1326" w:type="dxa"/>
            <w:tcBorders>
              <w:top w:val="single" w:sz="8" w:space="0" w:color="95B3D6"/>
              <w:bottom w:val="single" w:sz="8" w:space="0" w:color="95B3D6"/>
            </w:tcBorders>
            <w:shd w:val="clear" w:color="auto" w:fill="DBE6F0"/>
          </w:tcPr>
          <w:p w14:paraId="567D41FD" w14:textId="77777777" w:rsidR="002C6574" w:rsidRDefault="00000000">
            <w:pPr>
              <w:pStyle w:val="TableParagraph"/>
              <w:spacing w:before="149"/>
              <w:ind w:left="101"/>
              <w:jc w:val="left"/>
              <w:rPr>
                <w:rFonts w:ascii="Calibri" w:hAnsi="Calibri"/>
                <w:b/>
                <w:sz w:val="16"/>
              </w:rPr>
            </w:pPr>
            <w:r>
              <w:rPr>
                <w:rFonts w:ascii="Calibri" w:hAnsi="Calibri"/>
                <w:b/>
                <w:color w:val="233F62"/>
                <w:sz w:val="16"/>
              </w:rPr>
              <w:t>Δ</w:t>
            </w:r>
            <w:r>
              <w:rPr>
                <w:rFonts w:ascii="Calibri" w:hAnsi="Calibri"/>
                <w:b/>
                <w:color w:val="233F62"/>
                <w:spacing w:val="-3"/>
                <w:sz w:val="16"/>
              </w:rPr>
              <w:t xml:space="preserve"> </w:t>
            </w:r>
            <w:r>
              <w:rPr>
                <w:rFonts w:ascii="Calibri" w:hAnsi="Calibri"/>
                <w:b/>
                <w:color w:val="233F62"/>
                <w:sz w:val="16"/>
              </w:rPr>
              <w:t>%</w:t>
            </w:r>
            <w:r>
              <w:rPr>
                <w:rFonts w:ascii="Calibri" w:hAnsi="Calibri"/>
                <w:b/>
                <w:color w:val="233F62"/>
                <w:spacing w:val="-3"/>
                <w:sz w:val="16"/>
              </w:rPr>
              <w:t xml:space="preserve"> </w:t>
            </w:r>
            <w:r>
              <w:rPr>
                <w:rFonts w:ascii="Calibri" w:hAnsi="Calibri"/>
                <w:b/>
                <w:color w:val="233F62"/>
                <w:sz w:val="16"/>
              </w:rPr>
              <w:t>(2025-</w:t>
            </w:r>
            <w:r>
              <w:rPr>
                <w:rFonts w:ascii="Calibri" w:hAnsi="Calibri"/>
                <w:b/>
                <w:color w:val="233F62"/>
                <w:spacing w:val="-2"/>
                <w:sz w:val="16"/>
              </w:rPr>
              <w:t>2024)</w:t>
            </w:r>
          </w:p>
        </w:tc>
      </w:tr>
      <w:tr w:rsidR="002C6574" w14:paraId="54B0A0AF" w14:textId="77777777">
        <w:trPr>
          <w:trHeight w:val="240"/>
        </w:trPr>
        <w:tc>
          <w:tcPr>
            <w:tcW w:w="1870" w:type="dxa"/>
            <w:tcBorders>
              <w:top w:val="single" w:sz="8" w:space="0" w:color="95B3D6"/>
            </w:tcBorders>
          </w:tcPr>
          <w:p w14:paraId="689ED7DD" w14:textId="77777777" w:rsidR="002C6574" w:rsidRDefault="002C6574">
            <w:pPr>
              <w:pStyle w:val="TableParagraph"/>
              <w:jc w:val="left"/>
              <w:rPr>
                <w:rFonts w:ascii="Times New Roman"/>
                <w:sz w:val="16"/>
              </w:rPr>
            </w:pPr>
          </w:p>
        </w:tc>
        <w:tc>
          <w:tcPr>
            <w:tcW w:w="1447" w:type="dxa"/>
            <w:tcBorders>
              <w:top w:val="single" w:sz="8" w:space="0" w:color="95B3D6"/>
            </w:tcBorders>
          </w:tcPr>
          <w:p w14:paraId="30CC30F2" w14:textId="77777777" w:rsidR="002C6574" w:rsidRDefault="00000000">
            <w:pPr>
              <w:pStyle w:val="TableParagraph"/>
              <w:spacing w:before="51" w:line="169" w:lineRule="exact"/>
              <w:ind w:right="83"/>
              <w:jc w:val="center"/>
              <w:rPr>
                <w:rFonts w:ascii="Calibri"/>
                <w:sz w:val="16"/>
              </w:rPr>
            </w:pPr>
            <w:r>
              <w:rPr>
                <w:rFonts w:ascii="Calibri"/>
                <w:color w:val="233F62"/>
                <w:spacing w:val="-2"/>
                <w:sz w:val="16"/>
              </w:rPr>
              <w:t>FEMININO</w:t>
            </w:r>
          </w:p>
        </w:tc>
        <w:tc>
          <w:tcPr>
            <w:tcW w:w="1459" w:type="dxa"/>
            <w:tcBorders>
              <w:top w:val="single" w:sz="8" w:space="0" w:color="95B3D6"/>
            </w:tcBorders>
          </w:tcPr>
          <w:p w14:paraId="247E90D4" w14:textId="77777777" w:rsidR="002C6574" w:rsidRDefault="00000000">
            <w:pPr>
              <w:pStyle w:val="TableParagraph"/>
              <w:spacing w:before="51" w:line="169" w:lineRule="exact"/>
              <w:ind w:right="303"/>
              <w:rPr>
                <w:rFonts w:ascii="Calibri"/>
                <w:sz w:val="16"/>
              </w:rPr>
            </w:pPr>
            <w:r>
              <w:rPr>
                <w:rFonts w:ascii="Calibri"/>
                <w:color w:val="233F62"/>
                <w:spacing w:val="-2"/>
                <w:sz w:val="16"/>
              </w:rPr>
              <w:t>11.843,01</w:t>
            </w:r>
          </w:p>
        </w:tc>
        <w:tc>
          <w:tcPr>
            <w:tcW w:w="1202" w:type="dxa"/>
            <w:tcBorders>
              <w:top w:val="single" w:sz="8" w:space="0" w:color="95B3D6"/>
            </w:tcBorders>
          </w:tcPr>
          <w:p w14:paraId="2686D17C" w14:textId="77777777" w:rsidR="002C6574" w:rsidRDefault="00000000">
            <w:pPr>
              <w:pStyle w:val="TableParagraph"/>
              <w:spacing w:before="51" w:line="169" w:lineRule="exact"/>
              <w:ind w:right="103"/>
              <w:rPr>
                <w:rFonts w:ascii="Calibri"/>
                <w:sz w:val="16"/>
              </w:rPr>
            </w:pPr>
            <w:r>
              <w:rPr>
                <w:rFonts w:ascii="Calibri"/>
                <w:color w:val="233F62"/>
                <w:spacing w:val="-2"/>
                <w:sz w:val="16"/>
              </w:rPr>
              <w:t>12.469,64</w:t>
            </w:r>
          </w:p>
        </w:tc>
        <w:tc>
          <w:tcPr>
            <w:tcW w:w="1326" w:type="dxa"/>
            <w:tcBorders>
              <w:top w:val="single" w:sz="8" w:space="0" w:color="95B3D6"/>
            </w:tcBorders>
          </w:tcPr>
          <w:p w14:paraId="1D1F4BEE" w14:textId="77777777" w:rsidR="002C6574" w:rsidRDefault="00000000">
            <w:pPr>
              <w:pStyle w:val="TableParagraph"/>
              <w:spacing w:before="51" w:line="169" w:lineRule="exact"/>
              <w:ind w:right="72"/>
              <w:rPr>
                <w:rFonts w:ascii="Calibri"/>
                <w:sz w:val="16"/>
              </w:rPr>
            </w:pPr>
            <w:r>
              <w:rPr>
                <w:rFonts w:ascii="Calibri"/>
                <w:color w:val="233F62"/>
                <w:spacing w:val="-2"/>
                <w:sz w:val="16"/>
              </w:rPr>
              <w:t>5,29%</w:t>
            </w:r>
          </w:p>
        </w:tc>
      </w:tr>
      <w:tr w:rsidR="002C6574" w14:paraId="4352E368" w14:textId="77777777">
        <w:trPr>
          <w:trHeight w:val="154"/>
        </w:trPr>
        <w:tc>
          <w:tcPr>
            <w:tcW w:w="1870" w:type="dxa"/>
          </w:tcPr>
          <w:p w14:paraId="17112E65" w14:textId="77777777" w:rsidR="002C6574" w:rsidRDefault="00000000">
            <w:pPr>
              <w:pStyle w:val="TableParagraph"/>
              <w:spacing w:line="135" w:lineRule="exact"/>
              <w:ind w:left="91" w:right="8"/>
              <w:jc w:val="center"/>
              <w:rPr>
                <w:rFonts w:ascii="Calibri"/>
                <w:sz w:val="16"/>
              </w:rPr>
            </w:pPr>
            <w:r>
              <w:rPr>
                <w:rFonts w:ascii="Calibri"/>
                <w:color w:val="233F62"/>
                <w:sz w:val="16"/>
              </w:rPr>
              <w:t>Empregado</w:t>
            </w:r>
            <w:r>
              <w:rPr>
                <w:rFonts w:ascii="Calibri"/>
                <w:color w:val="233F62"/>
                <w:spacing w:val="-9"/>
                <w:sz w:val="16"/>
              </w:rPr>
              <w:t xml:space="preserve"> </w:t>
            </w:r>
            <w:r>
              <w:rPr>
                <w:rFonts w:ascii="Calibri"/>
                <w:color w:val="233F62"/>
                <w:spacing w:val="-2"/>
                <w:sz w:val="16"/>
              </w:rPr>
              <w:t>Efetivo</w:t>
            </w:r>
          </w:p>
        </w:tc>
        <w:tc>
          <w:tcPr>
            <w:tcW w:w="1447" w:type="dxa"/>
          </w:tcPr>
          <w:p w14:paraId="092DA3D9" w14:textId="77777777" w:rsidR="002C6574" w:rsidRDefault="002C6574">
            <w:pPr>
              <w:pStyle w:val="TableParagraph"/>
              <w:jc w:val="left"/>
              <w:rPr>
                <w:rFonts w:ascii="Times New Roman"/>
                <w:sz w:val="8"/>
              </w:rPr>
            </w:pPr>
          </w:p>
        </w:tc>
        <w:tc>
          <w:tcPr>
            <w:tcW w:w="1459" w:type="dxa"/>
          </w:tcPr>
          <w:p w14:paraId="36F3766D" w14:textId="77777777" w:rsidR="002C6574" w:rsidRDefault="002C6574">
            <w:pPr>
              <w:pStyle w:val="TableParagraph"/>
              <w:jc w:val="left"/>
              <w:rPr>
                <w:rFonts w:ascii="Times New Roman"/>
                <w:sz w:val="8"/>
              </w:rPr>
            </w:pPr>
          </w:p>
        </w:tc>
        <w:tc>
          <w:tcPr>
            <w:tcW w:w="1202" w:type="dxa"/>
          </w:tcPr>
          <w:p w14:paraId="35130F16" w14:textId="77777777" w:rsidR="002C6574" w:rsidRDefault="002C6574">
            <w:pPr>
              <w:pStyle w:val="TableParagraph"/>
              <w:jc w:val="left"/>
              <w:rPr>
                <w:rFonts w:ascii="Times New Roman"/>
                <w:sz w:val="8"/>
              </w:rPr>
            </w:pPr>
          </w:p>
        </w:tc>
        <w:tc>
          <w:tcPr>
            <w:tcW w:w="1326" w:type="dxa"/>
          </w:tcPr>
          <w:p w14:paraId="37369084" w14:textId="77777777" w:rsidR="002C6574" w:rsidRDefault="002C6574">
            <w:pPr>
              <w:pStyle w:val="TableParagraph"/>
              <w:jc w:val="left"/>
              <w:rPr>
                <w:rFonts w:ascii="Times New Roman"/>
                <w:sz w:val="8"/>
              </w:rPr>
            </w:pPr>
          </w:p>
        </w:tc>
      </w:tr>
      <w:tr w:rsidR="002C6574" w14:paraId="3648776A" w14:textId="77777777">
        <w:trPr>
          <w:trHeight w:val="214"/>
        </w:trPr>
        <w:tc>
          <w:tcPr>
            <w:tcW w:w="1870" w:type="dxa"/>
            <w:tcBorders>
              <w:bottom w:val="single" w:sz="4" w:space="0" w:color="95B3D6"/>
            </w:tcBorders>
          </w:tcPr>
          <w:p w14:paraId="5DEAE33F" w14:textId="77777777" w:rsidR="002C6574" w:rsidRDefault="002C6574">
            <w:pPr>
              <w:pStyle w:val="TableParagraph"/>
              <w:jc w:val="left"/>
              <w:rPr>
                <w:rFonts w:ascii="Times New Roman"/>
                <w:sz w:val="14"/>
              </w:rPr>
            </w:pPr>
          </w:p>
        </w:tc>
        <w:tc>
          <w:tcPr>
            <w:tcW w:w="1447" w:type="dxa"/>
            <w:tcBorders>
              <w:bottom w:val="single" w:sz="4" w:space="0" w:color="95B3D6"/>
            </w:tcBorders>
          </w:tcPr>
          <w:p w14:paraId="171CD942" w14:textId="77777777" w:rsidR="002C6574" w:rsidRDefault="00000000">
            <w:pPr>
              <w:pStyle w:val="TableParagraph"/>
              <w:spacing w:line="161" w:lineRule="exact"/>
              <w:ind w:right="83"/>
              <w:jc w:val="center"/>
              <w:rPr>
                <w:rFonts w:ascii="Calibri"/>
                <w:sz w:val="16"/>
              </w:rPr>
            </w:pPr>
            <w:r>
              <w:rPr>
                <w:rFonts w:ascii="Calibri"/>
                <w:color w:val="233F62"/>
                <w:spacing w:val="-2"/>
                <w:sz w:val="16"/>
              </w:rPr>
              <w:t>MASCULINO</w:t>
            </w:r>
          </w:p>
        </w:tc>
        <w:tc>
          <w:tcPr>
            <w:tcW w:w="1459" w:type="dxa"/>
            <w:tcBorders>
              <w:bottom w:val="single" w:sz="4" w:space="0" w:color="95B3D6"/>
            </w:tcBorders>
          </w:tcPr>
          <w:p w14:paraId="48C765A2" w14:textId="77777777" w:rsidR="002C6574" w:rsidRDefault="00000000">
            <w:pPr>
              <w:pStyle w:val="TableParagraph"/>
              <w:spacing w:line="161" w:lineRule="exact"/>
              <w:ind w:right="303"/>
              <w:rPr>
                <w:rFonts w:ascii="Calibri"/>
                <w:sz w:val="16"/>
              </w:rPr>
            </w:pPr>
            <w:r>
              <w:rPr>
                <w:rFonts w:ascii="Calibri"/>
                <w:color w:val="233F62"/>
                <w:spacing w:val="-2"/>
                <w:sz w:val="16"/>
              </w:rPr>
              <w:t>12.457,89</w:t>
            </w:r>
          </w:p>
        </w:tc>
        <w:tc>
          <w:tcPr>
            <w:tcW w:w="1202" w:type="dxa"/>
            <w:tcBorders>
              <w:bottom w:val="single" w:sz="4" w:space="0" w:color="95B3D6"/>
            </w:tcBorders>
          </w:tcPr>
          <w:p w14:paraId="2492DB95" w14:textId="77777777" w:rsidR="002C6574" w:rsidRDefault="00000000">
            <w:pPr>
              <w:pStyle w:val="TableParagraph"/>
              <w:spacing w:line="161" w:lineRule="exact"/>
              <w:ind w:right="103"/>
              <w:rPr>
                <w:rFonts w:ascii="Calibri"/>
                <w:sz w:val="16"/>
              </w:rPr>
            </w:pPr>
            <w:r>
              <w:rPr>
                <w:rFonts w:ascii="Calibri"/>
                <w:color w:val="233F62"/>
                <w:spacing w:val="-2"/>
                <w:sz w:val="16"/>
              </w:rPr>
              <w:t>12.977,87</w:t>
            </w:r>
          </w:p>
        </w:tc>
        <w:tc>
          <w:tcPr>
            <w:tcW w:w="1326" w:type="dxa"/>
            <w:tcBorders>
              <w:bottom w:val="single" w:sz="4" w:space="0" w:color="95B3D6"/>
            </w:tcBorders>
          </w:tcPr>
          <w:p w14:paraId="30FEB3E7" w14:textId="77777777" w:rsidR="002C6574" w:rsidRDefault="00000000">
            <w:pPr>
              <w:pStyle w:val="TableParagraph"/>
              <w:spacing w:line="161" w:lineRule="exact"/>
              <w:ind w:right="72"/>
              <w:rPr>
                <w:rFonts w:ascii="Calibri"/>
                <w:sz w:val="16"/>
              </w:rPr>
            </w:pPr>
            <w:r>
              <w:rPr>
                <w:rFonts w:ascii="Calibri"/>
                <w:color w:val="233F62"/>
                <w:spacing w:val="-2"/>
                <w:sz w:val="16"/>
              </w:rPr>
              <w:t>4,17%</w:t>
            </w:r>
          </w:p>
        </w:tc>
      </w:tr>
      <w:tr w:rsidR="002C6574" w14:paraId="34BD7A0E" w14:textId="77777777">
        <w:trPr>
          <w:trHeight w:val="241"/>
        </w:trPr>
        <w:tc>
          <w:tcPr>
            <w:tcW w:w="1870" w:type="dxa"/>
            <w:tcBorders>
              <w:top w:val="single" w:sz="4" w:space="0" w:color="95B3D6"/>
            </w:tcBorders>
          </w:tcPr>
          <w:p w14:paraId="1519F6D3" w14:textId="77777777" w:rsidR="002C6574" w:rsidRDefault="002C6574">
            <w:pPr>
              <w:pStyle w:val="TableParagraph"/>
              <w:jc w:val="left"/>
              <w:rPr>
                <w:rFonts w:ascii="Times New Roman"/>
                <w:sz w:val="16"/>
              </w:rPr>
            </w:pPr>
          </w:p>
        </w:tc>
        <w:tc>
          <w:tcPr>
            <w:tcW w:w="1447" w:type="dxa"/>
            <w:tcBorders>
              <w:top w:val="single" w:sz="4" w:space="0" w:color="95B3D6"/>
            </w:tcBorders>
          </w:tcPr>
          <w:p w14:paraId="201EC3E9" w14:textId="77777777" w:rsidR="002C6574" w:rsidRDefault="00000000">
            <w:pPr>
              <w:pStyle w:val="TableParagraph"/>
              <w:spacing w:before="51" w:line="170" w:lineRule="exact"/>
              <w:ind w:right="83"/>
              <w:jc w:val="center"/>
              <w:rPr>
                <w:rFonts w:ascii="Calibri"/>
                <w:sz w:val="16"/>
              </w:rPr>
            </w:pPr>
            <w:r>
              <w:rPr>
                <w:rFonts w:ascii="Calibri"/>
                <w:color w:val="233F62"/>
                <w:spacing w:val="-2"/>
                <w:sz w:val="16"/>
              </w:rPr>
              <w:t>FEMININO</w:t>
            </w:r>
          </w:p>
        </w:tc>
        <w:tc>
          <w:tcPr>
            <w:tcW w:w="1459" w:type="dxa"/>
            <w:tcBorders>
              <w:top w:val="single" w:sz="4" w:space="0" w:color="95B3D6"/>
            </w:tcBorders>
          </w:tcPr>
          <w:p w14:paraId="574E9184" w14:textId="77777777" w:rsidR="002C6574" w:rsidRDefault="00000000">
            <w:pPr>
              <w:pStyle w:val="TableParagraph"/>
              <w:spacing w:before="51" w:line="170" w:lineRule="exact"/>
              <w:ind w:right="303"/>
              <w:rPr>
                <w:rFonts w:ascii="Calibri"/>
                <w:sz w:val="16"/>
              </w:rPr>
            </w:pPr>
            <w:r>
              <w:rPr>
                <w:rFonts w:ascii="Calibri"/>
                <w:color w:val="233F62"/>
                <w:spacing w:val="-2"/>
                <w:sz w:val="16"/>
              </w:rPr>
              <w:t>17.886,71</w:t>
            </w:r>
          </w:p>
        </w:tc>
        <w:tc>
          <w:tcPr>
            <w:tcW w:w="1202" w:type="dxa"/>
            <w:tcBorders>
              <w:top w:val="single" w:sz="4" w:space="0" w:color="95B3D6"/>
            </w:tcBorders>
          </w:tcPr>
          <w:p w14:paraId="7C3166EA" w14:textId="77777777" w:rsidR="002C6574" w:rsidRDefault="00000000">
            <w:pPr>
              <w:pStyle w:val="TableParagraph"/>
              <w:spacing w:before="51" w:line="170" w:lineRule="exact"/>
              <w:ind w:right="103"/>
              <w:rPr>
                <w:rFonts w:ascii="Calibri"/>
                <w:sz w:val="16"/>
              </w:rPr>
            </w:pPr>
            <w:r>
              <w:rPr>
                <w:rFonts w:ascii="Calibri"/>
                <w:color w:val="233F62"/>
                <w:spacing w:val="-2"/>
                <w:sz w:val="16"/>
              </w:rPr>
              <w:t>18.683,50</w:t>
            </w:r>
          </w:p>
        </w:tc>
        <w:tc>
          <w:tcPr>
            <w:tcW w:w="1326" w:type="dxa"/>
            <w:tcBorders>
              <w:top w:val="single" w:sz="4" w:space="0" w:color="95B3D6"/>
            </w:tcBorders>
          </w:tcPr>
          <w:p w14:paraId="0E4629C7" w14:textId="77777777" w:rsidR="002C6574" w:rsidRDefault="00000000">
            <w:pPr>
              <w:pStyle w:val="TableParagraph"/>
              <w:spacing w:before="51" w:line="170" w:lineRule="exact"/>
              <w:ind w:right="72"/>
              <w:rPr>
                <w:rFonts w:ascii="Calibri"/>
                <w:sz w:val="16"/>
              </w:rPr>
            </w:pPr>
            <w:r>
              <w:rPr>
                <w:rFonts w:ascii="Calibri"/>
                <w:color w:val="233F62"/>
                <w:spacing w:val="-2"/>
                <w:sz w:val="16"/>
              </w:rPr>
              <w:t>4,45%</w:t>
            </w:r>
          </w:p>
        </w:tc>
      </w:tr>
      <w:tr w:rsidR="002C6574" w14:paraId="41F4A4FE" w14:textId="77777777">
        <w:trPr>
          <w:trHeight w:val="154"/>
        </w:trPr>
        <w:tc>
          <w:tcPr>
            <w:tcW w:w="1870" w:type="dxa"/>
          </w:tcPr>
          <w:p w14:paraId="64003EDB" w14:textId="77777777" w:rsidR="002C6574" w:rsidRDefault="00000000">
            <w:pPr>
              <w:pStyle w:val="TableParagraph"/>
              <w:spacing w:line="135" w:lineRule="exact"/>
              <w:ind w:left="91"/>
              <w:jc w:val="center"/>
              <w:rPr>
                <w:rFonts w:ascii="Calibri"/>
                <w:sz w:val="16"/>
              </w:rPr>
            </w:pPr>
            <w:r>
              <w:rPr>
                <w:rFonts w:ascii="Calibri"/>
                <w:color w:val="233F62"/>
                <w:sz w:val="16"/>
              </w:rPr>
              <w:t>Com</w:t>
            </w:r>
            <w:r>
              <w:rPr>
                <w:rFonts w:ascii="Calibri"/>
                <w:color w:val="233F62"/>
                <w:spacing w:val="-2"/>
                <w:sz w:val="16"/>
              </w:rPr>
              <w:t xml:space="preserve"> Cargo</w:t>
            </w:r>
          </w:p>
        </w:tc>
        <w:tc>
          <w:tcPr>
            <w:tcW w:w="1447" w:type="dxa"/>
          </w:tcPr>
          <w:p w14:paraId="7878343E" w14:textId="77777777" w:rsidR="002C6574" w:rsidRDefault="002C6574">
            <w:pPr>
              <w:pStyle w:val="TableParagraph"/>
              <w:jc w:val="left"/>
              <w:rPr>
                <w:rFonts w:ascii="Times New Roman"/>
                <w:sz w:val="8"/>
              </w:rPr>
            </w:pPr>
          </w:p>
        </w:tc>
        <w:tc>
          <w:tcPr>
            <w:tcW w:w="1459" w:type="dxa"/>
          </w:tcPr>
          <w:p w14:paraId="367922D0" w14:textId="77777777" w:rsidR="002C6574" w:rsidRDefault="002C6574">
            <w:pPr>
              <w:pStyle w:val="TableParagraph"/>
              <w:jc w:val="left"/>
              <w:rPr>
                <w:rFonts w:ascii="Times New Roman"/>
                <w:sz w:val="8"/>
              </w:rPr>
            </w:pPr>
          </w:p>
        </w:tc>
        <w:tc>
          <w:tcPr>
            <w:tcW w:w="1202" w:type="dxa"/>
          </w:tcPr>
          <w:p w14:paraId="60395BCE" w14:textId="77777777" w:rsidR="002C6574" w:rsidRDefault="002C6574">
            <w:pPr>
              <w:pStyle w:val="TableParagraph"/>
              <w:jc w:val="left"/>
              <w:rPr>
                <w:rFonts w:ascii="Times New Roman"/>
                <w:sz w:val="8"/>
              </w:rPr>
            </w:pPr>
          </w:p>
        </w:tc>
        <w:tc>
          <w:tcPr>
            <w:tcW w:w="1326" w:type="dxa"/>
          </w:tcPr>
          <w:p w14:paraId="1383CA4D" w14:textId="77777777" w:rsidR="002C6574" w:rsidRDefault="002C6574">
            <w:pPr>
              <w:pStyle w:val="TableParagraph"/>
              <w:jc w:val="left"/>
              <w:rPr>
                <w:rFonts w:ascii="Times New Roman"/>
                <w:sz w:val="8"/>
              </w:rPr>
            </w:pPr>
          </w:p>
        </w:tc>
      </w:tr>
      <w:tr w:rsidR="002C6574" w14:paraId="6D02A44A" w14:textId="77777777">
        <w:trPr>
          <w:trHeight w:val="215"/>
        </w:trPr>
        <w:tc>
          <w:tcPr>
            <w:tcW w:w="1870" w:type="dxa"/>
            <w:tcBorders>
              <w:bottom w:val="single" w:sz="4" w:space="0" w:color="95B3D6"/>
            </w:tcBorders>
          </w:tcPr>
          <w:p w14:paraId="616A86E1" w14:textId="77777777" w:rsidR="002C6574" w:rsidRDefault="002C6574">
            <w:pPr>
              <w:pStyle w:val="TableParagraph"/>
              <w:jc w:val="left"/>
              <w:rPr>
                <w:rFonts w:ascii="Times New Roman"/>
                <w:sz w:val="14"/>
              </w:rPr>
            </w:pPr>
          </w:p>
        </w:tc>
        <w:tc>
          <w:tcPr>
            <w:tcW w:w="1447" w:type="dxa"/>
            <w:tcBorders>
              <w:bottom w:val="single" w:sz="4" w:space="0" w:color="95B3D6"/>
            </w:tcBorders>
          </w:tcPr>
          <w:p w14:paraId="4EC54113" w14:textId="77777777" w:rsidR="002C6574" w:rsidRDefault="00000000">
            <w:pPr>
              <w:pStyle w:val="TableParagraph"/>
              <w:spacing w:line="160" w:lineRule="exact"/>
              <w:ind w:right="83"/>
              <w:jc w:val="center"/>
              <w:rPr>
                <w:rFonts w:ascii="Calibri"/>
                <w:sz w:val="16"/>
              </w:rPr>
            </w:pPr>
            <w:r>
              <w:rPr>
                <w:rFonts w:ascii="Calibri"/>
                <w:color w:val="233F62"/>
                <w:spacing w:val="-2"/>
                <w:sz w:val="16"/>
              </w:rPr>
              <w:t>MASCULINO</w:t>
            </w:r>
          </w:p>
        </w:tc>
        <w:tc>
          <w:tcPr>
            <w:tcW w:w="1459" w:type="dxa"/>
            <w:tcBorders>
              <w:bottom w:val="single" w:sz="4" w:space="0" w:color="95B3D6"/>
            </w:tcBorders>
          </w:tcPr>
          <w:p w14:paraId="005E5FDB" w14:textId="77777777" w:rsidR="002C6574" w:rsidRDefault="00000000">
            <w:pPr>
              <w:pStyle w:val="TableParagraph"/>
              <w:spacing w:line="160" w:lineRule="exact"/>
              <w:ind w:right="303"/>
              <w:rPr>
                <w:rFonts w:ascii="Calibri"/>
                <w:sz w:val="16"/>
              </w:rPr>
            </w:pPr>
            <w:r>
              <w:rPr>
                <w:rFonts w:ascii="Calibri"/>
                <w:color w:val="233F62"/>
                <w:spacing w:val="-2"/>
                <w:sz w:val="16"/>
              </w:rPr>
              <w:t>20.329,76</w:t>
            </w:r>
          </w:p>
        </w:tc>
        <w:tc>
          <w:tcPr>
            <w:tcW w:w="1202" w:type="dxa"/>
            <w:tcBorders>
              <w:bottom w:val="single" w:sz="4" w:space="0" w:color="95B3D6"/>
            </w:tcBorders>
          </w:tcPr>
          <w:p w14:paraId="3F9001E4" w14:textId="77777777" w:rsidR="002C6574" w:rsidRDefault="00000000">
            <w:pPr>
              <w:pStyle w:val="TableParagraph"/>
              <w:spacing w:line="160" w:lineRule="exact"/>
              <w:ind w:right="103"/>
              <w:rPr>
                <w:rFonts w:ascii="Calibri"/>
                <w:sz w:val="16"/>
              </w:rPr>
            </w:pPr>
            <w:r>
              <w:rPr>
                <w:rFonts w:ascii="Calibri"/>
                <w:color w:val="233F62"/>
                <w:spacing w:val="-2"/>
                <w:sz w:val="16"/>
              </w:rPr>
              <w:t>21.487,10</w:t>
            </w:r>
          </w:p>
        </w:tc>
        <w:tc>
          <w:tcPr>
            <w:tcW w:w="1326" w:type="dxa"/>
            <w:tcBorders>
              <w:bottom w:val="single" w:sz="4" w:space="0" w:color="95B3D6"/>
            </w:tcBorders>
          </w:tcPr>
          <w:p w14:paraId="12A55D8D" w14:textId="77777777" w:rsidR="002C6574" w:rsidRDefault="00000000">
            <w:pPr>
              <w:pStyle w:val="TableParagraph"/>
              <w:spacing w:line="160" w:lineRule="exact"/>
              <w:ind w:right="72"/>
              <w:rPr>
                <w:rFonts w:ascii="Calibri"/>
                <w:sz w:val="16"/>
              </w:rPr>
            </w:pPr>
            <w:r>
              <w:rPr>
                <w:rFonts w:ascii="Calibri"/>
                <w:color w:val="233F62"/>
                <w:spacing w:val="-2"/>
                <w:sz w:val="16"/>
              </w:rPr>
              <w:t>5,69%</w:t>
            </w:r>
          </w:p>
        </w:tc>
      </w:tr>
      <w:tr w:rsidR="002C6574" w14:paraId="3C2585D7" w14:textId="77777777">
        <w:trPr>
          <w:trHeight w:val="241"/>
        </w:trPr>
        <w:tc>
          <w:tcPr>
            <w:tcW w:w="1870" w:type="dxa"/>
            <w:tcBorders>
              <w:top w:val="single" w:sz="4" w:space="0" w:color="95B3D6"/>
            </w:tcBorders>
          </w:tcPr>
          <w:p w14:paraId="1965A252" w14:textId="77777777" w:rsidR="002C6574" w:rsidRDefault="002C6574">
            <w:pPr>
              <w:pStyle w:val="TableParagraph"/>
              <w:jc w:val="left"/>
              <w:rPr>
                <w:rFonts w:ascii="Times New Roman"/>
                <w:sz w:val="16"/>
              </w:rPr>
            </w:pPr>
          </w:p>
        </w:tc>
        <w:tc>
          <w:tcPr>
            <w:tcW w:w="1447" w:type="dxa"/>
            <w:tcBorders>
              <w:top w:val="single" w:sz="4" w:space="0" w:color="95B3D6"/>
            </w:tcBorders>
          </w:tcPr>
          <w:p w14:paraId="6B10EBF1" w14:textId="77777777" w:rsidR="002C6574" w:rsidRDefault="00000000">
            <w:pPr>
              <w:pStyle w:val="TableParagraph"/>
              <w:spacing w:before="51" w:line="170" w:lineRule="exact"/>
              <w:ind w:right="83"/>
              <w:jc w:val="center"/>
              <w:rPr>
                <w:rFonts w:ascii="Calibri"/>
                <w:sz w:val="16"/>
              </w:rPr>
            </w:pPr>
            <w:r>
              <w:rPr>
                <w:rFonts w:ascii="Calibri"/>
                <w:color w:val="233F62"/>
                <w:spacing w:val="-2"/>
                <w:sz w:val="16"/>
              </w:rPr>
              <w:t>FEMININO</w:t>
            </w:r>
          </w:p>
        </w:tc>
        <w:tc>
          <w:tcPr>
            <w:tcW w:w="1459" w:type="dxa"/>
            <w:tcBorders>
              <w:top w:val="single" w:sz="4" w:space="0" w:color="95B3D6"/>
            </w:tcBorders>
          </w:tcPr>
          <w:p w14:paraId="033879AF" w14:textId="77777777" w:rsidR="002C6574" w:rsidRDefault="00000000">
            <w:pPr>
              <w:pStyle w:val="TableParagraph"/>
              <w:spacing w:before="51" w:line="170" w:lineRule="exact"/>
              <w:ind w:right="303"/>
              <w:rPr>
                <w:rFonts w:ascii="Calibri"/>
                <w:sz w:val="16"/>
              </w:rPr>
            </w:pPr>
            <w:r>
              <w:rPr>
                <w:rFonts w:ascii="Calibri"/>
                <w:color w:val="233F62"/>
                <w:spacing w:val="-2"/>
                <w:sz w:val="16"/>
              </w:rPr>
              <w:t>30.419,62</w:t>
            </w:r>
          </w:p>
        </w:tc>
        <w:tc>
          <w:tcPr>
            <w:tcW w:w="1202" w:type="dxa"/>
            <w:tcBorders>
              <w:top w:val="single" w:sz="4" w:space="0" w:color="95B3D6"/>
            </w:tcBorders>
          </w:tcPr>
          <w:p w14:paraId="28A0EF3D" w14:textId="77777777" w:rsidR="002C6574" w:rsidRDefault="00000000">
            <w:pPr>
              <w:pStyle w:val="TableParagraph"/>
              <w:spacing w:before="51" w:line="170" w:lineRule="exact"/>
              <w:ind w:right="103"/>
              <w:rPr>
                <w:rFonts w:ascii="Calibri"/>
                <w:sz w:val="16"/>
              </w:rPr>
            </w:pPr>
            <w:r>
              <w:rPr>
                <w:rFonts w:ascii="Calibri"/>
                <w:color w:val="233F62"/>
                <w:spacing w:val="-2"/>
                <w:sz w:val="16"/>
              </w:rPr>
              <w:t>31.449,56</w:t>
            </w:r>
          </w:p>
        </w:tc>
        <w:tc>
          <w:tcPr>
            <w:tcW w:w="1326" w:type="dxa"/>
            <w:tcBorders>
              <w:top w:val="single" w:sz="4" w:space="0" w:color="95B3D6"/>
            </w:tcBorders>
          </w:tcPr>
          <w:p w14:paraId="4106C7A3" w14:textId="77777777" w:rsidR="002C6574" w:rsidRDefault="00000000">
            <w:pPr>
              <w:pStyle w:val="TableParagraph"/>
              <w:spacing w:before="51" w:line="170" w:lineRule="exact"/>
              <w:ind w:right="72"/>
              <w:rPr>
                <w:rFonts w:ascii="Calibri"/>
                <w:sz w:val="16"/>
              </w:rPr>
            </w:pPr>
            <w:r>
              <w:rPr>
                <w:rFonts w:ascii="Calibri"/>
                <w:color w:val="233F62"/>
                <w:spacing w:val="-2"/>
                <w:sz w:val="16"/>
              </w:rPr>
              <w:t>3,39%</w:t>
            </w:r>
          </w:p>
        </w:tc>
      </w:tr>
      <w:tr w:rsidR="002C6574" w14:paraId="3D395270" w14:textId="77777777">
        <w:trPr>
          <w:trHeight w:val="153"/>
        </w:trPr>
        <w:tc>
          <w:tcPr>
            <w:tcW w:w="1870" w:type="dxa"/>
          </w:tcPr>
          <w:p w14:paraId="068C69D7" w14:textId="77777777" w:rsidR="002C6574" w:rsidRDefault="00000000">
            <w:pPr>
              <w:pStyle w:val="TableParagraph"/>
              <w:spacing w:line="134" w:lineRule="exact"/>
              <w:ind w:left="91" w:right="5"/>
              <w:jc w:val="center"/>
              <w:rPr>
                <w:rFonts w:ascii="Calibri" w:hAnsi="Calibri"/>
                <w:sz w:val="16"/>
              </w:rPr>
            </w:pPr>
            <w:r>
              <w:rPr>
                <w:rFonts w:ascii="Calibri" w:hAnsi="Calibri"/>
                <w:color w:val="233F62"/>
                <w:spacing w:val="-2"/>
                <w:sz w:val="16"/>
              </w:rPr>
              <w:t>Liderança</w:t>
            </w:r>
          </w:p>
        </w:tc>
        <w:tc>
          <w:tcPr>
            <w:tcW w:w="1447" w:type="dxa"/>
          </w:tcPr>
          <w:p w14:paraId="53C523B0" w14:textId="77777777" w:rsidR="002C6574" w:rsidRDefault="002C6574">
            <w:pPr>
              <w:pStyle w:val="TableParagraph"/>
              <w:jc w:val="left"/>
              <w:rPr>
                <w:rFonts w:ascii="Times New Roman"/>
                <w:sz w:val="8"/>
              </w:rPr>
            </w:pPr>
          </w:p>
        </w:tc>
        <w:tc>
          <w:tcPr>
            <w:tcW w:w="1459" w:type="dxa"/>
          </w:tcPr>
          <w:p w14:paraId="4CF6F4D2" w14:textId="77777777" w:rsidR="002C6574" w:rsidRDefault="002C6574">
            <w:pPr>
              <w:pStyle w:val="TableParagraph"/>
              <w:jc w:val="left"/>
              <w:rPr>
                <w:rFonts w:ascii="Times New Roman"/>
                <w:sz w:val="8"/>
              </w:rPr>
            </w:pPr>
          </w:p>
        </w:tc>
        <w:tc>
          <w:tcPr>
            <w:tcW w:w="1202" w:type="dxa"/>
          </w:tcPr>
          <w:p w14:paraId="391B0CFB" w14:textId="77777777" w:rsidR="002C6574" w:rsidRDefault="002C6574">
            <w:pPr>
              <w:pStyle w:val="TableParagraph"/>
              <w:jc w:val="left"/>
              <w:rPr>
                <w:rFonts w:ascii="Times New Roman"/>
                <w:sz w:val="8"/>
              </w:rPr>
            </w:pPr>
          </w:p>
        </w:tc>
        <w:tc>
          <w:tcPr>
            <w:tcW w:w="1326" w:type="dxa"/>
          </w:tcPr>
          <w:p w14:paraId="5DCDDA37" w14:textId="77777777" w:rsidR="002C6574" w:rsidRDefault="002C6574">
            <w:pPr>
              <w:pStyle w:val="TableParagraph"/>
              <w:jc w:val="left"/>
              <w:rPr>
                <w:rFonts w:ascii="Times New Roman"/>
                <w:sz w:val="8"/>
              </w:rPr>
            </w:pPr>
          </w:p>
        </w:tc>
      </w:tr>
      <w:tr w:rsidR="002C6574" w14:paraId="2ED7EF55" w14:textId="77777777">
        <w:trPr>
          <w:trHeight w:val="218"/>
        </w:trPr>
        <w:tc>
          <w:tcPr>
            <w:tcW w:w="1870" w:type="dxa"/>
            <w:tcBorders>
              <w:bottom w:val="single" w:sz="4" w:space="0" w:color="95B3D6"/>
            </w:tcBorders>
          </w:tcPr>
          <w:p w14:paraId="5B1C6016" w14:textId="77777777" w:rsidR="002C6574" w:rsidRDefault="002C6574">
            <w:pPr>
              <w:pStyle w:val="TableParagraph"/>
              <w:jc w:val="left"/>
              <w:rPr>
                <w:rFonts w:ascii="Times New Roman"/>
                <w:sz w:val="14"/>
              </w:rPr>
            </w:pPr>
          </w:p>
        </w:tc>
        <w:tc>
          <w:tcPr>
            <w:tcW w:w="1447" w:type="dxa"/>
            <w:tcBorders>
              <w:bottom w:val="single" w:sz="4" w:space="0" w:color="95B3D6"/>
            </w:tcBorders>
          </w:tcPr>
          <w:p w14:paraId="6A9F1E2E" w14:textId="77777777" w:rsidR="002C6574" w:rsidRDefault="00000000">
            <w:pPr>
              <w:pStyle w:val="TableParagraph"/>
              <w:spacing w:line="159" w:lineRule="exact"/>
              <w:ind w:right="83"/>
              <w:jc w:val="center"/>
              <w:rPr>
                <w:rFonts w:ascii="Calibri"/>
                <w:sz w:val="16"/>
              </w:rPr>
            </w:pPr>
            <w:r>
              <w:rPr>
                <w:rFonts w:ascii="Calibri"/>
                <w:color w:val="233F62"/>
                <w:spacing w:val="-2"/>
                <w:sz w:val="16"/>
              </w:rPr>
              <w:t>MASCULINO</w:t>
            </w:r>
          </w:p>
        </w:tc>
        <w:tc>
          <w:tcPr>
            <w:tcW w:w="1459" w:type="dxa"/>
            <w:tcBorders>
              <w:bottom w:val="single" w:sz="4" w:space="0" w:color="95B3D6"/>
            </w:tcBorders>
          </w:tcPr>
          <w:p w14:paraId="7555C404" w14:textId="77777777" w:rsidR="002C6574" w:rsidRDefault="00000000">
            <w:pPr>
              <w:pStyle w:val="TableParagraph"/>
              <w:spacing w:line="159" w:lineRule="exact"/>
              <w:ind w:right="303"/>
              <w:rPr>
                <w:rFonts w:ascii="Calibri"/>
                <w:sz w:val="16"/>
              </w:rPr>
            </w:pPr>
            <w:r>
              <w:rPr>
                <w:rFonts w:ascii="Calibri"/>
                <w:color w:val="233F62"/>
                <w:spacing w:val="-2"/>
                <w:sz w:val="16"/>
              </w:rPr>
              <w:t>31.292,77</w:t>
            </w:r>
          </w:p>
        </w:tc>
        <w:tc>
          <w:tcPr>
            <w:tcW w:w="1202" w:type="dxa"/>
            <w:tcBorders>
              <w:bottom w:val="single" w:sz="4" w:space="0" w:color="95B3D6"/>
            </w:tcBorders>
          </w:tcPr>
          <w:p w14:paraId="764DD093" w14:textId="77777777" w:rsidR="002C6574" w:rsidRDefault="00000000">
            <w:pPr>
              <w:pStyle w:val="TableParagraph"/>
              <w:spacing w:line="159" w:lineRule="exact"/>
              <w:ind w:right="103"/>
              <w:rPr>
                <w:rFonts w:ascii="Calibri"/>
                <w:sz w:val="16"/>
              </w:rPr>
            </w:pPr>
            <w:r>
              <w:rPr>
                <w:rFonts w:ascii="Calibri"/>
                <w:color w:val="233F62"/>
                <w:spacing w:val="-2"/>
                <w:sz w:val="16"/>
              </w:rPr>
              <w:t>32.373,61</w:t>
            </w:r>
          </w:p>
        </w:tc>
        <w:tc>
          <w:tcPr>
            <w:tcW w:w="1326" w:type="dxa"/>
            <w:tcBorders>
              <w:bottom w:val="single" w:sz="4" w:space="0" w:color="95B3D6"/>
            </w:tcBorders>
          </w:tcPr>
          <w:p w14:paraId="224792D0" w14:textId="77777777" w:rsidR="002C6574" w:rsidRDefault="00000000">
            <w:pPr>
              <w:pStyle w:val="TableParagraph"/>
              <w:spacing w:line="159" w:lineRule="exact"/>
              <w:ind w:right="72"/>
              <w:rPr>
                <w:rFonts w:ascii="Calibri"/>
                <w:sz w:val="16"/>
              </w:rPr>
            </w:pPr>
            <w:r>
              <w:rPr>
                <w:rFonts w:ascii="Calibri"/>
                <w:color w:val="233F62"/>
                <w:spacing w:val="-2"/>
                <w:sz w:val="16"/>
              </w:rPr>
              <w:t>3,45%</w:t>
            </w:r>
          </w:p>
        </w:tc>
      </w:tr>
    </w:tbl>
    <w:p w14:paraId="2D056B71" w14:textId="77777777" w:rsidR="002C6574" w:rsidRDefault="00000000">
      <w:pPr>
        <w:spacing w:before="114"/>
        <w:ind w:left="2888"/>
        <w:rPr>
          <w:rFonts w:ascii="Calibri" w:hAnsi="Calibri"/>
          <w:sz w:val="16"/>
        </w:rPr>
      </w:pPr>
      <w:r>
        <w:rPr>
          <w:rFonts w:ascii="Calibri" w:hAnsi="Calibri"/>
          <w:color w:val="001F60"/>
          <w:sz w:val="16"/>
        </w:rPr>
        <w:t>Tabela</w:t>
      </w:r>
      <w:r>
        <w:rPr>
          <w:rFonts w:ascii="Calibri" w:hAnsi="Calibri"/>
          <w:color w:val="001F60"/>
          <w:spacing w:val="-3"/>
          <w:sz w:val="16"/>
        </w:rPr>
        <w:t xml:space="preserve"> </w:t>
      </w:r>
      <w:r>
        <w:rPr>
          <w:rFonts w:ascii="Calibri" w:hAnsi="Calibri"/>
          <w:color w:val="001F60"/>
          <w:sz w:val="16"/>
        </w:rPr>
        <w:t>8-4</w:t>
      </w:r>
      <w:r>
        <w:rPr>
          <w:rFonts w:ascii="Calibri" w:hAnsi="Calibri"/>
          <w:color w:val="001F60"/>
          <w:spacing w:val="-1"/>
          <w:sz w:val="16"/>
        </w:rPr>
        <w:t xml:space="preserve"> </w:t>
      </w:r>
      <w:r>
        <w:rPr>
          <w:rFonts w:ascii="Calibri" w:hAnsi="Calibri"/>
          <w:color w:val="001F60"/>
          <w:sz w:val="16"/>
        </w:rPr>
        <w:t>Quadro</w:t>
      </w:r>
      <w:r>
        <w:rPr>
          <w:rFonts w:ascii="Calibri" w:hAnsi="Calibri"/>
          <w:color w:val="001F60"/>
          <w:spacing w:val="-3"/>
          <w:sz w:val="16"/>
        </w:rPr>
        <w:t xml:space="preserve"> </w:t>
      </w:r>
      <w:r>
        <w:rPr>
          <w:rFonts w:ascii="Calibri" w:hAnsi="Calibri"/>
          <w:color w:val="001F60"/>
          <w:sz w:val="16"/>
        </w:rPr>
        <w:t>de</w:t>
      </w:r>
      <w:r>
        <w:rPr>
          <w:rFonts w:ascii="Calibri" w:hAnsi="Calibri"/>
          <w:color w:val="001F60"/>
          <w:spacing w:val="-4"/>
          <w:sz w:val="16"/>
        </w:rPr>
        <w:t xml:space="preserve"> </w:t>
      </w:r>
      <w:r>
        <w:rPr>
          <w:rFonts w:ascii="Calibri" w:hAnsi="Calibri"/>
          <w:color w:val="001F60"/>
          <w:sz w:val="16"/>
        </w:rPr>
        <w:t>Pessoal</w:t>
      </w:r>
      <w:r>
        <w:rPr>
          <w:rFonts w:ascii="Calibri" w:hAnsi="Calibri"/>
          <w:color w:val="001F60"/>
          <w:spacing w:val="-5"/>
          <w:sz w:val="16"/>
        </w:rPr>
        <w:t xml:space="preserve"> </w:t>
      </w:r>
      <w:r>
        <w:rPr>
          <w:rFonts w:ascii="Calibri" w:hAnsi="Calibri"/>
          <w:color w:val="001F60"/>
          <w:sz w:val="16"/>
        </w:rPr>
        <w:t>-</w:t>
      </w:r>
      <w:r>
        <w:rPr>
          <w:rFonts w:ascii="Calibri" w:hAnsi="Calibri"/>
          <w:color w:val="001F60"/>
          <w:spacing w:val="-1"/>
          <w:sz w:val="16"/>
        </w:rPr>
        <w:t xml:space="preserve"> </w:t>
      </w:r>
      <w:r>
        <w:rPr>
          <w:rFonts w:ascii="Calibri" w:hAnsi="Calibri"/>
          <w:color w:val="001F60"/>
          <w:sz w:val="16"/>
        </w:rPr>
        <w:t>Remuneração</w:t>
      </w:r>
      <w:r>
        <w:rPr>
          <w:rFonts w:ascii="Calibri" w:hAnsi="Calibri"/>
          <w:color w:val="001F60"/>
          <w:spacing w:val="-4"/>
          <w:sz w:val="16"/>
        </w:rPr>
        <w:t xml:space="preserve"> </w:t>
      </w:r>
      <w:r>
        <w:rPr>
          <w:rFonts w:ascii="Calibri" w:hAnsi="Calibri"/>
          <w:color w:val="001F60"/>
          <w:sz w:val="16"/>
        </w:rPr>
        <w:t>Média</w:t>
      </w:r>
      <w:r>
        <w:rPr>
          <w:rFonts w:ascii="Calibri" w:hAnsi="Calibri"/>
          <w:color w:val="001F60"/>
          <w:spacing w:val="-2"/>
          <w:sz w:val="16"/>
        </w:rPr>
        <w:t xml:space="preserve"> </w:t>
      </w:r>
      <w:r>
        <w:rPr>
          <w:rFonts w:ascii="Calibri" w:hAnsi="Calibri"/>
          <w:color w:val="001F60"/>
          <w:sz w:val="16"/>
        </w:rPr>
        <w:t>por</w:t>
      </w:r>
      <w:r>
        <w:rPr>
          <w:rFonts w:ascii="Calibri" w:hAnsi="Calibri"/>
          <w:color w:val="001F60"/>
          <w:spacing w:val="-4"/>
          <w:sz w:val="16"/>
        </w:rPr>
        <w:t xml:space="preserve"> </w:t>
      </w:r>
      <w:r>
        <w:rPr>
          <w:rFonts w:ascii="Calibri" w:hAnsi="Calibri"/>
          <w:color w:val="001F60"/>
          <w:sz w:val="16"/>
        </w:rPr>
        <w:t>Cargo</w:t>
      </w:r>
      <w:r>
        <w:rPr>
          <w:rFonts w:ascii="Calibri" w:hAnsi="Calibri"/>
          <w:color w:val="001F60"/>
          <w:spacing w:val="-4"/>
          <w:sz w:val="16"/>
        </w:rPr>
        <w:t xml:space="preserve"> </w:t>
      </w:r>
      <w:r>
        <w:rPr>
          <w:rFonts w:ascii="Calibri" w:hAnsi="Calibri"/>
          <w:color w:val="001F60"/>
          <w:sz w:val="16"/>
        </w:rPr>
        <w:t>e</w:t>
      </w:r>
      <w:r>
        <w:rPr>
          <w:rFonts w:ascii="Calibri" w:hAnsi="Calibri"/>
          <w:color w:val="001F60"/>
          <w:spacing w:val="-2"/>
          <w:sz w:val="16"/>
        </w:rPr>
        <w:t xml:space="preserve"> Gênero</w:t>
      </w:r>
    </w:p>
    <w:p w14:paraId="43F7A68B" w14:textId="77777777" w:rsidR="002C6574" w:rsidRDefault="00000000">
      <w:pPr>
        <w:pStyle w:val="Corpodetexto"/>
        <w:spacing w:before="120"/>
        <w:ind w:left="709" w:right="276"/>
        <w:jc w:val="both"/>
        <w:rPr>
          <w:rFonts w:ascii="Calibri" w:hAnsi="Calibri"/>
        </w:rPr>
      </w:pPr>
      <w:r>
        <w:rPr>
          <w:rFonts w:ascii="Calibri" w:hAnsi="Calibri"/>
          <w:color w:val="001F60"/>
        </w:rPr>
        <w:t>A</w:t>
      </w:r>
      <w:r>
        <w:rPr>
          <w:rFonts w:ascii="Calibri" w:hAnsi="Calibri"/>
          <w:color w:val="001F60"/>
          <w:spacing w:val="-8"/>
        </w:rPr>
        <w:t xml:space="preserve"> </w:t>
      </w:r>
      <w:r>
        <w:rPr>
          <w:rFonts w:ascii="Calibri" w:hAnsi="Calibri"/>
          <w:color w:val="001F60"/>
        </w:rPr>
        <w:t>equidade</w:t>
      </w:r>
      <w:r>
        <w:rPr>
          <w:rFonts w:ascii="Calibri" w:hAnsi="Calibri"/>
          <w:color w:val="001F60"/>
          <w:spacing w:val="-6"/>
        </w:rPr>
        <w:t xml:space="preserve"> </w:t>
      </w:r>
      <w:r>
        <w:rPr>
          <w:rFonts w:ascii="Calibri" w:hAnsi="Calibri"/>
          <w:color w:val="001F60"/>
        </w:rPr>
        <w:t>é</w:t>
      </w:r>
      <w:r>
        <w:rPr>
          <w:rFonts w:ascii="Calibri" w:hAnsi="Calibri"/>
          <w:color w:val="001F60"/>
          <w:spacing w:val="-8"/>
        </w:rPr>
        <w:t xml:space="preserve"> </w:t>
      </w:r>
      <w:r>
        <w:rPr>
          <w:rFonts w:ascii="Calibri" w:hAnsi="Calibri"/>
          <w:color w:val="001F60"/>
        </w:rPr>
        <w:t>tratada</w:t>
      </w:r>
      <w:r>
        <w:rPr>
          <w:rFonts w:ascii="Calibri" w:hAnsi="Calibri"/>
          <w:color w:val="001F60"/>
          <w:spacing w:val="-6"/>
        </w:rPr>
        <w:t xml:space="preserve"> </w:t>
      </w:r>
      <w:r>
        <w:rPr>
          <w:rFonts w:ascii="Calibri" w:hAnsi="Calibri"/>
          <w:color w:val="001F60"/>
        </w:rPr>
        <w:t>pela</w:t>
      </w:r>
      <w:r>
        <w:rPr>
          <w:rFonts w:ascii="Calibri" w:hAnsi="Calibri"/>
          <w:color w:val="001F60"/>
          <w:spacing w:val="-10"/>
        </w:rPr>
        <w:t xml:space="preserve"> </w:t>
      </w:r>
      <w:r>
        <w:rPr>
          <w:rFonts w:ascii="Calibri" w:hAnsi="Calibri"/>
          <w:color w:val="001F60"/>
        </w:rPr>
        <w:t>Companhia</w:t>
      </w:r>
      <w:r>
        <w:rPr>
          <w:rFonts w:ascii="Calibri" w:hAnsi="Calibri"/>
          <w:color w:val="001F60"/>
          <w:spacing w:val="-10"/>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forma</w:t>
      </w:r>
      <w:r>
        <w:rPr>
          <w:rFonts w:ascii="Calibri" w:hAnsi="Calibri"/>
          <w:color w:val="001F60"/>
          <w:spacing w:val="-10"/>
        </w:rPr>
        <w:t xml:space="preserve"> </w:t>
      </w:r>
      <w:r>
        <w:rPr>
          <w:rFonts w:ascii="Calibri" w:hAnsi="Calibri"/>
          <w:color w:val="001F60"/>
        </w:rPr>
        <w:t>transversal,</w:t>
      </w:r>
      <w:r>
        <w:rPr>
          <w:rFonts w:ascii="Calibri" w:hAnsi="Calibri"/>
          <w:color w:val="001F60"/>
          <w:spacing w:val="-6"/>
        </w:rPr>
        <w:t xml:space="preserve"> </w:t>
      </w:r>
      <w:r>
        <w:rPr>
          <w:rFonts w:ascii="Calibri" w:hAnsi="Calibri"/>
          <w:color w:val="001F60"/>
        </w:rPr>
        <w:t>integrando</w:t>
      </w:r>
      <w:r>
        <w:rPr>
          <w:rFonts w:ascii="Calibri" w:hAnsi="Calibri"/>
          <w:color w:val="001F60"/>
          <w:spacing w:val="-8"/>
        </w:rPr>
        <w:t xml:space="preserve"> </w:t>
      </w:r>
      <w:r>
        <w:rPr>
          <w:rFonts w:ascii="Calibri" w:hAnsi="Calibri"/>
          <w:color w:val="001F60"/>
        </w:rPr>
        <w:t>os</w:t>
      </w:r>
      <w:r>
        <w:rPr>
          <w:rFonts w:ascii="Calibri" w:hAnsi="Calibri"/>
          <w:color w:val="001F60"/>
          <w:spacing w:val="-8"/>
        </w:rPr>
        <w:t xml:space="preserve"> </w:t>
      </w:r>
      <w:r>
        <w:rPr>
          <w:rFonts w:ascii="Calibri" w:hAnsi="Calibri"/>
          <w:color w:val="001F60"/>
        </w:rPr>
        <w:t>princípios</w:t>
      </w:r>
      <w:r>
        <w:rPr>
          <w:rFonts w:ascii="Calibri" w:hAnsi="Calibri"/>
          <w:color w:val="001F60"/>
          <w:spacing w:val="-8"/>
        </w:rPr>
        <w:t xml:space="preserve"> </w:t>
      </w:r>
      <w:r>
        <w:rPr>
          <w:rFonts w:ascii="Calibri" w:hAnsi="Calibri"/>
          <w:color w:val="001F60"/>
        </w:rPr>
        <w:t>estabelecidos</w:t>
      </w:r>
      <w:r>
        <w:rPr>
          <w:rFonts w:ascii="Calibri" w:hAnsi="Calibri"/>
          <w:color w:val="001F60"/>
          <w:spacing w:val="-6"/>
        </w:rPr>
        <w:t xml:space="preserve"> </w:t>
      </w:r>
      <w:r>
        <w:rPr>
          <w:rFonts w:ascii="Calibri" w:hAnsi="Calibri"/>
          <w:color w:val="001F60"/>
        </w:rPr>
        <w:t>em sua Política Ambiental, Social e de Governança (ESG). Esse marco orienta ações voltadas à promoção da</w:t>
      </w:r>
      <w:r>
        <w:rPr>
          <w:rFonts w:ascii="Calibri" w:hAnsi="Calibri"/>
          <w:color w:val="001F60"/>
          <w:spacing w:val="-9"/>
        </w:rPr>
        <w:t xml:space="preserve"> </w:t>
      </w:r>
      <w:r>
        <w:rPr>
          <w:rFonts w:ascii="Calibri" w:hAnsi="Calibri"/>
          <w:color w:val="001F60"/>
        </w:rPr>
        <w:t>igualdade</w:t>
      </w:r>
      <w:r>
        <w:rPr>
          <w:rFonts w:ascii="Calibri" w:hAnsi="Calibri"/>
          <w:color w:val="001F60"/>
          <w:spacing w:val="-9"/>
        </w:rPr>
        <w:t xml:space="preserve"> </w:t>
      </w:r>
      <w:r>
        <w:rPr>
          <w:rFonts w:ascii="Calibri" w:hAnsi="Calibri"/>
          <w:color w:val="001F60"/>
        </w:rPr>
        <w:t>de</w:t>
      </w:r>
      <w:r>
        <w:rPr>
          <w:rFonts w:ascii="Calibri" w:hAnsi="Calibri"/>
          <w:color w:val="001F60"/>
          <w:spacing w:val="-9"/>
        </w:rPr>
        <w:t xml:space="preserve"> </w:t>
      </w:r>
      <w:r>
        <w:rPr>
          <w:rFonts w:ascii="Calibri" w:hAnsi="Calibri"/>
          <w:color w:val="001F60"/>
        </w:rPr>
        <w:t>oportunidades,</w:t>
      </w:r>
      <w:r>
        <w:rPr>
          <w:rFonts w:ascii="Calibri" w:hAnsi="Calibri"/>
          <w:color w:val="001F60"/>
          <w:spacing w:val="-11"/>
        </w:rPr>
        <w:t xml:space="preserve"> </w:t>
      </w:r>
      <w:r>
        <w:rPr>
          <w:rFonts w:ascii="Calibri" w:hAnsi="Calibri"/>
          <w:color w:val="001F60"/>
        </w:rPr>
        <w:t>à</w:t>
      </w:r>
      <w:r>
        <w:rPr>
          <w:rFonts w:ascii="Calibri" w:hAnsi="Calibri"/>
          <w:color w:val="001F60"/>
          <w:spacing w:val="-9"/>
        </w:rPr>
        <w:t xml:space="preserve"> </w:t>
      </w:r>
      <w:r>
        <w:rPr>
          <w:rFonts w:ascii="Calibri" w:hAnsi="Calibri"/>
          <w:color w:val="001F60"/>
        </w:rPr>
        <w:t>valorização</w:t>
      </w:r>
      <w:r>
        <w:rPr>
          <w:rFonts w:ascii="Calibri" w:hAnsi="Calibri"/>
          <w:color w:val="001F60"/>
          <w:spacing w:val="-8"/>
        </w:rPr>
        <w:t xml:space="preserve"> </w:t>
      </w:r>
      <w:r>
        <w:rPr>
          <w:rFonts w:ascii="Calibri" w:hAnsi="Calibri"/>
          <w:color w:val="001F60"/>
        </w:rPr>
        <w:t>da</w:t>
      </w:r>
      <w:r>
        <w:rPr>
          <w:rFonts w:ascii="Calibri" w:hAnsi="Calibri"/>
          <w:color w:val="001F60"/>
          <w:spacing w:val="-9"/>
        </w:rPr>
        <w:t xml:space="preserve"> </w:t>
      </w:r>
      <w:r>
        <w:rPr>
          <w:rFonts w:ascii="Calibri" w:hAnsi="Calibri"/>
          <w:color w:val="001F60"/>
        </w:rPr>
        <w:t>diversidade</w:t>
      </w:r>
      <w:r>
        <w:rPr>
          <w:rFonts w:ascii="Calibri" w:hAnsi="Calibri"/>
          <w:color w:val="001F60"/>
          <w:spacing w:val="-9"/>
        </w:rPr>
        <w:t xml:space="preserve"> </w:t>
      </w:r>
      <w:r>
        <w:rPr>
          <w:rFonts w:ascii="Calibri" w:hAnsi="Calibri"/>
          <w:color w:val="001F60"/>
        </w:rPr>
        <w:t>e</w:t>
      </w:r>
      <w:r>
        <w:rPr>
          <w:rFonts w:ascii="Calibri" w:hAnsi="Calibri"/>
          <w:color w:val="001F60"/>
          <w:spacing w:val="-9"/>
        </w:rPr>
        <w:t xml:space="preserve"> </w:t>
      </w:r>
      <w:r>
        <w:rPr>
          <w:rFonts w:ascii="Calibri" w:hAnsi="Calibri"/>
          <w:color w:val="001F60"/>
        </w:rPr>
        <w:t>ao</w:t>
      </w:r>
      <w:r>
        <w:rPr>
          <w:rFonts w:ascii="Calibri" w:hAnsi="Calibri"/>
          <w:color w:val="001F60"/>
          <w:spacing w:val="-8"/>
        </w:rPr>
        <w:t xml:space="preserve"> </w:t>
      </w:r>
      <w:r>
        <w:rPr>
          <w:rFonts w:ascii="Calibri" w:hAnsi="Calibri"/>
          <w:color w:val="001F60"/>
        </w:rPr>
        <w:t>respeito</w:t>
      </w:r>
      <w:r>
        <w:rPr>
          <w:rFonts w:ascii="Calibri" w:hAnsi="Calibri"/>
          <w:color w:val="001F60"/>
          <w:spacing w:val="-11"/>
        </w:rPr>
        <w:t xml:space="preserve"> </w:t>
      </w:r>
      <w:r>
        <w:rPr>
          <w:rFonts w:ascii="Calibri" w:hAnsi="Calibri"/>
          <w:color w:val="001F60"/>
        </w:rPr>
        <w:t>aos</w:t>
      </w:r>
      <w:r>
        <w:rPr>
          <w:rFonts w:ascii="Calibri" w:hAnsi="Calibri"/>
          <w:color w:val="001F60"/>
          <w:spacing w:val="-13"/>
        </w:rPr>
        <w:t xml:space="preserve"> </w:t>
      </w:r>
      <w:r>
        <w:rPr>
          <w:rFonts w:ascii="Calibri" w:hAnsi="Calibri"/>
          <w:color w:val="001F60"/>
        </w:rPr>
        <w:t>direitos</w:t>
      </w:r>
      <w:r>
        <w:rPr>
          <w:rFonts w:ascii="Calibri" w:hAnsi="Calibri"/>
          <w:color w:val="001F60"/>
          <w:spacing w:val="-8"/>
        </w:rPr>
        <w:t xml:space="preserve"> </w:t>
      </w:r>
      <w:r>
        <w:rPr>
          <w:rFonts w:ascii="Calibri" w:hAnsi="Calibri"/>
          <w:color w:val="001F60"/>
        </w:rPr>
        <w:t>humanos.</w:t>
      </w:r>
      <w:r>
        <w:rPr>
          <w:rFonts w:ascii="Calibri" w:hAnsi="Calibri"/>
          <w:color w:val="001F60"/>
          <w:spacing w:val="-13"/>
        </w:rPr>
        <w:t xml:space="preserve"> </w:t>
      </w:r>
      <w:r>
        <w:rPr>
          <w:rFonts w:ascii="Calibri" w:hAnsi="Calibri"/>
          <w:color w:val="001F60"/>
        </w:rPr>
        <w:t>Entre as iniciativas desenvolvidas no período, destaca-se a participação nos programas Pró-Equidade de Gênero e Raça</w:t>
      </w:r>
      <w:r>
        <w:rPr>
          <w:rFonts w:ascii="Calibri" w:hAnsi="Calibri"/>
          <w:color w:val="001F60"/>
          <w:spacing w:val="-4"/>
        </w:rPr>
        <w:t xml:space="preserve"> </w:t>
      </w:r>
      <w:r>
        <w:rPr>
          <w:rFonts w:ascii="Calibri" w:hAnsi="Calibri"/>
          <w:color w:val="001F60"/>
        </w:rPr>
        <w:t>e no</w:t>
      </w:r>
      <w:r>
        <w:rPr>
          <w:rFonts w:ascii="Calibri" w:hAnsi="Calibri"/>
          <w:color w:val="001F60"/>
          <w:spacing w:val="-2"/>
        </w:rPr>
        <w:t xml:space="preserve"> </w:t>
      </w:r>
      <w:r>
        <w:rPr>
          <w:rFonts w:ascii="Calibri" w:hAnsi="Calibri"/>
          <w:color w:val="001F60"/>
        </w:rPr>
        <w:t>Pacto</w:t>
      </w:r>
      <w:r>
        <w:rPr>
          <w:rFonts w:ascii="Calibri" w:hAnsi="Calibri"/>
          <w:color w:val="001F60"/>
          <w:spacing w:val="-1"/>
        </w:rPr>
        <w:t xml:space="preserve"> </w:t>
      </w:r>
      <w:r>
        <w:rPr>
          <w:rFonts w:ascii="Calibri" w:hAnsi="Calibri"/>
          <w:color w:val="001F60"/>
        </w:rPr>
        <w:t>pela Diversidade, Equidade</w:t>
      </w:r>
      <w:r>
        <w:rPr>
          <w:rFonts w:ascii="Calibri" w:hAnsi="Calibri"/>
          <w:color w:val="001F60"/>
          <w:spacing w:val="-1"/>
        </w:rPr>
        <w:t xml:space="preserve"> </w:t>
      </w:r>
      <w:r>
        <w:rPr>
          <w:rFonts w:ascii="Calibri" w:hAnsi="Calibri"/>
          <w:color w:val="001F60"/>
        </w:rPr>
        <w:t>e Inclusão nas Estatais Federais, bem como nas avaliações</w:t>
      </w:r>
      <w:r>
        <w:rPr>
          <w:rFonts w:ascii="Calibri" w:hAnsi="Calibri"/>
          <w:color w:val="001F60"/>
          <w:spacing w:val="-4"/>
        </w:rPr>
        <w:t xml:space="preserve"> </w:t>
      </w:r>
      <w:r>
        <w:rPr>
          <w:rFonts w:ascii="Calibri" w:hAnsi="Calibri"/>
          <w:color w:val="001F60"/>
        </w:rPr>
        <w:t>externas</w:t>
      </w:r>
      <w:r>
        <w:rPr>
          <w:rFonts w:ascii="Calibri" w:hAnsi="Calibri"/>
          <w:color w:val="001F60"/>
          <w:spacing w:val="-4"/>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governança</w:t>
      </w:r>
      <w:r>
        <w:rPr>
          <w:rFonts w:ascii="Calibri" w:hAnsi="Calibri"/>
          <w:color w:val="001F60"/>
          <w:spacing w:val="-4"/>
        </w:rPr>
        <w:t xml:space="preserve"> </w:t>
      </w:r>
      <w:r>
        <w:rPr>
          <w:rFonts w:ascii="Calibri" w:hAnsi="Calibri"/>
          <w:color w:val="001F60"/>
        </w:rPr>
        <w:t>e</w:t>
      </w:r>
      <w:r>
        <w:rPr>
          <w:rFonts w:ascii="Calibri" w:hAnsi="Calibri"/>
          <w:color w:val="001F60"/>
          <w:spacing w:val="-4"/>
        </w:rPr>
        <w:t xml:space="preserve"> </w:t>
      </w:r>
      <w:r>
        <w:rPr>
          <w:rFonts w:ascii="Calibri" w:hAnsi="Calibri"/>
          <w:color w:val="001F60"/>
        </w:rPr>
        <w:t>integridade</w:t>
      </w:r>
      <w:r>
        <w:rPr>
          <w:rFonts w:ascii="Calibri" w:hAnsi="Calibri"/>
          <w:color w:val="001F60"/>
          <w:spacing w:val="-4"/>
        </w:rPr>
        <w:t xml:space="preserve"> </w:t>
      </w:r>
      <w:r>
        <w:rPr>
          <w:rFonts w:ascii="Calibri" w:hAnsi="Calibri"/>
          <w:color w:val="001F60"/>
        </w:rPr>
        <w:t>(Indicador</w:t>
      </w:r>
      <w:r>
        <w:rPr>
          <w:rFonts w:ascii="Calibri" w:hAnsi="Calibri"/>
          <w:color w:val="001F60"/>
          <w:spacing w:val="-4"/>
        </w:rPr>
        <w:t xml:space="preserve"> </w:t>
      </w:r>
      <w:r>
        <w:rPr>
          <w:rFonts w:ascii="Calibri" w:hAnsi="Calibri"/>
          <w:color w:val="001F60"/>
        </w:rPr>
        <w:t>de</w:t>
      </w:r>
      <w:r>
        <w:rPr>
          <w:rFonts w:ascii="Calibri" w:hAnsi="Calibri"/>
          <w:color w:val="001F60"/>
          <w:spacing w:val="-4"/>
        </w:rPr>
        <w:t xml:space="preserve"> </w:t>
      </w:r>
      <w:r>
        <w:rPr>
          <w:rFonts w:ascii="Calibri" w:hAnsi="Calibri"/>
          <w:color w:val="001F60"/>
        </w:rPr>
        <w:t>Governança</w:t>
      </w:r>
      <w:r>
        <w:rPr>
          <w:rFonts w:ascii="Calibri" w:hAnsi="Calibri"/>
          <w:color w:val="001F60"/>
          <w:spacing w:val="-4"/>
        </w:rPr>
        <w:t xml:space="preserve"> </w:t>
      </w:r>
      <w:r>
        <w:rPr>
          <w:rFonts w:ascii="Calibri" w:hAnsi="Calibri"/>
          <w:color w:val="001F60"/>
        </w:rPr>
        <w:t>das</w:t>
      </w:r>
      <w:r>
        <w:rPr>
          <w:rFonts w:ascii="Calibri" w:hAnsi="Calibri"/>
          <w:color w:val="001F60"/>
          <w:spacing w:val="-4"/>
        </w:rPr>
        <w:t xml:space="preserve"> </w:t>
      </w:r>
      <w:r>
        <w:rPr>
          <w:rFonts w:ascii="Calibri" w:hAnsi="Calibri"/>
          <w:color w:val="001F60"/>
        </w:rPr>
        <w:t>Empresas</w:t>
      </w:r>
      <w:r>
        <w:rPr>
          <w:rFonts w:ascii="Calibri" w:hAnsi="Calibri"/>
          <w:color w:val="001F60"/>
          <w:spacing w:val="-4"/>
        </w:rPr>
        <w:t xml:space="preserve"> </w:t>
      </w:r>
      <w:r>
        <w:rPr>
          <w:rFonts w:ascii="Calibri" w:hAnsi="Calibri"/>
          <w:color w:val="001F60"/>
        </w:rPr>
        <w:t>Estatais</w:t>
      </w:r>
      <w:r>
        <w:rPr>
          <w:rFonts w:ascii="Calibri" w:hAnsi="Calibri"/>
          <w:color w:val="001F60"/>
          <w:spacing w:val="-6"/>
        </w:rPr>
        <w:t xml:space="preserve"> </w:t>
      </w:r>
      <w:r>
        <w:rPr>
          <w:rFonts w:ascii="Calibri" w:hAnsi="Calibri"/>
          <w:color w:val="001F60"/>
        </w:rPr>
        <w:t>-IG- SEST e Governança, Sustentabilidade e Inovação - iESGo) que incorporam dimensões de diversidade, equidade e inclusão.</w:t>
      </w:r>
    </w:p>
    <w:p w14:paraId="0EBCE9D5" w14:textId="77777777" w:rsidR="002C6574" w:rsidRDefault="00000000">
      <w:pPr>
        <w:pStyle w:val="Corpodetexto"/>
        <w:spacing w:before="121"/>
        <w:ind w:left="709" w:right="275"/>
        <w:jc w:val="both"/>
        <w:rPr>
          <w:rFonts w:ascii="Calibri" w:hAnsi="Calibri"/>
        </w:rPr>
      </w:pPr>
      <w:r>
        <w:rPr>
          <w:rFonts w:ascii="Calibri" w:hAnsi="Calibri"/>
          <w:color w:val="001F60"/>
        </w:rPr>
        <w:t>Essas ações demonstram o compromisso contínuo da Companhia com a promoção de um ambiente organizacional inclusivo, alinhado às melhores práticas de governança e responsabilidade social.</w:t>
      </w:r>
    </w:p>
    <w:p w14:paraId="006340DD" w14:textId="77777777" w:rsidR="002C6574" w:rsidRDefault="00000000">
      <w:pPr>
        <w:numPr>
          <w:ilvl w:val="1"/>
          <w:numId w:val="74"/>
        </w:numPr>
        <w:tabs>
          <w:tab w:val="left" w:pos="1275"/>
        </w:tabs>
        <w:spacing w:before="239"/>
        <w:ind w:left="1275" w:hanging="566"/>
        <w:rPr>
          <w:rFonts w:ascii="Calibri" w:hAnsi="Calibri"/>
          <w:b/>
        </w:rPr>
      </w:pPr>
      <w:r>
        <w:rPr>
          <w:rFonts w:ascii="Calibri" w:hAnsi="Calibri"/>
          <w:b/>
          <w:color w:val="001F60"/>
          <w:spacing w:val="-2"/>
        </w:rPr>
        <w:t>Remuneração</w:t>
      </w:r>
    </w:p>
    <w:p w14:paraId="7ABBFF66" w14:textId="77777777" w:rsidR="002C6574" w:rsidRDefault="00000000">
      <w:pPr>
        <w:pStyle w:val="Corpodetexto"/>
        <w:spacing w:before="161"/>
        <w:ind w:left="709" w:right="275"/>
        <w:jc w:val="both"/>
        <w:rPr>
          <w:rFonts w:ascii="Calibri" w:hAnsi="Calibri"/>
        </w:rPr>
      </w:pPr>
      <w:r>
        <w:rPr>
          <w:rFonts w:ascii="Calibri" w:hAnsi="Calibri"/>
          <w:color w:val="001F60"/>
        </w:rPr>
        <w:t>A</w:t>
      </w:r>
      <w:r>
        <w:rPr>
          <w:rFonts w:ascii="Calibri" w:hAnsi="Calibri"/>
          <w:color w:val="001F60"/>
          <w:spacing w:val="-1"/>
        </w:rPr>
        <w:t xml:space="preserve"> </w:t>
      </w:r>
      <w:r>
        <w:rPr>
          <w:rFonts w:ascii="Calibri" w:hAnsi="Calibri"/>
          <w:color w:val="001F60"/>
        </w:rPr>
        <w:t>maior</w:t>
      </w:r>
      <w:r>
        <w:rPr>
          <w:rFonts w:ascii="Calibri" w:hAnsi="Calibri"/>
          <w:color w:val="001F60"/>
          <w:spacing w:val="-3"/>
        </w:rPr>
        <w:t xml:space="preserve"> </w:t>
      </w:r>
      <w:r>
        <w:rPr>
          <w:rFonts w:ascii="Calibri" w:hAnsi="Calibri"/>
          <w:color w:val="001F60"/>
        </w:rPr>
        <w:t>remuneração</w:t>
      </w:r>
      <w:r>
        <w:rPr>
          <w:rFonts w:ascii="Calibri" w:hAnsi="Calibri"/>
          <w:color w:val="001F60"/>
          <w:spacing w:val="-1"/>
        </w:rPr>
        <w:t xml:space="preserve"> </w:t>
      </w:r>
      <w:r>
        <w:rPr>
          <w:rFonts w:ascii="Calibri" w:hAnsi="Calibri"/>
          <w:color w:val="001F60"/>
        </w:rPr>
        <w:t>para</w:t>
      </w:r>
      <w:r>
        <w:rPr>
          <w:rFonts w:ascii="Calibri" w:hAnsi="Calibri"/>
          <w:color w:val="001F60"/>
          <w:spacing w:val="-3"/>
        </w:rPr>
        <w:t xml:space="preserve"> </w:t>
      </w:r>
      <w:r>
        <w:rPr>
          <w:rFonts w:ascii="Calibri" w:hAnsi="Calibri"/>
          <w:color w:val="001F60"/>
        </w:rPr>
        <w:t>o</w:t>
      </w:r>
      <w:r>
        <w:rPr>
          <w:rFonts w:ascii="Calibri" w:hAnsi="Calibri"/>
          <w:color w:val="001F60"/>
          <w:spacing w:val="-1"/>
        </w:rPr>
        <w:t xml:space="preserve"> </w:t>
      </w:r>
      <w:r>
        <w:rPr>
          <w:rFonts w:ascii="Calibri" w:hAnsi="Calibri"/>
          <w:color w:val="001F60"/>
        </w:rPr>
        <w:t>quadro de</w:t>
      </w:r>
      <w:r>
        <w:rPr>
          <w:rFonts w:ascii="Calibri" w:hAnsi="Calibri"/>
          <w:color w:val="001F60"/>
          <w:spacing w:val="-1"/>
        </w:rPr>
        <w:t xml:space="preserve"> </w:t>
      </w:r>
      <w:r>
        <w:rPr>
          <w:rFonts w:ascii="Calibri" w:hAnsi="Calibri"/>
          <w:color w:val="001F60"/>
        </w:rPr>
        <w:t>pessoal</w:t>
      </w:r>
      <w:r>
        <w:rPr>
          <w:rFonts w:ascii="Calibri" w:hAnsi="Calibri"/>
          <w:color w:val="001F60"/>
          <w:spacing w:val="-1"/>
        </w:rPr>
        <w:t xml:space="preserve"> </w:t>
      </w:r>
      <w:r>
        <w:rPr>
          <w:rFonts w:ascii="Calibri" w:hAnsi="Calibri"/>
          <w:color w:val="001F60"/>
        </w:rPr>
        <w:t>alcançou</w:t>
      </w:r>
      <w:r>
        <w:rPr>
          <w:rFonts w:ascii="Calibri" w:hAnsi="Calibri"/>
          <w:color w:val="001F60"/>
          <w:spacing w:val="-2"/>
        </w:rPr>
        <w:t xml:space="preserve"> </w:t>
      </w:r>
      <w:r>
        <w:rPr>
          <w:rFonts w:ascii="Calibri" w:hAnsi="Calibri"/>
          <w:color w:val="001F60"/>
        </w:rPr>
        <w:t>R$</w:t>
      </w:r>
      <w:r>
        <w:rPr>
          <w:rFonts w:ascii="Calibri" w:hAnsi="Calibri"/>
          <w:color w:val="001F60"/>
          <w:spacing w:val="-3"/>
        </w:rPr>
        <w:t xml:space="preserve"> </w:t>
      </w:r>
      <w:r>
        <w:rPr>
          <w:rFonts w:ascii="Calibri" w:hAnsi="Calibri"/>
          <w:color w:val="001F60"/>
        </w:rPr>
        <w:t>33.207,79,</w:t>
      </w:r>
      <w:r>
        <w:rPr>
          <w:rFonts w:ascii="Calibri" w:hAnsi="Calibri"/>
          <w:color w:val="001F60"/>
          <w:spacing w:val="-3"/>
        </w:rPr>
        <w:t xml:space="preserve"> </w:t>
      </w:r>
      <w:r>
        <w:rPr>
          <w:rFonts w:ascii="Calibri" w:hAnsi="Calibri"/>
          <w:color w:val="001F60"/>
        </w:rPr>
        <w:t>e</w:t>
      </w:r>
      <w:r>
        <w:rPr>
          <w:rFonts w:ascii="Calibri" w:hAnsi="Calibri"/>
          <w:color w:val="001F60"/>
          <w:spacing w:val="-1"/>
        </w:rPr>
        <w:t xml:space="preserve"> </w:t>
      </w:r>
      <w:r>
        <w:rPr>
          <w:rFonts w:ascii="Calibri" w:hAnsi="Calibri"/>
          <w:color w:val="001F60"/>
        </w:rPr>
        <w:t>a</w:t>
      </w:r>
      <w:r>
        <w:rPr>
          <w:rFonts w:ascii="Calibri" w:hAnsi="Calibri"/>
          <w:color w:val="001F60"/>
          <w:spacing w:val="-2"/>
        </w:rPr>
        <w:t xml:space="preserve"> </w:t>
      </w:r>
      <w:r>
        <w:rPr>
          <w:rFonts w:ascii="Calibri" w:hAnsi="Calibri"/>
          <w:color w:val="001F60"/>
        </w:rPr>
        <w:t>menor</w:t>
      </w:r>
      <w:r>
        <w:rPr>
          <w:rFonts w:ascii="Calibri" w:hAnsi="Calibri"/>
          <w:color w:val="001F60"/>
          <w:spacing w:val="-1"/>
        </w:rPr>
        <w:t xml:space="preserve"> </w:t>
      </w:r>
      <w:r>
        <w:rPr>
          <w:rFonts w:ascii="Calibri" w:hAnsi="Calibri"/>
          <w:color w:val="001F60"/>
        </w:rPr>
        <w:t>foi</w:t>
      </w:r>
      <w:r>
        <w:rPr>
          <w:rFonts w:ascii="Calibri" w:hAnsi="Calibri"/>
          <w:color w:val="001F60"/>
          <w:spacing w:val="-3"/>
        </w:rPr>
        <w:t xml:space="preserve"> </w:t>
      </w:r>
      <w:r>
        <w:rPr>
          <w:rFonts w:ascii="Calibri" w:hAnsi="Calibri"/>
          <w:color w:val="001F60"/>
        </w:rPr>
        <w:t>de</w:t>
      </w:r>
      <w:r>
        <w:rPr>
          <w:rFonts w:ascii="Calibri" w:hAnsi="Calibri"/>
          <w:color w:val="001F60"/>
          <w:spacing w:val="-1"/>
        </w:rPr>
        <w:t xml:space="preserve"> </w:t>
      </w:r>
      <w:r>
        <w:rPr>
          <w:rFonts w:ascii="Calibri" w:hAnsi="Calibri"/>
          <w:color w:val="001F60"/>
        </w:rPr>
        <w:t>R$</w:t>
      </w:r>
      <w:r>
        <w:rPr>
          <w:rFonts w:ascii="Calibri" w:hAnsi="Calibri"/>
          <w:color w:val="001F60"/>
          <w:spacing w:val="-3"/>
        </w:rPr>
        <w:t xml:space="preserve"> </w:t>
      </w:r>
      <w:r>
        <w:rPr>
          <w:rFonts w:ascii="Calibri" w:hAnsi="Calibri"/>
          <w:color w:val="001F60"/>
        </w:rPr>
        <w:t>4.403,96, estabelecendo</w:t>
      </w:r>
      <w:r>
        <w:rPr>
          <w:rFonts w:ascii="Calibri" w:hAnsi="Calibri"/>
          <w:color w:val="001F60"/>
          <w:spacing w:val="-3"/>
        </w:rPr>
        <w:t xml:space="preserve"> </w:t>
      </w:r>
      <w:r>
        <w:rPr>
          <w:rFonts w:ascii="Calibri" w:hAnsi="Calibri"/>
          <w:color w:val="001F60"/>
        </w:rPr>
        <w:t>um salário</w:t>
      </w:r>
      <w:r>
        <w:rPr>
          <w:rFonts w:ascii="Calibri" w:hAnsi="Calibri"/>
          <w:color w:val="001F60"/>
          <w:spacing w:val="-5"/>
        </w:rPr>
        <w:t xml:space="preserve"> </w:t>
      </w:r>
      <w:r>
        <w:rPr>
          <w:rFonts w:ascii="Calibri" w:hAnsi="Calibri"/>
          <w:color w:val="001F60"/>
        </w:rPr>
        <w:t>médio</w:t>
      </w:r>
      <w:r>
        <w:rPr>
          <w:rFonts w:ascii="Calibri" w:hAnsi="Calibri"/>
          <w:color w:val="001F60"/>
          <w:spacing w:val="1"/>
        </w:rPr>
        <w:t xml:space="preserve"> </w:t>
      </w:r>
      <w:r>
        <w:rPr>
          <w:rFonts w:ascii="Calibri" w:hAnsi="Calibri"/>
          <w:color w:val="001F60"/>
        </w:rPr>
        <w:t>de</w:t>
      </w:r>
      <w:r>
        <w:rPr>
          <w:rFonts w:ascii="Calibri" w:hAnsi="Calibri"/>
          <w:color w:val="001F60"/>
          <w:spacing w:val="-3"/>
        </w:rPr>
        <w:t xml:space="preserve"> </w:t>
      </w:r>
      <w:r>
        <w:rPr>
          <w:rFonts w:ascii="Calibri" w:hAnsi="Calibri"/>
          <w:color w:val="001F60"/>
        </w:rPr>
        <w:t>R$</w:t>
      </w:r>
      <w:r>
        <w:rPr>
          <w:rFonts w:ascii="Calibri" w:hAnsi="Calibri"/>
          <w:color w:val="001F60"/>
          <w:spacing w:val="-6"/>
        </w:rPr>
        <w:t xml:space="preserve"> </w:t>
      </w:r>
      <w:r>
        <w:rPr>
          <w:rFonts w:ascii="Calibri" w:hAnsi="Calibri"/>
          <w:color w:val="001F60"/>
        </w:rPr>
        <w:t>15.669,22.</w:t>
      </w:r>
      <w:r>
        <w:rPr>
          <w:rFonts w:ascii="Calibri" w:hAnsi="Calibri"/>
          <w:color w:val="001F60"/>
          <w:spacing w:val="-2"/>
        </w:rPr>
        <w:t xml:space="preserve"> </w:t>
      </w:r>
      <w:r>
        <w:rPr>
          <w:rFonts w:ascii="Calibri" w:hAnsi="Calibri"/>
          <w:color w:val="001F60"/>
        </w:rPr>
        <w:t>Para</w:t>
      </w:r>
      <w:r>
        <w:rPr>
          <w:rFonts w:ascii="Calibri" w:hAnsi="Calibri"/>
          <w:color w:val="001F60"/>
          <w:spacing w:val="-3"/>
        </w:rPr>
        <w:t xml:space="preserve"> </w:t>
      </w:r>
      <w:r>
        <w:rPr>
          <w:rFonts w:ascii="Calibri" w:hAnsi="Calibri"/>
          <w:color w:val="001F60"/>
        </w:rPr>
        <w:t>os</w:t>
      </w:r>
      <w:r>
        <w:rPr>
          <w:rFonts w:ascii="Calibri" w:hAnsi="Calibri"/>
          <w:color w:val="001F60"/>
          <w:spacing w:val="1"/>
        </w:rPr>
        <w:t xml:space="preserve"> </w:t>
      </w:r>
      <w:r>
        <w:rPr>
          <w:rFonts w:ascii="Calibri" w:hAnsi="Calibri"/>
          <w:color w:val="001F60"/>
        </w:rPr>
        <w:t>dirigentes,</w:t>
      </w:r>
      <w:r>
        <w:rPr>
          <w:rFonts w:ascii="Calibri" w:hAnsi="Calibri"/>
          <w:color w:val="001F60"/>
          <w:spacing w:val="-2"/>
        </w:rPr>
        <w:t xml:space="preserve"> </w:t>
      </w:r>
      <w:r>
        <w:rPr>
          <w:rFonts w:ascii="Calibri" w:hAnsi="Calibri"/>
          <w:color w:val="001F60"/>
        </w:rPr>
        <w:t>a</w:t>
      </w:r>
      <w:r>
        <w:rPr>
          <w:rFonts w:ascii="Calibri" w:hAnsi="Calibri"/>
          <w:color w:val="001F60"/>
          <w:spacing w:val="-3"/>
        </w:rPr>
        <w:t xml:space="preserve"> </w:t>
      </w:r>
      <w:r>
        <w:rPr>
          <w:rFonts w:ascii="Calibri" w:hAnsi="Calibri"/>
          <w:color w:val="001F60"/>
        </w:rPr>
        <w:t>remuneração</w:t>
      </w:r>
      <w:r>
        <w:rPr>
          <w:rFonts w:ascii="Calibri" w:hAnsi="Calibri"/>
          <w:color w:val="001F60"/>
          <w:spacing w:val="-2"/>
        </w:rPr>
        <w:t xml:space="preserve"> </w:t>
      </w:r>
      <w:r>
        <w:rPr>
          <w:rFonts w:ascii="Calibri" w:hAnsi="Calibri"/>
          <w:color w:val="001F60"/>
        </w:rPr>
        <w:t>oscilou</w:t>
      </w:r>
      <w:r>
        <w:rPr>
          <w:rFonts w:ascii="Calibri" w:hAnsi="Calibri"/>
          <w:color w:val="001F60"/>
          <w:spacing w:val="-4"/>
        </w:rPr>
        <w:t xml:space="preserve"> </w:t>
      </w:r>
      <w:r>
        <w:rPr>
          <w:rFonts w:ascii="Calibri" w:hAnsi="Calibri"/>
          <w:color w:val="001F60"/>
        </w:rPr>
        <w:t>entre</w:t>
      </w:r>
      <w:r>
        <w:rPr>
          <w:rFonts w:ascii="Calibri" w:hAnsi="Calibri"/>
          <w:color w:val="001F60"/>
          <w:spacing w:val="-2"/>
        </w:rPr>
        <w:t xml:space="preserve"> </w:t>
      </w:r>
      <w:r>
        <w:rPr>
          <w:rFonts w:ascii="Calibri" w:hAnsi="Calibri"/>
          <w:color w:val="001F60"/>
          <w:spacing w:val="-5"/>
        </w:rPr>
        <w:t>R$</w:t>
      </w:r>
    </w:p>
    <w:p w14:paraId="1941F733" w14:textId="77777777" w:rsidR="002C6574" w:rsidRDefault="002C6574">
      <w:pPr>
        <w:pStyle w:val="Corpodetexto"/>
        <w:jc w:val="both"/>
        <w:rPr>
          <w:rFonts w:ascii="Calibri" w:hAnsi="Calibri"/>
        </w:rPr>
        <w:sectPr w:rsidR="002C6574">
          <w:pgSz w:w="11910" w:h="16840"/>
          <w:pgMar w:top="1100" w:right="850" w:bottom="1060" w:left="992" w:header="288" w:footer="863" w:gutter="0"/>
          <w:cols w:space="720"/>
        </w:sectPr>
      </w:pPr>
    </w:p>
    <w:p w14:paraId="12B52D3B" w14:textId="77777777" w:rsidR="002C6574" w:rsidRDefault="002C6574">
      <w:pPr>
        <w:pStyle w:val="Corpodetexto"/>
        <w:rPr>
          <w:rFonts w:ascii="Calibri"/>
        </w:rPr>
      </w:pPr>
    </w:p>
    <w:p w14:paraId="4B94F1C5" w14:textId="77777777" w:rsidR="002C6574" w:rsidRDefault="002C6574">
      <w:pPr>
        <w:pStyle w:val="Corpodetexto"/>
        <w:spacing w:before="50"/>
        <w:rPr>
          <w:rFonts w:ascii="Calibri"/>
        </w:rPr>
      </w:pPr>
    </w:p>
    <w:p w14:paraId="2C0BFB65" w14:textId="77777777" w:rsidR="002C6574" w:rsidRDefault="00000000">
      <w:pPr>
        <w:pStyle w:val="Corpodetexto"/>
        <w:ind w:left="709"/>
        <w:rPr>
          <w:rFonts w:ascii="Calibri" w:hAnsi="Calibri"/>
        </w:rPr>
      </w:pPr>
      <w:r>
        <w:rPr>
          <w:rFonts w:ascii="Calibri" w:hAnsi="Calibri"/>
          <w:color w:val="001F60"/>
        </w:rPr>
        <w:t>40.251,06 e R$ 44.276,18, com uma média de R$ 41.257,34, reconhecendo as responsabilidades e a liderança desses profissionais dentro da organização.</w:t>
      </w:r>
    </w:p>
    <w:p w14:paraId="62B80996" w14:textId="77777777" w:rsidR="002C6574" w:rsidRDefault="00000000">
      <w:pPr>
        <w:numPr>
          <w:ilvl w:val="1"/>
          <w:numId w:val="74"/>
        </w:numPr>
        <w:tabs>
          <w:tab w:val="left" w:pos="1275"/>
        </w:tabs>
        <w:spacing w:before="240"/>
        <w:ind w:left="1275" w:hanging="566"/>
        <w:rPr>
          <w:rFonts w:ascii="Calibri"/>
          <w:b/>
        </w:rPr>
      </w:pPr>
      <w:r>
        <w:rPr>
          <w:rFonts w:ascii="Calibri"/>
          <w:b/>
          <w:color w:val="001F60"/>
        </w:rPr>
        <w:t>Acordo</w:t>
      </w:r>
      <w:r>
        <w:rPr>
          <w:rFonts w:ascii="Calibri"/>
          <w:b/>
          <w:color w:val="001F60"/>
          <w:spacing w:val="-4"/>
        </w:rPr>
        <w:t xml:space="preserve"> </w:t>
      </w:r>
      <w:r>
        <w:rPr>
          <w:rFonts w:ascii="Calibri"/>
          <w:b/>
          <w:color w:val="001F60"/>
        </w:rPr>
        <w:t>Coletivo</w:t>
      </w:r>
      <w:r>
        <w:rPr>
          <w:rFonts w:ascii="Calibri"/>
          <w:b/>
          <w:color w:val="001F60"/>
          <w:spacing w:val="-4"/>
        </w:rPr>
        <w:t xml:space="preserve"> </w:t>
      </w:r>
      <w:r>
        <w:rPr>
          <w:rFonts w:ascii="Calibri"/>
          <w:b/>
          <w:color w:val="001F60"/>
        </w:rPr>
        <w:t>de</w:t>
      </w:r>
      <w:r>
        <w:rPr>
          <w:rFonts w:ascii="Calibri"/>
          <w:b/>
          <w:color w:val="001F60"/>
          <w:spacing w:val="-1"/>
        </w:rPr>
        <w:t xml:space="preserve"> </w:t>
      </w:r>
      <w:r>
        <w:rPr>
          <w:rFonts w:ascii="Calibri"/>
          <w:b/>
          <w:color w:val="001F60"/>
          <w:spacing w:val="-2"/>
        </w:rPr>
        <w:t>Trabalho</w:t>
      </w:r>
    </w:p>
    <w:p w14:paraId="4954ACAA" w14:textId="77777777" w:rsidR="002C6574" w:rsidRDefault="00000000">
      <w:pPr>
        <w:pStyle w:val="Corpodetexto"/>
        <w:spacing w:before="159"/>
        <w:ind w:left="709"/>
        <w:rPr>
          <w:rFonts w:ascii="Calibri" w:hAnsi="Calibri"/>
        </w:rPr>
      </w:pPr>
      <w:r>
        <w:rPr>
          <w:rFonts w:ascii="Calibri" w:hAnsi="Calibri"/>
          <w:color w:val="001F60"/>
        </w:rPr>
        <w:t>A Telebras concluiu com êxito as negociações do ACT bianual 2024/2026, assinado em abril de 2025, implementando os seguintes reajustes:</w:t>
      </w:r>
    </w:p>
    <w:p w14:paraId="5070C22F" w14:textId="77777777" w:rsidR="002C6574" w:rsidRDefault="00000000">
      <w:pPr>
        <w:pStyle w:val="Corpodetexto"/>
        <w:spacing w:before="121"/>
        <w:ind w:left="1069"/>
        <w:rPr>
          <w:rFonts w:ascii="Calibri"/>
        </w:rPr>
      </w:pPr>
      <w:r>
        <w:rPr>
          <w:rFonts w:ascii="Calibri"/>
          <w:color w:val="001F60"/>
        </w:rPr>
        <w:t>Primeiro</w:t>
      </w:r>
      <w:r>
        <w:rPr>
          <w:rFonts w:ascii="Calibri"/>
          <w:color w:val="001F60"/>
          <w:spacing w:val="-4"/>
        </w:rPr>
        <w:t xml:space="preserve"> </w:t>
      </w:r>
      <w:r>
        <w:rPr>
          <w:rFonts w:ascii="Calibri"/>
          <w:color w:val="001F60"/>
        </w:rPr>
        <w:t>ano</w:t>
      </w:r>
      <w:r>
        <w:rPr>
          <w:rFonts w:ascii="Calibri"/>
          <w:color w:val="001F60"/>
          <w:spacing w:val="-4"/>
        </w:rPr>
        <w:t xml:space="preserve"> </w:t>
      </w:r>
      <w:r>
        <w:rPr>
          <w:rFonts w:ascii="Calibri"/>
          <w:color w:val="001F60"/>
        </w:rPr>
        <w:t>(data-base</w:t>
      </w:r>
      <w:r>
        <w:rPr>
          <w:rFonts w:ascii="Calibri"/>
          <w:color w:val="001F60"/>
          <w:spacing w:val="-5"/>
        </w:rPr>
        <w:t xml:space="preserve"> </w:t>
      </w:r>
      <w:r>
        <w:rPr>
          <w:rFonts w:ascii="Calibri"/>
          <w:color w:val="001F60"/>
          <w:spacing w:val="-2"/>
        </w:rPr>
        <w:t>11/2024)</w:t>
      </w:r>
    </w:p>
    <w:p w14:paraId="10D66968" w14:textId="77777777" w:rsidR="002C6574" w:rsidRDefault="00000000">
      <w:pPr>
        <w:pStyle w:val="PargrafodaLista"/>
        <w:numPr>
          <w:ilvl w:val="0"/>
          <w:numId w:val="59"/>
        </w:numPr>
        <w:tabs>
          <w:tab w:val="left" w:pos="1428"/>
        </w:tabs>
        <w:spacing w:before="120"/>
        <w:ind w:left="1428" w:hanging="359"/>
      </w:pPr>
      <w:r>
        <w:rPr>
          <w:color w:val="001F60"/>
        </w:rPr>
        <w:t>Reajuste</w:t>
      </w:r>
      <w:r>
        <w:rPr>
          <w:color w:val="001F60"/>
          <w:spacing w:val="-5"/>
        </w:rPr>
        <w:t xml:space="preserve"> </w:t>
      </w:r>
      <w:r>
        <w:rPr>
          <w:color w:val="001F60"/>
        </w:rPr>
        <w:t>de</w:t>
      </w:r>
      <w:r>
        <w:rPr>
          <w:color w:val="001F60"/>
          <w:spacing w:val="-3"/>
        </w:rPr>
        <w:t xml:space="preserve"> </w:t>
      </w:r>
      <w:r>
        <w:rPr>
          <w:color w:val="001F60"/>
        </w:rPr>
        <w:t>4,6%</w:t>
      </w:r>
      <w:r>
        <w:rPr>
          <w:color w:val="001F60"/>
          <w:spacing w:val="-3"/>
        </w:rPr>
        <w:t xml:space="preserve"> </w:t>
      </w:r>
      <w:r>
        <w:rPr>
          <w:color w:val="001F60"/>
        </w:rPr>
        <w:t>para</w:t>
      </w:r>
      <w:r>
        <w:rPr>
          <w:color w:val="001F60"/>
          <w:spacing w:val="-3"/>
        </w:rPr>
        <w:t xml:space="preserve"> </w:t>
      </w:r>
      <w:r>
        <w:rPr>
          <w:color w:val="001F60"/>
        </w:rPr>
        <w:t>os</w:t>
      </w:r>
      <w:r>
        <w:rPr>
          <w:color w:val="001F60"/>
          <w:spacing w:val="-4"/>
        </w:rPr>
        <w:t xml:space="preserve"> </w:t>
      </w:r>
      <w:r>
        <w:rPr>
          <w:color w:val="001F60"/>
        </w:rPr>
        <w:t>cargos</w:t>
      </w:r>
      <w:r>
        <w:rPr>
          <w:color w:val="001F60"/>
          <w:spacing w:val="-2"/>
        </w:rPr>
        <w:t xml:space="preserve"> </w:t>
      </w:r>
      <w:r>
        <w:rPr>
          <w:color w:val="001F60"/>
        </w:rPr>
        <w:t>do</w:t>
      </w:r>
      <w:r>
        <w:rPr>
          <w:color w:val="001F60"/>
          <w:spacing w:val="-1"/>
        </w:rPr>
        <w:t xml:space="preserve"> </w:t>
      </w:r>
      <w:r>
        <w:rPr>
          <w:color w:val="001F60"/>
        </w:rPr>
        <w:t>PCR,</w:t>
      </w:r>
      <w:r>
        <w:rPr>
          <w:color w:val="001F60"/>
          <w:spacing w:val="-2"/>
        </w:rPr>
        <w:t xml:space="preserve"> </w:t>
      </w:r>
      <w:r>
        <w:rPr>
          <w:color w:val="001F60"/>
        </w:rPr>
        <w:t>retroativo</w:t>
      </w:r>
      <w:r>
        <w:rPr>
          <w:color w:val="001F60"/>
          <w:spacing w:val="-3"/>
        </w:rPr>
        <w:t xml:space="preserve"> </w:t>
      </w:r>
      <w:r>
        <w:rPr>
          <w:color w:val="001F60"/>
        </w:rPr>
        <w:t>à</w:t>
      </w:r>
      <w:r>
        <w:rPr>
          <w:color w:val="001F60"/>
          <w:spacing w:val="-5"/>
        </w:rPr>
        <w:t xml:space="preserve"> </w:t>
      </w:r>
      <w:r>
        <w:rPr>
          <w:color w:val="001F60"/>
        </w:rPr>
        <w:t>data-</w:t>
      </w:r>
      <w:r>
        <w:rPr>
          <w:color w:val="001F60"/>
          <w:spacing w:val="-2"/>
        </w:rPr>
        <w:t>base;</w:t>
      </w:r>
    </w:p>
    <w:p w14:paraId="0C967694" w14:textId="77777777" w:rsidR="002C6574" w:rsidRDefault="00000000">
      <w:pPr>
        <w:pStyle w:val="PargrafodaLista"/>
        <w:numPr>
          <w:ilvl w:val="0"/>
          <w:numId w:val="59"/>
        </w:numPr>
        <w:tabs>
          <w:tab w:val="left" w:pos="1428"/>
        </w:tabs>
        <w:spacing w:before="120"/>
        <w:ind w:left="1428" w:hanging="359"/>
      </w:pPr>
      <w:r>
        <w:rPr>
          <w:color w:val="001F60"/>
        </w:rPr>
        <w:t>9,2%</w:t>
      </w:r>
      <w:r>
        <w:rPr>
          <w:color w:val="001F60"/>
          <w:spacing w:val="-4"/>
        </w:rPr>
        <w:t xml:space="preserve"> </w:t>
      </w:r>
      <w:r>
        <w:rPr>
          <w:color w:val="001F60"/>
        </w:rPr>
        <w:t>para</w:t>
      </w:r>
      <w:r>
        <w:rPr>
          <w:color w:val="001F60"/>
          <w:spacing w:val="-5"/>
        </w:rPr>
        <w:t xml:space="preserve"> </w:t>
      </w:r>
      <w:r>
        <w:rPr>
          <w:color w:val="001F60"/>
        </w:rPr>
        <w:t>os</w:t>
      </w:r>
      <w:r>
        <w:rPr>
          <w:color w:val="001F60"/>
          <w:spacing w:val="-2"/>
        </w:rPr>
        <w:t xml:space="preserve"> </w:t>
      </w:r>
      <w:r>
        <w:rPr>
          <w:color w:val="001F60"/>
        </w:rPr>
        <w:t>benefícios</w:t>
      </w:r>
      <w:r>
        <w:rPr>
          <w:color w:val="001F60"/>
          <w:spacing w:val="-3"/>
        </w:rPr>
        <w:t xml:space="preserve"> </w:t>
      </w:r>
      <w:r>
        <w:rPr>
          <w:color w:val="001F60"/>
        </w:rPr>
        <w:t>de</w:t>
      </w:r>
      <w:r>
        <w:rPr>
          <w:color w:val="001F60"/>
          <w:spacing w:val="-5"/>
        </w:rPr>
        <w:t xml:space="preserve"> </w:t>
      </w:r>
      <w:r>
        <w:rPr>
          <w:color w:val="001F60"/>
        </w:rPr>
        <w:t>vale</w:t>
      </w:r>
      <w:r>
        <w:rPr>
          <w:color w:val="001F60"/>
          <w:spacing w:val="-2"/>
        </w:rPr>
        <w:t xml:space="preserve"> </w:t>
      </w:r>
      <w:r>
        <w:rPr>
          <w:color w:val="001F60"/>
        </w:rPr>
        <w:t>alimentação</w:t>
      </w:r>
      <w:r>
        <w:rPr>
          <w:color w:val="001F60"/>
          <w:spacing w:val="-3"/>
        </w:rPr>
        <w:t xml:space="preserve"> </w:t>
      </w:r>
      <w:r>
        <w:rPr>
          <w:color w:val="001F60"/>
        </w:rPr>
        <w:t>e</w:t>
      </w:r>
      <w:r>
        <w:rPr>
          <w:color w:val="001F60"/>
          <w:spacing w:val="-4"/>
        </w:rPr>
        <w:t xml:space="preserve"> </w:t>
      </w:r>
      <w:r>
        <w:rPr>
          <w:color w:val="001F60"/>
        </w:rPr>
        <w:t>plano</w:t>
      </w:r>
      <w:r>
        <w:rPr>
          <w:color w:val="001F60"/>
          <w:spacing w:val="-3"/>
        </w:rPr>
        <w:t xml:space="preserve"> </w:t>
      </w:r>
      <w:r>
        <w:rPr>
          <w:color w:val="001F60"/>
        </w:rPr>
        <w:t>de</w:t>
      </w:r>
      <w:r>
        <w:rPr>
          <w:color w:val="001F60"/>
          <w:spacing w:val="-3"/>
        </w:rPr>
        <w:t xml:space="preserve"> </w:t>
      </w:r>
      <w:r>
        <w:rPr>
          <w:color w:val="001F60"/>
        </w:rPr>
        <w:t>saúde,</w:t>
      </w:r>
      <w:r>
        <w:rPr>
          <w:color w:val="001F60"/>
          <w:spacing w:val="-2"/>
        </w:rPr>
        <w:t xml:space="preserve"> </w:t>
      </w:r>
      <w:r>
        <w:rPr>
          <w:color w:val="001F60"/>
        </w:rPr>
        <w:t>retroativo</w:t>
      </w:r>
      <w:r>
        <w:rPr>
          <w:color w:val="001F60"/>
          <w:spacing w:val="-4"/>
        </w:rPr>
        <w:t xml:space="preserve"> </w:t>
      </w:r>
      <w:r>
        <w:rPr>
          <w:color w:val="001F60"/>
        </w:rPr>
        <w:t>à</w:t>
      </w:r>
      <w:r>
        <w:rPr>
          <w:color w:val="001F60"/>
          <w:spacing w:val="-3"/>
        </w:rPr>
        <w:t xml:space="preserve"> </w:t>
      </w:r>
      <w:r>
        <w:rPr>
          <w:color w:val="001F60"/>
        </w:rPr>
        <w:t>data-base;</w:t>
      </w:r>
      <w:r>
        <w:rPr>
          <w:color w:val="001F60"/>
          <w:spacing w:val="-3"/>
        </w:rPr>
        <w:t xml:space="preserve"> </w:t>
      </w:r>
      <w:r>
        <w:rPr>
          <w:color w:val="001F60"/>
          <w:spacing w:val="-10"/>
        </w:rPr>
        <w:t>e</w:t>
      </w:r>
    </w:p>
    <w:p w14:paraId="034FBD4C" w14:textId="77777777" w:rsidR="002C6574" w:rsidRDefault="00000000">
      <w:pPr>
        <w:pStyle w:val="PargrafodaLista"/>
        <w:numPr>
          <w:ilvl w:val="0"/>
          <w:numId w:val="59"/>
        </w:numPr>
        <w:tabs>
          <w:tab w:val="left" w:pos="1429"/>
        </w:tabs>
        <w:spacing w:before="120"/>
        <w:ind w:right="274"/>
      </w:pPr>
      <w:r>
        <w:rPr>
          <w:color w:val="001F60"/>
        </w:rPr>
        <w:t>4,6%</w:t>
      </w:r>
      <w:r>
        <w:rPr>
          <w:color w:val="001F60"/>
          <w:spacing w:val="25"/>
        </w:rPr>
        <w:t xml:space="preserve"> </w:t>
      </w:r>
      <w:r>
        <w:rPr>
          <w:color w:val="001F60"/>
        </w:rPr>
        <w:t>para os benefícios de auxílio creche e auxílio medicamento/saúde, retroativo</w:t>
      </w:r>
      <w:r>
        <w:rPr>
          <w:color w:val="001F60"/>
          <w:spacing w:val="25"/>
        </w:rPr>
        <w:t xml:space="preserve"> </w:t>
      </w:r>
      <w:r>
        <w:rPr>
          <w:color w:val="001F60"/>
        </w:rPr>
        <w:t>à data-</w:t>
      </w:r>
      <w:r>
        <w:rPr>
          <w:color w:val="001F60"/>
          <w:spacing w:val="80"/>
        </w:rPr>
        <w:t xml:space="preserve"> </w:t>
      </w:r>
      <w:r>
        <w:rPr>
          <w:color w:val="001F60"/>
          <w:spacing w:val="-2"/>
        </w:rPr>
        <w:t>base.</w:t>
      </w:r>
    </w:p>
    <w:p w14:paraId="251DC28F" w14:textId="77777777" w:rsidR="002C6574" w:rsidRDefault="00000000">
      <w:pPr>
        <w:pStyle w:val="Corpodetexto"/>
        <w:spacing w:before="121"/>
        <w:ind w:left="1069"/>
        <w:rPr>
          <w:rFonts w:ascii="Calibri"/>
        </w:rPr>
      </w:pPr>
      <w:r>
        <w:rPr>
          <w:rFonts w:ascii="Calibri"/>
          <w:color w:val="001F60"/>
        </w:rPr>
        <w:t>Segundo</w:t>
      </w:r>
      <w:r>
        <w:rPr>
          <w:rFonts w:ascii="Calibri"/>
          <w:color w:val="001F60"/>
          <w:spacing w:val="-4"/>
        </w:rPr>
        <w:t xml:space="preserve"> </w:t>
      </w:r>
      <w:r>
        <w:rPr>
          <w:rFonts w:ascii="Calibri"/>
          <w:color w:val="001F60"/>
        </w:rPr>
        <w:t>ano</w:t>
      </w:r>
      <w:r>
        <w:rPr>
          <w:rFonts w:ascii="Calibri"/>
          <w:color w:val="001F60"/>
          <w:spacing w:val="-6"/>
        </w:rPr>
        <w:t xml:space="preserve"> </w:t>
      </w:r>
      <w:r>
        <w:rPr>
          <w:rFonts w:ascii="Calibri"/>
          <w:color w:val="001F60"/>
        </w:rPr>
        <w:t>(data-base</w:t>
      </w:r>
      <w:r>
        <w:rPr>
          <w:rFonts w:ascii="Calibri"/>
          <w:color w:val="001F60"/>
          <w:spacing w:val="-5"/>
        </w:rPr>
        <w:t xml:space="preserve"> </w:t>
      </w:r>
      <w:r>
        <w:rPr>
          <w:rFonts w:ascii="Calibri"/>
          <w:color w:val="001F60"/>
          <w:spacing w:val="-2"/>
        </w:rPr>
        <w:t>11/2025)</w:t>
      </w:r>
    </w:p>
    <w:p w14:paraId="01BDB967" w14:textId="77777777" w:rsidR="002C6574" w:rsidRDefault="00000000">
      <w:pPr>
        <w:pStyle w:val="PargrafodaLista"/>
        <w:numPr>
          <w:ilvl w:val="0"/>
          <w:numId w:val="58"/>
        </w:numPr>
        <w:tabs>
          <w:tab w:val="left" w:pos="1428"/>
        </w:tabs>
        <w:spacing w:before="118"/>
        <w:ind w:left="1428" w:hanging="359"/>
      </w:pPr>
      <w:r>
        <w:rPr>
          <w:color w:val="001F60"/>
        </w:rPr>
        <w:t>Reajuste</w:t>
      </w:r>
      <w:r>
        <w:rPr>
          <w:color w:val="001F60"/>
          <w:spacing w:val="-7"/>
        </w:rPr>
        <w:t xml:space="preserve"> </w:t>
      </w:r>
      <w:r>
        <w:rPr>
          <w:color w:val="001F60"/>
        </w:rPr>
        <w:t>de</w:t>
      </w:r>
      <w:r>
        <w:rPr>
          <w:color w:val="001F60"/>
          <w:spacing w:val="-4"/>
        </w:rPr>
        <w:t xml:space="preserve"> </w:t>
      </w:r>
      <w:r>
        <w:rPr>
          <w:color w:val="001F60"/>
        </w:rPr>
        <w:t>4,49%</w:t>
      </w:r>
      <w:r>
        <w:rPr>
          <w:color w:val="001F60"/>
          <w:spacing w:val="-4"/>
        </w:rPr>
        <w:t xml:space="preserve"> </w:t>
      </w:r>
      <w:r>
        <w:rPr>
          <w:color w:val="001F60"/>
        </w:rPr>
        <w:t>em</w:t>
      </w:r>
      <w:r>
        <w:rPr>
          <w:color w:val="001F60"/>
          <w:spacing w:val="-1"/>
        </w:rPr>
        <w:t xml:space="preserve"> </w:t>
      </w:r>
      <w:r>
        <w:rPr>
          <w:color w:val="001F60"/>
        </w:rPr>
        <w:t>todos</w:t>
      </w:r>
      <w:r>
        <w:rPr>
          <w:color w:val="001F60"/>
          <w:spacing w:val="-2"/>
        </w:rPr>
        <w:t xml:space="preserve"> </w:t>
      </w:r>
      <w:r>
        <w:rPr>
          <w:color w:val="001F60"/>
        </w:rPr>
        <w:t>os</w:t>
      </w:r>
      <w:r>
        <w:rPr>
          <w:color w:val="001F60"/>
          <w:spacing w:val="-4"/>
        </w:rPr>
        <w:t xml:space="preserve"> </w:t>
      </w:r>
      <w:r>
        <w:rPr>
          <w:color w:val="001F60"/>
        </w:rPr>
        <w:t>cargos</w:t>
      </w:r>
      <w:r>
        <w:rPr>
          <w:color w:val="001F60"/>
          <w:spacing w:val="-1"/>
        </w:rPr>
        <w:t xml:space="preserve"> </w:t>
      </w:r>
      <w:r>
        <w:rPr>
          <w:color w:val="001F60"/>
        </w:rPr>
        <w:t>do</w:t>
      </w:r>
      <w:r>
        <w:rPr>
          <w:color w:val="001F60"/>
          <w:spacing w:val="-4"/>
        </w:rPr>
        <w:t xml:space="preserve"> </w:t>
      </w:r>
      <w:r>
        <w:rPr>
          <w:color w:val="001F60"/>
        </w:rPr>
        <w:t>PCR,</w:t>
      </w:r>
      <w:r>
        <w:rPr>
          <w:color w:val="001F60"/>
          <w:spacing w:val="-2"/>
        </w:rPr>
        <w:t xml:space="preserve"> </w:t>
      </w:r>
      <w:r>
        <w:rPr>
          <w:color w:val="001F60"/>
        </w:rPr>
        <w:t>funções</w:t>
      </w:r>
      <w:r>
        <w:rPr>
          <w:color w:val="001F60"/>
          <w:spacing w:val="-2"/>
        </w:rPr>
        <w:t xml:space="preserve"> </w:t>
      </w:r>
      <w:r>
        <w:rPr>
          <w:color w:val="001F60"/>
        </w:rPr>
        <w:t>gratificadas</w:t>
      </w:r>
      <w:r>
        <w:rPr>
          <w:color w:val="001F60"/>
          <w:spacing w:val="-4"/>
        </w:rPr>
        <w:t xml:space="preserve"> </w:t>
      </w:r>
      <w:r>
        <w:rPr>
          <w:color w:val="001F60"/>
        </w:rPr>
        <w:t>e</w:t>
      </w:r>
      <w:r>
        <w:rPr>
          <w:color w:val="001F60"/>
          <w:spacing w:val="-2"/>
        </w:rPr>
        <w:t xml:space="preserve"> </w:t>
      </w:r>
      <w:r>
        <w:rPr>
          <w:color w:val="001F60"/>
        </w:rPr>
        <w:t>cargos</w:t>
      </w:r>
      <w:r>
        <w:rPr>
          <w:color w:val="001F60"/>
          <w:spacing w:val="-2"/>
        </w:rPr>
        <w:t xml:space="preserve"> </w:t>
      </w:r>
      <w:r>
        <w:rPr>
          <w:color w:val="001F60"/>
        </w:rPr>
        <w:t>em</w:t>
      </w:r>
      <w:r>
        <w:rPr>
          <w:color w:val="001F60"/>
          <w:spacing w:val="-3"/>
        </w:rPr>
        <w:t xml:space="preserve"> </w:t>
      </w:r>
      <w:r>
        <w:rPr>
          <w:color w:val="001F60"/>
          <w:spacing w:val="-2"/>
        </w:rPr>
        <w:t>comissão;</w:t>
      </w:r>
    </w:p>
    <w:p w14:paraId="667E598A" w14:textId="77777777" w:rsidR="002C6574" w:rsidRDefault="00000000">
      <w:pPr>
        <w:pStyle w:val="PargrafodaLista"/>
        <w:numPr>
          <w:ilvl w:val="0"/>
          <w:numId w:val="58"/>
        </w:numPr>
        <w:tabs>
          <w:tab w:val="left" w:pos="1428"/>
        </w:tabs>
        <w:spacing w:before="120"/>
        <w:ind w:left="1428" w:hanging="359"/>
      </w:pPr>
      <w:r>
        <w:rPr>
          <w:color w:val="001F60"/>
        </w:rPr>
        <w:t>Reajuste</w:t>
      </w:r>
      <w:r>
        <w:rPr>
          <w:color w:val="001F60"/>
          <w:spacing w:val="-5"/>
        </w:rPr>
        <w:t xml:space="preserve"> </w:t>
      </w:r>
      <w:r>
        <w:rPr>
          <w:color w:val="001F60"/>
        </w:rPr>
        <w:t>de</w:t>
      </w:r>
      <w:r>
        <w:rPr>
          <w:color w:val="001F60"/>
          <w:spacing w:val="-3"/>
        </w:rPr>
        <w:t xml:space="preserve"> </w:t>
      </w:r>
      <w:r>
        <w:rPr>
          <w:color w:val="001F60"/>
        </w:rPr>
        <w:t>4,49%</w:t>
      </w:r>
      <w:r>
        <w:rPr>
          <w:color w:val="001F60"/>
          <w:spacing w:val="-3"/>
        </w:rPr>
        <w:t xml:space="preserve"> </w:t>
      </w:r>
      <w:r>
        <w:rPr>
          <w:color w:val="001F60"/>
        </w:rPr>
        <w:t>em todos</w:t>
      </w:r>
      <w:r>
        <w:rPr>
          <w:color w:val="001F60"/>
          <w:spacing w:val="-1"/>
        </w:rPr>
        <w:t xml:space="preserve"> </w:t>
      </w:r>
      <w:r>
        <w:rPr>
          <w:color w:val="001F60"/>
        </w:rPr>
        <w:t>os</w:t>
      </w:r>
      <w:r>
        <w:rPr>
          <w:color w:val="001F60"/>
          <w:spacing w:val="-1"/>
        </w:rPr>
        <w:t xml:space="preserve"> </w:t>
      </w:r>
      <w:r>
        <w:rPr>
          <w:color w:val="001F60"/>
          <w:spacing w:val="-2"/>
        </w:rPr>
        <w:t>benefícios.</w:t>
      </w:r>
    </w:p>
    <w:p w14:paraId="183DFB06" w14:textId="77777777" w:rsidR="002C6574" w:rsidRDefault="00000000">
      <w:pPr>
        <w:pStyle w:val="Corpodetexto"/>
        <w:spacing w:before="120"/>
        <w:ind w:left="709" w:right="277"/>
        <w:jc w:val="both"/>
        <w:rPr>
          <w:rFonts w:ascii="Calibri" w:hAnsi="Calibri"/>
        </w:rPr>
      </w:pPr>
      <w:r>
        <w:rPr>
          <w:rFonts w:ascii="Calibri" w:hAnsi="Calibri"/>
          <w:color w:val="001F60"/>
        </w:rPr>
        <w:t>Além disso, duas novas cláusulas sociais foram incluídas (proteção à mulher vítima de violência doméstica, reconhecimento de união civil) e manteve as demais cláusulas sociais, com ajustes para benefício e elucidação de alguns direitos. Este acordo é válido de 1º de novembro de 2024 a 31 de outubro de 2026.</w:t>
      </w:r>
    </w:p>
    <w:p w14:paraId="1CD3D146" w14:textId="77777777" w:rsidR="002C6574" w:rsidRDefault="002C6574">
      <w:pPr>
        <w:pStyle w:val="Corpodetexto"/>
        <w:spacing w:before="92"/>
        <w:rPr>
          <w:rFonts w:ascii="Calibri"/>
        </w:rPr>
      </w:pPr>
    </w:p>
    <w:p w14:paraId="051037D6" w14:textId="77777777" w:rsidR="002C6574" w:rsidRDefault="00000000">
      <w:pPr>
        <w:numPr>
          <w:ilvl w:val="1"/>
          <w:numId w:val="74"/>
        </w:numPr>
        <w:tabs>
          <w:tab w:val="left" w:pos="1275"/>
        </w:tabs>
        <w:spacing w:before="1"/>
        <w:ind w:left="1275" w:hanging="566"/>
        <w:rPr>
          <w:rFonts w:ascii="Calibri" w:hAnsi="Calibri"/>
          <w:b/>
        </w:rPr>
      </w:pPr>
      <w:r>
        <w:rPr>
          <w:rFonts w:ascii="Calibri" w:hAnsi="Calibri"/>
          <w:b/>
          <w:color w:val="001F60"/>
        </w:rPr>
        <w:t>Concurso</w:t>
      </w:r>
      <w:r>
        <w:rPr>
          <w:rFonts w:ascii="Calibri" w:hAnsi="Calibri"/>
          <w:b/>
          <w:color w:val="001F60"/>
          <w:spacing w:val="-2"/>
        </w:rPr>
        <w:t xml:space="preserve"> Público</w:t>
      </w:r>
    </w:p>
    <w:p w14:paraId="5A3AB234" w14:textId="77777777" w:rsidR="002C6574" w:rsidRDefault="00000000">
      <w:pPr>
        <w:pStyle w:val="Corpodetexto"/>
        <w:spacing w:before="158"/>
        <w:ind w:left="709" w:right="278"/>
        <w:jc w:val="both"/>
        <w:rPr>
          <w:rFonts w:ascii="Calibri" w:hAnsi="Calibri"/>
        </w:rPr>
      </w:pPr>
      <w:r>
        <w:rPr>
          <w:rFonts w:ascii="Calibri" w:hAnsi="Calibri"/>
          <w:color w:val="001F60"/>
        </w:rPr>
        <w:t>A</w:t>
      </w:r>
      <w:r>
        <w:rPr>
          <w:rFonts w:ascii="Calibri" w:hAnsi="Calibri"/>
          <w:color w:val="001F60"/>
          <w:spacing w:val="-8"/>
        </w:rPr>
        <w:t xml:space="preserve"> </w:t>
      </w:r>
      <w:r>
        <w:rPr>
          <w:rFonts w:ascii="Calibri" w:hAnsi="Calibri"/>
          <w:color w:val="001F60"/>
        </w:rPr>
        <w:t>estratégia</w:t>
      </w:r>
      <w:r>
        <w:rPr>
          <w:rFonts w:ascii="Calibri" w:hAnsi="Calibri"/>
          <w:color w:val="001F60"/>
          <w:spacing w:val="-6"/>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recrutamento</w:t>
      </w:r>
      <w:r>
        <w:rPr>
          <w:rFonts w:ascii="Calibri" w:hAnsi="Calibri"/>
          <w:color w:val="001F60"/>
          <w:spacing w:val="-6"/>
        </w:rPr>
        <w:t xml:space="preserve"> </w:t>
      </w:r>
      <w:r>
        <w:rPr>
          <w:rFonts w:ascii="Calibri" w:hAnsi="Calibri"/>
          <w:color w:val="001F60"/>
        </w:rPr>
        <w:t>da</w:t>
      </w:r>
      <w:r>
        <w:rPr>
          <w:rFonts w:ascii="Calibri" w:hAnsi="Calibri"/>
          <w:color w:val="001F60"/>
          <w:spacing w:val="-6"/>
        </w:rPr>
        <w:t xml:space="preserve"> </w:t>
      </w:r>
      <w:r>
        <w:rPr>
          <w:rFonts w:ascii="Calibri" w:hAnsi="Calibri"/>
          <w:color w:val="001F60"/>
        </w:rPr>
        <w:t>Telebras</w:t>
      </w:r>
      <w:r>
        <w:rPr>
          <w:rFonts w:ascii="Calibri" w:hAnsi="Calibri"/>
          <w:color w:val="001F60"/>
          <w:spacing w:val="-6"/>
        </w:rPr>
        <w:t xml:space="preserve"> </w:t>
      </w:r>
      <w:r>
        <w:rPr>
          <w:rFonts w:ascii="Calibri" w:hAnsi="Calibri"/>
          <w:color w:val="001F60"/>
        </w:rPr>
        <w:t>inclui</w:t>
      </w:r>
      <w:r>
        <w:rPr>
          <w:rFonts w:ascii="Calibri" w:hAnsi="Calibri"/>
          <w:color w:val="001F60"/>
          <w:spacing w:val="-6"/>
        </w:rPr>
        <w:t xml:space="preserve"> </w:t>
      </w:r>
      <w:r>
        <w:rPr>
          <w:rFonts w:ascii="Calibri" w:hAnsi="Calibri"/>
          <w:color w:val="001F60"/>
        </w:rPr>
        <w:t>a</w:t>
      </w:r>
      <w:r>
        <w:rPr>
          <w:rFonts w:ascii="Calibri" w:hAnsi="Calibri"/>
          <w:color w:val="001F60"/>
          <w:spacing w:val="-8"/>
        </w:rPr>
        <w:t xml:space="preserve"> </w:t>
      </w:r>
      <w:r>
        <w:rPr>
          <w:rFonts w:ascii="Calibri" w:hAnsi="Calibri"/>
          <w:color w:val="001F60"/>
        </w:rPr>
        <w:t>realização</w:t>
      </w:r>
      <w:r>
        <w:rPr>
          <w:rFonts w:ascii="Calibri" w:hAnsi="Calibri"/>
          <w:color w:val="001F60"/>
          <w:spacing w:val="-6"/>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concursos</w:t>
      </w:r>
      <w:r>
        <w:rPr>
          <w:rFonts w:ascii="Calibri" w:hAnsi="Calibri"/>
          <w:color w:val="001F60"/>
          <w:spacing w:val="-6"/>
        </w:rPr>
        <w:t xml:space="preserve"> </w:t>
      </w:r>
      <w:r>
        <w:rPr>
          <w:rFonts w:ascii="Calibri" w:hAnsi="Calibri"/>
          <w:color w:val="001F60"/>
        </w:rPr>
        <w:t>públicos</w:t>
      </w:r>
      <w:r>
        <w:rPr>
          <w:rFonts w:ascii="Calibri" w:hAnsi="Calibri"/>
          <w:color w:val="001F60"/>
          <w:spacing w:val="-8"/>
        </w:rPr>
        <w:t xml:space="preserve"> </w:t>
      </w:r>
      <w:r>
        <w:rPr>
          <w:rFonts w:ascii="Calibri" w:hAnsi="Calibri"/>
          <w:color w:val="001F60"/>
        </w:rPr>
        <w:t>para</w:t>
      </w:r>
      <w:r>
        <w:rPr>
          <w:rFonts w:ascii="Calibri" w:hAnsi="Calibri"/>
          <w:color w:val="001F60"/>
          <w:spacing w:val="-8"/>
        </w:rPr>
        <w:t xml:space="preserve"> </w:t>
      </w:r>
      <w:r>
        <w:rPr>
          <w:rFonts w:ascii="Calibri" w:hAnsi="Calibri"/>
          <w:color w:val="001F60"/>
        </w:rPr>
        <w:t>atrair</w:t>
      </w:r>
      <w:r>
        <w:rPr>
          <w:rFonts w:ascii="Calibri" w:hAnsi="Calibri"/>
          <w:color w:val="001F60"/>
          <w:spacing w:val="-8"/>
        </w:rPr>
        <w:t xml:space="preserve"> </w:t>
      </w:r>
      <w:r>
        <w:rPr>
          <w:rFonts w:ascii="Calibri" w:hAnsi="Calibri"/>
          <w:color w:val="001F60"/>
        </w:rPr>
        <w:t>talentos especializados. Desde 2013, a empresa realizou três concursos, admitindo um total de 492 empregados até dezembro de 2025, sendo certo que 182 desses empregados se desligaram.</w:t>
      </w:r>
    </w:p>
    <w:p w14:paraId="18D36E34" w14:textId="77777777" w:rsidR="002C6574" w:rsidRDefault="00000000">
      <w:pPr>
        <w:pStyle w:val="Corpodetexto"/>
        <w:spacing w:before="121"/>
        <w:ind w:left="709" w:right="279"/>
        <w:jc w:val="both"/>
        <w:rPr>
          <w:rFonts w:ascii="Calibri" w:hAnsi="Calibri"/>
        </w:rPr>
      </w:pPr>
      <w:r>
        <w:rPr>
          <w:rFonts w:ascii="Calibri" w:hAnsi="Calibri"/>
          <w:color w:val="001F60"/>
        </w:rPr>
        <w:t>Em 09 de dezembro de 2025, foi publicado um novo edital de concurso público, realizado em 08 de fevereiro de 2026, com a previsão de 15 vagas imediatas e cadastro reserva.</w:t>
      </w:r>
    </w:p>
    <w:p w14:paraId="0237774B" w14:textId="77777777" w:rsidR="002C6574" w:rsidRDefault="00000000">
      <w:pPr>
        <w:numPr>
          <w:ilvl w:val="1"/>
          <w:numId w:val="74"/>
        </w:numPr>
        <w:tabs>
          <w:tab w:val="left" w:pos="1275"/>
        </w:tabs>
        <w:spacing w:before="240"/>
        <w:ind w:left="1275" w:hanging="508"/>
        <w:rPr>
          <w:rFonts w:ascii="Calibri" w:hAnsi="Calibri"/>
          <w:b/>
        </w:rPr>
      </w:pPr>
      <w:r>
        <w:rPr>
          <w:rFonts w:ascii="Calibri" w:hAnsi="Calibri"/>
          <w:b/>
          <w:color w:val="001F60"/>
        </w:rPr>
        <w:t>Avaliação</w:t>
      </w:r>
      <w:r>
        <w:rPr>
          <w:rFonts w:ascii="Calibri" w:hAnsi="Calibri"/>
          <w:b/>
          <w:color w:val="001F60"/>
          <w:spacing w:val="-5"/>
        </w:rPr>
        <w:t xml:space="preserve"> </w:t>
      </w:r>
      <w:r>
        <w:rPr>
          <w:rFonts w:ascii="Calibri" w:hAnsi="Calibri"/>
          <w:b/>
          <w:color w:val="001F60"/>
        </w:rPr>
        <w:t>de</w:t>
      </w:r>
      <w:r>
        <w:rPr>
          <w:rFonts w:ascii="Calibri" w:hAnsi="Calibri"/>
          <w:b/>
          <w:color w:val="001F60"/>
          <w:spacing w:val="-2"/>
        </w:rPr>
        <w:t xml:space="preserve"> </w:t>
      </w:r>
      <w:r>
        <w:rPr>
          <w:rFonts w:ascii="Calibri" w:hAnsi="Calibri"/>
          <w:b/>
          <w:color w:val="001F60"/>
        </w:rPr>
        <w:t>Desempenho</w:t>
      </w:r>
      <w:r>
        <w:rPr>
          <w:rFonts w:ascii="Calibri" w:hAnsi="Calibri"/>
          <w:b/>
          <w:color w:val="001F60"/>
          <w:spacing w:val="-5"/>
        </w:rPr>
        <w:t xml:space="preserve"> </w:t>
      </w:r>
      <w:r>
        <w:rPr>
          <w:rFonts w:ascii="Calibri" w:hAnsi="Calibri"/>
          <w:b/>
          <w:color w:val="001F60"/>
        </w:rPr>
        <w:t>e</w:t>
      </w:r>
      <w:r>
        <w:rPr>
          <w:rFonts w:ascii="Calibri" w:hAnsi="Calibri"/>
          <w:b/>
          <w:color w:val="001F60"/>
          <w:spacing w:val="-2"/>
        </w:rPr>
        <w:t xml:space="preserve"> </w:t>
      </w:r>
      <w:r>
        <w:rPr>
          <w:rFonts w:ascii="Calibri" w:hAnsi="Calibri"/>
          <w:b/>
          <w:color w:val="001F60"/>
        </w:rPr>
        <w:t>Progressão</w:t>
      </w:r>
      <w:r>
        <w:rPr>
          <w:rFonts w:ascii="Calibri" w:hAnsi="Calibri"/>
          <w:b/>
          <w:color w:val="001F60"/>
          <w:spacing w:val="-6"/>
        </w:rPr>
        <w:t xml:space="preserve"> </w:t>
      </w:r>
      <w:r>
        <w:rPr>
          <w:rFonts w:ascii="Calibri" w:hAnsi="Calibri"/>
          <w:b/>
          <w:color w:val="001F60"/>
          <w:spacing w:val="-2"/>
        </w:rPr>
        <w:t>Funcional</w:t>
      </w:r>
    </w:p>
    <w:p w14:paraId="24E826C7" w14:textId="77777777" w:rsidR="002C6574" w:rsidRDefault="00000000">
      <w:pPr>
        <w:pStyle w:val="Corpodetexto"/>
        <w:spacing w:before="161"/>
        <w:ind w:left="709" w:right="277"/>
        <w:jc w:val="both"/>
        <w:rPr>
          <w:rFonts w:ascii="Calibri" w:hAnsi="Calibri"/>
        </w:rPr>
      </w:pPr>
      <w:r>
        <w:rPr>
          <w:rFonts w:ascii="Calibri" w:hAnsi="Calibri"/>
          <w:color w:val="001F60"/>
        </w:rPr>
        <w:t>A Telebras conduz seu processo de Progressão Funcional por meio de Promoção Horizontal por Antiguidade por Merecimento, conforme estabelece o Plano de Carreira e Remuneração (PCR) da Telebras e os instrumentos normativos internos Diretriz nº 278 e na Prática nº 44.</w:t>
      </w:r>
      <w:r>
        <w:rPr>
          <w:rFonts w:ascii="Calibri" w:hAnsi="Calibri"/>
          <w:color w:val="001F60"/>
          <w:spacing w:val="40"/>
        </w:rPr>
        <w:t xml:space="preserve"> </w:t>
      </w:r>
      <w:r>
        <w:rPr>
          <w:rFonts w:ascii="Calibri" w:hAnsi="Calibri"/>
          <w:color w:val="001F60"/>
        </w:rPr>
        <w:t>A concessão de promoções está vinculada</w:t>
      </w:r>
      <w:r>
        <w:rPr>
          <w:rFonts w:ascii="Calibri" w:hAnsi="Calibri"/>
          <w:color w:val="001F60"/>
          <w:spacing w:val="-1"/>
        </w:rPr>
        <w:t xml:space="preserve"> </w:t>
      </w:r>
      <w:r>
        <w:rPr>
          <w:rFonts w:ascii="Calibri" w:hAnsi="Calibri"/>
          <w:color w:val="001F60"/>
        </w:rPr>
        <w:t>à disponibilidade financeira e orçamentária, limitada à 1% da folha salarial anual, nos termos do Art. 8º da Resolução CGPAR nº 52, de 17 de abril de 2024.</w:t>
      </w:r>
    </w:p>
    <w:p w14:paraId="7924726A" w14:textId="77777777" w:rsidR="002C6574" w:rsidRDefault="00000000">
      <w:pPr>
        <w:pStyle w:val="Corpodetexto"/>
        <w:spacing w:before="119"/>
        <w:ind w:left="709" w:right="276"/>
        <w:jc w:val="both"/>
        <w:rPr>
          <w:rFonts w:ascii="Calibri" w:hAnsi="Calibri"/>
        </w:rPr>
      </w:pPr>
      <w:r>
        <w:rPr>
          <w:rFonts w:ascii="Calibri" w:hAnsi="Calibri"/>
          <w:color w:val="001F60"/>
        </w:rPr>
        <w:t>Em 2025, foi realizada a Avaliação de Desempenho por Competências e Resultados, com objetivo de incentivar o desenvolvimento profissional dos seus empregados e reconhecer o desempenho desses profissionais. Dos 294 empregados elegíveis,</w:t>
      </w:r>
      <w:r>
        <w:rPr>
          <w:rFonts w:ascii="Calibri" w:hAnsi="Calibri"/>
          <w:color w:val="001F60"/>
          <w:spacing w:val="-1"/>
        </w:rPr>
        <w:t xml:space="preserve"> </w:t>
      </w:r>
      <w:r>
        <w:rPr>
          <w:rFonts w:ascii="Calibri" w:hAnsi="Calibri"/>
          <w:color w:val="001F60"/>
        </w:rPr>
        <w:t>incluindo os empregados cedidos e requisitados, 99 foram promovidos – 85 por mérito e 14 por antiguidade – representando 34% do total. Entre os promovidos por mérito, houve variação de um a três níveis salariais, refletindo o compromisso da empresa em valorizar os talentos internos e incentivar a excelência e respeitados os critérios da Progressão Funcional.</w:t>
      </w:r>
    </w:p>
    <w:p w14:paraId="0646405A" w14:textId="77777777" w:rsidR="002C6574" w:rsidRDefault="00000000">
      <w:pPr>
        <w:pStyle w:val="Corpodetexto"/>
        <w:spacing w:before="120"/>
        <w:ind w:left="709" w:right="275"/>
        <w:jc w:val="both"/>
        <w:rPr>
          <w:rFonts w:ascii="Calibri" w:hAnsi="Calibri"/>
        </w:rPr>
      </w:pPr>
      <w:r>
        <w:rPr>
          <w:rFonts w:ascii="Calibri" w:hAnsi="Calibri"/>
          <w:color w:val="001F60"/>
        </w:rPr>
        <w:t>Quanto ao gênero feminino e masculino, a distribuição percentual de eleitos registrou, respectivamente, 35% e 65%. Estes resultados são proporcionais ao percentual observado no atual quadro de pessoal da Telebras.</w:t>
      </w:r>
    </w:p>
    <w:p w14:paraId="501F6947" w14:textId="77777777" w:rsidR="002C6574" w:rsidRDefault="002C6574">
      <w:pPr>
        <w:pStyle w:val="Corpodetexto"/>
        <w:jc w:val="both"/>
        <w:rPr>
          <w:rFonts w:ascii="Calibri" w:hAnsi="Calibri"/>
        </w:rPr>
        <w:sectPr w:rsidR="002C6574">
          <w:pgSz w:w="11910" w:h="16840"/>
          <w:pgMar w:top="1100" w:right="850" w:bottom="1060" w:left="992" w:header="288" w:footer="863" w:gutter="0"/>
          <w:cols w:space="720"/>
        </w:sectPr>
      </w:pPr>
    </w:p>
    <w:p w14:paraId="6016A58D" w14:textId="77777777" w:rsidR="002C6574" w:rsidRDefault="002C6574">
      <w:pPr>
        <w:pStyle w:val="Corpodetexto"/>
        <w:rPr>
          <w:rFonts w:ascii="Calibri"/>
        </w:rPr>
      </w:pPr>
    </w:p>
    <w:p w14:paraId="5FDA0D7A" w14:textId="77777777" w:rsidR="002C6574" w:rsidRDefault="002C6574">
      <w:pPr>
        <w:pStyle w:val="Corpodetexto"/>
        <w:spacing w:before="50"/>
        <w:rPr>
          <w:rFonts w:ascii="Calibri"/>
        </w:rPr>
      </w:pPr>
    </w:p>
    <w:p w14:paraId="4B43F9CE" w14:textId="77777777" w:rsidR="002C6574" w:rsidRDefault="00000000">
      <w:pPr>
        <w:numPr>
          <w:ilvl w:val="1"/>
          <w:numId w:val="74"/>
        </w:numPr>
        <w:tabs>
          <w:tab w:val="left" w:pos="1275"/>
        </w:tabs>
        <w:ind w:left="1275" w:hanging="566"/>
        <w:rPr>
          <w:rFonts w:ascii="Calibri"/>
          <w:b/>
        </w:rPr>
      </w:pPr>
      <w:r>
        <w:rPr>
          <w:rFonts w:ascii="Calibri"/>
          <w:b/>
          <w:color w:val="001F60"/>
        </w:rPr>
        <w:t>Treinamento</w:t>
      </w:r>
      <w:r>
        <w:rPr>
          <w:rFonts w:ascii="Calibri"/>
          <w:b/>
          <w:color w:val="001F60"/>
          <w:spacing w:val="-2"/>
        </w:rPr>
        <w:t xml:space="preserve"> </w:t>
      </w:r>
      <w:r>
        <w:rPr>
          <w:rFonts w:ascii="Calibri"/>
          <w:b/>
          <w:color w:val="001F60"/>
        </w:rPr>
        <w:t>e</w:t>
      </w:r>
      <w:r>
        <w:rPr>
          <w:rFonts w:ascii="Calibri"/>
          <w:b/>
          <w:color w:val="001F60"/>
          <w:spacing w:val="-3"/>
        </w:rPr>
        <w:t xml:space="preserve"> </w:t>
      </w:r>
      <w:r>
        <w:rPr>
          <w:rFonts w:ascii="Calibri"/>
          <w:b/>
          <w:color w:val="001F60"/>
          <w:spacing w:val="-2"/>
        </w:rPr>
        <w:t>Desenvolvimento</w:t>
      </w:r>
    </w:p>
    <w:p w14:paraId="09D330AD" w14:textId="77777777" w:rsidR="002C6574" w:rsidRDefault="00000000">
      <w:pPr>
        <w:pStyle w:val="Corpodetexto"/>
        <w:spacing w:before="159"/>
        <w:ind w:left="709" w:right="276"/>
        <w:jc w:val="both"/>
        <w:rPr>
          <w:rFonts w:ascii="Calibri" w:hAnsi="Calibri"/>
        </w:rPr>
      </w:pPr>
      <w:r>
        <w:rPr>
          <w:rFonts w:ascii="Calibri" w:hAnsi="Calibri"/>
          <w:color w:val="001F60"/>
        </w:rPr>
        <w:t>Em 2025, a Telebras avançou de forma consistente na agenda de Treinamento e Desenvolvimento (T&amp;D), alinhada ao Plano Estratégico Institucional (PEI 2025–2030) e ao fortalecimento de competências críticas para a execução da estratégia corporativa. As ações priorizaram o reforço da cultura organizacional, a modernização da gestão e o desenvolvimento de capacidades voltadas à transformação digital, governança e gestão pública orientada a resultados.</w:t>
      </w:r>
    </w:p>
    <w:p w14:paraId="05FF125A" w14:textId="77777777" w:rsidR="002C6574" w:rsidRDefault="00000000">
      <w:pPr>
        <w:pStyle w:val="Corpodetexto"/>
        <w:spacing w:before="121"/>
        <w:ind w:left="709" w:right="276"/>
        <w:jc w:val="both"/>
        <w:rPr>
          <w:rFonts w:ascii="Calibri" w:hAnsi="Calibri"/>
        </w:rPr>
      </w:pPr>
      <w:r>
        <w:rPr>
          <w:rFonts w:ascii="Calibri" w:hAnsi="Calibri"/>
          <w:color w:val="001F60"/>
        </w:rPr>
        <w:t>Em abril, a 1817ª Reunião de Diretoria aprovou o primeiro Plano de T&amp;D da Telebras, estruturando trilhas</w:t>
      </w:r>
      <w:r>
        <w:rPr>
          <w:rFonts w:ascii="Calibri" w:hAnsi="Calibri"/>
          <w:color w:val="001F60"/>
          <w:spacing w:val="-1"/>
        </w:rPr>
        <w:t xml:space="preserve"> </w:t>
      </w:r>
      <w:r>
        <w:rPr>
          <w:rFonts w:ascii="Calibri" w:hAnsi="Calibri"/>
          <w:color w:val="001F60"/>
        </w:rPr>
        <w:t>de</w:t>
      </w:r>
      <w:r>
        <w:rPr>
          <w:rFonts w:ascii="Calibri" w:hAnsi="Calibri"/>
          <w:color w:val="001F60"/>
          <w:spacing w:val="-1"/>
        </w:rPr>
        <w:t xml:space="preserve"> </w:t>
      </w:r>
      <w:r>
        <w:rPr>
          <w:rFonts w:ascii="Calibri" w:hAnsi="Calibri"/>
          <w:color w:val="001F60"/>
        </w:rPr>
        <w:t>conhecimento,</w:t>
      </w:r>
      <w:r>
        <w:rPr>
          <w:rFonts w:ascii="Calibri" w:hAnsi="Calibri"/>
          <w:color w:val="001F60"/>
          <w:spacing w:val="-1"/>
        </w:rPr>
        <w:t xml:space="preserve"> </w:t>
      </w:r>
      <w:r>
        <w:rPr>
          <w:rFonts w:ascii="Calibri" w:hAnsi="Calibri"/>
          <w:color w:val="001F60"/>
        </w:rPr>
        <w:t>cursos,</w:t>
      </w:r>
      <w:r>
        <w:rPr>
          <w:rFonts w:ascii="Calibri" w:hAnsi="Calibri"/>
          <w:color w:val="001F60"/>
          <w:spacing w:val="-5"/>
        </w:rPr>
        <w:t xml:space="preserve"> </w:t>
      </w:r>
      <w:r>
        <w:rPr>
          <w:rFonts w:ascii="Calibri" w:hAnsi="Calibri"/>
          <w:color w:val="001F60"/>
        </w:rPr>
        <w:t>workshops</w:t>
      </w:r>
      <w:r>
        <w:rPr>
          <w:rFonts w:ascii="Calibri" w:hAnsi="Calibri"/>
          <w:color w:val="001F60"/>
          <w:spacing w:val="-5"/>
        </w:rPr>
        <w:t xml:space="preserve"> </w:t>
      </w:r>
      <w:r>
        <w:rPr>
          <w:rFonts w:ascii="Calibri" w:hAnsi="Calibri"/>
          <w:color w:val="001F60"/>
        </w:rPr>
        <w:t>e capacitações</w:t>
      </w:r>
      <w:r>
        <w:rPr>
          <w:rFonts w:ascii="Calibri" w:hAnsi="Calibri"/>
          <w:color w:val="001F60"/>
          <w:spacing w:val="-1"/>
        </w:rPr>
        <w:t xml:space="preserve"> </w:t>
      </w:r>
      <w:r>
        <w:rPr>
          <w:rFonts w:ascii="Calibri" w:hAnsi="Calibri"/>
          <w:color w:val="001F60"/>
        </w:rPr>
        <w:t>regulatórias.</w:t>
      </w:r>
      <w:r>
        <w:rPr>
          <w:rFonts w:ascii="Calibri" w:hAnsi="Calibri"/>
          <w:color w:val="001F60"/>
          <w:spacing w:val="-3"/>
        </w:rPr>
        <w:t xml:space="preserve"> </w:t>
      </w:r>
      <w:r>
        <w:rPr>
          <w:rFonts w:ascii="Calibri" w:hAnsi="Calibri"/>
          <w:color w:val="001F60"/>
        </w:rPr>
        <w:t>Em</w:t>
      </w:r>
      <w:r>
        <w:rPr>
          <w:rFonts w:ascii="Calibri" w:hAnsi="Calibri"/>
          <w:color w:val="001F60"/>
          <w:spacing w:val="-3"/>
        </w:rPr>
        <w:t xml:space="preserve"> </w:t>
      </w:r>
      <w:r>
        <w:rPr>
          <w:rFonts w:ascii="Calibri" w:hAnsi="Calibri"/>
          <w:color w:val="001F60"/>
        </w:rPr>
        <w:t>maio,</w:t>
      </w:r>
      <w:r>
        <w:rPr>
          <w:rFonts w:ascii="Calibri" w:hAnsi="Calibri"/>
          <w:color w:val="001F60"/>
          <w:spacing w:val="-1"/>
        </w:rPr>
        <w:t xml:space="preserve"> </w:t>
      </w:r>
      <w:r>
        <w:rPr>
          <w:rFonts w:ascii="Calibri" w:hAnsi="Calibri"/>
          <w:color w:val="001F60"/>
        </w:rPr>
        <w:t>foi</w:t>
      </w:r>
      <w:r>
        <w:rPr>
          <w:rFonts w:ascii="Calibri" w:hAnsi="Calibri"/>
          <w:color w:val="001F60"/>
          <w:spacing w:val="-3"/>
        </w:rPr>
        <w:t xml:space="preserve"> </w:t>
      </w:r>
      <w:r>
        <w:rPr>
          <w:rFonts w:ascii="Calibri" w:hAnsi="Calibri"/>
          <w:color w:val="001F60"/>
        </w:rPr>
        <w:t>lançada</w:t>
      </w:r>
      <w:r>
        <w:rPr>
          <w:rFonts w:ascii="Calibri" w:hAnsi="Calibri"/>
          <w:color w:val="001F60"/>
          <w:spacing w:val="-1"/>
        </w:rPr>
        <w:t xml:space="preserve"> </w:t>
      </w:r>
      <w:r>
        <w:rPr>
          <w:rFonts w:ascii="Calibri" w:hAnsi="Calibri"/>
          <w:color w:val="001F60"/>
        </w:rPr>
        <w:t>a</w:t>
      </w:r>
      <w:r>
        <w:rPr>
          <w:rFonts w:ascii="Calibri" w:hAnsi="Calibri"/>
          <w:color w:val="001F60"/>
          <w:spacing w:val="-3"/>
        </w:rPr>
        <w:t xml:space="preserve"> </w:t>
      </w:r>
      <w:r>
        <w:rPr>
          <w:rFonts w:ascii="Calibri" w:hAnsi="Calibri"/>
          <w:color w:val="001F60"/>
        </w:rPr>
        <w:t>Trilha de Desenvolvimento: Liderança Transformadora, direcionada a gerentes e coordenadores, com foco em liderança ágil, engajamento de equipes e atuação estratégica.</w:t>
      </w:r>
    </w:p>
    <w:p w14:paraId="256FAE56" w14:textId="77777777" w:rsidR="002C6574" w:rsidRDefault="00000000">
      <w:pPr>
        <w:pStyle w:val="Corpodetexto"/>
        <w:spacing w:before="121"/>
        <w:ind w:left="709"/>
        <w:jc w:val="both"/>
        <w:rPr>
          <w:rFonts w:ascii="Calibri" w:hAnsi="Calibri"/>
        </w:rPr>
      </w:pPr>
      <w:r>
        <w:rPr>
          <w:rFonts w:ascii="Calibri" w:hAnsi="Calibri"/>
          <w:color w:val="001F60"/>
        </w:rPr>
        <w:t>Dentre</w:t>
      </w:r>
      <w:r>
        <w:rPr>
          <w:rFonts w:ascii="Calibri" w:hAnsi="Calibri"/>
          <w:color w:val="001F60"/>
          <w:spacing w:val="-4"/>
        </w:rPr>
        <w:t xml:space="preserve"> </w:t>
      </w:r>
      <w:r>
        <w:rPr>
          <w:rFonts w:ascii="Calibri" w:hAnsi="Calibri"/>
          <w:color w:val="001F60"/>
        </w:rPr>
        <w:t>as</w:t>
      </w:r>
      <w:r>
        <w:rPr>
          <w:rFonts w:ascii="Calibri" w:hAnsi="Calibri"/>
          <w:color w:val="001F60"/>
          <w:spacing w:val="-4"/>
        </w:rPr>
        <w:t xml:space="preserve"> </w:t>
      </w:r>
      <w:r>
        <w:rPr>
          <w:rFonts w:ascii="Calibri" w:hAnsi="Calibri"/>
          <w:color w:val="001F60"/>
        </w:rPr>
        <w:t>ações</w:t>
      </w:r>
      <w:r>
        <w:rPr>
          <w:rFonts w:ascii="Calibri" w:hAnsi="Calibri"/>
          <w:color w:val="001F60"/>
          <w:spacing w:val="-2"/>
        </w:rPr>
        <w:t xml:space="preserve"> </w:t>
      </w:r>
      <w:r>
        <w:rPr>
          <w:rFonts w:ascii="Calibri" w:hAnsi="Calibri"/>
          <w:color w:val="001F60"/>
        </w:rPr>
        <w:t>executadas</w:t>
      </w:r>
      <w:r>
        <w:rPr>
          <w:rFonts w:ascii="Calibri" w:hAnsi="Calibri"/>
          <w:color w:val="001F60"/>
          <w:spacing w:val="-4"/>
        </w:rPr>
        <w:t xml:space="preserve"> </w:t>
      </w:r>
      <w:r>
        <w:rPr>
          <w:rFonts w:ascii="Calibri" w:hAnsi="Calibri"/>
          <w:color w:val="001F60"/>
        </w:rPr>
        <w:t>em</w:t>
      </w:r>
      <w:r>
        <w:rPr>
          <w:rFonts w:ascii="Calibri" w:hAnsi="Calibri"/>
          <w:color w:val="001F60"/>
          <w:spacing w:val="-4"/>
        </w:rPr>
        <w:t xml:space="preserve"> </w:t>
      </w:r>
      <w:r>
        <w:rPr>
          <w:rFonts w:ascii="Calibri" w:hAnsi="Calibri"/>
          <w:color w:val="001F60"/>
        </w:rPr>
        <w:t>2025,</w:t>
      </w:r>
      <w:r>
        <w:rPr>
          <w:rFonts w:ascii="Calibri" w:hAnsi="Calibri"/>
          <w:color w:val="001F60"/>
          <w:spacing w:val="-1"/>
        </w:rPr>
        <w:t xml:space="preserve"> </w:t>
      </w:r>
      <w:r>
        <w:rPr>
          <w:rFonts w:ascii="Calibri" w:hAnsi="Calibri"/>
          <w:color w:val="001F60"/>
        </w:rPr>
        <w:t>destacam-</w:t>
      </w:r>
      <w:r>
        <w:rPr>
          <w:rFonts w:ascii="Calibri" w:hAnsi="Calibri"/>
          <w:color w:val="001F60"/>
          <w:spacing w:val="-5"/>
        </w:rPr>
        <w:t>se:</w:t>
      </w:r>
    </w:p>
    <w:p w14:paraId="487FD017" w14:textId="77777777" w:rsidR="002C6574" w:rsidRDefault="00000000">
      <w:pPr>
        <w:pStyle w:val="PargrafodaLista"/>
        <w:numPr>
          <w:ilvl w:val="0"/>
          <w:numId w:val="57"/>
        </w:numPr>
        <w:tabs>
          <w:tab w:val="left" w:pos="1429"/>
        </w:tabs>
        <w:spacing w:before="118"/>
      </w:pPr>
      <w:r>
        <w:rPr>
          <w:color w:val="001F60"/>
        </w:rPr>
        <w:t>Eventos</w:t>
      </w:r>
      <w:r>
        <w:rPr>
          <w:color w:val="001F60"/>
          <w:spacing w:val="-7"/>
        </w:rPr>
        <w:t xml:space="preserve"> </w:t>
      </w:r>
      <w:r>
        <w:rPr>
          <w:color w:val="001F60"/>
        </w:rPr>
        <w:t>estratégicos:</w:t>
      </w:r>
      <w:r>
        <w:rPr>
          <w:color w:val="001F60"/>
          <w:spacing w:val="-4"/>
        </w:rPr>
        <w:t xml:space="preserve"> </w:t>
      </w:r>
      <w:r>
        <w:rPr>
          <w:color w:val="001F60"/>
        </w:rPr>
        <w:t>CONARH</w:t>
      </w:r>
      <w:r>
        <w:rPr>
          <w:color w:val="001F60"/>
          <w:spacing w:val="-5"/>
        </w:rPr>
        <w:t xml:space="preserve"> </w:t>
      </w:r>
      <w:r>
        <w:rPr>
          <w:color w:val="001F60"/>
        </w:rPr>
        <w:t>2025,</w:t>
      </w:r>
      <w:r>
        <w:rPr>
          <w:color w:val="001F60"/>
          <w:spacing w:val="-2"/>
        </w:rPr>
        <w:t xml:space="preserve"> </w:t>
      </w:r>
      <w:r>
        <w:rPr>
          <w:color w:val="001F60"/>
        </w:rPr>
        <w:t>HSM+</w:t>
      </w:r>
      <w:r>
        <w:rPr>
          <w:color w:val="001F60"/>
          <w:spacing w:val="-5"/>
        </w:rPr>
        <w:t xml:space="preserve"> </w:t>
      </w:r>
      <w:r>
        <w:rPr>
          <w:color w:val="001F60"/>
        </w:rPr>
        <w:t>2025,</w:t>
      </w:r>
      <w:r>
        <w:rPr>
          <w:color w:val="001F60"/>
          <w:spacing w:val="-4"/>
        </w:rPr>
        <w:t xml:space="preserve"> </w:t>
      </w:r>
      <w:r>
        <w:rPr>
          <w:color w:val="001F60"/>
        </w:rPr>
        <w:t>26º</w:t>
      </w:r>
      <w:r>
        <w:rPr>
          <w:color w:val="001F60"/>
          <w:spacing w:val="-2"/>
        </w:rPr>
        <w:t xml:space="preserve"> </w:t>
      </w:r>
      <w:r>
        <w:rPr>
          <w:color w:val="001F60"/>
        </w:rPr>
        <w:t>Congresso</w:t>
      </w:r>
      <w:r>
        <w:rPr>
          <w:color w:val="001F60"/>
          <w:spacing w:val="-3"/>
        </w:rPr>
        <w:t xml:space="preserve"> </w:t>
      </w:r>
      <w:r>
        <w:rPr>
          <w:color w:val="001F60"/>
        </w:rPr>
        <w:t>do</w:t>
      </w:r>
      <w:r>
        <w:rPr>
          <w:color w:val="001F60"/>
          <w:spacing w:val="-2"/>
        </w:rPr>
        <w:t xml:space="preserve"> IBGC;</w:t>
      </w:r>
    </w:p>
    <w:p w14:paraId="6A5EDAB2" w14:textId="77777777" w:rsidR="002C6574" w:rsidRDefault="00000000">
      <w:pPr>
        <w:pStyle w:val="PargrafodaLista"/>
        <w:numPr>
          <w:ilvl w:val="0"/>
          <w:numId w:val="57"/>
        </w:numPr>
        <w:tabs>
          <w:tab w:val="left" w:pos="1429"/>
        </w:tabs>
        <w:spacing w:before="120"/>
      </w:pPr>
      <w:r>
        <w:rPr>
          <w:color w:val="001F60"/>
        </w:rPr>
        <w:t>Governança</w:t>
      </w:r>
      <w:r>
        <w:rPr>
          <w:color w:val="001F60"/>
          <w:spacing w:val="-9"/>
        </w:rPr>
        <w:t xml:space="preserve"> </w:t>
      </w:r>
      <w:r>
        <w:rPr>
          <w:color w:val="001F60"/>
        </w:rPr>
        <w:t>e</w:t>
      </w:r>
      <w:r>
        <w:rPr>
          <w:color w:val="001F60"/>
          <w:spacing w:val="-3"/>
        </w:rPr>
        <w:t xml:space="preserve"> </w:t>
      </w:r>
      <w:r>
        <w:rPr>
          <w:color w:val="001F60"/>
        </w:rPr>
        <w:t>compliance:</w:t>
      </w:r>
      <w:r>
        <w:rPr>
          <w:color w:val="001F60"/>
          <w:spacing w:val="-5"/>
        </w:rPr>
        <w:t xml:space="preserve"> </w:t>
      </w:r>
      <w:r>
        <w:rPr>
          <w:color w:val="001F60"/>
        </w:rPr>
        <w:t>Atualização</w:t>
      </w:r>
      <w:r>
        <w:rPr>
          <w:color w:val="001F60"/>
          <w:spacing w:val="-5"/>
        </w:rPr>
        <w:t xml:space="preserve"> </w:t>
      </w:r>
      <w:r>
        <w:rPr>
          <w:color w:val="001F60"/>
        </w:rPr>
        <w:t>em</w:t>
      </w:r>
      <w:r>
        <w:rPr>
          <w:color w:val="001F60"/>
          <w:spacing w:val="-2"/>
        </w:rPr>
        <w:t xml:space="preserve"> </w:t>
      </w:r>
      <w:r>
        <w:rPr>
          <w:color w:val="001F60"/>
        </w:rPr>
        <w:t>Governança</w:t>
      </w:r>
      <w:r>
        <w:rPr>
          <w:color w:val="001F60"/>
          <w:spacing w:val="-5"/>
        </w:rPr>
        <w:t xml:space="preserve"> </w:t>
      </w:r>
      <w:r>
        <w:rPr>
          <w:color w:val="001F60"/>
        </w:rPr>
        <w:t>para</w:t>
      </w:r>
      <w:r>
        <w:rPr>
          <w:color w:val="001F60"/>
          <w:spacing w:val="-2"/>
        </w:rPr>
        <w:t xml:space="preserve"> </w:t>
      </w:r>
      <w:r>
        <w:rPr>
          <w:color w:val="001F60"/>
        </w:rPr>
        <w:t>Estatais,</w:t>
      </w:r>
      <w:r>
        <w:rPr>
          <w:color w:val="001F60"/>
          <w:spacing w:val="-3"/>
        </w:rPr>
        <w:t xml:space="preserve"> </w:t>
      </w:r>
      <w:r>
        <w:rPr>
          <w:color w:val="001F60"/>
        </w:rPr>
        <w:t>CONBRAI</w:t>
      </w:r>
      <w:r>
        <w:rPr>
          <w:color w:val="001F60"/>
          <w:spacing w:val="-4"/>
        </w:rPr>
        <w:t xml:space="preserve"> </w:t>
      </w:r>
      <w:r>
        <w:rPr>
          <w:color w:val="001F60"/>
          <w:spacing w:val="-2"/>
        </w:rPr>
        <w:t>2025;</w:t>
      </w:r>
    </w:p>
    <w:p w14:paraId="53F8BE6C" w14:textId="77777777" w:rsidR="002C6574" w:rsidRDefault="00000000">
      <w:pPr>
        <w:pStyle w:val="PargrafodaLista"/>
        <w:numPr>
          <w:ilvl w:val="0"/>
          <w:numId w:val="57"/>
        </w:numPr>
        <w:tabs>
          <w:tab w:val="left" w:pos="1429"/>
        </w:tabs>
        <w:spacing w:before="120"/>
      </w:pPr>
      <w:r>
        <w:rPr>
          <w:color w:val="001F60"/>
        </w:rPr>
        <w:t>Gestão</w:t>
      </w:r>
      <w:r>
        <w:rPr>
          <w:color w:val="001F60"/>
          <w:spacing w:val="-5"/>
        </w:rPr>
        <w:t xml:space="preserve"> </w:t>
      </w:r>
      <w:r>
        <w:rPr>
          <w:color w:val="001F60"/>
        </w:rPr>
        <w:t>de</w:t>
      </w:r>
      <w:r>
        <w:rPr>
          <w:color w:val="001F60"/>
          <w:spacing w:val="-5"/>
        </w:rPr>
        <w:t xml:space="preserve"> </w:t>
      </w:r>
      <w:r>
        <w:rPr>
          <w:color w:val="001F60"/>
        </w:rPr>
        <w:t>riscos</w:t>
      </w:r>
      <w:r>
        <w:rPr>
          <w:color w:val="001F60"/>
          <w:spacing w:val="-5"/>
        </w:rPr>
        <w:t xml:space="preserve"> </w:t>
      </w:r>
      <w:r>
        <w:rPr>
          <w:color w:val="001F60"/>
        </w:rPr>
        <w:t>e</w:t>
      </w:r>
      <w:r>
        <w:rPr>
          <w:color w:val="001F60"/>
          <w:spacing w:val="-4"/>
        </w:rPr>
        <w:t xml:space="preserve"> </w:t>
      </w:r>
      <w:r>
        <w:rPr>
          <w:color w:val="001F60"/>
        </w:rPr>
        <w:t>projetos:</w:t>
      </w:r>
      <w:r>
        <w:rPr>
          <w:color w:val="001F60"/>
          <w:spacing w:val="-2"/>
        </w:rPr>
        <w:t xml:space="preserve"> </w:t>
      </w:r>
      <w:r>
        <w:rPr>
          <w:color w:val="001F60"/>
        </w:rPr>
        <w:t>ISO</w:t>
      </w:r>
      <w:r>
        <w:rPr>
          <w:color w:val="001F60"/>
          <w:spacing w:val="-5"/>
        </w:rPr>
        <w:t xml:space="preserve"> </w:t>
      </w:r>
      <w:r>
        <w:rPr>
          <w:color w:val="001F60"/>
        </w:rPr>
        <w:t>31000:2018,</w:t>
      </w:r>
      <w:r>
        <w:rPr>
          <w:color w:val="001F60"/>
          <w:spacing w:val="-2"/>
        </w:rPr>
        <w:t xml:space="preserve"> </w:t>
      </w:r>
      <w:r>
        <w:rPr>
          <w:color w:val="001F60"/>
        </w:rPr>
        <w:t>Preparatório</w:t>
      </w:r>
      <w:r>
        <w:rPr>
          <w:color w:val="001F60"/>
          <w:spacing w:val="-5"/>
        </w:rPr>
        <w:t xml:space="preserve"> </w:t>
      </w:r>
      <w:r>
        <w:rPr>
          <w:color w:val="001F60"/>
        </w:rPr>
        <w:t>PMP,</w:t>
      </w:r>
      <w:r>
        <w:rPr>
          <w:color w:val="001F60"/>
          <w:spacing w:val="-5"/>
        </w:rPr>
        <w:t xml:space="preserve"> </w:t>
      </w:r>
      <w:r>
        <w:rPr>
          <w:color w:val="001F60"/>
        </w:rPr>
        <w:t>Modelagem</w:t>
      </w:r>
      <w:r>
        <w:rPr>
          <w:color w:val="001F60"/>
          <w:spacing w:val="-2"/>
        </w:rPr>
        <w:t xml:space="preserve"> Financeira;</w:t>
      </w:r>
    </w:p>
    <w:p w14:paraId="08AE1452" w14:textId="77777777" w:rsidR="002C6574" w:rsidRDefault="00000000">
      <w:pPr>
        <w:pStyle w:val="PargrafodaLista"/>
        <w:numPr>
          <w:ilvl w:val="0"/>
          <w:numId w:val="57"/>
        </w:numPr>
        <w:tabs>
          <w:tab w:val="left" w:pos="1429"/>
        </w:tabs>
        <w:spacing w:before="120"/>
      </w:pPr>
      <w:r>
        <w:rPr>
          <w:color w:val="001F60"/>
        </w:rPr>
        <w:t>Agilidade</w:t>
      </w:r>
      <w:r>
        <w:rPr>
          <w:color w:val="001F60"/>
          <w:spacing w:val="-4"/>
        </w:rPr>
        <w:t xml:space="preserve"> </w:t>
      </w:r>
      <w:r>
        <w:rPr>
          <w:color w:val="001F60"/>
        </w:rPr>
        <w:t>no</w:t>
      </w:r>
      <w:r>
        <w:rPr>
          <w:color w:val="001F60"/>
          <w:spacing w:val="-1"/>
        </w:rPr>
        <w:t xml:space="preserve"> </w:t>
      </w:r>
      <w:r>
        <w:rPr>
          <w:color w:val="001F60"/>
        </w:rPr>
        <w:t>setor</w:t>
      </w:r>
      <w:r>
        <w:rPr>
          <w:color w:val="001F60"/>
          <w:spacing w:val="-6"/>
        </w:rPr>
        <w:t xml:space="preserve"> </w:t>
      </w:r>
      <w:r>
        <w:rPr>
          <w:color w:val="001F60"/>
        </w:rPr>
        <w:t>público:</w:t>
      </w:r>
      <w:r>
        <w:rPr>
          <w:color w:val="001F60"/>
          <w:spacing w:val="-6"/>
        </w:rPr>
        <w:t xml:space="preserve"> </w:t>
      </w:r>
      <w:r>
        <w:rPr>
          <w:color w:val="001F60"/>
        </w:rPr>
        <w:t>Agile</w:t>
      </w:r>
      <w:r>
        <w:rPr>
          <w:color w:val="001F60"/>
          <w:spacing w:val="-3"/>
        </w:rPr>
        <w:t xml:space="preserve"> </w:t>
      </w:r>
      <w:r>
        <w:rPr>
          <w:color w:val="001F60"/>
        </w:rPr>
        <w:t>Trends</w:t>
      </w:r>
      <w:r>
        <w:rPr>
          <w:color w:val="001F60"/>
          <w:spacing w:val="-4"/>
        </w:rPr>
        <w:t xml:space="preserve"> </w:t>
      </w:r>
      <w:r>
        <w:rPr>
          <w:color w:val="001F60"/>
        </w:rPr>
        <w:t>Gov,</w:t>
      </w:r>
      <w:r>
        <w:rPr>
          <w:color w:val="001F60"/>
          <w:spacing w:val="-3"/>
        </w:rPr>
        <w:t xml:space="preserve"> </w:t>
      </w:r>
      <w:r>
        <w:rPr>
          <w:color w:val="001F60"/>
        </w:rPr>
        <w:t>Oficina</w:t>
      </w:r>
      <w:r>
        <w:rPr>
          <w:color w:val="001F60"/>
          <w:spacing w:val="-4"/>
        </w:rPr>
        <w:t xml:space="preserve"> </w:t>
      </w:r>
      <w:r>
        <w:rPr>
          <w:color w:val="001F60"/>
        </w:rPr>
        <w:t>de</w:t>
      </w:r>
      <w:r>
        <w:rPr>
          <w:color w:val="001F60"/>
          <w:spacing w:val="-3"/>
        </w:rPr>
        <w:t xml:space="preserve"> </w:t>
      </w:r>
      <w:r>
        <w:rPr>
          <w:color w:val="001F60"/>
        </w:rPr>
        <w:t>Metodologias</w:t>
      </w:r>
      <w:r>
        <w:rPr>
          <w:color w:val="001F60"/>
          <w:spacing w:val="-3"/>
        </w:rPr>
        <w:t xml:space="preserve"> </w:t>
      </w:r>
      <w:r>
        <w:rPr>
          <w:color w:val="001F60"/>
          <w:spacing w:val="-2"/>
        </w:rPr>
        <w:t>Ágeis;</w:t>
      </w:r>
    </w:p>
    <w:p w14:paraId="194E5486" w14:textId="77777777" w:rsidR="002C6574" w:rsidRDefault="00000000">
      <w:pPr>
        <w:pStyle w:val="PargrafodaLista"/>
        <w:numPr>
          <w:ilvl w:val="0"/>
          <w:numId w:val="57"/>
        </w:numPr>
        <w:tabs>
          <w:tab w:val="left" w:pos="1429"/>
        </w:tabs>
        <w:spacing w:before="121"/>
      </w:pPr>
      <w:r>
        <w:rPr>
          <w:color w:val="001F60"/>
        </w:rPr>
        <w:t>Contratações</w:t>
      </w:r>
      <w:r>
        <w:rPr>
          <w:color w:val="001F60"/>
          <w:spacing w:val="-5"/>
        </w:rPr>
        <w:t xml:space="preserve"> </w:t>
      </w:r>
      <w:r>
        <w:rPr>
          <w:color w:val="001F60"/>
        </w:rPr>
        <w:t>públicas:</w:t>
      </w:r>
      <w:r>
        <w:rPr>
          <w:color w:val="001F60"/>
          <w:spacing w:val="-5"/>
        </w:rPr>
        <w:t xml:space="preserve"> </w:t>
      </w:r>
      <w:r>
        <w:rPr>
          <w:color w:val="001F60"/>
        </w:rPr>
        <w:t>IA</w:t>
      </w:r>
      <w:r>
        <w:rPr>
          <w:color w:val="001F60"/>
          <w:spacing w:val="-3"/>
        </w:rPr>
        <w:t xml:space="preserve"> </w:t>
      </w:r>
      <w:r>
        <w:rPr>
          <w:color w:val="001F60"/>
        </w:rPr>
        <w:t>aplicada</w:t>
      </w:r>
      <w:r>
        <w:rPr>
          <w:color w:val="001F60"/>
          <w:spacing w:val="-3"/>
        </w:rPr>
        <w:t xml:space="preserve"> </w:t>
      </w:r>
      <w:r>
        <w:rPr>
          <w:color w:val="001F60"/>
        </w:rPr>
        <w:t>às</w:t>
      </w:r>
      <w:r>
        <w:rPr>
          <w:color w:val="001F60"/>
          <w:spacing w:val="-2"/>
        </w:rPr>
        <w:t xml:space="preserve"> </w:t>
      </w:r>
      <w:r>
        <w:rPr>
          <w:color w:val="001F60"/>
        </w:rPr>
        <w:t>licitações,</w:t>
      </w:r>
      <w:r>
        <w:rPr>
          <w:color w:val="001F60"/>
          <w:spacing w:val="-3"/>
        </w:rPr>
        <w:t xml:space="preserve"> </w:t>
      </w:r>
      <w:r>
        <w:rPr>
          <w:color w:val="001F60"/>
        </w:rPr>
        <w:t>Gestão</w:t>
      </w:r>
      <w:r>
        <w:rPr>
          <w:color w:val="001F60"/>
          <w:spacing w:val="-3"/>
        </w:rPr>
        <w:t xml:space="preserve"> </w:t>
      </w:r>
      <w:r>
        <w:rPr>
          <w:color w:val="001F60"/>
        </w:rPr>
        <w:t>Estratégica</w:t>
      </w:r>
      <w:r>
        <w:rPr>
          <w:color w:val="001F60"/>
          <w:spacing w:val="-5"/>
        </w:rPr>
        <w:t xml:space="preserve"> </w:t>
      </w:r>
      <w:r>
        <w:rPr>
          <w:color w:val="001F60"/>
        </w:rPr>
        <w:t>por</w:t>
      </w:r>
      <w:r>
        <w:rPr>
          <w:color w:val="001F60"/>
          <w:spacing w:val="-4"/>
        </w:rPr>
        <w:t xml:space="preserve"> </w:t>
      </w:r>
      <w:r>
        <w:rPr>
          <w:color w:val="001F60"/>
          <w:spacing w:val="-2"/>
        </w:rPr>
        <w:t>Resultados;</w:t>
      </w:r>
    </w:p>
    <w:p w14:paraId="6D0D5E23" w14:textId="77777777" w:rsidR="002C6574" w:rsidRDefault="00000000">
      <w:pPr>
        <w:pStyle w:val="PargrafodaLista"/>
        <w:numPr>
          <w:ilvl w:val="0"/>
          <w:numId w:val="57"/>
        </w:numPr>
        <w:tabs>
          <w:tab w:val="left" w:pos="1429"/>
        </w:tabs>
        <w:spacing w:before="120"/>
        <w:ind w:right="278"/>
      </w:pPr>
      <w:r>
        <w:rPr>
          <w:color w:val="001F60"/>
        </w:rPr>
        <w:t>Telecomunicações,</w:t>
      </w:r>
      <w:r>
        <w:rPr>
          <w:color w:val="001F60"/>
          <w:spacing w:val="-8"/>
        </w:rPr>
        <w:t xml:space="preserve"> </w:t>
      </w:r>
      <w:r>
        <w:rPr>
          <w:color w:val="001F60"/>
        </w:rPr>
        <w:t>satélites</w:t>
      </w:r>
      <w:r>
        <w:rPr>
          <w:color w:val="001F60"/>
          <w:spacing w:val="-8"/>
        </w:rPr>
        <w:t xml:space="preserve"> </w:t>
      </w:r>
      <w:r>
        <w:rPr>
          <w:color w:val="001F60"/>
        </w:rPr>
        <w:t>e</w:t>
      </w:r>
      <w:r>
        <w:rPr>
          <w:color w:val="001F60"/>
          <w:spacing w:val="-8"/>
        </w:rPr>
        <w:t xml:space="preserve"> </w:t>
      </w:r>
      <w:r>
        <w:rPr>
          <w:color w:val="001F60"/>
        </w:rPr>
        <w:t>defesa:</w:t>
      </w:r>
      <w:r>
        <w:rPr>
          <w:color w:val="001F60"/>
          <w:spacing w:val="-8"/>
        </w:rPr>
        <w:t xml:space="preserve"> </w:t>
      </w:r>
      <w:r>
        <w:rPr>
          <w:color w:val="001F60"/>
        </w:rPr>
        <w:t>FUTURECOM,</w:t>
      </w:r>
      <w:r>
        <w:rPr>
          <w:color w:val="001F60"/>
          <w:spacing w:val="-8"/>
        </w:rPr>
        <w:t xml:space="preserve"> </w:t>
      </w:r>
      <w:r>
        <w:rPr>
          <w:color w:val="001F60"/>
        </w:rPr>
        <w:t>Congresso</w:t>
      </w:r>
      <w:r>
        <w:rPr>
          <w:color w:val="001F60"/>
          <w:spacing w:val="-8"/>
        </w:rPr>
        <w:t xml:space="preserve"> </w:t>
      </w:r>
      <w:r>
        <w:rPr>
          <w:color w:val="001F60"/>
        </w:rPr>
        <w:t>Latino-Americano</w:t>
      </w:r>
      <w:r>
        <w:rPr>
          <w:color w:val="001F60"/>
          <w:spacing w:val="-12"/>
        </w:rPr>
        <w:t xml:space="preserve"> </w:t>
      </w:r>
      <w:r>
        <w:rPr>
          <w:color w:val="001F60"/>
        </w:rPr>
        <w:t>de</w:t>
      </w:r>
      <w:r>
        <w:rPr>
          <w:color w:val="001F60"/>
          <w:spacing w:val="-8"/>
        </w:rPr>
        <w:t xml:space="preserve"> </w:t>
      </w:r>
      <w:r>
        <w:rPr>
          <w:color w:val="001F60"/>
        </w:rPr>
        <w:t>Satélites, CAED 2025, Curso Superior de Segurança e Defesa Cibernética (CSSDC 2025);</w:t>
      </w:r>
    </w:p>
    <w:p w14:paraId="34E14D2A" w14:textId="77777777" w:rsidR="002C6574" w:rsidRDefault="00000000">
      <w:pPr>
        <w:pStyle w:val="PargrafodaLista"/>
        <w:numPr>
          <w:ilvl w:val="0"/>
          <w:numId w:val="57"/>
        </w:numPr>
        <w:tabs>
          <w:tab w:val="left" w:pos="1429"/>
        </w:tabs>
        <w:spacing w:before="120"/>
      </w:pPr>
      <w:r>
        <w:rPr>
          <w:color w:val="001F60"/>
        </w:rPr>
        <w:t>Comunicação</w:t>
      </w:r>
      <w:r>
        <w:rPr>
          <w:color w:val="001F60"/>
          <w:spacing w:val="-5"/>
        </w:rPr>
        <w:t xml:space="preserve"> </w:t>
      </w:r>
      <w:r>
        <w:rPr>
          <w:color w:val="001F60"/>
        </w:rPr>
        <w:t>e</w:t>
      </w:r>
      <w:r>
        <w:rPr>
          <w:color w:val="001F60"/>
          <w:spacing w:val="-3"/>
        </w:rPr>
        <w:t xml:space="preserve"> </w:t>
      </w:r>
      <w:r>
        <w:rPr>
          <w:color w:val="001F60"/>
        </w:rPr>
        <w:t>influência:</w:t>
      </w:r>
      <w:r>
        <w:rPr>
          <w:color w:val="001F60"/>
          <w:spacing w:val="-5"/>
        </w:rPr>
        <w:t xml:space="preserve"> </w:t>
      </w:r>
      <w:r>
        <w:rPr>
          <w:color w:val="001F60"/>
        </w:rPr>
        <w:t>PPTPLAY,</w:t>
      </w:r>
      <w:r>
        <w:rPr>
          <w:color w:val="001F60"/>
          <w:spacing w:val="-5"/>
        </w:rPr>
        <w:t xml:space="preserve"> </w:t>
      </w:r>
      <w:r>
        <w:rPr>
          <w:color w:val="001F60"/>
        </w:rPr>
        <w:t>Conteúdo,</w:t>
      </w:r>
      <w:r>
        <w:rPr>
          <w:color w:val="001F60"/>
          <w:spacing w:val="-5"/>
        </w:rPr>
        <w:t xml:space="preserve"> </w:t>
      </w:r>
      <w:r>
        <w:rPr>
          <w:color w:val="001F60"/>
        </w:rPr>
        <w:t>Corpo</w:t>
      </w:r>
      <w:r>
        <w:rPr>
          <w:color w:val="001F60"/>
          <w:spacing w:val="-4"/>
        </w:rPr>
        <w:t xml:space="preserve"> </w:t>
      </w:r>
      <w:r>
        <w:rPr>
          <w:color w:val="001F60"/>
        </w:rPr>
        <w:t xml:space="preserve">e </w:t>
      </w:r>
      <w:r>
        <w:rPr>
          <w:color w:val="001F60"/>
          <w:spacing w:val="-4"/>
        </w:rPr>
        <w:t>Voz.</w:t>
      </w:r>
    </w:p>
    <w:p w14:paraId="425A2630" w14:textId="77777777" w:rsidR="002C6574" w:rsidRDefault="00000000">
      <w:pPr>
        <w:pStyle w:val="Corpodetexto"/>
        <w:spacing w:before="118"/>
        <w:ind w:left="709" w:right="277"/>
        <w:jc w:val="both"/>
        <w:rPr>
          <w:rFonts w:ascii="Calibri" w:hAnsi="Calibri"/>
        </w:rPr>
      </w:pPr>
      <w:r>
        <w:rPr>
          <w:rFonts w:ascii="Calibri" w:hAnsi="Calibri"/>
          <w:color w:val="001F60"/>
        </w:rPr>
        <w:t>Considerando a execução do Plano de T&amp;D e as demandas adicionais das áreas, foram investidos aproximadamente R$ 400 mil em mais de 50 iniciativas, totalizando mais de 6.200 horas-aula, ampliando o alcance das ações de capacitação e promovendo o desenvolvimento contínuo dos(as) empregados(as) da Telebras.</w:t>
      </w:r>
    </w:p>
    <w:p w14:paraId="1777E8CA" w14:textId="77777777" w:rsidR="002C6574" w:rsidRDefault="00000000">
      <w:pPr>
        <w:pStyle w:val="Corpodetexto"/>
        <w:spacing w:before="121"/>
        <w:ind w:left="709" w:right="279"/>
        <w:jc w:val="both"/>
        <w:rPr>
          <w:rFonts w:ascii="Calibri" w:hAnsi="Calibri"/>
        </w:rPr>
      </w:pPr>
      <w:r>
        <w:rPr>
          <w:rFonts w:ascii="Calibri" w:hAnsi="Calibri"/>
          <w:color w:val="001F60"/>
        </w:rPr>
        <w:t>Em dezembro, teve início a</w:t>
      </w:r>
      <w:r>
        <w:rPr>
          <w:rFonts w:ascii="Calibri" w:hAnsi="Calibri"/>
          <w:color w:val="001F60"/>
          <w:spacing w:val="-1"/>
        </w:rPr>
        <w:t xml:space="preserve"> </w:t>
      </w:r>
      <w:r>
        <w:rPr>
          <w:rFonts w:ascii="Calibri" w:hAnsi="Calibri"/>
          <w:color w:val="001F60"/>
        </w:rPr>
        <w:t xml:space="preserve">atualização do Plano de T&amp;D para 2026, com diretrizes voltadas à revisão de necessidades, antecipação de demandas estratégicas e regulatórias, aprimoramento da gestão do portfólio, ampliação de modalidades híbridas e fortalecimento dos mecanismos de avaliação de </w:t>
      </w:r>
      <w:r>
        <w:rPr>
          <w:rFonts w:ascii="Calibri" w:hAnsi="Calibri"/>
          <w:color w:val="001F60"/>
          <w:spacing w:val="-2"/>
        </w:rPr>
        <w:t>resultados.</w:t>
      </w:r>
    </w:p>
    <w:p w14:paraId="6E2A4FB1" w14:textId="77777777" w:rsidR="002C6574" w:rsidRDefault="002C6574">
      <w:pPr>
        <w:pStyle w:val="Corpodetexto"/>
        <w:jc w:val="both"/>
        <w:rPr>
          <w:rFonts w:ascii="Calibri" w:hAnsi="Calibri"/>
        </w:rPr>
        <w:sectPr w:rsidR="002C6574">
          <w:pgSz w:w="11910" w:h="16840"/>
          <w:pgMar w:top="1100" w:right="850" w:bottom="1060" w:left="992" w:header="288" w:footer="863" w:gutter="0"/>
          <w:cols w:space="720"/>
        </w:sectPr>
      </w:pPr>
    </w:p>
    <w:p w14:paraId="68402FFC" w14:textId="77777777" w:rsidR="002C6574" w:rsidRDefault="00000000">
      <w:pPr>
        <w:pStyle w:val="Ttulo8"/>
        <w:numPr>
          <w:ilvl w:val="0"/>
          <w:numId w:val="74"/>
        </w:numPr>
        <w:tabs>
          <w:tab w:val="left" w:pos="1275"/>
        </w:tabs>
        <w:spacing w:before="266"/>
        <w:ind w:left="1275" w:hanging="566"/>
      </w:pPr>
      <w:r>
        <w:rPr>
          <w:color w:val="001F60"/>
        </w:rPr>
        <w:lastRenderedPageBreak/>
        <w:t>Licitações e</w:t>
      </w:r>
      <w:r>
        <w:rPr>
          <w:color w:val="001F60"/>
          <w:spacing w:val="1"/>
        </w:rPr>
        <w:t xml:space="preserve"> </w:t>
      </w:r>
      <w:r>
        <w:rPr>
          <w:color w:val="001F60"/>
          <w:spacing w:val="-2"/>
        </w:rPr>
        <w:t>Contratos</w:t>
      </w:r>
    </w:p>
    <w:p w14:paraId="017DCBF7" w14:textId="77777777" w:rsidR="002C6574" w:rsidRDefault="00000000">
      <w:pPr>
        <w:pStyle w:val="Corpodetexto"/>
        <w:spacing w:before="234"/>
        <w:ind w:left="709" w:right="277"/>
        <w:jc w:val="both"/>
        <w:rPr>
          <w:rFonts w:ascii="Calibri" w:hAnsi="Calibri"/>
        </w:rPr>
      </w:pPr>
      <w:r>
        <w:rPr>
          <w:rFonts w:ascii="Calibri" w:hAnsi="Calibri"/>
          <w:color w:val="001F60"/>
        </w:rPr>
        <w:t>Em</w:t>
      </w:r>
      <w:r>
        <w:rPr>
          <w:rFonts w:ascii="Calibri" w:hAnsi="Calibri"/>
          <w:color w:val="001F60"/>
          <w:spacing w:val="-6"/>
        </w:rPr>
        <w:t xml:space="preserve"> </w:t>
      </w:r>
      <w:r>
        <w:rPr>
          <w:rFonts w:ascii="Calibri" w:hAnsi="Calibri"/>
          <w:color w:val="001F60"/>
        </w:rPr>
        <w:t>2025,</w:t>
      </w:r>
      <w:r>
        <w:rPr>
          <w:rFonts w:ascii="Calibri" w:hAnsi="Calibri"/>
          <w:color w:val="001F60"/>
          <w:spacing w:val="-6"/>
        </w:rPr>
        <w:t xml:space="preserve"> </w:t>
      </w:r>
      <w:r>
        <w:rPr>
          <w:rFonts w:ascii="Calibri" w:hAnsi="Calibri"/>
          <w:color w:val="001F60"/>
        </w:rPr>
        <w:t>a</w:t>
      </w:r>
      <w:r>
        <w:rPr>
          <w:rFonts w:ascii="Calibri" w:hAnsi="Calibri"/>
          <w:color w:val="001F60"/>
          <w:spacing w:val="-6"/>
        </w:rPr>
        <w:t xml:space="preserve"> </w:t>
      </w:r>
      <w:r>
        <w:rPr>
          <w:rFonts w:ascii="Calibri" w:hAnsi="Calibri"/>
          <w:color w:val="001F60"/>
        </w:rPr>
        <w:t>empresa</w:t>
      </w:r>
      <w:r>
        <w:rPr>
          <w:rFonts w:ascii="Calibri" w:hAnsi="Calibri"/>
          <w:color w:val="001F60"/>
          <w:spacing w:val="-6"/>
        </w:rPr>
        <w:t xml:space="preserve"> </w:t>
      </w:r>
      <w:r>
        <w:rPr>
          <w:rFonts w:ascii="Calibri" w:hAnsi="Calibri"/>
          <w:color w:val="001F60"/>
        </w:rPr>
        <w:t>realizou</w:t>
      </w:r>
      <w:r>
        <w:rPr>
          <w:rFonts w:ascii="Calibri" w:hAnsi="Calibri"/>
          <w:color w:val="001F60"/>
          <w:spacing w:val="-7"/>
        </w:rPr>
        <w:t xml:space="preserve"> </w:t>
      </w:r>
      <w:r>
        <w:rPr>
          <w:rFonts w:ascii="Calibri" w:hAnsi="Calibri"/>
          <w:color w:val="001F60"/>
        </w:rPr>
        <w:t>contratações</w:t>
      </w:r>
      <w:r>
        <w:rPr>
          <w:rFonts w:ascii="Calibri" w:hAnsi="Calibri"/>
          <w:color w:val="001F60"/>
          <w:spacing w:val="-6"/>
        </w:rPr>
        <w:t xml:space="preserve"> </w:t>
      </w:r>
      <w:r>
        <w:rPr>
          <w:rFonts w:ascii="Calibri" w:hAnsi="Calibri"/>
          <w:color w:val="001F60"/>
        </w:rPr>
        <w:t>significativas</w:t>
      </w:r>
      <w:r>
        <w:rPr>
          <w:rFonts w:ascii="Calibri" w:hAnsi="Calibri"/>
          <w:color w:val="001F60"/>
          <w:spacing w:val="-8"/>
        </w:rPr>
        <w:t xml:space="preserve"> </w:t>
      </w:r>
      <w:r>
        <w:rPr>
          <w:rFonts w:ascii="Calibri" w:hAnsi="Calibri"/>
          <w:color w:val="001F60"/>
        </w:rPr>
        <w:t>para</w:t>
      </w:r>
      <w:r>
        <w:rPr>
          <w:rFonts w:ascii="Calibri" w:hAnsi="Calibri"/>
          <w:color w:val="001F60"/>
          <w:spacing w:val="-6"/>
        </w:rPr>
        <w:t xml:space="preserve"> </w:t>
      </w:r>
      <w:r>
        <w:rPr>
          <w:rFonts w:ascii="Calibri" w:hAnsi="Calibri"/>
          <w:color w:val="001F60"/>
        </w:rPr>
        <w:t>a</w:t>
      </w:r>
      <w:r>
        <w:rPr>
          <w:rFonts w:ascii="Calibri" w:hAnsi="Calibri"/>
          <w:color w:val="001F60"/>
          <w:spacing w:val="-8"/>
        </w:rPr>
        <w:t xml:space="preserve"> </w:t>
      </w:r>
      <w:r>
        <w:rPr>
          <w:rFonts w:ascii="Calibri" w:hAnsi="Calibri"/>
          <w:color w:val="001F60"/>
        </w:rPr>
        <w:t>aquisição</w:t>
      </w:r>
      <w:r>
        <w:rPr>
          <w:rFonts w:ascii="Calibri" w:hAnsi="Calibri"/>
          <w:color w:val="001F60"/>
          <w:spacing w:val="-6"/>
        </w:rPr>
        <w:t xml:space="preserve"> </w:t>
      </w:r>
      <w:r>
        <w:rPr>
          <w:rFonts w:ascii="Calibri" w:hAnsi="Calibri"/>
          <w:color w:val="001F60"/>
        </w:rPr>
        <w:t>de</w:t>
      </w:r>
      <w:r>
        <w:rPr>
          <w:rFonts w:ascii="Calibri" w:hAnsi="Calibri"/>
          <w:color w:val="001F60"/>
          <w:spacing w:val="-6"/>
        </w:rPr>
        <w:t xml:space="preserve"> </w:t>
      </w:r>
      <w:r>
        <w:rPr>
          <w:rFonts w:ascii="Calibri" w:hAnsi="Calibri"/>
          <w:color w:val="001F60"/>
        </w:rPr>
        <w:t>bens,</w:t>
      </w:r>
      <w:r>
        <w:rPr>
          <w:rFonts w:ascii="Calibri" w:hAnsi="Calibri"/>
          <w:color w:val="001F60"/>
          <w:spacing w:val="-8"/>
        </w:rPr>
        <w:t xml:space="preserve"> </w:t>
      </w:r>
      <w:r>
        <w:rPr>
          <w:rFonts w:ascii="Calibri" w:hAnsi="Calibri"/>
          <w:color w:val="001F60"/>
        </w:rPr>
        <w:t>produtos</w:t>
      </w:r>
      <w:r>
        <w:rPr>
          <w:rFonts w:ascii="Calibri" w:hAnsi="Calibri"/>
          <w:color w:val="001F60"/>
          <w:spacing w:val="-8"/>
        </w:rPr>
        <w:t xml:space="preserve"> </w:t>
      </w:r>
      <w:r>
        <w:rPr>
          <w:rFonts w:ascii="Calibri" w:hAnsi="Calibri"/>
          <w:color w:val="001F60"/>
        </w:rPr>
        <w:t>e</w:t>
      </w:r>
      <w:r>
        <w:rPr>
          <w:rFonts w:ascii="Calibri" w:hAnsi="Calibri"/>
          <w:color w:val="001F60"/>
          <w:spacing w:val="-6"/>
        </w:rPr>
        <w:t xml:space="preserve"> </w:t>
      </w:r>
      <w:r>
        <w:rPr>
          <w:rFonts w:ascii="Calibri" w:hAnsi="Calibri"/>
          <w:color w:val="001F60"/>
        </w:rPr>
        <w:t>serviços, totalizando o montante de R$ 269 milhões. Essas contratações foram distribuídas conforme modalidades de licitação específicas, refletindo a aderência rigorosa da Telebras às normativas legais e regulamentares em suas operações de compra, conforme tabela abaixo:</w:t>
      </w:r>
    </w:p>
    <w:p w14:paraId="5206680B" w14:textId="77777777" w:rsidR="002C6574" w:rsidRDefault="002C6574">
      <w:pPr>
        <w:pStyle w:val="Corpodetexto"/>
        <w:spacing w:before="5"/>
        <w:rPr>
          <w:rFonts w:ascii="Calibri"/>
          <w:sz w:val="20"/>
        </w:rPr>
      </w:pPr>
    </w:p>
    <w:tbl>
      <w:tblPr>
        <w:tblStyle w:val="TableNormal"/>
        <w:tblW w:w="0" w:type="auto"/>
        <w:tblInd w:w="1141" w:type="dxa"/>
        <w:tblLayout w:type="fixed"/>
        <w:tblLook w:val="01E0" w:firstRow="1" w:lastRow="1" w:firstColumn="1" w:lastColumn="1" w:noHBand="0" w:noVBand="0"/>
      </w:tblPr>
      <w:tblGrid>
        <w:gridCol w:w="2231"/>
        <w:gridCol w:w="1521"/>
        <w:gridCol w:w="1513"/>
        <w:gridCol w:w="410"/>
        <w:gridCol w:w="1243"/>
        <w:gridCol w:w="1307"/>
      </w:tblGrid>
      <w:tr w:rsidR="002C6574" w14:paraId="168433F1" w14:textId="77777777">
        <w:trPr>
          <w:trHeight w:val="916"/>
        </w:trPr>
        <w:tc>
          <w:tcPr>
            <w:tcW w:w="2231" w:type="dxa"/>
            <w:tcBorders>
              <w:top w:val="single" w:sz="8" w:space="0" w:color="9AC1E6"/>
              <w:bottom w:val="single" w:sz="8" w:space="0" w:color="9AC1E6"/>
            </w:tcBorders>
            <w:shd w:val="clear" w:color="auto" w:fill="DDEBF6"/>
          </w:tcPr>
          <w:p w14:paraId="5AD2595E" w14:textId="77777777" w:rsidR="002C6574" w:rsidRDefault="002C6574">
            <w:pPr>
              <w:pStyle w:val="TableParagraph"/>
              <w:spacing w:before="129"/>
              <w:jc w:val="left"/>
              <w:rPr>
                <w:rFonts w:ascii="Calibri"/>
                <w:sz w:val="18"/>
              </w:rPr>
            </w:pPr>
          </w:p>
          <w:p w14:paraId="52BB5B9D" w14:textId="77777777" w:rsidR="002C6574" w:rsidRDefault="00000000">
            <w:pPr>
              <w:pStyle w:val="TableParagraph"/>
              <w:ind w:right="209"/>
              <w:rPr>
                <w:rFonts w:ascii="Calibri" w:hAnsi="Calibri"/>
                <w:b/>
                <w:sz w:val="18"/>
              </w:rPr>
            </w:pPr>
            <w:r>
              <w:rPr>
                <w:rFonts w:ascii="Calibri" w:hAnsi="Calibri"/>
                <w:b/>
                <w:color w:val="1F4D77"/>
                <w:sz w:val="18"/>
              </w:rPr>
              <w:t>MODALIDADE</w:t>
            </w:r>
            <w:r>
              <w:rPr>
                <w:rFonts w:ascii="Calibri" w:hAnsi="Calibri"/>
                <w:b/>
                <w:color w:val="1F4D77"/>
                <w:spacing w:val="-4"/>
                <w:sz w:val="18"/>
              </w:rPr>
              <w:t xml:space="preserve"> </w:t>
            </w:r>
            <w:r>
              <w:rPr>
                <w:rFonts w:ascii="Calibri" w:hAnsi="Calibri"/>
                <w:b/>
                <w:color w:val="1F4D77"/>
                <w:spacing w:val="-2"/>
                <w:sz w:val="18"/>
              </w:rPr>
              <w:t>LICITAÇÃO</w:t>
            </w:r>
          </w:p>
        </w:tc>
        <w:tc>
          <w:tcPr>
            <w:tcW w:w="1521" w:type="dxa"/>
            <w:tcBorders>
              <w:top w:val="single" w:sz="8" w:space="0" w:color="9AC1E6"/>
              <w:bottom w:val="single" w:sz="8" w:space="0" w:color="9AC1E6"/>
            </w:tcBorders>
            <w:shd w:val="clear" w:color="auto" w:fill="DDEBF6"/>
          </w:tcPr>
          <w:p w14:paraId="78B68886" w14:textId="77777777" w:rsidR="002C6574" w:rsidRDefault="002C6574">
            <w:pPr>
              <w:pStyle w:val="TableParagraph"/>
              <w:spacing w:before="18"/>
              <w:jc w:val="left"/>
              <w:rPr>
                <w:rFonts w:ascii="Calibri"/>
                <w:sz w:val="18"/>
              </w:rPr>
            </w:pPr>
          </w:p>
          <w:p w14:paraId="0DA06B81" w14:textId="77777777" w:rsidR="002C6574" w:rsidRDefault="00000000">
            <w:pPr>
              <w:pStyle w:val="TableParagraph"/>
              <w:spacing w:before="1"/>
              <w:ind w:left="260" w:firstLine="14"/>
              <w:jc w:val="left"/>
              <w:rPr>
                <w:rFonts w:ascii="Calibri"/>
                <w:b/>
                <w:sz w:val="18"/>
              </w:rPr>
            </w:pPr>
            <w:r>
              <w:rPr>
                <w:rFonts w:ascii="Calibri"/>
                <w:b/>
                <w:color w:val="1F4D77"/>
                <w:spacing w:val="-2"/>
                <w:sz w:val="18"/>
              </w:rPr>
              <w:t>QUANTIDADE</w:t>
            </w:r>
            <w:r>
              <w:rPr>
                <w:rFonts w:ascii="Calibri"/>
                <w:b/>
                <w:color w:val="1F4D77"/>
                <w:sz w:val="18"/>
              </w:rPr>
              <w:t xml:space="preserve"> </w:t>
            </w:r>
            <w:r>
              <w:rPr>
                <w:rFonts w:ascii="Calibri"/>
                <w:b/>
                <w:color w:val="1F4D77"/>
                <w:spacing w:val="-2"/>
                <w:sz w:val="18"/>
              </w:rPr>
              <w:t>CONTRATADA</w:t>
            </w:r>
          </w:p>
        </w:tc>
        <w:tc>
          <w:tcPr>
            <w:tcW w:w="1513" w:type="dxa"/>
            <w:tcBorders>
              <w:top w:val="single" w:sz="8" w:space="0" w:color="9AC1E6"/>
              <w:bottom w:val="single" w:sz="8" w:space="0" w:color="9AC1E6"/>
            </w:tcBorders>
            <w:shd w:val="clear" w:color="auto" w:fill="DDEBF6"/>
          </w:tcPr>
          <w:p w14:paraId="5E48D9DA" w14:textId="77777777" w:rsidR="002C6574" w:rsidRDefault="002C6574">
            <w:pPr>
              <w:pStyle w:val="TableParagraph"/>
              <w:spacing w:before="129"/>
              <w:jc w:val="left"/>
              <w:rPr>
                <w:rFonts w:ascii="Calibri"/>
                <w:sz w:val="18"/>
              </w:rPr>
            </w:pPr>
          </w:p>
          <w:p w14:paraId="2BDA5D8F" w14:textId="77777777" w:rsidR="002C6574" w:rsidRDefault="00000000">
            <w:pPr>
              <w:pStyle w:val="TableParagraph"/>
              <w:ind w:right="106"/>
              <w:rPr>
                <w:rFonts w:ascii="Calibri"/>
                <w:b/>
                <w:sz w:val="18"/>
              </w:rPr>
            </w:pPr>
            <w:r>
              <w:rPr>
                <w:rFonts w:ascii="Calibri"/>
                <w:b/>
                <w:color w:val="1F4D77"/>
                <w:sz w:val="18"/>
              </w:rPr>
              <w:t xml:space="preserve">% </w:t>
            </w:r>
            <w:r>
              <w:rPr>
                <w:rFonts w:ascii="Calibri"/>
                <w:b/>
                <w:color w:val="1F4D77"/>
                <w:spacing w:val="-2"/>
                <w:sz w:val="18"/>
              </w:rPr>
              <w:t>QUANTIDADE</w:t>
            </w:r>
          </w:p>
        </w:tc>
        <w:tc>
          <w:tcPr>
            <w:tcW w:w="1653" w:type="dxa"/>
            <w:gridSpan w:val="2"/>
            <w:tcBorders>
              <w:top w:val="single" w:sz="8" w:space="0" w:color="9AC1E6"/>
              <w:bottom w:val="single" w:sz="8" w:space="0" w:color="9AC1E6"/>
            </w:tcBorders>
            <w:shd w:val="clear" w:color="auto" w:fill="DDEBF6"/>
          </w:tcPr>
          <w:p w14:paraId="7343F6DC" w14:textId="77777777" w:rsidR="002C6574" w:rsidRDefault="002C6574">
            <w:pPr>
              <w:pStyle w:val="TableParagraph"/>
              <w:spacing w:before="18"/>
              <w:jc w:val="left"/>
              <w:rPr>
                <w:rFonts w:ascii="Calibri"/>
                <w:sz w:val="18"/>
              </w:rPr>
            </w:pPr>
          </w:p>
          <w:p w14:paraId="116253CE" w14:textId="77777777" w:rsidR="002C6574" w:rsidRDefault="00000000">
            <w:pPr>
              <w:pStyle w:val="TableParagraph"/>
              <w:spacing w:before="1"/>
              <w:ind w:left="303" w:right="500" w:firstLine="28"/>
              <w:jc w:val="left"/>
              <w:rPr>
                <w:rFonts w:ascii="Calibri"/>
                <w:b/>
                <w:sz w:val="18"/>
              </w:rPr>
            </w:pPr>
            <w:r>
              <w:rPr>
                <w:rFonts w:ascii="Calibri"/>
                <w:b/>
                <w:color w:val="1F4D77"/>
                <w:sz w:val="18"/>
              </w:rPr>
              <w:t>VALOR</w:t>
            </w:r>
            <w:r>
              <w:rPr>
                <w:rFonts w:ascii="Calibri"/>
                <w:b/>
                <w:color w:val="1F4D77"/>
                <w:spacing w:val="-11"/>
                <w:sz w:val="18"/>
              </w:rPr>
              <w:t xml:space="preserve"> </w:t>
            </w:r>
            <w:r>
              <w:rPr>
                <w:rFonts w:ascii="Calibri"/>
                <w:b/>
                <w:color w:val="1F4D77"/>
                <w:sz w:val="18"/>
              </w:rPr>
              <w:t xml:space="preserve">DO </w:t>
            </w:r>
            <w:r>
              <w:rPr>
                <w:rFonts w:ascii="Calibri"/>
                <w:b/>
                <w:color w:val="1F4D77"/>
                <w:spacing w:val="-2"/>
                <w:sz w:val="18"/>
              </w:rPr>
              <w:t>CONTRATO</w:t>
            </w:r>
          </w:p>
        </w:tc>
        <w:tc>
          <w:tcPr>
            <w:tcW w:w="1307" w:type="dxa"/>
            <w:tcBorders>
              <w:top w:val="single" w:sz="8" w:space="0" w:color="9AC1E6"/>
              <w:bottom w:val="single" w:sz="8" w:space="0" w:color="9AC1E6"/>
            </w:tcBorders>
            <w:shd w:val="clear" w:color="auto" w:fill="DDEBF6"/>
          </w:tcPr>
          <w:p w14:paraId="0435BF4F" w14:textId="77777777" w:rsidR="002C6574" w:rsidRDefault="002C6574">
            <w:pPr>
              <w:pStyle w:val="TableParagraph"/>
              <w:spacing w:before="129"/>
              <w:jc w:val="left"/>
              <w:rPr>
                <w:rFonts w:ascii="Calibri"/>
                <w:sz w:val="18"/>
              </w:rPr>
            </w:pPr>
          </w:p>
          <w:p w14:paraId="1CF8F964" w14:textId="77777777" w:rsidR="002C6574" w:rsidRDefault="00000000">
            <w:pPr>
              <w:pStyle w:val="TableParagraph"/>
              <w:ind w:left="238"/>
              <w:jc w:val="left"/>
              <w:rPr>
                <w:rFonts w:ascii="Calibri"/>
                <w:b/>
                <w:sz w:val="18"/>
              </w:rPr>
            </w:pPr>
            <w:r>
              <w:rPr>
                <w:rFonts w:ascii="Calibri"/>
                <w:b/>
                <w:color w:val="1F4D77"/>
                <w:sz w:val="18"/>
              </w:rPr>
              <w:t xml:space="preserve">% </w:t>
            </w:r>
            <w:r>
              <w:rPr>
                <w:rFonts w:ascii="Calibri"/>
                <w:b/>
                <w:color w:val="1F4D77"/>
                <w:spacing w:val="-2"/>
                <w:sz w:val="18"/>
              </w:rPr>
              <w:t>VALOR</w:t>
            </w:r>
          </w:p>
        </w:tc>
      </w:tr>
      <w:tr w:rsidR="002C6574" w14:paraId="22079F91" w14:textId="77777777">
        <w:trPr>
          <w:trHeight w:val="320"/>
        </w:trPr>
        <w:tc>
          <w:tcPr>
            <w:tcW w:w="2231" w:type="dxa"/>
            <w:tcBorders>
              <w:top w:val="single" w:sz="8" w:space="0" w:color="9AC1E6"/>
            </w:tcBorders>
          </w:tcPr>
          <w:p w14:paraId="68C96A62" w14:textId="77777777" w:rsidR="002C6574" w:rsidRDefault="00000000">
            <w:pPr>
              <w:pStyle w:val="TableParagraph"/>
              <w:spacing w:before="30"/>
              <w:ind w:left="554"/>
              <w:jc w:val="left"/>
              <w:rPr>
                <w:rFonts w:ascii="Calibri"/>
                <w:sz w:val="20"/>
              </w:rPr>
            </w:pPr>
            <w:r>
              <w:rPr>
                <w:rFonts w:ascii="Calibri"/>
                <w:color w:val="1F4D77"/>
                <w:spacing w:val="-2"/>
                <w:sz w:val="20"/>
              </w:rPr>
              <w:t>Afastamento</w:t>
            </w:r>
          </w:p>
        </w:tc>
        <w:tc>
          <w:tcPr>
            <w:tcW w:w="1521" w:type="dxa"/>
            <w:tcBorders>
              <w:top w:val="single" w:sz="8" w:space="0" w:color="9AC1E6"/>
            </w:tcBorders>
          </w:tcPr>
          <w:p w14:paraId="12031688" w14:textId="77777777" w:rsidR="002C6574" w:rsidRDefault="00000000">
            <w:pPr>
              <w:pStyle w:val="TableParagraph"/>
              <w:spacing w:before="30"/>
              <w:ind w:left="56" w:right="1"/>
              <w:jc w:val="center"/>
              <w:rPr>
                <w:rFonts w:ascii="Calibri"/>
                <w:sz w:val="20"/>
              </w:rPr>
            </w:pPr>
            <w:r>
              <w:rPr>
                <w:rFonts w:ascii="Calibri"/>
                <w:color w:val="1F4D77"/>
                <w:spacing w:val="-10"/>
                <w:sz w:val="20"/>
              </w:rPr>
              <w:t>8</w:t>
            </w:r>
          </w:p>
        </w:tc>
        <w:tc>
          <w:tcPr>
            <w:tcW w:w="1513" w:type="dxa"/>
            <w:tcBorders>
              <w:top w:val="single" w:sz="8" w:space="0" w:color="9AC1E6"/>
            </w:tcBorders>
          </w:tcPr>
          <w:p w14:paraId="1B842C96" w14:textId="77777777" w:rsidR="002C6574" w:rsidRDefault="00000000">
            <w:pPr>
              <w:pStyle w:val="TableParagraph"/>
              <w:spacing w:before="30"/>
              <w:ind w:right="95"/>
              <w:rPr>
                <w:rFonts w:ascii="Calibri"/>
                <w:sz w:val="20"/>
              </w:rPr>
            </w:pPr>
            <w:r>
              <w:rPr>
                <w:rFonts w:ascii="Calibri"/>
                <w:color w:val="1F4D77"/>
                <w:spacing w:val="-2"/>
                <w:sz w:val="20"/>
              </w:rPr>
              <w:t>11,76%</w:t>
            </w:r>
          </w:p>
        </w:tc>
        <w:tc>
          <w:tcPr>
            <w:tcW w:w="1653" w:type="dxa"/>
            <w:gridSpan w:val="2"/>
            <w:tcBorders>
              <w:top w:val="single" w:sz="8" w:space="0" w:color="9AC1E6"/>
            </w:tcBorders>
          </w:tcPr>
          <w:p w14:paraId="38AF2D6A" w14:textId="77777777" w:rsidR="002C6574" w:rsidRDefault="00000000">
            <w:pPr>
              <w:pStyle w:val="TableParagraph"/>
              <w:spacing w:before="30"/>
              <w:ind w:left="96"/>
              <w:jc w:val="left"/>
              <w:rPr>
                <w:rFonts w:ascii="Calibri"/>
                <w:sz w:val="20"/>
              </w:rPr>
            </w:pPr>
            <w:r>
              <w:rPr>
                <w:rFonts w:ascii="Calibri"/>
                <w:color w:val="1F4D77"/>
                <w:sz w:val="20"/>
              </w:rPr>
              <w:t>R$</w:t>
            </w:r>
            <w:r>
              <w:rPr>
                <w:rFonts w:ascii="Calibri"/>
                <w:color w:val="1F4D77"/>
                <w:spacing w:val="41"/>
                <w:sz w:val="20"/>
              </w:rPr>
              <w:t xml:space="preserve"> </w:t>
            </w:r>
            <w:r>
              <w:rPr>
                <w:rFonts w:ascii="Calibri"/>
                <w:color w:val="1F4D77"/>
                <w:spacing w:val="-2"/>
                <w:sz w:val="20"/>
              </w:rPr>
              <w:t>203.636.668</w:t>
            </w:r>
          </w:p>
        </w:tc>
        <w:tc>
          <w:tcPr>
            <w:tcW w:w="1307" w:type="dxa"/>
            <w:tcBorders>
              <w:top w:val="single" w:sz="8" w:space="0" w:color="9AC1E6"/>
            </w:tcBorders>
          </w:tcPr>
          <w:p w14:paraId="336E1AD1" w14:textId="77777777" w:rsidR="002C6574" w:rsidRDefault="00000000">
            <w:pPr>
              <w:pStyle w:val="TableParagraph"/>
              <w:spacing w:before="30"/>
              <w:ind w:right="74"/>
              <w:rPr>
                <w:rFonts w:ascii="Calibri"/>
                <w:sz w:val="20"/>
              </w:rPr>
            </w:pPr>
            <w:r>
              <w:rPr>
                <w:rFonts w:ascii="Calibri"/>
                <w:color w:val="1F4D77"/>
                <w:spacing w:val="-2"/>
                <w:sz w:val="20"/>
              </w:rPr>
              <w:t>75,69%</w:t>
            </w:r>
          </w:p>
        </w:tc>
      </w:tr>
      <w:tr w:rsidR="002C6574" w14:paraId="3BFE3A88" w14:textId="77777777">
        <w:trPr>
          <w:trHeight w:val="300"/>
        </w:trPr>
        <w:tc>
          <w:tcPr>
            <w:tcW w:w="2231" w:type="dxa"/>
          </w:tcPr>
          <w:p w14:paraId="198136C6" w14:textId="77777777" w:rsidR="002C6574" w:rsidRDefault="00000000">
            <w:pPr>
              <w:pStyle w:val="TableParagraph"/>
              <w:spacing w:before="9"/>
              <w:ind w:left="283"/>
              <w:jc w:val="left"/>
              <w:rPr>
                <w:rFonts w:ascii="Calibri" w:hAnsi="Calibri"/>
                <w:sz w:val="20"/>
              </w:rPr>
            </w:pPr>
            <w:r>
              <w:rPr>
                <w:rFonts w:ascii="Calibri" w:hAnsi="Calibri"/>
                <w:color w:val="1F4D77"/>
                <w:sz w:val="20"/>
              </w:rPr>
              <w:t>Dispensa</w:t>
            </w:r>
            <w:r>
              <w:rPr>
                <w:rFonts w:ascii="Calibri" w:hAnsi="Calibri"/>
                <w:color w:val="1F4D77"/>
                <w:spacing w:val="-6"/>
                <w:sz w:val="20"/>
              </w:rPr>
              <w:t xml:space="preserve"> </w:t>
            </w:r>
            <w:r>
              <w:rPr>
                <w:rFonts w:ascii="Calibri" w:hAnsi="Calibri"/>
                <w:color w:val="1F4D77"/>
                <w:spacing w:val="-2"/>
                <w:sz w:val="20"/>
              </w:rPr>
              <w:t>Eletrônica</w:t>
            </w:r>
          </w:p>
        </w:tc>
        <w:tc>
          <w:tcPr>
            <w:tcW w:w="1521" w:type="dxa"/>
          </w:tcPr>
          <w:p w14:paraId="0D1F0D25" w14:textId="77777777" w:rsidR="002C6574" w:rsidRDefault="00000000">
            <w:pPr>
              <w:pStyle w:val="TableParagraph"/>
              <w:spacing w:before="9"/>
              <w:ind w:left="56" w:right="1"/>
              <w:jc w:val="center"/>
              <w:rPr>
                <w:rFonts w:ascii="Calibri"/>
                <w:sz w:val="20"/>
              </w:rPr>
            </w:pPr>
            <w:r>
              <w:rPr>
                <w:rFonts w:ascii="Calibri"/>
                <w:color w:val="1F4D77"/>
                <w:spacing w:val="-10"/>
                <w:sz w:val="20"/>
              </w:rPr>
              <w:t>4</w:t>
            </w:r>
          </w:p>
        </w:tc>
        <w:tc>
          <w:tcPr>
            <w:tcW w:w="1513" w:type="dxa"/>
          </w:tcPr>
          <w:p w14:paraId="7B47F54B" w14:textId="77777777" w:rsidR="002C6574" w:rsidRDefault="00000000">
            <w:pPr>
              <w:pStyle w:val="TableParagraph"/>
              <w:spacing w:before="9"/>
              <w:ind w:right="95"/>
              <w:rPr>
                <w:rFonts w:ascii="Calibri"/>
                <w:sz w:val="20"/>
              </w:rPr>
            </w:pPr>
            <w:r>
              <w:rPr>
                <w:rFonts w:ascii="Calibri"/>
                <w:color w:val="1F4D77"/>
                <w:spacing w:val="-2"/>
                <w:sz w:val="20"/>
              </w:rPr>
              <w:t>5,88%</w:t>
            </w:r>
          </w:p>
        </w:tc>
        <w:tc>
          <w:tcPr>
            <w:tcW w:w="410" w:type="dxa"/>
          </w:tcPr>
          <w:p w14:paraId="129A2893" w14:textId="77777777" w:rsidR="002C6574" w:rsidRDefault="00000000">
            <w:pPr>
              <w:pStyle w:val="TableParagraph"/>
              <w:spacing w:before="9"/>
              <w:ind w:left="34" w:right="37"/>
              <w:jc w:val="center"/>
              <w:rPr>
                <w:rFonts w:ascii="Calibri"/>
                <w:sz w:val="20"/>
              </w:rPr>
            </w:pPr>
            <w:r>
              <w:rPr>
                <w:rFonts w:ascii="Calibri"/>
                <w:color w:val="1F4D77"/>
                <w:spacing w:val="-5"/>
                <w:sz w:val="20"/>
              </w:rPr>
              <w:t>R$</w:t>
            </w:r>
          </w:p>
        </w:tc>
        <w:tc>
          <w:tcPr>
            <w:tcW w:w="1243" w:type="dxa"/>
          </w:tcPr>
          <w:p w14:paraId="3F13394A" w14:textId="77777777" w:rsidR="002C6574" w:rsidRDefault="00000000">
            <w:pPr>
              <w:pStyle w:val="TableParagraph"/>
              <w:spacing w:before="9"/>
              <w:ind w:right="244"/>
              <w:rPr>
                <w:rFonts w:ascii="Calibri"/>
                <w:sz w:val="20"/>
              </w:rPr>
            </w:pPr>
            <w:r>
              <w:rPr>
                <w:rFonts w:ascii="Calibri"/>
                <w:color w:val="1F4D77"/>
                <w:spacing w:val="-2"/>
                <w:sz w:val="20"/>
              </w:rPr>
              <w:t>56.440</w:t>
            </w:r>
          </w:p>
        </w:tc>
        <w:tc>
          <w:tcPr>
            <w:tcW w:w="1307" w:type="dxa"/>
          </w:tcPr>
          <w:p w14:paraId="5F8993F6" w14:textId="77777777" w:rsidR="002C6574" w:rsidRDefault="00000000">
            <w:pPr>
              <w:pStyle w:val="TableParagraph"/>
              <w:spacing w:before="9"/>
              <w:ind w:right="74"/>
              <w:rPr>
                <w:rFonts w:ascii="Calibri"/>
                <w:sz w:val="20"/>
              </w:rPr>
            </w:pPr>
            <w:r>
              <w:rPr>
                <w:rFonts w:ascii="Calibri"/>
                <w:color w:val="1F4D77"/>
                <w:spacing w:val="-2"/>
                <w:sz w:val="20"/>
              </w:rPr>
              <w:t>0,02%</w:t>
            </w:r>
          </w:p>
        </w:tc>
      </w:tr>
      <w:tr w:rsidR="002C6574" w14:paraId="245EB7D6" w14:textId="77777777">
        <w:trPr>
          <w:trHeight w:val="300"/>
        </w:trPr>
        <w:tc>
          <w:tcPr>
            <w:tcW w:w="2231" w:type="dxa"/>
          </w:tcPr>
          <w:p w14:paraId="2318380B" w14:textId="77777777" w:rsidR="002C6574" w:rsidRDefault="00000000">
            <w:pPr>
              <w:pStyle w:val="TableParagraph"/>
              <w:spacing w:before="9"/>
              <w:ind w:right="313"/>
              <w:rPr>
                <w:rFonts w:ascii="Calibri"/>
                <w:sz w:val="20"/>
              </w:rPr>
            </w:pPr>
            <w:r>
              <w:rPr>
                <w:rFonts w:ascii="Calibri"/>
                <w:color w:val="1F4D77"/>
                <w:sz w:val="20"/>
              </w:rPr>
              <w:t>Dispensa</w:t>
            </w:r>
            <w:r>
              <w:rPr>
                <w:rFonts w:ascii="Calibri"/>
                <w:color w:val="1F4D77"/>
                <w:spacing w:val="-6"/>
                <w:sz w:val="20"/>
              </w:rPr>
              <w:t xml:space="preserve"> </w:t>
            </w:r>
            <w:r>
              <w:rPr>
                <w:rFonts w:ascii="Calibri"/>
                <w:color w:val="1F4D77"/>
                <w:spacing w:val="-2"/>
                <w:sz w:val="20"/>
              </w:rPr>
              <w:t>Tradicional</w:t>
            </w:r>
          </w:p>
        </w:tc>
        <w:tc>
          <w:tcPr>
            <w:tcW w:w="1521" w:type="dxa"/>
          </w:tcPr>
          <w:p w14:paraId="732AC028" w14:textId="77777777" w:rsidR="002C6574" w:rsidRDefault="00000000">
            <w:pPr>
              <w:pStyle w:val="TableParagraph"/>
              <w:spacing w:before="9"/>
              <w:ind w:left="56"/>
              <w:jc w:val="center"/>
              <w:rPr>
                <w:rFonts w:ascii="Calibri"/>
                <w:sz w:val="20"/>
              </w:rPr>
            </w:pPr>
            <w:r>
              <w:rPr>
                <w:rFonts w:ascii="Calibri"/>
                <w:color w:val="1F4D77"/>
                <w:spacing w:val="-10"/>
                <w:sz w:val="20"/>
              </w:rPr>
              <w:t>7</w:t>
            </w:r>
          </w:p>
        </w:tc>
        <w:tc>
          <w:tcPr>
            <w:tcW w:w="1513" w:type="dxa"/>
          </w:tcPr>
          <w:p w14:paraId="4A1AA748" w14:textId="77777777" w:rsidR="002C6574" w:rsidRDefault="00000000">
            <w:pPr>
              <w:pStyle w:val="TableParagraph"/>
              <w:spacing w:before="9"/>
              <w:ind w:right="95"/>
              <w:rPr>
                <w:rFonts w:ascii="Calibri"/>
                <w:sz w:val="20"/>
              </w:rPr>
            </w:pPr>
            <w:r>
              <w:rPr>
                <w:rFonts w:ascii="Calibri"/>
                <w:color w:val="1F4D77"/>
                <w:spacing w:val="-2"/>
                <w:sz w:val="20"/>
              </w:rPr>
              <w:t>10,29%</w:t>
            </w:r>
          </w:p>
        </w:tc>
        <w:tc>
          <w:tcPr>
            <w:tcW w:w="410" w:type="dxa"/>
          </w:tcPr>
          <w:p w14:paraId="7B904C98" w14:textId="77777777" w:rsidR="002C6574" w:rsidRDefault="00000000">
            <w:pPr>
              <w:pStyle w:val="TableParagraph"/>
              <w:spacing w:before="9"/>
              <w:ind w:left="61" w:right="27"/>
              <w:jc w:val="center"/>
              <w:rPr>
                <w:rFonts w:ascii="Calibri"/>
                <w:sz w:val="20"/>
              </w:rPr>
            </w:pPr>
            <w:r>
              <w:rPr>
                <w:rFonts w:ascii="Calibri"/>
                <w:color w:val="1F4D77"/>
                <w:spacing w:val="-5"/>
                <w:sz w:val="20"/>
              </w:rPr>
              <w:t>R$</w:t>
            </w:r>
          </w:p>
        </w:tc>
        <w:tc>
          <w:tcPr>
            <w:tcW w:w="1243" w:type="dxa"/>
          </w:tcPr>
          <w:p w14:paraId="69D76272" w14:textId="77777777" w:rsidR="002C6574" w:rsidRDefault="00000000">
            <w:pPr>
              <w:pStyle w:val="TableParagraph"/>
              <w:spacing w:before="9"/>
              <w:ind w:right="243"/>
              <w:rPr>
                <w:rFonts w:ascii="Calibri"/>
                <w:sz w:val="20"/>
              </w:rPr>
            </w:pPr>
            <w:r>
              <w:rPr>
                <w:rFonts w:ascii="Calibri"/>
                <w:color w:val="1F4D77"/>
                <w:spacing w:val="-2"/>
                <w:sz w:val="20"/>
              </w:rPr>
              <w:t>1.768.049</w:t>
            </w:r>
          </w:p>
        </w:tc>
        <w:tc>
          <w:tcPr>
            <w:tcW w:w="1307" w:type="dxa"/>
          </w:tcPr>
          <w:p w14:paraId="06E899BE" w14:textId="77777777" w:rsidR="002C6574" w:rsidRDefault="00000000">
            <w:pPr>
              <w:pStyle w:val="TableParagraph"/>
              <w:spacing w:before="9"/>
              <w:ind w:right="74"/>
              <w:rPr>
                <w:rFonts w:ascii="Calibri"/>
                <w:sz w:val="20"/>
              </w:rPr>
            </w:pPr>
            <w:r>
              <w:rPr>
                <w:rFonts w:ascii="Calibri"/>
                <w:color w:val="1F4D77"/>
                <w:spacing w:val="-2"/>
                <w:sz w:val="20"/>
              </w:rPr>
              <w:t>0,66%</w:t>
            </w:r>
          </w:p>
        </w:tc>
      </w:tr>
      <w:tr w:rsidR="002C6574" w14:paraId="008669D4" w14:textId="77777777">
        <w:trPr>
          <w:trHeight w:val="300"/>
        </w:trPr>
        <w:tc>
          <w:tcPr>
            <w:tcW w:w="2231" w:type="dxa"/>
          </w:tcPr>
          <w:p w14:paraId="60BF4DDA" w14:textId="77777777" w:rsidR="002C6574" w:rsidRDefault="00000000">
            <w:pPr>
              <w:pStyle w:val="TableParagraph"/>
              <w:spacing w:before="9"/>
              <w:ind w:left="492"/>
              <w:jc w:val="left"/>
              <w:rPr>
                <w:rFonts w:ascii="Calibri"/>
                <w:sz w:val="20"/>
              </w:rPr>
            </w:pPr>
            <w:r>
              <w:rPr>
                <w:rFonts w:ascii="Calibri"/>
                <w:color w:val="1F4D77"/>
                <w:spacing w:val="-2"/>
                <w:sz w:val="20"/>
              </w:rPr>
              <w:t>Inexigibilidade</w:t>
            </w:r>
          </w:p>
        </w:tc>
        <w:tc>
          <w:tcPr>
            <w:tcW w:w="1521" w:type="dxa"/>
          </w:tcPr>
          <w:p w14:paraId="261A9E7B" w14:textId="77777777" w:rsidR="002C6574" w:rsidRDefault="00000000">
            <w:pPr>
              <w:pStyle w:val="TableParagraph"/>
              <w:spacing w:before="9"/>
              <w:ind w:left="56" w:right="1"/>
              <w:jc w:val="center"/>
              <w:rPr>
                <w:rFonts w:ascii="Calibri"/>
                <w:sz w:val="20"/>
              </w:rPr>
            </w:pPr>
            <w:r>
              <w:rPr>
                <w:rFonts w:ascii="Calibri"/>
                <w:color w:val="1F4D77"/>
                <w:spacing w:val="-5"/>
                <w:sz w:val="20"/>
              </w:rPr>
              <w:t>34</w:t>
            </w:r>
          </w:p>
        </w:tc>
        <w:tc>
          <w:tcPr>
            <w:tcW w:w="1513" w:type="dxa"/>
          </w:tcPr>
          <w:p w14:paraId="663E98F1" w14:textId="77777777" w:rsidR="002C6574" w:rsidRDefault="00000000">
            <w:pPr>
              <w:pStyle w:val="TableParagraph"/>
              <w:spacing w:before="9"/>
              <w:ind w:right="95"/>
              <w:rPr>
                <w:rFonts w:ascii="Calibri"/>
                <w:sz w:val="20"/>
              </w:rPr>
            </w:pPr>
            <w:r>
              <w:rPr>
                <w:rFonts w:ascii="Calibri"/>
                <w:color w:val="1F4D77"/>
                <w:spacing w:val="-2"/>
                <w:sz w:val="20"/>
              </w:rPr>
              <w:t>50,00%</w:t>
            </w:r>
          </w:p>
        </w:tc>
        <w:tc>
          <w:tcPr>
            <w:tcW w:w="410" w:type="dxa"/>
          </w:tcPr>
          <w:p w14:paraId="0A7E419A" w14:textId="77777777" w:rsidR="002C6574" w:rsidRDefault="00000000">
            <w:pPr>
              <w:pStyle w:val="TableParagraph"/>
              <w:spacing w:before="9"/>
              <w:ind w:left="61" w:right="27"/>
              <w:jc w:val="center"/>
              <w:rPr>
                <w:rFonts w:ascii="Calibri"/>
                <w:sz w:val="20"/>
              </w:rPr>
            </w:pPr>
            <w:r>
              <w:rPr>
                <w:rFonts w:ascii="Calibri"/>
                <w:color w:val="1F4D77"/>
                <w:spacing w:val="-5"/>
                <w:sz w:val="20"/>
              </w:rPr>
              <w:t>R$</w:t>
            </w:r>
          </w:p>
        </w:tc>
        <w:tc>
          <w:tcPr>
            <w:tcW w:w="1243" w:type="dxa"/>
          </w:tcPr>
          <w:p w14:paraId="28A76193" w14:textId="77777777" w:rsidR="002C6574" w:rsidRDefault="00000000">
            <w:pPr>
              <w:pStyle w:val="TableParagraph"/>
              <w:spacing w:before="9"/>
              <w:ind w:right="243"/>
              <w:rPr>
                <w:rFonts w:ascii="Calibri"/>
                <w:sz w:val="20"/>
              </w:rPr>
            </w:pPr>
            <w:r>
              <w:rPr>
                <w:rFonts w:ascii="Calibri"/>
                <w:color w:val="1F4D77"/>
                <w:spacing w:val="-2"/>
                <w:sz w:val="20"/>
              </w:rPr>
              <w:t>8.212.438</w:t>
            </w:r>
          </w:p>
        </w:tc>
        <w:tc>
          <w:tcPr>
            <w:tcW w:w="1307" w:type="dxa"/>
          </w:tcPr>
          <w:p w14:paraId="385719D2" w14:textId="77777777" w:rsidR="002C6574" w:rsidRDefault="00000000">
            <w:pPr>
              <w:pStyle w:val="TableParagraph"/>
              <w:spacing w:before="9"/>
              <w:ind w:right="74"/>
              <w:rPr>
                <w:rFonts w:ascii="Calibri"/>
                <w:sz w:val="20"/>
              </w:rPr>
            </w:pPr>
            <w:r>
              <w:rPr>
                <w:rFonts w:ascii="Calibri"/>
                <w:color w:val="1F4D77"/>
                <w:spacing w:val="-2"/>
                <w:sz w:val="20"/>
              </w:rPr>
              <w:t>3,05%</w:t>
            </w:r>
          </w:p>
        </w:tc>
      </w:tr>
      <w:tr w:rsidR="002C6574" w14:paraId="3C9EDACD" w14:textId="77777777">
        <w:trPr>
          <w:trHeight w:val="303"/>
        </w:trPr>
        <w:tc>
          <w:tcPr>
            <w:tcW w:w="2231" w:type="dxa"/>
          </w:tcPr>
          <w:p w14:paraId="3F96AA01" w14:textId="77777777" w:rsidR="002C6574" w:rsidRDefault="00000000">
            <w:pPr>
              <w:pStyle w:val="TableParagraph"/>
              <w:spacing w:before="9"/>
              <w:ind w:left="360"/>
              <w:jc w:val="left"/>
              <w:rPr>
                <w:rFonts w:ascii="Calibri" w:hAnsi="Calibri"/>
                <w:sz w:val="20"/>
              </w:rPr>
            </w:pPr>
            <w:r>
              <w:rPr>
                <w:rFonts w:ascii="Calibri" w:hAnsi="Calibri"/>
                <w:color w:val="1F4D77"/>
                <w:sz w:val="20"/>
              </w:rPr>
              <w:t>Pregão</w:t>
            </w:r>
            <w:r>
              <w:rPr>
                <w:rFonts w:ascii="Calibri" w:hAnsi="Calibri"/>
                <w:color w:val="1F4D77"/>
                <w:spacing w:val="-7"/>
                <w:sz w:val="20"/>
              </w:rPr>
              <w:t xml:space="preserve"> </w:t>
            </w:r>
            <w:r>
              <w:rPr>
                <w:rFonts w:ascii="Calibri" w:hAnsi="Calibri"/>
                <w:color w:val="1F4D77"/>
                <w:spacing w:val="-2"/>
                <w:sz w:val="20"/>
              </w:rPr>
              <w:t>Eletrônico</w:t>
            </w:r>
          </w:p>
        </w:tc>
        <w:tc>
          <w:tcPr>
            <w:tcW w:w="1521" w:type="dxa"/>
          </w:tcPr>
          <w:p w14:paraId="1204C6DA" w14:textId="77777777" w:rsidR="002C6574" w:rsidRDefault="00000000">
            <w:pPr>
              <w:pStyle w:val="TableParagraph"/>
              <w:spacing w:before="9"/>
              <w:ind w:left="56" w:right="2"/>
              <w:jc w:val="center"/>
              <w:rPr>
                <w:rFonts w:ascii="Calibri"/>
                <w:sz w:val="20"/>
              </w:rPr>
            </w:pPr>
            <w:r>
              <w:rPr>
                <w:rFonts w:ascii="Calibri"/>
                <w:color w:val="1F4D77"/>
                <w:spacing w:val="-5"/>
                <w:sz w:val="20"/>
              </w:rPr>
              <w:t>13</w:t>
            </w:r>
          </w:p>
        </w:tc>
        <w:tc>
          <w:tcPr>
            <w:tcW w:w="1513" w:type="dxa"/>
          </w:tcPr>
          <w:p w14:paraId="5C4D5A02" w14:textId="77777777" w:rsidR="002C6574" w:rsidRDefault="00000000">
            <w:pPr>
              <w:pStyle w:val="TableParagraph"/>
              <w:spacing w:before="9"/>
              <w:ind w:right="95"/>
              <w:rPr>
                <w:rFonts w:ascii="Calibri"/>
                <w:sz w:val="20"/>
              </w:rPr>
            </w:pPr>
            <w:r>
              <w:rPr>
                <w:rFonts w:ascii="Calibri"/>
                <w:color w:val="1F4D77"/>
                <w:spacing w:val="-2"/>
                <w:sz w:val="20"/>
              </w:rPr>
              <w:t>19,12%</w:t>
            </w:r>
          </w:p>
        </w:tc>
        <w:tc>
          <w:tcPr>
            <w:tcW w:w="410" w:type="dxa"/>
          </w:tcPr>
          <w:p w14:paraId="1E82DD23" w14:textId="77777777" w:rsidR="002C6574" w:rsidRDefault="00000000">
            <w:pPr>
              <w:pStyle w:val="TableParagraph"/>
              <w:spacing w:before="9"/>
              <w:ind w:left="37" w:right="27"/>
              <w:jc w:val="center"/>
              <w:rPr>
                <w:rFonts w:ascii="Calibri"/>
                <w:sz w:val="20"/>
              </w:rPr>
            </w:pPr>
            <w:r>
              <w:rPr>
                <w:rFonts w:ascii="Calibri"/>
                <w:color w:val="1F4D77"/>
                <w:spacing w:val="-5"/>
                <w:sz w:val="20"/>
              </w:rPr>
              <w:t>R$</w:t>
            </w:r>
          </w:p>
        </w:tc>
        <w:tc>
          <w:tcPr>
            <w:tcW w:w="1243" w:type="dxa"/>
          </w:tcPr>
          <w:p w14:paraId="1D6A5C76" w14:textId="77777777" w:rsidR="002C6574" w:rsidRDefault="00000000">
            <w:pPr>
              <w:pStyle w:val="TableParagraph"/>
              <w:spacing w:before="9"/>
              <w:ind w:right="243"/>
              <w:rPr>
                <w:rFonts w:ascii="Calibri"/>
                <w:sz w:val="20"/>
              </w:rPr>
            </w:pPr>
            <w:r>
              <w:rPr>
                <w:rFonts w:ascii="Calibri"/>
                <w:color w:val="1F4D77"/>
                <w:spacing w:val="-2"/>
                <w:sz w:val="20"/>
              </w:rPr>
              <w:t>43.876.535</w:t>
            </w:r>
          </w:p>
        </w:tc>
        <w:tc>
          <w:tcPr>
            <w:tcW w:w="1307" w:type="dxa"/>
          </w:tcPr>
          <w:p w14:paraId="1469DF0E" w14:textId="77777777" w:rsidR="002C6574" w:rsidRDefault="00000000">
            <w:pPr>
              <w:pStyle w:val="TableParagraph"/>
              <w:spacing w:before="9"/>
              <w:ind w:right="74"/>
              <w:rPr>
                <w:rFonts w:ascii="Calibri"/>
                <w:sz w:val="20"/>
              </w:rPr>
            </w:pPr>
            <w:r>
              <w:rPr>
                <w:rFonts w:ascii="Calibri"/>
                <w:color w:val="1F4D77"/>
                <w:spacing w:val="-2"/>
                <w:sz w:val="20"/>
              </w:rPr>
              <w:t>16,31%</w:t>
            </w:r>
          </w:p>
        </w:tc>
      </w:tr>
      <w:tr w:rsidR="002C6574" w14:paraId="2ECC9717" w14:textId="77777777">
        <w:trPr>
          <w:trHeight w:val="291"/>
        </w:trPr>
        <w:tc>
          <w:tcPr>
            <w:tcW w:w="2231" w:type="dxa"/>
            <w:tcBorders>
              <w:bottom w:val="single" w:sz="8" w:space="0" w:color="9AC1E6"/>
            </w:tcBorders>
          </w:tcPr>
          <w:p w14:paraId="353CC596" w14:textId="77777777" w:rsidR="002C6574" w:rsidRDefault="00000000">
            <w:pPr>
              <w:pStyle w:val="TableParagraph"/>
              <w:spacing w:before="13"/>
              <w:ind w:right="258"/>
              <w:rPr>
                <w:rFonts w:ascii="Calibri" w:hAnsi="Calibri"/>
                <w:sz w:val="20"/>
              </w:rPr>
            </w:pPr>
            <w:r>
              <w:rPr>
                <w:rFonts w:ascii="Calibri" w:hAnsi="Calibri"/>
                <w:color w:val="1F4D77"/>
                <w:sz w:val="20"/>
              </w:rPr>
              <w:t>Pregão</w:t>
            </w:r>
            <w:r>
              <w:rPr>
                <w:rFonts w:ascii="Calibri" w:hAnsi="Calibri"/>
                <w:color w:val="1F4D77"/>
                <w:spacing w:val="-7"/>
                <w:sz w:val="20"/>
              </w:rPr>
              <w:t xml:space="preserve"> </w:t>
            </w:r>
            <w:r>
              <w:rPr>
                <w:rFonts w:ascii="Calibri" w:hAnsi="Calibri"/>
                <w:color w:val="1F4D77"/>
                <w:sz w:val="20"/>
              </w:rPr>
              <w:t>Eletrônico</w:t>
            </w:r>
            <w:r>
              <w:rPr>
                <w:rFonts w:ascii="Calibri" w:hAnsi="Calibri"/>
                <w:color w:val="1F4D77"/>
                <w:spacing w:val="-6"/>
                <w:sz w:val="20"/>
              </w:rPr>
              <w:t xml:space="preserve"> </w:t>
            </w:r>
            <w:r>
              <w:rPr>
                <w:rFonts w:ascii="Calibri" w:hAnsi="Calibri"/>
                <w:color w:val="1F4D77"/>
                <w:spacing w:val="-5"/>
                <w:sz w:val="20"/>
              </w:rPr>
              <w:t>SRP</w:t>
            </w:r>
          </w:p>
        </w:tc>
        <w:tc>
          <w:tcPr>
            <w:tcW w:w="1521" w:type="dxa"/>
            <w:tcBorders>
              <w:bottom w:val="single" w:sz="8" w:space="0" w:color="9AC1E6"/>
            </w:tcBorders>
          </w:tcPr>
          <w:p w14:paraId="7774E088" w14:textId="77777777" w:rsidR="002C6574" w:rsidRDefault="00000000">
            <w:pPr>
              <w:pStyle w:val="TableParagraph"/>
              <w:spacing w:before="13"/>
              <w:ind w:left="56" w:right="1"/>
              <w:jc w:val="center"/>
              <w:rPr>
                <w:rFonts w:ascii="Calibri"/>
                <w:sz w:val="20"/>
              </w:rPr>
            </w:pPr>
            <w:r>
              <w:rPr>
                <w:rFonts w:ascii="Calibri"/>
                <w:color w:val="1F4D77"/>
                <w:spacing w:val="-10"/>
                <w:sz w:val="20"/>
              </w:rPr>
              <w:t>2</w:t>
            </w:r>
          </w:p>
        </w:tc>
        <w:tc>
          <w:tcPr>
            <w:tcW w:w="1513" w:type="dxa"/>
            <w:tcBorders>
              <w:bottom w:val="single" w:sz="8" w:space="0" w:color="9AC1E6"/>
            </w:tcBorders>
          </w:tcPr>
          <w:p w14:paraId="59D6C7D4" w14:textId="77777777" w:rsidR="002C6574" w:rsidRDefault="00000000">
            <w:pPr>
              <w:pStyle w:val="TableParagraph"/>
              <w:spacing w:before="13"/>
              <w:ind w:right="95"/>
              <w:rPr>
                <w:rFonts w:ascii="Calibri"/>
                <w:sz w:val="20"/>
              </w:rPr>
            </w:pPr>
            <w:r>
              <w:rPr>
                <w:rFonts w:ascii="Calibri"/>
                <w:color w:val="1F4D77"/>
                <w:spacing w:val="-2"/>
                <w:sz w:val="20"/>
              </w:rPr>
              <w:t>2,94%</w:t>
            </w:r>
          </w:p>
        </w:tc>
        <w:tc>
          <w:tcPr>
            <w:tcW w:w="410" w:type="dxa"/>
            <w:tcBorders>
              <w:bottom w:val="single" w:sz="8" w:space="0" w:color="9AC1E6"/>
            </w:tcBorders>
          </w:tcPr>
          <w:p w14:paraId="1FBCE4C3" w14:textId="77777777" w:rsidR="002C6574" w:rsidRDefault="00000000">
            <w:pPr>
              <w:pStyle w:val="TableParagraph"/>
              <w:spacing w:before="13"/>
              <w:ind w:left="37" w:right="27"/>
              <w:jc w:val="center"/>
              <w:rPr>
                <w:rFonts w:ascii="Calibri"/>
                <w:sz w:val="20"/>
              </w:rPr>
            </w:pPr>
            <w:r>
              <w:rPr>
                <w:rFonts w:ascii="Calibri"/>
                <w:color w:val="1F4D77"/>
                <w:spacing w:val="-5"/>
                <w:sz w:val="20"/>
              </w:rPr>
              <w:t>R$</w:t>
            </w:r>
          </w:p>
        </w:tc>
        <w:tc>
          <w:tcPr>
            <w:tcW w:w="1243" w:type="dxa"/>
            <w:tcBorders>
              <w:bottom w:val="single" w:sz="8" w:space="0" w:color="9AC1E6"/>
            </w:tcBorders>
          </w:tcPr>
          <w:p w14:paraId="2CA0D107" w14:textId="77777777" w:rsidR="002C6574" w:rsidRDefault="00000000">
            <w:pPr>
              <w:pStyle w:val="TableParagraph"/>
              <w:spacing w:before="13"/>
              <w:ind w:right="243"/>
              <w:rPr>
                <w:rFonts w:ascii="Calibri"/>
                <w:sz w:val="20"/>
              </w:rPr>
            </w:pPr>
            <w:r>
              <w:rPr>
                <w:rFonts w:ascii="Calibri"/>
                <w:color w:val="1F4D77"/>
                <w:spacing w:val="-2"/>
                <w:sz w:val="20"/>
              </w:rPr>
              <w:t>11.493.639</w:t>
            </w:r>
          </w:p>
        </w:tc>
        <w:tc>
          <w:tcPr>
            <w:tcW w:w="1307" w:type="dxa"/>
            <w:tcBorders>
              <w:bottom w:val="single" w:sz="8" w:space="0" w:color="9AC1E6"/>
            </w:tcBorders>
          </w:tcPr>
          <w:p w14:paraId="307FB842" w14:textId="77777777" w:rsidR="002C6574" w:rsidRDefault="00000000">
            <w:pPr>
              <w:pStyle w:val="TableParagraph"/>
              <w:spacing w:before="13"/>
              <w:ind w:right="74"/>
              <w:rPr>
                <w:rFonts w:ascii="Calibri"/>
                <w:sz w:val="20"/>
              </w:rPr>
            </w:pPr>
            <w:r>
              <w:rPr>
                <w:rFonts w:ascii="Calibri"/>
                <w:color w:val="1F4D77"/>
                <w:spacing w:val="-2"/>
                <w:sz w:val="20"/>
              </w:rPr>
              <w:t>4,27%</w:t>
            </w:r>
          </w:p>
        </w:tc>
      </w:tr>
      <w:tr w:rsidR="002C6574" w14:paraId="3DC020FB" w14:textId="77777777">
        <w:trPr>
          <w:trHeight w:val="313"/>
        </w:trPr>
        <w:tc>
          <w:tcPr>
            <w:tcW w:w="2231" w:type="dxa"/>
            <w:tcBorders>
              <w:top w:val="single" w:sz="8" w:space="0" w:color="9AC1E6"/>
              <w:bottom w:val="single" w:sz="8" w:space="0" w:color="9AC1E6"/>
            </w:tcBorders>
            <w:shd w:val="clear" w:color="auto" w:fill="DDEBF6"/>
          </w:tcPr>
          <w:p w14:paraId="79CD2265" w14:textId="77777777" w:rsidR="002C6574" w:rsidRDefault="00000000">
            <w:pPr>
              <w:pStyle w:val="TableParagraph"/>
              <w:spacing w:before="46"/>
              <w:ind w:left="667"/>
              <w:jc w:val="left"/>
              <w:rPr>
                <w:rFonts w:ascii="Calibri"/>
                <w:b/>
                <w:sz w:val="18"/>
              </w:rPr>
            </w:pPr>
            <w:r>
              <w:rPr>
                <w:rFonts w:ascii="Calibri"/>
                <w:b/>
                <w:color w:val="1F4D77"/>
                <w:sz w:val="18"/>
              </w:rPr>
              <w:t>Total</w:t>
            </w:r>
            <w:r>
              <w:rPr>
                <w:rFonts w:ascii="Calibri"/>
                <w:b/>
                <w:color w:val="1F4D77"/>
                <w:spacing w:val="-4"/>
                <w:sz w:val="18"/>
              </w:rPr>
              <w:t xml:space="preserve"> </w:t>
            </w:r>
            <w:r>
              <w:rPr>
                <w:rFonts w:ascii="Calibri"/>
                <w:b/>
                <w:color w:val="1F4D77"/>
                <w:spacing w:val="-2"/>
                <w:sz w:val="18"/>
              </w:rPr>
              <w:t>Geral</w:t>
            </w:r>
          </w:p>
        </w:tc>
        <w:tc>
          <w:tcPr>
            <w:tcW w:w="1521" w:type="dxa"/>
            <w:tcBorders>
              <w:top w:val="single" w:sz="8" w:space="0" w:color="9AC1E6"/>
              <w:bottom w:val="single" w:sz="8" w:space="0" w:color="9AC1E6"/>
            </w:tcBorders>
            <w:shd w:val="clear" w:color="auto" w:fill="DDEBF6"/>
          </w:tcPr>
          <w:p w14:paraId="4DAD831D" w14:textId="77777777" w:rsidR="002C6574" w:rsidRDefault="00000000">
            <w:pPr>
              <w:pStyle w:val="TableParagraph"/>
              <w:spacing w:before="46"/>
              <w:ind w:left="56" w:right="1"/>
              <w:jc w:val="center"/>
              <w:rPr>
                <w:rFonts w:ascii="Calibri"/>
                <w:b/>
                <w:sz w:val="18"/>
              </w:rPr>
            </w:pPr>
            <w:r>
              <w:rPr>
                <w:rFonts w:ascii="Calibri"/>
                <w:b/>
                <w:color w:val="1F4D77"/>
                <w:spacing w:val="-5"/>
                <w:sz w:val="18"/>
              </w:rPr>
              <w:t>68</w:t>
            </w:r>
          </w:p>
        </w:tc>
        <w:tc>
          <w:tcPr>
            <w:tcW w:w="1513" w:type="dxa"/>
            <w:tcBorders>
              <w:top w:val="single" w:sz="8" w:space="0" w:color="9AC1E6"/>
              <w:bottom w:val="single" w:sz="8" w:space="0" w:color="9AC1E6"/>
            </w:tcBorders>
            <w:shd w:val="clear" w:color="auto" w:fill="DDEBF6"/>
          </w:tcPr>
          <w:p w14:paraId="148BC448" w14:textId="77777777" w:rsidR="002C6574" w:rsidRDefault="00000000">
            <w:pPr>
              <w:pStyle w:val="TableParagraph"/>
              <w:spacing w:before="46"/>
              <w:ind w:right="94"/>
              <w:rPr>
                <w:rFonts w:ascii="Calibri"/>
                <w:b/>
                <w:sz w:val="18"/>
              </w:rPr>
            </w:pPr>
            <w:r>
              <w:rPr>
                <w:rFonts w:ascii="Calibri"/>
                <w:b/>
                <w:color w:val="1F4D77"/>
                <w:spacing w:val="-2"/>
                <w:sz w:val="18"/>
              </w:rPr>
              <w:t>100,00%</w:t>
            </w:r>
          </w:p>
        </w:tc>
        <w:tc>
          <w:tcPr>
            <w:tcW w:w="410" w:type="dxa"/>
            <w:tcBorders>
              <w:top w:val="single" w:sz="8" w:space="0" w:color="9AC1E6"/>
              <w:bottom w:val="single" w:sz="8" w:space="0" w:color="9AC1E6"/>
            </w:tcBorders>
            <w:shd w:val="clear" w:color="auto" w:fill="DDEBF6"/>
          </w:tcPr>
          <w:p w14:paraId="50F5C257" w14:textId="77777777" w:rsidR="002C6574" w:rsidRDefault="00000000">
            <w:pPr>
              <w:pStyle w:val="TableParagraph"/>
              <w:spacing w:before="46"/>
              <w:ind w:left="34" w:right="61"/>
              <w:jc w:val="center"/>
              <w:rPr>
                <w:rFonts w:ascii="Calibri"/>
                <w:b/>
                <w:sz w:val="18"/>
              </w:rPr>
            </w:pPr>
            <w:r>
              <w:rPr>
                <w:rFonts w:ascii="Calibri"/>
                <w:b/>
                <w:color w:val="1F4D77"/>
                <w:spacing w:val="-5"/>
                <w:sz w:val="18"/>
              </w:rPr>
              <w:t>R$</w:t>
            </w:r>
          </w:p>
        </w:tc>
        <w:tc>
          <w:tcPr>
            <w:tcW w:w="1243" w:type="dxa"/>
            <w:tcBorders>
              <w:top w:val="single" w:sz="8" w:space="0" w:color="9AC1E6"/>
              <w:bottom w:val="single" w:sz="8" w:space="0" w:color="9AC1E6"/>
            </w:tcBorders>
            <w:shd w:val="clear" w:color="auto" w:fill="DDEBF6"/>
          </w:tcPr>
          <w:p w14:paraId="7F2D68AE" w14:textId="77777777" w:rsidR="002C6574" w:rsidRDefault="00000000">
            <w:pPr>
              <w:pStyle w:val="TableParagraph"/>
              <w:spacing w:before="46"/>
              <w:ind w:right="244"/>
              <w:rPr>
                <w:rFonts w:ascii="Calibri"/>
                <w:b/>
                <w:sz w:val="18"/>
              </w:rPr>
            </w:pPr>
            <w:r>
              <w:rPr>
                <w:rFonts w:ascii="Calibri"/>
                <w:b/>
                <w:color w:val="1F4D77"/>
                <w:spacing w:val="-2"/>
                <w:sz w:val="18"/>
              </w:rPr>
              <w:t>269.043.770</w:t>
            </w:r>
          </w:p>
        </w:tc>
        <w:tc>
          <w:tcPr>
            <w:tcW w:w="1307" w:type="dxa"/>
            <w:tcBorders>
              <w:top w:val="single" w:sz="8" w:space="0" w:color="9AC1E6"/>
              <w:bottom w:val="single" w:sz="8" w:space="0" w:color="9AC1E6"/>
            </w:tcBorders>
            <w:shd w:val="clear" w:color="auto" w:fill="DDEBF6"/>
          </w:tcPr>
          <w:p w14:paraId="0C15DCB1" w14:textId="77777777" w:rsidR="002C6574" w:rsidRDefault="00000000">
            <w:pPr>
              <w:pStyle w:val="TableParagraph"/>
              <w:spacing w:before="46"/>
              <w:ind w:right="73"/>
              <w:rPr>
                <w:rFonts w:ascii="Calibri"/>
                <w:b/>
                <w:sz w:val="18"/>
              </w:rPr>
            </w:pPr>
            <w:r>
              <w:rPr>
                <w:rFonts w:ascii="Calibri"/>
                <w:b/>
                <w:color w:val="1F4D77"/>
                <w:spacing w:val="-2"/>
                <w:sz w:val="18"/>
              </w:rPr>
              <w:t>100,00%</w:t>
            </w:r>
          </w:p>
        </w:tc>
      </w:tr>
    </w:tbl>
    <w:p w14:paraId="0EBE1D3F" w14:textId="77777777" w:rsidR="002C6574" w:rsidRDefault="00000000">
      <w:pPr>
        <w:spacing w:before="111"/>
        <w:ind w:left="2886"/>
        <w:rPr>
          <w:rFonts w:ascii="Calibri" w:hAnsi="Calibri"/>
          <w:sz w:val="16"/>
        </w:rPr>
      </w:pPr>
      <w:r>
        <w:rPr>
          <w:rFonts w:ascii="Calibri" w:hAnsi="Calibri"/>
          <w:color w:val="001F60"/>
          <w:sz w:val="16"/>
        </w:rPr>
        <w:t>Tabela</w:t>
      </w:r>
      <w:r>
        <w:rPr>
          <w:rFonts w:ascii="Calibri" w:hAnsi="Calibri"/>
          <w:color w:val="001F60"/>
          <w:spacing w:val="-4"/>
          <w:sz w:val="16"/>
        </w:rPr>
        <w:t xml:space="preserve"> </w:t>
      </w:r>
      <w:r>
        <w:rPr>
          <w:rFonts w:ascii="Calibri" w:hAnsi="Calibri"/>
          <w:color w:val="001F60"/>
          <w:sz w:val="16"/>
        </w:rPr>
        <w:t>9-1</w:t>
      </w:r>
      <w:r>
        <w:rPr>
          <w:rFonts w:ascii="Calibri" w:hAnsi="Calibri"/>
          <w:color w:val="001F60"/>
          <w:spacing w:val="-2"/>
          <w:sz w:val="16"/>
        </w:rPr>
        <w:t xml:space="preserve"> </w:t>
      </w:r>
      <w:r>
        <w:rPr>
          <w:rFonts w:ascii="Calibri" w:hAnsi="Calibri"/>
          <w:color w:val="001F60"/>
          <w:sz w:val="16"/>
        </w:rPr>
        <w:t>Contratos</w:t>
      </w:r>
      <w:r>
        <w:rPr>
          <w:rFonts w:ascii="Calibri" w:hAnsi="Calibri"/>
          <w:color w:val="001F60"/>
          <w:spacing w:val="-4"/>
          <w:sz w:val="16"/>
        </w:rPr>
        <w:t xml:space="preserve"> </w:t>
      </w:r>
      <w:r>
        <w:rPr>
          <w:rFonts w:ascii="Calibri" w:hAnsi="Calibri"/>
          <w:color w:val="001F60"/>
          <w:sz w:val="16"/>
        </w:rPr>
        <w:t>de</w:t>
      </w:r>
      <w:r>
        <w:rPr>
          <w:rFonts w:ascii="Calibri" w:hAnsi="Calibri"/>
          <w:color w:val="001F60"/>
          <w:spacing w:val="-4"/>
          <w:sz w:val="16"/>
        </w:rPr>
        <w:t xml:space="preserve"> </w:t>
      </w:r>
      <w:r>
        <w:rPr>
          <w:rFonts w:ascii="Calibri" w:hAnsi="Calibri"/>
          <w:color w:val="001F60"/>
          <w:sz w:val="16"/>
        </w:rPr>
        <w:t>aquisição</w:t>
      </w:r>
      <w:r>
        <w:rPr>
          <w:rFonts w:ascii="Calibri" w:hAnsi="Calibri"/>
          <w:color w:val="001F60"/>
          <w:spacing w:val="-4"/>
          <w:sz w:val="16"/>
        </w:rPr>
        <w:t xml:space="preserve"> </w:t>
      </w:r>
      <w:r>
        <w:rPr>
          <w:rFonts w:ascii="Calibri" w:hAnsi="Calibri"/>
          <w:color w:val="001F60"/>
          <w:sz w:val="16"/>
        </w:rPr>
        <w:t>e</w:t>
      </w:r>
      <w:r>
        <w:rPr>
          <w:rFonts w:ascii="Calibri" w:hAnsi="Calibri"/>
          <w:color w:val="001F60"/>
          <w:spacing w:val="-2"/>
          <w:sz w:val="16"/>
        </w:rPr>
        <w:t xml:space="preserve"> </w:t>
      </w:r>
      <w:r>
        <w:rPr>
          <w:rFonts w:ascii="Calibri" w:hAnsi="Calibri"/>
          <w:color w:val="001F60"/>
          <w:sz w:val="16"/>
        </w:rPr>
        <w:t>serviços</w:t>
      </w:r>
      <w:r>
        <w:rPr>
          <w:rFonts w:ascii="Calibri" w:hAnsi="Calibri"/>
          <w:color w:val="001F60"/>
          <w:spacing w:val="-3"/>
          <w:sz w:val="16"/>
        </w:rPr>
        <w:t xml:space="preserve"> </w:t>
      </w:r>
      <w:r>
        <w:rPr>
          <w:rFonts w:ascii="Calibri" w:hAnsi="Calibri"/>
          <w:color w:val="001F60"/>
          <w:sz w:val="16"/>
        </w:rPr>
        <w:t>por</w:t>
      </w:r>
      <w:r>
        <w:rPr>
          <w:rFonts w:ascii="Calibri" w:hAnsi="Calibri"/>
          <w:color w:val="001F60"/>
          <w:spacing w:val="-5"/>
          <w:sz w:val="16"/>
        </w:rPr>
        <w:t xml:space="preserve"> </w:t>
      </w:r>
      <w:r>
        <w:rPr>
          <w:rFonts w:ascii="Calibri" w:hAnsi="Calibri"/>
          <w:color w:val="001F60"/>
          <w:sz w:val="16"/>
        </w:rPr>
        <w:t>modalidade</w:t>
      </w:r>
      <w:r>
        <w:rPr>
          <w:rFonts w:ascii="Calibri" w:hAnsi="Calibri"/>
          <w:color w:val="001F60"/>
          <w:spacing w:val="-5"/>
          <w:sz w:val="16"/>
        </w:rPr>
        <w:t xml:space="preserve"> </w:t>
      </w:r>
      <w:r>
        <w:rPr>
          <w:rFonts w:ascii="Calibri" w:hAnsi="Calibri"/>
          <w:color w:val="001F60"/>
          <w:sz w:val="16"/>
        </w:rPr>
        <w:t xml:space="preserve">de </w:t>
      </w:r>
      <w:r>
        <w:rPr>
          <w:rFonts w:ascii="Calibri" w:hAnsi="Calibri"/>
          <w:color w:val="001F60"/>
          <w:spacing w:val="-2"/>
          <w:sz w:val="16"/>
        </w:rPr>
        <w:t>licitação</w:t>
      </w:r>
    </w:p>
    <w:p w14:paraId="2E74A81E" w14:textId="77777777" w:rsidR="002C6574" w:rsidRDefault="002C6574">
      <w:pPr>
        <w:pStyle w:val="Corpodetexto"/>
        <w:rPr>
          <w:rFonts w:ascii="Calibri"/>
          <w:sz w:val="16"/>
        </w:rPr>
      </w:pPr>
    </w:p>
    <w:p w14:paraId="4C626382" w14:textId="77777777" w:rsidR="002C6574" w:rsidRDefault="002C6574">
      <w:pPr>
        <w:pStyle w:val="Corpodetexto"/>
        <w:spacing w:before="120"/>
        <w:rPr>
          <w:rFonts w:ascii="Calibri"/>
          <w:sz w:val="16"/>
        </w:rPr>
      </w:pPr>
    </w:p>
    <w:p w14:paraId="75905F8B" w14:textId="77777777" w:rsidR="002C6574" w:rsidRDefault="00000000">
      <w:pPr>
        <w:ind w:left="709"/>
        <w:jc w:val="both"/>
        <w:rPr>
          <w:rFonts w:ascii="Calibri" w:hAnsi="Calibri"/>
          <w:b/>
        </w:rPr>
      </w:pPr>
      <w:r>
        <w:rPr>
          <w:rFonts w:ascii="Calibri" w:hAnsi="Calibri"/>
          <w:b/>
          <w:color w:val="001F60"/>
        </w:rPr>
        <w:t>Modalidades</w:t>
      </w:r>
      <w:r>
        <w:rPr>
          <w:rFonts w:ascii="Calibri" w:hAnsi="Calibri"/>
          <w:b/>
          <w:color w:val="001F60"/>
          <w:spacing w:val="-2"/>
        </w:rPr>
        <w:t xml:space="preserve"> </w:t>
      </w:r>
      <w:r>
        <w:rPr>
          <w:rFonts w:ascii="Calibri" w:hAnsi="Calibri"/>
          <w:b/>
          <w:color w:val="001F60"/>
        </w:rPr>
        <w:t>de</w:t>
      </w:r>
      <w:r>
        <w:rPr>
          <w:rFonts w:ascii="Calibri" w:hAnsi="Calibri"/>
          <w:b/>
          <w:color w:val="001F60"/>
          <w:spacing w:val="-2"/>
        </w:rPr>
        <w:t xml:space="preserve"> </w:t>
      </w:r>
      <w:r>
        <w:rPr>
          <w:rFonts w:ascii="Calibri" w:hAnsi="Calibri"/>
          <w:b/>
          <w:color w:val="001F60"/>
        </w:rPr>
        <w:t>Licitação</w:t>
      </w:r>
      <w:r>
        <w:rPr>
          <w:rFonts w:ascii="Calibri" w:hAnsi="Calibri"/>
          <w:b/>
          <w:color w:val="001F60"/>
          <w:spacing w:val="-8"/>
        </w:rPr>
        <w:t xml:space="preserve"> </w:t>
      </w:r>
      <w:r>
        <w:rPr>
          <w:rFonts w:ascii="Calibri" w:hAnsi="Calibri"/>
          <w:b/>
          <w:color w:val="001F60"/>
        </w:rPr>
        <w:t>e</w:t>
      </w:r>
      <w:r>
        <w:rPr>
          <w:rFonts w:ascii="Calibri" w:hAnsi="Calibri"/>
          <w:b/>
          <w:color w:val="001F60"/>
          <w:spacing w:val="-1"/>
        </w:rPr>
        <w:t xml:space="preserve"> </w:t>
      </w:r>
      <w:r>
        <w:rPr>
          <w:rFonts w:ascii="Calibri" w:hAnsi="Calibri"/>
          <w:b/>
          <w:color w:val="001F60"/>
          <w:spacing w:val="-2"/>
        </w:rPr>
        <w:t>Justificativas</w:t>
      </w:r>
    </w:p>
    <w:p w14:paraId="3EAE5839" w14:textId="77777777" w:rsidR="002C6574" w:rsidRDefault="00000000">
      <w:pPr>
        <w:pStyle w:val="Corpodetexto"/>
        <w:spacing w:before="120"/>
        <w:ind w:left="709" w:right="277"/>
        <w:jc w:val="both"/>
        <w:rPr>
          <w:rFonts w:ascii="Calibri" w:hAnsi="Calibri"/>
        </w:rPr>
      </w:pPr>
      <w:r>
        <w:rPr>
          <w:rFonts w:ascii="Calibri" w:hAnsi="Calibri"/>
          <w:b/>
          <w:color w:val="001F60"/>
        </w:rPr>
        <w:t>Inexigibilidade</w:t>
      </w:r>
      <w:r>
        <w:rPr>
          <w:rFonts w:ascii="Calibri" w:hAnsi="Calibri"/>
          <w:b/>
          <w:color w:val="001F60"/>
          <w:spacing w:val="-13"/>
        </w:rPr>
        <w:t xml:space="preserve"> </w:t>
      </w:r>
      <w:r>
        <w:rPr>
          <w:rFonts w:ascii="Calibri" w:hAnsi="Calibri"/>
          <w:b/>
          <w:color w:val="001F60"/>
        </w:rPr>
        <w:t>de</w:t>
      </w:r>
      <w:r>
        <w:rPr>
          <w:rFonts w:ascii="Calibri" w:hAnsi="Calibri"/>
          <w:b/>
          <w:color w:val="001F60"/>
          <w:spacing w:val="-9"/>
        </w:rPr>
        <w:t xml:space="preserve"> </w:t>
      </w:r>
      <w:r>
        <w:rPr>
          <w:rFonts w:ascii="Calibri" w:hAnsi="Calibri"/>
          <w:b/>
          <w:color w:val="001F60"/>
        </w:rPr>
        <w:t>Licitação</w:t>
      </w:r>
      <w:r>
        <w:rPr>
          <w:rFonts w:ascii="Calibri" w:hAnsi="Calibri"/>
          <w:color w:val="001F60"/>
        </w:rPr>
        <w:t>:</w:t>
      </w:r>
      <w:r>
        <w:rPr>
          <w:rFonts w:ascii="Calibri" w:hAnsi="Calibri"/>
          <w:color w:val="001F60"/>
          <w:spacing w:val="-9"/>
        </w:rPr>
        <w:t xml:space="preserve"> </w:t>
      </w:r>
      <w:r>
        <w:rPr>
          <w:rFonts w:ascii="Calibri" w:hAnsi="Calibri"/>
          <w:color w:val="001F60"/>
        </w:rPr>
        <w:t>As</w:t>
      </w:r>
      <w:r>
        <w:rPr>
          <w:rFonts w:ascii="Calibri" w:hAnsi="Calibri"/>
          <w:color w:val="001F60"/>
          <w:spacing w:val="-13"/>
        </w:rPr>
        <w:t xml:space="preserve"> </w:t>
      </w:r>
      <w:r>
        <w:rPr>
          <w:rFonts w:ascii="Calibri" w:hAnsi="Calibri"/>
          <w:color w:val="001F60"/>
        </w:rPr>
        <w:t>contratações</w:t>
      </w:r>
      <w:r>
        <w:rPr>
          <w:rFonts w:ascii="Calibri" w:hAnsi="Calibri"/>
          <w:color w:val="001F60"/>
          <w:spacing w:val="-11"/>
        </w:rPr>
        <w:t xml:space="preserve"> </w:t>
      </w:r>
      <w:r>
        <w:rPr>
          <w:rFonts w:ascii="Calibri" w:hAnsi="Calibri"/>
          <w:color w:val="001F60"/>
        </w:rPr>
        <w:t>realizadas</w:t>
      </w:r>
      <w:r>
        <w:rPr>
          <w:rFonts w:ascii="Calibri" w:hAnsi="Calibri"/>
          <w:color w:val="001F60"/>
          <w:spacing w:val="-9"/>
        </w:rPr>
        <w:t xml:space="preserve"> </w:t>
      </w:r>
      <w:r>
        <w:rPr>
          <w:rFonts w:ascii="Calibri" w:hAnsi="Calibri"/>
          <w:color w:val="001F60"/>
        </w:rPr>
        <w:t>sob</w:t>
      </w:r>
      <w:r>
        <w:rPr>
          <w:rFonts w:ascii="Calibri" w:hAnsi="Calibri"/>
          <w:color w:val="001F60"/>
          <w:spacing w:val="-12"/>
        </w:rPr>
        <w:t xml:space="preserve"> </w:t>
      </w:r>
      <w:r>
        <w:rPr>
          <w:rFonts w:ascii="Calibri" w:hAnsi="Calibri"/>
          <w:color w:val="001F60"/>
        </w:rPr>
        <w:t>esta</w:t>
      </w:r>
      <w:r>
        <w:rPr>
          <w:rFonts w:ascii="Calibri" w:hAnsi="Calibri"/>
          <w:color w:val="001F60"/>
          <w:spacing w:val="-13"/>
        </w:rPr>
        <w:t xml:space="preserve"> </w:t>
      </w:r>
      <w:r>
        <w:rPr>
          <w:rFonts w:ascii="Calibri" w:hAnsi="Calibri"/>
          <w:color w:val="001F60"/>
        </w:rPr>
        <w:t>modalidade</w:t>
      </w:r>
      <w:r>
        <w:rPr>
          <w:rFonts w:ascii="Calibri" w:hAnsi="Calibri"/>
          <w:color w:val="001F60"/>
          <w:spacing w:val="-9"/>
        </w:rPr>
        <w:t xml:space="preserve"> </w:t>
      </w:r>
      <w:r>
        <w:rPr>
          <w:rFonts w:ascii="Calibri" w:hAnsi="Calibri"/>
          <w:color w:val="001F60"/>
        </w:rPr>
        <w:t>foram</w:t>
      </w:r>
      <w:r>
        <w:rPr>
          <w:rFonts w:ascii="Calibri" w:hAnsi="Calibri"/>
          <w:color w:val="001F60"/>
          <w:spacing w:val="-9"/>
        </w:rPr>
        <w:t xml:space="preserve"> </w:t>
      </w:r>
      <w:r>
        <w:rPr>
          <w:rFonts w:ascii="Calibri" w:hAnsi="Calibri"/>
          <w:color w:val="001F60"/>
        </w:rPr>
        <w:t>fundamentadas</w:t>
      </w:r>
      <w:r>
        <w:rPr>
          <w:rFonts w:ascii="Calibri" w:hAnsi="Calibri"/>
          <w:color w:val="001F60"/>
          <w:spacing w:val="-12"/>
        </w:rPr>
        <w:t xml:space="preserve"> </w:t>
      </w:r>
      <w:r>
        <w:rPr>
          <w:rFonts w:ascii="Calibri" w:hAnsi="Calibri"/>
          <w:color w:val="001F60"/>
        </w:rPr>
        <w:t>na notória especialização de serviços, incluindo capacitações e outros serviços especializados sem concorrência disponível no mercado, como o fornecimento de energia elétrica e extensões da rede.</w:t>
      </w:r>
    </w:p>
    <w:p w14:paraId="417B5EF2" w14:textId="77777777" w:rsidR="002C6574" w:rsidRDefault="00000000">
      <w:pPr>
        <w:pStyle w:val="Corpodetexto"/>
        <w:spacing w:before="118"/>
        <w:ind w:left="709" w:right="274"/>
        <w:jc w:val="both"/>
        <w:rPr>
          <w:rFonts w:ascii="Calibri" w:hAnsi="Calibri"/>
        </w:rPr>
      </w:pPr>
      <w:r>
        <w:rPr>
          <w:rFonts w:ascii="Calibri" w:hAnsi="Calibri"/>
          <w:b/>
          <w:color w:val="001F60"/>
        </w:rPr>
        <w:t>Dispensa de Licitação</w:t>
      </w:r>
      <w:r>
        <w:rPr>
          <w:rFonts w:ascii="Calibri" w:hAnsi="Calibri"/>
          <w:color w:val="001F60"/>
        </w:rPr>
        <w:t>: Esta modalidade foi aplicada a aquisições de pequeno valor, justificadas pelos critérios</w:t>
      </w:r>
      <w:r>
        <w:rPr>
          <w:rFonts w:ascii="Calibri" w:hAnsi="Calibri"/>
          <w:color w:val="001F60"/>
          <w:spacing w:val="-3"/>
        </w:rPr>
        <w:t xml:space="preserve"> </w:t>
      </w:r>
      <w:r>
        <w:rPr>
          <w:rFonts w:ascii="Calibri" w:hAnsi="Calibri"/>
          <w:color w:val="001F60"/>
        </w:rPr>
        <w:t>estabelecidos</w:t>
      </w:r>
      <w:r>
        <w:rPr>
          <w:rFonts w:ascii="Calibri" w:hAnsi="Calibri"/>
          <w:color w:val="001F60"/>
          <w:spacing w:val="-1"/>
        </w:rPr>
        <w:t xml:space="preserve"> </w:t>
      </w:r>
      <w:r>
        <w:rPr>
          <w:rFonts w:ascii="Calibri" w:hAnsi="Calibri"/>
          <w:color w:val="001F60"/>
        </w:rPr>
        <w:t>nos</w:t>
      </w:r>
      <w:r>
        <w:rPr>
          <w:rFonts w:ascii="Calibri" w:hAnsi="Calibri"/>
          <w:color w:val="001F60"/>
          <w:spacing w:val="-5"/>
        </w:rPr>
        <w:t xml:space="preserve"> </w:t>
      </w:r>
      <w:r>
        <w:rPr>
          <w:rFonts w:ascii="Calibri" w:hAnsi="Calibri"/>
          <w:color w:val="001F60"/>
        </w:rPr>
        <w:t>Incisos</w:t>
      </w:r>
      <w:r>
        <w:rPr>
          <w:rFonts w:ascii="Calibri" w:hAnsi="Calibri"/>
          <w:color w:val="001F60"/>
          <w:spacing w:val="-4"/>
        </w:rPr>
        <w:t xml:space="preserve"> </w:t>
      </w:r>
      <w:r>
        <w:rPr>
          <w:rFonts w:ascii="Calibri" w:hAnsi="Calibri"/>
          <w:color w:val="001F60"/>
        </w:rPr>
        <w:t>I,</w:t>
      </w:r>
      <w:r>
        <w:rPr>
          <w:rFonts w:ascii="Calibri" w:hAnsi="Calibri"/>
          <w:color w:val="001F60"/>
          <w:spacing w:val="-3"/>
        </w:rPr>
        <w:t xml:space="preserve"> </w:t>
      </w:r>
      <w:r>
        <w:rPr>
          <w:rFonts w:ascii="Calibri" w:hAnsi="Calibri"/>
          <w:color w:val="001F60"/>
        </w:rPr>
        <w:t>II,</w:t>
      </w:r>
      <w:r>
        <w:rPr>
          <w:rFonts w:ascii="Calibri" w:hAnsi="Calibri"/>
          <w:color w:val="001F60"/>
          <w:spacing w:val="-3"/>
        </w:rPr>
        <w:t xml:space="preserve"> </w:t>
      </w:r>
      <w:r>
        <w:rPr>
          <w:rFonts w:ascii="Calibri" w:hAnsi="Calibri"/>
          <w:color w:val="001F60"/>
        </w:rPr>
        <w:t>IV</w:t>
      </w:r>
      <w:r>
        <w:rPr>
          <w:rFonts w:ascii="Calibri" w:hAnsi="Calibri"/>
          <w:color w:val="001F60"/>
          <w:spacing w:val="-5"/>
        </w:rPr>
        <w:t xml:space="preserve"> </w:t>
      </w:r>
      <w:r>
        <w:rPr>
          <w:rFonts w:ascii="Calibri" w:hAnsi="Calibri"/>
          <w:color w:val="001F60"/>
        </w:rPr>
        <w:t>e</w:t>
      </w:r>
      <w:r>
        <w:rPr>
          <w:rFonts w:ascii="Calibri" w:hAnsi="Calibri"/>
          <w:color w:val="001F60"/>
          <w:spacing w:val="-1"/>
        </w:rPr>
        <w:t xml:space="preserve"> </w:t>
      </w:r>
      <w:r>
        <w:rPr>
          <w:rFonts w:ascii="Calibri" w:hAnsi="Calibri"/>
          <w:color w:val="001F60"/>
        </w:rPr>
        <w:t>V</w:t>
      </w:r>
      <w:r>
        <w:rPr>
          <w:rFonts w:ascii="Calibri" w:hAnsi="Calibri"/>
          <w:color w:val="001F60"/>
          <w:spacing w:val="-1"/>
        </w:rPr>
        <w:t xml:space="preserve"> </w:t>
      </w:r>
      <w:r>
        <w:rPr>
          <w:rFonts w:ascii="Calibri" w:hAnsi="Calibri"/>
          <w:color w:val="001F60"/>
        </w:rPr>
        <w:t>do</w:t>
      </w:r>
      <w:r>
        <w:rPr>
          <w:rFonts w:ascii="Calibri" w:hAnsi="Calibri"/>
          <w:color w:val="001F60"/>
          <w:spacing w:val="-3"/>
        </w:rPr>
        <w:t xml:space="preserve"> </w:t>
      </w:r>
      <w:r>
        <w:rPr>
          <w:rFonts w:ascii="Calibri" w:hAnsi="Calibri"/>
          <w:color w:val="001F60"/>
        </w:rPr>
        <w:t>Art.</w:t>
      </w:r>
      <w:r>
        <w:rPr>
          <w:rFonts w:ascii="Calibri" w:hAnsi="Calibri"/>
          <w:color w:val="001F60"/>
          <w:spacing w:val="-5"/>
        </w:rPr>
        <w:t xml:space="preserve"> </w:t>
      </w:r>
      <w:r>
        <w:rPr>
          <w:rFonts w:ascii="Calibri" w:hAnsi="Calibri"/>
          <w:color w:val="001F60"/>
        </w:rPr>
        <w:t>112</w:t>
      </w:r>
      <w:r>
        <w:rPr>
          <w:rFonts w:ascii="Calibri" w:hAnsi="Calibri"/>
          <w:color w:val="001F60"/>
          <w:spacing w:val="-1"/>
        </w:rPr>
        <w:t xml:space="preserve"> </w:t>
      </w:r>
      <w:r>
        <w:rPr>
          <w:rFonts w:ascii="Calibri" w:hAnsi="Calibri"/>
          <w:color w:val="001F60"/>
        </w:rPr>
        <w:t>do</w:t>
      </w:r>
      <w:r>
        <w:rPr>
          <w:rFonts w:ascii="Calibri" w:hAnsi="Calibri"/>
          <w:color w:val="001F60"/>
          <w:spacing w:val="-3"/>
        </w:rPr>
        <w:t xml:space="preserve"> </w:t>
      </w:r>
      <w:r>
        <w:rPr>
          <w:rFonts w:ascii="Calibri" w:hAnsi="Calibri"/>
          <w:color w:val="001F60"/>
        </w:rPr>
        <w:t>Regulamento</w:t>
      </w:r>
      <w:r>
        <w:rPr>
          <w:rFonts w:ascii="Calibri" w:hAnsi="Calibri"/>
          <w:color w:val="001F60"/>
          <w:spacing w:val="-3"/>
        </w:rPr>
        <w:t xml:space="preserve"> </w:t>
      </w:r>
      <w:r>
        <w:rPr>
          <w:rFonts w:ascii="Calibri" w:hAnsi="Calibri"/>
          <w:color w:val="001F60"/>
        </w:rPr>
        <w:t>de</w:t>
      </w:r>
      <w:r>
        <w:rPr>
          <w:rFonts w:ascii="Calibri" w:hAnsi="Calibri"/>
          <w:color w:val="001F60"/>
          <w:spacing w:val="-3"/>
        </w:rPr>
        <w:t xml:space="preserve"> </w:t>
      </w:r>
      <w:r>
        <w:rPr>
          <w:rFonts w:ascii="Calibri" w:hAnsi="Calibri"/>
          <w:color w:val="001F60"/>
        </w:rPr>
        <w:t>Licitações</w:t>
      </w:r>
      <w:r>
        <w:rPr>
          <w:rFonts w:ascii="Calibri" w:hAnsi="Calibri"/>
          <w:color w:val="001F60"/>
          <w:spacing w:val="-3"/>
        </w:rPr>
        <w:t xml:space="preserve"> </w:t>
      </w:r>
      <w:r>
        <w:rPr>
          <w:rFonts w:ascii="Calibri" w:hAnsi="Calibri"/>
          <w:color w:val="001F60"/>
        </w:rPr>
        <w:t>e</w:t>
      </w:r>
      <w:r>
        <w:rPr>
          <w:rFonts w:ascii="Calibri" w:hAnsi="Calibri"/>
          <w:color w:val="001F60"/>
          <w:spacing w:val="-1"/>
        </w:rPr>
        <w:t xml:space="preserve"> </w:t>
      </w:r>
      <w:r>
        <w:rPr>
          <w:rFonts w:ascii="Calibri" w:hAnsi="Calibri"/>
          <w:color w:val="001F60"/>
        </w:rPr>
        <w:t>Contratos</w:t>
      </w:r>
      <w:r>
        <w:rPr>
          <w:rFonts w:ascii="Calibri" w:hAnsi="Calibri"/>
          <w:color w:val="001F60"/>
          <w:spacing w:val="-4"/>
        </w:rPr>
        <w:t xml:space="preserve"> </w:t>
      </w:r>
      <w:r>
        <w:rPr>
          <w:rFonts w:ascii="Calibri" w:hAnsi="Calibri"/>
          <w:color w:val="001F60"/>
        </w:rPr>
        <w:t>da Telebras (RELIC) e pelos Incisos I, II, IV e V do Art. 29 da Lei nº 13.303/2016.</w:t>
      </w:r>
    </w:p>
    <w:p w14:paraId="34F63465" w14:textId="77777777" w:rsidR="002C6574" w:rsidRDefault="00000000">
      <w:pPr>
        <w:pStyle w:val="Corpodetexto"/>
        <w:spacing w:before="121"/>
        <w:ind w:left="709" w:right="277"/>
        <w:jc w:val="both"/>
        <w:rPr>
          <w:rFonts w:ascii="Calibri" w:hAnsi="Calibri"/>
        </w:rPr>
      </w:pPr>
      <w:r>
        <w:rPr>
          <w:rFonts w:ascii="Calibri" w:hAnsi="Calibri"/>
          <w:b/>
          <w:color w:val="001F60"/>
        </w:rPr>
        <w:t>Afastamento de Licitação</w:t>
      </w:r>
      <w:r>
        <w:rPr>
          <w:rFonts w:ascii="Calibri" w:hAnsi="Calibri"/>
          <w:color w:val="001F60"/>
        </w:rPr>
        <w:t>: Casos que se enquadram no Inciso I do § 3º do Art. 28 da Lei nº 13.303/2016,</w:t>
      </w:r>
      <w:r>
        <w:rPr>
          <w:rFonts w:ascii="Calibri" w:hAnsi="Calibri"/>
          <w:color w:val="001F60"/>
          <w:spacing w:val="-9"/>
        </w:rPr>
        <w:t xml:space="preserve"> </w:t>
      </w:r>
      <w:r>
        <w:rPr>
          <w:rFonts w:ascii="Calibri" w:hAnsi="Calibri"/>
          <w:color w:val="001F60"/>
        </w:rPr>
        <w:t>destacando</w:t>
      </w:r>
      <w:r>
        <w:rPr>
          <w:rFonts w:ascii="Calibri" w:hAnsi="Calibri"/>
          <w:color w:val="001F60"/>
          <w:spacing w:val="-8"/>
        </w:rPr>
        <w:t xml:space="preserve"> </w:t>
      </w:r>
      <w:r>
        <w:rPr>
          <w:rFonts w:ascii="Calibri" w:hAnsi="Calibri"/>
          <w:color w:val="001F60"/>
        </w:rPr>
        <w:t>situações</w:t>
      </w:r>
      <w:r>
        <w:rPr>
          <w:rFonts w:ascii="Calibri" w:hAnsi="Calibri"/>
          <w:color w:val="001F60"/>
          <w:spacing w:val="-7"/>
        </w:rPr>
        <w:t xml:space="preserve"> </w:t>
      </w:r>
      <w:r>
        <w:rPr>
          <w:rFonts w:ascii="Calibri" w:hAnsi="Calibri"/>
          <w:color w:val="001F60"/>
        </w:rPr>
        <w:t>específicas</w:t>
      </w:r>
      <w:r>
        <w:rPr>
          <w:rFonts w:ascii="Calibri" w:hAnsi="Calibri"/>
          <w:color w:val="001F60"/>
          <w:spacing w:val="-9"/>
        </w:rPr>
        <w:t xml:space="preserve"> </w:t>
      </w:r>
      <w:r>
        <w:rPr>
          <w:rFonts w:ascii="Calibri" w:hAnsi="Calibri"/>
          <w:color w:val="001F60"/>
        </w:rPr>
        <w:t>que</w:t>
      </w:r>
      <w:r>
        <w:rPr>
          <w:rFonts w:ascii="Calibri" w:hAnsi="Calibri"/>
          <w:color w:val="001F60"/>
          <w:spacing w:val="-9"/>
        </w:rPr>
        <w:t xml:space="preserve"> </w:t>
      </w:r>
      <w:r>
        <w:rPr>
          <w:rFonts w:ascii="Calibri" w:hAnsi="Calibri"/>
          <w:color w:val="001F60"/>
        </w:rPr>
        <w:t>permitem</w:t>
      </w:r>
      <w:r>
        <w:rPr>
          <w:rFonts w:ascii="Calibri" w:hAnsi="Calibri"/>
          <w:color w:val="001F60"/>
          <w:spacing w:val="-9"/>
        </w:rPr>
        <w:t xml:space="preserve"> </w:t>
      </w:r>
      <w:r>
        <w:rPr>
          <w:rFonts w:ascii="Calibri" w:hAnsi="Calibri"/>
          <w:color w:val="001F60"/>
        </w:rPr>
        <w:t>a</w:t>
      </w:r>
      <w:r>
        <w:rPr>
          <w:rFonts w:ascii="Calibri" w:hAnsi="Calibri"/>
          <w:color w:val="001F60"/>
          <w:spacing w:val="-11"/>
        </w:rPr>
        <w:t xml:space="preserve"> </w:t>
      </w:r>
      <w:r>
        <w:rPr>
          <w:rFonts w:ascii="Calibri" w:hAnsi="Calibri"/>
          <w:color w:val="001F60"/>
        </w:rPr>
        <w:t>Telebras</w:t>
      </w:r>
      <w:r>
        <w:rPr>
          <w:rFonts w:ascii="Calibri" w:hAnsi="Calibri"/>
          <w:color w:val="001F60"/>
          <w:spacing w:val="-9"/>
        </w:rPr>
        <w:t xml:space="preserve"> </w:t>
      </w:r>
      <w:r>
        <w:rPr>
          <w:rFonts w:ascii="Calibri" w:hAnsi="Calibri"/>
          <w:color w:val="001F60"/>
        </w:rPr>
        <w:t>realizar</w:t>
      </w:r>
      <w:r>
        <w:rPr>
          <w:rFonts w:ascii="Calibri" w:hAnsi="Calibri"/>
          <w:color w:val="001F60"/>
          <w:spacing w:val="-13"/>
        </w:rPr>
        <w:t xml:space="preserve"> </w:t>
      </w:r>
      <w:r>
        <w:rPr>
          <w:rFonts w:ascii="Calibri" w:hAnsi="Calibri"/>
          <w:color w:val="001F60"/>
        </w:rPr>
        <w:t>contratações</w:t>
      </w:r>
      <w:r>
        <w:rPr>
          <w:rFonts w:ascii="Calibri" w:hAnsi="Calibri"/>
          <w:color w:val="001F60"/>
          <w:spacing w:val="-6"/>
        </w:rPr>
        <w:t xml:space="preserve"> </w:t>
      </w:r>
      <w:r>
        <w:rPr>
          <w:rFonts w:ascii="Calibri" w:hAnsi="Calibri"/>
          <w:color w:val="001F60"/>
        </w:rPr>
        <w:t>diretas, de acordo com a legislação.</w:t>
      </w:r>
    </w:p>
    <w:p w14:paraId="6444CF4C" w14:textId="77777777" w:rsidR="002C6574" w:rsidRDefault="00000000">
      <w:pPr>
        <w:pStyle w:val="Corpodetexto"/>
        <w:spacing w:before="121"/>
        <w:ind w:left="709" w:right="278"/>
        <w:jc w:val="both"/>
        <w:rPr>
          <w:rFonts w:ascii="Calibri" w:hAnsi="Calibri"/>
        </w:rPr>
      </w:pPr>
      <w:r>
        <w:rPr>
          <w:rFonts w:ascii="Calibri" w:hAnsi="Calibri"/>
          <w:b/>
          <w:color w:val="001F60"/>
        </w:rPr>
        <w:t>Pregão Eletrônico</w:t>
      </w:r>
      <w:r>
        <w:rPr>
          <w:rFonts w:ascii="Calibri" w:hAnsi="Calibri"/>
          <w:color w:val="001F60"/>
        </w:rPr>
        <w:t>: A modalidade de pregão eletrônico foi utilizada conforme as diretrizes do artigo 32, IV,</w:t>
      </w:r>
      <w:r>
        <w:rPr>
          <w:rFonts w:ascii="Calibri" w:hAnsi="Calibri"/>
          <w:color w:val="001F60"/>
          <w:spacing w:val="-3"/>
        </w:rPr>
        <w:t xml:space="preserve"> </w:t>
      </w:r>
      <w:r>
        <w:rPr>
          <w:rFonts w:ascii="Calibri" w:hAnsi="Calibri"/>
          <w:color w:val="001F60"/>
        </w:rPr>
        <w:t>da</w:t>
      </w:r>
      <w:r>
        <w:rPr>
          <w:rFonts w:ascii="Calibri" w:hAnsi="Calibri"/>
          <w:color w:val="001F60"/>
          <w:spacing w:val="-5"/>
        </w:rPr>
        <w:t xml:space="preserve"> </w:t>
      </w:r>
      <w:r>
        <w:rPr>
          <w:rFonts w:ascii="Calibri" w:hAnsi="Calibri"/>
          <w:color w:val="001F60"/>
        </w:rPr>
        <w:t>Lei</w:t>
      </w:r>
      <w:r>
        <w:rPr>
          <w:rFonts w:ascii="Calibri" w:hAnsi="Calibri"/>
          <w:color w:val="001F60"/>
          <w:spacing w:val="-3"/>
        </w:rPr>
        <w:t xml:space="preserve"> </w:t>
      </w:r>
      <w:r>
        <w:rPr>
          <w:rFonts w:ascii="Calibri" w:hAnsi="Calibri"/>
          <w:color w:val="001F60"/>
        </w:rPr>
        <w:t>nº</w:t>
      </w:r>
      <w:r>
        <w:rPr>
          <w:rFonts w:ascii="Calibri" w:hAnsi="Calibri"/>
          <w:color w:val="001F60"/>
          <w:spacing w:val="-3"/>
        </w:rPr>
        <w:t xml:space="preserve"> </w:t>
      </w:r>
      <w:r>
        <w:rPr>
          <w:rFonts w:ascii="Calibri" w:hAnsi="Calibri"/>
          <w:color w:val="001F60"/>
        </w:rPr>
        <w:t>13.303/2016,</w:t>
      </w:r>
      <w:r>
        <w:rPr>
          <w:rFonts w:ascii="Calibri" w:hAnsi="Calibri"/>
          <w:color w:val="001F60"/>
          <w:spacing w:val="-3"/>
        </w:rPr>
        <w:t xml:space="preserve"> </w:t>
      </w:r>
      <w:r>
        <w:rPr>
          <w:rFonts w:ascii="Calibri" w:hAnsi="Calibri"/>
          <w:color w:val="001F60"/>
        </w:rPr>
        <w:t>artigo</w:t>
      </w:r>
      <w:r>
        <w:rPr>
          <w:rFonts w:ascii="Calibri" w:hAnsi="Calibri"/>
          <w:color w:val="001F60"/>
          <w:spacing w:val="-3"/>
        </w:rPr>
        <w:t xml:space="preserve"> </w:t>
      </w:r>
      <w:r>
        <w:rPr>
          <w:rFonts w:ascii="Calibri" w:hAnsi="Calibri"/>
          <w:color w:val="001F60"/>
        </w:rPr>
        <w:t>92,</w:t>
      </w:r>
      <w:r>
        <w:rPr>
          <w:rFonts w:ascii="Calibri" w:hAnsi="Calibri"/>
          <w:color w:val="001F60"/>
          <w:spacing w:val="-3"/>
        </w:rPr>
        <w:t xml:space="preserve"> </w:t>
      </w:r>
      <w:r>
        <w:rPr>
          <w:rFonts w:ascii="Calibri" w:hAnsi="Calibri"/>
          <w:color w:val="001F60"/>
        </w:rPr>
        <w:t>I,</w:t>
      </w:r>
      <w:r>
        <w:rPr>
          <w:rFonts w:ascii="Calibri" w:hAnsi="Calibri"/>
          <w:color w:val="001F60"/>
          <w:spacing w:val="-3"/>
        </w:rPr>
        <w:t xml:space="preserve"> </w:t>
      </w:r>
      <w:r>
        <w:rPr>
          <w:rFonts w:ascii="Calibri" w:hAnsi="Calibri"/>
          <w:color w:val="001F60"/>
        </w:rPr>
        <w:t>do</w:t>
      </w:r>
      <w:r>
        <w:rPr>
          <w:rFonts w:ascii="Calibri" w:hAnsi="Calibri"/>
          <w:color w:val="001F60"/>
          <w:spacing w:val="-3"/>
        </w:rPr>
        <w:t xml:space="preserve"> </w:t>
      </w:r>
      <w:r>
        <w:rPr>
          <w:rFonts w:ascii="Calibri" w:hAnsi="Calibri"/>
          <w:color w:val="001F60"/>
        </w:rPr>
        <w:t>RELIC,</w:t>
      </w:r>
      <w:r>
        <w:rPr>
          <w:rFonts w:ascii="Calibri" w:hAnsi="Calibri"/>
          <w:color w:val="001F60"/>
          <w:spacing w:val="-5"/>
        </w:rPr>
        <w:t xml:space="preserve"> </w:t>
      </w:r>
      <w:r>
        <w:rPr>
          <w:rFonts w:ascii="Calibri" w:hAnsi="Calibri"/>
          <w:color w:val="001F60"/>
        </w:rPr>
        <w:t>e</w:t>
      </w:r>
      <w:r>
        <w:rPr>
          <w:rFonts w:ascii="Calibri" w:hAnsi="Calibri"/>
          <w:color w:val="001F60"/>
          <w:spacing w:val="-5"/>
        </w:rPr>
        <w:t xml:space="preserve"> </w:t>
      </w:r>
      <w:r>
        <w:rPr>
          <w:rFonts w:ascii="Calibri" w:hAnsi="Calibri"/>
          <w:color w:val="001F60"/>
        </w:rPr>
        <w:t>Lei</w:t>
      </w:r>
      <w:r>
        <w:rPr>
          <w:rFonts w:ascii="Calibri" w:hAnsi="Calibri"/>
          <w:color w:val="001F60"/>
          <w:spacing w:val="-5"/>
        </w:rPr>
        <w:t xml:space="preserve"> </w:t>
      </w:r>
      <w:r>
        <w:rPr>
          <w:rFonts w:ascii="Calibri" w:hAnsi="Calibri"/>
          <w:color w:val="001F60"/>
        </w:rPr>
        <w:t>14.133/2021,</w:t>
      </w:r>
      <w:r>
        <w:rPr>
          <w:rFonts w:ascii="Calibri" w:hAnsi="Calibri"/>
          <w:color w:val="001F60"/>
          <w:spacing w:val="-3"/>
        </w:rPr>
        <w:t xml:space="preserve"> </w:t>
      </w:r>
      <w:r>
        <w:rPr>
          <w:rFonts w:ascii="Calibri" w:hAnsi="Calibri"/>
          <w:color w:val="001F60"/>
        </w:rPr>
        <w:t>no</w:t>
      </w:r>
      <w:r>
        <w:rPr>
          <w:rFonts w:ascii="Calibri" w:hAnsi="Calibri"/>
          <w:color w:val="001F60"/>
          <w:spacing w:val="-3"/>
        </w:rPr>
        <w:t xml:space="preserve"> </w:t>
      </w:r>
      <w:r>
        <w:rPr>
          <w:rFonts w:ascii="Calibri" w:hAnsi="Calibri"/>
          <w:color w:val="001F60"/>
        </w:rPr>
        <w:t>que</w:t>
      </w:r>
      <w:r>
        <w:rPr>
          <w:rFonts w:ascii="Calibri" w:hAnsi="Calibri"/>
          <w:color w:val="001F60"/>
          <w:spacing w:val="-3"/>
        </w:rPr>
        <w:t xml:space="preserve"> </w:t>
      </w:r>
      <w:r>
        <w:rPr>
          <w:rFonts w:ascii="Calibri" w:hAnsi="Calibri"/>
          <w:color w:val="001F60"/>
        </w:rPr>
        <w:t>couber,</w:t>
      </w:r>
      <w:r>
        <w:rPr>
          <w:rFonts w:ascii="Calibri" w:hAnsi="Calibri"/>
          <w:color w:val="001F60"/>
          <w:spacing w:val="-3"/>
        </w:rPr>
        <w:t xml:space="preserve"> </w:t>
      </w:r>
      <w:r>
        <w:rPr>
          <w:rFonts w:ascii="Calibri" w:hAnsi="Calibri"/>
          <w:color w:val="001F60"/>
        </w:rPr>
        <w:t>evidenciando</w:t>
      </w:r>
      <w:r>
        <w:rPr>
          <w:rFonts w:ascii="Calibri" w:hAnsi="Calibri"/>
          <w:color w:val="001F60"/>
          <w:spacing w:val="-3"/>
        </w:rPr>
        <w:t xml:space="preserve"> </w:t>
      </w:r>
      <w:r>
        <w:rPr>
          <w:rFonts w:ascii="Calibri" w:hAnsi="Calibri"/>
          <w:color w:val="001F60"/>
        </w:rPr>
        <w:t>a busca da Telebras pela eficiência e transparência nas contratações públicas.</w:t>
      </w:r>
    </w:p>
    <w:p w14:paraId="3ED170D3" w14:textId="77777777" w:rsidR="002C6574" w:rsidRDefault="002C6574">
      <w:pPr>
        <w:pStyle w:val="Corpodetexto"/>
        <w:jc w:val="both"/>
        <w:rPr>
          <w:rFonts w:ascii="Calibri" w:hAnsi="Calibri"/>
        </w:rPr>
        <w:sectPr w:rsidR="002C6574">
          <w:headerReference w:type="default" r:id="rId39"/>
          <w:footerReference w:type="default" r:id="rId40"/>
          <w:pgSz w:w="11910" w:h="16840"/>
          <w:pgMar w:top="1420" w:right="850" w:bottom="1060" w:left="992" w:header="619" w:footer="863" w:gutter="0"/>
          <w:cols w:space="720"/>
        </w:sectPr>
      </w:pPr>
    </w:p>
    <w:p w14:paraId="03E21CCE" w14:textId="77777777" w:rsidR="002C6574" w:rsidRDefault="002C6574">
      <w:pPr>
        <w:pStyle w:val="Corpodetexto"/>
        <w:rPr>
          <w:rFonts w:ascii="Calibri"/>
          <w:sz w:val="24"/>
        </w:rPr>
      </w:pPr>
    </w:p>
    <w:p w14:paraId="1477CFA0" w14:textId="77777777" w:rsidR="002C6574" w:rsidRDefault="002C6574">
      <w:pPr>
        <w:pStyle w:val="Corpodetexto"/>
        <w:spacing w:before="68"/>
        <w:rPr>
          <w:rFonts w:ascii="Calibri"/>
          <w:sz w:val="24"/>
        </w:rPr>
      </w:pPr>
    </w:p>
    <w:p w14:paraId="5364D6DC" w14:textId="77777777" w:rsidR="002C6574" w:rsidRDefault="00000000">
      <w:pPr>
        <w:pStyle w:val="Ttulo8"/>
        <w:numPr>
          <w:ilvl w:val="0"/>
          <w:numId w:val="74"/>
        </w:numPr>
        <w:tabs>
          <w:tab w:val="left" w:pos="1275"/>
        </w:tabs>
        <w:spacing w:before="1"/>
        <w:ind w:left="1275" w:hanging="566"/>
      </w:pPr>
      <w:r>
        <w:rPr>
          <w:color w:val="001F60"/>
        </w:rPr>
        <w:t>Auditoria</w:t>
      </w:r>
      <w:r>
        <w:rPr>
          <w:color w:val="001F60"/>
          <w:spacing w:val="1"/>
        </w:rPr>
        <w:t xml:space="preserve"> </w:t>
      </w:r>
      <w:r>
        <w:rPr>
          <w:color w:val="001F60"/>
          <w:spacing w:val="-2"/>
        </w:rPr>
        <w:t>Externa</w:t>
      </w:r>
    </w:p>
    <w:p w14:paraId="5E93966E" w14:textId="77777777" w:rsidR="002C6574" w:rsidRDefault="00000000">
      <w:pPr>
        <w:pStyle w:val="Corpodetexto"/>
        <w:spacing w:before="234"/>
        <w:ind w:left="709" w:right="277"/>
        <w:jc w:val="both"/>
        <w:rPr>
          <w:rFonts w:ascii="Calibri" w:hAnsi="Calibri"/>
        </w:rPr>
      </w:pPr>
      <w:r>
        <w:rPr>
          <w:rFonts w:ascii="Calibri" w:hAnsi="Calibri"/>
          <w:color w:val="001F60"/>
        </w:rPr>
        <w:t>Em</w:t>
      </w:r>
      <w:r>
        <w:rPr>
          <w:rFonts w:ascii="Calibri" w:hAnsi="Calibri"/>
          <w:color w:val="001F60"/>
          <w:spacing w:val="-13"/>
        </w:rPr>
        <w:t xml:space="preserve"> </w:t>
      </w:r>
      <w:r>
        <w:rPr>
          <w:rFonts w:ascii="Calibri" w:hAnsi="Calibri"/>
          <w:color w:val="001F60"/>
        </w:rPr>
        <w:t>atenção</w:t>
      </w:r>
      <w:r>
        <w:rPr>
          <w:rFonts w:ascii="Calibri" w:hAnsi="Calibri"/>
          <w:color w:val="001F60"/>
          <w:spacing w:val="-12"/>
        </w:rPr>
        <w:t xml:space="preserve"> </w:t>
      </w:r>
      <w:r>
        <w:rPr>
          <w:rFonts w:ascii="Calibri" w:hAnsi="Calibri"/>
          <w:color w:val="001F60"/>
        </w:rPr>
        <w:t>aos</w:t>
      </w:r>
      <w:r>
        <w:rPr>
          <w:rFonts w:ascii="Calibri" w:hAnsi="Calibri"/>
          <w:color w:val="001F60"/>
          <w:spacing w:val="-13"/>
        </w:rPr>
        <w:t xml:space="preserve"> </w:t>
      </w:r>
      <w:r>
        <w:rPr>
          <w:rFonts w:ascii="Calibri" w:hAnsi="Calibri"/>
          <w:color w:val="001F60"/>
        </w:rPr>
        <w:t>termos</w:t>
      </w:r>
      <w:r>
        <w:rPr>
          <w:rFonts w:ascii="Calibri" w:hAnsi="Calibri"/>
          <w:color w:val="001F60"/>
          <w:spacing w:val="-12"/>
        </w:rPr>
        <w:t xml:space="preserve"> </w:t>
      </w:r>
      <w:r>
        <w:rPr>
          <w:rFonts w:ascii="Calibri" w:hAnsi="Calibri"/>
          <w:color w:val="001F60"/>
        </w:rPr>
        <w:t>da</w:t>
      </w:r>
      <w:r>
        <w:rPr>
          <w:rFonts w:ascii="Calibri" w:hAnsi="Calibri"/>
          <w:color w:val="001F60"/>
          <w:spacing w:val="-13"/>
        </w:rPr>
        <w:t xml:space="preserve"> </w:t>
      </w:r>
      <w:r>
        <w:rPr>
          <w:rFonts w:ascii="Calibri" w:hAnsi="Calibri"/>
          <w:color w:val="001F60"/>
        </w:rPr>
        <w:t>Instrução</w:t>
      </w:r>
      <w:r>
        <w:rPr>
          <w:rFonts w:ascii="Calibri" w:hAnsi="Calibri"/>
          <w:color w:val="001F60"/>
          <w:spacing w:val="-12"/>
        </w:rPr>
        <w:t xml:space="preserve"> </w:t>
      </w:r>
      <w:r>
        <w:rPr>
          <w:rFonts w:ascii="Calibri" w:hAnsi="Calibri"/>
          <w:color w:val="001F60"/>
        </w:rPr>
        <w:t>CVM</w:t>
      </w:r>
      <w:r>
        <w:rPr>
          <w:rFonts w:ascii="Calibri" w:hAnsi="Calibri"/>
          <w:color w:val="001F60"/>
          <w:spacing w:val="-13"/>
        </w:rPr>
        <w:t xml:space="preserve"> </w:t>
      </w:r>
      <w:r>
        <w:rPr>
          <w:rFonts w:ascii="Calibri" w:hAnsi="Calibri"/>
          <w:color w:val="001F60"/>
        </w:rPr>
        <w:t>381/03,</w:t>
      </w:r>
      <w:r>
        <w:rPr>
          <w:rFonts w:ascii="Calibri" w:hAnsi="Calibri"/>
          <w:color w:val="001F60"/>
          <w:spacing w:val="-12"/>
        </w:rPr>
        <w:t xml:space="preserve"> </w:t>
      </w:r>
      <w:r>
        <w:rPr>
          <w:rFonts w:ascii="Calibri" w:hAnsi="Calibri"/>
          <w:color w:val="001F60"/>
        </w:rPr>
        <w:t>a</w:t>
      </w:r>
      <w:r>
        <w:rPr>
          <w:rFonts w:ascii="Calibri" w:hAnsi="Calibri"/>
          <w:color w:val="001F60"/>
          <w:spacing w:val="-12"/>
        </w:rPr>
        <w:t xml:space="preserve"> </w:t>
      </w:r>
      <w:r>
        <w:rPr>
          <w:rFonts w:ascii="Calibri" w:hAnsi="Calibri"/>
          <w:color w:val="001F60"/>
        </w:rPr>
        <w:t>Telebras</w:t>
      </w:r>
      <w:r>
        <w:rPr>
          <w:rFonts w:ascii="Calibri" w:hAnsi="Calibri"/>
          <w:color w:val="001F60"/>
          <w:spacing w:val="-13"/>
        </w:rPr>
        <w:t xml:space="preserve"> </w:t>
      </w:r>
      <w:r>
        <w:rPr>
          <w:rFonts w:ascii="Calibri" w:hAnsi="Calibri"/>
          <w:color w:val="001F60"/>
        </w:rPr>
        <w:t>esclarece</w:t>
      </w:r>
      <w:r>
        <w:rPr>
          <w:rFonts w:ascii="Calibri" w:hAnsi="Calibri"/>
          <w:color w:val="001F60"/>
          <w:spacing w:val="-12"/>
        </w:rPr>
        <w:t xml:space="preserve"> </w:t>
      </w:r>
      <w:r>
        <w:rPr>
          <w:rFonts w:ascii="Calibri" w:hAnsi="Calibri"/>
          <w:color w:val="001F60"/>
        </w:rPr>
        <w:t>que,</w:t>
      </w:r>
      <w:r>
        <w:rPr>
          <w:rFonts w:ascii="Calibri" w:hAnsi="Calibri"/>
          <w:color w:val="001F60"/>
          <w:spacing w:val="-13"/>
        </w:rPr>
        <w:t xml:space="preserve"> </w:t>
      </w:r>
      <w:r>
        <w:rPr>
          <w:rFonts w:ascii="Calibri" w:hAnsi="Calibri"/>
          <w:color w:val="001F60"/>
        </w:rPr>
        <w:t>em</w:t>
      </w:r>
      <w:r>
        <w:rPr>
          <w:rFonts w:ascii="Calibri" w:hAnsi="Calibri"/>
          <w:color w:val="001F60"/>
          <w:spacing w:val="-12"/>
        </w:rPr>
        <w:t xml:space="preserve"> </w:t>
      </w:r>
      <w:r>
        <w:rPr>
          <w:rFonts w:ascii="Calibri" w:hAnsi="Calibri"/>
          <w:color w:val="001F60"/>
        </w:rPr>
        <w:t>25</w:t>
      </w:r>
      <w:r>
        <w:rPr>
          <w:rFonts w:ascii="Calibri" w:hAnsi="Calibri"/>
          <w:color w:val="001F60"/>
          <w:spacing w:val="-13"/>
        </w:rPr>
        <w:t xml:space="preserve"> </w:t>
      </w:r>
      <w:r>
        <w:rPr>
          <w:rFonts w:ascii="Calibri" w:hAnsi="Calibri"/>
          <w:color w:val="001F60"/>
        </w:rPr>
        <w:t>de</w:t>
      </w:r>
      <w:r>
        <w:rPr>
          <w:rFonts w:ascii="Calibri" w:hAnsi="Calibri"/>
          <w:color w:val="001F60"/>
          <w:spacing w:val="-12"/>
        </w:rPr>
        <w:t xml:space="preserve"> </w:t>
      </w:r>
      <w:r>
        <w:rPr>
          <w:rFonts w:ascii="Calibri" w:hAnsi="Calibri"/>
          <w:color w:val="001F60"/>
        </w:rPr>
        <w:t>outubro</w:t>
      </w:r>
      <w:r>
        <w:rPr>
          <w:rFonts w:ascii="Calibri" w:hAnsi="Calibri"/>
          <w:color w:val="001F60"/>
          <w:spacing w:val="-12"/>
        </w:rPr>
        <w:t xml:space="preserve"> </w:t>
      </w:r>
      <w:r>
        <w:rPr>
          <w:rFonts w:ascii="Calibri" w:hAnsi="Calibri"/>
          <w:color w:val="001F60"/>
        </w:rPr>
        <w:t>de</w:t>
      </w:r>
      <w:r>
        <w:rPr>
          <w:rFonts w:ascii="Calibri" w:hAnsi="Calibri"/>
          <w:color w:val="001F60"/>
          <w:spacing w:val="-13"/>
        </w:rPr>
        <w:t xml:space="preserve"> </w:t>
      </w:r>
      <w:r>
        <w:rPr>
          <w:rFonts w:ascii="Calibri" w:hAnsi="Calibri"/>
          <w:color w:val="001F60"/>
        </w:rPr>
        <w:t>2022, contratou</w:t>
      </w:r>
      <w:r>
        <w:rPr>
          <w:rFonts w:ascii="Calibri" w:hAnsi="Calibri"/>
          <w:color w:val="001F60"/>
          <w:spacing w:val="-4"/>
        </w:rPr>
        <w:t xml:space="preserve"> </w:t>
      </w:r>
      <w:r>
        <w:rPr>
          <w:rFonts w:ascii="Calibri" w:hAnsi="Calibri"/>
          <w:color w:val="001F60"/>
        </w:rPr>
        <w:t>pelo período</w:t>
      </w:r>
      <w:r>
        <w:rPr>
          <w:rFonts w:ascii="Calibri" w:hAnsi="Calibri"/>
          <w:color w:val="001F60"/>
          <w:spacing w:val="-2"/>
        </w:rPr>
        <w:t xml:space="preserve"> </w:t>
      </w:r>
      <w:r>
        <w:rPr>
          <w:rFonts w:ascii="Calibri" w:hAnsi="Calibri"/>
          <w:color w:val="001F60"/>
        </w:rPr>
        <w:t>de</w:t>
      </w:r>
      <w:r>
        <w:rPr>
          <w:rFonts w:ascii="Calibri" w:hAnsi="Calibri"/>
          <w:color w:val="001F60"/>
          <w:spacing w:val="-2"/>
        </w:rPr>
        <w:t xml:space="preserve"> </w:t>
      </w:r>
      <w:r>
        <w:rPr>
          <w:rFonts w:ascii="Calibri" w:hAnsi="Calibri"/>
          <w:color w:val="001F60"/>
        </w:rPr>
        <w:t>três</w:t>
      </w:r>
      <w:r>
        <w:rPr>
          <w:rFonts w:ascii="Calibri" w:hAnsi="Calibri"/>
          <w:color w:val="001F60"/>
          <w:spacing w:val="-4"/>
        </w:rPr>
        <w:t xml:space="preserve"> </w:t>
      </w:r>
      <w:r>
        <w:rPr>
          <w:rFonts w:ascii="Calibri" w:hAnsi="Calibri"/>
          <w:color w:val="001F60"/>
        </w:rPr>
        <w:t>anos</w:t>
      </w:r>
      <w:r>
        <w:rPr>
          <w:rFonts w:ascii="Calibri" w:hAnsi="Calibri"/>
          <w:color w:val="001F60"/>
          <w:spacing w:val="-2"/>
        </w:rPr>
        <w:t xml:space="preserve"> </w:t>
      </w:r>
      <w:r>
        <w:rPr>
          <w:rFonts w:ascii="Calibri" w:hAnsi="Calibri"/>
          <w:color w:val="001F60"/>
        </w:rPr>
        <w:t>a</w:t>
      </w:r>
      <w:r>
        <w:rPr>
          <w:rFonts w:ascii="Calibri" w:hAnsi="Calibri"/>
          <w:color w:val="001F60"/>
          <w:spacing w:val="-4"/>
        </w:rPr>
        <w:t xml:space="preserve"> </w:t>
      </w:r>
      <w:r>
        <w:rPr>
          <w:rFonts w:ascii="Calibri" w:hAnsi="Calibri"/>
          <w:color w:val="001F60"/>
        </w:rPr>
        <w:t>empresa</w:t>
      </w:r>
      <w:r>
        <w:rPr>
          <w:rFonts w:ascii="Calibri" w:hAnsi="Calibri"/>
          <w:color w:val="001F60"/>
          <w:spacing w:val="-1"/>
        </w:rPr>
        <w:t xml:space="preserve"> </w:t>
      </w:r>
      <w:r>
        <w:rPr>
          <w:rFonts w:ascii="Arial" w:hAnsi="Arial"/>
          <w:i/>
          <w:color w:val="001F60"/>
        </w:rPr>
        <w:t>Consult</w:t>
      </w:r>
      <w:r>
        <w:rPr>
          <w:rFonts w:ascii="Arial" w:hAnsi="Arial"/>
          <w:i/>
          <w:color w:val="001F60"/>
          <w:spacing w:val="-12"/>
        </w:rPr>
        <w:t xml:space="preserve"> </w:t>
      </w:r>
      <w:r>
        <w:rPr>
          <w:rFonts w:ascii="Calibri" w:hAnsi="Calibri"/>
          <w:color w:val="001F60"/>
        </w:rPr>
        <w:t>–</w:t>
      </w:r>
      <w:r>
        <w:rPr>
          <w:rFonts w:ascii="Calibri" w:hAnsi="Calibri"/>
          <w:color w:val="001F60"/>
          <w:spacing w:val="-4"/>
        </w:rPr>
        <w:t xml:space="preserve"> </w:t>
      </w:r>
      <w:r>
        <w:rPr>
          <w:rFonts w:ascii="Calibri" w:hAnsi="Calibri"/>
          <w:color w:val="001F60"/>
        </w:rPr>
        <w:t>Auditores</w:t>
      </w:r>
      <w:r>
        <w:rPr>
          <w:rFonts w:ascii="Calibri" w:hAnsi="Calibri"/>
          <w:color w:val="001F60"/>
          <w:spacing w:val="-2"/>
        </w:rPr>
        <w:t xml:space="preserve"> </w:t>
      </w:r>
      <w:r>
        <w:rPr>
          <w:rFonts w:ascii="Calibri" w:hAnsi="Calibri"/>
          <w:color w:val="001F60"/>
        </w:rPr>
        <w:t>Independentes,</w:t>
      </w:r>
      <w:r>
        <w:rPr>
          <w:rFonts w:ascii="Calibri" w:hAnsi="Calibri"/>
          <w:color w:val="001F60"/>
          <w:spacing w:val="-2"/>
        </w:rPr>
        <w:t xml:space="preserve"> </w:t>
      </w:r>
      <w:r>
        <w:rPr>
          <w:rFonts w:ascii="Calibri" w:hAnsi="Calibri"/>
          <w:color w:val="001F60"/>
        </w:rPr>
        <w:t>para</w:t>
      </w:r>
      <w:r>
        <w:rPr>
          <w:rFonts w:ascii="Calibri" w:hAnsi="Calibri"/>
          <w:color w:val="001F60"/>
          <w:spacing w:val="-4"/>
        </w:rPr>
        <w:t xml:space="preserve"> </w:t>
      </w:r>
      <w:r>
        <w:rPr>
          <w:rFonts w:ascii="Calibri" w:hAnsi="Calibri"/>
          <w:color w:val="001F60"/>
        </w:rPr>
        <w:t>a</w:t>
      </w:r>
      <w:r>
        <w:rPr>
          <w:rFonts w:ascii="Calibri" w:hAnsi="Calibri"/>
          <w:color w:val="001F60"/>
          <w:spacing w:val="-4"/>
        </w:rPr>
        <w:t xml:space="preserve"> </w:t>
      </w:r>
      <w:r>
        <w:rPr>
          <w:rFonts w:ascii="Calibri" w:hAnsi="Calibri"/>
          <w:color w:val="001F60"/>
        </w:rPr>
        <w:t>prestação de</w:t>
      </w:r>
      <w:r>
        <w:rPr>
          <w:rFonts w:ascii="Calibri" w:hAnsi="Calibri"/>
          <w:color w:val="001F60"/>
          <w:spacing w:val="-1"/>
        </w:rPr>
        <w:t xml:space="preserve"> </w:t>
      </w:r>
      <w:r>
        <w:rPr>
          <w:rFonts w:ascii="Calibri" w:hAnsi="Calibri"/>
          <w:color w:val="001F60"/>
        </w:rPr>
        <w:t>serviços</w:t>
      </w:r>
      <w:r>
        <w:rPr>
          <w:rFonts w:ascii="Calibri" w:hAnsi="Calibri"/>
          <w:color w:val="001F60"/>
          <w:spacing w:val="-4"/>
        </w:rPr>
        <w:t xml:space="preserve"> </w:t>
      </w:r>
      <w:r>
        <w:rPr>
          <w:rFonts w:ascii="Calibri" w:hAnsi="Calibri"/>
          <w:color w:val="001F60"/>
        </w:rPr>
        <w:t>de</w:t>
      </w:r>
      <w:r>
        <w:rPr>
          <w:rFonts w:ascii="Calibri" w:hAnsi="Calibri"/>
          <w:color w:val="001F60"/>
          <w:spacing w:val="-1"/>
        </w:rPr>
        <w:t xml:space="preserve"> </w:t>
      </w:r>
      <w:r>
        <w:rPr>
          <w:rFonts w:ascii="Calibri" w:hAnsi="Calibri"/>
          <w:color w:val="001F60"/>
        </w:rPr>
        <w:t>auditoria</w:t>
      </w:r>
      <w:r>
        <w:rPr>
          <w:rFonts w:ascii="Calibri" w:hAnsi="Calibri"/>
          <w:color w:val="001F60"/>
          <w:spacing w:val="-1"/>
        </w:rPr>
        <w:t xml:space="preserve"> </w:t>
      </w:r>
      <w:r>
        <w:rPr>
          <w:rFonts w:ascii="Calibri" w:hAnsi="Calibri"/>
          <w:color w:val="001F60"/>
        </w:rPr>
        <w:t>independente</w:t>
      </w:r>
      <w:r>
        <w:rPr>
          <w:rFonts w:ascii="Calibri" w:hAnsi="Calibri"/>
          <w:color w:val="001F60"/>
          <w:spacing w:val="-1"/>
        </w:rPr>
        <w:t xml:space="preserve"> </w:t>
      </w:r>
      <w:r>
        <w:rPr>
          <w:rFonts w:ascii="Calibri" w:hAnsi="Calibri"/>
          <w:color w:val="001F60"/>
        </w:rPr>
        <w:t>das</w:t>
      </w:r>
      <w:r>
        <w:rPr>
          <w:rFonts w:ascii="Calibri" w:hAnsi="Calibri"/>
          <w:color w:val="001F60"/>
          <w:spacing w:val="-1"/>
        </w:rPr>
        <w:t xml:space="preserve"> </w:t>
      </w:r>
      <w:r>
        <w:rPr>
          <w:rFonts w:ascii="Calibri" w:hAnsi="Calibri"/>
          <w:color w:val="001F60"/>
        </w:rPr>
        <w:t>demonstrações</w:t>
      </w:r>
      <w:r>
        <w:rPr>
          <w:rFonts w:ascii="Calibri" w:hAnsi="Calibri"/>
          <w:color w:val="001F60"/>
          <w:spacing w:val="-1"/>
        </w:rPr>
        <w:t xml:space="preserve"> </w:t>
      </w:r>
      <w:r>
        <w:rPr>
          <w:rFonts w:ascii="Calibri" w:hAnsi="Calibri"/>
          <w:color w:val="001F60"/>
        </w:rPr>
        <w:t>contábeis,</w:t>
      </w:r>
      <w:r>
        <w:rPr>
          <w:rFonts w:ascii="Calibri" w:hAnsi="Calibri"/>
          <w:color w:val="001F60"/>
          <w:spacing w:val="-5"/>
        </w:rPr>
        <w:t xml:space="preserve"> </w:t>
      </w:r>
      <w:r>
        <w:rPr>
          <w:rFonts w:ascii="Calibri" w:hAnsi="Calibri"/>
          <w:color w:val="001F60"/>
        </w:rPr>
        <w:t>ora</w:t>
      </w:r>
      <w:r>
        <w:rPr>
          <w:rFonts w:ascii="Calibri" w:hAnsi="Calibri"/>
          <w:color w:val="001F60"/>
          <w:spacing w:val="-1"/>
        </w:rPr>
        <w:t xml:space="preserve"> </w:t>
      </w:r>
      <w:r>
        <w:rPr>
          <w:rFonts w:ascii="Calibri" w:hAnsi="Calibri"/>
          <w:color w:val="001F60"/>
        </w:rPr>
        <w:t>apresentada</w:t>
      </w:r>
      <w:r>
        <w:rPr>
          <w:rFonts w:ascii="Calibri" w:hAnsi="Calibri"/>
          <w:color w:val="001F60"/>
          <w:spacing w:val="-1"/>
        </w:rPr>
        <w:t xml:space="preserve"> </w:t>
      </w:r>
      <w:r>
        <w:rPr>
          <w:rFonts w:ascii="Calibri" w:hAnsi="Calibri"/>
          <w:color w:val="001F60"/>
        </w:rPr>
        <w:t>ao</w:t>
      </w:r>
      <w:r>
        <w:rPr>
          <w:rFonts w:ascii="Calibri" w:hAnsi="Calibri"/>
          <w:color w:val="001F60"/>
          <w:spacing w:val="-3"/>
        </w:rPr>
        <w:t xml:space="preserve"> </w:t>
      </w:r>
      <w:r>
        <w:rPr>
          <w:rFonts w:ascii="Calibri" w:hAnsi="Calibri"/>
          <w:color w:val="001F60"/>
        </w:rPr>
        <w:t>mercado.</w:t>
      </w:r>
      <w:r>
        <w:rPr>
          <w:rFonts w:ascii="Calibri" w:hAnsi="Calibri"/>
          <w:color w:val="001F60"/>
          <w:spacing w:val="-5"/>
        </w:rPr>
        <w:t xml:space="preserve"> </w:t>
      </w:r>
      <w:r>
        <w:rPr>
          <w:rFonts w:ascii="Calibri" w:hAnsi="Calibri"/>
          <w:color w:val="001F60"/>
        </w:rPr>
        <w:t>O valor</w:t>
      </w:r>
      <w:r>
        <w:rPr>
          <w:rFonts w:ascii="Calibri" w:hAnsi="Calibri"/>
          <w:color w:val="001F60"/>
          <w:spacing w:val="-1"/>
        </w:rPr>
        <w:t xml:space="preserve"> </w:t>
      </w:r>
      <w:r>
        <w:rPr>
          <w:rFonts w:ascii="Calibri" w:hAnsi="Calibri"/>
          <w:color w:val="001F60"/>
        </w:rPr>
        <w:t>total dos honorários contratados para esse serviço, conforme contrato firmado entre as partes, foi de R$ 160,5 mil.</w:t>
      </w:r>
    </w:p>
    <w:p w14:paraId="5EFED200" w14:textId="77777777" w:rsidR="002C6574" w:rsidRDefault="00000000">
      <w:pPr>
        <w:pStyle w:val="Corpodetexto"/>
        <w:spacing w:before="119"/>
        <w:ind w:left="709" w:right="278"/>
        <w:jc w:val="both"/>
        <w:rPr>
          <w:rFonts w:ascii="Calibri" w:hAnsi="Calibri"/>
        </w:rPr>
      </w:pPr>
      <w:r>
        <w:rPr>
          <w:rFonts w:ascii="Calibri" w:hAnsi="Calibri"/>
          <w:color w:val="001F60"/>
        </w:rPr>
        <w:t>No ano</w:t>
      </w:r>
      <w:r>
        <w:rPr>
          <w:rFonts w:ascii="Calibri" w:hAnsi="Calibri"/>
          <w:color w:val="001F60"/>
          <w:spacing w:val="-3"/>
        </w:rPr>
        <w:t xml:space="preserve"> </w:t>
      </w:r>
      <w:r>
        <w:rPr>
          <w:rFonts w:ascii="Calibri" w:hAnsi="Calibri"/>
          <w:color w:val="001F60"/>
        </w:rPr>
        <w:t>de</w:t>
      </w:r>
      <w:r>
        <w:rPr>
          <w:rFonts w:ascii="Calibri" w:hAnsi="Calibri"/>
          <w:color w:val="001F60"/>
          <w:spacing w:val="-1"/>
        </w:rPr>
        <w:t xml:space="preserve"> </w:t>
      </w:r>
      <w:r>
        <w:rPr>
          <w:rFonts w:ascii="Calibri" w:hAnsi="Calibri"/>
          <w:color w:val="001F60"/>
        </w:rPr>
        <w:t>2025,</w:t>
      </w:r>
      <w:r>
        <w:rPr>
          <w:rFonts w:ascii="Calibri" w:hAnsi="Calibri"/>
          <w:color w:val="001F60"/>
          <w:spacing w:val="-5"/>
        </w:rPr>
        <w:t xml:space="preserve"> </w:t>
      </w:r>
      <w:r>
        <w:rPr>
          <w:rFonts w:ascii="Calibri" w:hAnsi="Calibri"/>
          <w:color w:val="001F60"/>
        </w:rPr>
        <w:t>o contrato com a</w:t>
      </w:r>
      <w:r>
        <w:rPr>
          <w:rFonts w:ascii="Calibri" w:hAnsi="Calibri"/>
          <w:color w:val="001F60"/>
          <w:spacing w:val="-2"/>
        </w:rPr>
        <w:t xml:space="preserve"> </w:t>
      </w:r>
      <w:r>
        <w:rPr>
          <w:rFonts w:ascii="Arial" w:hAnsi="Arial"/>
          <w:i/>
          <w:color w:val="001F60"/>
        </w:rPr>
        <w:t>Consult</w:t>
      </w:r>
      <w:r>
        <w:rPr>
          <w:rFonts w:ascii="Arial" w:hAnsi="Arial"/>
          <w:i/>
          <w:color w:val="001F60"/>
          <w:spacing w:val="-13"/>
        </w:rPr>
        <w:t xml:space="preserve"> </w:t>
      </w:r>
      <w:r>
        <w:rPr>
          <w:rFonts w:ascii="Calibri" w:hAnsi="Calibri"/>
          <w:color w:val="001F60"/>
        </w:rPr>
        <w:t>foi</w:t>
      </w:r>
      <w:r>
        <w:rPr>
          <w:rFonts w:ascii="Calibri" w:hAnsi="Calibri"/>
          <w:color w:val="001F60"/>
          <w:spacing w:val="-5"/>
        </w:rPr>
        <w:t xml:space="preserve"> </w:t>
      </w:r>
      <w:r>
        <w:rPr>
          <w:rFonts w:ascii="Calibri" w:hAnsi="Calibri"/>
          <w:color w:val="001F60"/>
        </w:rPr>
        <w:t>prorrogado por</w:t>
      </w:r>
      <w:r>
        <w:rPr>
          <w:rFonts w:ascii="Calibri" w:hAnsi="Calibri"/>
          <w:color w:val="001F60"/>
          <w:spacing w:val="-3"/>
        </w:rPr>
        <w:t xml:space="preserve"> </w:t>
      </w:r>
      <w:r>
        <w:rPr>
          <w:rFonts w:ascii="Calibri" w:hAnsi="Calibri"/>
          <w:color w:val="001F60"/>
        </w:rPr>
        <w:t>mais</w:t>
      </w:r>
      <w:r>
        <w:rPr>
          <w:rFonts w:ascii="Calibri" w:hAnsi="Calibri"/>
          <w:color w:val="001F60"/>
          <w:spacing w:val="-3"/>
        </w:rPr>
        <w:t xml:space="preserve"> </w:t>
      </w:r>
      <w:r>
        <w:rPr>
          <w:rFonts w:ascii="Calibri" w:hAnsi="Calibri"/>
          <w:color w:val="001F60"/>
        </w:rPr>
        <w:t>dois</w:t>
      </w:r>
      <w:r>
        <w:rPr>
          <w:rFonts w:ascii="Calibri" w:hAnsi="Calibri"/>
          <w:color w:val="001F60"/>
          <w:spacing w:val="-3"/>
        </w:rPr>
        <w:t xml:space="preserve"> </w:t>
      </w:r>
      <w:r>
        <w:rPr>
          <w:rFonts w:ascii="Calibri" w:hAnsi="Calibri"/>
          <w:color w:val="001F60"/>
        </w:rPr>
        <w:t>anos,</w:t>
      </w:r>
      <w:r>
        <w:rPr>
          <w:rFonts w:ascii="Calibri" w:hAnsi="Calibri"/>
          <w:color w:val="001F60"/>
          <w:spacing w:val="-3"/>
        </w:rPr>
        <w:t xml:space="preserve"> </w:t>
      </w:r>
      <w:r>
        <w:rPr>
          <w:rFonts w:ascii="Calibri" w:hAnsi="Calibri"/>
          <w:color w:val="001F60"/>
        </w:rPr>
        <w:t>com</w:t>
      </w:r>
      <w:r>
        <w:rPr>
          <w:rFonts w:ascii="Calibri" w:hAnsi="Calibri"/>
          <w:color w:val="001F60"/>
          <w:spacing w:val="-1"/>
        </w:rPr>
        <w:t xml:space="preserve"> </w:t>
      </w:r>
      <w:r>
        <w:rPr>
          <w:rFonts w:ascii="Calibri" w:hAnsi="Calibri"/>
          <w:color w:val="001F60"/>
        </w:rPr>
        <w:t>vigência</w:t>
      </w:r>
      <w:r>
        <w:rPr>
          <w:rFonts w:ascii="Calibri" w:hAnsi="Calibri"/>
          <w:color w:val="001F60"/>
          <w:spacing w:val="-1"/>
        </w:rPr>
        <w:t xml:space="preserve"> </w:t>
      </w:r>
      <w:r>
        <w:rPr>
          <w:rFonts w:ascii="Calibri" w:hAnsi="Calibri"/>
          <w:color w:val="001F60"/>
        </w:rPr>
        <w:t>até</w:t>
      </w:r>
      <w:r>
        <w:rPr>
          <w:rFonts w:ascii="Calibri" w:hAnsi="Calibri"/>
          <w:color w:val="001F60"/>
          <w:spacing w:val="-3"/>
        </w:rPr>
        <w:t xml:space="preserve"> </w:t>
      </w:r>
      <w:r>
        <w:rPr>
          <w:rFonts w:ascii="Calibri" w:hAnsi="Calibri"/>
          <w:color w:val="001F60"/>
        </w:rPr>
        <w:t>25 de outubro de 2027. O valor referente à prorrogação foi de R$ 108,7 mil, totalizando R$ 269,2 mil no período contratual.</w:t>
      </w:r>
    </w:p>
    <w:p w14:paraId="70CB343F" w14:textId="77777777" w:rsidR="002C6574" w:rsidRDefault="00000000">
      <w:pPr>
        <w:pStyle w:val="Corpodetexto"/>
        <w:spacing w:before="120"/>
        <w:ind w:left="709" w:right="275"/>
        <w:jc w:val="both"/>
        <w:rPr>
          <w:rFonts w:ascii="Calibri" w:hAnsi="Calibri"/>
        </w:rPr>
      </w:pPr>
      <w:r>
        <w:rPr>
          <w:rFonts w:ascii="Calibri" w:hAnsi="Calibri"/>
          <w:color w:val="001F60"/>
        </w:rPr>
        <w:t>Na contratação dos serviços de auditoria independente, as políticas adotadas pela Companhia fundamentam-se nos princípios que preservam a independência do auditor. Esses princípios consistem, de acordo com</w:t>
      </w:r>
      <w:r>
        <w:rPr>
          <w:rFonts w:ascii="Calibri" w:hAnsi="Calibri"/>
          <w:color w:val="001F60"/>
          <w:spacing w:val="-1"/>
        </w:rPr>
        <w:t xml:space="preserve"> </w:t>
      </w:r>
      <w:r>
        <w:rPr>
          <w:rFonts w:ascii="Calibri" w:hAnsi="Calibri"/>
          <w:color w:val="001F60"/>
        </w:rPr>
        <w:t>os padrões internacionalmente aceitos, em: (a)</w:t>
      </w:r>
      <w:r>
        <w:rPr>
          <w:rFonts w:ascii="Calibri" w:hAnsi="Calibri"/>
          <w:color w:val="001F60"/>
          <w:spacing w:val="-3"/>
        </w:rPr>
        <w:t xml:space="preserve"> </w:t>
      </w:r>
      <w:r>
        <w:rPr>
          <w:rFonts w:ascii="Calibri" w:hAnsi="Calibri"/>
          <w:color w:val="001F60"/>
        </w:rPr>
        <w:t>o auditor não deve auditar o</w:t>
      </w:r>
      <w:r>
        <w:rPr>
          <w:rFonts w:ascii="Calibri" w:hAnsi="Calibri"/>
          <w:color w:val="001F60"/>
          <w:spacing w:val="-8"/>
        </w:rPr>
        <w:t xml:space="preserve"> </w:t>
      </w:r>
      <w:r>
        <w:rPr>
          <w:rFonts w:ascii="Calibri" w:hAnsi="Calibri"/>
          <w:color w:val="001F60"/>
        </w:rPr>
        <w:t>seu</w:t>
      </w:r>
      <w:r>
        <w:rPr>
          <w:rFonts w:ascii="Calibri" w:hAnsi="Calibri"/>
          <w:color w:val="001F60"/>
          <w:spacing w:val="-8"/>
        </w:rPr>
        <w:t xml:space="preserve"> </w:t>
      </w:r>
      <w:r>
        <w:rPr>
          <w:rFonts w:ascii="Calibri" w:hAnsi="Calibri"/>
          <w:color w:val="001F60"/>
        </w:rPr>
        <w:t>próprio</w:t>
      </w:r>
      <w:r>
        <w:rPr>
          <w:rFonts w:ascii="Calibri" w:hAnsi="Calibri"/>
          <w:color w:val="001F60"/>
          <w:spacing w:val="-12"/>
        </w:rPr>
        <w:t xml:space="preserve"> </w:t>
      </w:r>
      <w:r>
        <w:rPr>
          <w:rFonts w:ascii="Calibri" w:hAnsi="Calibri"/>
          <w:color w:val="001F60"/>
        </w:rPr>
        <w:t>trabalho;</w:t>
      </w:r>
      <w:r>
        <w:rPr>
          <w:rFonts w:ascii="Calibri" w:hAnsi="Calibri"/>
          <w:color w:val="001F60"/>
          <w:spacing w:val="-10"/>
        </w:rPr>
        <w:t xml:space="preserve"> </w:t>
      </w:r>
      <w:r>
        <w:rPr>
          <w:rFonts w:ascii="Calibri" w:hAnsi="Calibri"/>
          <w:color w:val="001F60"/>
        </w:rPr>
        <w:t>(b)</w:t>
      </w:r>
      <w:r>
        <w:rPr>
          <w:rFonts w:ascii="Calibri" w:hAnsi="Calibri"/>
          <w:color w:val="001F60"/>
          <w:spacing w:val="-13"/>
        </w:rPr>
        <w:t xml:space="preserve"> </w:t>
      </w:r>
      <w:r>
        <w:rPr>
          <w:rFonts w:ascii="Calibri" w:hAnsi="Calibri"/>
          <w:color w:val="001F60"/>
        </w:rPr>
        <w:t>o</w:t>
      </w:r>
      <w:r>
        <w:rPr>
          <w:rFonts w:ascii="Calibri" w:hAnsi="Calibri"/>
          <w:color w:val="001F60"/>
          <w:spacing w:val="-8"/>
        </w:rPr>
        <w:t xml:space="preserve"> </w:t>
      </w:r>
      <w:r>
        <w:rPr>
          <w:rFonts w:ascii="Calibri" w:hAnsi="Calibri"/>
          <w:color w:val="001F60"/>
        </w:rPr>
        <w:t>auditor</w:t>
      </w:r>
      <w:r>
        <w:rPr>
          <w:rFonts w:ascii="Calibri" w:hAnsi="Calibri"/>
          <w:color w:val="001F60"/>
          <w:spacing w:val="-10"/>
        </w:rPr>
        <w:t xml:space="preserve"> </w:t>
      </w:r>
      <w:r>
        <w:rPr>
          <w:rFonts w:ascii="Calibri" w:hAnsi="Calibri"/>
          <w:color w:val="001F60"/>
        </w:rPr>
        <w:t>não</w:t>
      </w:r>
      <w:r>
        <w:rPr>
          <w:rFonts w:ascii="Calibri" w:hAnsi="Calibri"/>
          <w:color w:val="001F60"/>
          <w:spacing w:val="-10"/>
        </w:rPr>
        <w:t xml:space="preserve"> </w:t>
      </w:r>
      <w:r>
        <w:rPr>
          <w:rFonts w:ascii="Calibri" w:hAnsi="Calibri"/>
          <w:color w:val="001F60"/>
        </w:rPr>
        <w:t>deve</w:t>
      </w:r>
      <w:r>
        <w:rPr>
          <w:rFonts w:ascii="Calibri" w:hAnsi="Calibri"/>
          <w:color w:val="001F60"/>
          <w:spacing w:val="-10"/>
        </w:rPr>
        <w:t xml:space="preserve"> </w:t>
      </w:r>
      <w:r>
        <w:rPr>
          <w:rFonts w:ascii="Calibri" w:hAnsi="Calibri"/>
          <w:color w:val="001F60"/>
        </w:rPr>
        <w:t>exercer</w:t>
      </w:r>
      <w:r>
        <w:rPr>
          <w:rFonts w:ascii="Calibri" w:hAnsi="Calibri"/>
          <w:color w:val="001F60"/>
          <w:spacing w:val="-10"/>
        </w:rPr>
        <w:t xml:space="preserve"> </w:t>
      </w:r>
      <w:r>
        <w:rPr>
          <w:rFonts w:ascii="Calibri" w:hAnsi="Calibri"/>
          <w:color w:val="001F60"/>
        </w:rPr>
        <w:t>função</w:t>
      </w:r>
      <w:r>
        <w:rPr>
          <w:rFonts w:ascii="Calibri" w:hAnsi="Calibri"/>
          <w:color w:val="001F60"/>
          <w:spacing w:val="-8"/>
        </w:rPr>
        <w:t xml:space="preserve"> </w:t>
      </w:r>
      <w:r>
        <w:rPr>
          <w:rFonts w:ascii="Calibri" w:hAnsi="Calibri"/>
          <w:color w:val="001F60"/>
        </w:rPr>
        <w:t>de</w:t>
      </w:r>
      <w:r>
        <w:rPr>
          <w:rFonts w:ascii="Calibri" w:hAnsi="Calibri"/>
          <w:color w:val="001F60"/>
          <w:spacing w:val="-8"/>
        </w:rPr>
        <w:t xml:space="preserve"> </w:t>
      </w:r>
      <w:r>
        <w:rPr>
          <w:rFonts w:ascii="Calibri" w:hAnsi="Calibri"/>
          <w:color w:val="001F60"/>
        </w:rPr>
        <w:t>gerência</w:t>
      </w:r>
      <w:r>
        <w:rPr>
          <w:rFonts w:ascii="Calibri" w:hAnsi="Calibri"/>
          <w:color w:val="001F60"/>
          <w:spacing w:val="-10"/>
        </w:rPr>
        <w:t xml:space="preserve"> </w:t>
      </w:r>
      <w:r>
        <w:rPr>
          <w:rFonts w:ascii="Calibri" w:hAnsi="Calibri"/>
          <w:color w:val="001F60"/>
        </w:rPr>
        <w:t>no</w:t>
      </w:r>
      <w:r>
        <w:rPr>
          <w:rFonts w:ascii="Calibri" w:hAnsi="Calibri"/>
          <w:color w:val="001F60"/>
          <w:spacing w:val="-10"/>
        </w:rPr>
        <w:t xml:space="preserve"> </w:t>
      </w:r>
      <w:r>
        <w:rPr>
          <w:rFonts w:ascii="Calibri" w:hAnsi="Calibri"/>
          <w:color w:val="001F60"/>
        </w:rPr>
        <w:t>seu</w:t>
      </w:r>
      <w:r>
        <w:rPr>
          <w:rFonts w:ascii="Calibri" w:hAnsi="Calibri"/>
          <w:color w:val="001F60"/>
          <w:spacing w:val="-11"/>
        </w:rPr>
        <w:t xml:space="preserve"> </w:t>
      </w:r>
      <w:r>
        <w:rPr>
          <w:rFonts w:ascii="Calibri" w:hAnsi="Calibri"/>
          <w:color w:val="001F60"/>
        </w:rPr>
        <w:t>cliente;</w:t>
      </w:r>
      <w:r>
        <w:rPr>
          <w:rFonts w:ascii="Calibri" w:hAnsi="Calibri"/>
          <w:color w:val="001F60"/>
          <w:spacing w:val="-10"/>
        </w:rPr>
        <w:t xml:space="preserve"> </w:t>
      </w:r>
      <w:r>
        <w:rPr>
          <w:rFonts w:ascii="Calibri" w:hAnsi="Calibri"/>
          <w:color w:val="001F60"/>
        </w:rPr>
        <w:t>e</w:t>
      </w:r>
      <w:r>
        <w:rPr>
          <w:rFonts w:ascii="Calibri" w:hAnsi="Calibri"/>
          <w:color w:val="001F60"/>
          <w:spacing w:val="-12"/>
        </w:rPr>
        <w:t xml:space="preserve"> </w:t>
      </w:r>
      <w:r>
        <w:rPr>
          <w:rFonts w:ascii="Calibri" w:hAnsi="Calibri"/>
          <w:color w:val="001F60"/>
        </w:rPr>
        <w:t>(c)</w:t>
      </w:r>
      <w:r>
        <w:rPr>
          <w:rFonts w:ascii="Calibri" w:hAnsi="Calibri"/>
          <w:color w:val="001F60"/>
          <w:spacing w:val="-12"/>
        </w:rPr>
        <w:t xml:space="preserve"> </w:t>
      </w:r>
      <w:r>
        <w:rPr>
          <w:rFonts w:ascii="Calibri" w:hAnsi="Calibri"/>
          <w:color w:val="001F60"/>
        </w:rPr>
        <w:t>o</w:t>
      </w:r>
      <w:r>
        <w:rPr>
          <w:rFonts w:ascii="Calibri" w:hAnsi="Calibri"/>
          <w:color w:val="001F60"/>
          <w:spacing w:val="-10"/>
        </w:rPr>
        <w:t xml:space="preserve"> </w:t>
      </w:r>
      <w:r>
        <w:rPr>
          <w:rFonts w:ascii="Calibri" w:hAnsi="Calibri"/>
          <w:color w:val="001F60"/>
        </w:rPr>
        <w:t>auditor não deve representar legalmente os interesses de seus clientes.</w:t>
      </w:r>
    </w:p>
    <w:p w14:paraId="3EA04475" w14:textId="77777777" w:rsidR="002C6574" w:rsidRDefault="00000000">
      <w:pPr>
        <w:pStyle w:val="Corpodetexto"/>
        <w:spacing w:before="119"/>
        <w:ind w:left="709" w:right="277"/>
        <w:jc w:val="both"/>
        <w:rPr>
          <w:rFonts w:ascii="Calibri" w:hAnsi="Calibri"/>
        </w:rPr>
      </w:pPr>
      <w:r>
        <w:rPr>
          <w:rFonts w:ascii="Calibri" w:hAnsi="Calibri"/>
          <w:color w:val="001F60"/>
        </w:rPr>
        <w:t xml:space="preserve">A </w:t>
      </w:r>
      <w:r>
        <w:rPr>
          <w:rFonts w:ascii="Arial" w:hAnsi="Arial"/>
          <w:i/>
          <w:color w:val="001F60"/>
        </w:rPr>
        <w:t xml:space="preserve">Consult </w:t>
      </w:r>
      <w:r>
        <w:rPr>
          <w:rFonts w:ascii="Calibri" w:hAnsi="Calibri"/>
          <w:color w:val="001F60"/>
        </w:rPr>
        <w:t>– Auditores Independentes declarou que a prestação dos serviços foi feita em estrita observância das normas contábeis que tratam da independência dos auditores independentes em trabalhos de auditoria e não representaram situação que poderia afetar a independência e a objetividade ao desempenho de seus serviços de auditoria externa.</w:t>
      </w:r>
    </w:p>
    <w:p w14:paraId="256F01D1" w14:textId="77777777" w:rsidR="002C6574" w:rsidRDefault="002C6574">
      <w:pPr>
        <w:pStyle w:val="Corpodetexto"/>
        <w:jc w:val="both"/>
        <w:rPr>
          <w:rFonts w:ascii="Calibri" w:hAnsi="Calibri"/>
        </w:rPr>
        <w:sectPr w:rsidR="002C6574">
          <w:pgSz w:w="11910" w:h="16840"/>
          <w:pgMar w:top="1420" w:right="850" w:bottom="1060" w:left="992" w:header="619" w:footer="863" w:gutter="0"/>
          <w:cols w:space="720"/>
        </w:sectPr>
      </w:pPr>
    </w:p>
    <w:p w14:paraId="2EA56314" w14:textId="77777777" w:rsidR="002C6574" w:rsidRDefault="002C6574">
      <w:pPr>
        <w:pStyle w:val="Corpodetexto"/>
        <w:rPr>
          <w:rFonts w:ascii="Calibri"/>
          <w:sz w:val="24"/>
        </w:rPr>
      </w:pPr>
    </w:p>
    <w:p w14:paraId="19D6B9EE" w14:textId="77777777" w:rsidR="002C6574" w:rsidRDefault="002C6574">
      <w:pPr>
        <w:pStyle w:val="Corpodetexto"/>
        <w:spacing w:before="68"/>
        <w:rPr>
          <w:rFonts w:ascii="Calibri"/>
          <w:sz w:val="24"/>
        </w:rPr>
      </w:pPr>
    </w:p>
    <w:p w14:paraId="5DA793C2" w14:textId="77777777" w:rsidR="002C6574" w:rsidRDefault="00000000">
      <w:pPr>
        <w:pStyle w:val="Ttulo8"/>
        <w:numPr>
          <w:ilvl w:val="0"/>
          <w:numId w:val="74"/>
        </w:numPr>
        <w:tabs>
          <w:tab w:val="left" w:pos="1275"/>
        </w:tabs>
        <w:spacing w:before="1"/>
        <w:ind w:left="1275" w:hanging="566"/>
      </w:pPr>
      <w:r>
        <w:rPr>
          <w:color w:val="001F60"/>
        </w:rPr>
        <w:t>Declaração</w:t>
      </w:r>
      <w:r>
        <w:rPr>
          <w:color w:val="001F60"/>
          <w:spacing w:val="-9"/>
        </w:rPr>
        <w:t xml:space="preserve"> </w:t>
      </w:r>
      <w:r>
        <w:rPr>
          <w:color w:val="001F60"/>
        </w:rPr>
        <w:t>dos</w:t>
      </w:r>
      <w:r>
        <w:rPr>
          <w:color w:val="001F60"/>
          <w:spacing w:val="-8"/>
        </w:rPr>
        <w:t xml:space="preserve"> </w:t>
      </w:r>
      <w:r>
        <w:rPr>
          <w:color w:val="001F60"/>
        </w:rPr>
        <w:t>Diretores</w:t>
      </w:r>
      <w:r>
        <w:rPr>
          <w:color w:val="001F60"/>
          <w:spacing w:val="-8"/>
        </w:rPr>
        <w:t xml:space="preserve"> </w:t>
      </w:r>
      <w:r>
        <w:rPr>
          <w:color w:val="001F60"/>
        </w:rPr>
        <w:t>sobre</w:t>
      </w:r>
      <w:r>
        <w:rPr>
          <w:color w:val="001F60"/>
          <w:spacing w:val="-8"/>
        </w:rPr>
        <w:t xml:space="preserve"> </w:t>
      </w:r>
      <w:r>
        <w:rPr>
          <w:color w:val="001F60"/>
        </w:rPr>
        <w:t>os</w:t>
      </w:r>
      <w:r>
        <w:rPr>
          <w:color w:val="001F60"/>
          <w:spacing w:val="-10"/>
        </w:rPr>
        <w:t xml:space="preserve"> </w:t>
      </w:r>
      <w:r>
        <w:rPr>
          <w:color w:val="001F60"/>
        </w:rPr>
        <w:t>Relatórios</w:t>
      </w:r>
      <w:r>
        <w:rPr>
          <w:color w:val="001F60"/>
          <w:spacing w:val="-11"/>
        </w:rPr>
        <w:t xml:space="preserve"> </w:t>
      </w:r>
      <w:r>
        <w:rPr>
          <w:color w:val="001F60"/>
        </w:rPr>
        <w:t>de</w:t>
      </w:r>
      <w:r>
        <w:rPr>
          <w:color w:val="001F60"/>
          <w:spacing w:val="-10"/>
        </w:rPr>
        <w:t xml:space="preserve"> </w:t>
      </w:r>
      <w:r>
        <w:rPr>
          <w:color w:val="001F60"/>
        </w:rPr>
        <w:t>Auditoria</w:t>
      </w:r>
      <w:r>
        <w:rPr>
          <w:color w:val="001F60"/>
          <w:spacing w:val="-6"/>
        </w:rPr>
        <w:t xml:space="preserve"> </w:t>
      </w:r>
      <w:r>
        <w:rPr>
          <w:color w:val="001F60"/>
        </w:rPr>
        <w:t>e</w:t>
      </w:r>
      <w:r>
        <w:rPr>
          <w:color w:val="001F60"/>
          <w:spacing w:val="-8"/>
        </w:rPr>
        <w:t xml:space="preserve"> </w:t>
      </w:r>
      <w:r>
        <w:rPr>
          <w:color w:val="001F60"/>
        </w:rPr>
        <w:t>Demonstrações</w:t>
      </w:r>
      <w:r>
        <w:rPr>
          <w:color w:val="001F60"/>
          <w:spacing w:val="-8"/>
        </w:rPr>
        <w:t xml:space="preserve"> </w:t>
      </w:r>
      <w:r>
        <w:rPr>
          <w:color w:val="001F60"/>
          <w:spacing w:val="-2"/>
        </w:rPr>
        <w:t>Contábeis</w:t>
      </w:r>
    </w:p>
    <w:p w14:paraId="00DC7171" w14:textId="77777777" w:rsidR="002C6574" w:rsidRDefault="00000000">
      <w:pPr>
        <w:pStyle w:val="Corpodetexto"/>
        <w:spacing w:before="234"/>
        <w:ind w:left="709" w:right="278"/>
        <w:jc w:val="both"/>
        <w:rPr>
          <w:rFonts w:ascii="Calibri" w:hAnsi="Calibri"/>
        </w:rPr>
      </w:pPr>
      <w:r>
        <w:rPr>
          <w:rFonts w:ascii="Calibri" w:hAnsi="Calibri"/>
          <w:color w:val="001F60"/>
        </w:rPr>
        <w:t>Em</w:t>
      </w:r>
      <w:r>
        <w:rPr>
          <w:rFonts w:ascii="Calibri" w:hAnsi="Calibri"/>
          <w:color w:val="001F60"/>
          <w:spacing w:val="-3"/>
        </w:rPr>
        <w:t xml:space="preserve"> </w:t>
      </w:r>
      <w:r>
        <w:rPr>
          <w:rFonts w:ascii="Calibri" w:hAnsi="Calibri"/>
          <w:color w:val="001F60"/>
        </w:rPr>
        <w:t>atendimento</w:t>
      </w:r>
      <w:r>
        <w:rPr>
          <w:rFonts w:ascii="Calibri" w:hAnsi="Calibri"/>
          <w:color w:val="001F60"/>
          <w:spacing w:val="-1"/>
        </w:rPr>
        <w:t xml:space="preserve"> </w:t>
      </w:r>
      <w:r>
        <w:rPr>
          <w:rFonts w:ascii="Calibri" w:hAnsi="Calibri"/>
          <w:color w:val="001F60"/>
        </w:rPr>
        <w:t>ao</w:t>
      </w:r>
      <w:r>
        <w:rPr>
          <w:rFonts w:ascii="Calibri" w:hAnsi="Calibri"/>
          <w:color w:val="001F60"/>
          <w:spacing w:val="-3"/>
        </w:rPr>
        <w:t xml:space="preserve"> </w:t>
      </w:r>
      <w:r>
        <w:rPr>
          <w:rFonts w:ascii="Calibri" w:hAnsi="Calibri"/>
          <w:color w:val="001F60"/>
        </w:rPr>
        <w:t>disposto</w:t>
      </w:r>
      <w:r>
        <w:rPr>
          <w:rFonts w:ascii="Calibri" w:hAnsi="Calibri"/>
          <w:color w:val="001F60"/>
          <w:spacing w:val="-1"/>
        </w:rPr>
        <w:t xml:space="preserve"> </w:t>
      </w:r>
      <w:r>
        <w:rPr>
          <w:rFonts w:ascii="Calibri" w:hAnsi="Calibri"/>
          <w:color w:val="001F60"/>
        </w:rPr>
        <w:t>no</w:t>
      </w:r>
      <w:r>
        <w:rPr>
          <w:rFonts w:ascii="Calibri" w:hAnsi="Calibri"/>
          <w:color w:val="001F60"/>
          <w:spacing w:val="-1"/>
        </w:rPr>
        <w:t xml:space="preserve"> </w:t>
      </w:r>
      <w:r>
        <w:rPr>
          <w:rFonts w:ascii="Calibri" w:hAnsi="Calibri"/>
          <w:color w:val="001F60"/>
        </w:rPr>
        <w:t>art.</w:t>
      </w:r>
      <w:r>
        <w:rPr>
          <w:rFonts w:ascii="Calibri" w:hAnsi="Calibri"/>
          <w:color w:val="001F60"/>
          <w:spacing w:val="-5"/>
        </w:rPr>
        <w:t xml:space="preserve"> </w:t>
      </w:r>
      <w:r>
        <w:rPr>
          <w:rFonts w:ascii="Calibri" w:hAnsi="Calibri"/>
          <w:color w:val="001F60"/>
        </w:rPr>
        <w:t>27,</w:t>
      </w:r>
      <w:r>
        <w:rPr>
          <w:rFonts w:ascii="Calibri" w:hAnsi="Calibri"/>
          <w:color w:val="001F60"/>
          <w:spacing w:val="-3"/>
        </w:rPr>
        <w:t xml:space="preserve"> </w:t>
      </w:r>
      <w:r>
        <w:rPr>
          <w:rFonts w:ascii="Calibri" w:hAnsi="Calibri"/>
          <w:color w:val="001F60"/>
        </w:rPr>
        <w:t>parágrafo</w:t>
      </w:r>
      <w:r>
        <w:rPr>
          <w:rFonts w:ascii="Calibri" w:hAnsi="Calibri"/>
          <w:color w:val="001F60"/>
          <w:spacing w:val="-3"/>
        </w:rPr>
        <w:t xml:space="preserve"> </w:t>
      </w:r>
      <w:r>
        <w:rPr>
          <w:rFonts w:ascii="Calibri" w:hAnsi="Calibri"/>
          <w:color w:val="001F60"/>
        </w:rPr>
        <w:t>1º,</w:t>
      </w:r>
      <w:r>
        <w:rPr>
          <w:rFonts w:ascii="Calibri" w:hAnsi="Calibri"/>
          <w:color w:val="001F60"/>
          <w:spacing w:val="-5"/>
        </w:rPr>
        <w:t xml:space="preserve"> </w:t>
      </w:r>
      <w:r>
        <w:rPr>
          <w:rFonts w:ascii="Calibri" w:hAnsi="Calibri"/>
          <w:color w:val="001F60"/>
        </w:rPr>
        <w:t>incisos</w:t>
      </w:r>
      <w:r>
        <w:rPr>
          <w:rFonts w:ascii="Calibri" w:hAnsi="Calibri"/>
          <w:color w:val="001F60"/>
          <w:spacing w:val="-4"/>
        </w:rPr>
        <w:t xml:space="preserve"> </w:t>
      </w:r>
      <w:r>
        <w:rPr>
          <w:rFonts w:ascii="Calibri" w:hAnsi="Calibri"/>
          <w:color w:val="001F60"/>
        </w:rPr>
        <w:t>V</w:t>
      </w:r>
      <w:r>
        <w:rPr>
          <w:rFonts w:ascii="Calibri" w:hAnsi="Calibri"/>
          <w:color w:val="001F60"/>
          <w:spacing w:val="-3"/>
        </w:rPr>
        <w:t xml:space="preserve"> </w:t>
      </w:r>
      <w:r>
        <w:rPr>
          <w:rFonts w:ascii="Calibri" w:hAnsi="Calibri"/>
          <w:color w:val="001F60"/>
        </w:rPr>
        <w:t>e</w:t>
      </w:r>
      <w:r>
        <w:rPr>
          <w:rFonts w:ascii="Calibri" w:hAnsi="Calibri"/>
          <w:color w:val="001F60"/>
          <w:spacing w:val="-1"/>
        </w:rPr>
        <w:t xml:space="preserve"> </w:t>
      </w:r>
      <w:r>
        <w:rPr>
          <w:rFonts w:ascii="Calibri" w:hAnsi="Calibri"/>
          <w:color w:val="001F60"/>
        </w:rPr>
        <w:t>VI,</w:t>
      </w:r>
      <w:r>
        <w:rPr>
          <w:rFonts w:ascii="Calibri" w:hAnsi="Calibri"/>
          <w:color w:val="001F60"/>
          <w:spacing w:val="-3"/>
        </w:rPr>
        <w:t xml:space="preserve"> </w:t>
      </w:r>
      <w:r>
        <w:rPr>
          <w:rFonts w:ascii="Calibri" w:hAnsi="Calibri"/>
          <w:color w:val="001F60"/>
        </w:rPr>
        <w:t>da</w:t>
      </w:r>
      <w:r>
        <w:rPr>
          <w:rFonts w:ascii="Calibri" w:hAnsi="Calibri"/>
          <w:color w:val="001F60"/>
          <w:spacing w:val="-1"/>
        </w:rPr>
        <w:t xml:space="preserve"> </w:t>
      </w:r>
      <w:r>
        <w:rPr>
          <w:rFonts w:ascii="Calibri" w:hAnsi="Calibri"/>
          <w:color w:val="001F60"/>
        </w:rPr>
        <w:t>Instrução</w:t>
      </w:r>
      <w:r>
        <w:rPr>
          <w:rFonts w:ascii="Calibri" w:hAnsi="Calibri"/>
          <w:color w:val="001F60"/>
          <w:spacing w:val="-4"/>
        </w:rPr>
        <w:t xml:space="preserve"> </w:t>
      </w:r>
      <w:r>
        <w:rPr>
          <w:rFonts w:ascii="Calibri" w:hAnsi="Calibri"/>
          <w:color w:val="001F60"/>
        </w:rPr>
        <w:t>CVM nº</w:t>
      </w:r>
      <w:r>
        <w:rPr>
          <w:rFonts w:ascii="Calibri" w:hAnsi="Calibri"/>
          <w:color w:val="001F60"/>
          <w:spacing w:val="-5"/>
        </w:rPr>
        <w:t xml:space="preserve"> </w:t>
      </w:r>
      <w:r>
        <w:rPr>
          <w:rFonts w:ascii="Calibri" w:hAnsi="Calibri"/>
          <w:color w:val="001F60"/>
        </w:rPr>
        <w:t>80,</w:t>
      </w:r>
      <w:r>
        <w:rPr>
          <w:rFonts w:ascii="Calibri" w:hAnsi="Calibri"/>
          <w:color w:val="001F60"/>
          <w:spacing w:val="-6"/>
        </w:rPr>
        <w:t xml:space="preserve"> </w:t>
      </w:r>
      <w:r>
        <w:rPr>
          <w:rFonts w:ascii="Calibri" w:hAnsi="Calibri"/>
          <w:color w:val="001F60"/>
        </w:rPr>
        <w:t>de</w:t>
      </w:r>
      <w:r>
        <w:rPr>
          <w:rFonts w:ascii="Calibri" w:hAnsi="Calibri"/>
          <w:color w:val="001F60"/>
          <w:spacing w:val="-3"/>
        </w:rPr>
        <w:t xml:space="preserve"> </w:t>
      </w:r>
      <w:r>
        <w:rPr>
          <w:rFonts w:ascii="Calibri" w:hAnsi="Calibri"/>
          <w:color w:val="001F60"/>
        </w:rPr>
        <w:t>29 de março de 2022, os Diretores da Telecomunicações Brasileiras S.A. – Telebras, inscrita no CNPJ nº 00.336.701/0001-04, declaram:</w:t>
      </w:r>
    </w:p>
    <w:p w14:paraId="23F8A81C" w14:textId="77777777" w:rsidR="002C6574" w:rsidRDefault="00000000">
      <w:pPr>
        <w:pStyle w:val="PargrafodaLista"/>
        <w:numPr>
          <w:ilvl w:val="0"/>
          <w:numId w:val="56"/>
        </w:numPr>
        <w:tabs>
          <w:tab w:val="left" w:pos="1429"/>
        </w:tabs>
        <w:spacing w:before="118"/>
        <w:ind w:right="276"/>
        <w:jc w:val="both"/>
      </w:pPr>
      <w:r>
        <w:rPr>
          <w:color w:val="001F60"/>
        </w:rPr>
        <w:t>baseados em seus conhecimentos, no relatório apresentado pelos auditores e nas discussões subsequentes</w:t>
      </w:r>
      <w:r>
        <w:rPr>
          <w:color w:val="001F60"/>
          <w:spacing w:val="-1"/>
        </w:rPr>
        <w:t xml:space="preserve"> </w:t>
      </w:r>
      <w:r>
        <w:rPr>
          <w:color w:val="001F60"/>
        </w:rPr>
        <w:t>sobre</w:t>
      </w:r>
      <w:r>
        <w:rPr>
          <w:color w:val="001F60"/>
          <w:spacing w:val="-3"/>
        </w:rPr>
        <w:t xml:space="preserve"> </w:t>
      </w:r>
      <w:r>
        <w:rPr>
          <w:color w:val="001F60"/>
        </w:rPr>
        <w:t>os</w:t>
      </w:r>
      <w:r>
        <w:rPr>
          <w:color w:val="001F60"/>
          <w:spacing w:val="-3"/>
        </w:rPr>
        <w:t xml:space="preserve"> </w:t>
      </w:r>
      <w:r>
        <w:rPr>
          <w:color w:val="001F60"/>
        </w:rPr>
        <w:t>resultados</w:t>
      </w:r>
      <w:r>
        <w:rPr>
          <w:color w:val="001F60"/>
          <w:spacing w:val="-1"/>
        </w:rPr>
        <w:t xml:space="preserve"> </w:t>
      </w:r>
      <w:r>
        <w:rPr>
          <w:color w:val="001F60"/>
        </w:rPr>
        <w:t>de</w:t>
      </w:r>
      <w:r>
        <w:rPr>
          <w:color w:val="001F60"/>
          <w:spacing w:val="-3"/>
        </w:rPr>
        <w:t xml:space="preserve"> </w:t>
      </w:r>
      <w:r>
        <w:rPr>
          <w:color w:val="001F60"/>
        </w:rPr>
        <w:t>auditoria,</w:t>
      </w:r>
      <w:r>
        <w:rPr>
          <w:color w:val="001F60"/>
          <w:spacing w:val="-3"/>
        </w:rPr>
        <w:t xml:space="preserve"> </w:t>
      </w:r>
      <w:r>
        <w:rPr>
          <w:color w:val="001F60"/>
        </w:rPr>
        <w:t>que</w:t>
      </w:r>
      <w:r>
        <w:rPr>
          <w:color w:val="001F60"/>
          <w:spacing w:val="-1"/>
        </w:rPr>
        <w:t xml:space="preserve"> </w:t>
      </w:r>
      <w:r>
        <w:rPr>
          <w:color w:val="001F60"/>
        </w:rPr>
        <w:t>concordam</w:t>
      </w:r>
      <w:r>
        <w:rPr>
          <w:color w:val="001F60"/>
          <w:spacing w:val="-3"/>
        </w:rPr>
        <w:t xml:space="preserve"> </w:t>
      </w:r>
      <w:r>
        <w:rPr>
          <w:color w:val="001F60"/>
        </w:rPr>
        <w:t>com</w:t>
      </w:r>
      <w:r>
        <w:rPr>
          <w:color w:val="001F60"/>
          <w:spacing w:val="-1"/>
        </w:rPr>
        <w:t xml:space="preserve"> </w:t>
      </w:r>
      <w:r>
        <w:rPr>
          <w:color w:val="001F60"/>
        </w:rPr>
        <w:t>as</w:t>
      </w:r>
      <w:r>
        <w:rPr>
          <w:color w:val="001F60"/>
          <w:spacing w:val="-3"/>
        </w:rPr>
        <w:t xml:space="preserve"> </w:t>
      </w:r>
      <w:r>
        <w:rPr>
          <w:color w:val="001F60"/>
        </w:rPr>
        <w:t>opiniões</w:t>
      </w:r>
      <w:r>
        <w:rPr>
          <w:color w:val="001F60"/>
          <w:spacing w:val="-3"/>
        </w:rPr>
        <w:t xml:space="preserve"> </w:t>
      </w:r>
      <w:r>
        <w:rPr>
          <w:color w:val="001F60"/>
        </w:rPr>
        <w:t>expressas</w:t>
      </w:r>
      <w:r>
        <w:rPr>
          <w:color w:val="001F60"/>
          <w:spacing w:val="-4"/>
        </w:rPr>
        <w:t xml:space="preserve"> </w:t>
      </w:r>
      <w:r>
        <w:rPr>
          <w:color w:val="001F60"/>
        </w:rPr>
        <w:t>no relatório elaborado pelos auditores da empresa Consult – Auditores Independentes, emitido em 25 de fevereiro de 2026, não havendo qualquer discordância com relação às Demonstrações</w:t>
      </w:r>
      <w:r>
        <w:rPr>
          <w:color w:val="001F60"/>
          <w:spacing w:val="-12"/>
        </w:rPr>
        <w:t xml:space="preserve"> </w:t>
      </w:r>
      <w:r>
        <w:rPr>
          <w:color w:val="001F60"/>
        </w:rPr>
        <w:t>Contábeis</w:t>
      </w:r>
      <w:r>
        <w:rPr>
          <w:color w:val="001F60"/>
          <w:spacing w:val="-9"/>
        </w:rPr>
        <w:t xml:space="preserve"> </w:t>
      </w:r>
      <w:r>
        <w:rPr>
          <w:color w:val="001F60"/>
        </w:rPr>
        <w:t>relativas</w:t>
      </w:r>
      <w:r>
        <w:rPr>
          <w:color w:val="001F60"/>
          <w:spacing w:val="-9"/>
        </w:rPr>
        <w:t xml:space="preserve"> </w:t>
      </w:r>
      <w:r>
        <w:rPr>
          <w:color w:val="001F60"/>
        </w:rPr>
        <w:t>ao</w:t>
      </w:r>
      <w:r>
        <w:rPr>
          <w:color w:val="001F60"/>
          <w:spacing w:val="-9"/>
        </w:rPr>
        <w:t xml:space="preserve"> </w:t>
      </w:r>
      <w:r>
        <w:rPr>
          <w:color w:val="001F60"/>
        </w:rPr>
        <w:t>exercício</w:t>
      </w:r>
      <w:r>
        <w:rPr>
          <w:color w:val="001F60"/>
          <w:spacing w:val="-11"/>
        </w:rPr>
        <w:t xml:space="preserve"> </w:t>
      </w:r>
      <w:r>
        <w:rPr>
          <w:color w:val="001F60"/>
        </w:rPr>
        <w:t>social</w:t>
      </w:r>
      <w:r>
        <w:rPr>
          <w:color w:val="001F60"/>
          <w:spacing w:val="-13"/>
        </w:rPr>
        <w:t xml:space="preserve"> </w:t>
      </w:r>
      <w:r>
        <w:rPr>
          <w:color w:val="001F60"/>
        </w:rPr>
        <w:t>encerrado</w:t>
      </w:r>
      <w:r>
        <w:rPr>
          <w:color w:val="001F60"/>
          <w:spacing w:val="-9"/>
        </w:rPr>
        <w:t xml:space="preserve"> </w:t>
      </w:r>
      <w:r>
        <w:rPr>
          <w:color w:val="001F60"/>
        </w:rPr>
        <w:t>em</w:t>
      </w:r>
      <w:r>
        <w:rPr>
          <w:color w:val="001F60"/>
          <w:spacing w:val="-11"/>
        </w:rPr>
        <w:t xml:space="preserve"> </w:t>
      </w:r>
      <w:r>
        <w:rPr>
          <w:color w:val="001F60"/>
        </w:rPr>
        <w:t>31</w:t>
      </w:r>
      <w:r>
        <w:rPr>
          <w:color w:val="001F60"/>
          <w:spacing w:val="-9"/>
        </w:rPr>
        <w:t xml:space="preserve"> </w:t>
      </w:r>
      <w:r>
        <w:rPr>
          <w:color w:val="001F60"/>
        </w:rPr>
        <w:t>de</w:t>
      </w:r>
      <w:r>
        <w:rPr>
          <w:color w:val="001F60"/>
          <w:spacing w:val="-13"/>
        </w:rPr>
        <w:t xml:space="preserve"> </w:t>
      </w:r>
      <w:r>
        <w:rPr>
          <w:color w:val="001F60"/>
        </w:rPr>
        <w:t>dezembro</w:t>
      </w:r>
      <w:r>
        <w:rPr>
          <w:color w:val="001F60"/>
          <w:spacing w:val="-9"/>
        </w:rPr>
        <w:t xml:space="preserve"> </w:t>
      </w:r>
      <w:r>
        <w:rPr>
          <w:color w:val="001F60"/>
        </w:rPr>
        <w:t>de</w:t>
      </w:r>
      <w:r>
        <w:rPr>
          <w:color w:val="001F60"/>
          <w:spacing w:val="-11"/>
        </w:rPr>
        <w:t xml:space="preserve"> </w:t>
      </w:r>
      <w:r>
        <w:rPr>
          <w:color w:val="001F60"/>
        </w:rPr>
        <w:t>2025.</w:t>
      </w:r>
    </w:p>
    <w:p w14:paraId="15560C86" w14:textId="77777777" w:rsidR="002C6574" w:rsidRDefault="00000000">
      <w:pPr>
        <w:pStyle w:val="PargrafodaLista"/>
        <w:numPr>
          <w:ilvl w:val="0"/>
          <w:numId w:val="56"/>
        </w:numPr>
        <w:tabs>
          <w:tab w:val="left" w:pos="1429"/>
        </w:tabs>
        <w:spacing w:before="1"/>
        <w:ind w:right="275"/>
        <w:jc w:val="both"/>
      </w:pPr>
      <w:r>
        <w:rPr>
          <w:color w:val="001F60"/>
        </w:rPr>
        <w:t>que</w:t>
      </w:r>
      <w:r>
        <w:rPr>
          <w:color w:val="001F60"/>
          <w:spacing w:val="-5"/>
        </w:rPr>
        <w:t xml:space="preserve"> </w:t>
      </w:r>
      <w:r>
        <w:rPr>
          <w:color w:val="001F60"/>
        </w:rPr>
        <w:t>revisaram</w:t>
      </w:r>
      <w:r>
        <w:rPr>
          <w:color w:val="001F60"/>
          <w:spacing w:val="-6"/>
        </w:rPr>
        <w:t xml:space="preserve"> </w:t>
      </w:r>
      <w:r>
        <w:rPr>
          <w:color w:val="001F60"/>
        </w:rPr>
        <w:t>o</w:t>
      </w:r>
      <w:r>
        <w:rPr>
          <w:color w:val="001F60"/>
          <w:spacing w:val="-5"/>
        </w:rPr>
        <w:t xml:space="preserve"> </w:t>
      </w:r>
      <w:r>
        <w:rPr>
          <w:color w:val="001F60"/>
        </w:rPr>
        <w:t>relatório</w:t>
      </w:r>
      <w:r>
        <w:rPr>
          <w:color w:val="001F60"/>
          <w:spacing w:val="-5"/>
        </w:rPr>
        <w:t xml:space="preserve"> </w:t>
      </w:r>
      <w:r>
        <w:rPr>
          <w:color w:val="001F60"/>
        </w:rPr>
        <w:t>dos</w:t>
      </w:r>
      <w:r>
        <w:rPr>
          <w:color w:val="001F60"/>
          <w:spacing w:val="-5"/>
        </w:rPr>
        <w:t xml:space="preserve"> </w:t>
      </w:r>
      <w:r>
        <w:rPr>
          <w:color w:val="001F60"/>
        </w:rPr>
        <w:t>referidos</w:t>
      </w:r>
      <w:r>
        <w:rPr>
          <w:color w:val="001F60"/>
          <w:spacing w:val="-5"/>
        </w:rPr>
        <w:t xml:space="preserve"> </w:t>
      </w:r>
      <w:r>
        <w:rPr>
          <w:color w:val="001F60"/>
        </w:rPr>
        <w:t>auditores</w:t>
      </w:r>
      <w:r>
        <w:rPr>
          <w:color w:val="001F60"/>
          <w:spacing w:val="-5"/>
        </w:rPr>
        <w:t xml:space="preserve"> </w:t>
      </w:r>
      <w:r>
        <w:rPr>
          <w:color w:val="001F60"/>
        </w:rPr>
        <w:t>sobre</w:t>
      </w:r>
      <w:r>
        <w:rPr>
          <w:color w:val="001F60"/>
          <w:spacing w:val="-5"/>
        </w:rPr>
        <w:t xml:space="preserve"> </w:t>
      </w:r>
      <w:r>
        <w:rPr>
          <w:color w:val="001F60"/>
        </w:rPr>
        <w:t>as</w:t>
      </w:r>
      <w:r>
        <w:rPr>
          <w:color w:val="001F60"/>
          <w:spacing w:val="-8"/>
        </w:rPr>
        <w:t xml:space="preserve"> </w:t>
      </w:r>
      <w:r>
        <w:rPr>
          <w:color w:val="001F60"/>
        </w:rPr>
        <w:t>Demonstrações</w:t>
      </w:r>
      <w:r>
        <w:rPr>
          <w:color w:val="001F60"/>
          <w:spacing w:val="-8"/>
        </w:rPr>
        <w:t xml:space="preserve"> </w:t>
      </w:r>
      <w:r>
        <w:rPr>
          <w:color w:val="001F60"/>
        </w:rPr>
        <w:t>Contábeis</w:t>
      </w:r>
      <w:r>
        <w:rPr>
          <w:color w:val="001F60"/>
          <w:spacing w:val="-5"/>
        </w:rPr>
        <w:t xml:space="preserve"> </w:t>
      </w:r>
      <w:r>
        <w:rPr>
          <w:color w:val="001F60"/>
        </w:rPr>
        <w:t>relativas ao exercício encerrado em 31 de dezembro de 2025, da Telecomunicações Brasileiras S.A - Telebras e, baseados nas discussões subsequentes, concordam que tais demonstrações refletem</w:t>
      </w:r>
      <w:r>
        <w:rPr>
          <w:color w:val="001F60"/>
          <w:spacing w:val="-13"/>
        </w:rPr>
        <w:t xml:space="preserve"> </w:t>
      </w:r>
      <w:r>
        <w:rPr>
          <w:color w:val="001F60"/>
        </w:rPr>
        <w:t>adequadamente,</w:t>
      </w:r>
      <w:r>
        <w:rPr>
          <w:color w:val="001F60"/>
          <w:spacing w:val="-12"/>
        </w:rPr>
        <w:t xml:space="preserve"> </w:t>
      </w:r>
      <w:r>
        <w:rPr>
          <w:color w:val="001F60"/>
        </w:rPr>
        <w:t>em</w:t>
      </w:r>
      <w:r>
        <w:rPr>
          <w:color w:val="001F60"/>
          <w:spacing w:val="-11"/>
        </w:rPr>
        <w:t xml:space="preserve"> </w:t>
      </w:r>
      <w:r>
        <w:rPr>
          <w:color w:val="001F60"/>
        </w:rPr>
        <w:t>todos</w:t>
      </w:r>
      <w:r>
        <w:rPr>
          <w:color w:val="001F60"/>
          <w:spacing w:val="-13"/>
        </w:rPr>
        <w:t xml:space="preserve"> </w:t>
      </w:r>
      <w:r>
        <w:rPr>
          <w:color w:val="001F60"/>
        </w:rPr>
        <w:t>os</w:t>
      </w:r>
      <w:r>
        <w:rPr>
          <w:color w:val="001F60"/>
          <w:spacing w:val="-8"/>
        </w:rPr>
        <w:t xml:space="preserve"> </w:t>
      </w:r>
      <w:r>
        <w:rPr>
          <w:color w:val="001F60"/>
        </w:rPr>
        <w:t>aspectos</w:t>
      </w:r>
      <w:r>
        <w:rPr>
          <w:color w:val="001F60"/>
          <w:spacing w:val="-12"/>
        </w:rPr>
        <w:t xml:space="preserve"> </w:t>
      </w:r>
      <w:r>
        <w:rPr>
          <w:color w:val="001F60"/>
        </w:rPr>
        <w:t>relevantes,</w:t>
      </w:r>
      <w:r>
        <w:rPr>
          <w:color w:val="001F60"/>
          <w:spacing w:val="-11"/>
        </w:rPr>
        <w:t xml:space="preserve"> </w:t>
      </w:r>
      <w:r>
        <w:rPr>
          <w:color w:val="001F60"/>
        </w:rPr>
        <w:t>a</w:t>
      </w:r>
      <w:r>
        <w:rPr>
          <w:color w:val="001F60"/>
          <w:spacing w:val="-11"/>
        </w:rPr>
        <w:t xml:space="preserve"> </w:t>
      </w:r>
      <w:r>
        <w:rPr>
          <w:color w:val="001F60"/>
        </w:rPr>
        <w:t>posição</w:t>
      </w:r>
      <w:r>
        <w:rPr>
          <w:color w:val="001F60"/>
          <w:spacing w:val="-9"/>
        </w:rPr>
        <w:t xml:space="preserve"> </w:t>
      </w:r>
      <w:r>
        <w:rPr>
          <w:color w:val="001F60"/>
        </w:rPr>
        <w:t>patrimonial</w:t>
      </w:r>
      <w:r>
        <w:rPr>
          <w:color w:val="001F60"/>
          <w:spacing w:val="-11"/>
        </w:rPr>
        <w:t xml:space="preserve"> </w:t>
      </w:r>
      <w:r>
        <w:rPr>
          <w:color w:val="001F60"/>
        </w:rPr>
        <w:t>e</w:t>
      </w:r>
      <w:r>
        <w:rPr>
          <w:color w:val="001F60"/>
          <w:spacing w:val="-9"/>
        </w:rPr>
        <w:t xml:space="preserve"> </w:t>
      </w:r>
      <w:r>
        <w:rPr>
          <w:color w:val="001F60"/>
        </w:rPr>
        <w:t>financeira correspondente ao exercício apresentado.</w:t>
      </w:r>
    </w:p>
    <w:p w14:paraId="212B2133" w14:textId="77777777" w:rsidR="002C6574" w:rsidRDefault="002C6574">
      <w:pPr>
        <w:pStyle w:val="PargrafodaLista"/>
        <w:jc w:val="both"/>
        <w:sectPr w:rsidR="002C6574">
          <w:headerReference w:type="default" r:id="rId41"/>
          <w:footerReference w:type="default" r:id="rId42"/>
          <w:pgSz w:w="11910" w:h="16840"/>
          <w:pgMar w:top="1420" w:right="850" w:bottom="1060" w:left="992" w:header="614" w:footer="863" w:gutter="0"/>
          <w:cols w:space="720"/>
        </w:sectPr>
      </w:pPr>
    </w:p>
    <w:p w14:paraId="0EA55951" w14:textId="77777777" w:rsidR="002C6574" w:rsidRDefault="00000000">
      <w:pPr>
        <w:pStyle w:val="Corpodetexto"/>
        <w:rPr>
          <w:rFonts w:ascii="Calibri"/>
          <w:sz w:val="56"/>
        </w:rPr>
      </w:pPr>
      <w:r>
        <w:rPr>
          <w:rFonts w:ascii="Calibri"/>
          <w:noProof/>
          <w:sz w:val="56"/>
        </w:rPr>
        <w:lastRenderedPageBreak/>
        <mc:AlternateContent>
          <mc:Choice Requires="wps">
            <w:drawing>
              <wp:anchor distT="0" distB="0" distL="0" distR="0" simplePos="0" relativeHeight="472570880" behindDoc="1" locked="0" layoutInCell="1" allowOverlap="1" wp14:anchorId="00F2FE72" wp14:editId="05181616">
                <wp:simplePos x="0" y="0"/>
                <wp:positionH relativeFrom="page">
                  <wp:posOffset>0</wp:posOffset>
                </wp:positionH>
                <wp:positionV relativeFrom="page">
                  <wp:posOffset>0</wp:posOffset>
                </wp:positionV>
                <wp:extent cx="7560945" cy="1069276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692765"/>
                        </a:xfrm>
                        <a:custGeom>
                          <a:avLst/>
                          <a:gdLst/>
                          <a:ahLst/>
                          <a:cxnLst/>
                          <a:rect l="l" t="t" r="r" b="b"/>
                          <a:pathLst>
                            <a:path w="7560945" h="10692765">
                              <a:moveTo>
                                <a:pt x="7560564" y="10692384"/>
                              </a:moveTo>
                              <a:lnTo>
                                <a:pt x="0" y="10692384"/>
                              </a:lnTo>
                              <a:lnTo>
                                <a:pt x="0" y="0"/>
                              </a:lnTo>
                              <a:lnTo>
                                <a:pt x="7560564" y="0"/>
                              </a:lnTo>
                              <a:lnTo>
                                <a:pt x="7560564" y="10692384"/>
                              </a:lnTo>
                              <a:close/>
                            </a:path>
                          </a:pathLst>
                        </a:custGeom>
                        <a:solidFill>
                          <a:srgbClr val="21498E"/>
                        </a:solidFill>
                      </wps:spPr>
                      <wps:bodyPr wrap="square" lIns="0" tIns="0" rIns="0" bIns="0" rtlCol="0">
                        <a:prstTxWarp prst="textNoShape">
                          <a:avLst/>
                        </a:prstTxWarp>
                        <a:noAutofit/>
                      </wps:bodyPr>
                    </wps:wsp>
                  </a:graphicData>
                </a:graphic>
              </wp:anchor>
            </w:drawing>
          </mc:Choice>
          <mc:Fallback>
            <w:pict>
              <v:shape w14:anchorId="5042B063" id="Graphic 118" o:spid="_x0000_s1026" style="position:absolute;margin-left:0;margin-top:0;width:595.35pt;height:841.95pt;z-index:-30745600;visibility:visible;mso-wrap-style:square;mso-wrap-distance-left:0;mso-wrap-distance-top:0;mso-wrap-distance-right:0;mso-wrap-distance-bottom:0;mso-position-horizontal:absolute;mso-position-horizontal-relative:page;mso-position-vertical:absolute;mso-position-vertical-relative:page;v-text-anchor:top" coordsize="7560945,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" path="m7560564,10692384l,10692384,,,7560564,r,10692384xe" fillcolor="#21498e" stroked="f">
                <v:path arrowok="t"/>
                <w10:wrap anchorx="page" anchory="page"/>
              </v:shape>
            </w:pict>
          </mc:Fallback>
        </mc:AlternateContent>
      </w:r>
      <w:r>
        <w:rPr>
          <w:rFonts w:ascii="Calibri"/>
          <w:noProof/>
          <w:sz w:val="56"/>
        </w:rPr>
        <w:drawing>
          <wp:anchor distT="0" distB="0" distL="0" distR="0" simplePos="0" relativeHeight="15744512" behindDoc="0" locked="0" layoutInCell="1" allowOverlap="1" wp14:anchorId="08140617" wp14:editId="033A52E5">
            <wp:simplePos x="0" y="0"/>
            <wp:positionH relativeFrom="page">
              <wp:posOffset>2048255</wp:posOffset>
            </wp:positionH>
            <wp:positionV relativeFrom="page">
              <wp:posOffset>0</wp:posOffset>
            </wp:positionV>
            <wp:extent cx="5474207" cy="8537448"/>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43" cstate="print"/>
                    <a:stretch>
                      <a:fillRect/>
                    </a:stretch>
                  </pic:blipFill>
                  <pic:spPr>
                    <a:xfrm>
                      <a:off x="0" y="0"/>
                      <a:ext cx="5474207" cy="8537448"/>
                    </a:xfrm>
                    <a:prstGeom prst="rect">
                      <a:avLst/>
                    </a:prstGeom>
                  </pic:spPr>
                </pic:pic>
              </a:graphicData>
            </a:graphic>
          </wp:anchor>
        </w:drawing>
      </w:r>
    </w:p>
    <w:p w14:paraId="78602199" w14:textId="77777777" w:rsidR="002C6574" w:rsidRDefault="002C6574">
      <w:pPr>
        <w:pStyle w:val="Corpodetexto"/>
        <w:rPr>
          <w:rFonts w:ascii="Calibri"/>
          <w:sz w:val="56"/>
        </w:rPr>
      </w:pPr>
    </w:p>
    <w:p w14:paraId="1AF5D060" w14:textId="77777777" w:rsidR="002C6574" w:rsidRDefault="002C6574">
      <w:pPr>
        <w:pStyle w:val="Corpodetexto"/>
        <w:spacing w:before="86"/>
        <w:rPr>
          <w:rFonts w:ascii="Calibri"/>
          <w:sz w:val="56"/>
        </w:rPr>
      </w:pPr>
    </w:p>
    <w:p w14:paraId="6347B064" w14:textId="77777777" w:rsidR="002C6574" w:rsidRDefault="00000000">
      <w:pPr>
        <w:ind w:left="124"/>
        <w:rPr>
          <w:rFonts w:ascii="Times New Roman"/>
          <w:sz w:val="56"/>
        </w:rPr>
      </w:pPr>
      <w:r>
        <w:rPr>
          <w:rFonts w:ascii="Times New Roman"/>
          <w:color w:val="FFFFFF"/>
          <w:spacing w:val="-2"/>
          <w:w w:val="120"/>
          <w:sz w:val="56"/>
        </w:rPr>
        <w:t>telebras</w:t>
      </w:r>
    </w:p>
    <w:p w14:paraId="5046CB09" w14:textId="77777777" w:rsidR="002C6574" w:rsidRDefault="002C6574">
      <w:pPr>
        <w:pStyle w:val="Corpodetexto"/>
        <w:rPr>
          <w:rFonts w:ascii="Times New Roman"/>
          <w:sz w:val="32"/>
        </w:rPr>
      </w:pPr>
    </w:p>
    <w:p w14:paraId="46E808E3" w14:textId="77777777" w:rsidR="002C6574" w:rsidRDefault="002C6574">
      <w:pPr>
        <w:pStyle w:val="Corpodetexto"/>
        <w:rPr>
          <w:rFonts w:ascii="Times New Roman"/>
          <w:sz w:val="32"/>
        </w:rPr>
      </w:pPr>
    </w:p>
    <w:p w14:paraId="4EA9C687" w14:textId="77777777" w:rsidR="002C6574" w:rsidRDefault="002C6574">
      <w:pPr>
        <w:pStyle w:val="Corpodetexto"/>
        <w:rPr>
          <w:rFonts w:ascii="Times New Roman"/>
          <w:sz w:val="32"/>
        </w:rPr>
      </w:pPr>
    </w:p>
    <w:p w14:paraId="62320F9E" w14:textId="77777777" w:rsidR="002C6574" w:rsidRDefault="002C6574">
      <w:pPr>
        <w:pStyle w:val="Corpodetexto"/>
        <w:rPr>
          <w:rFonts w:ascii="Times New Roman"/>
          <w:sz w:val="32"/>
        </w:rPr>
      </w:pPr>
    </w:p>
    <w:p w14:paraId="358E13CA" w14:textId="77777777" w:rsidR="002C6574" w:rsidRDefault="002C6574">
      <w:pPr>
        <w:pStyle w:val="Corpodetexto"/>
        <w:rPr>
          <w:rFonts w:ascii="Times New Roman"/>
          <w:sz w:val="32"/>
        </w:rPr>
      </w:pPr>
    </w:p>
    <w:p w14:paraId="2699FBBC" w14:textId="77777777" w:rsidR="002C6574" w:rsidRDefault="002C6574">
      <w:pPr>
        <w:pStyle w:val="Corpodetexto"/>
        <w:rPr>
          <w:rFonts w:ascii="Times New Roman"/>
          <w:sz w:val="32"/>
        </w:rPr>
      </w:pPr>
    </w:p>
    <w:p w14:paraId="7C5B1C7B" w14:textId="77777777" w:rsidR="002C6574" w:rsidRDefault="002C6574">
      <w:pPr>
        <w:pStyle w:val="Corpodetexto"/>
        <w:rPr>
          <w:rFonts w:ascii="Times New Roman"/>
          <w:sz w:val="32"/>
        </w:rPr>
      </w:pPr>
    </w:p>
    <w:p w14:paraId="4E609BEF" w14:textId="77777777" w:rsidR="002C6574" w:rsidRDefault="002C6574">
      <w:pPr>
        <w:pStyle w:val="Corpodetexto"/>
        <w:rPr>
          <w:rFonts w:ascii="Times New Roman"/>
          <w:sz w:val="32"/>
        </w:rPr>
      </w:pPr>
    </w:p>
    <w:p w14:paraId="6B4B0666" w14:textId="77777777" w:rsidR="002C6574" w:rsidRDefault="002C6574">
      <w:pPr>
        <w:pStyle w:val="Corpodetexto"/>
        <w:rPr>
          <w:rFonts w:ascii="Times New Roman"/>
          <w:sz w:val="32"/>
        </w:rPr>
      </w:pPr>
    </w:p>
    <w:p w14:paraId="38416A72" w14:textId="77777777" w:rsidR="002C6574" w:rsidRDefault="002C6574">
      <w:pPr>
        <w:pStyle w:val="Corpodetexto"/>
        <w:rPr>
          <w:rFonts w:ascii="Times New Roman"/>
          <w:sz w:val="32"/>
        </w:rPr>
      </w:pPr>
    </w:p>
    <w:p w14:paraId="409D66C3" w14:textId="77777777" w:rsidR="002C6574" w:rsidRDefault="002C6574">
      <w:pPr>
        <w:pStyle w:val="Corpodetexto"/>
        <w:rPr>
          <w:rFonts w:ascii="Times New Roman"/>
          <w:sz w:val="32"/>
        </w:rPr>
      </w:pPr>
    </w:p>
    <w:p w14:paraId="717C2E63" w14:textId="77777777" w:rsidR="002C6574" w:rsidRDefault="002C6574">
      <w:pPr>
        <w:pStyle w:val="Corpodetexto"/>
        <w:rPr>
          <w:rFonts w:ascii="Times New Roman"/>
          <w:sz w:val="32"/>
        </w:rPr>
      </w:pPr>
    </w:p>
    <w:p w14:paraId="440C8D37" w14:textId="77777777" w:rsidR="002C6574" w:rsidRDefault="002C6574">
      <w:pPr>
        <w:pStyle w:val="Corpodetexto"/>
        <w:rPr>
          <w:rFonts w:ascii="Times New Roman"/>
          <w:sz w:val="32"/>
        </w:rPr>
      </w:pPr>
    </w:p>
    <w:p w14:paraId="30925D8F" w14:textId="77777777" w:rsidR="002C6574" w:rsidRDefault="002C6574">
      <w:pPr>
        <w:pStyle w:val="Corpodetexto"/>
        <w:rPr>
          <w:rFonts w:ascii="Times New Roman"/>
          <w:sz w:val="32"/>
        </w:rPr>
      </w:pPr>
    </w:p>
    <w:p w14:paraId="7A1C03F9" w14:textId="77777777" w:rsidR="002C6574" w:rsidRDefault="002C6574">
      <w:pPr>
        <w:pStyle w:val="Corpodetexto"/>
        <w:rPr>
          <w:rFonts w:ascii="Times New Roman"/>
          <w:sz w:val="32"/>
        </w:rPr>
      </w:pPr>
    </w:p>
    <w:p w14:paraId="1FD15D2C" w14:textId="77777777" w:rsidR="002C6574" w:rsidRDefault="002C6574">
      <w:pPr>
        <w:pStyle w:val="Corpodetexto"/>
        <w:rPr>
          <w:rFonts w:ascii="Times New Roman"/>
          <w:sz w:val="32"/>
        </w:rPr>
      </w:pPr>
    </w:p>
    <w:p w14:paraId="3DF0223F" w14:textId="77777777" w:rsidR="002C6574" w:rsidRDefault="002C6574">
      <w:pPr>
        <w:pStyle w:val="Corpodetexto"/>
        <w:rPr>
          <w:rFonts w:ascii="Times New Roman"/>
          <w:sz w:val="32"/>
        </w:rPr>
      </w:pPr>
    </w:p>
    <w:p w14:paraId="405EACBE" w14:textId="77777777" w:rsidR="002C6574" w:rsidRDefault="002C6574">
      <w:pPr>
        <w:pStyle w:val="Corpodetexto"/>
        <w:rPr>
          <w:rFonts w:ascii="Times New Roman"/>
          <w:sz w:val="32"/>
        </w:rPr>
      </w:pPr>
    </w:p>
    <w:p w14:paraId="0B15D768" w14:textId="77777777" w:rsidR="002C6574" w:rsidRDefault="002C6574">
      <w:pPr>
        <w:pStyle w:val="Corpodetexto"/>
        <w:rPr>
          <w:rFonts w:ascii="Times New Roman"/>
          <w:sz w:val="32"/>
        </w:rPr>
      </w:pPr>
    </w:p>
    <w:p w14:paraId="5FF57736" w14:textId="77777777" w:rsidR="002C6574" w:rsidRDefault="002C6574">
      <w:pPr>
        <w:pStyle w:val="Corpodetexto"/>
        <w:rPr>
          <w:rFonts w:ascii="Times New Roman"/>
          <w:sz w:val="32"/>
        </w:rPr>
      </w:pPr>
    </w:p>
    <w:p w14:paraId="66EB48ED" w14:textId="77777777" w:rsidR="002C6574" w:rsidRDefault="002C6574">
      <w:pPr>
        <w:pStyle w:val="Corpodetexto"/>
        <w:rPr>
          <w:rFonts w:ascii="Times New Roman"/>
          <w:sz w:val="32"/>
        </w:rPr>
      </w:pPr>
    </w:p>
    <w:p w14:paraId="6B59A508" w14:textId="77777777" w:rsidR="002C6574" w:rsidRDefault="002C6574">
      <w:pPr>
        <w:pStyle w:val="Corpodetexto"/>
        <w:rPr>
          <w:rFonts w:ascii="Times New Roman"/>
          <w:sz w:val="32"/>
        </w:rPr>
      </w:pPr>
    </w:p>
    <w:p w14:paraId="691D0430" w14:textId="77777777" w:rsidR="002C6574" w:rsidRDefault="002C6574">
      <w:pPr>
        <w:pStyle w:val="Corpodetexto"/>
        <w:rPr>
          <w:rFonts w:ascii="Times New Roman"/>
          <w:sz w:val="32"/>
        </w:rPr>
      </w:pPr>
    </w:p>
    <w:p w14:paraId="19368F04" w14:textId="77777777" w:rsidR="002C6574" w:rsidRDefault="002C6574">
      <w:pPr>
        <w:pStyle w:val="Corpodetexto"/>
        <w:spacing w:before="316"/>
        <w:rPr>
          <w:rFonts w:ascii="Times New Roman"/>
          <w:sz w:val="32"/>
        </w:rPr>
      </w:pPr>
    </w:p>
    <w:p w14:paraId="5D193D4E" w14:textId="77777777" w:rsidR="002C6574" w:rsidRDefault="00000000">
      <w:pPr>
        <w:pStyle w:val="Ttulo2"/>
        <w:spacing w:line="480" w:lineRule="auto"/>
        <w:ind w:right="7807"/>
      </w:pPr>
      <w:r>
        <w:rPr>
          <w:noProof/>
        </w:rPr>
        <mc:AlternateContent>
          <mc:Choice Requires="wps">
            <w:drawing>
              <wp:anchor distT="0" distB="0" distL="0" distR="0" simplePos="0" relativeHeight="472570368" behindDoc="1" locked="0" layoutInCell="1" allowOverlap="1" wp14:anchorId="6F8AC7AD" wp14:editId="3A1B3BDB">
                <wp:simplePos x="0" y="0"/>
                <wp:positionH relativeFrom="page">
                  <wp:posOffset>2017980</wp:posOffset>
                </wp:positionH>
                <wp:positionV relativeFrom="paragraph">
                  <wp:posOffset>7523</wp:posOffset>
                </wp:positionV>
                <wp:extent cx="4841240" cy="69469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1240" cy="694690"/>
                        </a:xfrm>
                        <a:prstGeom prst="rect">
                          <a:avLst/>
                        </a:prstGeom>
                      </wps:spPr>
                      <wps:txbx>
                        <w:txbxContent>
                          <w:p w14:paraId="6078E050" w14:textId="77777777" w:rsidR="002C6574" w:rsidRDefault="00000000">
                            <w:pPr>
                              <w:spacing w:line="357" w:lineRule="exact"/>
                              <w:ind w:left="68"/>
                              <w:rPr>
                                <w:rFonts w:ascii="Arial" w:hAnsi="Arial"/>
                                <w:b/>
                                <w:sz w:val="32"/>
                              </w:rPr>
                            </w:pPr>
                            <w:r>
                              <w:rPr>
                                <w:rFonts w:ascii="Arial" w:hAnsi="Arial"/>
                                <w:b/>
                                <w:color w:val="FFFFFF"/>
                                <w:sz w:val="32"/>
                              </w:rPr>
                              <w:t>nstrações</w:t>
                            </w:r>
                            <w:r>
                              <w:rPr>
                                <w:rFonts w:ascii="Arial" w:hAnsi="Arial"/>
                                <w:b/>
                                <w:color w:val="FFFFFF"/>
                                <w:spacing w:val="-11"/>
                                <w:sz w:val="32"/>
                              </w:rPr>
                              <w:t xml:space="preserve"> </w:t>
                            </w:r>
                            <w:r>
                              <w:rPr>
                                <w:rFonts w:ascii="Arial" w:hAnsi="Arial"/>
                                <w:b/>
                                <w:color w:val="FFFFFF"/>
                                <w:spacing w:val="-2"/>
                                <w:sz w:val="32"/>
                              </w:rPr>
                              <w:t>Contábeis</w:t>
                            </w:r>
                          </w:p>
                          <w:p w14:paraId="18424956" w14:textId="77777777" w:rsidR="002C6574" w:rsidRDefault="002C6574">
                            <w:pPr>
                              <w:pStyle w:val="Corpodetexto"/>
                              <w:rPr>
                                <w:rFonts w:ascii="Arial"/>
                                <w:b/>
                                <w:sz w:val="32"/>
                              </w:rPr>
                            </w:pPr>
                          </w:p>
                          <w:p w14:paraId="42042DC7" w14:textId="77777777" w:rsidR="002C6574" w:rsidRDefault="00000000">
                            <w:pPr>
                              <w:spacing w:before="1"/>
                              <w:rPr>
                                <w:rFonts w:ascii="Arial" w:hAnsi="Arial"/>
                                <w:b/>
                                <w:sz w:val="32"/>
                              </w:rPr>
                            </w:pPr>
                            <w:r>
                              <w:rPr>
                                <w:rFonts w:ascii="Arial" w:hAnsi="Arial"/>
                                <w:b/>
                                <w:color w:val="FFFFFF"/>
                                <w:sz w:val="32"/>
                              </w:rPr>
                              <w:t>COMUNICAÇÕES</w:t>
                            </w:r>
                            <w:r>
                              <w:rPr>
                                <w:rFonts w:ascii="Arial" w:hAnsi="Arial"/>
                                <w:b/>
                                <w:color w:val="FFFFFF"/>
                                <w:spacing w:val="-11"/>
                                <w:sz w:val="32"/>
                              </w:rPr>
                              <w:t xml:space="preserve"> </w:t>
                            </w:r>
                            <w:r>
                              <w:rPr>
                                <w:rFonts w:ascii="Arial" w:hAnsi="Arial"/>
                                <w:b/>
                                <w:color w:val="FFFFFF"/>
                                <w:sz w:val="32"/>
                              </w:rPr>
                              <w:t>BRASILEIRAS</w:t>
                            </w:r>
                            <w:r>
                              <w:rPr>
                                <w:rFonts w:ascii="Arial" w:hAnsi="Arial"/>
                                <w:b/>
                                <w:color w:val="FFFFFF"/>
                                <w:spacing w:val="-14"/>
                                <w:sz w:val="32"/>
                              </w:rPr>
                              <w:t xml:space="preserve"> </w:t>
                            </w:r>
                            <w:r>
                              <w:rPr>
                                <w:rFonts w:ascii="Arial" w:hAnsi="Arial"/>
                                <w:b/>
                                <w:color w:val="FFFFFF"/>
                                <w:sz w:val="32"/>
                              </w:rPr>
                              <w:t>S.A</w:t>
                            </w:r>
                            <w:r>
                              <w:rPr>
                                <w:rFonts w:ascii="Arial" w:hAnsi="Arial"/>
                                <w:b/>
                                <w:color w:val="FFFFFF"/>
                                <w:spacing w:val="-13"/>
                                <w:sz w:val="32"/>
                              </w:rPr>
                              <w:t xml:space="preserve"> </w:t>
                            </w:r>
                            <w:r>
                              <w:rPr>
                                <w:rFonts w:ascii="Arial" w:hAnsi="Arial"/>
                                <w:b/>
                                <w:color w:val="FFFFFF"/>
                                <w:sz w:val="32"/>
                              </w:rPr>
                              <w:t>–</w:t>
                            </w:r>
                            <w:r>
                              <w:rPr>
                                <w:rFonts w:ascii="Arial" w:hAnsi="Arial"/>
                                <w:b/>
                                <w:color w:val="FFFFFF"/>
                                <w:spacing w:val="-14"/>
                                <w:sz w:val="32"/>
                              </w:rPr>
                              <w:t xml:space="preserve"> </w:t>
                            </w:r>
                            <w:r>
                              <w:rPr>
                                <w:rFonts w:ascii="Arial" w:hAnsi="Arial"/>
                                <w:b/>
                                <w:color w:val="FFFFFF"/>
                                <w:spacing w:val="-2"/>
                                <w:sz w:val="32"/>
                              </w:rPr>
                              <w:t>TELEBRAS</w:t>
                            </w:r>
                          </w:p>
                        </w:txbxContent>
                      </wps:txbx>
                      <wps:bodyPr wrap="square" lIns="0" tIns="0" rIns="0" bIns="0" rtlCol="0">
                        <a:noAutofit/>
                      </wps:bodyPr>
                    </wps:wsp>
                  </a:graphicData>
                </a:graphic>
              </wp:anchor>
            </w:drawing>
          </mc:Choice>
          <mc:Fallback>
            <w:pict>
              <v:shape w14:anchorId="6F8AC7AD" id="Textbox 120" o:spid="_x0000_s1046" type="#_x0000_t202" style="position:absolute;left:0;text-align:left;margin-left:158.9pt;margin-top:.6pt;width:381.2pt;height:54.7pt;z-index:-3074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" filled="f" stroked="f">
                <v:textbox inset="0,0,0,0">
                  <w:txbxContent>
                    <w:p w14:paraId="6078E050" w14:textId="77777777" w:rsidR="002C6574" w:rsidRDefault="00000000">
                      <w:pPr>
                        <w:spacing w:line="357" w:lineRule="exact"/>
                        <w:ind w:left="68"/>
                        <w:rPr>
                          <w:rFonts w:ascii="Arial" w:hAnsi="Arial"/>
                          <w:b/>
                          <w:sz w:val="32"/>
                        </w:rPr>
                      </w:pPr>
                      <w:r>
                        <w:rPr>
                          <w:rFonts w:ascii="Arial" w:hAnsi="Arial"/>
                          <w:b/>
                          <w:color w:val="FFFFFF"/>
                          <w:sz w:val="32"/>
                        </w:rPr>
                        <w:t>nstrações</w:t>
                      </w:r>
                      <w:r>
                        <w:rPr>
                          <w:rFonts w:ascii="Arial" w:hAnsi="Arial"/>
                          <w:b/>
                          <w:color w:val="FFFFFF"/>
                          <w:spacing w:val="-11"/>
                          <w:sz w:val="32"/>
                        </w:rPr>
                        <w:t xml:space="preserve"> </w:t>
                      </w:r>
                      <w:r>
                        <w:rPr>
                          <w:rFonts w:ascii="Arial" w:hAnsi="Arial"/>
                          <w:b/>
                          <w:color w:val="FFFFFF"/>
                          <w:spacing w:val="-2"/>
                          <w:sz w:val="32"/>
                        </w:rPr>
                        <w:t>Contábeis</w:t>
                      </w:r>
                    </w:p>
                    <w:p w14:paraId="18424956" w14:textId="77777777" w:rsidR="002C6574" w:rsidRDefault="002C6574">
                      <w:pPr>
                        <w:pStyle w:val="Corpodetexto"/>
                        <w:rPr>
                          <w:rFonts w:ascii="Arial"/>
                          <w:b/>
                          <w:sz w:val="32"/>
                        </w:rPr>
                      </w:pPr>
                    </w:p>
                    <w:p w14:paraId="42042DC7" w14:textId="77777777" w:rsidR="002C6574" w:rsidRDefault="00000000">
                      <w:pPr>
                        <w:spacing w:before="1"/>
                        <w:rPr>
                          <w:rFonts w:ascii="Arial" w:hAnsi="Arial"/>
                          <w:b/>
                          <w:sz w:val="32"/>
                        </w:rPr>
                      </w:pPr>
                      <w:r>
                        <w:rPr>
                          <w:rFonts w:ascii="Arial" w:hAnsi="Arial"/>
                          <w:b/>
                          <w:color w:val="FFFFFF"/>
                          <w:sz w:val="32"/>
                        </w:rPr>
                        <w:t>COMUNICAÇÕES</w:t>
                      </w:r>
                      <w:r>
                        <w:rPr>
                          <w:rFonts w:ascii="Arial" w:hAnsi="Arial"/>
                          <w:b/>
                          <w:color w:val="FFFFFF"/>
                          <w:spacing w:val="-11"/>
                          <w:sz w:val="32"/>
                        </w:rPr>
                        <w:t xml:space="preserve"> </w:t>
                      </w:r>
                      <w:r>
                        <w:rPr>
                          <w:rFonts w:ascii="Arial" w:hAnsi="Arial"/>
                          <w:b/>
                          <w:color w:val="FFFFFF"/>
                          <w:sz w:val="32"/>
                        </w:rPr>
                        <w:t>BRASILEIRAS</w:t>
                      </w:r>
                      <w:r>
                        <w:rPr>
                          <w:rFonts w:ascii="Arial" w:hAnsi="Arial"/>
                          <w:b/>
                          <w:color w:val="FFFFFF"/>
                          <w:spacing w:val="-14"/>
                          <w:sz w:val="32"/>
                        </w:rPr>
                        <w:t xml:space="preserve"> </w:t>
                      </w:r>
                      <w:r>
                        <w:rPr>
                          <w:rFonts w:ascii="Arial" w:hAnsi="Arial"/>
                          <w:b/>
                          <w:color w:val="FFFFFF"/>
                          <w:sz w:val="32"/>
                        </w:rPr>
                        <w:t>S.A</w:t>
                      </w:r>
                      <w:r>
                        <w:rPr>
                          <w:rFonts w:ascii="Arial" w:hAnsi="Arial"/>
                          <w:b/>
                          <w:color w:val="FFFFFF"/>
                          <w:spacing w:val="-13"/>
                          <w:sz w:val="32"/>
                        </w:rPr>
                        <w:t xml:space="preserve"> </w:t>
                      </w:r>
                      <w:r>
                        <w:rPr>
                          <w:rFonts w:ascii="Arial" w:hAnsi="Arial"/>
                          <w:b/>
                          <w:color w:val="FFFFFF"/>
                          <w:sz w:val="32"/>
                        </w:rPr>
                        <w:t>–</w:t>
                      </w:r>
                      <w:r>
                        <w:rPr>
                          <w:rFonts w:ascii="Arial" w:hAnsi="Arial"/>
                          <w:b/>
                          <w:color w:val="FFFFFF"/>
                          <w:spacing w:val="-14"/>
                          <w:sz w:val="32"/>
                        </w:rPr>
                        <w:t xml:space="preserve"> </w:t>
                      </w:r>
                      <w:r>
                        <w:rPr>
                          <w:rFonts w:ascii="Arial" w:hAnsi="Arial"/>
                          <w:b/>
                          <w:color w:val="FFFFFF"/>
                          <w:spacing w:val="-2"/>
                          <w:sz w:val="32"/>
                        </w:rPr>
                        <w:t>TELEBRAS</w:t>
                      </w:r>
                    </w:p>
                  </w:txbxContent>
                </v:textbox>
                <w10:wrap anchorx="page"/>
              </v:shape>
            </w:pict>
          </mc:Fallback>
        </mc:AlternateContent>
      </w:r>
      <w:r>
        <w:rPr>
          <w:color w:val="FFFFFF"/>
          <w:spacing w:val="-4"/>
        </w:rPr>
        <w:t>Demo TELE</w:t>
      </w:r>
    </w:p>
    <w:p w14:paraId="2C51C3A9" w14:textId="77777777" w:rsidR="002C6574" w:rsidRDefault="00000000">
      <w:pPr>
        <w:spacing w:line="367" w:lineRule="exact"/>
        <w:ind w:left="1367"/>
        <w:rPr>
          <w:rFonts w:ascii="Arial"/>
          <w:b/>
          <w:sz w:val="32"/>
        </w:rPr>
      </w:pPr>
      <w:r>
        <w:rPr>
          <w:rFonts w:ascii="Arial"/>
          <w:b/>
          <w:color w:val="FFFFFF"/>
          <w:sz w:val="32"/>
        </w:rPr>
        <w:t>Em</w:t>
      </w:r>
      <w:r>
        <w:rPr>
          <w:rFonts w:ascii="Arial"/>
          <w:b/>
          <w:color w:val="FFFFFF"/>
          <w:spacing w:val="-6"/>
          <w:sz w:val="32"/>
        </w:rPr>
        <w:t xml:space="preserve"> </w:t>
      </w:r>
      <w:r>
        <w:rPr>
          <w:rFonts w:ascii="Arial"/>
          <w:b/>
          <w:color w:val="FFFFFF"/>
          <w:sz w:val="32"/>
        </w:rPr>
        <w:t>31</w:t>
      </w:r>
      <w:r>
        <w:rPr>
          <w:rFonts w:ascii="Arial"/>
          <w:b/>
          <w:color w:val="FFFFFF"/>
          <w:spacing w:val="-6"/>
          <w:sz w:val="32"/>
        </w:rPr>
        <w:t xml:space="preserve"> </w:t>
      </w:r>
      <w:r>
        <w:rPr>
          <w:rFonts w:ascii="Arial"/>
          <w:b/>
          <w:color w:val="FFFFFF"/>
          <w:sz w:val="32"/>
        </w:rPr>
        <w:t>de</w:t>
      </w:r>
      <w:r>
        <w:rPr>
          <w:rFonts w:ascii="Arial"/>
          <w:b/>
          <w:color w:val="FFFFFF"/>
          <w:spacing w:val="-8"/>
          <w:sz w:val="32"/>
        </w:rPr>
        <w:t xml:space="preserve"> </w:t>
      </w:r>
      <w:r>
        <w:rPr>
          <w:rFonts w:ascii="Arial"/>
          <w:b/>
          <w:color w:val="FFFFFF"/>
          <w:sz w:val="32"/>
        </w:rPr>
        <w:t>Dezembro</w:t>
      </w:r>
      <w:r>
        <w:rPr>
          <w:rFonts w:ascii="Arial"/>
          <w:b/>
          <w:color w:val="FFFFFF"/>
          <w:spacing w:val="-2"/>
          <w:sz w:val="32"/>
        </w:rPr>
        <w:t xml:space="preserve"> </w:t>
      </w:r>
      <w:r>
        <w:rPr>
          <w:rFonts w:ascii="Arial"/>
          <w:b/>
          <w:color w:val="FFFFFF"/>
          <w:sz w:val="32"/>
        </w:rPr>
        <w:t>de</w:t>
      </w:r>
      <w:r>
        <w:rPr>
          <w:rFonts w:ascii="Arial"/>
          <w:b/>
          <w:color w:val="FFFFFF"/>
          <w:spacing w:val="-7"/>
          <w:sz w:val="32"/>
        </w:rPr>
        <w:t xml:space="preserve"> </w:t>
      </w:r>
      <w:r>
        <w:rPr>
          <w:rFonts w:ascii="Arial"/>
          <w:b/>
          <w:color w:val="FFFFFF"/>
          <w:sz w:val="32"/>
        </w:rPr>
        <w:t>2025</w:t>
      </w:r>
      <w:r>
        <w:rPr>
          <w:rFonts w:ascii="Arial"/>
          <w:b/>
          <w:color w:val="FFFFFF"/>
          <w:spacing w:val="-6"/>
          <w:sz w:val="32"/>
        </w:rPr>
        <w:t xml:space="preserve"> </w:t>
      </w:r>
      <w:r>
        <w:rPr>
          <w:rFonts w:ascii="Arial"/>
          <w:b/>
          <w:color w:val="FFFFFF"/>
          <w:sz w:val="32"/>
        </w:rPr>
        <w:t>e</w:t>
      </w:r>
      <w:r>
        <w:rPr>
          <w:rFonts w:ascii="Arial"/>
          <w:b/>
          <w:color w:val="FFFFFF"/>
          <w:spacing w:val="-2"/>
          <w:sz w:val="32"/>
        </w:rPr>
        <w:t xml:space="preserve"> </w:t>
      </w:r>
      <w:r>
        <w:rPr>
          <w:rFonts w:ascii="Arial"/>
          <w:b/>
          <w:color w:val="FFFFFF"/>
          <w:spacing w:val="-4"/>
          <w:sz w:val="32"/>
        </w:rPr>
        <w:t>2024</w:t>
      </w:r>
    </w:p>
    <w:p w14:paraId="57CBFA91" w14:textId="77777777" w:rsidR="002C6574" w:rsidRDefault="002C6574">
      <w:pPr>
        <w:spacing w:line="367" w:lineRule="exact"/>
        <w:rPr>
          <w:rFonts w:ascii="Arial"/>
          <w:b/>
          <w:sz w:val="32"/>
        </w:rPr>
        <w:sectPr w:rsidR="002C6574">
          <w:headerReference w:type="default" r:id="rId44"/>
          <w:footerReference w:type="default" r:id="rId45"/>
          <w:pgSz w:w="11910" w:h="16840"/>
          <w:pgMar w:top="0" w:right="850" w:bottom="280" w:left="992" w:header="0" w:footer="0" w:gutter="0"/>
          <w:cols w:space="720"/>
        </w:sectPr>
      </w:pPr>
    </w:p>
    <w:p w14:paraId="47587427" w14:textId="77777777" w:rsidR="002C6574" w:rsidRDefault="002C6574">
      <w:pPr>
        <w:pStyle w:val="Corpodetexto"/>
        <w:spacing w:before="189"/>
        <w:rPr>
          <w:rFonts w:ascii="Arial"/>
          <w:b/>
          <w:sz w:val="32"/>
        </w:rPr>
      </w:pPr>
    </w:p>
    <w:p w14:paraId="276CD017" w14:textId="77777777" w:rsidR="002C6574" w:rsidRDefault="00000000">
      <w:pPr>
        <w:ind w:left="709"/>
        <w:rPr>
          <w:rFonts w:ascii="Arial" w:hAnsi="Arial"/>
          <w:b/>
          <w:sz w:val="32"/>
        </w:rPr>
      </w:pPr>
      <w:r>
        <w:rPr>
          <w:rFonts w:ascii="Arial" w:hAnsi="Arial"/>
          <w:b/>
          <w:spacing w:val="-2"/>
          <w:sz w:val="32"/>
        </w:rPr>
        <w:t>Conteúdo</w:t>
      </w:r>
    </w:p>
    <w:p w14:paraId="1477C69E" w14:textId="77777777" w:rsidR="002C6574" w:rsidRDefault="00000000">
      <w:pPr>
        <w:tabs>
          <w:tab w:val="left" w:pos="9473"/>
        </w:tabs>
        <w:spacing w:before="496"/>
        <w:ind w:left="709" w:right="463"/>
        <w:rPr>
          <w:rFonts w:ascii="Arial" w:hAnsi="Arial"/>
          <w:b/>
        </w:rPr>
      </w:pPr>
      <w:r>
        <w:rPr>
          <w:rFonts w:ascii="Arial" w:hAnsi="Arial"/>
          <w:b/>
        </w:rPr>
        <w:t>Relatório dos auditores independentes sobre as Demonstrações Contábeis do Exercício</w:t>
      </w:r>
      <w:r>
        <w:rPr>
          <w:rFonts w:ascii="Arial" w:hAnsi="Arial"/>
          <w:b/>
          <w:spacing w:val="11"/>
        </w:rPr>
        <w:t xml:space="preserve"> </w:t>
      </w:r>
      <w:r>
        <w:rPr>
          <w:rFonts w:ascii="Arial" w:hAnsi="Arial"/>
          <w:b/>
        </w:rPr>
        <w:t>de</w:t>
      </w:r>
      <w:r>
        <w:rPr>
          <w:rFonts w:ascii="Arial" w:hAnsi="Arial"/>
          <w:b/>
          <w:spacing w:val="13"/>
        </w:rPr>
        <w:t xml:space="preserve"> </w:t>
      </w:r>
      <w:r>
        <w:rPr>
          <w:rFonts w:ascii="Arial" w:hAnsi="Arial"/>
          <w:b/>
          <w:spacing w:val="-4"/>
        </w:rPr>
        <w:t>2025</w:t>
      </w:r>
      <w:r>
        <w:rPr>
          <w:rFonts w:ascii="Times New Roman" w:hAnsi="Times New Roman"/>
        </w:rPr>
        <w:tab/>
      </w:r>
      <w:r>
        <w:rPr>
          <w:rFonts w:ascii="Arial" w:hAnsi="Arial"/>
          <w:b/>
          <w:spacing w:val="-10"/>
        </w:rPr>
        <w:t>2</w:t>
      </w:r>
    </w:p>
    <w:p w14:paraId="520B6115" w14:textId="77777777" w:rsidR="002C6574" w:rsidRDefault="00000000">
      <w:pPr>
        <w:tabs>
          <w:tab w:val="left" w:pos="9542"/>
        </w:tabs>
        <w:spacing w:before="252"/>
        <w:ind w:left="709"/>
        <w:rPr>
          <w:rFonts w:ascii="Arial" w:hAnsi="Arial"/>
          <w:b/>
        </w:rPr>
      </w:pPr>
      <w:r>
        <w:rPr>
          <w:rFonts w:ascii="Arial" w:hAnsi="Arial"/>
          <w:b/>
        </w:rPr>
        <w:t>Balanço</w:t>
      </w:r>
      <w:r>
        <w:rPr>
          <w:rFonts w:ascii="Arial" w:hAnsi="Arial"/>
          <w:b/>
          <w:spacing w:val="-2"/>
        </w:rPr>
        <w:t xml:space="preserve"> patrimonial</w:t>
      </w:r>
      <w:r>
        <w:rPr>
          <w:rFonts w:ascii="Times New Roman" w:hAnsi="Times New Roman"/>
        </w:rPr>
        <w:tab/>
      </w:r>
      <w:r>
        <w:rPr>
          <w:rFonts w:ascii="Arial" w:hAnsi="Arial"/>
          <w:b/>
          <w:spacing w:val="-12"/>
        </w:rPr>
        <w:t>5</w:t>
      </w:r>
    </w:p>
    <w:p w14:paraId="199839A0" w14:textId="77777777" w:rsidR="002C6574" w:rsidRDefault="00000000">
      <w:pPr>
        <w:tabs>
          <w:tab w:val="left" w:pos="9552"/>
        </w:tabs>
        <w:spacing w:before="254"/>
        <w:ind w:left="709"/>
        <w:rPr>
          <w:rFonts w:ascii="Arial" w:hAnsi="Arial"/>
          <w:b/>
        </w:rPr>
      </w:pPr>
      <w:r>
        <w:rPr>
          <w:rFonts w:ascii="Arial" w:hAnsi="Arial"/>
          <w:b/>
        </w:rPr>
        <w:t>Demonstrações</w:t>
      </w:r>
      <w:r>
        <w:rPr>
          <w:rFonts w:ascii="Arial" w:hAnsi="Arial"/>
          <w:b/>
          <w:spacing w:val="-4"/>
        </w:rPr>
        <w:t xml:space="preserve"> </w:t>
      </w:r>
      <w:r>
        <w:rPr>
          <w:rFonts w:ascii="Arial" w:hAnsi="Arial"/>
          <w:b/>
        </w:rPr>
        <w:t>do</w:t>
      </w:r>
      <w:r>
        <w:rPr>
          <w:rFonts w:ascii="Arial" w:hAnsi="Arial"/>
          <w:b/>
          <w:spacing w:val="-5"/>
        </w:rPr>
        <w:t xml:space="preserve"> </w:t>
      </w:r>
      <w:r>
        <w:rPr>
          <w:rFonts w:ascii="Arial" w:hAnsi="Arial"/>
          <w:b/>
        </w:rPr>
        <w:t>resultado</w:t>
      </w:r>
      <w:r>
        <w:rPr>
          <w:rFonts w:ascii="Arial" w:hAnsi="Arial"/>
          <w:b/>
          <w:spacing w:val="-6"/>
        </w:rPr>
        <w:t xml:space="preserve"> </w:t>
      </w:r>
      <w:r>
        <w:rPr>
          <w:rFonts w:ascii="Arial" w:hAnsi="Arial"/>
          <w:b/>
        </w:rPr>
        <w:t>do</w:t>
      </w:r>
      <w:r>
        <w:rPr>
          <w:rFonts w:ascii="Arial" w:hAnsi="Arial"/>
          <w:b/>
          <w:spacing w:val="-2"/>
        </w:rPr>
        <w:t xml:space="preserve"> exercício</w:t>
      </w:r>
      <w:r>
        <w:rPr>
          <w:rFonts w:ascii="Times New Roman" w:hAnsi="Times New Roman"/>
        </w:rPr>
        <w:tab/>
      </w:r>
      <w:r>
        <w:rPr>
          <w:rFonts w:ascii="Arial" w:hAnsi="Arial"/>
          <w:b/>
          <w:spacing w:val="-10"/>
        </w:rPr>
        <w:t>6</w:t>
      </w:r>
    </w:p>
    <w:p w14:paraId="7FE75E2D" w14:textId="77777777" w:rsidR="002C6574" w:rsidRDefault="00000000">
      <w:pPr>
        <w:tabs>
          <w:tab w:val="left" w:pos="9577"/>
        </w:tabs>
        <w:spacing w:before="251"/>
        <w:ind w:left="709"/>
        <w:rPr>
          <w:rFonts w:ascii="Arial" w:hAnsi="Arial"/>
          <w:b/>
        </w:rPr>
      </w:pPr>
      <w:r>
        <w:rPr>
          <w:rFonts w:ascii="Arial" w:hAnsi="Arial"/>
          <w:b/>
        </w:rPr>
        <w:t>Demonstrações</w:t>
      </w:r>
      <w:r>
        <w:rPr>
          <w:rFonts w:ascii="Arial" w:hAnsi="Arial"/>
          <w:b/>
          <w:spacing w:val="-5"/>
        </w:rPr>
        <w:t xml:space="preserve"> </w:t>
      </w:r>
      <w:r>
        <w:rPr>
          <w:rFonts w:ascii="Arial" w:hAnsi="Arial"/>
          <w:b/>
        </w:rPr>
        <w:t>dos</w:t>
      </w:r>
      <w:r>
        <w:rPr>
          <w:rFonts w:ascii="Arial" w:hAnsi="Arial"/>
          <w:b/>
          <w:spacing w:val="-6"/>
        </w:rPr>
        <w:t xml:space="preserve"> </w:t>
      </w:r>
      <w:r>
        <w:rPr>
          <w:rFonts w:ascii="Arial" w:hAnsi="Arial"/>
          <w:b/>
        </w:rPr>
        <w:t>resultados</w:t>
      </w:r>
      <w:r>
        <w:rPr>
          <w:rFonts w:ascii="Arial" w:hAnsi="Arial"/>
          <w:b/>
          <w:spacing w:val="-7"/>
        </w:rPr>
        <w:t xml:space="preserve"> </w:t>
      </w:r>
      <w:r>
        <w:rPr>
          <w:rFonts w:ascii="Arial" w:hAnsi="Arial"/>
          <w:b/>
          <w:spacing w:val="-2"/>
        </w:rPr>
        <w:t>abrangentes</w:t>
      </w:r>
      <w:r>
        <w:rPr>
          <w:rFonts w:ascii="Times New Roman" w:hAnsi="Times New Roman"/>
        </w:rPr>
        <w:tab/>
      </w:r>
      <w:r>
        <w:rPr>
          <w:rFonts w:ascii="Arial" w:hAnsi="Arial"/>
          <w:b/>
          <w:spacing w:val="-10"/>
        </w:rPr>
        <w:t>7</w:t>
      </w:r>
    </w:p>
    <w:p w14:paraId="6A14E73F" w14:textId="77777777" w:rsidR="002C6574" w:rsidRDefault="00000000">
      <w:pPr>
        <w:tabs>
          <w:tab w:val="left" w:pos="9565"/>
        </w:tabs>
        <w:spacing w:before="253"/>
        <w:ind w:left="709"/>
        <w:rPr>
          <w:rFonts w:ascii="Arial" w:hAnsi="Arial"/>
          <w:b/>
        </w:rPr>
      </w:pPr>
      <w:r>
        <w:rPr>
          <w:rFonts w:ascii="Arial" w:hAnsi="Arial"/>
          <w:b/>
        </w:rPr>
        <w:t>Demonstrações</w:t>
      </w:r>
      <w:r>
        <w:rPr>
          <w:rFonts w:ascii="Arial" w:hAnsi="Arial"/>
          <w:b/>
          <w:spacing w:val="-8"/>
        </w:rPr>
        <w:t xml:space="preserve"> </w:t>
      </w:r>
      <w:r>
        <w:rPr>
          <w:rFonts w:ascii="Arial" w:hAnsi="Arial"/>
          <w:b/>
        </w:rPr>
        <w:t>das</w:t>
      </w:r>
      <w:r>
        <w:rPr>
          <w:rFonts w:ascii="Arial" w:hAnsi="Arial"/>
          <w:b/>
          <w:spacing w:val="-5"/>
        </w:rPr>
        <w:t xml:space="preserve"> </w:t>
      </w:r>
      <w:r>
        <w:rPr>
          <w:rFonts w:ascii="Arial" w:hAnsi="Arial"/>
          <w:b/>
        </w:rPr>
        <w:t>mutações</w:t>
      </w:r>
      <w:r>
        <w:rPr>
          <w:rFonts w:ascii="Arial" w:hAnsi="Arial"/>
          <w:b/>
          <w:spacing w:val="-5"/>
        </w:rPr>
        <w:t xml:space="preserve"> </w:t>
      </w:r>
      <w:r>
        <w:rPr>
          <w:rFonts w:ascii="Arial" w:hAnsi="Arial"/>
          <w:b/>
        </w:rPr>
        <w:t>do</w:t>
      </w:r>
      <w:r>
        <w:rPr>
          <w:rFonts w:ascii="Arial" w:hAnsi="Arial"/>
          <w:b/>
          <w:spacing w:val="-6"/>
        </w:rPr>
        <w:t xml:space="preserve"> </w:t>
      </w:r>
      <w:r>
        <w:rPr>
          <w:rFonts w:ascii="Arial" w:hAnsi="Arial"/>
          <w:b/>
        </w:rPr>
        <w:t>patrimônio</w:t>
      </w:r>
      <w:r>
        <w:rPr>
          <w:rFonts w:ascii="Arial" w:hAnsi="Arial"/>
          <w:b/>
          <w:spacing w:val="-4"/>
        </w:rPr>
        <w:t xml:space="preserve"> </w:t>
      </w:r>
      <w:r>
        <w:rPr>
          <w:rFonts w:ascii="Arial" w:hAnsi="Arial"/>
          <w:b/>
          <w:spacing w:val="-2"/>
        </w:rPr>
        <w:t>líquido</w:t>
      </w:r>
      <w:r>
        <w:rPr>
          <w:rFonts w:ascii="Times New Roman" w:hAnsi="Times New Roman"/>
        </w:rPr>
        <w:tab/>
      </w:r>
      <w:r>
        <w:rPr>
          <w:rFonts w:ascii="Arial" w:hAnsi="Arial"/>
          <w:b/>
          <w:spacing w:val="-10"/>
        </w:rPr>
        <w:t>8</w:t>
      </w:r>
    </w:p>
    <w:p w14:paraId="3EF84250" w14:textId="77777777" w:rsidR="002C6574" w:rsidRDefault="00000000">
      <w:pPr>
        <w:tabs>
          <w:tab w:val="left" w:pos="9547"/>
        </w:tabs>
        <w:spacing w:before="254"/>
        <w:ind w:left="709"/>
        <w:rPr>
          <w:rFonts w:ascii="Arial" w:hAnsi="Arial"/>
          <w:b/>
        </w:rPr>
      </w:pPr>
      <w:r>
        <w:rPr>
          <w:rFonts w:ascii="Arial" w:hAnsi="Arial"/>
          <w:b/>
        </w:rPr>
        <w:t>Demonstrações</w:t>
      </w:r>
      <w:r>
        <w:rPr>
          <w:rFonts w:ascii="Arial" w:hAnsi="Arial"/>
          <w:b/>
          <w:spacing w:val="-4"/>
        </w:rPr>
        <w:t xml:space="preserve"> </w:t>
      </w:r>
      <w:r>
        <w:rPr>
          <w:rFonts w:ascii="Arial" w:hAnsi="Arial"/>
          <w:b/>
        </w:rPr>
        <w:t>dos</w:t>
      </w:r>
      <w:r>
        <w:rPr>
          <w:rFonts w:ascii="Arial" w:hAnsi="Arial"/>
          <w:b/>
          <w:spacing w:val="-4"/>
        </w:rPr>
        <w:t xml:space="preserve"> </w:t>
      </w:r>
      <w:r>
        <w:rPr>
          <w:rFonts w:ascii="Arial" w:hAnsi="Arial"/>
          <w:b/>
        </w:rPr>
        <w:t>fluxos</w:t>
      </w:r>
      <w:r>
        <w:rPr>
          <w:rFonts w:ascii="Arial" w:hAnsi="Arial"/>
          <w:b/>
          <w:spacing w:val="-3"/>
        </w:rPr>
        <w:t xml:space="preserve"> </w:t>
      </w:r>
      <w:r>
        <w:rPr>
          <w:rFonts w:ascii="Arial" w:hAnsi="Arial"/>
          <w:b/>
        </w:rPr>
        <w:t>de</w:t>
      </w:r>
      <w:r>
        <w:rPr>
          <w:rFonts w:ascii="Arial" w:hAnsi="Arial"/>
          <w:b/>
          <w:spacing w:val="-4"/>
        </w:rPr>
        <w:t xml:space="preserve"> </w:t>
      </w:r>
      <w:r>
        <w:rPr>
          <w:rFonts w:ascii="Arial" w:hAnsi="Arial"/>
          <w:b/>
          <w:spacing w:val="-2"/>
        </w:rPr>
        <w:t>caixa</w:t>
      </w:r>
      <w:r>
        <w:rPr>
          <w:rFonts w:ascii="Times New Roman" w:hAnsi="Times New Roman"/>
        </w:rPr>
        <w:tab/>
      </w:r>
      <w:r>
        <w:rPr>
          <w:rFonts w:ascii="Arial" w:hAnsi="Arial"/>
          <w:b/>
          <w:spacing w:val="-10"/>
        </w:rPr>
        <w:t>9</w:t>
      </w:r>
    </w:p>
    <w:p w14:paraId="5514DC84" w14:textId="77777777" w:rsidR="002C6574" w:rsidRDefault="00000000">
      <w:pPr>
        <w:tabs>
          <w:tab w:val="left" w:pos="9483"/>
        </w:tabs>
        <w:spacing w:before="253"/>
        <w:ind w:left="709"/>
        <w:rPr>
          <w:rFonts w:ascii="Arial" w:hAnsi="Arial"/>
          <w:b/>
        </w:rPr>
      </w:pPr>
      <w:r>
        <w:rPr>
          <w:rFonts w:ascii="Arial" w:hAnsi="Arial"/>
          <w:b/>
        </w:rPr>
        <w:t>Demonstrações</w:t>
      </w:r>
      <w:r>
        <w:rPr>
          <w:rFonts w:ascii="Arial" w:hAnsi="Arial"/>
          <w:b/>
          <w:spacing w:val="-5"/>
        </w:rPr>
        <w:t xml:space="preserve"> </w:t>
      </w:r>
      <w:r>
        <w:rPr>
          <w:rFonts w:ascii="Arial" w:hAnsi="Arial"/>
          <w:b/>
        </w:rPr>
        <w:t>do</w:t>
      </w:r>
      <w:r>
        <w:rPr>
          <w:rFonts w:ascii="Arial" w:hAnsi="Arial"/>
          <w:b/>
          <w:spacing w:val="-4"/>
        </w:rPr>
        <w:t xml:space="preserve"> </w:t>
      </w:r>
      <w:r>
        <w:rPr>
          <w:rFonts w:ascii="Arial" w:hAnsi="Arial"/>
          <w:b/>
        </w:rPr>
        <w:t>valor</w:t>
      </w:r>
      <w:r>
        <w:rPr>
          <w:rFonts w:ascii="Arial" w:hAnsi="Arial"/>
          <w:b/>
          <w:spacing w:val="-4"/>
        </w:rPr>
        <w:t xml:space="preserve"> </w:t>
      </w:r>
      <w:r>
        <w:rPr>
          <w:rFonts w:ascii="Arial" w:hAnsi="Arial"/>
          <w:b/>
          <w:spacing w:val="-2"/>
        </w:rPr>
        <w:t>adicionado</w:t>
      </w:r>
      <w:r>
        <w:rPr>
          <w:rFonts w:ascii="Times New Roman" w:hAnsi="Times New Roman"/>
        </w:rPr>
        <w:tab/>
      </w:r>
      <w:r>
        <w:rPr>
          <w:rFonts w:ascii="Arial" w:hAnsi="Arial"/>
          <w:b/>
          <w:spacing w:val="-5"/>
        </w:rPr>
        <w:t>10</w:t>
      </w:r>
    </w:p>
    <w:p w14:paraId="1C5C8B8C" w14:textId="77777777" w:rsidR="002C6574" w:rsidRDefault="00000000">
      <w:pPr>
        <w:tabs>
          <w:tab w:val="left" w:pos="9483"/>
        </w:tabs>
        <w:spacing w:before="254"/>
        <w:ind w:left="709"/>
        <w:rPr>
          <w:rFonts w:ascii="Arial" w:hAnsi="Arial"/>
          <w:b/>
        </w:rPr>
      </w:pPr>
      <w:r>
        <w:rPr>
          <w:rFonts w:ascii="Arial" w:hAnsi="Arial"/>
          <w:b/>
        </w:rPr>
        <w:t>Notas</w:t>
      </w:r>
      <w:r>
        <w:rPr>
          <w:rFonts w:ascii="Arial" w:hAnsi="Arial"/>
          <w:b/>
          <w:spacing w:val="-4"/>
        </w:rPr>
        <w:t xml:space="preserve"> </w:t>
      </w:r>
      <w:r>
        <w:rPr>
          <w:rFonts w:ascii="Arial" w:hAnsi="Arial"/>
          <w:b/>
        </w:rPr>
        <w:t>explicativas</w:t>
      </w:r>
      <w:r>
        <w:rPr>
          <w:rFonts w:ascii="Arial" w:hAnsi="Arial"/>
          <w:b/>
          <w:spacing w:val="-6"/>
        </w:rPr>
        <w:t xml:space="preserve"> </w:t>
      </w:r>
      <w:r>
        <w:rPr>
          <w:rFonts w:ascii="Arial" w:hAnsi="Arial"/>
          <w:b/>
        </w:rPr>
        <w:t>às</w:t>
      </w:r>
      <w:r>
        <w:rPr>
          <w:rFonts w:ascii="Arial" w:hAnsi="Arial"/>
          <w:b/>
          <w:spacing w:val="-4"/>
        </w:rPr>
        <w:t xml:space="preserve"> </w:t>
      </w:r>
      <w:r>
        <w:rPr>
          <w:rFonts w:ascii="Arial" w:hAnsi="Arial"/>
          <w:b/>
        </w:rPr>
        <w:t>demonstrações</w:t>
      </w:r>
      <w:r>
        <w:rPr>
          <w:rFonts w:ascii="Arial" w:hAnsi="Arial"/>
          <w:b/>
          <w:spacing w:val="-5"/>
        </w:rPr>
        <w:t xml:space="preserve"> </w:t>
      </w:r>
      <w:r>
        <w:rPr>
          <w:rFonts w:ascii="Arial" w:hAnsi="Arial"/>
          <w:b/>
          <w:spacing w:val="-2"/>
        </w:rPr>
        <w:t>contábeis</w:t>
      </w:r>
      <w:r>
        <w:rPr>
          <w:rFonts w:ascii="Times New Roman" w:hAnsi="Times New Roman"/>
        </w:rPr>
        <w:tab/>
      </w:r>
      <w:r>
        <w:rPr>
          <w:rFonts w:ascii="Arial" w:hAnsi="Arial"/>
          <w:b/>
          <w:spacing w:val="-7"/>
        </w:rPr>
        <w:t>11</w:t>
      </w:r>
    </w:p>
    <w:p w14:paraId="25623A4D" w14:textId="77777777" w:rsidR="002C6574" w:rsidRDefault="002C6574">
      <w:pPr>
        <w:rPr>
          <w:rFonts w:ascii="Arial" w:hAnsi="Arial"/>
          <w:b/>
        </w:rPr>
        <w:sectPr w:rsidR="002C6574">
          <w:headerReference w:type="default" r:id="rId46"/>
          <w:footerReference w:type="default" r:id="rId47"/>
          <w:pgSz w:w="11910" w:h="16840"/>
          <w:pgMar w:top="1560" w:right="850" w:bottom="1440" w:left="992" w:header="826" w:footer="1241" w:gutter="0"/>
          <w:pgNumType w:start="1"/>
          <w:cols w:space="720"/>
        </w:sectPr>
      </w:pPr>
    </w:p>
    <w:p w14:paraId="4463578A" w14:textId="77777777" w:rsidR="002C6574" w:rsidRDefault="002C6574">
      <w:pPr>
        <w:pStyle w:val="Corpodetexto"/>
        <w:spacing w:before="206"/>
        <w:rPr>
          <w:rFonts w:ascii="Arial"/>
          <w:b/>
        </w:rPr>
      </w:pPr>
    </w:p>
    <w:p w14:paraId="3222327C" w14:textId="77777777" w:rsidR="002C6574" w:rsidRDefault="00000000">
      <w:pPr>
        <w:ind w:left="709"/>
        <w:rPr>
          <w:rFonts w:ascii="Tahoma" w:hAnsi="Tahoma"/>
          <w:b/>
        </w:rPr>
      </w:pPr>
      <w:r>
        <w:rPr>
          <w:rFonts w:ascii="Tahoma" w:hAnsi="Tahoma"/>
          <w:b/>
          <w:w w:val="90"/>
        </w:rPr>
        <w:t>RELATÓRIO</w:t>
      </w:r>
      <w:r>
        <w:rPr>
          <w:rFonts w:ascii="Tahoma" w:hAnsi="Tahoma"/>
          <w:b/>
          <w:spacing w:val="-8"/>
          <w:w w:val="90"/>
        </w:rPr>
        <w:t xml:space="preserve"> </w:t>
      </w:r>
      <w:r>
        <w:rPr>
          <w:rFonts w:ascii="Tahoma" w:hAnsi="Tahoma"/>
          <w:b/>
          <w:w w:val="90"/>
        </w:rPr>
        <w:t>DOS</w:t>
      </w:r>
      <w:r>
        <w:rPr>
          <w:rFonts w:ascii="Tahoma" w:hAnsi="Tahoma"/>
          <w:b/>
          <w:spacing w:val="-8"/>
          <w:w w:val="90"/>
        </w:rPr>
        <w:t xml:space="preserve"> </w:t>
      </w:r>
      <w:r>
        <w:rPr>
          <w:rFonts w:ascii="Tahoma" w:hAnsi="Tahoma"/>
          <w:b/>
          <w:w w:val="90"/>
        </w:rPr>
        <w:t>AUDITORES</w:t>
      </w:r>
      <w:r>
        <w:rPr>
          <w:rFonts w:ascii="Tahoma" w:hAnsi="Tahoma"/>
          <w:b/>
          <w:spacing w:val="-6"/>
          <w:w w:val="90"/>
        </w:rPr>
        <w:t xml:space="preserve"> </w:t>
      </w:r>
      <w:r>
        <w:rPr>
          <w:rFonts w:ascii="Tahoma" w:hAnsi="Tahoma"/>
          <w:b/>
          <w:w w:val="90"/>
        </w:rPr>
        <w:t>INDEPENDENTES</w:t>
      </w:r>
      <w:r>
        <w:rPr>
          <w:rFonts w:ascii="Tahoma" w:hAnsi="Tahoma"/>
          <w:b/>
          <w:spacing w:val="-8"/>
          <w:w w:val="90"/>
        </w:rPr>
        <w:t xml:space="preserve"> </w:t>
      </w:r>
      <w:r>
        <w:rPr>
          <w:rFonts w:ascii="Tahoma" w:hAnsi="Tahoma"/>
          <w:b/>
          <w:w w:val="90"/>
        </w:rPr>
        <w:t>SOBRE</w:t>
      </w:r>
      <w:r>
        <w:rPr>
          <w:rFonts w:ascii="Tahoma" w:hAnsi="Tahoma"/>
          <w:b/>
          <w:spacing w:val="-8"/>
          <w:w w:val="90"/>
        </w:rPr>
        <w:t xml:space="preserve"> </w:t>
      </w:r>
      <w:r>
        <w:rPr>
          <w:rFonts w:ascii="Tahoma" w:hAnsi="Tahoma"/>
          <w:b/>
          <w:w w:val="90"/>
        </w:rPr>
        <w:t>AS</w:t>
      </w:r>
      <w:r>
        <w:rPr>
          <w:rFonts w:ascii="Tahoma" w:hAnsi="Tahoma"/>
          <w:b/>
          <w:spacing w:val="-7"/>
          <w:w w:val="90"/>
        </w:rPr>
        <w:t xml:space="preserve"> </w:t>
      </w:r>
      <w:r>
        <w:rPr>
          <w:rFonts w:ascii="Tahoma" w:hAnsi="Tahoma"/>
          <w:b/>
          <w:w w:val="90"/>
        </w:rPr>
        <w:t>DEMONSTRAÇÕES</w:t>
      </w:r>
      <w:r>
        <w:rPr>
          <w:rFonts w:ascii="Tahoma" w:hAnsi="Tahoma"/>
          <w:b/>
          <w:spacing w:val="-10"/>
          <w:w w:val="90"/>
        </w:rPr>
        <w:t xml:space="preserve"> </w:t>
      </w:r>
      <w:r>
        <w:rPr>
          <w:rFonts w:ascii="Tahoma" w:hAnsi="Tahoma"/>
          <w:b/>
          <w:spacing w:val="-2"/>
          <w:w w:val="90"/>
        </w:rPr>
        <w:t>CONTÁBEIS</w:t>
      </w:r>
    </w:p>
    <w:p w14:paraId="64F7815B" w14:textId="77777777" w:rsidR="002C6574" w:rsidRDefault="002C6574">
      <w:pPr>
        <w:pStyle w:val="Corpodetexto"/>
        <w:rPr>
          <w:rFonts w:ascii="Tahoma"/>
          <w:b/>
        </w:rPr>
      </w:pPr>
    </w:p>
    <w:p w14:paraId="062A76C0" w14:textId="77777777" w:rsidR="002C6574" w:rsidRDefault="002C6574">
      <w:pPr>
        <w:pStyle w:val="Corpodetexto"/>
        <w:spacing w:before="14"/>
        <w:rPr>
          <w:rFonts w:ascii="Tahoma"/>
          <w:b/>
        </w:rPr>
      </w:pPr>
    </w:p>
    <w:p w14:paraId="261A4C70" w14:textId="77777777" w:rsidR="002C6574" w:rsidRDefault="00000000">
      <w:pPr>
        <w:pStyle w:val="Corpodetexto"/>
        <w:ind w:left="709" w:right="3171"/>
        <w:jc w:val="both"/>
        <w:rPr>
          <w:rFonts w:ascii="Verdana" w:hAnsi="Verdana"/>
        </w:rPr>
      </w:pPr>
      <w:r>
        <w:rPr>
          <w:rFonts w:ascii="Verdana" w:hAnsi="Verdana"/>
          <w:spacing w:val="-2"/>
        </w:rPr>
        <w:t>Aos</w:t>
      </w:r>
      <w:r>
        <w:rPr>
          <w:rFonts w:ascii="Verdana" w:hAnsi="Verdana"/>
          <w:spacing w:val="-18"/>
        </w:rPr>
        <w:t xml:space="preserve"> </w:t>
      </w:r>
      <w:r>
        <w:rPr>
          <w:rFonts w:ascii="Verdana" w:hAnsi="Verdana"/>
          <w:spacing w:val="-2"/>
        </w:rPr>
        <w:t>Diretores,</w:t>
      </w:r>
      <w:r>
        <w:rPr>
          <w:rFonts w:ascii="Verdana" w:hAnsi="Verdana"/>
          <w:spacing w:val="-17"/>
        </w:rPr>
        <w:t xml:space="preserve"> </w:t>
      </w:r>
      <w:r>
        <w:rPr>
          <w:rFonts w:ascii="Verdana" w:hAnsi="Verdana"/>
          <w:spacing w:val="-2"/>
        </w:rPr>
        <w:t>Conselho</w:t>
      </w:r>
      <w:r>
        <w:rPr>
          <w:rFonts w:ascii="Verdana" w:hAnsi="Verdana"/>
          <w:spacing w:val="-17"/>
        </w:rPr>
        <w:t xml:space="preserve"> </w:t>
      </w:r>
      <w:r>
        <w:rPr>
          <w:rFonts w:ascii="Verdana" w:hAnsi="Verdana"/>
          <w:spacing w:val="-2"/>
        </w:rPr>
        <w:t>de</w:t>
      </w:r>
      <w:r>
        <w:rPr>
          <w:rFonts w:ascii="Verdana" w:hAnsi="Verdana"/>
          <w:spacing w:val="-18"/>
        </w:rPr>
        <w:t xml:space="preserve"> </w:t>
      </w:r>
      <w:r>
        <w:rPr>
          <w:rFonts w:ascii="Verdana" w:hAnsi="Verdana"/>
          <w:spacing w:val="-2"/>
        </w:rPr>
        <w:t>Administração</w:t>
      </w:r>
      <w:r>
        <w:rPr>
          <w:rFonts w:ascii="Verdana" w:hAnsi="Verdana"/>
          <w:spacing w:val="-17"/>
        </w:rPr>
        <w:t xml:space="preserve"> </w:t>
      </w:r>
      <w:r>
        <w:rPr>
          <w:rFonts w:ascii="Verdana" w:hAnsi="Verdana"/>
          <w:spacing w:val="-2"/>
        </w:rPr>
        <w:t>e</w:t>
      </w:r>
      <w:r>
        <w:rPr>
          <w:rFonts w:ascii="Verdana" w:hAnsi="Verdana"/>
          <w:spacing w:val="-18"/>
        </w:rPr>
        <w:t xml:space="preserve"> </w:t>
      </w:r>
      <w:r>
        <w:rPr>
          <w:rFonts w:ascii="Verdana" w:hAnsi="Verdana"/>
          <w:spacing w:val="-2"/>
        </w:rPr>
        <w:t>Acionistas</w:t>
      </w:r>
      <w:r>
        <w:rPr>
          <w:rFonts w:ascii="Verdana" w:hAnsi="Verdana"/>
          <w:spacing w:val="-17"/>
        </w:rPr>
        <w:t xml:space="preserve"> </w:t>
      </w:r>
      <w:r>
        <w:rPr>
          <w:rFonts w:ascii="Verdana" w:hAnsi="Verdana"/>
          <w:spacing w:val="-2"/>
        </w:rPr>
        <w:t xml:space="preserve">da </w:t>
      </w:r>
      <w:r>
        <w:rPr>
          <w:rFonts w:ascii="Verdana" w:hAnsi="Verdana"/>
          <w:w w:val="90"/>
        </w:rPr>
        <w:t>TELECOMUNICAÇÕES BRASILEIRAS S.A. – TELEBRAS</w:t>
      </w:r>
    </w:p>
    <w:p w14:paraId="59F3305D" w14:textId="77777777" w:rsidR="002C6574" w:rsidRDefault="00000000">
      <w:pPr>
        <w:pStyle w:val="Corpodetexto"/>
        <w:spacing w:before="3"/>
        <w:ind w:left="709"/>
        <w:jc w:val="both"/>
        <w:rPr>
          <w:rFonts w:ascii="Verdana" w:hAnsi="Verdana"/>
        </w:rPr>
      </w:pPr>
      <w:r>
        <w:rPr>
          <w:rFonts w:ascii="Verdana" w:hAnsi="Verdana"/>
          <w:w w:val="85"/>
        </w:rPr>
        <w:t>Brasília</w:t>
      </w:r>
      <w:r>
        <w:rPr>
          <w:rFonts w:ascii="Verdana" w:hAnsi="Verdana"/>
          <w:spacing w:val="-11"/>
        </w:rPr>
        <w:t xml:space="preserve"> </w:t>
      </w:r>
      <w:r>
        <w:rPr>
          <w:rFonts w:ascii="Verdana" w:hAnsi="Verdana"/>
          <w:w w:val="85"/>
        </w:rPr>
        <w:t>-</w:t>
      </w:r>
      <w:r>
        <w:rPr>
          <w:rFonts w:ascii="Verdana" w:hAnsi="Verdana"/>
          <w:spacing w:val="-12"/>
        </w:rPr>
        <w:t xml:space="preserve"> </w:t>
      </w:r>
      <w:r>
        <w:rPr>
          <w:rFonts w:ascii="Verdana" w:hAnsi="Verdana"/>
          <w:spacing w:val="-5"/>
          <w:w w:val="85"/>
        </w:rPr>
        <w:t>DF</w:t>
      </w:r>
    </w:p>
    <w:p w14:paraId="61934B28" w14:textId="77777777" w:rsidR="002C6574" w:rsidRDefault="002C6574">
      <w:pPr>
        <w:pStyle w:val="Corpodetexto"/>
        <w:rPr>
          <w:rFonts w:ascii="Verdana"/>
        </w:rPr>
      </w:pPr>
    </w:p>
    <w:p w14:paraId="6AB72288" w14:textId="77777777" w:rsidR="002C6574" w:rsidRDefault="002C6574">
      <w:pPr>
        <w:pStyle w:val="Corpodetexto"/>
        <w:spacing w:before="10"/>
        <w:rPr>
          <w:rFonts w:ascii="Verdana"/>
        </w:rPr>
      </w:pPr>
    </w:p>
    <w:p w14:paraId="0EB4B5EB" w14:textId="77777777" w:rsidR="002C6574" w:rsidRDefault="00000000">
      <w:pPr>
        <w:ind w:left="709"/>
        <w:rPr>
          <w:rFonts w:ascii="Tahoma" w:hAnsi="Tahoma"/>
          <w:b/>
        </w:rPr>
      </w:pPr>
      <w:r>
        <w:rPr>
          <w:rFonts w:ascii="Tahoma" w:hAnsi="Tahoma"/>
          <w:b/>
          <w:spacing w:val="-2"/>
        </w:rPr>
        <w:t>Opinião</w:t>
      </w:r>
    </w:p>
    <w:p w14:paraId="45B3AB2C" w14:textId="77777777" w:rsidR="002C6574" w:rsidRDefault="002C6574">
      <w:pPr>
        <w:pStyle w:val="Corpodetexto"/>
        <w:spacing w:before="5"/>
        <w:rPr>
          <w:rFonts w:ascii="Tahoma"/>
          <w:b/>
        </w:rPr>
      </w:pPr>
    </w:p>
    <w:p w14:paraId="18BA96AC" w14:textId="77777777" w:rsidR="002C6574" w:rsidRDefault="00000000">
      <w:pPr>
        <w:pStyle w:val="Corpodetexto"/>
        <w:spacing w:line="242" w:lineRule="auto"/>
        <w:ind w:left="709" w:right="417"/>
        <w:jc w:val="both"/>
        <w:rPr>
          <w:rFonts w:ascii="Verdana" w:hAnsi="Verdana"/>
        </w:rPr>
      </w:pPr>
      <w:r>
        <w:rPr>
          <w:rFonts w:ascii="Verdana" w:hAnsi="Verdana"/>
        </w:rPr>
        <w:t>Examinamos</w:t>
      </w:r>
      <w:r>
        <w:rPr>
          <w:rFonts w:ascii="Verdana" w:hAnsi="Verdana"/>
          <w:spacing w:val="-6"/>
        </w:rPr>
        <w:t xml:space="preserve"> </w:t>
      </w:r>
      <w:r>
        <w:rPr>
          <w:rFonts w:ascii="Verdana" w:hAnsi="Verdana"/>
        </w:rPr>
        <w:t>as</w:t>
      </w:r>
      <w:r>
        <w:rPr>
          <w:rFonts w:ascii="Verdana" w:hAnsi="Verdana"/>
          <w:spacing w:val="-4"/>
        </w:rPr>
        <w:t xml:space="preserve"> </w:t>
      </w:r>
      <w:r>
        <w:rPr>
          <w:rFonts w:ascii="Verdana" w:hAnsi="Verdana"/>
        </w:rPr>
        <w:t>demonstrações</w:t>
      </w:r>
      <w:r>
        <w:rPr>
          <w:rFonts w:ascii="Verdana" w:hAnsi="Verdana"/>
          <w:spacing w:val="-4"/>
        </w:rPr>
        <w:t xml:space="preserve"> </w:t>
      </w:r>
      <w:r>
        <w:rPr>
          <w:rFonts w:ascii="Verdana" w:hAnsi="Verdana"/>
        </w:rPr>
        <w:t>contábeis</w:t>
      </w:r>
      <w:r>
        <w:rPr>
          <w:rFonts w:ascii="Verdana" w:hAnsi="Verdana"/>
          <w:spacing w:val="-4"/>
        </w:rPr>
        <w:t xml:space="preserve"> </w:t>
      </w:r>
      <w:r>
        <w:rPr>
          <w:rFonts w:ascii="Verdana" w:hAnsi="Verdana"/>
        </w:rPr>
        <w:t>da</w:t>
      </w:r>
      <w:r>
        <w:rPr>
          <w:rFonts w:ascii="Verdana" w:hAnsi="Verdana"/>
          <w:spacing w:val="-3"/>
        </w:rPr>
        <w:t xml:space="preserve"> </w:t>
      </w:r>
      <w:r>
        <w:rPr>
          <w:rFonts w:ascii="Verdana" w:hAnsi="Verdana"/>
        </w:rPr>
        <w:t>Telecomunicações</w:t>
      </w:r>
      <w:r>
        <w:rPr>
          <w:rFonts w:ascii="Verdana" w:hAnsi="Verdana"/>
          <w:spacing w:val="-6"/>
        </w:rPr>
        <w:t xml:space="preserve"> </w:t>
      </w:r>
      <w:r>
        <w:rPr>
          <w:rFonts w:ascii="Verdana" w:hAnsi="Verdana"/>
        </w:rPr>
        <w:t>Brasileiras</w:t>
      </w:r>
      <w:r>
        <w:rPr>
          <w:rFonts w:ascii="Verdana" w:hAnsi="Verdana"/>
          <w:spacing w:val="-4"/>
        </w:rPr>
        <w:t xml:space="preserve"> </w:t>
      </w:r>
      <w:r>
        <w:rPr>
          <w:rFonts w:ascii="Verdana" w:hAnsi="Verdana"/>
        </w:rPr>
        <w:t>S.A</w:t>
      </w:r>
      <w:r>
        <w:rPr>
          <w:rFonts w:ascii="Verdana" w:hAnsi="Verdana"/>
          <w:spacing w:val="-4"/>
        </w:rPr>
        <w:t xml:space="preserve"> </w:t>
      </w:r>
      <w:r>
        <w:rPr>
          <w:rFonts w:ascii="Verdana" w:hAnsi="Verdana"/>
        </w:rPr>
        <w:t>– TELEBRÁS (“Companhia”), que compreendem o balanço patrimonial em 31 de dezembro de 2025 e as respectivas demonstrações do resultado, do resultado abrangente, das mutações do patrimônio líquido e dos fluxos de caixa para o exercício findo nessa data, bem como as correspondentes notas explicativas, incluindo</w:t>
      </w:r>
      <w:r>
        <w:rPr>
          <w:rFonts w:ascii="Verdana" w:hAnsi="Verdana"/>
          <w:spacing w:val="-9"/>
        </w:rPr>
        <w:t xml:space="preserve"> </w:t>
      </w:r>
      <w:r>
        <w:rPr>
          <w:rFonts w:ascii="Verdana" w:hAnsi="Verdana"/>
        </w:rPr>
        <w:t>o</w:t>
      </w:r>
      <w:r>
        <w:rPr>
          <w:rFonts w:ascii="Verdana" w:hAnsi="Verdana"/>
          <w:spacing w:val="-9"/>
        </w:rPr>
        <w:t xml:space="preserve"> </w:t>
      </w:r>
      <w:r>
        <w:rPr>
          <w:rFonts w:ascii="Verdana" w:hAnsi="Verdana"/>
        </w:rPr>
        <w:t>resumo</w:t>
      </w:r>
      <w:r>
        <w:rPr>
          <w:rFonts w:ascii="Verdana" w:hAnsi="Verdana"/>
          <w:spacing w:val="-13"/>
        </w:rPr>
        <w:t xml:space="preserve"> </w:t>
      </w:r>
      <w:r>
        <w:rPr>
          <w:rFonts w:ascii="Verdana" w:hAnsi="Verdana"/>
        </w:rPr>
        <w:t>das</w:t>
      </w:r>
      <w:r>
        <w:rPr>
          <w:rFonts w:ascii="Verdana" w:hAnsi="Verdana"/>
          <w:spacing w:val="-9"/>
        </w:rPr>
        <w:t xml:space="preserve"> </w:t>
      </w:r>
      <w:r>
        <w:rPr>
          <w:rFonts w:ascii="Verdana" w:hAnsi="Verdana"/>
        </w:rPr>
        <w:t>principais</w:t>
      </w:r>
      <w:r>
        <w:rPr>
          <w:rFonts w:ascii="Verdana" w:hAnsi="Verdana"/>
          <w:spacing w:val="-12"/>
        </w:rPr>
        <w:t xml:space="preserve"> </w:t>
      </w:r>
      <w:r>
        <w:rPr>
          <w:rFonts w:ascii="Verdana" w:hAnsi="Verdana"/>
        </w:rPr>
        <w:t>políticas</w:t>
      </w:r>
      <w:r>
        <w:rPr>
          <w:rFonts w:ascii="Verdana" w:hAnsi="Verdana"/>
          <w:spacing w:val="-13"/>
        </w:rPr>
        <w:t xml:space="preserve"> </w:t>
      </w:r>
      <w:r>
        <w:rPr>
          <w:rFonts w:ascii="Verdana" w:hAnsi="Verdana"/>
        </w:rPr>
        <w:t>contábeis.</w:t>
      </w:r>
    </w:p>
    <w:p w14:paraId="4932F63D" w14:textId="77777777" w:rsidR="002C6574" w:rsidRDefault="002C6574">
      <w:pPr>
        <w:pStyle w:val="Corpodetexto"/>
        <w:spacing w:before="1"/>
        <w:rPr>
          <w:rFonts w:ascii="Verdana"/>
        </w:rPr>
      </w:pPr>
    </w:p>
    <w:p w14:paraId="431D4D03" w14:textId="77777777" w:rsidR="002C6574" w:rsidRDefault="00000000">
      <w:pPr>
        <w:pStyle w:val="Corpodetexto"/>
        <w:spacing w:line="242" w:lineRule="auto"/>
        <w:ind w:left="709" w:right="416"/>
        <w:jc w:val="both"/>
        <w:rPr>
          <w:rFonts w:ascii="Verdana" w:hAnsi="Verdana"/>
        </w:rPr>
      </w:pPr>
      <w:r>
        <w:rPr>
          <w:rFonts w:ascii="Verdana" w:hAnsi="Verdana"/>
        </w:rPr>
        <w:t>Em nossa opinião, as demonstrações contábeis acima referidas apresentam adequadamente, em todos os aspectos relevantes, a posição patrimonial e financeira da Companhia em 31 de dezembro de 2025, o desempenho de suas operações</w:t>
      </w:r>
      <w:r>
        <w:rPr>
          <w:rFonts w:ascii="Verdana" w:hAnsi="Verdana"/>
          <w:spacing w:val="-5"/>
        </w:rPr>
        <w:t xml:space="preserve"> </w:t>
      </w:r>
      <w:r>
        <w:rPr>
          <w:rFonts w:ascii="Verdana" w:hAnsi="Verdana"/>
        </w:rPr>
        <w:t>e</w:t>
      </w:r>
      <w:r>
        <w:rPr>
          <w:rFonts w:ascii="Verdana" w:hAnsi="Verdana"/>
          <w:spacing w:val="-3"/>
        </w:rPr>
        <w:t xml:space="preserve"> </w:t>
      </w:r>
      <w:r>
        <w:rPr>
          <w:rFonts w:ascii="Verdana" w:hAnsi="Verdana"/>
        </w:rPr>
        <w:t>os</w:t>
      </w:r>
      <w:r>
        <w:rPr>
          <w:rFonts w:ascii="Verdana" w:hAnsi="Verdana"/>
          <w:spacing w:val="-3"/>
        </w:rPr>
        <w:t xml:space="preserve"> </w:t>
      </w:r>
      <w:r>
        <w:rPr>
          <w:rFonts w:ascii="Verdana" w:hAnsi="Verdana"/>
        </w:rPr>
        <w:t>seus</w:t>
      </w:r>
      <w:r>
        <w:rPr>
          <w:rFonts w:ascii="Verdana" w:hAnsi="Verdana"/>
          <w:spacing w:val="-3"/>
        </w:rPr>
        <w:t xml:space="preserve"> </w:t>
      </w:r>
      <w:r>
        <w:rPr>
          <w:rFonts w:ascii="Verdana" w:hAnsi="Verdana"/>
        </w:rPr>
        <w:t>fluxos</w:t>
      </w:r>
      <w:r>
        <w:rPr>
          <w:rFonts w:ascii="Verdana" w:hAnsi="Verdana"/>
          <w:spacing w:val="-1"/>
        </w:rPr>
        <w:t xml:space="preserve"> </w:t>
      </w:r>
      <w:r>
        <w:rPr>
          <w:rFonts w:ascii="Verdana" w:hAnsi="Verdana"/>
        </w:rPr>
        <w:t>de</w:t>
      </w:r>
      <w:r>
        <w:rPr>
          <w:rFonts w:ascii="Verdana" w:hAnsi="Verdana"/>
          <w:spacing w:val="-3"/>
        </w:rPr>
        <w:t xml:space="preserve"> </w:t>
      </w:r>
      <w:r>
        <w:rPr>
          <w:rFonts w:ascii="Verdana" w:hAnsi="Verdana"/>
        </w:rPr>
        <w:t>caixa</w:t>
      </w:r>
      <w:r>
        <w:rPr>
          <w:rFonts w:ascii="Verdana" w:hAnsi="Verdana"/>
          <w:spacing w:val="-4"/>
        </w:rPr>
        <w:t xml:space="preserve"> </w:t>
      </w:r>
      <w:r>
        <w:rPr>
          <w:rFonts w:ascii="Verdana" w:hAnsi="Verdana"/>
        </w:rPr>
        <w:t>para</w:t>
      </w:r>
      <w:r>
        <w:rPr>
          <w:rFonts w:ascii="Verdana" w:hAnsi="Verdana"/>
          <w:spacing w:val="-1"/>
        </w:rPr>
        <w:t xml:space="preserve"> </w:t>
      </w:r>
      <w:r>
        <w:rPr>
          <w:rFonts w:ascii="Verdana" w:hAnsi="Verdana"/>
        </w:rPr>
        <w:t>o</w:t>
      </w:r>
      <w:r>
        <w:rPr>
          <w:rFonts w:ascii="Verdana" w:hAnsi="Verdana"/>
          <w:spacing w:val="-6"/>
        </w:rPr>
        <w:t xml:space="preserve"> </w:t>
      </w:r>
      <w:r>
        <w:rPr>
          <w:rFonts w:ascii="Verdana" w:hAnsi="Verdana"/>
        </w:rPr>
        <w:t>exercício</w:t>
      </w:r>
      <w:r>
        <w:rPr>
          <w:rFonts w:ascii="Verdana" w:hAnsi="Verdana"/>
          <w:spacing w:val="-4"/>
        </w:rPr>
        <w:t xml:space="preserve"> </w:t>
      </w:r>
      <w:r>
        <w:rPr>
          <w:rFonts w:ascii="Verdana" w:hAnsi="Verdana"/>
        </w:rPr>
        <w:t>findo</w:t>
      </w:r>
      <w:r>
        <w:rPr>
          <w:rFonts w:ascii="Verdana" w:hAnsi="Verdana"/>
          <w:spacing w:val="-1"/>
        </w:rPr>
        <w:t xml:space="preserve"> </w:t>
      </w:r>
      <w:r>
        <w:rPr>
          <w:rFonts w:ascii="Verdana" w:hAnsi="Verdana"/>
        </w:rPr>
        <w:t>nessa</w:t>
      </w:r>
      <w:r>
        <w:rPr>
          <w:rFonts w:ascii="Verdana" w:hAnsi="Verdana"/>
          <w:spacing w:val="-6"/>
        </w:rPr>
        <w:t xml:space="preserve"> </w:t>
      </w:r>
      <w:r>
        <w:rPr>
          <w:rFonts w:ascii="Verdana" w:hAnsi="Verdana"/>
        </w:rPr>
        <w:t>data,</w:t>
      </w:r>
      <w:r>
        <w:rPr>
          <w:rFonts w:ascii="Verdana" w:hAnsi="Verdana"/>
          <w:spacing w:val="-1"/>
        </w:rPr>
        <w:t xml:space="preserve"> </w:t>
      </w:r>
      <w:r>
        <w:rPr>
          <w:rFonts w:ascii="Verdana" w:hAnsi="Verdana"/>
        </w:rPr>
        <w:t>de</w:t>
      </w:r>
      <w:r>
        <w:rPr>
          <w:rFonts w:ascii="Verdana" w:hAnsi="Verdana"/>
          <w:spacing w:val="-3"/>
        </w:rPr>
        <w:t xml:space="preserve"> </w:t>
      </w:r>
      <w:r>
        <w:rPr>
          <w:rFonts w:ascii="Verdana" w:hAnsi="Verdana"/>
        </w:rPr>
        <w:t>acordo com</w:t>
      </w:r>
      <w:r>
        <w:rPr>
          <w:rFonts w:ascii="Verdana" w:hAnsi="Verdana"/>
          <w:spacing w:val="-3"/>
        </w:rPr>
        <w:t xml:space="preserve"> </w:t>
      </w:r>
      <w:r>
        <w:rPr>
          <w:rFonts w:ascii="Verdana" w:hAnsi="Verdana"/>
        </w:rPr>
        <w:t>as</w:t>
      </w:r>
      <w:r>
        <w:rPr>
          <w:rFonts w:ascii="Verdana" w:hAnsi="Verdana"/>
          <w:spacing w:val="-3"/>
        </w:rPr>
        <w:t xml:space="preserve"> </w:t>
      </w:r>
      <w:r>
        <w:rPr>
          <w:rFonts w:ascii="Verdana" w:hAnsi="Verdana"/>
        </w:rPr>
        <w:t>práticas</w:t>
      </w:r>
      <w:r>
        <w:rPr>
          <w:rFonts w:ascii="Verdana" w:hAnsi="Verdana"/>
          <w:spacing w:val="-3"/>
        </w:rPr>
        <w:t xml:space="preserve"> </w:t>
      </w:r>
      <w:r>
        <w:rPr>
          <w:rFonts w:ascii="Verdana" w:hAnsi="Verdana"/>
        </w:rPr>
        <w:t>contábeis</w:t>
      </w:r>
      <w:r>
        <w:rPr>
          <w:rFonts w:ascii="Verdana" w:hAnsi="Verdana"/>
          <w:spacing w:val="-3"/>
        </w:rPr>
        <w:t xml:space="preserve"> </w:t>
      </w:r>
      <w:r>
        <w:rPr>
          <w:rFonts w:ascii="Verdana" w:hAnsi="Verdana"/>
        </w:rPr>
        <w:t>adotadas</w:t>
      </w:r>
      <w:r>
        <w:rPr>
          <w:rFonts w:ascii="Verdana" w:hAnsi="Verdana"/>
          <w:spacing w:val="-1"/>
        </w:rPr>
        <w:t xml:space="preserve"> </w:t>
      </w:r>
      <w:r>
        <w:rPr>
          <w:rFonts w:ascii="Verdana" w:hAnsi="Verdana"/>
        </w:rPr>
        <w:t>no</w:t>
      </w:r>
      <w:r>
        <w:rPr>
          <w:rFonts w:ascii="Verdana" w:hAnsi="Verdana"/>
          <w:spacing w:val="-4"/>
        </w:rPr>
        <w:t xml:space="preserve"> </w:t>
      </w:r>
      <w:r>
        <w:rPr>
          <w:rFonts w:ascii="Verdana" w:hAnsi="Verdana"/>
        </w:rPr>
        <w:t>Brasil</w:t>
      </w:r>
      <w:r>
        <w:rPr>
          <w:rFonts w:ascii="Verdana" w:hAnsi="Verdana"/>
          <w:spacing w:val="-3"/>
        </w:rPr>
        <w:t xml:space="preserve"> </w:t>
      </w:r>
      <w:r>
        <w:rPr>
          <w:rFonts w:ascii="Verdana" w:hAnsi="Verdana"/>
        </w:rPr>
        <w:t>e</w:t>
      </w:r>
      <w:r>
        <w:rPr>
          <w:rFonts w:ascii="Verdana" w:hAnsi="Verdana"/>
          <w:spacing w:val="-1"/>
        </w:rPr>
        <w:t xml:space="preserve"> </w:t>
      </w:r>
      <w:r>
        <w:rPr>
          <w:rFonts w:ascii="Verdana" w:hAnsi="Verdana"/>
        </w:rPr>
        <w:t>com</w:t>
      </w:r>
      <w:r>
        <w:rPr>
          <w:rFonts w:ascii="Verdana" w:hAnsi="Verdana"/>
          <w:spacing w:val="-4"/>
        </w:rPr>
        <w:t xml:space="preserve"> </w:t>
      </w:r>
      <w:r>
        <w:rPr>
          <w:rFonts w:ascii="Verdana" w:hAnsi="Verdana"/>
        </w:rPr>
        <w:t>as</w:t>
      </w:r>
      <w:r>
        <w:rPr>
          <w:rFonts w:ascii="Verdana" w:hAnsi="Verdana"/>
          <w:spacing w:val="-1"/>
        </w:rPr>
        <w:t xml:space="preserve"> </w:t>
      </w:r>
      <w:r>
        <w:rPr>
          <w:rFonts w:ascii="Verdana" w:hAnsi="Verdana"/>
        </w:rPr>
        <w:t>normas</w:t>
      </w:r>
      <w:r>
        <w:rPr>
          <w:rFonts w:ascii="Verdana" w:hAnsi="Verdana"/>
          <w:spacing w:val="-1"/>
        </w:rPr>
        <w:t xml:space="preserve"> </w:t>
      </w:r>
      <w:r>
        <w:rPr>
          <w:rFonts w:ascii="Verdana" w:hAnsi="Verdana"/>
        </w:rPr>
        <w:t>internacionais</w:t>
      </w:r>
      <w:r>
        <w:rPr>
          <w:rFonts w:ascii="Verdana" w:hAnsi="Verdana"/>
          <w:spacing w:val="-1"/>
        </w:rPr>
        <w:t xml:space="preserve"> </w:t>
      </w:r>
      <w:r>
        <w:rPr>
          <w:rFonts w:ascii="Verdana" w:hAnsi="Verdana"/>
        </w:rPr>
        <w:t>de relatório financeiro (“</w:t>
      </w:r>
      <w:r>
        <w:rPr>
          <w:rFonts w:ascii="Arial" w:hAnsi="Arial"/>
          <w:i/>
        </w:rPr>
        <w:t xml:space="preserve">International Financial Reporting Standards </w:t>
      </w:r>
      <w:r>
        <w:rPr>
          <w:rFonts w:ascii="Verdana" w:hAnsi="Verdana"/>
        </w:rPr>
        <w:t xml:space="preserve">– IFRS”) emitidas </w:t>
      </w:r>
      <w:r>
        <w:rPr>
          <w:rFonts w:ascii="Verdana" w:hAnsi="Verdana"/>
          <w:spacing w:val="-2"/>
        </w:rPr>
        <w:t>pelo</w:t>
      </w:r>
      <w:r>
        <w:rPr>
          <w:rFonts w:ascii="Verdana" w:hAnsi="Verdana"/>
          <w:spacing w:val="-10"/>
        </w:rPr>
        <w:t xml:space="preserve"> </w:t>
      </w:r>
      <w:r>
        <w:rPr>
          <w:rFonts w:ascii="Verdana" w:hAnsi="Verdana"/>
          <w:spacing w:val="-2"/>
        </w:rPr>
        <w:t>“International</w:t>
      </w:r>
      <w:r>
        <w:rPr>
          <w:rFonts w:ascii="Verdana" w:hAnsi="Verdana"/>
          <w:spacing w:val="-8"/>
        </w:rPr>
        <w:t xml:space="preserve"> </w:t>
      </w:r>
      <w:r>
        <w:rPr>
          <w:rFonts w:ascii="Verdana" w:hAnsi="Verdana"/>
          <w:spacing w:val="-2"/>
        </w:rPr>
        <w:t>Accounting</w:t>
      </w:r>
      <w:r>
        <w:rPr>
          <w:rFonts w:ascii="Verdana" w:hAnsi="Verdana"/>
          <w:spacing w:val="-13"/>
        </w:rPr>
        <w:t xml:space="preserve"> </w:t>
      </w:r>
      <w:r>
        <w:rPr>
          <w:rFonts w:ascii="Verdana" w:hAnsi="Verdana"/>
          <w:spacing w:val="-2"/>
        </w:rPr>
        <w:t>Standards</w:t>
      </w:r>
      <w:r>
        <w:rPr>
          <w:rFonts w:ascii="Verdana" w:hAnsi="Verdana"/>
          <w:spacing w:val="-12"/>
        </w:rPr>
        <w:t xml:space="preserve"> </w:t>
      </w:r>
      <w:r>
        <w:rPr>
          <w:rFonts w:ascii="Verdana" w:hAnsi="Verdana"/>
          <w:spacing w:val="-2"/>
        </w:rPr>
        <w:t>Board</w:t>
      </w:r>
      <w:r>
        <w:rPr>
          <w:rFonts w:ascii="Verdana" w:hAnsi="Verdana"/>
          <w:spacing w:val="-11"/>
        </w:rPr>
        <w:t xml:space="preserve"> </w:t>
      </w:r>
      <w:r>
        <w:rPr>
          <w:rFonts w:ascii="Verdana" w:hAnsi="Verdana"/>
          <w:spacing w:val="-2"/>
        </w:rPr>
        <w:t>–</w:t>
      </w:r>
      <w:r>
        <w:rPr>
          <w:rFonts w:ascii="Verdana" w:hAnsi="Verdana"/>
          <w:spacing w:val="-11"/>
        </w:rPr>
        <w:t xml:space="preserve"> </w:t>
      </w:r>
      <w:r>
        <w:rPr>
          <w:rFonts w:ascii="Verdana" w:hAnsi="Verdana"/>
          <w:spacing w:val="-2"/>
        </w:rPr>
        <w:t>IASB”.</w:t>
      </w:r>
    </w:p>
    <w:p w14:paraId="56205789" w14:textId="77777777" w:rsidR="002C6574" w:rsidRDefault="002C6574">
      <w:pPr>
        <w:pStyle w:val="Corpodetexto"/>
        <w:spacing w:before="1"/>
        <w:rPr>
          <w:rFonts w:ascii="Verdana"/>
        </w:rPr>
      </w:pPr>
    </w:p>
    <w:p w14:paraId="31CB0EBE" w14:textId="77777777" w:rsidR="002C6574" w:rsidRDefault="00000000">
      <w:pPr>
        <w:ind w:left="709"/>
        <w:rPr>
          <w:rFonts w:ascii="Tahoma" w:hAnsi="Tahoma"/>
          <w:b/>
        </w:rPr>
      </w:pPr>
      <w:r>
        <w:rPr>
          <w:rFonts w:ascii="Tahoma" w:hAnsi="Tahoma"/>
          <w:b/>
        </w:rPr>
        <w:t>Base</w:t>
      </w:r>
      <w:r>
        <w:rPr>
          <w:rFonts w:ascii="Tahoma" w:hAnsi="Tahoma"/>
          <w:b/>
          <w:spacing w:val="-10"/>
        </w:rPr>
        <w:t xml:space="preserve"> </w:t>
      </w:r>
      <w:r>
        <w:rPr>
          <w:rFonts w:ascii="Tahoma" w:hAnsi="Tahoma"/>
          <w:b/>
        </w:rPr>
        <w:t>para</w:t>
      </w:r>
      <w:r>
        <w:rPr>
          <w:rFonts w:ascii="Tahoma" w:hAnsi="Tahoma"/>
          <w:b/>
          <w:spacing w:val="-9"/>
        </w:rPr>
        <w:t xml:space="preserve"> </w:t>
      </w:r>
      <w:r>
        <w:rPr>
          <w:rFonts w:ascii="Tahoma" w:hAnsi="Tahoma"/>
          <w:b/>
          <w:spacing w:val="-2"/>
        </w:rPr>
        <w:t>Opinião</w:t>
      </w:r>
    </w:p>
    <w:p w14:paraId="56015F0C" w14:textId="77777777" w:rsidR="002C6574" w:rsidRDefault="002C6574">
      <w:pPr>
        <w:pStyle w:val="Corpodetexto"/>
        <w:spacing w:before="7"/>
        <w:rPr>
          <w:rFonts w:ascii="Tahoma"/>
          <w:b/>
        </w:rPr>
      </w:pPr>
    </w:p>
    <w:p w14:paraId="0DA828E7" w14:textId="77777777" w:rsidR="002C6574" w:rsidRDefault="00000000">
      <w:pPr>
        <w:pStyle w:val="Corpodetexto"/>
        <w:spacing w:before="1" w:line="242" w:lineRule="auto"/>
        <w:ind w:left="709" w:right="418"/>
        <w:jc w:val="both"/>
        <w:rPr>
          <w:rFonts w:ascii="Verdana" w:hAnsi="Verdana"/>
        </w:rPr>
      </w:pPr>
      <w:r>
        <w:rPr>
          <w:rFonts w:ascii="Verdana" w:hAnsi="Verdana"/>
          <w:spacing w:val="-2"/>
        </w:rPr>
        <w:t>Nossa</w:t>
      </w:r>
      <w:r>
        <w:rPr>
          <w:rFonts w:ascii="Verdana" w:hAnsi="Verdana"/>
          <w:spacing w:val="-17"/>
        </w:rPr>
        <w:t xml:space="preserve"> </w:t>
      </w:r>
      <w:r>
        <w:rPr>
          <w:rFonts w:ascii="Verdana" w:hAnsi="Verdana"/>
          <w:spacing w:val="-2"/>
        </w:rPr>
        <w:t>auditoria</w:t>
      </w:r>
      <w:r>
        <w:rPr>
          <w:rFonts w:ascii="Verdana" w:hAnsi="Verdana"/>
          <w:spacing w:val="-14"/>
        </w:rPr>
        <w:t xml:space="preserve"> </w:t>
      </w:r>
      <w:r>
        <w:rPr>
          <w:rFonts w:ascii="Verdana" w:hAnsi="Verdana"/>
          <w:spacing w:val="-2"/>
        </w:rPr>
        <w:t>foi</w:t>
      </w:r>
      <w:r>
        <w:rPr>
          <w:rFonts w:ascii="Verdana" w:hAnsi="Verdana"/>
          <w:spacing w:val="-18"/>
        </w:rPr>
        <w:t xml:space="preserve"> </w:t>
      </w:r>
      <w:r>
        <w:rPr>
          <w:rFonts w:ascii="Verdana" w:hAnsi="Verdana"/>
          <w:spacing w:val="-2"/>
        </w:rPr>
        <w:t>conduzida</w:t>
      </w:r>
      <w:r>
        <w:rPr>
          <w:rFonts w:ascii="Verdana" w:hAnsi="Verdana"/>
          <w:spacing w:val="-13"/>
        </w:rPr>
        <w:t xml:space="preserve"> </w:t>
      </w:r>
      <w:r>
        <w:rPr>
          <w:rFonts w:ascii="Verdana" w:hAnsi="Verdana"/>
          <w:spacing w:val="-2"/>
        </w:rPr>
        <w:t>de</w:t>
      </w:r>
      <w:r>
        <w:rPr>
          <w:rFonts w:ascii="Verdana" w:hAnsi="Verdana"/>
          <w:spacing w:val="-17"/>
        </w:rPr>
        <w:t xml:space="preserve"> </w:t>
      </w:r>
      <w:r>
        <w:rPr>
          <w:rFonts w:ascii="Verdana" w:hAnsi="Verdana"/>
          <w:spacing w:val="-2"/>
        </w:rPr>
        <w:t>acordo</w:t>
      </w:r>
      <w:r>
        <w:rPr>
          <w:rFonts w:ascii="Verdana" w:hAnsi="Verdana"/>
          <w:spacing w:val="-17"/>
        </w:rPr>
        <w:t xml:space="preserve"> </w:t>
      </w:r>
      <w:r>
        <w:rPr>
          <w:rFonts w:ascii="Verdana" w:hAnsi="Verdana"/>
          <w:spacing w:val="-2"/>
        </w:rPr>
        <w:t>com</w:t>
      </w:r>
      <w:r>
        <w:rPr>
          <w:rFonts w:ascii="Verdana" w:hAnsi="Verdana"/>
          <w:spacing w:val="-17"/>
        </w:rPr>
        <w:t xml:space="preserve"> </w:t>
      </w:r>
      <w:r>
        <w:rPr>
          <w:rFonts w:ascii="Verdana" w:hAnsi="Verdana"/>
          <w:spacing w:val="-2"/>
        </w:rPr>
        <w:t>as</w:t>
      </w:r>
      <w:r>
        <w:rPr>
          <w:rFonts w:ascii="Verdana" w:hAnsi="Verdana"/>
          <w:spacing w:val="-18"/>
        </w:rPr>
        <w:t xml:space="preserve"> </w:t>
      </w:r>
      <w:r>
        <w:rPr>
          <w:rFonts w:ascii="Verdana" w:hAnsi="Verdana"/>
          <w:spacing w:val="-2"/>
        </w:rPr>
        <w:t>normas</w:t>
      </w:r>
      <w:r>
        <w:rPr>
          <w:rFonts w:ascii="Verdana" w:hAnsi="Verdana"/>
          <w:spacing w:val="-14"/>
        </w:rPr>
        <w:t xml:space="preserve"> </w:t>
      </w:r>
      <w:r>
        <w:rPr>
          <w:rFonts w:ascii="Verdana" w:hAnsi="Verdana"/>
          <w:spacing w:val="-2"/>
        </w:rPr>
        <w:t>brasileiras</w:t>
      </w:r>
      <w:r>
        <w:rPr>
          <w:rFonts w:ascii="Verdana" w:hAnsi="Verdana"/>
          <w:spacing w:val="-18"/>
        </w:rPr>
        <w:t xml:space="preserve"> </w:t>
      </w:r>
      <w:r>
        <w:rPr>
          <w:rFonts w:ascii="Verdana" w:hAnsi="Verdana"/>
          <w:spacing w:val="-2"/>
        </w:rPr>
        <w:t>e</w:t>
      </w:r>
      <w:r>
        <w:rPr>
          <w:rFonts w:ascii="Verdana" w:hAnsi="Verdana"/>
          <w:spacing w:val="-12"/>
        </w:rPr>
        <w:t xml:space="preserve"> </w:t>
      </w:r>
      <w:r>
        <w:rPr>
          <w:rFonts w:ascii="Verdana" w:hAnsi="Verdana"/>
          <w:spacing w:val="-2"/>
        </w:rPr>
        <w:t xml:space="preserve">internacionais </w:t>
      </w:r>
      <w:r>
        <w:rPr>
          <w:rFonts w:ascii="Verdana" w:hAnsi="Verdana"/>
        </w:rPr>
        <w:t>de</w:t>
      </w:r>
      <w:r>
        <w:rPr>
          <w:rFonts w:ascii="Verdana" w:hAnsi="Verdana"/>
          <w:spacing w:val="-16"/>
        </w:rPr>
        <w:t xml:space="preserve"> </w:t>
      </w:r>
      <w:r>
        <w:rPr>
          <w:rFonts w:ascii="Verdana" w:hAnsi="Verdana"/>
        </w:rPr>
        <w:t>auditoria.</w:t>
      </w:r>
      <w:r>
        <w:rPr>
          <w:rFonts w:ascii="Verdana" w:hAnsi="Verdana"/>
          <w:spacing w:val="-16"/>
        </w:rPr>
        <w:t xml:space="preserve"> </w:t>
      </w:r>
      <w:r>
        <w:rPr>
          <w:rFonts w:ascii="Verdana" w:hAnsi="Verdana"/>
        </w:rPr>
        <w:t>Nossas</w:t>
      </w:r>
      <w:r>
        <w:rPr>
          <w:rFonts w:ascii="Verdana" w:hAnsi="Verdana"/>
          <w:spacing w:val="-17"/>
        </w:rPr>
        <w:t xml:space="preserve"> </w:t>
      </w:r>
      <w:r>
        <w:rPr>
          <w:rFonts w:ascii="Verdana" w:hAnsi="Verdana"/>
        </w:rPr>
        <w:t>responsabilidades,</w:t>
      </w:r>
      <w:r>
        <w:rPr>
          <w:rFonts w:ascii="Verdana" w:hAnsi="Verdana"/>
          <w:spacing w:val="-15"/>
        </w:rPr>
        <w:t xml:space="preserve"> </w:t>
      </w:r>
      <w:r>
        <w:rPr>
          <w:rFonts w:ascii="Verdana" w:hAnsi="Verdana"/>
        </w:rPr>
        <w:t>em</w:t>
      </w:r>
      <w:r>
        <w:rPr>
          <w:rFonts w:ascii="Verdana" w:hAnsi="Verdana"/>
          <w:spacing w:val="-20"/>
        </w:rPr>
        <w:t xml:space="preserve"> </w:t>
      </w:r>
      <w:r>
        <w:rPr>
          <w:rFonts w:ascii="Verdana" w:hAnsi="Verdana"/>
        </w:rPr>
        <w:t>conformidade</w:t>
      </w:r>
      <w:r>
        <w:rPr>
          <w:rFonts w:ascii="Verdana" w:hAnsi="Verdana"/>
          <w:spacing w:val="-18"/>
        </w:rPr>
        <w:t xml:space="preserve"> </w:t>
      </w:r>
      <w:r>
        <w:rPr>
          <w:rFonts w:ascii="Verdana" w:hAnsi="Verdana"/>
        </w:rPr>
        <w:t>com</w:t>
      </w:r>
      <w:r>
        <w:rPr>
          <w:rFonts w:ascii="Verdana" w:hAnsi="Verdana"/>
          <w:spacing w:val="-19"/>
        </w:rPr>
        <w:t xml:space="preserve"> </w:t>
      </w:r>
      <w:r>
        <w:rPr>
          <w:rFonts w:ascii="Verdana" w:hAnsi="Verdana"/>
        </w:rPr>
        <w:t>tais</w:t>
      </w:r>
      <w:r>
        <w:rPr>
          <w:rFonts w:ascii="Verdana" w:hAnsi="Verdana"/>
          <w:spacing w:val="-16"/>
        </w:rPr>
        <w:t xml:space="preserve"> </w:t>
      </w:r>
      <w:r>
        <w:rPr>
          <w:rFonts w:ascii="Verdana" w:hAnsi="Verdana"/>
        </w:rPr>
        <w:t>normas,</w:t>
      </w:r>
      <w:r>
        <w:rPr>
          <w:rFonts w:ascii="Verdana" w:hAnsi="Verdana"/>
          <w:spacing w:val="-16"/>
        </w:rPr>
        <w:t xml:space="preserve"> </w:t>
      </w:r>
      <w:r>
        <w:rPr>
          <w:rFonts w:ascii="Verdana" w:hAnsi="Verdana"/>
        </w:rPr>
        <w:t xml:space="preserve">estão </w:t>
      </w:r>
      <w:r>
        <w:rPr>
          <w:rFonts w:ascii="Verdana" w:hAnsi="Verdana"/>
          <w:spacing w:val="-2"/>
        </w:rPr>
        <w:t>descritas</w:t>
      </w:r>
      <w:r>
        <w:rPr>
          <w:rFonts w:ascii="Verdana" w:hAnsi="Verdana"/>
          <w:spacing w:val="-18"/>
        </w:rPr>
        <w:t xml:space="preserve"> </w:t>
      </w:r>
      <w:r>
        <w:rPr>
          <w:rFonts w:ascii="Verdana" w:hAnsi="Verdana"/>
          <w:spacing w:val="-2"/>
        </w:rPr>
        <w:t>na</w:t>
      </w:r>
      <w:r>
        <w:rPr>
          <w:rFonts w:ascii="Verdana" w:hAnsi="Verdana"/>
          <w:spacing w:val="-17"/>
        </w:rPr>
        <w:t xml:space="preserve"> </w:t>
      </w:r>
      <w:r>
        <w:rPr>
          <w:rFonts w:ascii="Verdana" w:hAnsi="Verdana"/>
          <w:spacing w:val="-2"/>
        </w:rPr>
        <w:t>seção</w:t>
      </w:r>
      <w:r>
        <w:rPr>
          <w:rFonts w:ascii="Verdana" w:hAnsi="Verdana"/>
          <w:spacing w:val="-17"/>
        </w:rPr>
        <w:t xml:space="preserve"> </w:t>
      </w:r>
      <w:r>
        <w:rPr>
          <w:rFonts w:ascii="Verdana" w:hAnsi="Verdana"/>
          <w:spacing w:val="-2"/>
        </w:rPr>
        <w:t>a</w:t>
      </w:r>
      <w:r>
        <w:rPr>
          <w:rFonts w:ascii="Verdana" w:hAnsi="Verdana"/>
          <w:spacing w:val="-18"/>
        </w:rPr>
        <w:t xml:space="preserve"> </w:t>
      </w:r>
      <w:r>
        <w:rPr>
          <w:rFonts w:ascii="Verdana" w:hAnsi="Verdana"/>
          <w:spacing w:val="-2"/>
        </w:rPr>
        <w:t>seguir,</w:t>
      </w:r>
      <w:r>
        <w:rPr>
          <w:rFonts w:ascii="Verdana" w:hAnsi="Verdana"/>
          <w:spacing w:val="-17"/>
        </w:rPr>
        <w:t xml:space="preserve"> </w:t>
      </w:r>
      <w:r>
        <w:rPr>
          <w:rFonts w:ascii="Verdana" w:hAnsi="Verdana"/>
          <w:spacing w:val="-2"/>
        </w:rPr>
        <w:t>intitulada</w:t>
      </w:r>
      <w:r>
        <w:rPr>
          <w:rFonts w:ascii="Verdana" w:hAnsi="Verdana"/>
          <w:spacing w:val="-18"/>
        </w:rPr>
        <w:t xml:space="preserve"> </w:t>
      </w:r>
      <w:r>
        <w:rPr>
          <w:rFonts w:ascii="Verdana" w:hAnsi="Verdana"/>
          <w:spacing w:val="-2"/>
        </w:rPr>
        <w:t>“Responsabilidades</w:t>
      </w:r>
      <w:r>
        <w:rPr>
          <w:rFonts w:ascii="Verdana" w:hAnsi="Verdana"/>
          <w:spacing w:val="-17"/>
        </w:rPr>
        <w:t xml:space="preserve"> </w:t>
      </w:r>
      <w:r>
        <w:rPr>
          <w:rFonts w:ascii="Verdana" w:hAnsi="Verdana"/>
          <w:spacing w:val="-2"/>
        </w:rPr>
        <w:t>do</w:t>
      </w:r>
      <w:r>
        <w:rPr>
          <w:rFonts w:ascii="Verdana" w:hAnsi="Verdana"/>
          <w:spacing w:val="-17"/>
        </w:rPr>
        <w:t xml:space="preserve"> </w:t>
      </w:r>
      <w:r>
        <w:rPr>
          <w:rFonts w:ascii="Verdana" w:hAnsi="Verdana"/>
          <w:spacing w:val="-2"/>
        </w:rPr>
        <w:t>Auditor</w:t>
      </w:r>
      <w:r>
        <w:rPr>
          <w:rFonts w:ascii="Verdana" w:hAnsi="Verdana"/>
          <w:spacing w:val="-18"/>
        </w:rPr>
        <w:t xml:space="preserve"> </w:t>
      </w:r>
      <w:r>
        <w:rPr>
          <w:rFonts w:ascii="Verdana" w:hAnsi="Verdana"/>
          <w:spacing w:val="-2"/>
        </w:rPr>
        <w:t>pela</w:t>
      </w:r>
      <w:r>
        <w:rPr>
          <w:rFonts w:ascii="Verdana" w:hAnsi="Verdana"/>
          <w:spacing w:val="-17"/>
        </w:rPr>
        <w:t xml:space="preserve"> </w:t>
      </w:r>
      <w:r>
        <w:rPr>
          <w:rFonts w:ascii="Verdana" w:hAnsi="Verdana"/>
          <w:spacing w:val="-2"/>
        </w:rPr>
        <w:t xml:space="preserve">Auditoria </w:t>
      </w:r>
      <w:r>
        <w:rPr>
          <w:rFonts w:ascii="Verdana" w:hAnsi="Verdana"/>
        </w:rPr>
        <w:t>das</w:t>
      </w:r>
      <w:r>
        <w:rPr>
          <w:rFonts w:ascii="Verdana" w:hAnsi="Verdana"/>
          <w:spacing w:val="-6"/>
        </w:rPr>
        <w:t xml:space="preserve"> </w:t>
      </w:r>
      <w:r>
        <w:rPr>
          <w:rFonts w:ascii="Verdana" w:hAnsi="Verdana"/>
        </w:rPr>
        <w:t>Demonstrações</w:t>
      </w:r>
      <w:r>
        <w:rPr>
          <w:rFonts w:ascii="Verdana" w:hAnsi="Verdana"/>
          <w:spacing w:val="-4"/>
        </w:rPr>
        <w:t xml:space="preserve"> </w:t>
      </w:r>
      <w:r>
        <w:rPr>
          <w:rFonts w:ascii="Verdana" w:hAnsi="Verdana"/>
        </w:rPr>
        <w:t>Contábeis”.</w:t>
      </w:r>
      <w:r>
        <w:rPr>
          <w:rFonts w:ascii="Verdana" w:hAnsi="Verdana"/>
          <w:spacing w:val="-4"/>
        </w:rPr>
        <w:t xml:space="preserve"> </w:t>
      </w:r>
      <w:r>
        <w:rPr>
          <w:rFonts w:ascii="Verdana" w:hAnsi="Verdana"/>
        </w:rPr>
        <w:t>Somos</w:t>
      </w:r>
      <w:r>
        <w:rPr>
          <w:rFonts w:ascii="Verdana" w:hAnsi="Verdana"/>
          <w:spacing w:val="-6"/>
        </w:rPr>
        <w:t xml:space="preserve"> </w:t>
      </w:r>
      <w:r>
        <w:rPr>
          <w:rFonts w:ascii="Verdana" w:hAnsi="Verdana"/>
        </w:rPr>
        <w:t>independentes</w:t>
      </w:r>
      <w:r>
        <w:rPr>
          <w:rFonts w:ascii="Verdana" w:hAnsi="Verdana"/>
          <w:spacing w:val="-6"/>
        </w:rPr>
        <w:t xml:space="preserve"> </w:t>
      </w:r>
      <w:r>
        <w:rPr>
          <w:rFonts w:ascii="Verdana" w:hAnsi="Verdana"/>
        </w:rPr>
        <w:t>em</w:t>
      </w:r>
      <w:r>
        <w:rPr>
          <w:rFonts w:ascii="Verdana" w:hAnsi="Verdana"/>
          <w:spacing w:val="-6"/>
        </w:rPr>
        <w:t xml:space="preserve"> </w:t>
      </w:r>
      <w:r>
        <w:rPr>
          <w:rFonts w:ascii="Verdana" w:hAnsi="Verdana"/>
        </w:rPr>
        <w:t>relação</w:t>
      </w:r>
      <w:r>
        <w:rPr>
          <w:rFonts w:ascii="Verdana" w:hAnsi="Verdana"/>
          <w:spacing w:val="-3"/>
        </w:rPr>
        <w:t xml:space="preserve"> </w:t>
      </w:r>
      <w:r>
        <w:rPr>
          <w:rFonts w:ascii="Verdana" w:hAnsi="Verdana"/>
        </w:rPr>
        <w:t>à</w:t>
      </w:r>
      <w:r>
        <w:rPr>
          <w:rFonts w:ascii="Verdana" w:hAnsi="Verdana"/>
          <w:spacing w:val="-6"/>
        </w:rPr>
        <w:t xml:space="preserve"> </w:t>
      </w:r>
      <w:r>
        <w:rPr>
          <w:rFonts w:ascii="Verdana" w:hAnsi="Verdana"/>
        </w:rPr>
        <w:t xml:space="preserve">Companhia, de acordo com os princípios éticos relevantes previstos no Código de Ética </w:t>
      </w:r>
      <w:r>
        <w:rPr>
          <w:rFonts w:ascii="Verdana" w:hAnsi="Verdana"/>
          <w:spacing w:val="-2"/>
        </w:rPr>
        <w:t>Profissional</w:t>
      </w:r>
      <w:r>
        <w:rPr>
          <w:rFonts w:ascii="Verdana" w:hAnsi="Verdana"/>
          <w:spacing w:val="-18"/>
        </w:rPr>
        <w:t xml:space="preserve"> </w:t>
      </w:r>
      <w:r>
        <w:rPr>
          <w:rFonts w:ascii="Verdana" w:hAnsi="Verdana"/>
          <w:spacing w:val="-2"/>
        </w:rPr>
        <w:t>do</w:t>
      </w:r>
      <w:r>
        <w:rPr>
          <w:rFonts w:ascii="Verdana" w:hAnsi="Verdana"/>
          <w:spacing w:val="-17"/>
        </w:rPr>
        <w:t xml:space="preserve"> </w:t>
      </w:r>
      <w:r>
        <w:rPr>
          <w:rFonts w:ascii="Verdana" w:hAnsi="Verdana"/>
          <w:spacing w:val="-2"/>
        </w:rPr>
        <w:t>Contador</w:t>
      </w:r>
      <w:r>
        <w:rPr>
          <w:rFonts w:ascii="Verdana" w:hAnsi="Verdana"/>
          <w:spacing w:val="-17"/>
        </w:rPr>
        <w:t xml:space="preserve"> </w:t>
      </w:r>
      <w:r>
        <w:rPr>
          <w:rFonts w:ascii="Verdana" w:hAnsi="Verdana"/>
          <w:spacing w:val="-2"/>
        </w:rPr>
        <w:t>e</w:t>
      </w:r>
      <w:r>
        <w:rPr>
          <w:rFonts w:ascii="Verdana" w:hAnsi="Verdana"/>
          <w:spacing w:val="-18"/>
        </w:rPr>
        <w:t xml:space="preserve"> </w:t>
      </w:r>
      <w:r>
        <w:rPr>
          <w:rFonts w:ascii="Verdana" w:hAnsi="Verdana"/>
          <w:spacing w:val="-2"/>
        </w:rPr>
        <w:t>nas</w:t>
      </w:r>
      <w:r>
        <w:rPr>
          <w:rFonts w:ascii="Verdana" w:hAnsi="Verdana"/>
          <w:spacing w:val="-17"/>
        </w:rPr>
        <w:t xml:space="preserve"> </w:t>
      </w:r>
      <w:r>
        <w:rPr>
          <w:rFonts w:ascii="Verdana" w:hAnsi="Verdana"/>
          <w:spacing w:val="-2"/>
        </w:rPr>
        <w:t>normas</w:t>
      </w:r>
      <w:r>
        <w:rPr>
          <w:rFonts w:ascii="Verdana" w:hAnsi="Verdana"/>
          <w:spacing w:val="-18"/>
        </w:rPr>
        <w:t xml:space="preserve"> </w:t>
      </w:r>
      <w:r>
        <w:rPr>
          <w:rFonts w:ascii="Verdana" w:hAnsi="Verdana"/>
          <w:spacing w:val="-2"/>
        </w:rPr>
        <w:t>profissionais</w:t>
      </w:r>
      <w:r>
        <w:rPr>
          <w:rFonts w:ascii="Verdana" w:hAnsi="Verdana"/>
          <w:spacing w:val="-17"/>
        </w:rPr>
        <w:t xml:space="preserve"> </w:t>
      </w:r>
      <w:r>
        <w:rPr>
          <w:rFonts w:ascii="Verdana" w:hAnsi="Verdana"/>
          <w:spacing w:val="-2"/>
        </w:rPr>
        <w:t>emitidas</w:t>
      </w:r>
      <w:r>
        <w:rPr>
          <w:rFonts w:ascii="Verdana" w:hAnsi="Verdana"/>
          <w:spacing w:val="-17"/>
        </w:rPr>
        <w:t xml:space="preserve"> </w:t>
      </w:r>
      <w:r>
        <w:rPr>
          <w:rFonts w:ascii="Verdana" w:hAnsi="Verdana"/>
          <w:spacing w:val="-2"/>
        </w:rPr>
        <w:t>pelo</w:t>
      </w:r>
      <w:r>
        <w:rPr>
          <w:rFonts w:ascii="Verdana" w:hAnsi="Verdana"/>
          <w:spacing w:val="-18"/>
        </w:rPr>
        <w:t xml:space="preserve"> </w:t>
      </w:r>
      <w:r>
        <w:rPr>
          <w:rFonts w:ascii="Verdana" w:hAnsi="Verdana"/>
          <w:spacing w:val="-2"/>
        </w:rPr>
        <w:t>Conselho</w:t>
      </w:r>
      <w:r>
        <w:rPr>
          <w:rFonts w:ascii="Verdana" w:hAnsi="Verdana"/>
          <w:spacing w:val="-17"/>
        </w:rPr>
        <w:t xml:space="preserve"> </w:t>
      </w:r>
      <w:r>
        <w:rPr>
          <w:rFonts w:ascii="Verdana" w:hAnsi="Verdana"/>
          <w:spacing w:val="-2"/>
        </w:rPr>
        <w:t xml:space="preserve">Federal </w:t>
      </w:r>
      <w:r>
        <w:rPr>
          <w:rFonts w:ascii="Verdana" w:hAnsi="Verdana"/>
        </w:rPr>
        <w:t>de</w:t>
      </w:r>
      <w:r>
        <w:rPr>
          <w:rFonts w:ascii="Verdana" w:hAnsi="Verdana"/>
          <w:spacing w:val="-4"/>
        </w:rPr>
        <w:t xml:space="preserve"> </w:t>
      </w:r>
      <w:r>
        <w:rPr>
          <w:rFonts w:ascii="Verdana" w:hAnsi="Verdana"/>
        </w:rPr>
        <w:t>Contabilidade</w:t>
      </w:r>
      <w:r>
        <w:rPr>
          <w:rFonts w:ascii="Verdana" w:hAnsi="Verdana"/>
          <w:spacing w:val="-4"/>
        </w:rPr>
        <w:t xml:space="preserve"> </w:t>
      </w:r>
      <w:r>
        <w:rPr>
          <w:rFonts w:ascii="Verdana" w:hAnsi="Verdana"/>
        </w:rPr>
        <w:t>-</w:t>
      </w:r>
      <w:r>
        <w:rPr>
          <w:rFonts w:ascii="Verdana" w:hAnsi="Verdana"/>
          <w:spacing w:val="-6"/>
        </w:rPr>
        <w:t xml:space="preserve"> </w:t>
      </w:r>
      <w:r>
        <w:rPr>
          <w:rFonts w:ascii="Verdana" w:hAnsi="Verdana"/>
        </w:rPr>
        <w:t>CFC,</w:t>
      </w:r>
      <w:r>
        <w:rPr>
          <w:rFonts w:ascii="Verdana" w:hAnsi="Verdana"/>
          <w:spacing w:val="-3"/>
        </w:rPr>
        <w:t xml:space="preserve"> </w:t>
      </w:r>
      <w:r>
        <w:rPr>
          <w:rFonts w:ascii="Verdana" w:hAnsi="Verdana"/>
        </w:rPr>
        <w:t>e</w:t>
      </w:r>
      <w:r>
        <w:rPr>
          <w:rFonts w:ascii="Verdana" w:hAnsi="Verdana"/>
          <w:spacing w:val="-9"/>
        </w:rPr>
        <w:t xml:space="preserve"> </w:t>
      </w:r>
      <w:r>
        <w:rPr>
          <w:rFonts w:ascii="Verdana" w:hAnsi="Verdana"/>
        </w:rPr>
        <w:t>cumprimos</w:t>
      </w:r>
      <w:r>
        <w:rPr>
          <w:rFonts w:ascii="Verdana" w:hAnsi="Verdana"/>
          <w:spacing w:val="-9"/>
        </w:rPr>
        <w:t xml:space="preserve"> </w:t>
      </w:r>
      <w:r>
        <w:rPr>
          <w:rFonts w:ascii="Verdana" w:hAnsi="Verdana"/>
        </w:rPr>
        <w:t>com</w:t>
      </w:r>
      <w:r>
        <w:rPr>
          <w:rFonts w:ascii="Verdana" w:hAnsi="Verdana"/>
          <w:spacing w:val="-9"/>
        </w:rPr>
        <w:t xml:space="preserve"> </w:t>
      </w:r>
      <w:r>
        <w:rPr>
          <w:rFonts w:ascii="Verdana" w:hAnsi="Verdana"/>
        </w:rPr>
        <w:t>as</w:t>
      </w:r>
      <w:r>
        <w:rPr>
          <w:rFonts w:ascii="Verdana" w:hAnsi="Verdana"/>
          <w:spacing w:val="-4"/>
        </w:rPr>
        <w:t xml:space="preserve"> </w:t>
      </w:r>
      <w:r>
        <w:rPr>
          <w:rFonts w:ascii="Verdana" w:hAnsi="Verdana"/>
        </w:rPr>
        <w:t>demais</w:t>
      </w:r>
      <w:r>
        <w:rPr>
          <w:rFonts w:ascii="Verdana" w:hAnsi="Verdana"/>
          <w:spacing w:val="-4"/>
        </w:rPr>
        <w:t xml:space="preserve"> </w:t>
      </w:r>
      <w:r>
        <w:rPr>
          <w:rFonts w:ascii="Verdana" w:hAnsi="Verdana"/>
        </w:rPr>
        <w:t>responsabilidades</w:t>
      </w:r>
      <w:r>
        <w:rPr>
          <w:rFonts w:ascii="Verdana" w:hAnsi="Verdana"/>
          <w:spacing w:val="-4"/>
        </w:rPr>
        <w:t xml:space="preserve"> </w:t>
      </w:r>
      <w:r>
        <w:rPr>
          <w:rFonts w:ascii="Verdana" w:hAnsi="Verdana"/>
        </w:rPr>
        <w:t>éticas</w:t>
      </w:r>
      <w:r>
        <w:rPr>
          <w:rFonts w:ascii="Verdana" w:hAnsi="Verdana"/>
          <w:spacing w:val="-4"/>
        </w:rPr>
        <w:t xml:space="preserve"> </w:t>
      </w:r>
      <w:r>
        <w:rPr>
          <w:rFonts w:ascii="Verdana" w:hAnsi="Verdana"/>
        </w:rPr>
        <w:t>de acordo com essas normas. Acreditamos que a evidência de auditoria obtida é suficiente e apropriada para fundamentar nossa opinião.</w:t>
      </w:r>
    </w:p>
    <w:p w14:paraId="0735DBB8" w14:textId="77777777" w:rsidR="002C6574" w:rsidRDefault="002C6574">
      <w:pPr>
        <w:pStyle w:val="Corpodetexto"/>
        <w:rPr>
          <w:rFonts w:ascii="Verdana"/>
        </w:rPr>
      </w:pPr>
    </w:p>
    <w:p w14:paraId="383AE55B" w14:textId="77777777" w:rsidR="002C6574" w:rsidRDefault="00000000">
      <w:pPr>
        <w:spacing w:before="1"/>
        <w:ind w:left="709"/>
        <w:rPr>
          <w:rFonts w:ascii="Tahoma"/>
          <w:b/>
        </w:rPr>
      </w:pPr>
      <w:r>
        <w:rPr>
          <w:rFonts w:ascii="Tahoma"/>
          <w:b/>
          <w:spacing w:val="-6"/>
        </w:rPr>
        <w:t>Principais Assuntos de</w:t>
      </w:r>
      <w:r>
        <w:rPr>
          <w:rFonts w:ascii="Tahoma"/>
          <w:b/>
          <w:spacing w:val="-8"/>
        </w:rPr>
        <w:t xml:space="preserve"> </w:t>
      </w:r>
      <w:r>
        <w:rPr>
          <w:rFonts w:ascii="Tahoma"/>
          <w:b/>
          <w:spacing w:val="-6"/>
        </w:rPr>
        <w:t>Auditoria -</w:t>
      </w:r>
      <w:r>
        <w:rPr>
          <w:rFonts w:ascii="Tahoma"/>
          <w:b/>
          <w:spacing w:val="-7"/>
        </w:rPr>
        <w:t xml:space="preserve"> </w:t>
      </w:r>
      <w:r>
        <w:rPr>
          <w:rFonts w:ascii="Tahoma"/>
          <w:b/>
          <w:spacing w:val="-6"/>
        </w:rPr>
        <w:t>PAA</w:t>
      </w:r>
    </w:p>
    <w:p w14:paraId="467DA0C9" w14:textId="77777777" w:rsidR="002C6574" w:rsidRDefault="002C6574">
      <w:pPr>
        <w:pStyle w:val="Corpodetexto"/>
        <w:spacing w:before="7"/>
        <w:rPr>
          <w:rFonts w:ascii="Tahoma"/>
          <w:b/>
        </w:rPr>
      </w:pPr>
    </w:p>
    <w:p w14:paraId="5C8E18DB" w14:textId="77777777" w:rsidR="002C6574" w:rsidRDefault="00000000">
      <w:pPr>
        <w:pStyle w:val="Corpodetexto"/>
        <w:spacing w:line="242" w:lineRule="auto"/>
        <w:ind w:left="709" w:right="417"/>
        <w:jc w:val="both"/>
        <w:rPr>
          <w:rFonts w:ascii="Verdana" w:hAnsi="Verdana"/>
        </w:rPr>
      </w:pPr>
      <w:r>
        <w:rPr>
          <w:rFonts w:ascii="Verdana" w:hAnsi="Verdana"/>
        </w:rPr>
        <w:t xml:space="preserve">Principais assuntos de auditoria (“PAA”) são aqueles que, em nosso julgamento </w:t>
      </w:r>
      <w:r>
        <w:rPr>
          <w:rFonts w:ascii="Verdana" w:hAnsi="Verdana"/>
          <w:spacing w:val="-2"/>
        </w:rPr>
        <w:t>profissional,</w:t>
      </w:r>
      <w:r>
        <w:rPr>
          <w:rFonts w:ascii="Verdana" w:hAnsi="Verdana"/>
          <w:spacing w:val="-9"/>
        </w:rPr>
        <w:t xml:space="preserve"> </w:t>
      </w:r>
      <w:r>
        <w:rPr>
          <w:rFonts w:ascii="Verdana" w:hAnsi="Verdana"/>
          <w:spacing w:val="-2"/>
        </w:rPr>
        <w:t>foram</w:t>
      </w:r>
      <w:r>
        <w:rPr>
          <w:rFonts w:ascii="Verdana" w:hAnsi="Verdana"/>
          <w:spacing w:val="-11"/>
        </w:rPr>
        <w:t xml:space="preserve"> </w:t>
      </w:r>
      <w:r>
        <w:rPr>
          <w:rFonts w:ascii="Verdana" w:hAnsi="Verdana"/>
          <w:spacing w:val="-2"/>
        </w:rPr>
        <w:t>os</w:t>
      </w:r>
      <w:r>
        <w:rPr>
          <w:rFonts w:ascii="Verdana" w:hAnsi="Verdana"/>
          <w:spacing w:val="-13"/>
        </w:rPr>
        <w:t xml:space="preserve"> </w:t>
      </w:r>
      <w:r>
        <w:rPr>
          <w:rFonts w:ascii="Verdana" w:hAnsi="Verdana"/>
          <w:spacing w:val="-2"/>
        </w:rPr>
        <w:t>mais</w:t>
      </w:r>
      <w:r>
        <w:rPr>
          <w:rFonts w:ascii="Verdana" w:hAnsi="Verdana"/>
          <w:spacing w:val="-7"/>
        </w:rPr>
        <w:t xml:space="preserve"> </w:t>
      </w:r>
      <w:r>
        <w:rPr>
          <w:rFonts w:ascii="Verdana" w:hAnsi="Verdana"/>
          <w:spacing w:val="-2"/>
        </w:rPr>
        <w:t>significativos</w:t>
      </w:r>
      <w:r>
        <w:rPr>
          <w:rFonts w:ascii="Verdana" w:hAnsi="Verdana"/>
          <w:spacing w:val="-11"/>
        </w:rPr>
        <w:t xml:space="preserve"> </w:t>
      </w:r>
      <w:r>
        <w:rPr>
          <w:rFonts w:ascii="Verdana" w:hAnsi="Verdana"/>
          <w:spacing w:val="-2"/>
        </w:rPr>
        <w:t>em</w:t>
      </w:r>
      <w:r>
        <w:rPr>
          <w:rFonts w:ascii="Verdana" w:hAnsi="Verdana"/>
          <w:spacing w:val="-12"/>
        </w:rPr>
        <w:t xml:space="preserve"> </w:t>
      </w:r>
      <w:r>
        <w:rPr>
          <w:rFonts w:ascii="Verdana" w:hAnsi="Verdana"/>
          <w:spacing w:val="-2"/>
        </w:rPr>
        <w:t>nossa</w:t>
      </w:r>
      <w:r>
        <w:rPr>
          <w:rFonts w:ascii="Verdana" w:hAnsi="Verdana"/>
          <w:spacing w:val="-11"/>
        </w:rPr>
        <w:t xml:space="preserve"> </w:t>
      </w:r>
      <w:r>
        <w:rPr>
          <w:rFonts w:ascii="Verdana" w:hAnsi="Verdana"/>
          <w:spacing w:val="-2"/>
        </w:rPr>
        <w:t>auditoria</w:t>
      </w:r>
      <w:r>
        <w:rPr>
          <w:rFonts w:ascii="Verdana" w:hAnsi="Verdana"/>
          <w:spacing w:val="-8"/>
        </w:rPr>
        <w:t xml:space="preserve"> </w:t>
      </w:r>
      <w:r>
        <w:rPr>
          <w:rFonts w:ascii="Verdana" w:hAnsi="Verdana"/>
          <w:spacing w:val="-2"/>
        </w:rPr>
        <w:t>do</w:t>
      </w:r>
      <w:r>
        <w:rPr>
          <w:rFonts w:ascii="Verdana" w:hAnsi="Verdana"/>
          <w:spacing w:val="-12"/>
        </w:rPr>
        <w:t xml:space="preserve"> </w:t>
      </w:r>
      <w:r>
        <w:rPr>
          <w:rFonts w:ascii="Verdana" w:hAnsi="Verdana"/>
          <w:spacing w:val="-2"/>
        </w:rPr>
        <w:t>exercício</w:t>
      </w:r>
      <w:r>
        <w:rPr>
          <w:rFonts w:ascii="Verdana" w:hAnsi="Verdana"/>
          <w:spacing w:val="-11"/>
        </w:rPr>
        <w:t xml:space="preserve"> </w:t>
      </w:r>
      <w:r>
        <w:rPr>
          <w:rFonts w:ascii="Verdana" w:hAnsi="Verdana"/>
          <w:spacing w:val="-2"/>
        </w:rPr>
        <w:t xml:space="preserve">corrente. </w:t>
      </w:r>
      <w:r>
        <w:rPr>
          <w:rFonts w:ascii="Verdana" w:hAnsi="Verdana"/>
          <w:spacing w:val="-4"/>
        </w:rPr>
        <w:t>Esses</w:t>
      </w:r>
      <w:r>
        <w:rPr>
          <w:rFonts w:ascii="Verdana" w:hAnsi="Verdana"/>
          <w:spacing w:val="-16"/>
        </w:rPr>
        <w:t xml:space="preserve"> </w:t>
      </w:r>
      <w:r>
        <w:rPr>
          <w:rFonts w:ascii="Verdana" w:hAnsi="Verdana"/>
          <w:spacing w:val="-4"/>
        </w:rPr>
        <w:t>assuntos</w:t>
      </w:r>
      <w:r>
        <w:rPr>
          <w:rFonts w:ascii="Verdana" w:hAnsi="Verdana"/>
          <w:spacing w:val="-15"/>
        </w:rPr>
        <w:t xml:space="preserve"> </w:t>
      </w:r>
      <w:r>
        <w:rPr>
          <w:rFonts w:ascii="Verdana" w:hAnsi="Verdana"/>
          <w:spacing w:val="-4"/>
        </w:rPr>
        <w:t>foram</w:t>
      </w:r>
      <w:r>
        <w:rPr>
          <w:rFonts w:ascii="Verdana" w:hAnsi="Verdana"/>
          <w:spacing w:val="-15"/>
        </w:rPr>
        <w:t xml:space="preserve"> </w:t>
      </w:r>
      <w:r>
        <w:rPr>
          <w:rFonts w:ascii="Verdana" w:hAnsi="Verdana"/>
          <w:spacing w:val="-4"/>
        </w:rPr>
        <w:t>abordados</w:t>
      </w:r>
      <w:r>
        <w:rPr>
          <w:rFonts w:ascii="Verdana" w:hAnsi="Verdana"/>
          <w:spacing w:val="-16"/>
        </w:rPr>
        <w:t xml:space="preserve"> </w:t>
      </w:r>
      <w:r>
        <w:rPr>
          <w:rFonts w:ascii="Verdana" w:hAnsi="Verdana"/>
          <w:spacing w:val="-4"/>
        </w:rPr>
        <w:t>no</w:t>
      </w:r>
      <w:r>
        <w:rPr>
          <w:rFonts w:ascii="Verdana" w:hAnsi="Verdana"/>
          <w:spacing w:val="-15"/>
        </w:rPr>
        <w:t xml:space="preserve"> </w:t>
      </w:r>
      <w:r>
        <w:rPr>
          <w:rFonts w:ascii="Verdana" w:hAnsi="Verdana"/>
          <w:spacing w:val="-4"/>
        </w:rPr>
        <w:t>contexto</w:t>
      </w:r>
      <w:r>
        <w:rPr>
          <w:rFonts w:ascii="Verdana" w:hAnsi="Verdana"/>
          <w:spacing w:val="-16"/>
        </w:rPr>
        <w:t xml:space="preserve"> </w:t>
      </w:r>
      <w:r>
        <w:rPr>
          <w:rFonts w:ascii="Verdana" w:hAnsi="Verdana"/>
          <w:spacing w:val="-4"/>
        </w:rPr>
        <w:t>de</w:t>
      </w:r>
      <w:r>
        <w:rPr>
          <w:rFonts w:ascii="Verdana" w:hAnsi="Verdana"/>
          <w:spacing w:val="-15"/>
        </w:rPr>
        <w:t xml:space="preserve"> </w:t>
      </w:r>
      <w:r>
        <w:rPr>
          <w:rFonts w:ascii="Verdana" w:hAnsi="Verdana"/>
          <w:spacing w:val="-4"/>
        </w:rPr>
        <w:t>nossa</w:t>
      </w:r>
      <w:r>
        <w:rPr>
          <w:rFonts w:ascii="Verdana" w:hAnsi="Verdana"/>
          <w:spacing w:val="-15"/>
        </w:rPr>
        <w:t xml:space="preserve"> </w:t>
      </w:r>
      <w:r>
        <w:rPr>
          <w:rFonts w:ascii="Verdana" w:hAnsi="Verdana"/>
          <w:spacing w:val="-4"/>
        </w:rPr>
        <w:t>auditoria</w:t>
      </w:r>
      <w:r>
        <w:rPr>
          <w:rFonts w:ascii="Verdana" w:hAnsi="Verdana"/>
          <w:spacing w:val="-14"/>
        </w:rPr>
        <w:t xml:space="preserve"> </w:t>
      </w:r>
      <w:r>
        <w:rPr>
          <w:rFonts w:ascii="Verdana" w:hAnsi="Verdana"/>
          <w:spacing w:val="-4"/>
        </w:rPr>
        <w:t>das</w:t>
      </w:r>
      <w:r>
        <w:rPr>
          <w:rFonts w:ascii="Verdana" w:hAnsi="Verdana"/>
          <w:spacing w:val="-16"/>
        </w:rPr>
        <w:t xml:space="preserve"> </w:t>
      </w:r>
      <w:r>
        <w:rPr>
          <w:rFonts w:ascii="Verdana" w:hAnsi="Verdana"/>
          <w:spacing w:val="-4"/>
        </w:rPr>
        <w:t xml:space="preserve">demonstrações </w:t>
      </w:r>
      <w:r>
        <w:rPr>
          <w:rFonts w:ascii="Verdana" w:hAnsi="Verdana"/>
        </w:rPr>
        <w:t>contábeis como um todo e na formação de nossa opinião sobre essas demonstrações contábeis, e, portanto, não expressamos uma opinião separada sobre</w:t>
      </w:r>
      <w:r>
        <w:rPr>
          <w:rFonts w:ascii="Verdana" w:hAnsi="Verdana"/>
          <w:spacing w:val="-20"/>
        </w:rPr>
        <w:t xml:space="preserve"> </w:t>
      </w:r>
      <w:r>
        <w:rPr>
          <w:rFonts w:ascii="Verdana" w:hAnsi="Verdana"/>
        </w:rPr>
        <w:t>esses</w:t>
      </w:r>
      <w:r>
        <w:rPr>
          <w:rFonts w:ascii="Verdana" w:hAnsi="Verdana"/>
          <w:spacing w:val="-19"/>
        </w:rPr>
        <w:t xml:space="preserve"> </w:t>
      </w:r>
      <w:r>
        <w:rPr>
          <w:rFonts w:ascii="Verdana" w:hAnsi="Verdana"/>
        </w:rPr>
        <w:t>assuntos.</w:t>
      </w:r>
    </w:p>
    <w:p w14:paraId="525C8198" w14:textId="77777777" w:rsidR="002C6574" w:rsidRDefault="002C6574">
      <w:pPr>
        <w:pStyle w:val="Corpodetexto"/>
        <w:spacing w:line="242" w:lineRule="auto"/>
        <w:jc w:val="both"/>
        <w:rPr>
          <w:rFonts w:ascii="Verdana" w:hAnsi="Verdana"/>
        </w:rPr>
        <w:sectPr w:rsidR="002C6574">
          <w:pgSz w:w="11910" w:h="16840"/>
          <w:pgMar w:top="1560" w:right="850" w:bottom="1440" w:left="992" w:header="826" w:footer="1241" w:gutter="0"/>
          <w:cols w:space="720"/>
        </w:sectPr>
      </w:pPr>
    </w:p>
    <w:p w14:paraId="41E47D9C" w14:textId="77777777" w:rsidR="002C6574" w:rsidRDefault="00000000">
      <w:pPr>
        <w:pStyle w:val="Corpodetexto"/>
        <w:spacing w:before="257"/>
        <w:ind w:left="709"/>
        <w:jc w:val="both"/>
        <w:rPr>
          <w:rFonts w:ascii="Verdana" w:hAnsi="Verdana"/>
        </w:rPr>
      </w:pPr>
      <w:r>
        <w:rPr>
          <w:rFonts w:ascii="Verdana" w:hAnsi="Verdana"/>
          <w:spacing w:val="-2"/>
        </w:rPr>
        <w:lastRenderedPageBreak/>
        <w:t>Ativo</w:t>
      </w:r>
      <w:r>
        <w:rPr>
          <w:rFonts w:ascii="Verdana" w:hAnsi="Verdana"/>
          <w:spacing w:val="-9"/>
        </w:rPr>
        <w:t xml:space="preserve"> </w:t>
      </w:r>
      <w:r>
        <w:rPr>
          <w:rFonts w:ascii="Verdana" w:hAnsi="Verdana"/>
          <w:spacing w:val="-2"/>
        </w:rPr>
        <w:t>Imobilizado</w:t>
      </w:r>
      <w:r>
        <w:rPr>
          <w:rFonts w:ascii="Verdana" w:hAnsi="Verdana"/>
          <w:spacing w:val="-10"/>
        </w:rPr>
        <w:t xml:space="preserve"> </w:t>
      </w:r>
      <w:r>
        <w:rPr>
          <w:rFonts w:ascii="Verdana" w:hAnsi="Verdana"/>
          <w:spacing w:val="-2"/>
        </w:rPr>
        <w:t>e</w:t>
      </w:r>
      <w:r>
        <w:rPr>
          <w:rFonts w:ascii="Verdana" w:hAnsi="Verdana"/>
          <w:spacing w:val="-10"/>
        </w:rPr>
        <w:t xml:space="preserve"> </w:t>
      </w:r>
      <w:r>
        <w:rPr>
          <w:rFonts w:ascii="Verdana" w:hAnsi="Verdana"/>
          <w:spacing w:val="-2"/>
        </w:rPr>
        <w:t>Análise</w:t>
      </w:r>
      <w:r>
        <w:rPr>
          <w:rFonts w:ascii="Verdana" w:hAnsi="Verdana"/>
          <w:spacing w:val="-6"/>
        </w:rPr>
        <w:t xml:space="preserve"> </w:t>
      </w:r>
      <w:r>
        <w:rPr>
          <w:rFonts w:ascii="Verdana" w:hAnsi="Verdana"/>
          <w:spacing w:val="-2"/>
        </w:rPr>
        <w:t>de</w:t>
      </w:r>
      <w:r>
        <w:rPr>
          <w:rFonts w:ascii="Verdana" w:hAnsi="Verdana"/>
          <w:spacing w:val="-10"/>
        </w:rPr>
        <w:t xml:space="preserve"> </w:t>
      </w:r>
      <w:r>
        <w:rPr>
          <w:rFonts w:ascii="Verdana" w:hAnsi="Verdana"/>
          <w:spacing w:val="-2"/>
        </w:rPr>
        <w:t>Recuperabilidade</w:t>
      </w:r>
      <w:r>
        <w:rPr>
          <w:rFonts w:ascii="Verdana" w:hAnsi="Verdana"/>
          <w:spacing w:val="-7"/>
        </w:rPr>
        <w:t xml:space="preserve"> </w:t>
      </w:r>
      <w:r>
        <w:rPr>
          <w:rFonts w:ascii="Verdana" w:hAnsi="Verdana"/>
          <w:spacing w:val="-2"/>
        </w:rPr>
        <w:t>(</w:t>
      </w:r>
      <w:r>
        <w:rPr>
          <w:rFonts w:ascii="Arial" w:hAnsi="Arial"/>
          <w:i/>
          <w:spacing w:val="-2"/>
        </w:rPr>
        <w:t>Impairment</w:t>
      </w:r>
      <w:r>
        <w:rPr>
          <w:rFonts w:ascii="Verdana" w:hAnsi="Verdana"/>
          <w:spacing w:val="-2"/>
        </w:rPr>
        <w:t>).</w:t>
      </w:r>
    </w:p>
    <w:p w14:paraId="75B397E5" w14:textId="77777777" w:rsidR="002C6574" w:rsidRDefault="002C6574">
      <w:pPr>
        <w:pStyle w:val="Corpodetexto"/>
        <w:spacing w:before="4"/>
        <w:rPr>
          <w:rFonts w:ascii="Verdana"/>
        </w:rPr>
      </w:pPr>
    </w:p>
    <w:p w14:paraId="05D71E50" w14:textId="77777777" w:rsidR="002C6574" w:rsidRDefault="00000000">
      <w:pPr>
        <w:pStyle w:val="Corpodetexto"/>
        <w:spacing w:line="242" w:lineRule="auto"/>
        <w:ind w:left="709" w:right="275"/>
        <w:jc w:val="both"/>
        <w:rPr>
          <w:rFonts w:ascii="Verdana" w:hAnsi="Verdana"/>
        </w:rPr>
      </w:pPr>
      <w:r>
        <w:rPr>
          <w:rFonts w:ascii="Verdana" w:hAnsi="Verdana"/>
        </w:rPr>
        <w:t xml:space="preserve">Em 31 de dezembro de 2025, a Companhia possui registrado no imobilizado o </w:t>
      </w:r>
      <w:r>
        <w:rPr>
          <w:rFonts w:ascii="Verdana" w:hAnsi="Verdana"/>
          <w:spacing w:val="-4"/>
        </w:rPr>
        <w:t>montante</w:t>
      </w:r>
      <w:r>
        <w:rPr>
          <w:rFonts w:ascii="Verdana" w:hAnsi="Verdana"/>
          <w:spacing w:val="-10"/>
        </w:rPr>
        <w:t xml:space="preserve"> </w:t>
      </w:r>
      <w:r>
        <w:rPr>
          <w:rFonts w:ascii="Verdana" w:hAnsi="Verdana"/>
          <w:spacing w:val="-4"/>
        </w:rPr>
        <w:t>de</w:t>
      </w:r>
      <w:r>
        <w:rPr>
          <w:rFonts w:ascii="Verdana" w:hAnsi="Verdana"/>
          <w:spacing w:val="-10"/>
        </w:rPr>
        <w:t xml:space="preserve"> </w:t>
      </w:r>
      <w:r>
        <w:rPr>
          <w:rFonts w:ascii="Verdana" w:hAnsi="Verdana"/>
          <w:spacing w:val="-4"/>
        </w:rPr>
        <w:t>R$</w:t>
      </w:r>
      <w:r>
        <w:rPr>
          <w:rFonts w:ascii="Verdana" w:hAnsi="Verdana"/>
          <w:spacing w:val="-10"/>
        </w:rPr>
        <w:t xml:space="preserve"> </w:t>
      </w:r>
      <w:r>
        <w:rPr>
          <w:rFonts w:ascii="Verdana" w:hAnsi="Verdana"/>
          <w:spacing w:val="-4"/>
        </w:rPr>
        <w:t>1.697.499</w:t>
      </w:r>
      <w:r>
        <w:rPr>
          <w:rFonts w:ascii="Verdana" w:hAnsi="Verdana"/>
          <w:spacing w:val="-11"/>
        </w:rPr>
        <w:t xml:space="preserve"> </w:t>
      </w:r>
      <w:r>
        <w:rPr>
          <w:rFonts w:ascii="Verdana" w:hAnsi="Verdana"/>
          <w:spacing w:val="-4"/>
        </w:rPr>
        <w:t>mil,</w:t>
      </w:r>
      <w:r>
        <w:rPr>
          <w:rFonts w:ascii="Verdana" w:hAnsi="Verdana"/>
          <w:spacing w:val="-10"/>
        </w:rPr>
        <w:t xml:space="preserve"> </w:t>
      </w:r>
      <w:r>
        <w:rPr>
          <w:rFonts w:ascii="Verdana" w:hAnsi="Verdana"/>
          <w:spacing w:val="-4"/>
        </w:rPr>
        <w:t>conforme</w:t>
      </w:r>
      <w:r>
        <w:rPr>
          <w:rFonts w:ascii="Verdana" w:hAnsi="Verdana"/>
          <w:spacing w:val="-13"/>
        </w:rPr>
        <w:t xml:space="preserve"> </w:t>
      </w:r>
      <w:r>
        <w:rPr>
          <w:rFonts w:ascii="Verdana" w:hAnsi="Verdana"/>
          <w:spacing w:val="-4"/>
        </w:rPr>
        <w:t>nota</w:t>
      </w:r>
      <w:r>
        <w:rPr>
          <w:rFonts w:ascii="Verdana" w:hAnsi="Verdana"/>
          <w:spacing w:val="-11"/>
        </w:rPr>
        <w:t xml:space="preserve"> </w:t>
      </w:r>
      <w:r>
        <w:rPr>
          <w:rFonts w:ascii="Verdana" w:hAnsi="Verdana"/>
          <w:spacing w:val="-4"/>
        </w:rPr>
        <w:t>explicativa</w:t>
      </w:r>
      <w:r>
        <w:rPr>
          <w:rFonts w:ascii="Verdana" w:hAnsi="Verdana"/>
          <w:spacing w:val="-11"/>
        </w:rPr>
        <w:t xml:space="preserve"> </w:t>
      </w:r>
      <w:r>
        <w:rPr>
          <w:rFonts w:ascii="Verdana" w:hAnsi="Verdana"/>
          <w:spacing w:val="-4"/>
        </w:rPr>
        <w:t>13.</w:t>
      </w:r>
      <w:r>
        <w:rPr>
          <w:rFonts w:ascii="Verdana" w:hAnsi="Verdana"/>
          <w:spacing w:val="-10"/>
        </w:rPr>
        <w:t xml:space="preserve"> </w:t>
      </w:r>
      <w:r>
        <w:rPr>
          <w:rFonts w:ascii="Verdana" w:hAnsi="Verdana"/>
          <w:spacing w:val="-4"/>
        </w:rPr>
        <w:t>A</w:t>
      </w:r>
      <w:r>
        <w:rPr>
          <w:rFonts w:ascii="Verdana" w:hAnsi="Verdana"/>
          <w:spacing w:val="-15"/>
        </w:rPr>
        <w:t xml:space="preserve"> </w:t>
      </w:r>
      <w:r>
        <w:rPr>
          <w:rFonts w:ascii="Verdana" w:hAnsi="Verdana"/>
          <w:spacing w:val="-4"/>
        </w:rPr>
        <w:t>administração</w:t>
      </w:r>
      <w:r>
        <w:rPr>
          <w:rFonts w:ascii="Verdana" w:hAnsi="Verdana"/>
          <w:spacing w:val="-11"/>
        </w:rPr>
        <w:t xml:space="preserve"> </w:t>
      </w:r>
      <w:r>
        <w:rPr>
          <w:rFonts w:ascii="Verdana" w:hAnsi="Verdana"/>
          <w:spacing w:val="-4"/>
        </w:rPr>
        <w:t xml:space="preserve">avalia </w:t>
      </w:r>
      <w:r>
        <w:rPr>
          <w:rFonts w:ascii="Verdana" w:hAnsi="Verdana"/>
        </w:rPr>
        <w:t>periodicamente</w:t>
      </w:r>
      <w:r>
        <w:rPr>
          <w:rFonts w:ascii="Verdana" w:hAnsi="Verdana"/>
          <w:spacing w:val="-2"/>
        </w:rPr>
        <w:t xml:space="preserve"> </w:t>
      </w:r>
      <w:r>
        <w:rPr>
          <w:rFonts w:ascii="Verdana" w:hAnsi="Verdana"/>
        </w:rPr>
        <w:t>ou</w:t>
      </w:r>
      <w:r>
        <w:rPr>
          <w:rFonts w:ascii="Verdana" w:hAnsi="Verdana"/>
          <w:spacing w:val="-9"/>
        </w:rPr>
        <w:t xml:space="preserve"> </w:t>
      </w:r>
      <w:r>
        <w:rPr>
          <w:rFonts w:ascii="Verdana" w:hAnsi="Verdana"/>
        </w:rPr>
        <w:t>quando</w:t>
      </w:r>
      <w:r>
        <w:rPr>
          <w:rFonts w:ascii="Verdana" w:hAnsi="Verdana"/>
          <w:spacing w:val="-3"/>
        </w:rPr>
        <w:t xml:space="preserve"> </w:t>
      </w:r>
      <w:r>
        <w:rPr>
          <w:rFonts w:ascii="Verdana" w:hAnsi="Verdana"/>
        </w:rPr>
        <w:t>há</w:t>
      </w:r>
      <w:r>
        <w:rPr>
          <w:rFonts w:ascii="Verdana" w:hAnsi="Verdana"/>
          <w:spacing w:val="-3"/>
        </w:rPr>
        <w:t xml:space="preserve"> </w:t>
      </w:r>
      <w:r>
        <w:rPr>
          <w:rFonts w:ascii="Verdana" w:hAnsi="Verdana"/>
        </w:rPr>
        <w:t>indícios</w:t>
      </w:r>
      <w:r>
        <w:rPr>
          <w:rFonts w:ascii="Verdana" w:hAnsi="Verdana"/>
          <w:spacing w:val="-7"/>
        </w:rPr>
        <w:t xml:space="preserve"> </w:t>
      </w:r>
      <w:r>
        <w:rPr>
          <w:rFonts w:ascii="Verdana" w:hAnsi="Verdana"/>
        </w:rPr>
        <w:t>acerca</w:t>
      </w:r>
      <w:r>
        <w:rPr>
          <w:rFonts w:ascii="Verdana" w:hAnsi="Verdana"/>
          <w:spacing w:val="-4"/>
        </w:rPr>
        <w:t xml:space="preserve"> </w:t>
      </w:r>
      <w:r>
        <w:rPr>
          <w:rFonts w:ascii="Verdana" w:hAnsi="Verdana"/>
        </w:rPr>
        <w:t>do</w:t>
      </w:r>
      <w:r>
        <w:rPr>
          <w:rFonts w:ascii="Verdana" w:hAnsi="Verdana"/>
          <w:spacing w:val="-8"/>
        </w:rPr>
        <w:t xml:space="preserve"> </w:t>
      </w:r>
      <w:r>
        <w:rPr>
          <w:rFonts w:ascii="Verdana" w:hAnsi="Verdana"/>
        </w:rPr>
        <w:t>risco</w:t>
      </w:r>
      <w:r>
        <w:rPr>
          <w:rFonts w:ascii="Verdana" w:hAnsi="Verdana"/>
          <w:spacing w:val="-8"/>
        </w:rPr>
        <w:t xml:space="preserve"> </w:t>
      </w:r>
      <w:r>
        <w:rPr>
          <w:rFonts w:ascii="Verdana" w:hAnsi="Verdana"/>
        </w:rPr>
        <w:t>de</w:t>
      </w:r>
      <w:r>
        <w:rPr>
          <w:rFonts w:ascii="Verdana" w:hAnsi="Verdana"/>
          <w:spacing w:val="-7"/>
        </w:rPr>
        <w:t xml:space="preserve"> </w:t>
      </w:r>
      <w:r>
        <w:rPr>
          <w:rFonts w:ascii="Arial" w:hAnsi="Arial"/>
          <w:i/>
        </w:rPr>
        <w:t xml:space="preserve">impairment </w:t>
      </w:r>
      <w:r>
        <w:rPr>
          <w:rFonts w:ascii="Verdana" w:hAnsi="Verdana"/>
        </w:rPr>
        <w:t>de</w:t>
      </w:r>
      <w:r>
        <w:rPr>
          <w:rFonts w:ascii="Verdana" w:hAnsi="Verdana"/>
          <w:spacing w:val="-2"/>
        </w:rPr>
        <w:t xml:space="preserve"> </w:t>
      </w:r>
      <w:r>
        <w:rPr>
          <w:rFonts w:ascii="Verdana" w:hAnsi="Verdana"/>
        </w:rPr>
        <w:t>seus</w:t>
      </w:r>
      <w:r>
        <w:rPr>
          <w:rFonts w:ascii="Verdana" w:hAnsi="Verdana"/>
          <w:spacing w:val="-4"/>
        </w:rPr>
        <w:t xml:space="preserve"> </w:t>
      </w:r>
      <w:r>
        <w:rPr>
          <w:rFonts w:ascii="Verdana" w:hAnsi="Verdana"/>
        </w:rPr>
        <w:t>ativos mediante a avaliação quanto à recuperabilidade do ativo imobilizado e definição prevista para a Unidade Geradora de Caixa. O processo incorpora julgamentos significativos em relação a fatores associados à prestação de serviço futuro e premissas econômico-financeiras, como o fluxo de caixa descontado. Devido à relevância do ativo imobilizado, consideramos este tema um assunto significativo para a auditoria.</w:t>
      </w:r>
    </w:p>
    <w:p w14:paraId="28B288C1" w14:textId="77777777" w:rsidR="002C6574" w:rsidRDefault="002C6574">
      <w:pPr>
        <w:pStyle w:val="Corpodetexto"/>
        <w:rPr>
          <w:rFonts w:ascii="Verdana"/>
        </w:rPr>
      </w:pPr>
    </w:p>
    <w:p w14:paraId="64351599" w14:textId="77777777" w:rsidR="002C6574" w:rsidRDefault="00000000">
      <w:pPr>
        <w:pStyle w:val="Corpodetexto"/>
        <w:ind w:left="709"/>
        <w:jc w:val="both"/>
        <w:rPr>
          <w:rFonts w:ascii="Verdana"/>
        </w:rPr>
      </w:pPr>
      <w:r>
        <w:rPr>
          <w:rFonts w:ascii="Verdana"/>
          <w:spacing w:val="-2"/>
        </w:rPr>
        <w:t>Como</w:t>
      </w:r>
      <w:r>
        <w:rPr>
          <w:rFonts w:ascii="Verdana"/>
          <w:spacing w:val="-14"/>
        </w:rPr>
        <w:t xml:space="preserve"> </w:t>
      </w:r>
      <w:r>
        <w:rPr>
          <w:rFonts w:ascii="Verdana"/>
          <w:spacing w:val="-2"/>
        </w:rPr>
        <w:t>o</w:t>
      </w:r>
      <w:r>
        <w:rPr>
          <w:rFonts w:ascii="Verdana"/>
          <w:spacing w:val="-17"/>
        </w:rPr>
        <w:t xml:space="preserve"> </w:t>
      </w:r>
      <w:r>
        <w:rPr>
          <w:rFonts w:ascii="Verdana"/>
          <w:spacing w:val="-2"/>
        </w:rPr>
        <w:t>Assunto</w:t>
      </w:r>
      <w:r>
        <w:rPr>
          <w:rFonts w:ascii="Verdana"/>
          <w:spacing w:val="-16"/>
        </w:rPr>
        <w:t xml:space="preserve"> </w:t>
      </w:r>
      <w:r>
        <w:rPr>
          <w:rFonts w:ascii="Verdana"/>
          <w:spacing w:val="-2"/>
        </w:rPr>
        <w:t>foi</w:t>
      </w:r>
      <w:r>
        <w:rPr>
          <w:rFonts w:ascii="Verdana"/>
          <w:spacing w:val="-13"/>
        </w:rPr>
        <w:t xml:space="preserve"> </w:t>
      </w:r>
      <w:r>
        <w:rPr>
          <w:rFonts w:ascii="Verdana"/>
          <w:spacing w:val="-2"/>
        </w:rPr>
        <w:t>Conduzido</w:t>
      </w:r>
      <w:r>
        <w:rPr>
          <w:rFonts w:ascii="Verdana"/>
          <w:spacing w:val="-13"/>
        </w:rPr>
        <w:t xml:space="preserve"> </w:t>
      </w:r>
      <w:r>
        <w:rPr>
          <w:rFonts w:ascii="Verdana"/>
          <w:spacing w:val="-2"/>
        </w:rPr>
        <w:t>em</w:t>
      </w:r>
      <w:r>
        <w:rPr>
          <w:rFonts w:ascii="Verdana"/>
          <w:spacing w:val="-18"/>
        </w:rPr>
        <w:t xml:space="preserve"> </w:t>
      </w:r>
      <w:r>
        <w:rPr>
          <w:rFonts w:ascii="Verdana"/>
          <w:spacing w:val="-2"/>
        </w:rPr>
        <w:t>Nossa</w:t>
      </w:r>
      <w:r>
        <w:rPr>
          <w:rFonts w:ascii="Verdana"/>
          <w:spacing w:val="-14"/>
        </w:rPr>
        <w:t xml:space="preserve"> </w:t>
      </w:r>
      <w:r>
        <w:rPr>
          <w:rFonts w:ascii="Verdana"/>
          <w:spacing w:val="-2"/>
        </w:rPr>
        <w:t>Auditoria:</w:t>
      </w:r>
    </w:p>
    <w:p w14:paraId="638A8557" w14:textId="77777777" w:rsidR="002C6574" w:rsidRDefault="002C6574">
      <w:pPr>
        <w:pStyle w:val="Corpodetexto"/>
        <w:spacing w:before="5"/>
        <w:rPr>
          <w:rFonts w:ascii="Verdana"/>
        </w:rPr>
      </w:pPr>
    </w:p>
    <w:p w14:paraId="542A56FC" w14:textId="77777777" w:rsidR="002C6574" w:rsidRDefault="00000000">
      <w:pPr>
        <w:pStyle w:val="Corpodetexto"/>
        <w:spacing w:line="242" w:lineRule="auto"/>
        <w:ind w:left="709" w:right="275"/>
        <w:jc w:val="both"/>
        <w:rPr>
          <w:rFonts w:ascii="Verdana" w:hAnsi="Verdana"/>
        </w:rPr>
      </w:pPr>
      <w:r>
        <w:rPr>
          <w:rFonts w:ascii="Verdana" w:hAnsi="Verdana"/>
        </w:rPr>
        <w:t>Nossos procedimentos de auditoria incluíram, dentre outros: entendimento e avaliação dos processos adotados pela Companhia, através de teste documental, análise do Plano de Negócios, considerando a receita projetada e a confirmação da taxa de desconto utilizada, a qual está de acordo com a determinada pela Anatel</w:t>
      </w:r>
      <w:r>
        <w:rPr>
          <w:rFonts w:ascii="Verdana" w:hAnsi="Verdana"/>
          <w:spacing w:val="-12"/>
        </w:rPr>
        <w:t xml:space="preserve"> </w:t>
      </w:r>
      <w:r>
        <w:rPr>
          <w:rFonts w:ascii="Verdana" w:hAnsi="Verdana"/>
        </w:rPr>
        <w:t>para</w:t>
      </w:r>
      <w:r>
        <w:rPr>
          <w:rFonts w:ascii="Verdana" w:hAnsi="Verdana"/>
          <w:spacing w:val="-6"/>
        </w:rPr>
        <w:t xml:space="preserve"> </w:t>
      </w:r>
      <w:r>
        <w:rPr>
          <w:rFonts w:ascii="Verdana" w:hAnsi="Verdana"/>
        </w:rPr>
        <w:t>o</w:t>
      </w:r>
      <w:r>
        <w:rPr>
          <w:rFonts w:ascii="Verdana" w:hAnsi="Verdana"/>
          <w:spacing w:val="-13"/>
        </w:rPr>
        <w:t xml:space="preserve"> </w:t>
      </w:r>
      <w:r>
        <w:rPr>
          <w:rFonts w:ascii="Verdana" w:hAnsi="Verdana"/>
        </w:rPr>
        <w:t>setor</w:t>
      </w:r>
      <w:r>
        <w:rPr>
          <w:rFonts w:ascii="Verdana" w:hAnsi="Verdana"/>
          <w:spacing w:val="-11"/>
        </w:rPr>
        <w:t xml:space="preserve"> </w:t>
      </w:r>
      <w:r>
        <w:rPr>
          <w:rFonts w:ascii="Verdana" w:hAnsi="Verdana"/>
        </w:rPr>
        <w:t>de</w:t>
      </w:r>
      <w:r>
        <w:rPr>
          <w:rFonts w:ascii="Verdana" w:hAnsi="Verdana"/>
          <w:spacing w:val="-11"/>
        </w:rPr>
        <w:t xml:space="preserve"> </w:t>
      </w:r>
      <w:r>
        <w:rPr>
          <w:rFonts w:ascii="Verdana" w:hAnsi="Verdana"/>
        </w:rPr>
        <w:t>telecomunicações</w:t>
      </w:r>
      <w:r>
        <w:rPr>
          <w:rFonts w:ascii="Verdana" w:hAnsi="Verdana"/>
          <w:spacing w:val="-8"/>
        </w:rPr>
        <w:t xml:space="preserve"> </w:t>
      </w:r>
      <w:r>
        <w:rPr>
          <w:rFonts w:ascii="Verdana" w:hAnsi="Verdana"/>
        </w:rPr>
        <w:t>e</w:t>
      </w:r>
      <w:r>
        <w:rPr>
          <w:rFonts w:ascii="Verdana" w:hAnsi="Verdana"/>
          <w:spacing w:val="-14"/>
        </w:rPr>
        <w:t xml:space="preserve"> </w:t>
      </w:r>
      <w:r>
        <w:rPr>
          <w:rFonts w:ascii="Verdana" w:hAnsi="Verdana"/>
        </w:rPr>
        <w:t>o</w:t>
      </w:r>
      <w:r>
        <w:rPr>
          <w:rFonts w:ascii="Verdana" w:hAnsi="Verdana"/>
          <w:spacing w:val="-11"/>
        </w:rPr>
        <w:t xml:space="preserve"> </w:t>
      </w:r>
      <w:r>
        <w:rPr>
          <w:rFonts w:ascii="Verdana" w:hAnsi="Verdana"/>
        </w:rPr>
        <w:t>cálculo</w:t>
      </w:r>
      <w:r>
        <w:rPr>
          <w:rFonts w:ascii="Verdana" w:hAnsi="Verdana"/>
          <w:spacing w:val="-7"/>
        </w:rPr>
        <w:t xml:space="preserve"> </w:t>
      </w:r>
      <w:r>
        <w:rPr>
          <w:rFonts w:ascii="Verdana" w:hAnsi="Verdana"/>
        </w:rPr>
        <w:t>do</w:t>
      </w:r>
      <w:r>
        <w:rPr>
          <w:rFonts w:ascii="Verdana" w:hAnsi="Verdana"/>
          <w:spacing w:val="-13"/>
        </w:rPr>
        <w:t xml:space="preserve"> </w:t>
      </w:r>
      <w:r>
        <w:rPr>
          <w:rFonts w:ascii="Verdana" w:hAnsi="Verdana"/>
        </w:rPr>
        <w:t>fluxo</w:t>
      </w:r>
      <w:r>
        <w:rPr>
          <w:rFonts w:ascii="Verdana" w:hAnsi="Verdana"/>
          <w:spacing w:val="-12"/>
        </w:rPr>
        <w:t xml:space="preserve"> </w:t>
      </w:r>
      <w:r>
        <w:rPr>
          <w:rFonts w:ascii="Verdana" w:hAnsi="Verdana"/>
        </w:rPr>
        <w:t>de</w:t>
      </w:r>
      <w:r>
        <w:rPr>
          <w:rFonts w:ascii="Verdana" w:hAnsi="Verdana"/>
          <w:spacing w:val="-8"/>
        </w:rPr>
        <w:t xml:space="preserve"> </w:t>
      </w:r>
      <w:r>
        <w:rPr>
          <w:rFonts w:ascii="Verdana" w:hAnsi="Verdana"/>
        </w:rPr>
        <w:t>caixa</w:t>
      </w:r>
      <w:r>
        <w:rPr>
          <w:rFonts w:ascii="Verdana" w:hAnsi="Verdana"/>
          <w:spacing w:val="-6"/>
        </w:rPr>
        <w:t xml:space="preserve"> </w:t>
      </w:r>
      <w:r>
        <w:rPr>
          <w:rFonts w:ascii="Verdana" w:hAnsi="Verdana"/>
          <w:spacing w:val="-2"/>
        </w:rPr>
        <w:t>descontado.</w:t>
      </w:r>
    </w:p>
    <w:p w14:paraId="7757EF77" w14:textId="77777777" w:rsidR="002C6574" w:rsidRDefault="002C6574">
      <w:pPr>
        <w:pStyle w:val="Corpodetexto"/>
        <w:rPr>
          <w:rFonts w:ascii="Verdana"/>
        </w:rPr>
      </w:pPr>
    </w:p>
    <w:p w14:paraId="038A93FB" w14:textId="77777777" w:rsidR="002C6574" w:rsidRDefault="00000000">
      <w:pPr>
        <w:pStyle w:val="Corpodetexto"/>
        <w:spacing w:line="242" w:lineRule="auto"/>
        <w:ind w:left="709" w:right="277"/>
        <w:jc w:val="both"/>
        <w:rPr>
          <w:rFonts w:ascii="Verdana" w:hAnsi="Verdana"/>
        </w:rPr>
      </w:pPr>
      <w:r>
        <w:rPr>
          <w:rFonts w:ascii="Verdana" w:hAnsi="Verdana"/>
        </w:rPr>
        <w:t>Com</w:t>
      </w:r>
      <w:r>
        <w:rPr>
          <w:rFonts w:ascii="Verdana" w:hAnsi="Verdana"/>
          <w:spacing w:val="-15"/>
        </w:rPr>
        <w:t xml:space="preserve"> </w:t>
      </w:r>
      <w:r>
        <w:rPr>
          <w:rFonts w:ascii="Verdana" w:hAnsi="Verdana"/>
        </w:rPr>
        <w:t>base</w:t>
      </w:r>
      <w:r>
        <w:rPr>
          <w:rFonts w:ascii="Verdana" w:hAnsi="Verdana"/>
          <w:spacing w:val="-13"/>
        </w:rPr>
        <w:t xml:space="preserve"> </w:t>
      </w:r>
      <w:r>
        <w:rPr>
          <w:rFonts w:ascii="Verdana" w:hAnsi="Verdana"/>
        </w:rPr>
        <w:t>no</w:t>
      </w:r>
      <w:r>
        <w:rPr>
          <w:rFonts w:ascii="Verdana" w:hAnsi="Verdana"/>
          <w:spacing w:val="-12"/>
        </w:rPr>
        <w:t xml:space="preserve"> </w:t>
      </w:r>
      <w:r>
        <w:rPr>
          <w:rFonts w:ascii="Verdana" w:hAnsi="Verdana"/>
        </w:rPr>
        <w:t>resultado</w:t>
      </w:r>
      <w:r>
        <w:rPr>
          <w:rFonts w:ascii="Verdana" w:hAnsi="Verdana"/>
          <w:spacing w:val="-11"/>
        </w:rPr>
        <w:t xml:space="preserve"> </w:t>
      </w:r>
      <w:r>
        <w:rPr>
          <w:rFonts w:ascii="Verdana" w:hAnsi="Verdana"/>
        </w:rPr>
        <w:t>dos</w:t>
      </w:r>
      <w:r>
        <w:rPr>
          <w:rFonts w:ascii="Verdana" w:hAnsi="Verdana"/>
          <w:spacing w:val="-15"/>
        </w:rPr>
        <w:t xml:space="preserve"> </w:t>
      </w:r>
      <w:r>
        <w:rPr>
          <w:rFonts w:ascii="Verdana" w:hAnsi="Verdana"/>
        </w:rPr>
        <w:t>procedimentos</w:t>
      </w:r>
      <w:r>
        <w:rPr>
          <w:rFonts w:ascii="Verdana" w:hAnsi="Verdana"/>
          <w:spacing w:val="-12"/>
        </w:rPr>
        <w:t xml:space="preserve"> </w:t>
      </w:r>
      <w:r>
        <w:rPr>
          <w:rFonts w:ascii="Verdana" w:hAnsi="Verdana"/>
        </w:rPr>
        <w:t>de</w:t>
      </w:r>
      <w:r>
        <w:rPr>
          <w:rFonts w:ascii="Verdana" w:hAnsi="Verdana"/>
          <w:spacing w:val="-11"/>
        </w:rPr>
        <w:t xml:space="preserve"> </w:t>
      </w:r>
      <w:r>
        <w:rPr>
          <w:rFonts w:ascii="Verdana" w:hAnsi="Verdana"/>
        </w:rPr>
        <w:t>auditoria</w:t>
      </w:r>
      <w:r>
        <w:rPr>
          <w:rFonts w:ascii="Verdana" w:hAnsi="Verdana"/>
          <w:spacing w:val="-11"/>
        </w:rPr>
        <w:t xml:space="preserve"> </w:t>
      </w:r>
      <w:r>
        <w:rPr>
          <w:rFonts w:ascii="Verdana" w:hAnsi="Verdana"/>
        </w:rPr>
        <w:t>efetuados</w:t>
      </w:r>
      <w:r>
        <w:rPr>
          <w:rFonts w:ascii="Verdana" w:hAnsi="Verdana"/>
          <w:spacing w:val="-12"/>
        </w:rPr>
        <w:t xml:space="preserve"> </w:t>
      </w:r>
      <w:r>
        <w:rPr>
          <w:rFonts w:ascii="Verdana" w:hAnsi="Verdana"/>
        </w:rPr>
        <w:t>e</w:t>
      </w:r>
      <w:r>
        <w:rPr>
          <w:rFonts w:ascii="Verdana" w:hAnsi="Verdana"/>
          <w:spacing w:val="-11"/>
        </w:rPr>
        <w:t xml:space="preserve"> </w:t>
      </w:r>
      <w:r>
        <w:rPr>
          <w:rFonts w:ascii="Verdana" w:hAnsi="Verdana"/>
        </w:rPr>
        <w:t>nas</w:t>
      </w:r>
      <w:r>
        <w:rPr>
          <w:rFonts w:ascii="Verdana" w:hAnsi="Verdana"/>
          <w:spacing w:val="-10"/>
        </w:rPr>
        <w:t xml:space="preserve"> </w:t>
      </w:r>
      <w:r>
        <w:rPr>
          <w:rFonts w:ascii="Verdana" w:hAnsi="Verdana"/>
        </w:rPr>
        <w:t xml:space="preserve">evidências </w:t>
      </w:r>
      <w:r>
        <w:rPr>
          <w:rFonts w:ascii="Verdana" w:hAnsi="Verdana"/>
          <w:spacing w:val="-2"/>
        </w:rPr>
        <w:t>de</w:t>
      </w:r>
      <w:r>
        <w:rPr>
          <w:rFonts w:ascii="Verdana" w:hAnsi="Verdana"/>
          <w:spacing w:val="-18"/>
        </w:rPr>
        <w:t xml:space="preserve"> </w:t>
      </w:r>
      <w:r>
        <w:rPr>
          <w:rFonts w:ascii="Verdana" w:hAnsi="Verdana"/>
          <w:spacing w:val="-2"/>
        </w:rPr>
        <w:t>auditoria</w:t>
      </w:r>
      <w:r>
        <w:rPr>
          <w:rFonts w:ascii="Verdana" w:hAnsi="Verdana"/>
          <w:spacing w:val="-17"/>
        </w:rPr>
        <w:t xml:space="preserve"> </w:t>
      </w:r>
      <w:r>
        <w:rPr>
          <w:rFonts w:ascii="Verdana" w:hAnsi="Verdana"/>
          <w:spacing w:val="-2"/>
        </w:rPr>
        <w:t>obtidas,</w:t>
      </w:r>
      <w:r>
        <w:rPr>
          <w:rFonts w:ascii="Verdana" w:hAnsi="Verdana"/>
          <w:spacing w:val="-16"/>
        </w:rPr>
        <w:t xml:space="preserve"> </w:t>
      </w:r>
      <w:r>
        <w:rPr>
          <w:rFonts w:ascii="Verdana" w:hAnsi="Verdana"/>
          <w:spacing w:val="-2"/>
        </w:rPr>
        <w:t>entendemos</w:t>
      </w:r>
      <w:r>
        <w:rPr>
          <w:rFonts w:ascii="Verdana" w:hAnsi="Verdana"/>
          <w:spacing w:val="-15"/>
        </w:rPr>
        <w:t xml:space="preserve"> </w:t>
      </w:r>
      <w:r>
        <w:rPr>
          <w:rFonts w:ascii="Verdana" w:hAnsi="Verdana"/>
          <w:spacing w:val="-2"/>
        </w:rPr>
        <w:t>que</w:t>
      </w:r>
      <w:r>
        <w:rPr>
          <w:rFonts w:ascii="Verdana" w:hAnsi="Verdana"/>
          <w:spacing w:val="-13"/>
        </w:rPr>
        <w:t xml:space="preserve"> </w:t>
      </w:r>
      <w:r>
        <w:rPr>
          <w:rFonts w:ascii="Verdana" w:hAnsi="Verdana"/>
          <w:spacing w:val="-2"/>
        </w:rPr>
        <w:t>os</w:t>
      </w:r>
      <w:r>
        <w:rPr>
          <w:rFonts w:ascii="Verdana" w:hAnsi="Verdana"/>
          <w:spacing w:val="-18"/>
        </w:rPr>
        <w:t xml:space="preserve"> </w:t>
      </w:r>
      <w:r>
        <w:rPr>
          <w:rFonts w:ascii="Verdana" w:hAnsi="Verdana"/>
          <w:spacing w:val="-2"/>
        </w:rPr>
        <w:t>critérios</w:t>
      </w:r>
      <w:r>
        <w:rPr>
          <w:rFonts w:ascii="Verdana" w:hAnsi="Verdana"/>
          <w:spacing w:val="-15"/>
        </w:rPr>
        <w:t xml:space="preserve"> </w:t>
      </w:r>
      <w:r>
        <w:rPr>
          <w:rFonts w:ascii="Verdana" w:hAnsi="Verdana"/>
          <w:spacing w:val="-2"/>
        </w:rPr>
        <w:t>adotados</w:t>
      </w:r>
      <w:r>
        <w:rPr>
          <w:rFonts w:ascii="Verdana" w:hAnsi="Verdana"/>
          <w:spacing w:val="-18"/>
        </w:rPr>
        <w:t xml:space="preserve"> </w:t>
      </w:r>
      <w:r>
        <w:rPr>
          <w:rFonts w:ascii="Verdana" w:hAnsi="Verdana"/>
          <w:spacing w:val="-2"/>
        </w:rPr>
        <w:t>para</w:t>
      </w:r>
      <w:r>
        <w:rPr>
          <w:rFonts w:ascii="Verdana" w:hAnsi="Verdana"/>
          <w:spacing w:val="-16"/>
        </w:rPr>
        <w:t xml:space="preserve"> </w:t>
      </w:r>
      <w:r>
        <w:rPr>
          <w:rFonts w:ascii="Verdana" w:hAnsi="Verdana"/>
          <w:spacing w:val="-2"/>
        </w:rPr>
        <w:t>a</w:t>
      </w:r>
      <w:r>
        <w:rPr>
          <w:rFonts w:ascii="Verdana" w:hAnsi="Verdana"/>
          <w:spacing w:val="-18"/>
        </w:rPr>
        <w:t xml:space="preserve"> </w:t>
      </w:r>
      <w:r>
        <w:rPr>
          <w:rFonts w:ascii="Verdana" w:hAnsi="Verdana"/>
          <w:spacing w:val="-2"/>
        </w:rPr>
        <w:t>análise</w:t>
      </w:r>
      <w:r>
        <w:rPr>
          <w:rFonts w:ascii="Verdana" w:hAnsi="Verdana"/>
          <w:spacing w:val="-15"/>
        </w:rPr>
        <w:t xml:space="preserve"> </w:t>
      </w:r>
      <w:r>
        <w:rPr>
          <w:rFonts w:ascii="Verdana" w:hAnsi="Verdana"/>
          <w:spacing w:val="-2"/>
        </w:rPr>
        <w:t>da</w:t>
      </w:r>
      <w:r>
        <w:rPr>
          <w:rFonts w:ascii="Verdana" w:hAnsi="Verdana"/>
          <w:spacing w:val="-17"/>
        </w:rPr>
        <w:t xml:space="preserve"> </w:t>
      </w:r>
      <w:r>
        <w:rPr>
          <w:rFonts w:ascii="Verdana" w:hAnsi="Verdana"/>
          <w:spacing w:val="-2"/>
        </w:rPr>
        <w:t xml:space="preserve">receita </w:t>
      </w:r>
      <w:r>
        <w:rPr>
          <w:rFonts w:ascii="Verdana" w:hAnsi="Verdana"/>
        </w:rPr>
        <w:t>projetada, a validação da taxa de desconto utilizada e o</w:t>
      </w:r>
      <w:r>
        <w:rPr>
          <w:rFonts w:ascii="Verdana" w:hAnsi="Verdana"/>
          <w:spacing w:val="-3"/>
        </w:rPr>
        <w:t xml:space="preserve"> </w:t>
      </w:r>
      <w:r>
        <w:rPr>
          <w:rFonts w:ascii="Verdana" w:hAnsi="Verdana"/>
        </w:rPr>
        <w:t xml:space="preserve">cálculo do fluxo de caixa descontado contido no Plano de Negócios adotados pela Administração, assim </w:t>
      </w:r>
      <w:r>
        <w:rPr>
          <w:rFonts w:ascii="Verdana" w:hAnsi="Verdana"/>
          <w:spacing w:val="-2"/>
        </w:rPr>
        <w:t>como</w:t>
      </w:r>
      <w:r>
        <w:rPr>
          <w:rFonts w:ascii="Verdana" w:hAnsi="Verdana"/>
          <w:spacing w:val="-14"/>
        </w:rPr>
        <w:t xml:space="preserve"> </w:t>
      </w:r>
      <w:r>
        <w:rPr>
          <w:rFonts w:ascii="Verdana" w:hAnsi="Verdana"/>
          <w:spacing w:val="-2"/>
        </w:rPr>
        <w:t>as</w:t>
      </w:r>
      <w:r>
        <w:rPr>
          <w:rFonts w:ascii="Verdana" w:hAnsi="Verdana"/>
          <w:spacing w:val="-12"/>
        </w:rPr>
        <w:t xml:space="preserve"> </w:t>
      </w:r>
      <w:r>
        <w:rPr>
          <w:rFonts w:ascii="Verdana" w:hAnsi="Verdana"/>
          <w:spacing w:val="-2"/>
        </w:rPr>
        <w:t>respectivas</w:t>
      </w:r>
      <w:r>
        <w:rPr>
          <w:rFonts w:ascii="Verdana" w:hAnsi="Verdana"/>
          <w:spacing w:val="-13"/>
        </w:rPr>
        <w:t xml:space="preserve"> </w:t>
      </w:r>
      <w:r>
        <w:rPr>
          <w:rFonts w:ascii="Verdana" w:hAnsi="Verdana"/>
          <w:spacing w:val="-2"/>
        </w:rPr>
        <w:t>divulgações</w:t>
      </w:r>
      <w:r>
        <w:rPr>
          <w:rFonts w:ascii="Verdana" w:hAnsi="Verdana"/>
          <w:spacing w:val="-9"/>
        </w:rPr>
        <w:t xml:space="preserve"> </w:t>
      </w:r>
      <w:r>
        <w:rPr>
          <w:rFonts w:ascii="Verdana" w:hAnsi="Verdana"/>
          <w:spacing w:val="-2"/>
        </w:rPr>
        <w:t>nas</w:t>
      </w:r>
      <w:r>
        <w:rPr>
          <w:rFonts w:ascii="Verdana" w:hAnsi="Verdana"/>
          <w:spacing w:val="-8"/>
        </w:rPr>
        <w:t xml:space="preserve"> </w:t>
      </w:r>
      <w:r>
        <w:rPr>
          <w:rFonts w:ascii="Verdana" w:hAnsi="Verdana"/>
          <w:spacing w:val="-2"/>
        </w:rPr>
        <w:t>notas</w:t>
      </w:r>
      <w:r>
        <w:rPr>
          <w:rFonts w:ascii="Verdana" w:hAnsi="Verdana"/>
          <w:spacing w:val="-12"/>
        </w:rPr>
        <w:t xml:space="preserve"> </w:t>
      </w:r>
      <w:r>
        <w:rPr>
          <w:rFonts w:ascii="Verdana" w:hAnsi="Verdana"/>
          <w:spacing w:val="-2"/>
        </w:rPr>
        <w:t>explicativas,</w:t>
      </w:r>
      <w:r>
        <w:rPr>
          <w:rFonts w:ascii="Verdana" w:hAnsi="Verdana"/>
          <w:spacing w:val="-9"/>
        </w:rPr>
        <w:t xml:space="preserve"> </w:t>
      </w:r>
      <w:r>
        <w:rPr>
          <w:rFonts w:ascii="Verdana" w:hAnsi="Verdana"/>
          <w:spacing w:val="-2"/>
        </w:rPr>
        <w:t>são</w:t>
      </w:r>
      <w:r>
        <w:rPr>
          <w:rFonts w:ascii="Verdana" w:hAnsi="Verdana"/>
          <w:spacing w:val="-14"/>
        </w:rPr>
        <w:t xml:space="preserve"> </w:t>
      </w:r>
      <w:r>
        <w:rPr>
          <w:rFonts w:ascii="Verdana" w:hAnsi="Verdana"/>
          <w:spacing w:val="-2"/>
        </w:rPr>
        <w:t>aceitáveis,</w:t>
      </w:r>
      <w:r>
        <w:rPr>
          <w:rFonts w:ascii="Verdana" w:hAnsi="Verdana"/>
          <w:spacing w:val="-10"/>
        </w:rPr>
        <w:t xml:space="preserve"> </w:t>
      </w:r>
      <w:r>
        <w:rPr>
          <w:rFonts w:ascii="Verdana" w:hAnsi="Verdana"/>
          <w:spacing w:val="-2"/>
        </w:rPr>
        <w:t>no</w:t>
      </w:r>
      <w:r>
        <w:rPr>
          <w:rFonts w:ascii="Verdana" w:hAnsi="Verdana"/>
          <w:spacing w:val="-11"/>
        </w:rPr>
        <w:t xml:space="preserve"> </w:t>
      </w:r>
      <w:r>
        <w:rPr>
          <w:rFonts w:ascii="Verdana" w:hAnsi="Verdana"/>
          <w:spacing w:val="-2"/>
        </w:rPr>
        <w:t xml:space="preserve">contexto </w:t>
      </w:r>
      <w:r>
        <w:rPr>
          <w:rFonts w:ascii="Verdana" w:hAnsi="Verdana"/>
        </w:rPr>
        <w:t>das demonstrações contábeis.</w:t>
      </w:r>
    </w:p>
    <w:p w14:paraId="765BBF73" w14:textId="77777777" w:rsidR="002C6574" w:rsidRDefault="002C6574">
      <w:pPr>
        <w:pStyle w:val="Corpodetexto"/>
        <w:spacing w:before="2"/>
        <w:rPr>
          <w:rFonts w:ascii="Verdana"/>
        </w:rPr>
      </w:pPr>
    </w:p>
    <w:p w14:paraId="38CC929E" w14:textId="77777777" w:rsidR="002C6574" w:rsidRDefault="00000000">
      <w:pPr>
        <w:ind w:left="709"/>
        <w:rPr>
          <w:rFonts w:ascii="Tahoma" w:hAnsi="Tahoma"/>
          <w:b/>
        </w:rPr>
      </w:pPr>
      <w:r>
        <w:rPr>
          <w:rFonts w:ascii="Tahoma" w:hAnsi="Tahoma"/>
          <w:b/>
          <w:spacing w:val="-2"/>
        </w:rPr>
        <w:t>Ênfases</w:t>
      </w:r>
    </w:p>
    <w:p w14:paraId="1B218A59" w14:textId="77777777" w:rsidR="002C6574" w:rsidRDefault="002C6574">
      <w:pPr>
        <w:pStyle w:val="Corpodetexto"/>
        <w:spacing w:before="9"/>
        <w:rPr>
          <w:rFonts w:ascii="Tahoma"/>
          <w:b/>
        </w:rPr>
      </w:pPr>
    </w:p>
    <w:p w14:paraId="70C52EBA" w14:textId="77777777" w:rsidR="002C6574" w:rsidRDefault="00000000">
      <w:pPr>
        <w:tabs>
          <w:tab w:val="left" w:pos="2195"/>
          <w:tab w:val="left" w:pos="2970"/>
          <w:tab w:val="left" w:pos="4600"/>
          <w:tab w:val="left" w:pos="4980"/>
          <w:tab w:val="left" w:pos="7084"/>
          <w:tab w:val="left" w:pos="8259"/>
          <w:tab w:val="left" w:pos="9155"/>
        </w:tabs>
        <w:spacing w:line="242" w:lineRule="auto"/>
        <w:ind w:left="709" w:right="279"/>
        <w:rPr>
          <w:rFonts w:ascii="Tahoma" w:hAnsi="Tahoma"/>
          <w:b/>
        </w:rPr>
      </w:pPr>
      <w:r>
        <w:rPr>
          <w:rFonts w:ascii="Tahoma" w:hAnsi="Tahoma"/>
          <w:b/>
          <w:spacing w:val="-2"/>
        </w:rPr>
        <w:t>Subvenção</w:t>
      </w:r>
      <w:r>
        <w:rPr>
          <w:rFonts w:ascii="Tahoma" w:hAnsi="Tahoma"/>
          <w:b/>
        </w:rPr>
        <w:tab/>
      </w:r>
      <w:r>
        <w:rPr>
          <w:rFonts w:ascii="Tahoma" w:hAnsi="Tahoma"/>
          <w:b/>
          <w:spacing w:val="-4"/>
        </w:rPr>
        <w:t>para</w:t>
      </w:r>
      <w:r>
        <w:rPr>
          <w:rFonts w:ascii="Tahoma" w:hAnsi="Tahoma"/>
          <w:b/>
        </w:rPr>
        <w:tab/>
      </w:r>
      <w:r>
        <w:rPr>
          <w:rFonts w:ascii="Tahoma" w:hAnsi="Tahoma"/>
          <w:b/>
          <w:spacing w:val="-2"/>
        </w:rPr>
        <w:t>Investimento</w:t>
      </w:r>
      <w:r>
        <w:rPr>
          <w:rFonts w:ascii="Tahoma" w:hAnsi="Tahoma"/>
          <w:b/>
        </w:rPr>
        <w:tab/>
      </w:r>
      <w:r>
        <w:rPr>
          <w:rFonts w:ascii="Tahoma" w:hAnsi="Tahoma"/>
          <w:b/>
          <w:spacing w:val="-10"/>
        </w:rPr>
        <w:t>–</w:t>
      </w:r>
      <w:r>
        <w:rPr>
          <w:rFonts w:ascii="Tahoma" w:hAnsi="Tahoma"/>
          <w:b/>
        </w:rPr>
        <w:tab/>
      </w:r>
      <w:r>
        <w:rPr>
          <w:rFonts w:ascii="Tahoma" w:hAnsi="Tahoma"/>
          <w:b/>
          <w:spacing w:val="-2"/>
        </w:rPr>
        <w:t>Reconhecimento</w:t>
      </w:r>
      <w:r>
        <w:rPr>
          <w:rFonts w:ascii="Tahoma" w:hAnsi="Tahoma"/>
          <w:b/>
        </w:rPr>
        <w:tab/>
      </w:r>
      <w:r>
        <w:rPr>
          <w:rFonts w:ascii="Tahoma" w:hAnsi="Tahoma"/>
          <w:b/>
          <w:spacing w:val="-2"/>
        </w:rPr>
        <w:t>Contábil</w:t>
      </w:r>
      <w:r>
        <w:rPr>
          <w:rFonts w:ascii="Tahoma" w:hAnsi="Tahoma"/>
          <w:b/>
        </w:rPr>
        <w:tab/>
      </w:r>
      <w:r>
        <w:rPr>
          <w:rFonts w:ascii="Tahoma" w:hAnsi="Tahoma"/>
          <w:b/>
          <w:spacing w:val="-2"/>
        </w:rPr>
        <w:t>Direto</w:t>
      </w:r>
      <w:r>
        <w:rPr>
          <w:rFonts w:ascii="Tahoma" w:hAnsi="Tahoma"/>
          <w:b/>
        </w:rPr>
        <w:tab/>
      </w:r>
      <w:r>
        <w:rPr>
          <w:rFonts w:ascii="Tahoma" w:hAnsi="Tahoma"/>
          <w:b/>
          <w:spacing w:val="-4"/>
        </w:rPr>
        <w:t xml:space="preserve">como </w:t>
      </w:r>
      <w:r>
        <w:rPr>
          <w:rFonts w:ascii="Tahoma" w:hAnsi="Tahoma"/>
          <w:b/>
        </w:rPr>
        <w:t>Adiantamento para Futuro Aumento de Capital</w:t>
      </w:r>
    </w:p>
    <w:p w14:paraId="579E90D4" w14:textId="77777777" w:rsidR="002C6574" w:rsidRDefault="002C6574">
      <w:pPr>
        <w:pStyle w:val="Corpodetexto"/>
        <w:spacing w:before="6"/>
        <w:rPr>
          <w:rFonts w:ascii="Tahoma"/>
          <w:b/>
        </w:rPr>
      </w:pPr>
    </w:p>
    <w:p w14:paraId="7926E735" w14:textId="77777777" w:rsidR="002C6574" w:rsidRDefault="00000000">
      <w:pPr>
        <w:pStyle w:val="Corpodetexto"/>
        <w:spacing w:line="242" w:lineRule="auto"/>
        <w:ind w:left="709" w:right="275"/>
        <w:jc w:val="both"/>
        <w:rPr>
          <w:rFonts w:ascii="Verdana" w:hAnsi="Verdana"/>
        </w:rPr>
      </w:pPr>
      <w:r>
        <w:rPr>
          <w:rFonts w:ascii="Verdana" w:hAnsi="Verdana"/>
        </w:rPr>
        <w:t>A</w:t>
      </w:r>
      <w:r>
        <w:rPr>
          <w:rFonts w:ascii="Verdana" w:hAnsi="Verdana"/>
          <w:spacing w:val="-20"/>
        </w:rPr>
        <w:t xml:space="preserve"> </w:t>
      </w:r>
      <w:r>
        <w:rPr>
          <w:rFonts w:ascii="Verdana" w:hAnsi="Verdana"/>
        </w:rPr>
        <w:t>partir</w:t>
      </w:r>
      <w:r>
        <w:rPr>
          <w:rFonts w:ascii="Verdana" w:hAnsi="Verdana"/>
          <w:spacing w:val="-19"/>
        </w:rPr>
        <w:t xml:space="preserve"> </w:t>
      </w:r>
      <w:r>
        <w:rPr>
          <w:rFonts w:ascii="Verdana" w:hAnsi="Verdana"/>
        </w:rPr>
        <w:t>de</w:t>
      </w:r>
      <w:r>
        <w:rPr>
          <w:rFonts w:ascii="Verdana" w:hAnsi="Verdana"/>
          <w:spacing w:val="-19"/>
        </w:rPr>
        <w:t xml:space="preserve"> </w:t>
      </w:r>
      <w:r>
        <w:rPr>
          <w:rFonts w:ascii="Verdana" w:hAnsi="Verdana"/>
        </w:rPr>
        <w:t>2020,</w:t>
      </w:r>
      <w:r>
        <w:rPr>
          <w:rFonts w:ascii="Verdana" w:hAnsi="Verdana"/>
          <w:spacing w:val="-20"/>
        </w:rPr>
        <w:t xml:space="preserve"> </w:t>
      </w:r>
      <w:r>
        <w:rPr>
          <w:rFonts w:ascii="Verdana" w:hAnsi="Verdana"/>
        </w:rPr>
        <w:t>a</w:t>
      </w:r>
      <w:r>
        <w:rPr>
          <w:rFonts w:ascii="Verdana" w:hAnsi="Verdana"/>
          <w:spacing w:val="-19"/>
        </w:rPr>
        <w:t xml:space="preserve"> </w:t>
      </w:r>
      <w:r>
        <w:rPr>
          <w:rFonts w:ascii="Verdana" w:hAnsi="Verdana"/>
        </w:rPr>
        <w:t>Companhia</w:t>
      </w:r>
      <w:r>
        <w:rPr>
          <w:rFonts w:ascii="Verdana" w:hAnsi="Verdana"/>
          <w:spacing w:val="-20"/>
        </w:rPr>
        <w:t xml:space="preserve"> </w:t>
      </w:r>
      <w:r>
        <w:rPr>
          <w:rFonts w:ascii="Verdana" w:hAnsi="Verdana"/>
        </w:rPr>
        <w:t>passou</w:t>
      </w:r>
      <w:r>
        <w:rPr>
          <w:rFonts w:ascii="Verdana" w:hAnsi="Verdana"/>
          <w:spacing w:val="-19"/>
        </w:rPr>
        <w:t xml:space="preserve"> </w:t>
      </w:r>
      <w:r>
        <w:rPr>
          <w:rFonts w:ascii="Verdana" w:hAnsi="Verdana"/>
        </w:rPr>
        <w:t>a</w:t>
      </w:r>
      <w:r>
        <w:rPr>
          <w:rFonts w:ascii="Verdana" w:hAnsi="Verdana"/>
          <w:spacing w:val="-19"/>
        </w:rPr>
        <w:t xml:space="preserve"> </w:t>
      </w:r>
      <w:r>
        <w:rPr>
          <w:rFonts w:ascii="Verdana" w:hAnsi="Verdana"/>
        </w:rPr>
        <w:t>ser</w:t>
      </w:r>
      <w:r>
        <w:rPr>
          <w:rFonts w:ascii="Verdana" w:hAnsi="Verdana"/>
          <w:spacing w:val="-20"/>
        </w:rPr>
        <w:t xml:space="preserve"> </w:t>
      </w:r>
      <w:r>
        <w:rPr>
          <w:rFonts w:ascii="Verdana" w:hAnsi="Verdana"/>
        </w:rPr>
        <w:t>classificada</w:t>
      </w:r>
      <w:r>
        <w:rPr>
          <w:rFonts w:ascii="Verdana" w:hAnsi="Verdana"/>
          <w:spacing w:val="-19"/>
        </w:rPr>
        <w:t xml:space="preserve"> </w:t>
      </w:r>
      <w:r>
        <w:rPr>
          <w:rFonts w:ascii="Verdana" w:hAnsi="Verdana"/>
        </w:rPr>
        <w:t>como</w:t>
      </w:r>
      <w:r>
        <w:rPr>
          <w:rFonts w:ascii="Verdana" w:hAnsi="Verdana"/>
          <w:spacing w:val="-19"/>
        </w:rPr>
        <w:t xml:space="preserve"> </w:t>
      </w:r>
      <w:r>
        <w:rPr>
          <w:rFonts w:ascii="Verdana" w:hAnsi="Verdana"/>
        </w:rPr>
        <w:t>uma</w:t>
      </w:r>
      <w:r>
        <w:rPr>
          <w:rFonts w:ascii="Verdana" w:hAnsi="Verdana"/>
          <w:spacing w:val="-20"/>
        </w:rPr>
        <w:t xml:space="preserve"> </w:t>
      </w:r>
      <w:r>
        <w:rPr>
          <w:rFonts w:ascii="Verdana" w:hAnsi="Verdana"/>
        </w:rPr>
        <w:t>empresa</w:t>
      </w:r>
      <w:r>
        <w:rPr>
          <w:rFonts w:ascii="Verdana" w:hAnsi="Verdana"/>
          <w:spacing w:val="-19"/>
        </w:rPr>
        <w:t xml:space="preserve"> </w:t>
      </w:r>
      <w:r>
        <w:rPr>
          <w:rFonts w:ascii="Verdana" w:hAnsi="Verdana"/>
        </w:rPr>
        <w:t xml:space="preserve">Estatal Dependente e, dessa forma, passou a receber recursos orçamentários para o pagamento dos gastos com pessoal e outros custeios. Esses recursos foram reconhecidos nos exatos termos do CPC 07 – Subvenções e Assistências Governamentais. Contudo, entendendo que a Companhia deveria observar os </w:t>
      </w:r>
      <w:r>
        <w:rPr>
          <w:rFonts w:ascii="Verdana" w:hAnsi="Verdana"/>
          <w:spacing w:val="-4"/>
        </w:rPr>
        <w:t>ditames</w:t>
      </w:r>
      <w:r>
        <w:rPr>
          <w:rFonts w:ascii="Verdana" w:hAnsi="Verdana"/>
          <w:spacing w:val="-13"/>
        </w:rPr>
        <w:t xml:space="preserve"> </w:t>
      </w:r>
      <w:r>
        <w:rPr>
          <w:rFonts w:ascii="Verdana" w:hAnsi="Verdana"/>
          <w:spacing w:val="-4"/>
        </w:rPr>
        <w:t>da</w:t>
      </w:r>
      <w:r>
        <w:rPr>
          <w:rFonts w:ascii="Verdana" w:hAnsi="Verdana"/>
          <w:spacing w:val="-11"/>
        </w:rPr>
        <w:t xml:space="preserve"> </w:t>
      </w:r>
      <w:r>
        <w:rPr>
          <w:rFonts w:ascii="Verdana" w:hAnsi="Verdana"/>
          <w:spacing w:val="-4"/>
        </w:rPr>
        <w:t>macrofunção</w:t>
      </w:r>
      <w:r>
        <w:rPr>
          <w:rFonts w:ascii="Verdana" w:hAnsi="Verdana"/>
          <w:spacing w:val="-14"/>
        </w:rPr>
        <w:t xml:space="preserve"> </w:t>
      </w:r>
      <w:r>
        <w:rPr>
          <w:rFonts w:ascii="Verdana" w:hAnsi="Verdana"/>
          <w:spacing w:val="-4"/>
        </w:rPr>
        <w:t>021122,</w:t>
      </w:r>
      <w:r>
        <w:rPr>
          <w:rFonts w:ascii="Verdana" w:hAnsi="Verdana"/>
          <w:spacing w:val="-9"/>
        </w:rPr>
        <w:t xml:space="preserve"> </w:t>
      </w:r>
      <w:r>
        <w:rPr>
          <w:rFonts w:ascii="Verdana" w:hAnsi="Verdana"/>
          <w:spacing w:val="-4"/>
        </w:rPr>
        <w:t>item</w:t>
      </w:r>
      <w:r>
        <w:rPr>
          <w:rFonts w:ascii="Verdana" w:hAnsi="Verdana"/>
          <w:spacing w:val="-11"/>
        </w:rPr>
        <w:t xml:space="preserve"> </w:t>
      </w:r>
      <w:r>
        <w:rPr>
          <w:rFonts w:ascii="Verdana" w:hAnsi="Verdana"/>
          <w:spacing w:val="-4"/>
        </w:rPr>
        <w:t>2.3</w:t>
      </w:r>
      <w:r>
        <w:rPr>
          <w:rFonts w:ascii="Verdana" w:hAnsi="Verdana"/>
          <w:spacing w:val="-11"/>
        </w:rPr>
        <w:t xml:space="preserve"> </w:t>
      </w:r>
      <w:r>
        <w:rPr>
          <w:rFonts w:ascii="Verdana" w:hAnsi="Verdana"/>
          <w:spacing w:val="-4"/>
        </w:rPr>
        <w:t>–</w:t>
      </w:r>
      <w:r>
        <w:rPr>
          <w:rFonts w:ascii="Verdana" w:hAnsi="Verdana"/>
          <w:spacing w:val="-13"/>
        </w:rPr>
        <w:t xml:space="preserve"> </w:t>
      </w:r>
      <w:r>
        <w:rPr>
          <w:rFonts w:ascii="Verdana" w:hAnsi="Verdana"/>
          <w:spacing w:val="-4"/>
        </w:rPr>
        <w:t>Repasses</w:t>
      </w:r>
      <w:r>
        <w:rPr>
          <w:rFonts w:ascii="Verdana" w:hAnsi="Verdana"/>
          <w:spacing w:val="-11"/>
        </w:rPr>
        <w:t xml:space="preserve"> </w:t>
      </w:r>
      <w:r>
        <w:rPr>
          <w:rFonts w:ascii="Verdana" w:hAnsi="Verdana"/>
          <w:spacing w:val="-4"/>
        </w:rPr>
        <w:t>de</w:t>
      </w:r>
      <w:r>
        <w:rPr>
          <w:rFonts w:ascii="Verdana" w:hAnsi="Verdana"/>
          <w:spacing w:val="-11"/>
        </w:rPr>
        <w:t xml:space="preserve"> </w:t>
      </w:r>
      <w:r>
        <w:rPr>
          <w:rFonts w:ascii="Verdana" w:hAnsi="Verdana"/>
          <w:spacing w:val="-4"/>
        </w:rPr>
        <w:t>recursos</w:t>
      </w:r>
      <w:r>
        <w:rPr>
          <w:rFonts w:ascii="Verdana" w:hAnsi="Verdana"/>
          <w:spacing w:val="-15"/>
        </w:rPr>
        <w:t xml:space="preserve"> </w:t>
      </w:r>
      <w:r>
        <w:rPr>
          <w:rFonts w:ascii="Verdana" w:hAnsi="Verdana"/>
          <w:spacing w:val="-4"/>
        </w:rPr>
        <w:t>para</w:t>
      </w:r>
      <w:r>
        <w:rPr>
          <w:rFonts w:ascii="Verdana" w:hAnsi="Verdana"/>
          <w:spacing w:val="-12"/>
        </w:rPr>
        <w:t xml:space="preserve"> </w:t>
      </w:r>
      <w:r>
        <w:rPr>
          <w:rFonts w:ascii="Verdana" w:hAnsi="Verdana"/>
          <w:spacing w:val="-4"/>
        </w:rPr>
        <w:t>as</w:t>
      </w:r>
      <w:r>
        <w:rPr>
          <w:rFonts w:ascii="Verdana" w:hAnsi="Verdana"/>
          <w:spacing w:val="-11"/>
        </w:rPr>
        <w:t xml:space="preserve"> </w:t>
      </w:r>
      <w:r>
        <w:rPr>
          <w:rFonts w:ascii="Verdana" w:hAnsi="Verdana"/>
          <w:spacing w:val="-4"/>
        </w:rPr>
        <w:t>empresas estatais,</w:t>
      </w:r>
      <w:r>
        <w:rPr>
          <w:rFonts w:ascii="Verdana" w:hAnsi="Verdana"/>
          <w:spacing w:val="-8"/>
        </w:rPr>
        <w:t xml:space="preserve"> </w:t>
      </w:r>
      <w:r>
        <w:rPr>
          <w:rFonts w:ascii="Verdana" w:hAnsi="Verdana"/>
          <w:spacing w:val="-4"/>
        </w:rPr>
        <w:t>e</w:t>
      </w:r>
      <w:r>
        <w:rPr>
          <w:rFonts w:ascii="Verdana" w:hAnsi="Verdana"/>
          <w:spacing w:val="-11"/>
        </w:rPr>
        <w:t xml:space="preserve"> </w:t>
      </w:r>
      <w:r>
        <w:rPr>
          <w:rFonts w:ascii="Verdana" w:hAnsi="Verdana"/>
          <w:spacing w:val="-4"/>
        </w:rPr>
        <w:t>sob</w:t>
      </w:r>
      <w:r>
        <w:rPr>
          <w:rFonts w:ascii="Verdana" w:hAnsi="Verdana"/>
          <w:spacing w:val="-13"/>
        </w:rPr>
        <w:t xml:space="preserve"> </w:t>
      </w:r>
      <w:r>
        <w:rPr>
          <w:rFonts w:ascii="Verdana" w:hAnsi="Verdana"/>
          <w:spacing w:val="-4"/>
        </w:rPr>
        <w:t>interpretação</w:t>
      </w:r>
      <w:r>
        <w:rPr>
          <w:rFonts w:ascii="Verdana" w:hAnsi="Verdana"/>
          <w:spacing w:val="-13"/>
        </w:rPr>
        <w:t xml:space="preserve"> </w:t>
      </w:r>
      <w:r>
        <w:rPr>
          <w:rFonts w:ascii="Verdana" w:hAnsi="Verdana"/>
          <w:spacing w:val="-4"/>
        </w:rPr>
        <w:t>de</w:t>
      </w:r>
      <w:r>
        <w:rPr>
          <w:rFonts w:ascii="Verdana" w:hAnsi="Verdana"/>
          <w:spacing w:val="-11"/>
        </w:rPr>
        <w:t xml:space="preserve"> </w:t>
      </w:r>
      <w:r>
        <w:rPr>
          <w:rFonts w:ascii="Verdana" w:hAnsi="Verdana"/>
          <w:spacing w:val="-4"/>
        </w:rPr>
        <w:t>Parecer</w:t>
      </w:r>
      <w:r>
        <w:rPr>
          <w:rFonts w:ascii="Verdana" w:hAnsi="Verdana"/>
          <w:spacing w:val="-11"/>
        </w:rPr>
        <w:t xml:space="preserve"> </w:t>
      </w:r>
      <w:r>
        <w:rPr>
          <w:rFonts w:ascii="Verdana" w:hAnsi="Verdana"/>
          <w:spacing w:val="-4"/>
        </w:rPr>
        <w:t>emitido</w:t>
      </w:r>
      <w:r>
        <w:rPr>
          <w:rFonts w:ascii="Verdana" w:hAnsi="Verdana"/>
          <w:spacing w:val="-8"/>
        </w:rPr>
        <w:t xml:space="preserve"> </w:t>
      </w:r>
      <w:r>
        <w:rPr>
          <w:rFonts w:ascii="Verdana" w:hAnsi="Verdana"/>
          <w:spacing w:val="-4"/>
        </w:rPr>
        <w:t>pela</w:t>
      </w:r>
      <w:r>
        <w:rPr>
          <w:rFonts w:ascii="Verdana" w:hAnsi="Verdana"/>
          <w:spacing w:val="-8"/>
        </w:rPr>
        <w:t xml:space="preserve"> </w:t>
      </w:r>
      <w:r>
        <w:rPr>
          <w:rFonts w:ascii="Verdana" w:hAnsi="Verdana"/>
          <w:spacing w:val="-4"/>
        </w:rPr>
        <w:t>Secretaria</w:t>
      </w:r>
      <w:r>
        <w:rPr>
          <w:rFonts w:ascii="Verdana" w:hAnsi="Verdana"/>
          <w:spacing w:val="-11"/>
        </w:rPr>
        <w:t xml:space="preserve"> </w:t>
      </w:r>
      <w:r>
        <w:rPr>
          <w:rFonts w:ascii="Verdana" w:hAnsi="Verdana"/>
          <w:spacing w:val="-4"/>
        </w:rPr>
        <w:t>do</w:t>
      </w:r>
      <w:r>
        <w:rPr>
          <w:rFonts w:ascii="Verdana" w:hAnsi="Verdana"/>
          <w:spacing w:val="-11"/>
        </w:rPr>
        <w:t xml:space="preserve"> </w:t>
      </w:r>
      <w:r>
        <w:rPr>
          <w:rFonts w:ascii="Verdana" w:hAnsi="Verdana"/>
          <w:spacing w:val="-4"/>
        </w:rPr>
        <w:t>Tesouro</w:t>
      </w:r>
      <w:r>
        <w:rPr>
          <w:rFonts w:ascii="Verdana" w:hAnsi="Verdana"/>
          <w:spacing w:val="-13"/>
        </w:rPr>
        <w:t xml:space="preserve"> </w:t>
      </w:r>
      <w:r>
        <w:rPr>
          <w:rFonts w:ascii="Verdana" w:hAnsi="Verdana"/>
          <w:spacing w:val="-4"/>
        </w:rPr>
        <w:t xml:space="preserve">Nacional, </w:t>
      </w:r>
      <w:r>
        <w:rPr>
          <w:rFonts w:ascii="Verdana" w:hAnsi="Verdana"/>
          <w:spacing w:val="-2"/>
        </w:rPr>
        <w:t>foi</w:t>
      </w:r>
      <w:r>
        <w:rPr>
          <w:rFonts w:ascii="Verdana" w:hAnsi="Verdana"/>
          <w:spacing w:val="-12"/>
        </w:rPr>
        <w:t xml:space="preserve"> </w:t>
      </w:r>
      <w:r>
        <w:rPr>
          <w:rFonts w:ascii="Verdana" w:hAnsi="Verdana"/>
          <w:spacing w:val="-2"/>
        </w:rPr>
        <w:t>tomada</w:t>
      </w:r>
      <w:r>
        <w:rPr>
          <w:rFonts w:ascii="Verdana" w:hAnsi="Verdana"/>
          <w:spacing w:val="-13"/>
        </w:rPr>
        <w:t xml:space="preserve"> </w:t>
      </w:r>
      <w:r>
        <w:rPr>
          <w:rFonts w:ascii="Verdana" w:hAnsi="Verdana"/>
          <w:spacing w:val="-2"/>
        </w:rPr>
        <w:t>a</w:t>
      </w:r>
      <w:r>
        <w:rPr>
          <w:rFonts w:ascii="Verdana" w:hAnsi="Verdana"/>
          <w:spacing w:val="-12"/>
        </w:rPr>
        <w:t xml:space="preserve"> </w:t>
      </w:r>
      <w:r>
        <w:rPr>
          <w:rFonts w:ascii="Verdana" w:hAnsi="Verdana"/>
          <w:spacing w:val="-2"/>
        </w:rPr>
        <w:t>decisão</w:t>
      </w:r>
      <w:r>
        <w:rPr>
          <w:rFonts w:ascii="Verdana" w:hAnsi="Verdana"/>
          <w:spacing w:val="-16"/>
        </w:rPr>
        <w:t xml:space="preserve"> </w:t>
      </w:r>
      <w:r>
        <w:rPr>
          <w:rFonts w:ascii="Verdana" w:hAnsi="Verdana"/>
          <w:spacing w:val="-2"/>
        </w:rPr>
        <w:t>de</w:t>
      </w:r>
      <w:r>
        <w:rPr>
          <w:rFonts w:ascii="Verdana" w:hAnsi="Verdana"/>
          <w:spacing w:val="-12"/>
        </w:rPr>
        <w:t xml:space="preserve"> </w:t>
      </w:r>
      <w:r>
        <w:rPr>
          <w:rFonts w:ascii="Verdana" w:hAnsi="Verdana"/>
          <w:spacing w:val="-2"/>
        </w:rPr>
        <w:t>reapresentar</w:t>
      </w:r>
      <w:r>
        <w:rPr>
          <w:rFonts w:ascii="Verdana" w:hAnsi="Verdana"/>
          <w:spacing w:val="-9"/>
        </w:rPr>
        <w:t xml:space="preserve"> </w:t>
      </w:r>
      <w:r>
        <w:rPr>
          <w:rFonts w:ascii="Verdana" w:hAnsi="Verdana"/>
          <w:spacing w:val="-2"/>
        </w:rPr>
        <w:t>as</w:t>
      </w:r>
      <w:r>
        <w:rPr>
          <w:rFonts w:ascii="Verdana" w:hAnsi="Verdana"/>
          <w:spacing w:val="-12"/>
        </w:rPr>
        <w:t xml:space="preserve"> </w:t>
      </w:r>
      <w:r>
        <w:rPr>
          <w:rFonts w:ascii="Verdana" w:hAnsi="Verdana"/>
          <w:spacing w:val="-2"/>
        </w:rPr>
        <w:t>demonstrações</w:t>
      </w:r>
      <w:r>
        <w:rPr>
          <w:rFonts w:ascii="Verdana" w:hAnsi="Verdana"/>
          <w:spacing w:val="-9"/>
        </w:rPr>
        <w:t xml:space="preserve"> </w:t>
      </w:r>
      <w:r>
        <w:rPr>
          <w:rFonts w:ascii="Verdana" w:hAnsi="Verdana"/>
          <w:spacing w:val="-2"/>
        </w:rPr>
        <w:t>contábeis</w:t>
      </w:r>
      <w:r>
        <w:rPr>
          <w:rFonts w:ascii="Verdana" w:hAnsi="Verdana"/>
          <w:spacing w:val="-12"/>
        </w:rPr>
        <w:t xml:space="preserve"> </w:t>
      </w:r>
      <w:r>
        <w:rPr>
          <w:rFonts w:ascii="Verdana" w:hAnsi="Verdana"/>
          <w:spacing w:val="-2"/>
        </w:rPr>
        <w:t>dos</w:t>
      </w:r>
      <w:r>
        <w:rPr>
          <w:rFonts w:ascii="Verdana" w:hAnsi="Verdana"/>
          <w:spacing w:val="-12"/>
        </w:rPr>
        <w:t xml:space="preserve"> </w:t>
      </w:r>
      <w:r>
        <w:rPr>
          <w:rFonts w:ascii="Verdana" w:hAnsi="Verdana"/>
          <w:spacing w:val="-2"/>
        </w:rPr>
        <w:t>exercícios</w:t>
      </w:r>
      <w:r>
        <w:rPr>
          <w:rFonts w:ascii="Verdana" w:hAnsi="Verdana"/>
          <w:spacing w:val="-12"/>
        </w:rPr>
        <w:t xml:space="preserve"> </w:t>
      </w:r>
      <w:r>
        <w:rPr>
          <w:rFonts w:ascii="Verdana" w:hAnsi="Verdana"/>
          <w:spacing w:val="-2"/>
        </w:rPr>
        <w:t xml:space="preserve">de </w:t>
      </w:r>
      <w:r>
        <w:rPr>
          <w:rFonts w:ascii="Verdana" w:hAnsi="Verdana"/>
        </w:rPr>
        <w:t>2020 a 2022 e dos três primeiros trimestres de 2023, passando a registrar como Adiantamento</w:t>
      </w:r>
      <w:r>
        <w:rPr>
          <w:rFonts w:ascii="Verdana" w:hAnsi="Verdana"/>
          <w:spacing w:val="-10"/>
        </w:rPr>
        <w:t xml:space="preserve"> </w:t>
      </w:r>
      <w:r>
        <w:rPr>
          <w:rFonts w:ascii="Verdana" w:hAnsi="Verdana"/>
        </w:rPr>
        <w:t>para</w:t>
      </w:r>
      <w:r>
        <w:rPr>
          <w:rFonts w:ascii="Verdana" w:hAnsi="Verdana"/>
          <w:spacing w:val="-9"/>
        </w:rPr>
        <w:t xml:space="preserve"> </w:t>
      </w:r>
      <w:r>
        <w:rPr>
          <w:rFonts w:ascii="Verdana" w:hAnsi="Verdana"/>
        </w:rPr>
        <w:t>Futuro</w:t>
      </w:r>
      <w:r>
        <w:rPr>
          <w:rFonts w:ascii="Verdana" w:hAnsi="Verdana"/>
          <w:spacing w:val="-10"/>
        </w:rPr>
        <w:t xml:space="preserve"> </w:t>
      </w:r>
      <w:r>
        <w:rPr>
          <w:rFonts w:ascii="Verdana" w:hAnsi="Verdana"/>
        </w:rPr>
        <w:t>Aumento</w:t>
      </w:r>
      <w:r>
        <w:rPr>
          <w:rFonts w:ascii="Verdana" w:hAnsi="Verdana"/>
          <w:spacing w:val="-12"/>
        </w:rPr>
        <w:t xml:space="preserve"> </w:t>
      </w:r>
      <w:r>
        <w:rPr>
          <w:rFonts w:ascii="Verdana" w:hAnsi="Verdana"/>
        </w:rPr>
        <w:t>de</w:t>
      </w:r>
      <w:r>
        <w:rPr>
          <w:rFonts w:ascii="Verdana" w:hAnsi="Verdana"/>
          <w:spacing w:val="-9"/>
        </w:rPr>
        <w:t xml:space="preserve"> </w:t>
      </w:r>
      <w:r>
        <w:rPr>
          <w:rFonts w:ascii="Verdana" w:hAnsi="Verdana"/>
        </w:rPr>
        <w:t>Capital,</w:t>
      </w:r>
      <w:r>
        <w:rPr>
          <w:rFonts w:ascii="Verdana" w:hAnsi="Verdana"/>
          <w:spacing w:val="-7"/>
        </w:rPr>
        <w:t xml:space="preserve"> </w:t>
      </w:r>
      <w:r>
        <w:rPr>
          <w:rFonts w:ascii="Verdana" w:hAnsi="Verdana"/>
        </w:rPr>
        <w:t>no</w:t>
      </w:r>
      <w:r>
        <w:rPr>
          <w:rFonts w:ascii="Verdana" w:hAnsi="Verdana"/>
          <w:spacing w:val="-10"/>
        </w:rPr>
        <w:t xml:space="preserve"> </w:t>
      </w:r>
      <w:r>
        <w:rPr>
          <w:rFonts w:ascii="Verdana" w:hAnsi="Verdana"/>
        </w:rPr>
        <w:t>Passivo</w:t>
      </w:r>
      <w:r>
        <w:rPr>
          <w:rFonts w:ascii="Verdana" w:hAnsi="Verdana"/>
          <w:spacing w:val="-9"/>
        </w:rPr>
        <w:t xml:space="preserve"> </w:t>
      </w:r>
      <w:r>
        <w:rPr>
          <w:rFonts w:ascii="Verdana" w:hAnsi="Verdana"/>
        </w:rPr>
        <w:t>Não</w:t>
      </w:r>
      <w:r>
        <w:rPr>
          <w:rFonts w:ascii="Verdana" w:hAnsi="Verdana"/>
          <w:spacing w:val="-11"/>
        </w:rPr>
        <w:t xml:space="preserve"> </w:t>
      </w:r>
      <w:r>
        <w:rPr>
          <w:rFonts w:ascii="Verdana" w:hAnsi="Verdana"/>
        </w:rPr>
        <w:t>Circulante,</w:t>
      </w:r>
      <w:r>
        <w:rPr>
          <w:rFonts w:ascii="Verdana" w:hAnsi="Verdana"/>
          <w:spacing w:val="-6"/>
        </w:rPr>
        <w:t xml:space="preserve"> </w:t>
      </w:r>
      <w:r>
        <w:rPr>
          <w:rFonts w:ascii="Verdana" w:hAnsi="Verdana"/>
        </w:rPr>
        <w:t>a</w:t>
      </w:r>
      <w:r>
        <w:rPr>
          <w:rFonts w:ascii="Verdana" w:hAnsi="Verdana"/>
          <w:spacing w:val="-9"/>
        </w:rPr>
        <w:t xml:space="preserve"> </w:t>
      </w:r>
      <w:r>
        <w:rPr>
          <w:rFonts w:ascii="Verdana" w:hAnsi="Verdana"/>
        </w:rPr>
        <w:t>parte destes recursos recebidos como Subvenção para Investimentos, adequando as demonstrações</w:t>
      </w:r>
      <w:r>
        <w:rPr>
          <w:rFonts w:ascii="Verdana" w:hAnsi="Verdana"/>
          <w:spacing w:val="-7"/>
        </w:rPr>
        <w:t xml:space="preserve"> </w:t>
      </w:r>
      <w:r>
        <w:rPr>
          <w:rFonts w:ascii="Verdana" w:hAnsi="Verdana"/>
        </w:rPr>
        <w:t>contábeis</w:t>
      </w:r>
      <w:r>
        <w:rPr>
          <w:rFonts w:ascii="Verdana" w:hAnsi="Verdana"/>
          <w:spacing w:val="-3"/>
        </w:rPr>
        <w:t xml:space="preserve"> </w:t>
      </w:r>
      <w:r>
        <w:rPr>
          <w:rFonts w:ascii="Verdana" w:hAnsi="Verdana"/>
        </w:rPr>
        <w:t>às</w:t>
      </w:r>
      <w:r>
        <w:rPr>
          <w:rFonts w:ascii="Verdana" w:hAnsi="Verdana"/>
          <w:spacing w:val="-5"/>
        </w:rPr>
        <w:t xml:space="preserve"> </w:t>
      </w:r>
      <w:r>
        <w:rPr>
          <w:rFonts w:ascii="Verdana" w:hAnsi="Verdana"/>
        </w:rPr>
        <w:t>práticas</w:t>
      </w:r>
      <w:r>
        <w:rPr>
          <w:rFonts w:ascii="Verdana" w:hAnsi="Verdana"/>
          <w:spacing w:val="-5"/>
        </w:rPr>
        <w:t xml:space="preserve"> </w:t>
      </w:r>
      <w:r>
        <w:rPr>
          <w:rFonts w:ascii="Verdana" w:hAnsi="Verdana"/>
        </w:rPr>
        <w:t>contábeis</w:t>
      </w:r>
      <w:r>
        <w:rPr>
          <w:rFonts w:ascii="Verdana" w:hAnsi="Verdana"/>
          <w:spacing w:val="-3"/>
        </w:rPr>
        <w:t xml:space="preserve"> </w:t>
      </w:r>
      <w:r>
        <w:rPr>
          <w:rFonts w:ascii="Verdana" w:hAnsi="Verdana"/>
        </w:rPr>
        <w:t>do</w:t>
      </w:r>
      <w:r>
        <w:rPr>
          <w:rFonts w:ascii="Verdana" w:hAnsi="Verdana"/>
          <w:spacing w:val="-5"/>
        </w:rPr>
        <w:t xml:space="preserve"> </w:t>
      </w:r>
      <w:r>
        <w:rPr>
          <w:rFonts w:ascii="Verdana" w:hAnsi="Verdana"/>
        </w:rPr>
        <w:t>controlador,</w:t>
      </w:r>
      <w:r>
        <w:rPr>
          <w:rFonts w:ascii="Verdana" w:hAnsi="Verdana"/>
          <w:spacing w:val="-4"/>
        </w:rPr>
        <w:t xml:space="preserve"> </w:t>
      </w:r>
      <w:r>
        <w:rPr>
          <w:rFonts w:ascii="Verdana" w:hAnsi="Verdana"/>
        </w:rPr>
        <w:t>embora</w:t>
      </w:r>
      <w:r>
        <w:rPr>
          <w:rFonts w:ascii="Verdana" w:hAnsi="Verdana"/>
          <w:spacing w:val="-5"/>
        </w:rPr>
        <w:t xml:space="preserve"> </w:t>
      </w:r>
      <w:r>
        <w:rPr>
          <w:rFonts w:ascii="Verdana" w:hAnsi="Verdana"/>
        </w:rPr>
        <w:t>os</w:t>
      </w:r>
      <w:r>
        <w:rPr>
          <w:rFonts w:ascii="Verdana" w:hAnsi="Verdana"/>
          <w:spacing w:val="-5"/>
        </w:rPr>
        <w:t xml:space="preserve"> </w:t>
      </w:r>
      <w:r>
        <w:rPr>
          <w:rFonts w:ascii="Verdana" w:hAnsi="Verdana"/>
        </w:rPr>
        <w:t xml:space="preserve">ajustes </w:t>
      </w:r>
      <w:r>
        <w:rPr>
          <w:rFonts w:ascii="Verdana" w:hAnsi="Verdana"/>
          <w:spacing w:val="-4"/>
        </w:rPr>
        <w:t>pudessem</w:t>
      </w:r>
      <w:r>
        <w:rPr>
          <w:rFonts w:ascii="Verdana" w:hAnsi="Verdana"/>
          <w:spacing w:val="-16"/>
        </w:rPr>
        <w:t xml:space="preserve"> </w:t>
      </w:r>
      <w:r>
        <w:rPr>
          <w:rFonts w:ascii="Verdana" w:hAnsi="Verdana"/>
          <w:spacing w:val="-4"/>
        </w:rPr>
        <w:t>ser</w:t>
      </w:r>
      <w:r>
        <w:rPr>
          <w:rFonts w:ascii="Verdana" w:hAnsi="Verdana"/>
          <w:spacing w:val="-15"/>
        </w:rPr>
        <w:t xml:space="preserve"> </w:t>
      </w:r>
      <w:r>
        <w:rPr>
          <w:rFonts w:ascii="Verdana" w:hAnsi="Verdana"/>
          <w:spacing w:val="-4"/>
        </w:rPr>
        <w:t>feitos</w:t>
      </w:r>
      <w:r>
        <w:rPr>
          <w:rFonts w:ascii="Verdana" w:hAnsi="Verdana"/>
          <w:spacing w:val="-15"/>
        </w:rPr>
        <w:t xml:space="preserve"> </w:t>
      </w:r>
      <w:r>
        <w:rPr>
          <w:rFonts w:ascii="Verdana" w:hAnsi="Verdana"/>
          <w:spacing w:val="-4"/>
        </w:rPr>
        <w:t>diretamente</w:t>
      </w:r>
      <w:r>
        <w:rPr>
          <w:rFonts w:ascii="Verdana" w:hAnsi="Verdana"/>
          <w:spacing w:val="-16"/>
        </w:rPr>
        <w:t xml:space="preserve"> </w:t>
      </w:r>
      <w:r>
        <w:rPr>
          <w:rFonts w:ascii="Verdana" w:hAnsi="Verdana"/>
          <w:spacing w:val="-4"/>
        </w:rPr>
        <w:t>pelo</w:t>
      </w:r>
      <w:r>
        <w:rPr>
          <w:rFonts w:ascii="Verdana" w:hAnsi="Verdana"/>
          <w:spacing w:val="-15"/>
        </w:rPr>
        <w:t xml:space="preserve"> </w:t>
      </w:r>
      <w:r>
        <w:rPr>
          <w:rFonts w:ascii="Verdana" w:hAnsi="Verdana"/>
          <w:spacing w:val="-4"/>
        </w:rPr>
        <w:t>investidor</w:t>
      </w:r>
      <w:r>
        <w:rPr>
          <w:rFonts w:ascii="Verdana" w:hAnsi="Verdana"/>
          <w:spacing w:val="-16"/>
        </w:rPr>
        <w:t xml:space="preserve"> </w:t>
      </w:r>
      <w:r>
        <w:rPr>
          <w:rFonts w:ascii="Verdana" w:hAnsi="Verdana"/>
          <w:spacing w:val="-4"/>
        </w:rPr>
        <w:t>(CPC</w:t>
      </w:r>
      <w:r>
        <w:rPr>
          <w:rFonts w:ascii="Verdana" w:hAnsi="Verdana"/>
          <w:spacing w:val="-15"/>
        </w:rPr>
        <w:t xml:space="preserve"> </w:t>
      </w:r>
      <w:r>
        <w:rPr>
          <w:rFonts w:ascii="Verdana" w:hAnsi="Verdana"/>
          <w:spacing w:val="-4"/>
        </w:rPr>
        <w:t>18</w:t>
      </w:r>
      <w:r>
        <w:rPr>
          <w:rFonts w:ascii="Verdana" w:hAnsi="Verdana"/>
          <w:spacing w:val="-15"/>
        </w:rPr>
        <w:t xml:space="preserve"> </w:t>
      </w:r>
      <w:r>
        <w:rPr>
          <w:rFonts w:ascii="Verdana" w:hAnsi="Verdana"/>
          <w:spacing w:val="-4"/>
        </w:rPr>
        <w:t>e</w:t>
      </w:r>
      <w:r>
        <w:rPr>
          <w:rFonts w:ascii="Verdana" w:hAnsi="Verdana"/>
          <w:spacing w:val="-16"/>
        </w:rPr>
        <w:t xml:space="preserve"> </w:t>
      </w:r>
      <w:r>
        <w:rPr>
          <w:rFonts w:ascii="Verdana" w:hAnsi="Verdana"/>
          <w:spacing w:val="-4"/>
        </w:rPr>
        <w:t>CPC</w:t>
      </w:r>
      <w:r>
        <w:rPr>
          <w:rFonts w:ascii="Verdana" w:hAnsi="Verdana"/>
          <w:spacing w:val="-15"/>
        </w:rPr>
        <w:t xml:space="preserve"> </w:t>
      </w:r>
      <w:r>
        <w:rPr>
          <w:rFonts w:ascii="Verdana" w:hAnsi="Verdana"/>
          <w:spacing w:val="-4"/>
        </w:rPr>
        <w:t>36),</w:t>
      </w:r>
      <w:r>
        <w:rPr>
          <w:rFonts w:ascii="Verdana" w:hAnsi="Verdana"/>
          <w:spacing w:val="-15"/>
        </w:rPr>
        <w:t xml:space="preserve"> </w:t>
      </w:r>
      <w:r>
        <w:rPr>
          <w:rFonts w:ascii="Verdana" w:hAnsi="Verdana"/>
          <w:spacing w:val="-4"/>
        </w:rPr>
        <w:t>bem</w:t>
      </w:r>
      <w:r>
        <w:rPr>
          <w:rFonts w:ascii="Verdana" w:hAnsi="Verdana"/>
          <w:spacing w:val="-16"/>
        </w:rPr>
        <w:t xml:space="preserve"> </w:t>
      </w:r>
      <w:r>
        <w:rPr>
          <w:rFonts w:ascii="Verdana" w:hAnsi="Verdana"/>
          <w:spacing w:val="-4"/>
        </w:rPr>
        <w:t>como</w:t>
      </w:r>
      <w:r>
        <w:rPr>
          <w:rFonts w:ascii="Verdana" w:hAnsi="Verdana"/>
          <w:spacing w:val="-15"/>
        </w:rPr>
        <w:t xml:space="preserve"> </w:t>
      </w:r>
      <w:r>
        <w:rPr>
          <w:rFonts w:ascii="Verdana" w:hAnsi="Verdana"/>
          <w:spacing w:val="-4"/>
        </w:rPr>
        <w:t xml:space="preserve">tendo </w:t>
      </w:r>
      <w:r>
        <w:rPr>
          <w:rFonts w:ascii="Verdana" w:hAnsi="Verdana"/>
        </w:rPr>
        <w:t>como justificativa a aplicação do princípio</w:t>
      </w:r>
      <w:r>
        <w:rPr>
          <w:rFonts w:ascii="Verdana" w:hAnsi="Verdana"/>
          <w:spacing w:val="-2"/>
        </w:rPr>
        <w:t xml:space="preserve"> </w:t>
      </w:r>
      <w:r>
        <w:rPr>
          <w:rFonts w:ascii="Verdana" w:hAnsi="Verdana"/>
        </w:rPr>
        <w:t>da Primazia da Essência sobre a Forma (CPC 00), haja visto que recursos deste gênero certamente terão</w:t>
      </w:r>
      <w:r>
        <w:rPr>
          <w:rFonts w:ascii="Verdana" w:hAnsi="Verdana"/>
          <w:spacing w:val="-1"/>
        </w:rPr>
        <w:t xml:space="preserve"> </w:t>
      </w:r>
      <w:r>
        <w:rPr>
          <w:rFonts w:ascii="Verdana" w:hAnsi="Verdana"/>
        </w:rPr>
        <w:t>como destino o aumento de capital.</w:t>
      </w:r>
    </w:p>
    <w:p w14:paraId="6480E66B" w14:textId="77777777" w:rsidR="002C6574" w:rsidRDefault="002C6574">
      <w:pPr>
        <w:pStyle w:val="Corpodetexto"/>
        <w:spacing w:line="242" w:lineRule="auto"/>
        <w:jc w:val="both"/>
        <w:rPr>
          <w:rFonts w:ascii="Verdana" w:hAnsi="Verdana"/>
        </w:rPr>
        <w:sectPr w:rsidR="002C6574">
          <w:pgSz w:w="11910" w:h="16840"/>
          <w:pgMar w:top="1860" w:right="850" w:bottom="1440" w:left="992" w:header="826" w:footer="1241" w:gutter="0"/>
          <w:cols w:space="720"/>
        </w:sectPr>
      </w:pPr>
    </w:p>
    <w:p w14:paraId="401494FA" w14:textId="77777777" w:rsidR="002C6574" w:rsidRDefault="00000000">
      <w:pPr>
        <w:spacing w:before="258"/>
        <w:ind w:left="709"/>
        <w:rPr>
          <w:rFonts w:ascii="Tahoma"/>
          <w:b/>
        </w:rPr>
      </w:pPr>
      <w:r>
        <w:rPr>
          <w:rFonts w:ascii="Tahoma"/>
          <w:b/>
          <w:spacing w:val="-2"/>
        </w:rPr>
        <w:lastRenderedPageBreak/>
        <w:t>Investimentos</w:t>
      </w:r>
    </w:p>
    <w:p w14:paraId="70A40931" w14:textId="77777777" w:rsidR="002C6574" w:rsidRDefault="002C6574">
      <w:pPr>
        <w:pStyle w:val="Corpodetexto"/>
        <w:spacing w:before="7"/>
        <w:rPr>
          <w:rFonts w:ascii="Tahoma"/>
          <w:b/>
        </w:rPr>
      </w:pPr>
    </w:p>
    <w:p w14:paraId="60019CDA" w14:textId="77777777" w:rsidR="002C6574" w:rsidRDefault="00000000">
      <w:pPr>
        <w:pStyle w:val="Corpodetexto"/>
        <w:spacing w:line="242" w:lineRule="auto"/>
        <w:ind w:left="709" w:right="276"/>
        <w:jc w:val="both"/>
        <w:rPr>
          <w:rFonts w:ascii="Verdana" w:hAnsi="Verdana"/>
        </w:rPr>
      </w:pPr>
      <w:r>
        <w:rPr>
          <w:rFonts w:ascii="Verdana" w:hAnsi="Verdana"/>
        </w:rPr>
        <w:t>Conforme mencionado na nota explicativa 12, a Companhia participa do capital social da coligada Visiona Tecnologia Espacial S/A com 49%. As demonstrações contábeis</w:t>
      </w:r>
      <w:r>
        <w:rPr>
          <w:rFonts w:ascii="Verdana" w:hAnsi="Verdana"/>
          <w:spacing w:val="-20"/>
        </w:rPr>
        <w:t xml:space="preserve"> </w:t>
      </w:r>
      <w:r>
        <w:rPr>
          <w:rFonts w:ascii="Verdana" w:hAnsi="Verdana"/>
        </w:rPr>
        <w:t>de</w:t>
      </w:r>
      <w:r>
        <w:rPr>
          <w:rFonts w:ascii="Verdana" w:hAnsi="Verdana"/>
          <w:spacing w:val="-19"/>
        </w:rPr>
        <w:t xml:space="preserve"> </w:t>
      </w:r>
      <w:r>
        <w:rPr>
          <w:rFonts w:ascii="Verdana" w:hAnsi="Verdana"/>
        </w:rPr>
        <w:t>31</w:t>
      </w:r>
      <w:r>
        <w:rPr>
          <w:rFonts w:ascii="Verdana" w:hAnsi="Verdana"/>
          <w:spacing w:val="-19"/>
        </w:rPr>
        <w:t xml:space="preserve"> </w:t>
      </w:r>
      <w:r>
        <w:rPr>
          <w:rFonts w:ascii="Verdana" w:hAnsi="Verdana"/>
        </w:rPr>
        <w:t>de</w:t>
      </w:r>
      <w:r>
        <w:rPr>
          <w:rFonts w:ascii="Verdana" w:hAnsi="Verdana"/>
          <w:spacing w:val="-20"/>
        </w:rPr>
        <w:t xml:space="preserve"> </w:t>
      </w:r>
      <w:r>
        <w:rPr>
          <w:rFonts w:ascii="Verdana" w:hAnsi="Verdana"/>
        </w:rPr>
        <w:t>dezembro</w:t>
      </w:r>
      <w:r>
        <w:rPr>
          <w:rFonts w:ascii="Verdana" w:hAnsi="Verdana"/>
          <w:spacing w:val="-17"/>
        </w:rPr>
        <w:t xml:space="preserve"> </w:t>
      </w:r>
      <w:r>
        <w:rPr>
          <w:rFonts w:ascii="Verdana" w:hAnsi="Verdana"/>
        </w:rPr>
        <w:t>de</w:t>
      </w:r>
      <w:r>
        <w:rPr>
          <w:rFonts w:ascii="Verdana" w:hAnsi="Verdana"/>
          <w:spacing w:val="-17"/>
        </w:rPr>
        <w:t xml:space="preserve"> </w:t>
      </w:r>
      <w:r>
        <w:rPr>
          <w:rFonts w:ascii="Verdana" w:hAnsi="Verdana"/>
        </w:rPr>
        <w:t>2025</w:t>
      </w:r>
      <w:r>
        <w:rPr>
          <w:rFonts w:ascii="Verdana" w:hAnsi="Verdana"/>
          <w:spacing w:val="-20"/>
        </w:rPr>
        <w:t xml:space="preserve"> </w:t>
      </w:r>
      <w:r>
        <w:rPr>
          <w:rFonts w:ascii="Verdana" w:hAnsi="Verdana"/>
        </w:rPr>
        <w:t>desta</w:t>
      </w:r>
      <w:r>
        <w:rPr>
          <w:rFonts w:ascii="Verdana" w:hAnsi="Verdana"/>
          <w:spacing w:val="-19"/>
        </w:rPr>
        <w:t xml:space="preserve"> </w:t>
      </w:r>
      <w:r>
        <w:rPr>
          <w:rFonts w:ascii="Verdana" w:hAnsi="Verdana"/>
        </w:rPr>
        <w:t>coligada</w:t>
      </w:r>
      <w:r>
        <w:rPr>
          <w:rFonts w:ascii="Verdana" w:hAnsi="Verdana"/>
          <w:spacing w:val="-17"/>
        </w:rPr>
        <w:t xml:space="preserve"> </w:t>
      </w:r>
      <w:r>
        <w:rPr>
          <w:rFonts w:ascii="Verdana" w:hAnsi="Verdana"/>
        </w:rPr>
        <w:t>foram</w:t>
      </w:r>
      <w:r>
        <w:rPr>
          <w:rFonts w:ascii="Verdana" w:hAnsi="Verdana"/>
          <w:spacing w:val="-19"/>
        </w:rPr>
        <w:t xml:space="preserve"> </w:t>
      </w:r>
      <w:r>
        <w:rPr>
          <w:rFonts w:ascii="Verdana" w:hAnsi="Verdana"/>
        </w:rPr>
        <w:t>examinadas</w:t>
      </w:r>
      <w:r>
        <w:rPr>
          <w:rFonts w:ascii="Verdana" w:hAnsi="Verdana"/>
          <w:spacing w:val="-20"/>
        </w:rPr>
        <w:t xml:space="preserve"> </w:t>
      </w:r>
      <w:r>
        <w:rPr>
          <w:rFonts w:ascii="Verdana" w:hAnsi="Verdana"/>
        </w:rPr>
        <w:t>por</w:t>
      </w:r>
      <w:r>
        <w:rPr>
          <w:rFonts w:ascii="Verdana" w:hAnsi="Verdana"/>
          <w:spacing w:val="-16"/>
        </w:rPr>
        <w:t xml:space="preserve"> </w:t>
      </w:r>
      <w:r>
        <w:rPr>
          <w:rFonts w:ascii="Verdana" w:hAnsi="Verdana"/>
        </w:rPr>
        <w:t xml:space="preserve">outros </w:t>
      </w:r>
      <w:r>
        <w:rPr>
          <w:rFonts w:ascii="Verdana" w:hAnsi="Verdana"/>
          <w:spacing w:val="-2"/>
        </w:rPr>
        <w:t>auditores</w:t>
      </w:r>
      <w:r>
        <w:rPr>
          <w:rFonts w:ascii="Verdana" w:hAnsi="Verdana"/>
          <w:spacing w:val="-17"/>
        </w:rPr>
        <w:t xml:space="preserve"> </w:t>
      </w:r>
      <w:r>
        <w:rPr>
          <w:rFonts w:ascii="Verdana" w:hAnsi="Verdana"/>
          <w:spacing w:val="-2"/>
        </w:rPr>
        <w:t>independentes</w:t>
      </w:r>
      <w:r>
        <w:rPr>
          <w:rFonts w:ascii="Verdana" w:hAnsi="Verdana"/>
          <w:spacing w:val="-16"/>
        </w:rPr>
        <w:t xml:space="preserve"> </w:t>
      </w:r>
      <w:r>
        <w:rPr>
          <w:rFonts w:ascii="Verdana" w:hAnsi="Verdana"/>
          <w:spacing w:val="-2"/>
        </w:rPr>
        <w:t>que</w:t>
      </w:r>
      <w:r>
        <w:rPr>
          <w:rFonts w:ascii="Verdana" w:hAnsi="Verdana"/>
          <w:spacing w:val="-18"/>
        </w:rPr>
        <w:t xml:space="preserve"> </w:t>
      </w:r>
      <w:r>
        <w:rPr>
          <w:rFonts w:ascii="Verdana" w:hAnsi="Verdana"/>
          <w:spacing w:val="-2"/>
        </w:rPr>
        <w:t>emitiram</w:t>
      </w:r>
      <w:r>
        <w:rPr>
          <w:rFonts w:ascii="Verdana" w:hAnsi="Verdana"/>
          <w:spacing w:val="-16"/>
        </w:rPr>
        <w:t xml:space="preserve"> </w:t>
      </w:r>
      <w:r>
        <w:rPr>
          <w:rFonts w:ascii="Verdana" w:hAnsi="Verdana"/>
          <w:spacing w:val="-2"/>
        </w:rPr>
        <w:t>relatório,</w:t>
      </w:r>
      <w:r>
        <w:rPr>
          <w:rFonts w:ascii="Verdana" w:hAnsi="Verdana"/>
          <w:spacing w:val="-16"/>
        </w:rPr>
        <w:t xml:space="preserve"> </w:t>
      </w:r>
      <w:r>
        <w:rPr>
          <w:rFonts w:ascii="Verdana" w:hAnsi="Verdana"/>
          <w:spacing w:val="-2"/>
        </w:rPr>
        <w:t>datado</w:t>
      </w:r>
      <w:r>
        <w:rPr>
          <w:rFonts w:ascii="Verdana" w:hAnsi="Verdana"/>
          <w:spacing w:val="-18"/>
        </w:rPr>
        <w:t xml:space="preserve"> </w:t>
      </w:r>
      <w:r>
        <w:rPr>
          <w:rFonts w:ascii="Verdana" w:hAnsi="Verdana"/>
          <w:spacing w:val="-2"/>
        </w:rPr>
        <w:t>de</w:t>
      </w:r>
      <w:r>
        <w:rPr>
          <w:rFonts w:ascii="Verdana" w:hAnsi="Verdana"/>
          <w:spacing w:val="-15"/>
        </w:rPr>
        <w:t xml:space="preserve"> </w:t>
      </w:r>
      <w:r>
        <w:rPr>
          <w:rFonts w:ascii="Verdana" w:hAnsi="Verdana"/>
          <w:spacing w:val="-2"/>
        </w:rPr>
        <w:t>23</w:t>
      </w:r>
      <w:r>
        <w:rPr>
          <w:rFonts w:ascii="Verdana" w:hAnsi="Verdana"/>
          <w:spacing w:val="-18"/>
        </w:rPr>
        <w:t xml:space="preserve"> </w:t>
      </w:r>
      <w:r>
        <w:rPr>
          <w:rFonts w:ascii="Verdana" w:hAnsi="Verdana"/>
          <w:spacing w:val="-2"/>
        </w:rPr>
        <w:t>de</w:t>
      </w:r>
      <w:r>
        <w:rPr>
          <w:rFonts w:ascii="Verdana" w:hAnsi="Verdana"/>
          <w:spacing w:val="-17"/>
        </w:rPr>
        <w:t xml:space="preserve"> </w:t>
      </w:r>
      <w:r>
        <w:rPr>
          <w:rFonts w:ascii="Verdana" w:hAnsi="Verdana"/>
          <w:spacing w:val="-2"/>
        </w:rPr>
        <w:t>fevereiro</w:t>
      </w:r>
      <w:r>
        <w:rPr>
          <w:rFonts w:ascii="Verdana" w:hAnsi="Verdana"/>
          <w:spacing w:val="-16"/>
        </w:rPr>
        <w:t xml:space="preserve"> </w:t>
      </w:r>
      <w:r>
        <w:rPr>
          <w:rFonts w:ascii="Verdana" w:hAnsi="Verdana"/>
          <w:spacing w:val="-2"/>
        </w:rPr>
        <w:t>de</w:t>
      </w:r>
      <w:r>
        <w:rPr>
          <w:rFonts w:ascii="Verdana" w:hAnsi="Verdana"/>
          <w:spacing w:val="-16"/>
        </w:rPr>
        <w:t xml:space="preserve"> </w:t>
      </w:r>
      <w:r>
        <w:rPr>
          <w:rFonts w:ascii="Verdana" w:hAnsi="Verdana"/>
          <w:spacing w:val="-2"/>
        </w:rPr>
        <w:t xml:space="preserve">2026, </w:t>
      </w:r>
      <w:r>
        <w:rPr>
          <w:rFonts w:ascii="Verdana" w:hAnsi="Verdana"/>
        </w:rPr>
        <w:t>sem</w:t>
      </w:r>
      <w:r>
        <w:rPr>
          <w:rFonts w:ascii="Verdana" w:hAnsi="Verdana"/>
          <w:spacing w:val="-3"/>
        </w:rPr>
        <w:t xml:space="preserve"> </w:t>
      </w:r>
      <w:r>
        <w:rPr>
          <w:rFonts w:ascii="Verdana" w:hAnsi="Verdana"/>
        </w:rPr>
        <w:t>ressalvas.</w:t>
      </w:r>
    </w:p>
    <w:p w14:paraId="38EB415F" w14:textId="77777777" w:rsidR="002C6574" w:rsidRDefault="002C6574">
      <w:pPr>
        <w:pStyle w:val="Corpodetexto"/>
        <w:spacing w:before="1"/>
        <w:rPr>
          <w:rFonts w:ascii="Verdana"/>
        </w:rPr>
      </w:pPr>
    </w:p>
    <w:p w14:paraId="34379BC0" w14:textId="77777777" w:rsidR="002C6574" w:rsidRDefault="00000000">
      <w:pPr>
        <w:spacing w:before="1"/>
        <w:ind w:left="709"/>
        <w:rPr>
          <w:rFonts w:ascii="Tahoma" w:hAnsi="Tahoma"/>
          <w:b/>
        </w:rPr>
      </w:pPr>
      <w:r>
        <w:rPr>
          <w:rFonts w:ascii="Tahoma" w:hAnsi="Tahoma"/>
          <w:b/>
          <w:spacing w:val="-4"/>
        </w:rPr>
        <w:t>Programa</w:t>
      </w:r>
      <w:r>
        <w:rPr>
          <w:rFonts w:ascii="Tahoma" w:hAnsi="Tahoma"/>
          <w:b/>
          <w:spacing w:val="-12"/>
        </w:rPr>
        <w:t xml:space="preserve"> </w:t>
      </w:r>
      <w:r>
        <w:rPr>
          <w:rFonts w:ascii="Tahoma" w:hAnsi="Tahoma"/>
          <w:b/>
          <w:spacing w:val="-4"/>
        </w:rPr>
        <w:t>de</w:t>
      </w:r>
      <w:r>
        <w:rPr>
          <w:rFonts w:ascii="Tahoma" w:hAnsi="Tahoma"/>
          <w:b/>
          <w:spacing w:val="-9"/>
        </w:rPr>
        <w:t xml:space="preserve"> </w:t>
      </w:r>
      <w:r>
        <w:rPr>
          <w:rFonts w:ascii="Tahoma" w:hAnsi="Tahoma"/>
          <w:b/>
          <w:spacing w:val="-4"/>
        </w:rPr>
        <w:t>Indenização</w:t>
      </w:r>
      <w:r>
        <w:rPr>
          <w:rFonts w:ascii="Tahoma" w:hAnsi="Tahoma"/>
          <w:b/>
          <w:spacing w:val="-12"/>
        </w:rPr>
        <w:t xml:space="preserve"> </w:t>
      </w:r>
      <w:r>
        <w:rPr>
          <w:rFonts w:ascii="Tahoma" w:hAnsi="Tahoma"/>
          <w:b/>
          <w:spacing w:val="-4"/>
        </w:rPr>
        <w:t>por</w:t>
      </w:r>
      <w:r>
        <w:rPr>
          <w:rFonts w:ascii="Tahoma" w:hAnsi="Tahoma"/>
          <w:b/>
          <w:spacing w:val="-12"/>
        </w:rPr>
        <w:t xml:space="preserve"> </w:t>
      </w:r>
      <w:r>
        <w:rPr>
          <w:rFonts w:ascii="Tahoma" w:hAnsi="Tahoma"/>
          <w:b/>
          <w:spacing w:val="-4"/>
        </w:rPr>
        <w:t>Serviços</w:t>
      </w:r>
      <w:r>
        <w:rPr>
          <w:rFonts w:ascii="Tahoma" w:hAnsi="Tahoma"/>
          <w:b/>
          <w:spacing w:val="-11"/>
        </w:rPr>
        <w:t xml:space="preserve"> </w:t>
      </w:r>
      <w:r>
        <w:rPr>
          <w:rFonts w:ascii="Tahoma" w:hAnsi="Tahoma"/>
          <w:b/>
          <w:spacing w:val="-4"/>
        </w:rPr>
        <w:t>Prestados</w:t>
      </w:r>
      <w:r>
        <w:rPr>
          <w:rFonts w:ascii="Tahoma" w:hAnsi="Tahoma"/>
          <w:b/>
          <w:spacing w:val="-9"/>
        </w:rPr>
        <w:t xml:space="preserve"> </w:t>
      </w:r>
      <w:r>
        <w:rPr>
          <w:rFonts w:ascii="Tahoma" w:hAnsi="Tahoma"/>
          <w:b/>
          <w:spacing w:val="-4"/>
        </w:rPr>
        <w:t>–</w:t>
      </w:r>
      <w:r>
        <w:rPr>
          <w:rFonts w:ascii="Tahoma" w:hAnsi="Tahoma"/>
          <w:b/>
          <w:spacing w:val="-12"/>
        </w:rPr>
        <w:t xml:space="preserve"> </w:t>
      </w:r>
      <w:r>
        <w:rPr>
          <w:rFonts w:ascii="Tahoma" w:hAnsi="Tahoma"/>
          <w:b/>
          <w:spacing w:val="-4"/>
        </w:rPr>
        <w:t>PISP</w:t>
      </w:r>
    </w:p>
    <w:p w14:paraId="545EDE1B" w14:textId="77777777" w:rsidR="002C6574" w:rsidRDefault="002C6574">
      <w:pPr>
        <w:pStyle w:val="Corpodetexto"/>
        <w:spacing w:before="7"/>
        <w:rPr>
          <w:rFonts w:ascii="Tahoma"/>
          <w:b/>
        </w:rPr>
      </w:pPr>
    </w:p>
    <w:p w14:paraId="567B84FA" w14:textId="77777777" w:rsidR="002C6574" w:rsidRDefault="00000000">
      <w:pPr>
        <w:pStyle w:val="Corpodetexto"/>
        <w:spacing w:line="242" w:lineRule="auto"/>
        <w:ind w:left="709" w:right="276"/>
        <w:jc w:val="both"/>
        <w:rPr>
          <w:rFonts w:ascii="Verdana" w:hAnsi="Verdana"/>
        </w:rPr>
      </w:pPr>
      <w:r>
        <w:rPr>
          <w:rFonts w:ascii="Verdana" w:hAnsi="Verdana"/>
        </w:rPr>
        <w:t>Conforme</w:t>
      </w:r>
      <w:r>
        <w:rPr>
          <w:rFonts w:ascii="Verdana" w:hAnsi="Verdana"/>
          <w:spacing w:val="-9"/>
        </w:rPr>
        <w:t xml:space="preserve"> </w:t>
      </w:r>
      <w:r>
        <w:rPr>
          <w:rFonts w:ascii="Verdana" w:hAnsi="Verdana"/>
        </w:rPr>
        <w:t>mencionado</w:t>
      </w:r>
      <w:r>
        <w:rPr>
          <w:rFonts w:ascii="Verdana" w:hAnsi="Verdana"/>
          <w:spacing w:val="-11"/>
        </w:rPr>
        <w:t xml:space="preserve"> </w:t>
      </w:r>
      <w:r>
        <w:rPr>
          <w:rFonts w:ascii="Verdana" w:hAnsi="Verdana"/>
        </w:rPr>
        <w:t>na</w:t>
      </w:r>
      <w:r>
        <w:rPr>
          <w:rFonts w:ascii="Verdana" w:hAnsi="Verdana"/>
          <w:spacing w:val="-13"/>
        </w:rPr>
        <w:t xml:space="preserve"> </w:t>
      </w:r>
      <w:r>
        <w:rPr>
          <w:rFonts w:ascii="Verdana" w:hAnsi="Verdana"/>
        </w:rPr>
        <w:t>nota</w:t>
      </w:r>
      <w:r>
        <w:rPr>
          <w:rFonts w:ascii="Verdana" w:hAnsi="Verdana"/>
          <w:spacing w:val="-13"/>
        </w:rPr>
        <w:t xml:space="preserve"> </w:t>
      </w:r>
      <w:r>
        <w:rPr>
          <w:rFonts w:ascii="Verdana" w:hAnsi="Verdana"/>
        </w:rPr>
        <w:t>explicativa</w:t>
      </w:r>
      <w:r>
        <w:rPr>
          <w:rFonts w:ascii="Verdana" w:hAnsi="Verdana"/>
          <w:spacing w:val="-17"/>
        </w:rPr>
        <w:t xml:space="preserve"> </w:t>
      </w:r>
      <w:r>
        <w:rPr>
          <w:rFonts w:ascii="Verdana" w:hAnsi="Verdana"/>
        </w:rPr>
        <w:t>16,</w:t>
      </w:r>
      <w:r>
        <w:rPr>
          <w:rFonts w:ascii="Verdana" w:hAnsi="Verdana"/>
          <w:spacing w:val="-13"/>
        </w:rPr>
        <w:t xml:space="preserve"> </w:t>
      </w:r>
      <w:r>
        <w:rPr>
          <w:rFonts w:ascii="Verdana" w:hAnsi="Verdana"/>
        </w:rPr>
        <w:t>a</w:t>
      </w:r>
      <w:r>
        <w:rPr>
          <w:rFonts w:ascii="Verdana" w:hAnsi="Verdana"/>
          <w:spacing w:val="-13"/>
        </w:rPr>
        <w:t xml:space="preserve"> </w:t>
      </w:r>
      <w:r>
        <w:rPr>
          <w:rFonts w:ascii="Verdana" w:hAnsi="Verdana"/>
        </w:rPr>
        <w:t>Companhia</w:t>
      </w:r>
      <w:r>
        <w:rPr>
          <w:rFonts w:ascii="Verdana" w:hAnsi="Verdana"/>
          <w:spacing w:val="-13"/>
        </w:rPr>
        <w:t xml:space="preserve"> </w:t>
      </w:r>
      <w:r>
        <w:rPr>
          <w:rFonts w:ascii="Verdana" w:hAnsi="Verdana"/>
        </w:rPr>
        <w:t>mantém</w:t>
      </w:r>
      <w:r>
        <w:rPr>
          <w:rFonts w:ascii="Verdana" w:hAnsi="Verdana"/>
          <w:spacing w:val="-14"/>
        </w:rPr>
        <w:t xml:space="preserve"> </w:t>
      </w:r>
      <w:r>
        <w:rPr>
          <w:rFonts w:ascii="Verdana" w:hAnsi="Verdana"/>
        </w:rPr>
        <w:t>registrado</w:t>
      </w:r>
      <w:r>
        <w:rPr>
          <w:rFonts w:ascii="Verdana" w:hAnsi="Verdana"/>
          <w:spacing w:val="-13"/>
        </w:rPr>
        <w:t xml:space="preserve"> </w:t>
      </w:r>
      <w:r>
        <w:rPr>
          <w:rFonts w:ascii="Verdana" w:hAnsi="Verdana"/>
        </w:rPr>
        <w:t>na rubrica “Programa de Indenização por Serviços Prestados – PISP”, no passivo circulante</w:t>
      </w:r>
      <w:r>
        <w:rPr>
          <w:rFonts w:ascii="Verdana" w:hAnsi="Verdana"/>
          <w:spacing w:val="-15"/>
        </w:rPr>
        <w:t xml:space="preserve"> </w:t>
      </w:r>
      <w:r>
        <w:rPr>
          <w:rFonts w:ascii="Verdana" w:hAnsi="Verdana"/>
        </w:rPr>
        <w:t>e</w:t>
      </w:r>
      <w:r>
        <w:rPr>
          <w:rFonts w:ascii="Verdana" w:hAnsi="Verdana"/>
          <w:spacing w:val="-6"/>
        </w:rPr>
        <w:t xml:space="preserve"> </w:t>
      </w:r>
      <w:r>
        <w:rPr>
          <w:rFonts w:ascii="Verdana" w:hAnsi="Verdana"/>
        </w:rPr>
        <w:t>não</w:t>
      </w:r>
      <w:r>
        <w:rPr>
          <w:rFonts w:ascii="Verdana" w:hAnsi="Verdana"/>
          <w:spacing w:val="-9"/>
        </w:rPr>
        <w:t xml:space="preserve"> </w:t>
      </w:r>
      <w:r>
        <w:rPr>
          <w:rFonts w:ascii="Verdana" w:hAnsi="Verdana"/>
        </w:rPr>
        <w:t>circulante</w:t>
      </w:r>
      <w:r>
        <w:rPr>
          <w:rFonts w:ascii="Verdana" w:hAnsi="Verdana"/>
          <w:spacing w:val="-6"/>
        </w:rPr>
        <w:t xml:space="preserve"> </w:t>
      </w:r>
      <w:r>
        <w:rPr>
          <w:rFonts w:ascii="Verdana" w:hAnsi="Verdana"/>
        </w:rPr>
        <w:t>em</w:t>
      </w:r>
      <w:r>
        <w:rPr>
          <w:rFonts w:ascii="Verdana" w:hAnsi="Verdana"/>
          <w:spacing w:val="-5"/>
        </w:rPr>
        <w:t xml:space="preserve"> </w:t>
      </w:r>
      <w:r>
        <w:rPr>
          <w:rFonts w:ascii="Verdana" w:hAnsi="Verdana"/>
        </w:rPr>
        <w:t>31</w:t>
      </w:r>
      <w:r>
        <w:rPr>
          <w:rFonts w:ascii="Verdana" w:hAnsi="Verdana"/>
          <w:spacing w:val="-9"/>
        </w:rPr>
        <w:t xml:space="preserve"> </w:t>
      </w:r>
      <w:r>
        <w:rPr>
          <w:rFonts w:ascii="Verdana" w:hAnsi="Verdana"/>
        </w:rPr>
        <w:t>de</w:t>
      </w:r>
      <w:r>
        <w:rPr>
          <w:rFonts w:ascii="Verdana" w:hAnsi="Verdana"/>
          <w:spacing w:val="-6"/>
        </w:rPr>
        <w:t xml:space="preserve"> </w:t>
      </w:r>
      <w:r>
        <w:rPr>
          <w:rFonts w:ascii="Verdana" w:hAnsi="Verdana"/>
        </w:rPr>
        <w:t>dezembro</w:t>
      </w:r>
      <w:r>
        <w:rPr>
          <w:rFonts w:ascii="Verdana" w:hAnsi="Verdana"/>
          <w:spacing w:val="-7"/>
        </w:rPr>
        <w:t xml:space="preserve"> </w:t>
      </w:r>
      <w:r>
        <w:rPr>
          <w:rFonts w:ascii="Verdana" w:hAnsi="Verdana"/>
        </w:rPr>
        <w:t>de</w:t>
      </w:r>
      <w:r>
        <w:rPr>
          <w:rFonts w:ascii="Verdana" w:hAnsi="Verdana"/>
          <w:spacing w:val="-6"/>
        </w:rPr>
        <w:t xml:space="preserve"> </w:t>
      </w:r>
      <w:r>
        <w:rPr>
          <w:rFonts w:ascii="Verdana" w:hAnsi="Verdana"/>
        </w:rPr>
        <w:t>2025,</w:t>
      </w:r>
      <w:r>
        <w:rPr>
          <w:rFonts w:ascii="Verdana" w:hAnsi="Verdana"/>
          <w:spacing w:val="-4"/>
        </w:rPr>
        <w:t xml:space="preserve"> </w:t>
      </w:r>
      <w:r>
        <w:rPr>
          <w:rFonts w:ascii="Verdana" w:hAnsi="Verdana"/>
        </w:rPr>
        <w:t>o</w:t>
      </w:r>
      <w:r>
        <w:rPr>
          <w:rFonts w:ascii="Verdana" w:hAnsi="Verdana"/>
          <w:spacing w:val="-7"/>
        </w:rPr>
        <w:t xml:space="preserve"> </w:t>
      </w:r>
      <w:r>
        <w:rPr>
          <w:rFonts w:ascii="Verdana" w:hAnsi="Verdana"/>
        </w:rPr>
        <w:t>valor</w:t>
      </w:r>
      <w:r>
        <w:rPr>
          <w:rFonts w:ascii="Verdana" w:hAnsi="Verdana"/>
          <w:spacing w:val="-6"/>
        </w:rPr>
        <w:t xml:space="preserve"> </w:t>
      </w:r>
      <w:r>
        <w:rPr>
          <w:rFonts w:ascii="Verdana" w:hAnsi="Verdana"/>
        </w:rPr>
        <w:t>de</w:t>
      </w:r>
      <w:r>
        <w:rPr>
          <w:rFonts w:ascii="Verdana" w:hAnsi="Verdana"/>
          <w:spacing w:val="-6"/>
        </w:rPr>
        <w:t xml:space="preserve"> </w:t>
      </w:r>
      <w:r>
        <w:rPr>
          <w:rFonts w:ascii="Verdana" w:hAnsi="Verdana"/>
        </w:rPr>
        <w:t>R$</w:t>
      </w:r>
      <w:r>
        <w:rPr>
          <w:rFonts w:ascii="Verdana" w:hAnsi="Verdana"/>
          <w:spacing w:val="-20"/>
        </w:rPr>
        <w:t xml:space="preserve"> </w:t>
      </w:r>
      <w:r>
        <w:rPr>
          <w:rFonts w:ascii="Verdana" w:hAnsi="Verdana"/>
        </w:rPr>
        <w:t>2.191</w:t>
      </w:r>
      <w:r>
        <w:rPr>
          <w:rFonts w:ascii="Verdana" w:hAnsi="Verdana"/>
          <w:spacing w:val="-6"/>
        </w:rPr>
        <w:t xml:space="preserve"> </w:t>
      </w:r>
      <w:r>
        <w:rPr>
          <w:rFonts w:ascii="Verdana" w:hAnsi="Verdana"/>
        </w:rPr>
        <w:t>mil</w:t>
      </w:r>
      <w:r>
        <w:rPr>
          <w:rFonts w:ascii="Verdana" w:hAnsi="Verdana"/>
          <w:spacing w:val="-8"/>
        </w:rPr>
        <w:t xml:space="preserve"> </w:t>
      </w:r>
      <w:r>
        <w:rPr>
          <w:rFonts w:ascii="Verdana" w:hAnsi="Verdana"/>
        </w:rPr>
        <w:t>e R$</w:t>
      </w:r>
      <w:r>
        <w:rPr>
          <w:rFonts w:ascii="Verdana" w:hAnsi="Verdana"/>
          <w:spacing w:val="-20"/>
        </w:rPr>
        <w:t xml:space="preserve"> </w:t>
      </w:r>
      <w:r>
        <w:rPr>
          <w:rFonts w:ascii="Verdana" w:hAnsi="Verdana"/>
        </w:rPr>
        <w:t>19.075 mil, respectivamente, apurado a partir da definição do universo dos colaboradores que fazem jus à indenização decorrente do Programa. Nossa conclusão não contém modificação em função deste assunto.</w:t>
      </w:r>
    </w:p>
    <w:p w14:paraId="5BA95C7C" w14:textId="77777777" w:rsidR="002C6574" w:rsidRDefault="002C6574">
      <w:pPr>
        <w:pStyle w:val="Corpodetexto"/>
        <w:spacing w:before="2"/>
        <w:rPr>
          <w:rFonts w:ascii="Verdana"/>
        </w:rPr>
      </w:pPr>
    </w:p>
    <w:p w14:paraId="0B4DEFF2" w14:textId="77777777" w:rsidR="002C6574" w:rsidRDefault="00000000">
      <w:pPr>
        <w:spacing w:before="1"/>
        <w:ind w:left="709"/>
        <w:rPr>
          <w:rFonts w:ascii="Tahoma" w:hAnsi="Tahoma"/>
          <w:b/>
        </w:rPr>
      </w:pPr>
      <w:r>
        <w:rPr>
          <w:rFonts w:ascii="Tahoma" w:hAnsi="Tahoma"/>
          <w:b/>
          <w:spacing w:val="-8"/>
        </w:rPr>
        <w:t>Recursos</w:t>
      </w:r>
      <w:r>
        <w:rPr>
          <w:rFonts w:ascii="Tahoma" w:hAnsi="Tahoma"/>
          <w:b/>
          <w:spacing w:val="-4"/>
        </w:rPr>
        <w:t xml:space="preserve"> </w:t>
      </w:r>
      <w:r>
        <w:rPr>
          <w:rFonts w:ascii="Tahoma" w:hAnsi="Tahoma"/>
          <w:b/>
          <w:spacing w:val="-2"/>
        </w:rPr>
        <w:t>Capitalizáveis</w:t>
      </w:r>
    </w:p>
    <w:p w14:paraId="47FAC3CC" w14:textId="77777777" w:rsidR="002C6574" w:rsidRDefault="002C6574">
      <w:pPr>
        <w:pStyle w:val="Corpodetexto"/>
        <w:spacing w:before="7"/>
        <w:rPr>
          <w:rFonts w:ascii="Tahoma"/>
          <w:b/>
        </w:rPr>
      </w:pPr>
    </w:p>
    <w:p w14:paraId="7A363B61" w14:textId="77777777" w:rsidR="002C6574" w:rsidRDefault="00000000">
      <w:pPr>
        <w:pStyle w:val="Corpodetexto"/>
        <w:spacing w:line="242" w:lineRule="auto"/>
        <w:ind w:left="709" w:right="274"/>
        <w:jc w:val="both"/>
        <w:rPr>
          <w:rFonts w:ascii="Verdana" w:hAnsi="Verdana"/>
        </w:rPr>
      </w:pPr>
      <w:r>
        <w:rPr>
          <w:rFonts w:ascii="Verdana" w:hAnsi="Verdana"/>
        </w:rPr>
        <w:t>Conforme</w:t>
      </w:r>
      <w:r>
        <w:rPr>
          <w:rFonts w:ascii="Verdana" w:hAnsi="Verdana"/>
          <w:spacing w:val="-10"/>
        </w:rPr>
        <w:t xml:space="preserve"> </w:t>
      </w:r>
      <w:r>
        <w:rPr>
          <w:rFonts w:ascii="Verdana" w:hAnsi="Verdana"/>
        </w:rPr>
        <w:t>mencionado</w:t>
      </w:r>
      <w:r>
        <w:rPr>
          <w:rFonts w:ascii="Verdana" w:hAnsi="Verdana"/>
          <w:spacing w:val="-12"/>
        </w:rPr>
        <w:t xml:space="preserve"> </w:t>
      </w:r>
      <w:r>
        <w:rPr>
          <w:rFonts w:ascii="Verdana" w:hAnsi="Verdana"/>
        </w:rPr>
        <w:t>na</w:t>
      </w:r>
      <w:r>
        <w:rPr>
          <w:rFonts w:ascii="Verdana" w:hAnsi="Verdana"/>
          <w:spacing w:val="-13"/>
        </w:rPr>
        <w:t xml:space="preserve"> </w:t>
      </w:r>
      <w:r>
        <w:rPr>
          <w:rFonts w:ascii="Verdana" w:hAnsi="Verdana"/>
        </w:rPr>
        <w:t>nota</w:t>
      </w:r>
      <w:r>
        <w:rPr>
          <w:rFonts w:ascii="Verdana" w:hAnsi="Verdana"/>
          <w:spacing w:val="-13"/>
        </w:rPr>
        <w:t xml:space="preserve"> </w:t>
      </w:r>
      <w:r>
        <w:rPr>
          <w:rFonts w:ascii="Verdana" w:hAnsi="Verdana"/>
        </w:rPr>
        <w:t>explicativa</w:t>
      </w:r>
      <w:r>
        <w:rPr>
          <w:rFonts w:ascii="Verdana" w:hAnsi="Verdana"/>
          <w:spacing w:val="-14"/>
        </w:rPr>
        <w:t xml:space="preserve"> </w:t>
      </w:r>
      <w:r>
        <w:rPr>
          <w:rFonts w:ascii="Verdana" w:hAnsi="Verdana"/>
        </w:rPr>
        <w:t>23,</w:t>
      </w:r>
      <w:r>
        <w:rPr>
          <w:rFonts w:ascii="Verdana" w:hAnsi="Verdana"/>
          <w:spacing w:val="-14"/>
        </w:rPr>
        <w:t xml:space="preserve"> </w:t>
      </w:r>
      <w:r>
        <w:rPr>
          <w:rFonts w:ascii="Verdana" w:hAnsi="Verdana"/>
        </w:rPr>
        <w:t>a</w:t>
      </w:r>
      <w:r>
        <w:rPr>
          <w:rFonts w:ascii="Verdana" w:hAnsi="Verdana"/>
          <w:spacing w:val="-11"/>
        </w:rPr>
        <w:t xml:space="preserve"> </w:t>
      </w:r>
      <w:r>
        <w:rPr>
          <w:rFonts w:ascii="Verdana" w:hAnsi="Verdana"/>
        </w:rPr>
        <w:t>Companhia</w:t>
      </w:r>
      <w:r>
        <w:rPr>
          <w:rFonts w:ascii="Verdana" w:hAnsi="Verdana"/>
          <w:spacing w:val="-13"/>
        </w:rPr>
        <w:t xml:space="preserve"> </w:t>
      </w:r>
      <w:r>
        <w:rPr>
          <w:rFonts w:ascii="Verdana" w:hAnsi="Verdana"/>
        </w:rPr>
        <w:t>mantém</w:t>
      </w:r>
      <w:r>
        <w:rPr>
          <w:rFonts w:ascii="Verdana" w:hAnsi="Verdana"/>
          <w:spacing w:val="-14"/>
        </w:rPr>
        <w:t xml:space="preserve"> </w:t>
      </w:r>
      <w:r>
        <w:rPr>
          <w:rFonts w:ascii="Verdana" w:hAnsi="Verdana"/>
        </w:rPr>
        <w:t>registrado</w:t>
      </w:r>
      <w:r>
        <w:rPr>
          <w:rFonts w:ascii="Verdana" w:hAnsi="Verdana"/>
          <w:spacing w:val="-13"/>
        </w:rPr>
        <w:t xml:space="preserve"> </w:t>
      </w:r>
      <w:r>
        <w:rPr>
          <w:rFonts w:ascii="Verdana" w:hAnsi="Verdana"/>
        </w:rPr>
        <w:t xml:space="preserve">na </w:t>
      </w:r>
      <w:r>
        <w:rPr>
          <w:rFonts w:ascii="Verdana" w:hAnsi="Verdana"/>
          <w:spacing w:val="-2"/>
        </w:rPr>
        <w:t>rubrica</w:t>
      </w:r>
      <w:r>
        <w:rPr>
          <w:rFonts w:ascii="Verdana" w:hAnsi="Verdana"/>
          <w:spacing w:val="-18"/>
        </w:rPr>
        <w:t xml:space="preserve"> </w:t>
      </w:r>
      <w:r>
        <w:rPr>
          <w:rFonts w:ascii="Verdana" w:hAnsi="Verdana"/>
          <w:spacing w:val="-2"/>
        </w:rPr>
        <w:t>“Recursos</w:t>
      </w:r>
      <w:r>
        <w:rPr>
          <w:rFonts w:ascii="Verdana" w:hAnsi="Verdana"/>
          <w:spacing w:val="-17"/>
        </w:rPr>
        <w:t xml:space="preserve"> </w:t>
      </w:r>
      <w:r>
        <w:rPr>
          <w:rFonts w:ascii="Verdana" w:hAnsi="Verdana"/>
          <w:spacing w:val="-2"/>
        </w:rPr>
        <w:t>Capitalizáveis”,</w:t>
      </w:r>
      <w:r>
        <w:rPr>
          <w:rFonts w:ascii="Verdana" w:hAnsi="Verdana"/>
          <w:spacing w:val="-13"/>
        </w:rPr>
        <w:t xml:space="preserve"> </w:t>
      </w:r>
      <w:r>
        <w:rPr>
          <w:rFonts w:ascii="Verdana" w:hAnsi="Verdana"/>
          <w:spacing w:val="-2"/>
        </w:rPr>
        <w:t>saldo</w:t>
      </w:r>
      <w:r>
        <w:rPr>
          <w:rFonts w:ascii="Verdana" w:hAnsi="Verdana"/>
          <w:spacing w:val="-13"/>
        </w:rPr>
        <w:t xml:space="preserve"> </w:t>
      </w:r>
      <w:r>
        <w:rPr>
          <w:rFonts w:ascii="Verdana" w:hAnsi="Verdana"/>
          <w:spacing w:val="-2"/>
        </w:rPr>
        <w:t>de</w:t>
      </w:r>
      <w:r>
        <w:rPr>
          <w:rFonts w:ascii="Verdana" w:hAnsi="Verdana"/>
          <w:spacing w:val="-13"/>
        </w:rPr>
        <w:t xml:space="preserve"> </w:t>
      </w:r>
      <w:r>
        <w:rPr>
          <w:rFonts w:ascii="Verdana" w:hAnsi="Verdana"/>
          <w:spacing w:val="-2"/>
        </w:rPr>
        <w:t>R$</w:t>
      </w:r>
      <w:r>
        <w:rPr>
          <w:rFonts w:ascii="Verdana" w:hAnsi="Verdana"/>
          <w:spacing w:val="-18"/>
        </w:rPr>
        <w:t xml:space="preserve"> </w:t>
      </w:r>
      <w:r>
        <w:rPr>
          <w:rFonts w:ascii="Verdana" w:hAnsi="Verdana"/>
          <w:spacing w:val="-2"/>
        </w:rPr>
        <w:t>1.951.045</w:t>
      </w:r>
      <w:r>
        <w:rPr>
          <w:rFonts w:ascii="Verdana" w:hAnsi="Verdana"/>
          <w:spacing w:val="-13"/>
        </w:rPr>
        <w:t xml:space="preserve"> </w:t>
      </w:r>
      <w:r>
        <w:rPr>
          <w:rFonts w:ascii="Verdana" w:hAnsi="Verdana"/>
          <w:spacing w:val="-2"/>
        </w:rPr>
        <w:t>mil</w:t>
      </w:r>
      <w:r>
        <w:rPr>
          <w:rFonts w:ascii="Verdana" w:hAnsi="Verdana"/>
          <w:spacing w:val="-13"/>
        </w:rPr>
        <w:t xml:space="preserve"> </w:t>
      </w:r>
      <w:r>
        <w:rPr>
          <w:rFonts w:ascii="Verdana" w:hAnsi="Verdana"/>
          <w:spacing w:val="-2"/>
        </w:rPr>
        <w:t>em</w:t>
      </w:r>
      <w:r>
        <w:rPr>
          <w:rFonts w:ascii="Verdana" w:hAnsi="Verdana"/>
          <w:spacing w:val="-14"/>
        </w:rPr>
        <w:t xml:space="preserve"> </w:t>
      </w:r>
      <w:r>
        <w:rPr>
          <w:rFonts w:ascii="Verdana" w:hAnsi="Verdana"/>
          <w:spacing w:val="-2"/>
        </w:rPr>
        <w:t>31</w:t>
      </w:r>
      <w:r>
        <w:rPr>
          <w:rFonts w:ascii="Verdana" w:hAnsi="Verdana"/>
          <w:spacing w:val="-15"/>
        </w:rPr>
        <w:t xml:space="preserve"> </w:t>
      </w:r>
      <w:r>
        <w:rPr>
          <w:rFonts w:ascii="Verdana" w:hAnsi="Verdana"/>
          <w:spacing w:val="-2"/>
        </w:rPr>
        <w:t>de</w:t>
      </w:r>
      <w:r>
        <w:rPr>
          <w:rFonts w:ascii="Verdana" w:hAnsi="Verdana"/>
          <w:spacing w:val="-13"/>
        </w:rPr>
        <w:t xml:space="preserve"> </w:t>
      </w:r>
      <w:r>
        <w:rPr>
          <w:rFonts w:ascii="Verdana" w:hAnsi="Verdana"/>
          <w:spacing w:val="-2"/>
        </w:rPr>
        <w:t>dezembro</w:t>
      </w:r>
      <w:r>
        <w:rPr>
          <w:rFonts w:ascii="Verdana" w:hAnsi="Verdana"/>
          <w:spacing w:val="-12"/>
        </w:rPr>
        <w:t xml:space="preserve"> </w:t>
      </w:r>
      <w:r>
        <w:rPr>
          <w:rFonts w:ascii="Verdana" w:hAnsi="Verdana"/>
          <w:spacing w:val="-2"/>
        </w:rPr>
        <w:t xml:space="preserve">de </w:t>
      </w:r>
      <w:r>
        <w:rPr>
          <w:rFonts w:ascii="Verdana" w:hAnsi="Verdana"/>
        </w:rPr>
        <w:t>2025.</w:t>
      </w:r>
      <w:r>
        <w:rPr>
          <w:rFonts w:ascii="Verdana" w:hAnsi="Verdana"/>
          <w:spacing w:val="-7"/>
        </w:rPr>
        <w:t xml:space="preserve"> </w:t>
      </w:r>
      <w:r>
        <w:rPr>
          <w:rFonts w:ascii="Verdana" w:hAnsi="Verdana"/>
        </w:rPr>
        <w:t>Esse</w:t>
      </w:r>
      <w:r>
        <w:rPr>
          <w:rFonts w:ascii="Verdana" w:hAnsi="Verdana"/>
          <w:spacing w:val="-8"/>
        </w:rPr>
        <w:t xml:space="preserve"> </w:t>
      </w:r>
      <w:r>
        <w:rPr>
          <w:rFonts w:ascii="Verdana" w:hAnsi="Verdana"/>
        </w:rPr>
        <w:t>valor</w:t>
      </w:r>
      <w:r>
        <w:rPr>
          <w:rFonts w:ascii="Verdana" w:hAnsi="Verdana"/>
          <w:spacing w:val="-8"/>
        </w:rPr>
        <w:t xml:space="preserve"> </w:t>
      </w:r>
      <w:r>
        <w:rPr>
          <w:rFonts w:ascii="Verdana" w:hAnsi="Verdana"/>
        </w:rPr>
        <w:t>é</w:t>
      </w:r>
      <w:r>
        <w:rPr>
          <w:rFonts w:ascii="Verdana" w:hAnsi="Verdana"/>
          <w:spacing w:val="-8"/>
        </w:rPr>
        <w:t xml:space="preserve"> </w:t>
      </w:r>
      <w:r>
        <w:rPr>
          <w:rFonts w:ascii="Verdana" w:hAnsi="Verdana"/>
        </w:rPr>
        <w:t>decorrente</w:t>
      </w:r>
      <w:r>
        <w:rPr>
          <w:rFonts w:ascii="Verdana" w:hAnsi="Verdana"/>
          <w:spacing w:val="-8"/>
        </w:rPr>
        <w:t xml:space="preserve"> </w:t>
      </w:r>
      <w:r>
        <w:rPr>
          <w:rFonts w:ascii="Verdana" w:hAnsi="Verdana"/>
        </w:rPr>
        <w:t>de</w:t>
      </w:r>
      <w:r>
        <w:rPr>
          <w:rFonts w:ascii="Verdana" w:hAnsi="Verdana"/>
          <w:spacing w:val="-8"/>
        </w:rPr>
        <w:t xml:space="preserve"> </w:t>
      </w:r>
      <w:r>
        <w:rPr>
          <w:rFonts w:ascii="Verdana" w:hAnsi="Verdana"/>
        </w:rPr>
        <w:t>Adiantamento</w:t>
      </w:r>
      <w:r>
        <w:rPr>
          <w:rFonts w:ascii="Verdana" w:hAnsi="Verdana"/>
          <w:spacing w:val="-8"/>
        </w:rPr>
        <w:t xml:space="preserve"> </w:t>
      </w:r>
      <w:r>
        <w:rPr>
          <w:rFonts w:ascii="Verdana" w:hAnsi="Verdana"/>
        </w:rPr>
        <w:t>para</w:t>
      </w:r>
      <w:r>
        <w:rPr>
          <w:rFonts w:ascii="Verdana" w:hAnsi="Verdana"/>
          <w:spacing w:val="-7"/>
        </w:rPr>
        <w:t xml:space="preserve"> </w:t>
      </w:r>
      <w:r>
        <w:rPr>
          <w:rFonts w:ascii="Verdana" w:hAnsi="Verdana"/>
        </w:rPr>
        <w:t>Futuro</w:t>
      </w:r>
      <w:r>
        <w:rPr>
          <w:rFonts w:ascii="Verdana" w:hAnsi="Verdana"/>
          <w:spacing w:val="-9"/>
        </w:rPr>
        <w:t xml:space="preserve"> </w:t>
      </w:r>
      <w:r>
        <w:rPr>
          <w:rFonts w:ascii="Verdana" w:hAnsi="Verdana"/>
        </w:rPr>
        <w:t>Aumento</w:t>
      </w:r>
      <w:r>
        <w:rPr>
          <w:rFonts w:ascii="Verdana" w:hAnsi="Verdana"/>
          <w:spacing w:val="-6"/>
        </w:rPr>
        <w:t xml:space="preserve"> </w:t>
      </w:r>
      <w:r>
        <w:rPr>
          <w:rFonts w:ascii="Verdana" w:hAnsi="Verdana"/>
        </w:rPr>
        <w:t>de</w:t>
      </w:r>
      <w:r>
        <w:rPr>
          <w:rFonts w:ascii="Verdana" w:hAnsi="Verdana"/>
          <w:spacing w:val="-6"/>
        </w:rPr>
        <w:t xml:space="preserve"> </w:t>
      </w:r>
      <w:r>
        <w:rPr>
          <w:rFonts w:ascii="Verdana" w:hAnsi="Verdana"/>
        </w:rPr>
        <w:t>Capital</w:t>
      </w:r>
      <w:r>
        <w:rPr>
          <w:rFonts w:ascii="Verdana" w:hAnsi="Verdana"/>
          <w:spacing w:val="-8"/>
        </w:rPr>
        <w:t xml:space="preserve"> </w:t>
      </w:r>
      <w:r>
        <w:rPr>
          <w:rFonts w:ascii="Verdana" w:hAnsi="Verdana"/>
        </w:rPr>
        <w:t>– AFAC, concedido pela União, o</w:t>
      </w:r>
      <w:r>
        <w:rPr>
          <w:rFonts w:ascii="Verdana" w:hAnsi="Verdana"/>
          <w:spacing w:val="-2"/>
        </w:rPr>
        <w:t xml:space="preserve"> </w:t>
      </w:r>
      <w:r>
        <w:rPr>
          <w:rFonts w:ascii="Verdana" w:hAnsi="Verdana"/>
        </w:rPr>
        <w:t>qual</w:t>
      </w:r>
      <w:r>
        <w:rPr>
          <w:rFonts w:ascii="Verdana" w:hAnsi="Verdana"/>
          <w:spacing w:val="-1"/>
        </w:rPr>
        <w:t xml:space="preserve"> </w:t>
      </w:r>
      <w:r>
        <w:rPr>
          <w:rFonts w:ascii="Verdana" w:hAnsi="Verdana"/>
        </w:rPr>
        <w:t>é</w:t>
      </w:r>
      <w:r>
        <w:rPr>
          <w:rFonts w:ascii="Verdana" w:hAnsi="Verdana"/>
          <w:spacing w:val="-1"/>
        </w:rPr>
        <w:t xml:space="preserve"> </w:t>
      </w:r>
      <w:r>
        <w:rPr>
          <w:rFonts w:ascii="Verdana" w:hAnsi="Verdana"/>
        </w:rPr>
        <w:t>corrigido pela taxa</w:t>
      </w:r>
      <w:r>
        <w:rPr>
          <w:rFonts w:ascii="Verdana" w:hAnsi="Verdana"/>
          <w:spacing w:val="-3"/>
        </w:rPr>
        <w:t xml:space="preserve"> </w:t>
      </w:r>
      <w:r>
        <w:rPr>
          <w:rFonts w:ascii="Verdana" w:hAnsi="Verdana"/>
        </w:rPr>
        <w:t>Selic e</w:t>
      </w:r>
      <w:r>
        <w:rPr>
          <w:rFonts w:ascii="Verdana" w:hAnsi="Verdana"/>
          <w:spacing w:val="-1"/>
        </w:rPr>
        <w:t xml:space="preserve"> </w:t>
      </w:r>
      <w:r>
        <w:rPr>
          <w:rFonts w:ascii="Verdana" w:hAnsi="Verdana"/>
        </w:rPr>
        <w:t>será</w:t>
      </w:r>
      <w:r>
        <w:rPr>
          <w:rFonts w:ascii="Verdana" w:hAnsi="Verdana"/>
          <w:spacing w:val="-1"/>
        </w:rPr>
        <w:t xml:space="preserve"> </w:t>
      </w:r>
      <w:r>
        <w:rPr>
          <w:rFonts w:ascii="Verdana" w:hAnsi="Verdana"/>
        </w:rPr>
        <w:t>utilizado em futuro aumento de capital em favor da União.</w:t>
      </w:r>
    </w:p>
    <w:p w14:paraId="0D90E304" w14:textId="77777777" w:rsidR="002C6574" w:rsidRDefault="002C6574">
      <w:pPr>
        <w:pStyle w:val="Corpodetexto"/>
        <w:spacing w:before="1"/>
        <w:rPr>
          <w:rFonts w:ascii="Verdana"/>
        </w:rPr>
      </w:pPr>
    </w:p>
    <w:p w14:paraId="0A61BDCA" w14:textId="77777777" w:rsidR="002C6574" w:rsidRDefault="00000000">
      <w:pPr>
        <w:ind w:left="709"/>
        <w:rPr>
          <w:rFonts w:ascii="Tahoma" w:hAnsi="Tahoma"/>
          <w:b/>
        </w:rPr>
      </w:pPr>
      <w:r>
        <w:rPr>
          <w:rFonts w:ascii="Tahoma" w:hAnsi="Tahoma"/>
          <w:b/>
          <w:spacing w:val="-2"/>
        </w:rPr>
        <w:t>Contrato</w:t>
      </w:r>
      <w:r>
        <w:rPr>
          <w:rFonts w:ascii="Tahoma" w:hAnsi="Tahoma"/>
          <w:b/>
          <w:spacing w:val="-8"/>
        </w:rPr>
        <w:t xml:space="preserve"> </w:t>
      </w:r>
      <w:r>
        <w:rPr>
          <w:rFonts w:ascii="Tahoma" w:hAnsi="Tahoma"/>
          <w:b/>
          <w:spacing w:val="-2"/>
        </w:rPr>
        <w:t>de</w:t>
      </w:r>
      <w:r>
        <w:rPr>
          <w:rFonts w:ascii="Tahoma" w:hAnsi="Tahoma"/>
          <w:b/>
          <w:spacing w:val="-6"/>
        </w:rPr>
        <w:t xml:space="preserve"> </w:t>
      </w:r>
      <w:r>
        <w:rPr>
          <w:rFonts w:ascii="Tahoma" w:hAnsi="Tahoma"/>
          <w:b/>
          <w:spacing w:val="-2"/>
        </w:rPr>
        <w:t>Gestão</w:t>
      </w:r>
      <w:r>
        <w:rPr>
          <w:rFonts w:ascii="Tahoma" w:hAnsi="Tahoma"/>
          <w:b/>
          <w:spacing w:val="-7"/>
        </w:rPr>
        <w:t xml:space="preserve"> </w:t>
      </w:r>
      <w:r>
        <w:rPr>
          <w:rFonts w:ascii="Tahoma" w:hAnsi="Tahoma"/>
          <w:b/>
          <w:spacing w:val="-2"/>
        </w:rPr>
        <w:t>e</w:t>
      </w:r>
      <w:r>
        <w:rPr>
          <w:rFonts w:ascii="Tahoma" w:hAnsi="Tahoma"/>
          <w:b/>
          <w:spacing w:val="-8"/>
        </w:rPr>
        <w:t xml:space="preserve"> </w:t>
      </w:r>
      <w:r>
        <w:rPr>
          <w:rFonts w:ascii="Tahoma" w:hAnsi="Tahoma"/>
          <w:b/>
          <w:spacing w:val="-2"/>
        </w:rPr>
        <w:t>Plano</w:t>
      </w:r>
      <w:r>
        <w:rPr>
          <w:rFonts w:ascii="Tahoma" w:hAnsi="Tahoma"/>
          <w:b/>
          <w:spacing w:val="-7"/>
        </w:rPr>
        <w:t xml:space="preserve"> </w:t>
      </w:r>
      <w:r>
        <w:rPr>
          <w:rFonts w:ascii="Tahoma" w:hAnsi="Tahoma"/>
          <w:b/>
          <w:spacing w:val="-2"/>
        </w:rPr>
        <w:t>De</w:t>
      </w:r>
      <w:r>
        <w:rPr>
          <w:rFonts w:ascii="Tahoma" w:hAnsi="Tahoma"/>
          <w:b/>
          <w:spacing w:val="-8"/>
        </w:rPr>
        <w:t xml:space="preserve"> </w:t>
      </w:r>
      <w:r>
        <w:rPr>
          <w:rFonts w:ascii="Tahoma" w:hAnsi="Tahoma"/>
          <w:b/>
          <w:spacing w:val="-2"/>
        </w:rPr>
        <w:t>Sustentabilidade</w:t>
      </w:r>
      <w:r>
        <w:rPr>
          <w:rFonts w:ascii="Tahoma" w:hAnsi="Tahoma"/>
          <w:b/>
          <w:spacing w:val="-7"/>
        </w:rPr>
        <w:t xml:space="preserve"> </w:t>
      </w:r>
      <w:r>
        <w:rPr>
          <w:rFonts w:ascii="Tahoma" w:hAnsi="Tahoma"/>
          <w:b/>
          <w:spacing w:val="-2"/>
        </w:rPr>
        <w:t>Econômico-Financeira</w:t>
      </w:r>
    </w:p>
    <w:p w14:paraId="62BA9DBC" w14:textId="77777777" w:rsidR="002C6574" w:rsidRDefault="002C6574">
      <w:pPr>
        <w:pStyle w:val="Corpodetexto"/>
        <w:spacing w:before="8"/>
        <w:rPr>
          <w:rFonts w:ascii="Tahoma"/>
          <w:b/>
        </w:rPr>
      </w:pPr>
    </w:p>
    <w:p w14:paraId="2C422DB5" w14:textId="77777777" w:rsidR="002C6574" w:rsidRDefault="00000000">
      <w:pPr>
        <w:pStyle w:val="Corpodetexto"/>
        <w:spacing w:line="242" w:lineRule="auto"/>
        <w:ind w:left="709" w:right="277"/>
        <w:jc w:val="both"/>
        <w:rPr>
          <w:rFonts w:ascii="Verdana" w:hAnsi="Verdana"/>
        </w:rPr>
      </w:pPr>
      <w:r>
        <w:rPr>
          <w:rFonts w:ascii="Verdana" w:hAnsi="Verdana"/>
        </w:rPr>
        <w:t xml:space="preserve">Conforme mencionado na nota explicativa 1.4, em 05 de setembro de 2025, a </w:t>
      </w:r>
      <w:r>
        <w:rPr>
          <w:rFonts w:ascii="Verdana" w:hAnsi="Verdana"/>
          <w:spacing w:val="-2"/>
        </w:rPr>
        <w:t>Companhia</w:t>
      </w:r>
      <w:r>
        <w:rPr>
          <w:rFonts w:ascii="Verdana" w:hAnsi="Verdana"/>
          <w:spacing w:val="-11"/>
        </w:rPr>
        <w:t xml:space="preserve"> </w:t>
      </w:r>
      <w:r>
        <w:rPr>
          <w:rFonts w:ascii="Verdana" w:hAnsi="Verdana"/>
          <w:spacing w:val="-2"/>
        </w:rPr>
        <w:t>celebrou</w:t>
      </w:r>
      <w:r>
        <w:rPr>
          <w:rFonts w:ascii="Verdana" w:hAnsi="Verdana"/>
          <w:spacing w:val="-15"/>
        </w:rPr>
        <w:t xml:space="preserve"> </w:t>
      </w:r>
      <w:r>
        <w:rPr>
          <w:rFonts w:ascii="Verdana" w:hAnsi="Verdana"/>
          <w:spacing w:val="-2"/>
        </w:rPr>
        <w:t>Contrato</w:t>
      </w:r>
      <w:r>
        <w:rPr>
          <w:rFonts w:ascii="Verdana" w:hAnsi="Verdana"/>
          <w:spacing w:val="-14"/>
        </w:rPr>
        <w:t xml:space="preserve"> </w:t>
      </w:r>
      <w:r>
        <w:rPr>
          <w:rFonts w:ascii="Verdana" w:hAnsi="Verdana"/>
          <w:spacing w:val="-2"/>
        </w:rPr>
        <w:t>de</w:t>
      </w:r>
      <w:r>
        <w:rPr>
          <w:rFonts w:ascii="Verdana" w:hAnsi="Verdana"/>
          <w:spacing w:val="-12"/>
        </w:rPr>
        <w:t xml:space="preserve"> </w:t>
      </w:r>
      <w:r>
        <w:rPr>
          <w:rFonts w:ascii="Verdana" w:hAnsi="Verdana"/>
          <w:spacing w:val="-2"/>
        </w:rPr>
        <w:t>Gestão</w:t>
      </w:r>
      <w:r>
        <w:rPr>
          <w:rFonts w:ascii="Verdana" w:hAnsi="Verdana"/>
          <w:spacing w:val="-17"/>
        </w:rPr>
        <w:t xml:space="preserve"> </w:t>
      </w:r>
      <w:r>
        <w:rPr>
          <w:rFonts w:ascii="Verdana" w:hAnsi="Verdana"/>
          <w:spacing w:val="-2"/>
        </w:rPr>
        <w:t>com</w:t>
      </w:r>
      <w:r>
        <w:rPr>
          <w:rFonts w:ascii="Verdana" w:hAnsi="Verdana"/>
          <w:spacing w:val="-12"/>
        </w:rPr>
        <w:t xml:space="preserve"> </w:t>
      </w:r>
      <w:r>
        <w:rPr>
          <w:rFonts w:ascii="Verdana" w:hAnsi="Verdana"/>
          <w:spacing w:val="-2"/>
        </w:rPr>
        <w:t>seu</w:t>
      </w:r>
      <w:r>
        <w:rPr>
          <w:rFonts w:ascii="Verdana" w:hAnsi="Verdana"/>
          <w:spacing w:val="-10"/>
        </w:rPr>
        <w:t xml:space="preserve"> </w:t>
      </w:r>
      <w:r>
        <w:rPr>
          <w:rFonts w:ascii="Verdana" w:hAnsi="Verdana"/>
          <w:spacing w:val="-2"/>
        </w:rPr>
        <w:t>órgão</w:t>
      </w:r>
      <w:r>
        <w:rPr>
          <w:rFonts w:ascii="Verdana" w:hAnsi="Verdana"/>
          <w:spacing w:val="-14"/>
        </w:rPr>
        <w:t xml:space="preserve"> </w:t>
      </w:r>
      <w:r>
        <w:rPr>
          <w:rFonts w:ascii="Verdana" w:hAnsi="Verdana"/>
          <w:spacing w:val="-2"/>
        </w:rPr>
        <w:t>supervisor,</w:t>
      </w:r>
      <w:r>
        <w:rPr>
          <w:rFonts w:ascii="Verdana" w:hAnsi="Verdana"/>
          <w:spacing w:val="-12"/>
        </w:rPr>
        <w:t xml:space="preserve"> </w:t>
      </w:r>
      <w:r>
        <w:rPr>
          <w:rFonts w:ascii="Verdana" w:hAnsi="Verdana"/>
          <w:spacing w:val="-2"/>
        </w:rPr>
        <w:t>o</w:t>
      </w:r>
      <w:r>
        <w:rPr>
          <w:rFonts w:ascii="Verdana" w:hAnsi="Verdana"/>
          <w:spacing w:val="-12"/>
        </w:rPr>
        <w:t xml:space="preserve"> </w:t>
      </w:r>
      <w:r>
        <w:rPr>
          <w:rFonts w:ascii="Verdana" w:hAnsi="Verdana"/>
          <w:spacing w:val="-2"/>
        </w:rPr>
        <w:t>Ministério</w:t>
      </w:r>
      <w:r>
        <w:rPr>
          <w:rFonts w:ascii="Verdana" w:hAnsi="Verdana"/>
          <w:spacing w:val="-12"/>
        </w:rPr>
        <w:t xml:space="preserve"> </w:t>
      </w:r>
      <w:r>
        <w:rPr>
          <w:rFonts w:ascii="Verdana" w:hAnsi="Verdana"/>
          <w:spacing w:val="-2"/>
        </w:rPr>
        <w:t xml:space="preserve">das </w:t>
      </w:r>
      <w:r>
        <w:rPr>
          <w:rFonts w:ascii="Verdana" w:hAnsi="Verdana"/>
        </w:rPr>
        <w:t xml:space="preserve">Comunicações. O referido contrato, celebrado pelo prazo de cinco anos, tem por finalidade a implementação do Plano de Sustentabilidade Econômico-Financeira </w:t>
      </w:r>
      <w:r>
        <w:rPr>
          <w:rFonts w:ascii="Verdana" w:hAnsi="Verdana"/>
          <w:spacing w:val="-2"/>
        </w:rPr>
        <w:t>(PSEF)</w:t>
      </w:r>
      <w:r>
        <w:rPr>
          <w:rFonts w:ascii="Verdana" w:hAnsi="Verdana"/>
          <w:spacing w:val="-18"/>
        </w:rPr>
        <w:t xml:space="preserve"> </w:t>
      </w:r>
      <w:r>
        <w:rPr>
          <w:rFonts w:ascii="Verdana" w:hAnsi="Verdana"/>
          <w:spacing w:val="-2"/>
        </w:rPr>
        <w:t>da</w:t>
      </w:r>
      <w:r>
        <w:rPr>
          <w:rFonts w:ascii="Verdana" w:hAnsi="Verdana"/>
          <w:spacing w:val="-17"/>
        </w:rPr>
        <w:t xml:space="preserve"> </w:t>
      </w:r>
      <w:r>
        <w:rPr>
          <w:rFonts w:ascii="Verdana" w:hAnsi="Verdana"/>
          <w:spacing w:val="-2"/>
        </w:rPr>
        <w:t>Companhia</w:t>
      </w:r>
      <w:r>
        <w:rPr>
          <w:rFonts w:ascii="Verdana" w:hAnsi="Verdana"/>
          <w:spacing w:val="-17"/>
        </w:rPr>
        <w:t xml:space="preserve"> </w:t>
      </w:r>
      <w:r>
        <w:rPr>
          <w:rFonts w:ascii="Verdana" w:hAnsi="Verdana"/>
          <w:spacing w:val="-2"/>
        </w:rPr>
        <w:t>com</w:t>
      </w:r>
      <w:r>
        <w:rPr>
          <w:rFonts w:ascii="Verdana" w:hAnsi="Verdana"/>
          <w:spacing w:val="-17"/>
        </w:rPr>
        <w:t xml:space="preserve"> </w:t>
      </w:r>
      <w:r>
        <w:rPr>
          <w:rFonts w:ascii="Verdana" w:hAnsi="Verdana"/>
          <w:spacing w:val="-2"/>
        </w:rPr>
        <w:t>o</w:t>
      </w:r>
      <w:r>
        <w:rPr>
          <w:rFonts w:ascii="Verdana" w:hAnsi="Verdana"/>
          <w:spacing w:val="-18"/>
        </w:rPr>
        <w:t xml:space="preserve"> </w:t>
      </w:r>
      <w:r>
        <w:rPr>
          <w:rFonts w:ascii="Verdana" w:hAnsi="Verdana"/>
          <w:spacing w:val="-2"/>
        </w:rPr>
        <w:t>objetivo</w:t>
      </w:r>
      <w:r>
        <w:rPr>
          <w:rFonts w:ascii="Verdana" w:hAnsi="Verdana"/>
          <w:spacing w:val="-15"/>
        </w:rPr>
        <w:t xml:space="preserve"> </w:t>
      </w:r>
      <w:r>
        <w:rPr>
          <w:rFonts w:ascii="Verdana" w:hAnsi="Verdana"/>
          <w:spacing w:val="-2"/>
        </w:rPr>
        <w:t>de</w:t>
      </w:r>
      <w:r>
        <w:rPr>
          <w:rFonts w:ascii="Verdana" w:hAnsi="Verdana"/>
          <w:spacing w:val="-18"/>
        </w:rPr>
        <w:t xml:space="preserve"> </w:t>
      </w:r>
      <w:r>
        <w:rPr>
          <w:rFonts w:ascii="Verdana" w:hAnsi="Verdana"/>
          <w:spacing w:val="-2"/>
        </w:rPr>
        <w:t>regular</w:t>
      </w:r>
      <w:r>
        <w:rPr>
          <w:rFonts w:ascii="Verdana" w:hAnsi="Verdana"/>
          <w:spacing w:val="-15"/>
        </w:rPr>
        <w:t xml:space="preserve"> </w:t>
      </w:r>
      <w:r>
        <w:rPr>
          <w:rFonts w:ascii="Verdana" w:hAnsi="Verdana"/>
          <w:spacing w:val="-2"/>
        </w:rPr>
        <w:t>o</w:t>
      </w:r>
      <w:r>
        <w:rPr>
          <w:rFonts w:ascii="Verdana" w:hAnsi="Verdana"/>
          <w:spacing w:val="-17"/>
        </w:rPr>
        <w:t xml:space="preserve"> </w:t>
      </w:r>
      <w:r>
        <w:rPr>
          <w:rFonts w:ascii="Verdana" w:hAnsi="Verdana"/>
          <w:spacing w:val="-2"/>
        </w:rPr>
        <w:t>processo</w:t>
      </w:r>
      <w:r>
        <w:rPr>
          <w:rFonts w:ascii="Verdana" w:hAnsi="Verdana"/>
          <w:spacing w:val="-18"/>
        </w:rPr>
        <w:t xml:space="preserve"> </w:t>
      </w:r>
      <w:r>
        <w:rPr>
          <w:rFonts w:ascii="Verdana" w:hAnsi="Verdana"/>
          <w:spacing w:val="-2"/>
        </w:rPr>
        <w:t>de</w:t>
      </w:r>
      <w:r>
        <w:rPr>
          <w:rFonts w:ascii="Verdana" w:hAnsi="Verdana"/>
          <w:spacing w:val="-15"/>
        </w:rPr>
        <w:t xml:space="preserve"> </w:t>
      </w:r>
      <w:r>
        <w:rPr>
          <w:rFonts w:ascii="Verdana" w:hAnsi="Verdana"/>
          <w:spacing w:val="-2"/>
        </w:rPr>
        <w:t>transição</w:t>
      </w:r>
      <w:r>
        <w:rPr>
          <w:rFonts w:ascii="Verdana" w:hAnsi="Verdana"/>
          <w:spacing w:val="-18"/>
        </w:rPr>
        <w:t xml:space="preserve"> </w:t>
      </w:r>
      <w:r>
        <w:rPr>
          <w:rFonts w:ascii="Verdana" w:hAnsi="Verdana"/>
          <w:spacing w:val="-2"/>
        </w:rPr>
        <w:t>da</w:t>
      </w:r>
      <w:r>
        <w:rPr>
          <w:rFonts w:ascii="Verdana" w:hAnsi="Verdana"/>
          <w:spacing w:val="-14"/>
        </w:rPr>
        <w:t xml:space="preserve"> </w:t>
      </w:r>
      <w:r>
        <w:rPr>
          <w:rFonts w:ascii="Verdana" w:hAnsi="Verdana"/>
          <w:spacing w:val="-2"/>
        </w:rPr>
        <w:t xml:space="preserve">Telebras </w:t>
      </w:r>
      <w:r>
        <w:rPr>
          <w:rFonts w:ascii="Verdana" w:hAnsi="Verdana"/>
        </w:rPr>
        <w:t>para o regime de empresa estatal não dependente.</w:t>
      </w:r>
    </w:p>
    <w:p w14:paraId="01E04EA0" w14:textId="77777777" w:rsidR="002C6574" w:rsidRDefault="002C6574">
      <w:pPr>
        <w:pStyle w:val="Corpodetexto"/>
        <w:spacing w:before="1"/>
        <w:rPr>
          <w:rFonts w:ascii="Verdana"/>
        </w:rPr>
      </w:pPr>
    </w:p>
    <w:p w14:paraId="153509BF" w14:textId="77777777" w:rsidR="002C6574" w:rsidRDefault="00000000">
      <w:pPr>
        <w:pStyle w:val="Corpodetexto"/>
        <w:spacing w:line="242" w:lineRule="auto"/>
        <w:ind w:left="709" w:right="275"/>
        <w:jc w:val="both"/>
        <w:rPr>
          <w:rFonts w:ascii="Verdana" w:hAnsi="Verdana"/>
        </w:rPr>
      </w:pPr>
      <w:r>
        <w:rPr>
          <w:rFonts w:ascii="Verdana" w:hAnsi="Verdana"/>
        </w:rPr>
        <w:t xml:space="preserve">Com a vigência do Contrato de Gestão, a Telebras passou a dispor de autonomia orçamentária e financeira, submetendo-se, a partir de então, ao regime </w:t>
      </w:r>
      <w:r>
        <w:rPr>
          <w:rFonts w:ascii="Verdana" w:hAnsi="Verdana"/>
          <w:spacing w:val="-2"/>
        </w:rPr>
        <w:t>orçamentário</w:t>
      </w:r>
      <w:r>
        <w:rPr>
          <w:rFonts w:ascii="Verdana" w:hAnsi="Verdana"/>
          <w:spacing w:val="-18"/>
        </w:rPr>
        <w:t xml:space="preserve"> </w:t>
      </w:r>
      <w:r>
        <w:rPr>
          <w:rFonts w:ascii="Verdana" w:hAnsi="Verdana"/>
          <w:spacing w:val="-2"/>
        </w:rPr>
        <w:t>e</w:t>
      </w:r>
      <w:r>
        <w:rPr>
          <w:rFonts w:ascii="Verdana" w:hAnsi="Verdana"/>
          <w:spacing w:val="-17"/>
        </w:rPr>
        <w:t xml:space="preserve"> </w:t>
      </w:r>
      <w:r>
        <w:rPr>
          <w:rFonts w:ascii="Verdana" w:hAnsi="Verdana"/>
          <w:spacing w:val="-2"/>
        </w:rPr>
        <w:t>financeiro</w:t>
      </w:r>
      <w:r>
        <w:rPr>
          <w:rFonts w:ascii="Verdana" w:hAnsi="Verdana"/>
          <w:spacing w:val="-16"/>
        </w:rPr>
        <w:t xml:space="preserve"> </w:t>
      </w:r>
      <w:r>
        <w:rPr>
          <w:rFonts w:ascii="Verdana" w:hAnsi="Verdana"/>
          <w:spacing w:val="-2"/>
        </w:rPr>
        <w:t>aplicável</w:t>
      </w:r>
      <w:r>
        <w:rPr>
          <w:rFonts w:ascii="Verdana" w:hAnsi="Verdana"/>
          <w:spacing w:val="-16"/>
        </w:rPr>
        <w:t xml:space="preserve"> </w:t>
      </w:r>
      <w:r>
        <w:rPr>
          <w:rFonts w:ascii="Verdana" w:hAnsi="Verdana"/>
          <w:spacing w:val="-2"/>
        </w:rPr>
        <w:t>às</w:t>
      </w:r>
      <w:r>
        <w:rPr>
          <w:rFonts w:ascii="Verdana" w:hAnsi="Verdana"/>
          <w:spacing w:val="-18"/>
        </w:rPr>
        <w:t xml:space="preserve"> </w:t>
      </w:r>
      <w:r>
        <w:rPr>
          <w:rFonts w:ascii="Verdana" w:hAnsi="Verdana"/>
          <w:spacing w:val="-2"/>
        </w:rPr>
        <w:t>empresas</w:t>
      </w:r>
      <w:r>
        <w:rPr>
          <w:rFonts w:ascii="Verdana" w:hAnsi="Verdana"/>
          <w:spacing w:val="-13"/>
        </w:rPr>
        <w:t xml:space="preserve"> </w:t>
      </w:r>
      <w:r>
        <w:rPr>
          <w:rFonts w:ascii="Verdana" w:hAnsi="Verdana"/>
          <w:spacing w:val="-2"/>
        </w:rPr>
        <w:t>estatais</w:t>
      </w:r>
      <w:r>
        <w:rPr>
          <w:rFonts w:ascii="Verdana" w:hAnsi="Verdana"/>
          <w:spacing w:val="-18"/>
        </w:rPr>
        <w:t xml:space="preserve"> </w:t>
      </w:r>
      <w:r>
        <w:rPr>
          <w:rFonts w:ascii="Verdana" w:hAnsi="Verdana"/>
          <w:spacing w:val="-2"/>
        </w:rPr>
        <w:t>não</w:t>
      </w:r>
      <w:r>
        <w:rPr>
          <w:rFonts w:ascii="Verdana" w:hAnsi="Verdana"/>
          <w:spacing w:val="-17"/>
        </w:rPr>
        <w:t xml:space="preserve"> </w:t>
      </w:r>
      <w:r>
        <w:rPr>
          <w:rFonts w:ascii="Verdana" w:hAnsi="Verdana"/>
          <w:spacing w:val="-2"/>
        </w:rPr>
        <w:t>dependentes.</w:t>
      </w:r>
      <w:r>
        <w:rPr>
          <w:rFonts w:ascii="Verdana" w:hAnsi="Verdana"/>
          <w:spacing w:val="-15"/>
        </w:rPr>
        <w:t xml:space="preserve"> </w:t>
      </w:r>
      <w:r>
        <w:rPr>
          <w:rFonts w:ascii="Verdana" w:hAnsi="Verdana"/>
          <w:spacing w:val="-2"/>
        </w:rPr>
        <w:t>Assim,</w:t>
      </w:r>
      <w:r>
        <w:rPr>
          <w:rFonts w:ascii="Verdana" w:hAnsi="Verdana"/>
          <w:spacing w:val="-16"/>
        </w:rPr>
        <w:t xml:space="preserve"> </w:t>
      </w:r>
      <w:r>
        <w:rPr>
          <w:rFonts w:ascii="Verdana" w:hAnsi="Verdana"/>
          <w:spacing w:val="-2"/>
        </w:rPr>
        <w:t xml:space="preserve">a </w:t>
      </w:r>
      <w:r>
        <w:rPr>
          <w:rFonts w:ascii="Verdana" w:hAnsi="Verdana"/>
        </w:rPr>
        <w:t>Companhia</w:t>
      </w:r>
      <w:r>
        <w:rPr>
          <w:rFonts w:ascii="Verdana" w:hAnsi="Verdana"/>
          <w:spacing w:val="-20"/>
        </w:rPr>
        <w:t xml:space="preserve"> </w:t>
      </w:r>
      <w:r>
        <w:rPr>
          <w:rFonts w:ascii="Verdana" w:hAnsi="Verdana"/>
        </w:rPr>
        <w:t>deixou</w:t>
      </w:r>
      <w:r>
        <w:rPr>
          <w:rFonts w:ascii="Verdana" w:hAnsi="Verdana"/>
          <w:spacing w:val="-19"/>
        </w:rPr>
        <w:t xml:space="preserve"> </w:t>
      </w:r>
      <w:r>
        <w:rPr>
          <w:rFonts w:ascii="Verdana" w:hAnsi="Verdana"/>
        </w:rPr>
        <w:t>de</w:t>
      </w:r>
      <w:r>
        <w:rPr>
          <w:rFonts w:ascii="Verdana" w:hAnsi="Verdana"/>
          <w:spacing w:val="-19"/>
        </w:rPr>
        <w:t xml:space="preserve"> </w:t>
      </w:r>
      <w:r>
        <w:rPr>
          <w:rFonts w:ascii="Verdana" w:hAnsi="Verdana"/>
        </w:rPr>
        <w:t>integrar</w:t>
      </w:r>
      <w:r>
        <w:rPr>
          <w:rFonts w:ascii="Verdana" w:hAnsi="Verdana"/>
          <w:spacing w:val="-20"/>
        </w:rPr>
        <w:t xml:space="preserve"> </w:t>
      </w:r>
      <w:r>
        <w:rPr>
          <w:rFonts w:ascii="Verdana" w:hAnsi="Verdana"/>
        </w:rPr>
        <w:t>o</w:t>
      </w:r>
      <w:r>
        <w:rPr>
          <w:rFonts w:ascii="Verdana" w:hAnsi="Verdana"/>
          <w:spacing w:val="-19"/>
        </w:rPr>
        <w:t xml:space="preserve"> </w:t>
      </w:r>
      <w:r>
        <w:rPr>
          <w:rFonts w:ascii="Verdana" w:hAnsi="Verdana"/>
        </w:rPr>
        <w:t>Orçamento</w:t>
      </w:r>
      <w:r>
        <w:rPr>
          <w:rFonts w:ascii="Verdana" w:hAnsi="Verdana"/>
          <w:spacing w:val="-20"/>
        </w:rPr>
        <w:t xml:space="preserve"> </w:t>
      </w:r>
      <w:r>
        <w:rPr>
          <w:rFonts w:ascii="Verdana" w:hAnsi="Verdana"/>
        </w:rPr>
        <w:t>Fiscal</w:t>
      </w:r>
      <w:r>
        <w:rPr>
          <w:rFonts w:ascii="Verdana" w:hAnsi="Verdana"/>
          <w:spacing w:val="-19"/>
        </w:rPr>
        <w:t xml:space="preserve"> </w:t>
      </w:r>
      <w:r>
        <w:rPr>
          <w:rFonts w:ascii="Verdana" w:hAnsi="Verdana"/>
        </w:rPr>
        <w:t>e</w:t>
      </w:r>
      <w:r>
        <w:rPr>
          <w:rFonts w:ascii="Verdana" w:hAnsi="Verdana"/>
          <w:spacing w:val="-19"/>
        </w:rPr>
        <w:t xml:space="preserve"> </w:t>
      </w:r>
      <w:r>
        <w:rPr>
          <w:rFonts w:ascii="Verdana" w:hAnsi="Verdana"/>
        </w:rPr>
        <w:t>da</w:t>
      </w:r>
      <w:r>
        <w:rPr>
          <w:rFonts w:ascii="Verdana" w:hAnsi="Verdana"/>
          <w:spacing w:val="-20"/>
        </w:rPr>
        <w:t xml:space="preserve"> </w:t>
      </w:r>
      <w:r>
        <w:rPr>
          <w:rFonts w:ascii="Verdana" w:hAnsi="Verdana"/>
        </w:rPr>
        <w:t>Seguridade</w:t>
      </w:r>
      <w:r>
        <w:rPr>
          <w:rFonts w:ascii="Verdana" w:hAnsi="Verdana"/>
          <w:spacing w:val="-19"/>
        </w:rPr>
        <w:t xml:space="preserve"> </w:t>
      </w:r>
      <w:r>
        <w:rPr>
          <w:rFonts w:ascii="Verdana" w:hAnsi="Verdana"/>
        </w:rPr>
        <w:t>Social</w:t>
      </w:r>
      <w:r>
        <w:rPr>
          <w:rFonts w:ascii="Verdana" w:hAnsi="Verdana"/>
          <w:spacing w:val="-19"/>
        </w:rPr>
        <w:t xml:space="preserve"> </w:t>
      </w:r>
      <w:r>
        <w:rPr>
          <w:rFonts w:ascii="Verdana" w:hAnsi="Verdana"/>
        </w:rPr>
        <w:t>da</w:t>
      </w:r>
      <w:r>
        <w:rPr>
          <w:rFonts w:ascii="Verdana" w:hAnsi="Verdana"/>
          <w:spacing w:val="-20"/>
        </w:rPr>
        <w:t xml:space="preserve"> </w:t>
      </w:r>
      <w:r>
        <w:rPr>
          <w:rFonts w:ascii="Verdana" w:hAnsi="Verdana"/>
        </w:rPr>
        <w:t>União, ressalta-se, contudo, que a Companhia permanece, até a efetiva conclusão do processo de transição, classificada como empresa estatal dependente.</w:t>
      </w:r>
    </w:p>
    <w:p w14:paraId="2EC3B204" w14:textId="77777777" w:rsidR="002C6574" w:rsidRDefault="002C6574">
      <w:pPr>
        <w:pStyle w:val="Corpodetexto"/>
        <w:spacing w:line="242" w:lineRule="auto"/>
        <w:jc w:val="both"/>
        <w:rPr>
          <w:rFonts w:ascii="Verdana" w:hAnsi="Verdana"/>
        </w:rPr>
        <w:sectPr w:rsidR="002C6574">
          <w:pgSz w:w="11910" w:h="16840"/>
          <w:pgMar w:top="1860" w:right="850" w:bottom="1440" w:left="992" w:header="826" w:footer="1241" w:gutter="0"/>
          <w:cols w:space="720"/>
        </w:sectPr>
      </w:pPr>
    </w:p>
    <w:p w14:paraId="249114D4" w14:textId="77777777" w:rsidR="002C6574" w:rsidRDefault="00000000">
      <w:pPr>
        <w:spacing w:before="258"/>
        <w:ind w:left="709"/>
        <w:rPr>
          <w:rFonts w:ascii="Tahoma"/>
          <w:b/>
        </w:rPr>
      </w:pPr>
      <w:r>
        <w:rPr>
          <w:rFonts w:ascii="Tahoma"/>
          <w:b/>
          <w:w w:val="90"/>
        </w:rPr>
        <w:lastRenderedPageBreak/>
        <w:t>Outros</w:t>
      </w:r>
      <w:r>
        <w:rPr>
          <w:rFonts w:ascii="Tahoma"/>
          <w:b/>
          <w:spacing w:val="12"/>
        </w:rPr>
        <w:t xml:space="preserve"> </w:t>
      </w:r>
      <w:r>
        <w:rPr>
          <w:rFonts w:ascii="Tahoma"/>
          <w:b/>
          <w:spacing w:val="-2"/>
        </w:rPr>
        <w:t>Assuntos</w:t>
      </w:r>
    </w:p>
    <w:p w14:paraId="6CD8C688" w14:textId="77777777" w:rsidR="002C6574" w:rsidRDefault="002C6574">
      <w:pPr>
        <w:pStyle w:val="Corpodetexto"/>
        <w:spacing w:before="7"/>
        <w:rPr>
          <w:rFonts w:ascii="Tahoma"/>
          <w:b/>
        </w:rPr>
      </w:pPr>
    </w:p>
    <w:p w14:paraId="53452E1D" w14:textId="77777777" w:rsidR="002C6574" w:rsidRDefault="00000000">
      <w:pPr>
        <w:pStyle w:val="Corpodetexto"/>
        <w:ind w:left="709"/>
        <w:jc w:val="both"/>
        <w:rPr>
          <w:rFonts w:ascii="Verdana" w:hAnsi="Verdana"/>
        </w:rPr>
      </w:pPr>
      <w:r>
        <w:rPr>
          <w:rFonts w:ascii="Verdana" w:hAnsi="Verdana"/>
          <w:spacing w:val="-2"/>
        </w:rPr>
        <w:t>Demonstrações</w:t>
      </w:r>
      <w:r>
        <w:rPr>
          <w:rFonts w:ascii="Verdana" w:hAnsi="Verdana"/>
          <w:spacing w:val="-13"/>
        </w:rPr>
        <w:t xml:space="preserve"> </w:t>
      </w:r>
      <w:r>
        <w:rPr>
          <w:rFonts w:ascii="Verdana" w:hAnsi="Verdana"/>
          <w:spacing w:val="-2"/>
        </w:rPr>
        <w:t>do</w:t>
      </w:r>
      <w:r>
        <w:rPr>
          <w:rFonts w:ascii="Verdana" w:hAnsi="Verdana"/>
          <w:spacing w:val="-14"/>
        </w:rPr>
        <w:t xml:space="preserve"> </w:t>
      </w:r>
      <w:r>
        <w:rPr>
          <w:rFonts w:ascii="Verdana" w:hAnsi="Verdana"/>
          <w:spacing w:val="-2"/>
        </w:rPr>
        <w:t>Valor</w:t>
      </w:r>
      <w:r>
        <w:rPr>
          <w:rFonts w:ascii="Verdana" w:hAnsi="Verdana"/>
          <w:spacing w:val="-14"/>
        </w:rPr>
        <w:t xml:space="preserve"> </w:t>
      </w:r>
      <w:r>
        <w:rPr>
          <w:rFonts w:ascii="Verdana" w:hAnsi="Verdana"/>
          <w:spacing w:val="-2"/>
        </w:rPr>
        <w:t>Adicionado</w:t>
      </w:r>
    </w:p>
    <w:p w14:paraId="2006FF28" w14:textId="77777777" w:rsidR="002C6574" w:rsidRDefault="002C6574">
      <w:pPr>
        <w:pStyle w:val="Corpodetexto"/>
        <w:spacing w:before="6"/>
        <w:rPr>
          <w:rFonts w:ascii="Verdana"/>
        </w:rPr>
      </w:pPr>
    </w:p>
    <w:p w14:paraId="4777553B" w14:textId="77777777" w:rsidR="002C6574" w:rsidRDefault="00000000">
      <w:pPr>
        <w:pStyle w:val="Corpodetexto"/>
        <w:spacing w:line="242" w:lineRule="auto"/>
        <w:ind w:left="709" w:right="275"/>
        <w:jc w:val="both"/>
        <w:rPr>
          <w:rFonts w:ascii="Verdana" w:hAnsi="Verdana"/>
        </w:rPr>
      </w:pPr>
      <w:r>
        <w:rPr>
          <w:rFonts w:ascii="Verdana" w:hAnsi="Verdana"/>
        </w:rPr>
        <w:t>A</w:t>
      </w:r>
      <w:r>
        <w:rPr>
          <w:rFonts w:ascii="Verdana" w:hAnsi="Verdana"/>
          <w:spacing w:val="-11"/>
        </w:rPr>
        <w:t xml:space="preserve"> </w:t>
      </w:r>
      <w:r>
        <w:rPr>
          <w:rFonts w:ascii="Verdana" w:hAnsi="Verdana"/>
        </w:rPr>
        <w:t>Demonstração</w:t>
      </w:r>
      <w:r>
        <w:rPr>
          <w:rFonts w:ascii="Verdana" w:hAnsi="Verdana"/>
          <w:spacing w:val="-10"/>
        </w:rPr>
        <w:t xml:space="preserve"> </w:t>
      </w:r>
      <w:r>
        <w:rPr>
          <w:rFonts w:ascii="Verdana" w:hAnsi="Verdana"/>
        </w:rPr>
        <w:t>do</w:t>
      </w:r>
      <w:r>
        <w:rPr>
          <w:rFonts w:ascii="Verdana" w:hAnsi="Verdana"/>
          <w:spacing w:val="-14"/>
        </w:rPr>
        <w:t xml:space="preserve"> </w:t>
      </w:r>
      <w:r>
        <w:rPr>
          <w:rFonts w:ascii="Verdana" w:hAnsi="Verdana"/>
        </w:rPr>
        <w:t>Valor</w:t>
      </w:r>
      <w:r>
        <w:rPr>
          <w:rFonts w:ascii="Verdana" w:hAnsi="Verdana"/>
          <w:spacing w:val="-9"/>
        </w:rPr>
        <w:t xml:space="preserve"> </w:t>
      </w:r>
      <w:r>
        <w:rPr>
          <w:rFonts w:ascii="Verdana" w:hAnsi="Verdana"/>
        </w:rPr>
        <w:t>Adicionado</w:t>
      </w:r>
      <w:r>
        <w:rPr>
          <w:rFonts w:ascii="Verdana" w:hAnsi="Verdana"/>
          <w:spacing w:val="-10"/>
        </w:rPr>
        <w:t xml:space="preserve"> </w:t>
      </w:r>
      <w:r>
        <w:rPr>
          <w:rFonts w:ascii="Verdana" w:hAnsi="Verdana"/>
        </w:rPr>
        <w:t>–</w:t>
      </w:r>
      <w:r>
        <w:rPr>
          <w:rFonts w:ascii="Verdana" w:hAnsi="Verdana"/>
          <w:spacing w:val="-11"/>
        </w:rPr>
        <w:t xml:space="preserve"> </w:t>
      </w:r>
      <w:r>
        <w:rPr>
          <w:rFonts w:ascii="Verdana" w:hAnsi="Verdana"/>
        </w:rPr>
        <w:t>DVA,</w:t>
      </w:r>
      <w:r>
        <w:rPr>
          <w:rFonts w:ascii="Verdana" w:hAnsi="Verdana"/>
          <w:spacing w:val="-9"/>
        </w:rPr>
        <w:t xml:space="preserve"> </w:t>
      </w:r>
      <w:r>
        <w:rPr>
          <w:rFonts w:ascii="Verdana" w:hAnsi="Verdana"/>
        </w:rPr>
        <w:t>referente</w:t>
      </w:r>
      <w:r>
        <w:rPr>
          <w:rFonts w:ascii="Verdana" w:hAnsi="Verdana"/>
          <w:spacing w:val="-9"/>
        </w:rPr>
        <w:t xml:space="preserve"> </w:t>
      </w:r>
      <w:r>
        <w:rPr>
          <w:rFonts w:ascii="Verdana" w:hAnsi="Verdana"/>
        </w:rPr>
        <w:t>ao</w:t>
      </w:r>
      <w:r>
        <w:rPr>
          <w:rFonts w:ascii="Verdana" w:hAnsi="Verdana"/>
          <w:spacing w:val="-10"/>
        </w:rPr>
        <w:t xml:space="preserve"> </w:t>
      </w:r>
      <w:r>
        <w:rPr>
          <w:rFonts w:ascii="Verdana" w:hAnsi="Verdana"/>
        </w:rPr>
        <w:t>exercício</w:t>
      </w:r>
      <w:r>
        <w:rPr>
          <w:rFonts w:ascii="Verdana" w:hAnsi="Verdana"/>
          <w:spacing w:val="-9"/>
        </w:rPr>
        <w:t xml:space="preserve"> </w:t>
      </w:r>
      <w:r>
        <w:rPr>
          <w:rFonts w:ascii="Verdana" w:hAnsi="Verdana"/>
        </w:rPr>
        <w:t>findo</w:t>
      </w:r>
      <w:r>
        <w:rPr>
          <w:rFonts w:ascii="Verdana" w:hAnsi="Verdana"/>
          <w:spacing w:val="-10"/>
        </w:rPr>
        <w:t xml:space="preserve"> </w:t>
      </w:r>
      <w:r>
        <w:rPr>
          <w:rFonts w:ascii="Verdana" w:hAnsi="Verdana"/>
        </w:rPr>
        <w:t>em</w:t>
      </w:r>
      <w:r>
        <w:rPr>
          <w:rFonts w:ascii="Verdana" w:hAnsi="Verdana"/>
          <w:spacing w:val="-10"/>
        </w:rPr>
        <w:t xml:space="preserve"> </w:t>
      </w:r>
      <w:r>
        <w:rPr>
          <w:rFonts w:ascii="Verdana" w:hAnsi="Verdana"/>
        </w:rPr>
        <w:t>31</w:t>
      </w:r>
      <w:r>
        <w:rPr>
          <w:rFonts w:ascii="Verdana" w:hAnsi="Verdana"/>
          <w:spacing w:val="-10"/>
        </w:rPr>
        <w:t xml:space="preserve"> </w:t>
      </w:r>
      <w:r>
        <w:rPr>
          <w:rFonts w:ascii="Verdana" w:hAnsi="Verdana"/>
        </w:rPr>
        <w:t>de dezembro de 2025, elaborada sob a responsabilidade da administração da Companhia e apresentada como informação suplementar para fins de IFRS, foi submetida</w:t>
      </w:r>
      <w:r>
        <w:rPr>
          <w:rFonts w:ascii="Verdana" w:hAnsi="Verdana"/>
          <w:spacing w:val="-1"/>
        </w:rPr>
        <w:t xml:space="preserve"> </w:t>
      </w:r>
      <w:r>
        <w:rPr>
          <w:rFonts w:ascii="Verdana" w:hAnsi="Verdana"/>
        </w:rPr>
        <w:t>a</w:t>
      </w:r>
      <w:r>
        <w:rPr>
          <w:rFonts w:ascii="Verdana" w:hAnsi="Verdana"/>
          <w:spacing w:val="-1"/>
        </w:rPr>
        <w:t xml:space="preserve"> </w:t>
      </w:r>
      <w:r>
        <w:rPr>
          <w:rFonts w:ascii="Verdana" w:hAnsi="Verdana"/>
        </w:rPr>
        <w:t>procedimentos de auditoria</w:t>
      </w:r>
      <w:r>
        <w:rPr>
          <w:rFonts w:ascii="Verdana" w:hAnsi="Verdana"/>
          <w:spacing w:val="-1"/>
        </w:rPr>
        <w:t xml:space="preserve"> </w:t>
      </w:r>
      <w:r>
        <w:rPr>
          <w:rFonts w:ascii="Verdana" w:hAnsi="Verdana"/>
        </w:rPr>
        <w:t>executados</w:t>
      </w:r>
      <w:r>
        <w:rPr>
          <w:rFonts w:ascii="Verdana" w:hAnsi="Verdana"/>
          <w:spacing w:val="-2"/>
        </w:rPr>
        <w:t xml:space="preserve"> </w:t>
      </w:r>
      <w:r>
        <w:rPr>
          <w:rFonts w:ascii="Verdana" w:hAnsi="Verdana"/>
        </w:rPr>
        <w:t>em</w:t>
      </w:r>
      <w:r>
        <w:rPr>
          <w:rFonts w:ascii="Verdana" w:hAnsi="Verdana"/>
          <w:spacing w:val="-5"/>
        </w:rPr>
        <w:t xml:space="preserve"> </w:t>
      </w:r>
      <w:r>
        <w:rPr>
          <w:rFonts w:ascii="Verdana" w:hAnsi="Verdana"/>
        </w:rPr>
        <w:t>conjunto com</w:t>
      </w:r>
      <w:r>
        <w:rPr>
          <w:rFonts w:ascii="Verdana" w:hAnsi="Verdana"/>
          <w:spacing w:val="-2"/>
        </w:rPr>
        <w:t xml:space="preserve"> </w:t>
      </w:r>
      <w:r>
        <w:rPr>
          <w:rFonts w:ascii="Verdana" w:hAnsi="Verdana"/>
        </w:rPr>
        <w:t>a</w:t>
      </w:r>
      <w:r>
        <w:rPr>
          <w:rFonts w:ascii="Verdana" w:hAnsi="Verdana"/>
          <w:spacing w:val="-1"/>
        </w:rPr>
        <w:t xml:space="preserve"> </w:t>
      </w:r>
      <w:r>
        <w:rPr>
          <w:rFonts w:ascii="Verdana" w:hAnsi="Verdana"/>
        </w:rPr>
        <w:t>auditoria das demonstrações contábeis da Companhia. Para a formação de nossa opinião, avaliamos se essa demonstração está conciliada com as demais demonstrações contábeis e os registros contábeis, conforme aplicável, e se a sua forma e o seu conteúdo estão de acordo com os critérios definidos no pronunciamento técnico CPC</w:t>
      </w:r>
      <w:r>
        <w:rPr>
          <w:rFonts w:ascii="Verdana" w:hAnsi="Verdana"/>
          <w:spacing w:val="-15"/>
        </w:rPr>
        <w:t xml:space="preserve"> </w:t>
      </w:r>
      <w:r>
        <w:rPr>
          <w:rFonts w:ascii="Verdana" w:hAnsi="Verdana"/>
        </w:rPr>
        <w:t>09</w:t>
      </w:r>
      <w:r>
        <w:rPr>
          <w:rFonts w:ascii="Verdana" w:hAnsi="Verdana"/>
          <w:spacing w:val="-17"/>
        </w:rPr>
        <w:t xml:space="preserve"> </w:t>
      </w:r>
      <w:r>
        <w:rPr>
          <w:rFonts w:ascii="Verdana" w:hAnsi="Verdana"/>
        </w:rPr>
        <w:t>-</w:t>
      </w:r>
      <w:r>
        <w:rPr>
          <w:rFonts w:ascii="Verdana" w:hAnsi="Verdana"/>
          <w:spacing w:val="-16"/>
        </w:rPr>
        <w:t xml:space="preserve"> </w:t>
      </w:r>
      <w:r>
        <w:rPr>
          <w:rFonts w:ascii="Verdana" w:hAnsi="Verdana"/>
        </w:rPr>
        <w:t>demonstração</w:t>
      </w:r>
      <w:r>
        <w:rPr>
          <w:rFonts w:ascii="Verdana" w:hAnsi="Verdana"/>
          <w:spacing w:val="-15"/>
        </w:rPr>
        <w:t xml:space="preserve"> </w:t>
      </w:r>
      <w:r>
        <w:rPr>
          <w:rFonts w:ascii="Verdana" w:hAnsi="Verdana"/>
        </w:rPr>
        <w:t>do</w:t>
      </w:r>
      <w:r>
        <w:rPr>
          <w:rFonts w:ascii="Verdana" w:hAnsi="Verdana"/>
          <w:spacing w:val="-16"/>
        </w:rPr>
        <w:t xml:space="preserve"> </w:t>
      </w:r>
      <w:r>
        <w:rPr>
          <w:rFonts w:ascii="Verdana" w:hAnsi="Verdana"/>
        </w:rPr>
        <w:t>valor</w:t>
      </w:r>
      <w:r>
        <w:rPr>
          <w:rFonts w:ascii="Verdana" w:hAnsi="Verdana"/>
          <w:spacing w:val="-16"/>
        </w:rPr>
        <w:t xml:space="preserve"> </w:t>
      </w:r>
      <w:r>
        <w:rPr>
          <w:rFonts w:ascii="Verdana" w:hAnsi="Verdana"/>
        </w:rPr>
        <w:t>adicionado.</w:t>
      </w:r>
      <w:r>
        <w:rPr>
          <w:rFonts w:ascii="Verdana" w:hAnsi="Verdana"/>
          <w:spacing w:val="-12"/>
        </w:rPr>
        <w:t xml:space="preserve"> </w:t>
      </w:r>
      <w:r>
        <w:rPr>
          <w:rFonts w:ascii="Verdana" w:hAnsi="Verdana"/>
        </w:rPr>
        <w:t>Em</w:t>
      </w:r>
      <w:r>
        <w:rPr>
          <w:rFonts w:ascii="Verdana" w:hAnsi="Verdana"/>
          <w:spacing w:val="-16"/>
        </w:rPr>
        <w:t xml:space="preserve"> </w:t>
      </w:r>
      <w:r>
        <w:rPr>
          <w:rFonts w:ascii="Verdana" w:hAnsi="Verdana"/>
        </w:rPr>
        <w:t>nossa</w:t>
      </w:r>
      <w:r>
        <w:rPr>
          <w:rFonts w:ascii="Verdana" w:hAnsi="Verdana"/>
          <w:spacing w:val="-15"/>
        </w:rPr>
        <w:t xml:space="preserve"> </w:t>
      </w:r>
      <w:r>
        <w:rPr>
          <w:rFonts w:ascii="Verdana" w:hAnsi="Verdana"/>
        </w:rPr>
        <w:t>opinião,</w:t>
      </w:r>
      <w:r>
        <w:rPr>
          <w:rFonts w:ascii="Verdana" w:hAnsi="Verdana"/>
          <w:spacing w:val="-16"/>
        </w:rPr>
        <w:t xml:space="preserve"> </w:t>
      </w:r>
      <w:r>
        <w:rPr>
          <w:rFonts w:ascii="Verdana" w:hAnsi="Verdana"/>
        </w:rPr>
        <w:t>a</w:t>
      </w:r>
      <w:r>
        <w:rPr>
          <w:rFonts w:ascii="Verdana" w:hAnsi="Verdana"/>
          <w:spacing w:val="-16"/>
        </w:rPr>
        <w:t xml:space="preserve"> </w:t>
      </w:r>
      <w:r>
        <w:rPr>
          <w:rFonts w:ascii="Verdana" w:hAnsi="Verdana"/>
        </w:rPr>
        <w:t>demonstração</w:t>
      </w:r>
      <w:r>
        <w:rPr>
          <w:rFonts w:ascii="Verdana" w:hAnsi="Verdana"/>
          <w:spacing w:val="-16"/>
        </w:rPr>
        <w:t xml:space="preserve"> </w:t>
      </w:r>
      <w:r>
        <w:rPr>
          <w:rFonts w:ascii="Verdana" w:hAnsi="Verdana"/>
        </w:rPr>
        <w:t>do valor adicionado está adequadamente apresentada, em todos os aspectos relevantes, segundo os critérios definidos nesse pronunciamento técnico e está consistente em</w:t>
      </w:r>
      <w:r>
        <w:rPr>
          <w:rFonts w:ascii="Verdana" w:hAnsi="Verdana"/>
          <w:spacing w:val="-3"/>
        </w:rPr>
        <w:t xml:space="preserve"> </w:t>
      </w:r>
      <w:r>
        <w:rPr>
          <w:rFonts w:ascii="Verdana" w:hAnsi="Verdana"/>
        </w:rPr>
        <w:t>relação às</w:t>
      </w:r>
      <w:r>
        <w:rPr>
          <w:rFonts w:ascii="Verdana" w:hAnsi="Verdana"/>
          <w:spacing w:val="-1"/>
        </w:rPr>
        <w:t xml:space="preserve"> </w:t>
      </w:r>
      <w:r>
        <w:rPr>
          <w:rFonts w:ascii="Verdana" w:hAnsi="Verdana"/>
        </w:rPr>
        <w:t>demonstrações</w:t>
      </w:r>
      <w:r>
        <w:rPr>
          <w:rFonts w:ascii="Verdana" w:hAnsi="Verdana"/>
          <w:spacing w:val="-2"/>
        </w:rPr>
        <w:t xml:space="preserve"> </w:t>
      </w:r>
      <w:r>
        <w:rPr>
          <w:rFonts w:ascii="Verdana" w:hAnsi="Verdana"/>
        </w:rPr>
        <w:t>contábeis</w:t>
      </w:r>
      <w:r>
        <w:rPr>
          <w:rFonts w:ascii="Verdana" w:hAnsi="Verdana"/>
          <w:spacing w:val="-1"/>
        </w:rPr>
        <w:t xml:space="preserve"> </w:t>
      </w:r>
      <w:r>
        <w:rPr>
          <w:rFonts w:ascii="Verdana" w:hAnsi="Verdana"/>
        </w:rPr>
        <w:t>tomadas</w:t>
      </w:r>
      <w:r>
        <w:rPr>
          <w:rFonts w:ascii="Verdana" w:hAnsi="Verdana"/>
          <w:spacing w:val="-1"/>
        </w:rPr>
        <w:t xml:space="preserve"> </w:t>
      </w:r>
      <w:r>
        <w:rPr>
          <w:rFonts w:ascii="Verdana" w:hAnsi="Verdana"/>
        </w:rPr>
        <w:t>em</w:t>
      </w:r>
      <w:r>
        <w:rPr>
          <w:rFonts w:ascii="Verdana" w:hAnsi="Verdana"/>
          <w:spacing w:val="-5"/>
        </w:rPr>
        <w:t xml:space="preserve"> </w:t>
      </w:r>
      <w:r>
        <w:rPr>
          <w:rFonts w:ascii="Verdana" w:hAnsi="Verdana"/>
        </w:rPr>
        <w:t>conjunto.</w:t>
      </w:r>
    </w:p>
    <w:p w14:paraId="480D9F03" w14:textId="77777777" w:rsidR="002C6574" w:rsidRDefault="00000000">
      <w:pPr>
        <w:spacing w:before="267" w:line="242" w:lineRule="auto"/>
        <w:ind w:left="709"/>
        <w:rPr>
          <w:rFonts w:ascii="Tahoma" w:hAnsi="Tahoma"/>
          <w:b/>
        </w:rPr>
      </w:pPr>
      <w:r>
        <w:rPr>
          <w:rFonts w:ascii="Tahoma" w:hAnsi="Tahoma"/>
          <w:b/>
          <w:spacing w:val="-2"/>
        </w:rPr>
        <w:t>Outras</w:t>
      </w:r>
      <w:r>
        <w:rPr>
          <w:rFonts w:ascii="Tahoma" w:hAnsi="Tahoma"/>
          <w:b/>
          <w:spacing w:val="-15"/>
        </w:rPr>
        <w:t xml:space="preserve"> </w:t>
      </w:r>
      <w:r>
        <w:rPr>
          <w:rFonts w:ascii="Tahoma" w:hAnsi="Tahoma"/>
          <w:b/>
          <w:spacing w:val="-2"/>
        </w:rPr>
        <w:t>Informações</w:t>
      </w:r>
      <w:r>
        <w:rPr>
          <w:rFonts w:ascii="Tahoma" w:hAnsi="Tahoma"/>
          <w:b/>
          <w:spacing w:val="-11"/>
        </w:rPr>
        <w:t xml:space="preserve"> </w:t>
      </w:r>
      <w:r>
        <w:rPr>
          <w:rFonts w:ascii="Tahoma" w:hAnsi="Tahoma"/>
          <w:b/>
          <w:spacing w:val="-2"/>
        </w:rPr>
        <w:t>que</w:t>
      </w:r>
      <w:r>
        <w:rPr>
          <w:rFonts w:ascii="Tahoma" w:hAnsi="Tahoma"/>
          <w:b/>
          <w:spacing w:val="-13"/>
        </w:rPr>
        <w:t xml:space="preserve"> </w:t>
      </w:r>
      <w:r>
        <w:rPr>
          <w:rFonts w:ascii="Tahoma" w:hAnsi="Tahoma"/>
          <w:b/>
          <w:spacing w:val="-2"/>
        </w:rPr>
        <w:t>Acompanham</w:t>
      </w:r>
      <w:r>
        <w:rPr>
          <w:rFonts w:ascii="Tahoma" w:hAnsi="Tahoma"/>
          <w:b/>
          <w:spacing w:val="-15"/>
        </w:rPr>
        <w:t xml:space="preserve"> </w:t>
      </w:r>
      <w:r>
        <w:rPr>
          <w:rFonts w:ascii="Tahoma" w:hAnsi="Tahoma"/>
          <w:b/>
          <w:spacing w:val="-2"/>
        </w:rPr>
        <w:t>as</w:t>
      </w:r>
      <w:r>
        <w:rPr>
          <w:rFonts w:ascii="Tahoma" w:hAnsi="Tahoma"/>
          <w:b/>
          <w:spacing w:val="-12"/>
        </w:rPr>
        <w:t xml:space="preserve"> </w:t>
      </w:r>
      <w:r>
        <w:rPr>
          <w:rFonts w:ascii="Tahoma" w:hAnsi="Tahoma"/>
          <w:b/>
          <w:spacing w:val="-2"/>
        </w:rPr>
        <w:t>Demonstrações</w:t>
      </w:r>
      <w:r>
        <w:rPr>
          <w:rFonts w:ascii="Tahoma" w:hAnsi="Tahoma"/>
          <w:b/>
          <w:spacing w:val="-13"/>
        </w:rPr>
        <w:t xml:space="preserve"> </w:t>
      </w:r>
      <w:r>
        <w:rPr>
          <w:rFonts w:ascii="Tahoma" w:hAnsi="Tahoma"/>
          <w:b/>
          <w:spacing w:val="-2"/>
        </w:rPr>
        <w:t>Contábeis</w:t>
      </w:r>
      <w:r>
        <w:rPr>
          <w:rFonts w:ascii="Tahoma" w:hAnsi="Tahoma"/>
          <w:b/>
          <w:spacing w:val="-13"/>
        </w:rPr>
        <w:t xml:space="preserve"> </w:t>
      </w:r>
      <w:r>
        <w:rPr>
          <w:rFonts w:ascii="Tahoma" w:hAnsi="Tahoma"/>
          <w:b/>
          <w:spacing w:val="-2"/>
        </w:rPr>
        <w:t>e</w:t>
      </w:r>
      <w:r>
        <w:rPr>
          <w:rFonts w:ascii="Tahoma" w:hAnsi="Tahoma"/>
          <w:b/>
          <w:spacing w:val="-13"/>
        </w:rPr>
        <w:t xml:space="preserve"> </w:t>
      </w:r>
      <w:r>
        <w:rPr>
          <w:rFonts w:ascii="Tahoma" w:hAnsi="Tahoma"/>
          <w:b/>
          <w:spacing w:val="-2"/>
        </w:rPr>
        <w:t>o</w:t>
      </w:r>
      <w:r>
        <w:rPr>
          <w:rFonts w:ascii="Tahoma" w:hAnsi="Tahoma"/>
          <w:b/>
          <w:spacing w:val="-13"/>
        </w:rPr>
        <w:t xml:space="preserve"> </w:t>
      </w:r>
      <w:r>
        <w:rPr>
          <w:rFonts w:ascii="Tahoma" w:hAnsi="Tahoma"/>
          <w:b/>
          <w:spacing w:val="-2"/>
        </w:rPr>
        <w:t>Relatório</w:t>
      </w:r>
      <w:r>
        <w:rPr>
          <w:rFonts w:ascii="Tahoma" w:hAnsi="Tahoma"/>
          <w:b/>
          <w:spacing w:val="-13"/>
        </w:rPr>
        <w:t xml:space="preserve"> </w:t>
      </w:r>
      <w:r>
        <w:rPr>
          <w:rFonts w:ascii="Tahoma" w:hAnsi="Tahoma"/>
          <w:b/>
          <w:spacing w:val="-2"/>
        </w:rPr>
        <w:t>do Auditor:</w:t>
      </w:r>
    </w:p>
    <w:p w14:paraId="4D9A031E" w14:textId="77777777" w:rsidR="002C6574" w:rsidRDefault="002C6574">
      <w:pPr>
        <w:pStyle w:val="Corpodetexto"/>
        <w:spacing w:before="5"/>
        <w:rPr>
          <w:rFonts w:ascii="Tahoma"/>
          <w:b/>
        </w:rPr>
      </w:pPr>
    </w:p>
    <w:p w14:paraId="28766540" w14:textId="77777777" w:rsidR="002C6574" w:rsidRDefault="00000000">
      <w:pPr>
        <w:pStyle w:val="Corpodetexto"/>
        <w:ind w:left="709" w:right="278"/>
        <w:jc w:val="both"/>
        <w:rPr>
          <w:rFonts w:ascii="Verdana" w:hAnsi="Verdana"/>
        </w:rPr>
      </w:pPr>
      <w:r>
        <w:rPr>
          <w:rFonts w:ascii="Verdana" w:hAnsi="Verdana"/>
        </w:rPr>
        <w:t>A administração da Companhia é responsável por essas outras informações que compreendem o Relatório da Administração.</w:t>
      </w:r>
    </w:p>
    <w:p w14:paraId="61170970" w14:textId="77777777" w:rsidR="002C6574" w:rsidRDefault="002C6574">
      <w:pPr>
        <w:pStyle w:val="Corpodetexto"/>
        <w:spacing w:before="7"/>
        <w:rPr>
          <w:rFonts w:ascii="Verdana"/>
        </w:rPr>
      </w:pPr>
    </w:p>
    <w:p w14:paraId="4BD1E893" w14:textId="77777777" w:rsidR="002C6574" w:rsidRDefault="00000000">
      <w:pPr>
        <w:pStyle w:val="Corpodetexto"/>
        <w:spacing w:line="242" w:lineRule="auto"/>
        <w:ind w:left="709" w:right="276"/>
        <w:jc w:val="both"/>
        <w:rPr>
          <w:rFonts w:ascii="Verdana" w:hAnsi="Verdana"/>
        </w:rPr>
      </w:pPr>
      <w:r>
        <w:rPr>
          <w:rFonts w:ascii="Verdana" w:hAnsi="Verdana"/>
        </w:rPr>
        <w:t>Nossa opinião sobre as demonstrações contábeis não abrange o Relatório da Administração</w:t>
      </w:r>
      <w:r>
        <w:rPr>
          <w:rFonts w:ascii="Verdana" w:hAnsi="Verdana"/>
          <w:spacing w:val="-11"/>
        </w:rPr>
        <w:t xml:space="preserve"> </w:t>
      </w:r>
      <w:r>
        <w:rPr>
          <w:rFonts w:ascii="Verdana" w:hAnsi="Verdana"/>
        </w:rPr>
        <w:t>e</w:t>
      </w:r>
      <w:r>
        <w:rPr>
          <w:rFonts w:ascii="Verdana" w:hAnsi="Verdana"/>
          <w:spacing w:val="-12"/>
        </w:rPr>
        <w:t xml:space="preserve"> </w:t>
      </w:r>
      <w:r>
        <w:rPr>
          <w:rFonts w:ascii="Verdana" w:hAnsi="Verdana"/>
        </w:rPr>
        <w:t>não</w:t>
      </w:r>
      <w:r>
        <w:rPr>
          <w:rFonts w:ascii="Verdana" w:hAnsi="Verdana"/>
          <w:spacing w:val="-12"/>
        </w:rPr>
        <w:t xml:space="preserve"> </w:t>
      </w:r>
      <w:r>
        <w:rPr>
          <w:rFonts w:ascii="Verdana" w:hAnsi="Verdana"/>
        </w:rPr>
        <w:t>expressamos</w:t>
      </w:r>
      <w:r>
        <w:rPr>
          <w:rFonts w:ascii="Verdana" w:hAnsi="Verdana"/>
          <w:spacing w:val="-13"/>
        </w:rPr>
        <w:t xml:space="preserve"> </w:t>
      </w:r>
      <w:r>
        <w:rPr>
          <w:rFonts w:ascii="Verdana" w:hAnsi="Verdana"/>
        </w:rPr>
        <w:t>qualquer</w:t>
      </w:r>
      <w:r>
        <w:rPr>
          <w:rFonts w:ascii="Verdana" w:hAnsi="Verdana"/>
          <w:spacing w:val="-10"/>
        </w:rPr>
        <w:t xml:space="preserve"> </w:t>
      </w:r>
      <w:r>
        <w:rPr>
          <w:rFonts w:ascii="Verdana" w:hAnsi="Verdana"/>
        </w:rPr>
        <w:t>forma</w:t>
      </w:r>
      <w:r>
        <w:rPr>
          <w:rFonts w:ascii="Verdana" w:hAnsi="Verdana"/>
          <w:spacing w:val="-11"/>
        </w:rPr>
        <w:t xml:space="preserve"> </w:t>
      </w:r>
      <w:r>
        <w:rPr>
          <w:rFonts w:ascii="Verdana" w:hAnsi="Verdana"/>
        </w:rPr>
        <w:t>de</w:t>
      </w:r>
      <w:r>
        <w:rPr>
          <w:rFonts w:ascii="Verdana" w:hAnsi="Verdana"/>
          <w:spacing w:val="-10"/>
        </w:rPr>
        <w:t xml:space="preserve"> </w:t>
      </w:r>
      <w:r>
        <w:rPr>
          <w:rFonts w:ascii="Verdana" w:hAnsi="Verdana"/>
        </w:rPr>
        <w:t>conclusão</w:t>
      </w:r>
      <w:r>
        <w:rPr>
          <w:rFonts w:ascii="Verdana" w:hAnsi="Verdana"/>
          <w:spacing w:val="-12"/>
        </w:rPr>
        <w:t xml:space="preserve"> </w:t>
      </w:r>
      <w:r>
        <w:rPr>
          <w:rFonts w:ascii="Verdana" w:hAnsi="Verdana"/>
        </w:rPr>
        <w:t>de</w:t>
      </w:r>
      <w:r>
        <w:rPr>
          <w:rFonts w:ascii="Verdana" w:hAnsi="Verdana"/>
          <w:spacing w:val="-10"/>
        </w:rPr>
        <w:t xml:space="preserve"> </w:t>
      </w:r>
      <w:r>
        <w:rPr>
          <w:rFonts w:ascii="Verdana" w:hAnsi="Verdana"/>
        </w:rPr>
        <w:t>auditoria</w:t>
      </w:r>
      <w:r>
        <w:rPr>
          <w:rFonts w:ascii="Verdana" w:hAnsi="Verdana"/>
          <w:spacing w:val="-12"/>
        </w:rPr>
        <w:t xml:space="preserve"> </w:t>
      </w:r>
      <w:r>
        <w:rPr>
          <w:rFonts w:ascii="Verdana" w:hAnsi="Verdana"/>
        </w:rPr>
        <w:t>sobre esse relatório.</w:t>
      </w:r>
    </w:p>
    <w:p w14:paraId="4ED435E7" w14:textId="77777777" w:rsidR="002C6574" w:rsidRDefault="002C6574">
      <w:pPr>
        <w:pStyle w:val="Corpodetexto"/>
        <w:spacing w:before="2"/>
        <w:rPr>
          <w:rFonts w:ascii="Verdana"/>
        </w:rPr>
      </w:pPr>
    </w:p>
    <w:p w14:paraId="3E24CB57" w14:textId="77777777" w:rsidR="002C6574" w:rsidRDefault="00000000">
      <w:pPr>
        <w:pStyle w:val="Corpodetexto"/>
        <w:spacing w:before="1" w:line="242" w:lineRule="auto"/>
        <w:ind w:left="709" w:right="276"/>
        <w:jc w:val="both"/>
        <w:rPr>
          <w:rFonts w:ascii="Verdana" w:hAnsi="Verdana"/>
        </w:rPr>
      </w:pPr>
      <w:r>
        <w:rPr>
          <w:rFonts w:ascii="Verdana" w:hAnsi="Verdana"/>
        </w:rPr>
        <w:t>Em</w:t>
      </w:r>
      <w:r>
        <w:rPr>
          <w:rFonts w:ascii="Verdana" w:hAnsi="Verdana"/>
          <w:spacing w:val="-20"/>
        </w:rPr>
        <w:t xml:space="preserve"> </w:t>
      </w:r>
      <w:r>
        <w:rPr>
          <w:rFonts w:ascii="Verdana" w:hAnsi="Verdana"/>
        </w:rPr>
        <w:t>conexão</w:t>
      </w:r>
      <w:r>
        <w:rPr>
          <w:rFonts w:ascii="Verdana" w:hAnsi="Verdana"/>
          <w:spacing w:val="-19"/>
        </w:rPr>
        <w:t xml:space="preserve"> </w:t>
      </w:r>
      <w:r>
        <w:rPr>
          <w:rFonts w:ascii="Verdana" w:hAnsi="Verdana"/>
        </w:rPr>
        <w:t>com</w:t>
      </w:r>
      <w:r>
        <w:rPr>
          <w:rFonts w:ascii="Verdana" w:hAnsi="Verdana"/>
          <w:spacing w:val="-19"/>
        </w:rPr>
        <w:t xml:space="preserve"> </w:t>
      </w:r>
      <w:r>
        <w:rPr>
          <w:rFonts w:ascii="Verdana" w:hAnsi="Verdana"/>
        </w:rPr>
        <w:t>a</w:t>
      </w:r>
      <w:r>
        <w:rPr>
          <w:rFonts w:ascii="Verdana" w:hAnsi="Verdana"/>
          <w:spacing w:val="-18"/>
        </w:rPr>
        <w:t xml:space="preserve"> </w:t>
      </w:r>
      <w:r>
        <w:rPr>
          <w:rFonts w:ascii="Verdana" w:hAnsi="Verdana"/>
        </w:rPr>
        <w:t>auditoria</w:t>
      </w:r>
      <w:r>
        <w:rPr>
          <w:rFonts w:ascii="Verdana" w:hAnsi="Verdana"/>
          <w:spacing w:val="-17"/>
        </w:rPr>
        <w:t xml:space="preserve"> </w:t>
      </w:r>
      <w:r>
        <w:rPr>
          <w:rFonts w:ascii="Verdana" w:hAnsi="Verdana"/>
        </w:rPr>
        <w:t>das</w:t>
      </w:r>
      <w:r>
        <w:rPr>
          <w:rFonts w:ascii="Verdana" w:hAnsi="Verdana"/>
          <w:spacing w:val="-19"/>
        </w:rPr>
        <w:t xml:space="preserve"> </w:t>
      </w:r>
      <w:r>
        <w:rPr>
          <w:rFonts w:ascii="Verdana" w:hAnsi="Verdana"/>
        </w:rPr>
        <w:t>demonstrações</w:t>
      </w:r>
      <w:r>
        <w:rPr>
          <w:rFonts w:ascii="Verdana" w:hAnsi="Verdana"/>
          <w:spacing w:val="-19"/>
        </w:rPr>
        <w:t xml:space="preserve"> </w:t>
      </w:r>
      <w:r>
        <w:rPr>
          <w:rFonts w:ascii="Verdana" w:hAnsi="Verdana"/>
        </w:rPr>
        <w:t>contábeis,</w:t>
      </w:r>
      <w:r>
        <w:rPr>
          <w:rFonts w:ascii="Verdana" w:hAnsi="Verdana"/>
          <w:spacing w:val="-17"/>
        </w:rPr>
        <w:t xml:space="preserve"> </w:t>
      </w:r>
      <w:r>
        <w:rPr>
          <w:rFonts w:ascii="Verdana" w:hAnsi="Verdana"/>
        </w:rPr>
        <w:t>nossa</w:t>
      </w:r>
      <w:r>
        <w:rPr>
          <w:rFonts w:ascii="Verdana" w:hAnsi="Verdana"/>
          <w:spacing w:val="-20"/>
        </w:rPr>
        <w:t xml:space="preserve"> </w:t>
      </w:r>
      <w:r>
        <w:rPr>
          <w:rFonts w:ascii="Verdana" w:hAnsi="Verdana"/>
        </w:rPr>
        <w:t xml:space="preserve">responsabilidade </w:t>
      </w:r>
      <w:r>
        <w:rPr>
          <w:rFonts w:ascii="Verdana" w:hAnsi="Verdana"/>
          <w:spacing w:val="-6"/>
        </w:rPr>
        <w:t>é</w:t>
      </w:r>
      <w:r>
        <w:rPr>
          <w:rFonts w:ascii="Verdana" w:hAnsi="Verdana"/>
          <w:spacing w:val="-14"/>
        </w:rPr>
        <w:t xml:space="preserve"> </w:t>
      </w:r>
      <w:r>
        <w:rPr>
          <w:rFonts w:ascii="Verdana" w:hAnsi="Verdana"/>
          <w:spacing w:val="-6"/>
        </w:rPr>
        <w:t>a</w:t>
      </w:r>
      <w:r>
        <w:rPr>
          <w:rFonts w:ascii="Verdana" w:hAnsi="Verdana"/>
          <w:spacing w:val="-11"/>
        </w:rPr>
        <w:t xml:space="preserve"> </w:t>
      </w:r>
      <w:r>
        <w:rPr>
          <w:rFonts w:ascii="Verdana" w:hAnsi="Verdana"/>
          <w:spacing w:val="-6"/>
        </w:rPr>
        <w:t>de</w:t>
      </w:r>
      <w:r>
        <w:rPr>
          <w:rFonts w:ascii="Verdana" w:hAnsi="Verdana"/>
          <w:spacing w:val="-9"/>
        </w:rPr>
        <w:t xml:space="preserve"> </w:t>
      </w:r>
      <w:r>
        <w:rPr>
          <w:rFonts w:ascii="Verdana" w:hAnsi="Verdana"/>
          <w:spacing w:val="-6"/>
        </w:rPr>
        <w:t>ler</w:t>
      </w:r>
      <w:r>
        <w:rPr>
          <w:rFonts w:ascii="Verdana" w:hAnsi="Verdana"/>
          <w:spacing w:val="-9"/>
        </w:rPr>
        <w:t xml:space="preserve"> </w:t>
      </w:r>
      <w:r>
        <w:rPr>
          <w:rFonts w:ascii="Verdana" w:hAnsi="Verdana"/>
          <w:spacing w:val="-6"/>
        </w:rPr>
        <w:t>o</w:t>
      </w:r>
      <w:r>
        <w:rPr>
          <w:rFonts w:ascii="Verdana" w:hAnsi="Verdana"/>
          <w:spacing w:val="-11"/>
        </w:rPr>
        <w:t xml:space="preserve"> </w:t>
      </w:r>
      <w:r>
        <w:rPr>
          <w:rFonts w:ascii="Verdana" w:hAnsi="Verdana"/>
          <w:spacing w:val="-6"/>
        </w:rPr>
        <w:t>Relatório</w:t>
      </w:r>
      <w:r>
        <w:rPr>
          <w:rFonts w:ascii="Verdana" w:hAnsi="Verdana"/>
          <w:spacing w:val="-9"/>
        </w:rPr>
        <w:t xml:space="preserve"> </w:t>
      </w:r>
      <w:r>
        <w:rPr>
          <w:rFonts w:ascii="Verdana" w:hAnsi="Verdana"/>
          <w:spacing w:val="-6"/>
        </w:rPr>
        <w:t>da</w:t>
      </w:r>
      <w:r>
        <w:rPr>
          <w:rFonts w:ascii="Verdana" w:hAnsi="Verdana"/>
          <w:spacing w:val="-8"/>
        </w:rPr>
        <w:t xml:space="preserve"> </w:t>
      </w:r>
      <w:r>
        <w:rPr>
          <w:rFonts w:ascii="Verdana" w:hAnsi="Verdana"/>
          <w:spacing w:val="-6"/>
        </w:rPr>
        <w:t>Administração</w:t>
      </w:r>
      <w:r>
        <w:rPr>
          <w:rFonts w:ascii="Verdana" w:hAnsi="Verdana"/>
          <w:spacing w:val="-14"/>
        </w:rPr>
        <w:t xml:space="preserve"> </w:t>
      </w:r>
      <w:r>
        <w:rPr>
          <w:rFonts w:ascii="Verdana" w:hAnsi="Verdana"/>
          <w:spacing w:val="-6"/>
        </w:rPr>
        <w:t>e,</w:t>
      </w:r>
      <w:r>
        <w:rPr>
          <w:rFonts w:ascii="Verdana" w:hAnsi="Verdana"/>
          <w:spacing w:val="-11"/>
        </w:rPr>
        <w:t xml:space="preserve"> </w:t>
      </w:r>
      <w:r>
        <w:rPr>
          <w:rFonts w:ascii="Verdana" w:hAnsi="Verdana"/>
          <w:spacing w:val="-6"/>
        </w:rPr>
        <w:t>ao</w:t>
      </w:r>
      <w:r>
        <w:rPr>
          <w:rFonts w:ascii="Verdana" w:hAnsi="Verdana"/>
          <w:spacing w:val="-14"/>
        </w:rPr>
        <w:t xml:space="preserve"> </w:t>
      </w:r>
      <w:r>
        <w:rPr>
          <w:rFonts w:ascii="Verdana" w:hAnsi="Verdana"/>
          <w:spacing w:val="-6"/>
        </w:rPr>
        <w:t>fazê-lo,</w:t>
      </w:r>
      <w:r>
        <w:rPr>
          <w:rFonts w:ascii="Verdana" w:hAnsi="Verdana"/>
          <w:spacing w:val="-11"/>
        </w:rPr>
        <w:t xml:space="preserve"> </w:t>
      </w:r>
      <w:r>
        <w:rPr>
          <w:rFonts w:ascii="Verdana" w:hAnsi="Verdana"/>
          <w:spacing w:val="-6"/>
        </w:rPr>
        <w:t>considerar</w:t>
      </w:r>
      <w:r>
        <w:rPr>
          <w:rFonts w:ascii="Verdana" w:hAnsi="Verdana"/>
          <w:spacing w:val="-9"/>
        </w:rPr>
        <w:t xml:space="preserve"> </w:t>
      </w:r>
      <w:r>
        <w:rPr>
          <w:rFonts w:ascii="Verdana" w:hAnsi="Verdana"/>
          <w:spacing w:val="-6"/>
        </w:rPr>
        <w:t>se</w:t>
      </w:r>
      <w:r>
        <w:rPr>
          <w:rFonts w:ascii="Verdana" w:hAnsi="Verdana"/>
          <w:spacing w:val="-12"/>
        </w:rPr>
        <w:t xml:space="preserve"> </w:t>
      </w:r>
      <w:r>
        <w:rPr>
          <w:rFonts w:ascii="Verdana" w:hAnsi="Verdana"/>
          <w:spacing w:val="-6"/>
        </w:rPr>
        <w:t>este</w:t>
      </w:r>
      <w:r>
        <w:rPr>
          <w:rFonts w:ascii="Verdana" w:hAnsi="Verdana"/>
          <w:spacing w:val="-9"/>
        </w:rPr>
        <w:t xml:space="preserve"> </w:t>
      </w:r>
      <w:r>
        <w:rPr>
          <w:rFonts w:ascii="Verdana" w:hAnsi="Verdana"/>
          <w:spacing w:val="-6"/>
        </w:rPr>
        <w:t>está,</w:t>
      </w:r>
      <w:r>
        <w:rPr>
          <w:rFonts w:ascii="Verdana" w:hAnsi="Verdana"/>
          <w:spacing w:val="-9"/>
        </w:rPr>
        <w:t xml:space="preserve"> </w:t>
      </w:r>
      <w:r>
        <w:rPr>
          <w:rFonts w:ascii="Verdana" w:hAnsi="Verdana"/>
          <w:spacing w:val="-6"/>
        </w:rPr>
        <w:t>de</w:t>
      </w:r>
      <w:r>
        <w:rPr>
          <w:rFonts w:ascii="Verdana" w:hAnsi="Verdana"/>
          <w:spacing w:val="-9"/>
        </w:rPr>
        <w:t xml:space="preserve"> </w:t>
      </w:r>
      <w:r>
        <w:rPr>
          <w:rFonts w:ascii="Verdana" w:hAnsi="Verdana"/>
          <w:spacing w:val="-6"/>
        </w:rPr>
        <w:t xml:space="preserve">forma </w:t>
      </w:r>
      <w:r>
        <w:rPr>
          <w:rFonts w:ascii="Verdana" w:hAnsi="Verdana"/>
        </w:rPr>
        <w:t>relevante, inconsistente com as demonstrações contábeis ou com nosso conhecimento</w:t>
      </w:r>
      <w:r>
        <w:rPr>
          <w:rFonts w:ascii="Verdana" w:hAnsi="Verdana"/>
          <w:spacing w:val="-10"/>
        </w:rPr>
        <w:t xml:space="preserve"> </w:t>
      </w:r>
      <w:r>
        <w:rPr>
          <w:rFonts w:ascii="Verdana" w:hAnsi="Verdana"/>
        </w:rPr>
        <w:t>obtido</w:t>
      </w:r>
      <w:r>
        <w:rPr>
          <w:rFonts w:ascii="Verdana" w:hAnsi="Verdana"/>
          <w:spacing w:val="-11"/>
        </w:rPr>
        <w:t xml:space="preserve"> </w:t>
      </w:r>
      <w:r>
        <w:rPr>
          <w:rFonts w:ascii="Verdana" w:hAnsi="Verdana"/>
        </w:rPr>
        <w:t>na</w:t>
      </w:r>
      <w:r>
        <w:rPr>
          <w:rFonts w:ascii="Verdana" w:hAnsi="Verdana"/>
          <w:spacing w:val="-8"/>
        </w:rPr>
        <w:t xml:space="preserve"> </w:t>
      </w:r>
      <w:r>
        <w:rPr>
          <w:rFonts w:ascii="Verdana" w:hAnsi="Verdana"/>
        </w:rPr>
        <w:t>auditoria</w:t>
      </w:r>
      <w:r>
        <w:rPr>
          <w:rFonts w:ascii="Verdana" w:hAnsi="Verdana"/>
          <w:spacing w:val="-9"/>
        </w:rPr>
        <w:t xml:space="preserve"> </w:t>
      </w:r>
      <w:r>
        <w:rPr>
          <w:rFonts w:ascii="Verdana" w:hAnsi="Verdana"/>
        </w:rPr>
        <w:t>ou,</w:t>
      </w:r>
      <w:r>
        <w:rPr>
          <w:rFonts w:ascii="Verdana" w:hAnsi="Verdana"/>
          <w:spacing w:val="-8"/>
        </w:rPr>
        <w:t xml:space="preserve"> </w:t>
      </w:r>
      <w:r>
        <w:rPr>
          <w:rFonts w:ascii="Verdana" w:hAnsi="Verdana"/>
        </w:rPr>
        <w:t>de</w:t>
      </w:r>
      <w:r>
        <w:rPr>
          <w:rFonts w:ascii="Verdana" w:hAnsi="Verdana"/>
          <w:spacing w:val="-10"/>
        </w:rPr>
        <w:t xml:space="preserve"> </w:t>
      </w:r>
      <w:r>
        <w:rPr>
          <w:rFonts w:ascii="Verdana" w:hAnsi="Verdana"/>
        </w:rPr>
        <w:t>outra</w:t>
      </w:r>
      <w:r>
        <w:rPr>
          <w:rFonts w:ascii="Verdana" w:hAnsi="Verdana"/>
          <w:spacing w:val="-10"/>
        </w:rPr>
        <w:t xml:space="preserve"> </w:t>
      </w:r>
      <w:r>
        <w:rPr>
          <w:rFonts w:ascii="Verdana" w:hAnsi="Verdana"/>
        </w:rPr>
        <w:t>forma,</w:t>
      </w:r>
      <w:r>
        <w:rPr>
          <w:rFonts w:ascii="Verdana" w:hAnsi="Verdana"/>
          <w:spacing w:val="-8"/>
        </w:rPr>
        <w:t xml:space="preserve"> </w:t>
      </w:r>
      <w:r>
        <w:rPr>
          <w:rFonts w:ascii="Verdana" w:hAnsi="Verdana"/>
        </w:rPr>
        <w:t>aparenta</w:t>
      </w:r>
      <w:r>
        <w:rPr>
          <w:rFonts w:ascii="Verdana" w:hAnsi="Verdana"/>
          <w:spacing w:val="-10"/>
        </w:rPr>
        <w:t xml:space="preserve"> </w:t>
      </w:r>
      <w:r>
        <w:rPr>
          <w:rFonts w:ascii="Verdana" w:hAnsi="Verdana"/>
        </w:rPr>
        <w:t>estar</w:t>
      </w:r>
      <w:r>
        <w:rPr>
          <w:rFonts w:ascii="Verdana" w:hAnsi="Verdana"/>
          <w:spacing w:val="-8"/>
        </w:rPr>
        <w:t xml:space="preserve"> </w:t>
      </w:r>
      <w:r>
        <w:rPr>
          <w:rFonts w:ascii="Verdana" w:hAnsi="Verdana"/>
        </w:rPr>
        <w:t>distorcido</w:t>
      </w:r>
      <w:r>
        <w:rPr>
          <w:rFonts w:ascii="Verdana" w:hAnsi="Verdana"/>
          <w:spacing w:val="-10"/>
        </w:rPr>
        <w:t xml:space="preserve"> </w:t>
      </w:r>
      <w:r>
        <w:rPr>
          <w:rFonts w:ascii="Verdana" w:hAnsi="Verdana"/>
        </w:rPr>
        <w:t>de forma</w:t>
      </w:r>
      <w:r>
        <w:rPr>
          <w:rFonts w:ascii="Verdana" w:hAnsi="Verdana"/>
          <w:spacing w:val="-17"/>
        </w:rPr>
        <w:t xml:space="preserve"> </w:t>
      </w:r>
      <w:r>
        <w:rPr>
          <w:rFonts w:ascii="Verdana" w:hAnsi="Verdana"/>
        </w:rPr>
        <w:t>relevante.</w:t>
      </w:r>
      <w:r>
        <w:rPr>
          <w:rFonts w:ascii="Verdana" w:hAnsi="Verdana"/>
          <w:spacing w:val="-17"/>
        </w:rPr>
        <w:t xml:space="preserve"> </w:t>
      </w:r>
      <w:r>
        <w:rPr>
          <w:rFonts w:ascii="Verdana" w:hAnsi="Verdana"/>
        </w:rPr>
        <w:t>Se,</w:t>
      </w:r>
      <w:r>
        <w:rPr>
          <w:rFonts w:ascii="Verdana" w:hAnsi="Verdana"/>
          <w:spacing w:val="-16"/>
        </w:rPr>
        <w:t xml:space="preserve"> </w:t>
      </w:r>
      <w:r>
        <w:rPr>
          <w:rFonts w:ascii="Verdana" w:hAnsi="Verdana"/>
        </w:rPr>
        <w:t>com</w:t>
      </w:r>
      <w:r>
        <w:rPr>
          <w:rFonts w:ascii="Verdana" w:hAnsi="Verdana"/>
          <w:spacing w:val="-17"/>
        </w:rPr>
        <w:t xml:space="preserve"> </w:t>
      </w:r>
      <w:r>
        <w:rPr>
          <w:rFonts w:ascii="Verdana" w:hAnsi="Verdana"/>
        </w:rPr>
        <w:t>base</w:t>
      </w:r>
      <w:r>
        <w:rPr>
          <w:rFonts w:ascii="Verdana" w:hAnsi="Verdana"/>
          <w:spacing w:val="-17"/>
        </w:rPr>
        <w:t xml:space="preserve"> </w:t>
      </w:r>
      <w:r>
        <w:rPr>
          <w:rFonts w:ascii="Verdana" w:hAnsi="Verdana"/>
        </w:rPr>
        <w:t>no</w:t>
      </w:r>
      <w:r>
        <w:rPr>
          <w:rFonts w:ascii="Verdana" w:hAnsi="Verdana"/>
          <w:spacing w:val="-17"/>
        </w:rPr>
        <w:t xml:space="preserve"> </w:t>
      </w:r>
      <w:r>
        <w:rPr>
          <w:rFonts w:ascii="Verdana" w:hAnsi="Verdana"/>
        </w:rPr>
        <w:t>trabalho</w:t>
      </w:r>
      <w:r>
        <w:rPr>
          <w:rFonts w:ascii="Verdana" w:hAnsi="Verdana"/>
          <w:spacing w:val="-19"/>
        </w:rPr>
        <w:t xml:space="preserve"> </w:t>
      </w:r>
      <w:r>
        <w:rPr>
          <w:rFonts w:ascii="Verdana" w:hAnsi="Verdana"/>
        </w:rPr>
        <w:t>realizado,</w:t>
      </w:r>
      <w:r>
        <w:rPr>
          <w:rFonts w:ascii="Verdana" w:hAnsi="Verdana"/>
          <w:spacing w:val="-16"/>
        </w:rPr>
        <w:t xml:space="preserve"> </w:t>
      </w:r>
      <w:r>
        <w:rPr>
          <w:rFonts w:ascii="Verdana" w:hAnsi="Verdana"/>
        </w:rPr>
        <w:t>concluirmos</w:t>
      </w:r>
      <w:r>
        <w:rPr>
          <w:rFonts w:ascii="Verdana" w:hAnsi="Verdana"/>
          <w:spacing w:val="-17"/>
        </w:rPr>
        <w:t xml:space="preserve"> </w:t>
      </w:r>
      <w:r>
        <w:rPr>
          <w:rFonts w:ascii="Verdana" w:hAnsi="Verdana"/>
        </w:rPr>
        <w:t>que</w:t>
      </w:r>
      <w:r>
        <w:rPr>
          <w:rFonts w:ascii="Verdana" w:hAnsi="Verdana"/>
          <w:spacing w:val="-17"/>
        </w:rPr>
        <w:t xml:space="preserve"> </w:t>
      </w:r>
      <w:r>
        <w:rPr>
          <w:rFonts w:ascii="Verdana" w:hAnsi="Verdana"/>
        </w:rPr>
        <w:t>há</w:t>
      </w:r>
      <w:r>
        <w:rPr>
          <w:rFonts w:ascii="Verdana" w:hAnsi="Verdana"/>
          <w:spacing w:val="-17"/>
        </w:rPr>
        <w:t xml:space="preserve"> </w:t>
      </w:r>
      <w:r>
        <w:rPr>
          <w:rFonts w:ascii="Verdana" w:hAnsi="Verdana"/>
        </w:rPr>
        <w:t>distorção relevante</w:t>
      </w:r>
      <w:r>
        <w:rPr>
          <w:rFonts w:ascii="Verdana" w:hAnsi="Verdana"/>
          <w:spacing w:val="-11"/>
        </w:rPr>
        <w:t xml:space="preserve"> </w:t>
      </w:r>
      <w:r>
        <w:rPr>
          <w:rFonts w:ascii="Verdana" w:hAnsi="Verdana"/>
        </w:rPr>
        <w:t>no</w:t>
      </w:r>
      <w:r>
        <w:rPr>
          <w:rFonts w:ascii="Verdana" w:hAnsi="Verdana"/>
          <w:spacing w:val="-10"/>
        </w:rPr>
        <w:t xml:space="preserve"> </w:t>
      </w:r>
      <w:r>
        <w:rPr>
          <w:rFonts w:ascii="Verdana" w:hAnsi="Verdana"/>
        </w:rPr>
        <w:t>Relatório</w:t>
      </w:r>
      <w:r>
        <w:rPr>
          <w:rFonts w:ascii="Verdana" w:hAnsi="Verdana"/>
          <w:spacing w:val="-11"/>
        </w:rPr>
        <w:t xml:space="preserve"> </w:t>
      </w:r>
      <w:r>
        <w:rPr>
          <w:rFonts w:ascii="Verdana" w:hAnsi="Verdana"/>
        </w:rPr>
        <w:t>da</w:t>
      </w:r>
      <w:r>
        <w:rPr>
          <w:rFonts w:ascii="Verdana" w:hAnsi="Verdana"/>
          <w:spacing w:val="-11"/>
        </w:rPr>
        <w:t xml:space="preserve"> </w:t>
      </w:r>
      <w:r>
        <w:rPr>
          <w:rFonts w:ascii="Verdana" w:hAnsi="Verdana"/>
        </w:rPr>
        <w:t>Administração,</w:t>
      </w:r>
      <w:r>
        <w:rPr>
          <w:rFonts w:ascii="Verdana" w:hAnsi="Verdana"/>
          <w:spacing w:val="-10"/>
        </w:rPr>
        <w:t xml:space="preserve"> </w:t>
      </w:r>
      <w:r>
        <w:rPr>
          <w:rFonts w:ascii="Verdana" w:hAnsi="Verdana"/>
        </w:rPr>
        <w:t>somos</w:t>
      </w:r>
      <w:r>
        <w:rPr>
          <w:rFonts w:ascii="Verdana" w:hAnsi="Verdana"/>
          <w:spacing w:val="-10"/>
        </w:rPr>
        <w:t xml:space="preserve"> </w:t>
      </w:r>
      <w:r>
        <w:rPr>
          <w:rFonts w:ascii="Verdana" w:hAnsi="Verdana"/>
        </w:rPr>
        <w:t>requeridos</w:t>
      </w:r>
      <w:r>
        <w:rPr>
          <w:rFonts w:ascii="Verdana" w:hAnsi="Verdana"/>
          <w:spacing w:val="-7"/>
        </w:rPr>
        <w:t xml:space="preserve"> </w:t>
      </w:r>
      <w:r>
        <w:rPr>
          <w:rFonts w:ascii="Verdana" w:hAnsi="Verdana"/>
        </w:rPr>
        <w:t>a</w:t>
      </w:r>
      <w:r>
        <w:rPr>
          <w:rFonts w:ascii="Verdana" w:hAnsi="Verdana"/>
          <w:spacing w:val="-14"/>
        </w:rPr>
        <w:t xml:space="preserve"> </w:t>
      </w:r>
      <w:r>
        <w:rPr>
          <w:rFonts w:ascii="Verdana" w:hAnsi="Verdana"/>
        </w:rPr>
        <w:t>comunicar</w:t>
      </w:r>
      <w:r>
        <w:rPr>
          <w:rFonts w:ascii="Verdana" w:hAnsi="Verdana"/>
          <w:spacing w:val="-10"/>
        </w:rPr>
        <w:t xml:space="preserve"> </w:t>
      </w:r>
      <w:r>
        <w:rPr>
          <w:rFonts w:ascii="Verdana" w:hAnsi="Verdana"/>
        </w:rPr>
        <w:t>esse</w:t>
      </w:r>
      <w:r>
        <w:rPr>
          <w:rFonts w:ascii="Verdana" w:hAnsi="Verdana"/>
          <w:spacing w:val="-10"/>
        </w:rPr>
        <w:t xml:space="preserve"> </w:t>
      </w:r>
      <w:r>
        <w:rPr>
          <w:rFonts w:ascii="Verdana" w:hAnsi="Verdana"/>
        </w:rPr>
        <w:t>fato. Não temos</w:t>
      </w:r>
      <w:r>
        <w:rPr>
          <w:rFonts w:ascii="Verdana" w:hAnsi="Verdana"/>
          <w:spacing w:val="-2"/>
        </w:rPr>
        <w:t xml:space="preserve"> </w:t>
      </w:r>
      <w:r>
        <w:rPr>
          <w:rFonts w:ascii="Verdana" w:hAnsi="Verdana"/>
        </w:rPr>
        <w:t>nada a relatar</w:t>
      </w:r>
      <w:r>
        <w:rPr>
          <w:rFonts w:ascii="Verdana" w:hAnsi="Verdana"/>
          <w:spacing w:val="-2"/>
        </w:rPr>
        <w:t xml:space="preserve"> </w:t>
      </w:r>
      <w:r>
        <w:rPr>
          <w:rFonts w:ascii="Verdana" w:hAnsi="Verdana"/>
        </w:rPr>
        <w:t>a este respeito.</w:t>
      </w:r>
    </w:p>
    <w:p w14:paraId="24999C14" w14:textId="77777777" w:rsidR="002C6574" w:rsidRDefault="002C6574">
      <w:pPr>
        <w:pStyle w:val="Corpodetexto"/>
        <w:rPr>
          <w:rFonts w:ascii="Verdana"/>
        </w:rPr>
      </w:pPr>
    </w:p>
    <w:p w14:paraId="34056C14" w14:textId="77777777" w:rsidR="002C6574" w:rsidRDefault="00000000">
      <w:pPr>
        <w:spacing w:before="1" w:line="242" w:lineRule="auto"/>
        <w:ind w:left="709" w:right="279"/>
        <w:rPr>
          <w:rFonts w:ascii="Tahoma" w:hAnsi="Tahoma"/>
          <w:b/>
        </w:rPr>
      </w:pPr>
      <w:r>
        <w:rPr>
          <w:rFonts w:ascii="Tahoma" w:hAnsi="Tahoma"/>
          <w:b/>
        </w:rPr>
        <w:t>Responsabilidades</w:t>
      </w:r>
      <w:r>
        <w:rPr>
          <w:rFonts w:ascii="Tahoma" w:hAnsi="Tahoma"/>
          <w:b/>
          <w:spacing w:val="80"/>
        </w:rPr>
        <w:t xml:space="preserve"> </w:t>
      </w:r>
      <w:r>
        <w:rPr>
          <w:rFonts w:ascii="Tahoma" w:hAnsi="Tahoma"/>
          <w:b/>
        </w:rPr>
        <w:t>da</w:t>
      </w:r>
      <w:r>
        <w:rPr>
          <w:rFonts w:ascii="Tahoma" w:hAnsi="Tahoma"/>
          <w:b/>
          <w:spacing w:val="80"/>
        </w:rPr>
        <w:t xml:space="preserve"> </w:t>
      </w:r>
      <w:r>
        <w:rPr>
          <w:rFonts w:ascii="Tahoma" w:hAnsi="Tahoma"/>
          <w:b/>
        </w:rPr>
        <w:t>Administração</w:t>
      </w:r>
      <w:r>
        <w:rPr>
          <w:rFonts w:ascii="Tahoma" w:hAnsi="Tahoma"/>
          <w:b/>
          <w:spacing w:val="80"/>
        </w:rPr>
        <w:t xml:space="preserve"> </w:t>
      </w:r>
      <w:r>
        <w:rPr>
          <w:rFonts w:ascii="Tahoma" w:hAnsi="Tahoma"/>
          <w:b/>
        </w:rPr>
        <w:t>e</w:t>
      </w:r>
      <w:r>
        <w:rPr>
          <w:rFonts w:ascii="Tahoma" w:hAnsi="Tahoma"/>
          <w:b/>
          <w:spacing w:val="80"/>
        </w:rPr>
        <w:t xml:space="preserve"> </w:t>
      </w:r>
      <w:r>
        <w:rPr>
          <w:rFonts w:ascii="Tahoma" w:hAnsi="Tahoma"/>
          <w:b/>
        </w:rPr>
        <w:t>da</w:t>
      </w:r>
      <w:r>
        <w:rPr>
          <w:rFonts w:ascii="Tahoma" w:hAnsi="Tahoma"/>
          <w:b/>
          <w:spacing w:val="80"/>
        </w:rPr>
        <w:t xml:space="preserve"> </w:t>
      </w:r>
      <w:r>
        <w:rPr>
          <w:rFonts w:ascii="Tahoma" w:hAnsi="Tahoma"/>
          <w:b/>
        </w:rPr>
        <w:t>Governança</w:t>
      </w:r>
      <w:r>
        <w:rPr>
          <w:rFonts w:ascii="Tahoma" w:hAnsi="Tahoma"/>
          <w:b/>
          <w:spacing w:val="80"/>
        </w:rPr>
        <w:t xml:space="preserve"> </w:t>
      </w:r>
      <w:r>
        <w:rPr>
          <w:rFonts w:ascii="Tahoma" w:hAnsi="Tahoma"/>
          <w:b/>
        </w:rPr>
        <w:t>pelas</w:t>
      </w:r>
      <w:r>
        <w:rPr>
          <w:rFonts w:ascii="Tahoma" w:hAnsi="Tahoma"/>
          <w:b/>
          <w:spacing w:val="80"/>
        </w:rPr>
        <w:t xml:space="preserve"> </w:t>
      </w:r>
      <w:r>
        <w:rPr>
          <w:rFonts w:ascii="Tahoma" w:hAnsi="Tahoma"/>
          <w:b/>
        </w:rPr>
        <w:t xml:space="preserve">Demonstrações </w:t>
      </w:r>
      <w:r>
        <w:rPr>
          <w:rFonts w:ascii="Tahoma" w:hAnsi="Tahoma"/>
          <w:b/>
          <w:spacing w:val="-2"/>
        </w:rPr>
        <w:t>Contábeis</w:t>
      </w:r>
    </w:p>
    <w:p w14:paraId="4F1019AD" w14:textId="77777777" w:rsidR="002C6574" w:rsidRDefault="002C6574">
      <w:pPr>
        <w:pStyle w:val="Corpodetexto"/>
        <w:spacing w:before="5"/>
        <w:rPr>
          <w:rFonts w:ascii="Tahoma"/>
          <w:b/>
        </w:rPr>
      </w:pPr>
    </w:p>
    <w:p w14:paraId="37B5D698" w14:textId="77777777" w:rsidR="002C6574" w:rsidRDefault="00000000">
      <w:pPr>
        <w:pStyle w:val="Corpodetexto"/>
        <w:spacing w:line="242" w:lineRule="auto"/>
        <w:ind w:left="709" w:right="276"/>
        <w:jc w:val="both"/>
        <w:rPr>
          <w:rFonts w:ascii="Verdana" w:hAnsi="Verdana"/>
        </w:rPr>
      </w:pPr>
      <w:r>
        <w:rPr>
          <w:rFonts w:ascii="Verdana" w:hAnsi="Verdana"/>
        </w:rPr>
        <w:t>A administração é responsável pela elaboração e adequada apresentação das demonstrações contábeis</w:t>
      </w:r>
      <w:r>
        <w:rPr>
          <w:rFonts w:ascii="Verdana" w:hAnsi="Verdana"/>
          <w:spacing w:val="-1"/>
        </w:rPr>
        <w:t xml:space="preserve"> </w:t>
      </w:r>
      <w:r>
        <w:rPr>
          <w:rFonts w:ascii="Verdana" w:hAnsi="Verdana"/>
        </w:rPr>
        <w:t>de acordo com</w:t>
      </w:r>
      <w:r>
        <w:rPr>
          <w:rFonts w:ascii="Verdana" w:hAnsi="Verdana"/>
          <w:spacing w:val="-1"/>
        </w:rPr>
        <w:t xml:space="preserve"> </w:t>
      </w:r>
      <w:r>
        <w:rPr>
          <w:rFonts w:ascii="Verdana" w:hAnsi="Verdana"/>
        </w:rPr>
        <w:t>as práticas contábeis adotadas no Brasil e pelos controles internos que ela determinou como necessários para permitir a elaboração de demonstrações contábeis livres de distorção relevante, independentemente se causada por fraude ou erro.</w:t>
      </w:r>
    </w:p>
    <w:p w14:paraId="55F64967" w14:textId="77777777" w:rsidR="002C6574" w:rsidRDefault="002C6574">
      <w:pPr>
        <w:pStyle w:val="Corpodetexto"/>
        <w:rPr>
          <w:rFonts w:ascii="Verdana"/>
        </w:rPr>
      </w:pPr>
    </w:p>
    <w:p w14:paraId="646AD97F" w14:textId="77777777" w:rsidR="002C6574" w:rsidRDefault="00000000">
      <w:pPr>
        <w:pStyle w:val="Corpodetexto"/>
        <w:spacing w:line="242" w:lineRule="auto"/>
        <w:ind w:left="709" w:right="276"/>
        <w:jc w:val="both"/>
        <w:rPr>
          <w:rFonts w:ascii="Verdana" w:hAnsi="Verdana"/>
        </w:rPr>
      </w:pPr>
      <w:r>
        <w:rPr>
          <w:rFonts w:ascii="Verdana" w:hAnsi="Verdana"/>
        </w:rPr>
        <w:t>Na elaboração das demonstrações contábeis, a administração é responsável pela avaliação da capacidade de a Companhia continuar operando, divulgando, quando</w:t>
      </w:r>
      <w:r>
        <w:rPr>
          <w:rFonts w:ascii="Verdana" w:hAnsi="Verdana"/>
          <w:spacing w:val="-1"/>
        </w:rPr>
        <w:t xml:space="preserve"> </w:t>
      </w:r>
      <w:r>
        <w:rPr>
          <w:rFonts w:ascii="Verdana" w:hAnsi="Verdana"/>
        </w:rPr>
        <w:t>aplicável, os assuntos relacionados</w:t>
      </w:r>
      <w:r>
        <w:rPr>
          <w:rFonts w:ascii="Verdana" w:hAnsi="Verdana"/>
          <w:spacing w:val="-2"/>
        </w:rPr>
        <w:t xml:space="preserve"> </w:t>
      </w:r>
      <w:r>
        <w:rPr>
          <w:rFonts w:ascii="Verdana" w:hAnsi="Verdana"/>
        </w:rPr>
        <w:t>com</w:t>
      </w:r>
      <w:r>
        <w:rPr>
          <w:rFonts w:ascii="Verdana" w:hAnsi="Verdana"/>
          <w:spacing w:val="-2"/>
        </w:rPr>
        <w:t xml:space="preserve"> </w:t>
      </w:r>
      <w:r>
        <w:rPr>
          <w:rFonts w:ascii="Verdana" w:hAnsi="Verdana"/>
        </w:rPr>
        <w:t>a sua continuidade operacional e o</w:t>
      </w:r>
      <w:r>
        <w:rPr>
          <w:rFonts w:ascii="Verdana" w:hAnsi="Verdana"/>
          <w:spacing w:val="7"/>
        </w:rPr>
        <w:t xml:space="preserve"> </w:t>
      </w:r>
      <w:r>
        <w:rPr>
          <w:rFonts w:ascii="Verdana" w:hAnsi="Verdana"/>
        </w:rPr>
        <w:t>uso</w:t>
      </w:r>
      <w:r>
        <w:rPr>
          <w:rFonts w:ascii="Verdana" w:hAnsi="Verdana"/>
          <w:spacing w:val="3"/>
        </w:rPr>
        <w:t xml:space="preserve"> </w:t>
      </w:r>
      <w:r>
        <w:rPr>
          <w:rFonts w:ascii="Verdana" w:hAnsi="Verdana"/>
        </w:rPr>
        <w:t>dessa</w:t>
      </w:r>
      <w:r>
        <w:rPr>
          <w:rFonts w:ascii="Verdana" w:hAnsi="Verdana"/>
          <w:spacing w:val="5"/>
        </w:rPr>
        <w:t xml:space="preserve"> </w:t>
      </w:r>
      <w:r>
        <w:rPr>
          <w:rFonts w:ascii="Verdana" w:hAnsi="Verdana"/>
        </w:rPr>
        <w:t>base</w:t>
      </w:r>
      <w:r>
        <w:rPr>
          <w:rFonts w:ascii="Verdana" w:hAnsi="Verdana"/>
          <w:spacing w:val="5"/>
        </w:rPr>
        <w:t xml:space="preserve"> </w:t>
      </w:r>
      <w:r>
        <w:rPr>
          <w:rFonts w:ascii="Verdana" w:hAnsi="Verdana"/>
        </w:rPr>
        <w:t>contábil</w:t>
      </w:r>
      <w:r>
        <w:rPr>
          <w:rFonts w:ascii="Verdana" w:hAnsi="Verdana"/>
          <w:spacing w:val="5"/>
        </w:rPr>
        <w:t xml:space="preserve"> </w:t>
      </w:r>
      <w:r>
        <w:rPr>
          <w:rFonts w:ascii="Verdana" w:hAnsi="Verdana"/>
        </w:rPr>
        <w:t>na</w:t>
      </w:r>
      <w:r>
        <w:rPr>
          <w:rFonts w:ascii="Verdana" w:hAnsi="Verdana"/>
          <w:spacing w:val="5"/>
        </w:rPr>
        <w:t xml:space="preserve"> </w:t>
      </w:r>
      <w:r>
        <w:rPr>
          <w:rFonts w:ascii="Verdana" w:hAnsi="Verdana"/>
        </w:rPr>
        <w:t>elaboração</w:t>
      </w:r>
      <w:r>
        <w:rPr>
          <w:rFonts w:ascii="Verdana" w:hAnsi="Verdana"/>
          <w:spacing w:val="2"/>
        </w:rPr>
        <w:t xml:space="preserve"> </w:t>
      </w:r>
      <w:r>
        <w:rPr>
          <w:rFonts w:ascii="Verdana" w:hAnsi="Verdana"/>
        </w:rPr>
        <w:t>das</w:t>
      </w:r>
      <w:r>
        <w:rPr>
          <w:rFonts w:ascii="Verdana" w:hAnsi="Verdana"/>
          <w:spacing w:val="8"/>
        </w:rPr>
        <w:t xml:space="preserve"> </w:t>
      </w:r>
      <w:r>
        <w:rPr>
          <w:rFonts w:ascii="Verdana" w:hAnsi="Verdana"/>
        </w:rPr>
        <w:t>demonstrações</w:t>
      </w:r>
      <w:r>
        <w:rPr>
          <w:rFonts w:ascii="Verdana" w:hAnsi="Verdana"/>
          <w:spacing w:val="5"/>
        </w:rPr>
        <w:t xml:space="preserve"> </w:t>
      </w:r>
      <w:r>
        <w:rPr>
          <w:rFonts w:ascii="Verdana" w:hAnsi="Verdana"/>
        </w:rPr>
        <w:t>contábeis,</w:t>
      </w:r>
      <w:r>
        <w:rPr>
          <w:rFonts w:ascii="Verdana" w:hAnsi="Verdana"/>
          <w:spacing w:val="6"/>
        </w:rPr>
        <w:t xml:space="preserve"> </w:t>
      </w:r>
      <w:r>
        <w:rPr>
          <w:rFonts w:ascii="Verdana" w:hAnsi="Verdana"/>
        </w:rPr>
        <w:t>a</w:t>
      </w:r>
      <w:r>
        <w:rPr>
          <w:rFonts w:ascii="Verdana" w:hAnsi="Verdana"/>
          <w:spacing w:val="9"/>
        </w:rPr>
        <w:t xml:space="preserve"> </w:t>
      </w:r>
      <w:r>
        <w:rPr>
          <w:rFonts w:ascii="Verdana" w:hAnsi="Verdana"/>
        </w:rPr>
        <w:t>não</w:t>
      </w:r>
      <w:r>
        <w:rPr>
          <w:rFonts w:ascii="Verdana" w:hAnsi="Verdana"/>
          <w:spacing w:val="5"/>
        </w:rPr>
        <w:t xml:space="preserve"> </w:t>
      </w:r>
      <w:r>
        <w:rPr>
          <w:rFonts w:ascii="Verdana" w:hAnsi="Verdana"/>
          <w:spacing w:val="-5"/>
        </w:rPr>
        <w:t>ser</w:t>
      </w:r>
    </w:p>
    <w:p w14:paraId="7226B83F" w14:textId="77777777" w:rsidR="002C6574" w:rsidRDefault="002C6574">
      <w:pPr>
        <w:pStyle w:val="Corpodetexto"/>
        <w:spacing w:line="242" w:lineRule="auto"/>
        <w:jc w:val="both"/>
        <w:rPr>
          <w:rFonts w:ascii="Verdana" w:hAnsi="Verdana"/>
        </w:rPr>
        <w:sectPr w:rsidR="002C6574">
          <w:pgSz w:w="11910" w:h="16840"/>
          <w:pgMar w:top="1860" w:right="850" w:bottom="1440" w:left="992" w:header="826" w:footer="1241" w:gutter="0"/>
          <w:cols w:space="720"/>
        </w:sectPr>
      </w:pPr>
    </w:p>
    <w:p w14:paraId="5277444B" w14:textId="77777777" w:rsidR="002C6574" w:rsidRDefault="00000000">
      <w:pPr>
        <w:pStyle w:val="Corpodetexto"/>
        <w:spacing w:before="257" w:line="242" w:lineRule="auto"/>
        <w:ind w:left="709" w:right="274"/>
        <w:jc w:val="both"/>
        <w:rPr>
          <w:rFonts w:ascii="Verdana" w:hAnsi="Verdana"/>
        </w:rPr>
      </w:pPr>
      <w:r>
        <w:rPr>
          <w:rFonts w:ascii="Verdana" w:hAnsi="Verdana"/>
        </w:rPr>
        <w:lastRenderedPageBreak/>
        <w:t>que</w:t>
      </w:r>
      <w:r>
        <w:rPr>
          <w:rFonts w:ascii="Verdana" w:hAnsi="Verdana"/>
          <w:spacing w:val="-8"/>
        </w:rPr>
        <w:t xml:space="preserve"> </w:t>
      </w:r>
      <w:r>
        <w:rPr>
          <w:rFonts w:ascii="Verdana" w:hAnsi="Verdana"/>
        </w:rPr>
        <w:t>a</w:t>
      </w:r>
      <w:r>
        <w:rPr>
          <w:rFonts w:ascii="Verdana" w:hAnsi="Verdana"/>
          <w:spacing w:val="-11"/>
        </w:rPr>
        <w:t xml:space="preserve"> </w:t>
      </w:r>
      <w:r>
        <w:rPr>
          <w:rFonts w:ascii="Verdana" w:hAnsi="Verdana"/>
        </w:rPr>
        <w:t>administração</w:t>
      </w:r>
      <w:r>
        <w:rPr>
          <w:rFonts w:ascii="Verdana" w:hAnsi="Verdana"/>
          <w:spacing w:val="-11"/>
        </w:rPr>
        <w:t xml:space="preserve"> </w:t>
      </w:r>
      <w:r>
        <w:rPr>
          <w:rFonts w:ascii="Verdana" w:hAnsi="Verdana"/>
        </w:rPr>
        <w:t>pretenda</w:t>
      </w:r>
      <w:r>
        <w:rPr>
          <w:rFonts w:ascii="Verdana" w:hAnsi="Verdana"/>
          <w:spacing w:val="-8"/>
        </w:rPr>
        <w:t xml:space="preserve"> </w:t>
      </w:r>
      <w:r>
        <w:rPr>
          <w:rFonts w:ascii="Verdana" w:hAnsi="Verdana"/>
        </w:rPr>
        <w:t>liquidar</w:t>
      </w:r>
      <w:r>
        <w:rPr>
          <w:rFonts w:ascii="Verdana" w:hAnsi="Verdana"/>
          <w:spacing w:val="-8"/>
        </w:rPr>
        <w:t xml:space="preserve"> </w:t>
      </w:r>
      <w:r>
        <w:rPr>
          <w:rFonts w:ascii="Verdana" w:hAnsi="Verdana"/>
        </w:rPr>
        <w:t>a</w:t>
      </w:r>
      <w:r>
        <w:rPr>
          <w:rFonts w:ascii="Verdana" w:hAnsi="Verdana"/>
          <w:spacing w:val="-11"/>
        </w:rPr>
        <w:t xml:space="preserve"> </w:t>
      </w:r>
      <w:r>
        <w:rPr>
          <w:rFonts w:ascii="Verdana" w:hAnsi="Verdana"/>
        </w:rPr>
        <w:t>Companhia,</w:t>
      </w:r>
      <w:r>
        <w:rPr>
          <w:rFonts w:ascii="Verdana" w:hAnsi="Verdana"/>
          <w:spacing w:val="-10"/>
        </w:rPr>
        <w:t xml:space="preserve"> </w:t>
      </w:r>
      <w:r>
        <w:rPr>
          <w:rFonts w:ascii="Verdana" w:hAnsi="Verdana"/>
        </w:rPr>
        <w:t>ou</w:t>
      </w:r>
      <w:r>
        <w:rPr>
          <w:rFonts w:ascii="Verdana" w:hAnsi="Verdana"/>
          <w:spacing w:val="-10"/>
        </w:rPr>
        <w:t xml:space="preserve"> </w:t>
      </w:r>
      <w:r>
        <w:rPr>
          <w:rFonts w:ascii="Verdana" w:hAnsi="Verdana"/>
        </w:rPr>
        <w:t>cessar</w:t>
      </w:r>
      <w:r>
        <w:rPr>
          <w:rFonts w:ascii="Verdana" w:hAnsi="Verdana"/>
          <w:spacing w:val="-13"/>
        </w:rPr>
        <w:t xml:space="preserve"> </w:t>
      </w:r>
      <w:r>
        <w:rPr>
          <w:rFonts w:ascii="Verdana" w:hAnsi="Verdana"/>
        </w:rPr>
        <w:t>suas</w:t>
      </w:r>
      <w:r>
        <w:rPr>
          <w:rFonts w:ascii="Verdana" w:hAnsi="Verdana"/>
          <w:spacing w:val="-10"/>
        </w:rPr>
        <w:t xml:space="preserve"> </w:t>
      </w:r>
      <w:r>
        <w:rPr>
          <w:rFonts w:ascii="Verdana" w:hAnsi="Verdana"/>
        </w:rPr>
        <w:t>operações,</w:t>
      </w:r>
      <w:r>
        <w:rPr>
          <w:rFonts w:ascii="Verdana" w:hAnsi="Verdana"/>
          <w:spacing w:val="-10"/>
        </w:rPr>
        <w:t xml:space="preserve"> </w:t>
      </w:r>
      <w:r>
        <w:rPr>
          <w:rFonts w:ascii="Verdana" w:hAnsi="Verdana"/>
        </w:rPr>
        <w:t>ou não</w:t>
      </w:r>
      <w:r>
        <w:rPr>
          <w:rFonts w:ascii="Verdana" w:hAnsi="Verdana"/>
          <w:spacing w:val="-20"/>
        </w:rPr>
        <w:t xml:space="preserve"> </w:t>
      </w:r>
      <w:r>
        <w:rPr>
          <w:rFonts w:ascii="Verdana" w:hAnsi="Verdana"/>
        </w:rPr>
        <w:t>tenha</w:t>
      </w:r>
      <w:r>
        <w:rPr>
          <w:rFonts w:ascii="Verdana" w:hAnsi="Verdana"/>
          <w:spacing w:val="-18"/>
        </w:rPr>
        <w:t xml:space="preserve"> </w:t>
      </w:r>
      <w:r>
        <w:rPr>
          <w:rFonts w:ascii="Verdana" w:hAnsi="Verdana"/>
        </w:rPr>
        <w:t>nenhuma</w:t>
      </w:r>
      <w:r>
        <w:rPr>
          <w:rFonts w:ascii="Verdana" w:hAnsi="Verdana"/>
          <w:spacing w:val="-18"/>
        </w:rPr>
        <w:t xml:space="preserve"> </w:t>
      </w:r>
      <w:r>
        <w:rPr>
          <w:rFonts w:ascii="Verdana" w:hAnsi="Verdana"/>
        </w:rPr>
        <w:t>alternativa</w:t>
      </w:r>
      <w:r>
        <w:rPr>
          <w:rFonts w:ascii="Verdana" w:hAnsi="Verdana"/>
          <w:spacing w:val="-20"/>
        </w:rPr>
        <w:t xml:space="preserve"> </w:t>
      </w:r>
      <w:r>
        <w:rPr>
          <w:rFonts w:ascii="Verdana" w:hAnsi="Verdana"/>
        </w:rPr>
        <w:t>realista</w:t>
      </w:r>
      <w:r>
        <w:rPr>
          <w:rFonts w:ascii="Verdana" w:hAnsi="Verdana"/>
          <w:spacing w:val="-17"/>
        </w:rPr>
        <w:t xml:space="preserve"> </w:t>
      </w:r>
      <w:r>
        <w:rPr>
          <w:rFonts w:ascii="Verdana" w:hAnsi="Verdana"/>
        </w:rPr>
        <w:t>para</w:t>
      </w:r>
      <w:r>
        <w:rPr>
          <w:rFonts w:ascii="Verdana" w:hAnsi="Verdana"/>
          <w:spacing w:val="-20"/>
        </w:rPr>
        <w:t xml:space="preserve"> </w:t>
      </w:r>
      <w:r>
        <w:rPr>
          <w:rFonts w:ascii="Verdana" w:hAnsi="Verdana"/>
        </w:rPr>
        <w:t>evitar</w:t>
      </w:r>
      <w:r>
        <w:rPr>
          <w:rFonts w:ascii="Verdana" w:hAnsi="Verdana"/>
          <w:spacing w:val="-17"/>
        </w:rPr>
        <w:t xml:space="preserve"> </w:t>
      </w:r>
      <w:r>
        <w:rPr>
          <w:rFonts w:ascii="Verdana" w:hAnsi="Verdana"/>
        </w:rPr>
        <w:t>o</w:t>
      </w:r>
      <w:r>
        <w:rPr>
          <w:rFonts w:ascii="Verdana" w:hAnsi="Verdana"/>
          <w:spacing w:val="-18"/>
        </w:rPr>
        <w:t xml:space="preserve"> </w:t>
      </w:r>
      <w:r>
        <w:rPr>
          <w:rFonts w:ascii="Verdana" w:hAnsi="Verdana"/>
        </w:rPr>
        <w:t>encerramento</w:t>
      </w:r>
      <w:r>
        <w:rPr>
          <w:rFonts w:ascii="Verdana" w:hAnsi="Verdana"/>
          <w:spacing w:val="-18"/>
        </w:rPr>
        <w:t xml:space="preserve"> </w:t>
      </w:r>
      <w:r>
        <w:rPr>
          <w:rFonts w:ascii="Verdana" w:hAnsi="Verdana"/>
        </w:rPr>
        <w:t>das</w:t>
      </w:r>
      <w:r>
        <w:rPr>
          <w:rFonts w:ascii="Verdana" w:hAnsi="Verdana"/>
          <w:spacing w:val="-18"/>
        </w:rPr>
        <w:t xml:space="preserve"> </w:t>
      </w:r>
      <w:r>
        <w:rPr>
          <w:rFonts w:ascii="Verdana" w:hAnsi="Verdana"/>
        </w:rPr>
        <w:t xml:space="preserve">operações. Os responsáveis pela administração da Companhia são aqueles com responsabilidade pela supervisão do processo de elaboração das demonstrações </w:t>
      </w:r>
      <w:r>
        <w:rPr>
          <w:rFonts w:ascii="Verdana" w:hAnsi="Verdana"/>
          <w:spacing w:val="-2"/>
        </w:rPr>
        <w:t>contábeis.</w:t>
      </w:r>
    </w:p>
    <w:p w14:paraId="4483D161" w14:textId="77777777" w:rsidR="002C6574" w:rsidRDefault="002C6574">
      <w:pPr>
        <w:pStyle w:val="Corpodetexto"/>
        <w:spacing w:before="3"/>
        <w:rPr>
          <w:rFonts w:ascii="Verdana"/>
        </w:rPr>
      </w:pPr>
    </w:p>
    <w:p w14:paraId="100451CE" w14:textId="77777777" w:rsidR="002C6574" w:rsidRDefault="00000000">
      <w:pPr>
        <w:ind w:left="709"/>
        <w:jc w:val="both"/>
        <w:rPr>
          <w:rFonts w:ascii="Tahoma" w:hAnsi="Tahoma"/>
          <w:b/>
        </w:rPr>
      </w:pPr>
      <w:r>
        <w:rPr>
          <w:rFonts w:ascii="Tahoma" w:hAnsi="Tahoma"/>
          <w:b/>
          <w:spacing w:val="-4"/>
        </w:rPr>
        <w:t>Responsabilidades</w:t>
      </w:r>
      <w:r>
        <w:rPr>
          <w:rFonts w:ascii="Tahoma" w:hAnsi="Tahoma"/>
          <w:b/>
          <w:spacing w:val="1"/>
        </w:rPr>
        <w:t xml:space="preserve"> </w:t>
      </w:r>
      <w:r>
        <w:rPr>
          <w:rFonts w:ascii="Tahoma" w:hAnsi="Tahoma"/>
          <w:b/>
          <w:spacing w:val="-4"/>
        </w:rPr>
        <w:t>do</w:t>
      </w:r>
      <w:r>
        <w:rPr>
          <w:rFonts w:ascii="Tahoma" w:hAnsi="Tahoma"/>
          <w:b/>
          <w:spacing w:val="-1"/>
        </w:rPr>
        <w:t xml:space="preserve"> </w:t>
      </w:r>
      <w:r>
        <w:rPr>
          <w:rFonts w:ascii="Tahoma" w:hAnsi="Tahoma"/>
          <w:b/>
          <w:spacing w:val="-4"/>
        </w:rPr>
        <w:t>Auditor</w:t>
      </w:r>
      <w:r>
        <w:rPr>
          <w:rFonts w:ascii="Tahoma" w:hAnsi="Tahoma"/>
          <w:b/>
          <w:spacing w:val="-1"/>
        </w:rPr>
        <w:t xml:space="preserve"> </w:t>
      </w:r>
      <w:r>
        <w:rPr>
          <w:rFonts w:ascii="Tahoma" w:hAnsi="Tahoma"/>
          <w:b/>
          <w:spacing w:val="-4"/>
        </w:rPr>
        <w:t>pela</w:t>
      </w:r>
      <w:r>
        <w:rPr>
          <w:rFonts w:ascii="Tahoma" w:hAnsi="Tahoma"/>
          <w:b/>
          <w:spacing w:val="2"/>
        </w:rPr>
        <w:t xml:space="preserve"> </w:t>
      </w:r>
      <w:r>
        <w:rPr>
          <w:rFonts w:ascii="Tahoma" w:hAnsi="Tahoma"/>
          <w:b/>
          <w:spacing w:val="-4"/>
        </w:rPr>
        <w:t>Auditoria</w:t>
      </w:r>
      <w:r>
        <w:rPr>
          <w:rFonts w:ascii="Tahoma" w:hAnsi="Tahoma"/>
          <w:b/>
          <w:spacing w:val="1"/>
        </w:rPr>
        <w:t xml:space="preserve"> </w:t>
      </w:r>
      <w:r>
        <w:rPr>
          <w:rFonts w:ascii="Tahoma" w:hAnsi="Tahoma"/>
          <w:b/>
          <w:spacing w:val="-4"/>
        </w:rPr>
        <w:t>das</w:t>
      </w:r>
      <w:r>
        <w:rPr>
          <w:rFonts w:ascii="Tahoma" w:hAnsi="Tahoma"/>
          <w:b/>
          <w:spacing w:val="3"/>
        </w:rPr>
        <w:t xml:space="preserve"> </w:t>
      </w:r>
      <w:r>
        <w:rPr>
          <w:rFonts w:ascii="Tahoma" w:hAnsi="Tahoma"/>
          <w:b/>
          <w:spacing w:val="-4"/>
        </w:rPr>
        <w:t>Demonstrações</w:t>
      </w:r>
      <w:r>
        <w:rPr>
          <w:rFonts w:ascii="Tahoma" w:hAnsi="Tahoma"/>
          <w:b/>
          <w:spacing w:val="2"/>
        </w:rPr>
        <w:t xml:space="preserve"> </w:t>
      </w:r>
      <w:r>
        <w:rPr>
          <w:rFonts w:ascii="Tahoma" w:hAnsi="Tahoma"/>
          <w:b/>
          <w:spacing w:val="-4"/>
        </w:rPr>
        <w:t>Contábeis</w:t>
      </w:r>
    </w:p>
    <w:p w14:paraId="10C2FDF7" w14:textId="77777777" w:rsidR="002C6574" w:rsidRDefault="002C6574">
      <w:pPr>
        <w:pStyle w:val="Corpodetexto"/>
        <w:spacing w:before="5"/>
        <w:rPr>
          <w:rFonts w:ascii="Tahoma"/>
          <w:b/>
        </w:rPr>
      </w:pPr>
    </w:p>
    <w:p w14:paraId="2395B410" w14:textId="77777777" w:rsidR="002C6574" w:rsidRDefault="00000000">
      <w:pPr>
        <w:pStyle w:val="Corpodetexto"/>
        <w:spacing w:line="242" w:lineRule="auto"/>
        <w:ind w:left="709" w:right="275"/>
        <w:jc w:val="both"/>
        <w:rPr>
          <w:rFonts w:ascii="Verdana" w:hAnsi="Verdana"/>
        </w:rPr>
      </w:pPr>
      <w:r>
        <w:rPr>
          <w:rFonts w:ascii="Verdana" w:hAnsi="Verdana"/>
          <w:spacing w:val="-2"/>
        </w:rPr>
        <w:t>Nossos</w:t>
      </w:r>
      <w:r>
        <w:rPr>
          <w:rFonts w:ascii="Verdana" w:hAnsi="Verdana"/>
          <w:spacing w:val="-14"/>
        </w:rPr>
        <w:t xml:space="preserve"> </w:t>
      </w:r>
      <w:r>
        <w:rPr>
          <w:rFonts w:ascii="Verdana" w:hAnsi="Verdana"/>
          <w:spacing w:val="-2"/>
        </w:rPr>
        <w:t>objetivos</w:t>
      </w:r>
      <w:r>
        <w:rPr>
          <w:rFonts w:ascii="Verdana" w:hAnsi="Verdana"/>
          <w:spacing w:val="-14"/>
        </w:rPr>
        <w:t xml:space="preserve"> </w:t>
      </w:r>
      <w:r>
        <w:rPr>
          <w:rFonts w:ascii="Verdana" w:hAnsi="Verdana"/>
          <w:spacing w:val="-2"/>
        </w:rPr>
        <w:t>são</w:t>
      </w:r>
      <w:r>
        <w:rPr>
          <w:rFonts w:ascii="Verdana" w:hAnsi="Verdana"/>
          <w:spacing w:val="-12"/>
        </w:rPr>
        <w:t xml:space="preserve"> </w:t>
      </w:r>
      <w:r>
        <w:rPr>
          <w:rFonts w:ascii="Verdana" w:hAnsi="Verdana"/>
          <w:spacing w:val="-2"/>
        </w:rPr>
        <w:t>obter</w:t>
      </w:r>
      <w:r>
        <w:rPr>
          <w:rFonts w:ascii="Verdana" w:hAnsi="Verdana"/>
          <w:spacing w:val="-14"/>
        </w:rPr>
        <w:t xml:space="preserve"> </w:t>
      </w:r>
      <w:r>
        <w:rPr>
          <w:rFonts w:ascii="Verdana" w:hAnsi="Verdana"/>
          <w:spacing w:val="-2"/>
        </w:rPr>
        <w:t>segurança</w:t>
      </w:r>
      <w:r>
        <w:rPr>
          <w:rFonts w:ascii="Verdana" w:hAnsi="Verdana"/>
          <w:spacing w:val="-12"/>
        </w:rPr>
        <w:t xml:space="preserve"> </w:t>
      </w:r>
      <w:r>
        <w:rPr>
          <w:rFonts w:ascii="Verdana" w:hAnsi="Verdana"/>
          <w:spacing w:val="-2"/>
        </w:rPr>
        <w:t>razoável</w:t>
      </w:r>
      <w:r>
        <w:rPr>
          <w:rFonts w:ascii="Verdana" w:hAnsi="Verdana"/>
          <w:spacing w:val="-12"/>
        </w:rPr>
        <w:t xml:space="preserve"> </w:t>
      </w:r>
      <w:r>
        <w:rPr>
          <w:rFonts w:ascii="Verdana" w:hAnsi="Verdana"/>
          <w:spacing w:val="-2"/>
        </w:rPr>
        <w:t>de</w:t>
      </w:r>
      <w:r>
        <w:rPr>
          <w:rFonts w:ascii="Verdana" w:hAnsi="Verdana"/>
          <w:spacing w:val="-12"/>
        </w:rPr>
        <w:t xml:space="preserve"> </w:t>
      </w:r>
      <w:r>
        <w:rPr>
          <w:rFonts w:ascii="Verdana" w:hAnsi="Verdana"/>
          <w:spacing w:val="-2"/>
        </w:rPr>
        <w:t>que</w:t>
      </w:r>
      <w:r>
        <w:rPr>
          <w:rFonts w:ascii="Verdana" w:hAnsi="Verdana"/>
          <w:spacing w:val="-12"/>
        </w:rPr>
        <w:t xml:space="preserve"> </w:t>
      </w:r>
      <w:r>
        <w:rPr>
          <w:rFonts w:ascii="Verdana" w:hAnsi="Verdana"/>
          <w:spacing w:val="-2"/>
        </w:rPr>
        <w:t>as</w:t>
      </w:r>
      <w:r>
        <w:rPr>
          <w:rFonts w:ascii="Verdana" w:hAnsi="Verdana"/>
          <w:spacing w:val="-14"/>
        </w:rPr>
        <w:t xml:space="preserve"> </w:t>
      </w:r>
      <w:r>
        <w:rPr>
          <w:rFonts w:ascii="Verdana" w:hAnsi="Verdana"/>
          <w:spacing w:val="-2"/>
        </w:rPr>
        <w:t>demonstrações</w:t>
      </w:r>
      <w:r>
        <w:rPr>
          <w:rFonts w:ascii="Verdana" w:hAnsi="Verdana"/>
          <w:spacing w:val="-12"/>
        </w:rPr>
        <w:t xml:space="preserve"> </w:t>
      </w:r>
      <w:r>
        <w:rPr>
          <w:rFonts w:ascii="Verdana" w:hAnsi="Verdana"/>
          <w:spacing w:val="-2"/>
        </w:rPr>
        <w:t xml:space="preserve">contábeis, </w:t>
      </w:r>
      <w:r>
        <w:rPr>
          <w:rFonts w:ascii="Verdana" w:hAnsi="Verdana"/>
        </w:rPr>
        <w:t>tomadas</w:t>
      </w:r>
      <w:r>
        <w:rPr>
          <w:rFonts w:ascii="Verdana" w:hAnsi="Verdana"/>
          <w:spacing w:val="-4"/>
        </w:rPr>
        <w:t xml:space="preserve"> </w:t>
      </w:r>
      <w:r>
        <w:rPr>
          <w:rFonts w:ascii="Verdana" w:hAnsi="Verdana"/>
        </w:rPr>
        <w:t>em</w:t>
      </w:r>
      <w:r>
        <w:rPr>
          <w:rFonts w:ascii="Verdana" w:hAnsi="Verdana"/>
          <w:spacing w:val="-4"/>
        </w:rPr>
        <w:t xml:space="preserve"> </w:t>
      </w:r>
      <w:r>
        <w:rPr>
          <w:rFonts w:ascii="Verdana" w:hAnsi="Verdana"/>
        </w:rPr>
        <w:t>conjunto, estão</w:t>
      </w:r>
      <w:r>
        <w:rPr>
          <w:rFonts w:ascii="Verdana" w:hAnsi="Verdana"/>
          <w:spacing w:val="-2"/>
        </w:rPr>
        <w:t xml:space="preserve"> </w:t>
      </w:r>
      <w:r>
        <w:rPr>
          <w:rFonts w:ascii="Verdana" w:hAnsi="Verdana"/>
        </w:rPr>
        <w:t>livres de</w:t>
      </w:r>
      <w:r>
        <w:rPr>
          <w:rFonts w:ascii="Verdana" w:hAnsi="Verdana"/>
          <w:spacing w:val="-2"/>
        </w:rPr>
        <w:t xml:space="preserve"> </w:t>
      </w:r>
      <w:r>
        <w:rPr>
          <w:rFonts w:ascii="Verdana" w:hAnsi="Verdana"/>
        </w:rPr>
        <w:t>distorção</w:t>
      </w:r>
      <w:r>
        <w:rPr>
          <w:rFonts w:ascii="Verdana" w:hAnsi="Verdana"/>
          <w:spacing w:val="-4"/>
        </w:rPr>
        <w:t xml:space="preserve"> </w:t>
      </w:r>
      <w:r>
        <w:rPr>
          <w:rFonts w:ascii="Verdana" w:hAnsi="Verdana"/>
        </w:rPr>
        <w:t>relevante, independentemente</w:t>
      </w:r>
      <w:r>
        <w:rPr>
          <w:rFonts w:ascii="Verdana" w:hAnsi="Verdana"/>
          <w:spacing w:val="-4"/>
        </w:rPr>
        <w:t xml:space="preserve"> </w:t>
      </w:r>
      <w:r>
        <w:rPr>
          <w:rFonts w:ascii="Verdana" w:hAnsi="Verdana"/>
        </w:rPr>
        <w:t>se causada</w:t>
      </w:r>
      <w:r>
        <w:rPr>
          <w:rFonts w:ascii="Verdana" w:hAnsi="Verdana"/>
          <w:spacing w:val="-12"/>
        </w:rPr>
        <w:t xml:space="preserve"> </w:t>
      </w:r>
      <w:r>
        <w:rPr>
          <w:rFonts w:ascii="Verdana" w:hAnsi="Verdana"/>
        </w:rPr>
        <w:t>por</w:t>
      </w:r>
      <w:r>
        <w:rPr>
          <w:rFonts w:ascii="Verdana" w:hAnsi="Verdana"/>
          <w:spacing w:val="-12"/>
        </w:rPr>
        <w:t xml:space="preserve"> </w:t>
      </w:r>
      <w:r>
        <w:rPr>
          <w:rFonts w:ascii="Verdana" w:hAnsi="Verdana"/>
        </w:rPr>
        <w:t>fraude</w:t>
      </w:r>
      <w:r>
        <w:rPr>
          <w:rFonts w:ascii="Verdana" w:hAnsi="Verdana"/>
          <w:spacing w:val="-12"/>
        </w:rPr>
        <w:t xml:space="preserve"> </w:t>
      </w:r>
      <w:r>
        <w:rPr>
          <w:rFonts w:ascii="Verdana" w:hAnsi="Verdana"/>
        </w:rPr>
        <w:t>ou</w:t>
      </w:r>
      <w:r>
        <w:rPr>
          <w:rFonts w:ascii="Verdana" w:hAnsi="Verdana"/>
          <w:spacing w:val="-12"/>
        </w:rPr>
        <w:t xml:space="preserve"> </w:t>
      </w:r>
      <w:r>
        <w:rPr>
          <w:rFonts w:ascii="Verdana" w:hAnsi="Verdana"/>
        </w:rPr>
        <w:t>erro,</w:t>
      </w:r>
      <w:r>
        <w:rPr>
          <w:rFonts w:ascii="Verdana" w:hAnsi="Verdana"/>
          <w:spacing w:val="-13"/>
        </w:rPr>
        <w:t xml:space="preserve"> </w:t>
      </w:r>
      <w:r>
        <w:rPr>
          <w:rFonts w:ascii="Verdana" w:hAnsi="Verdana"/>
        </w:rPr>
        <w:t>e</w:t>
      </w:r>
      <w:r>
        <w:rPr>
          <w:rFonts w:ascii="Verdana" w:hAnsi="Verdana"/>
          <w:spacing w:val="-14"/>
        </w:rPr>
        <w:t xml:space="preserve"> </w:t>
      </w:r>
      <w:r>
        <w:rPr>
          <w:rFonts w:ascii="Verdana" w:hAnsi="Verdana"/>
        </w:rPr>
        <w:t>emitir</w:t>
      </w:r>
      <w:r>
        <w:rPr>
          <w:rFonts w:ascii="Verdana" w:hAnsi="Verdana"/>
          <w:spacing w:val="-12"/>
        </w:rPr>
        <w:t xml:space="preserve"> </w:t>
      </w:r>
      <w:r>
        <w:rPr>
          <w:rFonts w:ascii="Verdana" w:hAnsi="Verdana"/>
        </w:rPr>
        <w:t>relatório</w:t>
      </w:r>
      <w:r>
        <w:rPr>
          <w:rFonts w:ascii="Verdana" w:hAnsi="Verdana"/>
          <w:spacing w:val="-11"/>
        </w:rPr>
        <w:t xml:space="preserve"> </w:t>
      </w:r>
      <w:r>
        <w:rPr>
          <w:rFonts w:ascii="Verdana" w:hAnsi="Verdana"/>
        </w:rPr>
        <w:t>de</w:t>
      </w:r>
      <w:r>
        <w:rPr>
          <w:rFonts w:ascii="Verdana" w:hAnsi="Verdana"/>
          <w:spacing w:val="-12"/>
        </w:rPr>
        <w:t xml:space="preserve"> </w:t>
      </w:r>
      <w:r>
        <w:rPr>
          <w:rFonts w:ascii="Verdana" w:hAnsi="Verdana"/>
        </w:rPr>
        <w:t>auditoria</w:t>
      </w:r>
      <w:r>
        <w:rPr>
          <w:rFonts w:ascii="Verdana" w:hAnsi="Verdana"/>
          <w:spacing w:val="-12"/>
        </w:rPr>
        <w:t xml:space="preserve"> </w:t>
      </w:r>
      <w:r>
        <w:rPr>
          <w:rFonts w:ascii="Verdana" w:hAnsi="Verdana"/>
        </w:rPr>
        <w:t>contendo</w:t>
      </w:r>
      <w:r>
        <w:rPr>
          <w:rFonts w:ascii="Verdana" w:hAnsi="Verdana"/>
          <w:spacing w:val="-10"/>
        </w:rPr>
        <w:t xml:space="preserve"> </w:t>
      </w:r>
      <w:r>
        <w:rPr>
          <w:rFonts w:ascii="Verdana" w:hAnsi="Verdana"/>
        </w:rPr>
        <w:t>nossa</w:t>
      </w:r>
      <w:r>
        <w:rPr>
          <w:rFonts w:ascii="Verdana" w:hAnsi="Verdana"/>
          <w:spacing w:val="-12"/>
        </w:rPr>
        <w:t xml:space="preserve"> </w:t>
      </w:r>
      <w:r>
        <w:rPr>
          <w:rFonts w:ascii="Verdana" w:hAnsi="Verdana"/>
        </w:rPr>
        <w:t>opinião. Segurança</w:t>
      </w:r>
      <w:r>
        <w:rPr>
          <w:rFonts w:ascii="Verdana" w:hAnsi="Verdana"/>
          <w:spacing w:val="-10"/>
        </w:rPr>
        <w:t xml:space="preserve"> </w:t>
      </w:r>
      <w:r>
        <w:rPr>
          <w:rFonts w:ascii="Verdana" w:hAnsi="Verdana"/>
        </w:rPr>
        <w:t>razoável</w:t>
      </w:r>
      <w:r>
        <w:rPr>
          <w:rFonts w:ascii="Verdana" w:hAnsi="Verdana"/>
          <w:spacing w:val="-10"/>
        </w:rPr>
        <w:t xml:space="preserve"> </w:t>
      </w:r>
      <w:r>
        <w:rPr>
          <w:rFonts w:ascii="Verdana" w:hAnsi="Verdana"/>
        </w:rPr>
        <w:t>é</w:t>
      </w:r>
      <w:r>
        <w:rPr>
          <w:rFonts w:ascii="Verdana" w:hAnsi="Verdana"/>
          <w:spacing w:val="-10"/>
        </w:rPr>
        <w:t xml:space="preserve"> </w:t>
      </w:r>
      <w:r>
        <w:rPr>
          <w:rFonts w:ascii="Verdana" w:hAnsi="Verdana"/>
        </w:rPr>
        <w:t>um</w:t>
      </w:r>
      <w:r>
        <w:rPr>
          <w:rFonts w:ascii="Verdana" w:hAnsi="Verdana"/>
          <w:spacing w:val="-9"/>
        </w:rPr>
        <w:t xml:space="preserve"> </w:t>
      </w:r>
      <w:r>
        <w:rPr>
          <w:rFonts w:ascii="Verdana" w:hAnsi="Verdana"/>
        </w:rPr>
        <w:t>alto</w:t>
      </w:r>
      <w:r>
        <w:rPr>
          <w:rFonts w:ascii="Verdana" w:hAnsi="Verdana"/>
          <w:spacing w:val="-6"/>
        </w:rPr>
        <w:t xml:space="preserve"> </w:t>
      </w:r>
      <w:r>
        <w:rPr>
          <w:rFonts w:ascii="Verdana" w:hAnsi="Verdana"/>
        </w:rPr>
        <w:t>nível</w:t>
      </w:r>
      <w:r>
        <w:rPr>
          <w:rFonts w:ascii="Verdana" w:hAnsi="Verdana"/>
          <w:spacing w:val="-7"/>
        </w:rPr>
        <w:t xml:space="preserve"> </w:t>
      </w:r>
      <w:r>
        <w:rPr>
          <w:rFonts w:ascii="Verdana" w:hAnsi="Verdana"/>
        </w:rPr>
        <w:t>de</w:t>
      </w:r>
      <w:r>
        <w:rPr>
          <w:rFonts w:ascii="Verdana" w:hAnsi="Verdana"/>
          <w:spacing w:val="-7"/>
        </w:rPr>
        <w:t xml:space="preserve"> </w:t>
      </w:r>
      <w:r>
        <w:rPr>
          <w:rFonts w:ascii="Verdana" w:hAnsi="Verdana"/>
        </w:rPr>
        <w:t>segurança,</w:t>
      </w:r>
      <w:r>
        <w:rPr>
          <w:rFonts w:ascii="Verdana" w:hAnsi="Verdana"/>
          <w:spacing w:val="-7"/>
        </w:rPr>
        <w:t xml:space="preserve"> </w:t>
      </w:r>
      <w:r>
        <w:rPr>
          <w:rFonts w:ascii="Verdana" w:hAnsi="Verdana"/>
        </w:rPr>
        <w:t>mas</w:t>
      </w:r>
      <w:r>
        <w:rPr>
          <w:rFonts w:ascii="Verdana" w:hAnsi="Verdana"/>
          <w:spacing w:val="-7"/>
        </w:rPr>
        <w:t xml:space="preserve"> </w:t>
      </w:r>
      <w:r>
        <w:rPr>
          <w:rFonts w:ascii="Verdana" w:hAnsi="Verdana"/>
        </w:rPr>
        <w:t>não</w:t>
      </w:r>
      <w:r>
        <w:rPr>
          <w:rFonts w:ascii="Verdana" w:hAnsi="Verdana"/>
          <w:spacing w:val="-13"/>
        </w:rPr>
        <w:t xml:space="preserve"> </w:t>
      </w:r>
      <w:r>
        <w:rPr>
          <w:rFonts w:ascii="Verdana" w:hAnsi="Verdana"/>
        </w:rPr>
        <w:t>uma</w:t>
      </w:r>
      <w:r>
        <w:rPr>
          <w:rFonts w:ascii="Verdana" w:hAnsi="Verdana"/>
          <w:spacing w:val="-8"/>
        </w:rPr>
        <w:t xml:space="preserve"> </w:t>
      </w:r>
      <w:r>
        <w:rPr>
          <w:rFonts w:ascii="Verdana" w:hAnsi="Verdana"/>
        </w:rPr>
        <w:t>garantia</w:t>
      </w:r>
      <w:r>
        <w:rPr>
          <w:rFonts w:ascii="Verdana" w:hAnsi="Verdana"/>
          <w:spacing w:val="-8"/>
        </w:rPr>
        <w:t xml:space="preserve"> </w:t>
      </w:r>
      <w:r>
        <w:rPr>
          <w:rFonts w:ascii="Verdana" w:hAnsi="Verdana"/>
        </w:rPr>
        <w:t>de</w:t>
      </w:r>
      <w:r>
        <w:rPr>
          <w:rFonts w:ascii="Verdana" w:hAnsi="Verdana"/>
          <w:spacing w:val="-7"/>
        </w:rPr>
        <w:t xml:space="preserve"> </w:t>
      </w:r>
      <w:r>
        <w:rPr>
          <w:rFonts w:ascii="Verdana" w:hAnsi="Verdana"/>
        </w:rPr>
        <w:t>que</w:t>
      </w:r>
      <w:r>
        <w:rPr>
          <w:rFonts w:ascii="Verdana" w:hAnsi="Verdana"/>
          <w:spacing w:val="-7"/>
        </w:rPr>
        <w:t xml:space="preserve"> </w:t>
      </w:r>
      <w:r>
        <w:rPr>
          <w:rFonts w:ascii="Verdana" w:hAnsi="Verdana"/>
        </w:rPr>
        <w:t xml:space="preserve">a </w:t>
      </w:r>
      <w:r>
        <w:rPr>
          <w:rFonts w:ascii="Verdana" w:hAnsi="Verdana"/>
          <w:spacing w:val="-2"/>
        </w:rPr>
        <w:t>auditoria</w:t>
      </w:r>
      <w:r>
        <w:rPr>
          <w:rFonts w:ascii="Verdana" w:hAnsi="Verdana"/>
          <w:spacing w:val="-18"/>
        </w:rPr>
        <w:t xml:space="preserve"> </w:t>
      </w:r>
      <w:r>
        <w:rPr>
          <w:rFonts w:ascii="Verdana" w:hAnsi="Verdana"/>
          <w:spacing w:val="-2"/>
        </w:rPr>
        <w:t>realizada</w:t>
      </w:r>
      <w:r>
        <w:rPr>
          <w:rFonts w:ascii="Verdana" w:hAnsi="Verdana"/>
          <w:spacing w:val="-17"/>
        </w:rPr>
        <w:t xml:space="preserve"> </w:t>
      </w:r>
      <w:r>
        <w:rPr>
          <w:rFonts w:ascii="Verdana" w:hAnsi="Verdana"/>
          <w:spacing w:val="-2"/>
        </w:rPr>
        <w:t>de</w:t>
      </w:r>
      <w:r>
        <w:rPr>
          <w:rFonts w:ascii="Verdana" w:hAnsi="Verdana"/>
          <w:spacing w:val="-17"/>
        </w:rPr>
        <w:t xml:space="preserve"> </w:t>
      </w:r>
      <w:r>
        <w:rPr>
          <w:rFonts w:ascii="Verdana" w:hAnsi="Verdana"/>
          <w:spacing w:val="-2"/>
        </w:rPr>
        <w:t>acordo</w:t>
      </w:r>
      <w:r>
        <w:rPr>
          <w:rFonts w:ascii="Verdana" w:hAnsi="Verdana"/>
          <w:spacing w:val="-18"/>
        </w:rPr>
        <w:t xml:space="preserve"> </w:t>
      </w:r>
      <w:r>
        <w:rPr>
          <w:rFonts w:ascii="Verdana" w:hAnsi="Verdana"/>
          <w:spacing w:val="-2"/>
        </w:rPr>
        <w:t>com</w:t>
      </w:r>
      <w:r>
        <w:rPr>
          <w:rFonts w:ascii="Verdana" w:hAnsi="Verdana"/>
          <w:spacing w:val="-17"/>
        </w:rPr>
        <w:t xml:space="preserve"> </w:t>
      </w:r>
      <w:r>
        <w:rPr>
          <w:rFonts w:ascii="Verdana" w:hAnsi="Verdana"/>
          <w:spacing w:val="-2"/>
        </w:rPr>
        <w:t>as</w:t>
      </w:r>
      <w:r>
        <w:rPr>
          <w:rFonts w:ascii="Verdana" w:hAnsi="Verdana"/>
          <w:spacing w:val="-18"/>
        </w:rPr>
        <w:t xml:space="preserve"> </w:t>
      </w:r>
      <w:r>
        <w:rPr>
          <w:rFonts w:ascii="Verdana" w:hAnsi="Verdana"/>
          <w:spacing w:val="-2"/>
        </w:rPr>
        <w:t>normas</w:t>
      </w:r>
      <w:r>
        <w:rPr>
          <w:rFonts w:ascii="Verdana" w:hAnsi="Verdana"/>
          <w:spacing w:val="-17"/>
        </w:rPr>
        <w:t xml:space="preserve"> </w:t>
      </w:r>
      <w:r>
        <w:rPr>
          <w:rFonts w:ascii="Verdana" w:hAnsi="Verdana"/>
          <w:spacing w:val="-2"/>
        </w:rPr>
        <w:t>brasileiras</w:t>
      </w:r>
      <w:r>
        <w:rPr>
          <w:rFonts w:ascii="Verdana" w:hAnsi="Verdana"/>
          <w:spacing w:val="-17"/>
        </w:rPr>
        <w:t xml:space="preserve"> </w:t>
      </w:r>
      <w:r>
        <w:rPr>
          <w:rFonts w:ascii="Verdana" w:hAnsi="Verdana"/>
          <w:spacing w:val="-2"/>
        </w:rPr>
        <w:t>e</w:t>
      </w:r>
      <w:r>
        <w:rPr>
          <w:rFonts w:ascii="Verdana" w:hAnsi="Verdana"/>
          <w:spacing w:val="-18"/>
        </w:rPr>
        <w:t xml:space="preserve"> </w:t>
      </w:r>
      <w:r>
        <w:rPr>
          <w:rFonts w:ascii="Verdana" w:hAnsi="Verdana"/>
          <w:spacing w:val="-2"/>
        </w:rPr>
        <w:t>internacionais</w:t>
      </w:r>
      <w:r>
        <w:rPr>
          <w:rFonts w:ascii="Verdana" w:hAnsi="Verdana"/>
          <w:spacing w:val="-17"/>
        </w:rPr>
        <w:t xml:space="preserve"> </w:t>
      </w:r>
      <w:r>
        <w:rPr>
          <w:rFonts w:ascii="Verdana" w:hAnsi="Verdana"/>
          <w:spacing w:val="-2"/>
        </w:rPr>
        <w:t>de</w:t>
      </w:r>
      <w:r>
        <w:rPr>
          <w:rFonts w:ascii="Verdana" w:hAnsi="Verdana"/>
          <w:spacing w:val="-17"/>
        </w:rPr>
        <w:t xml:space="preserve"> </w:t>
      </w:r>
      <w:r>
        <w:rPr>
          <w:rFonts w:ascii="Verdana" w:hAnsi="Verdana"/>
          <w:spacing w:val="-2"/>
        </w:rPr>
        <w:t xml:space="preserve">auditoria </w:t>
      </w:r>
      <w:r>
        <w:rPr>
          <w:rFonts w:ascii="Verdana" w:hAnsi="Verdana"/>
          <w:spacing w:val="-4"/>
        </w:rPr>
        <w:t>sempre</w:t>
      </w:r>
      <w:r>
        <w:rPr>
          <w:rFonts w:ascii="Verdana" w:hAnsi="Verdana"/>
          <w:spacing w:val="-16"/>
        </w:rPr>
        <w:t xml:space="preserve"> </w:t>
      </w:r>
      <w:r>
        <w:rPr>
          <w:rFonts w:ascii="Verdana" w:hAnsi="Verdana"/>
          <w:spacing w:val="-4"/>
        </w:rPr>
        <w:t>detectam</w:t>
      </w:r>
      <w:r>
        <w:rPr>
          <w:rFonts w:ascii="Verdana" w:hAnsi="Verdana"/>
          <w:spacing w:val="-15"/>
        </w:rPr>
        <w:t xml:space="preserve"> </w:t>
      </w:r>
      <w:r>
        <w:rPr>
          <w:rFonts w:ascii="Verdana" w:hAnsi="Verdana"/>
          <w:spacing w:val="-4"/>
        </w:rPr>
        <w:t>as</w:t>
      </w:r>
      <w:r>
        <w:rPr>
          <w:rFonts w:ascii="Verdana" w:hAnsi="Verdana"/>
          <w:spacing w:val="-15"/>
        </w:rPr>
        <w:t xml:space="preserve"> </w:t>
      </w:r>
      <w:r>
        <w:rPr>
          <w:rFonts w:ascii="Verdana" w:hAnsi="Verdana"/>
          <w:spacing w:val="-4"/>
        </w:rPr>
        <w:t>eventuais</w:t>
      </w:r>
      <w:r>
        <w:rPr>
          <w:rFonts w:ascii="Verdana" w:hAnsi="Verdana"/>
          <w:spacing w:val="-16"/>
        </w:rPr>
        <w:t xml:space="preserve"> </w:t>
      </w:r>
      <w:r>
        <w:rPr>
          <w:rFonts w:ascii="Verdana" w:hAnsi="Verdana"/>
          <w:spacing w:val="-4"/>
        </w:rPr>
        <w:t>distorções</w:t>
      </w:r>
      <w:r>
        <w:rPr>
          <w:rFonts w:ascii="Verdana" w:hAnsi="Verdana"/>
          <w:spacing w:val="-15"/>
        </w:rPr>
        <w:t xml:space="preserve"> </w:t>
      </w:r>
      <w:r>
        <w:rPr>
          <w:rFonts w:ascii="Verdana" w:hAnsi="Verdana"/>
          <w:spacing w:val="-4"/>
        </w:rPr>
        <w:t>relevantes</w:t>
      </w:r>
      <w:r>
        <w:rPr>
          <w:rFonts w:ascii="Verdana" w:hAnsi="Verdana"/>
          <w:spacing w:val="-16"/>
        </w:rPr>
        <w:t xml:space="preserve"> </w:t>
      </w:r>
      <w:r>
        <w:rPr>
          <w:rFonts w:ascii="Verdana" w:hAnsi="Verdana"/>
          <w:spacing w:val="-4"/>
        </w:rPr>
        <w:t>existentes.</w:t>
      </w:r>
      <w:r>
        <w:rPr>
          <w:rFonts w:ascii="Verdana" w:hAnsi="Verdana"/>
          <w:spacing w:val="-15"/>
        </w:rPr>
        <w:t xml:space="preserve"> </w:t>
      </w:r>
      <w:r>
        <w:rPr>
          <w:rFonts w:ascii="Verdana" w:hAnsi="Verdana"/>
          <w:spacing w:val="-4"/>
        </w:rPr>
        <w:t>As</w:t>
      </w:r>
      <w:r>
        <w:rPr>
          <w:rFonts w:ascii="Verdana" w:hAnsi="Verdana"/>
          <w:spacing w:val="-15"/>
        </w:rPr>
        <w:t xml:space="preserve"> </w:t>
      </w:r>
      <w:r>
        <w:rPr>
          <w:rFonts w:ascii="Verdana" w:hAnsi="Verdana"/>
          <w:spacing w:val="-4"/>
        </w:rPr>
        <w:t>distorções</w:t>
      </w:r>
      <w:r>
        <w:rPr>
          <w:rFonts w:ascii="Verdana" w:hAnsi="Verdana"/>
          <w:spacing w:val="-16"/>
        </w:rPr>
        <w:t xml:space="preserve"> </w:t>
      </w:r>
      <w:r>
        <w:rPr>
          <w:rFonts w:ascii="Verdana" w:hAnsi="Verdana"/>
          <w:spacing w:val="-4"/>
        </w:rPr>
        <w:t xml:space="preserve">podem </w:t>
      </w:r>
      <w:r>
        <w:rPr>
          <w:rFonts w:ascii="Verdana" w:hAnsi="Verdana"/>
        </w:rPr>
        <w:t>ser decorrentes de fraude ou erro e são consideradas relevantes quando, individualmente ou em conjunto, possam influenciar, dentro de uma perspectiva razoável, as decisões econômicas dos usuários tomadas com base nas referidas demonstrações</w:t>
      </w:r>
      <w:r>
        <w:rPr>
          <w:rFonts w:ascii="Verdana" w:hAnsi="Verdana"/>
          <w:spacing w:val="-3"/>
        </w:rPr>
        <w:t xml:space="preserve"> </w:t>
      </w:r>
      <w:r>
        <w:rPr>
          <w:rFonts w:ascii="Verdana" w:hAnsi="Verdana"/>
        </w:rPr>
        <w:t>contábeis.</w:t>
      </w:r>
    </w:p>
    <w:p w14:paraId="4129A0A8" w14:textId="77777777" w:rsidR="002C6574" w:rsidRDefault="002C6574">
      <w:pPr>
        <w:pStyle w:val="Corpodetexto"/>
        <w:spacing w:before="1"/>
        <w:rPr>
          <w:rFonts w:ascii="Verdana"/>
        </w:rPr>
      </w:pPr>
    </w:p>
    <w:p w14:paraId="75051483" w14:textId="77777777" w:rsidR="002C6574" w:rsidRDefault="00000000">
      <w:pPr>
        <w:pStyle w:val="Corpodetexto"/>
        <w:ind w:left="709" w:right="275"/>
        <w:jc w:val="both"/>
        <w:rPr>
          <w:rFonts w:ascii="Verdana" w:hAnsi="Verdana"/>
        </w:rPr>
      </w:pPr>
      <w:r>
        <w:rPr>
          <w:rFonts w:ascii="Verdana" w:hAnsi="Verdana"/>
        </w:rPr>
        <w:t xml:space="preserve">Como parte da auditoria realizada, de acordo com as normas brasileiras e </w:t>
      </w:r>
      <w:r>
        <w:rPr>
          <w:rFonts w:ascii="Verdana" w:hAnsi="Verdana"/>
          <w:spacing w:val="-6"/>
        </w:rPr>
        <w:t xml:space="preserve">internacionais de auditoria, exercemos julgamento profissional e mantemos ceticismo </w:t>
      </w:r>
      <w:r>
        <w:rPr>
          <w:rFonts w:ascii="Verdana" w:hAnsi="Verdana"/>
        </w:rPr>
        <w:t>profissional</w:t>
      </w:r>
      <w:r>
        <w:rPr>
          <w:rFonts w:ascii="Verdana" w:hAnsi="Verdana"/>
          <w:spacing w:val="-15"/>
        </w:rPr>
        <w:t xml:space="preserve"> </w:t>
      </w:r>
      <w:r>
        <w:rPr>
          <w:rFonts w:ascii="Verdana" w:hAnsi="Verdana"/>
        </w:rPr>
        <w:t>ao</w:t>
      </w:r>
      <w:r>
        <w:rPr>
          <w:rFonts w:ascii="Verdana" w:hAnsi="Verdana"/>
          <w:spacing w:val="-19"/>
        </w:rPr>
        <w:t xml:space="preserve"> </w:t>
      </w:r>
      <w:r>
        <w:rPr>
          <w:rFonts w:ascii="Verdana" w:hAnsi="Verdana"/>
        </w:rPr>
        <w:t>longo</w:t>
      </w:r>
      <w:r>
        <w:rPr>
          <w:rFonts w:ascii="Verdana" w:hAnsi="Verdana"/>
          <w:spacing w:val="-19"/>
        </w:rPr>
        <w:t xml:space="preserve"> </w:t>
      </w:r>
      <w:r>
        <w:rPr>
          <w:rFonts w:ascii="Verdana" w:hAnsi="Verdana"/>
        </w:rPr>
        <w:t>da</w:t>
      </w:r>
      <w:r>
        <w:rPr>
          <w:rFonts w:ascii="Verdana" w:hAnsi="Verdana"/>
          <w:spacing w:val="-16"/>
        </w:rPr>
        <w:t xml:space="preserve"> </w:t>
      </w:r>
      <w:r>
        <w:rPr>
          <w:rFonts w:ascii="Verdana" w:hAnsi="Verdana"/>
        </w:rPr>
        <w:t>auditoria.</w:t>
      </w:r>
      <w:r>
        <w:rPr>
          <w:rFonts w:ascii="Verdana" w:hAnsi="Verdana"/>
          <w:spacing w:val="-17"/>
        </w:rPr>
        <w:t xml:space="preserve"> </w:t>
      </w:r>
      <w:r>
        <w:rPr>
          <w:rFonts w:ascii="Verdana" w:hAnsi="Verdana"/>
        </w:rPr>
        <w:t>Além</w:t>
      </w:r>
      <w:r>
        <w:rPr>
          <w:rFonts w:ascii="Verdana" w:hAnsi="Verdana"/>
          <w:spacing w:val="-17"/>
        </w:rPr>
        <w:t xml:space="preserve"> </w:t>
      </w:r>
      <w:r>
        <w:rPr>
          <w:rFonts w:ascii="Verdana" w:hAnsi="Verdana"/>
        </w:rPr>
        <w:t>disso:</w:t>
      </w:r>
    </w:p>
    <w:p w14:paraId="5EF0CA5E" w14:textId="77777777" w:rsidR="002C6574" w:rsidRDefault="002C6574">
      <w:pPr>
        <w:pStyle w:val="Corpodetexto"/>
        <w:spacing w:before="8"/>
        <w:rPr>
          <w:rFonts w:ascii="Verdana"/>
        </w:rPr>
      </w:pPr>
    </w:p>
    <w:p w14:paraId="56905DD3" w14:textId="77777777" w:rsidR="002C6574" w:rsidRDefault="00000000">
      <w:pPr>
        <w:pStyle w:val="PargrafodaLista"/>
        <w:numPr>
          <w:ilvl w:val="0"/>
          <w:numId w:val="55"/>
        </w:numPr>
        <w:tabs>
          <w:tab w:val="left" w:pos="955"/>
        </w:tabs>
        <w:spacing w:before="1" w:line="242" w:lineRule="auto"/>
        <w:ind w:right="276" w:firstLine="0"/>
        <w:jc w:val="both"/>
        <w:rPr>
          <w:rFonts w:ascii="Verdana" w:hAnsi="Verdana"/>
        </w:rPr>
      </w:pPr>
      <w:r>
        <w:rPr>
          <w:rFonts w:ascii="Verdana" w:hAnsi="Verdana"/>
        </w:rPr>
        <w:t>Identificamos e avaliamos os riscos de distorção relevante nas demonstrações contábeis,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w:t>
      </w:r>
      <w:r>
        <w:rPr>
          <w:rFonts w:ascii="Verdana" w:hAnsi="Verdana"/>
          <w:spacing w:val="-8"/>
        </w:rPr>
        <w:t xml:space="preserve"> </w:t>
      </w:r>
      <w:r>
        <w:rPr>
          <w:rFonts w:ascii="Verdana" w:hAnsi="Verdana"/>
        </w:rPr>
        <w:t>do</w:t>
      </w:r>
      <w:r>
        <w:rPr>
          <w:rFonts w:ascii="Verdana" w:hAnsi="Verdana"/>
          <w:spacing w:val="-7"/>
        </w:rPr>
        <w:t xml:space="preserve"> </w:t>
      </w:r>
      <w:r>
        <w:rPr>
          <w:rFonts w:ascii="Verdana" w:hAnsi="Verdana"/>
        </w:rPr>
        <w:t>que</w:t>
      </w:r>
      <w:r>
        <w:rPr>
          <w:rFonts w:ascii="Verdana" w:hAnsi="Verdana"/>
          <w:spacing w:val="-6"/>
        </w:rPr>
        <w:t xml:space="preserve"> </w:t>
      </w:r>
      <w:r>
        <w:rPr>
          <w:rFonts w:ascii="Verdana" w:hAnsi="Verdana"/>
        </w:rPr>
        <w:t>o</w:t>
      </w:r>
      <w:r>
        <w:rPr>
          <w:rFonts w:ascii="Verdana" w:hAnsi="Verdana"/>
          <w:spacing w:val="-9"/>
        </w:rPr>
        <w:t xml:space="preserve"> </w:t>
      </w:r>
      <w:r>
        <w:rPr>
          <w:rFonts w:ascii="Verdana" w:hAnsi="Verdana"/>
        </w:rPr>
        <w:t>proveniente</w:t>
      </w:r>
      <w:r>
        <w:rPr>
          <w:rFonts w:ascii="Verdana" w:hAnsi="Verdana"/>
          <w:spacing w:val="-6"/>
        </w:rPr>
        <w:t xml:space="preserve"> </w:t>
      </w:r>
      <w:r>
        <w:rPr>
          <w:rFonts w:ascii="Verdana" w:hAnsi="Verdana"/>
        </w:rPr>
        <w:t>de</w:t>
      </w:r>
      <w:r>
        <w:rPr>
          <w:rFonts w:ascii="Verdana" w:hAnsi="Verdana"/>
          <w:spacing w:val="-8"/>
        </w:rPr>
        <w:t xml:space="preserve"> </w:t>
      </w:r>
      <w:r>
        <w:rPr>
          <w:rFonts w:ascii="Verdana" w:hAnsi="Verdana"/>
        </w:rPr>
        <w:t>erro,</w:t>
      </w:r>
      <w:r>
        <w:rPr>
          <w:rFonts w:ascii="Verdana" w:hAnsi="Verdana"/>
          <w:spacing w:val="-5"/>
        </w:rPr>
        <w:t xml:space="preserve"> </w:t>
      </w:r>
      <w:r>
        <w:rPr>
          <w:rFonts w:ascii="Verdana" w:hAnsi="Verdana"/>
        </w:rPr>
        <w:t>já</w:t>
      </w:r>
      <w:r>
        <w:rPr>
          <w:rFonts w:ascii="Verdana" w:hAnsi="Verdana"/>
          <w:spacing w:val="-9"/>
        </w:rPr>
        <w:t xml:space="preserve"> </w:t>
      </w:r>
      <w:r>
        <w:rPr>
          <w:rFonts w:ascii="Verdana" w:hAnsi="Verdana"/>
        </w:rPr>
        <w:t>que</w:t>
      </w:r>
      <w:r>
        <w:rPr>
          <w:rFonts w:ascii="Verdana" w:hAnsi="Verdana"/>
          <w:spacing w:val="-8"/>
        </w:rPr>
        <w:t xml:space="preserve"> </w:t>
      </w:r>
      <w:r>
        <w:rPr>
          <w:rFonts w:ascii="Verdana" w:hAnsi="Verdana"/>
        </w:rPr>
        <w:t>a</w:t>
      </w:r>
      <w:r>
        <w:rPr>
          <w:rFonts w:ascii="Verdana" w:hAnsi="Verdana"/>
          <w:spacing w:val="-7"/>
        </w:rPr>
        <w:t xml:space="preserve"> </w:t>
      </w:r>
      <w:r>
        <w:rPr>
          <w:rFonts w:ascii="Verdana" w:hAnsi="Verdana"/>
        </w:rPr>
        <w:t>fraude</w:t>
      </w:r>
      <w:r>
        <w:rPr>
          <w:rFonts w:ascii="Verdana" w:hAnsi="Verdana"/>
          <w:spacing w:val="-8"/>
        </w:rPr>
        <w:t xml:space="preserve"> </w:t>
      </w:r>
      <w:r>
        <w:rPr>
          <w:rFonts w:ascii="Verdana" w:hAnsi="Verdana"/>
        </w:rPr>
        <w:t>pode</w:t>
      </w:r>
      <w:r>
        <w:rPr>
          <w:rFonts w:ascii="Verdana" w:hAnsi="Verdana"/>
          <w:spacing w:val="-11"/>
        </w:rPr>
        <w:t xml:space="preserve"> </w:t>
      </w:r>
      <w:r>
        <w:rPr>
          <w:rFonts w:ascii="Verdana" w:hAnsi="Verdana"/>
        </w:rPr>
        <w:t>envolver</w:t>
      </w:r>
      <w:r>
        <w:rPr>
          <w:rFonts w:ascii="Verdana" w:hAnsi="Verdana"/>
          <w:spacing w:val="-6"/>
        </w:rPr>
        <w:t xml:space="preserve"> </w:t>
      </w:r>
      <w:r>
        <w:rPr>
          <w:rFonts w:ascii="Verdana" w:hAnsi="Verdana"/>
        </w:rPr>
        <w:t>o</w:t>
      </w:r>
      <w:r>
        <w:rPr>
          <w:rFonts w:ascii="Verdana" w:hAnsi="Verdana"/>
          <w:spacing w:val="-7"/>
        </w:rPr>
        <w:t xml:space="preserve"> </w:t>
      </w:r>
      <w:r>
        <w:rPr>
          <w:rFonts w:ascii="Verdana" w:hAnsi="Verdana"/>
        </w:rPr>
        <w:t>ato</w:t>
      </w:r>
      <w:r>
        <w:rPr>
          <w:rFonts w:ascii="Verdana" w:hAnsi="Verdana"/>
          <w:spacing w:val="-7"/>
        </w:rPr>
        <w:t xml:space="preserve"> </w:t>
      </w:r>
      <w:r>
        <w:rPr>
          <w:rFonts w:ascii="Verdana" w:hAnsi="Verdana"/>
        </w:rPr>
        <w:t>de</w:t>
      </w:r>
      <w:r>
        <w:rPr>
          <w:rFonts w:ascii="Verdana" w:hAnsi="Verdana"/>
          <w:spacing w:val="-6"/>
        </w:rPr>
        <w:t xml:space="preserve"> </w:t>
      </w:r>
      <w:r>
        <w:rPr>
          <w:rFonts w:ascii="Verdana" w:hAnsi="Verdana"/>
        </w:rPr>
        <w:t xml:space="preserve">burlar os controles internos, conluio, falsificação, omissão ou representações falsas </w:t>
      </w:r>
      <w:r>
        <w:rPr>
          <w:rFonts w:ascii="Verdana" w:hAnsi="Verdana"/>
          <w:spacing w:val="-2"/>
        </w:rPr>
        <w:t>intencionais.</w:t>
      </w:r>
    </w:p>
    <w:p w14:paraId="7B6C5425" w14:textId="77777777" w:rsidR="002C6574" w:rsidRDefault="002C6574">
      <w:pPr>
        <w:pStyle w:val="Corpodetexto"/>
        <w:rPr>
          <w:rFonts w:ascii="Verdana"/>
        </w:rPr>
      </w:pPr>
    </w:p>
    <w:p w14:paraId="05E5103F" w14:textId="77777777" w:rsidR="002C6574" w:rsidRDefault="00000000">
      <w:pPr>
        <w:pStyle w:val="PargrafodaLista"/>
        <w:numPr>
          <w:ilvl w:val="0"/>
          <w:numId w:val="55"/>
        </w:numPr>
        <w:tabs>
          <w:tab w:val="left" w:pos="942"/>
        </w:tabs>
        <w:spacing w:before="1" w:line="242" w:lineRule="auto"/>
        <w:ind w:right="277" w:firstLine="0"/>
        <w:jc w:val="both"/>
        <w:rPr>
          <w:rFonts w:ascii="Verdana" w:hAnsi="Verdana"/>
        </w:rPr>
      </w:pPr>
      <w:r>
        <w:rPr>
          <w:rFonts w:ascii="Verdana" w:hAnsi="Verdana"/>
        </w:rPr>
        <w:t>Obtemos entendimento dos controles internos relevantes para a auditoria para planejarmos procedimentos de auditoria apropriados às circunstâncias, mas não com</w:t>
      </w:r>
      <w:r>
        <w:rPr>
          <w:rFonts w:ascii="Verdana" w:hAnsi="Verdana"/>
          <w:spacing w:val="-10"/>
        </w:rPr>
        <w:t xml:space="preserve"> </w:t>
      </w:r>
      <w:r>
        <w:rPr>
          <w:rFonts w:ascii="Verdana" w:hAnsi="Verdana"/>
        </w:rPr>
        <w:t>o</w:t>
      </w:r>
      <w:r>
        <w:rPr>
          <w:rFonts w:ascii="Verdana" w:hAnsi="Verdana"/>
          <w:spacing w:val="-6"/>
        </w:rPr>
        <w:t xml:space="preserve"> </w:t>
      </w:r>
      <w:r>
        <w:rPr>
          <w:rFonts w:ascii="Verdana" w:hAnsi="Verdana"/>
        </w:rPr>
        <w:t>objetivo</w:t>
      </w:r>
      <w:r>
        <w:rPr>
          <w:rFonts w:ascii="Verdana" w:hAnsi="Verdana"/>
          <w:spacing w:val="-9"/>
        </w:rPr>
        <w:t xml:space="preserve"> </w:t>
      </w:r>
      <w:r>
        <w:rPr>
          <w:rFonts w:ascii="Verdana" w:hAnsi="Verdana"/>
        </w:rPr>
        <w:t>de</w:t>
      </w:r>
      <w:r>
        <w:rPr>
          <w:rFonts w:ascii="Verdana" w:hAnsi="Verdana"/>
          <w:spacing w:val="-9"/>
        </w:rPr>
        <w:t xml:space="preserve"> </w:t>
      </w:r>
      <w:r>
        <w:rPr>
          <w:rFonts w:ascii="Verdana" w:hAnsi="Verdana"/>
        </w:rPr>
        <w:t>expressarmos</w:t>
      </w:r>
      <w:r>
        <w:rPr>
          <w:rFonts w:ascii="Verdana" w:hAnsi="Verdana"/>
          <w:spacing w:val="-8"/>
        </w:rPr>
        <w:t xml:space="preserve"> </w:t>
      </w:r>
      <w:r>
        <w:rPr>
          <w:rFonts w:ascii="Verdana" w:hAnsi="Verdana"/>
        </w:rPr>
        <w:t>opinião</w:t>
      </w:r>
      <w:r>
        <w:rPr>
          <w:rFonts w:ascii="Verdana" w:hAnsi="Verdana"/>
          <w:spacing w:val="-9"/>
        </w:rPr>
        <w:t xml:space="preserve"> </w:t>
      </w:r>
      <w:r>
        <w:rPr>
          <w:rFonts w:ascii="Verdana" w:hAnsi="Verdana"/>
        </w:rPr>
        <w:t>sobre</w:t>
      </w:r>
      <w:r>
        <w:rPr>
          <w:rFonts w:ascii="Verdana" w:hAnsi="Verdana"/>
          <w:spacing w:val="-11"/>
        </w:rPr>
        <w:t xml:space="preserve"> </w:t>
      </w:r>
      <w:r>
        <w:rPr>
          <w:rFonts w:ascii="Verdana" w:hAnsi="Verdana"/>
        </w:rPr>
        <w:t>a</w:t>
      </w:r>
      <w:r>
        <w:rPr>
          <w:rFonts w:ascii="Verdana" w:hAnsi="Verdana"/>
          <w:spacing w:val="-9"/>
        </w:rPr>
        <w:t xml:space="preserve"> </w:t>
      </w:r>
      <w:r>
        <w:rPr>
          <w:rFonts w:ascii="Verdana" w:hAnsi="Verdana"/>
        </w:rPr>
        <w:t>eficácia</w:t>
      </w:r>
      <w:r>
        <w:rPr>
          <w:rFonts w:ascii="Verdana" w:hAnsi="Verdana"/>
          <w:spacing w:val="-7"/>
        </w:rPr>
        <w:t xml:space="preserve"> </w:t>
      </w:r>
      <w:r>
        <w:rPr>
          <w:rFonts w:ascii="Verdana" w:hAnsi="Verdana"/>
        </w:rPr>
        <w:t>dos</w:t>
      </w:r>
      <w:r>
        <w:rPr>
          <w:rFonts w:ascii="Verdana" w:hAnsi="Verdana"/>
          <w:spacing w:val="-10"/>
        </w:rPr>
        <w:t xml:space="preserve"> </w:t>
      </w:r>
      <w:r>
        <w:rPr>
          <w:rFonts w:ascii="Verdana" w:hAnsi="Verdana"/>
        </w:rPr>
        <w:t>controles</w:t>
      </w:r>
      <w:r>
        <w:rPr>
          <w:rFonts w:ascii="Verdana" w:hAnsi="Verdana"/>
          <w:spacing w:val="-8"/>
        </w:rPr>
        <w:t xml:space="preserve"> </w:t>
      </w:r>
      <w:r>
        <w:rPr>
          <w:rFonts w:ascii="Verdana" w:hAnsi="Verdana"/>
        </w:rPr>
        <w:t>internos</w:t>
      </w:r>
      <w:r>
        <w:rPr>
          <w:rFonts w:ascii="Verdana" w:hAnsi="Verdana"/>
          <w:spacing w:val="-8"/>
        </w:rPr>
        <w:t xml:space="preserve"> </w:t>
      </w:r>
      <w:r>
        <w:rPr>
          <w:rFonts w:ascii="Verdana" w:hAnsi="Verdana"/>
        </w:rPr>
        <w:t xml:space="preserve">da </w:t>
      </w:r>
      <w:r>
        <w:rPr>
          <w:rFonts w:ascii="Verdana" w:hAnsi="Verdana"/>
          <w:spacing w:val="-2"/>
        </w:rPr>
        <w:t>Companhia.</w:t>
      </w:r>
    </w:p>
    <w:p w14:paraId="3FACFDA7" w14:textId="77777777" w:rsidR="002C6574" w:rsidRDefault="002C6574">
      <w:pPr>
        <w:pStyle w:val="Corpodetexto"/>
        <w:spacing w:before="1"/>
        <w:rPr>
          <w:rFonts w:ascii="Verdana"/>
        </w:rPr>
      </w:pPr>
    </w:p>
    <w:p w14:paraId="6A8BD56B" w14:textId="77777777" w:rsidR="002C6574" w:rsidRDefault="00000000">
      <w:pPr>
        <w:pStyle w:val="PargrafodaLista"/>
        <w:numPr>
          <w:ilvl w:val="0"/>
          <w:numId w:val="55"/>
        </w:numPr>
        <w:tabs>
          <w:tab w:val="left" w:pos="924"/>
        </w:tabs>
        <w:ind w:right="278" w:firstLine="0"/>
        <w:jc w:val="both"/>
        <w:rPr>
          <w:rFonts w:ascii="Verdana" w:hAnsi="Verdana"/>
        </w:rPr>
      </w:pPr>
      <w:r>
        <w:rPr>
          <w:rFonts w:ascii="Verdana" w:hAnsi="Verdana"/>
        </w:rPr>
        <w:t>Avaliamos a adequação das políticas contábeis utilizadas e a razoabilidade das estimativas</w:t>
      </w:r>
      <w:r>
        <w:rPr>
          <w:rFonts w:ascii="Verdana" w:hAnsi="Verdana"/>
          <w:spacing w:val="-13"/>
        </w:rPr>
        <w:t xml:space="preserve"> </w:t>
      </w:r>
      <w:r>
        <w:rPr>
          <w:rFonts w:ascii="Verdana" w:hAnsi="Verdana"/>
        </w:rPr>
        <w:t>contábeis</w:t>
      </w:r>
      <w:r>
        <w:rPr>
          <w:rFonts w:ascii="Verdana" w:hAnsi="Verdana"/>
          <w:spacing w:val="-11"/>
        </w:rPr>
        <w:t xml:space="preserve"> </w:t>
      </w:r>
      <w:r>
        <w:rPr>
          <w:rFonts w:ascii="Verdana" w:hAnsi="Verdana"/>
        </w:rPr>
        <w:t>e</w:t>
      </w:r>
      <w:r>
        <w:rPr>
          <w:rFonts w:ascii="Verdana" w:hAnsi="Verdana"/>
          <w:spacing w:val="-10"/>
        </w:rPr>
        <w:t xml:space="preserve"> </w:t>
      </w:r>
      <w:r>
        <w:rPr>
          <w:rFonts w:ascii="Verdana" w:hAnsi="Verdana"/>
        </w:rPr>
        <w:t>respectivas</w:t>
      </w:r>
      <w:r>
        <w:rPr>
          <w:rFonts w:ascii="Verdana" w:hAnsi="Verdana"/>
          <w:spacing w:val="-12"/>
        </w:rPr>
        <w:t xml:space="preserve"> </w:t>
      </w:r>
      <w:r>
        <w:rPr>
          <w:rFonts w:ascii="Verdana" w:hAnsi="Verdana"/>
        </w:rPr>
        <w:t>divulgações</w:t>
      </w:r>
      <w:r>
        <w:rPr>
          <w:rFonts w:ascii="Verdana" w:hAnsi="Verdana"/>
          <w:spacing w:val="-10"/>
        </w:rPr>
        <w:t xml:space="preserve"> </w:t>
      </w:r>
      <w:r>
        <w:rPr>
          <w:rFonts w:ascii="Verdana" w:hAnsi="Verdana"/>
        </w:rPr>
        <w:t>feitas</w:t>
      </w:r>
      <w:r>
        <w:rPr>
          <w:rFonts w:ascii="Verdana" w:hAnsi="Verdana"/>
          <w:spacing w:val="-13"/>
        </w:rPr>
        <w:t xml:space="preserve"> </w:t>
      </w:r>
      <w:r>
        <w:rPr>
          <w:rFonts w:ascii="Verdana" w:hAnsi="Verdana"/>
        </w:rPr>
        <w:t>pela</w:t>
      </w:r>
      <w:r>
        <w:rPr>
          <w:rFonts w:ascii="Verdana" w:hAnsi="Verdana"/>
          <w:spacing w:val="-10"/>
        </w:rPr>
        <w:t xml:space="preserve"> </w:t>
      </w:r>
      <w:r>
        <w:rPr>
          <w:rFonts w:ascii="Verdana" w:hAnsi="Verdana"/>
        </w:rPr>
        <w:t>administração.</w:t>
      </w:r>
    </w:p>
    <w:p w14:paraId="11875D57" w14:textId="77777777" w:rsidR="002C6574" w:rsidRDefault="002C6574">
      <w:pPr>
        <w:pStyle w:val="Corpodetexto"/>
        <w:spacing w:before="6"/>
        <w:rPr>
          <w:rFonts w:ascii="Verdana"/>
        </w:rPr>
      </w:pPr>
    </w:p>
    <w:p w14:paraId="11148290" w14:textId="77777777" w:rsidR="002C6574" w:rsidRDefault="00000000">
      <w:pPr>
        <w:pStyle w:val="PargrafodaLista"/>
        <w:numPr>
          <w:ilvl w:val="0"/>
          <w:numId w:val="55"/>
        </w:numPr>
        <w:tabs>
          <w:tab w:val="left" w:pos="911"/>
        </w:tabs>
        <w:spacing w:line="242" w:lineRule="auto"/>
        <w:ind w:right="275" w:firstLine="0"/>
        <w:jc w:val="both"/>
        <w:rPr>
          <w:rFonts w:ascii="Verdana" w:hAnsi="Verdana"/>
        </w:rPr>
      </w:pPr>
      <w:r>
        <w:rPr>
          <w:rFonts w:ascii="Verdana" w:hAnsi="Verdana"/>
        </w:rPr>
        <w:t>Concluímos sobre a adequação do uso, pela administração, da base contábil de continuidade</w:t>
      </w:r>
      <w:r>
        <w:rPr>
          <w:rFonts w:ascii="Verdana" w:hAnsi="Verdana"/>
          <w:spacing w:val="-20"/>
        </w:rPr>
        <w:t xml:space="preserve"> </w:t>
      </w:r>
      <w:r>
        <w:rPr>
          <w:rFonts w:ascii="Verdana" w:hAnsi="Verdana"/>
        </w:rPr>
        <w:t>operacional</w:t>
      </w:r>
      <w:r>
        <w:rPr>
          <w:rFonts w:ascii="Verdana" w:hAnsi="Verdana"/>
          <w:spacing w:val="-19"/>
        </w:rPr>
        <w:t xml:space="preserve"> </w:t>
      </w:r>
      <w:r>
        <w:rPr>
          <w:rFonts w:ascii="Verdana" w:hAnsi="Verdana"/>
        </w:rPr>
        <w:t>e,</w:t>
      </w:r>
      <w:r>
        <w:rPr>
          <w:rFonts w:ascii="Verdana" w:hAnsi="Verdana"/>
          <w:spacing w:val="-19"/>
        </w:rPr>
        <w:t xml:space="preserve"> </w:t>
      </w:r>
      <w:r>
        <w:rPr>
          <w:rFonts w:ascii="Verdana" w:hAnsi="Verdana"/>
        </w:rPr>
        <w:t>com</w:t>
      </w:r>
      <w:r>
        <w:rPr>
          <w:rFonts w:ascii="Verdana" w:hAnsi="Verdana"/>
          <w:spacing w:val="-20"/>
        </w:rPr>
        <w:t xml:space="preserve"> </w:t>
      </w:r>
      <w:r>
        <w:rPr>
          <w:rFonts w:ascii="Verdana" w:hAnsi="Verdana"/>
        </w:rPr>
        <w:t>base</w:t>
      </w:r>
      <w:r>
        <w:rPr>
          <w:rFonts w:ascii="Verdana" w:hAnsi="Verdana"/>
          <w:spacing w:val="-19"/>
        </w:rPr>
        <w:t xml:space="preserve"> </w:t>
      </w:r>
      <w:r>
        <w:rPr>
          <w:rFonts w:ascii="Verdana" w:hAnsi="Verdana"/>
        </w:rPr>
        <w:t>nas</w:t>
      </w:r>
      <w:r>
        <w:rPr>
          <w:rFonts w:ascii="Verdana" w:hAnsi="Verdana"/>
          <w:spacing w:val="-20"/>
        </w:rPr>
        <w:t xml:space="preserve"> </w:t>
      </w:r>
      <w:r>
        <w:rPr>
          <w:rFonts w:ascii="Verdana" w:hAnsi="Verdana"/>
        </w:rPr>
        <w:t>evidências</w:t>
      </w:r>
      <w:r>
        <w:rPr>
          <w:rFonts w:ascii="Verdana" w:hAnsi="Verdana"/>
          <w:spacing w:val="-19"/>
        </w:rPr>
        <w:t xml:space="preserve"> </w:t>
      </w:r>
      <w:r>
        <w:rPr>
          <w:rFonts w:ascii="Verdana" w:hAnsi="Verdana"/>
        </w:rPr>
        <w:t>de</w:t>
      </w:r>
      <w:r>
        <w:rPr>
          <w:rFonts w:ascii="Verdana" w:hAnsi="Verdana"/>
          <w:spacing w:val="-19"/>
        </w:rPr>
        <w:t xml:space="preserve"> </w:t>
      </w:r>
      <w:r>
        <w:rPr>
          <w:rFonts w:ascii="Verdana" w:hAnsi="Verdana"/>
        </w:rPr>
        <w:t>auditoria</w:t>
      </w:r>
      <w:r>
        <w:rPr>
          <w:rFonts w:ascii="Verdana" w:hAnsi="Verdana"/>
          <w:spacing w:val="-20"/>
        </w:rPr>
        <w:t xml:space="preserve"> </w:t>
      </w:r>
      <w:r>
        <w:rPr>
          <w:rFonts w:ascii="Verdana" w:hAnsi="Verdana"/>
        </w:rPr>
        <w:t>obtidas,</w:t>
      </w:r>
      <w:r>
        <w:rPr>
          <w:rFonts w:ascii="Verdana" w:hAnsi="Verdana"/>
          <w:spacing w:val="-19"/>
        </w:rPr>
        <w:t xml:space="preserve"> </w:t>
      </w:r>
      <w:r>
        <w:rPr>
          <w:rFonts w:ascii="Verdana" w:hAnsi="Verdana"/>
        </w:rPr>
        <w:t>se</w:t>
      </w:r>
      <w:r>
        <w:rPr>
          <w:rFonts w:ascii="Verdana" w:hAnsi="Verdana"/>
          <w:spacing w:val="-19"/>
        </w:rPr>
        <w:t xml:space="preserve"> </w:t>
      </w:r>
      <w:r>
        <w:rPr>
          <w:rFonts w:ascii="Verdana" w:hAnsi="Verdana"/>
        </w:rPr>
        <w:t>existe incerteza</w:t>
      </w:r>
      <w:r>
        <w:rPr>
          <w:rFonts w:ascii="Verdana" w:hAnsi="Verdana"/>
          <w:spacing w:val="-20"/>
        </w:rPr>
        <w:t xml:space="preserve"> </w:t>
      </w:r>
      <w:r>
        <w:rPr>
          <w:rFonts w:ascii="Verdana" w:hAnsi="Verdana"/>
        </w:rPr>
        <w:t>relevante</w:t>
      </w:r>
      <w:r>
        <w:rPr>
          <w:rFonts w:ascii="Verdana" w:hAnsi="Verdana"/>
          <w:spacing w:val="-19"/>
        </w:rPr>
        <w:t xml:space="preserve"> </w:t>
      </w:r>
      <w:r>
        <w:rPr>
          <w:rFonts w:ascii="Verdana" w:hAnsi="Verdana"/>
        </w:rPr>
        <w:t>em</w:t>
      </w:r>
      <w:r>
        <w:rPr>
          <w:rFonts w:ascii="Verdana" w:hAnsi="Verdana"/>
          <w:spacing w:val="-19"/>
        </w:rPr>
        <w:t xml:space="preserve"> </w:t>
      </w:r>
      <w:r>
        <w:rPr>
          <w:rFonts w:ascii="Verdana" w:hAnsi="Verdana"/>
        </w:rPr>
        <w:t>relação</w:t>
      </w:r>
      <w:r>
        <w:rPr>
          <w:rFonts w:ascii="Verdana" w:hAnsi="Verdana"/>
          <w:spacing w:val="-20"/>
        </w:rPr>
        <w:t xml:space="preserve"> </w:t>
      </w:r>
      <w:r>
        <w:rPr>
          <w:rFonts w:ascii="Verdana" w:hAnsi="Verdana"/>
        </w:rPr>
        <w:t>a</w:t>
      </w:r>
      <w:r>
        <w:rPr>
          <w:rFonts w:ascii="Verdana" w:hAnsi="Verdana"/>
          <w:spacing w:val="-19"/>
        </w:rPr>
        <w:t xml:space="preserve"> </w:t>
      </w:r>
      <w:r>
        <w:rPr>
          <w:rFonts w:ascii="Verdana" w:hAnsi="Verdana"/>
        </w:rPr>
        <w:t>eventos</w:t>
      </w:r>
      <w:r>
        <w:rPr>
          <w:rFonts w:ascii="Verdana" w:hAnsi="Verdana"/>
          <w:spacing w:val="-20"/>
        </w:rPr>
        <w:t xml:space="preserve"> </w:t>
      </w:r>
      <w:r>
        <w:rPr>
          <w:rFonts w:ascii="Verdana" w:hAnsi="Verdana"/>
        </w:rPr>
        <w:t>ou</w:t>
      </w:r>
      <w:r>
        <w:rPr>
          <w:rFonts w:ascii="Verdana" w:hAnsi="Verdana"/>
          <w:spacing w:val="-19"/>
        </w:rPr>
        <w:t xml:space="preserve"> </w:t>
      </w:r>
      <w:r>
        <w:rPr>
          <w:rFonts w:ascii="Verdana" w:hAnsi="Verdana"/>
        </w:rPr>
        <w:t>condições</w:t>
      </w:r>
      <w:r>
        <w:rPr>
          <w:rFonts w:ascii="Verdana" w:hAnsi="Verdana"/>
          <w:spacing w:val="-19"/>
        </w:rPr>
        <w:t xml:space="preserve"> </w:t>
      </w:r>
      <w:r>
        <w:rPr>
          <w:rFonts w:ascii="Verdana" w:hAnsi="Verdana"/>
        </w:rPr>
        <w:t>que</w:t>
      </w:r>
      <w:r>
        <w:rPr>
          <w:rFonts w:ascii="Verdana" w:hAnsi="Verdana"/>
          <w:spacing w:val="-20"/>
        </w:rPr>
        <w:t xml:space="preserve"> </w:t>
      </w:r>
      <w:r>
        <w:rPr>
          <w:rFonts w:ascii="Verdana" w:hAnsi="Verdana"/>
        </w:rPr>
        <w:t>possam</w:t>
      </w:r>
      <w:r>
        <w:rPr>
          <w:rFonts w:ascii="Verdana" w:hAnsi="Verdana"/>
          <w:spacing w:val="-19"/>
        </w:rPr>
        <w:t xml:space="preserve"> </w:t>
      </w:r>
      <w:r>
        <w:rPr>
          <w:rFonts w:ascii="Verdana" w:hAnsi="Verdana"/>
        </w:rPr>
        <w:t>levantar</w:t>
      </w:r>
      <w:r>
        <w:rPr>
          <w:rFonts w:ascii="Verdana" w:hAnsi="Verdana"/>
          <w:spacing w:val="-19"/>
        </w:rPr>
        <w:t xml:space="preserve"> </w:t>
      </w:r>
      <w:r>
        <w:rPr>
          <w:rFonts w:ascii="Verdana" w:hAnsi="Verdana"/>
        </w:rPr>
        <w:t>dúvida significativa</w:t>
      </w:r>
      <w:r>
        <w:rPr>
          <w:rFonts w:ascii="Verdana" w:hAnsi="Verdana"/>
          <w:spacing w:val="40"/>
        </w:rPr>
        <w:t xml:space="preserve"> </w:t>
      </w:r>
      <w:r>
        <w:rPr>
          <w:rFonts w:ascii="Verdana" w:hAnsi="Verdana"/>
        </w:rPr>
        <w:t>em</w:t>
      </w:r>
      <w:r>
        <w:rPr>
          <w:rFonts w:ascii="Verdana" w:hAnsi="Verdana"/>
          <w:spacing w:val="40"/>
        </w:rPr>
        <w:t xml:space="preserve"> </w:t>
      </w:r>
      <w:r>
        <w:rPr>
          <w:rFonts w:ascii="Verdana" w:hAnsi="Verdana"/>
        </w:rPr>
        <w:t>relação</w:t>
      </w:r>
      <w:r>
        <w:rPr>
          <w:rFonts w:ascii="Verdana" w:hAnsi="Verdana"/>
          <w:spacing w:val="40"/>
        </w:rPr>
        <w:t xml:space="preserve"> </w:t>
      </w:r>
      <w:r>
        <w:rPr>
          <w:rFonts w:ascii="Verdana" w:hAnsi="Verdana"/>
        </w:rPr>
        <w:t>à</w:t>
      </w:r>
      <w:r>
        <w:rPr>
          <w:rFonts w:ascii="Verdana" w:hAnsi="Verdana"/>
          <w:spacing w:val="40"/>
        </w:rPr>
        <w:t xml:space="preserve"> </w:t>
      </w:r>
      <w:r>
        <w:rPr>
          <w:rFonts w:ascii="Verdana" w:hAnsi="Verdana"/>
        </w:rPr>
        <w:t>capacidade</w:t>
      </w:r>
      <w:r>
        <w:rPr>
          <w:rFonts w:ascii="Verdana" w:hAnsi="Verdana"/>
          <w:spacing w:val="40"/>
        </w:rPr>
        <w:t xml:space="preserve"> </w:t>
      </w:r>
      <w:r>
        <w:rPr>
          <w:rFonts w:ascii="Verdana" w:hAnsi="Verdana"/>
        </w:rPr>
        <w:t>de</w:t>
      </w:r>
      <w:r>
        <w:rPr>
          <w:rFonts w:ascii="Verdana" w:hAnsi="Verdana"/>
          <w:spacing w:val="40"/>
        </w:rPr>
        <w:t xml:space="preserve"> </w:t>
      </w:r>
      <w:r>
        <w:rPr>
          <w:rFonts w:ascii="Verdana" w:hAnsi="Verdana"/>
        </w:rPr>
        <w:t>continuidade</w:t>
      </w:r>
      <w:r>
        <w:rPr>
          <w:rFonts w:ascii="Verdana" w:hAnsi="Verdana"/>
          <w:spacing w:val="40"/>
        </w:rPr>
        <w:t xml:space="preserve"> </w:t>
      </w:r>
      <w:r>
        <w:rPr>
          <w:rFonts w:ascii="Verdana" w:hAnsi="Verdana"/>
        </w:rPr>
        <w:t>operacional</w:t>
      </w:r>
      <w:r>
        <w:rPr>
          <w:rFonts w:ascii="Verdana" w:hAnsi="Verdana"/>
          <w:spacing w:val="40"/>
        </w:rPr>
        <w:t xml:space="preserve"> </w:t>
      </w:r>
      <w:r>
        <w:rPr>
          <w:rFonts w:ascii="Verdana" w:hAnsi="Verdana"/>
        </w:rPr>
        <w:t xml:space="preserve">da Companhia. Se concluirmos que existe incerteza relevante, devemos chamar atenção em nosso relatório de auditoria para as respectivas divulgações nas </w:t>
      </w:r>
      <w:r>
        <w:rPr>
          <w:rFonts w:ascii="Verdana" w:hAnsi="Verdana"/>
          <w:spacing w:val="-2"/>
        </w:rPr>
        <w:t>demonstrações</w:t>
      </w:r>
      <w:r>
        <w:rPr>
          <w:rFonts w:ascii="Verdana" w:hAnsi="Verdana"/>
          <w:spacing w:val="-18"/>
        </w:rPr>
        <w:t xml:space="preserve"> </w:t>
      </w:r>
      <w:r>
        <w:rPr>
          <w:rFonts w:ascii="Verdana" w:hAnsi="Verdana"/>
          <w:spacing w:val="-2"/>
        </w:rPr>
        <w:t>contábeis</w:t>
      </w:r>
      <w:r>
        <w:rPr>
          <w:rFonts w:ascii="Verdana" w:hAnsi="Verdana"/>
          <w:spacing w:val="-17"/>
        </w:rPr>
        <w:t xml:space="preserve"> </w:t>
      </w:r>
      <w:r>
        <w:rPr>
          <w:rFonts w:ascii="Verdana" w:hAnsi="Verdana"/>
          <w:spacing w:val="-2"/>
        </w:rPr>
        <w:t>ou</w:t>
      </w:r>
      <w:r>
        <w:rPr>
          <w:rFonts w:ascii="Verdana" w:hAnsi="Verdana"/>
          <w:spacing w:val="-17"/>
        </w:rPr>
        <w:t xml:space="preserve"> </w:t>
      </w:r>
      <w:r>
        <w:rPr>
          <w:rFonts w:ascii="Verdana" w:hAnsi="Verdana"/>
          <w:spacing w:val="-2"/>
        </w:rPr>
        <w:t>incluir</w:t>
      </w:r>
      <w:r>
        <w:rPr>
          <w:rFonts w:ascii="Verdana" w:hAnsi="Verdana"/>
          <w:spacing w:val="-18"/>
        </w:rPr>
        <w:t xml:space="preserve"> </w:t>
      </w:r>
      <w:r>
        <w:rPr>
          <w:rFonts w:ascii="Verdana" w:hAnsi="Verdana"/>
          <w:spacing w:val="-2"/>
        </w:rPr>
        <w:t>modificação</w:t>
      </w:r>
      <w:r>
        <w:rPr>
          <w:rFonts w:ascii="Verdana" w:hAnsi="Verdana"/>
          <w:spacing w:val="-17"/>
        </w:rPr>
        <w:t xml:space="preserve"> </w:t>
      </w:r>
      <w:r>
        <w:rPr>
          <w:rFonts w:ascii="Verdana" w:hAnsi="Verdana"/>
          <w:spacing w:val="-2"/>
        </w:rPr>
        <w:t>em</w:t>
      </w:r>
      <w:r>
        <w:rPr>
          <w:rFonts w:ascii="Verdana" w:hAnsi="Verdana"/>
          <w:spacing w:val="-18"/>
        </w:rPr>
        <w:t xml:space="preserve"> </w:t>
      </w:r>
      <w:r>
        <w:rPr>
          <w:rFonts w:ascii="Verdana" w:hAnsi="Verdana"/>
          <w:spacing w:val="-2"/>
        </w:rPr>
        <w:t>nossa</w:t>
      </w:r>
      <w:r>
        <w:rPr>
          <w:rFonts w:ascii="Verdana" w:hAnsi="Verdana"/>
          <w:spacing w:val="-17"/>
        </w:rPr>
        <w:t xml:space="preserve"> </w:t>
      </w:r>
      <w:r>
        <w:rPr>
          <w:rFonts w:ascii="Verdana" w:hAnsi="Verdana"/>
          <w:spacing w:val="-2"/>
        </w:rPr>
        <w:t>opinião,</w:t>
      </w:r>
      <w:r>
        <w:rPr>
          <w:rFonts w:ascii="Verdana" w:hAnsi="Verdana"/>
          <w:spacing w:val="-17"/>
        </w:rPr>
        <w:t xml:space="preserve"> </w:t>
      </w:r>
      <w:r>
        <w:rPr>
          <w:rFonts w:ascii="Verdana" w:hAnsi="Verdana"/>
          <w:spacing w:val="-2"/>
        </w:rPr>
        <w:t>se</w:t>
      </w:r>
      <w:r>
        <w:rPr>
          <w:rFonts w:ascii="Verdana" w:hAnsi="Verdana"/>
          <w:spacing w:val="-18"/>
        </w:rPr>
        <w:t xml:space="preserve"> </w:t>
      </w:r>
      <w:r>
        <w:rPr>
          <w:rFonts w:ascii="Verdana" w:hAnsi="Verdana"/>
          <w:spacing w:val="-2"/>
        </w:rPr>
        <w:t>as</w:t>
      </w:r>
      <w:r>
        <w:rPr>
          <w:rFonts w:ascii="Verdana" w:hAnsi="Verdana"/>
          <w:spacing w:val="-17"/>
        </w:rPr>
        <w:t xml:space="preserve"> </w:t>
      </w:r>
      <w:r>
        <w:rPr>
          <w:rFonts w:ascii="Verdana" w:hAnsi="Verdana"/>
          <w:spacing w:val="-2"/>
        </w:rPr>
        <w:t xml:space="preserve">divulgações </w:t>
      </w:r>
      <w:r>
        <w:rPr>
          <w:rFonts w:ascii="Verdana" w:hAnsi="Verdana"/>
        </w:rPr>
        <w:t>forem</w:t>
      </w:r>
      <w:r>
        <w:rPr>
          <w:rFonts w:ascii="Verdana" w:hAnsi="Verdana"/>
          <w:spacing w:val="27"/>
        </w:rPr>
        <w:t xml:space="preserve"> </w:t>
      </w:r>
      <w:r>
        <w:rPr>
          <w:rFonts w:ascii="Verdana" w:hAnsi="Verdana"/>
        </w:rPr>
        <w:t>inadequadas.</w:t>
      </w:r>
      <w:r>
        <w:rPr>
          <w:rFonts w:ascii="Verdana" w:hAnsi="Verdana"/>
          <w:spacing w:val="26"/>
        </w:rPr>
        <w:t xml:space="preserve"> </w:t>
      </w:r>
      <w:r>
        <w:rPr>
          <w:rFonts w:ascii="Verdana" w:hAnsi="Verdana"/>
        </w:rPr>
        <w:t>Nossas</w:t>
      </w:r>
      <w:r>
        <w:rPr>
          <w:rFonts w:ascii="Verdana" w:hAnsi="Verdana"/>
          <w:spacing w:val="26"/>
        </w:rPr>
        <w:t xml:space="preserve"> </w:t>
      </w:r>
      <w:r>
        <w:rPr>
          <w:rFonts w:ascii="Verdana" w:hAnsi="Verdana"/>
        </w:rPr>
        <w:t>conclusões</w:t>
      </w:r>
      <w:r>
        <w:rPr>
          <w:rFonts w:ascii="Verdana" w:hAnsi="Verdana"/>
          <w:spacing w:val="26"/>
        </w:rPr>
        <w:t xml:space="preserve"> </w:t>
      </w:r>
      <w:r>
        <w:rPr>
          <w:rFonts w:ascii="Verdana" w:hAnsi="Verdana"/>
        </w:rPr>
        <w:t>estão</w:t>
      </w:r>
      <w:r>
        <w:rPr>
          <w:rFonts w:ascii="Verdana" w:hAnsi="Verdana"/>
          <w:spacing w:val="26"/>
        </w:rPr>
        <w:t xml:space="preserve"> </w:t>
      </w:r>
      <w:r>
        <w:rPr>
          <w:rFonts w:ascii="Verdana" w:hAnsi="Verdana"/>
        </w:rPr>
        <w:t>fundamentadas</w:t>
      </w:r>
      <w:r>
        <w:rPr>
          <w:rFonts w:ascii="Verdana" w:hAnsi="Verdana"/>
          <w:spacing w:val="31"/>
        </w:rPr>
        <w:t xml:space="preserve"> </w:t>
      </w:r>
      <w:r>
        <w:rPr>
          <w:rFonts w:ascii="Verdana" w:hAnsi="Verdana"/>
        </w:rPr>
        <w:t>nas</w:t>
      </w:r>
      <w:r>
        <w:rPr>
          <w:rFonts w:ascii="Verdana" w:hAnsi="Verdana"/>
          <w:spacing w:val="26"/>
        </w:rPr>
        <w:t xml:space="preserve"> </w:t>
      </w:r>
      <w:r>
        <w:rPr>
          <w:rFonts w:ascii="Verdana" w:hAnsi="Verdana"/>
        </w:rPr>
        <w:t>evidências</w:t>
      </w:r>
      <w:r>
        <w:rPr>
          <w:rFonts w:ascii="Verdana" w:hAnsi="Verdana"/>
          <w:spacing w:val="27"/>
        </w:rPr>
        <w:t xml:space="preserve"> </w:t>
      </w:r>
      <w:r>
        <w:rPr>
          <w:rFonts w:ascii="Verdana" w:hAnsi="Verdana"/>
        </w:rPr>
        <w:t>de</w:t>
      </w:r>
    </w:p>
    <w:p w14:paraId="5AE18B61" w14:textId="77777777" w:rsidR="002C6574" w:rsidRDefault="002C6574">
      <w:pPr>
        <w:pStyle w:val="PargrafodaLista"/>
        <w:spacing w:line="242" w:lineRule="auto"/>
        <w:jc w:val="both"/>
        <w:rPr>
          <w:rFonts w:ascii="Verdana" w:hAnsi="Verdana"/>
        </w:rPr>
        <w:sectPr w:rsidR="002C6574">
          <w:pgSz w:w="11910" w:h="16840"/>
          <w:pgMar w:top="1860" w:right="850" w:bottom="1440" w:left="992" w:header="826" w:footer="1241" w:gutter="0"/>
          <w:cols w:space="720"/>
        </w:sectPr>
      </w:pPr>
    </w:p>
    <w:p w14:paraId="19ACE381" w14:textId="77777777" w:rsidR="002C6574" w:rsidRDefault="00000000">
      <w:pPr>
        <w:pStyle w:val="Corpodetexto"/>
        <w:spacing w:before="257" w:line="242" w:lineRule="auto"/>
        <w:ind w:left="709" w:right="276"/>
        <w:jc w:val="both"/>
        <w:rPr>
          <w:rFonts w:ascii="Verdana" w:hAnsi="Verdana"/>
        </w:rPr>
      </w:pPr>
      <w:r>
        <w:rPr>
          <w:rFonts w:ascii="Verdana" w:hAnsi="Verdana"/>
          <w:spacing w:val="-4"/>
        </w:rPr>
        <w:lastRenderedPageBreak/>
        <w:t>auditoria</w:t>
      </w:r>
      <w:r>
        <w:rPr>
          <w:rFonts w:ascii="Verdana" w:hAnsi="Verdana"/>
          <w:spacing w:val="-16"/>
        </w:rPr>
        <w:t xml:space="preserve"> </w:t>
      </w:r>
      <w:r>
        <w:rPr>
          <w:rFonts w:ascii="Verdana" w:hAnsi="Verdana"/>
          <w:spacing w:val="-4"/>
        </w:rPr>
        <w:t>obtidas</w:t>
      </w:r>
      <w:r>
        <w:rPr>
          <w:rFonts w:ascii="Verdana" w:hAnsi="Verdana"/>
          <w:spacing w:val="-15"/>
        </w:rPr>
        <w:t xml:space="preserve"> </w:t>
      </w:r>
      <w:r>
        <w:rPr>
          <w:rFonts w:ascii="Verdana" w:hAnsi="Verdana"/>
          <w:spacing w:val="-4"/>
        </w:rPr>
        <w:t>até</w:t>
      </w:r>
      <w:r>
        <w:rPr>
          <w:rFonts w:ascii="Verdana" w:hAnsi="Verdana"/>
          <w:spacing w:val="-15"/>
        </w:rPr>
        <w:t xml:space="preserve"> </w:t>
      </w:r>
      <w:r>
        <w:rPr>
          <w:rFonts w:ascii="Verdana" w:hAnsi="Verdana"/>
          <w:spacing w:val="-4"/>
        </w:rPr>
        <w:t>a</w:t>
      </w:r>
      <w:r>
        <w:rPr>
          <w:rFonts w:ascii="Verdana" w:hAnsi="Verdana"/>
          <w:spacing w:val="-16"/>
        </w:rPr>
        <w:t xml:space="preserve"> </w:t>
      </w:r>
      <w:r>
        <w:rPr>
          <w:rFonts w:ascii="Verdana" w:hAnsi="Verdana"/>
          <w:spacing w:val="-4"/>
        </w:rPr>
        <w:t>data</w:t>
      </w:r>
      <w:r>
        <w:rPr>
          <w:rFonts w:ascii="Verdana" w:hAnsi="Verdana"/>
          <w:spacing w:val="-15"/>
        </w:rPr>
        <w:t xml:space="preserve"> </w:t>
      </w:r>
      <w:r>
        <w:rPr>
          <w:rFonts w:ascii="Verdana" w:hAnsi="Verdana"/>
          <w:spacing w:val="-4"/>
        </w:rPr>
        <w:t>do</w:t>
      </w:r>
      <w:r>
        <w:rPr>
          <w:rFonts w:ascii="Verdana" w:hAnsi="Verdana"/>
          <w:spacing w:val="-16"/>
        </w:rPr>
        <w:t xml:space="preserve"> </w:t>
      </w:r>
      <w:r>
        <w:rPr>
          <w:rFonts w:ascii="Verdana" w:hAnsi="Verdana"/>
          <w:spacing w:val="-4"/>
        </w:rPr>
        <w:t>nosso</w:t>
      </w:r>
      <w:r>
        <w:rPr>
          <w:rFonts w:ascii="Verdana" w:hAnsi="Verdana"/>
          <w:spacing w:val="-15"/>
        </w:rPr>
        <w:t xml:space="preserve"> </w:t>
      </w:r>
      <w:r>
        <w:rPr>
          <w:rFonts w:ascii="Verdana" w:hAnsi="Verdana"/>
          <w:spacing w:val="-4"/>
        </w:rPr>
        <w:t>relatório.</w:t>
      </w:r>
      <w:r>
        <w:rPr>
          <w:rFonts w:ascii="Verdana" w:hAnsi="Verdana"/>
          <w:spacing w:val="-15"/>
        </w:rPr>
        <w:t xml:space="preserve"> </w:t>
      </w:r>
      <w:r>
        <w:rPr>
          <w:rFonts w:ascii="Verdana" w:hAnsi="Verdana"/>
          <w:spacing w:val="-4"/>
        </w:rPr>
        <w:t>Todavia,</w:t>
      </w:r>
      <w:r>
        <w:rPr>
          <w:rFonts w:ascii="Verdana" w:hAnsi="Verdana"/>
          <w:spacing w:val="-16"/>
        </w:rPr>
        <w:t xml:space="preserve"> </w:t>
      </w:r>
      <w:r>
        <w:rPr>
          <w:rFonts w:ascii="Verdana" w:hAnsi="Verdana"/>
          <w:spacing w:val="-4"/>
        </w:rPr>
        <w:t>eventos</w:t>
      </w:r>
      <w:r>
        <w:rPr>
          <w:rFonts w:ascii="Verdana" w:hAnsi="Verdana"/>
          <w:spacing w:val="-15"/>
        </w:rPr>
        <w:t xml:space="preserve"> </w:t>
      </w:r>
      <w:r>
        <w:rPr>
          <w:rFonts w:ascii="Verdana" w:hAnsi="Verdana"/>
          <w:spacing w:val="-4"/>
        </w:rPr>
        <w:t>ou</w:t>
      </w:r>
      <w:r>
        <w:rPr>
          <w:rFonts w:ascii="Verdana" w:hAnsi="Verdana"/>
          <w:spacing w:val="-15"/>
        </w:rPr>
        <w:t xml:space="preserve"> </w:t>
      </w:r>
      <w:r>
        <w:rPr>
          <w:rFonts w:ascii="Verdana" w:hAnsi="Verdana"/>
          <w:spacing w:val="-4"/>
        </w:rPr>
        <w:t>condições</w:t>
      </w:r>
      <w:r>
        <w:rPr>
          <w:rFonts w:ascii="Verdana" w:hAnsi="Verdana"/>
          <w:spacing w:val="-16"/>
        </w:rPr>
        <w:t xml:space="preserve"> </w:t>
      </w:r>
      <w:r>
        <w:rPr>
          <w:rFonts w:ascii="Verdana" w:hAnsi="Verdana"/>
          <w:spacing w:val="-4"/>
        </w:rPr>
        <w:t xml:space="preserve">futuras </w:t>
      </w:r>
      <w:r>
        <w:rPr>
          <w:rFonts w:ascii="Verdana" w:hAnsi="Verdana"/>
        </w:rPr>
        <w:t>podem levar a Companhia a não mais manter em continuidade operacional.</w:t>
      </w:r>
    </w:p>
    <w:p w14:paraId="18A0887C" w14:textId="77777777" w:rsidR="002C6574" w:rsidRDefault="002C6574">
      <w:pPr>
        <w:pStyle w:val="Corpodetexto"/>
        <w:spacing w:before="1"/>
        <w:rPr>
          <w:rFonts w:ascii="Verdana"/>
        </w:rPr>
      </w:pPr>
    </w:p>
    <w:p w14:paraId="61A0AE7F" w14:textId="77777777" w:rsidR="002C6574" w:rsidRDefault="00000000">
      <w:pPr>
        <w:pStyle w:val="PargrafodaLista"/>
        <w:numPr>
          <w:ilvl w:val="0"/>
          <w:numId w:val="55"/>
        </w:numPr>
        <w:tabs>
          <w:tab w:val="left" w:pos="939"/>
        </w:tabs>
        <w:spacing w:line="242" w:lineRule="auto"/>
        <w:ind w:right="275" w:firstLine="0"/>
        <w:jc w:val="both"/>
        <w:rPr>
          <w:rFonts w:ascii="Verdana" w:hAnsi="Verdana"/>
        </w:rPr>
      </w:pPr>
      <w:r>
        <w:rPr>
          <w:rFonts w:ascii="Verdana" w:hAnsi="Verdana"/>
        </w:rPr>
        <w:t xml:space="preserve">Avaliamos a apresentação geral, a estrutura e o conteúdo das demonstrações </w:t>
      </w:r>
      <w:r>
        <w:rPr>
          <w:rFonts w:ascii="Verdana" w:hAnsi="Verdana"/>
          <w:spacing w:val="-4"/>
        </w:rPr>
        <w:t>contábeis,</w:t>
      </w:r>
      <w:r>
        <w:rPr>
          <w:rFonts w:ascii="Verdana" w:hAnsi="Verdana"/>
          <w:spacing w:val="-11"/>
        </w:rPr>
        <w:t xml:space="preserve"> </w:t>
      </w:r>
      <w:r>
        <w:rPr>
          <w:rFonts w:ascii="Verdana" w:hAnsi="Verdana"/>
          <w:spacing w:val="-4"/>
        </w:rPr>
        <w:t>inclusive</w:t>
      </w:r>
      <w:r>
        <w:rPr>
          <w:rFonts w:ascii="Verdana" w:hAnsi="Verdana"/>
          <w:spacing w:val="-13"/>
        </w:rPr>
        <w:t xml:space="preserve"> </w:t>
      </w:r>
      <w:r>
        <w:rPr>
          <w:rFonts w:ascii="Verdana" w:hAnsi="Verdana"/>
          <w:spacing w:val="-4"/>
        </w:rPr>
        <w:t>as</w:t>
      </w:r>
      <w:r>
        <w:rPr>
          <w:rFonts w:ascii="Verdana" w:hAnsi="Verdana"/>
          <w:spacing w:val="-16"/>
        </w:rPr>
        <w:t xml:space="preserve"> </w:t>
      </w:r>
      <w:r>
        <w:rPr>
          <w:rFonts w:ascii="Verdana" w:hAnsi="Verdana"/>
          <w:spacing w:val="-4"/>
        </w:rPr>
        <w:t>divulgações,</w:t>
      </w:r>
      <w:r>
        <w:rPr>
          <w:rFonts w:ascii="Verdana" w:hAnsi="Verdana"/>
          <w:spacing w:val="-10"/>
        </w:rPr>
        <w:t xml:space="preserve"> </w:t>
      </w:r>
      <w:r>
        <w:rPr>
          <w:rFonts w:ascii="Verdana" w:hAnsi="Verdana"/>
          <w:spacing w:val="-4"/>
        </w:rPr>
        <w:t>e</w:t>
      </w:r>
      <w:r>
        <w:rPr>
          <w:rFonts w:ascii="Verdana" w:hAnsi="Verdana"/>
          <w:spacing w:val="-16"/>
        </w:rPr>
        <w:t xml:space="preserve"> </w:t>
      </w:r>
      <w:r>
        <w:rPr>
          <w:rFonts w:ascii="Verdana" w:hAnsi="Verdana"/>
          <w:spacing w:val="-4"/>
        </w:rPr>
        <w:t>se</w:t>
      </w:r>
      <w:r>
        <w:rPr>
          <w:rFonts w:ascii="Verdana" w:hAnsi="Verdana"/>
          <w:spacing w:val="-13"/>
        </w:rPr>
        <w:t xml:space="preserve"> </w:t>
      </w:r>
      <w:r>
        <w:rPr>
          <w:rFonts w:ascii="Verdana" w:hAnsi="Verdana"/>
          <w:spacing w:val="-4"/>
        </w:rPr>
        <w:t>as</w:t>
      </w:r>
      <w:r>
        <w:rPr>
          <w:rFonts w:ascii="Verdana" w:hAnsi="Verdana"/>
          <w:spacing w:val="-16"/>
        </w:rPr>
        <w:t xml:space="preserve"> </w:t>
      </w:r>
      <w:r>
        <w:rPr>
          <w:rFonts w:ascii="Verdana" w:hAnsi="Verdana"/>
          <w:spacing w:val="-4"/>
        </w:rPr>
        <w:t>demonstrações</w:t>
      </w:r>
      <w:r>
        <w:rPr>
          <w:rFonts w:ascii="Verdana" w:hAnsi="Verdana"/>
          <w:spacing w:val="-13"/>
        </w:rPr>
        <w:t xml:space="preserve"> </w:t>
      </w:r>
      <w:r>
        <w:rPr>
          <w:rFonts w:ascii="Verdana" w:hAnsi="Verdana"/>
          <w:spacing w:val="-4"/>
        </w:rPr>
        <w:t>contábeis</w:t>
      </w:r>
      <w:r>
        <w:rPr>
          <w:rFonts w:ascii="Verdana" w:hAnsi="Verdana"/>
          <w:spacing w:val="-13"/>
        </w:rPr>
        <w:t xml:space="preserve"> </w:t>
      </w:r>
      <w:r>
        <w:rPr>
          <w:rFonts w:ascii="Verdana" w:hAnsi="Verdana"/>
          <w:spacing w:val="-4"/>
        </w:rPr>
        <w:t>representam</w:t>
      </w:r>
      <w:r>
        <w:rPr>
          <w:rFonts w:ascii="Verdana" w:hAnsi="Verdana"/>
          <w:spacing w:val="-16"/>
        </w:rPr>
        <w:t xml:space="preserve"> </w:t>
      </w:r>
      <w:r>
        <w:rPr>
          <w:rFonts w:ascii="Verdana" w:hAnsi="Verdana"/>
          <w:spacing w:val="-4"/>
        </w:rPr>
        <w:t xml:space="preserve">as </w:t>
      </w:r>
      <w:r>
        <w:rPr>
          <w:rFonts w:ascii="Verdana" w:hAnsi="Verdana"/>
        </w:rPr>
        <w:t>correspondentes</w:t>
      </w:r>
      <w:r>
        <w:rPr>
          <w:rFonts w:ascii="Verdana" w:hAnsi="Verdana"/>
          <w:spacing w:val="-17"/>
        </w:rPr>
        <w:t xml:space="preserve"> </w:t>
      </w:r>
      <w:r>
        <w:rPr>
          <w:rFonts w:ascii="Verdana" w:hAnsi="Verdana"/>
        </w:rPr>
        <w:t>transações</w:t>
      </w:r>
      <w:r>
        <w:rPr>
          <w:rFonts w:ascii="Verdana" w:hAnsi="Verdana"/>
          <w:spacing w:val="-19"/>
        </w:rPr>
        <w:t xml:space="preserve"> </w:t>
      </w:r>
      <w:r>
        <w:rPr>
          <w:rFonts w:ascii="Verdana" w:hAnsi="Verdana"/>
        </w:rPr>
        <w:t>e</w:t>
      </w:r>
      <w:r>
        <w:rPr>
          <w:rFonts w:ascii="Verdana" w:hAnsi="Verdana"/>
          <w:spacing w:val="-17"/>
        </w:rPr>
        <w:t xml:space="preserve"> </w:t>
      </w:r>
      <w:r>
        <w:rPr>
          <w:rFonts w:ascii="Verdana" w:hAnsi="Verdana"/>
        </w:rPr>
        <w:t>os</w:t>
      </w:r>
      <w:r>
        <w:rPr>
          <w:rFonts w:ascii="Verdana" w:hAnsi="Verdana"/>
          <w:spacing w:val="-19"/>
        </w:rPr>
        <w:t xml:space="preserve"> </w:t>
      </w:r>
      <w:r>
        <w:rPr>
          <w:rFonts w:ascii="Verdana" w:hAnsi="Verdana"/>
        </w:rPr>
        <w:t>eventos</w:t>
      </w:r>
      <w:r>
        <w:rPr>
          <w:rFonts w:ascii="Verdana" w:hAnsi="Verdana"/>
          <w:spacing w:val="-19"/>
        </w:rPr>
        <w:t xml:space="preserve"> </w:t>
      </w:r>
      <w:r>
        <w:rPr>
          <w:rFonts w:ascii="Verdana" w:hAnsi="Verdana"/>
        </w:rPr>
        <w:t>de</w:t>
      </w:r>
      <w:r>
        <w:rPr>
          <w:rFonts w:ascii="Verdana" w:hAnsi="Verdana"/>
          <w:spacing w:val="-19"/>
        </w:rPr>
        <w:t xml:space="preserve"> </w:t>
      </w:r>
      <w:r>
        <w:rPr>
          <w:rFonts w:ascii="Verdana" w:hAnsi="Verdana"/>
        </w:rPr>
        <w:t>maneira</w:t>
      </w:r>
      <w:r>
        <w:rPr>
          <w:rFonts w:ascii="Verdana" w:hAnsi="Verdana"/>
          <w:spacing w:val="-20"/>
        </w:rPr>
        <w:t xml:space="preserve"> </w:t>
      </w:r>
      <w:r>
        <w:rPr>
          <w:rFonts w:ascii="Verdana" w:hAnsi="Verdana"/>
        </w:rPr>
        <w:t>compatível</w:t>
      </w:r>
      <w:r>
        <w:rPr>
          <w:rFonts w:ascii="Verdana" w:hAnsi="Verdana"/>
          <w:spacing w:val="-19"/>
        </w:rPr>
        <w:t xml:space="preserve"> </w:t>
      </w:r>
      <w:r>
        <w:rPr>
          <w:rFonts w:ascii="Verdana" w:hAnsi="Verdana"/>
        </w:rPr>
        <w:t>com</w:t>
      </w:r>
      <w:r>
        <w:rPr>
          <w:rFonts w:ascii="Verdana" w:hAnsi="Verdana"/>
          <w:spacing w:val="-18"/>
        </w:rPr>
        <w:t xml:space="preserve"> </w:t>
      </w:r>
      <w:r>
        <w:rPr>
          <w:rFonts w:ascii="Verdana" w:hAnsi="Verdana"/>
        </w:rPr>
        <w:t>o</w:t>
      </w:r>
      <w:r>
        <w:rPr>
          <w:rFonts w:ascii="Verdana" w:hAnsi="Verdana"/>
          <w:spacing w:val="-16"/>
        </w:rPr>
        <w:t xml:space="preserve"> </w:t>
      </w:r>
      <w:r>
        <w:rPr>
          <w:rFonts w:ascii="Verdana" w:hAnsi="Verdana"/>
        </w:rPr>
        <w:t>objetivo</w:t>
      </w:r>
      <w:r>
        <w:rPr>
          <w:rFonts w:ascii="Verdana" w:hAnsi="Verdana"/>
          <w:spacing w:val="-18"/>
        </w:rPr>
        <w:t xml:space="preserve"> </w:t>
      </w:r>
      <w:r>
        <w:rPr>
          <w:rFonts w:ascii="Verdana" w:hAnsi="Verdana"/>
        </w:rPr>
        <w:t>de apresentação</w:t>
      </w:r>
      <w:r>
        <w:rPr>
          <w:rFonts w:ascii="Verdana" w:hAnsi="Verdana"/>
          <w:spacing w:val="-3"/>
        </w:rPr>
        <w:t xml:space="preserve"> </w:t>
      </w:r>
      <w:r>
        <w:rPr>
          <w:rFonts w:ascii="Verdana" w:hAnsi="Verdana"/>
        </w:rPr>
        <w:t>adequada.</w:t>
      </w:r>
    </w:p>
    <w:p w14:paraId="6C5339D7" w14:textId="77777777" w:rsidR="002C6574" w:rsidRDefault="002C6574">
      <w:pPr>
        <w:pStyle w:val="Corpodetexto"/>
        <w:spacing w:before="1"/>
        <w:rPr>
          <w:rFonts w:ascii="Verdana"/>
        </w:rPr>
      </w:pPr>
    </w:p>
    <w:p w14:paraId="4FDEE909" w14:textId="77777777" w:rsidR="002C6574" w:rsidRDefault="00000000">
      <w:pPr>
        <w:pStyle w:val="Corpodetexto"/>
        <w:spacing w:line="242" w:lineRule="auto"/>
        <w:ind w:left="709" w:right="275"/>
        <w:jc w:val="both"/>
        <w:rPr>
          <w:rFonts w:ascii="Verdana" w:hAnsi="Verdana"/>
        </w:rPr>
      </w:pPr>
      <w:r>
        <w:rPr>
          <w:rFonts w:ascii="Verdana" w:hAnsi="Verdana"/>
        </w:rPr>
        <w:t xml:space="preserve">Comunicamo-nos com os responsáveis pela governança a respeito, entre outros aspectos, do alcance planejado, da época da auditoria e das constatações </w:t>
      </w:r>
      <w:r>
        <w:rPr>
          <w:rFonts w:ascii="Verdana" w:hAnsi="Verdana"/>
          <w:spacing w:val="-2"/>
        </w:rPr>
        <w:t>significativas</w:t>
      </w:r>
      <w:r>
        <w:rPr>
          <w:rFonts w:ascii="Verdana" w:hAnsi="Verdana"/>
          <w:spacing w:val="-7"/>
        </w:rPr>
        <w:t xml:space="preserve"> </w:t>
      </w:r>
      <w:r>
        <w:rPr>
          <w:rFonts w:ascii="Verdana" w:hAnsi="Verdana"/>
          <w:spacing w:val="-2"/>
        </w:rPr>
        <w:t>de</w:t>
      </w:r>
      <w:r>
        <w:rPr>
          <w:rFonts w:ascii="Verdana" w:hAnsi="Verdana"/>
          <w:spacing w:val="-7"/>
        </w:rPr>
        <w:t xml:space="preserve"> </w:t>
      </w:r>
      <w:r>
        <w:rPr>
          <w:rFonts w:ascii="Verdana" w:hAnsi="Verdana"/>
          <w:spacing w:val="-2"/>
        </w:rPr>
        <w:t>auditoria,</w:t>
      </w:r>
      <w:r>
        <w:rPr>
          <w:rFonts w:ascii="Verdana" w:hAnsi="Verdana"/>
          <w:spacing w:val="-9"/>
        </w:rPr>
        <w:t xml:space="preserve"> </w:t>
      </w:r>
      <w:r>
        <w:rPr>
          <w:rFonts w:ascii="Verdana" w:hAnsi="Verdana"/>
          <w:spacing w:val="-2"/>
        </w:rPr>
        <w:t>inclusive</w:t>
      </w:r>
      <w:r>
        <w:rPr>
          <w:rFonts w:ascii="Verdana" w:hAnsi="Verdana"/>
          <w:spacing w:val="-9"/>
        </w:rPr>
        <w:t xml:space="preserve"> </w:t>
      </w:r>
      <w:r>
        <w:rPr>
          <w:rFonts w:ascii="Verdana" w:hAnsi="Verdana"/>
          <w:spacing w:val="-2"/>
        </w:rPr>
        <w:t>as</w:t>
      </w:r>
      <w:r>
        <w:rPr>
          <w:rFonts w:ascii="Verdana" w:hAnsi="Verdana"/>
          <w:spacing w:val="-10"/>
        </w:rPr>
        <w:t xml:space="preserve"> </w:t>
      </w:r>
      <w:r>
        <w:rPr>
          <w:rFonts w:ascii="Verdana" w:hAnsi="Verdana"/>
          <w:spacing w:val="-2"/>
        </w:rPr>
        <w:t>eventuais</w:t>
      </w:r>
      <w:r>
        <w:rPr>
          <w:rFonts w:ascii="Verdana" w:hAnsi="Verdana"/>
          <w:spacing w:val="-7"/>
        </w:rPr>
        <w:t xml:space="preserve"> </w:t>
      </w:r>
      <w:r>
        <w:rPr>
          <w:rFonts w:ascii="Verdana" w:hAnsi="Verdana"/>
          <w:spacing w:val="-2"/>
        </w:rPr>
        <w:t>deficiências</w:t>
      </w:r>
      <w:r>
        <w:rPr>
          <w:rFonts w:ascii="Verdana" w:hAnsi="Verdana"/>
          <w:spacing w:val="-9"/>
        </w:rPr>
        <w:t xml:space="preserve"> </w:t>
      </w:r>
      <w:r>
        <w:rPr>
          <w:rFonts w:ascii="Verdana" w:hAnsi="Verdana"/>
          <w:spacing w:val="-2"/>
        </w:rPr>
        <w:t>nos</w:t>
      </w:r>
      <w:r>
        <w:rPr>
          <w:rFonts w:ascii="Verdana" w:hAnsi="Verdana"/>
          <w:spacing w:val="-10"/>
        </w:rPr>
        <w:t xml:space="preserve"> </w:t>
      </w:r>
      <w:r>
        <w:rPr>
          <w:rFonts w:ascii="Verdana" w:hAnsi="Verdana"/>
          <w:spacing w:val="-2"/>
        </w:rPr>
        <w:t>controles</w:t>
      </w:r>
      <w:r>
        <w:rPr>
          <w:rFonts w:ascii="Verdana" w:hAnsi="Verdana"/>
          <w:spacing w:val="-5"/>
        </w:rPr>
        <w:t xml:space="preserve"> </w:t>
      </w:r>
      <w:r>
        <w:rPr>
          <w:rFonts w:ascii="Verdana" w:hAnsi="Verdana"/>
          <w:spacing w:val="-2"/>
        </w:rPr>
        <w:t xml:space="preserve">internos </w:t>
      </w:r>
      <w:r>
        <w:rPr>
          <w:rFonts w:ascii="Verdana" w:hAnsi="Verdana"/>
        </w:rPr>
        <w:t>que</w:t>
      </w:r>
      <w:r>
        <w:rPr>
          <w:rFonts w:ascii="Verdana" w:hAnsi="Verdana"/>
          <w:spacing w:val="-13"/>
        </w:rPr>
        <w:t xml:space="preserve"> </w:t>
      </w:r>
      <w:r>
        <w:rPr>
          <w:rFonts w:ascii="Verdana" w:hAnsi="Verdana"/>
        </w:rPr>
        <w:t>identificamos</w:t>
      </w:r>
      <w:r>
        <w:rPr>
          <w:rFonts w:ascii="Verdana" w:hAnsi="Verdana"/>
          <w:spacing w:val="-17"/>
        </w:rPr>
        <w:t xml:space="preserve"> </w:t>
      </w:r>
      <w:r>
        <w:rPr>
          <w:rFonts w:ascii="Verdana" w:hAnsi="Verdana"/>
        </w:rPr>
        <w:t>durante</w:t>
      </w:r>
      <w:r>
        <w:rPr>
          <w:rFonts w:ascii="Verdana" w:hAnsi="Verdana"/>
          <w:spacing w:val="-13"/>
        </w:rPr>
        <w:t xml:space="preserve"> </w:t>
      </w:r>
      <w:r>
        <w:rPr>
          <w:rFonts w:ascii="Verdana" w:hAnsi="Verdana"/>
        </w:rPr>
        <w:t>nossos</w:t>
      </w:r>
      <w:r>
        <w:rPr>
          <w:rFonts w:ascii="Verdana" w:hAnsi="Verdana"/>
          <w:spacing w:val="-11"/>
        </w:rPr>
        <w:t xml:space="preserve"> </w:t>
      </w:r>
      <w:r>
        <w:rPr>
          <w:rFonts w:ascii="Verdana" w:hAnsi="Verdana"/>
        </w:rPr>
        <w:t>trabalhos.</w:t>
      </w:r>
    </w:p>
    <w:p w14:paraId="359EE8E5" w14:textId="77777777" w:rsidR="002C6574" w:rsidRDefault="002C6574">
      <w:pPr>
        <w:pStyle w:val="Corpodetexto"/>
        <w:rPr>
          <w:rFonts w:ascii="Verdana"/>
        </w:rPr>
      </w:pPr>
    </w:p>
    <w:p w14:paraId="2C595EE0" w14:textId="77777777" w:rsidR="002C6574" w:rsidRDefault="002C6574">
      <w:pPr>
        <w:pStyle w:val="Corpodetexto"/>
        <w:spacing w:before="5"/>
        <w:rPr>
          <w:rFonts w:ascii="Verdana"/>
        </w:rPr>
      </w:pPr>
    </w:p>
    <w:p w14:paraId="7B998E5D" w14:textId="77777777" w:rsidR="002C6574" w:rsidRDefault="00000000">
      <w:pPr>
        <w:pStyle w:val="Corpodetexto"/>
        <w:ind w:left="427"/>
        <w:jc w:val="center"/>
        <w:rPr>
          <w:rFonts w:ascii="Verdana"/>
        </w:rPr>
      </w:pPr>
      <w:r>
        <w:rPr>
          <w:rFonts w:ascii="Verdana"/>
          <w:spacing w:val="-4"/>
        </w:rPr>
        <w:t>Curitiba,</w:t>
      </w:r>
      <w:r>
        <w:rPr>
          <w:rFonts w:ascii="Verdana"/>
          <w:spacing w:val="-13"/>
        </w:rPr>
        <w:t xml:space="preserve"> </w:t>
      </w:r>
      <w:r>
        <w:rPr>
          <w:rFonts w:ascii="Verdana"/>
          <w:spacing w:val="-4"/>
        </w:rPr>
        <w:t>25</w:t>
      </w:r>
      <w:r>
        <w:rPr>
          <w:rFonts w:ascii="Verdana"/>
          <w:spacing w:val="-16"/>
        </w:rPr>
        <w:t xml:space="preserve"> </w:t>
      </w:r>
      <w:r>
        <w:rPr>
          <w:rFonts w:ascii="Verdana"/>
          <w:spacing w:val="-4"/>
        </w:rPr>
        <w:t>de</w:t>
      </w:r>
      <w:r>
        <w:rPr>
          <w:rFonts w:ascii="Verdana"/>
          <w:spacing w:val="-17"/>
        </w:rPr>
        <w:t xml:space="preserve"> </w:t>
      </w:r>
      <w:r>
        <w:rPr>
          <w:rFonts w:ascii="Verdana"/>
          <w:spacing w:val="-4"/>
        </w:rPr>
        <w:t>fevereiro</w:t>
      </w:r>
      <w:r>
        <w:rPr>
          <w:rFonts w:ascii="Verdana"/>
          <w:spacing w:val="-14"/>
        </w:rPr>
        <w:t xml:space="preserve"> </w:t>
      </w:r>
      <w:r>
        <w:rPr>
          <w:rFonts w:ascii="Verdana"/>
          <w:spacing w:val="-4"/>
        </w:rPr>
        <w:t>de</w:t>
      </w:r>
      <w:r>
        <w:rPr>
          <w:rFonts w:ascii="Verdana"/>
          <w:spacing w:val="-13"/>
        </w:rPr>
        <w:t xml:space="preserve"> </w:t>
      </w:r>
      <w:r>
        <w:rPr>
          <w:rFonts w:ascii="Verdana"/>
          <w:spacing w:val="-4"/>
        </w:rPr>
        <w:t>2026.</w:t>
      </w:r>
    </w:p>
    <w:p w14:paraId="4CF78191" w14:textId="77777777" w:rsidR="002C6574" w:rsidRDefault="002C6574">
      <w:pPr>
        <w:pStyle w:val="Corpodetexto"/>
        <w:rPr>
          <w:rFonts w:ascii="Verdana"/>
        </w:rPr>
      </w:pPr>
    </w:p>
    <w:p w14:paraId="4E327436" w14:textId="77777777" w:rsidR="002C6574" w:rsidRDefault="002C6574">
      <w:pPr>
        <w:pStyle w:val="Corpodetexto"/>
        <w:rPr>
          <w:rFonts w:ascii="Verdana"/>
        </w:rPr>
      </w:pPr>
    </w:p>
    <w:p w14:paraId="00A121F9" w14:textId="77777777" w:rsidR="002C6574" w:rsidRDefault="002C6574">
      <w:pPr>
        <w:pStyle w:val="Corpodetexto"/>
        <w:rPr>
          <w:rFonts w:ascii="Verdana"/>
        </w:rPr>
      </w:pPr>
    </w:p>
    <w:p w14:paraId="40A10594" w14:textId="77777777" w:rsidR="002C6574" w:rsidRDefault="002C6574">
      <w:pPr>
        <w:pStyle w:val="Corpodetexto"/>
        <w:spacing w:before="12"/>
        <w:rPr>
          <w:rFonts w:ascii="Verdana"/>
        </w:rPr>
      </w:pPr>
    </w:p>
    <w:p w14:paraId="7C5FDA7A" w14:textId="77777777" w:rsidR="002C6574" w:rsidRDefault="00000000">
      <w:pPr>
        <w:pStyle w:val="Corpodetexto"/>
        <w:tabs>
          <w:tab w:val="left" w:pos="5722"/>
        </w:tabs>
        <w:ind w:left="709"/>
        <w:jc w:val="both"/>
        <w:rPr>
          <w:rFonts w:ascii="Verdana"/>
        </w:rPr>
      </w:pPr>
      <w:r>
        <w:rPr>
          <w:rFonts w:ascii="Verdana"/>
          <w:spacing w:val="-2"/>
        </w:rPr>
        <w:t>Paulo</w:t>
      </w:r>
      <w:r>
        <w:rPr>
          <w:rFonts w:ascii="Verdana"/>
          <w:spacing w:val="-14"/>
        </w:rPr>
        <w:t xml:space="preserve"> </w:t>
      </w:r>
      <w:r>
        <w:rPr>
          <w:rFonts w:ascii="Verdana"/>
          <w:spacing w:val="-2"/>
        </w:rPr>
        <w:t>Sergio</w:t>
      </w:r>
      <w:r>
        <w:rPr>
          <w:rFonts w:ascii="Verdana"/>
          <w:spacing w:val="-18"/>
        </w:rPr>
        <w:t xml:space="preserve"> </w:t>
      </w:r>
      <w:r>
        <w:rPr>
          <w:rFonts w:ascii="Verdana"/>
          <w:spacing w:val="-2"/>
        </w:rPr>
        <w:t>da</w:t>
      </w:r>
      <w:r>
        <w:rPr>
          <w:rFonts w:ascii="Verdana"/>
          <w:spacing w:val="-14"/>
        </w:rPr>
        <w:t xml:space="preserve"> </w:t>
      </w:r>
      <w:r>
        <w:rPr>
          <w:rFonts w:ascii="Verdana"/>
          <w:spacing w:val="-4"/>
        </w:rPr>
        <w:t>Silva</w:t>
      </w:r>
      <w:r>
        <w:rPr>
          <w:rFonts w:ascii="Verdana"/>
        </w:rPr>
        <w:tab/>
      </w:r>
      <w:r>
        <w:rPr>
          <w:rFonts w:ascii="Verdana"/>
          <w:spacing w:val="-4"/>
        </w:rPr>
        <w:t>Marlos</w:t>
      </w:r>
      <w:r>
        <w:rPr>
          <w:rFonts w:ascii="Verdana"/>
          <w:spacing w:val="-11"/>
        </w:rPr>
        <w:t xml:space="preserve"> </w:t>
      </w:r>
      <w:r>
        <w:rPr>
          <w:rFonts w:ascii="Verdana"/>
          <w:spacing w:val="-4"/>
        </w:rPr>
        <w:t>Nanoni</w:t>
      </w:r>
      <w:r>
        <w:rPr>
          <w:rFonts w:ascii="Verdana"/>
          <w:spacing w:val="-11"/>
        </w:rPr>
        <w:t xml:space="preserve"> </w:t>
      </w:r>
      <w:r>
        <w:rPr>
          <w:rFonts w:ascii="Verdana"/>
          <w:spacing w:val="-4"/>
        </w:rPr>
        <w:t>Reinert</w:t>
      </w:r>
    </w:p>
    <w:p w14:paraId="044D6C37" w14:textId="77777777" w:rsidR="002C6574" w:rsidRDefault="00000000">
      <w:pPr>
        <w:tabs>
          <w:tab w:val="left" w:pos="5454"/>
        </w:tabs>
        <w:spacing w:before="3"/>
        <w:ind w:left="403"/>
        <w:jc w:val="center"/>
        <w:rPr>
          <w:rFonts w:ascii="Tahoma"/>
          <w:b/>
        </w:rPr>
      </w:pPr>
      <w:r>
        <w:rPr>
          <w:rFonts w:ascii="Tahoma"/>
          <w:b/>
          <w:spacing w:val="-8"/>
        </w:rPr>
        <w:t>Contador</w:t>
      </w:r>
      <w:r>
        <w:rPr>
          <w:rFonts w:ascii="Tahoma"/>
          <w:b/>
          <w:spacing w:val="-3"/>
        </w:rPr>
        <w:t xml:space="preserve"> </w:t>
      </w:r>
      <w:r>
        <w:rPr>
          <w:rFonts w:ascii="Tahoma"/>
          <w:b/>
          <w:spacing w:val="-8"/>
        </w:rPr>
        <w:t>CRCPR</w:t>
      </w:r>
      <w:r>
        <w:rPr>
          <w:rFonts w:ascii="Tahoma"/>
          <w:b/>
          <w:spacing w:val="-7"/>
        </w:rPr>
        <w:t xml:space="preserve"> </w:t>
      </w:r>
      <w:r>
        <w:rPr>
          <w:rFonts w:ascii="Tahoma"/>
          <w:b/>
          <w:spacing w:val="-8"/>
        </w:rPr>
        <w:t>N</w:t>
      </w:r>
      <w:r>
        <w:rPr>
          <w:rFonts w:ascii="Tahoma"/>
          <w:b/>
          <w:spacing w:val="-8"/>
          <w:position w:val="6"/>
          <w:sz w:val="14"/>
          <w:u w:val="single"/>
        </w:rPr>
        <w:t>o</w:t>
      </w:r>
      <w:r>
        <w:rPr>
          <w:rFonts w:ascii="Tahoma"/>
          <w:b/>
          <w:spacing w:val="21"/>
          <w:position w:val="6"/>
          <w:sz w:val="14"/>
        </w:rPr>
        <w:t xml:space="preserve"> </w:t>
      </w:r>
      <w:r>
        <w:rPr>
          <w:rFonts w:ascii="Tahoma"/>
          <w:b/>
          <w:spacing w:val="-8"/>
        </w:rPr>
        <w:t>029.121/O-0</w:t>
      </w:r>
      <w:r>
        <w:rPr>
          <w:rFonts w:ascii="Tahoma"/>
          <w:b/>
          <w:spacing w:val="-3"/>
        </w:rPr>
        <w:t xml:space="preserve"> </w:t>
      </w:r>
      <w:r>
        <w:rPr>
          <w:rFonts w:ascii="Tahoma"/>
          <w:b/>
          <w:spacing w:val="-8"/>
        </w:rPr>
        <w:t>S-DF</w:t>
      </w:r>
      <w:r>
        <w:rPr>
          <w:rFonts w:ascii="Tahoma"/>
          <w:b/>
        </w:rPr>
        <w:tab/>
      </w:r>
      <w:r>
        <w:rPr>
          <w:rFonts w:ascii="Tahoma"/>
          <w:b/>
          <w:spacing w:val="-8"/>
        </w:rPr>
        <w:t>Contador</w:t>
      </w:r>
      <w:r>
        <w:rPr>
          <w:rFonts w:ascii="Tahoma"/>
          <w:b/>
          <w:spacing w:val="-5"/>
        </w:rPr>
        <w:t xml:space="preserve"> </w:t>
      </w:r>
      <w:r>
        <w:rPr>
          <w:rFonts w:ascii="Tahoma"/>
          <w:b/>
          <w:spacing w:val="-8"/>
        </w:rPr>
        <w:t>CRCPR</w:t>
      </w:r>
      <w:r>
        <w:rPr>
          <w:rFonts w:ascii="Tahoma"/>
          <w:b/>
          <w:spacing w:val="-7"/>
        </w:rPr>
        <w:t xml:space="preserve"> </w:t>
      </w:r>
      <w:r>
        <w:rPr>
          <w:rFonts w:ascii="Tahoma"/>
          <w:b/>
          <w:spacing w:val="-8"/>
        </w:rPr>
        <w:t>N</w:t>
      </w:r>
      <w:r>
        <w:rPr>
          <w:rFonts w:ascii="Tahoma"/>
          <w:b/>
          <w:spacing w:val="-8"/>
          <w:position w:val="6"/>
          <w:sz w:val="14"/>
          <w:u w:val="single"/>
        </w:rPr>
        <w:t>o</w:t>
      </w:r>
      <w:r>
        <w:rPr>
          <w:rFonts w:ascii="Tahoma"/>
          <w:b/>
          <w:spacing w:val="19"/>
          <w:position w:val="6"/>
          <w:sz w:val="14"/>
        </w:rPr>
        <w:t xml:space="preserve"> </w:t>
      </w:r>
      <w:r>
        <w:rPr>
          <w:rFonts w:ascii="Tahoma"/>
          <w:b/>
          <w:spacing w:val="-8"/>
        </w:rPr>
        <w:t>050.998/O-9</w:t>
      </w:r>
      <w:r>
        <w:rPr>
          <w:rFonts w:ascii="Tahoma"/>
          <w:b/>
          <w:spacing w:val="-5"/>
        </w:rPr>
        <w:t xml:space="preserve"> </w:t>
      </w:r>
      <w:r>
        <w:rPr>
          <w:rFonts w:ascii="Tahoma"/>
          <w:b/>
          <w:spacing w:val="-8"/>
        </w:rPr>
        <w:t>S-DF</w:t>
      </w:r>
    </w:p>
    <w:p w14:paraId="293D310E" w14:textId="77777777" w:rsidR="002C6574" w:rsidRDefault="002C6574">
      <w:pPr>
        <w:pStyle w:val="Corpodetexto"/>
        <w:rPr>
          <w:rFonts w:ascii="Tahoma"/>
          <w:b/>
        </w:rPr>
      </w:pPr>
    </w:p>
    <w:p w14:paraId="2B8FACF8" w14:textId="77777777" w:rsidR="002C6574" w:rsidRDefault="002C6574">
      <w:pPr>
        <w:pStyle w:val="Corpodetexto"/>
        <w:spacing w:before="12"/>
        <w:rPr>
          <w:rFonts w:ascii="Tahoma"/>
          <w:b/>
        </w:rPr>
      </w:pPr>
    </w:p>
    <w:p w14:paraId="41EB797D" w14:textId="77777777" w:rsidR="002C6574" w:rsidRDefault="00000000">
      <w:pPr>
        <w:spacing w:line="244" w:lineRule="auto"/>
        <w:ind w:left="4148" w:right="2067" w:hanging="934"/>
        <w:rPr>
          <w:rFonts w:ascii="Tahoma" w:hAnsi="Tahoma"/>
          <w:b/>
        </w:rPr>
      </w:pPr>
      <w:r>
        <w:rPr>
          <w:rFonts w:ascii="Tahoma" w:hAnsi="Tahoma"/>
          <w:b/>
          <w:w w:val="85"/>
        </w:rPr>
        <w:t xml:space="preserve">CONSULT – AUDITORES INDEPENDENTES </w:t>
      </w:r>
      <w:r>
        <w:rPr>
          <w:rFonts w:ascii="Tahoma" w:hAnsi="Tahoma"/>
          <w:b/>
        </w:rPr>
        <w:t>CRC/PR</w:t>
      </w:r>
      <w:r>
        <w:rPr>
          <w:rFonts w:ascii="Tahoma" w:hAnsi="Tahoma"/>
          <w:b/>
          <w:spacing w:val="-6"/>
        </w:rPr>
        <w:t xml:space="preserve"> </w:t>
      </w:r>
      <w:r>
        <w:rPr>
          <w:rFonts w:ascii="Tahoma" w:hAnsi="Tahoma"/>
          <w:b/>
        </w:rPr>
        <w:t>N</w:t>
      </w:r>
      <w:r>
        <w:rPr>
          <w:rFonts w:ascii="Tahoma" w:hAnsi="Tahoma"/>
          <w:b/>
          <w:position w:val="6"/>
          <w:sz w:val="14"/>
          <w:u w:val="single"/>
        </w:rPr>
        <w:t>o</w:t>
      </w:r>
      <w:r>
        <w:rPr>
          <w:rFonts w:ascii="Tahoma" w:hAnsi="Tahoma"/>
          <w:b/>
          <w:spacing w:val="19"/>
          <w:position w:val="6"/>
          <w:sz w:val="14"/>
        </w:rPr>
        <w:t xml:space="preserve"> </w:t>
      </w:r>
      <w:r>
        <w:rPr>
          <w:rFonts w:ascii="Tahoma" w:hAnsi="Tahoma"/>
          <w:b/>
        </w:rPr>
        <w:t>2906/O-5</w:t>
      </w:r>
    </w:p>
    <w:p w14:paraId="01A0909F" w14:textId="77777777" w:rsidR="002C6574" w:rsidRDefault="002C6574">
      <w:pPr>
        <w:spacing w:line="244" w:lineRule="auto"/>
        <w:rPr>
          <w:rFonts w:ascii="Tahoma" w:hAnsi="Tahoma"/>
          <w:b/>
        </w:rPr>
        <w:sectPr w:rsidR="002C6574">
          <w:pgSz w:w="11910" w:h="16840"/>
          <w:pgMar w:top="1860" w:right="850" w:bottom="1440" w:left="992" w:header="826" w:footer="1241" w:gutter="0"/>
          <w:cols w:space="720"/>
        </w:sectPr>
      </w:pPr>
    </w:p>
    <w:p w14:paraId="07D8DFEF" w14:textId="77777777" w:rsidR="002C6574" w:rsidRDefault="00000000">
      <w:pPr>
        <w:spacing w:before="73" w:line="273" w:lineRule="auto"/>
        <w:ind w:left="5318" w:right="5286"/>
        <w:jc w:val="center"/>
        <w:rPr>
          <w:rFonts w:ascii="Arial" w:hAnsi="Arial"/>
          <w:b/>
          <w:sz w:val="15"/>
        </w:rPr>
      </w:pPr>
      <w:r>
        <w:rPr>
          <w:rFonts w:ascii="Arial" w:hAnsi="Arial"/>
          <w:b/>
          <w:sz w:val="15"/>
        </w:rPr>
        <w:lastRenderedPageBreak/>
        <w:t>TELECOMUNICAÇÕES</w:t>
      </w:r>
      <w:r>
        <w:rPr>
          <w:rFonts w:ascii="Arial" w:hAnsi="Arial"/>
          <w:b/>
          <w:spacing w:val="-11"/>
          <w:sz w:val="15"/>
        </w:rPr>
        <w:t xml:space="preserve"> </w:t>
      </w:r>
      <w:r>
        <w:rPr>
          <w:rFonts w:ascii="Arial" w:hAnsi="Arial"/>
          <w:b/>
          <w:sz w:val="15"/>
        </w:rPr>
        <w:t>BRASILEIRAS</w:t>
      </w:r>
      <w:r>
        <w:rPr>
          <w:rFonts w:ascii="Arial" w:hAnsi="Arial"/>
          <w:b/>
          <w:spacing w:val="-9"/>
          <w:sz w:val="15"/>
        </w:rPr>
        <w:t xml:space="preserve"> </w:t>
      </w:r>
      <w:r>
        <w:rPr>
          <w:rFonts w:ascii="Arial" w:hAnsi="Arial"/>
          <w:b/>
          <w:sz w:val="15"/>
        </w:rPr>
        <w:t>S.A</w:t>
      </w:r>
      <w:r>
        <w:rPr>
          <w:rFonts w:ascii="Arial" w:hAnsi="Arial"/>
          <w:b/>
          <w:spacing w:val="-7"/>
          <w:sz w:val="15"/>
        </w:rPr>
        <w:t xml:space="preserve"> </w:t>
      </w:r>
      <w:r>
        <w:rPr>
          <w:rFonts w:ascii="Arial" w:hAnsi="Arial"/>
          <w:b/>
          <w:sz w:val="15"/>
        </w:rPr>
        <w:t>-</w:t>
      </w:r>
      <w:r>
        <w:rPr>
          <w:rFonts w:ascii="Arial" w:hAnsi="Arial"/>
          <w:b/>
          <w:spacing w:val="-8"/>
          <w:sz w:val="15"/>
        </w:rPr>
        <w:t xml:space="preserve"> </w:t>
      </w:r>
      <w:r>
        <w:rPr>
          <w:rFonts w:ascii="Arial" w:hAnsi="Arial"/>
          <w:b/>
          <w:sz w:val="15"/>
        </w:rPr>
        <w:t>"TELEBRAS" CNPJ</w:t>
      </w:r>
      <w:r>
        <w:rPr>
          <w:rFonts w:ascii="Arial" w:hAnsi="Arial"/>
          <w:b/>
          <w:spacing w:val="-1"/>
          <w:sz w:val="15"/>
        </w:rPr>
        <w:t xml:space="preserve"> </w:t>
      </w:r>
      <w:r>
        <w:rPr>
          <w:rFonts w:ascii="Arial" w:hAnsi="Arial"/>
          <w:b/>
          <w:sz w:val="15"/>
        </w:rPr>
        <w:t>00.336.701/0001-04</w:t>
      </w:r>
    </w:p>
    <w:p w14:paraId="261381D5" w14:textId="77777777" w:rsidR="002C6574" w:rsidRDefault="00000000">
      <w:pPr>
        <w:spacing w:before="3"/>
        <w:ind w:left="5318" w:right="5286"/>
        <w:jc w:val="center"/>
        <w:rPr>
          <w:rFonts w:ascii="Arial" w:hAnsi="Arial"/>
          <w:b/>
          <w:sz w:val="15"/>
        </w:rPr>
      </w:pPr>
      <w:r>
        <w:rPr>
          <w:rFonts w:ascii="Arial" w:hAnsi="Arial"/>
          <w:b/>
          <w:sz w:val="15"/>
        </w:rPr>
        <w:t>Balanços</w:t>
      </w:r>
      <w:r>
        <w:rPr>
          <w:rFonts w:ascii="Arial" w:hAnsi="Arial"/>
          <w:b/>
          <w:spacing w:val="-7"/>
          <w:sz w:val="15"/>
        </w:rPr>
        <w:t xml:space="preserve"> </w:t>
      </w:r>
      <w:r>
        <w:rPr>
          <w:rFonts w:ascii="Arial" w:hAnsi="Arial"/>
          <w:b/>
          <w:spacing w:val="-2"/>
          <w:sz w:val="15"/>
        </w:rPr>
        <w:t>Patrimoniais</w:t>
      </w:r>
    </w:p>
    <w:p w14:paraId="55689B96" w14:textId="77777777" w:rsidR="002C6574" w:rsidRDefault="00000000">
      <w:pPr>
        <w:spacing w:before="24"/>
        <w:ind w:left="5318" w:right="5290"/>
        <w:jc w:val="center"/>
        <w:rPr>
          <w:rFonts w:ascii="Arial"/>
          <w:b/>
          <w:sz w:val="15"/>
        </w:rPr>
      </w:pPr>
      <w:r>
        <w:rPr>
          <w:rFonts w:ascii="Arial"/>
          <w:b/>
          <w:sz w:val="15"/>
        </w:rPr>
        <w:t>Em</w:t>
      </w:r>
      <w:r>
        <w:rPr>
          <w:rFonts w:ascii="Arial"/>
          <w:b/>
          <w:spacing w:val="-5"/>
          <w:sz w:val="15"/>
        </w:rPr>
        <w:t xml:space="preserve"> </w:t>
      </w:r>
      <w:r>
        <w:rPr>
          <w:rFonts w:ascii="Arial"/>
          <w:b/>
          <w:sz w:val="15"/>
        </w:rPr>
        <w:t>31</w:t>
      </w:r>
      <w:r>
        <w:rPr>
          <w:rFonts w:ascii="Arial"/>
          <w:b/>
          <w:spacing w:val="-2"/>
          <w:sz w:val="15"/>
        </w:rPr>
        <w:t xml:space="preserve"> </w:t>
      </w:r>
      <w:r>
        <w:rPr>
          <w:rFonts w:ascii="Arial"/>
          <w:b/>
          <w:sz w:val="15"/>
        </w:rPr>
        <w:t>de</w:t>
      </w:r>
      <w:r>
        <w:rPr>
          <w:rFonts w:ascii="Arial"/>
          <w:b/>
          <w:spacing w:val="-4"/>
          <w:sz w:val="15"/>
        </w:rPr>
        <w:t xml:space="preserve"> </w:t>
      </w:r>
      <w:r>
        <w:rPr>
          <w:rFonts w:ascii="Arial"/>
          <w:b/>
          <w:sz w:val="15"/>
        </w:rPr>
        <w:t>dezembro</w:t>
      </w:r>
      <w:r>
        <w:rPr>
          <w:rFonts w:ascii="Arial"/>
          <w:b/>
          <w:spacing w:val="-1"/>
          <w:sz w:val="15"/>
        </w:rPr>
        <w:t xml:space="preserve"> </w:t>
      </w:r>
      <w:r>
        <w:rPr>
          <w:rFonts w:ascii="Arial"/>
          <w:b/>
          <w:sz w:val="15"/>
        </w:rPr>
        <w:t>de</w:t>
      </w:r>
      <w:r>
        <w:rPr>
          <w:rFonts w:ascii="Arial"/>
          <w:b/>
          <w:spacing w:val="-4"/>
          <w:sz w:val="15"/>
        </w:rPr>
        <w:t xml:space="preserve"> </w:t>
      </w:r>
      <w:r>
        <w:rPr>
          <w:rFonts w:ascii="Arial"/>
          <w:b/>
          <w:sz w:val="15"/>
        </w:rPr>
        <w:t>2025</w:t>
      </w:r>
      <w:r>
        <w:rPr>
          <w:rFonts w:ascii="Arial"/>
          <w:b/>
          <w:spacing w:val="-2"/>
          <w:sz w:val="15"/>
        </w:rPr>
        <w:t xml:space="preserve"> </w:t>
      </w:r>
      <w:r>
        <w:rPr>
          <w:rFonts w:ascii="Arial"/>
          <w:b/>
          <w:sz w:val="15"/>
        </w:rPr>
        <w:t>e</w:t>
      </w:r>
      <w:r>
        <w:rPr>
          <w:rFonts w:ascii="Arial"/>
          <w:b/>
          <w:spacing w:val="-2"/>
          <w:sz w:val="15"/>
        </w:rPr>
        <w:t xml:space="preserve"> </w:t>
      </w:r>
      <w:r>
        <w:rPr>
          <w:rFonts w:ascii="Arial"/>
          <w:b/>
          <w:spacing w:val="-4"/>
          <w:sz w:val="15"/>
        </w:rPr>
        <w:t>2024</w:t>
      </w:r>
    </w:p>
    <w:p w14:paraId="2925AB76" w14:textId="77777777" w:rsidR="002C6574" w:rsidRDefault="00000000">
      <w:pPr>
        <w:spacing w:before="27"/>
        <w:ind w:left="5318" w:right="5288"/>
        <w:jc w:val="center"/>
        <w:rPr>
          <w:rFonts w:ascii="Arial"/>
          <w:b/>
          <w:sz w:val="15"/>
        </w:rPr>
      </w:pPr>
      <w:r>
        <w:rPr>
          <w:rFonts w:ascii="Arial"/>
          <w:b/>
          <w:sz w:val="15"/>
        </w:rPr>
        <w:t>Em</w:t>
      </w:r>
      <w:r>
        <w:rPr>
          <w:rFonts w:ascii="Arial"/>
          <w:b/>
          <w:spacing w:val="-4"/>
          <w:sz w:val="15"/>
        </w:rPr>
        <w:t xml:space="preserve"> </w:t>
      </w:r>
      <w:r>
        <w:rPr>
          <w:rFonts w:ascii="Arial"/>
          <w:b/>
          <w:sz w:val="15"/>
        </w:rPr>
        <w:t>milhares</w:t>
      </w:r>
      <w:r>
        <w:rPr>
          <w:rFonts w:ascii="Arial"/>
          <w:b/>
          <w:spacing w:val="-7"/>
          <w:sz w:val="15"/>
        </w:rPr>
        <w:t xml:space="preserve"> </w:t>
      </w:r>
      <w:r>
        <w:rPr>
          <w:rFonts w:ascii="Arial"/>
          <w:b/>
          <w:sz w:val="15"/>
        </w:rPr>
        <w:t>de</w:t>
      </w:r>
      <w:r>
        <w:rPr>
          <w:rFonts w:ascii="Arial"/>
          <w:b/>
          <w:spacing w:val="-3"/>
          <w:sz w:val="15"/>
        </w:rPr>
        <w:t xml:space="preserve"> </w:t>
      </w:r>
      <w:r>
        <w:rPr>
          <w:rFonts w:ascii="Arial"/>
          <w:b/>
          <w:sz w:val="15"/>
        </w:rPr>
        <w:t>reais,</w:t>
      </w:r>
      <w:r>
        <w:rPr>
          <w:rFonts w:ascii="Arial"/>
          <w:b/>
          <w:spacing w:val="-3"/>
          <w:sz w:val="15"/>
        </w:rPr>
        <w:t xml:space="preserve"> </w:t>
      </w:r>
      <w:r>
        <w:rPr>
          <w:rFonts w:ascii="Arial"/>
          <w:b/>
          <w:sz w:val="15"/>
        </w:rPr>
        <w:t>exceto</w:t>
      </w:r>
      <w:r>
        <w:rPr>
          <w:rFonts w:ascii="Arial"/>
          <w:b/>
          <w:spacing w:val="-3"/>
          <w:sz w:val="15"/>
        </w:rPr>
        <w:t xml:space="preserve"> </w:t>
      </w:r>
      <w:r>
        <w:rPr>
          <w:rFonts w:ascii="Arial"/>
          <w:b/>
          <w:sz w:val="15"/>
        </w:rPr>
        <w:t>quando</w:t>
      </w:r>
      <w:r>
        <w:rPr>
          <w:rFonts w:ascii="Arial"/>
          <w:b/>
          <w:spacing w:val="-6"/>
          <w:sz w:val="15"/>
        </w:rPr>
        <w:t xml:space="preserve"> </w:t>
      </w:r>
      <w:r>
        <w:rPr>
          <w:rFonts w:ascii="Arial"/>
          <w:b/>
          <w:sz w:val="15"/>
        </w:rPr>
        <w:t>indicado</w:t>
      </w:r>
      <w:r>
        <w:rPr>
          <w:rFonts w:ascii="Arial"/>
          <w:b/>
          <w:spacing w:val="-5"/>
          <w:sz w:val="15"/>
        </w:rPr>
        <w:t xml:space="preserve"> </w:t>
      </w:r>
      <w:r>
        <w:rPr>
          <w:rFonts w:ascii="Arial"/>
          <w:b/>
          <w:sz w:val="15"/>
        </w:rPr>
        <w:t>de</w:t>
      </w:r>
      <w:r>
        <w:rPr>
          <w:rFonts w:ascii="Arial"/>
          <w:b/>
          <w:spacing w:val="-5"/>
          <w:sz w:val="15"/>
        </w:rPr>
        <w:t xml:space="preserve"> </w:t>
      </w:r>
      <w:r>
        <w:rPr>
          <w:rFonts w:ascii="Arial"/>
          <w:b/>
          <w:sz w:val="15"/>
        </w:rPr>
        <w:t>outra</w:t>
      </w:r>
      <w:r>
        <w:rPr>
          <w:rFonts w:ascii="Arial"/>
          <w:b/>
          <w:spacing w:val="-5"/>
          <w:sz w:val="15"/>
        </w:rPr>
        <w:t xml:space="preserve"> </w:t>
      </w:r>
      <w:r>
        <w:rPr>
          <w:rFonts w:ascii="Arial"/>
          <w:b/>
          <w:spacing w:val="-4"/>
          <w:sz w:val="15"/>
        </w:rPr>
        <w:t>forma</w:t>
      </w:r>
    </w:p>
    <w:p w14:paraId="252FA77C" w14:textId="77777777" w:rsidR="002C6574" w:rsidRDefault="002C6574">
      <w:pPr>
        <w:pStyle w:val="Corpodetexto"/>
        <w:spacing w:before="6"/>
        <w:rPr>
          <w:rFonts w:ascii="Arial"/>
          <w:b/>
          <w:sz w:val="17"/>
        </w:rPr>
      </w:pPr>
    </w:p>
    <w:tbl>
      <w:tblPr>
        <w:tblStyle w:val="TableNormal"/>
        <w:tblW w:w="0" w:type="auto"/>
        <w:tblInd w:w="28" w:type="dxa"/>
        <w:tblLayout w:type="fixed"/>
        <w:tblLook w:val="01E0" w:firstRow="1" w:lastRow="1" w:firstColumn="1" w:lastColumn="1" w:noHBand="0" w:noVBand="0"/>
      </w:tblPr>
      <w:tblGrid>
        <w:gridCol w:w="3190"/>
        <w:gridCol w:w="474"/>
        <w:gridCol w:w="1348"/>
        <w:gridCol w:w="146"/>
        <w:gridCol w:w="1348"/>
        <w:gridCol w:w="4656"/>
        <w:gridCol w:w="566"/>
        <w:gridCol w:w="1493"/>
        <w:gridCol w:w="144"/>
        <w:gridCol w:w="1493"/>
      </w:tblGrid>
      <w:tr w:rsidR="002C6574" w14:paraId="14E2CBD7" w14:textId="77777777">
        <w:trPr>
          <w:trHeight w:val="198"/>
        </w:trPr>
        <w:tc>
          <w:tcPr>
            <w:tcW w:w="3190" w:type="dxa"/>
          </w:tcPr>
          <w:p w14:paraId="3038FCD1" w14:textId="77777777" w:rsidR="002C6574" w:rsidRDefault="00000000">
            <w:pPr>
              <w:pStyle w:val="TableParagraph"/>
              <w:spacing w:before="15" w:line="164" w:lineRule="exact"/>
              <w:ind w:left="50"/>
              <w:jc w:val="left"/>
              <w:rPr>
                <w:rFonts w:ascii="Arial"/>
                <w:b/>
                <w:sz w:val="15"/>
              </w:rPr>
            </w:pPr>
            <w:r>
              <w:rPr>
                <w:rFonts w:ascii="Arial"/>
                <w:b/>
                <w:spacing w:val="-2"/>
                <w:sz w:val="15"/>
              </w:rPr>
              <w:t>Ativo</w:t>
            </w:r>
          </w:p>
        </w:tc>
        <w:tc>
          <w:tcPr>
            <w:tcW w:w="474" w:type="dxa"/>
          </w:tcPr>
          <w:p w14:paraId="15479D51" w14:textId="77777777" w:rsidR="002C6574" w:rsidRDefault="00000000">
            <w:pPr>
              <w:pStyle w:val="TableParagraph"/>
              <w:spacing w:before="15" w:line="164" w:lineRule="exact"/>
              <w:ind w:left="3" w:right="3"/>
              <w:jc w:val="center"/>
              <w:rPr>
                <w:rFonts w:ascii="Arial"/>
                <w:b/>
                <w:sz w:val="15"/>
              </w:rPr>
            </w:pPr>
            <w:r>
              <w:rPr>
                <w:rFonts w:ascii="Arial"/>
                <w:b/>
                <w:spacing w:val="-4"/>
                <w:sz w:val="15"/>
              </w:rPr>
              <w:t>Nota</w:t>
            </w:r>
          </w:p>
        </w:tc>
        <w:tc>
          <w:tcPr>
            <w:tcW w:w="1348" w:type="dxa"/>
            <w:tcBorders>
              <w:top w:val="single" w:sz="4" w:space="0" w:color="000000"/>
              <w:bottom w:val="single" w:sz="4" w:space="0" w:color="000000"/>
            </w:tcBorders>
          </w:tcPr>
          <w:p w14:paraId="776AF986" w14:textId="77777777" w:rsidR="002C6574" w:rsidRDefault="00000000">
            <w:pPr>
              <w:pStyle w:val="TableParagraph"/>
              <w:spacing w:before="15" w:line="164" w:lineRule="exact"/>
              <w:ind w:left="3" w:right="2"/>
              <w:jc w:val="center"/>
              <w:rPr>
                <w:rFonts w:ascii="Arial"/>
                <w:b/>
                <w:sz w:val="15"/>
              </w:rPr>
            </w:pPr>
            <w:r>
              <w:rPr>
                <w:rFonts w:ascii="Arial"/>
                <w:b/>
                <w:spacing w:val="-4"/>
                <w:sz w:val="15"/>
              </w:rPr>
              <w:t>2025</w:t>
            </w:r>
          </w:p>
        </w:tc>
        <w:tc>
          <w:tcPr>
            <w:tcW w:w="146" w:type="dxa"/>
          </w:tcPr>
          <w:p w14:paraId="5DF3865C" w14:textId="77777777" w:rsidR="002C6574" w:rsidRDefault="002C6574">
            <w:pPr>
              <w:pStyle w:val="TableParagraph"/>
              <w:jc w:val="left"/>
              <w:rPr>
                <w:rFonts w:ascii="Times New Roman"/>
                <w:sz w:val="12"/>
              </w:rPr>
            </w:pPr>
          </w:p>
        </w:tc>
        <w:tc>
          <w:tcPr>
            <w:tcW w:w="1348" w:type="dxa"/>
            <w:tcBorders>
              <w:top w:val="single" w:sz="4" w:space="0" w:color="000000"/>
              <w:bottom w:val="single" w:sz="4" w:space="0" w:color="000000"/>
            </w:tcBorders>
          </w:tcPr>
          <w:p w14:paraId="62765ADA" w14:textId="77777777" w:rsidR="002C6574" w:rsidRDefault="00000000">
            <w:pPr>
              <w:pStyle w:val="TableParagraph"/>
              <w:spacing w:before="15" w:line="164" w:lineRule="exact"/>
              <w:ind w:left="3"/>
              <w:jc w:val="center"/>
              <w:rPr>
                <w:rFonts w:ascii="Arial"/>
                <w:b/>
                <w:sz w:val="15"/>
              </w:rPr>
            </w:pPr>
            <w:r>
              <w:rPr>
                <w:rFonts w:ascii="Arial"/>
                <w:b/>
                <w:spacing w:val="-4"/>
                <w:sz w:val="15"/>
              </w:rPr>
              <w:t>2024</w:t>
            </w:r>
          </w:p>
        </w:tc>
        <w:tc>
          <w:tcPr>
            <w:tcW w:w="4656" w:type="dxa"/>
          </w:tcPr>
          <w:p w14:paraId="71883875" w14:textId="77777777" w:rsidR="002C6574" w:rsidRDefault="00000000">
            <w:pPr>
              <w:pStyle w:val="TableParagraph"/>
              <w:spacing w:before="15" w:line="164" w:lineRule="exact"/>
              <w:ind w:left="218"/>
              <w:jc w:val="left"/>
              <w:rPr>
                <w:rFonts w:ascii="Arial"/>
                <w:b/>
                <w:sz w:val="15"/>
              </w:rPr>
            </w:pPr>
            <w:r>
              <w:rPr>
                <w:rFonts w:ascii="Arial"/>
                <w:b/>
                <w:spacing w:val="-2"/>
                <w:sz w:val="15"/>
              </w:rPr>
              <w:t>Passivo</w:t>
            </w:r>
          </w:p>
        </w:tc>
        <w:tc>
          <w:tcPr>
            <w:tcW w:w="566" w:type="dxa"/>
          </w:tcPr>
          <w:p w14:paraId="11EAC37D" w14:textId="77777777" w:rsidR="002C6574" w:rsidRDefault="00000000">
            <w:pPr>
              <w:pStyle w:val="TableParagraph"/>
              <w:spacing w:before="15" w:line="164" w:lineRule="exact"/>
              <w:ind w:left="101"/>
              <w:jc w:val="center"/>
              <w:rPr>
                <w:rFonts w:ascii="Arial"/>
                <w:b/>
                <w:sz w:val="15"/>
              </w:rPr>
            </w:pPr>
            <w:r>
              <w:rPr>
                <w:rFonts w:ascii="Arial"/>
                <w:b/>
                <w:spacing w:val="-4"/>
                <w:sz w:val="15"/>
              </w:rPr>
              <w:t>Nota</w:t>
            </w:r>
          </w:p>
        </w:tc>
        <w:tc>
          <w:tcPr>
            <w:tcW w:w="1493" w:type="dxa"/>
            <w:tcBorders>
              <w:top w:val="single" w:sz="4" w:space="0" w:color="000000"/>
              <w:bottom w:val="single" w:sz="4" w:space="0" w:color="000000"/>
            </w:tcBorders>
          </w:tcPr>
          <w:p w14:paraId="765A43EF" w14:textId="77777777" w:rsidR="002C6574" w:rsidRDefault="00000000">
            <w:pPr>
              <w:pStyle w:val="TableParagraph"/>
              <w:spacing w:before="15" w:line="164" w:lineRule="exact"/>
              <w:ind w:left="4"/>
              <w:jc w:val="center"/>
              <w:rPr>
                <w:rFonts w:ascii="Arial"/>
                <w:b/>
                <w:sz w:val="15"/>
              </w:rPr>
            </w:pPr>
            <w:r>
              <w:rPr>
                <w:rFonts w:ascii="Arial"/>
                <w:b/>
                <w:spacing w:val="-4"/>
                <w:sz w:val="15"/>
              </w:rPr>
              <w:t>2025</w:t>
            </w:r>
          </w:p>
        </w:tc>
        <w:tc>
          <w:tcPr>
            <w:tcW w:w="144" w:type="dxa"/>
          </w:tcPr>
          <w:p w14:paraId="7FED2A7F" w14:textId="77777777" w:rsidR="002C6574" w:rsidRDefault="002C6574">
            <w:pPr>
              <w:pStyle w:val="TableParagraph"/>
              <w:jc w:val="left"/>
              <w:rPr>
                <w:rFonts w:ascii="Times New Roman"/>
                <w:sz w:val="12"/>
              </w:rPr>
            </w:pPr>
          </w:p>
        </w:tc>
        <w:tc>
          <w:tcPr>
            <w:tcW w:w="1493" w:type="dxa"/>
            <w:tcBorders>
              <w:top w:val="single" w:sz="4" w:space="0" w:color="000000"/>
              <w:bottom w:val="single" w:sz="4" w:space="0" w:color="000000"/>
            </w:tcBorders>
          </w:tcPr>
          <w:p w14:paraId="488441F2" w14:textId="77777777" w:rsidR="002C6574" w:rsidRDefault="00000000">
            <w:pPr>
              <w:pStyle w:val="TableParagraph"/>
              <w:spacing w:before="15" w:line="164" w:lineRule="exact"/>
              <w:ind w:left="4"/>
              <w:jc w:val="center"/>
              <w:rPr>
                <w:rFonts w:ascii="Arial"/>
                <w:b/>
                <w:sz w:val="15"/>
              </w:rPr>
            </w:pPr>
            <w:r>
              <w:rPr>
                <w:rFonts w:ascii="Arial"/>
                <w:b/>
                <w:spacing w:val="-4"/>
                <w:sz w:val="15"/>
              </w:rPr>
              <w:t>2024</w:t>
            </w:r>
          </w:p>
        </w:tc>
      </w:tr>
      <w:tr w:rsidR="002C6574" w14:paraId="21F780A9" w14:textId="77777777">
        <w:trPr>
          <w:trHeight w:val="200"/>
        </w:trPr>
        <w:tc>
          <w:tcPr>
            <w:tcW w:w="3190" w:type="dxa"/>
          </w:tcPr>
          <w:p w14:paraId="5BB2B24C" w14:textId="77777777" w:rsidR="002C6574" w:rsidRDefault="00000000">
            <w:pPr>
              <w:pStyle w:val="TableParagraph"/>
              <w:spacing w:before="12" w:line="168" w:lineRule="exact"/>
              <w:ind w:left="50"/>
              <w:jc w:val="left"/>
              <w:rPr>
                <w:rFonts w:ascii="Arial"/>
                <w:b/>
                <w:sz w:val="15"/>
              </w:rPr>
            </w:pPr>
            <w:r>
              <w:rPr>
                <w:rFonts w:ascii="Arial"/>
                <w:b/>
                <w:spacing w:val="-2"/>
                <w:sz w:val="15"/>
              </w:rPr>
              <w:t>Circulante</w:t>
            </w:r>
          </w:p>
        </w:tc>
        <w:tc>
          <w:tcPr>
            <w:tcW w:w="474" w:type="dxa"/>
          </w:tcPr>
          <w:p w14:paraId="716EFA7A" w14:textId="77777777" w:rsidR="002C6574" w:rsidRDefault="002C6574">
            <w:pPr>
              <w:pStyle w:val="TableParagraph"/>
              <w:jc w:val="left"/>
              <w:rPr>
                <w:rFonts w:ascii="Times New Roman"/>
                <w:sz w:val="12"/>
              </w:rPr>
            </w:pPr>
          </w:p>
        </w:tc>
        <w:tc>
          <w:tcPr>
            <w:tcW w:w="1348" w:type="dxa"/>
            <w:tcBorders>
              <w:top w:val="single" w:sz="4" w:space="0" w:color="000000"/>
            </w:tcBorders>
          </w:tcPr>
          <w:p w14:paraId="498C179A" w14:textId="77777777" w:rsidR="002C6574" w:rsidRDefault="002C6574">
            <w:pPr>
              <w:pStyle w:val="TableParagraph"/>
              <w:jc w:val="left"/>
              <w:rPr>
                <w:rFonts w:ascii="Times New Roman"/>
                <w:sz w:val="12"/>
              </w:rPr>
            </w:pPr>
          </w:p>
        </w:tc>
        <w:tc>
          <w:tcPr>
            <w:tcW w:w="146" w:type="dxa"/>
          </w:tcPr>
          <w:p w14:paraId="1E723D66" w14:textId="77777777" w:rsidR="002C6574" w:rsidRDefault="002C6574">
            <w:pPr>
              <w:pStyle w:val="TableParagraph"/>
              <w:jc w:val="left"/>
              <w:rPr>
                <w:rFonts w:ascii="Times New Roman"/>
                <w:sz w:val="12"/>
              </w:rPr>
            </w:pPr>
          </w:p>
        </w:tc>
        <w:tc>
          <w:tcPr>
            <w:tcW w:w="1348" w:type="dxa"/>
            <w:tcBorders>
              <w:top w:val="single" w:sz="4" w:space="0" w:color="000000"/>
            </w:tcBorders>
          </w:tcPr>
          <w:p w14:paraId="1FAA2C5A" w14:textId="77777777" w:rsidR="002C6574" w:rsidRDefault="002C6574">
            <w:pPr>
              <w:pStyle w:val="TableParagraph"/>
              <w:jc w:val="left"/>
              <w:rPr>
                <w:rFonts w:ascii="Times New Roman"/>
                <w:sz w:val="12"/>
              </w:rPr>
            </w:pPr>
          </w:p>
        </w:tc>
        <w:tc>
          <w:tcPr>
            <w:tcW w:w="4656" w:type="dxa"/>
          </w:tcPr>
          <w:p w14:paraId="5E74384F" w14:textId="77777777" w:rsidR="002C6574" w:rsidRDefault="00000000">
            <w:pPr>
              <w:pStyle w:val="TableParagraph"/>
              <w:spacing w:before="12" w:line="168" w:lineRule="exact"/>
              <w:ind w:left="218"/>
              <w:jc w:val="left"/>
              <w:rPr>
                <w:rFonts w:ascii="Arial"/>
                <w:b/>
                <w:sz w:val="15"/>
              </w:rPr>
            </w:pPr>
            <w:r>
              <w:rPr>
                <w:rFonts w:ascii="Arial"/>
                <w:b/>
                <w:spacing w:val="-2"/>
                <w:sz w:val="15"/>
              </w:rPr>
              <w:t>Circulante</w:t>
            </w:r>
          </w:p>
        </w:tc>
        <w:tc>
          <w:tcPr>
            <w:tcW w:w="566" w:type="dxa"/>
          </w:tcPr>
          <w:p w14:paraId="2BA110B5" w14:textId="77777777" w:rsidR="002C6574" w:rsidRDefault="002C6574">
            <w:pPr>
              <w:pStyle w:val="TableParagraph"/>
              <w:jc w:val="left"/>
              <w:rPr>
                <w:rFonts w:ascii="Times New Roman"/>
                <w:sz w:val="12"/>
              </w:rPr>
            </w:pPr>
          </w:p>
        </w:tc>
        <w:tc>
          <w:tcPr>
            <w:tcW w:w="1493" w:type="dxa"/>
            <w:tcBorders>
              <w:top w:val="single" w:sz="4" w:space="0" w:color="000000"/>
            </w:tcBorders>
          </w:tcPr>
          <w:p w14:paraId="5D0AB9B5" w14:textId="77777777" w:rsidR="002C6574" w:rsidRDefault="002C6574">
            <w:pPr>
              <w:pStyle w:val="TableParagraph"/>
              <w:jc w:val="left"/>
              <w:rPr>
                <w:rFonts w:ascii="Times New Roman"/>
                <w:sz w:val="12"/>
              </w:rPr>
            </w:pPr>
          </w:p>
        </w:tc>
        <w:tc>
          <w:tcPr>
            <w:tcW w:w="144" w:type="dxa"/>
          </w:tcPr>
          <w:p w14:paraId="7F83394E" w14:textId="77777777" w:rsidR="002C6574" w:rsidRDefault="002C6574">
            <w:pPr>
              <w:pStyle w:val="TableParagraph"/>
              <w:jc w:val="left"/>
              <w:rPr>
                <w:rFonts w:ascii="Times New Roman"/>
                <w:sz w:val="12"/>
              </w:rPr>
            </w:pPr>
          </w:p>
        </w:tc>
        <w:tc>
          <w:tcPr>
            <w:tcW w:w="1493" w:type="dxa"/>
            <w:tcBorders>
              <w:top w:val="single" w:sz="4" w:space="0" w:color="000000"/>
            </w:tcBorders>
          </w:tcPr>
          <w:p w14:paraId="683A5C65" w14:textId="77777777" w:rsidR="002C6574" w:rsidRDefault="002C6574">
            <w:pPr>
              <w:pStyle w:val="TableParagraph"/>
              <w:jc w:val="left"/>
              <w:rPr>
                <w:rFonts w:ascii="Times New Roman"/>
                <w:sz w:val="12"/>
              </w:rPr>
            </w:pPr>
          </w:p>
        </w:tc>
      </w:tr>
      <w:tr w:rsidR="002C6574" w14:paraId="159C9E76" w14:textId="77777777">
        <w:trPr>
          <w:trHeight w:val="197"/>
        </w:trPr>
        <w:tc>
          <w:tcPr>
            <w:tcW w:w="3190" w:type="dxa"/>
          </w:tcPr>
          <w:p w14:paraId="2F0F9170" w14:textId="77777777" w:rsidR="002C6574" w:rsidRDefault="00000000">
            <w:pPr>
              <w:pStyle w:val="TableParagraph"/>
              <w:spacing w:line="178" w:lineRule="exact"/>
              <w:ind w:left="50"/>
              <w:jc w:val="left"/>
              <w:rPr>
                <w:sz w:val="15"/>
              </w:rPr>
            </w:pPr>
            <w:r>
              <w:rPr>
                <w:w w:val="105"/>
                <w:sz w:val="15"/>
              </w:rPr>
              <w:t>Caixa</w:t>
            </w:r>
            <w:r>
              <w:rPr>
                <w:spacing w:val="-3"/>
                <w:w w:val="105"/>
                <w:sz w:val="15"/>
              </w:rPr>
              <w:t xml:space="preserve"> </w:t>
            </w:r>
            <w:r>
              <w:rPr>
                <w:w w:val="105"/>
                <w:sz w:val="15"/>
              </w:rPr>
              <w:t>e</w:t>
            </w:r>
            <w:r>
              <w:rPr>
                <w:spacing w:val="-5"/>
                <w:w w:val="105"/>
                <w:sz w:val="15"/>
              </w:rPr>
              <w:t xml:space="preserve"> </w:t>
            </w:r>
            <w:r>
              <w:rPr>
                <w:w w:val="105"/>
                <w:sz w:val="15"/>
              </w:rPr>
              <w:t>Equivalentes</w:t>
            </w:r>
            <w:r>
              <w:rPr>
                <w:spacing w:val="-4"/>
                <w:w w:val="105"/>
                <w:sz w:val="15"/>
              </w:rPr>
              <w:t xml:space="preserve"> </w:t>
            </w:r>
            <w:r>
              <w:rPr>
                <w:w w:val="105"/>
                <w:sz w:val="15"/>
              </w:rPr>
              <w:t>de</w:t>
            </w:r>
            <w:r>
              <w:rPr>
                <w:spacing w:val="-3"/>
                <w:w w:val="105"/>
                <w:sz w:val="15"/>
              </w:rPr>
              <w:t xml:space="preserve"> </w:t>
            </w:r>
            <w:r>
              <w:rPr>
                <w:spacing w:val="-4"/>
                <w:w w:val="105"/>
                <w:sz w:val="15"/>
              </w:rPr>
              <w:t>Caixa</w:t>
            </w:r>
          </w:p>
        </w:tc>
        <w:tc>
          <w:tcPr>
            <w:tcW w:w="474" w:type="dxa"/>
          </w:tcPr>
          <w:p w14:paraId="034B3874" w14:textId="77777777" w:rsidR="002C6574" w:rsidRDefault="00000000">
            <w:pPr>
              <w:pStyle w:val="TableParagraph"/>
              <w:spacing w:line="178" w:lineRule="exact"/>
              <w:ind w:left="1" w:right="3"/>
              <w:jc w:val="center"/>
              <w:rPr>
                <w:sz w:val="15"/>
              </w:rPr>
            </w:pPr>
            <w:r>
              <w:rPr>
                <w:spacing w:val="-10"/>
                <w:w w:val="105"/>
                <w:sz w:val="15"/>
              </w:rPr>
              <w:t>4</w:t>
            </w:r>
          </w:p>
        </w:tc>
        <w:tc>
          <w:tcPr>
            <w:tcW w:w="1348" w:type="dxa"/>
          </w:tcPr>
          <w:p w14:paraId="77C1678B" w14:textId="77777777" w:rsidR="002C6574" w:rsidRDefault="00000000">
            <w:pPr>
              <w:pStyle w:val="TableParagraph"/>
              <w:spacing w:line="178" w:lineRule="exact"/>
              <w:ind w:right="63"/>
              <w:rPr>
                <w:sz w:val="15"/>
              </w:rPr>
            </w:pPr>
            <w:r>
              <w:rPr>
                <w:spacing w:val="-2"/>
                <w:w w:val="105"/>
                <w:sz w:val="15"/>
              </w:rPr>
              <w:t>698.514</w:t>
            </w:r>
          </w:p>
        </w:tc>
        <w:tc>
          <w:tcPr>
            <w:tcW w:w="146" w:type="dxa"/>
          </w:tcPr>
          <w:p w14:paraId="51AE428C" w14:textId="77777777" w:rsidR="002C6574" w:rsidRDefault="002C6574">
            <w:pPr>
              <w:pStyle w:val="TableParagraph"/>
              <w:jc w:val="left"/>
              <w:rPr>
                <w:rFonts w:ascii="Times New Roman"/>
                <w:sz w:val="12"/>
              </w:rPr>
            </w:pPr>
          </w:p>
        </w:tc>
        <w:tc>
          <w:tcPr>
            <w:tcW w:w="1348" w:type="dxa"/>
          </w:tcPr>
          <w:p w14:paraId="253BD9CA" w14:textId="77777777" w:rsidR="002C6574" w:rsidRDefault="00000000">
            <w:pPr>
              <w:pStyle w:val="TableParagraph"/>
              <w:spacing w:line="178" w:lineRule="exact"/>
              <w:ind w:right="62"/>
              <w:rPr>
                <w:sz w:val="15"/>
              </w:rPr>
            </w:pPr>
            <w:r>
              <w:rPr>
                <w:spacing w:val="-2"/>
                <w:w w:val="105"/>
                <w:sz w:val="15"/>
              </w:rPr>
              <w:t>425.387</w:t>
            </w:r>
          </w:p>
        </w:tc>
        <w:tc>
          <w:tcPr>
            <w:tcW w:w="4656" w:type="dxa"/>
          </w:tcPr>
          <w:p w14:paraId="041EE790" w14:textId="77777777" w:rsidR="002C6574" w:rsidRDefault="00000000">
            <w:pPr>
              <w:pStyle w:val="TableParagraph"/>
              <w:spacing w:line="178" w:lineRule="exact"/>
              <w:ind w:left="218"/>
              <w:jc w:val="left"/>
              <w:rPr>
                <w:sz w:val="15"/>
              </w:rPr>
            </w:pPr>
            <w:r>
              <w:rPr>
                <w:w w:val="105"/>
                <w:sz w:val="15"/>
              </w:rPr>
              <w:t>Pessoal,</w:t>
            </w:r>
            <w:r>
              <w:rPr>
                <w:spacing w:val="2"/>
                <w:w w:val="105"/>
                <w:sz w:val="15"/>
              </w:rPr>
              <w:t xml:space="preserve"> </w:t>
            </w:r>
            <w:r>
              <w:rPr>
                <w:w w:val="105"/>
                <w:sz w:val="15"/>
              </w:rPr>
              <w:t>Encargos</w:t>
            </w:r>
            <w:r>
              <w:rPr>
                <w:spacing w:val="4"/>
                <w:w w:val="105"/>
                <w:sz w:val="15"/>
              </w:rPr>
              <w:t xml:space="preserve"> </w:t>
            </w:r>
            <w:r>
              <w:rPr>
                <w:w w:val="105"/>
                <w:sz w:val="15"/>
              </w:rPr>
              <w:t>e</w:t>
            </w:r>
            <w:r>
              <w:rPr>
                <w:spacing w:val="1"/>
                <w:w w:val="105"/>
                <w:sz w:val="15"/>
              </w:rPr>
              <w:t xml:space="preserve"> </w:t>
            </w:r>
            <w:r>
              <w:rPr>
                <w:w w:val="105"/>
                <w:sz w:val="15"/>
              </w:rPr>
              <w:t>Benefícios</w:t>
            </w:r>
            <w:r>
              <w:rPr>
                <w:spacing w:val="5"/>
                <w:w w:val="105"/>
                <w:sz w:val="15"/>
              </w:rPr>
              <w:t xml:space="preserve"> </w:t>
            </w:r>
            <w:r>
              <w:rPr>
                <w:spacing w:val="-2"/>
                <w:w w:val="105"/>
                <w:sz w:val="15"/>
              </w:rPr>
              <w:t>Sociais</w:t>
            </w:r>
          </w:p>
        </w:tc>
        <w:tc>
          <w:tcPr>
            <w:tcW w:w="566" w:type="dxa"/>
          </w:tcPr>
          <w:p w14:paraId="30A6363C" w14:textId="77777777" w:rsidR="002C6574" w:rsidRDefault="00000000">
            <w:pPr>
              <w:pStyle w:val="TableParagraph"/>
              <w:spacing w:line="178" w:lineRule="exact"/>
              <w:ind w:left="101" w:right="5"/>
              <w:jc w:val="center"/>
              <w:rPr>
                <w:sz w:val="15"/>
              </w:rPr>
            </w:pPr>
            <w:r>
              <w:rPr>
                <w:spacing w:val="-5"/>
                <w:w w:val="105"/>
                <w:sz w:val="15"/>
              </w:rPr>
              <w:t>15</w:t>
            </w:r>
          </w:p>
        </w:tc>
        <w:tc>
          <w:tcPr>
            <w:tcW w:w="1493" w:type="dxa"/>
          </w:tcPr>
          <w:p w14:paraId="737B7B1A" w14:textId="77777777" w:rsidR="002C6574" w:rsidRDefault="00000000">
            <w:pPr>
              <w:pStyle w:val="TableParagraph"/>
              <w:spacing w:line="178" w:lineRule="exact"/>
              <w:ind w:right="67"/>
              <w:rPr>
                <w:sz w:val="15"/>
              </w:rPr>
            </w:pPr>
            <w:r>
              <w:rPr>
                <w:spacing w:val="-2"/>
                <w:w w:val="105"/>
                <w:sz w:val="15"/>
              </w:rPr>
              <w:t>21.583</w:t>
            </w:r>
          </w:p>
        </w:tc>
        <w:tc>
          <w:tcPr>
            <w:tcW w:w="144" w:type="dxa"/>
          </w:tcPr>
          <w:p w14:paraId="632E9672" w14:textId="77777777" w:rsidR="002C6574" w:rsidRDefault="002C6574">
            <w:pPr>
              <w:pStyle w:val="TableParagraph"/>
              <w:jc w:val="left"/>
              <w:rPr>
                <w:rFonts w:ascii="Times New Roman"/>
                <w:sz w:val="12"/>
              </w:rPr>
            </w:pPr>
          </w:p>
        </w:tc>
        <w:tc>
          <w:tcPr>
            <w:tcW w:w="1493" w:type="dxa"/>
          </w:tcPr>
          <w:p w14:paraId="0D4E72F3" w14:textId="77777777" w:rsidR="002C6574" w:rsidRDefault="00000000">
            <w:pPr>
              <w:pStyle w:val="TableParagraph"/>
              <w:spacing w:line="178" w:lineRule="exact"/>
              <w:ind w:right="67"/>
              <w:rPr>
                <w:sz w:val="15"/>
              </w:rPr>
            </w:pPr>
            <w:r>
              <w:rPr>
                <w:spacing w:val="-2"/>
                <w:w w:val="105"/>
                <w:sz w:val="15"/>
              </w:rPr>
              <w:t>13.331</w:t>
            </w:r>
          </w:p>
        </w:tc>
      </w:tr>
      <w:tr w:rsidR="002C6574" w14:paraId="7432614C" w14:textId="77777777">
        <w:trPr>
          <w:trHeight w:val="197"/>
        </w:trPr>
        <w:tc>
          <w:tcPr>
            <w:tcW w:w="3190" w:type="dxa"/>
          </w:tcPr>
          <w:p w14:paraId="3477C19A" w14:textId="77777777" w:rsidR="002C6574" w:rsidRDefault="00000000">
            <w:pPr>
              <w:pStyle w:val="TableParagraph"/>
              <w:spacing w:line="178" w:lineRule="exact"/>
              <w:ind w:left="50"/>
              <w:jc w:val="left"/>
              <w:rPr>
                <w:sz w:val="15"/>
              </w:rPr>
            </w:pPr>
            <w:r>
              <w:rPr>
                <w:w w:val="105"/>
                <w:sz w:val="15"/>
              </w:rPr>
              <w:t>Contas</w:t>
            </w:r>
            <w:r>
              <w:rPr>
                <w:spacing w:val="-4"/>
                <w:w w:val="105"/>
                <w:sz w:val="15"/>
              </w:rPr>
              <w:t xml:space="preserve"> </w:t>
            </w:r>
            <w:r>
              <w:rPr>
                <w:w w:val="105"/>
                <w:sz w:val="15"/>
              </w:rPr>
              <w:t>a</w:t>
            </w:r>
            <w:r>
              <w:rPr>
                <w:spacing w:val="-5"/>
                <w:w w:val="105"/>
                <w:sz w:val="15"/>
              </w:rPr>
              <w:t xml:space="preserve"> </w:t>
            </w:r>
            <w:r>
              <w:rPr>
                <w:w w:val="105"/>
                <w:sz w:val="15"/>
              </w:rPr>
              <w:t>Receber</w:t>
            </w:r>
            <w:r>
              <w:rPr>
                <w:spacing w:val="-4"/>
                <w:w w:val="105"/>
                <w:sz w:val="15"/>
              </w:rPr>
              <w:t xml:space="preserve"> </w:t>
            </w:r>
            <w:r>
              <w:rPr>
                <w:w w:val="105"/>
                <w:sz w:val="15"/>
              </w:rPr>
              <w:t>de</w:t>
            </w:r>
            <w:r>
              <w:rPr>
                <w:spacing w:val="-6"/>
                <w:w w:val="105"/>
                <w:sz w:val="15"/>
              </w:rPr>
              <w:t xml:space="preserve"> </w:t>
            </w:r>
            <w:r>
              <w:rPr>
                <w:spacing w:val="-2"/>
                <w:w w:val="105"/>
                <w:sz w:val="15"/>
              </w:rPr>
              <w:t>Clientes</w:t>
            </w:r>
          </w:p>
        </w:tc>
        <w:tc>
          <w:tcPr>
            <w:tcW w:w="474" w:type="dxa"/>
          </w:tcPr>
          <w:p w14:paraId="714AF547" w14:textId="77777777" w:rsidR="002C6574" w:rsidRDefault="00000000">
            <w:pPr>
              <w:pStyle w:val="TableParagraph"/>
              <w:spacing w:line="178" w:lineRule="exact"/>
              <w:ind w:left="2" w:right="3"/>
              <w:jc w:val="center"/>
              <w:rPr>
                <w:sz w:val="15"/>
              </w:rPr>
            </w:pPr>
            <w:r>
              <w:rPr>
                <w:spacing w:val="-10"/>
                <w:w w:val="105"/>
                <w:sz w:val="15"/>
              </w:rPr>
              <w:t>5</w:t>
            </w:r>
          </w:p>
        </w:tc>
        <w:tc>
          <w:tcPr>
            <w:tcW w:w="1348" w:type="dxa"/>
          </w:tcPr>
          <w:p w14:paraId="63B097CE" w14:textId="77777777" w:rsidR="002C6574" w:rsidRDefault="00000000">
            <w:pPr>
              <w:pStyle w:val="TableParagraph"/>
              <w:spacing w:line="178" w:lineRule="exact"/>
              <w:ind w:right="63"/>
              <w:rPr>
                <w:sz w:val="15"/>
              </w:rPr>
            </w:pPr>
            <w:r>
              <w:rPr>
                <w:spacing w:val="-2"/>
                <w:w w:val="105"/>
                <w:sz w:val="15"/>
              </w:rPr>
              <w:t>448.342</w:t>
            </w:r>
          </w:p>
        </w:tc>
        <w:tc>
          <w:tcPr>
            <w:tcW w:w="146" w:type="dxa"/>
          </w:tcPr>
          <w:p w14:paraId="08BCB326" w14:textId="77777777" w:rsidR="002C6574" w:rsidRDefault="002C6574">
            <w:pPr>
              <w:pStyle w:val="TableParagraph"/>
              <w:jc w:val="left"/>
              <w:rPr>
                <w:rFonts w:ascii="Times New Roman"/>
                <w:sz w:val="12"/>
              </w:rPr>
            </w:pPr>
          </w:p>
        </w:tc>
        <w:tc>
          <w:tcPr>
            <w:tcW w:w="1348" w:type="dxa"/>
          </w:tcPr>
          <w:p w14:paraId="4A316F34" w14:textId="77777777" w:rsidR="002C6574" w:rsidRDefault="00000000">
            <w:pPr>
              <w:pStyle w:val="TableParagraph"/>
              <w:spacing w:line="178" w:lineRule="exact"/>
              <w:ind w:right="62"/>
              <w:rPr>
                <w:sz w:val="15"/>
              </w:rPr>
            </w:pPr>
            <w:r>
              <w:rPr>
                <w:spacing w:val="-2"/>
                <w:w w:val="105"/>
                <w:sz w:val="15"/>
              </w:rPr>
              <w:t>233.301</w:t>
            </w:r>
          </w:p>
        </w:tc>
        <w:tc>
          <w:tcPr>
            <w:tcW w:w="4656" w:type="dxa"/>
          </w:tcPr>
          <w:p w14:paraId="6583F2C8" w14:textId="77777777" w:rsidR="002C6574" w:rsidRDefault="00000000">
            <w:pPr>
              <w:pStyle w:val="TableParagraph"/>
              <w:spacing w:line="178" w:lineRule="exact"/>
              <w:ind w:left="218"/>
              <w:jc w:val="left"/>
              <w:rPr>
                <w:sz w:val="15"/>
              </w:rPr>
            </w:pPr>
            <w:r>
              <w:rPr>
                <w:spacing w:val="-2"/>
                <w:w w:val="105"/>
                <w:sz w:val="15"/>
              </w:rPr>
              <w:t>Fornecedores</w:t>
            </w:r>
          </w:p>
        </w:tc>
        <w:tc>
          <w:tcPr>
            <w:tcW w:w="566" w:type="dxa"/>
          </w:tcPr>
          <w:p w14:paraId="1205DB25" w14:textId="77777777" w:rsidR="002C6574" w:rsidRDefault="00000000">
            <w:pPr>
              <w:pStyle w:val="TableParagraph"/>
              <w:spacing w:line="178" w:lineRule="exact"/>
              <w:ind w:left="101" w:right="6"/>
              <w:jc w:val="center"/>
              <w:rPr>
                <w:sz w:val="15"/>
              </w:rPr>
            </w:pPr>
            <w:r>
              <w:rPr>
                <w:spacing w:val="-5"/>
                <w:w w:val="105"/>
                <w:sz w:val="15"/>
              </w:rPr>
              <w:t>18</w:t>
            </w:r>
          </w:p>
        </w:tc>
        <w:tc>
          <w:tcPr>
            <w:tcW w:w="1493" w:type="dxa"/>
          </w:tcPr>
          <w:p w14:paraId="05B4D0EB" w14:textId="77777777" w:rsidR="002C6574" w:rsidRDefault="00000000">
            <w:pPr>
              <w:pStyle w:val="TableParagraph"/>
              <w:spacing w:line="178" w:lineRule="exact"/>
              <w:ind w:right="65"/>
              <w:rPr>
                <w:sz w:val="15"/>
              </w:rPr>
            </w:pPr>
            <w:r>
              <w:rPr>
                <w:spacing w:val="-2"/>
                <w:w w:val="105"/>
                <w:sz w:val="15"/>
              </w:rPr>
              <w:t>151.794</w:t>
            </w:r>
          </w:p>
        </w:tc>
        <w:tc>
          <w:tcPr>
            <w:tcW w:w="144" w:type="dxa"/>
          </w:tcPr>
          <w:p w14:paraId="04BF7CE0" w14:textId="77777777" w:rsidR="002C6574" w:rsidRDefault="002C6574">
            <w:pPr>
              <w:pStyle w:val="TableParagraph"/>
              <w:jc w:val="left"/>
              <w:rPr>
                <w:rFonts w:ascii="Times New Roman"/>
                <w:sz w:val="12"/>
              </w:rPr>
            </w:pPr>
          </w:p>
        </w:tc>
        <w:tc>
          <w:tcPr>
            <w:tcW w:w="1493" w:type="dxa"/>
          </w:tcPr>
          <w:p w14:paraId="41264503" w14:textId="77777777" w:rsidR="002C6574" w:rsidRDefault="00000000">
            <w:pPr>
              <w:pStyle w:val="TableParagraph"/>
              <w:spacing w:line="178" w:lineRule="exact"/>
              <w:ind w:right="65"/>
              <w:rPr>
                <w:sz w:val="15"/>
              </w:rPr>
            </w:pPr>
            <w:r>
              <w:rPr>
                <w:spacing w:val="-2"/>
                <w:w w:val="105"/>
                <w:sz w:val="15"/>
              </w:rPr>
              <w:t>144.636</w:t>
            </w:r>
          </w:p>
        </w:tc>
      </w:tr>
      <w:tr w:rsidR="002C6574" w14:paraId="5F5433A6" w14:textId="77777777">
        <w:trPr>
          <w:trHeight w:val="204"/>
        </w:trPr>
        <w:tc>
          <w:tcPr>
            <w:tcW w:w="3190" w:type="dxa"/>
          </w:tcPr>
          <w:p w14:paraId="4BCB9F50" w14:textId="77777777" w:rsidR="002C6574" w:rsidRDefault="00000000">
            <w:pPr>
              <w:pStyle w:val="TableParagraph"/>
              <w:spacing w:line="184" w:lineRule="exact"/>
              <w:ind w:left="50"/>
              <w:jc w:val="left"/>
              <w:rPr>
                <w:sz w:val="15"/>
              </w:rPr>
            </w:pPr>
            <w:r>
              <w:rPr>
                <w:sz w:val="15"/>
              </w:rPr>
              <w:t>Tributos</w:t>
            </w:r>
            <w:r>
              <w:rPr>
                <w:spacing w:val="2"/>
                <w:sz w:val="15"/>
              </w:rPr>
              <w:t xml:space="preserve"> </w:t>
            </w:r>
            <w:r>
              <w:rPr>
                <w:sz w:val="15"/>
              </w:rPr>
              <w:t>a</w:t>
            </w:r>
            <w:r>
              <w:rPr>
                <w:spacing w:val="-1"/>
                <w:sz w:val="15"/>
              </w:rPr>
              <w:t xml:space="preserve"> </w:t>
            </w:r>
            <w:r>
              <w:rPr>
                <w:spacing w:val="-2"/>
                <w:sz w:val="15"/>
              </w:rPr>
              <w:t>Compensar/Recuperar</w:t>
            </w:r>
          </w:p>
        </w:tc>
        <w:tc>
          <w:tcPr>
            <w:tcW w:w="474" w:type="dxa"/>
          </w:tcPr>
          <w:p w14:paraId="5DAB9FE5" w14:textId="77777777" w:rsidR="002C6574" w:rsidRDefault="00000000">
            <w:pPr>
              <w:pStyle w:val="TableParagraph"/>
              <w:spacing w:line="184" w:lineRule="exact"/>
              <w:ind w:left="3" w:right="3"/>
              <w:jc w:val="center"/>
              <w:rPr>
                <w:sz w:val="15"/>
              </w:rPr>
            </w:pPr>
            <w:r>
              <w:rPr>
                <w:spacing w:val="-10"/>
                <w:w w:val="105"/>
                <w:sz w:val="15"/>
              </w:rPr>
              <w:t>6</w:t>
            </w:r>
          </w:p>
        </w:tc>
        <w:tc>
          <w:tcPr>
            <w:tcW w:w="1348" w:type="dxa"/>
          </w:tcPr>
          <w:p w14:paraId="1C21FA3F" w14:textId="77777777" w:rsidR="002C6574" w:rsidRDefault="00000000">
            <w:pPr>
              <w:pStyle w:val="TableParagraph"/>
              <w:spacing w:line="184" w:lineRule="exact"/>
              <w:ind w:right="64"/>
              <w:rPr>
                <w:sz w:val="15"/>
              </w:rPr>
            </w:pPr>
            <w:r>
              <w:rPr>
                <w:spacing w:val="-2"/>
                <w:w w:val="105"/>
                <w:sz w:val="15"/>
              </w:rPr>
              <w:t>204.516</w:t>
            </w:r>
          </w:p>
        </w:tc>
        <w:tc>
          <w:tcPr>
            <w:tcW w:w="146" w:type="dxa"/>
          </w:tcPr>
          <w:p w14:paraId="5E8A057F" w14:textId="77777777" w:rsidR="002C6574" w:rsidRDefault="002C6574">
            <w:pPr>
              <w:pStyle w:val="TableParagraph"/>
              <w:jc w:val="left"/>
              <w:rPr>
                <w:rFonts w:ascii="Times New Roman"/>
                <w:sz w:val="14"/>
              </w:rPr>
            </w:pPr>
          </w:p>
        </w:tc>
        <w:tc>
          <w:tcPr>
            <w:tcW w:w="1348" w:type="dxa"/>
          </w:tcPr>
          <w:p w14:paraId="7001C555" w14:textId="77777777" w:rsidR="002C6574" w:rsidRDefault="00000000">
            <w:pPr>
              <w:pStyle w:val="TableParagraph"/>
              <w:spacing w:line="184" w:lineRule="exact"/>
              <w:ind w:right="62"/>
              <w:rPr>
                <w:sz w:val="15"/>
              </w:rPr>
            </w:pPr>
            <w:r>
              <w:rPr>
                <w:spacing w:val="-2"/>
                <w:w w:val="105"/>
                <w:sz w:val="15"/>
              </w:rPr>
              <w:t>178.044</w:t>
            </w:r>
          </w:p>
        </w:tc>
        <w:tc>
          <w:tcPr>
            <w:tcW w:w="4656" w:type="dxa"/>
          </w:tcPr>
          <w:p w14:paraId="0EFC32D0" w14:textId="77777777" w:rsidR="002C6574" w:rsidRDefault="00000000">
            <w:pPr>
              <w:pStyle w:val="TableParagraph"/>
              <w:spacing w:before="2" w:line="182" w:lineRule="exact"/>
              <w:ind w:left="218"/>
              <w:jc w:val="left"/>
              <w:rPr>
                <w:sz w:val="15"/>
              </w:rPr>
            </w:pPr>
            <w:r>
              <w:rPr>
                <w:w w:val="105"/>
                <w:sz w:val="15"/>
              </w:rPr>
              <w:t>Receitas</w:t>
            </w:r>
            <w:r>
              <w:rPr>
                <w:spacing w:val="6"/>
                <w:w w:val="105"/>
                <w:sz w:val="15"/>
              </w:rPr>
              <w:t xml:space="preserve"> </w:t>
            </w:r>
            <w:r>
              <w:rPr>
                <w:spacing w:val="-2"/>
                <w:w w:val="105"/>
                <w:sz w:val="15"/>
              </w:rPr>
              <w:t>Diferidas</w:t>
            </w:r>
          </w:p>
        </w:tc>
        <w:tc>
          <w:tcPr>
            <w:tcW w:w="566" w:type="dxa"/>
          </w:tcPr>
          <w:p w14:paraId="7C35FC72" w14:textId="77777777" w:rsidR="002C6574" w:rsidRDefault="00000000">
            <w:pPr>
              <w:pStyle w:val="TableParagraph"/>
              <w:spacing w:line="184" w:lineRule="exact"/>
              <w:ind w:left="101" w:right="5"/>
              <w:jc w:val="center"/>
              <w:rPr>
                <w:sz w:val="15"/>
              </w:rPr>
            </w:pPr>
            <w:r>
              <w:rPr>
                <w:spacing w:val="-5"/>
                <w:w w:val="105"/>
                <w:sz w:val="15"/>
              </w:rPr>
              <w:t>25</w:t>
            </w:r>
          </w:p>
        </w:tc>
        <w:tc>
          <w:tcPr>
            <w:tcW w:w="1493" w:type="dxa"/>
          </w:tcPr>
          <w:p w14:paraId="3E22AC08" w14:textId="77777777" w:rsidR="002C6574" w:rsidRDefault="00000000">
            <w:pPr>
              <w:pStyle w:val="TableParagraph"/>
              <w:spacing w:line="184" w:lineRule="exact"/>
              <w:ind w:right="67"/>
              <w:rPr>
                <w:sz w:val="15"/>
              </w:rPr>
            </w:pPr>
            <w:r>
              <w:rPr>
                <w:spacing w:val="-2"/>
                <w:w w:val="105"/>
                <w:sz w:val="15"/>
              </w:rPr>
              <w:t>44.406</w:t>
            </w:r>
          </w:p>
        </w:tc>
        <w:tc>
          <w:tcPr>
            <w:tcW w:w="144" w:type="dxa"/>
          </w:tcPr>
          <w:p w14:paraId="532E8A3E" w14:textId="77777777" w:rsidR="002C6574" w:rsidRDefault="002C6574">
            <w:pPr>
              <w:pStyle w:val="TableParagraph"/>
              <w:jc w:val="left"/>
              <w:rPr>
                <w:rFonts w:ascii="Times New Roman"/>
                <w:sz w:val="14"/>
              </w:rPr>
            </w:pPr>
          </w:p>
        </w:tc>
        <w:tc>
          <w:tcPr>
            <w:tcW w:w="1493" w:type="dxa"/>
          </w:tcPr>
          <w:p w14:paraId="3B7A5679" w14:textId="77777777" w:rsidR="002C6574" w:rsidRDefault="00000000">
            <w:pPr>
              <w:pStyle w:val="TableParagraph"/>
              <w:spacing w:line="184" w:lineRule="exact"/>
              <w:ind w:right="67"/>
              <w:rPr>
                <w:sz w:val="15"/>
              </w:rPr>
            </w:pPr>
            <w:r>
              <w:rPr>
                <w:spacing w:val="-2"/>
                <w:w w:val="105"/>
                <w:sz w:val="15"/>
              </w:rPr>
              <w:t>44.406</w:t>
            </w:r>
          </w:p>
        </w:tc>
      </w:tr>
      <w:tr w:rsidR="002C6574" w14:paraId="7C3405D1" w14:textId="77777777">
        <w:trPr>
          <w:trHeight w:val="199"/>
        </w:trPr>
        <w:tc>
          <w:tcPr>
            <w:tcW w:w="3190" w:type="dxa"/>
          </w:tcPr>
          <w:p w14:paraId="3C4E6363" w14:textId="77777777" w:rsidR="002C6574" w:rsidRDefault="00000000">
            <w:pPr>
              <w:pStyle w:val="TableParagraph"/>
              <w:spacing w:line="179" w:lineRule="exact"/>
              <w:ind w:left="50"/>
              <w:jc w:val="left"/>
              <w:rPr>
                <w:sz w:val="15"/>
              </w:rPr>
            </w:pPr>
            <w:r>
              <w:rPr>
                <w:sz w:val="15"/>
              </w:rPr>
              <w:t xml:space="preserve">Depósitos </w:t>
            </w:r>
            <w:r>
              <w:rPr>
                <w:spacing w:val="-2"/>
                <w:sz w:val="15"/>
              </w:rPr>
              <w:t>Judiciais</w:t>
            </w:r>
          </w:p>
        </w:tc>
        <w:tc>
          <w:tcPr>
            <w:tcW w:w="474" w:type="dxa"/>
          </w:tcPr>
          <w:p w14:paraId="26479F03" w14:textId="77777777" w:rsidR="002C6574" w:rsidRDefault="00000000">
            <w:pPr>
              <w:pStyle w:val="TableParagraph"/>
              <w:spacing w:line="179" w:lineRule="exact"/>
              <w:ind w:left="3" w:right="3"/>
              <w:jc w:val="center"/>
              <w:rPr>
                <w:sz w:val="15"/>
              </w:rPr>
            </w:pPr>
            <w:r>
              <w:rPr>
                <w:spacing w:val="-10"/>
                <w:w w:val="105"/>
                <w:sz w:val="15"/>
              </w:rPr>
              <w:t>7</w:t>
            </w:r>
          </w:p>
        </w:tc>
        <w:tc>
          <w:tcPr>
            <w:tcW w:w="1348" w:type="dxa"/>
          </w:tcPr>
          <w:p w14:paraId="24AC0BF6" w14:textId="77777777" w:rsidR="002C6574" w:rsidRDefault="00000000">
            <w:pPr>
              <w:pStyle w:val="TableParagraph"/>
              <w:spacing w:line="179" w:lineRule="exact"/>
              <w:ind w:right="64"/>
              <w:rPr>
                <w:sz w:val="15"/>
              </w:rPr>
            </w:pPr>
            <w:r>
              <w:rPr>
                <w:spacing w:val="-2"/>
                <w:w w:val="110"/>
                <w:sz w:val="15"/>
              </w:rPr>
              <w:t>7.311</w:t>
            </w:r>
          </w:p>
        </w:tc>
        <w:tc>
          <w:tcPr>
            <w:tcW w:w="146" w:type="dxa"/>
          </w:tcPr>
          <w:p w14:paraId="775395FC" w14:textId="77777777" w:rsidR="002C6574" w:rsidRDefault="002C6574">
            <w:pPr>
              <w:pStyle w:val="TableParagraph"/>
              <w:jc w:val="left"/>
              <w:rPr>
                <w:rFonts w:ascii="Times New Roman"/>
                <w:sz w:val="12"/>
              </w:rPr>
            </w:pPr>
          </w:p>
        </w:tc>
        <w:tc>
          <w:tcPr>
            <w:tcW w:w="1348" w:type="dxa"/>
          </w:tcPr>
          <w:p w14:paraId="5CADD889" w14:textId="77777777" w:rsidR="002C6574" w:rsidRDefault="00000000">
            <w:pPr>
              <w:pStyle w:val="TableParagraph"/>
              <w:spacing w:line="179" w:lineRule="exact"/>
              <w:ind w:right="63"/>
              <w:rPr>
                <w:sz w:val="15"/>
              </w:rPr>
            </w:pPr>
            <w:r>
              <w:rPr>
                <w:spacing w:val="-2"/>
                <w:w w:val="110"/>
                <w:sz w:val="15"/>
              </w:rPr>
              <w:t>7.364</w:t>
            </w:r>
          </w:p>
        </w:tc>
        <w:tc>
          <w:tcPr>
            <w:tcW w:w="4656" w:type="dxa"/>
          </w:tcPr>
          <w:p w14:paraId="1458E081" w14:textId="77777777" w:rsidR="002C6574" w:rsidRDefault="00000000">
            <w:pPr>
              <w:pStyle w:val="TableParagraph"/>
              <w:spacing w:line="179" w:lineRule="exact"/>
              <w:ind w:left="218"/>
              <w:jc w:val="left"/>
              <w:rPr>
                <w:sz w:val="15"/>
              </w:rPr>
            </w:pPr>
            <w:r>
              <w:rPr>
                <w:sz w:val="15"/>
              </w:rPr>
              <w:t>Tributos</w:t>
            </w:r>
            <w:r>
              <w:rPr>
                <w:spacing w:val="-6"/>
                <w:sz w:val="15"/>
              </w:rPr>
              <w:t xml:space="preserve"> </w:t>
            </w:r>
            <w:r>
              <w:rPr>
                <w:spacing w:val="-2"/>
                <w:sz w:val="15"/>
              </w:rPr>
              <w:t>Diretos</w:t>
            </w:r>
          </w:p>
        </w:tc>
        <w:tc>
          <w:tcPr>
            <w:tcW w:w="566" w:type="dxa"/>
          </w:tcPr>
          <w:p w14:paraId="30A97B72" w14:textId="77777777" w:rsidR="002C6574" w:rsidRDefault="00000000">
            <w:pPr>
              <w:pStyle w:val="TableParagraph"/>
              <w:spacing w:line="179" w:lineRule="exact"/>
              <w:ind w:left="101" w:right="5"/>
              <w:jc w:val="center"/>
              <w:rPr>
                <w:sz w:val="15"/>
              </w:rPr>
            </w:pPr>
            <w:r>
              <w:rPr>
                <w:spacing w:val="-5"/>
                <w:w w:val="105"/>
                <w:sz w:val="15"/>
              </w:rPr>
              <w:t>19</w:t>
            </w:r>
          </w:p>
        </w:tc>
        <w:tc>
          <w:tcPr>
            <w:tcW w:w="1493" w:type="dxa"/>
          </w:tcPr>
          <w:p w14:paraId="70F1A24C" w14:textId="77777777" w:rsidR="002C6574" w:rsidRDefault="00000000">
            <w:pPr>
              <w:pStyle w:val="TableParagraph"/>
              <w:spacing w:line="179" w:lineRule="exact"/>
              <w:ind w:right="67"/>
              <w:rPr>
                <w:sz w:val="15"/>
              </w:rPr>
            </w:pPr>
            <w:r>
              <w:rPr>
                <w:spacing w:val="-2"/>
                <w:w w:val="105"/>
                <w:sz w:val="15"/>
              </w:rPr>
              <w:t>41.932</w:t>
            </w:r>
          </w:p>
        </w:tc>
        <w:tc>
          <w:tcPr>
            <w:tcW w:w="144" w:type="dxa"/>
          </w:tcPr>
          <w:p w14:paraId="00EC2E4E" w14:textId="77777777" w:rsidR="002C6574" w:rsidRDefault="002C6574">
            <w:pPr>
              <w:pStyle w:val="TableParagraph"/>
              <w:jc w:val="left"/>
              <w:rPr>
                <w:rFonts w:ascii="Times New Roman"/>
                <w:sz w:val="12"/>
              </w:rPr>
            </w:pPr>
          </w:p>
        </w:tc>
        <w:tc>
          <w:tcPr>
            <w:tcW w:w="1493" w:type="dxa"/>
          </w:tcPr>
          <w:p w14:paraId="7FB92100" w14:textId="77777777" w:rsidR="002C6574" w:rsidRDefault="00000000">
            <w:pPr>
              <w:pStyle w:val="TableParagraph"/>
              <w:spacing w:line="179" w:lineRule="exact"/>
              <w:ind w:right="240"/>
              <w:rPr>
                <w:sz w:val="15"/>
              </w:rPr>
            </w:pPr>
            <w:r>
              <w:rPr>
                <w:spacing w:val="-10"/>
                <w:w w:val="95"/>
                <w:sz w:val="15"/>
              </w:rPr>
              <w:t>-</w:t>
            </w:r>
          </w:p>
        </w:tc>
      </w:tr>
      <w:tr w:rsidR="002C6574" w14:paraId="2628CF7B" w14:textId="77777777">
        <w:trPr>
          <w:trHeight w:val="190"/>
        </w:trPr>
        <w:tc>
          <w:tcPr>
            <w:tcW w:w="3190" w:type="dxa"/>
          </w:tcPr>
          <w:p w14:paraId="72D0223A" w14:textId="77777777" w:rsidR="002C6574" w:rsidRDefault="00000000">
            <w:pPr>
              <w:pStyle w:val="TableParagraph"/>
              <w:spacing w:line="171" w:lineRule="exact"/>
              <w:ind w:left="50"/>
              <w:jc w:val="left"/>
              <w:rPr>
                <w:sz w:val="15"/>
              </w:rPr>
            </w:pPr>
            <w:r>
              <w:rPr>
                <w:spacing w:val="-2"/>
                <w:w w:val="105"/>
                <w:sz w:val="15"/>
              </w:rPr>
              <w:t>Aplicações</w:t>
            </w:r>
            <w:r>
              <w:rPr>
                <w:spacing w:val="3"/>
                <w:w w:val="105"/>
                <w:sz w:val="15"/>
              </w:rPr>
              <w:t xml:space="preserve"> </w:t>
            </w:r>
            <w:r>
              <w:rPr>
                <w:spacing w:val="-2"/>
                <w:w w:val="105"/>
                <w:sz w:val="15"/>
              </w:rPr>
              <w:t>Financeiras</w:t>
            </w:r>
          </w:p>
        </w:tc>
        <w:tc>
          <w:tcPr>
            <w:tcW w:w="474" w:type="dxa"/>
          </w:tcPr>
          <w:p w14:paraId="35BDFC4A" w14:textId="77777777" w:rsidR="002C6574" w:rsidRDefault="00000000">
            <w:pPr>
              <w:pStyle w:val="TableParagraph"/>
              <w:spacing w:line="171" w:lineRule="exact"/>
              <w:ind w:right="3"/>
              <w:jc w:val="center"/>
              <w:rPr>
                <w:sz w:val="15"/>
              </w:rPr>
            </w:pPr>
            <w:r>
              <w:rPr>
                <w:spacing w:val="-5"/>
                <w:w w:val="105"/>
                <w:sz w:val="15"/>
              </w:rPr>
              <w:t>11</w:t>
            </w:r>
          </w:p>
        </w:tc>
        <w:tc>
          <w:tcPr>
            <w:tcW w:w="1348" w:type="dxa"/>
          </w:tcPr>
          <w:p w14:paraId="5484680A" w14:textId="77777777" w:rsidR="002C6574" w:rsidRDefault="00000000">
            <w:pPr>
              <w:pStyle w:val="TableParagraph"/>
              <w:spacing w:line="171" w:lineRule="exact"/>
              <w:ind w:right="63"/>
              <w:rPr>
                <w:sz w:val="15"/>
              </w:rPr>
            </w:pPr>
            <w:r>
              <w:rPr>
                <w:spacing w:val="-2"/>
                <w:w w:val="105"/>
                <w:sz w:val="15"/>
              </w:rPr>
              <w:t>822.352</w:t>
            </w:r>
          </w:p>
        </w:tc>
        <w:tc>
          <w:tcPr>
            <w:tcW w:w="146" w:type="dxa"/>
          </w:tcPr>
          <w:p w14:paraId="76983A92" w14:textId="77777777" w:rsidR="002C6574" w:rsidRDefault="002C6574">
            <w:pPr>
              <w:pStyle w:val="TableParagraph"/>
              <w:jc w:val="left"/>
              <w:rPr>
                <w:rFonts w:ascii="Times New Roman"/>
                <w:sz w:val="12"/>
              </w:rPr>
            </w:pPr>
          </w:p>
        </w:tc>
        <w:tc>
          <w:tcPr>
            <w:tcW w:w="1348" w:type="dxa"/>
          </w:tcPr>
          <w:p w14:paraId="490BE54E" w14:textId="77777777" w:rsidR="002C6574" w:rsidRDefault="00000000">
            <w:pPr>
              <w:pStyle w:val="TableParagraph"/>
              <w:spacing w:line="171" w:lineRule="exact"/>
              <w:ind w:right="62"/>
              <w:rPr>
                <w:sz w:val="15"/>
              </w:rPr>
            </w:pPr>
            <w:r>
              <w:rPr>
                <w:spacing w:val="-2"/>
                <w:w w:val="105"/>
                <w:sz w:val="15"/>
              </w:rPr>
              <w:t>822.352</w:t>
            </w:r>
          </w:p>
        </w:tc>
        <w:tc>
          <w:tcPr>
            <w:tcW w:w="4656" w:type="dxa"/>
          </w:tcPr>
          <w:p w14:paraId="6868BB53" w14:textId="77777777" w:rsidR="002C6574" w:rsidRDefault="00000000">
            <w:pPr>
              <w:pStyle w:val="TableParagraph"/>
              <w:spacing w:line="171" w:lineRule="exact"/>
              <w:ind w:left="218"/>
              <w:jc w:val="left"/>
              <w:rPr>
                <w:sz w:val="15"/>
              </w:rPr>
            </w:pPr>
            <w:r>
              <w:rPr>
                <w:sz w:val="15"/>
              </w:rPr>
              <w:t>Tributos</w:t>
            </w:r>
            <w:r>
              <w:rPr>
                <w:spacing w:val="-3"/>
                <w:sz w:val="15"/>
              </w:rPr>
              <w:t xml:space="preserve"> </w:t>
            </w:r>
            <w:r>
              <w:rPr>
                <w:spacing w:val="-2"/>
                <w:sz w:val="15"/>
              </w:rPr>
              <w:t>Indiretos</w:t>
            </w:r>
          </w:p>
        </w:tc>
        <w:tc>
          <w:tcPr>
            <w:tcW w:w="566" w:type="dxa"/>
          </w:tcPr>
          <w:p w14:paraId="14E73EC4" w14:textId="77777777" w:rsidR="002C6574" w:rsidRDefault="00000000">
            <w:pPr>
              <w:pStyle w:val="TableParagraph"/>
              <w:spacing w:line="171" w:lineRule="exact"/>
              <w:ind w:left="101" w:right="6"/>
              <w:jc w:val="center"/>
              <w:rPr>
                <w:sz w:val="15"/>
              </w:rPr>
            </w:pPr>
            <w:r>
              <w:rPr>
                <w:spacing w:val="-5"/>
                <w:w w:val="105"/>
                <w:sz w:val="15"/>
              </w:rPr>
              <w:t>20</w:t>
            </w:r>
          </w:p>
        </w:tc>
        <w:tc>
          <w:tcPr>
            <w:tcW w:w="1493" w:type="dxa"/>
          </w:tcPr>
          <w:p w14:paraId="065F8FFE" w14:textId="77777777" w:rsidR="002C6574" w:rsidRDefault="00000000">
            <w:pPr>
              <w:pStyle w:val="TableParagraph"/>
              <w:spacing w:line="171" w:lineRule="exact"/>
              <w:ind w:right="67"/>
              <w:rPr>
                <w:sz w:val="15"/>
              </w:rPr>
            </w:pPr>
            <w:r>
              <w:rPr>
                <w:spacing w:val="-2"/>
                <w:w w:val="105"/>
                <w:sz w:val="15"/>
              </w:rPr>
              <w:t>16.844</w:t>
            </w:r>
          </w:p>
        </w:tc>
        <w:tc>
          <w:tcPr>
            <w:tcW w:w="144" w:type="dxa"/>
          </w:tcPr>
          <w:p w14:paraId="1B23ABE3" w14:textId="77777777" w:rsidR="002C6574" w:rsidRDefault="002C6574">
            <w:pPr>
              <w:pStyle w:val="TableParagraph"/>
              <w:jc w:val="left"/>
              <w:rPr>
                <w:rFonts w:ascii="Times New Roman"/>
                <w:sz w:val="12"/>
              </w:rPr>
            </w:pPr>
          </w:p>
        </w:tc>
        <w:tc>
          <w:tcPr>
            <w:tcW w:w="1493" w:type="dxa"/>
          </w:tcPr>
          <w:p w14:paraId="4285E82D" w14:textId="77777777" w:rsidR="002C6574" w:rsidRDefault="00000000">
            <w:pPr>
              <w:pStyle w:val="TableParagraph"/>
              <w:spacing w:line="171" w:lineRule="exact"/>
              <w:ind w:right="67"/>
              <w:rPr>
                <w:sz w:val="15"/>
              </w:rPr>
            </w:pPr>
            <w:r>
              <w:rPr>
                <w:spacing w:val="-2"/>
                <w:w w:val="105"/>
                <w:sz w:val="15"/>
              </w:rPr>
              <w:t>23.499</w:t>
            </w:r>
          </w:p>
        </w:tc>
      </w:tr>
      <w:tr w:rsidR="002C6574" w14:paraId="1A651469" w14:textId="77777777">
        <w:trPr>
          <w:trHeight w:val="205"/>
        </w:trPr>
        <w:tc>
          <w:tcPr>
            <w:tcW w:w="3190" w:type="dxa"/>
          </w:tcPr>
          <w:p w14:paraId="06AC5FF4" w14:textId="77777777" w:rsidR="002C6574" w:rsidRDefault="00000000">
            <w:pPr>
              <w:pStyle w:val="TableParagraph"/>
              <w:spacing w:before="3" w:line="182" w:lineRule="exact"/>
              <w:ind w:left="50"/>
              <w:jc w:val="left"/>
              <w:rPr>
                <w:sz w:val="15"/>
              </w:rPr>
            </w:pPr>
            <w:r>
              <w:rPr>
                <w:sz w:val="15"/>
              </w:rPr>
              <w:t>Superávit</w:t>
            </w:r>
            <w:r>
              <w:rPr>
                <w:spacing w:val="10"/>
                <w:sz w:val="15"/>
              </w:rPr>
              <w:t xml:space="preserve"> </w:t>
            </w:r>
            <w:r>
              <w:rPr>
                <w:sz w:val="15"/>
              </w:rPr>
              <w:t>-</w:t>
            </w:r>
            <w:r>
              <w:rPr>
                <w:spacing w:val="8"/>
                <w:sz w:val="15"/>
              </w:rPr>
              <w:t xml:space="preserve"> </w:t>
            </w:r>
            <w:r>
              <w:rPr>
                <w:sz w:val="15"/>
              </w:rPr>
              <w:t>Previdência</w:t>
            </w:r>
            <w:r>
              <w:rPr>
                <w:spacing w:val="6"/>
                <w:sz w:val="15"/>
              </w:rPr>
              <w:t xml:space="preserve"> </w:t>
            </w:r>
            <w:r>
              <w:rPr>
                <w:spacing w:val="-2"/>
                <w:sz w:val="15"/>
              </w:rPr>
              <w:t>Privada</w:t>
            </w:r>
          </w:p>
        </w:tc>
        <w:tc>
          <w:tcPr>
            <w:tcW w:w="474" w:type="dxa"/>
          </w:tcPr>
          <w:p w14:paraId="1DE9C4F2" w14:textId="77777777" w:rsidR="002C6574" w:rsidRDefault="00000000">
            <w:pPr>
              <w:pStyle w:val="TableParagraph"/>
              <w:spacing w:line="185" w:lineRule="exact"/>
              <w:ind w:left="3" w:right="3"/>
              <w:jc w:val="center"/>
              <w:rPr>
                <w:sz w:val="15"/>
              </w:rPr>
            </w:pPr>
            <w:r>
              <w:rPr>
                <w:spacing w:val="-10"/>
                <w:w w:val="105"/>
                <w:sz w:val="15"/>
              </w:rPr>
              <w:t>8</w:t>
            </w:r>
          </w:p>
        </w:tc>
        <w:tc>
          <w:tcPr>
            <w:tcW w:w="1348" w:type="dxa"/>
          </w:tcPr>
          <w:p w14:paraId="2C353F52" w14:textId="77777777" w:rsidR="002C6574" w:rsidRDefault="00000000">
            <w:pPr>
              <w:pStyle w:val="TableParagraph"/>
              <w:spacing w:line="185" w:lineRule="exact"/>
              <w:ind w:right="63"/>
              <w:rPr>
                <w:sz w:val="15"/>
              </w:rPr>
            </w:pPr>
            <w:r>
              <w:rPr>
                <w:spacing w:val="-2"/>
                <w:w w:val="105"/>
                <w:sz w:val="15"/>
              </w:rPr>
              <w:t>103.565</w:t>
            </w:r>
          </w:p>
        </w:tc>
        <w:tc>
          <w:tcPr>
            <w:tcW w:w="146" w:type="dxa"/>
          </w:tcPr>
          <w:p w14:paraId="11CB0A9A" w14:textId="77777777" w:rsidR="002C6574" w:rsidRDefault="002C6574">
            <w:pPr>
              <w:pStyle w:val="TableParagraph"/>
              <w:jc w:val="left"/>
              <w:rPr>
                <w:rFonts w:ascii="Times New Roman"/>
                <w:sz w:val="14"/>
              </w:rPr>
            </w:pPr>
          </w:p>
        </w:tc>
        <w:tc>
          <w:tcPr>
            <w:tcW w:w="1348" w:type="dxa"/>
          </w:tcPr>
          <w:p w14:paraId="3562794F" w14:textId="77777777" w:rsidR="002C6574" w:rsidRDefault="00000000">
            <w:pPr>
              <w:pStyle w:val="TableParagraph"/>
              <w:spacing w:line="185" w:lineRule="exact"/>
              <w:ind w:right="63"/>
              <w:rPr>
                <w:sz w:val="15"/>
              </w:rPr>
            </w:pPr>
            <w:r>
              <w:rPr>
                <w:spacing w:val="-2"/>
                <w:w w:val="105"/>
                <w:sz w:val="15"/>
              </w:rPr>
              <w:t>84.429</w:t>
            </w:r>
          </w:p>
        </w:tc>
        <w:tc>
          <w:tcPr>
            <w:tcW w:w="4656" w:type="dxa"/>
          </w:tcPr>
          <w:p w14:paraId="1DD48A7E" w14:textId="77777777" w:rsidR="002C6574" w:rsidRDefault="00000000">
            <w:pPr>
              <w:pStyle w:val="TableParagraph"/>
              <w:spacing w:line="185" w:lineRule="exact"/>
              <w:ind w:left="218"/>
              <w:jc w:val="left"/>
              <w:rPr>
                <w:sz w:val="15"/>
              </w:rPr>
            </w:pPr>
            <w:r>
              <w:rPr>
                <w:sz w:val="15"/>
              </w:rPr>
              <w:t>Empréstimos</w:t>
            </w:r>
            <w:r>
              <w:rPr>
                <w:spacing w:val="11"/>
                <w:sz w:val="15"/>
              </w:rPr>
              <w:t xml:space="preserve"> </w:t>
            </w:r>
            <w:r>
              <w:rPr>
                <w:sz w:val="15"/>
              </w:rPr>
              <w:t>e</w:t>
            </w:r>
            <w:r>
              <w:rPr>
                <w:spacing w:val="7"/>
                <w:sz w:val="15"/>
              </w:rPr>
              <w:t xml:space="preserve"> </w:t>
            </w:r>
            <w:r>
              <w:rPr>
                <w:spacing w:val="-2"/>
                <w:sz w:val="15"/>
              </w:rPr>
              <w:t>Financiamentos</w:t>
            </w:r>
          </w:p>
        </w:tc>
        <w:tc>
          <w:tcPr>
            <w:tcW w:w="566" w:type="dxa"/>
          </w:tcPr>
          <w:p w14:paraId="7DD1BF7D" w14:textId="77777777" w:rsidR="002C6574" w:rsidRDefault="00000000">
            <w:pPr>
              <w:pStyle w:val="TableParagraph"/>
              <w:spacing w:line="185" w:lineRule="exact"/>
              <w:ind w:left="98"/>
              <w:jc w:val="center"/>
              <w:rPr>
                <w:sz w:val="15"/>
              </w:rPr>
            </w:pPr>
            <w:r>
              <w:rPr>
                <w:spacing w:val="-4"/>
                <w:w w:val="110"/>
                <w:sz w:val="15"/>
              </w:rPr>
              <w:t>24.1</w:t>
            </w:r>
          </w:p>
        </w:tc>
        <w:tc>
          <w:tcPr>
            <w:tcW w:w="1493" w:type="dxa"/>
          </w:tcPr>
          <w:p w14:paraId="72AC15B1" w14:textId="77777777" w:rsidR="002C6574" w:rsidRDefault="00000000">
            <w:pPr>
              <w:pStyle w:val="TableParagraph"/>
              <w:spacing w:line="185" w:lineRule="exact"/>
              <w:ind w:right="65"/>
              <w:rPr>
                <w:sz w:val="15"/>
              </w:rPr>
            </w:pPr>
            <w:r>
              <w:rPr>
                <w:spacing w:val="-10"/>
                <w:w w:val="95"/>
                <w:sz w:val="15"/>
              </w:rPr>
              <w:t>-</w:t>
            </w:r>
          </w:p>
        </w:tc>
        <w:tc>
          <w:tcPr>
            <w:tcW w:w="144" w:type="dxa"/>
          </w:tcPr>
          <w:p w14:paraId="4EC92E19" w14:textId="77777777" w:rsidR="002C6574" w:rsidRDefault="002C6574">
            <w:pPr>
              <w:pStyle w:val="TableParagraph"/>
              <w:jc w:val="left"/>
              <w:rPr>
                <w:rFonts w:ascii="Times New Roman"/>
                <w:sz w:val="14"/>
              </w:rPr>
            </w:pPr>
          </w:p>
        </w:tc>
        <w:tc>
          <w:tcPr>
            <w:tcW w:w="1493" w:type="dxa"/>
          </w:tcPr>
          <w:p w14:paraId="16FA463B" w14:textId="77777777" w:rsidR="002C6574" w:rsidRDefault="00000000">
            <w:pPr>
              <w:pStyle w:val="TableParagraph"/>
              <w:spacing w:line="185" w:lineRule="exact"/>
              <w:ind w:right="67"/>
              <w:rPr>
                <w:sz w:val="15"/>
              </w:rPr>
            </w:pPr>
            <w:r>
              <w:rPr>
                <w:spacing w:val="-2"/>
                <w:w w:val="105"/>
                <w:sz w:val="15"/>
              </w:rPr>
              <w:t>46.210</w:t>
            </w:r>
          </w:p>
        </w:tc>
      </w:tr>
      <w:tr w:rsidR="002C6574" w14:paraId="53B84834" w14:textId="77777777">
        <w:trPr>
          <w:trHeight w:val="196"/>
        </w:trPr>
        <w:tc>
          <w:tcPr>
            <w:tcW w:w="3190" w:type="dxa"/>
          </w:tcPr>
          <w:p w14:paraId="32CCC4DB" w14:textId="77777777" w:rsidR="002C6574" w:rsidRDefault="00000000">
            <w:pPr>
              <w:pStyle w:val="TableParagraph"/>
              <w:spacing w:line="177" w:lineRule="exact"/>
              <w:ind w:left="50"/>
              <w:jc w:val="left"/>
              <w:rPr>
                <w:sz w:val="15"/>
              </w:rPr>
            </w:pPr>
            <w:r>
              <w:rPr>
                <w:spacing w:val="-2"/>
                <w:w w:val="105"/>
                <w:sz w:val="15"/>
              </w:rPr>
              <w:t>Valores</w:t>
            </w:r>
            <w:r>
              <w:rPr>
                <w:spacing w:val="2"/>
                <w:w w:val="105"/>
                <w:sz w:val="15"/>
              </w:rPr>
              <w:t xml:space="preserve"> </w:t>
            </w:r>
            <w:r>
              <w:rPr>
                <w:spacing w:val="-2"/>
                <w:w w:val="105"/>
                <w:sz w:val="15"/>
              </w:rPr>
              <w:t>a</w:t>
            </w:r>
            <w:r>
              <w:rPr>
                <w:w w:val="105"/>
                <w:sz w:val="15"/>
              </w:rPr>
              <w:t xml:space="preserve"> </w:t>
            </w:r>
            <w:r>
              <w:rPr>
                <w:spacing w:val="-2"/>
                <w:w w:val="105"/>
                <w:sz w:val="15"/>
              </w:rPr>
              <w:t>Receber</w:t>
            </w:r>
            <w:r>
              <w:rPr>
                <w:spacing w:val="-1"/>
                <w:w w:val="105"/>
                <w:sz w:val="15"/>
              </w:rPr>
              <w:t xml:space="preserve"> </w:t>
            </w:r>
            <w:r>
              <w:rPr>
                <w:spacing w:val="-2"/>
                <w:w w:val="105"/>
                <w:sz w:val="15"/>
              </w:rPr>
              <w:t>de</w:t>
            </w:r>
            <w:r>
              <w:rPr>
                <w:w w:val="105"/>
                <w:sz w:val="15"/>
              </w:rPr>
              <w:t xml:space="preserve"> </w:t>
            </w:r>
            <w:r>
              <w:rPr>
                <w:spacing w:val="-2"/>
                <w:w w:val="105"/>
                <w:sz w:val="15"/>
              </w:rPr>
              <w:t>Colaboradores</w:t>
            </w:r>
            <w:r>
              <w:rPr>
                <w:spacing w:val="3"/>
                <w:w w:val="105"/>
                <w:sz w:val="15"/>
              </w:rPr>
              <w:t xml:space="preserve"> </w:t>
            </w:r>
            <w:r>
              <w:rPr>
                <w:spacing w:val="-2"/>
                <w:w w:val="105"/>
                <w:sz w:val="15"/>
              </w:rPr>
              <w:t>Cedidos</w:t>
            </w:r>
          </w:p>
        </w:tc>
        <w:tc>
          <w:tcPr>
            <w:tcW w:w="474" w:type="dxa"/>
          </w:tcPr>
          <w:p w14:paraId="74A8CEB0" w14:textId="77777777" w:rsidR="002C6574" w:rsidRDefault="00000000">
            <w:pPr>
              <w:pStyle w:val="TableParagraph"/>
              <w:spacing w:line="177" w:lineRule="exact"/>
              <w:ind w:left="3" w:right="3"/>
              <w:jc w:val="center"/>
              <w:rPr>
                <w:sz w:val="15"/>
              </w:rPr>
            </w:pPr>
            <w:r>
              <w:rPr>
                <w:spacing w:val="-5"/>
                <w:w w:val="110"/>
                <w:sz w:val="15"/>
              </w:rPr>
              <w:t>9.1</w:t>
            </w:r>
          </w:p>
        </w:tc>
        <w:tc>
          <w:tcPr>
            <w:tcW w:w="1348" w:type="dxa"/>
          </w:tcPr>
          <w:p w14:paraId="0B0E1A92" w14:textId="77777777" w:rsidR="002C6574" w:rsidRDefault="00000000">
            <w:pPr>
              <w:pStyle w:val="TableParagraph"/>
              <w:spacing w:line="177" w:lineRule="exact"/>
              <w:ind w:right="64"/>
              <w:rPr>
                <w:sz w:val="15"/>
              </w:rPr>
            </w:pPr>
            <w:r>
              <w:rPr>
                <w:spacing w:val="-2"/>
                <w:w w:val="110"/>
                <w:sz w:val="15"/>
              </w:rPr>
              <w:t>1.945</w:t>
            </w:r>
          </w:p>
        </w:tc>
        <w:tc>
          <w:tcPr>
            <w:tcW w:w="146" w:type="dxa"/>
          </w:tcPr>
          <w:p w14:paraId="371E046B" w14:textId="77777777" w:rsidR="002C6574" w:rsidRDefault="002C6574">
            <w:pPr>
              <w:pStyle w:val="TableParagraph"/>
              <w:jc w:val="left"/>
              <w:rPr>
                <w:rFonts w:ascii="Times New Roman"/>
                <w:sz w:val="12"/>
              </w:rPr>
            </w:pPr>
          </w:p>
        </w:tc>
        <w:tc>
          <w:tcPr>
            <w:tcW w:w="1348" w:type="dxa"/>
          </w:tcPr>
          <w:p w14:paraId="159C4B40" w14:textId="77777777" w:rsidR="002C6574" w:rsidRDefault="00000000">
            <w:pPr>
              <w:pStyle w:val="TableParagraph"/>
              <w:spacing w:line="177" w:lineRule="exact"/>
              <w:ind w:right="63"/>
              <w:rPr>
                <w:sz w:val="15"/>
              </w:rPr>
            </w:pPr>
            <w:r>
              <w:rPr>
                <w:spacing w:val="-2"/>
                <w:w w:val="110"/>
                <w:sz w:val="15"/>
              </w:rPr>
              <w:t>1.945</w:t>
            </w:r>
          </w:p>
        </w:tc>
        <w:tc>
          <w:tcPr>
            <w:tcW w:w="4656" w:type="dxa"/>
          </w:tcPr>
          <w:p w14:paraId="27FF8994" w14:textId="77777777" w:rsidR="002C6574" w:rsidRDefault="00000000">
            <w:pPr>
              <w:pStyle w:val="TableParagraph"/>
              <w:spacing w:line="177" w:lineRule="exact"/>
              <w:ind w:left="218"/>
              <w:jc w:val="left"/>
              <w:rPr>
                <w:sz w:val="15"/>
              </w:rPr>
            </w:pPr>
            <w:r>
              <w:rPr>
                <w:sz w:val="15"/>
              </w:rPr>
              <w:t>Operações</w:t>
            </w:r>
            <w:r>
              <w:rPr>
                <w:spacing w:val="-1"/>
                <w:sz w:val="15"/>
              </w:rPr>
              <w:t xml:space="preserve"> </w:t>
            </w:r>
            <w:r>
              <w:rPr>
                <w:sz w:val="15"/>
              </w:rPr>
              <w:t>de</w:t>
            </w:r>
            <w:r>
              <w:rPr>
                <w:spacing w:val="-1"/>
                <w:sz w:val="15"/>
              </w:rPr>
              <w:t xml:space="preserve"> </w:t>
            </w:r>
            <w:r>
              <w:rPr>
                <w:sz w:val="15"/>
              </w:rPr>
              <w:t>Arrendamento</w:t>
            </w:r>
            <w:r>
              <w:rPr>
                <w:spacing w:val="-4"/>
                <w:sz w:val="15"/>
              </w:rPr>
              <w:t xml:space="preserve"> </w:t>
            </w:r>
            <w:r>
              <w:rPr>
                <w:sz w:val="15"/>
              </w:rPr>
              <w:t>Mercantil</w:t>
            </w:r>
            <w:r>
              <w:rPr>
                <w:spacing w:val="-4"/>
                <w:sz w:val="15"/>
              </w:rPr>
              <w:t xml:space="preserve"> </w:t>
            </w:r>
            <w:r>
              <w:rPr>
                <w:spacing w:val="-2"/>
                <w:sz w:val="15"/>
              </w:rPr>
              <w:t>Financeiro</w:t>
            </w:r>
          </w:p>
        </w:tc>
        <w:tc>
          <w:tcPr>
            <w:tcW w:w="566" w:type="dxa"/>
          </w:tcPr>
          <w:p w14:paraId="114DB681" w14:textId="77777777" w:rsidR="002C6574" w:rsidRDefault="00000000">
            <w:pPr>
              <w:pStyle w:val="TableParagraph"/>
              <w:spacing w:line="177" w:lineRule="exact"/>
              <w:ind w:left="98"/>
              <w:jc w:val="center"/>
              <w:rPr>
                <w:sz w:val="15"/>
              </w:rPr>
            </w:pPr>
            <w:r>
              <w:rPr>
                <w:spacing w:val="-4"/>
                <w:w w:val="110"/>
                <w:sz w:val="15"/>
              </w:rPr>
              <w:t>24.2</w:t>
            </w:r>
          </w:p>
        </w:tc>
        <w:tc>
          <w:tcPr>
            <w:tcW w:w="1493" w:type="dxa"/>
          </w:tcPr>
          <w:p w14:paraId="6D5F2E21" w14:textId="77777777" w:rsidR="002C6574" w:rsidRDefault="00000000">
            <w:pPr>
              <w:pStyle w:val="TableParagraph"/>
              <w:spacing w:line="177" w:lineRule="exact"/>
              <w:ind w:right="67"/>
              <w:rPr>
                <w:sz w:val="15"/>
              </w:rPr>
            </w:pPr>
            <w:r>
              <w:rPr>
                <w:spacing w:val="-2"/>
                <w:w w:val="110"/>
                <w:sz w:val="15"/>
              </w:rPr>
              <w:t>5.093</w:t>
            </w:r>
          </w:p>
        </w:tc>
        <w:tc>
          <w:tcPr>
            <w:tcW w:w="144" w:type="dxa"/>
          </w:tcPr>
          <w:p w14:paraId="77799BD3" w14:textId="77777777" w:rsidR="002C6574" w:rsidRDefault="002C6574">
            <w:pPr>
              <w:pStyle w:val="TableParagraph"/>
              <w:jc w:val="left"/>
              <w:rPr>
                <w:rFonts w:ascii="Times New Roman"/>
                <w:sz w:val="12"/>
              </w:rPr>
            </w:pPr>
          </w:p>
        </w:tc>
        <w:tc>
          <w:tcPr>
            <w:tcW w:w="1493" w:type="dxa"/>
          </w:tcPr>
          <w:p w14:paraId="0F5BE6F7" w14:textId="77777777" w:rsidR="002C6574" w:rsidRDefault="00000000">
            <w:pPr>
              <w:pStyle w:val="TableParagraph"/>
              <w:spacing w:line="177" w:lineRule="exact"/>
              <w:ind w:right="67"/>
              <w:rPr>
                <w:sz w:val="15"/>
              </w:rPr>
            </w:pPr>
            <w:r>
              <w:rPr>
                <w:spacing w:val="-2"/>
                <w:w w:val="110"/>
                <w:sz w:val="15"/>
              </w:rPr>
              <w:t>5.374</w:t>
            </w:r>
          </w:p>
        </w:tc>
      </w:tr>
      <w:tr w:rsidR="002C6574" w14:paraId="2CAF9E9A" w14:textId="77777777">
        <w:trPr>
          <w:trHeight w:val="190"/>
        </w:trPr>
        <w:tc>
          <w:tcPr>
            <w:tcW w:w="3190" w:type="dxa"/>
          </w:tcPr>
          <w:p w14:paraId="5FB6CEC0" w14:textId="77777777" w:rsidR="002C6574" w:rsidRDefault="00000000">
            <w:pPr>
              <w:pStyle w:val="TableParagraph"/>
              <w:spacing w:line="170" w:lineRule="exact"/>
              <w:ind w:left="50"/>
              <w:jc w:val="left"/>
              <w:rPr>
                <w:sz w:val="15"/>
              </w:rPr>
            </w:pPr>
            <w:r>
              <w:rPr>
                <w:sz w:val="15"/>
              </w:rPr>
              <w:t>Outros</w:t>
            </w:r>
            <w:r>
              <w:rPr>
                <w:spacing w:val="-5"/>
                <w:sz w:val="15"/>
              </w:rPr>
              <w:t xml:space="preserve"> </w:t>
            </w:r>
            <w:r>
              <w:rPr>
                <w:sz w:val="15"/>
              </w:rPr>
              <w:t>Ativos</w:t>
            </w:r>
            <w:r>
              <w:rPr>
                <w:spacing w:val="-4"/>
                <w:sz w:val="15"/>
              </w:rPr>
              <w:t xml:space="preserve"> </w:t>
            </w:r>
            <w:r>
              <w:rPr>
                <w:spacing w:val="-2"/>
                <w:sz w:val="15"/>
              </w:rPr>
              <w:t>Realizáveis</w:t>
            </w:r>
          </w:p>
        </w:tc>
        <w:tc>
          <w:tcPr>
            <w:tcW w:w="474" w:type="dxa"/>
          </w:tcPr>
          <w:p w14:paraId="0326901E" w14:textId="77777777" w:rsidR="002C6574" w:rsidRDefault="00000000">
            <w:pPr>
              <w:pStyle w:val="TableParagraph"/>
              <w:spacing w:line="170" w:lineRule="exact"/>
              <w:ind w:left="2" w:right="3"/>
              <w:jc w:val="center"/>
              <w:rPr>
                <w:sz w:val="15"/>
              </w:rPr>
            </w:pPr>
            <w:r>
              <w:rPr>
                <w:spacing w:val="-5"/>
                <w:w w:val="110"/>
                <w:sz w:val="15"/>
              </w:rPr>
              <w:t>9.2</w:t>
            </w:r>
          </w:p>
        </w:tc>
        <w:tc>
          <w:tcPr>
            <w:tcW w:w="1348" w:type="dxa"/>
            <w:tcBorders>
              <w:bottom w:val="single" w:sz="4" w:space="0" w:color="000000"/>
            </w:tcBorders>
          </w:tcPr>
          <w:p w14:paraId="797385BE" w14:textId="77777777" w:rsidR="002C6574" w:rsidRDefault="00000000">
            <w:pPr>
              <w:pStyle w:val="TableParagraph"/>
              <w:spacing w:line="170" w:lineRule="exact"/>
              <w:ind w:right="64"/>
              <w:rPr>
                <w:sz w:val="15"/>
              </w:rPr>
            </w:pPr>
            <w:r>
              <w:rPr>
                <w:spacing w:val="-2"/>
                <w:w w:val="105"/>
                <w:sz w:val="15"/>
              </w:rPr>
              <w:t>23.495</w:t>
            </w:r>
          </w:p>
        </w:tc>
        <w:tc>
          <w:tcPr>
            <w:tcW w:w="146" w:type="dxa"/>
          </w:tcPr>
          <w:p w14:paraId="5FDEC8BA" w14:textId="77777777" w:rsidR="002C6574" w:rsidRDefault="002C6574">
            <w:pPr>
              <w:pStyle w:val="TableParagraph"/>
              <w:jc w:val="left"/>
              <w:rPr>
                <w:rFonts w:ascii="Times New Roman"/>
                <w:sz w:val="12"/>
              </w:rPr>
            </w:pPr>
          </w:p>
        </w:tc>
        <w:tc>
          <w:tcPr>
            <w:tcW w:w="1348" w:type="dxa"/>
            <w:tcBorders>
              <w:bottom w:val="single" w:sz="4" w:space="0" w:color="000000"/>
            </w:tcBorders>
          </w:tcPr>
          <w:p w14:paraId="00C77E56" w14:textId="77777777" w:rsidR="002C6574" w:rsidRDefault="00000000">
            <w:pPr>
              <w:pStyle w:val="TableParagraph"/>
              <w:spacing w:line="170" w:lineRule="exact"/>
              <w:ind w:right="63"/>
              <w:rPr>
                <w:sz w:val="15"/>
              </w:rPr>
            </w:pPr>
            <w:r>
              <w:rPr>
                <w:spacing w:val="-2"/>
                <w:w w:val="105"/>
                <w:sz w:val="15"/>
              </w:rPr>
              <w:t>23.181</w:t>
            </w:r>
          </w:p>
        </w:tc>
        <w:tc>
          <w:tcPr>
            <w:tcW w:w="4656" w:type="dxa"/>
          </w:tcPr>
          <w:p w14:paraId="004658E7" w14:textId="77777777" w:rsidR="002C6574" w:rsidRDefault="00000000">
            <w:pPr>
              <w:pStyle w:val="TableParagraph"/>
              <w:spacing w:line="170" w:lineRule="exact"/>
              <w:ind w:left="218"/>
              <w:jc w:val="left"/>
              <w:rPr>
                <w:sz w:val="15"/>
              </w:rPr>
            </w:pPr>
            <w:r>
              <w:rPr>
                <w:w w:val="105"/>
                <w:sz w:val="15"/>
              </w:rPr>
              <w:t>Provisão para</w:t>
            </w:r>
            <w:r>
              <w:rPr>
                <w:spacing w:val="-2"/>
                <w:w w:val="105"/>
                <w:sz w:val="15"/>
              </w:rPr>
              <w:t xml:space="preserve"> </w:t>
            </w:r>
            <w:r>
              <w:rPr>
                <w:w w:val="105"/>
                <w:sz w:val="15"/>
              </w:rPr>
              <w:t>Riscos</w:t>
            </w:r>
            <w:r>
              <w:rPr>
                <w:spacing w:val="1"/>
                <w:w w:val="105"/>
                <w:sz w:val="15"/>
              </w:rPr>
              <w:t xml:space="preserve"> </w:t>
            </w:r>
            <w:r>
              <w:rPr>
                <w:w w:val="105"/>
                <w:sz w:val="15"/>
              </w:rPr>
              <w:t>Trabalhistas,</w:t>
            </w:r>
            <w:r>
              <w:rPr>
                <w:spacing w:val="-1"/>
                <w:w w:val="105"/>
                <w:sz w:val="15"/>
              </w:rPr>
              <w:t xml:space="preserve"> </w:t>
            </w:r>
            <w:r>
              <w:rPr>
                <w:w w:val="105"/>
                <w:sz w:val="15"/>
              </w:rPr>
              <w:t>Cíveis</w:t>
            </w:r>
            <w:r>
              <w:rPr>
                <w:spacing w:val="3"/>
                <w:w w:val="105"/>
                <w:sz w:val="15"/>
              </w:rPr>
              <w:t xml:space="preserve"> </w:t>
            </w:r>
            <w:r>
              <w:rPr>
                <w:w w:val="105"/>
                <w:sz w:val="15"/>
              </w:rPr>
              <w:t>e</w:t>
            </w:r>
            <w:r>
              <w:rPr>
                <w:spacing w:val="-2"/>
                <w:w w:val="105"/>
                <w:sz w:val="15"/>
              </w:rPr>
              <w:t xml:space="preserve"> Fiscais</w:t>
            </w:r>
          </w:p>
        </w:tc>
        <w:tc>
          <w:tcPr>
            <w:tcW w:w="566" w:type="dxa"/>
          </w:tcPr>
          <w:p w14:paraId="25CD371D" w14:textId="77777777" w:rsidR="002C6574" w:rsidRDefault="00000000">
            <w:pPr>
              <w:pStyle w:val="TableParagraph"/>
              <w:spacing w:line="170" w:lineRule="exact"/>
              <w:ind w:left="101" w:right="5"/>
              <w:jc w:val="center"/>
              <w:rPr>
                <w:sz w:val="15"/>
              </w:rPr>
            </w:pPr>
            <w:r>
              <w:rPr>
                <w:spacing w:val="-5"/>
                <w:w w:val="105"/>
                <w:sz w:val="15"/>
              </w:rPr>
              <w:t>21</w:t>
            </w:r>
          </w:p>
        </w:tc>
        <w:tc>
          <w:tcPr>
            <w:tcW w:w="1493" w:type="dxa"/>
          </w:tcPr>
          <w:p w14:paraId="4CC8246B" w14:textId="77777777" w:rsidR="002C6574" w:rsidRDefault="00000000">
            <w:pPr>
              <w:pStyle w:val="TableParagraph"/>
              <w:spacing w:line="170" w:lineRule="exact"/>
              <w:ind w:right="67"/>
              <w:rPr>
                <w:sz w:val="15"/>
              </w:rPr>
            </w:pPr>
            <w:r>
              <w:rPr>
                <w:spacing w:val="-2"/>
                <w:w w:val="110"/>
                <w:sz w:val="15"/>
              </w:rPr>
              <w:t>5.416</w:t>
            </w:r>
          </w:p>
        </w:tc>
        <w:tc>
          <w:tcPr>
            <w:tcW w:w="144" w:type="dxa"/>
          </w:tcPr>
          <w:p w14:paraId="3529F8E2" w14:textId="77777777" w:rsidR="002C6574" w:rsidRDefault="002C6574">
            <w:pPr>
              <w:pStyle w:val="TableParagraph"/>
              <w:jc w:val="left"/>
              <w:rPr>
                <w:rFonts w:ascii="Times New Roman"/>
                <w:sz w:val="12"/>
              </w:rPr>
            </w:pPr>
          </w:p>
        </w:tc>
        <w:tc>
          <w:tcPr>
            <w:tcW w:w="1493" w:type="dxa"/>
          </w:tcPr>
          <w:p w14:paraId="263DD20A" w14:textId="77777777" w:rsidR="002C6574" w:rsidRDefault="00000000">
            <w:pPr>
              <w:pStyle w:val="TableParagraph"/>
              <w:spacing w:line="170" w:lineRule="exact"/>
              <w:ind w:right="67"/>
              <w:rPr>
                <w:sz w:val="15"/>
              </w:rPr>
            </w:pPr>
            <w:r>
              <w:rPr>
                <w:spacing w:val="-2"/>
                <w:w w:val="110"/>
                <w:sz w:val="15"/>
              </w:rPr>
              <w:t>4.877</w:t>
            </w:r>
          </w:p>
        </w:tc>
      </w:tr>
      <w:tr w:rsidR="002C6574" w14:paraId="15CC664C" w14:textId="77777777">
        <w:trPr>
          <w:trHeight w:val="196"/>
        </w:trPr>
        <w:tc>
          <w:tcPr>
            <w:tcW w:w="3190" w:type="dxa"/>
          </w:tcPr>
          <w:p w14:paraId="68645308" w14:textId="77777777" w:rsidR="002C6574" w:rsidRDefault="00000000">
            <w:pPr>
              <w:pStyle w:val="TableParagraph"/>
              <w:spacing w:before="12" w:line="164" w:lineRule="exact"/>
              <w:ind w:left="50"/>
              <w:jc w:val="left"/>
              <w:rPr>
                <w:rFonts w:ascii="Arial"/>
                <w:b/>
                <w:sz w:val="15"/>
              </w:rPr>
            </w:pPr>
            <w:r>
              <w:rPr>
                <w:rFonts w:ascii="Arial"/>
                <w:b/>
                <w:sz w:val="15"/>
              </w:rPr>
              <w:t>Total</w:t>
            </w:r>
            <w:r>
              <w:rPr>
                <w:rFonts w:ascii="Arial"/>
                <w:b/>
                <w:spacing w:val="-3"/>
                <w:sz w:val="15"/>
              </w:rPr>
              <w:t xml:space="preserve"> </w:t>
            </w:r>
            <w:r>
              <w:rPr>
                <w:rFonts w:ascii="Arial"/>
                <w:b/>
                <w:sz w:val="15"/>
              </w:rPr>
              <w:t>do</w:t>
            </w:r>
            <w:r>
              <w:rPr>
                <w:rFonts w:ascii="Arial"/>
                <w:b/>
                <w:spacing w:val="-3"/>
                <w:sz w:val="15"/>
              </w:rPr>
              <w:t xml:space="preserve"> </w:t>
            </w:r>
            <w:r>
              <w:rPr>
                <w:rFonts w:ascii="Arial"/>
                <w:b/>
                <w:spacing w:val="-2"/>
                <w:sz w:val="15"/>
              </w:rPr>
              <w:t>Circulante</w:t>
            </w:r>
          </w:p>
        </w:tc>
        <w:tc>
          <w:tcPr>
            <w:tcW w:w="474" w:type="dxa"/>
          </w:tcPr>
          <w:p w14:paraId="6BD258FB" w14:textId="77777777" w:rsidR="002C6574" w:rsidRDefault="002C6574">
            <w:pPr>
              <w:pStyle w:val="TableParagraph"/>
              <w:jc w:val="left"/>
              <w:rPr>
                <w:rFonts w:ascii="Times New Roman"/>
                <w:sz w:val="12"/>
              </w:rPr>
            </w:pPr>
          </w:p>
        </w:tc>
        <w:tc>
          <w:tcPr>
            <w:tcW w:w="1348" w:type="dxa"/>
            <w:tcBorders>
              <w:top w:val="single" w:sz="4" w:space="0" w:color="000000"/>
              <w:bottom w:val="single" w:sz="4" w:space="0" w:color="000000"/>
            </w:tcBorders>
          </w:tcPr>
          <w:p w14:paraId="7FAC97C8" w14:textId="77777777" w:rsidR="002C6574" w:rsidRDefault="00000000">
            <w:pPr>
              <w:pStyle w:val="TableParagraph"/>
              <w:spacing w:before="12" w:line="164" w:lineRule="exact"/>
              <w:ind w:right="64"/>
              <w:rPr>
                <w:rFonts w:ascii="Arial"/>
                <w:b/>
                <w:sz w:val="15"/>
              </w:rPr>
            </w:pPr>
            <w:r>
              <w:rPr>
                <w:rFonts w:ascii="Arial"/>
                <w:b/>
                <w:spacing w:val="-2"/>
                <w:sz w:val="15"/>
              </w:rPr>
              <w:t>2.310.040</w:t>
            </w:r>
          </w:p>
        </w:tc>
        <w:tc>
          <w:tcPr>
            <w:tcW w:w="146" w:type="dxa"/>
          </w:tcPr>
          <w:p w14:paraId="1B47C493" w14:textId="77777777" w:rsidR="002C6574" w:rsidRDefault="002C6574">
            <w:pPr>
              <w:pStyle w:val="TableParagraph"/>
              <w:jc w:val="left"/>
              <w:rPr>
                <w:rFonts w:ascii="Times New Roman"/>
                <w:sz w:val="12"/>
              </w:rPr>
            </w:pPr>
          </w:p>
        </w:tc>
        <w:tc>
          <w:tcPr>
            <w:tcW w:w="1348" w:type="dxa"/>
            <w:tcBorders>
              <w:top w:val="single" w:sz="4" w:space="0" w:color="000000"/>
              <w:bottom w:val="single" w:sz="4" w:space="0" w:color="000000"/>
            </w:tcBorders>
          </w:tcPr>
          <w:p w14:paraId="2B4D0B0D" w14:textId="77777777" w:rsidR="002C6574" w:rsidRDefault="00000000">
            <w:pPr>
              <w:pStyle w:val="TableParagraph"/>
              <w:spacing w:before="12" w:line="164" w:lineRule="exact"/>
              <w:ind w:right="62"/>
              <w:rPr>
                <w:rFonts w:ascii="Arial"/>
                <w:b/>
                <w:sz w:val="15"/>
              </w:rPr>
            </w:pPr>
            <w:r>
              <w:rPr>
                <w:rFonts w:ascii="Arial"/>
                <w:b/>
                <w:spacing w:val="-2"/>
                <w:sz w:val="15"/>
              </w:rPr>
              <w:t>1.776.003</w:t>
            </w:r>
          </w:p>
        </w:tc>
        <w:tc>
          <w:tcPr>
            <w:tcW w:w="4656" w:type="dxa"/>
          </w:tcPr>
          <w:p w14:paraId="45ADCEC9" w14:textId="77777777" w:rsidR="002C6574" w:rsidRDefault="00000000">
            <w:pPr>
              <w:pStyle w:val="TableParagraph"/>
              <w:spacing w:line="176" w:lineRule="exact"/>
              <w:ind w:left="218"/>
              <w:jc w:val="left"/>
              <w:rPr>
                <w:sz w:val="15"/>
              </w:rPr>
            </w:pPr>
            <w:r>
              <w:rPr>
                <w:w w:val="105"/>
                <w:sz w:val="15"/>
              </w:rPr>
              <w:t>Credores</w:t>
            </w:r>
            <w:r>
              <w:rPr>
                <w:spacing w:val="-11"/>
                <w:w w:val="105"/>
                <w:sz w:val="15"/>
              </w:rPr>
              <w:t xml:space="preserve"> </w:t>
            </w:r>
            <w:r>
              <w:rPr>
                <w:w w:val="105"/>
                <w:sz w:val="15"/>
              </w:rPr>
              <w:t>por</w:t>
            </w:r>
            <w:r>
              <w:rPr>
                <w:spacing w:val="-11"/>
                <w:w w:val="105"/>
                <w:sz w:val="15"/>
              </w:rPr>
              <w:t xml:space="preserve"> </w:t>
            </w:r>
            <w:r>
              <w:rPr>
                <w:w w:val="105"/>
                <w:sz w:val="15"/>
              </w:rPr>
              <w:t>Perdas</w:t>
            </w:r>
            <w:r>
              <w:rPr>
                <w:spacing w:val="-11"/>
                <w:w w:val="105"/>
                <w:sz w:val="15"/>
              </w:rPr>
              <w:t xml:space="preserve"> </w:t>
            </w:r>
            <w:r>
              <w:rPr>
                <w:spacing w:val="-2"/>
                <w:w w:val="105"/>
                <w:sz w:val="15"/>
              </w:rPr>
              <w:t>Judiciais</w:t>
            </w:r>
          </w:p>
        </w:tc>
        <w:tc>
          <w:tcPr>
            <w:tcW w:w="566" w:type="dxa"/>
          </w:tcPr>
          <w:p w14:paraId="37E2BF6D" w14:textId="77777777" w:rsidR="002C6574" w:rsidRDefault="00000000">
            <w:pPr>
              <w:pStyle w:val="TableParagraph"/>
              <w:spacing w:line="176" w:lineRule="exact"/>
              <w:ind w:left="101" w:right="6"/>
              <w:jc w:val="center"/>
              <w:rPr>
                <w:sz w:val="15"/>
              </w:rPr>
            </w:pPr>
            <w:r>
              <w:rPr>
                <w:spacing w:val="-5"/>
                <w:w w:val="105"/>
                <w:sz w:val="15"/>
              </w:rPr>
              <w:t>22</w:t>
            </w:r>
          </w:p>
        </w:tc>
        <w:tc>
          <w:tcPr>
            <w:tcW w:w="1493" w:type="dxa"/>
          </w:tcPr>
          <w:p w14:paraId="10D67A3D" w14:textId="77777777" w:rsidR="002C6574" w:rsidRDefault="00000000">
            <w:pPr>
              <w:pStyle w:val="TableParagraph"/>
              <w:spacing w:line="176" w:lineRule="exact"/>
              <w:ind w:right="67"/>
              <w:rPr>
                <w:sz w:val="15"/>
              </w:rPr>
            </w:pPr>
            <w:r>
              <w:rPr>
                <w:spacing w:val="-10"/>
                <w:w w:val="95"/>
                <w:sz w:val="15"/>
              </w:rPr>
              <w:t>-</w:t>
            </w:r>
          </w:p>
        </w:tc>
        <w:tc>
          <w:tcPr>
            <w:tcW w:w="144" w:type="dxa"/>
          </w:tcPr>
          <w:p w14:paraId="0F1C2E23" w14:textId="77777777" w:rsidR="002C6574" w:rsidRDefault="002C6574">
            <w:pPr>
              <w:pStyle w:val="TableParagraph"/>
              <w:jc w:val="left"/>
              <w:rPr>
                <w:rFonts w:ascii="Times New Roman"/>
                <w:sz w:val="12"/>
              </w:rPr>
            </w:pPr>
          </w:p>
        </w:tc>
        <w:tc>
          <w:tcPr>
            <w:tcW w:w="1493" w:type="dxa"/>
          </w:tcPr>
          <w:p w14:paraId="47229C21" w14:textId="77777777" w:rsidR="002C6574" w:rsidRDefault="00000000">
            <w:pPr>
              <w:pStyle w:val="TableParagraph"/>
              <w:spacing w:line="176" w:lineRule="exact"/>
              <w:ind w:right="67"/>
              <w:rPr>
                <w:sz w:val="15"/>
              </w:rPr>
            </w:pPr>
            <w:r>
              <w:rPr>
                <w:spacing w:val="-2"/>
                <w:w w:val="105"/>
                <w:sz w:val="15"/>
              </w:rPr>
              <w:t>16.635</w:t>
            </w:r>
          </w:p>
        </w:tc>
      </w:tr>
      <w:tr w:rsidR="002C6574" w14:paraId="609736A4" w14:textId="77777777">
        <w:trPr>
          <w:trHeight w:val="207"/>
        </w:trPr>
        <w:tc>
          <w:tcPr>
            <w:tcW w:w="3190" w:type="dxa"/>
          </w:tcPr>
          <w:p w14:paraId="5D7D2FF3" w14:textId="77777777" w:rsidR="002C6574" w:rsidRDefault="002C6574">
            <w:pPr>
              <w:pStyle w:val="TableParagraph"/>
              <w:jc w:val="left"/>
              <w:rPr>
                <w:rFonts w:ascii="Times New Roman"/>
                <w:sz w:val="14"/>
              </w:rPr>
            </w:pPr>
          </w:p>
        </w:tc>
        <w:tc>
          <w:tcPr>
            <w:tcW w:w="474" w:type="dxa"/>
          </w:tcPr>
          <w:p w14:paraId="26A55BEA" w14:textId="77777777" w:rsidR="002C6574" w:rsidRDefault="002C6574">
            <w:pPr>
              <w:pStyle w:val="TableParagraph"/>
              <w:jc w:val="left"/>
              <w:rPr>
                <w:rFonts w:ascii="Times New Roman"/>
                <w:sz w:val="14"/>
              </w:rPr>
            </w:pPr>
          </w:p>
        </w:tc>
        <w:tc>
          <w:tcPr>
            <w:tcW w:w="1348" w:type="dxa"/>
            <w:tcBorders>
              <w:top w:val="single" w:sz="4" w:space="0" w:color="000000"/>
            </w:tcBorders>
          </w:tcPr>
          <w:p w14:paraId="30C3E34B" w14:textId="77777777" w:rsidR="002C6574" w:rsidRDefault="002C6574">
            <w:pPr>
              <w:pStyle w:val="TableParagraph"/>
              <w:jc w:val="left"/>
              <w:rPr>
                <w:rFonts w:ascii="Times New Roman"/>
                <w:sz w:val="14"/>
              </w:rPr>
            </w:pPr>
          </w:p>
        </w:tc>
        <w:tc>
          <w:tcPr>
            <w:tcW w:w="146" w:type="dxa"/>
          </w:tcPr>
          <w:p w14:paraId="65F3926E" w14:textId="77777777" w:rsidR="002C6574" w:rsidRDefault="002C6574">
            <w:pPr>
              <w:pStyle w:val="TableParagraph"/>
              <w:jc w:val="left"/>
              <w:rPr>
                <w:rFonts w:ascii="Times New Roman"/>
                <w:sz w:val="14"/>
              </w:rPr>
            </w:pPr>
          </w:p>
        </w:tc>
        <w:tc>
          <w:tcPr>
            <w:tcW w:w="1348" w:type="dxa"/>
            <w:tcBorders>
              <w:top w:val="single" w:sz="4" w:space="0" w:color="000000"/>
            </w:tcBorders>
          </w:tcPr>
          <w:p w14:paraId="4C456C2A" w14:textId="77777777" w:rsidR="002C6574" w:rsidRDefault="002C6574">
            <w:pPr>
              <w:pStyle w:val="TableParagraph"/>
              <w:jc w:val="left"/>
              <w:rPr>
                <w:rFonts w:ascii="Times New Roman"/>
                <w:sz w:val="14"/>
              </w:rPr>
            </w:pPr>
          </w:p>
        </w:tc>
        <w:tc>
          <w:tcPr>
            <w:tcW w:w="4656" w:type="dxa"/>
          </w:tcPr>
          <w:p w14:paraId="1E5357CF" w14:textId="77777777" w:rsidR="002C6574" w:rsidRDefault="00000000">
            <w:pPr>
              <w:pStyle w:val="TableParagraph"/>
              <w:spacing w:before="6" w:line="182" w:lineRule="exact"/>
              <w:ind w:left="218"/>
              <w:jc w:val="left"/>
              <w:rPr>
                <w:sz w:val="15"/>
              </w:rPr>
            </w:pPr>
            <w:r>
              <w:rPr>
                <w:sz w:val="15"/>
              </w:rPr>
              <w:t>Provisão</w:t>
            </w:r>
            <w:r>
              <w:rPr>
                <w:spacing w:val="9"/>
                <w:sz w:val="15"/>
              </w:rPr>
              <w:t xml:space="preserve"> </w:t>
            </w:r>
            <w:r>
              <w:rPr>
                <w:sz w:val="15"/>
              </w:rPr>
              <w:t>para</w:t>
            </w:r>
            <w:r>
              <w:rPr>
                <w:spacing w:val="10"/>
                <w:sz w:val="15"/>
              </w:rPr>
              <w:t xml:space="preserve"> </w:t>
            </w:r>
            <w:r>
              <w:rPr>
                <w:sz w:val="15"/>
              </w:rPr>
              <w:t>Programa</w:t>
            </w:r>
            <w:r>
              <w:rPr>
                <w:spacing w:val="9"/>
                <w:sz w:val="15"/>
              </w:rPr>
              <w:t xml:space="preserve"> </w:t>
            </w:r>
            <w:r>
              <w:rPr>
                <w:sz w:val="15"/>
              </w:rPr>
              <w:t>de</w:t>
            </w:r>
            <w:r>
              <w:rPr>
                <w:spacing w:val="8"/>
                <w:sz w:val="15"/>
              </w:rPr>
              <w:t xml:space="preserve"> </w:t>
            </w:r>
            <w:r>
              <w:rPr>
                <w:sz w:val="15"/>
              </w:rPr>
              <w:t>Indenização</w:t>
            </w:r>
            <w:r>
              <w:rPr>
                <w:spacing w:val="10"/>
                <w:sz w:val="15"/>
              </w:rPr>
              <w:t xml:space="preserve"> </w:t>
            </w:r>
            <w:r>
              <w:rPr>
                <w:sz w:val="15"/>
              </w:rPr>
              <w:t>por</w:t>
            </w:r>
            <w:r>
              <w:rPr>
                <w:spacing w:val="12"/>
                <w:sz w:val="15"/>
              </w:rPr>
              <w:t xml:space="preserve"> </w:t>
            </w:r>
            <w:r>
              <w:rPr>
                <w:sz w:val="15"/>
              </w:rPr>
              <w:t>Serviços</w:t>
            </w:r>
            <w:r>
              <w:rPr>
                <w:spacing w:val="12"/>
                <w:sz w:val="15"/>
              </w:rPr>
              <w:t xml:space="preserve"> </w:t>
            </w:r>
            <w:r>
              <w:rPr>
                <w:spacing w:val="-2"/>
                <w:sz w:val="15"/>
              </w:rPr>
              <w:t>Prestados</w:t>
            </w:r>
          </w:p>
        </w:tc>
        <w:tc>
          <w:tcPr>
            <w:tcW w:w="566" w:type="dxa"/>
          </w:tcPr>
          <w:p w14:paraId="7E5C5DC9" w14:textId="77777777" w:rsidR="002C6574" w:rsidRDefault="00000000">
            <w:pPr>
              <w:pStyle w:val="TableParagraph"/>
              <w:spacing w:line="188" w:lineRule="exact"/>
              <w:ind w:left="101" w:right="5"/>
              <w:jc w:val="center"/>
              <w:rPr>
                <w:sz w:val="15"/>
              </w:rPr>
            </w:pPr>
            <w:r>
              <w:rPr>
                <w:spacing w:val="-5"/>
                <w:w w:val="105"/>
                <w:sz w:val="15"/>
              </w:rPr>
              <w:t>16</w:t>
            </w:r>
          </w:p>
        </w:tc>
        <w:tc>
          <w:tcPr>
            <w:tcW w:w="1493" w:type="dxa"/>
          </w:tcPr>
          <w:p w14:paraId="3886F410" w14:textId="77777777" w:rsidR="002C6574" w:rsidRDefault="00000000">
            <w:pPr>
              <w:pStyle w:val="TableParagraph"/>
              <w:spacing w:line="188" w:lineRule="exact"/>
              <w:ind w:right="67"/>
              <w:rPr>
                <w:sz w:val="15"/>
              </w:rPr>
            </w:pPr>
            <w:r>
              <w:rPr>
                <w:spacing w:val="-2"/>
                <w:w w:val="110"/>
                <w:sz w:val="15"/>
              </w:rPr>
              <w:t>2.191</w:t>
            </w:r>
          </w:p>
        </w:tc>
        <w:tc>
          <w:tcPr>
            <w:tcW w:w="144" w:type="dxa"/>
          </w:tcPr>
          <w:p w14:paraId="2C4DD006" w14:textId="77777777" w:rsidR="002C6574" w:rsidRDefault="002C6574">
            <w:pPr>
              <w:pStyle w:val="TableParagraph"/>
              <w:jc w:val="left"/>
              <w:rPr>
                <w:rFonts w:ascii="Times New Roman"/>
                <w:sz w:val="14"/>
              </w:rPr>
            </w:pPr>
          </w:p>
        </w:tc>
        <w:tc>
          <w:tcPr>
            <w:tcW w:w="1493" w:type="dxa"/>
          </w:tcPr>
          <w:p w14:paraId="40323139" w14:textId="77777777" w:rsidR="002C6574" w:rsidRDefault="00000000">
            <w:pPr>
              <w:pStyle w:val="TableParagraph"/>
              <w:spacing w:line="188" w:lineRule="exact"/>
              <w:ind w:right="67"/>
              <w:rPr>
                <w:sz w:val="15"/>
              </w:rPr>
            </w:pPr>
            <w:r>
              <w:rPr>
                <w:spacing w:val="-2"/>
                <w:w w:val="110"/>
                <w:sz w:val="15"/>
              </w:rPr>
              <w:t>1.828</w:t>
            </w:r>
          </w:p>
        </w:tc>
      </w:tr>
      <w:tr w:rsidR="002C6574" w14:paraId="211C3A29" w14:textId="77777777">
        <w:trPr>
          <w:trHeight w:val="199"/>
        </w:trPr>
        <w:tc>
          <w:tcPr>
            <w:tcW w:w="3190" w:type="dxa"/>
          </w:tcPr>
          <w:p w14:paraId="241810BD" w14:textId="77777777" w:rsidR="002C6574" w:rsidRDefault="00000000">
            <w:pPr>
              <w:pStyle w:val="TableParagraph"/>
              <w:spacing w:before="4"/>
              <w:ind w:left="50"/>
              <w:jc w:val="left"/>
              <w:rPr>
                <w:rFonts w:ascii="Arial" w:hAnsi="Arial"/>
                <w:b/>
                <w:sz w:val="15"/>
              </w:rPr>
            </w:pPr>
            <w:r>
              <w:rPr>
                <w:rFonts w:ascii="Arial" w:hAnsi="Arial"/>
                <w:b/>
                <w:sz w:val="15"/>
              </w:rPr>
              <w:t>Não</w:t>
            </w:r>
            <w:r>
              <w:rPr>
                <w:rFonts w:ascii="Arial" w:hAnsi="Arial"/>
                <w:b/>
                <w:spacing w:val="-2"/>
                <w:sz w:val="15"/>
              </w:rPr>
              <w:t xml:space="preserve"> Circulante</w:t>
            </w:r>
          </w:p>
        </w:tc>
        <w:tc>
          <w:tcPr>
            <w:tcW w:w="474" w:type="dxa"/>
          </w:tcPr>
          <w:p w14:paraId="4A46F05C" w14:textId="77777777" w:rsidR="002C6574" w:rsidRDefault="002C6574">
            <w:pPr>
              <w:pStyle w:val="TableParagraph"/>
              <w:jc w:val="left"/>
              <w:rPr>
                <w:rFonts w:ascii="Times New Roman"/>
                <w:sz w:val="12"/>
              </w:rPr>
            </w:pPr>
          </w:p>
        </w:tc>
        <w:tc>
          <w:tcPr>
            <w:tcW w:w="1348" w:type="dxa"/>
          </w:tcPr>
          <w:p w14:paraId="1E7FE120" w14:textId="77777777" w:rsidR="002C6574" w:rsidRDefault="002C6574">
            <w:pPr>
              <w:pStyle w:val="TableParagraph"/>
              <w:jc w:val="left"/>
              <w:rPr>
                <w:rFonts w:ascii="Times New Roman"/>
                <w:sz w:val="12"/>
              </w:rPr>
            </w:pPr>
          </w:p>
        </w:tc>
        <w:tc>
          <w:tcPr>
            <w:tcW w:w="146" w:type="dxa"/>
          </w:tcPr>
          <w:p w14:paraId="2AEC4B17" w14:textId="77777777" w:rsidR="002C6574" w:rsidRDefault="002C6574">
            <w:pPr>
              <w:pStyle w:val="TableParagraph"/>
              <w:jc w:val="left"/>
              <w:rPr>
                <w:rFonts w:ascii="Times New Roman"/>
                <w:sz w:val="12"/>
              </w:rPr>
            </w:pPr>
          </w:p>
        </w:tc>
        <w:tc>
          <w:tcPr>
            <w:tcW w:w="1348" w:type="dxa"/>
          </w:tcPr>
          <w:p w14:paraId="46096940" w14:textId="77777777" w:rsidR="002C6574" w:rsidRDefault="002C6574">
            <w:pPr>
              <w:pStyle w:val="TableParagraph"/>
              <w:jc w:val="left"/>
              <w:rPr>
                <w:rFonts w:ascii="Times New Roman"/>
                <w:sz w:val="12"/>
              </w:rPr>
            </w:pPr>
          </w:p>
        </w:tc>
        <w:tc>
          <w:tcPr>
            <w:tcW w:w="4656" w:type="dxa"/>
          </w:tcPr>
          <w:p w14:paraId="7217A96B" w14:textId="77777777" w:rsidR="002C6574" w:rsidRDefault="00000000">
            <w:pPr>
              <w:pStyle w:val="TableParagraph"/>
              <w:spacing w:line="179" w:lineRule="exact"/>
              <w:ind w:left="218"/>
              <w:jc w:val="left"/>
              <w:rPr>
                <w:sz w:val="15"/>
              </w:rPr>
            </w:pPr>
            <w:r>
              <w:rPr>
                <w:spacing w:val="-2"/>
                <w:w w:val="105"/>
                <w:sz w:val="15"/>
              </w:rPr>
              <w:t>Subvenções</w:t>
            </w:r>
            <w:r>
              <w:rPr>
                <w:spacing w:val="3"/>
                <w:w w:val="105"/>
                <w:sz w:val="15"/>
              </w:rPr>
              <w:t xml:space="preserve"> </w:t>
            </w:r>
            <w:r>
              <w:rPr>
                <w:spacing w:val="-2"/>
                <w:w w:val="105"/>
                <w:sz w:val="15"/>
              </w:rPr>
              <w:t>Orçamentárias</w:t>
            </w:r>
            <w:r>
              <w:rPr>
                <w:spacing w:val="2"/>
                <w:w w:val="105"/>
                <w:sz w:val="15"/>
              </w:rPr>
              <w:t xml:space="preserve"> </w:t>
            </w:r>
            <w:r>
              <w:rPr>
                <w:spacing w:val="-2"/>
                <w:w w:val="105"/>
                <w:sz w:val="15"/>
              </w:rPr>
              <w:t>a</w:t>
            </w:r>
            <w:r>
              <w:rPr>
                <w:spacing w:val="2"/>
                <w:w w:val="105"/>
                <w:sz w:val="15"/>
              </w:rPr>
              <w:t xml:space="preserve"> </w:t>
            </w:r>
            <w:r>
              <w:rPr>
                <w:spacing w:val="-2"/>
                <w:w w:val="105"/>
                <w:sz w:val="15"/>
              </w:rPr>
              <w:t>Realizar</w:t>
            </w:r>
          </w:p>
        </w:tc>
        <w:tc>
          <w:tcPr>
            <w:tcW w:w="566" w:type="dxa"/>
          </w:tcPr>
          <w:p w14:paraId="10CB60AA" w14:textId="77777777" w:rsidR="002C6574" w:rsidRDefault="00000000">
            <w:pPr>
              <w:pStyle w:val="TableParagraph"/>
              <w:spacing w:line="179" w:lineRule="exact"/>
              <w:ind w:left="101" w:right="5"/>
              <w:jc w:val="center"/>
              <w:rPr>
                <w:sz w:val="15"/>
              </w:rPr>
            </w:pPr>
            <w:r>
              <w:rPr>
                <w:spacing w:val="-5"/>
                <w:w w:val="105"/>
                <w:sz w:val="15"/>
              </w:rPr>
              <w:t>26</w:t>
            </w:r>
          </w:p>
        </w:tc>
        <w:tc>
          <w:tcPr>
            <w:tcW w:w="1493" w:type="dxa"/>
          </w:tcPr>
          <w:p w14:paraId="654817B9" w14:textId="77777777" w:rsidR="002C6574" w:rsidRDefault="00000000">
            <w:pPr>
              <w:pStyle w:val="TableParagraph"/>
              <w:spacing w:line="179" w:lineRule="exact"/>
              <w:ind w:right="67"/>
              <w:rPr>
                <w:sz w:val="15"/>
              </w:rPr>
            </w:pPr>
            <w:r>
              <w:rPr>
                <w:spacing w:val="-2"/>
                <w:w w:val="105"/>
                <w:sz w:val="15"/>
              </w:rPr>
              <w:t>52.741</w:t>
            </w:r>
          </w:p>
        </w:tc>
        <w:tc>
          <w:tcPr>
            <w:tcW w:w="144" w:type="dxa"/>
          </w:tcPr>
          <w:p w14:paraId="19C2F65E" w14:textId="77777777" w:rsidR="002C6574" w:rsidRDefault="002C6574">
            <w:pPr>
              <w:pStyle w:val="TableParagraph"/>
              <w:jc w:val="left"/>
              <w:rPr>
                <w:rFonts w:ascii="Times New Roman"/>
                <w:sz w:val="12"/>
              </w:rPr>
            </w:pPr>
          </w:p>
        </w:tc>
        <w:tc>
          <w:tcPr>
            <w:tcW w:w="1493" w:type="dxa"/>
          </w:tcPr>
          <w:p w14:paraId="677225AD" w14:textId="77777777" w:rsidR="002C6574" w:rsidRDefault="00000000">
            <w:pPr>
              <w:pStyle w:val="TableParagraph"/>
              <w:spacing w:line="179" w:lineRule="exact"/>
              <w:ind w:right="65"/>
              <w:rPr>
                <w:sz w:val="15"/>
              </w:rPr>
            </w:pPr>
            <w:r>
              <w:rPr>
                <w:spacing w:val="-5"/>
                <w:w w:val="105"/>
                <w:sz w:val="15"/>
              </w:rPr>
              <w:t>59</w:t>
            </w:r>
          </w:p>
        </w:tc>
      </w:tr>
      <w:tr w:rsidR="002C6574" w14:paraId="6E25AB41" w14:textId="77777777">
        <w:trPr>
          <w:trHeight w:val="187"/>
        </w:trPr>
        <w:tc>
          <w:tcPr>
            <w:tcW w:w="3190" w:type="dxa"/>
          </w:tcPr>
          <w:p w14:paraId="52F00857" w14:textId="77777777" w:rsidR="002C6574" w:rsidRDefault="00000000">
            <w:pPr>
              <w:pStyle w:val="TableParagraph"/>
              <w:spacing w:line="168" w:lineRule="exact"/>
              <w:ind w:left="50"/>
              <w:jc w:val="left"/>
              <w:rPr>
                <w:sz w:val="15"/>
              </w:rPr>
            </w:pPr>
            <w:r>
              <w:rPr>
                <w:spacing w:val="-2"/>
                <w:w w:val="105"/>
                <w:sz w:val="15"/>
              </w:rPr>
              <w:t>Aplicações</w:t>
            </w:r>
            <w:r>
              <w:rPr>
                <w:spacing w:val="3"/>
                <w:w w:val="105"/>
                <w:sz w:val="15"/>
              </w:rPr>
              <w:t xml:space="preserve"> </w:t>
            </w:r>
            <w:r>
              <w:rPr>
                <w:spacing w:val="-2"/>
                <w:w w:val="105"/>
                <w:sz w:val="15"/>
              </w:rPr>
              <w:t>Financeiras</w:t>
            </w:r>
          </w:p>
        </w:tc>
        <w:tc>
          <w:tcPr>
            <w:tcW w:w="474" w:type="dxa"/>
          </w:tcPr>
          <w:p w14:paraId="5D7CDC74" w14:textId="77777777" w:rsidR="002C6574" w:rsidRDefault="00000000">
            <w:pPr>
              <w:pStyle w:val="TableParagraph"/>
              <w:spacing w:line="168" w:lineRule="exact"/>
              <w:ind w:right="3"/>
              <w:jc w:val="center"/>
              <w:rPr>
                <w:sz w:val="15"/>
              </w:rPr>
            </w:pPr>
            <w:r>
              <w:rPr>
                <w:spacing w:val="-5"/>
                <w:w w:val="105"/>
                <w:sz w:val="15"/>
              </w:rPr>
              <w:t>11</w:t>
            </w:r>
          </w:p>
        </w:tc>
        <w:tc>
          <w:tcPr>
            <w:tcW w:w="1348" w:type="dxa"/>
          </w:tcPr>
          <w:p w14:paraId="1A2228BB" w14:textId="77777777" w:rsidR="002C6574" w:rsidRDefault="00000000">
            <w:pPr>
              <w:pStyle w:val="TableParagraph"/>
              <w:spacing w:line="168" w:lineRule="exact"/>
              <w:ind w:right="64"/>
              <w:rPr>
                <w:sz w:val="15"/>
              </w:rPr>
            </w:pPr>
            <w:r>
              <w:rPr>
                <w:spacing w:val="-2"/>
                <w:w w:val="105"/>
                <w:sz w:val="15"/>
              </w:rPr>
              <w:t>53.949</w:t>
            </w:r>
          </w:p>
        </w:tc>
        <w:tc>
          <w:tcPr>
            <w:tcW w:w="146" w:type="dxa"/>
          </w:tcPr>
          <w:p w14:paraId="2B815890" w14:textId="77777777" w:rsidR="002C6574" w:rsidRDefault="002C6574">
            <w:pPr>
              <w:pStyle w:val="TableParagraph"/>
              <w:jc w:val="left"/>
              <w:rPr>
                <w:rFonts w:ascii="Times New Roman"/>
                <w:sz w:val="12"/>
              </w:rPr>
            </w:pPr>
          </w:p>
        </w:tc>
        <w:tc>
          <w:tcPr>
            <w:tcW w:w="1348" w:type="dxa"/>
          </w:tcPr>
          <w:p w14:paraId="1C2F62DB" w14:textId="77777777" w:rsidR="002C6574" w:rsidRDefault="00000000">
            <w:pPr>
              <w:pStyle w:val="TableParagraph"/>
              <w:spacing w:line="168" w:lineRule="exact"/>
              <w:ind w:right="63"/>
              <w:rPr>
                <w:sz w:val="15"/>
              </w:rPr>
            </w:pPr>
            <w:r>
              <w:rPr>
                <w:spacing w:val="-2"/>
                <w:w w:val="105"/>
                <w:sz w:val="15"/>
              </w:rPr>
              <w:t>86.686</w:t>
            </w:r>
          </w:p>
        </w:tc>
        <w:tc>
          <w:tcPr>
            <w:tcW w:w="4656" w:type="dxa"/>
          </w:tcPr>
          <w:p w14:paraId="60F03D87" w14:textId="77777777" w:rsidR="002C6574" w:rsidRDefault="00000000">
            <w:pPr>
              <w:pStyle w:val="TableParagraph"/>
              <w:spacing w:line="168" w:lineRule="exact"/>
              <w:ind w:left="218"/>
              <w:jc w:val="left"/>
              <w:rPr>
                <w:sz w:val="15"/>
              </w:rPr>
            </w:pPr>
            <w:r>
              <w:rPr>
                <w:sz w:val="15"/>
              </w:rPr>
              <w:t>Outras</w:t>
            </w:r>
            <w:r>
              <w:rPr>
                <w:spacing w:val="8"/>
                <w:sz w:val="15"/>
              </w:rPr>
              <w:t xml:space="preserve"> </w:t>
            </w:r>
            <w:r>
              <w:rPr>
                <w:spacing w:val="-2"/>
                <w:sz w:val="15"/>
              </w:rPr>
              <w:t>Obrigações</w:t>
            </w:r>
          </w:p>
        </w:tc>
        <w:tc>
          <w:tcPr>
            <w:tcW w:w="566" w:type="dxa"/>
          </w:tcPr>
          <w:p w14:paraId="7B75594D" w14:textId="77777777" w:rsidR="002C6574" w:rsidRDefault="00000000">
            <w:pPr>
              <w:pStyle w:val="TableParagraph"/>
              <w:spacing w:line="168" w:lineRule="exact"/>
              <w:ind w:left="101" w:right="5"/>
              <w:jc w:val="center"/>
              <w:rPr>
                <w:sz w:val="15"/>
              </w:rPr>
            </w:pPr>
            <w:r>
              <w:rPr>
                <w:spacing w:val="-5"/>
                <w:w w:val="105"/>
                <w:sz w:val="15"/>
              </w:rPr>
              <w:t>27</w:t>
            </w:r>
          </w:p>
        </w:tc>
        <w:tc>
          <w:tcPr>
            <w:tcW w:w="1493" w:type="dxa"/>
            <w:tcBorders>
              <w:bottom w:val="single" w:sz="4" w:space="0" w:color="000000"/>
            </w:tcBorders>
          </w:tcPr>
          <w:p w14:paraId="5FEFE970" w14:textId="77777777" w:rsidR="002C6574" w:rsidRDefault="00000000">
            <w:pPr>
              <w:pStyle w:val="TableParagraph"/>
              <w:spacing w:line="168" w:lineRule="exact"/>
              <w:ind w:right="67"/>
              <w:rPr>
                <w:sz w:val="15"/>
              </w:rPr>
            </w:pPr>
            <w:r>
              <w:rPr>
                <w:spacing w:val="-2"/>
                <w:w w:val="105"/>
                <w:sz w:val="15"/>
              </w:rPr>
              <w:t>25.137</w:t>
            </w:r>
          </w:p>
        </w:tc>
        <w:tc>
          <w:tcPr>
            <w:tcW w:w="144" w:type="dxa"/>
          </w:tcPr>
          <w:p w14:paraId="11DB614E" w14:textId="77777777" w:rsidR="002C6574" w:rsidRDefault="002C6574">
            <w:pPr>
              <w:pStyle w:val="TableParagraph"/>
              <w:jc w:val="left"/>
              <w:rPr>
                <w:rFonts w:ascii="Times New Roman"/>
                <w:sz w:val="12"/>
              </w:rPr>
            </w:pPr>
          </w:p>
        </w:tc>
        <w:tc>
          <w:tcPr>
            <w:tcW w:w="1493" w:type="dxa"/>
            <w:tcBorders>
              <w:bottom w:val="single" w:sz="4" w:space="0" w:color="000000"/>
            </w:tcBorders>
          </w:tcPr>
          <w:p w14:paraId="2830AB3A" w14:textId="77777777" w:rsidR="002C6574" w:rsidRDefault="00000000">
            <w:pPr>
              <w:pStyle w:val="TableParagraph"/>
              <w:spacing w:line="168" w:lineRule="exact"/>
              <w:ind w:right="67"/>
              <w:rPr>
                <w:sz w:val="15"/>
              </w:rPr>
            </w:pPr>
            <w:r>
              <w:rPr>
                <w:spacing w:val="-2"/>
                <w:w w:val="105"/>
                <w:sz w:val="15"/>
              </w:rPr>
              <w:t>13.722</w:t>
            </w:r>
          </w:p>
        </w:tc>
      </w:tr>
      <w:tr w:rsidR="002C6574" w14:paraId="5D8054D0" w14:textId="77777777">
        <w:trPr>
          <w:trHeight w:val="198"/>
        </w:trPr>
        <w:tc>
          <w:tcPr>
            <w:tcW w:w="3190" w:type="dxa"/>
          </w:tcPr>
          <w:p w14:paraId="3627DEFD" w14:textId="77777777" w:rsidR="002C6574" w:rsidRDefault="00000000">
            <w:pPr>
              <w:pStyle w:val="TableParagraph"/>
              <w:spacing w:line="179" w:lineRule="exact"/>
              <w:ind w:left="50"/>
              <w:jc w:val="left"/>
              <w:rPr>
                <w:sz w:val="15"/>
              </w:rPr>
            </w:pPr>
            <w:r>
              <w:rPr>
                <w:sz w:val="15"/>
              </w:rPr>
              <w:t>Tributos</w:t>
            </w:r>
            <w:r>
              <w:rPr>
                <w:spacing w:val="2"/>
                <w:sz w:val="15"/>
              </w:rPr>
              <w:t xml:space="preserve"> </w:t>
            </w:r>
            <w:r>
              <w:rPr>
                <w:sz w:val="15"/>
              </w:rPr>
              <w:t>a</w:t>
            </w:r>
            <w:r>
              <w:rPr>
                <w:spacing w:val="-1"/>
                <w:sz w:val="15"/>
              </w:rPr>
              <w:t xml:space="preserve"> </w:t>
            </w:r>
            <w:r>
              <w:rPr>
                <w:spacing w:val="-2"/>
                <w:sz w:val="15"/>
              </w:rPr>
              <w:t>Compensar/Recuperar</w:t>
            </w:r>
          </w:p>
        </w:tc>
        <w:tc>
          <w:tcPr>
            <w:tcW w:w="474" w:type="dxa"/>
          </w:tcPr>
          <w:p w14:paraId="32A26BD9" w14:textId="77777777" w:rsidR="002C6574" w:rsidRDefault="00000000">
            <w:pPr>
              <w:pStyle w:val="TableParagraph"/>
              <w:spacing w:line="179" w:lineRule="exact"/>
              <w:ind w:left="3" w:right="3"/>
              <w:jc w:val="center"/>
              <w:rPr>
                <w:sz w:val="15"/>
              </w:rPr>
            </w:pPr>
            <w:r>
              <w:rPr>
                <w:spacing w:val="-10"/>
                <w:w w:val="105"/>
                <w:sz w:val="15"/>
              </w:rPr>
              <w:t>6</w:t>
            </w:r>
          </w:p>
        </w:tc>
        <w:tc>
          <w:tcPr>
            <w:tcW w:w="1348" w:type="dxa"/>
          </w:tcPr>
          <w:p w14:paraId="1C1038CE" w14:textId="77777777" w:rsidR="002C6574" w:rsidRDefault="00000000">
            <w:pPr>
              <w:pStyle w:val="TableParagraph"/>
              <w:spacing w:line="179" w:lineRule="exact"/>
              <w:ind w:right="64"/>
              <w:rPr>
                <w:sz w:val="15"/>
              </w:rPr>
            </w:pPr>
            <w:r>
              <w:rPr>
                <w:spacing w:val="-2"/>
                <w:w w:val="110"/>
                <w:sz w:val="15"/>
              </w:rPr>
              <w:t>3.795</w:t>
            </w:r>
          </w:p>
        </w:tc>
        <w:tc>
          <w:tcPr>
            <w:tcW w:w="146" w:type="dxa"/>
          </w:tcPr>
          <w:p w14:paraId="355FE990" w14:textId="77777777" w:rsidR="002C6574" w:rsidRDefault="002C6574">
            <w:pPr>
              <w:pStyle w:val="TableParagraph"/>
              <w:jc w:val="left"/>
              <w:rPr>
                <w:rFonts w:ascii="Times New Roman"/>
                <w:sz w:val="12"/>
              </w:rPr>
            </w:pPr>
          </w:p>
        </w:tc>
        <w:tc>
          <w:tcPr>
            <w:tcW w:w="1348" w:type="dxa"/>
          </w:tcPr>
          <w:p w14:paraId="3B901207" w14:textId="77777777" w:rsidR="002C6574" w:rsidRDefault="00000000">
            <w:pPr>
              <w:pStyle w:val="TableParagraph"/>
              <w:spacing w:line="179" w:lineRule="exact"/>
              <w:ind w:right="63"/>
              <w:rPr>
                <w:sz w:val="15"/>
              </w:rPr>
            </w:pPr>
            <w:r>
              <w:rPr>
                <w:spacing w:val="-2"/>
                <w:w w:val="110"/>
                <w:sz w:val="15"/>
              </w:rPr>
              <w:t>8.282</w:t>
            </w:r>
          </w:p>
        </w:tc>
        <w:tc>
          <w:tcPr>
            <w:tcW w:w="4656" w:type="dxa"/>
          </w:tcPr>
          <w:p w14:paraId="211072C8" w14:textId="77777777" w:rsidR="002C6574" w:rsidRDefault="00000000">
            <w:pPr>
              <w:pStyle w:val="TableParagraph"/>
              <w:spacing w:before="12" w:line="166" w:lineRule="exact"/>
              <w:ind w:left="218"/>
              <w:jc w:val="left"/>
              <w:rPr>
                <w:rFonts w:ascii="Arial"/>
                <w:b/>
                <w:sz w:val="15"/>
              </w:rPr>
            </w:pPr>
            <w:r>
              <w:rPr>
                <w:rFonts w:ascii="Arial"/>
                <w:b/>
                <w:sz w:val="15"/>
              </w:rPr>
              <w:t>Total</w:t>
            </w:r>
            <w:r>
              <w:rPr>
                <w:rFonts w:ascii="Arial"/>
                <w:b/>
                <w:spacing w:val="-3"/>
                <w:sz w:val="15"/>
              </w:rPr>
              <w:t xml:space="preserve"> </w:t>
            </w:r>
            <w:r>
              <w:rPr>
                <w:rFonts w:ascii="Arial"/>
                <w:b/>
                <w:sz w:val="15"/>
              </w:rPr>
              <w:t>do</w:t>
            </w:r>
            <w:r>
              <w:rPr>
                <w:rFonts w:ascii="Arial"/>
                <w:b/>
                <w:spacing w:val="-3"/>
                <w:sz w:val="15"/>
              </w:rPr>
              <w:t xml:space="preserve"> </w:t>
            </w:r>
            <w:r>
              <w:rPr>
                <w:rFonts w:ascii="Arial"/>
                <w:b/>
                <w:spacing w:val="-2"/>
                <w:sz w:val="15"/>
              </w:rPr>
              <w:t>Circulante</w:t>
            </w:r>
          </w:p>
        </w:tc>
        <w:tc>
          <w:tcPr>
            <w:tcW w:w="566" w:type="dxa"/>
          </w:tcPr>
          <w:p w14:paraId="0F102D23" w14:textId="77777777" w:rsidR="002C6574" w:rsidRDefault="002C6574">
            <w:pPr>
              <w:pStyle w:val="TableParagraph"/>
              <w:jc w:val="left"/>
              <w:rPr>
                <w:rFonts w:ascii="Times New Roman"/>
                <w:sz w:val="12"/>
              </w:rPr>
            </w:pPr>
          </w:p>
        </w:tc>
        <w:tc>
          <w:tcPr>
            <w:tcW w:w="1493" w:type="dxa"/>
            <w:tcBorders>
              <w:top w:val="single" w:sz="4" w:space="0" w:color="000000"/>
              <w:bottom w:val="single" w:sz="4" w:space="0" w:color="000000"/>
            </w:tcBorders>
          </w:tcPr>
          <w:p w14:paraId="7AA06051" w14:textId="77777777" w:rsidR="002C6574" w:rsidRDefault="00000000">
            <w:pPr>
              <w:pStyle w:val="TableParagraph"/>
              <w:spacing w:before="12" w:line="166" w:lineRule="exact"/>
              <w:ind w:right="65"/>
              <w:rPr>
                <w:rFonts w:ascii="Arial"/>
                <w:b/>
                <w:sz w:val="15"/>
              </w:rPr>
            </w:pPr>
            <w:r>
              <w:rPr>
                <w:rFonts w:ascii="Arial"/>
                <w:b/>
                <w:spacing w:val="-2"/>
                <w:sz w:val="15"/>
              </w:rPr>
              <w:t>367.137</w:t>
            </w:r>
          </w:p>
        </w:tc>
        <w:tc>
          <w:tcPr>
            <w:tcW w:w="144" w:type="dxa"/>
          </w:tcPr>
          <w:p w14:paraId="759C0400" w14:textId="77777777" w:rsidR="002C6574" w:rsidRDefault="002C6574">
            <w:pPr>
              <w:pStyle w:val="TableParagraph"/>
              <w:jc w:val="left"/>
              <w:rPr>
                <w:rFonts w:ascii="Times New Roman"/>
                <w:sz w:val="12"/>
              </w:rPr>
            </w:pPr>
          </w:p>
        </w:tc>
        <w:tc>
          <w:tcPr>
            <w:tcW w:w="1493" w:type="dxa"/>
            <w:tcBorders>
              <w:top w:val="single" w:sz="4" w:space="0" w:color="000000"/>
              <w:bottom w:val="single" w:sz="4" w:space="0" w:color="000000"/>
            </w:tcBorders>
          </w:tcPr>
          <w:p w14:paraId="7D526883" w14:textId="77777777" w:rsidR="002C6574" w:rsidRDefault="00000000">
            <w:pPr>
              <w:pStyle w:val="TableParagraph"/>
              <w:spacing w:before="12" w:line="166" w:lineRule="exact"/>
              <w:ind w:right="65"/>
              <w:rPr>
                <w:rFonts w:ascii="Arial"/>
                <w:b/>
                <w:sz w:val="15"/>
              </w:rPr>
            </w:pPr>
            <w:r>
              <w:rPr>
                <w:rFonts w:ascii="Arial"/>
                <w:b/>
                <w:spacing w:val="-2"/>
                <w:sz w:val="15"/>
              </w:rPr>
              <w:t>314.577</w:t>
            </w:r>
          </w:p>
        </w:tc>
      </w:tr>
      <w:tr w:rsidR="002C6574" w14:paraId="0A49E6DD" w14:textId="77777777">
        <w:trPr>
          <w:trHeight w:val="206"/>
        </w:trPr>
        <w:tc>
          <w:tcPr>
            <w:tcW w:w="3190" w:type="dxa"/>
          </w:tcPr>
          <w:p w14:paraId="1F4286B5" w14:textId="77777777" w:rsidR="002C6574" w:rsidRDefault="00000000">
            <w:pPr>
              <w:pStyle w:val="TableParagraph"/>
              <w:spacing w:before="3" w:line="183" w:lineRule="exact"/>
              <w:ind w:left="50"/>
              <w:jc w:val="left"/>
              <w:rPr>
                <w:sz w:val="15"/>
              </w:rPr>
            </w:pPr>
            <w:r>
              <w:rPr>
                <w:sz w:val="15"/>
              </w:rPr>
              <w:t xml:space="preserve">Depósitos </w:t>
            </w:r>
            <w:r>
              <w:rPr>
                <w:spacing w:val="-2"/>
                <w:sz w:val="15"/>
              </w:rPr>
              <w:t>Judiciais</w:t>
            </w:r>
          </w:p>
        </w:tc>
        <w:tc>
          <w:tcPr>
            <w:tcW w:w="474" w:type="dxa"/>
          </w:tcPr>
          <w:p w14:paraId="56368ABF" w14:textId="77777777" w:rsidR="002C6574" w:rsidRDefault="00000000">
            <w:pPr>
              <w:pStyle w:val="TableParagraph"/>
              <w:spacing w:line="187" w:lineRule="exact"/>
              <w:ind w:left="3" w:right="3"/>
              <w:jc w:val="center"/>
              <w:rPr>
                <w:sz w:val="15"/>
              </w:rPr>
            </w:pPr>
            <w:r>
              <w:rPr>
                <w:spacing w:val="-10"/>
                <w:w w:val="105"/>
                <w:sz w:val="15"/>
              </w:rPr>
              <w:t>7</w:t>
            </w:r>
          </w:p>
        </w:tc>
        <w:tc>
          <w:tcPr>
            <w:tcW w:w="1348" w:type="dxa"/>
          </w:tcPr>
          <w:p w14:paraId="057595AF" w14:textId="77777777" w:rsidR="002C6574" w:rsidRDefault="00000000">
            <w:pPr>
              <w:pStyle w:val="TableParagraph"/>
              <w:spacing w:line="187" w:lineRule="exact"/>
              <w:ind w:right="64"/>
              <w:rPr>
                <w:sz w:val="15"/>
              </w:rPr>
            </w:pPr>
            <w:r>
              <w:rPr>
                <w:spacing w:val="-2"/>
                <w:w w:val="105"/>
                <w:sz w:val="15"/>
              </w:rPr>
              <w:t>52.566</w:t>
            </w:r>
          </w:p>
        </w:tc>
        <w:tc>
          <w:tcPr>
            <w:tcW w:w="146" w:type="dxa"/>
          </w:tcPr>
          <w:p w14:paraId="0AFC1B51" w14:textId="77777777" w:rsidR="002C6574" w:rsidRDefault="002C6574">
            <w:pPr>
              <w:pStyle w:val="TableParagraph"/>
              <w:jc w:val="left"/>
              <w:rPr>
                <w:rFonts w:ascii="Times New Roman"/>
                <w:sz w:val="14"/>
              </w:rPr>
            </w:pPr>
          </w:p>
        </w:tc>
        <w:tc>
          <w:tcPr>
            <w:tcW w:w="1348" w:type="dxa"/>
          </w:tcPr>
          <w:p w14:paraId="04B0A382" w14:textId="77777777" w:rsidR="002C6574" w:rsidRDefault="00000000">
            <w:pPr>
              <w:pStyle w:val="TableParagraph"/>
              <w:spacing w:line="187" w:lineRule="exact"/>
              <w:ind w:right="63"/>
              <w:rPr>
                <w:sz w:val="15"/>
              </w:rPr>
            </w:pPr>
            <w:r>
              <w:rPr>
                <w:spacing w:val="-2"/>
                <w:w w:val="105"/>
                <w:sz w:val="15"/>
              </w:rPr>
              <w:t>48.726</w:t>
            </w:r>
          </w:p>
        </w:tc>
        <w:tc>
          <w:tcPr>
            <w:tcW w:w="4656" w:type="dxa"/>
          </w:tcPr>
          <w:p w14:paraId="077D64BB" w14:textId="77777777" w:rsidR="002C6574" w:rsidRDefault="002C6574">
            <w:pPr>
              <w:pStyle w:val="TableParagraph"/>
              <w:jc w:val="left"/>
              <w:rPr>
                <w:rFonts w:ascii="Times New Roman"/>
                <w:sz w:val="14"/>
              </w:rPr>
            </w:pPr>
          </w:p>
        </w:tc>
        <w:tc>
          <w:tcPr>
            <w:tcW w:w="566" w:type="dxa"/>
          </w:tcPr>
          <w:p w14:paraId="708E1DBE" w14:textId="77777777" w:rsidR="002C6574" w:rsidRDefault="002C6574">
            <w:pPr>
              <w:pStyle w:val="TableParagraph"/>
              <w:jc w:val="left"/>
              <w:rPr>
                <w:rFonts w:ascii="Times New Roman"/>
                <w:sz w:val="14"/>
              </w:rPr>
            </w:pPr>
          </w:p>
        </w:tc>
        <w:tc>
          <w:tcPr>
            <w:tcW w:w="1493" w:type="dxa"/>
            <w:tcBorders>
              <w:top w:val="single" w:sz="4" w:space="0" w:color="000000"/>
            </w:tcBorders>
          </w:tcPr>
          <w:p w14:paraId="1717EAA0" w14:textId="77777777" w:rsidR="002C6574" w:rsidRDefault="002C6574">
            <w:pPr>
              <w:pStyle w:val="TableParagraph"/>
              <w:jc w:val="left"/>
              <w:rPr>
                <w:rFonts w:ascii="Times New Roman"/>
                <w:sz w:val="14"/>
              </w:rPr>
            </w:pPr>
          </w:p>
        </w:tc>
        <w:tc>
          <w:tcPr>
            <w:tcW w:w="144" w:type="dxa"/>
          </w:tcPr>
          <w:p w14:paraId="0B90C57C" w14:textId="77777777" w:rsidR="002C6574" w:rsidRDefault="002C6574">
            <w:pPr>
              <w:pStyle w:val="TableParagraph"/>
              <w:jc w:val="left"/>
              <w:rPr>
                <w:rFonts w:ascii="Times New Roman"/>
                <w:sz w:val="14"/>
              </w:rPr>
            </w:pPr>
          </w:p>
        </w:tc>
        <w:tc>
          <w:tcPr>
            <w:tcW w:w="1493" w:type="dxa"/>
            <w:tcBorders>
              <w:top w:val="single" w:sz="4" w:space="0" w:color="000000"/>
            </w:tcBorders>
          </w:tcPr>
          <w:p w14:paraId="4BF4D2DB" w14:textId="77777777" w:rsidR="002C6574" w:rsidRDefault="002C6574">
            <w:pPr>
              <w:pStyle w:val="TableParagraph"/>
              <w:jc w:val="left"/>
              <w:rPr>
                <w:rFonts w:ascii="Times New Roman"/>
                <w:sz w:val="14"/>
              </w:rPr>
            </w:pPr>
          </w:p>
        </w:tc>
      </w:tr>
      <w:tr w:rsidR="002C6574" w14:paraId="3F0F748C" w14:textId="77777777">
        <w:trPr>
          <w:trHeight w:val="192"/>
        </w:trPr>
        <w:tc>
          <w:tcPr>
            <w:tcW w:w="3190" w:type="dxa"/>
          </w:tcPr>
          <w:p w14:paraId="502A74D1" w14:textId="77777777" w:rsidR="002C6574" w:rsidRDefault="00000000">
            <w:pPr>
              <w:pStyle w:val="TableParagraph"/>
              <w:spacing w:line="172" w:lineRule="exact"/>
              <w:ind w:left="50"/>
              <w:jc w:val="left"/>
              <w:rPr>
                <w:sz w:val="15"/>
              </w:rPr>
            </w:pPr>
            <w:r>
              <w:rPr>
                <w:sz w:val="15"/>
              </w:rPr>
              <w:t>Dividendos</w:t>
            </w:r>
            <w:r>
              <w:rPr>
                <w:spacing w:val="3"/>
                <w:sz w:val="15"/>
              </w:rPr>
              <w:t xml:space="preserve"> </w:t>
            </w:r>
            <w:r>
              <w:rPr>
                <w:sz w:val="15"/>
              </w:rPr>
              <w:t xml:space="preserve">a </w:t>
            </w:r>
            <w:r>
              <w:rPr>
                <w:spacing w:val="-2"/>
                <w:sz w:val="15"/>
              </w:rPr>
              <w:t>Receber</w:t>
            </w:r>
          </w:p>
        </w:tc>
        <w:tc>
          <w:tcPr>
            <w:tcW w:w="474" w:type="dxa"/>
          </w:tcPr>
          <w:p w14:paraId="07D0492D" w14:textId="77777777" w:rsidR="002C6574" w:rsidRDefault="00000000">
            <w:pPr>
              <w:pStyle w:val="TableParagraph"/>
              <w:spacing w:line="172" w:lineRule="exact"/>
              <w:ind w:right="3"/>
              <w:jc w:val="center"/>
              <w:rPr>
                <w:sz w:val="15"/>
              </w:rPr>
            </w:pPr>
            <w:r>
              <w:rPr>
                <w:spacing w:val="-5"/>
                <w:w w:val="105"/>
                <w:sz w:val="15"/>
              </w:rPr>
              <w:t>10</w:t>
            </w:r>
          </w:p>
        </w:tc>
        <w:tc>
          <w:tcPr>
            <w:tcW w:w="1348" w:type="dxa"/>
          </w:tcPr>
          <w:p w14:paraId="5C93EF41" w14:textId="77777777" w:rsidR="002C6574" w:rsidRDefault="00000000">
            <w:pPr>
              <w:pStyle w:val="TableParagraph"/>
              <w:spacing w:line="172" w:lineRule="exact"/>
              <w:ind w:right="63"/>
              <w:rPr>
                <w:sz w:val="15"/>
              </w:rPr>
            </w:pPr>
            <w:r>
              <w:rPr>
                <w:spacing w:val="-10"/>
                <w:w w:val="95"/>
                <w:sz w:val="15"/>
              </w:rPr>
              <w:t>-</w:t>
            </w:r>
          </w:p>
        </w:tc>
        <w:tc>
          <w:tcPr>
            <w:tcW w:w="146" w:type="dxa"/>
          </w:tcPr>
          <w:p w14:paraId="324E7B63" w14:textId="77777777" w:rsidR="002C6574" w:rsidRDefault="002C6574">
            <w:pPr>
              <w:pStyle w:val="TableParagraph"/>
              <w:jc w:val="left"/>
              <w:rPr>
                <w:rFonts w:ascii="Times New Roman"/>
                <w:sz w:val="12"/>
              </w:rPr>
            </w:pPr>
          </w:p>
        </w:tc>
        <w:tc>
          <w:tcPr>
            <w:tcW w:w="1348" w:type="dxa"/>
          </w:tcPr>
          <w:p w14:paraId="07E05897" w14:textId="77777777" w:rsidR="002C6574" w:rsidRDefault="00000000">
            <w:pPr>
              <w:pStyle w:val="TableParagraph"/>
              <w:spacing w:line="172" w:lineRule="exact"/>
              <w:ind w:right="63"/>
              <w:rPr>
                <w:sz w:val="15"/>
              </w:rPr>
            </w:pPr>
            <w:r>
              <w:rPr>
                <w:spacing w:val="-2"/>
                <w:w w:val="110"/>
                <w:sz w:val="15"/>
              </w:rPr>
              <w:t>5.456</w:t>
            </w:r>
          </w:p>
        </w:tc>
        <w:tc>
          <w:tcPr>
            <w:tcW w:w="4656" w:type="dxa"/>
          </w:tcPr>
          <w:p w14:paraId="44B3413E" w14:textId="77777777" w:rsidR="002C6574" w:rsidRDefault="00000000">
            <w:pPr>
              <w:pStyle w:val="TableParagraph"/>
              <w:spacing w:before="5" w:line="167" w:lineRule="exact"/>
              <w:ind w:left="218"/>
              <w:jc w:val="left"/>
              <w:rPr>
                <w:rFonts w:ascii="Arial" w:hAnsi="Arial"/>
                <w:b/>
                <w:sz w:val="15"/>
              </w:rPr>
            </w:pPr>
            <w:r>
              <w:rPr>
                <w:rFonts w:ascii="Arial" w:hAnsi="Arial"/>
                <w:b/>
                <w:sz w:val="15"/>
              </w:rPr>
              <w:t>Não</w:t>
            </w:r>
            <w:r>
              <w:rPr>
                <w:rFonts w:ascii="Arial" w:hAnsi="Arial"/>
                <w:b/>
                <w:spacing w:val="-2"/>
                <w:sz w:val="15"/>
              </w:rPr>
              <w:t xml:space="preserve"> Circulante</w:t>
            </w:r>
          </w:p>
        </w:tc>
        <w:tc>
          <w:tcPr>
            <w:tcW w:w="566" w:type="dxa"/>
          </w:tcPr>
          <w:p w14:paraId="2BDABDB1" w14:textId="77777777" w:rsidR="002C6574" w:rsidRDefault="002C6574">
            <w:pPr>
              <w:pStyle w:val="TableParagraph"/>
              <w:jc w:val="left"/>
              <w:rPr>
                <w:rFonts w:ascii="Times New Roman"/>
                <w:sz w:val="12"/>
              </w:rPr>
            </w:pPr>
          </w:p>
        </w:tc>
        <w:tc>
          <w:tcPr>
            <w:tcW w:w="1493" w:type="dxa"/>
          </w:tcPr>
          <w:p w14:paraId="01AC04CC" w14:textId="77777777" w:rsidR="002C6574" w:rsidRDefault="002C6574">
            <w:pPr>
              <w:pStyle w:val="TableParagraph"/>
              <w:jc w:val="left"/>
              <w:rPr>
                <w:rFonts w:ascii="Times New Roman"/>
                <w:sz w:val="12"/>
              </w:rPr>
            </w:pPr>
          </w:p>
        </w:tc>
        <w:tc>
          <w:tcPr>
            <w:tcW w:w="144" w:type="dxa"/>
          </w:tcPr>
          <w:p w14:paraId="3F40C340" w14:textId="77777777" w:rsidR="002C6574" w:rsidRDefault="002C6574">
            <w:pPr>
              <w:pStyle w:val="TableParagraph"/>
              <w:jc w:val="left"/>
              <w:rPr>
                <w:rFonts w:ascii="Times New Roman"/>
                <w:sz w:val="12"/>
              </w:rPr>
            </w:pPr>
          </w:p>
        </w:tc>
        <w:tc>
          <w:tcPr>
            <w:tcW w:w="1493" w:type="dxa"/>
          </w:tcPr>
          <w:p w14:paraId="328F507C" w14:textId="77777777" w:rsidR="002C6574" w:rsidRDefault="002C6574">
            <w:pPr>
              <w:pStyle w:val="TableParagraph"/>
              <w:jc w:val="left"/>
              <w:rPr>
                <w:rFonts w:ascii="Times New Roman"/>
                <w:sz w:val="12"/>
              </w:rPr>
            </w:pPr>
          </w:p>
        </w:tc>
      </w:tr>
      <w:tr w:rsidR="002C6574" w14:paraId="045AAEBF" w14:textId="77777777">
        <w:trPr>
          <w:trHeight w:val="203"/>
        </w:trPr>
        <w:tc>
          <w:tcPr>
            <w:tcW w:w="3190" w:type="dxa"/>
          </w:tcPr>
          <w:p w14:paraId="4EF6EDFC" w14:textId="77777777" w:rsidR="002C6574" w:rsidRDefault="00000000">
            <w:pPr>
              <w:pStyle w:val="TableParagraph"/>
              <w:spacing w:before="1" w:line="183" w:lineRule="exact"/>
              <w:ind w:left="50"/>
              <w:jc w:val="left"/>
              <w:rPr>
                <w:sz w:val="15"/>
              </w:rPr>
            </w:pPr>
            <w:r>
              <w:rPr>
                <w:sz w:val="15"/>
              </w:rPr>
              <w:t>Superávit</w:t>
            </w:r>
            <w:r>
              <w:rPr>
                <w:spacing w:val="10"/>
                <w:sz w:val="15"/>
              </w:rPr>
              <w:t xml:space="preserve"> </w:t>
            </w:r>
            <w:r>
              <w:rPr>
                <w:sz w:val="15"/>
              </w:rPr>
              <w:t>-</w:t>
            </w:r>
            <w:r>
              <w:rPr>
                <w:spacing w:val="8"/>
                <w:sz w:val="15"/>
              </w:rPr>
              <w:t xml:space="preserve"> </w:t>
            </w:r>
            <w:r>
              <w:rPr>
                <w:sz w:val="15"/>
              </w:rPr>
              <w:t>Previdência</w:t>
            </w:r>
            <w:r>
              <w:rPr>
                <w:spacing w:val="6"/>
                <w:sz w:val="15"/>
              </w:rPr>
              <w:t xml:space="preserve"> </w:t>
            </w:r>
            <w:r>
              <w:rPr>
                <w:spacing w:val="-2"/>
                <w:sz w:val="15"/>
              </w:rPr>
              <w:t>Privada</w:t>
            </w:r>
          </w:p>
        </w:tc>
        <w:tc>
          <w:tcPr>
            <w:tcW w:w="474" w:type="dxa"/>
          </w:tcPr>
          <w:p w14:paraId="7214AF31" w14:textId="77777777" w:rsidR="002C6574" w:rsidRDefault="00000000">
            <w:pPr>
              <w:pStyle w:val="TableParagraph"/>
              <w:spacing w:line="184" w:lineRule="exact"/>
              <w:ind w:left="3" w:right="3"/>
              <w:jc w:val="center"/>
              <w:rPr>
                <w:sz w:val="15"/>
              </w:rPr>
            </w:pPr>
            <w:r>
              <w:rPr>
                <w:spacing w:val="-10"/>
                <w:w w:val="105"/>
                <w:sz w:val="15"/>
              </w:rPr>
              <w:t>8</w:t>
            </w:r>
          </w:p>
        </w:tc>
        <w:tc>
          <w:tcPr>
            <w:tcW w:w="1348" w:type="dxa"/>
          </w:tcPr>
          <w:p w14:paraId="1E91D20E" w14:textId="77777777" w:rsidR="002C6574" w:rsidRDefault="00000000">
            <w:pPr>
              <w:pStyle w:val="TableParagraph"/>
              <w:spacing w:before="1" w:line="183" w:lineRule="exact"/>
              <w:ind w:right="64"/>
              <w:rPr>
                <w:sz w:val="15"/>
              </w:rPr>
            </w:pPr>
            <w:r>
              <w:rPr>
                <w:spacing w:val="-2"/>
                <w:w w:val="105"/>
                <w:sz w:val="15"/>
              </w:rPr>
              <w:t>185.037</w:t>
            </w:r>
          </w:p>
        </w:tc>
        <w:tc>
          <w:tcPr>
            <w:tcW w:w="146" w:type="dxa"/>
          </w:tcPr>
          <w:p w14:paraId="5B342240" w14:textId="77777777" w:rsidR="002C6574" w:rsidRDefault="002C6574">
            <w:pPr>
              <w:pStyle w:val="TableParagraph"/>
              <w:jc w:val="left"/>
              <w:rPr>
                <w:rFonts w:ascii="Times New Roman"/>
                <w:sz w:val="14"/>
              </w:rPr>
            </w:pPr>
          </w:p>
        </w:tc>
        <w:tc>
          <w:tcPr>
            <w:tcW w:w="1348" w:type="dxa"/>
          </w:tcPr>
          <w:p w14:paraId="7A12CFCE" w14:textId="77777777" w:rsidR="002C6574" w:rsidRDefault="00000000">
            <w:pPr>
              <w:pStyle w:val="TableParagraph"/>
              <w:spacing w:before="1" w:line="183" w:lineRule="exact"/>
              <w:ind w:right="63"/>
              <w:rPr>
                <w:sz w:val="15"/>
              </w:rPr>
            </w:pPr>
            <w:r>
              <w:rPr>
                <w:spacing w:val="-2"/>
                <w:w w:val="105"/>
                <w:sz w:val="15"/>
              </w:rPr>
              <w:t>143.216</w:t>
            </w:r>
          </w:p>
        </w:tc>
        <w:tc>
          <w:tcPr>
            <w:tcW w:w="4656" w:type="dxa"/>
          </w:tcPr>
          <w:p w14:paraId="3EBB1AE1" w14:textId="77777777" w:rsidR="002C6574" w:rsidRDefault="00000000">
            <w:pPr>
              <w:pStyle w:val="TableParagraph"/>
              <w:spacing w:before="1" w:line="183" w:lineRule="exact"/>
              <w:ind w:left="218"/>
              <w:jc w:val="left"/>
              <w:rPr>
                <w:sz w:val="15"/>
              </w:rPr>
            </w:pPr>
            <w:r>
              <w:rPr>
                <w:sz w:val="15"/>
              </w:rPr>
              <w:t>Operações</w:t>
            </w:r>
            <w:r>
              <w:rPr>
                <w:spacing w:val="-1"/>
                <w:sz w:val="15"/>
              </w:rPr>
              <w:t xml:space="preserve"> </w:t>
            </w:r>
            <w:r>
              <w:rPr>
                <w:sz w:val="15"/>
              </w:rPr>
              <w:t>de</w:t>
            </w:r>
            <w:r>
              <w:rPr>
                <w:spacing w:val="-1"/>
                <w:sz w:val="15"/>
              </w:rPr>
              <w:t xml:space="preserve"> </w:t>
            </w:r>
            <w:r>
              <w:rPr>
                <w:sz w:val="15"/>
              </w:rPr>
              <w:t>Arrendamento</w:t>
            </w:r>
            <w:r>
              <w:rPr>
                <w:spacing w:val="-4"/>
                <w:sz w:val="15"/>
              </w:rPr>
              <w:t xml:space="preserve"> </w:t>
            </w:r>
            <w:r>
              <w:rPr>
                <w:sz w:val="15"/>
              </w:rPr>
              <w:t>Mercantil</w:t>
            </w:r>
            <w:r>
              <w:rPr>
                <w:spacing w:val="-4"/>
                <w:sz w:val="15"/>
              </w:rPr>
              <w:t xml:space="preserve"> </w:t>
            </w:r>
            <w:r>
              <w:rPr>
                <w:spacing w:val="-2"/>
                <w:sz w:val="15"/>
              </w:rPr>
              <w:t>Financeiro</w:t>
            </w:r>
          </w:p>
        </w:tc>
        <w:tc>
          <w:tcPr>
            <w:tcW w:w="566" w:type="dxa"/>
          </w:tcPr>
          <w:p w14:paraId="2B030C1F" w14:textId="77777777" w:rsidR="002C6574" w:rsidRDefault="00000000">
            <w:pPr>
              <w:pStyle w:val="TableParagraph"/>
              <w:spacing w:line="184" w:lineRule="exact"/>
              <w:ind w:left="98"/>
              <w:jc w:val="center"/>
              <w:rPr>
                <w:sz w:val="15"/>
              </w:rPr>
            </w:pPr>
            <w:r>
              <w:rPr>
                <w:spacing w:val="-4"/>
                <w:w w:val="110"/>
                <w:sz w:val="15"/>
              </w:rPr>
              <w:t>24.2</w:t>
            </w:r>
          </w:p>
        </w:tc>
        <w:tc>
          <w:tcPr>
            <w:tcW w:w="1493" w:type="dxa"/>
          </w:tcPr>
          <w:p w14:paraId="2EF4C7B2" w14:textId="77777777" w:rsidR="002C6574" w:rsidRDefault="00000000">
            <w:pPr>
              <w:pStyle w:val="TableParagraph"/>
              <w:spacing w:line="184" w:lineRule="exact"/>
              <w:ind w:right="67"/>
              <w:rPr>
                <w:sz w:val="15"/>
              </w:rPr>
            </w:pPr>
            <w:r>
              <w:rPr>
                <w:spacing w:val="-2"/>
                <w:w w:val="105"/>
                <w:sz w:val="15"/>
              </w:rPr>
              <w:t>14.786</w:t>
            </w:r>
          </w:p>
        </w:tc>
        <w:tc>
          <w:tcPr>
            <w:tcW w:w="144" w:type="dxa"/>
          </w:tcPr>
          <w:p w14:paraId="7F9DC79C" w14:textId="77777777" w:rsidR="002C6574" w:rsidRDefault="002C6574">
            <w:pPr>
              <w:pStyle w:val="TableParagraph"/>
              <w:jc w:val="left"/>
              <w:rPr>
                <w:rFonts w:ascii="Times New Roman"/>
                <w:sz w:val="14"/>
              </w:rPr>
            </w:pPr>
          </w:p>
        </w:tc>
        <w:tc>
          <w:tcPr>
            <w:tcW w:w="1493" w:type="dxa"/>
          </w:tcPr>
          <w:p w14:paraId="62FFA49B" w14:textId="77777777" w:rsidR="002C6574" w:rsidRDefault="00000000">
            <w:pPr>
              <w:pStyle w:val="TableParagraph"/>
              <w:spacing w:line="184" w:lineRule="exact"/>
              <w:ind w:right="67"/>
              <w:rPr>
                <w:sz w:val="15"/>
              </w:rPr>
            </w:pPr>
            <w:r>
              <w:rPr>
                <w:spacing w:val="-2"/>
                <w:w w:val="110"/>
                <w:sz w:val="15"/>
              </w:rPr>
              <w:t>4.139</w:t>
            </w:r>
          </w:p>
        </w:tc>
      </w:tr>
      <w:tr w:rsidR="002C6574" w14:paraId="2B2386C4" w14:textId="77777777">
        <w:trPr>
          <w:trHeight w:val="189"/>
        </w:trPr>
        <w:tc>
          <w:tcPr>
            <w:tcW w:w="3190" w:type="dxa"/>
          </w:tcPr>
          <w:p w14:paraId="25EE8019" w14:textId="77777777" w:rsidR="002C6574" w:rsidRDefault="00000000">
            <w:pPr>
              <w:pStyle w:val="TableParagraph"/>
              <w:spacing w:line="169" w:lineRule="exact"/>
              <w:ind w:left="50"/>
              <w:jc w:val="left"/>
              <w:rPr>
                <w:sz w:val="15"/>
              </w:rPr>
            </w:pPr>
            <w:r>
              <w:rPr>
                <w:sz w:val="15"/>
              </w:rPr>
              <w:t>Outros</w:t>
            </w:r>
            <w:r>
              <w:rPr>
                <w:spacing w:val="-5"/>
                <w:sz w:val="15"/>
              </w:rPr>
              <w:t xml:space="preserve"> </w:t>
            </w:r>
            <w:r>
              <w:rPr>
                <w:sz w:val="15"/>
              </w:rPr>
              <w:t>Ativos</w:t>
            </w:r>
            <w:r>
              <w:rPr>
                <w:spacing w:val="-4"/>
                <w:sz w:val="15"/>
              </w:rPr>
              <w:t xml:space="preserve"> </w:t>
            </w:r>
            <w:r>
              <w:rPr>
                <w:spacing w:val="-2"/>
                <w:sz w:val="15"/>
              </w:rPr>
              <w:t>Realizáveis</w:t>
            </w:r>
          </w:p>
        </w:tc>
        <w:tc>
          <w:tcPr>
            <w:tcW w:w="474" w:type="dxa"/>
          </w:tcPr>
          <w:p w14:paraId="49B50716" w14:textId="77777777" w:rsidR="002C6574" w:rsidRDefault="00000000">
            <w:pPr>
              <w:pStyle w:val="TableParagraph"/>
              <w:spacing w:line="169" w:lineRule="exact"/>
              <w:ind w:left="2" w:right="3"/>
              <w:jc w:val="center"/>
              <w:rPr>
                <w:sz w:val="15"/>
              </w:rPr>
            </w:pPr>
            <w:r>
              <w:rPr>
                <w:spacing w:val="-5"/>
                <w:w w:val="110"/>
                <w:sz w:val="15"/>
              </w:rPr>
              <w:t>9.2</w:t>
            </w:r>
          </w:p>
        </w:tc>
        <w:tc>
          <w:tcPr>
            <w:tcW w:w="1348" w:type="dxa"/>
            <w:tcBorders>
              <w:bottom w:val="single" w:sz="4" w:space="0" w:color="000000"/>
            </w:tcBorders>
          </w:tcPr>
          <w:p w14:paraId="40DDC630" w14:textId="77777777" w:rsidR="002C6574" w:rsidRDefault="00000000">
            <w:pPr>
              <w:pStyle w:val="TableParagraph"/>
              <w:spacing w:line="169" w:lineRule="exact"/>
              <w:ind w:right="64"/>
              <w:rPr>
                <w:sz w:val="15"/>
              </w:rPr>
            </w:pPr>
            <w:r>
              <w:rPr>
                <w:spacing w:val="-2"/>
                <w:w w:val="110"/>
                <w:sz w:val="15"/>
              </w:rPr>
              <w:t>6.667</w:t>
            </w:r>
          </w:p>
        </w:tc>
        <w:tc>
          <w:tcPr>
            <w:tcW w:w="146" w:type="dxa"/>
          </w:tcPr>
          <w:p w14:paraId="1708E832" w14:textId="77777777" w:rsidR="002C6574" w:rsidRDefault="002C6574">
            <w:pPr>
              <w:pStyle w:val="TableParagraph"/>
              <w:jc w:val="left"/>
              <w:rPr>
                <w:rFonts w:ascii="Times New Roman"/>
                <w:sz w:val="12"/>
              </w:rPr>
            </w:pPr>
          </w:p>
        </w:tc>
        <w:tc>
          <w:tcPr>
            <w:tcW w:w="1348" w:type="dxa"/>
            <w:tcBorders>
              <w:bottom w:val="single" w:sz="4" w:space="0" w:color="000000"/>
            </w:tcBorders>
          </w:tcPr>
          <w:p w14:paraId="4BC087F3" w14:textId="77777777" w:rsidR="002C6574" w:rsidRDefault="00000000">
            <w:pPr>
              <w:pStyle w:val="TableParagraph"/>
              <w:spacing w:line="169" w:lineRule="exact"/>
              <w:ind w:right="63"/>
              <w:rPr>
                <w:sz w:val="15"/>
              </w:rPr>
            </w:pPr>
            <w:r>
              <w:rPr>
                <w:spacing w:val="-2"/>
                <w:w w:val="105"/>
                <w:sz w:val="15"/>
              </w:rPr>
              <w:t>12.381</w:t>
            </w:r>
          </w:p>
        </w:tc>
        <w:tc>
          <w:tcPr>
            <w:tcW w:w="4656" w:type="dxa"/>
          </w:tcPr>
          <w:p w14:paraId="342C618D" w14:textId="77777777" w:rsidR="002C6574" w:rsidRDefault="00000000">
            <w:pPr>
              <w:pStyle w:val="TableParagraph"/>
              <w:spacing w:line="169" w:lineRule="exact"/>
              <w:ind w:left="218"/>
              <w:jc w:val="left"/>
              <w:rPr>
                <w:sz w:val="15"/>
              </w:rPr>
            </w:pPr>
            <w:r>
              <w:rPr>
                <w:w w:val="105"/>
                <w:sz w:val="15"/>
              </w:rPr>
              <w:t>Provisão para</w:t>
            </w:r>
            <w:r>
              <w:rPr>
                <w:spacing w:val="-2"/>
                <w:w w:val="105"/>
                <w:sz w:val="15"/>
              </w:rPr>
              <w:t xml:space="preserve"> </w:t>
            </w:r>
            <w:r>
              <w:rPr>
                <w:w w:val="105"/>
                <w:sz w:val="15"/>
              </w:rPr>
              <w:t>Riscos</w:t>
            </w:r>
            <w:r>
              <w:rPr>
                <w:spacing w:val="1"/>
                <w:w w:val="105"/>
                <w:sz w:val="15"/>
              </w:rPr>
              <w:t xml:space="preserve"> </w:t>
            </w:r>
            <w:r>
              <w:rPr>
                <w:w w:val="105"/>
                <w:sz w:val="15"/>
              </w:rPr>
              <w:t>Trabalhistas,</w:t>
            </w:r>
            <w:r>
              <w:rPr>
                <w:spacing w:val="-1"/>
                <w:w w:val="105"/>
                <w:sz w:val="15"/>
              </w:rPr>
              <w:t xml:space="preserve"> </w:t>
            </w:r>
            <w:r>
              <w:rPr>
                <w:w w:val="105"/>
                <w:sz w:val="15"/>
              </w:rPr>
              <w:t>Cíveis</w:t>
            </w:r>
            <w:r>
              <w:rPr>
                <w:spacing w:val="3"/>
                <w:w w:val="105"/>
                <w:sz w:val="15"/>
              </w:rPr>
              <w:t xml:space="preserve"> </w:t>
            </w:r>
            <w:r>
              <w:rPr>
                <w:w w:val="105"/>
                <w:sz w:val="15"/>
              </w:rPr>
              <w:t>e</w:t>
            </w:r>
            <w:r>
              <w:rPr>
                <w:spacing w:val="-2"/>
                <w:w w:val="105"/>
                <w:sz w:val="15"/>
              </w:rPr>
              <w:t xml:space="preserve"> Fiscais</w:t>
            </w:r>
          </w:p>
        </w:tc>
        <w:tc>
          <w:tcPr>
            <w:tcW w:w="566" w:type="dxa"/>
          </w:tcPr>
          <w:p w14:paraId="25A723C2" w14:textId="77777777" w:rsidR="002C6574" w:rsidRDefault="00000000">
            <w:pPr>
              <w:pStyle w:val="TableParagraph"/>
              <w:spacing w:line="169" w:lineRule="exact"/>
              <w:ind w:left="101" w:right="5"/>
              <w:jc w:val="center"/>
              <w:rPr>
                <w:sz w:val="15"/>
              </w:rPr>
            </w:pPr>
            <w:r>
              <w:rPr>
                <w:spacing w:val="-5"/>
                <w:w w:val="105"/>
                <w:sz w:val="15"/>
              </w:rPr>
              <w:t>21</w:t>
            </w:r>
          </w:p>
        </w:tc>
        <w:tc>
          <w:tcPr>
            <w:tcW w:w="1493" w:type="dxa"/>
          </w:tcPr>
          <w:p w14:paraId="18139289" w14:textId="77777777" w:rsidR="002C6574" w:rsidRDefault="00000000">
            <w:pPr>
              <w:pStyle w:val="TableParagraph"/>
              <w:spacing w:line="169" w:lineRule="exact"/>
              <w:ind w:right="67"/>
              <w:rPr>
                <w:sz w:val="15"/>
              </w:rPr>
            </w:pPr>
            <w:r>
              <w:rPr>
                <w:spacing w:val="-2"/>
                <w:w w:val="105"/>
                <w:sz w:val="15"/>
              </w:rPr>
              <w:t>66.303</w:t>
            </w:r>
          </w:p>
        </w:tc>
        <w:tc>
          <w:tcPr>
            <w:tcW w:w="144" w:type="dxa"/>
          </w:tcPr>
          <w:p w14:paraId="41E94911" w14:textId="77777777" w:rsidR="002C6574" w:rsidRDefault="002C6574">
            <w:pPr>
              <w:pStyle w:val="TableParagraph"/>
              <w:jc w:val="left"/>
              <w:rPr>
                <w:rFonts w:ascii="Times New Roman"/>
                <w:sz w:val="12"/>
              </w:rPr>
            </w:pPr>
          </w:p>
        </w:tc>
        <w:tc>
          <w:tcPr>
            <w:tcW w:w="1493" w:type="dxa"/>
          </w:tcPr>
          <w:p w14:paraId="2DA4ECF7" w14:textId="77777777" w:rsidR="002C6574" w:rsidRDefault="00000000">
            <w:pPr>
              <w:pStyle w:val="TableParagraph"/>
              <w:spacing w:line="169" w:lineRule="exact"/>
              <w:ind w:right="67"/>
              <w:rPr>
                <w:sz w:val="15"/>
              </w:rPr>
            </w:pPr>
            <w:r>
              <w:rPr>
                <w:spacing w:val="-2"/>
                <w:w w:val="105"/>
                <w:sz w:val="15"/>
              </w:rPr>
              <w:t>59.881</w:t>
            </w:r>
          </w:p>
        </w:tc>
      </w:tr>
      <w:tr w:rsidR="002C6574" w14:paraId="0CB340D3" w14:textId="77777777">
        <w:trPr>
          <w:trHeight w:val="198"/>
        </w:trPr>
        <w:tc>
          <w:tcPr>
            <w:tcW w:w="3190" w:type="dxa"/>
          </w:tcPr>
          <w:p w14:paraId="0CF5C82D" w14:textId="77777777" w:rsidR="002C6574" w:rsidRDefault="002C6574">
            <w:pPr>
              <w:pStyle w:val="TableParagraph"/>
              <w:jc w:val="left"/>
              <w:rPr>
                <w:rFonts w:ascii="Times New Roman"/>
                <w:sz w:val="12"/>
              </w:rPr>
            </w:pPr>
          </w:p>
        </w:tc>
        <w:tc>
          <w:tcPr>
            <w:tcW w:w="474" w:type="dxa"/>
          </w:tcPr>
          <w:p w14:paraId="4C0D17F3" w14:textId="77777777" w:rsidR="002C6574" w:rsidRDefault="002C6574">
            <w:pPr>
              <w:pStyle w:val="TableParagraph"/>
              <w:jc w:val="left"/>
              <w:rPr>
                <w:rFonts w:ascii="Times New Roman"/>
                <w:sz w:val="12"/>
              </w:rPr>
            </w:pPr>
          </w:p>
        </w:tc>
        <w:tc>
          <w:tcPr>
            <w:tcW w:w="1348" w:type="dxa"/>
            <w:tcBorders>
              <w:top w:val="single" w:sz="4" w:space="0" w:color="000000"/>
              <w:bottom w:val="single" w:sz="4" w:space="0" w:color="000000"/>
            </w:tcBorders>
          </w:tcPr>
          <w:p w14:paraId="2D5CA88F" w14:textId="77777777" w:rsidR="002C6574" w:rsidRDefault="00000000">
            <w:pPr>
              <w:pStyle w:val="TableParagraph"/>
              <w:spacing w:before="12" w:line="166" w:lineRule="exact"/>
              <w:ind w:right="63"/>
              <w:rPr>
                <w:rFonts w:ascii="Arial"/>
                <w:b/>
                <w:sz w:val="15"/>
              </w:rPr>
            </w:pPr>
            <w:r>
              <w:rPr>
                <w:rFonts w:ascii="Arial"/>
                <w:b/>
                <w:spacing w:val="-2"/>
                <w:sz w:val="15"/>
              </w:rPr>
              <w:t>302.014</w:t>
            </w:r>
          </w:p>
        </w:tc>
        <w:tc>
          <w:tcPr>
            <w:tcW w:w="146" w:type="dxa"/>
          </w:tcPr>
          <w:p w14:paraId="56BB4346" w14:textId="77777777" w:rsidR="002C6574" w:rsidRDefault="002C6574">
            <w:pPr>
              <w:pStyle w:val="TableParagraph"/>
              <w:jc w:val="left"/>
              <w:rPr>
                <w:rFonts w:ascii="Times New Roman"/>
                <w:sz w:val="12"/>
              </w:rPr>
            </w:pPr>
          </w:p>
        </w:tc>
        <w:tc>
          <w:tcPr>
            <w:tcW w:w="1348" w:type="dxa"/>
            <w:tcBorders>
              <w:top w:val="single" w:sz="4" w:space="0" w:color="000000"/>
              <w:bottom w:val="single" w:sz="4" w:space="0" w:color="000000"/>
            </w:tcBorders>
          </w:tcPr>
          <w:p w14:paraId="6910BFA6" w14:textId="77777777" w:rsidR="002C6574" w:rsidRDefault="00000000">
            <w:pPr>
              <w:pStyle w:val="TableParagraph"/>
              <w:spacing w:before="12" w:line="166" w:lineRule="exact"/>
              <w:ind w:right="62"/>
              <w:rPr>
                <w:rFonts w:ascii="Arial"/>
                <w:b/>
                <w:sz w:val="15"/>
              </w:rPr>
            </w:pPr>
            <w:r>
              <w:rPr>
                <w:rFonts w:ascii="Arial"/>
                <w:b/>
                <w:spacing w:val="-2"/>
                <w:sz w:val="15"/>
              </w:rPr>
              <w:t>304.747</w:t>
            </w:r>
          </w:p>
        </w:tc>
        <w:tc>
          <w:tcPr>
            <w:tcW w:w="4656" w:type="dxa"/>
          </w:tcPr>
          <w:p w14:paraId="429540BC" w14:textId="77777777" w:rsidR="002C6574" w:rsidRDefault="00000000">
            <w:pPr>
              <w:pStyle w:val="TableParagraph"/>
              <w:spacing w:line="179" w:lineRule="exact"/>
              <w:ind w:left="218"/>
              <w:jc w:val="left"/>
              <w:rPr>
                <w:sz w:val="15"/>
              </w:rPr>
            </w:pPr>
            <w:r>
              <w:rPr>
                <w:w w:val="105"/>
                <w:sz w:val="15"/>
              </w:rPr>
              <w:t>Credores</w:t>
            </w:r>
            <w:r>
              <w:rPr>
                <w:spacing w:val="-11"/>
                <w:w w:val="105"/>
                <w:sz w:val="15"/>
              </w:rPr>
              <w:t xml:space="preserve"> </w:t>
            </w:r>
            <w:r>
              <w:rPr>
                <w:w w:val="105"/>
                <w:sz w:val="15"/>
              </w:rPr>
              <w:t>por</w:t>
            </w:r>
            <w:r>
              <w:rPr>
                <w:spacing w:val="-11"/>
                <w:w w:val="105"/>
                <w:sz w:val="15"/>
              </w:rPr>
              <w:t xml:space="preserve"> </w:t>
            </w:r>
            <w:r>
              <w:rPr>
                <w:w w:val="105"/>
                <w:sz w:val="15"/>
              </w:rPr>
              <w:t>Perdas</w:t>
            </w:r>
            <w:r>
              <w:rPr>
                <w:spacing w:val="-11"/>
                <w:w w:val="105"/>
                <w:sz w:val="15"/>
              </w:rPr>
              <w:t xml:space="preserve"> </w:t>
            </w:r>
            <w:r>
              <w:rPr>
                <w:spacing w:val="-2"/>
                <w:w w:val="105"/>
                <w:sz w:val="15"/>
              </w:rPr>
              <w:t>Judiciais</w:t>
            </w:r>
          </w:p>
        </w:tc>
        <w:tc>
          <w:tcPr>
            <w:tcW w:w="566" w:type="dxa"/>
          </w:tcPr>
          <w:p w14:paraId="72E148AE" w14:textId="77777777" w:rsidR="002C6574" w:rsidRDefault="00000000">
            <w:pPr>
              <w:pStyle w:val="TableParagraph"/>
              <w:spacing w:line="179" w:lineRule="exact"/>
              <w:ind w:left="101" w:right="6"/>
              <w:jc w:val="center"/>
              <w:rPr>
                <w:sz w:val="15"/>
              </w:rPr>
            </w:pPr>
            <w:r>
              <w:rPr>
                <w:spacing w:val="-5"/>
                <w:w w:val="105"/>
                <w:sz w:val="15"/>
              </w:rPr>
              <w:t>22</w:t>
            </w:r>
          </w:p>
        </w:tc>
        <w:tc>
          <w:tcPr>
            <w:tcW w:w="1493" w:type="dxa"/>
          </w:tcPr>
          <w:p w14:paraId="47AE39FD" w14:textId="77777777" w:rsidR="002C6574" w:rsidRDefault="00000000">
            <w:pPr>
              <w:pStyle w:val="TableParagraph"/>
              <w:spacing w:line="179" w:lineRule="exact"/>
              <w:ind w:right="67"/>
              <w:rPr>
                <w:sz w:val="15"/>
              </w:rPr>
            </w:pPr>
            <w:r>
              <w:rPr>
                <w:spacing w:val="-10"/>
                <w:w w:val="95"/>
                <w:sz w:val="15"/>
              </w:rPr>
              <w:t>-</w:t>
            </w:r>
          </w:p>
        </w:tc>
        <w:tc>
          <w:tcPr>
            <w:tcW w:w="144" w:type="dxa"/>
          </w:tcPr>
          <w:p w14:paraId="01F385A4" w14:textId="77777777" w:rsidR="002C6574" w:rsidRDefault="002C6574">
            <w:pPr>
              <w:pStyle w:val="TableParagraph"/>
              <w:jc w:val="left"/>
              <w:rPr>
                <w:rFonts w:ascii="Times New Roman"/>
                <w:sz w:val="12"/>
              </w:rPr>
            </w:pPr>
          </w:p>
        </w:tc>
        <w:tc>
          <w:tcPr>
            <w:tcW w:w="1493" w:type="dxa"/>
          </w:tcPr>
          <w:p w14:paraId="765A992D" w14:textId="77777777" w:rsidR="002C6574" w:rsidRDefault="00000000">
            <w:pPr>
              <w:pStyle w:val="TableParagraph"/>
              <w:spacing w:line="179" w:lineRule="exact"/>
              <w:ind w:right="65"/>
              <w:rPr>
                <w:sz w:val="15"/>
              </w:rPr>
            </w:pPr>
            <w:r>
              <w:rPr>
                <w:spacing w:val="-2"/>
                <w:w w:val="105"/>
                <w:sz w:val="15"/>
              </w:rPr>
              <w:t>102.247</w:t>
            </w:r>
          </w:p>
        </w:tc>
      </w:tr>
      <w:tr w:rsidR="002C6574" w14:paraId="460F5DBB" w14:textId="77777777">
        <w:trPr>
          <w:trHeight w:val="205"/>
        </w:trPr>
        <w:tc>
          <w:tcPr>
            <w:tcW w:w="3190" w:type="dxa"/>
          </w:tcPr>
          <w:p w14:paraId="53CA913A" w14:textId="77777777" w:rsidR="002C6574" w:rsidRDefault="002C6574">
            <w:pPr>
              <w:pStyle w:val="TableParagraph"/>
              <w:jc w:val="left"/>
              <w:rPr>
                <w:rFonts w:ascii="Times New Roman"/>
                <w:sz w:val="14"/>
              </w:rPr>
            </w:pPr>
          </w:p>
        </w:tc>
        <w:tc>
          <w:tcPr>
            <w:tcW w:w="474" w:type="dxa"/>
          </w:tcPr>
          <w:p w14:paraId="1D324F37" w14:textId="77777777" w:rsidR="002C6574" w:rsidRDefault="002C6574">
            <w:pPr>
              <w:pStyle w:val="TableParagraph"/>
              <w:jc w:val="left"/>
              <w:rPr>
                <w:rFonts w:ascii="Times New Roman"/>
                <w:sz w:val="14"/>
              </w:rPr>
            </w:pPr>
          </w:p>
        </w:tc>
        <w:tc>
          <w:tcPr>
            <w:tcW w:w="1348" w:type="dxa"/>
            <w:tcBorders>
              <w:top w:val="single" w:sz="4" w:space="0" w:color="000000"/>
            </w:tcBorders>
          </w:tcPr>
          <w:p w14:paraId="2E15AF19" w14:textId="77777777" w:rsidR="002C6574" w:rsidRDefault="002C6574">
            <w:pPr>
              <w:pStyle w:val="TableParagraph"/>
              <w:jc w:val="left"/>
              <w:rPr>
                <w:rFonts w:ascii="Times New Roman"/>
                <w:sz w:val="14"/>
              </w:rPr>
            </w:pPr>
          </w:p>
        </w:tc>
        <w:tc>
          <w:tcPr>
            <w:tcW w:w="146" w:type="dxa"/>
          </w:tcPr>
          <w:p w14:paraId="10EB1BD1" w14:textId="77777777" w:rsidR="002C6574" w:rsidRDefault="002C6574">
            <w:pPr>
              <w:pStyle w:val="TableParagraph"/>
              <w:jc w:val="left"/>
              <w:rPr>
                <w:rFonts w:ascii="Times New Roman"/>
                <w:sz w:val="14"/>
              </w:rPr>
            </w:pPr>
          </w:p>
        </w:tc>
        <w:tc>
          <w:tcPr>
            <w:tcW w:w="1348" w:type="dxa"/>
            <w:tcBorders>
              <w:top w:val="single" w:sz="4" w:space="0" w:color="000000"/>
            </w:tcBorders>
          </w:tcPr>
          <w:p w14:paraId="2696CA37" w14:textId="77777777" w:rsidR="002C6574" w:rsidRDefault="002C6574">
            <w:pPr>
              <w:pStyle w:val="TableParagraph"/>
              <w:jc w:val="left"/>
              <w:rPr>
                <w:rFonts w:ascii="Times New Roman"/>
                <w:sz w:val="14"/>
              </w:rPr>
            </w:pPr>
          </w:p>
        </w:tc>
        <w:tc>
          <w:tcPr>
            <w:tcW w:w="4656" w:type="dxa"/>
          </w:tcPr>
          <w:p w14:paraId="01D856AF" w14:textId="77777777" w:rsidR="002C6574" w:rsidRDefault="00000000">
            <w:pPr>
              <w:pStyle w:val="TableParagraph"/>
              <w:spacing w:before="3" w:line="182" w:lineRule="exact"/>
              <w:ind w:left="218"/>
              <w:jc w:val="left"/>
              <w:rPr>
                <w:sz w:val="15"/>
              </w:rPr>
            </w:pPr>
            <w:r>
              <w:rPr>
                <w:sz w:val="15"/>
              </w:rPr>
              <w:t>Provisão</w:t>
            </w:r>
            <w:r>
              <w:rPr>
                <w:spacing w:val="9"/>
                <w:sz w:val="15"/>
              </w:rPr>
              <w:t xml:space="preserve"> </w:t>
            </w:r>
            <w:r>
              <w:rPr>
                <w:sz w:val="15"/>
              </w:rPr>
              <w:t>para</w:t>
            </w:r>
            <w:r>
              <w:rPr>
                <w:spacing w:val="10"/>
                <w:sz w:val="15"/>
              </w:rPr>
              <w:t xml:space="preserve"> </w:t>
            </w:r>
            <w:r>
              <w:rPr>
                <w:sz w:val="15"/>
              </w:rPr>
              <w:t>Programa</w:t>
            </w:r>
            <w:r>
              <w:rPr>
                <w:spacing w:val="9"/>
                <w:sz w:val="15"/>
              </w:rPr>
              <w:t xml:space="preserve"> </w:t>
            </w:r>
            <w:r>
              <w:rPr>
                <w:sz w:val="15"/>
              </w:rPr>
              <w:t>de</w:t>
            </w:r>
            <w:r>
              <w:rPr>
                <w:spacing w:val="8"/>
                <w:sz w:val="15"/>
              </w:rPr>
              <w:t xml:space="preserve"> </w:t>
            </w:r>
            <w:r>
              <w:rPr>
                <w:sz w:val="15"/>
              </w:rPr>
              <w:t>Indenização</w:t>
            </w:r>
            <w:r>
              <w:rPr>
                <w:spacing w:val="10"/>
                <w:sz w:val="15"/>
              </w:rPr>
              <w:t xml:space="preserve"> </w:t>
            </w:r>
            <w:r>
              <w:rPr>
                <w:sz w:val="15"/>
              </w:rPr>
              <w:t>por</w:t>
            </w:r>
            <w:r>
              <w:rPr>
                <w:spacing w:val="12"/>
                <w:sz w:val="15"/>
              </w:rPr>
              <w:t xml:space="preserve"> </w:t>
            </w:r>
            <w:r>
              <w:rPr>
                <w:sz w:val="15"/>
              </w:rPr>
              <w:t>Serviços</w:t>
            </w:r>
            <w:r>
              <w:rPr>
                <w:spacing w:val="12"/>
                <w:sz w:val="15"/>
              </w:rPr>
              <w:t xml:space="preserve"> </w:t>
            </w:r>
            <w:r>
              <w:rPr>
                <w:spacing w:val="-2"/>
                <w:sz w:val="15"/>
              </w:rPr>
              <w:t>Prestados</w:t>
            </w:r>
          </w:p>
        </w:tc>
        <w:tc>
          <w:tcPr>
            <w:tcW w:w="566" w:type="dxa"/>
          </w:tcPr>
          <w:p w14:paraId="63821B9D" w14:textId="77777777" w:rsidR="002C6574" w:rsidRDefault="00000000">
            <w:pPr>
              <w:pStyle w:val="TableParagraph"/>
              <w:spacing w:line="185" w:lineRule="exact"/>
              <w:ind w:left="101" w:right="5"/>
              <w:jc w:val="center"/>
              <w:rPr>
                <w:sz w:val="15"/>
              </w:rPr>
            </w:pPr>
            <w:r>
              <w:rPr>
                <w:spacing w:val="-5"/>
                <w:w w:val="105"/>
                <w:sz w:val="15"/>
              </w:rPr>
              <w:t>16</w:t>
            </w:r>
          </w:p>
        </w:tc>
        <w:tc>
          <w:tcPr>
            <w:tcW w:w="1493" w:type="dxa"/>
          </w:tcPr>
          <w:p w14:paraId="116A3E0B" w14:textId="77777777" w:rsidR="002C6574" w:rsidRDefault="00000000">
            <w:pPr>
              <w:pStyle w:val="TableParagraph"/>
              <w:spacing w:line="185" w:lineRule="exact"/>
              <w:ind w:right="67"/>
              <w:rPr>
                <w:sz w:val="15"/>
              </w:rPr>
            </w:pPr>
            <w:r>
              <w:rPr>
                <w:spacing w:val="-2"/>
                <w:w w:val="105"/>
                <w:sz w:val="15"/>
              </w:rPr>
              <w:t>19.075</w:t>
            </w:r>
          </w:p>
        </w:tc>
        <w:tc>
          <w:tcPr>
            <w:tcW w:w="144" w:type="dxa"/>
          </w:tcPr>
          <w:p w14:paraId="33DAD49C" w14:textId="77777777" w:rsidR="002C6574" w:rsidRDefault="002C6574">
            <w:pPr>
              <w:pStyle w:val="TableParagraph"/>
              <w:jc w:val="left"/>
              <w:rPr>
                <w:rFonts w:ascii="Times New Roman"/>
                <w:sz w:val="14"/>
              </w:rPr>
            </w:pPr>
          </w:p>
        </w:tc>
        <w:tc>
          <w:tcPr>
            <w:tcW w:w="1493" w:type="dxa"/>
          </w:tcPr>
          <w:p w14:paraId="6D1B2961" w14:textId="77777777" w:rsidR="002C6574" w:rsidRDefault="00000000">
            <w:pPr>
              <w:pStyle w:val="TableParagraph"/>
              <w:spacing w:line="185" w:lineRule="exact"/>
              <w:ind w:right="67"/>
              <w:rPr>
                <w:sz w:val="15"/>
              </w:rPr>
            </w:pPr>
            <w:r>
              <w:rPr>
                <w:spacing w:val="-2"/>
                <w:w w:val="105"/>
                <w:sz w:val="15"/>
              </w:rPr>
              <w:t>20.923</w:t>
            </w:r>
          </w:p>
        </w:tc>
      </w:tr>
      <w:tr w:rsidR="002C6574" w14:paraId="399186EF" w14:textId="77777777">
        <w:trPr>
          <w:trHeight w:val="199"/>
        </w:trPr>
        <w:tc>
          <w:tcPr>
            <w:tcW w:w="3190" w:type="dxa"/>
          </w:tcPr>
          <w:p w14:paraId="568BB390" w14:textId="77777777" w:rsidR="002C6574" w:rsidRDefault="00000000">
            <w:pPr>
              <w:pStyle w:val="TableParagraph"/>
              <w:spacing w:line="179" w:lineRule="exact"/>
              <w:ind w:left="50"/>
              <w:jc w:val="left"/>
              <w:rPr>
                <w:sz w:val="15"/>
              </w:rPr>
            </w:pPr>
            <w:r>
              <w:rPr>
                <w:spacing w:val="-2"/>
                <w:sz w:val="15"/>
              </w:rPr>
              <w:t>Investimentos</w:t>
            </w:r>
          </w:p>
        </w:tc>
        <w:tc>
          <w:tcPr>
            <w:tcW w:w="474" w:type="dxa"/>
          </w:tcPr>
          <w:p w14:paraId="487472FA" w14:textId="77777777" w:rsidR="002C6574" w:rsidRDefault="00000000">
            <w:pPr>
              <w:pStyle w:val="TableParagraph"/>
              <w:spacing w:line="179" w:lineRule="exact"/>
              <w:ind w:right="3"/>
              <w:jc w:val="center"/>
              <w:rPr>
                <w:sz w:val="15"/>
              </w:rPr>
            </w:pPr>
            <w:r>
              <w:rPr>
                <w:spacing w:val="-5"/>
                <w:w w:val="105"/>
                <w:sz w:val="15"/>
              </w:rPr>
              <w:t>12</w:t>
            </w:r>
          </w:p>
        </w:tc>
        <w:tc>
          <w:tcPr>
            <w:tcW w:w="1348" w:type="dxa"/>
          </w:tcPr>
          <w:p w14:paraId="366BCE97" w14:textId="77777777" w:rsidR="002C6574" w:rsidRDefault="00000000">
            <w:pPr>
              <w:pStyle w:val="TableParagraph"/>
              <w:spacing w:line="179" w:lineRule="exact"/>
              <w:ind w:right="64"/>
              <w:rPr>
                <w:sz w:val="15"/>
              </w:rPr>
            </w:pPr>
            <w:r>
              <w:rPr>
                <w:spacing w:val="-2"/>
                <w:w w:val="105"/>
                <w:sz w:val="15"/>
              </w:rPr>
              <w:t>76.332</w:t>
            </w:r>
          </w:p>
        </w:tc>
        <w:tc>
          <w:tcPr>
            <w:tcW w:w="146" w:type="dxa"/>
          </w:tcPr>
          <w:p w14:paraId="60E154AA" w14:textId="77777777" w:rsidR="002C6574" w:rsidRDefault="002C6574">
            <w:pPr>
              <w:pStyle w:val="TableParagraph"/>
              <w:jc w:val="left"/>
              <w:rPr>
                <w:rFonts w:ascii="Times New Roman"/>
                <w:sz w:val="12"/>
              </w:rPr>
            </w:pPr>
          </w:p>
        </w:tc>
        <w:tc>
          <w:tcPr>
            <w:tcW w:w="1348" w:type="dxa"/>
          </w:tcPr>
          <w:p w14:paraId="3F79E77B" w14:textId="77777777" w:rsidR="002C6574" w:rsidRDefault="00000000">
            <w:pPr>
              <w:pStyle w:val="TableParagraph"/>
              <w:spacing w:line="179" w:lineRule="exact"/>
              <w:ind w:right="63"/>
              <w:rPr>
                <w:sz w:val="15"/>
              </w:rPr>
            </w:pPr>
            <w:r>
              <w:rPr>
                <w:spacing w:val="-2"/>
                <w:w w:val="105"/>
                <w:sz w:val="15"/>
              </w:rPr>
              <w:t>80.124</w:t>
            </w:r>
          </w:p>
        </w:tc>
        <w:tc>
          <w:tcPr>
            <w:tcW w:w="4656" w:type="dxa"/>
          </w:tcPr>
          <w:p w14:paraId="42B23ED6" w14:textId="77777777" w:rsidR="002C6574" w:rsidRDefault="00000000">
            <w:pPr>
              <w:pStyle w:val="TableParagraph"/>
              <w:spacing w:line="179" w:lineRule="exact"/>
              <w:ind w:left="218"/>
              <w:jc w:val="left"/>
              <w:rPr>
                <w:sz w:val="15"/>
              </w:rPr>
            </w:pPr>
            <w:r>
              <w:rPr>
                <w:sz w:val="15"/>
              </w:rPr>
              <w:t>Grupamento</w:t>
            </w:r>
            <w:r>
              <w:rPr>
                <w:spacing w:val="-5"/>
                <w:sz w:val="15"/>
              </w:rPr>
              <w:t xml:space="preserve"> </w:t>
            </w:r>
            <w:r>
              <w:rPr>
                <w:sz w:val="15"/>
              </w:rPr>
              <w:t>de</w:t>
            </w:r>
            <w:r>
              <w:rPr>
                <w:spacing w:val="-4"/>
                <w:sz w:val="15"/>
              </w:rPr>
              <w:t xml:space="preserve"> Ações</w:t>
            </w:r>
          </w:p>
        </w:tc>
        <w:tc>
          <w:tcPr>
            <w:tcW w:w="566" w:type="dxa"/>
          </w:tcPr>
          <w:p w14:paraId="4B2179D3" w14:textId="77777777" w:rsidR="002C6574" w:rsidRDefault="00000000">
            <w:pPr>
              <w:pStyle w:val="TableParagraph"/>
              <w:spacing w:line="179" w:lineRule="exact"/>
              <w:ind w:left="101" w:right="5"/>
              <w:jc w:val="center"/>
              <w:rPr>
                <w:sz w:val="15"/>
              </w:rPr>
            </w:pPr>
            <w:r>
              <w:rPr>
                <w:spacing w:val="-5"/>
                <w:w w:val="105"/>
                <w:sz w:val="15"/>
              </w:rPr>
              <w:t>17</w:t>
            </w:r>
          </w:p>
        </w:tc>
        <w:tc>
          <w:tcPr>
            <w:tcW w:w="1493" w:type="dxa"/>
          </w:tcPr>
          <w:p w14:paraId="5E4B6493" w14:textId="77777777" w:rsidR="002C6574" w:rsidRDefault="00000000">
            <w:pPr>
              <w:pStyle w:val="TableParagraph"/>
              <w:spacing w:line="179" w:lineRule="exact"/>
              <w:ind w:right="67"/>
              <w:rPr>
                <w:sz w:val="15"/>
              </w:rPr>
            </w:pPr>
            <w:r>
              <w:rPr>
                <w:spacing w:val="-5"/>
                <w:w w:val="105"/>
                <w:sz w:val="15"/>
              </w:rPr>
              <w:t>680</w:t>
            </w:r>
          </w:p>
        </w:tc>
        <w:tc>
          <w:tcPr>
            <w:tcW w:w="144" w:type="dxa"/>
          </w:tcPr>
          <w:p w14:paraId="0D5E3BD7" w14:textId="77777777" w:rsidR="002C6574" w:rsidRDefault="002C6574">
            <w:pPr>
              <w:pStyle w:val="TableParagraph"/>
              <w:jc w:val="left"/>
              <w:rPr>
                <w:rFonts w:ascii="Times New Roman"/>
                <w:sz w:val="12"/>
              </w:rPr>
            </w:pPr>
          </w:p>
        </w:tc>
        <w:tc>
          <w:tcPr>
            <w:tcW w:w="1493" w:type="dxa"/>
          </w:tcPr>
          <w:p w14:paraId="732A51D0" w14:textId="77777777" w:rsidR="002C6574" w:rsidRDefault="00000000">
            <w:pPr>
              <w:pStyle w:val="TableParagraph"/>
              <w:spacing w:line="179" w:lineRule="exact"/>
              <w:ind w:right="68"/>
              <w:rPr>
                <w:sz w:val="15"/>
              </w:rPr>
            </w:pPr>
            <w:r>
              <w:rPr>
                <w:spacing w:val="-5"/>
                <w:w w:val="105"/>
                <w:sz w:val="15"/>
              </w:rPr>
              <w:t>680</w:t>
            </w:r>
          </w:p>
        </w:tc>
      </w:tr>
      <w:tr w:rsidR="002C6574" w14:paraId="6A6D6EED" w14:textId="77777777">
        <w:trPr>
          <w:trHeight w:val="196"/>
        </w:trPr>
        <w:tc>
          <w:tcPr>
            <w:tcW w:w="3190" w:type="dxa"/>
          </w:tcPr>
          <w:p w14:paraId="1EF247BB" w14:textId="77777777" w:rsidR="002C6574" w:rsidRDefault="00000000">
            <w:pPr>
              <w:pStyle w:val="TableParagraph"/>
              <w:spacing w:line="177" w:lineRule="exact"/>
              <w:ind w:left="50"/>
              <w:jc w:val="left"/>
              <w:rPr>
                <w:sz w:val="15"/>
              </w:rPr>
            </w:pPr>
            <w:r>
              <w:rPr>
                <w:spacing w:val="-2"/>
                <w:sz w:val="15"/>
              </w:rPr>
              <w:t>Imobilizado</w:t>
            </w:r>
          </w:p>
        </w:tc>
        <w:tc>
          <w:tcPr>
            <w:tcW w:w="474" w:type="dxa"/>
          </w:tcPr>
          <w:p w14:paraId="4FB6A0A8" w14:textId="77777777" w:rsidR="002C6574" w:rsidRDefault="00000000">
            <w:pPr>
              <w:pStyle w:val="TableParagraph"/>
              <w:spacing w:line="177" w:lineRule="exact"/>
              <w:ind w:right="3"/>
              <w:jc w:val="center"/>
              <w:rPr>
                <w:sz w:val="15"/>
              </w:rPr>
            </w:pPr>
            <w:r>
              <w:rPr>
                <w:spacing w:val="-5"/>
                <w:w w:val="105"/>
                <w:sz w:val="15"/>
              </w:rPr>
              <w:t>13</w:t>
            </w:r>
          </w:p>
        </w:tc>
        <w:tc>
          <w:tcPr>
            <w:tcW w:w="1348" w:type="dxa"/>
          </w:tcPr>
          <w:p w14:paraId="2C3E3110" w14:textId="77777777" w:rsidR="002C6574" w:rsidRDefault="00000000">
            <w:pPr>
              <w:pStyle w:val="TableParagraph"/>
              <w:spacing w:line="177" w:lineRule="exact"/>
              <w:ind w:right="64"/>
              <w:rPr>
                <w:sz w:val="15"/>
              </w:rPr>
            </w:pPr>
            <w:r>
              <w:rPr>
                <w:spacing w:val="-2"/>
                <w:w w:val="110"/>
                <w:sz w:val="15"/>
              </w:rPr>
              <w:t>1.697.499</w:t>
            </w:r>
          </w:p>
        </w:tc>
        <w:tc>
          <w:tcPr>
            <w:tcW w:w="146" w:type="dxa"/>
          </w:tcPr>
          <w:p w14:paraId="68ECF918" w14:textId="77777777" w:rsidR="002C6574" w:rsidRDefault="002C6574">
            <w:pPr>
              <w:pStyle w:val="TableParagraph"/>
              <w:jc w:val="left"/>
              <w:rPr>
                <w:rFonts w:ascii="Times New Roman"/>
                <w:sz w:val="12"/>
              </w:rPr>
            </w:pPr>
          </w:p>
        </w:tc>
        <w:tc>
          <w:tcPr>
            <w:tcW w:w="1348" w:type="dxa"/>
          </w:tcPr>
          <w:p w14:paraId="661CF618" w14:textId="77777777" w:rsidR="002C6574" w:rsidRDefault="00000000">
            <w:pPr>
              <w:pStyle w:val="TableParagraph"/>
              <w:spacing w:line="177" w:lineRule="exact"/>
              <w:ind w:right="62"/>
              <w:rPr>
                <w:sz w:val="15"/>
              </w:rPr>
            </w:pPr>
            <w:r>
              <w:rPr>
                <w:spacing w:val="-2"/>
                <w:w w:val="110"/>
                <w:sz w:val="15"/>
              </w:rPr>
              <w:t>1.909.708</w:t>
            </w:r>
          </w:p>
        </w:tc>
        <w:tc>
          <w:tcPr>
            <w:tcW w:w="4656" w:type="dxa"/>
          </w:tcPr>
          <w:p w14:paraId="0019D189" w14:textId="77777777" w:rsidR="002C6574" w:rsidRDefault="00000000">
            <w:pPr>
              <w:pStyle w:val="TableParagraph"/>
              <w:spacing w:line="177" w:lineRule="exact"/>
              <w:ind w:left="218"/>
              <w:jc w:val="left"/>
              <w:rPr>
                <w:sz w:val="15"/>
              </w:rPr>
            </w:pPr>
            <w:r>
              <w:rPr>
                <w:w w:val="105"/>
                <w:sz w:val="15"/>
              </w:rPr>
              <w:t>Receitas</w:t>
            </w:r>
            <w:r>
              <w:rPr>
                <w:spacing w:val="6"/>
                <w:w w:val="105"/>
                <w:sz w:val="15"/>
              </w:rPr>
              <w:t xml:space="preserve"> </w:t>
            </w:r>
            <w:r>
              <w:rPr>
                <w:spacing w:val="-2"/>
                <w:w w:val="105"/>
                <w:sz w:val="15"/>
              </w:rPr>
              <w:t>Diferidas</w:t>
            </w:r>
          </w:p>
        </w:tc>
        <w:tc>
          <w:tcPr>
            <w:tcW w:w="566" w:type="dxa"/>
          </w:tcPr>
          <w:p w14:paraId="79882DF0" w14:textId="77777777" w:rsidR="002C6574" w:rsidRDefault="00000000">
            <w:pPr>
              <w:pStyle w:val="TableParagraph"/>
              <w:spacing w:line="177" w:lineRule="exact"/>
              <w:ind w:left="101" w:right="6"/>
              <w:jc w:val="center"/>
              <w:rPr>
                <w:sz w:val="15"/>
              </w:rPr>
            </w:pPr>
            <w:r>
              <w:rPr>
                <w:spacing w:val="-5"/>
                <w:w w:val="105"/>
                <w:sz w:val="15"/>
              </w:rPr>
              <w:t>25</w:t>
            </w:r>
          </w:p>
        </w:tc>
        <w:tc>
          <w:tcPr>
            <w:tcW w:w="1493" w:type="dxa"/>
          </w:tcPr>
          <w:p w14:paraId="785740BA" w14:textId="77777777" w:rsidR="002C6574" w:rsidRDefault="00000000">
            <w:pPr>
              <w:pStyle w:val="TableParagraph"/>
              <w:spacing w:line="177" w:lineRule="exact"/>
              <w:ind w:right="65"/>
              <w:rPr>
                <w:sz w:val="15"/>
              </w:rPr>
            </w:pPr>
            <w:r>
              <w:rPr>
                <w:spacing w:val="-2"/>
                <w:w w:val="105"/>
                <w:sz w:val="15"/>
              </w:rPr>
              <w:t>241.351</w:t>
            </w:r>
          </w:p>
        </w:tc>
        <w:tc>
          <w:tcPr>
            <w:tcW w:w="144" w:type="dxa"/>
          </w:tcPr>
          <w:p w14:paraId="465B26D1" w14:textId="77777777" w:rsidR="002C6574" w:rsidRDefault="002C6574">
            <w:pPr>
              <w:pStyle w:val="TableParagraph"/>
              <w:jc w:val="left"/>
              <w:rPr>
                <w:rFonts w:ascii="Times New Roman"/>
                <w:sz w:val="12"/>
              </w:rPr>
            </w:pPr>
          </w:p>
        </w:tc>
        <w:tc>
          <w:tcPr>
            <w:tcW w:w="1493" w:type="dxa"/>
          </w:tcPr>
          <w:p w14:paraId="31ECF485" w14:textId="77777777" w:rsidR="002C6574" w:rsidRDefault="00000000">
            <w:pPr>
              <w:pStyle w:val="TableParagraph"/>
              <w:spacing w:line="177" w:lineRule="exact"/>
              <w:ind w:right="65"/>
              <w:rPr>
                <w:sz w:val="15"/>
              </w:rPr>
            </w:pPr>
            <w:r>
              <w:rPr>
                <w:spacing w:val="-2"/>
                <w:w w:val="105"/>
                <w:sz w:val="15"/>
              </w:rPr>
              <w:t>273.605</w:t>
            </w:r>
          </w:p>
        </w:tc>
      </w:tr>
      <w:tr w:rsidR="002C6574" w14:paraId="3D324D44" w14:textId="77777777">
        <w:trPr>
          <w:trHeight w:val="190"/>
        </w:trPr>
        <w:tc>
          <w:tcPr>
            <w:tcW w:w="3190" w:type="dxa"/>
          </w:tcPr>
          <w:p w14:paraId="0345676C" w14:textId="77777777" w:rsidR="002C6574" w:rsidRDefault="00000000">
            <w:pPr>
              <w:pStyle w:val="TableParagraph"/>
              <w:spacing w:line="170" w:lineRule="exact"/>
              <w:ind w:left="50"/>
              <w:jc w:val="left"/>
              <w:rPr>
                <w:sz w:val="15"/>
              </w:rPr>
            </w:pPr>
            <w:r>
              <w:rPr>
                <w:spacing w:val="-2"/>
                <w:sz w:val="15"/>
              </w:rPr>
              <w:t>Intangível</w:t>
            </w:r>
          </w:p>
        </w:tc>
        <w:tc>
          <w:tcPr>
            <w:tcW w:w="474" w:type="dxa"/>
          </w:tcPr>
          <w:p w14:paraId="189D4E3D" w14:textId="77777777" w:rsidR="002C6574" w:rsidRDefault="00000000">
            <w:pPr>
              <w:pStyle w:val="TableParagraph"/>
              <w:spacing w:line="170" w:lineRule="exact"/>
              <w:ind w:left="1" w:right="3"/>
              <w:jc w:val="center"/>
              <w:rPr>
                <w:sz w:val="15"/>
              </w:rPr>
            </w:pPr>
            <w:r>
              <w:rPr>
                <w:spacing w:val="-5"/>
                <w:w w:val="105"/>
                <w:sz w:val="15"/>
              </w:rPr>
              <w:t>14</w:t>
            </w:r>
          </w:p>
        </w:tc>
        <w:tc>
          <w:tcPr>
            <w:tcW w:w="1348" w:type="dxa"/>
            <w:tcBorders>
              <w:bottom w:val="single" w:sz="4" w:space="0" w:color="000000"/>
            </w:tcBorders>
          </w:tcPr>
          <w:p w14:paraId="65CF2FE2" w14:textId="77777777" w:rsidR="002C6574" w:rsidRDefault="00000000">
            <w:pPr>
              <w:pStyle w:val="TableParagraph"/>
              <w:spacing w:line="170" w:lineRule="exact"/>
              <w:ind w:right="64"/>
              <w:rPr>
                <w:sz w:val="15"/>
              </w:rPr>
            </w:pPr>
            <w:r>
              <w:rPr>
                <w:spacing w:val="-2"/>
                <w:w w:val="105"/>
                <w:sz w:val="15"/>
              </w:rPr>
              <w:t>26.581</w:t>
            </w:r>
          </w:p>
        </w:tc>
        <w:tc>
          <w:tcPr>
            <w:tcW w:w="146" w:type="dxa"/>
          </w:tcPr>
          <w:p w14:paraId="586CEB02" w14:textId="77777777" w:rsidR="002C6574" w:rsidRDefault="002C6574">
            <w:pPr>
              <w:pStyle w:val="TableParagraph"/>
              <w:jc w:val="left"/>
              <w:rPr>
                <w:rFonts w:ascii="Times New Roman"/>
                <w:sz w:val="12"/>
              </w:rPr>
            </w:pPr>
          </w:p>
        </w:tc>
        <w:tc>
          <w:tcPr>
            <w:tcW w:w="1348" w:type="dxa"/>
            <w:tcBorders>
              <w:bottom w:val="single" w:sz="4" w:space="0" w:color="000000"/>
            </w:tcBorders>
          </w:tcPr>
          <w:p w14:paraId="658099DF" w14:textId="77777777" w:rsidR="002C6574" w:rsidRDefault="00000000">
            <w:pPr>
              <w:pStyle w:val="TableParagraph"/>
              <w:spacing w:line="170" w:lineRule="exact"/>
              <w:ind w:right="63"/>
              <w:rPr>
                <w:sz w:val="15"/>
              </w:rPr>
            </w:pPr>
            <w:r>
              <w:rPr>
                <w:spacing w:val="-2"/>
                <w:w w:val="105"/>
                <w:sz w:val="15"/>
              </w:rPr>
              <w:t>19.403</w:t>
            </w:r>
          </w:p>
        </w:tc>
        <w:tc>
          <w:tcPr>
            <w:tcW w:w="4656" w:type="dxa"/>
          </w:tcPr>
          <w:p w14:paraId="119BDA4E" w14:textId="77777777" w:rsidR="002C6574" w:rsidRDefault="00000000">
            <w:pPr>
              <w:pStyle w:val="TableParagraph"/>
              <w:spacing w:line="170" w:lineRule="exact"/>
              <w:ind w:left="218"/>
              <w:jc w:val="left"/>
              <w:rPr>
                <w:sz w:val="15"/>
              </w:rPr>
            </w:pPr>
            <w:r>
              <w:rPr>
                <w:w w:val="105"/>
                <w:sz w:val="15"/>
              </w:rPr>
              <w:t>Recursos</w:t>
            </w:r>
            <w:r>
              <w:rPr>
                <w:spacing w:val="9"/>
                <w:w w:val="105"/>
                <w:sz w:val="15"/>
              </w:rPr>
              <w:t xml:space="preserve"> </w:t>
            </w:r>
            <w:r>
              <w:rPr>
                <w:spacing w:val="-2"/>
                <w:w w:val="105"/>
                <w:sz w:val="15"/>
              </w:rPr>
              <w:t>Capitalizáveis</w:t>
            </w:r>
          </w:p>
        </w:tc>
        <w:tc>
          <w:tcPr>
            <w:tcW w:w="566" w:type="dxa"/>
          </w:tcPr>
          <w:p w14:paraId="23129118" w14:textId="77777777" w:rsidR="002C6574" w:rsidRDefault="00000000">
            <w:pPr>
              <w:pStyle w:val="TableParagraph"/>
              <w:spacing w:line="170" w:lineRule="exact"/>
              <w:ind w:left="101" w:right="6"/>
              <w:jc w:val="center"/>
              <w:rPr>
                <w:sz w:val="15"/>
              </w:rPr>
            </w:pPr>
            <w:r>
              <w:rPr>
                <w:spacing w:val="-5"/>
                <w:w w:val="105"/>
                <w:sz w:val="15"/>
              </w:rPr>
              <w:t>23</w:t>
            </w:r>
          </w:p>
        </w:tc>
        <w:tc>
          <w:tcPr>
            <w:tcW w:w="1493" w:type="dxa"/>
            <w:tcBorders>
              <w:bottom w:val="single" w:sz="4" w:space="0" w:color="000000"/>
            </w:tcBorders>
          </w:tcPr>
          <w:p w14:paraId="1A550662" w14:textId="77777777" w:rsidR="002C6574" w:rsidRDefault="00000000">
            <w:pPr>
              <w:pStyle w:val="TableParagraph"/>
              <w:spacing w:line="170" w:lineRule="exact"/>
              <w:ind w:right="65"/>
              <w:rPr>
                <w:sz w:val="15"/>
              </w:rPr>
            </w:pPr>
            <w:r>
              <w:rPr>
                <w:spacing w:val="-2"/>
                <w:w w:val="110"/>
                <w:sz w:val="15"/>
              </w:rPr>
              <w:t>1.951.045</w:t>
            </w:r>
          </w:p>
        </w:tc>
        <w:tc>
          <w:tcPr>
            <w:tcW w:w="144" w:type="dxa"/>
          </w:tcPr>
          <w:p w14:paraId="4AE2AE13" w14:textId="77777777" w:rsidR="002C6574" w:rsidRDefault="002C6574">
            <w:pPr>
              <w:pStyle w:val="TableParagraph"/>
              <w:jc w:val="left"/>
              <w:rPr>
                <w:rFonts w:ascii="Times New Roman"/>
                <w:sz w:val="12"/>
              </w:rPr>
            </w:pPr>
          </w:p>
        </w:tc>
        <w:tc>
          <w:tcPr>
            <w:tcW w:w="1493" w:type="dxa"/>
            <w:tcBorders>
              <w:bottom w:val="single" w:sz="4" w:space="0" w:color="000000"/>
            </w:tcBorders>
          </w:tcPr>
          <w:p w14:paraId="753CEBE3" w14:textId="77777777" w:rsidR="002C6574" w:rsidRDefault="00000000">
            <w:pPr>
              <w:pStyle w:val="TableParagraph"/>
              <w:spacing w:line="170" w:lineRule="exact"/>
              <w:ind w:right="65"/>
              <w:rPr>
                <w:sz w:val="15"/>
              </w:rPr>
            </w:pPr>
            <w:r>
              <w:rPr>
                <w:spacing w:val="-2"/>
                <w:w w:val="110"/>
                <w:sz w:val="15"/>
              </w:rPr>
              <w:t>1.831.921</w:t>
            </w:r>
          </w:p>
        </w:tc>
      </w:tr>
      <w:tr w:rsidR="002C6574" w14:paraId="20619905" w14:textId="77777777">
        <w:trPr>
          <w:trHeight w:val="196"/>
        </w:trPr>
        <w:tc>
          <w:tcPr>
            <w:tcW w:w="3190" w:type="dxa"/>
          </w:tcPr>
          <w:p w14:paraId="4DCAEF76" w14:textId="77777777" w:rsidR="002C6574" w:rsidRDefault="00000000">
            <w:pPr>
              <w:pStyle w:val="TableParagraph"/>
              <w:spacing w:before="12" w:line="164" w:lineRule="exact"/>
              <w:ind w:left="50"/>
              <w:jc w:val="left"/>
              <w:rPr>
                <w:rFonts w:ascii="Arial" w:hAnsi="Arial"/>
                <w:b/>
                <w:sz w:val="15"/>
              </w:rPr>
            </w:pPr>
            <w:r>
              <w:rPr>
                <w:rFonts w:ascii="Arial" w:hAnsi="Arial"/>
                <w:b/>
                <w:sz w:val="15"/>
              </w:rPr>
              <w:t>Total</w:t>
            </w:r>
            <w:r>
              <w:rPr>
                <w:rFonts w:ascii="Arial" w:hAnsi="Arial"/>
                <w:b/>
                <w:spacing w:val="-3"/>
                <w:sz w:val="15"/>
              </w:rPr>
              <w:t xml:space="preserve"> </w:t>
            </w:r>
            <w:r>
              <w:rPr>
                <w:rFonts w:ascii="Arial" w:hAnsi="Arial"/>
                <w:b/>
                <w:sz w:val="15"/>
              </w:rPr>
              <w:t>do</w:t>
            </w:r>
            <w:r>
              <w:rPr>
                <w:rFonts w:ascii="Arial" w:hAnsi="Arial"/>
                <w:b/>
                <w:spacing w:val="-4"/>
                <w:sz w:val="15"/>
              </w:rPr>
              <w:t xml:space="preserve"> </w:t>
            </w:r>
            <w:r>
              <w:rPr>
                <w:rFonts w:ascii="Arial" w:hAnsi="Arial"/>
                <w:b/>
                <w:sz w:val="15"/>
              </w:rPr>
              <w:t>Não</w:t>
            </w:r>
            <w:r>
              <w:rPr>
                <w:rFonts w:ascii="Arial" w:hAnsi="Arial"/>
                <w:b/>
                <w:spacing w:val="-2"/>
                <w:sz w:val="15"/>
              </w:rPr>
              <w:t xml:space="preserve"> Circulante</w:t>
            </w:r>
          </w:p>
        </w:tc>
        <w:tc>
          <w:tcPr>
            <w:tcW w:w="474" w:type="dxa"/>
          </w:tcPr>
          <w:p w14:paraId="7D515FD3" w14:textId="77777777" w:rsidR="002C6574" w:rsidRDefault="002C6574">
            <w:pPr>
              <w:pStyle w:val="TableParagraph"/>
              <w:jc w:val="left"/>
              <w:rPr>
                <w:rFonts w:ascii="Times New Roman"/>
                <w:sz w:val="12"/>
              </w:rPr>
            </w:pPr>
          </w:p>
        </w:tc>
        <w:tc>
          <w:tcPr>
            <w:tcW w:w="1348" w:type="dxa"/>
            <w:tcBorders>
              <w:top w:val="single" w:sz="4" w:space="0" w:color="000000"/>
              <w:bottom w:val="single" w:sz="4" w:space="0" w:color="000000"/>
            </w:tcBorders>
          </w:tcPr>
          <w:p w14:paraId="35D61950" w14:textId="77777777" w:rsidR="002C6574" w:rsidRDefault="00000000">
            <w:pPr>
              <w:pStyle w:val="TableParagraph"/>
              <w:spacing w:before="12" w:line="164" w:lineRule="exact"/>
              <w:ind w:right="64"/>
              <w:rPr>
                <w:rFonts w:ascii="Arial"/>
                <w:b/>
                <w:sz w:val="15"/>
              </w:rPr>
            </w:pPr>
            <w:r>
              <w:rPr>
                <w:rFonts w:ascii="Arial"/>
                <w:b/>
                <w:spacing w:val="-2"/>
                <w:sz w:val="15"/>
              </w:rPr>
              <w:t>2.102.426</w:t>
            </w:r>
          </w:p>
        </w:tc>
        <w:tc>
          <w:tcPr>
            <w:tcW w:w="146" w:type="dxa"/>
          </w:tcPr>
          <w:p w14:paraId="7195EF0C" w14:textId="77777777" w:rsidR="002C6574" w:rsidRDefault="002C6574">
            <w:pPr>
              <w:pStyle w:val="TableParagraph"/>
              <w:jc w:val="left"/>
              <w:rPr>
                <w:rFonts w:ascii="Times New Roman"/>
                <w:sz w:val="12"/>
              </w:rPr>
            </w:pPr>
          </w:p>
        </w:tc>
        <w:tc>
          <w:tcPr>
            <w:tcW w:w="1348" w:type="dxa"/>
            <w:tcBorders>
              <w:top w:val="single" w:sz="4" w:space="0" w:color="000000"/>
              <w:bottom w:val="single" w:sz="4" w:space="0" w:color="000000"/>
            </w:tcBorders>
          </w:tcPr>
          <w:p w14:paraId="20008929" w14:textId="77777777" w:rsidR="002C6574" w:rsidRDefault="00000000">
            <w:pPr>
              <w:pStyle w:val="TableParagraph"/>
              <w:spacing w:before="12" w:line="164" w:lineRule="exact"/>
              <w:ind w:right="62"/>
              <w:rPr>
                <w:rFonts w:ascii="Arial"/>
                <w:b/>
                <w:sz w:val="15"/>
              </w:rPr>
            </w:pPr>
            <w:r>
              <w:rPr>
                <w:rFonts w:ascii="Arial"/>
                <w:b/>
                <w:spacing w:val="-2"/>
                <w:sz w:val="15"/>
              </w:rPr>
              <w:t>2.313.982</w:t>
            </w:r>
          </w:p>
        </w:tc>
        <w:tc>
          <w:tcPr>
            <w:tcW w:w="4656" w:type="dxa"/>
          </w:tcPr>
          <w:p w14:paraId="4F9AAFA7" w14:textId="77777777" w:rsidR="002C6574" w:rsidRDefault="00000000">
            <w:pPr>
              <w:pStyle w:val="TableParagraph"/>
              <w:spacing w:before="12" w:line="164" w:lineRule="exact"/>
              <w:ind w:left="218"/>
              <w:jc w:val="left"/>
              <w:rPr>
                <w:rFonts w:ascii="Arial" w:hAnsi="Arial"/>
                <w:b/>
                <w:sz w:val="15"/>
              </w:rPr>
            </w:pPr>
            <w:r>
              <w:rPr>
                <w:rFonts w:ascii="Arial" w:hAnsi="Arial"/>
                <w:b/>
                <w:sz w:val="15"/>
              </w:rPr>
              <w:t>Total</w:t>
            </w:r>
            <w:r>
              <w:rPr>
                <w:rFonts w:ascii="Arial" w:hAnsi="Arial"/>
                <w:b/>
                <w:spacing w:val="-3"/>
                <w:sz w:val="15"/>
              </w:rPr>
              <w:t xml:space="preserve"> </w:t>
            </w:r>
            <w:r>
              <w:rPr>
                <w:rFonts w:ascii="Arial" w:hAnsi="Arial"/>
                <w:b/>
                <w:sz w:val="15"/>
              </w:rPr>
              <w:t>do</w:t>
            </w:r>
            <w:r>
              <w:rPr>
                <w:rFonts w:ascii="Arial" w:hAnsi="Arial"/>
                <w:b/>
                <w:spacing w:val="-4"/>
                <w:sz w:val="15"/>
              </w:rPr>
              <w:t xml:space="preserve"> </w:t>
            </w:r>
            <w:r>
              <w:rPr>
                <w:rFonts w:ascii="Arial" w:hAnsi="Arial"/>
                <w:b/>
                <w:sz w:val="15"/>
              </w:rPr>
              <w:t>Não</w:t>
            </w:r>
            <w:r>
              <w:rPr>
                <w:rFonts w:ascii="Arial" w:hAnsi="Arial"/>
                <w:b/>
                <w:spacing w:val="-2"/>
                <w:sz w:val="15"/>
              </w:rPr>
              <w:t xml:space="preserve"> Circulante</w:t>
            </w:r>
          </w:p>
        </w:tc>
        <w:tc>
          <w:tcPr>
            <w:tcW w:w="566" w:type="dxa"/>
          </w:tcPr>
          <w:p w14:paraId="7C5177A0" w14:textId="77777777" w:rsidR="002C6574" w:rsidRDefault="002C6574">
            <w:pPr>
              <w:pStyle w:val="TableParagraph"/>
              <w:jc w:val="left"/>
              <w:rPr>
                <w:rFonts w:ascii="Times New Roman"/>
                <w:sz w:val="12"/>
              </w:rPr>
            </w:pPr>
          </w:p>
        </w:tc>
        <w:tc>
          <w:tcPr>
            <w:tcW w:w="1493" w:type="dxa"/>
            <w:tcBorders>
              <w:top w:val="single" w:sz="4" w:space="0" w:color="000000"/>
              <w:bottom w:val="single" w:sz="4" w:space="0" w:color="000000"/>
            </w:tcBorders>
          </w:tcPr>
          <w:p w14:paraId="5C672CC9" w14:textId="77777777" w:rsidR="002C6574" w:rsidRDefault="00000000">
            <w:pPr>
              <w:pStyle w:val="TableParagraph"/>
              <w:spacing w:before="12" w:line="164" w:lineRule="exact"/>
              <w:ind w:right="65"/>
              <w:rPr>
                <w:rFonts w:ascii="Arial"/>
                <w:b/>
                <w:sz w:val="15"/>
              </w:rPr>
            </w:pPr>
            <w:r>
              <w:rPr>
                <w:rFonts w:ascii="Arial"/>
                <w:b/>
                <w:spacing w:val="-2"/>
                <w:sz w:val="15"/>
              </w:rPr>
              <w:t>2.293.240</w:t>
            </w:r>
          </w:p>
        </w:tc>
        <w:tc>
          <w:tcPr>
            <w:tcW w:w="144" w:type="dxa"/>
          </w:tcPr>
          <w:p w14:paraId="7D2DF801" w14:textId="77777777" w:rsidR="002C6574" w:rsidRDefault="002C6574">
            <w:pPr>
              <w:pStyle w:val="TableParagraph"/>
              <w:jc w:val="left"/>
              <w:rPr>
                <w:rFonts w:ascii="Times New Roman"/>
                <w:sz w:val="12"/>
              </w:rPr>
            </w:pPr>
          </w:p>
        </w:tc>
        <w:tc>
          <w:tcPr>
            <w:tcW w:w="1493" w:type="dxa"/>
            <w:tcBorders>
              <w:top w:val="single" w:sz="4" w:space="0" w:color="000000"/>
              <w:bottom w:val="single" w:sz="4" w:space="0" w:color="000000"/>
            </w:tcBorders>
          </w:tcPr>
          <w:p w14:paraId="67902829" w14:textId="77777777" w:rsidR="002C6574" w:rsidRDefault="00000000">
            <w:pPr>
              <w:pStyle w:val="TableParagraph"/>
              <w:spacing w:before="12" w:line="164" w:lineRule="exact"/>
              <w:ind w:right="65"/>
              <w:rPr>
                <w:rFonts w:ascii="Arial"/>
                <w:b/>
                <w:sz w:val="15"/>
              </w:rPr>
            </w:pPr>
            <w:r>
              <w:rPr>
                <w:rFonts w:ascii="Arial"/>
                <w:b/>
                <w:spacing w:val="-2"/>
                <w:sz w:val="15"/>
              </w:rPr>
              <w:t>2.293.396</w:t>
            </w:r>
          </w:p>
        </w:tc>
      </w:tr>
      <w:tr w:rsidR="002C6574" w14:paraId="3B8306F8" w14:textId="77777777">
        <w:trPr>
          <w:trHeight w:val="399"/>
        </w:trPr>
        <w:tc>
          <w:tcPr>
            <w:tcW w:w="3190" w:type="dxa"/>
          </w:tcPr>
          <w:p w14:paraId="5B380C69" w14:textId="77777777" w:rsidR="002C6574" w:rsidRDefault="002C6574">
            <w:pPr>
              <w:pStyle w:val="TableParagraph"/>
              <w:jc w:val="left"/>
              <w:rPr>
                <w:rFonts w:ascii="Times New Roman"/>
                <w:sz w:val="14"/>
              </w:rPr>
            </w:pPr>
          </w:p>
        </w:tc>
        <w:tc>
          <w:tcPr>
            <w:tcW w:w="474" w:type="dxa"/>
          </w:tcPr>
          <w:p w14:paraId="10410FCF" w14:textId="77777777" w:rsidR="002C6574" w:rsidRDefault="002C6574">
            <w:pPr>
              <w:pStyle w:val="TableParagraph"/>
              <w:jc w:val="left"/>
              <w:rPr>
                <w:rFonts w:ascii="Times New Roman"/>
                <w:sz w:val="14"/>
              </w:rPr>
            </w:pPr>
          </w:p>
        </w:tc>
        <w:tc>
          <w:tcPr>
            <w:tcW w:w="1348" w:type="dxa"/>
            <w:tcBorders>
              <w:top w:val="single" w:sz="4" w:space="0" w:color="000000"/>
            </w:tcBorders>
          </w:tcPr>
          <w:p w14:paraId="2B082EC0" w14:textId="77777777" w:rsidR="002C6574" w:rsidRDefault="002C6574">
            <w:pPr>
              <w:pStyle w:val="TableParagraph"/>
              <w:jc w:val="left"/>
              <w:rPr>
                <w:rFonts w:ascii="Times New Roman"/>
                <w:sz w:val="14"/>
              </w:rPr>
            </w:pPr>
          </w:p>
        </w:tc>
        <w:tc>
          <w:tcPr>
            <w:tcW w:w="146" w:type="dxa"/>
          </w:tcPr>
          <w:p w14:paraId="73F63837" w14:textId="77777777" w:rsidR="002C6574" w:rsidRDefault="002C6574">
            <w:pPr>
              <w:pStyle w:val="TableParagraph"/>
              <w:jc w:val="left"/>
              <w:rPr>
                <w:rFonts w:ascii="Times New Roman"/>
                <w:sz w:val="14"/>
              </w:rPr>
            </w:pPr>
          </w:p>
        </w:tc>
        <w:tc>
          <w:tcPr>
            <w:tcW w:w="1348" w:type="dxa"/>
            <w:tcBorders>
              <w:top w:val="single" w:sz="4" w:space="0" w:color="000000"/>
            </w:tcBorders>
          </w:tcPr>
          <w:p w14:paraId="47D78639" w14:textId="77777777" w:rsidR="002C6574" w:rsidRDefault="002C6574">
            <w:pPr>
              <w:pStyle w:val="TableParagraph"/>
              <w:jc w:val="left"/>
              <w:rPr>
                <w:rFonts w:ascii="Times New Roman"/>
                <w:sz w:val="14"/>
              </w:rPr>
            </w:pPr>
          </w:p>
        </w:tc>
        <w:tc>
          <w:tcPr>
            <w:tcW w:w="4656" w:type="dxa"/>
          </w:tcPr>
          <w:p w14:paraId="32451672" w14:textId="77777777" w:rsidR="002C6574" w:rsidRDefault="002C6574">
            <w:pPr>
              <w:pStyle w:val="TableParagraph"/>
              <w:spacing w:before="39"/>
              <w:jc w:val="left"/>
              <w:rPr>
                <w:rFonts w:ascii="Arial"/>
                <w:b/>
                <w:sz w:val="15"/>
              </w:rPr>
            </w:pPr>
          </w:p>
          <w:p w14:paraId="1F7ACFCF" w14:textId="77777777" w:rsidR="002C6574" w:rsidRDefault="00000000">
            <w:pPr>
              <w:pStyle w:val="TableParagraph"/>
              <w:spacing w:line="168" w:lineRule="exact"/>
              <w:ind w:left="218"/>
              <w:jc w:val="left"/>
              <w:rPr>
                <w:rFonts w:ascii="Arial" w:hAnsi="Arial"/>
                <w:b/>
                <w:sz w:val="15"/>
              </w:rPr>
            </w:pPr>
            <w:r>
              <w:rPr>
                <w:rFonts w:ascii="Arial" w:hAnsi="Arial"/>
                <w:b/>
                <w:sz w:val="15"/>
              </w:rPr>
              <w:t>Patrimônio</w:t>
            </w:r>
            <w:r>
              <w:rPr>
                <w:rFonts w:ascii="Arial" w:hAnsi="Arial"/>
                <w:b/>
                <w:spacing w:val="-9"/>
                <w:sz w:val="15"/>
              </w:rPr>
              <w:t xml:space="preserve"> </w:t>
            </w:r>
            <w:r>
              <w:rPr>
                <w:rFonts w:ascii="Arial" w:hAnsi="Arial"/>
                <w:b/>
                <w:spacing w:val="-2"/>
                <w:sz w:val="15"/>
              </w:rPr>
              <w:t>Líquido</w:t>
            </w:r>
          </w:p>
        </w:tc>
        <w:tc>
          <w:tcPr>
            <w:tcW w:w="566" w:type="dxa"/>
          </w:tcPr>
          <w:p w14:paraId="4582FB1C" w14:textId="77777777" w:rsidR="002C6574" w:rsidRDefault="002C6574">
            <w:pPr>
              <w:pStyle w:val="TableParagraph"/>
              <w:spacing w:before="18"/>
              <w:jc w:val="left"/>
              <w:rPr>
                <w:rFonts w:ascii="Arial"/>
                <w:b/>
                <w:sz w:val="15"/>
              </w:rPr>
            </w:pPr>
          </w:p>
          <w:p w14:paraId="4CE842E1" w14:textId="77777777" w:rsidR="002C6574" w:rsidRDefault="00000000">
            <w:pPr>
              <w:pStyle w:val="TableParagraph"/>
              <w:spacing w:line="189" w:lineRule="exact"/>
              <w:ind w:left="101" w:right="5"/>
              <w:jc w:val="center"/>
              <w:rPr>
                <w:sz w:val="15"/>
              </w:rPr>
            </w:pPr>
            <w:r>
              <w:rPr>
                <w:spacing w:val="-5"/>
                <w:w w:val="105"/>
                <w:sz w:val="15"/>
              </w:rPr>
              <w:t>28</w:t>
            </w:r>
          </w:p>
        </w:tc>
        <w:tc>
          <w:tcPr>
            <w:tcW w:w="1493" w:type="dxa"/>
            <w:tcBorders>
              <w:top w:val="single" w:sz="4" w:space="0" w:color="000000"/>
            </w:tcBorders>
          </w:tcPr>
          <w:p w14:paraId="055A8630" w14:textId="77777777" w:rsidR="002C6574" w:rsidRDefault="002C6574">
            <w:pPr>
              <w:pStyle w:val="TableParagraph"/>
              <w:jc w:val="left"/>
              <w:rPr>
                <w:rFonts w:ascii="Times New Roman"/>
                <w:sz w:val="14"/>
              </w:rPr>
            </w:pPr>
          </w:p>
        </w:tc>
        <w:tc>
          <w:tcPr>
            <w:tcW w:w="144" w:type="dxa"/>
          </w:tcPr>
          <w:p w14:paraId="7CDA87BF" w14:textId="77777777" w:rsidR="002C6574" w:rsidRDefault="002C6574">
            <w:pPr>
              <w:pStyle w:val="TableParagraph"/>
              <w:jc w:val="left"/>
              <w:rPr>
                <w:rFonts w:ascii="Times New Roman"/>
                <w:sz w:val="14"/>
              </w:rPr>
            </w:pPr>
          </w:p>
        </w:tc>
        <w:tc>
          <w:tcPr>
            <w:tcW w:w="1493" w:type="dxa"/>
            <w:tcBorders>
              <w:top w:val="single" w:sz="4" w:space="0" w:color="000000"/>
            </w:tcBorders>
          </w:tcPr>
          <w:p w14:paraId="66969FF2" w14:textId="77777777" w:rsidR="002C6574" w:rsidRDefault="002C6574">
            <w:pPr>
              <w:pStyle w:val="TableParagraph"/>
              <w:jc w:val="left"/>
              <w:rPr>
                <w:rFonts w:ascii="Times New Roman"/>
                <w:sz w:val="14"/>
              </w:rPr>
            </w:pPr>
          </w:p>
        </w:tc>
      </w:tr>
      <w:tr w:rsidR="002C6574" w14:paraId="3DE77BF1" w14:textId="77777777">
        <w:trPr>
          <w:trHeight w:val="198"/>
        </w:trPr>
        <w:tc>
          <w:tcPr>
            <w:tcW w:w="3190" w:type="dxa"/>
          </w:tcPr>
          <w:p w14:paraId="2CAF1BD5" w14:textId="77777777" w:rsidR="002C6574" w:rsidRDefault="002C6574">
            <w:pPr>
              <w:pStyle w:val="TableParagraph"/>
              <w:jc w:val="left"/>
              <w:rPr>
                <w:rFonts w:ascii="Times New Roman"/>
                <w:sz w:val="12"/>
              </w:rPr>
            </w:pPr>
          </w:p>
        </w:tc>
        <w:tc>
          <w:tcPr>
            <w:tcW w:w="474" w:type="dxa"/>
          </w:tcPr>
          <w:p w14:paraId="54CB75A5" w14:textId="77777777" w:rsidR="002C6574" w:rsidRDefault="002C6574">
            <w:pPr>
              <w:pStyle w:val="TableParagraph"/>
              <w:jc w:val="left"/>
              <w:rPr>
                <w:rFonts w:ascii="Times New Roman"/>
                <w:sz w:val="12"/>
              </w:rPr>
            </w:pPr>
          </w:p>
        </w:tc>
        <w:tc>
          <w:tcPr>
            <w:tcW w:w="1348" w:type="dxa"/>
          </w:tcPr>
          <w:p w14:paraId="1C6D2EC8" w14:textId="77777777" w:rsidR="002C6574" w:rsidRDefault="002C6574">
            <w:pPr>
              <w:pStyle w:val="TableParagraph"/>
              <w:jc w:val="left"/>
              <w:rPr>
                <w:rFonts w:ascii="Times New Roman"/>
                <w:sz w:val="12"/>
              </w:rPr>
            </w:pPr>
          </w:p>
        </w:tc>
        <w:tc>
          <w:tcPr>
            <w:tcW w:w="146" w:type="dxa"/>
          </w:tcPr>
          <w:p w14:paraId="23A88174" w14:textId="77777777" w:rsidR="002C6574" w:rsidRDefault="002C6574">
            <w:pPr>
              <w:pStyle w:val="TableParagraph"/>
              <w:jc w:val="left"/>
              <w:rPr>
                <w:rFonts w:ascii="Times New Roman"/>
                <w:sz w:val="12"/>
              </w:rPr>
            </w:pPr>
          </w:p>
        </w:tc>
        <w:tc>
          <w:tcPr>
            <w:tcW w:w="1348" w:type="dxa"/>
          </w:tcPr>
          <w:p w14:paraId="127B0DF8" w14:textId="77777777" w:rsidR="002C6574" w:rsidRDefault="002C6574">
            <w:pPr>
              <w:pStyle w:val="TableParagraph"/>
              <w:jc w:val="left"/>
              <w:rPr>
                <w:rFonts w:ascii="Times New Roman"/>
                <w:sz w:val="12"/>
              </w:rPr>
            </w:pPr>
          </w:p>
        </w:tc>
        <w:tc>
          <w:tcPr>
            <w:tcW w:w="4656" w:type="dxa"/>
          </w:tcPr>
          <w:p w14:paraId="15D399DF" w14:textId="77777777" w:rsidR="002C6574" w:rsidRDefault="00000000">
            <w:pPr>
              <w:pStyle w:val="TableParagraph"/>
              <w:spacing w:line="178" w:lineRule="exact"/>
              <w:ind w:left="218"/>
              <w:jc w:val="left"/>
              <w:rPr>
                <w:sz w:val="15"/>
              </w:rPr>
            </w:pPr>
            <w:r>
              <w:rPr>
                <w:sz w:val="15"/>
              </w:rPr>
              <w:t>Capital</w:t>
            </w:r>
            <w:r>
              <w:rPr>
                <w:spacing w:val="9"/>
                <w:sz w:val="15"/>
              </w:rPr>
              <w:t xml:space="preserve"> </w:t>
            </w:r>
            <w:r>
              <w:rPr>
                <w:spacing w:val="-2"/>
                <w:sz w:val="15"/>
              </w:rPr>
              <w:t>Social</w:t>
            </w:r>
          </w:p>
        </w:tc>
        <w:tc>
          <w:tcPr>
            <w:tcW w:w="566" w:type="dxa"/>
          </w:tcPr>
          <w:p w14:paraId="71C2AB05" w14:textId="77777777" w:rsidR="002C6574" w:rsidRDefault="002C6574">
            <w:pPr>
              <w:pStyle w:val="TableParagraph"/>
              <w:jc w:val="left"/>
              <w:rPr>
                <w:rFonts w:ascii="Times New Roman"/>
                <w:sz w:val="12"/>
              </w:rPr>
            </w:pPr>
          </w:p>
        </w:tc>
        <w:tc>
          <w:tcPr>
            <w:tcW w:w="1493" w:type="dxa"/>
          </w:tcPr>
          <w:p w14:paraId="5427C2B2" w14:textId="77777777" w:rsidR="002C6574" w:rsidRDefault="00000000">
            <w:pPr>
              <w:pStyle w:val="TableParagraph"/>
              <w:spacing w:line="178" w:lineRule="exact"/>
              <w:ind w:right="65"/>
              <w:rPr>
                <w:sz w:val="15"/>
              </w:rPr>
            </w:pPr>
            <w:r>
              <w:rPr>
                <w:spacing w:val="-2"/>
                <w:w w:val="110"/>
                <w:sz w:val="15"/>
              </w:rPr>
              <w:t>3.719.535</w:t>
            </w:r>
          </w:p>
        </w:tc>
        <w:tc>
          <w:tcPr>
            <w:tcW w:w="144" w:type="dxa"/>
          </w:tcPr>
          <w:p w14:paraId="14650574" w14:textId="77777777" w:rsidR="002C6574" w:rsidRDefault="002C6574">
            <w:pPr>
              <w:pStyle w:val="TableParagraph"/>
              <w:jc w:val="left"/>
              <w:rPr>
                <w:rFonts w:ascii="Times New Roman"/>
                <w:sz w:val="12"/>
              </w:rPr>
            </w:pPr>
          </w:p>
        </w:tc>
        <w:tc>
          <w:tcPr>
            <w:tcW w:w="1493" w:type="dxa"/>
          </w:tcPr>
          <w:p w14:paraId="028EDE01" w14:textId="77777777" w:rsidR="002C6574" w:rsidRDefault="00000000">
            <w:pPr>
              <w:pStyle w:val="TableParagraph"/>
              <w:spacing w:line="178" w:lineRule="exact"/>
              <w:ind w:right="65"/>
              <w:rPr>
                <w:sz w:val="15"/>
              </w:rPr>
            </w:pPr>
            <w:r>
              <w:rPr>
                <w:spacing w:val="-2"/>
                <w:w w:val="110"/>
                <w:sz w:val="15"/>
              </w:rPr>
              <w:t>3.474.498</w:t>
            </w:r>
          </w:p>
        </w:tc>
      </w:tr>
      <w:tr w:rsidR="002C6574" w14:paraId="4197CD26" w14:textId="77777777">
        <w:trPr>
          <w:trHeight w:val="198"/>
        </w:trPr>
        <w:tc>
          <w:tcPr>
            <w:tcW w:w="3190" w:type="dxa"/>
          </w:tcPr>
          <w:p w14:paraId="748AB380" w14:textId="77777777" w:rsidR="002C6574" w:rsidRDefault="002C6574">
            <w:pPr>
              <w:pStyle w:val="TableParagraph"/>
              <w:jc w:val="left"/>
              <w:rPr>
                <w:rFonts w:ascii="Times New Roman"/>
                <w:sz w:val="12"/>
              </w:rPr>
            </w:pPr>
          </w:p>
        </w:tc>
        <w:tc>
          <w:tcPr>
            <w:tcW w:w="474" w:type="dxa"/>
          </w:tcPr>
          <w:p w14:paraId="08153C60" w14:textId="77777777" w:rsidR="002C6574" w:rsidRDefault="002C6574">
            <w:pPr>
              <w:pStyle w:val="TableParagraph"/>
              <w:jc w:val="left"/>
              <w:rPr>
                <w:rFonts w:ascii="Times New Roman"/>
                <w:sz w:val="12"/>
              </w:rPr>
            </w:pPr>
          </w:p>
        </w:tc>
        <w:tc>
          <w:tcPr>
            <w:tcW w:w="1348" w:type="dxa"/>
          </w:tcPr>
          <w:p w14:paraId="31B9E08E" w14:textId="77777777" w:rsidR="002C6574" w:rsidRDefault="002C6574">
            <w:pPr>
              <w:pStyle w:val="TableParagraph"/>
              <w:jc w:val="left"/>
              <w:rPr>
                <w:rFonts w:ascii="Times New Roman"/>
                <w:sz w:val="12"/>
              </w:rPr>
            </w:pPr>
          </w:p>
        </w:tc>
        <w:tc>
          <w:tcPr>
            <w:tcW w:w="146" w:type="dxa"/>
          </w:tcPr>
          <w:p w14:paraId="42E86B79" w14:textId="77777777" w:rsidR="002C6574" w:rsidRDefault="002C6574">
            <w:pPr>
              <w:pStyle w:val="TableParagraph"/>
              <w:jc w:val="left"/>
              <w:rPr>
                <w:rFonts w:ascii="Times New Roman"/>
                <w:sz w:val="12"/>
              </w:rPr>
            </w:pPr>
          </w:p>
        </w:tc>
        <w:tc>
          <w:tcPr>
            <w:tcW w:w="1348" w:type="dxa"/>
          </w:tcPr>
          <w:p w14:paraId="696FCA29" w14:textId="77777777" w:rsidR="002C6574" w:rsidRDefault="002C6574">
            <w:pPr>
              <w:pStyle w:val="TableParagraph"/>
              <w:jc w:val="left"/>
              <w:rPr>
                <w:rFonts w:ascii="Times New Roman"/>
                <w:sz w:val="12"/>
              </w:rPr>
            </w:pPr>
          </w:p>
        </w:tc>
        <w:tc>
          <w:tcPr>
            <w:tcW w:w="4656" w:type="dxa"/>
          </w:tcPr>
          <w:p w14:paraId="00AB727F" w14:textId="77777777" w:rsidR="002C6574" w:rsidRDefault="00000000">
            <w:pPr>
              <w:pStyle w:val="TableParagraph"/>
              <w:spacing w:line="178" w:lineRule="exact"/>
              <w:ind w:left="218"/>
              <w:jc w:val="left"/>
              <w:rPr>
                <w:sz w:val="15"/>
              </w:rPr>
            </w:pPr>
            <w:r>
              <w:rPr>
                <w:w w:val="105"/>
                <w:sz w:val="15"/>
              </w:rPr>
              <w:t xml:space="preserve">Prejuízos </w:t>
            </w:r>
            <w:r>
              <w:rPr>
                <w:spacing w:val="-2"/>
                <w:w w:val="105"/>
                <w:sz w:val="15"/>
              </w:rPr>
              <w:t>Acumulados</w:t>
            </w:r>
          </w:p>
        </w:tc>
        <w:tc>
          <w:tcPr>
            <w:tcW w:w="566" w:type="dxa"/>
          </w:tcPr>
          <w:p w14:paraId="4C541F51" w14:textId="77777777" w:rsidR="002C6574" w:rsidRDefault="002C6574">
            <w:pPr>
              <w:pStyle w:val="TableParagraph"/>
              <w:jc w:val="left"/>
              <w:rPr>
                <w:rFonts w:ascii="Times New Roman"/>
                <w:sz w:val="12"/>
              </w:rPr>
            </w:pPr>
          </w:p>
        </w:tc>
        <w:tc>
          <w:tcPr>
            <w:tcW w:w="1493" w:type="dxa"/>
          </w:tcPr>
          <w:p w14:paraId="52425492" w14:textId="77777777" w:rsidR="002C6574" w:rsidRDefault="00000000">
            <w:pPr>
              <w:pStyle w:val="TableParagraph"/>
              <w:spacing w:line="178" w:lineRule="exact"/>
              <w:ind w:right="65"/>
              <w:rPr>
                <w:sz w:val="15"/>
              </w:rPr>
            </w:pPr>
            <w:r>
              <w:rPr>
                <w:spacing w:val="-2"/>
                <w:w w:val="110"/>
                <w:sz w:val="15"/>
              </w:rPr>
              <w:t>(1.999.280)</w:t>
            </w:r>
          </w:p>
        </w:tc>
        <w:tc>
          <w:tcPr>
            <w:tcW w:w="144" w:type="dxa"/>
          </w:tcPr>
          <w:p w14:paraId="55B34ACA" w14:textId="77777777" w:rsidR="002C6574" w:rsidRDefault="002C6574">
            <w:pPr>
              <w:pStyle w:val="TableParagraph"/>
              <w:jc w:val="left"/>
              <w:rPr>
                <w:rFonts w:ascii="Times New Roman"/>
                <w:sz w:val="12"/>
              </w:rPr>
            </w:pPr>
          </w:p>
        </w:tc>
        <w:tc>
          <w:tcPr>
            <w:tcW w:w="1493" w:type="dxa"/>
          </w:tcPr>
          <w:p w14:paraId="5A491AD9" w14:textId="77777777" w:rsidR="002C6574" w:rsidRDefault="00000000">
            <w:pPr>
              <w:pStyle w:val="TableParagraph"/>
              <w:spacing w:line="178" w:lineRule="exact"/>
              <w:ind w:right="65"/>
              <w:rPr>
                <w:sz w:val="15"/>
              </w:rPr>
            </w:pPr>
            <w:r>
              <w:rPr>
                <w:spacing w:val="-2"/>
                <w:w w:val="110"/>
                <w:sz w:val="15"/>
              </w:rPr>
              <w:t>(2.139.784)</w:t>
            </w:r>
          </w:p>
        </w:tc>
      </w:tr>
      <w:tr w:rsidR="002C6574" w14:paraId="05821DE6" w14:textId="77777777">
        <w:trPr>
          <w:trHeight w:val="197"/>
        </w:trPr>
        <w:tc>
          <w:tcPr>
            <w:tcW w:w="3190" w:type="dxa"/>
          </w:tcPr>
          <w:p w14:paraId="77A60E3B" w14:textId="77777777" w:rsidR="002C6574" w:rsidRDefault="002C6574">
            <w:pPr>
              <w:pStyle w:val="TableParagraph"/>
              <w:jc w:val="left"/>
              <w:rPr>
                <w:rFonts w:ascii="Times New Roman"/>
                <w:sz w:val="12"/>
              </w:rPr>
            </w:pPr>
          </w:p>
        </w:tc>
        <w:tc>
          <w:tcPr>
            <w:tcW w:w="474" w:type="dxa"/>
          </w:tcPr>
          <w:p w14:paraId="387CEF0F" w14:textId="77777777" w:rsidR="002C6574" w:rsidRDefault="002C6574">
            <w:pPr>
              <w:pStyle w:val="TableParagraph"/>
              <w:jc w:val="left"/>
              <w:rPr>
                <w:rFonts w:ascii="Times New Roman"/>
                <w:sz w:val="12"/>
              </w:rPr>
            </w:pPr>
          </w:p>
        </w:tc>
        <w:tc>
          <w:tcPr>
            <w:tcW w:w="1348" w:type="dxa"/>
          </w:tcPr>
          <w:p w14:paraId="2BEBF595" w14:textId="77777777" w:rsidR="002C6574" w:rsidRDefault="002C6574">
            <w:pPr>
              <w:pStyle w:val="TableParagraph"/>
              <w:jc w:val="left"/>
              <w:rPr>
                <w:rFonts w:ascii="Times New Roman"/>
                <w:sz w:val="12"/>
              </w:rPr>
            </w:pPr>
          </w:p>
        </w:tc>
        <w:tc>
          <w:tcPr>
            <w:tcW w:w="146" w:type="dxa"/>
          </w:tcPr>
          <w:p w14:paraId="16391485" w14:textId="77777777" w:rsidR="002C6574" w:rsidRDefault="002C6574">
            <w:pPr>
              <w:pStyle w:val="TableParagraph"/>
              <w:jc w:val="left"/>
              <w:rPr>
                <w:rFonts w:ascii="Times New Roman"/>
                <w:sz w:val="12"/>
              </w:rPr>
            </w:pPr>
          </w:p>
        </w:tc>
        <w:tc>
          <w:tcPr>
            <w:tcW w:w="1348" w:type="dxa"/>
          </w:tcPr>
          <w:p w14:paraId="26D4FF6B" w14:textId="77777777" w:rsidR="002C6574" w:rsidRDefault="002C6574">
            <w:pPr>
              <w:pStyle w:val="TableParagraph"/>
              <w:jc w:val="left"/>
              <w:rPr>
                <w:rFonts w:ascii="Times New Roman"/>
                <w:sz w:val="12"/>
              </w:rPr>
            </w:pPr>
          </w:p>
        </w:tc>
        <w:tc>
          <w:tcPr>
            <w:tcW w:w="4656" w:type="dxa"/>
          </w:tcPr>
          <w:p w14:paraId="54578230" w14:textId="77777777" w:rsidR="002C6574" w:rsidRDefault="00000000">
            <w:pPr>
              <w:pStyle w:val="TableParagraph"/>
              <w:spacing w:line="178" w:lineRule="exact"/>
              <w:ind w:left="218"/>
              <w:jc w:val="left"/>
              <w:rPr>
                <w:sz w:val="15"/>
              </w:rPr>
            </w:pPr>
            <w:r>
              <w:rPr>
                <w:sz w:val="15"/>
              </w:rPr>
              <w:t>Ajuste</w:t>
            </w:r>
            <w:r>
              <w:rPr>
                <w:spacing w:val="6"/>
                <w:sz w:val="15"/>
              </w:rPr>
              <w:t xml:space="preserve"> </w:t>
            </w:r>
            <w:r>
              <w:rPr>
                <w:sz w:val="15"/>
              </w:rPr>
              <w:t>de</w:t>
            </w:r>
            <w:r>
              <w:rPr>
                <w:spacing w:val="9"/>
                <w:sz w:val="15"/>
              </w:rPr>
              <w:t xml:space="preserve"> </w:t>
            </w:r>
            <w:r>
              <w:rPr>
                <w:sz w:val="15"/>
              </w:rPr>
              <w:t>Avaliação</w:t>
            </w:r>
            <w:r>
              <w:rPr>
                <w:spacing w:val="9"/>
                <w:sz w:val="15"/>
              </w:rPr>
              <w:t xml:space="preserve"> </w:t>
            </w:r>
            <w:r>
              <w:rPr>
                <w:spacing w:val="-2"/>
                <w:sz w:val="15"/>
              </w:rPr>
              <w:t>Patrimonial</w:t>
            </w:r>
          </w:p>
        </w:tc>
        <w:tc>
          <w:tcPr>
            <w:tcW w:w="566" w:type="dxa"/>
          </w:tcPr>
          <w:p w14:paraId="3C2A4EDE" w14:textId="77777777" w:rsidR="002C6574" w:rsidRDefault="002C6574">
            <w:pPr>
              <w:pStyle w:val="TableParagraph"/>
              <w:jc w:val="left"/>
              <w:rPr>
                <w:rFonts w:ascii="Times New Roman"/>
                <w:sz w:val="12"/>
              </w:rPr>
            </w:pPr>
          </w:p>
        </w:tc>
        <w:tc>
          <w:tcPr>
            <w:tcW w:w="1493" w:type="dxa"/>
          </w:tcPr>
          <w:p w14:paraId="3E2075E9" w14:textId="77777777" w:rsidR="002C6574" w:rsidRDefault="00000000">
            <w:pPr>
              <w:pStyle w:val="TableParagraph"/>
              <w:spacing w:line="178" w:lineRule="exact"/>
              <w:ind w:right="67"/>
              <w:rPr>
                <w:sz w:val="15"/>
              </w:rPr>
            </w:pPr>
            <w:r>
              <w:rPr>
                <w:spacing w:val="-2"/>
                <w:w w:val="105"/>
                <w:sz w:val="15"/>
              </w:rPr>
              <w:t>31.945</w:t>
            </w:r>
          </w:p>
        </w:tc>
        <w:tc>
          <w:tcPr>
            <w:tcW w:w="144" w:type="dxa"/>
          </w:tcPr>
          <w:p w14:paraId="7E584E9F" w14:textId="77777777" w:rsidR="002C6574" w:rsidRDefault="002C6574">
            <w:pPr>
              <w:pStyle w:val="TableParagraph"/>
              <w:jc w:val="left"/>
              <w:rPr>
                <w:rFonts w:ascii="Times New Roman"/>
                <w:sz w:val="12"/>
              </w:rPr>
            </w:pPr>
          </w:p>
        </w:tc>
        <w:tc>
          <w:tcPr>
            <w:tcW w:w="1493" w:type="dxa"/>
          </w:tcPr>
          <w:p w14:paraId="1CCD27F2" w14:textId="77777777" w:rsidR="002C6574" w:rsidRDefault="00000000">
            <w:pPr>
              <w:pStyle w:val="TableParagraph"/>
              <w:spacing w:line="178" w:lineRule="exact"/>
              <w:ind w:right="67"/>
              <w:rPr>
                <w:sz w:val="15"/>
              </w:rPr>
            </w:pPr>
            <w:r>
              <w:rPr>
                <w:spacing w:val="-2"/>
                <w:w w:val="105"/>
                <w:sz w:val="15"/>
              </w:rPr>
              <w:t>35.153</w:t>
            </w:r>
          </w:p>
        </w:tc>
      </w:tr>
      <w:tr w:rsidR="002C6574" w14:paraId="7A811E7E" w14:textId="77777777">
        <w:trPr>
          <w:trHeight w:val="198"/>
        </w:trPr>
        <w:tc>
          <w:tcPr>
            <w:tcW w:w="3190" w:type="dxa"/>
          </w:tcPr>
          <w:p w14:paraId="6BC1AFC2" w14:textId="77777777" w:rsidR="002C6574" w:rsidRDefault="002C6574">
            <w:pPr>
              <w:pStyle w:val="TableParagraph"/>
              <w:jc w:val="left"/>
              <w:rPr>
                <w:rFonts w:ascii="Times New Roman"/>
                <w:sz w:val="12"/>
              </w:rPr>
            </w:pPr>
          </w:p>
        </w:tc>
        <w:tc>
          <w:tcPr>
            <w:tcW w:w="474" w:type="dxa"/>
          </w:tcPr>
          <w:p w14:paraId="00808FF4" w14:textId="77777777" w:rsidR="002C6574" w:rsidRDefault="002C6574">
            <w:pPr>
              <w:pStyle w:val="TableParagraph"/>
              <w:jc w:val="left"/>
              <w:rPr>
                <w:rFonts w:ascii="Times New Roman"/>
                <w:sz w:val="12"/>
              </w:rPr>
            </w:pPr>
          </w:p>
        </w:tc>
        <w:tc>
          <w:tcPr>
            <w:tcW w:w="1348" w:type="dxa"/>
          </w:tcPr>
          <w:p w14:paraId="5F1F3B76" w14:textId="77777777" w:rsidR="002C6574" w:rsidRDefault="002C6574">
            <w:pPr>
              <w:pStyle w:val="TableParagraph"/>
              <w:jc w:val="left"/>
              <w:rPr>
                <w:rFonts w:ascii="Times New Roman"/>
                <w:sz w:val="12"/>
              </w:rPr>
            </w:pPr>
          </w:p>
        </w:tc>
        <w:tc>
          <w:tcPr>
            <w:tcW w:w="146" w:type="dxa"/>
          </w:tcPr>
          <w:p w14:paraId="4C390412" w14:textId="77777777" w:rsidR="002C6574" w:rsidRDefault="002C6574">
            <w:pPr>
              <w:pStyle w:val="TableParagraph"/>
              <w:jc w:val="left"/>
              <w:rPr>
                <w:rFonts w:ascii="Times New Roman"/>
                <w:sz w:val="12"/>
              </w:rPr>
            </w:pPr>
          </w:p>
        </w:tc>
        <w:tc>
          <w:tcPr>
            <w:tcW w:w="1348" w:type="dxa"/>
          </w:tcPr>
          <w:p w14:paraId="425E028D" w14:textId="77777777" w:rsidR="002C6574" w:rsidRDefault="002C6574">
            <w:pPr>
              <w:pStyle w:val="TableParagraph"/>
              <w:jc w:val="left"/>
              <w:rPr>
                <w:rFonts w:ascii="Times New Roman"/>
                <w:sz w:val="12"/>
              </w:rPr>
            </w:pPr>
          </w:p>
        </w:tc>
        <w:tc>
          <w:tcPr>
            <w:tcW w:w="4656" w:type="dxa"/>
          </w:tcPr>
          <w:p w14:paraId="2B94B729" w14:textId="77777777" w:rsidR="002C6574" w:rsidRDefault="00000000">
            <w:pPr>
              <w:pStyle w:val="TableParagraph"/>
              <w:spacing w:line="178" w:lineRule="exact"/>
              <w:ind w:left="218"/>
              <w:jc w:val="left"/>
              <w:rPr>
                <w:sz w:val="15"/>
              </w:rPr>
            </w:pPr>
            <w:r>
              <w:rPr>
                <w:w w:val="105"/>
                <w:sz w:val="15"/>
              </w:rPr>
              <w:t>Ações</w:t>
            </w:r>
            <w:r>
              <w:rPr>
                <w:spacing w:val="-8"/>
                <w:w w:val="105"/>
                <w:sz w:val="15"/>
              </w:rPr>
              <w:t xml:space="preserve"> </w:t>
            </w:r>
            <w:r>
              <w:rPr>
                <w:w w:val="105"/>
                <w:sz w:val="15"/>
              </w:rPr>
              <w:t>em</w:t>
            </w:r>
            <w:r>
              <w:rPr>
                <w:spacing w:val="-10"/>
                <w:w w:val="105"/>
                <w:sz w:val="15"/>
              </w:rPr>
              <w:t xml:space="preserve"> </w:t>
            </w:r>
            <w:r>
              <w:rPr>
                <w:spacing w:val="-2"/>
                <w:w w:val="105"/>
                <w:sz w:val="15"/>
              </w:rPr>
              <w:t>Tesouraria</w:t>
            </w:r>
          </w:p>
        </w:tc>
        <w:tc>
          <w:tcPr>
            <w:tcW w:w="566" w:type="dxa"/>
          </w:tcPr>
          <w:p w14:paraId="034374DE" w14:textId="77777777" w:rsidR="002C6574" w:rsidRDefault="002C6574">
            <w:pPr>
              <w:pStyle w:val="TableParagraph"/>
              <w:jc w:val="left"/>
              <w:rPr>
                <w:rFonts w:ascii="Times New Roman"/>
                <w:sz w:val="12"/>
              </w:rPr>
            </w:pPr>
          </w:p>
        </w:tc>
        <w:tc>
          <w:tcPr>
            <w:tcW w:w="1493" w:type="dxa"/>
          </w:tcPr>
          <w:p w14:paraId="4DE71B60" w14:textId="77777777" w:rsidR="002C6574" w:rsidRDefault="00000000">
            <w:pPr>
              <w:pStyle w:val="TableParagraph"/>
              <w:spacing w:line="178" w:lineRule="exact"/>
              <w:ind w:right="65"/>
              <w:rPr>
                <w:sz w:val="15"/>
              </w:rPr>
            </w:pPr>
            <w:r>
              <w:rPr>
                <w:spacing w:val="-2"/>
                <w:w w:val="105"/>
                <w:sz w:val="15"/>
              </w:rPr>
              <w:t>(111)</w:t>
            </w:r>
          </w:p>
        </w:tc>
        <w:tc>
          <w:tcPr>
            <w:tcW w:w="144" w:type="dxa"/>
          </w:tcPr>
          <w:p w14:paraId="36120A98" w14:textId="77777777" w:rsidR="002C6574" w:rsidRDefault="002C6574">
            <w:pPr>
              <w:pStyle w:val="TableParagraph"/>
              <w:jc w:val="left"/>
              <w:rPr>
                <w:rFonts w:ascii="Times New Roman"/>
                <w:sz w:val="12"/>
              </w:rPr>
            </w:pPr>
          </w:p>
        </w:tc>
        <w:tc>
          <w:tcPr>
            <w:tcW w:w="1493" w:type="dxa"/>
          </w:tcPr>
          <w:p w14:paraId="6D2D3618" w14:textId="77777777" w:rsidR="002C6574" w:rsidRDefault="00000000">
            <w:pPr>
              <w:pStyle w:val="TableParagraph"/>
              <w:spacing w:line="178" w:lineRule="exact"/>
              <w:ind w:right="65"/>
              <w:rPr>
                <w:sz w:val="15"/>
              </w:rPr>
            </w:pPr>
            <w:r>
              <w:rPr>
                <w:spacing w:val="-2"/>
                <w:w w:val="105"/>
                <w:sz w:val="15"/>
              </w:rPr>
              <w:t>(111)</w:t>
            </w:r>
          </w:p>
        </w:tc>
      </w:tr>
      <w:tr w:rsidR="002C6574" w14:paraId="78D25F40" w14:textId="77777777">
        <w:trPr>
          <w:trHeight w:val="195"/>
        </w:trPr>
        <w:tc>
          <w:tcPr>
            <w:tcW w:w="3190" w:type="dxa"/>
          </w:tcPr>
          <w:p w14:paraId="467BB7A4" w14:textId="77777777" w:rsidR="002C6574" w:rsidRDefault="002C6574">
            <w:pPr>
              <w:pStyle w:val="TableParagraph"/>
              <w:jc w:val="left"/>
              <w:rPr>
                <w:rFonts w:ascii="Times New Roman"/>
                <w:sz w:val="12"/>
              </w:rPr>
            </w:pPr>
          </w:p>
        </w:tc>
        <w:tc>
          <w:tcPr>
            <w:tcW w:w="474" w:type="dxa"/>
          </w:tcPr>
          <w:p w14:paraId="1340EFC3" w14:textId="77777777" w:rsidR="002C6574" w:rsidRDefault="002C6574">
            <w:pPr>
              <w:pStyle w:val="TableParagraph"/>
              <w:jc w:val="left"/>
              <w:rPr>
                <w:rFonts w:ascii="Times New Roman"/>
                <w:sz w:val="12"/>
              </w:rPr>
            </w:pPr>
          </w:p>
        </w:tc>
        <w:tc>
          <w:tcPr>
            <w:tcW w:w="1348" w:type="dxa"/>
          </w:tcPr>
          <w:p w14:paraId="3D3AD5DF" w14:textId="77777777" w:rsidR="002C6574" w:rsidRDefault="002C6574">
            <w:pPr>
              <w:pStyle w:val="TableParagraph"/>
              <w:jc w:val="left"/>
              <w:rPr>
                <w:rFonts w:ascii="Times New Roman"/>
                <w:sz w:val="12"/>
              </w:rPr>
            </w:pPr>
          </w:p>
        </w:tc>
        <w:tc>
          <w:tcPr>
            <w:tcW w:w="146" w:type="dxa"/>
          </w:tcPr>
          <w:p w14:paraId="152B912C" w14:textId="77777777" w:rsidR="002C6574" w:rsidRDefault="002C6574">
            <w:pPr>
              <w:pStyle w:val="TableParagraph"/>
              <w:jc w:val="left"/>
              <w:rPr>
                <w:rFonts w:ascii="Times New Roman"/>
                <w:sz w:val="12"/>
              </w:rPr>
            </w:pPr>
          </w:p>
        </w:tc>
        <w:tc>
          <w:tcPr>
            <w:tcW w:w="1348" w:type="dxa"/>
          </w:tcPr>
          <w:p w14:paraId="436D1190" w14:textId="77777777" w:rsidR="002C6574" w:rsidRDefault="002C6574">
            <w:pPr>
              <w:pStyle w:val="TableParagraph"/>
              <w:jc w:val="left"/>
              <w:rPr>
                <w:rFonts w:ascii="Times New Roman"/>
                <w:sz w:val="12"/>
              </w:rPr>
            </w:pPr>
          </w:p>
        </w:tc>
        <w:tc>
          <w:tcPr>
            <w:tcW w:w="4656" w:type="dxa"/>
          </w:tcPr>
          <w:p w14:paraId="4A478D37" w14:textId="77777777" w:rsidR="002C6574" w:rsidRDefault="00000000">
            <w:pPr>
              <w:pStyle w:val="TableParagraph"/>
              <w:spacing w:line="175" w:lineRule="exact"/>
              <w:ind w:left="218"/>
              <w:jc w:val="left"/>
              <w:rPr>
                <w:sz w:val="15"/>
              </w:rPr>
            </w:pPr>
            <w:r>
              <w:rPr>
                <w:w w:val="105"/>
                <w:sz w:val="15"/>
              </w:rPr>
              <w:t>Recursos</w:t>
            </w:r>
            <w:r>
              <w:rPr>
                <w:spacing w:val="9"/>
                <w:w w:val="105"/>
                <w:sz w:val="15"/>
              </w:rPr>
              <w:t xml:space="preserve"> </w:t>
            </w:r>
            <w:r>
              <w:rPr>
                <w:spacing w:val="-2"/>
                <w:w w:val="105"/>
                <w:sz w:val="15"/>
              </w:rPr>
              <w:t>Capitalizáveis</w:t>
            </w:r>
          </w:p>
        </w:tc>
        <w:tc>
          <w:tcPr>
            <w:tcW w:w="566" w:type="dxa"/>
          </w:tcPr>
          <w:p w14:paraId="360150E5" w14:textId="77777777" w:rsidR="002C6574" w:rsidRDefault="002C6574">
            <w:pPr>
              <w:pStyle w:val="TableParagraph"/>
              <w:jc w:val="left"/>
              <w:rPr>
                <w:rFonts w:ascii="Times New Roman"/>
                <w:sz w:val="12"/>
              </w:rPr>
            </w:pPr>
          </w:p>
        </w:tc>
        <w:tc>
          <w:tcPr>
            <w:tcW w:w="1493" w:type="dxa"/>
            <w:tcBorders>
              <w:bottom w:val="single" w:sz="4" w:space="0" w:color="000000"/>
            </w:tcBorders>
          </w:tcPr>
          <w:p w14:paraId="6B8939D4" w14:textId="77777777" w:rsidR="002C6574" w:rsidRDefault="00000000">
            <w:pPr>
              <w:pStyle w:val="TableParagraph"/>
              <w:spacing w:line="175" w:lineRule="exact"/>
              <w:ind w:right="65"/>
              <w:rPr>
                <w:sz w:val="15"/>
              </w:rPr>
            </w:pPr>
            <w:r>
              <w:rPr>
                <w:spacing w:val="-10"/>
                <w:w w:val="95"/>
                <w:sz w:val="15"/>
              </w:rPr>
              <w:t>-</w:t>
            </w:r>
          </w:p>
        </w:tc>
        <w:tc>
          <w:tcPr>
            <w:tcW w:w="144" w:type="dxa"/>
          </w:tcPr>
          <w:p w14:paraId="0A7C75A7" w14:textId="77777777" w:rsidR="002C6574" w:rsidRDefault="002C6574">
            <w:pPr>
              <w:pStyle w:val="TableParagraph"/>
              <w:jc w:val="left"/>
              <w:rPr>
                <w:rFonts w:ascii="Times New Roman"/>
                <w:sz w:val="12"/>
              </w:rPr>
            </w:pPr>
          </w:p>
        </w:tc>
        <w:tc>
          <w:tcPr>
            <w:tcW w:w="1493" w:type="dxa"/>
            <w:tcBorders>
              <w:bottom w:val="single" w:sz="4" w:space="0" w:color="000000"/>
            </w:tcBorders>
          </w:tcPr>
          <w:p w14:paraId="63BA300D" w14:textId="77777777" w:rsidR="002C6574" w:rsidRDefault="00000000">
            <w:pPr>
              <w:pStyle w:val="TableParagraph"/>
              <w:spacing w:line="175" w:lineRule="exact"/>
              <w:ind w:right="65"/>
              <w:rPr>
                <w:sz w:val="15"/>
              </w:rPr>
            </w:pPr>
            <w:r>
              <w:rPr>
                <w:spacing w:val="-2"/>
                <w:w w:val="105"/>
                <w:sz w:val="15"/>
              </w:rPr>
              <w:t>112.256</w:t>
            </w:r>
          </w:p>
        </w:tc>
      </w:tr>
      <w:tr w:rsidR="002C6574" w14:paraId="0148E28A" w14:textId="77777777">
        <w:trPr>
          <w:trHeight w:val="198"/>
        </w:trPr>
        <w:tc>
          <w:tcPr>
            <w:tcW w:w="3190" w:type="dxa"/>
          </w:tcPr>
          <w:p w14:paraId="399D161B" w14:textId="77777777" w:rsidR="002C6574" w:rsidRDefault="002C6574">
            <w:pPr>
              <w:pStyle w:val="TableParagraph"/>
              <w:jc w:val="left"/>
              <w:rPr>
                <w:rFonts w:ascii="Times New Roman"/>
                <w:sz w:val="12"/>
              </w:rPr>
            </w:pPr>
          </w:p>
        </w:tc>
        <w:tc>
          <w:tcPr>
            <w:tcW w:w="474" w:type="dxa"/>
          </w:tcPr>
          <w:p w14:paraId="5A65ED63" w14:textId="77777777" w:rsidR="002C6574" w:rsidRDefault="002C6574">
            <w:pPr>
              <w:pStyle w:val="TableParagraph"/>
              <w:jc w:val="left"/>
              <w:rPr>
                <w:rFonts w:ascii="Times New Roman"/>
                <w:sz w:val="12"/>
              </w:rPr>
            </w:pPr>
          </w:p>
        </w:tc>
        <w:tc>
          <w:tcPr>
            <w:tcW w:w="1348" w:type="dxa"/>
          </w:tcPr>
          <w:p w14:paraId="1350D82B" w14:textId="77777777" w:rsidR="002C6574" w:rsidRDefault="002C6574">
            <w:pPr>
              <w:pStyle w:val="TableParagraph"/>
              <w:jc w:val="left"/>
              <w:rPr>
                <w:rFonts w:ascii="Times New Roman"/>
                <w:sz w:val="12"/>
              </w:rPr>
            </w:pPr>
          </w:p>
        </w:tc>
        <w:tc>
          <w:tcPr>
            <w:tcW w:w="146" w:type="dxa"/>
          </w:tcPr>
          <w:p w14:paraId="1F819E00" w14:textId="77777777" w:rsidR="002C6574" w:rsidRDefault="002C6574">
            <w:pPr>
              <w:pStyle w:val="TableParagraph"/>
              <w:jc w:val="left"/>
              <w:rPr>
                <w:rFonts w:ascii="Times New Roman"/>
                <w:sz w:val="12"/>
              </w:rPr>
            </w:pPr>
          </w:p>
        </w:tc>
        <w:tc>
          <w:tcPr>
            <w:tcW w:w="1348" w:type="dxa"/>
          </w:tcPr>
          <w:p w14:paraId="4A971834" w14:textId="77777777" w:rsidR="002C6574" w:rsidRDefault="002C6574">
            <w:pPr>
              <w:pStyle w:val="TableParagraph"/>
              <w:jc w:val="left"/>
              <w:rPr>
                <w:rFonts w:ascii="Times New Roman"/>
                <w:sz w:val="12"/>
              </w:rPr>
            </w:pPr>
          </w:p>
        </w:tc>
        <w:tc>
          <w:tcPr>
            <w:tcW w:w="4656" w:type="dxa"/>
          </w:tcPr>
          <w:p w14:paraId="21885131" w14:textId="77777777" w:rsidR="002C6574" w:rsidRDefault="00000000">
            <w:pPr>
              <w:pStyle w:val="TableParagraph"/>
              <w:spacing w:before="12" w:line="166" w:lineRule="exact"/>
              <w:ind w:left="218"/>
              <w:jc w:val="left"/>
              <w:rPr>
                <w:rFonts w:ascii="Arial" w:hAnsi="Arial"/>
                <w:b/>
                <w:sz w:val="15"/>
              </w:rPr>
            </w:pPr>
            <w:r>
              <w:rPr>
                <w:rFonts w:ascii="Arial" w:hAnsi="Arial"/>
                <w:b/>
                <w:sz w:val="15"/>
              </w:rPr>
              <w:t>Total</w:t>
            </w:r>
            <w:r>
              <w:rPr>
                <w:rFonts w:ascii="Arial" w:hAnsi="Arial"/>
                <w:b/>
                <w:spacing w:val="-5"/>
                <w:sz w:val="15"/>
              </w:rPr>
              <w:t xml:space="preserve"> </w:t>
            </w:r>
            <w:r>
              <w:rPr>
                <w:rFonts w:ascii="Arial" w:hAnsi="Arial"/>
                <w:b/>
                <w:sz w:val="15"/>
              </w:rPr>
              <w:t>do</w:t>
            </w:r>
            <w:r>
              <w:rPr>
                <w:rFonts w:ascii="Arial" w:hAnsi="Arial"/>
                <w:b/>
                <w:spacing w:val="-6"/>
                <w:sz w:val="15"/>
              </w:rPr>
              <w:t xml:space="preserve"> </w:t>
            </w:r>
            <w:r>
              <w:rPr>
                <w:rFonts w:ascii="Arial" w:hAnsi="Arial"/>
                <w:b/>
                <w:sz w:val="15"/>
              </w:rPr>
              <w:t>Patrimônio</w:t>
            </w:r>
            <w:r>
              <w:rPr>
                <w:rFonts w:ascii="Arial" w:hAnsi="Arial"/>
                <w:b/>
                <w:spacing w:val="-4"/>
                <w:sz w:val="15"/>
              </w:rPr>
              <w:t xml:space="preserve"> </w:t>
            </w:r>
            <w:r>
              <w:rPr>
                <w:rFonts w:ascii="Arial" w:hAnsi="Arial"/>
                <w:b/>
                <w:spacing w:val="-2"/>
                <w:sz w:val="15"/>
              </w:rPr>
              <w:t>Líquido</w:t>
            </w:r>
          </w:p>
        </w:tc>
        <w:tc>
          <w:tcPr>
            <w:tcW w:w="566" w:type="dxa"/>
          </w:tcPr>
          <w:p w14:paraId="059F9787" w14:textId="77777777" w:rsidR="002C6574" w:rsidRDefault="002C6574">
            <w:pPr>
              <w:pStyle w:val="TableParagraph"/>
              <w:jc w:val="left"/>
              <w:rPr>
                <w:rFonts w:ascii="Times New Roman"/>
                <w:sz w:val="12"/>
              </w:rPr>
            </w:pPr>
          </w:p>
        </w:tc>
        <w:tc>
          <w:tcPr>
            <w:tcW w:w="1493" w:type="dxa"/>
            <w:tcBorders>
              <w:top w:val="single" w:sz="4" w:space="0" w:color="000000"/>
              <w:bottom w:val="single" w:sz="4" w:space="0" w:color="000000"/>
            </w:tcBorders>
          </w:tcPr>
          <w:p w14:paraId="5684B789" w14:textId="77777777" w:rsidR="002C6574" w:rsidRDefault="00000000">
            <w:pPr>
              <w:pStyle w:val="TableParagraph"/>
              <w:spacing w:before="12" w:line="166" w:lineRule="exact"/>
              <w:ind w:right="65"/>
              <w:rPr>
                <w:rFonts w:ascii="Arial"/>
                <w:b/>
                <w:sz w:val="15"/>
              </w:rPr>
            </w:pPr>
            <w:r>
              <w:rPr>
                <w:rFonts w:ascii="Arial"/>
                <w:b/>
                <w:spacing w:val="-2"/>
                <w:sz w:val="15"/>
              </w:rPr>
              <w:t>1.752.089</w:t>
            </w:r>
          </w:p>
        </w:tc>
        <w:tc>
          <w:tcPr>
            <w:tcW w:w="144" w:type="dxa"/>
          </w:tcPr>
          <w:p w14:paraId="3C81E407" w14:textId="77777777" w:rsidR="002C6574" w:rsidRDefault="002C6574">
            <w:pPr>
              <w:pStyle w:val="TableParagraph"/>
              <w:jc w:val="left"/>
              <w:rPr>
                <w:rFonts w:ascii="Times New Roman"/>
                <w:sz w:val="12"/>
              </w:rPr>
            </w:pPr>
          </w:p>
        </w:tc>
        <w:tc>
          <w:tcPr>
            <w:tcW w:w="1493" w:type="dxa"/>
            <w:tcBorders>
              <w:top w:val="single" w:sz="4" w:space="0" w:color="000000"/>
              <w:bottom w:val="single" w:sz="4" w:space="0" w:color="000000"/>
            </w:tcBorders>
          </w:tcPr>
          <w:p w14:paraId="5E15B18A" w14:textId="77777777" w:rsidR="002C6574" w:rsidRDefault="00000000">
            <w:pPr>
              <w:pStyle w:val="TableParagraph"/>
              <w:spacing w:before="12" w:line="166" w:lineRule="exact"/>
              <w:ind w:right="65"/>
              <w:rPr>
                <w:rFonts w:ascii="Arial"/>
                <w:b/>
                <w:sz w:val="15"/>
              </w:rPr>
            </w:pPr>
            <w:r>
              <w:rPr>
                <w:rFonts w:ascii="Arial"/>
                <w:b/>
                <w:spacing w:val="-2"/>
                <w:sz w:val="15"/>
              </w:rPr>
              <w:t>1.482.012</w:t>
            </w:r>
          </w:p>
        </w:tc>
      </w:tr>
      <w:tr w:rsidR="002C6574" w14:paraId="0CCF9BD6" w14:textId="77777777">
        <w:trPr>
          <w:trHeight w:val="395"/>
        </w:trPr>
        <w:tc>
          <w:tcPr>
            <w:tcW w:w="3190" w:type="dxa"/>
          </w:tcPr>
          <w:p w14:paraId="64276EB8" w14:textId="77777777" w:rsidR="002C6574" w:rsidRDefault="002C6574">
            <w:pPr>
              <w:pStyle w:val="TableParagraph"/>
              <w:jc w:val="left"/>
              <w:rPr>
                <w:rFonts w:ascii="Times New Roman"/>
                <w:sz w:val="14"/>
              </w:rPr>
            </w:pPr>
          </w:p>
        </w:tc>
        <w:tc>
          <w:tcPr>
            <w:tcW w:w="474" w:type="dxa"/>
          </w:tcPr>
          <w:p w14:paraId="57CF7796" w14:textId="77777777" w:rsidR="002C6574" w:rsidRDefault="002C6574">
            <w:pPr>
              <w:pStyle w:val="TableParagraph"/>
              <w:jc w:val="left"/>
              <w:rPr>
                <w:rFonts w:ascii="Times New Roman"/>
                <w:sz w:val="14"/>
              </w:rPr>
            </w:pPr>
          </w:p>
        </w:tc>
        <w:tc>
          <w:tcPr>
            <w:tcW w:w="1348" w:type="dxa"/>
            <w:tcBorders>
              <w:bottom w:val="single" w:sz="4" w:space="0" w:color="000000"/>
            </w:tcBorders>
          </w:tcPr>
          <w:p w14:paraId="4D2BACA1" w14:textId="77777777" w:rsidR="002C6574" w:rsidRDefault="002C6574">
            <w:pPr>
              <w:pStyle w:val="TableParagraph"/>
              <w:jc w:val="left"/>
              <w:rPr>
                <w:rFonts w:ascii="Times New Roman"/>
                <w:sz w:val="14"/>
              </w:rPr>
            </w:pPr>
          </w:p>
        </w:tc>
        <w:tc>
          <w:tcPr>
            <w:tcW w:w="146" w:type="dxa"/>
          </w:tcPr>
          <w:p w14:paraId="1F8A6EFD" w14:textId="77777777" w:rsidR="002C6574" w:rsidRDefault="002C6574">
            <w:pPr>
              <w:pStyle w:val="TableParagraph"/>
              <w:jc w:val="left"/>
              <w:rPr>
                <w:rFonts w:ascii="Times New Roman"/>
                <w:sz w:val="14"/>
              </w:rPr>
            </w:pPr>
          </w:p>
        </w:tc>
        <w:tc>
          <w:tcPr>
            <w:tcW w:w="1348" w:type="dxa"/>
            <w:tcBorders>
              <w:bottom w:val="single" w:sz="4" w:space="0" w:color="000000"/>
            </w:tcBorders>
          </w:tcPr>
          <w:p w14:paraId="1CD092DD" w14:textId="77777777" w:rsidR="002C6574" w:rsidRDefault="002C6574">
            <w:pPr>
              <w:pStyle w:val="TableParagraph"/>
              <w:jc w:val="left"/>
              <w:rPr>
                <w:rFonts w:ascii="Times New Roman"/>
                <w:sz w:val="14"/>
              </w:rPr>
            </w:pPr>
          </w:p>
        </w:tc>
        <w:tc>
          <w:tcPr>
            <w:tcW w:w="4656" w:type="dxa"/>
          </w:tcPr>
          <w:p w14:paraId="089EEF8C" w14:textId="77777777" w:rsidR="002C6574" w:rsidRDefault="002C6574">
            <w:pPr>
              <w:pStyle w:val="TableParagraph"/>
              <w:jc w:val="left"/>
              <w:rPr>
                <w:rFonts w:ascii="Times New Roman"/>
                <w:sz w:val="14"/>
              </w:rPr>
            </w:pPr>
          </w:p>
        </w:tc>
        <w:tc>
          <w:tcPr>
            <w:tcW w:w="566" w:type="dxa"/>
          </w:tcPr>
          <w:p w14:paraId="5458775E" w14:textId="77777777" w:rsidR="002C6574" w:rsidRDefault="002C6574">
            <w:pPr>
              <w:pStyle w:val="TableParagraph"/>
              <w:jc w:val="left"/>
              <w:rPr>
                <w:rFonts w:ascii="Times New Roman"/>
                <w:sz w:val="14"/>
              </w:rPr>
            </w:pPr>
          </w:p>
        </w:tc>
        <w:tc>
          <w:tcPr>
            <w:tcW w:w="1493" w:type="dxa"/>
            <w:tcBorders>
              <w:top w:val="single" w:sz="4" w:space="0" w:color="000000"/>
              <w:bottom w:val="single" w:sz="4" w:space="0" w:color="000000"/>
            </w:tcBorders>
          </w:tcPr>
          <w:p w14:paraId="60E8431D" w14:textId="77777777" w:rsidR="002C6574" w:rsidRDefault="002C6574">
            <w:pPr>
              <w:pStyle w:val="TableParagraph"/>
              <w:jc w:val="left"/>
              <w:rPr>
                <w:rFonts w:ascii="Times New Roman"/>
                <w:sz w:val="14"/>
              </w:rPr>
            </w:pPr>
          </w:p>
        </w:tc>
        <w:tc>
          <w:tcPr>
            <w:tcW w:w="144" w:type="dxa"/>
          </w:tcPr>
          <w:p w14:paraId="496393F0" w14:textId="77777777" w:rsidR="002C6574" w:rsidRDefault="002C6574">
            <w:pPr>
              <w:pStyle w:val="TableParagraph"/>
              <w:jc w:val="left"/>
              <w:rPr>
                <w:rFonts w:ascii="Times New Roman"/>
                <w:sz w:val="14"/>
              </w:rPr>
            </w:pPr>
          </w:p>
        </w:tc>
        <w:tc>
          <w:tcPr>
            <w:tcW w:w="1493" w:type="dxa"/>
            <w:tcBorders>
              <w:top w:val="single" w:sz="4" w:space="0" w:color="000000"/>
              <w:bottom w:val="single" w:sz="4" w:space="0" w:color="000000"/>
            </w:tcBorders>
          </w:tcPr>
          <w:p w14:paraId="0C2F4751" w14:textId="77777777" w:rsidR="002C6574" w:rsidRDefault="002C6574">
            <w:pPr>
              <w:pStyle w:val="TableParagraph"/>
              <w:jc w:val="left"/>
              <w:rPr>
                <w:rFonts w:ascii="Times New Roman"/>
                <w:sz w:val="14"/>
              </w:rPr>
            </w:pPr>
          </w:p>
        </w:tc>
      </w:tr>
      <w:tr w:rsidR="002C6574" w14:paraId="02E5F40B" w14:textId="77777777">
        <w:trPr>
          <w:trHeight w:val="198"/>
        </w:trPr>
        <w:tc>
          <w:tcPr>
            <w:tcW w:w="3190" w:type="dxa"/>
          </w:tcPr>
          <w:p w14:paraId="139A1711" w14:textId="77777777" w:rsidR="002C6574" w:rsidRDefault="00000000">
            <w:pPr>
              <w:pStyle w:val="TableParagraph"/>
              <w:spacing w:before="12" w:line="165" w:lineRule="exact"/>
              <w:ind w:left="50"/>
              <w:jc w:val="left"/>
              <w:rPr>
                <w:rFonts w:ascii="Arial"/>
                <w:b/>
                <w:sz w:val="15"/>
              </w:rPr>
            </w:pPr>
            <w:r>
              <w:rPr>
                <w:rFonts w:ascii="Arial"/>
                <w:b/>
                <w:sz w:val="15"/>
              </w:rPr>
              <w:t>Total</w:t>
            </w:r>
            <w:r>
              <w:rPr>
                <w:rFonts w:ascii="Arial"/>
                <w:b/>
                <w:spacing w:val="-5"/>
                <w:sz w:val="15"/>
              </w:rPr>
              <w:t xml:space="preserve"> </w:t>
            </w:r>
            <w:r>
              <w:rPr>
                <w:rFonts w:ascii="Arial"/>
                <w:b/>
                <w:sz w:val="15"/>
              </w:rPr>
              <w:t>do</w:t>
            </w:r>
            <w:r>
              <w:rPr>
                <w:rFonts w:ascii="Arial"/>
                <w:b/>
                <w:spacing w:val="-3"/>
                <w:sz w:val="15"/>
              </w:rPr>
              <w:t xml:space="preserve"> </w:t>
            </w:r>
            <w:r>
              <w:rPr>
                <w:rFonts w:ascii="Arial"/>
                <w:b/>
                <w:spacing w:val="-2"/>
                <w:sz w:val="15"/>
              </w:rPr>
              <w:t>Ativo</w:t>
            </w:r>
          </w:p>
        </w:tc>
        <w:tc>
          <w:tcPr>
            <w:tcW w:w="474" w:type="dxa"/>
          </w:tcPr>
          <w:p w14:paraId="1973B51B" w14:textId="77777777" w:rsidR="002C6574" w:rsidRDefault="002C6574">
            <w:pPr>
              <w:pStyle w:val="TableParagraph"/>
              <w:jc w:val="left"/>
              <w:rPr>
                <w:rFonts w:ascii="Times New Roman"/>
                <w:sz w:val="12"/>
              </w:rPr>
            </w:pPr>
          </w:p>
        </w:tc>
        <w:tc>
          <w:tcPr>
            <w:tcW w:w="1348" w:type="dxa"/>
            <w:tcBorders>
              <w:top w:val="single" w:sz="4" w:space="0" w:color="000000"/>
              <w:bottom w:val="double" w:sz="6" w:space="0" w:color="000000"/>
            </w:tcBorders>
          </w:tcPr>
          <w:p w14:paraId="06F77CB1" w14:textId="77777777" w:rsidR="002C6574" w:rsidRDefault="00000000">
            <w:pPr>
              <w:pStyle w:val="TableParagraph"/>
              <w:spacing w:before="12" w:line="165" w:lineRule="exact"/>
              <w:ind w:right="64"/>
              <w:rPr>
                <w:rFonts w:ascii="Arial"/>
                <w:b/>
                <w:sz w:val="15"/>
              </w:rPr>
            </w:pPr>
            <w:r>
              <w:rPr>
                <w:rFonts w:ascii="Arial"/>
                <w:b/>
                <w:spacing w:val="-2"/>
                <w:sz w:val="15"/>
              </w:rPr>
              <w:t>4.412.466</w:t>
            </w:r>
          </w:p>
        </w:tc>
        <w:tc>
          <w:tcPr>
            <w:tcW w:w="146" w:type="dxa"/>
          </w:tcPr>
          <w:p w14:paraId="5F774866" w14:textId="77777777" w:rsidR="002C6574" w:rsidRDefault="002C6574">
            <w:pPr>
              <w:pStyle w:val="TableParagraph"/>
              <w:jc w:val="left"/>
              <w:rPr>
                <w:rFonts w:ascii="Times New Roman"/>
                <w:sz w:val="12"/>
              </w:rPr>
            </w:pPr>
          </w:p>
        </w:tc>
        <w:tc>
          <w:tcPr>
            <w:tcW w:w="1348" w:type="dxa"/>
            <w:tcBorders>
              <w:top w:val="single" w:sz="4" w:space="0" w:color="000000"/>
              <w:bottom w:val="double" w:sz="6" w:space="0" w:color="000000"/>
            </w:tcBorders>
          </w:tcPr>
          <w:p w14:paraId="7E21506F" w14:textId="77777777" w:rsidR="002C6574" w:rsidRDefault="00000000">
            <w:pPr>
              <w:pStyle w:val="TableParagraph"/>
              <w:spacing w:before="12" w:line="165" w:lineRule="exact"/>
              <w:ind w:right="62"/>
              <w:rPr>
                <w:rFonts w:ascii="Arial"/>
                <w:b/>
                <w:sz w:val="15"/>
              </w:rPr>
            </w:pPr>
            <w:r>
              <w:rPr>
                <w:rFonts w:ascii="Arial"/>
                <w:b/>
                <w:spacing w:val="-2"/>
                <w:sz w:val="15"/>
              </w:rPr>
              <w:t>4.089.985</w:t>
            </w:r>
          </w:p>
        </w:tc>
        <w:tc>
          <w:tcPr>
            <w:tcW w:w="4656" w:type="dxa"/>
          </w:tcPr>
          <w:p w14:paraId="5F17BB4B" w14:textId="77777777" w:rsidR="002C6574" w:rsidRDefault="00000000">
            <w:pPr>
              <w:pStyle w:val="TableParagraph"/>
              <w:spacing w:before="12" w:line="165" w:lineRule="exact"/>
              <w:ind w:left="218"/>
              <w:jc w:val="left"/>
              <w:rPr>
                <w:rFonts w:ascii="Arial"/>
                <w:b/>
                <w:sz w:val="15"/>
              </w:rPr>
            </w:pPr>
            <w:r>
              <w:rPr>
                <w:rFonts w:ascii="Arial"/>
                <w:b/>
                <w:sz w:val="15"/>
              </w:rPr>
              <w:t>Total</w:t>
            </w:r>
            <w:r>
              <w:rPr>
                <w:rFonts w:ascii="Arial"/>
                <w:b/>
                <w:spacing w:val="-5"/>
                <w:sz w:val="15"/>
              </w:rPr>
              <w:t xml:space="preserve"> </w:t>
            </w:r>
            <w:r>
              <w:rPr>
                <w:rFonts w:ascii="Arial"/>
                <w:b/>
                <w:sz w:val="15"/>
              </w:rPr>
              <w:t>do</w:t>
            </w:r>
            <w:r>
              <w:rPr>
                <w:rFonts w:ascii="Arial"/>
                <w:b/>
                <w:spacing w:val="-3"/>
                <w:sz w:val="15"/>
              </w:rPr>
              <w:t xml:space="preserve"> </w:t>
            </w:r>
            <w:r>
              <w:rPr>
                <w:rFonts w:ascii="Arial"/>
                <w:b/>
                <w:spacing w:val="-2"/>
                <w:sz w:val="15"/>
              </w:rPr>
              <w:t>Passivo</w:t>
            </w:r>
          </w:p>
        </w:tc>
        <w:tc>
          <w:tcPr>
            <w:tcW w:w="566" w:type="dxa"/>
          </w:tcPr>
          <w:p w14:paraId="2C790796" w14:textId="77777777" w:rsidR="002C6574" w:rsidRDefault="002C6574">
            <w:pPr>
              <w:pStyle w:val="TableParagraph"/>
              <w:jc w:val="left"/>
              <w:rPr>
                <w:rFonts w:ascii="Times New Roman"/>
                <w:sz w:val="12"/>
              </w:rPr>
            </w:pPr>
          </w:p>
        </w:tc>
        <w:tc>
          <w:tcPr>
            <w:tcW w:w="1493" w:type="dxa"/>
            <w:tcBorders>
              <w:top w:val="single" w:sz="4" w:space="0" w:color="000000"/>
              <w:bottom w:val="double" w:sz="6" w:space="0" w:color="000000"/>
            </w:tcBorders>
          </w:tcPr>
          <w:p w14:paraId="3A24C914" w14:textId="77777777" w:rsidR="002C6574" w:rsidRDefault="00000000">
            <w:pPr>
              <w:pStyle w:val="TableParagraph"/>
              <w:spacing w:before="12" w:line="165" w:lineRule="exact"/>
              <w:ind w:right="65"/>
              <w:rPr>
                <w:rFonts w:ascii="Arial"/>
                <w:b/>
                <w:sz w:val="15"/>
              </w:rPr>
            </w:pPr>
            <w:r>
              <w:rPr>
                <w:rFonts w:ascii="Arial"/>
                <w:b/>
                <w:spacing w:val="-2"/>
                <w:sz w:val="15"/>
              </w:rPr>
              <w:t>4.412.466</w:t>
            </w:r>
          </w:p>
        </w:tc>
        <w:tc>
          <w:tcPr>
            <w:tcW w:w="144" w:type="dxa"/>
          </w:tcPr>
          <w:p w14:paraId="3042D7F6" w14:textId="77777777" w:rsidR="002C6574" w:rsidRDefault="002C6574">
            <w:pPr>
              <w:pStyle w:val="TableParagraph"/>
              <w:jc w:val="left"/>
              <w:rPr>
                <w:rFonts w:ascii="Times New Roman"/>
                <w:sz w:val="12"/>
              </w:rPr>
            </w:pPr>
          </w:p>
        </w:tc>
        <w:tc>
          <w:tcPr>
            <w:tcW w:w="1493" w:type="dxa"/>
            <w:tcBorders>
              <w:top w:val="single" w:sz="4" w:space="0" w:color="000000"/>
              <w:bottom w:val="double" w:sz="6" w:space="0" w:color="000000"/>
            </w:tcBorders>
          </w:tcPr>
          <w:p w14:paraId="0F63CE17" w14:textId="77777777" w:rsidR="002C6574" w:rsidRDefault="00000000">
            <w:pPr>
              <w:pStyle w:val="TableParagraph"/>
              <w:spacing w:before="12" w:line="165" w:lineRule="exact"/>
              <w:ind w:right="65"/>
              <w:rPr>
                <w:rFonts w:ascii="Arial"/>
                <w:b/>
                <w:sz w:val="15"/>
              </w:rPr>
            </w:pPr>
            <w:r>
              <w:rPr>
                <w:rFonts w:ascii="Arial"/>
                <w:b/>
                <w:spacing w:val="-2"/>
                <w:sz w:val="15"/>
              </w:rPr>
              <w:t>4.089.985</w:t>
            </w:r>
          </w:p>
        </w:tc>
      </w:tr>
    </w:tbl>
    <w:p w14:paraId="4ACFF980" w14:textId="77777777" w:rsidR="002C6574" w:rsidRDefault="002C6574">
      <w:pPr>
        <w:pStyle w:val="Corpodetexto"/>
        <w:spacing w:before="62"/>
        <w:rPr>
          <w:rFonts w:ascii="Arial"/>
          <w:b/>
          <w:sz w:val="15"/>
        </w:rPr>
      </w:pPr>
    </w:p>
    <w:p w14:paraId="27A3837D" w14:textId="77777777" w:rsidR="002C6574" w:rsidRDefault="00000000">
      <w:pPr>
        <w:ind w:left="70"/>
        <w:rPr>
          <w:rFonts w:ascii="Arial" w:hAnsi="Arial"/>
          <w:b/>
          <w:sz w:val="15"/>
        </w:rPr>
      </w:pPr>
      <w:r>
        <w:rPr>
          <w:rFonts w:ascii="Arial" w:hAnsi="Arial"/>
          <w:b/>
          <w:sz w:val="15"/>
        </w:rPr>
        <w:t>As</w:t>
      </w:r>
      <w:r>
        <w:rPr>
          <w:rFonts w:ascii="Arial" w:hAnsi="Arial"/>
          <w:b/>
          <w:spacing w:val="-8"/>
          <w:sz w:val="15"/>
        </w:rPr>
        <w:t xml:space="preserve"> </w:t>
      </w:r>
      <w:r>
        <w:rPr>
          <w:rFonts w:ascii="Arial" w:hAnsi="Arial"/>
          <w:b/>
          <w:sz w:val="15"/>
        </w:rPr>
        <w:t>notas</w:t>
      </w:r>
      <w:r>
        <w:rPr>
          <w:rFonts w:ascii="Arial" w:hAnsi="Arial"/>
          <w:b/>
          <w:spacing w:val="-4"/>
          <w:sz w:val="15"/>
        </w:rPr>
        <w:t xml:space="preserve"> </w:t>
      </w:r>
      <w:r>
        <w:rPr>
          <w:rFonts w:ascii="Arial" w:hAnsi="Arial"/>
          <w:b/>
          <w:sz w:val="15"/>
        </w:rPr>
        <w:t>explicativas</w:t>
      </w:r>
      <w:r>
        <w:rPr>
          <w:rFonts w:ascii="Arial" w:hAnsi="Arial"/>
          <w:b/>
          <w:spacing w:val="-5"/>
          <w:sz w:val="15"/>
        </w:rPr>
        <w:t xml:space="preserve"> </w:t>
      </w:r>
      <w:r>
        <w:rPr>
          <w:rFonts w:ascii="Arial" w:hAnsi="Arial"/>
          <w:b/>
          <w:sz w:val="15"/>
        </w:rPr>
        <w:t>são</w:t>
      </w:r>
      <w:r>
        <w:rPr>
          <w:rFonts w:ascii="Arial" w:hAnsi="Arial"/>
          <w:b/>
          <w:spacing w:val="-7"/>
          <w:sz w:val="15"/>
        </w:rPr>
        <w:t xml:space="preserve"> </w:t>
      </w:r>
      <w:r>
        <w:rPr>
          <w:rFonts w:ascii="Arial" w:hAnsi="Arial"/>
          <w:b/>
          <w:sz w:val="15"/>
        </w:rPr>
        <w:t>parte</w:t>
      </w:r>
      <w:r>
        <w:rPr>
          <w:rFonts w:ascii="Arial" w:hAnsi="Arial"/>
          <w:b/>
          <w:spacing w:val="-4"/>
          <w:sz w:val="15"/>
        </w:rPr>
        <w:t xml:space="preserve"> </w:t>
      </w:r>
      <w:r>
        <w:rPr>
          <w:rFonts w:ascii="Arial" w:hAnsi="Arial"/>
          <w:b/>
          <w:sz w:val="15"/>
        </w:rPr>
        <w:t>integrante</w:t>
      </w:r>
      <w:r>
        <w:rPr>
          <w:rFonts w:ascii="Arial" w:hAnsi="Arial"/>
          <w:b/>
          <w:spacing w:val="-8"/>
          <w:sz w:val="15"/>
        </w:rPr>
        <w:t xml:space="preserve"> </w:t>
      </w:r>
      <w:r>
        <w:rPr>
          <w:rFonts w:ascii="Arial" w:hAnsi="Arial"/>
          <w:b/>
          <w:sz w:val="15"/>
        </w:rPr>
        <w:t>das</w:t>
      </w:r>
      <w:r>
        <w:rPr>
          <w:rFonts w:ascii="Arial" w:hAnsi="Arial"/>
          <w:b/>
          <w:spacing w:val="-7"/>
          <w:sz w:val="15"/>
        </w:rPr>
        <w:t xml:space="preserve"> </w:t>
      </w:r>
      <w:r>
        <w:rPr>
          <w:rFonts w:ascii="Arial" w:hAnsi="Arial"/>
          <w:b/>
          <w:sz w:val="15"/>
        </w:rPr>
        <w:t>demonstrações</w:t>
      </w:r>
      <w:r>
        <w:rPr>
          <w:rFonts w:ascii="Arial" w:hAnsi="Arial"/>
          <w:b/>
          <w:spacing w:val="-4"/>
          <w:sz w:val="15"/>
        </w:rPr>
        <w:t xml:space="preserve"> </w:t>
      </w:r>
      <w:r>
        <w:rPr>
          <w:rFonts w:ascii="Arial" w:hAnsi="Arial"/>
          <w:b/>
          <w:spacing w:val="-2"/>
          <w:sz w:val="15"/>
        </w:rPr>
        <w:t>contábeis</w:t>
      </w:r>
    </w:p>
    <w:p w14:paraId="46F810AD" w14:textId="77777777" w:rsidR="002C6574" w:rsidRDefault="002C6574">
      <w:pPr>
        <w:pStyle w:val="Corpodetexto"/>
        <w:rPr>
          <w:rFonts w:ascii="Arial"/>
          <w:b/>
          <w:sz w:val="18"/>
        </w:rPr>
      </w:pPr>
    </w:p>
    <w:p w14:paraId="35A49484" w14:textId="77777777" w:rsidR="002C6574" w:rsidRDefault="002C6574">
      <w:pPr>
        <w:pStyle w:val="Corpodetexto"/>
        <w:spacing w:before="95"/>
        <w:rPr>
          <w:rFonts w:ascii="Arial"/>
          <w:b/>
          <w:sz w:val="18"/>
        </w:rPr>
      </w:pPr>
    </w:p>
    <w:p w14:paraId="05E2535D" w14:textId="77777777" w:rsidR="002C6574" w:rsidRDefault="00000000">
      <w:pPr>
        <w:ind w:right="961"/>
        <w:jc w:val="right"/>
        <w:rPr>
          <w:rFonts w:ascii="Calibri"/>
          <w:sz w:val="18"/>
        </w:rPr>
      </w:pPr>
      <w:r>
        <w:rPr>
          <w:rFonts w:ascii="Calibri"/>
          <w:spacing w:val="-10"/>
          <w:sz w:val="18"/>
        </w:rPr>
        <w:t>8</w:t>
      </w:r>
    </w:p>
    <w:p w14:paraId="56A4CE3B" w14:textId="77777777" w:rsidR="002C6574" w:rsidRDefault="002C6574">
      <w:pPr>
        <w:jc w:val="right"/>
        <w:rPr>
          <w:rFonts w:ascii="Calibri"/>
          <w:sz w:val="18"/>
        </w:rPr>
        <w:sectPr w:rsidR="002C6574">
          <w:headerReference w:type="default" r:id="rId48"/>
          <w:footerReference w:type="default" r:id="rId49"/>
          <w:pgSz w:w="16840" w:h="11910" w:orient="landscape"/>
          <w:pgMar w:top="1200" w:right="425" w:bottom="280" w:left="1417" w:header="0" w:footer="0" w:gutter="0"/>
          <w:cols w:space="720"/>
        </w:sectPr>
      </w:pPr>
    </w:p>
    <w:p w14:paraId="0B889729" w14:textId="77777777" w:rsidR="002C6574" w:rsidRDefault="00000000">
      <w:pPr>
        <w:spacing w:before="66" w:line="300" w:lineRule="auto"/>
        <w:ind w:left="2689" w:right="2828"/>
        <w:jc w:val="center"/>
        <w:rPr>
          <w:rFonts w:ascii="Arial" w:hAnsi="Arial"/>
          <w:b/>
          <w:sz w:val="16"/>
        </w:rPr>
      </w:pPr>
      <w:r>
        <w:rPr>
          <w:rFonts w:ascii="Arial" w:hAnsi="Arial"/>
          <w:b/>
          <w:sz w:val="16"/>
        </w:rPr>
        <w:lastRenderedPageBreak/>
        <w:t>TELECOMUNICAÇÕES</w:t>
      </w:r>
      <w:r>
        <w:rPr>
          <w:rFonts w:ascii="Arial" w:hAnsi="Arial"/>
          <w:b/>
          <w:spacing w:val="-6"/>
          <w:sz w:val="16"/>
        </w:rPr>
        <w:t xml:space="preserve"> </w:t>
      </w:r>
      <w:r>
        <w:rPr>
          <w:rFonts w:ascii="Arial" w:hAnsi="Arial"/>
          <w:b/>
          <w:sz w:val="16"/>
        </w:rPr>
        <w:t>BRASILEIRAS</w:t>
      </w:r>
      <w:r>
        <w:rPr>
          <w:rFonts w:ascii="Arial" w:hAnsi="Arial"/>
          <w:b/>
          <w:spacing w:val="-10"/>
          <w:sz w:val="16"/>
        </w:rPr>
        <w:t xml:space="preserve"> </w:t>
      </w:r>
      <w:r>
        <w:rPr>
          <w:rFonts w:ascii="Arial" w:hAnsi="Arial"/>
          <w:b/>
          <w:sz w:val="16"/>
        </w:rPr>
        <w:t>S.A</w:t>
      </w:r>
      <w:r>
        <w:rPr>
          <w:rFonts w:ascii="Arial" w:hAnsi="Arial"/>
          <w:b/>
          <w:spacing w:val="-8"/>
          <w:sz w:val="16"/>
        </w:rPr>
        <w:t xml:space="preserve"> </w:t>
      </w:r>
      <w:r>
        <w:rPr>
          <w:rFonts w:ascii="Arial" w:hAnsi="Arial"/>
          <w:b/>
          <w:sz w:val="16"/>
        </w:rPr>
        <w:t>-</w:t>
      </w:r>
      <w:r>
        <w:rPr>
          <w:rFonts w:ascii="Arial" w:hAnsi="Arial"/>
          <w:b/>
          <w:spacing w:val="-9"/>
          <w:sz w:val="16"/>
        </w:rPr>
        <w:t xml:space="preserve"> </w:t>
      </w:r>
      <w:r>
        <w:rPr>
          <w:rFonts w:ascii="Arial" w:hAnsi="Arial"/>
          <w:b/>
          <w:sz w:val="16"/>
        </w:rPr>
        <w:t>"TELEBRAS" CNPJ 00.336.701/0001-04</w:t>
      </w:r>
    </w:p>
    <w:p w14:paraId="121BBEB0" w14:textId="77777777" w:rsidR="002C6574" w:rsidRDefault="00000000">
      <w:pPr>
        <w:spacing w:before="1"/>
        <w:ind w:left="2689" w:right="2830"/>
        <w:jc w:val="center"/>
        <w:rPr>
          <w:rFonts w:ascii="Arial" w:hAnsi="Arial"/>
          <w:b/>
          <w:sz w:val="16"/>
        </w:rPr>
      </w:pPr>
      <w:r>
        <w:rPr>
          <w:rFonts w:ascii="Arial" w:hAnsi="Arial"/>
          <w:b/>
          <w:sz w:val="16"/>
        </w:rPr>
        <w:t>Demonstrações</w:t>
      </w:r>
      <w:r>
        <w:rPr>
          <w:rFonts w:ascii="Arial" w:hAnsi="Arial"/>
          <w:b/>
          <w:spacing w:val="-5"/>
          <w:sz w:val="16"/>
        </w:rPr>
        <w:t xml:space="preserve"> </w:t>
      </w:r>
      <w:r>
        <w:rPr>
          <w:rFonts w:ascii="Arial" w:hAnsi="Arial"/>
          <w:b/>
          <w:sz w:val="16"/>
        </w:rPr>
        <w:t>do</w:t>
      </w:r>
      <w:r>
        <w:rPr>
          <w:rFonts w:ascii="Arial" w:hAnsi="Arial"/>
          <w:b/>
          <w:spacing w:val="-2"/>
          <w:sz w:val="16"/>
        </w:rPr>
        <w:t xml:space="preserve"> Resultado</w:t>
      </w:r>
    </w:p>
    <w:p w14:paraId="4D6F21A8" w14:textId="77777777" w:rsidR="002C6574" w:rsidRDefault="00000000">
      <w:pPr>
        <w:spacing w:before="47"/>
        <w:ind w:left="2692" w:right="2828"/>
        <w:jc w:val="center"/>
        <w:rPr>
          <w:rFonts w:ascii="Arial" w:hAnsi="Arial"/>
          <w:b/>
          <w:sz w:val="16"/>
        </w:rPr>
      </w:pPr>
      <w:r>
        <w:rPr>
          <w:rFonts w:ascii="Arial" w:hAnsi="Arial"/>
          <w:b/>
          <w:sz w:val="16"/>
        </w:rPr>
        <w:t>Exercícios</w:t>
      </w:r>
      <w:r>
        <w:rPr>
          <w:rFonts w:ascii="Arial" w:hAnsi="Arial"/>
          <w:b/>
          <w:spacing w:val="-6"/>
          <w:sz w:val="16"/>
        </w:rPr>
        <w:t xml:space="preserve"> </w:t>
      </w:r>
      <w:r>
        <w:rPr>
          <w:rFonts w:ascii="Arial" w:hAnsi="Arial"/>
          <w:b/>
          <w:sz w:val="16"/>
        </w:rPr>
        <w:t>findos</w:t>
      </w:r>
      <w:r>
        <w:rPr>
          <w:rFonts w:ascii="Arial" w:hAnsi="Arial"/>
          <w:b/>
          <w:spacing w:val="-2"/>
          <w:sz w:val="16"/>
        </w:rPr>
        <w:t xml:space="preserve"> </w:t>
      </w:r>
      <w:r>
        <w:rPr>
          <w:rFonts w:ascii="Arial" w:hAnsi="Arial"/>
          <w:b/>
          <w:sz w:val="16"/>
        </w:rPr>
        <w:t>em</w:t>
      </w:r>
      <w:r>
        <w:rPr>
          <w:rFonts w:ascii="Arial" w:hAnsi="Arial"/>
          <w:b/>
          <w:spacing w:val="-1"/>
          <w:sz w:val="16"/>
        </w:rPr>
        <w:t xml:space="preserve"> </w:t>
      </w:r>
      <w:r>
        <w:rPr>
          <w:rFonts w:ascii="Arial" w:hAnsi="Arial"/>
          <w:b/>
          <w:sz w:val="16"/>
        </w:rPr>
        <w:t>31</w:t>
      </w:r>
      <w:r>
        <w:rPr>
          <w:rFonts w:ascii="Arial" w:hAnsi="Arial"/>
          <w:b/>
          <w:spacing w:val="-3"/>
          <w:sz w:val="16"/>
        </w:rPr>
        <w:t xml:space="preserve"> </w:t>
      </w:r>
      <w:r>
        <w:rPr>
          <w:rFonts w:ascii="Arial" w:hAnsi="Arial"/>
          <w:b/>
          <w:sz w:val="16"/>
        </w:rPr>
        <w:t>de</w:t>
      </w:r>
      <w:r>
        <w:rPr>
          <w:rFonts w:ascii="Arial" w:hAnsi="Arial"/>
          <w:b/>
          <w:spacing w:val="-4"/>
          <w:sz w:val="16"/>
        </w:rPr>
        <w:t xml:space="preserve"> </w:t>
      </w:r>
      <w:r>
        <w:rPr>
          <w:rFonts w:ascii="Arial" w:hAnsi="Arial"/>
          <w:b/>
          <w:sz w:val="16"/>
        </w:rPr>
        <w:t>dezembro</w:t>
      </w:r>
      <w:r>
        <w:rPr>
          <w:rFonts w:ascii="Arial" w:hAnsi="Arial"/>
          <w:b/>
          <w:spacing w:val="-3"/>
          <w:sz w:val="16"/>
        </w:rPr>
        <w:t xml:space="preserve"> </w:t>
      </w:r>
      <w:r>
        <w:rPr>
          <w:rFonts w:ascii="Arial" w:hAnsi="Arial"/>
          <w:b/>
          <w:sz w:val="16"/>
        </w:rPr>
        <w:t>de</w:t>
      </w:r>
      <w:r>
        <w:rPr>
          <w:rFonts w:ascii="Arial" w:hAnsi="Arial"/>
          <w:b/>
          <w:spacing w:val="-2"/>
          <w:sz w:val="16"/>
        </w:rPr>
        <w:t xml:space="preserve"> </w:t>
      </w:r>
      <w:r>
        <w:rPr>
          <w:rFonts w:ascii="Arial" w:hAnsi="Arial"/>
          <w:b/>
          <w:sz w:val="16"/>
        </w:rPr>
        <w:t>2025</w:t>
      </w:r>
      <w:r>
        <w:rPr>
          <w:rFonts w:ascii="Arial" w:hAnsi="Arial"/>
          <w:b/>
          <w:spacing w:val="-2"/>
          <w:sz w:val="16"/>
        </w:rPr>
        <w:t xml:space="preserve"> </w:t>
      </w:r>
      <w:r>
        <w:rPr>
          <w:rFonts w:ascii="Arial" w:hAnsi="Arial"/>
          <w:b/>
          <w:sz w:val="16"/>
        </w:rPr>
        <w:t>e</w:t>
      </w:r>
      <w:r>
        <w:rPr>
          <w:rFonts w:ascii="Arial" w:hAnsi="Arial"/>
          <w:b/>
          <w:spacing w:val="-2"/>
          <w:sz w:val="16"/>
        </w:rPr>
        <w:t xml:space="preserve"> </w:t>
      </w:r>
      <w:r>
        <w:rPr>
          <w:rFonts w:ascii="Arial" w:hAnsi="Arial"/>
          <w:b/>
          <w:spacing w:val="-4"/>
          <w:sz w:val="16"/>
        </w:rPr>
        <w:t>2024</w:t>
      </w:r>
    </w:p>
    <w:p w14:paraId="3B6AFAF4" w14:textId="77777777" w:rsidR="002C6574" w:rsidRDefault="00000000">
      <w:pPr>
        <w:spacing w:before="46"/>
        <w:ind w:left="2690" w:right="2828"/>
        <w:jc w:val="center"/>
        <w:rPr>
          <w:rFonts w:ascii="Arial"/>
          <w:b/>
          <w:sz w:val="16"/>
        </w:rPr>
      </w:pPr>
      <w:r>
        <w:rPr>
          <w:rFonts w:ascii="Arial"/>
          <w:b/>
          <w:sz w:val="16"/>
        </w:rPr>
        <w:t>Em</w:t>
      </w:r>
      <w:r>
        <w:rPr>
          <w:rFonts w:ascii="Arial"/>
          <w:b/>
          <w:spacing w:val="-2"/>
          <w:sz w:val="16"/>
        </w:rPr>
        <w:t xml:space="preserve"> </w:t>
      </w:r>
      <w:r>
        <w:rPr>
          <w:rFonts w:ascii="Arial"/>
          <w:b/>
          <w:sz w:val="16"/>
        </w:rPr>
        <w:t>milhares</w:t>
      </w:r>
      <w:r>
        <w:rPr>
          <w:rFonts w:ascii="Arial"/>
          <w:b/>
          <w:spacing w:val="-1"/>
          <w:sz w:val="16"/>
        </w:rPr>
        <w:t xml:space="preserve"> </w:t>
      </w:r>
      <w:r>
        <w:rPr>
          <w:rFonts w:ascii="Arial"/>
          <w:b/>
          <w:sz w:val="16"/>
        </w:rPr>
        <w:t>de</w:t>
      </w:r>
      <w:r>
        <w:rPr>
          <w:rFonts w:ascii="Arial"/>
          <w:b/>
          <w:spacing w:val="-5"/>
          <w:sz w:val="16"/>
        </w:rPr>
        <w:t xml:space="preserve"> </w:t>
      </w:r>
      <w:r>
        <w:rPr>
          <w:rFonts w:ascii="Arial"/>
          <w:b/>
          <w:sz w:val="16"/>
        </w:rPr>
        <w:t>reais,</w:t>
      </w:r>
      <w:r>
        <w:rPr>
          <w:rFonts w:ascii="Arial"/>
          <w:b/>
          <w:spacing w:val="-2"/>
          <w:sz w:val="16"/>
        </w:rPr>
        <w:t xml:space="preserve"> </w:t>
      </w:r>
      <w:r>
        <w:rPr>
          <w:rFonts w:ascii="Arial"/>
          <w:b/>
          <w:sz w:val="16"/>
        </w:rPr>
        <w:t>exceto</w:t>
      </w:r>
      <w:r>
        <w:rPr>
          <w:rFonts w:ascii="Arial"/>
          <w:b/>
          <w:spacing w:val="-2"/>
          <w:sz w:val="16"/>
        </w:rPr>
        <w:t xml:space="preserve"> </w:t>
      </w:r>
      <w:r>
        <w:rPr>
          <w:rFonts w:ascii="Arial"/>
          <w:b/>
          <w:sz w:val="16"/>
        </w:rPr>
        <w:t>quando</w:t>
      </w:r>
      <w:r>
        <w:rPr>
          <w:rFonts w:ascii="Arial"/>
          <w:b/>
          <w:spacing w:val="-4"/>
          <w:sz w:val="16"/>
        </w:rPr>
        <w:t xml:space="preserve"> </w:t>
      </w:r>
      <w:r>
        <w:rPr>
          <w:rFonts w:ascii="Arial"/>
          <w:b/>
          <w:sz w:val="16"/>
        </w:rPr>
        <w:t>indicado</w:t>
      </w:r>
      <w:r>
        <w:rPr>
          <w:rFonts w:ascii="Arial"/>
          <w:b/>
          <w:spacing w:val="-4"/>
          <w:sz w:val="16"/>
        </w:rPr>
        <w:t xml:space="preserve"> </w:t>
      </w:r>
      <w:r>
        <w:rPr>
          <w:rFonts w:ascii="Arial"/>
          <w:b/>
          <w:sz w:val="16"/>
        </w:rPr>
        <w:t>de</w:t>
      </w:r>
      <w:r>
        <w:rPr>
          <w:rFonts w:ascii="Arial"/>
          <w:b/>
          <w:spacing w:val="-5"/>
          <w:sz w:val="16"/>
        </w:rPr>
        <w:t xml:space="preserve"> </w:t>
      </w:r>
      <w:r>
        <w:rPr>
          <w:rFonts w:ascii="Arial"/>
          <w:b/>
          <w:sz w:val="16"/>
        </w:rPr>
        <w:t>outra</w:t>
      </w:r>
      <w:r>
        <w:rPr>
          <w:rFonts w:ascii="Arial"/>
          <w:b/>
          <w:spacing w:val="-2"/>
          <w:sz w:val="16"/>
        </w:rPr>
        <w:t xml:space="preserve"> </w:t>
      </w:r>
      <w:r>
        <w:rPr>
          <w:rFonts w:ascii="Arial"/>
          <w:b/>
          <w:spacing w:val="-4"/>
          <w:sz w:val="16"/>
        </w:rPr>
        <w:t>forma</w:t>
      </w:r>
    </w:p>
    <w:p w14:paraId="122A4314" w14:textId="77777777" w:rsidR="002C6574" w:rsidRDefault="002C6574">
      <w:pPr>
        <w:pStyle w:val="Corpodetexto"/>
        <w:rPr>
          <w:rFonts w:ascii="Arial"/>
          <w:b/>
          <w:sz w:val="20"/>
        </w:rPr>
      </w:pPr>
    </w:p>
    <w:p w14:paraId="7A5C00F9" w14:textId="77777777" w:rsidR="002C6574" w:rsidRDefault="002C6574">
      <w:pPr>
        <w:pStyle w:val="Corpodetexto"/>
        <w:spacing w:before="75"/>
        <w:rPr>
          <w:rFonts w:ascii="Arial"/>
          <w:b/>
          <w:sz w:val="20"/>
        </w:rPr>
      </w:pPr>
    </w:p>
    <w:tbl>
      <w:tblPr>
        <w:tblStyle w:val="TableNormal"/>
        <w:tblW w:w="0" w:type="auto"/>
        <w:tblInd w:w="28" w:type="dxa"/>
        <w:tblLayout w:type="fixed"/>
        <w:tblLook w:val="01E0" w:firstRow="1" w:lastRow="1" w:firstColumn="1" w:lastColumn="1" w:noHBand="0" w:noVBand="0"/>
      </w:tblPr>
      <w:tblGrid>
        <w:gridCol w:w="4631"/>
        <w:gridCol w:w="1293"/>
        <w:gridCol w:w="1215"/>
        <w:gridCol w:w="790"/>
        <w:gridCol w:w="202"/>
        <w:gridCol w:w="1149"/>
        <w:gridCol w:w="767"/>
      </w:tblGrid>
      <w:tr w:rsidR="002C6574" w14:paraId="47D2EEBA" w14:textId="77777777">
        <w:trPr>
          <w:trHeight w:val="230"/>
        </w:trPr>
        <w:tc>
          <w:tcPr>
            <w:tcW w:w="4631" w:type="dxa"/>
          </w:tcPr>
          <w:p w14:paraId="369E3ED4" w14:textId="77777777" w:rsidR="002C6574" w:rsidRDefault="002C6574">
            <w:pPr>
              <w:pStyle w:val="TableParagraph"/>
              <w:jc w:val="left"/>
              <w:rPr>
                <w:rFonts w:ascii="Times New Roman"/>
                <w:sz w:val="16"/>
              </w:rPr>
            </w:pPr>
          </w:p>
        </w:tc>
        <w:tc>
          <w:tcPr>
            <w:tcW w:w="1293" w:type="dxa"/>
          </w:tcPr>
          <w:p w14:paraId="6FDD13EB" w14:textId="77777777" w:rsidR="002C6574" w:rsidRDefault="00000000">
            <w:pPr>
              <w:pStyle w:val="TableParagraph"/>
              <w:spacing w:before="46" w:line="163" w:lineRule="exact"/>
              <w:ind w:right="147"/>
              <w:rPr>
                <w:rFonts w:ascii="Arial"/>
                <w:b/>
                <w:sz w:val="16"/>
              </w:rPr>
            </w:pPr>
            <w:r>
              <w:rPr>
                <w:rFonts w:ascii="Arial"/>
                <w:b/>
                <w:spacing w:val="-4"/>
                <w:sz w:val="16"/>
              </w:rPr>
              <w:t>Nota</w:t>
            </w:r>
          </w:p>
        </w:tc>
        <w:tc>
          <w:tcPr>
            <w:tcW w:w="1215" w:type="dxa"/>
            <w:tcBorders>
              <w:top w:val="single" w:sz="4" w:space="0" w:color="000000"/>
              <w:bottom w:val="single" w:sz="4" w:space="0" w:color="000000"/>
            </w:tcBorders>
          </w:tcPr>
          <w:p w14:paraId="0F521476" w14:textId="77777777" w:rsidR="002C6574" w:rsidRDefault="00000000">
            <w:pPr>
              <w:pStyle w:val="TableParagraph"/>
              <w:spacing w:before="22"/>
              <w:ind w:right="35"/>
              <w:rPr>
                <w:rFonts w:ascii="Arial"/>
                <w:b/>
                <w:sz w:val="16"/>
              </w:rPr>
            </w:pPr>
            <w:r>
              <w:rPr>
                <w:rFonts w:ascii="Arial"/>
                <w:b/>
                <w:spacing w:val="-4"/>
                <w:sz w:val="16"/>
              </w:rPr>
              <w:t>2025</w:t>
            </w:r>
          </w:p>
        </w:tc>
        <w:tc>
          <w:tcPr>
            <w:tcW w:w="790" w:type="dxa"/>
            <w:tcBorders>
              <w:top w:val="single" w:sz="4" w:space="0" w:color="000000"/>
              <w:bottom w:val="single" w:sz="4" w:space="0" w:color="000000"/>
            </w:tcBorders>
          </w:tcPr>
          <w:p w14:paraId="5AE7B088" w14:textId="77777777" w:rsidR="002C6574" w:rsidRDefault="002C6574">
            <w:pPr>
              <w:pStyle w:val="TableParagraph"/>
              <w:jc w:val="left"/>
              <w:rPr>
                <w:rFonts w:ascii="Times New Roman"/>
                <w:sz w:val="16"/>
              </w:rPr>
            </w:pPr>
          </w:p>
        </w:tc>
        <w:tc>
          <w:tcPr>
            <w:tcW w:w="202" w:type="dxa"/>
            <w:tcBorders>
              <w:top w:val="single" w:sz="4" w:space="0" w:color="000000"/>
            </w:tcBorders>
          </w:tcPr>
          <w:p w14:paraId="056C3E0E" w14:textId="77777777" w:rsidR="002C6574" w:rsidRDefault="002C6574">
            <w:pPr>
              <w:pStyle w:val="TableParagraph"/>
              <w:jc w:val="left"/>
              <w:rPr>
                <w:rFonts w:ascii="Times New Roman"/>
                <w:sz w:val="16"/>
              </w:rPr>
            </w:pPr>
          </w:p>
        </w:tc>
        <w:tc>
          <w:tcPr>
            <w:tcW w:w="1149" w:type="dxa"/>
            <w:tcBorders>
              <w:top w:val="single" w:sz="4" w:space="0" w:color="000000"/>
              <w:bottom w:val="single" w:sz="4" w:space="0" w:color="000000"/>
            </w:tcBorders>
          </w:tcPr>
          <w:p w14:paraId="2495611A" w14:textId="77777777" w:rsidR="002C6574" w:rsidRDefault="00000000">
            <w:pPr>
              <w:pStyle w:val="TableParagraph"/>
              <w:spacing w:before="22"/>
              <w:ind w:right="13"/>
              <w:rPr>
                <w:rFonts w:ascii="Arial"/>
                <w:b/>
                <w:sz w:val="16"/>
              </w:rPr>
            </w:pPr>
            <w:r>
              <w:rPr>
                <w:rFonts w:ascii="Arial"/>
                <w:b/>
                <w:spacing w:val="-4"/>
                <w:sz w:val="16"/>
              </w:rPr>
              <w:t>2024</w:t>
            </w:r>
          </w:p>
        </w:tc>
        <w:tc>
          <w:tcPr>
            <w:tcW w:w="767" w:type="dxa"/>
            <w:tcBorders>
              <w:top w:val="single" w:sz="4" w:space="0" w:color="000000"/>
              <w:bottom w:val="single" w:sz="4" w:space="0" w:color="000000"/>
            </w:tcBorders>
          </w:tcPr>
          <w:p w14:paraId="11BAD6E6" w14:textId="77777777" w:rsidR="002C6574" w:rsidRDefault="002C6574">
            <w:pPr>
              <w:pStyle w:val="TableParagraph"/>
              <w:jc w:val="left"/>
              <w:rPr>
                <w:rFonts w:ascii="Times New Roman"/>
                <w:sz w:val="16"/>
              </w:rPr>
            </w:pPr>
          </w:p>
        </w:tc>
      </w:tr>
      <w:tr w:rsidR="002C6574" w14:paraId="2AB00F40" w14:textId="77777777">
        <w:trPr>
          <w:trHeight w:val="829"/>
        </w:trPr>
        <w:tc>
          <w:tcPr>
            <w:tcW w:w="4631" w:type="dxa"/>
          </w:tcPr>
          <w:p w14:paraId="021D1FC1" w14:textId="77777777" w:rsidR="002C6574" w:rsidRDefault="002C6574">
            <w:pPr>
              <w:pStyle w:val="TableParagraph"/>
              <w:jc w:val="left"/>
              <w:rPr>
                <w:rFonts w:ascii="Arial"/>
                <w:b/>
                <w:sz w:val="16"/>
              </w:rPr>
            </w:pPr>
          </w:p>
          <w:p w14:paraId="3257DBD9" w14:textId="77777777" w:rsidR="002C6574" w:rsidRDefault="002C6574">
            <w:pPr>
              <w:pStyle w:val="TableParagraph"/>
              <w:spacing w:before="136"/>
              <w:jc w:val="left"/>
              <w:rPr>
                <w:rFonts w:ascii="Arial"/>
                <w:b/>
                <w:sz w:val="16"/>
              </w:rPr>
            </w:pPr>
          </w:p>
          <w:p w14:paraId="6F99D82B" w14:textId="77777777" w:rsidR="002C6574" w:rsidRDefault="00000000">
            <w:pPr>
              <w:pStyle w:val="TableParagraph"/>
              <w:spacing w:before="1"/>
              <w:ind w:left="50"/>
              <w:jc w:val="left"/>
              <w:rPr>
                <w:rFonts w:ascii="Arial" w:hAnsi="Arial"/>
                <w:b/>
                <w:sz w:val="16"/>
              </w:rPr>
            </w:pPr>
            <w:r>
              <w:rPr>
                <w:rFonts w:ascii="Arial" w:hAnsi="Arial"/>
                <w:b/>
                <w:sz w:val="16"/>
              </w:rPr>
              <w:t>RECEITA</w:t>
            </w:r>
            <w:r>
              <w:rPr>
                <w:rFonts w:ascii="Arial" w:hAnsi="Arial"/>
                <w:b/>
                <w:spacing w:val="-6"/>
                <w:sz w:val="16"/>
              </w:rPr>
              <w:t xml:space="preserve"> </w:t>
            </w:r>
            <w:r>
              <w:rPr>
                <w:rFonts w:ascii="Arial" w:hAnsi="Arial"/>
                <w:b/>
                <w:sz w:val="16"/>
              </w:rPr>
              <w:t>OPERACIONAL</w:t>
            </w:r>
            <w:r>
              <w:rPr>
                <w:rFonts w:ascii="Arial" w:hAnsi="Arial"/>
                <w:b/>
                <w:spacing w:val="-6"/>
                <w:sz w:val="16"/>
              </w:rPr>
              <w:t xml:space="preserve"> </w:t>
            </w:r>
            <w:r>
              <w:rPr>
                <w:rFonts w:ascii="Arial" w:hAnsi="Arial"/>
                <w:b/>
                <w:spacing w:val="-2"/>
                <w:sz w:val="16"/>
              </w:rPr>
              <w:t>LÍQUIDA</w:t>
            </w:r>
          </w:p>
        </w:tc>
        <w:tc>
          <w:tcPr>
            <w:tcW w:w="1293" w:type="dxa"/>
          </w:tcPr>
          <w:p w14:paraId="7C06CD46" w14:textId="77777777" w:rsidR="002C6574" w:rsidRDefault="002C6574">
            <w:pPr>
              <w:pStyle w:val="TableParagraph"/>
              <w:jc w:val="left"/>
              <w:rPr>
                <w:rFonts w:ascii="Arial"/>
                <w:b/>
                <w:sz w:val="16"/>
              </w:rPr>
            </w:pPr>
          </w:p>
          <w:p w14:paraId="2BFDE6C0" w14:textId="77777777" w:rsidR="002C6574" w:rsidRDefault="002C6574">
            <w:pPr>
              <w:pStyle w:val="TableParagraph"/>
              <w:spacing w:before="136"/>
              <w:jc w:val="left"/>
              <w:rPr>
                <w:rFonts w:ascii="Arial"/>
                <w:b/>
                <w:sz w:val="16"/>
              </w:rPr>
            </w:pPr>
          </w:p>
          <w:p w14:paraId="468A1204" w14:textId="77777777" w:rsidR="002C6574" w:rsidRDefault="00000000">
            <w:pPr>
              <w:pStyle w:val="TableParagraph"/>
              <w:spacing w:before="1"/>
              <w:ind w:right="198"/>
              <w:rPr>
                <w:rFonts w:ascii="Arial"/>
                <w:b/>
                <w:sz w:val="16"/>
              </w:rPr>
            </w:pPr>
            <w:r>
              <w:rPr>
                <w:rFonts w:ascii="Arial"/>
                <w:b/>
                <w:spacing w:val="-5"/>
                <w:sz w:val="16"/>
              </w:rPr>
              <w:t>29</w:t>
            </w:r>
          </w:p>
        </w:tc>
        <w:tc>
          <w:tcPr>
            <w:tcW w:w="1215" w:type="dxa"/>
            <w:tcBorders>
              <w:top w:val="single" w:sz="4" w:space="0" w:color="000000"/>
            </w:tcBorders>
          </w:tcPr>
          <w:p w14:paraId="39E1FB1F" w14:textId="77777777" w:rsidR="002C6574" w:rsidRDefault="002C6574">
            <w:pPr>
              <w:pStyle w:val="TableParagraph"/>
              <w:jc w:val="left"/>
              <w:rPr>
                <w:rFonts w:ascii="Times New Roman"/>
                <w:sz w:val="16"/>
              </w:rPr>
            </w:pPr>
          </w:p>
        </w:tc>
        <w:tc>
          <w:tcPr>
            <w:tcW w:w="790" w:type="dxa"/>
            <w:tcBorders>
              <w:top w:val="single" w:sz="4" w:space="0" w:color="000000"/>
            </w:tcBorders>
          </w:tcPr>
          <w:p w14:paraId="2D6B9BAB" w14:textId="77777777" w:rsidR="002C6574" w:rsidRDefault="002C6574">
            <w:pPr>
              <w:pStyle w:val="TableParagraph"/>
              <w:jc w:val="left"/>
              <w:rPr>
                <w:rFonts w:ascii="Arial"/>
                <w:b/>
                <w:sz w:val="16"/>
              </w:rPr>
            </w:pPr>
          </w:p>
          <w:p w14:paraId="143FCCEF" w14:textId="77777777" w:rsidR="002C6574" w:rsidRDefault="002C6574">
            <w:pPr>
              <w:pStyle w:val="TableParagraph"/>
              <w:spacing w:before="136"/>
              <w:jc w:val="left"/>
              <w:rPr>
                <w:rFonts w:ascii="Arial"/>
                <w:b/>
                <w:sz w:val="16"/>
              </w:rPr>
            </w:pPr>
          </w:p>
          <w:p w14:paraId="6EA5B02F" w14:textId="77777777" w:rsidR="002C6574" w:rsidRDefault="00000000">
            <w:pPr>
              <w:pStyle w:val="TableParagraph"/>
              <w:spacing w:before="1"/>
              <w:ind w:left="102" w:right="35"/>
              <w:jc w:val="center"/>
              <w:rPr>
                <w:rFonts w:ascii="Arial"/>
                <w:b/>
                <w:sz w:val="16"/>
              </w:rPr>
            </w:pPr>
            <w:r>
              <w:rPr>
                <w:rFonts w:ascii="Arial"/>
                <w:b/>
                <w:spacing w:val="-2"/>
                <w:sz w:val="16"/>
              </w:rPr>
              <w:t>491.009</w:t>
            </w:r>
          </w:p>
        </w:tc>
        <w:tc>
          <w:tcPr>
            <w:tcW w:w="202" w:type="dxa"/>
          </w:tcPr>
          <w:p w14:paraId="6564E03A" w14:textId="77777777" w:rsidR="002C6574" w:rsidRDefault="002C6574">
            <w:pPr>
              <w:pStyle w:val="TableParagraph"/>
              <w:jc w:val="left"/>
              <w:rPr>
                <w:rFonts w:ascii="Times New Roman"/>
                <w:sz w:val="16"/>
              </w:rPr>
            </w:pPr>
          </w:p>
        </w:tc>
        <w:tc>
          <w:tcPr>
            <w:tcW w:w="1149" w:type="dxa"/>
            <w:tcBorders>
              <w:top w:val="single" w:sz="4" w:space="0" w:color="000000"/>
            </w:tcBorders>
          </w:tcPr>
          <w:p w14:paraId="69FAF34D" w14:textId="77777777" w:rsidR="002C6574" w:rsidRDefault="002C6574">
            <w:pPr>
              <w:pStyle w:val="TableParagraph"/>
              <w:jc w:val="left"/>
              <w:rPr>
                <w:rFonts w:ascii="Times New Roman"/>
                <w:sz w:val="16"/>
              </w:rPr>
            </w:pPr>
          </w:p>
        </w:tc>
        <w:tc>
          <w:tcPr>
            <w:tcW w:w="767" w:type="dxa"/>
            <w:tcBorders>
              <w:top w:val="single" w:sz="4" w:space="0" w:color="000000"/>
            </w:tcBorders>
          </w:tcPr>
          <w:p w14:paraId="5B54AFD5" w14:textId="77777777" w:rsidR="002C6574" w:rsidRDefault="002C6574">
            <w:pPr>
              <w:pStyle w:val="TableParagraph"/>
              <w:jc w:val="left"/>
              <w:rPr>
                <w:rFonts w:ascii="Arial"/>
                <w:b/>
                <w:sz w:val="16"/>
              </w:rPr>
            </w:pPr>
          </w:p>
          <w:p w14:paraId="5AEA5691" w14:textId="77777777" w:rsidR="002C6574" w:rsidRDefault="002C6574">
            <w:pPr>
              <w:pStyle w:val="TableParagraph"/>
              <w:spacing w:before="136"/>
              <w:jc w:val="left"/>
              <w:rPr>
                <w:rFonts w:ascii="Arial"/>
                <w:b/>
                <w:sz w:val="16"/>
              </w:rPr>
            </w:pPr>
          </w:p>
          <w:p w14:paraId="6B07F0DC" w14:textId="77777777" w:rsidR="002C6574" w:rsidRDefault="00000000">
            <w:pPr>
              <w:pStyle w:val="TableParagraph"/>
              <w:spacing w:before="1"/>
              <w:ind w:left="47"/>
              <w:jc w:val="center"/>
              <w:rPr>
                <w:rFonts w:ascii="Arial"/>
                <w:b/>
                <w:sz w:val="16"/>
              </w:rPr>
            </w:pPr>
            <w:r>
              <w:rPr>
                <w:rFonts w:ascii="Arial"/>
                <w:b/>
                <w:spacing w:val="-2"/>
                <w:sz w:val="16"/>
              </w:rPr>
              <w:t>414.315</w:t>
            </w:r>
          </w:p>
        </w:tc>
      </w:tr>
      <w:tr w:rsidR="002C6574" w14:paraId="75057FF6" w14:textId="77777777">
        <w:trPr>
          <w:trHeight w:val="320"/>
        </w:trPr>
        <w:tc>
          <w:tcPr>
            <w:tcW w:w="4631" w:type="dxa"/>
          </w:tcPr>
          <w:p w14:paraId="3F45D04F" w14:textId="77777777" w:rsidR="002C6574" w:rsidRDefault="00000000">
            <w:pPr>
              <w:pStyle w:val="TableParagraph"/>
              <w:spacing w:before="113" w:line="187" w:lineRule="exact"/>
              <w:ind w:left="50"/>
              <w:jc w:val="left"/>
              <w:rPr>
                <w:sz w:val="16"/>
              </w:rPr>
            </w:pPr>
            <w:r>
              <w:rPr>
                <w:w w:val="105"/>
                <w:sz w:val="16"/>
              </w:rPr>
              <w:t>Custos</w:t>
            </w:r>
            <w:r>
              <w:rPr>
                <w:spacing w:val="-5"/>
                <w:w w:val="105"/>
                <w:sz w:val="16"/>
              </w:rPr>
              <w:t xml:space="preserve"> </w:t>
            </w:r>
            <w:r>
              <w:rPr>
                <w:w w:val="105"/>
                <w:sz w:val="16"/>
              </w:rPr>
              <w:t>dos</w:t>
            </w:r>
            <w:r>
              <w:rPr>
                <w:spacing w:val="-4"/>
                <w:w w:val="105"/>
                <w:sz w:val="16"/>
              </w:rPr>
              <w:t xml:space="preserve"> </w:t>
            </w:r>
            <w:r>
              <w:rPr>
                <w:w w:val="105"/>
                <w:sz w:val="16"/>
              </w:rPr>
              <w:t>Serviços</w:t>
            </w:r>
            <w:r>
              <w:rPr>
                <w:spacing w:val="-5"/>
                <w:w w:val="105"/>
                <w:sz w:val="16"/>
              </w:rPr>
              <w:t xml:space="preserve"> </w:t>
            </w:r>
            <w:r>
              <w:rPr>
                <w:spacing w:val="-2"/>
                <w:w w:val="105"/>
                <w:sz w:val="16"/>
              </w:rPr>
              <w:t>Prestados</w:t>
            </w:r>
          </w:p>
        </w:tc>
        <w:tc>
          <w:tcPr>
            <w:tcW w:w="1293" w:type="dxa"/>
          </w:tcPr>
          <w:p w14:paraId="74553A2B" w14:textId="77777777" w:rsidR="002C6574" w:rsidRDefault="00000000">
            <w:pPr>
              <w:pStyle w:val="TableParagraph"/>
              <w:spacing w:before="113" w:line="187" w:lineRule="exact"/>
              <w:ind w:right="198"/>
              <w:rPr>
                <w:sz w:val="16"/>
              </w:rPr>
            </w:pPr>
            <w:r>
              <w:rPr>
                <w:spacing w:val="-5"/>
                <w:w w:val="105"/>
                <w:sz w:val="16"/>
              </w:rPr>
              <w:t>30</w:t>
            </w:r>
          </w:p>
        </w:tc>
        <w:tc>
          <w:tcPr>
            <w:tcW w:w="1215" w:type="dxa"/>
          </w:tcPr>
          <w:p w14:paraId="04A56ACD" w14:textId="77777777" w:rsidR="002C6574" w:rsidRDefault="002C6574">
            <w:pPr>
              <w:pStyle w:val="TableParagraph"/>
              <w:jc w:val="left"/>
              <w:rPr>
                <w:rFonts w:ascii="Times New Roman"/>
                <w:sz w:val="16"/>
              </w:rPr>
            </w:pPr>
          </w:p>
        </w:tc>
        <w:tc>
          <w:tcPr>
            <w:tcW w:w="790" w:type="dxa"/>
          </w:tcPr>
          <w:p w14:paraId="58FEF298" w14:textId="77777777" w:rsidR="002C6574" w:rsidRDefault="00000000">
            <w:pPr>
              <w:pStyle w:val="TableParagraph"/>
              <w:spacing w:before="113" w:line="187" w:lineRule="exact"/>
              <w:ind w:right="35"/>
              <w:jc w:val="center"/>
              <w:rPr>
                <w:sz w:val="16"/>
              </w:rPr>
            </w:pPr>
            <w:r>
              <w:rPr>
                <w:spacing w:val="-2"/>
                <w:w w:val="105"/>
                <w:sz w:val="16"/>
              </w:rPr>
              <w:t>(663.005)</w:t>
            </w:r>
          </w:p>
        </w:tc>
        <w:tc>
          <w:tcPr>
            <w:tcW w:w="202" w:type="dxa"/>
          </w:tcPr>
          <w:p w14:paraId="47AD8CEE" w14:textId="77777777" w:rsidR="002C6574" w:rsidRDefault="002C6574">
            <w:pPr>
              <w:pStyle w:val="TableParagraph"/>
              <w:jc w:val="left"/>
              <w:rPr>
                <w:rFonts w:ascii="Times New Roman"/>
                <w:sz w:val="16"/>
              </w:rPr>
            </w:pPr>
          </w:p>
        </w:tc>
        <w:tc>
          <w:tcPr>
            <w:tcW w:w="1149" w:type="dxa"/>
          </w:tcPr>
          <w:p w14:paraId="68046CE3" w14:textId="77777777" w:rsidR="002C6574" w:rsidRDefault="002C6574">
            <w:pPr>
              <w:pStyle w:val="TableParagraph"/>
              <w:jc w:val="left"/>
              <w:rPr>
                <w:rFonts w:ascii="Times New Roman"/>
                <w:sz w:val="16"/>
              </w:rPr>
            </w:pPr>
          </w:p>
        </w:tc>
        <w:tc>
          <w:tcPr>
            <w:tcW w:w="767" w:type="dxa"/>
          </w:tcPr>
          <w:p w14:paraId="0CD225EC" w14:textId="77777777" w:rsidR="002C6574" w:rsidRDefault="00000000">
            <w:pPr>
              <w:pStyle w:val="TableParagraph"/>
              <w:spacing w:before="113" w:line="187" w:lineRule="exact"/>
              <w:ind w:right="60"/>
              <w:jc w:val="center"/>
              <w:rPr>
                <w:sz w:val="16"/>
              </w:rPr>
            </w:pPr>
            <w:r>
              <w:rPr>
                <w:spacing w:val="-2"/>
                <w:w w:val="105"/>
                <w:sz w:val="16"/>
              </w:rPr>
              <w:t>(630.415)</w:t>
            </w:r>
          </w:p>
        </w:tc>
      </w:tr>
      <w:tr w:rsidR="002C6574" w14:paraId="0C20F997" w14:textId="77777777">
        <w:trPr>
          <w:trHeight w:val="709"/>
        </w:trPr>
        <w:tc>
          <w:tcPr>
            <w:tcW w:w="10047" w:type="dxa"/>
            <w:gridSpan w:val="7"/>
          </w:tcPr>
          <w:p w14:paraId="6F0AE72B" w14:textId="77777777" w:rsidR="002C6574" w:rsidRDefault="002C6574">
            <w:pPr>
              <w:pStyle w:val="TableParagraph"/>
              <w:spacing w:before="11"/>
              <w:jc w:val="left"/>
              <w:rPr>
                <w:rFonts w:ascii="Arial"/>
                <w:b/>
                <w:sz w:val="19"/>
              </w:rPr>
            </w:pPr>
          </w:p>
          <w:p w14:paraId="10533E8E" w14:textId="77777777" w:rsidR="002C6574" w:rsidRDefault="00000000">
            <w:pPr>
              <w:pStyle w:val="TableParagraph"/>
              <w:spacing w:line="20" w:lineRule="exact"/>
              <w:ind w:left="5922" w:right="-58"/>
              <w:jc w:val="left"/>
              <w:rPr>
                <w:rFonts w:ascii="Arial"/>
                <w:sz w:val="2"/>
              </w:rPr>
            </w:pPr>
            <w:r>
              <w:rPr>
                <w:rFonts w:ascii="Arial"/>
                <w:noProof/>
                <w:sz w:val="2"/>
              </w:rPr>
              <mc:AlternateContent>
                <mc:Choice Requires="wpg">
                  <w:drawing>
                    <wp:inline distT="0" distB="0" distL="0" distR="0" wp14:anchorId="41D414DA" wp14:editId="0030D64D">
                      <wp:extent cx="1272540" cy="6350"/>
                      <wp:effectExtent l="0" t="0" r="0" b="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2540" cy="6350"/>
                                <a:chOff x="0" y="0"/>
                                <a:chExt cx="1272540" cy="6350"/>
                              </a:xfrm>
                            </wpg:grpSpPr>
                            <wps:wsp>
                              <wps:cNvPr id="126" name="Graphic 126"/>
                              <wps:cNvSpPr/>
                              <wps:spPr>
                                <a:xfrm>
                                  <a:off x="0" y="0"/>
                                  <a:ext cx="1272540" cy="6350"/>
                                </a:xfrm>
                                <a:custGeom>
                                  <a:avLst/>
                                  <a:gdLst/>
                                  <a:ahLst/>
                                  <a:cxnLst/>
                                  <a:rect l="l" t="t" r="r" b="b"/>
                                  <a:pathLst>
                                    <a:path w="1272540" h="6350">
                                      <a:moveTo>
                                        <a:pt x="1272540" y="6096"/>
                                      </a:moveTo>
                                      <a:lnTo>
                                        <a:pt x="0" y="6096"/>
                                      </a:lnTo>
                                      <a:lnTo>
                                        <a:pt x="0" y="0"/>
                                      </a:lnTo>
                                      <a:lnTo>
                                        <a:pt x="1272540" y="0"/>
                                      </a:lnTo>
                                      <a:lnTo>
                                        <a:pt x="127254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25FE27" id="Group 125" o:spid="_x0000_s1026" style="width:100.2pt;height:.5pt;mso-position-horizontal-relative:char;mso-position-vertical-relative:line" coordsize="127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">
                      <v:shape id="Graphic 126" o:spid="_x0000_s1027" style="position:absolute;width:12725;height:63;visibility:visible;mso-wrap-style:square;v-text-anchor:top" coordsize="12725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" path="m1272540,6096l,6096,,,1272540,r,6096xe" fillcolor="black" stroked="f">
                        <v:path arrowok="t"/>
                      </v:shape>
                      <w10:anchorlock/>
                    </v:group>
                  </w:pict>
                </mc:Fallback>
              </mc:AlternateContent>
            </w:r>
            <w:r>
              <w:rPr>
                <w:rFonts w:ascii="Times New Roman"/>
                <w:spacing w:val="185"/>
                <w:sz w:val="2"/>
              </w:rPr>
              <w:t xml:space="preserve"> </w:t>
            </w:r>
            <w:r>
              <w:rPr>
                <w:rFonts w:ascii="Arial"/>
                <w:noProof/>
                <w:spacing w:val="185"/>
                <w:sz w:val="2"/>
              </w:rPr>
              <mc:AlternateContent>
                <mc:Choice Requires="wpg">
                  <w:drawing>
                    <wp:inline distT="0" distB="0" distL="0" distR="0" wp14:anchorId="6C99F90C" wp14:editId="69F44096">
                      <wp:extent cx="1216660" cy="6350"/>
                      <wp:effectExtent l="0" t="0" r="0" b="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6660" cy="6350"/>
                                <a:chOff x="0" y="0"/>
                                <a:chExt cx="1216660" cy="6350"/>
                              </a:xfrm>
                            </wpg:grpSpPr>
                            <wps:wsp>
                              <wps:cNvPr id="128" name="Graphic 128"/>
                              <wps:cNvSpPr/>
                              <wps:spPr>
                                <a:xfrm>
                                  <a:off x="0" y="0"/>
                                  <a:ext cx="1216660" cy="6350"/>
                                </a:xfrm>
                                <a:custGeom>
                                  <a:avLst/>
                                  <a:gdLst/>
                                  <a:ahLst/>
                                  <a:cxnLst/>
                                  <a:rect l="l" t="t" r="r" b="b"/>
                                  <a:pathLst>
                                    <a:path w="1216660" h="6350">
                                      <a:moveTo>
                                        <a:pt x="1216151" y="6096"/>
                                      </a:moveTo>
                                      <a:lnTo>
                                        <a:pt x="0" y="6096"/>
                                      </a:lnTo>
                                      <a:lnTo>
                                        <a:pt x="0" y="0"/>
                                      </a:lnTo>
                                      <a:lnTo>
                                        <a:pt x="1216151" y="0"/>
                                      </a:lnTo>
                                      <a:lnTo>
                                        <a:pt x="1216151"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BD6FF4" id="Group 127" o:spid="_x0000_s1026" style="width:95.8pt;height:.5pt;mso-position-horizontal-relative:char;mso-position-vertical-relative:line" coordsize="12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">
                      <v:shape id="Graphic 128" o:spid="_x0000_s1027" style="position:absolute;width:12166;height:63;visibility:visible;mso-wrap-style:square;v-text-anchor:top" coordsize="1216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" path="m1216151,6096l,6096,,,1216151,r,6096xe" fillcolor="black" stroked="f">
                        <v:path arrowok="t"/>
                      </v:shape>
                      <w10:anchorlock/>
                    </v:group>
                  </w:pict>
                </mc:Fallback>
              </mc:AlternateContent>
            </w:r>
          </w:p>
          <w:p w14:paraId="649390A5" w14:textId="77777777" w:rsidR="002C6574" w:rsidRDefault="00000000">
            <w:pPr>
              <w:pStyle w:val="TableParagraph"/>
              <w:tabs>
                <w:tab w:val="left" w:pos="5922"/>
                <w:tab w:val="left" w:pos="7173"/>
                <w:tab w:val="left" w:pos="9289"/>
              </w:tabs>
              <w:spacing w:before="36"/>
              <w:ind w:left="50"/>
              <w:jc w:val="left"/>
              <w:rPr>
                <w:rFonts w:ascii="Arial"/>
                <w:b/>
                <w:sz w:val="16"/>
              </w:rPr>
            </w:pPr>
            <w:r>
              <w:rPr>
                <w:rFonts w:ascii="Arial"/>
                <w:b/>
                <w:sz w:val="16"/>
              </w:rPr>
              <w:t>Lucro</w:t>
            </w:r>
            <w:r>
              <w:rPr>
                <w:rFonts w:ascii="Arial"/>
                <w:b/>
                <w:spacing w:val="-2"/>
                <w:sz w:val="16"/>
              </w:rPr>
              <w:t xml:space="preserve"> Bruto</w:t>
            </w:r>
            <w:r>
              <w:rPr>
                <w:rFonts w:ascii="Arial"/>
                <w:b/>
                <w:sz w:val="16"/>
              </w:rPr>
              <w:tab/>
            </w:r>
            <w:r>
              <w:rPr>
                <w:rFonts w:ascii="Times New Roman"/>
                <w:sz w:val="16"/>
                <w:u w:val="single"/>
              </w:rPr>
              <w:tab/>
            </w:r>
            <w:r>
              <w:rPr>
                <w:rFonts w:ascii="Arial"/>
                <w:b/>
                <w:spacing w:val="-2"/>
                <w:sz w:val="16"/>
                <w:u w:val="single"/>
              </w:rPr>
              <w:t>(171.996)</w:t>
            </w:r>
            <w:r>
              <w:rPr>
                <w:rFonts w:ascii="Arial"/>
                <w:b/>
                <w:sz w:val="16"/>
                <w:u w:val="single"/>
              </w:rPr>
              <w:tab/>
            </w:r>
            <w:r>
              <w:rPr>
                <w:rFonts w:ascii="Arial"/>
                <w:b/>
                <w:spacing w:val="-2"/>
                <w:sz w:val="16"/>
                <w:u w:val="single"/>
              </w:rPr>
              <w:t>(216.100)</w:t>
            </w:r>
          </w:p>
        </w:tc>
      </w:tr>
      <w:tr w:rsidR="002C6574" w14:paraId="339A33BA" w14:textId="77777777">
        <w:trPr>
          <w:trHeight w:val="230"/>
        </w:trPr>
        <w:tc>
          <w:tcPr>
            <w:tcW w:w="4631" w:type="dxa"/>
          </w:tcPr>
          <w:p w14:paraId="6813BBB1" w14:textId="77777777" w:rsidR="002C6574" w:rsidRDefault="00000000">
            <w:pPr>
              <w:pStyle w:val="TableParagraph"/>
              <w:spacing w:before="46" w:line="163" w:lineRule="exact"/>
              <w:ind w:left="50"/>
              <w:jc w:val="left"/>
              <w:rPr>
                <w:rFonts w:ascii="Arial"/>
                <w:b/>
                <w:sz w:val="16"/>
              </w:rPr>
            </w:pPr>
            <w:r>
              <w:rPr>
                <w:rFonts w:ascii="Arial"/>
                <w:b/>
                <w:sz w:val="16"/>
              </w:rPr>
              <w:t>Receitas</w:t>
            </w:r>
            <w:r>
              <w:rPr>
                <w:rFonts w:ascii="Arial"/>
                <w:b/>
                <w:spacing w:val="-3"/>
                <w:sz w:val="16"/>
              </w:rPr>
              <w:t xml:space="preserve"> </w:t>
            </w:r>
            <w:r>
              <w:rPr>
                <w:rFonts w:ascii="Arial"/>
                <w:b/>
                <w:sz w:val="16"/>
              </w:rPr>
              <w:t>/</w:t>
            </w:r>
            <w:r>
              <w:rPr>
                <w:rFonts w:ascii="Arial"/>
                <w:b/>
                <w:spacing w:val="-2"/>
                <w:sz w:val="16"/>
              </w:rPr>
              <w:t xml:space="preserve"> </w:t>
            </w:r>
            <w:r>
              <w:rPr>
                <w:rFonts w:ascii="Arial"/>
                <w:b/>
                <w:sz w:val="16"/>
              </w:rPr>
              <w:t>(Despesas)</w:t>
            </w:r>
            <w:r>
              <w:rPr>
                <w:rFonts w:ascii="Arial"/>
                <w:b/>
                <w:spacing w:val="-2"/>
                <w:sz w:val="16"/>
              </w:rPr>
              <w:t xml:space="preserve"> Operacionais</w:t>
            </w:r>
          </w:p>
        </w:tc>
        <w:tc>
          <w:tcPr>
            <w:tcW w:w="1293" w:type="dxa"/>
          </w:tcPr>
          <w:p w14:paraId="58146B16" w14:textId="77777777" w:rsidR="002C6574" w:rsidRDefault="002C6574">
            <w:pPr>
              <w:pStyle w:val="TableParagraph"/>
              <w:jc w:val="left"/>
              <w:rPr>
                <w:rFonts w:ascii="Times New Roman"/>
                <w:sz w:val="16"/>
              </w:rPr>
            </w:pPr>
          </w:p>
        </w:tc>
        <w:tc>
          <w:tcPr>
            <w:tcW w:w="2005" w:type="dxa"/>
            <w:gridSpan w:val="2"/>
            <w:tcBorders>
              <w:top w:val="single" w:sz="4" w:space="0" w:color="000000"/>
              <w:bottom w:val="single" w:sz="4" w:space="0" w:color="000000"/>
            </w:tcBorders>
          </w:tcPr>
          <w:p w14:paraId="225D1983" w14:textId="77777777" w:rsidR="002C6574" w:rsidRDefault="00000000">
            <w:pPr>
              <w:pStyle w:val="TableParagraph"/>
              <w:spacing w:before="46" w:line="163" w:lineRule="exact"/>
              <w:ind w:right="69"/>
              <w:rPr>
                <w:rFonts w:ascii="Arial"/>
                <w:b/>
                <w:sz w:val="16"/>
              </w:rPr>
            </w:pPr>
            <w:r>
              <w:rPr>
                <w:rFonts w:ascii="Arial"/>
                <w:b/>
                <w:spacing w:val="-2"/>
                <w:sz w:val="16"/>
              </w:rPr>
              <w:t>408.696</w:t>
            </w:r>
          </w:p>
        </w:tc>
        <w:tc>
          <w:tcPr>
            <w:tcW w:w="202" w:type="dxa"/>
          </w:tcPr>
          <w:p w14:paraId="68A88D5B" w14:textId="77777777" w:rsidR="002C6574" w:rsidRDefault="002C6574">
            <w:pPr>
              <w:pStyle w:val="TableParagraph"/>
              <w:jc w:val="left"/>
              <w:rPr>
                <w:rFonts w:ascii="Times New Roman"/>
                <w:sz w:val="16"/>
              </w:rPr>
            </w:pPr>
          </w:p>
        </w:tc>
        <w:tc>
          <w:tcPr>
            <w:tcW w:w="1916" w:type="dxa"/>
            <w:gridSpan w:val="2"/>
            <w:tcBorders>
              <w:top w:val="single" w:sz="4" w:space="0" w:color="000000"/>
              <w:bottom w:val="single" w:sz="4" w:space="0" w:color="000000"/>
            </w:tcBorders>
          </w:tcPr>
          <w:p w14:paraId="2543C2F0" w14:textId="77777777" w:rsidR="002C6574" w:rsidRDefault="00000000">
            <w:pPr>
              <w:pStyle w:val="TableParagraph"/>
              <w:spacing w:before="46" w:line="163" w:lineRule="exact"/>
              <w:ind w:left="1267"/>
              <w:jc w:val="left"/>
              <w:rPr>
                <w:rFonts w:ascii="Arial"/>
                <w:b/>
                <w:sz w:val="16"/>
              </w:rPr>
            </w:pPr>
            <w:r>
              <w:rPr>
                <w:rFonts w:ascii="Arial"/>
                <w:b/>
                <w:spacing w:val="-2"/>
                <w:sz w:val="16"/>
              </w:rPr>
              <w:t>234.596</w:t>
            </w:r>
          </w:p>
        </w:tc>
      </w:tr>
      <w:tr w:rsidR="002C6574" w14:paraId="1B479BE5" w14:textId="77777777">
        <w:trPr>
          <w:trHeight w:val="256"/>
        </w:trPr>
        <w:tc>
          <w:tcPr>
            <w:tcW w:w="4631" w:type="dxa"/>
          </w:tcPr>
          <w:p w14:paraId="3DBF2570" w14:textId="77777777" w:rsidR="002C6574" w:rsidRDefault="00000000">
            <w:pPr>
              <w:pStyle w:val="TableParagraph"/>
              <w:spacing w:before="24" w:line="212" w:lineRule="exact"/>
              <w:ind w:left="50"/>
              <w:jc w:val="left"/>
              <w:rPr>
                <w:sz w:val="16"/>
              </w:rPr>
            </w:pPr>
            <w:r>
              <w:rPr>
                <w:sz w:val="16"/>
              </w:rPr>
              <w:t>Comercialização</w:t>
            </w:r>
            <w:r>
              <w:rPr>
                <w:spacing w:val="15"/>
                <w:sz w:val="16"/>
              </w:rPr>
              <w:t xml:space="preserve"> </w:t>
            </w:r>
            <w:r>
              <w:rPr>
                <w:sz w:val="16"/>
              </w:rPr>
              <w:t>dos</w:t>
            </w:r>
            <w:r>
              <w:rPr>
                <w:spacing w:val="19"/>
                <w:sz w:val="16"/>
              </w:rPr>
              <w:t xml:space="preserve"> </w:t>
            </w:r>
            <w:r>
              <w:rPr>
                <w:spacing w:val="-2"/>
                <w:sz w:val="16"/>
              </w:rPr>
              <w:t>Serviços</w:t>
            </w:r>
          </w:p>
        </w:tc>
        <w:tc>
          <w:tcPr>
            <w:tcW w:w="1293" w:type="dxa"/>
          </w:tcPr>
          <w:p w14:paraId="690BFC5F" w14:textId="77777777" w:rsidR="002C6574" w:rsidRDefault="00000000">
            <w:pPr>
              <w:pStyle w:val="TableParagraph"/>
              <w:spacing w:before="24" w:line="212" w:lineRule="exact"/>
              <w:ind w:right="198"/>
              <w:rPr>
                <w:sz w:val="16"/>
              </w:rPr>
            </w:pPr>
            <w:r>
              <w:rPr>
                <w:spacing w:val="-5"/>
                <w:w w:val="105"/>
                <w:sz w:val="16"/>
              </w:rPr>
              <w:t>30</w:t>
            </w:r>
          </w:p>
        </w:tc>
        <w:tc>
          <w:tcPr>
            <w:tcW w:w="2005" w:type="dxa"/>
            <w:gridSpan w:val="2"/>
            <w:tcBorders>
              <w:top w:val="single" w:sz="4" w:space="0" w:color="000000"/>
            </w:tcBorders>
          </w:tcPr>
          <w:p w14:paraId="0BDDBBAE" w14:textId="77777777" w:rsidR="002C6574" w:rsidRDefault="00000000">
            <w:pPr>
              <w:pStyle w:val="TableParagraph"/>
              <w:spacing w:before="24" w:line="212" w:lineRule="exact"/>
              <w:ind w:right="69"/>
              <w:rPr>
                <w:sz w:val="16"/>
              </w:rPr>
            </w:pPr>
            <w:r>
              <w:rPr>
                <w:spacing w:val="-2"/>
                <w:w w:val="110"/>
                <w:sz w:val="16"/>
              </w:rPr>
              <w:t>(32.590)</w:t>
            </w:r>
          </w:p>
        </w:tc>
        <w:tc>
          <w:tcPr>
            <w:tcW w:w="202" w:type="dxa"/>
          </w:tcPr>
          <w:p w14:paraId="5475BCA7" w14:textId="77777777" w:rsidR="002C6574" w:rsidRDefault="002C6574">
            <w:pPr>
              <w:pStyle w:val="TableParagraph"/>
              <w:jc w:val="left"/>
              <w:rPr>
                <w:rFonts w:ascii="Times New Roman"/>
                <w:sz w:val="16"/>
              </w:rPr>
            </w:pPr>
          </w:p>
        </w:tc>
        <w:tc>
          <w:tcPr>
            <w:tcW w:w="1916" w:type="dxa"/>
            <w:gridSpan w:val="2"/>
            <w:tcBorders>
              <w:top w:val="single" w:sz="4" w:space="0" w:color="000000"/>
            </w:tcBorders>
          </w:tcPr>
          <w:p w14:paraId="43D34695" w14:textId="77777777" w:rsidR="002C6574" w:rsidRDefault="00000000">
            <w:pPr>
              <w:pStyle w:val="TableParagraph"/>
              <w:spacing w:before="24" w:line="212" w:lineRule="exact"/>
              <w:ind w:left="1247"/>
              <w:jc w:val="left"/>
              <w:rPr>
                <w:sz w:val="16"/>
              </w:rPr>
            </w:pPr>
            <w:r>
              <w:rPr>
                <w:spacing w:val="-2"/>
                <w:w w:val="110"/>
                <w:sz w:val="16"/>
              </w:rPr>
              <w:t>(30.029)</w:t>
            </w:r>
          </w:p>
        </w:tc>
      </w:tr>
      <w:tr w:rsidR="002C6574" w14:paraId="3153C30D" w14:textId="77777777">
        <w:trPr>
          <w:trHeight w:val="229"/>
        </w:trPr>
        <w:tc>
          <w:tcPr>
            <w:tcW w:w="4631" w:type="dxa"/>
          </w:tcPr>
          <w:p w14:paraId="25346AE6" w14:textId="77777777" w:rsidR="002C6574" w:rsidRDefault="00000000">
            <w:pPr>
              <w:pStyle w:val="TableParagraph"/>
              <w:spacing w:line="209" w:lineRule="exact"/>
              <w:ind w:left="50"/>
              <w:jc w:val="left"/>
              <w:rPr>
                <w:sz w:val="16"/>
              </w:rPr>
            </w:pPr>
            <w:r>
              <w:rPr>
                <w:sz w:val="16"/>
              </w:rPr>
              <w:t>Despesas</w:t>
            </w:r>
            <w:r>
              <w:rPr>
                <w:spacing w:val="30"/>
                <w:sz w:val="16"/>
              </w:rPr>
              <w:t xml:space="preserve"> </w:t>
            </w:r>
            <w:r>
              <w:rPr>
                <w:sz w:val="16"/>
              </w:rPr>
              <w:t>Gerais</w:t>
            </w:r>
            <w:r>
              <w:rPr>
                <w:spacing w:val="30"/>
                <w:sz w:val="16"/>
              </w:rPr>
              <w:t xml:space="preserve"> </w:t>
            </w:r>
            <w:r>
              <w:rPr>
                <w:sz w:val="16"/>
              </w:rPr>
              <w:t>e</w:t>
            </w:r>
            <w:r>
              <w:rPr>
                <w:spacing w:val="24"/>
                <w:sz w:val="16"/>
              </w:rPr>
              <w:t xml:space="preserve"> </w:t>
            </w:r>
            <w:r>
              <w:rPr>
                <w:spacing w:val="-2"/>
                <w:sz w:val="16"/>
              </w:rPr>
              <w:t>Administrativas</w:t>
            </w:r>
          </w:p>
        </w:tc>
        <w:tc>
          <w:tcPr>
            <w:tcW w:w="1293" w:type="dxa"/>
          </w:tcPr>
          <w:p w14:paraId="66F5B0B3" w14:textId="77777777" w:rsidR="002C6574" w:rsidRDefault="00000000">
            <w:pPr>
              <w:pStyle w:val="TableParagraph"/>
              <w:spacing w:line="209" w:lineRule="exact"/>
              <w:ind w:right="198"/>
              <w:rPr>
                <w:sz w:val="16"/>
              </w:rPr>
            </w:pPr>
            <w:r>
              <w:rPr>
                <w:spacing w:val="-5"/>
                <w:w w:val="105"/>
                <w:sz w:val="16"/>
              </w:rPr>
              <w:t>30</w:t>
            </w:r>
          </w:p>
        </w:tc>
        <w:tc>
          <w:tcPr>
            <w:tcW w:w="2005" w:type="dxa"/>
            <w:gridSpan w:val="2"/>
          </w:tcPr>
          <w:p w14:paraId="7A88B73D" w14:textId="77777777" w:rsidR="002C6574" w:rsidRDefault="00000000">
            <w:pPr>
              <w:pStyle w:val="TableParagraph"/>
              <w:spacing w:line="209" w:lineRule="exact"/>
              <w:ind w:right="69"/>
              <w:rPr>
                <w:sz w:val="16"/>
              </w:rPr>
            </w:pPr>
            <w:r>
              <w:rPr>
                <w:spacing w:val="-2"/>
                <w:w w:val="110"/>
                <w:sz w:val="16"/>
              </w:rPr>
              <w:t>(98.249)</w:t>
            </w:r>
          </w:p>
        </w:tc>
        <w:tc>
          <w:tcPr>
            <w:tcW w:w="202" w:type="dxa"/>
          </w:tcPr>
          <w:p w14:paraId="69EA94CC" w14:textId="77777777" w:rsidR="002C6574" w:rsidRDefault="002C6574">
            <w:pPr>
              <w:pStyle w:val="TableParagraph"/>
              <w:jc w:val="left"/>
              <w:rPr>
                <w:rFonts w:ascii="Times New Roman"/>
                <w:sz w:val="16"/>
              </w:rPr>
            </w:pPr>
          </w:p>
        </w:tc>
        <w:tc>
          <w:tcPr>
            <w:tcW w:w="1916" w:type="dxa"/>
            <w:gridSpan w:val="2"/>
          </w:tcPr>
          <w:p w14:paraId="675B36D7" w14:textId="77777777" w:rsidR="002C6574" w:rsidRDefault="00000000">
            <w:pPr>
              <w:pStyle w:val="TableParagraph"/>
              <w:spacing w:line="209" w:lineRule="exact"/>
              <w:ind w:left="1247"/>
              <w:jc w:val="left"/>
              <w:rPr>
                <w:sz w:val="16"/>
              </w:rPr>
            </w:pPr>
            <w:r>
              <w:rPr>
                <w:spacing w:val="-2"/>
                <w:w w:val="110"/>
                <w:sz w:val="16"/>
              </w:rPr>
              <w:t>(93.268)</w:t>
            </w:r>
          </w:p>
        </w:tc>
      </w:tr>
      <w:tr w:rsidR="002C6574" w14:paraId="56593E44" w14:textId="77777777">
        <w:trPr>
          <w:trHeight w:val="229"/>
        </w:trPr>
        <w:tc>
          <w:tcPr>
            <w:tcW w:w="4631" w:type="dxa"/>
          </w:tcPr>
          <w:p w14:paraId="756EA79B" w14:textId="77777777" w:rsidR="002C6574" w:rsidRDefault="00000000">
            <w:pPr>
              <w:pStyle w:val="TableParagraph"/>
              <w:spacing w:line="209" w:lineRule="exact"/>
              <w:ind w:left="50"/>
              <w:jc w:val="left"/>
              <w:rPr>
                <w:sz w:val="16"/>
              </w:rPr>
            </w:pPr>
            <w:r>
              <w:rPr>
                <w:sz w:val="16"/>
              </w:rPr>
              <w:t>Resultado</w:t>
            </w:r>
            <w:r>
              <w:rPr>
                <w:spacing w:val="15"/>
                <w:sz w:val="16"/>
              </w:rPr>
              <w:t xml:space="preserve"> </w:t>
            </w:r>
            <w:r>
              <w:rPr>
                <w:sz w:val="16"/>
              </w:rPr>
              <w:t>de</w:t>
            </w:r>
            <w:r>
              <w:rPr>
                <w:spacing w:val="13"/>
                <w:sz w:val="16"/>
              </w:rPr>
              <w:t xml:space="preserve"> </w:t>
            </w:r>
            <w:r>
              <w:rPr>
                <w:sz w:val="16"/>
              </w:rPr>
              <w:t>Equivalência</w:t>
            </w:r>
            <w:r>
              <w:rPr>
                <w:spacing w:val="14"/>
                <w:sz w:val="16"/>
              </w:rPr>
              <w:t xml:space="preserve"> </w:t>
            </w:r>
            <w:r>
              <w:rPr>
                <w:spacing w:val="-2"/>
                <w:sz w:val="16"/>
              </w:rPr>
              <w:t>Patrimonial</w:t>
            </w:r>
          </w:p>
        </w:tc>
        <w:tc>
          <w:tcPr>
            <w:tcW w:w="1293" w:type="dxa"/>
          </w:tcPr>
          <w:p w14:paraId="3120D601" w14:textId="77777777" w:rsidR="002C6574" w:rsidRDefault="00000000">
            <w:pPr>
              <w:pStyle w:val="TableParagraph"/>
              <w:spacing w:line="209" w:lineRule="exact"/>
              <w:ind w:right="198"/>
              <w:rPr>
                <w:sz w:val="16"/>
              </w:rPr>
            </w:pPr>
            <w:r>
              <w:rPr>
                <w:spacing w:val="-5"/>
                <w:w w:val="105"/>
                <w:sz w:val="16"/>
              </w:rPr>
              <w:t>12</w:t>
            </w:r>
          </w:p>
        </w:tc>
        <w:tc>
          <w:tcPr>
            <w:tcW w:w="2005" w:type="dxa"/>
            <w:gridSpan w:val="2"/>
          </w:tcPr>
          <w:p w14:paraId="53BE9F08" w14:textId="77777777" w:rsidR="002C6574" w:rsidRDefault="00000000">
            <w:pPr>
              <w:pStyle w:val="TableParagraph"/>
              <w:spacing w:line="209" w:lineRule="exact"/>
              <w:ind w:right="69"/>
              <w:rPr>
                <w:sz w:val="16"/>
              </w:rPr>
            </w:pPr>
            <w:r>
              <w:rPr>
                <w:spacing w:val="-5"/>
                <w:w w:val="105"/>
                <w:sz w:val="16"/>
              </w:rPr>
              <w:t>369</w:t>
            </w:r>
          </w:p>
        </w:tc>
        <w:tc>
          <w:tcPr>
            <w:tcW w:w="202" w:type="dxa"/>
          </w:tcPr>
          <w:p w14:paraId="52E7D85C" w14:textId="77777777" w:rsidR="002C6574" w:rsidRDefault="002C6574">
            <w:pPr>
              <w:pStyle w:val="TableParagraph"/>
              <w:jc w:val="left"/>
              <w:rPr>
                <w:rFonts w:ascii="Times New Roman"/>
                <w:sz w:val="16"/>
              </w:rPr>
            </w:pPr>
          </w:p>
        </w:tc>
        <w:tc>
          <w:tcPr>
            <w:tcW w:w="1916" w:type="dxa"/>
            <w:gridSpan w:val="2"/>
          </w:tcPr>
          <w:p w14:paraId="23643530" w14:textId="77777777" w:rsidR="002C6574" w:rsidRDefault="00000000">
            <w:pPr>
              <w:pStyle w:val="TableParagraph"/>
              <w:spacing w:line="209" w:lineRule="exact"/>
              <w:ind w:right="70"/>
              <w:rPr>
                <w:sz w:val="16"/>
              </w:rPr>
            </w:pPr>
            <w:r>
              <w:rPr>
                <w:spacing w:val="-2"/>
                <w:w w:val="110"/>
                <w:sz w:val="16"/>
              </w:rPr>
              <w:t>(1.013)</w:t>
            </w:r>
          </w:p>
        </w:tc>
      </w:tr>
      <w:tr w:rsidR="002C6574" w14:paraId="753FCE4B" w14:textId="77777777">
        <w:trPr>
          <w:trHeight w:val="230"/>
        </w:trPr>
        <w:tc>
          <w:tcPr>
            <w:tcW w:w="4631" w:type="dxa"/>
          </w:tcPr>
          <w:p w14:paraId="38B689A6" w14:textId="77777777" w:rsidR="002C6574" w:rsidRDefault="00000000">
            <w:pPr>
              <w:pStyle w:val="TableParagraph"/>
              <w:spacing w:line="210" w:lineRule="exact"/>
              <w:ind w:left="50"/>
              <w:jc w:val="left"/>
              <w:rPr>
                <w:sz w:val="16"/>
              </w:rPr>
            </w:pPr>
            <w:r>
              <w:rPr>
                <w:sz w:val="16"/>
              </w:rPr>
              <w:t>Outras</w:t>
            </w:r>
            <w:r>
              <w:rPr>
                <w:spacing w:val="22"/>
                <w:sz w:val="16"/>
              </w:rPr>
              <w:t xml:space="preserve"> </w:t>
            </w:r>
            <w:r>
              <w:rPr>
                <w:sz w:val="16"/>
              </w:rPr>
              <w:t>Receitas</w:t>
            </w:r>
            <w:r>
              <w:rPr>
                <w:spacing w:val="21"/>
                <w:sz w:val="16"/>
              </w:rPr>
              <w:t xml:space="preserve"> </w:t>
            </w:r>
            <w:r>
              <w:rPr>
                <w:sz w:val="16"/>
              </w:rPr>
              <w:t>/</w:t>
            </w:r>
            <w:r>
              <w:rPr>
                <w:spacing w:val="23"/>
                <w:sz w:val="16"/>
              </w:rPr>
              <w:t xml:space="preserve"> </w:t>
            </w:r>
            <w:r>
              <w:rPr>
                <w:sz w:val="16"/>
              </w:rPr>
              <w:t>(Despesas)</w:t>
            </w:r>
            <w:r>
              <w:rPr>
                <w:spacing w:val="20"/>
                <w:sz w:val="16"/>
              </w:rPr>
              <w:t xml:space="preserve"> </w:t>
            </w:r>
            <w:r>
              <w:rPr>
                <w:spacing w:val="-2"/>
                <w:sz w:val="16"/>
              </w:rPr>
              <w:t>Operacionais</w:t>
            </w:r>
          </w:p>
        </w:tc>
        <w:tc>
          <w:tcPr>
            <w:tcW w:w="1293" w:type="dxa"/>
          </w:tcPr>
          <w:p w14:paraId="4DCB8211" w14:textId="77777777" w:rsidR="002C6574" w:rsidRDefault="00000000">
            <w:pPr>
              <w:pStyle w:val="TableParagraph"/>
              <w:spacing w:line="210" w:lineRule="exact"/>
              <w:ind w:right="198"/>
              <w:rPr>
                <w:sz w:val="16"/>
              </w:rPr>
            </w:pPr>
            <w:r>
              <w:rPr>
                <w:spacing w:val="-5"/>
                <w:w w:val="105"/>
                <w:sz w:val="16"/>
              </w:rPr>
              <w:t>31</w:t>
            </w:r>
          </w:p>
        </w:tc>
        <w:tc>
          <w:tcPr>
            <w:tcW w:w="2005" w:type="dxa"/>
            <w:gridSpan w:val="2"/>
          </w:tcPr>
          <w:p w14:paraId="13499B13" w14:textId="77777777" w:rsidR="002C6574" w:rsidRDefault="00000000">
            <w:pPr>
              <w:pStyle w:val="TableParagraph"/>
              <w:spacing w:line="210" w:lineRule="exact"/>
              <w:ind w:right="69"/>
              <w:rPr>
                <w:sz w:val="16"/>
              </w:rPr>
            </w:pPr>
            <w:r>
              <w:rPr>
                <w:spacing w:val="-2"/>
                <w:w w:val="105"/>
                <w:sz w:val="16"/>
              </w:rPr>
              <w:t>539.166</w:t>
            </w:r>
          </w:p>
        </w:tc>
        <w:tc>
          <w:tcPr>
            <w:tcW w:w="202" w:type="dxa"/>
          </w:tcPr>
          <w:p w14:paraId="09CED3AA" w14:textId="77777777" w:rsidR="002C6574" w:rsidRDefault="002C6574">
            <w:pPr>
              <w:pStyle w:val="TableParagraph"/>
              <w:jc w:val="left"/>
              <w:rPr>
                <w:rFonts w:ascii="Times New Roman"/>
                <w:sz w:val="16"/>
              </w:rPr>
            </w:pPr>
          </w:p>
        </w:tc>
        <w:tc>
          <w:tcPr>
            <w:tcW w:w="1916" w:type="dxa"/>
            <w:gridSpan w:val="2"/>
          </w:tcPr>
          <w:p w14:paraId="5E9AD73B" w14:textId="77777777" w:rsidR="002C6574" w:rsidRDefault="00000000">
            <w:pPr>
              <w:pStyle w:val="TableParagraph"/>
              <w:spacing w:line="210" w:lineRule="exact"/>
              <w:ind w:left="1267"/>
              <w:jc w:val="left"/>
              <w:rPr>
                <w:sz w:val="16"/>
              </w:rPr>
            </w:pPr>
            <w:r>
              <w:rPr>
                <w:spacing w:val="-2"/>
                <w:w w:val="105"/>
                <w:sz w:val="16"/>
              </w:rPr>
              <w:t>358.906</w:t>
            </w:r>
          </w:p>
        </w:tc>
      </w:tr>
      <w:tr w:rsidR="002C6574" w14:paraId="5F38D67D" w14:textId="77777777">
        <w:trPr>
          <w:trHeight w:val="230"/>
        </w:trPr>
        <w:tc>
          <w:tcPr>
            <w:tcW w:w="4631" w:type="dxa"/>
          </w:tcPr>
          <w:p w14:paraId="2BDA079C" w14:textId="77777777" w:rsidR="002C6574" w:rsidRDefault="00000000">
            <w:pPr>
              <w:pStyle w:val="TableParagraph"/>
              <w:spacing w:line="210" w:lineRule="exact"/>
              <w:ind w:left="230"/>
              <w:jc w:val="left"/>
              <w:rPr>
                <w:sz w:val="16"/>
              </w:rPr>
            </w:pPr>
            <w:r>
              <w:rPr>
                <w:w w:val="105"/>
                <w:sz w:val="16"/>
              </w:rPr>
              <w:t>Outras</w:t>
            </w:r>
            <w:r>
              <w:rPr>
                <w:spacing w:val="-6"/>
                <w:w w:val="105"/>
                <w:sz w:val="16"/>
              </w:rPr>
              <w:t xml:space="preserve"> </w:t>
            </w:r>
            <w:r>
              <w:rPr>
                <w:w w:val="105"/>
                <w:sz w:val="16"/>
              </w:rPr>
              <w:t>Receitas</w:t>
            </w:r>
            <w:r>
              <w:rPr>
                <w:spacing w:val="-7"/>
                <w:w w:val="105"/>
                <w:sz w:val="16"/>
              </w:rPr>
              <w:t xml:space="preserve"> </w:t>
            </w:r>
            <w:r>
              <w:rPr>
                <w:spacing w:val="-2"/>
                <w:w w:val="105"/>
                <w:sz w:val="16"/>
              </w:rPr>
              <w:t>Operacionais</w:t>
            </w:r>
          </w:p>
        </w:tc>
        <w:tc>
          <w:tcPr>
            <w:tcW w:w="1293" w:type="dxa"/>
          </w:tcPr>
          <w:p w14:paraId="6662C8F5" w14:textId="77777777" w:rsidR="002C6574" w:rsidRDefault="002C6574">
            <w:pPr>
              <w:pStyle w:val="TableParagraph"/>
              <w:jc w:val="left"/>
              <w:rPr>
                <w:rFonts w:ascii="Times New Roman"/>
                <w:sz w:val="16"/>
              </w:rPr>
            </w:pPr>
          </w:p>
        </w:tc>
        <w:tc>
          <w:tcPr>
            <w:tcW w:w="2005" w:type="dxa"/>
            <w:gridSpan w:val="2"/>
          </w:tcPr>
          <w:p w14:paraId="76C43E4F" w14:textId="77777777" w:rsidR="002C6574" w:rsidRDefault="00000000">
            <w:pPr>
              <w:pStyle w:val="TableParagraph"/>
              <w:spacing w:line="210" w:lineRule="exact"/>
              <w:ind w:right="69"/>
              <w:rPr>
                <w:sz w:val="16"/>
              </w:rPr>
            </w:pPr>
            <w:r>
              <w:rPr>
                <w:spacing w:val="-2"/>
                <w:w w:val="105"/>
                <w:sz w:val="16"/>
              </w:rPr>
              <w:t>563.052</w:t>
            </w:r>
          </w:p>
        </w:tc>
        <w:tc>
          <w:tcPr>
            <w:tcW w:w="202" w:type="dxa"/>
          </w:tcPr>
          <w:p w14:paraId="61975EB3" w14:textId="77777777" w:rsidR="002C6574" w:rsidRDefault="002C6574">
            <w:pPr>
              <w:pStyle w:val="TableParagraph"/>
              <w:jc w:val="left"/>
              <w:rPr>
                <w:rFonts w:ascii="Times New Roman"/>
                <w:sz w:val="16"/>
              </w:rPr>
            </w:pPr>
          </w:p>
        </w:tc>
        <w:tc>
          <w:tcPr>
            <w:tcW w:w="1916" w:type="dxa"/>
            <w:gridSpan w:val="2"/>
          </w:tcPr>
          <w:p w14:paraId="0718D891" w14:textId="77777777" w:rsidR="002C6574" w:rsidRDefault="00000000">
            <w:pPr>
              <w:pStyle w:val="TableParagraph"/>
              <w:spacing w:line="210" w:lineRule="exact"/>
              <w:ind w:left="1267"/>
              <w:jc w:val="left"/>
              <w:rPr>
                <w:sz w:val="16"/>
              </w:rPr>
            </w:pPr>
            <w:r>
              <w:rPr>
                <w:spacing w:val="-2"/>
                <w:w w:val="105"/>
                <w:sz w:val="16"/>
              </w:rPr>
              <w:t>373.698</w:t>
            </w:r>
          </w:p>
        </w:tc>
      </w:tr>
      <w:tr w:rsidR="002C6574" w14:paraId="5DB91183" w14:textId="77777777">
        <w:trPr>
          <w:trHeight w:val="434"/>
        </w:trPr>
        <w:tc>
          <w:tcPr>
            <w:tcW w:w="4631" w:type="dxa"/>
          </w:tcPr>
          <w:p w14:paraId="228972DF" w14:textId="77777777" w:rsidR="002C6574" w:rsidRDefault="00000000">
            <w:pPr>
              <w:pStyle w:val="TableParagraph"/>
              <w:spacing w:line="211" w:lineRule="exact"/>
              <w:ind w:left="230"/>
              <w:jc w:val="left"/>
              <w:rPr>
                <w:sz w:val="16"/>
              </w:rPr>
            </w:pPr>
            <w:r>
              <w:rPr>
                <w:w w:val="105"/>
                <w:sz w:val="16"/>
              </w:rPr>
              <w:t>Outras</w:t>
            </w:r>
            <w:r>
              <w:rPr>
                <w:spacing w:val="-4"/>
                <w:w w:val="105"/>
                <w:sz w:val="16"/>
              </w:rPr>
              <w:t xml:space="preserve"> </w:t>
            </w:r>
            <w:r>
              <w:rPr>
                <w:w w:val="105"/>
                <w:sz w:val="16"/>
              </w:rPr>
              <w:t>Despesas</w:t>
            </w:r>
            <w:r>
              <w:rPr>
                <w:spacing w:val="-2"/>
                <w:w w:val="105"/>
                <w:sz w:val="16"/>
              </w:rPr>
              <w:t xml:space="preserve"> Operacionais</w:t>
            </w:r>
          </w:p>
        </w:tc>
        <w:tc>
          <w:tcPr>
            <w:tcW w:w="1293" w:type="dxa"/>
          </w:tcPr>
          <w:p w14:paraId="0E08995A" w14:textId="77777777" w:rsidR="002C6574" w:rsidRDefault="002C6574">
            <w:pPr>
              <w:pStyle w:val="TableParagraph"/>
              <w:jc w:val="left"/>
              <w:rPr>
                <w:rFonts w:ascii="Times New Roman"/>
                <w:sz w:val="16"/>
              </w:rPr>
            </w:pPr>
          </w:p>
        </w:tc>
        <w:tc>
          <w:tcPr>
            <w:tcW w:w="2005" w:type="dxa"/>
            <w:gridSpan w:val="2"/>
            <w:tcBorders>
              <w:bottom w:val="single" w:sz="4" w:space="0" w:color="000000"/>
            </w:tcBorders>
          </w:tcPr>
          <w:p w14:paraId="7AEFB7FB" w14:textId="77777777" w:rsidR="002C6574" w:rsidRDefault="00000000">
            <w:pPr>
              <w:pStyle w:val="TableParagraph"/>
              <w:spacing w:line="211" w:lineRule="exact"/>
              <w:ind w:right="69"/>
              <w:rPr>
                <w:sz w:val="16"/>
              </w:rPr>
            </w:pPr>
            <w:r>
              <w:rPr>
                <w:spacing w:val="-2"/>
                <w:w w:val="110"/>
                <w:sz w:val="16"/>
              </w:rPr>
              <w:t>(23.886)</w:t>
            </w:r>
          </w:p>
        </w:tc>
        <w:tc>
          <w:tcPr>
            <w:tcW w:w="202" w:type="dxa"/>
          </w:tcPr>
          <w:p w14:paraId="5972116B" w14:textId="77777777" w:rsidR="002C6574" w:rsidRDefault="002C6574">
            <w:pPr>
              <w:pStyle w:val="TableParagraph"/>
              <w:jc w:val="left"/>
              <w:rPr>
                <w:rFonts w:ascii="Times New Roman"/>
                <w:sz w:val="16"/>
              </w:rPr>
            </w:pPr>
          </w:p>
        </w:tc>
        <w:tc>
          <w:tcPr>
            <w:tcW w:w="1916" w:type="dxa"/>
            <w:gridSpan w:val="2"/>
            <w:tcBorders>
              <w:bottom w:val="single" w:sz="4" w:space="0" w:color="000000"/>
            </w:tcBorders>
          </w:tcPr>
          <w:p w14:paraId="08130BD1" w14:textId="77777777" w:rsidR="002C6574" w:rsidRDefault="00000000">
            <w:pPr>
              <w:pStyle w:val="TableParagraph"/>
              <w:spacing w:line="211" w:lineRule="exact"/>
              <w:ind w:left="1247"/>
              <w:jc w:val="left"/>
              <w:rPr>
                <w:sz w:val="16"/>
              </w:rPr>
            </w:pPr>
            <w:r>
              <w:rPr>
                <w:spacing w:val="-2"/>
                <w:w w:val="110"/>
                <w:sz w:val="16"/>
              </w:rPr>
              <w:t>(14.792)</w:t>
            </w:r>
          </w:p>
        </w:tc>
      </w:tr>
      <w:tr w:rsidR="002C6574" w14:paraId="27304114" w14:textId="77777777">
        <w:trPr>
          <w:trHeight w:val="230"/>
        </w:trPr>
        <w:tc>
          <w:tcPr>
            <w:tcW w:w="4631" w:type="dxa"/>
          </w:tcPr>
          <w:p w14:paraId="1FE1BE76" w14:textId="77777777" w:rsidR="002C6574" w:rsidRDefault="00000000">
            <w:pPr>
              <w:pStyle w:val="TableParagraph"/>
              <w:spacing w:before="46" w:line="163" w:lineRule="exact"/>
              <w:ind w:left="50"/>
              <w:jc w:val="left"/>
              <w:rPr>
                <w:rFonts w:ascii="Arial"/>
                <w:b/>
                <w:sz w:val="16"/>
              </w:rPr>
            </w:pPr>
            <w:r>
              <w:rPr>
                <w:rFonts w:ascii="Arial"/>
                <w:b/>
                <w:sz w:val="16"/>
              </w:rPr>
              <w:t>Lucro</w:t>
            </w:r>
            <w:r>
              <w:rPr>
                <w:rFonts w:ascii="Arial"/>
                <w:b/>
                <w:spacing w:val="-4"/>
                <w:sz w:val="16"/>
              </w:rPr>
              <w:t xml:space="preserve"> </w:t>
            </w:r>
            <w:r>
              <w:rPr>
                <w:rFonts w:ascii="Arial"/>
                <w:b/>
                <w:sz w:val="16"/>
              </w:rPr>
              <w:t>Operacional</w:t>
            </w:r>
            <w:r>
              <w:rPr>
                <w:rFonts w:ascii="Arial"/>
                <w:b/>
                <w:spacing w:val="-2"/>
                <w:sz w:val="16"/>
              </w:rPr>
              <w:t xml:space="preserve"> </w:t>
            </w:r>
            <w:r>
              <w:rPr>
                <w:rFonts w:ascii="Arial"/>
                <w:b/>
                <w:sz w:val="16"/>
              </w:rPr>
              <w:t>antes</w:t>
            </w:r>
            <w:r>
              <w:rPr>
                <w:rFonts w:ascii="Arial"/>
                <w:b/>
                <w:spacing w:val="-3"/>
                <w:sz w:val="16"/>
              </w:rPr>
              <w:t xml:space="preserve"> </w:t>
            </w:r>
            <w:r>
              <w:rPr>
                <w:rFonts w:ascii="Arial"/>
                <w:b/>
                <w:sz w:val="16"/>
              </w:rPr>
              <w:t>do</w:t>
            </w:r>
            <w:r>
              <w:rPr>
                <w:rFonts w:ascii="Arial"/>
                <w:b/>
                <w:spacing w:val="-6"/>
                <w:sz w:val="16"/>
              </w:rPr>
              <w:t xml:space="preserve"> </w:t>
            </w:r>
            <w:r>
              <w:rPr>
                <w:rFonts w:ascii="Arial"/>
                <w:b/>
                <w:sz w:val="16"/>
              </w:rPr>
              <w:t>Resultado</w:t>
            </w:r>
            <w:r>
              <w:rPr>
                <w:rFonts w:ascii="Arial"/>
                <w:b/>
                <w:spacing w:val="-5"/>
                <w:sz w:val="16"/>
              </w:rPr>
              <w:t xml:space="preserve"> </w:t>
            </w:r>
            <w:r>
              <w:rPr>
                <w:rFonts w:ascii="Arial"/>
                <w:b/>
                <w:spacing w:val="-2"/>
                <w:sz w:val="16"/>
              </w:rPr>
              <w:t>Financeiro</w:t>
            </w:r>
          </w:p>
        </w:tc>
        <w:tc>
          <w:tcPr>
            <w:tcW w:w="1293" w:type="dxa"/>
          </w:tcPr>
          <w:p w14:paraId="32546F9D" w14:textId="77777777" w:rsidR="002C6574" w:rsidRDefault="002C6574">
            <w:pPr>
              <w:pStyle w:val="TableParagraph"/>
              <w:jc w:val="left"/>
              <w:rPr>
                <w:rFonts w:ascii="Times New Roman"/>
                <w:sz w:val="16"/>
              </w:rPr>
            </w:pPr>
          </w:p>
        </w:tc>
        <w:tc>
          <w:tcPr>
            <w:tcW w:w="2005" w:type="dxa"/>
            <w:gridSpan w:val="2"/>
            <w:tcBorders>
              <w:top w:val="single" w:sz="4" w:space="0" w:color="000000"/>
              <w:bottom w:val="single" w:sz="4" w:space="0" w:color="000000"/>
            </w:tcBorders>
          </w:tcPr>
          <w:p w14:paraId="6C4A9D18" w14:textId="77777777" w:rsidR="002C6574" w:rsidRDefault="00000000">
            <w:pPr>
              <w:pStyle w:val="TableParagraph"/>
              <w:spacing w:before="46" w:line="163" w:lineRule="exact"/>
              <w:ind w:right="69"/>
              <w:rPr>
                <w:rFonts w:ascii="Arial"/>
                <w:b/>
                <w:sz w:val="16"/>
              </w:rPr>
            </w:pPr>
            <w:r>
              <w:rPr>
                <w:rFonts w:ascii="Arial"/>
                <w:b/>
                <w:spacing w:val="-2"/>
                <w:sz w:val="16"/>
              </w:rPr>
              <w:t>236.700</w:t>
            </w:r>
          </w:p>
        </w:tc>
        <w:tc>
          <w:tcPr>
            <w:tcW w:w="202" w:type="dxa"/>
          </w:tcPr>
          <w:p w14:paraId="0579915E" w14:textId="77777777" w:rsidR="002C6574" w:rsidRDefault="002C6574">
            <w:pPr>
              <w:pStyle w:val="TableParagraph"/>
              <w:jc w:val="left"/>
              <w:rPr>
                <w:rFonts w:ascii="Times New Roman"/>
                <w:sz w:val="16"/>
              </w:rPr>
            </w:pPr>
          </w:p>
        </w:tc>
        <w:tc>
          <w:tcPr>
            <w:tcW w:w="1916" w:type="dxa"/>
            <w:gridSpan w:val="2"/>
            <w:tcBorders>
              <w:top w:val="single" w:sz="4" w:space="0" w:color="000000"/>
              <w:bottom w:val="single" w:sz="4" w:space="0" w:color="000000"/>
            </w:tcBorders>
          </w:tcPr>
          <w:p w14:paraId="23CA6924" w14:textId="77777777" w:rsidR="002C6574" w:rsidRDefault="00000000">
            <w:pPr>
              <w:pStyle w:val="TableParagraph"/>
              <w:spacing w:before="46" w:line="163" w:lineRule="exact"/>
              <w:ind w:right="68"/>
              <w:rPr>
                <w:rFonts w:ascii="Arial"/>
                <w:b/>
                <w:sz w:val="16"/>
              </w:rPr>
            </w:pPr>
            <w:r>
              <w:rPr>
                <w:rFonts w:ascii="Arial"/>
                <w:b/>
                <w:spacing w:val="-2"/>
                <w:sz w:val="16"/>
              </w:rPr>
              <w:t>18.496</w:t>
            </w:r>
          </w:p>
        </w:tc>
      </w:tr>
      <w:tr w:rsidR="002C6574" w14:paraId="0C58C0A8" w14:textId="77777777">
        <w:trPr>
          <w:trHeight w:val="230"/>
        </w:trPr>
        <w:tc>
          <w:tcPr>
            <w:tcW w:w="4631" w:type="dxa"/>
          </w:tcPr>
          <w:p w14:paraId="013D5C2F" w14:textId="77777777" w:rsidR="002C6574" w:rsidRDefault="002C6574">
            <w:pPr>
              <w:pStyle w:val="TableParagraph"/>
              <w:jc w:val="left"/>
              <w:rPr>
                <w:rFonts w:ascii="Times New Roman"/>
                <w:sz w:val="16"/>
              </w:rPr>
            </w:pPr>
          </w:p>
        </w:tc>
        <w:tc>
          <w:tcPr>
            <w:tcW w:w="1293" w:type="dxa"/>
          </w:tcPr>
          <w:p w14:paraId="2A06283B" w14:textId="77777777" w:rsidR="002C6574" w:rsidRDefault="002C6574">
            <w:pPr>
              <w:pStyle w:val="TableParagraph"/>
              <w:jc w:val="left"/>
              <w:rPr>
                <w:rFonts w:ascii="Times New Roman"/>
                <w:sz w:val="16"/>
              </w:rPr>
            </w:pPr>
          </w:p>
        </w:tc>
        <w:tc>
          <w:tcPr>
            <w:tcW w:w="2005" w:type="dxa"/>
            <w:gridSpan w:val="2"/>
            <w:tcBorders>
              <w:top w:val="single" w:sz="4" w:space="0" w:color="000000"/>
              <w:bottom w:val="single" w:sz="4" w:space="0" w:color="000000"/>
            </w:tcBorders>
          </w:tcPr>
          <w:p w14:paraId="494218E8" w14:textId="77777777" w:rsidR="002C6574" w:rsidRDefault="002C6574">
            <w:pPr>
              <w:pStyle w:val="TableParagraph"/>
              <w:jc w:val="left"/>
              <w:rPr>
                <w:rFonts w:ascii="Times New Roman"/>
                <w:sz w:val="16"/>
              </w:rPr>
            </w:pPr>
          </w:p>
        </w:tc>
        <w:tc>
          <w:tcPr>
            <w:tcW w:w="202" w:type="dxa"/>
          </w:tcPr>
          <w:p w14:paraId="07C2477A" w14:textId="77777777" w:rsidR="002C6574" w:rsidRDefault="002C6574">
            <w:pPr>
              <w:pStyle w:val="TableParagraph"/>
              <w:jc w:val="left"/>
              <w:rPr>
                <w:rFonts w:ascii="Times New Roman"/>
                <w:sz w:val="16"/>
              </w:rPr>
            </w:pPr>
          </w:p>
        </w:tc>
        <w:tc>
          <w:tcPr>
            <w:tcW w:w="1916" w:type="dxa"/>
            <w:gridSpan w:val="2"/>
            <w:tcBorders>
              <w:top w:val="single" w:sz="4" w:space="0" w:color="000000"/>
              <w:bottom w:val="single" w:sz="4" w:space="0" w:color="000000"/>
            </w:tcBorders>
          </w:tcPr>
          <w:p w14:paraId="433CBE2E" w14:textId="77777777" w:rsidR="002C6574" w:rsidRDefault="002C6574">
            <w:pPr>
              <w:pStyle w:val="TableParagraph"/>
              <w:jc w:val="left"/>
              <w:rPr>
                <w:rFonts w:ascii="Times New Roman"/>
                <w:sz w:val="16"/>
              </w:rPr>
            </w:pPr>
          </w:p>
        </w:tc>
      </w:tr>
      <w:tr w:rsidR="002C6574" w14:paraId="793AC1FB" w14:textId="77777777">
        <w:trPr>
          <w:trHeight w:val="230"/>
        </w:trPr>
        <w:tc>
          <w:tcPr>
            <w:tcW w:w="4631" w:type="dxa"/>
          </w:tcPr>
          <w:p w14:paraId="43E3AD9F" w14:textId="77777777" w:rsidR="002C6574" w:rsidRDefault="00000000">
            <w:pPr>
              <w:pStyle w:val="TableParagraph"/>
              <w:spacing w:before="46" w:line="163" w:lineRule="exact"/>
              <w:ind w:left="50"/>
              <w:jc w:val="left"/>
              <w:rPr>
                <w:rFonts w:ascii="Arial"/>
                <w:b/>
                <w:sz w:val="16"/>
              </w:rPr>
            </w:pPr>
            <w:r>
              <w:rPr>
                <w:rFonts w:ascii="Arial"/>
                <w:b/>
                <w:sz w:val="16"/>
              </w:rPr>
              <w:t>Resultado</w:t>
            </w:r>
            <w:r>
              <w:rPr>
                <w:rFonts w:ascii="Arial"/>
                <w:b/>
                <w:spacing w:val="-2"/>
                <w:sz w:val="16"/>
              </w:rPr>
              <w:t xml:space="preserve"> Financeiro</w:t>
            </w:r>
          </w:p>
        </w:tc>
        <w:tc>
          <w:tcPr>
            <w:tcW w:w="1293" w:type="dxa"/>
          </w:tcPr>
          <w:p w14:paraId="10887645" w14:textId="77777777" w:rsidR="002C6574" w:rsidRDefault="00000000">
            <w:pPr>
              <w:pStyle w:val="TableParagraph"/>
              <w:spacing w:before="24" w:line="186" w:lineRule="exact"/>
              <w:ind w:right="198"/>
              <w:rPr>
                <w:sz w:val="16"/>
              </w:rPr>
            </w:pPr>
            <w:r>
              <w:rPr>
                <w:spacing w:val="-5"/>
                <w:w w:val="105"/>
                <w:sz w:val="16"/>
              </w:rPr>
              <w:t>32</w:t>
            </w:r>
          </w:p>
        </w:tc>
        <w:tc>
          <w:tcPr>
            <w:tcW w:w="2005" w:type="dxa"/>
            <w:gridSpan w:val="2"/>
            <w:tcBorders>
              <w:top w:val="single" w:sz="4" w:space="0" w:color="000000"/>
              <w:bottom w:val="single" w:sz="4" w:space="0" w:color="000000"/>
            </w:tcBorders>
          </w:tcPr>
          <w:p w14:paraId="5E2DEFCF" w14:textId="77777777" w:rsidR="002C6574" w:rsidRDefault="00000000">
            <w:pPr>
              <w:pStyle w:val="TableParagraph"/>
              <w:spacing w:before="46" w:line="163" w:lineRule="exact"/>
              <w:ind w:right="69"/>
              <w:rPr>
                <w:rFonts w:ascii="Arial"/>
                <w:b/>
                <w:sz w:val="16"/>
              </w:rPr>
            </w:pPr>
            <w:r>
              <w:rPr>
                <w:rFonts w:ascii="Arial"/>
                <w:b/>
                <w:spacing w:val="-2"/>
                <w:sz w:val="16"/>
              </w:rPr>
              <w:t>(54.264)</w:t>
            </w:r>
          </w:p>
        </w:tc>
        <w:tc>
          <w:tcPr>
            <w:tcW w:w="202" w:type="dxa"/>
          </w:tcPr>
          <w:p w14:paraId="2355C1A0" w14:textId="77777777" w:rsidR="002C6574" w:rsidRDefault="002C6574">
            <w:pPr>
              <w:pStyle w:val="TableParagraph"/>
              <w:jc w:val="left"/>
              <w:rPr>
                <w:rFonts w:ascii="Times New Roman"/>
                <w:sz w:val="16"/>
              </w:rPr>
            </w:pPr>
          </w:p>
        </w:tc>
        <w:tc>
          <w:tcPr>
            <w:tcW w:w="1916" w:type="dxa"/>
            <w:gridSpan w:val="2"/>
            <w:tcBorders>
              <w:top w:val="single" w:sz="4" w:space="0" w:color="000000"/>
              <w:bottom w:val="single" w:sz="4" w:space="0" w:color="000000"/>
            </w:tcBorders>
          </w:tcPr>
          <w:p w14:paraId="2BF1E068" w14:textId="77777777" w:rsidR="002C6574" w:rsidRDefault="00000000">
            <w:pPr>
              <w:pStyle w:val="TableParagraph"/>
              <w:spacing w:before="46" w:line="163" w:lineRule="exact"/>
              <w:ind w:left="1247"/>
              <w:jc w:val="left"/>
              <w:rPr>
                <w:rFonts w:ascii="Arial"/>
                <w:b/>
                <w:sz w:val="16"/>
              </w:rPr>
            </w:pPr>
            <w:r>
              <w:rPr>
                <w:rFonts w:ascii="Arial"/>
                <w:b/>
                <w:spacing w:val="-2"/>
                <w:sz w:val="16"/>
              </w:rPr>
              <w:t>(85.068)</w:t>
            </w:r>
          </w:p>
        </w:tc>
      </w:tr>
      <w:tr w:rsidR="002C6574" w14:paraId="5C1CE2A9" w14:textId="77777777">
        <w:trPr>
          <w:trHeight w:val="256"/>
        </w:trPr>
        <w:tc>
          <w:tcPr>
            <w:tcW w:w="4631" w:type="dxa"/>
          </w:tcPr>
          <w:p w14:paraId="5E30AFF8" w14:textId="77777777" w:rsidR="002C6574" w:rsidRDefault="00000000">
            <w:pPr>
              <w:pStyle w:val="TableParagraph"/>
              <w:spacing w:before="24" w:line="212" w:lineRule="exact"/>
              <w:ind w:left="50"/>
              <w:jc w:val="left"/>
              <w:rPr>
                <w:sz w:val="16"/>
              </w:rPr>
            </w:pPr>
            <w:r>
              <w:rPr>
                <w:w w:val="105"/>
                <w:sz w:val="16"/>
              </w:rPr>
              <w:t>Receitas</w:t>
            </w:r>
            <w:r>
              <w:rPr>
                <w:spacing w:val="8"/>
                <w:w w:val="105"/>
                <w:sz w:val="16"/>
              </w:rPr>
              <w:t xml:space="preserve"> </w:t>
            </w:r>
            <w:r>
              <w:rPr>
                <w:spacing w:val="-2"/>
                <w:w w:val="105"/>
                <w:sz w:val="16"/>
              </w:rPr>
              <w:t>Financeiras</w:t>
            </w:r>
          </w:p>
        </w:tc>
        <w:tc>
          <w:tcPr>
            <w:tcW w:w="1293" w:type="dxa"/>
          </w:tcPr>
          <w:p w14:paraId="0CDBAB9E" w14:textId="77777777" w:rsidR="002C6574" w:rsidRDefault="002C6574">
            <w:pPr>
              <w:pStyle w:val="TableParagraph"/>
              <w:jc w:val="left"/>
              <w:rPr>
                <w:rFonts w:ascii="Times New Roman"/>
                <w:sz w:val="16"/>
              </w:rPr>
            </w:pPr>
          </w:p>
        </w:tc>
        <w:tc>
          <w:tcPr>
            <w:tcW w:w="2005" w:type="dxa"/>
            <w:gridSpan w:val="2"/>
            <w:tcBorders>
              <w:top w:val="single" w:sz="4" w:space="0" w:color="000000"/>
            </w:tcBorders>
          </w:tcPr>
          <w:p w14:paraId="62537CCD" w14:textId="77777777" w:rsidR="002C6574" w:rsidRDefault="00000000">
            <w:pPr>
              <w:pStyle w:val="TableParagraph"/>
              <w:spacing w:before="24" w:line="212" w:lineRule="exact"/>
              <w:ind w:right="69"/>
              <w:rPr>
                <w:sz w:val="16"/>
              </w:rPr>
            </w:pPr>
            <w:r>
              <w:rPr>
                <w:spacing w:val="-2"/>
                <w:w w:val="105"/>
                <w:sz w:val="16"/>
              </w:rPr>
              <w:t>222.881</w:t>
            </w:r>
          </w:p>
        </w:tc>
        <w:tc>
          <w:tcPr>
            <w:tcW w:w="202" w:type="dxa"/>
          </w:tcPr>
          <w:p w14:paraId="37E7AB5A" w14:textId="77777777" w:rsidR="002C6574" w:rsidRDefault="002C6574">
            <w:pPr>
              <w:pStyle w:val="TableParagraph"/>
              <w:jc w:val="left"/>
              <w:rPr>
                <w:rFonts w:ascii="Times New Roman"/>
                <w:sz w:val="16"/>
              </w:rPr>
            </w:pPr>
          </w:p>
        </w:tc>
        <w:tc>
          <w:tcPr>
            <w:tcW w:w="1916" w:type="dxa"/>
            <w:gridSpan w:val="2"/>
            <w:tcBorders>
              <w:top w:val="single" w:sz="4" w:space="0" w:color="000000"/>
            </w:tcBorders>
          </w:tcPr>
          <w:p w14:paraId="4DA55E3B" w14:textId="77777777" w:rsidR="002C6574" w:rsidRDefault="00000000">
            <w:pPr>
              <w:pStyle w:val="TableParagraph"/>
              <w:spacing w:before="24" w:line="212" w:lineRule="exact"/>
              <w:ind w:left="1267"/>
              <w:jc w:val="left"/>
              <w:rPr>
                <w:sz w:val="16"/>
              </w:rPr>
            </w:pPr>
            <w:r>
              <w:rPr>
                <w:spacing w:val="-2"/>
                <w:w w:val="105"/>
                <w:sz w:val="16"/>
              </w:rPr>
              <w:t>128.344</w:t>
            </w:r>
          </w:p>
        </w:tc>
      </w:tr>
      <w:tr w:rsidR="002C6574" w14:paraId="4D3D05B5" w14:textId="77777777">
        <w:trPr>
          <w:trHeight w:val="229"/>
        </w:trPr>
        <w:tc>
          <w:tcPr>
            <w:tcW w:w="4631" w:type="dxa"/>
          </w:tcPr>
          <w:p w14:paraId="5B305671" w14:textId="77777777" w:rsidR="002C6574" w:rsidRDefault="00000000">
            <w:pPr>
              <w:pStyle w:val="TableParagraph"/>
              <w:spacing w:line="209" w:lineRule="exact"/>
              <w:ind w:left="50"/>
              <w:jc w:val="left"/>
              <w:rPr>
                <w:sz w:val="16"/>
              </w:rPr>
            </w:pPr>
            <w:r>
              <w:rPr>
                <w:w w:val="105"/>
                <w:sz w:val="16"/>
              </w:rPr>
              <w:t>Despesas</w:t>
            </w:r>
            <w:r>
              <w:rPr>
                <w:spacing w:val="15"/>
                <w:w w:val="105"/>
                <w:sz w:val="16"/>
              </w:rPr>
              <w:t xml:space="preserve"> </w:t>
            </w:r>
            <w:r>
              <w:rPr>
                <w:spacing w:val="-2"/>
                <w:w w:val="105"/>
                <w:sz w:val="16"/>
              </w:rPr>
              <w:t>Financeiras</w:t>
            </w:r>
          </w:p>
        </w:tc>
        <w:tc>
          <w:tcPr>
            <w:tcW w:w="1293" w:type="dxa"/>
          </w:tcPr>
          <w:p w14:paraId="68712037" w14:textId="77777777" w:rsidR="002C6574" w:rsidRDefault="002C6574">
            <w:pPr>
              <w:pStyle w:val="TableParagraph"/>
              <w:jc w:val="left"/>
              <w:rPr>
                <w:rFonts w:ascii="Times New Roman"/>
                <w:sz w:val="16"/>
              </w:rPr>
            </w:pPr>
          </w:p>
        </w:tc>
        <w:tc>
          <w:tcPr>
            <w:tcW w:w="2005" w:type="dxa"/>
            <w:gridSpan w:val="2"/>
          </w:tcPr>
          <w:p w14:paraId="56EDBEC9" w14:textId="77777777" w:rsidR="002C6574" w:rsidRDefault="00000000">
            <w:pPr>
              <w:pStyle w:val="TableParagraph"/>
              <w:spacing w:line="209" w:lineRule="exact"/>
              <w:ind w:left="1249"/>
              <w:jc w:val="left"/>
              <w:rPr>
                <w:sz w:val="16"/>
              </w:rPr>
            </w:pPr>
            <w:r>
              <w:rPr>
                <w:spacing w:val="-2"/>
                <w:w w:val="105"/>
                <w:sz w:val="16"/>
              </w:rPr>
              <w:t>(274.634)</w:t>
            </w:r>
          </w:p>
        </w:tc>
        <w:tc>
          <w:tcPr>
            <w:tcW w:w="202" w:type="dxa"/>
          </w:tcPr>
          <w:p w14:paraId="79BD18EE" w14:textId="77777777" w:rsidR="002C6574" w:rsidRDefault="002C6574">
            <w:pPr>
              <w:pStyle w:val="TableParagraph"/>
              <w:jc w:val="left"/>
              <w:rPr>
                <w:rFonts w:ascii="Times New Roman"/>
                <w:sz w:val="16"/>
              </w:rPr>
            </w:pPr>
          </w:p>
        </w:tc>
        <w:tc>
          <w:tcPr>
            <w:tcW w:w="1916" w:type="dxa"/>
            <w:gridSpan w:val="2"/>
          </w:tcPr>
          <w:p w14:paraId="66726296" w14:textId="77777777" w:rsidR="002C6574" w:rsidRDefault="00000000">
            <w:pPr>
              <w:pStyle w:val="TableParagraph"/>
              <w:spacing w:line="209" w:lineRule="exact"/>
              <w:ind w:left="1159"/>
              <w:jc w:val="left"/>
              <w:rPr>
                <w:sz w:val="16"/>
              </w:rPr>
            </w:pPr>
            <w:r>
              <w:rPr>
                <w:spacing w:val="-2"/>
                <w:w w:val="105"/>
                <w:sz w:val="16"/>
              </w:rPr>
              <w:t>(213.412)</w:t>
            </w:r>
          </w:p>
        </w:tc>
      </w:tr>
      <w:tr w:rsidR="002C6574" w14:paraId="47DE8EBD" w14:textId="77777777">
        <w:trPr>
          <w:trHeight w:val="433"/>
        </w:trPr>
        <w:tc>
          <w:tcPr>
            <w:tcW w:w="4631" w:type="dxa"/>
          </w:tcPr>
          <w:p w14:paraId="3910DC34" w14:textId="77777777" w:rsidR="002C6574" w:rsidRDefault="00000000">
            <w:pPr>
              <w:pStyle w:val="TableParagraph"/>
              <w:spacing w:line="210" w:lineRule="exact"/>
              <w:ind w:left="50"/>
              <w:jc w:val="left"/>
              <w:rPr>
                <w:sz w:val="16"/>
              </w:rPr>
            </w:pPr>
            <w:r>
              <w:rPr>
                <w:sz w:val="16"/>
              </w:rPr>
              <w:t>Variação</w:t>
            </w:r>
            <w:r>
              <w:rPr>
                <w:spacing w:val="24"/>
                <w:sz w:val="16"/>
              </w:rPr>
              <w:t xml:space="preserve"> </w:t>
            </w:r>
            <w:r>
              <w:rPr>
                <w:spacing w:val="-2"/>
                <w:sz w:val="16"/>
              </w:rPr>
              <w:t>Cambial</w:t>
            </w:r>
          </w:p>
        </w:tc>
        <w:tc>
          <w:tcPr>
            <w:tcW w:w="1293" w:type="dxa"/>
          </w:tcPr>
          <w:p w14:paraId="56DC7C7F" w14:textId="77777777" w:rsidR="002C6574" w:rsidRDefault="002C6574">
            <w:pPr>
              <w:pStyle w:val="TableParagraph"/>
              <w:jc w:val="left"/>
              <w:rPr>
                <w:rFonts w:ascii="Times New Roman"/>
                <w:sz w:val="16"/>
              </w:rPr>
            </w:pPr>
          </w:p>
        </w:tc>
        <w:tc>
          <w:tcPr>
            <w:tcW w:w="2005" w:type="dxa"/>
            <w:gridSpan w:val="2"/>
            <w:tcBorders>
              <w:bottom w:val="single" w:sz="4" w:space="0" w:color="000000"/>
            </w:tcBorders>
          </w:tcPr>
          <w:p w14:paraId="63A10A86" w14:textId="77777777" w:rsidR="002C6574" w:rsidRDefault="00000000">
            <w:pPr>
              <w:pStyle w:val="TableParagraph"/>
              <w:spacing w:line="210" w:lineRule="exact"/>
              <w:ind w:right="69"/>
              <w:rPr>
                <w:sz w:val="16"/>
              </w:rPr>
            </w:pPr>
            <w:r>
              <w:rPr>
                <w:spacing w:val="-2"/>
                <w:w w:val="110"/>
                <w:sz w:val="16"/>
              </w:rPr>
              <w:t>(2.511)</w:t>
            </w:r>
          </w:p>
        </w:tc>
        <w:tc>
          <w:tcPr>
            <w:tcW w:w="202" w:type="dxa"/>
          </w:tcPr>
          <w:p w14:paraId="341D9038" w14:textId="77777777" w:rsidR="002C6574" w:rsidRDefault="002C6574">
            <w:pPr>
              <w:pStyle w:val="TableParagraph"/>
              <w:jc w:val="left"/>
              <w:rPr>
                <w:rFonts w:ascii="Times New Roman"/>
                <w:sz w:val="16"/>
              </w:rPr>
            </w:pPr>
          </w:p>
        </w:tc>
        <w:tc>
          <w:tcPr>
            <w:tcW w:w="1916" w:type="dxa"/>
            <w:gridSpan w:val="2"/>
            <w:tcBorders>
              <w:bottom w:val="single" w:sz="4" w:space="0" w:color="000000"/>
            </w:tcBorders>
          </w:tcPr>
          <w:p w14:paraId="6D329081" w14:textId="77777777" w:rsidR="002C6574" w:rsidRDefault="00000000">
            <w:pPr>
              <w:pStyle w:val="TableParagraph"/>
              <w:spacing w:line="210" w:lineRule="exact"/>
              <w:ind w:right="67"/>
              <w:rPr>
                <w:sz w:val="16"/>
              </w:rPr>
            </w:pPr>
            <w:r>
              <w:rPr>
                <w:spacing w:val="-10"/>
                <w:w w:val="95"/>
                <w:sz w:val="16"/>
              </w:rPr>
              <w:t>-</w:t>
            </w:r>
          </w:p>
        </w:tc>
      </w:tr>
      <w:tr w:rsidR="002C6574" w14:paraId="66C28BDB" w14:textId="77777777">
        <w:trPr>
          <w:trHeight w:val="230"/>
        </w:trPr>
        <w:tc>
          <w:tcPr>
            <w:tcW w:w="4631" w:type="dxa"/>
          </w:tcPr>
          <w:p w14:paraId="4016B576" w14:textId="77777777" w:rsidR="002C6574" w:rsidRDefault="00000000">
            <w:pPr>
              <w:pStyle w:val="TableParagraph"/>
              <w:spacing w:before="46" w:line="163" w:lineRule="exact"/>
              <w:ind w:left="50"/>
              <w:jc w:val="left"/>
              <w:rPr>
                <w:rFonts w:ascii="Arial"/>
                <w:b/>
                <w:sz w:val="16"/>
              </w:rPr>
            </w:pPr>
            <w:r>
              <w:rPr>
                <w:rFonts w:ascii="Arial"/>
                <w:b/>
                <w:sz w:val="16"/>
              </w:rPr>
              <w:t>Resultado</w:t>
            </w:r>
            <w:r>
              <w:rPr>
                <w:rFonts w:ascii="Arial"/>
                <w:b/>
                <w:spacing w:val="-3"/>
                <w:sz w:val="16"/>
              </w:rPr>
              <w:t xml:space="preserve"> </w:t>
            </w:r>
            <w:r>
              <w:rPr>
                <w:rFonts w:ascii="Arial"/>
                <w:b/>
                <w:sz w:val="16"/>
              </w:rPr>
              <w:t>Antes</w:t>
            </w:r>
            <w:r>
              <w:rPr>
                <w:rFonts w:ascii="Arial"/>
                <w:b/>
                <w:spacing w:val="-4"/>
                <w:sz w:val="16"/>
              </w:rPr>
              <w:t xml:space="preserve"> </w:t>
            </w:r>
            <w:r>
              <w:rPr>
                <w:rFonts w:ascii="Arial"/>
                <w:b/>
                <w:sz w:val="16"/>
              </w:rPr>
              <w:t>dos</w:t>
            </w:r>
            <w:r>
              <w:rPr>
                <w:rFonts w:ascii="Arial"/>
                <w:b/>
                <w:spacing w:val="-4"/>
                <w:sz w:val="16"/>
              </w:rPr>
              <w:t xml:space="preserve"> </w:t>
            </w:r>
            <w:r>
              <w:rPr>
                <w:rFonts w:ascii="Arial"/>
                <w:b/>
                <w:sz w:val="16"/>
              </w:rPr>
              <w:t>Tributos</w:t>
            </w:r>
            <w:r>
              <w:rPr>
                <w:rFonts w:ascii="Arial"/>
                <w:b/>
                <w:spacing w:val="-3"/>
                <w:sz w:val="16"/>
              </w:rPr>
              <w:t xml:space="preserve"> </w:t>
            </w:r>
            <w:r>
              <w:rPr>
                <w:rFonts w:ascii="Arial"/>
                <w:b/>
                <w:sz w:val="16"/>
              </w:rPr>
              <w:t>sobre</w:t>
            </w:r>
            <w:r>
              <w:rPr>
                <w:rFonts w:ascii="Arial"/>
                <w:b/>
                <w:spacing w:val="-2"/>
                <w:sz w:val="16"/>
              </w:rPr>
              <w:t xml:space="preserve"> </w:t>
            </w:r>
            <w:r>
              <w:rPr>
                <w:rFonts w:ascii="Arial"/>
                <w:b/>
                <w:sz w:val="16"/>
              </w:rPr>
              <w:t>o</w:t>
            </w:r>
            <w:r>
              <w:rPr>
                <w:rFonts w:ascii="Arial"/>
                <w:b/>
                <w:spacing w:val="-3"/>
                <w:sz w:val="16"/>
              </w:rPr>
              <w:t xml:space="preserve"> </w:t>
            </w:r>
            <w:r>
              <w:rPr>
                <w:rFonts w:ascii="Arial"/>
                <w:b/>
                <w:spacing w:val="-2"/>
                <w:sz w:val="16"/>
              </w:rPr>
              <w:t>Resultado</w:t>
            </w:r>
          </w:p>
        </w:tc>
        <w:tc>
          <w:tcPr>
            <w:tcW w:w="1293" w:type="dxa"/>
          </w:tcPr>
          <w:p w14:paraId="423C50AD" w14:textId="77777777" w:rsidR="002C6574" w:rsidRDefault="002C6574">
            <w:pPr>
              <w:pStyle w:val="TableParagraph"/>
              <w:jc w:val="left"/>
              <w:rPr>
                <w:rFonts w:ascii="Times New Roman"/>
                <w:sz w:val="16"/>
              </w:rPr>
            </w:pPr>
          </w:p>
        </w:tc>
        <w:tc>
          <w:tcPr>
            <w:tcW w:w="2005" w:type="dxa"/>
            <w:gridSpan w:val="2"/>
            <w:tcBorders>
              <w:top w:val="single" w:sz="4" w:space="0" w:color="000000"/>
              <w:bottom w:val="single" w:sz="4" w:space="0" w:color="000000"/>
            </w:tcBorders>
          </w:tcPr>
          <w:p w14:paraId="1EEFCA67" w14:textId="77777777" w:rsidR="002C6574" w:rsidRDefault="00000000">
            <w:pPr>
              <w:pStyle w:val="TableParagraph"/>
              <w:spacing w:before="46" w:line="163" w:lineRule="exact"/>
              <w:ind w:right="69"/>
              <w:rPr>
                <w:rFonts w:ascii="Arial"/>
                <w:b/>
                <w:sz w:val="16"/>
              </w:rPr>
            </w:pPr>
            <w:r>
              <w:rPr>
                <w:rFonts w:ascii="Arial"/>
                <w:b/>
                <w:spacing w:val="-2"/>
                <w:sz w:val="16"/>
              </w:rPr>
              <w:t>182.436</w:t>
            </w:r>
          </w:p>
        </w:tc>
        <w:tc>
          <w:tcPr>
            <w:tcW w:w="202" w:type="dxa"/>
          </w:tcPr>
          <w:p w14:paraId="703484D1" w14:textId="77777777" w:rsidR="002C6574" w:rsidRDefault="002C6574">
            <w:pPr>
              <w:pStyle w:val="TableParagraph"/>
              <w:jc w:val="left"/>
              <w:rPr>
                <w:rFonts w:ascii="Times New Roman"/>
                <w:sz w:val="16"/>
              </w:rPr>
            </w:pPr>
          </w:p>
        </w:tc>
        <w:tc>
          <w:tcPr>
            <w:tcW w:w="1916" w:type="dxa"/>
            <w:gridSpan w:val="2"/>
            <w:tcBorders>
              <w:top w:val="single" w:sz="4" w:space="0" w:color="000000"/>
              <w:bottom w:val="single" w:sz="4" w:space="0" w:color="000000"/>
            </w:tcBorders>
          </w:tcPr>
          <w:p w14:paraId="29D836FF" w14:textId="77777777" w:rsidR="002C6574" w:rsidRDefault="00000000">
            <w:pPr>
              <w:pStyle w:val="TableParagraph"/>
              <w:spacing w:before="46" w:line="163" w:lineRule="exact"/>
              <w:ind w:left="1247"/>
              <w:jc w:val="left"/>
              <w:rPr>
                <w:rFonts w:ascii="Arial"/>
                <w:b/>
                <w:sz w:val="16"/>
              </w:rPr>
            </w:pPr>
            <w:r>
              <w:rPr>
                <w:rFonts w:ascii="Arial"/>
                <w:b/>
                <w:spacing w:val="-2"/>
                <w:sz w:val="16"/>
              </w:rPr>
              <w:t>(66.572)</w:t>
            </w:r>
          </w:p>
        </w:tc>
      </w:tr>
      <w:tr w:rsidR="002C6574" w14:paraId="208881CE" w14:textId="77777777">
        <w:trPr>
          <w:trHeight w:val="230"/>
        </w:trPr>
        <w:tc>
          <w:tcPr>
            <w:tcW w:w="4631" w:type="dxa"/>
          </w:tcPr>
          <w:p w14:paraId="507C4BBD" w14:textId="77777777" w:rsidR="002C6574" w:rsidRDefault="002C6574">
            <w:pPr>
              <w:pStyle w:val="TableParagraph"/>
              <w:jc w:val="left"/>
              <w:rPr>
                <w:rFonts w:ascii="Times New Roman"/>
                <w:sz w:val="16"/>
              </w:rPr>
            </w:pPr>
          </w:p>
        </w:tc>
        <w:tc>
          <w:tcPr>
            <w:tcW w:w="1293" w:type="dxa"/>
          </w:tcPr>
          <w:p w14:paraId="4B72832D" w14:textId="77777777" w:rsidR="002C6574" w:rsidRDefault="002C6574">
            <w:pPr>
              <w:pStyle w:val="TableParagraph"/>
              <w:jc w:val="left"/>
              <w:rPr>
                <w:rFonts w:ascii="Times New Roman"/>
                <w:sz w:val="16"/>
              </w:rPr>
            </w:pPr>
          </w:p>
        </w:tc>
        <w:tc>
          <w:tcPr>
            <w:tcW w:w="2005" w:type="dxa"/>
            <w:gridSpan w:val="2"/>
            <w:tcBorders>
              <w:top w:val="single" w:sz="4" w:space="0" w:color="000000"/>
              <w:bottom w:val="single" w:sz="4" w:space="0" w:color="000000"/>
            </w:tcBorders>
          </w:tcPr>
          <w:p w14:paraId="031F364F" w14:textId="77777777" w:rsidR="002C6574" w:rsidRDefault="002C6574">
            <w:pPr>
              <w:pStyle w:val="TableParagraph"/>
              <w:jc w:val="left"/>
              <w:rPr>
                <w:rFonts w:ascii="Times New Roman"/>
                <w:sz w:val="16"/>
              </w:rPr>
            </w:pPr>
          </w:p>
        </w:tc>
        <w:tc>
          <w:tcPr>
            <w:tcW w:w="202" w:type="dxa"/>
          </w:tcPr>
          <w:p w14:paraId="5F7329D2" w14:textId="77777777" w:rsidR="002C6574" w:rsidRDefault="002C6574">
            <w:pPr>
              <w:pStyle w:val="TableParagraph"/>
              <w:jc w:val="left"/>
              <w:rPr>
                <w:rFonts w:ascii="Times New Roman"/>
                <w:sz w:val="16"/>
              </w:rPr>
            </w:pPr>
          </w:p>
        </w:tc>
        <w:tc>
          <w:tcPr>
            <w:tcW w:w="1916" w:type="dxa"/>
            <w:gridSpan w:val="2"/>
            <w:tcBorders>
              <w:top w:val="single" w:sz="4" w:space="0" w:color="000000"/>
              <w:bottom w:val="single" w:sz="4" w:space="0" w:color="000000"/>
            </w:tcBorders>
          </w:tcPr>
          <w:p w14:paraId="6018552D" w14:textId="77777777" w:rsidR="002C6574" w:rsidRDefault="002C6574">
            <w:pPr>
              <w:pStyle w:val="TableParagraph"/>
              <w:jc w:val="left"/>
              <w:rPr>
                <w:rFonts w:ascii="Times New Roman"/>
                <w:sz w:val="16"/>
              </w:rPr>
            </w:pPr>
          </w:p>
        </w:tc>
      </w:tr>
      <w:tr w:rsidR="002C6574" w14:paraId="3BE02FB2" w14:textId="77777777">
        <w:trPr>
          <w:trHeight w:val="230"/>
        </w:trPr>
        <w:tc>
          <w:tcPr>
            <w:tcW w:w="4631" w:type="dxa"/>
          </w:tcPr>
          <w:p w14:paraId="2FE8893D" w14:textId="77777777" w:rsidR="002C6574" w:rsidRDefault="00000000">
            <w:pPr>
              <w:pStyle w:val="TableParagraph"/>
              <w:spacing w:before="46" w:line="163" w:lineRule="exact"/>
              <w:ind w:left="50"/>
              <w:jc w:val="left"/>
              <w:rPr>
                <w:rFonts w:ascii="Arial" w:hAnsi="Arial"/>
                <w:b/>
                <w:sz w:val="16"/>
              </w:rPr>
            </w:pPr>
            <w:r>
              <w:rPr>
                <w:rFonts w:ascii="Arial" w:hAnsi="Arial"/>
                <w:b/>
                <w:sz w:val="16"/>
              </w:rPr>
              <w:t>Tributos</w:t>
            </w:r>
            <w:r>
              <w:rPr>
                <w:rFonts w:ascii="Arial" w:hAnsi="Arial"/>
                <w:b/>
                <w:spacing w:val="-5"/>
                <w:sz w:val="16"/>
              </w:rPr>
              <w:t xml:space="preserve"> </w:t>
            </w:r>
            <w:r>
              <w:rPr>
                <w:rFonts w:ascii="Arial" w:hAnsi="Arial"/>
                <w:b/>
                <w:sz w:val="16"/>
              </w:rPr>
              <w:t>sobre</w:t>
            </w:r>
            <w:r>
              <w:rPr>
                <w:rFonts w:ascii="Arial" w:hAnsi="Arial"/>
                <w:b/>
                <w:spacing w:val="-4"/>
                <w:sz w:val="16"/>
              </w:rPr>
              <w:t xml:space="preserve"> </w:t>
            </w:r>
            <w:r>
              <w:rPr>
                <w:rFonts w:ascii="Arial" w:hAnsi="Arial"/>
                <w:b/>
                <w:sz w:val="16"/>
              </w:rPr>
              <w:t>o</w:t>
            </w:r>
            <w:r>
              <w:rPr>
                <w:rFonts w:ascii="Arial" w:hAnsi="Arial"/>
                <w:b/>
                <w:spacing w:val="1"/>
                <w:sz w:val="16"/>
              </w:rPr>
              <w:t xml:space="preserve"> </w:t>
            </w:r>
            <w:r>
              <w:rPr>
                <w:rFonts w:ascii="Arial" w:hAnsi="Arial"/>
                <w:b/>
                <w:sz w:val="16"/>
              </w:rPr>
              <w:t>Resultado</w:t>
            </w:r>
            <w:r>
              <w:rPr>
                <w:rFonts w:ascii="Arial" w:hAnsi="Arial"/>
                <w:b/>
                <w:spacing w:val="-3"/>
                <w:sz w:val="16"/>
              </w:rPr>
              <w:t xml:space="preserve"> </w:t>
            </w:r>
            <w:r>
              <w:rPr>
                <w:rFonts w:ascii="Arial" w:hAnsi="Arial"/>
                <w:b/>
                <w:sz w:val="16"/>
              </w:rPr>
              <w:t>do</w:t>
            </w:r>
            <w:r>
              <w:rPr>
                <w:rFonts w:ascii="Arial" w:hAnsi="Arial"/>
                <w:b/>
                <w:spacing w:val="-6"/>
                <w:sz w:val="16"/>
              </w:rPr>
              <w:t xml:space="preserve"> </w:t>
            </w:r>
            <w:r>
              <w:rPr>
                <w:rFonts w:ascii="Arial" w:hAnsi="Arial"/>
                <w:b/>
                <w:spacing w:val="-2"/>
                <w:sz w:val="16"/>
              </w:rPr>
              <w:t>Período</w:t>
            </w:r>
          </w:p>
        </w:tc>
        <w:tc>
          <w:tcPr>
            <w:tcW w:w="1293" w:type="dxa"/>
          </w:tcPr>
          <w:p w14:paraId="06E5B4FE" w14:textId="77777777" w:rsidR="002C6574" w:rsidRDefault="00000000">
            <w:pPr>
              <w:pStyle w:val="TableParagraph"/>
              <w:spacing w:before="46" w:line="163" w:lineRule="exact"/>
              <w:ind w:right="145"/>
              <w:rPr>
                <w:rFonts w:ascii="Arial"/>
                <w:b/>
                <w:sz w:val="16"/>
              </w:rPr>
            </w:pPr>
            <w:r>
              <w:rPr>
                <w:rFonts w:ascii="Arial"/>
                <w:b/>
                <w:spacing w:val="-2"/>
                <w:sz w:val="16"/>
              </w:rPr>
              <w:t>6.2.1</w:t>
            </w:r>
          </w:p>
        </w:tc>
        <w:tc>
          <w:tcPr>
            <w:tcW w:w="2005" w:type="dxa"/>
            <w:gridSpan w:val="2"/>
            <w:tcBorders>
              <w:top w:val="single" w:sz="4" w:space="0" w:color="000000"/>
              <w:bottom w:val="single" w:sz="4" w:space="0" w:color="000000"/>
            </w:tcBorders>
          </w:tcPr>
          <w:p w14:paraId="355D20DB" w14:textId="77777777" w:rsidR="002C6574" w:rsidRDefault="00000000">
            <w:pPr>
              <w:pStyle w:val="TableParagraph"/>
              <w:spacing w:before="46" w:line="163" w:lineRule="exact"/>
              <w:ind w:right="69"/>
              <w:rPr>
                <w:rFonts w:ascii="Arial"/>
                <w:b/>
                <w:sz w:val="16"/>
              </w:rPr>
            </w:pPr>
            <w:r>
              <w:rPr>
                <w:rFonts w:ascii="Arial"/>
                <w:b/>
                <w:spacing w:val="-2"/>
                <w:sz w:val="16"/>
              </w:rPr>
              <w:t>(41.932)</w:t>
            </w:r>
          </w:p>
        </w:tc>
        <w:tc>
          <w:tcPr>
            <w:tcW w:w="202" w:type="dxa"/>
          </w:tcPr>
          <w:p w14:paraId="50C24E52" w14:textId="77777777" w:rsidR="002C6574" w:rsidRDefault="002C6574">
            <w:pPr>
              <w:pStyle w:val="TableParagraph"/>
              <w:jc w:val="left"/>
              <w:rPr>
                <w:rFonts w:ascii="Times New Roman"/>
                <w:sz w:val="16"/>
              </w:rPr>
            </w:pPr>
          </w:p>
        </w:tc>
        <w:tc>
          <w:tcPr>
            <w:tcW w:w="1916" w:type="dxa"/>
            <w:gridSpan w:val="2"/>
            <w:tcBorders>
              <w:top w:val="single" w:sz="4" w:space="0" w:color="000000"/>
              <w:bottom w:val="single" w:sz="4" w:space="0" w:color="000000"/>
            </w:tcBorders>
          </w:tcPr>
          <w:p w14:paraId="494374AF" w14:textId="77777777" w:rsidR="002C6574" w:rsidRDefault="00000000">
            <w:pPr>
              <w:pStyle w:val="TableParagraph"/>
              <w:spacing w:before="46" w:line="163" w:lineRule="exact"/>
              <w:ind w:right="67"/>
              <w:rPr>
                <w:rFonts w:ascii="Arial"/>
                <w:b/>
                <w:sz w:val="16"/>
              </w:rPr>
            </w:pPr>
            <w:r>
              <w:rPr>
                <w:rFonts w:ascii="Arial"/>
                <w:b/>
                <w:spacing w:val="-10"/>
                <w:sz w:val="16"/>
              </w:rPr>
              <w:t>-</w:t>
            </w:r>
          </w:p>
        </w:tc>
      </w:tr>
      <w:tr w:rsidR="002C6574" w14:paraId="5CC08B73" w14:textId="77777777">
        <w:trPr>
          <w:trHeight w:val="256"/>
        </w:trPr>
        <w:tc>
          <w:tcPr>
            <w:tcW w:w="4631" w:type="dxa"/>
          </w:tcPr>
          <w:p w14:paraId="22929C81" w14:textId="77777777" w:rsidR="002C6574" w:rsidRDefault="00000000">
            <w:pPr>
              <w:pStyle w:val="TableParagraph"/>
              <w:spacing w:before="24" w:line="212" w:lineRule="exact"/>
              <w:ind w:left="50"/>
              <w:jc w:val="left"/>
              <w:rPr>
                <w:sz w:val="16"/>
              </w:rPr>
            </w:pPr>
            <w:r>
              <w:rPr>
                <w:w w:val="105"/>
                <w:sz w:val="16"/>
              </w:rPr>
              <w:t>Imposto</w:t>
            </w:r>
            <w:r>
              <w:rPr>
                <w:spacing w:val="-12"/>
                <w:w w:val="105"/>
                <w:sz w:val="16"/>
              </w:rPr>
              <w:t xml:space="preserve"> </w:t>
            </w:r>
            <w:r>
              <w:rPr>
                <w:w w:val="105"/>
                <w:sz w:val="16"/>
              </w:rPr>
              <w:t>de</w:t>
            </w:r>
            <w:r>
              <w:rPr>
                <w:spacing w:val="-11"/>
                <w:w w:val="105"/>
                <w:sz w:val="16"/>
              </w:rPr>
              <w:t xml:space="preserve"> </w:t>
            </w:r>
            <w:r>
              <w:rPr>
                <w:w w:val="105"/>
                <w:sz w:val="16"/>
              </w:rPr>
              <w:t>Renda</w:t>
            </w:r>
            <w:r>
              <w:rPr>
                <w:spacing w:val="-10"/>
                <w:w w:val="105"/>
                <w:sz w:val="16"/>
              </w:rPr>
              <w:t xml:space="preserve"> </w:t>
            </w:r>
            <w:r>
              <w:rPr>
                <w:w w:val="105"/>
                <w:sz w:val="16"/>
              </w:rPr>
              <w:t>Pessoa</w:t>
            </w:r>
            <w:r>
              <w:rPr>
                <w:spacing w:val="-11"/>
                <w:w w:val="105"/>
                <w:sz w:val="16"/>
              </w:rPr>
              <w:t xml:space="preserve"> </w:t>
            </w:r>
            <w:r>
              <w:rPr>
                <w:spacing w:val="-2"/>
                <w:w w:val="105"/>
                <w:sz w:val="16"/>
              </w:rPr>
              <w:t>Jurídica</w:t>
            </w:r>
          </w:p>
        </w:tc>
        <w:tc>
          <w:tcPr>
            <w:tcW w:w="1293" w:type="dxa"/>
          </w:tcPr>
          <w:p w14:paraId="6D8AB65C" w14:textId="77777777" w:rsidR="002C6574" w:rsidRDefault="002C6574">
            <w:pPr>
              <w:pStyle w:val="TableParagraph"/>
              <w:jc w:val="left"/>
              <w:rPr>
                <w:rFonts w:ascii="Times New Roman"/>
                <w:sz w:val="16"/>
              </w:rPr>
            </w:pPr>
          </w:p>
        </w:tc>
        <w:tc>
          <w:tcPr>
            <w:tcW w:w="2005" w:type="dxa"/>
            <w:gridSpan w:val="2"/>
            <w:tcBorders>
              <w:top w:val="single" w:sz="4" w:space="0" w:color="000000"/>
            </w:tcBorders>
          </w:tcPr>
          <w:p w14:paraId="7D82DBC8" w14:textId="77777777" w:rsidR="002C6574" w:rsidRDefault="00000000">
            <w:pPr>
              <w:pStyle w:val="TableParagraph"/>
              <w:spacing w:before="24" w:line="212" w:lineRule="exact"/>
              <w:ind w:right="69"/>
              <w:rPr>
                <w:sz w:val="16"/>
              </w:rPr>
            </w:pPr>
            <w:r>
              <w:rPr>
                <w:spacing w:val="-2"/>
                <w:w w:val="110"/>
                <w:sz w:val="16"/>
              </w:rPr>
              <w:t>(30.626)</w:t>
            </w:r>
          </w:p>
        </w:tc>
        <w:tc>
          <w:tcPr>
            <w:tcW w:w="202" w:type="dxa"/>
          </w:tcPr>
          <w:p w14:paraId="20368B4F" w14:textId="77777777" w:rsidR="002C6574" w:rsidRDefault="002C6574">
            <w:pPr>
              <w:pStyle w:val="TableParagraph"/>
              <w:jc w:val="left"/>
              <w:rPr>
                <w:rFonts w:ascii="Times New Roman"/>
                <w:sz w:val="16"/>
              </w:rPr>
            </w:pPr>
          </w:p>
        </w:tc>
        <w:tc>
          <w:tcPr>
            <w:tcW w:w="1916" w:type="dxa"/>
            <w:gridSpan w:val="2"/>
            <w:tcBorders>
              <w:top w:val="single" w:sz="4" w:space="0" w:color="000000"/>
            </w:tcBorders>
          </w:tcPr>
          <w:p w14:paraId="678B0EB8" w14:textId="77777777" w:rsidR="002C6574" w:rsidRDefault="00000000">
            <w:pPr>
              <w:pStyle w:val="TableParagraph"/>
              <w:spacing w:before="24" w:line="212" w:lineRule="exact"/>
              <w:ind w:right="67"/>
              <w:rPr>
                <w:sz w:val="16"/>
              </w:rPr>
            </w:pPr>
            <w:r>
              <w:rPr>
                <w:spacing w:val="-10"/>
                <w:w w:val="95"/>
                <w:sz w:val="16"/>
              </w:rPr>
              <w:t>-</w:t>
            </w:r>
          </w:p>
        </w:tc>
      </w:tr>
      <w:tr w:rsidR="002C6574" w14:paraId="3E34CD7B" w14:textId="77777777">
        <w:trPr>
          <w:trHeight w:val="434"/>
        </w:trPr>
        <w:tc>
          <w:tcPr>
            <w:tcW w:w="4631" w:type="dxa"/>
          </w:tcPr>
          <w:p w14:paraId="61B2961D" w14:textId="77777777" w:rsidR="002C6574" w:rsidRDefault="00000000">
            <w:pPr>
              <w:pStyle w:val="TableParagraph"/>
              <w:spacing w:line="211" w:lineRule="exact"/>
              <w:ind w:left="50"/>
              <w:jc w:val="left"/>
              <w:rPr>
                <w:sz w:val="16"/>
              </w:rPr>
            </w:pPr>
            <w:r>
              <w:rPr>
                <w:sz w:val="16"/>
              </w:rPr>
              <w:t>Contribuição</w:t>
            </w:r>
            <w:r>
              <w:rPr>
                <w:spacing w:val="2"/>
                <w:sz w:val="16"/>
              </w:rPr>
              <w:t xml:space="preserve"> </w:t>
            </w:r>
            <w:r>
              <w:rPr>
                <w:sz w:val="16"/>
              </w:rPr>
              <w:t>Social</w:t>
            </w:r>
            <w:r>
              <w:rPr>
                <w:spacing w:val="3"/>
                <w:sz w:val="16"/>
              </w:rPr>
              <w:t xml:space="preserve"> </w:t>
            </w:r>
            <w:r>
              <w:rPr>
                <w:sz w:val="16"/>
              </w:rPr>
              <w:t>sobre</w:t>
            </w:r>
            <w:r>
              <w:rPr>
                <w:spacing w:val="4"/>
                <w:sz w:val="16"/>
              </w:rPr>
              <w:t xml:space="preserve"> </w:t>
            </w:r>
            <w:r>
              <w:rPr>
                <w:sz w:val="16"/>
              </w:rPr>
              <w:t>o</w:t>
            </w:r>
            <w:r>
              <w:rPr>
                <w:spacing w:val="5"/>
                <w:sz w:val="16"/>
              </w:rPr>
              <w:t xml:space="preserve"> </w:t>
            </w:r>
            <w:r>
              <w:rPr>
                <w:sz w:val="16"/>
              </w:rPr>
              <w:t>Lucro</w:t>
            </w:r>
            <w:r>
              <w:rPr>
                <w:spacing w:val="1"/>
                <w:sz w:val="16"/>
              </w:rPr>
              <w:t xml:space="preserve"> </w:t>
            </w:r>
            <w:r>
              <w:rPr>
                <w:spacing w:val="-2"/>
                <w:sz w:val="16"/>
              </w:rPr>
              <w:t>Líquido</w:t>
            </w:r>
          </w:p>
        </w:tc>
        <w:tc>
          <w:tcPr>
            <w:tcW w:w="1293" w:type="dxa"/>
          </w:tcPr>
          <w:p w14:paraId="1B35C07D" w14:textId="77777777" w:rsidR="002C6574" w:rsidRDefault="002C6574">
            <w:pPr>
              <w:pStyle w:val="TableParagraph"/>
              <w:jc w:val="left"/>
              <w:rPr>
                <w:rFonts w:ascii="Times New Roman"/>
                <w:sz w:val="16"/>
              </w:rPr>
            </w:pPr>
          </w:p>
        </w:tc>
        <w:tc>
          <w:tcPr>
            <w:tcW w:w="2005" w:type="dxa"/>
            <w:gridSpan w:val="2"/>
            <w:tcBorders>
              <w:bottom w:val="single" w:sz="4" w:space="0" w:color="000000"/>
            </w:tcBorders>
          </w:tcPr>
          <w:p w14:paraId="782628BD" w14:textId="77777777" w:rsidR="002C6574" w:rsidRDefault="00000000">
            <w:pPr>
              <w:pStyle w:val="TableParagraph"/>
              <w:spacing w:line="211" w:lineRule="exact"/>
              <w:ind w:right="69"/>
              <w:rPr>
                <w:sz w:val="16"/>
              </w:rPr>
            </w:pPr>
            <w:r>
              <w:rPr>
                <w:spacing w:val="-2"/>
                <w:w w:val="110"/>
                <w:sz w:val="16"/>
              </w:rPr>
              <w:t>(11.306)</w:t>
            </w:r>
          </w:p>
        </w:tc>
        <w:tc>
          <w:tcPr>
            <w:tcW w:w="202" w:type="dxa"/>
          </w:tcPr>
          <w:p w14:paraId="6AF5D6BD" w14:textId="77777777" w:rsidR="002C6574" w:rsidRDefault="002C6574">
            <w:pPr>
              <w:pStyle w:val="TableParagraph"/>
              <w:jc w:val="left"/>
              <w:rPr>
                <w:rFonts w:ascii="Times New Roman"/>
                <w:sz w:val="16"/>
              </w:rPr>
            </w:pPr>
          </w:p>
        </w:tc>
        <w:tc>
          <w:tcPr>
            <w:tcW w:w="1916" w:type="dxa"/>
            <w:gridSpan w:val="2"/>
            <w:tcBorders>
              <w:bottom w:val="single" w:sz="4" w:space="0" w:color="000000"/>
            </w:tcBorders>
          </w:tcPr>
          <w:p w14:paraId="743C0911" w14:textId="77777777" w:rsidR="002C6574" w:rsidRDefault="00000000">
            <w:pPr>
              <w:pStyle w:val="TableParagraph"/>
              <w:spacing w:line="211" w:lineRule="exact"/>
              <w:ind w:right="67"/>
              <w:rPr>
                <w:sz w:val="16"/>
              </w:rPr>
            </w:pPr>
            <w:r>
              <w:rPr>
                <w:spacing w:val="-10"/>
                <w:w w:val="95"/>
                <w:sz w:val="16"/>
              </w:rPr>
              <w:t>-</w:t>
            </w:r>
          </w:p>
        </w:tc>
      </w:tr>
      <w:tr w:rsidR="002C6574" w14:paraId="04AE8599" w14:textId="77777777">
        <w:trPr>
          <w:trHeight w:val="238"/>
        </w:trPr>
        <w:tc>
          <w:tcPr>
            <w:tcW w:w="4631" w:type="dxa"/>
          </w:tcPr>
          <w:p w14:paraId="0ABBCEB7" w14:textId="77777777" w:rsidR="002C6574" w:rsidRDefault="00000000">
            <w:pPr>
              <w:pStyle w:val="TableParagraph"/>
              <w:spacing w:before="56" w:line="163" w:lineRule="exact"/>
              <w:ind w:left="50"/>
              <w:jc w:val="left"/>
              <w:rPr>
                <w:rFonts w:ascii="Arial" w:hAnsi="Arial"/>
                <w:b/>
                <w:sz w:val="16"/>
              </w:rPr>
            </w:pPr>
            <w:r>
              <w:rPr>
                <w:rFonts w:ascii="Arial" w:hAnsi="Arial"/>
                <w:b/>
                <w:sz w:val="16"/>
              </w:rPr>
              <w:t>Lucro/(Prejuízo)</w:t>
            </w:r>
            <w:r>
              <w:rPr>
                <w:rFonts w:ascii="Arial" w:hAnsi="Arial"/>
                <w:b/>
                <w:spacing w:val="-4"/>
                <w:sz w:val="16"/>
              </w:rPr>
              <w:t xml:space="preserve"> </w:t>
            </w:r>
            <w:r>
              <w:rPr>
                <w:rFonts w:ascii="Arial" w:hAnsi="Arial"/>
                <w:b/>
                <w:sz w:val="16"/>
              </w:rPr>
              <w:t>Líquido</w:t>
            </w:r>
            <w:r>
              <w:rPr>
                <w:rFonts w:ascii="Arial" w:hAnsi="Arial"/>
                <w:b/>
                <w:spacing w:val="-6"/>
                <w:sz w:val="16"/>
              </w:rPr>
              <w:t xml:space="preserve"> </w:t>
            </w:r>
            <w:r>
              <w:rPr>
                <w:rFonts w:ascii="Arial" w:hAnsi="Arial"/>
                <w:b/>
                <w:sz w:val="16"/>
              </w:rPr>
              <w:t>do</w:t>
            </w:r>
            <w:r>
              <w:rPr>
                <w:rFonts w:ascii="Arial" w:hAnsi="Arial"/>
                <w:b/>
                <w:spacing w:val="-5"/>
                <w:sz w:val="16"/>
              </w:rPr>
              <w:t xml:space="preserve"> </w:t>
            </w:r>
            <w:r>
              <w:rPr>
                <w:rFonts w:ascii="Arial" w:hAnsi="Arial"/>
                <w:b/>
                <w:spacing w:val="-2"/>
                <w:sz w:val="16"/>
              </w:rPr>
              <w:t>Exercício</w:t>
            </w:r>
          </w:p>
        </w:tc>
        <w:tc>
          <w:tcPr>
            <w:tcW w:w="1293" w:type="dxa"/>
          </w:tcPr>
          <w:p w14:paraId="61F5EC97" w14:textId="77777777" w:rsidR="002C6574" w:rsidRDefault="002C6574">
            <w:pPr>
              <w:pStyle w:val="TableParagraph"/>
              <w:jc w:val="left"/>
              <w:rPr>
                <w:rFonts w:ascii="Times New Roman"/>
                <w:sz w:val="16"/>
              </w:rPr>
            </w:pPr>
          </w:p>
        </w:tc>
        <w:tc>
          <w:tcPr>
            <w:tcW w:w="2005" w:type="dxa"/>
            <w:gridSpan w:val="2"/>
            <w:tcBorders>
              <w:top w:val="single" w:sz="4" w:space="0" w:color="000000"/>
              <w:bottom w:val="double" w:sz="6" w:space="0" w:color="000000"/>
            </w:tcBorders>
          </w:tcPr>
          <w:p w14:paraId="328239D8" w14:textId="77777777" w:rsidR="002C6574" w:rsidRDefault="00000000">
            <w:pPr>
              <w:pStyle w:val="TableParagraph"/>
              <w:spacing w:before="56" w:line="163" w:lineRule="exact"/>
              <w:ind w:right="69"/>
              <w:rPr>
                <w:rFonts w:ascii="Arial"/>
                <w:b/>
                <w:sz w:val="16"/>
              </w:rPr>
            </w:pPr>
            <w:r>
              <w:rPr>
                <w:rFonts w:ascii="Arial"/>
                <w:b/>
                <w:spacing w:val="-2"/>
                <w:sz w:val="16"/>
              </w:rPr>
              <w:t>140.504</w:t>
            </w:r>
          </w:p>
        </w:tc>
        <w:tc>
          <w:tcPr>
            <w:tcW w:w="202" w:type="dxa"/>
          </w:tcPr>
          <w:p w14:paraId="48F1D6E7" w14:textId="77777777" w:rsidR="002C6574" w:rsidRDefault="002C6574">
            <w:pPr>
              <w:pStyle w:val="TableParagraph"/>
              <w:jc w:val="left"/>
              <w:rPr>
                <w:rFonts w:ascii="Times New Roman"/>
                <w:sz w:val="16"/>
              </w:rPr>
            </w:pPr>
          </w:p>
        </w:tc>
        <w:tc>
          <w:tcPr>
            <w:tcW w:w="1916" w:type="dxa"/>
            <w:gridSpan w:val="2"/>
            <w:tcBorders>
              <w:top w:val="single" w:sz="4" w:space="0" w:color="000000"/>
              <w:bottom w:val="double" w:sz="6" w:space="0" w:color="000000"/>
            </w:tcBorders>
          </w:tcPr>
          <w:p w14:paraId="00CE480B" w14:textId="77777777" w:rsidR="002C6574" w:rsidRDefault="00000000">
            <w:pPr>
              <w:pStyle w:val="TableParagraph"/>
              <w:spacing w:before="56" w:line="163" w:lineRule="exact"/>
              <w:ind w:left="1247"/>
              <w:jc w:val="left"/>
              <w:rPr>
                <w:rFonts w:ascii="Arial"/>
                <w:b/>
                <w:sz w:val="16"/>
              </w:rPr>
            </w:pPr>
            <w:r>
              <w:rPr>
                <w:rFonts w:ascii="Arial"/>
                <w:b/>
                <w:spacing w:val="-2"/>
                <w:sz w:val="16"/>
              </w:rPr>
              <w:t>(66.572)</w:t>
            </w:r>
          </w:p>
        </w:tc>
      </w:tr>
      <w:tr w:rsidR="002C6574" w14:paraId="0658C100" w14:textId="77777777">
        <w:trPr>
          <w:trHeight w:val="726"/>
        </w:trPr>
        <w:tc>
          <w:tcPr>
            <w:tcW w:w="4631" w:type="dxa"/>
          </w:tcPr>
          <w:p w14:paraId="3647E985" w14:textId="77777777" w:rsidR="002C6574" w:rsidRDefault="002C6574">
            <w:pPr>
              <w:pStyle w:val="TableParagraph"/>
              <w:spacing w:before="104"/>
              <w:jc w:val="left"/>
              <w:rPr>
                <w:rFonts w:ascii="Arial"/>
                <w:b/>
                <w:sz w:val="16"/>
              </w:rPr>
            </w:pPr>
          </w:p>
          <w:p w14:paraId="7FD6555C" w14:textId="77777777" w:rsidR="002C6574" w:rsidRDefault="00000000">
            <w:pPr>
              <w:pStyle w:val="TableParagraph"/>
              <w:ind w:left="50"/>
              <w:jc w:val="left"/>
              <w:rPr>
                <w:rFonts w:ascii="Arial" w:hAnsi="Arial"/>
                <w:b/>
                <w:sz w:val="16"/>
              </w:rPr>
            </w:pPr>
            <w:r>
              <w:rPr>
                <w:rFonts w:ascii="Arial" w:hAnsi="Arial"/>
                <w:b/>
                <w:sz w:val="16"/>
              </w:rPr>
              <w:t>Prejuízo</w:t>
            </w:r>
            <w:r>
              <w:rPr>
                <w:rFonts w:ascii="Arial" w:hAnsi="Arial"/>
                <w:b/>
                <w:spacing w:val="-4"/>
                <w:sz w:val="16"/>
              </w:rPr>
              <w:t xml:space="preserve"> </w:t>
            </w:r>
            <w:r>
              <w:rPr>
                <w:rFonts w:ascii="Arial" w:hAnsi="Arial"/>
                <w:b/>
                <w:sz w:val="16"/>
              </w:rPr>
              <w:t>Básico</w:t>
            </w:r>
            <w:r>
              <w:rPr>
                <w:rFonts w:ascii="Arial" w:hAnsi="Arial"/>
                <w:b/>
                <w:spacing w:val="-2"/>
                <w:sz w:val="16"/>
              </w:rPr>
              <w:t xml:space="preserve"> </w:t>
            </w:r>
            <w:r>
              <w:rPr>
                <w:rFonts w:ascii="Arial" w:hAnsi="Arial"/>
                <w:b/>
                <w:sz w:val="16"/>
              </w:rPr>
              <w:t>e</w:t>
            </w:r>
            <w:r>
              <w:rPr>
                <w:rFonts w:ascii="Arial" w:hAnsi="Arial"/>
                <w:b/>
                <w:spacing w:val="-2"/>
                <w:sz w:val="16"/>
              </w:rPr>
              <w:t xml:space="preserve"> </w:t>
            </w:r>
            <w:r>
              <w:rPr>
                <w:rFonts w:ascii="Arial" w:hAnsi="Arial"/>
                <w:b/>
                <w:sz w:val="16"/>
              </w:rPr>
              <w:t>Diluído</w:t>
            </w:r>
            <w:r>
              <w:rPr>
                <w:rFonts w:ascii="Arial" w:hAnsi="Arial"/>
                <w:b/>
                <w:spacing w:val="-6"/>
                <w:sz w:val="16"/>
              </w:rPr>
              <w:t xml:space="preserve"> </w:t>
            </w:r>
            <w:r>
              <w:rPr>
                <w:rFonts w:ascii="Arial" w:hAnsi="Arial"/>
                <w:b/>
                <w:sz w:val="16"/>
              </w:rPr>
              <w:t>por</w:t>
            </w:r>
            <w:r>
              <w:rPr>
                <w:rFonts w:ascii="Arial" w:hAnsi="Arial"/>
                <w:b/>
                <w:spacing w:val="-1"/>
                <w:sz w:val="16"/>
              </w:rPr>
              <w:t xml:space="preserve"> </w:t>
            </w:r>
            <w:r>
              <w:rPr>
                <w:rFonts w:ascii="Arial" w:hAnsi="Arial"/>
                <w:b/>
                <w:sz w:val="16"/>
              </w:rPr>
              <w:t>Ação</w:t>
            </w:r>
            <w:r>
              <w:rPr>
                <w:rFonts w:ascii="Arial" w:hAnsi="Arial"/>
                <w:b/>
                <w:spacing w:val="-1"/>
                <w:sz w:val="16"/>
              </w:rPr>
              <w:t xml:space="preserve"> </w:t>
            </w:r>
            <w:r>
              <w:rPr>
                <w:rFonts w:ascii="Arial" w:hAnsi="Arial"/>
                <w:b/>
                <w:sz w:val="16"/>
              </w:rPr>
              <w:t>em</w:t>
            </w:r>
            <w:r>
              <w:rPr>
                <w:rFonts w:ascii="Arial" w:hAnsi="Arial"/>
                <w:b/>
                <w:spacing w:val="-5"/>
                <w:sz w:val="16"/>
              </w:rPr>
              <w:t xml:space="preserve"> </w:t>
            </w:r>
            <w:r>
              <w:rPr>
                <w:rFonts w:ascii="Arial" w:hAnsi="Arial"/>
                <w:b/>
                <w:spacing w:val="-2"/>
                <w:sz w:val="16"/>
              </w:rPr>
              <w:t>Reais:</w:t>
            </w:r>
          </w:p>
          <w:p w14:paraId="5C95944B" w14:textId="77777777" w:rsidR="002C6574" w:rsidRDefault="00000000">
            <w:pPr>
              <w:pStyle w:val="TableParagraph"/>
              <w:spacing w:before="24" w:line="211" w:lineRule="exact"/>
              <w:ind w:left="184"/>
              <w:jc w:val="left"/>
              <w:rPr>
                <w:sz w:val="16"/>
              </w:rPr>
            </w:pPr>
            <w:r>
              <w:rPr>
                <w:w w:val="105"/>
                <w:sz w:val="16"/>
              </w:rPr>
              <w:t>Ações</w:t>
            </w:r>
            <w:r>
              <w:rPr>
                <w:spacing w:val="-1"/>
                <w:w w:val="105"/>
                <w:sz w:val="16"/>
              </w:rPr>
              <w:t xml:space="preserve"> </w:t>
            </w:r>
            <w:r>
              <w:rPr>
                <w:w w:val="105"/>
                <w:sz w:val="16"/>
              </w:rPr>
              <w:t>Ordinárias</w:t>
            </w:r>
            <w:r>
              <w:rPr>
                <w:spacing w:val="-2"/>
                <w:w w:val="105"/>
                <w:sz w:val="16"/>
              </w:rPr>
              <w:t xml:space="preserve"> </w:t>
            </w:r>
            <w:r>
              <w:rPr>
                <w:w w:val="105"/>
                <w:sz w:val="16"/>
              </w:rPr>
              <w:t>–</w:t>
            </w:r>
            <w:r>
              <w:rPr>
                <w:spacing w:val="-1"/>
                <w:w w:val="105"/>
                <w:sz w:val="16"/>
              </w:rPr>
              <w:t xml:space="preserve"> </w:t>
            </w:r>
            <w:r>
              <w:rPr>
                <w:w w:val="105"/>
                <w:sz w:val="16"/>
              </w:rPr>
              <w:t>Básicas</w:t>
            </w:r>
            <w:r>
              <w:rPr>
                <w:spacing w:val="-3"/>
                <w:w w:val="105"/>
                <w:sz w:val="16"/>
              </w:rPr>
              <w:t xml:space="preserve"> </w:t>
            </w:r>
            <w:r>
              <w:rPr>
                <w:w w:val="105"/>
                <w:sz w:val="16"/>
              </w:rPr>
              <w:t xml:space="preserve">e </w:t>
            </w:r>
            <w:r>
              <w:rPr>
                <w:spacing w:val="-2"/>
                <w:w w:val="105"/>
                <w:sz w:val="16"/>
              </w:rPr>
              <w:t>diluídas</w:t>
            </w:r>
          </w:p>
        </w:tc>
        <w:tc>
          <w:tcPr>
            <w:tcW w:w="1293" w:type="dxa"/>
          </w:tcPr>
          <w:p w14:paraId="7166F468" w14:textId="77777777" w:rsidR="002C6574" w:rsidRDefault="002C6574">
            <w:pPr>
              <w:pStyle w:val="TableParagraph"/>
              <w:spacing w:before="81"/>
              <w:jc w:val="left"/>
              <w:rPr>
                <w:rFonts w:ascii="Arial"/>
                <w:b/>
                <w:sz w:val="16"/>
              </w:rPr>
            </w:pPr>
          </w:p>
          <w:p w14:paraId="15BB40F4" w14:textId="77777777" w:rsidR="002C6574" w:rsidRDefault="00000000">
            <w:pPr>
              <w:pStyle w:val="TableParagraph"/>
              <w:ind w:right="130"/>
              <w:rPr>
                <w:sz w:val="16"/>
              </w:rPr>
            </w:pPr>
            <w:r>
              <w:rPr>
                <w:spacing w:val="-4"/>
                <w:w w:val="110"/>
                <w:sz w:val="16"/>
              </w:rPr>
              <w:t>28.5</w:t>
            </w:r>
          </w:p>
        </w:tc>
        <w:tc>
          <w:tcPr>
            <w:tcW w:w="2005" w:type="dxa"/>
            <w:gridSpan w:val="2"/>
            <w:tcBorders>
              <w:top w:val="double" w:sz="6" w:space="0" w:color="000000"/>
            </w:tcBorders>
          </w:tcPr>
          <w:p w14:paraId="4BB79E31" w14:textId="77777777" w:rsidR="002C6574" w:rsidRDefault="002C6574">
            <w:pPr>
              <w:pStyle w:val="TableParagraph"/>
              <w:jc w:val="left"/>
              <w:rPr>
                <w:rFonts w:ascii="Arial"/>
                <w:b/>
                <w:sz w:val="16"/>
              </w:rPr>
            </w:pPr>
          </w:p>
          <w:p w14:paraId="5E3C9790" w14:textId="77777777" w:rsidR="002C6574" w:rsidRDefault="002C6574">
            <w:pPr>
              <w:pStyle w:val="TableParagraph"/>
              <w:spacing w:before="104"/>
              <w:jc w:val="left"/>
              <w:rPr>
                <w:rFonts w:ascii="Arial"/>
                <w:b/>
                <w:sz w:val="16"/>
              </w:rPr>
            </w:pPr>
          </w:p>
          <w:p w14:paraId="558F6061" w14:textId="77777777" w:rsidR="002C6574" w:rsidRDefault="00000000">
            <w:pPr>
              <w:pStyle w:val="TableParagraph"/>
              <w:ind w:right="69"/>
              <w:rPr>
                <w:sz w:val="16"/>
              </w:rPr>
            </w:pPr>
            <w:r>
              <w:rPr>
                <w:spacing w:val="-2"/>
                <w:w w:val="105"/>
                <w:sz w:val="16"/>
              </w:rPr>
              <w:t>1,5258</w:t>
            </w:r>
          </w:p>
        </w:tc>
        <w:tc>
          <w:tcPr>
            <w:tcW w:w="202" w:type="dxa"/>
          </w:tcPr>
          <w:p w14:paraId="787146BF" w14:textId="77777777" w:rsidR="002C6574" w:rsidRDefault="002C6574">
            <w:pPr>
              <w:pStyle w:val="TableParagraph"/>
              <w:jc w:val="left"/>
              <w:rPr>
                <w:rFonts w:ascii="Times New Roman"/>
                <w:sz w:val="16"/>
              </w:rPr>
            </w:pPr>
          </w:p>
        </w:tc>
        <w:tc>
          <w:tcPr>
            <w:tcW w:w="1916" w:type="dxa"/>
            <w:gridSpan w:val="2"/>
            <w:tcBorders>
              <w:top w:val="double" w:sz="6" w:space="0" w:color="000000"/>
            </w:tcBorders>
          </w:tcPr>
          <w:p w14:paraId="2CB4019A" w14:textId="77777777" w:rsidR="002C6574" w:rsidRDefault="002C6574">
            <w:pPr>
              <w:pStyle w:val="TableParagraph"/>
              <w:jc w:val="left"/>
              <w:rPr>
                <w:rFonts w:ascii="Arial"/>
                <w:b/>
                <w:sz w:val="16"/>
              </w:rPr>
            </w:pPr>
          </w:p>
          <w:p w14:paraId="10AE404C" w14:textId="77777777" w:rsidR="002C6574" w:rsidRDefault="002C6574">
            <w:pPr>
              <w:pStyle w:val="TableParagraph"/>
              <w:spacing w:before="104"/>
              <w:jc w:val="left"/>
              <w:rPr>
                <w:rFonts w:ascii="Arial"/>
                <w:b/>
                <w:sz w:val="16"/>
              </w:rPr>
            </w:pPr>
          </w:p>
          <w:p w14:paraId="07E564CD" w14:textId="77777777" w:rsidR="002C6574" w:rsidRDefault="00000000">
            <w:pPr>
              <w:pStyle w:val="TableParagraph"/>
              <w:ind w:left="1248"/>
              <w:jc w:val="left"/>
              <w:rPr>
                <w:sz w:val="16"/>
              </w:rPr>
            </w:pPr>
            <w:r>
              <w:rPr>
                <w:spacing w:val="-2"/>
                <w:w w:val="110"/>
                <w:sz w:val="16"/>
              </w:rPr>
              <w:t>(0,7707)</w:t>
            </w:r>
          </w:p>
        </w:tc>
      </w:tr>
      <w:tr w:rsidR="002C6574" w14:paraId="7ED4B923" w14:textId="77777777">
        <w:trPr>
          <w:trHeight w:val="203"/>
        </w:trPr>
        <w:tc>
          <w:tcPr>
            <w:tcW w:w="4631" w:type="dxa"/>
          </w:tcPr>
          <w:p w14:paraId="15F0DD24" w14:textId="77777777" w:rsidR="002C6574" w:rsidRDefault="00000000">
            <w:pPr>
              <w:pStyle w:val="TableParagraph"/>
              <w:spacing w:line="184" w:lineRule="exact"/>
              <w:ind w:left="184"/>
              <w:jc w:val="left"/>
              <w:rPr>
                <w:sz w:val="16"/>
              </w:rPr>
            </w:pPr>
            <w:r>
              <w:rPr>
                <w:w w:val="105"/>
                <w:sz w:val="16"/>
              </w:rPr>
              <w:t>Ações</w:t>
            </w:r>
            <w:r>
              <w:rPr>
                <w:spacing w:val="2"/>
                <w:w w:val="105"/>
                <w:sz w:val="16"/>
              </w:rPr>
              <w:t xml:space="preserve"> </w:t>
            </w:r>
            <w:r>
              <w:rPr>
                <w:w w:val="105"/>
                <w:sz w:val="16"/>
              </w:rPr>
              <w:t>Preferenciais</w:t>
            </w:r>
            <w:r>
              <w:rPr>
                <w:spacing w:val="4"/>
                <w:w w:val="105"/>
                <w:sz w:val="16"/>
              </w:rPr>
              <w:t xml:space="preserve"> </w:t>
            </w:r>
            <w:r>
              <w:rPr>
                <w:w w:val="105"/>
                <w:sz w:val="16"/>
              </w:rPr>
              <w:t>–</w:t>
            </w:r>
            <w:r>
              <w:rPr>
                <w:spacing w:val="-1"/>
                <w:w w:val="105"/>
                <w:sz w:val="16"/>
              </w:rPr>
              <w:t xml:space="preserve"> </w:t>
            </w:r>
            <w:r>
              <w:rPr>
                <w:w w:val="105"/>
                <w:sz w:val="16"/>
              </w:rPr>
              <w:t>Básicas</w:t>
            </w:r>
            <w:r>
              <w:rPr>
                <w:spacing w:val="4"/>
                <w:w w:val="105"/>
                <w:sz w:val="16"/>
              </w:rPr>
              <w:t xml:space="preserve"> </w:t>
            </w:r>
            <w:r>
              <w:rPr>
                <w:w w:val="105"/>
                <w:sz w:val="16"/>
              </w:rPr>
              <w:t>e</w:t>
            </w:r>
            <w:r>
              <w:rPr>
                <w:spacing w:val="1"/>
                <w:w w:val="105"/>
                <w:sz w:val="16"/>
              </w:rPr>
              <w:t xml:space="preserve"> </w:t>
            </w:r>
            <w:r>
              <w:rPr>
                <w:spacing w:val="-2"/>
                <w:w w:val="105"/>
                <w:sz w:val="16"/>
              </w:rPr>
              <w:t>diluídas</w:t>
            </w:r>
          </w:p>
        </w:tc>
        <w:tc>
          <w:tcPr>
            <w:tcW w:w="1293" w:type="dxa"/>
          </w:tcPr>
          <w:p w14:paraId="54607423" w14:textId="77777777" w:rsidR="002C6574" w:rsidRDefault="002C6574">
            <w:pPr>
              <w:pStyle w:val="TableParagraph"/>
              <w:jc w:val="left"/>
              <w:rPr>
                <w:rFonts w:ascii="Times New Roman"/>
                <w:sz w:val="14"/>
              </w:rPr>
            </w:pPr>
          </w:p>
        </w:tc>
        <w:tc>
          <w:tcPr>
            <w:tcW w:w="2005" w:type="dxa"/>
            <w:gridSpan w:val="2"/>
          </w:tcPr>
          <w:p w14:paraId="13543630" w14:textId="77777777" w:rsidR="002C6574" w:rsidRDefault="00000000">
            <w:pPr>
              <w:pStyle w:val="TableParagraph"/>
              <w:spacing w:line="184" w:lineRule="exact"/>
              <w:ind w:right="69"/>
              <w:rPr>
                <w:sz w:val="16"/>
              </w:rPr>
            </w:pPr>
            <w:r>
              <w:rPr>
                <w:spacing w:val="-2"/>
                <w:w w:val="105"/>
                <w:sz w:val="16"/>
              </w:rPr>
              <w:t>1,5258</w:t>
            </w:r>
          </w:p>
        </w:tc>
        <w:tc>
          <w:tcPr>
            <w:tcW w:w="202" w:type="dxa"/>
          </w:tcPr>
          <w:p w14:paraId="20AF9041" w14:textId="77777777" w:rsidR="002C6574" w:rsidRDefault="002C6574">
            <w:pPr>
              <w:pStyle w:val="TableParagraph"/>
              <w:jc w:val="left"/>
              <w:rPr>
                <w:rFonts w:ascii="Times New Roman"/>
                <w:sz w:val="14"/>
              </w:rPr>
            </w:pPr>
          </w:p>
        </w:tc>
        <w:tc>
          <w:tcPr>
            <w:tcW w:w="1916" w:type="dxa"/>
            <w:gridSpan w:val="2"/>
          </w:tcPr>
          <w:p w14:paraId="0A3DC5AA" w14:textId="77777777" w:rsidR="002C6574" w:rsidRDefault="00000000">
            <w:pPr>
              <w:pStyle w:val="TableParagraph"/>
              <w:spacing w:line="184" w:lineRule="exact"/>
              <w:ind w:left="1247"/>
              <w:jc w:val="left"/>
              <w:rPr>
                <w:sz w:val="16"/>
              </w:rPr>
            </w:pPr>
            <w:r>
              <w:rPr>
                <w:spacing w:val="-2"/>
                <w:w w:val="110"/>
                <w:sz w:val="16"/>
              </w:rPr>
              <w:t>(0,7707)</w:t>
            </w:r>
          </w:p>
        </w:tc>
      </w:tr>
    </w:tbl>
    <w:p w14:paraId="41CF5E43" w14:textId="77777777" w:rsidR="002C6574" w:rsidRDefault="002C6574">
      <w:pPr>
        <w:pStyle w:val="Corpodetexto"/>
        <w:spacing w:before="95"/>
        <w:rPr>
          <w:rFonts w:ascii="Arial"/>
          <w:b/>
          <w:sz w:val="16"/>
        </w:rPr>
      </w:pPr>
    </w:p>
    <w:p w14:paraId="4B601591" w14:textId="77777777" w:rsidR="002C6574" w:rsidRDefault="00000000">
      <w:pPr>
        <w:ind w:left="71"/>
        <w:rPr>
          <w:rFonts w:ascii="Arial" w:hAnsi="Arial"/>
          <w:b/>
          <w:sz w:val="16"/>
        </w:rPr>
      </w:pPr>
      <w:r>
        <w:rPr>
          <w:rFonts w:ascii="Arial" w:hAnsi="Arial"/>
          <w:b/>
          <w:sz w:val="16"/>
        </w:rPr>
        <w:t>As</w:t>
      </w:r>
      <w:r>
        <w:rPr>
          <w:rFonts w:ascii="Arial" w:hAnsi="Arial"/>
          <w:b/>
          <w:spacing w:val="-6"/>
          <w:sz w:val="16"/>
        </w:rPr>
        <w:t xml:space="preserve"> </w:t>
      </w:r>
      <w:r>
        <w:rPr>
          <w:rFonts w:ascii="Arial" w:hAnsi="Arial"/>
          <w:b/>
          <w:sz w:val="16"/>
        </w:rPr>
        <w:t>notas</w:t>
      </w:r>
      <w:r>
        <w:rPr>
          <w:rFonts w:ascii="Arial" w:hAnsi="Arial"/>
          <w:b/>
          <w:spacing w:val="-1"/>
          <w:sz w:val="16"/>
        </w:rPr>
        <w:t xml:space="preserve"> </w:t>
      </w:r>
      <w:r>
        <w:rPr>
          <w:rFonts w:ascii="Arial" w:hAnsi="Arial"/>
          <w:b/>
          <w:sz w:val="16"/>
        </w:rPr>
        <w:t>explicativas</w:t>
      </w:r>
      <w:r>
        <w:rPr>
          <w:rFonts w:ascii="Arial" w:hAnsi="Arial"/>
          <w:b/>
          <w:spacing w:val="-2"/>
          <w:sz w:val="16"/>
        </w:rPr>
        <w:t xml:space="preserve"> </w:t>
      </w:r>
      <w:r>
        <w:rPr>
          <w:rFonts w:ascii="Arial" w:hAnsi="Arial"/>
          <w:b/>
          <w:sz w:val="16"/>
        </w:rPr>
        <w:t>são</w:t>
      </w:r>
      <w:r>
        <w:rPr>
          <w:rFonts w:ascii="Arial" w:hAnsi="Arial"/>
          <w:b/>
          <w:spacing w:val="-4"/>
          <w:sz w:val="16"/>
        </w:rPr>
        <w:t xml:space="preserve"> </w:t>
      </w:r>
      <w:r>
        <w:rPr>
          <w:rFonts w:ascii="Arial" w:hAnsi="Arial"/>
          <w:b/>
          <w:sz w:val="16"/>
        </w:rPr>
        <w:t>parte</w:t>
      </w:r>
      <w:r>
        <w:rPr>
          <w:rFonts w:ascii="Arial" w:hAnsi="Arial"/>
          <w:b/>
          <w:spacing w:val="-5"/>
          <w:sz w:val="16"/>
        </w:rPr>
        <w:t xml:space="preserve"> </w:t>
      </w:r>
      <w:r>
        <w:rPr>
          <w:rFonts w:ascii="Arial" w:hAnsi="Arial"/>
          <w:b/>
          <w:sz w:val="16"/>
        </w:rPr>
        <w:t>integrante</w:t>
      </w:r>
      <w:r>
        <w:rPr>
          <w:rFonts w:ascii="Arial" w:hAnsi="Arial"/>
          <w:b/>
          <w:spacing w:val="-4"/>
          <w:sz w:val="16"/>
        </w:rPr>
        <w:t xml:space="preserve"> </w:t>
      </w:r>
      <w:r>
        <w:rPr>
          <w:rFonts w:ascii="Arial" w:hAnsi="Arial"/>
          <w:b/>
          <w:sz w:val="16"/>
        </w:rPr>
        <w:t>das</w:t>
      </w:r>
      <w:r>
        <w:rPr>
          <w:rFonts w:ascii="Arial" w:hAnsi="Arial"/>
          <w:b/>
          <w:spacing w:val="-5"/>
          <w:sz w:val="16"/>
        </w:rPr>
        <w:t xml:space="preserve"> </w:t>
      </w:r>
      <w:r>
        <w:rPr>
          <w:rFonts w:ascii="Arial" w:hAnsi="Arial"/>
          <w:b/>
          <w:sz w:val="16"/>
        </w:rPr>
        <w:t>demonstrações</w:t>
      </w:r>
      <w:r>
        <w:rPr>
          <w:rFonts w:ascii="Arial" w:hAnsi="Arial"/>
          <w:b/>
          <w:spacing w:val="-2"/>
          <w:sz w:val="16"/>
        </w:rPr>
        <w:t xml:space="preserve"> contábeis</w:t>
      </w:r>
    </w:p>
    <w:p w14:paraId="402844BA" w14:textId="77777777" w:rsidR="002C6574" w:rsidRDefault="002C6574">
      <w:pPr>
        <w:rPr>
          <w:rFonts w:ascii="Arial" w:hAnsi="Arial"/>
          <w:b/>
          <w:sz w:val="16"/>
        </w:rPr>
        <w:sectPr w:rsidR="002C6574">
          <w:headerReference w:type="default" r:id="rId50"/>
          <w:footerReference w:type="default" r:id="rId51"/>
          <w:pgSz w:w="11910" w:h="16840"/>
          <w:pgMar w:top="1440" w:right="708" w:bottom="1260" w:left="992" w:header="0" w:footer="1067" w:gutter="0"/>
          <w:cols w:space="720"/>
        </w:sectPr>
      </w:pPr>
    </w:p>
    <w:p w14:paraId="63E1605F" w14:textId="77777777" w:rsidR="002C6574" w:rsidRDefault="002C6574">
      <w:pPr>
        <w:pStyle w:val="Corpodetexto"/>
        <w:rPr>
          <w:rFonts w:ascii="Arial"/>
          <w:b/>
          <w:sz w:val="16"/>
        </w:rPr>
      </w:pPr>
    </w:p>
    <w:p w14:paraId="583AFD51" w14:textId="77777777" w:rsidR="002C6574" w:rsidRDefault="002C6574">
      <w:pPr>
        <w:pStyle w:val="Corpodetexto"/>
        <w:rPr>
          <w:rFonts w:ascii="Arial"/>
          <w:b/>
          <w:sz w:val="16"/>
        </w:rPr>
      </w:pPr>
    </w:p>
    <w:p w14:paraId="6A150056" w14:textId="77777777" w:rsidR="002C6574" w:rsidRDefault="002C6574">
      <w:pPr>
        <w:pStyle w:val="Corpodetexto"/>
        <w:rPr>
          <w:rFonts w:ascii="Arial"/>
          <w:b/>
          <w:sz w:val="16"/>
        </w:rPr>
      </w:pPr>
    </w:p>
    <w:p w14:paraId="42BAE35F" w14:textId="77777777" w:rsidR="002C6574" w:rsidRDefault="002C6574">
      <w:pPr>
        <w:pStyle w:val="Corpodetexto"/>
        <w:rPr>
          <w:rFonts w:ascii="Arial"/>
          <w:b/>
          <w:sz w:val="16"/>
        </w:rPr>
      </w:pPr>
    </w:p>
    <w:p w14:paraId="16B17E38" w14:textId="77777777" w:rsidR="002C6574" w:rsidRDefault="002C6574">
      <w:pPr>
        <w:pStyle w:val="Corpodetexto"/>
        <w:spacing w:before="46"/>
        <w:rPr>
          <w:rFonts w:ascii="Arial"/>
          <w:b/>
          <w:sz w:val="16"/>
        </w:rPr>
      </w:pPr>
    </w:p>
    <w:p w14:paraId="3243E17E" w14:textId="77777777" w:rsidR="002C6574" w:rsidRDefault="00000000">
      <w:pPr>
        <w:spacing w:line="300" w:lineRule="auto"/>
        <w:ind w:left="2689" w:right="2828"/>
        <w:jc w:val="center"/>
        <w:rPr>
          <w:rFonts w:ascii="Arial" w:hAnsi="Arial"/>
          <w:b/>
          <w:sz w:val="16"/>
        </w:rPr>
      </w:pPr>
      <w:r>
        <w:rPr>
          <w:rFonts w:ascii="Arial" w:hAnsi="Arial"/>
          <w:b/>
          <w:sz w:val="16"/>
        </w:rPr>
        <w:t>TELECOMUNICAÇÕES</w:t>
      </w:r>
      <w:r>
        <w:rPr>
          <w:rFonts w:ascii="Arial" w:hAnsi="Arial"/>
          <w:b/>
          <w:spacing w:val="-6"/>
          <w:sz w:val="16"/>
        </w:rPr>
        <w:t xml:space="preserve"> </w:t>
      </w:r>
      <w:r>
        <w:rPr>
          <w:rFonts w:ascii="Arial" w:hAnsi="Arial"/>
          <w:b/>
          <w:sz w:val="16"/>
        </w:rPr>
        <w:t>BRASILEIRAS</w:t>
      </w:r>
      <w:r>
        <w:rPr>
          <w:rFonts w:ascii="Arial" w:hAnsi="Arial"/>
          <w:b/>
          <w:spacing w:val="-10"/>
          <w:sz w:val="16"/>
        </w:rPr>
        <w:t xml:space="preserve"> </w:t>
      </w:r>
      <w:r>
        <w:rPr>
          <w:rFonts w:ascii="Arial" w:hAnsi="Arial"/>
          <w:b/>
          <w:sz w:val="16"/>
        </w:rPr>
        <w:t>S.A</w:t>
      </w:r>
      <w:r>
        <w:rPr>
          <w:rFonts w:ascii="Arial" w:hAnsi="Arial"/>
          <w:b/>
          <w:spacing w:val="-8"/>
          <w:sz w:val="16"/>
        </w:rPr>
        <w:t xml:space="preserve"> </w:t>
      </w:r>
      <w:r>
        <w:rPr>
          <w:rFonts w:ascii="Arial" w:hAnsi="Arial"/>
          <w:b/>
          <w:sz w:val="16"/>
        </w:rPr>
        <w:t>-</w:t>
      </w:r>
      <w:r>
        <w:rPr>
          <w:rFonts w:ascii="Arial" w:hAnsi="Arial"/>
          <w:b/>
          <w:spacing w:val="-9"/>
          <w:sz w:val="16"/>
        </w:rPr>
        <w:t xml:space="preserve"> </w:t>
      </w:r>
      <w:r>
        <w:rPr>
          <w:rFonts w:ascii="Arial" w:hAnsi="Arial"/>
          <w:b/>
          <w:sz w:val="16"/>
        </w:rPr>
        <w:t>"TELEBRAS" CNPJ 00.336.701/0001-04</w:t>
      </w:r>
    </w:p>
    <w:p w14:paraId="712E6C9F" w14:textId="77777777" w:rsidR="002C6574" w:rsidRDefault="00000000">
      <w:pPr>
        <w:spacing w:before="1" w:line="300" w:lineRule="auto"/>
        <w:ind w:left="3023" w:right="3158" w:firstLine="1"/>
        <w:jc w:val="center"/>
        <w:rPr>
          <w:rFonts w:ascii="Arial" w:hAnsi="Arial"/>
          <w:b/>
          <w:sz w:val="16"/>
        </w:rPr>
      </w:pPr>
      <w:r>
        <w:rPr>
          <w:rFonts w:ascii="Arial" w:hAnsi="Arial"/>
          <w:b/>
          <w:sz w:val="16"/>
        </w:rPr>
        <w:t>Demonstrações dos Resultados Abrangentes Exercícios</w:t>
      </w:r>
      <w:r>
        <w:rPr>
          <w:rFonts w:ascii="Arial" w:hAnsi="Arial"/>
          <w:b/>
          <w:spacing w:val="-5"/>
          <w:sz w:val="16"/>
        </w:rPr>
        <w:t xml:space="preserve"> </w:t>
      </w:r>
      <w:r>
        <w:rPr>
          <w:rFonts w:ascii="Arial" w:hAnsi="Arial"/>
          <w:b/>
          <w:sz w:val="16"/>
        </w:rPr>
        <w:t>findos</w:t>
      </w:r>
      <w:r>
        <w:rPr>
          <w:rFonts w:ascii="Arial" w:hAnsi="Arial"/>
          <w:b/>
          <w:spacing w:val="-3"/>
          <w:sz w:val="16"/>
        </w:rPr>
        <w:t xml:space="preserve"> </w:t>
      </w:r>
      <w:r>
        <w:rPr>
          <w:rFonts w:ascii="Arial" w:hAnsi="Arial"/>
          <w:b/>
          <w:sz w:val="16"/>
        </w:rPr>
        <w:t>em</w:t>
      </w:r>
      <w:r>
        <w:rPr>
          <w:rFonts w:ascii="Arial" w:hAnsi="Arial"/>
          <w:b/>
          <w:spacing w:val="-1"/>
          <w:sz w:val="16"/>
        </w:rPr>
        <w:t xml:space="preserve"> </w:t>
      </w:r>
      <w:r>
        <w:rPr>
          <w:rFonts w:ascii="Arial" w:hAnsi="Arial"/>
          <w:b/>
          <w:sz w:val="16"/>
        </w:rPr>
        <w:t>31</w:t>
      </w:r>
      <w:r>
        <w:rPr>
          <w:rFonts w:ascii="Arial" w:hAnsi="Arial"/>
          <w:b/>
          <w:spacing w:val="-5"/>
          <w:sz w:val="16"/>
        </w:rPr>
        <w:t xml:space="preserve"> </w:t>
      </w:r>
      <w:r>
        <w:rPr>
          <w:rFonts w:ascii="Arial" w:hAnsi="Arial"/>
          <w:b/>
          <w:sz w:val="16"/>
        </w:rPr>
        <w:t>de</w:t>
      </w:r>
      <w:r>
        <w:rPr>
          <w:rFonts w:ascii="Arial" w:hAnsi="Arial"/>
          <w:b/>
          <w:spacing w:val="-5"/>
          <w:sz w:val="16"/>
        </w:rPr>
        <w:t xml:space="preserve"> </w:t>
      </w:r>
      <w:r>
        <w:rPr>
          <w:rFonts w:ascii="Arial" w:hAnsi="Arial"/>
          <w:b/>
          <w:sz w:val="16"/>
        </w:rPr>
        <w:t>dezembro</w:t>
      </w:r>
      <w:r>
        <w:rPr>
          <w:rFonts w:ascii="Arial" w:hAnsi="Arial"/>
          <w:b/>
          <w:spacing w:val="-4"/>
          <w:sz w:val="16"/>
        </w:rPr>
        <w:t xml:space="preserve"> </w:t>
      </w:r>
      <w:r>
        <w:rPr>
          <w:rFonts w:ascii="Arial" w:hAnsi="Arial"/>
          <w:b/>
          <w:sz w:val="16"/>
        </w:rPr>
        <w:t>de</w:t>
      </w:r>
      <w:r>
        <w:rPr>
          <w:rFonts w:ascii="Arial" w:hAnsi="Arial"/>
          <w:b/>
          <w:spacing w:val="-3"/>
          <w:sz w:val="16"/>
        </w:rPr>
        <w:t xml:space="preserve"> </w:t>
      </w:r>
      <w:r>
        <w:rPr>
          <w:rFonts w:ascii="Arial" w:hAnsi="Arial"/>
          <w:b/>
          <w:sz w:val="16"/>
        </w:rPr>
        <w:t>2025</w:t>
      </w:r>
      <w:r>
        <w:rPr>
          <w:rFonts w:ascii="Arial" w:hAnsi="Arial"/>
          <w:b/>
          <w:spacing w:val="-3"/>
          <w:sz w:val="16"/>
        </w:rPr>
        <w:t xml:space="preserve"> </w:t>
      </w:r>
      <w:r>
        <w:rPr>
          <w:rFonts w:ascii="Arial" w:hAnsi="Arial"/>
          <w:b/>
          <w:sz w:val="16"/>
        </w:rPr>
        <w:t>e</w:t>
      </w:r>
      <w:r>
        <w:rPr>
          <w:rFonts w:ascii="Arial" w:hAnsi="Arial"/>
          <w:b/>
          <w:spacing w:val="-3"/>
          <w:sz w:val="16"/>
        </w:rPr>
        <w:t xml:space="preserve"> </w:t>
      </w:r>
      <w:r>
        <w:rPr>
          <w:rFonts w:ascii="Arial" w:hAnsi="Arial"/>
          <w:b/>
          <w:sz w:val="16"/>
        </w:rPr>
        <w:t>2024</w:t>
      </w:r>
    </w:p>
    <w:p w14:paraId="1D0A0567" w14:textId="77777777" w:rsidR="002C6574" w:rsidRDefault="00000000">
      <w:pPr>
        <w:spacing w:before="1"/>
        <w:ind w:left="2690" w:right="2828"/>
        <w:jc w:val="center"/>
        <w:rPr>
          <w:rFonts w:ascii="Arial"/>
          <w:b/>
          <w:sz w:val="16"/>
        </w:rPr>
      </w:pPr>
      <w:r>
        <w:rPr>
          <w:rFonts w:ascii="Arial"/>
          <w:b/>
          <w:sz w:val="16"/>
        </w:rPr>
        <w:t>Em</w:t>
      </w:r>
      <w:r>
        <w:rPr>
          <w:rFonts w:ascii="Arial"/>
          <w:b/>
          <w:spacing w:val="-2"/>
          <w:sz w:val="16"/>
        </w:rPr>
        <w:t xml:space="preserve"> </w:t>
      </w:r>
      <w:r>
        <w:rPr>
          <w:rFonts w:ascii="Arial"/>
          <w:b/>
          <w:sz w:val="16"/>
        </w:rPr>
        <w:t>milhares</w:t>
      </w:r>
      <w:r>
        <w:rPr>
          <w:rFonts w:ascii="Arial"/>
          <w:b/>
          <w:spacing w:val="-1"/>
          <w:sz w:val="16"/>
        </w:rPr>
        <w:t xml:space="preserve"> </w:t>
      </w:r>
      <w:r>
        <w:rPr>
          <w:rFonts w:ascii="Arial"/>
          <w:b/>
          <w:sz w:val="16"/>
        </w:rPr>
        <w:t>de</w:t>
      </w:r>
      <w:r>
        <w:rPr>
          <w:rFonts w:ascii="Arial"/>
          <w:b/>
          <w:spacing w:val="-5"/>
          <w:sz w:val="16"/>
        </w:rPr>
        <w:t xml:space="preserve"> </w:t>
      </w:r>
      <w:r>
        <w:rPr>
          <w:rFonts w:ascii="Arial"/>
          <w:b/>
          <w:sz w:val="16"/>
        </w:rPr>
        <w:t>reais,</w:t>
      </w:r>
      <w:r>
        <w:rPr>
          <w:rFonts w:ascii="Arial"/>
          <w:b/>
          <w:spacing w:val="-2"/>
          <w:sz w:val="16"/>
        </w:rPr>
        <w:t xml:space="preserve"> </w:t>
      </w:r>
      <w:r>
        <w:rPr>
          <w:rFonts w:ascii="Arial"/>
          <w:b/>
          <w:sz w:val="16"/>
        </w:rPr>
        <w:t>exceto</w:t>
      </w:r>
      <w:r>
        <w:rPr>
          <w:rFonts w:ascii="Arial"/>
          <w:b/>
          <w:spacing w:val="-2"/>
          <w:sz w:val="16"/>
        </w:rPr>
        <w:t xml:space="preserve"> </w:t>
      </w:r>
      <w:r>
        <w:rPr>
          <w:rFonts w:ascii="Arial"/>
          <w:b/>
          <w:sz w:val="16"/>
        </w:rPr>
        <w:t>quando</w:t>
      </w:r>
      <w:r>
        <w:rPr>
          <w:rFonts w:ascii="Arial"/>
          <w:b/>
          <w:spacing w:val="-4"/>
          <w:sz w:val="16"/>
        </w:rPr>
        <w:t xml:space="preserve"> </w:t>
      </w:r>
      <w:r>
        <w:rPr>
          <w:rFonts w:ascii="Arial"/>
          <w:b/>
          <w:sz w:val="16"/>
        </w:rPr>
        <w:t>indicado</w:t>
      </w:r>
      <w:r>
        <w:rPr>
          <w:rFonts w:ascii="Arial"/>
          <w:b/>
          <w:spacing w:val="-4"/>
          <w:sz w:val="16"/>
        </w:rPr>
        <w:t xml:space="preserve"> </w:t>
      </w:r>
      <w:r>
        <w:rPr>
          <w:rFonts w:ascii="Arial"/>
          <w:b/>
          <w:sz w:val="16"/>
        </w:rPr>
        <w:t>de</w:t>
      </w:r>
      <w:r>
        <w:rPr>
          <w:rFonts w:ascii="Arial"/>
          <w:b/>
          <w:spacing w:val="-5"/>
          <w:sz w:val="16"/>
        </w:rPr>
        <w:t xml:space="preserve"> </w:t>
      </w:r>
      <w:r>
        <w:rPr>
          <w:rFonts w:ascii="Arial"/>
          <w:b/>
          <w:sz w:val="16"/>
        </w:rPr>
        <w:t>outra</w:t>
      </w:r>
      <w:r>
        <w:rPr>
          <w:rFonts w:ascii="Arial"/>
          <w:b/>
          <w:spacing w:val="-2"/>
          <w:sz w:val="16"/>
        </w:rPr>
        <w:t xml:space="preserve"> </w:t>
      </w:r>
      <w:r>
        <w:rPr>
          <w:rFonts w:ascii="Arial"/>
          <w:b/>
          <w:spacing w:val="-4"/>
          <w:sz w:val="16"/>
        </w:rPr>
        <w:t>forma</w:t>
      </w:r>
    </w:p>
    <w:p w14:paraId="247DFACA" w14:textId="77777777" w:rsidR="002C6574" w:rsidRDefault="002C6574">
      <w:pPr>
        <w:pStyle w:val="Corpodetexto"/>
        <w:rPr>
          <w:rFonts w:ascii="Arial"/>
          <w:b/>
          <w:sz w:val="20"/>
        </w:rPr>
      </w:pPr>
    </w:p>
    <w:p w14:paraId="100ADDF8" w14:textId="77777777" w:rsidR="002C6574" w:rsidRDefault="002C6574">
      <w:pPr>
        <w:pStyle w:val="Corpodetexto"/>
        <w:rPr>
          <w:rFonts w:ascii="Arial"/>
          <w:b/>
          <w:sz w:val="20"/>
        </w:rPr>
      </w:pPr>
    </w:p>
    <w:p w14:paraId="0BF22A9E" w14:textId="77777777" w:rsidR="002C6574" w:rsidRDefault="002C6574">
      <w:pPr>
        <w:pStyle w:val="Corpodetexto"/>
        <w:rPr>
          <w:rFonts w:ascii="Arial"/>
          <w:b/>
          <w:sz w:val="20"/>
        </w:rPr>
      </w:pPr>
    </w:p>
    <w:p w14:paraId="6459B9BA" w14:textId="77777777" w:rsidR="002C6574" w:rsidRDefault="002C6574">
      <w:pPr>
        <w:pStyle w:val="Corpodetexto"/>
        <w:spacing w:before="4"/>
        <w:rPr>
          <w:rFonts w:ascii="Arial"/>
          <w:b/>
          <w:sz w:val="20"/>
        </w:rPr>
      </w:pPr>
    </w:p>
    <w:tbl>
      <w:tblPr>
        <w:tblStyle w:val="TableNormal"/>
        <w:tblW w:w="0" w:type="auto"/>
        <w:tblInd w:w="28" w:type="dxa"/>
        <w:tblLayout w:type="fixed"/>
        <w:tblLook w:val="01E0" w:firstRow="1" w:lastRow="1" w:firstColumn="1" w:lastColumn="1" w:noHBand="0" w:noVBand="0"/>
      </w:tblPr>
      <w:tblGrid>
        <w:gridCol w:w="6600"/>
        <w:gridCol w:w="1544"/>
        <w:gridCol w:w="186"/>
        <w:gridCol w:w="1573"/>
      </w:tblGrid>
      <w:tr w:rsidR="002C6574" w14:paraId="6E09F4D7" w14:textId="77777777">
        <w:trPr>
          <w:trHeight w:val="230"/>
        </w:trPr>
        <w:tc>
          <w:tcPr>
            <w:tcW w:w="6600" w:type="dxa"/>
          </w:tcPr>
          <w:p w14:paraId="6136F59A" w14:textId="77777777" w:rsidR="002C6574" w:rsidRDefault="002C6574">
            <w:pPr>
              <w:pStyle w:val="TableParagraph"/>
              <w:jc w:val="left"/>
              <w:rPr>
                <w:rFonts w:ascii="Times New Roman"/>
                <w:sz w:val="16"/>
              </w:rPr>
            </w:pPr>
          </w:p>
        </w:tc>
        <w:tc>
          <w:tcPr>
            <w:tcW w:w="1544" w:type="dxa"/>
            <w:tcBorders>
              <w:top w:val="single" w:sz="4" w:space="0" w:color="000000"/>
            </w:tcBorders>
          </w:tcPr>
          <w:p w14:paraId="1478F767" w14:textId="77777777" w:rsidR="002C6574" w:rsidRDefault="00000000">
            <w:pPr>
              <w:pStyle w:val="TableParagraph"/>
              <w:tabs>
                <w:tab w:val="left" w:pos="592"/>
                <w:tab w:val="left" w:pos="1542"/>
              </w:tabs>
              <w:spacing w:before="46" w:line="163" w:lineRule="exact"/>
              <w:ind w:left="-1" w:right="1"/>
              <w:rPr>
                <w:rFonts w:ascii="Arial"/>
                <w:b/>
                <w:sz w:val="16"/>
              </w:rPr>
            </w:pPr>
            <w:r>
              <w:rPr>
                <w:rFonts w:ascii="Times New Roman"/>
                <w:sz w:val="16"/>
                <w:u w:val="single"/>
              </w:rPr>
              <w:tab/>
            </w:r>
            <w:r>
              <w:rPr>
                <w:rFonts w:ascii="Arial"/>
                <w:b/>
                <w:spacing w:val="-4"/>
                <w:sz w:val="16"/>
                <w:u w:val="single"/>
              </w:rPr>
              <w:t>2025</w:t>
            </w:r>
            <w:r>
              <w:rPr>
                <w:rFonts w:ascii="Arial"/>
                <w:b/>
                <w:sz w:val="16"/>
                <w:u w:val="single"/>
              </w:rPr>
              <w:tab/>
            </w:r>
          </w:p>
        </w:tc>
        <w:tc>
          <w:tcPr>
            <w:tcW w:w="186" w:type="dxa"/>
            <w:tcBorders>
              <w:top w:val="single" w:sz="4" w:space="0" w:color="000000"/>
            </w:tcBorders>
          </w:tcPr>
          <w:p w14:paraId="7FB7F7D1" w14:textId="77777777" w:rsidR="002C6574" w:rsidRDefault="002C6574">
            <w:pPr>
              <w:pStyle w:val="TableParagraph"/>
              <w:jc w:val="left"/>
              <w:rPr>
                <w:rFonts w:ascii="Times New Roman"/>
                <w:sz w:val="16"/>
              </w:rPr>
            </w:pPr>
          </w:p>
        </w:tc>
        <w:tc>
          <w:tcPr>
            <w:tcW w:w="1573" w:type="dxa"/>
            <w:tcBorders>
              <w:top w:val="single" w:sz="4" w:space="0" w:color="000000"/>
              <w:bottom w:val="single" w:sz="4" w:space="0" w:color="000000"/>
            </w:tcBorders>
          </w:tcPr>
          <w:p w14:paraId="4FAAFF1E" w14:textId="77777777" w:rsidR="002C6574" w:rsidRDefault="00000000">
            <w:pPr>
              <w:pStyle w:val="TableParagraph"/>
              <w:spacing w:before="25"/>
              <w:ind w:right="5"/>
              <w:jc w:val="center"/>
              <w:rPr>
                <w:rFonts w:ascii="Arial"/>
                <w:b/>
                <w:sz w:val="16"/>
              </w:rPr>
            </w:pPr>
            <w:r>
              <w:rPr>
                <w:rFonts w:ascii="Arial"/>
                <w:b/>
                <w:spacing w:val="-4"/>
                <w:sz w:val="16"/>
              </w:rPr>
              <w:t>2024</w:t>
            </w:r>
          </w:p>
        </w:tc>
      </w:tr>
      <w:tr w:rsidR="002C6574" w14:paraId="5594E66E" w14:textId="77777777">
        <w:trPr>
          <w:trHeight w:val="830"/>
        </w:trPr>
        <w:tc>
          <w:tcPr>
            <w:tcW w:w="6600" w:type="dxa"/>
          </w:tcPr>
          <w:p w14:paraId="0F02DF3C" w14:textId="77777777" w:rsidR="002C6574" w:rsidRDefault="002C6574">
            <w:pPr>
              <w:pStyle w:val="TableParagraph"/>
              <w:jc w:val="left"/>
              <w:rPr>
                <w:rFonts w:ascii="Arial"/>
                <w:b/>
                <w:sz w:val="16"/>
              </w:rPr>
            </w:pPr>
          </w:p>
          <w:p w14:paraId="7C3AAF79" w14:textId="77777777" w:rsidR="002C6574" w:rsidRDefault="002C6574">
            <w:pPr>
              <w:pStyle w:val="TableParagraph"/>
              <w:spacing w:before="139"/>
              <w:jc w:val="left"/>
              <w:rPr>
                <w:rFonts w:ascii="Arial"/>
                <w:b/>
                <w:sz w:val="16"/>
              </w:rPr>
            </w:pPr>
          </w:p>
          <w:p w14:paraId="726ABB60" w14:textId="77777777" w:rsidR="002C6574" w:rsidRDefault="00000000">
            <w:pPr>
              <w:pStyle w:val="TableParagraph"/>
              <w:ind w:left="50"/>
              <w:jc w:val="left"/>
              <w:rPr>
                <w:rFonts w:ascii="Arial" w:hAnsi="Arial"/>
                <w:b/>
                <w:sz w:val="16"/>
              </w:rPr>
            </w:pPr>
            <w:r>
              <w:rPr>
                <w:rFonts w:ascii="Arial" w:hAnsi="Arial"/>
                <w:b/>
                <w:sz w:val="16"/>
              </w:rPr>
              <w:t>Lucro/(Prejuízo)</w:t>
            </w:r>
            <w:r>
              <w:rPr>
                <w:rFonts w:ascii="Arial" w:hAnsi="Arial"/>
                <w:b/>
                <w:spacing w:val="-4"/>
                <w:sz w:val="16"/>
              </w:rPr>
              <w:t xml:space="preserve"> </w:t>
            </w:r>
            <w:r>
              <w:rPr>
                <w:rFonts w:ascii="Arial" w:hAnsi="Arial"/>
                <w:b/>
                <w:sz w:val="16"/>
              </w:rPr>
              <w:t>Líquido</w:t>
            </w:r>
            <w:r>
              <w:rPr>
                <w:rFonts w:ascii="Arial" w:hAnsi="Arial"/>
                <w:b/>
                <w:spacing w:val="-6"/>
                <w:sz w:val="16"/>
              </w:rPr>
              <w:t xml:space="preserve"> </w:t>
            </w:r>
            <w:r>
              <w:rPr>
                <w:rFonts w:ascii="Arial" w:hAnsi="Arial"/>
                <w:b/>
                <w:sz w:val="16"/>
              </w:rPr>
              <w:t>do</w:t>
            </w:r>
            <w:r>
              <w:rPr>
                <w:rFonts w:ascii="Arial" w:hAnsi="Arial"/>
                <w:b/>
                <w:spacing w:val="-5"/>
                <w:sz w:val="16"/>
              </w:rPr>
              <w:t xml:space="preserve"> </w:t>
            </w:r>
            <w:r>
              <w:rPr>
                <w:rFonts w:ascii="Arial" w:hAnsi="Arial"/>
                <w:b/>
                <w:spacing w:val="-2"/>
                <w:sz w:val="16"/>
              </w:rPr>
              <w:t>Exercício</w:t>
            </w:r>
          </w:p>
        </w:tc>
        <w:tc>
          <w:tcPr>
            <w:tcW w:w="1544" w:type="dxa"/>
          </w:tcPr>
          <w:p w14:paraId="03A34CFC" w14:textId="77777777" w:rsidR="002C6574" w:rsidRDefault="002C6574">
            <w:pPr>
              <w:pStyle w:val="TableParagraph"/>
              <w:jc w:val="left"/>
              <w:rPr>
                <w:rFonts w:ascii="Arial"/>
                <w:b/>
                <w:sz w:val="16"/>
              </w:rPr>
            </w:pPr>
          </w:p>
          <w:p w14:paraId="2ACD23CF" w14:textId="77777777" w:rsidR="002C6574" w:rsidRDefault="002C6574">
            <w:pPr>
              <w:pStyle w:val="TableParagraph"/>
              <w:spacing w:before="139"/>
              <w:jc w:val="left"/>
              <w:rPr>
                <w:rFonts w:ascii="Arial"/>
                <w:b/>
                <w:sz w:val="16"/>
              </w:rPr>
            </w:pPr>
          </w:p>
          <w:p w14:paraId="1AE381E3" w14:textId="77777777" w:rsidR="002C6574" w:rsidRDefault="00000000">
            <w:pPr>
              <w:pStyle w:val="TableParagraph"/>
              <w:ind w:left="-1" w:right="68"/>
              <w:rPr>
                <w:rFonts w:ascii="Arial"/>
                <w:b/>
                <w:sz w:val="16"/>
              </w:rPr>
            </w:pPr>
            <w:r>
              <w:rPr>
                <w:rFonts w:ascii="Arial"/>
                <w:b/>
                <w:spacing w:val="-2"/>
                <w:sz w:val="16"/>
              </w:rPr>
              <w:t>140.504</w:t>
            </w:r>
          </w:p>
        </w:tc>
        <w:tc>
          <w:tcPr>
            <w:tcW w:w="186" w:type="dxa"/>
          </w:tcPr>
          <w:p w14:paraId="24FA9218" w14:textId="77777777" w:rsidR="002C6574" w:rsidRDefault="002C6574">
            <w:pPr>
              <w:pStyle w:val="TableParagraph"/>
              <w:jc w:val="left"/>
              <w:rPr>
                <w:rFonts w:ascii="Times New Roman"/>
                <w:sz w:val="16"/>
              </w:rPr>
            </w:pPr>
          </w:p>
        </w:tc>
        <w:tc>
          <w:tcPr>
            <w:tcW w:w="1573" w:type="dxa"/>
            <w:tcBorders>
              <w:top w:val="single" w:sz="4" w:space="0" w:color="000000"/>
            </w:tcBorders>
          </w:tcPr>
          <w:p w14:paraId="3BC37823" w14:textId="77777777" w:rsidR="002C6574" w:rsidRDefault="002C6574">
            <w:pPr>
              <w:pStyle w:val="TableParagraph"/>
              <w:jc w:val="left"/>
              <w:rPr>
                <w:rFonts w:ascii="Arial"/>
                <w:b/>
                <w:sz w:val="16"/>
              </w:rPr>
            </w:pPr>
          </w:p>
          <w:p w14:paraId="54E4B340" w14:textId="77777777" w:rsidR="002C6574" w:rsidRDefault="002C6574">
            <w:pPr>
              <w:pStyle w:val="TableParagraph"/>
              <w:spacing w:before="139"/>
              <w:jc w:val="left"/>
              <w:rPr>
                <w:rFonts w:ascii="Arial"/>
                <w:b/>
                <w:sz w:val="16"/>
              </w:rPr>
            </w:pPr>
          </w:p>
          <w:p w14:paraId="64BD849A" w14:textId="77777777" w:rsidR="002C6574" w:rsidRDefault="00000000">
            <w:pPr>
              <w:pStyle w:val="TableParagraph"/>
              <w:ind w:left="-3" w:right="70"/>
              <w:rPr>
                <w:rFonts w:ascii="Arial"/>
                <w:b/>
                <w:sz w:val="16"/>
              </w:rPr>
            </w:pPr>
            <w:r>
              <w:rPr>
                <w:rFonts w:ascii="Arial"/>
                <w:b/>
                <w:spacing w:val="-2"/>
                <w:sz w:val="16"/>
              </w:rPr>
              <w:t>(66.572)</w:t>
            </w:r>
          </w:p>
        </w:tc>
      </w:tr>
      <w:tr w:rsidR="002C6574" w14:paraId="7662CC48" w14:textId="77777777">
        <w:trPr>
          <w:trHeight w:val="459"/>
        </w:trPr>
        <w:tc>
          <w:tcPr>
            <w:tcW w:w="6600" w:type="dxa"/>
          </w:tcPr>
          <w:p w14:paraId="4C58E5AC" w14:textId="77777777" w:rsidR="002C6574" w:rsidRDefault="00000000">
            <w:pPr>
              <w:pStyle w:val="TableParagraph"/>
              <w:spacing w:before="135"/>
              <w:ind w:left="50"/>
              <w:jc w:val="left"/>
              <w:rPr>
                <w:rFonts w:ascii="Arial"/>
                <w:b/>
                <w:sz w:val="16"/>
              </w:rPr>
            </w:pPr>
            <w:r>
              <w:rPr>
                <w:rFonts w:ascii="Arial"/>
                <w:b/>
                <w:sz w:val="16"/>
              </w:rPr>
              <w:t>Outros</w:t>
            </w:r>
            <w:r>
              <w:rPr>
                <w:rFonts w:ascii="Arial"/>
                <w:b/>
                <w:spacing w:val="-4"/>
                <w:sz w:val="16"/>
              </w:rPr>
              <w:t xml:space="preserve"> </w:t>
            </w:r>
            <w:r>
              <w:rPr>
                <w:rFonts w:ascii="Arial"/>
                <w:b/>
                <w:sz w:val="16"/>
              </w:rPr>
              <w:t>Resultados</w:t>
            </w:r>
            <w:r>
              <w:rPr>
                <w:rFonts w:ascii="Arial"/>
                <w:b/>
                <w:spacing w:val="-3"/>
                <w:sz w:val="16"/>
              </w:rPr>
              <w:t xml:space="preserve"> </w:t>
            </w:r>
            <w:r>
              <w:rPr>
                <w:rFonts w:ascii="Arial"/>
                <w:b/>
                <w:spacing w:val="-2"/>
                <w:sz w:val="16"/>
              </w:rPr>
              <w:t>Abrangentes</w:t>
            </w:r>
          </w:p>
        </w:tc>
        <w:tc>
          <w:tcPr>
            <w:tcW w:w="1544" w:type="dxa"/>
          </w:tcPr>
          <w:p w14:paraId="096FDDEA" w14:textId="77777777" w:rsidR="002C6574" w:rsidRDefault="00000000">
            <w:pPr>
              <w:pStyle w:val="TableParagraph"/>
              <w:spacing w:before="135"/>
              <w:ind w:left="-1" w:right="66"/>
              <w:rPr>
                <w:rFonts w:ascii="Arial"/>
                <w:b/>
                <w:sz w:val="16"/>
              </w:rPr>
            </w:pPr>
            <w:r>
              <w:rPr>
                <w:rFonts w:ascii="Arial"/>
                <w:b/>
                <w:spacing w:val="-2"/>
                <w:sz w:val="16"/>
              </w:rPr>
              <w:t>(3.208)</w:t>
            </w:r>
          </w:p>
        </w:tc>
        <w:tc>
          <w:tcPr>
            <w:tcW w:w="186" w:type="dxa"/>
          </w:tcPr>
          <w:p w14:paraId="23A11919" w14:textId="77777777" w:rsidR="002C6574" w:rsidRDefault="002C6574">
            <w:pPr>
              <w:pStyle w:val="TableParagraph"/>
              <w:jc w:val="left"/>
              <w:rPr>
                <w:rFonts w:ascii="Times New Roman"/>
                <w:sz w:val="16"/>
              </w:rPr>
            </w:pPr>
          </w:p>
        </w:tc>
        <w:tc>
          <w:tcPr>
            <w:tcW w:w="1573" w:type="dxa"/>
          </w:tcPr>
          <w:p w14:paraId="764CABAC" w14:textId="77777777" w:rsidR="002C6574" w:rsidRDefault="00000000">
            <w:pPr>
              <w:pStyle w:val="TableParagraph"/>
              <w:spacing w:before="135"/>
              <w:ind w:left="-3" w:right="73"/>
              <w:rPr>
                <w:rFonts w:ascii="Arial"/>
                <w:b/>
                <w:sz w:val="16"/>
              </w:rPr>
            </w:pPr>
            <w:r>
              <w:rPr>
                <w:rFonts w:ascii="Arial"/>
                <w:b/>
                <w:spacing w:val="-2"/>
                <w:sz w:val="16"/>
              </w:rPr>
              <w:t>10.677</w:t>
            </w:r>
          </w:p>
        </w:tc>
      </w:tr>
      <w:tr w:rsidR="002C6574" w14:paraId="09198FDD" w14:textId="77777777">
        <w:trPr>
          <w:trHeight w:val="333"/>
        </w:trPr>
        <w:tc>
          <w:tcPr>
            <w:tcW w:w="6600" w:type="dxa"/>
          </w:tcPr>
          <w:p w14:paraId="4743EE73" w14:textId="77777777" w:rsidR="002C6574" w:rsidRDefault="00000000">
            <w:pPr>
              <w:pStyle w:val="TableParagraph"/>
              <w:spacing w:before="136" w:line="178" w:lineRule="exact"/>
              <w:ind w:left="50"/>
              <w:jc w:val="left"/>
              <w:rPr>
                <w:rFonts w:ascii="Arial" w:hAnsi="Arial"/>
                <w:b/>
                <w:sz w:val="16"/>
              </w:rPr>
            </w:pPr>
            <w:r>
              <w:rPr>
                <w:rFonts w:ascii="Arial" w:hAnsi="Arial"/>
                <w:b/>
                <w:sz w:val="16"/>
              </w:rPr>
              <w:t>Itens</w:t>
            </w:r>
            <w:r>
              <w:rPr>
                <w:rFonts w:ascii="Arial" w:hAnsi="Arial"/>
                <w:b/>
                <w:spacing w:val="-3"/>
                <w:sz w:val="16"/>
              </w:rPr>
              <w:t xml:space="preserve"> </w:t>
            </w:r>
            <w:r>
              <w:rPr>
                <w:rFonts w:ascii="Arial" w:hAnsi="Arial"/>
                <w:b/>
                <w:sz w:val="16"/>
              </w:rPr>
              <w:t>que</w:t>
            </w:r>
            <w:r>
              <w:rPr>
                <w:rFonts w:ascii="Arial" w:hAnsi="Arial"/>
                <w:b/>
                <w:spacing w:val="-5"/>
                <w:sz w:val="16"/>
              </w:rPr>
              <w:t xml:space="preserve"> </w:t>
            </w:r>
            <w:r>
              <w:rPr>
                <w:rFonts w:ascii="Arial" w:hAnsi="Arial"/>
                <w:b/>
                <w:sz w:val="16"/>
              </w:rPr>
              <w:t>poderão</w:t>
            </w:r>
            <w:r>
              <w:rPr>
                <w:rFonts w:ascii="Arial" w:hAnsi="Arial"/>
                <w:b/>
                <w:spacing w:val="-2"/>
                <w:sz w:val="16"/>
              </w:rPr>
              <w:t xml:space="preserve"> </w:t>
            </w:r>
            <w:r>
              <w:rPr>
                <w:rFonts w:ascii="Arial" w:hAnsi="Arial"/>
                <w:b/>
                <w:sz w:val="16"/>
              </w:rPr>
              <w:t>ser</w:t>
            </w:r>
            <w:r>
              <w:rPr>
                <w:rFonts w:ascii="Arial" w:hAnsi="Arial"/>
                <w:b/>
                <w:spacing w:val="-4"/>
                <w:sz w:val="16"/>
              </w:rPr>
              <w:t xml:space="preserve"> </w:t>
            </w:r>
            <w:r>
              <w:rPr>
                <w:rFonts w:ascii="Arial" w:hAnsi="Arial"/>
                <w:b/>
                <w:sz w:val="16"/>
              </w:rPr>
              <w:t>Reclassificados</w:t>
            </w:r>
            <w:r>
              <w:rPr>
                <w:rFonts w:ascii="Arial" w:hAnsi="Arial"/>
                <w:b/>
                <w:spacing w:val="-2"/>
                <w:sz w:val="16"/>
              </w:rPr>
              <w:t xml:space="preserve"> </w:t>
            </w:r>
            <w:r>
              <w:rPr>
                <w:rFonts w:ascii="Arial" w:hAnsi="Arial"/>
                <w:b/>
                <w:sz w:val="16"/>
              </w:rPr>
              <w:t>para</w:t>
            </w:r>
            <w:r>
              <w:rPr>
                <w:rFonts w:ascii="Arial" w:hAnsi="Arial"/>
                <w:b/>
                <w:spacing w:val="-5"/>
                <w:sz w:val="16"/>
              </w:rPr>
              <w:t xml:space="preserve"> </w:t>
            </w:r>
            <w:r>
              <w:rPr>
                <w:rFonts w:ascii="Arial" w:hAnsi="Arial"/>
                <w:b/>
                <w:sz w:val="16"/>
              </w:rPr>
              <w:t>o</w:t>
            </w:r>
            <w:r>
              <w:rPr>
                <w:rFonts w:ascii="Arial" w:hAnsi="Arial"/>
                <w:b/>
                <w:spacing w:val="-1"/>
                <w:sz w:val="16"/>
              </w:rPr>
              <w:t xml:space="preserve"> </w:t>
            </w:r>
            <w:r>
              <w:rPr>
                <w:rFonts w:ascii="Arial" w:hAnsi="Arial"/>
                <w:b/>
                <w:spacing w:val="-2"/>
                <w:sz w:val="16"/>
              </w:rPr>
              <w:t>Resultado:</w:t>
            </w:r>
          </w:p>
        </w:tc>
        <w:tc>
          <w:tcPr>
            <w:tcW w:w="1544" w:type="dxa"/>
          </w:tcPr>
          <w:p w14:paraId="141F9B34" w14:textId="77777777" w:rsidR="002C6574" w:rsidRDefault="00000000">
            <w:pPr>
              <w:pStyle w:val="TableParagraph"/>
              <w:spacing w:before="136" w:line="178" w:lineRule="exact"/>
              <w:ind w:left="-1" w:right="66"/>
              <w:rPr>
                <w:rFonts w:ascii="Arial"/>
                <w:b/>
                <w:sz w:val="16"/>
              </w:rPr>
            </w:pPr>
            <w:r>
              <w:rPr>
                <w:rFonts w:ascii="Arial"/>
                <w:b/>
                <w:spacing w:val="-2"/>
                <w:sz w:val="16"/>
              </w:rPr>
              <w:t>(4.161)</w:t>
            </w:r>
          </w:p>
        </w:tc>
        <w:tc>
          <w:tcPr>
            <w:tcW w:w="186" w:type="dxa"/>
          </w:tcPr>
          <w:p w14:paraId="1B91E32C" w14:textId="77777777" w:rsidR="002C6574" w:rsidRDefault="002C6574">
            <w:pPr>
              <w:pStyle w:val="TableParagraph"/>
              <w:jc w:val="left"/>
              <w:rPr>
                <w:rFonts w:ascii="Times New Roman"/>
                <w:sz w:val="16"/>
              </w:rPr>
            </w:pPr>
          </w:p>
        </w:tc>
        <w:tc>
          <w:tcPr>
            <w:tcW w:w="1573" w:type="dxa"/>
          </w:tcPr>
          <w:p w14:paraId="46C4DB30" w14:textId="77777777" w:rsidR="002C6574" w:rsidRDefault="00000000">
            <w:pPr>
              <w:pStyle w:val="TableParagraph"/>
              <w:spacing w:before="136" w:line="178" w:lineRule="exact"/>
              <w:ind w:left="-3" w:right="73"/>
              <w:rPr>
                <w:rFonts w:ascii="Arial"/>
                <w:b/>
                <w:sz w:val="16"/>
              </w:rPr>
            </w:pPr>
            <w:r>
              <w:rPr>
                <w:rFonts w:ascii="Arial"/>
                <w:b/>
                <w:spacing w:val="-2"/>
                <w:sz w:val="16"/>
              </w:rPr>
              <w:t>11.053</w:t>
            </w:r>
          </w:p>
        </w:tc>
      </w:tr>
      <w:tr w:rsidR="002C6574" w14:paraId="2B1A789D" w14:textId="77777777">
        <w:trPr>
          <w:trHeight w:val="357"/>
        </w:trPr>
        <w:tc>
          <w:tcPr>
            <w:tcW w:w="6600" w:type="dxa"/>
          </w:tcPr>
          <w:p w14:paraId="34B0D971" w14:textId="77777777" w:rsidR="002C6574" w:rsidRDefault="00000000">
            <w:pPr>
              <w:pStyle w:val="TableParagraph"/>
              <w:spacing w:line="199" w:lineRule="exact"/>
              <w:ind w:left="210"/>
              <w:jc w:val="left"/>
              <w:rPr>
                <w:sz w:val="16"/>
              </w:rPr>
            </w:pPr>
            <w:r>
              <w:rPr>
                <w:sz w:val="16"/>
              </w:rPr>
              <w:t>Equivalência</w:t>
            </w:r>
            <w:r>
              <w:rPr>
                <w:spacing w:val="4"/>
                <w:sz w:val="16"/>
              </w:rPr>
              <w:t xml:space="preserve"> </w:t>
            </w:r>
            <w:r>
              <w:rPr>
                <w:sz w:val="16"/>
              </w:rPr>
              <w:t>patrimonial</w:t>
            </w:r>
            <w:r>
              <w:rPr>
                <w:spacing w:val="4"/>
                <w:sz w:val="16"/>
              </w:rPr>
              <w:t xml:space="preserve"> </w:t>
            </w:r>
            <w:r>
              <w:rPr>
                <w:sz w:val="16"/>
              </w:rPr>
              <w:t>sobre</w:t>
            </w:r>
            <w:r>
              <w:rPr>
                <w:spacing w:val="2"/>
                <w:sz w:val="16"/>
              </w:rPr>
              <w:t xml:space="preserve"> </w:t>
            </w:r>
            <w:r>
              <w:rPr>
                <w:sz w:val="16"/>
              </w:rPr>
              <w:t>Outros</w:t>
            </w:r>
            <w:r>
              <w:rPr>
                <w:spacing w:val="6"/>
                <w:sz w:val="16"/>
              </w:rPr>
              <w:t xml:space="preserve"> </w:t>
            </w:r>
            <w:r>
              <w:rPr>
                <w:sz w:val="16"/>
              </w:rPr>
              <w:t>Resultados</w:t>
            </w:r>
            <w:r>
              <w:rPr>
                <w:spacing w:val="5"/>
                <w:sz w:val="16"/>
              </w:rPr>
              <w:t xml:space="preserve"> </w:t>
            </w:r>
            <w:r>
              <w:rPr>
                <w:sz w:val="16"/>
              </w:rPr>
              <w:t>Abrangentes</w:t>
            </w:r>
            <w:r>
              <w:rPr>
                <w:spacing w:val="2"/>
                <w:sz w:val="16"/>
              </w:rPr>
              <w:t xml:space="preserve"> </w:t>
            </w:r>
            <w:r>
              <w:rPr>
                <w:sz w:val="16"/>
              </w:rPr>
              <w:t>em</w:t>
            </w:r>
            <w:r>
              <w:rPr>
                <w:spacing w:val="1"/>
                <w:sz w:val="16"/>
              </w:rPr>
              <w:t xml:space="preserve"> </w:t>
            </w:r>
            <w:r>
              <w:rPr>
                <w:spacing w:val="-2"/>
                <w:sz w:val="16"/>
              </w:rPr>
              <w:t>Coligadas</w:t>
            </w:r>
          </w:p>
        </w:tc>
        <w:tc>
          <w:tcPr>
            <w:tcW w:w="1544" w:type="dxa"/>
          </w:tcPr>
          <w:p w14:paraId="7F929AD0" w14:textId="77777777" w:rsidR="002C6574" w:rsidRDefault="00000000">
            <w:pPr>
              <w:pStyle w:val="TableParagraph"/>
              <w:spacing w:before="10"/>
              <w:ind w:left="-1" w:right="66"/>
              <w:rPr>
                <w:sz w:val="16"/>
              </w:rPr>
            </w:pPr>
            <w:r>
              <w:rPr>
                <w:spacing w:val="-2"/>
                <w:w w:val="110"/>
                <w:sz w:val="16"/>
              </w:rPr>
              <w:t>(4.161)</w:t>
            </w:r>
          </w:p>
        </w:tc>
        <w:tc>
          <w:tcPr>
            <w:tcW w:w="186" w:type="dxa"/>
          </w:tcPr>
          <w:p w14:paraId="364A2ACE" w14:textId="77777777" w:rsidR="002C6574" w:rsidRDefault="002C6574">
            <w:pPr>
              <w:pStyle w:val="TableParagraph"/>
              <w:jc w:val="left"/>
              <w:rPr>
                <w:rFonts w:ascii="Times New Roman"/>
                <w:sz w:val="16"/>
              </w:rPr>
            </w:pPr>
          </w:p>
        </w:tc>
        <w:tc>
          <w:tcPr>
            <w:tcW w:w="1573" w:type="dxa"/>
          </w:tcPr>
          <w:p w14:paraId="5658E372" w14:textId="77777777" w:rsidR="002C6574" w:rsidRDefault="00000000">
            <w:pPr>
              <w:pStyle w:val="TableParagraph"/>
              <w:spacing w:before="10"/>
              <w:ind w:left="-3" w:right="73"/>
              <w:rPr>
                <w:sz w:val="16"/>
              </w:rPr>
            </w:pPr>
            <w:r>
              <w:rPr>
                <w:spacing w:val="-2"/>
                <w:w w:val="105"/>
                <w:sz w:val="16"/>
              </w:rPr>
              <w:t>11.053</w:t>
            </w:r>
          </w:p>
        </w:tc>
      </w:tr>
      <w:tr w:rsidR="002C6574" w14:paraId="72F06341" w14:textId="77777777">
        <w:trPr>
          <w:trHeight w:val="333"/>
        </w:trPr>
        <w:tc>
          <w:tcPr>
            <w:tcW w:w="6600" w:type="dxa"/>
          </w:tcPr>
          <w:p w14:paraId="3191DD9A" w14:textId="77777777" w:rsidR="002C6574" w:rsidRDefault="00000000">
            <w:pPr>
              <w:pStyle w:val="TableParagraph"/>
              <w:spacing w:before="136" w:line="178" w:lineRule="exact"/>
              <w:ind w:left="50"/>
              <w:jc w:val="left"/>
              <w:rPr>
                <w:rFonts w:ascii="Arial" w:hAnsi="Arial"/>
                <w:b/>
                <w:sz w:val="16"/>
              </w:rPr>
            </w:pPr>
            <w:r>
              <w:rPr>
                <w:rFonts w:ascii="Arial" w:hAnsi="Arial"/>
                <w:b/>
                <w:sz w:val="16"/>
              </w:rPr>
              <w:t>Itens</w:t>
            </w:r>
            <w:r>
              <w:rPr>
                <w:rFonts w:ascii="Arial" w:hAnsi="Arial"/>
                <w:b/>
                <w:spacing w:val="-3"/>
                <w:sz w:val="16"/>
              </w:rPr>
              <w:t xml:space="preserve"> </w:t>
            </w:r>
            <w:r>
              <w:rPr>
                <w:rFonts w:ascii="Arial" w:hAnsi="Arial"/>
                <w:b/>
                <w:sz w:val="16"/>
              </w:rPr>
              <w:t>que</w:t>
            </w:r>
            <w:r>
              <w:rPr>
                <w:rFonts w:ascii="Arial" w:hAnsi="Arial"/>
                <w:b/>
                <w:spacing w:val="-5"/>
                <w:sz w:val="16"/>
              </w:rPr>
              <w:t xml:space="preserve"> </w:t>
            </w:r>
            <w:r>
              <w:rPr>
                <w:rFonts w:ascii="Arial" w:hAnsi="Arial"/>
                <w:b/>
                <w:sz w:val="16"/>
              </w:rPr>
              <w:t>não</w:t>
            </w:r>
            <w:r>
              <w:rPr>
                <w:rFonts w:ascii="Arial" w:hAnsi="Arial"/>
                <w:b/>
                <w:spacing w:val="-4"/>
                <w:sz w:val="16"/>
              </w:rPr>
              <w:t xml:space="preserve"> </w:t>
            </w:r>
            <w:r>
              <w:rPr>
                <w:rFonts w:ascii="Arial" w:hAnsi="Arial"/>
                <w:b/>
                <w:sz w:val="16"/>
              </w:rPr>
              <w:t>serão</w:t>
            </w:r>
            <w:r>
              <w:rPr>
                <w:rFonts w:ascii="Arial" w:hAnsi="Arial"/>
                <w:b/>
                <w:spacing w:val="1"/>
                <w:sz w:val="16"/>
              </w:rPr>
              <w:t xml:space="preserve"> </w:t>
            </w:r>
            <w:r>
              <w:rPr>
                <w:rFonts w:ascii="Arial" w:hAnsi="Arial"/>
                <w:b/>
                <w:sz w:val="16"/>
              </w:rPr>
              <w:t>Reclassificados</w:t>
            </w:r>
            <w:r>
              <w:rPr>
                <w:rFonts w:ascii="Arial" w:hAnsi="Arial"/>
                <w:b/>
                <w:spacing w:val="-3"/>
                <w:sz w:val="16"/>
              </w:rPr>
              <w:t xml:space="preserve"> </w:t>
            </w:r>
            <w:r>
              <w:rPr>
                <w:rFonts w:ascii="Arial" w:hAnsi="Arial"/>
                <w:b/>
                <w:sz w:val="16"/>
              </w:rPr>
              <w:t>para</w:t>
            </w:r>
            <w:r>
              <w:rPr>
                <w:rFonts w:ascii="Arial" w:hAnsi="Arial"/>
                <w:b/>
                <w:spacing w:val="-5"/>
                <w:sz w:val="16"/>
              </w:rPr>
              <w:t xml:space="preserve"> </w:t>
            </w:r>
            <w:r>
              <w:rPr>
                <w:rFonts w:ascii="Arial" w:hAnsi="Arial"/>
                <w:b/>
                <w:sz w:val="16"/>
              </w:rPr>
              <w:t>o</w:t>
            </w:r>
            <w:r>
              <w:rPr>
                <w:rFonts w:ascii="Arial" w:hAnsi="Arial"/>
                <w:b/>
                <w:spacing w:val="-1"/>
                <w:sz w:val="16"/>
              </w:rPr>
              <w:t xml:space="preserve"> </w:t>
            </w:r>
            <w:r>
              <w:rPr>
                <w:rFonts w:ascii="Arial" w:hAnsi="Arial"/>
                <w:b/>
                <w:spacing w:val="-2"/>
                <w:sz w:val="16"/>
              </w:rPr>
              <w:t>Resultado:</w:t>
            </w:r>
          </w:p>
        </w:tc>
        <w:tc>
          <w:tcPr>
            <w:tcW w:w="1544" w:type="dxa"/>
          </w:tcPr>
          <w:p w14:paraId="43EF2A1F" w14:textId="77777777" w:rsidR="002C6574" w:rsidRDefault="00000000">
            <w:pPr>
              <w:pStyle w:val="TableParagraph"/>
              <w:spacing w:before="136" w:line="178" w:lineRule="exact"/>
              <w:ind w:left="-1" w:right="68"/>
              <w:rPr>
                <w:rFonts w:ascii="Arial"/>
                <w:b/>
                <w:sz w:val="16"/>
              </w:rPr>
            </w:pPr>
            <w:r>
              <w:rPr>
                <w:rFonts w:ascii="Arial"/>
                <w:b/>
                <w:spacing w:val="-5"/>
                <w:sz w:val="16"/>
              </w:rPr>
              <w:t>953</w:t>
            </w:r>
          </w:p>
        </w:tc>
        <w:tc>
          <w:tcPr>
            <w:tcW w:w="186" w:type="dxa"/>
          </w:tcPr>
          <w:p w14:paraId="492FC48C" w14:textId="77777777" w:rsidR="002C6574" w:rsidRDefault="002C6574">
            <w:pPr>
              <w:pStyle w:val="TableParagraph"/>
              <w:jc w:val="left"/>
              <w:rPr>
                <w:rFonts w:ascii="Times New Roman"/>
                <w:sz w:val="16"/>
              </w:rPr>
            </w:pPr>
          </w:p>
        </w:tc>
        <w:tc>
          <w:tcPr>
            <w:tcW w:w="1573" w:type="dxa"/>
          </w:tcPr>
          <w:p w14:paraId="48940E2B" w14:textId="77777777" w:rsidR="002C6574" w:rsidRDefault="00000000">
            <w:pPr>
              <w:pStyle w:val="TableParagraph"/>
              <w:spacing w:before="136" w:line="178" w:lineRule="exact"/>
              <w:ind w:left="-3" w:right="70"/>
              <w:rPr>
                <w:rFonts w:ascii="Arial"/>
                <w:b/>
                <w:sz w:val="16"/>
              </w:rPr>
            </w:pPr>
            <w:r>
              <w:rPr>
                <w:rFonts w:ascii="Arial"/>
                <w:b/>
                <w:spacing w:val="-2"/>
                <w:sz w:val="16"/>
              </w:rPr>
              <w:t>(376)</w:t>
            </w:r>
          </w:p>
        </w:tc>
      </w:tr>
      <w:tr w:rsidR="002C6574" w14:paraId="51DBBD68" w14:textId="77777777">
        <w:trPr>
          <w:trHeight w:val="444"/>
        </w:trPr>
        <w:tc>
          <w:tcPr>
            <w:tcW w:w="6600" w:type="dxa"/>
          </w:tcPr>
          <w:p w14:paraId="0B1CBA70" w14:textId="77777777" w:rsidR="002C6574" w:rsidRDefault="00000000">
            <w:pPr>
              <w:pStyle w:val="TableParagraph"/>
              <w:spacing w:line="199" w:lineRule="exact"/>
              <w:ind w:left="210"/>
              <w:jc w:val="left"/>
              <w:rPr>
                <w:sz w:val="16"/>
              </w:rPr>
            </w:pPr>
            <w:r>
              <w:rPr>
                <w:sz w:val="16"/>
              </w:rPr>
              <w:t>Ganho/(Perda)</w:t>
            </w:r>
            <w:r>
              <w:rPr>
                <w:spacing w:val="4"/>
                <w:sz w:val="16"/>
              </w:rPr>
              <w:t xml:space="preserve"> </w:t>
            </w:r>
            <w:r>
              <w:rPr>
                <w:sz w:val="16"/>
              </w:rPr>
              <w:t>com</w:t>
            </w:r>
            <w:r>
              <w:rPr>
                <w:spacing w:val="4"/>
                <w:sz w:val="16"/>
              </w:rPr>
              <w:t xml:space="preserve"> </w:t>
            </w:r>
            <w:r>
              <w:rPr>
                <w:sz w:val="16"/>
              </w:rPr>
              <w:t>Instrumentos</w:t>
            </w:r>
            <w:r>
              <w:rPr>
                <w:spacing w:val="5"/>
                <w:sz w:val="16"/>
              </w:rPr>
              <w:t xml:space="preserve"> </w:t>
            </w:r>
            <w:r>
              <w:rPr>
                <w:sz w:val="16"/>
              </w:rPr>
              <w:t>Financeiros</w:t>
            </w:r>
            <w:r>
              <w:rPr>
                <w:spacing w:val="5"/>
                <w:sz w:val="16"/>
              </w:rPr>
              <w:t xml:space="preserve"> </w:t>
            </w:r>
            <w:r>
              <w:rPr>
                <w:sz w:val="16"/>
              </w:rPr>
              <w:t>-</w:t>
            </w:r>
            <w:r>
              <w:rPr>
                <w:spacing w:val="1"/>
                <w:sz w:val="16"/>
              </w:rPr>
              <w:t xml:space="preserve"> </w:t>
            </w:r>
            <w:r>
              <w:rPr>
                <w:spacing w:val="-4"/>
                <w:sz w:val="16"/>
              </w:rPr>
              <w:t>VJORA</w:t>
            </w:r>
          </w:p>
        </w:tc>
        <w:tc>
          <w:tcPr>
            <w:tcW w:w="1544" w:type="dxa"/>
            <w:tcBorders>
              <w:bottom w:val="single" w:sz="4" w:space="0" w:color="000000"/>
            </w:tcBorders>
          </w:tcPr>
          <w:p w14:paraId="68291E0C" w14:textId="77777777" w:rsidR="002C6574" w:rsidRDefault="00000000">
            <w:pPr>
              <w:pStyle w:val="TableParagraph"/>
              <w:spacing w:before="8"/>
              <w:ind w:left="-1" w:right="68"/>
              <w:rPr>
                <w:sz w:val="16"/>
              </w:rPr>
            </w:pPr>
            <w:r>
              <w:rPr>
                <w:spacing w:val="-5"/>
                <w:w w:val="105"/>
                <w:sz w:val="16"/>
              </w:rPr>
              <w:t>953</w:t>
            </w:r>
          </w:p>
        </w:tc>
        <w:tc>
          <w:tcPr>
            <w:tcW w:w="186" w:type="dxa"/>
          </w:tcPr>
          <w:p w14:paraId="0C729784" w14:textId="77777777" w:rsidR="002C6574" w:rsidRDefault="002C6574">
            <w:pPr>
              <w:pStyle w:val="TableParagraph"/>
              <w:jc w:val="left"/>
              <w:rPr>
                <w:rFonts w:ascii="Times New Roman"/>
                <w:sz w:val="16"/>
              </w:rPr>
            </w:pPr>
          </w:p>
        </w:tc>
        <w:tc>
          <w:tcPr>
            <w:tcW w:w="1573" w:type="dxa"/>
            <w:tcBorders>
              <w:bottom w:val="single" w:sz="4" w:space="0" w:color="000000"/>
            </w:tcBorders>
          </w:tcPr>
          <w:p w14:paraId="232B5EAC" w14:textId="77777777" w:rsidR="002C6574" w:rsidRDefault="00000000">
            <w:pPr>
              <w:pStyle w:val="TableParagraph"/>
              <w:spacing w:before="8"/>
              <w:ind w:left="-3" w:right="70"/>
              <w:rPr>
                <w:sz w:val="16"/>
              </w:rPr>
            </w:pPr>
            <w:r>
              <w:rPr>
                <w:spacing w:val="-4"/>
                <w:w w:val="105"/>
                <w:sz w:val="16"/>
              </w:rPr>
              <w:t>(376)</w:t>
            </w:r>
          </w:p>
        </w:tc>
      </w:tr>
      <w:tr w:rsidR="002C6574" w14:paraId="1FE53DE9" w14:textId="77777777">
        <w:trPr>
          <w:trHeight w:val="240"/>
        </w:trPr>
        <w:tc>
          <w:tcPr>
            <w:tcW w:w="6600" w:type="dxa"/>
          </w:tcPr>
          <w:p w14:paraId="75FE1F36" w14:textId="77777777" w:rsidR="002C6574" w:rsidRDefault="00000000">
            <w:pPr>
              <w:pStyle w:val="TableParagraph"/>
              <w:spacing w:before="56" w:line="165" w:lineRule="exact"/>
              <w:ind w:left="50"/>
              <w:jc w:val="left"/>
              <w:rPr>
                <w:rFonts w:ascii="Arial"/>
                <w:b/>
                <w:sz w:val="16"/>
              </w:rPr>
            </w:pPr>
            <w:r>
              <w:rPr>
                <w:rFonts w:ascii="Arial"/>
                <w:b/>
                <w:sz w:val="16"/>
              </w:rPr>
              <w:t>Resultado</w:t>
            </w:r>
            <w:r>
              <w:rPr>
                <w:rFonts w:ascii="Arial"/>
                <w:b/>
                <w:spacing w:val="-6"/>
                <w:sz w:val="16"/>
              </w:rPr>
              <w:t xml:space="preserve"> </w:t>
            </w:r>
            <w:r>
              <w:rPr>
                <w:rFonts w:ascii="Arial"/>
                <w:b/>
                <w:sz w:val="16"/>
              </w:rPr>
              <w:t>Abrangente</w:t>
            </w:r>
            <w:r>
              <w:rPr>
                <w:rFonts w:ascii="Arial"/>
                <w:b/>
                <w:spacing w:val="-6"/>
                <w:sz w:val="16"/>
              </w:rPr>
              <w:t xml:space="preserve"> </w:t>
            </w:r>
            <w:r>
              <w:rPr>
                <w:rFonts w:ascii="Arial"/>
                <w:b/>
                <w:spacing w:val="-4"/>
                <w:sz w:val="16"/>
              </w:rPr>
              <w:t>Total</w:t>
            </w:r>
          </w:p>
        </w:tc>
        <w:tc>
          <w:tcPr>
            <w:tcW w:w="1544" w:type="dxa"/>
            <w:tcBorders>
              <w:top w:val="single" w:sz="4" w:space="0" w:color="000000"/>
            </w:tcBorders>
          </w:tcPr>
          <w:p w14:paraId="3100520E" w14:textId="77777777" w:rsidR="002C6574" w:rsidRDefault="00000000">
            <w:pPr>
              <w:pStyle w:val="TableParagraph"/>
              <w:tabs>
                <w:tab w:val="left" w:pos="894"/>
              </w:tabs>
              <w:spacing w:before="56" w:line="165" w:lineRule="exact"/>
              <w:ind w:left="-1" w:right="68"/>
              <w:rPr>
                <w:rFonts w:ascii="Arial"/>
                <w:b/>
                <w:sz w:val="16"/>
              </w:rPr>
            </w:pPr>
            <w:r>
              <w:rPr>
                <w:rFonts w:ascii="Times New Roman"/>
                <w:sz w:val="16"/>
                <w:u w:val="double"/>
              </w:rPr>
              <w:tab/>
            </w:r>
            <w:r>
              <w:rPr>
                <w:rFonts w:ascii="Arial"/>
                <w:b/>
                <w:spacing w:val="-2"/>
                <w:sz w:val="16"/>
                <w:u w:val="double"/>
              </w:rPr>
              <w:t>137.296</w:t>
            </w:r>
          </w:p>
        </w:tc>
        <w:tc>
          <w:tcPr>
            <w:tcW w:w="186" w:type="dxa"/>
          </w:tcPr>
          <w:p w14:paraId="7458AB3D" w14:textId="77777777" w:rsidR="002C6574" w:rsidRDefault="002C6574">
            <w:pPr>
              <w:pStyle w:val="TableParagraph"/>
              <w:jc w:val="left"/>
              <w:rPr>
                <w:rFonts w:ascii="Times New Roman"/>
                <w:sz w:val="16"/>
              </w:rPr>
            </w:pPr>
          </w:p>
        </w:tc>
        <w:tc>
          <w:tcPr>
            <w:tcW w:w="1573" w:type="dxa"/>
            <w:tcBorders>
              <w:top w:val="single" w:sz="4" w:space="0" w:color="000000"/>
            </w:tcBorders>
          </w:tcPr>
          <w:p w14:paraId="08AE404B" w14:textId="77777777" w:rsidR="002C6574" w:rsidRDefault="00000000">
            <w:pPr>
              <w:pStyle w:val="TableParagraph"/>
              <w:tabs>
                <w:tab w:val="left" w:pos="904"/>
              </w:tabs>
              <w:spacing w:before="56" w:line="165" w:lineRule="exact"/>
              <w:ind w:left="-3" w:right="70"/>
              <w:rPr>
                <w:rFonts w:ascii="Arial"/>
                <w:b/>
                <w:sz w:val="16"/>
              </w:rPr>
            </w:pPr>
            <w:r>
              <w:rPr>
                <w:rFonts w:ascii="Times New Roman"/>
                <w:sz w:val="16"/>
                <w:u w:val="double"/>
              </w:rPr>
              <w:tab/>
            </w:r>
            <w:r>
              <w:rPr>
                <w:rFonts w:ascii="Arial"/>
                <w:b/>
                <w:spacing w:val="-2"/>
                <w:sz w:val="16"/>
                <w:u w:val="double"/>
              </w:rPr>
              <w:t>(55.895)</w:t>
            </w:r>
          </w:p>
        </w:tc>
      </w:tr>
    </w:tbl>
    <w:p w14:paraId="3884E41E" w14:textId="77777777" w:rsidR="002C6574" w:rsidRDefault="002C6574">
      <w:pPr>
        <w:pStyle w:val="Corpodetexto"/>
        <w:rPr>
          <w:rFonts w:ascii="Arial"/>
          <w:b/>
          <w:sz w:val="16"/>
        </w:rPr>
      </w:pPr>
    </w:p>
    <w:p w14:paraId="5D302FE2" w14:textId="77777777" w:rsidR="002C6574" w:rsidRDefault="002C6574">
      <w:pPr>
        <w:pStyle w:val="Corpodetexto"/>
        <w:rPr>
          <w:rFonts w:ascii="Arial"/>
          <w:b/>
          <w:sz w:val="16"/>
        </w:rPr>
      </w:pPr>
    </w:p>
    <w:p w14:paraId="1CA9DAE7" w14:textId="77777777" w:rsidR="002C6574" w:rsidRDefault="002C6574">
      <w:pPr>
        <w:pStyle w:val="Corpodetexto"/>
        <w:rPr>
          <w:rFonts w:ascii="Arial"/>
          <w:b/>
          <w:sz w:val="16"/>
        </w:rPr>
      </w:pPr>
    </w:p>
    <w:p w14:paraId="3B3F95AD" w14:textId="77777777" w:rsidR="002C6574" w:rsidRDefault="002C6574">
      <w:pPr>
        <w:pStyle w:val="Corpodetexto"/>
        <w:spacing w:before="55"/>
        <w:rPr>
          <w:rFonts w:ascii="Arial"/>
          <w:b/>
          <w:sz w:val="16"/>
        </w:rPr>
      </w:pPr>
    </w:p>
    <w:p w14:paraId="115DEBD0" w14:textId="77777777" w:rsidR="002C6574" w:rsidRDefault="00000000">
      <w:pPr>
        <w:ind w:left="71"/>
        <w:rPr>
          <w:rFonts w:ascii="Arial" w:hAnsi="Arial"/>
          <w:b/>
          <w:sz w:val="16"/>
        </w:rPr>
      </w:pPr>
      <w:r>
        <w:rPr>
          <w:rFonts w:ascii="Arial" w:hAnsi="Arial"/>
          <w:b/>
          <w:sz w:val="16"/>
        </w:rPr>
        <w:t>As</w:t>
      </w:r>
      <w:r>
        <w:rPr>
          <w:rFonts w:ascii="Arial" w:hAnsi="Arial"/>
          <w:b/>
          <w:spacing w:val="-6"/>
          <w:sz w:val="16"/>
        </w:rPr>
        <w:t xml:space="preserve"> </w:t>
      </w:r>
      <w:r>
        <w:rPr>
          <w:rFonts w:ascii="Arial" w:hAnsi="Arial"/>
          <w:b/>
          <w:sz w:val="16"/>
        </w:rPr>
        <w:t>notas</w:t>
      </w:r>
      <w:r>
        <w:rPr>
          <w:rFonts w:ascii="Arial" w:hAnsi="Arial"/>
          <w:b/>
          <w:spacing w:val="-1"/>
          <w:sz w:val="16"/>
        </w:rPr>
        <w:t xml:space="preserve"> </w:t>
      </w:r>
      <w:r>
        <w:rPr>
          <w:rFonts w:ascii="Arial" w:hAnsi="Arial"/>
          <w:b/>
          <w:sz w:val="16"/>
        </w:rPr>
        <w:t>explicativas</w:t>
      </w:r>
      <w:r>
        <w:rPr>
          <w:rFonts w:ascii="Arial" w:hAnsi="Arial"/>
          <w:b/>
          <w:spacing w:val="-2"/>
          <w:sz w:val="16"/>
        </w:rPr>
        <w:t xml:space="preserve"> </w:t>
      </w:r>
      <w:r>
        <w:rPr>
          <w:rFonts w:ascii="Arial" w:hAnsi="Arial"/>
          <w:b/>
          <w:sz w:val="16"/>
        </w:rPr>
        <w:t>são</w:t>
      </w:r>
      <w:r>
        <w:rPr>
          <w:rFonts w:ascii="Arial" w:hAnsi="Arial"/>
          <w:b/>
          <w:spacing w:val="-4"/>
          <w:sz w:val="16"/>
        </w:rPr>
        <w:t xml:space="preserve"> </w:t>
      </w:r>
      <w:r>
        <w:rPr>
          <w:rFonts w:ascii="Arial" w:hAnsi="Arial"/>
          <w:b/>
          <w:sz w:val="16"/>
        </w:rPr>
        <w:t>parte</w:t>
      </w:r>
      <w:r>
        <w:rPr>
          <w:rFonts w:ascii="Arial" w:hAnsi="Arial"/>
          <w:b/>
          <w:spacing w:val="-5"/>
          <w:sz w:val="16"/>
        </w:rPr>
        <w:t xml:space="preserve"> </w:t>
      </w:r>
      <w:r>
        <w:rPr>
          <w:rFonts w:ascii="Arial" w:hAnsi="Arial"/>
          <w:b/>
          <w:sz w:val="16"/>
        </w:rPr>
        <w:t>integrante</w:t>
      </w:r>
      <w:r>
        <w:rPr>
          <w:rFonts w:ascii="Arial" w:hAnsi="Arial"/>
          <w:b/>
          <w:spacing w:val="-4"/>
          <w:sz w:val="16"/>
        </w:rPr>
        <w:t xml:space="preserve"> </w:t>
      </w:r>
      <w:r>
        <w:rPr>
          <w:rFonts w:ascii="Arial" w:hAnsi="Arial"/>
          <w:b/>
          <w:sz w:val="16"/>
        </w:rPr>
        <w:t>das</w:t>
      </w:r>
      <w:r>
        <w:rPr>
          <w:rFonts w:ascii="Arial" w:hAnsi="Arial"/>
          <w:b/>
          <w:spacing w:val="-5"/>
          <w:sz w:val="16"/>
        </w:rPr>
        <w:t xml:space="preserve"> </w:t>
      </w:r>
      <w:r>
        <w:rPr>
          <w:rFonts w:ascii="Arial" w:hAnsi="Arial"/>
          <w:b/>
          <w:sz w:val="16"/>
        </w:rPr>
        <w:t>demonstrações</w:t>
      </w:r>
      <w:r>
        <w:rPr>
          <w:rFonts w:ascii="Arial" w:hAnsi="Arial"/>
          <w:b/>
          <w:spacing w:val="-2"/>
          <w:sz w:val="16"/>
        </w:rPr>
        <w:t xml:space="preserve"> contábeis</w:t>
      </w:r>
    </w:p>
    <w:p w14:paraId="5B2C357F" w14:textId="77777777" w:rsidR="002C6574" w:rsidRDefault="002C6574">
      <w:pPr>
        <w:rPr>
          <w:rFonts w:ascii="Arial" w:hAnsi="Arial"/>
          <w:b/>
          <w:sz w:val="16"/>
        </w:rPr>
        <w:sectPr w:rsidR="002C6574">
          <w:headerReference w:type="default" r:id="rId52"/>
          <w:footerReference w:type="default" r:id="rId53"/>
          <w:pgSz w:w="11910" w:h="16840"/>
          <w:pgMar w:top="1920" w:right="708" w:bottom="1300" w:left="992" w:header="0" w:footer="1101" w:gutter="0"/>
          <w:cols w:space="720"/>
        </w:sectPr>
      </w:pPr>
    </w:p>
    <w:p w14:paraId="4A0D260C" w14:textId="77777777" w:rsidR="002C6574" w:rsidRDefault="00000000">
      <w:pPr>
        <w:spacing w:before="70" w:line="304" w:lineRule="auto"/>
        <w:ind w:left="5508" w:right="5509"/>
        <w:jc w:val="center"/>
        <w:rPr>
          <w:rFonts w:ascii="Arial" w:hAnsi="Arial"/>
          <w:b/>
          <w:sz w:val="16"/>
        </w:rPr>
      </w:pPr>
      <w:r>
        <w:rPr>
          <w:rFonts w:ascii="Arial" w:hAnsi="Arial"/>
          <w:b/>
          <w:sz w:val="16"/>
        </w:rPr>
        <w:lastRenderedPageBreak/>
        <w:t>TELECOMUNICAÇÕES</w:t>
      </w:r>
      <w:r>
        <w:rPr>
          <w:rFonts w:ascii="Arial" w:hAnsi="Arial"/>
          <w:b/>
          <w:spacing w:val="-7"/>
          <w:sz w:val="16"/>
        </w:rPr>
        <w:t xml:space="preserve"> </w:t>
      </w:r>
      <w:r>
        <w:rPr>
          <w:rFonts w:ascii="Arial" w:hAnsi="Arial"/>
          <w:b/>
          <w:sz w:val="16"/>
        </w:rPr>
        <w:t>BRASILEIRAS</w:t>
      </w:r>
      <w:r>
        <w:rPr>
          <w:rFonts w:ascii="Arial" w:hAnsi="Arial"/>
          <w:b/>
          <w:spacing w:val="-9"/>
          <w:sz w:val="16"/>
        </w:rPr>
        <w:t xml:space="preserve"> </w:t>
      </w:r>
      <w:r>
        <w:rPr>
          <w:rFonts w:ascii="Arial" w:hAnsi="Arial"/>
          <w:b/>
          <w:sz w:val="16"/>
        </w:rPr>
        <w:t>S.A</w:t>
      </w:r>
      <w:r>
        <w:rPr>
          <w:rFonts w:ascii="Arial" w:hAnsi="Arial"/>
          <w:b/>
          <w:spacing w:val="-9"/>
          <w:sz w:val="16"/>
        </w:rPr>
        <w:t xml:space="preserve"> </w:t>
      </w:r>
      <w:r>
        <w:rPr>
          <w:rFonts w:ascii="Arial" w:hAnsi="Arial"/>
          <w:b/>
          <w:sz w:val="16"/>
        </w:rPr>
        <w:t>-</w:t>
      </w:r>
      <w:r>
        <w:rPr>
          <w:rFonts w:ascii="Arial" w:hAnsi="Arial"/>
          <w:b/>
          <w:spacing w:val="-10"/>
          <w:sz w:val="16"/>
        </w:rPr>
        <w:t xml:space="preserve"> </w:t>
      </w:r>
      <w:r>
        <w:rPr>
          <w:rFonts w:ascii="Arial" w:hAnsi="Arial"/>
          <w:b/>
          <w:sz w:val="16"/>
        </w:rPr>
        <w:t>"TELEBRAS" CNPJ 00.336.701/0001-04</w:t>
      </w:r>
    </w:p>
    <w:p w14:paraId="75797D30" w14:textId="77777777" w:rsidR="002C6574" w:rsidRDefault="00000000">
      <w:pPr>
        <w:spacing w:line="300" w:lineRule="auto"/>
        <w:ind w:left="5842" w:right="5839" w:firstLine="44"/>
        <w:jc w:val="center"/>
        <w:rPr>
          <w:rFonts w:ascii="Arial" w:hAnsi="Arial"/>
          <w:b/>
          <w:sz w:val="16"/>
        </w:rPr>
      </w:pPr>
      <w:r>
        <w:rPr>
          <w:rFonts w:ascii="Arial" w:hAnsi="Arial"/>
          <w:b/>
          <w:sz w:val="16"/>
        </w:rPr>
        <w:t>Demonstração</w:t>
      </w:r>
      <w:r>
        <w:rPr>
          <w:rFonts w:ascii="Arial" w:hAnsi="Arial"/>
          <w:b/>
          <w:spacing w:val="-1"/>
          <w:sz w:val="16"/>
        </w:rPr>
        <w:t xml:space="preserve"> </w:t>
      </w:r>
      <w:r>
        <w:rPr>
          <w:rFonts w:ascii="Arial" w:hAnsi="Arial"/>
          <w:b/>
          <w:sz w:val="16"/>
        </w:rPr>
        <w:t>das</w:t>
      </w:r>
      <w:r>
        <w:rPr>
          <w:rFonts w:ascii="Arial" w:hAnsi="Arial"/>
          <w:b/>
          <w:spacing w:val="-5"/>
          <w:sz w:val="16"/>
        </w:rPr>
        <w:t xml:space="preserve"> </w:t>
      </w:r>
      <w:r>
        <w:rPr>
          <w:rFonts w:ascii="Arial" w:hAnsi="Arial"/>
          <w:b/>
          <w:sz w:val="16"/>
        </w:rPr>
        <w:t>Mutações</w:t>
      </w:r>
      <w:r>
        <w:rPr>
          <w:rFonts w:ascii="Arial" w:hAnsi="Arial"/>
          <w:b/>
          <w:spacing w:val="-4"/>
          <w:sz w:val="16"/>
        </w:rPr>
        <w:t xml:space="preserve"> </w:t>
      </w:r>
      <w:r>
        <w:rPr>
          <w:rFonts w:ascii="Arial" w:hAnsi="Arial"/>
          <w:b/>
          <w:sz w:val="16"/>
        </w:rPr>
        <w:t>do</w:t>
      </w:r>
      <w:r>
        <w:rPr>
          <w:rFonts w:ascii="Arial" w:hAnsi="Arial"/>
          <w:b/>
          <w:spacing w:val="-2"/>
          <w:sz w:val="16"/>
        </w:rPr>
        <w:t xml:space="preserve"> </w:t>
      </w:r>
      <w:r>
        <w:rPr>
          <w:rFonts w:ascii="Arial" w:hAnsi="Arial"/>
          <w:b/>
          <w:sz w:val="16"/>
        </w:rPr>
        <w:t>Patrimônio</w:t>
      </w:r>
      <w:r>
        <w:rPr>
          <w:rFonts w:ascii="Arial" w:hAnsi="Arial"/>
          <w:b/>
          <w:spacing w:val="-2"/>
          <w:sz w:val="16"/>
        </w:rPr>
        <w:t xml:space="preserve"> </w:t>
      </w:r>
      <w:r>
        <w:rPr>
          <w:rFonts w:ascii="Arial" w:hAnsi="Arial"/>
          <w:b/>
          <w:sz w:val="16"/>
        </w:rPr>
        <w:t>Líquido Exercícios</w:t>
      </w:r>
      <w:r>
        <w:rPr>
          <w:rFonts w:ascii="Arial" w:hAnsi="Arial"/>
          <w:b/>
          <w:spacing w:val="-7"/>
          <w:sz w:val="16"/>
        </w:rPr>
        <w:t xml:space="preserve"> </w:t>
      </w:r>
      <w:r>
        <w:rPr>
          <w:rFonts w:ascii="Arial" w:hAnsi="Arial"/>
          <w:b/>
          <w:sz w:val="16"/>
        </w:rPr>
        <w:t>findos em 31</w:t>
      </w:r>
      <w:r>
        <w:rPr>
          <w:rFonts w:ascii="Arial" w:hAnsi="Arial"/>
          <w:b/>
          <w:spacing w:val="-4"/>
          <w:sz w:val="16"/>
        </w:rPr>
        <w:t xml:space="preserve"> </w:t>
      </w:r>
      <w:r>
        <w:rPr>
          <w:rFonts w:ascii="Arial" w:hAnsi="Arial"/>
          <w:b/>
          <w:sz w:val="16"/>
        </w:rPr>
        <w:t>de</w:t>
      </w:r>
      <w:r>
        <w:rPr>
          <w:rFonts w:ascii="Arial" w:hAnsi="Arial"/>
          <w:b/>
          <w:spacing w:val="-4"/>
          <w:sz w:val="16"/>
        </w:rPr>
        <w:t xml:space="preserve"> </w:t>
      </w:r>
      <w:r>
        <w:rPr>
          <w:rFonts w:ascii="Arial" w:hAnsi="Arial"/>
          <w:b/>
          <w:sz w:val="16"/>
        </w:rPr>
        <w:t>dezembro</w:t>
      </w:r>
      <w:r>
        <w:rPr>
          <w:rFonts w:ascii="Arial" w:hAnsi="Arial"/>
          <w:b/>
          <w:spacing w:val="-3"/>
          <w:sz w:val="16"/>
        </w:rPr>
        <w:t xml:space="preserve"> </w:t>
      </w:r>
      <w:r>
        <w:rPr>
          <w:rFonts w:ascii="Arial" w:hAnsi="Arial"/>
          <w:b/>
          <w:sz w:val="16"/>
        </w:rPr>
        <w:t>de</w:t>
      </w:r>
      <w:r>
        <w:rPr>
          <w:rFonts w:ascii="Arial" w:hAnsi="Arial"/>
          <w:b/>
          <w:spacing w:val="-2"/>
          <w:sz w:val="16"/>
        </w:rPr>
        <w:t xml:space="preserve"> </w:t>
      </w:r>
      <w:r>
        <w:rPr>
          <w:rFonts w:ascii="Arial" w:hAnsi="Arial"/>
          <w:b/>
          <w:sz w:val="16"/>
        </w:rPr>
        <w:t>2025</w:t>
      </w:r>
      <w:r>
        <w:rPr>
          <w:rFonts w:ascii="Arial" w:hAnsi="Arial"/>
          <w:b/>
          <w:spacing w:val="-4"/>
          <w:sz w:val="16"/>
        </w:rPr>
        <w:t xml:space="preserve"> </w:t>
      </w:r>
      <w:r>
        <w:rPr>
          <w:rFonts w:ascii="Arial" w:hAnsi="Arial"/>
          <w:b/>
          <w:sz w:val="16"/>
        </w:rPr>
        <w:t xml:space="preserve">e </w:t>
      </w:r>
      <w:r>
        <w:rPr>
          <w:rFonts w:ascii="Arial" w:hAnsi="Arial"/>
          <w:b/>
          <w:spacing w:val="-4"/>
          <w:sz w:val="16"/>
        </w:rPr>
        <w:t>2024</w:t>
      </w:r>
    </w:p>
    <w:p w14:paraId="50C48AAE" w14:textId="77777777" w:rsidR="002C6574" w:rsidRDefault="00000000">
      <w:pPr>
        <w:spacing w:before="2"/>
        <w:ind w:left="5509" w:right="5509"/>
        <w:jc w:val="center"/>
        <w:rPr>
          <w:rFonts w:ascii="Arial"/>
          <w:b/>
          <w:sz w:val="16"/>
        </w:rPr>
      </w:pPr>
      <w:r>
        <w:rPr>
          <w:rFonts w:ascii="Arial"/>
          <w:b/>
          <w:sz w:val="16"/>
        </w:rPr>
        <w:t>Em</w:t>
      </w:r>
      <w:r>
        <w:rPr>
          <w:rFonts w:ascii="Arial"/>
          <w:b/>
          <w:spacing w:val="-3"/>
          <w:sz w:val="16"/>
        </w:rPr>
        <w:t xml:space="preserve"> </w:t>
      </w:r>
      <w:r>
        <w:rPr>
          <w:rFonts w:ascii="Arial"/>
          <w:b/>
          <w:sz w:val="16"/>
        </w:rPr>
        <w:t>milhares</w:t>
      </w:r>
      <w:r>
        <w:rPr>
          <w:rFonts w:ascii="Arial"/>
          <w:b/>
          <w:spacing w:val="-1"/>
          <w:sz w:val="16"/>
        </w:rPr>
        <w:t xml:space="preserve"> </w:t>
      </w:r>
      <w:r>
        <w:rPr>
          <w:rFonts w:ascii="Arial"/>
          <w:b/>
          <w:sz w:val="16"/>
        </w:rPr>
        <w:t>de</w:t>
      </w:r>
      <w:r>
        <w:rPr>
          <w:rFonts w:ascii="Arial"/>
          <w:b/>
          <w:spacing w:val="-5"/>
          <w:sz w:val="16"/>
        </w:rPr>
        <w:t xml:space="preserve"> </w:t>
      </w:r>
      <w:r>
        <w:rPr>
          <w:rFonts w:ascii="Arial"/>
          <w:b/>
          <w:sz w:val="16"/>
        </w:rPr>
        <w:t>reais,</w:t>
      </w:r>
      <w:r>
        <w:rPr>
          <w:rFonts w:ascii="Arial"/>
          <w:b/>
          <w:spacing w:val="-4"/>
          <w:sz w:val="16"/>
        </w:rPr>
        <w:t xml:space="preserve"> </w:t>
      </w:r>
      <w:r>
        <w:rPr>
          <w:rFonts w:ascii="Arial"/>
          <w:b/>
          <w:sz w:val="16"/>
        </w:rPr>
        <w:t>exceto</w:t>
      </w:r>
      <w:r>
        <w:rPr>
          <w:rFonts w:ascii="Arial"/>
          <w:b/>
          <w:spacing w:val="-2"/>
          <w:sz w:val="16"/>
        </w:rPr>
        <w:t xml:space="preserve"> </w:t>
      </w:r>
      <w:r>
        <w:rPr>
          <w:rFonts w:ascii="Arial"/>
          <w:b/>
          <w:sz w:val="16"/>
        </w:rPr>
        <w:t>quando</w:t>
      </w:r>
      <w:r>
        <w:rPr>
          <w:rFonts w:ascii="Arial"/>
          <w:b/>
          <w:spacing w:val="-4"/>
          <w:sz w:val="16"/>
        </w:rPr>
        <w:t xml:space="preserve"> </w:t>
      </w:r>
      <w:r>
        <w:rPr>
          <w:rFonts w:ascii="Arial"/>
          <w:b/>
          <w:sz w:val="16"/>
        </w:rPr>
        <w:t>indicado</w:t>
      </w:r>
      <w:r>
        <w:rPr>
          <w:rFonts w:ascii="Arial"/>
          <w:b/>
          <w:spacing w:val="-4"/>
          <w:sz w:val="16"/>
        </w:rPr>
        <w:t xml:space="preserve"> </w:t>
      </w:r>
      <w:r>
        <w:rPr>
          <w:rFonts w:ascii="Arial"/>
          <w:b/>
          <w:sz w:val="16"/>
        </w:rPr>
        <w:t>de</w:t>
      </w:r>
      <w:r>
        <w:rPr>
          <w:rFonts w:ascii="Arial"/>
          <w:b/>
          <w:spacing w:val="-4"/>
          <w:sz w:val="16"/>
        </w:rPr>
        <w:t xml:space="preserve"> </w:t>
      </w:r>
      <w:r>
        <w:rPr>
          <w:rFonts w:ascii="Arial"/>
          <w:b/>
          <w:sz w:val="16"/>
        </w:rPr>
        <w:t>outra</w:t>
      </w:r>
      <w:r>
        <w:rPr>
          <w:rFonts w:ascii="Arial"/>
          <w:b/>
          <w:spacing w:val="-2"/>
          <w:sz w:val="16"/>
        </w:rPr>
        <w:t xml:space="preserve"> </w:t>
      </w:r>
      <w:r>
        <w:rPr>
          <w:rFonts w:ascii="Arial"/>
          <w:b/>
          <w:spacing w:val="-4"/>
          <w:sz w:val="16"/>
        </w:rPr>
        <w:t>forma</w:t>
      </w:r>
    </w:p>
    <w:p w14:paraId="1F0912F3" w14:textId="77777777" w:rsidR="002C6574" w:rsidRDefault="002C6574">
      <w:pPr>
        <w:pStyle w:val="Corpodetexto"/>
        <w:spacing w:before="9"/>
        <w:rPr>
          <w:rFonts w:ascii="Arial"/>
          <w:b/>
          <w:sz w:val="12"/>
        </w:rPr>
      </w:pPr>
    </w:p>
    <w:p w14:paraId="3A28B0AC" w14:textId="77777777" w:rsidR="002C6574" w:rsidRDefault="002C6574">
      <w:pPr>
        <w:pStyle w:val="Corpodetexto"/>
        <w:rPr>
          <w:rFonts w:ascii="Arial"/>
          <w:b/>
          <w:sz w:val="12"/>
        </w:rPr>
        <w:sectPr w:rsidR="002C6574">
          <w:headerReference w:type="default" r:id="rId54"/>
          <w:footerReference w:type="default" r:id="rId55"/>
          <w:pgSz w:w="16840" w:h="11910" w:orient="landscape"/>
          <w:pgMar w:top="1280" w:right="566" w:bottom="280" w:left="566" w:header="0" w:footer="0" w:gutter="0"/>
          <w:cols w:space="720"/>
        </w:sectPr>
      </w:pPr>
    </w:p>
    <w:p w14:paraId="460E7965" w14:textId="77777777" w:rsidR="002C6574" w:rsidRDefault="002C6574">
      <w:pPr>
        <w:pStyle w:val="Corpodetexto"/>
        <w:spacing w:before="94"/>
        <w:rPr>
          <w:rFonts w:ascii="Arial"/>
          <w:b/>
          <w:sz w:val="16"/>
        </w:rPr>
      </w:pPr>
    </w:p>
    <w:p w14:paraId="3453F966" w14:textId="77777777" w:rsidR="002C6574" w:rsidRDefault="00000000">
      <w:pPr>
        <w:spacing w:before="1"/>
        <w:ind w:left="70"/>
        <w:rPr>
          <w:rFonts w:ascii="Arial"/>
          <w:b/>
          <w:sz w:val="16"/>
        </w:rPr>
      </w:pPr>
      <w:r>
        <w:rPr>
          <w:rFonts w:ascii="Arial"/>
          <w:b/>
          <w:noProof/>
          <w:sz w:val="16"/>
        </w:rPr>
        <mc:AlternateContent>
          <mc:Choice Requires="wps">
            <w:drawing>
              <wp:anchor distT="0" distB="0" distL="0" distR="0" simplePos="0" relativeHeight="15746048" behindDoc="0" locked="0" layoutInCell="1" allowOverlap="1" wp14:anchorId="5A5EB30D" wp14:editId="7E07DD86">
                <wp:simplePos x="0" y="0"/>
                <wp:positionH relativeFrom="page">
                  <wp:posOffset>5020043</wp:posOffset>
                </wp:positionH>
                <wp:positionV relativeFrom="paragraph">
                  <wp:posOffset>-122071</wp:posOffset>
                </wp:positionV>
                <wp:extent cx="5311775" cy="635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1775" cy="6350"/>
                        </a:xfrm>
                        <a:custGeom>
                          <a:avLst/>
                          <a:gdLst/>
                          <a:ahLst/>
                          <a:cxnLst/>
                          <a:rect l="l" t="t" r="r" b="b"/>
                          <a:pathLst>
                            <a:path w="5311775" h="6350">
                              <a:moveTo>
                                <a:pt x="5311152" y="0"/>
                              </a:moveTo>
                              <a:lnTo>
                                <a:pt x="4567428" y="0"/>
                              </a:lnTo>
                              <a:lnTo>
                                <a:pt x="0" y="0"/>
                              </a:lnTo>
                              <a:lnTo>
                                <a:pt x="0" y="6096"/>
                              </a:lnTo>
                              <a:lnTo>
                                <a:pt x="4567428" y="6096"/>
                              </a:lnTo>
                              <a:lnTo>
                                <a:pt x="5311152" y="6096"/>
                              </a:lnTo>
                              <a:lnTo>
                                <a:pt x="53111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4797B7" id="Graphic 130" o:spid="_x0000_s1026" style="position:absolute;margin-left:395.3pt;margin-top:-9.6pt;width:418.25pt;height:.5pt;z-index:15746048;visibility:visible;mso-wrap-style:square;mso-wrap-distance-left:0;mso-wrap-distance-top:0;mso-wrap-distance-right:0;mso-wrap-distance-bottom:0;mso-position-horizontal:absolute;mso-position-horizontal-relative:page;mso-position-vertical:absolute;mso-position-vertical-relative:text;v-text-anchor:top" coordsize="53117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" path="m5311152,l4567428,,,,,6096r4567428,l5311152,6096r,-6096xe" fillcolor="black" stroked="f">
                <v:path arrowok="t"/>
                <w10:wrap anchorx="page"/>
              </v:shape>
            </w:pict>
          </mc:Fallback>
        </mc:AlternateContent>
      </w:r>
      <w:r>
        <w:rPr>
          <w:rFonts w:ascii="Arial"/>
          <w:b/>
          <w:spacing w:val="-2"/>
          <w:sz w:val="16"/>
        </w:rPr>
        <w:t>Eventos</w:t>
      </w:r>
    </w:p>
    <w:p w14:paraId="14939280" w14:textId="77777777" w:rsidR="002C6574" w:rsidRDefault="00000000">
      <w:pPr>
        <w:spacing w:before="151" w:line="180" w:lineRule="atLeast"/>
        <w:ind w:left="101" w:hanging="32"/>
        <w:rPr>
          <w:rFonts w:ascii="Arial"/>
          <w:b/>
          <w:sz w:val="16"/>
        </w:rPr>
      </w:pPr>
      <w:r>
        <w:br w:type="column"/>
      </w:r>
      <w:r>
        <w:rPr>
          <w:rFonts w:ascii="Arial"/>
          <w:b/>
          <w:spacing w:val="-2"/>
          <w:sz w:val="16"/>
        </w:rPr>
        <w:t>Capital Social</w:t>
      </w:r>
    </w:p>
    <w:p w14:paraId="7C68072C" w14:textId="77777777" w:rsidR="002C6574" w:rsidRDefault="00000000">
      <w:pPr>
        <w:spacing w:before="151" w:line="180" w:lineRule="atLeast"/>
        <w:ind w:left="70" w:firstLine="147"/>
        <w:rPr>
          <w:rFonts w:ascii="Arial" w:hAnsi="Arial"/>
          <w:b/>
          <w:sz w:val="16"/>
        </w:rPr>
      </w:pPr>
      <w:r>
        <w:br w:type="column"/>
      </w:r>
      <w:r>
        <w:rPr>
          <w:rFonts w:ascii="Arial" w:hAnsi="Arial"/>
          <w:b/>
          <w:spacing w:val="-2"/>
          <w:sz w:val="16"/>
        </w:rPr>
        <w:t>Prejuízos Acumulados</w:t>
      </w:r>
    </w:p>
    <w:p w14:paraId="3DE8188C" w14:textId="77777777" w:rsidR="002C6574" w:rsidRDefault="00000000">
      <w:pPr>
        <w:spacing w:before="96"/>
        <w:ind w:left="70" w:firstLine="168"/>
        <w:rPr>
          <w:rFonts w:ascii="Arial"/>
          <w:b/>
          <w:sz w:val="16"/>
        </w:rPr>
      </w:pPr>
      <w:r>
        <w:br w:type="column"/>
      </w:r>
      <w:r>
        <w:rPr>
          <w:rFonts w:ascii="Arial"/>
          <w:b/>
          <w:spacing w:val="-2"/>
          <w:sz w:val="16"/>
        </w:rPr>
        <w:t>Outros Resultados</w:t>
      </w:r>
    </w:p>
    <w:p w14:paraId="0C028C8D" w14:textId="77777777" w:rsidR="002C6574" w:rsidRDefault="00000000">
      <w:pPr>
        <w:spacing w:before="151" w:line="180" w:lineRule="atLeast"/>
        <w:ind w:left="70" w:firstLine="28"/>
        <w:rPr>
          <w:rFonts w:ascii="Arial" w:hAnsi="Arial"/>
          <w:b/>
          <w:sz w:val="16"/>
        </w:rPr>
      </w:pPr>
      <w:r>
        <w:br w:type="column"/>
      </w:r>
      <w:r>
        <w:rPr>
          <w:rFonts w:ascii="Arial" w:hAnsi="Arial"/>
          <w:b/>
          <w:sz w:val="16"/>
        </w:rPr>
        <w:t>Ações</w:t>
      </w:r>
      <w:r>
        <w:rPr>
          <w:rFonts w:ascii="Arial" w:hAnsi="Arial"/>
          <w:b/>
          <w:spacing w:val="-4"/>
          <w:sz w:val="16"/>
        </w:rPr>
        <w:t xml:space="preserve"> </w:t>
      </w:r>
      <w:r>
        <w:rPr>
          <w:rFonts w:ascii="Arial" w:hAnsi="Arial"/>
          <w:b/>
          <w:sz w:val="16"/>
        </w:rPr>
        <w:t xml:space="preserve">em </w:t>
      </w:r>
      <w:r>
        <w:rPr>
          <w:rFonts w:ascii="Arial" w:hAnsi="Arial"/>
          <w:b/>
          <w:spacing w:val="-2"/>
          <w:sz w:val="16"/>
        </w:rPr>
        <w:t>Tesouraria</w:t>
      </w:r>
    </w:p>
    <w:p w14:paraId="58D6C0F5" w14:textId="77777777" w:rsidR="002C6574" w:rsidRDefault="00000000">
      <w:pPr>
        <w:spacing w:before="151" w:line="180" w:lineRule="atLeast"/>
        <w:ind w:left="70" w:firstLine="163"/>
        <w:rPr>
          <w:rFonts w:ascii="Arial" w:hAnsi="Arial"/>
          <w:b/>
          <w:sz w:val="16"/>
        </w:rPr>
      </w:pPr>
      <w:r>
        <w:br w:type="column"/>
      </w:r>
      <w:r>
        <w:rPr>
          <w:rFonts w:ascii="Arial" w:hAnsi="Arial"/>
          <w:b/>
          <w:spacing w:val="-2"/>
          <w:sz w:val="16"/>
        </w:rPr>
        <w:t>Recursos Capitalizáveis</w:t>
      </w:r>
    </w:p>
    <w:p w14:paraId="41B558A3" w14:textId="77777777" w:rsidR="002C6574" w:rsidRDefault="00000000">
      <w:pPr>
        <w:spacing w:before="96"/>
        <w:ind w:left="70" w:firstLine="108"/>
        <w:rPr>
          <w:rFonts w:ascii="Arial" w:hAnsi="Arial"/>
          <w:b/>
          <w:sz w:val="16"/>
        </w:rPr>
      </w:pPr>
      <w:r>
        <w:br w:type="column"/>
      </w:r>
      <w:r>
        <w:rPr>
          <w:rFonts w:ascii="Arial" w:hAnsi="Arial"/>
          <w:b/>
          <w:sz w:val="16"/>
        </w:rPr>
        <w:t xml:space="preserve">Total do </w:t>
      </w:r>
      <w:r>
        <w:rPr>
          <w:rFonts w:ascii="Arial" w:hAnsi="Arial"/>
          <w:b/>
          <w:spacing w:val="-2"/>
          <w:sz w:val="16"/>
        </w:rPr>
        <w:t>Patrimônio</w:t>
      </w:r>
    </w:p>
    <w:p w14:paraId="651632B0" w14:textId="77777777" w:rsidR="002C6574" w:rsidRDefault="002C6574">
      <w:pPr>
        <w:rPr>
          <w:rFonts w:ascii="Arial" w:hAnsi="Arial"/>
          <w:b/>
          <w:sz w:val="16"/>
        </w:rPr>
        <w:sectPr w:rsidR="002C6574">
          <w:type w:val="continuous"/>
          <w:pgSz w:w="16840" w:h="11910" w:orient="landscape"/>
          <w:pgMar w:top="0" w:right="566" w:bottom="0" w:left="566" w:header="0" w:footer="0" w:gutter="0"/>
          <w:cols w:num="7" w:space="720" w:equalWidth="0">
            <w:col w:w="695" w:space="6848"/>
            <w:col w:w="605" w:space="572"/>
            <w:col w:w="1034" w:space="530"/>
            <w:col w:w="936" w:space="509"/>
            <w:col w:w="891" w:space="431"/>
            <w:col w:w="1133" w:space="442"/>
            <w:col w:w="1082"/>
          </w:cols>
        </w:sectPr>
      </w:pPr>
    </w:p>
    <w:p w14:paraId="1FA38319" w14:textId="77777777" w:rsidR="002C6574" w:rsidRDefault="00000000">
      <w:pPr>
        <w:tabs>
          <w:tab w:val="left" w:pos="10296"/>
          <w:tab w:val="left" w:pos="14825"/>
          <w:tab w:val="left" w:pos="15703"/>
        </w:tabs>
        <w:spacing w:line="129" w:lineRule="exact"/>
        <w:ind w:left="7339"/>
        <w:rPr>
          <w:rFonts w:ascii="Arial" w:hAnsi="Arial"/>
          <w:b/>
          <w:sz w:val="16"/>
        </w:rPr>
      </w:pPr>
      <w:r>
        <w:rPr>
          <w:rFonts w:ascii="Times New Roman" w:hAnsi="Times New Roman"/>
          <w:sz w:val="16"/>
          <w:u w:val="single"/>
        </w:rPr>
        <w:tab/>
      </w:r>
      <w:r>
        <w:rPr>
          <w:rFonts w:ascii="Arial" w:hAnsi="Arial"/>
          <w:b/>
          <w:spacing w:val="-2"/>
          <w:sz w:val="16"/>
          <w:u w:val="single"/>
        </w:rPr>
        <w:t>Abrangentes</w:t>
      </w:r>
      <w:r>
        <w:rPr>
          <w:rFonts w:ascii="Arial" w:hAnsi="Arial"/>
          <w:b/>
          <w:sz w:val="16"/>
          <w:u w:val="single"/>
        </w:rPr>
        <w:tab/>
      </w:r>
      <w:r>
        <w:rPr>
          <w:rFonts w:ascii="Arial" w:hAnsi="Arial"/>
          <w:b/>
          <w:spacing w:val="-2"/>
          <w:sz w:val="16"/>
          <w:u w:val="single"/>
        </w:rPr>
        <w:t>Líquido</w:t>
      </w:r>
      <w:r>
        <w:rPr>
          <w:rFonts w:ascii="Arial" w:hAnsi="Arial"/>
          <w:b/>
          <w:sz w:val="16"/>
          <w:u w:val="single"/>
        </w:rPr>
        <w:tab/>
      </w:r>
    </w:p>
    <w:p w14:paraId="5EE924E8" w14:textId="77777777" w:rsidR="002C6574" w:rsidRDefault="002C6574">
      <w:pPr>
        <w:pStyle w:val="Corpodetexto"/>
        <w:spacing w:before="63"/>
        <w:rPr>
          <w:rFonts w:ascii="Arial"/>
          <w:b/>
          <w:sz w:val="20"/>
        </w:rPr>
      </w:pPr>
    </w:p>
    <w:tbl>
      <w:tblPr>
        <w:tblStyle w:val="TableNormal"/>
        <w:tblW w:w="0" w:type="auto"/>
        <w:tblInd w:w="27" w:type="dxa"/>
        <w:tblLayout w:type="fixed"/>
        <w:tblLook w:val="01E0" w:firstRow="1" w:lastRow="1" w:firstColumn="1" w:lastColumn="1" w:noHBand="0" w:noVBand="0"/>
      </w:tblPr>
      <w:tblGrid>
        <w:gridCol w:w="7320"/>
        <w:gridCol w:w="1083"/>
        <w:gridCol w:w="185"/>
        <w:gridCol w:w="1323"/>
        <w:gridCol w:w="185"/>
        <w:gridCol w:w="1342"/>
        <w:gridCol w:w="185"/>
        <w:gridCol w:w="1138"/>
        <w:gridCol w:w="185"/>
        <w:gridCol w:w="1375"/>
        <w:gridCol w:w="185"/>
        <w:gridCol w:w="1181"/>
      </w:tblGrid>
      <w:tr w:rsidR="002C6574" w14:paraId="0F9E4DBD" w14:textId="77777777">
        <w:trPr>
          <w:trHeight w:val="327"/>
        </w:trPr>
        <w:tc>
          <w:tcPr>
            <w:tcW w:w="7320" w:type="dxa"/>
          </w:tcPr>
          <w:p w14:paraId="3139B56B" w14:textId="77777777" w:rsidR="002C6574" w:rsidRDefault="00000000">
            <w:pPr>
              <w:pStyle w:val="TableParagraph"/>
              <w:spacing w:line="179" w:lineRule="exact"/>
              <w:ind w:left="50"/>
              <w:jc w:val="left"/>
              <w:rPr>
                <w:rFonts w:ascii="Arial"/>
                <w:b/>
                <w:sz w:val="16"/>
              </w:rPr>
            </w:pPr>
            <w:r>
              <w:rPr>
                <w:rFonts w:ascii="Arial"/>
                <w:b/>
                <w:sz w:val="16"/>
              </w:rPr>
              <w:t>Saldo</w:t>
            </w:r>
            <w:r>
              <w:rPr>
                <w:rFonts w:ascii="Arial"/>
                <w:b/>
                <w:spacing w:val="-4"/>
                <w:sz w:val="16"/>
              </w:rPr>
              <w:t xml:space="preserve"> </w:t>
            </w:r>
            <w:r>
              <w:rPr>
                <w:rFonts w:ascii="Arial"/>
                <w:b/>
                <w:sz w:val="16"/>
              </w:rPr>
              <w:t>em</w:t>
            </w:r>
            <w:r>
              <w:rPr>
                <w:rFonts w:ascii="Arial"/>
                <w:b/>
                <w:spacing w:val="1"/>
                <w:sz w:val="16"/>
              </w:rPr>
              <w:t xml:space="preserve"> </w:t>
            </w:r>
            <w:r>
              <w:rPr>
                <w:rFonts w:ascii="Arial"/>
                <w:b/>
                <w:sz w:val="16"/>
              </w:rPr>
              <w:t>31</w:t>
            </w:r>
            <w:r>
              <w:rPr>
                <w:rFonts w:ascii="Arial"/>
                <w:b/>
                <w:spacing w:val="-4"/>
                <w:sz w:val="16"/>
              </w:rPr>
              <w:t xml:space="preserve"> </w:t>
            </w:r>
            <w:r>
              <w:rPr>
                <w:rFonts w:ascii="Arial"/>
                <w:b/>
                <w:sz w:val="16"/>
              </w:rPr>
              <w:t>de</w:t>
            </w:r>
            <w:r>
              <w:rPr>
                <w:rFonts w:ascii="Arial"/>
                <w:b/>
                <w:spacing w:val="-2"/>
                <w:sz w:val="16"/>
              </w:rPr>
              <w:t xml:space="preserve"> </w:t>
            </w:r>
            <w:r>
              <w:rPr>
                <w:rFonts w:ascii="Arial"/>
                <w:b/>
                <w:sz w:val="16"/>
              </w:rPr>
              <w:t>dezembro</w:t>
            </w:r>
            <w:r>
              <w:rPr>
                <w:rFonts w:ascii="Arial"/>
                <w:b/>
                <w:spacing w:val="-3"/>
                <w:sz w:val="16"/>
              </w:rPr>
              <w:t xml:space="preserve"> </w:t>
            </w:r>
            <w:r>
              <w:rPr>
                <w:rFonts w:ascii="Arial"/>
                <w:b/>
                <w:sz w:val="16"/>
              </w:rPr>
              <w:t>de</w:t>
            </w:r>
            <w:r>
              <w:rPr>
                <w:rFonts w:ascii="Arial"/>
                <w:b/>
                <w:spacing w:val="-2"/>
                <w:sz w:val="16"/>
              </w:rPr>
              <w:t xml:space="preserve"> </w:t>
            </w:r>
            <w:r>
              <w:rPr>
                <w:rFonts w:ascii="Arial"/>
                <w:b/>
                <w:spacing w:val="-4"/>
                <w:sz w:val="16"/>
              </w:rPr>
              <w:t>2023</w:t>
            </w:r>
          </w:p>
        </w:tc>
        <w:tc>
          <w:tcPr>
            <w:tcW w:w="1083" w:type="dxa"/>
          </w:tcPr>
          <w:p w14:paraId="0DF19B3F" w14:textId="77777777" w:rsidR="002C6574" w:rsidRDefault="00000000">
            <w:pPr>
              <w:pStyle w:val="TableParagraph"/>
              <w:tabs>
                <w:tab w:val="left" w:pos="301"/>
              </w:tabs>
              <w:spacing w:line="179" w:lineRule="exact"/>
              <w:ind w:left="-1" w:right="68"/>
              <w:rPr>
                <w:rFonts w:ascii="Arial"/>
                <w:b/>
                <w:sz w:val="16"/>
              </w:rPr>
            </w:pPr>
            <w:r>
              <w:rPr>
                <w:rFonts w:ascii="Times New Roman"/>
                <w:sz w:val="16"/>
                <w:u w:val="single"/>
              </w:rPr>
              <w:tab/>
            </w:r>
            <w:r>
              <w:rPr>
                <w:rFonts w:ascii="Arial"/>
                <w:b/>
                <w:spacing w:val="-2"/>
                <w:sz w:val="16"/>
                <w:u w:val="single"/>
              </w:rPr>
              <w:t>3.474.498</w:t>
            </w:r>
          </w:p>
        </w:tc>
        <w:tc>
          <w:tcPr>
            <w:tcW w:w="185" w:type="dxa"/>
          </w:tcPr>
          <w:p w14:paraId="08DD7D68" w14:textId="77777777" w:rsidR="002C6574" w:rsidRDefault="002C6574">
            <w:pPr>
              <w:pStyle w:val="TableParagraph"/>
              <w:jc w:val="left"/>
              <w:rPr>
                <w:rFonts w:ascii="Times New Roman"/>
                <w:sz w:val="16"/>
              </w:rPr>
            </w:pPr>
          </w:p>
        </w:tc>
        <w:tc>
          <w:tcPr>
            <w:tcW w:w="1323" w:type="dxa"/>
          </w:tcPr>
          <w:p w14:paraId="3420B721" w14:textId="77777777" w:rsidR="002C6574" w:rsidRDefault="00000000">
            <w:pPr>
              <w:pStyle w:val="TableParagraph"/>
              <w:tabs>
                <w:tab w:val="left" w:pos="437"/>
              </w:tabs>
              <w:spacing w:line="179" w:lineRule="exact"/>
              <w:ind w:left="-2" w:right="66"/>
              <w:rPr>
                <w:rFonts w:ascii="Arial"/>
                <w:b/>
                <w:sz w:val="16"/>
              </w:rPr>
            </w:pPr>
            <w:r>
              <w:rPr>
                <w:rFonts w:ascii="Times New Roman"/>
                <w:sz w:val="16"/>
                <w:u w:val="single"/>
              </w:rPr>
              <w:tab/>
            </w:r>
            <w:r>
              <w:rPr>
                <w:rFonts w:ascii="Arial"/>
                <w:b/>
                <w:spacing w:val="-2"/>
                <w:sz w:val="16"/>
                <w:u w:val="single"/>
              </w:rPr>
              <w:t>(2.073.212)</w:t>
            </w:r>
          </w:p>
        </w:tc>
        <w:tc>
          <w:tcPr>
            <w:tcW w:w="185" w:type="dxa"/>
          </w:tcPr>
          <w:p w14:paraId="661E373D" w14:textId="77777777" w:rsidR="002C6574" w:rsidRDefault="002C6574">
            <w:pPr>
              <w:pStyle w:val="TableParagraph"/>
              <w:jc w:val="left"/>
              <w:rPr>
                <w:rFonts w:ascii="Times New Roman"/>
                <w:sz w:val="16"/>
              </w:rPr>
            </w:pPr>
          </w:p>
        </w:tc>
        <w:tc>
          <w:tcPr>
            <w:tcW w:w="1342" w:type="dxa"/>
          </w:tcPr>
          <w:p w14:paraId="303A1F97" w14:textId="77777777" w:rsidR="002C6574" w:rsidRDefault="00000000">
            <w:pPr>
              <w:pStyle w:val="TableParagraph"/>
              <w:tabs>
                <w:tab w:val="left" w:pos="780"/>
              </w:tabs>
              <w:spacing w:line="179" w:lineRule="exact"/>
              <w:ind w:left="-2" w:right="69"/>
              <w:rPr>
                <w:rFonts w:ascii="Arial"/>
                <w:b/>
                <w:sz w:val="16"/>
              </w:rPr>
            </w:pPr>
            <w:r>
              <w:rPr>
                <w:rFonts w:ascii="Times New Roman"/>
                <w:sz w:val="16"/>
                <w:u w:val="single"/>
              </w:rPr>
              <w:tab/>
            </w:r>
            <w:r>
              <w:rPr>
                <w:rFonts w:ascii="Arial"/>
                <w:b/>
                <w:spacing w:val="-2"/>
                <w:sz w:val="16"/>
                <w:u w:val="single"/>
              </w:rPr>
              <w:t>24.476</w:t>
            </w:r>
          </w:p>
        </w:tc>
        <w:tc>
          <w:tcPr>
            <w:tcW w:w="185" w:type="dxa"/>
          </w:tcPr>
          <w:p w14:paraId="40DAA412" w14:textId="77777777" w:rsidR="002C6574" w:rsidRDefault="002C6574">
            <w:pPr>
              <w:pStyle w:val="TableParagraph"/>
              <w:jc w:val="left"/>
              <w:rPr>
                <w:rFonts w:ascii="Times New Roman"/>
                <w:sz w:val="16"/>
              </w:rPr>
            </w:pPr>
          </w:p>
        </w:tc>
        <w:tc>
          <w:tcPr>
            <w:tcW w:w="1138" w:type="dxa"/>
          </w:tcPr>
          <w:p w14:paraId="1ED51391" w14:textId="77777777" w:rsidR="002C6574" w:rsidRDefault="00000000">
            <w:pPr>
              <w:pStyle w:val="TableParagraph"/>
              <w:tabs>
                <w:tab w:val="left" w:pos="693"/>
              </w:tabs>
              <w:spacing w:line="179" w:lineRule="exact"/>
              <w:ind w:left="-3" w:right="70"/>
              <w:rPr>
                <w:rFonts w:ascii="Arial"/>
                <w:b/>
                <w:sz w:val="16"/>
              </w:rPr>
            </w:pPr>
            <w:r>
              <w:rPr>
                <w:rFonts w:ascii="Times New Roman"/>
                <w:sz w:val="16"/>
                <w:u w:val="single"/>
              </w:rPr>
              <w:tab/>
            </w:r>
            <w:r>
              <w:rPr>
                <w:rFonts w:ascii="Arial"/>
                <w:b/>
                <w:spacing w:val="-2"/>
                <w:sz w:val="16"/>
                <w:u w:val="single"/>
              </w:rPr>
              <w:t>(111)</w:t>
            </w:r>
          </w:p>
        </w:tc>
        <w:tc>
          <w:tcPr>
            <w:tcW w:w="185" w:type="dxa"/>
          </w:tcPr>
          <w:p w14:paraId="6F5C7106" w14:textId="77777777" w:rsidR="002C6574" w:rsidRDefault="002C6574">
            <w:pPr>
              <w:pStyle w:val="TableParagraph"/>
              <w:jc w:val="left"/>
              <w:rPr>
                <w:rFonts w:ascii="Times New Roman"/>
                <w:sz w:val="16"/>
              </w:rPr>
            </w:pPr>
          </w:p>
        </w:tc>
        <w:tc>
          <w:tcPr>
            <w:tcW w:w="1375" w:type="dxa"/>
          </w:tcPr>
          <w:p w14:paraId="4868DABB" w14:textId="77777777" w:rsidR="002C6574" w:rsidRDefault="00000000">
            <w:pPr>
              <w:pStyle w:val="TableParagraph"/>
              <w:tabs>
                <w:tab w:val="left" w:pos="1251"/>
              </w:tabs>
              <w:spacing w:line="179" w:lineRule="exact"/>
              <w:ind w:left="-4" w:right="67"/>
              <w:rPr>
                <w:rFonts w:ascii="Arial"/>
                <w:b/>
                <w:sz w:val="16"/>
              </w:rPr>
            </w:pPr>
            <w:r>
              <w:rPr>
                <w:rFonts w:ascii="Times New Roman"/>
                <w:sz w:val="16"/>
                <w:u w:val="single"/>
              </w:rPr>
              <w:tab/>
            </w:r>
            <w:r>
              <w:rPr>
                <w:rFonts w:ascii="Arial"/>
                <w:b/>
                <w:spacing w:val="-10"/>
                <w:sz w:val="16"/>
                <w:u w:val="single"/>
              </w:rPr>
              <w:t>-</w:t>
            </w:r>
          </w:p>
        </w:tc>
        <w:tc>
          <w:tcPr>
            <w:tcW w:w="185" w:type="dxa"/>
          </w:tcPr>
          <w:p w14:paraId="799C12F8" w14:textId="77777777" w:rsidR="002C6574" w:rsidRDefault="002C6574">
            <w:pPr>
              <w:pStyle w:val="TableParagraph"/>
              <w:jc w:val="left"/>
              <w:rPr>
                <w:rFonts w:ascii="Times New Roman"/>
                <w:sz w:val="16"/>
              </w:rPr>
            </w:pPr>
          </w:p>
        </w:tc>
        <w:tc>
          <w:tcPr>
            <w:tcW w:w="1181" w:type="dxa"/>
          </w:tcPr>
          <w:p w14:paraId="7390A888" w14:textId="77777777" w:rsidR="002C6574" w:rsidRDefault="00000000">
            <w:pPr>
              <w:pStyle w:val="TableParagraph"/>
              <w:tabs>
                <w:tab w:val="left" w:pos="399"/>
              </w:tabs>
              <w:spacing w:line="179" w:lineRule="exact"/>
              <w:ind w:left="-4" w:right="68"/>
              <w:rPr>
                <w:rFonts w:ascii="Arial"/>
                <w:b/>
                <w:sz w:val="16"/>
              </w:rPr>
            </w:pPr>
            <w:r>
              <w:rPr>
                <w:rFonts w:ascii="Times New Roman"/>
                <w:sz w:val="16"/>
                <w:u w:val="single"/>
              </w:rPr>
              <w:tab/>
            </w:r>
            <w:r>
              <w:rPr>
                <w:rFonts w:ascii="Arial"/>
                <w:b/>
                <w:spacing w:val="-2"/>
                <w:sz w:val="16"/>
                <w:u w:val="single"/>
              </w:rPr>
              <w:t>1.425.651</w:t>
            </w:r>
          </w:p>
        </w:tc>
      </w:tr>
      <w:tr w:rsidR="002C6574" w14:paraId="541C9D45" w14:textId="77777777">
        <w:trPr>
          <w:trHeight w:val="353"/>
        </w:trPr>
        <w:tc>
          <w:tcPr>
            <w:tcW w:w="7320" w:type="dxa"/>
          </w:tcPr>
          <w:p w14:paraId="47190787" w14:textId="77777777" w:rsidR="002C6574" w:rsidRDefault="00000000">
            <w:pPr>
              <w:pStyle w:val="TableParagraph"/>
              <w:spacing w:before="143"/>
              <w:ind w:left="50"/>
              <w:jc w:val="left"/>
              <w:rPr>
                <w:rFonts w:ascii="Arial"/>
                <w:b/>
                <w:sz w:val="16"/>
              </w:rPr>
            </w:pPr>
            <w:r>
              <w:rPr>
                <w:rFonts w:ascii="Arial"/>
                <w:b/>
                <w:sz w:val="16"/>
              </w:rPr>
              <w:t>Recurso de</w:t>
            </w:r>
            <w:r>
              <w:rPr>
                <w:rFonts w:ascii="Arial"/>
                <w:b/>
                <w:spacing w:val="-2"/>
                <w:sz w:val="16"/>
              </w:rPr>
              <w:t xml:space="preserve"> Acionista:</w:t>
            </w:r>
          </w:p>
        </w:tc>
        <w:tc>
          <w:tcPr>
            <w:tcW w:w="1083" w:type="dxa"/>
          </w:tcPr>
          <w:p w14:paraId="2642A4E7" w14:textId="77777777" w:rsidR="002C6574" w:rsidRDefault="00000000">
            <w:pPr>
              <w:pStyle w:val="TableParagraph"/>
              <w:spacing w:before="143"/>
              <w:ind w:left="-1" w:right="67"/>
              <w:rPr>
                <w:rFonts w:ascii="Arial"/>
                <w:b/>
                <w:sz w:val="16"/>
              </w:rPr>
            </w:pPr>
            <w:r>
              <w:rPr>
                <w:rFonts w:ascii="Arial"/>
                <w:b/>
                <w:spacing w:val="-10"/>
                <w:sz w:val="16"/>
              </w:rPr>
              <w:t>-</w:t>
            </w:r>
          </w:p>
        </w:tc>
        <w:tc>
          <w:tcPr>
            <w:tcW w:w="185" w:type="dxa"/>
          </w:tcPr>
          <w:p w14:paraId="65BD0A1B" w14:textId="77777777" w:rsidR="002C6574" w:rsidRDefault="002C6574">
            <w:pPr>
              <w:pStyle w:val="TableParagraph"/>
              <w:jc w:val="left"/>
              <w:rPr>
                <w:rFonts w:ascii="Times New Roman"/>
                <w:sz w:val="16"/>
              </w:rPr>
            </w:pPr>
          </w:p>
        </w:tc>
        <w:tc>
          <w:tcPr>
            <w:tcW w:w="1323" w:type="dxa"/>
          </w:tcPr>
          <w:p w14:paraId="2039A5FF" w14:textId="77777777" w:rsidR="002C6574" w:rsidRDefault="00000000">
            <w:pPr>
              <w:pStyle w:val="TableParagraph"/>
              <w:spacing w:before="143"/>
              <w:ind w:left="-2" w:right="66"/>
              <w:rPr>
                <w:rFonts w:ascii="Arial"/>
                <w:b/>
                <w:sz w:val="16"/>
              </w:rPr>
            </w:pPr>
            <w:r>
              <w:rPr>
                <w:rFonts w:ascii="Arial"/>
                <w:b/>
                <w:spacing w:val="-10"/>
                <w:sz w:val="16"/>
              </w:rPr>
              <w:t>-</w:t>
            </w:r>
          </w:p>
        </w:tc>
        <w:tc>
          <w:tcPr>
            <w:tcW w:w="185" w:type="dxa"/>
          </w:tcPr>
          <w:p w14:paraId="5EA1E899" w14:textId="77777777" w:rsidR="002C6574" w:rsidRDefault="002C6574">
            <w:pPr>
              <w:pStyle w:val="TableParagraph"/>
              <w:jc w:val="left"/>
              <w:rPr>
                <w:rFonts w:ascii="Times New Roman"/>
                <w:sz w:val="16"/>
              </w:rPr>
            </w:pPr>
          </w:p>
        </w:tc>
        <w:tc>
          <w:tcPr>
            <w:tcW w:w="1342" w:type="dxa"/>
          </w:tcPr>
          <w:p w14:paraId="046521EF" w14:textId="77777777" w:rsidR="002C6574" w:rsidRDefault="00000000">
            <w:pPr>
              <w:pStyle w:val="TableParagraph"/>
              <w:spacing w:before="143"/>
              <w:ind w:left="-2" w:right="69"/>
              <w:rPr>
                <w:rFonts w:ascii="Arial"/>
                <w:b/>
                <w:sz w:val="16"/>
              </w:rPr>
            </w:pPr>
            <w:r>
              <w:rPr>
                <w:rFonts w:ascii="Arial"/>
                <w:b/>
                <w:spacing w:val="-10"/>
                <w:sz w:val="16"/>
              </w:rPr>
              <w:t>-</w:t>
            </w:r>
          </w:p>
        </w:tc>
        <w:tc>
          <w:tcPr>
            <w:tcW w:w="185" w:type="dxa"/>
          </w:tcPr>
          <w:p w14:paraId="36D373F7" w14:textId="77777777" w:rsidR="002C6574" w:rsidRDefault="002C6574">
            <w:pPr>
              <w:pStyle w:val="TableParagraph"/>
              <w:jc w:val="left"/>
              <w:rPr>
                <w:rFonts w:ascii="Times New Roman"/>
                <w:sz w:val="16"/>
              </w:rPr>
            </w:pPr>
          </w:p>
        </w:tc>
        <w:tc>
          <w:tcPr>
            <w:tcW w:w="1138" w:type="dxa"/>
          </w:tcPr>
          <w:p w14:paraId="69148FAA" w14:textId="77777777" w:rsidR="002C6574" w:rsidRDefault="00000000">
            <w:pPr>
              <w:pStyle w:val="TableParagraph"/>
              <w:spacing w:before="143"/>
              <w:ind w:left="-3" w:right="72"/>
              <w:rPr>
                <w:rFonts w:ascii="Arial"/>
                <w:b/>
                <w:sz w:val="16"/>
              </w:rPr>
            </w:pPr>
            <w:r>
              <w:rPr>
                <w:rFonts w:ascii="Arial"/>
                <w:b/>
                <w:spacing w:val="-10"/>
                <w:sz w:val="16"/>
              </w:rPr>
              <w:t>-</w:t>
            </w:r>
          </w:p>
        </w:tc>
        <w:tc>
          <w:tcPr>
            <w:tcW w:w="185" w:type="dxa"/>
          </w:tcPr>
          <w:p w14:paraId="54D84ACB" w14:textId="77777777" w:rsidR="002C6574" w:rsidRDefault="002C6574">
            <w:pPr>
              <w:pStyle w:val="TableParagraph"/>
              <w:jc w:val="left"/>
              <w:rPr>
                <w:rFonts w:ascii="Times New Roman"/>
                <w:sz w:val="16"/>
              </w:rPr>
            </w:pPr>
          </w:p>
        </w:tc>
        <w:tc>
          <w:tcPr>
            <w:tcW w:w="1375" w:type="dxa"/>
          </w:tcPr>
          <w:p w14:paraId="08BA2604" w14:textId="77777777" w:rsidR="002C6574" w:rsidRDefault="00000000">
            <w:pPr>
              <w:pStyle w:val="TableParagraph"/>
              <w:spacing w:before="143"/>
              <w:ind w:left="-4" w:right="70"/>
              <w:rPr>
                <w:rFonts w:ascii="Arial"/>
                <w:b/>
                <w:sz w:val="16"/>
              </w:rPr>
            </w:pPr>
            <w:r>
              <w:rPr>
                <w:rFonts w:ascii="Arial"/>
                <w:b/>
                <w:spacing w:val="-2"/>
                <w:sz w:val="16"/>
              </w:rPr>
              <w:t>112.256</w:t>
            </w:r>
          </w:p>
        </w:tc>
        <w:tc>
          <w:tcPr>
            <w:tcW w:w="185" w:type="dxa"/>
          </w:tcPr>
          <w:p w14:paraId="685119E1" w14:textId="77777777" w:rsidR="002C6574" w:rsidRDefault="002C6574">
            <w:pPr>
              <w:pStyle w:val="TableParagraph"/>
              <w:jc w:val="left"/>
              <w:rPr>
                <w:rFonts w:ascii="Times New Roman"/>
                <w:sz w:val="16"/>
              </w:rPr>
            </w:pPr>
          </w:p>
        </w:tc>
        <w:tc>
          <w:tcPr>
            <w:tcW w:w="1181" w:type="dxa"/>
          </w:tcPr>
          <w:p w14:paraId="0A5AAFF2" w14:textId="77777777" w:rsidR="002C6574" w:rsidRDefault="00000000">
            <w:pPr>
              <w:pStyle w:val="TableParagraph"/>
              <w:spacing w:before="143"/>
              <w:ind w:left="-4" w:right="68"/>
              <w:rPr>
                <w:rFonts w:ascii="Arial"/>
                <w:b/>
                <w:sz w:val="16"/>
              </w:rPr>
            </w:pPr>
            <w:r>
              <w:rPr>
                <w:rFonts w:ascii="Arial"/>
                <w:b/>
                <w:spacing w:val="-2"/>
                <w:sz w:val="16"/>
              </w:rPr>
              <w:t>112.256</w:t>
            </w:r>
          </w:p>
        </w:tc>
      </w:tr>
      <w:tr w:rsidR="002C6574" w14:paraId="68CDE656" w14:textId="77777777">
        <w:trPr>
          <w:trHeight w:val="231"/>
        </w:trPr>
        <w:tc>
          <w:tcPr>
            <w:tcW w:w="7320" w:type="dxa"/>
          </w:tcPr>
          <w:p w14:paraId="68CA4F68" w14:textId="77777777" w:rsidR="002C6574" w:rsidRDefault="00000000">
            <w:pPr>
              <w:pStyle w:val="TableParagraph"/>
              <w:spacing w:line="212" w:lineRule="exact"/>
              <w:ind w:left="50"/>
              <w:jc w:val="left"/>
              <w:rPr>
                <w:sz w:val="16"/>
              </w:rPr>
            </w:pPr>
            <w:r>
              <w:rPr>
                <w:sz w:val="16"/>
              </w:rPr>
              <w:t>Transferência</w:t>
            </w:r>
            <w:r>
              <w:rPr>
                <w:spacing w:val="8"/>
                <w:sz w:val="16"/>
              </w:rPr>
              <w:t xml:space="preserve"> </w:t>
            </w:r>
            <w:r>
              <w:rPr>
                <w:sz w:val="16"/>
              </w:rPr>
              <w:t>de</w:t>
            </w:r>
            <w:r>
              <w:rPr>
                <w:spacing w:val="10"/>
                <w:sz w:val="16"/>
              </w:rPr>
              <w:t xml:space="preserve"> </w:t>
            </w:r>
            <w:r>
              <w:rPr>
                <w:sz w:val="16"/>
              </w:rPr>
              <w:t>Recursos</w:t>
            </w:r>
            <w:r>
              <w:rPr>
                <w:spacing w:val="14"/>
                <w:sz w:val="16"/>
              </w:rPr>
              <w:t xml:space="preserve"> </w:t>
            </w:r>
            <w:r>
              <w:rPr>
                <w:sz w:val="16"/>
              </w:rPr>
              <w:t>Capitalizado</w:t>
            </w:r>
            <w:r>
              <w:rPr>
                <w:spacing w:val="12"/>
                <w:sz w:val="16"/>
              </w:rPr>
              <w:t xml:space="preserve"> </w:t>
            </w:r>
            <w:r>
              <w:rPr>
                <w:sz w:val="16"/>
              </w:rPr>
              <w:t>para</w:t>
            </w:r>
            <w:r>
              <w:rPr>
                <w:spacing w:val="9"/>
                <w:sz w:val="16"/>
              </w:rPr>
              <w:t xml:space="preserve"> </w:t>
            </w:r>
            <w:r>
              <w:rPr>
                <w:sz w:val="16"/>
              </w:rPr>
              <w:t>o</w:t>
            </w:r>
            <w:r>
              <w:rPr>
                <w:spacing w:val="8"/>
                <w:sz w:val="16"/>
              </w:rPr>
              <w:t xml:space="preserve"> </w:t>
            </w:r>
            <w:r>
              <w:rPr>
                <w:sz w:val="16"/>
              </w:rPr>
              <w:t>Patrimônio</w:t>
            </w:r>
            <w:r>
              <w:rPr>
                <w:spacing w:val="9"/>
                <w:sz w:val="16"/>
              </w:rPr>
              <w:t xml:space="preserve"> </w:t>
            </w:r>
            <w:r>
              <w:rPr>
                <w:spacing w:val="-2"/>
                <w:sz w:val="16"/>
              </w:rPr>
              <w:t>Líquido</w:t>
            </w:r>
          </w:p>
        </w:tc>
        <w:tc>
          <w:tcPr>
            <w:tcW w:w="1083" w:type="dxa"/>
          </w:tcPr>
          <w:p w14:paraId="345545D6" w14:textId="77777777" w:rsidR="002C6574" w:rsidRDefault="00000000">
            <w:pPr>
              <w:pStyle w:val="TableParagraph"/>
              <w:spacing w:before="22"/>
              <w:ind w:left="-1" w:right="67"/>
              <w:rPr>
                <w:rFonts w:ascii="Arial"/>
                <w:b/>
                <w:sz w:val="16"/>
              </w:rPr>
            </w:pPr>
            <w:r>
              <w:rPr>
                <w:rFonts w:ascii="Arial"/>
                <w:b/>
                <w:spacing w:val="-10"/>
                <w:sz w:val="16"/>
              </w:rPr>
              <w:t>-</w:t>
            </w:r>
          </w:p>
        </w:tc>
        <w:tc>
          <w:tcPr>
            <w:tcW w:w="185" w:type="dxa"/>
          </w:tcPr>
          <w:p w14:paraId="466502A6" w14:textId="77777777" w:rsidR="002C6574" w:rsidRDefault="002C6574">
            <w:pPr>
              <w:pStyle w:val="TableParagraph"/>
              <w:jc w:val="left"/>
              <w:rPr>
                <w:rFonts w:ascii="Times New Roman"/>
                <w:sz w:val="16"/>
              </w:rPr>
            </w:pPr>
          </w:p>
        </w:tc>
        <w:tc>
          <w:tcPr>
            <w:tcW w:w="1323" w:type="dxa"/>
          </w:tcPr>
          <w:p w14:paraId="2C238754" w14:textId="77777777" w:rsidR="002C6574" w:rsidRDefault="00000000">
            <w:pPr>
              <w:pStyle w:val="TableParagraph"/>
              <w:spacing w:before="22"/>
              <w:ind w:left="-2" w:right="66"/>
              <w:rPr>
                <w:rFonts w:ascii="Arial"/>
                <w:b/>
                <w:sz w:val="16"/>
              </w:rPr>
            </w:pPr>
            <w:r>
              <w:rPr>
                <w:rFonts w:ascii="Arial"/>
                <w:b/>
                <w:spacing w:val="-10"/>
                <w:sz w:val="16"/>
              </w:rPr>
              <w:t>-</w:t>
            </w:r>
          </w:p>
        </w:tc>
        <w:tc>
          <w:tcPr>
            <w:tcW w:w="185" w:type="dxa"/>
          </w:tcPr>
          <w:p w14:paraId="6A0B6001" w14:textId="77777777" w:rsidR="002C6574" w:rsidRDefault="002C6574">
            <w:pPr>
              <w:pStyle w:val="TableParagraph"/>
              <w:jc w:val="left"/>
              <w:rPr>
                <w:rFonts w:ascii="Times New Roman"/>
                <w:sz w:val="16"/>
              </w:rPr>
            </w:pPr>
          </w:p>
        </w:tc>
        <w:tc>
          <w:tcPr>
            <w:tcW w:w="1342" w:type="dxa"/>
          </w:tcPr>
          <w:p w14:paraId="516EF2EF" w14:textId="77777777" w:rsidR="002C6574" w:rsidRDefault="00000000">
            <w:pPr>
              <w:pStyle w:val="TableParagraph"/>
              <w:spacing w:before="22"/>
              <w:ind w:left="-2" w:right="69"/>
              <w:rPr>
                <w:rFonts w:ascii="Arial"/>
                <w:b/>
                <w:sz w:val="16"/>
              </w:rPr>
            </w:pPr>
            <w:r>
              <w:rPr>
                <w:rFonts w:ascii="Arial"/>
                <w:b/>
                <w:spacing w:val="-10"/>
                <w:sz w:val="16"/>
              </w:rPr>
              <w:t>-</w:t>
            </w:r>
          </w:p>
        </w:tc>
        <w:tc>
          <w:tcPr>
            <w:tcW w:w="185" w:type="dxa"/>
          </w:tcPr>
          <w:p w14:paraId="286A9C3C" w14:textId="77777777" w:rsidR="002C6574" w:rsidRDefault="002C6574">
            <w:pPr>
              <w:pStyle w:val="TableParagraph"/>
              <w:jc w:val="left"/>
              <w:rPr>
                <w:rFonts w:ascii="Times New Roman"/>
                <w:sz w:val="16"/>
              </w:rPr>
            </w:pPr>
          </w:p>
        </w:tc>
        <w:tc>
          <w:tcPr>
            <w:tcW w:w="1138" w:type="dxa"/>
          </w:tcPr>
          <w:p w14:paraId="1CF8625F" w14:textId="77777777" w:rsidR="002C6574" w:rsidRDefault="00000000">
            <w:pPr>
              <w:pStyle w:val="TableParagraph"/>
              <w:spacing w:before="22"/>
              <w:ind w:left="-3" w:right="72"/>
              <w:rPr>
                <w:rFonts w:ascii="Arial"/>
                <w:b/>
                <w:sz w:val="16"/>
              </w:rPr>
            </w:pPr>
            <w:r>
              <w:rPr>
                <w:rFonts w:ascii="Arial"/>
                <w:b/>
                <w:spacing w:val="-10"/>
                <w:sz w:val="16"/>
              </w:rPr>
              <w:t>-</w:t>
            </w:r>
          </w:p>
        </w:tc>
        <w:tc>
          <w:tcPr>
            <w:tcW w:w="185" w:type="dxa"/>
          </w:tcPr>
          <w:p w14:paraId="7FE28F4E" w14:textId="77777777" w:rsidR="002C6574" w:rsidRDefault="002C6574">
            <w:pPr>
              <w:pStyle w:val="TableParagraph"/>
              <w:jc w:val="left"/>
              <w:rPr>
                <w:rFonts w:ascii="Times New Roman"/>
                <w:sz w:val="16"/>
              </w:rPr>
            </w:pPr>
          </w:p>
        </w:tc>
        <w:tc>
          <w:tcPr>
            <w:tcW w:w="1375" w:type="dxa"/>
          </w:tcPr>
          <w:p w14:paraId="31A09767" w14:textId="77777777" w:rsidR="002C6574" w:rsidRDefault="00000000">
            <w:pPr>
              <w:pStyle w:val="TableParagraph"/>
              <w:spacing w:line="212" w:lineRule="exact"/>
              <w:ind w:left="-4" w:right="70"/>
              <w:rPr>
                <w:sz w:val="16"/>
              </w:rPr>
            </w:pPr>
            <w:r>
              <w:rPr>
                <w:spacing w:val="-2"/>
                <w:w w:val="105"/>
                <w:sz w:val="16"/>
              </w:rPr>
              <w:t>112.256</w:t>
            </w:r>
          </w:p>
        </w:tc>
        <w:tc>
          <w:tcPr>
            <w:tcW w:w="185" w:type="dxa"/>
          </w:tcPr>
          <w:p w14:paraId="78DD0BD4" w14:textId="77777777" w:rsidR="002C6574" w:rsidRDefault="002C6574">
            <w:pPr>
              <w:pStyle w:val="TableParagraph"/>
              <w:jc w:val="left"/>
              <w:rPr>
                <w:rFonts w:ascii="Times New Roman"/>
                <w:sz w:val="16"/>
              </w:rPr>
            </w:pPr>
          </w:p>
        </w:tc>
        <w:tc>
          <w:tcPr>
            <w:tcW w:w="1181" w:type="dxa"/>
          </w:tcPr>
          <w:p w14:paraId="531BB3CF" w14:textId="77777777" w:rsidR="002C6574" w:rsidRDefault="00000000">
            <w:pPr>
              <w:pStyle w:val="TableParagraph"/>
              <w:spacing w:line="212" w:lineRule="exact"/>
              <w:ind w:left="-4" w:right="85"/>
              <w:rPr>
                <w:sz w:val="16"/>
              </w:rPr>
            </w:pPr>
            <w:r>
              <w:rPr>
                <w:spacing w:val="-2"/>
                <w:w w:val="105"/>
                <w:sz w:val="16"/>
              </w:rPr>
              <w:t>112.256</w:t>
            </w:r>
          </w:p>
        </w:tc>
      </w:tr>
      <w:tr w:rsidR="002C6574" w14:paraId="4C2B35F6" w14:textId="77777777">
        <w:trPr>
          <w:trHeight w:val="231"/>
        </w:trPr>
        <w:tc>
          <w:tcPr>
            <w:tcW w:w="7320" w:type="dxa"/>
          </w:tcPr>
          <w:p w14:paraId="3E0A5ECA" w14:textId="77777777" w:rsidR="002C6574" w:rsidRDefault="00000000">
            <w:pPr>
              <w:pStyle w:val="TableParagraph"/>
              <w:spacing w:before="21"/>
              <w:ind w:left="50"/>
              <w:jc w:val="left"/>
              <w:rPr>
                <w:rFonts w:ascii="Arial"/>
                <w:b/>
                <w:sz w:val="16"/>
              </w:rPr>
            </w:pPr>
            <w:r>
              <w:rPr>
                <w:rFonts w:ascii="Arial"/>
                <w:b/>
                <w:sz w:val="16"/>
              </w:rPr>
              <w:t>Resultados</w:t>
            </w:r>
            <w:r>
              <w:rPr>
                <w:rFonts w:ascii="Arial"/>
                <w:b/>
                <w:spacing w:val="-5"/>
                <w:sz w:val="16"/>
              </w:rPr>
              <w:t xml:space="preserve"> </w:t>
            </w:r>
            <w:r>
              <w:rPr>
                <w:rFonts w:ascii="Arial"/>
                <w:b/>
                <w:sz w:val="16"/>
              </w:rPr>
              <w:t>Abrangentes</w:t>
            </w:r>
            <w:r>
              <w:rPr>
                <w:rFonts w:ascii="Arial"/>
                <w:b/>
                <w:spacing w:val="-6"/>
                <w:sz w:val="16"/>
              </w:rPr>
              <w:t xml:space="preserve"> </w:t>
            </w:r>
            <w:r>
              <w:rPr>
                <w:rFonts w:ascii="Arial"/>
                <w:b/>
                <w:spacing w:val="-2"/>
                <w:sz w:val="16"/>
              </w:rPr>
              <w:t>Total:</w:t>
            </w:r>
          </w:p>
        </w:tc>
        <w:tc>
          <w:tcPr>
            <w:tcW w:w="1083" w:type="dxa"/>
          </w:tcPr>
          <w:p w14:paraId="2EE3344A" w14:textId="77777777" w:rsidR="002C6574" w:rsidRDefault="00000000">
            <w:pPr>
              <w:pStyle w:val="TableParagraph"/>
              <w:spacing w:before="21"/>
              <w:ind w:left="-1" w:right="67"/>
              <w:rPr>
                <w:rFonts w:ascii="Arial"/>
                <w:b/>
                <w:sz w:val="16"/>
              </w:rPr>
            </w:pPr>
            <w:r>
              <w:rPr>
                <w:rFonts w:ascii="Arial"/>
                <w:b/>
                <w:spacing w:val="-10"/>
                <w:sz w:val="16"/>
              </w:rPr>
              <w:t>-</w:t>
            </w:r>
          </w:p>
        </w:tc>
        <w:tc>
          <w:tcPr>
            <w:tcW w:w="185" w:type="dxa"/>
          </w:tcPr>
          <w:p w14:paraId="5D59CA9B" w14:textId="77777777" w:rsidR="002C6574" w:rsidRDefault="002C6574">
            <w:pPr>
              <w:pStyle w:val="TableParagraph"/>
              <w:jc w:val="left"/>
              <w:rPr>
                <w:rFonts w:ascii="Times New Roman"/>
                <w:sz w:val="16"/>
              </w:rPr>
            </w:pPr>
          </w:p>
        </w:tc>
        <w:tc>
          <w:tcPr>
            <w:tcW w:w="1323" w:type="dxa"/>
          </w:tcPr>
          <w:p w14:paraId="58BE8056" w14:textId="77777777" w:rsidR="002C6574" w:rsidRDefault="00000000">
            <w:pPr>
              <w:pStyle w:val="TableParagraph"/>
              <w:spacing w:before="21"/>
              <w:ind w:left="-2" w:right="66"/>
              <w:rPr>
                <w:rFonts w:ascii="Arial"/>
                <w:b/>
                <w:sz w:val="16"/>
              </w:rPr>
            </w:pPr>
            <w:r>
              <w:rPr>
                <w:rFonts w:ascii="Arial"/>
                <w:b/>
                <w:spacing w:val="-2"/>
                <w:sz w:val="16"/>
              </w:rPr>
              <w:t>(66.572)</w:t>
            </w:r>
          </w:p>
        </w:tc>
        <w:tc>
          <w:tcPr>
            <w:tcW w:w="185" w:type="dxa"/>
          </w:tcPr>
          <w:p w14:paraId="1F4E4FE4" w14:textId="77777777" w:rsidR="002C6574" w:rsidRDefault="002C6574">
            <w:pPr>
              <w:pStyle w:val="TableParagraph"/>
              <w:jc w:val="left"/>
              <w:rPr>
                <w:rFonts w:ascii="Times New Roman"/>
                <w:sz w:val="16"/>
              </w:rPr>
            </w:pPr>
          </w:p>
        </w:tc>
        <w:tc>
          <w:tcPr>
            <w:tcW w:w="1342" w:type="dxa"/>
          </w:tcPr>
          <w:p w14:paraId="1A5B9FD8" w14:textId="77777777" w:rsidR="002C6574" w:rsidRDefault="00000000">
            <w:pPr>
              <w:pStyle w:val="TableParagraph"/>
              <w:spacing w:before="21"/>
              <w:ind w:left="-2" w:right="69"/>
              <w:rPr>
                <w:rFonts w:ascii="Arial"/>
                <w:b/>
                <w:sz w:val="16"/>
              </w:rPr>
            </w:pPr>
            <w:r>
              <w:rPr>
                <w:rFonts w:ascii="Arial"/>
                <w:b/>
                <w:spacing w:val="-2"/>
                <w:sz w:val="16"/>
              </w:rPr>
              <w:t>10.677</w:t>
            </w:r>
          </w:p>
        </w:tc>
        <w:tc>
          <w:tcPr>
            <w:tcW w:w="185" w:type="dxa"/>
          </w:tcPr>
          <w:p w14:paraId="480FD5EB" w14:textId="77777777" w:rsidR="002C6574" w:rsidRDefault="002C6574">
            <w:pPr>
              <w:pStyle w:val="TableParagraph"/>
              <w:jc w:val="left"/>
              <w:rPr>
                <w:rFonts w:ascii="Times New Roman"/>
                <w:sz w:val="16"/>
              </w:rPr>
            </w:pPr>
          </w:p>
        </w:tc>
        <w:tc>
          <w:tcPr>
            <w:tcW w:w="1138" w:type="dxa"/>
          </w:tcPr>
          <w:p w14:paraId="228E77E8" w14:textId="77777777" w:rsidR="002C6574" w:rsidRDefault="00000000">
            <w:pPr>
              <w:pStyle w:val="TableParagraph"/>
              <w:spacing w:before="21"/>
              <w:ind w:left="-3" w:right="72"/>
              <w:rPr>
                <w:rFonts w:ascii="Arial"/>
                <w:b/>
                <w:sz w:val="16"/>
              </w:rPr>
            </w:pPr>
            <w:r>
              <w:rPr>
                <w:rFonts w:ascii="Arial"/>
                <w:b/>
                <w:spacing w:val="-10"/>
                <w:sz w:val="16"/>
              </w:rPr>
              <w:t>-</w:t>
            </w:r>
          </w:p>
        </w:tc>
        <w:tc>
          <w:tcPr>
            <w:tcW w:w="185" w:type="dxa"/>
          </w:tcPr>
          <w:p w14:paraId="4E9AC976" w14:textId="77777777" w:rsidR="002C6574" w:rsidRDefault="002C6574">
            <w:pPr>
              <w:pStyle w:val="TableParagraph"/>
              <w:jc w:val="left"/>
              <w:rPr>
                <w:rFonts w:ascii="Times New Roman"/>
                <w:sz w:val="16"/>
              </w:rPr>
            </w:pPr>
          </w:p>
        </w:tc>
        <w:tc>
          <w:tcPr>
            <w:tcW w:w="1375" w:type="dxa"/>
          </w:tcPr>
          <w:p w14:paraId="232F86F7" w14:textId="77777777" w:rsidR="002C6574" w:rsidRDefault="00000000">
            <w:pPr>
              <w:pStyle w:val="TableParagraph"/>
              <w:spacing w:before="21"/>
              <w:ind w:left="-4" w:right="67"/>
              <w:rPr>
                <w:rFonts w:ascii="Arial"/>
                <w:b/>
                <w:sz w:val="16"/>
              </w:rPr>
            </w:pPr>
            <w:r>
              <w:rPr>
                <w:rFonts w:ascii="Arial"/>
                <w:b/>
                <w:spacing w:val="-10"/>
                <w:sz w:val="16"/>
              </w:rPr>
              <w:t>-</w:t>
            </w:r>
          </w:p>
        </w:tc>
        <w:tc>
          <w:tcPr>
            <w:tcW w:w="185" w:type="dxa"/>
          </w:tcPr>
          <w:p w14:paraId="71597610" w14:textId="77777777" w:rsidR="002C6574" w:rsidRDefault="002C6574">
            <w:pPr>
              <w:pStyle w:val="TableParagraph"/>
              <w:jc w:val="left"/>
              <w:rPr>
                <w:rFonts w:ascii="Times New Roman"/>
                <w:sz w:val="16"/>
              </w:rPr>
            </w:pPr>
          </w:p>
        </w:tc>
        <w:tc>
          <w:tcPr>
            <w:tcW w:w="1181" w:type="dxa"/>
          </w:tcPr>
          <w:p w14:paraId="101336D5" w14:textId="77777777" w:rsidR="002C6574" w:rsidRDefault="00000000">
            <w:pPr>
              <w:pStyle w:val="TableParagraph"/>
              <w:spacing w:before="21"/>
              <w:ind w:left="-4" w:right="65"/>
              <w:rPr>
                <w:rFonts w:ascii="Arial"/>
                <w:b/>
                <w:sz w:val="16"/>
              </w:rPr>
            </w:pPr>
            <w:r>
              <w:rPr>
                <w:rFonts w:ascii="Arial"/>
                <w:b/>
                <w:spacing w:val="-2"/>
                <w:sz w:val="16"/>
              </w:rPr>
              <w:t>(55.895)</w:t>
            </w:r>
          </w:p>
        </w:tc>
      </w:tr>
      <w:tr w:rsidR="002C6574" w14:paraId="01CFF06D" w14:textId="77777777">
        <w:trPr>
          <w:trHeight w:val="232"/>
        </w:trPr>
        <w:tc>
          <w:tcPr>
            <w:tcW w:w="7320" w:type="dxa"/>
          </w:tcPr>
          <w:p w14:paraId="30C1FB21" w14:textId="77777777" w:rsidR="002C6574" w:rsidRDefault="00000000">
            <w:pPr>
              <w:pStyle w:val="TableParagraph"/>
              <w:spacing w:line="212" w:lineRule="exact"/>
              <w:ind w:left="50"/>
              <w:jc w:val="left"/>
              <w:rPr>
                <w:sz w:val="16"/>
              </w:rPr>
            </w:pPr>
            <w:r>
              <w:rPr>
                <w:sz w:val="16"/>
              </w:rPr>
              <w:t>Prejuízo</w:t>
            </w:r>
            <w:r>
              <w:rPr>
                <w:spacing w:val="4"/>
                <w:sz w:val="16"/>
              </w:rPr>
              <w:t xml:space="preserve"> </w:t>
            </w:r>
            <w:r>
              <w:rPr>
                <w:sz w:val="16"/>
              </w:rPr>
              <w:t>do</w:t>
            </w:r>
            <w:r>
              <w:rPr>
                <w:spacing w:val="5"/>
                <w:sz w:val="16"/>
              </w:rPr>
              <w:t xml:space="preserve"> </w:t>
            </w:r>
            <w:r>
              <w:rPr>
                <w:spacing w:val="-2"/>
                <w:sz w:val="16"/>
              </w:rPr>
              <w:t>Exercício</w:t>
            </w:r>
          </w:p>
        </w:tc>
        <w:tc>
          <w:tcPr>
            <w:tcW w:w="1083" w:type="dxa"/>
          </w:tcPr>
          <w:p w14:paraId="1CCBF5E2" w14:textId="77777777" w:rsidR="002C6574" w:rsidRDefault="00000000">
            <w:pPr>
              <w:pStyle w:val="TableParagraph"/>
              <w:spacing w:before="22"/>
              <w:ind w:left="-1" w:right="67"/>
              <w:rPr>
                <w:rFonts w:ascii="Arial"/>
                <w:b/>
                <w:sz w:val="16"/>
              </w:rPr>
            </w:pPr>
            <w:r>
              <w:rPr>
                <w:rFonts w:ascii="Arial"/>
                <w:b/>
                <w:spacing w:val="-10"/>
                <w:sz w:val="16"/>
              </w:rPr>
              <w:t>-</w:t>
            </w:r>
          </w:p>
        </w:tc>
        <w:tc>
          <w:tcPr>
            <w:tcW w:w="185" w:type="dxa"/>
          </w:tcPr>
          <w:p w14:paraId="57A4B139" w14:textId="77777777" w:rsidR="002C6574" w:rsidRDefault="002C6574">
            <w:pPr>
              <w:pStyle w:val="TableParagraph"/>
              <w:jc w:val="left"/>
              <w:rPr>
                <w:rFonts w:ascii="Times New Roman"/>
                <w:sz w:val="16"/>
              </w:rPr>
            </w:pPr>
          </w:p>
        </w:tc>
        <w:tc>
          <w:tcPr>
            <w:tcW w:w="1323" w:type="dxa"/>
          </w:tcPr>
          <w:p w14:paraId="642FB48B" w14:textId="77777777" w:rsidR="002C6574" w:rsidRDefault="00000000">
            <w:pPr>
              <w:pStyle w:val="TableParagraph"/>
              <w:spacing w:line="212" w:lineRule="exact"/>
              <w:ind w:left="-2" w:right="66"/>
              <w:rPr>
                <w:sz w:val="16"/>
              </w:rPr>
            </w:pPr>
            <w:r>
              <w:rPr>
                <w:spacing w:val="-2"/>
                <w:w w:val="110"/>
                <w:sz w:val="16"/>
              </w:rPr>
              <w:t>(66.572)</w:t>
            </w:r>
          </w:p>
        </w:tc>
        <w:tc>
          <w:tcPr>
            <w:tcW w:w="185" w:type="dxa"/>
          </w:tcPr>
          <w:p w14:paraId="152E145C" w14:textId="77777777" w:rsidR="002C6574" w:rsidRDefault="002C6574">
            <w:pPr>
              <w:pStyle w:val="TableParagraph"/>
              <w:jc w:val="left"/>
              <w:rPr>
                <w:rFonts w:ascii="Times New Roman"/>
                <w:sz w:val="16"/>
              </w:rPr>
            </w:pPr>
          </w:p>
        </w:tc>
        <w:tc>
          <w:tcPr>
            <w:tcW w:w="1342" w:type="dxa"/>
          </w:tcPr>
          <w:p w14:paraId="23CFDB6D" w14:textId="77777777" w:rsidR="002C6574" w:rsidRDefault="00000000">
            <w:pPr>
              <w:pStyle w:val="TableParagraph"/>
              <w:spacing w:before="22"/>
              <w:ind w:left="-2" w:right="69"/>
              <w:rPr>
                <w:rFonts w:ascii="Arial"/>
                <w:b/>
                <w:sz w:val="16"/>
              </w:rPr>
            </w:pPr>
            <w:r>
              <w:rPr>
                <w:rFonts w:ascii="Arial"/>
                <w:b/>
                <w:spacing w:val="-10"/>
                <w:sz w:val="16"/>
              </w:rPr>
              <w:t>-</w:t>
            </w:r>
          </w:p>
        </w:tc>
        <w:tc>
          <w:tcPr>
            <w:tcW w:w="185" w:type="dxa"/>
          </w:tcPr>
          <w:p w14:paraId="78219B71" w14:textId="77777777" w:rsidR="002C6574" w:rsidRDefault="002C6574">
            <w:pPr>
              <w:pStyle w:val="TableParagraph"/>
              <w:jc w:val="left"/>
              <w:rPr>
                <w:rFonts w:ascii="Times New Roman"/>
                <w:sz w:val="16"/>
              </w:rPr>
            </w:pPr>
          </w:p>
        </w:tc>
        <w:tc>
          <w:tcPr>
            <w:tcW w:w="1138" w:type="dxa"/>
          </w:tcPr>
          <w:p w14:paraId="3C553CC1" w14:textId="77777777" w:rsidR="002C6574" w:rsidRDefault="00000000">
            <w:pPr>
              <w:pStyle w:val="TableParagraph"/>
              <w:spacing w:line="212" w:lineRule="exact"/>
              <w:ind w:left="-3" w:right="72"/>
              <w:rPr>
                <w:sz w:val="16"/>
              </w:rPr>
            </w:pPr>
            <w:r>
              <w:rPr>
                <w:spacing w:val="-10"/>
                <w:w w:val="95"/>
                <w:sz w:val="16"/>
              </w:rPr>
              <w:t>-</w:t>
            </w:r>
          </w:p>
        </w:tc>
        <w:tc>
          <w:tcPr>
            <w:tcW w:w="185" w:type="dxa"/>
          </w:tcPr>
          <w:p w14:paraId="2D0897F3" w14:textId="77777777" w:rsidR="002C6574" w:rsidRDefault="002C6574">
            <w:pPr>
              <w:pStyle w:val="TableParagraph"/>
              <w:jc w:val="left"/>
              <w:rPr>
                <w:rFonts w:ascii="Times New Roman"/>
                <w:sz w:val="16"/>
              </w:rPr>
            </w:pPr>
          </w:p>
        </w:tc>
        <w:tc>
          <w:tcPr>
            <w:tcW w:w="1375" w:type="dxa"/>
          </w:tcPr>
          <w:p w14:paraId="3DBA04F8" w14:textId="77777777" w:rsidR="002C6574" w:rsidRDefault="00000000">
            <w:pPr>
              <w:pStyle w:val="TableParagraph"/>
              <w:spacing w:line="212" w:lineRule="exact"/>
              <w:ind w:left="-4" w:right="67"/>
              <w:rPr>
                <w:sz w:val="16"/>
              </w:rPr>
            </w:pPr>
            <w:r>
              <w:rPr>
                <w:spacing w:val="-10"/>
                <w:w w:val="95"/>
                <w:sz w:val="16"/>
              </w:rPr>
              <w:t>-</w:t>
            </w:r>
          </w:p>
        </w:tc>
        <w:tc>
          <w:tcPr>
            <w:tcW w:w="185" w:type="dxa"/>
          </w:tcPr>
          <w:p w14:paraId="245D60B5" w14:textId="77777777" w:rsidR="002C6574" w:rsidRDefault="002C6574">
            <w:pPr>
              <w:pStyle w:val="TableParagraph"/>
              <w:jc w:val="left"/>
              <w:rPr>
                <w:rFonts w:ascii="Times New Roman"/>
                <w:sz w:val="16"/>
              </w:rPr>
            </w:pPr>
          </w:p>
        </w:tc>
        <w:tc>
          <w:tcPr>
            <w:tcW w:w="1181" w:type="dxa"/>
          </w:tcPr>
          <w:p w14:paraId="2D53C597" w14:textId="77777777" w:rsidR="002C6574" w:rsidRDefault="00000000">
            <w:pPr>
              <w:pStyle w:val="TableParagraph"/>
              <w:spacing w:before="22"/>
              <w:ind w:left="-4" w:right="67"/>
              <w:rPr>
                <w:rFonts w:ascii="Arial"/>
                <w:b/>
                <w:sz w:val="16"/>
              </w:rPr>
            </w:pPr>
            <w:r>
              <w:rPr>
                <w:rFonts w:ascii="Arial"/>
                <w:b/>
                <w:spacing w:val="-2"/>
                <w:sz w:val="16"/>
              </w:rPr>
              <w:t>(66.572)</w:t>
            </w:r>
          </w:p>
        </w:tc>
      </w:tr>
      <w:tr w:rsidR="002C6574" w14:paraId="363CBA67" w14:textId="77777777">
        <w:trPr>
          <w:trHeight w:val="231"/>
        </w:trPr>
        <w:tc>
          <w:tcPr>
            <w:tcW w:w="7320" w:type="dxa"/>
          </w:tcPr>
          <w:p w14:paraId="21472C6A" w14:textId="77777777" w:rsidR="002C6574" w:rsidRDefault="00000000">
            <w:pPr>
              <w:pStyle w:val="TableParagraph"/>
              <w:spacing w:before="22"/>
              <w:ind w:left="50"/>
              <w:jc w:val="left"/>
              <w:rPr>
                <w:rFonts w:ascii="Arial"/>
                <w:b/>
                <w:sz w:val="16"/>
              </w:rPr>
            </w:pPr>
            <w:r>
              <w:rPr>
                <w:rFonts w:ascii="Arial"/>
                <w:b/>
                <w:sz w:val="16"/>
              </w:rPr>
              <w:t>Outros</w:t>
            </w:r>
            <w:r>
              <w:rPr>
                <w:rFonts w:ascii="Arial"/>
                <w:b/>
                <w:spacing w:val="-4"/>
                <w:sz w:val="16"/>
              </w:rPr>
              <w:t xml:space="preserve"> </w:t>
            </w:r>
            <w:r>
              <w:rPr>
                <w:rFonts w:ascii="Arial"/>
                <w:b/>
                <w:sz w:val="16"/>
              </w:rPr>
              <w:t>Resultados</w:t>
            </w:r>
            <w:r>
              <w:rPr>
                <w:rFonts w:ascii="Arial"/>
                <w:b/>
                <w:spacing w:val="-3"/>
                <w:sz w:val="16"/>
              </w:rPr>
              <w:t xml:space="preserve"> </w:t>
            </w:r>
            <w:r>
              <w:rPr>
                <w:rFonts w:ascii="Arial"/>
                <w:b/>
                <w:spacing w:val="-2"/>
                <w:sz w:val="16"/>
              </w:rPr>
              <w:t>Abrangentes:</w:t>
            </w:r>
          </w:p>
        </w:tc>
        <w:tc>
          <w:tcPr>
            <w:tcW w:w="1083" w:type="dxa"/>
          </w:tcPr>
          <w:p w14:paraId="427F956F" w14:textId="77777777" w:rsidR="002C6574" w:rsidRDefault="00000000">
            <w:pPr>
              <w:pStyle w:val="TableParagraph"/>
              <w:spacing w:before="22"/>
              <w:ind w:left="-1" w:right="67"/>
              <w:rPr>
                <w:rFonts w:ascii="Arial"/>
                <w:b/>
                <w:sz w:val="16"/>
              </w:rPr>
            </w:pPr>
            <w:r>
              <w:rPr>
                <w:rFonts w:ascii="Arial"/>
                <w:b/>
                <w:spacing w:val="-10"/>
                <w:sz w:val="16"/>
              </w:rPr>
              <w:t>-</w:t>
            </w:r>
          </w:p>
        </w:tc>
        <w:tc>
          <w:tcPr>
            <w:tcW w:w="185" w:type="dxa"/>
          </w:tcPr>
          <w:p w14:paraId="33949346" w14:textId="77777777" w:rsidR="002C6574" w:rsidRDefault="002C6574">
            <w:pPr>
              <w:pStyle w:val="TableParagraph"/>
              <w:jc w:val="left"/>
              <w:rPr>
                <w:rFonts w:ascii="Times New Roman"/>
                <w:sz w:val="16"/>
              </w:rPr>
            </w:pPr>
          </w:p>
        </w:tc>
        <w:tc>
          <w:tcPr>
            <w:tcW w:w="1323" w:type="dxa"/>
          </w:tcPr>
          <w:p w14:paraId="65E2B700" w14:textId="77777777" w:rsidR="002C6574" w:rsidRDefault="00000000">
            <w:pPr>
              <w:pStyle w:val="TableParagraph"/>
              <w:spacing w:before="22"/>
              <w:ind w:left="-2" w:right="66"/>
              <w:rPr>
                <w:rFonts w:ascii="Arial"/>
                <w:b/>
                <w:sz w:val="16"/>
              </w:rPr>
            </w:pPr>
            <w:r>
              <w:rPr>
                <w:rFonts w:ascii="Arial"/>
                <w:b/>
                <w:spacing w:val="-10"/>
                <w:sz w:val="16"/>
              </w:rPr>
              <w:t>-</w:t>
            </w:r>
          </w:p>
        </w:tc>
        <w:tc>
          <w:tcPr>
            <w:tcW w:w="185" w:type="dxa"/>
          </w:tcPr>
          <w:p w14:paraId="45935B48" w14:textId="77777777" w:rsidR="002C6574" w:rsidRDefault="002C6574">
            <w:pPr>
              <w:pStyle w:val="TableParagraph"/>
              <w:jc w:val="left"/>
              <w:rPr>
                <w:rFonts w:ascii="Times New Roman"/>
                <w:sz w:val="16"/>
              </w:rPr>
            </w:pPr>
          </w:p>
        </w:tc>
        <w:tc>
          <w:tcPr>
            <w:tcW w:w="1342" w:type="dxa"/>
          </w:tcPr>
          <w:p w14:paraId="4121C2A8" w14:textId="77777777" w:rsidR="002C6574" w:rsidRDefault="00000000">
            <w:pPr>
              <w:pStyle w:val="TableParagraph"/>
              <w:spacing w:before="22"/>
              <w:ind w:left="-2" w:right="69"/>
              <w:rPr>
                <w:rFonts w:ascii="Arial"/>
                <w:b/>
                <w:sz w:val="16"/>
              </w:rPr>
            </w:pPr>
            <w:r>
              <w:rPr>
                <w:rFonts w:ascii="Arial"/>
                <w:b/>
                <w:spacing w:val="-2"/>
                <w:sz w:val="16"/>
              </w:rPr>
              <w:t>10.677</w:t>
            </w:r>
          </w:p>
        </w:tc>
        <w:tc>
          <w:tcPr>
            <w:tcW w:w="185" w:type="dxa"/>
          </w:tcPr>
          <w:p w14:paraId="47357748" w14:textId="77777777" w:rsidR="002C6574" w:rsidRDefault="002C6574">
            <w:pPr>
              <w:pStyle w:val="TableParagraph"/>
              <w:jc w:val="left"/>
              <w:rPr>
                <w:rFonts w:ascii="Times New Roman"/>
                <w:sz w:val="16"/>
              </w:rPr>
            </w:pPr>
          </w:p>
        </w:tc>
        <w:tc>
          <w:tcPr>
            <w:tcW w:w="1138" w:type="dxa"/>
          </w:tcPr>
          <w:p w14:paraId="692DCD3C" w14:textId="77777777" w:rsidR="002C6574" w:rsidRDefault="00000000">
            <w:pPr>
              <w:pStyle w:val="TableParagraph"/>
              <w:spacing w:before="22"/>
              <w:ind w:left="-3" w:right="72"/>
              <w:rPr>
                <w:rFonts w:ascii="Arial"/>
                <w:b/>
                <w:sz w:val="16"/>
              </w:rPr>
            </w:pPr>
            <w:r>
              <w:rPr>
                <w:rFonts w:ascii="Arial"/>
                <w:b/>
                <w:spacing w:val="-10"/>
                <w:sz w:val="16"/>
              </w:rPr>
              <w:t>-</w:t>
            </w:r>
          </w:p>
        </w:tc>
        <w:tc>
          <w:tcPr>
            <w:tcW w:w="185" w:type="dxa"/>
          </w:tcPr>
          <w:p w14:paraId="1D276CF6" w14:textId="77777777" w:rsidR="002C6574" w:rsidRDefault="002C6574">
            <w:pPr>
              <w:pStyle w:val="TableParagraph"/>
              <w:jc w:val="left"/>
              <w:rPr>
                <w:rFonts w:ascii="Times New Roman"/>
                <w:sz w:val="16"/>
              </w:rPr>
            </w:pPr>
          </w:p>
        </w:tc>
        <w:tc>
          <w:tcPr>
            <w:tcW w:w="1375" w:type="dxa"/>
          </w:tcPr>
          <w:p w14:paraId="0C8BDE01" w14:textId="77777777" w:rsidR="002C6574" w:rsidRDefault="00000000">
            <w:pPr>
              <w:pStyle w:val="TableParagraph"/>
              <w:spacing w:line="212" w:lineRule="exact"/>
              <w:ind w:left="-4" w:right="67"/>
              <w:rPr>
                <w:sz w:val="16"/>
              </w:rPr>
            </w:pPr>
            <w:r>
              <w:rPr>
                <w:spacing w:val="-10"/>
                <w:w w:val="95"/>
                <w:sz w:val="16"/>
              </w:rPr>
              <w:t>-</w:t>
            </w:r>
          </w:p>
        </w:tc>
        <w:tc>
          <w:tcPr>
            <w:tcW w:w="185" w:type="dxa"/>
          </w:tcPr>
          <w:p w14:paraId="6CD08E86" w14:textId="77777777" w:rsidR="002C6574" w:rsidRDefault="002C6574">
            <w:pPr>
              <w:pStyle w:val="TableParagraph"/>
              <w:jc w:val="left"/>
              <w:rPr>
                <w:rFonts w:ascii="Times New Roman"/>
                <w:sz w:val="16"/>
              </w:rPr>
            </w:pPr>
          </w:p>
        </w:tc>
        <w:tc>
          <w:tcPr>
            <w:tcW w:w="1181" w:type="dxa"/>
          </w:tcPr>
          <w:p w14:paraId="17F8936F" w14:textId="77777777" w:rsidR="002C6574" w:rsidRDefault="00000000">
            <w:pPr>
              <w:pStyle w:val="TableParagraph"/>
              <w:spacing w:before="22"/>
              <w:ind w:left="-4" w:right="68"/>
              <w:rPr>
                <w:rFonts w:ascii="Arial"/>
                <w:b/>
                <w:sz w:val="16"/>
              </w:rPr>
            </w:pPr>
            <w:r>
              <w:rPr>
                <w:rFonts w:ascii="Arial"/>
                <w:b/>
                <w:spacing w:val="-2"/>
                <w:sz w:val="16"/>
              </w:rPr>
              <w:t>10.677</w:t>
            </w:r>
          </w:p>
        </w:tc>
      </w:tr>
      <w:tr w:rsidR="002C6574" w14:paraId="2F9AB9A6" w14:textId="77777777">
        <w:trPr>
          <w:trHeight w:val="231"/>
        </w:trPr>
        <w:tc>
          <w:tcPr>
            <w:tcW w:w="7320" w:type="dxa"/>
          </w:tcPr>
          <w:p w14:paraId="52C7DA48" w14:textId="77777777" w:rsidR="002C6574" w:rsidRDefault="00000000">
            <w:pPr>
              <w:pStyle w:val="TableParagraph"/>
              <w:spacing w:line="211" w:lineRule="exact"/>
              <w:ind w:left="50"/>
              <w:jc w:val="left"/>
              <w:rPr>
                <w:sz w:val="16"/>
              </w:rPr>
            </w:pPr>
            <w:r>
              <w:rPr>
                <w:sz w:val="16"/>
              </w:rPr>
              <w:t>Equivalência</w:t>
            </w:r>
            <w:r>
              <w:rPr>
                <w:spacing w:val="3"/>
                <w:sz w:val="16"/>
              </w:rPr>
              <w:t xml:space="preserve"> </w:t>
            </w:r>
            <w:r>
              <w:rPr>
                <w:sz w:val="16"/>
              </w:rPr>
              <w:t>Patrimonial</w:t>
            </w:r>
            <w:r>
              <w:rPr>
                <w:spacing w:val="4"/>
                <w:sz w:val="16"/>
              </w:rPr>
              <w:t xml:space="preserve"> </w:t>
            </w:r>
            <w:r>
              <w:rPr>
                <w:sz w:val="16"/>
              </w:rPr>
              <w:t>sobre</w:t>
            </w:r>
            <w:r>
              <w:rPr>
                <w:spacing w:val="5"/>
                <w:sz w:val="16"/>
              </w:rPr>
              <w:t xml:space="preserve"> </w:t>
            </w:r>
            <w:r>
              <w:rPr>
                <w:sz w:val="16"/>
              </w:rPr>
              <w:t>Outros</w:t>
            </w:r>
            <w:r>
              <w:rPr>
                <w:spacing w:val="8"/>
                <w:sz w:val="16"/>
              </w:rPr>
              <w:t xml:space="preserve"> </w:t>
            </w:r>
            <w:r>
              <w:rPr>
                <w:sz w:val="16"/>
              </w:rPr>
              <w:t>Resultados</w:t>
            </w:r>
            <w:r>
              <w:rPr>
                <w:spacing w:val="7"/>
                <w:sz w:val="16"/>
              </w:rPr>
              <w:t xml:space="preserve"> </w:t>
            </w:r>
            <w:r>
              <w:rPr>
                <w:sz w:val="16"/>
              </w:rPr>
              <w:t>Abrangentes</w:t>
            </w:r>
            <w:r>
              <w:rPr>
                <w:spacing w:val="5"/>
                <w:sz w:val="16"/>
              </w:rPr>
              <w:t xml:space="preserve"> </w:t>
            </w:r>
            <w:r>
              <w:rPr>
                <w:sz w:val="16"/>
              </w:rPr>
              <w:t>-</w:t>
            </w:r>
            <w:r>
              <w:rPr>
                <w:spacing w:val="7"/>
                <w:sz w:val="16"/>
              </w:rPr>
              <w:t xml:space="preserve"> </w:t>
            </w:r>
            <w:r>
              <w:rPr>
                <w:spacing w:val="-2"/>
                <w:sz w:val="16"/>
              </w:rPr>
              <w:t>Coligadas</w:t>
            </w:r>
          </w:p>
        </w:tc>
        <w:tc>
          <w:tcPr>
            <w:tcW w:w="1083" w:type="dxa"/>
          </w:tcPr>
          <w:p w14:paraId="580DE654" w14:textId="77777777" w:rsidR="002C6574" w:rsidRDefault="00000000">
            <w:pPr>
              <w:pStyle w:val="TableParagraph"/>
              <w:spacing w:before="21"/>
              <w:ind w:left="-1" w:right="67"/>
              <w:rPr>
                <w:rFonts w:ascii="Arial"/>
                <w:b/>
                <w:sz w:val="16"/>
              </w:rPr>
            </w:pPr>
            <w:r>
              <w:rPr>
                <w:rFonts w:ascii="Arial"/>
                <w:b/>
                <w:spacing w:val="-10"/>
                <w:sz w:val="16"/>
              </w:rPr>
              <w:t>-</w:t>
            </w:r>
          </w:p>
        </w:tc>
        <w:tc>
          <w:tcPr>
            <w:tcW w:w="185" w:type="dxa"/>
          </w:tcPr>
          <w:p w14:paraId="284A0D1E" w14:textId="77777777" w:rsidR="002C6574" w:rsidRDefault="002C6574">
            <w:pPr>
              <w:pStyle w:val="TableParagraph"/>
              <w:jc w:val="left"/>
              <w:rPr>
                <w:rFonts w:ascii="Times New Roman"/>
                <w:sz w:val="16"/>
              </w:rPr>
            </w:pPr>
          </w:p>
        </w:tc>
        <w:tc>
          <w:tcPr>
            <w:tcW w:w="1323" w:type="dxa"/>
          </w:tcPr>
          <w:p w14:paraId="3BE60141" w14:textId="77777777" w:rsidR="002C6574" w:rsidRDefault="00000000">
            <w:pPr>
              <w:pStyle w:val="TableParagraph"/>
              <w:spacing w:before="21"/>
              <w:ind w:left="-2" w:right="66"/>
              <w:rPr>
                <w:rFonts w:ascii="Arial"/>
                <w:b/>
                <w:sz w:val="16"/>
              </w:rPr>
            </w:pPr>
            <w:r>
              <w:rPr>
                <w:rFonts w:ascii="Arial"/>
                <w:b/>
                <w:spacing w:val="-10"/>
                <w:sz w:val="16"/>
              </w:rPr>
              <w:t>-</w:t>
            </w:r>
          </w:p>
        </w:tc>
        <w:tc>
          <w:tcPr>
            <w:tcW w:w="185" w:type="dxa"/>
          </w:tcPr>
          <w:p w14:paraId="01CAEDCA" w14:textId="77777777" w:rsidR="002C6574" w:rsidRDefault="002C6574">
            <w:pPr>
              <w:pStyle w:val="TableParagraph"/>
              <w:jc w:val="left"/>
              <w:rPr>
                <w:rFonts w:ascii="Times New Roman"/>
                <w:sz w:val="16"/>
              </w:rPr>
            </w:pPr>
          </w:p>
        </w:tc>
        <w:tc>
          <w:tcPr>
            <w:tcW w:w="1342" w:type="dxa"/>
          </w:tcPr>
          <w:p w14:paraId="61110352" w14:textId="77777777" w:rsidR="002C6574" w:rsidRDefault="00000000">
            <w:pPr>
              <w:pStyle w:val="TableParagraph"/>
              <w:spacing w:line="211" w:lineRule="exact"/>
              <w:ind w:left="-2" w:right="69"/>
              <w:rPr>
                <w:sz w:val="16"/>
              </w:rPr>
            </w:pPr>
            <w:r>
              <w:rPr>
                <w:spacing w:val="-2"/>
                <w:w w:val="105"/>
                <w:sz w:val="16"/>
              </w:rPr>
              <w:t>11.053</w:t>
            </w:r>
          </w:p>
        </w:tc>
        <w:tc>
          <w:tcPr>
            <w:tcW w:w="185" w:type="dxa"/>
          </w:tcPr>
          <w:p w14:paraId="64B94FAF" w14:textId="77777777" w:rsidR="002C6574" w:rsidRDefault="002C6574">
            <w:pPr>
              <w:pStyle w:val="TableParagraph"/>
              <w:jc w:val="left"/>
              <w:rPr>
                <w:rFonts w:ascii="Times New Roman"/>
                <w:sz w:val="16"/>
              </w:rPr>
            </w:pPr>
          </w:p>
        </w:tc>
        <w:tc>
          <w:tcPr>
            <w:tcW w:w="1138" w:type="dxa"/>
          </w:tcPr>
          <w:p w14:paraId="3432D6D3" w14:textId="77777777" w:rsidR="002C6574" w:rsidRDefault="00000000">
            <w:pPr>
              <w:pStyle w:val="TableParagraph"/>
              <w:spacing w:line="211" w:lineRule="exact"/>
              <w:ind w:left="-3" w:right="72"/>
              <w:rPr>
                <w:sz w:val="16"/>
              </w:rPr>
            </w:pPr>
            <w:r>
              <w:rPr>
                <w:spacing w:val="-10"/>
                <w:w w:val="95"/>
                <w:sz w:val="16"/>
              </w:rPr>
              <w:t>-</w:t>
            </w:r>
          </w:p>
        </w:tc>
        <w:tc>
          <w:tcPr>
            <w:tcW w:w="185" w:type="dxa"/>
          </w:tcPr>
          <w:p w14:paraId="1D6825DC" w14:textId="77777777" w:rsidR="002C6574" w:rsidRDefault="002C6574">
            <w:pPr>
              <w:pStyle w:val="TableParagraph"/>
              <w:jc w:val="left"/>
              <w:rPr>
                <w:rFonts w:ascii="Times New Roman"/>
                <w:sz w:val="16"/>
              </w:rPr>
            </w:pPr>
          </w:p>
        </w:tc>
        <w:tc>
          <w:tcPr>
            <w:tcW w:w="1375" w:type="dxa"/>
          </w:tcPr>
          <w:p w14:paraId="3F812E28" w14:textId="77777777" w:rsidR="002C6574" w:rsidRDefault="00000000">
            <w:pPr>
              <w:pStyle w:val="TableParagraph"/>
              <w:spacing w:line="211" w:lineRule="exact"/>
              <w:ind w:left="-4" w:right="67"/>
              <w:rPr>
                <w:sz w:val="16"/>
              </w:rPr>
            </w:pPr>
            <w:r>
              <w:rPr>
                <w:spacing w:val="-10"/>
                <w:w w:val="95"/>
                <w:sz w:val="16"/>
              </w:rPr>
              <w:t>-</w:t>
            </w:r>
          </w:p>
        </w:tc>
        <w:tc>
          <w:tcPr>
            <w:tcW w:w="185" w:type="dxa"/>
          </w:tcPr>
          <w:p w14:paraId="59D48813" w14:textId="77777777" w:rsidR="002C6574" w:rsidRDefault="002C6574">
            <w:pPr>
              <w:pStyle w:val="TableParagraph"/>
              <w:jc w:val="left"/>
              <w:rPr>
                <w:rFonts w:ascii="Times New Roman"/>
                <w:sz w:val="16"/>
              </w:rPr>
            </w:pPr>
          </w:p>
        </w:tc>
        <w:tc>
          <w:tcPr>
            <w:tcW w:w="1181" w:type="dxa"/>
          </w:tcPr>
          <w:p w14:paraId="49752F0C" w14:textId="77777777" w:rsidR="002C6574" w:rsidRDefault="00000000">
            <w:pPr>
              <w:pStyle w:val="TableParagraph"/>
              <w:spacing w:line="211" w:lineRule="exact"/>
              <w:ind w:left="-4" w:right="85"/>
              <w:rPr>
                <w:sz w:val="16"/>
              </w:rPr>
            </w:pPr>
            <w:r>
              <w:rPr>
                <w:spacing w:val="-2"/>
                <w:w w:val="105"/>
                <w:sz w:val="16"/>
              </w:rPr>
              <w:t>11.053</w:t>
            </w:r>
          </w:p>
        </w:tc>
      </w:tr>
      <w:tr w:rsidR="002C6574" w14:paraId="2C9D8E03" w14:textId="77777777">
        <w:trPr>
          <w:trHeight w:val="438"/>
        </w:trPr>
        <w:tc>
          <w:tcPr>
            <w:tcW w:w="7320" w:type="dxa"/>
          </w:tcPr>
          <w:p w14:paraId="5DD0EA6C" w14:textId="77777777" w:rsidR="002C6574" w:rsidRDefault="00000000">
            <w:pPr>
              <w:pStyle w:val="TableParagraph"/>
              <w:spacing w:line="212" w:lineRule="exact"/>
              <w:ind w:left="50"/>
              <w:jc w:val="left"/>
              <w:rPr>
                <w:sz w:val="16"/>
              </w:rPr>
            </w:pPr>
            <w:r>
              <w:rPr>
                <w:sz w:val="16"/>
              </w:rPr>
              <w:t>Ganho</w:t>
            </w:r>
            <w:r>
              <w:rPr>
                <w:spacing w:val="5"/>
                <w:sz w:val="16"/>
              </w:rPr>
              <w:t xml:space="preserve"> </w:t>
            </w:r>
            <w:r>
              <w:rPr>
                <w:sz w:val="16"/>
              </w:rPr>
              <w:t>com</w:t>
            </w:r>
            <w:r>
              <w:rPr>
                <w:spacing w:val="4"/>
                <w:sz w:val="16"/>
              </w:rPr>
              <w:t xml:space="preserve"> </w:t>
            </w:r>
            <w:r>
              <w:rPr>
                <w:sz w:val="16"/>
              </w:rPr>
              <w:t>Instrumentos</w:t>
            </w:r>
            <w:r>
              <w:rPr>
                <w:spacing w:val="8"/>
                <w:sz w:val="16"/>
              </w:rPr>
              <w:t xml:space="preserve"> </w:t>
            </w:r>
            <w:r>
              <w:rPr>
                <w:sz w:val="16"/>
              </w:rPr>
              <w:t>Financeiros</w:t>
            </w:r>
            <w:r>
              <w:rPr>
                <w:spacing w:val="9"/>
                <w:sz w:val="16"/>
              </w:rPr>
              <w:t xml:space="preserve"> </w:t>
            </w:r>
            <w:r>
              <w:rPr>
                <w:sz w:val="16"/>
              </w:rPr>
              <w:t>-</w:t>
            </w:r>
            <w:r>
              <w:rPr>
                <w:spacing w:val="5"/>
                <w:sz w:val="16"/>
              </w:rPr>
              <w:t xml:space="preserve"> </w:t>
            </w:r>
            <w:r>
              <w:rPr>
                <w:sz w:val="16"/>
              </w:rPr>
              <w:t>Ativos</w:t>
            </w:r>
            <w:r>
              <w:rPr>
                <w:spacing w:val="8"/>
                <w:sz w:val="16"/>
              </w:rPr>
              <w:t xml:space="preserve"> </w:t>
            </w:r>
            <w:r>
              <w:rPr>
                <w:sz w:val="16"/>
              </w:rPr>
              <w:t>Financeiros</w:t>
            </w:r>
            <w:r>
              <w:rPr>
                <w:spacing w:val="8"/>
                <w:sz w:val="16"/>
              </w:rPr>
              <w:t xml:space="preserve"> </w:t>
            </w:r>
            <w:r>
              <w:rPr>
                <w:sz w:val="16"/>
              </w:rPr>
              <w:t>Disponíveis</w:t>
            </w:r>
            <w:r>
              <w:rPr>
                <w:spacing w:val="9"/>
                <w:sz w:val="16"/>
              </w:rPr>
              <w:t xml:space="preserve"> </w:t>
            </w:r>
            <w:r>
              <w:rPr>
                <w:sz w:val="16"/>
              </w:rPr>
              <w:t>para</w:t>
            </w:r>
            <w:r>
              <w:rPr>
                <w:spacing w:val="5"/>
                <w:sz w:val="16"/>
              </w:rPr>
              <w:t xml:space="preserve"> </w:t>
            </w:r>
            <w:r>
              <w:rPr>
                <w:spacing w:val="-2"/>
                <w:sz w:val="16"/>
              </w:rPr>
              <w:t>Venda</w:t>
            </w:r>
          </w:p>
        </w:tc>
        <w:tc>
          <w:tcPr>
            <w:tcW w:w="1083" w:type="dxa"/>
            <w:tcBorders>
              <w:bottom w:val="single" w:sz="4" w:space="0" w:color="000000"/>
            </w:tcBorders>
          </w:tcPr>
          <w:p w14:paraId="32BE1843" w14:textId="77777777" w:rsidR="002C6574" w:rsidRDefault="00000000">
            <w:pPr>
              <w:pStyle w:val="TableParagraph"/>
              <w:spacing w:before="22"/>
              <w:ind w:left="-1" w:right="67"/>
              <w:rPr>
                <w:rFonts w:ascii="Arial"/>
                <w:b/>
                <w:sz w:val="16"/>
              </w:rPr>
            </w:pPr>
            <w:r>
              <w:rPr>
                <w:rFonts w:ascii="Arial"/>
                <w:b/>
                <w:spacing w:val="-10"/>
                <w:sz w:val="16"/>
              </w:rPr>
              <w:t>-</w:t>
            </w:r>
          </w:p>
        </w:tc>
        <w:tc>
          <w:tcPr>
            <w:tcW w:w="185" w:type="dxa"/>
          </w:tcPr>
          <w:p w14:paraId="41B592D0" w14:textId="77777777" w:rsidR="002C6574" w:rsidRDefault="002C6574">
            <w:pPr>
              <w:pStyle w:val="TableParagraph"/>
              <w:jc w:val="left"/>
              <w:rPr>
                <w:rFonts w:ascii="Times New Roman"/>
                <w:sz w:val="16"/>
              </w:rPr>
            </w:pPr>
          </w:p>
        </w:tc>
        <w:tc>
          <w:tcPr>
            <w:tcW w:w="1323" w:type="dxa"/>
            <w:tcBorders>
              <w:bottom w:val="single" w:sz="4" w:space="0" w:color="000000"/>
            </w:tcBorders>
          </w:tcPr>
          <w:p w14:paraId="6DCE128C" w14:textId="77777777" w:rsidR="002C6574" w:rsidRDefault="00000000">
            <w:pPr>
              <w:pStyle w:val="TableParagraph"/>
              <w:spacing w:before="22"/>
              <w:ind w:left="-2" w:right="66"/>
              <w:rPr>
                <w:rFonts w:ascii="Arial"/>
                <w:b/>
                <w:sz w:val="16"/>
              </w:rPr>
            </w:pPr>
            <w:r>
              <w:rPr>
                <w:rFonts w:ascii="Arial"/>
                <w:b/>
                <w:spacing w:val="-10"/>
                <w:sz w:val="16"/>
              </w:rPr>
              <w:t>-</w:t>
            </w:r>
          </w:p>
        </w:tc>
        <w:tc>
          <w:tcPr>
            <w:tcW w:w="185" w:type="dxa"/>
          </w:tcPr>
          <w:p w14:paraId="15AA6EA9" w14:textId="77777777" w:rsidR="002C6574" w:rsidRDefault="002C6574">
            <w:pPr>
              <w:pStyle w:val="TableParagraph"/>
              <w:jc w:val="left"/>
              <w:rPr>
                <w:rFonts w:ascii="Times New Roman"/>
                <w:sz w:val="16"/>
              </w:rPr>
            </w:pPr>
          </w:p>
        </w:tc>
        <w:tc>
          <w:tcPr>
            <w:tcW w:w="1342" w:type="dxa"/>
            <w:tcBorders>
              <w:bottom w:val="single" w:sz="4" w:space="0" w:color="000000"/>
            </w:tcBorders>
          </w:tcPr>
          <w:p w14:paraId="46640F27" w14:textId="77777777" w:rsidR="002C6574" w:rsidRDefault="00000000">
            <w:pPr>
              <w:pStyle w:val="TableParagraph"/>
              <w:spacing w:line="212" w:lineRule="exact"/>
              <w:ind w:left="-2" w:right="69"/>
              <w:rPr>
                <w:sz w:val="16"/>
              </w:rPr>
            </w:pPr>
            <w:r>
              <w:rPr>
                <w:spacing w:val="-4"/>
                <w:w w:val="105"/>
                <w:sz w:val="16"/>
              </w:rPr>
              <w:t>(376)</w:t>
            </w:r>
          </w:p>
        </w:tc>
        <w:tc>
          <w:tcPr>
            <w:tcW w:w="185" w:type="dxa"/>
          </w:tcPr>
          <w:p w14:paraId="07A62922" w14:textId="77777777" w:rsidR="002C6574" w:rsidRDefault="002C6574">
            <w:pPr>
              <w:pStyle w:val="TableParagraph"/>
              <w:jc w:val="left"/>
              <w:rPr>
                <w:rFonts w:ascii="Times New Roman"/>
                <w:sz w:val="16"/>
              </w:rPr>
            </w:pPr>
          </w:p>
        </w:tc>
        <w:tc>
          <w:tcPr>
            <w:tcW w:w="1138" w:type="dxa"/>
            <w:tcBorders>
              <w:bottom w:val="single" w:sz="4" w:space="0" w:color="000000"/>
            </w:tcBorders>
          </w:tcPr>
          <w:p w14:paraId="0C84A84A" w14:textId="77777777" w:rsidR="002C6574" w:rsidRDefault="00000000">
            <w:pPr>
              <w:pStyle w:val="TableParagraph"/>
              <w:spacing w:line="212" w:lineRule="exact"/>
              <w:ind w:left="-3" w:right="72"/>
              <w:rPr>
                <w:sz w:val="16"/>
              </w:rPr>
            </w:pPr>
            <w:r>
              <w:rPr>
                <w:spacing w:val="-10"/>
                <w:w w:val="95"/>
                <w:sz w:val="16"/>
              </w:rPr>
              <w:t>-</w:t>
            </w:r>
          </w:p>
        </w:tc>
        <w:tc>
          <w:tcPr>
            <w:tcW w:w="185" w:type="dxa"/>
          </w:tcPr>
          <w:p w14:paraId="5838D56E" w14:textId="77777777" w:rsidR="002C6574" w:rsidRDefault="002C6574">
            <w:pPr>
              <w:pStyle w:val="TableParagraph"/>
              <w:jc w:val="left"/>
              <w:rPr>
                <w:rFonts w:ascii="Times New Roman"/>
                <w:sz w:val="16"/>
              </w:rPr>
            </w:pPr>
          </w:p>
        </w:tc>
        <w:tc>
          <w:tcPr>
            <w:tcW w:w="1375" w:type="dxa"/>
            <w:tcBorders>
              <w:bottom w:val="single" w:sz="4" w:space="0" w:color="000000"/>
            </w:tcBorders>
          </w:tcPr>
          <w:p w14:paraId="1760BFCB" w14:textId="77777777" w:rsidR="002C6574" w:rsidRDefault="00000000">
            <w:pPr>
              <w:pStyle w:val="TableParagraph"/>
              <w:spacing w:line="212" w:lineRule="exact"/>
              <w:ind w:left="-4" w:right="67"/>
              <w:rPr>
                <w:sz w:val="16"/>
              </w:rPr>
            </w:pPr>
            <w:r>
              <w:rPr>
                <w:spacing w:val="-10"/>
                <w:w w:val="95"/>
                <w:sz w:val="16"/>
              </w:rPr>
              <w:t>-</w:t>
            </w:r>
          </w:p>
        </w:tc>
        <w:tc>
          <w:tcPr>
            <w:tcW w:w="185" w:type="dxa"/>
          </w:tcPr>
          <w:p w14:paraId="75AA989F" w14:textId="77777777" w:rsidR="002C6574" w:rsidRDefault="002C6574">
            <w:pPr>
              <w:pStyle w:val="TableParagraph"/>
              <w:jc w:val="left"/>
              <w:rPr>
                <w:rFonts w:ascii="Times New Roman"/>
                <w:sz w:val="16"/>
              </w:rPr>
            </w:pPr>
          </w:p>
        </w:tc>
        <w:tc>
          <w:tcPr>
            <w:tcW w:w="1181" w:type="dxa"/>
            <w:tcBorders>
              <w:bottom w:val="single" w:sz="4" w:space="0" w:color="000000"/>
            </w:tcBorders>
          </w:tcPr>
          <w:p w14:paraId="2CAE0FB6" w14:textId="77777777" w:rsidR="002C6574" w:rsidRDefault="00000000">
            <w:pPr>
              <w:pStyle w:val="TableParagraph"/>
              <w:spacing w:line="212" w:lineRule="exact"/>
              <w:ind w:left="-4" w:right="68"/>
              <w:rPr>
                <w:sz w:val="16"/>
              </w:rPr>
            </w:pPr>
            <w:r>
              <w:rPr>
                <w:spacing w:val="-4"/>
                <w:w w:val="105"/>
                <w:sz w:val="16"/>
              </w:rPr>
              <w:t>(376)</w:t>
            </w:r>
          </w:p>
        </w:tc>
      </w:tr>
      <w:tr w:rsidR="002C6574" w14:paraId="4F3AB72D" w14:textId="77777777">
        <w:trPr>
          <w:trHeight w:val="231"/>
        </w:trPr>
        <w:tc>
          <w:tcPr>
            <w:tcW w:w="7320" w:type="dxa"/>
          </w:tcPr>
          <w:p w14:paraId="335DDB36" w14:textId="77777777" w:rsidR="002C6574" w:rsidRDefault="00000000">
            <w:pPr>
              <w:pStyle w:val="TableParagraph"/>
              <w:spacing w:before="46" w:line="165" w:lineRule="exact"/>
              <w:ind w:left="50"/>
              <w:jc w:val="left"/>
              <w:rPr>
                <w:rFonts w:ascii="Arial"/>
                <w:b/>
                <w:sz w:val="16"/>
              </w:rPr>
            </w:pPr>
            <w:r>
              <w:rPr>
                <w:rFonts w:ascii="Arial"/>
                <w:b/>
                <w:sz w:val="16"/>
              </w:rPr>
              <w:t>Saldo</w:t>
            </w:r>
            <w:r>
              <w:rPr>
                <w:rFonts w:ascii="Arial"/>
                <w:b/>
                <w:spacing w:val="-4"/>
                <w:sz w:val="16"/>
              </w:rPr>
              <w:t xml:space="preserve"> </w:t>
            </w:r>
            <w:r>
              <w:rPr>
                <w:rFonts w:ascii="Arial"/>
                <w:b/>
                <w:sz w:val="16"/>
              </w:rPr>
              <w:t>em</w:t>
            </w:r>
            <w:r>
              <w:rPr>
                <w:rFonts w:ascii="Arial"/>
                <w:b/>
                <w:spacing w:val="1"/>
                <w:sz w:val="16"/>
              </w:rPr>
              <w:t xml:space="preserve"> </w:t>
            </w:r>
            <w:r>
              <w:rPr>
                <w:rFonts w:ascii="Arial"/>
                <w:b/>
                <w:sz w:val="16"/>
              </w:rPr>
              <w:t>31</w:t>
            </w:r>
            <w:r>
              <w:rPr>
                <w:rFonts w:ascii="Arial"/>
                <w:b/>
                <w:spacing w:val="-4"/>
                <w:sz w:val="16"/>
              </w:rPr>
              <w:t xml:space="preserve"> </w:t>
            </w:r>
            <w:r>
              <w:rPr>
                <w:rFonts w:ascii="Arial"/>
                <w:b/>
                <w:sz w:val="16"/>
              </w:rPr>
              <w:t>de</w:t>
            </w:r>
            <w:r>
              <w:rPr>
                <w:rFonts w:ascii="Arial"/>
                <w:b/>
                <w:spacing w:val="-2"/>
                <w:sz w:val="16"/>
              </w:rPr>
              <w:t xml:space="preserve"> </w:t>
            </w:r>
            <w:r>
              <w:rPr>
                <w:rFonts w:ascii="Arial"/>
                <w:b/>
                <w:sz w:val="16"/>
              </w:rPr>
              <w:t>dezembro</w:t>
            </w:r>
            <w:r>
              <w:rPr>
                <w:rFonts w:ascii="Arial"/>
                <w:b/>
                <w:spacing w:val="-3"/>
                <w:sz w:val="16"/>
              </w:rPr>
              <w:t xml:space="preserve"> </w:t>
            </w:r>
            <w:r>
              <w:rPr>
                <w:rFonts w:ascii="Arial"/>
                <w:b/>
                <w:sz w:val="16"/>
              </w:rPr>
              <w:t>de</w:t>
            </w:r>
            <w:r>
              <w:rPr>
                <w:rFonts w:ascii="Arial"/>
                <w:b/>
                <w:spacing w:val="-2"/>
                <w:sz w:val="16"/>
              </w:rPr>
              <w:t xml:space="preserve"> </w:t>
            </w:r>
            <w:r>
              <w:rPr>
                <w:rFonts w:ascii="Arial"/>
                <w:b/>
                <w:spacing w:val="-4"/>
                <w:sz w:val="16"/>
              </w:rPr>
              <w:t>2024</w:t>
            </w:r>
          </w:p>
        </w:tc>
        <w:tc>
          <w:tcPr>
            <w:tcW w:w="1083" w:type="dxa"/>
            <w:tcBorders>
              <w:top w:val="single" w:sz="4" w:space="0" w:color="000000"/>
            </w:tcBorders>
          </w:tcPr>
          <w:p w14:paraId="32AF8374" w14:textId="77777777" w:rsidR="002C6574" w:rsidRDefault="00000000">
            <w:pPr>
              <w:pStyle w:val="TableParagraph"/>
              <w:tabs>
                <w:tab w:val="left" w:pos="301"/>
              </w:tabs>
              <w:spacing w:before="46" w:line="165" w:lineRule="exact"/>
              <w:ind w:left="-1" w:right="68"/>
              <w:rPr>
                <w:rFonts w:ascii="Arial"/>
                <w:b/>
                <w:sz w:val="16"/>
              </w:rPr>
            </w:pPr>
            <w:r>
              <w:rPr>
                <w:rFonts w:ascii="Times New Roman"/>
                <w:sz w:val="16"/>
                <w:u w:val="double"/>
              </w:rPr>
              <w:tab/>
            </w:r>
            <w:r>
              <w:rPr>
                <w:rFonts w:ascii="Arial"/>
                <w:b/>
                <w:spacing w:val="-2"/>
                <w:sz w:val="16"/>
                <w:u w:val="double"/>
              </w:rPr>
              <w:t>3.474.498</w:t>
            </w:r>
          </w:p>
        </w:tc>
        <w:tc>
          <w:tcPr>
            <w:tcW w:w="185" w:type="dxa"/>
          </w:tcPr>
          <w:p w14:paraId="1252D501" w14:textId="77777777" w:rsidR="002C6574" w:rsidRDefault="002C6574">
            <w:pPr>
              <w:pStyle w:val="TableParagraph"/>
              <w:jc w:val="left"/>
              <w:rPr>
                <w:rFonts w:ascii="Times New Roman"/>
                <w:sz w:val="16"/>
              </w:rPr>
            </w:pPr>
          </w:p>
        </w:tc>
        <w:tc>
          <w:tcPr>
            <w:tcW w:w="1323" w:type="dxa"/>
            <w:tcBorders>
              <w:top w:val="single" w:sz="4" w:space="0" w:color="000000"/>
            </w:tcBorders>
          </w:tcPr>
          <w:p w14:paraId="0EC2555E" w14:textId="77777777" w:rsidR="002C6574" w:rsidRDefault="00000000">
            <w:pPr>
              <w:pStyle w:val="TableParagraph"/>
              <w:tabs>
                <w:tab w:val="left" w:pos="437"/>
              </w:tabs>
              <w:spacing w:before="46" w:line="165" w:lineRule="exact"/>
              <w:ind w:left="-2" w:right="66"/>
              <w:rPr>
                <w:rFonts w:ascii="Arial"/>
                <w:b/>
                <w:sz w:val="16"/>
              </w:rPr>
            </w:pPr>
            <w:r>
              <w:rPr>
                <w:rFonts w:ascii="Times New Roman"/>
                <w:sz w:val="16"/>
                <w:u w:val="double"/>
              </w:rPr>
              <w:tab/>
            </w:r>
            <w:r>
              <w:rPr>
                <w:rFonts w:ascii="Arial"/>
                <w:b/>
                <w:spacing w:val="-2"/>
                <w:sz w:val="16"/>
                <w:u w:val="double"/>
              </w:rPr>
              <w:t>(2.139.784)</w:t>
            </w:r>
          </w:p>
        </w:tc>
        <w:tc>
          <w:tcPr>
            <w:tcW w:w="185" w:type="dxa"/>
          </w:tcPr>
          <w:p w14:paraId="5051ADFF" w14:textId="77777777" w:rsidR="002C6574" w:rsidRDefault="002C6574">
            <w:pPr>
              <w:pStyle w:val="TableParagraph"/>
              <w:jc w:val="left"/>
              <w:rPr>
                <w:rFonts w:ascii="Times New Roman"/>
                <w:sz w:val="16"/>
              </w:rPr>
            </w:pPr>
          </w:p>
        </w:tc>
        <w:tc>
          <w:tcPr>
            <w:tcW w:w="1342" w:type="dxa"/>
            <w:tcBorders>
              <w:top w:val="single" w:sz="4" w:space="0" w:color="000000"/>
            </w:tcBorders>
          </w:tcPr>
          <w:p w14:paraId="688CE7FA" w14:textId="77777777" w:rsidR="002C6574" w:rsidRDefault="00000000">
            <w:pPr>
              <w:pStyle w:val="TableParagraph"/>
              <w:tabs>
                <w:tab w:val="left" w:pos="780"/>
              </w:tabs>
              <w:spacing w:before="46" w:line="165" w:lineRule="exact"/>
              <w:ind w:left="-2" w:right="69"/>
              <w:rPr>
                <w:rFonts w:ascii="Arial"/>
                <w:b/>
                <w:sz w:val="16"/>
              </w:rPr>
            </w:pPr>
            <w:r>
              <w:rPr>
                <w:rFonts w:ascii="Times New Roman"/>
                <w:sz w:val="16"/>
                <w:u w:val="double"/>
              </w:rPr>
              <w:tab/>
            </w:r>
            <w:r>
              <w:rPr>
                <w:rFonts w:ascii="Arial"/>
                <w:b/>
                <w:spacing w:val="-2"/>
                <w:sz w:val="16"/>
                <w:u w:val="double"/>
              </w:rPr>
              <w:t>35.153</w:t>
            </w:r>
          </w:p>
        </w:tc>
        <w:tc>
          <w:tcPr>
            <w:tcW w:w="185" w:type="dxa"/>
          </w:tcPr>
          <w:p w14:paraId="00AC4195" w14:textId="77777777" w:rsidR="002C6574" w:rsidRDefault="002C6574">
            <w:pPr>
              <w:pStyle w:val="TableParagraph"/>
              <w:jc w:val="left"/>
              <w:rPr>
                <w:rFonts w:ascii="Times New Roman"/>
                <w:sz w:val="16"/>
              </w:rPr>
            </w:pPr>
          </w:p>
        </w:tc>
        <w:tc>
          <w:tcPr>
            <w:tcW w:w="1138" w:type="dxa"/>
            <w:tcBorders>
              <w:top w:val="single" w:sz="4" w:space="0" w:color="000000"/>
            </w:tcBorders>
          </w:tcPr>
          <w:p w14:paraId="6B5CA9D9" w14:textId="77777777" w:rsidR="002C6574" w:rsidRDefault="00000000">
            <w:pPr>
              <w:pStyle w:val="TableParagraph"/>
              <w:tabs>
                <w:tab w:val="left" w:pos="693"/>
              </w:tabs>
              <w:spacing w:before="46" w:line="165" w:lineRule="exact"/>
              <w:ind w:left="-3" w:right="70"/>
              <w:rPr>
                <w:rFonts w:ascii="Arial"/>
                <w:b/>
                <w:sz w:val="16"/>
              </w:rPr>
            </w:pPr>
            <w:r>
              <w:rPr>
                <w:rFonts w:ascii="Times New Roman"/>
                <w:sz w:val="16"/>
                <w:u w:val="double"/>
              </w:rPr>
              <w:tab/>
            </w:r>
            <w:r>
              <w:rPr>
                <w:rFonts w:ascii="Arial"/>
                <w:b/>
                <w:spacing w:val="-2"/>
                <w:sz w:val="16"/>
                <w:u w:val="double"/>
              </w:rPr>
              <w:t>(111)</w:t>
            </w:r>
          </w:p>
        </w:tc>
        <w:tc>
          <w:tcPr>
            <w:tcW w:w="185" w:type="dxa"/>
          </w:tcPr>
          <w:p w14:paraId="5CECD6ED" w14:textId="77777777" w:rsidR="002C6574" w:rsidRDefault="002C6574">
            <w:pPr>
              <w:pStyle w:val="TableParagraph"/>
              <w:jc w:val="left"/>
              <w:rPr>
                <w:rFonts w:ascii="Times New Roman"/>
                <w:sz w:val="16"/>
              </w:rPr>
            </w:pPr>
          </w:p>
        </w:tc>
        <w:tc>
          <w:tcPr>
            <w:tcW w:w="1375" w:type="dxa"/>
            <w:tcBorders>
              <w:top w:val="single" w:sz="4" w:space="0" w:color="000000"/>
            </w:tcBorders>
          </w:tcPr>
          <w:p w14:paraId="04FE3976" w14:textId="77777777" w:rsidR="002C6574" w:rsidRDefault="00000000">
            <w:pPr>
              <w:pStyle w:val="TableParagraph"/>
              <w:tabs>
                <w:tab w:val="left" w:pos="723"/>
              </w:tabs>
              <w:spacing w:before="46" w:line="165" w:lineRule="exact"/>
              <w:ind w:left="-4" w:right="70"/>
              <w:rPr>
                <w:rFonts w:ascii="Arial"/>
                <w:b/>
                <w:sz w:val="16"/>
              </w:rPr>
            </w:pPr>
            <w:r>
              <w:rPr>
                <w:rFonts w:ascii="Times New Roman"/>
                <w:sz w:val="16"/>
                <w:u w:val="double"/>
              </w:rPr>
              <w:tab/>
            </w:r>
            <w:r>
              <w:rPr>
                <w:rFonts w:ascii="Arial"/>
                <w:b/>
                <w:spacing w:val="-2"/>
                <w:sz w:val="16"/>
                <w:u w:val="double"/>
              </w:rPr>
              <w:t>112.256</w:t>
            </w:r>
          </w:p>
        </w:tc>
        <w:tc>
          <w:tcPr>
            <w:tcW w:w="185" w:type="dxa"/>
          </w:tcPr>
          <w:p w14:paraId="27EF24E8" w14:textId="77777777" w:rsidR="002C6574" w:rsidRDefault="002C6574">
            <w:pPr>
              <w:pStyle w:val="TableParagraph"/>
              <w:jc w:val="left"/>
              <w:rPr>
                <w:rFonts w:ascii="Times New Roman"/>
                <w:sz w:val="16"/>
              </w:rPr>
            </w:pPr>
          </w:p>
        </w:tc>
        <w:tc>
          <w:tcPr>
            <w:tcW w:w="1181" w:type="dxa"/>
            <w:tcBorders>
              <w:top w:val="single" w:sz="4" w:space="0" w:color="000000"/>
            </w:tcBorders>
          </w:tcPr>
          <w:p w14:paraId="1C67A53C" w14:textId="77777777" w:rsidR="002C6574" w:rsidRDefault="00000000">
            <w:pPr>
              <w:pStyle w:val="TableParagraph"/>
              <w:tabs>
                <w:tab w:val="left" w:pos="399"/>
              </w:tabs>
              <w:spacing w:before="46" w:line="165" w:lineRule="exact"/>
              <w:ind w:left="-4" w:right="68"/>
              <w:rPr>
                <w:rFonts w:ascii="Arial"/>
                <w:b/>
                <w:sz w:val="16"/>
              </w:rPr>
            </w:pPr>
            <w:r>
              <w:rPr>
                <w:rFonts w:ascii="Times New Roman"/>
                <w:sz w:val="16"/>
                <w:u w:val="double"/>
              </w:rPr>
              <w:tab/>
            </w:r>
            <w:r>
              <w:rPr>
                <w:rFonts w:ascii="Arial"/>
                <w:b/>
                <w:spacing w:val="-2"/>
                <w:sz w:val="16"/>
                <w:u w:val="double"/>
              </w:rPr>
              <w:t>1.482.012</w:t>
            </w:r>
          </w:p>
        </w:tc>
      </w:tr>
    </w:tbl>
    <w:p w14:paraId="1A922506" w14:textId="77777777" w:rsidR="002C6574" w:rsidRDefault="002C6574">
      <w:pPr>
        <w:pStyle w:val="Corpodetexto"/>
        <w:rPr>
          <w:rFonts w:ascii="Arial"/>
          <w:b/>
          <w:sz w:val="20"/>
        </w:rPr>
      </w:pPr>
    </w:p>
    <w:p w14:paraId="73A30B54" w14:textId="77777777" w:rsidR="002C6574" w:rsidRDefault="002C6574">
      <w:pPr>
        <w:pStyle w:val="Corpodetexto"/>
        <w:spacing w:before="106"/>
        <w:rPr>
          <w:rFonts w:ascii="Arial"/>
          <w:b/>
          <w:sz w:val="20"/>
        </w:rPr>
      </w:pPr>
    </w:p>
    <w:tbl>
      <w:tblPr>
        <w:tblStyle w:val="TableNormal"/>
        <w:tblW w:w="0" w:type="auto"/>
        <w:tblInd w:w="27" w:type="dxa"/>
        <w:tblLayout w:type="fixed"/>
        <w:tblLook w:val="01E0" w:firstRow="1" w:lastRow="1" w:firstColumn="1" w:lastColumn="1" w:noHBand="0" w:noVBand="0"/>
      </w:tblPr>
      <w:tblGrid>
        <w:gridCol w:w="7320"/>
        <w:gridCol w:w="1083"/>
        <w:gridCol w:w="185"/>
        <w:gridCol w:w="1323"/>
        <w:gridCol w:w="185"/>
        <w:gridCol w:w="1342"/>
        <w:gridCol w:w="185"/>
        <w:gridCol w:w="1138"/>
        <w:gridCol w:w="185"/>
        <w:gridCol w:w="1375"/>
        <w:gridCol w:w="185"/>
        <w:gridCol w:w="1181"/>
      </w:tblGrid>
      <w:tr w:rsidR="002C6574" w14:paraId="02A203E4" w14:textId="77777777">
        <w:trPr>
          <w:trHeight w:val="327"/>
        </w:trPr>
        <w:tc>
          <w:tcPr>
            <w:tcW w:w="7320" w:type="dxa"/>
          </w:tcPr>
          <w:p w14:paraId="50F67F8A" w14:textId="77777777" w:rsidR="002C6574" w:rsidRDefault="00000000">
            <w:pPr>
              <w:pStyle w:val="TableParagraph"/>
              <w:spacing w:line="179" w:lineRule="exact"/>
              <w:ind w:left="50"/>
              <w:jc w:val="left"/>
              <w:rPr>
                <w:rFonts w:ascii="Arial"/>
                <w:b/>
                <w:sz w:val="16"/>
              </w:rPr>
            </w:pPr>
            <w:r>
              <w:rPr>
                <w:rFonts w:ascii="Arial"/>
                <w:b/>
                <w:sz w:val="16"/>
              </w:rPr>
              <w:t>Saldo</w:t>
            </w:r>
            <w:r>
              <w:rPr>
                <w:rFonts w:ascii="Arial"/>
                <w:b/>
                <w:spacing w:val="-4"/>
                <w:sz w:val="16"/>
              </w:rPr>
              <w:t xml:space="preserve"> </w:t>
            </w:r>
            <w:r>
              <w:rPr>
                <w:rFonts w:ascii="Arial"/>
                <w:b/>
                <w:sz w:val="16"/>
              </w:rPr>
              <w:t>em</w:t>
            </w:r>
            <w:r>
              <w:rPr>
                <w:rFonts w:ascii="Arial"/>
                <w:b/>
                <w:spacing w:val="1"/>
                <w:sz w:val="16"/>
              </w:rPr>
              <w:t xml:space="preserve"> </w:t>
            </w:r>
            <w:r>
              <w:rPr>
                <w:rFonts w:ascii="Arial"/>
                <w:b/>
                <w:sz w:val="16"/>
              </w:rPr>
              <w:t>31</w:t>
            </w:r>
            <w:r>
              <w:rPr>
                <w:rFonts w:ascii="Arial"/>
                <w:b/>
                <w:spacing w:val="-4"/>
                <w:sz w:val="16"/>
              </w:rPr>
              <w:t xml:space="preserve"> </w:t>
            </w:r>
            <w:r>
              <w:rPr>
                <w:rFonts w:ascii="Arial"/>
                <w:b/>
                <w:sz w:val="16"/>
              </w:rPr>
              <w:t>de</w:t>
            </w:r>
            <w:r>
              <w:rPr>
                <w:rFonts w:ascii="Arial"/>
                <w:b/>
                <w:spacing w:val="-2"/>
                <w:sz w:val="16"/>
              </w:rPr>
              <w:t xml:space="preserve"> </w:t>
            </w:r>
            <w:r>
              <w:rPr>
                <w:rFonts w:ascii="Arial"/>
                <w:b/>
                <w:sz w:val="16"/>
              </w:rPr>
              <w:t>dezembro</w:t>
            </w:r>
            <w:r>
              <w:rPr>
                <w:rFonts w:ascii="Arial"/>
                <w:b/>
                <w:spacing w:val="-3"/>
                <w:sz w:val="16"/>
              </w:rPr>
              <w:t xml:space="preserve"> </w:t>
            </w:r>
            <w:r>
              <w:rPr>
                <w:rFonts w:ascii="Arial"/>
                <w:b/>
                <w:sz w:val="16"/>
              </w:rPr>
              <w:t>de</w:t>
            </w:r>
            <w:r>
              <w:rPr>
                <w:rFonts w:ascii="Arial"/>
                <w:b/>
                <w:spacing w:val="-2"/>
                <w:sz w:val="16"/>
              </w:rPr>
              <w:t xml:space="preserve"> </w:t>
            </w:r>
            <w:r>
              <w:rPr>
                <w:rFonts w:ascii="Arial"/>
                <w:b/>
                <w:spacing w:val="-4"/>
                <w:sz w:val="16"/>
              </w:rPr>
              <w:t>2024</w:t>
            </w:r>
          </w:p>
        </w:tc>
        <w:tc>
          <w:tcPr>
            <w:tcW w:w="1083" w:type="dxa"/>
          </w:tcPr>
          <w:p w14:paraId="1B87ABE0" w14:textId="77777777" w:rsidR="002C6574" w:rsidRDefault="00000000">
            <w:pPr>
              <w:pStyle w:val="TableParagraph"/>
              <w:tabs>
                <w:tab w:val="left" w:pos="301"/>
              </w:tabs>
              <w:spacing w:line="179" w:lineRule="exact"/>
              <w:ind w:left="-1" w:right="68"/>
              <w:rPr>
                <w:rFonts w:ascii="Arial"/>
                <w:b/>
                <w:sz w:val="16"/>
              </w:rPr>
            </w:pPr>
            <w:r>
              <w:rPr>
                <w:rFonts w:ascii="Times New Roman"/>
                <w:sz w:val="16"/>
                <w:u w:val="single"/>
              </w:rPr>
              <w:tab/>
            </w:r>
            <w:r>
              <w:rPr>
                <w:rFonts w:ascii="Arial"/>
                <w:b/>
                <w:spacing w:val="-2"/>
                <w:sz w:val="16"/>
                <w:u w:val="single"/>
              </w:rPr>
              <w:t>3.474.498</w:t>
            </w:r>
          </w:p>
        </w:tc>
        <w:tc>
          <w:tcPr>
            <w:tcW w:w="185" w:type="dxa"/>
          </w:tcPr>
          <w:p w14:paraId="3ED96294" w14:textId="77777777" w:rsidR="002C6574" w:rsidRDefault="002C6574">
            <w:pPr>
              <w:pStyle w:val="TableParagraph"/>
              <w:jc w:val="left"/>
              <w:rPr>
                <w:rFonts w:ascii="Times New Roman"/>
                <w:sz w:val="16"/>
              </w:rPr>
            </w:pPr>
          </w:p>
        </w:tc>
        <w:tc>
          <w:tcPr>
            <w:tcW w:w="1323" w:type="dxa"/>
          </w:tcPr>
          <w:p w14:paraId="34A79611" w14:textId="77777777" w:rsidR="002C6574" w:rsidRDefault="00000000">
            <w:pPr>
              <w:pStyle w:val="TableParagraph"/>
              <w:tabs>
                <w:tab w:val="left" w:pos="437"/>
              </w:tabs>
              <w:spacing w:line="179" w:lineRule="exact"/>
              <w:ind w:left="-2" w:right="66"/>
              <w:rPr>
                <w:rFonts w:ascii="Arial"/>
                <w:b/>
                <w:sz w:val="16"/>
              </w:rPr>
            </w:pPr>
            <w:r>
              <w:rPr>
                <w:rFonts w:ascii="Times New Roman"/>
                <w:sz w:val="16"/>
                <w:u w:val="single"/>
              </w:rPr>
              <w:tab/>
            </w:r>
            <w:r>
              <w:rPr>
                <w:rFonts w:ascii="Arial"/>
                <w:b/>
                <w:spacing w:val="-2"/>
                <w:sz w:val="16"/>
                <w:u w:val="single"/>
              </w:rPr>
              <w:t>(2.139.784)</w:t>
            </w:r>
          </w:p>
        </w:tc>
        <w:tc>
          <w:tcPr>
            <w:tcW w:w="185" w:type="dxa"/>
          </w:tcPr>
          <w:p w14:paraId="1C34DCE6" w14:textId="77777777" w:rsidR="002C6574" w:rsidRDefault="002C6574">
            <w:pPr>
              <w:pStyle w:val="TableParagraph"/>
              <w:jc w:val="left"/>
              <w:rPr>
                <w:rFonts w:ascii="Times New Roman"/>
                <w:sz w:val="16"/>
              </w:rPr>
            </w:pPr>
          </w:p>
        </w:tc>
        <w:tc>
          <w:tcPr>
            <w:tcW w:w="1342" w:type="dxa"/>
          </w:tcPr>
          <w:p w14:paraId="330B2B69" w14:textId="77777777" w:rsidR="002C6574" w:rsidRDefault="00000000">
            <w:pPr>
              <w:pStyle w:val="TableParagraph"/>
              <w:tabs>
                <w:tab w:val="left" w:pos="780"/>
              </w:tabs>
              <w:spacing w:line="179" w:lineRule="exact"/>
              <w:ind w:left="-2" w:right="69"/>
              <w:rPr>
                <w:rFonts w:ascii="Arial"/>
                <w:b/>
                <w:sz w:val="16"/>
              </w:rPr>
            </w:pPr>
            <w:r>
              <w:rPr>
                <w:rFonts w:ascii="Times New Roman"/>
                <w:sz w:val="16"/>
                <w:u w:val="single"/>
              </w:rPr>
              <w:tab/>
            </w:r>
            <w:r>
              <w:rPr>
                <w:rFonts w:ascii="Arial"/>
                <w:b/>
                <w:spacing w:val="-2"/>
                <w:sz w:val="16"/>
                <w:u w:val="single"/>
              </w:rPr>
              <w:t>35.153</w:t>
            </w:r>
          </w:p>
        </w:tc>
        <w:tc>
          <w:tcPr>
            <w:tcW w:w="185" w:type="dxa"/>
          </w:tcPr>
          <w:p w14:paraId="4E8D3C67" w14:textId="77777777" w:rsidR="002C6574" w:rsidRDefault="002C6574">
            <w:pPr>
              <w:pStyle w:val="TableParagraph"/>
              <w:jc w:val="left"/>
              <w:rPr>
                <w:rFonts w:ascii="Times New Roman"/>
                <w:sz w:val="16"/>
              </w:rPr>
            </w:pPr>
          </w:p>
        </w:tc>
        <w:tc>
          <w:tcPr>
            <w:tcW w:w="1138" w:type="dxa"/>
          </w:tcPr>
          <w:p w14:paraId="1B530C6B" w14:textId="77777777" w:rsidR="002C6574" w:rsidRDefault="00000000">
            <w:pPr>
              <w:pStyle w:val="TableParagraph"/>
              <w:tabs>
                <w:tab w:val="left" w:pos="693"/>
              </w:tabs>
              <w:spacing w:line="179" w:lineRule="exact"/>
              <w:ind w:left="-3" w:right="70"/>
              <w:rPr>
                <w:rFonts w:ascii="Arial"/>
                <w:b/>
                <w:sz w:val="16"/>
              </w:rPr>
            </w:pPr>
            <w:r>
              <w:rPr>
                <w:rFonts w:ascii="Times New Roman"/>
                <w:sz w:val="16"/>
                <w:u w:val="single"/>
              </w:rPr>
              <w:tab/>
            </w:r>
            <w:r>
              <w:rPr>
                <w:rFonts w:ascii="Arial"/>
                <w:b/>
                <w:spacing w:val="-2"/>
                <w:sz w:val="16"/>
                <w:u w:val="single"/>
              </w:rPr>
              <w:t>(111)</w:t>
            </w:r>
          </w:p>
        </w:tc>
        <w:tc>
          <w:tcPr>
            <w:tcW w:w="185" w:type="dxa"/>
          </w:tcPr>
          <w:p w14:paraId="5C1025E8" w14:textId="77777777" w:rsidR="002C6574" w:rsidRDefault="002C6574">
            <w:pPr>
              <w:pStyle w:val="TableParagraph"/>
              <w:jc w:val="left"/>
              <w:rPr>
                <w:rFonts w:ascii="Times New Roman"/>
                <w:sz w:val="16"/>
              </w:rPr>
            </w:pPr>
          </w:p>
        </w:tc>
        <w:tc>
          <w:tcPr>
            <w:tcW w:w="1375" w:type="dxa"/>
          </w:tcPr>
          <w:p w14:paraId="728B2898" w14:textId="77777777" w:rsidR="002C6574" w:rsidRDefault="00000000">
            <w:pPr>
              <w:pStyle w:val="TableParagraph"/>
              <w:tabs>
                <w:tab w:val="left" w:pos="723"/>
              </w:tabs>
              <w:spacing w:line="179" w:lineRule="exact"/>
              <w:ind w:left="-4" w:right="70"/>
              <w:rPr>
                <w:rFonts w:ascii="Arial"/>
                <w:b/>
                <w:sz w:val="16"/>
              </w:rPr>
            </w:pPr>
            <w:r>
              <w:rPr>
                <w:rFonts w:ascii="Times New Roman"/>
                <w:sz w:val="16"/>
                <w:u w:val="single"/>
              </w:rPr>
              <w:tab/>
            </w:r>
            <w:r>
              <w:rPr>
                <w:rFonts w:ascii="Arial"/>
                <w:b/>
                <w:spacing w:val="-2"/>
                <w:sz w:val="16"/>
                <w:u w:val="single"/>
              </w:rPr>
              <w:t>112.256</w:t>
            </w:r>
          </w:p>
        </w:tc>
        <w:tc>
          <w:tcPr>
            <w:tcW w:w="185" w:type="dxa"/>
          </w:tcPr>
          <w:p w14:paraId="5FA13DF6" w14:textId="77777777" w:rsidR="002C6574" w:rsidRDefault="002C6574">
            <w:pPr>
              <w:pStyle w:val="TableParagraph"/>
              <w:jc w:val="left"/>
              <w:rPr>
                <w:rFonts w:ascii="Times New Roman"/>
                <w:sz w:val="16"/>
              </w:rPr>
            </w:pPr>
          </w:p>
        </w:tc>
        <w:tc>
          <w:tcPr>
            <w:tcW w:w="1181" w:type="dxa"/>
          </w:tcPr>
          <w:p w14:paraId="47D2F230" w14:textId="77777777" w:rsidR="002C6574" w:rsidRDefault="00000000">
            <w:pPr>
              <w:pStyle w:val="TableParagraph"/>
              <w:tabs>
                <w:tab w:val="left" w:pos="399"/>
              </w:tabs>
              <w:spacing w:line="179" w:lineRule="exact"/>
              <w:ind w:left="-4" w:right="68"/>
              <w:rPr>
                <w:rFonts w:ascii="Arial"/>
                <w:b/>
                <w:sz w:val="16"/>
              </w:rPr>
            </w:pPr>
            <w:r>
              <w:rPr>
                <w:rFonts w:ascii="Times New Roman"/>
                <w:sz w:val="16"/>
                <w:u w:val="single"/>
              </w:rPr>
              <w:tab/>
            </w:r>
            <w:r>
              <w:rPr>
                <w:rFonts w:ascii="Arial"/>
                <w:b/>
                <w:spacing w:val="-2"/>
                <w:sz w:val="16"/>
                <w:u w:val="single"/>
              </w:rPr>
              <w:t>1.482.012</w:t>
            </w:r>
          </w:p>
        </w:tc>
      </w:tr>
      <w:tr w:rsidR="002C6574" w14:paraId="6B8256E8" w14:textId="77777777">
        <w:trPr>
          <w:trHeight w:val="352"/>
        </w:trPr>
        <w:tc>
          <w:tcPr>
            <w:tcW w:w="7320" w:type="dxa"/>
          </w:tcPr>
          <w:p w14:paraId="1C7BFD40" w14:textId="77777777" w:rsidR="002C6574" w:rsidRDefault="00000000">
            <w:pPr>
              <w:pStyle w:val="TableParagraph"/>
              <w:spacing w:before="143"/>
              <w:ind w:left="50"/>
              <w:jc w:val="left"/>
              <w:rPr>
                <w:rFonts w:ascii="Arial"/>
                <w:b/>
                <w:sz w:val="16"/>
              </w:rPr>
            </w:pPr>
            <w:r>
              <w:rPr>
                <w:rFonts w:ascii="Arial"/>
                <w:b/>
                <w:sz w:val="16"/>
              </w:rPr>
              <w:t>Recurso de</w:t>
            </w:r>
            <w:r>
              <w:rPr>
                <w:rFonts w:ascii="Arial"/>
                <w:b/>
                <w:spacing w:val="-2"/>
                <w:sz w:val="16"/>
              </w:rPr>
              <w:t xml:space="preserve"> Acionista:</w:t>
            </w:r>
          </w:p>
        </w:tc>
        <w:tc>
          <w:tcPr>
            <w:tcW w:w="1083" w:type="dxa"/>
          </w:tcPr>
          <w:p w14:paraId="5BAF354D" w14:textId="77777777" w:rsidR="002C6574" w:rsidRDefault="00000000">
            <w:pPr>
              <w:pStyle w:val="TableParagraph"/>
              <w:spacing w:before="143"/>
              <w:ind w:left="-1" w:right="67"/>
              <w:rPr>
                <w:rFonts w:ascii="Arial"/>
                <w:b/>
                <w:sz w:val="16"/>
              </w:rPr>
            </w:pPr>
            <w:r>
              <w:rPr>
                <w:rFonts w:ascii="Arial"/>
                <w:b/>
                <w:spacing w:val="-2"/>
                <w:sz w:val="16"/>
              </w:rPr>
              <w:t>245.037</w:t>
            </w:r>
          </w:p>
        </w:tc>
        <w:tc>
          <w:tcPr>
            <w:tcW w:w="185" w:type="dxa"/>
          </w:tcPr>
          <w:p w14:paraId="6B9CAC87" w14:textId="77777777" w:rsidR="002C6574" w:rsidRDefault="002C6574">
            <w:pPr>
              <w:pStyle w:val="TableParagraph"/>
              <w:jc w:val="left"/>
              <w:rPr>
                <w:rFonts w:ascii="Times New Roman"/>
                <w:sz w:val="16"/>
              </w:rPr>
            </w:pPr>
          </w:p>
        </w:tc>
        <w:tc>
          <w:tcPr>
            <w:tcW w:w="1323" w:type="dxa"/>
          </w:tcPr>
          <w:p w14:paraId="7493A3E9" w14:textId="77777777" w:rsidR="002C6574" w:rsidRDefault="00000000">
            <w:pPr>
              <w:pStyle w:val="TableParagraph"/>
              <w:spacing w:before="143"/>
              <w:ind w:left="-2" w:right="66"/>
              <w:rPr>
                <w:rFonts w:ascii="Arial"/>
                <w:b/>
                <w:sz w:val="16"/>
              </w:rPr>
            </w:pPr>
            <w:r>
              <w:rPr>
                <w:rFonts w:ascii="Arial"/>
                <w:b/>
                <w:spacing w:val="-10"/>
                <w:sz w:val="16"/>
              </w:rPr>
              <w:t>-</w:t>
            </w:r>
          </w:p>
        </w:tc>
        <w:tc>
          <w:tcPr>
            <w:tcW w:w="185" w:type="dxa"/>
          </w:tcPr>
          <w:p w14:paraId="5F041EFF" w14:textId="77777777" w:rsidR="002C6574" w:rsidRDefault="002C6574">
            <w:pPr>
              <w:pStyle w:val="TableParagraph"/>
              <w:jc w:val="left"/>
              <w:rPr>
                <w:rFonts w:ascii="Times New Roman"/>
                <w:sz w:val="16"/>
              </w:rPr>
            </w:pPr>
          </w:p>
        </w:tc>
        <w:tc>
          <w:tcPr>
            <w:tcW w:w="1342" w:type="dxa"/>
          </w:tcPr>
          <w:p w14:paraId="3C26187E" w14:textId="77777777" w:rsidR="002C6574" w:rsidRDefault="00000000">
            <w:pPr>
              <w:pStyle w:val="TableParagraph"/>
              <w:spacing w:before="143"/>
              <w:ind w:left="-2" w:right="69"/>
              <w:rPr>
                <w:rFonts w:ascii="Arial"/>
                <w:b/>
                <w:sz w:val="16"/>
              </w:rPr>
            </w:pPr>
            <w:r>
              <w:rPr>
                <w:rFonts w:ascii="Arial"/>
                <w:b/>
                <w:spacing w:val="-10"/>
                <w:sz w:val="16"/>
              </w:rPr>
              <w:t>-</w:t>
            </w:r>
          </w:p>
        </w:tc>
        <w:tc>
          <w:tcPr>
            <w:tcW w:w="185" w:type="dxa"/>
          </w:tcPr>
          <w:p w14:paraId="1C867D48" w14:textId="77777777" w:rsidR="002C6574" w:rsidRDefault="002C6574">
            <w:pPr>
              <w:pStyle w:val="TableParagraph"/>
              <w:jc w:val="left"/>
              <w:rPr>
                <w:rFonts w:ascii="Times New Roman"/>
                <w:sz w:val="16"/>
              </w:rPr>
            </w:pPr>
          </w:p>
        </w:tc>
        <w:tc>
          <w:tcPr>
            <w:tcW w:w="1138" w:type="dxa"/>
          </w:tcPr>
          <w:p w14:paraId="6E80EF05" w14:textId="77777777" w:rsidR="002C6574" w:rsidRDefault="00000000">
            <w:pPr>
              <w:pStyle w:val="TableParagraph"/>
              <w:spacing w:before="143"/>
              <w:ind w:left="-3" w:right="72"/>
              <w:rPr>
                <w:rFonts w:ascii="Arial"/>
                <w:b/>
                <w:sz w:val="16"/>
              </w:rPr>
            </w:pPr>
            <w:r>
              <w:rPr>
                <w:rFonts w:ascii="Arial"/>
                <w:b/>
                <w:spacing w:val="-10"/>
                <w:sz w:val="16"/>
              </w:rPr>
              <w:t>-</w:t>
            </w:r>
          </w:p>
        </w:tc>
        <w:tc>
          <w:tcPr>
            <w:tcW w:w="185" w:type="dxa"/>
          </w:tcPr>
          <w:p w14:paraId="635E9809" w14:textId="77777777" w:rsidR="002C6574" w:rsidRDefault="002C6574">
            <w:pPr>
              <w:pStyle w:val="TableParagraph"/>
              <w:jc w:val="left"/>
              <w:rPr>
                <w:rFonts w:ascii="Times New Roman"/>
                <w:sz w:val="16"/>
              </w:rPr>
            </w:pPr>
          </w:p>
        </w:tc>
        <w:tc>
          <w:tcPr>
            <w:tcW w:w="1375" w:type="dxa"/>
          </w:tcPr>
          <w:p w14:paraId="3EFB8FF9" w14:textId="77777777" w:rsidR="002C6574" w:rsidRDefault="00000000">
            <w:pPr>
              <w:pStyle w:val="TableParagraph"/>
              <w:spacing w:before="143"/>
              <w:ind w:left="-4" w:right="69"/>
              <w:rPr>
                <w:rFonts w:ascii="Arial"/>
                <w:b/>
                <w:sz w:val="16"/>
              </w:rPr>
            </w:pPr>
            <w:r>
              <w:rPr>
                <w:rFonts w:ascii="Arial"/>
                <w:b/>
                <w:spacing w:val="-2"/>
                <w:sz w:val="16"/>
              </w:rPr>
              <w:t>(112.256)</w:t>
            </w:r>
          </w:p>
        </w:tc>
        <w:tc>
          <w:tcPr>
            <w:tcW w:w="185" w:type="dxa"/>
          </w:tcPr>
          <w:p w14:paraId="53CF2337" w14:textId="77777777" w:rsidR="002C6574" w:rsidRDefault="002C6574">
            <w:pPr>
              <w:pStyle w:val="TableParagraph"/>
              <w:jc w:val="left"/>
              <w:rPr>
                <w:rFonts w:ascii="Times New Roman"/>
                <w:sz w:val="16"/>
              </w:rPr>
            </w:pPr>
          </w:p>
        </w:tc>
        <w:tc>
          <w:tcPr>
            <w:tcW w:w="1181" w:type="dxa"/>
          </w:tcPr>
          <w:p w14:paraId="4C86D410" w14:textId="77777777" w:rsidR="002C6574" w:rsidRDefault="00000000">
            <w:pPr>
              <w:pStyle w:val="TableParagraph"/>
              <w:spacing w:before="143"/>
              <w:ind w:left="-4" w:right="68"/>
              <w:rPr>
                <w:rFonts w:ascii="Arial"/>
                <w:b/>
                <w:sz w:val="16"/>
              </w:rPr>
            </w:pPr>
            <w:r>
              <w:rPr>
                <w:rFonts w:ascii="Arial"/>
                <w:b/>
                <w:spacing w:val="-2"/>
                <w:sz w:val="16"/>
              </w:rPr>
              <w:t>132.781</w:t>
            </w:r>
          </w:p>
        </w:tc>
      </w:tr>
      <w:tr w:rsidR="002C6574" w14:paraId="773DADD1" w14:textId="77777777">
        <w:trPr>
          <w:trHeight w:val="231"/>
        </w:trPr>
        <w:tc>
          <w:tcPr>
            <w:tcW w:w="7320" w:type="dxa"/>
          </w:tcPr>
          <w:p w14:paraId="024CEE1B" w14:textId="77777777" w:rsidR="002C6574" w:rsidRDefault="00000000">
            <w:pPr>
              <w:pStyle w:val="TableParagraph"/>
              <w:spacing w:line="211" w:lineRule="exact"/>
              <w:ind w:left="50"/>
              <w:jc w:val="left"/>
              <w:rPr>
                <w:sz w:val="16"/>
              </w:rPr>
            </w:pPr>
            <w:r>
              <w:rPr>
                <w:sz w:val="16"/>
              </w:rPr>
              <w:t>Aumento</w:t>
            </w:r>
            <w:r>
              <w:rPr>
                <w:spacing w:val="-9"/>
                <w:sz w:val="16"/>
              </w:rPr>
              <w:t xml:space="preserve"> </w:t>
            </w:r>
            <w:r>
              <w:rPr>
                <w:sz w:val="16"/>
              </w:rPr>
              <w:t>de</w:t>
            </w:r>
            <w:r>
              <w:rPr>
                <w:spacing w:val="-7"/>
                <w:sz w:val="16"/>
              </w:rPr>
              <w:t xml:space="preserve"> </w:t>
            </w:r>
            <w:r>
              <w:rPr>
                <w:spacing w:val="-2"/>
                <w:sz w:val="16"/>
              </w:rPr>
              <w:t>Capital</w:t>
            </w:r>
          </w:p>
        </w:tc>
        <w:tc>
          <w:tcPr>
            <w:tcW w:w="1083" w:type="dxa"/>
          </w:tcPr>
          <w:p w14:paraId="5C5743F8" w14:textId="77777777" w:rsidR="002C6574" w:rsidRDefault="00000000">
            <w:pPr>
              <w:pStyle w:val="TableParagraph"/>
              <w:spacing w:line="211" w:lineRule="exact"/>
              <w:ind w:left="-1" w:right="68"/>
              <w:rPr>
                <w:sz w:val="16"/>
              </w:rPr>
            </w:pPr>
            <w:r>
              <w:rPr>
                <w:spacing w:val="-2"/>
                <w:w w:val="105"/>
                <w:sz w:val="16"/>
              </w:rPr>
              <w:t>245.037</w:t>
            </w:r>
          </w:p>
        </w:tc>
        <w:tc>
          <w:tcPr>
            <w:tcW w:w="185" w:type="dxa"/>
          </w:tcPr>
          <w:p w14:paraId="1AD769D9" w14:textId="77777777" w:rsidR="002C6574" w:rsidRDefault="002C6574">
            <w:pPr>
              <w:pStyle w:val="TableParagraph"/>
              <w:jc w:val="left"/>
              <w:rPr>
                <w:rFonts w:ascii="Times New Roman"/>
                <w:sz w:val="16"/>
              </w:rPr>
            </w:pPr>
          </w:p>
        </w:tc>
        <w:tc>
          <w:tcPr>
            <w:tcW w:w="1323" w:type="dxa"/>
          </w:tcPr>
          <w:p w14:paraId="550471C3" w14:textId="77777777" w:rsidR="002C6574" w:rsidRDefault="00000000">
            <w:pPr>
              <w:pStyle w:val="TableParagraph"/>
              <w:spacing w:before="18" w:line="193" w:lineRule="exact"/>
              <w:ind w:left="-2" w:right="66"/>
              <w:rPr>
                <w:rFonts w:ascii="Calibri"/>
                <w:sz w:val="16"/>
              </w:rPr>
            </w:pPr>
            <w:r>
              <w:rPr>
                <w:rFonts w:ascii="Calibri"/>
                <w:spacing w:val="-10"/>
                <w:w w:val="110"/>
                <w:sz w:val="16"/>
              </w:rPr>
              <w:t>-</w:t>
            </w:r>
          </w:p>
        </w:tc>
        <w:tc>
          <w:tcPr>
            <w:tcW w:w="185" w:type="dxa"/>
          </w:tcPr>
          <w:p w14:paraId="268D2E11" w14:textId="77777777" w:rsidR="002C6574" w:rsidRDefault="002C6574">
            <w:pPr>
              <w:pStyle w:val="TableParagraph"/>
              <w:jc w:val="left"/>
              <w:rPr>
                <w:rFonts w:ascii="Times New Roman"/>
                <w:sz w:val="16"/>
              </w:rPr>
            </w:pPr>
          </w:p>
        </w:tc>
        <w:tc>
          <w:tcPr>
            <w:tcW w:w="1342" w:type="dxa"/>
          </w:tcPr>
          <w:p w14:paraId="112D0F0E" w14:textId="77777777" w:rsidR="002C6574" w:rsidRDefault="00000000">
            <w:pPr>
              <w:pStyle w:val="TableParagraph"/>
              <w:spacing w:before="18" w:line="193" w:lineRule="exact"/>
              <w:ind w:left="-2" w:right="69"/>
              <w:rPr>
                <w:rFonts w:ascii="Calibri"/>
                <w:sz w:val="16"/>
              </w:rPr>
            </w:pPr>
            <w:r>
              <w:rPr>
                <w:rFonts w:ascii="Calibri"/>
                <w:spacing w:val="-10"/>
                <w:w w:val="110"/>
                <w:sz w:val="16"/>
              </w:rPr>
              <w:t>-</w:t>
            </w:r>
          </w:p>
        </w:tc>
        <w:tc>
          <w:tcPr>
            <w:tcW w:w="185" w:type="dxa"/>
          </w:tcPr>
          <w:p w14:paraId="08A74D81" w14:textId="77777777" w:rsidR="002C6574" w:rsidRDefault="002C6574">
            <w:pPr>
              <w:pStyle w:val="TableParagraph"/>
              <w:jc w:val="left"/>
              <w:rPr>
                <w:rFonts w:ascii="Times New Roman"/>
                <w:sz w:val="16"/>
              </w:rPr>
            </w:pPr>
          </w:p>
        </w:tc>
        <w:tc>
          <w:tcPr>
            <w:tcW w:w="1138" w:type="dxa"/>
          </w:tcPr>
          <w:p w14:paraId="1554F0EF" w14:textId="77777777" w:rsidR="002C6574" w:rsidRDefault="00000000">
            <w:pPr>
              <w:pStyle w:val="TableParagraph"/>
              <w:spacing w:before="18" w:line="193" w:lineRule="exact"/>
              <w:ind w:left="-3" w:right="72"/>
              <w:rPr>
                <w:rFonts w:ascii="Calibri"/>
                <w:sz w:val="16"/>
              </w:rPr>
            </w:pPr>
            <w:r>
              <w:rPr>
                <w:rFonts w:ascii="Calibri"/>
                <w:spacing w:val="-10"/>
                <w:w w:val="110"/>
                <w:sz w:val="16"/>
              </w:rPr>
              <w:t>-</w:t>
            </w:r>
          </w:p>
        </w:tc>
        <w:tc>
          <w:tcPr>
            <w:tcW w:w="185" w:type="dxa"/>
          </w:tcPr>
          <w:p w14:paraId="76ABB499" w14:textId="77777777" w:rsidR="002C6574" w:rsidRDefault="002C6574">
            <w:pPr>
              <w:pStyle w:val="TableParagraph"/>
              <w:jc w:val="left"/>
              <w:rPr>
                <w:rFonts w:ascii="Times New Roman"/>
                <w:sz w:val="16"/>
              </w:rPr>
            </w:pPr>
          </w:p>
        </w:tc>
        <w:tc>
          <w:tcPr>
            <w:tcW w:w="1375" w:type="dxa"/>
          </w:tcPr>
          <w:p w14:paraId="343C3F21" w14:textId="77777777" w:rsidR="002C6574" w:rsidRDefault="00000000">
            <w:pPr>
              <w:pStyle w:val="TableParagraph"/>
              <w:spacing w:line="211" w:lineRule="exact"/>
              <w:ind w:left="-4" w:right="70"/>
              <w:rPr>
                <w:sz w:val="16"/>
              </w:rPr>
            </w:pPr>
            <w:r>
              <w:rPr>
                <w:spacing w:val="-2"/>
                <w:w w:val="105"/>
                <w:sz w:val="16"/>
              </w:rPr>
              <w:t>(245.037)</w:t>
            </w:r>
          </w:p>
        </w:tc>
        <w:tc>
          <w:tcPr>
            <w:tcW w:w="185" w:type="dxa"/>
          </w:tcPr>
          <w:p w14:paraId="064E9E0C" w14:textId="77777777" w:rsidR="002C6574" w:rsidRDefault="002C6574">
            <w:pPr>
              <w:pStyle w:val="TableParagraph"/>
              <w:jc w:val="left"/>
              <w:rPr>
                <w:rFonts w:ascii="Times New Roman"/>
                <w:sz w:val="16"/>
              </w:rPr>
            </w:pPr>
          </w:p>
        </w:tc>
        <w:tc>
          <w:tcPr>
            <w:tcW w:w="1181" w:type="dxa"/>
          </w:tcPr>
          <w:p w14:paraId="1111E9A9" w14:textId="77777777" w:rsidR="002C6574" w:rsidRDefault="00000000">
            <w:pPr>
              <w:pStyle w:val="TableParagraph"/>
              <w:spacing w:line="211" w:lineRule="exact"/>
              <w:ind w:left="-4" w:right="65"/>
              <w:rPr>
                <w:sz w:val="16"/>
              </w:rPr>
            </w:pPr>
            <w:r>
              <w:rPr>
                <w:spacing w:val="-10"/>
                <w:w w:val="95"/>
                <w:sz w:val="16"/>
              </w:rPr>
              <w:t>-</w:t>
            </w:r>
          </w:p>
        </w:tc>
      </w:tr>
      <w:tr w:rsidR="002C6574" w14:paraId="73D09587" w14:textId="77777777">
        <w:trPr>
          <w:trHeight w:val="232"/>
        </w:trPr>
        <w:tc>
          <w:tcPr>
            <w:tcW w:w="7320" w:type="dxa"/>
          </w:tcPr>
          <w:p w14:paraId="14421853" w14:textId="77777777" w:rsidR="002C6574" w:rsidRDefault="00000000">
            <w:pPr>
              <w:pStyle w:val="TableParagraph"/>
              <w:spacing w:line="212" w:lineRule="exact"/>
              <w:ind w:left="50"/>
              <w:jc w:val="left"/>
              <w:rPr>
                <w:sz w:val="16"/>
              </w:rPr>
            </w:pPr>
            <w:r>
              <w:rPr>
                <w:sz w:val="16"/>
              </w:rPr>
              <w:t>Transferência</w:t>
            </w:r>
            <w:r>
              <w:rPr>
                <w:spacing w:val="14"/>
                <w:sz w:val="16"/>
              </w:rPr>
              <w:t xml:space="preserve"> </w:t>
            </w:r>
            <w:r>
              <w:rPr>
                <w:sz w:val="16"/>
              </w:rPr>
              <w:t>de</w:t>
            </w:r>
            <w:r>
              <w:rPr>
                <w:spacing w:val="17"/>
                <w:sz w:val="16"/>
              </w:rPr>
              <w:t xml:space="preserve"> </w:t>
            </w:r>
            <w:r>
              <w:rPr>
                <w:sz w:val="16"/>
              </w:rPr>
              <w:t>Recursos</w:t>
            </w:r>
            <w:r>
              <w:rPr>
                <w:spacing w:val="19"/>
                <w:sz w:val="16"/>
              </w:rPr>
              <w:t xml:space="preserve"> </w:t>
            </w:r>
            <w:r>
              <w:rPr>
                <w:sz w:val="16"/>
              </w:rPr>
              <w:t>Capitalizáveis</w:t>
            </w:r>
            <w:r>
              <w:rPr>
                <w:spacing w:val="17"/>
                <w:sz w:val="16"/>
              </w:rPr>
              <w:t xml:space="preserve"> </w:t>
            </w:r>
            <w:r>
              <w:rPr>
                <w:sz w:val="16"/>
              </w:rPr>
              <w:t>-</w:t>
            </w:r>
            <w:r>
              <w:rPr>
                <w:spacing w:val="15"/>
                <w:sz w:val="16"/>
              </w:rPr>
              <w:t xml:space="preserve"> </w:t>
            </w:r>
            <w:r>
              <w:rPr>
                <w:sz w:val="16"/>
              </w:rPr>
              <w:t>Passivo</w:t>
            </w:r>
            <w:r>
              <w:rPr>
                <w:spacing w:val="14"/>
                <w:sz w:val="16"/>
              </w:rPr>
              <w:t xml:space="preserve"> </w:t>
            </w:r>
            <w:r>
              <w:rPr>
                <w:sz w:val="16"/>
              </w:rPr>
              <w:t>Exigível</w:t>
            </w:r>
            <w:r>
              <w:rPr>
                <w:spacing w:val="17"/>
                <w:sz w:val="16"/>
              </w:rPr>
              <w:t xml:space="preserve"> </w:t>
            </w:r>
            <w:r>
              <w:rPr>
                <w:sz w:val="16"/>
              </w:rPr>
              <w:t>para</w:t>
            </w:r>
            <w:r>
              <w:rPr>
                <w:spacing w:val="15"/>
                <w:sz w:val="16"/>
              </w:rPr>
              <w:t xml:space="preserve"> </w:t>
            </w:r>
            <w:r>
              <w:rPr>
                <w:sz w:val="16"/>
              </w:rPr>
              <w:t>o</w:t>
            </w:r>
            <w:r>
              <w:rPr>
                <w:spacing w:val="12"/>
                <w:sz w:val="16"/>
              </w:rPr>
              <w:t xml:space="preserve"> </w:t>
            </w:r>
            <w:r>
              <w:rPr>
                <w:sz w:val="16"/>
              </w:rPr>
              <w:t>Patrimônio</w:t>
            </w:r>
            <w:r>
              <w:rPr>
                <w:spacing w:val="14"/>
                <w:sz w:val="16"/>
              </w:rPr>
              <w:t xml:space="preserve"> </w:t>
            </w:r>
            <w:r>
              <w:rPr>
                <w:spacing w:val="-2"/>
                <w:sz w:val="16"/>
              </w:rPr>
              <w:t>Líquido</w:t>
            </w:r>
          </w:p>
        </w:tc>
        <w:tc>
          <w:tcPr>
            <w:tcW w:w="1083" w:type="dxa"/>
          </w:tcPr>
          <w:p w14:paraId="46ABE31F" w14:textId="77777777" w:rsidR="002C6574" w:rsidRDefault="00000000">
            <w:pPr>
              <w:pStyle w:val="TableParagraph"/>
              <w:spacing w:line="212" w:lineRule="exact"/>
              <w:ind w:left="-1" w:right="67"/>
              <w:rPr>
                <w:sz w:val="16"/>
              </w:rPr>
            </w:pPr>
            <w:r>
              <w:rPr>
                <w:spacing w:val="-10"/>
                <w:w w:val="95"/>
                <w:sz w:val="16"/>
              </w:rPr>
              <w:t>-</w:t>
            </w:r>
          </w:p>
        </w:tc>
        <w:tc>
          <w:tcPr>
            <w:tcW w:w="185" w:type="dxa"/>
          </w:tcPr>
          <w:p w14:paraId="4B34F43A" w14:textId="77777777" w:rsidR="002C6574" w:rsidRDefault="002C6574">
            <w:pPr>
              <w:pStyle w:val="TableParagraph"/>
              <w:jc w:val="left"/>
              <w:rPr>
                <w:rFonts w:ascii="Times New Roman"/>
                <w:sz w:val="16"/>
              </w:rPr>
            </w:pPr>
          </w:p>
        </w:tc>
        <w:tc>
          <w:tcPr>
            <w:tcW w:w="1323" w:type="dxa"/>
          </w:tcPr>
          <w:p w14:paraId="498A385A" w14:textId="77777777" w:rsidR="002C6574" w:rsidRDefault="00000000">
            <w:pPr>
              <w:pStyle w:val="TableParagraph"/>
              <w:spacing w:line="212" w:lineRule="exact"/>
              <w:ind w:left="-2" w:right="66"/>
              <w:rPr>
                <w:sz w:val="16"/>
              </w:rPr>
            </w:pPr>
            <w:r>
              <w:rPr>
                <w:spacing w:val="-10"/>
                <w:w w:val="95"/>
                <w:sz w:val="16"/>
              </w:rPr>
              <w:t>-</w:t>
            </w:r>
          </w:p>
        </w:tc>
        <w:tc>
          <w:tcPr>
            <w:tcW w:w="185" w:type="dxa"/>
          </w:tcPr>
          <w:p w14:paraId="56A0A205" w14:textId="77777777" w:rsidR="002C6574" w:rsidRDefault="002C6574">
            <w:pPr>
              <w:pStyle w:val="TableParagraph"/>
              <w:jc w:val="left"/>
              <w:rPr>
                <w:rFonts w:ascii="Times New Roman"/>
                <w:sz w:val="16"/>
              </w:rPr>
            </w:pPr>
          </w:p>
        </w:tc>
        <w:tc>
          <w:tcPr>
            <w:tcW w:w="1342" w:type="dxa"/>
          </w:tcPr>
          <w:p w14:paraId="6B748509" w14:textId="77777777" w:rsidR="002C6574" w:rsidRDefault="00000000">
            <w:pPr>
              <w:pStyle w:val="TableParagraph"/>
              <w:spacing w:line="212" w:lineRule="exact"/>
              <w:ind w:left="-2" w:right="69"/>
              <w:rPr>
                <w:sz w:val="16"/>
              </w:rPr>
            </w:pPr>
            <w:r>
              <w:rPr>
                <w:spacing w:val="-10"/>
                <w:w w:val="95"/>
                <w:sz w:val="16"/>
              </w:rPr>
              <w:t>-</w:t>
            </w:r>
          </w:p>
        </w:tc>
        <w:tc>
          <w:tcPr>
            <w:tcW w:w="185" w:type="dxa"/>
          </w:tcPr>
          <w:p w14:paraId="7020A7B2" w14:textId="77777777" w:rsidR="002C6574" w:rsidRDefault="002C6574">
            <w:pPr>
              <w:pStyle w:val="TableParagraph"/>
              <w:jc w:val="left"/>
              <w:rPr>
                <w:rFonts w:ascii="Times New Roman"/>
                <w:sz w:val="16"/>
              </w:rPr>
            </w:pPr>
          </w:p>
        </w:tc>
        <w:tc>
          <w:tcPr>
            <w:tcW w:w="1138" w:type="dxa"/>
          </w:tcPr>
          <w:p w14:paraId="2FCE5A91" w14:textId="77777777" w:rsidR="002C6574" w:rsidRDefault="00000000">
            <w:pPr>
              <w:pStyle w:val="TableParagraph"/>
              <w:spacing w:line="212" w:lineRule="exact"/>
              <w:ind w:left="-3" w:right="72"/>
              <w:rPr>
                <w:sz w:val="16"/>
              </w:rPr>
            </w:pPr>
            <w:r>
              <w:rPr>
                <w:spacing w:val="-10"/>
                <w:w w:val="95"/>
                <w:sz w:val="16"/>
              </w:rPr>
              <w:t>-</w:t>
            </w:r>
          </w:p>
        </w:tc>
        <w:tc>
          <w:tcPr>
            <w:tcW w:w="185" w:type="dxa"/>
          </w:tcPr>
          <w:p w14:paraId="1A752CBE" w14:textId="77777777" w:rsidR="002C6574" w:rsidRDefault="002C6574">
            <w:pPr>
              <w:pStyle w:val="TableParagraph"/>
              <w:jc w:val="left"/>
              <w:rPr>
                <w:rFonts w:ascii="Times New Roman"/>
                <w:sz w:val="16"/>
              </w:rPr>
            </w:pPr>
          </w:p>
        </w:tc>
        <w:tc>
          <w:tcPr>
            <w:tcW w:w="1375" w:type="dxa"/>
          </w:tcPr>
          <w:p w14:paraId="1C42341E" w14:textId="77777777" w:rsidR="002C6574" w:rsidRDefault="00000000">
            <w:pPr>
              <w:pStyle w:val="TableParagraph"/>
              <w:spacing w:line="212" w:lineRule="exact"/>
              <w:ind w:left="-4" w:right="70"/>
              <w:rPr>
                <w:sz w:val="16"/>
              </w:rPr>
            </w:pPr>
            <w:r>
              <w:rPr>
                <w:spacing w:val="-2"/>
                <w:w w:val="105"/>
                <w:sz w:val="16"/>
              </w:rPr>
              <w:t>132.781</w:t>
            </w:r>
          </w:p>
        </w:tc>
        <w:tc>
          <w:tcPr>
            <w:tcW w:w="185" w:type="dxa"/>
          </w:tcPr>
          <w:p w14:paraId="32D61421" w14:textId="77777777" w:rsidR="002C6574" w:rsidRDefault="002C6574">
            <w:pPr>
              <w:pStyle w:val="TableParagraph"/>
              <w:jc w:val="left"/>
              <w:rPr>
                <w:rFonts w:ascii="Times New Roman"/>
                <w:sz w:val="16"/>
              </w:rPr>
            </w:pPr>
          </w:p>
        </w:tc>
        <w:tc>
          <w:tcPr>
            <w:tcW w:w="1181" w:type="dxa"/>
          </w:tcPr>
          <w:p w14:paraId="59CEF66D" w14:textId="77777777" w:rsidR="002C6574" w:rsidRDefault="00000000">
            <w:pPr>
              <w:pStyle w:val="TableParagraph"/>
              <w:spacing w:line="212" w:lineRule="exact"/>
              <w:ind w:left="-4" w:right="68"/>
              <w:rPr>
                <w:sz w:val="16"/>
              </w:rPr>
            </w:pPr>
            <w:r>
              <w:rPr>
                <w:spacing w:val="-2"/>
                <w:w w:val="105"/>
                <w:sz w:val="16"/>
              </w:rPr>
              <w:t>132.781</w:t>
            </w:r>
          </w:p>
        </w:tc>
      </w:tr>
      <w:tr w:rsidR="002C6574" w14:paraId="72FE47DC" w14:textId="77777777">
        <w:trPr>
          <w:trHeight w:val="231"/>
        </w:trPr>
        <w:tc>
          <w:tcPr>
            <w:tcW w:w="7320" w:type="dxa"/>
          </w:tcPr>
          <w:p w14:paraId="24054565" w14:textId="77777777" w:rsidR="002C6574" w:rsidRDefault="00000000">
            <w:pPr>
              <w:pStyle w:val="TableParagraph"/>
              <w:spacing w:before="22"/>
              <w:ind w:left="50"/>
              <w:jc w:val="left"/>
              <w:rPr>
                <w:rFonts w:ascii="Arial"/>
                <w:b/>
                <w:sz w:val="16"/>
              </w:rPr>
            </w:pPr>
            <w:r>
              <w:rPr>
                <w:rFonts w:ascii="Arial"/>
                <w:b/>
                <w:sz w:val="16"/>
              </w:rPr>
              <w:t>Resultados</w:t>
            </w:r>
            <w:r>
              <w:rPr>
                <w:rFonts w:ascii="Arial"/>
                <w:b/>
                <w:spacing w:val="-5"/>
                <w:sz w:val="16"/>
              </w:rPr>
              <w:t xml:space="preserve"> </w:t>
            </w:r>
            <w:r>
              <w:rPr>
                <w:rFonts w:ascii="Arial"/>
                <w:b/>
                <w:sz w:val="16"/>
              </w:rPr>
              <w:t>Abrangentes</w:t>
            </w:r>
            <w:r>
              <w:rPr>
                <w:rFonts w:ascii="Arial"/>
                <w:b/>
                <w:spacing w:val="-6"/>
                <w:sz w:val="16"/>
              </w:rPr>
              <w:t xml:space="preserve"> </w:t>
            </w:r>
            <w:r>
              <w:rPr>
                <w:rFonts w:ascii="Arial"/>
                <w:b/>
                <w:spacing w:val="-2"/>
                <w:sz w:val="16"/>
              </w:rPr>
              <w:t>Total:</w:t>
            </w:r>
          </w:p>
        </w:tc>
        <w:tc>
          <w:tcPr>
            <w:tcW w:w="1083" w:type="dxa"/>
          </w:tcPr>
          <w:p w14:paraId="7943F626" w14:textId="77777777" w:rsidR="002C6574" w:rsidRDefault="00000000">
            <w:pPr>
              <w:pStyle w:val="TableParagraph"/>
              <w:spacing w:before="22"/>
              <w:ind w:left="-1" w:right="67"/>
              <w:rPr>
                <w:rFonts w:ascii="Arial"/>
                <w:b/>
                <w:sz w:val="16"/>
              </w:rPr>
            </w:pPr>
            <w:r>
              <w:rPr>
                <w:rFonts w:ascii="Arial"/>
                <w:b/>
                <w:spacing w:val="-10"/>
                <w:sz w:val="16"/>
              </w:rPr>
              <w:t>-</w:t>
            </w:r>
          </w:p>
        </w:tc>
        <w:tc>
          <w:tcPr>
            <w:tcW w:w="185" w:type="dxa"/>
          </w:tcPr>
          <w:p w14:paraId="3F47146E" w14:textId="77777777" w:rsidR="002C6574" w:rsidRDefault="002C6574">
            <w:pPr>
              <w:pStyle w:val="TableParagraph"/>
              <w:jc w:val="left"/>
              <w:rPr>
                <w:rFonts w:ascii="Times New Roman"/>
                <w:sz w:val="16"/>
              </w:rPr>
            </w:pPr>
          </w:p>
        </w:tc>
        <w:tc>
          <w:tcPr>
            <w:tcW w:w="1323" w:type="dxa"/>
          </w:tcPr>
          <w:p w14:paraId="24E786EC" w14:textId="77777777" w:rsidR="002C6574" w:rsidRDefault="00000000">
            <w:pPr>
              <w:pStyle w:val="TableParagraph"/>
              <w:spacing w:before="22"/>
              <w:ind w:left="-2" w:right="64"/>
              <w:rPr>
                <w:rFonts w:ascii="Arial"/>
                <w:b/>
                <w:sz w:val="16"/>
              </w:rPr>
            </w:pPr>
            <w:r>
              <w:rPr>
                <w:rFonts w:ascii="Arial"/>
                <w:b/>
                <w:spacing w:val="-2"/>
                <w:sz w:val="16"/>
              </w:rPr>
              <w:t>140.504</w:t>
            </w:r>
          </w:p>
        </w:tc>
        <w:tc>
          <w:tcPr>
            <w:tcW w:w="185" w:type="dxa"/>
          </w:tcPr>
          <w:p w14:paraId="612FBFBC" w14:textId="77777777" w:rsidR="002C6574" w:rsidRDefault="002C6574">
            <w:pPr>
              <w:pStyle w:val="TableParagraph"/>
              <w:jc w:val="left"/>
              <w:rPr>
                <w:rFonts w:ascii="Times New Roman"/>
                <w:sz w:val="16"/>
              </w:rPr>
            </w:pPr>
          </w:p>
        </w:tc>
        <w:tc>
          <w:tcPr>
            <w:tcW w:w="1342" w:type="dxa"/>
          </w:tcPr>
          <w:p w14:paraId="7FDB6B61" w14:textId="77777777" w:rsidR="002C6574" w:rsidRDefault="00000000">
            <w:pPr>
              <w:pStyle w:val="TableParagraph"/>
              <w:spacing w:before="22"/>
              <w:ind w:left="-2" w:right="69"/>
              <w:rPr>
                <w:rFonts w:ascii="Arial"/>
                <w:b/>
                <w:sz w:val="16"/>
              </w:rPr>
            </w:pPr>
            <w:r>
              <w:rPr>
                <w:rFonts w:ascii="Arial"/>
                <w:b/>
                <w:spacing w:val="-2"/>
                <w:sz w:val="16"/>
              </w:rPr>
              <w:t>(3.208)</w:t>
            </w:r>
          </w:p>
        </w:tc>
        <w:tc>
          <w:tcPr>
            <w:tcW w:w="185" w:type="dxa"/>
          </w:tcPr>
          <w:p w14:paraId="1FB37182" w14:textId="77777777" w:rsidR="002C6574" w:rsidRDefault="002C6574">
            <w:pPr>
              <w:pStyle w:val="TableParagraph"/>
              <w:jc w:val="left"/>
              <w:rPr>
                <w:rFonts w:ascii="Times New Roman"/>
                <w:sz w:val="16"/>
              </w:rPr>
            </w:pPr>
          </w:p>
        </w:tc>
        <w:tc>
          <w:tcPr>
            <w:tcW w:w="1138" w:type="dxa"/>
          </w:tcPr>
          <w:p w14:paraId="42165913" w14:textId="77777777" w:rsidR="002C6574" w:rsidRDefault="00000000">
            <w:pPr>
              <w:pStyle w:val="TableParagraph"/>
              <w:spacing w:before="22"/>
              <w:ind w:left="-3" w:right="72"/>
              <w:rPr>
                <w:rFonts w:ascii="Arial"/>
                <w:b/>
                <w:sz w:val="16"/>
              </w:rPr>
            </w:pPr>
            <w:r>
              <w:rPr>
                <w:rFonts w:ascii="Arial"/>
                <w:b/>
                <w:spacing w:val="-10"/>
                <w:sz w:val="16"/>
              </w:rPr>
              <w:t>-</w:t>
            </w:r>
          </w:p>
        </w:tc>
        <w:tc>
          <w:tcPr>
            <w:tcW w:w="185" w:type="dxa"/>
          </w:tcPr>
          <w:p w14:paraId="6E64075D" w14:textId="77777777" w:rsidR="002C6574" w:rsidRDefault="002C6574">
            <w:pPr>
              <w:pStyle w:val="TableParagraph"/>
              <w:jc w:val="left"/>
              <w:rPr>
                <w:rFonts w:ascii="Times New Roman"/>
                <w:sz w:val="16"/>
              </w:rPr>
            </w:pPr>
          </w:p>
        </w:tc>
        <w:tc>
          <w:tcPr>
            <w:tcW w:w="1375" w:type="dxa"/>
          </w:tcPr>
          <w:p w14:paraId="0E7B7658" w14:textId="77777777" w:rsidR="002C6574" w:rsidRDefault="00000000">
            <w:pPr>
              <w:pStyle w:val="TableParagraph"/>
              <w:spacing w:before="22"/>
              <w:ind w:left="-4" w:right="67"/>
              <w:rPr>
                <w:rFonts w:ascii="Arial"/>
                <w:b/>
                <w:sz w:val="16"/>
              </w:rPr>
            </w:pPr>
            <w:r>
              <w:rPr>
                <w:rFonts w:ascii="Arial"/>
                <w:b/>
                <w:spacing w:val="-10"/>
                <w:sz w:val="16"/>
              </w:rPr>
              <w:t>-</w:t>
            </w:r>
          </w:p>
        </w:tc>
        <w:tc>
          <w:tcPr>
            <w:tcW w:w="185" w:type="dxa"/>
          </w:tcPr>
          <w:p w14:paraId="3177D5AD" w14:textId="77777777" w:rsidR="002C6574" w:rsidRDefault="002C6574">
            <w:pPr>
              <w:pStyle w:val="TableParagraph"/>
              <w:jc w:val="left"/>
              <w:rPr>
                <w:rFonts w:ascii="Times New Roman"/>
                <w:sz w:val="16"/>
              </w:rPr>
            </w:pPr>
          </w:p>
        </w:tc>
        <w:tc>
          <w:tcPr>
            <w:tcW w:w="1181" w:type="dxa"/>
          </w:tcPr>
          <w:p w14:paraId="5D4D212B" w14:textId="77777777" w:rsidR="002C6574" w:rsidRDefault="00000000">
            <w:pPr>
              <w:pStyle w:val="TableParagraph"/>
              <w:spacing w:before="22"/>
              <w:ind w:left="-4" w:right="68"/>
              <w:rPr>
                <w:rFonts w:ascii="Arial"/>
                <w:b/>
                <w:sz w:val="16"/>
              </w:rPr>
            </w:pPr>
            <w:r>
              <w:rPr>
                <w:rFonts w:ascii="Arial"/>
                <w:b/>
                <w:spacing w:val="-2"/>
                <w:sz w:val="16"/>
              </w:rPr>
              <w:t>137.296</w:t>
            </w:r>
          </w:p>
        </w:tc>
      </w:tr>
      <w:tr w:rsidR="002C6574" w14:paraId="2C54087F" w14:textId="77777777">
        <w:trPr>
          <w:trHeight w:val="231"/>
        </w:trPr>
        <w:tc>
          <w:tcPr>
            <w:tcW w:w="7320" w:type="dxa"/>
          </w:tcPr>
          <w:p w14:paraId="2017A993" w14:textId="77777777" w:rsidR="002C6574" w:rsidRDefault="00000000">
            <w:pPr>
              <w:pStyle w:val="TableParagraph"/>
              <w:spacing w:line="211" w:lineRule="exact"/>
              <w:ind w:left="50"/>
              <w:jc w:val="left"/>
              <w:rPr>
                <w:sz w:val="16"/>
              </w:rPr>
            </w:pPr>
            <w:r>
              <w:rPr>
                <w:sz w:val="16"/>
              </w:rPr>
              <w:t>Lucro</w:t>
            </w:r>
            <w:r>
              <w:rPr>
                <w:spacing w:val="-3"/>
                <w:sz w:val="16"/>
              </w:rPr>
              <w:t xml:space="preserve"> </w:t>
            </w:r>
            <w:r>
              <w:rPr>
                <w:sz w:val="16"/>
              </w:rPr>
              <w:t>Líquido</w:t>
            </w:r>
            <w:r>
              <w:rPr>
                <w:spacing w:val="-1"/>
                <w:sz w:val="16"/>
              </w:rPr>
              <w:t xml:space="preserve"> </w:t>
            </w:r>
            <w:r>
              <w:rPr>
                <w:sz w:val="16"/>
              </w:rPr>
              <w:t>do</w:t>
            </w:r>
            <w:r>
              <w:rPr>
                <w:spacing w:val="-4"/>
                <w:sz w:val="16"/>
              </w:rPr>
              <w:t xml:space="preserve"> </w:t>
            </w:r>
            <w:r>
              <w:rPr>
                <w:spacing w:val="-2"/>
                <w:sz w:val="16"/>
              </w:rPr>
              <w:t>Exercício</w:t>
            </w:r>
          </w:p>
        </w:tc>
        <w:tc>
          <w:tcPr>
            <w:tcW w:w="1083" w:type="dxa"/>
          </w:tcPr>
          <w:p w14:paraId="46D1408C" w14:textId="77777777" w:rsidR="002C6574" w:rsidRDefault="00000000">
            <w:pPr>
              <w:pStyle w:val="TableParagraph"/>
              <w:spacing w:before="21"/>
              <w:ind w:left="-1" w:right="67"/>
              <w:rPr>
                <w:rFonts w:ascii="Arial"/>
                <w:b/>
                <w:sz w:val="16"/>
              </w:rPr>
            </w:pPr>
            <w:r>
              <w:rPr>
                <w:rFonts w:ascii="Arial"/>
                <w:b/>
                <w:spacing w:val="-10"/>
                <w:sz w:val="16"/>
              </w:rPr>
              <w:t>-</w:t>
            </w:r>
          </w:p>
        </w:tc>
        <w:tc>
          <w:tcPr>
            <w:tcW w:w="185" w:type="dxa"/>
          </w:tcPr>
          <w:p w14:paraId="64A61406" w14:textId="77777777" w:rsidR="002C6574" w:rsidRDefault="002C6574">
            <w:pPr>
              <w:pStyle w:val="TableParagraph"/>
              <w:jc w:val="left"/>
              <w:rPr>
                <w:rFonts w:ascii="Times New Roman"/>
                <w:sz w:val="16"/>
              </w:rPr>
            </w:pPr>
          </w:p>
        </w:tc>
        <w:tc>
          <w:tcPr>
            <w:tcW w:w="1323" w:type="dxa"/>
          </w:tcPr>
          <w:p w14:paraId="525B09DD" w14:textId="77777777" w:rsidR="002C6574" w:rsidRDefault="00000000">
            <w:pPr>
              <w:pStyle w:val="TableParagraph"/>
              <w:spacing w:line="211" w:lineRule="exact"/>
              <w:ind w:left="-2" w:right="64"/>
              <w:rPr>
                <w:sz w:val="16"/>
              </w:rPr>
            </w:pPr>
            <w:r>
              <w:rPr>
                <w:spacing w:val="-2"/>
                <w:w w:val="105"/>
                <w:sz w:val="16"/>
              </w:rPr>
              <w:t>140.504</w:t>
            </w:r>
          </w:p>
        </w:tc>
        <w:tc>
          <w:tcPr>
            <w:tcW w:w="185" w:type="dxa"/>
          </w:tcPr>
          <w:p w14:paraId="09963B68" w14:textId="77777777" w:rsidR="002C6574" w:rsidRDefault="002C6574">
            <w:pPr>
              <w:pStyle w:val="TableParagraph"/>
              <w:jc w:val="left"/>
              <w:rPr>
                <w:rFonts w:ascii="Times New Roman"/>
                <w:sz w:val="16"/>
              </w:rPr>
            </w:pPr>
          </w:p>
        </w:tc>
        <w:tc>
          <w:tcPr>
            <w:tcW w:w="1342" w:type="dxa"/>
          </w:tcPr>
          <w:p w14:paraId="6371A945" w14:textId="77777777" w:rsidR="002C6574" w:rsidRDefault="00000000">
            <w:pPr>
              <w:pStyle w:val="TableParagraph"/>
              <w:spacing w:before="21"/>
              <w:ind w:left="-2" w:right="69"/>
              <w:rPr>
                <w:rFonts w:ascii="Arial"/>
                <w:b/>
                <w:sz w:val="16"/>
              </w:rPr>
            </w:pPr>
            <w:r>
              <w:rPr>
                <w:rFonts w:ascii="Arial"/>
                <w:b/>
                <w:spacing w:val="-10"/>
                <w:sz w:val="16"/>
              </w:rPr>
              <w:t>-</w:t>
            </w:r>
          </w:p>
        </w:tc>
        <w:tc>
          <w:tcPr>
            <w:tcW w:w="185" w:type="dxa"/>
          </w:tcPr>
          <w:p w14:paraId="1A77A784" w14:textId="77777777" w:rsidR="002C6574" w:rsidRDefault="002C6574">
            <w:pPr>
              <w:pStyle w:val="TableParagraph"/>
              <w:jc w:val="left"/>
              <w:rPr>
                <w:rFonts w:ascii="Times New Roman"/>
                <w:sz w:val="16"/>
              </w:rPr>
            </w:pPr>
          </w:p>
        </w:tc>
        <w:tc>
          <w:tcPr>
            <w:tcW w:w="1138" w:type="dxa"/>
          </w:tcPr>
          <w:p w14:paraId="7B62388F" w14:textId="77777777" w:rsidR="002C6574" w:rsidRDefault="00000000">
            <w:pPr>
              <w:pStyle w:val="TableParagraph"/>
              <w:spacing w:line="211" w:lineRule="exact"/>
              <w:ind w:left="-3" w:right="72"/>
              <w:rPr>
                <w:sz w:val="16"/>
              </w:rPr>
            </w:pPr>
            <w:r>
              <w:rPr>
                <w:spacing w:val="-10"/>
                <w:w w:val="95"/>
                <w:sz w:val="16"/>
              </w:rPr>
              <w:t>-</w:t>
            </w:r>
          </w:p>
        </w:tc>
        <w:tc>
          <w:tcPr>
            <w:tcW w:w="185" w:type="dxa"/>
          </w:tcPr>
          <w:p w14:paraId="0220BC57" w14:textId="77777777" w:rsidR="002C6574" w:rsidRDefault="002C6574">
            <w:pPr>
              <w:pStyle w:val="TableParagraph"/>
              <w:jc w:val="left"/>
              <w:rPr>
                <w:rFonts w:ascii="Times New Roman"/>
                <w:sz w:val="16"/>
              </w:rPr>
            </w:pPr>
          </w:p>
        </w:tc>
        <w:tc>
          <w:tcPr>
            <w:tcW w:w="1375" w:type="dxa"/>
          </w:tcPr>
          <w:p w14:paraId="3CE608C8" w14:textId="77777777" w:rsidR="002C6574" w:rsidRDefault="00000000">
            <w:pPr>
              <w:pStyle w:val="TableParagraph"/>
              <w:spacing w:line="211" w:lineRule="exact"/>
              <w:ind w:left="-4" w:right="67"/>
              <w:rPr>
                <w:sz w:val="16"/>
              </w:rPr>
            </w:pPr>
            <w:r>
              <w:rPr>
                <w:spacing w:val="-10"/>
                <w:w w:val="95"/>
                <w:sz w:val="16"/>
              </w:rPr>
              <w:t>-</w:t>
            </w:r>
          </w:p>
        </w:tc>
        <w:tc>
          <w:tcPr>
            <w:tcW w:w="185" w:type="dxa"/>
          </w:tcPr>
          <w:p w14:paraId="5FEBBCD2" w14:textId="77777777" w:rsidR="002C6574" w:rsidRDefault="002C6574">
            <w:pPr>
              <w:pStyle w:val="TableParagraph"/>
              <w:jc w:val="left"/>
              <w:rPr>
                <w:rFonts w:ascii="Times New Roman"/>
                <w:sz w:val="16"/>
              </w:rPr>
            </w:pPr>
          </w:p>
        </w:tc>
        <w:tc>
          <w:tcPr>
            <w:tcW w:w="1181" w:type="dxa"/>
          </w:tcPr>
          <w:p w14:paraId="71B79ECD" w14:textId="77777777" w:rsidR="002C6574" w:rsidRDefault="00000000">
            <w:pPr>
              <w:pStyle w:val="TableParagraph"/>
              <w:spacing w:before="21"/>
              <w:ind w:left="-4" w:right="68"/>
              <w:rPr>
                <w:rFonts w:ascii="Arial"/>
                <w:b/>
                <w:sz w:val="16"/>
              </w:rPr>
            </w:pPr>
            <w:r>
              <w:rPr>
                <w:rFonts w:ascii="Arial"/>
                <w:b/>
                <w:spacing w:val="-2"/>
                <w:sz w:val="16"/>
              </w:rPr>
              <w:t>140.504</w:t>
            </w:r>
          </w:p>
        </w:tc>
      </w:tr>
      <w:tr w:rsidR="002C6574" w14:paraId="4094011E" w14:textId="77777777">
        <w:trPr>
          <w:trHeight w:val="232"/>
        </w:trPr>
        <w:tc>
          <w:tcPr>
            <w:tcW w:w="7320" w:type="dxa"/>
          </w:tcPr>
          <w:p w14:paraId="2ED6CAE0" w14:textId="77777777" w:rsidR="002C6574" w:rsidRDefault="00000000">
            <w:pPr>
              <w:pStyle w:val="TableParagraph"/>
              <w:spacing w:before="22"/>
              <w:ind w:left="50"/>
              <w:jc w:val="left"/>
              <w:rPr>
                <w:rFonts w:ascii="Arial"/>
                <w:b/>
                <w:sz w:val="16"/>
              </w:rPr>
            </w:pPr>
            <w:r>
              <w:rPr>
                <w:rFonts w:ascii="Arial"/>
                <w:b/>
                <w:sz w:val="16"/>
              </w:rPr>
              <w:t>Outros</w:t>
            </w:r>
            <w:r>
              <w:rPr>
                <w:rFonts w:ascii="Arial"/>
                <w:b/>
                <w:spacing w:val="-4"/>
                <w:sz w:val="16"/>
              </w:rPr>
              <w:t xml:space="preserve"> </w:t>
            </w:r>
            <w:r>
              <w:rPr>
                <w:rFonts w:ascii="Arial"/>
                <w:b/>
                <w:sz w:val="16"/>
              </w:rPr>
              <w:t>Resultados</w:t>
            </w:r>
            <w:r>
              <w:rPr>
                <w:rFonts w:ascii="Arial"/>
                <w:b/>
                <w:spacing w:val="-3"/>
                <w:sz w:val="16"/>
              </w:rPr>
              <w:t xml:space="preserve"> </w:t>
            </w:r>
            <w:r>
              <w:rPr>
                <w:rFonts w:ascii="Arial"/>
                <w:b/>
                <w:spacing w:val="-2"/>
                <w:sz w:val="16"/>
              </w:rPr>
              <w:t>Abrangentes:</w:t>
            </w:r>
          </w:p>
        </w:tc>
        <w:tc>
          <w:tcPr>
            <w:tcW w:w="1083" w:type="dxa"/>
          </w:tcPr>
          <w:p w14:paraId="0131CBF2" w14:textId="77777777" w:rsidR="002C6574" w:rsidRDefault="00000000">
            <w:pPr>
              <w:pStyle w:val="TableParagraph"/>
              <w:spacing w:before="22"/>
              <w:ind w:left="-1" w:right="67"/>
              <w:rPr>
                <w:rFonts w:ascii="Arial"/>
                <w:b/>
                <w:sz w:val="16"/>
              </w:rPr>
            </w:pPr>
            <w:r>
              <w:rPr>
                <w:rFonts w:ascii="Arial"/>
                <w:b/>
                <w:spacing w:val="-10"/>
                <w:sz w:val="16"/>
              </w:rPr>
              <w:t>-</w:t>
            </w:r>
          </w:p>
        </w:tc>
        <w:tc>
          <w:tcPr>
            <w:tcW w:w="185" w:type="dxa"/>
          </w:tcPr>
          <w:p w14:paraId="6E69AAD9" w14:textId="77777777" w:rsidR="002C6574" w:rsidRDefault="002C6574">
            <w:pPr>
              <w:pStyle w:val="TableParagraph"/>
              <w:jc w:val="left"/>
              <w:rPr>
                <w:rFonts w:ascii="Times New Roman"/>
                <w:sz w:val="16"/>
              </w:rPr>
            </w:pPr>
          </w:p>
        </w:tc>
        <w:tc>
          <w:tcPr>
            <w:tcW w:w="1323" w:type="dxa"/>
          </w:tcPr>
          <w:p w14:paraId="66CC3FEA" w14:textId="77777777" w:rsidR="002C6574" w:rsidRDefault="00000000">
            <w:pPr>
              <w:pStyle w:val="TableParagraph"/>
              <w:spacing w:before="22"/>
              <w:ind w:left="-2" w:right="66"/>
              <w:rPr>
                <w:rFonts w:ascii="Arial"/>
                <w:b/>
                <w:sz w:val="16"/>
              </w:rPr>
            </w:pPr>
            <w:r>
              <w:rPr>
                <w:rFonts w:ascii="Arial"/>
                <w:b/>
                <w:spacing w:val="-10"/>
                <w:sz w:val="16"/>
              </w:rPr>
              <w:t>-</w:t>
            </w:r>
          </w:p>
        </w:tc>
        <w:tc>
          <w:tcPr>
            <w:tcW w:w="185" w:type="dxa"/>
          </w:tcPr>
          <w:p w14:paraId="44BCEDC4" w14:textId="77777777" w:rsidR="002C6574" w:rsidRDefault="002C6574">
            <w:pPr>
              <w:pStyle w:val="TableParagraph"/>
              <w:jc w:val="left"/>
              <w:rPr>
                <w:rFonts w:ascii="Times New Roman"/>
                <w:sz w:val="16"/>
              </w:rPr>
            </w:pPr>
          </w:p>
        </w:tc>
        <w:tc>
          <w:tcPr>
            <w:tcW w:w="1342" w:type="dxa"/>
          </w:tcPr>
          <w:p w14:paraId="1EFA586A" w14:textId="77777777" w:rsidR="002C6574" w:rsidRDefault="00000000">
            <w:pPr>
              <w:pStyle w:val="TableParagraph"/>
              <w:spacing w:before="22"/>
              <w:ind w:left="-2" w:right="69"/>
              <w:rPr>
                <w:rFonts w:ascii="Arial"/>
                <w:b/>
                <w:sz w:val="16"/>
              </w:rPr>
            </w:pPr>
            <w:r>
              <w:rPr>
                <w:rFonts w:ascii="Arial"/>
                <w:b/>
                <w:spacing w:val="-2"/>
                <w:sz w:val="16"/>
              </w:rPr>
              <w:t>(3.208)</w:t>
            </w:r>
          </w:p>
        </w:tc>
        <w:tc>
          <w:tcPr>
            <w:tcW w:w="185" w:type="dxa"/>
          </w:tcPr>
          <w:p w14:paraId="051E96AE" w14:textId="77777777" w:rsidR="002C6574" w:rsidRDefault="002C6574">
            <w:pPr>
              <w:pStyle w:val="TableParagraph"/>
              <w:jc w:val="left"/>
              <w:rPr>
                <w:rFonts w:ascii="Times New Roman"/>
                <w:sz w:val="16"/>
              </w:rPr>
            </w:pPr>
          </w:p>
        </w:tc>
        <w:tc>
          <w:tcPr>
            <w:tcW w:w="1138" w:type="dxa"/>
          </w:tcPr>
          <w:p w14:paraId="01873F39" w14:textId="77777777" w:rsidR="002C6574" w:rsidRDefault="00000000">
            <w:pPr>
              <w:pStyle w:val="TableParagraph"/>
              <w:spacing w:before="22"/>
              <w:ind w:left="-3" w:right="72"/>
              <w:rPr>
                <w:rFonts w:ascii="Arial"/>
                <w:b/>
                <w:sz w:val="16"/>
              </w:rPr>
            </w:pPr>
            <w:r>
              <w:rPr>
                <w:rFonts w:ascii="Arial"/>
                <w:b/>
                <w:spacing w:val="-10"/>
                <w:sz w:val="16"/>
              </w:rPr>
              <w:t>-</w:t>
            </w:r>
          </w:p>
        </w:tc>
        <w:tc>
          <w:tcPr>
            <w:tcW w:w="185" w:type="dxa"/>
          </w:tcPr>
          <w:p w14:paraId="3C910F0D" w14:textId="77777777" w:rsidR="002C6574" w:rsidRDefault="002C6574">
            <w:pPr>
              <w:pStyle w:val="TableParagraph"/>
              <w:jc w:val="left"/>
              <w:rPr>
                <w:rFonts w:ascii="Times New Roman"/>
                <w:sz w:val="16"/>
              </w:rPr>
            </w:pPr>
          </w:p>
        </w:tc>
        <w:tc>
          <w:tcPr>
            <w:tcW w:w="1375" w:type="dxa"/>
          </w:tcPr>
          <w:p w14:paraId="23FB390C" w14:textId="77777777" w:rsidR="002C6574" w:rsidRDefault="00000000">
            <w:pPr>
              <w:pStyle w:val="TableParagraph"/>
              <w:spacing w:before="22"/>
              <w:ind w:left="-4" w:right="67"/>
              <w:rPr>
                <w:rFonts w:ascii="Arial"/>
                <w:b/>
                <w:sz w:val="16"/>
              </w:rPr>
            </w:pPr>
            <w:r>
              <w:rPr>
                <w:rFonts w:ascii="Arial"/>
                <w:b/>
                <w:spacing w:val="-10"/>
                <w:sz w:val="16"/>
              </w:rPr>
              <w:t>-</w:t>
            </w:r>
          </w:p>
        </w:tc>
        <w:tc>
          <w:tcPr>
            <w:tcW w:w="185" w:type="dxa"/>
          </w:tcPr>
          <w:p w14:paraId="77C83FB2" w14:textId="77777777" w:rsidR="002C6574" w:rsidRDefault="002C6574">
            <w:pPr>
              <w:pStyle w:val="TableParagraph"/>
              <w:jc w:val="left"/>
              <w:rPr>
                <w:rFonts w:ascii="Times New Roman"/>
                <w:sz w:val="16"/>
              </w:rPr>
            </w:pPr>
          </w:p>
        </w:tc>
        <w:tc>
          <w:tcPr>
            <w:tcW w:w="1181" w:type="dxa"/>
          </w:tcPr>
          <w:p w14:paraId="584094A9" w14:textId="77777777" w:rsidR="002C6574" w:rsidRDefault="00000000">
            <w:pPr>
              <w:pStyle w:val="TableParagraph"/>
              <w:spacing w:before="22"/>
              <w:ind w:left="-4" w:right="66"/>
              <w:rPr>
                <w:rFonts w:ascii="Arial"/>
                <w:b/>
                <w:sz w:val="16"/>
              </w:rPr>
            </w:pPr>
            <w:r>
              <w:rPr>
                <w:rFonts w:ascii="Arial"/>
                <w:b/>
                <w:spacing w:val="-2"/>
                <w:sz w:val="16"/>
              </w:rPr>
              <w:t>(3.208)</w:t>
            </w:r>
          </w:p>
        </w:tc>
      </w:tr>
      <w:tr w:rsidR="002C6574" w14:paraId="7CAF7637" w14:textId="77777777">
        <w:trPr>
          <w:trHeight w:val="231"/>
        </w:trPr>
        <w:tc>
          <w:tcPr>
            <w:tcW w:w="7320" w:type="dxa"/>
          </w:tcPr>
          <w:p w14:paraId="08FBC10E" w14:textId="77777777" w:rsidR="002C6574" w:rsidRDefault="00000000">
            <w:pPr>
              <w:pStyle w:val="TableParagraph"/>
              <w:spacing w:line="212" w:lineRule="exact"/>
              <w:ind w:left="50"/>
              <w:jc w:val="left"/>
              <w:rPr>
                <w:sz w:val="16"/>
              </w:rPr>
            </w:pPr>
            <w:r>
              <w:rPr>
                <w:sz w:val="16"/>
              </w:rPr>
              <w:t>Equivalência</w:t>
            </w:r>
            <w:r>
              <w:rPr>
                <w:spacing w:val="3"/>
                <w:sz w:val="16"/>
              </w:rPr>
              <w:t xml:space="preserve"> </w:t>
            </w:r>
            <w:r>
              <w:rPr>
                <w:sz w:val="16"/>
              </w:rPr>
              <w:t>Patrimonial</w:t>
            </w:r>
            <w:r>
              <w:rPr>
                <w:spacing w:val="4"/>
                <w:sz w:val="16"/>
              </w:rPr>
              <w:t xml:space="preserve"> </w:t>
            </w:r>
            <w:r>
              <w:rPr>
                <w:sz w:val="16"/>
              </w:rPr>
              <w:t>sobre</w:t>
            </w:r>
            <w:r>
              <w:rPr>
                <w:spacing w:val="5"/>
                <w:sz w:val="16"/>
              </w:rPr>
              <w:t xml:space="preserve"> </w:t>
            </w:r>
            <w:r>
              <w:rPr>
                <w:sz w:val="16"/>
              </w:rPr>
              <w:t>Outros</w:t>
            </w:r>
            <w:r>
              <w:rPr>
                <w:spacing w:val="8"/>
                <w:sz w:val="16"/>
              </w:rPr>
              <w:t xml:space="preserve"> </w:t>
            </w:r>
            <w:r>
              <w:rPr>
                <w:sz w:val="16"/>
              </w:rPr>
              <w:t>Resultados</w:t>
            </w:r>
            <w:r>
              <w:rPr>
                <w:spacing w:val="7"/>
                <w:sz w:val="16"/>
              </w:rPr>
              <w:t xml:space="preserve"> </w:t>
            </w:r>
            <w:r>
              <w:rPr>
                <w:sz w:val="16"/>
              </w:rPr>
              <w:t>Abrangentes</w:t>
            </w:r>
            <w:r>
              <w:rPr>
                <w:spacing w:val="5"/>
                <w:sz w:val="16"/>
              </w:rPr>
              <w:t xml:space="preserve"> </w:t>
            </w:r>
            <w:r>
              <w:rPr>
                <w:sz w:val="16"/>
              </w:rPr>
              <w:t>-</w:t>
            </w:r>
            <w:r>
              <w:rPr>
                <w:spacing w:val="7"/>
                <w:sz w:val="16"/>
              </w:rPr>
              <w:t xml:space="preserve"> </w:t>
            </w:r>
            <w:r>
              <w:rPr>
                <w:spacing w:val="-2"/>
                <w:sz w:val="16"/>
              </w:rPr>
              <w:t>Coligadas</w:t>
            </w:r>
          </w:p>
        </w:tc>
        <w:tc>
          <w:tcPr>
            <w:tcW w:w="1083" w:type="dxa"/>
          </w:tcPr>
          <w:p w14:paraId="3D29F1CE" w14:textId="77777777" w:rsidR="002C6574" w:rsidRDefault="00000000">
            <w:pPr>
              <w:pStyle w:val="TableParagraph"/>
              <w:spacing w:before="22"/>
              <w:ind w:left="-1" w:right="67"/>
              <w:rPr>
                <w:rFonts w:ascii="Arial"/>
                <w:b/>
                <w:sz w:val="16"/>
              </w:rPr>
            </w:pPr>
            <w:r>
              <w:rPr>
                <w:rFonts w:ascii="Arial"/>
                <w:b/>
                <w:spacing w:val="-10"/>
                <w:sz w:val="16"/>
              </w:rPr>
              <w:t>-</w:t>
            </w:r>
          </w:p>
        </w:tc>
        <w:tc>
          <w:tcPr>
            <w:tcW w:w="185" w:type="dxa"/>
          </w:tcPr>
          <w:p w14:paraId="0D2E3CC3" w14:textId="77777777" w:rsidR="002C6574" w:rsidRDefault="002C6574">
            <w:pPr>
              <w:pStyle w:val="TableParagraph"/>
              <w:jc w:val="left"/>
              <w:rPr>
                <w:rFonts w:ascii="Times New Roman"/>
                <w:sz w:val="16"/>
              </w:rPr>
            </w:pPr>
          </w:p>
        </w:tc>
        <w:tc>
          <w:tcPr>
            <w:tcW w:w="1323" w:type="dxa"/>
          </w:tcPr>
          <w:p w14:paraId="41DDBEE9" w14:textId="77777777" w:rsidR="002C6574" w:rsidRDefault="00000000">
            <w:pPr>
              <w:pStyle w:val="TableParagraph"/>
              <w:spacing w:before="22"/>
              <w:ind w:left="-2" w:right="66"/>
              <w:rPr>
                <w:rFonts w:ascii="Arial"/>
                <w:b/>
                <w:sz w:val="16"/>
              </w:rPr>
            </w:pPr>
            <w:r>
              <w:rPr>
                <w:rFonts w:ascii="Arial"/>
                <w:b/>
                <w:spacing w:val="-10"/>
                <w:sz w:val="16"/>
              </w:rPr>
              <w:t>-</w:t>
            </w:r>
          </w:p>
        </w:tc>
        <w:tc>
          <w:tcPr>
            <w:tcW w:w="185" w:type="dxa"/>
          </w:tcPr>
          <w:p w14:paraId="72F1C1B7" w14:textId="77777777" w:rsidR="002C6574" w:rsidRDefault="002C6574">
            <w:pPr>
              <w:pStyle w:val="TableParagraph"/>
              <w:jc w:val="left"/>
              <w:rPr>
                <w:rFonts w:ascii="Times New Roman"/>
                <w:sz w:val="16"/>
              </w:rPr>
            </w:pPr>
          </w:p>
        </w:tc>
        <w:tc>
          <w:tcPr>
            <w:tcW w:w="1342" w:type="dxa"/>
          </w:tcPr>
          <w:p w14:paraId="3FA177DA" w14:textId="77777777" w:rsidR="002C6574" w:rsidRDefault="00000000">
            <w:pPr>
              <w:pStyle w:val="TableParagraph"/>
              <w:spacing w:line="212" w:lineRule="exact"/>
              <w:ind w:left="-2" w:right="69"/>
              <w:rPr>
                <w:sz w:val="16"/>
              </w:rPr>
            </w:pPr>
            <w:r>
              <w:rPr>
                <w:spacing w:val="-2"/>
                <w:w w:val="110"/>
                <w:sz w:val="16"/>
              </w:rPr>
              <w:t>(4.161)</w:t>
            </w:r>
          </w:p>
        </w:tc>
        <w:tc>
          <w:tcPr>
            <w:tcW w:w="185" w:type="dxa"/>
          </w:tcPr>
          <w:p w14:paraId="307FAF1A" w14:textId="77777777" w:rsidR="002C6574" w:rsidRDefault="002C6574">
            <w:pPr>
              <w:pStyle w:val="TableParagraph"/>
              <w:jc w:val="left"/>
              <w:rPr>
                <w:rFonts w:ascii="Times New Roman"/>
                <w:sz w:val="16"/>
              </w:rPr>
            </w:pPr>
          </w:p>
        </w:tc>
        <w:tc>
          <w:tcPr>
            <w:tcW w:w="1138" w:type="dxa"/>
          </w:tcPr>
          <w:p w14:paraId="2D6D482C" w14:textId="77777777" w:rsidR="002C6574" w:rsidRDefault="00000000">
            <w:pPr>
              <w:pStyle w:val="TableParagraph"/>
              <w:spacing w:line="212" w:lineRule="exact"/>
              <w:ind w:left="-3" w:right="72"/>
              <w:rPr>
                <w:sz w:val="16"/>
              </w:rPr>
            </w:pPr>
            <w:r>
              <w:rPr>
                <w:spacing w:val="-10"/>
                <w:w w:val="95"/>
                <w:sz w:val="16"/>
              </w:rPr>
              <w:t>-</w:t>
            </w:r>
          </w:p>
        </w:tc>
        <w:tc>
          <w:tcPr>
            <w:tcW w:w="185" w:type="dxa"/>
          </w:tcPr>
          <w:p w14:paraId="54767DA6" w14:textId="77777777" w:rsidR="002C6574" w:rsidRDefault="002C6574">
            <w:pPr>
              <w:pStyle w:val="TableParagraph"/>
              <w:jc w:val="left"/>
              <w:rPr>
                <w:rFonts w:ascii="Times New Roman"/>
                <w:sz w:val="16"/>
              </w:rPr>
            </w:pPr>
          </w:p>
        </w:tc>
        <w:tc>
          <w:tcPr>
            <w:tcW w:w="1375" w:type="dxa"/>
          </w:tcPr>
          <w:p w14:paraId="60BF35F3" w14:textId="77777777" w:rsidR="002C6574" w:rsidRDefault="00000000">
            <w:pPr>
              <w:pStyle w:val="TableParagraph"/>
              <w:spacing w:line="212" w:lineRule="exact"/>
              <w:ind w:left="-4" w:right="67"/>
              <w:rPr>
                <w:sz w:val="16"/>
              </w:rPr>
            </w:pPr>
            <w:r>
              <w:rPr>
                <w:spacing w:val="-10"/>
                <w:w w:val="95"/>
                <w:sz w:val="16"/>
              </w:rPr>
              <w:t>-</w:t>
            </w:r>
          </w:p>
        </w:tc>
        <w:tc>
          <w:tcPr>
            <w:tcW w:w="185" w:type="dxa"/>
          </w:tcPr>
          <w:p w14:paraId="228593A8" w14:textId="77777777" w:rsidR="002C6574" w:rsidRDefault="002C6574">
            <w:pPr>
              <w:pStyle w:val="TableParagraph"/>
              <w:jc w:val="left"/>
              <w:rPr>
                <w:rFonts w:ascii="Times New Roman"/>
                <w:sz w:val="16"/>
              </w:rPr>
            </w:pPr>
          </w:p>
        </w:tc>
        <w:tc>
          <w:tcPr>
            <w:tcW w:w="1181" w:type="dxa"/>
          </w:tcPr>
          <w:p w14:paraId="797E487A" w14:textId="77777777" w:rsidR="002C6574" w:rsidRDefault="00000000">
            <w:pPr>
              <w:pStyle w:val="TableParagraph"/>
              <w:spacing w:line="212" w:lineRule="exact"/>
              <w:ind w:left="-4" w:right="66"/>
              <w:rPr>
                <w:sz w:val="16"/>
              </w:rPr>
            </w:pPr>
            <w:r>
              <w:rPr>
                <w:spacing w:val="-2"/>
                <w:w w:val="110"/>
                <w:sz w:val="16"/>
              </w:rPr>
              <w:t>(4.161)</w:t>
            </w:r>
          </w:p>
        </w:tc>
      </w:tr>
      <w:tr w:rsidR="002C6574" w14:paraId="4F9A1393" w14:textId="77777777">
        <w:trPr>
          <w:trHeight w:val="437"/>
        </w:trPr>
        <w:tc>
          <w:tcPr>
            <w:tcW w:w="7320" w:type="dxa"/>
          </w:tcPr>
          <w:p w14:paraId="72570C98" w14:textId="77777777" w:rsidR="002C6574" w:rsidRDefault="00000000">
            <w:pPr>
              <w:pStyle w:val="TableParagraph"/>
              <w:spacing w:line="211" w:lineRule="exact"/>
              <w:ind w:left="50"/>
              <w:jc w:val="left"/>
              <w:rPr>
                <w:sz w:val="16"/>
              </w:rPr>
            </w:pPr>
            <w:r>
              <w:rPr>
                <w:sz w:val="16"/>
              </w:rPr>
              <w:t>Ganho</w:t>
            </w:r>
            <w:r>
              <w:rPr>
                <w:spacing w:val="5"/>
                <w:sz w:val="16"/>
              </w:rPr>
              <w:t xml:space="preserve"> </w:t>
            </w:r>
            <w:r>
              <w:rPr>
                <w:sz w:val="16"/>
              </w:rPr>
              <w:t>com</w:t>
            </w:r>
            <w:r>
              <w:rPr>
                <w:spacing w:val="4"/>
                <w:sz w:val="16"/>
              </w:rPr>
              <w:t xml:space="preserve"> </w:t>
            </w:r>
            <w:r>
              <w:rPr>
                <w:sz w:val="16"/>
              </w:rPr>
              <w:t>Instrumentos</w:t>
            </w:r>
            <w:r>
              <w:rPr>
                <w:spacing w:val="8"/>
                <w:sz w:val="16"/>
              </w:rPr>
              <w:t xml:space="preserve"> </w:t>
            </w:r>
            <w:r>
              <w:rPr>
                <w:sz w:val="16"/>
              </w:rPr>
              <w:t>Financeiros</w:t>
            </w:r>
            <w:r>
              <w:rPr>
                <w:spacing w:val="9"/>
                <w:sz w:val="16"/>
              </w:rPr>
              <w:t xml:space="preserve"> </w:t>
            </w:r>
            <w:r>
              <w:rPr>
                <w:sz w:val="16"/>
              </w:rPr>
              <w:t>-</w:t>
            </w:r>
            <w:r>
              <w:rPr>
                <w:spacing w:val="5"/>
                <w:sz w:val="16"/>
              </w:rPr>
              <w:t xml:space="preserve"> </w:t>
            </w:r>
            <w:r>
              <w:rPr>
                <w:sz w:val="16"/>
              </w:rPr>
              <w:t>Ativos</w:t>
            </w:r>
            <w:r>
              <w:rPr>
                <w:spacing w:val="8"/>
                <w:sz w:val="16"/>
              </w:rPr>
              <w:t xml:space="preserve"> </w:t>
            </w:r>
            <w:r>
              <w:rPr>
                <w:sz w:val="16"/>
              </w:rPr>
              <w:t>Financeiros</w:t>
            </w:r>
            <w:r>
              <w:rPr>
                <w:spacing w:val="8"/>
                <w:sz w:val="16"/>
              </w:rPr>
              <w:t xml:space="preserve"> </w:t>
            </w:r>
            <w:r>
              <w:rPr>
                <w:sz w:val="16"/>
              </w:rPr>
              <w:t>Disponíveis</w:t>
            </w:r>
            <w:r>
              <w:rPr>
                <w:spacing w:val="9"/>
                <w:sz w:val="16"/>
              </w:rPr>
              <w:t xml:space="preserve"> </w:t>
            </w:r>
            <w:r>
              <w:rPr>
                <w:sz w:val="16"/>
              </w:rPr>
              <w:t>para</w:t>
            </w:r>
            <w:r>
              <w:rPr>
                <w:spacing w:val="5"/>
                <w:sz w:val="16"/>
              </w:rPr>
              <w:t xml:space="preserve"> </w:t>
            </w:r>
            <w:r>
              <w:rPr>
                <w:spacing w:val="-2"/>
                <w:sz w:val="16"/>
              </w:rPr>
              <w:t>Venda</w:t>
            </w:r>
          </w:p>
        </w:tc>
        <w:tc>
          <w:tcPr>
            <w:tcW w:w="1083" w:type="dxa"/>
            <w:tcBorders>
              <w:bottom w:val="single" w:sz="4" w:space="0" w:color="000000"/>
            </w:tcBorders>
          </w:tcPr>
          <w:p w14:paraId="108B23B9" w14:textId="77777777" w:rsidR="002C6574" w:rsidRDefault="00000000">
            <w:pPr>
              <w:pStyle w:val="TableParagraph"/>
              <w:spacing w:before="21"/>
              <w:ind w:left="-1" w:right="67"/>
              <w:rPr>
                <w:rFonts w:ascii="Arial"/>
                <w:b/>
                <w:sz w:val="16"/>
              </w:rPr>
            </w:pPr>
            <w:r>
              <w:rPr>
                <w:rFonts w:ascii="Arial"/>
                <w:b/>
                <w:spacing w:val="-10"/>
                <w:sz w:val="16"/>
              </w:rPr>
              <w:t>-</w:t>
            </w:r>
          </w:p>
        </w:tc>
        <w:tc>
          <w:tcPr>
            <w:tcW w:w="185" w:type="dxa"/>
          </w:tcPr>
          <w:p w14:paraId="44E63777" w14:textId="77777777" w:rsidR="002C6574" w:rsidRDefault="002C6574">
            <w:pPr>
              <w:pStyle w:val="TableParagraph"/>
              <w:jc w:val="left"/>
              <w:rPr>
                <w:rFonts w:ascii="Times New Roman"/>
                <w:sz w:val="16"/>
              </w:rPr>
            </w:pPr>
          </w:p>
        </w:tc>
        <w:tc>
          <w:tcPr>
            <w:tcW w:w="1323" w:type="dxa"/>
            <w:tcBorders>
              <w:bottom w:val="single" w:sz="4" w:space="0" w:color="000000"/>
            </w:tcBorders>
          </w:tcPr>
          <w:p w14:paraId="4EEAA01A" w14:textId="77777777" w:rsidR="002C6574" w:rsidRDefault="00000000">
            <w:pPr>
              <w:pStyle w:val="TableParagraph"/>
              <w:spacing w:before="21"/>
              <w:ind w:left="-2" w:right="66"/>
              <w:rPr>
                <w:rFonts w:ascii="Arial"/>
                <w:b/>
                <w:sz w:val="16"/>
              </w:rPr>
            </w:pPr>
            <w:r>
              <w:rPr>
                <w:rFonts w:ascii="Arial"/>
                <w:b/>
                <w:spacing w:val="-10"/>
                <w:sz w:val="16"/>
              </w:rPr>
              <w:t>-</w:t>
            </w:r>
          </w:p>
        </w:tc>
        <w:tc>
          <w:tcPr>
            <w:tcW w:w="185" w:type="dxa"/>
          </w:tcPr>
          <w:p w14:paraId="1A0CF76A" w14:textId="77777777" w:rsidR="002C6574" w:rsidRDefault="002C6574">
            <w:pPr>
              <w:pStyle w:val="TableParagraph"/>
              <w:jc w:val="left"/>
              <w:rPr>
                <w:rFonts w:ascii="Times New Roman"/>
                <w:sz w:val="16"/>
              </w:rPr>
            </w:pPr>
          </w:p>
        </w:tc>
        <w:tc>
          <w:tcPr>
            <w:tcW w:w="1342" w:type="dxa"/>
            <w:tcBorders>
              <w:bottom w:val="single" w:sz="4" w:space="0" w:color="000000"/>
            </w:tcBorders>
          </w:tcPr>
          <w:p w14:paraId="7E7C5B8C" w14:textId="77777777" w:rsidR="002C6574" w:rsidRDefault="00000000">
            <w:pPr>
              <w:pStyle w:val="TableParagraph"/>
              <w:spacing w:line="211" w:lineRule="exact"/>
              <w:ind w:left="-2" w:right="70"/>
              <w:rPr>
                <w:sz w:val="16"/>
              </w:rPr>
            </w:pPr>
            <w:r>
              <w:rPr>
                <w:spacing w:val="-5"/>
                <w:w w:val="105"/>
                <w:sz w:val="16"/>
              </w:rPr>
              <w:t>953</w:t>
            </w:r>
          </w:p>
        </w:tc>
        <w:tc>
          <w:tcPr>
            <w:tcW w:w="185" w:type="dxa"/>
          </w:tcPr>
          <w:p w14:paraId="03D0F2FD" w14:textId="77777777" w:rsidR="002C6574" w:rsidRDefault="002C6574">
            <w:pPr>
              <w:pStyle w:val="TableParagraph"/>
              <w:jc w:val="left"/>
              <w:rPr>
                <w:rFonts w:ascii="Times New Roman"/>
                <w:sz w:val="16"/>
              </w:rPr>
            </w:pPr>
          </w:p>
        </w:tc>
        <w:tc>
          <w:tcPr>
            <w:tcW w:w="1138" w:type="dxa"/>
            <w:tcBorders>
              <w:bottom w:val="single" w:sz="4" w:space="0" w:color="000000"/>
            </w:tcBorders>
          </w:tcPr>
          <w:p w14:paraId="02068165" w14:textId="77777777" w:rsidR="002C6574" w:rsidRDefault="00000000">
            <w:pPr>
              <w:pStyle w:val="TableParagraph"/>
              <w:spacing w:line="211" w:lineRule="exact"/>
              <w:ind w:left="-3" w:right="72"/>
              <w:rPr>
                <w:sz w:val="16"/>
              </w:rPr>
            </w:pPr>
            <w:r>
              <w:rPr>
                <w:spacing w:val="-10"/>
                <w:w w:val="95"/>
                <w:sz w:val="16"/>
              </w:rPr>
              <w:t>-</w:t>
            </w:r>
          </w:p>
        </w:tc>
        <w:tc>
          <w:tcPr>
            <w:tcW w:w="185" w:type="dxa"/>
          </w:tcPr>
          <w:p w14:paraId="4E9EBCFB" w14:textId="77777777" w:rsidR="002C6574" w:rsidRDefault="002C6574">
            <w:pPr>
              <w:pStyle w:val="TableParagraph"/>
              <w:jc w:val="left"/>
              <w:rPr>
                <w:rFonts w:ascii="Times New Roman"/>
                <w:sz w:val="16"/>
              </w:rPr>
            </w:pPr>
          </w:p>
        </w:tc>
        <w:tc>
          <w:tcPr>
            <w:tcW w:w="1375" w:type="dxa"/>
            <w:tcBorders>
              <w:bottom w:val="single" w:sz="4" w:space="0" w:color="000000"/>
            </w:tcBorders>
          </w:tcPr>
          <w:p w14:paraId="3AC4D95B" w14:textId="77777777" w:rsidR="002C6574" w:rsidRDefault="00000000">
            <w:pPr>
              <w:pStyle w:val="TableParagraph"/>
              <w:spacing w:line="211" w:lineRule="exact"/>
              <w:ind w:left="-4" w:right="67"/>
              <w:rPr>
                <w:sz w:val="16"/>
              </w:rPr>
            </w:pPr>
            <w:r>
              <w:rPr>
                <w:spacing w:val="-10"/>
                <w:w w:val="95"/>
                <w:sz w:val="16"/>
              </w:rPr>
              <w:t>-</w:t>
            </w:r>
          </w:p>
        </w:tc>
        <w:tc>
          <w:tcPr>
            <w:tcW w:w="185" w:type="dxa"/>
          </w:tcPr>
          <w:p w14:paraId="2CD33F51" w14:textId="77777777" w:rsidR="002C6574" w:rsidRDefault="002C6574">
            <w:pPr>
              <w:pStyle w:val="TableParagraph"/>
              <w:jc w:val="left"/>
              <w:rPr>
                <w:rFonts w:ascii="Times New Roman"/>
                <w:sz w:val="16"/>
              </w:rPr>
            </w:pPr>
          </w:p>
        </w:tc>
        <w:tc>
          <w:tcPr>
            <w:tcW w:w="1181" w:type="dxa"/>
            <w:tcBorders>
              <w:bottom w:val="single" w:sz="4" w:space="0" w:color="000000"/>
            </w:tcBorders>
          </w:tcPr>
          <w:p w14:paraId="3F30D64D" w14:textId="77777777" w:rsidR="002C6574" w:rsidRDefault="00000000">
            <w:pPr>
              <w:pStyle w:val="TableParagraph"/>
              <w:spacing w:line="211" w:lineRule="exact"/>
              <w:ind w:left="-4" w:right="68"/>
              <w:rPr>
                <w:sz w:val="16"/>
              </w:rPr>
            </w:pPr>
            <w:r>
              <w:rPr>
                <w:spacing w:val="-5"/>
                <w:w w:val="105"/>
                <w:sz w:val="16"/>
              </w:rPr>
              <w:t>953</w:t>
            </w:r>
          </w:p>
        </w:tc>
      </w:tr>
      <w:tr w:rsidR="002C6574" w14:paraId="4F0AEFE0" w14:textId="77777777">
        <w:trPr>
          <w:trHeight w:val="398"/>
        </w:trPr>
        <w:tc>
          <w:tcPr>
            <w:tcW w:w="7320" w:type="dxa"/>
          </w:tcPr>
          <w:p w14:paraId="64EDD2CE" w14:textId="77777777" w:rsidR="002C6574" w:rsidRDefault="00000000">
            <w:pPr>
              <w:pStyle w:val="TableParagraph"/>
              <w:spacing w:before="49"/>
              <w:ind w:left="50"/>
              <w:jc w:val="left"/>
              <w:rPr>
                <w:rFonts w:ascii="Arial"/>
                <w:b/>
                <w:sz w:val="16"/>
              </w:rPr>
            </w:pPr>
            <w:r>
              <w:rPr>
                <w:rFonts w:ascii="Arial"/>
                <w:b/>
                <w:sz w:val="16"/>
              </w:rPr>
              <w:t>Saldo</w:t>
            </w:r>
            <w:r>
              <w:rPr>
                <w:rFonts w:ascii="Arial"/>
                <w:b/>
                <w:spacing w:val="-4"/>
                <w:sz w:val="16"/>
              </w:rPr>
              <w:t xml:space="preserve"> </w:t>
            </w:r>
            <w:r>
              <w:rPr>
                <w:rFonts w:ascii="Arial"/>
                <w:b/>
                <w:sz w:val="16"/>
              </w:rPr>
              <w:t>em</w:t>
            </w:r>
            <w:r>
              <w:rPr>
                <w:rFonts w:ascii="Arial"/>
                <w:b/>
                <w:spacing w:val="1"/>
                <w:sz w:val="16"/>
              </w:rPr>
              <w:t xml:space="preserve"> </w:t>
            </w:r>
            <w:r>
              <w:rPr>
                <w:rFonts w:ascii="Arial"/>
                <w:b/>
                <w:sz w:val="16"/>
              </w:rPr>
              <w:t>31</w:t>
            </w:r>
            <w:r>
              <w:rPr>
                <w:rFonts w:ascii="Arial"/>
                <w:b/>
                <w:spacing w:val="-4"/>
                <w:sz w:val="16"/>
              </w:rPr>
              <w:t xml:space="preserve"> </w:t>
            </w:r>
            <w:r>
              <w:rPr>
                <w:rFonts w:ascii="Arial"/>
                <w:b/>
                <w:sz w:val="16"/>
              </w:rPr>
              <w:t>de</w:t>
            </w:r>
            <w:r>
              <w:rPr>
                <w:rFonts w:ascii="Arial"/>
                <w:b/>
                <w:spacing w:val="-2"/>
                <w:sz w:val="16"/>
              </w:rPr>
              <w:t xml:space="preserve"> </w:t>
            </w:r>
            <w:r>
              <w:rPr>
                <w:rFonts w:ascii="Arial"/>
                <w:b/>
                <w:sz w:val="16"/>
              </w:rPr>
              <w:t>dezembro</w:t>
            </w:r>
            <w:r>
              <w:rPr>
                <w:rFonts w:ascii="Arial"/>
                <w:b/>
                <w:spacing w:val="-3"/>
                <w:sz w:val="16"/>
              </w:rPr>
              <w:t xml:space="preserve"> </w:t>
            </w:r>
            <w:r>
              <w:rPr>
                <w:rFonts w:ascii="Arial"/>
                <w:b/>
                <w:sz w:val="16"/>
              </w:rPr>
              <w:t>de</w:t>
            </w:r>
            <w:r>
              <w:rPr>
                <w:rFonts w:ascii="Arial"/>
                <w:b/>
                <w:spacing w:val="-2"/>
                <w:sz w:val="16"/>
              </w:rPr>
              <w:t xml:space="preserve"> </w:t>
            </w:r>
            <w:r>
              <w:rPr>
                <w:rFonts w:ascii="Arial"/>
                <w:b/>
                <w:spacing w:val="-4"/>
                <w:sz w:val="16"/>
              </w:rPr>
              <w:t>2025</w:t>
            </w:r>
          </w:p>
        </w:tc>
        <w:tc>
          <w:tcPr>
            <w:tcW w:w="1083" w:type="dxa"/>
            <w:tcBorders>
              <w:top w:val="single" w:sz="4" w:space="0" w:color="000000"/>
            </w:tcBorders>
          </w:tcPr>
          <w:p w14:paraId="12BD11F7" w14:textId="77777777" w:rsidR="002C6574" w:rsidRDefault="00000000">
            <w:pPr>
              <w:pStyle w:val="TableParagraph"/>
              <w:tabs>
                <w:tab w:val="left" w:pos="301"/>
              </w:tabs>
              <w:spacing w:before="49"/>
              <w:ind w:left="-1" w:right="68"/>
              <w:rPr>
                <w:rFonts w:ascii="Arial"/>
                <w:b/>
                <w:sz w:val="16"/>
              </w:rPr>
            </w:pPr>
            <w:r>
              <w:rPr>
                <w:rFonts w:ascii="Times New Roman"/>
                <w:sz w:val="16"/>
                <w:u w:val="double"/>
              </w:rPr>
              <w:tab/>
            </w:r>
            <w:r>
              <w:rPr>
                <w:rFonts w:ascii="Arial"/>
                <w:b/>
                <w:spacing w:val="-2"/>
                <w:sz w:val="16"/>
                <w:u w:val="double"/>
              </w:rPr>
              <w:t>3.719.535</w:t>
            </w:r>
          </w:p>
        </w:tc>
        <w:tc>
          <w:tcPr>
            <w:tcW w:w="185" w:type="dxa"/>
          </w:tcPr>
          <w:p w14:paraId="7A66DE22" w14:textId="77777777" w:rsidR="002C6574" w:rsidRDefault="002C6574">
            <w:pPr>
              <w:pStyle w:val="TableParagraph"/>
              <w:jc w:val="left"/>
              <w:rPr>
                <w:rFonts w:ascii="Times New Roman"/>
                <w:sz w:val="16"/>
              </w:rPr>
            </w:pPr>
          </w:p>
        </w:tc>
        <w:tc>
          <w:tcPr>
            <w:tcW w:w="1323" w:type="dxa"/>
            <w:tcBorders>
              <w:top w:val="single" w:sz="4" w:space="0" w:color="000000"/>
            </w:tcBorders>
          </w:tcPr>
          <w:p w14:paraId="5764C166" w14:textId="77777777" w:rsidR="002C6574" w:rsidRDefault="00000000">
            <w:pPr>
              <w:pStyle w:val="TableParagraph"/>
              <w:tabs>
                <w:tab w:val="left" w:pos="437"/>
              </w:tabs>
              <w:spacing w:before="49"/>
              <w:ind w:left="-2" w:right="66"/>
              <w:rPr>
                <w:rFonts w:ascii="Arial"/>
                <w:b/>
                <w:sz w:val="16"/>
              </w:rPr>
            </w:pPr>
            <w:r>
              <w:rPr>
                <w:rFonts w:ascii="Times New Roman"/>
                <w:sz w:val="16"/>
                <w:u w:val="double"/>
              </w:rPr>
              <w:tab/>
            </w:r>
            <w:r>
              <w:rPr>
                <w:rFonts w:ascii="Arial"/>
                <w:b/>
                <w:spacing w:val="-2"/>
                <w:sz w:val="16"/>
                <w:u w:val="double"/>
              </w:rPr>
              <w:t>(1.999.280)</w:t>
            </w:r>
          </w:p>
        </w:tc>
        <w:tc>
          <w:tcPr>
            <w:tcW w:w="185" w:type="dxa"/>
          </w:tcPr>
          <w:p w14:paraId="4F5C5A6B" w14:textId="77777777" w:rsidR="002C6574" w:rsidRDefault="002C6574">
            <w:pPr>
              <w:pStyle w:val="TableParagraph"/>
              <w:jc w:val="left"/>
              <w:rPr>
                <w:rFonts w:ascii="Times New Roman"/>
                <w:sz w:val="16"/>
              </w:rPr>
            </w:pPr>
          </w:p>
        </w:tc>
        <w:tc>
          <w:tcPr>
            <w:tcW w:w="1342" w:type="dxa"/>
            <w:tcBorders>
              <w:top w:val="single" w:sz="4" w:space="0" w:color="000000"/>
            </w:tcBorders>
          </w:tcPr>
          <w:p w14:paraId="25059815" w14:textId="77777777" w:rsidR="002C6574" w:rsidRDefault="00000000">
            <w:pPr>
              <w:pStyle w:val="TableParagraph"/>
              <w:tabs>
                <w:tab w:val="left" w:pos="780"/>
              </w:tabs>
              <w:spacing w:before="49"/>
              <w:ind w:left="-2" w:right="69"/>
              <w:rPr>
                <w:rFonts w:ascii="Arial"/>
                <w:b/>
                <w:sz w:val="16"/>
              </w:rPr>
            </w:pPr>
            <w:r>
              <w:rPr>
                <w:rFonts w:ascii="Times New Roman"/>
                <w:sz w:val="16"/>
                <w:u w:val="double"/>
              </w:rPr>
              <w:tab/>
            </w:r>
            <w:r>
              <w:rPr>
                <w:rFonts w:ascii="Arial"/>
                <w:b/>
                <w:spacing w:val="-2"/>
                <w:sz w:val="16"/>
                <w:u w:val="double"/>
              </w:rPr>
              <w:t>31.945</w:t>
            </w:r>
          </w:p>
        </w:tc>
        <w:tc>
          <w:tcPr>
            <w:tcW w:w="185" w:type="dxa"/>
          </w:tcPr>
          <w:p w14:paraId="62A835F8" w14:textId="77777777" w:rsidR="002C6574" w:rsidRDefault="002C6574">
            <w:pPr>
              <w:pStyle w:val="TableParagraph"/>
              <w:jc w:val="left"/>
              <w:rPr>
                <w:rFonts w:ascii="Times New Roman"/>
                <w:sz w:val="16"/>
              </w:rPr>
            </w:pPr>
          </w:p>
        </w:tc>
        <w:tc>
          <w:tcPr>
            <w:tcW w:w="1138" w:type="dxa"/>
            <w:tcBorders>
              <w:top w:val="single" w:sz="4" w:space="0" w:color="000000"/>
            </w:tcBorders>
          </w:tcPr>
          <w:p w14:paraId="6A2B4ADA" w14:textId="77777777" w:rsidR="002C6574" w:rsidRDefault="00000000">
            <w:pPr>
              <w:pStyle w:val="TableParagraph"/>
              <w:tabs>
                <w:tab w:val="left" w:pos="693"/>
              </w:tabs>
              <w:spacing w:before="49"/>
              <w:ind w:left="-3" w:right="70"/>
              <w:rPr>
                <w:rFonts w:ascii="Arial"/>
                <w:b/>
                <w:sz w:val="16"/>
              </w:rPr>
            </w:pPr>
            <w:r>
              <w:rPr>
                <w:rFonts w:ascii="Times New Roman"/>
                <w:sz w:val="16"/>
                <w:u w:val="double"/>
              </w:rPr>
              <w:tab/>
            </w:r>
            <w:r>
              <w:rPr>
                <w:rFonts w:ascii="Arial"/>
                <w:b/>
                <w:spacing w:val="-2"/>
                <w:sz w:val="16"/>
                <w:u w:val="double"/>
              </w:rPr>
              <w:t>(111)</w:t>
            </w:r>
          </w:p>
        </w:tc>
        <w:tc>
          <w:tcPr>
            <w:tcW w:w="185" w:type="dxa"/>
          </w:tcPr>
          <w:p w14:paraId="19E36C48" w14:textId="77777777" w:rsidR="002C6574" w:rsidRDefault="002C6574">
            <w:pPr>
              <w:pStyle w:val="TableParagraph"/>
              <w:jc w:val="left"/>
              <w:rPr>
                <w:rFonts w:ascii="Times New Roman"/>
                <w:sz w:val="16"/>
              </w:rPr>
            </w:pPr>
          </w:p>
        </w:tc>
        <w:tc>
          <w:tcPr>
            <w:tcW w:w="1375" w:type="dxa"/>
            <w:tcBorders>
              <w:top w:val="single" w:sz="4" w:space="0" w:color="000000"/>
            </w:tcBorders>
          </w:tcPr>
          <w:p w14:paraId="44BDCCE3" w14:textId="77777777" w:rsidR="002C6574" w:rsidRDefault="00000000">
            <w:pPr>
              <w:pStyle w:val="TableParagraph"/>
              <w:tabs>
                <w:tab w:val="left" w:pos="1251"/>
              </w:tabs>
              <w:spacing w:before="49"/>
              <w:ind w:left="-4" w:right="67"/>
              <w:rPr>
                <w:rFonts w:ascii="Arial"/>
                <w:b/>
                <w:sz w:val="16"/>
              </w:rPr>
            </w:pPr>
            <w:r>
              <w:rPr>
                <w:rFonts w:ascii="Times New Roman"/>
                <w:sz w:val="16"/>
                <w:u w:val="double"/>
              </w:rPr>
              <w:tab/>
            </w:r>
            <w:r>
              <w:rPr>
                <w:rFonts w:ascii="Arial"/>
                <w:b/>
                <w:spacing w:val="-10"/>
                <w:sz w:val="16"/>
                <w:u w:val="double"/>
              </w:rPr>
              <w:t>-</w:t>
            </w:r>
          </w:p>
        </w:tc>
        <w:tc>
          <w:tcPr>
            <w:tcW w:w="185" w:type="dxa"/>
          </w:tcPr>
          <w:p w14:paraId="406A0C49" w14:textId="77777777" w:rsidR="002C6574" w:rsidRDefault="002C6574">
            <w:pPr>
              <w:pStyle w:val="TableParagraph"/>
              <w:jc w:val="left"/>
              <w:rPr>
                <w:rFonts w:ascii="Times New Roman"/>
                <w:sz w:val="16"/>
              </w:rPr>
            </w:pPr>
          </w:p>
        </w:tc>
        <w:tc>
          <w:tcPr>
            <w:tcW w:w="1181" w:type="dxa"/>
            <w:tcBorders>
              <w:top w:val="single" w:sz="4" w:space="0" w:color="000000"/>
            </w:tcBorders>
          </w:tcPr>
          <w:p w14:paraId="3F6634F8" w14:textId="77777777" w:rsidR="002C6574" w:rsidRDefault="00000000">
            <w:pPr>
              <w:pStyle w:val="TableParagraph"/>
              <w:tabs>
                <w:tab w:val="left" w:pos="399"/>
              </w:tabs>
              <w:spacing w:before="49"/>
              <w:ind w:left="-4" w:right="68"/>
              <w:rPr>
                <w:rFonts w:ascii="Arial"/>
                <w:b/>
                <w:sz w:val="16"/>
              </w:rPr>
            </w:pPr>
            <w:r>
              <w:rPr>
                <w:rFonts w:ascii="Times New Roman"/>
                <w:sz w:val="16"/>
                <w:u w:val="double"/>
              </w:rPr>
              <w:tab/>
            </w:r>
            <w:r>
              <w:rPr>
                <w:rFonts w:ascii="Arial"/>
                <w:b/>
                <w:spacing w:val="-2"/>
                <w:sz w:val="16"/>
                <w:u w:val="double"/>
              </w:rPr>
              <w:t>1.752.089</w:t>
            </w:r>
          </w:p>
        </w:tc>
      </w:tr>
      <w:tr w:rsidR="002C6574" w14:paraId="10645CE0" w14:textId="77777777">
        <w:trPr>
          <w:trHeight w:val="343"/>
        </w:trPr>
        <w:tc>
          <w:tcPr>
            <w:tcW w:w="7320" w:type="dxa"/>
          </w:tcPr>
          <w:p w14:paraId="71A13FC9" w14:textId="77777777" w:rsidR="002C6574" w:rsidRDefault="00000000">
            <w:pPr>
              <w:pStyle w:val="TableParagraph"/>
              <w:spacing w:before="159" w:line="164" w:lineRule="exact"/>
              <w:ind w:left="50"/>
              <w:jc w:val="left"/>
              <w:rPr>
                <w:rFonts w:ascii="Arial" w:hAnsi="Arial"/>
                <w:b/>
                <w:sz w:val="16"/>
              </w:rPr>
            </w:pPr>
            <w:r>
              <w:rPr>
                <w:rFonts w:ascii="Arial" w:hAnsi="Arial"/>
                <w:b/>
                <w:sz w:val="16"/>
              </w:rPr>
              <w:t>As</w:t>
            </w:r>
            <w:r>
              <w:rPr>
                <w:rFonts w:ascii="Arial" w:hAnsi="Arial"/>
                <w:b/>
                <w:spacing w:val="-6"/>
                <w:sz w:val="16"/>
              </w:rPr>
              <w:t xml:space="preserve"> </w:t>
            </w:r>
            <w:r>
              <w:rPr>
                <w:rFonts w:ascii="Arial" w:hAnsi="Arial"/>
                <w:b/>
                <w:sz w:val="16"/>
              </w:rPr>
              <w:t>notas</w:t>
            </w:r>
            <w:r>
              <w:rPr>
                <w:rFonts w:ascii="Arial" w:hAnsi="Arial"/>
                <w:b/>
                <w:spacing w:val="-1"/>
                <w:sz w:val="16"/>
              </w:rPr>
              <w:t xml:space="preserve"> </w:t>
            </w:r>
            <w:r>
              <w:rPr>
                <w:rFonts w:ascii="Arial" w:hAnsi="Arial"/>
                <w:b/>
                <w:sz w:val="16"/>
              </w:rPr>
              <w:t>explicativas</w:t>
            </w:r>
            <w:r>
              <w:rPr>
                <w:rFonts w:ascii="Arial" w:hAnsi="Arial"/>
                <w:b/>
                <w:spacing w:val="-1"/>
                <w:sz w:val="16"/>
              </w:rPr>
              <w:t xml:space="preserve"> </w:t>
            </w:r>
            <w:r>
              <w:rPr>
                <w:rFonts w:ascii="Arial" w:hAnsi="Arial"/>
                <w:b/>
                <w:sz w:val="16"/>
              </w:rPr>
              <w:t>são</w:t>
            </w:r>
            <w:r>
              <w:rPr>
                <w:rFonts w:ascii="Arial" w:hAnsi="Arial"/>
                <w:b/>
                <w:spacing w:val="-5"/>
                <w:sz w:val="16"/>
              </w:rPr>
              <w:t xml:space="preserve"> </w:t>
            </w:r>
            <w:r>
              <w:rPr>
                <w:rFonts w:ascii="Arial" w:hAnsi="Arial"/>
                <w:b/>
                <w:sz w:val="16"/>
              </w:rPr>
              <w:t>parte</w:t>
            </w:r>
            <w:r>
              <w:rPr>
                <w:rFonts w:ascii="Arial" w:hAnsi="Arial"/>
                <w:b/>
                <w:spacing w:val="-6"/>
                <w:sz w:val="16"/>
              </w:rPr>
              <w:t xml:space="preserve"> </w:t>
            </w:r>
            <w:r>
              <w:rPr>
                <w:rFonts w:ascii="Arial" w:hAnsi="Arial"/>
                <w:b/>
                <w:sz w:val="16"/>
              </w:rPr>
              <w:t>integrante</w:t>
            </w:r>
            <w:r>
              <w:rPr>
                <w:rFonts w:ascii="Arial" w:hAnsi="Arial"/>
                <w:b/>
                <w:spacing w:val="-3"/>
                <w:sz w:val="16"/>
              </w:rPr>
              <w:t xml:space="preserve"> </w:t>
            </w:r>
            <w:r>
              <w:rPr>
                <w:rFonts w:ascii="Arial" w:hAnsi="Arial"/>
                <w:b/>
                <w:sz w:val="16"/>
              </w:rPr>
              <w:t>das</w:t>
            </w:r>
            <w:r>
              <w:rPr>
                <w:rFonts w:ascii="Arial" w:hAnsi="Arial"/>
                <w:b/>
                <w:spacing w:val="-5"/>
                <w:sz w:val="16"/>
              </w:rPr>
              <w:t xml:space="preserve"> </w:t>
            </w:r>
            <w:r>
              <w:rPr>
                <w:rFonts w:ascii="Arial" w:hAnsi="Arial"/>
                <w:b/>
                <w:sz w:val="16"/>
              </w:rPr>
              <w:t>demonstrações</w:t>
            </w:r>
            <w:r>
              <w:rPr>
                <w:rFonts w:ascii="Arial" w:hAnsi="Arial"/>
                <w:b/>
                <w:spacing w:val="-1"/>
                <w:sz w:val="16"/>
              </w:rPr>
              <w:t xml:space="preserve"> </w:t>
            </w:r>
            <w:r>
              <w:rPr>
                <w:rFonts w:ascii="Arial" w:hAnsi="Arial"/>
                <w:b/>
                <w:spacing w:val="-2"/>
                <w:sz w:val="16"/>
              </w:rPr>
              <w:t>contábeis</w:t>
            </w:r>
          </w:p>
        </w:tc>
        <w:tc>
          <w:tcPr>
            <w:tcW w:w="1083" w:type="dxa"/>
          </w:tcPr>
          <w:p w14:paraId="5218F2F0" w14:textId="77777777" w:rsidR="002C6574" w:rsidRDefault="002C6574">
            <w:pPr>
              <w:pStyle w:val="TableParagraph"/>
              <w:jc w:val="left"/>
              <w:rPr>
                <w:rFonts w:ascii="Times New Roman"/>
                <w:sz w:val="16"/>
              </w:rPr>
            </w:pPr>
          </w:p>
        </w:tc>
        <w:tc>
          <w:tcPr>
            <w:tcW w:w="185" w:type="dxa"/>
          </w:tcPr>
          <w:p w14:paraId="222CB0D7" w14:textId="77777777" w:rsidR="002C6574" w:rsidRDefault="002C6574">
            <w:pPr>
              <w:pStyle w:val="TableParagraph"/>
              <w:jc w:val="left"/>
              <w:rPr>
                <w:rFonts w:ascii="Times New Roman"/>
                <w:sz w:val="16"/>
              </w:rPr>
            </w:pPr>
          </w:p>
        </w:tc>
        <w:tc>
          <w:tcPr>
            <w:tcW w:w="1323" w:type="dxa"/>
          </w:tcPr>
          <w:p w14:paraId="2788DECE" w14:textId="77777777" w:rsidR="002C6574" w:rsidRDefault="002C6574">
            <w:pPr>
              <w:pStyle w:val="TableParagraph"/>
              <w:jc w:val="left"/>
              <w:rPr>
                <w:rFonts w:ascii="Times New Roman"/>
                <w:sz w:val="16"/>
              </w:rPr>
            </w:pPr>
          </w:p>
        </w:tc>
        <w:tc>
          <w:tcPr>
            <w:tcW w:w="185" w:type="dxa"/>
          </w:tcPr>
          <w:p w14:paraId="48D84F3D" w14:textId="77777777" w:rsidR="002C6574" w:rsidRDefault="002C6574">
            <w:pPr>
              <w:pStyle w:val="TableParagraph"/>
              <w:jc w:val="left"/>
              <w:rPr>
                <w:rFonts w:ascii="Times New Roman"/>
                <w:sz w:val="16"/>
              </w:rPr>
            </w:pPr>
          </w:p>
        </w:tc>
        <w:tc>
          <w:tcPr>
            <w:tcW w:w="1342" w:type="dxa"/>
          </w:tcPr>
          <w:p w14:paraId="2D64BF29" w14:textId="77777777" w:rsidR="002C6574" w:rsidRDefault="002C6574">
            <w:pPr>
              <w:pStyle w:val="TableParagraph"/>
              <w:jc w:val="left"/>
              <w:rPr>
                <w:rFonts w:ascii="Times New Roman"/>
                <w:sz w:val="16"/>
              </w:rPr>
            </w:pPr>
          </w:p>
        </w:tc>
        <w:tc>
          <w:tcPr>
            <w:tcW w:w="185" w:type="dxa"/>
          </w:tcPr>
          <w:p w14:paraId="0D06663C" w14:textId="77777777" w:rsidR="002C6574" w:rsidRDefault="002C6574">
            <w:pPr>
              <w:pStyle w:val="TableParagraph"/>
              <w:jc w:val="left"/>
              <w:rPr>
                <w:rFonts w:ascii="Times New Roman"/>
                <w:sz w:val="16"/>
              </w:rPr>
            </w:pPr>
          </w:p>
        </w:tc>
        <w:tc>
          <w:tcPr>
            <w:tcW w:w="1138" w:type="dxa"/>
          </w:tcPr>
          <w:p w14:paraId="498CB335" w14:textId="77777777" w:rsidR="002C6574" w:rsidRDefault="002C6574">
            <w:pPr>
              <w:pStyle w:val="TableParagraph"/>
              <w:jc w:val="left"/>
              <w:rPr>
                <w:rFonts w:ascii="Times New Roman"/>
                <w:sz w:val="16"/>
              </w:rPr>
            </w:pPr>
          </w:p>
        </w:tc>
        <w:tc>
          <w:tcPr>
            <w:tcW w:w="185" w:type="dxa"/>
          </w:tcPr>
          <w:p w14:paraId="35C3E6ED" w14:textId="77777777" w:rsidR="002C6574" w:rsidRDefault="002C6574">
            <w:pPr>
              <w:pStyle w:val="TableParagraph"/>
              <w:jc w:val="left"/>
              <w:rPr>
                <w:rFonts w:ascii="Times New Roman"/>
                <w:sz w:val="16"/>
              </w:rPr>
            </w:pPr>
          </w:p>
        </w:tc>
        <w:tc>
          <w:tcPr>
            <w:tcW w:w="1375" w:type="dxa"/>
          </w:tcPr>
          <w:p w14:paraId="377ED070" w14:textId="77777777" w:rsidR="002C6574" w:rsidRDefault="002C6574">
            <w:pPr>
              <w:pStyle w:val="TableParagraph"/>
              <w:jc w:val="left"/>
              <w:rPr>
                <w:rFonts w:ascii="Times New Roman"/>
                <w:sz w:val="16"/>
              </w:rPr>
            </w:pPr>
          </w:p>
        </w:tc>
        <w:tc>
          <w:tcPr>
            <w:tcW w:w="185" w:type="dxa"/>
          </w:tcPr>
          <w:p w14:paraId="170F3753" w14:textId="77777777" w:rsidR="002C6574" w:rsidRDefault="002C6574">
            <w:pPr>
              <w:pStyle w:val="TableParagraph"/>
              <w:jc w:val="left"/>
              <w:rPr>
                <w:rFonts w:ascii="Times New Roman"/>
                <w:sz w:val="16"/>
              </w:rPr>
            </w:pPr>
          </w:p>
        </w:tc>
        <w:tc>
          <w:tcPr>
            <w:tcW w:w="1181" w:type="dxa"/>
          </w:tcPr>
          <w:p w14:paraId="3DCA2E70" w14:textId="77777777" w:rsidR="002C6574" w:rsidRDefault="002C6574">
            <w:pPr>
              <w:pStyle w:val="TableParagraph"/>
              <w:jc w:val="left"/>
              <w:rPr>
                <w:rFonts w:ascii="Times New Roman"/>
                <w:sz w:val="16"/>
              </w:rPr>
            </w:pPr>
          </w:p>
        </w:tc>
      </w:tr>
    </w:tbl>
    <w:p w14:paraId="754BBD36" w14:textId="77777777" w:rsidR="002C6574" w:rsidRDefault="002C6574">
      <w:pPr>
        <w:pStyle w:val="Corpodetexto"/>
        <w:rPr>
          <w:rFonts w:ascii="Arial"/>
          <w:b/>
          <w:sz w:val="16"/>
        </w:rPr>
      </w:pPr>
    </w:p>
    <w:p w14:paraId="75A6B787" w14:textId="77777777" w:rsidR="002C6574" w:rsidRDefault="002C6574">
      <w:pPr>
        <w:pStyle w:val="Corpodetexto"/>
        <w:rPr>
          <w:rFonts w:ascii="Arial"/>
          <w:b/>
          <w:sz w:val="16"/>
        </w:rPr>
      </w:pPr>
    </w:p>
    <w:p w14:paraId="17DB9A13" w14:textId="77777777" w:rsidR="002C6574" w:rsidRDefault="002C6574">
      <w:pPr>
        <w:pStyle w:val="Corpodetexto"/>
        <w:rPr>
          <w:rFonts w:ascii="Arial"/>
          <w:b/>
          <w:sz w:val="16"/>
        </w:rPr>
      </w:pPr>
    </w:p>
    <w:p w14:paraId="5EB29142" w14:textId="77777777" w:rsidR="002C6574" w:rsidRDefault="002C6574">
      <w:pPr>
        <w:pStyle w:val="Corpodetexto"/>
        <w:spacing w:before="20"/>
        <w:rPr>
          <w:rFonts w:ascii="Arial"/>
          <w:b/>
          <w:sz w:val="16"/>
        </w:rPr>
      </w:pPr>
    </w:p>
    <w:p w14:paraId="037B8053" w14:textId="77777777" w:rsidR="002C6574" w:rsidRDefault="00000000">
      <w:pPr>
        <w:ind w:right="1"/>
        <w:jc w:val="right"/>
        <w:rPr>
          <w:rFonts w:ascii="Calibri"/>
          <w:sz w:val="18"/>
        </w:rPr>
      </w:pPr>
      <w:r>
        <w:rPr>
          <w:rFonts w:ascii="Calibri"/>
          <w:spacing w:val="-5"/>
          <w:sz w:val="18"/>
        </w:rPr>
        <w:t>11</w:t>
      </w:r>
    </w:p>
    <w:p w14:paraId="33F6A07B" w14:textId="77777777" w:rsidR="002C6574" w:rsidRDefault="002C6574">
      <w:pPr>
        <w:jc w:val="right"/>
        <w:rPr>
          <w:rFonts w:ascii="Calibri"/>
          <w:sz w:val="18"/>
        </w:rPr>
        <w:sectPr w:rsidR="002C6574">
          <w:type w:val="continuous"/>
          <w:pgSz w:w="16840" w:h="11910" w:orient="landscape"/>
          <w:pgMar w:top="0" w:right="566" w:bottom="0" w:left="566" w:header="0" w:footer="0" w:gutter="0"/>
          <w:cols w:space="720"/>
        </w:sectPr>
      </w:pPr>
    </w:p>
    <w:p w14:paraId="17776E98" w14:textId="77777777" w:rsidR="002C6574" w:rsidRDefault="00000000">
      <w:pPr>
        <w:spacing w:before="74" w:line="259" w:lineRule="auto"/>
        <w:ind w:left="2618" w:right="3325"/>
        <w:jc w:val="center"/>
        <w:rPr>
          <w:rFonts w:ascii="Arial" w:hAnsi="Arial"/>
          <w:b/>
          <w:sz w:val="16"/>
        </w:rPr>
      </w:pPr>
      <w:r>
        <w:rPr>
          <w:rFonts w:ascii="Arial" w:hAnsi="Arial"/>
          <w:b/>
          <w:sz w:val="16"/>
        </w:rPr>
        <w:lastRenderedPageBreak/>
        <w:t>TELECOMUNICAÇÕES</w:t>
      </w:r>
      <w:r>
        <w:rPr>
          <w:rFonts w:ascii="Arial" w:hAnsi="Arial"/>
          <w:b/>
          <w:spacing w:val="-6"/>
          <w:sz w:val="16"/>
        </w:rPr>
        <w:t xml:space="preserve"> </w:t>
      </w:r>
      <w:r>
        <w:rPr>
          <w:rFonts w:ascii="Arial" w:hAnsi="Arial"/>
          <w:b/>
          <w:sz w:val="16"/>
        </w:rPr>
        <w:t>BRASILEIRAS</w:t>
      </w:r>
      <w:r>
        <w:rPr>
          <w:rFonts w:ascii="Arial" w:hAnsi="Arial"/>
          <w:b/>
          <w:spacing w:val="-10"/>
          <w:sz w:val="16"/>
        </w:rPr>
        <w:t xml:space="preserve"> </w:t>
      </w:r>
      <w:r>
        <w:rPr>
          <w:rFonts w:ascii="Arial" w:hAnsi="Arial"/>
          <w:b/>
          <w:sz w:val="16"/>
        </w:rPr>
        <w:t>S.A</w:t>
      </w:r>
      <w:r>
        <w:rPr>
          <w:rFonts w:ascii="Arial" w:hAnsi="Arial"/>
          <w:b/>
          <w:spacing w:val="-8"/>
          <w:sz w:val="16"/>
        </w:rPr>
        <w:t xml:space="preserve"> </w:t>
      </w:r>
      <w:r>
        <w:rPr>
          <w:rFonts w:ascii="Arial" w:hAnsi="Arial"/>
          <w:b/>
          <w:sz w:val="16"/>
        </w:rPr>
        <w:t>-</w:t>
      </w:r>
      <w:r>
        <w:rPr>
          <w:rFonts w:ascii="Arial" w:hAnsi="Arial"/>
          <w:b/>
          <w:spacing w:val="-9"/>
          <w:sz w:val="16"/>
        </w:rPr>
        <w:t xml:space="preserve"> </w:t>
      </w:r>
      <w:r>
        <w:rPr>
          <w:rFonts w:ascii="Arial" w:hAnsi="Arial"/>
          <w:b/>
          <w:sz w:val="16"/>
        </w:rPr>
        <w:t>"TELEBRAS" CNPJ 00.336.701/0001-04</w:t>
      </w:r>
    </w:p>
    <w:p w14:paraId="5BDA83E0" w14:textId="77777777" w:rsidR="002C6574" w:rsidRDefault="00000000">
      <w:pPr>
        <w:spacing w:line="259" w:lineRule="auto"/>
        <w:ind w:left="2621" w:right="3325"/>
        <w:jc w:val="center"/>
        <w:rPr>
          <w:rFonts w:ascii="Arial" w:hAnsi="Arial"/>
          <w:b/>
          <w:sz w:val="16"/>
        </w:rPr>
      </w:pPr>
      <w:r>
        <w:rPr>
          <w:rFonts w:ascii="Arial" w:hAnsi="Arial"/>
          <w:b/>
          <w:sz w:val="16"/>
        </w:rPr>
        <w:t>Demonstrações</w:t>
      </w:r>
      <w:r>
        <w:rPr>
          <w:rFonts w:ascii="Arial" w:hAnsi="Arial"/>
          <w:b/>
          <w:spacing w:val="-5"/>
          <w:sz w:val="16"/>
        </w:rPr>
        <w:t xml:space="preserve"> </w:t>
      </w:r>
      <w:r>
        <w:rPr>
          <w:rFonts w:ascii="Arial" w:hAnsi="Arial"/>
          <w:b/>
          <w:sz w:val="16"/>
        </w:rPr>
        <w:t>dos</w:t>
      </w:r>
      <w:r>
        <w:rPr>
          <w:rFonts w:ascii="Arial" w:hAnsi="Arial"/>
          <w:b/>
          <w:spacing w:val="-3"/>
          <w:sz w:val="16"/>
        </w:rPr>
        <w:t xml:space="preserve"> </w:t>
      </w:r>
      <w:r>
        <w:rPr>
          <w:rFonts w:ascii="Arial" w:hAnsi="Arial"/>
          <w:b/>
          <w:sz w:val="16"/>
        </w:rPr>
        <w:t>Fluxos</w:t>
      </w:r>
      <w:r>
        <w:rPr>
          <w:rFonts w:ascii="Arial" w:hAnsi="Arial"/>
          <w:b/>
          <w:spacing w:val="-6"/>
          <w:sz w:val="16"/>
        </w:rPr>
        <w:t xml:space="preserve"> </w:t>
      </w:r>
      <w:r>
        <w:rPr>
          <w:rFonts w:ascii="Arial" w:hAnsi="Arial"/>
          <w:b/>
          <w:sz w:val="16"/>
        </w:rPr>
        <w:t>de</w:t>
      </w:r>
      <w:r>
        <w:rPr>
          <w:rFonts w:ascii="Arial" w:hAnsi="Arial"/>
          <w:b/>
          <w:spacing w:val="-6"/>
          <w:sz w:val="16"/>
        </w:rPr>
        <w:t xml:space="preserve"> </w:t>
      </w:r>
      <w:r>
        <w:rPr>
          <w:rFonts w:ascii="Arial" w:hAnsi="Arial"/>
          <w:b/>
          <w:sz w:val="16"/>
        </w:rPr>
        <w:t>Caixa</w:t>
      </w:r>
      <w:r>
        <w:rPr>
          <w:rFonts w:ascii="Arial" w:hAnsi="Arial"/>
          <w:b/>
          <w:spacing w:val="-4"/>
          <w:sz w:val="16"/>
        </w:rPr>
        <w:t xml:space="preserve"> </w:t>
      </w:r>
      <w:r>
        <w:rPr>
          <w:rFonts w:ascii="Arial" w:hAnsi="Arial"/>
          <w:b/>
          <w:sz w:val="16"/>
        </w:rPr>
        <w:t>-</w:t>
      </w:r>
      <w:r>
        <w:rPr>
          <w:rFonts w:ascii="Arial" w:hAnsi="Arial"/>
          <w:b/>
          <w:spacing w:val="-4"/>
          <w:sz w:val="16"/>
        </w:rPr>
        <w:t xml:space="preserve"> </w:t>
      </w:r>
      <w:r>
        <w:rPr>
          <w:rFonts w:ascii="Arial" w:hAnsi="Arial"/>
          <w:b/>
          <w:sz w:val="16"/>
        </w:rPr>
        <w:t>Método</w:t>
      </w:r>
      <w:r>
        <w:rPr>
          <w:rFonts w:ascii="Arial" w:hAnsi="Arial"/>
          <w:b/>
          <w:spacing w:val="-5"/>
          <w:sz w:val="16"/>
        </w:rPr>
        <w:t xml:space="preserve"> </w:t>
      </w:r>
      <w:r>
        <w:rPr>
          <w:rFonts w:ascii="Arial" w:hAnsi="Arial"/>
          <w:b/>
          <w:sz w:val="16"/>
        </w:rPr>
        <w:t>Indireto Exercícios findos em 31 de dezembro de 2025 e 2024</w:t>
      </w:r>
    </w:p>
    <w:p w14:paraId="69020D3A" w14:textId="77777777" w:rsidR="002C6574" w:rsidRDefault="00000000">
      <w:pPr>
        <w:spacing w:line="183" w:lineRule="exact"/>
        <w:ind w:left="2620" w:right="3325"/>
        <w:jc w:val="center"/>
        <w:rPr>
          <w:rFonts w:ascii="Arial"/>
          <w:b/>
          <w:sz w:val="16"/>
        </w:rPr>
      </w:pPr>
      <w:r>
        <w:rPr>
          <w:rFonts w:ascii="Arial"/>
          <w:b/>
          <w:sz w:val="16"/>
        </w:rPr>
        <w:t>Em</w:t>
      </w:r>
      <w:r>
        <w:rPr>
          <w:rFonts w:ascii="Arial"/>
          <w:b/>
          <w:spacing w:val="-2"/>
          <w:sz w:val="16"/>
        </w:rPr>
        <w:t xml:space="preserve"> </w:t>
      </w:r>
      <w:r>
        <w:rPr>
          <w:rFonts w:ascii="Arial"/>
          <w:b/>
          <w:sz w:val="16"/>
        </w:rPr>
        <w:t>milhares</w:t>
      </w:r>
      <w:r>
        <w:rPr>
          <w:rFonts w:ascii="Arial"/>
          <w:b/>
          <w:spacing w:val="-1"/>
          <w:sz w:val="16"/>
        </w:rPr>
        <w:t xml:space="preserve"> </w:t>
      </w:r>
      <w:r>
        <w:rPr>
          <w:rFonts w:ascii="Arial"/>
          <w:b/>
          <w:sz w:val="16"/>
        </w:rPr>
        <w:t>de</w:t>
      </w:r>
      <w:r>
        <w:rPr>
          <w:rFonts w:ascii="Arial"/>
          <w:b/>
          <w:spacing w:val="-5"/>
          <w:sz w:val="16"/>
        </w:rPr>
        <w:t xml:space="preserve"> </w:t>
      </w:r>
      <w:r>
        <w:rPr>
          <w:rFonts w:ascii="Arial"/>
          <w:b/>
          <w:sz w:val="16"/>
        </w:rPr>
        <w:t>reais,</w:t>
      </w:r>
      <w:r>
        <w:rPr>
          <w:rFonts w:ascii="Arial"/>
          <w:b/>
          <w:spacing w:val="-2"/>
          <w:sz w:val="16"/>
        </w:rPr>
        <w:t xml:space="preserve"> </w:t>
      </w:r>
      <w:r>
        <w:rPr>
          <w:rFonts w:ascii="Arial"/>
          <w:b/>
          <w:sz w:val="16"/>
        </w:rPr>
        <w:t>exceto</w:t>
      </w:r>
      <w:r>
        <w:rPr>
          <w:rFonts w:ascii="Arial"/>
          <w:b/>
          <w:spacing w:val="-2"/>
          <w:sz w:val="16"/>
        </w:rPr>
        <w:t xml:space="preserve"> </w:t>
      </w:r>
      <w:r>
        <w:rPr>
          <w:rFonts w:ascii="Arial"/>
          <w:b/>
          <w:sz w:val="16"/>
        </w:rPr>
        <w:t>quando</w:t>
      </w:r>
      <w:r>
        <w:rPr>
          <w:rFonts w:ascii="Arial"/>
          <w:b/>
          <w:spacing w:val="-4"/>
          <w:sz w:val="16"/>
        </w:rPr>
        <w:t xml:space="preserve"> </w:t>
      </w:r>
      <w:r>
        <w:rPr>
          <w:rFonts w:ascii="Arial"/>
          <w:b/>
          <w:sz w:val="16"/>
        </w:rPr>
        <w:t>indicado</w:t>
      </w:r>
      <w:r>
        <w:rPr>
          <w:rFonts w:ascii="Arial"/>
          <w:b/>
          <w:spacing w:val="-4"/>
          <w:sz w:val="16"/>
        </w:rPr>
        <w:t xml:space="preserve"> </w:t>
      </w:r>
      <w:r>
        <w:rPr>
          <w:rFonts w:ascii="Arial"/>
          <w:b/>
          <w:sz w:val="16"/>
        </w:rPr>
        <w:t>de</w:t>
      </w:r>
      <w:r>
        <w:rPr>
          <w:rFonts w:ascii="Arial"/>
          <w:b/>
          <w:spacing w:val="-5"/>
          <w:sz w:val="16"/>
        </w:rPr>
        <w:t xml:space="preserve"> </w:t>
      </w:r>
      <w:r>
        <w:rPr>
          <w:rFonts w:ascii="Arial"/>
          <w:b/>
          <w:sz w:val="16"/>
        </w:rPr>
        <w:t>outra</w:t>
      </w:r>
      <w:r>
        <w:rPr>
          <w:rFonts w:ascii="Arial"/>
          <w:b/>
          <w:spacing w:val="-2"/>
          <w:sz w:val="16"/>
        </w:rPr>
        <w:t xml:space="preserve"> </w:t>
      </w:r>
      <w:r>
        <w:rPr>
          <w:rFonts w:ascii="Arial"/>
          <w:b/>
          <w:spacing w:val="-4"/>
          <w:sz w:val="16"/>
        </w:rPr>
        <w:t>forma</w:t>
      </w:r>
    </w:p>
    <w:p w14:paraId="0EC256A5" w14:textId="77777777" w:rsidR="002C6574" w:rsidRDefault="002C6574">
      <w:pPr>
        <w:pStyle w:val="Corpodetexto"/>
        <w:spacing w:before="7"/>
        <w:rPr>
          <w:rFonts w:ascii="Arial"/>
          <w:b/>
          <w:sz w:val="17"/>
        </w:rPr>
      </w:pPr>
    </w:p>
    <w:tbl>
      <w:tblPr>
        <w:tblStyle w:val="TableNormal"/>
        <w:tblW w:w="0" w:type="auto"/>
        <w:tblInd w:w="29" w:type="dxa"/>
        <w:tblLayout w:type="fixed"/>
        <w:tblLook w:val="01E0" w:firstRow="1" w:lastRow="1" w:firstColumn="1" w:lastColumn="1" w:noHBand="0" w:noVBand="0"/>
      </w:tblPr>
      <w:tblGrid>
        <w:gridCol w:w="6532"/>
        <w:gridCol w:w="1538"/>
        <w:gridCol w:w="146"/>
        <w:gridCol w:w="1536"/>
      </w:tblGrid>
      <w:tr w:rsidR="002C6574" w14:paraId="364F4653" w14:textId="77777777">
        <w:trPr>
          <w:trHeight w:val="198"/>
        </w:trPr>
        <w:tc>
          <w:tcPr>
            <w:tcW w:w="6532" w:type="dxa"/>
          </w:tcPr>
          <w:p w14:paraId="5082B2FC" w14:textId="77777777" w:rsidR="002C6574" w:rsidRDefault="002C6574">
            <w:pPr>
              <w:pStyle w:val="TableParagraph"/>
              <w:jc w:val="left"/>
              <w:rPr>
                <w:rFonts w:ascii="Times New Roman"/>
                <w:sz w:val="12"/>
              </w:rPr>
            </w:pPr>
          </w:p>
        </w:tc>
        <w:tc>
          <w:tcPr>
            <w:tcW w:w="1538" w:type="dxa"/>
            <w:tcBorders>
              <w:top w:val="single" w:sz="4" w:space="0" w:color="000000"/>
              <w:bottom w:val="single" w:sz="4" w:space="0" w:color="000000"/>
            </w:tcBorders>
          </w:tcPr>
          <w:p w14:paraId="41194C7B" w14:textId="77777777" w:rsidR="002C6574" w:rsidRDefault="00000000">
            <w:pPr>
              <w:pStyle w:val="TableParagraph"/>
              <w:spacing w:before="15" w:line="163" w:lineRule="exact"/>
              <w:ind w:left="4"/>
              <w:jc w:val="center"/>
              <w:rPr>
                <w:rFonts w:ascii="Arial"/>
                <w:b/>
                <w:sz w:val="16"/>
              </w:rPr>
            </w:pPr>
            <w:r>
              <w:rPr>
                <w:rFonts w:ascii="Arial"/>
                <w:b/>
                <w:spacing w:val="-4"/>
                <w:sz w:val="16"/>
              </w:rPr>
              <w:t>2025</w:t>
            </w:r>
          </w:p>
        </w:tc>
        <w:tc>
          <w:tcPr>
            <w:tcW w:w="146" w:type="dxa"/>
            <w:tcBorders>
              <w:top w:val="single" w:sz="4" w:space="0" w:color="000000"/>
            </w:tcBorders>
          </w:tcPr>
          <w:p w14:paraId="0297E9D9" w14:textId="77777777" w:rsidR="002C6574" w:rsidRDefault="002C6574">
            <w:pPr>
              <w:pStyle w:val="TableParagraph"/>
              <w:jc w:val="left"/>
              <w:rPr>
                <w:rFonts w:ascii="Times New Roman"/>
                <w:sz w:val="12"/>
              </w:rPr>
            </w:pPr>
          </w:p>
        </w:tc>
        <w:tc>
          <w:tcPr>
            <w:tcW w:w="1536" w:type="dxa"/>
            <w:tcBorders>
              <w:top w:val="single" w:sz="4" w:space="0" w:color="000000"/>
              <w:bottom w:val="single" w:sz="4" w:space="0" w:color="000000"/>
            </w:tcBorders>
          </w:tcPr>
          <w:p w14:paraId="18F2D12C" w14:textId="77777777" w:rsidR="002C6574" w:rsidRDefault="00000000">
            <w:pPr>
              <w:pStyle w:val="TableParagraph"/>
              <w:spacing w:before="8" w:line="171" w:lineRule="exact"/>
              <w:ind w:left="2"/>
              <w:jc w:val="center"/>
              <w:rPr>
                <w:rFonts w:ascii="Arial"/>
                <w:b/>
                <w:sz w:val="16"/>
              </w:rPr>
            </w:pPr>
            <w:r>
              <w:rPr>
                <w:rFonts w:ascii="Arial"/>
                <w:b/>
                <w:spacing w:val="-4"/>
                <w:sz w:val="16"/>
              </w:rPr>
              <w:t>2024</w:t>
            </w:r>
          </w:p>
        </w:tc>
      </w:tr>
      <w:tr w:rsidR="002C6574" w14:paraId="690AE0AA" w14:textId="77777777">
        <w:trPr>
          <w:trHeight w:val="397"/>
        </w:trPr>
        <w:tc>
          <w:tcPr>
            <w:tcW w:w="6532" w:type="dxa"/>
          </w:tcPr>
          <w:p w14:paraId="1A49B79F" w14:textId="77777777" w:rsidR="002C6574" w:rsidRDefault="00000000">
            <w:pPr>
              <w:pStyle w:val="TableParagraph"/>
              <w:spacing w:before="13"/>
              <w:ind w:left="50"/>
              <w:jc w:val="left"/>
              <w:rPr>
                <w:rFonts w:ascii="Arial"/>
                <w:b/>
                <w:sz w:val="16"/>
              </w:rPr>
            </w:pPr>
            <w:r>
              <w:rPr>
                <w:rFonts w:ascii="Arial"/>
                <w:b/>
                <w:sz w:val="16"/>
              </w:rPr>
              <w:t>Fluxos</w:t>
            </w:r>
            <w:r>
              <w:rPr>
                <w:rFonts w:ascii="Arial"/>
                <w:b/>
                <w:spacing w:val="-5"/>
                <w:sz w:val="16"/>
              </w:rPr>
              <w:t xml:space="preserve"> </w:t>
            </w:r>
            <w:r>
              <w:rPr>
                <w:rFonts w:ascii="Arial"/>
                <w:b/>
                <w:sz w:val="16"/>
              </w:rPr>
              <w:t>de</w:t>
            </w:r>
            <w:r>
              <w:rPr>
                <w:rFonts w:ascii="Arial"/>
                <w:b/>
                <w:spacing w:val="-3"/>
                <w:sz w:val="16"/>
              </w:rPr>
              <w:t xml:space="preserve"> </w:t>
            </w:r>
            <w:r>
              <w:rPr>
                <w:rFonts w:ascii="Arial"/>
                <w:b/>
                <w:sz w:val="16"/>
              </w:rPr>
              <w:t>Caixa</w:t>
            </w:r>
            <w:r>
              <w:rPr>
                <w:rFonts w:ascii="Arial"/>
                <w:b/>
                <w:spacing w:val="-2"/>
                <w:sz w:val="16"/>
              </w:rPr>
              <w:t xml:space="preserve"> </w:t>
            </w:r>
            <w:r>
              <w:rPr>
                <w:rFonts w:ascii="Arial"/>
                <w:b/>
                <w:sz w:val="16"/>
              </w:rPr>
              <w:t>das</w:t>
            </w:r>
            <w:r>
              <w:rPr>
                <w:rFonts w:ascii="Arial"/>
                <w:b/>
                <w:spacing w:val="-2"/>
                <w:sz w:val="16"/>
              </w:rPr>
              <w:t xml:space="preserve"> </w:t>
            </w:r>
            <w:r>
              <w:rPr>
                <w:rFonts w:ascii="Arial"/>
                <w:b/>
                <w:sz w:val="16"/>
              </w:rPr>
              <w:t>Atividades</w:t>
            </w:r>
            <w:r>
              <w:rPr>
                <w:rFonts w:ascii="Arial"/>
                <w:b/>
                <w:spacing w:val="-5"/>
                <w:sz w:val="16"/>
              </w:rPr>
              <w:t xml:space="preserve"> </w:t>
            </w:r>
            <w:r>
              <w:rPr>
                <w:rFonts w:ascii="Arial"/>
                <w:b/>
                <w:spacing w:val="-2"/>
                <w:sz w:val="16"/>
              </w:rPr>
              <w:t>Operacionais</w:t>
            </w:r>
          </w:p>
          <w:p w14:paraId="1915FD98" w14:textId="77777777" w:rsidR="002C6574" w:rsidRDefault="00000000">
            <w:pPr>
              <w:pStyle w:val="TableParagraph"/>
              <w:spacing w:before="15" w:line="166" w:lineRule="exact"/>
              <w:ind w:left="50"/>
              <w:jc w:val="left"/>
              <w:rPr>
                <w:rFonts w:ascii="Arial" w:hAnsi="Arial"/>
                <w:b/>
                <w:sz w:val="16"/>
              </w:rPr>
            </w:pPr>
            <w:r>
              <w:rPr>
                <w:rFonts w:ascii="Arial" w:hAnsi="Arial"/>
                <w:b/>
                <w:sz w:val="16"/>
              </w:rPr>
              <w:t>Lucro/(Prejuízo)</w:t>
            </w:r>
            <w:r>
              <w:rPr>
                <w:rFonts w:ascii="Arial" w:hAnsi="Arial"/>
                <w:b/>
                <w:spacing w:val="-4"/>
                <w:sz w:val="16"/>
              </w:rPr>
              <w:t xml:space="preserve"> </w:t>
            </w:r>
            <w:r>
              <w:rPr>
                <w:rFonts w:ascii="Arial" w:hAnsi="Arial"/>
                <w:b/>
                <w:sz w:val="16"/>
              </w:rPr>
              <w:t>antes</w:t>
            </w:r>
            <w:r>
              <w:rPr>
                <w:rFonts w:ascii="Arial" w:hAnsi="Arial"/>
                <w:b/>
                <w:spacing w:val="-7"/>
                <w:sz w:val="16"/>
              </w:rPr>
              <w:t xml:space="preserve"> </w:t>
            </w:r>
            <w:r>
              <w:rPr>
                <w:rFonts w:ascii="Arial" w:hAnsi="Arial"/>
                <w:b/>
                <w:sz w:val="16"/>
              </w:rPr>
              <w:t>do</w:t>
            </w:r>
            <w:r>
              <w:rPr>
                <w:rFonts w:ascii="Arial" w:hAnsi="Arial"/>
                <w:b/>
                <w:spacing w:val="-5"/>
                <w:sz w:val="16"/>
              </w:rPr>
              <w:t xml:space="preserve"> </w:t>
            </w:r>
            <w:r>
              <w:rPr>
                <w:rFonts w:ascii="Arial" w:hAnsi="Arial"/>
                <w:b/>
                <w:sz w:val="16"/>
              </w:rPr>
              <w:t>Imposto</w:t>
            </w:r>
            <w:r>
              <w:rPr>
                <w:rFonts w:ascii="Arial" w:hAnsi="Arial"/>
                <w:b/>
                <w:spacing w:val="-3"/>
                <w:sz w:val="16"/>
              </w:rPr>
              <w:t xml:space="preserve"> </w:t>
            </w:r>
            <w:r>
              <w:rPr>
                <w:rFonts w:ascii="Arial" w:hAnsi="Arial"/>
                <w:b/>
                <w:sz w:val="16"/>
              </w:rPr>
              <w:t>de</w:t>
            </w:r>
            <w:r>
              <w:rPr>
                <w:rFonts w:ascii="Arial" w:hAnsi="Arial"/>
                <w:b/>
                <w:spacing w:val="-3"/>
                <w:sz w:val="16"/>
              </w:rPr>
              <w:t xml:space="preserve"> </w:t>
            </w:r>
            <w:r>
              <w:rPr>
                <w:rFonts w:ascii="Arial" w:hAnsi="Arial"/>
                <w:b/>
                <w:sz w:val="16"/>
              </w:rPr>
              <w:t>Renda</w:t>
            </w:r>
            <w:r>
              <w:rPr>
                <w:rFonts w:ascii="Arial" w:hAnsi="Arial"/>
                <w:b/>
                <w:spacing w:val="-5"/>
                <w:sz w:val="16"/>
              </w:rPr>
              <w:t xml:space="preserve"> </w:t>
            </w:r>
            <w:r>
              <w:rPr>
                <w:rFonts w:ascii="Arial" w:hAnsi="Arial"/>
                <w:b/>
                <w:sz w:val="16"/>
              </w:rPr>
              <w:t>e</w:t>
            </w:r>
            <w:r>
              <w:rPr>
                <w:rFonts w:ascii="Arial" w:hAnsi="Arial"/>
                <w:b/>
                <w:spacing w:val="-2"/>
                <w:sz w:val="16"/>
              </w:rPr>
              <w:t xml:space="preserve"> </w:t>
            </w:r>
            <w:r>
              <w:rPr>
                <w:rFonts w:ascii="Arial" w:hAnsi="Arial"/>
                <w:b/>
                <w:sz w:val="16"/>
              </w:rPr>
              <w:t>Contribuição</w:t>
            </w:r>
            <w:r>
              <w:rPr>
                <w:rFonts w:ascii="Arial" w:hAnsi="Arial"/>
                <w:b/>
                <w:spacing w:val="-5"/>
                <w:sz w:val="16"/>
              </w:rPr>
              <w:t xml:space="preserve"> </w:t>
            </w:r>
            <w:r>
              <w:rPr>
                <w:rFonts w:ascii="Arial" w:hAnsi="Arial"/>
                <w:b/>
                <w:spacing w:val="-2"/>
                <w:sz w:val="16"/>
              </w:rPr>
              <w:t>Social</w:t>
            </w:r>
          </w:p>
        </w:tc>
        <w:tc>
          <w:tcPr>
            <w:tcW w:w="1538" w:type="dxa"/>
            <w:tcBorders>
              <w:top w:val="single" w:sz="4" w:space="0" w:color="000000"/>
            </w:tcBorders>
          </w:tcPr>
          <w:p w14:paraId="7BAE77D9" w14:textId="77777777" w:rsidR="002C6574" w:rsidRDefault="002C6574">
            <w:pPr>
              <w:pStyle w:val="TableParagraph"/>
              <w:spacing w:before="28"/>
              <w:jc w:val="left"/>
              <w:rPr>
                <w:rFonts w:ascii="Arial"/>
                <w:b/>
                <w:sz w:val="16"/>
              </w:rPr>
            </w:pPr>
          </w:p>
          <w:p w14:paraId="6F38B28B" w14:textId="77777777" w:rsidR="002C6574" w:rsidRDefault="00000000">
            <w:pPr>
              <w:pStyle w:val="TableParagraph"/>
              <w:spacing w:line="166" w:lineRule="exact"/>
              <w:ind w:right="83"/>
              <w:rPr>
                <w:rFonts w:ascii="Arial"/>
                <w:b/>
                <w:sz w:val="16"/>
              </w:rPr>
            </w:pPr>
            <w:r>
              <w:rPr>
                <w:rFonts w:ascii="Arial"/>
                <w:b/>
                <w:spacing w:val="-2"/>
                <w:sz w:val="16"/>
              </w:rPr>
              <w:t>182.436</w:t>
            </w:r>
          </w:p>
        </w:tc>
        <w:tc>
          <w:tcPr>
            <w:tcW w:w="146" w:type="dxa"/>
          </w:tcPr>
          <w:p w14:paraId="6D26824B" w14:textId="77777777" w:rsidR="002C6574" w:rsidRDefault="002C6574">
            <w:pPr>
              <w:pStyle w:val="TableParagraph"/>
              <w:jc w:val="left"/>
              <w:rPr>
                <w:rFonts w:ascii="Times New Roman"/>
                <w:sz w:val="16"/>
              </w:rPr>
            </w:pPr>
          </w:p>
        </w:tc>
        <w:tc>
          <w:tcPr>
            <w:tcW w:w="1536" w:type="dxa"/>
            <w:tcBorders>
              <w:top w:val="single" w:sz="4" w:space="0" w:color="000000"/>
            </w:tcBorders>
          </w:tcPr>
          <w:p w14:paraId="79616490" w14:textId="77777777" w:rsidR="002C6574" w:rsidRDefault="002C6574">
            <w:pPr>
              <w:pStyle w:val="TableParagraph"/>
              <w:spacing w:before="28"/>
              <w:jc w:val="left"/>
              <w:rPr>
                <w:rFonts w:ascii="Arial"/>
                <w:b/>
                <w:sz w:val="16"/>
              </w:rPr>
            </w:pPr>
          </w:p>
          <w:p w14:paraId="285BE91E" w14:textId="77777777" w:rsidR="002C6574" w:rsidRDefault="00000000">
            <w:pPr>
              <w:pStyle w:val="TableParagraph"/>
              <w:spacing w:line="166" w:lineRule="exact"/>
              <w:ind w:right="65"/>
              <w:rPr>
                <w:rFonts w:ascii="Arial"/>
                <w:b/>
                <w:sz w:val="16"/>
              </w:rPr>
            </w:pPr>
            <w:r>
              <w:rPr>
                <w:rFonts w:ascii="Arial"/>
                <w:b/>
                <w:spacing w:val="-2"/>
                <w:sz w:val="16"/>
              </w:rPr>
              <w:t>(66.572)</w:t>
            </w:r>
          </w:p>
        </w:tc>
      </w:tr>
      <w:tr w:rsidR="002C6574" w14:paraId="6758415A" w14:textId="77777777">
        <w:trPr>
          <w:trHeight w:val="190"/>
        </w:trPr>
        <w:tc>
          <w:tcPr>
            <w:tcW w:w="6532" w:type="dxa"/>
          </w:tcPr>
          <w:p w14:paraId="6159BF82" w14:textId="77777777" w:rsidR="002C6574" w:rsidRDefault="00000000">
            <w:pPr>
              <w:pStyle w:val="TableParagraph"/>
              <w:spacing w:line="171" w:lineRule="exact"/>
              <w:ind w:left="94"/>
              <w:jc w:val="left"/>
              <w:rPr>
                <w:rFonts w:ascii="Arial"/>
                <w:b/>
                <w:sz w:val="16"/>
              </w:rPr>
            </w:pPr>
            <w:r>
              <w:rPr>
                <w:rFonts w:ascii="Arial"/>
                <w:b/>
                <w:sz w:val="16"/>
              </w:rPr>
              <w:t>Ajustes</w:t>
            </w:r>
            <w:r>
              <w:rPr>
                <w:rFonts w:ascii="Arial"/>
                <w:b/>
                <w:spacing w:val="-2"/>
                <w:sz w:val="16"/>
              </w:rPr>
              <w:t xml:space="preserve"> </w:t>
            </w:r>
            <w:r>
              <w:rPr>
                <w:rFonts w:ascii="Arial"/>
                <w:b/>
                <w:spacing w:val="-4"/>
                <w:sz w:val="16"/>
              </w:rPr>
              <w:t>por:</w:t>
            </w:r>
          </w:p>
        </w:tc>
        <w:tc>
          <w:tcPr>
            <w:tcW w:w="1538" w:type="dxa"/>
          </w:tcPr>
          <w:p w14:paraId="4B14D1B1" w14:textId="77777777" w:rsidR="002C6574" w:rsidRDefault="002C6574">
            <w:pPr>
              <w:pStyle w:val="TableParagraph"/>
              <w:jc w:val="left"/>
              <w:rPr>
                <w:rFonts w:ascii="Times New Roman"/>
                <w:sz w:val="12"/>
              </w:rPr>
            </w:pPr>
          </w:p>
        </w:tc>
        <w:tc>
          <w:tcPr>
            <w:tcW w:w="146" w:type="dxa"/>
          </w:tcPr>
          <w:p w14:paraId="78BD499D" w14:textId="77777777" w:rsidR="002C6574" w:rsidRDefault="002C6574">
            <w:pPr>
              <w:pStyle w:val="TableParagraph"/>
              <w:jc w:val="left"/>
              <w:rPr>
                <w:rFonts w:ascii="Times New Roman"/>
                <w:sz w:val="12"/>
              </w:rPr>
            </w:pPr>
          </w:p>
        </w:tc>
        <w:tc>
          <w:tcPr>
            <w:tcW w:w="1536" w:type="dxa"/>
          </w:tcPr>
          <w:p w14:paraId="10BE15D5" w14:textId="77777777" w:rsidR="002C6574" w:rsidRDefault="002C6574">
            <w:pPr>
              <w:pStyle w:val="TableParagraph"/>
              <w:jc w:val="left"/>
              <w:rPr>
                <w:rFonts w:ascii="Times New Roman"/>
                <w:sz w:val="12"/>
              </w:rPr>
            </w:pPr>
          </w:p>
        </w:tc>
      </w:tr>
      <w:tr w:rsidR="002C6574" w14:paraId="02CB20F5" w14:textId="77777777">
        <w:trPr>
          <w:trHeight w:val="205"/>
        </w:trPr>
        <w:tc>
          <w:tcPr>
            <w:tcW w:w="6532" w:type="dxa"/>
          </w:tcPr>
          <w:p w14:paraId="3FD003A5" w14:textId="77777777" w:rsidR="002C6574" w:rsidRDefault="00000000">
            <w:pPr>
              <w:pStyle w:val="TableParagraph"/>
              <w:spacing w:line="185" w:lineRule="exact"/>
              <w:ind w:left="413"/>
              <w:jc w:val="left"/>
              <w:rPr>
                <w:sz w:val="16"/>
              </w:rPr>
            </w:pPr>
            <w:r>
              <w:rPr>
                <w:sz w:val="16"/>
              </w:rPr>
              <w:t>Depreciação</w:t>
            </w:r>
            <w:r>
              <w:rPr>
                <w:spacing w:val="11"/>
                <w:sz w:val="16"/>
              </w:rPr>
              <w:t xml:space="preserve"> </w:t>
            </w:r>
            <w:r>
              <w:rPr>
                <w:sz w:val="16"/>
              </w:rPr>
              <w:t>e</w:t>
            </w:r>
            <w:r>
              <w:rPr>
                <w:spacing w:val="13"/>
                <w:sz w:val="16"/>
              </w:rPr>
              <w:t xml:space="preserve"> </w:t>
            </w:r>
            <w:r>
              <w:rPr>
                <w:spacing w:val="-2"/>
                <w:sz w:val="16"/>
              </w:rPr>
              <w:t>Amortização</w:t>
            </w:r>
          </w:p>
        </w:tc>
        <w:tc>
          <w:tcPr>
            <w:tcW w:w="1538" w:type="dxa"/>
          </w:tcPr>
          <w:p w14:paraId="2A28A4A3" w14:textId="77777777" w:rsidR="002C6574" w:rsidRDefault="00000000">
            <w:pPr>
              <w:pStyle w:val="TableParagraph"/>
              <w:spacing w:line="185" w:lineRule="exact"/>
              <w:ind w:right="83"/>
              <w:rPr>
                <w:sz w:val="16"/>
              </w:rPr>
            </w:pPr>
            <w:r>
              <w:rPr>
                <w:spacing w:val="-2"/>
                <w:w w:val="105"/>
                <w:sz w:val="16"/>
              </w:rPr>
              <w:t>274.104</w:t>
            </w:r>
          </w:p>
        </w:tc>
        <w:tc>
          <w:tcPr>
            <w:tcW w:w="146" w:type="dxa"/>
          </w:tcPr>
          <w:p w14:paraId="7440D6EE" w14:textId="77777777" w:rsidR="002C6574" w:rsidRDefault="002C6574">
            <w:pPr>
              <w:pStyle w:val="TableParagraph"/>
              <w:jc w:val="left"/>
              <w:rPr>
                <w:rFonts w:ascii="Times New Roman"/>
                <w:sz w:val="14"/>
              </w:rPr>
            </w:pPr>
          </w:p>
        </w:tc>
        <w:tc>
          <w:tcPr>
            <w:tcW w:w="1536" w:type="dxa"/>
          </w:tcPr>
          <w:p w14:paraId="768260DE" w14:textId="77777777" w:rsidR="002C6574" w:rsidRDefault="00000000">
            <w:pPr>
              <w:pStyle w:val="TableParagraph"/>
              <w:spacing w:line="185" w:lineRule="exact"/>
              <w:ind w:right="83"/>
              <w:rPr>
                <w:sz w:val="16"/>
              </w:rPr>
            </w:pPr>
            <w:r>
              <w:rPr>
                <w:spacing w:val="-2"/>
                <w:w w:val="105"/>
                <w:sz w:val="16"/>
              </w:rPr>
              <w:t>270.044</w:t>
            </w:r>
          </w:p>
        </w:tc>
      </w:tr>
      <w:tr w:rsidR="002C6574" w14:paraId="18F56792" w14:textId="77777777">
        <w:trPr>
          <w:trHeight w:val="197"/>
        </w:trPr>
        <w:tc>
          <w:tcPr>
            <w:tcW w:w="6532" w:type="dxa"/>
          </w:tcPr>
          <w:p w14:paraId="45BC17AB" w14:textId="77777777" w:rsidR="002C6574" w:rsidRDefault="00000000">
            <w:pPr>
              <w:pStyle w:val="TableParagraph"/>
              <w:spacing w:line="178" w:lineRule="exact"/>
              <w:ind w:left="413"/>
              <w:jc w:val="left"/>
              <w:rPr>
                <w:sz w:val="16"/>
              </w:rPr>
            </w:pPr>
            <w:r>
              <w:rPr>
                <w:w w:val="105"/>
                <w:sz w:val="16"/>
              </w:rPr>
              <w:t>Provisão/Rever.</w:t>
            </w:r>
            <w:r>
              <w:rPr>
                <w:spacing w:val="-2"/>
                <w:w w:val="105"/>
                <w:sz w:val="16"/>
              </w:rPr>
              <w:t xml:space="preserve"> </w:t>
            </w:r>
            <w:r>
              <w:rPr>
                <w:w w:val="105"/>
                <w:sz w:val="16"/>
              </w:rPr>
              <w:t>para</w:t>
            </w:r>
            <w:r>
              <w:rPr>
                <w:spacing w:val="-2"/>
                <w:w w:val="105"/>
                <w:sz w:val="16"/>
              </w:rPr>
              <w:t xml:space="preserve"> </w:t>
            </w:r>
            <w:r>
              <w:rPr>
                <w:w w:val="105"/>
                <w:sz w:val="16"/>
              </w:rPr>
              <w:t>Riscos</w:t>
            </w:r>
            <w:r>
              <w:rPr>
                <w:spacing w:val="-1"/>
                <w:w w:val="105"/>
                <w:sz w:val="16"/>
              </w:rPr>
              <w:t xml:space="preserve"> </w:t>
            </w:r>
            <w:r>
              <w:rPr>
                <w:w w:val="105"/>
                <w:sz w:val="16"/>
              </w:rPr>
              <w:t>Prováveis</w:t>
            </w:r>
            <w:r>
              <w:rPr>
                <w:spacing w:val="-2"/>
                <w:w w:val="105"/>
                <w:sz w:val="16"/>
              </w:rPr>
              <w:t xml:space="preserve"> </w:t>
            </w:r>
            <w:r>
              <w:rPr>
                <w:w w:val="105"/>
                <w:sz w:val="16"/>
              </w:rPr>
              <w:t>Trabalhistas,</w:t>
            </w:r>
            <w:r>
              <w:rPr>
                <w:spacing w:val="-2"/>
                <w:w w:val="105"/>
                <w:sz w:val="16"/>
              </w:rPr>
              <w:t xml:space="preserve"> </w:t>
            </w:r>
            <w:r>
              <w:rPr>
                <w:w w:val="105"/>
                <w:sz w:val="16"/>
              </w:rPr>
              <w:t>Cíveis</w:t>
            </w:r>
            <w:r>
              <w:rPr>
                <w:spacing w:val="1"/>
                <w:w w:val="105"/>
                <w:sz w:val="16"/>
              </w:rPr>
              <w:t xml:space="preserve"> </w:t>
            </w:r>
            <w:r>
              <w:rPr>
                <w:w w:val="105"/>
                <w:sz w:val="16"/>
              </w:rPr>
              <w:t>e</w:t>
            </w:r>
            <w:r>
              <w:rPr>
                <w:spacing w:val="-3"/>
                <w:w w:val="105"/>
                <w:sz w:val="16"/>
              </w:rPr>
              <w:t xml:space="preserve"> </w:t>
            </w:r>
            <w:r>
              <w:rPr>
                <w:spacing w:val="-2"/>
                <w:w w:val="105"/>
                <w:sz w:val="16"/>
              </w:rPr>
              <w:t>Fiscais</w:t>
            </w:r>
          </w:p>
        </w:tc>
        <w:tc>
          <w:tcPr>
            <w:tcW w:w="1538" w:type="dxa"/>
          </w:tcPr>
          <w:p w14:paraId="5BE4CB98" w14:textId="77777777" w:rsidR="002C6574" w:rsidRDefault="00000000">
            <w:pPr>
              <w:pStyle w:val="TableParagraph"/>
              <w:spacing w:line="178" w:lineRule="exact"/>
              <w:ind w:right="83"/>
              <w:rPr>
                <w:sz w:val="16"/>
              </w:rPr>
            </w:pPr>
            <w:r>
              <w:rPr>
                <w:spacing w:val="-4"/>
                <w:w w:val="110"/>
                <w:sz w:val="16"/>
              </w:rPr>
              <w:t>3.775</w:t>
            </w:r>
          </w:p>
        </w:tc>
        <w:tc>
          <w:tcPr>
            <w:tcW w:w="146" w:type="dxa"/>
          </w:tcPr>
          <w:p w14:paraId="73637A34" w14:textId="77777777" w:rsidR="002C6574" w:rsidRDefault="002C6574">
            <w:pPr>
              <w:pStyle w:val="TableParagraph"/>
              <w:jc w:val="left"/>
              <w:rPr>
                <w:rFonts w:ascii="Times New Roman"/>
                <w:sz w:val="12"/>
              </w:rPr>
            </w:pPr>
          </w:p>
        </w:tc>
        <w:tc>
          <w:tcPr>
            <w:tcW w:w="1536" w:type="dxa"/>
          </w:tcPr>
          <w:p w14:paraId="4A5423FC" w14:textId="77777777" w:rsidR="002C6574" w:rsidRDefault="00000000">
            <w:pPr>
              <w:pStyle w:val="TableParagraph"/>
              <w:spacing w:line="178" w:lineRule="exact"/>
              <w:ind w:right="65"/>
              <w:rPr>
                <w:sz w:val="16"/>
              </w:rPr>
            </w:pPr>
            <w:r>
              <w:rPr>
                <w:spacing w:val="-4"/>
                <w:w w:val="105"/>
                <w:sz w:val="16"/>
              </w:rPr>
              <w:t>(76)</w:t>
            </w:r>
          </w:p>
        </w:tc>
      </w:tr>
      <w:tr w:rsidR="002C6574" w14:paraId="0700B0C9" w14:textId="77777777">
        <w:trPr>
          <w:trHeight w:val="198"/>
        </w:trPr>
        <w:tc>
          <w:tcPr>
            <w:tcW w:w="6532" w:type="dxa"/>
          </w:tcPr>
          <w:p w14:paraId="19930A88" w14:textId="77777777" w:rsidR="002C6574" w:rsidRDefault="00000000">
            <w:pPr>
              <w:pStyle w:val="TableParagraph"/>
              <w:spacing w:line="178" w:lineRule="exact"/>
              <w:ind w:left="413"/>
              <w:jc w:val="left"/>
              <w:rPr>
                <w:sz w:val="16"/>
              </w:rPr>
            </w:pPr>
            <w:r>
              <w:rPr>
                <w:w w:val="105"/>
                <w:sz w:val="16"/>
              </w:rPr>
              <w:t>Variação</w:t>
            </w:r>
            <w:r>
              <w:rPr>
                <w:spacing w:val="-9"/>
                <w:w w:val="105"/>
                <w:sz w:val="16"/>
              </w:rPr>
              <w:t xml:space="preserve"> </w:t>
            </w:r>
            <w:r>
              <w:rPr>
                <w:w w:val="105"/>
                <w:sz w:val="16"/>
              </w:rPr>
              <w:t>Monetária</w:t>
            </w:r>
            <w:r>
              <w:rPr>
                <w:spacing w:val="-8"/>
                <w:w w:val="105"/>
                <w:sz w:val="16"/>
              </w:rPr>
              <w:t xml:space="preserve"> </w:t>
            </w:r>
            <w:r>
              <w:rPr>
                <w:w w:val="105"/>
                <w:sz w:val="16"/>
              </w:rPr>
              <w:t>de</w:t>
            </w:r>
            <w:r>
              <w:rPr>
                <w:spacing w:val="-9"/>
                <w:w w:val="105"/>
                <w:sz w:val="16"/>
              </w:rPr>
              <w:t xml:space="preserve"> </w:t>
            </w:r>
            <w:r>
              <w:rPr>
                <w:w w:val="105"/>
                <w:sz w:val="16"/>
              </w:rPr>
              <w:t>Prov.</w:t>
            </w:r>
            <w:r>
              <w:rPr>
                <w:spacing w:val="-5"/>
                <w:w w:val="105"/>
                <w:sz w:val="16"/>
              </w:rPr>
              <w:t xml:space="preserve"> </w:t>
            </w:r>
            <w:r>
              <w:rPr>
                <w:w w:val="105"/>
                <w:sz w:val="16"/>
              </w:rPr>
              <w:t>para</w:t>
            </w:r>
            <w:r>
              <w:rPr>
                <w:spacing w:val="-9"/>
                <w:w w:val="105"/>
                <w:sz w:val="16"/>
              </w:rPr>
              <w:t xml:space="preserve"> </w:t>
            </w:r>
            <w:r>
              <w:rPr>
                <w:w w:val="105"/>
                <w:sz w:val="16"/>
              </w:rPr>
              <w:t>Riscos</w:t>
            </w:r>
            <w:r>
              <w:rPr>
                <w:spacing w:val="-6"/>
                <w:w w:val="105"/>
                <w:sz w:val="16"/>
              </w:rPr>
              <w:t xml:space="preserve"> </w:t>
            </w:r>
            <w:r>
              <w:rPr>
                <w:w w:val="105"/>
                <w:sz w:val="16"/>
              </w:rPr>
              <w:t>Prováveis</w:t>
            </w:r>
            <w:r>
              <w:rPr>
                <w:spacing w:val="-6"/>
                <w:w w:val="105"/>
                <w:sz w:val="16"/>
              </w:rPr>
              <w:t xml:space="preserve"> </w:t>
            </w:r>
            <w:r>
              <w:rPr>
                <w:w w:val="105"/>
                <w:sz w:val="16"/>
              </w:rPr>
              <w:t>Trabalhistas,</w:t>
            </w:r>
            <w:r>
              <w:rPr>
                <w:spacing w:val="-5"/>
                <w:w w:val="105"/>
                <w:sz w:val="16"/>
              </w:rPr>
              <w:t xml:space="preserve"> </w:t>
            </w:r>
            <w:r>
              <w:rPr>
                <w:w w:val="105"/>
                <w:sz w:val="16"/>
              </w:rPr>
              <w:t>Cíveis</w:t>
            </w:r>
            <w:r>
              <w:rPr>
                <w:spacing w:val="-6"/>
                <w:w w:val="105"/>
                <w:sz w:val="16"/>
              </w:rPr>
              <w:t xml:space="preserve"> </w:t>
            </w:r>
            <w:r>
              <w:rPr>
                <w:w w:val="105"/>
                <w:sz w:val="16"/>
              </w:rPr>
              <w:t>e</w:t>
            </w:r>
            <w:r>
              <w:rPr>
                <w:spacing w:val="-9"/>
                <w:w w:val="105"/>
                <w:sz w:val="16"/>
              </w:rPr>
              <w:t xml:space="preserve"> </w:t>
            </w:r>
            <w:r>
              <w:rPr>
                <w:spacing w:val="-2"/>
                <w:w w:val="105"/>
                <w:sz w:val="16"/>
              </w:rPr>
              <w:t>Fiscais</w:t>
            </w:r>
          </w:p>
        </w:tc>
        <w:tc>
          <w:tcPr>
            <w:tcW w:w="1538" w:type="dxa"/>
          </w:tcPr>
          <w:p w14:paraId="3907C99D" w14:textId="77777777" w:rsidR="002C6574" w:rsidRDefault="00000000">
            <w:pPr>
              <w:pStyle w:val="TableParagraph"/>
              <w:spacing w:line="178" w:lineRule="exact"/>
              <w:ind w:right="83"/>
              <w:rPr>
                <w:sz w:val="16"/>
              </w:rPr>
            </w:pPr>
            <w:r>
              <w:rPr>
                <w:spacing w:val="-4"/>
                <w:w w:val="110"/>
                <w:sz w:val="16"/>
              </w:rPr>
              <w:t>6.484</w:t>
            </w:r>
          </w:p>
        </w:tc>
        <w:tc>
          <w:tcPr>
            <w:tcW w:w="146" w:type="dxa"/>
          </w:tcPr>
          <w:p w14:paraId="7ACE6D70" w14:textId="77777777" w:rsidR="002C6574" w:rsidRDefault="002C6574">
            <w:pPr>
              <w:pStyle w:val="TableParagraph"/>
              <w:jc w:val="left"/>
              <w:rPr>
                <w:rFonts w:ascii="Times New Roman"/>
                <w:sz w:val="12"/>
              </w:rPr>
            </w:pPr>
          </w:p>
        </w:tc>
        <w:tc>
          <w:tcPr>
            <w:tcW w:w="1536" w:type="dxa"/>
          </w:tcPr>
          <w:p w14:paraId="5C4966FC" w14:textId="77777777" w:rsidR="002C6574" w:rsidRDefault="00000000">
            <w:pPr>
              <w:pStyle w:val="TableParagraph"/>
              <w:spacing w:line="178" w:lineRule="exact"/>
              <w:ind w:right="82"/>
              <w:rPr>
                <w:sz w:val="16"/>
              </w:rPr>
            </w:pPr>
            <w:r>
              <w:rPr>
                <w:spacing w:val="-4"/>
                <w:w w:val="110"/>
                <w:sz w:val="16"/>
              </w:rPr>
              <w:t>6.298</w:t>
            </w:r>
          </w:p>
        </w:tc>
      </w:tr>
      <w:tr w:rsidR="002C6574" w14:paraId="53E424EB" w14:textId="77777777">
        <w:trPr>
          <w:trHeight w:val="197"/>
        </w:trPr>
        <w:tc>
          <w:tcPr>
            <w:tcW w:w="6532" w:type="dxa"/>
          </w:tcPr>
          <w:p w14:paraId="408ABD53" w14:textId="77777777" w:rsidR="002C6574" w:rsidRDefault="00000000">
            <w:pPr>
              <w:pStyle w:val="TableParagraph"/>
              <w:spacing w:line="178" w:lineRule="exact"/>
              <w:ind w:left="413"/>
              <w:jc w:val="left"/>
              <w:rPr>
                <w:sz w:val="16"/>
              </w:rPr>
            </w:pPr>
            <w:r>
              <w:rPr>
                <w:sz w:val="16"/>
              </w:rPr>
              <w:t>Receita</w:t>
            </w:r>
            <w:r>
              <w:rPr>
                <w:spacing w:val="28"/>
                <w:sz w:val="16"/>
              </w:rPr>
              <w:t xml:space="preserve"> </w:t>
            </w:r>
            <w:r>
              <w:rPr>
                <w:spacing w:val="-2"/>
                <w:sz w:val="16"/>
              </w:rPr>
              <w:t>Diferida</w:t>
            </w:r>
          </w:p>
        </w:tc>
        <w:tc>
          <w:tcPr>
            <w:tcW w:w="1538" w:type="dxa"/>
          </w:tcPr>
          <w:p w14:paraId="258DFCBC" w14:textId="77777777" w:rsidR="002C6574" w:rsidRDefault="00000000">
            <w:pPr>
              <w:pStyle w:val="TableParagraph"/>
              <w:spacing w:line="178" w:lineRule="exact"/>
              <w:ind w:right="66"/>
              <w:rPr>
                <w:sz w:val="16"/>
              </w:rPr>
            </w:pPr>
            <w:r>
              <w:rPr>
                <w:spacing w:val="-2"/>
                <w:w w:val="110"/>
                <w:sz w:val="16"/>
              </w:rPr>
              <w:t>(36.480)</w:t>
            </w:r>
          </w:p>
        </w:tc>
        <w:tc>
          <w:tcPr>
            <w:tcW w:w="146" w:type="dxa"/>
          </w:tcPr>
          <w:p w14:paraId="53257B22" w14:textId="77777777" w:rsidR="002C6574" w:rsidRDefault="002C6574">
            <w:pPr>
              <w:pStyle w:val="TableParagraph"/>
              <w:jc w:val="left"/>
              <w:rPr>
                <w:rFonts w:ascii="Times New Roman"/>
                <w:sz w:val="12"/>
              </w:rPr>
            </w:pPr>
          </w:p>
        </w:tc>
        <w:tc>
          <w:tcPr>
            <w:tcW w:w="1536" w:type="dxa"/>
          </w:tcPr>
          <w:p w14:paraId="5FF1A217" w14:textId="77777777" w:rsidR="002C6574" w:rsidRDefault="00000000">
            <w:pPr>
              <w:pStyle w:val="TableParagraph"/>
              <w:spacing w:line="178" w:lineRule="exact"/>
              <w:ind w:right="65"/>
              <w:rPr>
                <w:sz w:val="16"/>
              </w:rPr>
            </w:pPr>
            <w:r>
              <w:rPr>
                <w:spacing w:val="-2"/>
                <w:w w:val="110"/>
                <w:sz w:val="16"/>
              </w:rPr>
              <w:t>(54.886)</w:t>
            </w:r>
          </w:p>
        </w:tc>
      </w:tr>
      <w:tr w:rsidR="002C6574" w14:paraId="6CD197E2" w14:textId="77777777">
        <w:trPr>
          <w:trHeight w:val="197"/>
        </w:trPr>
        <w:tc>
          <w:tcPr>
            <w:tcW w:w="6532" w:type="dxa"/>
          </w:tcPr>
          <w:p w14:paraId="72694008" w14:textId="77777777" w:rsidR="002C6574" w:rsidRDefault="00000000">
            <w:pPr>
              <w:pStyle w:val="TableParagraph"/>
              <w:spacing w:line="178" w:lineRule="exact"/>
              <w:ind w:left="413"/>
              <w:jc w:val="left"/>
              <w:rPr>
                <w:sz w:val="16"/>
              </w:rPr>
            </w:pPr>
            <w:r>
              <w:rPr>
                <w:sz w:val="16"/>
              </w:rPr>
              <w:t>Equivalência</w:t>
            </w:r>
            <w:r>
              <w:rPr>
                <w:spacing w:val="31"/>
                <w:sz w:val="16"/>
              </w:rPr>
              <w:t xml:space="preserve"> </w:t>
            </w:r>
            <w:r>
              <w:rPr>
                <w:spacing w:val="-2"/>
                <w:sz w:val="16"/>
              </w:rPr>
              <w:t>Patrimonial</w:t>
            </w:r>
          </w:p>
        </w:tc>
        <w:tc>
          <w:tcPr>
            <w:tcW w:w="1538" w:type="dxa"/>
          </w:tcPr>
          <w:p w14:paraId="4ACA6BFD" w14:textId="77777777" w:rsidR="002C6574" w:rsidRDefault="00000000">
            <w:pPr>
              <w:pStyle w:val="TableParagraph"/>
              <w:spacing w:line="178" w:lineRule="exact"/>
              <w:ind w:right="66"/>
              <w:rPr>
                <w:sz w:val="16"/>
              </w:rPr>
            </w:pPr>
            <w:r>
              <w:rPr>
                <w:spacing w:val="-4"/>
                <w:w w:val="105"/>
                <w:sz w:val="16"/>
              </w:rPr>
              <w:t>(369)</w:t>
            </w:r>
          </w:p>
        </w:tc>
        <w:tc>
          <w:tcPr>
            <w:tcW w:w="146" w:type="dxa"/>
          </w:tcPr>
          <w:p w14:paraId="529DB721" w14:textId="77777777" w:rsidR="002C6574" w:rsidRDefault="002C6574">
            <w:pPr>
              <w:pStyle w:val="TableParagraph"/>
              <w:jc w:val="left"/>
              <w:rPr>
                <w:rFonts w:ascii="Times New Roman"/>
                <w:sz w:val="12"/>
              </w:rPr>
            </w:pPr>
          </w:p>
        </w:tc>
        <w:tc>
          <w:tcPr>
            <w:tcW w:w="1536" w:type="dxa"/>
          </w:tcPr>
          <w:p w14:paraId="07874E40" w14:textId="77777777" w:rsidR="002C6574" w:rsidRDefault="00000000">
            <w:pPr>
              <w:pStyle w:val="TableParagraph"/>
              <w:spacing w:line="178" w:lineRule="exact"/>
              <w:ind w:right="82"/>
              <w:rPr>
                <w:sz w:val="16"/>
              </w:rPr>
            </w:pPr>
            <w:r>
              <w:rPr>
                <w:spacing w:val="-4"/>
                <w:w w:val="110"/>
                <w:sz w:val="16"/>
              </w:rPr>
              <w:t>1.013</w:t>
            </w:r>
          </w:p>
        </w:tc>
      </w:tr>
      <w:tr w:rsidR="002C6574" w14:paraId="26BF823E" w14:textId="77777777">
        <w:trPr>
          <w:trHeight w:val="197"/>
        </w:trPr>
        <w:tc>
          <w:tcPr>
            <w:tcW w:w="6532" w:type="dxa"/>
          </w:tcPr>
          <w:p w14:paraId="3FBCA081" w14:textId="77777777" w:rsidR="002C6574" w:rsidRDefault="00000000">
            <w:pPr>
              <w:pStyle w:val="TableParagraph"/>
              <w:spacing w:line="178" w:lineRule="exact"/>
              <w:ind w:left="413"/>
              <w:jc w:val="left"/>
              <w:rPr>
                <w:sz w:val="16"/>
              </w:rPr>
            </w:pPr>
            <w:r>
              <w:rPr>
                <w:sz w:val="16"/>
              </w:rPr>
              <w:t>Encargos</w:t>
            </w:r>
            <w:r>
              <w:rPr>
                <w:spacing w:val="5"/>
                <w:sz w:val="16"/>
              </w:rPr>
              <w:t xml:space="preserve"> </w:t>
            </w:r>
            <w:r>
              <w:rPr>
                <w:sz w:val="16"/>
              </w:rPr>
              <w:t>Financeiros</w:t>
            </w:r>
            <w:r>
              <w:rPr>
                <w:spacing w:val="6"/>
                <w:sz w:val="16"/>
              </w:rPr>
              <w:t xml:space="preserve"> </w:t>
            </w:r>
            <w:r>
              <w:rPr>
                <w:sz w:val="16"/>
              </w:rPr>
              <w:t>sobre</w:t>
            </w:r>
            <w:r>
              <w:rPr>
                <w:spacing w:val="3"/>
                <w:sz w:val="16"/>
              </w:rPr>
              <w:t xml:space="preserve"> </w:t>
            </w:r>
            <w:r>
              <w:rPr>
                <w:sz w:val="16"/>
              </w:rPr>
              <w:t>Adiantamento</w:t>
            </w:r>
            <w:r>
              <w:rPr>
                <w:spacing w:val="3"/>
                <w:sz w:val="16"/>
              </w:rPr>
              <w:t xml:space="preserve"> </w:t>
            </w:r>
            <w:r>
              <w:rPr>
                <w:sz w:val="16"/>
              </w:rPr>
              <w:t>para</w:t>
            </w:r>
            <w:r>
              <w:rPr>
                <w:spacing w:val="2"/>
                <w:sz w:val="16"/>
              </w:rPr>
              <w:t xml:space="preserve"> </w:t>
            </w:r>
            <w:r>
              <w:rPr>
                <w:sz w:val="16"/>
              </w:rPr>
              <w:t>Aumento</w:t>
            </w:r>
            <w:r>
              <w:rPr>
                <w:spacing w:val="5"/>
                <w:sz w:val="16"/>
              </w:rPr>
              <w:t xml:space="preserve"> </w:t>
            </w:r>
            <w:r>
              <w:rPr>
                <w:sz w:val="16"/>
              </w:rPr>
              <w:t>de</w:t>
            </w:r>
            <w:r>
              <w:rPr>
                <w:spacing w:val="5"/>
                <w:sz w:val="16"/>
              </w:rPr>
              <w:t xml:space="preserve"> </w:t>
            </w:r>
            <w:r>
              <w:rPr>
                <w:spacing w:val="-2"/>
                <w:sz w:val="16"/>
              </w:rPr>
              <w:t>Capital</w:t>
            </w:r>
          </w:p>
        </w:tc>
        <w:tc>
          <w:tcPr>
            <w:tcW w:w="1538" w:type="dxa"/>
          </w:tcPr>
          <w:p w14:paraId="426641D1" w14:textId="77777777" w:rsidR="002C6574" w:rsidRDefault="00000000">
            <w:pPr>
              <w:pStyle w:val="TableParagraph"/>
              <w:spacing w:line="178" w:lineRule="exact"/>
              <w:ind w:right="83"/>
              <w:rPr>
                <w:sz w:val="16"/>
              </w:rPr>
            </w:pPr>
            <w:r>
              <w:rPr>
                <w:spacing w:val="-2"/>
                <w:w w:val="105"/>
                <w:sz w:val="16"/>
              </w:rPr>
              <w:t>249.981</w:t>
            </w:r>
          </w:p>
        </w:tc>
        <w:tc>
          <w:tcPr>
            <w:tcW w:w="146" w:type="dxa"/>
          </w:tcPr>
          <w:p w14:paraId="67F7B74E" w14:textId="77777777" w:rsidR="002C6574" w:rsidRDefault="002C6574">
            <w:pPr>
              <w:pStyle w:val="TableParagraph"/>
              <w:jc w:val="left"/>
              <w:rPr>
                <w:rFonts w:ascii="Times New Roman"/>
                <w:sz w:val="12"/>
              </w:rPr>
            </w:pPr>
          </w:p>
        </w:tc>
        <w:tc>
          <w:tcPr>
            <w:tcW w:w="1536" w:type="dxa"/>
          </w:tcPr>
          <w:p w14:paraId="25401703" w14:textId="77777777" w:rsidR="002C6574" w:rsidRDefault="00000000">
            <w:pPr>
              <w:pStyle w:val="TableParagraph"/>
              <w:spacing w:line="178" w:lineRule="exact"/>
              <w:ind w:right="83"/>
              <w:rPr>
                <w:sz w:val="16"/>
              </w:rPr>
            </w:pPr>
            <w:r>
              <w:rPr>
                <w:spacing w:val="-2"/>
                <w:w w:val="105"/>
                <w:sz w:val="16"/>
              </w:rPr>
              <w:t>189.369</w:t>
            </w:r>
          </w:p>
        </w:tc>
      </w:tr>
      <w:tr w:rsidR="002C6574" w14:paraId="4CF3BE67" w14:textId="77777777">
        <w:trPr>
          <w:trHeight w:val="197"/>
        </w:trPr>
        <w:tc>
          <w:tcPr>
            <w:tcW w:w="6532" w:type="dxa"/>
          </w:tcPr>
          <w:p w14:paraId="1BF44830" w14:textId="77777777" w:rsidR="002C6574" w:rsidRDefault="00000000">
            <w:pPr>
              <w:pStyle w:val="TableParagraph"/>
              <w:spacing w:line="178" w:lineRule="exact"/>
              <w:ind w:left="413"/>
              <w:jc w:val="left"/>
              <w:rPr>
                <w:sz w:val="16"/>
              </w:rPr>
            </w:pPr>
            <w:r>
              <w:rPr>
                <w:sz w:val="16"/>
              </w:rPr>
              <w:t>Provisão</w:t>
            </w:r>
            <w:r>
              <w:rPr>
                <w:spacing w:val="8"/>
                <w:sz w:val="16"/>
              </w:rPr>
              <w:t xml:space="preserve"> </w:t>
            </w:r>
            <w:r>
              <w:rPr>
                <w:sz w:val="16"/>
              </w:rPr>
              <w:t>para</w:t>
            </w:r>
            <w:r>
              <w:rPr>
                <w:spacing w:val="10"/>
                <w:sz w:val="16"/>
              </w:rPr>
              <w:t xml:space="preserve"> </w:t>
            </w:r>
            <w:r>
              <w:rPr>
                <w:sz w:val="16"/>
              </w:rPr>
              <w:t>Programa</w:t>
            </w:r>
            <w:r>
              <w:rPr>
                <w:spacing w:val="9"/>
                <w:sz w:val="16"/>
              </w:rPr>
              <w:t xml:space="preserve"> </w:t>
            </w:r>
            <w:r>
              <w:rPr>
                <w:sz w:val="16"/>
              </w:rPr>
              <w:t>de</w:t>
            </w:r>
            <w:r>
              <w:rPr>
                <w:spacing w:val="9"/>
                <w:sz w:val="16"/>
              </w:rPr>
              <w:t xml:space="preserve"> </w:t>
            </w:r>
            <w:r>
              <w:rPr>
                <w:sz w:val="16"/>
              </w:rPr>
              <w:t>Indenização</w:t>
            </w:r>
            <w:r>
              <w:rPr>
                <w:spacing w:val="8"/>
                <w:sz w:val="16"/>
              </w:rPr>
              <w:t xml:space="preserve"> </w:t>
            </w:r>
            <w:r>
              <w:rPr>
                <w:sz w:val="16"/>
              </w:rPr>
              <w:t>por</w:t>
            </w:r>
            <w:r>
              <w:rPr>
                <w:spacing w:val="11"/>
                <w:sz w:val="16"/>
              </w:rPr>
              <w:t xml:space="preserve"> </w:t>
            </w:r>
            <w:r>
              <w:rPr>
                <w:sz w:val="16"/>
              </w:rPr>
              <w:t>Serviços</w:t>
            </w:r>
            <w:r>
              <w:rPr>
                <w:spacing w:val="11"/>
                <w:sz w:val="16"/>
              </w:rPr>
              <w:t xml:space="preserve"> </w:t>
            </w:r>
            <w:r>
              <w:rPr>
                <w:spacing w:val="-2"/>
                <w:sz w:val="16"/>
              </w:rPr>
              <w:t>Prestados</w:t>
            </w:r>
          </w:p>
        </w:tc>
        <w:tc>
          <w:tcPr>
            <w:tcW w:w="1538" w:type="dxa"/>
          </w:tcPr>
          <w:p w14:paraId="05820DBE" w14:textId="77777777" w:rsidR="002C6574" w:rsidRDefault="00000000">
            <w:pPr>
              <w:pStyle w:val="TableParagraph"/>
              <w:spacing w:line="178" w:lineRule="exact"/>
              <w:ind w:right="83"/>
              <w:rPr>
                <w:sz w:val="16"/>
              </w:rPr>
            </w:pPr>
            <w:r>
              <w:rPr>
                <w:spacing w:val="-4"/>
                <w:w w:val="110"/>
                <w:sz w:val="16"/>
              </w:rPr>
              <w:t>3.292</w:t>
            </w:r>
          </w:p>
        </w:tc>
        <w:tc>
          <w:tcPr>
            <w:tcW w:w="146" w:type="dxa"/>
          </w:tcPr>
          <w:p w14:paraId="6955DD41" w14:textId="77777777" w:rsidR="002C6574" w:rsidRDefault="002C6574">
            <w:pPr>
              <w:pStyle w:val="TableParagraph"/>
              <w:jc w:val="left"/>
              <w:rPr>
                <w:rFonts w:ascii="Times New Roman"/>
                <w:sz w:val="12"/>
              </w:rPr>
            </w:pPr>
          </w:p>
        </w:tc>
        <w:tc>
          <w:tcPr>
            <w:tcW w:w="1536" w:type="dxa"/>
          </w:tcPr>
          <w:p w14:paraId="1E15FF66" w14:textId="77777777" w:rsidR="002C6574" w:rsidRDefault="00000000">
            <w:pPr>
              <w:pStyle w:val="TableParagraph"/>
              <w:spacing w:line="178" w:lineRule="exact"/>
              <w:ind w:right="83"/>
              <w:rPr>
                <w:sz w:val="16"/>
              </w:rPr>
            </w:pPr>
            <w:r>
              <w:rPr>
                <w:spacing w:val="-5"/>
                <w:w w:val="105"/>
                <w:sz w:val="16"/>
              </w:rPr>
              <w:t>624</w:t>
            </w:r>
          </w:p>
        </w:tc>
      </w:tr>
      <w:tr w:rsidR="002C6574" w14:paraId="7F12335C" w14:textId="77777777">
        <w:trPr>
          <w:trHeight w:val="198"/>
        </w:trPr>
        <w:tc>
          <w:tcPr>
            <w:tcW w:w="6532" w:type="dxa"/>
          </w:tcPr>
          <w:p w14:paraId="3DDC40CC" w14:textId="77777777" w:rsidR="002C6574" w:rsidRDefault="00000000">
            <w:pPr>
              <w:pStyle w:val="TableParagraph"/>
              <w:spacing w:line="178" w:lineRule="exact"/>
              <w:ind w:left="413"/>
              <w:jc w:val="left"/>
              <w:rPr>
                <w:sz w:val="16"/>
              </w:rPr>
            </w:pPr>
            <w:r>
              <w:rPr>
                <w:sz w:val="16"/>
              </w:rPr>
              <w:t>Variação</w:t>
            </w:r>
            <w:r>
              <w:rPr>
                <w:spacing w:val="5"/>
                <w:sz w:val="16"/>
              </w:rPr>
              <w:t xml:space="preserve"> </w:t>
            </w:r>
            <w:r>
              <w:rPr>
                <w:sz w:val="16"/>
              </w:rPr>
              <w:t>Monetária/Juros</w:t>
            </w:r>
            <w:r>
              <w:rPr>
                <w:spacing w:val="11"/>
                <w:sz w:val="16"/>
              </w:rPr>
              <w:t xml:space="preserve"> </w:t>
            </w:r>
            <w:r>
              <w:rPr>
                <w:sz w:val="16"/>
              </w:rPr>
              <w:t>de</w:t>
            </w:r>
            <w:r>
              <w:rPr>
                <w:spacing w:val="6"/>
                <w:sz w:val="16"/>
              </w:rPr>
              <w:t xml:space="preserve"> </w:t>
            </w:r>
            <w:r>
              <w:rPr>
                <w:sz w:val="16"/>
              </w:rPr>
              <w:t>Credores</w:t>
            </w:r>
            <w:r>
              <w:rPr>
                <w:spacing w:val="10"/>
                <w:sz w:val="16"/>
              </w:rPr>
              <w:t xml:space="preserve"> </w:t>
            </w:r>
            <w:r>
              <w:rPr>
                <w:sz w:val="16"/>
              </w:rPr>
              <w:t>por</w:t>
            </w:r>
            <w:r>
              <w:rPr>
                <w:spacing w:val="8"/>
                <w:sz w:val="16"/>
              </w:rPr>
              <w:t xml:space="preserve"> </w:t>
            </w:r>
            <w:r>
              <w:rPr>
                <w:sz w:val="16"/>
              </w:rPr>
              <w:t>Perdas</w:t>
            </w:r>
            <w:r>
              <w:rPr>
                <w:spacing w:val="7"/>
                <w:sz w:val="16"/>
              </w:rPr>
              <w:t xml:space="preserve"> </w:t>
            </w:r>
            <w:r>
              <w:rPr>
                <w:spacing w:val="-2"/>
                <w:sz w:val="16"/>
              </w:rPr>
              <w:t>Judiciais</w:t>
            </w:r>
          </w:p>
        </w:tc>
        <w:tc>
          <w:tcPr>
            <w:tcW w:w="1538" w:type="dxa"/>
          </w:tcPr>
          <w:p w14:paraId="45AEA19C" w14:textId="77777777" w:rsidR="002C6574" w:rsidRDefault="00000000">
            <w:pPr>
              <w:pStyle w:val="TableParagraph"/>
              <w:spacing w:line="178" w:lineRule="exact"/>
              <w:ind w:right="83"/>
              <w:rPr>
                <w:sz w:val="16"/>
              </w:rPr>
            </w:pPr>
            <w:r>
              <w:rPr>
                <w:spacing w:val="-2"/>
                <w:w w:val="105"/>
                <w:sz w:val="16"/>
              </w:rPr>
              <w:t>14.108</w:t>
            </w:r>
          </w:p>
        </w:tc>
        <w:tc>
          <w:tcPr>
            <w:tcW w:w="146" w:type="dxa"/>
          </w:tcPr>
          <w:p w14:paraId="577AACCC" w14:textId="77777777" w:rsidR="002C6574" w:rsidRDefault="002C6574">
            <w:pPr>
              <w:pStyle w:val="TableParagraph"/>
              <w:jc w:val="left"/>
              <w:rPr>
                <w:rFonts w:ascii="Times New Roman"/>
                <w:sz w:val="12"/>
              </w:rPr>
            </w:pPr>
          </w:p>
        </w:tc>
        <w:tc>
          <w:tcPr>
            <w:tcW w:w="1536" w:type="dxa"/>
          </w:tcPr>
          <w:p w14:paraId="1843E0C2" w14:textId="77777777" w:rsidR="002C6574" w:rsidRDefault="00000000">
            <w:pPr>
              <w:pStyle w:val="TableParagraph"/>
              <w:spacing w:line="178" w:lineRule="exact"/>
              <w:ind w:right="82"/>
              <w:rPr>
                <w:sz w:val="16"/>
              </w:rPr>
            </w:pPr>
            <w:r>
              <w:rPr>
                <w:spacing w:val="-2"/>
                <w:w w:val="105"/>
                <w:sz w:val="16"/>
              </w:rPr>
              <w:t>12.999</w:t>
            </w:r>
          </w:p>
        </w:tc>
      </w:tr>
      <w:tr w:rsidR="002C6574" w14:paraId="25F3CA3E" w14:textId="77777777">
        <w:trPr>
          <w:trHeight w:val="197"/>
        </w:trPr>
        <w:tc>
          <w:tcPr>
            <w:tcW w:w="6532" w:type="dxa"/>
          </w:tcPr>
          <w:p w14:paraId="78495C29" w14:textId="77777777" w:rsidR="002C6574" w:rsidRDefault="00000000">
            <w:pPr>
              <w:pStyle w:val="TableParagraph"/>
              <w:spacing w:line="178" w:lineRule="exact"/>
              <w:ind w:left="413"/>
              <w:jc w:val="left"/>
              <w:rPr>
                <w:sz w:val="16"/>
              </w:rPr>
            </w:pPr>
            <w:r>
              <w:rPr>
                <w:sz w:val="16"/>
              </w:rPr>
              <w:t>Variação</w:t>
            </w:r>
            <w:r>
              <w:rPr>
                <w:spacing w:val="-1"/>
                <w:sz w:val="16"/>
              </w:rPr>
              <w:t xml:space="preserve"> </w:t>
            </w:r>
            <w:r>
              <w:rPr>
                <w:sz w:val="16"/>
              </w:rPr>
              <w:t>Monetária</w:t>
            </w:r>
            <w:r>
              <w:rPr>
                <w:spacing w:val="1"/>
                <w:sz w:val="16"/>
              </w:rPr>
              <w:t xml:space="preserve"> </w:t>
            </w:r>
            <w:r>
              <w:rPr>
                <w:sz w:val="16"/>
              </w:rPr>
              <w:t>de</w:t>
            </w:r>
            <w:r>
              <w:rPr>
                <w:spacing w:val="3"/>
                <w:sz w:val="16"/>
              </w:rPr>
              <w:t xml:space="preserve"> </w:t>
            </w:r>
            <w:r>
              <w:rPr>
                <w:sz w:val="16"/>
              </w:rPr>
              <w:t>Depósitos</w:t>
            </w:r>
            <w:r>
              <w:rPr>
                <w:spacing w:val="3"/>
                <w:sz w:val="16"/>
              </w:rPr>
              <w:t xml:space="preserve"> </w:t>
            </w:r>
            <w:r>
              <w:rPr>
                <w:spacing w:val="-2"/>
                <w:sz w:val="16"/>
              </w:rPr>
              <w:t>Judiciais</w:t>
            </w:r>
          </w:p>
        </w:tc>
        <w:tc>
          <w:tcPr>
            <w:tcW w:w="1538" w:type="dxa"/>
          </w:tcPr>
          <w:p w14:paraId="316187F5" w14:textId="77777777" w:rsidR="002C6574" w:rsidRDefault="00000000">
            <w:pPr>
              <w:pStyle w:val="TableParagraph"/>
              <w:spacing w:line="178" w:lineRule="exact"/>
              <w:ind w:right="66"/>
              <w:rPr>
                <w:sz w:val="16"/>
              </w:rPr>
            </w:pPr>
            <w:r>
              <w:rPr>
                <w:spacing w:val="-2"/>
                <w:w w:val="110"/>
                <w:sz w:val="16"/>
              </w:rPr>
              <w:t>(4.535)</w:t>
            </w:r>
          </w:p>
        </w:tc>
        <w:tc>
          <w:tcPr>
            <w:tcW w:w="146" w:type="dxa"/>
          </w:tcPr>
          <w:p w14:paraId="05A98D9C" w14:textId="77777777" w:rsidR="002C6574" w:rsidRDefault="002C6574">
            <w:pPr>
              <w:pStyle w:val="TableParagraph"/>
              <w:jc w:val="left"/>
              <w:rPr>
                <w:rFonts w:ascii="Times New Roman"/>
                <w:sz w:val="12"/>
              </w:rPr>
            </w:pPr>
          </w:p>
        </w:tc>
        <w:tc>
          <w:tcPr>
            <w:tcW w:w="1536" w:type="dxa"/>
          </w:tcPr>
          <w:p w14:paraId="54AA57B6" w14:textId="77777777" w:rsidR="002C6574" w:rsidRDefault="00000000">
            <w:pPr>
              <w:pStyle w:val="TableParagraph"/>
              <w:spacing w:line="178" w:lineRule="exact"/>
              <w:ind w:right="66"/>
              <w:rPr>
                <w:sz w:val="16"/>
              </w:rPr>
            </w:pPr>
            <w:r>
              <w:rPr>
                <w:spacing w:val="-2"/>
                <w:w w:val="110"/>
                <w:sz w:val="16"/>
              </w:rPr>
              <w:t>(3.644)</w:t>
            </w:r>
          </w:p>
        </w:tc>
      </w:tr>
      <w:tr w:rsidR="002C6574" w14:paraId="764F46BB" w14:textId="77777777">
        <w:trPr>
          <w:trHeight w:val="197"/>
        </w:trPr>
        <w:tc>
          <w:tcPr>
            <w:tcW w:w="6532" w:type="dxa"/>
          </w:tcPr>
          <w:p w14:paraId="14A2804C" w14:textId="77777777" w:rsidR="002C6574" w:rsidRDefault="00000000">
            <w:pPr>
              <w:pStyle w:val="TableParagraph"/>
              <w:spacing w:line="178" w:lineRule="exact"/>
              <w:ind w:left="413"/>
              <w:jc w:val="left"/>
              <w:rPr>
                <w:sz w:val="16"/>
              </w:rPr>
            </w:pPr>
            <w:r>
              <w:rPr>
                <w:w w:val="105"/>
                <w:sz w:val="16"/>
              </w:rPr>
              <w:t>Despesas Financeiras</w:t>
            </w:r>
            <w:r>
              <w:rPr>
                <w:spacing w:val="4"/>
                <w:w w:val="105"/>
                <w:sz w:val="16"/>
              </w:rPr>
              <w:t xml:space="preserve"> </w:t>
            </w:r>
            <w:r>
              <w:rPr>
                <w:w w:val="105"/>
                <w:sz w:val="16"/>
              </w:rPr>
              <w:t>- Juros</w:t>
            </w:r>
            <w:r>
              <w:rPr>
                <w:spacing w:val="4"/>
                <w:w w:val="105"/>
                <w:sz w:val="16"/>
              </w:rPr>
              <w:t xml:space="preserve"> </w:t>
            </w:r>
            <w:r>
              <w:rPr>
                <w:w w:val="105"/>
                <w:sz w:val="16"/>
              </w:rPr>
              <w:t>a</w:t>
            </w:r>
            <w:r>
              <w:rPr>
                <w:spacing w:val="1"/>
                <w:w w:val="105"/>
                <w:sz w:val="16"/>
              </w:rPr>
              <w:t xml:space="preserve"> </w:t>
            </w:r>
            <w:r>
              <w:rPr>
                <w:w w:val="105"/>
                <w:sz w:val="16"/>
              </w:rPr>
              <w:t>Apropriar</w:t>
            </w:r>
            <w:r>
              <w:rPr>
                <w:spacing w:val="2"/>
                <w:w w:val="105"/>
                <w:sz w:val="16"/>
              </w:rPr>
              <w:t xml:space="preserve"> </w:t>
            </w:r>
            <w:r>
              <w:rPr>
                <w:w w:val="105"/>
                <w:sz w:val="16"/>
              </w:rPr>
              <w:t>CPC</w:t>
            </w:r>
            <w:r>
              <w:rPr>
                <w:spacing w:val="1"/>
                <w:w w:val="105"/>
                <w:sz w:val="16"/>
              </w:rPr>
              <w:t xml:space="preserve"> </w:t>
            </w:r>
            <w:r>
              <w:rPr>
                <w:w w:val="105"/>
                <w:sz w:val="16"/>
              </w:rPr>
              <w:t>(R2)/IFRS</w:t>
            </w:r>
            <w:r>
              <w:rPr>
                <w:spacing w:val="1"/>
                <w:w w:val="105"/>
                <w:sz w:val="16"/>
              </w:rPr>
              <w:t xml:space="preserve"> </w:t>
            </w:r>
            <w:r>
              <w:rPr>
                <w:spacing w:val="-5"/>
                <w:w w:val="105"/>
                <w:sz w:val="16"/>
              </w:rPr>
              <w:t>16</w:t>
            </w:r>
          </w:p>
        </w:tc>
        <w:tc>
          <w:tcPr>
            <w:tcW w:w="1538" w:type="dxa"/>
          </w:tcPr>
          <w:p w14:paraId="392099EF" w14:textId="77777777" w:rsidR="002C6574" w:rsidRDefault="00000000">
            <w:pPr>
              <w:pStyle w:val="TableParagraph"/>
              <w:spacing w:line="178" w:lineRule="exact"/>
              <w:ind w:right="83"/>
              <w:rPr>
                <w:sz w:val="16"/>
              </w:rPr>
            </w:pPr>
            <w:r>
              <w:rPr>
                <w:spacing w:val="-5"/>
                <w:w w:val="105"/>
                <w:sz w:val="16"/>
              </w:rPr>
              <w:t>868</w:t>
            </w:r>
          </w:p>
        </w:tc>
        <w:tc>
          <w:tcPr>
            <w:tcW w:w="146" w:type="dxa"/>
          </w:tcPr>
          <w:p w14:paraId="32BE33C0" w14:textId="77777777" w:rsidR="002C6574" w:rsidRDefault="002C6574">
            <w:pPr>
              <w:pStyle w:val="TableParagraph"/>
              <w:jc w:val="left"/>
              <w:rPr>
                <w:rFonts w:ascii="Times New Roman"/>
                <w:sz w:val="12"/>
              </w:rPr>
            </w:pPr>
          </w:p>
        </w:tc>
        <w:tc>
          <w:tcPr>
            <w:tcW w:w="1536" w:type="dxa"/>
          </w:tcPr>
          <w:p w14:paraId="45D422FE" w14:textId="77777777" w:rsidR="002C6574" w:rsidRDefault="00000000">
            <w:pPr>
              <w:pStyle w:val="TableParagraph"/>
              <w:spacing w:line="178" w:lineRule="exact"/>
              <w:ind w:right="83"/>
              <w:rPr>
                <w:sz w:val="16"/>
              </w:rPr>
            </w:pPr>
            <w:r>
              <w:rPr>
                <w:spacing w:val="-5"/>
                <w:w w:val="105"/>
                <w:sz w:val="16"/>
              </w:rPr>
              <w:t>741</w:t>
            </w:r>
          </w:p>
        </w:tc>
      </w:tr>
      <w:tr w:rsidR="002C6574" w14:paraId="2CC0C5C8" w14:textId="77777777">
        <w:trPr>
          <w:trHeight w:val="198"/>
        </w:trPr>
        <w:tc>
          <w:tcPr>
            <w:tcW w:w="6532" w:type="dxa"/>
          </w:tcPr>
          <w:p w14:paraId="5A5979AE" w14:textId="77777777" w:rsidR="002C6574" w:rsidRDefault="00000000">
            <w:pPr>
              <w:pStyle w:val="TableParagraph"/>
              <w:spacing w:line="178" w:lineRule="exact"/>
              <w:ind w:left="413"/>
              <w:jc w:val="left"/>
              <w:rPr>
                <w:sz w:val="16"/>
              </w:rPr>
            </w:pPr>
            <w:r>
              <w:rPr>
                <w:sz w:val="16"/>
              </w:rPr>
              <w:t>Apropriação</w:t>
            </w:r>
            <w:r>
              <w:rPr>
                <w:spacing w:val="3"/>
                <w:sz w:val="16"/>
              </w:rPr>
              <w:t xml:space="preserve"> </w:t>
            </w:r>
            <w:r>
              <w:rPr>
                <w:sz w:val="16"/>
              </w:rPr>
              <w:t>de</w:t>
            </w:r>
            <w:r>
              <w:rPr>
                <w:spacing w:val="2"/>
                <w:sz w:val="16"/>
              </w:rPr>
              <w:t xml:space="preserve"> </w:t>
            </w:r>
            <w:r>
              <w:rPr>
                <w:sz w:val="16"/>
              </w:rPr>
              <w:t>Juros</w:t>
            </w:r>
            <w:r>
              <w:rPr>
                <w:spacing w:val="7"/>
                <w:sz w:val="16"/>
              </w:rPr>
              <w:t xml:space="preserve"> </w:t>
            </w:r>
            <w:r>
              <w:rPr>
                <w:sz w:val="16"/>
              </w:rPr>
              <w:t>-</w:t>
            </w:r>
            <w:r>
              <w:rPr>
                <w:spacing w:val="3"/>
                <w:sz w:val="16"/>
              </w:rPr>
              <w:t xml:space="preserve"> </w:t>
            </w:r>
            <w:r>
              <w:rPr>
                <w:sz w:val="16"/>
              </w:rPr>
              <w:t>Empréstimos</w:t>
            </w:r>
            <w:r>
              <w:rPr>
                <w:spacing w:val="6"/>
                <w:sz w:val="16"/>
              </w:rPr>
              <w:t xml:space="preserve"> </w:t>
            </w:r>
            <w:r>
              <w:rPr>
                <w:sz w:val="16"/>
              </w:rPr>
              <w:t>e</w:t>
            </w:r>
            <w:r>
              <w:rPr>
                <w:spacing w:val="3"/>
                <w:sz w:val="16"/>
              </w:rPr>
              <w:t xml:space="preserve"> </w:t>
            </w:r>
            <w:r>
              <w:rPr>
                <w:spacing w:val="-2"/>
                <w:sz w:val="16"/>
              </w:rPr>
              <w:t>Financiamentos</w:t>
            </w:r>
          </w:p>
        </w:tc>
        <w:tc>
          <w:tcPr>
            <w:tcW w:w="1538" w:type="dxa"/>
          </w:tcPr>
          <w:p w14:paraId="359DEAE4" w14:textId="77777777" w:rsidR="002C6574" w:rsidRDefault="00000000">
            <w:pPr>
              <w:pStyle w:val="TableParagraph"/>
              <w:spacing w:line="178" w:lineRule="exact"/>
              <w:ind w:right="66"/>
              <w:rPr>
                <w:sz w:val="16"/>
              </w:rPr>
            </w:pPr>
            <w:r>
              <w:rPr>
                <w:spacing w:val="-4"/>
                <w:w w:val="105"/>
                <w:sz w:val="16"/>
              </w:rPr>
              <w:t>(209)</w:t>
            </w:r>
          </w:p>
        </w:tc>
        <w:tc>
          <w:tcPr>
            <w:tcW w:w="146" w:type="dxa"/>
          </w:tcPr>
          <w:p w14:paraId="06490F23" w14:textId="77777777" w:rsidR="002C6574" w:rsidRDefault="002C6574">
            <w:pPr>
              <w:pStyle w:val="TableParagraph"/>
              <w:jc w:val="left"/>
              <w:rPr>
                <w:rFonts w:ascii="Times New Roman"/>
                <w:sz w:val="12"/>
              </w:rPr>
            </w:pPr>
          </w:p>
        </w:tc>
        <w:tc>
          <w:tcPr>
            <w:tcW w:w="1536" w:type="dxa"/>
          </w:tcPr>
          <w:p w14:paraId="3BD6712E" w14:textId="77777777" w:rsidR="002C6574" w:rsidRDefault="00000000">
            <w:pPr>
              <w:pStyle w:val="TableParagraph"/>
              <w:spacing w:line="178" w:lineRule="exact"/>
              <w:ind w:right="82"/>
              <w:rPr>
                <w:sz w:val="16"/>
              </w:rPr>
            </w:pPr>
            <w:r>
              <w:rPr>
                <w:spacing w:val="-4"/>
                <w:w w:val="110"/>
                <w:sz w:val="16"/>
              </w:rPr>
              <w:t>3.651</w:t>
            </w:r>
          </w:p>
        </w:tc>
      </w:tr>
      <w:tr w:rsidR="002C6574" w14:paraId="4167D2BE" w14:textId="77777777">
        <w:trPr>
          <w:trHeight w:val="197"/>
        </w:trPr>
        <w:tc>
          <w:tcPr>
            <w:tcW w:w="6532" w:type="dxa"/>
          </w:tcPr>
          <w:p w14:paraId="7A705BD9" w14:textId="77777777" w:rsidR="002C6574" w:rsidRDefault="00000000">
            <w:pPr>
              <w:pStyle w:val="TableParagraph"/>
              <w:spacing w:line="178" w:lineRule="exact"/>
              <w:ind w:left="413"/>
              <w:jc w:val="left"/>
              <w:rPr>
                <w:sz w:val="16"/>
              </w:rPr>
            </w:pPr>
            <w:r>
              <w:rPr>
                <w:sz w:val="16"/>
              </w:rPr>
              <w:t>Perdas</w:t>
            </w:r>
            <w:r>
              <w:rPr>
                <w:spacing w:val="14"/>
                <w:sz w:val="16"/>
              </w:rPr>
              <w:t xml:space="preserve"> </w:t>
            </w:r>
            <w:r>
              <w:rPr>
                <w:sz w:val="16"/>
              </w:rPr>
              <w:t>Estimadas</w:t>
            </w:r>
            <w:r>
              <w:rPr>
                <w:spacing w:val="9"/>
                <w:sz w:val="16"/>
              </w:rPr>
              <w:t xml:space="preserve"> </w:t>
            </w:r>
            <w:r>
              <w:rPr>
                <w:sz w:val="16"/>
              </w:rPr>
              <w:t>com</w:t>
            </w:r>
            <w:r>
              <w:rPr>
                <w:spacing w:val="14"/>
                <w:sz w:val="16"/>
              </w:rPr>
              <w:t xml:space="preserve"> </w:t>
            </w:r>
            <w:r>
              <w:rPr>
                <w:sz w:val="16"/>
              </w:rPr>
              <w:t>Créditos</w:t>
            </w:r>
            <w:r>
              <w:rPr>
                <w:spacing w:val="9"/>
                <w:sz w:val="16"/>
              </w:rPr>
              <w:t xml:space="preserve"> </w:t>
            </w:r>
            <w:r>
              <w:rPr>
                <w:sz w:val="16"/>
              </w:rPr>
              <w:t>de</w:t>
            </w:r>
            <w:r>
              <w:rPr>
                <w:spacing w:val="13"/>
                <w:sz w:val="16"/>
              </w:rPr>
              <w:t xml:space="preserve"> </w:t>
            </w:r>
            <w:r>
              <w:rPr>
                <w:sz w:val="16"/>
              </w:rPr>
              <w:t>Liquidação</w:t>
            </w:r>
            <w:r>
              <w:rPr>
                <w:spacing w:val="15"/>
                <w:sz w:val="16"/>
              </w:rPr>
              <w:t xml:space="preserve"> </w:t>
            </w:r>
            <w:r>
              <w:rPr>
                <w:spacing w:val="-2"/>
                <w:sz w:val="16"/>
              </w:rPr>
              <w:t>Duvidosa</w:t>
            </w:r>
          </w:p>
        </w:tc>
        <w:tc>
          <w:tcPr>
            <w:tcW w:w="1538" w:type="dxa"/>
          </w:tcPr>
          <w:p w14:paraId="43809E00" w14:textId="77777777" w:rsidR="002C6574" w:rsidRDefault="00000000">
            <w:pPr>
              <w:pStyle w:val="TableParagraph"/>
              <w:spacing w:line="178" w:lineRule="exact"/>
              <w:ind w:right="83"/>
              <w:rPr>
                <w:sz w:val="16"/>
              </w:rPr>
            </w:pPr>
            <w:r>
              <w:rPr>
                <w:spacing w:val="-4"/>
                <w:w w:val="110"/>
                <w:sz w:val="16"/>
              </w:rPr>
              <w:t>2.807</w:t>
            </w:r>
          </w:p>
        </w:tc>
        <w:tc>
          <w:tcPr>
            <w:tcW w:w="146" w:type="dxa"/>
          </w:tcPr>
          <w:p w14:paraId="383A3DBE" w14:textId="77777777" w:rsidR="002C6574" w:rsidRDefault="002C6574">
            <w:pPr>
              <w:pStyle w:val="TableParagraph"/>
              <w:jc w:val="left"/>
              <w:rPr>
                <w:rFonts w:ascii="Times New Roman"/>
                <w:sz w:val="12"/>
              </w:rPr>
            </w:pPr>
          </w:p>
        </w:tc>
        <w:tc>
          <w:tcPr>
            <w:tcW w:w="1536" w:type="dxa"/>
          </w:tcPr>
          <w:p w14:paraId="2D5F7066" w14:textId="77777777" w:rsidR="002C6574" w:rsidRDefault="00000000">
            <w:pPr>
              <w:pStyle w:val="TableParagraph"/>
              <w:spacing w:line="178" w:lineRule="exact"/>
              <w:ind w:right="82"/>
              <w:rPr>
                <w:sz w:val="16"/>
              </w:rPr>
            </w:pPr>
            <w:r>
              <w:rPr>
                <w:spacing w:val="-4"/>
                <w:w w:val="110"/>
                <w:sz w:val="16"/>
              </w:rPr>
              <w:t>2.752</w:t>
            </w:r>
          </w:p>
        </w:tc>
      </w:tr>
      <w:tr w:rsidR="002C6574" w14:paraId="1533D933" w14:textId="77777777">
        <w:trPr>
          <w:trHeight w:val="197"/>
        </w:trPr>
        <w:tc>
          <w:tcPr>
            <w:tcW w:w="6532" w:type="dxa"/>
          </w:tcPr>
          <w:p w14:paraId="470CAD1F" w14:textId="77777777" w:rsidR="002C6574" w:rsidRDefault="00000000">
            <w:pPr>
              <w:pStyle w:val="TableParagraph"/>
              <w:spacing w:line="178" w:lineRule="exact"/>
              <w:ind w:left="413"/>
              <w:jc w:val="left"/>
              <w:rPr>
                <w:sz w:val="16"/>
              </w:rPr>
            </w:pPr>
            <w:r>
              <w:rPr>
                <w:sz w:val="16"/>
              </w:rPr>
              <w:t>Superávit</w:t>
            </w:r>
            <w:r>
              <w:rPr>
                <w:spacing w:val="14"/>
                <w:sz w:val="16"/>
              </w:rPr>
              <w:t xml:space="preserve"> </w:t>
            </w:r>
            <w:r>
              <w:rPr>
                <w:sz w:val="16"/>
              </w:rPr>
              <w:t>de</w:t>
            </w:r>
            <w:r>
              <w:rPr>
                <w:spacing w:val="9"/>
                <w:sz w:val="16"/>
              </w:rPr>
              <w:t xml:space="preserve"> </w:t>
            </w:r>
            <w:r>
              <w:rPr>
                <w:sz w:val="16"/>
              </w:rPr>
              <w:t>Previdência</w:t>
            </w:r>
            <w:r>
              <w:rPr>
                <w:spacing w:val="9"/>
                <w:sz w:val="16"/>
              </w:rPr>
              <w:t xml:space="preserve"> </w:t>
            </w:r>
            <w:r>
              <w:rPr>
                <w:spacing w:val="-2"/>
                <w:sz w:val="16"/>
              </w:rPr>
              <w:t>Privada</w:t>
            </w:r>
          </w:p>
        </w:tc>
        <w:tc>
          <w:tcPr>
            <w:tcW w:w="1538" w:type="dxa"/>
          </w:tcPr>
          <w:p w14:paraId="4C5A5FE5" w14:textId="77777777" w:rsidR="002C6574" w:rsidRDefault="00000000">
            <w:pPr>
              <w:pStyle w:val="TableParagraph"/>
              <w:spacing w:line="178" w:lineRule="exact"/>
              <w:ind w:right="66"/>
              <w:rPr>
                <w:sz w:val="16"/>
              </w:rPr>
            </w:pPr>
            <w:r>
              <w:rPr>
                <w:spacing w:val="-2"/>
                <w:w w:val="105"/>
                <w:sz w:val="16"/>
              </w:rPr>
              <w:t>(134.727)</w:t>
            </w:r>
          </w:p>
        </w:tc>
        <w:tc>
          <w:tcPr>
            <w:tcW w:w="146" w:type="dxa"/>
          </w:tcPr>
          <w:p w14:paraId="421DA1AB" w14:textId="77777777" w:rsidR="002C6574" w:rsidRDefault="002C6574">
            <w:pPr>
              <w:pStyle w:val="TableParagraph"/>
              <w:jc w:val="left"/>
              <w:rPr>
                <w:rFonts w:ascii="Times New Roman"/>
                <w:sz w:val="12"/>
              </w:rPr>
            </w:pPr>
          </w:p>
        </w:tc>
        <w:tc>
          <w:tcPr>
            <w:tcW w:w="1536" w:type="dxa"/>
          </w:tcPr>
          <w:p w14:paraId="05CFEFEC" w14:textId="77777777" w:rsidR="002C6574" w:rsidRDefault="00000000">
            <w:pPr>
              <w:pStyle w:val="TableParagraph"/>
              <w:spacing w:line="178" w:lineRule="exact"/>
              <w:ind w:right="66"/>
              <w:rPr>
                <w:sz w:val="16"/>
              </w:rPr>
            </w:pPr>
            <w:r>
              <w:rPr>
                <w:spacing w:val="-2"/>
                <w:w w:val="105"/>
                <w:sz w:val="16"/>
              </w:rPr>
              <w:t>(212.038)</w:t>
            </w:r>
          </w:p>
        </w:tc>
      </w:tr>
      <w:tr w:rsidR="002C6574" w14:paraId="5BB143F6" w14:textId="77777777">
        <w:trPr>
          <w:trHeight w:val="197"/>
        </w:trPr>
        <w:tc>
          <w:tcPr>
            <w:tcW w:w="6532" w:type="dxa"/>
          </w:tcPr>
          <w:p w14:paraId="0120304E" w14:textId="77777777" w:rsidR="002C6574" w:rsidRDefault="00000000">
            <w:pPr>
              <w:pStyle w:val="TableParagraph"/>
              <w:spacing w:line="178" w:lineRule="exact"/>
              <w:ind w:left="413"/>
              <w:jc w:val="left"/>
              <w:rPr>
                <w:sz w:val="16"/>
              </w:rPr>
            </w:pPr>
            <w:r>
              <w:rPr>
                <w:sz w:val="16"/>
              </w:rPr>
              <w:t>Subvenções</w:t>
            </w:r>
            <w:r>
              <w:rPr>
                <w:spacing w:val="13"/>
                <w:sz w:val="16"/>
              </w:rPr>
              <w:t xml:space="preserve"> </w:t>
            </w:r>
            <w:r>
              <w:rPr>
                <w:sz w:val="16"/>
              </w:rPr>
              <w:t>Realizadas</w:t>
            </w:r>
            <w:r>
              <w:rPr>
                <w:spacing w:val="13"/>
                <w:sz w:val="16"/>
              </w:rPr>
              <w:t xml:space="preserve"> </w:t>
            </w:r>
            <w:r>
              <w:rPr>
                <w:sz w:val="16"/>
              </w:rPr>
              <w:t>-</w:t>
            </w:r>
            <w:r>
              <w:rPr>
                <w:spacing w:val="11"/>
                <w:sz w:val="16"/>
              </w:rPr>
              <w:t xml:space="preserve"> </w:t>
            </w:r>
            <w:r>
              <w:rPr>
                <w:sz w:val="16"/>
              </w:rPr>
              <w:t>Contrato</w:t>
            </w:r>
            <w:r>
              <w:rPr>
                <w:spacing w:val="13"/>
                <w:sz w:val="16"/>
              </w:rPr>
              <w:t xml:space="preserve"> </w:t>
            </w:r>
            <w:r>
              <w:rPr>
                <w:sz w:val="16"/>
              </w:rPr>
              <w:t>de</w:t>
            </w:r>
            <w:r>
              <w:rPr>
                <w:spacing w:val="10"/>
                <w:sz w:val="16"/>
              </w:rPr>
              <w:t xml:space="preserve"> </w:t>
            </w:r>
            <w:r>
              <w:rPr>
                <w:spacing w:val="-2"/>
                <w:sz w:val="16"/>
              </w:rPr>
              <w:t>Gestão</w:t>
            </w:r>
          </w:p>
        </w:tc>
        <w:tc>
          <w:tcPr>
            <w:tcW w:w="1538" w:type="dxa"/>
          </w:tcPr>
          <w:p w14:paraId="4AE9CB58" w14:textId="77777777" w:rsidR="002C6574" w:rsidRDefault="00000000">
            <w:pPr>
              <w:pStyle w:val="TableParagraph"/>
              <w:spacing w:line="178" w:lineRule="exact"/>
              <w:ind w:right="66"/>
              <w:rPr>
                <w:sz w:val="16"/>
              </w:rPr>
            </w:pPr>
            <w:r>
              <w:rPr>
                <w:spacing w:val="-2"/>
                <w:w w:val="105"/>
                <w:sz w:val="16"/>
              </w:rPr>
              <w:t>(234.446)</w:t>
            </w:r>
          </w:p>
        </w:tc>
        <w:tc>
          <w:tcPr>
            <w:tcW w:w="146" w:type="dxa"/>
          </w:tcPr>
          <w:p w14:paraId="062AD2DA" w14:textId="77777777" w:rsidR="002C6574" w:rsidRDefault="002C6574">
            <w:pPr>
              <w:pStyle w:val="TableParagraph"/>
              <w:jc w:val="left"/>
              <w:rPr>
                <w:rFonts w:ascii="Times New Roman"/>
                <w:sz w:val="12"/>
              </w:rPr>
            </w:pPr>
          </w:p>
        </w:tc>
        <w:tc>
          <w:tcPr>
            <w:tcW w:w="1536" w:type="dxa"/>
          </w:tcPr>
          <w:p w14:paraId="33E7B902" w14:textId="77777777" w:rsidR="002C6574" w:rsidRDefault="00000000">
            <w:pPr>
              <w:pStyle w:val="TableParagraph"/>
              <w:spacing w:line="178" w:lineRule="exact"/>
              <w:ind w:right="118"/>
              <w:rPr>
                <w:sz w:val="16"/>
              </w:rPr>
            </w:pPr>
            <w:r>
              <w:rPr>
                <w:spacing w:val="-10"/>
                <w:w w:val="95"/>
                <w:sz w:val="16"/>
              </w:rPr>
              <w:t>-</w:t>
            </w:r>
          </w:p>
        </w:tc>
      </w:tr>
      <w:tr w:rsidR="002C6574" w14:paraId="7785E2B6" w14:textId="77777777">
        <w:trPr>
          <w:trHeight w:val="197"/>
        </w:trPr>
        <w:tc>
          <w:tcPr>
            <w:tcW w:w="6532" w:type="dxa"/>
          </w:tcPr>
          <w:p w14:paraId="3A892416" w14:textId="77777777" w:rsidR="002C6574" w:rsidRDefault="00000000">
            <w:pPr>
              <w:pStyle w:val="TableParagraph"/>
              <w:spacing w:line="178" w:lineRule="exact"/>
              <w:ind w:left="413"/>
              <w:jc w:val="left"/>
              <w:rPr>
                <w:sz w:val="16"/>
              </w:rPr>
            </w:pPr>
            <w:r>
              <w:rPr>
                <w:w w:val="105"/>
                <w:sz w:val="16"/>
              </w:rPr>
              <w:t>Ganho</w:t>
            </w:r>
            <w:r>
              <w:rPr>
                <w:spacing w:val="-5"/>
                <w:w w:val="105"/>
                <w:sz w:val="16"/>
              </w:rPr>
              <w:t xml:space="preserve"> </w:t>
            </w:r>
            <w:r>
              <w:rPr>
                <w:w w:val="105"/>
                <w:sz w:val="16"/>
              </w:rPr>
              <w:t>na</w:t>
            </w:r>
            <w:r>
              <w:rPr>
                <w:spacing w:val="-6"/>
                <w:w w:val="105"/>
                <w:sz w:val="16"/>
              </w:rPr>
              <w:t xml:space="preserve"> </w:t>
            </w:r>
            <w:r>
              <w:rPr>
                <w:w w:val="105"/>
                <w:sz w:val="16"/>
              </w:rPr>
              <w:t>Baixa</w:t>
            </w:r>
            <w:r>
              <w:rPr>
                <w:spacing w:val="-7"/>
                <w:w w:val="105"/>
                <w:sz w:val="16"/>
              </w:rPr>
              <w:t xml:space="preserve"> </w:t>
            </w:r>
            <w:r>
              <w:rPr>
                <w:w w:val="105"/>
                <w:sz w:val="16"/>
              </w:rPr>
              <w:t>de</w:t>
            </w:r>
            <w:r>
              <w:rPr>
                <w:spacing w:val="-6"/>
                <w:w w:val="105"/>
                <w:sz w:val="16"/>
              </w:rPr>
              <w:t xml:space="preserve"> </w:t>
            </w:r>
            <w:r>
              <w:rPr>
                <w:spacing w:val="-2"/>
                <w:w w:val="105"/>
                <w:sz w:val="16"/>
              </w:rPr>
              <w:t>Passivos</w:t>
            </w:r>
          </w:p>
        </w:tc>
        <w:tc>
          <w:tcPr>
            <w:tcW w:w="1538" w:type="dxa"/>
          </w:tcPr>
          <w:p w14:paraId="3A3A332A" w14:textId="77777777" w:rsidR="002C6574" w:rsidRDefault="00000000">
            <w:pPr>
              <w:pStyle w:val="TableParagraph"/>
              <w:spacing w:line="178" w:lineRule="exact"/>
              <w:ind w:right="66"/>
              <w:rPr>
                <w:sz w:val="16"/>
              </w:rPr>
            </w:pPr>
            <w:r>
              <w:rPr>
                <w:spacing w:val="-4"/>
                <w:w w:val="105"/>
                <w:sz w:val="16"/>
              </w:rPr>
              <w:t>(76)</w:t>
            </w:r>
          </w:p>
        </w:tc>
        <w:tc>
          <w:tcPr>
            <w:tcW w:w="146" w:type="dxa"/>
          </w:tcPr>
          <w:p w14:paraId="65C99D8F" w14:textId="77777777" w:rsidR="002C6574" w:rsidRDefault="002C6574">
            <w:pPr>
              <w:pStyle w:val="TableParagraph"/>
              <w:jc w:val="left"/>
              <w:rPr>
                <w:rFonts w:ascii="Times New Roman"/>
                <w:sz w:val="12"/>
              </w:rPr>
            </w:pPr>
          </w:p>
        </w:tc>
        <w:tc>
          <w:tcPr>
            <w:tcW w:w="1536" w:type="dxa"/>
          </w:tcPr>
          <w:p w14:paraId="02AE65D9" w14:textId="77777777" w:rsidR="002C6574" w:rsidRDefault="00000000">
            <w:pPr>
              <w:pStyle w:val="TableParagraph"/>
              <w:spacing w:line="178" w:lineRule="exact"/>
              <w:ind w:right="66"/>
              <w:rPr>
                <w:sz w:val="16"/>
              </w:rPr>
            </w:pPr>
            <w:r>
              <w:rPr>
                <w:spacing w:val="-2"/>
                <w:w w:val="110"/>
                <w:sz w:val="16"/>
              </w:rPr>
              <w:t>(2.297)</w:t>
            </w:r>
          </w:p>
        </w:tc>
      </w:tr>
      <w:tr w:rsidR="002C6574" w14:paraId="130675D4" w14:textId="77777777">
        <w:trPr>
          <w:trHeight w:val="197"/>
        </w:trPr>
        <w:tc>
          <w:tcPr>
            <w:tcW w:w="6532" w:type="dxa"/>
          </w:tcPr>
          <w:p w14:paraId="665758C1" w14:textId="77777777" w:rsidR="002C6574" w:rsidRDefault="00000000">
            <w:pPr>
              <w:pStyle w:val="TableParagraph"/>
              <w:spacing w:line="178" w:lineRule="exact"/>
              <w:ind w:left="413"/>
              <w:jc w:val="left"/>
              <w:rPr>
                <w:sz w:val="16"/>
              </w:rPr>
            </w:pPr>
            <w:r>
              <w:rPr>
                <w:sz w:val="16"/>
              </w:rPr>
              <w:t>Baixa</w:t>
            </w:r>
            <w:r>
              <w:rPr>
                <w:spacing w:val="10"/>
                <w:sz w:val="16"/>
              </w:rPr>
              <w:t xml:space="preserve"> </w:t>
            </w:r>
            <w:r>
              <w:rPr>
                <w:sz w:val="16"/>
              </w:rPr>
              <w:t>de</w:t>
            </w:r>
            <w:r>
              <w:rPr>
                <w:spacing w:val="13"/>
                <w:sz w:val="16"/>
              </w:rPr>
              <w:t xml:space="preserve"> </w:t>
            </w:r>
            <w:r>
              <w:rPr>
                <w:sz w:val="16"/>
              </w:rPr>
              <w:t>Créditos</w:t>
            </w:r>
            <w:r>
              <w:rPr>
                <w:spacing w:val="11"/>
                <w:sz w:val="16"/>
              </w:rPr>
              <w:t xml:space="preserve"> </w:t>
            </w:r>
            <w:r>
              <w:rPr>
                <w:spacing w:val="-2"/>
                <w:sz w:val="16"/>
              </w:rPr>
              <w:t>Tributários</w:t>
            </w:r>
          </w:p>
        </w:tc>
        <w:tc>
          <w:tcPr>
            <w:tcW w:w="1538" w:type="dxa"/>
          </w:tcPr>
          <w:p w14:paraId="3FF4BF9A" w14:textId="77777777" w:rsidR="002C6574" w:rsidRDefault="00000000">
            <w:pPr>
              <w:pStyle w:val="TableParagraph"/>
              <w:spacing w:line="178" w:lineRule="exact"/>
              <w:ind w:right="83"/>
              <w:rPr>
                <w:sz w:val="16"/>
              </w:rPr>
            </w:pPr>
            <w:r>
              <w:rPr>
                <w:spacing w:val="-4"/>
                <w:w w:val="110"/>
                <w:sz w:val="16"/>
              </w:rPr>
              <w:t>4.795</w:t>
            </w:r>
          </w:p>
        </w:tc>
        <w:tc>
          <w:tcPr>
            <w:tcW w:w="146" w:type="dxa"/>
          </w:tcPr>
          <w:p w14:paraId="2B674878" w14:textId="77777777" w:rsidR="002C6574" w:rsidRDefault="002C6574">
            <w:pPr>
              <w:pStyle w:val="TableParagraph"/>
              <w:jc w:val="left"/>
              <w:rPr>
                <w:rFonts w:ascii="Times New Roman"/>
                <w:sz w:val="12"/>
              </w:rPr>
            </w:pPr>
          </w:p>
        </w:tc>
        <w:tc>
          <w:tcPr>
            <w:tcW w:w="1536" w:type="dxa"/>
          </w:tcPr>
          <w:p w14:paraId="3453EF0C" w14:textId="77777777" w:rsidR="002C6574" w:rsidRDefault="00000000">
            <w:pPr>
              <w:pStyle w:val="TableParagraph"/>
              <w:spacing w:line="178" w:lineRule="exact"/>
              <w:ind w:right="82"/>
              <w:rPr>
                <w:sz w:val="16"/>
              </w:rPr>
            </w:pPr>
            <w:r>
              <w:rPr>
                <w:spacing w:val="-4"/>
                <w:w w:val="110"/>
                <w:sz w:val="16"/>
              </w:rPr>
              <w:t>2.963</w:t>
            </w:r>
          </w:p>
        </w:tc>
      </w:tr>
      <w:tr w:rsidR="002C6574" w14:paraId="550BDA94" w14:textId="77777777">
        <w:trPr>
          <w:trHeight w:val="205"/>
        </w:trPr>
        <w:tc>
          <w:tcPr>
            <w:tcW w:w="6532" w:type="dxa"/>
          </w:tcPr>
          <w:p w14:paraId="79E31104" w14:textId="77777777" w:rsidR="002C6574" w:rsidRDefault="00000000">
            <w:pPr>
              <w:pStyle w:val="TableParagraph"/>
              <w:spacing w:line="185" w:lineRule="exact"/>
              <w:ind w:left="413"/>
              <w:jc w:val="left"/>
              <w:rPr>
                <w:sz w:val="16"/>
              </w:rPr>
            </w:pPr>
            <w:r>
              <w:rPr>
                <w:w w:val="105"/>
                <w:sz w:val="16"/>
              </w:rPr>
              <w:t>Provisão</w:t>
            </w:r>
            <w:r>
              <w:rPr>
                <w:spacing w:val="-10"/>
                <w:w w:val="105"/>
                <w:sz w:val="16"/>
              </w:rPr>
              <w:t xml:space="preserve"> </w:t>
            </w:r>
            <w:r>
              <w:rPr>
                <w:w w:val="105"/>
                <w:sz w:val="16"/>
              </w:rPr>
              <w:t>para</w:t>
            </w:r>
            <w:r>
              <w:rPr>
                <w:spacing w:val="-8"/>
                <w:w w:val="105"/>
                <w:sz w:val="16"/>
              </w:rPr>
              <w:t xml:space="preserve"> </w:t>
            </w:r>
            <w:r>
              <w:rPr>
                <w:w w:val="105"/>
                <w:sz w:val="16"/>
              </w:rPr>
              <w:t>Perdas</w:t>
            </w:r>
            <w:r>
              <w:rPr>
                <w:spacing w:val="-7"/>
                <w:w w:val="105"/>
                <w:sz w:val="16"/>
              </w:rPr>
              <w:t xml:space="preserve"> </w:t>
            </w:r>
            <w:r>
              <w:rPr>
                <w:w w:val="105"/>
                <w:sz w:val="16"/>
              </w:rPr>
              <w:t>Prováveis</w:t>
            </w:r>
            <w:r>
              <w:rPr>
                <w:spacing w:val="-7"/>
                <w:w w:val="105"/>
                <w:sz w:val="16"/>
              </w:rPr>
              <w:t xml:space="preserve"> </w:t>
            </w:r>
            <w:r>
              <w:rPr>
                <w:w w:val="105"/>
                <w:sz w:val="16"/>
              </w:rPr>
              <w:t>sobre</w:t>
            </w:r>
            <w:r>
              <w:rPr>
                <w:spacing w:val="-9"/>
                <w:w w:val="105"/>
                <w:sz w:val="16"/>
              </w:rPr>
              <w:t xml:space="preserve"> </w:t>
            </w:r>
            <w:r>
              <w:rPr>
                <w:spacing w:val="-2"/>
                <w:w w:val="105"/>
                <w:sz w:val="16"/>
              </w:rPr>
              <w:t>Ativos</w:t>
            </w:r>
          </w:p>
        </w:tc>
        <w:tc>
          <w:tcPr>
            <w:tcW w:w="1538" w:type="dxa"/>
          </w:tcPr>
          <w:p w14:paraId="1710BFD7" w14:textId="77777777" w:rsidR="002C6574" w:rsidRDefault="00000000">
            <w:pPr>
              <w:pStyle w:val="TableParagraph"/>
              <w:spacing w:line="185" w:lineRule="exact"/>
              <w:ind w:right="83"/>
              <w:rPr>
                <w:sz w:val="16"/>
              </w:rPr>
            </w:pPr>
            <w:r>
              <w:rPr>
                <w:spacing w:val="-5"/>
                <w:w w:val="105"/>
                <w:sz w:val="16"/>
              </w:rPr>
              <w:t>91</w:t>
            </w:r>
          </w:p>
        </w:tc>
        <w:tc>
          <w:tcPr>
            <w:tcW w:w="146" w:type="dxa"/>
          </w:tcPr>
          <w:p w14:paraId="789C5878" w14:textId="77777777" w:rsidR="002C6574" w:rsidRDefault="002C6574">
            <w:pPr>
              <w:pStyle w:val="TableParagraph"/>
              <w:jc w:val="left"/>
              <w:rPr>
                <w:rFonts w:ascii="Times New Roman"/>
                <w:sz w:val="14"/>
              </w:rPr>
            </w:pPr>
          </w:p>
        </w:tc>
        <w:tc>
          <w:tcPr>
            <w:tcW w:w="1536" w:type="dxa"/>
          </w:tcPr>
          <w:p w14:paraId="20FAEABB" w14:textId="77777777" w:rsidR="002C6574" w:rsidRDefault="00000000">
            <w:pPr>
              <w:pStyle w:val="TableParagraph"/>
              <w:spacing w:line="185" w:lineRule="exact"/>
              <w:ind w:right="118"/>
              <w:rPr>
                <w:sz w:val="16"/>
              </w:rPr>
            </w:pPr>
            <w:r>
              <w:rPr>
                <w:spacing w:val="-10"/>
                <w:w w:val="95"/>
                <w:sz w:val="16"/>
              </w:rPr>
              <w:t>-</w:t>
            </w:r>
          </w:p>
        </w:tc>
      </w:tr>
      <w:tr w:rsidR="002C6574" w14:paraId="67644A4A" w14:textId="77777777">
        <w:trPr>
          <w:trHeight w:val="187"/>
        </w:trPr>
        <w:tc>
          <w:tcPr>
            <w:tcW w:w="6532" w:type="dxa"/>
          </w:tcPr>
          <w:p w14:paraId="42CD4704" w14:textId="77777777" w:rsidR="002C6574" w:rsidRDefault="00000000">
            <w:pPr>
              <w:pStyle w:val="TableParagraph"/>
              <w:spacing w:line="168" w:lineRule="exact"/>
              <w:ind w:left="414"/>
              <w:jc w:val="left"/>
              <w:rPr>
                <w:sz w:val="16"/>
              </w:rPr>
            </w:pPr>
            <w:r>
              <w:rPr>
                <w:sz w:val="16"/>
              </w:rPr>
              <w:t>Baixa</w:t>
            </w:r>
            <w:r>
              <w:rPr>
                <w:spacing w:val="6"/>
                <w:sz w:val="16"/>
              </w:rPr>
              <w:t xml:space="preserve"> </w:t>
            </w:r>
            <w:r>
              <w:rPr>
                <w:sz w:val="16"/>
              </w:rPr>
              <w:t>de</w:t>
            </w:r>
            <w:r>
              <w:rPr>
                <w:spacing w:val="4"/>
                <w:sz w:val="16"/>
              </w:rPr>
              <w:t xml:space="preserve"> </w:t>
            </w:r>
            <w:r>
              <w:rPr>
                <w:sz w:val="16"/>
              </w:rPr>
              <w:t>Ativo</w:t>
            </w:r>
            <w:r>
              <w:rPr>
                <w:spacing w:val="5"/>
                <w:sz w:val="16"/>
              </w:rPr>
              <w:t xml:space="preserve"> </w:t>
            </w:r>
            <w:r>
              <w:rPr>
                <w:spacing w:val="-2"/>
                <w:sz w:val="16"/>
              </w:rPr>
              <w:t>Imobilizado</w:t>
            </w:r>
          </w:p>
        </w:tc>
        <w:tc>
          <w:tcPr>
            <w:tcW w:w="1538" w:type="dxa"/>
            <w:tcBorders>
              <w:bottom w:val="single" w:sz="4" w:space="0" w:color="000000"/>
            </w:tcBorders>
          </w:tcPr>
          <w:p w14:paraId="582A49D4" w14:textId="77777777" w:rsidR="002C6574" w:rsidRDefault="00000000">
            <w:pPr>
              <w:pStyle w:val="TableParagraph"/>
              <w:spacing w:line="168" w:lineRule="exact"/>
              <w:ind w:right="162"/>
              <w:rPr>
                <w:sz w:val="16"/>
              </w:rPr>
            </w:pPr>
            <w:r>
              <w:rPr>
                <w:spacing w:val="-10"/>
                <w:w w:val="95"/>
                <w:sz w:val="16"/>
              </w:rPr>
              <w:t>-</w:t>
            </w:r>
          </w:p>
        </w:tc>
        <w:tc>
          <w:tcPr>
            <w:tcW w:w="146" w:type="dxa"/>
          </w:tcPr>
          <w:p w14:paraId="695F4100" w14:textId="77777777" w:rsidR="002C6574" w:rsidRDefault="002C6574">
            <w:pPr>
              <w:pStyle w:val="TableParagraph"/>
              <w:jc w:val="left"/>
              <w:rPr>
                <w:rFonts w:ascii="Times New Roman"/>
                <w:sz w:val="12"/>
              </w:rPr>
            </w:pPr>
          </w:p>
        </w:tc>
        <w:tc>
          <w:tcPr>
            <w:tcW w:w="1536" w:type="dxa"/>
            <w:tcBorders>
              <w:bottom w:val="single" w:sz="4" w:space="0" w:color="000000"/>
            </w:tcBorders>
          </w:tcPr>
          <w:p w14:paraId="064D87ED" w14:textId="77777777" w:rsidR="002C6574" w:rsidRDefault="00000000">
            <w:pPr>
              <w:pStyle w:val="TableParagraph"/>
              <w:spacing w:line="168" w:lineRule="exact"/>
              <w:ind w:right="82"/>
              <w:rPr>
                <w:sz w:val="16"/>
              </w:rPr>
            </w:pPr>
            <w:r>
              <w:rPr>
                <w:spacing w:val="-4"/>
                <w:w w:val="110"/>
                <w:sz w:val="16"/>
              </w:rPr>
              <w:t>2.666</w:t>
            </w:r>
          </w:p>
        </w:tc>
      </w:tr>
      <w:tr w:rsidR="002C6574" w14:paraId="6A235654" w14:textId="77777777">
        <w:trPr>
          <w:trHeight w:val="198"/>
        </w:trPr>
        <w:tc>
          <w:tcPr>
            <w:tcW w:w="6532" w:type="dxa"/>
          </w:tcPr>
          <w:p w14:paraId="0D82E5C2" w14:textId="77777777" w:rsidR="002C6574" w:rsidRDefault="002C6574">
            <w:pPr>
              <w:pStyle w:val="TableParagraph"/>
              <w:jc w:val="left"/>
              <w:rPr>
                <w:rFonts w:ascii="Times New Roman"/>
                <w:sz w:val="12"/>
              </w:rPr>
            </w:pPr>
          </w:p>
        </w:tc>
        <w:tc>
          <w:tcPr>
            <w:tcW w:w="1538" w:type="dxa"/>
            <w:tcBorders>
              <w:top w:val="single" w:sz="4" w:space="0" w:color="000000"/>
              <w:bottom w:val="single" w:sz="4" w:space="0" w:color="000000"/>
            </w:tcBorders>
          </w:tcPr>
          <w:p w14:paraId="71B4F407" w14:textId="77777777" w:rsidR="002C6574" w:rsidRDefault="00000000">
            <w:pPr>
              <w:pStyle w:val="TableParagraph"/>
              <w:spacing w:before="15" w:line="163" w:lineRule="exact"/>
              <w:ind w:right="83"/>
              <w:rPr>
                <w:rFonts w:ascii="Arial"/>
                <w:b/>
                <w:sz w:val="16"/>
              </w:rPr>
            </w:pPr>
            <w:r>
              <w:rPr>
                <w:rFonts w:ascii="Arial"/>
                <w:b/>
                <w:spacing w:val="-2"/>
                <w:sz w:val="16"/>
              </w:rPr>
              <w:t>149.463</w:t>
            </w:r>
          </w:p>
        </w:tc>
        <w:tc>
          <w:tcPr>
            <w:tcW w:w="146" w:type="dxa"/>
          </w:tcPr>
          <w:p w14:paraId="4602A55B" w14:textId="77777777" w:rsidR="002C6574" w:rsidRDefault="002C6574">
            <w:pPr>
              <w:pStyle w:val="TableParagraph"/>
              <w:jc w:val="left"/>
              <w:rPr>
                <w:rFonts w:ascii="Times New Roman"/>
                <w:sz w:val="12"/>
              </w:rPr>
            </w:pPr>
          </w:p>
        </w:tc>
        <w:tc>
          <w:tcPr>
            <w:tcW w:w="1536" w:type="dxa"/>
            <w:tcBorders>
              <w:top w:val="single" w:sz="4" w:space="0" w:color="000000"/>
              <w:bottom w:val="single" w:sz="4" w:space="0" w:color="000000"/>
            </w:tcBorders>
          </w:tcPr>
          <w:p w14:paraId="6E8E74CA" w14:textId="77777777" w:rsidR="002C6574" w:rsidRDefault="00000000">
            <w:pPr>
              <w:pStyle w:val="TableParagraph"/>
              <w:spacing w:before="15" w:line="163" w:lineRule="exact"/>
              <w:ind w:right="83"/>
              <w:rPr>
                <w:rFonts w:ascii="Arial"/>
                <w:b/>
                <w:sz w:val="16"/>
              </w:rPr>
            </w:pPr>
            <w:r>
              <w:rPr>
                <w:rFonts w:ascii="Arial"/>
                <w:b/>
                <w:spacing w:val="-2"/>
                <w:sz w:val="16"/>
              </w:rPr>
              <w:t>220.179</w:t>
            </w:r>
          </w:p>
        </w:tc>
      </w:tr>
      <w:tr w:rsidR="002C6574" w14:paraId="7DAFCD74" w14:textId="77777777">
        <w:trPr>
          <w:trHeight w:val="398"/>
        </w:trPr>
        <w:tc>
          <w:tcPr>
            <w:tcW w:w="6532" w:type="dxa"/>
          </w:tcPr>
          <w:p w14:paraId="68B3B28C" w14:textId="77777777" w:rsidR="002C6574" w:rsidRDefault="00000000">
            <w:pPr>
              <w:pStyle w:val="TableParagraph"/>
              <w:spacing w:before="15" w:line="172" w:lineRule="exact"/>
              <w:ind w:left="50"/>
              <w:jc w:val="left"/>
              <w:rPr>
                <w:rFonts w:ascii="Arial" w:hAnsi="Arial"/>
                <w:b/>
                <w:sz w:val="16"/>
              </w:rPr>
            </w:pPr>
            <w:r>
              <w:rPr>
                <w:rFonts w:ascii="Arial" w:hAnsi="Arial"/>
                <w:b/>
                <w:sz w:val="16"/>
              </w:rPr>
              <w:t>Mutações</w:t>
            </w:r>
            <w:r>
              <w:rPr>
                <w:rFonts w:ascii="Arial" w:hAnsi="Arial"/>
                <w:b/>
                <w:spacing w:val="-3"/>
                <w:sz w:val="16"/>
              </w:rPr>
              <w:t xml:space="preserve"> </w:t>
            </w:r>
            <w:r>
              <w:rPr>
                <w:rFonts w:ascii="Arial" w:hAnsi="Arial"/>
                <w:b/>
                <w:spacing w:val="-2"/>
                <w:sz w:val="16"/>
              </w:rPr>
              <w:t>Patrimoniais:</w:t>
            </w:r>
          </w:p>
          <w:p w14:paraId="50D5A37D" w14:textId="77777777" w:rsidR="002C6574" w:rsidRDefault="00000000">
            <w:pPr>
              <w:pStyle w:val="TableParagraph"/>
              <w:spacing w:line="192" w:lineRule="exact"/>
              <w:ind w:left="413"/>
              <w:jc w:val="left"/>
              <w:rPr>
                <w:sz w:val="16"/>
              </w:rPr>
            </w:pPr>
            <w:r>
              <w:rPr>
                <w:w w:val="105"/>
                <w:sz w:val="16"/>
              </w:rPr>
              <w:t>Contas</w:t>
            </w:r>
            <w:r>
              <w:rPr>
                <w:spacing w:val="-5"/>
                <w:w w:val="105"/>
                <w:sz w:val="16"/>
              </w:rPr>
              <w:t xml:space="preserve"> </w:t>
            </w:r>
            <w:r>
              <w:rPr>
                <w:w w:val="105"/>
                <w:sz w:val="16"/>
              </w:rPr>
              <w:t>a</w:t>
            </w:r>
            <w:r>
              <w:rPr>
                <w:spacing w:val="-6"/>
                <w:w w:val="105"/>
                <w:sz w:val="16"/>
              </w:rPr>
              <w:t xml:space="preserve"> </w:t>
            </w:r>
            <w:r>
              <w:rPr>
                <w:w w:val="105"/>
                <w:sz w:val="16"/>
              </w:rPr>
              <w:t>Receber</w:t>
            </w:r>
            <w:r>
              <w:rPr>
                <w:spacing w:val="-5"/>
                <w:w w:val="105"/>
                <w:sz w:val="16"/>
              </w:rPr>
              <w:t xml:space="preserve"> </w:t>
            </w:r>
            <w:r>
              <w:rPr>
                <w:w w:val="105"/>
                <w:sz w:val="16"/>
              </w:rPr>
              <w:t>de</w:t>
            </w:r>
            <w:r>
              <w:rPr>
                <w:spacing w:val="-4"/>
                <w:w w:val="105"/>
                <w:sz w:val="16"/>
              </w:rPr>
              <w:t xml:space="preserve"> </w:t>
            </w:r>
            <w:r>
              <w:rPr>
                <w:spacing w:val="-2"/>
                <w:w w:val="105"/>
                <w:sz w:val="16"/>
              </w:rPr>
              <w:t>Clientes</w:t>
            </w:r>
          </w:p>
        </w:tc>
        <w:tc>
          <w:tcPr>
            <w:tcW w:w="1538" w:type="dxa"/>
            <w:tcBorders>
              <w:top w:val="single" w:sz="4" w:space="0" w:color="000000"/>
            </w:tcBorders>
          </w:tcPr>
          <w:p w14:paraId="2EEDCB34" w14:textId="77777777" w:rsidR="002C6574" w:rsidRDefault="002C6574">
            <w:pPr>
              <w:pStyle w:val="TableParagraph"/>
              <w:spacing w:before="5"/>
              <w:jc w:val="left"/>
              <w:rPr>
                <w:rFonts w:ascii="Arial"/>
                <w:b/>
                <w:sz w:val="16"/>
              </w:rPr>
            </w:pPr>
          </w:p>
          <w:p w14:paraId="739946BB" w14:textId="77777777" w:rsidR="002C6574" w:rsidRDefault="00000000">
            <w:pPr>
              <w:pStyle w:val="TableParagraph"/>
              <w:spacing w:line="189" w:lineRule="exact"/>
              <w:ind w:right="66"/>
              <w:rPr>
                <w:sz w:val="16"/>
              </w:rPr>
            </w:pPr>
            <w:r>
              <w:rPr>
                <w:spacing w:val="-2"/>
                <w:w w:val="105"/>
                <w:sz w:val="16"/>
              </w:rPr>
              <w:t>(242.191)</w:t>
            </w:r>
          </w:p>
        </w:tc>
        <w:tc>
          <w:tcPr>
            <w:tcW w:w="146" w:type="dxa"/>
          </w:tcPr>
          <w:p w14:paraId="5A3B60A7" w14:textId="77777777" w:rsidR="002C6574" w:rsidRDefault="002C6574">
            <w:pPr>
              <w:pStyle w:val="TableParagraph"/>
              <w:jc w:val="left"/>
              <w:rPr>
                <w:rFonts w:ascii="Times New Roman"/>
                <w:sz w:val="16"/>
              </w:rPr>
            </w:pPr>
          </w:p>
        </w:tc>
        <w:tc>
          <w:tcPr>
            <w:tcW w:w="1536" w:type="dxa"/>
            <w:tcBorders>
              <w:top w:val="single" w:sz="4" w:space="0" w:color="000000"/>
            </w:tcBorders>
          </w:tcPr>
          <w:p w14:paraId="32F7D616" w14:textId="77777777" w:rsidR="002C6574" w:rsidRDefault="002C6574">
            <w:pPr>
              <w:pStyle w:val="TableParagraph"/>
              <w:spacing w:before="5"/>
              <w:jc w:val="left"/>
              <w:rPr>
                <w:rFonts w:ascii="Arial"/>
                <w:b/>
                <w:sz w:val="16"/>
              </w:rPr>
            </w:pPr>
          </w:p>
          <w:p w14:paraId="68DCE7A6" w14:textId="77777777" w:rsidR="002C6574" w:rsidRDefault="00000000">
            <w:pPr>
              <w:pStyle w:val="TableParagraph"/>
              <w:spacing w:line="189" w:lineRule="exact"/>
              <w:ind w:right="65"/>
              <w:rPr>
                <w:sz w:val="16"/>
              </w:rPr>
            </w:pPr>
            <w:r>
              <w:rPr>
                <w:spacing w:val="-2"/>
                <w:w w:val="110"/>
                <w:sz w:val="16"/>
              </w:rPr>
              <w:t>(59.168)</w:t>
            </w:r>
          </w:p>
        </w:tc>
      </w:tr>
      <w:tr w:rsidR="002C6574" w14:paraId="014D9FEE" w14:textId="77777777">
        <w:trPr>
          <w:trHeight w:val="197"/>
        </w:trPr>
        <w:tc>
          <w:tcPr>
            <w:tcW w:w="6532" w:type="dxa"/>
          </w:tcPr>
          <w:p w14:paraId="5C69C889" w14:textId="77777777" w:rsidR="002C6574" w:rsidRDefault="00000000">
            <w:pPr>
              <w:pStyle w:val="TableParagraph"/>
              <w:spacing w:line="178" w:lineRule="exact"/>
              <w:ind w:left="413"/>
              <w:jc w:val="left"/>
              <w:rPr>
                <w:sz w:val="16"/>
              </w:rPr>
            </w:pPr>
            <w:r>
              <w:rPr>
                <w:sz w:val="16"/>
              </w:rPr>
              <w:t>Tributos</w:t>
            </w:r>
            <w:r>
              <w:rPr>
                <w:spacing w:val="3"/>
                <w:sz w:val="16"/>
              </w:rPr>
              <w:t xml:space="preserve"> </w:t>
            </w:r>
            <w:r>
              <w:rPr>
                <w:sz w:val="16"/>
              </w:rPr>
              <w:t>a</w:t>
            </w:r>
            <w:r>
              <w:rPr>
                <w:spacing w:val="2"/>
                <w:sz w:val="16"/>
              </w:rPr>
              <w:t xml:space="preserve"> </w:t>
            </w:r>
            <w:r>
              <w:rPr>
                <w:spacing w:val="-2"/>
                <w:sz w:val="16"/>
              </w:rPr>
              <w:t>Recuperar</w:t>
            </w:r>
          </w:p>
        </w:tc>
        <w:tc>
          <w:tcPr>
            <w:tcW w:w="1538" w:type="dxa"/>
          </w:tcPr>
          <w:p w14:paraId="613F111A" w14:textId="77777777" w:rsidR="002C6574" w:rsidRDefault="00000000">
            <w:pPr>
              <w:pStyle w:val="TableParagraph"/>
              <w:spacing w:line="178" w:lineRule="exact"/>
              <w:ind w:right="66"/>
              <w:rPr>
                <w:sz w:val="16"/>
              </w:rPr>
            </w:pPr>
            <w:r>
              <w:rPr>
                <w:spacing w:val="-2"/>
                <w:w w:val="110"/>
                <w:sz w:val="16"/>
              </w:rPr>
              <w:t>(18.886)</w:t>
            </w:r>
          </w:p>
        </w:tc>
        <w:tc>
          <w:tcPr>
            <w:tcW w:w="146" w:type="dxa"/>
          </w:tcPr>
          <w:p w14:paraId="4B7FEA69" w14:textId="77777777" w:rsidR="002C6574" w:rsidRDefault="002C6574">
            <w:pPr>
              <w:pStyle w:val="TableParagraph"/>
              <w:jc w:val="left"/>
              <w:rPr>
                <w:rFonts w:ascii="Times New Roman"/>
                <w:sz w:val="12"/>
              </w:rPr>
            </w:pPr>
          </w:p>
        </w:tc>
        <w:tc>
          <w:tcPr>
            <w:tcW w:w="1536" w:type="dxa"/>
          </w:tcPr>
          <w:p w14:paraId="0550A16E" w14:textId="77777777" w:rsidR="002C6574" w:rsidRDefault="00000000">
            <w:pPr>
              <w:pStyle w:val="TableParagraph"/>
              <w:spacing w:line="178" w:lineRule="exact"/>
              <w:ind w:right="65"/>
              <w:rPr>
                <w:sz w:val="16"/>
              </w:rPr>
            </w:pPr>
            <w:r>
              <w:rPr>
                <w:spacing w:val="-4"/>
                <w:w w:val="105"/>
                <w:sz w:val="16"/>
              </w:rPr>
              <w:t>(54)</w:t>
            </w:r>
          </w:p>
        </w:tc>
      </w:tr>
      <w:tr w:rsidR="002C6574" w14:paraId="2589B17F" w14:textId="77777777">
        <w:trPr>
          <w:trHeight w:val="197"/>
        </w:trPr>
        <w:tc>
          <w:tcPr>
            <w:tcW w:w="6532" w:type="dxa"/>
          </w:tcPr>
          <w:p w14:paraId="19FD0BF6" w14:textId="77777777" w:rsidR="002C6574" w:rsidRDefault="00000000">
            <w:pPr>
              <w:pStyle w:val="TableParagraph"/>
              <w:spacing w:line="178" w:lineRule="exact"/>
              <w:ind w:left="413"/>
              <w:jc w:val="left"/>
              <w:rPr>
                <w:sz w:val="16"/>
              </w:rPr>
            </w:pPr>
            <w:r>
              <w:rPr>
                <w:w w:val="105"/>
                <w:sz w:val="16"/>
              </w:rPr>
              <w:t>Pessoal,</w:t>
            </w:r>
            <w:r>
              <w:rPr>
                <w:spacing w:val="2"/>
                <w:w w:val="105"/>
                <w:sz w:val="16"/>
              </w:rPr>
              <w:t xml:space="preserve"> </w:t>
            </w:r>
            <w:r>
              <w:rPr>
                <w:w w:val="105"/>
                <w:sz w:val="16"/>
              </w:rPr>
              <w:t>Encargos</w:t>
            </w:r>
            <w:r>
              <w:rPr>
                <w:spacing w:val="4"/>
                <w:w w:val="105"/>
                <w:sz w:val="16"/>
              </w:rPr>
              <w:t xml:space="preserve"> </w:t>
            </w:r>
            <w:r>
              <w:rPr>
                <w:w w:val="105"/>
                <w:sz w:val="16"/>
              </w:rPr>
              <w:t>e Benefícios</w:t>
            </w:r>
            <w:r>
              <w:rPr>
                <w:spacing w:val="2"/>
                <w:w w:val="105"/>
                <w:sz w:val="16"/>
              </w:rPr>
              <w:t xml:space="preserve"> </w:t>
            </w:r>
            <w:r>
              <w:rPr>
                <w:spacing w:val="-2"/>
                <w:w w:val="105"/>
                <w:sz w:val="16"/>
              </w:rPr>
              <w:t>Sociais</w:t>
            </w:r>
          </w:p>
        </w:tc>
        <w:tc>
          <w:tcPr>
            <w:tcW w:w="1538" w:type="dxa"/>
          </w:tcPr>
          <w:p w14:paraId="1BC08D13" w14:textId="77777777" w:rsidR="002C6574" w:rsidRDefault="00000000">
            <w:pPr>
              <w:pStyle w:val="TableParagraph"/>
              <w:spacing w:line="178" w:lineRule="exact"/>
              <w:ind w:right="83"/>
              <w:rPr>
                <w:sz w:val="16"/>
              </w:rPr>
            </w:pPr>
            <w:r>
              <w:rPr>
                <w:spacing w:val="-4"/>
                <w:w w:val="110"/>
                <w:sz w:val="16"/>
              </w:rPr>
              <w:t>8.252</w:t>
            </w:r>
          </w:p>
        </w:tc>
        <w:tc>
          <w:tcPr>
            <w:tcW w:w="146" w:type="dxa"/>
          </w:tcPr>
          <w:p w14:paraId="44F0D36D" w14:textId="77777777" w:rsidR="002C6574" w:rsidRDefault="002C6574">
            <w:pPr>
              <w:pStyle w:val="TableParagraph"/>
              <w:jc w:val="left"/>
              <w:rPr>
                <w:rFonts w:ascii="Times New Roman"/>
                <w:sz w:val="12"/>
              </w:rPr>
            </w:pPr>
          </w:p>
        </w:tc>
        <w:tc>
          <w:tcPr>
            <w:tcW w:w="1536" w:type="dxa"/>
          </w:tcPr>
          <w:p w14:paraId="65EBE3A9" w14:textId="77777777" w:rsidR="002C6574" w:rsidRDefault="00000000">
            <w:pPr>
              <w:pStyle w:val="TableParagraph"/>
              <w:spacing w:line="178" w:lineRule="exact"/>
              <w:ind w:right="83"/>
              <w:rPr>
                <w:sz w:val="16"/>
              </w:rPr>
            </w:pPr>
            <w:r>
              <w:rPr>
                <w:spacing w:val="-5"/>
                <w:w w:val="105"/>
                <w:sz w:val="16"/>
              </w:rPr>
              <w:t>217</w:t>
            </w:r>
          </w:p>
        </w:tc>
      </w:tr>
      <w:tr w:rsidR="002C6574" w14:paraId="1DE152FE" w14:textId="77777777">
        <w:trPr>
          <w:trHeight w:val="198"/>
        </w:trPr>
        <w:tc>
          <w:tcPr>
            <w:tcW w:w="6532" w:type="dxa"/>
          </w:tcPr>
          <w:p w14:paraId="2E6B2C94" w14:textId="77777777" w:rsidR="002C6574" w:rsidRDefault="00000000">
            <w:pPr>
              <w:pStyle w:val="TableParagraph"/>
              <w:spacing w:line="178" w:lineRule="exact"/>
              <w:ind w:left="413"/>
              <w:jc w:val="left"/>
              <w:rPr>
                <w:sz w:val="16"/>
              </w:rPr>
            </w:pPr>
            <w:r>
              <w:rPr>
                <w:spacing w:val="-2"/>
                <w:w w:val="105"/>
                <w:sz w:val="16"/>
              </w:rPr>
              <w:t>Fornecedores</w:t>
            </w:r>
          </w:p>
        </w:tc>
        <w:tc>
          <w:tcPr>
            <w:tcW w:w="1538" w:type="dxa"/>
          </w:tcPr>
          <w:p w14:paraId="609A02A1" w14:textId="77777777" w:rsidR="002C6574" w:rsidRDefault="00000000">
            <w:pPr>
              <w:pStyle w:val="TableParagraph"/>
              <w:spacing w:line="178" w:lineRule="exact"/>
              <w:ind w:right="83"/>
              <w:rPr>
                <w:sz w:val="16"/>
              </w:rPr>
            </w:pPr>
            <w:r>
              <w:rPr>
                <w:spacing w:val="-4"/>
                <w:w w:val="110"/>
                <w:sz w:val="16"/>
              </w:rPr>
              <w:t>7.425</w:t>
            </w:r>
          </w:p>
        </w:tc>
        <w:tc>
          <w:tcPr>
            <w:tcW w:w="146" w:type="dxa"/>
          </w:tcPr>
          <w:p w14:paraId="0F63C4AA" w14:textId="77777777" w:rsidR="002C6574" w:rsidRDefault="002C6574">
            <w:pPr>
              <w:pStyle w:val="TableParagraph"/>
              <w:jc w:val="left"/>
              <w:rPr>
                <w:rFonts w:ascii="Times New Roman"/>
                <w:sz w:val="12"/>
              </w:rPr>
            </w:pPr>
          </w:p>
        </w:tc>
        <w:tc>
          <w:tcPr>
            <w:tcW w:w="1536" w:type="dxa"/>
          </w:tcPr>
          <w:p w14:paraId="017C7000" w14:textId="77777777" w:rsidR="002C6574" w:rsidRDefault="00000000">
            <w:pPr>
              <w:pStyle w:val="TableParagraph"/>
              <w:spacing w:line="178" w:lineRule="exact"/>
              <w:ind w:right="82"/>
              <w:rPr>
                <w:sz w:val="16"/>
              </w:rPr>
            </w:pPr>
            <w:r>
              <w:rPr>
                <w:spacing w:val="-4"/>
                <w:w w:val="110"/>
                <w:sz w:val="16"/>
              </w:rPr>
              <w:t>1.298</w:t>
            </w:r>
          </w:p>
        </w:tc>
      </w:tr>
      <w:tr w:rsidR="002C6574" w14:paraId="5C82719A" w14:textId="77777777">
        <w:trPr>
          <w:trHeight w:val="197"/>
        </w:trPr>
        <w:tc>
          <w:tcPr>
            <w:tcW w:w="6532" w:type="dxa"/>
          </w:tcPr>
          <w:p w14:paraId="6839AD71" w14:textId="77777777" w:rsidR="002C6574" w:rsidRDefault="00000000">
            <w:pPr>
              <w:pStyle w:val="TableParagraph"/>
              <w:spacing w:line="178" w:lineRule="exact"/>
              <w:ind w:left="413"/>
              <w:jc w:val="left"/>
              <w:rPr>
                <w:sz w:val="16"/>
              </w:rPr>
            </w:pPr>
            <w:r>
              <w:rPr>
                <w:sz w:val="16"/>
              </w:rPr>
              <w:t>Tributos</w:t>
            </w:r>
            <w:r>
              <w:rPr>
                <w:spacing w:val="3"/>
                <w:sz w:val="16"/>
              </w:rPr>
              <w:t xml:space="preserve"> </w:t>
            </w:r>
            <w:r>
              <w:rPr>
                <w:sz w:val="16"/>
              </w:rPr>
              <w:t>a</w:t>
            </w:r>
            <w:r>
              <w:rPr>
                <w:spacing w:val="2"/>
                <w:sz w:val="16"/>
              </w:rPr>
              <w:t xml:space="preserve"> </w:t>
            </w:r>
            <w:r>
              <w:rPr>
                <w:spacing w:val="-2"/>
                <w:sz w:val="16"/>
              </w:rPr>
              <w:t>Recolher</w:t>
            </w:r>
          </w:p>
        </w:tc>
        <w:tc>
          <w:tcPr>
            <w:tcW w:w="1538" w:type="dxa"/>
          </w:tcPr>
          <w:p w14:paraId="07BFC539" w14:textId="77777777" w:rsidR="002C6574" w:rsidRDefault="00000000">
            <w:pPr>
              <w:pStyle w:val="TableParagraph"/>
              <w:spacing w:line="178" w:lineRule="exact"/>
              <w:ind w:right="66"/>
              <w:rPr>
                <w:sz w:val="16"/>
              </w:rPr>
            </w:pPr>
            <w:r>
              <w:rPr>
                <w:spacing w:val="-2"/>
                <w:w w:val="110"/>
                <w:sz w:val="16"/>
              </w:rPr>
              <w:t>(6.648)</w:t>
            </w:r>
          </w:p>
        </w:tc>
        <w:tc>
          <w:tcPr>
            <w:tcW w:w="146" w:type="dxa"/>
          </w:tcPr>
          <w:p w14:paraId="62FDCC8F" w14:textId="77777777" w:rsidR="002C6574" w:rsidRDefault="002C6574">
            <w:pPr>
              <w:pStyle w:val="TableParagraph"/>
              <w:jc w:val="left"/>
              <w:rPr>
                <w:rFonts w:ascii="Times New Roman"/>
                <w:sz w:val="12"/>
              </w:rPr>
            </w:pPr>
          </w:p>
        </w:tc>
        <w:tc>
          <w:tcPr>
            <w:tcW w:w="1536" w:type="dxa"/>
          </w:tcPr>
          <w:p w14:paraId="3D9D7446" w14:textId="77777777" w:rsidR="002C6574" w:rsidRDefault="00000000">
            <w:pPr>
              <w:pStyle w:val="TableParagraph"/>
              <w:spacing w:line="178" w:lineRule="exact"/>
              <w:ind w:right="82"/>
              <w:rPr>
                <w:sz w:val="16"/>
              </w:rPr>
            </w:pPr>
            <w:r>
              <w:rPr>
                <w:spacing w:val="-2"/>
                <w:w w:val="105"/>
                <w:sz w:val="16"/>
              </w:rPr>
              <w:t>20.682</w:t>
            </w:r>
          </w:p>
        </w:tc>
      </w:tr>
      <w:tr w:rsidR="002C6574" w14:paraId="270D08F4" w14:textId="77777777">
        <w:trPr>
          <w:trHeight w:val="195"/>
        </w:trPr>
        <w:tc>
          <w:tcPr>
            <w:tcW w:w="6532" w:type="dxa"/>
          </w:tcPr>
          <w:p w14:paraId="134D086D" w14:textId="77777777" w:rsidR="002C6574" w:rsidRDefault="00000000">
            <w:pPr>
              <w:pStyle w:val="TableParagraph"/>
              <w:spacing w:line="176" w:lineRule="exact"/>
              <w:ind w:left="413"/>
              <w:jc w:val="left"/>
              <w:rPr>
                <w:sz w:val="16"/>
              </w:rPr>
            </w:pPr>
            <w:r>
              <w:rPr>
                <w:w w:val="105"/>
                <w:sz w:val="16"/>
              </w:rPr>
              <w:t>Outras</w:t>
            </w:r>
            <w:r>
              <w:rPr>
                <w:spacing w:val="-12"/>
                <w:w w:val="105"/>
                <w:sz w:val="16"/>
              </w:rPr>
              <w:t xml:space="preserve"> </w:t>
            </w:r>
            <w:r>
              <w:rPr>
                <w:w w:val="105"/>
                <w:sz w:val="16"/>
              </w:rPr>
              <w:t>Contas</w:t>
            </w:r>
            <w:r>
              <w:rPr>
                <w:spacing w:val="-10"/>
                <w:w w:val="105"/>
                <w:sz w:val="16"/>
              </w:rPr>
              <w:t xml:space="preserve"> </w:t>
            </w:r>
            <w:r>
              <w:rPr>
                <w:w w:val="105"/>
                <w:sz w:val="16"/>
              </w:rPr>
              <w:t>Ativas</w:t>
            </w:r>
            <w:r>
              <w:rPr>
                <w:spacing w:val="-10"/>
                <w:w w:val="105"/>
                <w:sz w:val="16"/>
              </w:rPr>
              <w:t xml:space="preserve"> </w:t>
            </w:r>
            <w:r>
              <w:rPr>
                <w:w w:val="105"/>
                <w:sz w:val="16"/>
              </w:rPr>
              <w:t>e</w:t>
            </w:r>
            <w:r>
              <w:rPr>
                <w:spacing w:val="-11"/>
                <w:w w:val="105"/>
                <w:sz w:val="16"/>
              </w:rPr>
              <w:t xml:space="preserve"> </w:t>
            </w:r>
            <w:r>
              <w:rPr>
                <w:spacing w:val="-2"/>
                <w:w w:val="105"/>
                <w:sz w:val="16"/>
              </w:rPr>
              <w:t>Passivas</w:t>
            </w:r>
          </w:p>
        </w:tc>
        <w:tc>
          <w:tcPr>
            <w:tcW w:w="1538" w:type="dxa"/>
            <w:tcBorders>
              <w:bottom w:val="single" w:sz="4" w:space="0" w:color="000000"/>
            </w:tcBorders>
          </w:tcPr>
          <w:p w14:paraId="0D48EB28" w14:textId="77777777" w:rsidR="002C6574" w:rsidRDefault="00000000">
            <w:pPr>
              <w:pStyle w:val="TableParagraph"/>
              <w:spacing w:line="176" w:lineRule="exact"/>
              <w:ind w:right="66"/>
              <w:rPr>
                <w:sz w:val="16"/>
              </w:rPr>
            </w:pPr>
            <w:r>
              <w:rPr>
                <w:spacing w:val="-4"/>
                <w:w w:val="105"/>
                <w:sz w:val="16"/>
              </w:rPr>
              <w:t>(854)</w:t>
            </w:r>
          </w:p>
        </w:tc>
        <w:tc>
          <w:tcPr>
            <w:tcW w:w="146" w:type="dxa"/>
          </w:tcPr>
          <w:p w14:paraId="417221CB" w14:textId="77777777" w:rsidR="002C6574" w:rsidRDefault="002C6574">
            <w:pPr>
              <w:pStyle w:val="TableParagraph"/>
              <w:jc w:val="left"/>
              <w:rPr>
                <w:rFonts w:ascii="Times New Roman"/>
                <w:sz w:val="12"/>
              </w:rPr>
            </w:pPr>
          </w:p>
        </w:tc>
        <w:tc>
          <w:tcPr>
            <w:tcW w:w="1536" w:type="dxa"/>
            <w:tcBorders>
              <w:bottom w:val="single" w:sz="4" w:space="0" w:color="000000"/>
            </w:tcBorders>
          </w:tcPr>
          <w:p w14:paraId="52872E6E" w14:textId="77777777" w:rsidR="002C6574" w:rsidRDefault="00000000">
            <w:pPr>
              <w:pStyle w:val="TableParagraph"/>
              <w:spacing w:line="176" w:lineRule="exact"/>
              <w:ind w:right="82"/>
              <w:rPr>
                <w:sz w:val="16"/>
              </w:rPr>
            </w:pPr>
            <w:r>
              <w:rPr>
                <w:spacing w:val="-2"/>
                <w:w w:val="105"/>
                <w:sz w:val="16"/>
              </w:rPr>
              <w:t>23.041</w:t>
            </w:r>
          </w:p>
        </w:tc>
      </w:tr>
      <w:tr w:rsidR="002C6574" w14:paraId="6C427F58" w14:textId="77777777">
        <w:trPr>
          <w:trHeight w:val="196"/>
        </w:trPr>
        <w:tc>
          <w:tcPr>
            <w:tcW w:w="6532" w:type="dxa"/>
          </w:tcPr>
          <w:p w14:paraId="3A1D4E0F" w14:textId="77777777" w:rsidR="002C6574" w:rsidRDefault="002C6574">
            <w:pPr>
              <w:pStyle w:val="TableParagraph"/>
              <w:jc w:val="left"/>
              <w:rPr>
                <w:rFonts w:ascii="Times New Roman"/>
                <w:sz w:val="12"/>
              </w:rPr>
            </w:pPr>
          </w:p>
        </w:tc>
        <w:tc>
          <w:tcPr>
            <w:tcW w:w="1538" w:type="dxa"/>
            <w:tcBorders>
              <w:top w:val="single" w:sz="4" w:space="0" w:color="000000"/>
              <w:bottom w:val="single" w:sz="4" w:space="0" w:color="000000"/>
            </w:tcBorders>
          </w:tcPr>
          <w:p w14:paraId="114871FD" w14:textId="77777777" w:rsidR="002C6574" w:rsidRDefault="00000000">
            <w:pPr>
              <w:pStyle w:val="TableParagraph"/>
              <w:spacing w:before="13" w:line="163" w:lineRule="exact"/>
              <w:ind w:right="66"/>
              <w:rPr>
                <w:rFonts w:ascii="Arial"/>
                <w:b/>
                <w:sz w:val="16"/>
              </w:rPr>
            </w:pPr>
            <w:r>
              <w:rPr>
                <w:rFonts w:ascii="Arial"/>
                <w:b/>
                <w:spacing w:val="-2"/>
                <w:sz w:val="16"/>
              </w:rPr>
              <w:t>(252.902)</w:t>
            </w:r>
          </w:p>
        </w:tc>
        <w:tc>
          <w:tcPr>
            <w:tcW w:w="146" w:type="dxa"/>
          </w:tcPr>
          <w:p w14:paraId="2349B6E7" w14:textId="77777777" w:rsidR="002C6574" w:rsidRDefault="002C6574">
            <w:pPr>
              <w:pStyle w:val="TableParagraph"/>
              <w:jc w:val="left"/>
              <w:rPr>
                <w:rFonts w:ascii="Times New Roman"/>
                <w:sz w:val="12"/>
              </w:rPr>
            </w:pPr>
          </w:p>
        </w:tc>
        <w:tc>
          <w:tcPr>
            <w:tcW w:w="1536" w:type="dxa"/>
            <w:tcBorders>
              <w:top w:val="single" w:sz="4" w:space="0" w:color="000000"/>
              <w:bottom w:val="single" w:sz="4" w:space="0" w:color="000000"/>
            </w:tcBorders>
          </w:tcPr>
          <w:p w14:paraId="5DFA740A" w14:textId="77777777" w:rsidR="002C6574" w:rsidRDefault="00000000">
            <w:pPr>
              <w:pStyle w:val="TableParagraph"/>
              <w:spacing w:before="13" w:line="163" w:lineRule="exact"/>
              <w:ind w:right="65"/>
              <w:rPr>
                <w:rFonts w:ascii="Arial"/>
                <w:b/>
                <w:sz w:val="16"/>
              </w:rPr>
            </w:pPr>
            <w:r>
              <w:rPr>
                <w:rFonts w:ascii="Arial"/>
                <w:b/>
                <w:spacing w:val="-2"/>
                <w:sz w:val="16"/>
              </w:rPr>
              <w:t>(13.984)</w:t>
            </w:r>
          </w:p>
        </w:tc>
      </w:tr>
      <w:tr w:rsidR="002C6574" w14:paraId="0195D2E4" w14:textId="77777777">
        <w:trPr>
          <w:trHeight w:val="202"/>
        </w:trPr>
        <w:tc>
          <w:tcPr>
            <w:tcW w:w="6532" w:type="dxa"/>
          </w:tcPr>
          <w:p w14:paraId="4E1C3965" w14:textId="77777777" w:rsidR="002C6574" w:rsidRDefault="00000000">
            <w:pPr>
              <w:pStyle w:val="TableParagraph"/>
              <w:spacing w:before="15" w:line="167" w:lineRule="exact"/>
              <w:ind w:left="50"/>
              <w:jc w:val="left"/>
              <w:rPr>
                <w:rFonts w:ascii="Arial"/>
                <w:b/>
                <w:sz w:val="16"/>
              </w:rPr>
            </w:pPr>
            <w:r>
              <w:rPr>
                <w:rFonts w:ascii="Arial"/>
                <w:b/>
                <w:sz w:val="16"/>
              </w:rPr>
              <w:t>Caixa</w:t>
            </w:r>
            <w:r>
              <w:rPr>
                <w:rFonts w:ascii="Arial"/>
                <w:b/>
                <w:spacing w:val="-4"/>
                <w:sz w:val="16"/>
              </w:rPr>
              <w:t xml:space="preserve"> </w:t>
            </w:r>
            <w:r>
              <w:rPr>
                <w:rFonts w:ascii="Arial"/>
                <w:b/>
                <w:sz w:val="16"/>
              </w:rPr>
              <w:t>Proveniente</w:t>
            </w:r>
            <w:r>
              <w:rPr>
                <w:rFonts w:ascii="Arial"/>
                <w:b/>
                <w:spacing w:val="-6"/>
                <w:sz w:val="16"/>
              </w:rPr>
              <w:t xml:space="preserve"> </w:t>
            </w:r>
            <w:r>
              <w:rPr>
                <w:rFonts w:ascii="Arial"/>
                <w:b/>
                <w:sz w:val="16"/>
              </w:rPr>
              <w:t>das</w:t>
            </w:r>
            <w:r>
              <w:rPr>
                <w:rFonts w:ascii="Arial"/>
                <w:b/>
                <w:spacing w:val="-2"/>
                <w:sz w:val="16"/>
              </w:rPr>
              <w:t xml:space="preserve"> </w:t>
            </w:r>
            <w:r>
              <w:rPr>
                <w:rFonts w:ascii="Arial"/>
                <w:b/>
                <w:sz w:val="16"/>
              </w:rPr>
              <w:t>Atividades</w:t>
            </w:r>
            <w:r>
              <w:rPr>
                <w:rFonts w:ascii="Arial"/>
                <w:b/>
                <w:spacing w:val="-4"/>
                <w:sz w:val="16"/>
              </w:rPr>
              <w:t xml:space="preserve"> </w:t>
            </w:r>
            <w:r>
              <w:rPr>
                <w:rFonts w:ascii="Arial"/>
                <w:b/>
                <w:spacing w:val="-2"/>
                <w:sz w:val="16"/>
              </w:rPr>
              <w:t>Operacionais</w:t>
            </w:r>
          </w:p>
        </w:tc>
        <w:tc>
          <w:tcPr>
            <w:tcW w:w="1538" w:type="dxa"/>
            <w:tcBorders>
              <w:top w:val="single" w:sz="4" w:space="0" w:color="000000"/>
            </w:tcBorders>
          </w:tcPr>
          <w:p w14:paraId="2BD2BD39" w14:textId="77777777" w:rsidR="002C6574" w:rsidRDefault="002C6574">
            <w:pPr>
              <w:pStyle w:val="TableParagraph"/>
              <w:jc w:val="left"/>
              <w:rPr>
                <w:rFonts w:ascii="Times New Roman"/>
                <w:sz w:val="14"/>
              </w:rPr>
            </w:pPr>
          </w:p>
        </w:tc>
        <w:tc>
          <w:tcPr>
            <w:tcW w:w="146" w:type="dxa"/>
          </w:tcPr>
          <w:p w14:paraId="4EB1EBE7" w14:textId="77777777" w:rsidR="002C6574" w:rsidRDefault="002C6574">
            <w:pPr>
              <w:pStyle w:val="TableParagraph"/>
              <w:jc w:val="left"/>
              <w:rPr>
                <w:rFonts w:ascii="Times New Roman"/>
                <w:sz w:val="14"/>
              </w:rPr>
            </w:pPr>
          </w:p>
        </w:tc>
        <w:tc>
          <w:tcPr>
            <w:tcW w:w="1536" w:type="dxa"/>
            <w:tcBorders>
              <w:top w:val="single" w:sz="4" w:space="0" w:color="000000"/>
            </w:tcBorders>
          </w:tcPr>
          <w:p w14:paraId="1AB3DF9A" w14:textId="77777777" w:rsidR="002C6574" w:rsidRDefault="002C6574">
            <w:pPr>
              <w:pStyle w:val="TableParagraph"/>
              <w:jc w:val="left"/>
              <w:rPr>
                <w:rFonts w:ascii="Times New Roman"/>
                <w:sz w:val="14"/>
              </w:rPr>
            </w:pPr>
          </w:p>
        </w:tc>
      </w:tr>
      <w:tr w:rsidR="002C6574" w14:paraId="2299C674" w14:textId="77777777">
        <w:trPr>
          <w:trHeight w:val="196"/>
        </w:trPr>
        <w:tc>
          <w:tcPr>
            <w:tcW w:w="6532" w:type="dxa"/>
          </w:tcPr>
          <w:p w14:paraId="6BC8344A" w14:textId="77777777" w:rsidR="002C6574" w:rsidRDefault="00000000">
            <w:pPr>
              <w:pStyle w:val="TableParagraph"/>
              <w:spacing w:line="177" w:lineRule="exact"/>
              <w:ind w:left="413"/>
              <w:jc w:val="left"/>
              <w:rPr>
                <w:sz w:val="16"/>
              </w:rPr>
            </w:pPr>
            <w:r>
              <w:rPr>
                <w:sz w:val="16"/>
              </w:rPr>
              <w:t>Pagamento</w:t>
            </w:r>
            <w:r>
              <w:rPr>
                <w:spacing w:val="7"/>
                <w:sz w:val="16"/>
              </w:rPr>
              <w:t xml:space="preserve"> </w:t>
            </w:r>
            <w:r>
              <w:rPr>
                <w:sz w:val="16"/>
              </w:rPr>
              <w:t>por</w:t>
            </w:r>
            <w:r>
              <w:rPr>
                <w:spacing w:val="3"/>
                <w:sz w:val="16"/>
              </w:rPr>
              <w:t xml:space="preserve"> </w:t>
            </w:r>
            <w:r>
              <w:rPr>
                <w:sz w:val="16"/>
              </w:rPr>
              <w:t>Adesão</w:t>
            </w:r>
            <w:r>
              <w:rPr>
                <w:spacing w:val="8"/>
                <w:sz w:val="16"/>
              </w:rPr>
              <w:t xml:space="preserve"> </w:t>
            </w:r>
            <w:r>
              <w:rPr>
                <w:sz w:val="16"/>
              </w:rPr>
              <w:t>ao</w:t>
            </w:r>
            <w:r>
              <w:rPr>
                <w:spacing w:val="5"/>
                <w:sz w:val="16"/>
              </w:rPr>
              <w:t xml:space="preserve"> </w:t>
            </w:r>
            <w:r>
              <w:rPr>
                <w:sz w:val="16"/>
              </w:rPr>
              <w:t>Prog.</w:t>
            </w:r>
            <w:r>
              <w:rPr>
                <w:spacing w:val="5"/>
                <w:sz w:val="16"/>
              </w:rPr>
              <w:t xml:space="preserve"> </w:t>
            </w:r>
            <w:r>
              <w:rPr>
                <w:sz w:val="16"/>
              </w:rPr>
              <w:t>de</w:t>
            </w:r>
            <w:r>
              <w:rPr>
                <w:spacing w:val="8"/>
                <w:sz w:val="16"/>
              </w:rPr>
              <w:t xml:space="preserve"> </w:t>
            </w:r>
            <w:r>
              <w:rPr>
                <w:sz w:val="16"/>
              </w:rPr>
              <w:t>Indenização</w:t>
            </w:r>
            <w:r>
              <w:rPr>
                <w:spacing w:val="8"/>
                <w:sz w:val="16"/>
              </w:rPr>
              <w:t xml:space="preserve"> </w:t>
            </w:r>
            <w:r>
              <w:rPr>
                <w:sz w:val="16"/>
              </w:rPr>
              <w:t>por</w:t>
            </w:r>
            <w:r>
              <w:rPr>
                <w:spacing w:val="3"/>
                <w:sz w:val="16"/>
              </w:rPr>
              <w:t xml:space="preserve"> </w:t>
            </w:r>
            <w:r>
              <w:rPr>
                <w:sz w:val="16"/>
              </w:rPr>
              <w:t>Serviços</w:t>
            </w:r>
            <w:r>
              <w:rPr>
                <w:spacing w:val="6"/>
                <w:sz w:val="16"/>
              </w:rPr>
              <w:t xml:space="preserve"> </w:t>
            </w:r>
            <w:r>
              <w:rPr>
                <w:sz w:val="16"/>
              </w:rPr>
              <w:t>Prestados</w:t>
            </w:r>
            <w:r>
              <w:rPr>
                <w:spacing w:val="10"/>
                <w:sz w:val="16"/>
              </w:rPr>
              <w:t xml:space="preserve"> </w:t>
            </w:r>
            <w:r>
              <w:rPr>
                <w:sz w:val="16"/>
              </w:rPr>
              <w:t>-</w:t>
            </w:r>
            <w:r>
              <w:rPr>
                <w:spacing w:val="6"/>
                <w:sz w:val="16"/>
              </w:rPr>
              <w:t xml:space="preserve"> </w:t>
            </w:r>
            <w:r>
              <w:rPr>
                <w:spacing w:val="-4"/>
                <w:sz w:val="16"/>
              </w:rPr>
              <w:t>PISP</w:t>
            </w:r>
          </w:p>
        </w:tc>
        <w:tc>
          <w:tcPr>
            <w:tcW w:w="1538" w:type="dxa"/>
          </w:tcPr>
          <w:p w14:paraId="7A8AF550" w14:textId="77777777" w:rsidR="002C6574" w:rsidRDefault="00000000">
            <w:pPr>
              <w:pStyle w:val="TableParagraph"/>
              <w:spacing w:line="177" w:lineRule="exact"/>
              <w:ind w:right="66"/>
              <w:rPr>
                <w:sz w:val="16"/>
              </w:rPr>
            </w:pPr>
            <w:r>
              <w:rPr>
                <w:spacing w:val="-2"/>
                <w:w w:val="110"/>
                <w:sz w:val="16"/>
              </w:rPr>
              <w:t>(4.777)</w:t>
            </w:r>
          </w:p>
        </w:tc>
        <w:tc>
          <w:tcPr>
            <w:tcW w:w="146" w:type="dxa"/>
          </w:tcPr>
          <w:p w14:paraId="3FF20229" w14:textId="77777777" w:rsidR="002C6574" w:rsidRDefault="002C6574">
            <w:pPr>
              <w:pStyle w:val="TableParagraph"/>
              <w:jc w:val="left"/>
              <w:rPr>
                <w:rFonts w:ascii="Times New Roman"/>
                <w:sz w:val="12"/>
              </w:rPr>
            </w:pPr>
          </w:p>
        </w:tc>
        <w:tc>
          <w:tcPr>
            <w:tcW w:w="1536" w:type="dxa"/>
          </w:tcPr>
          <w:p w14:paraId="4249C1BA" w14:textId="77777777" w:rsidR="002C6574" w:rsidRDefault="00000000">
            <w:pPr>
              <w:pStyle w:val="TableParagraph"/>
              <w:spacing w:line="177" w:lineRule="exact"/>
              <w:ind w:right="66"/>
              <w:rPr>
                <w:sz w:val="16"/>
              </w:rPr>
            </w:pPr>
            <w:r>
              <w:rPr>
                <w:spacing w:val="-2"/>
                <w:w w:val="110"/>
                <w:sz w:val="16"/>
              </w:rPr>
              <w:t>(1.549)</w:t>
            </w:r>
          </w:p>
        </w:tc>
      </w:tr>
      <w:tr w:rsidR="002C6574" w14:paraId="08ACCC50" w14:textId="77777777">
        <w:trPr>
          <w:trHeight w:val="199"/>
        </w:trPr>
        <w:tc>
          <w:tcPr>
            <w:tcW w:w="6532" w:type="dxa"/>
          </w:tcPr>
          <w:p w14:paraId="005F075E" w14:textId="77777777" w:rsidR="002C6574" w:rsidRDefault="00000000">
            <w:pPr>
              <w:pStyle w:val="TableParagraph"/>
              <w:spacing w:line="179" w:lineRule="exact"/>
              <w:ind w:left="413"/>
              <w:jc w:val="left"/>
              <w:rPr>
                <w:sz w:val="16"/>
              </w:rPr>
            </w:pPr>
            <w:r>
              <w:rPr>
                <w:sz w:val="16"/>
              </w:rPr>
              <w:t>Pagamento</w:t>
            </w:r>
            <w:r>
              <w:rPr>
                <w:spacing w:val="-1"/>
                <w:sz w:val="16"/>
              </w:rPr>
              <w:t xml:space="preserve"> </w:t>
            </w:r>
            <w:r>
              <w:rPr>
                <w:sz w:val="16"/>
              </w:rPr>
              <w:t>de</w:t>
            </w:r>
            <w:r>
              <w:rPr>
                <w:spacing w:val="-1"/>
                <w:sz w:val="16"/>
              </w:rPr>
              <w:t xml:space="preserve"> </w:t>
            </w:r>
            <w:r>
              <w:rPr>
                <w:sz w:val="16"/>
              </w:rPr>
              <w:t>Juros</w:t>
            </w:r>
            <w:r>
              <w:rPr>
                <w:spacing w:val="-1"/>
                <w:sz w:val="16"/>
              </w:rPr>
              <w:t xml:space="preserve"> </w:t>
            </w:r>
            <w:r>
              <w:rPr>
                <w:sz w:val="16"/>
              </w:rPr>
              <w:t>de</w:t>
            </w:r>
            <w:r>
              <w:rPr>
                <w:spacing w:val="-2"/>
                <w:sz w:val="16"/>
              </w:rPr>
              <w:t xml:space="preserve"> </w:t>
            </w:r>
            <w:r>
              <w:rPr>
                <w:sz w:val="16"/>
              </w:rPr>
              <w:t>Arrendamento</w:t>
            </w:r>
            <w:r>
              <w:rPr>
                <w:spacing w:val="-3"/>
                <w:sz w:val="16"/>
              </w:rPr>
              <w:t xml:space="preserve"> </w:t>
            </w:r>
            <w:r>
              <w:rPr>
                <w:sz w:val="16"/>
              </w:rPr>
              <w:t>Mercantil</w:t>
            </w:r>
            <w:r>
              <w:rPr>
                <w:spacing w:val="2"/>
                <w:sz w:val="16"/>
              </w:rPr>
              <w:t xml:space="preserve"> </w:t>
            </w:r>
            <w:r>
              <w:rPr>
                <w:spacing w:val="-2"/>
                <w:sz w:val="16"/>
              </w:rPr>
              <w:t>Financeiro</w:t>
            </w:r>
          </w:p>
        </w:tc>
        <w:tc>
          <w:tcPr>
            <w:tcW w:w="1538" w:type="dxa"/>
          </w:tcPr>
          <w:p w14:paraId="58AA4F9A" w14:textId="77777777" w:rsidR="002C6574" w:rsidRDefault="00000000">
            <w:pPr>
              <w:pStyle w:val="TableParagraph"/>
              <w:spacing w:line="179" w:lineRule="exact"/>
              <w:ind w:right="66"/>
              <w:rPr>
                <w:sz w:val="16"/>
              </w:rPr>
            </w:pPr>
            <w:r>
              <w:rPr>
                <w:spacing w:val="-4"/>
                <w:w w:val="105"/>
                <w:sz w:val="16"/>
              </w:rPr>
              <w:t>(868)</w:t>
            </w:r>
          </w:p>
        </w:tc>
        <w:tc>
          <w:tcPr>
            <w:tcW w:w="146" w:type="dxa"/>
          </w:tcPr>
          <w:p w14:paraId="18BCB877" w14:textId="77777777" w:rsidR="002C6574" w:rsidRDefault="002C6574">
            <w:pPr>
              <w:pStyle w:val="TableParagraph"/>
              <w:jc w:val="left"/>
              <w:rPr>
                <w:rFonts w:ascii="Times New Roman"/>
                <w:sz w:val="12"/>
              </w:rPr>
            </w:pPr>
          </w:p>
        </w:tc>
        <w:tc>
          <w:tcPr>
            <w:tcW w:w="1536" w:type="dxa"/>
          </w:tcPr>
          <w:p w14:paraId="1AFD7637" w14:textId="77777777" w:rsidR="002C6574" w:rsidRDefault="00000000">
            <w:pPr>
              <w:pStyle w:val="TableParagraph"/>
              <w:spacing w:line="179" w:lineRule="exact"/>
              <w:ind w:right="65"/>
              <w:rPr>
                <w:sz w:val="16"/>
              </w:rPr>
            </w:pPr>
            <w:r>
              <w:rPr>
                <w:spacing w:val="-4"/>
                <w:w w:val="105"/>
                <w:sz w:val="16"/>
              </w:rPr>
              <w:t>(741)</w:t>
            </w:r>
          </w:p>
        </w:tc>
      </w:tr>
      <w:tr w:rsidR="002C6574" w14:paraId="2370F654" w14:textId="77777777">
        <w:trPr>
          <w:trHeight w:val="196"/>
        </w:trPr>
        <w:tc>
          <w:tcPr>
            <w:tcW w:w="6532" w:type="dxa"/>
          </w:tcPr>
          <w:p w14:paraId="6826D29B" w14:textId="77777777" w:rsidR="002C6574" w:rsidRDefault="00000000">
            <w:pPr>
              <w:pStyle w:val="TableParagraph"/>
              <w:spacing w:line="177" w:lineRule="exact"/>
              <w:ind w:left="413"/>
              <w:jc w:val="left"/>
              <w:rPr>
                <w:sz w:val="16"/>
              </w:rPr>
            </w:pPr>
            <w:r>
              <w:rPr>
                <w:sz w:val="16"/>
              </w:rPr>
              <w:t>Pagamento</w:t>
            </w:r>
            <w:r>
              <w:rPr>
                <w:spacing w:val="8"/>
                <w:sz w:val="16"/>
              </w:rPr>
              <w:t xml:space="preserve"> </w:t>
            </w:r>
            <w:r>
              <w:rPr>
                <w:sz w:val="16"/>
              </w:rPr>
              <w:t>de</w:t>
            </w:r>
            <w:r>
              <w:rPr>
                <w:spacing w:val="8"/>
                <w:sz w:val="16"/>
              </w:rPr>
              <w:t xml:space="preserve"> </w:t>
            </w:r>
            <w:r>
              <w:rPr>
                <w:sz w:val="16"/>
              </w:rPr>
              <w:t>Juros</w:t>
            </w:r>
            <w:r>
              <w:rPr>
                <w:spacing w:val="8"/>
                <w:sz w:val="16"/>
              </w:rPr>
              <w:t xml:space="preserve"> </w:t>
            </w:r>
            <w:r>
              <w:rPr>
                <w:sz w:val="16"/>
              </w:rPr>
              <w:t>de</w:t>
            </w:r>
            <w:r>
              <w:rPr>
                <w:spacing w:val="7"/>
                <w:sz w:val="16"/>
              </w:rPr>
              <w:t xml:space="preserve"> </w:t>
            </w:r>
            <w:r>
              <w:rPr>
                <w:sz w:val="16"/>
              </w:rPr>
              <w:t>Empréstimos</w:t>
            </w:r>
            <w:r>
              <w:rPr>
                <w:spacing w:val="9"/>
                <w:sz w:val="16"/>
              </w:rPr>
              <w:t xml:space="preserve"> </w:t>
            </w:r>
            <w:r>
              <w:rPr>
                <w:sz w:val="16"/>
              </w:rPr>
              <w:t>e</w:t>
            </w:r>
            <w:r>
              <w:rPr>
                <w:spacing w:val="8"/>
                <w:sz w:val="16"/>
              </w:rPr>
              <w:t xml:space="preserve"> </w:t>
            </w:r>
            <w:r>
              <w:rPr>
                <w:spacing w:val="-2"/>
                <w:sz w:val="16"/>
              </w:rPr>
              <w:t>Financiamentos</w:t>
            </w:r>
          </w:p>
        </w:tc>
        <w:tc>
          <w:tcPr>
            <w:tcW w:w="1538" w:type="dxa"/>
          </w:tcPr>
          <w:p w14:paraId="346A7155" w14:textId="77777777" w:rsidR="002C6574" w:rsidRDefault="00000000">
            <w:pPr>
              <w:pStyle w:val="TableParagraph"/>
              <w:spacing w:line="177" w:lineRule="exact"/>
              <w:ind w:right="66"/>
              <w:rPr>
                <w:sz w:val="16"/>
              </w:rPr>
            </w:pPr>
            <w:r>
              <w:rPr>
                <w:spacing w:val="-4"/>
                <w:w w:val="105"/>
                <w:sz w:val="16"/>
              </w:rPr>
              <w:t>(224)</w:t>
            </w:r>
          </w:p>
        </w:tc>
        <w:tc>
          <w:tcPr>
            <w:tcW w:w="146" w:type="dxa"/>
          </w:tcPr>
          <w:p w14:paraId="728A885E" w14:textId="77777777" w:rsidR="002C6574" w:rsidRDefault="002C6574">
            <w:pPr>
              <w:pStyle w:val="TableParagraph"/>
              <w:jc w:val="left"/>
              <w:rPr>
                <w:rFonts w:ascii="Times New Roman"/>
                <w:sz w:val="12"/>
              </w:rPr>
            </w:pPr>
          </w:p>
        </w:tc>
        <w:tc>
          <w:tcPr>
            <w:tcW w:w="1536" w:type="dxa"/>
          </w:tcPr>
          <w:p w14:paraId="479E6AB8" w14:textId="77777777" w:rsidR="002C6574" w:rsidRDefault="00000000">
            <w:pPr>
              <w:pStyle w:val="TableParagraph"/>
              <w:spacing w:line="177" w:lineRule="exact"/>
              <w:ind w:right="66"/>
              <w:rPr>
                <w:sz w:val="16"/>
              </w:rPr>
            </w:pPr>
            <w:r>
              <w:rPr>
                <w:spacing w:val="-2"/>
                <w:w w:val="110"/>
                <w:sz w:val="16"/>
              </w:rPr>
              <w:t>(2.530)</w:t>
            </w:r>
          </w:p>
        </w:tc>
      </w:tr>
      <w:tr w:rsidR="002C6574" w14:paraId="1EE7D938" w14:textId="77777777">
        <w:trPr>
          <w:trHeight w:val="199"/>
        </w:trPr>
        <w:tc>
          <w:tcPr>
            <w:tcW w:w="6532" w:type="dxa"/>
          </w:tcPr>
          <w:p w14:paraId="3FA6B40E" w14:textId="77777777" w:rsidR="002C6574" w:rsidRDefault="00000000">
            <w:pPr>
              <w:pStyle w:val="TableParagraph"/>
              <w:spacing w:line="179" w:lineRule="exact"/>
              <w:ind w:left="413"/>
              <w:jc w:val="left"/>
              <w:rPr>
                <w:sz w:val="16"/>
              </w:rPr>
            </w:pPr>
            <w:r>
              <w:rPr>
                <w:w w:val="105"/>
                <w:sz w:val="16"/>
              </w:rPr>
              <w:t>Pagamento</w:t>
            </w:r>
            <w:r>
              <w:rPr>
                <w:spacing w:val="-8"/>
                <w:w w:val="105"/>
                <w:sz w:val="16"/>
              </w:rPr>
              <w:t xml:space="preserve"> </w:t>
            </w:r>
            <w:r>
              <w:rPr>
                <w:w w:val="105"/>
                <w:sz w:val="16"/>
              </w:rPr>
              <w:t>de</w:t>
            </w:r>
            <w:r>
              <w:rPr>
                <w:spacing w:val="-5"/>
                <w:w w:val="105"/>
                <w:sz w:val="16"/>
              </w:rPr>
              <w:t xml:space="preserve"> </w:t>
            </w:r>
            <w:r>
              <w:rPr>
                <w:w w:val="105"/>
                <w:sz w:val="16"/>
              </w:rPr>
              <w:t>Causas</w:t>
            </w:r>
            <w:r>
              <w:rPr>
                <w:spacing w:val="-6"/>
                <w:w w:val="105"/>
                <w:sz w:val="16"/>
              </w:rPr>
              <w:t xml:space="preserve"> </w:t>
            </w:r>
            <w:r>
              <w:rPr>
                <w:w w:val="105"/>
                <w:sz w:val="16"/>
              </w:rPr>
              <w:t>Judiciais</w:t>
            </w:r>
            <w:r>
              <w:rPr>
                <w:spacing w:val="-3"/>
                <w:w w:val="105"/>
                <w:sz w:val="16"/>
              </w:rPr>
              <w:t xml:space="preserve"> </w:t>
            </w:r>
            <w:r>
              <w:rPr>
                <w:w w:val="105"/>
                <w:sz w:val="16"/>
              </w:rPr>
              <w:t>-</w:t>
            </w:r>
            <w:r>
              <w:rPr>
                <w:spacing w:val="-7"/>
                <w:w w:val="105"/>
                <w:sz w:val="16"/>
              </w:rPr>
              <w:t xml:space="preserve"> </w:t>
            </w:r>
            <w:r>
              <w:rPr>
                <w:w w:val="105"/>
                <w:sz w:val="16"/>
              </w:rPr>
              <w:t>Trabalhistas,</w:t>
            </w:r>
            <w:r>
              <w:rPr>
                <w:spacing w:val="-3"/>
                <w:w w:val="105"/>
                <w:sz w:val="16"/>
              </w:rPr>
              <w:t xml:space="preserve"> </w:t>
            </w:r>
            <w:r>
              <w:rPr>
                <w:w w:val="105"/>
                <w:sz w:val="16"/>
              </w:rPr>
              <w:t>Cíveis</w:t>
            </w:r>
            <w:r>
              <w:rPr>
                <w:spacing w:val="-6"/>
                <w:w w:val="105"/>
                <w:sz w:val="16"/>
              </w:rPr>
              <w:t xml:space="preserve"> </w:t>
            </w:r>
            <w:r>
              <w:rPr>
                <w:w w:val="105"/>
                <w:sz w:val="16"/>
              </w:rPr>
              <w:t>e</w:t>
            </w:r>
            <w:r>
              <w:rPr>
                <w:spacing w:val="-5"/>
                <w:w w:val="105"/>
                <w:sz w:val="16"/>
              </w:rPr>
              <w:t xml:space="preserve"> </w:t>
            </w:r>
            <w:r>
              <w:rPr>
                <w:spacing w:val="-2"/>
                <w:w w:val="105"/>
                <w:sz w:val="16"/>
              </w:rPr>
              <w:t>Fiscais</w:t>
            </w:r>
          </w:p>
        </w:tc>
        <w:tc>
          <w:tcPr>
            <w:tcW w:w="1538" w:type="dxa"/>
          </w:tcPr>
          <w:p w14:paraId="7956581F" w14:textId="77777777" w:rsidR="002C6574" w:rsidRDefault="00000000">
            <w:pPr>
              <w:pStyle w:val="TableParagraph"/>
              <w:spacing w:line="179" w:lineRule="exact"/>
              <w:ind w:right="66"/>
              <w:rPr>
                <w:sz w:val="16"/>
              </w:rPr>
            </w:pPr>
            <w:r>
              <w:rPr>
                <w:spacing w:val="-2"/>
                <w:w w:val="110"/>
                <w:sz w:val="16"/>
              </w:rPr>
              <w:t>(3.298)</w:t>
            </w:r>
          </w:p>
        </w:tc>
        <w:tc>
          <w:tcPr>
            <w:tcW w:w="146" w:type="dxa"/>
          </w:tcPr>
          <w:p w14:paraId="007F91B4" w14:textId="77777777" w:rsidR="002C6574" w:rsidRDefault="002C6574">
            <w:pPr>
              <w:pStyle w:val="TableParagraph"/>
              <w:jc w:val="left"/>
              <w:rPr>
                <w:rFonts w:ascii="Times New Roman"/>
                <w:sz w:val="12"/>
              </w:rPr>
            </w:pPr>
          </w:p>
        </w:tc>
        <w:tc>
          <w:tcPr>
            <w:tcW w:w="1536" w:type="dxa"/>
          </w:tcPr>
          <w:p w14:paraId="3905645B" w14:textId="77777777" w:rsidR="002C6574" w:rsidRDefault="00000000">
            <w:pPr>
              <w:pStyle w:val="TableParagraph"/>
              <w:spacing w:line="179" w:lineRule="exact"/>
              <w:ind w:right="65"/>
              <w:rPr>
                <w:sz w:val="16"/>
              </w:rPr>
            </w:pPr>
            <w:r>
              <w:rPr>
                <w:spacing w:val="-4"/>
                <w:w w:val="105"/>
                <w:sz w:val="16"/>
              </w:rPr>
              <w:t>(350)</w:t>
            </w:r>
          </w:p>
        </w:tc>
      </w:tr>
      <w:tr w:rsidR="002C6574" w14:paraId="742CFC01" w14:textId="77777777">
        <w:trPr>
          <w:trHeight w:val="196"/>
        </w:trPr>
        <w:tc>
          <w:tcPr>
            <w:tcW w:w="6532" w:type="dxa"/>
          </w:tcPr>
          <w:p w14:paraId="3F84F656" w14:textId="77777777" w:rsidR="002C6574" w:rsidRDefault="00000000">
            <w:pPr>
              <w:pStyle w:val="TableParagraph"/>
              <w:spacing w:line="177" w:lineRule="exact"/>
              <w:ind w:left="413"/>
              <w:jc w:val="left"/>
              <w:rPr>
                <w:sz w:val="16"/>
              </w:rPr>
            </w:pPr>
            <w:r>
              <w:rPr>
                <w:sz w:val="16"/>
              </w:rPr>
              <w:t>Pagamento</w:t>
            </w:r>
            <w:r>
              <w:rPr>
                <w:spacing w:val="5"/>
                <w:sz w:val="16"/>
              </w:rPr>
              <w:t xml:space="preserve"> </w:t>
            </w:r>
            <w:r>
              <w:rPr>
                <w:sz w:val="16"/>
              </w:rPr>
              <w:t>de</w:t>
            </w:r>
            <w:r>
              <w:rPr>
                <w:spacing w:val="3"/>
                <w:sz w:val="16"/>
              </w:rPr>
              <w:t xml:space="preserve"> </w:t>
            </w:r>
            <w:r>
              <w:rPr>
                <w:sz w:val="16"/>
              </w:rPr>
              <w:t>Acordos</w:t>
            </w:r>
            <w:r>
              <w:rPr>
                <w:spacing w:val="4"/>
                <w:sz w:val="16"/>
              </w:rPr>
              <w:t xml:space="preserve"> </w:t>
            </w:r>
            <w:r>
              <w:rPr>
                <w:sz w:val="16"/>
              </w:rPr>
              <w:t>Judiciais</w:t>
            </w:r>
            <w:r>
              <w:rPr>
                <w:spacing w:val="2"/>
                <w:sz w:val="16"/>
              </w:rPr>
              <w:t xml:space="preserve"> </w:t>
            </w:r>
            <w:r>
              <w:rPr>
                <w:sz w:val="16"/>
              </w:rPr>
              <w:t>-</w:t>
            </w:r>
            <w:r>
              <w:rPr>
                <w:spacing w:val="5"/>
                <w:sz w:val="16"/>
              </w:rPr>
              <w:t xml:space="preserve"> </w:t>
            </w:r>
            <w:r>
              <w:rPr>
                <w:spacing w:val="-2"/>
                <w:sz w:val="16"/>
              </w:rPr>
              <w:t>Encargos</w:t>
            </w:r>
          </w:p>
        </w:tc>
        <w:tc>
          <w:tcPr>
            <w:tcW w:w="1538" w:type="dxa"/>
          </w:tcPr>
          <w:p w14:paraId="6AEB1589" w14:textId="77777777" w:rsidR="002C6574" w:rsidRDefault="00000000">
            <w:pPr>
              <w:pStyle w:val="TableParagraph"/>
              <w:spacing w:line="177" w:lineRule="exact"/>
              <w:ind w:right="66"/>
              <w:rPr>
                <w:sz w:val="16"/>
              </w:rPr>
            </w:pPr>
            <w:r>
              <w:rPr>
                <w:spacing w:val="-2"/>
                <w:w w:val="110"/>
                <w:sz w:val="16"/>
              </w:rPr>
              <w:t>(9.807)</w:t>
            </w:r>
          </w:p>
        </w:tc>
        <w:tc>
          <w:tcPr>
            <w:tcW w:w="146" w:type="dxa"/>
          </w:tcPr>
          <w:p w14:paraId="57A60FDF" w14:textId="77777777" w:rsidR="002C6574" w:rsidRDefault="002C6574">
            <w:pPr>
              <w:pStyle w:val="TableParagraph"/>
              <w:jc w:val="left"/>
              <w:rPr>
                <w:rFonts w:ascii="Times New Roman"/>
                <w:sz w:val="12"/>
              </w:rPr>
            </w:pPr>
          </w:p>
        </w:tc>
        <w:tc>
          <w:tcPr>
            <w:tcW w:w="1536" w:type="dxa"/>
          </w:tcPr>
          <w:p w14:paraId="18BBB575" w14:textId="77777777" w:rsidR="002C6574" w:rsidRDefault="00000000">
            <w:pPr>
              <w:pStyle w:val="TableParagraph"/>
              <w:spacing w:line="177" w:lineRule="exact"/>
              <w:ind w:right="65"/>
              <w:rPr>
                <w:sz w:val="16"/>
              </w:rPr>
            </w:pPr>
            <w:r>
              <w:rPr>
                <w:spacing w:val="-2"/>
                <w:w w:val="110"/>
                <w:sz w:val="16"/>
              </w:rPr>
              <w:t>(12.817)</w:t>
            </w:r>
          </w:p>
        </w:tc>
      </w:tr>
      <w:tr w:rsidR="002C6574" w14:paraId="66C5D1AF" w14:textId="77777777">
        <w:trPr>
          <w:trHeight w:val="195"/>
        </w:trPr>
        <w:tc>
          <w:tcPr>
            <w:tcW w:w="6532" w:type="dxa"/>
          </w:tcPr>
          <w:p w14:paraId="7CCC9C89" w14:textId="77777777" w:rsidR="002C6574" w:rsidRDefault="00000000">
            <w:pPr>
              <w:pStyle w:val="TableParagraph"/>
              <w:spacing w:line="176" w:lineRule="exact"/>
              <w:ind w:left="413"/>
              <w:jc w:val="left"/>
              <w:rPr>
                <w:sz w:val="16"/>
              </w:rPr>
            </w:pPr>
            <w:r>
              <w:rPr>
                <w:sz w:val="16"/>
              </w:rPr>
              <w:t>Pagamento</w:t>
            </w:r>
            <w:r>
              <w:rPr>
                <w:spacing w:val="3"/>
                <w:sz w:val="16"/>
              </w:rPr>
              <w:t xml:space="preserve"> </w:t>
            </w:r>
            <w:r>
              <w:rPr>
                <w:sz w:val="16"/>
              </w:rPr>
              <w:t>de</w:t>
            </w:r>
            <w:r>
              <w:rPr>
                <w:spacing w:val="2"/>
                <w:sz w:val="16"/>
              </w:rPr>
              <w:t xml:space="preserve"> </w:t>
            </w:r>
            <w:r>
              <w:rPr>
                <w:spacing w:val="-2"/>
                <w:sz w:val="16"/>
              </w:rPr>
              <w:t>IRPJ/CSLL</w:t>
            </w:r>
          </w:p>
        </w:tc>
        <w:tc>
          <w:tcPr>
            <w:tcW w:w="1538" w:type="dxa"/>
            <w:tcBorders>
              <w:bottom w:val="single" w:sz="4" w:space="0" w:color="000000"/>
            </w:tcBorders>
          </w:tcPr>
          <w:p w14:paraId="509E1C72" w14:textId="77777777" w:rsidR="002C6574" w:rsidRDefault="00000000">
            <w:pPr>
              <w:pStyle w:val="TableParagraph"/>
              <w:spacing w:line="176" w:lineRule="exact"/>
              <w:ind w:right="66"/>
              <w:rPr>
                <w:sz w:val="16"/>
              </w:rPr>
            </w:pPr>
            <w:r>
              <w:rPr>
                <w:spacing w:val="-2"/>
                <w:w w:val="110"/>
                <w:sz w:val="16"/>
              </w:rPr>
              <w:t>(7.894)</w:t>
            </w:r>
          </w:p>
        </w:tc>
        <w:tc>
          <w:tcPr>
            <w:tcW w:w="146" w:type="dxa"/>
          </w:tcPr>
          <w:p w14:paraId="5CB611D0" w14:textId="77777777" w:rsidR="002C6574" w:rsidRDefault="002C6574">
            <w:pPr>
              <w:pStyle w:val="TableParagraph"/>
              <w:jc w:val="left"/>
              <w:rPr>
                <w:rFonts w:ascii="Times New Roman"/>
                <w:sz w:val="12"/>
              </w:rPr>
            </w:pPr>
          </w:p>
        </w:tc>
        <w:tc>
          <w:tcPr>
            <w:tcW w:w="1536" w:type="dxa"/>
            <w:tcBorders>
              <w:bottom w:val="single" w:sz="4" w:space="0" w:color="000000"/>
            </w:tcBorders>
          </w:tcPr>
          <w:p w14:paraId="4FD62E94" w14:textId="77777777" w:rsidR="002C6574" w:rsidRDefault="00000000">
            <w:pPr>
              <w:pStyle w:val="TableParagraph"/>
              <w:spacing w:line="176" w:lineRule="exact"/>
              <w:ind w:right="118"/>
              <w:rPr>
                <w:sz w:val="16"/>
              </w:rPr>
            </w:pPr>
            <w:r>
              <w:rPr>
                <w:spacing w:val="-10"/>
                <w:w w:val="95"/>
                <w:sz w:val="16"/>
              </w:rPr>
              <w:t>-</w:t>
            </w:r>
          </w:p>
        </w:tc>
      </w:tr>
      <w:tr w:rsidR="002C6574" w14:paraId="3F125C6D" w14:textId="77777777">
        <w:trPr>
          <w:trHeight w:val="198"/>
        </w:trPr>
        <w:tc>
          <w:tcPr>
            <w:tcW w:w="6532" w:type="dxa"/>
          </w:tcPr>
          <w:p w14:paraId="4E0A1252" w14:textId="77777777" w:rsidR="002C6574" w:rsidRDefault="002C6574">
            <w:pPr>
              <w:pStyle w:val="TableParagraph"/>
              <w:jc w:val="left"/>
              <w:rPr>
                <w:rFonts w:ascii="Times New Roman"/>
                <w:sz w:val="12"/>
              </w:rPr>
            </w:pPr>
          </w:p>
        </w:tc>
        <w:tc>
          <w:tcPr>
            <w:tcW w:w="1538" w:type="dxa"/>
            <w:tcBorders>
              <w:top w:val="single" w:sz="4" w:space="0" w:color="000000"/>
              <w:bottom w:val="single" w:sz="4" w:space="0" w:color="000000"/>
            </w:tcBorders>
          </w:tcPr>
          <w:p w14:paraId="736DB545" w14:textId="77777777" w:rsidR="002C6574" w:rsidRDefault="00000000">
            <w:pPr>
              <w:pStyle w:val="TableParagraph"/>
              <w:spacing w:before="15" w:line="163" w:lineRule="exact"/>
              <w:ind w:right="66"/>
              <w:rPr>
                <w:rFonts w:ascii="Arial"/>
                <w:b/>
                <w:sz w:val="16"/>
              </w:rPr>
            </w:pPr>
            <w:r>
              <w:rPr>
                <w:rFonts w:ascii="Arial"/>
                <w:b/>
                <w:spacing w:val="-2"/>
                <w:sz w:val="16"/>
              </w:rPr>
              <w:t>(26.868)</w:t>
            </w:r>
          </w:p>
        </w:tc>
        <w:tc>
          <w:tcPr>
            <w:tcW w:w="146" w:type="dxa"/>
          </w:tcPr>
          <w:p w14:paraId="52CFFDF8" w14:textId="77777777" w:rsidR="002C6574" w:rsidRDefault="002C6574">
            <w:pPr>
              <w:pStyle w:val="TableParagraph"/>
              <w:jc w:val="left"/>
              <w:rPr>
                <w:rFonts w:ascii="Times New Roman"/>
                <w:sz w:val="12"/>
              </w:rPr>
            </w:pPr>
          </w:p>
        </w:tc>
        <w:tc>
          <w:tcPr>
            <w:tcW w:w="1536" w:type="dxa"/>
            <w:tcBorders>
              <w:top w:val="single" w:sz="4" w:space="0" w:color="000000"/>
              <w:bottom w:val="single" w:sz="4" w:space="0" w:color="000000"/>
            </w:tcBorders>
          </w:tcPr>
          <w:p w14:paraId="104EEE23" w14:textId="77777777" w:rsidR="002C6574" w:rsidRDefault="00000000">
            <w:pPr>
              <w:pStyle w:val="TableParagraph"/>
              <w:spacing w:before="15" w:line="163" w:lineRule="exact"/>
              <w:ind w:right="65"/>
              <w:rPr>
                <w:rFonts w:ascii="Arial"/>
                <w:b/>
                <w:sz w:val="16"/>
              </w:rPr>
            </w:pPr>
            <w:r>
              <w:rPr>
                <w:rFonts w:ascii="Arial"/>
                <w:b/>
                <w:spacing w:val="-2"/>
                <w:sz w:val="16"/>
              </w:rPr>
              <w:t>(17.987)</w:t>
            </w:r>
          </w:p>
        </w:tc>
      </w:tr>
      <w:tr w:rsidR="002C6574" w14:paraId="21817510" w14:textId="77777777">
        <w:trPr>
          <w:trHeight w:val="196"/>
        </w:trPr>
        <w:tc>
          <w:tcPr>
            <w:tcW w:w="6532" w:type="dxa"/>
          </w:tcPr>
          <w:p w14:paraId="3E70A5C7" w14:textId="77777777" w:rsidR="002C6574" w:rsidRDefault="002C6574">
            <w:pPr>
              <w:pStyle w:val="TableParagraph"/>
              <w:jc w:val="left"/>
              <w:rPr>
                <w:rFonts w:ascii="Times New Roman"/>
                <w:sz w:val="12"/>
              </w:rPr>
            </w:pPr>
          </w:p>
        </w:tc>
        <w:tc>
          <w:tcPr>
            <w:tcW w:w="1538" w:type="dxa"/>
            <w:tcBorders>
              <w:top w:val="single" w:sz="4" w:space="0" w:color="000000"/>
              <w:bottom w:val="single" w:sz="4" w:space="0" w:color="000000"/>
            </w:tcBorders>
          </w:tcPr>
          <w:p w14:paraId="02949784" w14:textId="77777777" w:rsidR="002C6574" w:rsidRDefault="002C6574">
            <w:pPr>
              <w:pStyle w:val="TableParagraph"/>
              <w:jc w:val="left"/>
              <w:rPr>
                <w:rFonts w:ascii="Times New Roman"/>
                <w:sz w:val="12"/>
              </w:rPr>
            </w:pPr>
          </w:p>
        </w:tc>
        <w:tc>
          <w:tcPr>
            <w:tcW w:w="146" w:type="dxa"/>
          </w:tcPr>
          <w:p w14:paraId="19855CBA" w14:textId="77777777" w:rsidR="002C6574" w:rsidRDefault="002C6574">
            <w:pPr>
              <w:pStyle w:val="TableParagraph"/>
              <w:jc w:val="left"/>
              <w:rPr>
                <w:rFonts w:ascii="Times New Roman"/>
                <w:sz w:val="12"/>
              </w:rPr>
            </w:pPr>
          </w:p>
        </w:tc>
        <w:tc>
          <w:tcPr>
            <w:tcW w:w="1536" w:type="dxa"/>
            <w:tcBorders>
              <w:top w:val="single" w:sz="4" w:space="0" w:color="000000"/>
              <w:bottom w:val="single" w:sz="4" w:space="0" w:color="000000"/>
            </w:tcBorders>
          </w:tcPr>
          <w:p w14:paraId="2C4300C6" w14:textId="77777777" w:rsidR="002C6574" w:rsidRDefault="002C6574">
            <w:pPr>
              <w:pStyle w:val="TableParagraph"/>
              <w:jc w:val="left"/>
              <w:rPr>
                <w:rFonts w:ascii="Times New Roman"/>
                <w:sz w:val="12"/>
              </w:rPr>
            </w:pPr>
          </w:p>
        </w:tc>
      </w:tr>
      <w:tr w:rsidR="002C6574" w14:paraId="3CE00407" w14:textId="77777777">
        <w:trPr>
          <w:trHeight w:val="198"/>
        </w:trPr>
        <w:tc>
          <w:tcPr>
            <w:tcW w:w="6532" w:type="dxa"/>
          </w:tcPr>
          <w:p w14:paraId="7E74A513" w14:textId="77777777" w:rsidR="002C6574" w:rsidRDefault="00000000">
            <w:pPr>
              <w:pStyle w:val="TableParagraph"/>
              <w:spacing w:before="15" w:line="163" w:lineRule="exact"/>
              <w:ind w:left="50"/>
              <w:jc w:val="left"/>
              <w:rPr>
                <w:rFonts w:ascii="Arial" w:hAnsi="Arial"/>
                <w:b/>
                <w:sz w:val="16"/>
              </w:rPr>
            </w:pPr>
            <w:r>
              <w:rPr>
                <w:rFonts w:ascii="Arial" w:hAnsi="Arial"/>
                <w:b/>
                <w:sz w:val="16"/>
              </w:rPr>
              <w:t>Caixa</w:t>
            </w:r>
            <w:r>
              <w:rPr>
                <w:rFonts w:ascii="Arial" w:hAnsi="Arial"/>
                <w:b/>
                <w:spacing w:val="-5"/>
                <w:sz w:val="16"/>
              </w:rPr>
              <w:t xml:space="preserve"> </w:t>
            </w:r>
            <w:r>
              <w:rPr>
                <w:rFonts w:ascii="Arial" w:hAnsi="Arial"/>
                <w:b/>
                <w:sz w:val="16"/>
              </w:rPr>
              <w:t>Líquido</w:t>
            </w:r>
            <w:r>
              <w:rPr>
                <w:rFonts w:ascii="Arial" w:hAnsi="Arial"/>
                <w:b/>
                <w:spacing w:val="-6"/>
                <w:sz w:val="16"/>
              </w:rPr>
              <w:t xml:space="preserve"> </w:t>
            </w:r>
            <w:r>
              <w:rPr>
                <w:rFonts w:ascii="Arial" w:hAnsi="Arial"/>
                <w:b/>
                <w:sz w:val="16"/>
              </w:rPr>
              <w:t>Gerado/(Consumido)</w:t>
            </w:r>
            <w:r>
              <w:rPr>
                <w:rFonts w:ascii="Arial" w:hAnsi="Arial"/>
                <w:b/>
                <w:spacing w:val="-4"/>
                <w:sz w:val="16"/>
              </w:rPr>
              <w:t xml:space="preserve"> </w:t>
            </w:r>
            <w:r>
              <w:rPr>
                <w:rFonts w:ascii="Arial" w:hAnsi="Arial"/>
                <w:b/>
                <w:sz w:val="16"/>
              </w:rPr>
              <w:t>pelas</w:t>
            </w:r>
            <w:r>
              <w:rPr>
                <w:rFonts w:ascii="Arial" w:hAnsi="Arial"/>
                <w:b/>
                <w:spacing w:val="-6"/>
                <w:sz w:val="16"/>
              </w:rPr>
              <w:t xml:space="preserve"> </w:t>
            </w:r>
            <w:r>
              <w:rPr>
                <w:rFonts w:ascii="Arial" w:hAnsi="Arial"/>
                <w:b/>
                <w:sz w:val="16"/>
              </w:rPr>
              <w:t>Atividades</w:t>
            </w:r>
            <w:r>
              <w:rPr>
                <w:rFonts w:ascii="Arial" w:hAnsi="Arial"/>
                <w:b/>
                <w:spacing w:val="-5"/>
                <w:sz w:val="16"/>
              </w:rPr>
              <w:t xml:space="preserve"> </w:t>
            </w:r>
            <w:r>
              <w:rPr>
                <w:rFonts w:ascii="Arial" w:hAnsi="Arial"/>
                <w:b/>
                <w:spacing w:val="-2"/>
                <w:sz w:val="16"/>
              </w:rPr>
              <w:t>Operacionais</w:t>
            </w:r>
          </w:p>
        </w:tc>
        <w:tc>
          <w:tcPr>
            <w:tcW w:w="1538" w:type="dxa"/>
            <w:tcBorders>
              <w:top w:val="single" w:sz="4" w:space="0" w:color="000000"/>
              <w:bottom w:val="double" w:sz="6" w:space="0" w:color="000000"/>
            </w:tcBorders>
          </w:tcPr>
          <w:p w14:paraId="5BEDC7EE" w14:textId="77777777" w:rsidR="002C6574" w:rsidRDefault="00000000">
            <w:pPr>
              <w:pStyle w:val="TableParagraph"/>
              <w:spacing w:before="15" w:line="163" w:lineRule="exact"/>
              <w:ind w:right="83"/>
              <w:rPr>
                <w:rFonts w:ascii="Arial"/>
                <w:b/>
                <w:sz w:val="16"/>
              </w:rPr>
            </w:pPr>
            <w:r>
              <w:rPr>
                <w:rFonts w:ascii="Arial"/>
                <w:b/>
                <w:spacing w:val="-2"/>
                <w:sz w:val="16"/>
              </w:rPr>
              <w:t>52.129</w:t>
            </w:r>
          </w:p>
        </w:tc>
        <w:tc>
          <w:tcPr>
            <w:tcW w:w="146" w:type="dxa"/>
          </w:tcPr>
          <w:p w14:paraId="4C1BE361" w14:textId="77777777" w:rsidR="002C6574" w:rsidRDefault="002C6574">
            <w:pPr>
              <w:pStyle w:val="TableParagraph"/>
              <w:jc w:val="left"/>
              <w:rPr>
                <w:rFonts w:ascii="Times New Roman"/>
                <w:sz w:val="12"/>
              </w:rPr>
            </w:pPr>
          </w:p>
        </w:tc>
        <w:tc>
          <w:tcPr>
            <w:tcW w:w="1536" w:type="dxa"/>
            <w:tcBorders>
              <w:top w:val="single" w:sz="4" w:space="0" w:color="000000"/>
              <w:bottom w:val="double" w:sz="6" w:space="0" w:color="000000"/>
            </w:tcBorders>
          </w:tcPr>
          <w:p w14:paraId="64EEEBFC" w14:textId="77777777" w:rsidR="002C6574" w:rsidRDefault="00000000">
            <w:pPr>
              <w:pStyle w:val="TableParagraph"/>
              <w:spacing w:before="15" w:line="163" w:lineRule="exact"/>
              <w:ind w:right="83"/>
              <w:rPr>
                <w:rFonts w:ascii="Arial"/>
                <w:b/>
                <w:sz w:val="16"/>
              </w:rPr>
            </w:pPr>
            <w:r>
              <w:rPr>
                <w:rFonts w:ascii="Arial"/>
                <w:b/>
                <w:spacing w:val="-2"/>
                <w:sz w:val="16"/>
              </w:rPr>
              <w:t>121.636</w:t>
            </w:r>
          </w:p>
        </w:tc>
      </w:tr>
      <w:tr w:rsidR="002C6574" w14:paraId="6976A2FF" w14:textId="77777777">
        <w:trPr>
          <w:trHeight w:val="597"/>
        </w:trPr>
        <w:tc>
          <w:tcPr>
            <w:tcW w:w="6532" w:type="dxa"/>
          </w:tcPr>
          <w:p w14:paraId="79076671" w14:textId="77777777" w:rsidR="002C6574" w:rsidRDefault="002C6574">
            <w:pPr>
              <w:pStyle w:val="TableParagraph"/>
              <w:spacing w:before="29"/>
              <w:jc w:val="left"/>
              <w:rPr>
                <w:rFonts w:ascii="Arial"/>
                <w:b/>
                <w:sz w:val="16"/>
              </w:rPr>
            </w:pPr>
          </w:p>
          <w:p w14:paraId="2BF1FE74" w14:textId="77777777" w:rsidR="002C6574" w:rsidRDefault="00000000">
            <w:pPr>
              <w:pStyle w:val="TableParagraph"/>
              <w:spacing w:before="1" w:line="172" w:lineRule="exact"/>
              <w:ind w:left="50"/>
              <w:jc w:val="left"/>
              <w:rPr>
                <w:rFonts w:ascii="Arial"/>
                <w:b/>
                <w:sz w:val="16"/>
              </w:rPr>
            </w:pPr>
            <w:r>
              <w:rPr>
                <w:rFonts w:ascii="Arial"/>
                <w:b/>
                <w:sz w:val="16"/>
              </w:rPr>
              <w:t>Fluxos</w:t>
            </w:r>
            <w:r>
              <w:rPr>
                <w:rFonts w:ascii="Arial"/>
                <w:b/>
                <w:spacing w:val="-5"/>
                <w:sz w:val="16"/>
              </w:rPr>
              <w:t xml:space="preserve"> </w:t>
            </w:r>
            <w:r>
              <w:rPr>
                <w:rFonts w:ascii="Arial"/>
                <w:b/>
                <w:sz w:val="16"/>
              </w:rPr>
              <w:t>de</w:t>
            </w:r>
            <w:r>
              <w:rPr>
                <w:rFonts w:ascii="Arial"/>
                <w:b/>
                <w:spacing w:val="-3"/>
                <w:sz w:val="16"/>
              </w:rPr>
              <w:t xml:space="preserve"> </w:t>
            </w:r>
            <w:r>
              <w:rPr>
                <w:rFonts w:ascii="Arial"/>
                <w:b/>
                <w:sz w:val="16"/>
              </w:rPr>
              <w:t>Caixa</w:t>
            </w:r>
            <w:r>
              <w:rPr>
                <w:rFonts w:ascii="Arial"/>
                <w:b/>
                <w:spacing w:val="-1"/>
                <w:sz w:val="16"/>
              </w:rPr>
              <w:t xml:space="preserve"> </w:t>
            </w:r>
            <w:r>
              <w:rPr>
                <w:rFonts w:ascii="Arial"/>
                <w:b/>
                <w:sz w:val="16"/>
              </w:rPr>
              <w:t>das</w:t>
            </w:r>
            <w:r>
              <w:rPr>
                <w:rFonts w:ascii="Arial"/>
                <w:b/>
                <w:spacing w:val="-1"/>
                <w:sz w:val="16"/>
              </w:rPr>
              <w:t xml:space="preserve"> </w:t>
            </w:r>
            <w:r>
              <w:rPr>
                <w:rFonts w:ascii="Arial"/>
                <w:b/>
                <w:sz w:val="16"/>
              </w:rPr>
              <w:t>Atividades</w:t>
            </w:r>
            <w:r>
              <w:rPr>
                <w:rFonts w:ascii="Arial"/>
                <w:b/>
                <w:spacing w:val="-6"/>
                <w:sz w:val="16"/>
              </w:rPr>
              <w:t xml:space="preserve"> </w:t>
            </w:r>
            <w:r>
              <w:rPr>
                <w:rFonts w:ascii="Arial"/>
                <w:b/>
                <w:sz w:val="16"/>
              </w:rPr>
              <w:t xml:space="preserve">de </w:t>
            </w:r>
            <w:r>
              <w:rPr>
                <w:rFonts w:ascii="Arial"/>
                <w:b/>
                <w:spacing w:val="-2"/>
                <w:sz w:val="16"/>
              </w:rPr>
              <w:t>Investimento</w:t>
            </w:r>
          </w:p>
          <w:p w14:paraId="7DBB764A" w14:textId="77777777" w:rsidR="002C6574" w:rsidRDefault="00000000">
            <w:pPr>
              <w:pStyle w:val="TableParagraph"/>
              <w:spacing w:line="192" w:lineRule="exact"/>
              <w:ind w:left="413"/>
              <w:jc w:val="left"/>
              <w:rPr>
                <w:sz w:val="16"/>
              </w:rPr>
            </w:pPr>
            <w:r>
              <w:rPr>
                <w:sz w:val="16"/>
              </w:rPr>
              <w:t>Aquisição</w:t>
            </w:r>
            <w:r>
              <w:rPr>
                <w:spacing w:val="-8"/>
                <w:sz w:val="16"/>
              </w:rPr>
              <w:t xml:space="preserve"> </w:t>
            </w:r>
            <w:r>
              <w:rPr>
                <w:sz w:val="16"/>
              </w:rPr>
              <w:t>de</w:t>
            </w:r>
            <w:r>
              <w:rPr>
                <w:spacing w:val="-9"/>
                <w:sz w:val="16"/>
              </w:rPr>
              <w:t xml:space="preserve"> </w:t>
            </w:r>
            <w:r>
              <w:rPr>
                <w:sz w:val="16"/>
              </w:rPr>
              <w:t>Imobilizado</w:t>
            </w:r>
            <w:r>
              <w:rPr>
                <w:spacing w:val="-9"/>
                <w:sz w:val="16"/>
              </w:rPr>
              <w:t xml:space="preserve"> </w:t>
            </w:r>
            <w:r>
              <w:rPr>
                <w:sz w:val="16"/>
              </w:rPr>
              <w:t>/</w:t>
            </w:r>
            <w:r>
              <w:rPr>
                <w:spacing w:val="-9"/>
                <w:sz w:val="16"/>
              </w:rPr>
              <w:t xml:space="preserve"> </w:t>
            </w:r>
            <w:r>
              <w:rPr>
                <w:spacing w:val="-2"/>
                <w:sz w:val="16"/>
              </w:rPr>
              <w:t>Intangível</w:t>
            </w:r>
          </w:p>
        </w:tc>
        <w:tc>
          <w:tcPr>
            <w:tcW w:w="1538" w:type="dxa"/>
            <w:tcBorders>
              <w:top w:val="double" w:sz="6" w:space="0" w:color="000000"/>
            </w:tcBorders>
          </w:tcPr>
          <w:p w14:paraId="1BB5E008" w14:textId="77777777" w:rsidR="002C6574" w:rsidRDefault="002C6574">
            <w:pPr>
              <w:pStyle w:val="TableParagraph"/>
              <w:jc w:val="left"/>
              <w:rPr>
                <w:rFonts w:ascii="Arial"/>
                <w:b/>
                <w:sz w:val="16"/>
              </w:rPr>
            </w:pPr>
          </w:p>
          <w:p w14:paraId="2B606328" w14:textId="77777777" w:rsidR="002C6574" w:rsidRDefault="002C6574">
            <w:pPr>
              <w:pStyle w:val="TableParagraph"/>
              <w:spacing w:before="20"/>
              <w:jc w:val="left"/>
              <w:rPr>
                <w:rFonts w:ascii="Arial"/>
                <w:b/>
                <w:sz w:val="16"/>
              </w:rPr>
            </w:pPr>
          </w:p>
          <w:p w14:paraId="2BC8BD9D" w14:textId="77777777" w:rsidR="002C6574" w:rsidRDefault="00000000">
            <w:pPr>
              <w:pStyle w:val="TableParagraph"/>
              <w:spacing w:line="189" w:lineRule="exact"/>
              <w:ind w:right="66"/>
              <w:rPr>
                <w:sz w:val="16"/>
              </w:rPr>
            </w:pPr>
            <w:r>
              <w:rPr>
                <w:spacing w:val="-2"/>
                <w:w w:val="110"/>
                <w:sz w:val="16"/>
              </w:rPr>
              <w:t>(25.584)</w:t>
            </w:r>
          </w:p>
        </w:tc>
        <w:tc>
          <w:tcPr>
            <w:tcW w:w="146" w:type="dxa"/>
          </w:tcPr>
          <w:p w14:paraId="4F1EFFD5" w14:textId="77777777" w:rsidR="002C6574" w:rsidRDefault="002C6574">
            <w:pPr>
              <w:pStyle w:val="TableParagraph"/>
              <w:jc w:val="left"/>
              <w:rPr>
                <w:rFonts w:ascii="Times New Roman"/>
                <w:sz w:val="16"/>
              </w:rPr>
            </w:pPr>
          </w:p>
        </w:tc>
        <w:tc>
          <w:tcPr>
            <w:tcW w:w="1536" w:type="dxa"/>
            <w:tcBorders>
              <w:top w:val="double" w:sz="6" w:space="0" w:color="000000"/>
            </w:tcBorders>
          </w:tcPr>
          <w:p w14:paraId="73497960" w14:textId="77777777" w:rsidR="002C6574" w:rsidRDefault="002C6574">
            <w:pPr>
              <w:pStyle w:val="TableParagraph"/>
              <w:jc w:val="left"/>
              <w:rPr>
                <w:rFonts w:ascii="Arial"/>
                <w:b/>
                <w:sz w:val="16"/>
              </w:rPr>
            </w:pPr>
          </w:p>
          <w:p w14:paraId="64C24066" w14:textId="77777777" w:rsidR="002C6574" w:rsidRDefault="002C6574">
            <w:pPr>
              <w:pStyle w:val="TableParagraph"/>
              <w:spacing w:before="20"/>
              <w:jc w:val="left"/>
              <w:rPr>
                <w:rFonts w:ascii="Arial"/>
                <w:b/>
                <w:sz w:val="16"/>
              </w:rPr>
            </w:pPr>
          </w:p>
          <w:p w14:paraId="0B2D71E2" w14:textId="77777777" w:rsidR="002C6574" w:rsidRDefault="00000000">
            <w:pPr>
              <w:pStyle w:val="TableParagraph"/>
              <w:spacing w:line="189" w:lineRule="exact"/>
              <w:ind w:right="65"/>
              <w:rPr>
                <w:sz w:val="16"/>
              </w:rPr>
            </w:pPr>
            <w:r>
              <w:rPr>
                <w:spacing w:val="-2"/>
                <w:w w:val="110"/>
                <w:sz w:val="16"/>
              </w:rPr>
              <w:t>(41.772)</w:t>
            </w:r>
          </w:p>
        </w:tc>
      </w:tr>
      <w:tr w:rsidR="002C6574" w14:paraId="28CADFA7" w14:textId="77777777">
        <w:trPr>
          <w:trHeight w:val="195"/>
        </w:trPr>
        <w:tc>
          <w:tcPr>
            <w:tcW w:w="6532" w:type="dxa"/>
          </w:tcPr>
          <w:p w14:paraId="0757FDD0" w14:textId="77777777" w:rsidR="002C6574" w:rsidRDefault="00000000">
            <w:pPr>
              <w:pStyle w:val="TableParagraph"/>
              <w:spacing w:line="176" w:lineRule="exact"/>
              <w:ind w:left="413"/>
              <w:jc w:val="left"/>
              <w:rPr>
                <w:sz w:val="16"/>
              </w:rPr>
            </w:pPr>
            <w:r>
              <w:rPr>
                <w:sz w:val="16"/>
              </w:rPr>
              <w:t>Resgate</w:t>
            </w:r>
            <w:r>
              <w:rPr>
                <w:spacing w:val="7"/>
                <w:sz w:val="16"/>
              </w:rPr>
              <w:t xml:space="preserve"> </w:t>
            </w:r>
            <w:r>
              <w:rPr>
                <w:sz w:val="16"/>
              </w:rPr>
              <w:t>de</w:t>
            </w:r>
            <w:r>
              <w:rPr>
                <w:spacing w:val="11"/>
                <w:sz w:val="16"/>
              </w:rPr>
              <w:t xml:space="preserve"> </w:t>
            </w:r>
            <w:r>
              <w:rPr>
                <w:sz w:val="16"/>
              </w:rPr>
              <w:t>Aplicações</w:t>
            </w:r>
            <w:r>
              <w:rPr>
                <w:spacing w:val="12"/>
                <w:sz w:val="16"/>
              </w:rPr>
              <w:t xml:space="preserve"> </w:t>
            </w:r>
            <w:r>
              <w:rPr>
                <w:sz w:val="16"/>
              </w:rPr>
              <w:t>Financeiras</w:t>
            </w:r>
            <w:r>
              <w:rPr>
                <w:spacing w:val="12"/>
                <w:sz w:val="16"/>
              </w:rPr>
              <w:t xml:space="preserve"> </w:t>
            </w:r>
            <w:r>
              <w:rPr>
                <w:sz w:val="16"/>
              </w:rPr>
              <w:t>-</w:t>
            </w:r>
            <w:r>
              <w:rPr>
                <w:spacing w:val="10"/>
                <w:sz w:val="16"/>
              </w:rPr>
              <w:t xml:space="preserve"> </w:t>
            </w:r>
            <w:r>
              <w:rPr>
                <w:sz w:val="16"/>
              </w:rPr>
              <w:t>Garantia</w:t>
            </w:r>
            <w:r>
              <w:rPr>
                <w:spacing w:val="9"/>
                <w:sz w:val="16"/>
              </w:rPr>
              <w:t xml:space="preserve"> </w:t>
            </w:r>
            <w:r>
              <w:rPr>
                <w:sz w:val="16"/>
              </w:rPr>
              <w:t>de</w:t>
            </w:r>
            <w:r>
              <w:rPr>
                <w:spacing w:val="7"/>
                <w:sz w:val="16"/>
              </w:rPr>
              <w:t xml:space="preserve"> </w:t>
            </w:r>
            <w:r>
              <w:rPr>
                <w:sz w:val="16"/>
              </w:rPr>
              <w:t>Financiamento</w:t>
            </w:r>
            <w:r>
              <w:rPr>
                <w:spacing w:val="10"/>
                <w:sz w:val="16"/>
              </w:rPr>
              <w:t xml:space="preserve"> </w:t>
            </w:r>
            <w:r>
              <w:rPr>
                <w:sz w:val="16"/>
              </w:rPr>
              <w:t>-</w:t>
            </w:r>
            <w:r>
              <w:rPr>
                <w:spacing w:val="6"/>
                <w:sz w:val="16"/>
              </w:rPr>
              <w:t xml:space="preserve"> </w:t>
            </w:r>
            <w:r>
              <w:rPr>
                <w:spacing w:val="-2"/>
                <w:sz w:val="16"/>
              </w:rPr>
              <w:t>FINEP</w:t>
            </w:r>
          </w:p>
        </w:tc>
        <w:tc>
          <w:tcPr>
            <w:tcW w:w="1538" w:type="dxa"/>
            <w:tcBorders>
              <w:bottom w:val="single" w:sz="4" w:space="0" w:color="000000"/>
            </w:tcBorders>
          </w:tcPr>
          <w:p w14:paraId="55B0BAA0" w14:textId="77777777" w:rsidR="002C6574" w:rsidRDefault="00000000">
            <w:pPr>
              <w:pStyle w:val="TableParagraph"/>
              <w:spacing w:line="176" w:lineRule="exact"/>
              <w:ind w:right="83"/>
              <w:rPr>
                <w:sz w:val="16"/>
              </w:rPr>
            </w:pPr>
            <w:r>
              <w:rPr>
                <w:spacing w:val="-2"/>
                <w:w w:val="105"/>
                <w:sz w:val="16"/>
              </w:rPr>
              <w:t>39.973</w:t>
            </w:r>
          </w:p>
        </w:tc>
        <w:tc>
          <w:tcPr>
            <w:tcW w:w="146" w:type="dxa"/>
          </w:tcPr>
          <w:p w14:paraId="77F47073" w14:textId="77777777" w:rsidR="002C6574" w:rsidRDefault="002C6574">
            <w:pPr>
              <w:pStyle w:val="TableParagraph"/>
              <w:jc w:val="left"/>
              <w:rPr>
                <w:rFonts w:ascii="Times New Roman"/>
                <w:sz w:val="12"/>
              </w:rPr>
            </w:pPr>
          </w:p>
        </w:tc>
        <w:tc>
          <w:tcPr>
            <w:tcW w:w="1536" w:type="dxa"/>
            <w:tcBorders>
              <w:bottom w:val="single" w:sz="4" w:space="0" w:color="000000"/>
            </w:tcBorders>
          </w:tcPr>
          <w:p w14:paraId="778AF44B" w14:textId="77777777" w:rsidR="002C6574" w:rsidRDefault="00000000">
            <w:pPr>
              <w:pStyle w:val="TableParagraph"/>
              <w:spacing w:line="176" w:lineRule="exact"/>
              <w:ind w:right="118"/>
              <w:rPr>
                <w:sz w:val="16"/>
              </w:rPr>
            </w:pPr>
            <w:r>
              <w:rPr>
                <w:spacing w:val="-10"/>
                <w:w w:val="95"/>
                <w:sz w:val="16"/>
              </w:rPr>
              <w:t>-</w:t>
            </w:r>
          </w:p>
        </w:tc>
      </w:tr>
      <w:tr w:rsidR="002C6574" w14:paraId="4AF3B215" w14:textId="77777777">
        <w:trPr>
          <w:trHeight w:val="195"/>
        </w:trPr>
        <w:tc>
          <w:tcPr>
            <w:tcW w:w="6532" w:type="dxa"/>
          </w:tcPr>
          <w:p w14:paraId="09F2CDA2" w14:textId="77777777" w:rsidR="002C6574" w:rsidRDefault="00000000">
            <w:pPr>
              <w:pStyle w:val="TableParagraph"/>
              <w:spacing w:before="13" w:line="163" w:lineRule="exact"/>
              <w:ind w:left="50"/>
              <w:jc w:val="left"/>
              <w:rPr>
                <w:rFonts w:ascii="Arial" w:hAnsi="Arial"/>
                <w:b/>
                <w:sz w:val="16"/>
              </w:rPr>
            </w:pPr>
            <w:r>
              <w:rPr>
                <w:rFonts w:ascii="Arial" w:hAnsi="Arial"/>
                <w:b/>
                <w:sz w:val="16"/>
              </w:rPr>
              <w:t>Caixa</w:t>
            </w:r>
            <w:r>
              <w:rPr>
                <w:rFonts w:ascii="Arial" w:hAnsi="Arial"/>
                <w:b/>
                <w:spacing w:val="-6"/>
                <w:sz w:val="16"/>
              </w:rPr>
              <w:t xml:space="preserve"> </w:t>
            </w:r>
            <w:r>
              <w:rPr>
                <w:rFonts w:ascii="Arial" w:hAnsi="Arial"/>
                <w:b/>
                <w:sz w:val="16"/>
              </w:rPr>
              <w:t>Líquido</w:t>
            </w:r>
            <w:r>
              <w:rPr>
                <w:rFonts w:ascii="Arial" w:hAnsi="Arial"/>
                <w:b/>
                <w:spacing w:val="-6"/>
                <w:sz w:val="16"/>
              </w:rPr>
              <w:t xml:space="preserve"> </w:t>
            </w:r>
            <w:r>
              <w:rPr>
                <w:rFonts w:ascii="Arial" w:hAnsi="Arial"/>
                <w:b/>
                <w:sz w:val="16"/>
              </w:rPr>
              <w:t>Gerado/Consumido</w:t>
            </w:r>
            <w:r>
              <w:rPr>
                <w:rFonts w:ascii="Arial" w:hAnsi="Arial"/>
                <w:b/>
                <w:spacing w:val="-2"/>
                <w:sz w:val="16"/>
              </w:rPr>
              <w:t xml:space="preserve"> </w:t>
            </w:r>
            <w:r>
              <w:rPr>
                <w:rFonts w:ascii="Arial" w:hAnsi="Arial"/>
                <w:b/>
                <w:sz w:val="16"/>
              </w:rPr>
              <w:t>pelas</w:t>
            </w:r>
            <w:r>
              <w:rPr>
                <w:rFonts w:ascii="Arial" w:hAnsi="Arial"/>
                <w:b/>
                <w:spacing w:val="-3"/>
                <w:sz w:val="16"/>
              </w:rPr>
              <w:t xml:space="preserve"> </w:t>
            </w:r>
            <w:r>
              <w:rPr>
                <w:rFonts w:ascii="Arial" w:hAnsi="Arial"/>
                <w:b/>
                <w:sz w:val="16"/>
              </w:rPr>
              <w:t>Atividades</w:t>
            </w:r>
            <w:r>
              <w:rPr>
                <w:rFonts w:ascii="Arial" w:hAnsi="Arial"/>
                <w:b/>
                <w:spacing w:val="-7"/>
                <w:sz w:val="16"/>
              </w:rPr>
              <w:t xml:space="preserve"> </w:t>
            </w:r>
            <w:r>
              <w:rPr>
                <w:rFonts w:ascii="Arial" w:hAnsi="Arial"/>
                <w:b/>
                <w:sz w:val="16"/>
              </w:rPr>
              <w:t>de</w:t>
            </w:r>
            <w:r>
              <w:rPr>
                <w:rFonts w:ascii="Arial" w:hAnsi="Arial"/>
                <w:b/>
                <w:spacing w:val="-3"/>
                <w:sz w:val="16"/>
              </w:rPr>
              <w:t xml:space="preserve"> </w:t>
            </w:r>
            <w:r>
              <w:rPr>
                <w:rFonts w:ascii="Arial" w:hAnsi="Arial"/>
                <w:b/>
                <w:spacing w:val="-2"/>
                <w:sz w:val="16"/>
              </w:rPr>
              <w:t>Investimento</w:t>
            </w:r>
          </w:p>
        </w:tc>
        <w:tc>
          <w:tcPr>
            <w:tcW w:w="1538" w:type="dxa"/>
            <w:tcBorders>
              <w:top w:val="single" w:sz="4" w:space="0" w:color="000000"/>
              <w:bottom w:val="double" w:sz="6" w:space="0" w:color="000000"/>
            </w:tcBorders>
          </w:tcPr>
          <w:p w14:paraId="42C769A9" w14:textId="77777777" w:rsidR="002C6574" w:rsidRDefault="00000000">
            <w:pPr>
              <w:pStyle w:val="TableParagraph"/>
              <w:spacing w:before="13" w:line="163" w:lineRule="exact"/>
              <w:ind w:right="83"/>
              <w:rPr>
                <w:rFonts w:ascii="Arial"/>
                <w:b/>
                <w:sz w:val="16"/>
              </w:rPr>
            </w:pPr>
            <w:r>
              <w:rPr>
                <w:rFonts w:ascii="Arial"/>
                <w:b/>
                <w:spacing w:val="-2"/>
                <w:sz w:val="16"/>
              </w:rPr>
              <w:t>14.389</w:t>
            </w:r>
          </w:p>
        </w:tc>
        <w:tc>
          <w:tcPr>
            <w:tcW w:w="146" w:type="dxa"/>
          </w:tcPr>
          <w:p w14:paraId="772D5FDE" w14:textId="77777777" w:rsidR="002C6574" w:rsidRDefault="002C6574">
            <w:pPr>
              <w:pStyle w:val="TableParagraph"/>
              <w:jc w:val="left"/>
              <w:rPr>
                <w:rFonts w:ascii="Times New Roman"/>
                <w:sz w:val="12"/>
              </w:rPr>
            </w:pPr>
          </w:p>
        </w:tc>
        <w:tc>
          <w:tcPr>
            <w:tcW w:w="1536" w:type="dxa"/>
            <w:tcBorders>
              <w:top w:val="single" w:sz="4" w:space="0" w:color="000000"/>
              <w:bottom w:val="double" w:sz="6" w:space="0" w:color="000000"/>
            </w:tcBorders>
          </w:tcPr>
          <w:p w14:paraId="22C3C1EF" w14:textId="77777777" w:rsidR="002C6574" w:rsidRDefault="00000000">
            <w:pPr>
              <w:pStyle w:val="TableParagraph"/>
              <w:spacing w:before="13" w:line="163" w:lineRule="exact"/>
              <w:ind w:right="65"/>
              <w:rPr>
                <w:rFonts w:ascii="Arial"/>
                <w:b/>
                <w:sz w:val="16"/>
              </w:rPr>
            </w:pPr>
            <w:r>
              <w:rPr>
                <w:rFonts w:ascii="Arial"/>
                <w:b/>
                <w:spacing w:val="-2"/>
                <w:sz w:val="16"/>
              </w:rPr>
              <w:t>(41.772)</w:t>
            </w:r>
          </w:p>
        </w:tc>
      </w:tr>
      <w:tr w:rsidR="002C6574" w14:paraId="0A4677CD" w14:textId="77777777">
        <w:trPr>
          <w:trHeight w:val="400"/>
        </w:trPr>
        <w:tc>
          <w:tcPr>
            <w:tcW w:w="6532" w:type="dxa"/>
          </w:tcPr>
          <w:p w14:paraId="0203BBAE" w14:textId="77777777" w:rsidR="002C6574" w:rsidRDefault="002C6574">
            <w:pPr>
              <w:pStyle w:val="TableParagraph"/>
              <w:spacing w:before="29"/>
              <w:jc w:val="left"/>
              <w:rPr>
                <w:rFonts w:ascii="Arial"/>
                <w:b/>
                <w:sz w:val="16"/>
              </w:rPr>
            </w:pPr>
          </w:p>
          <w:p w14:paraId="6443B2D6" w14:textId="77777777" w:rsidR="002C6574" w:rsidRDefault="00000000">
            <w:pPr>
              <w:pStyle w:val="TableParagraph"/>
              <w:spacing w:before="1" w:line="167" w:lineRule="exact"/>
              <w:ind w:left="50"/>
              <w:jc w:val="left"/>
              <w:rPr>
                <w:rFonts w:ascii="Arial"/>
                <w:b/>
                <w:sz w:val="16"/>
              </w:rPr>
            </w:pPr>
            <w:r>
              <w:rPr>
                <w:rFonts w:ascii="Arial"/>
                <w:b/>
                <w:sz w:val="16"/>
              </w:rPr>
              <w:t>Fluxos</w:t>
            </w:r>
            <w:r>
              <w:rPr>
                <w:rFonts w:ascii="Arial"/>
                <w:b/>
                <w:spacing w:val="-5"/>
                <w:sz w:val="16"/>
              </w:rPr>
              <w:t xml:space="preserve"> </w:t>
            </w:r>
            <w:r>
              <w:rPr>
                <w:rFonts w:ascii="Arial"/>
                <w:b/>
                <w:sz w:val="16"/>
              </w:rPr>
              <w:t>de</w:t>
            </w:r>
            <w:r>
              <w:rPr>
                <w:rFonts w:ascii="Arial"/>
                <w:b/>
                <w:spacing w:val="-3"/>
                <w:sz w:val="16"/>
              </w:rPr>
              <w:t xml:space="preserve"> </w:t>
            </w:r>
            <w:r>
              <w:rPr>
                <w:rFonts w:ascii="Arial"/>
                <w:b/>
                <w:sz w:val="16"/>
              </w:rPr>
              <w:t>Caixa</w:t>
            </w:r>
            <w:r>
              <w:rPr>
                <w:rFonts w:ascii="Arial"/>
                <w:b/>
                <w:spacing w:val="-1"/>
                <w:sz w:val="16"/>
              </w:rPr>
              <w:t xml:space="preserve"> </w:t>
            </w:r>
            <w:r>
              <w:rPr>
                <w:rFonts w:ascii="Arial"/>
                <w:b/>
                <w:sz w:val="16"/>
              </w:rPr>
              <w:t>das</w:t>
            </w:r>
            <w:r>
              <w:rPr>
                <w:rFonts w:ascii="Arial"/>
                <w:b/>
                <w:spacing w:val="-1"/>
                <w:sz w:val="16"/>
              </w:rPr>
              <w:t xml:space="preserve"> </w:t>
            </w:r>
            <w:r>
              <w:rPr>
                <w:rFonts w:ascii="Arial"/>
                <w:b/>
                <w:sz w:val="16"/>
              </w:rPr>
              <w:t>Atividades</w:t>
            </w:r>
            <w:r>
              <w:rPr>
                <w:rFonts w:ascii="Arial"/>
                <w:b/>
                <w:spacing w:val="-6"/>
                <w:sz w:val="16"/>
              </w:rPr>
              <w:t xml:space="preserve"> </w:t>
            </w:r>
            <w:r>
              <w:rPr>
                <w:rFonts w:ascii="Arial"/>
                <w:b/>
                <w:sz w:val="16"/>
              </w:rPr>
              <w:t xml:space="preserve">de </w:t>
            </w:r>
            <w:r>
              <w:rPr>
                <w:rFonts w:ascii="Arial"/>
                <w:b/>
                <w:spacing w:val="-2"/>
                <w:sz w:val="16"/>
              </w:rPr>
              <w:t>Financiamento</w:t>
            </w:r>
          </w:p>
        </w:tc>
        <w:tc>
          <w:tcPr>
            <w:tcW w:w="1538" w:type="dxa"/>
            <w:tcBorders>
              <w:top w:val="double" w:sz="6" w:space="0" w:color="000000"/>
            </w:tcBorders>
          </w:tcPr>
          <w:p w14:paraId="1430B787" w14:textId="77777777" w:rsidR="002C6574" w:rsidRDefault="002C6574">
            <w:pPr>
              <w:pStyle w:val="TableParagraph"/>
              <w:jc w:val="left"/>
              <w:rPr>
                <w:rFonts w:ascii="Times New Roman"/>
                <w:sz w:val="16"/>
              </w:rPr>
            </w:pPr>
          </w:p>
        </w:tc>
        <w:tc>
          <w:tcPr>
            <w:tcW w:w="146" w:type="dxa"/>
          </w:tcPr>
          <w:p w14:paraId="2BFD8338" w14:textId="77777777" w:rsidR="002C6574" w:rsidRDefault="002C6574">
            <w:pPr>
              <w:pStyle w:val="TableParagraph"/>
              <w:jc w:val="left"/>
              <w:rPr>
                <w:rFonts w:ascii="Times New Roman"/>
                <w:sz w:val="16"/>
              </w:rPr>
            </w:pPr>
          </w:p>
        </w:tc>
        <w:tc>
          <w:tcPr>
            <w:tcW w:w="1536" w:type="dxa"/>
            <w:tcBorders>
              <w:top w:val="double" w:sz="6" w:space="0" w:color="000000"/>
            </w:tcBorders>
          </w:tcPr>
          <w:p w14:paraId="379FD8A1" w14:textId="77777777" w:rsidR="002C6574" w:rsidRDefault="002C6574">
            <w:pPr>
              <w:pStyle w:val="TableParagraph"/>
              <w:jc w:val="left"/>
              <w:rPr>
                <w:rFonts w:ascii="Times New Roman"/>
                <w:sz w:val="16"/>
              </w:rPr>
            </w:pPr>
          </w:p>
        </w:tc>
      </w:tr>
      <w:tr w:rsidR="002C6574" w14:paraId="4ACA90F1" w14:textId="77777777">
        <w:trPr>
          <w:trHeight w:val="197"/>
        </w:trPr>
        <w:tc>
          <w:tcPr>
            <w:tcW w:w="6532" w:type="dxa"/>
          </w:tcPr>
          <w:p w14:paraId="4C6EA8BF" w14:textId="77777777" w:rsidR="002C6574" w:rsidRDefault="00000000">
            <w:pPr>
              <w:pStyle w:val="TableParagraph"/>
              <w:spacing w:line="178" w:lineRule="exact"/>
              <w:ind w:left="413"/>
              <w:jc w:val="left"/>
              <w:rPr>
                <w:sz w:val="16"/>
              </w:rPr>
            </w:pPr>
            <w:r>
              <w:rPr>
                <w:sz w:val="16"/>
              </w:rPr>
              <w:t>Pagamento</w:t>
            </w:r>
            <w:r>
              <w:rPr>
                <w:spacing w:val="-5"/>
                <w:sz w:val="16"/>
              </w:rPr>
              <w:t xml:space="preserve"> </w:t>
            </w:r>
            <w:r>
              <w:rPr>
                <w:sz w:val="16"/>
              </w:rPr>
              <w:t>de</w:t>
            </w:r>
            <w:r>
              <w:rPr>
                <w:spacing w:val="-6"/>
                <w:sz w:val="16"/>
              </w:rPr>
              <w:t xml:space="preserve"> </w:t>
            </w:r>
            <w:r>
              <w:rPr>
                <w:sz w:val="16"/>
              </w:rPr>
              <w:t>Principal</w:t>
            </w:r>
            <w:r>
              <w:rPr>
                <w:spacing w:val="-3"/>
                <w:sz w:val="16"/>
              </w:rPr>
              <w:t xml:space="preserve"> </w:t>
            </w:r>
            <w:r>
              <w:rPr>
                <w:sz w:val="16"/>
              </w:rPr>
              <w:t>-</w:t>
            </w:r>
            <w:r>
              <w:rPr>
                <w:spacing w:val="-6"/>
                <w:sz w:val="16"/>
              </w:rPr>
              <w:t xml:space="preserve"> </w:t>
            </w:r>
            <w:r>
              <w:rPr>
                <w:sz w:val="16"/>
              </w:rPr>
              <w:t>Arrendamento</w:t>
            </w:r>
            <w:r>
              <w:rPr>
                <w:spacing w:val="-6"/>
                <w:sz w:val="16"/>
              </w:rPr>
              <w:t xml:space="preserve"> </w:t>
            </w:r>
            <w:r>
              <w:rPr>
                <w:sz w:val="16"/>
              </w:rPr>
              <w:t>Mercantil</w:t>
            </w:r>
            <w:r>
              <w:rPr>
                <w:spacing w:val="-3"/>
                <w:sz w:val="16"/>
              </w:rPr>
              <w:t xml:space="preserve"> </w:t>
            </w:r>
            <w:r>
              <w:rPr>
                <w:spacing w:val="-2"/>
                <w:sz w:val="16"/>
              </w:rPr>
              <w:t>Financeiro</w:t>
            </w:r>
          </w:p>
        </w:tc>
        <w:tc>
          <w:tcPr>
            <w:tcW w:w="1538" w:type="dxa"/>
          </w:tcPr>
          <w:p w14:paraId="4C4C86D8" w14:textId="77777777" w:rsidR="002C6574" w:rsidRDefault="00000000">
            <w:pPr>
              <w:pStyle w:val="TableParagraph"/>
              <w:spacing w:line="178" w:lineRule="exact"/>
              <w:ind w:right="66"/>
              <w:rPr>
                <w:sz w:val="16"/>
              </w:rPr>
            </w:pPr>
            <w:r>
              <w:rPr>
                <w:spacing w:val="-2"/>
                <w:w w:val="110"/>
                <w:sz w:val="16"/>
              </w:rPr>
              <w:t>(6.179)</w:t>
            </w:r>
          </w:p>
        </w:tc>
        <w:tc>
          <w:tcPr>
            <w:tcW w:w="146" w:type="dxa"/>
          </w:tcPr>
          <w:p w14:paraId="2EDDF60B" w14:textId="77777777" w:rsidR="002C6574" w:rsidRDefault="002C6574">
            <w:pPr>
              <w:pStyle w:val="TableParagraph"/>
              <w:jc w:val="left"/>
              <w:rPr>
                <w:rFonts w:ascii="Times New Roman"/>
                <w:sz w:val="12"/>
              </w:rPr>
            </w:pPr>
          </w:p>
        </w:tc>
        <w:tc>
          <w:tcPr>
            <w:tcW w:w="1536" w:type="dxa"/>
          </w:tcPr>
          <w:p w14:paraId="1434DB37" w14:textId="77777777" w:rsidR="002C6574" w:rsidRDefault="00000000">
            <w:pPr>
              <w:pStyle w:val="TableParagraph"/>
              <w:spacing w:line="178" w:lineRule="exact"/>
              <w:ind w:right="66"/>
              <w:rPr>
                <w:sz w:val="16"/>
              </w:rPr>
            </w:pPr>
            <w:r>
              <w:rPr>
                <w:spacing w:val="-2"/>
                <w:w w:val="110"/>
                <w:sz w:val="16"/>
              </w:rPr>
              <w:t>(5.425)</w:t>
            </w:r>
          </w:p>
        </w:tc>
      </w:tr>
      <w:tr w:rsidR="002C6574" w14:paraId="0D924CBE" w14:textId="77777777">
        <w:trPr>
          <w:trHeight w:val="197"/>
        </w:trPr>
        <w:tc>
          <w:tcPr>
            <w:tcW w:w="6532" w:type="dxa"/>
          </w:tcPr>
          <w:p w14:paraId="58273DB9" w14:textId="77777777" w:rsidR="002C6574" w:rsidRDefault="00000000">
            <w:pPr>
              <w:pStyle w:val="TableParagraph"/>
              <w:spacing w:line="178" w:lineRule="exact"/>
              <w:ind w:left="413"/>
              <w:jc w:val="left"/>
              <w:rPr>
                <w:sz w:val="16"/>
              </w:rPr>
            </w:pPr>
            <w:r>
              <w:rPr>
                <w:sz w:val="16"/>
              </w:rPr>
              <w:t>Pagamento</w:t>
            </w:r>
            <w:r>
              <w:rPr>
                <w:spacing w:val="2"/>
                <w:sz w:val="16"/>
              </w:rPr>
              <w:t xml:space="preserve"> </w:t>
            </w:r>
            <w:r>
              <w:rPr>
                <w:sz w:val="16"/>
              </w:rPr>
              <w:t>de</w:t>
            </w:r>
            <w:r>
              <w:rPr>
                <w:spacing w:val="1"/>
                <w:sz w:val="16"/>
              </w:rPr>
              <w:t xml:space="preserve"> </w:t>
            </w:r>
            <w:r>
              <w:rPr>
                <w:sz w:val="16"/>
              </w:rPr>
              <w:t>Principal</w:t>
            </w:r>
            <w:r>
              <w:rPr>
                <w:spacing w:val="5"/>
                <w:sz w:val="16"/>
              </w:rPr>
              <w:t xml:space="preserve"> </w:t>
            </w:r>
            <w:r>
              <w:rPr>
                <w:sz w:val="16"/>
              </w:rPr>
              <w:t>de</w:t>
            </w:r>
            <w:r>
              <w:rPr>
                <w:spacing w:val="2"/>
                <w:sz w:val="16"/>
              </w:rPr>
              <w:t xml:space="preserve"> </w:t>
            </w:r>
            <w:r>
              <w:rPr>
                <w:sz w:val="16"/>
              </w:rPr>
              <w:t>Acordos</w:t>
            </w:r>
            <w:r>
              <w:rPr>
                <w:spacing w:val="3"/>
                <w:sz w:val="16"/>
              </w:rPr>
              <w:t xml:space="preserve"> </w:t>
            </w:r>
            <w:r>
              <w:rPr>
                <w:spacing w:val="-2"/>
                <w:sz w:val="16"/>
              </w:rPr>
              <w:t>Judiciais</w:t>
            </w:r>
          </w:p>
        </w:tc>
        <w:tc>
          <w:tcPr>
            <w:tcW w:w="1538" w:type="dxa"/>
          </w:tcPr>
          <w:p w14:paraId="7477C9AE" w14:textId="77777777" w:rsidR="002C6574" w:rsidRDefault="00000000">
            <w:pPr>
              <w:pStyle w:val="TableParagraph"/>
              <w:spacing w:line="178" w:lineRule="exact"/>
              <w:ind w:right="66"/>
              <w:rPr>
                <w:sz w:val="16"/>
              </w:rPr>
            </w:pPr>
            <w:r>
              <w:rPr>
                <w:spacing w:val="-2"/>
                <w:w w:val="105"/>
                <w:sz w:val="16"/>
              </w:rPr>
              <w:t>(123.183)</w:t>
            </w:r>
          </w:p>
        </w:tc>
        <w:tc>
          <w:tcPr>
            <w:tcW w:w="146" w:type="dxa"/>
          </w:tcPr>
          <w:p w14:paraId="3281127F" w14:textId="77777777" w:rsidR="002C6574" w:rsidRDefault="002C6574">
            <w:pPr>
              <w:pStyle w:val="TableParagraph"/>
              <w:jc w:val="left"/>
              <w:rPr>
                <w:rFonts w:ascii="Times New Roman"/>
                <w:sz w:val="12"/>
              </w:rPr>
            </w:pPr>
          </w:p>
        </w:tc>
        <w:tc>
          <w:tcPr>
            <w:tcW w:w="1536" w:type="dxa"/>
          </w:tcPr>
          <w:p w14:paraId="1CAF5666" w14:textId="77777777" w:rsidR="002C6574" w:rsidRDefault="00000000">
            <w:pPr>
              <w:pStyle w:val="TableParagraph"/>
              <w:spacing w:line="178" w:lineRule="exact"/>
              <w:ind w:right="65"/>
              <w:rPr>
                <w:sz w:val="16"/>
              </w:rPr>
            </w:pPr>
            <w:r>
              <w:rPr>
                <w:spacing w:val="-2"/>
                <w:w w:val="110"/>
                <w:sz w:val="16"/>
              </w:rPr>
              <w:t>(13.740)</w:t>
            </w:r>
          </w:p>
        </w:tc>
      </w:tr>
      <w:tr w:rsidR="002C6574" w14:paraId="5A3C670C" w14:textId="77777777">
        <w:trPr>
          <w:trHeight w:val="198"/>
        </w:trPr>
        <w:tc>
          <w:tcPr>
            <w:tcW w:w="6532" w:type="dxa"/>
          </w:tcPr>
          <w:p w14:paraId="4096C5A7" w14:textId="77777777" w:rsidR="002C6574" w:rsidRDefault="00000000">
            <w:pPr>
              <w:pStyle w:val="TableParagraph"/>
              <w:spacing w:line="178" w:lineRule="exact"/>
              <w:ind w:left="413"/>
              <w:jc w:val="left"/>
              <w:rPr>
                <w:sz w:val="16"/>
              </w:rPr>
            </w:pPr>
            <w:r>
              <w:rPr>
                <w:sz w:val="16"/>
              </w:rPr>
              <w:t>Pagamentos</w:t>
            </w:r>
            <w:r>
              <w:rPr>
                <w:spacing w:val="2"/>
                <w:sz w:val="16"/>
              </w:rPr>
              <w:t xml:space="preserve"> </w:t>
            </w:r>
            <w:r>
              <w:rPr>
                <w:sz w:val="16"/>
              </w:rPr>
              <w:t>-</w:t>
            </w:r>
            <w:r>
              <w:rPr>
                <w:spacing w:val="1"/>
                <w:sz w:val="16"/>
              </w:rPr>
              <w:t xml:space="preserve"> </w:t>
            </w:r>
            <w:r>
              <w:rPr>
                <w:sz w:val="16"/>
              </w:rPr>
              <w:t>Financiamento</w:t>
            </w:r>
            <w:r>
              <w:rPr>
                <w:spacing w:val="2"/>
                <w:sz w:val="16"/>
              </w:rPr>
              <w:t xml:space="preserve"> </w:t>
            </w:r>
            <w:r>
              <w:rPr>
                <w:sz w:val="16"/>
              </w:rPr>
              <w:t>-</w:t>
            </w:r>
            <w:r>
              <w:rPr>
                <w:spacing w:val="-2"/>
                <w:sz w:val="16"/>
              </w:rPr>
              <w:t xml:space="preserve"> </w:t>
            </w:r>
            <w:r>
              <w:rPr>
                <w:sz w:val="16"/>
              </w:rPr>
              <w:t>Finep</w:t>
            </w:r>
            <w:r>
              <w:rPr>
                <w:spacing w:val="2"/>
                <w:sz w:val="16"/>
              </w:rPr>
              <w:t xml:space="preserve"> </w:t>
            </w:r>
            <w:r>
              <w:rPr>
                <w:sz w:val="16"/>
              </w:rPr>
              <w:t>-</w:t>
            </w:r>
            <w:r>
              <w:rPr>
                <w:spacing w:val="1"/>
                <w:sz w:val="16"/>
              </w:rPr>
              <w:t xml:space="preserve"> </w:t>
            </w:r>
            <w:r>
              <w:rPr>
                <w:spacing w:val="-2"/>
                <w:sz w:val="16"/>
              </w:rPr>
              <w:t>Principal</w:t>
            </w:r>
          </w:p>
        </w:tc>
        <w:tc>
          <w:tcPr>
            <w:tcW w:w="1538" w:type="dxa"/>
          </w:tcPr>
          <w:p w14:paraId="73296D15" w14:textId="77777777" w:rsidR="002C6574" w:rsidRDefault="00000000">
            <w:pPr>
              <w:pStyle w:val="TableParagraph"/>
              <w:spacing w:line="178" w:lineRule="exact"/>
              <w:ind w:right="66"/>
              <w:rPr>
                <w:sz w:val="16"/>
              </w:rPr>
            </w:pPr>
            <w:r>
              <w:rPr>
                <w:spacing w:val="-2"/>
                <w:w w:val="110"/>
                <w:sz w:val="16"/>
              </w:rPr>
              <w:t>(45.777)</w:t>
            </w:r>
          </w:p>
        </w:tc>
        <w:tc>
          <w:tcPr>
            <w:tcW w:w="146" w:type="dxa"/>
          </w:tcPr>
          <w:p w14:paraId="174AC188" w14:textId="77777777" w:rsidR="002C6574" w:rsidRDefault="002C6574">
            <w:pPr>
              <w:pStyle w:val="TableParagraph"/>
              <w:jc w:val="left"/>
              <w:rPr>
                <w:rFonts w:ascii="Times New Roman"/>
                <w:sz w:val="12"/>
              </w:rPr>
            </w:pPr>
          </w:p>
        </w:tc>
        <w:tc>
          <w:tcPr>
            <w:tcW w:w="1536" w:type="dxa"/>
          </w:tcPr>
          <w:p w14:paraId="29EF3E79" w14:textId="77777777" w:rsidR="002C6574" w:rsidRDefault="00000000">
            <w:pPr>
              <w:pStyle w:val="TableParagraph"/>
              <w:spacing w:line="178" w:lineRule="exact"/>
              <w:ind w:right="65"/>
              <w:rPr>
                <w:sz w:val="16"/>
              </w:rPr>
            </w:pPr>
            <w:r>
              <w:rPr>
                <w:spacing w:val="-2"/>
                <w:w w:val="110"/>
                <w:sz w:val="16"/>
              </w:rPr>
              <w:t>(45.513)</w:t>
            </w:r>
          </w:p>
        </w:tc>
      </w:tr>
      <w:tr w:rsidR="002C6574" w14:paraId="64BEA143" w14:textId="77777777">
        <w:trPr>
          <w:trHeight w:val="198"/>
        </w:trPr>
        <w:tc>
          <w:tcPr>
            <w:tcW w:w="6532" w:type="dxa"/>
          </w:tcPr>
          <w:p w14:paraId="5A4A0EF3" w14:textId="77777777" w:rsidR="002C6574" w:rsidRDefault="00000000">
            <w:pPr>
              <w:pStyle w:val="TableParagraph"/>
              <w:spacing w:line="178" w:lineRule="exact"/>
              <w:ind w:left="413"/>
              <w:jc w:val="left"/>
              <w:rPr>
                <w:sz w:val="16"/>
              </w:rPr>
            </w:pPr>
            <w:r>
              <w:rPr>
                <w:sz w:val="16"/>
              </w:rPr>
              <w:t>Recebimento</w:t>
            </w:r>
            <w:r>
              <w:rPr>
                <w:spacing w:val="13"/>
                <w:sz w:val="16"/>
              </w:rPr>
              <w:t xml:space="preserve"> </w:t>
            </w:r>
            <w:r>
              <w:rPr>
                <w:sz w:val="16"/>
              </w:rPr>
              <w:t>Parcela</w:t>
            </w:r>
            <w:r>
              <w:rPr>
                <w:spacing w:val="12"/>
                <w:sz w:val="16"/>
              </w:rPr>
              <w:t xml:space="preserve"> </w:t>
            </w:r>
            <w:r>
              <w:rPr>
                <w:sz w:val="16"/>
              </w:rPr>
              <w:t>-</w:t>
            </w:r>
            <w:r>
              <w:rPr>
                <w:spacing w:val="14"/>
                <w:sz w:val="16"/>
              </w:rPr>
              <w:t xml:space="preserve"> </w:t>
            </w:r>
            <w:r>
              <w:rPr>
                <w:sz w:val="16"/>
              </w:rPr>
              <w:t>Superávit</w:t>
            </w:r>
            <w:r>
              <w:rPr>
                <w:spacing w:val="12"/>
                <w:sz w:val="16"/>
              </w:rPr>
              <w:t xml:space="preserve"> </w:t>
            </w:r>
            <w:r>
              <w:rPr>
                <w:sz w:val="16"/>
              </w:rPr>
              <w:t>Previdência</w:t>
            </w:r>
            <w:r>
              <w:rPr>
                <w:spacing w:val="12"/>
                <w:sz w:val="16"/>
              </w:rPr>
              <w:t xml:space="preserve"> </w:t>
            </w:r>
            <w:r>
              <w:rPr>
                <w:spacing w:val="-2"/>
                <w:sz w:val="16"/>
              </w:rPr>
              <w:t>Privada</w:t>
            </w:r>
          </w:p>
        </w:tc>
        <w:tc>
          <w:tcPr>
            <w:tcW w:w="1538" w:type="dxa"/>
          </w:tcPr>
          <w:p w14:paraId="662C6714" w14:textId="77777777" w:rsidR="002C6574" w:rsidRDefault="00000000">
            <w:pPr>
              <w:pStyle w:val="TableParagraph"/>
              <w:spacing w:line="178" w:lineRule="exact"/>
              <w:ind w:right="83"/>
              <w:rPr>
                <w:sz w:val="16"/>
              </w:rPr>
            </w:pPr>
            <w:r>
              <w:rPr>
                <w:spacing w:val="-2"/>
                <w:w w:val="105"/>
                <w:sz w:val="16"/>
              </w:rPr>
              <w:t>92.638</w:t>
            </w:r>
          </w:p>
        </w:tc>
        <w:tc>
          <w:tcPr>
            <w:tcW w:w="146" w:type="dxa"/>
          </w:tcPr>
          <w:p w14:paraId="507B4C32" w14:textId="77777777" w:rsidR="002C6574" w:rsidRDefault="002C6574">
            <w:pPr>
              <w:pStyle w:val="TableParagraph"/>
              <w:jc w:val="left"/>
              <w:rPr>
                <w:rFonts w:ascii="Times New Roman"/>
                <w:sz w:val="12"/>
              </w:rPr>
            </w:pPr>
          </w:p>
        </w:tc>
        <w:tc>
          <w:tcPr>
            <w:tcW w:w="1536" w:type="dxa"/>
          </w:tcPr>
          <w:p w14:paraId="25270384" w14:textId="77777777" w:rsidR="002C6574" w:rsidRDefault="00000000">
            <w:pPr>
              <w:pStyle w:val="TableParagraph"/>
              <w:spacing w:line="178" w:lineRule="exact"/>
              <w:ind w:right="82"/>
              <w:rPr>
                <w:sz w:val="16"/>
              </w:rPr>
            </w:pPr>
            <w:r>
              <w:rPr>
                <w:spacing w:val="-2"/>
                <w:w w:val="105"/>
                <w:sz w:val="16"/>
              </w:rPr>
              <w:t>14.999</w:t>
            </w:r>
          </w:p>
        </w:tc>
      </w:tr>
      <w:tr w:rsidR="002C6574" w14:paraId="0B55F37D" w14:textId="77777777">
        <w:trPr>
          <w:trHeight w:val="198"/>
        </w:trPr>
        <w:tc>
          <w:tcPr>
            <w:tcW w:w="6532" w:type="dxa"/>
          </w:tcPr>
          <w:p w14:paraId="003D7E08" w14:textId="77777777" w:rsidR="002C6574" w:rsidRDefault="00000000">
            <w:pPr>
              <w:pStyle w:val="TableParagraph"/>
              <w:spacing w:line="178" w:lineRule="exact"/>
              <w:ind w:left="413"/>
              <w:jc w:val="left"/>
              <w:rPr>
                <w:sz w:val="16"/>
              </w:rPr>
            </w:pPr>
            <w:r>
              <w:rPr>
                <w:sz w:val="16"/>
              </w:rPr>
              <w:t>Recebimento</w:t>
            </w:r>
            <w:r>
              <w:rPr>
                <w:spacing w:val="-7"/>
                <w:sz w:val="16"/>
              </w:rPr>
              <w:t xml:space="preserve"> </w:t>
            </w:r>
            <w:r>
              <w:rPr>
                <w:sz w:val="16"/>
              </w:rPr>
              <w:t>de</w:t>
            </w:r>
            <w:r>
              <w:rPr>
                <w:spacing w:val="-11"/>
                <w:sz w:val="16"/>
              </w:rPr>
              <w:t xml:space="preserve"> </w:t>
            </w:r>
            <w:r>
              <w:rPr>
                <w:sz w:val="16"/>
              </w:rPr>
              <w:t>Adiantamento</w:t>
            </w:r>
            <w:r>
              <w:rPr>
                <w:spacing w:val="-9"/>
                <w:sz w:val="16"/>
              </w:rPr>
              <w:t xml:space="preserve"> </w:t>
            </w:r>
            <w:r>
              <w:rPr>
                <w:sz w:val="16"/>
              </w:rPr>
              <w:t>p/</w:t>
            </w:r>
            <w:r>
              <w:rPr>
                <w:spacing w:val="-9"/>
                <w:sz w:val="16"/>
              </w:rPr>
              <w:t xml:space="preserve"> </w:t>
            </w:r>
            <w:r>
              <w:rPr>
                <w:sz w:val="16"/>
              </w:rPr>
              <w:t>Futuro</w:t>
            </w:r>
            <w:r>
              <w:rPr>
                <w:spacing w:val="-11"/>
                <w:sz w:val="16"/>
              </w:rPr>
              <w:t xml:space="preserve"> </w:t>
            </w:r>
            <w:r>
              <w:rPr>
                <w:sz w:val="16"/>
              </w:rPr>
              <w:t>Aumento</w:t>
            </w:r>
            <w:r>
              <w:rPr>
                <w:spacing w:val="-8"/>
                <w:sz w:val="16"/>
              </w:rPr>
              <w:t xml:space="preserve"> </w:t>
            </w:r>
            <w:r>
              <w:rPr>
                <w:sz w:val="16"/>
              </w:rPr>
              <w:t>de</w:t>
            </w:r>
            <w:r>
              <w:rPr>
                <w:spacing w:val="-9"/>
                <w:sz w:val="16"/>
              </w:rPr>
              <w:t xml:space="preserve"> </w:t>
            </w:r>
            <w:r>
              <w:rPr>
                <w:spacing w:val="-2"/>
                <w:sz w:val="16"/>
              </w:rPr>
              <w:t>Capital</w:t>
            </w:r>
          </w:p>
        </w:tc>
        <w:tc>
          <w:tcPr>
            <w:tcW w:w="1538" w:type="dxa"/>
          </w:tcPr>
          <w:p w14:paraId="5218A197" w14:textId="77777777" w:rsidR="002C6574" w:rsidRDefault="00000000">
            <w:pPr>
              <w:pStyle w:val="TableParagraph"/>
              <w:spacing w:line="178" w:lineRule="exact"/>
              <w:ind w:right="83"/>
              <w:rPr>
                <w:sz w:val="16"/>
              </w:rPr>
            </w:pPr>
            <w:r>
              <w:rPr>
                <w:spacing w:val="-4"/>
                <w:w w:val="110"/>
                <w:sz w:val="16"/>
              </w:rPr>
              <w:t>1.924</w:t>
            </w:r>
          </w:p>
        </w:tc>
        <w:tc>
          <w:tcPr>
            <w:tcW w:w="146" w:type="dxa"/>
          </w:tcPr>
          <w:p w14:paraId="15FC0FE7" w14:textId="77777777" w:rsidR="002C6574" w:rsidRDefault="002C6574">
            <w:pPr>
              <w:pStyle w:val="TableParagraph"/>
              <w:jc w:val="left"/>
              <w:rPr>
                <w:rFonts w:ascii="Times New Roman"/>
                <w:sz w:val="12"/>
              </w:rPr>
            </w:pPr>
          </w:p>
        </w:tc>
        <w:tc>
          <w:tcPr>
            <w:tcW w:w="1536" w:type="dxa"/>
          </w:tcPr>
          <w:p w14:paraId="01FABDF4" w14:textId="77777777" w:rsidR="002C6574" w:rsidRDefault="00000000">
            <w:pPr>
              <w:pStyle w:val="TableParagraph"/>
              <w:spacing w:line="178" w:lineRule="exact"/>
              <w:ind w:right="82"/>
              <w:rPr>
                <w:sz w:val="16"/>
              </w:rPr>
            </w:pPr>
            <w:r>
              <w:rPr>
                <w:spacing w:val="-2"/>
                <w:w w:val="105"/>
                <w:sz w:val="16"/>
              </w:rPr>
              <w:t>14.490</w:t>
            </w:r>
          </w:p>
        </w:tc>
      </w:tr>
      <w:tr w:rsidR="002C6574" w14:paraId="31695F3B" w14:textId="77777777">
        <w:trPr>
          <w:trHeight w:val="194"/>
        </w:trPr>
        <w:tc>
          <w:tcPr>
            <w:tcW w:w="6532" w:type="dxa"/>
          </w:tcPr>
          <w:p w14:paraId="7B6ABE94" w14:textId="77777777" w:rsidR="002C6574" w:rsidRDefault="00000000">
            <w:pPr>
              <w:pStyle w:val="TableParagraph"/>
              <w:spacing w:line="175" w:lineRule="exact"/>
              <w:ind w:left="413"/>
              <w:jc w:val="left"/>
              <w:rPr>
                <w:sz w:val="16"/>
              </w:rPr>
            </w:pPr>
            <w:r>
              <w:rPr>
                <w:sz w:val="16"/>
              </w:rPr>
              <w:t>Recebimento</w:t>
            </w:r>
            <w:r>
              <w:rPr>
                <w:spacing w:val="7"/>
                <w:sz w:val="16"/>
              </w:rPr>
              <w:t xml:space="preserve"> </w:t>
            </w:r>
            <w:r>
              <w:rPr>
                <w:sz w:val="16"/>
              </w:rPr>
              <w:t>de</w:t>
            </w:r>
            <w:r>
              <w:rPr>
                <w:spacing w:val="2"/>
                <w:sz w:val="16"/>
              </w:rPr>
              <w:t xml:space="preserve"> </w:t>
            </w:r>
            <w:r>
              <w:rPr>
                <w:sz w:val="16"/>
              </w:rPr>
              <w:t>Subvenções</w:t>
            </w:r>
            <w:r>
              <w:rPr>
                <w:spacing w:val="6"/>
                <w:sz w:val="16"/>
              </w:rPr>
              <w:t xml:space="preserve"> </w:t>
            </w:r>
            <w:r>
              <w:rPr>
                <w:sz w:val="16"/>
              </w:rPr>
              <w:t>Orçamentárias</w:t>
            </w:r>
            <w:r>
              <w:rPr>
                <w:spacing w:val="6"/>
                <w:sz w:val="16"/>
              </w:rPr>
              <w:t xml:space="preserve"> </w:t>
            </w:r>
            <w:r>
              <w:rPr>
                <w:sz w:val="16"/>
              </w:rPr>
              <w:t>-</w:t>
            </w:r>
            <w:r>
              <w:rPr>
                <w:spacing w:val="5"/>
                <w:sz w:val="16"/>
              </w:rPr>
              <w:t xml:space="preserve"> </w:t>
            </w:r>
            <w:r>
              <w:rPr>
                <w:sz w:val="16"/>
              </w:rPr>
              <w:t>Contrato</w:t>
            </w:r>
            <w:r>
              <w:rPr>
                <w:spacing w:val="3"/>
                <w:sz w:val="16"/>
              </w:rPr>
              <w:t xml:space="preserve"> </w:t>
            </w:r>
            <w:r>
              <w:rPr>
                <w:sz w:val="16"/>
              </w:rPr>
              <w:t>de</w:t>
            </w:r>
            <w:r>
              <w:rPr>
                <w:spacing w:val="3"/>
                <w:sz w:val="16"/>
              </w:rPr>
              <w:t xml:space="preserve"> </w:t>
            </w:r>
            <w:r>
              <w:rPr>
                <w:spacing w:val="-2"/>
                <w:sz w:val="16"/>
              </w:rPr>
              <w:t>Gestão</w:t>
            </w:r>
          </w:p>
        </w:tc>
        <w:tc>
          <w:tcPr>
            <w:tcW w:w="1538" w:type="dxa"/>
            <w:tcBorders>
              <w:bottom w:val="single" w:sz="4" w:space="0" w:color="000000"/>
            </w:tcBorders>
          </w:tcPr>
          <w:p w14:paraId="491E1F21" w14:textId="77777777" w:rsidR="002C6574" w:rsidRDefault="00000000">
            <w:pPr>
              <w:pStyle w:val="TableParagraph"/>
              <w:spacing w:line="175" w:lineRule="exact"/>
              <w:ind w:right="83"/>
              <w:rPr>
                <w:sz w:val="16"/>
              </w:rPr>
            </w:pPr>
            <w:r>
              <w:rPr>
                <w:spacing w:val="-2"/>
                <w:w w:val="105"/>
                <w:sz w:val="16"/>
              </w:rPr>
              <w:t>287.186</w:t>
            </w:r>
          </w:p>
        </w:tc>
        <w:tc>
          <w:tcPr>
            <w:tcW w:w="146" w:type="dxa"/>
          </w:tcPr>
          <w:p w14:paraId="239D0AC9" w14:textId="77777777" w:rsidR="002C6574" w:rsidRDefault="002C6574">
            <w:pPr>
              <w:pStyle w:val="TableParagraph"/>
              <w:jc w:val="left"/>
              <w:rPr>
                <w:rFonts w:ascii="Times New Roman"/>
                <w:sz w:val="12"/>
              </w:rPr>
            </w:pPr>
          </w:p>
        </w:tc>
        <w:tc>
          <w:tcPr>
            <w:tcW w:w="1536" w:type="dxa"/>
            <w:tcBorders>
              <w:bottom w:val="single" w:sz="4" w:space="0" w:color="000000"/>
            </w:tcBorders>
          </w:tcPr>
          <w:p w14:paraId="5AB373AB" w14:textId="77777777" w:rsidR="002C6574" w:rsidRDefault="00000000">
            <w:pPr>
              <w:pStyle w:val="TableParagraph"/>
              <w:spacing w:line="175" w:lineRule="exact"/>
              <w:ind w:right="118"/>
              <w:rPr>
                <w:sz w:val="16"/>
              </w:rPr>
            </w:pPr>
            <w:r>
              <w:rPr>
                <w:spacing w:val="-10"/>
                <w:w w:val="95"/>
                <w:sz w:val="16"/>
              </w:rPr>
              <w:t>-</w:t>
            </w:r>
          </w:p>
        </w:tc>
      </w:tr>
      <w:tr w:rsidR="002C6574" w14:paraId="461756F3" w14:textId="77777777">
        <w:trPr>
          <w:trHeight w:val="198"/>
        </w:trPr>
        <w:tc>
          <w:tcPr>
            <w:tcW w:w="6532" w:type="dxa"/>
          </w:tcPr>
          <w:p w14:paraId="32773ACB" w14:textId="77777777" w:rsidR="002C6574" w:rsidRDefault="00000000">
            <w:pPr>
              <w:pStyle w:val="TableParagraph"/>
              <w:spacing w:before="15" w:line="163" w:lineRule="exact"/>
              <w:ind w:left="50"/>
              <w:jc w:val="left"/>
              <w:rPr>
                <w:rFonts w:ascii="Arial" w:hAnsi="Arial"/>
                <w:b/>
                <w:sz w:val="16"/>
              </w:rPr>
            </w:pPr>
            <w:r>
              <w:rPr>
                <w:rFonts w:ascii="Arial" w:hAnsi="Arial"/>
                <w:b/>
                <w:sz w:val="16"/>
              </w:rPr>
              <w:t>Caixa</w:t>
            </w:r>
            <w:r>
              <w:rPr>
                <w:rFonts w:ascii="Arial" w:hAnsi="Arial"/>
                <w:b/>
                <w:spacing w:val="-4"/>
                <w:sz w:val="16"/>
              </w:rPr>
              <w:t xml:space="preserve"> </w:t>
            </w:r>
            <w:r>
              <w:rPr>
                <w:rFonts w:ascii="Arial" w:hAnsi="Arial"/>
                <w:b/>
                <w:sz w:val="16"/>
              </w:rPr>
              <w:t>Líquido</w:t>
            </w:r>
            <w:r>
              <w:rPr>
                <w:rFonts w:ascii="Arial" w:hAnsi="Arial"/>
                <w:b/>
                <w:spacing w:val="-6"/>
                <w:sz w:val="16"/>
              </w:rPr>
              <w:t xml:space="preserve"> </w:t>
            </w:r>
            <w:r>
              <w:rPr>
                <w:rFonts w:ascii="Arial" w:hAnsi="Arial"/>
                <w:b/>
                <w:sz w:val="16"/>
              </w:rPr>
              <w:t>Gerado/Consumido</w:t>
            </w:r>
            <w:r>
              <w:rPr>
                <w:rFonts w:ascii="Arial" w:hAnsi="Arial"/>
                <w:b/>
                <w:spacing w:val="-4"/>
                <w:sz w:val="16"/>
              </w:rPr>
              <w:t xml:space="preserve"> </w:t>
            </w:r>
            <w:r>
              <w:rPr>
                <w:rFonts w:ascii="Arial" w:hAnsi="Arial"/>
                <w:b/>
                <w:sz w:val="16"/>
              </w:rPr>
              <w:t>pelas</w:t>
            </w:r>
            <w:r>
              <w:rPr>
                <w:rFonts w:ascii="Arial" w:hAnsi="Arial"/>
                <w:b/>
                <w:spacing w:val="-3"/>
                <w:sz w:val="16"/>
              </w:rPr>
              <w:t xml:space="preserve"> </w:t>
            </w:r>
            <w:r>
              <w:rPr>
                <w:rFonts w:ascii="Arial" w:hAnsi="Arial"/>
                <w:b/>
                <w:sz w:val="16"/>
              </w:rPr>
              <w:t>Atividades</w:t>
            </w:r>
            <w:r>
              <w:rPr>
                <w:rFonts w:ascii="Arial" w:hAnsi="Arial"/>
                <w:b/>
                <w:spacing w:val="-6"/>
                <w:sz w:val="16"/>
              </w:rPr>
              <w:t xml:space="preserve"> </w:t>
            </w:r>
            <w:r>
              <w:rPr>
                <w:rFonts w:ascii="Arial" w:hAnsi="Arial"/>
                <w:b/>
                <w:sz w:val="16"/>
              </w:rPr>
              <w:t>de</w:t>
            </w:r>
            <w:r>
              <w:rPr>
                <w:rFonts w:ascii="Arial" w:hAnsi="Arial"/>
                <w:b/>
                <w:spacing w:val="-2"/>
                <w:sz w:val="16"/>
              </w:rPr>
              <w:t xml:space="preserve"> Financiamento</w:t>
            </w:r>
          </w:p>
        </w:tc>
        <w:tc>
          <w:tcPr>
            <w:tcW w:w="1538" w:type="dxa"/>
            <w:tcBorders>
              <w:top w:val="single" w:sz="4" w:space="0" w:color="000000"/>
              <w:bottom w:val="double" w:sz="6" w:space="0" w:color="000000"/>
            </w:tcBorders>
          </w:tcPr>
          <w:p w14:paraId="231747DA" w14:textId="77777777" w:rsidR="002C6574" w:rsidRDefault="00000000">
            <w:pPr>
              <w:pStyle w:val="TableParagraph"/>
              <w:spacing w:before="15" w:line="163" w:lineRule="exact"/>
              <w:ind w:right="83"/>
              <w:rPr>
                <w:rFonts w:ascii="Arial"/>
                <w:b/>
                <w:sz w:val="16"/>
              </w:rPr>
            </w:pPr>
            <w:r>
              <w:rPr>
                <w:rFonts w:ascii="Arial"/>
                <w:b/>
                <w:spacing w:val="-2"/>
                <w:sz w:val="16"/>
              </w:rPr>
              <w:t>206.609</w:t>
            </w:r>
          </w:p>
        </w:tc>
        <w:tc>
          <w:tcPr>
            <w:tcW w:w="146" w:type="dxa"/>
          </w:tcPr>
          <w:p w14:paraId="4F2C4252" w14:textId="77777777" w:rsidR="002C6574" w:rsidRDefault="002C6574">
            <w:pPr>
              <w:pStyle w:val="TableParagraph"/>
              <w:jc w:val="left"/>
              <w:rPr>
                <w:rFonts w:ascii="Times New Roman"/>
                <w:sz w:val="12"/>
              </w:rPr>
            </w:pPr>
          </w:p>
        </w:tc>
        <w:tc>
          <w:tcPr>
            <w:tcW w:w="1536" w:type="dxa"/>
            <w:tcBorders>
              <w:top w:val="single" w:sz="4" w:space="0" w:color="000000"/>
              <w:bottom w:val="double" w:sz="6" w:space="0" w:color="000000"/>
            </w:tcBorders>
          </w:tcPr>
          <w:p w14:paraId="6FF9329B" w14:textId="77777777" w:rsidR="002C6574" w:rsidRDefault="00000000">
            <w:pPr>
              <w:pStyle w:val="TableParagraph"/>
              <w:spacing w:before="15" w:line="163" w:lineRule="exact"/>
              <w:ind w:right="65"/>
              <w:rPr>
                <w:rFonts w:ascii="Arial"/>
                <w:b/>
                <w:sz w:val="16"/>
              </w:rPr>
            </w:pPr>
            <w:r>
              <w:rPr>
                <w:rFonts w:ascii="Arial"/>
                <w:b/>
                <w:spacing w:val="-2"/>
                <w:sz w:val="16"/>
              </w:rPr>
              <w:t>(35.189)</w:t>
            </w:r>
          </w:p>
        </w:tc>
      </w:tr>
      <w:tr w:rsidR="002C6574" w14:paraId="5FD296F4" w14:textId="77777777">
        <w:trPr>
          <w:trHeight w:val="198"/>
        </w:trPr>
        <w:tc>
          <w:tcPr>
            <w:tcW w:w="6532" w:type="dxa"/>
          </w:tcPr>
          <w:p w14:paraId="086F7ED3" w14:textId="77777777" w:rsidR="002C6574" w:rsidRDefault="002C6574">
            <w:pPr>
              <w:pStyle w:val="TableParagraph"/>
              <w:jc w:val="left"/>
              <w:rPr>
                <w:rFonts w:ascii="Times New Roman"/>
                <w:sz w:val="12"/>
              </w:rPr>
            </w:pPr>
          </w:p>
        </w:tc>
        <w:tc>
          <w:tcPr>
            <w:tcW w:w="1538" w:type="dxa"/>
            <w:tcBorders>
              <w:top w:val="double" w:sz="6" w:space="0" w:color="000000"/>
              <w:bottom w:val="single" w:sz="4" w:space="0" w:color="000000"/>
            </w:tcBorders>
          </w:tcPr>
          <w:p w14:paraId="38611043" w14:textId="77777777" w:rsidR="002C6574" w:rsidRDefault="002C6574">
            <w:pPr>
              <w:pStyle w:val="TableParagraph"/>
              <w:jc w:val="left"/>
              <w:rPr>
                <w:rFonts w:ascii="Times New Roman"/>
                <w:sz w:val="12"/>
              </w:rPr>
            </w:pPr>
          </w:p>
        </w:tc>
        <w:tc>
          <w:tcPr>
            <w:tcW w:w="146" w:type="dxa"/>
          </w:tcPr>
          <w:p w14:paraId="7EB9A93C" w14:textId="77777777" w:rsidR="002C6574" w:rsidRDefault="002C6574">
            <w:pPr>
              <w:pStyle w:val="TableParagraph"/>
              <w:jc w:val="left"/>
              <w:rPr>
                <w:rFonts w:ascii="Times New Roman"/>
                <w:sz w:val="12"/>
              </w:rPr>
            </w:pPr>
          </w:p>
        </w:tc>
        <w:tc>
          <w:tcPr>
            <w:tcW w:w="1536" w:type="dxa"/>
            <w:tcBorders>
              <w:top w:val="double" w:sz="6" w:space="0" w:color="000000"/>
              <w:bottom w:val="single" w:sz="4" w:space="0" w:color="000000"/>
            </w:tcBorders>
          </w:tcPr>
          <w:p w14:paraId="339E6D44" w14:textId="77777777" w:rsidR="002C6574" w:rsidRDefault="002C6574">
            <w:pPr>
              <w:pStyle w:val="TableParagraph"/>
              <w:jc w:val="left"/>
              <w:rPr>
                <w:rFonts w:ascii="Times New Roman"/>
                <w:sz w:val="12"/>
              </w:rPr>
            </w:pPr>
          </w:p>
        </w:tc>
      </w:tr>
      <w:tr w:rsidR="002C6574" w14:paraId="33D58868" w14:textId="77777777">
        <w:trPr>
          <w:trHeight w:val="198"/>
        </w:trPr>
        <w:tc>
          <w:tcPr>
            <w:tcW w:w="6532" w:type="dxa"/>
          </w:tcPr>
          <w:p w14:paraId="2CF5F2E5" w14:textId="77777777" w:rsidR="002C6574" w:rsidRDefault="00000000">
            <w:pPr>
              <w:pStyle w:val="TableParagraph"/>
              <w:spacing w:before="15" w:line="163" w:lineRule="exact"/>
              <w:ind w:left="50"/>
              <w:jc w:val="left"/>
              <w:rPr>
                <w:rFonts w:ascii="Arial" w:hAnsi="Arial"/>
                <w:b/>
                <w:sz w:val="16"/>
              </w:rPr>
            </w:pPr>
            <w:r>
              <w:rPr>
                <w:rFonts w:ascii="Arial" w:hAnsi="Arial"/>
                <w:b/>
                <w:sz w:val="16"/>
              </w:rPr>
              <w:t>Variação</w:t>
            </w:r>
            <w:r>
              <w:rPr>
                <w:rFonts w:ascii="Arial" w:hAnsi="Arial"/>
                <w:b/>
                <w:spacing w:val="-4"/>
                <w:sz w:val="16"/>
              </w:rPr>
              <w:t xml:space="preserve"> </w:t>
            </w:r>
            <w:r>
              <w:rPr>
                <w:rFonts w:ascii="Arial" w:hAnsi="Arial"/>
                <w:b/>
                <w:sz w:val="16"/>
              </w:rPr>
              <w:t>Líquida de</w:t>
            </w:r>
            <w:r>
              <w:rPr>
                <w:rFonts w:ascii="Arial" w:hAnsi="Arial"/>
                <w:b/>
                <w:spacing w:val="-5"/>
                <w:sz w:val="16"/>
              </w:rPr>
              <w:t xml:space="preserve"> </w:t>
            </w:r>
            <w:r>
              <w:rPr>
                <w:rFonts w:ascii="Arial" w:hAnsi="Arial"/>
                <w:b/>
                <w:sz w:val="16"/>
              </w:rPr>
              <w:t>Caixa e</w:t>
            </w:r>
            <w:r>
              <w:rPr>
                <w:rFonts w:ascii="Arial" w:hAnsi="Arial"/>
                <w:b/>
                <w:spacing w:val="-5"/>
                <w:sz w:val="16"/>
              </w:rPr>
              <w:t xml:space="preserve"> </w:t>
            </w:r>
            <w:r>
              <w:rPr>
                <w:rFonts w:ascii="Arial" w:hAnsi="Arial"/>
                <w:b/>
                <w:sz w:val="16"/>
              </w:rPr>
              <w:t>Equivalentes</w:t>
            </w:r>
            <w:r>
              <w:rPr>
                <w:rFonts w:ascii="Arial" w:hAnsi="Arial"/>
                <w:b/>
                <w:spacing w:val="-4"/>
                <w:sz w:val="16"/>
              </w:rPr>
              <w:t xml:space="preserve"> </w:t>
            </w:r>
            <w:r>
              <w:rPr>
                <w:rFonts w:ascii="Arial" w:hAnsi="Arial"/>
                <w:b/>
                <w:sz w:val="16"/>
              </w:rPr>
              <w:t xml:space="preserve">de </w:t>
            </w:r>
            <w:r>
              <w:rPr>
                <w:rFonts w:ascii="Arial" w:hAnsi="Arial"/>
                <w:b/>
                <w:spacing w:val="-4"/>
                <w:sz w:val="16"/>
              </w:rPr>
              <w:t>Caixa</w:t>
            </w:r>
          </w:p>
        </w:tc>
        <w:tc>
          <w:tcPr>
            <w:tcW w:w="1538" w:type="dxa"/>
            <w:tcBorders>
              <w:top w:val="single" w:sz="4" w:space="0" w:color="000000"/>
              <w:bottom w:val="double" w:sz="6" w:space="0" w:color="000000"/>
            </w:tcBorders>
          </w:tcPr>
          <w:p w14:paraId="72741660" w14:textId="77777777" w:rsidR="002C6574" w:rsidRDefault="00000000">
            <w:pPr>
              <w:pStyle w:val="TableParagraph"/>
              <w:spacing w:before="15" w:line="163" w:lineRule="exact"/>
              <w:ind w:right="66"/>
              <w:rPr>
                <w:rFonts w:ascii="Arial"/>
                <w:b/>
                <w:sz w:val="16"/>
              </w:rPr>
            </w:pPr>
            <w:r>
              <w:rPr>
                <w:rFonts w:ascii="Arial"/>
                <w:b/>
                <w:spacing w:val="-2"/>
                <w:sz w:val="16"/>
              </w:rPr>
              <w:t>273.127</w:t>
            </w:r>
          </w:p>
        </w:tc>
        <w:tc>
          <w:tcPr>
            <w:tcW w:w="146" w:type="dxa"/>
          </w:tcPr>
          <w:p w14:paraId="6A8B633F" w14:textId="77777777" w:rsidR="002C6574" w:rsidRDefault="002C6574">
            <w:pPr>
              <w:pStyle w:val="TableParagraph"/>
              <w:jc w:val="left"/>
              <w:rPr>
                <w:rFonts w:ascii="Times New Roman"/>
                <w:sz w:val="12"/>
              </w:rPr>
            </w:pPr>
          </w:p>
        </w:tc>
        <w:tc>
          <w:tcPr>
            <w:tcW w:w="1536" w:type="dxa"/>
            <w:tcBorders>
              <w:top w:val="single" w:sz="4" w:space="0" w:color="000000"/>
              <w:bottom w:val="double" w:sz="6" w:space="0" w:color="000000"/>
            </w:tcBorders>
          </w:tcPr>
          <w:p w14:paraId="006B6A31" w14:textId="77777777" w:rsidR="002C6574" w:rsidRDefault="00000000">
            <w:pPr>
              <w:pStyle w:val="TableParagraph"/>
              <w:spacing w:before="15" w:line="163" w:lineRule="exact"/>
              <w:ind w:right="66"/>
              <w:rPr>
                <w:rFonts w:ascii="Arial"/>
                <w:b/>
                <w:sz w:val="16"/>
              </w:rPr>
            </w:pPr>
            <w:r>
              <w:rPr>
                <w:rFonts w:ascii="Arial"/>
                <w:b/>
                <w:spacing w:val="-2"/>
                <w:sz w:val="16"/>
              </w:rPr>
              <w:t>44.675</w:t>
            </w:r>
          </w:p>
        </w:tc>
      </w:tr>
      <w:tr w:rsidR="002C6574" w14:paraId="16F07C1E" w14:textId="77777777">
        <w:trPr>
          <w:trHeight w:val="398"/>
        </w:trPr>
        <w:tc>
          <w:tcPr>
            <w:tcW w:w="6532" w:type="dxa"/>
          </w:tcPr>
          <w:p w14:paraId="21DED6E0" w14:textId="77777777" w:rsidR="002C6574" w:rsidRDefault="002C6574">
            <w:pPr>
              <w:pStyle w:val="TableParagraph"/>
              <w:spacing w:before="27"/>
              <w:jc w:val="left"/>
              <w:rPr>
                <w:rFonts w:ascii="Arial"/>
                <w:b/>
                <w:sz w:val="16"/>
              </w:rPr>
            </w:pPr>
          </w:p>
          <w:p w14:paraId="7CE60D3A" w14:textId="77777777" w:rsidR="002C6574" w:rsidRDefault="00000000">
            <w:pPr>
              <w:pStyle w:val="TableParagraph"/>
              <w:spacing w:line="167" w:lineRule="exact"/>
              <w:ind w:left="50"/>
              <w:jc w:val="left"/>
              <w:rPr>
                <w:rFonts w:ascii="Arial" w:hAnsi="Arial"/>
                <w:b/>
                <w:sz w:val="16"/>
              </w:rPr>
            </w:pPr>
            <w:r>
              <w:rPr>
                <w:rFonts w:ascii="Arial" w:hAnsi="Arial"/>
                <w:b/>
                <w:sz w:val="16"/>
              </w:rPr>
              <w:t>Demonstração</w:t>
            </w:r>
            <w:r>
              <w:rPr>
                <w:rFonts w:ascii="Arial" w:hAnsi="Arial"/>
                <w:b/>
                <w:spacing w:val="-4"/>
                <w:sz w:val="16"/>
              </w:rPr>
              <w:t xml:space="preserve"> </w:t>
            </w:r>
            <w:r>
              <w:rPr>
                <w:rFonts w:ascii="Arial" w:hAnsi="Arial"/>
                <w:b/>
                <w:sz w:val="16"/>
              </w:rPr>
              <w:t>da</w:t>
            </w:r>
            <w:r>
              <w:rPr>
                <w:rFonts w:ascii="Arial" w:hAnsi="Arial"/>
                <w:b/>
                <w:spacing w:val="-4"/>
                <w:sz w:val="16"/>
              </w:rPr>
              <w:t xml:space="preserve"> </w:t>
            </w:r>
            <w:r>
              <w:rPr>
                <w:rFonts w:ascii="Arial" w:hAnsi="Arial"/>
                <w:b/>
                <w:sz w:val="16"/>
              </w:rPr>
              <w:t>Variação</w:t>
            </w:r>
            <w:r>
              <w:rPr>
                <w:rFonts w:ascii="Arial" w:hAnsi="Arial"/>
                <w:b/>
                <w:spacing w:val="-4"/>
                <w:sz w:val="16"/>
              </w:rPr>
              <w:t xml:space="preserve"> </w:t>
            </w:r>
            <w:r>
              <w:rPr>
                <w:rFonts w:ascii="Arial" w:hAnsi="Arial"/>
                <w:b/>
                <w:sz w:val="16"/>
              </w:rPr>
              <w:t>de</w:t>
            </w:r>
            <w:r>
              <w:rPr>
                <w:rFonts w:ascii="Arial" w:hAnsi="Arial"/>
                <w:b/>
                <w:spacing w:val="-2"/>
                <w:sz w:val="16"/>
              </w:rPr>
              <w:t xml:space="preserve"> </w:t>
            </w:r>
            <w:r>
              <w:rPr>
                <w:rFonts w:ascii="Arial" w:hAnsi="Arial"/>
                <w:b/>
                <w:sz w:val="16"/>
              </w:rPr>
              <w:t>Caixa</w:t>
            </w:r>
            <w:r>
              <w:rPr>
                <w:rFonts w:ascii="Arial" w:hAnsi="Arial"/>
                <w:b/>
                <w:spacing w:val="-1"/>
                <w:sz w:val="16"/>
              </w:rPr>
              <w:t xml:space="preserve"> </w:t>
            </w:r>
            <w:r>
              <w:rPr>
                <w:rFonts w:ascii="Arial" w:hAnsi="Arial"/>
                <w:b/>
                <w:sz w:val="16"/>
              </w:rPr>
              <w:t>e</w:t>
            </w:r>
            <w:r>
              <w:rPr>
                <w:rFonts w:ascii="Arial" w:hAnsi="Arial"/>
                <w:b/>
                <w:spacing w:val="-5"/>
                <w:sz w:val="16"/>
              </w:rPr>
              <w:t xml:space="preserve"> </w:t>
            </w:r>
            <w:r>
              <w:rPr>
                <w:rFonts w:ascii="Arial" w:hAnsi="Arial"/>
                <w:b/>
                <w:sz w:val="16"/>
              </w:rPr>
              <w:t>Equivalentes</w:t>
            </w:r>
            <w:r>
              <w:rPr>
                <w:rFonts w:ascii="Arial" w:hAnsi="Arial"/>
                <w:b/>
                <w:spacing w:val="-5"/>
                <w:sz w:val="16"/>
              </w:rPr>
              <w:t xml:space="preserve"> </w:t>
            </w:r>
            <w:r>
              <w:rPr>
                <w:rFonts w:ascii="Arial" w:hAnsi="Arial"/>
                <w:b/>
                <w:sz w:val="16"/>
              </w:rPr>
              <w:t xml:space="preserve">de </w:t>
            </w:r>
            <w:r>
              <w:rPr>
                <w:rFonts w:ascii="Arial" w:hAnsi="Arial"/>
                <w:b/>
                <w:spacing w:val="-4"/>
                <w:sz w:val="16"/>
              </w:rPr>
              <w:t>Caixa</w:t>
            </w:r>
          </w:p>
        </w:tc>
        <w:tc>
          <w:tcPr>
            <w:tcW w:w="1538" w:type="dxa"/>
            <w:tcBorders>
              <w:top w:val="double" w:sz="6" w:space="0" w:color="000000"/>
            </w:tcBorders>
          </w:tcPr>
          <w:p w14:paraId="209654F5" w14:textId="77777777" w:rsidR="002C6574" w:rsidRDefault="002C6574">
            <w:pPr>
              <w:pStyle w:val="TableParagraph"/>
              <w:jc w:val="left"/>
              <w:rPr>
                <w:rFonts w:ascii="Times New Roman"/>
                <w:sz w:val="16"/>
              </w:rPr>
            </w:pPr>
          </w:p>
        </w:tc>
        <w:tc>
          <w:tcPr>
            <w:tcW w:w="146" w:type="dxa"/>
          </w:tcPr>
          <w:p w14:paraId="42460602" w14:textId="77777777" w:rsidR="002C6574" w:rsidRDefault="002C6574">
            <w:pPr>
              <w:pStyle w:val="TableParagraph"/>
              <w:jc w:val="left"/>
              <w:rPr>
                <w:rFonts w:ascii="Times New Roman"/>
                <w:sz w:val="16"/>
              </w:rPr>
            </w:pPr>
          </w:p>
        </w:tc>
        <w:tc>
          <w:tcPr>
            <w:tcW w:w="1536" w:type="dxa"/>
            <w:tcBorders>
              <w:top w:val="double" w:sz="6" w:space="0" w:color="000000"/>
            </w:tcBorders>
          </w:tcPr>
          <w:p w14:paraId="13614DC0" w14:textId="77777777" w:rsidR="002C6574" w:rsidRDefault="002C6574">
            <w:pPr>
              <w:pStyle w:val="TableParagraph"/>
              <w:jc w:val="left"/>
              <w:rPr>
                <w:rFonts w:ascii="Times New Roman"/>
                <w:sz w:val="16"/>
              </w:rPr>
            </w:pPr>
          </w:p>
        </w:tc>
      </w:tr>
      <w:tr w:rsidR="002C6574" w14:paraId="5FFECC59" w14:textId="77777777">
        <w:trPr>
          <w:trHeight w:val="199"/>
        </w:trPr>
        <w:tc>
          <w:tcPr>
            <w:tcW w:w="6532" w:type="dxa"/>
          </w:tcPr>
          <w:p w14:paraId="22D65BAC" w14:textId="77777777" w:rsidR="002C6574" w:rsidRDefault="00000000">
            <w:pPr>
              <w:pStyle w:val="TableParagraph"/>
              <w:spacing w:line="179" w:lineRule="exact"/>
              <w:ind w:left="413"/>
              <w:jc w:val="left"/>
              <w:rPr>
                <w:sz w:val="16"/>
              </w:rPr>
            </w:pPr>
            <w:r>
              <w:rPr>
                <w:w w:val="105"/>
                <w:sz w:val="16"/>
              </w:rPr>
              <w:t>Caixa</w:t>
            </w:r>
            <w:r>
              <w:rPr>
                <w:spacing w:val="-7"/>
                <w:w w:val="105"/>
                <w:sz w:val="16"/>
              </w:rPr>
              <w:t xml:space="preserve"> </w:t>
            </w:r>
            <w:r>
              <w:rPr>
                <w:w w:val="105"/>
                <w:sz w:val="16"/>
              </w:rPr>
              <w:t>e</w:t>
            </w:r>
            <w:r>
              <w:rPr>
                <w:spacing w:val="-6"/>
                <w:w w:val="105"/>
                <w:sz w:val="16"/>
              </w:rPr>
              <w:t xml:space="preserve"> </w:t>
            </w:r>
            <w:r>
              <w:rPr>
                <w:w w:val="105"/>
                <w:sz w:val="16"/>
              </w:rPr>
              <w:t>Equivalentes</w:t>
            </w:r>
            <w:r>
              <w:rPr>
                <w:spacing w:val="-6"/>
                <w:w w:val="105"/>
                <w:sz w:val="16"/>
              </w:rPr>
              <w:t xml:space="preserve"> </w:t>
            </w:r>
            <w:r>
              <w:rPr>
                <w:w w:val="105"/>
                <w:sz w:val="16"/>
              </w:rPr>
              <w:t>de</w:t>
            </w:r>
            <w:r>
              <w:rPr>
                <w:spacing w:val="-7"/>
                <w:w w:val="105"/>
                <w:sz w:val="16"/>
              </w:rPr>
              <w:t xml:space="preserve"> </w:t>
            </w:r>
            <w:r>
              <w:rPr>
                <w:w w:val="105"/>
                <w:sz w:val="16"/>
              </w:rPr>
              <w:t>Caixa</w:t>
            </w:r>
            <w:r>
              <w:rPr>
                <w:spacing w:val="-5"/>
                <w:w w:val="105"/>
                <w:sz w:val="16"/>
              </w:rPr>
              <w:t xml:space="preserve"> </w:t>
            </w:r>
            <w:r>
              <w:rPr>
                <w:w w:val="105"/>
                <w:sz w:val="16"/>
              </w:rPr>
              <w:t>no</w:t>
            </w:r>
            <w:r>
              <w:rPr>
                <w:spacing w:val="-8"/>
                <w:w w:val="105"/>
                <w:sz w:val="16"/>
              </w:rPr>
              <w:t xml:space="preserve"> </w:t>
            </w:r>
            <w:r>
              <w:rPr>
                <w:w w:val="105"/>
                <w:sz w:val="16"/>
              </w:rPr>
              <w:t>Final</w:t>
            </w:r>
            <w:r>
              <w:rPr>
                <w:spacing w:val="-5"/>
                <w:w w:val="105"/>
                <w:sz w:val="16"/>
              </w:rPr>
              <w:t xml:space="preserve"> </w:t>
            </w:r>
            <w:r>
              <w:rPr>
                <w:w w:val="105"/>
                <w:sz w:val="16"/>
              </w:rPr>
              <w:t>do</w:t>
            </w:r>
            <w:r>
              <w:rPr>
                <w:spacing w:val="-8"/>
                <w:w w:val="105"/>
                <w:sz w:val="16"/>
              </w:rPr>
              <w:t xml:space="preserve"> </w:t>
            </w:r>
            <w:r>
              <w:rPr>
                <w:spacing w:val="-2"/>
                <w:w w:val="105"/>
                <w:sz w:val="16"/>
              </w:rPr>
              <w:t>Exercício</w:t>
            </w:r>
          </w:p>
        </w:tc>
        <w:tc>
          <w:tcPr>
            <w:tcW w:w="1538" w:type="dxa"/>
          </w:tcPr>
          <w:p w14:paraId="1487A7FC" w14:textId="77777777" w:rsidR="002C6574" w:rsidRDefault="00000000">
            <w:pPr>
              <w:pStyle w:val="TableParagraph"/>
              <w:spacing w:line="179" w:lineRule="exact"/>
              <w:ind w:right="66"/>
              <w:rPr>
                <w:sz w:val="16"/>
              </w:rPr>
            </w:pPr>
            <w:r>
              <w:rPr>
                <w:spacing w:val="-2"/>
                <w:w w:val="105"/>
                <w:sz w:val="16"/>
              </w:rPr>
              <w:t>698.514</w:t>
            </w:r>
          </w:p>
        </w:tc>
        <w:tc>
          <w:tcPr>
            <w:tcW w:w="146" w:type="dxa"/>
          </w:tcPr>
          <w:p w14:paraId="33442180" w14:textId="77777777" w:rsidR="002C6574" w:rsidRDefault="002C6574">
            <w:pPr>
              <w:pStyle w:val="TableParagraph"/>
              <w:jc w:val="left"/>
              <w:rPr>
                <w:rFonts w:ascii="Times New Roman"/>
                <w:sz w:val="12"/>
              </w:rPr>
            </w:pPr>
          </w:p>
        </w:tc>
        <w:tc>
          <w:tcPr>
            <w:tcW w:w="1536" w:type="dxa"/>
          </w:tcPr>
          <w:p w14:paraId="57C5F2C1" w14:textId="77777777" w:rsidR="002C6574" w:rsidRDefault="00000000">
            <w:pPr>
              <w:pStyle w:val="TableParagraph"/>
              <w:spacing w:line="179" w:lineRule="exact"/>
              <w:ind w:right="66"/>
              <w:rPr>
                <w:sz w:val="16"/>
              </w:rPr>
            </w:pPr>
            <w:r>
              <w:rPr>
                <w:spacing w:val="-2"/>
                <w:w w:val="105"/>
                <w:sz w:val="16"/>
              </w:rPr>
              <w:t>425.387</w:t>
            </w:r>
          </w:p>
        </w:tc>
      </w:tr>
      <w:tr w:rsidR="002C6574" w14:paraId="00991771" w14:textId="77777777">
        <w:trPr>
          <w:trHeight w:val="193"/>
        </w:trPr>
        <w:tc>
          <w:tcPr>
            <w:tcW w:w="6532" w:type="dxa"/>
          </w:tcPr>
          <w:p w14:paraId="4CF2644C" w14:textId="77777777" w:rsidR="002C6574" w:rsidRDefault="00000000">
            <w:pPr>
              <w:pStyle w:val="TableParagraph"/>
              <w:spacing w:line="174" w:lineRule="exact"/>
              <w:ind w:left="413"/>
              <w:jc w:val="left"/>
              <w:rPr>
                <w:sz w:val="16"/>
              </w:rPr>
            </w:pPr>
            <w:r>
              <w:rPr>
                <w:w w:val="105"/>
                <w:sz w:val="16"/>
              </w:rPr>
              <w:t>Caixa</w:t>
            </w:r>
            <w:r>
              <w:rPr>
                <w:spacing w:val="-9"/>
                <w:w w:val="105"/>
                <w:sz w:val="16"/>
              </w:rPr>
              <w:t xml:space="preserve"> </w:t>
            </w:r>
            <w:r>
              <w:rPr>
                <w:w w:val="105"/>
                <w:sz w:val="16"/>
              </w:rPr>
              <w:t>e</w:t>
            </w:r>
            <w:r>
              <w:rPr>
                <w:spacing w:val="-8"/>
                <w:w w:val="105"/>
                <w:sz w:val="16"/>
              </w:rPr>
              <w:t xml:space="preserve"> </w:t>
            </w:r>
            <w:r>
              <w:rPr>
                <w:w w:val="105"/>
                <w:sz w:val="16"/>
              </w:rPr>
              <w:t>Equivalentes</w:t>
            </w:r>
            <w:r>
              <w:rPr>
                <w:spacing w:val="-8"/>
                <w:w w:val="105"/>
                <w:sz w:val="16"/>
              </w:rPr>
              <w:t xml:space="preserve"> </w:t>
            </w:r>
            <w:r>
              <w:rPr>
                <w:w w:val="105"/>
                <w:sz w:val="16"/>
              </w:rPr>
              <w:t>de</w:t>
            </w:r>
            <w:r>
              <w:rPr>
                <w:spacing w:val="-9"/>
                <w:w w:val="105"/>
                <w:sz w:val="16"/>
              </w:rPr>
              <w:t xml:space="preserve"> </w:t>
            </w:r>
            <w:r>
              <w:rPr>
                <w:w w:val="105"/>
                <w:sz w:val="16"/>
              </w:rPr>
              <w:t>Caixa</w:t>
            </w:r>
            <w:r>
              <w:rPr>
                <w:spacing w:val="-8"/>
                <w:w w:val="105"/>
                <w:sz w:val="16"/>
              </w:rPr>
              <w:t xml:space="preserve"> </w:t>
            </w:r>
            <w:r>
              <w:rPr>
                <w:w w:val="105"/>
                <w:sz w:val="16"/>
              </w:rPr>
              <w:t>no</w:t>
            </w:r>
            <w:r>
              <w:rPr>
                <w:spacing w:val="-10"/>
                <w:w w:val="105"/>
                <w:sz w:val="16"/>
              </w:rPr>
              <w:t xml:space="preserve"> </w:t>
            </w:r>
            <w:r>
              <w:rPr>
                <w:w w:val="105"/>
                <w:sz w:val="16"/>
              </w:rPr>
              <w:t>Início</w:t>
            </w:r>
            <w:r>
              <w:rPr>
                <w:spacing w:val="-10"/>
                <w:w w:val="105"/>
                <w:sz w:val="16"/>
              </w:rPr>
              <w:t xml:space="preserve"> </w:t>
            </w:r>
            <w:r>
              <w:rPr>
                <w:w w:val="105"/>
                <w:sz w:val="16"/>
              </w:rPr>
              <w:t>do</w:t>
            </w:r>
            <w:r>
              <w:rPr>
                <w:spacing w:val="-7"/>
                <w:w w:val="105"/>
                <w:sz w:val="16"/>
              </w:rPr>
              <w:t xml:space="preserve"> </w:t>
            </w:r>
            <w:r>
              <w:rPr>
                <w:spacing w:val="-2"/>
                <w:w w:val="105"/>
                <w:sz w:val="16"/>
              </w:rPr>
              <w:t>Exercício</w:t>
            </w:r>
          </w:p>
        </w:tc>
        <w:tc>
          <w:tcPr>
            <w:tcW w:w="1538" w:type="dxa"/>
            <w:tcBorders>
              <w:bottom w:val="single" w:sz="4" w:space="0" w:color="000000"/>
            </w:tcBorders>
          </w:tcPr>
          <w:p w14:paraId="09FE9C04" w14:textId="77777777" w:rsidR="002C6574" w:rsidRDefault="00000000">
            <w:pPr>
              <w:pStyle w:val="TableParagraph"/>
              <w:spacing w:line="174" w:lineRule="exact"/>
              <w:ind w:right="66"/>
              <w:rPr>
                <w:sz w:val="16"/>
              </w:rPr>
            </w:pPr>
            <w:r>
              <w:rPr>
                <w:spacing w:val="-2"/>
                <w:w w:val="105"/>
                <w:sz w:val="16"/>
              </w:rPr>
              <w:t>425.387</w:t>
            </w:r>
          </w:p>
        </w:tc>
        <w:tc>
          <w:tcPr>
            <w:tcW w:w="146" w:type="dxa"/>
          </w:tcPr>
          <w:p w14:paraId="07B40838" w14:textId="77777777" w:rsidR="002C6574" w:rsidRDefault="002C6574">
            <w:pPr>
              <w:pStyle w:val="TableParagraph"/>
              <w:jc w:val="left"/>
              <w:rPr>
                <w:rFonts w:ascii="Times New Roman"/>
                <w:sz w:val="12"/>
              </w:rPr>
            </w:pPr>
          </w:p>
        </w:tc>
        <w:tc>
          <w:tcPr>
            <w:tcW w:w="1536" w:type="dxa"/>
            <w:tcBorders>
              <w:bottom w:val="single" w:sz="4" w:space="0" w:color="000000"/>
            </w:tcBorders>
          </w:tcPr>
          <w:p w14:paraId="20ABF9C1" w14:textId="77777777" w:rsidR="002C6574" w:rsidRDefault="00000000">
            <w:pPr>
              <w:pStyle w:val="TableParagraph"/>
              <w:spacing w:line="174" w:lineRule="exact"/>
              <w:ind w:right="66"/>
              <w:rPr>
                <w:sz w:val="16"/>
              </w:rPr>
            </w:pPr>
            <w:r>
              <w:rPr>
                <w:spacing w:val="-2"/>
                <w:w w:val="105"/>
                <w:sz w:val="16"/>
              </w:rPr>
              <w:t>380.712</w:t>
            </w:r>
          </w:p>
        </w:tc>
      </w:tr>
      <w:tr w:rsidR="002C6574" w14:paraId="0A3B63F6" w14:textId="77777777">
        <w:trPr>
          <w:trHeight w:val="198"/>
        </w:trPr>
        <w:tc>
          <w:tcPr>
            <w:tcW w:w="6532" w:type="dxa"/>
          </w:tcPr>
          <w:p w14:paraId="0C24F19E" w14:textId="77777777" w:rsidR="002C6574" w:rsidRDefault="00000000">
            <w:pPr>
              <w:pStyle w:val="TableParagraph"/>
              <w:spacing w:before="15" w:line="163" w:lineRule="exact"/>
              <w:ind w:left="50"/>
              <w:jc w:val="left"/>
              <w:rPr>
                <w:rFonts w:ascii="Arial" w:hAnsi="Arial"/>
                <w:b/>
                <w:sz w:val="16"/>
              </w:rPr>
            </w:pPr>
            <w:r>
              <w:rPr>
                <w:rFonts w:ascii="Arial" w:hAnsi="Arial"/>
                <w:b/>
                <w:sz w:val="16"/>
              </w:rPr>
              <w:t>Variação</w:t>
            </w:r>
            <w:r>
              <w:rPr>
                <w:rFonts w:ascii="Arial" w:hAnsi="Arial"/>
                <w:b/>
                <w:spacing w:val="-6"/>
                <w:sz w:val="16"/>
              </w:rPr>
              <w:t xml:space="preserve"> </w:t>
            </w:r>
            <w:r>
              <w:rPr>
                <w:rFonts w:ascii="Arial" w:hAnsi="Arial"/>
                <w:b/>
                <w:sz w:val="16"/>
              </w:rPr>
              <w:t>de</w:t>
            </w:r>
            <w:r>
              <w:rPr>
                <w:rFonts w:ascii="Arial" w:hAnsi="Arial"/>
                <w:b/>
                <w:spacing w:val="-1"/>
                <w:sz w:val="16"/>
              </w:rPr>
              <w:t xml:space="preserve"> </w:t>
            </w:r>
            <w:r>
              <w:rPr>
                <w:rFonts w:ascii="Arial" w:hAnsi="Arial"/>
                <w:b/>
                <w:sz w:val="16"/>
              </w:rPr>
              <w:t>Caixa</w:t>
            </w:r>
            <w:r>
              <w:rPr>
                <w:rFonts w:ascii="Arial" w:hAnsi="Arial"/>
                <w:b/>
                <w:spacing w:val="-4"/>
                <w:sz w:val="16"/>
              </w:rPr>
              <w:t xml:space="preserve"> </w:t>
            </w:r>
            <w:r>
              <w:rPr>
                <w:rFonts w:ascii="Arial" w:hAnsi="Arial"/>
                <w:b/>
                <w:sz w:val="16"/>
              </w:rPr>
              <w:t>e</w:t>
            </w:r>
            <w:r>
              <w:rPr>
                <w:rFonts w:ascii="Arial" w:hAnsi="Arial"/>
                <w:b/>
                <w:spacing w:val="-3"/>
                <w:sz w:val="16"/>
              </w:rPr>
              <w:t xml:space="preserve"> </w:t>
            </w:r>
            <w:r>
              <w:rPr>
                <w:rFonts w:ascii="Arial" w:hAnsi="Arial"/>
                <w:b/>
                <w:sz w:val="16"/>
              </w:rPr>
              <w:t>Equivalentes</w:t>
            </w:r>
            <w:r>
              <w:rPr>
                <w:rFonts w:ascii="Arial" w:hAnsi="Arial"/>
                <w:b/>
                <w:spacing w:val="-3"/>
                <w:sz w:val="16"/>
              </w:rPr>
              <w:t xml:space="preserve"> </w:t>
            </w:r>
            <w:r>
              <w:rPr>
                <w:rFonts w:ascii="Arial" w:hAnsi="Arial"/>
                <w:b/>
                <w:sz w:val="16"/>
              </w:rPr>
              <w:t>de</w:t>
            </w:r>
            <w:r>
              <w:rPr>
                <w:rFonts w:ascii="Arial" w:hAnsi="Arial"/>
                <w:b/>
                <w:spacing w:val="-2"/>
                <w:sz w:val="16"/>
              </w:rPr>
              <w:t xml:space="preserve"> Caixa</w:t>
            </w:r>
          </w:p>
        </w:tc>
        <w:tc>
          <w:tcPr>
            <w:tcW w:w="1538" w:type="dxa"/>
            <w:tcBorders>
              <w:top w:val="single" w:sz="4" w:space="0" w:color="000000"/>
              <w:bottom w:val="double" w:sz="6" w:space="0" w:color="000000"/>
            </w:tcBorders>
          </w:tcPr>
          <w:p w14:paraId="0055EA48" w14:textId="77777777" w:rsidR="002C6574" w:rsidRDefault="00000000">
            <w:pPr>
              <w:pStyle w:val="TableParagraph"/>
              <w:spacing w:before="15" w:line="163" w:lineRule="exact"/>
              <w:ind w:right="83"/>
              <w:rPr>
                <w:rFonts w:ascii="Arial"/>
                <w:b/>
                <w:sz w:val="16"/>
              </w:rPr>
            </w:pPr>
            <w:r>
              <w:rPr>
                <w:rFonts w:ascii="Arial"/>
                <w:b/>
                <w:spacing w:val="-2"/>
                <w:sz w:val="16"/>
              </w:rPr>
              <w:t>273.127</w:t>
            </w:r>
          </w:p>
        </w:tc>
        <w:tc>
          <w:tcPr>
            <w:tcW w:w="146" w:type="dxa"/>
          </w:tcPr>
          <w:p w14:paraId="7B098DC1" w14:textId="77777777" w:rsidR="002C6574" w:rsidRDefault="002C6574">
            <w:pPr>
              <w:pStyle w:val="TableParagraph"/>
              <w:jc w:val="left"/>
              <w:rPr>
                <w:rFonts w:ascii="Times New Roman"/>
                <w:sz w:val="12"/>
              </w:rPr>
            </w:pPr>
          </w:p>
        </w:tc>
        <w:tc>
          <w:tcPr>
            <w:tcW w:w="1536" w:type="dxa"/>
            <w:tcBorders>
              <w:top w:val="single" w:sz="4" w:space="0" w:color="000000"/>
              <w:bottom w:val="double" w:sz="6" w:space="0" w:color="000000"/>
            </w:tcBorders>
          </w:tcPr>
          <w:p w14:paraId="38901326" w14:textId="77777777" w:rsidR="002C6574" w:rsidRDefault="00000000">
            <w:pPr>
              <w:pStyle w:val="TableParagraph"/>
              <w:spacing w:before="15" w:line="163" w:lineRule="exact"/>
              <w:ind w:right="82"/>
              <w:rPr>
                <w:rFonts w:ascii="Arial"/>
                <w:b/>
                <w:sz w:val="16"/>
              </w:rPr>
            </w:pPr>
            <w:r>
              <w:rPr>
                <w:rFonts w:ascii="Arial"/>
                <w:b/>
                <w:spacing w:val="-2"/>
                <w:sz w:val="16"/>
              </w:rPr>
              <w:t>44.675</w:t>
            </w:r>
          </w:p>
        </w:tc>
      </w:tr>
      <w:tr w:rsidR="002C6574" w14:paraId="489D2C3C" w14:textId="77777777">
        <w:trPr>
          <w:trHeight w:val="397"/>
        </w:trPr>
        <w:tc>
          <w:tcPr>
            <w:tcW w:w="6532" w:type="dxa"/>
          </w:tcPr>
          <w:p w14:paraId="23768EF7" w14:textId="77777777" w:rsidR="002C6574" w:rsidRDefault="002C6574">
            <w:pPr>
              <w:pStyle w:val="TableParagraph"/>
              <w:spacing w:before="29"/>
              <w:jc w:val="left"/>
              <w:rPr>
                <w:rFonts w:ascii="Arial"/>
                <w:b/>
                <w:sz w:val="16"/>
              </w:rPr>
            </w:pPr>
          </w:p>
          <w:p w14:paraId="16574EDC" w14:textId="77777777" w:rsidR="002C6574" w:rsidRDefault="00000000">
            <w:pPr>
              <w:pStyle w:val="TableParagraph"/>
              <w:spacing w:before="1" w:line="164" w:lineRule="exact"/>
              <w:ind w:left="50"/>
              <w:jc w:val="left"/>
              <w:rPr>
                <w:rFonts w:ascii="Arial" w:hAnsi="Arial"/>
                <w:b/>
                <w:sz w:val="16"/>
              </w:rPr>
            </w:pPr>
            <w:r>
              <w:rPr>
                <w:rFonts w:ascii="Arial" w:hAnsi="Arial"/>
                <w:b/>
                <w:sz w:val="16"/>
              </w:rPr>
              <w:t>As</w:t>
            </w:r>
            <w:r>
              <w:rPr>
                <w:rFonts w:ascii="Arial" w:hAnsi="Arial"/>
                <w:b/>
                <w:spacing w:val="-6"/>
                <w:sz w:val="16"/>
              </w:rPr>
              <w:t xml:space="preserve"> </w:t>
            </w:r>
            <w:r>
              <w:rPr>
                <w:rFonts w:ascii="Arial" w:hAnsi="Arial"/>
                <w:b/>
                <w:sz w:val="16"/>
              </w:rPr>
              <w:t>notas</w:t>
            </w:r>
            <w:r>
              <w:rPr>
                <w:rFonts w:ascii="Arial" w:hAnsi="Arial"/>
                <w:b/>
                <w:spacing w:val="-1"/>
                <w:sz w:val="16"/>
              </w:rPr>
              <w:t xml:space="preserve"> </w:t>
            </w:r>
            <w:r>
              <w:rPr>
                <w:rFonts w:ascii="Arial" w:hAnsi="Arial"/>
                <w:b/>
                <w:sz w:val="16"/>
              </w:rPr>
              <w:t>explicativas</w:t>
            </w:r>
            <w:r>
              <w:rPr>
                <w:rFonts w:ascii="Arial" w:hAnsi="Arial"/>
                <w:b/>
                <w:spacing w:val="-2"/>
                <w:sz w:val="16"/>
              </w:rPr>
              <w:t xml:space="preserve"> </w:t>
            </w:r>
            <w:r>
              <w:rPr>
                <w:rFonts w:ascii="Arial" w:hAnsi="Arial"/>
                <w:b/>
                <w:sz w:val="16"/>
              </w:rPr>
              <w:t>são</w:t>
            </w:r>
            <w:r>
              <w:rPr>
                <w:rFonts w:ascii="Arial" w:hAnsi="Arial"/>
                <w:b/>
                <w:spacing w:val="-4"/>
                <w:sz w:val="16"/>
              </w:rPr>
              <w:t xml:space="preserve"> </w:t>
            </w:r>
            <w:r>
              <w:rPr>
                <w:rFonts w:ascii="Arial" w:hAnsi="Arial"/>
                <w:b/>
                <w:sz w:val="16"/>
              </w:rPr>
              <w:t>parte</w:t>
            </w:r>
            <w:r>
              <w:rPr>
                <w:rFonts w:ascii="Arial" w:hAnsi="Arial"/>
                <w:b/>
                <w:spacing w:val="-5"/>
                <w:sz w:val="16"/>
              </w:rPr>
              <w:t xml:space="preserve"> </w:t>
            </w:r>
            <w:r>
              <w:rPr>
                <w:rFonts w:ascii="Arial" w:hAnsi="Arial"/>
                <w:b/>
                <w:sz w:val="16"/>
              </w:rPr>
              <w:t>integrante</w:t>
            </w:r>
            <w:r>
              <w:rPr>
                <w:rFonts w:ascii="Arial" w:hAnsi="Arial"/>
                <w:b/>
                <w:spacing w:val="-4"/>
                <w:sz w:val="16"/>
              </w:rPr>
              <w:t xml:space="preserve"> </w:t>
            </w:r>
            <w:r>
              <w:rPr>
                <w:rFonts w:ascii="Arial" w:hAnsi="Arial"/>
                <w:b/>
                <w:sz w:val="16"/>
              </w:rPr>
              <w:t>das</w:t>
            </w:r>
            <w:r>
              <w:rPr>
                <w:rFonts w:ascii="Arial" w:hAnsi="Arial"/>
                <w:b/>
                <w:spacing w:val="-5"/>
                <w:sz w:val="16"/>
              </w:rPr>
              <w:t xml:space="preserve"> </w:t>
            </w:r>
            <w:r>
              <w:rPr>
                <w:rFonts w:ascii="Arial" w:hAnsi="Arial"/>
                <w:b/>
                <w:sz w:val="16"/>
              </w:rPr>
              <w:t>demonstrações</w:t>
            </w:r>
            <w:r>
              <w:rPr>
                <w:rFonts w:ascii="Arial" w:hAnsi="Arial"/>
                <w:b/>
                <w:spacing w:val="-2"/>
                <w:sz w:val="16"/>
              </w:rPr>
              <w:t xml:space="preserve"> contábeis</w:t>
            </w:r>
          </w:p>
        </w:tc>
        <w:tc>
          <w:tcPr>
            <w:tcW w:w="1538" w:type="dxa"/>
            <w:tcBorders>
              <w:top w:val="double" w:sz="6" w:space="0" w:color="000000"/>
            </w:tcBorders>
          </w:tcPr>
          <w:p w14:paraId="2E78F915" w14:textId="77777777" w:rsidR="002C6574" w:rsidRDefault="002C6574">
            <w:pPr>
              <w:pStyle w:val="TableParagraph"/>
              <w:jc w:val="left"/>
              <w:rPr>
                <w:rFonts w:ascii="Times New Roman"/>
                <w:sz w:val="16"/>
              </w:rPr>
            </w:pPr>
          </w:p>
        </w:tc>
        <w:tc>
          <w:tcPr>
            <w:tcW w:w="146" w:type="dxa"/>
          </w:tcPr>
          <w:p w14:paraId="71F86614" w14:textId="77777777" w:rsidR="002C6574" w:rsidRDefault="002C6574">
            <w:pPr>
              <w:pStyle w:val="TableParagraph"/>
              <w:jc w:val="left"/>
              <w:rPr>
                <w:rFonts w:ascii="Times New Roman"/>
                <w:sz w:val="16"/>
              </w:rPr>
            </w:pPr>
          </w:p>
        </w:tc>
        <w:tc>
          <w:tcPr>
            <w:tcW w:w="1536" w:type="dxa"/>
            <w:tcBorders>
              <w:top w:val="double" w:sz="6" w:space="0" w:color="000000"/>
            </w:tcBorders>
          </w:tcPr>
          <w:p w14:paraId="61710A18" w14:textId="77777777" w:rsidR="002C6574" w:rsidRDefault="002C6574">
            <w:pPr>
              <w:pStyle w:val="TableParagraph"/>
              <w:jc w:val="left"/>
              <w:rPr>
                <w:rFonts w:ascii="Times New Roman"/>
                <w:sz w:val="16"/>
              </w:rPr>
            </w:pPr>
          </w:p>
        </w:tc>
      </w:tr>
    </w:tbl>
    <w:p w14:paraId="50B6DAC1" w14:textId="77777777" w:rsidR="002C6574" w:rsidRDefault="002C6574">
      <w:pPr>
        <w:pStyle w:val="TableParagraph"/>
        <w:jc w:val="left"/>
        <w:rPr>
          <w:rFonts w:ascii="Times New Roman"/>
          <w:sz w:val="16"/>
        </w:rPr>
        <w:sectPr w:rsidR="002C6574">
          <w:headerReference w:type="default" r:id="rId56"/>
          <w:footerReference w:type="default" r:id="rId57"/>
          <w:pgSz w:w="11910" w:h="16840"/>
          <w:pgMar w:top="1060" w:right="141" w:bottom="1240" w:left="1133" w:header="0" w:footer="1045" w:gutter="0"/>
          <w:cols w:space="720"/>
        </w:sectPr>
      </w:pPr>
    </w:p>
    <w:p w14:paraId="11F2F99B" w14:textId="77777777" w:rsidR="002C6574" w:rsidRDefault="00000000">
      <w:pPr>
        <w:spacing w:before="80" w:line="249" w:lineRule="auto"/>
        <w:ind w:left="3815" w:right="3219" w:hanging="1296"/>
        <w:rPr>
          <w:rFonts w:ascii="Arial" w:hAnsi="Arial"/>
          <w:b/>
          <w:sz w:val="18"/>
        </w:rPr>
      </w:pPr>
      <w:r>
        <w:rPr>
          <w:rFonts w:ascii="Arial" w:hAnsi="Arial"/>
          <w:b/>
          <w:sz w:val="18"/>
        </w:rPr>
        <w:lastRenderedPageBreak/>
        <w:t>TELECOMUNICAÇÕES</w:t>
      </w:r>
      <w:r>
        <w:rPr>
          <w:rFonts w:ascii="Arial" w:hAnsi="Arial"/>
          <w:b/>
          <w:spacing w:val="-8"/>
          <w:sz w:val="18"/>
        </w:rPr>
        <w:t xml:space="preserve"> </w:t>
      </w:r>
      <w:r>
        <w:rPr>
          <w:rFonts w:ascii="Arial" w:hAnsi="Arial"/>
          <w:b/>
          <w:sz w:val="18"/>
        </w:rPr>
        <w:t>BRASILEIRAS</w:t>
      </w:r>
      <w:r>
        <w:rPr>
          <w:rFonts w:ascii="Arial" w:hAnsi="Arial"/>
          <w:b/>
          <w:spacing w:val="-10"/>
          <w:sz w:val="18"/>
        </w:rPr>
        <w:t xml:space="preserve"> </w:t>
      </w:r>
      <w:r>
        <w:rPr>
          <w:rFonts w:ascii="Arial" w:hAnsi="Arial"/>
          <w:b/>
          <w:sz w:val="18"/>
        </w:rPr>
        <w:t>S.A</w:t>
      </w:r>
      <w:r>
        <w:rPr>
          <w:rFonts w:ascii="Arial" w:hAnsi="Arial"/>
          <w:b/>
          <w:spacing w:val="-9"/>
          <w:sz w:val="18"/>
        </w:rPr>
        <w:t xml:space="preserve"> </w:t>
      </w:r>
      <w:r>
        <w:rPr>
          <w:rFonts w:ascii="Arial" w:hAnsi="Arial"/>
          <w:b/>
          <w:sz w:val="18"/>
        </w:rPr>
        <w:t>-</w:t>
      </w:r>
      <w:r>
        <w:rPr>
          <w:rFonts w:ascii="Arial" w:hAnsi="Arial"/>
          <w:b/>
          <w:spacing w:val="-8"/>
          <w:sz w:val="18"/>
        </w:rPr>
        <w:t xml:space="preserve"> </w:t>
      </w:r>
      <w:r>
        <w:rPr>
          <w:rFonts w:ascii="Arial" w:hAnsi="Arial"/>
          <w:b/>
          <w:sz w:val="18"/>
        </w:rPr>
        <w:t>"TELEBRAS" CNPJ 00.336.701/0001-04</w:t>
      </w:r>
    </w:p>
    <w:p w14:paraId="315E5A78" w14:textId="77777777" w:rsidR="002C6574" w:rsidRDefault="00000000">
      <w:pPr>
        <w:spacing w:line="249" w:lineRule="auto"/>
        <w:ind w:left="2699" w:right="3219" w:firstLine="686"/>
        <w:rPr>
          <w:rFonts w:ascii="Arial" w:hAnsi="Arial"/>
          <w:b/>
          <w:sz w:val="18"/>
        </w:rPr>
      </w:pPr>
      <w:r>
        <w:rPr>
          <w:rFonts w:ascii="Arial" w:hAnsi="Arial"/>
          <w:b/>
          <w:sz w:val="18"/>
        </w:rPr>
        <w:t>Demonstrações do Valor Adicionado Exercícios</w:t>
      </w:r>
      <w:r>
        <w:rPr>
          <w:rFonts w:ascii="Arial" w:hAnsi="Arial"/>
          <w:b/>
          <w:spacing w:val="-1"/>
          <w:sz w:val="18"/>
        </w:rPr>
        <w:t xml:space="preserve"> </w:t>
      </w:r>
      <w:r>
        <w:rPr>
          <w:rFonts w:ascii="Arial" w:hAnsi="Arial"/>
          <w:b/>
          <w:sz w:val="18"/>
        </w:rPr>
        <w:t>findos</w:t>
      </w:r>
      <w:r>
        <w:rPr>
          <w:rFonts w:ascii="Arial" w:hAnsi="Arial"/>
          <w:b/>
          <w:spacing w:val="-3"/>
          <w:sz w:val="18"/>
        </w:rPr>
        <w:t xml:space="preserve"> </w:t>
      </w:r>
      <w:r>
        <w:rPr>
          <w:rFonts w:ascii="Arial" w:hAnsi="Arial"/>
          <w:b/>
          <w:sz w:val="18"/>
        </w:rPr>
        <w:t>em</w:t>
      </w:r>
      <w:r>
        <w:rPr>
          <w:rFonts w:ascii="Arial" w:hAnsi="Arial"/>
          <w:b/>
          <w:spacing w:val="-3"/>
          <w:sz w:val="18"/>
        </w:rPr>
        <w:t xml:space="preserve"> </w:t>
      </w:r>
      <w:r>
        <w:rPr>
          <w:rFonts w:ascii="Arial" w:hAnsi="Arial"/>
          <w:b/>
          <w:sz w:val="18"/>
        </w:rPr>
        <w:t>31</w:t>
      </w:r>
      <w:r>
        <w:rPr>
          <w:rFonts w:ascii="Arial" w:hAnsi="Arial"/>
          <w:b/>
          <w:spacing w:val="-6"/>
          <w:sz w:val="18"/>
        </w:rPr>
        <w:t xml:space="preserve"> </w:t>
      </w:r>
      <w:r>
        <w:rPr>
          <w:rFonts w:ascii="Arial" w:hAnsi="Arial"/>
          <w:b/>
          <w:sz w:val="18"/>
        </w:rPr>
        <w:t>de</w:t>
      </w:r>
      <w:r>
        <w:rPr>
          <w:rFonts w:ascii="Arial" w:hAnsi="Arial"/>
          <w:b/>
          <w:spacing w:val="-5"/>
          <w:sz w:val="18"/>
        </w:rPr>
        <w:t xml:space="preserve"> </w:t>
      </w:r>
      <w:r>
        <w:rPr>
          <w:rFonts w:ascii="Arial" w:hAnsi="Arial"/>
          <w:b/>
          <w:sz w:val="18"/>
        </w:rPr>
        <w:t>dezembro</w:t>
      </w:r>
      <w:r>
        <w:rPr>
          <w:rFonts w:ascii="Arial" w:hAnsi="Arial"/>
          <w:b/>
          <w:spacing w:val="-2"/>
          <w:sz w:val="18"/>
        </w:rPr>
        <w:t xml:space="preserve"> </w:t>
      </w:r>
      <w:r>
        <w:rPr>
          <w:rFonts w:ascii="Arial" w:hAnsi="Arial"/>
          <w:b/>
          <w:sz w:val="18"/>
        </w:rPr>
        <w:t>de</w:t>
      </w:r>
      <w:r>
        <w:rPr>
          <w:rFonts w:ascii="Arial" w:hAnsi="Arial"/>
          <w:b/>
          <w:spacing w:val="-5"/>
          <w:sz w:val="18"/>
        </w:rPr>
        <w:t xml:space="preserve"> </w:t>
      </w:r>
      <w:r>
        <w:rPr>
          <w:rFonts w:ascii="Arial" w:hAnsi="Arial"/>
          <w:b/>
          <w:sz w:val="18"/>
        </w:rPr>
        <w:t>2025</w:t>
      </w:r>
      <w:r>
        <w:rPr>
          <w:rFonts w:ascii="Arial" w:hAnsi="Arial"/>
          <w:b/>
          <w:spacing w:val="-1"/>
          <w:sz w:val="18"/>
        </w:rPr>
        <w:t xml:space="preserve"> </w:t>
      </w:r>
      <w:r>
        <w:rPr>
          <w:rFonts w:ascii="Arial" w:hAnsi="Arial"/>
          <w:b/>
          <w:sz w:val="18"/>
        </w:rPr>
        <w:t>e</w:t>
      </w:r>
      <w:r>
        <w:rPr>
          <w:rFonts w:ascii="Arial" w:hAnsi="Arial"/>
          <w:b/>
          <w:spacing w:val="-5"/>
          <w:sz w:val="18"/>
        </w:rPr>
        <w:t xml:space="preserve"> </w:t>
      </w:r>
      <w:r>
        <w:rPr>
          <w:rFonts w:ascii="Arial" w:hAnsi="Arial"/>
          <w:b/>
          <w:sz w:val="18"/>
        </w:rPr>
        <w:t>2024</w:t>
      </w:r>
    </w:p>
    <w:p w14:paraId="0BC1790D" w14:textId="77777777" w:rsidR="002C6574" w:rsidRDefault="00000000">
      <w:pPr>
        <w:ind w:left="2325"/>
        <w:rPr>
          <w:rFonts w:ascii="Arial"/>
          <w:b/>
          <w:sz w:val="18"/>
        </w:rPr>
      </w:pPr>
      <w:r>
        <w:rPr>
          <w:rFonts w:ascii="Arial"/>
          <w:b/>
          <w:sz w:val="18"/>
        </w:rPr>
        <w:t>Em</w:t>
      </w:r>
      <w:r>
        <w:rPr>
          <w:rFonts w:ascii="Arial"/>
          <w:b/>
          <w:spacing w:val="-2"/>
          <w:sz w:val="18"/>
        </w:rPr>
        <w:t xml:space="preserve"> </w:t>
      </w:r>
      <w:r>
        <w:rPr>
          <w:rFonts w:ascii="Arial"/>
          <w:b/>
          <w:sz w:val="18"/>
        </w:rPr>
        <w:t>milhares</w:t>
      </w:r>
      <w:r>
        <w:rPr>
          <w:rFonts w:ascii="Arial"/>
          <w:b/>
          <w:spacing w:val="1"/>
          <w:sz w:val="18"/>
        </w:rPr>
        <w:t xml:space="preserve"> </w:t>
      </w:r>
      <w:r>
        <w:rPr>
          <w:rFonts w:ascii="Arial"/>
          <w:b/>
          <w:sz w:val="18"/>
        </w:rPr>
        <w:t>de</w:t>
      </w:r>
      <w:r>
        <w:rPr>
          <w:rFonts w:ascii="Arial"/>
          <w:b/>
          <w:spacing w:val="-1"/>
          <w:sz w:val="18"/>
        </w:rPr>
        <w:t xml:space="preserve"> </w:t>
      </w:r>
      <w:r>
        <w:rPr>
          <w:rFonts w:ascii="Arial"/>
          <w:b/>
          <w:sz w:val="18"/>
        </w:rPr>
        <w:t>reais,</w:t>
      </w:r>
      <w:r>
        <w:rPr>
          <w:rFonts w:ascii="Arial"/>
          <w:b/>
          <w:spacing w:val="1"/>
          <w:sz w:val="18"/>
        </w:rPr>
        <w:t xml:space="preserve"> </w:t>
      </w:r>
      <w:r>
        <w:rPr>
          <w:rFonts w:ascii="Arial"/>
          <w:b/>
          <w:sz w:val="18"/>
        </w:rPr>
        <w:t>exceto</w:t>
      </w:r>
      <w:r>
        <w:rPr>
          <w:rFonts w:ascii="Arial"/>
          <w:b/>
          <w:spacing w:val="-2"/>
          <w:sz w:val="18"/>
        </w:rPr>
        <w:t xml:space="preserve"> </w:t>
      </w:r>
      <w:r>
        <w:rPr>
          <w:rFonts w:ascii="Arial"/>
          <w:b/>
          <w:sz w:val="18"/>
        </w:rPr>
        <w:t>quando indicado</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outra</w:t>
      </w:r>
      <w:r>
        <w:rPr>
          <w:rFonts w:ascii="Arial"/>
          <w:b/>
          <w:spacing w:val="-3"/>
          <w:sz w:val="18"/>
        </w:rPr>
        <w:t xml:space="preserve"> </w:t>
      </w:r>
      <w:r>
        <w:rPr>
          <w:rFonts w:ascii="Arial"/>
          <w:b/>
          <w:spacing w:val="-2"/>
          <w:sz w:val="18"/>
        </w:rPr>
        <w:t>forma</w:t>
      </w:r>
    </w:p>
    <w:p w14:paraId="184D97D4" w14:textId="77777777" w:rsidR="002C6574" w:rsidRDefault="002C6574">
      <w:pPr>
        <w:pStyle w:val="Corpodetexto"/>
        <w:rPr>
          <w:rFonts w:ascii="Arial"/>
          <w:b/>
          <w:sz w:val="19"/>
        </w:rPr>
      </w:pPr>
    </w:p>
    <w:tbl>
      <w:tblPr>
        <w:tblStyle w:val="TableNormal"/>
        <w:tblW w:w="0" w:type="auto"/>
        <w:tblInd w:w="29" w:type="dxa"/>
        <w:tblLayout w:type="fixed"/>
        <w:tblLook w:val="01E0" w:firstRow="1" w:lastRow="1" w:firstColumn="1" w:lastColumn="1" w:noHBand="0" w:noVBand="0"/>
      </w:tblPr>
      <w:tblGrid>
        <w:gridCol w:w="7449"/>
        <w:gridCol w:w="1179"/>
        <w:gridCol w:w="1119"/>
      </w:tblGrid>
      <w:tr w:rsidR="002C6574" w14:paraId="4EBBACBB" w14:textId="77777777">
        <w:trPr>
          <w:trHeight w:val="333"/>
        </w:trPr>
        <w:tc>
          <w:tcPr>
            <w:tcW w:w="7449" w:type="dxa"/>
          </w:tcPr>
          <w:p w14:paraId="73C66B04" w14:textId="77777777" w:rsidR="002C6574" w:rsidRDefault="002C6574">
            <w:pPr>
              <w:pStyle w:val="TableParagraph"/>
              <w:jc w:val="left"/>
              <w:rPr>
                <w:rFonts w:ascii="Times New Roman"/>
                <w:sz w:val="18"/>
              </w:rPr>
            </w:pPr>
          </w:p>
        </w:tc>
        <w:tc>
          <w:tcPr>
            <w:tcW w:w="1179" w:type="dxa"/>
            <w:tcBorders>
              <w:top w:val="single" w:sz="4" w:space="0" w:color="000000"/>
            </w:tcBorders>
          </w:tcPr>
          <w:p w14:paraId="1E0471D7" w14:textId="77777777" w:rsidR="002C6574" w:rsidRDefault="00000000">
            <w:pPr>
              <w:pStyle w:val="TableParagraph"/>
              <w:tabs>
                <w:tab w:val="left" w:pos="350"/>
                <w:tab w:val="left" w:pos="1103"/>
              </w:tabs>
              <w:spacing w:before="8"/>
              <w:ind w:right="72"/>
              <w:rPr>
                <w:rFonts w:ascii="Arial"/>
                <w:b/>
                <w:sz w:val="18"/>
              </w:rPr>
            </w:pPr>
            <w:r>
              <w:rPr>
                <w:rFonts w:ascii="Times New Roman"/>
                <w:sz w:val="18"/>
                <w:u w:val="single"/>
              </w:rPr>
              <w:tab/>
            </w:r>
            <w:r>
              <w:rPr>
                <w:rFonts w:ascii="Arial"/>
                <w:b/>
                <w:spacing w:val="-4"/>
                <w:sz w:val="18"/>
                <w:u w:val="single"/>
              </w:rPr>
              <w:t>2025</w:t>
            </w:r>
            <w:r>
              <w:rPr>
                <w:rFonts w:ascii="Arial"/>
                <w:b/>
                <w:sz w:val="18"/>
                <w:u w:val="single"/>
              </w:rPr>
              <w:tab/>
            </w:r>
          </w:p>
        </w:tc>
        <w:tc>
          <w:tcPr>
            <w:tcW w:w="1119" w:type="dxa"/>
            <w:tcBorders>
              <w:top w:val="single" w:sz="4" w:space="0" w:color="000000"/>
            </w:tcBorders>
          </w:tcPr>
          <w:p w14:paraId="2B900279" w14:textId="77777777" w:rsidR="002C6574" w:rsidRDefault="00000000">
            <w:pPr>
              <w:pStyle w:val="TableParagraph"/>
              <w:tabs>
                <w:tab w:val="left" w:pos="323"/>
                <w:tab w:val="left" w:pos="1043"/>
              </w:tabs>
              <w:spacing w:before="3"/>
              <w:ind w:right="-15"/>
              <w:rPr>
                <w:rFonts w:ascii="Arial"/>
                <w:b/>
                <w:sz w:val="18"/>
              </w:rPr>
            </w:pPr>
            <w:r>
              <w:rPr>
                <w:rFonts w:ascii="Times New Roman"/>
                <w:sz w:val="18"/>
                <w:u w:val="single"/>
              </w:rPr>
              <w:tab/>
            </w:r>
            <w:r>
              <w:rPr>
                <w:rFonts w:ascii="Arial"/>
                <w:b/>
                <w:spacing w:val="-4"/>
                <w:sz w:val="18"/>
                <w:u w:val="single"/>
              </w:rPr>
              <w:t>2024</w:t>
            </w:r>
            <w:r>
              <w:rPr>
                <w:rFonts w:ascii="Arial"/>
                <w:b/>
                <w:sz w:val="18"/>
                <w:u w:val="single"/>
              </w:rPr>
              <w:tab/>
            </w:r>
          </w:p>
        </w:tc>
      </w:tr>
      <w:tr w:rsidR="002C6574" w14:paraId="0B33029A" w14:textId="77777777">
        <w:trPr>
          <w:trHeight w:val="328"/>
        </w:trPr>
        <w:tc>
          <w:tcPr>
            <w:tcW w:w="7449" w:type="dxa"/>
          </w:tcPr>
          <w:p w14:paraId="10DE546F" w14:textId="77777777" w:rsidR="002C6574" w:rsidRDefault="00000000">
            <w:pPr>
              <w:pStyle w:val="TableParagraph"/>
              <w:spacing w:before="111" w:line="197" w:lineRule="exact"/>
              <w:ind w:left="50"/>
              <w:jc w:val="left"/>
              <w:rPr>
                <w:rFonts w:ascii="Arial"/>
                <w:b/>
                <w:sz w:val="18"/>
              </w:rPr>
            </w:pPr>
            <w:r>
              <w:rPr>
                <w:rFonts w:ascii="Arial"/>
                <w:b/>
                <w:spacing w:val="-2"/>
                <w:sz w:val="18"/>
              </w:rPr>
              <w:t>Receitas</w:t>
            </w:r>
          </w:p>
        </w:tc>
        <w:tc>
          <w:tcPr>
            <w:tcW w:w="1179" w:type="dxa"/>
          </w:tcPr>
          <w:p w14:paraId="3C59D947" w14:textId="77777777" w:rsidR="002C6574" w:rsidRDefault="00000000">
            <w:pPr>
              <w:pStyle w:val="TableParagraph"/>
              <w:spacing w:before="114" w:line="194" w:lineRule="exact"/>
              <w:ind w:left="232"/>
              <w:jc w:val="left"/>
              <w:rPr>
                <w:rFonts w:ascii="Arial"/>
                <w:b/>
                <w:sz w:val="18"/>
              </w:rPr>
            </w:pPr>
            <w:r>
              <w:rPr>
                <w:rFonts w:ascii="Arial"/>
                <w:b/>
                <w:spacing w:val="-2"/>
                <w:sz w:val="18"/>
              </w:rPr>
              <w:t>1.041.457</w:t>
            </w:r>
          </w:p>
        </w:tc>
        <w:tc>
          <w:tcPr>
            <w:tcW w:w="1119" w:type="dxa"/>
          </w:tcPr>
          <w:p w14:paraId="5DF1400C" w14:textId="77777777" w:rsidR="002C6574" w:rsidRDefault="00000000">
            <w:pPr>
              <w:pStyle w:val="TableParagraph"/>
              <w:spacing w:before="114" w:line="194" w:lineRule="exact"/>
              <w:ind w:right="61"/>
              <w:rPr>
                <w:rFonts w:ascii="Arial"/>
                <w:b/>
                <w:sz w:val="18"/>
              </w:rPr>
            </w:pPr>
            <w:r>
              <w:rPr>
                <w:rFonts w:ascii="Arial"/>
                <w:b/>
                <w:spacing w:val="-2"/>
                <w:sz w:val="18"/>
              </w:rPr>
              <w:t>775.996</w:t>
            </w:r>
          </w:p>
        </w:tc>
      </w:tr>
      <w:tr w:rsidR="002C6574" w14:paraId="377F9C2F" w14:textId="77777777">
        <w:trPr>
          <w:trHeight w:val="214"/>
        </w:trPr>
        <w:tc>
          <w:tcPr>
            <w:tcW w:w="7449" w:type="dxa"/>
          </w:tcPr>
          <w:p w14:paraId="3EF7732F" w14:textId="77777777" w:rsidR="002C6574" w:rsidRDefault="00000000">
            <w:pPr>
              <w:pStyle w:val="TableParagraph"/>
              <w:spacing w:line="195" w:lineRule="exact"/>
              <w:ind w:left="590"/>
              <w:jc w:val="left"/>
              <w:rPr>
                <w:sz w:val="18"/>
              </w:rPr>
            </w:pPr>
            <w:r>
              <w:rPr>
                <w:w w:val="105"/>
                <w:sz w:val="18"/>
              </w:rPr>
              <w:t>Prestação</w:t>
            </w:r>
            <w:r>
              <w:rPr>
                <w:spacing w:val="-8"/>
                <w:w w:val="105"/>
                <w:sz w:val="18"/>
              </w:rPr>
              <w:t xml:space="preserve"> </w:t>
            </w:r>
            <w:r>
              <w:rPr>
                <w:w w:val="105"/>
                <w:sz w:val="18"/>
              </w:rPr>
              <w:t>de</w:t>
            </w:r>
            <w:r>
              <w:rPr>
                <w:spacing w:val="-6"/>
                <w:w w:val="105"/>
                <w:sz w:val="18"/>
              </w:rPr>
              <w:t xml:space="preserve"> </w:t>
            </w:r>
            <w:r>
              <w:rPr>
                <w:spacing w:val="-2"/>
                <w:w w:val="105"/>
                <w:sz w:val="18"/>
              </w:rPr>
              <w:t>Serviços</w:t>
            </w:r>
          </w:p>
        </w:tc>
        <w:tc>
          <w:tcPr>
            <w:tcW w:w="1179" w:type="dxa"/>
          </w:tcPr>
          <w:p w14:paraId="360AB67B" w14:textId="77777777" w:rsidR="002C6574" w:rsidRDefault="00000000">
            <w:pPr>
              <w:pStyle w:val="TableParagraph"/>
              <w:spacing w:line="195" w:lineRule="exact"/>
              <w:ind w:left="385"/>
              <w:jc w:val="left"/>
              <w:rPr>
                <w:sz w:val="18"/>
              </w:rPr>
            </w:pPr>
            <w:r>
              <w:rPr>
                <w:spacing w:val="-2"/>
                <w:w w:val="105"/>
                <w:sz w:val="18"/>
              </w:rPr>
              <w:t>465.481</w:t>
            </w:r>
          </w:p>
        </w:tc>
        <w:tc>
          <w:tcPr>
            <w:tcW w:w="1119" w:type="dxa"/>
          </w:tcPr>
          <w:p w14:paraId="54074F72" w14:textId="77777777" w:rsidR="002C6574" w:rsidRDefault="00000000">
            <w:pPr>
              <w:pStyle w:val="TableParagraph"/>
              <w:spacing w:line="195" w:lineRule="exact"/>
              <w:ind w:right="63"/>
              <w:rPr>
                <w:sz w:val="18"/>
              </w:rPr>
            </w:pPr>
            <w:r>
              <w:rPr>
                <w:spacing w:val="-2"/>
                <w:w w:val="105"/>
                <w:sz w:val="18"/>
              </w:rPr>
              <w:t>384.176</w:t>
            </w:r>
          </w:p>
        </w:tc>
      </w:tr>
      <w:tr w:rsidR="002C6574" w14:paraId="318BC7E0" w14:textId="77777777">
        <w:trPr>
          <w:trHeight w:val="214"/>
        </w:trPr>
        <w:tc>
          <w:tcPr>
            <w:tcW w:w="7449" w:type="dxa"/>
          </w:tcPr>
          <w:p w14:paraId="359793C3" w14:textId="77777777" w:rsidR="002C6574" w:rsidRDefault="00000000">
            <w:pPr>
              <w:pStyle w:val="TableParagraph"/>
              <w:spacing w:line="195" w:lineRule="exact"/>
              <w:ind w:left="590"/>
              <w:jc w:val="left"/>
              <w:rPr>
                <w:sz w:val="18"/>
              </w:rPr>
            </w:pPr>
            <w:r>
              <w:rPr>
                <w:sz w:val="18"/>
              </w:rPr>
              <w:t>Subvenções</w:t>
            </w:r>
            <w:r>
              <w:rPr>
                <w:spacing w:val="33"/>
                <w:sz w:val="18"/>
              </w:rPr>
              <w:t xml:space="preserve"> </w:t>
            </w:r>
            <w:r>
              <w:rPr>
                <w:sz w:val="18"/>
              </w:rPr>
              <w:t>Orçamentárias</w:t>
            </w:r>
            <w:r>
              <w:rPr>
                <w:spacing w:val="26"/>
                <w:sz w:val="18"/>
              </w:rPr>
              <w:t xml:space="preserve"> </w:t>
            </w:r>
            <w:r>
              <w:rPr>
                <w:spacing w:val="-2"/>
                <w:sz w:val="18"/>
              </w:rPr>
              <w:t>Recebidas</w:t>
            </w:r>
          </w:p>
        </w:tc>
        <w:tc>
          <w:tcPr>
            <w:tcW w:w="1179" w:type="dxa"/>
          </w:tcPr>
          <w:p w14:paraId="130C6DC5" w14:textId="77777777" w:rsidR="002C6574" w:rsidRDefault="00000000">
            <w:pPr>
              <w:pStyle w:val="TableParagraph"/>
              <w:spacing w:line="195" w:lineRule="exact"/>
              <w:ind w:left="383"/>
              <w:jc w:val="left"/>
              <w:rPr>
                <w:sz w:val="18"/>
              </w:rPr>
            </w:pPr>
            <w:r>
              <w:rPr>
                <w:spacing w:val="-2"/>
                <w:w w:val="105"/>
                <w:sz w:val="18"/>
              </w:rPr>
              <w:t>406.942</w:t>
            </w:r>
          </w:p>
        </w:tc>
        <w:tc>
          <w:tcPr>
            <w:tcW w:w="1119" w:type="dxa"/>
          </w:tcPr>
          <w:p w14:paraId="5EDBCE72" w14:textId="77777777" w:rsidR="002C6574" w:rsidRDefault="00000000">
            <w:pPr>
              <w:pStyle w:val="TableParagraph"/>
              <w:spacing w:line="195" w:lineRule="exact"/>
              <w:ind w:right="63"/>
              <w:rPr>
                <w:sz w:val="18"/>
              </w:rPr>
            </w:pPr>
            <w:r>
              <w:rPr>
                <w:spacing w:val="-2"/>
                <w:w w:val="105"/>
                <w:sz w:val="18"/>
              </w:rPr>
              <w:t>158.402</w:t>
            </w:r>
          </w:p>
        </w:tc>
      </w:tr>
      <w:tr w:rsidR="002C6574" w14:paraId="186AF1C2" w14:textId="77777777">
        <w:trPr>
          <w:trHeight w:val="216"/>
        </w:trPr>
        <w:tc>
          <w:tcPr>
            <w:tcW w:w="7449" w:type="dxa"/>
          </w:tcPr>
          <w:p w14:paraId="5A7FBBC2" w14:textId="77777777" w:rsidR="002C6574" w:rsidRDefault="00000000">
            <w:pPr>
              <w:pStyle w:val="TableParagraph"/>
              <w:spacing w:line="196" w:lineRule="exact"/>
              <w:ind w:left="590"/>
              <w:jc w:val="left"/>
              <w:rPr>
                <w:sz w:val="18"/>
              </w:rPr>
            </w:pPr>
            <w:r>
              <w:rPr>
                <w:sz w:val="18"/>
              </w:rPr>
              <w:t>Outras</w:t>
            </w:r>
            <w:r>
              <w:rPr>
                <w:spacing w:val="10"/>
                <w:sz w:val="18"/>
              </w:rPr>
              <w:t xml:space="preserve"> </w:t>
            </w:r>
            <w:r>
              <w:rPr>
                <w:spacing w:val="-2"/>
                <w:sz w:val="18"/>
              </w:rPr>
              <w:t>Receitas</w:t>
            </w:r>
          </w:p>
        </w:tc>
        <w:tc>
          <w:tcPr>
            <w:tcW w:w="1179" w:type="dxa"/>
          </w:tcPr>
          <w:p w14:paraId="7152E414" w14:textId="77777777" w:rsidR="002C6574" w:rsidRDefault="00000000">
            <w:pPr>
              <w:pStyle w:val="TableParagraph"/>
              <w:spacing w:line="196" w:lineRule="exact"/>
              <w:ind w:left="384"/>
              <w:jc w:val="left"/>
              <w:rPr>
                <w:sz w:val="18"/>
              </w:rPr>
            </w:pPr>
            <w:r>
              <w:rPr>
                <w:spacing w:val="-2"/>
                <w:w w:val="105"/>
                <w:sz w:val="18"/>
              </w:rPr>
              <w:t>152.405</w:t>
            </w:r>
          </w:p>
        </w:tc>
        <w:tc>
          <w:tcPr>
            <w:tcW w:w="1119" w:type="dxa"/>
          </w:tcPr>
          <w:p w14:paraId="1404D4F8" w14:textId="77777777" w:rsidR="002C6574" w:rsidRDefault="00000000">
            <w:pPr>
              <w:pStyle w:val="TableParagraph"/>
              <w:spacing w:line="196" w:lineRule="exact"/>
              <w:ind w:right="63"/>
              <w:rPr>
                <w:sz w:val="18"/>
              </w:rPr>
            </w:pPr>
            <w:r>
              <w:rPr>
                <w:spacing w:val="-2"/>
                <w:w w:val="105"/>
                <w:sz w:val="18"/>
              </w:rPr>
              <w:t>217.488</w:t>
            </w:r>
          </w:p>
        </w:tc>
      </w:tr>
      <w:tr w:rsidR="002C6574" w14:paraId="534DEC98" w14:textId="77777777">
        <w:trPr>
          <w:trHeight w:val="214"/>
        </w:trPr>
        <w:tc>
          <w:tcPr>
            <w:tcW w:w="7449" w:type="dxa"/>
          </w:tcPr>
          <w:p w14:paraId="59C953C6" w14:textId="77777777" w:rsidR="002C6574" w:rsidRDefault="00000000">
            <w:pPr>
              <w:pStyle w:val="TableParagraph"/>
              <w:spacing w:line="195" w:lineRule="exact"/>
              <w:ind w:left="590"/>
              <w:jc w:val="left"/>
              <w:rPr>
                <w:sz w:val="18"/>
              </w:rPr>
            </w:pPr>
            <w:r>
              <w:rPr>
                <w:sz w:val="18"/>
              </w:rPr>
              <w:t>Construção</w:t>
            </w:r>
            <w:r>
              <w:rPr>
                <w:spacing w:val="-3"/>
                <w:sz w:val="18"/>
              </w:rPr>
              <w:t xml:space="preserve"> </w:t>
            </w:r>
            <w:r>
              <w:rPr>
                <w:sz w:val="18"/>
              </w:rPr>
              <w:t>de</w:t>
            </w:r>
            <w:r>
              <w:rPr>
                <w:spacing w:val="1"/>
                <w:sz w:val="18"/>
              </w:rPr>
              <w:t xml:space="preserve"> </w:t>
            </w:r>
            <w:r>
              <w:rPr>
                <w:sz w:val="18"/>
              </w:rPr>
              <w:t xml:space="preserve">Ativo </w:t>
            </w:r>
            <w:r>
              <w:rPr>
                <w:spacing w:val="-2"/>
                <w:sz w:val="18"/>
              </w:rPr>
              <w:t>Próprio</w:t>
            </w:r>
          </w:p>
        </w:tc>
        <w:tc>
          <w:tcPr>
            <w:tcW w:w="1179" w:type="dxa"/>
          </w:tcPr>
          <w:p w14:paraId="1B9FCAE4" w14:textId="77777777" w:rsidR="002C6574" w:rsidRDefault="00000000">
            <w:pPr>
              <w:pStyle w:val="TableParagraph"/>
              <w:spacing w:line="195" w:lineRule="exact"/>
              <w:ind w:left="485"/>
              <w:jc w:val="left"/>
              <w:rPr>
                <w:sz w:val="18"/>
              </w:rPr>
            </w:pPr>
            <w:r>
              <w:rPr>
                <w:spacing w:val="-2"/>
                <w:w w:val="105"/>
                <w:sz w:val="18"/>
              </w:rPr>
              <w:t>19.452</w:t>
            </w:r>
          </w:p>
        </w:tc>
        <w:tc>
          <w:tcPr>
            <w:tcW w:w="1119" w:type="dxa"/>
          </w:tcPr>
          <w:p w14:paraId="5C375F3F" w14:textId="77777777" w:rsidR="002C6574" w:rsidRDefault="00000000">
            <w:pPr>
              <w:pStyle w:val="TableParagraph"/>
              <w:spacing w:line="195" w:lineRule="exact"/>
              <w:ind w:right="61"/>
              <w:rPr>
                <w:sz w:val="18"/>
              </w:rPr>
            </w:pPr>
            <w:r>
              <w:rPr>
                <w:spacing w:val="-2"/>
                <w:w w:val="105"/>
                <w:sz w:val="18"/>
              </w:rPr>
              <w:t>18.682</w:t>
            </w:r>
          </w:p>
        </w:tc>
      </w:tr>
      <w:tr w:rsidR="002C6574" w14:paraId="1FBC9573" w14:textId="77777777">
        <w:trPr>
          <w:trHeight w:val="321"/>
        </w:trPr>
        <w:tc>
          <w:tcPr>
            <w:tcW w:w="7449" w:type="dxa"/>
          </w:tcPr>
          <w:p w14:paraId="6F7A74F5" w14:textId="77777777" w:rsidR="002C6574" w:rsidRDefault="00000000">
            <w:pPr>
              <w:pStyle w:val="TableParagraph"/>
              <w:spacing w:line="214" w:lineRule="exact"/>
              <w:ind w:left="590"/>
              <w:jc w:val="left"/>
              <w:rPr>
                <w:sz w:val="18"/>
              </w:rPr>
            </w:pPr>
            <w:r>
              <w:rPr>
                <w:sz w:val="18"/>
              </w:rPr>
              <w:t>Perdas</w:t>
            </w:r>
            <w:r>
              <w:rPr>
                <w:spacing w:val="12"/>
                <w:sz w:val="18"/>
              </w:rPr>
              <w:t xml:space="preserve"> </w:t>
            </w:r>
            <w:r>
              <w:rPr>
                <w:sz w:val="18"/>
              </w:rPr>
              <w:t>Estimadas</w:t>
            </w:r>
            <w:r>
              <w:rPr>
                <w:spacing w:val="13"/>
                <w:sz w:val="18"/>
              </w:rPr>
              <w:t xml:space="preserve"> </w:t>
            </w:r>
            <w:r>
              <w:rPr>
                <w:sz w:val="18"/>
              </w:rPr>
              <w:t>com</w:t>
            </w:r>
            <w:r>
              <w:rPr>
                <w:spacing w:val="14"/>
                <w:sz w:val="18"/>
              </w:rPr>
              <w:t xml:space="preserve"> </w:t>
            </w:r>
            <w:r>
              <w:rPr>
                <w:sz w:val="18"/>
              </w:rPr>
              <w:t>Créditos</w:t>
            </w:r>
            <w:r>
              <w:rPr>
                <w:spacing w:val="15"/>
                <w:sz w:val="18"/>
              </w:rPr>
              <w:t xml:space="preserve"> </w:t>
            </w:r>
            <w:r>
              <w:rPr>
                <w:sz w:val="18"/>
              </w:rPr>
              <w:t>de</w:t>
            </w:r>
            <w:r>
              <w:rPr>
                <w:spacing w:val="12"/>
                <w:sz w:val="18"/>
              </w:rPr>
              <w:t xml:space="preserve"> </w:t>
            </w:r>
            <w:r>
              <w:rPr>
                <w:sz w:val="18"/>
              </w:rPr>
              <w:t>Liquidação</w:t>
            </w:r>
            <w:r>
              <w:rPr>
                <w:spacing w:val="16"/>
                <w:sz w:val="18"/>
              </w:rPr>
              <w:t xml:space="preserve"> </w:t>
            </w:r>
            <w:r>
              <w:rPr>
                <w:spacing w:val="-2"/>
                <w:sz w:val="18"/>
              </w:rPr>
              <w:t>Duvidosa</w:t>
            </w:r>
          </w:p>
        </w:tc>
        <w:tc>
          <w:tcPr>
            <w:tcW w:w="1179" w:type="dxa"/>
          </w:tcPr>
          <w:p w14:paraId="47E5D0DE" w14:textId="77777777" w:rsidR="002C6574" w:rsidRDefault="00000000">
            <w:pPr>
              <w:pStyle w:val="TableParagraph"/>
              <w:spacing w:line="214" w:lineRule="exact"/>
              <w:ind w:left="465"/>
              <w:jc w:val="left"/>
              <w:rPr>
                <w:sz w:val="18"/>
              </w:rPr>
            </w:pPr>
            <w:r>
              <w:rPr>
                <w:spacing w:val="-2"/>
                <w:w w:val="110"/>
                <w:sz w:val="18"/>
              </w:rPr>
              <w:t>(2.823)</w:t>
            </w:r>
          </w:p>
        </w:tc>
        <w:tc>
          <w:tcPr>
            <w:tcW w:w="1119" w:type="dxa"/>
          </w:tcPr>
          <w:p w14:paraId="568AA3D9" w14:textId="77777777" w:rsidR="002C6574" w:rsidRDefault="00000000">
            <w:pPr>
              <w:pStyle w:val="TableParagraph"/>
              <w:spacing w:line="214" w:lineRule="exact"/>
              <w:ind w:right="60"/>
              <w:rPr>
                <w:sz w:val="18"/>
              </w:rPr>
            </w:pPr>
            <w:r>
              <w:rPr>
                <w:spacing w:val="-2"/>
                <w:w w:val="110"/>
                <w:sz w:val="18"/>
              </w:rPr>
              <w:t>(2.752)</w:t>
            </w:r>
          </w:p>
        </w:tc>
      </w:tr>
      <w:tr w:rsidR="002C6574" w14:paraId="01202E04" w14:textId="77777777">
        <w:trPr>
          <w:trHeight w:val="322"/>
        </w:trPr>
        <w:tc>
          <w:tcPr>
            <w:tcW w:w="7449" w:type="dxa"/>
          </w:tcPr>
          <w:p w14:paraId="20BE198C" w14:textId="77777777" w:rsidR="002C6574" w:rsidRDefault="00000000">
            <w:pPr>
              <w:pStyle w:val="TableParagraph"/>
              <w:spacing w:before="108" w:line="194" w:lineRule="exact"/>
              <w:ind w:left="50"/>
              <w:jc w:val="left"/>
              <w:rPr>
                <w:rFonts w:ascii="Arial"/>
                <w:b/>
                <w:sz w:val="18"/>
              </w:rPr>
            </w:pPr>
            <w:r>
              <w:rPr>
                <w:rFonts w:ascii="Arial"/>
                <w:b/>
                <w:sz w:val="18"/>
              </w:rPr>
              <w:t>Insumos</w:t>
            </w:r>
            <w:r>
              <w:rPr>
                <w:rFonts w:ascii="Arial"/>
                <w:b/>
                <w:spacing w:val="-1"/>
                <w:sz w:val="18"/>
              </w:rPr>
              <w:t xml:space="preserve"> </w:t>
            </w:r>
            <w:r>
              <w:rPr>
                <w:rFonts w:ascii="Arial"/>
                <w:b/>
                <w:sz w:val="18"/>
              </w:rPr>
              <w:t xml:space="preserve">Adquiridos de </w:t>
            </w:r>
            <w:r>
              <w:rPr>
                <w:rFonts w:ascii="Arial"/>
                <w:b/>
                <w:spacing w:val="-2"/>
                <w:sz w:val="18"/>
              </w:rPr>
              <w:t>Terceiros</w:t>
            </w:r>
          </w:p>
        </w:tc>
        <w:tc>
          <w:tcPr>
            <w:tcW w:w="1179" w:type="dxa"/>
          </w:tcPr>
          <w:p w14:paraId="37E6CF40" w14:textId="77777777" w:rsidR="002C6574" w:rsidRDefault="00000000">
            <w:pPr>
              <w:pStyle w:val="TableParagraph"/>
              <w:spacing w:before="108" w:line="194" w:lineRule="exact"/>
              <w:ind w:left="264"/>
              <w:jc w:val="left"/>
              <w:rPr>
                <w:rFonts w:ascii="Arial"/>
                <w:b/>
                <w:sz w:val="18"/>
              </w:rPr>
            </w:pPr>
            <w:r>
              <w:rPr>
                <w:rFonts w:ascii="Arial"/>
                <w:b/>
                <w:spacing w:val="-2"/>
                <w:sz w:val="18"/>
              </w:rPr>
              <w:t>(337.007)</w:t>
            </w:r>
          </w:p>
        </w:tc>
        <w:tc>
          <w:tcPr>
            <w:tcW w:w="1119" w:type="dxa"/>
          </w:tcPr>
          <w:p w14:paraId="2CA9975A" w14:textId="77777777" w:rsidR="002C6574" w:rsidRDefault="00000000">
            <w:pPr>
              <w:pStyle w:val="TableParagraph"/>
              <w:spacing w:before="108" w:line="194" w:lineRule="exact"/>
              <w:ind w:left="282"/>
              <w:jc w:val="left"/>
              <w:rPr>
                <w:rFonts w:ascii="Arial"/>
                <w:b/>
                <w:sz w:val="18"/>
              </w:rPr>
            </w:pPr>
            <w:r>
              <w:rPr>
                <w:rFonts w:ascii="Arial"/>
                <w:b/>
                <w:spacing w:val="-2"/>
                <w:sz w:val="18"/>
              </w:rPr>
              <w:t>(317.865)</w:t>
            </w:r>
          </w:p>
        </w:tc>
      </w:tr>
      <w:tr w:rsidR="002C6574" w14:paraId="175B206B" w14:textId="77777777">
        <w:trPr>
          <w:trHeight w:val="216"/>
        </w:trPr>
        <w:tc>
          <w:tcPr>
            <w:tcW w:w="7449" w:type="dxa"/>
          </w:tcPr>
          <w:p w14:paraId="4A920C85" w14:textId="77777777" w:rsidR="002C6574" w:rsidRDefault="00000000">
            <w:pPr>
              <w:pStyle w:val="TableParagraph"/>
              <w:spacing w:line="196" w:lineRule="exact"/>
              <w:ind w:left="590"/>
              <w:jc w:val="left"/>
              <w:rPr>
                <w:sz w:val="18"/>
              </w:rPr>
            </w:pPr>
            <w:r>
              <w:rPr>
                <w:w w:val="105"/>
                <w:sz w:val="18"/>
              </w:rPr>
              <w:t>Custos</w:t>
            </w:r>
            <w:r>
              <w:rPr>
                <w:spacing w:val="-8"/>
                <w:w w:val="105"/>
                <w:sz w:val="18"/>
              </w:rPr>
              <w:t xml:space="preserve"> </w:t>
            </w:r>
            <w:r>
              <w:rPr>
                <w:w w:val="105"/>
                <w:sz w:val="18"/>
              </w:rPr>
              <w:t>dos</w:t>
            </w:r>
            <w:r>
              <w:rPr>
                <w:spacing w:val="-6"/>
                <w:w w:val="105"/>
                <w:sz w:val="18"/>
              </w:rPr>
              <w:t xml:space="preserve"> </w:t>
            </w:r>
            <w:r>
              <w:rPr>
                <w:w w:val="105"/>
                <w:sz w:val="18"/>
              </w:rPr>
              <w:t>Serviços</w:t>
            </w:r>
            <w:r>
              <w:rPr>
                <w:spacing w:val="-8"/>
                <w:w w:val="105"/>
                <w:sz w:val="18"/>
              </w:rPr>
              <w:t xml:space="preserve"> </w:t>
            </w:r>
            <w:r>
              <w:rPr>
                <w:spacing w:val="-2"/>
                <w:w w:val="105"/>
                <w:sz w:val="18"/>
              </w:rPr>
              <w:t>Vendidos</w:t>
            </w:r>
          </w:p>
        </w:tc>
        <w:tc>
          <w:tcPr>
            <w:tcW w:w="1179" w:type="dxa"/>
          </w:tcPr>
          <w:p w14:paraId="5FF72594" w14:textId="77777777" w:rsidR="002C6574" w:rsidRDefault="00000000">
            <w:pPr>
              <w:pStyle w:val="TableParagraph"/>
              <w:spacing w:line="196" w:lineRule="exact"/>
              <w:ind w:left="263"/>
              <w:jc w:val="left"/>
              <w:rPr>
                <w:sz w:val="18"/>
              </w:rPr>
            </w:pPr>
            <w:r>
              <w:rPr>
                <w:spacing w:val="-2"/>
                <w:w w:val="105"/>
                <w:sz w:val="18"/>
              </w:rPr>
              <w:t>(307.216)</w:t>
            </w:r>
          </w:p>
        </w:tc>
        <w:tc>
          <w:tcPr>
            <w:tcW w:w="1119" w:type="dxa"/>
          </w:tcPr>
          <w:p w14:paraId="27698D36" w14:textId="77777777" w:rsidR="002C6574" w:rsidRDefault="00000000">
            <w:pPr>
              <w:pStyle w:val="TableParagraph"/>
              <w:spacing w:line="196" w:lineRule="exact"/>
              <w:ind w:left="282"/>
              <w:jc w:val="left"/>
              <w:rPr>
                <w:sz w:val="18"/>
              </w:rPr>
            </w:pPr>
            <w:r>
              <w:rPr>
                <w:spacing w:val="-2"/>
                <w:w w:val="105"/>
                <w:sz w:val="18"/>
              </w:rPr>
              <w:t>(290.636)</w:t>
            </w:r>
          </w:p>
        </w:tc>
      </w:tr>
      <w:tr w:rsidR="002C6574" w14:paraId="68C64FC5" w14:textId="77777777">
        <w:trPr>
          <w:trHeight w:val="214"/>
        </w:trPr>
        <w:tc>
          <w:tcPr>
            <w:tcW w:w="7449" w:type="dxa"/>
          </w:tcPr>
          <w:p w14:paraId="1DF76D82" w14:textId="77777777" w:rsidR="002C6574" w:rsidRDefault="00000000">
            <w:pPr>
              <w:pStyle w:val="TableParagraph"/>
              <w:spacing w:line="195" w:lineRule="exact"/>
              <w:ind w:left="590"/>
              <w:jc w:val="left"/>
              <w:rPr>
                <w:sz w:val="18"/>
              </w:rPr>
            </w:pPr>
            <w:r>
              <w:rPr>
                <w:spacing w:val="-2"/>
                <w:sz w:val="18"/>
              </w:rPr>
              <w:t>Materiais</w:t>
            </w:r>
          </w:p>
        </w:tc>
        <w:tc>
          <w:tcPr>
            <w:tcW w:w="1179" w:type="dxa"/>
          </w:tcPr>
          <w:p w14:paraId="3830D664" w14:textId="77777777" w:rsidR="002C6574" w:rsidRDefault="00000000">
            <w:pPr>
              <w:pStyle w:val="TableParagraph"/>
              <w:spacing w:line="195" w:lineRule="exact"/>
              <w:ind w:right="141"/>
              <w:rPr>
                <w:sz w:val="18"/>
              </w:rPr>
            </w:pPr>
            <w:r>
              <w:rPr>
                <w:spacing w:val="-4"/>
                <w:w w:val="105"/>
                <w:sz w:val="18"/>
              </w:rPr>
              <w:t>(61)</w:t>
            </w:r>
          </w:p>
        </w:tc>
        <w:tc>
          <w:tcPr>
            <w:tcW w:w="1119" w:type="dxa"/>
          </w:tcPr>
          <w:p w14:paraId="449D7CB7" w14:textId="77777777" w:rsidR="002C6574" w:rsidRDefault="00000000">
            <w:pPr>
              <w:pStyle w:val="TableParagraph"/>
              <w:spacing w:line="195" w:lineRule="exact"/>
              <w:ind w:right="62"/>
              <w:rPr>
                <w:sz w:val="18"/>
              </w:rPr>
            </w:pPr>
            <w:r>
              <w:rPr>
                <w:spacing w:val="-4"/>
                <w:w w:val="105"/>
                <w:sz w:val="18"/>
              </w:rPr>
              <w:t>(71)</w:t>
            </w:r>
          </w:p>
        </w:tc>
      </w:tr>
      <w:tr w:rsidR="002C6574" w14:paraId="373FE719" w14:textId="77777777">
        <w:trPr>
          <w:trHeight w:val="214"/>
        </w:trPr>
        <w:tc>
          <w:tcPr>
            <w:tcW w:w="7449" w:type="dxa"/>
          </w:tcPr>
          <w:p w14:paraId="1AEF29DC" w14:textId="77777777" w:rsidR="002C6574" w:rsidRDefault="00000000">
            <w:pPr>
              <w:pStyle w:val="TableParagraph"/>
              <w:spacing w:line="195" w:lineRule="exact"/>
              <w:ind w:left="590"/>
              <w:jc w:val="left"/>
              <w:rPr>
                <w:sz w:val="18"/>
              </w:rPr>
            </w:pPr>
            <w:r>
              <w:rPr>
                <w:w w:val="105"/>
                <w:sz w:val="18"/>
              </w:rPr>
              <w:t>Serviços</w:t>
            </w:r>
            <w:r>
              <w:rPr>
                <w:spacing w:val="-4"/>
                <w:w w:val="105"/>
                <w:sz w:val="18"/>
              </w:rPr>
              <w:t xml:space="preserve"> </w:t>
            </w:r>
            <w:r>
              <w:rPr>
                <w:w w:val="105"/>
                <w:sz w:val="18"/>
              </w:rPr>
              <w:t>de</w:t>
            </w:r>
            <w:r>
              <w:rPr>
                <w:spacing w:val="-2"/>
                <w:w w:val="105"/>
                <w:sz w:val="18"/>
              </w:rPr>
              <w:t xml:space="preserve"> Terceiros</w:t>
            </w:r>
          </w:p>
        </w:tc>
        <w:tc>
          <w:tcPr>
            <w:tcW w:w="1179" w:type="dxa"/>
          </w:tcPr>
          <w:p w14:paraId="6425A8F9" w14:textId="77777777" w:rsidR="002C6574" w:rsidRDefault="00000000">
            <w:pPr>
              <w:pStyle w:val="TableParagraph"/>
              <w:spacing w:line="195" w:lineRule="exact"/>
              <w:ind w:left="466"/>
              <w:jc w:val="left"/>
              <w:rPr>
                <w:sz w:val="18"/>
              </w:rPr>
            </w:pPr>
            <w:r>
              <w:rPr>
                <w:spacing w:val="-2"/>
                <w:w w:val="110"/>
                <w:sz w:val="18"/>
              </w:rPr>
              <w:t>(7.894)</w:t>
            </w:r>
          </w:p>
        </w:tc>
        <w:tc>
          <w:tcPr>
            <w:tcW w:w="1119" w:type="dxa"/>
          </w:tcPr>
          <w:p w14:paraId="13D04050" w14:textId="77777777" w:rsidR="002C6574" w:rsidRDefault="00000000">
            <w:pPr>
              <w:pStyle w:val="TableParagraph"/>
              <w:spacing w:line="195" w:lineRule="exact"/>
              <w:ind w:right="60"/>
              <w:rPr>
                <w:sz w:val="18"/>
              </w:rPr>
            </w:pPr>
            <w:r>
              <w:rPr>
                <w:spacing w:val="-2"/>
                <w:w w:val="110"/>
                <w:sz w:val="18"/>
              </w:rPr>
              <w:t>(8.085)</w:t>
            </w:r>
          </w:p>
        </w:tc>
      </w:tr>
      <w:tr w:rsidR="002C6574" w14:paraId="786534DE" w14:textId="77777777">
        <w:trPr>
          <w:trHeight w:val="214"/>
        </w:trPr>
        <w:tc>
          <w:tcPr>
            <w:tcW w:w="7449" w:type="dxa"/>
          </w:tcPr>
          <w:p w14:paraId="2991801A" w14:textId="77777777" w:rsidR="002C6574" w:rsidRDefault="00000000">
            <w:pPr>
              <w:pStyle w:val="TableParagraph"/>
              <w:spacing w:line="195" w:lineRule="exact"/>
              <w:ind w:left="590"/>
              <w:jc w:val="left"/>
              <w:rPr>
                <w:sz w:val="18"/>
              </w:rPr>
            </w:pPr>
            <w:r>
              <w:rPr>
                <w:sz w:val="18"/>
              </w:rPr>
              <w:t>Serviços</w:t>
            </w:r>
            <w:r>
              <w:rPr>
                <w:spacing w:val="34"/>
                <w:sz w:val="18"/>
              </w:rPr>
              <w:t xml:space="preserve"> </w:t>
            </w:r>
            <w:r>
              <w:rPr>
                <w:sz w:val="18"/>
              </w:rPr>
              <w:t>Técnicos</w:t>
            </w:r>
            <w:r>
              <w:rPr>
                <w:spacing w:val="36"/>
                <w:sz w:val="18"/>
              </w:rPr>
              <w:t xml:space="preserve"> </w:t>
            </w:r>
            <w:r>
              <w:rPr>
                <w:spacing w:val="-2"/>
                <w:sz w:val="18"/>
              </w:rPr>
              <w:t>Administrativos</w:t>
            </w:r>
          </w:p>
        </w:tc>
        <w:tc>
          <w:tcPr>
            <w:tcW w:w="1179" w:type="dxa"/>
          </w:tcPr>
          <w:p w14:paraId="4DEC2D00" w14:textId="77777777" w:rsidR="002C6574" w:rsidRDefault="00000000">
            <w:pPr>
              <w:pStyle w:val="TableParagraph"/>
              <w:spacing w:line="195" w:lineRule="exact"/>
              <w:ind w:left="466"/>
              <w:jc w:val="left"/>
              <w:rPr>
                <w:sz w:val="18"/>
              </w:rPr>
            </w:pPr>
            <w:r>
              <w:rPr>
                <w:spacing w:val="-2"/>
                <w:w w:val="110"/>
                <w:sz w:val="18"/>
              </w:rPr>
              <w:t>(8.516)</w:t>
            </w:r>
          </w:p>
        </w:tc>
        <w:tc>
          <w:tcPr>
            <w:tcW w:w="1119" w:type="dxa"/>
          </w:tcPr>
          <w:p w14:paraId="788744BE" w14:textId="77777777" w:rsidR="002C6574" w:rsidRDefault="00000000">
            <w:pPr>
              <w:pStyle w:val="TableParagraph"/>
              <w:spacing w:line="195" w:lineRule="exact"/>
              <w:ind w:right="61"/>
              <w:rPr>
                <w:sz w:val="18"/>
              </w:rPr>
            </w:pPr>
            <w:r>
              <w:rPr>
                <w:spacing w:val="-2"/>
                <w:w w:val="110"/>
                <w:sz w:val="18"/>
              </w:rPr>
              <w:t>(11.040)</w:t>
            </w:r>
          </w:p>
        </w:tc>
      </w:tr>
      <w:tr w:rsidR="002C6574" w14:paraId="6A091AC7" w14:textId="77777777">
        <w:trPr>
          <w:trHeight w:val="214"/>
        </w:trPr>
        <w:tc>
          <w:tcPr>
            <w:tcW w:w="7449" w:type="dxa"/>
          </w:tcPr>
          <w:p w14:paraId="5DAA0EA0" w14:textId="77777777" w:rsidR="002C6574" w:rsidRDefault="00000000">
            <w:pPr>
              <w:pStyle w:val="TableParagraph"/>
              <w:spacing w:line="195" w:lineRule="exact"/>
              <w:ind w:left="590"/>
              <w:jc w:val="left"/>
              <w:rPr>
                <w:sz w:val="18"/>
              </w:rPr>
            </w:pPr>
            <w:r>
              <w:rPr>
                <w:spacing w:val="-2"/>
                <w:w w:val="105"/>
                <w:sz w:val="18"/>
              </w:rPr>
              <w:t>Perdas</w:t>
            </w:r>
          </w:p>
        </w:tc>
        <w:tc>
          <w:tcPr>
            <w:tcW w:w="1179" w:type="dxa"/>
          </w:tcPr>
          <w:p w14:paraId="5FFFF234" w14:textId="77777777" w:rsidR="002C6574" w:rsidRDefault="00000000">
            <w:pPr>
              <w:pStyle w:val="TableParagraph"/>
              <w:spacing w:line="195" w:lineRule="exact"/>
              <w:ind w:right="140"/>
              <w:rPr>
                <w:sz w:val="18"/>
              </w:rPr>
            </w:pPr>
            <w:r>
              <w:rPr>
                <w:spacing w:val="-2"/>
                <w:w w:val="105"/>
                <w:sz w:val="18"/>
              </w:rPr>
              <w:t>(221)</w:t>
            </w:r>
          </w:p>
        </w:tc>
        <w:tc>
          <w:tcPr>
            <w:tcW w:w="1119" w:type="dxa"/>
          </w:tcPr>
          <w:p w14:paraId="78FBAC2C" w14:textId="77777777" w:rsidR="002C6574" w:rsidRDefault="00000000">
            <w:pPr>
              <w:pStyle w:val="TableParagraph"/>
              <w:spacing w:line="195" w:lineRule="exact"/>
              <w:ind w:right="62"/>
              <w:rPr>
                <w:sz w:val="18"/>
              </w:rPr>
            </w:pPr>
            <w:r>
              <w:rPr>
                <w:spacing w:val="-4"/>
                <w:w w:val="105"/>
                <w:sz w:val="18"/>
              </w:rPr>
              <w:t>(36)</w:t>
            </w:r>
          </w:p>
        </w:tc>
      </w:tr>
      <w:tr w:rsidR="002C6574" w14:paraId="4179324D" w14:textId="77777777">
        <w:trPr>
          <w:trHeight w:val="322"/>
        </w:trPr>
        <w:tc>
          <w:tcPr>
            <w:tcW w:w="7449" w:type="dxa"/>
          </w:tcPr>
          <w:p w14:paraId="7A553BCD" w14:textId="77777777" w:rsidR="002C6574" w:rsidRDefault="00000000">
            <w:pPr>
              <w:pStyle w:val="TableParagraph"/>
              <w:spacing w:line="216" w:lineRule="exact"/>
              <w:ind w:left="590"/>
              <w:jc w:val="left"/>
              <w:rPr>
                <w:sz w:val="18"/>
              </w:rPr>
            </w:pPr>
            <w:r>
              <w:rPr>
                <w:sz w:val="18"/>
              </w:rPr>
              <w:t>Outras</w:t>
            </w:r>
            <w:r>
              <w:rPr>
                <w:spacing w:val="10"/>
                <w:sz w:val="18"/>
              </w:rPr>
              <w:t xml:space="preserve"> </w:t>
            </w:r>
            <w:r>
              <w:rPr>
                <w:spacing w:val="-2"/>
                <w:sz w:val="18"/>
              </w:rPr>
              <w:t>Despesas</w:t>
            </w:r>
          </w:p>
        </w:tc>
        <w:tc>
          <w:tcPr>
            <w:tcW w:w="1179" w:type="dxa"/>
          </w:tcPr>
          <w:p w14:paraId="32E41CD0" w14:textId="77777777" w:rsidR="002C6574" w:rsidRDefault="00000000">
            <w:pPr>
              <w:pStyle w:val="TableParagraph"/>
              <w:spacing w:line="216" w:lineRule="exact"/>
              <w:ind w:left="365"/>
              <w:jc w:val="left"/>
              <w:rPr>
                <w:sz w:val="18"/>
              </w:rPr>
            </w:pPr>
            <w:r>
              <w:rPr>
                <w:spacing w:val="-2"/>
                <w:w w:val="110"/>
                <w:sz w:val="18"/>
              </w:rPr>
              <w:t>(13.099)</w:t>
            </w:r>
          </w:p>
        </w:tc>
        <w:tc>
          <w:tcPr>
            <w:tcW w:w="1119" w:type="dxa"/>
          </w:tcPr>
          <w:p w14:paraId="74321C6B" w14:textId="77777777" w:rsidR="002C6574" w:rsidRDefault="00000000">
            <w:pPr>
              <w:pStyle w:val="TableParagraph"/>
              <w:spacing w:line="216" w:lineRule="exact"/>
              <w:ind w:right="60"/>
              <w:rPr>
                <w:sz w:val="18"/>
              </w:rPr>
            </w:pPr>
            <w:r>
              <w:rPr>
                <w:spacing w:val="-2"/>
                <w:w w:val="110"/>
                <w:sz w:val="18"/>
              </w:rPr>
              <w:t>(7.997)</w:t>
            </w:r>
          </w:p>
        </w:tc>
      </w:tr>
      <w:tr w:rsidR="002C6574" w14:paraId="5DDCC7F6" w14:textId="77777777">
        <w:trPr>
          <w:trHeight w:val="429"/>
        </w:trPr>
        <w:tc>
          <w:tcPr>
            <w:tcW w:w="7449" w:type="dxa"/>
          </w:tcPr>
          <w:p w14:paraId="618B9082" w14:textId="77777777" w:rsidR="002C6574" w:rsidRDefault="00000000">
            <w:pPr>
              <w:pStyle w:val="TableParagraph"/>
              <w:spacing w:before="108"/>
              <w:ind w:left="50"/>
              <w:jc w:val="left"/>
              <w:rPr>
                <w:rFonts w:ascii="Arial"/>
                <w:b/>
                <w:sz w:val="18"/>
              </w:rPr>
            </w:pPr>
            <w:r>
              <w:rPr>
                <w:rFonts w:ascii="Arial"/>
                <w:b/>
                <w:sz w:val="18"/>
              </w:rPr>
              <w:t>Valor</w:t>
            </w:r>
            <w:r>
              <w:rPr>
                <w:rFonts w:ascii="Arial"/>
                <w:b/>
                <w:spacing w:val="-2"/>
                <w:sz w:val="18"/>
              </w:rPr>
              <w:t xml:space="preserve"> </w:t>
            </w:r>
            <w:r>
              <w:rPr>
                <w:rFonts w:ascii="Arial"/>
                <w:b/>
                <w:sz w:val="18"/>
              </w:rPr>
              <w:t>Adicionado</w:t>
            </w:r>
            <w:r>
              <w:rPr>
                <w:rFonts w:ascii="Arial"/>
                <w:b/>
                <w:spacing w:val="1"/>
                <w:sz w:val="18"/>
              </w:rPr>
              <w:t xml:space="preserve"> </w:t>
            </w:r>
            <w:r>
              <w:rPr>
                <w:rFonts w:ascii="Arial"/>
                <w:b/>
                <w:spacing w:val="-4"/>
                <w:sz w:val="18"/>
              </w:rPr>
              <w:t>Bruto</w:t>
            </w:r>
          </w:p>
        </w:tc>
        <w:tc>
          <w:tcPr>
            <w:tcW w:w="1179" w:type="dxa"/>
          </w:tcPr>
          <w:p w14:paraId="4233B194" w14:textId="77777777" w:rsidR="002C6574" w:rsidRDefault="00000000">
            <w:pPr>
              <w:pStyle w:val="TableParagraph"/>
              <w:spacing w:before="108"/>
              <w:ind w:left="384"/>
              <w:jc w:val="left"/>
              <w:rPr>
                <w:rFonts w:ascii="Arial"/>
                <w:b/>
                <w:sz w:val="18"/>
              </w:rPr>
            </w:pPr>
            <w:r>
              <w:rPr>
                <w:rFonts w:ascii="Arial"/>
                <w:b/>
                <w:spacing w:val="-2"/>
                <w:sz w:val="18"/>
              </w:rPr>
              <w:t>704.450</w:t>
            </w:r>
          </w:p>
        </w:tc>
        <w:tc>
          <w:tcPr>
            <w:tcW w:w="1119" w:type="dxa"/>
          </w:tcPr>
          <w:p w14:paraId="54305940" w14:textId="77777777" w:rsidR="002C6574" w:rsidRDefault="00000000">
            <w:pPr>
              <w:pStyle w:val="TableParagraph"/>
              <w:spacing w:before="108"/>
              <w:ind w:right="61"/>
              <w:rPr>
                <w:rFonts w:ascii="Arial"/>
                <w:b/>
                <w:sz w:val="18"/>
              </w:rPr>
            </w:pPr>
            <w:r>
              <w:rPr>
                <w:rFonts w:ascii="Arial"/>
                <w:b/>
                <w:spacing w:val="-2"/>
                <w:sz w:val="18"/>
              </w:rPr>
              <w:t>458.131</w:t>
            </w:r>
          </w:p>
        </w:tc>
      </w:tr>
      <w:tr w:rsidR="002C6574" w14:paraId="31601071" w14:textId="77777777">
        <w:trPr>
          <w:trHeight w:val="322"/>
        </w:trPr>
        <w:tc>
          <w:tcPr>
            <w:tcW w:w="7449" w:type="dxa"/>
          </w:tcPr>
          <w:p w14:paraId="79F00ECA" w14:textId="77777777" w:rsidR="002C6574" w:rsidRDefault="00000000">
            <w:pPr>
              <w:pStyle w:val="TableParagraph"/>
              <w:spacing w:before="108" w:line="194" w:lineRule="exact"/>
              <w:ind w:left="50"/>
              <w:jc w:val="left"/>
              <w:rPr>
                <w:rFonts w:ascii="Arial" w:hAnsi="Arial"/>
                <w:b/>
                <w:sz w:val="18"/>
              </w:rPr>
            </w:pPr>
            <w:r>
              <w:rPr>
                <w:rFonts w:ascii="Arial" w:hAnsi="Arial"/>
                <w:b/>
                <w:spacing w:val="-2"/>
                <w:sz w:val="18"/>
              </w:rPr>
              <w:t>Retenções</w:t>
            </w:r>
          </w:p>
        </w:tc>
        <w:tc>
          <w:tcPr>
            <w:tcW w:w="1179" w:type="dxa"/>
          </w:tcPr>
          <w:p w14:paraId="09746734" w14:textId="77777777" w:rsidR="002C6574" w:rsidRDefault="00000000">
            <w:pPr>
              <w:pStyle w:val="TableParagraph"/>
              <w:spacing w:before="108" w:line="194" w:lineRule="exact"/>
              <w:ind w:left="264"/>
              <w:jc w:val="left"/>
              <w:rPr>
                <w:rFonts w:ascii="Arial"/>
                <w:b/>
                <w:sz w:val="18"/>
              </w:rPr>
            </w:pPr>
            <w:r>
              <w:rPr>
                <w:rFonts w:ascii="Arial"/>
                <w:b/>
                <w:spacing w:val="-2"/>
                <w:sz w:val="18"/>
              </w:rPr>
              <w:t>(274.106)</w:t>
            </w:r>
          </w:p>
        </w:tc>
        <w:tc>
          <w:tcPr>
            <w:tcW w:w="1119" w:type="dxa"/>
          </w:tcPr>
          <w:p w14:paraId="51A7E745" w14:textId="77777777" w:rsidR="002C6574" w:rsidRDefault="00000000">
            <w:pPr>
              <w:pStyle w:val="TableParagraph"/>
              <w:spacing w:before="108" w:line="194" w:lineRule="exact"/>
              <w:ind w:left="282"/>
              <w:jc w:val="left"/>
              <w:rPr>
                <w:rFonts w:ascii="Arial"/>
                <w:b/>
                <w:sz w:val="18"/>
              </w:rPr>
            </w:pPr>
            <w:r>
              <w:rPr>
                <w:rFonts w:ascii="Arial"/>
                <w:b/>
                <w:spacing w:val="-2"/>
                <w:sz w:val="18"/>
              </w:rPr>
              <w:t>(270.044)</w:t>
            </w:r>
          </w:p>
        </w:tc>
      </w:tr>
      <w:tr w:rsidR="002C6574" w14:paraId="55E4B7A6" w14:textId="77777777">
        <w:trPr>
          <w:trHeight w:val="322"/>
        </w:trPr>
        <w:tc>
          <w:tcPr>
            <w:tcW w:w="7449" w:type="dxa"/>
          </w:tcPr>
          <w:p w14:paraId="4D6398BD" w14:textId="77777777" w:rsidR="002C6574" w:rsidRDefault="00000000">
            <w:pPr>
              <w:pStyle w:val="TableParagraph"/>
              <w:spacing w:line="216" w:lineRule="exact"/>
              <w:ind w:left="550"/>
              <w:jc w:val="left"/>
              <w:rPr>
                <w:sz w:val="18"/>
              </w:rPr>
            </w:pPr>
            <w:r>
              <w:rPr>
                <w:sz w:val="18"/>
              </w:rPr>
              <w:t>Depreciação</w:t>
            </w:r>
            <w:r>
              <w:rPr>
                <w:spacing w:val="13"/>
                <w:sz w:val="18"/>
              </w:rPr>
              <w:t xml:space="preserve"> </w:t>
            </w:r>
            <w:r>
              <w:rPr>
                <w:sz w:val="18"/>
              </w:rPr>
              <w:t>e</w:t>
            </w:r>
            <w:r>
              <w:rPr>
                <w:spacing w:val="15"/>
                <w:sz w:val="18"/>
              </w:rPr>
              <w:t xml:space="preserve"> </w:t>
            </w:r>
            <w:r>
              <w:rPr>
                <w:spacing w:val="-2"/>
                <w:sz w:val="18"/>
              </w:rPr>
              <w:t>Amortização</w:t>
            </w:r>
          </w:p>
        </w:tc>
        <w:tc>
          <w:tcPr>
            <w:tcW w:w="1179" w:type="dxa"/>
          </w:tcPr>
          <w:p w14:paraId="00E774C3" w14:textId="77777777" w:rsidR="002C6574" w:rsidRDefault="00000000">
            <w:pPr>
              <w:pStyle w:val="TableParagraph"/>
              <w:spacing w:line="216" w:lineRule="exact"/>
              <w:ind w:left="263"/>
              <w:jc w:val="left"/>
              <w:rPr>
                <w:sz w:val="18"/>
              </w:rPr>
            </w:pPr>
            <w:r>
              <w:rPr>
                <w:spacing w:val="-2"/>
                <w:w w:val="105"/>
                <w:sz w:val="18"/>
              </w:rPr>
              <w:t>(274.106)</w:t>
            </w:r>
          </w:p>
        </w:tc>
        <w:tc>
          <w:tcPr>
            <w:tcW w:w="1119" w:type="dxa"/>
          </w:tcPr>
          <w:p w14:paraId="4A77181C" w14:textId="77777777" w:rsidR="002C6574" w:rsidRDefault="00000000">
            <w:pPr>
              <w:pStyle w:val="TableParagraph"/>
              <w:spacing w:line="216" w:lineRule="exact"/>
              <w:ind w:left="282"/>
              <w:jc w:val="left"/>
              <w:rPr>
                <w:sz w:val="18"/>
              </w:rPr>
            </w:pPr>
            <w:r>
              <w:rPr>
                <w:spacing w:val="-2"/>
                <w:w w:val="105"/>
                <w:sz w:val="18"/>
              </w:rPr>
              <w:t>(270.044)</w:t>
            </w:r>
          </w:p>
        </w:tc>
      </w:tr>
      <w:tr w:rsidR="002C6574" w14:paraId="47C6A949" w14:textId="77777777">
        <w:trPr>
          <w:trHeight w:val="429"/>
        </w:trPr>
        <w:tc>
          <w:tcPr>
            <w:tcW w:w="7449" w:type="dxa"/>
          </w:tcPr>
          <w:p w14:paraId="42663991" w14:textId="77777777" w:rsidR="002C6574" w:rsidRDefault="00000000">
            <w:pPr>
              <w:pStyle w:val="TableParagraph"/>
              <w:spacing w:before="108"/>
              <w:ind w:left="100"/>
              <w:jc w:val="left"/>
              <w:rPr>
                <w:rFonts w:ascii="Arial" w:hAnsi="Arial"/>
                <w:b/>
                <w:sz w:val="18"/>
              </w:rPr>
            </w:pPr>
            <w:r>
              <w:rPr>
                <w:rFonts w:ascii="Arial" w:hAnsi="Arial"/>
                <w:b/>
                <w:sz w:val="18"/>
              </w:rPr>
              <w:t>Valor</w:t>
            </w:r>
            <w:r>
              <w:rPr>
                <w:rFonts w:ascii="Arial" w:hAnsi="Arial"/>
                <w:b/>
                <w:spacing w:val="-3"/>
                <w:sz w:val="18"/>
              </w:rPr>
              <w:t xml:space="preserve"> </w:t>
            </w:r>
            <w:r>
              <w:rPr>
                <w:rFonts w:ascii="Arial" w:hAnsi="Arial"/>
                <w:b/>
                <w:sz w:val="18"/>
              </w:rPr>
              <w:t>Adicionado</w:t>
            </w:r>
            <w:r>
              <w:rPr>
                <w:rFonts w:ascii="Arial" w:hAnsi="Arial"/>
                <w:b/>
                <w:spacing w:val="-2"/>
                <w:sz w:val="18"/>
              </w:rPr>
              <w:t xml:space="preserve"> </w:t>
            </w:r>
            <w:r>
              <w:rPr>
                <w:rFonts w:ascii="Arial" w:hAnsi="Arial"/>
                <w:b/>
                <w:sz w:val="18"/>
              </w:rPr>
              <w:t xml:space="preserve">Líquido </w:t>
            </w:r>
            <w:r>
              <w:rPr>
                <w:rFonts w:ascii="Arial" w:hAnsi="Arial"/>
                <w:b/>
                <w:spacing w:val="-2"/>
                <w:sz w:val="18"/>
              </w:rPr>
              <w:t>Produzido</w:t>
            </w:r>
          </w:p>
        </w:tc>
        <w:tc>
          <w:tcPr>
            <w:tcW w:w="1179" w:type="dxa"/>
          </w:tcPr>
          <w:p w14:paraId="66BB367B" w14:textId="77777777" w:rsidR="002C6574" w:rsidRDefault="00000000">
            <w:pPr>
              <w:pStyle w:val="TableParagraph"/>
              <w:spacing w:before="108"/>
              <w:ind w:left="384"/>
              <w:jc w:val="left"/>
              <w:rPr>
                <w:rFonts w:ascii="Arial"/>
                <w:b/>
                <w:sz w:val="18"/>
              </w:rPr>
            </w:pPr>
            <w:r>
              <w:rPr>
                <w:rFonts w:ascii="Arial"/>
                <w:b/>
                <w:spacing w:val="-2"/>
                <w:sz w:val="18"/>
              </w:rPr>
              <w:t>430.344</w:t>
            </w:r>
          </w:p>
        </w:tc>
        <w:tc>
          <w:tcPr>
            <w:tcW w:w="1119" w:type="dxa"/>
          </w:tcPr>
          <w:p w14:paraId="3725FF79" w14:textId="77777777" w:rsidR="002C6574" w:rsidRDefault="00000000">
            <w:pPr>
              <w:pStyle w:val="TableParagraph"/>
              <w:spacing w:before="108"/>
              <w:ind w:right="61"/>
              <w:rPr>
                <w:rFonts w:ascii="Arial"/>
                <w:b/>
                <w:sz w:val="18"/>
              </w:rPr>
            </w:pPr>
            <w:r>
              <w:rPr>
                <w:rFonts w:ascii="Arial"/>
                <w:b/>
                <w:spacing w:val="-2"/>
                <w:sz w:val="18"/>
              </w:rPr>
              <w:t>188.087</w:t>
            </w:r>
          </w:p>
        </w:tc>
      </w:tr>
      <w:tr w:rsidR="002C6574" w14:paraId="22D5CEE8" w14:textId="77777777">
        <w:trPr>
          <w:trHeight w:val="322"/>
        </w:trPr>
        <w:tc>
          <w:tcPr>
            <w:tcW w:w="7449" w:type="dxa"/>
          </w:tcPr>
          <w:p w14:paraId="2B5937AD" w14:textId="77777777" w:rsidR="002C6574" w:rsidRDefault="00000000">
            <w:pPr>
              <w:pStyle w:val="TableParagraph"/>
              <w:spacing w:before="108" w:line="194" w:lineRule="exact"/>
              <w:ind w:left="100"/>
              <w:jc w:val="left"/>
              <w:rPr>
                <w:rFonts w:ascii="Arial" w:hAnsi="Arial"/>
                <w:b/>
                <w:sz w:val="18"/>
              </w:rPr>
            </w:pPr>
            <w:r>
              <w:rPr>
                <w:rFonts w:ascii="Arial" w:hAnsi="Arial"/>
                <w:b/>
                <w:sz w:val="18"/>
              </w:rPr>
              <w:t>Valor Adicionado</w:t>
            </w:r>
            <w:r>
              <w:rPr>
                <w:rFonts w:ascii="Arial" w:hAnsi="Arial"/>
                <w:b/>
                <w:spacing w:val="-2"/>
                <w:sz w:val="18"/>
              </w:rPr>
              <w:t xml:space="preserve"> </w:t>
            </w:r>
            <w:r>
              <w:rPr>
                <w:rFonts w:ascii="Arial" w:hAnsi="Arial"/>
                <w:b/>
                <w:sz w:val="18"/>
              </w:rPr>
              <w:t>Recebido</w:t>
            </w:r>
            <w:r>
              <w:rPr>
                <w:rFonts w:ascii="Arial" w:hAnsi="Arial"/>
                <w:b/>
                <w:spacing w:val="-2"/>
                <w:sz w:val="18"/>
              </w:rPr>
              <w:t xml:space="preserve"> </w:t>
            </w:r>
            <w:r>
              <w:rPr>
                <w:rFonts w:ascii="Arial" w:hAnsi="Arial"/>
                <w:b/>
                <w:sz w:val="18"/>
              </w:rPr>
              <w:t>em</w:t>
            </w:r>
            <w:r>
              <w:rPr>
                <w:rFonts w:ascii="Arial" w:hAnsi="Arial"/>
                <w:b/>
                <w:spacing w:val="2"/>
                <w:sz w:val="18"/>
              </w:rPr>
              <w:t xml:space="preserve"> </w:t>
            </w:r>
            <w:r>
              <w:rPr>
                <w:rFonts w:ascii="Arial" w:hAnsi="Arial"/>
                <w:b/>
                <w:spacing w:val="-2"/>
                <w:sz w:val="18"/>
              </w:rPr>
              <w:t>Transferência</w:t>
            </w:r>
          </w:p>
        </w:tc>
        <w:tc>
          <w:tcPr>
            <w:tcW w:w="1179" w:type="dxa"/>
          </w:tcPr>
          <w:p w14:paraId="18B9BFBE" w14:textId="77777777" w:rsidR="002C6574" w:rsidRDefault="00000000">
            <w:pPr>
              <w:pStyle w:val="TableParagraph"/>
              <w:spacing w:before="108" w:line="194" w:lineRule="exact"/>
              <w:ind w:left="384"/>
              <w:jc w:val="left"/>
              <w:rPr>
                <w:rFonts w:ascii="Arial"/>
                <w:b/>
                <w:sz w:val="18"/>
              </w:rPr>
            </w:pPr>
            <w:r>
              <w:rPr>
                <w:rFonts w:ascii="Arial"/>
                <w:b/>
                <w:spacing w:val="-2"/>
                <w:sz w:val="18"/>
              </w:rPr>
              <w:t>296.459</w:t>
            </w:r>
          </w:p>
        </w:tc>
        <w:tc>
          <w:tcPr>
            <w:tcW w:w="1119" w:type="dxa"/>
          </w:tcPr>
          <w:p w14:paraId="28FD91F9" w14:textId="77777777" w:rsidR="002C6574" w:rsidRDefault="00000000">
            <w:pPr>
              <w:pStyle w:val="TableParagraph"/>
              <w:spacing w:before="108" w:line="194" w:lineRule="exact"/>
              <w:ind w:right="61"/>
              <w:rPr>
                <w:rFonts w:ascii="Arial"/>
                <w:b/>
                <w:sz w:val="18"/>
              </w:rPr>
            </w:pPr>
            <w:r>
              <w:rPr>
                <w:rFonts w:ascii="Arial"/>
                <w:b/>
                <w:spacing w:val="-2"/>
                <w:sz w:val="18"/>
              </w:rPr>
              <w:t>199.598</w:t>
            </w:r>
          </w:p>
        </w:tc>
      </w:tr>
      <w:tr w:rsidR="002C6574" w14:paraId="63AD4E5C" w14:textId="77777777">
        <w:trPr>
          <w:trHeight w:val="214"/>
        </w:trPr>
        <w:tc>
          <w:tcPr>
            <w:tcW w:w="7449" w:type="dxa"/>
          </w:tcPr>
          <w:p w14:paraId="7F6F5EC3" w14:textId="77777777" w:rsidR="002C6574" w:rsidRDefault="00000000">
            <w:pPr>
              <w:pStyle w:val="TableParagraph"/>
              <w:spacing w:line="195" w:lineRule="exact"/>
              <w:ind w:left="590"/>
              <w:jc w:val="left"/>
              <w:rPr>
                <w:sz w:val="18"/>
              </w:rPr>
            </w:pPr>
            <w:r>
              <w:rPr>
                <w:sz w:val="18"/>
              </w:rPr>
              <w:t>Resultado</w:t>
            </w:r>
            <w:r>
              <w:rPr>
                <w:spacing w:val="7"/>
                <w:sz w:val="18"/>
              </w:rPr>
              <w:t xml:space="preserve"> </w:t>
            </w:r>
            <w:r>
              <w:rPr>
                <w:sz w:val="18"/>
              </w:rPr>
              <w:t>de</w:t>
            </w:r>
            <w:r>
              <w:rPr>
                <w:spacing w:val="13"/>
                <w:sz w:val="18"/>
              </w:rPr>
              <w:t xml:space="preserve"> </w:t>
            </w:r>
            <w:r>
              <w:rPr>
                <w:sz w:val="18"/>
              </w:rPr>
              <w:t>Equivalência</w:t>
            </w:r>
            <w:r>
              <w:rPr>
                <w:spacing w:val="9"/>
                <w:sz w:val="18"/>
              </w:rPr>
              <w:t xml:space="preserve"> </w:t>
            </w:r>
            <w:r>
              <w:rPr>
                <w:sz w:val="18"/>
              </w:rPr>
              <w:t>Patrimonial</w:t>
            </w:r>
            <w:r>
              <w:rPr>
                <w:spacing w:val="8"/>
                <w:sz w:val="18"/>
              </w:rPr>
              <w:t xml:space="preserve"> </w:t>
            </w:r>
            <w:r>
              <w:rPr>
                <w:sz w:val="18"/>
              </w:rPr>
              <w:t>sobre</w:t>
            </w:r>
            <w:r>
              <w:rPr>
                <w:spacing w:val="9"/>
                <w:sz w:val="18"/>
              </w:rPr>
              <w:t xml:space="preserve"> </w:t>
            </w:r>
            <w:r>
              <w:rPr>
                <w:spacing w:val="-2"/>
                <w:sz w:val="18"/>
              </w:rPr>
              <w:t>Resultado</w:t>
            </w:r>
          </w:p>
        </w:tc>
        <w:tc>
          <w:tcPr>
            <w:tcW w:w="1179" w:type="dxa"/>
          </w:tcPr>
          <w:p w14:paraId="6E935FCA" w14:textId="77777777" w:rsidR="002C6574" w:rsidRDefault="00000000">
            <w:pPr>
              <w:pStyle w:val="TableParagraph"/>
              <w:spacing w:line="195" w:lineRule="exact"/>
              <w:ind w:right="142"/>
              <w:rPr>
                <w:sz w:val="18"/>
              </w:rPr>
            </w:pPr>
            <w:r>
              <w:rPr>
                <w:spacing w:val="-5"/>
                <w:w w:val="105"/>
                <w:sz w:val="18"/>
              </w:rPr>
              <w:t>369</w:t>
            </w:r>
          </w:p>
        </w:tc>
        <w:tc>
          <w:tcPr>
            <w:tcW w:w="1119" w:type="dxa"/>
          </w:tcPr>
          <w:p w14:paraId="26CEB974" w14:textId="77777777" w:rsidR="002C6574" w:rsidRDefault="00000000">
            <w:pPr>
              <w:pStyle w:val="TableParagraph"/>
              <w:spacing w:line="195" w:lineRule="exact"/>
              <w:ind w:right="60"/>
              <w:rPr>
                <w:sz w:val="18"/>
              </w:rPr>
            </w:pPr>
            <w:r>
              <w:rPr>
                <w:spacing w:val="-2"/>
                <w:w w:val="110"/>
                <w:sz w:val="18"/>
              </w:rPr>
              <w:t>(1.013)</w:t>
            </w:r>
          </w:p>
        </w:tc>
      </w:tr>
      <w:tr w:rsidR="002C6574" w14:paraId="77FDDC23" w14:textId="77777777">
        <w:trPr>
          <w:trHeight w:val="214"/>
        </w:trPr>
        <w:tc>
          <w:tcPr>
            <w:tcW w:w="7449" w:type="dxa"/>
          </w:tcPr>
          <w:p w14:paraId="0AA41A9C" w14:textId="77777777" w:rsidR="002C6574" w:rsidRDefault="00000000">
            <w:pPr>
              <w:pStyle w:val="TableParagraph"/>
              <w:spacing w:line="195" w:lineRule="exact"/>
              <w:ind w:left="590"/>
              <w:jc w:val="left"/>
              <w:rPr>
                <w:sz w:val="18"/>
              </w:rPr>
            </w:pPr>
            <w:r>
              <w:rPr>
                <w:w w:val="105"/>
                <w:sz w:val="18"/>
              </w:rPr>
              <w:t>Receitas</w:t>
            </w:r>
            <w:r>
              <w:rPr>
                <w:spacing w:val="9"/>
                <w:w w:val="105"/>
                <w:sz w:val="18"/>
              </w:rPr>
              <w:t xml:space="preserve"> </w:t>
            </w:r>
            <w:r>
              <w:rPr>
                <w:spacing w:val="-2"/>
                <w:w w:val="105"/>
                <w:sz w:val="18"/>
              </w:rPr>
              <w:t>Financeiras</w:t>
            </w:r>
          </w:p>
        </w:tc>
        <w:tc>
          <w:tcPr>
            <w:tcW w:w="1179" w:type="dxa"/>
          </w:tcPr>
          <w:p w14:paraId="549D7776" w14:textId="77777777" w:rsidR="002C6574" w:rsidRDefault="00000000">
            <w:pPr>
              <w:pStyle w:val="TableParagraph"/>
              <w:spacing w:line="195" w:lineRule="exact"/>
              <w:ind w:left="384"/>
              <w:jc w:val="left"/>
              <w:rPr>
                <w:sz w:val="18"/>
              </w:rPr>
            </w:pPr>
            <w:r>
              <w:rPr>
                <w:spacing w:val="-2"/>
                <w:w w:val="105"/>
                <w:sz w:val="18"/>
              </w:rPr>
              <w:t>220.807</w:t>
            </w:r>
          </w:p>
        </w:tc>
        <w:tc>
          <w:tcPr>
            <w:tcW w:w="1119" w:type="dxa"/>
          </w:tcPr>
          <w:p w14:paraId="37FCCAD3" w14:textId="77777777" w:rsidR="002C6574" w:rsidRDefault="00000000">
            <w:pPr>
              <w:pStyle w:val="TableParagraph"/>
              <w:spacing w:line="195" w:lineRule="exact"/>
              <w:ind w:right="63"/>
              <w:rPr>
                <w:sz w:val="18"/>
              </w:rPr>
            </w:pPr>
            <w:r>
              <w:rPr>
                <w:spacing w:val="-2"/>
                <w:w w:val="105"/>
                <w:sz w:val="18"/>
              </w:rPr>
              <w:t>123.579</w:t>
            </w:r>
          </w:p>
        </w:tc>
      </w:tr>
      <w:tr w:rsidR="002C6574" w14:paraId="2A0EE3AF" w14:textId="77777777">
        <w:trPr>
          <w:trHeight w:val="322"/>
        </w:trPr>
        <w:tc>
          <w:tcPr>
            <w:tcW w:w="7449" w:type="dxa"/>
          </w:tcPr>
          <w:p w14:paraId="60F32299" w14:textId="77777777" w:rsidR="002C6574" w:rsidRDefault="00000000">
            <w:pPr>
              <w:pStyle w:val="TableParagraph"/>
              <w:spacing w:line="216" w:lineRule="exact"/>
              <w:ind w:left="590"/>
              <w:jc w:val="left"/>
              <w:rPr>
                <w:sz w:val="18"/>
              </w:rPr>
            </w:pPr>
            <w:r>
              <w:rPr>
                <w:spacing w:val="-2"/>
                <w:sz w:val="18"/>
              </w:rPr>
              <w:t>Aluguéis</w:t>
            </w:r>
          </w:p>
        </w:tc>
        <w:tc>
          <w:tcPr>
            <w:tcW w:w="1179" w:type="dxa"/>
          </w:tcPr>
          <w:p w14:paraId="6A833965" w14:textId="77777777" w:rsidR="002C6574" w:rsidRDefault="00000000">
            <w:pPr>
              <w:pStyle w:val="TableParagraph"/>
              <w:spacing w:line="216" w:lineRule="exact"/>
              <w:ind w:left="484"/>
              <w:jc w:val="left"/>
              <w:rPr>
                <w:sz w:val="18"/>
              </w:rPr>
            </w:pPr>
            <w:r>
              <w:rPr>
                <w:spacing w:val="-2"/>
                <w:w w:val="105"/>
                <w:sz w:val="18"/>
              </w:rPr>
              <w:t>75.283</w:t>
            </w:r>
          </w:p>
        </w:tc>
        <w:tc>
          <w:tcPr>
            <w:tcW w:w="1119" w:type="dxa"/>
          </w:tcPr>
          <w:p w14:paraId="473DD486" w14:textId="77777777" w:rsidR="002C6574" w:rsidRDefault="00000000">
            <w:pPr>
              <w:pStyle w:val="TableParagraph"/>
              <w:spacing w:line="216" w:lineRule="exact"/>
              <w:ind w:right="61"/>
              <w:rPr>
                <w:sz w:val="18"/>
              </w:rPr>
            </w:pPr>
            <w:r>
              <w:rPr>
                <w:spacing w:val="-2"/>
                <w:w w:val="105"/>
                <w:sz w:val="18"/>
              </w:rPr>
              <w:t>77.032</w:t>
            </w:r>
          </w:p>
        </w:tc>
      </w:tr>
      <w:tr w:rsidR="002C6574" w14:paraId="64D53D37" w14:textId="77777777">
        <w:trPr>
          <w:trHeight w:val="429"/>
        </w:trPr>
        <w:tc>
          <w:tcPr>
            <w:tcW w:w="7449" w:type="dxa"/>
          </w:tcPr>
          <w:p w14:paraId="18418399" w14:textId="77777777" w:rsidR="002C6574" w:rsidRDefault="00000000">
            <w:pPr>
              <w:pStyle w:val="TableParagraph"/>
              <w:spacing w:before="108"/>
              <w:ind w:left="100"/>
              <w:jc w:val="left"/>
              <w:rPr>
                <w:rFonts w:ascii="Arial"/>
                <w:b/>
                <w:sz w:val="18"/>
              </w:rPr>
            </w:pPr>
            <w:r>
              <w:rPr>
                <w:rFonts w:ascii="Arial"/>
                <w:b/>
                <w:sz w:val="18"/>
              </w:rPr>
              <w:t>Valor Adicionado</w:t>
            </w:r>
            <w:r>
              <w:rPr>
                <w:rFonts w:ascii="Arial"/>
                <w:b/>
                <w:spacing w:val="-1"/>
                <w:sz w:val="18"/>
              </w:rPr>
              <w:t xml:space="preserve"> </w:t>
            </w:r>
            <w:r>
              <w:rPr>
                <w:rFonts w:ascii="Arial"/>
                <w:b/>
                <w:sz w:val="18"/>
              </w:rPr>
              <w:t>Total</w:t>
            </w:r>
            <w:r>
              <w:rPr>
                <w:rFonts w:ascii="Arial"/>
                <w:b/>
                <w:spacing w:val="-2"/>
                <w:sz w:val="18"/>
              </w:rPr>
              <w:t xml:space="preserve"> </w:t>
            </w:r>
            <w:r>
              <w:rPr>
                <w:rFonts w:ascii="Arial"/>
                <w:b/>
                <w:sz w:val="18"/>
              </w:rPr>
              <w:t>a</w:t>
            </w:r>
            <w:r>
              <w:rPr>
                <w:rFonts w:ascii="Arial"/>
                <w:b/>
                <w:spacing w:val="1"/>
                <w:sz w:val="18"/>
              </w:rPr>
              <w:t xml:space="preserve"> </w:t>
            </w:r>
            <w:r>
              <w:rPr>
                <w:rFonts w:ascii="Arial"/>
                <w:b/>
                <w:spacing w:val="-2"/>
                <w:sz w:val="18"/>
              </w:rPr>
              <w:t>Distribuir</w:t>
            </w:r>
          </w:p>
        </w:tc>
        <w:tc>
          <w:tcPr>
            <w:tcW w:w="1179" w:type="dxa"/>
          </w:tcPr>
          <w:p w14:paraId="246241F3" w14:textId="77777777" w:rsidR="002C6574" w:rsidRDefault="00000000">
            <w:pPr>
              <w:pStyle w:val="TableParagraph"/>
              <w:spacing w:before="108"/>
              <w:ind w:left="384"/>
              <w:jc w:val="left"/>
              <w:rPr>
                <w:rFonts w:ascii="Arial"/>
                <w:b/>
                <w:sz w:val="18"/>
              </w:rPr>
            </w:pPr>
            <w:r>
              <w:rPr>
                <w:rFonts w:ascii="Arial"/>
                <w:b/>
                <w:spacing w:val="-2"/>
                <w:sz w:val="18"/>
              </w:rPr>
              <w:t>726.803</w:t>
            </w:r>
          </w:p>
        </w:tc>
        <w:tc>
          <w:tcPr>
            <w:tcW w:w="1119" w:type="dxa"/>
          </w:tcPr>
          <w:p w14:paraId="6888D80C" w14:textId="77777777" w:rsidR="002C6574" w:rsidRDefault="00000000">
            <w:pPr>
              <w:pStyle w:val="TableParagraph"/>
              <w:spacing w:before="108"/>
              <w:ind w:right="61"/>
              <w:rPr>
                <w:rFonts w:ascii="Arial"/>
                <w:b/>
                <w:sz w:val="18"/>
              </w:rPr>
            </w:pPr>
            <w:r>
              <w:rPr>
                <w:rFonts w:ascii="Arial"/>
                <w:b/>
                <w:spacing w:val="-2"/>
                <w:sz w:val="18"/>
              </w:rPr>
              <w:t>387.685</w:t>
            </w:r>
          </w:p>
        </w:tc>
      </w:tr>
      <w:tr w:rsidR="002C6574" w14:paraId="1174C61A" w14:textId="77777777">
        <w:trPr>
          <w:trHeight w:val="429"/>
        </w:trPr>
        <w:tc>
          <w:tcPr>
            <w:tcW w:w="7449" w:type="dxa"/>
          </w:tcPr>
          <w:p w14:paraId="639A66A8" w14:textId="77777777" w:rsidR="002C6574" w:rsidRDefault="00000000">
            <w:pPr>
              <w:pStyle w:val="TableParagraph"/>
              <w:spacing w:before="108"/>
              <w:ind w:left="50"/>
              <w:jc w:val="left"/>
              <w:rPr>
                <w:rFonts w:ascii="Arial" w:hAnsi="Arial"/>
                <w:b/>
                <w:sz w:val="18"/>
              </w:rPr>
            </w:pPr>
            <w:r>
              <w:rPr>
                <w:rFonts w:ascii="Arial" w:hAnsi="Arial"/>
                <w:b/>
                <w:sz w:val="18"/>
              </w:rPr>
              <w:t>Distribuição</w:t>
            </w:r>
            <w:r>
              <w:rPr>
                <w:rFonts w:ascii="Arial" w:hAnsi="Arial"/>
                <w:b/>
                <w:spacing w:val="-1"/>
                <w:sz w:val="18"/>
              </w:rPr>
              <w:t xml:space="preserve"> </w:t>
            </w:r>
            <w:r>
              <w:rPr>
                <w:rFonts w:ascii="Arial" w:hAnsi="Arial"/>
                <w:b/>
                <w:sz w:val="18"/>
              </w:rPr>
              <w:t>do Valor</w:t>
            </w:r>
            <w:r>
              <w:rPr>
                <w:rFonts w:ascii="Arial" w:hAnsi="Arial"/>
                <w:b/>
                <w:spacing w:val="-3"/>
                <w:sz w:val="18"/>
              </w:rPr>
              <w:t xml:space="preserve"> </w:t>
            </w:r>
            <w:r>
              <w:rPr>
                <w:rFonts w:ascii="Arial" w:hAnsi="Arial"/>
                <w:b/>
                <w:spacing w:val="-2"/>
                <w:sz w:val="18"/>
              </w:rPr>
              <w:t>Adicionado</w:t>
            </w:r>
          </w:p>
        </w:tc>
        <w:tc>
          <w:tcPr>
            <w:tcW w:w="1179" w:type="dxa"/>
          </w:tcPr>
          <w:p w14:paraId="356128A7" w14:textId="77777777" w:rsidR="002C6574" w:rsidRDefault="00000000">
            <w:pPr>
              <w:pStyle w:val="TableParagraph"/>
              <w:spacing w:before="108"/>
              <w:ind w:left="384"/>
              <w:jc w:val="left"/>
              <w:rPr>
                <w:rFonts w:ascii="Arial"/>
                <w:b/>
                <w:sz w:val="18"/>
              </w:rPr>
            </w:pPr>
            <w:r>
              <w:rPr>
                <w:rFonts w:ascii="Arial"/>
                <w:b/>
                <w:spacing w:val="-2"/>
                <w:sz w:val="18"/>
              </w:rPr>
              <w:t>726.803</w:t>
            </w:r>
          </w:p>
        </w:tc>
        <w:tc>
          <w:tcPr>
            <w:tcW w:w="1119" w:type="dxa"/>
          </w:tcPr>
          <w:p w14:paraId="6B615E8A" w14:textId="77777777" w:rsidR="002C6574" w:rsidRDefault="00000000">
            <w:pPr>
              <w:pStyle w:val="TableParagraph"/>
              <w:spacing w:before="108"/>
              <w:ind w:right="61"/>
              <w:rPr>
                <w:rFonts w:ascii="Arial"/>
                <w:b/>
                <w:sz w:val="18"/>
              </w:rPr>
            </w:pPr>
            <w:r>
              <w:rPr>
                <w:rFonts w:ascii="Arial"/>
                <w:b/>
                <w:spacing w:val="-2"/>
                <w:sz w:val="18"/>
              </w:rPr>
              <w:t>387.685</w:t>
            </w:r>
          </w:p>
        </w:tc>
      </w:tr>
      <w:tr w:rsidR="002C6574" w14:paraId="3FD0BB01" w14:textId="77777777">
        <w:trPr>
          <w:trHeight w:val="322"/>
        </w:trPr>
        <w:tc>
          <w:tcPr>
            <w:tcW w:w="7449" w:type="dxa"/>
          </w:tcPr>
          <w:p w14:paraId="47E09190" w14:textId="77777777" w:rsidR="002C6574" w:rsidRDefault="00000000">
            <w:pPr>
              <w:pStyle w:val="TableParagraph"/>
              <w:spacing w:before="108" w:line="194" w:lineRule="exact"/>
              <w:ind w:left="410"/>
              <w:jc w:val="left"/>
              <w:rPr>
                <w:rFonts w:ascii="Arial"/>
                <w:b/>
                <w:sz w:val="18"/>
              </w:rPr>
            </w:pPr>
            <w:r>
              <w:rPr>
                <w:rFonts w:ascii="Arial"/>
                <w:b/>
                <w:spacing w:val="-2"/>
                <w:sz w:val="18"/>
              </w:rPr>
              <w:t>Empregados</w:t>
            </w:r>
          </w:p>
        </w:tc>
        <w:tc>
          <w:tcPr>
            <w:tcW w:w="1179" w:type="dxa"/>
          </w:tcPr>
          <w:p w14:paraId="0D3D0B0C" w14:textId="77777777" w:rsidR="002C6574" w:rsidRDefault="00000000">
            <w:pPr>
              <w:pStyle w:val="TableParagraph"/>
              <w:spacing w:before="108" w:line="194" w:lineRule="exact"/>
              <w:ind w:left="384"/>
              <w:jc w:val="left"/>
              <w:rPr>
                <w:rFonts w:ascii="Arial"/>
                <w:b/>
                <w:sz w:val="18"/>
              </w:rPr>
            </w:pPr>
            <w:r>
              <w:rPr>
                <w:rFonts w:ascii="Arial"/>
                <w:b/>
                <w:spacing w:val="-2"/>
                <w:sz w:val="18"/>
              </w:rPr>
              <w:t>124.842</w:t>
            </w:r>
          </w:p>
        </w:tc>
        <w:tc>
          <w:tcPr>
            <w:tcW w:w="1119" w:type="dxa"/>
          </w:tcPr>
          <w:p w14:paraId="79DD74A4" w14:textId="77777777" w:rsidR="002C6574" w:rsidRDefault="00000000">
            <w:pPr>
              <w:pStyle w:val="TableParagraph"/>
              <w:spacing w:before="108" w:line="194" w:lineRule="exact"/>
              <w:ind w:right="61"/>
              <w:rPr>
                <w:rFonts w:ascii="Arial"/>
                <w:b/>
                <w:sz w:val="18"/>
              </w:rPr>
            </w:pPr>
            <w:r>
              <w:rPr>
                <w:rFonts w:ascii="Arial"/>
                <w:b/>
                <w:spacing w:val="-2"/>
                <w:sz w:val="18"/>
              </w:rPr>
              <w:t>114.140</w:t>
            </w:r>
          </w:p>
        </w:tc>
      </w:tr>
      <w:tr w:rsidR="002C6574" w14:paraId="74489E40" w14:textId="77777777">
        <w:trPr>
          <w:trHeight w:val="215"/>
        </w:trPr>
        <w:tc>
          <w:tcPr>
            <w:tcW w:w="7449" w:type="dxa"/>
          </w:tcPr>
          <w:p w14:paraId="45A2DFEB" w14:textId="77777777" w:rsidR="002C6574" w:rsidRDefault="00000000">
            <w:pPr>
              <w:pStyle w:val="TableParagraph"/>
              <w:spacing w:line="196" w:lineRule="exact"/>
              <w:ind w:left="590"/>
              <w:jc w:val="left"/>
              <w:rPr>
                <w:sz w:val="18"/>
              </w:rPr>
            </w:pPr>
            <w:r>
              <w:rPr>
                <w:sz w:val="18"/>
              </w:rPr>
              <w:t>Remuneração</w:t>
            </w:r>
            <w:r>
              <w:rPr>
                <w:spacing w:val="38"/>
                <w:sz w:val="18"/>
              </w:rPr>
              <w:t xml:space="preserve"> </w:t>
            </w:r>
            <w:r>
              <w:rPr>
                <w:spacing w:val="-2"/>
                <w:sz w:val="18"/>
              </w:rPr>
              <w:t>Direta</w:t>
            </w:r>
          </w:p>
        </w:tc>
        <w:tc>
          <w:tcPr>
            <w:tcW w:w="1179" w:type="dxa"/>
          </w:tcPr>
          <w:p w14:paraId="147509F3" w14:textId="77777777" w:rsidR="002C6574" w:rsidRDefault="00000000">
            <w:pPr>
              <w:pStyle w:val="TableParagraph"/>
              <w:spacing w:line="196" w:lineRule="exact"/>
              <w:ind w:left="485"/>
              <w:jc w:val="left"/>
              <w:rPr>
                <w:sz w:val="18"/>
              </w:rPr>
            </w:pPr>
            <w:r>
              <w:rPr>
                <w:spacing w:val="-2"/>
                <w:w w:val="105"/>
                <w:sz w:val="18"/>
              </w:rPr>
              <w:t>74.257</w:t>
            </w:r>
          </w:p>
        </w:tc>
        <w:tc>
          <w:tcPr>
            <w:tcW w:w="1119" w:type="dxa"/>
          </w:tcPr>
          <w:p w14:paraId="690B5F01" w14:textId="77777777" w:rsidR="002C6574" w:rsidRDefault="00000000">
            <w:pPr>
              <w:pStyle w:val="TableParagraph"/>
              <w:spacing w:line="196" w:lineRule="exact"/>
              <w:ind w:right="61"/>
              <w:rPr>
                <w:sz w:val="18"/>
              </w:rPr>
            </w:pPr>
            <w:r>
              <w:rPr>
                <w:spacing w:val="-2"/>
                <w:w w:val="105"/>
                <w:sz w:val="18"/>
              </w:rPr>
              <w:t>70.382</w:t>
            </w:r>
          </w:p>
        </w:tc>
      </w:tr>
      <w:tr w:rsidR="002C6574" w14:paraId="63E7763F" w14:textId="77777777">
        <w:trPr>
          <w:trHeight w:val="214"/>
        </w:trPr>
        <w:tc>
          <w:tcPr>
            <w:tcW w:w="7449" w:type="dxa"/>
          </w:tcPr>
          <w:p w14:paraId="20EBE4E1" w14:textId="77777777" w:rsidR="002C6574" w:rsidRDefault="00000000">
            <w:pPr>
              <w:pStyle w:val="TableParagraph"/>
              <w:spacing w:line="195" w:lineRule="exact"/>
              <w:ind w:left="590"/>
              <w:jc w:val="left"/>
              <w:rPr>
                <w:sz w:val="18"/>
              </w:rPr>
            </w:pPr>
            <w:r>
              <w:rPr>
                <w:spacing w:val="-4"/>
                <w:w w:val="120"/>
                <w:sz w:val="18"/>
              </w:rPr>
              <w:t>FGTS</w:t>
            </w:r>
          </w:p>
        </w:tc>
        <w:tc>
          <w:tcPr>
            <w:tcW w:w="1179" w:type="dxa"/>
          </w:tcPr>
          <w:p w14:paraId="14B8474F" w14:textId="77777777" w:rsidR="002C6574" w:rsidRDefault="00000000">
            <w:pPr>
              <w:pStyle w:val="TableParagraph"/>
              <w:spacing w:line="195" w:lineRule="exact"/>
              <w:ind w:right="142"/>
              <w:rPr>
                <w:sz w:val="18"/>
              </w:rPr>
            </w:pPr>
            <w:r>
              <w:rPr>
                <w:spacing w:val="-4"/>
                <w:w w:val="110"/>
                <w:sz w:val="18"/>
              </w:rPr>
              <w:t>7.232</w:t>
            </w:r>
          </w:p>
        </w:tc>
        <w:tc>
          <w:tcPr>
            <w:tcW w:w="1119" w:type="dxa"/>
          </w:tcPr>
          <w:p w14:paraId="7C9464AF" w14:textId="77777777" w:rsidR="002C6574" w:rsidRDefault="00000000">
            <w:pPr>
              <w:pStyle w:val="TableParagraph"/>
              <w:spacing w:line="195" w:lineRule="exact"/>
              <w:ind w:right="61"/>
              <w:rPr>
                <w:sz w:val="18"/>
              </w:rPr>
            </w:pPr>
            <w:r>
              <w:rPr>
                <w:spacing w:val="-4"/>
                <w:w w:val="110"/>
                <w:sz w:val="18"/>
              </w:rPr>
              <w:t>6.494</w:t>
            </w:r>
          </w:p>
        </w:tc>
      </w:tr>
      <w:tr w:rsidR="002C6574" w14:paraId="00CE4581" w14:textId="77777777">
        <w:trPr>
          <w:trHeight w:val="214"/>
        </w:trPr>
        <w:tc>
          <w:tcPr>
            <w:tcW w:w="7449" w:type="dxa"/>
          </w:tcPr>
          <w:p w14:paraId="41B045A6" w14:textId="77777777" w:rsidR="002C6574" w:rsidRDefault="00000000">
            <w:pPr>
              <w:pStyle w:val="TableParagraph"/>
              <w:spacing w:line="195" w:lineRule="exact"/>
              <w:ind w:left="590"/>
              <w:jc w:val="left"/>
              <w:rPr>
                <w:sz w:val="18"/>
              </w:rPr>
            </w:pPr>
            <w:r>
              <w:rPr>
                <w:w w:val="105"/>
                <w:sz w:val="18"/>
              </w:rPr>
              <w:t>Benefícios</w:t>
            </w:r>
            <w:r>
              <w:rPr>
                <w:spacing w:val="-10"/>
                <w:w w:val="105"/>
                <w:sz w:val="18"/>
              </w:rPr>
              <w:t xml:space="preserve"> </w:t>
            </w:r>
            <w:r>
              <w:rPr>
                <w:spacing w:val="-2"/>
                <w:w w:val="105"/>
                <w:sz w:val="18"/>
              </w:rPr>
              <w:t>Sociais</w:t>
            </w:r>
          </w:p>
        </w:tc>
        <w:tc>
          <w:tcPr>
            <w:tcW w:w="1179" w:type="dxa"/>
          </w:tcPr>
          <w:p w14:paraId="226CC753" w14:textId="77777777" w:rsidR="002C6574" w:rsidRDefault="00000000">
            <w:pPr>
              <w:pStyle w:val="TableParagraph"/>
              <w:spacing w:line="195" w:lineRule="exact"/>
              <w:ind w:left="484"/>
              <w:jc w:val="left"/>
              <w:rPr>
                <w:sz w:val="18"/>
              </w:rPr>
            </w:pPr>
            <w:r>
              <w:rPr>
                <w:spacing w:val="-2"/>
                <w:w w:val="105"/>
                <w:sz w:val="18"/>
              </w:rPr>
              <w:t>16.395</w:t>
            </w:r>
          </w:p>
        </w:tc>
        <w:tc>
          <w:tcPr>
            <w:tcW w:w="1119" w:type="dxa"/>
          </w:tcPr>
          <w:p w14:paraId="422782B6" w14:textId="77777777" w:rsidR="002C6574" w:rsidRDefault="00000000">
            <w:pPr>
              <w:pStyle w:val="TableParagraph"/>
              <w:spacing w:line="195" w:lineRule="exact"/>
              <w:ind w:right="61"/>
              <w:rPr>
                <w:sz w:val="18"/>
              </w:rPr>
            </w:pPr>
            <w:r>
              <w:rPr>
                <w:spacing w:val="-2"/>
                <w:w w:val="105"/>
                <w:sz w:val="18"/>
              </w:rPr>
              <w:t>14.736</w:t>
            </w:r>
          </w:p>
        </w:tc>
      </w:tr>
      <w:tr w:rsidR="002C6574" w14:paraId="7050B51F" w14:textId="77777777">
        <w:trPr>
          <w:trHeight w:val="214"/>
        </w:trPr>
        <w:tc>
          <w:tcPr>
            <w:tcW w:w="7449" w:type="dxa"/>
          </w:tcPr>
          <w:p w14:paraId="044D20FC" w14:textId="77777777" w:rsidR="002C6574" w:rsidRDefault="00000000">
            <w:pPr>
              <w:pStyle w:val="TableParagraph"/>
              <w:spacing w:line="195" w:lineRule="exact"/>
              <w:ind w:left="590"/>
              <w:jc w:val="left"/>
              <w:rPr>
                <w:sz w:val="18"/>
              </w:rPr>
            </w:pPr>
            <w:r>
              <w:rPr>
                <w:sz w:val="18"/>
              </w:rPr>
              <w:t>Outros</w:t>
            </w:r>
            <w:r>
              <w:rPr>
                <w:spacing w:val="16"/>
                <w:sz w:val="18"/>
              </w:rPr>
              <w:t xml:space="preserve"> </w:t>
            </w:r>
            <w:r>
              <w:rPr>
                <w:sz w:val="18"/>
              </w:rPr>
              <w:t>Encargos</w:t>
            </w:r>
            <w:r>
              <w:rPr>
                <w:spacing w:val="17"/>
                <w:sz w:val="18"/>
              </w:rPr>
              <w:t xml:space="preserve"> </w:t>
            </w:r>
            <w:r>
              <w:rPr>
                <w:spacing w:val="-2"/>
                <w:sz w:val="18"/>
              </w:rPr>
              <w:t>Sociais</w:t>
            </w:r>
          </w:p>
        </w:tc>
        <w:tc>
          <w:tcPr>
            <w:tcW w:w="1179" w:type="dxa"/>
          </w:tcPr>
          <w:p w14:paraId="1DF72317" w14:textId="77777777" w:rsidR="002C6574" w:rsidRDefault="00000000">
            <w:pPr>
              <w:pStyle w:val="TableParagraph"/>
              <w:spacing w:line="195" w:lineRule="exact"/>
              <w:ind w:left="485"/>
              <w:jc w:val="left"/>
              <w:rPr>
                <w:sz w:val="18"/>
              </w:rPr>
            </w:pPr>
            <w:r>
              <w:rPr>
                <w:spacing w:val="-2"/>
                <w:w w:val="105"/>
                <w:sz w:val="18"/>
              </w:rPr>
              <w:t>22.366</w:t>
            </w:r>
          </w:p>
        </w:tc>
        <w:tc>
          <w:tcPr>
            <w:tcW w:w="1119" w:type="dxa"/>
          </w:tcPr>
          <w:p w14:paraId="2D09E987" w14:textId="77777777" w:rsidR="002C6574" w:rsidRDefault="00000000">
            <w:pPr>
              <w:pStyle w:val="TableParagraph"/>
              <w:spacing w:line="195" w:lineRule="exact"/>
              <w:ind w:right="61"/>
              <w:rPr>
                <w:sz w:val="18"/>
              </w:rPr>
            </w:pPr>
            <w:r>
              <w:rPr>
                <w:spacing w:val="-2"/>
                <w:w w:val="105"/>
                <w:sz w:val="18"/>
              </w:rPr>
              <w:t>20.522</w:t>
            </w:r>
          </w:p>
        </w:tc>
      </w:tr>
      <w:tr w:rsidR="002C6574" w14:paraId="2ACA311D" w14:textId="77777777">
        <w:trPr>
          <w:trHeight w:val="214"/>
        </w:trPr>
        <w:tc>
          <w:tcPr>
            <w:tcW w:w="7449" w:type="dxa"/>
          </w:tcPr>
          <w:p w14:paraId="63415CFC" w14:textId="77777777" w:rsidR="002C6574" w:rsidRDefault="00000000">
            <w:pPr>
              <w:pStyle w:val="TableParagraph"/>
              <w:spacing w:line="195" w:lineRule="exact"/>
              <w:ind w:left="590"/>
              <w:jc w:val="left"/>
              <w:rPr>
                <w:sz w:val="18"/>
              </w:rPr>
            </w:pPr>
            <w:r>
              <w:rPr>
                <w:sz w:val="18"/>
              </w:rPr>
              <w:t>Programa</w:t>
            </w:r>
            <w:r>
              <w:rPr>
                <w:spacing w:val="9"/>
                <w:sz w:val="18"/>
              </w:rPr>
              <w:t xml:space="preserve"> </w:t>
            </w:r>
            <w:r>
              <w:rPr>
                <w:sz w:val="18"/>
              </w:rPr>
              <w:t>de</w:t>
            </w:r>
            <w:r>
              <w:rPr>
                <w:spacing w:val="10"/>
                <w:sz w:val="18"/>
              </w:rPr>
              <w:t xml:space="preserve"> </w:t>
            </w:r>
            <w:r>
              <w:rPr>
                <w:sz w:val="18"/>
              </w:rPr>
              <w:t>Indenização</w:t>
            </w:r>
            <w:r>
              <w:rPr>
                <w:spacing w:val="11"/>
                <w:sz w:val="18"/>
              </w:rPr>
              <w:t xml:space="preserve"> </w:t>
            </w:r>
            <w:r>
              <w:rPr>
                <w:sz w:val="18"/>
              </w:rPr>
              <w:t>por</w:t>
            </w:r>
            <w:r>
              <w:rPr>
                <w:spacing w:val="7"/>
                <w:sz w:val="18"/>
              </w:rPr>
              <w:t xml:space="preserve"> </w:t>
            </w:r>
            <w:r>
              <w:rPr>
                <w:sz w:val="18"/>
              </w:rPr>
              <w:t>Serviços</w:t>
            </w:r>
            <w:r>
              <w:rPr>
                <w:spacing w:val="8"/>
                <w:sz w:val="18"/>
              </w:rPr>
              <w:t xml:space="preserve"> </w:t>
            </w:r>
            <w:r>
              <w:rPr>
                <w:spacing w:val="-2"/>
                <w:sz w:val="18"/>
              </w:rPr>
              <w:t>Prestados</w:t>
            </w:r>
          </w:p>
        </w:tc>
        <w:tc>
          <w:tcPr>
            <w:tcW w:w="1179" w:type="dxa"/>
          </w:tcPr>
          <w:p w14:paraId="5D99155F" w14:textId="77777777" w:rsidR="002C6574" w:rsidRDefault="00000000">
            <w:pPr>
              <w:pStyle w:val="TableParagraph"/>
              <w:spacing w:line="195" w:lineRule="exact"/>
              <w:ind w:right="143"/>
              <w:rPr>
                <w:sz w:val="18"/>
              </w:rPr>
            </w:pPr>
            <w:r>
              <w:rPr>
                <w:spacing w:val="-4"/>
                <w:w w:val="110"/>
                <w:sz w:val="18"/>
              </w:rPr>
              <w:t>3.291</w:t>
            </w:r>
          </w:p>
        </w:tc>
        <w:tc>
          <w:tcPr>
            <w:tcW w:w="1119" w:type="dxa"/>
          </w:tcPr>
          <w:p w14:paraId="54D5D7F2" w14:textId="77777777" w:rsidR="002C6574" w:rsidRDefault="00000000">
            <w:pPr>
              <w:pStyle w:val="TableParagraph"/>
              <w:spacing w:line="195" w:lineRule="exact"/>
              <w:ind w:right="61"/>
              <w:rPr>
                <w:sz w:val="18"/>
              </w:rPr>
            </w:pPr>
            <w:r>
              <w:rPr>
                <w:spacing w:val="-5"/>
                <w:w w:val="105"/>
                <w:sz w:val="18"/>
              </w:rPr>
              <w:t>624</w:t>
            </w:r>
          </w:p>
        </w:tc>
      </w:tr>
      <w:tr w:rsidR="002C6574" w14:paraId="58CC7BA0" w14:textId="77777777">
        <w:trPr>
          <w:trHeight w:val="322"/>
        </w:trPr>
        <w:tc>
          <w:tcPr>
            <w:tcW w:w="7449" w:type="dxa"/>
          </w:tcPr>
          <w:p w14:paraId="29CAE2FA" w14:textId="77777777" w:rsidR="002C6574" w:rsidRDefault="00000000">
            <w:pPr>
              <w:pStyle w:val="TableParagraph"/>
              <w:spacing w:line="216" w:lineRule="exact"/>
              <w:ind w:left="590"/>
              <w:jc w:val="left"/>
              <w:rPr>
                <w:sz w:val="18"/>
              </w:rPr>
            </w:pPr>
            <w:r>
              <w:rPr>
                <w:sz w:val="18"/>
              </w:rPr>
              <w:t>Mão-de-Obra</w:t>
            </w:r>
            <w:r>
              <w:rPr>
                <w:spacing w:val="3"/>
                <w:sz w:val="18"/>
              </w:rPr>
              <w:t xml:space="preserve"> </w:t>
            </w:r>
            <w:r>
              <w:rPr>
                <w:sz w:val="18"/>
              </w:rPr>
              <w:t>Temporária</w:t>
            </w:r>
            <w:r>
              <w:rPr>
                <w:spacing w:val="1"/>
                <w:sz w:val="18"/>
              </w:rPr>
              <w:t xml:space="preserve"> </w:t>
            </w:r>
            <w:r>
              <w:rPr>
                <w:sz w:val="18"/>
              </w:rPr>
              <w:t>-</w:t>
            </w:r>
            <w:r>
              <w:rPr>
                <w:spacing w:val="3"/>
                <w:sz w:val="18"/>
              </w:rPr>
              <w:t xml:space="preserve"> </w:t>
            </w:r>
            <w:r>
              <w:rPr>
                <w:sz w:val="18"/>
              </w:rPr>
              <w:t>Serviços</w:t>
            </w:r>
            <w:r>
              <w:rPr>
                <w:spacing w:val="3"/>
                <w:sz w:val="18"/>
              </w:rPr>
              <w:t xml:space="preserve"> </w:t>
            </w:r>
            <w:r>
              <w:rPr>
                <w:sz w:val="18"/>
              </w:rPr>
              <w:t>Prestados</w:t>
            </w:r>
            <w:r>
              <w:rPr>
                <w:spacing w:val="3"/>
                <w:sz w:val="18"/>
              </w:rPr>
              <w:t xml:space="preserve"> </w:t>
            </w:r>
            <w:r>
              <w:rPr>
                <w:sz w:val="18"/>
              </w:rPr>
              <w:t>-</w:t>
            </w:r>
            <w:r>
              <w:rPr>
                <w:spacing w:val="2"/>
                <w:sz w:val="18"/>
              </w:rPr>
              <w:t xml:space="preserve"> </w:t>
            </w:r>
            <w:r>
              <w:rPr>
                <w:spacing w:val="-5"/>
                <w:sz w:val="18"/>
              </w:rPr>
              <w:t>PF</w:t>
            </w:r>
          </w:p>
        </w:tc>
        <w:tc>
          <w:tcPr>
            <w:tcW w:w="1179" w:type="dxa"/>
          </w:tcPr>
          <w:p w14:paraId="6772688F" w14:textId="77777777" w:rsidR="002C6574" w:rsidRDefault="00000000">
            <w:pPr>
              <w:pStyle w:val="TableParagraph"/>
              <w:spacing w:line="216" w:lineRule="exact"/>
              <w:ind w:right="143"/>
              <w:rPr>
                <w:sz w:val="18"/>
              </w:rPr>
            </w:pPr>
            <w:r>
              <w:rPr>
                <w:spacing w:val="-4"/>
                <w:w w:val="110"/>
                <w:sz w:val="18"/>
              </w:rPr>
              <w:t>1.301</w:t>
            </w:r>
          </w:p>
        </w:tc>
        <w:tc>
          <w:tcPr>
            <w:tcW w:w="1119" w:type="dxa"/>
          </w:tcPr>
          <w:p w14:paraId="2B222AB0" w14:textId="77777777" w:rsidR="002C6574" w:rsidRDefault="00000000">
            <w:pPr>
              <w:pStyle w:val="TableParagraph"/>
              <w:spacing w:line="216" w:lineRule="exact"/>
              <w:ind w:right="61"/>
              <w:rPr>
                <w:sz w:val="18"/>
              </w:rPr>
            </w:pPr>
            <w:r>
              <w:rPr>
                <w:spacing w:val="-4"/>
                <w:w w:val="110"/>
                <w:sz w:val="18"/>
              </w:rPr>
              <w:t>1.382</w:t>
            </w:r>
          </w:p>
        </w:tc>
      </w:tr>
      <w:tr w:rsidR="002C6574" w14:paraId="5C30BE6C" w14:textId="77777777">
        <w:trPr>
          <w:trHeight w:val="322"/>
        </w:trPr>
        <w:tc>
          <w:tcPr>
            <w:tcW w:w="7449" w:type="dxa"/>
          </w:tcPr>
          <w:p w14:paraId="37AF9339" w14:textId="77777777" w:rsidR="002C6574" w:rsidRDefault="00000000">
            <w:pPr>
              <w:pStyle w:val="TableParagraph"/>
              <w:spacing w:before="108" w:line="194" w:lineRule="exact"/>
              <w:ind w:left="410"/>
              <w:jc w:val="left"/>
              <w:rPr>
                <w:rFonts w:ascii="Arial" w:hAnsi="Arial"/>
                <w:b/>
                <w:sz w:val="18"/>
              </w:rPr>
            </w:pPr>
            <w:r>
              <w:rPr>
                <w:rFonts w:ascii="Arial" w:hAnsi="Arial"/>
                <w:b/>
                <w:sz w:val="18"/>
              </w:rPr>
              <w:t>Impostos,</w:t>
            </w:r>
            <w:r>
              <w:rPr>
                <w:rFonts w:ascii="Arial" w:hAnsi="Arial"/>
                <w:b/>
                <w:spacing w:val="-1"/>
                <w:sz w:val="18"/>
              </w:rPr>
              <w:t xml:space="preserve"> </w:t>
            </w:r>
            <w:r>
              <w:rPr>
                <w:rFonts w:ascii="Arial" w:hAnsi="Arial"/>
                <w:b/>
                <w:sz w:val="18"/>
              </w:rPr>
              <w:t>Taxas</w:t>
            </w:r>
            <w:r>
              <w:rPr>
                <w:rFonts w:ascii="Arial" w:hAnsi="Arial"/>
                <w:b/>
                <w:spacing w:val="-2"/>
                <w:sz w:val="18"/>
              </w:rPr>
              <w:t xml:space="preserve"> </w:t>
            </w:r>
            <w:r>
              <w:rPr>
                <w:rFonts w:ascii="Arial" w:hAnsi="Arial"/>
                <w:b/>
                <w:sz w:val="18"/>
              </w:rPr>
              <w:t>e</w:t>
            </w:r>
            <w:r>
              <w:rPr>
                <w:rFonts w:ascii="Arial" w:hAnsi="Arial"/>
                <w:b/>
                <w:spacing w:val="2"/>
                <w:sz w:val="18"/>
              </w:rPr>
              <w:t xml:space="preserve"> </w:t>
            </w:r>
            <w:r>
              <w:rPr>
                <w:rFonts w:ascii="Arial" w:hAnsi="Arial"/>
                <w:b/>
                <w:spacing w:val="-2"/>
                <w:sz w:val="18"/>
              </w:rPr>
              <w:t>Contribuições</w:t>
            </w:r>
          </w:p>
        </w:tc>
        <w:tc>
          <w:tcPr>
            <w:tcW w:w="1179" w:type="dxa"/>
          </w:tcPr>
          <w:p w14:paraId="65AFD356" w14:textId="77777777" w:rsidR="002C6574" w:rsidRDefault="00000000">
            <w:pPr>
              <w:pStyle w:val="TableParagraph"/>
              <w:spacing w:before="108" w:line="194" w:lineRule="exact"/>
              <w:ind w:left="384"/>
              <w:jc w:val="left"/>
              <w:rPr>
                <w:rFonts w:ascii="Arial"/>
                <w:b/>
                <w:sz w:val="18"/>
              </w:rPr>
            </w:pPr>
            <w:r>
              <w:rPr>
                <w:rFonts w:ascii="Arial"/>
                <w:b/>
                <w:spacing w:val="-2"/>
                <w:sz w:val="18"/>
              </w:rPr>
              <w:t>118.872</w:t>
            </w:r>
          </w:p>
        </w:tc>
        <w:tc>
          <w:tcPr>
            <w:tcW w:w="1119" w:type="dxa"/>
          </w:tcPr>
          <w:p w14:paraId="254B7E15" w14:textId="77777777" w:rsidR="002C6574" w:rsidRDefault="00000000">
            <w:pPr>
              <w:pStyle w:val="TableParagraph"/>
              <w:spacing w:before="108" w:line="194" w:lineRule="exact"/>
              <w:ind w:right="61"/>
              <w:rPr>
                <w:rFonts w:ascii="Arial"/>
                <w:b/>
                <w:sz w:val="18"/>
              </w:rPr>
            </w:pPr>
            <w:r>
              <w:rPr>
                <w:rFonts w:ascii="Arial"/>
                <w:b/>
                <w:spacing w:val="-2"/>
                <w:sz w:val="18"/>
              </w:rPr>
              <w:t>72.792</w:t>
            </w:r>
          </w:p>
        </w:tc>
      </w:tr>
      <w:tr w:rsidR="002C6574" w14:paraId="3F89B8FB" w14:textId="77777777">
        <w:trPr>
          <w:trHeight w:val="214"/>
        </w:trPr>
        <w:tc>
          <w:tcPr>
            <w:tcW w:w="7449" w:type="dxa"/>
          </w:tcPr>
          <w:p w14:paraId="55062A6C" w14:textId="77777777" w:rsidR="002C6574" w:rsidRDefault="00000000">
            <w:pPr>
              <w:pStyle w:val="TableParagraph"/>
              <w:spacing w:line="195" w:lineRule="exact"/>
              <w:ind w:left="590"/>
              <w:jc w:val="left"/>
              <w:rPr>
                <w:sz w:val="18"/>
              </w:rPr>
            </w:pPr>
            <w:r>
              <w:rPr>
                <w:spacing w:val="-2"/>
                <w:w w:val="105"/>
                <w:sz w:val="18"/>
              </w:rPr>
              <w:t>Federais</w:t>
            </w:r>
          </w:p>
        </w:tc>
        <w:tc>
          <w:tcPr>
            <w:tcW w:w="1179" w:type="dxa"/>
          </w:tcPr>
          <w:p w14:paraId="68964E5E" w14:textId="77777777" w:rsidR="002C6574" w:rsidRDefault="00000000">
            <w:pPr>
              <w:pStyle w:val="TableParagraph"/>
              <w:spacing w:line="195" w:lineRule="exact"/>
              <w:ind w:left="484"/>
              <w:jc w:val="left"/>
              <w:rPr>
                <w:sz w:val="18"/>
              </w:rPr>
            </w:pPr>
            <w:r>
              <w:rPr>
                <w:spacing w:val="-2"/>
                <w:w w:val="105"/>
                <w:sz w:val="18"/>
              </w:rPr>
              <w:t>88.768</w:t>
            </w:r>
          </w:p>
        </w:tc>
        <w:tc>
          <w:tcPr>
            <w:tcW w:w="1119" w:type="dxa"/>
          </w:tcPr>
          <w:p w14:paraId="694963E2" w14:textId="77777777" w:rsidR="002C6574" w:rsidRDefault="00000000">
            <w:pPr>
              <w:pStyle w:val="TableParagraph"/>
              <w:spacing w:line="195" w:lineRule="exact"/>
              <w:ind w:right="61"/>
              <w:rPr>
                <w:sz w:val="18"/>
              </w:rPr>
            </w:pPr>
            <w:r>
              <w:rPr>
                <w:spacing w:val="-2"/>
                <w:w w:val="105"/>
                <w:sz w:val="18"/>
              </w:rPr>
              <w:t>41.085</w:t>
            </w:r>
          </w:p>
        </w:tc>
      </w:tr>
      <w:tr w:rsidR="002C6574" w14:paraId="4BEFD3E6" w14:textId="77777777">
        <w:trPr>
          <w:trHeight w:val="214"/>
        </w:trPr>
        <w:tc>
          <w:tcPr>
            <w:tcW w:w="7449" w:type="dxa"/>
          </w:tcPr>
          <w:p w14:paraId="218A53E5" w14:textId="77777777" w:rsidR="002C6574" w:rsidRDefault="00000000">
            <w:pPr>
              <w:pStyle w:val="TableParagraph"/>
              <w:spacing w:line="195" w:lineRule="exact"/>
              <w:ind w:left="590"/>
              <w:jc w:val="left"/>
              <w:rPr>
                <w:sz w:val="18"/>
              </w:rPr>
            </w:pPr>
            <w:r>
              <w:rPr>
                <w:spacing w:val="-2"/>
                <w:w w:val="105"/>
                <w:sz w:val="18"/>
              </w:rPr>
              <w:t>Estaduais</w:t>
            </w:r>
          </w:p>
        </w:tc>
        <w:tc>
          <w:tcPr>
            <w:tcW w:w="1179" w:type="dxa"/>
          </w:tcPr>
          <w:p w14:paraId="52C14272" w14:textId="77777777" w:rsidR="002C6574" w:rsidRDefault="00000000">
            <w:pPr>
              <w:pStyle w:val="TableParagraph"/>
              <w:spacing w:line="195" w:lineRule="exact"/>
              <w:ind w:left="484"/>
              <w:jc w:val="left"/>
              <w:rPr>
                <w:sz w:val="18"/>
              </w:rPr>
            </w:pPr>
            <w:r>
              <w:rPr>
                <w:spacing w:val="-2"/>
                <w:w w:val="105"/>
                <w:sz w:val="18"/>
              </w:rPr>
              <w:t>28.622</w:t>
            </w:r>
          </w:p>
        </w:tc>
        <w:tc>
          <w:tcPr>
            <w:tcW w:w="1119" w:type="dxa"/>
          </w:tcPr>
          <w:p w14:paraId="5B1EE97A" w14:textId="77777777" w:rsidR="002C6574" w:rsidRDefault="00000000">
            <w:pPr>
              <w:pStyle w:val="TableParagraph"/>
              <w:spacing w:line="195" w:lineRule="exact"/>
              <w:ind w:right="61"/>
              <w:rPr>
                <w:sz w:val="18"/>
              </w:rPr>
            </w:pPr>
            <w:r>
              <w:rPr>
                <w:spacing w:val="-2"/>
                <w:w w:val="105"/>
                <w:sz w:val="18"/>
              </w:rPr>
              <w:t>31.682</w:t>
            </w:r>
          </w:p>
        </w:tc>
      </w:tr>
      <w:tr w:rsidR="002C6574" w14:paraId="50A66AE6" w14:textId="77777777">
        <w:trPr>
          <w:trHeight w:val="322"/>
        </w:trPr>
        <w:tc>
          <w:tcPr>
            <w:tcW w:w="7449" w:type="dxa"/>
          </w:tcPr>
          <w:p w14:paraId="4AA0EB95" w14:textId="77777777" w:rsidR="002C6574" w:rsidRDefault="00000000">
            <w:pPr>
              <w:pStyle w:val="TableParagraph"/>
              <w:spacing w:line="216" w:lineRule="exact"/>
              <w:ind w:left="590"/>
              <w:jc w:val="left"/>
              <w:rPr>
                <w:sz w:val="18"/>
              </w:rPr>
            </w:pPr>
            <w:r>
              <w:rPr>
                <w:spacing w:val="-2"/>
                <w:sz w:val="18"/>
              </w:rPr>
              <w:t>Municipais</w:t>
            </w:r>
          </w:p>
        </w:tc>
        <w:tc>
          <w:tcPr>
            <w:tcW w:w="1179" w:type="dxa"/>
          </w:tcPr>
          <w:p w14:paraId="1A7A827B" w14:textId="77777777" w:rsidR="002C6574" w:rsidRDefault="00000000">
            <w:pPr>
              <w:pStyle w:val="TableParagraph"/>
              <w:spacing w:line="216" w:lineRule="exact"/>
              <w:ind w:right="143"/>
              <w:rPr>
                <w:sz w:val="18"/>
              </w:rPr>
            </w:pPr>
            <w:r>
              <w:rPr>
                <w:spacing w:val="-4"/>
                <w:w w:val="110"/>
                <w:sz w:val="18"/>
              </w:rPr>
              <w:t>1.482</w:t>
            </w:r>
          </w:p>
        </w:tc>
        <w:tc>
          <w:tcPr>
            <w:tcW w:w="1119" w:type="dxa"/>
          </w:tcPr>
          <w:p w14:paraId="68EC69DE" w14:textId="77777777" w:rsidR="002C6574" w:rsidRDefault="00000000">
            <w:pPr>
              <w:pStyle w:val="TableParagraph"/>
              <w:spacing w:line="216" w:lineRule="exact"/>
              <w:ind w:right="64"/>
              <w:rPr>
                <w:sz w:val="18"/>
              </w:rPr>
            </w:pPr>
            <w:r>
              <w:rPr>
                <w:spacing w:val="-5"/>
                <w:w w:val="105"/>
                <w:sz w:val="18"/>
              </w:rPr>
              <w:t>25</w:t>
            </w:r>
          </w:p>
        </w:tc>
      </w:tr>
      <w:tr w:rsidR="002C6574" w14:paraId="61D336D7" w14:textId="77777777">
        <w:trPr>
          <w:trHeight w:val="322"/>
        </w:trPr>
        <w:tc>
          <w:tcPr>
            <w:tcW w:w="7449" w:type="dxa"/>
          </w:tcPr>
          <w:p w14:paraId="1B5FE00F" w14:textId="77777777" w:rsidR="002C6574" w:rsidRDefault="00000000">
            <w:pPr>
              <w:pStyle w:val="TableParagraph"/>
              <w:spacing w:before="108" w:line="194" w:lineRule="exact"/>
              <w:ind w:left="410"/>
              <w:jc w:val="left"/>
              <w:rPr>
                <w:rFonts w:ascii="Arial" w:hAnsi="Arial"/>
                <w:b/>
                <w:sz w:val="18"/>
              </w:rPr>
            </w:pPr>
            <w:r>
              <w:rPr>
                <w:rFonts w:ascii="Arial" w:hAnsi="Arial"/>
                <w:b/>
                <w:sz w:val="18"/>
              </w:rPr>
              <w:t>Remuneração</w:t>
            </w:r>
            <w:r>
              <w:rPr>
                <w:rFonts w:ascii="Arial" w:hAnsi="Arial"/>
                <w:b/>
                <w:spacing w:val="-1"/>
                <w:sz w:val="18"/>
              </w:rPr>
              <w:t xml:space="preserve"> </w:t>
            </w:r>
            <w:r>
              <w:rPr>
                <w:rFonts w:ascii="Arial" w:hAnsi="Arial"/>
                <w:b/>
                <w:sz w:val="18"/>
              </w:rPr>
              <w:t>de Capitais</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pacing w:val="-2"/>
                <w:sz w:val="18"/>
              </w:rPr>
              <w:t>Terceiros</w:t>
            </w:r>
          </w:p>
        </w:tc>
        <w:tc>
          <w:tcPr>
            <w:tcW w:w="1179" w:type="dxa"/>
          </w:tcPr>
          <w:p w14:paraId="48236582" w14:textId="77777777" w:rsidR="002C6574" w:rsidRDefault="00000000">
            <w:pPr>
              <w:pStyle w:val="TableParagraph"/>
              <w:spacing w:before="108" w:line="194" w:lineRule="exact"/>
              <w:ind w:left="384"/>
              <w:jc w:val="left"/>
              <w:rPr>
                <w:rFonts w:ascii="Arial"/>
                <w:b/>
                <w:sz w:val="18"/>
              </w:rPr>
            </w:pPr>
            <w:r>
              <w:rPr>
                <w:rFonts w:ascii="Arial"/>
                <w:b/>
                <w:spacing w:val="-2"/>
                <w:sz w:val="18"/>
              </w:rPr>
              <w:t>342.585</w:t>
            </w:r>
          </w:p>
        </w:tc>
        <w:tc>
          <w:tcPr>
            <w:tcW w:w="1119" w:type="dxa"/>
          </w:tcPr>
          <w:p w14:paraId="10F9FFB3" w14:textId="77777777" w:rsidR="002C6574" w:rsidRDefault="00000000">
            <w:pPr>
              <w:pStyle w:val="TableParagraph"/>
              <w:spacing w:before="108" w:line="194" w:lineRule="exact"/>
              <w:ind w:right="61"/>
              <w:rPr>
                <w:rFonts w:ascii="Arial"/>
                <w:b/>
                <w:sz w:val="18"/>
              </w:rPr>
            </w:pPr>
            <w:r>
              <w:rPr>
                <w:rFonts w:ascii="Arial"/>
                <w:b/>
                <w:spacing w:val="-2"/>
                <w:sz w:val="18"/>
              </w:rPr>
              <w:t>267.325</w:t>
            </w:r>
          </w:p>
        </w:tc>
      </w:tr>
      <w:tr w:rsidR="002C6574" w14:paraId="17E4B792" w14:textId="77777777">
        <w:trPr>
          <w:trHeight w:val="214"/>
        </w:trPr>
        <w:tc>
          <w:tcPr>
            <w:tcW w:w="7449" w:type="dxa"/>
          </w:tcPr>
          <w:p w14:paraId="7EEBB483" w14:textId="77777777" w:rsidR="002C6574" w:rsidRDefault="00000000">
            <w:pPr>
              <w:pStyle w:val="TableParagraph"/>
              <w:spacing w:line="195" w:lineRule="exact"/>
              <w:ind w:left="590"/>
              <w:jc w:val="left"/>
              <w:rPr>
                <w:sz w:val="18"/>
              </w:rPr>
            </w:pPr>
            <w:r>
              <w:rPr>
                <w:sz w:val="18"/>
              </w:rPr>
              <w:t>Remuneração</w:t>
            </w:r>
            <w:r>
              <w:rPr>
                <w:spacing w:val="10"/>
                <w:sz w:val="18"/>
              </w:rPr>
              <w:t xml:space="preserve"> </w:t>
            </w:r>
            <w:r>
              <w:rPr>
                <w:sz w:val="18"/>
              </w:rPr>
              <w:t>do</w:t>
            </w:r>
            <w:r>
              <w:rPr>
                <w:spacing w:val="6"/>
                <w:sz w:val="18"/>
              </w:rPr>
              <w:t xml:space="preserve"> </w:t>
            </w:r>
            <w:r>
              <w:rPr>
                <w:sz w:val="18"/>
              </w:rPr>
              <w:t>Capital</w:t>
            </w:r>
            <w:r>
              <w:rPr>
                <w:spacing w:val="7"/>
                <w:sz w:val="18"/>
              </w:rPr>
              <w:t xml:space="preserve"> </w:t>
            </w:r>
            <w:r>
              <w:rPr>
                <w:sz w:val="18"/>
              </w:rPr>
              <w:t>de</w:t>
            </w:r>
            <w:r>
              <w:rPr>
                <w:spacing w:val="7"/>
                <w:sz w:val="18"/>
              </w:rPr>
              <w:t xml:space="preserve"> </w:t>
            </w:r>
            <w:r>
              <w:rPr>
                <w:spacing w:val="-2"/>
                <w:sz w:val="18"/>
              </w:rPr>
              <w:t>Terceiros</w:t>
            </w:r>
          </w:p>
        </w:tc>
        <w:tc>
          <w:tcPr>
            <w:tcW w:w="1179" w:type="dxa"/>
          </w:tcPr>
          <w:p w14:paraId="337900B3" w14:textId="77777777" w:rsidR="002C6574" w:rsidRDefault="00000000">
            <w:pPr>
              <w:pStyle w:val="TableParagraph"/>
              <w:spacing w:line="195" w:lineRule="exact"/>
              <w:ind w:left="384"/>
              <w:jc w:val="left"/>
              <w:rPr>
                <w:sz w:val="18"/>
              </w:rPr>
            </w:pPr>
            <w:r>
              <w:rPr>
                <w:spacing w:val="-2"/>
                <w:w w:val="105"/>
                <w:sz w:val="18"/>
              </w:rPr>
              <w:t>276.658</w:t>
            </w:r>
          </w:p>
        </w:tc>
        <w:tc>
          <w:tcPr>
            <w:tcW w:w="1119" w:type="dxa"/>
          </w:tcPr>
          <w:p w14:paraId="441C9749" w14:textId="77777777" w:rsidR="002C6574" w:rsidRDefault="00000000">
            <w:pPr>
              <w:pStyle w:val="TableParagraph"/>
              <w:spacing w:line="195" w:lineRule="exact"/>
              <w:ind w:right="63"/>
              <w:rPr>
                <w:sz w:val="18"/>
              </w:rPr>
            </w:pPr>
            <w:r>
              <w:rPr>
                <w:spacing w:val="-2"/>
                <w:w w:val="105"/>
                <w:sz w:val="18"/>
              </w:rPr>
              <w:t>213.056</w:t>
            </w:r>
          </w:p>
        </w:tc>
      </w:tr>
      <w:tr w:rsidR="002C6574" w14:paraId="64B3C179" w14:textId="77777777">
        <w:trPr>
          <w:trHeight w:val="214"/>
        </w:trPr>
        <w:tc>
          <w:tcPr>
            <w:tcW w:w="7449" w:type="dxa"/>
          </w:tcPr>
          <w:p w14:paraId="3C630CAB" w14:textId="77777777" w:rsidR="002C6574" w:rsidRDefault="00000000">
            <w:pPr>
              <w:pStyle w:val="TableParagraph"/>
              <w:spacing w:line="195" w:lineRule="exact"/>
              <w:ind w:left="590"/>
              <w:jc w:val="left"/>
              <w:rPr>
                <w:sz w:val="18"/>
              </w:rPr>
            </w:pPr>
            <w:r>
              <w:rPr>
                <w:w w:val="105"/>
                <w:sz w:val="18"/>
              </w:rPr>
              <w:t>Aluguéis,</w:t>
            </w:r>
            <w:r>
              <w:rPr>
                <w:spacing w:val="-10"/>
                <w:w w:val="105"/>
                <w:sz w:val="18"/>
              </w:rPr>
              <w:t xml:space="preserve"> </w:t>
            </w:r>
            <w:r>
              <w:rPr>
                <w:w w:val="105"/>
                <w:sz w:val="18"/>
              </w:rPr>
              <w:t>Locações</w:t>
            </w:r>
            <w:r>
              <w:rPr>
                <w:spacing w:val="-7"/>
                <w:w w:val="105"/>
                <w:sz w:val="18"/>
              </w:rPr>
              <w:t xml:space="preserve"> </w:t>
            </w:r>
            <w:r>
              <w:rPr>
                <w:w w:val="105"/>
                <w:sz w:val="18"/>
              </w:rPr>
              <w:t>e</w:t>
            </w:r>
            <w:r>
              <w:rPr>
                <w:spacing w:val="-4"/>
                <w:w w:val="105"/>
                <w:sz w:val="18"/>
              </w:rPr>
              <w:t xml:space="preserve"> </w:t>
            </w:r>
            <w:r>
              <w:rPr>
                <w:w w:val="105"/>
                <w:sz w:val="18"/>
              </w:rPr>
              <w:t>Licença</w:t>
            </w:r>
            <w:r>
              <w:rPr>
                <w:spacing w:val="-8"/>
                <w:w w:val="105"/>
                <w:sz w:val="18"/>
              </w:rPr>
              <w:t xml:space="preserve"> </w:t>
            </w:r>
            <w:r>
              <w:rPr>
                <w:w w:val="105"/>
                <w:sz w:val="18"/>
              </w:rPr>
              <w:t>de</w:t>
            </w:r>
            <w:r>
              <w:rPr>
                <w:spacing w:val="-5"/>
                <w:w w:val="105"/>
                <w:sz w:val="18"/>
              </w:rPr>
              <w:t xml:space="preserve"> Uso</w:t>
            </w:r>
          </w:p>
        </w:tc>
        <w:tc>
          <w:tcPr>
            <w:tcW w:w="1179" w:type="dxa"/>
          </w:tcPr>
          <w:p w14:paraId="3EE9D18A" w14:textId="77777777" w:rsidR="002C6574" w:rsidRDefault="00000000">
            <w:pPr>
              <w:pStyle w:val="TableParagraph"/>
              <w:spacing w:line="195" w:lineRule="exact"/>
              <w:ind w:left="485"/>
              <w:jc w:val="left"/>
              <w:rPr>
                <w:sz w:val="18"/>
              </w:rPr>
            </w:pPr>
            <w:r>
              <w:rPr>
                <w:spacing w:val="-2"/>
                <w:w w:val="105"/>
                <w:sz w:val="18"/>
              </w:rPr>
              <w:t>49.732</w:t>
            </w:r>
          </w:p>
        </w:tc>
        <w:tc>
          <w:tcPr>
            <w:tcW w:w="1119" w:type="dxa"/>
          </w:tcPr>
          <w:p w14:paraId="2B1877AC" w14:textId="77777777" w:rsidR="002C6574" w:rsidRDefault="00000000">
            <w:pPr>
              <w:pStyle w:val="TableParagraph"/>
              <w:spacing w:line="195" w:lineRule="exact"/>
              <w:ind w:right="61"/>
              <w:rPr>
                <w:sz w:val="18"/>
              </w:rPr>
            </w:pPr>
            <w:r>
              <w:rPr>
                <w:spacing w:val="-2"/>
                <w:w w:val="105"/>
                <w:sz w:val="18"/>
              </w:rPr>
              <w:t>35.361</w:t>
            </w:r>
          </w:p>
        </w:tc>
      </w:tr>
      <w:tr w:rsidR="002C6574" w14:paraId="21868429" w14:textId="77777777">
        <w:trPr>
          <w:trHeight w:val="322"/>
        </w:trPr>
        <w:tc>
          <w:tcPr>
            <w:tcW w:w="7449" w:type="dxa"/>
          </w:tcPr>
          <w:p w14:paraId="5F121D71" w14:textId="77777777" w:rsidR="002C6574" w:rsidRDefault="00000000">
            <w:pPr>
              <w:pStyle w:val="TableParagraph"/>
              <w:spacing w:line="216" w:lineRule="exact"/>
              <w:ind w:left="590"/>
              <w:jc w:val="left"/>
              <w:rPr>
                <w:sz w:val="18"/>
              </w:rPr>
            </w:pPr>
            <w:r>
              <w:rPr>
                <w:spacing w:val="-2"/>
                <w:w w:val="105"/>
                <w:sz w:val="18"/>
              </w:rPr>
              <w:t>Seguros</w:t>
            </w:r>
          </w:p>
        </w:tc>
        <w:tc>
          <w:tcPr>
            <w:tcW w:w="1179" w:type="dxa"/>
          </w:tcPr>
          <w:p w14:paraId="550053C3" w14:textId="77777777" w:rsidR="002C6574" w:rsidRDefault="00000000">
            <w:pPr>
              <w:pStyle w:val="TableParagraph"/>
              <w:spacing w:line="216" w:lineRule="exact"/>
              <w:ind w:left="485"/>
              <w:jc w:val="left"/>
              <w:rPr>
                <w:sz w:val="18"/>
              </w:rPr>
            </w:pPr>
            <w:r>
              <w:rPr>
                <w:spacing w:val="-2"/>
                <w:w w:val="105"/>
                <w:sz w:val="18"/>
              </w:rPr>
              <w:t>16.195</w:t>
            </w:r>
          </w:p>
        </w:tc>
        <w:tc>
          <w:tcPr>
            <w:tcW w:w="1119" w:type="dxa"/>
          </w:tcPr>
          <w:p w14:paraId="089A4645" w14:textId="77777777" w:rsidR="002C6574" w:rsidRDefault="00000000">
            <w:pPr>
              <w:pStyle w:val="TableParagraph"/>
              <w:spacing w:line="216" w:lineRule="exact"/>
              <w:ind w:right="61"/>
              <w:rPr>
                <w:sz w:val="18"/>
              </w:rPr>
            </w:pPr>
            <w:r>
              <w:rPr>
                <w:spacing w:val="-2"/>
                <w:w w:val="105"/>
                <w:sz w:val="18"/>
              </w:rPr>
              <w:t>18.908</w:t>
            </w:r>
          </w:p>
        </w:tc>
      </w:tr>
      <w:tr w:rsidR="002C6574" w14:paraId="7BDF0B5F" w14:textId="77777777">
        <w:trPr>
          <w:trHeight w:val="321"/>
        </w:trPr>
        <w:tc>
          <w:tcPr>
            <w:tcW w:w="7449" w:type="dxa"/>
          </w:tcPr>
          <w:p w14:paraId="4088CA1F" w14:textId="77777777" w:rsidR="002C6574" w:rsidRDefault="00000000">
            <w:pPr>
              <w:pStyle w:val="TableParagraph"/>
              <w:spacing w:before="108" w:line="193" w:lineRule="exact"/>
              <w:ind w:left="410"/>
              <w:jc w:val="left"/>
              <w:rPr>
                <w:rFonts w:ascii="Arial" w:hAnsi="Arial"/>
                <w:b/>
                <w:sz w:val="18"/>
              </w:rPr>
            </w:pPr>
            <w:r>
              <w:rPr>
                <w:rFonts w:ascii="Arial" w:hAnsi="Arial"/>
                <w:b/>
                <w:sz w:val="18"/>
              </w:rPr>
              <w:t>Remuneração</w:t>
            </w:r>
            <w:r>
              <w:rPr>
                <w:rFonts w:ascii="Arial" w:hAnsi="Arial"/>
                <w:b/>
                <w:spacing w:val="-1"/>
                <w:sz w:val="18"/>
              </w:rPr>
              <w:t xml:space="preserve"> </w:t>
            </w:r>
            <w:r>
              <w:rPr>
                <w:rFonts w:ascii="Arial" w:hAnsi="Arial"/>
                <w:b/>
                <w:sz w:val="18"/>
              </w:rPr>
              <w:t>de</w:t>
            </w:r>
            <w:r>
              <w:rPr>
                <w:rFonts w:ascii="Arial" w:hAnsi="Arial"/>
                <w:b/>
                <w:spacing w:val="-1"/>
                <w:sz w:val="18"/>
              </w:rPr>
              <w:t xml:space="preserve"> </w:t>
            </w:r>
            <w:r>
              <w:rPr>
                <w:rFonts w:ascii="Arial" w:hAnsi="Arial"/>
                <w:b/>
                <w:sz w:val="18"/>
              </w:rPr>
              <w:t>Capitais</w:t>
            </w:r>
            <w:r>
              <w:rPr>
                <w:rFonts w:ascii="Arial" w:hAnsi="Arial"/>
                <w:b/>
                <w:spacing w:val="-1"/>
                <w:sz w:val="18"/>
              </w:rPr>
              <w:t xml:space="preserve"> </w:t>
            </w:r>
            <w:r>
              <w:rPr>
                <w:rFonts w:ascii="Arial" w:hAnsi="Arial"/>
                <w:b/>
                <w:spacing w:val="-2"/>
                <w:sz w:val="18"/>
              </w:rPr>
              <w:t>Próprios</w:t>
            </w:r>
          </w:p>
        </w:tc>
        <w:tc>
          <w:tcPr>
            <w:tcW w:w="1179" w:type="dxa"/>
          </w:tcPr>
          <w:p w14:paraId="5ABEEE10" w14:textId="77777777" w:rsidR="002C6574" w:rsidRDefault="00000000">
            <w:pPr>
              <w:pStyle w:val="TableParagraph"/>
              <w:spacing w:before="108" w:line="193" w:lineRule="exact"/>
              <w:ind w:left="384"/>
              <w:jc w:val="left"/>
              <w:rPr>
                <w:rFonts w:ascii="Arial"/>
                <w:b/>
                <w:sz w:val="18"/>
              </w:rPr>
            </w:pPr>
            <w:r>
              <w:rPr>
                <w:rFonts w:ascii="Arial"/>
                <w:b/>
                <w:spacing w:val="-2"/>
                <w:sz w:val="18"/>
              </w:rPr>
              <w:t>140.504</w:t>
            </w:r>
          </w:p>
        </w:tc>
        <w:tc>
          <w:tcPr>
            <w:tcW w:w="1119" w:type="dxa"/>
          </w:tcPr>
          <w:p w14:paraId="69BFBDBE" w14:textId="77777777" w:rsidR="002C6574" w:rsidRDefault="00000000">
            <w:pPr>
              <w:pStyle w:val="TableParagraph"/>
              <w:spacing w:before="108" w:line="193" w:lineRule="exact"/>
              <w:ind w:right="61"/>
              <w:rPr>
                <w:rFonts w:ascii="Arial"/>
                <w:b/>
                <w:sz w:val="18"/>
              </w:rPr>
            </w:pPr>
            <w:r>
              <w:rPr>
                <w:rFonts w:ascii="Arial"/>
                <w:b/>
                <w:spacing w:val="-2"/>
                <w:sz w:val="18"/>
              </w:rPr>
              <w:t>(66.572)</w:t>
            </w:r>
          </w:p>
        </w:tc>
      </w:tr>
      <w:tr w:rsidR="002C6574" w14:paraId="652A6865" w14:textId="77777777">
        <w:trPr>
          <w:trHeight w:val="207"/>
        </w:trPr>
        <w:tc>
          <w:tcPr>
            <w:tcW w:w="7449" w:type="dxa"/>
          </w:tcPr>
          <w:p w14:paraId="36C42430" w14:textId="77777777" w:rsidR="002C6574" w:rsidRDefault="00000000">
            <w:pPr>
              <w:pStyle w:val="TableParagraph"/>
              <w:spacing w:line="187" w:lineRule="exact"/>
              <w:ind w:left="590"/>
              <w:jc w:val="left"/>
              <w:rPr>
                <w:sz w:val="18"/>
              </w:rPr>
            </w:pPr>
            <w:r>
              <w:rPr>
                <w:sz w:val="18"/>
              </w:rPr>
              <w:t>Lucro/(Prejuízo) Líquido</w:t>
            </w:r>
            <w:r>
              <w:rPr>
                <w:spacing w:val="3"/>
                <w:sz w:val="18"/>
              </w:rPr>
              <w:t xml:space="preserve"> </w:t>
            </w:r>
            <w:r>
              <w:rPr>
                <w:sz w:val="18"/>
              </w:rPr>
              <w:t>do</w:t>
            </w:r>
            <w:r>
              <w:rPr>
                <w:spacing w:val="3"/>
                <w:sz w:val="18"/>
              </w:rPr>
              <w:t xml:space="preserve"> </w:t>
            </w:r>
            <w:r>
              <w:rPr>
                <w:spacing w:val="-2"/>
                <w:sz w:val="18"/>
              </w:rPr>
              <w:t>Exercício</w:t>
            </w:r>
          </w:p>
        </w:tc>
        <w:tc>
          <w:tcPr>
            <w:tcW w:w="1179" w:type="dxa"/>
          </w:tcPr>
          <w:p w14:paraId="1DAD15D7" w14:textId="77777777" w:rsidR="002C6574" w:rsidRDefault="00000000">
            <w:pPr>
              <w:pStyle w:val="TableParagraph"/>
              <w:spacing w:line="187" w:lineRule="exact"/>
              <w:ind w:left="384"/>
              <w:jc w:val="left"/>
              <w:rPr>
                <w:sz w:val="18"/>
              </w:rPr>
            </w:pPr>
            <w:r>
              <w:rPr>
                <w:spacing w:val="-2"/>
                <w:w w:val="105"/>
                <w:sz w:val="18"/>
              </w:rPr>
              <w:t>140.504</w:t>
            </w:r>
          </w:p>
        </w:tc>
        <w:tc>
          <w:tcPr>
            <w:tcW w:w="1119" w:type="dxa"/>
          </w:tcPr>
          <w:p w14:paraId="142B88C3" w14:textId="77777777" w:rsidR="002C6574" w:rsidRDefault="00000000">
            <w:pPr>
              <w:pStyle w:val="TableParagraph"/>
              <w:spacing w:line="187" w:lineRule="exact"/>
              <w:ind w:right="61"/>
              <w:rPr>
                <w:sz w:val="18"/>
              </w:rPr>
            </w:pPr>
            <w:r>
              <w:rPr>
                <w:spacing w:val="-2"/>
                <w:w w:val="110"/>
                <w:sz w:val="18"/>
              </w:rPr>
              <w:t>(66.572)</w:t>
            </w:r>
          </w:p>
        </w:tc>
      </w:tr>
    </w:tbl>
    <w:p w14:paraId="26F3D671" w14:textId="77777777" w:rsidR="002C6574" w:rsidRDefault="002C6574">
      <w:pPr>
        <w:pStyle w:val="Corpodetexto"/>
        <w:spacing w:before="42"/>
        <w:rPr>
          <w:rFonts w:ascii="Arial"/>
          <w:b/>
          <w:sz w:val="18"/>
        </w:rPr>
      </w:pPr>
    </w:p>
    <w:p w14:paraId="7376682B" w14:textId="77777777" w:rsidR="002C6574" w:rsidRDefault="00000000">
      <w:pPr>
        <w:ind w:left="71"/>
        <w:rPr>
          <w:rFonts w:ascii="Arial" w:hAnsi="Arial"/>
          <w:b/>
          <w:sz w:val="18"/>
        </w:rPr>
      </w:pPr>
      <w:r>
        <w:rPr>
          <w:rFonts w:ascii="Arial" w:hAnsi="Arial"/>
          <w:b/>
          <w:sz w:val="18"/>
        </w:rPr>
        <w:t>As</w:t>
      </w:r>
      <w:r>
        <w:rPr>
          <w:rFonts w:ascii="Arial" w:hAnsi="Arial"/>
          <w:b/>
          <w:spacing w:val="-4"/>
          <w:sz w:val="18"/>
        </w:rPr>
        <w:t xml:space="preserve"> </w:t>
      </w:r>
      <w:r>
        <w:rPr>
          <w:rFonts w:ascii="Arial" w:hAnsi="Arial"/>
          <w:b/>
          <w:sz w:val="18"/>
        </w:rPr>
        <w:t>notas</w:t>
      </w:r>
      <w:r>
        <w:rPr>
          <w:rFonts w:ascii="Arial" w:hAnsi="Arial"/>
          <w:b/>
          <w:spacing w:val="-3"/>
          <w:sz w:val="18"/>
        </w:rPr>
        <w:t xml:space="preserve"> </w:t>
      </w:r>
      <w:r>
        <w:rPr>
          <w:rFonts w:ascii="Arial" w:hAnsi="Arial"/>
          <w:b/>
          <w:sz w:val="18"/>
        </w:rPr>
        <w:t>explicativas</w:t>
      </w:r>
      <w:r>
        <w:rPr>
          <w:rFonts w:ascii="Arial" w:hAnsi="Arial"/>
          <w:b/>
          <w:spacing w:val="-2"/>
          <w:sz w:val="18"/>
        </w:rPr>
        <w:t xml:space="preserve"> </w:t>
      </w:r>
      <w:r>
        <w:rPr>
          <w:rFonts w:ascii="Arial" w:hAnsi="Arial"/>
          <w:b/>
          <w:sz w:val="18"/>
        </w:rPr>
        <w:t>são parte</w:t>
      </w:r>
      <w:r>
        <w:rPr>
          <w:rFonts w:ascii="Arial" w:hAnsi="Arial"/>
          <w:b/>
          <w:spacing w:val="-1"/>
          <w:sz w:val="18"/>
        </w:rPr>
        <w:t xml:space="preserve"> </w:t>
      </w:r>
      <w:r>
        <w:rPr>
          <w:rFonts w:ascii="Arial" w:hAnsi="Arial"/>
          <w:b/>
          <w:sz w:val="18"/>
        </w:rPr>
        <w:t>integrante</w:t>
      </w:r>
      <w:r>
        <w:rPr>
          <w:rFonts w:ascii="Arial" w:hAnsi="Arial"/>
          <w:b/>
          <w:spacing w:val="-2"/>
          <w:sz w:val="18"/>
        </w:rPr>
        <w:t xml:space="preserve"> </w:t>
      </w:r>
      <w:r>
        <w:rPr>
          <w:rFonts w:ascii="Arial" w:hAnsi="Arial"/>
          <w:b/>
          <w:sz w:val="18"/>
        </w:rPr>
        <w:t>das</w:t>
      </w:r>
      <w:r>
        <w:rPr>
          <w:rFonts w:ascii="Arial" w:hAnsi="Arial"/>
          <w:b/>
          <w:spacing w:val="-1"/>
          <w:sz w:val="18"/>
        </w:rPr>
        <w:t xml:space="preserve"> </w:t>
      </w:r>
      <w:r>
        <w:rPr>
          <w:rFonts w:ascii="Arial" w:hAnsi="Arial"/>
          <w:b/>
          <w:sz w:val="18"/>
        </w:rPr>
        <w:t>demonstrações</w:t>
      </w:r>
      <w:r>
        <w:rPr>
          <w:rFonts w:ascii="Arial" w:hAnsi="Arial"/>
          <w:b/>
          <w:spacing w:val="-2"/>
          <w:sz w:val="18"/>
        </w:rPr>
        <w:t xml:space="preserve"> contábeis</w:t>
      </w:r>
    </w:p>
    <w:p w14:paraId="20871F87" w14:textId="77777777" w:rsidR="002C6574" w:rsidRDefault="002C6574">
      <w:pPr>
        <w:rPr>
          <w:rFonts w:ascii="Arial" w:hAnsi="Arial"/>
          <w:b/>
          <w:sz w:val="18"/>
        </w:rPr>
        <w:sectPr w:rsidR="002C6574">
          <w:headerReference w:type="default" r:id="rId58"/>
          <w:footerReference w:type="default" r:id="rId59"/>
          <w:pgSz w:w="11910" w:h="16840"/>
          <w:pgMar w:top="1600" w:right="141" w:bottom="1460" w:left="1133" w:header="0" w:footer="1276" w:gutter="0"/>
          <w:cols w:space="720"/>
        </w:sectPr>
      </w:pPr>
    </w:p>
    <w:p w14:paraId="7AD132B7" w14:textId="77777777" w:rsidR="002C6574" w:rsidRDefault="002C6574">
      <w:pPr>
        <w:pStyle w:val="Corpodetexto"/>
        <w:spacing w:before="5"/>
        <w:rPr>
          <w:rFonts w:ascii="Arial"/>
          <w:b/>
          <w:sz w:val="3"/>
        </w:rPr>
      </w:pPr>
    </w:p>
    <w:p w14:paraId="46938AEB" w14:textId="77777777" w:rsidR="002C6574" w:rsidRDefault="00000000">
      <w:pPr>
        <w:pStyle w:val="Corpodetexto"/>
        <w:spacing w:line="20" w:lineRule="exact"/>
        <w:ind w:left="-183"/>
        <w:rPr>
          <w:rFonts w:ascii="Arial"/>
          <w:sz w:val="2"/>
        </w:rPr>
      </w:pPr>
      <w:r>
        <w:rPr>
          <w:rFonts w:ascii="Arial"/>
          <w:noProof/>
          <w:sz w:val="2"/>
        </w:rPr>
        <mc:AlternateContent>
          <mc:Choice Requires="wpg">
            <w:drawing>
              <wp:inline distT="0" distB="0" distL="0" distR="0" wp14:anchorId="0ECA5BCA" wp14:editId="042FFC79">
                <wp:extent cx="6388735" cy="9525"/>
                <wp:effectExtent l="9525" t="0" r="2539" b="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8735" cy="9525"/>
                          <a:chOff x="0" y="0"/>
                          <a:chExt cx="6388735" cy="9525"/>
                        </a:xfrm>
                      </wpg:grpSpPr>
                      <wps:wsp>
                        <wps:cNvPr id="136" name="Graphic 136"/>
                        <wps:cNvSpPr/>
                        <wps:spPr>
                          <a:xfrm>
                            <a:off x="0" y="4572"/>
                            <a:ext cx="6388735" cy="1270"/>
                          </a:xfrm>
                          <a:custGeom>
                            <a:avLst/>
                            <a:gdLst/>
                            <a:ahLst/>
                            <a:cxnLst/>
                            <a:rect l="l" t="t" r="r" b="b"/>
                            <a:pathLst>
                              <a:path w="6388735">
                                <a:moveTo>
                                  <a:pt x="0" y="0"/>
                                </a:moveTo>
                                <a:lnTo>
                                  <a:pt x="6388608" y="0"/>
                                </a:lnTo>
                              </a:path>
                            </a:pathLst>
                          </a:custGeom>
                          <a:ln w="9144">
                            <a:solidFill>
                              <a:srgbClr val="2D11F4"/>
                            </a:solidFill>
                            <a:prstDash val="solid"/>
                          </a:ln>
                        </wps:spPr>
                        <wps:bodyPr wrap="square" lIns="0" tIns="0" rIns="0" bIns="0" rtlCol="0">
                          <a:prstTxWarp prst="textNoShape">
                            <a:avLst/>
                          </a:prstTxWarp>
                          <a:noAutofit/>
                        </wps:bodyPr>
                      </wps:wsp>
                    </wpg:wgp>
                  </a:graphicData>
                </a:graphic>
              </wp:inline>
            </w:drawing>
          </mc:Choice>
          <mc:Fallback>
            <w:pict>
              <v:group w14:anchorId="0BCAC48E" id="Group 135" o:spid="_x0000_s1026" style="width:503.05pt;height:.75pt;mso-position-horizontal-relative:char;mso-position-vertical-relative:line" coordsize="638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">
                <v:shape id="Graphic 136" o:spid="_x0000_s1027" style="position:absolute;top:45;width:63887;height:13;visibility:visible;mso-wrap-style:square;v-text-anchor:top" coordsize="6388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" path="m,l6388608,e" filled="f" strokecolor="#2d11f4" strokeweight=".72pt">
                  <v:path arrowok="t"/>
                </v:shape>
                <w10:anchorlock/>
              </v:group>
            </w:pict>
          </mc:Fallback>
        </mc:AlternateContent>
      </w:r>
    </w:p>
    <w:p w14:paraId="25453DB4" w14:textId="77777777" w:rsidR="002C6574" w:rsidRDefault="002C6574">
      <w:pPr>
        <w:pStyle w:val="Corpodetexto"/>
        <w:spacing w:before="195"/>
        <w:rPr>
          <w:rFonts w:ascii="Arial"/>
          <w:b/>
        </w:rPr>
      </w:pPr>
    </w:p>
    <w:p w14:paraId="6C5CDE2E" w14:textId="77777777" w:rsidR="002C6574" w:rsidRDefault="00000000">
      <w:pPr>
        <w:numPr>
          <w:ilvl w:val="0"/>
          <w:numId w:val="54"/>
        </w:numPr>
        <w:tabs>
          <w:tab w:val="left" w:pos="895"/>
        </w:tabs>
        <w:rPr>
          <w:rFonts w:ascii="Arial" w:hAnsi="Arial"/>
          <w:b/>
        </w:rPr>
      </w:pPr>
      <w:r>
        <w:rPr>
          <w:rFonts w:ascii="Arial" w:hAnsi="Arial"/>
          <w:b/>
        </w:rPr>
        <w:t>CONTEXTO</w:t>
      </w:r>
      <w:r>
        <w:rPr>
          <w:rFonts w:ascii="Arial" w:hAnsi="Arial"/>
          <w:b/>
          <w:spacing w:val="-11"/>
        </w:rPr>
        <w:t xml:space="preserve"> </w:t>
      </w:r>
      <w:r>
        <w:rPr>
          <w:rFonts w:ascii="Arial" w:hAnsi="Arial"/>
          <w:b/>
        </w:rPr>
        <w:t>OPERACIONAL</w:t>
      </w:r>
      <w:r>
        <w:rPr>
          <w:rFonts w:ascii="Arial" w:hAnsi="Arial"/>
          <w:b/>
          <w:spacing w:val="-5"/>
        </w:rPr>
        <w:t xml:space="preserve"> </w:t>
      </w:r>
      <w:r>
        <w:rPr>
          <w:rFonts w:ascii="Arial" w:hAnsi="Arial"/>
          <w:b/>
        </w:rPr>
        <w:t>E</w:t>
      </w:r>
      <w:r>
        <w:rPr>
          <w:rFonts w:ascii="Arial" w:hAnsi="Arial"/>
          <w:b/>
          <w:spacing w:val="-7"/>
        </w:rPr>
        <w:t xml:space="preserve"> </w:t>
      </w:r>
      <w:r>
        <w:rPr>
          <w:rFonts w:ascii="Arial" w:hAnsi="Arial"/>
          <w:b/>
        </w:rPr>
        <w:t>INFORMAÇÕES</w:t>
      </w:r>
      <w:r>
        <w:rPr>
          <w:rFonts w:ascii="Arial" w:hAnsi="Arial"/>
          <w:b/>
          <w:spacing w:val="-7"/>
        </w:rPr>
        <w:t xml:space="preserve"> </w:t>
      </w:r>
      <w:r>
        <w:rPr>
          <w:rFonts w:ascii="Arial" w:hAnsi="Arial"/>
          <w:b/>
          <w:spacing w:val="-2"/>
        </w:rPr>
        <w:t>GERAIS</w:t>
      </w:r>
    </w:p>
    <w:p w14:paraId="41C488F7" w14:textId="77777777" w:rsidR="002C6574" w:rsidRDefault="002C6574">
      <w:pPr>
        <w:pStyle w:val="Corpodetexto"/>
        <w:rPr>
          <w:rFonts w:ascii="Arial"/>
          <w:b/>
        </w:rPr>
      </w:pPr>
    </w:p>
    <w:p w14:paraId="2BC7481E" w14:textId="77777777" w:rsidR="002C6574" w:rsidRDefault="00000000">
      <w:pPr>
        <w:numPr>
          <w:ilvl w:val="1"/>
          <w:numId w:val="54"/>
        </w:numPr>
        <w:tabs>
          <w:tab w:val="left" w:pos="913"/>
        </w:tabs>
        <w:ind w:hanging="770"/>
        <w:rPr>
          <w:rFonts w:ascii="Arial" w:hAnsi="Arial"/>
          <w:b/>
        </w:rPr>
      </w:pPr>
      <w:r>
        <w:rPr>
          <w:rFonts w:ascii="Arial" w:hAnsi="Arial"/>
          <w:b/>
        </w:rPr>
        <w:t>A</w:t>
      </w:r>
      <w:r>
        <w:rPr>
          <w:rFonts w:ascii="Arial" w:hAnsi="Arial"/>
          <w:b/>
          <w:spacing w:val="-2"/>
        </w:rPr>
        <w:t xml:space="preserve"> </w:t>
      </w:r>
      <w:r>
        <w:rPr>
          <w:rFonts w:ascii="Arial" w:hAnsi="Arial"/>
          <w:b/>
        </w:rPr>
        <w:t>Companhia</w:t>
      </w:r>
      <w:r>
        <w:rPr>
          <w:rFonts w:ascii="Arial" w:hAnsi="Arial"/>
          <w:b/>
          <w:spacing w:val="-4"/>
        </w:rPr>
        <w:t xml:space="preserve"> </w:t>
      </w:r>
      <w:r>
        <w:rPr>
          <w:rFonts w:ascii="Arial" w:hAnsi="Arial"/>
          <w:b/>
        </w:rPr>
        <w:t>e</w:t>
      </w:r>
      <w:r>
        <w:rPr>
          <w:rFonts w:ascii="Arial" w:hAnsi="Arial"/>
          <w:b/>
          <w:spacing w:val="-4"/>
        </w:rPr>
        <w:t xml:space="preserve"> </w:t>
      </w:r>
      <w:r>
        <w:rPr>
          <w:rFonts w:ascii="Arial" w:hAnsi="Arial"/>
          <w:b/>
        </w:rPr>
        <w:t>suas</w:t>
      </w:r>
      <w:r>
        <w:rPr>
          <w:rFonts w:ascii="Arial" w:hAnsi="Arial"/>
          <w:b/>
          <w:spacing w:val="-3"/>
        </w:rPr>
        <w:t xml:space="preserve"> </w:t>
      </w:r>
      <w:r>
        <w:rPr>
          <w:rFonts w:ascii="Arial" w:hAnsi="Arial"/>
          <w:b/>
          <w:spacing w:val="-2"/>
        </w:rPr>
        <w:t>Operações</w:t>
      </w:r>
    </w:p>
    <w:p w14:paraId="17267F51" w14:textId="77777777" w:rsidR="002C6574" w:rsidRDefault="00000000">
      <w:pPr>
        <w:pStyle w:val="Corpodetexto"/>
        <w:spacing w:before="146" w:line="237" w:lineRule="auto"/>
        <w:ind w:left="143" w:right="702"/>
        <w:jc w:val="both"/>
      </w:pPr>
      <w:r>
        <w:rPr>
          <w:w w:val="105"/>
        </w:rPr>
        <w:t>A</w:t>
      </w:r>
      <w:r>
        <w:rPr>
          <w:spacing w:val="39"/>
          <w:w w:val="105"/>
        </w:rPr>
        <w:t xml:space="preserve"> </w:t>
      </w:r>
      <w:r>
        <w:rPr>
          <w:w w:val="105"/>
        </w:rPr>
        <w:t>Telecomunicações</w:t>
      </w:r>
      <w:r>
        <w:rPr>
          <w:spacing w:val="38"/>
          <w:w w:val="105"/>
        </w:rPr>
        <w:t xml:space="preserve"> </w:t>
      </w:r>
      <w:r>
        <w:rPr>
          <w:w w:val="105"/>
        </w:rPr>
        <w:t>Brasileiras</w:t>
      </w:r>
      <w:r>
        <w:rPr>
          <w:spacing w:val="40"/>
          <w:w w:val="105"/>
        </w:rPr>
        <w:t xml:space="preserve"> </w:t>
      </w:r>
      <w:r>
        <w:rPr>
          <w:w w:val="105"/>
        </w:rPr>
        <w:t>S.A.</w:t>
      </w:r>
      <w:r>
        <w:rPr>
          <w:spacing w:val="38"/>
          <w:w w:val="105"/>
        </w:rPr>
        <w:t xml:space="preserve"> </w:t>
      </w:r>
      <w:r>
        <w:rPr>
          <w:w w:val="105"/>
        </w:rPr>
        <w:t>(“Companhia</w:t>
      </w:r>
      <w:r>
        <w:rPr>
          <w:spacing w:val="39"/>
          <w:w w:val="105"/>
        </w:rPr>
        <w:t xml:space="preserve"> </w:t>
      </w:r>
      <w:r>
        <w:rPr>
          <w:w w:val="105"/>
        </w:rPr>
        <w:t>ou</w:t>
      </w:r>
      <w:r>
        <w:rPr>
          <w:spacing w:val="40"/>
          <w:w w:val="105"/>
        </w:rPr>
        <w:t xml:space="preserve"> </w:t>
      </w:r>
      <w:r>
        <w:rPr>
          <w:w w:val="105"/>
        </w:rPr>
        <w:t>Telebras”),</w:t>
      </w:r>
      <w:r>
        <w:rPr>
          <w:spacing w:val="40"/>
          <w:w w:val="105"/>
        </w:rPr>
        <w:t xml:space="preserve"> </w:t>
      </w:r>
      <w:r>
        <w:rPr>
          <w:w w:val="105"/>
        </w:rPr>
        <w:t>sediada</w:t>
      </w:r>
      <w:r>
        <w:rPr>
          <w:spacing w:val="40"/>
          <w:w w:val="105"/>
        </w:rPr>
        <w:t xml:space="preserve"> </w:t>
      </w:r>
      <w:r>
        <w:rPr>
          <w:w w:val="105"/>
        </w:rPr>
        <w:t>no</w:t>
      </w:r>
      <w:r>
        <w:rPr>
          <w:spacing w:val="39"/>
          <w:w w:val="105"/>
        </w:rPr>
        <w:t xml:space="preserve"> </w:t>
      </w:r>
      <w:r>
        <w:rPr>
          <w:w w:val="105"/>
        </w:rPr>
        <w:t>SIG</w:t>
      </w:r>
      <w:r>
        <w:rPr>
          <w:spacing w:val="40"/>
          <w:w w:val="105"/>
        </w:rPr>
        <w:t xml:space="preserve"> </w:t>
      </w:r>
      <w:r>
        <w:rPr>
          <w:w w:val="105"/>
        </w:rPr>
        <w:t>Qd.</w:t>
      </w:r>
      <w:r>
        <w:rPr>
          <w:spacing w:val="40"/>
          <w:w w:val="105"/>
        </w:rPr>
        <w:t xml:space="preserve"> </w:t>
      </w:r>
      <w:r>
        <w:rPr>
          <w:w w:val="105"/>
        </w:rPr>
        <w:t>4,</w:t>
      </w:r>
      <w:r>
        <w:rPr>
          <w:spacing w:val="38"/>
          <w:w w:val="105"/>
        </w:rPr>
        <w:t xml:space="preserve"> </w:t>
      </w:r>
      <w:r>
        <w:rPr>
          <w:w w:val="105"/>
        </w:rPr>
        <w:t>Bl.</w:t>
      </w:r>
      <w:r>
        <w:rPr>
          <w:spacing w:val="40"/>
          <w:w w:val="105"/>
        </w:rPr>
        <w:t xml:space="preserve"> </w:t>
      </w:r>
      <w:r>
        <w:rPr>
          <w:w w:val="105"/>
        </w:rPr>
        <w:t xml:space="preserve">A, </w:t>
      </w:r>
      <w:r>
        <w:t>3º andar – Edifício</w:t>
      </w:r>
      <w:r>
        <w:rPr>
          <w:spacing w:val="40"/>
        </w:rPr>
        <w:t xml:space="preserve"> </w:t>
      </w:r>
      <w:r>
        <w:t xml:space="preserve">Capital Financial Center – Brasília-DF, endereço eletrônico: </w:t>
      </w:r>
      <w:hyperlink r:id="rId60">
        <w:r>
          <w:t>www.telebras.com.br,</w:t>
        </w:r>
      </w:hyperlink>
      <w:r>
        <w:t xml:space="preserve"> </w:t>
      </w:r>
      <w:r>
        <w:rPr>
          <w:w w:val="105"/>
        </w:rPr>
        <w:t xml:space="preserve">CNPJ 00.336.701/0001-04, é uma sociedade empresária de economia mista e de capital aberto, </w:t>
      </w:r>
      <w:r>
        <w:t>vinculada ao Ministério das Comunicações, constituída em 9 de novembro de 1972, de acordo com</w:t>
      </w:r>
      <w:r>
        <w:rPr>
          <w:spacing w:val="80"/>
          <w:w w:val="105"/>
        </w:rPr>
        <w:t xml:space="preserve"> </w:t>
      </w:r>
      <w:r>
        <w:rPr>
          <w:w w:val="105"/>
        </w:rPr>
        <w:t>a</w:t>
      </w:r>
      <w:r>
        <w:rPr>
          <w:spacing w:val="-6"/>
          <w:w w:val="105"/>
        </w:rPr>
        <w:t xml:space="preserve"> </w:t>
      </w:r>
      <w:r>
        <w:rPr>
          <w:w w:val="105"/>
        </w:rPr>
        <w:t>Lei</w:t>
      </w:r>
      <w:r>
        <w:rPr>
          <w:spacing w:val="-5"/>
          <w:w w:val="105"/>
        </w:rPr>
        <w:t xml:space="preserve"> </w:t>
      </w:r>
      <w:r>
        <w:rPr>
          <w:w w:val="105"/>
        </w:rPr>
        <w:t>nº</w:t>
      </w:r>
      <w:r>
        <w:rPr>
          <w:spacing w:val="-14"/>
          <w:w w:val="105"/>
        </w:rPr>
        <w:t xml:space="preserve"> </w:t>
      </w:r>
      <w:r>
        <w:rPr>
          <w:w w:val="105"/>
        </w:rPr>
        <w:t>5.792,</w:t>
      </w:r>
      <w:r>
        <w:rPr>
          <w:spacing w:val="-6"/>
          <w:w w:val="105"/>
        </w:rPr>
        <w:t xml:space="preserve"> </w:t>
      </w:r>
      <w:r>
        <w:rPr>
          <w:w w:val="105"/>
        </w:rPr>
        <w:t>de</w:t>
      </w:r>
      <w:r>
        <w:rPr>
          <w:spacing w:val="-8"/>
          <w:w w:val="105"/>
        </w:rPr>
        <w:t xml:space="preserve"> </w:t>
      </w:r>
      <w:r>
        <w:rPr>
          <w:w w:val="105"/>
        </w:rPr>
        <w:t>01</w:t>
      </w:r>
      <w:r>
        <w:rPr>
          <w:spacing w:val="-7"/>
          <w:w w:val="105"/>
        </w:rPr>
        <w:t xml:space="preserve"> </w:t>
      </w:r>
      <w:r>
        <w:rPr>
          <w:w w:val="105"/>
        </w:rPr>
        <w:t>de</w:t>
      </w:r>
      <w:r>
        <w:rPr>
          <w:spacing w:val="-8"/>
          <w:w w:val="105"/>
        </w:rPr>
        <w:t xml:space="preserve"> </w:t>
      </w:r>
      <w:r>
        <w:rPr>
          <w:w w:val="105"/>
        </w:rPr>
        <w:t>julho</w:t>
      </w:r>
      <w:r>
        <w:rPr>
          <w:spacing w:val="-8"/>
          <w:w w:val="105"/>
        </w:rPr>
        <w:t xml:space="preserve"> </w:t>
      </w:r>
      <w:r>
        <w:rPr>
          <w:w w:val="105"/>
        </w:rPr>
        <w:t>de</w:t>
      </w:r>
      <w:r>
        <w:rPr>
          <w:spacing w:val="-6"/>
          <w:w w:val="105"/>
        </w:rPr>
        <w:t xml:space="preserve"> </w:t>
      </w:r>
      <w:r>
        <w:rPr>
          <w:w w:val="105"/>
        </w:rPr>
        <w:t>1972,</w:t>
      </w:r>
      <w:r>
        <w:rPr>
          <w:spacing w:val="-6"/>
          <w:w w:val="105"/>
        </w:rPr>
        <w:t xml:space="preserve"> </w:t>
      </w:r>
      <w:r>
        <w:rPr>
          <w:w w:val="105"/>
        </w:rPr>
        <w:t>devidamente</w:t>
      </w:r>
      <w:r>
        <w:rPr>
          <w:spacing w:val="-6"/>
          <w:w w:val="105"/>
        </w:rPr>
        <w:t xml:space="preserve"> </w:t>
      </w:r>
      <w:r>
        <w:rPr>
          <w:w w:val="105"/>
        </w:rPr>
        <w:t>autorizada</w:t>
      </w:r>
      <w:r>
        <w:rPr>
          <w:spacing w:val="-8"/>
          <w:w w:val="105"/>
        </w:rPr>
        <w:t xml:space="preserve"> </w:t>
      </w:r>
      <w:r>
        <w:rPr>
          <w:w w:val="105"/>
        </w:rPr>
        <w:t>pela</w:t>
      </w:r>
      <w:r>
        <w:rPr>
          <w:spacing w:val="-6"/>
          <w:w w:val="105"/>
        </w:rPr>
        <w:t xml:space="preserve"> </w:t>
      </w:r>
      <w:r>
        <w:rPr>
          <w:w w:val="105"/>
        </w:rPr>
        <w:t>ANATEL</w:t>
      </w:r>
      <w:r>
        <w:rPr>
          <w:spacing w:val="-5"/>
          <w:w w:val="105"/>
        </w:rPr>
        <w:t xml:space="preserve"> </w:t>
      </w:r>
      <w:r>
        <w:rPr>
          <w:w w:val="105"/>
        </w:rPr>
        <w:t>para</w:t>
      </w:r>
      <w:r>
        <w:rPr>
          <w:spacing w:val="-8"/>
          <w:w w:val="105"/>
        </w:rPr>
        <w:t xml:space="preserve"> </w:t>
      </w:r>
      <w:r>
        <w:rPr>
          <w:w w:val="105"/>
        </w:rPr>
        <w:t>a</w:t>
      </w:r>
      <w:r>
        <w:rPr>
          <w:spacing w:val="-6"/>
          <w:w w:val="105"/>
        </w:rPr>
        <w:t xml:space="preserve"> </w:t>
      </w:r>
      <w:r>
        <w:rPr>
          <w:w w:val="105"/>
        </w:rPr>
        <w:t>prestação</w:t>
      </w:r>
      <w:r>
        <w:rPr>
          <w:spacing w:val="-9"/>
          <w:w w:val="105"/>
        </w:rPr>
        <w:t xml:space="preserve"> </w:t>
      </w:r>
      <w:r>
        <w:rPr>
          <w:w w:val="105"/>
        </w:rPr>
        <w:t>do Serviço</w:t>
      </w:r>
      <w:r>
        <w:rPr>
          <w:spacing w:val="-11"/>
          <w:w w:val="105"/>
        </w:rPr>
        <w:t xml:space="preserve"> </w:t>
      </w:r>
      <w:r>
        <w:rPr>
          <w:w w:val="105"/>
        </w:rPr>
        <w:t>de</w:t>
      </w:r>
      <w:r>
        <w:rPr>
          <w:spacing w:val="-9"/>
          <w:w w:val="105"/>
        </w:rPr>
        <w:t xml:space="preserve"> </w:t>
      </w:r>
      <w:r>
        <w:rPr>
          <w:w w:val="105"/>
        </w:rPr>
        <w:t>Comunicação</w:t>
      </w:r>
      <w:r>
        <w:rPr>
          <w:spacing w:val="-6"/>
          <w:w w:val="105"/>
        </w:rPr>
        <w:t xml:space="preserve"> </w:t>
      </w:r>
      <w:r>
        <w:rPr>
          <w:w w:val="105"/>
        </w:rPr>
        <w:t>Multimídia</w:t>
      </w:r>
      <w:r>
        <w:rPr>
          <w:spacing w:val="-9"/>
          <w:w w:val="105"/>
        </w:rPr>
        <w:t xml:space="preserve"> </w:t>
      </w:r>
      <w:r>
        <w:rPr>
          <w:w w:val="105"/>
        </w:rPr>
        <w:t>(Termo</w:t>
      </w:r>
      <w:r>
        <w:rPr>
          <w:spacing w:val="-9"/>
          <w:w w:val="105"/>
        </w:rPr>
        <w:t xml:space="preserve"> </w:t>
      </w:r>
      <w:r>
        <w:rPr>
          <w:w w:val="105"/>
        </w:rPr>
        <w:t>PVST/SPV</w:t>
      </w:r>
      <w:r>
        <w:rPr>
          <w:spacing w:val="-7"/>
          <w:w w:val="105"/>
        </w:rPr>
        <w:t xml:space="preserve"> </w:t>
      </w:r>
      <w:r>
        <w:rPr>
          <w:w w:val="105"/>
        </w:rPr>
        <w:t>nº</w:t>
      </w:r>
      <w:r>
        <w:rPr>
          <w:spacing w:val="-16"/>
          <w:w w:val="105"/>
        </w:rPr>
        <w:t xml:space="preserve"> </w:t>
      </w:r>
      <w:r>
        <w:rPr>
          <w:w w:val="105"/>
        </w:rPr>
        <w:t>118/2011,</w:t>
      </w:r>
      <w:r>
        <w:rPr>
          <w:spacing w:val="-7"/>
          <w:w w:val="105"/>
        </w:rPr>
        <w:t xml:space="preserve"> </w:t>
      </w:r>
      <w:r>
        <w:rPr>
          <w:w w:val="105"/>
        </w:rPr>
        <w:t>publicado</w:t>
      </w:r>
      <w:r>
        <w:rPr>
          <w:spacing w:val="-6"/>
          <w:w w:val="105"/>
        </w:rPr>
        <w:t xml:space="preserve"> </w:t>
      </w:r>
      <w:r>
        <w:rPr>
          <w:w w:val="105"/>
        </w:rPr>
        <w:t>no</w:t>
      </w:r>
      <w:r>
        <w:rPr>
          <w:spacing w:val="-6"/>
          <w:w w:val="105"/>
        </w:rPr>
        <w:t xml:space="preserve"> </w:t>
      </w:r>
      <w:r>
        <w:rPr>
          <w:w w:val="105"/>
        </w:rPr>
        <w:t>DOU</w:t>
      </w:r>
      <w:r>
        <w:rPr>
          <w:spacing w:val="-6"/>
          <w:w w:val="105"/>
        </w:rPr>
        <w:t xml:space="preserve"> </w:t>
      </w:r>
      <w:r>
        <w:rPr>
          <w:w w:val="105"/>
        </w:rPr>
        <w:t>em</w:t>
      </w:r>
      <w:r>
        <w:rPr>
          <w:spacing w:val="-6"/>
          <w:w w:val="105"/>
        </w:rPr>
        <w:t xml:space="preserve"> </w:t>
      </w:r>
      <w:r>
        <w:rPr>
          <w:w w:val="105"/>
        </w:rPr>
        <w:t>07</w:t>
      </w:r>
      <w:r>
        <w:rPr>
          <w:spacing w:val="-9"/>
          <w:w w:val="105"/>
        </w:rPr>
        <w:t xml:space="preserve"> </w:t>
      </w:r>
      <w:r>
        <w:rPr>
          <w:w w:val="105"/>
        </w:rPr>
        <w:t xml:space="preserve">de </w:t>
      </w:r>
      <w:r>
        <w:rPr>
          <w:spacing w:val="-2"/>
          <w:w w:val="105"/>
        </w:rPr>
        <w:t>abril</w:t>
      </w:r>
      <w:r>
        <w:rPr>
          <w:spacing w:val="-10"/>
          <w:w w:val="105"/>
        </w:rPr>
        <w:t xml:space="preserve"> </w:t>
      </w:r>
      <w:r>
        <w:rPr>
          <w:spacing w:val="-2"/>
          <w:w w:val="105"/>
        </w:rPr>
        <w:t>de</w:t>
      </w:r>
      <w:r>
        <w:rPr>
          <w:spacing w:val="-9"/>
          <w:w w:val="105"/>
        </w:rPr>
        <w:t xml:space="preserve"> </w:t>
      </w:r>
      <w:r>
        <w:rPr>
          <w:spacing w:val="-2"/>
          <w:w w:val="105"/>
        </w:rPr>
        <w:t>2011),</w:t>
      </w:r>
      <w:r>
        <w:rPr>
          <w:spacing w:val="-9"/>
          <w:w w:val="105"/>
        </w:rPr>
        <w:t xml:space="preserve"> </w:t>
      </w:r>
      <w:r>
        <w:rPr>
          <w:spacing w:val="-2"/>
          <w:w w:val="105"/>
        </w:rPr>
        <w:t>portanto</w:t>
      </w:r>
      <w:r>
        <w:rPr>
          <w:spacing w:val="-11"/>
          <w:w w:val="105"/>
        </w:rPr>
        <w:t xml:space="preserve"> </w:t>
      </w:r>
      <w:r>
        <w:rPr>
          <w:spacing w:val="-2"/>
          <w:w w:val="105"/>
        </w:rPr>
        <w:t>rege-se</w:t>
      </w:r>
      <w:r>
        <w:rPr>
          <w:spacing w:val="-13"/>
          <w:w w:val="105"/>
        </w:rPr>
        <w:t xml:space="preserve"> </w:t>
      </w:r>
      <w:r>
        <w:rPr>
          <w:spacing w:val="-2"/>
          <w:w w:val="105"/>
        </w:rPr>
        <w:t>pela</w:t>
      </w:r>
      <w:r>
        <w:rPr>
          <w:spacing w:val="-9"/>
          <w:w w:val="105"/>
        </w:rPr>
        <w:t xml:space="preserve"> </w:t>
      </w:r>
      <w:r>
        <w:rPr>
          <w:spacing w:val="-2"/>
          <w:w w:val="105"/>
        </w:rPr>
        <w:t>Lei</w:t>
      </w:r>
      <w:r>
        <w:rPr>
          <w:spacing w:val="-10"/>
          <w:w w:val="105"/>
        </w:rPr>
        <w:t xml:space="preserve"> </w:t>
      </w:r>
      <w:r>
        <w:rPr>
          <w:spacing w:val="-2"/>
          <w:w w:val="105"/>
        </w:rPr>
        <w:t>nº</w:t>
      </w:r>
      <w:r>
        <w:rPr>
          <w:spacing w:val="-12"/>
          <w:w w:val="105"/>
        </w:rPr>
        <w:t xml:space="preserve"> </w:t>
      </w:r>
      <w:r>
        <w:rPr>
          <w:spacing w:val="-2"/>
          <w:w w:val="105"/>
        </w:rPr>
        <w:t>6.404/76,</w:t>
      </w:r>
      <w:r>
        <w:rPr>
          <w:spacing w:val="-8"/>
          <w:w w:val="105"/>
        </w:rPr>
        <w:t xml:space="preserve"> </w:t>
      </w:r>
      <w:r>
        <w:rPr>
          <w:spacing w:val="-2"/>
          <w:w w:val="105"/>
        </w:rPr>
        <w:t>por</w:t>
      </w:r>
      <w:r>
        <w:rPr>
          <w:spacing w:val="-10"/>
          <w:w w:val="105"/>
        </w:rPr>
        <w:t xml:space="preserve"> </w:t>
      </w:r>
      <w:r>
        <w:rPr>
          <w:spacing w:val="-2"/>
          <w:w w:val="105"/>
        </w:rPr>
        <w:t>disposições</w:t>
      </w:r>
      <w:r>
        <w:rPr>
          <w:spacing w:val="-10"/>
          <w:w w:val="105"/>
        </w:rPr>
        <w:t xml:space="preserve"> </w:t>
      </w:r>
      <w:r>
        <w:rPr>
          <w:spacing w:val="-2"/>
          <w:w w:val="105"/>
        </w:rPr>
        <w:t>especiais</w:t>
      </w:r>
      <w:r>
        <w:rPr>
          <w:spacing w:val="-10"/>
          <w:w w:val="105"/>
        </w:rPr>
        <w:t xml:space="preserve"> </w:t>
      </w:r>
      <w:r>
        <w:rPr>
          <w:spacing w:val="-2"/>
          <w:w w:val="105"/>
        </w:rPr>
        <w:t>de</w:t>
      </w:r>
      <w:r>
        <w:rPr>
          <w:spacing w:val="-9"/>
          <w:w w:val="105"/>
        </w:rPr>
        <w:t xml:space="preserve"> </w:t>
      </w:r>
      <w:r>
        <w:rPr>
          <w:spacing w:val="-2"/>
          <w:w w:val="105"/>
        </w:rPr>
        <w:t>leis</w:t>
      </w:r>
      <w:r>
        <w:rPr>
          <w:spacing w:val="-10"/>
          <w:w w:val="105"/>
        </w:rPr>
        <w:t xml:space="preserve"> </w:t>
      </w:r>
      <w:r>
        <w:rPr>
          <w:spacing w:val="-2"/>
          <w:w w:val="105"/>
        </w:rPr>
        <w:t>federais</w:t>
      </w:r>
      <w:r>
        <w:rPr>
          <w:spacing w:val="-10"/>
          <w:w w:val="105"/>
        </w:rPr>
        <w:t xml:space="preserve"> </w:t>
      </w:r>
      <w:r>
        <w:rPr>
          <w:spacing w:val="-2"/>
          <w:w w:val="105"/>
        </w:rPr>
        <w:t>e</w:t>
      </w:r>
      <w:r>
        <w:rPr>
          <w:spacing w:val="-11"/>
          <w:w w:val="105"/>
        </w:rPr>
        <w:t xml:space="preserve"> </w:t>
      </w:r>
      <w:r>
        <w:rPr>
          <w:spacing w:val="-2"/>
          <w:w w:val="105"/>
        </w:rPr>
        <w:t xml:space="preserve">da </w:t>
      </w:r>
      <w:r>
        <w:rPr>
          <w:w w:val="105"/>
        </w:rPr>
        <w:t>Comissão</w:t>
      </w:r>
      <w:r>
        <w:rPr>
          <w:spacing w:val="-11"/>
          <w:w w:val="105"/>
        </w:rPr>
        <w:t xml:space="preserve"> </w:t>
      </w:r>
      <w:r>
        <w:rPr>
          <w:w w:val="105"/>
        </w:rPr>
        <w:t>de</w:t>
      </w:r>
      <w:r>
        <w:rPr>
          <w:spacing w:val="-14"/>
          <w:w w:val="105"/>
        </w:rPr>
        <w:t xml:space="preserve"> </w:t>
      </w:r>
      <w:r>
        <w:rPr>
          <w:w w:val="105"/>
        </w:rPr>
        <w:t>Valores</w:t>
      </w:r>
      <w:r>
        <w:rPr>
          <w:spacing w:val="-13"/>
          <w:w w:val="105"/>
        </w:rPr>
        <w:t xml:space="preserve"> </w:t>
      </w:r>
      <w:r>
        <w:rPr>
          <w:w w:val="105"/>
        </w:rPr>
        <w:t>Mobiliários</w:t>
      </w:r>
      <w:r>
        <w:rPr>
          <w:spacing w:val="-13"/>
          <w:w w:val="105"/>
        </w:rPr>
        <w:t xml:space="preserve"> </w:t>
      </w:r>
      <w:r>
        <w:rPr>
          <w:w w:val="105"/>
        </w:rPr>
        <w:t>-</w:t>
      </w:r>
      <w:r>
        <w:rPr>
          <w:spacing w:val="-10"/>
          <w:w w:val="105"/>
        </w:rPr>
        <w:t xml:space="preserve"> </w:t>
      </w:r>
      <w:r>
        <w:rPr>
          <w:w w:val="105"/>
        </w:rPr>
        <w:t>CVM,</w:t>
      </w:r>
      <w:r>
        <w:rPr>
          <w:spacing w:val="-13"/>
          <w:w w:val="105"/>
        </w:rPr>
        <w:t xml:space="preserve"> </w:t>
      </w:r>
      <w:r>
        <w:rPr>
          <w:w w:val="105"/>
        </w:rPr>
        <w:t>pela</w:t>
      </w:r>
      <w:r>
        <w:rPr>
          <w:spacing w:val="-12"/>
          <w:w w:val="105"/>
        </w:rPr>
        <w:t xml:space="preserve"> </w:t>
      </w:r>
      <w:r>
        <w:rPr>
          <w:w w:val="105"/>
        </w:rPr>
        <w:t>legislação</w:t>
      </w:r>
      <w:r>
        <w:rPr>
          <w:spacing w:val="-11"/>
          <w:w w:val="105"/>
        </w:rPr>
        <w:t xml:space="preserve"> </w:t>
      </w:r>
      <w:r>
        <w:rPr>
          <w:w w:val="105"/>
        </w:rPr>
        <w:t>de</w:t>
      </w:r>
      <w:r>
        <w:rPr>
          <w:spacing w:val="-12"/>
          <w:w w:val="105"/>
        </w:rPr>
        <w:t xml:space="preserve"> </w:t>
      </w:r>
      <w:r>
        <w:rPr>
          <w:w w:val="105"/>
        </w:rPr>
        <w:t>telecomunicações,</w:t>
      </w:r>
      <w:r>
        <w:rPr>
          <w:spacing w:val="-11"/>
          <w:w w:val="105"/>
        </w:rPr>
        <w:t xml:space="preserve"> </w:t>
      </w:r>
      <w:r>
        <w:rPr>
          <w:w w:val="105"/>
        </w:rPr>
        <w:t>pelas</w:t>
      </w:r>
      <w:r>
        <w:rPr>
          <w:spacing w:val="-11"/>
          <w:w w:val="105"/>
        </w:rPr>
        <w:t xml:space="preserve"> </w:t>
      </w:r>
      <w:r>
        <w:rPr>
          <w:w w:val="105"/>
        </w:rPr>
        <w:t>leis</w:t>
      </w:r>
      <w:r>
        <w:rPr>
          <w:spacing w:val="-13"/>
          <w:w w:val="105"/>
        </w:rPr>
        <w:t xml:space="preserve"> </w:t>
      </w:r>
      <w:r>
        <w:rPr>
          <w:w w:val="105"/>
        </w:rPr>
        <w:t>e</w:t>
      </w:r>
      <w:r>
        <w:rPr>
          <w:spacing w:val="-14"/>
          <w:w w:val="105"/>
        </w:rPr>
        <w:t xml:space="preserve"> </w:t>
      </w:r>
      <w:r>
        <w:rPr>
          <w:w w:val="105"/>
        </w:rPr>
        <w:t>usos</w:t>
      </w:r>
      <w:r>
        <w:rPr>
          <w:spacing w:val="-13"/>
          <w:w w:val="105"/>
        </w:rPr>
        <w:t xml:space="preserve"> </w:t>
      </w:r>
      <w:r>
        <w:rPr>
          <w:w w:val="105"/>
        </w:rPr>
        <w:t>do comércio</w:t>
      </w:r>
      <w:r>
        <w:rPr>
          <w:spacing w:val="-2"/>
          <w:w w:val="105"/>
        </w:rPr>
        <w:t xml:space="preserve"> </w:t>
      </w:r>
      <w:r>
        <w:rPr>
          <w:w w:val="105"/>
        </w:rPr>
        <w:t>e demais disposições legais aplicáveis</w:t>
      </w:r>
      <w:r>
        <w:rPr>
          <w:spacing w:val="-2"/>
          <w:w w:val="105"/>
        </w:rPr>
        <w:t xml:space="preserve"> </w:t>
      </w:r>
      <w:r>
        <w:rPr>
          <w:w w:val="105"/>
        </w:rPr>
        <w:t>à</w:t>
      </w:r>
      <w:r>
        <w:rPr>
          <w:spacing w:val="-2"/>
          <w:w w:val="105"/>
        </w:rPr>
        <w:t xml:space="preserve"> </w:t>
      </w:r>
      <w:r>
        <w:rPr>
          <w:w w:val="105"/>
        </w:rPr>
        <w:t>Companhia.</w:t>
      </w:r>
    </w:p>
    <w:p w14:paraId="3AEF06CA" w14:textId="77777777" w:rsidR="002C6574" w:rsidRDefault="002C6574">
      <w:pPr>
        <w:pStyle w:val="Corpodetexto"/>
        <w:spacing w:before="37"/>
      </w:pPr>
    </w:p>
    <w:p w14:paraId="7EE44E58" w14:textId="77777777" w:rsidR="002C6574" w:rsidRDefault="00000000">
      <w:pPr>
        <w:numPr>
          <w:ilvl w:val="1"/>
          <w:numId w:val="54"/>
        </w:numPr>
        <w:tabs>
          <w:tab w:val="left" w:pos="993"/>
          <w:tab w:val="left" w:pos="995"/>
        </w:tabs>
        <w:spacing w:before="1" w:line="276" w:lineRule="auto"/>
        <w:ind w:left="995" w:right="700" w:hanging="852"/>
        <w:jc w:val="both"/>
        <w:rPr>
          <w:rFonts w:ascii="Arial" w:hAnsi="Arial"/>
          <w:b/>
        </w:rPr>
      </w:pPr>
      <w:r>
        <w:rPr>
          <w:rFonts w:ascii="Arial" w:hAnsi="Arial"/>
          <w:b/>
        </w:rPr>
        <w:t xml:space="preserve">Inclusão da Telebras nos Orçamentos Fiscais e da Seguridade Social da União e classificação da Companhia como uma estatal dependente a partir do exercício de </w:t>
      </w:r>
      <w:r>
        <w:rPr>
          <w:rFonts w:ascii="Arial" w:hAnsi="Arial"/>
          <w:b/>
          <w:spacing w:val="-2"/>
        </w:rPr>
        <w:t>2020.</w:t>
      </w:r>
    </w:p>
    <w:p w14:paraId="179E7371" w14:textId="77777777" w:rsidR="002C6574" w:rsidRDefault="00000000">
      <w:pPr>
        <w:pStyle w:val="Corpodetexto"/>
        <w:spacing w:before="233"/>
        <w:ind w:left="143" w:right="703"/>
        <w:jc w:val="both"/>
      </w:pPr>
      <w:r>
        <w:t>Em 8 de agosto de 2019, a Telebras recebeu ofício da Secretaria de Coordenação e Governança das Empresas Estatais (SEST), do Ministério da Economia (ME), informando que seria incluída nos Orçamentos</w:t>
      </w:r>
      <w:r>
        <w:rPr>
          <w:spacing w:val="32"/>
        </w:rPr>
        <w:t xml:space="preserve"> </w:t>
      </w:r>
      <w:r>
        <w:t>Fiscal</w:t>
      </w:r>
      <w:r>
        <w:rPr>
          <w:spacing w:val="32"/>
        </w:rPr>
        <w:t xml:space="preserve"> </w:t>
      </w:r>
      <w:r>
        <w:t>e</w:t>
      </w:r>
      <w:r>
        <w:rPr>
          <w:spacing w:val="29"/>
        </w:rPr>
        <w:t xml:space="preserve"> </w:t>
      </w:r>
      <w:r>
        <w:t>da</w:t>
      </w:r>
      <w:r>
        <w:rPr>
          <w:spacing w:val="29"/>
        </w:rPr>
        <w:t xml:space="preserve"> </w:t>
      </w:r>
      <w:r>
        <w:t>Seguridade</w:t>
      </w:r>
      <w:r>
        <w:rPr>
          <w:spacing w:val="33"/>
        </w:rPr>
        <w:t xml:space="preserve"> </w:t>
      </w:r>
      <w:r>
        <w:t>Social</w:t>
      </w:r>
      <w:r>
        <w:rPr>
          <w:spacing w:val="32"/>
        </w:rPr>
        <w:t xml:space="preserve"> </w:t>
      </w:r>
      <w:r>
        <w:t>(OFSS)</w:t>
      </w:r>
      <w:r>
        <w:rPr>
          <w:spacing w:val="33"/>
        </w:rPr>
        <w:t xml:space="preserve"> </w:t>
      </w:r>
      <w:r>
        <w:t>da</w:t>
      </w:r>
      <w:r>
        <w:rPr>
          <w:spacing w:val="35"/>
        </w:rPr>
        <w:t xml:space="preserve"> </w:t>
      </w:r>
      <w:r>
        <w:t>União</w:t>
      </w:r>
      <w:r>
        <w:rPr>
          <w:spacing w:val="32"/>
        </w:rPr>
        <w:t xml:space="preserve"> </w:t>
      </w:r>
      <w:r>
        <w:t>a</w:t>
      </w:r>
      <w:r>
        <w:rPr>
          <w:spacing w:val="29"/>
        </w:rPr>
        <w:t xml:space="preserve"> </w:t>
      </w:r>
      <w:r>
        <w:t>partir</w:t>
      </w:r>
      <w:r>
        <w:rPr>
          <w:spacing w:val="30"/>
        </w:rPr>
        <w:t xml:space="preserve"> </w:t>
      </w:r>
      <w:r>
        <w:t>do</w:t>
      </w:r>
      <w:r>
        <w:rPr>
          <w:spacing w:val="32"/>
        </w:rPr>
        <w:t xml:space="preserve"> </w:t>
      </w:r>
      <w:r>
        <w:t>exercício</w:t>
      </w:r>
      <w:r>
        <w:rPr>
          <w:spacing w:val="29"/>
        </w:rPr>
        <w:t xml:space="preserve"> </w:t>
      </w:r>
      <w:r>
        <w:t>de</w:t>
      </w:r>
      <w:r>
        <w:rPr>
          <w:spacing w:val="32"/>
        </w:rPr>
        <w:t xml:space="preserve"> </w:t>
      </w:r>
      <w:r>
        <w:t>2020.</w:t>
      </w:r>
    </w:p>
    <w:p w14:paraId="34BF7810" w14:textId="77777777" w:rsidR="002C6574" w:rsidRDefault="00000000">
      <w:pPr>
        <w:pStyle w:val="Corpodetexto"/>
        <w:spacing w:before="157" w:line="237" w:lineRule="auto"/>
        <w:ind w:left="143" w:right="702"/>
        <w:jc w:val="both"/>
      </w:pPr>
      <w:r>
        <w:rPr>
          <w:w w:val="105"/>
        </w:rPr>
        <w:t>Em 15</w:t>
      </w:r>
      <w:r>
        <w:rPr>
          <w:spacing w:val="-2"/>
          <w:w w:val="105"/>
        </w:rPr>
        <w:t xml:space="preserve"> </w:t>
      </w:r>
      <w:r>
        <w:rPr>
          <w:w w:val="105"/>
        </w:rPr>
        <w:t>de</w:t>
      </w:r>
      <w:r>
        <w:rPr>
          <w:spacing w:val="-2"/>
          <w:w w:val="105"/>
        </w:rPr>
        <w:t xml:space="preserve"> </w:t>
      </w:r>
      <w:r>
        <w:rPr>
          <w:w w:val="105"/>
        </w:rPr>
        <w:t>agosto</w:t>
      </w:r>
      <w:r>
        <w:rPr>
          <w:spacing w:val="-2"/>
          <w:w w:val="105"/>
        </w:rPr>
        <w:t xml:space="preserve"> </w:t>
      </w:r>
      <w:r>
        <w:rPr>
          <w:w w:val="105"/>
        </w:rPr>
        <w:t>de</w:t>
      </w:r>
      <w:r>
        <w:rPr>
          <w:spacing w:val="-2"/>
          <w:w w:val="105"/>
        </w:rPr>
        <w:t xml:space="preserve"> </w:t>
      </w:r>
      <w:r>
        <w:rPr>
          <w:w w:val="105"/>
        </w:rPr>
        <w:t>2019, o</w:t>
      </w:r>
      <w:r>
        <w:rPr>
          <w:spacing w:val="-5"/>
          <w:w w:val="105"/>
        </w:rPr>
        <w:t xml:space="preserve"> </w:t>
      </w:r>
      <w:r>
        <w:rPr>
          <w:w w:val="105"/>
        </w:rPr>
        <w:t>Ministério</w:t>
      </w:r>
      <w:r>
        <w:rPr>
          <w:spacing w:val="-3"/>
          <w:w w:val="105"/>
        </w:rPr>
        <w:t xml:space="preserve"> </w:t>
      </w:r>
      <w:r>
        <w:rPr>
          <w:w w:val="105"/>
        </w:rPr>
        <w:t>da</w:t>
      </w:r>
      <w:r>
        <w:rPr>
          <w:spacing w:val="-1"/>
          <w:w w:val="105"/>
        </w:rPr>
        <w:t xml:space="preserve"> </w:t>
      </w:r>
      <w:r>
        <w:rPr>
          <w:w w:val="105"/>
        </w:rPr>
        <w:t>Ciência, Tecnologia,</w:t>
      </w:r>
      <w:r>
        <w:rPr>
          <w:spacing w:val="-2"/>
          <w:w w:val="105"/>
        </w:rPr>
        <w:t xml:space="preserve"> </w:t>
      </w:r>
      <w:r>
        <w:rPr>
          <w:w w:val="105"/>
        </w:rPr>
        <w:t>Inovações</w:t>
      </w:r>
      <w:r>
        <w:rPr>
          <w:spacing w:val="-1"/>
          <w:w w:val="105"/>
        </w:rPr>
        <w:t xml:space="preserve"> </w:t>
      </w:r>
      <w:r>
        <w:rPr>
          <w:w w:val="105"/>
        </w:rPr>
        <w:t>(MCTI)</w:t>
      </w:r>
      <w:r>
        <w:rPr>
          <w:spacing w:val="-1"/>
          <w:w w:val="105"/>
        </w:rPr>
        <w:t xml:space="preserve"> </w:t>
      </w:r>
      <w:r>
        <w:rPr>
          <w:w w:val="105"/>
        </w:rPr>
        <w:t>informou</w:t>
      </w:r>
      <w:r>
        <w:rPr>
          <w:spacing w:val="-2"/>
          <w:w w:val="105"/>
        </w:rPr>
        <w:t xml:space="preserve"> </w:t>
      </w:r>
      <w:r>
        <w:rPr>
          <w:w w:val="105"/>
        </w:rPr>
        <w:t>que</w:t>
      </w:r>
      <w:r>
        <w:rPr>
          <w:spacing w:val="-2"/>
          <w:w w:val="105"/>
        </w:rPr>
        <w:t xml:space="preserve"> </w:t>
      </w:r>
      <w:r>
        <w:rPr>
          <w:w w:val="105"/>
        </w:rPr>
        <w:t xml:space="preserve">a Telebras havia sido incluída, pelo ME, nos Orçamentos Fiscal e da Seguridade Social (OFSS) da União. A justificativa para a inclusão no Projeto de Lei Orçamentária Anual (PLOA) se deveu à </w:t>
      </w:r>
      <w:r>
        <w:t>classificação</w:t>
      </w:r>
      <w:r>
        <w:rPr>
          <w:spacing w:val="15"/>
        </w:rPr>
        <w:t xml:space="preserve"> </w:t>
      </w:r>
      <w:r>
        <w:t>da Telebras</w:t>
      </w:r>
      <w:r>
        <w:rPr>
          <w:spacing w:val="15"/>
        </w:rPr>
        <w:t xml:space="preserve"> </w:t>
      </w:r>
      <w:r>
        <w:t>como uma empresa estatal</w:t>
      </w:r>
      <w:r>
        <w:rPr>
          <w:spacing w:val="15"/>
        </w:rPr>
        <w:t xml:space="preserve"> </w:t>
      </w:r>
      <w:r>
        <w:t>dependente do OFSS para o exercício de 2020</w:t>
      </w:r>
      <w:r>
        <w:rPr>
          <w:spacing w:val="40"/>
          <w:w w:val="105"/>
        </w:rPr>
        <w:t xml:space="preserve"> </w:t>
      </w:r>
      <w:r>
        <w:rPr>
          <w:w w:val="105"/>
        </w:rPr>
        <w:t>e que esta inclusão já constava no Sistema Integrado de Planejamento e Orçamento (“SIOP”), referente ao PLOA de 2020.</w:t>
      </w:r>
    </w:p>
    <w:p w14:paraId="306DD8A0" w14:textId="77777777" w:rsidR="002C6574" w:rsidRDefault="00000000">
      <w:pPr>
        <w:pStyle w:val="Corpodetexto"/>
        <w:spacing w:before="167" w:line="237" w:lineRule="auto"/>
        <w:ind w:left="143" w:right="703"/>
        <w:jc w:val="both"/>
      </w:pPr>
      <w:r>
        <w:t>Segundo a Lei Complementar nº 101/2000 - Lei de Responsabilidade Fiscal (LRF), a definição de empresa estatal dependente é uma empresa controlada que recebe do ente controlador recursos financeiros para pagamento de despesas com pessoal ou de custeio em geral ou de capital, excluídos, no último caso, aqueles provenientes de aumento de participação acionária.</w:t>
      </w:r>
    </w:p>
    <w:p w14:paraId="011C51AA" w14:textId="77777777" w:rsidR="002C6574" w:rsidRDefault="002C6574">
      <w:pPr>
        <w:pStyle w:val="Corpodetexto"/>
        <w:spacing w:before="32"/>
      </w:pPr>
    </w:p>
    <w:p w14:paraId="36758A93" w14:textId="77777777" w:rsidR="002C6574" w:rsidRDefault="00000000">
      <w:pPr>
        <w:numPr>
          <w:ilvl w:val="1"/>
          <w:numId w:val="54"/>
        </w:numPr>
        <w:tabs>
          <w:tab w:val="left" w:pos="993"/>
          <w:tab w:val="left" w:pos="995"/>
        </w:tabs>
        <w:spacing w:line="276" w:lineRule="auto"/>
        <w:ind w:left="995" w:right="702" w:hanging="852"/>
        <w:jc w:val="both"/>
        <w:rPr>
          <w:rFonts w:ascii="Arial" w:hAnsi="Arial"/>
          <w:b/>
        </w:rPr>
      </w:pPr>
      <w:r>
        <w:rPr>
          <w:rFonts w:ascii="Arial" w:hAnsi="Arial"/>
          <w:b/>
        </w:rPr>
        <w:t>Decreto que regulamenta o processo de transição entre empresas estatais federais dependentes e não dependentes.</w:t>
      </w:r>
    </w:p>
    <w:p w14:paraId="5651FC7F" w14:textId="77777777" w:rsidR="002C6574" w:rsidRDefault="00000000">
      <w:pPr>
        <w:pStyle w:val="Corpodetexto"/>
        <w:spacing w:before="246" w:line="237" w:lineRule="auto"/>
        <w:ind w:left="143" w:right="704"/>
        <w:jc w:val="both"/>
      </w:pPr>
      <w:r>
        <w:t xml:space="preserve">Em 12 de junho de 2025, foi publicado no Diário Oficial da União o decreto nº 12.500, que regulamenta o processo de transição entre empresas estatais federais dependentes e não </w:t>
      </w:r>
      <w:r>
        <w:rPr>
          <w:spacing w:val="-2"/>
        </w:rPr>
        <w:t>dependentes.</w:t>
      </w:r>
    </w:p>
    <w:p w14:paraId="22508A4D" w14:textId="77777777" w:rsidR="002C6574" w:rsidRDefault="002C6574">
      <w:pPr>
        <w:pStyle w:val="Corpodetexto"/>
        <w:spacing w:before="2"/>
      </w:pPr>
    </w:p>
    <w:p w14:paraId="06D6709C" w14:textId="77777777" w:rsidR="002C6574" w:rsidRDefault="00000000">
      <w:pPr>
        <w:pStyle w:val="Corpodetexto"/>
        <w:spacing w:before="1" w:line="237" w:lineRule="auto"/>
        <w:ind w:left="143" w:right="703"/>
        <w:jc w:val="both"/>
      </w:pPr>
      <w:r>
        <w:t>O Decreto estabelece, dentre outros critérios, que empresas com Índice de Sustentabilidade Financeira (ISF) igual ou superior a 0,4 poderão apresentar um plano de sustentabilidade visando à transição das estatais dependentes para a condição de não dependente.</w:t>
      </w:r>
    </w:p>
    <w:p w14:paraId="6BAAD2D5" w14:textId="77777777" w:rsidR="002C6574" w:rsidRDefault="002C6574">
      <w:pPr>
        <w:pStyle w:val="Corpodetexto"/>
        <w:spacing w:before="2"/>
      </w:pPr>
    </w:p>
    <w:p w14:paraId="13671E22" w14:textId="77777777" w:rsidR="002C6574" w:rsidRDefault="00000000">
      <w:pPr>
        <w:pStyle w:val="Corpodetexto"/>
        <w:spacing w:line="237" w:lineRule="auto"/>
        <w:ind w:left="143" w:right="703"/>
        <w:jc w:val="both"/>
      </w:pPr>
      <w:r>
        <w:t>Esse</w:t>
      </w:r>
      <w:r>
        <w:rPr>
          <w:spacing w:val="-2"/>
        </w:rPr>
        <w:t xml:space="preserve"> </w:t>
      </w:r>
      <w:r>
        <w:t>plano</w:t>
      </w:r>
      <w:r>
        <w:rPr>
          <w:spacing w:val="-2"/>
        </w:rPr>
        <w:t xml:space="preserve"> </w:t>
      </w:r>
      <w:r>
        <w:t>deverá</w:t>
      </w:r>
      <w:r>
        <w:rPr>
          <w:spacing w:val="-7"/>
        </w:rPr>
        <w:t xml:space="preserve"> </w:t>
      </w:r>
      <w:r>
        <w:t>ser</w:t>
      </w:r>
      <w:r>
        <w:rPr>
          <w:spacing w:val="-4"/>
        </w:rPr>
        <w:t xml:space="preserve"> </w:t>
      </w:r>
      <w:r>
        <w:t>acompanhado</w:t>
      </w:r>
      <w:r>
        <w:rPr>
          <w:spacing w:val="-2"/>
        </w:rPr>
        <w:t xml:space="preserve"> </w:t>
      </w:r>
      <w:r>
        <w:t>de</w:t>
      </w:r>
      <w:r>
        <w:rPr>
          <w:spacing w:val="-7"/>
        </w:rPr>
        <w:t xml:space="preserve"> </w:t>
      </w:r>
      <w:r>
        <w:t>um</w:t>
      </w:r>
      <w:r>
        <w:rPr>
          <w:spacing w:val="-6"/>
        </w:rPr>
        <w:t xml:space="preserve"> </w:t>
      </w:r>
      <w:r>
        <w:t>contrato</w:t>
      </w:r>
      <w:r>
        <w:rPr>
          <w:spacing w:val="-3"/>
        </w:rPr>
        <w:t xml:space="preserve"> </w:t>
      </w:r>
      <w:r>
        <w:t>de</w:t>
      </w:r>
      <w:r>
        <w:rPr>
          <w:spacing w:val="-7"/>
        </w:rPr>
        <w:t xml:space="preserve"> </w:t>
      </w:r>
      <w:r>
        <w:t>gestão,</w:t>
      </w:r>
      <w:r>
        <w:rPr>
          <w:spacing w:val="-4"/>
        </w:rPr>
        <w:t xml:space="preserve"> </w:t>
      </w:r>
      <w:r>
        <w:t>com</w:t>
      </w:r>
      <w:r>
        <w:rPr>
          <w:spacing w:val="-3"/>
        </w:rPr>
        <w:t xml:space="preserve"> </w:t>
      </w:r>
      <w:r>
        <w:t>metas,</w:t>
      </w:r>
      <w:r>
        <w:rPr>
          <w:spacing w:val="-2"/>
        </w:rPr>
        <w:t xml:space="preserve"> </w:t>
      </w:r>
      <w:r>
        <w:t>indicadores,</w:t>
      </w:r>
      <w:r>
        <w:rPr>
          <w:spacing w:val="-4"/>
        </w:rPr>
        <w:t xml:space="preserve"> </w:t>
      </w:r>
      <w:r>
        <w:t>cronograma de repasses e mecanismos de monitoramento.</w:t>
      </w:r>
    </w:p>
    <w:p w14:paraId="75FBAF6D" w14:textId="77777777" w:rsidR="002C6574" w:rsidRDefault="002C6574">
      <w:pPr>
        <w:pStyle w:val="Corpodetexto"/>
        <w:spacing w:line="237" w:lineRule="auto"/>
        <w:jc w:val="both"/>
        <w:sectPr w:rsidR="002C6574">
          <w:headerReference w:type="default" r:id="rId61"/>
          <w:footerReference w:type="default" r:id="rId62"/>
          <w:pgSz w:w="11910" w:h="16840"/>
          <w:pgMar w:top="1720" w:right="141" w:bottom="1360" w:left="1133" w:header="971" w:footer="1160" w:gutter="0"/>
          <w:cols w:space="720"/>
        </w:sectPr>
      </w:pPr>
    </w:p>
    <w:p w14:paraId="5385E7D3" w14:textId="77777777" w:rsidR="002C6574" w:rsidRDefault="002C6574">
      <w:pPr>
        <w:pStyle w:val="Corpodetexto"/>
        <w:spacing w:before="195"/>
      </w:pPr>
    </w:p>
    <w:p w14:paraId="531B73FA" w14:textId="77777777" w:rsidR="002C6574" w:rsidRDefault="00000000">
      <w:pPr>
        <w:pStyle w:val="Corpodetexto"/>
        <w:spacing w:before="1"/>
        <w:ind w:left="143" w:right="703"/>
        <w:jc w:val="both"/>
      </w:pPr>
      <w:r>
        <w:rPr>
          <w:w w:val="105"/>
        </w:rPr>
        <w:t>Ao</w:t>
      </w:r>
      <w:r>
        <w:rPr>
          <w:spacing w:val="-3"/>
          <w:w w:val="105"/>
        </w:rPr>
        <w:t xml:space="preserve"> </w:t>
      </w:r>
      <w:r>
        <w:rPr>
          <w:w w:val="105"/>
        </w:rPr>
        <w:t>final</w:t>
      </w:r>
      <w:r>
        <w:rPr>
          <w:spacing w:val="-5"/>
          <w:w w:val="105"/>
        </w:rPr>
        <w:t xml:space="preserve"> </w:t>
      </w:r>
      <w:r>
        <w:rPr>
          <w:w w:val="105"/>
        </w:rPr>
        <w:t>do</w:t>
      </w:r>
      <w:r>
        <w:rPr>
          <w:spacing w:val="-3"/>
          <w:w w:val="105"/>
        </w:rPr>
        <w:t xml:space="preserve"> </w:t>
      </w:r>
      <w:r>
        <w:rPr>
          <w:w w:val="105"/>
        </w:rPr>
        <w:t>contrato</w:t>
      </w:r>
      <w:r>
        <w:rPr>
          <w:spacing w:val="-4"/>
          <w:w w:val="105"/>
        </w:rPr>
        <w:t xml:space="preserve"> </w:t>
      </w:r>
      <w:r>
        <w:rPr>
          <w:w w:val="105"/>
        </w:rPr>
        <w:t>de</w:t>
      </w:r>
      <w:r>
        <w:rPr>
          <w:spacing w:val="-3"/>
          <w:w w:val="105"/>
        </w:rPr>
        <w:t xml:space="preserve"> </w:t>
      </w:r>
      <w:r>
        <w:rPr>
          <w:w w:val="105"/>
        </w:rPr>
        <w:t>gestão</w:t>
      </w:r>
      <w:r>
        <w:rPr>
          <w:spacing w:val="-3"/>
          <w:w w:val="105"/>
        </w:rPr>
        <w:t xml:space="preserve"> </w:t>
      </w:r>
      <w:r>
        <w:rPr>
          <w:w w:val="105"/>
        </w:rPr>
        <w:t>as</w:t>
      </w:r>
      <w:r>
        <w:rPr>
          <w:spacing w:val="-5"/>
          <w:w w:val="105"/>
        </w:rPr>
        <w:t xml:space="preserve"> </w:t>
      </w:r>
      <w:r>
        <w:rPr>
          <w:w w:val="105"/>
        </w:rPr>
        <w:t>empresas</w:t>
      </w:r>
      <w:r>
        <w:rPr>
          <w:spacing w:val="-5"/>
          <w:w w:val="105"/>
        </w:rPr>
        <w:t xml:space="preserve"> </w:t>
      </w:r>
      <w:r>
        <w:rPr>
          <w:w w:val="105"/>
        </w:rPr>
        <w:t>que</w:t>
      </w:r>
      <w:r>
        <w:rPr>
          <w:spacing w:val="-5"/>
          <w:w w:val="105"/>
        </w:rPr>
        <w:t xml:space="preserve"> </w:t>
      </w:r>
      <w:r>
        <w:rPr>
          <w:w w:val="105"/>
        </w:rPr>
        <w:t>alcançarem</w:t>
      </w:r>
      <w:r>
        <w:rPr>
          <w:spacing w:val="-5"/>
          <w:w w:val="105"/>
        </w:rPr>
        <w:t xml:space="preserve"> </w:t>
      </w:r>
      <w:r>
        <w:rPr>
          <w:w w:val="105"/>
        </w:rPr>
        <w:t>ISF</w:t>
      </w:r>
      <w:r>
        <w:rPr>
          <w:spacing w:val="-5"/>
          <w:w w:val="105"/>
        </w:rPr>
        <w:t xml:space="preserve"> </w:t>
      </w:r>
      <w:r>
        <w:rPr>
          <w:w w:val="105"/>
        </w:rPr>
        <w:t>superior</w:t>
      </w:r>
      <w:r>
        <w:rPr>
          <w:spacing w:val="-5"/>
          <w:w w:val="105"/>
        </w:rPr>
        <w:t xml:space="preserve"> </w:t>
      </w:r>
      <w:r>
        <w:rPr>
          <w:w w:val="105"/>
        </w:rPr>
        <w:t>a</w:t>
      </w:r>
      <w:r>
        <w:rPr>
          <w:spacing w:val="-4"/>
          <w:w w:val="105"/>
        </w:rPr>
        <w:t xml:space="preserve"> </w:t>
      </w:r>
      <w:r>
        <w:rPr>
          <w:w w:val="105"/>
        </w:rPr>
        <w:t>1,05</w:t>
      </w:r>
      <w:r>
        <w:rPr>
          <w:spacing w:val="-3"/>
          <w:w w:val="105"/>
        </w:rPr>
        <w:t xml:space="preserve"> </w:t>
      </w:r>
      <w:r>
        <w:rPr>
          <w:w w:val="105"/>
        </w:rPr>
        <w:t>serão</w:t>
      </w:r>
      <w:r>
        <w:rPr>
          <w:spacing w:val="-3"/>
          <w:w w:val="105"/>
        </w:rPr>
        <w:t xml:space="preserve"> </w:t>
      </w:r>
      <w:r>
        <w:rPr>
          <w:w w:val="105"/>
        </w:rPr>
        <w:t>avaliadas</w:t>
      </w:r>
      <w:r>
        <w:rPr>
          <w:spacing w:val="-6"/>
          <w:w w:val="105"/>
        </w:rPr>
        <w:t xml:space="preserve"> </w:t>
      </w:r>
      <w:r>
        <w:rPr>
          <w:w w:val="105"/>
        </w:rPr>
        <w:t>e poderão</w:t>
      </w:r>
      <w:r>
        <w:rPr>
          <w:spacing w:val="-5"/>
          <w:w w:val="105"/>
        </w:rPr>
        <w:t xml:space="preserve"> </w:t>
      </w:r>
      <w:r>
        <w:rPr>
          <w:w w:val="105"/>
        </w:rPr>
        <w:t>ser</w:t>
      </w:r>
      <w:r>
        <w:rPr>
          <w:spacing w:val="-5"/>
          <w:w w:val="105"/>
        </w:rPr>
        <w:t xml:space="preserve"> </w:t>
      </w:r>
      <w:r>
        <w:rPr>
          <w:w w:val="105"/>
        </w:rPr>
        <w:t>classificadas</w:t>
      </w:r>
      <w:r>
        <w:rPr>
          <w:spacing w:val="-6"/>
          <w:w w:val="105"/>
        </w:rPr>
        <w:t xml:space="preserve"> </w:t>
      </w:r>
      <w:r>
        <w:rPr>
          <w:w w:val="105"/>
        </w:rPr>
        <w:t>como</w:t>
      </w:r>
      <w:r>
        <w:rPr>
          <w:spacing w:val="-6"/>
          <w:w w:val="105"/>
        </w:rPr>
        <w:t xml:space="preserve"> </w:t>
      </w:r>
      <w:r>
        <w:rPr>
          <w:w w:val="105"/>
        </w:rPr>
        <w:t>empresa</w:t>
      </w:r>
      <w:r>
        <w:rPr>
          <w:spacing w:val="-7"/>
          <w:w w:val="105"/>
        </w:rPr>
        <w:t xml:space="preserve"> </w:t>
      </w:r>
      <w:r>
        <w:rPr>
          <w:w w:val="105"/>
        </w:rPr>
        <w:t>estatal</w:t>
      </w:r>
      <w:r>
        <w:rPr>
          <w:spacing w:val="-8"/>
          <w:w w:val="105"/>
        </w:rPr>
        <w:t xml:space="preserve"> </w:t>
      </w:r>
      <w:r>
        <w:rPr>
          <w:w w:val="105"/>
        </w:rPr>
        <w:t>não</w:t>
      </w:r>
      <w:r>
        <w:rPr>
          <w:spacing w:val="-5"/>
          <w:w w:val="105"/>
        </w:rPr>
        <w:t xml:space="preserve"> </w:t>
      </w:r>
      <w:r>
        <w:rPr>
          <w:w w:val="105"/>
        </w:rPr>
        <w:t>dependentes.</w:t>
      </w:r>
    </w:p>
    <w:p w14:paraId="5F3D0DFE" w14:textId="77777777" w:rsidR="002C6574" w:rsidRDefault="00000000">
      <w:pPr>
        <w:pStyle w:val="Corpodetexto"/>
        <w:spacing w:before="288"/>
        <w:ind w:left="143" w:right="705"/>
        <w:jc w:val="both"/>
      </w:pPr>
      <w:r>
        <w:t>Este novo marco busca</w:t>
      </w:r>
      <w:r>
        <w:rPr>
          <w:spacing w:val="-1"/>
        </w:rPr>
        <w:t xml:space="preserve"> </w:t>
      </w:r>
      <w:r>
        <w:t>maior transparência, eficiência e autonomia na gestão das empresas estatais federais, alinhado às diretrizes fiscais e às boas práticas de governança pública, respeitada a Lei de Responsabilidade Fiscal.</w:t>
      </w:r>
    </w:p>
    <w:p w14:paraId="444EB0C0" w14:textId="77777777" w:rsidR="002C6574" w:rsidRDefault="002C6574">
      <w:pPr>
        <w:pStyle w:val="Corpodetexto"/>
        <w:spacing w:before="24"/>
      </w:pPr>
    </w:p>
    <w:p w14:paraId="19DF89AC" w14:textId="77777777" w:rsidR="002C6574" w:rsidRDefault="00000000">
      <w:pPr>
        <w:numPr>
          <w:ilvl w:val="1"/>
          <w:numId w:val="54"/>
        </w:numPr>
        <w:tabs>
          <w:tab w:val="left" w:pos="996"/>
        </w:tabs>
        <w:spacing w:before="1"/>
        <w:ind w:left="996" w:hanging="853"/>
        <w:rPr>
          <w:rFonts w:ascii="Arial" w:hAnsi="Arial"/>
          <w:b/>
        </w:rPr>
      </w:pPr>
      <w:r>
        <w:rPr>
          <w:rFonts w:ascii="Arial" w:hAnsi="Arial"/>
          <w:b/>
        </w:rPr>
        <w:t>Contrato</w:t>
      </w:r>
      <w:r>
        <w:rPr>
          <w:rFonts w:ascii="Arial" w:hAnsi="Arial"/>
          <w:b/>
          <w:spacing w:val="-7"/>
        </w:rPr>
        <w:t xml:space="preserve"> </w:t>
      </w:r>
      <w:r>
        <w:rPr>
          <w:rFonts w:ascii="Arial" w:hAnsi="Arial"/>
          <w:b/>
        </w:rPr>
        <w:t>de</w:t>
      </w:r>
      <w:r>
        <w:rPr>
          <w:rFonts w:ascii="Arial" w:hAnsi="Arial"/>
          <w:b/>
          <w:spacing w:val="-5"/>
        </w:rPr>
        <w:t xml:space="preserve"> </w:t>
      </w:r>
      <w:r>
        <w:rPr>
          <w:rFonts w:ascii="Arial" w:hAnsi="Arial"/>
          <w:b/>
        </w:rPr>
        <w:t>Gestão</w:t>
      </w:r>
      <w:r>
        <w:rPr>
          <w:rFonts w:ascii="Arial" w:hAnsi="Arial"/>
          <w:b/>
          <w:spacing w:val="-7"/>
        </w:rPr>
        <w:t xml:space="preserve"> </w:t>
      </w:r>
      <w:r>
        <w:rPr>
          <w:rFonts w:ascii="Arial" w:hAnsi="Arial"/>
          <w:b/>
        </w:rPr>
        <w:t>e</w:t>
      </w:r>
      <w:r>
        <w:rPr>
          <w:rFonts w:ascii="Arial" w:hAnsi="Arial"/>
          <w:b/>
          <w:spacing w:val="-1"/>
        </w:rPr>
        <w:t xml:space="preserve"> </w:t>
      </w:r>
      <w:r>
        <w:rPr>
          <w:rFonts w:ascii="Arial" w:hAnsi="Arial"/>
          <w:b/>
        </w:rPr>
        <w:t>Plano</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rPr>
        <w:t>Sustentabilidade</w:t>
      </w:r>
      <w:r>
        <w:rPr>
          <w:rFonts w:ascii="Arial" w:hAnsi="Arial"/>
          <w:b/>
          <w:spacing w:val="-5"/>
        </w:rPr>
        <w:t xml:space="preserve"> </w:t>
      </w:r>
      <w:r>
        <w:rPr>
          <w:rFonts w:ascii="Arial" w:hAnsi="Arial"/>
          <w:b/>
        </w:rPr>
        <w:t>Econômico-</w:t>
      </w:r>
      <w:r>
        <w:rPr>
          <w:rFonts w:ascii="Arial" w:hAnsi="Arial"/>
          <w:b/>
          <w:spacing w:val="-2"/>
        </w:rPr>
        <w:t>Financeira</w:t>
      </w:r>
    </w:p>
    <w:p w14:paraId="2FB14FBF" w14:textId="77777777" w:rsidR="002C6574" w:rsidRDefault="002C6574">
      <w:pPr>
        <w:pStyle w:val="Corpodetexto"/>
        <w:spacing w:before="43"/>
        <w:rPr>
          <w:rFonts w:ascii="Arial"/>
          <w:b/>
        </w:rPr>
      </w:pPr>
    </w:p>
    <w:p w14:paraId="404D1812" w14:textId="77777777" w:rsidR="002C6574" w:rsidRDefault="00000000">
      <w:pPr>
        <w:pStyle w:val="Corpodetexto"/>
        <w:ind w:left="143" w:right="703"/>
        <w:jc w:val="both"/>
      </w:pPr>
      <w:r>
        <w:rPr>
          <w:w w:val="105"/>
        </w:rPr>
        <w:t>Em</w:t>
      </w:r>
      <w:r>
        <w:rPr>
          <w:spacing w:val="-7"/>
          <w:w w:val="105"/>
        </w:rPr>
        <w:t xml:space="preserve"> </w:t>
      </w:r>
      <w:r>
        <w:rPr>
          <w:w w:val="105"/>
        </w:rPr>
        <w:t>05</w:t>
      </w:r>
      <w:r>
        <w:rPr>
          <w:spacing w:val="-6"/>
          <w:w w:val="105"/>
        </w:rPr>
        <w:t xml:space="preserve"> </w:t>
      </w:r>
      <w:r>
        <w:rPr>
          <w:w w:val="105"/>
        </w:rPr>
        <w:t>de</w:t>
      </w:r>
      <w:r>
        <w:rPr>
          <w:spacing w:val="-8"/>
          <w:w w:val="105"/>
        </w:rPr>
        <w:t xml:space="preserve"> </w:t>
      </w:r>
      <w:r>
        <w:rPr>
          <w:w w:val="105"/>
        </w:rPr>
        <w:t>setembro</w:t>
      </w:r>
      <w:r>
        <w:rPr>
          <w:spacing w:val="-8"/>
          <w:w w:val="105"/>
        </w:rPr>
        <w:t xml:space="preserve"> </w:t>
      </w:r>
      <w:r>
        <w:rPr>
          <w:w w:val="105"/>
        </w:rPr>
        <w:t>de</w:t>
      </w:r>
      <w:r>
        <w:rPr>
          <w:spacing w:val="-9"/>
          <w:w w:val="105"/>
        </w:rPr>
        <w:t xml:space="preserve"> </w:t>
      </w:r>
      <w:r>
        <w:rPr>
          <w:w w:val="105"/>
        </w:rPr>
        <w:t>2025,</w:t>
      </w:r>
      <w:r>
        <w:rPr>
          <w:spacing w:val="-6"/>
          <w:w w:val="105"/>
        </w:rPr>
        <w:t xml:space="preserve"> </w:t>
      </w:r>
      <w:r>
        <w:rPr>
          <w:w w:val="105"/>
        </w:rPr>
        <w:t>a</w:t>
      </w:r>
      <w:r>
        <w:rPr>
          <w:spacing w:val="-8"/>
          <w:w w:val="105"/>
        </w:rPr>
        <w:t xml:space="preserve"> </w:t>
      </w:r>
      <w:r>
        <w:rPr>
          <w:w w:val="105"/>
        </w:rPr>
        <w:t>Telecomunicações</w:t>
      </w:r>
      <w:r>
        <w:rPr>
          <w:spacing w:val="-9"/>
          <w:w w:val="105"/>
        </w:rPr>
        <w:t xml:space="preserve"> </w:t>
      </w:r>
      <w:r>
        <w:rPr>
          <w:w w:val="105"/>
        </w:rPr>
        <w:t>Brasileiras</w:t>
      </w:r>
      <w:r>
        <w:rPr>
          <w:spacing w:val="-6"/>
          <w:w w:val="105"/>
        </w:rPr>
        <w:t xml:space="preserve"> </w:t>
      </w:r>
      <w:r>
        <w:rPr>
          <w:w w:val="105"/>
        </w:rPr>
        <w:t>S.A.</w:t>
      </w:r>
      <w:r>
        <w:rPr>
          <w:spacing w:val="-6"/>
          <w:w w:val="105"/>
        </w:rPr>
        <w:t xml:space="preserve"> </w:t>
      </w:r>
      <w:r>
        <w:rPr>
          <w:w w:val="105"/>
        </w:rPr>
        <w:t>–</w:t>
      </w:r>
      <w:r>
        <w:rPr>
          <w:spacing w:val="-8"/>
          <w:w w:val="105"/>
        </w:rPr>
        <w:t xml:space="preserve"> </w:t>
      </w:r>
      <w:r>
        <w:rPr>
          <w:w w:val="105"/>
        </w:rPr>
        <w:t>Telebras</w:t>
      </w:r>
      <w:r>
        <w:rPr>
          <w:spacing w:val="-9"/>
          <w:w w:val="105"/>
        </w:rPr>
        <w:t xml:space="preserve"> </w:t>
      </w:r>
      <w:r>
        <w:rPr>
          <w:w w:val="105"/>
        </w:rPr>
        <w:t>celebrou</w:t>
      </w:r>
      <w:r>
        <w:rPr>
          <w:spacing w:val="-9"/>
          <w:w w:val="105"/>
        </w:rPr>
        <w:t xml:space="preserve"> </w:t>
      </w:r>
      <w:r>
        <w:rPr>
          <w:w w:val="105"/>
        </w:rPr>
        <w:t>Contrato</w:t>
      </w:r>
      <w:r>
        <w:rPr>
          <w:spacing w:val="-11"/>
          <w:w w:val="105"/>
        </w:rPr>
        <w:t xml:space="preserve"> </w:t>
      </w:r>
      <w:r>
        <w:rPr>
          <w:w w:val="105"/>
        </w:rPr>
        <w:t xml:space="preserve">de </w:t>
      </w:r>
      <w:r>
        <w:t>Gestão com seu órgão supervisor, o Ministério das Comunicações, em conformidade com a Portaria Conjunta</w:t>
      </w:r>
      <w:r>
        <w:rPr>
          <w:spacing w:val="-8"/>
        </w:rPr>
        <w:t xml:space="preserve"> </w:t>
      </w:r>
      <w:r>
        <w:t>MGI/MPO/MF</w:t>
      </w:r>
      <w:r>
        <w:rPr>
          <w:spacing w:val="-9"/>
        </w:rPr>
        <w:t xml:space="preserve"> </w:t>
      </w:r>
      <w:r>
        <w:t>nº</w:t>
      </w:r>
      <w:r>
        <w:rPr>
          <w:spacing w:val="-1"/>
        </w:rPr>
        <w:t xml:space="preserve"> </w:t>
      </w:r>
      <w:r>
        <w:t>57,</w:t>
      </w:r>
      <w:r>
        <w:rPr>
          <w:spacing w:val="-1"/>
        </w:rPr>
        <w:t xml:space="preserve"> </w:t>
      </w:r>
      <w:r>
        <w:t>de</w:t>
      </w:r>
      <w:r>
        <w:rPr>
          <w:spacing w:val="-4"/>
        </w:rPr>
        <w:t xml:space="preserve"> </w:t>
      </w:r>
      <w:r>
        <w:t>11</w:t>
      </w:r>
      <w:r>
        <w:rPr>
          <w:spacing w:val="-4"/>
        </w:rPr>
        <w:t xml:space="preserve"> </w:t>
      </w:r>
      <w:r>
        <w:t>de</w:t>
      </w:r>
      <w:r>
        <w:rPr>
          <w:spacing w:val="-5"/>
        </w:rPr>
        <w:t xml:space="preserve"> </w:t>
      </w:r>
      <w:r>
        <w:t>agosto</w:t>
      </w:r>
      <w:r>
        <w:rPr>
          <w:spacing w:val="-5"/>
        </w:rPr>
        <w:t xml:space="preserve"> </w:t>
      </w:r>
      <w:r>
        <w:t>de</w:t>
      </w:r>
      <w:r>
        <w:rPr>
          <w:spacing w:val="-4"/>
        </w:rPr>
        <w:t xml:space="preserve"> </w:t>
      </w:r>
      <w:r>
        <w:t>2025,</w:t>
      </w:r>
      <w:r>
        <w:rPr>
          <w:spacing w:val="-1"/>
        </w:rPr>
        <w:t xml:space="preserve"> </w:t>
      </w:r>
      <w:r>
        <w:t>que</w:t>
      </w:r>
      <w:r>
        <w:rPr>
          <w:spacing w:val="-5"/>
        </w:rPr>
        <w:t xml:space="preserve"> </w:t>
      </w:r>
      <w:r>
        <w:t>regulamenta</w:t>
      </w:r>
      <w:r>
        <w:rPr>
          <w:spacing w:val="-5"/>
        </w:rPr>
        <w:t xml:space="preserve"> </w:t>
      </w:r>
      <w:r>
        <w:t>o</w:t>
      </w:r>
      <w:r>
        <w:rPr>
          <w:spacing w:val="-5"/>
        </w:rPr>
        <w:t xml:space="preserve"> </w:t>
      </w:r>
      <w:r>
        <w:t>Decreto</w:t>
      </w:r>
      <w:r>
        <w:rPr>
          <w:spacing w:val="-5"/>
        </w:rPr>
        <w:t xml:space="preserve"> </w:t>
      </w:r>
      <w:r>
        <w:t>nº</w:t>
      </w:r>
      <w:r>
        <w:rPr>
          <w:spacing w:val="-1"/>
        </w:rPr>
        <w:t xml:space="preserve"> </w:t>
      </w:r>
      <w:r>
        <w:t>12.500,</w:t>
      </w:r>
      <w:r>
        <w:rPr>
          <w:spacing w:val="-1"/>
        </w:rPr>
        <w:t xml:space="preserve"> </w:t>
      </w:r>
      <w:r>
        <w:t>de</w:t>
      </w:r>
      <w:r>
        <w:rPr>
          <w:spacing w:val="-7"/>
        </w:rPr>
        <w:t xml:space="preserve"> </w:t>
      </w:r>
      <w:r>
        <w:t xml:space="preserve">11 </w:t>
      </w:r>
      <w:r>
        <w:rPr>
          <w:w w:val="105"/>
        </w:rPr>
        <w:t>de junho de 2025 e a</w:t>
      </w:r>
      <w:r>
        <w:rPr>
          <w:spacing w:val="-2"/>
          <w:w w:val="105"/>
        </w:rPr>
        <w:t xml:space="preserve"> </w:t>
      </w:r>
      <w:r>
        <w:rPr>
          <w:w w:val="105"/>
        </w:rPr>
        <w:t>Lei</w:t>
      </w:r>
      <w:r>
        <w:rPr>
          <w:spacing w:val="-1"/>
          <w:w w:val="105"/>
        </w:rPr>
        <w:t xml:space="preserve"> </w:t>
      </w:r>
      <w:r>
        <w:rPr>
          <w:w w:val="105"/>
        </w:rPr>
        <w:t>nº 13.303/2016.</w:t>
      </w:r>
    </w:p>
    <w:p w14:paraId="68A14187" w14:textId="77777777" w:rsidR="002C6574" w:rsidRDefault="00000000">
      <w:pPr>
        <w:pStyle w:val="Corpodetexto"/>
        <w:spacing w:before="155"/>
        <w:ind w:left="143" w:right="704"/>
        <w:jc w:val="both"/>
      </w:pPr>
      <w:r>
        <w:t>O</w:t>
      </w:r>
      <w:r>
        <w:rPr>
          <w:spacing w:val="-4"/>
        </w:rPr>
        <w:t xml:space="preserve"> </w:t>
      </w:r>
      <w:r>
        <w:t>referido</w:t>
      </w:r>
      <w:r>
        <w:rPr>
          <w:spacing w:val="-6"/>
        </w:rPr>
        <w:t xml:space="preserve"> </w:t>
      </w:r>
      <w:r>
        <w:t>contrato</w:t>
      </w:r>
      <w:r>
        <w:rPr>
          <w:spacing w:val="-6"/>
        </w:rPr>
        <w:t xml:space="preserve"> </w:t>
      </w:r>
      <w:r>
        <w:t>tem</w:t>
      </w:r>
      <w:r>
        <w:rPr>
          <w:spacing w:val="-2"/>
        </w:rPr>
        <w:t xml:space="preserve"> </w:t>
      </w:r>
      <w:r>
        <w:t>como</w:t>
      </w:r>
      <w:r>
        <w:rPr>
          <w:spacing w:val="-6"/>
        </w:rPr>
        <w:t xml:space="preserve"> </w:t>
      </w:r>
      <w:r>
        <w:t>fundamento</w:t>
      </w:r>
      <w:r>
        <w:rPr>
          <w:spacing w:val="-3"/>
        </w:rPr>
        <w:t xml:space="preserve"> </w:t>
      </w:r>
      <w:r>
        <w:t>o</w:t>
      </w:r>
      <w:r>
        <w:rPr>
          <w:spacing w:val="-3"/>
        </w:rPr>
        <w:t xml:space="preserve"> </w:t>
      </w:r>
      <w:r>
        <w:t>art.</w:t>
      </w:r>
      <w:r>
        <w:rPr>
          <w:spacing w:val="-2"/>
        </w:rPr>
        <w:t xml:space="preserve"> </w:t>
      </w:r>
      <w:r>
        <w:t>47</w:t>
      </w:r>
      <w:r>
        <w:rPr>
          <w:spacing w:val="-3"/>
        </w:rPr>
        <w:t xml:space="preserve"> </w:t>
      </w:r>
      <w:r>
        <w:t>da</w:t>
      </w:r>
      <w:r>
        <w:rPr>
          <w:spacing w:val="-4"/>
        </w:rPr>
        <w:t xml:space="preserve"> </w:t>
      </w:r>
      <w:r>
        <w:t>Lei</w:t>
      </w:r>
      <w:r>
        <w:rPr>
          <w:spacing w:val="-2"/>
        </w:rPr>
        <w:t xml:space="preserve"> </w:t>
      </w:r>
      <w:r>
        <w:t>Complementar</w:t>
      </w:r>
      <w:r>
        <w:rPr>
          <w:spacing w:val="-4"/>
        </w:rPr>
        <w:t xml:space="preserve"> </w:t>
      </w:r>
      <w:r>
        <w:t>nº 101/2001, os</w:t>
      </w:r>
      <w:r>
        <w:rPr>
          <w:spacing w:val="-2"/>
        </w:rPr>
        <w:t xml:space="preserve"> </w:t>
      </w:r>
      <w:r>
        <w:t>arts.</w:t>
      </w:r>
      <w:r>
        <w:rPr>
          <w:spacing w:val="-2"/>
        </w:rPr>
        <w:t xml:space="preserve"> </w:t>
      </w:r>
      <w:r>
        <w:t>6º,</w:t>
      </w:r>
      <w:r>
        <w:rPr>
          <w:spacing w:val="-6"/>
        </w:rPr>
        <w:t xml:space="preserve"> </w:t>
      </w:r>
      <w:r>
        <w:t>§§ 2º a 4º, e 48, §§ 6º a 8º, da Lei nº 15.080/2024, bem como as normas e regulamentações específicas editadas pelo órgão central do Sistema de Coordenação da Governança e da Supervisão Ministerial das</w:t>
      </w:r>
      <w:r>
        <w:rPr>
          <w:spacing w:val="40"/>
        </w:rPr>
        <w:t xml:space="preserve"> </w:t>
      </w:r>
      <w:r>
        <w:t>Empresas</w:t>
      </w:r>
      <w:r>
        <w:rPr>
          <w:spacing w:val="40"/>
        </w:rPr>
        <w:t xml:space="preserve"> </w:t>
      </w:r>
      <w:r>
        <w:t>Estatais</w:t>
      </w:r>
      <w:r>
        <w:rPr>
          <w:spacing w:val="40"/>
        </w:rPr>
        <w:t xml:space="preserve"> </w:t>
      </w:r>
      <w:r>
        <w:t>Federais</w:t>
      </w:r>
      <w:r>
        <w:rPr>
          <w:spacing w:val="40"/>
        </w:rPr>
        <w:t xml:space="preserve"> </w:t>
      </w:r>
      <w:r>
        <w:t>–</w:t>
      </w:r>
      <w:r>
        <w:rPr>
          <w:spacing w:val="40"/>
        </w:rPr>
        <w:t xml:space="preserve"> </w:t>
      </w:r>
      <w:r>
        <w:t>SISEST/MGI.</w:t>
      </w:r>
    </w:p>
    <w:p w14:paraId="0D5BD3D4" w14:textId="77777777" w:rsidR="002C6574" w:rsidRDefault="00000000">
      <w:pPr>
        <w:pStyle w:val="Corpodetexto"/>
        <w:spacing w:before="154"/>
        <w:ind w:left="143" w:right="702"/>
        <w:jc w:val="both"/>
      </w:pPr>
      <w:r>
        <w:t>O Contrato de Gestão, celebrado pelo prazo de cinco anos, tem por finalidade a implementação do Plano de Sustentabilidade Econômico-Financeira (PSEF) da Companhia com o objetivo de regular o processo de transição da Telebras para o regime de empresa estatal não dependente. Esse plano reúne</w:t>
      </w:r>
      <w:r>
        <w:rPr>
          <w:spacing w:val="-10"/>
        </w:rPr>
        <w:t xml:space="preserve"> </w:t>
      </w:r>
      <w:r>
        <w:t>o</w:t>
      </w:r>
      <w:r>
        <w:rPr>
          <w:spacing w:val="-11"/>
        </w:rPr>
        <w:t xml:space="preserve"> </w:t>
      </w:r>
      <w:r>
        <w:t>diagnóstico</w:t>
      </w:r>
      <w:r>
        <w:rPr>
          <w:spacing w:val="-11"/>
        </w:rPr>
        <w:t xml:space="preserve"> </w:t>
      </w:r>
      <w:r>
        <w:t>econômico-financeiro,</w:t>
      </w:r>
      <w:r>
        <w:rPr>
          <w:spacing w:val="-10"/>
        </w:rPr>
        <w:t xml:space="preserve"> </w:t>
      </w:r>
      <w:r>
        <w:t>o</w:t>
      </w:r>
      <w:r>
        <w:rPr>
          <w:spacing w:val="-14"/>
        </w:rPr>
        <w:t xml:space="preserve"> </w:t>
      </w:r>
      <w:r>
        <w:t>planejamento</w:t>
      </w:r>
      <w:r>
        <w:rPr>
          <w:spacing w:val="-11"/>
        </w:rPr>
        <w:t xml:space="preserve"> </w:t>
      </w:r>
      <w:r>
        <w:t>estratégico,</w:t>
      </w:r>
      <w:r>
        <w:rPr>
          <w:spacing w:val="-12"/>
        </w:rPr>
        <w:t xml:space="preserve"> </w:t>
      </w:r>
      <w:r>
        <w:t>as</w:t>
      </w:r>
      <w:r>
        <w:rPr>
          <w:spacing w:val="-10"/>
        </w:rPr>
        <w:t xml:space="preserve"> </w:t>
      </w:r>
      <w:r>
        <w:t>projeções</w:t>
      </w:r>
      <w:r>
        <w:rPr>
          <w:spacing w:val="-12"/>
        </w:rPr>
        <w:t xml:space="preserve"> </w:t>
      </w:r>
      <w:r>
        <w:t>de</w:t>
      </w:r>
      <w:r>
        <w:rPr>
          <w:spacing w:val="-12"/>
        </w:rPr>
        <w:t xml:space="preserve"> </w:t>
      </w:r>
      <w:r>
        <w:t>fluxo</w:t>
      </w:r>
      <w:r>
        <w:rPr>
          <w:spacing w:val="-10"/>
        </w:rPr>
        <w:t xml:space="preserve"> </w:t>
      </w:r>
      <w:r>
        <w:t>de</w:t>
      </w:r>
      <w:r>
        <w:rPr>
          <w:spacing w:val="-11"/>
        </w:rPr>
        <w:t xml:space="preserve"> </w:t>
      </w:r>
      <w:r>
        <w:t>caixa e de resultados, além de indicadores e metas de desempenho correspondentes ao período contratual. A validade e a eficácia do Contrato de Gestão ficam condicionadas à publicação de seu extrato pelo Ministério supervisor no Diário Oficial da União e em seu sítio eletrônico oficial.</w:t>
      </w:r>
    </w:p>
    <w:p w14:paraId="16DA2231" w14:textId="77777777" w:rsidR="002C6574" w:rsidRDefault="00000000">
      <w:pPr>
        <w:pStyle w:val="Corpodetexto"/>
        <w:spacing w:before="150" w:line="237" w:lineRule="auto"/>
        <w:ind w:left="143" w:right="702"/>
        <w:jc w:val="both"/>
      </w:pPr>
      <w:r>
        <w:rPr>
          <w:w w:val="105"/>
        </w:rPr>
        <w:t>Com</w:t>
      </w:r>
      <w:r>
        <w:rPr>
          <w:spacing w:val="-3"/>
          <w:w w:val="105"/>
        </w:rPr>
        <w:t xml:space="preserve"> </w:t>
      </w:r>
      <w:r>
        <w:rPr>
          <w:w w:val="105"/>
        </w:rPr>
        <w:t>a</w:t>
      </w:r>
      <w:r>
        <w:rPr>
          <w:spacing w:val="-7"/>
          <w:w w:val="105"/>
        </w:rPr>
        <w:t xml:space="preserve"> </w:t>
      </w:r>
      <w:r>
        <w:rPr>
          <w:w w:val="105"/>
        </w:rPr>
        <w:t>vigência</w:t>
      </w:r>
      <w:r>
        <w:rPr>
          <w:spacing w:val="-5"/>
          <w:w w:val="105"/>
        </w:rPr>
        <w:t xml:space="preserve"> </w:t>
      </w:r>
      <w:r>
        <w:rPr>
          <w:w w:val="105"/>
        </w:rPr>
        <w:t>do</w:t>
      </w:r>
      <w:r>
        <w:rPr>
          <w:spacing w:val="-5"/>
          <w:w w:val="105"/>
        </w:rPr>
        <w:t xml:space="preserve"> </w:t>
      </w:r>
      <w:r>
        <w:rPr>
          <w:w w:val="105"/>
        </w:rPr>
        <w:t>Contrato</w:t>
      </w:r>
      <w:r>
        <w:rPr>
          <w:spacing w:val="-5"/>
          <w:w w:val="105"/>
        </w:rPr>
        <w:t xml:space="preserve"> </w:t>
      </w:r>
      <w:r>
        <w:rPr>
          <w:w w:val="105"/>
        </w:rPr>
        <w:t>de</w:t>
      </w:r>
      <w:r>
        <w:rPr>
          <w:spacing w:val="-7"/>
          <w:w w:val="105"/>
        </w:rPr>
        <w:t xml:space="preserve"> </w:t>
      </w:r>
      <w:r>
        <w:rPr>
          <w:w w:val="105"/>
        </w:rPr>
        <w:t>Gestão,</w:t>
      </w:r>
      <w:r>
        <w:rPr>
          <w:spacing w:val="-4"/>
          <w:w w:val="105"/>
        </w:rPr>
        <w:t xml:space="preserve"> </w:t>
      </w:r>
      <w:r>
        <w:rPr>
          <w:w w:val="105"/>
        </w:rPr>
        <w:t>a</w:t>
      </w:r>
      <w:r>
        <w:rPr>
          <w:spacing w:val="-7"/>
          <w:w w:val="105"/>
        </w:rPr>
        <w:t xml:space="preserve"> </w:t>
      </w:r>
      <w:r>
        <w:rPr>
          <w:w w:val="105"/>
        </w:rPr>
        <w:t>Telebras</w:t>
      </w:r>
      <w:r>
        <w:rPr>
          <w:spacing w:val="-4"/>
          <w:w w:val="105"/>
        </w:rPr>
        <w:t xml:space="preserve"> </w:t>
      </w:r>
      <w:r>
        <w:rPr>
          <w:w w:val="105"/>
        </w:rPr>
        <w:t>passou</w:t>
      </w:r>
      <w:r>
        <w:rPr>
          <w:spacing w:val="-7"/>
          <w:w w:val="105"/>
        </w:rPr>
        <w:t xml:space="preserve"> </w:t>
      </w:r>
      <w:r>
        <w:rPr>
          <w:w w:val="105"/>
        </w:rPr>
        <w:t>a</w:t>
      </w:r>
      <w:r>
        <w:rPr>
          <w:spacing w:val="-4"/>
          <w:w w:val="105"/>
        </w:rPr>
        <w:t xml:space="preserve"> </w:t>
      </w:r>
      <w:r>
        <w:rPr>
          <w:w w:val="105"/>
        </w:rPr>
        <w:t>dispor</w:t>
      </w:r>
      <w:r>
        <w:rPr>
          <w:spacing w:val="-6"/>
          <w:w w:val="105"/>
        </w:rPr>
        <w:t xml:space="preserve"> </w:t>
      </w:r>
      <w:r>
        <w:rPr>
          <w:w w:val="105"/>
        </w:rPr>
        <w:t>de</w:t>
      </w:r>
      <w:r>
        <w:rPr>
          <w:spacing w:val="-6"/>
          <w:w w:val="105"/>
        </w:rPr>
        <w:t xml:space="preserve"> </w:t>
      </w:r>
      <w:r>
        <w:rPr>
          <w:w w:val="105"/>
        </w:rPr>
        <w:t>autonomia</w:t>
      </w:r>
      <w:r>
        <w:rPr>
          <w:spacing w:val="-7"/>
          <w:w w:val="105"/>
        </w:rPr>
        <w:t xml:space="preserve"> </w:t>
      </w:r>
      <w:r>
        <w:rPr>
          <w:w w:val="105"/>
        </w:rPr>
        <w:t>orçamentária</w:t>
      </w:r>
      <w:r>
        <w:rPr>
          <w:spacing w:val="-5"/>
          <w:w w:val="105"/>
        </w:rPr>
        <w:t xml:space="preserve"> </w:t>
      </w:r>
      <w:r>
        <w:rPr>
          <w:w w:val="105"/>
        </w:rPr>
        <w:t>e financeira,</w:t>
      </w:r>
      <w:r>
        <w:rPr>
          <w:spacing w:val="-8"/>
          <w:w w:val="105"/>
        </w:rPr>
        <w:t xml:space="preserve"> </w:t>
      </w:r>
      <w:r>
        <w:rPr>
          <w:w w:val="105"/>
        </w:rPr>
        <w:t>conforme</w:t>
      </w:r>
      <w:r>
        <w:rPr>
          <w:spacing w:val="-9"/>
          <w:w w:val="105"/>
        </w:rPr>
        <w:t xml:space="preserve"> </w:t>
      </w:r>
      <w:r>
        <w:rPr>
          <w:w w:val="105"/>
        </w:rPr>
        <w:t>previsto</w:t>
      </w:r>
      <w:r>
        <w:rPr>
          <w:spacing w:val="-8"/>
          <w:w w:val="105"/>
        </w:rPr>
        <w:t xml:space="preserve"> </w:t>
      </w:r>
      <w:r>
        <w:rPr>
          <w:w w:val="105"/>
        </w:rPr>
        <w:t>no</w:t>
      </w:r>
      <w:r>
        <w:rPr>
          <w:spacing w:val="-6"/>
          <w:w w:val="105"/>
        </w:rPr>
        <w:t xml:space="preserve"> </w:t>
      </w:r>
      <w:r>
        <w:rPr>
          <w:w w:val="105"/>
        </w:rPr>
        <w:t>art.</w:t>
      </w:r>
      <w:r>
        <w:rPr>
          <w:spacing w:val="-6"/>
          <w:w w:val="105"/>
        </w:rPr>
        <w:t xml:space="preserve"> </w:t>
      </w:r>
      <w:r>
        <w:rPr>
          <w:w w:val="105"/>
        </w:rPr>
        <w:t>6º</w:t>
      </w:r>
      <w:r>
        <w:rPr>
          <w:spacing w:val="-6"/>
          <w:w w:val="105"/>
        </w:rPr>
        <w:t xml:space="preserve"> </w:t>
      </w:r>
      <w:r>
        <w:rPr>
          <w:w w:val="105"/>
        </w:rPr>
        <w:t>e</w:t>
      </w:r>
      <w:r>
        <w:rPr>
          <w:spacing w:val="-6"/>
          <w:w w:val="105"/>
        </w:rPr>
        <w:t xml:space="preserve"> </w:t>
      </w:r>
      <w:r>
        <w:rPr>
          <w:w w:val="105"/>
        </w:rPr>
        <w:t>§</w:t>
      </w:r>
      <w:r>
        <w:rPr>
          <w:spacing w:val="-9"/>
          <w:w w:val="105"/>
        </w:rPr>
        <w:t xml:space="preserve"> </w:t>
      </w:r>
      <w:r>
        <w:rPr>
          <w:w w:val="105"/>
        </w:rPr>
        <w:t>7º</w:t>
      </w:r>
      <w:r>
        <w:rPr>
          <w:spacing w:val="-5"/>
          <w:w w:val="105"/>
        </w:rPr>
        <w:t xml:space="preserve"> </w:t>
      </w:r>
      <w:r>
        <w:rPr>
          <w:w w:val="105"/>
        </w:rPr>
        <w:t>do</w:t>
      </w:r>
      <w:r>
        <w:rPr>
          <w:spacing w:val="-6"/>
          <w:w w:val="105"/>
        </w:rPr>
        <w:t xml:space="preserve"> </w:t>
      </w:r>
      <w:r>
        <w:rPr>
          <w:w w:val="105"/>
        </w:rPr>
        <w:t>art.</w:t>
      </w:r>
      <w:r>
        <w:rPr>
          <w:spacing w:val="-6"/>
          <w:w w:val="105"/>
        </w:rPr>
        <w:t xml:space="preserve"> </w:t>
      </w:r>
      <w:r>
        <w:rPr>
          <w:w w:val="105"/>
        </w:rPr>
        <w:t>48</w:t>
      </w:r>
      <w:r>
        <w:rPr>
          <w:spacing w:val="-9"/>
          <w:w w:val="105"/>
        </w:rPr>
        <w:t xml:space="preserve"> </w:t>
      </w:r>
      <w:r>
        <w:rPr>
          <w:w w:val="105"/>
        </w:rPr>
        <w:t>da</w:t>
      </w:r>
      <w:r>
        <w:rPr>
          <w:spacing w:val="-6"/>
          <w:w w:val="105"/>
        </w:rPr>
        <w:t xml:space="preserve"> </w:t>
      </w:r>
      <w:r>
        <w:rPr>
          <w:w w:val="105"/>
        </w:rPr>
        <w:t>Lei</w:t>
      </w:r>
      <w:r>
        <w:rPr>
          <w:spacing w:val="-6"/>
          <w:w w:val="105"/>
        </w:rPr>
        <w:t xml:space="preserve"> </w:t>
      </w:r>
      <w:r>
        <w:rPr>
          <w:w w:val="105"/>
        </w:rPr>
        <w:t>nº</w:t>
      </w:r>
      <w:r>
        <w:rPr>
          <w:spacing w:val="-7"/>
          <w:w w:val="105"/>
        </w:rPr>
        <w:t xml:space="preserve"> </w:t>
      </w:r>
      <w:r>
        <w:rPr>
          <w:w w:val="105"/>
        </w:rPr>
        <w:t>15.080/2024,</w:t>
      </w:r>
      <w:r>
        <w:rPr>
          <w:spacing w:val="-8"/>
          <w:w w:val="105"/>
        </w:rPr>
        <w:t xml:space="preserve"> </w:t>
      </w:r>
      <w:r>
        <w:rPr>
          <w:w w:val="105"/>
        </w:rPr>
        <w:t>submetendo-se,</w:t>
      </w:r>
      <w:r>
        <w:rPr>
          <w:spacing w:val="-9"/>
          <w:w w:val="105"/>
        </w:rPr>
        <w:t xml:space="preserve"> </w:t>
      </w:r>
      <w:r>
        <w:rPr>
          <w:w w:val="105"/>
        </w:rPr>
        <w:t xml:space="preserve">a </w:t>
      </w:r>
      <w:r>
        <w:t>partir</w:t>
      </w:r>
      <w:r>
        <w:rPr>
          <w:spacing w:val="-5"/>
        </w:rPr>
        <w:t xml:space="preserve"> </w:t>
      </w:r>
      <w:r>
        <w:t>de</w:t>
      </w:r>
      <w:r>
        <w:rPr>
          <w:spacing w:val="-7"/>
        </w:rPr>
        <w:t xml:space="preserve"> </w:t>
      </w:r>
      <w:r>
        <w:t>então,</w:t>
      </w:r>
      <w:r>
        <w:rPr>
          <w:spacing w:val="-1"/>
        </w:rPr>
        <w:t xml:space="preserve"> </w:t>
      </w:r>
      <w:r>
        <w:t>ao</w:t>
      </w:r>
      <w:r>
        <w:rPr>
          <w:spacing w:val="-10"/>
        </w:rPr>
        <w:t xml:space="preserve"> </w:t>
      </w:r>
      <w:r>
        <w:t>regime</w:t>
      </w:r>
      <w:r>
        <w:rPr>
          <w:spacing w:val="-3"/>
        </w:rPr>
        <w:t xml:space="preserve"> </w:t>
      </w:r>
      <w:r>
        <w:t>orçamentário</w:t>
      </w:r>
      <w:r>
        <w:rPr>
          <w:spacing w:val="-4"/>
        </w:rPr>
        <w:t xml:space="preserve"> </w:t>
      </w:r>
      <w:r>
        <w:t>e</w:t>
      </w:r>
      <w:r>
        <w:rPr>
          <w:spacing w:val="-10"/>
        </w:rPr>
        <w:t xml:space="preserve"> </w:t>
      </w:r>
      <w:r>
        <w:t>financeiro</w:t>
      </w:r>
      <w:r>
        <w:rPr>
          <w:spacing w:val="-3"/>
        </w:rPr>
        <w:t xml:space="preserve"> </w:t>
      </w:r>
      <w:r>
        <w:t>aplicável</w:t>
      </w:r>
      <w:r>
        <w:rPr>
          <w:spacing w:val="-3"/>
        </w:rPr>
        <w:t xml:space="preserve"> </w:t>
      </w:r>
      <w:r>
        <w:t>às</w:t>
      </w:r>
      <w:r>
        <w:rPr>
          <w:spacing w:val="-5"/>
        </w:rPr>
        <w:t xml:space="preserve"> </w:t>
      </w:r>
      <w:r>
        <w:t>empresas</w:t>
      </w:r>
      <w:r>
        <w:rPr>
          <w:spacing w:val="-5"/>
        </w:rPr>
        <w:t xml:space="preserve"> </w:t>
      </w:r>
      <w:r>
        <w:t>estatais</w:t>
      </w:r>
      <w:r>
        <w:rPr>
          <w:spacing w:val="-5"/>
        </w:rPr>
        <w:t xml:space="preserve"> </w:t>
      </w:r>
      <w:r>
        <w:t>não</w:t>
      </w:r>
      <w:r>
        <w:rPr>
          <w:spacing w:val="-7"/>
        </w:rPr>
        <w:t xml:space="preserve"> </w:t>
      </w:r>
      <w:r>
        <w:t xml:space="preserve">dependentes. </w:t>
      </w:r>
      <w:r>
        <w:rPr>
          <w:w w:val="105"/>
        </w:rPr>
        <w:t>Assim, a Companhia deixou de integrar o Orçamento Fiscal e da Seguridade Social da União, passando</w:t>
      </w:r>
      <w:r>
        <w:rPr>
          <w:spacing w:val="-11"/>
          <w:w w:val="105"/>
        </w:rPr>
        <w:t xml:space="preserve"> </w:t>
      </w:r>
      <w:r>
        <w:rPr>
          <w:w w:val="105"/>
        </w:rPr>
        <w:t>a</w:t>
      </w:r>
      <w:r>
        <w:rPr>
          <w:spacing w:val="-13"/>
          <w:w w:val="105"/>
        </w:rPr>
        <w:t xml:space="preserve"> </w:t>
      </w:r>
      <w:r>
        <w:rPr>
          <w:w w:val="105"/>
        </w:rPr>
        <w:t>ter</w:t>
      </w:r>
      <w:r>
        <w:rPr>
          <w:spacing w:val="-13"/>
          <w:w w:val="105"/>
        </w:rPr>
        <w:t xml:space="preserve"> </w:t>
      </w:r>
      <w:r>
        <w:rPr>
          <w:w w:val="105"/>
        </w:rPr>
        <w:t>seu</w:t>
      </w:r>
      <w:r>
        <w:rPr>
          <w:spacing w:val="-12"/>
          <w:w w:val="105"/>
        </w:rPr>
        <w:t xml:space="preserve"> </w:t>
      </w:r>
      <w:r>
        <w:rPr>
          <w:w w:val="105"/>
        </w:rPr>
        <w:t>orçamento</w:t>
      </w:r>
      <w:r>
        <w:rPr>
          <w:spacing w:val="-12"/>
          <w:w w:val="105"/>
        </w:rPr>
        <w:t xml:space="preserve"> </w:t>
      </w:r>
      <w:r>
        <w:rPr>
          <w:w w:val="105"/>
        </w:rPr>
        <w:t>acompanhado</w:t>
      </w:r>
      <w:r>
        <w:rPr>
          <w:spacing w:val="-12"/>
          <w:w w:val="105"/>
        </w:rPr>
        <w:t xml:space="preserve"> </w:t>
      </w:r>
      <w:r>
        <w:rPr>
          <w:w w:val="105"/>
        </w:rPr>
        <w:t>no</w:t>
      </w:r>
      <w:r>
        <w:rPr>
          <w:spacing w:val="-12"/>
          <w:w w:val="105"/>
        </w:rPr>
        <w:t xml:space="preserve"> </w:t>
      </w:r>
      <w:r>
        <w:rPr>
          <w:w w:val="105"/>
        </w:rPr>
        <w:t>âmbito</w:t>
      </w:r>
      <w:r>
        <w:rPr>
          <w:spacing w:val="-11"/>
          <w:w w:val="105"/>
        </w:rPr>
        <w:t xml:space="preserve"> </w:t>
      </w:r>
      <w:r>
        <w:rPr>
          <w:w w:val="105"/>
        </w:rPr>
        <w:t>do</w:t>
      </w:r>
      <w:r>
        <w:rPr>
          <w:spacing w:val="-13"/>
          <w:w w:val="105"/>
        </w:rPr>
        <w:t xml:space="preserve"> </w:t>
      </w:r>
      <w:r>
        <w:rPr>
          <w:w w:val="105"/>
        </w:rPr>
        <w:t>Orçamento</w:t>
      </w:r>
      <w:r>
        <w:rPr>
          <w:spacing w:val="-12"/>
          <w:w w:val="105"/>
        </w:rPr>
        <w:t xml:space="preserve"> </w:t>
      </w:r>
      <w:r>
        <w:rPr>
          <w:w w:val="105"/>
        </w:rPr>
        <w:t>de</w:t>
      </w:r>
      <w:r>
        <w:rPr>
          <w:spacing w:val="-12"/>
          <w:w w:val="105"/>
        </w:rPr>
        <w:t xml:space="preserve"> </w:t>
      </w:r>
      <w:r>
        <w:rPr>
          <w:w w:val="105"/>
        </w:rPr>
        <w:t>Investimento</w:t>
      </w:r>
      <w:r>
        <w:rPr>
          <w:spacing w:val="-12"/>
          <w:w w:val="105"/>
        </w:rPr>
        <w:t xml:space="preserve"> </w:t>
      </w:r>
      <w:r>
        <w:rPr>
          <w:w w:val="105"/>
        </w:rPr>
        <w:t>(OI)</w:t>
      </w:r>
      <w:r>
        <w:rPr>
          <w:spacing w:val="-13"/>
          <w:w w:val="105"/>
        </w:rPr>
        <w:t xml:space="preserve"> </w:t>
      </w:r>
      <w:r>
        <w:rPr>
          <w:w w:val="105"/>
        </w:rPr>
        <w:t>e</w:t>
      </w:r>
      <w:r>
        <w:rPr>
          <w:spacing w:val="-12"/>
          <w:w w:val="105"/>
        </w:rPr>
        <w:t xml:space="preserve"> </w:t>
      </w:r>
      <w:r>
        <w:rPr>
          <w:w w:val="105"/>
        </w:rPr>
        <w:t>do Programa de Dispêndios Globais (PDG) das empresas estatais federais, sob supervisão da Secretaria de Coordenação e Governança das Empresas Estatais – SEST. Ressalta-se, contudo, que</w:t>
      </w:r>
      <w:r>
        <w:rPr>
          <w:spacing w:val="-13"/>
          <w:w w:val="105"/>
        </w:rPr>
        <w:t xml:space="preserve"> </w:t>
      </w:r>
      <w:r>
        <w:rPr>
          <w:w w:val="105"/>
        </w:rPr>
        <w:t>a</w:t>
      </w:r>
      <w:r>
        <w:rPr>
          <w:spacing w:val="-14"/>
          <w:w w:val="105"/>
        </w:rPr>
        <w:t xml:space="preserve"> </w:t>
      </w:r>
      <w:r>
        <w:rPr>
          <w:w w:val="105"/>
        </w:rPr>
        <w:t>Companhia</w:t>
      </w:r>
      <w:r>
        <w:rPr>
          <w:spacing w:val="-14"/>
          <w:w w:val="105"/>
        </w:rPr>
        <w:t xml:space="preserve"> </w:t>
      </w:r>
      <w:r>
        <w:rPr>
          <w:w w:val="105"/>
        </w:rPr>
        <w:t>permanece,</w:t>
      </w:r>
      <w:r>
        <w:rPr>
          <w:spacing w:val="-13"/>
          <w:w w:val="105"/>
        </w:rPr>
        <w:t xml:space="preserve"> </w:t>
      </w:r>
      <w:r>
        <w:rPr>
          <w:w w:val="105"/>
        </w:rPr>
        <w:t>até</w:t>
      </w:r>
      <w:r>
        <w:rPr>
          <w:spacing w:val="-14"/>
          <w:w w:val="105"/>
        </w:rPr>
        <w:t xml:space="preserve"> </w:t>
      </w:r>
      <w:r>
        <w:rPr>
          <w:w w:val="105"/>
        </w:rPr>
        <w:t>a</w:t>
      </w:r>
      <w:r>
        <w:rPr>
          <w:spacing w:val="-14"/>
          <w:w w:val="105"/>
        </w:rPr>
        <w:t xml:space="preserve"> </w:t>
      </w:r>
      <w:r>
        <w:rPr>
          <w:w w:val="105"/>
        </w:rPr>
        <w:t>efetiva</w:t>
      </w:r>
      <w:r>
        <w:rPr>
          <w:spacing w:val="-16"/>
          <w:w w:val="105"/>
        </w:rPr>
        <w:t xml:space="preserve"> </w:t>
      </w:r>
      <w:r>
        <w:rPr>
          <w:w w:val="105"/>
        </w:rPr>
        <w:t>conclusão</w:t>
      </w:r>
      <w:r>
        <w:rPr>
          <w:spacing w:val="-13"/>
          <w:w w:val="105"/>
        </w:rPr>
        <w:t xml:space="preserve"> </w:t>
      </w:r>
      <w:r>
        <w:rPr>
          <w:w w:val="105"/>
        </w:rPr>
        <w:t>do</w:t>
      </w:r>
      <w:r>
        <w:rPr>
          <w:spacing w:val="-13"/>
          <w:w w:val="105"/>
        </w:rPr>
        <w:t xml:space="preserve"> </w:t>
      </w:r>
      <w:r>
        <w:rPr>
          <w:w w:val="105"/>
        </w:rPr>
        <w:t>processo</w:t>
      </w:r>
      <w:r>
        <w:rPr>
          <w:spacing w:val="-15"/>
          <w:w w:val="105"/>
        </w:rPr>
        <w:t xml:space="preserve"> </w:t>
      </w:r>
      <w:r>
        <w:rPr>
          <w:w w:val="105"/>
        </w:rPr>
        <w:t>de</w:t>
      </w:r>
      <w:r>
        <w:rPr>
          <w:spacing w:val="-15"/>
          <w:w w:val="105"/>
        </w:rPr>
        <w:t xml:space="preserve"> </w:t>
      </w:r>
      <w:r>
        <w:rPr>
          <w:w w:val="105"/>
        </w:rPr>
        <w:t>transição,</w:t>
      </w:r>
      <w:r>
        <w:rPr>
          <w:spacing w:val="-13"/>
          <w:w w:val="105"/>
        </w:rPr>
        <w:t xml:space="preserve"> </w:t>
      </w:r>
      <w:r>
        <w:rPr>
          <w:w w:val="105"/>
        </w:rPr>
        <w:t>classificada</w:t>
      </w:r>
      <w:r>
        <w:rPr>
          <w:spacing w:val="-13"/>
          <w:w w:val="105"/>
        </w:rPr>
        <w:t xml:space="preserve"> </w:t>
      </w:r>
      <w:r>
        <w:rPr>
          <w:w w:val="105"/>
        </w:rPr>
        <w:t>como empresa estatal dependente.</w:t>
      </w:r>
    </w:p>
    <w:p w14:paraId="495E71CA" w14:textId="77777777" w:rsidR="002C6574" w:rsidRDefault="00000000">
      <w:pPr>
        <w:pStyle w:val="Corpodetexto"/>
        <w:spacing w:before="167"/>
        <w:ind w:left="143" w:right="704"/>
        <w:jc w:val="both"/>
      </w:pPr>
      <w:r>
        <w:t>Para a execução do Contrato de Gestão, serão disponibilizados à Telebras recursos orçamentários pela União, a título de subvenção econômica, destinados à cobertura do déficit de manutenção relativo à operação e manutenção dos ativos e instalações, especialmente os custos e despesas que são necessárias para assegurar a continuidade e a eficiência das atividades operacionais da Companhia, discriminados na unidade orçamentária nº 41.260 (Telebras) provenientes de dotações previstas na Lei Orçamentária Anual do respectivo exercício financeiro.</w:t>
      </w:r>
    </w:p>
    <w:p w14:paraId="474030DE" w14:textId="77777777" w:rsidR="002C6574" w:rsidRDefault="00000000">
      <w:pPr>
        <w:pStyle w:val="Corpodetexto"/>
        <w:spacing w:before="150"/>
        <w:ind w:left="143" w:right="703"/>
        <w:jc w:val="both"/>
      </w:pPr>
      <w:r>
        <w:t>O acompanhamento da execução do PSEF será realizado mediante monitoramento periódico, prestação de contas e elaboração de relatórios ao Ministério das Comunicações e ao Ministério da Gestão</w:t>
      </w:r>
      <w:r>
        <w:rPr>
          <w:spacing w:val="27"/>
        </w:rPr>
        <w:t xml:space="preserve"> </w:t>
      </w:r>
      <w:r>
        <w:t>e da Inovação</w:t>
      </w:r>
      <w:r>
        <w:rPr>
          <w:spacing w:val="27"/>
        </w:rPr>
        <w:t xml:space="preserve"> </w:t>
      </w:r>
      <w:r>
        <w:t>em</w:t>
      </w:r>
      <w:r>
        <w:rPr>
          <w:spacing w:val="30"/>
        </w:rPr>
        <w:t xml:space="preserve"> </w:t>
      </w:r>
      <w:r>
        <w:t>Serviços</w:t>
      </w:r>
      <w:r>
        <w:rPr>
          <w:spacing w:val="29"/>
        </w:rPr>
        <w:t xml:space="preserve"> </w:t>
      </w:r>
      <w:r>
        <w:t>Públicos,</w:t>
      </w:r>
      <w:r>
        <w:rPr>
          <w:spacing w:val="30"/>
        </w:rPr>
        <w:t xml:space="preserve"> </w:t>
      </w:r>
      <w:r>
        <w:t>em</w:t>
      </w:r>
      <w:r>
        <w:rPr>
          <w:spacing w:val="29"/>
        </w:rPr>
        <w:t xml:space="preserve"> </w:t>
      </w:r>
      <w:r>
        <w:t>conformidade com</w:t>
      </w:r>
      <w:r>
        <w:rPr>
          <w:spacing w:val="29"/>
        </w:rPr>
        <w:t xml:space="preserve"> </w:t>
      </w:r>
      <w:r>
        <w:t>a legislação</w:t>
      </w:r>
      <w:r>
        <w:rPr>
          <w:spacing w:val="29"/>
        </w:rPr>
        <w:t xml:space="preserve"> </w:t>
      </w:r>
      <w:r>
        <w:t>aplicável.</w:t>
      </w:r>
      <w:r>
        <w:rPr>
          <w:spacing w:val="29"/>
        </w:rPr>
        <w:t xml:space="preserve"> </w:t>
      </w:r>
      <w:r>
        <w:t>A</w:t>
      </w:r>
    </w:p>
    <w:p w14:paraId="049F905D" w14:textId="77777777" w:rsidR="002C6574" w:rsidRDefault="002C6574">
      <w:pPr>
        <w:pStyle w:val="Corpodetexto"/>
        <w:jc w:val="both"/>
        <w:sectPr w:rsidR="002C6574">
          <w:headerReference w:type="default" r:id="rId63"/>
          <w:footerReference w:type="default" r:id="rId64"/>
          <w:pgSz w:w="11910" w:h="16840"/>
          <w:pgMar w:top="1600" w:right="141" w:bottom="1460" w:left="1133" w:header="856" w:footer="1267" w:gutter="0"/>
          <w:pgNumType w:start="5"/>
          <w:cols w:space="720"/>
        </w:sectPr>
      </w:pPr>
    </w:p>
    <w:p w14:paraId="7871FFD9" w14:textId="77777777" w:rsidR="002C6574" w:rsidRDefault="00000000">
      <w:pPr>
        <w:pStyle w:val="Corpodetexto"/>
        <w:spacing w:before="198"/>
        <w:ind w:left="143" w:right="703"/>
        <w:jc w:val="both"/>
      </w:pPr>
      <w:r>
        <w:lastRenderedPageBreak/>
        <w:t>avaliação de desempenho será aferida com base em objetivos, indicadores e metas de desempenho pactuados no Contrato de Gestão, com foco na mensuração da eficiência, eficácia e efetividade da atuação empresarial.</w:t>
      </w:r>
    </w:p>
    <w:p w14:paraId="48710D49" w14:textId="77777777" w:rsidR="002C6574" w:rsidRDefault="00000000">
      <w:pPr>
        <w:pStyle w:val="Corpodetexto"/>
        <w:spacing w:before="159" w:line="237" w:lineRule="auto"/>
        <w:ind w:left="143" w:right="703"/>
        <w:jc w:val="both"/>
      </w:pPr>
      <w:r>
        <w:t>A aprovação do Plano de Sustentabilidade Econômico-Financeira e a assinatura do Contrato de Gestão foram divulgadas como fato relevante, assegurando transparência aos acionistas,</w:t>
      </w:r>
      <w:r>
        <w:rPr>
          <w:spacing w:val="40"/>
        </w:rPr>
        <w:t xml:space="preserve"> </w:t>
      </w:r>
      <w:r>
        <w:t>investidores e ao mercado em geral, por meio do site institucional da Companhia, em observância aos princípios da publicidade e da governança corporativa.</w:t>
      </w:r>
    </w:p>
    <w:p w14:paraId="34178143" w14:textId="77777777" w:rsidR="002C6574" w:rsidRDefault="002C6574">
      <w:pPr>
        <w:pStyle w:val="Corpodetexto"/>
        <w:spacing w:before="31"/>
      </w:pPr>
    </w:p>
    <w:p w14:paraId="04C6B5B8" w14:textId="77777777" w:rsidR="002C6574" w:rsidRDefault="00000000">
      <w:pPr>
        <w:numPr>
          <w:ilvl w:val="1"/>
          <w:numId w:val="54"/>
        </w:numPr>
        <w:tabs>
          <w:tab w:val="left" w:pos="996"/>
        </w:tabs>
        <w:spacing w:before="1"/>
        <w:ind w:left="996" w:hanging="853"/>
        <w:rPr>
          <w:rFonts w:ascii="Arial" w:hAnsi="Arial"/>
          <w:b/>
        </w:rPr>
      </w:pPr>
      <w:r>
        <w:rPr>
          <w:rFonts w:ascii="Arial" w:hAnsi="Arial"/>
          <w:b/>
        </w:rPr>
        <w:t>Reforma</w:t>
      </w:r>
      <w:r>
        <w:rPr>
          <w:rFonts w:ascii="Arial" w:hAnsi="Arial"/>
          <w:b/>
          <w:spacing w:val="-11"/>
        </w:rPr>
        <w:t xml:space="preserve"> </w:t>
      </w:r>
      <w:r>
        <w:rPr>
          <w:rFonts w:ascii="Arial" w:hAnsi="Arial"/>
          <w:b/>
        </w:rPr>
        <w:t>Tributária</w:t>
      </w:r>
      <w:r>
        <w:rPr>
          <w:rFonts w:ascii="Arial" w:hAnsi="Arial"/>
          <w:b/>
          <w:spacing w:val="-1"/>
        </w:rPr>
        <w:t xml:space="preserve"> </w:t>
      </w:r>
      <w:r>
        <w:rPr>
          <w:rFonts w:ascii="Arial" w:hAnsi="Arial"/>
          <w:b/>
        </w:rPr>
        <w:t>no</w:t>
      </w:r>
      <w:r>
        <w:rPr>
          <w:rFonts w:ascii="Arial" w:hAnsi="Arial"/>
          <w:b/>
          <w:spacing w:val="-6"/>
        </w:rPr>
        <w:t xml:space="preserve"> </w:t>
      </w:r>
      <w:r>
        <w:rPr>
          <w:rFonts w:ascii="Arial" w:hAnsi="Arial"/>
          <w:b/>
          <w:spacing w:val="-2"/>
        </w:rPr>
        <w:t>Brasil</w:t>
      </w:r>
    </w:p>
    <w:p w14:paraId="5636072B" w14:textId="77777777" w:rsidR="002C6574" w:rsidRDefault="002C6574">
      <w:pPr>
        <w:pStyle w:val="Corpodetexto"/>
        <w:spacing w:before="29"/>
        <w:rPr>
          <w:rFonts w:ascii="Arial"/>
          <w:b/>
        </w:rPr>
      </w:pPr>
    </w:p>
    <w:p w14:paraId="71BDE6B8" w14:textId="77777777" w:rsidR="002C6574" w:rsidRDefault="00000000">
      <w:pPr>
        <w:pStyle w:val="Corpodetexto"/>
        <w:ind w:left="143" w:right="703"/>
        <w:jc w:val="both"/>
      </w:pPr>
      <w:r>
        <w:t>A Reforma Tributária Brasileira foi aprovada e promulgada, em dezembro de 2023, no Congresso Nacional com objetivo de simplificar os tributos sobre o consumo, acabar com a cumulatividade e unificar a legislação dos novos tributos, sendo um dos pilares da reforma a simplificação e harmonização dos tributos existentes.</w:t>
      </w:r>
    </w:p>
    <w:p w14:paraId="1D49027A" w14:textId="77777777" w:rsidR="002C6574" w:rsidRDefault="00000000">
      <w:pPr>
        <w:pStyle w:val="Corpodetexto"/>
        <w:spacing w:before="116" w:line="237" w:lineRule="auto"/>
        <w:ind w:left="143" w:right="702"/>
        <w:jc w:val="both"/>
      </w:pPr>
      <w:r>
        <w:t>A unificação de impostos federais, estaduais e municipais busca reduzir a burocracia, eliminar redundâncias e facilitar o cumprimento das obrigações fiscais. A mudança substitui cinco tributos vigentes por um Imposto sobre Valor Agregado (IVA dual) composto por: i) Imposto sobre Bens e Serviços, o IBS, de gestão compartilhada entre estados e municípios; ii) Contribuição sobre Bens e Serviços, a CBS é de competência da União. Além disso, cria-se o Imposto Seletivo, IS, que não tem função arrecadatória, pretende desestimular o consumo de produtos e serviços que façam mal à saúde e ao meio ambiente.</w:t>
      </w:r>
    </w:p>
    <w:p w14:paraId="14F0CFE0" w14:textId="77777777" w:rsidR="002C6574" w:rsidRDefault="00000000">
      <w:pPr>
        <w:pStyle w:val="Corpodetexto"/>
        <w:spacing w:before="127" w:line="237" w:lineRule="auto"/>
        <w:ind w:left="143" w:right="702"/>
        <w:jc w:val="both"/>
      </w:pPr>
      <w:r>
        <w:t>Embora as alíquotas ainda não estejam completamente definidas, isso será feito por Lei Complementar. No entanto, de acordo com um estudo do Ministério da Fazenda, a alíquota padrão está estimada em 27%. Em janeiro de 2025, a Lei Complementar nº 214/25 foi sancionada estabelecendo os critérios gerais para a transição tributária que vai de 2026 a 2033.</w:t>
      </w:r>
      <w:r>
        <w:rPr>
          <w:spacing w:val="40"/>
        </w:rPr>
        <w:t xml:space="preserve"> </w:t>
      </w:r>
      <w:r>
        <w:t xml:space="preserve">O IBS e CBS seguirão datas distintas de implantação, sendo que a CBS deverá entrar em vigor, plenamente, no ano de 2027. Já o IBS ainda depende de regulamentações a serem feitas pelo Comitê Gestor, mas tem a previsão de entrada em vigor, de forma escalonada, a partir de 2029 e completamente em </w:t>
      </w:r>
      <w:r>
        <w:rPr>
          <w:spacing w:val="-2"/>
        </w:rPr>
        <w:t>2033.</w:t>
      </w:r>
    </w:p>
    <w:p w14:paraId="756377C6" w14:textId="77777777" w:rsidR="002C6574" w:rsidRDefault="00000000">
      <w:pPr>
        <w:numPr>
          <w:ilvl w:val="1"/>
          <w:numId w:val="54"/>
        </w:numPr>
        <w:tabs>
          <w:tab w:val="left" w:pos="996"/>
        </w:tabs>
        <w:spacing w:before="159"/>
        <w:ind w:left="996" w:hanging="853"/>
        <w:rPr>
          <w:rFonts w:ascii="Arial" w:hAnsi="Arial"/>
          <w:b/>
        </w:rPr>
      </w:pPr>
      <w:r>
        <w:rPr>
          <w:rFonts w:ascii="Arial" w:hAnsi="Arial"/>
          <w:b/>
        </w:rPr>
        <w:t>Homologação</w:t>
      </w:r>
      <w:r>
        <w:rPr>
          <w:rFonts w:ascii="Arial" w:hAnsi="Arial"/>
          <w:b/>
          <w:spacing w:val="-4"/>
        </w:rPr>
        <w:t xml:space="preserve"> </w:t>
      </w:r>
      <w:r>
        <w:rPr>
          <w:rFonts w:ascii="Arial" w:hAnsi="Arial"/>
          <w:b/>
        </w:rPr>
        <w:t>do</w:t>
      </w:r>
      <w:r>
        <w:rPr>
          <w:rFonts w:ascii="Arial" w:hAnsi="Arial"/>
          <w:b/>
          <w:spacing w:val="-7"/>
        </w:rPr>
        <w:t xml:space="preserve"> </w:t>
      </w:r>
      <w:r>
        <w:rPr>
          <w:rFonts w:ascii="Arial" w:hAnsi="Arial"/>
          <w:b/>
        </w:rPr>
        <w:t>Aumento</w:t>
      </w:r>
      <w:r>
        <w:rPr>
          <w:rFonts w:ascii="Arial" w:hAnsi="Arial"/>
          <w:b/>
          <w:spacing w:val="-4"/>
        </w:rPr>
        <w:t xml:space="preserve"> </w:t>
      </w:r>
      <w:r>
        <w:rPr>
          <w:rFonts w:ascii="Arial" w:hAnsi="Arial"/>
          <w:b/>
        </w:rPr>
        <w:t>de</w:t>
      </w:r>
      <w:r>
        <w:rPr>
          <w:rFonts w:ascii="Arial" w:hAnsi="Arial"/>
          <w:b/>
          <w:spacing w:val="-7"/>
        </w:rPr>
        <w:t xml:space="preserve"> </w:t>
      </w:r>
      <w:r>
        <w:rPr>
          <w:rFonts w:ascii="Arial" w:hAnsi="Arial"/>
          <w:b/>
        </w:rPr>
        <w:t>Capital</w:t>
      </w:r>
      <w:r>
        <w:rPr>
          <w:rFonts w:ascii="Arial" w:hAnsi="Arial"/>
          <w:b/>
          <w:spacing w:val="-2"/>
        </w:rPr>
        <w:t xml:space="preserve"> </w:t>
      </w:r>
      <w:r>
        <w:rPr>
          <w:rFonts w:ascii="Arial" w:hAnsi="Arial"/>
          <w:b/>
        </w:rPr>
        <w:t>pela</w:t>
      </w:r>
      <w:r>
        <w:rPr>
          <w:rFonts w:ascii="Arial" w:hAnsi="Arial"/>
          <w:b/>
          <w:spacing w:val="-5"/>
        </w:rPr>
        <w:t xml:space="preserve"> </w:t>
      </w:r>
      <w:r>
        <w:rPr>
          <w:rFonts w:ascii="Arial" w:hAnsi="Arial"/>
          <w:b/>
        </w:rPr>
        <w:t>Assembleia</w:t>
      </w:r>
      <w:r>
        <w:rPr>
          <w:rFonts w:ascii="Arial" w:hAnsi="Arial"/>
          <w:b/>
          <w:spacing w:val="-5"/>
        </w:rPr>
        <w:t xml:space="preserve"> </w:t>
      </w:r>
      <w:r>
        <w:rPr>
          <w:rFonts w:ascii="Arial" w:hAnsi="Arial"/>
          <w:b/>
        </w:rPr>
        <w:t>Geral</w:t>
      </w:r>
      <w:r>
        <w:rPr>
          <w:rFonts w:ascii="Arial" w:hAnsi="Arial"/>
          <w:b/>
          <w:spacing w:val="-2"/>
        </w:rPr>
        <w:t xml:space="preserve"> </w:t>
      </w:r>
      <w:r>
        <w:rPr>
          <w:rFonts w:ascii="Arial" w:hAnsi="Arial"/>
          <w:b/>
        </w:rPr>
        <w:t>Extraordinária</w:t>
      </w:r>
      <w:r>
        <w:rPr>
          <w:rFonts w:ascii="Arial" w:hAnsi="Arial"/>
          <w:b/>
          <w:spacing w:val="-4"/>
        </w:rPr>
        <w:t xml:space="preserve"> </w:t>
      </w:r>
      <w:r>
        <w:rPr>
          <w:rFonts w:ascii="Arial" w:hAnsi="Arial"/>
          <w:b/>
          <w:spacing w:val="-2"/>
        </w:rPr>
        <w:t>(AGE)</w:t>
      </w:r>
    </w:p>
    <w:p w14:paraId="03F6D800" w14:textId="77777777" w:rsidR="002C6574" w:rsidRDefault="002C6574">
      <w:pPr>
        <w:pStyle w:val="Corpodetexto"/>
        <w:spacing w:before="10"/>
        <w:rPr>
          <w:rFonts w:ascii="Arial"/>
          <w:b/>
        </w:rPr>
      </w:pPr>
    </w:p>
    <w:p w14:paraId="2FC92F39" w14:textId="77777777" w:rsidR="002C6574" w:rsidRDefault="00000000">
      <w:pPr>
        <w:pStyle w:val="Corpodetexto"/>
        <w:spacing w:line="237" w:lineRule="auto"/>
        <w:ind w:left="143" w:right="703"/>
        <w:jc w:val="both"/>
      </w:pPr>
      <w:r>
        <w:t>Em 8 de maio de 2025, a 118ª Assembleia Geral Extraordinária homologou o aumento de capital da Companhia previamente aprovado na 117ª AGE. O aumento foi no montante de R$ 112.256, mediante</w:t>
      </w:r>
      <w:r>
        <w:rPr>
          <w:spacing w:val="2"/>
        </w:rPr>
        <w:t xml:space="preserve"> </w:t>
      </w:r>
      <w:r>
        <w:t>a emissão</w:t>
      </w:r>
      <w:r>
        <w:rPr>
          <w:spacing w:val="2"/>
        </w:rPr>
        <w:t xml:space="preserve"> </w:t>
      </w:r>
      <w:r>
        <w:t>de</w:t>
      </w:r>
      <w:r>
        <w:rPr>
          <w:spacing w:val="2"/>
        </w:rPr>
        <w:t xml:space="preserve"> </w:t>
      </w:r>
      <w:r>
        <w:t>7.214.422</w:t>
      </w:r>
      <w:r>
        <w:rPr>
          <w:spacing w:val="2"/>
        </w:rPr>
        <w:t xml:space="preserve"> </w:t>
      </w:r>
      <w:r>
        <w:t>ações</w:t>
      </w:r>
      <w:r>
        <w:rPr>
          <w:spacing w:val="4"/>
        </w:rPr>
        <w:t xml:space="preserve"> </w:t>
      </w:r>
      <w:r>
        <w:t>ordinárias</w:t>
      </w:r>
      <w:r>
        <w:rPr>
          <w:spacing w:val="3"/>
        </w:rPr>
        <w:t xml:space="preserve"> </w:t>
      </w:r>
      <w:r>
        <w:t>(ON),</w:t>
      </w:r>
      <w:r>
        <w:rPr>
          <w:spacing w:val="4"/>
        </w:rPr>
        <w:t xml:space="preserve"> </w:t>
      </w:r>
      <w:r>
        <w:t>ao</w:t>
      </w:r>
      <w:r>
        <w:rPr>
          <w:spacing w:val="3"/>
        </w:rPr>
        <w:t xml:space="preserve"> </w:t>
      </w:r>
      <w:r>
        <w:t>preço de</w:t>
      </w:r>
      <w:r>
        <w:rPr>
          <w:spacing w:val="2"/>
        </w:rPr>
        <w:t xml:space="preserve"> </w:t>
      </w:r>
      <w:r>
        <w:t>emissão</w:t>
      </w:r>
      <w:r>
        <w:rPr>
          <w:spacing w:val="2"/>
        </w:rPr>
        <w:t xml:space="preserve"> </w:t>
      </w:r>
      <w:r>
        <w:t>de</w:t>
      </w:r>
      <w:r>
        <w:rPr>
          <w:spacing w:val="4"/>
        </w:rPr>
        <w:t xml:space="preserve"> </w:t>
      </w:r>
      <w:r>
        <w:t>R$</w:t>
      </w:r>
      <w:r>
        <w:rPr>
          <w:spacing w:val="2"/>
        </w:rPr>
        <w:t xml:space="preserve"> </w:t>
      </w:r>
      <w:r>
        <w:t>15,56</w:t>
      </w:r>
      <w:r>
        <w:rPr>
          <w:spacing w:val="3"/>
        </w:rPr>
        <w:t xml:space="preserve"> </w:t>
      </w:r>
      <w:r>
        <w:t>por</w:t>
      </w:r>
      <w:r>
        <w:rPr>
          <w:spacing w:val="6"/>
        </w:rPr>
        <w:t xml:space="preserve"> </w:t>
      </w:r>
      <w:r>
        <w:rPr>
          <w:spacing w:val="-2"/>
        </w:rPr>
        <w:t>ação.</w:t>
      </w:r>
    </w:p>
    <w:p w14:paraId="54257286" w14:textId="77777777" w:rsidR="002C6574" w:rsidRDefault="002C6574">
      <w:pPr>
        <w:pStyle w:val="Corpodetexto"/>
        <w:spacing w:before="3"/>
      </w:pPr>
    </w:p>
    <w:p w14:paraId="3BA77032" w14:textId="77777777" w:rsidR="002C6574" w:rsidRDefault="00000000">
      <w:pPr>
        <w:pStyle w:val="Corpodetexto"/>
        <w:spacing w:line="237" w:lineRule="auto"/>
        <w:ind w:left="143" w:right="705"/>
        <w:jc w:val="both"/>
      </w:pPr>
      <w:r>
        <w:rPr>
          <w:w w:val="105"/>
        </w:rPr>
        <w:t>Com essa operação, o capital social integralmente subscrito passou de R$ 3.474.498 para R$ 3.586.754, totalizando 93.597.512 ações, sendo 75.190.021 ações ordinárias e 18.407.491 ações preferenciais,</w:t>
      </w:r>
      <w:r>
        <w:rPr>
          <w:spacing w:val="-8"/>
          <w:w w:val="105"/>
        </w:rPr>
        <w:t xml:space="preserve"> </w:t>
      </w:r>
      <w:r>
        <w:rPr>
          <w:w w:val="105"/>
        </w:rPr>
        <w:t>todas</w:t>
      </w:r>
      <w:r>
        <w:rPr>
          <w:spacing w:val="-10"/>
          <w:w w:val="105"/>
        </w:rPr>
        <w:t xml:space="preserve"> </w:t>
      </w:r>
      <w:r>
        <w:rPr>
          <w:w w:val="105"/>
        </w:rPr>
        <w:t>nominativas,</w:t>
      </w:r>
      <w:r>
        <w:rPr>
          <w:spacing w:val="-6"/>
          <w:w w:val="105"/>
        </w:rPr>
        <w:t xml:space="preserve"> </w:t>
      </w:r>
      <w:r>
        <w:rPr>
          <w:w w:val="105"/>
        </w:rPr>
        <w:t>escriturais</w:t>
      </w:r>
      <w:r>
        <w:rPr>
          <w:spacing w:val="-8"/>
          <w:w w:val="105"/>
        </w:rPr>
        <w:t xml:space="preserve"> </w:t>
      </w:r>
      <w:r>
        <w:rPr>
          <w:w w:val="105"/>
        </w:rPr>
        <w:t>e</w:t>
      </w:r>
      <w:r>
        <w:rPr>
          <w:spacing w:val="-10"/>
          <w:w w:val="105"/>
        </w:rPr>
        <w:t xml:space="preserve"> </w:t>
      </w:r>
      <w:r>
        <w:rPr>
          <w:w w:val="105"/>
        </w:rPr>
        <w:t>sem</w:t>
      </w:r>
      <w:r>
        <w:rPr>
          <w:spacing w:val="-8"/>
          <w:w w:val="105"/>
        </w:rPr>
        <w:t xml:space="preserve"> </w:t>
      </w:r>
      <w:r>
        <w:rPr>
          <w:w w:val="105"/>
        </w:rPr>
        <w:t>valor</w:t>
      </w:r>
      <w:r>
        <w:rPr>
          <w:spacing w:val="-10"/>
          <w:w w:val="105"/>
        </w:rPr>
        <w:t xml:space="preserve"> </w:t>
      </w:r>
      <w:r>
        <w:rPr>
          <w:w w:val="105"/>
        </w:rPr>
        <w:t>nominal.</w:t>
      </w:r>
    </w:p>
    <w:p w14:paraId="21880F20" w14:textId="77777777" w:rsidR="002C6574" w:rsidRDefault="00000000">
      <w:pPr>
        <w:pStyle w:val="Corpodetexto"/>
        <w:spacing w:before="290"/>
        <w:ind w:left="143" w:right="703"/>
        <w:jc w:val="both"/>
      </w:pPr>
      <w:r>
        <w:t>Em</w:t>
      </w:r>
      <w:r>
        <w:rPr>
          <w:spacing w:val="-1"/>
        </w:rPr>
        <w:t xml:space="preserve"> </w:t>
      </w:r>
      <w:r>
        <w:t>25</w:t>
      </w:r>
      <w:r>
        <w:rPr>
          <w:spacing w:val="-4"/>
        </w:rPr>
        <w:t xml:space="preserve"> </w:t>
      </w:r>
      <w:r>
        <w:t>de</w:t>
      </w:r>
      <w:r>
        <w:rPr>
          <w:spacing w:val="-4"/>
        </w:rPr>
        <w:t xml:space="preserve"> </w:t>
      </w:r>
      <w:r>
        <w:t>setembro</w:t>
      </w:r>
      <w:r>
        <w:rPr>
          <w:spacing w:val="-4"/>
        </w:rPr>
        <w:t xml:space="preserve"> </w:t>
      </w:r>
      <w:r>
        <w:t>de</w:t>
      </w:r>
      <w:r>
        <w:rPr>
          <w:spacing w:val="-6"/>
        </w:rPr>
        <w:t xml:space="preserve"> </w:t>
      </w:r>
      <w:r>
        <w:t>2025,</w:t>
      </w:r>
      <w:r>
        <w:rPr>
          <w:spacing w:val="-1"/>
        </w:rPr>
        <w:t xml:space="preserve"> </w:t>
      </w:r>
      <w:r>
        <w:t>a</w:t>
      </w:r>
      <w:r>
        <w:rPr>
          <w:spacing w:val="-6"/>
        </w:rPr>
        <w:t xml:space="preserve"> </w:t>
      </w:r>
      <w:r>
        <w:t>120ª</w:t>
      </w:r>
      <w:r>
        <w:rPr>
          <w:spacing w:val="-3"/>
        </w:rPr>
        <w:t xml:space="preserve"> </w:t>
      </w:r>
      <w:r>
        <w:t>Assembleia</w:t>
      </w:r>
      <w:r>
        <w:rPr>
          <w:spacing w:val="-6"/>
        </w:rPr>
        <w:t xml:space="preserve"> </w:t>
      </w:r>
      <w:r>
        <w:t>Geral</w:t>
      </w:r>
      <w:r>
        <w:rPr>
          <w:spacing w:val="-3"/>
        </w:rPr>
        <w:t xml:space="preserve"> </w:t>
      </w:r>
      <w:r>
        <w:t>Extraordinária</w:t>
      </w:r>
      <w:r>
        <w:rPr>
          <w:spacing w:val="-4"/>
        </w:rPr>
        <w:t xml:space="preserve"> </w:t>
      </w:r>
      <w:r>
        <w:t>homologou</w:t>
      </w:r>
      <w:r>
        <w:rPr>
          <w:spacing w:val="-3"/>
        </w:rPr>
        <w:t xml:space="preserve"> </w:t>
      </w:r>
      <w:r>
        <w:t>o</w:t>
      </w:r>
      <w:r>
        <w:rPr>
          <w:spacing w:val="-4"/>
        </w:rPr>
        <w:t xml:space="preserve"> </w:t>
      </w:r>
      <w:r>
        <w:t>segundo</w:t>
      </w:r>
      <w:r>
        <w:rPr>
          <w:spacing w:val="-4"/>
        </w:rPr>
        <w:t xml:space="preserve"> </w:t>
      </w:r>
      <w:r>
        <w:t>aumento de capital proposto no exercício de 2025. Nessa operação, o aumento foi de R$ 132.781, com a emissão</w:t>
      </w:r>
      <w:r>
        <w:rPr>
          <w:spacing w:val="33"/>
        </w:rPr>
        <w:t xml:space="preserve"> </w:t>
      </w:r>
      <w:r>
        <w:t>de</w:t>
      </w:r>
      <w:r>
        <w:rPr>
          <w:spacing w:val="30"/>
        </w:rPr>
        <w:t xml:space="preserve"> </w:t>
      </w:r>
      <w:r>
        <w:t>8.385.891</w:t>
      </w:r>
      <w:r>
        <w:rPr>
          <w:spacing w:val="36"/>
        </w:rPr>
        <w:t xml:space="preserve"> </w:t>
      </w:r>
      <w:r>
        <w:t>ações</w:t>
      </w:r>
      <w:r>
        <w:rPr>
          <w:spacing w:val="33"/>
        </w:rPr>
        <w:t xml:space="preserve"> </w:t>
      </w:r>
      <w:r>
        <w:t>ordinárias,</w:t>
      </w:r>
      <w:r>
        <w:rPr>
          <w:spacing w:val="36"/>
        </w:rPr>
        <w:t xml:space="preserve"> </w:t>
      </w:r>
      <w:r>
        <w:t>ao</w:t>
      </w:r>
      <w:r>
        <w:rPr>
          <w:spacing w:val="31"/>
        </w:rPr>
        <w:t xml:space="preserve"> </w:t>
      </w:r>
      <w:r>
        <w:t>preço</w:t>
      </w:r>
      <w:r>
        <w:rPr>
          <w:spacing w:val="34"/>
        </w:rPr>
        <w:t xml:space="preserve"> </w:t>
      </w:r>
      <w:r>
        <w:t>de</w:t>
      </w:r>
      <w:r>
        <w:rPr>
          <w:spacing w:val="33"/>
        </w:rPr>
        <w:t xml:space="preserve"> </w:t>
      </w:r>
      <w:r>
        <w:t>emissão</w:t>
      </w:r>
      <w:r>
        <w:rPr>
          <w:spacing w:val="33"/>
        </w:rPr>
        <w:t xml:space="preserve"> </w:t>
      </w:r>
      <w:r>
        <w:t>de</w:t>
      </w:r>
      <w:r>
        <w:rPr>
          <w:spacing w:val="30"/>
        </w:rPr>
        <w:t xml:space="preserve"> </w:t>
      </w:r>
      <w:r>
        <w:t>R$</w:t>
      </w:r>
      <w:r>
        <w:rPr>
          <w:spacing w:val="30"/>
        </w:rPr>
        <w:t xml:space="preserve"> </w:t>
      </w:r>
      <w:r>
        <w:t>15,83388257</w:t>
      </w:r>
      <w:r>
        <w:rPr>
          <w:spacing w:val="33"/>
        </w:rPr>
        <w:t xml:space="preserve"> </w:t>
      </w:r>
      <w:r>
        <w:t>por</w:t>
      </w:r>
      <w:r>
        <w:rPr>
          <w:spacing w:val="33"/>
        </w:rPr>
        <w:t xml:space="preserve"> </w:t>
      </w:r>
      <w:r>
        <w:t>ação.</w:t>
      </w:r>
    </w:p>
    <w:p w14:paraId="7BB8F3BF" w14:textId="77777777" w:rsidR="002C6574" w:rsidRDefault="002C6574">
      <w:pPr>
        <w:pStyle w:val="Corpodetexto"/>
        <w:jc w:val="both"/>
        <w:sectPr w:rsidR="002C6574">
          <w:pgSz w:w="11910" w:h="16840"/>
          <w:pgMar w:top="1600" w:right="141" w:bottom="1560" w:left="1133" w:header="856" w:footer="1267" w:gutter="0"/>
          <w:cols w:space="720"/>
        </w:sectPr>
      </w:pPr>
    </w:p>
    <w:p w14:paraId="016BDE47" w14:textId="77777777" w:rsidR="002C6574" w:rsidRDefault="00000000">
      <w:pPr>
        <w:pStyle w:val="Corpodetexto"/>
        <w:spacing w:before="198"/>
        <w:ind w:left="143" w:right="704"/>
        <w:jc w:val="both"/>
      </w:pPr>
      <w:r>
        <w:lastRenderedPageBreak/>
        <w:t>Assim, o capital social integralmente subscrito passou de R$ 3.586.754 para R$ 3.719.535, passando</w:t>
      </w:r>
      <w:r>
        <w:rPr>
          <w:spacing w:val="40"/>
        </w:rPr>
        <w:t xml:space="preserve"> </w:t>
      </w:r>
      <w:r>
        <w:t>a ser representado por 101.983.403 ações, das quais 83.575.912 são ações ordinárias e 18.407.491 são ações preferenciais.</w:t>
      </w:r>
    </w:p>
    <w:p w14:paraId="223AEEE2" w14:textId="77777777" w:rsidR="002C6574" w:rsidRDefault="002C6574">
      <w:pPr>
        <w:pStyle w:val="Corpodetexto"/>
        <w:spacing w:before="24"/>
      </w:pPr>
    </w:p>
    <w:p w14:paraId="49EB2A92" w14:textId="77777777" w:rsidR="002C6574" w:rsidRDefault="00000000">
      <w:pPr>
        <w:numPr>
          <w:ilvl w:val="1"/>
          <w:numId w:val="54"/>
        </w:numPr>
        <w:tabs>
          <w:tab w:val="left" w:pos="996"/>
        </w:tabs>
        <w:ind w:left="996" w:hanging="853"/>
        <w:rPr>
          <w:rFonts w:ascii="Arial"/>
          <w:b/>
        </w:rPr>
      </w:pPr>
      <w:r>
        <w:rPr>
          <w:rFonts w:ascii="Arial"/>
          <w:b/>
        </w:rPr>
        <w:t>Parceria</w:t>
      </w:r>
      <w:r>
        <w:rPr>
          <w:rFonts w:ascii="Arial"/>
          <w:b/>
          <w:spacing w:val="-3"/>
        </w:rPr>
        <w:t xml:space="preserve"> </w:t>
      </w:r>
      <w:r>
        <w:rPr>
          <w:rFonts w:ascii="Arial"/>
          <w:b/>
        </w:rPr>
        <w:t>entre</w:t>
      </w:r>
      <w:r>
        <w:rPr>
          <w:rFonts w:ascii="Arial"/>
          <w:b/>
          <w:spacing w:val="-4"/>
        </w:rPr>
        <w:t xml:space="preserve"> </w:t>
      </w:r>
      <w:r>
        <w:rPr>
          <w:rFonts w:ascii="Arial"/>
          <w:b/>
        </w:rPr>
        <w:t>a</w:t>
      </w:r>
      <w:r>
        <w:rPr>
          <w:rFonts w:ascii="Arial"/>
          <w:b/>
          <w:spacing w:val="-4"/>
        </w:rPr>
        <w:t xml:space="preserve"> </w:t>
      </w:r>
      <w:r>
        <w:rPr>
          <w:rFonts w:ascii="Arial"/>
          <w:b/>
        </w:rPr>
        <w:t>Telebras e</w:t>
      </w:r>
      <w:r>
        <w:rPr>
          <w:rFonts w:ascii="Arial"/>
          <w:b/>
          <w:spacing w:val="-2"/>
        </w:rPr>
        <w:t xml:space="preserve"> </w:t>
      </w:r>
      <w:r>
        <w:rPr>
          <w:rFonts w:ascii="Arial"/>
          <w:b/>
        </w:rPr>
        <w:t>a</w:t>
      </w:r>
      <w:r>
        <w:rPr>
          <w:rFonts w:ascii="Arial"/>
          <w:b/>
          <w:spacing w:val="-3"/>
        </w:rPr>
        <w:t xml:space="preserve"> </w:t>
      </w:r>
      <w:r>
        <w:rPr>
          <w:rFonts w:ascii="Arial"/>
          <w:b/>
          <w:spacing w:val="-5"/>
        </w:rPr>
        <w:t>EBC</w:t>
      </w:r>
    </w:p>
    <w:p w14:paraId="5DCCF98B" w14:textId="77777777" w:rsidR="002C6574" w:rsidRDefault="002C6574">
      <w:pPr>
        <w:pStyle w:val="Corpodetexto"/>
        <w:spacing w:before="10"/>
        <w:rPr>
          <w:rFonts w:ascii="Arial"/>
          <w:b/>
        </w:rPr>
      </w:pPr>
    </w:p>
    <w:p w14:paraId="1B8E2B35" w14:textId="77777777" w:rsidR="002C6574" w:rsidRDefault="00000000">
      <w:pPr>
        <w:pStyle w:val="Corpodetexto"/>
        <w:spacing w:before="1" w:line="237" w:lineRule="auto"/>
        <w:ind w:left="143" w:right="703"/>
        <w:jc w:val="both"/>
      </w:pPr>
      <w:r>
        <w:t>A Telebras e a Empresa Brasil de Comunicação (EBC) firmaram um contrato estratégico para a implantação de uma solução de alta disponibilidade e proteção de ativos digitais, garantindo maior eficiência</w:t>
      </w:r>
      <w:r>
        <w:rPr>
          <w:spacing w:val="-4"/>
        </w:rPr>
        <w:t xml:space="preserve"> </w:t>
      </w:r>
      <w:r>
        <w:t>e</w:t>
      </w:r>
      <w:r>
        <w:rPr>
          <w:spacing w:val="-2"/>
        </w:rPr>
        <w:t xml:space="preserve"> </w:t>
      </w:r>
      <w:r>
        <w:t>segurança</w:t>
      </w:r>
      <w:r>
        <w:rPr>
          <w:spacing w:val="-2"/>
        </w:rPr>
        <w:t xml:space="preserve"> </w:t>
      </w:r>
      <w:r>
        <w:t>na</w:t>
      </w:r>
      <w:r>
        <w:rPr>
          <w:spacing w:val="-4"/>
        </w:rPr>
        <w:t xml:space="preserve"> </w:t>
      </w:r>
      <w:r>
        <w:t>distribuição</w:t>
      </w:r>
      <w:r>
        <w:rPr>
          <w:spacing w:val="-2"/>
        </w:rPr>
        <w:t xml:space="preserve"> </w:t>
      </w:r>
      <w:r>
        <w:t>de</w:t>
      </w:r>
      <w:r>
        <w:rPr>
          <w:spacing w:val="-2"/>
        </w:rPr>
        <w:t xml:space="preserve"> </w:t>
      </w:r>
      <w:r>
        <w:t>conteúdo</w:t>
      </w:r>
      <w:r>
        <w:rPr>
          <w:spacing w:val="-2"/>
        </w:rPr>
        <w:t xml:space="preserve"> </w:t>
      </w:r>
      <w:r>
        <w:t>online. O</w:t>
      </w:r>
      <w:r>
        <w:rPr>
          <w:spacing w:val="-2"/>
        </w:rPr>
        <w:t xml:space="preserve"> </w:t>
      </w:r>
      <w:r>
        <w:t>serviço,</w:t>
      </w:r>
      <w:r>
        <w:rPr>
          <w:spacing w:val="-4"/>
        </w:rPr>
        <w:t xml:space="preserve"> </w:t>
      </w:r>
      <w:r>
        <w:t>baseado</w:t>
      </w:r>
      <w:r>
        <w:rPr>
          <w:spacing w:val="-4"/>
        </w:rPr>
        <w:t xml:space="preserve"> </w:t>
      </w:r>
      <w:r>
        <w:t>em uma</w:t>
      </w:r>
      <w:r>
        <w:rPr>
          <w:spacing w:val="-6"/>
        </w:rPr>
        <w:t xml:space="preserve"> </w:t>
      </w:r>
      <w:r>
        <w:t>rede</w:t>
      </w:r>
      <w:r>
        <w:rPr>
          <w:spacing w:val="-4"/>
        </w:rPr>
        <w:t xml:space="preserve"> </w:t>
      </w:r>
      <w:r>
        <w:t>dinâmica de distribuição e aceleração de conteúdo (CDN),</w:t>
      </w:r>
      <w:r>
        <w:rPr>
          <w:spacing w:val="-4"/>
        </w:rPr>
        <w:t xml:space="preserve"> </w:t>
      </w:r>
      <w:r>
        <w:t>possibilitará a otimização</w:t>
      </w:r>
      <w:r>
        <w:rPr>
          <w:spacing w:val="-3"/>
        </w:rPr>
        <w:t xml:space="preserve"> </w:t>
      </w:r>
      <w:r>
        <w:t>da</w:t>
      </w:r>
      <w:r>
        <w:rPr>
          <w:spacing w:val="-1"/>
        </w:rPr>
        <w:t xml:space="preserve"> </w:t>
      </w:r>
      <w:r>
        <w:t>transmissão de vídeos, áudios e demais materiais digitais dos portais e serviços da EBC. O contrato inclui tanto CDN dinâmica quanto CDN estática. Ambas já estão em funcionamento e serão geridas a partir do Data Center Tier IV da Telebras.</w:t>
      </w:r>
    </w:p>
    <w:p w14:paraId="381C3E56" w14:textId="77777777" w:rsidR="002C6574" w:rsidRDefault="002C6574">
      <w:pPr>
        <w:pStyle w:val="Corpodetexto"/>
        <w:spacing w:before="72"/>
      </w:pPr>
    </w:p>
    <w:p w14:paraId="2E9037EB" w14:textId="77777777" w:rsidR="002C6574" w:rsidRDefault="00000000">
      <w:pPr>
        <w:pStyle w:val="Corpodetexto"/>
        <w:ind w:left="143" w:right="703"/>
        <w:jc w:val="both"/>
      </w:pPr>
      <w:r>
        <w:t>O contrato estabelece a parceria entre as estatais e reforça o compromisso de fortalecer a infraestrutura de comunicação pública no país. A implementação da CDN, já em operação, reduz falhas e instabilidades nas transmissões, proporcionando uma experiência mais fluida ao público, além de aumentar a qualidade e segurança do conteúdo distribuído pela EBC.</w:t>
      </w:r>
    </w:p>
    <w:p w14:paraId="6DBE0191" w14:textId="77777777" w:rsidR="002C6574" w:rsidRDefault="002C6574">
      <w:pPr>
        <w:pStyle w:val="Corpodetexto"/>
        <w:spacing w:before="61"/>
      </w:pPr>
    </w:p>
    <w:p w14:paraId="2D4F17A8" w14:textId="77777777" w:rsidR="002C6574" w:rsidRDefault="00000000">
      <w:pPr>
        <w:pStyle w:val="Corpodetexto"/>
        <w:ind w:left="143" w:right="703"/>
        <w:jc w:val="both"/>
      </w:pPr>
      <w:r>
        <w:t>A nova infraestrutura contratada tem um papel fundamental na estabilidade e qualidade das transmissões de diversos canais de comunicação pública. Com a implementação da solução, será possível otimizar a compressão de vídeos e áudios, garantindo que os conteúdos sejam acessados com menor latência e sem interrupções.</w:t>
      </w:r>
    </w:p>
    <w:p w14:paraId="4E4B44CC" w14:textId="77777777" w:rsidR="002C6574" w:rsidRDefault="002C6574">
      <w:pPr>
        <w:pStyle w:val="Corpodetexto"/>
        <w:spacing w:before="61"/>
      </w:pPr>
    </w:p>
    <w:p w14:paraId="389B2BDD" w14:textId="77777777" w:rsidR="002C6574" w:rsidRDefault="00000000">
      <w:pPr>
        <w:pStyle w:val="Corpodetexto"/>
        <w:ind w:left="143" w:right="704"/>
        <w:jc w:val="both"/>
      </w:pPr>
      <w:r>
        <w:t>Outro destaque da parceria é a expansão da conectividade para as unidades da EBC em diferentes regiões do país, utilizando redes de alta capacidade e soluções via satélite para localidades remotas. Essa</w:t>
      </w:r>
      <w:r>
        <w:rPr>
          <w:spacing w:val="30"/>
        </w:rPr>
        <w:t xml:space="preserve"> </w:t>
      </w:r>
      <w:r>
        <w:t>expansão</w:t>
      </w:r>
      <w:r>
        <w:rPr>
          <w:spacing w:val="29"/>
        </w:rPr>
        <w:t xml:space="preserve"> </w:t>
      </w:r>
      <w:r>
        <w:t>possibilitará</w:t>
      </w:r>
      <w:r>
        <w:rPr>
          <w:spacing w:val="29"/>
        </w:rPr>
        <w:t xml:space="preserve"> </w:t>
      </w:r>
      <w:r>
        <w:t>uma cobertura mais ampla dos</w:t>
      </w:r>
      <w:r>
        <w:rPr>
          <w:spacing w:val="30"/>
        </w:rPr>
        <w:t xml:space="preserve"> </w:t>
      </w:r>
      <w:r>
        <w:t>serviços</w:t>
      </w:r>
      <w:r>
        <w:rPr>
          <w:spacing w:val="30"/>
        </w:rPr>
        <w:t xml:space="preserve"> </w:t>
      </w:r>
      <w:r>
        <w:t>da</w:t>
      </w:r>
      <w:r>
        <w:rPr>
          <w:spacing w:val="27"/>
        </w:rPr>
        <w:t xml:space="preserve"> </w:t>
      </w:r>
      <w:r>
        <w:t>EBC,</w:t>
      </w:r>
      <w:r>
        <w:rPr>
          <w:spacing w:val="27"/>
        </w:rPr>
        <w:t xml:space="preserve"> </w:t>
      </w:r>
      <w:r>
        <w:t>beneficiando</w:t>
      </w:r>
      <w:r>
        <w:rPr>
          <w:spacing w:val="29"/>
        </w:rPr>
        <w:t xml:space="preserve"> </w:t>
      </w:r>
      <w:r>
        <w:t>milhões de brasileiros com informação de qualidade e acesso seguro ao conteúdo digital.</w:t>
      </w:r>
    </w:p>
    <w:p w14:paraId="33EE8A63" w14:textId="77777777" w:rsidR="002C6574" w:rsidRDefault="002C6574">
      <w:pPr>
        <w:pStyle w:val="Corpodetexto"/>
        <w:spacing w:before="22"/>
      </w:pPr>
    </w:p>
    <w:p w14:paraId="613FCE48" w14:textId="77777777" w:rsidR="002C6574" w:rsidRDefault="00000000">
      <w:pPr>
        <w:numPr>
          <w:ilvl w:val="1"/>
          <w:numId w:val="54"/>
        </w:numPr>
        <w:tabs>
          <w:tab w:val="left" w:pos="996"/>
        </w:tabs>
        <w:ind w:left="996" w:hanging="853"/>
        <w:rPr>
          <w:rFonts w:ascii="Arial" w:hAnsi="Arial"/>
          <w:b/>
        </w:rPr>
      </w:pPr>
      <w:r>
        <w:rPr>
          <w:rFonts w:ascii="Arial" w:hAnsi="Arial"/>
          <w:b/>
        </w:rPr>
        <w:t>Contrato</w:t>
      </w:r>
      <w:r>
        <w:rPr>
          <w:rFonts w:ascii="Arial" w:hAnsi="Arial"/>
          <w:b/>
          <w:spacing w:val="-6"/>
        </w:rPr>
        <w:t xml:space="preserve"> </w:t>
      </w:r>
      <w:r>
        <w:rPr>
          <w:rFonts w:ascii="Arial" w:hAnsi="Arial"/>
          <w:b/>
        </w:rPr>
        <w:t>de</w:t>
      </w:r>
      <w:r>
        <w:rPr>
          <w:rFonts w:ascii="Arial" w:hAnsi="Arial"/>
          <w:b/>
          <w:spacing w:val="-2"/>
        </w:rPr>
        <w:t xml:space="preserve"> </w:t>
      </w:r>
      <w:r>
        <w:rPr>
          <w:rFonts w:ascii="Arial" w:hAnsi="Arial"/>
          <w:b/>
        </w:rPr>
        <w:t>Prestação</w:t>
      </w:r>
      <w:r>
        <w:rPr>
          <w:rFonts w:ascii="Arial" w:hAnsi="Arial"/>
          <w:b/>
          <w:spacing w:val="-5"/>
        </w:rPr>
        <w:t xml:space="preserve"> </w:t>
      </w:r>
      <w:r>
        <w:rPr>
          <w:rFonts w:ascii="Arial" w:hAnsi="Arial"/>
          <w:b/>
        </w:rPr>
        <w:t>de</w:t>
      </w:r>
      <w:r>
        <w:rPr>
          <w:rFonts w:ascii="Arial" w:hAnsi="Arial"/>
          <w:b/>
          <w:spacing w:val="-1"/>
        </w:rPr>
        <w:t xml:space="preserve"> </w:t>
      </w:r>
      <w:r>
        <w:rPr>
          <w:rFonts w:ascii="Arial" w:hAnsi="Arial"/>
          <w:b/>
        </w:rPr>
        <w:t>Serviços</w:t>
      </w:r>
      <w:r>
        <w:rPr>
          <w:rFonts w:ascii="Arial" w:hAnsi="Arial"/>
          <w:b/>
          <w:spacing w:val="-7"/>
        </w:rPr>
        <w:t xml:space="preserve"> </w:t>
      </w:r>
      <w:r>
        <w:rPr>
          <w:rFonts w:ascii="Arial" w:hAnsi="Arial"/>
          <w:b/>
        </w:rPr>
        <w:t>que</w:t>
      </w:r>
      <w:r>
        <w:rPr>
          <w:rFonts w:ascii="Arial" w:hAnsi="Arial"/>
          <w:b/>
          <w:spacing w:val="-2"/>
        </w:rPr>
        <w:t xml:space="preserve"> </w:t>
      </w:r>
      <w:r>
        <w:rPr>
          <w:rFonts w:ascii="Arial" w:hAnsi="Arial"/>
          <w:b/>
        </w:rPr>
        <w:t>celebram</w:t>
      </w:r>
      <w:r>
        <w:rPr>
          <w:rFonts w:ascii="Arial" w:hAnsi="Arial"/>
          <w:b/>
          <w:spacing w:val="-3"/>
        </w:rPr>
        <w:t xml:space="preserve"> </w:t>
      </w:r>
      <w:r>
        <w:rPr>
          <w:rFonts w:ascii="Arial" w:hAnsi="Arial"/>
          <w:b/>
        </w:rPr>
        <w:t>Telebras</w:t>
      </w:r>
      <w:r>
        <w:rPr>
          <w:rFonts w:ascii="Arial" w:hAnsi="Arial"/>
          <w:b/>
          <w:spacing w:val="-2"/>
        </w:rPr>
        <w:t xml:space="preserve"> </w:t>
      </w:r>
      <w:r>
        <w:rPr>
          <w:rFonts w:ascii="Arial" w:hAnsi="Arial"/>
          <w:b/>
        </w:rPr>
        <w:t>e</w:t>
      </w:r>
      <w:r>
        <w:rPr>
          <w:rFonts w:ascii="Arial" w:hAnsi="Arial"/>
          <w:b/>
          <w:spacing w:val="-4"/>
        </w:rPr>
        <w:t xml:space="preserve"> EACE</w:t>
      </w:r>
    </w:p>
    <w:p w14:paraId="67D98396" w14:textId="77777777" w:rsidR="002C6574" w:rsidRDefault="00000000">
      <w:pPr>
        <w:pStyle w:val="Corpodetexto"/>
        <w:spacing w:before="191"/>
        <w:ind w:left="143" w:right="703"/>
        <w:jc w:val="both"/>
      </w:pPr>
      <w:r>
        <w:t>A Telebras firmou contrato com a Entidade Administradora da Conectividade das Escolas (EACE)</w:t>
      </w:r>
      <w:r>
        <w:rPr>
          <w:spacing w:val="80"/>
        </w:rPr>
        <w:t xml:space="preserve"> </w:t>
      </w:r>
      <w:r>
        <w:t>para a prestação, em âmbito nacional, de serviços</w:t>
      </w:r>
      <w:r>
        <w:rPr>
          <w:spacing w:val="-1"/>
        </w:rPr>
        <w:t xml:space="preserve"> </w:t>
      </w:r>
      <w:r>
        <w:t>continuados</w:t>
      </w:r>
      <w:r>
        <w:rPr>
          <w:spacing w:val="-1"/>
        </w:rPr>
        <w:t xml:space="preserve"> </w:t>
      </w:r>
      <w:r>
        <w:t>de</w:t>
      </w:r>
      <w:r>
        <w:rPr>
          <w:spacing w:val="-2"/>
        </w:rPr>
        <w:t xml:space="preserve"> </w:t>
      </w:r>
      <w:r>
        <w:t>transmissão bidirecional de</w:t>
      </w:r>
      <w:r>
        <w:rPr>
          <w:spacing w:val="-2"/>
        </w:rPr>
        <w:t xml:space="preserve"> </w:t>
      </w:r>
      <w:r>
        <w:t xml:space="preserve">dados via satélite, no contexto do Programa Governo Eletrônico – Serviço de Atendimento ao Cidadão </w:t>
      </w:r>
      <w:r>
        <w:rPr>
          <w:spacing w:val="-2"/>
        </w:rPr>
        <w:t>(GESAC).</w:t>
      </w:r>
    </w:p>
    <w:p w14:paraId="1E99ECC2" w14:textId="77777777" w:rsidR="002C6574" w:rsidRDefault="00000000">
      <w:pPr>
        <w:pStyle w:val="Corpodetexto"/>
        <w:spacing w:before="284"/>
        <w:ind w:left="143" w:right="704"/>
        <w:jc w:val="both"/>
      </w:pPr>
      <w:r>
        <w:rPr>
          <w:spacing w:val="-2"/>
        </w:rPr>
        <w:t>O</w:t>
      </w:r>
      <w:r>
        <w:rPr>
          <w:spacing w:val="-5"/>
        </w:rPr>
        <w:t xml:space="preserve"> </w:t>
      </w:r>
      <w:r>
        <w:rPr>
          <w:spacing w:val="-2"/>
        </w:rPr>
        <w:t>objeto</w:t>
      </w:r>
      <w:r>
        <w:rPr>
          <w:spacing w:val="-7"/>
        </w:rPr>
        <w:t xml:space="preserve"> </w:t>
      </w:r>
      <w:r>
        <w:rPr>
          <w:spacing w:val="-2"/>
        </w:rPr>
        <w:t>do</w:t>
      </w:r>
      <w:r>
        <w:rPr>
          <w:spacing w:val="-10"/>
        </w:rPr>
        <w:t xml:space="preserve"> </w:t>
      </w:r>
      <w:r>
        <w:rPr>
          <w:spacing w:val="-2"/>
        </w:rPr>
        <w:t>contrato</w:t>
      </w:r>
      <w:r>
        <w:rPr>
          <w:spacing w:val="-7"/>
        </w:rPr>
        <w:t xml:space="preserve"> </w:t>
      </w:r>
      <w:r>
        <w:rPr>
          <w:spacing w:val="-2"/>
        </w:rPr>
        <w:t>é</w:t>
      </w:r>
      <w:r>
        <w:rPr>
          <w:spacing w:val="-10"/>
        </w:rPr>
        <w:t xml:space="preserve"> </w:t>
      </w:r>
      <w:r>
        <w:rPr>
          <w:spacing w:val="-2"/>
        </w:rPr>
        <w:t>a</w:t>
      </w:r>
      <w:r>
        <w:rPr>
          <w:spacing w:val="-10"/>
        </w:rPr>
        <w:t xml:space="preserve"> </w:t>
      </w:r>
      <w:r>
        <w:rPr>
          <w:spacing w:val="-2"/>
        </w:rPr>
        <w:t>implementação</w:t>
      </w:r>
      <w:r>
        <w:rPr>
          <w:spacing w:val="-7"/>
        </w:rPr>
        <w:t xml:space="preserve"> </w:t>
      </w:r>
      <w:r>
        <w:rPr>
          <w:spacing w:val="-2"/>
        </w:rPr>
        <w:t>e</w:t>
      </w:r>
      <w:r>
        <w:rPr>
          <w:spacing w:val="-12"/>
        </w:rPr>
        <w:t xml:space="preserve"> </w:t>
      </w:r>
      <w:r>
        <w:rPr>
          <w:spacing w:val="-2"/>
        </w:rPr>
        <w:t>manutenção</w:t>
      </w:r>
      <w:r>
        <w:rPr>
          <w:spacing w:val="-5"/>
        </w:rPr>
        <w:t xml:space="preserve"> </w:t>
      </w:r>
      <w:r>
        <w:rPr>
          <w:spacing w:val="-2"/>
        </w:rPr>
        <w:t>de</w:t>
      </w:r>
      <w:r>
        <w:rPr>
          <w:spacing w:val="-10"/>
        </w:rPr>
        <w:t xml:space="preserve"> </w:t>
      </w:r>
      <w:r>
        <w:rPr>
          <w:spacing w:val="-2"/>
        </w:rPr>
        <w:t>pontos</w:t>
      </w:r>
      <w:r>
        <w:rPr>
          <w:spacing w:val="-7"/>
        </w:rPr>
        <w:t xml:space="preserve"> </w:t>
      </w:r>
      <w:r>
        <w:rPr>
          <w:spacing w:val="-2"/>
        </w:rPr>
        <w:t>de</w:t>
      </w:r>
      <w:r>
        <w:rPr>
          <w:spacing w:val="-10"/>
        </w:rPr>
        <w:t xml:space="preserve"> </w:t>
      </w:r>
      <w:r>
        <w:rPr>
          <w:spacing w:val="-2"/>
        </w:rPr>
        <w:t>presença</w:t>
      </w:r>
      <w:r>
        <w:rPr>
          <w:spacing w:val="-7"/>
        </w:rPr>
        <w:t xml:space="preserve"> </w:t>
      </w:r>
      <w:r>
        <w:rPr>
          <w:spacing w:val="-2"/>
        </w:rPr>
        <w:t>com</w:t>
      </w:r>
      <w:r>
        <w:rPr>
          <w:spacing w:val="-5"/>
        </w:rPr>
        <w:t xml:space="preserve"> </w:t>
      </w:r>
      <w:r>
        <w:rPr>
          <w:spacing w:val="-2"/>
        </w:rPr>
        <w:t>conexão</w:t>
      </w:r>
      <w:r>
        <w:rPr>
          <w:spacing w:val="-5"/>
        </w:rPr>
        <w:t xml:space="preserve"> </w:t>
      </w:r>
      <w:r>
        <w:rPr>
          <w:spacing w:val="-2"/>
        </w:rPr>
        <w:t>à</w:t>
      </w:r>
      <w:r>
        <w:rPr>
          <w:spacing w:val="-10"/>
        </w:rPr>
        <w:t xml:space="preserve"> </w:t>
      </w:r>
      <w:r>
        <w:rPr>
          <w:spacing w:val="-2"/>
        </w:rPr>
        <w:t xml:space="preserve">internet </w:t>
      </w:r>
      <w:r>
        <w:t>em</w:t>
      </w:r>
      <w:r>
        <w:rPr>
          <w:spacing w:val="-1"/>
        </w:rPr>
        <w:t xml:space="preserve"> </w:t>
      </w:r>
      <w:r>
        <w:t>banda</w:t>
      </w:r>
      <w:r>
        <w:rPr>
          <w:spacing w:val="-5"/>
        </w:rPr>
        <w:t xml:space="preserve"> </w:t>
      </w:r>
      <w:r>
        <w:t>larga,</w:t>
      </w:r>
      <w:r>
        <w:rPr>
          <w:spacing w:val="-6"/>
        </w:rPr>
        <w:t xml:space="preserve"> </w:t>
      </w:r>
      <w:r>
        <w:t>em</w:t>
      </w:r>
      <w:r>
        <w:rPr>
          <w:spacing w:val="-6"/>
        </w:rPr>
        <w:t xml:space="preserve"> </w:t>
      </w:r>
      <w:r>
        <w:t>escolas</w:t>
      </w:r>
      <w:r>
        <w:rPr>
          <w:spacing w:val="-4"/>
        </w:rPr>
        <w:t xml:space="preserve"> </w:t>
      </w:r>
      <w:r>
        <w:t>públicas</w:t>
      </w:r>
      <w:r>
        <w:rPr>
          <w:spacing w:val="-4"/>
        </w:rPr>
        <w:t xml:space="preserve"> </w:t>
      </w:r>
      <w:r>
        <w:t>da</w:t>
      </w:r>
      <w:r>
        <w:rPr>
          <w:spacing w:val="-8"/>
        </w:rPr>
        <w:t xml:space="preserve"> </w:t>
      </w:r>
      <w:r>
        <w:t>educação</w:t>
      </w:r>
      <w:r>
        <w:rPr>
          <w:spacing w:val="-5"/>
        </w:rPr>
        <w:t xml:space="preserve"> </w:t>
      </w:r>
      <w:r>
        <w:t>básica,</w:t>
      </w:r>
      <w:r>
        <w:rPr>
          <w:spacing w:val="-4"/>
        </w:rPr>
        <w:t xml:space="preserve"> </w:t>
      </w:r>
      <w:r>
        <w:t>no</w:t>
      </w:r>
      <w:r>
        <w:rPr>
          <w:spacing w:val="-8"/>
        </w:rPr>
        <w:t xml:space="preserve"> </w:t>
      </w:r>
      <w:r>
        <w:t>âmbito</w:t>
      </w:r>
      <w:r>
        <w:rPr>
          <w:spacing w:val="-4"/>
        </w:rPr>
        <w:t xml:space="preserve"> </w:t>
      </w:r>
      <w:r>
        <w:t>do</w:t>
      </w:r>
      <w:r>
        <w:rPr>
          <w:spacing w:val="-5"/>
        </w:rPr>
        <w:t xml:space="preserve"> </w:t>
      </w:r>
      <w:r>
        <w:t>Projeto</w:t>
      </w:r>
      <w:r>
        <w:rPr>
          <w:spacing w:val="-5"/>
        </w:rPr>
        <w:t xml:space="preserve"> </w:t>
      </w:r>
      <w:r>
        <w:t>Aprender</w:t>
      </w:r>
      <w:r>
        <w:rPr>
          <w:spacing w:val="-4"/>
        </w:rPr>
        <w:t xml:space="preserve"> </w:t>
      </w:r>
      <w:r>
        <w:t>Conectado, conforme</w:t>
      </w:r>
      <w:r>
        <w:rPr>
          <w:spacing w:val="33"/>
        </w:rPr>
        <w:t xml:space="preserve"> </w:t>
      </w:r>
      <w:r>
        <w:t>diretrizes</w:t>
      </w:r>
      <w:r>
        <w:rPr>
          <w:spacing w:val="32"/>
        </w:rPr>
        <w:t xml:space="preserve"> </w:t>
      </w:r>
      <w:r>
        <w:t>da</w:t>
      </w:r>
      <w:r>
        <w:rPr>
          <w:spacing w:val="34"/>
        </w:rPr>
        <w:t xml:space="preserve"> </w:t>
      </w:r>
      <w:r>
        <w:t>Estratégia</w:t>
      </w:r>
      <w:r>
        <w:rPr>
          <w:spacing w:val="33"/>
        </w:rPr>
        <w:t xml:space="preserve"> </w:t>
      </w:r>
      <w:r>
        <w:t>Nacional</w:t>
      </w:r>
      <w:r>
        <w:rPr>
          <w:spacing w:val="34"/>
        </w:rPr>
        <w:t xml:space="preserve"> </w:t>
      </w:r>
      <w:r>
        <w:t>de</w:t>
      </w:r>
      <w:r>
        <w:rPr>
          <w:spacing w:val="33"/>
        </w:rPr>
        <w:t xml:space="preserve"> </w:t>
      </w:r>
      <w:r>
        <w:t>Escolas</w:t>
      </w:r>
      <w:r>
        <w:rPr>
          <w:spacing w:val="34"/>
        </w:rPr>
        <w:t xml:space="preserve"> </w:t>
      </w:r>
      <w:r>
        <w:t>Conectadas</w:t>
      </w:r>
      <w:r>
        <w:rPr>
          <w:spacing w:val="29"/>
        </w:rPr>
        <w:t xml:space="preserve"> </w:t>
      </w:r>
      <w:r>
        <w:t>(ENEC),</w:t>
      </w:r>
      <w:r>
        <w:rPr>
          <w:spacing w:val="34"/>
        </w:rPr>
        <w:t xml:space="preserve"> </w:t>
      </w:r>
      <w:r>
        <w:t>instituída</w:t>
      </w:r>
      <w:r>
        <w:rPr>
          <w:spacing w:val="31"/>
        </w:rPr>
        <w:t xml:space="preserve"> </w:t>
      </w:r>
      <w:r>
        <w:t>pelo</w:t>
      </w:r>
      <w:r>
        <w:rPr>
          <w:spacing w:val="33"/>
        </w:rPr>
        <w:t xml:space="preserve"> </w:t>
      </w:r>
      <w:r>
        <w:t>Decreto nº 11.713, de 26 de setembro de 2023.</w:t>
      </w:r>
    </w:p>
    <w:p w14:paraId="121C8B19" w14:textId="77777777" w:rsidR="002C6574" w:rsidRDefault="00000000">
      <w:pPr>
        <w:pStyle w:val="Corpodetexto"/>
        <w:spacing w:before="284"/>
        <w:ind w:left="143" w:right="702"/>
        <w:jc w:val="both"/>
      </w:pPr>
      <w:r>
        <w:t>Os serviços serão executados mediante demanda da EACE, por meio de Ordens de Serviço, e envolvem o fornecimento, instalação, ativação e manutenção de infraestrutura de conectividade, conforme especificações técnicas da Portaria MCOM nº 2.460/2021 e do Acordo de Cooperação Técnica firmado entre as partes. O contrato prevê vigência de 24 (vinte e quatro) meses para cada</w:t>
      </w:r>
    </w:p>
    <w:p w14:paraId="6C10EF88" w14:textId="77777777" w:rsidR="002C6574" w:rsidRDefault="002C6574">
      <w:pPr>
        <w:pStyle w:val="Corpodetexto"/>
        <w:jc w:val="both"/>
        <w:sectPr w:rsidR="002C6574">
          <w:pgSz w:w="11910" w:h="16840"/>
          <w:pgMar w:top="1600" w:right="141" w:bottom="1560" w:left="1133" w:header="856" w:footer="1267" w:gutter="0"/>
          <w:cols w:space="720"/>
        </w:sectPr>
      </w:pPr>
    </w:p>
    <w:p w14:paraId="60C2301C" w14:textId="77777777" w:rsidR="002C6574" w:rsidRDefault="00000000">
      <w:pPr>
        <w:pStyle w:val="Corpodetexto"/>
        <w:spacing w:before="200" w:line="237" w:lineRule="auto"/>
        <w:ind w:left="143" w:right="704"/>
        <w:jc w:val="both"/>
      </w:pPr>
      <w:r>
        <w:lastRenderedPageBreak/>
        <w:t>ponto</w:t>
      </w:r>
      <w:r>
        <w:rPr>
          <w:spacing w:val="-3"/>
        </w:rPr>
        <w:t xml:space="preserve"> </w:t>
      </w:r>
      <w:r>
        <w:t>ativado,</w:t>
      </w:r>
      <w:r>
        <w:rPr>
          <w:spacing w:val="-3"/>
        </w:rPr>
        <w:t xml:space="preserve"> </w:t>
      </w:r>
      <w:r>
        <w:t>e</w:t>
      </w:r>
      <w:r>
        <w:rPr>
          <w:spacing w:val="-6"/>
        </w:rPr>
        <w:t xml:space="preserve"> </w:t>
      </w:r>
      <w:r>
        <w:t>valor</w:t>
      </w:r>
      <w:r>
        <w:rPr>
          <w:spacing w:val="-5"/>
        </w:rPr>
        <w:t xml:space="preserve"> </w:t>
      </w:r>
      <w:r>
        <w:t>estimado</w:t>
      </w:r>
      <w:r>
        <w:rPr>
          <w:spacing w:val="-3"/>
        </w:rPr>
        <w:t xml:space="preserve"> </w:t>
      </w:r>
      <w:r>
        <w:t>de</w:t>
      </w:r>
      <w:r>
        <w:rPr>
          <w:spacing w:val="-6"/>
        </w:rPr>
        <w:t xml:space="preserve"> </w:t>
      </w:r>
      <w:r>
        <w:t>até</w:t>
      </w:r>
      <w:r>
        <w:rPr>
          <w:spacing w:val="-4"/>
        </w:rPr>
        <w:t xml:space="preserve"> </w:t>
      </w:r>
      <w:r>
        <w:t>R$</w:t>
      </w:r>
      <w:r>
        <w:rPr>
          <w:spacing w:val="-4"/>
        </w:rPr>
        <w:t xml:space="preserve"> </w:t>
      </w:r>
      <w:r>
        <w:t>262.889</w:t>
      </w:r>
      <w:r>
        <w:rPr>
          <w:spacing w:val="-4"/>
        </w:rPr>
        <w:t xml:space="preserve"> </w:t>
      </w:r>
      <w:r>
        <w:t>milhões,</w:t>
      </w:r>
      <w:r>
        <w:rPr>
          <w:spacing w:val="-3"/>
        </w:rPr>
        <w:t xml:space="preserve"> </w:t>
      </w:r>
      <w:r>
        <w:t>sujeito</w:t>
      </w:r>
      <w:r>
        <w:rPr>
          <w:spacing w:val="-4"/>
        </w:rPr>
        <w:t xml:space="preserve"> </w:t>
      </w:r>
      <w:r>
        <w:t>à</w:t>
      </w:r>
      <w:r>
        <w:rPr>
          <w:spacing w:val="-6"/>
        </w:rPr>
        <w:t xml:space="preserve"> </w:t>
      </w:r>
      <w:r>
        <w:t>variação</w:t>
      </w:r>
      <w:r>
        <w:rPr>
          <w:spacing w:val="-3"/>
        </w:rPr>
        <w:t xml:space="preserve"> </w:t>
      </w:r>
      <w:r>
        <w:t>conforme</w:t>
      </w:r>
      <w:r>
        <w:rPr>
          <w:spacing w:val="-4"/>
        </w:rPr>
        <w:t xml:space="preserve"> </w:t>
      </w:r>
      <w:r>
        <w:t>a</w:t>
      </w:r>
      <w:r>
        <w:rPr>
          <w:spacing w:val="-4"/>
        </w:rPr>
        <w:t xml:space="preserve"> </w:t>
      </w:r>
      <w:r>
        <w:t>quantidade efetiva de pontos contratados.</w:t>
      </w:r>
    </w:p>
    <w:p w14:paraId="14BC9E2E" w14:textId="77777777" w:rsidR="002C6574" w:rsidRDefault="002C6574">
      <w:pPr>
        <w:pStyle w:val="Corpodetexto"/>
        <w:spacing w:before="2"/>
      </w:pPr>
    </w:p>
    <w:p w14:paraId="230D15CB" w14:textId="77777777" w:rsidR="002C6574" w:rsidRDefault="00000000">
      <w:pPr>
        <w:pStyle w:val="Corpodetexto"/>
        <w:spacing w:line="237" w:lineRule="auto"/>
        <w:ind w:left="143" w:right="702"/>
        <w:jc w:val="both"/>
      </w:pPr>
      <w:r>
        <w:t>É</w:t>
      </w:r>
      <w:r>
        <w:rPr>
          <w:spacing w:val="-1"/>
        </w:rPr>
        <w:t xml:space="preserve"> </w:t>
      </w:r>
      <w:r>
        <w:t>relevante</w:t>
      </w:r>
      <w:r>
        <w:rPr>
          <w:spacing w:val="-4"/>
        </w:rPr>
        <w:t xml:space="preserve"> </w:t>
      </w:r>
      <w:r>
        <w:t>mencionar</w:t>
      </w:r>
      <w:r>
        <w:rPr>
          <w:spacing w:val="-3"/>
        </w:rPr>
        <w:t xml:space="preserve"> </w:t>
      </w:r>
      <w:r>
        <w:t>que</w:t>
      </w:r>
      <w:r>
        <w:rPr>
          <w:spacing w:val="-2"/>
        </w:rPr>
        <w:t xml:space="preserve"> </w:t>
      </w:r>
      <w:r>
        <w:t>o valor</w:t>
      </w:r>
      <w:r>
        <w:rPr>
          <w:spacing w:val="-3"/>
        </w:rPr>
        <w:t xml:space="preserve"> </w:t>
      </w:r>
      <w:r>
        <w:t>final</w:t>
      </w:r>
      <w:r>
        <w:rPr>
          <w:spacing w:val="-2"/>
        </w:rPr>
        <w:t xml:space="preserve"> </w:t>
      </w:r>
      <w:r>
        <w:t>do</w:t>
      </w:r>
      <w:r>
        <w:rPr>
          <w:spacing w:val="-2"/>
        </w:rPr>
        <w:t xml:space="preserve"> </w:t>
      </w:r>
      <w:r>
        <w:t>Contrato é</w:t>
      </w:r>
      <w:r>
        <w:rPr>
          <w:spacing w:val="-5"/>
        </w:rPr>
        <w:t xml:space="preserve"> </w:t>
      </w:r>
      <w:r>
        <w:t>variável</w:t>
      </w:r>
      <w:r>
        <w:rPr>
          <w:spacing w:val="-2"/>
        </w:rPr>
        <w:t xml:space="preserve"> </w:t>
      </w:r>
      <w:r>
        <w:t>e</w:t>
      </w:r>
      <w:r>
        <w:rPr>
          <w:spacing w:val="-3"/>
        </w:rPr>
        <w:t xml:space="preserve"> </w:t>
      </w:r>
      <w:r>
        <w:t>diretamente</w:t>
      </w:r>
      <w:r>
        <w:rPr>
          <w:spacing w:val="-3"/>
        </w:rPr>
        <w:t xml:space="preserve"> </w:t>
      </w:r>
      <w:r>
        <w:t>proporcional</w:t>
      </w:r>
      <w:r>
        <w:rPr>
          <w:spacing w:val="-2"/>
        </w:rPr>
        <w:t xml:space="preserve"> </w:t>
      </w:r>
      <w:r>
        <w:t>ao</w:t>
      </w:r>
      <w:r>
        <w:rPr>
          <w:spacing w:val="-3"/>
        </w:rPr>
        <w:t xml:space="preserve"> </w:t>
      </w:r>
      <w:r>
        <w:t xml:space="preserve">volume </w:t>
      </w:r>
      <w:r>
        <w:rPr>
          <w:w w:val="105"/>
        </w:rPr>
        <w:t>de</w:t>
      </w:r>
      <w:r>
        <w:rPr>
          <w:spacing w:val="-3"/>
          <w:w w:val="105"/>
        </w:rPr>
        <w:t xml:space="preserve"> </w:t>
      </w:r>
      <w:r>
        <w:rPr>
          <w:w w:val="105"/>
        </w:rPr>
        <w:t>pontos</w:t>
      </w:r>
      <w:r>
        <w:rPr>
          <w:spacing w:val="-5"/>
          <w:w w:val="105"/>
        </w:rPr>
        <w:t xml:space="preserve"> </w:t>
      </w:r>
      <w:r>
        <w:rPr>
          <w:w w:val="105"/>
        </w:rPr>
        <w:t>de</w:t>
      </w:r>
      <w:r>
        <w:rPr>
          <w:spacing w:val="-7"/>
          <w:w w:val="105"/>
        </w:rPr>
        <w:t xml:space="preserve"> </w:t>
      </w:r>
      <w:r>
        <w:rPr>
          <w:w w:val="105"/>
        </w:rPr>
        <w:t>conexão</w:t>
      </w:r>
      <w:r>
        <w:rPr>
          <w:spacing w:val="-7"/>
          <w:w w:val="105"/>
        </w:rPr>
        <w:t xml:space="preserve"> </w:t>
      </w:r>
      <w:r>
        <w:rPr>
          <w:w w:val="105"/>
        </w:rPr>
        <w:t>satelital</w:t>
      </w:r>
      <w:r>
        <w:rPr>
          <w:spacing w:val="-5"/>
          <w:w w:val="105"/>
        </w:rPr>
        <w:t xml:space="preserve"> </w:t>
      </w:r>
      <w:r>
        <w:rPr>
          <w:w w:val="105"/>
        </w:rPr>
        <w:t>(GESAC)</w:t>
      </w:r>
      <w:r>
        <w:rPr>
          <w:spacing w:val="-4"/>
          <w:w w:val="105"/>
        </w:rPr>
        <w:t xml:space="preserve"> </w:t>
      </w:r>
      <w:r>
        <w:rPr>
          <w:w w:val="105"/>
        </w:rPr>
        <w:t>que</w:t>
      </w:r>
      <w:r>
        <w:rPr>
          <w:spacing w:val="-7"/>
          <w:w w:val="105"/>
        </w:rPr>
        <w:t xml:space="preserve"> </w:t>
      </w:r>
      <w:r>
        <w:rPr>
          <w:w w:val="105"/>
        </w:rPr>
        <w:t>forem</w:t>
      </w:r>
      <w:r>
        <w:rPr>
          <w:spacing w:val="-5"/>
          <w:w w:val="105"/>
        </w:rPr>
        <w:t xml:space="preserve"> </w:t>
      </w:r>
      <w:r>
        <w:rPr>
          <w:w w:val="105"/>
        </w:rPr>
        <w:t>efetivamente</w:t>
      </w:r>
      <w:r>
        <w:rPr>
          <w:spacing w:val="-7"/>
          <w:w w:val="105"/>
        </w:rPr>
        <w:t xml:space="preserve"> </w:t>
      </w:r>
      <w:r>
        <w:rPr>
          <w:w w:val="105"/>
        </w:rPr>
        <w:t>contratados</w:t>
      </w:r>
      <w:r>
        <w:rPr>
          <w:spacing w:val="-5"/>
          <w:w w:val="105"/>
        </w:rPr>
        <w:t xml:space="preserve"> </w:t>
      </w:r>
      <w:r>
        <w:rPr>
          <w:w w:val="105"/>
        </w:rPr>
        <w:t>pela</w:t>
      </w:r>
      <w:r>
        <w:rPr>
          <w:spacing w:val="-7"/>
          <w:w w:val="105"/>
        </w:rPr>
        <w:t xml:space="preserve"> </w:t>
      </w:r>
      <w:r>
        <w:rPr>
          <w:w w:val="105"/>
        </w:rPr>
        <w:t>EACE.</w:t>
      </w:r>
    </w:p>
    <w:p w14:paraId="4809C05F" w14:textId="77777777" w:rsidR="002C6574" w:rsidRDefault="002C6574">
      <w:pPr>
        <w:pStyle w:val="Corpodetexto"/>
        <w:spacing w:before="1"/>
      </w:pPr>
    </w:p>
    <w:p w14:paraId="3925DC1F" w14:textId="77777777" w:rsidR="002C6574" w:rsidRDefault="00000000">
      <w:pPr>
        <w:pStyle w:val="Corpodetexto"/>
        <w:spacing w:line="237" w:lineRule="auto"/>
        <w:ind w:left="143" w:right="702"/>
        <w:jc w:val="both"/>
      </w:pPr>
      <w:r>
        <w:t>A celebração deste Contrato representa um passo estratégico fundamental para a TELEBRAS, reforçando seu protagonismo na execução de políticas públicas de conectividade e inclusão digital.</w:t>
      </w:r>
      <w:r>
        <w:rPr>
          <w:spacing w:val="40"/>
        </w:rPr>
        <w:t xml:space="preserve"> </w:t>
      </w:r>
      <w:r>
        <w:t>A iniciativa tem impacto direto na educação nacional, ao expandir o acesso à internet em escolas, e consolida o compromisso da Companhia com o desenvolvimento social e tecnológico do país.</w:t>
      </w:r>
    </w:p>
    <w:p w14:paraId="7C7A6268" w14:textId="77777777" w:rsidR="002C6574" w:rsidRDefault="002C6574">
      <w:pPr>
        <w:pStyle w:val="Corpodetexto"/>
        <w:spacing w:before="32"/>
      </w:pPr>
    </w:p>
    <w:p w14:paraId="7E1E251E" w14:textId="77777777" w:rsidR="002C6574" w:rsidRDefault="00000000">
      <w:pPr>
        <w:numPr>
          <w:ilvl w:val="1"/>
          <w:numId w:val="54"/>
        </w:numPr>
        <w:tabs>
          <w:tab w:val="left" w:pos="995"/>
        </w:tabs>
        <w:spacing w:line="276" w:lineRule="auto"/>
        <w:ind w:left="995" w:right="705" w:hanging="852"/>
        <w:rPr>
          <w:rFonts w:ascii="Arial" w:hAnsi="Arial"/>
          <w:b/>
        </w:rPr>
      </w:pPr>
      <w:r>
        <w:rPr>
          <w:rFonts w:ascii="Arial" w:hAnsi="Arial"/>
          <w:b/>
        </w:rPr>
        <w:t>Contrato</w:t>
      </w:r>
      <w:r>
        <w:rPr>
          <w:rFonts w:ascii="Arial" w:hAnsi="Arial"/>
          <w:b/>
          <w:spacing w:val="-9"/>
        </w:rPr>
        <w:t xml:space="preserve"> </w:t>
      </w:r>
      <w:r>
        <w:rPr>
          <w:rFonts w:ascii="Arial" w:hAnsi="Arial"/>
          <w:b/>
        </w:rPr>
        <w:t>de</w:t>
      </w:r>
      <w:r>
        <w:rPr>
          <w:rFonts w:ascii="Arial" w:hAnsi="Arial"/>
          <w:b/>
          <w:spacing w:val="-8"/>
        </w:rPr>
        <w:t xml:space="preserve"> </w:t>
      </w:r>
      <w:r>
        <w:rPr>
          <w:rFonts w:ascii="Arial" w:hAnsi="Arial"/>
          <w:b/>
        </w:rPr>
        <w:t>Prestação</w:t>
      </w:r>
      <w:r>
        <w:rPr>
          <w:rFonts w:ascii="Arial" w:hAnsi="Arial"/>
          <w:b/>
          <w:spacing w:val="-11"/>
        </w:rPr>
        <w:t xml:space="preserve"> </w:t>
      </w:r>
      <w:r>
        <w:rPr>
          <w:rFonts w:ascii="Arial" w:hAnsi="Arial"/>
          <w:b/>
        </w:rPr>
        <w:t>de</w:t>
      </w:r>
      <w:r>
        <w:rPr>
          <w:rFonts w:ascii="Arial" w:hAnsi="Arial"/>
          <w:b/>
          <w:spacing w:val="-8"/>
        </w:rPr>
        <w:t xml:space="preserve"> </w:t>
      </w:r>
      <w:r>
        <w:rPr>
          <w:rFonts w:ascii="Arial" w:hAnsi="Arial"/>
          <w:b/>
        </w:rPr>
        <w:t>Serviços</w:t>
      </w:r>
      <w:r>
        <w:rPr>
          <w:rFonts w:ascii="Arial" w:hAnsi="Arial"/>
          <w:b/>
          <w:spacing w:val="-10"/>
        </w:rPr>
        <w:t xml:space="preserve"> </w:t>
      </w:r>
      <w:r>
        <w:rPr>
          <w:rFonts w:ascii="Arial" w:hAnsi="Arial"/>
          <w:b/>
        </w:rPr>
        <w:t>que</w:t>
      </w:r>
      <w:r>
        <w:rPr>
          <w:rFonts w:ascii="Arial" w:hAnsi="Arial"/>
          <w:b/>
          <w:spacing w:val="-10"/>
        </w:rPr>
        <w:t xml:space="preserve"> </w:t>
      </w:r>
      <w:r>
        <w:rPr>
          <w:rFonts w:ascii="Arial" w:hAnsi="Arial"/>
          <w:b/>
        </w:rPr>
        <w:t>celebram</w:t>
      </w:r>
      <w:r>
        <w:rPr>
          <w:rFonts w:ascii="Arial" w:hAnsi="Arial"/>
          <w:b/>
          <w:spacing w:val="-6"/>
        </w:rPr>
        <w:t xml:space="preserve"> </w:t>
      </w:r>
      <w:r>
        <w:rPr>
          <w:rFonts w:ascii="Arial" w:hAnsi="Arial"/>
          <w:b/>
        </w:rPr>
        <w:t>Telebras</w:t>
      </w:r>
      <w:r>
        <w:rPr>
          <w:rFonts w:ascii="Arial" w:hAnsi="Arial"/>
          <w:b/>
          <w:spacing w:val="-10"/>
        </w:rPr>
        <w:t xml:space="preserve"> </w:t>
      </w:r>
      <w:r>
        <w:rPr>
          <w:rFonts w:ascii="Arial" w:hAnsi="Arial"/>
          <w:b/>
        </w:rPr>
        <w:t>e</w:t>
      </w:r>
      <w:r>
        <w:rPr>
          <w:rFonts w:ascii="Arial" w:hAnsi="Arial"/>
          <w:b/>
          <w:spacing w:val="-6"/>
        </w:rPr>
        <w:t xml:space="preserve"> </w:t>
      </w:r>
      <w:r>
        <w:rPr>
          <w:rFonts w:ascii="Arial" w:hAnsi="Arial"/>
          <w:b/>
        </w:rPr>
        <w:t>o</w:t>
      </w:r>
      <w:r>
        <w:rPr>
          <w:rFonts w:ascii="Arial" w:hAnsi="Arial"/>
          <w:b/>
          <w:spacing w:val="-9"/>
        </w:rPr>
        <w:t xml:space="preserve"> </w:t>
      </w:r>
      <w:r>
        <w:rPr>
          <w:rFonts w:ascii="Arial" w:hAnsi="Arial"/>
          <w:b/>
        </w:rPr>
        <w:t>Departamento</w:t>
      </w:r>
      <w:r>
        <w:rPr>
          <w:rFonts w:ascii="Arial" w:hAnsi="Arial"/>
          <w:b/>
          <w:spacing w:val="-9"/>
        </w:rPr>
        <w:t xml:space="preserve"> </w:t>
      </w:r>
      <w:r>
        <w:rPr>
          <w:rFonts w:ascii="Arial" w:hAnsi="Arial"/>
          <w:b/>
        </w:rPr>
        <w:t>Nacional de Infraestrutura de Transportes (DNIT)</w:t>
      </w:r>
    </w:p>
    <w:p w14:paraId="6582DB1E" w14:textId="77777777" w:rsidR="002C6574" w:rsidRDefault="00000000">
      <w:pPr>
        <w:pStyle w:val="Corpodetexto"/>
        <w:spacing w:before="244"/>
        <w:ind w:left="143" w:right="702"/>
        <w:jc w:val="both"/>
      </w:pPr>
      <w:r>
        <w:t>No</w:t>
      </w:r>
      <w:r>
        <w:rPr>
          <w:spacing w:val="-7"/>
        </w:rPr>
        <w:t xml:space="preserve"> </w:t>
      </w:r>
      <w:r>
        <w:t>trimestre</w:t>
      </w:r>
      <w:r>
        <w:rPr>
          <w:spacing w:val="-6"/>
        </w:rPr>
        <w:t xml:space="preserve"> </w:t>
      </w:r>
      <w:r>
        <w:t>corrente</w:t>
      </w:r>
      <w:r>
        <w:rPr>
          <w:spacing w:val="-7"/>
        </w:rPr>
        <w:t xml:space="preserve"> </w:t>
      </w:r>
      <w:r>
        <w:t>a</w:t>
      </w:r>
      <w:r>
        <w:rPr>
          <w:spacing w:val="-4"/>
        </w:rPr>
        <w:t xml:space="preserve"> </w:t>
      </w:r>
      <w:r>
        <w:t>Telebras</w:t>
      </w:r>
      <w:r>
        <w:rPr>
          <w:spacing w:val="-5"/>
        </w:rPr>
        <w:t xml:space="preserve"> </w:t>
      </w:r>
      <w:r>
        <w:t>firmou</w:t>
      </w:r>
      <w:r>
        <w:rPr>
          <w:spacing w:val="-4"/>
        </w:rPr>
        <w:t xml:space="preserve"> </w:t>
      </w:r>
      <w:r>
        <w:t>um</w:t>
      </w:r>
      <w:r>
        <w:rPr>
          <w:spacing w:val="-4"/>
        </w:rPr>
        <w:t xml:space="preserve"> </w:t>
      </w:r>
      <w:r>
        <w:t>contrato</w:t>
      </w:r>
      <w:r>
        <w:rPr>
          <w:spacing w:val="-7"/>
        </w:rPr>
        <w:t xml:space="preserve"> </w:t>
      </w:r>
      <w:r>
        <w:t>com</w:t>
      </w:r>
      <w:r>
        <w:rPr>
          <w:spacing w:val="-4"/>
        </w:rPr>
        <w:t xml:space="preserve"> </w:t>
      </w:r>
      <w:r>
        <w:t>o</w:t>
      </w:r>
      <w:r>
        <w:rPr>
          <w:spacing w:val="-5"/>
        </w:rPr>
        <w:t xml:space="preserve"> </w:t>
      </w:r>
      <w:r>
        <w:t>Departamento</w:t>
      </w:r>
      <w:r>
        <w:rPr>
          <w:spacing w:val="-7"/>
        </w:rPr>
        <w:t xml:space="preserve"> </w:t>
      </w:r>
      <w:r>
        <w:t>Nacional</w:t>
      </w:r>
      <w:r>
        <w:rPr>
          <w:spacing w:val="-5"/>
        </w:rPr>
        <w:t xml:space="preserve"> </w:t>
      </w:r>
      <w:r>
        <w:t>de</w:t>
      </w:r>
      <w:r>
        <w:rPr>
          <w:spacing w:val="-5"/>
        </w:rPr>
        <w:t xml:space="preserve"> </w:t>
      </w:r>
      <w:r>
        <w:t>Infraestrutura de Transportes (DNIT) no valor de R$ 84 milhões para a prestação de serviços de conectividade e infraestrutura de nuvem privada dedicada, na modalidade de infraestrutura como serviço (IaaS).</w:t>
      </w:r>
    </w:p>
    <w:p w14:paraId="681D0B67" w14:textId="77777777" w:rsidR="002C6574" w:rsidRDefault="00000000">
      <w:pPr>
        <w:pStyle w:val="Corpodetexto"/>
        <w:spacing w:before="286"/>
        <w:ind w:left="143" w:right="703"/>
        <w:jc w:val="both"/>
      </w:pPr>
      <w:r>
        <w:t>O</w:t>
      </w:r>
      <w:r>
        <w:rPr>
          <w:spacing w:val="-6"/>
        </w:rPr>
        <w:t xml:space="preserve"> </w:t>
      </w:r>
      <w:r>
        <w:t>contrato</w:t>
      </w:r>
      <w:r>
        <w:rPr>
          <w:spacing w:val="-7"/>
        </w:rPr>
        <w:t xml:space="preserve"> </w:t>
      </w:r>
      <w:r>
        <w:t>foi</w:t>
      </w:r>
      <w:r>
        <w:rPr>
          <w:spacing w:val="-7"/>
        </w:rPr>
        <w:t xml:space="preserve"> </w:t>
      </w:r>
      <w:r>
        <w:t>realizado</w:t>
      </w:r>
      <w:r>
        <w:rPr>
          <w:spacing w:val="-7"/>
        </w:rPr>
        <w:t xml:space="preserve"> </w:t>
      </w:r>
      <w:r>
        <w:t>na</w:t>
      </w:r>
      <w:r>
        <w:rPr>
          <w:spacing w:val="-7"/>
        </w:rPr>
        <w:t xml:space="preserve"> </w:t>
      </w:r>
      <w:r>
        <w:t>modalidade</w:t>
      </w:r>
      <w:r>
        <w:rPr>
          <w:spacing w:val="-7"/>
        </w:rPr>
        <w:t xml:space="preserve"> </w:t>
      </w:r>
      <w:r>
        <w:t>de</w:t>
      </w:r>
      <w:r>
        <w:rPr>
          <w:spacing w:val="-7"/>
        </w:rPr>
        <w:t xml:space="preserve"> </w:t>
      </w:r>
      <w:r>
        <w:t>contração</w:t>
      </w:r>
      <w:r>
        <w:rPr>
          <w:spacing w:val="-7"/>
        </w:rPr>
        <w:t xml:space="preserve"> </w:t>
      </w:r>
      <w:r>
        <w:t>direta</w:t>
      </w:r>
      <w:r>
        <w:rPr>
          <w:spacing w:val="-11"/>
        </w:rPr>
        <w:t xml:space="preserve"> </w:t>
      </w:r>
      <w:r>
        <w:t>e</w:t>
      </w:r>
      <w:r>
        <w:rPr>
          <w:spacing w:val="-7"/>
        </w:rPr>
        <w:t xml:space="preserve"> </w:t>
      </w:r>
      <w:r>
        <w:t>foi</w:t>
      </w:r>
      <w:r>
        <w:rPr>
          <w:spacing w:val="-7"/>
        </w:rPr>
        <w:t xml:space="preserve"> </w:t>
      </w:r>
      <w:r>
        <w:t>formalizado</w:t>
      </w:r>
      <w:r>
        <w:rPr>
          <w:spacing w:val="-7"/>
        </w:rPr>
        <w:t xml:space="preserve"> </w:t>
      </w:r>
      <w:r>
        <w:t>com</w:t>
      </w:r>
      <w:r>
        <w:rPr>
          <w:spacing w:val="-7"/>
        </w:rPr>
        <w:t xml:space="preserve"> </w:t>
      </w:r>
      <w:r>
        <w:t>base</w:t>
      </w:r>
      <w:r>
        <w:rPr>
          <w:spacing w:val="-7"/>
        </w:rPr>
        <w:t xml:space="preserve"> </w:t>
      </w:r>
      <w:r>
        <w:t>no</w:t>
      </w:r>
      <w:r>
        <w:rPr>
          <w:spacing w:val="-8"/>
        </w:rPr>
        <w:t xml:space="preserve"> </w:t>
      </w:r>
      <w:r>
        <w:t>Decreto</w:t>
      </w:r>
      <w:r>
        <w:rPr>
          <w:spacing w:val="-7"/>
        </w:rPr>
        <w:t xml:space="preserve"> </w:t>
      </w:r>
      <w:r>
        <w:t>nº 12.124/2024, que prevê preferência à estatal em contratações públicas federais na área de comunicação multimídia.</w:t>
      </w:r>
    </w:p>
    <w:p w14:paraId="3D4B51C6" w14:textId="77777777" w:rsidR="002C6574" w:rsidRDefault="00000000">
      <w:pPr>
        <w:pStyle w:val="Corpodetexto"/>
        <w:spacing w:before="154"/>
        <w:ind w:left="143" w:right="703"/>
        <w:jc w:val="both"/>
      </w:pPr>
      <w:r>
        <w:t>A vigência do acordo será de 60 meses, com possibilidade de prorrogação por períodos de até 24 meses, renováveis até o limite de 120 meses (10 anos) conforme estabelecido no artigo nº</w:t>
      </w:r>
      <w:r>
        <w:rPr>
          <w:spacing w:val="23"/>
        </w:rPr>
        <w:t xml:space="preserve"> </w:t>
      </w:r>
      <w:r>
        <w:t>107 da</w:t>
      </w:r>
      <w:r>
        <w:rPr>
          <w:spacing w:val="40"/>
        </w:rPr>
        <w:t xml:space="preserve"> </w:t>
      </w:r>
      <w:r>
        <w:t>Lei 14.133/2021.</w:t>
      </w:r>
    </w:p>
    <w:p w14:paraId="0D8CED3A" w14:textId="77777777" w:rsidR="002C6574" w:rsidRDefault="00000000">
      <w:pPr>
        <w:numPr>
          <w:ilvl w:val="0"/>
          <w:numId w:val="54"/>
        </w:numPr>
        <w:tabs>
          <w:tab w:val="left" w:pos="995"/>
        </w:tabs>
        <w:spacing w:before="188" w:line="276" w:lineRule="auto"/>
        <w:ind w:left="995" w:right="702" w:hanging="852"/>
        <w:rPr>
          <w:rFonts w:ascii="Arial" w:hAnsi="Arial"/>
          <w:b/>
        </w:rPr>
      </w:pPr>
      <w:r>
        <w:rPr>
          <w:rFonts w:ascii="Arial" w:hAnsi="Arial"/>
          <w:b/>
        </w:rPr>
        <w:t>BASE</w:t>
      </w:r>
      <w:r>
        <w:rPr>
          <w:rFonts w:ascii="Arial" w:hAnsi="Arial"/>
          <w:b/>
          <w:spacing w:val="40"/>
        </w:rPr>
        <w:t xml:space="preserve"> </w:t>
      </w:r>
      <w:r>
        <w:rPr>
          <w:rFonts w:ascii="Arial" w:hAnsi="Arial"/>
          <w:b/>
        </w:rPr>
        <w:t>DE</w:t>
      </w:r>
      <w:r>
        <w:rPr>
          <w:rFonts w:ascii="Arial" w:hAnsi="Arial"/>
          <w:b/>
          <w:spacing w:val="40"/>
        </w:rPr>
        <w:t xml:space="preserve"> </w:t>
      </w:r>
      <w:r>
        <w:rPr>
          <w:rFonts w:ascii="Arial" w:hAnsi="Arial"/>
          <w:b/>
        </w:rPr>
        <w:t>PREPARAÇÃO</w:t>
      </w:r>
      <w:r>
        <w:rPr>
          <w:rFonts w:ascii="Arial" w:hAnsi="Arial"/>
          <w:b/>
          <w:spacing w:val="40"/>
        </w:rPr>
        <w:t xml:space="preserve"> </w:t>
      </w:r>
      <w:r>
        <w:rPr>
          <w:rFonts w:ascii="Arial" w:hAnsi="Arial"/>
          <w:b/>
        </w:rPr>
        <w:t>DAS</w:t>
      </w:r>
      <w:r>
        <w:rPr>
          <w:rFonts w:ascii="Arial" w:hAnsi="Arial"/>
          <w:b/>
          <w:spacing w:val="40"/>
        </w:rPr>
        <w:t xml:space="preserve"> </w:t>
      </w:r>
      <w:r>
        <w:rPr>
          <w:rFonts w:ascii="Arial" w:hAnsi="Arial"/>
          <w:b/>
        </w:rPr>
        <w:t>DEMONSTRAÇÕES</w:t>
      </w:r>
      <w:r>
        <w:rPr>
          <w:rFonts w:ascii="Arial" w:hAnsi="Arial"/>
          <w:b/>
          <w:spacing w:val="40"/>
        </w:rPr>
        <w:t xml:space="preserve"> </w:t>
      </w:r>
      <w:r>
        <w:rPr>
          <w:rFonts w:ascii="Arial" w:hAnsi="Arial"/>
          <w:b/>
        </w:rPr>
        <w:t>CONTÁBEIS</w:t>
      </w:r>
      <w:r>
        <w:rPr>
          <w:rFonts w:ascii="Arial" w:hAnsi="Arial"/>
          <w:b/>
          <w:spacing w:val="40"/>
        </w:rPr>
        <w:t xml:space="preserve"> </w:t>
      </w:r>
      <w:r>
        <w:rPr>
          <w:rFonts w:ascii="Arial" w:hAnsi="Arial"/>
          <w:b/>
        </w:rPr>
        <w:t>E</w:t>
      </w:r>
      <w:r>
        <w:rPr>
          <w:rFonts w:ascii="Arial" w:hAnsi="Arial"/>
          <w:b/>
          <w:spacing w:val="40"/>
        </w:rPr>
        <w:t xml:space="preserve"> </w:t>
      </w:r>
      <w:r>
        <w:rPr>
          <w:rFonts w:ascii="Arial" w:hAnsi="Arial"/>
          <w:b/>
        </w:rPr>
        <w:t>RESUMO</w:t>
      </w:r>
      <w:r>
        <w:rPr>
          <w:rFonts w:ascii="Arial" w:hAnsi="Arial"/>
          <w:b/>
          <w:spacing w:val="40"/>
        </w:rPr>
        <w:t xml:space="preserve"> </w:t>
      </w:r>
      <w:r>
        <w:rPr>
          <w:rFonts w:ascii="Arial" w:hAnsi="Arial"/>
          <w:b/>
        </w:rPr>
        <w:t>DAS</w:t>
      </w:r>
      <w:r>
        <w:rPr>
          <w:rFonts w:ascii="Arial" w:hAnsi="Arial"/>
          <w:b/>
          <w:spacing w:val="40"/>
        </w:rPr>
        <w:t xml:space="preserve"> </w:t>
      </w:r>
      <w:r>
        <w:rPr>
          <w:rFonts w:ascii="Arial" w:hAnsi="Arial"/>
          <w:b/>
        </w:rPr>
        <w:t>PRINCIPAIS POLÍTICAS CONTÁBEIS</w:t>
      </w:r>
    </w:p>
    <w:p w14:paraId="72758ACE" w14:textId="77777777" w:rsidR="002C6574" w:rsidRDefault="002C6574">
      <w:pPr>
        <w:pStyle w:val="Corpodetexto"/>
        <w:spacing w:before="34"/>
        <w:rPr>
          <w:rFonts w:ascii="Arial"/>
          <w:b/>
        </w:rPr>
      </w:pPr>
    </w:p>
    <w:p w14:paraId="225AFEA5" w14:textId="77777777" w:rsidR="002C6574" w:rsidRDefault="00000000">
      <w:pPr>
        <w:pStyle w:val="Corpodetexto"/>
        <w:spacing w:line="237" w:lineRule="auto"/>
        <w:ind w:left="143" w:right="702"/>
        <w:jc w:val="both"/>
      </w:pPr>
      <w:r>
        <w:t>As políticas contábeis descritas em detalhes abaixo têm sido aplicadas de maneira consistente pela Companhia</w:t>
      </w:r>
      <w:r>
        <w:rPr>
          <w:spacing w:val="40"/>
        </w:rPr>
        <w:t xml:space="preserve"> </w:t>
      </w:r>
      <w:r>
        <w:t>a</w:t>
      </w:r>
      <w:r>
        <w:rPr>
          <w:spacing w:val="40"/>
        </w:rPr>
        <w:t xml:space="preserve"> </w:t>
      </w:r>
      <w:r>
        <w:t>todos</w:t>
      </w:r>
      <w:r>
        <w:rPr>
          <w:spacing w:val="40"/>
        </w:rPr>
        <w:t xml:space="preserve"> </w:t>
      </w:r>
      <w:r>
        <w:t>os</w:t>
      </w:r>
      <w:r>
        <w:rPr>
          <w:spacing w:val="40"/>
        </w:rPr>
        <w:t xml:space="preserve"> </w:t>
      </w:r>
      <w:r>
        <w:t>exercícios</w:t>
      </w:r>
      <w:r>
        <w:rPr>
          <w:spacing w:val="40"/>
        </w:rPr>
        <w:t xml:space="preserve"> </w:t>
      </w:r>
      <w:r>
        <w:t>apresentados</w:t>
      </w:r>
      <w:r>
        <w:rPr>
          <w:spacing w:val="40"/>
        </w:rPr>
        <w:t xml:space="preserve"> </w:t>
      </w:r>
      <w:r>
        <w:t>nessas</w:t>
      </w:r>
      <w:r>
        <w:rPr>
          <w:spacing w:val="40"/>
        </w:rPr>
        <w:t xml:space="preserve"> </w:t>
      </w:r>
      <w:r>
        <w:t>Demonstrações</w:t>
      </w:r>
      <w:r>
        <w:rPr>
          <w:spacing w:val="40"/>
        </w:rPr>
        <w:t xml:space="preserve"> </w:t>
      </w:r>
      <w:r>
        <w:t>Contábeis.</w:t>
      </w:r>
    </w:p>
    <w:p w14:paraId="17E7B285" w14:textId="77777777" w:rsidR="002C6574" w:rsidRDefault="002C6574">
      <w:pPr>
        <w:pStyle w:val="Corpodetexto"/>
        <w:spacing w:before="30"/>
      </w:pPr>
    </w:p>
    <w:p w14:paraId="2EB86319" w14:textId="77777777" w:rsidR="002C6574" w:rsidRDefault="00000000">
      <w:pPr>
        <w:numPr>
          <w:ilvl w:val="1"/>
          <w:numId w:val="54"/>
        </w:numPr>
        <w:tabs>
          <w:tab w:val="left" w:pos="996"/>
        </w:tabs>
        <w:ind w:left="996" w:hanging="853"/>
        <w:rPr>
          <w:rFonts w:ascii="Arial" w:hAnsi="Arial"/>
          <w:b/>
        </w:rPr>
      </w:pPr>
      <w:r>
        <w:rPr>
          <w:rFonts w:ascii="Arial" w:hAnsi="Arial"/>
          <w:b/>
        </w:rPr>
        <w:t>Base</w:t>
      </w:r>
      <w:r>
        <w:rPr>
          <w:rFonts w:ascii="Arial" w:hAnsi="Arial"/>
          <w:b/>
          <w:spacing w:val="-2"/>
        </w:rPr>
        <w:t xml:space="preserve"> </w:t>
      </w:r>
      <w:r>
        <w:rPr>
          <w:rFonts w:ascii="Arial" w:hAnsi="Arial"/>
          <w:b/>
        </w:rPr>
        <w:t>de</w:t>
      </w:r>
      <w:r>
        <w:rPr>
          <w:rFonts w:ascii="Arial" w:hAnsi="Arial"/>
          <w:b/>
          <w:spacing w:val="-2"/>
        </w:rPr>
        <w:t xml:space="preserve"> preparação</w:t>
      </w:r>
    </w:p>
    <w:p w14:paraId="72BE7432" w14:textId="77777777" w:rsidR="002C6574" w:rsidRDefault="002C6574">
      <w:pPr>
        <w:pStyle w:val="Corpodetexto"/>
        <w:spacing w:before="70"/>
        <w:rPr>
          <w:rFonts w:ascii="Arial"/>
          <w:b/>
        </w:rPr>
      </w:pPr>
    </w:p>
    <w:p w14:paraId="0F7C9243" w14:textId="77777777" w:rsidR="002C6574" w:rsidRDefault="00000000">
      <w:pPr>
        <w:pStyle w:val="Corpodetexto"/>
        <w:spacing w:before="1"/>
        <w:ind w:left="143" w:right="703"/>
        <w:jc w:val="both"/>
      </w:pPr>
      <w:r>
        <w:t>As Demonstrações Contábeis foram elaboradas com base no custo histórico, exceto por determinados instrumentos financeiros mensurados pelos seus valores justos, conforme descrito</w:t>
      </w:r>
      <w:r>
        <w:rPr>
          <w:spacing w:val="-2"/>
        </w:rPr>
        <w:t xml:space="preserve"> </w:t>
      </w:r>
      <w:r>
        <w:t>nas políticas contábeis no item (2.2) a seguir.</w:t>
      </w:r>
    </w:p>
    <w:p w14:paraId="3903BDA0" w14:textId="77777777" w:rsidR="002C6574" w:rsidRDefault="00000000">
      <w:pPr>
        <w:pStyle w:val="Corpodetexto"/>
        <w:spacing w:before="286"/>
        <w:ind w:left="143" w:right="702"/>
        <w:jc w:val="both"/>
      </w:pPr>
      <w:r>
        <w:t>A preparação das Demonstrações Contábeis requer o uso de certas estimativas contábeis e o exercício de julgamento por parte da Administração da Companhia no processo de aplicação das políticas contábeis. Aquelas áreas que requerem maior nível de julgamento e possuem maior complexidade.</w:t>
      </w:r>
      <w:r>
        <w:rPr>
          <w:spacing w:val="35"/>
        </w:rPr>
        <w:t xml:space="preserve"> </w:t>
      </w:r>
      <w:r>
        <w:t>As premissas e estimativas mais significativas</w:t>
      </w:r>
      <w:r>
        <w:rPr>
          <w:spacing w:val="35"/>
        </w:rPr>
        <w:t xml:space="preserve"> </w:t>
      </w:r>
      <w:r>
        <w:t>estão divulgadas no item (2.3).</w:t>
      </w:r>
    </w:p>
    <w:p w14:paraId="5F8E802F" w14:textId="77777777" w:rsidR="002C6574" w:rsidRDefault="00000000">
      <w:pPr>
        <w:pStyle w:val="Corpodetexto"/>
        <w:spacing w:before="284"/>
        <w:ind w:left="143" w:right="704"/>
        <w:jc w:val="both"/>
      </w:pPr>
      <w:r>
        <w:t>Não houve mudanças relevantes nas práticas contábeis adotadas no exercício findo em 31 de dezembro de 2025 em relação às aplicáveis em 31 de dezembro de 2024.</w:t>
      </w:r>
    </w:p>
    <w:p w14:paraId="78D87BD7" w14:textId="77777777" w:rsidR="002C6574" w:rsidRDefault="002C6574">
      <w:pPr>
        <w:pStyle w:val="Corpodetexto"/>
        <w:jc w:val="both"/>
        <w:sectPr w:rsidR="002C6574">
          <w:pgSz w:w="11910" w:h="16840"/>
          <w:pgMar w:top="1600" w:right="141" w:bottom="1520" w:left="1133" w:header="856" w:footer="1267" w:gutter="0"/>
          <w:cols w:space="720"/>
        </w:sectPr>
      </w:pPr>
    </w:p>
    <w:p w14:paraId="2413CF1C" w14:textId="77777777" w:rsidR="002C6574" w:rsidRDefault="00000000">
      <w:pPr>
        <w:pStyle w:val="Ttulo8"/>
        <w:spacing w:before="229"/>
        <w:ind w:left="143"/>
        <w:jc w:val="both"/>
        <w:rPr>
          <w:rFonts w:ascii="Arial" w:hAnsi="Arial"/>
        </w:rPr>
      </w:pPr>
      <w:r>
        <w:rPr>
          <w:rFonts w:ascii="Arial" w:hAnsi="Arial"/>
        </w:rPr>
        <w:lastRenderedPageBreak/>
        <w:t>Demonstrações</w:t>
      </w:r>
      <w:r>
        <w:rPr>
          <w:rFonts w:ascii="Arial" w:hAnsi="Arial"/>
          <w:spacing w:val="1"/>
        </w:rPr>
        <w:t xml:space="preserve"> </w:t>
      </w:r>
      <w:r>
        <w:rPr>
          <w:rFonts w:ascii="Arial" w:hAnsi="Arial"/>
          <w:spacing w:val="-2"/>
        </w:rPr>
        <w:t>Contábeis</w:t>
      </w:r>
    </w:p>
    <w:p w14:paraId="26FD1D25" w14:textId="77777777" w:rsidR="002C6574" w:rsidRDefault="002C6574">
      <w:pPr>
        <w:pStyle w:val="Corpodetexto"/>
        <w:spacing w:before="29"/>
        <w:rPr>
          <w:rFonts w:ascii="Arial"/>
          <w:b/>
          <w:sz w:val="24"/>
        </w:rPr>
      </w:pPr>
    </w:p>
    <w:p w14:paraId="5753E237" w14:textId="77777777" w:rsidR="002C6574" w:rsidRDefault="00000000">
      <w:pPr>
        <w:pStyle w:val="Corpodetexto"/>
        <w:spacing w:line="237" w:lineRule="auto"/>
        <w:ind w:left="143" w:right="704"/>
        <w:jc w:val="both"/>
      </w:pPr>
      <w:r>
        <w:t>As Demonstrações Contábeis foram elaboradas e estão apresentadas de acordo com as práticas contábeis adotadas no Brasil com base nas disposições contidas na Lei das Sociedades por Ações, pronunciamentos, orientações e interpretações emitidos pelo CPC e aprovados pela CVM.</w:t>
      </w:r>
    </w:p>
    <w:p w14:paraId="481A46A6" w14:textId="77777777" w:rsidR="002C6574" w:rsidRDefault="002C6574">
      <w:pPr>
        <w:pStyle w:val="Corpodetexto"/>
        <w:spacing w:before="2"/>
      </w:pPr>
    </w:p>
    <w:p w14:paraId="33153302" w14:textId="77777777" w:rsidR="002C6574" w:rsidRDefault="00000000">
      <w:pPr>
        <w:pStyle w:val="Corpodetexto"/>
        <w:spacing w:line="237" w:lineRule="auto"/>
        <w:ind w:left="143" w:right="704"/>
        <w:jc w:val="both"/>
      </w:pPr>
      <w:r>
        <w:t>A administração da Companhia confirma que todas as informações relevantes próprias das Demonstrações Contábeis, e somente elas, estão sendo evidenciadas, e correspondem às utilizadas por ela na sua gestão.</w:t>
      </w:r>
    </w:p>
    <w:p w14:paraId="4F52B25C" w14:textId="77777777" w:rsidR="002C6574" w:rsidRDefault="00000000">
      <w:pPr>
        <w:pStyle w:val="Corpodetexto"/>
        <w:spacing w:before="242" w:line="237" w:lineRule="auto"/>
        <w:ind w:left="143" w:right="706"/>
        <w:jc w:val="both"/>
      </w:pPr>
      <w:r>
        <w:t>A autorização para a emissão dessas Demonstrações Contábeis ocorreu na Reunião da Diretoria realizada em 25 de fevereiro de 2026.</w:t>
      </w:r>
    </w:p>
    <w:p w14:paraId="32915D12" w14:textId="77777777" w:rsidR="002C6574" w:rsidRDefault="002C6574">
      <w:pPr>
        <w:pStyle w:val="Corpodetexto"/>
        <w:spacing w:before="30"/>
      </w:pPr>
    </w:p>
    <w:p w14:paraId="0DAC59BA" w14:textId="77777777" w:rsidR="002C6574" w:rsidRDefault="00000000">
      <w:pPr>
        <w:numPr>
          <w:ilvl w:val="1"/>
          <w:numId w:val="54"/>
        </w:numPr>
        <w:tabs>
          <w:tab w:val="left" w:pos="996"/>
        </w:tabs>
        <w:spacing w:before="1"/>
        <w:ind w:left="996" w:hanging="853"/>
        <w:rPr>
          <w:rFonts w:ascii="Arial" w:hAnsi="Arial"/>
          <w:b/>
        </w:rPr>
      </w:pPr>
      <w:r>
        <w:rPr>
          <w:rFonts w:ascii="Arial" w:hAnsi="Arial"/>
          <w:b/>
        </w:rPr>
        <w:t>Resumo</w:t>
      </w:r>
      <w:r>
        <w:rPr>
          <w:rFonts w:ascii="Arial" w:hAnsi="Arial"/>
          <w:b/>
          <w:spacing w:val="-4"/>
        </w:rPr>
        <w:t xml:space="preserve"> </w:t>
      </w:r>
      <w:r>
        <w:rPr>
          <w:rFonts w:ascii="Arial" w:hAnsi="Arial"/>
          <w:b/>
        </w:rPr>
        <w:t>das</w:t>
      </w:r>
      <w:r>
        <w:rPr>
          <w:rFonts w:ascii="Arial" w:hAnsi="Arial"/>
          <w:b/>
          <w:spacing w:val="-3"/>
        </w:rPr>
        <w:t xml:space="preserve"> </w:t>
      </w:r>
      <w:r>
        <w:rPr>
          <w:rFonts w:ascii="Arial" w:hAnsi="Arial"/>
          <w:b/>
        </w:rPr>
        <w:t>principais</w:t>
      </w:r>
      <w:r>
        <w:rPr>
          <w:rFonts w:ascii="Arial" w:hAnsi="Arial"/>
          <w:b/>
          <w:spacing w:val="-6"/>
        </w:rPr>
        <w:t xml:space="preserve"> </w:t>
      </w:r>
      <w:r>
        <w:rPr>
          <w:rFonts w:ascii="Arial" w:hAnsi="Arial"/>
          <w:b/>
        </w:rPr>
        <w:t>políticas</w:t>
      </w:r>
      <w:r>
        <w:rPr>
          <w:rFonts w:ascii="Arial" w:hAnsi="Arial"/>
          <w:b/>
          <w:spacing w:val="-3"/>
        </w:rPr>
        <w:t xml:space="preserve"> </w:t>
      </w:r>
      <w:r>
        <w:rPr>
          <w:rFonts w:ascii="Arial" w:hAnsi="Arial"/>
          <w:b/>
          <w:spacing w:val="-2"/>
        </w:rPr>
        <w:t>contábeis</w:t>
      </w:r>
    </w:p>
    <w:p w14:paraId="27FAF469" w14:textId="77777777" w:rsidR="002C6574" w:rsidRDefault="002C6574">
      <w:pPr>
        <w:pStyle w:val="Corpodetexto"/>
        <w:spacing w:before="101"/>
        <w:rPr>
          <w:rFonts w:ascii="Arial"/>
          <w:b/>
        </w:rPr>
      </w:pPr>
    </w:p>
    <w:p w14:paraId="617F30B1" w14:textId="77777777" w:rsidR="002C6574" w:rsidRDefault="00000000">
      <w:pPr>
        <w:pStyle w:val="PargrafodaLista"/>
        <w:numPr>
          <w:ilvl w:val="2"/>
          <w:numId w:val="54"/>
        </w:numPr>
        <w:tabs>
          <w:tab w:val="left" w:pos="995"/>
        </w:tabs>
        <w:rPr>
          <w:rFonts w:ascii="Arial" w:hAnsi="Arial"/>
          <w:b/>
        </w:rPr>
      </w:pPr>
      <w:r>
        <w:rPr>
          <w:rFonts w:ascii="Arial" w:hAnsi="Arial"/>
          <w:b/>
        </w:rPr>
        <w:t>Moeda</w:t>
      </w:r>
      <w:r>
        <w:rPr>
          <w:rFonts w:ascii="Arial" w:hAnsi="Arial"/>
          <w:b/>
          <w:spacing w:val="-5"/>
        </w:rPr>
        <w:t xml:space="preserve"> </w:t>
      </w:r>
      <w:r>
        <w:rPr>
          <w:rFonts w:ascii="Arial" w:hAnsi="Arial"/>
          <w:b/>
        </w:rPr>
        <w:t>funcional</w:t>
      </w:r>
      <w:r>
        <w:rPr>
          <w:rFonts w:ascii="Arial" w:hAnsi="Arial"/>
          <w:b/>
          <w:spacing w:val="1"/>
        </w:rPr>
        <w:t xml:space="preserve"> </w:t>
      </w:r>
      <w:r>
        <w:rPr>
          <w:rFonts w:ascii="Arial" w:hAnsi="Arial"/>
          <w:b/>
        </w:rPr>
        <w:t>e</w:t>
      </w:r>
      <w:r>
        <w:rPr>
          <w:rFonts w:ascii="Arial" w:hAnsi="Arial"/>
          <w:b/>
          <w:spacing w:val="-4"/>
        </w:rPr>
        <w:t xml:space="preserve"> </w:t>
      </w:r>
      <w:r>
        <w:rPr>
          <w:rFonts w:ascii="Arial" w:hAnsi="Arial"/>
          <w:b/>
        </w:rPr>
        <w:t xml:space="preserve">de </w:t>
      </w:r>
      <w:r>
        <w:rPr>
          <w:rFonts w:ascii="Arial" w:hAnsi="Arial"/>
          <w:b/>
          <w:spacing w:val="-2"/>
        </w:rPr>
        <w:t>apresentação</w:t>
      </w:r>
    </w:p>
    <w:p w14:paraId="677BDA41" w14:textId="77777777" w:rsidR="002C6574" w:rsidRDefault="002C6574">
      <w:pPr>
        <w:pStyle w:val="Corpodetexto"/>
        <w:spacing w:before="48"/>
        <w:rPr>
          <w:rFonts w:ascii="Arial"/>
          <w:b/>
        </w:rPr>
      </w:pPr>
    </w:p>
    <w:p w14:paraId="1570D54B" w14:textId="77777777" w:rsidR="002C6574" w:rsidRDefault="00000000">
      <w:pPr>
        <w:pStyle w:val="Corpodetexto"/>
        <w:spacing w:line="237" w:lineRule="auto"/>
        <w:ind w:left="143" w:right="703"/>
        <w:jc w:val="both"/>
      </w:pPr>
      <w:r>
        <w:t>A moeda de apresentação das Demonstrações Contábeis é o Real (R$), que também é a moeda funcional da Companhia.</w:t>
      </w:r>
    </w:p>
    <w:p w14:paraId="24B36462" w14:textId="77777777" w:rsidR="002C6574" w:rsidRDefault="00000000">
      <w:pPr>
        <w:pStyle w:val="Corpodetexto"/>
        <w:spacing w:before="292" w:line="237" w:lineRule="auto"/>
        <w:ind w:left="143" w:right="703"/>
        <w:jc w:val="both"/>
      </w:pPr>
      <w:r>
        <w:rPr>
          <w:w w:val="105"/>
        </w:rPr>
        <w:t>Transações em moeda estrangeira são reconhecidas pela taxa de câmbio na data da transação. Exceto</w:t>
      </w:r>
      <w:r>
        <w:rPr>
          <w:spacing w:val="-14"/>
          <w:w w:val="105"/>
        </w:rPr>
        <w:t xml:space="preserve"> </w:t>
      </w:r>
      <w:r>
        <w:rPr>
          <w:w w:val="105"/>
        </w:rPr>
        <w:t>para</w:t>
      </w:r>
      <w:r>
        <w:rPr>
          <w:spacing w:val="-16"/>
          <w:w w:val="105"/>
        </w:rPr>
        <w:t xml:space="preserve"> </w:t>
      </w:r>
      <w:r>
        <w:rPr>
          <w:w w:val="105"/>
        </w:rPr>
        <w:t>ativos</w:t>
      </w:r>
      <w:r>
        <w:rPr>
          <w:spacing w:val="-15"/>
          <w:w w:val="105"/>
        </w:rPr>
        <w:t xml:space="preserve"> </w:t>
      </w:r>
      <w:r>
        <w:rPr>
          <w:w w:val="105"/>
        </w:rPr>
        <w:t>e</w:t>
      </w:r>
      <w:r>
        <w:rPr>
          <w:spacing w:val="-16"/>
          <w:w w:val="105"/>
        </w:rPr>
        <w:t xml:space="preserve"> </w:t>
      </w:r>
      <w:r>
        <w:rPr>
          <w:w w:val="105"/>
        </w:rPr>
        <w:t>passivos</w:t>
      </w:r>
      <w:r>
        <w:rPr>
          <w:spacing w:val="-14"/>
          <w:w w:val="105"/>
        </w:rPr>
        <w:t xml:space="preserve"> </w:t>
      </w:r>
      <w:r>
        <w:rPr>
          <w:w w:val="105"/>
        </w:rPr>
        <w:t>registrados</w:t>
      </w:r>
      <w:r>
        <w:rPr>
          <w:spacing w:val="-14"/>
          <w:w w:val="105"/>
        </w:rPr>
        <w:t xml:space="preserve"> </w:t>
      </w:r>
      <w:r>
        <w:rPr>
          <w:w w:val="105"/>
        </w:rPr>
        <w:t>pelo</w:t>
      </w:r>
      <w:r>
        <w:rPr>
          <w:spacing w:val="-16"/>
          <w:w w:val="105"/>
        </w:rPr>
        <w:t xml:space="preserve"> </w:t>
      </w:r>
      <w:r>
        <w:rPr>
          <w:w w:val="105"/>
        </w:rPr>
        <w:t>valor</w:t>
      </w:r>
      <w:r>
        <w:rPr>
          <w:spacing w:val="-13"/>
          <w:w w:val="105"/>
        </w:rPr>
        <w:t xml:space="preserve"> </w:t>
      </w:r>
      <w:r>
        <w:rPr>
          <w:w w:val="105"/>
        </w:rPr>
        <w:t>justo,</w:t>
      </w:r>
      <w:r>
        <w:rPr>
          <w:spacing w:val="-14"/>
          <w:w w:val="105"/>
        </w:rPr>
        <w:t xml:space="preserve"> </w:t>
      </w:r>
      <w:r>
        <w:rPr>
          <w:w w:val="105"/>
        </w:rPr>
        <w:t>itens</w:t>
      </w:r>
      <w:r>
        <w:rPr>
          <w:spacing w:val="-16"/>
          <w:w w:val="105"/>
        </w:rPr>
        <w:t xml:space="preserve"> </w:t>
      </w:r>
      <w:r>
        <w:rPr>
          <w:w w:val="105"/>
        </w:rPr>
        <w:t>monetários</w:t>
      </w:r>
      <w:r>
        <w:rPr>
          <w:spacing w:val="-14"/>
          <w:w w:val="105"/>
        </w:rPr>
        <w:t xml:space="preserve"> </w:t>
      </w:r>
      <w:r>
        <w:rPr>
          <w:w w:val="105"/>
        </w:rPr>
        <w:t>em</w:t>
      </w:r>
      <w:r>
        <w:rPr>
          <w:spacing w:val="-14"/>
          <w:w w:val="105"/>
        </w:rPr>
        <w:t xml:space="preserve"> </w:t>
      </w:r>
      <w:r>
        <w:rPr>
          <w:w w:val="105"/>
        </w:rPr>
        <w:t>moeda</w:t>
      </w:r>
      <w:r>
        <w:rPr>
          <w:spacing w:val="-16"/>
          <w:w w:val="105"/>
        </w:rPr>
        <w:t xml:space="preserve"> </w:t>
      </w:r>
      <w:r>
        <w:rPr>
          <w:w w:val="105"/>
        </w:rPr>
        <w:t xml:space="preserve">estrangeira </w:t>
      </w:r>
      <w:r>
        <w:t>são</w:t>
      </w:r>
      <w:r>
        <w:rPr>
          <w:spacing w:val="-1"/>
        </w:rPr>
        <w:t xml:space="preserve"> </w:t>
      </w:r>
      <w:r>
        <w:t>convertidos</w:t>
      </w:r>
      <w:r>
        <w:rPr>
          <w:spacing w:val="-1"/>
        </w:rPr>
        <w:t xml:space="preserve"> </w:t>
      </w:r>
      <w:r>
        <w:t>para</w:t>
      </w:r>
      <w:r>
        <w:rPr>
          <w:spacing w:val="-5"/>
        </w:rPr>
        <w:t xml:space="preserve"> </w:t>
      </w:r>
      <w:r>
        <w:t>reais</w:t>
      </w:r>
      <w:r>
        <w:rPr>
          <w:spacing w:val="-1"/>
        </w:rPr>
        <w:t xml:space="preserve"> </w:t>
      </w:r>
      <w:r>
        <w:t>pela</w:t>
      </w:r>
      <w:r>
        <w:rPr>
          <w:spacing w:val="-2"/>
        </w:rPr>
        <w:t xml:space="preserve"> </w:t>
      </w:r>
      <w:r>
        <w:t>taxa</w:t>
      </w:r>
      <w:r>
        <w:rPr>
          <w:spacing w:val="-1"/>
        </w:rPr>
        <w:t xml:space="preserve"> </w:t>
      </w:r>
      <w:r>
        <w:t>de</w:t>
      </w:r>
      <w:r>
        <w:rPr>
          <w:spacing w:val="-2"/>
        </w:rPr>
        <w:t xml:space="preserve"> </w:t>
      </w:r>
      <w:r>
        <w:t>câmbio</w:t>
      </w:r>
      <w:r>
        <w:rPr>
          <w:spacing w:val="-2"/>
        </w:rPr>
        <w:t xml:space="preserve"> </w:t>
      </w:r>
      <w:r>
        <w:t>na</w:t>
      </w:r>
      <w:r>
        <w:rPr>
          <w:spacing w:val="-2"/>
        </w:rPr>
        <w:t xml:space="preserve"> </w:t>
      </w:r>
      <w:r>
        <w:t>data</w:t>
      </w:r>
      <w:r>
        <w:rPr>
          <w:spacing w:val="-1"/>
        </w:rPr>
        <w:t xml:space="preserve"> </w:t>
      </w:r>
      <w:r>
        <w:t>do</w:t>
      </w:r>
      <w:r>
        <w:rPr>
          <w:spacing w:val="-2"/>
        </w:rPr>
        <w:t xml:space="preserve"> </w:t>
      </w:r>
      <w:r>
        <w:t>balanço,</w:t>
      </w:r>
      <w:r>
        <w:rPr>
          <w:spacing w:val="-2"/>
        </w:rPr>
        <w:t xml:space="preserve"> </w:t>
      </w:r>
      <w:r>
        <w:t>informada</w:t>
      </w:r>
      <w:r>
        <w:rPr>
          <w:spacing w:val="-1"/>
        </w:rPr>
        <w:t xml:space="preserve"> </w:t>
      </w:r>
      <w:r>
        <w:t>pelo</w:t>
      </w:r>
      <w:r>
        <w:rPr>
          <w:spacing w:val="-2"/>
        </w:rPr>
        <w:t xml:space="preserve"> </w:t>
      </w:r>
      <w:r>
        <w:t>Banco</w:t>
      </w:r>
      <w:r>
        <w:rPr>
          <w:spacing w:val="-1"/>
        </w:rPr>
        <w:t xml:space="preserve"> </w:t>
      </w:r>
      <w:r>
        <w:t>Central</w:t>
      </w:r>
      <w:r>
        <w:rPr>
          <w:spacing w:val="-3"/>
        </w:rPr>
        <w:t xml:space="preserve"> </w:t>
      </w:r>
      <w:r>
        <w:t xml:space="preserve">do </w:t>
      </w:r>
      <w:r>
        <w:rPr>
          <w:w w:val="105"/>
        </w:rPr>
        <w:t>Brasil.</w:t>
      </w:r>
      <w:r>
        <w:rPr>
          <w:spacing w:val="-16"/>
          <w:w w:val="105"/>
        </w:rPr>
        <w:t xml:space="preserve"> </w:t>
      </w:r>
      <w:r>
        <w:rPr>
          <w:w w:val="105"/>
        </w:rPr>
        <w:t>Os</w:t>
      </w:r>
      <w:r>
        <w:rPr>
          <w:spacing w:val="-16"/>
          <w:w w:val="105"/>
        </w:rPr>
        <w:t xml:space="preserve"> </w:t>
      </w:r>
      <w:r>
        <w:rPr>
          <w:w w:val="105"/>
        </w:rPr>
        <w:t>ganhos</w:t>
      </w:r>
      <w:r>
        <w:rPr>
          <w:spacing w:val="-16"/>
          <w:w w:val="105"/>
        </w:rPr>
        <w:t xml:space="preserve"> </w:t>
      </w:r>
      <w:r>
        <w:rPr>
          <w:w w:val="105"/>
        </w:rPr>
        <w:t>e</w:t>
      </w:r>
      <w:r>
        <w:rPr>
          <w:spacing w:val="-16"/>
          <w:w w:val="105"/>
        </w:rPr>
        <w:t xml:space="preserve"> </w:t>
      </w:r>
      <w:r>
        <w:rPr>
          <w:w w:val="105"/>
        </w:rPr>
        <w:t>as</w:t>
      </w:r>
      <w:r>
        <w:rPr>
          <w:spacing w:val="-16"/>
          <w:w w:val="105"/>
        </w:rPr>
        <w:t xml:space="preserve"> </w:t>
      </w:r>
      <w:r>
        <w:rPr>
          <w:w w:val="105"/>
        </w:rPr>
        <w:t>perdas</w:t>
      </w:r>
      <w:r>
        <w:rPr>
          <w:spacing w:val="-15"/>
          <w:w w:val="105"/>
        </w:rPr>
        <w:t xml:space="preserve"> </w:t>
      </w:r>
      <w:r>
        <w:rPr>
          <w:w w:val="105"/>
        </w:rPr>
        <w:t>cambiais</w:t>
      </w:r>
      <w:r>
        <w:rPr>
          <w:spacing w:val="-16"/>
          <w:w w:val="105"/>
        </w:rPr>
        <w:t xml:space="preserve"> </w:t>
      </w:r>
      <w:r>
        <w:rPr>
          <w:w w:val="105"/>
        </w:rPr>
        <w:t>atrelados</w:t>
      </w:r>
      <w:r>
        <w:rPr>
          <w:spacing w:val="-16"/>
          <w:w w:val="105"/>
        </w:rPr>
        <w:t xml:space="preserve"> </w:t>
      </w:r>
      <w:r>
        <w:rPr>
          <w:w w:val="105"/>
        </w:rPr>
        <w:t>a</w:t>
      </w:r>
      <w:r>
        <w:rPr>
          <w:spacing w:val="-16"/>
          <w:w w:val="105"/>
        </w:rPr>
        <w:t xml:space="preserve"> </w:t>
      </w:r>
      <w:r>
        <w:rPr>
          <w:w w:val="105"/>
        </w:rPr>
        <w:t>estes</w:t>
      </w:r>
      <w:r>
        <w:rPr>
          <w:spacing w:val="-16"/>
          <w:w w:val="105"/>
        </w:rPr>
        <w:t xml:space="preserve"> </w:t>
      </w:r>
      <w:r>
        <w:rPr>
          <w:w w:val="105"/>
        </w:rPr>
        <w:t>itens</w:t>
      </w:r>
      <w:r>
        <w:rPr>
          <w:spacing w:val="-16"/>
          <w:w w:val="105"/>
        </w:rPr>
        <w:t xml:space="preserve"> </w:t>
      </w:r>
      <w:r>
        <w:rPr>
          <w:w w:val="105"/>
        </w:rPr>
        <w:t>são</w:t>
      </w:r>
      <w:r>
        <w:rPr>
          <w:spacing w:val="-15"/>
          <w:w w:val="105"/>
        </w:rPr>
        <w:t xml:space="preserve"> </w:t>
      </w:r>
      <w:r>
        <w:rPr>
          <w:w w:val="105"/>
        </w:rPr>
        <w:t>registrados</w:t>
      </w:r>
      <w:r>
        <w:rPr>
          <w:spacing w:val="-16"/>
          <w:w w:val="105"/>
        </w:rPr>
        <w:t xml:space="preserve"> </w:t>
      </w:r>
      <w:r>
        <w:rPr>
          <w:w w:val="105"/>
        </w:rPr>
        <w:t>na</w:t>
      </w:r>
      <w:r>
        <w:rPr>
          <w:spacing w:val="-16"/>
          <w:w w:val="105"/>
        </w:rPr>
        <w:t xml:space="preserve"> </w:t>
      </w:r>
      <w:r>
        <w:rPr>
          <w:w w:val="105"/>
        </w:rPr>
        <w:t>demonstração</w:t>
      </w:r>
      <w:r>
        <w:rPr>
          <w:spacing w:val="-16"/>
          <w:w w:val="105"/>
        </w:rPr>
        <w:t xml:space="preserve"> </w:t>
      </w:r>
      <w:r>
        <w:rPr>
          <w:w w:val="105"/>
        </w:rPr>
        <w:t xml:space="preserve">do </w:t>
      </w:r>
      <w:r>
        <w:rPr>
          <w:spacing w:val="-2"/>
          <w:w w:val="105"/>
        </w:rPr>
        <w:t>resultado.</w:t>
      </w:r>
    </w:p>
    <w:p w14:paraId="111EB7AE" w14:textId="77777777" w:rsidR="002C6574" w:rsidRDefault="002C6574">
      <w:pPr>
        <w:pStyle w:val="Corpodetexto"/>
        <w:spacing w:before="61"/>
      </w:pPr>
    </w:p>
    <w:p w14:paraId="62794AE7" w14:textId="77777777" w:rsidR="002C6574" w:rsidRDefault="00000000">
      <w:pPr>
        <w:numPr>
          <w:ilvl w:val="2"/>
          <w:numId w:val="54"/>
        </w:numPr>
        <w:tabs>
          <w:tab w:val="left" w:pos="995"/>
        </w:tabs>
        <w:rPr>
          <w:rFonts w:ascii="Arial"/>
          <w:b/>
        </w:rPr>
      </w:pPr>
      <w:r>
        <w:rPr>
          <w:rFonts w:ascii="Arial"/>
          <w:b/>
        </w:rPr>
        <w:t>Caixa</w:t>
      </w:r>
      <w:r>
        <w:rPr>
          <w:rFonts w:ascii="Arial"/>
          <w:b/>
          <w:spacing w:val="-5"/>
        </w:rPr>
        <w:t xml:space="preserve"> </w:t>
      </w:r>
      <w:r>
        <w:rPr>
          <w:rFonts w:ascii="Arial"/>
          <w:b/>
        </w:rPr>
        <w:t>e</w:t>
      </w:r>
      <w:r>
        <w:rPr>
          <w:rFonts w:ascii="Arial"/>
          <w:b/>
          <w:spacing w:val="-2"/>
        </w:rPr>
        <w:t xml:space="preserve"> </w:t>
      </w:r>
      <w:r>
        <w:rPr>
          <w:rFonts w:ascii="Arial"/>
          <w:b/>
        </w:rPr>
        <w:t>equivalentes</w:t>
      </w:r>
      <w:r>
        <w:rPr>
          <w:rFonts w:ascii="Arial"/>
          <w:b/>
          <w:spacing w:val="-5"/>
        </w:rPr>
        <w:t xml:space="preserve"> </w:t>
      </w:r>
      <w:r>
        <w:rPr>
          <w:rFonts w:ascii="Arial"/>
          <w:b/>
        </w:rPr>
        <w:t>de</w:t>
      </w:r>
      <w:r>
        <w:rPr>
          <w:rFonts w:ascii="Arial"/>
          <w:b/>
          <w:spacing w:val="-4"/>
        </w:rPr>
        <w:t xml:space="preserve"> caixa</w:t>
      </w:r>
    </w:p>
    <w:p w14:paraId="623B5EB3" w14:textId="77777777" w:rsidR="002C6574" w:rsidRDefault="002C6574">
      <w:pPr>
        <w:pStyle w:val="Corpodetexto"/>
        <w:spacing w:before="73"/>
        <w:rPr>
          <w:rFonts w:ascii="Arial"/>
          <w:b/>
        </w:rPr>
      </w:pPr>
    </w:p>
    <w:p w14:paraId="1AACF09E" w14:textId="77777777" w:rsidR="002C6574" w:rsidRDefault="00000000">
      <w:pPr>
        <w:pStyle w:val="Corpodetexto"/>
        <w:spacing w:line="237" w:lineRule="auto"/>
        <w:ind w:left="143" w:right="703"/>
        <w:jc w:val="both"/>
      </w:pPr>
      <w:r>
        <w:t>Esta rubrica é representada pelos saldos de numerários em espécie no caixa e em fundo fixo, contas bancárias e aplicações financeiras de curtíssimo prazo, de alta liquidez (normalmente com vencimento inferior a três meses), prontamente conversíveis em um montante conhecido de caixa e sujeitos a um insignificante risco de mudança de valor, sendo demonstrados pelo valor justo nas datas de encerramento dos exercícios apresentados e não superam o valor de mercado</w:t>
      </w:r>
      <w:r>
        <w:rPr>
          <w:rFonts w:ascii="Arial" w:hAnsi="Arial"/>
          <w:b/>
        </w:rPr>
        <w:t xml:space="preserve">, </w:t>
      </w:r>
      <w:r>
        <w:t>cuja classificação é determinada conforme abaixo.</w:t>
      </w:r>
    </w:p>
    <w:p w14:paraId="77978CFA" w14:textId="77777777" w:rsidR="002C6574" w:rsidRDefault="002C6574">
      <w:pPr>
        <w:pStyle w:val="Corpodetexto"/>
        <w:spacing w:before="7"/>
      </w:pPr>
    </w:p>
    <w:p w14:paraId="0C0839C6" w14:textId="77777777" w:rsidR="002C6574" w:rsidRDefault="00000000">
      <w:pPr>
        <w:pStyle w:val="Corpodetexto"/>
        <w:spacing w:line="237" w:lineRule="auto"/>
        <w:ind w:left="143" w:right="703"/>
        <w:jc w:val="both"/>
      </w:pPr>
      <w:r>
        <w:rPr>
          <w:w w:val="105"/>
        </w:rPr>
        <w:t>As aplicações financeiras são realizadas no Banco do Brasil S.A e na Caixa Econômica Federal, conforme</w:t>
      </w:r>
      <w:r>
        <w:rPr>
          <w:spacing w:val="-7"/>
          <w:w w:val="105"/>
        </w:rPr>
        <w:t xml:space="preserve"> </w:t>
      </w:r>
      <w:r>
        <w:rPr>
          <w:w w:val="105"/>
        </w:rPr>
        <w:t>legislação</w:t>
      </w:r>
      <w:r>
        <w:rPr>
          <w:spacing w:val="-4"/>
          <w:w w:val="105"/>
        </w:rPr>
        <w:t xml:space="preserve"> </w:t>
      </w:r>
      <w:r>
        <w:rPr>
          <w:w w:val="105"/>
        </w:rPr>
        <w:t>específica</w:t>
      </w:r>
      <w:r>
        <w:rPr>
          <w:spacing w:val="-4"/>
          <w:w w:val="105"/>
        </w:rPr>
        <w:t xml:space="preserve"> </w:t>
      </w:r>
      <w:r>
        <w:rPr>
          <w:w w:val="105"/>
        </w:rPr>
        <w:t>para</w:t>
      </w:r>
      <w:r>
        <w:rPr>
          <w:spacing w:val="-7"/>
          <w:w w:val="105"/>
        </w:rPr>
        <w:t xml:space="preserve"> </w:t>
      </w:r>
      <w:r>
        <w:rPr>
          <w:w w:val="105"/>
        </w:rPr>
        <w:t>as</w:t>
      </w:r>
      <w:r>
        <w:rPr>
          <w:spacing w:val="-5"/>
          <w:w w:val="105"/>
        </w:rPr>
        <w:t xml:space="preserve"> </w:t>
      </w:r>
      <w:r>
        <w:rPr>
          <w:w w:val="105"/>
        </w:rPr>
        <w:t>Sociedades</w:t>
      </w:r>
      <w:r>
        <w:rPr>
          <w:spacing w:val="-4"/>
          <w:w w:val="105"/>
        </w:rPr>
        <w:t xml:space="preserve"> </w:t>
      </w:r>
      <w:r>
        <w:rPr>
          <w:w w:val="105"/>
        </w:rPr>
        <w:t>de</w:t>
      </w:r>
      <w:r>
        <w:rPr>
          <w:spacing w:val="-7"/>
          <w:w w:val="105"/>
        </w:rPr>
        <w:t xml:space="preserve"> </w:t>
      </w:r>
      <w:r>
        <w:rPr>
          <w:w w:val="105"/>
        </w:rPr>
        <w:t>Economia</w:t>
      </w:r>
      <w:r>
        <w:rPr>
          <w:spacing w:val="-7"/>
          <w:w w:val="105"/>
        </w:rPr>
        <w:t xml:space="preserve"> </w:t>
      </w:r>
      <w:r>
        <w:rPr>
          <w:w w:val="105"/>
        </w:rPr>
        <w:t>Mista</w:t>
      </w:r>
      <w:r>
        <w:rPr>
          <w:spacing w:val="-7"/>
          <w:w w:val="105"/>
        </w:rPr>
        <w:t xml:space="preserve"> </w:t>
      </w:r>
      <w:r>
        <w:rPr>
          <w:w w:val="105"/>
        </w:rPr>
        <w:t>da</w:t>
      </w:r>
      <w:r>
        <w:rPr>
          <w:spacing w:val="-4"/>
          <w:w w:val="105"/>
        </w:rPr>
        <w:t xml:space="preserve"> </w:t>
      </w:r>
      <w:r>
        <w:rPr>
          <w:w w:val="105"/>
        </w:rPr>
        <w:t>Administração</w:t>
      </w:r>
      <w:r>
        <w:rPr>
          <w:spacing w:val="-4"/>
          <w:w w:val="105"/>
        </w:rPr>
        <w:t xml:space="preserve"> </w:t>
      </w:r>
      <w:r>
        <w:rPr>
          <w:w w:val="105"/>
        </w:rPr>
        <w:t>Federal. (Nota Explicativa 4)</w:t>
      </w:r>
    </w:p>
    <w:p w14:paraId="329D2A96" w14:textId="77777777" w:rsidR="002C6574" w:rsidRDefault="002C6574">
      <w:pPr>
        <w:pStyle w:val="Corpodetexto"/>
        <w:spacing w:before="57"/>
      </w:pPr>
    </w:p>
    <w:p w14:paraId="5277852C" w14:textId="77777777" w:rsidR="002C6574" w:rsidRDefault="00000000">
      <w:pPr>
        <w:numPr>
          <w:ilvl w:val="2"/>
          <w:numId w:val="54"/>
        </w:numPr>
        <w:tabs>
          <w:tab w:val="left" w:pos="995"/>
        </w:tabs>
        <w:rPr>
          <w:rFonts w:ascii="Arial" w:hAnsi="Arial"/>
          <w:b/>
        </w:rPr>
      </w:pPr>
      <w:r>
        <w:rPr>
          <w:rFonts w:ascii="Arial" w:hAnsi="Arial"/>
          <w:b/>
        </w:rPr>
        <w:t>Aplicações</w:t>
      </w:r>
      <w:r>
        <w:rPr>
          <w:rFonts w:ascii="Arial" w:hAnsi="Arial"/>
          <w:b/>
          <w:spacing w:val="-5"/>
        </w:rPr>
        <w:t xml:space="preserve"> </w:t>
      </w:r>
      <w:r>
        <w:rPr>
          <w:rFonts w:ascii="Arial" w:hAnsi="Arial"/>
          <w:b/>
          <w:spacing w:val="-2"/>
        </w:rPr>
        <w:t>financeiras</w:t>
      </w:r>
    </w:p>
    <w:p w14:paraId="4E3CCA2A" w14:textId="77777777" w:rsidR="002C6574" w:rsidRDefault="002C6574">
      <w:pPr>
        <w:pStyle w:val="Corpodetexto"/>
        <w:spacing w:before="73"/>
        <w:rPr>
          <w:rFonts w:ascii="Arial"/>
          <w:b/>
        </w:rPr>
      </w:pPr>
    </w:p>
    <w:p w14:paraId="0D249DA7" w14:textId="77777777" w:rsidR="002C6574" w:rsidRDefault="00000000">
      <w:pPr>
        <w:pStyle w:val="Corpodetexto"/>
        <w:spacing w:line="237" w:lineRule="auto"/>
        <w:ind w:left="143" w:right="704"/>
        <w:jc w:val="both"/>
      </w:pPr>
      <w:r>
        <w:t>As aplicações financeiras são classificadas nas seguintes categorias: i) valor justo por meio do resultado; ii) custo amortizado; e iii) valor justo por meio de outros resultados abrangentes.</w:t>
      </w:r>
    </w:p>
    <w:p w14:paraId="50C0D4D3" w14:textId="77777777" w:rsidR="002C6574" w:rsidRDefault="002C6574">
      <w:pPr>
        <w:pStyle w:val="Corpodetexto"/>
        <w:spacing w:before="1"/>
      </w:pPr>
    </w:p>
    <w:p w14:paraId="10B19598" w14:textId="77777777" w:rsidR="002C6574" w:rsidRDefault="00000000">
      <w:pPr>
        <w:pStyle w:val="Corpodetexto"/>
        <w:spacing w:line="237" w:lineRule="auto"/>
        <w:ind w:left="143" w:right="703"/>
        <w:jc w:val="both"/>
      </w:pPr>
      <w:r>
        <w:t>As aplicações mantidas para negociação são avaliadas pelo valor justo por meio do resultado, com seus</w:t>
      </w:r>
      <w:r>
        <w:rPr>
          <w:spacing w:val="55"/>
        </w:rPr>
        <w:t xml:space="preserve"> </w:t>
      </w:r>
      <w:r>
        <w:t>efeitos</w:t>
      </w:r>
      <w:r>
        <w:rPr>
          <w:spacing w:val="54"/>
        </w:rPr>
        <w:t xml:space="preserve"> </w:t>
      </w:r>
      <w:r>
        <w:t>reconhecidos</w:t>
      </w:r>
      <w:r>
        <w:rPr>
          <w:spacing w:val="56"/>
        </w:rPr>
        <w:t xml:space="preserve"> </w:t>
      </w:r>
      <w:r>
        <w:t>em</w:t>
      </w:r>
      <w:r>
        <w:rPr>
          <w:spacing w:val="58"/>
        </w:rPr>
        <w:t xml:space="preserve"> </w:t>
      </w:r>
      <w:r>
        <w:t>resultado.</w:t>
      </w:r>
      <w:r>
        <w:rPr>
          <w:spacing w:val="59"/>
        </w:rPr>
        <w:t xml:space="preserve"> </w:t>
      </w:r>
      <w:r>
        <w:t>As</w:t>
      </w:r>
      <w:r>
        <w:rPr>
          <w:spacing w:val="53"/>
        </w:rPr>
        <w:t xml:space="preserve"> </w:t>
      </w:r>
      <w:r>
        <w:t>aplicações</w:t>
      </w:r>
      <w:r>
        <w:rPr>
          <w:spacing w:val="56"/>
        </w:rPr>
        <w:t xml:space="preserve"> </w:t>
      </w:r>
      <w:r>
        <w:t>classificadas</w:t>
      </w:r>
      <w:r>
        <w:rPr>
          <w:spacing w:val="56"/>
        </w:rPr>
        <w:t xml:space="preserve"> </w:t>
      </w:r>
      <w:r>
        <w:t>pelo</w:t>
      </w:r>
      <w:r>
        <w:rPr>
          <w:spacing w:val="55"/>
        </w:rPr>
        <w:t xml:space="preserve"> </w:t>
      </w:r>
      <w:r>
        <w:t>custo</w:t>
      </w:r>
      <w:r>
        <w:rPr>
          <w:spacing w:val="56"/>
        </w:rPr>
        <w:t xml:space="preserve"> </w:t>
      </w:r>
      <w:r>
        <w:t>amortizado</w:t>
      </w:r>
      <w:r>
        <w:rPr>
          <w:spacing w:val="55"/>
        </w:rPr>
        <w:t xml:space="preserve"> </w:t>
      </w:r>
      <w:r>
        <w:rPr>
          <w:spacing w:val="-5"/>
        </w:rPr>
        <w:t>são</w:t>
      </w:r>
    </w:p>
    <w:p w14:paraId="07C4B420" w14:textId="77777777" w:rsidR="002C6574" w:rsidRDefault="002C6574">
      <w:pPr>
        <w:pStyle w:val="Corpodetexto"/>
        <w:spacing w:line="237" w:lineRule="auto"/>
        <w:jc w:val="both"/>
        <w:sectPr w:rsidR="002C6574">
          <w:pgSz w:w="11910" w:h="16840"/>
          <w:pgMar w:top="1600" w:right="141" w:bottom="1460" w:left="1133" w:header="856" w:footer="1267" w:gutter="0"/>
          <w:cols w:space="720"/>
        </w:sectPr>
      </w:pPr>
    </w:p>
    <w:p w14:paraId="203EE32E" w14:textId="77777777" w:rsidR="002C6574" w:rsidRDefault="00000000">
      <w:pPr>
        <w:pStyle w:val="Corpodetexto"/>
        <w:spacing w:before="200" w:line="237" w:lineRule="auto"/>
        <w:ind w:left="143" w:right="702"/>
        <w:jc w:val="both"/>
      </w:pPr>
      <w:r>
        <w:lastRenderedPageBreak/>
        <w:t>mensuradas</w:t>
      </w:r>
      <w:r>
        <w:rPr>
          <w:spacing w:val="-2"/>
        </w:rPr>
        <w:t xml:space="preserve"> </w:t>
      </w:r>
      <w:r>
        <w:t>pelo</w:t>
      </w:r>
      <w:r>
        <w:rPr>
          <w:spacing w:val="-3"/>
        </w:rPr>
        <w:t xml:space="preserve"> </w:t>
      </w:r>
      <w:r>
        <w:t>custo</w:t>
      </w:r>
      <w:r>
        <w:rPr>
          <w:spacing w:val="-2"/>
        </w:rPr>
        <w:t xml:space="preserve"> </w:t>
      </w:r>
      <w:r>
        <w:t>de</w:t>
      </w:r>
      <w:r>
        <w:rPr>
          <w:spacing w:val="-3"/>
        </w:rPr>
        <w:t xml:space="preserve"> </w:t>
      </w:r>
      <w:r>
        <w:t>aquisição</w:t>
      </w:r>
      <w:r>
        <w:rPr>
          <w:spacing w:val="-2"/>
        </w:rPr>
        <w:t xml:space="preserve"> </w:t>
      </w:r>
      <w:r>
        <w:t>acrescido</w:t>
      </w:r>
      <w:r>
        <w:rPr>
          <w:spacing w:val="-2"/>
        </w:rPr>
        <w:t xml:space="preserve"> </w:t>
      </w:r>
      <w:r>
        <w:t>dos</w:t>
      </w:r>
      <w:r>
        <w:rPr>
          <w:spacing w:val="-2"/>
        </w:rPr>
        <w:t xml:space="preserve"> </w:t>
      </w:r>
      <w:r>
        <w:t>rendimentos</w:t>
      </w:r>
      <w:r>
        <w:rPr>
          <w:spacing w:val="-4"/>
        </w:rPr>
        <w:t xml:space="preserve"> </w:t>
      </w:r>
      <w:r>
        <w:t>auferidos,</w:t>
      </w:r>
      <w:r>
        <w:rPr>
          <w:spacing w:val="-4"/>
        </w:rPr>
        <w:t xml:space="preserve"> </w:t>
      </w:r>
      <w:r>
        <w:t>reduzida</w:t>
      </w:r>
      <w:r>
        <w:rPr>
          <w:spacing w:val="-2"/>
        </w:rPr>
        <w:t xml:space="preserve"> </w:t>
      </w:r>
      <w:r>
        <w:t>de</w:t>
      </w:r>
      <w:r>
        <w:rPr>
          <w:spacing w:val="-2"/>
        </w:rPr>
        <w:t xml:space="preserve"> </w:t>
      </w:r>
      <w:r>
        <w:t>provisão</w:t>
      </w:r>
      <w:r>
        <w:rPr>
          <w:spacing w:val="-2"/>
        </w:rPr>
        <w:t xml:space="preserve"> </w:t>
      </w:r>
      <w:r>
        <w:t>para ajuste</w:t>
      </w:r>
      <w:r>
        <w:rPr>
          <w:spacing w:val="-2"/>
        </w:rPr>
        <w:t xml:space="preserve"> </w:t>
      </w:r>
      <w:r>
        <w:t>ao</w:t>
      </w:r>
      <w:r>
        <w:rPr>
          <w:spacing w:val="-5"/>
        </w:rPr>
        <w:t xml:space="preserve"> </w:t>
      </w:r>
      <w:r>
        <w:t>valor</w:t>
      </w:r>
      <w:r>
        <w:rPr>
          <w:spacing w:val="-3"/>
        </w:rPr>
        <w:t xml:space="preserve"> </w:t>
      </w:r>
      <w:r>
        <w:t>provável</w:t>
      </w:r>
      <w:r>
        <w:rPr>
          <w:spacing w:val="-3"/>
        </w:rPr>
        <w:t xml:space="preserve"> </w:t>
      </w:r>
      <w:r>
        <w:t>de</w:t>
      </w:r>
      <w:r>
        <w:rPr>
          <w:spacing w:val="-2"/>
        </w:rPr>
        <w:t xml:space="preserve"> </w:t>
      </w:r>
      <w:r>
        <w:t>realização,</w:t>
      </w:r>
      <w:r>
        <w:rPr>
          <w:spacing w:val="-1"/>
        </w:rPr>
        <w:t xml:space="preserve"> </w:t>
      </w:r>
      <w:r>
        <w:t>quando</w:t>
      </w:r>
      <w:r>
        <w:rPr>
          <w:spacing w:val="-5"/>
        </w:rPr>
        <w:t xml:space="preserve"> </w:t>
      </w:r>
      <w:r>
        <w:t>aplicável,</w:t>
      </w:r>
      <w:r>
        <w:rPr>
          <w:spacing w:val="-1"/>
        </w:rPr>
        <w:t xml:space="preserve"> </w:t>
      </w:r>
      <w:r>
        <w:t>com</w:t>
      </w:r>
      <w:r>
        <w:rPr>
          <w:spacing w:val="-1"/>
        </w:rPr>
        <w:t xml:space="preserve"> </w:t>
      </w:r>
      <w:r>
        <w:t>seus</w:t>
      </w:r>
      <w:r>
        <w:rPr>
          <w:spacing w:val="-3"/>
        </w:rPr>
        <w:t xml:space="preserve"> </w:t>
      </w:r>
      <w:r>
        <w:t>efeitos</w:t>
      </w:r>
      <w:r>
        <w:rPr>
          <w:spacing w:val="-5"/>
        </w:rPr>
        <w:t xml:space="preserve"> </w:t>
      </w:r>
      <w:r>
        <w:t>reconhecidos</w:t>
      </w:r>
      <w:r>
        <w:rPr>
          <w:spacing w:val="-1"/>
        </w:rPr>
        <w:t xml:space="preserve"> </w:t>
      </w:r>
      <w:r>
        <w:t>no</w:t>
      </w:r>
      <w:r>
        <w:rPr>
          <w:spacing w:val="-8"/>
        </w:rPr>
        <w:t xml:space="preserve"> </w:t>
      </w:r>
      <w:r>
        <w:t>resultado. As aplicações da categoria valor justo por meio de outros resultados abrangentes são avaliadas ao valor justo, com seus ganhos e perdas não realizados reconhecidos em outros resultados abrangentes, quando aplicável. (Notas Explicativas 4 e 11)</w:t>
      </w:r>
    </w:p>
    <w:p w14:paraId="279E0DFD" w14:textId="77777777" w:rsidR="002C6574" w:rsidRDefault="00000000">
      <w:pPr>
        <w:numPr>
          <w:ilvl w:val="2"/>
          <w:numId w:val="54"/>
        </w:numPr>
        <w:tabs>
          <w:tab w:val="left" w:pos="995"/>
        </w:tabs>
        <w:spacing w:before="193"/>
        <w:rPr>
          <w:rFonts w:ascii="Arial"/>
          <w:b/>
        </w:rPr>
      </w:pPr>
      <w:r>
        <w:rPr>
          <w:rFonts w:ascii="Arial"/>
          <w:b/>
        </w:rPr>
        <w:t>Contas</w:t>
      </w:r>
      <w:r>
        <w:rPr>
          <w:rFonts w:ascii="Arial"/>
          <w:b/>
          <w:spacing w:val="-2"/>
        </w:rPr>
        <w:t xml:space="preserve"> </w:t>
      </w:r>
      <w:r>
        <w:rPr>
          <w:rFonts w:ascii="Arial"/>
          <w:b/>
        </w:rPr>
        <w:t>a</w:t>
      </w:r>
      <w:r>
        <w:rPr>
          <w:rFonts w:ascii="Arial"/>
          <w:b/>
          <w:spacing w:val="-2"/>
        </w:rPr>
        <w:t xml:space="preserve"> receber</w:t>
      </w:r>
    </w:p>
    <w:p w14:paraId="758B782D" w14:textId="77777777" w:rsidR="002C6574" w:rsidRDefault="002C6574">
      <w:pPr>
        <w:pStyle w:val="Corpodetexto"/>
        <w:spacing w:before="75"/>
        <w:rPr>
          <w:rFonts w:ascii="Arial"/>
          <w:b/>
        </w:rPr>
      </w:pPr>
    </w:p>
    <w:p w14:paraId="028E4B51" w14:textId="77777777" w:rsidR="002C6574" w:rsidRDefault="00000000">
      <w:pPr>
        <w:pStyle w:val="Corpodetexto"/>
        <w:spacing w:line="237" w:lineRule="auto"/>
        <w:ind w:left="143" w:right="703"/>
        <w:jc w:val="both"/>
      </w:pPr>
      <w:r>
        <w:t>As contas a receber decorrentes de serviços prestados de comunicação multimídia estão avaliadas pelo valor do serviço na data da prestação do serviço e não diferem de seus valores justos. Essas contas a receber também incluem os serviços prestados a clientes não faturados até a data de encerramento dos exercícios, bem como as contas a receber relacionadas às locações e aluguéis de equipamentos e meios de conexão. (Nota Explicativa 5)</w:t>
      </w:r>
    </w:p>
    <w:p w14:paraId="27EC045F" w14:textId="77777777" w:rsidR="002C6574" w:rsidRDefault="002C6574">
      <w:pPr>
        <w:pStyle w:val="Corpodetexto"/>
        <w:spacing w:before="32"/>
      </w:pPr>
    </w:p>
    <w:p w14:paraId="24706EDB" w14:textId="77777777" w:rsidR="002C6574" w:rsidRDefault="00000000">
      <w:pPr>
        <w:numPr>
          <w:ilvl w:val="2"/>
          <w:numId w:val="54"/>
        </w:numPr>
        <w:tabs>
          <w:tab w:val="left" w:pos="995"/>
        </w:tabs>
        <w:spacing w:before="1"/>
        <w:rPr>
          <w:rFonts w:ascii="Arial" w:hAnsi="Arial"/>
          <w:b/>
        </w:rPr>
      </w:pPr>
      <w:r>
        <w:rPr>
          <w:rFonts w:ascii="Arial" w:hAnsi="Arial"/>
          <w:b/>
        </w:rPr>
        <w:t>Perdas</w:t>
      </w:r>
      <w:r>
        <w:rPr>
          <w:rFonts w:ascii="Arial" w:hAnsi="Arial"/>
          <w:b/>
          <w:spacing w:val="-1"/>
        </w:rPr>
        <w:t xml:space="preserve"> </w:t>
      </w:r>
      <w:r>
        <w:rPr>
          <w:rFonts w:ascii="Arial" w:hAnsi="Arial"/>
          <w:b/>
        </w:rPr>
        <w:t>estimadas</w:t>
      </w:r>
      <w:r>
        <w:rPr>
          <w:rFonts w:ascii="Arial" w:hAnsi="Arial"/>
          <w:b/>
          <w:spacing w:val="-3"/>
        </w:rPr>
        <w:t xml:space="preserve"> </w:t>
      </w:r>
      <w:r>
        <w:rPr>
          <w:rFonts w:ascii="Arial" w:hAnsi="Arial"/>
          <w:b/>
        </w:rPr>
        <w:t>com</w:t>
      </w:r>
      <w:r>
        <w:rPr>
          <w:rFonts w:ascii="Arial" w:hAnsi="Arial"/>
          <w:b/>
          <w:spacing w:val="-6"/>
        </w:rPr>
        <w:t xml:space="preserve"> </w:t>
      </w:r>
      <w:r>
        <w:rPr>
          <w:rFonts w:ascii="Arial" w:hAnsi="Arial"/>
          <w:b/>
        </w:rPr>
        <w:t>créditos</w:t>
      </w:r>
      <w:r>
        <w:rPr>
          <w:rFonts w:ascii="Arial" w:hAnsi="Arial"/>
          <w:b/>
          <w:spacing w:val="-6"/>
        </w:rPr>
        <w:t xml:space="preserve"> </w:t>
      </w:r>
      <w:r>
        <w:rPr>
          <w:rFonts w:ascii="Arial" w:hAnsi="Arial"/>
          <w:b/>
        </w:rPr>
        <w:t>de</w:t>
      </w:r>
      <w:r>
        <w:rPr>
          <w:rFonts w:ascii="Arial" w:hAnsi="Arial"/>
          <w:b/>
          <w:spacing w:val="-4"/>
        </w:rPr>
        <w:t xml:space="preserve"> </w:t>
      </w:r>
      <w:r>
        <w:rPr>
          <w:rFonts w:ascii="Arial" w:hAnsi="Arial"/>
          <w:b/>
        </w:rPr>
        <w:t>liquidação</w:t>
      </w:r>
      <w:r>
        <w:rPr>
          <w:rFonts w:ascii="Arial" w:hAnsi="Arial"/>
          <w:b/>
          <w:spacing w:val="-5"/>
        </w:rPr>
        <w:t xml:space="preserve"> </w:t>
      </w:r>
      <w:r>
        <w:rPr>
          <w:rFonts w:ascii="Arial" w:hAnsi="Arial"/>
          <w:b/>
          <w:spacing w:val="-2"/>
        </w:rPr>
        <w:t>duvidosa</w:t>
      </w:r>
    </w:p>
    <w:p w14:paraId="085996D6" w14:textId="77777777" w:rsidR="002C6574" w:rsidRDefault="002C6574">
      <w:pPr>
        <w:pStyle w:val="Corpodetexto"/>
        <w:spacing w:before="74"/>
        <w:rPr>
          <w:rFonts w:ascii="Arial"/>
          <w:b/>
        </w:rPr>
      </w:pPr>
    </w:p>
    <w:p w14:paraId="6FFC49F5" w14:textId="77777777" w:rsidR="002C6574" w:rsidRDefault="00000000">
      <w:pPr>
        <w:pStyle w:val="Corpodetexto"/>
        <w:spacing w:before="1" w:line="237" w:lineRule="auto"/>
        <w:ind w:left="143" w:right="703"/>
        <w:jc w:val="both"/>
      </w:pPr>
      <w:r>
        <w:t>A estimativa das perdas estimadas para créditos de liquidação duvidosa é constituída em montante considerado suficiente para cobrir eventuais perdas na realização desses créditos. Na avaliação do valor a ser constituído de perdas estimadas para créditos de liquidação duvidosa, a Companhia reconhece o valor da estimativa de perdas com base no modelo de perdas esperadas. No cálculo, são utilizadas bases históricas de inadimplência, prazos de recebimento e volumes de perdas incorridas, ajustadas conforme o julgamento da Administração, quando as condições atuais de economia indiquem que perdas reais sejam superiores ou inferiores àquelas sugeridas pela base histórica. As proporções de inadimplência e de perdas, bem como os prazos estimados para recuperações futuras são regularmente analisados com os resultados reais, a fim de confirmar a sua aderência.</w:t>
      </w:r>
      <w:r>
        <w:rPr>
          <w:spacing w:val="39"/>
        </w:rPr>
        <w:t xml:space="preserve"> </w:t>
      </w:r>
      <w:r>
        <w:t>As perdas</w:t>
      </w:r>
      <w:r>
        <w:rPr>
          <w:spacing w:val="36"/>
        </w:rPr>
        <w:t xml:space="preserve"> </w:t>
      </w:r>
      <w:r>
        <w:t>estimadas</w:t>
      </w:r>
      <w:r>
        <w:rPr>
          <w:spacing w:val="39"/>
        </w:rPr>
        <w:t xml:space="preserve"> </w:t>
      </w:r>
      <w:r>
        <w:t>são reconhecidas</w:t>
      </w:r>
      <w:r>
        <w:rPr>
          <w:spacing w:val="36"/>
        </w:rPr>
        <w:t xml:space="preserve"> </w:t>
      </w:r>
      <w:r>
        <w:t>no resultado.</w:t>
      </w:r>
      <w:r>
        <w:rPr>
          <w:spacing w:val="38"/>
        </w:rPr>
        <w:t xml:space="preserve"> </w:t>
      </w:r>
      <w:r>
        <w:t>(Nota Explicativa</w:t>
      </w:r>
      <w:r>
        <w:rPr>
          <w:spacing w:val="36"/>
        </w:rPr>
        <w:t xml:space="preserve"> </w:t>
      </w:r>
      <w:r>
        <w:t>5)</w:t>
      </w:r>
    </w:p>
    <w:p w14:paraId="3CAE4160" w14:textId="77777777" w:rsidR="002C6574" w:rsidRDefault="002C6574">
      <w:pPr>
        <w:pStyle w:val="Corpodetexto"/>
        <w:spacing w:before="38"/>
      </w:pPr>
    </w:p>
    <w:p w14:paraId="040EE602" w14:textId="77777777" w:rsidR="002C6574" w:rsidRDefault="00000000">
      <w:pPr>
        <w:numPr>
          <w:ilvl w:val="2"/>
          <w:numId w:val="54"/>
        </w:numPr>
        <w:tabs>
          <w:tab w:val="left" w:pos="995"/>
        </w:tabs>
        <w:rPr>
          <w:rFonts w:ascii="Arial"/>
          <w:b/>
        </w:rPr>
      </w:pPr>
      <w:r>
        <w:rPr>
          <w:rFonts w:ascii="Arial"/>
          <w:b/>
          <w:spacing w:val="-2"/>
        </w:rPr>
        <w:t>Investimentos</w:t>
      </w:r>
    </w:p>
    <w:p w14:paraId="4A9A7DF1" w14:textId="77777777" w:rsidR="002C6574" w:rsidRDefault="002C6574">
      <w:pPr>
        <w:pStyle w:val="Corpodetexto"/>
        <w:spacing w:before="48"/>
        <w:rPr>
          <w:rFonts w:ascii="Arial"/>
          <w:b/>
        </w:rPr>
      </w:pPr>
    </w:p>
    <w:p w14:paraId="23DE6EA1" w14:textId="77777777" w:rsidR="002C6574" w:rsidRDefault="00000000">
      <w:pPr>
        <w:pStyle w:val="Corpodetexto"/>
        <w:spacing w:before="1" w:line="237" w:lineRule="auto"/>
        <w:ind w:left="143" w:right="702"/>
        <w:jc w:val="both"/>
      </w:pPr>
      <w:r>
        <w:t>Nas</w:t>
      </w:r>
      <w:r>
        <w:rPr>
          <w:spacing w:val="-3"/>
        </w:rPr>
        <w:t xml:space="preserve"> </w:t>
      </w:r>
      <w:r>
        <w:t>Demonstrações</w:t>
      </w:r>
      <w:r>
        <w:rPr>
          <w:spacing w:val="-3"/>
        </w:rPr>
        <w:t xml:space="preserve"> </w:t>
      </w:r>
      <w:r>
        <w:t>Contábeis,</w:t>
      </w:r>
      <w:r>
        <w:rPr>
          <w:spacing w:val="-3"/>
        </w:rPr>
        <w:t xml:space="preserve"> </w:t>
      </w:r>
      <w:r>
        <w:t>as</w:t>
      </w:r>
      <w:r>
        <w:rPr>
          <w:spacing w:val="-3"/>
        </w:rPr>
        <w:t xml:space="preserve"> </w:t>
      </w:r>
      <w:r>
        <w:t>informações</w:t>
      </w:r>
      <w:r>
        <w:rPr>
          <w:spacing w:val="-5"/>
        </w:rPr>
        <w:t xml:space="preserve"> </w:t>
      </w:r>
      <w:r>
        <w:t>financeiras</w:t>
      </w:r>
      <w:r>
        <w:rPr>
          <w:spacing w:val="-3"/>
        </w:rPr>
        <w:t xml:space="preserve"> </w:t>
      </w:r>
      <w:r>
        <w:t>de</w:t>
      </w:r>
      <w:r>
        <w:rPr>
          <w:spacing w:val="-5"/>
        </w:rPr>
        <w:t xml:space="preserve"> </w:t>
      </w:r>
      <w:r>
        <w:t>controladas</w:t>
      </w:r>
      <w:r>
        <w:rPr>
          <w:spacing w:val="-5"/>
        </w:rPr>
        <w:t xml:space="preserve"> </w:t>
      </w:r>
      <w:r>
        <w:t>e</w:t>
      </w:r>
      <w:r>
        <w:rPr>
          <w:spacing w:val="-5"/>
        </w:rPr>
        <w:t xml:space="preserve"> </w:t>
      </w:r>
      <w:r>
        <w:t>controladas</w:t>
      </w:r>
      <w:r>
        <w:rPr>
          <w:spacing w:val="-3"/>
        </w:rPr>
        <w:t xml:space="preserve"> </w:t>
      </w:r>
      <w:r>
        <w:t>em</w:t>
      </w:r>
      <w:r>
        <w:rPr>
          <w:spacing w:val="-1"/>
        </w:rPr>
        <w:t xml:space="preserve"> </w:t>
      </w:r>
      <w:r>
        <w:t>conjunto (quando aplicáveis), assim como as coligadas, são reconhecidas através do método de equivalência patrimonial. Os demais investimentos são registrados pelo custo de aquisição e deduzidos de provisão para ajuste ao valor de realização, quando aplicável.</w:t>
      </w:r>
    </w:p>
    <w:p w14:paraId="2746D56E" w14:textId="77777777" w:rsidR="002C6574" w:rsidRDefault="002C6574">
      <w:pPr>
        <w:pStyle w:val="Corpodetexto"/>
        <w:spacing w:before="2"/>
      </w:pPr>
    </w:p>
    <w:p w14:paraId="6376A69D" w14:textId="77777777" w:rsidR="002C6574" w:rsidRDefault="00000000">
      <w:pPr>
        <w:pStyle w:val="Corpodetexto"/>
        <w:spacing w:before="1" w:line="237" w:lineRule="auto"/>
        <w:ind w:left="143" w:right="701"/>
        <w:jc w:val="both"/>
      </w:pPr>
      <w:r>
        <w:t>As Demonstrações Contábeis de controladas (quando aplicável) são consolidadas integralmente nas Demonstrações Contábeis Consolidadas a partir da data em que o controle se inicia até a data em que</w:t>
      </w:r>
      <w:r>
        <w:rPr>
          <w:spacing w:val="-2"/>
        </w:rPr>
        <w:t xml:space="preserve"> </w:t>
      </w:r>
      <w:r>
        <w:t>o</w:t>
      </w:r>
      <w:r>
        <w:rPr>
          <w:spacing w:val="-2"/>
        </w:rPr>
        <w:t xml:space="preserve"> </w:t>
      </w:r>
      <w:r>
        <w:t>controle</w:t>
      </w:r>
      <w:r>
        <w:rPr>
          <w:spacing w:val="-4"/>
        </w:rPr>
        <w:t xml:space="preserve"> </w:t>
      </w:r>
      <w:r>
        <w:t>deixa</w:t>
      </w:r>
      <w:r>
        <w:rPr>
          <w:spacing w:val="-4"/>
        </w:rPr>
        <w:t xml:space="preserve"> </w:t>
      </w:r>
      <w:r>
        <w:t>de</w:t>
      </w:r>
      <w:r>
        <w:rPr>
          <w:spacing w:val="-4"/>
        </w:rPr>
        <w:t xml:space="preserve"> </w:t>
      </w:r>
      <w:r>
        <w:t>existir.</w:t>
      </w:r>
      <w:r>
        <w:rPr>
          <w:spacing w:val="-5"/>
        </w:rPr>
        <w:t xml:space="preserve"> </w:t>
      </w:r>
      <w:r>
        <w:t>Os</w:t>
      </w:r>
      <w:r>
        <w:rPr>
          <w:spacing w:val="-2"/>
        </w:rPr>
        <w:t xml:space="preserve"> </w:t>
      </w:r>
      <w:r>
        <w:t>investimentos</w:t>
      </w:r>
      <w:r>
        <w:rPr>
          <w:spacing w:val="-2"/>
        </w:rPr>
        <w:t xml:space="preserve"> </w:t>
      </w:r>
      <w:r>
        <w:t>em</w:t>
      </w:r>
      <w:r>
        <w:rPr>
          <w:spacing w:val="-1"/>
        </w:rPr>
        <w:t xml:space="preserve"> </w:t>
      </w:r>
      <w:r>
        <w:t>controladas</w:t>
      </w:r>
      <w:r>
        <w:rPr>
          <w:spacing w:val="-2"/>
        </w:rPr>
        <w:t xml:space="preserve"> </w:t>
      </w:r>
      <w:r>
        <w:t>em</w:t>
      </w:r>
      <w:r>
        <w:rPr>
          <w:spacing w:val="-3"/>
        </w:rPr>
        <w:t xml:space="preserve"> </w:t>
      </w:r>
      <w:r>
        <w:t>conjunto</w:t>
      </w:r>
      <w:r>
        <w:rPr>
          <w:spacing w:val="-2"/>
        </w:rPr>
        <w:t xml:space="preserve"> </w:t>
      </w:r>
      <w:r>
        <w:t>(quando</w:t>
      </w:r>
      <w:r>
        <w:rPr>
          <w:spacing w:val="-1"/>
        </w:rPr>
        <w:t xml:space="preserve"> </w:t>
      </w:r>
      <w:r>
        <w:t>aplicável)</w:t>
      </w:r>
      <w:r>
        <w:rPr>
          <w:spacing w:val="-2"/>
        </w:rPr>
        <w:t xml:space="preserve"> </w:t>
      </w:r>
      <w:r>
        <w:t>são reconhecidos nas Demonstrações Contábeis Consolidadas pelo método de equivalência patrimonial. (Nota Explicativa 12)</w:t>
      </w:r>
    </w:p>
    <w:p w14:paraId="59E2C414" w14:textId="77777777" w:rsidR="002C6574" w:rsidRDefault="002C6574">
      <w:pPr>
        <w:pStyle w:val="Corpodetexto"/>
        <w:spacing w:line="237" w:lineRule="auto"/>
        <w:jc w:val="both"/>
        <w:sectPr w:rsidR="002C6574">
          <w:headerReference w:type="default" r:id="rId65"/>
          <w:footerReference w:type="default" r:id="rId66"/>
          <w:pgSz w:w="11910" w:h="16840"/>
          <w:pgMar w:top="1600" w:right="141" w:bottom="1520" w:left="1133" w:header="856" w:footer="1331" w:gutter="0"/>
          <w:cols w:space="720"/>
        </w:sectPr>
      </w:pPr>
    </w:p>
    <w:p w14:paraId="6B891472" w14:textId="77777777" w:rsidR="002C6574" w:rsidRDefault="00000000">
      <w:pPr>
        <w:numPr>
          <w:ilvl w:val="2"/>
          <w:numId w:val="54"/>
        </w:numPr>
        <w:tabs>
          <w:tab w:val="left" w:pos="995"/>
        </w:tabs>
        <w:spacing w:before="229"/>
        <w:rPr>
          <w:rFonts w:ascii="Arial"/>
          <w:b/>
        </w:rPr>
      </w:pPr>
      <w:r>
        <w:rPr>
          <w:rFonts w:ascii="Arial"/>
          <w:b/>
          <w:spacing w:val="-2"/>
        </w:rPr>
        <w:lastRenderedPageBreak/>
        <w:t>Imobilizado</w:t>
      </w:r>
    </w:p>
    <w:p w14:paraId="04E249CF" w14:textId="77777777" w:rsidR="002C6574" w:rsidRDefault="002C6574">
      <w:pPr>
        <w:pStyle w:val="Corpodetexto"/>
        <w:spacing w:before="48"/>
        <w:rPr>
          <w:rFonts w:ascii="Arial"/>
          <w:b/>
        </w:rPr>
      </w:pPr>
    </w:p>
    <w:p w14:paraId="78364F5B" w14:textId="77777777" w:rsidR="002C6574" w:rsidRDefault="00000000">
      <w:pPr>
        <w:pStyle w:val="Corpodetexto"/>
        <w:spacing w:before="1" w:line="237" w:lineRule="auto"/>
        <w:ind w:left="143" w:right="702"/>
        <w:jc w:val="both"/>
      </w:pPr>
      <w:r>
        <w:rPr>
          <w:spacing w:val="-2"/>
          <w:w w:val="105"/>
        </w:rPr>
        <w:t>O</w:t>
      </w:r>
      <w:r>
        <w:rPr>
          <w:spacing w:val="-7"/>
          <w:w w:val="105"/>
        </w:rPr>
        <w:t xml:space="preserve"> </w:t>
      </w:r>
      <w:r>
        <w:rPr>
          <w:spacing w:val="-2"/>
          <w:w w:val="105"/>
        </w:rPr>
        <w:t>imobilizado</w:t>
      </w:r>
      <w:r>
        <w:rPr>
          <w:spacing w:val="-7"/>
          <w:w w:val="105"/>
        </w:rPr>
        <w:t xml:space="preserve"> </w:t>
      </w:r>
      <w:r>
        <w:rPr>
          <w:spacing w:val="-2"/>
          <w:w w:val="105"/>
        </w:rPr>
        <w:t>está</w:t>
      </w:r>
      <w:r>
        <w:rPr>
          <w:spacing w:val="-7"/>
          <w:w w:val="105"/>
        </w:rPr>
        <w:t xml:space="preserve"> </w:t>
      </w:r>
      <w:r>
        <w:rPr>
          <w:spacing w:val="-2"/>
          <w:w w:val="105"/>
        </w:rPr>
        <w:t>demonstrado</w:t>
      </w:r>
      <w:r>
        <w:rPr>
          <w:spacing w:val="-7"/>
          <w:w w:val="105"/>
        </w:rPr>
        <w:t xml:space="preserve"> </w:t>
      </w:r>
      <w:r>
        <w:rPr>
          <w:spacing w:val="-2"/>
          <w:w w:val="105"/>
        </w:rPr>
        <w:t>pelo</w:t>
      </w:r>
      <w:r>
        <w:rPr>
          <w:spacing w:val="-7"/>
          <w:w w:val="105"/>
        </w:rPr>
        <w:t xml:space="preserve"> </w:t>
      </w:r>
      <w:r>
        <w:rPr>
          <w:spacing w:val="-2"/>
          <w:w w:val="105"/>
        </w:rPr>
        <w:t>custo</w:t>
      </w:r>
      <w:r>
        <w:rPr>
          <w:spacing w:val="-7"/>
          <w:w w:val="105"/>
        </w:rPr>
        <w:t xml:space="preserve"> </w:t>
      </w:r>
      <w:r>
        <w:rPr>
          <w:spacing w:val="-2"/>
          <w:w w:val="105"/>
        </w:rPr>
        <w:t>de</w:t>
      </w:r>
      <w:r>
        <w:rPr>
          <w:spacing w:val="-8"/>
          <w:w w:val="105"/>
        </w:rPr>
        <w:t xml:space="preserve"> </w:t>
      </w:r>
      <w:r>
        <w:rPr>
          <w:spacing w:val="-2"/>
          <w:w w:val="105"/>
        </w:rPr>
        <w:t>aquisição</w:t>
      </w:r>
      <w:r>
        <w:rPr>
          <w:spacing w:val="-7"/>
          <w:w w:val="105"/>
        </w:rPr>
        <w:t xml:space="preserve"> </w:t>
      </w:r>
      <w:r>
        <w:rPr>
          <w:spacing w:val="-2"/>
          <w:w w:val="105"/>
        </w:rPr>
        <w:t>ou</w:t>
      </w:r>
      <w:r>
        <w:rPr>
          <w:spacing w:val="-7"/>
          <w:w w:val="105"/>
        </w:rPr>
        <w:t xml:space="preserve"> </w:t>
      </w:r>
      <w:r>
        <w:rPr>
          <w:spacing w:val="-2"/>
          <w:w w:val="105"/>
        </w:rPr>
        <w:t>construção,</w:t>
      </w:r>
      <w:r>
        <w:rPr>
          <w:spacing w:val="-7"/>
          <w:w w:val="105"/>
        </w:rPr>
        <w:t xml:space="preserve"> </w:t>
      </w:r>
      <w:r>
        <w:rPr>
          <w:spacing w:val="-2"/>
          <w:w w:val="105"/>
        </w:rPr>
        <w:t>deduzido</w:t>
      </w:r>
      <w:r>
        <w:rPr>
          <w:spacing w:val="-7"/>
          <w:w w:val="105"/>
        </w:rPr>
        <w:t xml:space="preserve"> </w:t>
      </w:r>
      <w:r>
        <w:rPr>
          <w:spacing w:val="-2"/>
          <w:w w:val="105"/>
        </w:rPr>
        <w:t>da</w:t>
      </w:r>
      <w:r>
        <w:rPr>
          <w:spacing w:val="-7"/>
          <w:w w:val="105"/>
        </w:rPr>
        <w:t xml:space="preserve"> </w:t>
      </w:r>
      <w:r>
        <w:rPr>
          <w:spacing w:val="-2"/>
          <w:w w:val="105"/>
        </w:rPr>
        <w:t xml:space="preserve">depreciação </w:t>
      </w:r>
      <w:r>
        <w:rPr>
          <w:w w:val="105"/>
        </w:rPr>
        <w:t>acumulada.</w:t>
      </w:r>
      <w:r>
        <w:rPr>
          <w:spacing w:val="-1"/>
          <w:w w:val="105"/>
        </w:rPr>
        <w:t xml:space="preserve"> </w:t>
      </w:r>
      <w:r>
        <w:rPr>
          <w:w w:val="105"/>
        </w:rPr>
        <w:t>Os custos históricos incluem gastos que são diretamente</w:t>
      </w:r>
      <w:r>
        <w:rPr>
          <w:spacing w:val="-1"/>
          <w:w w:val="105"/>
        </w:rPr>
        <w:t xml:space="preserve"> </w:t>
      </w:r>
      <w:r>
        <w:rPr>
          <w:w w:val="105"/>
        </w:rPr>
        <w:t xml:space="preserve">atribuíveis à aquisição dos ativos. Incluem ainda determinados gastos com instalações, quando é provável que futuros benefícios econômicos associados a esses gastos fluirão para a Companhia. Os custos de </w:t>
      </w:r>
      <w:r>
        <w:t>empréstimos</w:t>
      </w:r>
      <w:r>
        <w:rPr>
          <w:spacing w:val="-2"/>
        </w:rPr>
        <w:t xml:space="preserve"> </w:t>
      </w:r>
      <w:r>
        <w:t>e</w:t>
      </w:r>
      <w:r>
        <w:rPr>
          <w:spacing w:val="-1"/>
        </w:rPr>
        <w:t xml:space="preserve"> </w:t>
      </w:r>
      <w:r>
        <w:t>financiamentos, quando diretamente</w:t>
      </w:r>
      <w:r>
        <w:rPr>
          <w:spacing w:val="-1"/>
        </w:rPr>
        <w:t xml:space="preserve"> </w:t>
      </w:r>
      <w:r>
        <w:t>atribuíveis à</w:t>
      </w:r>
      <w:r>
        <w:rPr>
          <w:spacing w:val="-1"/>
        </w:rPr>
        <w:t xml:space="preserve"> </w:t>
      </w:r>
      <w:r>
        <w:t>aquisição, construção ou produção de</w:t>
      </w:r>
      <w:r>
        <w:rPr>
          <w:spacing w:val="-1"/>
        </w:rPr>
        <w:t xml:space="preserve"> </w:t>
      </w:r>
      <w:r>
        <w:t>um ativo</w:t>
      </w:r>
      <w:r>
        <w:rPr>
          <w:spacing w:val="-1"/>
        </w:rPr>
        <w:t xml:space="preserve"> </w:t>
      </w:r>
      <w:r>
        <w:t>qualificável,</w:t>
      </w:r>
      <w:r>
        <w:rPr>
          <w:spacing w:val="-3"/>
        </w:rPr>
        <w:t xml:space="preserve"> </w:t>
      </w:r>
      <w:r>
        <w:t>são</w:t>
      </w:r>
      <w:r>
        <w:rPr>
          <w:spacing w:val="-3"/>
        </w:rPr>
        <w:t xml:space="preserve"> </w:t>
      </w:r>
      <w:r>
        <w:t>capitalizados</w:t>
      </w:r>
      <w:r>
        <w:rPr>
          <w:spacing w:val="-1"/>
        </w:rPr>
        <w:t xml:space="preserve"> </w:t>
      </w:r>
      <w:r>
        <w:t>no</w:t>
      </w:r>
      <w:r>
        <w:rPr>
          <w:spacing w:val="-3"/>
        </w:rPr>
        <w:t xml:space="preserve"> </w:t>
      </w:r>
      <w:r>
        <w:t>custo</w:t>
      </w:r>
      <w:r>
        <w:rPr>
          <w:spacing w:val="-1"/>
        </w:rPr>
        <w:t xml:space="preserve"> </w:t>
      </w:r>
      <w:r>
        <w:t>inicial</w:t>
      </w:r>
      <w:r>
        <w:rPr>
          <w:spacing w:val="-3"/>
        </w:rPr>
        <w:t xml:space="preserve"> </w:t>
      </w:r>
      <w:r>
        <w:t>desses</w:t>
      </w:r>
      <w:r>
        <w:rPr>
          <w:spacing w:val="-1"/>
        </w:rPr>
        <w:t xml:space="preserve"> </w:t>
      </w:r>
      <w:r>
        <w:t>ativos.</w:t>
      </w:r>
      <w:r>
        <w:rPr>
          <w:spacing w:val="-1"/>
        </w:rPr>
        <w:t xml:space="preserve"> </w:t>
      </w:r>
      <w:r>
        <w:t>Para</w:t>
      </w:r>
      <w:r>
        <w:rPr>
          <w:spacing w:val="-3"/>
        </w:rPr>
        <w:t xml:space="preserve"> </w:t>
      </w:r>
      <w:r>
        <w:t>os</w:t>
      </w:r>
      <w:r>
        <w:rPr>
          <w:spacing w:val="-1"/>
        </w:rPr>
        <w:t xml:space="preserve"> </w:t>
      </w:r>
      <w:r>
        <w:t>demais</w:t>
      </w:r>
      <w:r>
        <w:rPr>
          <w:spacing w:val="-3"/>
        </w:rPr>
        <w:t xml:space="preserve"> </w:t>
      </w:r>
      <w:r>
        <w:t xml:space="preserve">empréstimos e financiamentos que não estão vinculados diretamente a obras específicas é estabelecida uma taxa </w:t>
      </w:r>
      <w:r>
        <w:rPr>
          <w:w w:val="105"/>
        </w:rPr>
        <w:t>média</w:t>
      </w:r>
      <w:r>
        <w:rPr>
          <w:spacing w:val="-12"/>
          <w:w w:val="105"/>
        </w:rPr>
        <w:t xml:space="preserve"> </w:t>
      </w:r>
      <w:r>
        <w:rPr>
          <w:w w:val="105"/>
        </w:rPr>
        <w:t>ponderada</w:t>
      </w:r>
      <w:r>
        <w:rPr>
          <w:spacing w:val="-12"/>
          <w:w w:val="105"/>
        </w:rPr>
        <w:t xml:space="preserve"> </w:t>
      </w:r>
      <w:r>
        <w:rPr>
          <w:w w:val="105"/>
        </w:rPr>
        <w:t>para</w:t>
      </w:r>
      <w:r>
        <w:rPr>
          <w:spacing w:val="-13"/>
          <w:w w:val="105"/>
        </w:rPr>
        <w:t xml:space="preserve"> </w:t>
      </w:r>
      <w:r>
        <w:rPr>
          <w:w w:val="105"/>
        </w:rPr>
        <w:t>a</w:t>
      </w:r>
      <w:r>
        <w:rPr>
          <w:spacing w:val="-13"/>
          <w:w w:val="105"/>
        </w:rPr>
        <w:t xml:space="preserve"> </w:t>
      </w:r>
      <w:r>
        <w:rPr>
          <w:w w:val="105"/>
        </w:rPr>
        <w:t>capitalização</w:t>
      </w:r>
      <w:r>
        <w:rPr>
          <w:spacing w:val="-11"/>
          <w:w w:val="105"/>
        </w:rPr>
        <w:t xml:space="preserve"> </w:t>
      </w:r>
      <w:r>
        <w:rPr>
          <w:w w:val="105"/>
        </w:rPr>
        <w:t>dos</w:t>
      </w:r>
      <w:r>
        <w:rPr>
          <w:spacing w:val="-12"/>
          <w:w w:val="105"/>
        </w:rPr>
        <w:t xml:space="preserve"> </w:t>
      </w:r>
      <w:r>
        <w:rPr>
          <w:w w:val="105"/>
        </w:rPr>
        <w:t>custos</w:t>
      </w:r>
      <w:r>
        <w:rPr>
          <w:spacing w:val="-11"/>
          <w:w w:val="105"/>
        </w:rPr>
        <w:t xml:space="preserve"> </w:t>
      </w:r>
      <w:r>
        <w:rPr>
          <w:w w:val="105"/>
        </w:rPr>
        <w:t>desses</w:t>
      </w:r>
      <w:r>
        <w:rPr>
          <w:spacing w:val="-12"/>
          <w:w w:val="105"/>
        </w:rPr>
        <w:t xml:space="preserve"> </w:t>
      </w:r>
      <w:r>
        <w:rPr>
          <w:w w:val="105"/>
        </w:rPr>
        <w:t>empréstimos.</w:t>
      </w:r>
      <w:r>
        <w:rPr>
          <w:spacing w:val="-12"/>
          <w:w w:val="105"/>
        </w:rPr>
        <w:t xml:space="preserve"> </w:t>
      </w:r>
      <w:r>
        <w:rPr>
          <w:w w:val="105"/>
        </w:rPr>
        <w:t>Os</w:t>
      </w:r>
      <w:r>
        <w:rPr>
          <w:spacing w:val="-11"/>
          <w:w w:val="105"/>
        </w:rPr>
        <w:t xml:space="preserve"> </w:t>
      </w:r>
      <w:r>
        <w:rPr>
          <w:w w:val="105"/>
        </w:rPr>
        <w:t>ativos</w:t>
      </w:r>
      <w:r>
        <w:rPr>
          <w:spacing w:val="-11"/>
          <w:w w:val="105"/>
        </w:rPr>
        <w:t xml:space="preserve"> </w:t>
      </w:r>
      <w:r>
        <w:rPr>
          <w:w w:val="105"/>
        </w:rPr>
        <w:t>qualificáveis</w:t>
      </w:r>
      <w:r>
        <w:rPr>
          <w:spacing w:val="-12"/>
          <w:w w:val="105"/>
        </w:rPr>
        <w:t xml:space="preserve"> </w:t>
      </w:r>
      <w:r>
        <w:rPr>
          <w:w w:val="105"/>
        </w:rPr>
        <w:t xml:space="preserve">são </w:t>
      </w:r>
      <w:r>
        <w:rPr>
          <w:spacing w:val="-2"/>
          <w:w w:val="105"/>
        </w:rPr>
        <w:t>aqueles</w:t>
      </w:r>
      <w:r>
        <w:rPr>
          <w:spacing w:val="-5"/>
          <w:w w:val="105"/>
        </w:rPr>
        <w:t xml:space="preserve"> </w:t>
      </w:r>
      <w:r>
        <w:rPr>
          <w:spacing w:val="-2"/>
          <w:w w:val="105"/>
        </w:rPr>
        <w:t>que</w:t>
      </w:r>
      <w:r>
        <w:rPr>
          <w:spacing w:val="-4"/>
          <w:w w:val="105"/>
        </w:rPr>
        <w:t xml:space="preserve"> </w:t>
      </w:r>
      <w:r>
        <w:rPr>
          <w:spacing w:val="-2"/>
          <w:w w:val="105"/>
        </w:rPr>
        <w:t>necessariamente</w:t>
      </w:r>
      <w:r>
        <w:rPr>
          <w:spacing w:val="-9"/>
          <w:w w:val="105"/>
        </w:rPr>
        <w:t xml:space="preserve"> </w:t>
      </w:r>
      <w:r>
        <w:rPr>
          <w:spacing w:val="-2"/>
          <w:w w:val="105"/>
        </w:rPr>
        <w:t>demandam</w:t>
      </w:r>
      <w:r>
        <w:rPr>
          <w:spacing w:val="-6"/>
          <w:w w:val="105"/>
        </w:rPr>
        <w:t xml:space="preserve"> </w:t>
      </w:r>
      <w:r>
        <w:rPr>
          <w:spacing w:val="-2"/>
          <w:w w:val="105"/>
        </w:rPr>
        <w:t>um</w:t>
      </w:r>
      <w:r>
        <w:rPr>
          <w:spacing w:val="-5"/>
          <w:w w:val="105"/>
        </w:rPr>
        <w:t xml:space="preserve"> </w:t>
      </w:r>
      <w:r>
        <w:rPr>
          <w:spacing w:val="-2"/>
          <w:w w:val="105"/>
        </w:rPr>
        <w:t>tempo</w:t>
      </w:r>
      <w:r>
        <w:rPr>
          <w:spacing w:val="-3"/>
          <w:w w:val="105"/>
        </w:rPr>
        <w:t xml:space="preserve"> </w:t>
      </w:r>
      <w:r>
        <w:rPr>
          <w:spacing w:val="-2"/>
          <w:w w:val="105"/>
        </w:rPr>
        <w:t>substancial</w:t>
      </w:r>
      <w:r>
        <w:rPr>
          <w:spacing w:val="-5"/>
          <w:w w:val="105"/>
        </w:rPr>
        <w:t xml:space="preserve"> </w:t>
      </w:r>
      <w:r>
        <w:rPr>
          <w:spacing w:val="-2"/>
          <w:w w:val="105"/>
        </w:rPr>
        <w:t>para</w:t>
      </w:r>
      <w:r>
        <w:rPr>
          <w:spacing w:val="-7"/>
          <w:w w:val="105"/>
        </w:rPr>
        <w:t xml:space="preserve"> </w:t>
      </w:r>
      <w:r>
        <w:rPr>
          <w:spacing w:val="-2"/>
          <w:w w:val="105"/>
        </w:rPr>
        <w:t>ficarem</w:t>
      </w:r>
      <w:r>
        <w:rPr>
          <w:spacing w:val="-5"/>
          <w:w w:val="105"/>
        </w:rPr>
        <w:t xml:space="preserve"> </w:t>
      </w:r>
      <w:r>
        <w:rPr>
          <w:spacing w:val="-2"/>
          <w:w w:val="105"/>
        </w:rPr>
        <w:t>prontos</w:t>
      </w:r>
      <w:r>
        <w:rPr>
          <w:spacing w:val="-5"/>
          <w:w w:val="105"/>
        </w:rPr>
        <w:t xml:space="preserve"> </w:t>
      </w:r>
      <w:r>
        <w:rPr>
          <w:spacing w:val="-2"/>
          <w:w w:val="105"/>
        </w:rPr>
        <w:t>para</w:t>
      </w:r>
      <w:r>
        <w:rPr>
          <w:spacing w:val="-5"/>
          <w:w w:val="105"/>
        </w:rPr>
        <w:t xml:space="preserve"> </w:t>
      </w:r>
      <w:r>
        <w:rPr>
          <w:spacing w:val="-2"/>
          <w:w w:val="105"/>
        </w:rPr>
        <w:t>uso.</w:t>
      </w:r>
    </w:p>
    <w:p w14:paraId="568F48FF" w14:textId="77777777" w:rsidR="002C6574" w:rsidRDefault="002C6574">
      <w:pPr>
        <w:pStyle w:val="Corpodetexto"/>
        <w:spacing w:before="8"/>
      </w:pPr>
    </w:p>
    <w:p w14:paraId="51F0510D" w14:textId="77777777" w:rsidR="002C6574" w:rsidRDefault="00000000">
      <w:pPr>
        <w:pStyle w:val="Corpodetexto"/>
        <w:spacing w:line="237" w:lineRule="auto"/>
        <w:ind w:left="143" w:right="703"/>
        <w:jc w:val="both"/>
      </w:pPr>
      <w:r>
        <w:t>Os</w:t>
      </w:r>
      <w:r>
        <w:rPr>
          <w:spacing w:val="-4"/>
        </w:rPr>
        <w:t xml:space="preserve"> </w:t>
      </w:r>
      <w:r>
        <w:t>custos</w:t>
      </w:r>
      <w:r>
        <w:rPr>
          <w:spacing w:val="-4"/>
        </w:rPr>
        <w:t xml:space="preserve"> </w:t>
      </w:r>
      <w:r>
        <w:t>subsequentes</w:t>
      </w:r>
      <w:r>
        <w:rPr>
          <w:spacing w:val="-6"/>
        </w:rPr>
        <w:t xml:space="preserve"> </w:t>
      </w:r>
      <w:r>
        <w:t>são</w:t>
      </w:r>
      <w:r>
        <w:rPr>
          <w:spacing w:val="-2"/>
        </w:rPr>
        <w:t xml:space="preserve"> </w:t>
      </w:r>
      <w:r>
        <w:t>incluídos</w:t>
      </w:r>
      <w:r>
        <w:rPr>
          <w:spacing w:val="-4"/>
        </w:rPr>
        <w:t xml:space="preserve"> </w:t>
      </w:r>
      <w:r>
        <w:t>no</w:t>
      </w:r>
      <w:r>
        <w:rPr>
          <w:spacing w:val="-5"/>
        </w:rPr>
        <w:t xml:space="preserve"> </w:t>
      </w:r>
      <w:r>
        <w:t>valor</w:t>
      </w:r>
      <w:r>
        <w:rPr>
          <w:spacing w:val="-4"/>
        </w:rPr>
        <w:t xml:space="preserve"> </w:t>
      </w:r>
      <w:r>
        <w:t>contábil</w:t>
      </w:r>
      <w:r>
        <w:rPr>
          <w:spacing w:val="-4"/>
        </w:rPr>
        <w:t xml:space="preserve"> </w:t>
      </w:r>
      <w:r>
        <w:t>conforme</w:t>
      </w:r>
      <w:r>
        <w:rPr>
          <w:spacing w:val="-3"/>
        </w:rPr>
        <w:t xml:space="preserve"> </w:t>
      </w:r>
      <w:r>
        <w:t>apropriado,</w:t>
      </w:r>
      <w:r>
        <w:rPr>
          <w:spacing w:val="-4"/>
        </w:rPr>
        <w:t xml:space="preserve"> </w:t>
      </w:r>
      <w:r>
        <w:t>somente</w:t>
      </w:r>
      <w:r>
        <w:rPr>
          <w:spacing w:val="-5"/>
        </w:rPr>
        <w:t xml:space="preserve"> </w:t>
      </w:r>
      <w:r>
        <w:t>quando</w:t>
      </w:r>
      <w:r>
        <w:rPr>
          <w:spacing w:val="-5"/>
        </w:rPr>
        <w:t xml:space="preserve"> </w:t>
      </w:r>
      <w:r>
        <w:t>esses ativos geram benefícios econômicos futuros e possam ser medidos de forma confiável. O saldo residual do ativo substituído é baixado. Os gastos com manutenção e reparo são registrados ao resultado durante o período em que ocorrem, entretanto, são capitalizados somente quando representam claramente aumento da capacidade instalada ou da vida útil econômica.</w:t>
      </w:r>
    </w:p>
    <w:p w14:paraId="0B624794" w14:textId="77777777" w:rsidR="002C6574" w:rsidRDefault="002C6574">
      <w:pPr>
        <w:pStyle w:val="Corpodetexto"/>
        <w:spacing w:before="2"/>
      </w:pPr>
    </w:p>
    <w:p w14:paraId="5460A2CD" w14:textId="77777777" w:rsidR="002C6574" w:rsidRDefault="00000000">
      <w:pPr>
        <w:pStyle w:val="Corpodetexto"/>
        <w:ind w:left="143" w:right="703"/>
        <w:jc w:val="both"/>
      </w:pPr>
      <w:r>
        <w:t>Os bens atrelados a contratos de arrendamento mercantil financeiro são registrados no imobilizado pelo valor justo ou, se inferior, pelo valor presente dos pagamentos mínimos do arrendamento mercantil, na data inicial do contrato.</w:t>
      </w:r>
    </w:p>
    <w:p w14:paraId="1A52687E" w14:textId="77777777" w:rsidR="002C6574" w:rsidRDefault="00000000">
      <w:pPr>
        <w:pStyle w:val="Corpodetexto"/>
        <w:spacing w:before="288" w:line="237" w:lineRule="auto"/>
        <w:ind w:left="143" w:right="706"/>
        <w:jc w:val="both"/>
      </w:pPr>
      <w:r>
        <w:t>A depreciação é calculada pelo método linear, de acordo com a expectativa de vida útil econômica dos bens, a qual é revisada anualmente pela Companhia. (Nota Explicativa 13)</w:t>
      </w:r>
    </w:p>
    <w:p w14:paraId="667F7154" w14:textId="77777777" w:rsidR="002C6574" w:rsidRDefault="002C6574">
      <w:pPr>
        <w:pStyle w:val="Corpodetexto"/>
        <w:spacing w:before="30"/>
      </w:pPr>
    </w:p>
    <w:p w14:paraId="422B8F43" w14:textId="77777777" w:rsidR="002C6574" w:rsidRDefault="00000000">
      <w:pPr>
        <w:numPr>
          <w:ilvl w:val="2"/>
          <w:numId w:val="54"/>
        </w:numPr>
        <w:tabs>
          <w:tab w:val="left" w:pos="995"/>
        </w:tabs>
        <w:spacing w:before="1"/>
        <w:rPr>
          <w:rFonts w:ascii="Arial"/>
          <w:b/>
        </w:rPr>
      </w:pPr>
      <w:r>
        <w:rPr>
          <w:rFonts w:ascii="Arial"/>
          <w:b/>
        </w:rPr>
        <w:t>Ativo</w:t>
      </w:r>
      <w:r>
        <w:rPr>
          <w:rFonts w:ascii="Arial"/>
          <w:b/>
          <w:spacing w:val="-2"/>
        </w:rPr>
        <w:t xml:space="preserve"> </w:t>
      </w:r>
      <w:r>
        <w:rPr>
          <w:rFonts w:ascii="Arial"/>
          <w:b/>
        </w:rPr>
        <w:t>de</w:t>
      </w:r>
      <w:r>
        <w:rPr>
          <w:rFonts w:ascii="Arial"/>
          <w:b/>
          <w:spacing w:val="-2"/>
        </w:rPr>
        <w:t xml:space="preserve"> </w:t>
      </w:r>
      <w:r>
        <w:rPr>
          <w:rFonts w:ascii="Arial"/>
          <w:b/>
        </w:rPr>
        <w:t>direito</w:t>
      </w:r>
      <w:r>
        <w:rPr>
          <w:rFonts w:ascii="Arial"/>
          <w:b/>
          <w:spacing w:val="-1"/>
        </w:rPr>
        <w:t xml:space="preserve"> </w:t>
      </w:r>
      <w:r>
        <w:rPr>
          <w:rFonts w:ascii="Arial"/>
          <w:b/>
        </w:rPr>
        <w:t>de</w:t>
      </w:r>
      <w:r>
        <w:rPr>
          <w:rFonts w:ascii="Arial"/>
          <w:b/>
          <w:spacing w:val="-2"/>
        </w:rPr>
        <w:t xml:space="preserve"> </w:t>
      </w:r>
      <w:r>
        <w:rPr>
          <w:rFonts w:ascii="Arial"/>
          <w:b/>
          <w:spacing w:val="-5"/>
        </w:rPr>
        <w:t>uso</w:t>
      </w:r>
    </w:p>
    <w:p w14:paraId="1C23DED3" w14:textId="77777777" w:rsidR="002C6574" w:rsidRDefault="002C6574">
      <w:pPr>
        <w:pStyle w:val="Corpodetexto"/>
        <w:spacing w:before="31"/>
        <w:rPr>
          <w:rFonts w:ascii="Arial"/>
          <w:b/>
        </w:rPr>
      </w:pPr>
    </w:p>
    <w:p w14:paraId="27280432" w14:textId="77777777" w:rsidR="002C6574" w:rsidRDefault="00000000">
      <w:pPr>
        <w:pStyle w:val="Corpodetexto"/>
        <w:spacing w:line="237" w:lineRule="auto"/>
        <w:ind w:left="143" w:right="703"/>
        <w:jc w:val="both"/>
      </w:pPr>
      <w:r>
        <w:t>Representam os imóveis que são locados de terceiros para a condução dos negócios da Companhia em diversas localidades do país e locação de equipamentos de telecomunicações. Esses ativos são mensurados pelo fluxo de caixa do passivo de arrendamento (Nota Explicativa 24.2), descontado a valor presente. Também são adicionados (quando existir) custos incrementais que são necessários</w:t>
      </w:r>
      <w:r>
        <w:rPr>
          <w:spacing w:val="80"/>
        </w:rPr>
        <w:t xml:space="preserve"> </w:t>
      </w:r>
      <w:r>
        <w:t>na obtenção de um novo contrato de arrendamento que de outra forma não teriam sido incorridos.</w:t>
      </w:r>
    </w:p>
    <w:p w14:paraId="4535A6D7" w14:textId="77777777" w:rsidR="002C6574" w:rsidRDefault="002C6574">
      <w:pPr>
        <w:pStyle w:val="Corpodetexto"/>
        <w:spacing w:before="33"/>
      </w:pPr>
    </w:p>
    <w:p w14:paraId="364E542F" w14:textId="77777777" w:rsidR="002C6574" w:rsidRDefault="00000000">
      <w:pPr>
        <w:numPr>
          <w:ilvl w:val="2"/>
          <w:numId w:val="54"/>
        </w:numPr>
        <w:tabs>
          <w:tab w:val="left" w:pos="995"/>
        </w:tabs>
        <w:rPr>
          <w:rFonts w:ascii="Arial" w:hAnsi="Arial"/>
          <w:b/>
        </w:rPr>
      </w:pPr>
      <w:r>
        <w:rPr>
          <w:rFonts w:ascii="Arial" w:hAnsi="Arial"/>
          <w:b/>
          <w:spacing w:val="-2"/>
        </w:rPr>
        <w:t>Intangível</w:t>
      </w:r>
    </w:p>
    <w:p w14:paraId="76004CE3" w14:textId="77777777" w:rsidR="002C6574" w:rsidRDefault="002C6574">
      <w:pPr>
        <w:pStyle w:val="Corpodetexto"/>
        <w:spacing w:before="48"/>
        <w:rPr>
          <w:rFonts w:ascii="Arial"/>
          <w:b/>
        </w:rPr>
      </w:pPr>
    </w:p>
    <w:p w14:paraId="04929B0D" w14:textId="77777777" w:rsidR="002C6574" w:rsidRDefault="00000000">
      <w:pPr>
        <w:pStyle w:val="Corpodetexto"/>
        <w:spacing w:line="237" w:lineRule="auto"/>
        <w:ind w:left="143" w:right="703"/>
        <w:jc w:val="both"/>
      </w:pPr>
      <w:r>
        <w:t>Ativos</w:t>
      </w:r>
      <w:r>
        <w:rPr>
          <w:spacing w:val="-16"/>
        </w:rPr>
        <w:t xml:space="preserve"> </w:t>
      </w:r>
      <w:r>
        <w:t>intangíveis</w:t>
      </w:r>
      <w:r>
        <w:rPr>
          <w:spacing w:val="-15"/>
        </w:rPr>
        <w:t xml:space="preserve"> </w:t>
      </w:r>
      <w:r>
        <w:t>com</w:t>
      </w:r>
      <w:r>
        <w:rPr>
          <w:spacing w:val="-15"/>
        </w:rPr>
        <w:t xml:space="preserve"> </w:t>
      </w:r>
      <w:r>
        <w:t>vida</w:t>
      </w:r>
      <w:r>
        <w:rPr>
          <w:spacing w:val="-13"/>
        </w:rPr>
        <w:t xml:space="preserve"> </w:t>
      </w:r>
      <w:r>
        <w:t>útil</w:t>
      </w:r>
      <w:r>
        <w:rPr>
          <w:spacing w:val="-12"/>
        </w:rPr>
        <w:t xml:space="preserve"> </w:t>
      </w:r>
      <w:r>
        <w:t>definida</w:t>
      </w:r>
      <w:r>
        <w:rPr>
          <w:spacing w:val="-14"/>
        </w:rPr>
        <w:t xml:space="preserve"> </w:t>
      </w:r>
      <w:r>
        <w:t>adquiridos</w:t>
      </w:r>
      <w:r>
        <w:rPr>
          <w:spacing w:val="-13"/>
        </w:rPr>
        <w:t xml:space="preserve"> </w:t>
      </w:r>
      <w:r>
        <w:t>são</w:t>
      </w:r>
      <w:r>
        <w:rPr>
          <w:spacing w:val="-16"/>
        </w:rPr>
        <w:t xml:space="preserve"> </w:t>
      </w:r>
      <w:r>
        <w:t>registrados</w:t>
      </w:r>
      <w:r>
        <w:rPr>
          <w:spacing w:val="-14"/>
        </w:rPr>
        <w:t xml:space="preserve"> </w:t>
      </w:r>
      <w:r>
        <w:t>ao</w:t>
      </w:r>
      <w:r>
        <w:rPr>
          <w:spacing w:val="-16"/>
        </w:rPr>
        <w:t xml:space="preserve"> </w:t>
      </w:r>
      <w:r>
        <w:t>custo,</w:t>
      </w:r>
      <w:r>
        <w:rPr>
          <w:spacing w:val="-9"/>
        </w:rPr>
        <w:t xml:space="preserve"> </w:t>
      </w:r>
      <w:r>
        <w:t>deduzido</w:t>
      </w:r>
      <w:r>
        <w:rPr>
          <w:spacing w:val="-16"/>
        </w:rPr>
        <w:t xml:space="preserve"> </w:t>
      </w:r>
      <w:r>
        <w:t>da</w:t>
      </w:r>
      <w:r>
        <w:rPr>
          <w:spacing w:val="-15"/>
        </w:rPr>
        <w:t xml:space="preserve"> </w:t>
      </w:r>
      <w:r>
        <w:t>amortização e das perdas por redução ao valor recuperável acumuladas. A amortização é reconhecida linearmente</w:t>
      </w:r>
      <w:r>
        <w:rPr>
          <w:spacing w:val="-16"/>
        </w:rPr>
        <w:t xml:space="preserve"> </w:t>
      </w:r>
      <w:r>
        <w:t>com</w:t>
      </w:r>
      <w:r>
        <w:rPr>
          <w:spacing w:val="-15"/>
        </w:rPr>
        <w:t xml:space="preserve"> </w:t>
      </w:r>
      <w:r>
        <w:t>base</w:t>
      </w:r>
      <w:r>
        <w:rPr>
          <w:spacing w:val="-15"/>
        </w:rPr>
        <w:t xml:space="preserve"> </w:t>
      </w:r>
      <w:r>
        <w:t>na</w:t>
      </w:r>
      <w:r>
        <w:rPr>
          <w:spacing w:val="-15"/>
        </w:rPr>
        <w:t xml:space="preserve"> </w:t>
      </w:r>
      <w:r>
        <w:t>vida</w:t>
      </w:r>
      <w:r>
        <w:rPr>
          <w:spacing w:val="-15"/>
        </w:rPr>
        <w:t xml:space="preserve"> </w:t>
      </w:r>
      <w:r>
        <w:t>útil</w:t>
      </w:r>
      <w:r>
        <w:rPr>
          <w:spacing w:val="-15"/>
        </w:rPr>
        <w:t xml:space="preserve"> </w:t>
      </w:r>
      <w:r>
        <w:t>estimada</w:t>
      </w:r>
      <w:r>
        <w:rPr>
          <w:spacing w:val="-15"/>
        </w:rPr>
        <w:t xml:space="preserve"> </w:t>
      </w:r>
      <w:r>
        <w:t>dos</w:t>
      </w:r>
      <w:r>
        <w:rPr>
          <w:spacing w:val="-15"/>
        </w:rPr>
        <w:t xml:space="preserve"> </w:t>
      </w:r>
      <w:r>
        <w:t>ativos.</w:t>
      </w:r>
      <w:r>
        <w:rPr>
          <w:spacing w:val="-15"/>
        </w:rPr>
        <w:t xml:space="preserve"> </w:t>
      </w:r>
      <w:r>
        <w:t>A</w:t>
      </w:r>
      <w:r>
        <w:rPr>
          <w:spacing w:val="-15"/>
        </w:rPr>
        <w:t xml:space="preserve"> </w:t>
      </w:r>
      <w:r>
        <w:t>vida</w:t>
      </w:r>
      <w:r>
        <w:rPr>
          <w:spacing w:val="-15"/>
        </w:rPr>
        <w:t xml:space="preserve"> </w:t>
      </w:r>
      <w:r>
        <w:t>útil</w:t>
      </w:r>
      <w:r>
        <w:rPr>
          <w:spacing w:val="-15"/>
        </w:rPr>
        <w:t xml:space="preserve"> </w:t>
      </w:r>
      <w:r>
        <w:t>estimada</w:t>
      </w:r>
      <w:r>
        <w:rPr>
          <w:spacing w:val="-15"/>
        </w:rPr>
        <w:t xml:space="preserve"> </w:t>
      </w:r>
      <w:r>
        <w:t>e</w:t>
      </w:r>
      <w:r>
        <w:rPr>
          <w:spacing w:val="-15"/>
        </w:rPr>
        <w:t xml:space="preserve"> </w:t>
      </w:r>
      <w:r>
        <w:t>o</w:t>
      </w:r>
      <w:r>
        <w:rPr>
          <w:spacing w:val="-15"/>
        </w:rPr>
        <w:t xml:space="preserve"> </w:t>
      </w:r>
      <w:r>
        <w:t>método</w:t>
      </w:r>
      <w:r>
        <w:rPr>
          <w:spacing w:val="-16"/>
        </w:rPr>
        <w:t xml:space="preserve"> </w:t>
      </w:r>
      <w:r>
        <w:t>de</w:t>
      </w:r>
      <w:r>
        <w:rPr>
          <w:spacing w:val="-15"/>
        </w:rPr>
        <w:t xml:space="preserve"> </w:t>
      </w:r>
      <w:r>
        <w:t>amortização são revisados no fim de cada exercício e o efeito de quaisquer mudanças nas estimativas é contabilizado</w:t>
      </w:r>
      <w:r>
        <w:rPr>
          <w:spacing w:val="-12"/>
        </w:rPr>
        <w:t xml:space="preserve"> </w:t>
      </w:r>
      <w:r>
        <w:t>prospectivamente.</w:t>
      </w:r>
      <w:r>
        <w:rPr>
          <w:spacing w:val="-12"/>
        </w:rPr>
        <w:t xml:space="preserve"> </w:t>
      </w:r>
      <w:r>
        <w:t>Ativos</w:t>
      </w:r>
      <w:r>
        <w:rPr>
          <w:spacing w:val="-12"/>
        </w:rPr>
        <w:t xml:space="preserve"> </w:t>
      </w:r>
      <w:r>
        <w:t>intangíveis</w:t>
      </w:r>
      <w:r>
        <w:rPr>
          <w:spacing w:val="-12"/>
        </w:rPr>
        <w:t xml:space="preserve"> </w:t>
      </w:r>
      <w:r>
        <w:t>com</w:t>
      </w:r>
      <w:r>
        <w:rPr>
          <w:spacing w:val="-10"/>
        </w:rPr>
        <w:t xml:space="preserve"> </w:t>
      </w:r>
      <w:r>
        <w:t>vida</w:t>
      </w:r>
      <w:r>
        <w:rPr>
          <w:spacing w:val="-12"/>
        </w:rPr>
        <w:t xml:space="preserve"> </w:t>
      </w:r>
      <w:r>
        <w:t>útil</w:t>
      </w:r>
      <w:r>
        <w:rPr>
          <w:spacing w:val="-12"/>
        </w:rPr>
        <w:t xml:space="preserve"> </w:t>
      </w:r>
      <w:r>
        <w:t>indefinida</w:t>
      </w:r>
      <w:r>
        <w:rPr>
          <w:spacing w:val="-13"/>
        </w:rPr>
        <w:t xml:space="preserve"> </w:t>
      </w:r>
      <w:r>
        <w:t>adquiridos</w:t>
      </w:r>
      <w:r>
        <w:rPr>
          <w:spacing w:val="-12"/>
        </w:rPr>
        <w:t xml:space="preserve"> </w:t>
      </w:r>
      <w:r>
        <w:t>são</w:t>
      </w:r>
      <w:r>
        <w:rPr>
          <w:spacing w:val="-12"/>
        </w:rPr>
        <w:t xml:space="preserve"> </w:t>
      </w:r>
      <w:r>
        <w:t>registrados ao custo, deduzido das perdas por redução ao valor recuperável acumuladas.</w:t>
      </w:r>
    </w:p>
    <w:p w14:paraId="0752FB7F" w14:textId="77777777" w:rsidR="002C6574" w:rsidRDefault="002C6574">
      <w:pPr>
        <w:pStyle w:val="Corpodetexto"/>
        <w:spacing w:before="2"/>
      </w:pPr>
    </w:p>
    <w:p w14:paraId="1586EC57" w14:textId="77777777" w:rsidR="002C6574" w:rsidRDefault="00000000">
      <w:pPr>
        <w:pStyle w:val="Corpodetexto"/>
        <w:spacing w:line="292" w:lineRule="exact"/>
        <w:ind w:left="143"/>
        <w:jc w:val="both"/>
      </w:pPr>
      <w:r>
        <w:t>As licenças de</w:t>
      </w:r>
      <w:r>
        <w:rPr>
          <w:spacing w:val="1"/>
        </w:rPr>
        <w:t xml:space="preserve"> </w:t>
      </w:r>
      <w:r>
        <w:rPr>
          <w:rFonts w:ascii="Arial" w:hAnsi="Arial"/>
          <w:i/>
        </w:rPr>
        <w:t>software</w:t>
      </w:r>
      <w:r>
        <w:rPr>
          <w:rFonts w:ascii="Arial" w:hAnsi="Arial"/>
          <w:i/>
          <w:spacing w:val="-4"/>
        </w:rPr>
        <w:t xml:space="preserve"> </w:t>
      </w:r>
      <w:r>
        <w:t>adquiridas</w:t>
      </w:r>
      <w:r>
        <w:rPr>
          <w:spacing w:val="1"/>
        </w:rPr>
        <w:t xml:space="preserve"> </w:t>
      </w:r>
      <w:r>
        <w:t>são capitalizadas com</w:t>
      </w:r>
      <w:r>
        <w:rPr>
          <w:spacing w:val="3"/>
        </w:rPr>
        <w:t xml:space="preserve"> </w:t>
      </w:r>
      <w:r>
        <w:t>base</w:t>
      </w:r>
      <w:r>
        <w:rPr>
          <w:spacing w:val="-1"/>
        </w:rPr>
        <w:t xml:space="preserve"> </w:t>
      </w:r>
      <w:r>
        <w:t>nos custos</w:t>
      </w:r>
      <w:r>
        <w:rPr>
          <w:spacing w:val="1"/>
        </w:rPr>
        <w:t xml:space="preserve"> </w:t>
      </w:r>
      <w:r>
        <w:t>incorridos para</w:t>
      </w:r>
      <w:r>
        <w:rPr>
          <w:spacing w:val="-1"/>
        </w:rPr>
        <w:t xml:space="preserve"> </w:t>
      </w:r>
      <w:r>
        <w:t xml:space="preserve">adquirir </w:t>
      </w:r>
      <w:r>
        <w:rPr>
          <w:spacing w:val="-5"/>
        </w:rPr>
        <w:t>os</w:t>
      </w:r>
    </w:p>
    <w:p w14:paraId="742577BB" w14:textId="77777777" w:rsidR="002C6574" w:rsidRDefault="00000000">
      <w:pPr>
        <w:pStyle w:val="Corpodetexto"/>
        <w:spacing w:line="292" w:lineRule="exact"/>
        <w:ind w:left="143"/>
        <w:jc w:val="both"/>
      </w:pPr>
      <w:r>
        <w:rPr>
          <w:rFonts w:ascii="Arial"/>
          <w:i/>
        </w:rPr>
        <w:t>softwares</w:t>
      </w:r>
      <w:r>
        <w:rPr>
          <w:rFonts w:ascii="Arial"/>
          <w:i/>
          <w:spacing w:val="3"/>
        </w:rPr>
        <w:t xml:space="preserve"> </w:t>
      </w:r>
      <w:r>
        <w:t>e</w:t>
      </w:r>
      <w:r>
        <w:rPr>
          <w:spacing w:val="3"/>
        </w:rPr>
        <w:t xml:space="preserve"> </w:t>
      </w:r>
      <w:r>
        <w:t>fazer</w:t>
      </w:r>
      <w:r>
        <w:rPr>
          <w:spacing w:val="4"/>
        </w:rPr>
        <w:t xml:space="preserve"> </w:t>
      </w:r>
      <w:r>
        <w:t>com</w:t>
      </w:r>
      <w:r>
        <w:rPr>
          <w:spacing w:val="5"/>
        </w:rPr>
        <w:t xml:space="preserve"> </w:t>
      </w:r>
      <w:r>
        <w:t>que</w:t>
      </w:r>
      <w:r>
        <w:rPr>
          <w:spacing w:val="6"/>
        </w:rPr>
        <w:t xml:space="preserve"> </w:t>
      </w:r>
      <w:r>
        <w:t>eles</w:t>
      </w:r>
      <w:r>
        <w:rPr>
          <w:spacing w:val="5"/>
        </w:rPr>
        <w:t xml:space="preserve"> </w:t>
      </w:r>
      <w:r>
        <w:t>estejam</w:t>
      </w:r>
      <w:r>
        <w:rPr>
          <w:spacing w:val="4"/>
        </w:rPr>
        <w:t xml:space="preserve"> </w:t>
      </w:r>
      <w:r>
        <w:t>prontos</w:t>
      </w:r>
      <w:r>
        <w:rPr>
          <w:spacing w:val="3"/>
        </w:rPr>
        <w:t xml:space="preserve"> </w:t>
      </w:r>
      <w:r>
        <w:t>para</w:t>
      </w:r>
      <w:r>
        <w:rPr>
          <w:spacing w:val="5"/>
        </w:rPr>
        <w:t xml:space="preserve"> </w:t>
      </w:r>
      <w:r>
        <w:t>serem</w:t>
      </w:r>
      <w:r>
        <w:rPr>
          <w:spacing w:val="4"/>
        </w:rPr>
        <w:t xml:space="preserve"> </w:t>
      </w:r>
      <w:r>
        <w:rPr>
          <w:spacing w:val="-2"/>
        </w:rPr>
        <w:t>utilizados.</w:t>
      </w:r>
    </w:p>
    <w:p w14:paraId="5C6F2EA1" w14:textId="77777777" w:rsidR="002C6574" w:rsidRDefault="002C6574">
      <w:pPr>
        <w:pStyle w:val="Corpodetexto"/>
        <w:spacing w:line="292" w:lineRule="exact"/>
        <w:jc w:val="both"/>
        <w:sectPr w:rsidR="002C6574">
          <w:headerReference w:type="default" r:id="rId67"/>
          <w:footerReference w:type="default" r:id="rId68"/>
          <w:pgSz w:w="11910" w:h="16840"/>
          <w:pgMar w:top="1600" w:right="141" w:bottom="1480" w:left="1133" w:header="856" w:footer="1296" w:gutter="0"/>
          <w:pgNumType w:start="1"/>
          <w:cols w:space="720"/>
        </w:sectPr>
      </w:pPr>
    </w:p>
    <w:p w14:paraId="305CAD55" w14:textId="77777777" w:rsidR="002C6574" w:rsidRDefault="00000000">
      <w:pPr>
        <w:pStyle w:val="Corpodetexto"/>
        <w:spacing w:before="198"/>
        <w:ind w:left="143" w:right="704"/>
        <w:jc w:val="both"/>
      </w:pPr>
      <w:r>
        <w:lastRenderedPageBreak/>
        <w:t xml:space="preserve">Os custos associados à manutenção de </w:t>
      </w:r>
      <w:r>
        <w:rPr>
          <w:rFonts w:ascii="Arial" w:hAnsi="Arial"/>
          <w:i/>
        </w:rPr>
        <w:t xml:space="preserve">softwares </w:t>
      </w:r>
      <w:r>
        <w:t xml:space="preserve">são reconhecidos como despesa, conforme incorridos. Os custos de desenvolvimento que são diretamente atribuíveis ao projeto e aos testes de produtos de </w:t>
      </w:r>
      <w:r>
        <w:rPr>
          <w:rFonts w:ascii="Arial" w:hAnsi="Arial"/>
          <w:i/>
        </w:rPr>
        <w:t xml:space="preserve">software </w:t>
      </w:r>
      <w:r>
        <w:t>identificáveis e exclusivos, controlados pela Companhia, são reconhecidos como ativos intangíveis quando os seguintes critérios são atendidos:</w:t>
      </w:r>
    </w:p>
    <w:p w14:paraId="6E725D5C" w14:textId="77777777" w:rsidR="002C6574" w:rsidRDefault="00000000">
      <w:pPr>
        <w:pStyle w:val="PargrafodaLista"/>
        <w:numPr>
          <w:ilvl w:val="0"/>
          <w:numId w:val="53"/>
        </w:numPr>
        <w:tabs>
          <w:tab w:val="left" w:pos="399"/>
        </w:tabs>
        <w:spacing w:before="233"/>
        <w:ind w:left="399" w:hanging="256"/>
        <w:rPr>
          <w:rFonts w:ascii="Segoe UI Symbol" w:hAnsi="Segoe UI Symbol"/>
        </w:rPr>
      </w:pPr>
      <w:r>
        <w:rPr>
          <w:rFonts w:ascii="Segoe UI Symbol" w:hAnsi="Segoe UI Symbol"/>
        </w:rPr>
        <w:t>é</w:t>
      </w:r>
      <w:r>
        <w:rPr>
          <w:rFonts w:ascii="Segoe UI Symbol" w:hAnsi="Segoe UI Symbol"/>
          <w:spacing w:val="2"/>
        </w:rPr>
        <w:t xml:space="preserve"> </w:t>
      </w:r>
      <w:r>
        <w:rPr>
          <w:rFonts w:ascii="Segoe UI Symbol" w:hAnsi="Segoe UI Symbol"/>
        </w:rPr>
        <w:t>tecnicamente viável</w:t>
      </w:r>
      <w:r>
        <w:rPr>
          <w:rFonts w:ascii="Segoe UI Symbol" w:hAnsi="Segoe UI Symbol"/>
          <w:spacing w:val="2"/>
        </w:rPr>
        <w:t xml:space="preserve"> </w:t>
      </w:r>
      <w:r>
        <w:rPr>
          <w:rFonts w:ascii="Segoe UI Symbol" w:hAnsi="Segoe UI Symbol"/>
        </w:rPr>
        <w:t>concluir</w:t>
      </w:r>
      <w:r>
        <w:rPr>
          <w:rFonts w:ascii="Segoe UI Symbol" w:hAnsi="Segoe UI Symbol"/>
          <w:spacing w:val="6"/>
        </w:rPr>
        <w:t xml:space="preserve"> </w:t>
      </w:r>
      <w:r>
        <w:rPr>
          <w:rFonts w:ascii="Segoe UI Symbol" w:hAnsi="Segoe UI Symbol"/>
        </w:rPr>
        <w:t>o</w:t>
      </w:r>
      <w:r>
        <w:rPr>
          <w:rFonts w:ascii="Segoe UI Symbol" w:hAnsi="Segoe UI Symbol"/>
          <w:spacing w:val="5"/>
        </w:rPr>
        <w:t xml:space="preserve"> </w:t>
      </w:r>
      <w:r>
        <w:rPr>
          <w:rFonts w:ascii="Arial" w:hAnsi="Arial"/>
          <w:i/>
        </w:rPr>
        <w:t>software</w:t>
      </w:r>
      <w:r>
        <w:rPr>
          <w:rFonts w:ascii="Arial" w:hAnsi="Arial"/>
          <w:i/>
          <w:spacing w:val="2"/>
        </w:rPr>
        <w:t xml:space="preserve"> </w:t>
      </w:r>
      <w:r>
        <w:rPr>
          <w:rFonts w:ascii="Segoe UI Symbol" w:hAnsi="Segoe UI Symbol"/>
        </w:rPr>
        <w:t>para</w:t>
      </w:r>
      <w:r>
        <w:rPr>
          <w:rFonts w:ascii="Segoe UI Symbol" w:hAnsi="Segoe UI Symbol"/>
          <w:spacing w:val="2"/>
        </w:rPr>
        <w:t xml:space="preserve"> </w:t>
      </w:r>
      <w:r>
        <w:rPr>
          <w:rFonts w:ascii="Segoe UI Symbol" w:hAnsi="Segoe UI Symbol"/>
        </w:rPr>
        <w:t>que</w:t>
      </w:r>
      <w:r>
        <w:rPr>
          <w:rFonts w:ascii="Segoe UI Symbol" w:hAnsi="Segoe UI Symbol"/>
          <w:spacing w:val="5"/>
        </w:rPr>
        <w:t xml:space="preserve"> </w:t>
      </w:r>
      <w:r>
        <w:rPr>
          <w:rFonts w:ascii="Segoe UI Symbol" w:hAnsi="Segoe UI Symbol"/>
        </w:rPr>
        <w:t>ele</w:t>
      </w:r>
      <w:r>
        <w:rPr>
          <w:rFonts w:ascii="Segoe UI Symbol" w:hAnsi="Segoe UI Symbol"/>
          <w:spacing w:val="2"/>
        </w:rPr>
        <w:t xml:space="preserve"> </w:t>
      </w:r>
      <w:r>
        <w:rPr>
          <w:rFonts w:ascii="Segoe UI Symbol" w:hAnsi="Segoe UI Symbol"/>
        </w:rPr>
        <w:t>esteja</w:t>
      </w:r>
      <w:r>
        <w:rPr>
          <w:rFonts w:ascii="Segoe UI Symbol" w:hAnsi="Segoe UI Symbol"/>
          <w:spacing w:val="4"/>
        </w:rPr>
        <w:t xml:space="preserve"> </w:t>
      </w:r>
      <w:r>
        <w:rPr>
          <w:rFonts w:ascii="Segoe UI Symbol" w:hAnsi="Segoe UI Symbol"/>
        </w:rPr>
        <w:t>disponível</w:t>
      </w:r>
      <w:r>
        <w:rPr>
          <w:rFonts w:ascii="Segoe UI Symbol" w:hAnsi="Segoe UI Symbol"/>
          <w:spacing w:val="1"/>
        </w:rPr>
        <w:t xml:space="preserve"> </w:t>
      </w:r>
      <w:r>
        <w:rPr>
          <w:rFonts w:ascii="Segoe UI Symbol" w:hAnsi="Segoe UI Symbol"/>
        </w:rPr>
        <w:t xml:space="preserve">para </w:t>
      </w:r>
      <w:r>
        <w:rPr>
          <w:rFonts w:ascii="Segoe UI Symbol" w:hAnsi="Segoe UI Symbol"/>
          <w:spacing w:val="-4"/>
        </w:rPr>
        <w:t>uso;</w:t>
      </w:r>
    </w:p>
    <w:p w14:paraId="34747734" w14:textId="77777777" w:rsidR="002C6574" w:rsidRDefault="00000000">
      <w:pPr>
        <w:pStyle w:val="PargrafodaLista"/>
        <w:numPr>
          <w:ilvl w:val="0"/>
          <w:numId w:val="53"/>
        </w:numPr>
        <w:tabs>
          <w:tab w:val="left" w:pos="448"/>
        </w:tabs>
        <w:spacing w:before="238"/>
        <w:ind w:left="448" w:hanging="305"/>
        <w:rPr>
          <w:rFonts w:ascii="Segoe UI Symbol" w:hAnsi="Segoe UI Symbol"/>
        </w:rPr>
      </w:pPr>
      <w:r>
        <w:rPr>
          <w:rFonts w:ascii="Segoe UI Symbol" w:hAnsi="Segoe UI Symbol"/>
        </w:rPr>
        <w:t>a</w:t>
      </w:r>
      <w:r>
        <w:rPr>
          <w:rFonts w:ascii="Segoe UI Symbol" w:hAnsi="Segoe UI Symbol"/>
          <w:spacing w:val="-5"/>
        </w:rPr>
        <w:t xml:space="preserve"> </w:t>
      </w:r>
      <w:r>
        <w:rPr>
          <w:rFonts w:ascii="Segoe UI Symbol" w:hAnsi="Segoe UI Symbol"/>
        </w:rPr>
        <w:t>Administração</w:t>
      </w:r>
      <w:r>
        <w:rPr>
          <w:rFonts w:ascii="Segoe UI Symbol" w:hAnsi="Segoe UI Symbol"/>
          <w:spacing w:val="-6"/>
        </w:rPr>
        <w:t xml:space="preserve"> </w:t>
      </w:r>
      <w:r>
        <w:rPr>
          <w:rFonts w:ascii="Segoe UI Symbol" w:hAnsi="Segoe UI Symbol"/>
        </w:rPr>
        <w:t>pretende</w:t>
      </w:r>
      <w:r>
        <w:rPr>
          <w:rFonts w:ascii="Segoe UI Symbol" w:hAnsi="Segoe UI Symbol"/>
          <w:spacing w:val="-5"/>
        </w:rPr>
        <w:t xml:space="preserve"> </w:t>
      </w:r>
      <w:r>
        <w:rPr>
          <w:rFonts w:ascii="Segoe UI Symbol" w:hAnsi="Segoe UI Symbol"/>
        </w:rPr>
        <w:t>concluir</w:t>
      </w:r>
      <w:r>
        <w:rPr>
          <w:rFonts w:ascii="Segoe UI Symbol" w:hAnsi="Segoe UI Symbol"/>
          <w:spacing w:val="-5"/>
        </w:rPr>
        <w:t xml:space="preserve"> </w:t>
      </w:r>
      <w:r>
        <w:rPr>
          <w:rFonts w:ascii="Segoe UI Symbol" w:hAnsi="Segoe UI Symbol"/>
        </w:rPr>
        <w:t>o</w:t>
      </w:r>
      <w:r>
        <w:rPr>
          <w:rFonts w:ascii="Segoe UI Symbol" w:hAnsi="Segoe UI Symbol"/>
          <w:spacing w:val="-5"/>
        </w:rPr>
        <w:t xml:space="preserve"> </w:t>
      </w:r>
      <w:r>
        <w:rPr>
          <w:rFonts w:ascii="Arial" w:hAnsi="Arial"/>
          <w:i/>
        </w:rPr>
        <w:t>software</w:t>
      </w:r>
      <w:r>
        <w:rPr>
          <w:rFonts w:ascii="Arial" w:hAnsi="Arial"/>
          <w:i/>
          <w:spacing w:val="-9"/>
        </w:rPr>
        <w:t xml:space="preserve"> </w:t>
      </w:r>
      <w:r>
        <w:rPr>
          <w:rFonts w:ascii="Segoe UI Symbol" w:hAnsi="Segoe UI Symbol"/>
        </w:rPr>
        <w:t>e</w:t>
      </w:r>
      <w:r>
        <w:rPr>
          <w:rFonts w:ascii="Segoe UI Symbol" w:hAnsi="Segoe UI Symbol"/>
          <w:spacing w:val="-7"/>
        </w:rPr>
        <w:t xml:space="preserve"> </w:t>
      </w:r>
      <w:r>
        <w:rPr>
          <w:rFonts w:ascii="Segoe UI Symbol" w:hAnsi="Segoe UI Symbol"/>
        </w:rPr>
        <w:t>usá-lo</w:t>
      </w:r>
      <w:r>
        <w:rPr>
          <w:rFonts w:ascii="Segoe UI Symbol" w:hAnsi="Segoe UI Symbol"/>
          <w:spacing w:val="-4"/>
        </w:rPr>
        <w:t xml:space="preserve"> </w:t>
      </w:r>
      <w:r>
        <w:rPr>
          <w:rFonts w:ascii="Segoe UI Symbol" w:hAnsi="Segoe UI Symbol"/>
        </w:rPr>
        <w:t>ou</w:t>
      </w:r>
      <w:r>
        <w:rPr>
          <w:rFonts w:ascii="Segoe UI Symbol" w:hAnsi="Segoe UI Symbol"/>
          <w:spacing w:val="-7"/>
        </w:rPr>
        <w:t xml:space="preserve"> </w:t>
      </w:r>
      <w:r>
        <w:rPr>
          <w:rFonts w:ascii="Segoe UI Symbol" w:hAnsi="Segoe UI Symbol"/>
        </w:rPr>
        <w:t>vendê-</w:t>
      </w:r>
      <w:r>
        <w:rPr>
          <w:rFonts w:ascii="Segoe UI Symbol" w:hAnsi="Segoe UI Symbol"/>
          <w:spacing w:val="-5"/>
        </w:rPr>
        <w:t>lo;</w:t>
      </w:r>
    </w:p>
    <w:p w14:paraId="730DC534" w14:textId="77777777" w:rsidR="002C6574" w:rsidRDefault="00000000">
      <w:pPr>
        <w:pStyle w:val="PargrafodaLista"/>
        <w:numPr>
          <w:ilvl w:val="0"/>
          <w:numId w:val="53"/>
        </w:numPr>
        <w:tabs>
          <w:tab w:val="left" w:pos="496"/>
        </w:tabs>
        <w:spacing w:before="240"/>
        <w:ind w:left="496" w:hanging="353"/>
        <w:rPr>
          <w:rFonts w:ascii="Segoe UI Symbol" w:hAnsi="Segoe UI Symbol"/>
        </w:rPr>
      </w:pPr>
      <w:r>
        <w:rPr>
          <w:rFonts w:ascii="Segoe UI Symbol" w:hAnsi="Segoe UI Symbol"/>
        </w:rPr>
        <w:t>pode-se</w:t>
      </w:r>
      <w:r>
        <w:rPr>
          <w:rFonts w:ascii="Segoe UI Symbol" w:hAnsi="Segoe UI Symbol"/>
          <w:spacing w:val="-3"/>
        </w:rPr>
        <w:t xml:space="preserve"> </w:t>
      </w:r>
      <w:r>
        <w:rPr>
          <w:rFonts w:ascii="Segoe UI Symbol" w:hAnsi="Segoe UI Symbol"/>
        </w:rPr>
        <w:t>demonstrar</w:t>
      </w:r>
      <w:r>
        <w:rPr>
          <w:rFonts w:ascii="Segoe UI Symbol" w:hAnsi="Segoe UI Symbol"/>
          <w:spacing w:val="-3"/>
        </w:rPr>
        <w:t xml:space="preserve"> </w:t>
      </w:r>
      <w:r>
        <w:rPr>
          <w:rFonts w:ascii="Segoe UI Symbol" w:hAnsi="Segoe UI Symbol"/>
        </w:rPr>
        <w:t>que</w:t>
      </w:r>
      <w:r>
        <w:rPr>
          <w:rFonts w:ascii="Segoe UI Symbol" w:hAnsi="Segoe UI Symbol"/>
          <w:spacing w:val="-3"/>
        </w:rPr>
        <w:t xml:space="preserve"> </w:t>
      </w:r>
      <w:r>
        <w:rPr>
          <w:rFonts w:ascii="Segoe UI Symbol" w:hAnsi="Segoe UI Symbol"/>
        </w:rPr>
        <w:t>é provável</w:t>
      </w:r>
      <w:r>
        <w:rPr>
          <w:rFonts w:ascii="Segoe UI Symbol" w:hAnsi="Segoe UI Symbol"/>
          <w:spacing w:val="-2"/>
        </w:rPr>
        <w:t xml:space="preserve"> </w:t>
      </w:r>
      <w:r>
        <w:rPr>
          <w:rFonts w:ascii="Segoe UI Symbol" w:hAnsi="Segoe UI Symbol"/>
        </w:rPr>
        <w:t>que</w:t>
      </w:r>
      <w:r>
        <w:rPr>
          <w:rFonts w:ascii="Segoe UI Symbol" w:hAnsi="Segoe UI Symbol"/>
          <w:spacing w:val="-3"/>
        </w:rPr>
        <w:t xml:space="preserve"> </w:t>
      </w:r>
      <w:r>
        <w:rPr>
          <w:rFonts w:ascii="Segoe UI Symbol" w:hAnsi="Segoe UI Symbol"/>
        </w:rPr>
        <w:t>o</w:t>
      </w:r>
      <w:r>
        <w:rPr>
          <w:rFonts w:ascii="Segoe UI Symbol" w:hAnsi="Segoe UI Symbol"/>
          <w:spacing w:val="-2"/>
        </w:rPr>
        <w:t xml:space="preserve"> </w:t>
      </w:r>
      <w:r>
        <w:rPr>
          <w:rFonts w:ascii="Arial" w:hAnsi="Arial"/>
          <w:i/>
        </w:rPr>
        <w:t>software</w:t>
      </w:r>
      <w:r>
        <w:rPr>
          <w:rFonts w:ascii="Arial" w:hAnsi="Arial"/>
          <w:i/>
          <w:spacing w:val="-4"/>
        </w:rPr>
        <w:t xml:space="preserve"> </w:t>
      </w:r>
      <w:r>
        <w:rPr>
          <w:rFonts w:ascii="Segoe UI Symbol" w:hAnsi="Segoe UI Symbol"/>
        </w:rPr>
        <w:t>gere</w:t>
      </w:r>
      <w:r>
        <w:rPr>
          <w:rFonts w:ascii="Segoe UI Symbol" w:hAnsi="Segoe UI Symbol"/>
          <w:spacing w:val="-1"/>
        </w:rPr>
        <w:t xml:space="preserve"> </w:t>
      </w:r>
      <w:r>
        <w:rPr>
          <w:rFonts w:ascii="Segoe UI Symbol" w:hAnsi="Segoe UI Symbol"/>
        </w:rPr>
        <w:t>benefícios econômicos</w:t>
      </w:r>
      <w:r>
        <w:rPr>
          <w:rFonts w:ascii="Segoe UI Symbol" w:hAnsi="Segoe UI Symbol"/>
          <w:spacing w:val="-4"/>
        </w:rPr>
        <w:t xml:space="preserve"> </w:t>
      </w:r>
      <w:r>
        <w:rPr>
          <w:rFonts w:ascii="Segoe UI Symbol" w:hAnsi="Segoe UI Symbol"/>
          <w:spacing w:val="-2"/>
        </w:rPr>
        <w:t>futuros;</w:t>
      </w:r>
    </w:p>
    <w:p w14:paraId="72534862" w14:textId="77777777" w:rsidR="002C6574" w:rsidRDefault="00000000">
      <w:pPr>
        <w:pStyle w:val="PargrafodaLista"/>
        <w:numPr>
          <w:ilvl w:val="0"/>
          <w:numId w:val="53"/>
        </w:numPr>
        <w:tabs>
          <w:tab w:val="left" w:pos="539"/>
        </w:tabs>
        <w:spacing w:before="241" w:line="237" w:lineRule="auto"/>
        <w:ind w:left="143" w:right="703" w:firstLine="0"/>
        <w:rPr>
          <w:rFonts w:ascii="Segoe UI Symbol" w:hAnsi="Segoe UI Symbol"/>
        </w:rPr>
      </w:pPr>
      <w:r>
        <w:rPr>
          <w:rFonts w:ascii="Segoe UI Symbol" w:hAnsi="Segoe UI Symbol"/>
        </w:rPr>
        <w:t>estão</w:t>
      </w:r>
      <w:r>
        <w:rPr>
          <w:rFonts w:ascii="Segoe UI Symbol" w:hAnsi="Segoe UI Symbol"/>
          <w:spacing w:val="38"/>
        </w:rPr>
        <w:t xml:space="preserve"> </w:t>
      </w:r>
      <w:r>
        <w:rPr>
          <w:rFonts w:ascii="Segoe UI Symbol" w:hAnsi="Segoe UI Symbol"/>
        </w:rPr>
        <w:t>disponíveis</w:t>
      </w:r>
      <w:r>
        <w:rPr>
          <w:rFonts w:ascii="Segoe UI Symbol" w:hAnsi="Segoe UI Symbol"/>
          <w:spacing w:val="38"/>
        </w:rPr>
        <w:t xml:space="preserve"> </w:t>
      </w:r>
      <w:r>
        <w:rPr>
          <w:rFonts w:ascii="Segoe UI Symbol" w:hAnsi="Segoe UI Symbol"/>
        </w:rPr>
        <w:t>adequados</w:t>
      </w:r>
      <w:r>
        <w:rPr>
          <w:rFonts w:ascii="Segoe UI Symbol" w:hAnsi="Segoe UI Symbol"/>
          <w:spacing w:val="40"/>
        </w:rPr>
        <w:t xml:space="preserve"> </w:t>
      </w:r>
      <w:r>
        <w:rPr>
          <w:rFonts w:ascii="Segoe UI Symbol" w:hAnsi="Segoe UI Symbol"/>
        </w:rPr>
        <w:t>recursos</w:t>
      </w:r>
      <w:r>
        <w:rPr>
          <w:rFonts w:ascii="Segoe UI Symbol" w:hAnsi="Segoe UI Symbol"/>
          <w:spacing w:val="38"/>
        </w:rPr>
        <w:t xml:space="preserve"> </w:t>
      </w:r>
      <w:r>
        <w:rPr>
          <w:rFonts w:ascii="Segoe UI Symbol" w:hAnsi="Segoe UI Symbol"/>
        </w:rPr>
        <w:t>técnicos,</w:t>
      </w:r>
      <w:r>
        <w:rPr>
          <w:rFonts w:ascii="Segoe UI Symbol" w:hAnsi="Segoe UI Symbol"/>
          <w:spacing w:val="40"/>
        </w:rPr>
        <w:t xml:space="preserve"> </w:t>
      </w:r>
      <w:r>
        <w:rPr>
          <w:rFonts w:ascii="Segoe UI Symbol" w:hAnsi="Segoe UI Symbol"/>
        </w:rPr>
        <w:t>financeiros</w:t>
      </w:r>
      <w:r>
        <w:rPr>
          <w:rFonts w:ascii="Segoe UI Symbol" w:hAnsi="Segoe UI Symbol"/>
          <w:spacing w:val="38"/>
        </w:rPr>
        <w:t xml:space="preserve"> </w:t>
      </w:r>
      <w:r>
        <w:rPr>
          <w:rFonts w:ascii="Segoe UI Symbol" w:hAnsi="Segoe UI Symbol"/>
        </w:rPr>
        <w:t>e</w:t>
      </w:r>
      <w:r>
        <w:rPr>
          <w:rFonts w:ascii="Segoe UI Symbol" w:hAnsi="Segoe UI Symbol"/>
          <w:spacing w:val="38"/>
        </w:rPr>
        <w:t xml:space="preserve"> </w:t>
      </w:r>
      <w:r>
        <w:rPr>
          <w:rFonts w:ascii="Segoe UI Symbol" w:hAnsi="Segoe UI Symbol"/>
        </w:rPr>
        <w:t>outros</w:t>
      </w:r>
      <w:r>
        <w:rPr>
          <w:rFonts w:ascii="Segoe UI Symbol" w:hAnsi="Segoe UI Symbol"/>
          <w:spacing w:val="40"/>
        </w:rPr>
        <w:t xml:space="preserve"> </w:t>
      </w:r>
      <w:r>
        <w:rPr>
          <w:rFonts w:ascii="Segoe UI Symbol" w:hAnsi="Segoe UI Symbol"/>
        </w:rPr>
        <w:t>recursos</w:t>
      </w:r>
      <w:r>
        <w:rPr>
          <w:rFonts w:ascii="Segoe UI Symbol" w:hAnsi="Segoe UI Symbol"/>
          <w:spacing w:val="40"/>
        </w:rPr>
        <w:t xml:space="preserve"> </w:t>
      </w:r>
      <w:r>
        <w:rPr>
          <w:rFonts w:ascii="Segoe UI Symbol" w:hAnsi="Segoe UI Symbol"/>
        </w:rPr>
        <w:t>para</w:t>
      </w:r>
      <w:r>
        <w:rPr>
          <w:rFonts w:ascii="Segoe UI Symbol" w:hAnsi="Segoe UI Symbol"/>
          <w:spacing w:val="40"/>
        </w:rPr>
        <w:t xml:space="preserve"> </w:t>
      </w:r>
      <w:r>
        <w:rPr>
          <w:rFonts w:ascii="Segoe UI Symbol" w:hAnsi="Segoe UI Symbol"/>
        </w:rPr>
        <w:t>concluir</w:t>
      </w:r>
      <w:r>
        <w:rPr>
          <w:rFonts w:ascii="Segoe UI Symbol" w:hAnsi="Segoe UI Symbol"/>
          <w:spacing w:val="40"/>
        </w:rPr>
        <w:t xml:space="preserve"> </w:t>
      </w:r>
      <w:r>
        <w:rPr>
          <w:rFonts w:ascii="Segoe UI Symbol" w:hAnsi="Segoe UI Symbol"/>
        </w:rPr>
        <w:t xml:space="preserve">o desenvolvimento e para usar ou vender o </w:t>
      </w:r>
      <w:r>
        <w:rPr>
          <w:rFonts w:ascii="Arial" w:hAnsi="Arial"/>
          <w:i/>
        </w:rPr>
        <w:t>software</w:t>
      </w:r>
      <w:r>
        <w:rPr>
          <w:rFonts w:ascii="Segoe UI Symbol" w:hAnsi="Segoe UI Symbol"/>
        </w:rPr>
        <w:t>;</w:t>
      </w:r>
    </w:p>
    <w:p w14:paraId="000CD868" w14:textId="77777777" w:rsidR="002C6574" w:rsidRDefault="00000000">
      <w:pPr>
        <w:pStyle w:val="PargrafodaLista"/>
        <w:numPr>
          <w:ilvl w:val="0"/>
          <w:numId w:val="53"/>
        </w:numPr>
        <w:tabs>
          <w:tab w:val="left" w:pos="458"/>
        </w:tabs>
        <w:spacing w:before="239"/>
        <w:ind w:left="458" w:hanging="315"/>
        <w:rPr>
          <w:rFonts w:ascii="Segoe UI Symbol" w:hAnsi="Segoe UI Symbol"/>
        </w:rPr>
      </w:pPr>
      <w:r>
        <w:rPr>
          <w:rFonts w:ascii="Segoe UI Symbol" w:hAnsi="Segoe UI Symbol"/>
        </w:rPr>
        <w:t>o</w:t>
      </w:r>
      <w:r>
        <w:rPr>
          <w:rFonts w:ascii="Segoe UI Symbol" w:hAnsi="Segoe UI Symbol"/>
          <w:spacing w:val="-7"/>
        </w:rPr>
        <w:t xml:space="preserve"> </w:t>
      </w:r>
      <w:r>
        <w:rPr>
          <w:rFonts w:ascii="Segoe UI Symbol" w:hAnsi="Segoe UI Symbol"/>
        </w:rPr>
        <w:t>gasto</w:t>
      </w:r>
      <w:r>
        <w:rPr>
          <w:rFonts w:ascii="Segoe UI Symbol" w:hAnsi="Segoe UI Symbol"/>
          <w:spacing w:val="-9"/>
        </w:rPr>
        <w:t xml:space="preserve"> </w:t>
      </w:r>
      <w:r>
        <w:rPr>
          <w:rFonts w:ascii="Segoe UI Symbol" w:hAnsi="Segoe UI Symbol"/>
        </w:rPr>
        <w:t>atribuível</w:t>
      </w:r>
      <w:r>
        <w:rPr>
          <w:rFonts w:ascii="Segoe UI Symbol" w:hAnsi="Segoe UI Symbol"/>
          <w:spacing w:val="-6"/>
        </w:rPr>
        <w:t xml:space="preserve"> </w:t>
      </w:r>
      <w:r>
        <w:rPr>
          <w:rFonts w:ascii="Segoe UI Symbol" w:hAnsi="Segoe UI Symbol"/>
        </w:rPr>
        <w:t>ao</w:t>
      </w:r>
      <w:r>
        <w:rPr>
          <w:rFonts w:ascii="Segoe UI Symbol" w:hAnsi="Segoe UI Symbol"/>
          <w:spacing w:val="-7"/>
        </w:rPr>
        <w:t xml:space="preserve"> </w:t>
      </w:r>
      <w:r>
        <w:rPr>
          <w:rFonts w:ascii="Arial" w:hAnsi="Arial"/>
          <w:i/>
        </w:rPr>
        <w:t>software</w:t>
      </w:r>
      <w:r>
        <w:rPr>
          <w:rFonts w:ascii="Arial" w:hAnsi="Arial"/>
          <w:i/>
          <w:spacing w:val="-12"/>
        </w:rPr>
        <w:t xml:space="preserve"> </w:t>
      </w:r>
      <w:r>
        <w:rPr>
          <w:rFonts w:ascii="Segoe UI Symbol" w:hAnsi="Segoe UI Symbol"/>
        </w:rPr>
        <w:t>durante</w:t>
      </w:r>
      <w:r>
        <w:rPr>
          <w:rFonts w:ascii="Segoe UI Symbol" w:hAnsi="Segoe UI Symbol"/>
          <w:spacing w:val="-6"/>
        </w:rPr>
        <w:t xml:space="preserve"> </w:t>
      </w:r>
      <w:r>
        <w:rPr>
          <w:rFonts w:ascii="Segoe UI Symbol" w:hAnsi="Segoe UI Symbol"/>
        </w:rPr>
        <w:t>seu</w:t>
      </w:r>
      <w:r>
        <w:rPr>
          <w:rFonts w:ascii="Segoe UI Symbol" w:hAnsi="Segoe UI Symbol"/>
          <w:spacing w:val="-6"/>
        </w:rPr>
        <w:t xml:space="preserve"> </w:t>
      </w:r>
      <w:r>
        <w:rPr>
          <w:rFonts w:ascii="Segoe UI Symbol" w:hAnsi="Segoe UI Symbol"/>
        </w:rPr>
        <w:t>desenvolvimento</w:t>
      </w:r>
      <w:r>
        <w:rPr>
          <w:rFonts w:ascii="Segoe UI Symbol" w:hAnsi="Segoe UI Symbol"/>
          <w:spacing w:val="-7"/>
        </w:rPr>
        <w:t xml:space="preserve"> </w:t>
      </w:r>
      <w:r>
        <w:rPr>
          <w:rFonts w:ascii="Segoe UI Symbol" w:hAnsi="Segoe UI Symbol"/>
        </w:rPr>
        <w:t>pode</w:t>
      </w:r>
      <w:r>
        <w:rPr>
          <w:rFonts w:ascii="Segoe UI Symbol" w:hAnsi="Segoe UI Symbol"/>
          <w:spacing w:val="-8"/>
        </w:rPr>
        <w:t xml:space="preserve"> </w:t>
      </w:r>
      <w:r>
        <w:rPr>
          <w:rFonts w:ascii="Segoe UI Symbol" w:hAnsi="Segoe UI Symbol"/>
        </w:rPr>
        <w:t>ser</w:t>
      </w:r>
      <w:r>
        <w:rPr>
          <w:rFonts w:ascii="Segoe UI Symbol" w:hAnsi="Segoe UI Symbol"/>
          <w:spacing w:val="-10"/>
        </w:rPr>
        <w:t xml:space="preserve"> </w:t>
      </w:r>
      <w:r>
        <w:rPr>
          <w:rFonts w:ascii="Segoe UI Symbol" w:hAnsi="Segoe UI Symbol"/>
        </w:rPr>
        <w:t>mensurado</w:t>
      </w:r>
      <w:r>
        <w:rPr>
          <w:rFonts w:ascii="Segoe UI Symbol" w:hAnsi="Segoe UI Symbol"/>
          <w:spacing w:val="-6"/>
        </w:rPr>
        <w:t xml:space="preserve"> </w:t>
      </w:r>
      <w:r>
        <w:rPr>
          <w:rFonts w:ascii="Segoe UI Symbol" w:hAnsi="Segoe UI Symbol"/>
        </w:rPr>
        <w:t>com</w:t>
      </w:r>
      <w:r>
        <w:rPr>
          <w:rFonts w:ascii="Segoe UI Symbol" w:hAnsi="Segoe UI Symbol"/>
          <w:spacing w:val="-6"/>
        </w:rPr>
        <w:t xml:space="preserve"> </w:t>
      </w:r>
      <w:r>
        <w:rPr>
          <w:rFonts w:ascii="Segoe UI Symbol" w:hAnsi="Segoe UI Symbol"/>
          <w:spacing w:val="-2"/>
        </w:rPr>
        <w:t>segurança.</w:t>
      </w:r>
    </w:p>
    <w:p w14:paraId="07D6CA8D" w14:textId="77777777" w:rsidR="002C6574" w:rsidRDefault="002C6574">
      <w:pPr>
        <w:pStyle w:val="Corpodetexto"/>
      </w:pPr>
    </w:p>
    <w:p w14:paraId="5625429D" w14:textId="77777777" w:rsidR="002C6574" w:rsidRDefault="00000000">
      <w:pPr>
        <w:pStyle w:val="Corpodetexto"/>
        <w:spacing w:line="237" w:lineRule="auto"/>
        <w:ind w:left="143" w:right="703"/>
        <w:jc w:val="both"/>
      </w:pPr>
      <w:r>
        <w:t>Os</w:t>
      </w:r>
      <w:r>
        <w:rPr>
          <w:spacing w:val="-7"/>
        </w:rPr>
        <w:t xml:space="preserve"> </w:t>
      </w:r>
      <w:r>
        <w:t>custos</w:t>
      </w:r>
      <w:r>
        <w:rPr>
          <w:spacing w:val="-7"/>
        </w:rPr>
        <w:t xml:space="preserve"> </w:t>
      </w:r>
      <w:r>
        <w:t>diretamente</w:t>
      </w:r>
      <w:r>
        <w:rPr>
          <w:spacing w:val="-8"/>
        </w:rPr>
        <w:t xml:space="preserve"> </w:t>
      </w:r>
      <w:r>
        <w:t>atribuíveis,</w:t>
      </w:r>
      <w:r>
        <w:rPr>
          <w:spacing w:val="-6"/>
        </w:rPr>
        <w:t xml:space="preserve"> </w:t>
      </w:r>
      <w:r>
        <w:t>que</w:t>
      </w:r>
      <w:r>
        <w:rPr>
          <w:spacing w:val="-6"/>
        </w:rPr>
        <w:t xml:space="preserve"> </w:t>
      </w:r>
      <w:r>
        <w:t>são</w:t>
      </w:r>
      <w:r>
        <w:rPr>
          <w:spacing w:val="-6"/>
        </w:rPr>
        <w:t xml:space="preserve"> </w:t>
      </w:r>
      <w:r>
        <w:t>capitalizados</w:t>
      </w:r>
      <w:r>
        <w:rPr>
          <w:spacing w:val="-2"/>
        </w:rPr>
        <w:t xml:space="preserve"> </w:t>
      </w:r>
      <w:r>
        <w:t>como</w:t>
      </w:r>
      <w:r>
        <w:rPr>
          <w:spacing w:val="-8"/>
        </w:rPr>
        <w:t xml:space="preserve"> </w:t>
      </w:r>
      <w:r>
        <w:t>parte</w:t>
      </w:r>
      <w:r>
        <w:rPr>
          <w:spacing w:val="-8"/>
        </w:rPr>
        <w:t xml:space="preserve"> </w:t>
      </w:r>
      <w:r>
        <w:t>do</w:t>
      </w:r>
      <w:r>
        <w:rPr>
          <w:spacing w:val="-6"/>
        </w:rPr>
        <w:t xml:space="preserve"> </w:t>
      </w:r>
      <w:r>
        <w:t>produto</w:t>
      </w:r>
      <w:r>
        <w:rPr>
          <w:spacing w:val="-8"/>
        </w:rPr>
        <w:t xml:space="preserve"> </w:t>
      </w:r>
      <w:r>
        <w:t>de</w:t>
      </w:r>
      <w:r>
        <w:rPr>
          <w:spacing w:val="-6"/>
        </w:rPr>
        <w:t xml:space="preserve"> </w:t>
      </w:r>
      <w:r>
        <w:rPr>
          <w:rFonts w:ascii="Arial" w:hAnsi="Arial"/>
          <w:i/>
        </w:rPr>
        <w:t>software</w:t>
      </w:r>
      <w:r>
        <w:t>,</w:t>
      </w:r>
      <w:r>
        <w:rPr>
          <w:spacing w:val="-6"/>
        </w:rPr>
        <w:t xml:space="preserve"> </w:t>
      </w:r>
      <w:r>
        <w:t xml:space="preserve">incluem os custos com empregados alocados no desenvolvimento do produto e uma parcela adequada das despesas diretas aplicáveis. Os custos também incluem os custos de financiamento incorridos durante o período de desenvolvimento do </w:t>
      </w:r>
      <w:r>
        <w:rPr>
          <w:rFonts w:ascii="Arial" w:hAnsi="Arial"/>
          <w:i/>
        </w:rPr>
        <w:t>software</w:t>
      </w:r>
      <w:r>
        <w:t>.</w:t>
      </w:r>
    </w:p>
    <w:p w14:paraId="6E795BCA" w14:textId="77777777" w:rsidR="002C6574" w:rsidRDefault="002C6574">
      <w:pPr>
        <w:pStyle w:val="Corpodetexto"/>
        <w:spacing w:before="3"/>
      </w:pPr>
    </w:p>
    <w:p w14:paraId="40C34B72" w14:textId="77777777" w:rsidR="002C6574" w:rsidRDefault="00000000">
      <w:pPr>
        <w:pStyle w:val="Corpodetexto"/>
        <w:spacing w:line="237" w:lineRule="auto"/>
        <w:ind w:left="143" w:right="702"/>
        <w:jc w:val="both"/>
      </w:pPr>
      <w:r>
        <w:t>Outros gastos de desenvolvimento que não atendam a esses critérios são reconhecidos como despesa, conforme incorridos. Os custos de desenvolvimento previamente reconhecidos como despesa não são reconhecidos como ativo em período subsequente.</w:t>
      </w:r>
    </w:p>
    <w:p w14:paraId="1F322005" w14:textId="77777777" w:rsidR="002C6574" w:rsidRDefault="002C6574">
      <w:pPr>
        <w:pStyle w:val="Corpodetexto"/>
        <w:spacing w:before="2"/>
      </w:pPr>
    </w:p>
    <w:p w14:paraId="61031DDB" w14:textId="77777777" w:rsidR="002C6574" w:rsidRDefault="00000000">
      <w:pPr>
        <w:pStyle w:val="Corpodetexto"/>
        <w:spacing w:line="237" w:lineRule="auto"/>
        <w:ind w:left="143" w:right="703"/>
        <w:jc w:val="both"/>
      </w:pPr>
      <w:r>
        <w:t>A Companhia possui Direitos sobre Autorizações pagos à ANATEL pelo direito de exploração de satélite brasileiro para transporte de sinais de telecomunicações (Projeto SGDC), cuja amortização teve início em julho de 2018 com a entrada em operação do satélite. (Nota Explicativa 14).</w:t>
      </w:r>
    </w:p>
    <w:p w14:paraId="4F9D43AF" w14:textId="77777777" w:rsidR="002C6574" w:rsidRDefault="00000000">
      <w:pPr>
        <w:pStyle w:val="PargrafodaLista"/>
        <w:numPr>
          <w:ilvl w:val="2"/>
          <w:numId w:val="54"/>
        </w:numPr>
        <w:tabs>
          <w:tab w:val="left" w:pos="994"/>
        </w:tabs>
        <w:spacing w:before="290"/>
        <w:ind w:left="994" w:hanging="851"/>
        <w:rPr>
          <w:rFonts w:ascii="Segoe UI Symbol" w:hAnsi="Segoe UI Symbol"/>
        </w:rPr>
      </w:pPr>
      <w:r>
        <w:rPr>
          <w:rFonts w:ascii="Arial" w:hAnsi="Arial"/>
          <w:b/>
        </w:rPr>
        <w:t>Redução</w:t>
      </w:r>
      <w:r>
        <w:rPr>
          <w:rFonts w:ascii="Arial" w:hAnsi="Arial"/>
          <w:b/>
          <w:spacing w:val="-3"/>
        </w:rPr>
        <w:t xml:space="preserve"> </w:t>
      </w:r>
      <w:r>
        <w:rPr>
          <w:rFonts w:ascii="Arial" w:hAnsi="Arial"/>
          <w:b/>
        </w:rPr>
        <w:t>ao</w:t>
      </w:r>
      <w:r>
        <w:rPr>
          <w:rFonts w:ascii="Arial" w:hAnsi="Arial"/>
          <w:b/>
          <w:spacing w:val="-2"/>
        </w:rPr>
        <w:t xml:space="preserve"> </w:t>
      </w:r>
      <w:r>
        <w:rPr>
          <w:rFonts w:ascii="Arial" w:hAnsi="Arial"/>
          <w:b/>
        </w:rPr>
        <w:t>valor</w:t>
      </w:r>
      <w:r>
        <w:rPr>
          <w:rFonts w:ascii="Arial" w:hAnsi="Arial"/>
          <w:b/>
          <w:spacing w:val="-3"/>
        </w:rPr>
        <w:t xml:space="preserve"> </w:t>
      </w:r>
      <w:r>
        <w:rPr>
          <w:rFonts w:ascii="Arial" w:hAnsi="Arial"/>
          <w:b/>
        </w:rPr>
        <w:t>recuperável de</w:t>
      </w:r>
      <w:r>
        <w:rPr>
          <w:rFonts w:ascii="Arial" w:hAnsi="Arial"/>
          <w:b/>
          <w:spacing w:val="-7"/>
        </w:rPr>
        <w:t xml:space="preserve"> </w:t>
      </w:r>
      <w:r>
        <w:rPr>
          <w:rFonts w:ascii="Arial" w:hAnsi="Arial"/>
          <w:b/>
        </w:rPr>
        <w:t>ativos</w:t>
      </w:r>
      <w:r>
        <w:rPr>
          <w:rFonts w:ascii="Arial" w:hAnsi="Arial"/>
          <w:b/>
          <w:spacing w:val="-3"/>
        </w:rPr>
        <w:t xml:space="preserve"> </w:t>
      </w:r>
      <w:r>
        <w:rPr>
          <w:rFonts w:ascii="Arial" w:hAnsi="Arial"/>
          <w:b/>
        </w:rPr>
        <w:t>de</w:t>
      </w:r>
      <w:r>
        <w:rPr>
          <w:rFonts w:ascii="Arial" w:hAnsi="Arial"/>
          <w:b/>
          <w:spacing w:val="-5"/>
        </w:rPr>
        <w:t xml:space="preserve"> </w:t>
      </w:r>
      <w:r>
        <w:rPr>
          <w:rFonts w:ascii="Arial" w:hAnsi="Arial"/>
          <w:b/>
        </w:rPr>
        <w:t>longa</w:t>
      </w:r>
      <w:r>
        <w:rPr>
          <w:rFonts w:ascii="Arial" w:hAnsi="Arial"/>
          <w:b/>
          <w:spacing w:val="-2"/>
        </w:rPr>
        <w:t xml:space="preserve"> </w:t>
      </w:r>
      <w:r>
        <w:rPr>
          <w:rFonts w:ascii="Arial" w:hAnsi="Arial"/>
          <w:b/>
        </w:rPr>
        <w:t>duração</w:t>
      </w:r>
      <w:r>
        <w:rPr>
          <w:rFonts w:ascii="Arial" w:hAnsi="Arial"/>
          <w:b/>
          <w:spacing w:val="-4"/>
        </w:rPr>
        <w:t xml:space="preserve"> </w:t>
      </w:r>
      <w:r>
        <w:rPr>
          <w:rFonts w:ascii="Segoe UI Symbol" w:hAnsi="Segoe UI Symbol"/>
        </w:rPr>
        <w:t>(</w:t>
      </w:r>
      <w:r>
        <w:rPr>
          <w:rFonts w:ascii="Arial" w:hAnsi="Arial"/>
          <w:i/>
        </w:rPr>
        <w:t>Impairment</w:t>
      </w:r>
      <w:r>
        <w:rPr>
          <w:rFonts w:ascii="Arial" w:hAnsi="Arial"/>
          <w:i/>
          <w:spacing w:val="-3"/>
        </w:rPr>
        <w:t xml:space="preserve"> </w:t>
      </w:r>
      <w:r>
        <w:rPr>
          <w:rFonts w:ascii="Arial" w:hAnsi="Arial"/>
          <w:i/>
          <w:spacing w:val="-2"/>
        </w:rPr>
        <w:t>test</w:t>
      </w:r>
      <w:r>
        <w:rPr>
          <w:rFonts w:ascii="Segoe UI Symbol" w:hAnsi="Segoe UI Symbol"/>
          <w:spacing w:val="-2"/>
        </w:rPr>
        <w:t>)</w:t>
      </w:r>
    </w:p>
    <w:p w14:paraId="5F3A6458" w14:textId="77777777" w:rsidR="002C6574" w:rsidRDefault="002C6574">
      <w:pPr>
        <w:pStyle w:val="Corpodetexto"/>
        <w:spacing w:before="1"/>
      </w:pPr>
    </w:p>
    <w:p w14:paraId="5E2860A7" w14:textId="77777777" w:rsidR="002C6574" w:rsidRDefault="00000000">
      <w:pPr>
        <w:pStyle w:val="Corpodetexto"/>
        <w:spacing w:line="237" w:lineRule="auto"/>
        <w:ind w:left="143" w:right="702"/>
        <w:jc w:val="both"/>
      </w:pPr>
      <w:r>
        <w:t>Anualmente o valor contábil líquido dos ativos da Telebras deverá ser revisado com o objetivo de avaliar eventos ou mudanças nas circunstâncias econômicas, operacionais ou tecnológicas que possam</w:t>
      </w:r>
      <w:r>
        <w:rPr>
          <w:spacing w:val="17"/>
        </w:rPr>
        <w:t xml:space="preserve"> </w:t>
      </w:r>
      <w:r>
        <w:t>indicar</w:t>
      </w:r>
      <w:r>
        <w:rPr>
          <w:spacing w:val="17"/>
        </w:rPr>
        <w:t xml:space="preserve"> </w:t>
      </w:r>
      <w:r>
        <w:t>deterioração</w:t>
      </w:r>
      <w:r>
        <w:rPr>
          <w:spacing w:val="16"/>
        </w:rPr>
        <w:t xml:space="preserve"> </w:t>
      </w:r>
      <w:r>
        <w:t>ou</w:t>
      </w:r>
      <w:r>
        <w:rPr>
          <w:spacing w:val="18"/>
        </w:rPr>
        <w:t xml:space="preserve"> </w:t>
      </w:r>
      <w:r>
        <w:t>perda</w:t>
      </w:r>
      <w:r>
        <w:rPr>
          <w:spacing w:val="16"/>
        </w:rPr>
        <w:t xml:space="preserve"> </w:t>
      </w:r>
      <w:r>
        <w:t>de seu valor</w:t>
      </w:r>
      <w:r>
        <w:rPr>
          <w:spacing w:val="17"/>
        </w:rPr>
        <w:t xml:space="preserve"> </w:t>
      </w:r>
      <w:r>
        <w:t>recuperável.</w:t>
      </w:r>
      <w:r>
        <w:rPr>
          <w:spacing w:val="18"/>
        </w:rPr>
        <w:t xml:space="preserve"> </w:t>
      </w:r>
      <w:r>
        <w:t>Sendo tais evidências identificadas e tendo o valor contábil líquido excedido o valor recuperável, deverá ser constituída provisão para desvalorização, ajustando o valor contábil líquido ao valor recuperável.</w:t>
      </w:r>
    </w:p>
    <w:p w14:paraId="4E10DAF5" w14:textId="77777777" w:rsidR="002C6574" w:rsidRDefault="002C6574">
      <w:pPr>
        <w:pStyle w:val="Corpodetexto"/>
        <w:spacing w:before="3"/>
      </w:pPr>
    </w:p>
    <w:p w14:paraId="77ACBF3E" w14:textId="77777777" w:rsidR="002C6574" w:rsidRDefault="00000000">
      <w:pPr>
        <w:pStyle w:val="Corpodetexto"/>
        <w:spacing w:line="237" w:lineRule="auto"/>
        <w:ind w:left="143" w:right="702"/>
        <w:jc w:val="both"/>
      </w:pPr>
      <w:r>
        <w:t>O valor recuperável de um ativo ou de determinada unidade geradora de caixa (“UGC”) é definido como sendo o maior entre o valor em uso e o valor líquido de venda. Na</w:t>
      </w:r>
      <w:r>
        <w:rPr>
          <w:spacing w:val="-1"/>
        </w:rPr>
        <w:t xml:space="preserve"> </w:t>
      </w:r>
      <w:r>
        <w:t>estimativa do valor em uso do ativo ou UGC, os fluxos de caixa futuros estimados são descontados ao seu valor presente, utilizando uma taxa de desconto com base na taxa do custo de capital “</w:t>
      </w:r>
      <w:r>
        <w:rPr>
          <w:rFonts w:ascii="Arial" w:hAnsi="Arial"/>
          <w:i/>
        </w:rPr>
        <w:t>The Capital Asset Pricing Model</w:t>
      </w:r>
      <w:r>
        <w:t>” (“CAPM”) (Modelo de Precificação de Ativos) antes dos impostos, que reflete o custo médio ponderado de capital e os riscos específicos do ativo ou UGC.</w:t>
      </w:r>
    </w:p>
    <w:p w14:paraId="3931B059" w14:textId="77777777" w:rsidR="002C6574" w:rsidRDefault="002C6574">
      <w:pPr>
        <w:pStyle w:val="Corpodetexto"/>
        <w:spacing w:before="7"/>
      </w:pPr>
    </w:p>
    <w:p w14:paraId="424725DE" w14:textId="77777777" w:rsidR="002C6574" w:rsidRDefault="00000000">
      <w:pPr>
        <w:pStyle w:val="Corpodetexto"/>
        <w:spacing w:line="237" w:lineRule="auto"/>
        <w:ind w:left="143" w:right="703"/>
        <w:jc w:val="both"/>
      </w:pPr>
      <w:r>
        <w:t>O valor líquido de</w:t>
      </w:r>
      <w:r>
        <w:rPr>
          <w:spacing w:val="-2"/>
        </w:rPr>
        <w:t xml:space="preserve"> </w:t>
      </w:r>
      <w:r>
        <w:t>venda</w:t>
      </w:r>
      <w:r>
        <w:rPr>
          <w:spacing w:val="-5"/>
        </w:rPr>
        <w:t xml:space="preserve"> </w:t>
      </w:r>
      <w:r>
        <w:t>é</w:t>
      </w:r>
      <w:r>
        <w:rPr>
          <w:spacing w:val="-2"/>
        </w:rPr>
        <w:t xml:space="preserve"> </w:t>
      </w:r>
      <w:r>
        <w:t>determinado, sempre</w:t>
      </w:r>
      <w:r>
        <w:rPr>
          <w:spacing w:val="-5"/>
        </w:rPr>
        <w:t xml:space="preserve"> </w:t>
      </w:r>
      <w:r>
        <w:t>que possível,</w:t>
      </w:r>
      <w:r>
        <w:rPr>
          <w:spacing w:val="-3"/>
        </w:rPr>
        <w:t xml:space="preserve"> </w:t>
      </w:r>
      <w:r>
        <w:t>com base em contrato de venda</w:t>
      </w:r>
      <w:r>
        <w:rPr>
          <w:spacing w:val="-3"/>
        </w:rPr>
        <w:t xml:space="preserve"> </w:t>
      </w:r>
      <w:r>
        <w:t>firme em</w:t>
      </w:r>
      <w:r>
        <w:rPr>
          <w:spacing w:val="29"/>
        </w:rPr>
        <w:t xml:space="preserve"> </w:t>
      </w:r>
      <w:r>
        <w:t>uma transação</w:t>
      </w:r>
      <w:r>
        <w:rPr>
          <w:spacing w:val="29"/>
        </w:rPr>
        <w:t xml:space="preserve"> </w:t>
      </w:r>
      <w:r>
        <w:t>em bases</w:t>
      </w:r>
      <w:r>
        <w:rPr>
          <w:spacing w:val="30"/>
        </w:rPr>
        <w:t xml:space="preserve"> </w:t>
      </w:r>
      <w:r>
        <w:t>comutativas, entre partes conhecedoras</w:t>
      </w:r>
      <w:r>
        <w:rPr>
          <w:spacing w:val="30"/>
        </w:rPr>
        <w:t xml:space="preserve"> </w:t>
      </w:r>
      <w:r>
        <w:t>e interessadas, ajustado por</w:t>
      </w:r>
    </w:p>
    <w:p w14:paraId="3E847FD4" w14:textId="77777777" w:rsidR="002C6574" w:rsidRDefault="002C6574">
      <w:pPr>
        <w:pStyle w:val="Corpodetexto"/>
        <w:spacing w:line="237" w:lineRule="auto"/>
        <w:jc w:val="both"/>
        <w:sectPr w:rsidR="002C6574">
          <w:pgSz w:w="11910" w:h="16840"/>
          <w:pgMar w:top="1600" w:right="141" w:bottom="1520" w:left="1133" w:header="856" w:footer="1296" w:gutter="0"/>
          <w:cols w:space="720"/>
        </w:sectPr>
      </w:pPr>
    </w:p>
    <w:p w14:paraId="7C28BB1C" w14:textId="77777777" w:rsidR="002C6574" w:rsidRDefault="00000000">
      <w:pPr>
        <w:pStyle w:val="Corpodetexto"/>
        <w:spacing w:before="200" w:line="237" w:lineRule="auto"/>
        <w:ind w:left="143" w:right="704"/>
        <w:jc w:val="both"/>
      </w:pPr>
      <w:r>
        <w:lastRenderedPageBreak/>
        <w:t>despesas</w:t>
      </w:r>
      <w:r>
        <w:rPr>
          <w:spacing w:val="-6"/>
        </w:rPr>
        <w:t xml:space="preserve"> </w:t>
      </w:r>
      <w:r>
        <w:t>atribuíveis</w:t>
      </w:r>
      <w:r>
        <w:rPr>
          <w:spacing w:val="-10"/>
        </w:rPr>
        <w:t xml:space="preserve"> </w:t>
      </w:r>
      <w:r>
        <w:t>à</w:t>
      </w:r>
      <w:r>
        <w:rPr>
          <w:spacing w:val="-6"/>
        </w:rPr>
        <w:t xml:space="preserve"> </w:t>
      </w:r>
      <w:r>
        <w:t>venda</w:t>
      </w:r>
      <w:r>
        <w:rPr>
          <w:spacing w:val="-6"/>
        </w:rPr>
        <w:t xml:space="preserve"> </w:t>
      </w:r>
      <w:r>
        <w:t>do</w:t>
      </w:r>
      <w:r>
        <w:rPr>
          <w:spacing w:val="-6"/>
        </w:rPr>
        <w:t xml:space="preserve"> </w:t>
      </w:r>
      <w:r>
        <w:t>ativo,</w:t>
      </w:r>
      <w:r>
        <w:rPr>
          <w:spacing w:val="-4"/>
        </w:rPr>
        <w:t xml:space="preserve"> </w:t>
      </w:r>
      <w:r>
        <w:t>ou</w:t>
      </w:r>
      <w:r>
        <w:rPr>
          <w:spacing w:val="-7"/>
        </w:rPr>
        <w:t xml:space="preserve"> </w:t>
      </w:r>
      <w:r>
        <w:t>quando</w:t>
      </w:r>
      <w:r>
        <w:rPr>
          <w:spacing w:val="-12"/>
        </w:rPr>
        <w:t xml:space="preserve"> </w:t>
      </w:r>
      <w:r>
        <w:t>não</w:t>
      </w:r>
      <w:r>
        <w:rPr>
          <w:spacing w:val="-6"/>
        </w:rPr>
        <w:t xml:space="preserve"> </w:t>
      </w:r>
      <w:r>
        <w:t>há</w:t>
      </w:r>
      <w:r>
        <w:rPr>
          <w:spacing w:val="-7"/>
        </w:rPr>
        <w:t xml:space="preserve"> </w:t>
      </w:r>
      <w:r>
        <w:t>contrato</w:t>
      </w:r>
      <w:r>
        <w:rPr>
          <w:spacing w:val="-7"/>
        </w:rPr>
        <w:t xml:space="preserve"> </w:t>
      </w:r>
      <w:r>
        <w:t>de</w:t>
      </w:r>
      <w:r>
        <w:rPr>
          <w:spacing w:val="-7"/>
        </w:rPr>
        <w:t xml:space="preserve"> </w:t>
      </w:r>
      <w:r>
        <w:t>venda</w:t>
      </w:r>
      <w:r>
        <w:rPr>
          <w:spacing w:val="-6"/>
        </w:rPr>
        <w:t xml:space="preserve"> </w:t>
      </w:r>
      <w:r>
        <w:t>firme,</w:t>
      </w:r>
      <w:r>
        <w:rPr>
          <w:spacing w:val="-7"/>
        </w:rPr>
        <w:t xml:space="preserve"> </w:t>
      </w:r>
      <w:r>
        <w:t>com</w:t>
      </w:r>
      <w:r>
        <w:rPr>
          <w:spacing w:val="-6"/>
        </w:rPr>
        <w:t xml:space="preserve"> </w:t>
      </w:r>
      <w:r>
        <w:t>base</w:t>
      </w:r>
      <w:r>
        <w:rPr>
          <w:spacing w:val="-9"/>
        </w:rPr>
        <w:t xml:space="preserve"> </w:t>
      </w:r>
      <w:r>
        <w:t>no</w:t>
      </w:r>
      <w:r>
        <w:rPr>
          <w:spacing w:val="-6"/>
        </w:rPr>
        <w:t xml:space="preserve"> </w:t>
      </w:r>
      <w:r>
        <w:t>preço de mercado de um mercado ativo, ou no preço da transação mais recente com ativos semelhantes.</w:t>
      </w:r>
    </w:p>
    <w:p w14:paraId="419F0BDF" w14:textId="77777777" w:rsidR="002C6574" w:rsidRDefault="002C6574">
      <w:pPr>
        <w:pStyle w:val="Corpodetexto"/>
        <w:spacing w:before="2"/>
      </w:pPr>
    </w:p>
    <w:p w14:paraId="0D9736AB" w14:textId="77777777" w:rsidR="002C6574" w:rsidRDefault="00000000">
      <w:pPr>
        <w:pStyle w:val="Corpodetexto"/>
        <w:spacing w:line="237" w:lineRule="auto"/>
        <w:ind w:left="143" w:right="706"/>
        <w:jc w:val="both"/>
      </w:pPr>
      <w:r>
        <w:t xml:space="preserve">As perdas em operações continuadas, incluindo a desvalorização de estoques, são reconhecidas na </w:t>
      </w:r>
      <w:r>
        <w:rPr>
          <w:w w:val="105"/>
        </w:rPr>
        <w:t>demonstração</w:t>
      </w:r>
      <w:r>
        <w:rPr>
          <w:spacing w:val="-13"/>
          <w:w w:val="105"/>
        </w:rPr>
        <w:t xml:space="preserve"> </w:t>
      </w:r>
      <w:r>
        <w:rPr>
          <w:w w:val="105"/>
        </w:rPr>
        <w:t>dos</w:t>
      </w:r>
      <w:r>
        <w:rPr>
          <w:spacing w:val="-12"/>
          <w:w w:val="105"/>
        </w:rPr>
        <w:t xml:space="preserve"> </w:t>
      </w:r>
      <w:r>
        <w:rPr>
          <w:w w:val="105"/>
        </w:rPr>
        <w:t>resultados</w:t>
      </w:r>
      <w:r>
        <w:rPr>
          <w:spacing w:val="-12"/>
          <w:w w:val="105"/>
        </w:rPr>
        <w:t xml:space="preserve"> </w:t>
      </w:r>
      <w:r>
        <w:rPr>
          <w:w w:val="105"/>
        </w:rPr>
        <w:t>em</w:t>
      </w:r>
      <w:r>
        <w:rPr>
          <w:spacing w:val="-12"/>
          <w:w w:val="105"/>
        </w:rPr>
        <w:t xml:space="preserve"> </w:t>
      </w:r>
      <w:r>
        <w:rPr>
          <w:w w:val="105"/>
        </w:rPr>
        <w:t>contas</w:t>
      </w:r>
      <w:r>
        <w:rPr>
          <w:spacing w:val="-12"/>
          <w:w w:val="105"/>
        </w:rPr>
        <w:t xml:space="preserve"> </w:t>
      </w:r>
      <w:r>
        <w:rPr>
          <w:w w:val="105"/>
        </w:rPr>
        <w:t>de</w:t>
      </w:r>
      <w:r>
        <w:rPr>
          <w:spacing w:val="-13"/>
          <w:w w:val="105"/>
        </w:rPr>
        <w:t xml:space="preserve"> </w:t>
      </w:r>
      <w:r>
        <w:rPr>
          <w:w w:val="105"/>
        </w:rPr>
        <w:t>despesas</w:t>
      </w:r>
      <w:r>
        <w:rPr>
          <w:spacing w:val="-10"/>
          <w:w w:val="105"/>
        </w:rPr>
        <w:t xml:space="preserve"> </w:t>
      </w:r>
      <w:r>
        <w:rPr>
          <w:w w:val="105"/>
        </w:rPr>
        <w:t>compatíveis</w:t>
      </w:r>
      <w:r>
        <w:rPr>
          <w:spacing w:val="-12"/>
          <w:w w:val="105"/>
        </w:rPr>
        <w:t xml:space="preserve"> </w:t>
      </w:r>
      <w:r>
        <w:rPr>
          <w:w w:val="105"/>
        </w:rPr>
        <w:t>com</w:t>
      </w:r>
      <w:r>
        <w:rPr>
          <w:spacing w:val="-12"/>
          <w:w w:val="105"/>
        </w:rPr>
        <w:t xml:space="preserve"> </w:t>
      </w:r>
      <w:r>
        <w:rPr>
          <w:w w:val="105"/>
        </w:rPr>
        <w:t>a</w:t>
      </w:r>
      <w:r>
        <w:rPr>
          <w:spacing w:val="-13"/>
          <w:w w:val="105"/>
        </w:rPr>
        <w:t xml:space="preserve"> </w:t>
      </w:r>
      <w:r>
        <w:rPr>
          <w:w w:val="105"/>
        </w:rPr>
        <w:t>função</w:t>
      </w:r>
      <w:r>
        <w:rPr>
          <w:spacing w:val="-12"/>
          <w:w w:val="105"/>
        </w:rPr>
        <w:t xml:space="preserve"> </w:t>
      </w:r>
      <w:r>
        <w:rPr>
          <w:w w:val="105"/>
        </w:rPr>
        <w:t>dos</w:t>
      </w:r>
      <w:r>
        <w:rPr>
          <w:spacing w:val="-14"/>
          <w:w w:val="105"/>
        </w:rPr>
        <w:t xml:space="preserve"> </w:t>
      </w:r>
      <w:r>
        <w:rPr>
          <w:w w:val="105"/>
        </w:rPr>
        <w:t>ativos.</w:t>
      </w:r>
    </w:p>
    <w:p w14:paraId="7D18EAA0" w14:textId="77777777" w:rsidR="002C6574" w:rsidRDefault="002C6574">
      <w:pPr>
        <w:pStyle w:val="Corpodetexto"/>
        <w:spacing w:before="1"/>
      </w:pPr>
    </w:p>
    <w:p w14:paraId="3FEDF848" w14:textId="77777777" w:rsidR="002C6574" w:rsidRDefault="00000000">
      <w:pPr>
        <w:pStyle w:val="Corpodetexto"/>
        <w:spacing w:line="237" w:lineRule="auto"/>
        <w:ind w:left="143" w:right="703"/>
        <w:jc w:val="both"/>
      </w:pPr>
      <w:r>
        <w:t>Para os ativos, excluindo o ágio, é efetuada uma avaliação em cada data de encerramento de exercício</w:t>
      </w:r>
      <w:r>
        <w:rPr>
          <w:spacing w:val="-9"/>
        </w:rPr>
        <w:t xml:space="preserve"> </w:t>
      </w:r>
      <w:r>
        <w:t>para</w:t>
      </w:r>
      <w:r>
        <w:rPr>
          <w:spacing w:val="-11"/>
        </w:rPr>
        <w:t xml:space="preserve"> </w:t>
      </w:r>
      <w:r>
        <w:t>identificar</w:t>
      </w:r>
      <w:r>
        <w:rPr>
          <w:spacing w:val="-12"/>
        </w:rPr>
        <w:t xml:space="preserve"> </w:t>
      </w:r>
      <w:r>
        <w:t>se</w:t>
      </w:r>
      <w:r>
        <w:rPr>
          <w:spacing w:val="-9"/>
        </w:rPr>
        <w:t xml:space="preserve"> </w:t>
      </w:r>
      <w:r>
        <w:t>há</w:t>
      </w:r>
      <w:r>
        <w:rPr>
          <w:spacing w:val="-11"/>
        </w:rPr>
        <w:t xml:space="preserve"> </w:t>
      </w:r>
      <w:r>
        <w:t>alguma</w:t>
      </w:r>
      <w:r>
        <w:rPr>
          <w:spacing w:val="-11"/>
        </w:rPr>
        <w:t xml:space="preserve"> </w:t>
      </w:r>
      <w:r>
        <w:t>indicação</w:t>
      </w:r>
      <w:r>
        <w:rPr>
          <w:spacing w:val="-6"/>
        </w:rPr>
        <w:t xml:space="preserve"> </w:t>
      </w:r>
      <w:r>
        <w:t>de</w:t>
      </w:r>
      <w:r>
        <w:rPr>
          <w:spacing w:val="-6"/>
        </w:rPr>
        <w:t xml:space="preserve"> </w:t>
      </w:r>
      <w:r>
        <w:t>que</w:t>
      </w:r>
      <w:r>
        <w:rPr>
          <w:spacing w:val="-11"/>
        </w:rPr>
        <w:t xml:space="preserve"> </w:t>
      </w:r>
      <w:r>
        <w:t>as</w:t>
      </w:r>
      <w:r>
        <w:rPr>
          <w:spacing w:val="-9"/>
        </w:rPr>
        <w:t xml:space="preserve"> </w:t>
      </w:r>
      <w:r>
        <w:t>perdas</w:t>
      </w:r>
      <w:r>
        <w:rPr>
          <w:spacing w:val="-9"/>
        </w:rPr>
        <w:t xml:space="preserve"> </w:t>
      </w:r>
      <w:r>
        <w:t>do</w:t>
      </w:r>
      <w:r>
        <w:rPr>
          <w:spacing w:val="-11"/>
        </w:rPr>
        <w:t xml:space="preserve"> </w:t>
      </w:r>
      <w:r>
        <w:t>valor</w:t>
      </w:r>
      <w:r>
        <w:rPr>
          <w:spacing w:val="-12"/>
        </w:rPr>
        <w:t xml:space="preserve"> </w:t>
      </w:r>
      <w:r>
        <w:t>recuperável</w:t>
      </w:r>
      <w:r>
        <w:rPr>
          <w:spacing w:val="-10"/>
        </w:rPr>
        <w:t xml:space="preserve"> </w:t>
      </w:r>
      <w:r>
        <w:t>anteriormente reconhecidas podem já não existir ou possam ter diminuído. Uma perda do valor recuperável anteriormente reconhecida é revertida apenas se tiver ocorrido uma mudança nos pressupostos utilizados para determinar o valor recuperável do ativo ou UGCs, desde quando a última perda do valor</w:t>
      </w:r>
      <w:r>
        <w:rPr>
          <w:spacing w:val="-4"/>
        </w:rPr>
        <w:t xml:space="preserve"> </w:t>
      </w:r>
      <w:r>
        <w:t>recuperável</w:t>
      </w:r>
      <w:r>
        <w:rPr>
          <w:spacing w:val="-8"/>
        </w:rPr>
        <w:t xml:space="preserve"> </w:t>
      </w:r>
      <w:r>
        <w:t>foi</w:t>
      </w:r>
      <w:r>
        <w:rPr>
          <w:spacing w:val="-8"/>
        </w:rPr>
        <w:t xml:space="preserve"> </w:t>
      </w:r>
      <w:r>
        <w:t>reconhecida.</w:t>
      </w:r>
      <w:r>
        <w:rPr>
          <w:spacing w:val="-4"/>
        </w:rPr>
        <w:t xml:space="preserve"> </w:t>
      </w:r>
      <w:r>
        <w:t>A</w:t>
      </w:r>
      <w:r>
        <w:rPr>
          <w:spacing w:val="-10"/>
        </w:rPr>
        <w:t xml:space="preserve"> </w:t>
      </w:r>
      <w:r>
        <w:t>reversão</w:t>
      </w:r>
      <w:r>
        <w:rPr>
          <w:spacing w:val="-7"/>
        </w:rPr>
        <w:t xml:space="preserve"> </w:t>
      </w:r>
      <w:r>
        <w:t>é</w:t>
      </w:r>
      <w:r>
        <w:rPr>
          <w:spacing w:val="-7"/>
        </w:rPr>
        <w:t xml:space="preserve"> </w:t>
      </w:r>
      <w:r>
        <w:t>limitada</w:t>
      </w:r>
      <w:r>
        <w:rPr>
          <w:spacing w:val="-6"/>
        </w:rPr>
        <w:t xml:space="preserve"> </w:t>
      </w:r>
      <w:r>
        <w:t>para</w:t>
      </w:r>
      <w:r>
        <w:rPr>
          <w:spacing w:val="-9"/>
        </w:rPr>
        <w:t xml:space="preserve"> </w:t>
      </w:r>
      <w:r>
        <w:t>que</w:t>
      </w:r>
      <w:r>
        <w:rPr>
          <w:spacing w:val="-7"/>
        </w:rPr>
        <w:t xml:space="preserve"> </w:t>
      </w:r>
      <w:r>
        <w:t>o</w:t>
      </w:r>
      <w:r>
        <w:rPr>
          <w:spacing w:val="-8"/>
        </w:rPr>
        <w:t xml:space="preserve"> </w:t>
      </w:r>
      <w:r>
        <w:t>valor</w:t>
      </w:r>
      <w:r>
        <w:rPr>
          <w:spacing w:val="-4"/>
        </w:rPr>
        <w:t xml:space="preserve"> </w:t>
      </w:r>
      <w:r>
        <w:t>contábil</w:t>
      </w:r>
      <w:r>
        <w:rPr>
          <w:spacing w:val="-8"/>
        </w:rPr>
        <w:t xml:space="preserve"> </w:t>
      </w:r>
      <w:r>
        <w:t>do</w:t>
      </w:r>
      <w:r>
        <w:rPr>
          <w:spacing w:val="-6"/>
        </w:rPr>
        <w:t xml:space="preserve"> </w:t>
      </w:r>
      <w:r>
        <w:t>ativo</w:t>
      </w:r>
      <w:r>
        <w:rPr>
          <w:spacing w:val="-8"/>
        </w:rPr>
        <w:t xml:space="preserve"> </w:t>
      </w:r>
      <w:r>
        <w:t>não</w:t>
      </w:r>
      <w:r>
        <w:rPr>
          <w:spacing w:val="-6"/>
        </w:rPr>
        <w:t xml:space="preserve"> </w:t>
      </w:r>
      <w:r>
        <w:t>exceda o seu valor recuperável, nem o valor contábil que teria sido determinado, líquido de depreciação, se nenhuma</w:t>
      </w:r>
      <w:r>
        <w:rPr>
          <w:spacing w:val="-2"/>
        </w:rPr>
        <w:t xml:space="preserve"> </w:t>
      </w:r>
      <w:r>
        <w:t>perda do</w:t>
      </w:r>
      <w:r>
        <w:rPr>
          <w:spacing w:val="-2"/>
        </w:rPr>
        <w:t xml:space="preserve"> </w:t>
      </w:r>
      <w:r>
        <w:t>valor</w:t>
      </w:r>
      <w:r>
        <w:rPr>
          <w:spacing w:val="-3"/>
        </w:rPr>
        <w:t xml:space="preserve"> </w:t>
      </w:r>
      <w:r>
        <w:t>recuperável</w:t>
      </w:r>
      <w:r>
        <w:rPr>
          <w:spacing w:val="-2"/>
        </w:rPr>
        <w:t xml:space="preserve"> </w:t>
      </w:r>
      <w:r>
        <w:t>tivesse</w:t>
      </w:r>
      <w:r>
        <w:rPr>
          <w:spacing w:val="-4"/>
        </w:rPr>
        <w:t xml:space="preserve"> </w:t>
      </w:r>
      <w:r>
        <w:t>sido reconhecida</w:t>
      </w:r>
      <w:r>
        <w:rPr>
          <w:spacing w:val="-2"/>
        </w:rPr>
        <w:t xml:space="preserve"> </w:t>
      </w:r>
      <w:r>
        <w:t>no</w:t>
      </w:r>
      <w:r>
        <w:rPr>
          <w:spacing w:val="-2"/>
        </w:rPr>
        <w:t xml:space="preserve"> </w:t>
      </w:r>
      <w:r>
        <w:t>ativo em exercícios</w:t>
      </w:r>
      <w:r>
        <w:rPr>
          <w:spacing w:val="-2"/>
        </w:rPr>
        <w:t xml:space="preserve"> </w:t>
      </w:r>
      <w:r>
        <w:t>anteriores. Essa reversão é reconhecida na demonstração dos resultados, caso aplicável.</w:t>
      </w:r>
    </w:p>
    <w:p w14:paraId="275ABB3F" w14:textId="77777777" w:rsidR="002C6574" w:rsidRDefault="002C6574">
      <w:pPr>
        <w:pStyle w:val="Corpodetexto"/>
        <w:spacing w:before="7"/>
      </w:pPr>
    </w:p>
    <w:p w14:paraId="5ECE389A" w14:textId="77777777" w:rsidR="002C6574" w:rsidRDefault="00000000">
      <w:pPr>
        <w:pStyle w:val="Corpodetexto"/>
        <w:ind w:left="143"/>
        <w:jc w:val="both"/>
      </w:pPr>
      <w:r>
        <w:t>Os</w:t>
      </w:r>
      <w:r>
        <w:rPr>
          <w:spacing w:val="9"/>
        </w:rPr>
        <w:t xml:space="preserve"> </w:t>
      </w:r>
      <w:r>
        <w:t>seguintes</w:t>
      </w:r>
      <w:r>
        <w:rPr>
          <w:spacing w:val="8"/>
        </w:rPr>
        <w:t xml:space="preserve"> </w:t>
      </w:r>
      <w:r>
        <w:t>critérios</w:t>
      </w:r>
      <w:r>
        <w:rPr>
          <w:spacing w:val="10"/>
        </w:rPr>
        <w:t xml:space="preserve"> </w:t>
      </w:r>
      <w:r>
        <w:t>são</w:t>
      </w:r>
      <w:r>
        <w:rPr>
          <w:spacing w:val="11"/>
        </w:rPr>
        <w:t xml:space="preserve"> </w:t>
      </w:r>
      <w:r>
        <w:t>aplicados</w:t>
      </w:r>
      <w:r>
        <w:rPr>
          <w:spacing w:val="10"/>
        </w:rPr>
        <w:t xml:space="preserve"> </w:t>
      </w:r>
      <w:r>
        <w:t>na</w:t>
      </w:r>
      <w:r>
        <w:rPr>
          <w:spacing w:val="10"/>
        </w:rPr>
        <w:t xml:space="preserve"> </w:t>
      </w:r>
      <w:r>
        <w:t>avaliação</w:t>
      </w:r>
      <w:r>
        <w:rPr>
          <w:spacing w:val="9"/>
        </w:rPr>
        <w:t xml:space="preserve"> </w:t>
      </w:r>
      <w:r>
        <w:t>do</w:t>
      </w:r>
      <w:r>
        <w:rPr>
          <w:spacing w:val="10"/>
        </w:rPr>
        <w:t xml:space="preserve"> </w:t>
      </w:r>
      <w:r>
        <w:t>valor</w:t>
      </w:r>
      <w:r>
        <w:rPr>
          <w:spacing w:val="10"/>
        </w:rPr>
        <w:t xml:space="preserve"> </w:t>
      </w:r>
      <w:r>
        <w:t>recuperável</w:t>
      </w:r>
      <w:r>
        <w:rPr>
          <w:spacing w:val="10"/>
        </w:rPr>
        <w:t xml:space="preserve"> </w:t>
      </w:r>
      <w:r>
        <w:t>dos</w:t>
      </w:r>
      <w:r>
        <w:rPr>
          <w:spacing w:val="10"/>
        </w:rPr>
        <w:t xml:space="preserve"> </w:t>
      </w:r>
      <w:r>
        <w:t>seguintes</w:t>
      </w:r>
      <w:r>
        <w:rPr>
          <w:spacing w:val="6"/>
        </w:rPr>
        <w:t xml:space="preserve"> </w:t>
      </w:r>
      <w:r>
        <w:rPr>
          <w:spacing w:val="-2"/>
        </w:rPr>
        <w:t>ativos:</w:t>
      </w:r>
    </w:p>
    <w:p w14:paraId="285E482F" w14:textId="77777777" w:rsidR="002C6574" w:rsidRDefault="00000000">
      <w:pPr>
        <w:pStyle w:val="PargrafodaLista"/>
        <w:numPr>
          <w:ilvl w:val="0"/>
          <w:numId w:val="52"/>
        </w:numPr>
        <w:tabs>
          <w:tab w:val="left" w:pos="422"/>
        </w:tabs>
        <w:spacing w:before="291" w:line="237" w:lineRule="auto"/>
        <w:ind w:right="703" w:firstLine="0"/>
        <w:jc w:val="both"/>
        <w:rPr>
          <w:rFonts w:ascii="Segoe UI Symbol" w:hAnsi="Segoe UI Symbol"/>
        </w:rPr>
      </w:pPr>
      <w:r>
        <w:rPr>
          <w:rFonts w:ascii="Segoe UI Symbol" w:hAnsi="Segoe UI Symbol"/>
        </w:rPr>
        <w:t>Ágio: o teste de perda por redução ao valor recuperável de ágio (quando aplicável) é efetuado anualmente</w:t>
      </w:r>
      <w:r>
        <w:rPr>
          <w:rFonts w:ascii="Segoe UI Symbol" w:hAnsi="Segoe UI Symbol"/>
          <w:spacing w:val="-6"/>
        </w:rPr>
        <w:t xml:space="preserve"> </w:t>
      </w:r>
      <w:r>
        <w:rPr>
          <w:rFonts w:ascii="Segoe UI Symbol" w:hAnsi="Segoe UI Symbol"/>
        </w:rPr>
        <w:t>na</w:t>
      </w:r>
      <w:r>
        <w:rPr>
          <w:rFonts w:ascii="Segoe UI Symbol" w:hAnsi="Segoe UI Symbol"/>
          <w:spacing w:val="-9"/>
        </w:rPr>
        <w:t xml:space="preserve"> </w:t>
      </w:r>
      <w:r>
        <w:rPr>
          <w:rFonts w:ascii="Segoe UI Symbol" w:hAnsi="Segoe UI Symbol"/>
        </w:rPr>
        <w:t>data</w:t>
      </w:r>
      <w:r>
        <w:rPr>
          <w:rFonts w:ascii="Segoe UI Symbol" w:hAnsi="Segoe UI Symbol"/>
          <w:spacing w:val="-9"/>
        </w:rPr>
        <w:t xml:space="preserve"> </w:t>
      </w:r>
      <w:r>
        <w:rPr>
          <w:rFonts w:ascii="Segoe UI Symbol" w:hAnsi="Segoe UI Symbol"/>
        </w:rPr>
        <w:t>do</w:t>
      </w:r>
      <w:r>
        <w:rPr>
          <w:rFonts w:ascii="Segoe UI Symbol" w:hAnsi="Segoe UI Symbol"/>
          <w:spacing w:val="-6"/>
        </w:rPr>
        <w:t xml:space="preserve"> </w:t>
      </w:r>
      <w:r>
        <w:rPr>
          <w:rFonts w:ascii="Segoe UI Symbol" w:hAnsi="Segoe UI Symbol"/>
        </w:rPr>
        <w:t>encerramento</w:t>
      </w:r>
      <w:r>
        <w:rPr>
          <w:rFonts w:ascii="Segoe UI Symbol" w:hAnsi="Segoe UI Symbol"/>
          <w:spacing w:val="-6"/>
        </w:rPr>
        <w:t xml:space="preserve"> </w:t>
      </w:r>
      <w:r>
        <w:rPr>
          <w:rFonts w:ascii="Segoe UI Symbol" w:hAnsi="Segoe UI Symbol"/>
        </w:rPr>
        <w:t>do</w:t>
      </w:r>
      <w:r>
        <w:rPr>
          <w:rFonts w:ascii="Segoe UI Symbol" w:hAnsi="Segoe UI Symbol"/>
          <w:spacing w:val="-6"/>
        </w:rPr>
        <w:t xml:space="preserve"> </w:t>
      </w:r>
      <w:r>
        <w:rPr>
          <w:rFonts w:ascii="Segoe UI Symbol" w:hAnsi="Segoe UI Symbol"/>
        </w:rPr>
        <w:t>exercício</w:t>
      </w:r>
      <w:r>
        <w:rPr>
          <w:rFonts w:ascii="Segoe UI Symbol" w:hAnsi="Segoe UI Symbol"/>
          <w:spacing w:val="-11"/>
        </w:rPr>
        <w:t xml:space="preserve"> </w:t>
      </w:r>
      <w:r>
        <w:rPr>
          <w:rFonts w:ascii="Segoe UI Symbol" w:hAnsi="Segoe UI Symbol"/>
        </w:rPr>
        <w:t>ou</w:t>
      </w:r>
      <w:r>
        <w:rPr>
          <w:rFonts w:ascii="Segoe UI Symbol" w:hAnsi="Segoe UI Symbol"/>
          <w:spacing w:val="-6"/>
        </w:rPr>
        <w:t xml:space="preserve"> </w:t>
      </w:r>
      <w:r>
        <w:rPr>
          <w:rFonts w:ascii="Segoe UI Symbol" w:hAnsi="Segoe UI Symbol"/>
        </w:rPr>
        <w:t>antes</w:t>
      </w:r>
      <w:r>
        <w:rPr>
          <w:rFonts w:ascii="Segoe UI Symbol" w:hAnsi="Segoe UI Symbol"/>
          <w:spacing w:val="-6"/>
        </w:rPr>
        <w:t xml:space="preserve"> </w:t>
      </w:r>
      <w:r>
        <w:rPr>
          <w:rFonts w:ascii="Segoe UI Symbol" w:hAnsi="Segoe UI Symbol"/>
        </w:rPr>
        <w:t>disso</w:t>
      </w:r>
      <w:r>
        <w:rPr>
          <w:rFonts w:ascii="Segoe UI Symbol" w:hAnsi="Segoe UI Symbol"/>
          <w:spacing w:val="-6"/>
        </w:rPr>
        <w:t xml:space="preserve"> </w:t>
      </w:r>
      <w:r>
        <w:rPr>
          <w:rFonts w:ascii="Segoe UI Symbol" w:hAnsi="Segoe UI Symbol"/>
        </w:rPr>
        <w:t>quando</w:t>
      </w:r>
      <w:r>
        <w:rPr>
          <w:rFonts w:ascii="Segoe UI Symbol" w:hAnsi="Segoe UI Symbol"/>
          <w:spacing w:val="-6"/>
        </w:rPr>
        <w:t xml:space="preserve"> </w:t>
      </w:r>
      <w:r>
        <w:rPr>
          <w:rFonts w:ascii="Segoe UI Symbol" w:hAnsi="Segoe UI Symbol"/>
        </w:rPr>
        <w:t>as</w:t>
      </w:r>
      <w:r>
        <w:rPr>
          <w:rFonts w:ascii="Segoe UI Symbol" w:hAnsi="Segoe UI Symbol"/>
          <w:spacing w:val="-6"/>
        </w:rPr>
        <w:t xml:space="preserve"> </w:t>
      </w:r>
      <w:r>
        <w:rPr>
          <w:rFonts w:ascii="Segoe UI Symbol" w:hAnsi="Segoe UI Symbol"/>
        </w:rPr>
        <w:t>circunstâncias</w:t>
      </w:r>
      <w:r>
        <w:rPr>
          <w:rFonts w:ascii="Segoe UI Symbol" w:hAnsi="Segoe UI Symbol"/>
          <w:spacing w:val="-9"/>
        </w:rPr>
        <w:t xml:space="preserve"> </w:t>
      </w:r>
      <w:r>
        <w:rPr>
          <w:rFonts w:ascii="Segoe UI Symbol" w:hAnsi="Segoe UI Symbol"/>
        </w:rPr>
        <w:t>indicarem perda por desvalorização do valor contábil. Quando o valor recuperável é menor do que seu valor contábil, uma perda de valor recuperável é reconhecida. As perdas de valor recuperável relativas ao ágio não podem ser revertidas em exercícios futuros.</w:t>
      </w:r>
    </w:p>
    <w:p w14:paraId="4403FD8E" w14:textId="77777777" w:rsidR="002C6574" w:rsidRDefault="002C6574">
      <w:pPr>
        <w:pStyle w:val="Corpodetexto"/>
        <w:spacing w:before="1"/>
      </w:pPr>
    </w:p>
    <w:p w14:paraId="6822F930" w14:textId="77777777" w:rsidR="002C6574" w:rsidRDefault="00000000">
      <w:pPr>
        <w:pStyle w:val="PargrafodaLista"/>
        <w:numPr>
          <w:ilvl w:val="0"/>
          <w:numId w:val="52"/>
        </w:numPr>
        <w:tabs>
          <w:tab w:val="left" w:pos="455"/>
        </w:tabs>
        <w:ind w:right="702" w:firstLine="0"/>
        <w:jc w:val="both"/>
        <w:rPr>
          <w:rFonts w:ascii="Segoe UI Symbol" w:hAnsi="Segoe UI Symbol"/>
        </w:rPr>
      </w:pPr>
      <w:r>
        <w:rPr>
          <w:rFonts w:ascii="Segoe UI Symbol" w:hAnsi="Segoe UI Symbol"/>
        </w:rPr>
        <w:t>Ativos intangíveis: os ativos intangíveis com vida útil indefinida são testados em relação à perda por</w:t>
      </w:r>
      <w:r>
        <w:rPr>
          <w:rFonts w:ascii="Segoe UI Symbol" w:hAnsi="Segoe UI Symbol"/>
          <w:spacing w:val="-3"/>
        </w:rPr>
        <w:t xml:space="preserve"> </w:t>
      </w:r>
      <w:r>
        <w:rPr>
          <w:rFonts w:ascii="Segoe UI Symbol" w:hAnsi="Segoe UI Symbol"/>
        </w:rPr>
        <w:t>redução</w:t>
      </w:r>
      <w:r>
        <w:rPr>
          <w:rFonts w:ascii="Segoe UI Symbol" w:hAnsi="Segoe UI Symbol"/>
          <w:spacing w:val="-9"/>
        </w:rPr>
        <w:t xml:space="preserve"> </w:t>
      </w:r>
      <w:r>
        <w:rPr>
          <w:rFonts w:ascii="Segoe UI Symbol" w:hAnsi="Segoe UI Symbol"/>
        </w:rPr>
        <w:t>ao</w:t>
      </w:r>
      <w:r>
        <w:rPr>
          <w:rFonts w:ascii="Segoe UI Symbol" w:hAnsi="Segoe UI Symbol"/>
          <w:spacing w:val="-5"/>
        </w:rPr>
        <w:t xml:space="preserve"> </w:t>
      </w:r>
      <w:r>
        <w:rPr>
          <w:rFonts w:ascii="Segoe UI Symbol" w:hAnsi="Segoe UI Symbol"/>
        </w:rPr>
        <w:t>valor</w:t>
      </w:r>
      <w:r>
        <w:rPr>
          <w:rFonts w:ascii="Segoe UI Symbol" w:hAnsi="Segoe UI Symbol"/>
          <w:spacing w:val="-5"/>
        </w:rPr>
        <w:t xml:space="preserve"> </w:t>
      </w:r>
      <w:r>
        <w:rPr>
          <w:rFonts w:ascii="Segoe UI Symbol" w:hAnsi="Segoe UI Symbol"/>
        </w:rPr>
        <w:t>recuperável</w:t>
      </w:r>
      <w:r>
        <w:rPr>
          <w:rFonts w:ascii="Segoe UI Symbol" w:hAnsi="Segoe UI Symbol"/>
          <w:spacing w:val="-5"/>
        </w:rPr>
        <w:t xml:space="preserve"> </w:t>
      </w:r>
      <w:r>
        <w:rPr>
          <w:rFonts w:ascii="Segoe UI Symbol" w:hAnsi="Segoe UI Symbol"/>
        </w:rPr>
        <w:t>anualmente</w:t>
      </w:r>
      <w:r>
        <w:rPr>
          <w:rFonts w:ascii="Segoe UI Symbol" w:hAnsi="Segoe UI Symbol"/>
          <w:spacing w:val="-9"/>
        </w:rPr>
        <w:t xml:space="preserve"> </w:t>
      </w:r>
      <w:r>
        <w:rPr>
          <w:rFonts w:ascii="Segoe UI Symbol" w:hAnsi="Segoe UI Symbol"/>
        </w:rPr>
        <w:t>na</w:t>
      </w:r>
      <w:r>
        <w:rPr>
          <w:rFonts w:ascii="Segoe UI Symbol" w:hAnsi="Segoe UI Symbol"/>
          <w:spacing w:val="-8"/>
        </w:rPr>
        <w:t xml:space="preserve"> </w:t>
      </w:r>
      <w:r>
        <w:rPr>
          <w:rFonts w:ascii="Segoe UI Symbol" w:hAnsi="Segoe UI Symbol"/>
        </w:rPr>
        <w:t>data</w:t>
      </w:r>
      <w:r>
        <w:rPr>
          <w:rFonts w:ascii="Segoe UI Symbol" w:hAnsi="Segoe UI Symbol"/>
          <w:spacing w:val="-6"/>
        </w:rPr>
        <w:t xml:space="preserve"> </w:t>
      </w:r>
      <w:r>
        <w:rPr>
          <w:rFonts w:ascii="Segoe UI Symbol" w:hAnsi="Segoe UI Symbol"/>
        </w:rPr>
        <w:t>do</w:t>
      </w:r>
      <w:r>
        <w:rPr>
          <w:rFonts w:ascii="Segoe UI Symbol" w:hAnsi="Segoe UI Symbol"/>
          <w:spacing w:val="-7"/>
        </w:rPr>
        <w:t xml:space="preserve"> </w:t>
      </w:r>
      <w:r>
        <w:rPr>
          <w:rFonts w:ascii="Segoe UI Symbol" w:hAnsi="Segoe UI Symbol"/>
        </w:rPr>
        <w:t>encerramento</w:t>
      </w:r>
      <w:r>
        <w:rPr>
          <w:rFonts w:ascii="Segoe UI Symbol" w:hAnsi="Segoe UI Symbol"/>
          <w:spacing w:val="-6"/>
        </w:rPr>
        <w:t xml:space="preserve"> </w:t>
      </w:r>
      <w:r>
        <w:rPr>
          <w:rFonts w:ascii="Segoe UI Symbol" w:hAnsi="Segoe UI Symbol"/>
        </w:rPr>
        <w:t>do</w:t>
      </w:r>
      <w:r>
        <w:rPr>
          <w:rFonts w:ascii="Segoe UI Symbol" w:hAnsi="Segoe UI Symbol"/>
          <w:spacing w:val="-7"/>
        </w:rPr>
        <w:t xml:space="preserve"> </w:t>
      </w:r>
      <w:r>
        <w:rPr>
          <w:rFonts w:ascii="Segoe UI Symbol" w:hAnsi="Segoe UI Symbol"/>
        </w:rPr>
        <w:t>exercício,</w:t>
      </w:r>
      <w:r>
        <w:rPr>
          <w:rFonts w:ascii="Segoe UI Symbol" w:hAnsi="Segoe UI Symbol"/>
          <w:spacing w:val="-2"/>
        </w:rPr>
        <w:t xml:space="preserve"> </w:t>
      </w:r>
      <w:r>
        <w:rPr>
          <w:rFonts w:ascii="Segoe UI Symbol" w:hAnsi="Segoe UI Symbol"/>
        </w:rPr>
        <w:t>individualmente ou em nível da unidade geradora de caixa, conforme o caso, ou quando as circunstâncias indicarem perda por desvalorização do valor contábil.</w:t>
      </w:r>
    </w:p>
    <w:p w14:paraId="20BEA704" w14:textId="77777777" w:rsidR="002C6574" w:rsidRDefault="00000000">
      <w:pPr>
        <w:pStyle w:val="PargrafodaLista"/>
        <w:numPr>
          <w:ilvl w:val="0"/>
          <w:numId w:val="52"/>
        </w:numPr>
        <w:tabs>
          <w:tab w:val="left" w:pos="496"/>
        </w:tabs>
        <w:spacing w:before="286"/>
        <w:ind w:left="496" w:hanging="353"/>
        <w:jc w:val="both"/>
        <w:rPr>
          <w:rFonts w:ascii="Segoe UI Symbol" w:hAnsi="Segoe UI Symbol"/>
        </w:rPr>
      </w:pPr>
      <w:r>
        <w:rPr>
          <w:rFonts w:ascii="Segoe UI Symbol" w:hAnsi="Segoe UI Symbol"/>
        </w:rPr>
        <w:t>Avaliação</w:t>
      </w:r>
      <w:r>
        <w:rPr>
          <w:rFonts w:ascii="Segoe UI Symbol" w:hAnsi="Segoe UI Symbol"/>
          <w:spacing w:val="9"/>
        </w:rPr>
        <w:t xml:space="preserve"> </w:t>
      </w:r>
      <w:r>
        <w:rPr>
          <w:rFonts w:ascii="Segoe UI Symbol" w:hAnsi="Segoe UI Symbol"/>
        </w:rPr>
        <w:t>do</w:t>
      </w:r>
      <w:r>
        <w:rPr>
          <w:rFonts w:ascii="Segoe UI Symbol" w:hAnsi="Segoe UI Symbol"/>
          <w:spacing w:val="9"/>
        </w:rPr>
        <w:t xml:space="preserve"> </w:t>
      </w:r>
      <w:r>
        <w:rPr>
          <w:rFonts w:ascii="Segoe UI Symbol" w:hAnsi="Segoe UI Symbol"/>
        </w:rPr>
        <w:t>valor</w:t>
      </w:r>
      <w:r>
        <w:rPr>
          <w:rFonts w:ascii="Segoe UI Symbol" w:hAnsi="Segoe UI Symbol"/>
          <w:spacing w:val="9"/>
        </w:rPr>
        <w:t xml:space="preserve"> </w:t>
      </w:r>
      <w:r>
        <w:rPr>
          <w:rFonts w:ascii="Segoe UI Symbol" w:hAnsi="Segoe UI Symbol"/>
        </w:rPr>
        <w:t>em</w:t>
      </w:r>
      <w:r>
        <w:rPr>
          <w:rFonts w:ascii="Segoe UI Symbol" w:hAnsi="Segoe UI Symbol"/>
          <w:spacing w:val="10"/>
        </w:rPr>
        <w:t xml:space="preserve"> </w:t>
      </w:r>
      <w:r>
        <w:rPr>
          <w:rFonts w:ascii="Segoe UI Symbol" w:hAnsi="Segoe UI Symbol"/>
        </w:rPr>
        <w:t>uso:</w:t>
      </w:r>
      <w:r>
        <w:rPr>
          <w:rFonts w:ascii="Segoe UI Symbol" w:hAnsi="Segoe UI Symbol"/>
          <w:spacing w:val="9"/>
        </w:rPr>
        <w:t xml:space="preserve"> </w:t>
      </w:r>
      <w:r>
        <w:rPr>
          <w:rFonts w:ascii="Segoe UI Symbol" w:hAnsi="Segoe UI Symbol"/>
        </w:rPr>
        <w:t>as</w:t>
      </w:r>
      <w:r>
        <w:rPr>
          <w:rFonts w:ascii="Segoe UI Symbol" w:hAnsi="Segoe UI Symbol"/>
          <w:spacing w:val="9"/>
        </w:rPr>
        <w:t xml:space="preserve"> </w:t>
      </w:r>
      <w:r>
        <w:rPr>
          <w:rFonts w:ascii="Segoe UI Symbol" w:hAnsi="Segoe UI Symbol"/>
        </w:rPr>
        <w:t>principais</w:t>
      </w:r>
      <w:r>
        <w:rPr>
          <w:rFonts w:ascii="Segoe UI Symbol" w:hAnsi="Segoe UI Symbol"/>
          <w:spacing w:val="9"/>
        </w:rPr>
        <w:t xml:space="preserve"> </w:t>
      </w:r>
      <w:r>
        <w:rPr>
          <w:rFonts w:ascii="Segoe UI Symbol" w:hAnsi="Segoe UI Symbol"/>
        </w:rPr>
        <w:t>premissas</w:t>
      </w:r>
      <w:r>
        <w:rPr>
          <w:rFonts w:ascii="Segoe UI Symbol" w:hAnsi="Segoe UI Symbol"/>
          <w:spacing w:val="11"/>
        </w:rPr>
        <w:t xml:space="preserve"> </w:t>
      </w:r>
      <w:r>
        <w:rPr>
          <w:rFonts w:ascii="Segoe UI Symbol" w:hAnsi="Segoe UI Symbol"/>
        </w:rPr>
        <w:t>usadas</w:t>
      </w:r>
      <w:r>
        <w:rPr>
          <w:rFonts w:ascii="Segoe UI Symbol" w:hAnsi="Segoe UI Symbol"/>
          <w:spacing w:val="9"/>
        </w:rPr>
        <w:t xml:space="preserve"> </w:t>
      </w:r>
      <w:r>
        <w:rPr>
          <w:rFonts w:ascii="Segoe UI Symbol" w:hAnsi="Segoe UI Symbol"/>
        </w:rPr>
        <w:t>na</w:t>
      </w:r>
      <w:r>
        <w:rPr>
          <w:rFonts w:ascii="Segoe UI Symbol" w:hAnsi="Segoe UI Symbol"/>
          <w:spacing w:val="7"/>
        </w:rPr>
        <w:t xml:space="preserve"> </w:t>
      </w:r>
      <w:r>
        <w:rPr>
          <w:rFonts w:ascii="Segoe UI Symbol" w:hAnsi="Segoe UI Symbol"/>
        </w:rPr>
        <w:t>estimativa</w:t>
      </w:r>
      <w:r>
        <w:rPr>
          <w:rFonts w:ascii="Segoe UI Symbol" w:hAnsi="Segoe UI Symbol"/>
          <w:spacing w:val="7"/>
        </w:rPr>
        <w:t xml:space="preserve"> </w:t>
      </w:r>
      <w:r>
        <w:rPr>
          <w:rFonts w:ascii="Segoe UI Symbol" w:hAnsi="Segoe UI Symbol"/>
        </w:rPr>
        <w:t>do</w:t>
      </w:r>
      <w:r>
        <w:rPr>
          <w:rFonts w:ascii="Segoe UI Symbol" w:hAnsi="Segoe UI Symbol"/>
          <w:spacing w:val="9"/>
        </w:rPr>
        <w:t xml:space="preserve"> </w:t>
      </w:r>
      <w:r>
        <w:rPr>
          <w:rFonts w:ascii="Segoe UI Symbol" w:hAnsi="Segoe UI Symbol"/>
        </w:rPr>
        <w:t>valor</w:t>
      </w:r>
      <w:r>
        <w:rPr>
          <w:rFonts w:ascii="Segoe UI Symbol" w:hAnsi="Segoe UI Symbol"/>
          <w:spacing w:val="10"/>
        </w:rPr>
        <w:t xml:space="preserve"> </w:t>
      </w:r>
      <w:r>
        <w:rPr>
          <w:rFonts w:ascii="Segoe UI Symbol" w:hAnsi="Segoe UI Symbol"/>
        </w:rPr>
        <w:t>em</w:t>
      </w:r>
      <w:r>
        <w:rPr>
          <w:rFonts w:ascii="Segoe UI Symbol" w:hAnsi="Segoe UI Symbol"/>
          <w:spacing w:val="9"/>
        </w:rPr>
        <w:t xml:space="preserve"> </w:t>
      </w:r>
      <w:r>
        <w:rPr>
          <w:rFonts w:ascii="Segoe UI Symbol" w:hAnsi="Segoe UI Symbol"/>
        </w:rPr>
        <w:t>uso</w:t>
      </w:r>
      <w:r>
        <w:rPr>
          <w:rFonts w:ascii="Segoe UI Symbol" w:hAnsi="Segoe UI Symbol"/>
          <w:spacing w:val="10"/>
        </w:rPr>
        <w:t xml:space="preserve"> </w:t>
      </w:r>
      <w:r>
        <w:rPr>
          <w:rFonts w:ascii="Segoe UI Symbol" w:hAnsi="Segoe UI Symbol"/>
          <w:spacing w:val="-4"/>
        </w:rPr>
        <w:t>são:</w:t>
      </w:r>
    </w:p>
    <w:p w14:paraId="4D1A129A" w14:textId="77777777" w:rsidR="002C6574" w:rsidRDefault="00000000">
      <w:pPr>
        <w:pStyle w:val="Corpodetexto"/>
        <w:spacing w:before="291" w:line="237" w:lineRule="auto"/>
        <w:ind w:left="143" w:right="704"/>
        <w:jc w:val="both"/>
      </w:pPr>
      <w:r>
        <w:t>Receitas: as receitas são projetadas considerando o crescimento da base de clientes, a evolução das receitas do mercado frente ao PIB e a participação da Companhia neste mercado.</w:t>
      </w:r>
    </w:p>
    <w:p w14:paraId="7C488917" w14:textId="77777777" w:rsidR="002C6574" w:rsidRDefault="002C6574">
      <w:pPr>
        <w:pStyle w:val="Corpodetexto"/>
        <w:spacing w:before="1"/>
      </w:pPr>
    </w:p>
    <w:p w14:paraId="05C02DD2" w14:textId="77777777" w:rsidR="002C6574" w:rsidRDefault="00000000">
      <w:pPr>
        <w:pStyle w:val="Corpodetexto"/>
        <w:spacing w:line="237" w:lineRule="auto"/>
        <w:ind w:left="143" w:right="703"/>
        <w:jc w:val="both"/>
      </w:pPr>
      <w:r>
        <w:rPr>
          <w:w w:val="105"/>
        </w:rPr>
        <w:t xml:space="preserve">Custos e despesas operacionais: os custos e despesas variáveis são projetados de acordo com a </w:t>
      </w:r>
      <w:r>
        <w:t>dinâmica da base</w:t>
      </w:r>
      <w:r>
        <w:rPr>
          <w:spacing w:val="-1"/>
        </w:rPr>
        <w:t xml:space="preserve"> </w:t>
      </w:r>
      <w:r>
        <w:t>de</w:t>
      </w:r>
      <w:r>
        <w:rPr>
          <w:spacing w:val="-2"/>
        </w:rPr>
        <w:t xml:space="preserve"> </w:t>
      </w:r>
      <w:r>
        <w:t>clientes,</w:t>
      </w:r>
      <w:r>
        <w:rPr>
          <w:spacing w:val="-1"/>
        </w:rPr>
        <w:t xml:space="preserve"> </w:t>
      </w:r>
      <w:r>
        <w:t>e os</w:t>
      </w:r>
      <w:r>
        <w:rPr>
          <w:spacing w:val="-2"/>
        </w:rPr>
        <w:t xml:space="preserve"> </w:t>
      </w:r>
      <w:r>
        <w:t>custos</w:t>
      </w:r>
      <w:r>
        <w:rPr>
          <w:spacing w:val="-2"/>
        </w:rPr>
        <w:t xml:space="preserve"> </w:t>
      </w:r>
      <w:r>
        <w:t>fixos</w:t>
      </w:r>
      <w:r>
        <w:rPr>
          <w:spacing w:val="-2"/>
        </w:rPr>
        <w:t xml:space="preserve"> </w:t>
      </w:r>
      <w:r>
        <w:t>são projetados</w:t>
      </w:r>
      <w:r>
        <w:rPr>
          <w:spacing w:val="-2"/>
        </w:rPr>
        <w:t xml:space="preserve"> </w:t>
      </w:r>
      <w:r>
        <w:t>em linha com o</w:t>
      </w:r>
      <w:r>
        <w:rPr>
          <w:spacing w:val="-3"/>
        </w:rPr>
        <w:t xml:space="preserve"> </w:t>
      </w:r>
      <w:r>
        <w:t xml:space="preserve">desempenho histórico </w:t>
      </w:r>
      <w:r>
        <w:rPr>
          <w:w w:val="105"/>
        </w:rPr>
        <w:t>da</w:t>
      </w:r>
      <w:r>
        <w:rPr>
          <w:spacing w:val="-11"/>
          <w:w w:val="105"/>
        </w:rPr>
        <w:t xml:space="preserve"> </w:t>
      </w:r>
      <w:r>
        <w:rPr>
          <w:w w:val="105"/>
        </w:rPr>
        <w:t>Companhia,</w:t>
      </w:r>
      <w:r>
        <w:rPr>
          <w:spacing w:val="-12"/>
          <w:w w:val="105"/>
        </w:rPr>
        <w:t xml:space="preserve"> </w:t>
      </w:r>
      <w:r>
        <w:rPr>
          <w:w w:val="105"/>
        </w:rPr>
        <w:t>bem</w:t>
      </w:r>
      <w:r>
        <w:rPr>
          <w:spacing w:val="-15"/>
          <w:w w:val="105"/>
        </w:rPr>
        <w:t xml:space="preserve"> </w:t>
      </w:r>
      <w:r>
        <w:rPr>
          <w:w w:val="105"/>
        </w:rPr>
        <w:t>como</w:t>
      </w:r>
      <w:r>
        <w:rPr>
          <w:spacing w:val="-15"/>
          <w:w w:val="105"/>
        </w:rPr>
        <w:t xml:space="preserve"> </w:t>
      </w:r>
      <w:r>
        <w:rPr>
          <w:w w:val="105"/>
        </w:rPr>
        <w:t>com</w:t>
      </w:r>
      <w:r>
        <w:rPr>
          <w:spacing w:val="-14"/>
          <w:w w:val="105"/>
        </w:rPr>
        <w:t xml:space="preserve"> </w:t>
      </w:r>
      <w:r>
        <w:rPr>
          <w:w w:val="105"/>
        </w:rPr>
        <w:t>o</w:t>
      </w:r>
      <w:r>
        <w:rPr>
          <w:spacing w:val="-15"/>
          <w:w w:val="105"/>
        </w:rPr>
        <w:t xml:space="preserve"> </w:t>
      </w:r>
      <w:r>
        <w:rPr>
          <w:w w:val="105"/>
        </w:rPr>
        <w:t>crescimento</w:t>
      </w:r>
      <w:r>
        <w:rPr>
          <w:spacing w:val="-13"/>
          <w:w w:val="105"/>
        </w:rPr>
        <w:t xml:space="preserve"> </w:t>
      </w:r>
      <w:r>
        <w:rPr>
          <w:w w:val="105"/>
        </w:rPr>
        <w:t>histórico</w:t>
      </w:r>
      <w:r>
        <w:rPr>
          <w:spacing w:val="-15"/>
          <w:w w:val="105"/>
        </w:rPr>
        <w:t xml:space="preserve"> </w:t>
      </w:r>
      <w:r>
        <w:rPr>
          <w:w w:val="105"/>
        </w:rPr>
        <w:t>das</w:t>
      </w:r>
      <w:r>
        <w:rPr>
          <w:spacing w:val="-13"/>
          <w:w w:val="105"/>
        </w:rPr>
        <w:t xml:space="preserve"> </w:t>
      </w:r>
      <w:r>
        <w:rPr>
          <w:w w:val="105"/>
        </w:rPr>
        <w:t>receitas.</w:t>
      </w:r>
    </w:p>
    <w:p w14:paraId="38AA8B82" w14:textId="77777777" w:rsidR="002C6574" w:rsidRDefault="002C6574">
      <w:pPr>
        <w:pStyle w:val="Corpodetexto"/>
        <w:spacing w:before="3"/>
      </w:pPr>
    </w:p>
    <w:p w14:paraId="01B6D93D" w14:textId="77777777" w:rsidR="002C6574" w:rsidRDefault="00000000">
      <w:pPr>
        <w:pStyle w:val="Corpodetexto"/>
        <w:spacing w:line="237" w:lineRule="auto"/>
        <w:ind w:left="143" w:right="703"/>
        <w:jc w:val="both"/>
      </w:pPr>
      <w:r>
        <w:t>Investimentos de capital: os investimentos em bens de capital são estimados considerando a infraestrutura tecnológica necessária para viabilizar a oferta dos serviços.</w:t>
      </w:r>
    </w:p>
    <w:p w14:paraId="5EB8B8EC" w14:textId="77777777" w:rsidR="002C6574" w:rsidRDefault="002C6574">
      <w:pPr>
        <w:pStyle w:val="Corpodetexto"/>
        <w:spacing w:line="237" w:lineRule="auto"/>
        <w:jc w:val="both"/>
        <w:sectPr w:rsidR="002C6574">
          <w:pgSz w:w="11910" w:h="16840"/>
          <w:pgMar w:top="1600" w:right="141" w:bottom="1520" w:left="1133" w:header="856" w:footer="1296" w:gutter="0"/>
          <w:cols w:space="720"/>
        </w:sectPr>
      </w:pPr>
    </w:p>
    <w:p w14:paraId="6F9B25AD" w14:textId="77777777" w:rsidR="002C6574" w:rsidRDefault="002C6574">
      <w:pPr>
        <w:pStyle w:val="Corpodetexto"/>
        <w:spacing w:before="227"/>
      </w:pPr>
    </w:p>
    <w:p w14:paraId="2E015CED" w14:textId="77777777" w:rsidR="002C6574" w:rsidRDefault="00000000">
      <w:pPr>
        <w:numPr>
          <w:ilvl w:val="2"/>
          <w:numId w:val="54"/>
        </w:numPr>
        <w:tabs>
          <w:tab w:val="left" w:pos="994"/>
        </w:tabs>
        <w:ind w:left="994" w:hanging="851"/>
        <w:rPr>
          <w:rFonts w:ascii="Arial"/>
          <w:b/>
        </w:rPr>
      </w:pPr>
      <w:r>
        <w:rPr>
          <w:rFonts w:ascii="Arial"/>
          <w:b/>
        </w:rPr>
        <w:t>Ajuste</w:t>
      </w:r>
      <w:r>
        <w:rPr>
          <w:rFonts w:ascii="Arial"/>
          <w:b/>
          <w:spacing w:val="-2"/>
        </w:rPr>
        <w:t xml:space="preserve"> </w:t>
      </w:r>
      <w:r>
        <w:rPr>
          <w:rFonts w:ascii="Arial"/>
          <w:b/>
        </w:rPr>
        <w:t>a</w:t>
      </w:r>
      <w:r>
        <w:rPr>
          <w:rFonts w:ascii="Arial"/>
          <w:b/>
          <w:spacing w:val="-4"/>
        </w:rPr>
        <w:t xml:space="preserve"> </w:t>
      </w:r>
      <w:r>
        <w:rPr>
          <w:rFonts w:ascii="Arial"/>
          <w:b/>
        </w:rPr>
        <w:t>valor</w:t>
      </w:r>
      <w:r>
        <w:rPr>
          <w:rFonts w:ascii="Arial"/>
          <w:b/>
          <w:spacing w:val="1"/>
        </w:rPr>
        <w:t xml:space="preserve"> </w:t>
      </w:r>
      <w:r>
        <w:rPr>
          <w:rFonts w:ascii="Arial"/>
          <w:b/>
          <w:spacing w:val="-2"/>
        </w:rPr>
        <w:t>presente</w:t>
      </w:r>
    </w:p>
    <w:p w14:paraId="0556CC57" w14:textId="77777777" w:rsidR="002C6574" w:rsidRDefault="002C6574">
      <w:pPr>
        <w:pStyle w:val="Corpodetexto"/>
        <w:spacing w:before="48"/>
        <w:rPr>
          <w:rFonts w:ascii="Arial"/>
          <w:b/>
        </w:rPr>
      </w:pPr>
    </w:p>
    <w:p w14:paraId="6DE9C9B8" w14:textId="77777777" w:rsidR="002C6574" w:rsidRDefault="00000000">
      <w:pPr>
        <w:pStyle w:val="Corpodetexto"/>
        <w:spacing w:line="237" w:lineRule="auto"/>
        <w:ind w:left="143" w:right="703"/>
        <w:jc w:val="both"/>
      </w:pPr>
      <w:r>
        <w:t>A Companhia efetua avaliação dos seus ativos e passivos financeiros para identificar a ocorrência da aplicabilidade</w:t>
      </w:r>
      <w:r>
        <w:rPr>
          <w:spacing w:val="-11"/>
        </w:rPr>
        <w:t xml:space="preserve"> </w:t>
      </w:r>
      <w:r>
        <w:t>do</w:t>
      </w:r>
      <w:r>
        <w:rPr>
          <w:spacing w:val="-11"/>
        </w:rPr>
        <w:t xml:space="preserve"> </w:t>
      </w:r>
      <w:r>
        <w:t>ajuste</w:t>
      </w:r>
      <w:r>
        <w:rPr>
          <w:spacing w:val="-11"/>
        </w:rPr>
        <w:t xml:space="preserve"> </w:t>
      </w:r>
      <w:r>
        <w:t>ao</w:t>
      </w:r>
      <w:r>
        <w:rPr>
          <w:spacing w:val="-11"/>
        </w:rPr>
        <w:t xml:space="preserve"> </w:t>
      </w:r>
      <w:r>
        <w:t>valor</w:t>
      </w:r>
      <w:r>
        <w:rPr>
          <w:spacing w:val="-10"/>
        </w:rPr>
        <w:t xml:space="preserve"> </w:t>
      </w:r>
      <w:r>
        <w:t>presente.</w:t>
      </w:r>
      <w:r>
        <w:rPr>
          <w:spacing w:val="-13"/>
        </w:rPr>
        <w:t xml:space="preserve"> </w:t>
      </w:r>
      <w:r>
        <w:t>Os</w:t>
      </w:r>
      <w:r>
        <w:rPr>
          <w:spacing w:val="-11"/>
        </w:rPr>
        <w:t xml:space="preserve"> </w:t>
      </w:r>
      <w:r>
        <w:t>ativos</w:t>
      </w:r>
      <w:r>
        <w:rPr>
          <w:spacing w:val="-11"/>
        </w:rPr>
        <w:t xml:space="preserve"> </w:t>
      </w:r>
      <w:r>
        <w:t>adquiridos</w:t>
      </w:r>
      <w:r>
        <w:rPr>
          <w:spacing w:val="-11"/>
        </w:rPr>
        <w:t xml:space="preserve"> </w:t>
      </w:r>
      <w:r>
        <w:t>através</w:t>
      </w:r>
      <w:r>
        <w:rPr>
          <w:spacing w:val="-11"/>
        </w:rPr>
        <w:t xml:space="preserve"> </w:t>
      </w:r>
      <w:r>
        <w:t>de</w:t>
      </w:r>
      <w:r>
        <w:rPr>
          <w:spacing w:val="-11"/>
        </w:rPr>
        <w:t xml:space="preserve"> </w:t>
      </w:r>
      <w:r>
        <w:t>contratos</w:t>
      </w:r>
      <w:r>
        <w:rPr>
          <w:spacing w:val="-11"/>
        </w:rPr>
        <w:t xml:space="preserve"> </w:t>
      </w:r>
      <w:r>
        <w:t>de</w:t>
      </w:r>
      <w:r>
        <w:rPr>
          <w:spacing w:val="-11"/>
        </w:rPr>
        <w:t xml:space="preserve"> </w:t>
      </w:r>
      <w:r>
        <w:t>arrendamento mercantil (quando aplicável) são ajustados a valor presente.</w:t>
      </w:r>
    </w:p>
    <w:p w14:paraId="3CEC86D0" w14:textId="77777777" w:rsidR="002C6574" w:rsidRDefault="00000000">
      <w:pPr>
        <w:pStyle w:val="Corpodetexto"/>
        <w:spacing w:before="216" w:line="237" w:lineRule="auto"/>
        <w:ind w:left="143" w:right="703"/>
        <w:jc w:val="both"/>
      </w:pPr>
      <w:r>
        <w:t>Em aspectos gerais, quando aplicável, a taxa utilizada é a média de retorno de investimentos ou de captação global da Companhia, dependendo se o instrumento financeiro é ativo ou passivo, respectivamente.</w:t>
      </w:r>
      <w:r>
        <w:rPr>
          <w:spacing w:val="-13"/>
        </w:rPr>
        <w:t xml:space="preserve"> </w:t>
      </w:r>
      <w:r>
        <w:t>A</w:t>
      </w:r>
      <w:r>
        <w:rPr>
          <w:spacing w:val="-14"/>
        </w:rPr>
        <w:t xml:space="preserve"> </w:t>
      </w:r>
      <w:r>
        <w:t>contrapartida</w:t>
      </w:r>
      <w:r>
        <w:rPr>
          <w:spacing w:val="-13"/>
        </w:rPr>
        <w:t xml:space="preserve"> </w:t>
      </w:r>
      <w:r>
        <w:t>contábil</w:t>
      </w:r>
      <w:r>
        <w:rPr>
          <w:spacing w:val="-15"/>
        </w:rPr>
        <w:t xml:space="preserve"> </w:t>
      </w:r>
      <w:r>
        <w:t>é</w:t>
      </w:r>
      <w:r>
        <w:rPr>
          <w:spacing w:val="-12"/>
        </w:rPr>
        <w:t xml:space="preserve"> </w:t>
      </w:r>
      <w:r>
        <w:t>o</w:t>
      </w:r>
      <w:r>
        <w:rPr>
          <w:spacing w:val="-14"/>
        </w:rPr>
        <w:t xml:space="preserve"> </w:t>
      </w:r>
      <w:r>
        <w:t>ativo</w:t>
      </w:r>
      <w:r>
        <w:rPr>
          <w:spacing w:val="-13"/>
        </w:rPr>
        <w:t xml:space="preserve"> </w:t>
      </w:r>
      <w:r>
        <w:t>ou</w:t>
      </w:r>
      <w:r>
        <w:rPr>
          <w:spacing w:val="-13"/>
        </w:rPr>
        <w:t xml:space="preserve"> </w:t>
      </w:r>
      <w:r>
        <w:t>passivo</w:t>
      </w:r>
      <w:r>
        <w:rPr>
          <w:spacing w:val="-14"/>
        </w:rPr>
        <w:t xml:space="preserve"> </w:t>
      </w:r>
      <w:r>
        <w:t>que</w:t>
      </w:r>
      <w:r>
        <w:rPr>
          <w:spacing w:val="-13"/>
        </w:rPr>
        <w:t xml:space="preserve"> </w:t>
      </w:r>
      <w:r>
        <w:t>tenha</w:t>
      </w:r>
      <w:r>
        <w:rPr>
          <w:spacing w:val="-14"/>
        </w:rPr>
        <w:t xml:space="preserve"> </w:t>
      </w:r>
      <w:r>
        <w:t>dado</w:t>
      </w:r>
      <w:r>
        <w:rPr>
          <w:spacing w:val="-13"/>
        </w:rPr>
        <w:t xml:space="preserve"> </w:t>
      </w:r>
      <w:r>
        <w:t>origem</w:t>
      </w:r>
      <w:r>
        <w:rPr>
          <w:spacing w:val="-12"/>
        </w:rPr>
        <w:t xml:space="preserve"> </w:t>
      </w:r>
      <w:r>
        <w:t>ao</w:t>
      </w:r>
      <w:r>
        <w:rPr>
          <w:spacing w:val="-14"/>
        </w:rPr>
        <w:t xml:space="preserve"> </w:t>
      </w:r>
      <w:r>
        <w:t>instrumento financeiro, quando aplicável, e os encargos financeiros presumidos são apropriados ao resultado da Companhia pelo prazo da operação.</w:t>
      </w:r>
    </w:p>
    <w:p w14:paraId="58FCB3DA" w14:textId="77777777" w:rsidR="002C6574" w:rsidRDefault="00000000">
      <w:pPr>
        <w:pStyle w:val="Corpodetexto"/>
        <w:spacing w:before="244" w:line="237" w:lineRule="auto"/>
        <w:ind w:left="143" w:right="702"/>
        <w:jc w:val="both"/>
      </w:pPr>
      <w:r>
        <w:t>Na Companhia, o ajuste a valor presente é aplicado nas operações de arrendamento mercantil (Direito de Uso de Ativos), conforme CPC 06 (R2) – Operações de Arrendamento Mercantil. Não há na avaliação da Companhia nenhum outro ativo e passivo</w:t>
      </w:r>
      <w:r>
        <w:rPr>
          <w:spacing w:val="-1"/>
        </w:rPr>
        <w:t xml:space="preserve"> </w:t>
      </w:r>
      <w:r>
        <w:t>registrado em 31 de dezembro de 2025 e 2024 sujeito ao ajuste a valor presente, tendo em vista os seguintes fatores: (i) sua natureza; (ii) realização a curto prazo de determinados saldos e transações; e (iii) inexistência de ativos e passivos monetários com juros implícitos ou explícitos embutidos. Nos casos em que os instrumentos financeiros estão mensurados pelo custo amortizado, estes se encontram atualizados monetariamente pelos índices contratuais.</w:t>
      </w:r>
    </w:p>
    <w:p w14:paraId="718C8750" w14:textId="77777777" w:rsidR="002C6574" w:rsidRDefault="002C6574">
      <w:pPr>
        <w:pStyle w:val="Corpodetexto"/>
        <w:spacing w:before="36"/>
      </w:pPr>
    </w:p>
    <w:p w14:paraId="372FEF17" w14:textId="77777777" w:rsidR="002C6574" w:rsidRDefault="00000000">
      <w:pPr>
        <w:numPr>
          <w:ilvl w:val="2"/>
          <w:numId w:val="54"/>
        </w:numPr>
        <w:tabs>
          <w:tab w:val="left" w:pos="994"/>
        </w:tabs>
        <w:spacing w:before="1"/>
        <w:ind w:left="994" w:hanging="851"/>
        <w:rPr>
          <w:rFonts w:ascii="Arial"/>
          <w:b/>
        </w:rPr>
      </w:pPr>
      <w:r>
        <w:rPr>
          <w:rFonts w:ascii="Arial"/>
          <w:b/>
        </w:rPr>
        <w:t>Instrumentos</w:t>
      </w:r>
      <w:r>
        <w:rPr>
          <w:rFonts w:ascii="Arial"/>
          <w:b/>
          <w:spacing w:val="-7"/>
        </w:rPr>
        <w:t xml:space="preserve"> </w:t>
      </w:r>
      <w:r>
        <w:rPr>
          <w:rFonts w:ascii="Arial"/>
          <w:b/>
          <w:spacing w:val="-2"/>
        </w:rPr>
        <w:t>financeiros</w:t>
      </w:r>
    </w:p>
    <w:p w14:paraId="44F415E7" w14:textId="77777777" w:rsidR="002C6574" w:rsidRDefault="00000000">
      <w:pPr>
        <w:pStyle w:val="Corpodetexto"/>
        <w:spacing w:before="128" w:line="237" w:lineRule="auto"/>
        <w:ind w:left="143" w:right="702"/>
        <w:jc w:val="both"/>
      </w:pPr>
      <w:r>
        <w:rPr>
          <w:w w:val="105"/>
        </w:rPr>
        <w:t>Os</w:t>
      </w:r>
      <w:r>
        <w:rPr>
          <w:spacing w:val="-2"/>
          <w:w w:val="105"/>
        </w:rPr>
        <w:t xml:space="preserve"> </w:t>
      </w:r>
      <w:r>
        <w:rPr>
          <w:w w:val="105"/>
        </w:rPr>
        <w:t>Instrumentos</w:t>
      </w:r>
      <w:r>
        <w:rPr>
          <w:spacing w:val="-2"/>
          <w:w w:val="105"/>
        </w:rPr>
        <w:t xml:space="preserve"> </w:t>
      </w:r>
      <w:r>
        <w:rPr>
          <w:w w:val="105"/>
        </w:rPr>
        <w:t>Financeiros da</w:t>
      </w:r>
      <w:r>
        <w:rPr>
          <w:spacing w:val="-2"/>
          <w:w w:val="105"/>
        </w:rPr>
        <w:t xml:space="preserve"> </w:t>
      </w:r>
      <w:r>
        <w:rPr>
          <w:w w:val="105"/>
        </w:rPr>
        <w:t>Companhia</w:t>
      </w:r>
      <w:r>
        <w:rPr>
          <w:spacing w:val="-1"/>
          <w:w w:val="105"/>
        </w:rPr>
        <w:t xml:space="preserve"> </w:t>
      </w:r>
      <w:r>
        <w:rPr>
          <w:w w:val="105"/>
        </w:rPr>
        <w:t>estão restritos</w:t>
      </w:r>
      <w:r>
        <w:rPr>
          <w:spacing w:val="-2"/>
          <w:w w:val="105"/>
        </w:rPr>
        <w:t xml:space="preserve"> </w:t>
      </w:r>
      <w:r>
        <w:rPr>
          <w:w w:val="105"/>
        </w:rPr>
        <w:t>a</w:t>
      </w:r>
      <w:r>
        <w:rPr>
          <w:spacing w:val="-2"/>
          <w:w w:val="105"/>
        </w:rPr>
        <w:t xml:space="preserve"> </w:t>
      </w:r>
      <w:r>
        <w:rPr>
          <w:w w:val="105"/>
        </w:rPr>
        <w:t>Caixa</w:t>
      </w:r>
      <w:r>
        <w:rPr>
          <w:spacing w:val="-2"/>
          <w:w w:val="105"/>
        </w:rPr>
        <w:t xml:space="preserve"> </w:t>
      </w:r>
      <w:r>
        <w:rPr>
          <w:w w:val="105"/>
        </w:rPr>
        <w:t>e</w:t>
      </w:r>
      <w:r>
        <w:rPr>
          <w:spacing w:val="-2"/>
          <w:w w:val="105"/>
        </w:rPr>
        <w:t xml:space="preserve"> </w:t>
      </w:r>
      <w:r>
        <w:rPr>
          <w:w w:val="105"/>
        </w:rPr>
        <w:t>equivalentes de</w:t>
      </w:r>
      <w:r>
        <w:rPr>
          <w:spacing w:val="-2"/>
          <w:w w:val="105"/>
        </w:rPr>
        <w:t xml:space="preserve"> </w:t>
      </w:r>
      <w:r>
        <w:rPr>
          <w:w w:val="105"/>
        </w:rPr>
        <w:t>caixa</w:t>
      </w:r>
      <w:r>
        <w:rPr>
          <w:spacing w:val="-5"/>
          <w:w w:val="105"/>
        </w:rPr>
        <w:t xml:space="preserve"> </w:t>
      </w:r>
      <w:r>
        <w:rPr>
          <w:w w:val="105"/>
        </w:rPr>
        <w:t>(Nota Explicativa 4), Contas a receber de clientes (Nota Explicativa 5),</w:t>
      </w:r>
      <w:r>
        <w:rPr>
          <w:spacing w:val="40"/>
          <w:w w:val="105"/>
        </w:rPr>
        <w:t xml:space="preserve"> </w:t>
      </w:r>
      <w:r>
        <w:rPr>
          <w:w w:val="105"/>
        </w:rPr>
        <w:t>Aplicações financeiras (Nota Explicativa 11),</w:t>
      </w:r>
      <w:r>
        <w:rPr>
          <w:spacing w:val="40"/>
          <w:w w:val="105"/>
        </w:rPr>
        <w:t xml:space="preserve"> </w:t>
      </w:r>
      <w:r>
        <w:rPr>
          <w:w w:val="105"/>
        </w:rPr>
        <w:t xml:space="preserve">Superávit – Previdência Privada (Nota Explicativa 8), Dividendos a receber (Nota </w:t>
      </w:r>
      <w:r>
        <w:t>Explicativa 10),</w:t>
      </w:r>
      <w:r>
        <w:rPr>
          <w:spacing w:val="40"/>
        </w:rPr>
        <w:t xml:space="preserve"> </w:t>
      </w:r>
      <w:r>
        <w:t xml:space="preserve">Fornecedores (Nota Explicativa 18), Empréstimos e financiamentos (Nota Explicativa 24.1), Operações de Arrendamento Mercantil (Nota Explicativa 24.2) e Credores por Perdas Judiciais </w:t>
      </w:r>
      <w:r>
        <w:rPr>
          <w:spacing w:val="-2"/>
          <w:w w:val="105"/>
        </w:rPr>
        <w:t>(Nota</w:t>
      </w:r>
      <w:r>
        <w:rPr>
          <w:spacing w:val="-13"/>
          <w:w w:val="105"/>
        </w:rPr>
        <w:t xml:space="preserve"> </w:t>
      </w:r>
      <w:r>
        <w:rPr>
          <w:spacing w:val="-2"/>
          <w:w w:val="105"/>
        </w:rPr>
        <w:t>Explicativa</w:t>
      </w:r>
      <w:r>
        <w:rPr>
          <w:spacing w:val="-12"/>
          <w:w w:val="105"/>
        </w:rPr>
        <w:t xml:space="preserve"> </w:t>
      </w:r>
      <w:r>
        <w:rPr>
          <w:spacing w:val="-2"/>
          <w:w w:val="105"/>
        </w:rPr>
        <w:t>22),</w:t>
      </w:r>
      <w:r>
        <w:rPr>
          <w:spacing w:val="40"/>
          <w:w w:val="105"/>
        </w:rPr>
        <w:t xml:space="preserve"> </w:t>
      </w:r>
      <w:r>
        <w:rPr>
          <w:spacing w:val="-2"/>
          <w:w w:val="105"/>
        </w:rPr>
        <w:t>sendo</w:t>
      </w:r>
      <w:r>
        <w:rPr>
          <w:spacing w:val="-11"/>
          <w:w w:val="105"/>
        </w:rPr>
        <w:t xml:space="preserve"> </w:t>
      </w:r>
      <w:r>
        <w:rPr>
          <w:spacing w:val="-2"/>
          <w:w w:val="105"/>
        </w:rPr>
        <w:t>os</w:t>
      </w:r>
      <w:r>
        <w:rPr>
          <w:spacing w:val="-11"/>
          <w:w w:val="105"/>
        </w:rPr>
        <w:t xml:space="preserve"> </w:t>
      </w:r>
      <w:r>
        <w:rPr>
          <w:spacing w:val="-2"/>
          <w:w w:val="105"/>
        </w:rPr>
        <w:t>ganhos</w:t>
      </w:r>
      <w:r>
        <w:rPr>
          <w:spacing w:val="-13"/>
          <w:w w:val="105"/>
        </w:rPr>
        <w:t xml:space="preserve"> </w:t>
      </w:r>
      <w:r>
        <w:rPr>
          <w:spacing w:val="-2"/>
          <w:w w:val="105"/>
        </w:rPr>
        <w:t>e</w:t>
      </w:r>
      <w:r>
        <w:rPr>
          <w:spacing w:val="-10"/>
          <w:w w:val="105"/>
        </w:rPr>
        <w:t xml:space="preserve"> </w:t>
      </w:r>
      <w:r>
        <w:rPr>
          <w:spacing w:val="-2"/>
          <w:w w:val="105"/>
        </w:rPr>
        <w:t>perdas,</w:t>
      </w:r>
      <w:r>
        <w:rPr>
          <w:spacing w:val="-11"/>
          <w:w w:val="105"/>
        </w:rPr>
        <w:t xml:space="preserve"> </w:t>
      </w:r>
      <w:r>
        <w:rPr>
          <w:spacing w:val="-2"/>
          <w:w w:val="105"/>
        </w:rPr>
        <w:t>obtidos</w:t>
      </w:r>
      <w:r>
        <w:rPr>
          <w:spacing w:val="-10"/>
          <w:w w:val="105"/>
        </w:rPr>
        <w:t xml:space="preserve"> </w:t>
      </w:r>
      <w:r>
        <w:rPr>
          <w:spacing w:val="-2"/>
          <w:w w:val="105"/>
        </w:rPr>
        <w:t>nas</w:t>
      </w:r>
      <w:r>
        <w:rPr>
          <w:spacing w:val="-13"/>
          <w:w w:val="105"/>
        </w:rPr>
        <w:t xml:space="preserve"> </w:t>
      </w:r>
      <w:r>
        <w:rPr>
          <w:spacing w:val="-2"/>
          <w:w w:val="105"/>
        </w:rPr>
        <w:t>operações,</w:t>
      </w:r>
      <w:r>
        <w:rPr>
          <w:spacing w:val="-14"/>
          <w:w w:val="105"/>
        </w:rPr>
        <w:t xml:space="preserve"> </w:t>
      </w:r>
      <w:r>
        <w:rPr>
          <w:spacing w:val="-2"/>
          <w:w w:val="105"/>
        </w:rPr>
        <w:t>integralmente</w:t>
      </w:r>
      <w:r>
        <w:rPr>
          <w:spacing w:val="-12"/>
          <w:w w:val="105"/>
        </w:rPr>
        <w:t xml:space="preserve"> </w:t>
      </w:r>
      <w:r>
        <w:rPr>
          <w:spacing w:val="-2"/>
          <w:w w:val="105"/>
        </w:rPr>
        <w:t>registrados no</w:t>
      </w:r>
      <w:r>
        <w:rPr>
          <w:spacing w:val="-8"/>
          <w:w w:val="105"/>
        </w:rPr>
        <w:t xml:space="preserve"> </w:t>
      </w:r>
      <w:r>
        <w:rPr>
          <w:spacing w:val="-2"/>
          <w:w w:val="105"/>
        </w:rPr>
        <w:t>resultado</w:t>
      </w:r>
      <w:r>
        <w:rPr>
          <w:spacing w:val="-11"/>
          <w:w w:val="105"/>
        </w:rPr>
        <w:t xml:space="preserve"> </w:t>
      </w:r>
      <w:r>
        <w:rPr>
          <w:spacing w:val="-2"/>
          <w:w w:val="105"/>
        </w:rPr>
        <w:t>do</w:t>
      </w:r>
      <w:r>
        <w:rPr>
          <w:spacing w:val="-10"/>
          <w:w w:val="105"/>
        </w:rPr>
        <w:t xml:space="preserve"> </w:t>
      </w:r>
      <w:r>
        <w:rPr>
          <w:spacing w:val="-2"/>
          <w:w w:val="105"/>
        </w:rPr>
        <w:t>exercício</w:t>
      </w:r>
      <w:r>
        <w:rPr>
          <w:spacing w:val="-11"/>
          <w:w w:val="105"/>
        </w:rPr>
        <w:t xml:space="preserve"> </w:t>
      </w:r>
      <w:r>
        <w:rPr>
          <w:spacing w:val="-2"/>
          <w:w w:val="105"/>
        </w:rPr>
        <w:t>ou</w:t>
      </w:r>
      <w:r>
        <w:rPr>
          <w:spacing w:val="-9"/>
          <w:w w:val="105"/>
        </w:rPr>
        <w:t xml:space="preserve"> </w:t>
      </w:r>
      <w:r>
        <w:rPr>
          <w:spacing w:val="-2"/>
          <w:w w:val="105"/>
        </w:rPr>
        <w:t>no</w:t>
      </w:r>
      <w:r>
        <w:rPr>
          <w:spacing w:val="-11"/>
          <w:w w:val="105"/>
        </w:rPr>
        <w:t xml:space="preserve"> </w:t>
      </w:r>
      <w:r>
        <w:rPr>
          <w:spacing w:val="-2"/>
          <w:w w:val="105"/>
        </w:rPr>
        <w:t>Patrimônio</w:t>
      </w:r>
      <w:r>
        <w:rPr>
          <w:spacing w:val="-9"/>
          <w:w w:val="105"/>
        </w:rPr>
        <w:t xml:space="preserve"> </w:t>
      </w:r>
      <w:r>
        <w:rPr>
          <w:spacing w:val="-2"/>
          <w:w w:val="105"/>
        </w:rPr>
        <w:t>Líquido,</w:t>
      </w:r>
      <w:r>
        <w:rPr>
          <w:spacing w:val="-8"/>
          <w:w w:val="105"/>
        </w:rPr>
        <w:t xml:space="preserve"> </w:t>
      </w:r>
      <w:r>
        <w:rPr>
          <w:spacing w:val="-2"/>
          <w:w w:val="105"/>
        </w:rPr>
        <w:t>de</w:t>
      </w:r>
      <w:r>
        <w:rPr>
          <w:spacing w:val="-10"/>
          <w:w w:val="105"/>
        </w:rPr>
        <w:t xml:space="preserve"> </w:t>
      </w:r>
      <w:r>
        <w:rPr>
          <w:spacing w:val="-2"/>
          <w:w w:val="105"/>
        </w:rPr>
        <w:t>acordo</w:t>
      </w:r>
      <w:r>
        <w:rPr>
          <w:spacing w:val="-10"/>
          <w:w w:val="105"/>
        </w:rPr>
        <w:t xml:space="preserve"> </w:t>
      </w:r>
      <w:r>
        <w:rPr>
          <w:spacing w:val="-2"/>
          <w:w w:val="105"/>
        </w:rPr>
        <w:t>com</w:t>
      </w:r>
      <w:r>
        <w:rPr>
          <w:spacing w:val="-9"/>
          <w:w w:val="105"/>
        </w:rPr>
        <w:t xml:space="preserve"> </w:t>
      </w:r>
      <w:r>
        <w:rPr>
          <w:spacing w:val="-2"/>
          <w:w w:val="105"/>
        </w:rPr>
        <w:t>o</w:t>
      </w:r>
      <w:r>
        <w:rPr>
          <w:spacing w:val="-10"/>
          <w:w w:val="105"/>
        </w:rPr>
        <w:t xml:space="preserve"> </w:t>
      </w:r>
      <w:r>
        <w:rPr>
          <w:spacing w:val="-2"/>
          <w:w w:val="105"/>
        </w:rPr>
        <w:t>Regime</w:t>
      </w:r>
      <w:r>
        <w:rPr>
          <w:spacing w:val="-9"/>
          <w:w w:val="105"/>
        </w:rPr>
        <w:t xml:space="preserve"> </w:t>
      </w:r>
      <w:r>
        <w:rPr>
          <w:spacing w:val="-2"/>
          <w:w w:val="105"/>
        </w:rPr>
        <w:t>de</w:t>
      </w:r>
      <w:r>
        <w:rPr>
          <w:spacing w:val="-9"/>
          <w:w w:val="105"/>
        </w:rPr>
        <w:t xml:space="preserve"> </w:t>
      </w:r>
      <w:r>
        <w:rPr>
          <w:spacing w:val="-2"/>
          <w:w w:val="105"/>
        </w:rPr>
        <w:t>Competência.</w:t>
      </w:r>
    </w:p>
    <w:p w14:paraId="62F922DF" w14:textId="77777777" w:rsidR="002C6574" w:rsidRDefault="00000000">
      <w:pPr>
        <w:numPr>
          <w:ilvl w:val="3"/>
          <w:numId w:val="54"/>
        </w:numPr>
        <w:tabs>
          <w:tab w:val="left" w:pos="1276"/>
        </w:tabs>
        <w:spacing w:before="159"/>
        <w:ind w:hanging="1133"/>
        <w:rPr>
          <w:rFonts w:ascii="Arial"/>
          <w:b/>
        </w:rPr>
      </w:pPr>
      <w:r>
        <w:rPr>
          <w:rFonts w:ascii="Arial"/>
          <w:b/>
        </w:rPr>
        <w:t>Ativos</w:t>
      </w:r>
      <w:r>
        <w:rPr>
          <w:rFonts w:ascii="Arial"/>
          <w:b/>
          <w:spacing w:val="-5"/>
        </w:rPr>
        <w:t xml:space="preserve"> </w:t>
      </w:r>
      <w:r>
        <w:rPr>
          <w:rFonts w:ascii="Arial"/>
          <w:b/>
          <w:spacing w:val="-2"/>
        </w:rPr>
        <w:t>financeiros</w:t>
      </w:r>
    </w:p>
    <w:p w14:paraId="0ABBAAB1" w14:textId="77777777" w:rsidR="002C6574" w:rsidRDefault="002C6574">
      <w:pPr>
        <w:pStyle w:val="Corpodetexto"/>
        <w:spacing w:before="60"/>
        <w:rPr>
          <w:rFonts w:ascii="Arial"/>
          <w:b/>
        </w:rPr>
      </w:pPr>
    </w:p>
    <w:p w14:paraId="5C900E6F" w14:textId="77777777" w:rsidR="002C6574" w:rsidRDefault="00000000">
      <w:pPr>
        <w:pStyle w:val="PargrafodaLista"/>
        <w:numPr>
          <w:ilvl w:val="4"/>
          <w:numId w:val="54"/>
        </w:numPr>
        <w:tabs>
          <w:tab w:val="left" w:pos="1227"/>
        </w:tabs>
        <w:ind w:left="1227" w:hanging="1077"/>
        <w:rPr>
          <w:rFonts w:ascii="Arial" w:hAnsi="Arial"/>
          <w:b/>
        </w:rPr>
      </w:pPr>
      <w:r>
        <w:rPr>
          <w:rFonts w:ascii="Arial" w:hAnsi="Arial"/>
          <w:b/>
        </w:rPr>
        <w:t>Classificação,</w:t>
      </w:r>
      <w:r>
        <w:rPr>
          <w:rFonts w:ascii="Arial" w:hAnsi="Arial"/>
          <w:b/>
          <w:spacing w:val="-5"/>
        </w:rPr>
        <w:t xml:space="preserve"> </w:t>
      </w:r>
      <w:r>
        <w:rPr>
          <w:rFonts w:ascii="Arial" w:hAnsi="Arial"/>
          <w:b/>
        </w:rPr>
        <w:t>reconhecimento,</w:t>
      </w:r>
      <w:r>
        <w:rPr>
          <w:rFonts w:ascii="Arial" w:hAnsi="Arial"/>
          <w:b/>
          <w:spacing w:val="-8"/>
        </w:rPr>
        <w:t xml:space="preserve"> </w:t>
      </w:r>
      <w:r>
        <w:rPr>
          <w:rFonts w:ascii="Arial" w:hAnsi="Arial"/>
          <w:b/>
        </w:rPr>
        <w:t>mensuração</w:t>
      </w:r>
      <w:r>
        <w:rPr>
          <w:rFonts w:ascii="Arial" w:hAnsi="Arial"/>
          <w:b/>
          <w:spacing w:val="-8"/>
        </w:rPr>
        <w:t xml:space="preserve"> </w:t>
      </w:r>
      <w:r>
        <w:rPr>
          <w:rFonts w:ascii="Arial" w:hAnsi="Arial"/>
          <w:b/>
        </w:rPr>
        <w:t>e</w:t>
      </w:r>
      <w:r>
        <w:rPr>
          <w:rFonts w:ascii="Arial" w:hAnsi="Arial"/>
          <w:b/>
          <w:spacing w:val="-7"/>
        </w:rPr>
        <w:t xml:space="preserve"> </w:t>
      </w:r>
      <w:r>
        <w:rPr>
          <w:rFonts w:ascii="Arial" w:hAnsi="Arial"/>
          <w:b/>
          <w:spacing w:val="-2"/>
        </w:rPr>
        <w:t>baixas</w:t>
      </w:r>
    </w:p>
    <w:p w14:paraId="1D8692C4" w14:textId="77777777" w:rsidR="002C6574" w:rsidRDefault="002C6574">
      <w:pPr>
        <w:pStyle w:val="Corpodetexto"/>
        <w:spacing w:before="46"/>
        <w:rPr>
          <w:rFonts w:ascii="Arial"/>
          <w:b/>
        </w:rPr>
      </w:pPr>
    </w:p>
    <w:p w14:paraId="4EB925E5" w14:textId="77777777" w:rsidR="002C6574" w:rsidRDefault="00000000">
      <w:pPr>
        <w:pStyle w:val="Corpodetexto"/>
        <w:spacing w:line="237" w:lineRule="auto"/>
        <w:ind w:left="143" w:right="703"/>
        <w:jc w:val="both"/>
      </w:pPr>
      <w:r>
        <w:t>A Companhia classifica os ativos financeiros nas seguintes categorias: (a) ao custo amortizado, (b) mensurados ao valor justo por meio do resultado abrangente e (c) mensurados ao valor justo por meio do resultado. A classificação depende da finalidade para a qual os ativos financeiros foram adquiridos. As compras e as vendas regulares de ativos financeiros são reconhecidas na data de negociação - data na qual a Telebras se compromete a comprar ou vender o ativo. Os ativos financeiros são baixados quando os direitos de receber fluxos de caixa dos investimentos tenham vencido ou tenham sido transferidos; neste, desde que a Companhia tenha transferido, significativamente, todos os riscos e os benefícios da propriedade.</w:t>
      </w:r>
    </w:p>
    <w:p w14:paraId="2FEFA0FA" w14:textId="77777777" w:rsidR="002C6574" w:rsidRDefault="002C6574">
      <w:pPr>
        <w:pStyle w:val="Corpodetexto"/>
        <w:spacing w:line="237" w:lineRule="auto"/>
        <w:jc w:val="both"/>
        <w:sectPr w:rsidR="002C6574">
          <w:pgSz w:w="11910" w:h="16840"/>
          <w:pgMar w:top="1600" w:right="141" w:bottom="1520" w:left="1133" w:header="856" w:footer="1296" w:gutter="0"/>
          <w:cols w:space="720"/>
        </w:sectPr>
      </w:pPr>
    </w:p>
    <w:p w14:paraId="16FF680C" w14:textId="77777777" w:rsidR="002C6574" w:rsidRDefault="002C6574">
      <w:pPr>
        <w:pStyle w:val="Corpodetexto"/>
        <w:spacing w:before="227"/>
      </w:pPr>
    </w:p>
    <w:p w14:paraId="5F4743F0" w14:textId="77777777" w:rsidR="002C6574" w:rsidRDefault="00000000">
      <w:pPr>
        <w:numPr>
          <w:ilvl w:val="4"/>
          <w:numId w:val="54"/>
        </w:numPr>
        <w:tabs>
          <w:tab w:val="left" w:pos="1227"/>
        </w:tabs>
        <w:ind w:left="1227" w:hanging="1077"/>
        <w:rPr>
          <w:rFonts w:ascii="Arial"/>
          <w:b/>
        </w:rPr>
      </w:pPr>
      <w:r>
        <w:rPr>
          <w:rFonts w:ascii="Arial"/>
          <w:b/>
          <w:spacing w:val="-2"/>
        </w:rPr>
        <w:t>Categorias</w:t>
      </w:r>
    </w:p>
    <w:p w14:paraId="4C063523" w14:textId="77777777" w:rsidR="002C6574" w:rsidRDefault="002C6574">
      <w:pPr>
        <w:pStyle w:val="Corpodetexto"/>
        <w:spacing w:before="62"/>
        <w:rPr>
          <w:rFonts w:ascii="Arial"/>
          <w:b/>
        </w:rPr>
      </w:pPr>
    </w:p>
    <w:p w14:paraId="25316F96" w14:textId="77777777" w:rsidR="002C6574" w:rsidRDefault="00000000">
      <w:pPr>
        <w:pStyle w:val="PargrafodaLista"/>
        <w:numPr>
          <w:ilvl w:val="5"/>
          <w:numId w:val="54"/>
        </w:numPr>
        <w:tabs>
          <w:tab w:val="left" w:pos="1424"/>
        </w:tabs>
        <w:spacing w:before="1"/>
        <w:ind w:left="1424" w:hanging="1281"/>
        <w:jc w:val="both"/>
        <w:rPr>
          <w:rFonts w:ascii="Arial"/>
          <w:b/>
        </w:rPr>
      </w:pPr>
      <w:r>
        <w:rPr>
          <w:rFonts w:ascii="Arial"/>
          <w:b/>
        </w:rPr>
        <w:t>Custo</w:t>
      </w:r>
      <w:r>
        <w:rPr>
          <w:rFonts w:ascii="Arial"/>
          <w:b/>
          <w:spacing w:val="-4"/>
        </w:rPr>
        <w:t xml:space="preserve"> </w:t>
      </w:r>
      <w:r>
        <w:rPr>
          <w:rFonts w:ascii="Arial"/>
          <w:b/>
          <w:spacing w:val="-2"/>
        </w:rPr>
        <w:t>amortizado</w:t>
      </w:r>
    </w:p>
    <w:p w14:paraId="7492883C" w14:textId="77777777" w:rsidR="002C6574" w:rsidRDefault="00000000">
      <w:pPr>
        <w:pStyle w:val="Corpodetexto"/>
        <w:spacing w:before="126"/>
        <w:ind w:left="143" w:right="703"/>
        <w:jc w:val="both"/>
      </w:pPr>
      <w:r>
        <w:t>São ativos financeiros mantidos pela Companhia (i) com o objetivo de recebimento de seu fluxo de caixa</w:t>
      </w:r>
      <w:r>
        <w:rPr>
          <w:spacing w:val="-8"/>
        </w:rPr>
        <w:t xml:space="preserve"> </w:t>
      </w:r>
      <w:r>
        <w:t>contratual</w:t>
      </w:r>
      <w:r>
        <w:rPr>
          <w:spacing w:val="-8"/>
        </w:rPr>
        <w:t xml:space="preserve"> </w:t>
      </w:r>
      <w:r>
        <w:t>e</w:t>
      </w:r>
      <w:r>
        <w:rPr>
          <w:spacing w:val="-6"/>
        </w:rPr>
        <w:t xml:space="preserve"> </w:t>
      </w:r>
      <w:r>
        <w:t>não</w:t>
      </w:r>
      <w:r>
        <w:rPr>
          <w:spacing w:val="-10"/>
        </w:rPr>
        <w:t xml:space="preserve"> </w:t>
      </w:r>
      <w:r>
        <w:t>para</w:t>
      </w:r>
      <w:r>
        <w:rPr>
          <w:spacing w:val="-8"/>
        </w:rPr>
        <w:t xml:space="preserve"> </w:t>
      </w:r>
      <w:r>
        <w:t>venda</w:t>
      </w:r>
      <w:r>
        <w:rPr>
          <w:spacing w:val="-6"/>
        </w:rPr>
        <w:t xml:space="preserve"> </w:t>
      </w:r>
      <w:r>
        <w:t>com</w:t>
      </w:r>
      <w:r>
        <w:rPr>
          <w:spacing w:val="-9"/>
        </w:rPr>
        <w:t xml:space="preserve"> </w:t>
      </w:r>
      <w:r>
        <w:t>realização</w:t>
      </w:r>
      <w:r>
        <w:rPr>
          <w:spacing w:val="-10"/>
        </w:rPr>
        <w:t xml:space="preserve"> </w:t>
      </w:r>
      <w:r>
        <w:t>de</w:t>
      </w:r>
      <w:r>
        <w:rPr>
          <w:spacing w:val="-8"/>
        </w:rPr>
        <w:t xml:space="preserve"> </w:t>
      </w:r>
      <w:r>
        <w:t>lucros</w:t>
      </w:r>
      <w:r>
        <w:rPr>
          <w:spacing w:val="-6"/>
        </w:rPr>
        <w:t xml:space="preserve"> </w:t>
      </w:r>
      <w:r>
        <w:t>ou</w:t>
      </w:r>
      <w:r>
        <w:rPr>
          <w:spacing w:val="-6"/>
        </w:rPr>
        <w:t xml:space="preserve"> </w:t>
      </w:r>
      <w:r>
        <w:t>prejuízos</w:t>
      </w:r>
      <w:r>
        <w:rPr>
          <w:spacing w:val="-8"/>
        </w:rPr>
        <w:t xml:space="preserve"> </w:t>
      </w:r>
      <w:r>
        <w:t>e</w:t>
      </w:r>
      <w:r>
        <w:rPr>
          <w:spacing w:val="-10"/>
        </w:rPr>
        <w:t xml:space="preserve"> </w:t>
      </w:r>
      <w:r>
        <w:t>(ii)</w:t>
      </w:r>
      <w:r>
        <w:rPr>
          <w:spacing w:val="-7"/>
        </w:rPr>
        <w:t xml:space="preserve"> </w:t>
      </w:r>
      <w:r>
        <w:t>cujos</w:t>
      </w:r>
      <w:r>
        <w:rPr>
          <w:spacing w:val="-8"/>
        </w:rPr>
        <w:t xml:space="preserve"> </w:t>
      </w:r>
      <w:r>
        <w:t>termos</w:t>
      </w:r>
      <w:r>
        <w:rPr>
          <w:spacing w:val="-6"/>
        </w:rPr>
        <w:t xml:space="preserve"> </w:t>
      </w:r>
      <w:r>
        <w:t xml:space="preserve">contratuais dão origem, em datas especificadas, a fluxos de caixa que constituam, exclusivamente, pagamentos </w:t>
      </w:r>
      <w:r>
        <w:rPr>
          <w:w w:val="105"/>
        </w:rPr>
        <w:t>de</w:t>
      </w:r>
      <w:r>
        <w:rPr>
          <w:spacing w:val="-16"/>
          <w:w w:val="105"/>
        </w:rPr>
        <w:t xml:space="preserve"> </w:t>
      </w:r>
      <w:r>
        <w:rPr>
          <w:w w:val="105"/>
        </w:rPr>
        <w:t>principal</w:t>
      </w:r>
      <w:r>
        <w:rPr>
          <w:spacing w:val="-15"/>
          <w:w w:val="105"/>
        </w:rPr>
        <w:t xml:space="preserve"> </w:t>
      </w:r>
      <w:r>
        <w:rPr>
          <w:w w:val="105"/>
        </w:rPr>
        <w:t>e</w:t>
      </w:r>
      <w:r>
        <w:rPr>
          <w:spacing w:val="-16"/>
          <w:w w:val="105"/>
        </w:rPr>
        <w:t xml:space="preserve"> </w:t>
      </w:r>
      <w:r>
        <w:rPr>
          <w:w w:val="105"/>
        </w:rPr>
        <w:t>juros</w:t>
      </w:r>
      <w:r>
        <w:rPr>
          <w:spacing w:val="-15"/>
          <w:w w:val="105"/>
        </w:rPr>
        <w:t xml:space="preserve"> </w:t>
      </w:r>
      <w:r>
        <w:rPr>
          <w:w w:val="105"/>
        </w:rPr>
        <w:t>sobre</w:t>
      </w:r>
      <w:r>
        <w:rPr>
          <w:spacing w:val="-16"/>
          <w:w w:val="105"/>
        </w:rPr>
        <w:t xml:space="preserve"> </w:t>
      </w:r>
      <w:r>
        <w:rPr>
          <w:w w:val="105"/>
        </w:rPr>
        <w:t>o</w:t>
      </w:r>
      <w:r>
        <w:rPr>
          <w:spacing w:val="-14"/>
          <w:w w:val="105"/>
        </w:rPr>
        <w:t xml:space="preserve"> </w:t>
      </w:r>
      <w:r>
        <w:rPr>
          <w:w w:val="105"/>
        </w:rPr>
        <w:t>valor</w:t>
      </w:r>
      <w:r>
        <w:rPr>
          <w:spacing w:val="-16"/>
          <w:w w:val="105"/>
        </w:rPr>
        <w:t xml:space="preserve"> </w:t>
      </w:r>
      <w:r>
        <w:rPr>
          <w:w w:val="105"/>
        </w:rPr>
        <w:t>do</w:t>
      </w:r>
      <w:r>
        <w:rPr>
          <w:spacing w:val="-15"/>
          <w:w w:val="105"/>
        </w:rPr>
        <w:t xml:space="preserve"> </w:t>
      </w:r>
      <w:r>
        <w:rPr>
          <w:w w:val="105"/>
        </w:rPr>
        <w:t>principal</w:t>
      </w:r>
      <w:r>
        <w:rPr>
          <w:spacing w:val="-16"/>
          <w:w w:val="105"/>
        </w:rPr>
        <w:t xml:space="preserve"> </w:t>
      </w:r>
      <w:r>
        <w:rPr>
          <w:w w:val="105"/>
        </w:rPr>
        <w:t>em</w:t>
      </w:r>
      <w:r>
        <w:rPr>
          <w:spacing w:val="-15"/>
          <w:w w:val="105"/>
        </w:rPr>
        <w:t xml:space="preserve"> </w:t>
      </w:r>
      <w:r>
        <w:rPr>
          <w:w w:val="105"/>
        </w:rPr>
        <w:t>aberto.</w:t>
      </w:r>
    </w:p>
    <w:p w14:paraId="34814F39" w14:textId="77777777" w:rsidR="002C6574" w:rsidRDefault="00000000">
      <w:pPr>
        <w:pStyle w:val="Corpodetexto"/>
        <w:spacing w:before="116" w:line="237" w:lineRule="auto"/>
        <w:ind w:left="143" w:right="703"/>
        <w:jc w:val="both"/>
      </w:pPr>
      <w:r>
        <w:t>Os</w:t>
      </w:r>
      <w:r>
        <w:rPr>
          <w:spacing w:val="-2"/>
        </w:rPr>
        <w:t xml:space="preserve"> </w:t>
      </w:r>
      <w:r>
        <w:t>ativos</w:t>
      </w:r>
      <w:r>
        <w:rPr>
          <w:spacing w:val="-2"/>
        </w:rPr>
        <w:t xml:space="preserve"> </w:t>
      </w:r>
      <w:r>
        <w:t>financeiros</w:t>
      </w:r>
      <w:r>
        <w:rPr>
          <w:spacing w:val="-2"/>
        </w:rPr>
        <w:t xml:space="preserve"> </w:t>
      </w:r>
      <w:r>
        <w:t>classificados pelo</w:t>
      </w:r>
      <w:r>
        <w:rPr>
          <w:spacing w:val="-5"/>
        </w:rPr>
        <w:t xml:space="preserve"> </w:t>
      </w:r>
      <w:r>
        <w:t>custo</w:t>
      </w:r>
      <w:r>
        <w:rPr>
          <w:spacing w:val="-5"/>
        </w:rPr>
        <w:t xml:space="preserve"> </w:t>
      </w:r>
      <w:r>
        <w:t>amortizado</w:t>
      </w:r>
      <w:r>
        <w:rPr>
          <w:spacing w:val="-5"/>
        </w:rPr>
        <w:t xml:space="preserve"> </w:t>
      </w:r>
      <w:r>
        <w:t>compreendem o</w:t>
      </w:r>
      <w:r>
        <w:rPr>
          <w:spacing w:val="-5"/>
        </w:rPr>
        <w:t xml:space="preserve"> </w:t>
      </w:r>
      <w:r>
        <w:t>saldo</w:t>
      </w:r>
      <w:r>
        <w:rPr>
          <w:spacing w:val="-1"/>
        </w:rPr>
        <w:t xml:space="preserve"> </w:t>
      </w:r>
      <w:r>
        <w:t>de</w:t>
      </w:r>
      <w:r>
        <w:rPr>
          <w:spacing w:val="-5"/>
        </w:rPr>
        <w:t xml:space="preserve"> </w:t>
      </w:r>
      <w:r>
        <w:t>Contas</w:t>
      </w:r>
      <w:r>
        <w:rPr>
          <w:spacing w:val="-2"/>
        </w:rPr>
        <w:t xml:space="preserve"> </w:t>
      </w:r>
      <w:r>
        <w:t>a</w:t>
      </w:r>
      <w:r>
        <w:rPr>
          <w:spacing w:val="-5"/>
        </w:rPr>
        <w:t xml:space="preserve"> </w:t>
      </w:r>
      <w:r>
        <w:t xml:space="preserve">Receber </w:t>
      </w:r>
      <w:r>
        <w:rPr>
          <w:w w:val="105"/>
        </w:rPr>
        <w:t>de</w:t>
      </w:r>
      <w:r>
        <w:rPr>
          <w:spacing w:val="-9"/>
          <w:w w:val="105"/>
        </w:rPr>
        <w:t xml:space="preserve"> </w:t>
      </w:r>
      <w:r>
        <w:rPr>
          <w:w w:val="105"/>
        </w:rPr>
        <w:t>Clientes</w:t>
      </w:r>
      <w:r>
        <w:rPr>
          <w:spacing w:val="-9"/>
          <w:w w:val="105"/>
        </w:rPr>
        <w:t xml:space="preserve"> </w:t>
      </w:r>
      <w:r>
        <w:rPr>
          <w:w w:val="105"/>
        </w:rPr>
        <w:t>(Nota</w:t>
      </w:r>
      <w:r>
        <w:rPr>
          <w:spacing w:val="-9"/>
          <w:w w:val="105"/>
        </w:rPr>
        <w:t xml:space="preserve"> </w:t>
      </w:r>
      <w:r>
        <w:rPr>
          <w:w w:val="105"/>
        </w:rPr>
        <w:t>Explicativa</w:t>
      </w:r>
      <w:r>
        <w:rPr>
          <w:spacing w:val="-9"/>
          <w:w w:val="105"/>
        </w:rPr>
        <w:t xml:space="preserve"> </w:t>
      </w:r>
      <w:r>
        <w:rPr>
          <w:w w:val="105"/>
        </w:rPr>
        <w:t>5),</w:t>
      </w:r>
      <w:r>
        <w:rPr>
          <w:spacing w:val="-11"/>
          <w:w w:val="105"/>
        </w:rPr>
        <w:t xml:space="preserve"> </w:t>
      </w:r>
      <w:r>
        <w:rPr>
          <w:w w:val="105"/>
        </w:rPr>
        <w:t>Superávit</w:t>
      </w:r>
      <w:r>
        <w:rPr>
          <w:spacing w:val="-9"/>
          <w:w w:val="105"/>
        </w:rPr>
        <w:t xml:space="preserve"> </w:t>
      </w:r>
      <w:r>
        <w:rPr>
          <w:w w:val="105"/>
        </w:rPr>
        <w:t>–</w:t>
      </w:r>
      <w:r>
        <w:rPr>
          <w:spacing w:val="-12"/>
          <w:w w:val="105"/>
        </w:rPr>
        <w:t xml:space="preserve"> </w:t>
      </w:r>
      <w:r>
        <w:rPr>
          <w:w w:val="105"/>
        </w:rPr>
        <w:t>Previdência</w:t>
      </w:r>
      <w:r>
        <w:rPr>
          <w:spacing w:val="-10"/>
          <w:w w:val="105"/>
        </w:rPr>
        <w:t xml:space="preserve"> </w:t>
      </w:r>
      <w:r>
        <w:rPr>
          <w:w w:val="105"/>
        </w:rPr>
        <w:t>Privada</w:t>
      </w:r>
      <w:r>
        <w:rPr>
          <w:spacing w:val="-10"/>
          <w:w w:val="105"/>
        </w:rPr>
        <w:t xml:space="preserve"> </w:t>
      </w:r>
      <w:r>
        <w:rPr>
          <w:w w:val="105"/>
        </w:rPr>
        <w:t>(Nota</w:t>
      </w:r>
      <w:r>
        <w:rPr>
          <w:spacing w:val="-9"/>
          <w:w w:val="105"/>
        </w:rPr>
        <w:t xml:space="preserve"> </w:t>
      </w:r>
      <w:r>
        <w:rPr>
          <w:w w:val="105"/>
        </w:rPr>
        <w:t>Explicativa</w:t>
      </w:r>
      <w:r>
        <w:rPr>
          <w:spacing w:val="-9"/>
          <w:w w:val="105"/>
        </w:rPr>
        <w:t xml:space="preserve"> </w:t>
      </w:r>
      <w:r>
        <w:rPr>
          <w:w w:val="105"/>
        </w:rPr>
        <w:t>8),</w:t>
      </w:r>
      <w:r>
        <w:rPr>
          <w:spacing w:val="-12"/>
          <w:w w:val="105"/>
        </w:rPr>
        <w:t xml:space="preserve"> </w:t>
      </w:r>
      <w:r>
        <w:rPr>
          <w:w w:val="105"/>
        </w:rPr>
        <w:t>Dividendos</w:t>
      </w:r>
      <w:r>
        <w:rPr>
          <w:spacing w:val="-11"/>
          <w:w w:val="105"/>
        </w:rPr>
        <w:t xml:space="preserve"> </w:t>
      </w:r>
      <w:r>
        <w:rPr>
          <w:w w:val="105"/>
        </w:rPr>
        <w:t>a Receber (Nota Explicativa 10) e Aplicações Financeiras - Garantia e Renda Fixa (Nota Explicativa 11).</w:t>
      </w:r>
      <w:r>
        <w:rPr>
          <w:spacing w:val="-2"/>
          <w:w w:val="105"/>
        </w:rPr>
        <w:t xml:space="preserve"> </w:t>
      </w:r>
      <w:r>
        <w:rPr>
          <w:w w:val="105"/>
        </w:rPr>
        <w:t>As</w:t>
      </w:r>
      <w:r>
        <w:rPr>
          <w:spacing w:val="-2"/>
          <w:w w:val="105"/>
        </w:rPr>
        <w:t xml:space="preserve"> </w:t>
      </w:r>
      <w:r>
        <w:rPr>
          <w:w w:val="105"/>
        </w:rPr>
        <w:t>variações</w:t>
      </w:r>
      <w:r>
        <w:rPr>
          <w:spacing w:val="-2"/>
          <w:w w:val="105"/>
        </w:rPr>
        <w:t xml:space="preserve"> </w:t>
      </w:r>
      <w:r>
        <w:rPr>
          <w:w w:val="105"/>
        </w:rPr>
        <w:t>são</w:t>
      </w:r>
      <w:r>
        <w:rPr>
          <w:spacing w:val="-4"/>
          <w:w w:val="105"/>
        </w:rPr>
        <w:t xml:space="preserve"> </w:t>
      </w:r>
      <w:r>
        <w:rPr>
          <w:w w:val="105"/>
        </w:rPr>
        <w:t>reconhecidas</w:t>
      </w:r>
      <w:r>
        <w:rPr>
          <w:spacing w:val="-2"/>
          <w:w w:val="105"/>
        </w:rPr>
        <w:t xml:space="preserve"> </w:t>
      </w:r>
      <w:r>
        <w:rPr>
          <w:w w:val="105"/>
        </w:rPr>
        <w:t>no</w:t>
      </w:r>
      <w:r>
        <w:rPr>
          <w:spacing w:val="-4"/>
          <w:w w:val="105"/>
        </w:rPr>
        <w:t xml:space="preserve"> </w:t>
      </w:r>
      <w:r>
        <w:rPr>
          <w:w w:val="105"/>
        </w:rPr>
        <w:t>resultado</w:t>
      </w:r>
      <w:r>
        <w:rPr>
          <w:spacing w:val="-4"/>
          <w:w w:val="105"/>
        </w:rPr>
        <w:t xml:space="preserve"> </w:t>
      </w:r>
      <w:r>
        <w:rPr>
          <w:w w:val="105"/>
        </w:rPr>
        <w:t>do</w:t>
      </w:r>
      <w:r>
        <w:rPr>
          <w:spacing w:val="-4"/>
          <w:w w:val="105"/>
        </w:rPr>
        <w:t xml:space="preserve"> </w:t>
      </w:r>
      <w:r>
        <w:rPr>
          <w:w w:val="105"/>
        </w:rPr>
        <w:t>período,</w:t>
      </w:r>
      <w:r>
        <w:rPr>
          <w:spacing w:val="-2"/>
          <w:w w:val="105"/>
        </w:rPr>
        <w:t xml:space="preserve"> </w:t>
      </w:r>
      <w:r>
        <w:rPr>
          <w:w w:val="105"/>
        </w:rPr>
        <w:t>na</w:t>
      </w:r>
      <w:r>
        <w:rPr>
          <w:spacing w:val="-4"/>
          <w:w w:val="105"/>
        </w:rPr>
        <w:t xml:space="preserve"> </w:t>
      </w:r>
      <w:r>
        <w:rPr>
          <w:w w:val="105"/>
        </w:rPr>
        <w:t>rubrica</w:t>
      </w:r>
      <w:r>
        <w:rPr>
          <w:spacing w:val="-4"/>
          <w:w w:val="105"/>
        </w:rPr>
        <w:t xml:space="preserve"> </w:t>
      </w:r>
      <w:r>
        <w:rPr>
          <w:w w:val="105"/>
        </w:rPr>
        <w:t>"Receitas</w:t>
      </w:r>
      <w:r>
        <w:rPr>
          <w:spacing w:val="-2"/>
          <w:w w:val="105"/>
        </w:rPr>
        <w:t xml:space="preserve"> </w:t>
      </w:r>
      <w:r>
        <w:rPr>
          <w:w w:val="105"/>
        </w:rPr>
        <w:t>Financeiras"</w:t>
      </w:r>
      <w:r>
        <w:rPr>
          <w:spacing w:val="-1"/>
          <w:w w:val="105"/>
        </w:rPr>
        <w:t xml:space="preserve"> </w:t>
      </w:r>
      <w:r>
        <w:rPr>
          <w:w w:val="105"/>
        </w:rPr>
        <w:t>ou "Despesas</w:t>
      </w:r>
      <w:r>
        <w:rPr>
          <w:spacing w:val="-11"/>
          <w:w w:val="105"/>
        </w:rPr>
        <w:t xml:space="preserve"> </w:t>
      </w:r>
      <w:r>
        <w:rPr>
          <w:w w:val="105"/>
        </w:rPr>
        <w:t>Financeiras",</w:t>
      </w:r>
      <w:r>
        <w:rPr>
          <w:spacing w:val="-15"/>
          <w:w w:val="105"/>
        </w:rPr>
        <w:t xml:space="preserve"> </w:t>
      </w:r>
      <w:r>
        <w:rPr>
          <w:w w:val="105"/>
        </w:rPr>
        <w:t>dependendo</w:t>
      </w:r>
      <w:r>
        <w:rPr>
          <w:spacing w:val="-11"/>
          <w:w w:val="105"/>
        </w:rPr>
        <w:t xml:space="preserve"> </w:t>
      </w:r>
      <w:r>
        <w:rPr>
          <w:w w:val="105"/>
        </w:rPr>
        <w:t>do</w:t>
      </w:r>
      <w:r>
        <w:rPr>
          <w:spacing w:val="-13"/>
          <w:w w:val="105"/>
        </w:rPr>
        <w:t xml:space="preserve"> </w:t>
      </w:r>
      <w:r>
        <w:rPr>
          <w:w w:val="105"/>
        </w:rPr>
        <w:t>resultado</w:t>
      </w:r>
      <w:r>
        <w:rPr>
          <w:spacing w:val="-9"/>
          <w:w w:val="105"/>
        </w:rPr>
        <w:t xml:space="preserve"> </w:t>
      </w:r>
      <w:r>
        <w:rPr>
          <w:w w:val="105"/>
        </w:rPr>
        <w:t>obtido.</w:t>
      </w:r>
    </w:p>
    <w:p w14:paraId="5FC9070F" w14:textId="77777777" w:rsidR="002C6574" w:rsidRDefault="00000000">
      <w:pPr>
        <w:numPr>
          <w:ilvl w:val="5"/>
          <w:numId w:val="54"/>
        </w:numPr>
        <w:tabs>
          <w:tab w:val="left" w:pos="1276"/>
          <w:tab w:val="left" w:pos="1422"/>
        </w:tabs>
        <w:spacing w:before="154" w:line="276" w:lineRule="auto"/>
        <w:ind w:left="1276" w:right="702" w:hanging="1133"/>
        <w:rPr>
          <w:rFonts w:ascii="Arial"/>
          <w:b/>
        </w:rPr>
      </w:pPr>
      <w:r>
        <w:rPr>
          <w:rFonts w:ascii="Arial"/>
          <w:b/>
        </w:rPr>
        <w:t>Ativos</w:t>
      </w:r>
      <w:r>
        <w:rPr>
          <w:rFonts w:ascii="Arial"/>
          <w:b/>
          <w:spacing w:val="40"/>
        </w:rPr>
        <w:t xml:space="preserve"> </w:t>
      </w:r>
      <w:r>
        <w:rPr>
          <w:rFonts w:ascii="Arial"/>
          <w:b/>
        </w:rPr>
        <w:t>financeiros</w:t>
      </w:r>
      <w:r>
        <w:rPr>
          <w:rFonts w:ascii="Arial"/>
          <w:b/>
          <w:spacing w:val="40"/>
        </w:rPr>
        <w:t xml:space="preserve"> </w:t>
      </w:r>
      <w:r>
        <w:rPr>
          <w:rFonts w:ascii="Arial"/>
          <w:b/>
        </w:rPr>
        <w:t>mensurados</w:t>
      </w:r>
      <w:r>
        <w:rPr>
          <w:rFonts w:ascii="Arial"/>
          <w:b/>
          <w:spacing w:val="40"/>
        </w:rPr>
        <w:t xml:space="preserve"> </w:t>
      </w:r>
      <w:r>
        <w:rPr>
          <w:rFonts w:ascii="Arial"/>
          <w:b/>
        </w:rPr>
        <w:t>ao</w:t>
      </w:r>
      <w:r>
        <w:rPr>
          <w:rFonts w:ascii="Arial"/>
          <w:b/>
          <w:spacing w:val="40"/>
        </w:rPr>
        <w:t xml:space="preserve"> </w:t>
      </w:r>
      <w:r>
        <w:rPr>
          <w:rFonts w:ascii="Arial"/>
          <w:b/>
        </w:rPr>
        <w:t>valor</w:t>
      </w:r>
      <w:r>
        <w:rPr>
          <w:rFonts w:ascii="Arial"/>
          <w:b/>
          <w:spacing w:val="40"/>
        </w:rPr>
        <w:t xml:space="preserve"> </w:t>
      </w:r>
      <w:r>
        <w:rPr>
          <w:rFonts w:ascii="Arial"/>
          <w:b/>
        </w:rPr>
        <w:t>justo</w:t>
      </w:r>
      <w:r>
        <w:rPr>
          <w:rFonts w:ascii="Arial"/>
          <w:b/>
          <w:spacing w:val="40"/>
        </w:rPr>
        <w:t xml:space="preserve"> </w:t>
      </w:r>
      <w:r>
        <w:rPr>
          <w:rFonts w:ascii="Arial"/>
          <w:b/>
        </w:rPr>
        <w:t>por</w:t>
      </w:r>
      <w:r>
        <w:rPr>
          <w:rFonts w:ascii="Arial"/>
          <w:b/>
          <w:spacing w:val="40"/>
        </w:rPr>
        <w:t xml:space="preserve"> </w:t>
      </w:r>
      <w:r>
        <w:rPr>
          <w:rFonts w:ascii="Arial"/>
          <w:b/>
        </w:rPr>
        <w:t>meio</w:t>
      </w:r>
      <w:r>
        <w:rPr>
          <w:rFonts w:ascii="Arial"/>
          <w:b/>
          <w:spacing w:val="40"/>
        </w:rPr>
        <w:t xml:space="preserve"> </w:t>
      </w:r>
      <w:r>
        <w:rPr>
          <w:rFonts w:ascii="Arial"/>
          <w:b/>
        </w:rPr>
        <w:t>de</w:t>
      </w:r>
      <w:r>
        <w:rPr>
          <w:rFonts w:ascii="Arial"/>
          <w:b/>
          <w:spacing w:val="40"/>
        </w:rPr>
        <w:t xml:space="preserve"> </w:t>
      </w:r>
      <w:r>
        <w:rPr>
          <w:rFonts w:ascii="Arial"/>
          <w:b/>
        </w:rPr>
        <w:t>outros</w:t>
      </w:r>
      <w:r>
        <w:rPr>
          <w:rFonts w:ascii="Arial"/>
          <w:b/>
          <w:spacing w:val="40"/>
        </w:rPr>
        <w:t xml:space="preserve"> </w:t>
      </w:r>
      <w:r>
        <w:rPr>
          <w:rFonts w:ascii="Arial"/>
          <w:b/>
        </w:rPr>
        <w:t xml:space="preserve">resultados </w:t>
      </w:r>
      <w:r>
        <w:rPr>
          <w:rFonts w:ascii="Arial"/>
          <w:b/>
          <w:spacing w:val="-2"/>
        </w:rPr>
        <w:t>abrangentes</w:t>
      </w:r>
    </w:p>
    <w:p w14:paraId="3E20C3FC" w14:textId="77777777" w:rsidR="002C6574" w:rsidRDefault="00000000">
      <w:pPr>
        <w:pStyle w:val="Corpodetexto"/>
        <w:spacing w:before="88"/>
        <w:ind w:left="143" w:right="703"/>
        <w:jc w:val="both"/>
      </w:pPr>
      <w:r>
        <w:rPr>
          <w:w w:val="105"/>
        </w:rPr>
        <w:t>São</w:t>
      </w:r>
      <w:r>
        <w:rPr>
          <w:spacing w:val="-3"/>
          <w:w w:val="105"/>
        </w:rPr>
        <w:t xml:space="preserve"> </w:t>
      </w:r>
      <w:r>
        <w:rPr>
          <w:w w:val="105"/>
        </w:rPr>
        <w:t>ativos</w:t>
      </w:r>
      <w:r>
        <w:rPr>
          <w:spacing w:val="-3"/>
          <w:w w:val="105"/>
        </w:rPr>
        <w:t xml:space="preserve"> </w:t>
      </w:r>
      <w:r>
        <w:rPr>
          <w:w w:val="105"/>
        </w:rPr>
        <w:t>financeiros</w:t>
      </w:r>
      <w:r>
        <w:rPr>
          <w:spacing w:val="-3"/>
          <w:w w:val="105"/>
        </w:rPr>
        <w:t xml:space="preserve"> </w:t>
      </w:r>
      <w:r>
        <w:rPr>
          <w:w w:val="105"/>
        </w:rPr>
        <w:t>mantidos</w:t>
      </w:r>
      <w:r>
        <w:rPr>
          <w:spacing w:val="-1"/>
          <w:w w:val="105"/>
        </w:rPr>
        <w:t xml:space="preserve"> </w:t>
      </w:r>
      <w:r>
        <w:rPr>
          <w:w w:val="105"/>
        </w:rPr>
        <w:t>pela</w:t>
      </w:r>
      <w:r>
        <w:rPr>
          <w:spacing w:val="-4"/>
          <w:w w:val="105"/>
        </w:rPr>
        <w:t xml:space="preserve"> </w:t>
      </w:r>
      <w:r>
        <w:rPr>
          <w:w w:val="105"/>
        </w:rPr>
        <w:t>Companhia</w:t>
      </w:r>
      <w:r>
        <w:rPr>
          <w:spacing w:val="-3"/>
          <w:w w:val="105"/>
        </w:rPr>
        <w:t xml:space="preserve"> </w:t>
      </w:r>
      <w:r>
        <w:rPr>
          <w:w w:val="105"/>
        </w:rPr>
        <w:t>tanto</w:t>
      </w:r>
      <w:r>
        <w:rPr>
          <w:spacing w:val="-3"/>
          <w:w w:val="105"/>
        </w:rPr>
        <w:t xml:space="preserve"> </w:t>
      </w:r>
      <w:r>
        <w:rPr>
          <w:w w:val="105"/>
        </w:rPr>
        <w:t>para</w:t>
      </w:r>
      <w:r>
        <w:rPr>
          <w:spacing w:val="-3"/>
          <w:w w:val="105"/>
        </w:rPr>
        <w:t xml:space="preserve"> </w:t>
      </w:r>
      <w:r>
        <w:rPr>
          <w:w w:val="105"/>
        </w:rPr>
        <w:t>o</w:t>
      </w:r>
      <w:r>
        <w:rPr>
          <w:spacing w:val="-5"/>
          <w:w w:val="105"/>
        </w:rPr>
        <w:t xml:space="preserve"> </w:t>
      </w:r>
      <w:r>
        <w:rPr>
          <w:w w:val="105"/>
        </w:rPr>
        <w:t>recebimento</w:t>
      </w:r>
      <w:r>
        <w:rPr>
          <w:spacing w:val="-4"/>
          <w:w w:val="105"/>
        </w:rPr>
        <w:t xml:space="preserve"> </w:t>
      </w:r>
      <w:r>
        <w:rPr>
          <w:w w:val="105"/>
        </w:rPr>
        <w:t>de</w:t>
      </w:r>
      <w:r>
        <w:rPr>
          <w:spacing w:val="-3"/>
          <w:w w:val="105"/>
        </w:rPr>
        <w:t xml:space="preserve"> </w:t>
      </w:r>
      <w:r>
        <w:rPr>
          <w:w w:val="105"/>
        </w:rPr>
        <w:t>seu</w:t>
      </w:r>
      <w:r>
        <w:rPr>
          <w:spacing w:val="-4"/>
          <w:w w:val="105"/>
        </w:rPr>
        <w:t xml:space="preserve"> </w:t>
      </w:r>
      <w:r>
        <w:rPr>
          <w:w w:val="105"/>
        </w:rPr>
        <w:t>fluxo</w:t>
      </w:r>
      <w:r>
        <w:rPr>
          <w:spacing w:val="-3"/>
          <w:w w:val="105"/>
        </w:rPr>
        <w:t xml:space="preserve"> </w:t>
      </w:r>
      <w:r>
        <w:rPr>
          <w:w w:val="105"/>
        </w:rPr>
        <w:t>de</w:t>
      </w:r>
      <w:r>
        <w:rPr>
          <w:spacing w:val="-5"/>
          <w:w w:val="105"/>
        </w:rPr>
        <w:t xml:space="preserve"> </w:t>
      </w:r>
      <w:r>
        <w:rPr>
          <w:w w:val="105"/>
        </w:rPr>
        <w:t xml:space="preserve">caixa </w:t>
      </w:r>
      <w:r>
        <w:t>contratual</w:t>
      </w:r>
      <w:r>
        <w:rPr>
          <w:spacing w:val="-1"/>
        </w:rPr>
        <w:t xml:space="preserve"> </w:t>
      </w:r>
      <w:r>
        <w:t>quanto</w:t>
      </w:r>
      <w:r>
        <w:rPr>
          <w:spacing w:val="-3"/>
        </w:rPr>
        <w:t xml:space="preserve"> </w:t>
      </w:r>
      <w:r>
        <w:t>para a</w:t>
      </w:r>
      <w:r>
        <w:rPr>
          <w:spacing w:val="-7"/>
        </w:rPr>
        <w:t xml:space="preserve"> </w:t>
      </w:r>
      <w:r>
        <w:t>venda</w:t>
      </w:r>
      <w:r>
        <w:rPr>
          <w:spacing w:val="-3"/>
        </w:rPr>
        <w:t xml:space="preserve"> </w:t>
      </w:r>
      <w:r>
        <w:t>com</w:t>
      </w:r>
      <w:r>
        <w:rPr>
          <w:spacing w:val="-2"/>
        </w:rPr>
        <w:t xml:space="preserve"> </w:t>
      </w:r>
      <w:r>
        <w:t>realização</w:t>
      </w:r>
      <w:r>
        <w:rPr>
          <w:spacing w:val="-1"/>
        </w:rPr>
        <w:t xml:space="preserve"> </w:t>
      </w:r>
      <w:r>
        <w:t>de</w:t>
      </w:r>
      <w:r>
        <w:rPr>
          <w:spacing w:val="-3"/>
        </w:rPr>
        <w:t xml:space="preserve"> </w:t>
      </w:r>
      <w:r>
        <w:t>lucros</w:t>
      </w:r>
      <w:r>
        <w:rPr>
          <w:spacing w:val="-4"/>
        </w:rPr>
        <w:t xml:space="preserve"> </w:t>
      </w:r>
      <w:r>
        <w:t>ou</w:t>
      </w:r>
      <w:r>
        <w:rPr>
          <w:spacing w:val="-1"/>
        </w:rPr>
        <w:t xml:space="preserve"> </w:t>
      </w:r>
      <w:r>
        <w:t>prejuízos</w:t>
      </w:r>
      <w:r>
        <w:rPr>
          <w:spacing w:val="-4"/>
        </w:rPr>
        <w:t xml:space="preserve"> </w:t>
      </w:r>
      <w:r>
        <w:t>e</w:t>
      </w:r>
      <w:r>
        <w:rPr>
          <w:spacing w:val="-5"/>
        </w:rPr>
        <w:t xml:space="preserve"> </w:t>
      </w:r>
      <w:r>
        <w:t>cujos</w:t>
      </w:r>
      <w:r>
        <w:rPr>
          <w:spacing w:val="-1"/>
        </w:rPr>
        <w:t xml:space="preserve"> </w:t>
      </w:r>
      <w:r>
        <w:t>termos</w:t>
      </w:r>
      <w:r>
        <w:rPr>
          <w:spacing w:val="-1"/>
        </w:rPr>
        <w:t xml:space="preserve"> </w:t>
      </w:r>
      <w:r>
        <w:t>contratuais</w:t>
      </w:r>
      <w:r>
        <w:rPr>
          <w:spacing w:val="-4"/>
        </w:rPr>
        <w:t xml:space="preserve"> </w:t>
      </w:r>
      <w:r>
        <w:t xml:space="preserve">dão </w:t>
      </w:r>
      <w:r>
        <w:rPr>
          <w:w w:val="105"/>
        </w:rPr>
        <w:t>origem,</w:t>
      </w:r>
      <w:r>
        <w:rPr>
          <w:spacing w:val="-16"/>
          <w:w w:val="105"/>
        </w:rPr>
        <w:t xml:space="preserve"> </w:t>
      </w:r>
      <w:r>
        <w:rPr>
          <w:w w:val="105"/>
        </w:rPr>
        <w:t>em</w:t>
      </w:r>
      <w:r>
        <w:rPr>
          <w:spacing w:val="-16"/>
          <w:w w:val="105"/>
        </w:rPr>
        <w:t xml:space="preserve"> </w:t>
      </w:r>
      <w:r>
        <w:rPr>
          <w:w w:val="105"/>
        </w:rPr>
        <w:t>datas</w:t>
      </w:r>
      <w:r>
        <w:rPr>
          <w:spacing w:val="-16"/>
          <w:w w:val="105"/>
        </w:rPr>
        <w:t xml:space="preserve"> </w:t>
      </w:r>
      <w:r>
        <w:rPr>
          <w:w w:val="105"/>
        </w:rPr>
        <w:t>especificadas,</w:t>
      </w:r>
      <w:r>
        <w:rPr>
          <w:spacing w:val="-16"/>
          <w:w w:val="105"/>
        </w:rPr>
        <w:t xml:space="preserve"> </w:t>
      </w:r>
      <w:r>
        <w:rPr>
          <w:w w:val="105"/>
        </w:rPr>
        <w:t>a</w:t>
      </w:r>
      <w:r>
        <w:rPr>
          <w:spacing w:val="-16"/>
          <w:w w:val="105"/>
        </w:rPr>
        <w:t xml:space="preserve"> </w:t>
      </w:r>
      <w:r>
        <w:rPr>
          <w:w w:val="105"/>
        </w:rPr>
        <w:t>fluxos</w:t>
      </w:r>
      <w:r>
        <w:rPr>
          <w:spacing w:val="-15"/>
          <w:w w:val="105"/>
        </w:rPr>
        <w:t xml:space="preserve"> </w:t>
      </w:r>
      <w:r>
        <w:rPr>
          <w:w w:val="105"/>
        </w:rPr>
        <w:t>de</w:t>
      </w:r>
      <w:r>
        <w:rPr>
          <w:spacing w:val="-16"/>
          <w:w w:val="105"/>
        </w:rPr>
        <w:t xml:space="preserve"> </w:t>
      </w:r>
      <w:r>
        <w:rPr>
          <w:w w:val="105"/>
        </w:rPr>
        <w:t>caixa</w:t>
      </w:r>
      <w:r>
        <w:rPr>
          <w:spacing w:val="-16"/>
          <w:w w:val="105"/>
        </w:rPr>
        <w:t xml:space="preserve"> </w:t>
      </w:r>
      <w:r>
        <w:rPr>
          <w:w w:val="105"/>
        </w:rPr>
        <w:t>que</w:t>
      </w:r>
      <w:r>
        <w:rPr>
          <w:spacing w:val="-16"/>
          <w:w w:val="105"/>
        </w:rPr>
        <w:t xml:space="preserve"> </w:t>
      </w:r>
      <w:r>
        <w:rPr>
          <w:w w:val="105"/>
        </w:rPr>
        <w:t>constituam,</w:t>
      </w:r>
      <w:r>
        <w:rPr>
          <w:spacing w:val="-16"/>
          <w:w w:val="105"/>
        </w:rPr>
        <w:t xml:space="preserve"> </w:t>
      </w:r>
      <w:r>
        <w:rPr>
          <w:w w:val="105"/>
        </w:rPr>
        <w:t>exclusivamente,</w:t>
      </w:r>
      <w:r>
        <w:rPr>
          <w:spacing w:val="-16"/>
          <w:w w:val="105"/>
        </w:rPr>
        <w:t xml:space="preserve"> </w:t>
      </w:r>
      <w:r>
        <w:rPr>
          <w:w w:val="105"/>
        </w:rPr>
        <w:t>pagamentos</w:t>
      </w:r>
      <w:r>
        <w:rPr>
          <w:spacing w:val="-15"/>
          <w:w w:val="105"/>
        </w:rPr>
        <w:t xml:space="preserve"> </w:t>
      </w:r>
      <w:r>
        <w:rPr>
          <w:w w:val="105"/>
        </w:rPr>
        <w:t xml:space="preserve">de </w:t>
      </w:r>
      <w:r>
        <w:t>principal e</w:t>
      </w:r>
      <w:r>
        <w:rPr>
          <w:spacing w:val="-2"/>
        </w:rPr>
        <w:t xml:space="preserve"> </w:t>
      </w:r>
      <w:r>
        <w:t>juros</w:t>
      </w:r>
      <w:r>
        <w:rPr>
          <w:spacing w:val="-2"/>
        </w:rPr>
        <w:t xml:space="preserve"> </w:t>
      </w:r>
      <w:r>
        <w:t>sobre</w:t>
      </w:r>
      <w:r>
        <w:rPr>
          <w:spacing w:val="-1"/>
        </w:rPr>
        <w:t xml:space="preserve"> </w:t>
      </w:r>
      <w:r>
        <w:t>o</w:t>
      </w:r>
      <w:r>
        <w:rPr>
          <w:spacing w:val="-5"/>
        </w:rPr>
        <w:t xml:space="preserve"> </w:t>
      </w:r>
      <w:r>
        <w:t>valor do</w:t>
      </w:r>
      <w:r>
        <w:rPr>
          <w:spacing w:val="-1"/>
        </w:rPr>
        <w:t xml:space="preserve"> </w:t>
      </w:r>
      <w:r>
        <w:t>principal em aberto. Além disso, os</w:t>
      </w:r>
      <w:r>
        <w:rPr>
          <w:spacing w:val="-2"/>
        </w:rPr>
        <w:t xml:space="preserve"> </w:t>
      </w:r>
      <w:r>
        <w:t>investimentos</w:t>
      </w:r>
      <w:r>
        <w:rPr>
          <w:spacing w:val="-2"/>
        </w:rPr>
        <w:t xml:space="preserve"> </w:t>
      </w:r>
      <w:r>
        <w:t xml:space="preserve">em instrumentos </w:t>
      </w:r>
      <w:r>
        <w:rPr>
          <w:w w:val="105"/>
        </w:rPr>
        <w:t>patrimoniais,</w:t>
      </w:r>
      <w:r>
        <w:rPr>
          <w:spacing w:val="-16"/>
          <w:w w:val="105"/>
        </w:rPr>
        <w:t xml:space="preserve"> </w:t>
      </w:r>
      <w:r>
        <w:rPr>
          <w:w w:val="105"/>
        </w:rPr>
        <w:t>em</w:t>
      </w:r>
      <w:r>
        <w:rPr>
          <w:spacing w:val="-16"/>
          <w:w w:val="105"/>
        </w:rPr>
        <w:t xml:space="preserve"> </w:t>
      </w:r>
      <w:r>
        <w:rPr>
          <w:w w:val="105"/>
        </w:rPr>
        <w:t>que,</w:t>
      </w:r>
      <w:r>
        <w:rPr>
          <w:spacing w:val="-16"/>
          <w:w w:val="105"/>
        </w:rPr>
        <w:t xml:space="preserve"> </w:t>
      </w:r>
      <w:r>
        <w:rPr>
          <w:w w:val="105"/>
        </w:rPr>
        <w:t>no</w:t>
      </w:r>
      <w:r>
        <w:rPr>
          <w:spacing w:val="-16"/>
          <w:w w:val="105"/>
        </w:rPr>
        <w:t xml:space="preserve"> </w:t>
      </w:r>
      <w:r>
        <w:rPr>
          <w:w w:val="105"/>
        </w:rPr>
        <w:t>reconhecimento</w:t>
      </w:r>
      <w:r>
        <w:rPr>
          <w:spacing w:val="-16"/>
          <w:w w:val="105"/>
        </w:rPr>
        <w:t xml:space="preserve"> </w:t>
      </w:r>
      <w:r>
        <w:rPr>
          <w:w w:val="105"/>
        </w:rPr>
        <w:t>inicial,</w:t>
      </w:r>
      <w:r>
        <w:rPr>
          <w:spacing w:val="-15"/>
          <w:w w:val="105"/>
        </w:rPr>
        <w:t xml:space="preserve"> </w:t>
      </w:r>
      <w:r>
        <w:rPr>
          <w:w w:val="105"/>
        </w:rPr>
        <w:t>a</w:t>
      </w:r>
      <w:r>
        <w:rPr>
          <w:spacing w:val="-16"/>
          <w:w w:val="105"/>
        </w:rPr>
        <w:t xml:space="preserve"> </w:t>
      </w:r>
      <w:r>
        <w:rPr>
          <w:w w:val="105"/>
        </w:rPr>
        <w:t>Companhia</w:t>
      </w:r>
      <w:r>
        <w:rPr>
          <w:spacing w:val="-16"/>
          <w:w w:val="105"/>
        </w:rPr>
        <w:t xml:space="preserve"> </w:t>
      </w:r>
      <w:r>
        <w:rPr>
          <w:w w:val="105"/>
        </w:rPr>
        <w:t>optou</w:t>
      </w:r>
      <w:r>
        <w:rPr>
          <w:spacing w:val="-16"/>
          <w:w w:val="105"/>
        </w:rPr>
        <w:t xml:space="preserve"> </w:t>
      </w:r>
      <w:r>
        <w:rPr>
          <w:w w:val="105"/>
        </w:rPr>
        <w:t>por</w:t>
      </w:r>
      <w:r>
        <w:rPr>
          <w:spacing w:val="-16"/>
          <w:w w:val="105"/>
        </w:rPr>
        <w:t xml:space="preserve"> </w:t>
      </w:r>
      <w:r>
        <w:rPr>
          <w:w w:val="105"/>
        </w:rPr>
        <w:t>apresentar</w:t>
      </w:r>
      <w:r>
        <w:rPr>
          <w:spacing w:val="-16"/>
          <w:w w:val="105"/>
        </w:rPr>
        <w:t xml:space="preserve"> </w:t>
      </w:r>
      <w:r>
        <w:rPr>
          <w:w w:val="105"/>
        </w:rPr>
        <w:t>as</w:t>
      </w:r>
      <w:r>
        <w:rPr>
          <w:spacing w:val="-15"/>
          <w:w w:val="105"/>
        </w:rPr>
        <w:t xml:space="preserve"> </w:t>
      </w:r>
      <w:r>
        <w:rPr>
          <w:w w:val="105"/>
        </w:rPr>
        <w:t xml:space="preserve">alterações subsequentes do seu valor justo em outros resultados abrangentes, são classificados nesta </w:t>
      </w:r>
      <w:r>
        <w:rPr>
          <w:spacing w:val="-2"/>
          <w:w w:val="105"/>
        </w:rPr>
        <w:t>categoria.</w:t>
      </w:r>
    </w:p>
    <w:p w14:paraId="0A0B65DA" w14:textId="77777777" w:rsidR="002C6574" w:rsidRDefault="00000000">
      <w:pPr>
        <w:pStyle w:val="Corpodetexto"/>
        <w:spacing w:before="112" w:line="237" w:lineRule="auto"/>
        <w:ind w:left="143" w:right="703"/>
        <w:jc w:val="both"/>
      </w:pPr>
      <w:r>
        <w:t>Esta categoria é composta pelo saldo de Aplicações Financeiras representadas por Títulos</w:t>
      </w:r>
      <w:r>
        <w:rPr>
          <w:spacing w:val="40"/>
        </w:rPr>
        <w:t xml:space="preserve"> </w:t>
      </w:r>
      <w:r>
        <w:t>mobiliários (Ações) de empresa de telecomunicações e</w:t>
      </w:r>
      <w:r>
        <w:rPr>
          <w:spacing w:val="-1"/>
        </w:rPr>
        <w:t xml:space="preserve"> </w:t>
      </w:r>
      <w:r>
        <w:t>no Fundo</w:t>
      </w:r>
      <w:r>
        <w:rPr>
          <w:spacing w:val="-1"/>
        </w:rPr>
        <w:t xml:space="preserve"> </w:t>
      </w:r>
      <w:r>
        <w:t>de Investimento da Amazônia, que são títulos negociados em mercado ativo (Nota Explicativa 11). Suas variações são reconhecidas no resultado do período, na rubrica "Receitas Financeiras" ou "Despesas Financeiras", dependendo do resultado obtido, exceto pelo valor justo dos investimentos em instrumentos patrimoniais, que são reconhecidos em outros resultados abrangentes.</w:t>
      </w:r>
    </w:p>
    <w:p w14:paraId="724F24B9" w14:textId="77777777" w:rsidR="002C6574" w:rsidRDefault="00000000">
      <w:pPr>
        <w:numPr>
          <w:ilvl w:val="5"/>
          <w:numId w:val="54"/>
        </w:numPr>
        <w:tabs>
          <w:tab w:val="left" w:pos="1422"/>
        </w:tabs>
        <w:spacing w:before="155"/>
        <w:ind w:left="1422" w:hanging="1279"/>
        <w:jc w:val="both"/>
        <w:rPr>
          <w:rFonts w:ascii="Arial"/>
          <w:b/>
        </w:rPr>
      </w:pPr>
      <w:r>
        <w:rPr>
          <w:rFonts w:ascii="Arial"/>
          <w:b/>
        </w:rPr>
        <w:t>Ativos</w:t>
      </w:r>
      <w:r>
        <w:rPr>
          <w:rFonts w:ascii="Arial"/>
          <w:b/>
          <w:spacing w:val="-7"/>
        </w:rPr>
        <w:t xml:space="preserve"> </w:t>
      </w:r>
      <w:r>
        <w:rPr>
          <w:rFonts w:ascii="Arial"/>
          <w:b/>
        </w:rPr>
        <w:t>financeiros</w:t>
      </w:r>
      <w:r>
        <w:rPr>
          <w:rFonts w:ascii="Arial"/>
          <w:b/>
          <w:spacing w:val="-3"/>
        </w:rPr>
        <w:t xml:space="preserve"> </w:t>
      </w:r>
      <w:r>
        <w:rPr>
          <w:rFonts w:ascii="Arial"/>
          <w:b/>
        </w:rPr>
        <w:t>mensurados</w:t>
      </w:r>
      <w:r>
        <w:rPr>
          <w:rFonts w:ascii="Arial"/>
          <w:b/>
          <w:spacing w:val="-4"/>
        </w:rPr>
        <w:t xml:space="preserve"> </w:t>
      </w:r>
      <w:r>
        <w:rPr>
          <w:rFonts w:ascii="Arial"/>
          <w:b/>
        </w:rPr>
        <w:t>ao valor</w:t>
      </w:r>
      <w:r>
        <w:rPr>
          <w:rFonts w:ascii="Arial"/>
          <w:b/>
          <w:spacing w:val="-2"/>
        </w:rPr>
        <w:t xml:space="preserve"> </w:t>
      </w:r>
      <w:r>
        <w:rPr>
          <w:rFonts w:ascii="Arial"/>
          <w:b/>
        </w:rPr>
        <w:t>justo</w:t>
      </w:r>
      <w:r>
        <w:rPr>
          <w:rFonts w:ascii="Arial"/>
          <w:b/>
          <w:spacing w:val="-2"/>
        </w:rPr>
        <w:t xml:space="preserve"> </w:t>
      </w:r>
      <w:r>
        <w:rPr>
          <w:rFonts w:ascii="Arial"/>
          <w:b/>
        </w:rPr>
        <w:t>por</w:t>
      </w:r>
      <w:r>
        <w:rPr>
          <w:rFonts w:ascii="Arial"/>
          <w:b/>
          <w:spacing w:val="-4"/>
        </w:rPr>
        <w:t xml:space="preserve"> </w:t>
      </w:r>
      <w:r>
        <w:rPr>
          <w:rFonts w:ascii="Arial"/>
          <w:b/>
        </w:rPr>
        <w:t>meio</w:t>
      </w:r>
      <w:r>
        <w:rPr>
          <w:rFonts w:ascii="Arial"/>
          <w:b/>
          <w:spacing w:val="-5"/>
        </w:rPr>
        <w:t xml:space="preserve"> </w:t>
      </w:r>
      <w:r>
        <w:rPr>
          <w:rFonts w:ascii="Arial"/>
          <w:b/>
        </w:rPr>
        <w:t>do</w:t>
      </w:r>
      <w:r>
        <w:rPr>
          <w:rFonts w:ascii="Arial"/>
          <w:b/>
          <w:spacing w:val="-5"/>
        </w:rPr>
        <w:t xml:space="preserve"> </w:t>
      </w:r>
      <w:r>
        <w:rPr>
          <w:rFonts w:ascii="Arial"/>
          <w:b/>
          <w:spacing w:val="-2"/>
        </w:rPr>
        <w:t>resultado</w:t>
      </w:r>
    </w:p>
    <w:p w14:paraId="6140C6D0" w14:textId="77777777" w:rsidR="002C6574" w:rsidRDefault="002C6574">
      <w:pPr>
        <w:pStyle w:val="Corpodetexto"/>
        <w:spacing w:before="49"/>
        <w:rPr>
          <w:rFonts w:ascii="Arial"/>
          <w:b/>
        </w:rPr>
      </w:pPr>
    </w:p>
    <w:p w14:paraId="0D181247" w14:textId="77777777" w:rsidR="002C6574" w:rsidRDefault="00000000">
      <w:pPr>
        <w:pStyle w:val="Corpodetexto"/>
        <w:spacing w:line="237" w:lineRule="auto"/>
        <w:ind w:left="143" w:right="702"/>
        <w:jc w:val="both"/>
      </w:pPr>
      <w:r>
        <w:t>Ativos</w:t>
      </w:r>
      <w:r>
        <w:rPr>
          <w:spacing w:val="-3"/>
        </w:rPr>
        <w:t xml:space="preserve"> </w:t>
      </w:r>
      <w:r>
        <w:t>financeiros</w:t>
      </w:r>
      <w:r>
        <w:rPr>
          <w:spacing w:val="-5"/>
        </w:rPr>
        <w:t xml:space="preserve"> </w:t>
      </w:r>
      <w:r>
        <w:t>mensurados</w:t>
      </w:r>
      <w:r>
        <w:rPr>
          <w:spacing w:val="-3"/>
        </w:rPr>
        <w:t xml:space="preserve"> </w:t>
      </w:r>
      <w:r>
        <w:t>ao</w:t>
      </w:r>
      <w:r>
        <w:rPr>
          <w:spacing w:val="-4"/>
        </w:rPr>
        <w:t xml:space="preserve"> </w:t>
      </w:r>
      <w:r>
        <w:t>valor</w:t>
      </w:r>
      <w:r>
        <w:rPr>
          <w:spacing w:val="-5"/>
        </w:rPr>
        <w:t xml:space="preserve"> </w:t>
      </w:r>
      <w:r>
        <w:t>justo</w:t>
      </w:r>
      <w:r>
        <w:rPr>
          <w:spacing w:val="-3"/>
        </w:rPr>
        <w:t xml:space="preserve"> </w:t>
      </w:r>
      <w:r>
        <w:t>por</w:t>
      </w:r>
      <w:r>
        <w:rPr>
          <w:spacing w:val="-6"/>
        </w:rPr>
        <w:t xml:space="preserve"> </w:t>
      </w:r>
      <w:r>
        <w:t>meio</w:t>
      </w:r>
      <w:r>
        <w:rPr>
          <w:spacing w:val="-4"/>
        </w:rPr>
        <w:t xml:space="preserve"> </w:t>
      </w:r>
      <w:r>
        <w:t>do</w:t>
      </w:r>
      <w:r>
        <w:rPr>
          <w:spacing w:val="-5"/>
        </w:rPr>
        <w:t xml:space="preserve"> </w:t>
      </w:r>
      <w:r>
        <w:t>resultado</w:t>
      </w:r>
      <w:r>
        <w:rPr>
          <w:spacing w:val="-6"/>
        </w:rPr>
        <w:t xml:space="preserve"> </w:t>
      </w:r>
      <w:r>
        <w:t>são</w:t>
      </w:r>
      <w:r>
        <w:rPr>
          <w:spacing w:val="-5"/>
        </w:rPr>
        <w:t xml:space="preserve"> </w:t>
      </w:r>
      <w:r>
        <w:t>classificados</w:t>
      </w:r>
      <w:r>
        <w:rPr>
          <w:spacing w:val="-3"/>
        </w:rPr>
        <w:t xml:space="preserve"> </w:t>
      </w:r>
      <w:r>
        <w:t>nesta</w:t>
      </w:r>
      <w:r>
        <w:rPr>
          <w:spacing w:val="-3"/>
        </w:rPr>
        <w:t xml:space="preserve"> </w:t>
      </w:r>
      <w:r>
        <w:t>categoria, como</w:t>
      </w:r>
      <w:r>
        <w:rPr>
          <w:spacing w:val="-11"/>
        </w:rPr>
        <w:t xml:space="preserve"> </w:t>
      </w:r>
      <w:r>
        <w:t>também</w:t>
      </w:r>
      <w:r>
        <w:rPr>
          <w:spacing w:val="-8"/>
        </w:rPr>
        <w:t xml:space="preserve"> </w:t>
      </w:r>
      <w:r>
        <w:t>os</w:t>
      </w:r>
      <w:r>
        <w:rPr>
          <w:spacing w:val="-10"/>
        </w:rPr>
        <w:t xml:space="preserve"> </w:t>
      </w:r>
      <w:r>
        <w:t>ativos</w:t>
      </w:r>
      <w:r>
        <w:rPr>
          <w:spacing w:val="-12"/>
        </w:rPr>
        <w:t xml:space="preserve"> </w:t>
      </w:r>
      <w:r>
        <w:t>financeiros</w:t>
      </w:r>
      <w:r>
        <w:rPr>
          <w:spacing w:val="-10"/>
        </w:rPr>
        <w:t xml:space="preserve"> </w:t>
      </w:r>
      <w:r>
        <w:t>que</w:t>
      </w:r>
      <w:r>
        <w:rPr>
          <w:spacing w:val="-9"/>
        </w:rPr>
        <w:t xml:space="preserve"> </w:t>
      </w:r>
      <w:r>
        <w:t>não</w:t>
      </w:r>
      <w:r>
        <w:rPr>
          <w:spacing w:val="-9"/>
        </w:rPr>
        <w:t xml:space="preserve"> </w:t>
      </w:r>
      <w:r>
        <w:t>sejam</w:t>
      </w:r>
      <w:r>
        <w:rPr>
          <w:spacing w:val="-12"/>
        </w:rPr>
        <w:t xml:space="preserve"> </w:t>
      </w:r>
      <w:r>
        <w:t>mensurados</w:t>
      </w:r>
      <w:r>
        <w:rPr>
          <w:spacing w:val="-12"/>
        </w:rPr>
        <w:t xml:space="preserve"> </w:t>
      </w:r>
      <w:r>
        <w:t>ao</w:t>
      </w:r>
      <w:r>
        <w:rPr>
          <w:spacing w:val="-11"/>
        </w:rPr>
        <w:t xml:space="preserve"> </w:t>
      </w:r>
      <w:r>
        <w:t>custo</w:t>
      </w:r>
      <w:r>
        <w:rPr>
          <w:spacing w:val="-11"/>
        </w:rPr>
        <w:t xml:space="preserve"> </w:t>
      </w:r>
      <w:r>
        <w:t>amortizado</w:t>
      </w:r>
      <w:r>
        <w:rPr>
          <w:spacing w:val="-10"/>
        </w:rPr>
        <w:t xml:space="preserve"> </w:t>
      </w:r>
      <w:r>
        <w:t>ou</w:t>
      </w:r>
      <w:r>
        <w:rPr>
          <w:spacing w:val="-11"/>
        </w:rPr>
        <w:t xml:space="preserve"> </w:t>
      </w:r>
      <w:r>
        <w:t>ao</w:t>
      </w:r>
      <w:r>
        <w:rPr>
          <w:spacing w:val="-11"/>
        </w:rPr>
        <w:t xml:space="preserve"> </w:t>
      </w:r>
      <w:r>
        <w:t>valor</w:t>
      </w:r>
      <w:r>
        <w:rPr>
          <w:spacing w:val="-10"/>
        </w:rPr>
        <w:t xml:space="preserve"> </w:t>
      </w:r>
      <w:r>
        <w:t>justo por meio de outros resultados abrangentes. Esta categoria compreende o saldo de caixa, bancos e equivalentes de caixa (Nota Explicativa 4). As variações são reconhecidas no resultado do período,</w:t>
      </w:r>
      <w:r>
        <w:rPr>
          <w:spacing w:val="80"/>
        </w:rPr>
        <w:t xml:space="preserve"> </w:t>
      </w:r>
      <w:r>
        <w:t>na rubrica "Receitas financeiras" ou "Despesas financeiras", dependendo do resultado obtido.</w:t>
      </w:r>
    </w:p>
    <w:p w14:paraId="6F81D2CE" w14:textId="77777777" w:rsidR="002C6574" w:rsidRDefault="002C6574">
      <w:pPr>
        <w:pStyle w:val="Corpodetexto"/>
        <w:spacing w:before="32"/>
      </w:pPr>
    </w:p>
    <w:p w14:paraId="62811EB2" w14:textId="77777777" w:rsidR="002C6574" w:rsidRDefault="00000000">
      <w:pPr>
        <w:numPr>
          <w:ilvl w:val="3"/>
          <w:numId w:val="54"/>
        </w:numPr>
        <w:tabs>
          <w:tab w:val="left" w:pos="1008"/>
        </w:tabs>
        <w:ind w:left="1008" w:hanging="865"/>
        <w:rPr>
          <w:rFonts w:ascii="Arial" w:hAnsi="Arial"/>
          <w:b/>
        </w:rPr>
      </w:pPr>
      <w:r>
        <w:rPr>
          <w:rFonts w:ascii="Arial" w:hAnsi="Arial"/>
          <w:b/>
        </w:rPr>
        <w:t>Deterioração</w:t>
      </w:r>
      <w:r>
        <w:rPr>
          <w:rFonts w:ascii="Arial" w:hAnsi="Arial"/>
          <w:b/>
          <w:spacing w:val="-3"/>
        </w:rPr>
        <w:t xml:space="preserve"> </w:t>
      </w:r>
      <w:r>
        <w:rPr>
          <w:rFonts w:ascii="Arial" w:hAnsi="Arial"/>
          <w:b/>
        </w:rPr>
        <w:t>de</w:t>
      </w:r>
      <w:r>
        <w:rPr>
          <w:rFonts w:ascii="Arial" w:hAnsi="Arial"/>
          <w:b/>
          <w:spacing w:val="-6"/>
        </w:rPr>
        <w:t xml:space="preserve"> </w:t>
      </w:r>
      <w:r>
        <w:rPr>
          <w:rFonts w:ascii="Arial" w:hAnsi="Arial"/>
          <w:b/>
        </w:rPr>
        <w:t>ativos</w:t>
      </w:r>
      <w:r>
        <w:rPr>
          <w:rFonts w:ascii="Arial" w:hAnsi="Arial"/>
          <w:b/>
          <w:spacing w:val="-4"/>
        </w:rPr>
        <w:t xml:space="preserve"> </w:t>
      </w:r>
      <w:r>
        <w:rPr>
          <w:rFonts w:ascii="Arial" w:hAnsi="Arial"/>
          <w:b/>
          <w:spacing w:val="-2"/>
        </w:rPr>
        <w:t>financeiros</w:t>
      </w:r>
    </w:p>
    <w:p w14:paraId="0E83883B" w14:textId="77777777" w:rsidR="002C6574" w:rsidRDefault="002C6574">
      <w:pPr>
        <w:pStyle w:val="Corpodetexto"/>
        <w:spacing w:before="46"/>
        <w:rPr>
          <w:rFonts w:ascii="Arial"/>
          <w:b/>
        </w:rPr>
      </w:pPr>
    </w:p>
    <w:p w14:paraId="670DF2AF" w14:textId="77777777" w:rsidR="002C6574" w:rsidRDefault="00000000">
      <w:pPr>
        <w:pStyle w:val="Corpodetexto"/>
        <w:spacing w:line="237" w:lineRule="auto"/>
        <w:ind w:left="143" w:right="702"/>
        <w:jc w:val="both"/>
      </w:pPr>
      <w:r>
        <w:t>A Companhia avalia, na data do encerramento do exercício, se há evidência objetiva de que o ativo financeiro ou um grupo de ativos financeiros está deteriorado. Um ativo financeiro ou um grupo de ativos financeiros é considerado deteriorado quando existirem evidências objetivas da redução do valor recuperável, sendo estas evidências o resultado de um ou mais eventos que ocorreram após o reconhecimento inicial do ativo e quando houver impacto nos fluxos de caixa futuros estimados.</w:t>
      </w:r>
    </w:p>
    <w:p w14:paraId="1D2406B5" w14:textId="77777777" w:rsidR="002C6574" w:rsidRDefault="002C6574">
      <w:pPr>
        <w:pStyle w:val="Corpodetexto"/>
        <w:spacing w:line="237" w:lineRule="auto"/>
        <w:jc w:val="both"/>
        <w:sectPr w:rsidR="002C6574">
          <w:pgSz w:w="11910" w:h="16840"/>
          <w:pgMar w:top="1600" w:right="141" w:bottom="1520" w:left="1133" w:header="856" w:footer="1296" w:gutter="0"/>
          <w:cols w:space="720"/>
        </w:sectPr>
      </w:pPr>
    </w:p>
    <w:p w14:paraId="0A220D26" w14:textId="77777777" w:rsidR="002C6574" w:rsidRDefault="002C6574">
      <w:pPr>
        <w:pStyle w:val="Corpodetexto"/>
        <w:spacing w:before="195"/>
      </w:pPr>
    </w:p>
    <w:p w14:paraId="575F118B" w14:textId="77777777" w:rsidR="002C6574" w:rsidRDefault="00000000">
      <w:pPr>
        <w:pStyle w:val="Corpodetexto"/>
        <w:spacing w:before="1"/>
        <w:ind w:left="143" w:right="703"/>
        <w:jc w:val="both"/>
      </w:pPr>
      <w:r>
        <w:t>No caso de investimentos patrimoniais, um declínio significativo ou prolongado em seu valor justo abaixo do custo é considerado evidência objetiva de redução ao valor recuperável.</w:t>
      </w:r>
    </w:p>
    <w:p w14:paraId="7530D7D0" w14:textId="77777777" w:rsidR="002C6574" w:rsidRDefault="002C6574">
      <w:pPr>
        <w:pStyle w:val="Corpodetexto"/>
        <w:spacing w:before="26"/>
      </w:pPr>
    </w:p>
    <w:p w14:paraId="6DD429FD" w14:textId="77777777" w:rsidR="002C6574" w:rsidRDefault="00000000">
      <w:pPr>
        <w:numPr>
          <w:ilvl w:val="3"/>
          <w:numId w:val="54"/>
        </w:numPr>
        <w:tabs>
          <w:tab w:val="left" w:pos="1276"/>
        </w:tabs>
        <w:ind w:hanging="1133"/>
        <w:rPr>
          <w:rFonts w:ascii="Arial"/>
          <w:b/>
        </w:rPr>
      </w:pPr>
      <w:r>
        <w:rPr>
          <w:rFonts w:ascii="Arial"/>
          <w:b/>
        </w:rPr>
        <w:t>Passivos</w:t>
      </w:r>
      <w:r>
        <w:rPr>
          <w:rFonts w:ascii="Arial"/>
          <w:b/>
          <w:spacing w:val="-4"/>
        </w:rPr>
        <w:t xml:space="preserve"> </w:t>
      </w:r>
      <w:r>
        <w:rPr>
          <w:rFonts w:ascii="Arial"/>
          <w:b/>
          <w:spacing w:val="-2"/>
        </w:rPr>
        <w:t>financeiros</w:t>
      </w:r>
    </w:p>
    <w:p w14:paraId="7F5BD09C" w14:textId="77777777" w:rsidR="002C6574" w:rsidRDefault="002C6574">
      <w:pPr>
        <w:pStyle w:val="Corpodetexto"/>
        <w:spacing w:before="30"/>
        <w:rPr>
          <w:rFonts w:ascii="Arial"/>
          <w:b/>
        </w:rPr>
      </w:pPr>
    </w:p>
    <w:p w14:paraId="005EDAB3" w14:textId="77777777" w:rsidR="002C6574" w:rsidRDefault="00000000">
      <w:pPr>
        <w:pStyle w:val="Corpodetexto"/>
        <w:ind w:left="143" w:right="703"/>
        <w:jc w:val="both"/>
      </w:pPr>
      <w:r>
        <w:t>A nova norma (CPC 48/IFRS 9) não trouxe mudanças significativas em relação aos critérios atuais, exceto pelo reconhecimento de mudanças no risco de crédito próprio em Outros Resultados Abrangentes para aqueles passivos designados ao valor justo por meio do resultado.</w:t>
      </w:r>
    </w:p>
    <w:p w14:paraId="51F8B967" w14:textId="77777777" w:rsidR="002C6574" w:rsidRDefault="00000000">
      <w:pPr>
        <w:pStyle w:val="Corpodetexto"/>
        <w:spacing w:before="288" w:line="237" w:lineRule="auto"/>
        <w:ind w:left="143" w:right="703"/>
        <w:jc w:val="both"/>
      </w:pPr>
      <w:r>
        <w:t>A Companhia reconhece títulos de dívida e passivos subordinados inicialmente na data em que são originados. Todos os outros passivos financeiros (incluindo passivos designados pelo valor justo registrado</w:t>
      </w:r>
      <w:r>
        <w:rPr>
          <w:spacing w:val="-1"/>
        </w:rPr>
        <w:t xml:space="preserve"> </w:t>
      </w:r>
      <w:r>
        <w:t>no resultado) são reconhecidos inicialmente</w:t>
      </w:r>
      <w:r>
        <w:rPr>
          <w:spacing w:val="-1"/>
        </w:rPr>
        <w:t xml:space="preserve"> </w:t>
      </w:r>
      <w:r>
        <w:t>na</w:t>
      </w:r>
      <w:r>
        <w:rPr>
          <w:spacing w:val="-3"/>
        </w:rPr>
        <w:t xml:space="preserve"> </w:t>
      </w:r>
      <w:r>
        <w:t>data de</w:t>
      </w:r>
      <w:r>
        <w:rPr>
          <w:spacing w:val="-1"/>
        </w:rPr>
        <w:t xml:space="preserve"> </w:t>
      </w:r>
      <w:r>
        <w:t>negociação, na qual a</w:t>
      </w:r>
      <w:r>
        <w:rPr>
          <w:spacing w:val="-1"/>
        </w:rPr>
        <w:t xml:space="preserve"> </w:t>
      </w:r>
      <w:r>
        <w:t>Companhia se torna uma parte das disposições contratuais do instrumento. A Companhia baixa um passivo financeiro quando tem suas obrigações contratuais retiradas, canceladas ou vencidas.</w:t>
      </w:r>
    </w:p>
    <w:p w14:paraId="4DED7CFC" w14:textId="77777777" w:rsidR="002C6574" w:rsidRDefault="002C6574">
      <w:pPr>
        <w:pStyle w:val="Corpodetexto"/>
        <w:spacing w:before="6"/>
      </w:pPr>
    </w:p>
    <w:p w14:paraId="2AE0AC3C" w14:textId="77777777" w:rsidR="002C6574" w:rsidRDefault="00000000">
      <w:pPr>
        <w:pStyle w:val="Corpodetexto"/>
        <w:spacing w:before="1" w:line="237" w:lineRule="auto"/>
        <w:ind w:left="143" w:right="704"/>
        <w:jc w:val="both"/>
      </w:pPr>
      <w:r>
        <w:t>A Companhia classifica os passivos financeiros não derivativos na categoria de outros passivos financeiros, os quais são reconhecidos inicialmente pelo valor justo acrescido de quaisquer custos</w:t>
      </w:r>
      <w:r>
        <w:rPr>
          <w:spacing w:val="80"/>
        </w:rPr>
        <w:t xml:space="preserve"> </w:t>
      </w:r>
      <w:r>
        <w:t>de transações atribuíveis. Após o reconhecimento inicial, esses passivos financeiros são mensurados pelo custo amortizado através do método de juros efetivos.</w:t>
      </w:r>
    </w:p>
    <w:p w14:paraId="083C47BA" w14:textId="77777777" w:rsidR="002C6574" w:rsidRDefault="002C6574">
      <w:pPr>
        <w:pStyle w:val="Corpodetexto"/>
        <w:spacing w:before="2"/>
      </w:pPr>
    </w:p>
    <w:p w14:paraId="0B985A74" w14:textId="77777777" w:rsidR="002C6574" w:rsidRDefault="00000000">
      <w:pPr>
        <w:pStyle w:val="Corpodetexto"/>
        <w:spacing w:before="1" w:line="237" w:lineRule="auto"/>
        <w:ind w:left="143" w:right="703"/>
        <w:jc w:val="both"/>
      </w:pPr>
      <w:r>
        <w:rPr>
          <w:w w:val="105"/>
        </w:rPr>
        <w:t>A Companhia possui os seguintes passivos financeiros não derivativos: Empréstimos e financiamentos (Nota Explicativa 24.1), Operações de arrendamento mercantil (Nota Explicativa 24.2), Fornecedores (Nota Explicativa 18) e Outras contas a pagar.</w:t>
      </w:r>
    </w:p>
    <w:p w14:paraId="6ED2CA3C" w14:textId="77777777" w:rsidR="002C6574" w:rsidRDefault="002C6574">
      <w:pPr>
        <w:pStyle w:val="Corpodetexto"/>
        <w:spacing w:before="28"/>
      </w:pPr>
    </w:p>
    <w:p w14:paraId="27A5658C" w14:textId="77777777" w:rsidR="002C6574" w:rsidRDefault="00000000">
      <w:pPr>
        <w:numPr>
          <w:ilvl w:val="2"/>
          <w:numId w:val="54"/>
        </w:numPr>
        <w:tabs>
          <w:tab w:val="left" w:pos="994"/>
        </w:tabs>
        <w:ind w:left="994" w:hanging="851"/>
        <w:rPr>
          <w:rFonts w:ascii="Arial"/>
          <w:b/>
        </w:rPr>
      </w:pPr>
      <w:r>
        <w:rPr>
          <w:rFonts w:ascii="Arial"/>
          <w:b/>
        </w:rPr>
        <w:t>Instrumentos</w:t>
      </w:r>
      <w:r>
        <w:rPr>
          <w:rFonts w:ascii="Arial"/>
          <w:b/>
          <w:spacing w:val="-9"/>
        </w:rPr>
        <w:t xml:space="preserve"> </w:t>
      </w:r>
      <w:r>
        <w:rPr>
          <w:rFonts w:ascii="Arial"/>
          <w:b/>
        </w:rPr>
        <w:t>financeiros</w:t>
      </w:r>
      <w:r>
        <w:rPr>
          <w:rFonts w:ascii="Arial"/>
          <w:b/>
          <w:spacing w:val="-7"/>
        </w:rPr>
        <w:t xml:space="preserve"> </w:t>
      </w:r>
      <w:r>
        <w:rPr>
          <w:rFonts w:ascii="Arial"/>
          <w:b/>
          <w:spacing w:val="-2"/>
        </w:rPr>
        <w:t>derivativos</w:t>
      </w:r>
    </w:p>
    <w:p w14:paraId="0F35682E" w14:textId="77777777" w:rsidR="002C6574" w:rsidRDefault="002C6574">
      <w:pPr>
        <w:pStyle w:val="Corpodetexto"/>
        <w:spacing w:before="46"/>
        <w:rPr>
          <w:rFonts w:ascii="Arial"/>
          <w:b/>
        </w:rPr>
      </w:pPr>
    </w:p>
    <w:p w14:paraId="0EEA68A8" w14:textId="77777777" w:rsidR="002C6574" w:rsidRDefault="00000000">
      <w:pPr>
        <w:pStyle w:val="Corpodetexto"/>
        <w:ind w:left="143"/>
        <w:jc w:val="both"/>
      </w:pPr>
      <w:r>
        <w:t>A</w:t>
      </w:r>
      <w:r>
        <w:rPr>
          <w:spacing w:val="4"/>
        </w:rPr>
        <w:t xml:space="preserve"> </w:t>
      </w:r>
      <w:r>
        <w:t>Telebras</w:t>
      </w:r>
      <w:r>
        <w:rPr>
          <w:spacing w:val="4"/>
        </w:rPr>
        <w:t xml:space="preserve"> </w:t>
      </w:r>
      <w:r>
        <w:t>não</w:t>
      </w:r>
      <w:r>
        <w:rPr>
          <w:spacing w:val="2"/>
        </w:rPr>
        <w:t xml:space="preserve"> </w:t>
      </w:r>
      <w:r>
        <w:t>opera com</w:t>
      </w:r>
      <w:r>
        <w:rPr>
          <w:spacing w:val="5"/>
        </w:rPr>
        <w:t xml:space="preserve"> </w:t>
      </w:r>
      <w:r>
        <w:t>instrumentos</w:t>
      </w:r>
      <w:r>
        <w:rPr>
          <w:spacing w:val="4"/>
        </w:rPr>
        <w:t xml:space="preserve"> </w:t>
      </w:r>
      <w:r>
        <w:t>financeiros</w:t>
      </w:r>
      <w:r>
        <w:rPr>
          <w:spacing w:val="4"/>
        </w:rPr>
        <w:t xml:space="preserve"> </w:t>
      </w:r>
      <w:r>
        <w:rPr>
          <w:spacing w:val="-2"/>
        </w:rPr>
        <w:t>derivativos.</w:t>
      </w:r>
    </w:p>
    <w:p w14:paraId="51BDB47F" w14:textId="77777777" w:rsidR="002C6574" w:rsidRDefault="002C6574">
      <w:pPr>
        <w:pStyle w:val="Corpodetexto"/>
        <w:spacing w:before="27"/>
      </w:pPr>
    </w:p>
    <w:p w14:paraId="75C24034" w14:textId="77777777" w:rsidR="002C6574" w:rsidRDefault="00000000">
      <w:pPr>
        <w:numPr>
          <w:ilvl w:val="2"/>
          <w:numId w:val="54"/>
        </w:numPr>
        <w:tabs>
          <w:tab w:val="left" w:pos="994"/>
        </w:tabs>
        <w:ind w:left="994" w:hanging="851"/>
        <w:rPr>
          <w:rFonts w:ascii="Arial"/>
          <w:b/>
        </w:rPr>
      </w:pPr>
      <w:r>
        <w:rPr>
          <w:rFonts w:ascii="Arial"/>
          <w:b/>
          <w:spacing w:val="-2"/>
        </w:rPr>
        <w:t>Fornecedores</w:t>
      </w:r>
    </w:p>
    <w:p w14:paraId="38260373" w14:textId="77777777" w:rsidR="002C6574" w:rsidRDefault="002C6574">
      <w:pPr>
        <w:pStyle w:val="Corpodetexto"/>
        <w:spacing w:before="48"/>
        <w:rPr>
          <w:rFonts w:ascii="Arial"/>
          <w:b/>
        </w:rPr>
      </w:pPr>
    </w:p>
    <w:p w14:paraId="255F36A9" w14:textId="77777777" w:rsidR="002C6574" w:rsidRDefault="00000000">
      <w:pPr>
        <w:pStyle w:val="Corpodetexto"/>
        <w:spacing w:before="1" w:line="237" w:lineRule="auto"/>
        <w:ind w:left="143" w:right="704"/>
        <w:jc w:val="both"/>
      </w:pPr>
      <w:r>
        <w:t>As</w:t>
      </w:r>
      <w:r>
        <w:rPr>
          <w:spacing w:val="-1"/>
        </w:rPr>
        <w:t xml:space="preserve"> </w:t>
      </w:r>
      <w:r>
        <w:t>contas</w:t>
      </w:r>
      <w:r>
        <w:rPr>
          <w:spacing w:val="-1"/>
        </w:rPr>
        <w:t xml:space="preserve"> </w:t>
      </w:r>
      <w:r>
        <w:t>a</w:t>
      </w:r>
      <w:r>
        <w:rPr>
          <w:spacing w:val="-1"/>
        </w:rPr>
        <w:t xml:space="preserve"> </w:t>
      </w:r>
      <w:r>
        <w:t>pagar a</w:t>
      </w:r>
      <w:r>
        <w:rPr>
          <w:spacing w:val="-3"/>
        </w:rPr>
        <w:t xml:space="preserve"> </w:t>
      </w:r>
      <w:r>
        <w:t>fornecedores</w:t>
      </w:r>
      <w:r>
        <w:rPr>
          <w:spacing w:val="-1"/>
        </w:rPr>
        <w:t xml:space="preserve"> </w:t>
      </w:r>
      <w:r>
        <w:t>são</w:t>
      </w:r>
      <w:r>
        <w:rPr>
          <w:spacing w:val="-1"/>
        </w:rPr>
        <w:t xml:space="preserve"> </w:t>
      </w:r>
      <w:r>
        <w:t>obrigações</w:t>
      </w:r>
      <w:r>
        <w:rPr>
          <w:spacing w:val="-3"/>
        </w:rPr>
        <w:t xml:space="preserve"> </w:t>
      </w:r>
      <w:r>
        <w:t>a</w:t>
      </w:r>
      <w:r>
        <w:rPr>
          <w:spacing w:val="-2"/>
        </w:rPr>
        <w:t xml:space="preserve"> </w:t>
      </w:r>
      <w:r>
        <w:t>pagar por</w:t>
      </w:r>
      <w:r>
        <w:rPr>
          <w:spacing w:val="-1"/>
        </w:rPr>
        <w:t xml:space="preserve"> </w:t>
      </w:r>
      <w:r>
        <w:t>bens</w:t>
      </w:r>
      <w:r>
        <w:rPr>
          <w:spacing w:val="-1"/>
        </w:rPr>
        <w:t xml:space="preserve"> </w:t>
      </w:r>
      <w:r>
        <w:t>ou</w:t>
      </w:r>
      <w:r>
        <w:rPr>
          <w:spacing w:val="-1"/>
        </w:rPr>
        <w:t xml:space="preserve"> </w:t>
      </w:r>
      <w:r>
        <w:t>serviços</w:t>
      </w:r>
      <w:r>
        <w:rPr>
          <w:spacing w:val="-1"/>
        </w:rPr>
        <w:t xml:space="preserve"> </w:t>
      </w:r>
      <w:r>
        <w:t>que</w:t>
      </w:r>
      <w:r>
        <w:rPr>
          <w:spacing w:val="-1"/>
        </w:rPr>
        <w:t xml:space="preserve"> </w:t>
      </w:r>
      <w:r>
        <w:t>foram adquiridos no curso normal dos negócios, sendo classificadas como passivos circulantes se o pagamento for devido no período de</w:t>
      </w:r>
      <w:r>
        <w:rPr>
          <w:spacing w:val="-2"/>
        </w:rPr>
        <w:t xml:space="preserve"> </w:t>
      </w:r>
      <w:r>
        <w:t>até</w:t>
      </w:r>
      <w:r>
        <w:rPr>
          <w:spacing w:val="-2"/>
        </w:rPr>
        <w:t xml:space="preserve"> </w:t>
      </w:r>
      <w:r>
        <w:t>12 (doze) meses após a data do balanço. Caso</w:t>
      </w:r>
      <w:r>
        <w:rPr>
          <w:spacing w:val="-2"/>
        </w:rPr>
        <w:t xml:space="preserve"> </w:t>
      </w:r>
      <w:r>
        <w:t>contrário, são apresentados como passivo não circulante. (Nota Explicativa 18).</w:t>
      </w:r>
    </w:p>
    <w:p w14:paraId="50C0A9BD" w14:textId="77777777" w:rsidR="002C6574" w:rsidRDefault="002C6574">
      <w:pPr>
        <w:pStyle w:val="Corpodetexto"/>
        <w:spacing w:before="31"/>
      </w:pPr>
    </w:p>
    <w:p w14:paraId="0A3CA848" w14:textId="77777777" w:rsidR="002C6574" w:rsidRDefault="00000000">
      <w:pPr>
        <w:numPr>
          <w:ilvl w:val="2"/>
          <w:numId w:val="54"/>
        </w:numPr>
        <w:tabs>
          <w:tab w:val="left" w:pos="994"/>
        </w:tabs>
        <w:ind w:left="994" w:hanging="851"/>
        <w:rPr>
          <w:rFonts w:ascii="Arial" w:hAnsi="Arial"/>
          <w:b/>
        </w:rPr>
      </w:pPr>
      <w:r>
        <w:rPr>
          <w:rFonts w:ascii="Arial" w:hAnsi="Arial"/>
          <w:b/>
        </w:rPr>
        <w:t>Empréstimos</w:t>
      </w:r>
      <w:r>
        <w:rPr>
          <w:rFonts w:ascii="Arial" w:hAnsi="Arial"/>
          <w:b/>
          <w:spacing w:val="-4"/>
        </w:rPr>
        <w:t xml:space="preserve"> </w:t>
      </w:r>
      <w:r>
        <w:rPr>
          <w:rFonts w:ascii="Arial" w:hAnsi="Arial"/>
          <w:b/>
        </w:rPr>
        <w:t>e</w:t>
      </w:r>
      <w:r>
        <w:rPr>
          <w:rFonts w:ascii="Arial" w:hAnsi="Arial"/>
          <w:b/>
          <w:spacing w:val="-3"/>
        </w:rPr>
        <w:t xml:space="preserve"> </w:t>
      </w:r>
      <w:r>
        <w:rPr>
          <w:rFonts w:ascii="Arial" w:hAnsi="Arial"/>
          <w:b/>
          <w:spacing w:val="-2"/>
        </w:rPr>
        <w:t>financiamentos</w:t>
      </w:r>
    </w:p>
    <w:p w14:paraId="541085DB" w14:textId="77777777" w:rsidR="002C6574" w:rsidRDefault="002C6574">
      <w:pPr>
        <w:pStyle w:val="Corpodetexto"/>
        <w:spacing w:before="44"/>
        <w:rPr>
          <w:rFonts w:ascii="Arial"/>
          <w:b/>
        </w:rPr>
      </w:pPr>
    </w:p>
    <w:p w14:paraId="18EC0923" w14:textId="77777777" w:rsidR="002C6574" w:rsidRDefault="00000000">
      <w:pPr>
        <w:pStyle w:val="Corpodetexto"/>
        <w:ind w:left="143" w:right="703"/>
        <w:jc w:val="both"/>
      </w:pPr>
      <w:r>
        <w:t>Os empréstimos e os financiamentos são apresentados pelo custo amortizado atualizados pelas variações monetárias ou cambiais (quando aplicável) e acrescidos de juros incorridos até a data do encerramento do exercício.</w:t>
      </w:r>
    </w:p>
    <w:p w14:paraId="322750BE" w14:textId="77777777" w:rsidR="002C6574" w:rsidRDefault="00000000">
      <w:pPr>
        <w:pStyle w:val="Corpodetexto"/>
        <w:spacing w:before="286"/>
        <w:ind w:left="143" w:right="705"/>
        <w:jc w:val="both"/>
      </w:pPr>
      <w:r>
        <w:t>Os custos de transação incorridos são mensurados ao custo amortizado e reconhecidos no passivo, reduzindo</w:t>
      </w:r>
      <w:r>
        <w:rPr>
          <w:spacing w:val="-3"/>
        </w:rPr>
        <w:t xml:space="preserve"> </w:t>
      </w:r>
      <w:r>
        <w:t>o</w:t>
      </w:r>
      <w:r>
        <w:rPr>
          <w:spacing w:val="-5"/>
        </w:rPr>
        <w:t xml:space="preserve"> </w:t>
      </w:r>
      <w:r>
        <w:t>saldo</w:t>
      </w:r>
      <w:r>
        <w:rPr>
          <w:spacing w:val="-3"/>
        </w:rPr>
        <w:t xml:space="preserve"> </w:t>
      </w:r>
      <w:r>
        <w:t>de</w:t>
      </w:r>
      <w:r>
        <w:rPr>
          <w:spacing w:val="-4"/>
        </w:rPr>
        <w:t xml:space="preserve"> </w:t>
      </w:r>
      <w:r>
        <w:t>empréstimos</w:t>
      </w:r>
      <w:r>
        <w:rPr>
          <w:spacing w:val="-5"/>
        </w:rPr>
        <w:t xml:space="preserve"> </w:t>
      </w:r>
      <w:r>
        <w:t>e</w:t>
      </w:r>
      <w:r>
        <w:rPr>
          <w:spacing w:val="-4"/>
        </w:rPr>
        <w:t xml:space="preserve"> </w:t>
      </w:r>
      <w:r>
        <w:t>financiamentos,</w:t>
      </w:r>
      <w:r>
        <w:rPr>
          <w:spacing w:val="-2"/>
        </w:rPr>
        <w:t xml:space="preserve"> </w:t>
      </w:r>
      <w:r>
        <w:t>sendo</w:t>
      </w:r>
      <w:r>
        <w:rPr>
          <w:spacing w:val="-4"/>
        </w:rPr>
        <w:t xml:space="preserve"> </w:t>
      </w:r>
      <w:r>
        <w:t>apropriados</w:t>
      </w:r>
      <w:r>
        <w:rPr>
          <w:spacing w:val="-5"/>
        </w:rPr>
        <w:t xml:space="preserve"> </w:t>
      </w:r>
      <w:r>
        <w:t>ao</w:t>
      </w:r>
      <w:r>
        <w:rPr>
          <w:spacing w:val="-2"/>
        </w:rPr>
        <w:t xml:space="preserve"> </w:t>
      </w:r>
      <w:r>
        <w:t>resultado</w:t>
      </w:r>
      <w:r>
        <w:rPr>
          <w:spacing w:val="-4"/>
        </w:rPr>
        <w:t xml:space="preserve"> </w:t>
      </w:r>
      <w:r>
        <w:t>no</w:t>
      </w:r>
      <w:r>
        <w:rPr>
          <w:spacing w:val="-6"/>
        </w:rPr>
        <w:t xml:space="preserve"> </w:t>
      </w:r>
      <w:r>
        <w:t>decorrer</w:t>
      </w:r>
      <w:r>
        <w:rPr>
          <w:spacing w:val="-3"/>
        </w:rPr>
        <w:t xml:space="preserve"> </w:t>
      </w:r>
      <w:r>
        <w:t>do período de vigência dos contratos. (Nota Explicativa 24.1)</w:t>
      </w:r>
    </w:p>
    <w:p w14:paraId="29515860" w14:textId="77777777" w:rsidR="002C6574" w:rsidRDefault="002C6574">
      <w:pPr>
        <w:pStyle w:val="Corpodetexto"/>
        <w:jc w:val="both"/>
        <w:sectPr w:rsidR="002C6574">
          <w:pgSz w:w="11910" w:h="16840"/>
          <w:pgMar w:top="1600" w:right="141" w:bottom="1520" w:left="1133" w:header="856" w:footer="1296" w:gutter="0"/>
          <w:cols w:space="720"/>
        </w:sectPr>
      </w:pPr>
    </w:p>
    <w:p w14:paraId="30B81C10" w14:textId="77777777" w:rsidR="002C6574" w:rsidRDefault="002C6574">
      <w:pPr>
        <w:pStyle w:val="Corpodetexto"/>
        <w:spacing w:before="227"/>
      </w:pPr>
    </w:p>
    <w:p w14:paraId="22196CB4" w14:textId="77777777" w:rsidR="002C6574" w:rsidRDefault="00000000">
      <w:pPr>
        <w:numPr>
          <w:ilvl w:val="2"/>
          <w:numId w:val="54"/>
        </w:numPr>
        <w:tabs>
          <w:tab w:val="left" w:pos="994"/>
        </w:tabs>
        <w:ind w:left="994" w:hanging="851"/>
        <w:rPr>
          <w:rFonts w:ascii="Arial" w:hAnsi="Arial"/>
          <w:b/>
        </w:rPr>
      </w:pPr>
      <w:r>
        <w:rPr>
          <w:rFonts w:ascii="Arial" w:hAnsi="Arial"/>
          <w:b/>
        </w:rPr>
        <w:t>Operação</w:t>
      </w:r>
      <w:r>
        <w:rPr>
          <w:rFonts w:ascii="Arial" w:hAnsi="Arial"/>
          <w:b/>
          <w:spacing w:val="-7"/>
        </w:rPr>
        <w:t xml:space="preserve"> </w:t>
      </w:r>
      <w:r>
        <w:rPr>
          <w:rFonts w:ascii="Arial" w:hAnsi="Arial"/>
          <w:b/>
        </w:rPr>
        <w:t>de</w:t>
      </w:r>
      <w:r>
        <w:rPr>
          <w:rFonts w:ascii="Arial" w:hAnsi="Arial"/>
          <w:b/>
          <w:spacing w:val="-4"/>
        </w:rPr>
        <w:t xml:space="preserve"> </w:t>
      </w:r>
      <w:r>
        <w:rPr>
          <w:rFonts w:ascii="Arial" w:hAnsi="Arial"/>
          <w:b/>
        </w:rPr>
        <w:t>arrendamento</w:t>
      </w:r>
      <w:r>
        <w:rPr>
          <w:rFonts w:ascii="Arial" w:hAnsi="Arial"/>
          <w:b/>
          <w:spacing w:val="-5"/>
        </w:rPr>
        <w:t xml:space="preserve"> </w:t>
      </w:r>
      <w:r>
        <w:rPr>
          <w:rFonts w:ascii="Arial" w:hAnsi="Arial"/>
          <w:b/>
          <w:spacing w:val="-2"/>
        </w:rPr>
        <w:t>mercantil</w:t>
      </w:r>
    </w:p>
    <w:p w14:paraId="446BF588" w14:textId="77777777" w:rsidR="002C6574" w:rsidRDefault="002C6574">
      <w:pPr>
        <w:pStyle w:val="Corpodetexto"/>
        <w:spacing w:before="46"/>
        <w:rPr>
          <w:rFonts w:ascii="Arial"/>
          <w:b/>
        </w:rPr>
      </w:pPr>
    </w:p>
    <w:p w14:paraId="7CB72876" w14:textId="77777777" w:rsidR="002C6574" w:rsidRDefault="00000000">
      <w:pPr>
        <w:pStyle w:val="Corpodetexto"/>
        <w:ind w:left="143" w:right="703"/>
        <w:jc w:val="both"/>
      </w:pPr>
      <w:r>
        <w:t>Os passivos de arrendamento são reconhecidos em contrapartida com os ativos de direito de uso, mensurado</w:t>
      </w:r>
      <w:r>
        <w:rPr>
          <w:spacing w:val="-3"/>
        </w:rPr>
        <w:t xml:space="preserve"> </w:t>
      </w:r>
      <w:r>
        <w:t>pelo valor presente</w:t>
      </w:r>
      <w:r>
        <w:rPr>
          <w:spacing w:val="-3"/>
        </w:rPr>
        <w:t xml:space="preserve"> </w:t>
      </w:r>
      <w:r>
        <w:t>dos</w:t>
      </w:r>
      <w:r>
        <w:rPr>
          <w:spacing w:val="-1"/>
        </w:rPr>
        <w:t xml:space="preserve"> </w:t>
      </w:r>
      <w:r>
        <w:t>pagamentos</w:t>
      </w:r>
      <w:r>
        <w:rPr>
          <w:spacing w:val="-3"/>
        </w:rPr>
        <w:t xml:space="preserve"> </w:t>
      </w:r>
      <w:r>
        <w:t>de arrendamentos</w:t>
      </w:r>
      <w:r>
        <w:rPr>
          <w:spacing w:val="-4"/>
        </w:rPr>
        <w:t xml:space="preserve"> </w:t>
      </w:r>
      <w:r>
        <w:t>esperados até</w:t>
      </w:r>
      <w:r>
        <w:rPr>
          <w:spacing w:val="-3"/>
        </w:rPr>
        <w:t xml:space="preserve"> </w:t>
      </w:r>
      <w:r>
        <w:t>o</w:t>
      </w:r>
      <w:r>
        <w:rPr>
          <w:spacing w:val="-3"/>
        </w:rPr>
        <w:t xml:space="preserve"> </w:t>
      </w:r>
      <w:r>
        <w:t>fim</w:t>
      </w:r>
      <w:r>
        <w:rPr>
          <w:spacing w:val="-1"/>
        </w:rPr>
        <w:t xml:space="preserve"> </w:t>
      </w:r>
      <w:r>
        <w:t>do</w:t>
      </w:r>
      <w:r>
        <w:rPr>
          <w:spacing w:val="-3"/>
        </w:rPr>
        <w:t xml:space="preserve"> </w:t>
      </w:r>
      <w:r>
        <w:t>contrato, descontado por uma taxa incremental de financiamento, considerando possíveis renovações ou cancelamentos. (Nota Explicativa 24.2)</w:t>
      </w:r>
    </w:p>
    <w:p w14:paraId="199830B4" w14:textId="77777777" w:rsidR="002C6574" w:rsidRDefault="002C6574">
      <w:pPr>
        <w:pStyle w:val="Corpodetexto"/>
        <w:spacing w:before="22"/>
      </w:pPr>
    </w:p>
    <w:p w14:paraId="7E912A5A" w14:textId="77777777" w:rsidR="002C6574" w:rsidRDefault="00000000">
      <w:pPr>
        <w:numPr>
          <w:ilvl w:val="2"/>
          <w:numId w:val="54"/>
        </w:numPr>
        <w:tabs>
          <w:tab w:val="left" w:pos="994"/>
        </w:tabs>
        <w:ind w:left="994" w:hanging="851"/>
        <w:rPr>
          <w:rFonts w:ascii="Arial" w:hAnsi="Arial"/>
          <w:b/>
        </w:rPr>
      </w:pPr>
      <w:r>
        <w:rPr>
          <w:rFonts w:ascii="Arial" w:hAnsi="Arial"/>
          <w:b/>
          <w:spacing w:val="-2"/>
        </w:rPr>
        <w:t>Provisões</w:t>
      </w:r>
    </w:p>
    <w:p w14:paraId="2212AB0B" w14:textId="77777777" w:rsidR="002C6574" w:rsidRDefault="00000000">
      <w:pPr>
        <w:pStyle w:val="PargrafodaLista"/>
        <w:numPr>
          <w:ilvl w:val="3"/>
          <w:numId w:val="54"/>
        </w:numPr>
        <w:tabs>
          <w:tab w:val="left" w:pos="1001"/>
        </w:tabs>
        <w:spacing w:before="249"/>
        <w:ind w:left="1001" w:hanging="858"/>
        <w:rPr>
          <w:rFonts w:ascii="Arial" w:hAnsi="Arial"/>
          <w:b/>
        </w:rPr>
      </w:pPr>
      <w:r>
        <w:rPr>
          <w:rFonts w:ascii="Arial" w:hAnsi="Arial"/>
          <w:b/>
        </w:rPr>
        <w:t>Provisões</w:t>
      </w:r>
      <w:r>
        <w:rPr>
          <w:rFonts w:ascii="Arial" w:hAnsi="Arial"/>
          <w:b/>
          <w:spacing w:val="-2"/>
        </w:rPr>
        <w:t xml:space="preserve"> </w:t>
      </w:r>
      <w:r>
        <w:rPr>
          <w:rFonts w:ascii="Arial" w:hAnsi="Arial"/>
          <w:b/>
        </w:rPr>
        <w:t>para</w:t>
      </w:r>
      <w:r>
        <w:rPr>
          <w:rFonts w:ascii="Arial" w:hAnsi="Arial"/>
          <w:b/>
          <w:spacing w:val="-5"/>
        </w:rPr>
        <w:t xml:space="preserve"> </w:t>
      </w:r>
      <w:r>
        <w:rPr>
          <w:rFonts w:ascii="Arial" w:hAnsi="Arial"/>
          <w:b/>
        </w:rPr>
        <w:t>riscos</w:t>
      </w:r>
      <w:r>
        <w:rPr>
          <w:rFonts w:ascii="Arial" w:hAnsi="Arial"/>
          <w:b/>
          <w:spacing w:val="-5"/>
        </w:rPr>
        <w:t xml:space="preserve"> </w:t>
      </w:r>
      <w:r>
        <w:rPr>
          <w:rFonts w:ascii="Arial" w:hAnsi="Arial"/>
          <w:b/>
        </w:rPr>
        <w:t>trabalhistas,</w:t>
      </w:r>
      <w:r>
        <w:rPr>
          <w:rFonts w:ascii="Arial" w:hAnsi="Arial"/>
          <w:b/>
          <w:spacing w:val="-4"/>
        </w:rPr>
        <w:t xml:space="preserve"> </w:t>
      </w:r>
      <w:r>
        <w:rPr>
          <w:rFonts w:ascii="Arial" w:hAnsi="Arial"/>
          <w:b/>
        </w:rPr>
        <w:t>cíveis</w:t>
      </w:r>
      <w:r>
        <w:rPr>
          <w:rFonts w:ascii="Arial" w:hAnsi="Arial"/>
          <w:b/>
          <w:spacing w:val="-5"/>
        </w:rPr>
        <w:t xml:space="preserve"> </w:t>
      </w:r>
      <w:r>
        <w:rPr>
          <w:rFonts w:ascii="Arial" w:hAnsi="Arial"/>
          <w:b/>
        </w:rPr>
        <w:t>e</w:t>
      </w:r>
      <w:r>
        <w:rPr>
          <w:rFonts w:ascii="Arial" w:hAnsi="Arial"/>
          <w:b/>
          <w:spacing w:val="-4"/>
        </w:rPr>
        <w:t xml:space="preserve"> </w:t>
      </w:r>
      <w:r>
        <w:rPr>
          <w:rFonts w:ascii="Arial" w:hAnsi="Arial"/>
          <w:b/>
          <w:spacing w:val="-2"/>
        </w:rPr>
        <w:t>fiscais</w:t>
      </w:r>
    </w:p>
    <w:p w14:paraId="413891A6" w14:textId="77777777" w:rsidR="002C6574" w:rsidRDefault="002C6574">
      <w:pPr>
        <w:pStyle w:val="Corpodetexto"/>
        <w:spacing w:before="75"/>
        <w:rPr>
          <w:rFonts w:ascii="Arial"/>
          <w:b/>
        </w:rPr>
      </w:pPr>
    </w:p>
    <w:p w14:paraId="3238602D" w14:textId="77777777" w:rsidR="002C6574" w:rsidRDefault="00000000">
      <w:pPr>
        <w:pStyle w:val="Corpodetexto"/>
        <w:spacing w:line="237" w:lineRule="auto"/>
        <w:ind w:left="143" w:right="703"/>
        <w:jc w:val="both"/>
      </w:pPr>
      <w:r>
        <w:t>O valor reconhecido como provisão é a melhor estimativa de desembolso exigido para liquidar a obrigação presente na data do balanço, com base na opinião dos administradores e consultores jurídicos internos</w:t>
      </w:r>
      <w:r>
        <w:rPr>
          <w:spacing w:val="-3"/>
        </w:rPr>
        <w:t xml:space="preserve"> </w:t>
      </w:r>
      <w:r>
        <w:t>e</w:t>
      </w:r>
      <w:r>
        <w:rPr>
          <w:spacing w:val="-5"/>
        </w:rPr>
        <w:t xml:space="preserve"> </w:t>
      </w:r>
      <w:r>
        <w:t>externos</w:t>
      </w:r>
      <w:r>
        <w:rPr>
          <w:spacing w:val="-3"/>
        </w:rPr>
        <w:t xml:space="preserve"> </w:t>
      </w:r>
      <w:r>
        <w:t>(quando</w:t>
      </w:r>
      <w:r>
        <w:rPr>
          <w:spacing w:val="-5"/>
        </w:rPr>
        <w:t xml:space="preserve"> </w:t>
      </w:r>
      <w:r>
        <w:t>cabível),</w:t>
      </w:r>
      <w:r>
        <w:rPr>
          <w:spacing w:val="-3"/>
        </w:rPr>
        <w:t xml:space="preserve"> </w:t>
      </w:r>
      <w:r>
        <w:t>sendo os</w:t>
      </w:r>
      <w:r>
        <w:rPr>
          <w:spacing w:val="-3"/>
        </w:rPr>
        <w:t xml:space="preserve"> </w:t>
      </w:r>
      <w:r>
        <w:t>valores</w:t>
      </w:r>
      <w:r>
        <w:rPr>
          <w:spacing w:val="-9"/>
        </w:rPr>
        <w:t xml:space="preserve"> </w:t>
      </w:r>
      <w:r>
        <w:t>registrados com</w:t>
      </w:r>
      <w:r>
        <w:rPr>
          <w:spacing w:val="-4"/>
        </w:rPr>
        <w:t xml:space="preserve"> </w:t>
      </w:r>
      <w:r>
        <w:t>base</w:t>
      </w:r>
      <w:r>
        <w:rPr>
          <w:spacing w:val="-5"/>
        </w:rPr>
        <w:t xml:space="preserve"> </w:t>
      </w:r>
      <w:r>
        <w:t>nas</w:t>
      </w:r>
      <w:r>
        <w:rPr>
          <w:spacing w:val="-3"/>
        </w:rPr>
        <w:t xml:space="preserve"> </w:t>
      </w:r>
      <w:r>
        <w:t>estimativas dos custos dos desfechos dos processos. (Nota Explicativa 21)</w:t>
      </w:r>
    </w:p>
    <w:p w14:paraId="37CE7424" w14:textId="77777777" w:rsidR="002C6574" w:rsidRDefault="002C6574">
      <w:pPr>
        <w:pStyle w:val="Corpodetexto"/>
        <w:spacing w:before="3"/>
      </w:pPr>
    </w:p>
    <w:p w14:paraId="064A6219" w14:textId="77777777" w:rsidR="002C6574" w:rsidRDefault="00000000">
      <w:pPr>
        <w:pStyle w:val="Corpodetexto"/>
        <w:spacing w:line="237" w:lineRule="auto"/>
        <w:ind w:left="143" w:right="704"/>
        <w:jc w:val="both"/>
      </w:pPr>
      <w:r>
        <w:t>O aumento da obrigação em decorrência da passagem do tempo é reconhecido como despesa financeira. (Nota Explicativa 32)</w:t>
      </w:r>
    </w:p>
    <w:p w14:paraId="6EA20477" w14:textId="77777777" w:rsidR="002C6574" w:rsidRDefault="002C6574">
      <w:pPr>
        <w:pStyle w:val="Corpodetexto"/>
        <w:spacing w:before="56"/>
      </w:pPr>
    </w:p>
    <w:p w14:paraId="58922996" w14:textId="77777777" w:rsidR="002C6574" w:rsidRDefault="00000000">
      <w:pPr>
        <w:numPr>
          <w:ilvl w:val="3"/>
          <w:numId w:val="54"/>
        </w:numPr>
        <w:tabs>
          <w:tab w:val="left" w:pos="1062"/>
        </w:tabs>
        <w:spacing w:before="1"/>
        <w:ind w:left="1062" w:hanging="919"/>
        <w:rPr>
          <w:rFonts w:ascii="Arial" w:hAnsi="Arial"/>
          <w:b/>
        </w:rPr>
      </w:pPr>
      <w:r>
        <w:rPr>
          <w:rFonts w:ascii="Arial" w:hAnsi="Arial"/>
          <w:b/>
        </w:rPr>
        <w:t>Benefícios</w:t>
      </w:r>
      <w:r>
        <w:rPr>
          <w:rFonts w:ascii="Arial" w:hAnsi="Arial"/>
          <w:b/>
          <w:spacing w:val="-1"/>
        </w:rPr>
        <w:t xml:space="preserve"> </w:t>
      </w:r>
      <w:r>
        <w:rPr>
          <w:rFonts w:ascii="Arial" w:hAnsi="Arial"/>
          <w:b/>
        </w:rPr>
        <w:t>a</w:t>
      </w:r>
      <w:r>
        <w:rPr>
          <w:rFonts w:ascii="Arial" w:hAnsi="Arial"/>
          <w:b/>
          <w:spacing w:val="-5"/>
        </w:rPr>
        <w:t xml:space="preserve"> </w:t>
      </w:r>
      <w:r>
        <w:rPr>
          <w:rFonts w:ascii="Arial" w:hAnsi="Arial"/>
          <w:b/>
          <w:spacing w:val="-2"/>
        </w:rPr>
        <w:t>empregados</w:t>
      </w:r>
    </w:p>
    <w:p w14:paraId="7A52501B" w14:textId="77777777" w:rsidR="002C6574" w:rsidRDefault="002C6574">
      <w:pPr>
        <w:pStyle w:val="Corpodetexto"/>
        <w:spacing w:before="101"/>
        <w:rPr>
          <w:rFonts w:ascii="Arial"/>
          <w:b/>
        </w:rPr>
      </w:pPr>
    </w:p>
    <w:p w14:paraId="42D81C3C" w14:textId="77777777" w:rsidR="002C6574" w:rsidRDefault="00000000">
      <w:pPr>
        <w:pStyle w:val="PargrafodaLista"/>
        <w:numPr>
          <w:ilvl w:val="4"/>
          <w:numId w:val="54"/>
        </w:numPr>
        <w:tabs>
          <w:tab w:val="left" w:pos="1282"/>
        </w:tabs>
        <w:ind w:left="1282" w:hanging="1139"/>
        <w:rPr>
          <w:rFonts w:ascii="Arial" w:hAnsi="Arial"/>
          <w:b/>
        </w:rPr>
      </w:pPr>
      <w:r>
        <w:rPr>
          <w:rFonts w:ascii="Arial" w:hAnsi="Arial"/>
          <w:b/>
        </w:rPr>
        <w:t>Benefícios</w:t>
      </w:r>
      <w:r>
        <w:rPr>
          <w:rFonts w:ascii="Arial" w:hAnsi="Arial"/>
          <w:b/>
          <w:spacing w:val="-4"/>
        </w:rPr>
        <w:t xml:space="preserve"> </w:t>
      </w:r>
      <w:r>
        <w:rPr>
          <w:rFonts w:ascii="Arial" w:hAnsi="Arial"/>
          <w:b/>
        </w:rPr>
        <w:t>de</w:t>
      </w:r>
      <w:r>
        <w:rPr>
          <w:rFonts w:ascii="Arial" w:hAnsi="Arial"/>
          <w:b/>
          <w:spacing w:val="-6"/>
        </w:rPr>
        <w:t xml:space="preserve"> </w:t>
      </w:r>
      <w:r>
        <w:rPr>
          <w:rFonts w:ascii="Arial" w:hAnsi="Arial"/>
          <w:b/>
        </w:rPr>
        <w:t>curto</w:t>
      </w:r>
      <w:r>
        <w:rPr>
          <w:rFonts w:ascii="Arial" w:hAnsi="Arial"/>
          <w:b/>
          <w:spacing w:val="-2"/>
        </w:rPr>
        <w:t xml:space="preserve"> prazo</w:t>
      </w:r>
    </w:p>
    <w:p w14:paraId="77C01085" w14:textId="77777777" w:rsidR="002C6574" w:rsidRDefault="002C6574">
      <w:pPr>
        <w:pStyle w:val="Corpodetexto"/>
        <w:spacing w:before="75"/>
        <w:rPr>
          <w:rFonts w:ascii="Arial"/>
          <w:b/>
        </w:rPr>
      </w:pPr>
    </w:p>
    <w:p w14:paraId="1E46BFA5" w14:textId="77777777" w:rsidR="002C6574" w:rsidRDefault="00000000">
      <w:pPr>
        <w:pStyle w:val="Corpodetexto"/>
        <w:spacing w:line="237" w:lineRule="auto"/>
        <w:ind w:left="143" w:right="704"/>
        <w:jc w:val="both"/>
      </w:pPr>
      <w:r>
        <w:t>Obrigações de benefícios de curto prazo a empregados são mensuradas em uma base não descontada e são incorridas como despesas, conforme o serviço relacionado seja prestado.</w:t>
      </w:r>
    </w:p>
    <w:p w14:paraId="1B32E433" w14:textId="77777777" w:rsidR="002C6574" w:rsidRDefault="00000000">
      <w:pPr>
        <w:pStyle w:val="Corpodetexto"/>
        <w:spacing w:before="289"/>
        <w:ind w:left="143" w:right="704"/>
        <w:jc w:val="both"/>
      </w:pPr>
      <w:r>
        <w:t>O passivo é reconhecido pelo valor esperado a ser pago aos planos de bonificação, em espécie ou em</w:t>
      </w:r>
      <w:r>
        <w:rPr>
          <w:spacing w:val="-5"/>
        </w:rPr>
        <w:t xml:space="preserve"> </w:t>
      </w:r>
      <w:r>
        <w:t>participação</w:t>
      </w:r>
      <w:r>
        <w:rPr>
          <w:spacing w:val="-7"/>
        </w:rPr>
        <w:t xml:space="preserve"> </w:t>
      </w:r>
      <w:r>
        <w:t>nos</w:t>
      </w:r>
      <w:r>
        <w:rPr>
          <w:spacing w:val="-9"/>
        </w:rPr>
        <w:t xml:space="preserve"> </w:t>
      </w:r>
      <w:r>
        <w:t>lucros</w:t>
      </w:r>
      <w:r>
        <w:rPr>
          <w:spacing w:val="-9"/>
        </w:rPr>
        <w:t xml:space="preserve"> </w:t>
      </w:r>
      <w:r>
        <w:t>de</w:t>
      </w:r>
      <w:r>
        <w:rPr>
          <w:spacing w:val="-7"/>
        </w:rPr>
        <w:t xml:space="preserve"> </w:t>
      </w:r>
      <w:r>
        <w:t>curto</w:t>
      </w:r>
      <w:r>
        <w:rPr>
          <w:spacing w:val="-7"/>
        </w:rPr>
        <w:t xml:space="preserve"> </w:t>
      </w:r>
      <w:r>
        <w:t>prazo,</w:t>
      </w:r>
      <w:r>
        <w:rPr>
          <w:spacing w:val="-6"/>
        </w:rPr>
        <w:t xml:space="preserve"> </w:t>
      </w:r>
      <w:r>
        <w:t>se</w:t>
      </w:r>
      <w:r>
        <w:rPr>
          <w:spacing w:val="-8"/>
        </w:rPr>
        <w:t xml:space="preserve"> </w:t>
      </w:r>
      <w:r>
        <w:t>a</w:t>
      </w:r>
      <w:r>
        <w:rPr>
          <w:spacing w:val="-8"/>
        </w:rPr>
        <w:t xml:space="preserve"> </w:t>
      </w:r>
      <w:r>
        <w:t>Companhia</w:t>
      </w:r>
      <w:r>
        <w:rPr>
          <w:spacing w:val="-8"/>
        </w:rPr>
        <w:t xml:space="preserve"> </w:t>
      </w:r>
      <w:r>
        <w:t>tem</w:t>
      </w:r>
      <w:r>
        <w:rPr>
          <w:spacing w:val="-8"/>
        </w:rPr>
        <w:t xml:space="preserve"> </w:t>
      </w:r>
      <w:r>
        <w:t>uma</w:t>
      </w:r>
      <w:r>
        <w:rPr>
          <w:spacing w:val="-7"/>
        </w:rPr>
        <w:t xml:space="preserve"> </w:t>
      </w:r>
      <w:r>
        <w:t>obrigação,</w:t>
      </w:r>
      <w:r>
        <w:rPr>
          <w:spacing w:val="-7"/>
        </w:rPr>
        <w:t xml:space="preserve"> </w:t>
      </w:r>
      <w:r>
        <w:t>em</w:t>
      </w:r>
      <w:r>
        <w:rPr>
          <w:spacing w:val="-9"/>
        </w:rPr>
        <w:t xml:space="preserve"> </w:t>
      </w:r>
      <w:r>
        <w:t>função</w:t>
      </w:r>
      <w:r>
        <w:rPr>
          <w:spacing w:val="-7"/>
        </w:rPr>
        <w:t xml:space="preserve"> </w:t>
      </w:r>
      <w:r>
        <w:t>de</w:t>
      </w:r>
      <w:r>
        <w:rPr>
          <w:spacing w:val="-8"/>
        </w:rPr>
        <w:t xml:space="preserve"> </w:t>
      </w:r>
      <w:r>
        <w:t>serviço prestado pelo empregado, que possa ser estimada de maneira confiável.</w:t>
      </w:r>
    </w:p>
    <w:p w14:paraId="0A694868" w14:textId="77777777" w:rsidR="002C6574" w:rsidRDefault="002C6574">
      <w:pPr>
        <w:pStyle w:val="Corpodetexto"/>
        <w:spacing w:before="51"/>
      </w:pPr>
    </w:p>
    <w:p w14:paraId="040B6306" w14:textId="77777777" w:rsidR="002C6574" w:rsidRDefault="00000000">
      <w:pPr>
        <w:numPr>
          <w:ilvl w:val="4"/>
          <w:numId w:val="54"/>
        </w:numPr>
        <w:tabs>
          <w:tab w:val="left" w:pos="1282"/>
        </w:tabs>
        <w:ind w:left="1282" w:hanging="1139"/>
        <w:rPr>
          <w:rFonts w:ascii="Arial" w:hAnsi="Arial"/>
          <w:b/>
        </w:rPr>
      </w:pPr>
      <w:r>
        <w:rPr>
          <w:rFonts w:ascii="Arial" w:hAnsi="Arial"/>
          <w:b/>
        </w:rPr>
        <w:t>Benefícios</w:t>
      </w:r>
      <w:r>
        <w:rPr>
          <w:rFonts w:ascii="Arial" w:hAnsi="Arial"/>
          <w:b/>
          <w:spacing w:val="-9"/>
        </w:rPr>
        <w:t xml:space="preserve"> </w:t>
      </w:r>
      <w:r>
        <w:rPr>
          <w:rFonts w:ascii="Arial" w:hAnsi="Arial"/>
          <w:b/>
        </w:rPr>
        <w:t>pós-</w:t>
      </w:r>
      <w:r>
        <w:rPr>
          <w:rFonts w:ascii="Arial" w:hAnsi="Arial"/>
          <w:b/>
          <w:spacing w:val="-2"/>
        </w:rPr>
        <w:t>emprego</w:t>
      </w:r>
    </w:p>
    <w:p w14:paraId="43E29B38" w14:textId="77777777" w:rsidR="002C6574" w:rsidRDefault="002C6574">
      <w:pPr>
        <w:pStyle w:val="Corpodetexto"/>
        <w:spacing w:before="75"/>
        <w:rPr>
          <w:rFonts w:ascii="Arial"/>
          <w:b/>
        </w:rPr>
      </w:pPr>
    </w:p>
    <w:p w14:paraId="67699C77" w14:textId="77777777" w:rsidR="002C6574" w:rsidRDefault="00000000">
      <w:pPr>
        <w:pStyle w:val="Corpodetexto"/>
        <w:spacing w:line="237" w:lineRule="auto"/>
        <w:ind w:left="143" w:right="704"/>
        <w:jc w:val="both"/>
      </w:pPr>
      <w:r>
        <w:t>Os</w:t>
      </w:r>
      <w:r>
        <w:rPr>
          <w:spacing w:val="-9"/>
        </w:rPr>
        <w:t xml:space="preserve"> </w:t>
      </w:r>
      <w:r>
        <w:t>planos</w:t>
      </w:r>
      <w:r>
        <w:rPr>
          <w:spacing w:val="-7"/>
        </w:rPr>
        <w:t xml:space="preserve"> </w:t>
      </w:r>
      <w:r>
        <w:t>de</w:t>
      </w:r>
      <w:r>
        <w:rPr>
          <w:spacing w:val="-8"/>
        </w:rPr>
        <w:t xml:space="preserve"> </w:t>
      </w:r>
      <w:r>
        <w:t>previdência</w:t>
      </w:r>
      <w:r>
        <w:rPr>
          <w:spacing w:val="-8"/>
        </w:rPr>
        <w:t xml:space="preserve"> </w:t>
      </w:r>
      <w:r>
        <w:t>privada</w:t>
      </w:r>
      <w:r>
        <w:rPr>
          <w:spacing w:val="-11"/>
        </w:rPr>
        <w:t xml:space="preserve"> </w:t>
      </w:r>
      <w:r>
        <w:t>e</w:t>
      </w:r>
      <w:r>
        <w:rPr>
          <w:spacing w:val="-11"/>
        </w:rPr>
        <w:t xml:space="preserve"> </w:t>
      </w:r>
      <w:r>
        <w:t>outros</w:t>
      </w:r>
      <w:r>
        <w:rPr>
          <w:spacing w:val="-9"/>
        </w:rPr>
        <w:t xml:space="preserve"> </w:t>
      </w:r>
      <w:r>
        <w:t>benefícios</w:t>
      </w:r>
      <w:r>
        <w:rPr>
          <w:spacing w:val="-7"/>
        </w:rPr>
        <w:t xml:space="preserve"> </w:t>
      </w:r>
      <w:r>
        <w:t>de</w:t>
      </w:r>
      <w:r>
        <w:rPr>
          <w:spacing w:val="-8"/>
        </w:rPr>
        <w:t xml:space="preserve"> </w:t>
      </w:r>
      <w:r>
        <w:t>aposentadoria</w:t>
      </w:r>
      <w:r>
        <w:rPr>
          <w:spacing w:val="-8"/>
        </w:rPr>
        <w:t xml:space="preserve"> </w:t>
      </w:r>
      <w:r>
        <w:t>patrocinados</w:t>
      </w:r>
      <w:r>
        <w:rPr>
          <w:spacing w:val="-7"/>
        </w:rPr>
        <w:t xml:space="preserve"> </w:t>
      </w:r>
      <w:r>
        <w:t>pela</w:t>
      </w:r>
      <w:r>
        <w:rPr>
          <w:spacing w:val="-8"/>
        </w:rPr>
        <w:t xml:space="preserve"> </w:t>
      </w:r>
      <w:r>
        <w:t>Companhia em benefício de seus empregados são administrados pela Fundação Sistel de Seguridade Social. As contribuições são determinadas com base em cálculos atuariais e, quando aplicável, contabilizadas contra o resultado de acordo com o regime de competência.</w:t>
      </w:r>
    </w:p>
    <w:p w14:paraId="59A47B5D" w14:textId="77777777" w:rsidR="002C6574" w:rsidRDefault="002C6574">
      <w:pPr>
        <w:pStyle w:val="Corpodetexto"/>
        <w:spacing w:before="3"/>
      </w:pPr>
    </w:p>
    <w:p w14:paraId="161D7B79" w14:textId="77777777" w:rsidR="002C6574" w:rsidRDefault="00000000">
      <w:pPr>
        <w:pStyle w:val="Corpodetexto"/>
        <w:spacing w:line="237" w:lineRule="auto"/>
        <w:ind w:left="143" w:right="704"/>
        <w:jc w:val="both"/>
      </w:pPr>
      <w:r>
        <w:t>A Companhia conta com planos de benefícios definidos e contribuições variáveis, além do Plano de Assistência Médica ao Aposentado.</w:t>
      </w:r>
    </w:p>
    <w:p w14:paraId="04169EE3" w14:textId="77777777" w:rsidR="002C6574" w:rsidRDefault="00000000">
      <w:pPr>
        <w:pStyle w:val="Corpodetexto"/>
        <w:spacing w:before="292" w:line="237" w:lineRule="auto"/>
        <w:ind w:left="143" w:right="702"/>
        <w:jc w:val="both"/>
      </w:pPr>
      <w:r>
        <w:t>No plano de</w:t>
      </w:r>
      <w:r>
        <w:rPr>
          <w:spacing w:val="-1"/>
        </w:rPr>
        <w:t xml:space="preserve"> </w:t>
      </w:r>
      <w:r>
        <w:t>Contribuição Variável:</w:t>
      </w:r>
      <w:r>
        <w:rPr>
          <w:spacing w:val="-2"/>
        </w:rPr>
        <w:t xml:space="preserve"> </w:t>
      </w:r>
      <w:r>
        <w:t>modalidade de plano em que o valor do Benefício Programado</w:t>
      </w:r>
      <w:r>
        <w:rPr>
          <w:spacing w:val="-2"/>
        </w:rPr>
        <w:t xml:space="preserve"> </w:t>
      </w:r>
      <w:r>
        <w:t xml:space="preserve">é calculado atuarialmente com base no montante acumulado na conta individual do Participante durante o período contributivo, apurado pelas contribuições vertidas pelo Participante e pela Patrocinadora, conforme disposto no regulamento do Plano, além da rentabilidade no período de </w:t>
      </w:r>
      <w:r>
        <w:rPr>
          <w:spacing w:val="-2"/>
        </w:rPr>
        <w:t>capitalização.</w:t>
      </w:r>
    </w:p>
    <w:p w14:paraId="72DA1A57" w14:textId="77777777" w:rsidR="002C6574" w:rsidRDefault="002C6574">
      <w:pPr>
        <w:pStyle w:val="Corpodetexto"/>
        <w:spacing w:line="237" w:lineRule="auto"/>
        <w:jc w:val="both"/>
        <w:sectPr w:rsidR="002C6574">
          <w:pgSz w:w="11910" w:h="16840"/>
          <w:pgMar w:top="1600" w:right="141" w:bottom="1480" w:left="1133" w:header="856" w:footer="1296" w:gutter="0"/>
          <w:cols w:space="720"/>
        </w:sectPr>
      </w:pPr>
    </w:p>
    <w:p w14:paraId="34317E6E" w14:textId="77777777" w:rsidR="002C6574" w:rsidRDefault="002C6574">
      <w:pPr>
        <w:pStyle w:val="Corpodetexto"/>
        <w:spacing w:before="195"/>
      </w:pPr>
    </w:p>
    <w:p w14:paraId="69CC217E" w14:textId="77777777" w:rsidR="002C6574" w:rsidRDefault="00000000">
      <w:pPr>
        <w:pStyle w:val="Corpodetexto"/>
        <w:spacing w:before="1"/>
        <w:ind w:left="143" w:right="703"/>
        <w:jc w:val="both"/>
      </w:pPr>
      <w:r>
        <w:t>O benefício definido é calculado anualmente por atuários independentes, que utilizam o método de crédito</w:t>
      </w:r>
      <w:r>
        <w:rPr>
          <w:spacing w:val="-2"/>
        </w:rPr>
        <w:t xml:space="preserve"> </w:t>
      </w:r>
      <w:r>
        <w:t>de</w:t>
      </w:r>
      <w:r>
        <w:rPr>
          <w:spacing w:val="-4"/>
        </w:rPr>
        <w:t xml:space="preserve"> </w:t>
      </w:r>
      <w:r>
        <w:t>unidade</w:t>
      </w:r>
      <w:r>
        <w:rPr>
          <w:spacing w:val="-1"/>
        </w:rPr>
        <w:t xml:space="preserve"> </w:t>
      </w:r>
      <w:r>
        <w:t>projetada.</w:t>
      </w:r>
      <w:r>
        <w:rPr>
          <w:spacing w:val="-2"/>
        </w:rPr>
        <w:t xml:space="preserve"> </w:t>
      </w:r>
      <w:r>
        <w:t>O</w:t>
      </w:r>
      <w:r>
        <w:rPr>
          <w:spacing w:val="-1"/>
        </w:rPr>
        <w:t xml:space="preserve"> </w:t>
      </w:r>
      <w:r>
        <w:t>valor</w:t>
      </w:r>
      <w:r>
        <w:rPr>
          <w:spacing w:val="-2"/>
        </w:rPr>
        <w:t xml:space="preserve"> </w:t>
      </w:r>
      <w:r>
        <w:t>presente</w:t>
      </w:r>
      <w:r>
        <w:rPr>
          <w:spacing w:val="-4"/>
        </w:rPr>
        <w:t xml:space="preserve"> </w:t>
      </w:r>
      <w:r>
        <w:t>do</w:t>
      </w:r>
      <w:r>
        <w:rPr>
          <w:spacing w:val="-4"/>
        </w:rPr>
        <w:t xml:space="preserve"> </w:t>
      </w:r>
      <w:r>
        <w:t>benefício</w:t>
      </w:r>
      <w:r>
        <w:rPr>
          <w:spacing w:val="-1"/>
        </w:rPr>
        <w:t xml:space="preserve"> </w:t>
      </w:r>
      <w:r>
        <w:t>definido</w:t>
      </w:r>
      <w:r>
        <w:rPr>
          <w:spacing w:val="-3"/>
        </w:rPr>
        <w:t xml:space="preserve"> </w:t>
      </w:r>
      <w:r>
        <w:t>é</w:t>
      </w:r>
      <w:r>
        <w:rPr>
          <w:spacing w:val="-1"/>
        </w:rPr>
        <w:t xml:space="preserve"> </w:t>
      </w:r>
      <w:r>
        <w:t>determinado</w:t>
      </w:r>
      <w:r>
        <w:rPr>
          <w:spacing w:val="-3"/>
        </w:rPr>
        <w:t xml:space="preserve"> </w:t>
      </w:r>
      <w:r>
        <w:t>descontando-se as saídas de caixa futuras estimadas, utilizando a projeção da taxa de inflação acrescida de juros de longo prazo. A</w:t>
      </w:r>
      <w:r>
        <w:rPr>
          <w:spacing w:val="-3"/>
        </w:rPr>
        <w:t xml:space="preserve"> </w:t>
      </w:r>
      <w:r>
        <w:t>obrigação</w:t>
      </w:r>
      <w:r>
        <w:rPr>
          <w:spacing w:val="-1"/>
        </w:rPr>
        <w:t xml:space="preserve"> </w:t>
      </w:r>
      <w:r>
        <w:t>reconhecida no balanço, no que</w:t>
      </w:r>
      <w:r>
        <w:rPr>
          <w:spacing w:val="-5"/>
        </w:rPr>
        <w:t xml:space="preserve"> </w:t>
      </w:r>
      <w:r>
        <w:t>tange aos</w:t>
      </w:r>
      <w:r>
        <w:rPr>
          <w:spacing w:val="-1"/>
        </w:rPr>
        <w:t xml:space="preserve"> </w:t>
      </w:r>
      <w:r>
        <w:t>planos</w:t>
      </w:r>
      <w:r>
        <w:rPr>
          <w:spacing w:val="-1"/>
        </w:rPr>
        <w:t xml:space="preserve"> </w:t>
      </w:r>
      <w:r>
        <w:t>de pensão de</w:t>
      </w:r>
      <w:r>
        <w:rPr>
          <w:spacing w:val="-1"/>
        </w:rPr>
        <w:t xml:space="preserve"> </w:t>
      </w:r>
      <w:r>
        <w:t>benefícios definidos</w:t>
      </w:r>
      <w:r>
        <w:rPr>
          <w:spacing w:val="-5"/>
        </w:rPr>
        <w:t xml:space="preserve"> </w:t>
      </w:r>
      <w:r>
        <w:t>que</w:t>
      </w:r>
      <w:r>
        <w:rPr>
          <w:spacing w:val="-5"/>
        </w:rPr>
        <w:t xml:space="preserve"> </w:t>
      </w:r>
      <w:r>
        <w:t>são</w:t>
      </w:r>
      <w:r>
        <w:rPr>
          <w:spacing w:val="-5"/>
        </w:rPr>
        <w:t xml:space="preserve"> </w:t>
      </w:r>
      <w:r>
        <w:t>deficitários,</w:t>
      </w:r>
      <w:r>
        <w:rPr>
          <w:spacing w:val="-2"/>
        </w:rPr>
        <w:t xml:space="preserve"> </w:t>
      </w:r>
      <w:r>
        <w:t>corresponde</w:t>
      </w:r>
      <w:r>
        <w:rPr>
          <w:spacing w:val="-5"/>
        </w:rPr>
        <w:t xml:space="preserve"> </w:t>
      </w:r>
      <w:r>
        <w:t>ao</w:t>
      </w:r>
      <w:r>
        <w:rPr>
          <w:spacing w:val="-6"/>
        </w:rPr>
        <w:t xml:space="preserve"> </w:t>
      </w:r>
      <w:r>
        <w:t>valor</w:t>
      </w:r>
      <w:r>
        <w:rPr>
          <w:spacing w:val="-3"/>
        </w:rPr>
        <w:t xml:space="preserve"> </w:t>
      </w:r>
      <w:r>
        <w:t>presente</w:t>
      </w:r>
      <w:r>
        <w:rPr>
          <w:spacing w:val="-5"/>
        </w:rPr>
        <w:t xml:space="preserve"> </w:t>
      </w:r>
      <w:r>
        <w:t>dos</w:t>
      </w:r>
      <w:r>
        <w:rPr>
          <w:spacing w:val="-5"/>
        </w:rPr>
        <w:t xml:space="preserve"> </w:t>
      </w:r>
      <w:r>
        <w:t>benefícios</w:t>
      </w:r>
      <w:r>
        <w:rPr>
          <w:spacing w:val="-5"/>
        </w:rPr>
        <w:t xml:space="preserve"> </w:t>
      </w:r>
      <w:r>
        <w:t>definidos,</w:t>
      </w:r>
      <w:r>
        <w:rPr>
          <w:spacing w:val="-7"/>
        </w:rPr>
        <w:t xml:space="preserve"> </w:t>
      </w:r>
      <w:r>
        <w:t>menos</w:t>
      </w:r>
      <w:r>
        <w:rPr>
          <w:spacing w:val="-7"/>
        </w:rPr>
        <w:t xml:space="preserve"> </w:t>
      </w:r>
      <w:r>
        <w:t>o</w:t>
      </w:r>
      <w:r>
        <w:rPr>
          <w:spacing w:val="-6"/>
        </w:rPr>
        <w:t xml:space="preserve"> </w:t>
      </w:r>
      <w:r>
        <w:t>valor justo dos ativos do plano.</w:t>
      </w:r>
    </w:p>
    <w:p w14:paraId="572DCF51" w14:textId="77777777" w:rsidR="002C6574" w:rsidRDefault="00000000">
      <w:pPr>
        <w:pStyle w:val="Corpodetexto"/>
        <w:spacing w:before="282"/>
        <w:ind w:left="143" w:right="703"/>
        <w:jc w:val="both"/>
      </w:pPr>
      <w:r>
        <w:t xml:space="preserve">Os ganhos e as perdas resultantes das alterações nas avaliações atuariais dos planos de aposentadoria, cujas obrigações atuariais ou ativos atuariais são registrados pela Companhia, são reconhecidos integralmente em outros resultados abrangentes no patrimônio líquido, quando </w:t>
      </w:r>
      <w:r>
        <w:rPr>
          <w:spacing w:val="-2"/>
        </w:rPr>
        <w:t>aplicável.</w:t>
      </w:r>
    </w:p>
    <w:p w14:paraId="13772986" w14:textId="77777777" w:rsidR="002C6574" w:rsidRDefault="00000000">
      <w:pPr>
        <w:pStyle w:val="Corpodetexto"/>
        <w:spacing w:before="286" w:line="237" w:lineRule="auto"/>
        <w:ind w:left="143" w:right="703"/>
        <w:jc w:val="both"/>
      </w:pPr>
      <w:r>
        <w:t>O ativo, quando reconhecido no balanço, corresponde ao valor presente dos benefícios econômicos disponíveis, na forma de restituições ou de reduções em contribuições futuras para o plano.</w:t>
      </w:r>
    </w:p>
    <w:p w14:paraId="5D80BE03" w14:textId="77777777" w:rsidR="002C6574" w:rsidRDefault="002C6574">
      <w:pPr>
        <w:pStyle w:val="Corpodetexto"/>
        <w:spacing w:before="56"/>
      </w:pPr>
    </w:p>
    <w:p w14:paraId="2F066C1B" w14:textId="77777777" w:rsidR="002C6574" w:rsidRDefault="00000000">
      <w:pPr>
        <w:numPr>
          <w:ilvl w:val="3"/>
          <w:numId w:val="54"/>
        </w:numPr>
        <w:tabs>
          <w:tab w:val="left" w:pos="1062"/>
        </w:tabs>
        <w:spacing w:before="1"/>
        <w:ind w:left="1062" w:hanging="919"/>
        <w:jc w:val="both"/>
        <w:rPr>
          <w:rFonts w:ascii="Arial" w:hAnsi="Arial"/>
          <w:b/>
        </w:rPr>
      </w:pPr>
      <w:r>
        <w:rPr>
          <w:rFonts w:ascii="Arial" w:hAnsi="Arial"/>
          <w:b/>
        </w:rPr>
        <w:t>Programa</w:t>
      </w:r>
      <w:r>
        <w:rPr>
          <w:rFonts w:ascii="Arial" w:hAnsi="Arial"/>
          <w:b/>
          <w:spacing w:val="-9"/>
        </w:rPr>
        <w:t xml:space="preserve"> </w:t>
      </w:r>
      <w:r>
        <w:rPr>
          <w:rFonts w:ascii="Arial" w:hAnsi="Arial"/>
          <w:b/>
        </w:rPr>
        <w:t>de</w:t>
      </w:r>
      <w:r>
        <w:rPr>
          <w:rFonts w:ascii="Arial" w:hAnsi="Arial"/>
          <w:b/>
          <w:spacing w:val="-6"/>
        </w:rPr>
        <w:t xml:space="preserve"> </w:t>
      </w:r>
      <w:r>
        <w:rPr>
          <w:rFonts w:ascii="Arial" w:hAnsi="Arial"/>
          <w:b/>
        </w:rPr>
        <w:t>indenização</w:t>
      </w:r>
      <w:r>
        <w:rPr>
          <w:rFonts w:ascii="Arial" w:hAnsi="Arial"/>
          <w:b/>
          <w:spacing w:val="-5"/>
        </w:rPr>
        <w:t xml:space="preserve"> </w:t>
      </w:r>
      <w:r>
        <w:rPr>
          <w:rFonts w:ascii="Arial" w:hAnsi="Arial"/>
          <w:b/>
        </w:rPr>
        <w:t>por</w:t>
      </w:r>
      <w:r>
        <w:rPr>
          <w:rFonts w:ascii="Arial" w:hAnsi="Arial"/>
          <w:b/>
          <w:spacing w:val="-3"/>
        </w:rPr>
        <w:t xml:space="preserve"> </w:t>
      </w:r>
      <w:r>
        <w:rPr>
          <w:rFonts w:ascii="Arial" w:hAnsi="Arial"/>
          <w:b/>
        </w:rPr>
        <w:t>serviços</w:t>
      </w:r>
      <w:r>
        <w:rPr>
          <w:rFonts w:ascii="Arial" w:hAnsi="Arial"/>
          <w:b/>
          <w:spacing w:val="-5"/>
        </w:rPr>
        <w:t xml:space="preserve"> </w:t>
      </w:r>
      <w:r>
        <w:rPr>
          <w:rFonts w:ascii="Arial" w:hAnsi="Arial"/>
          <w:b/>
        </w:rPr>
        <w:t>prestados</w:t>
      </w:r>
      <w:r>
        <w:rPr>
          <w:rFonts w:ascii="Arial" w:hAnsi="Arial"/>
          <w:b/>
          <w:spacing w:val="-6"/>
        </w:rPr>
        <w:t xml:space="preserve"> </w:t>
      </w:r>
      <w:r>
        <w:rPr>
          <w:rFonts w:ascii="Arial" w:hAnsi="Arial"/>
          <w:b/>
          <w:spacing w:val="-2"/>
        </w:rPr>
        <w:t>(PISP)</w:t>
      </w:r>
    </w:p>
    <w:p w14:paraId="246E1AAE" w14:textId="77777777" w:rsidR="002C6574" w:rsidRDefault="002C6574">
      <w:pPr>
        <w:pStyle w:val="Corpodetexto"/>
        <w:spacing w:before="70"/>
        <w:rPr>
          <w:rFonts w:ascii="Arial"/>
          <w:b/>
        </w:rPr>
      </w:pPr>
    </w:p>
    <w:p w14:paraId="2F025B01" w14:textId="77777777" w:rsidR="002C6574" w:rsidRDefault="00000000">
      <w:pPr>
        <w:pStyle w:val="Corpodetexto"/>
        <w:ind w:left="143" w:right="703"/>
        <w:jc w:val="both"/>
      </w:pPr>
      <w:r>
        <w:t>O programa de indenização por serviços prestados (PISP) foi constituído pela Telebrás em 1998, no contexto</w:t>
      </w:r>
      <w:r>
        <w:rPr>
          <w:spacing w:val="-4"/>
        </w:rPr>
        <w:t xml:space="preserve"> </w:t>
      </w:r>
      <w:r>
        <w:t>da</w:t>
      </w:r>
      <w:r>
        <w:rPr>
          <w:spacing w:val="-4"/>
        </w:rPr>
        <w:t xml:space="preserve"> </w:t>
      </w:r>
      <w:r>
        <w:t>privatização</w:t>
      </w:r>
      <w:r>
        <w:rPr>
          <w:spacing w:val="-9"/>
        </w:rPr>
        <w:t xml:space="preserve"> </w:t>
      </w:r>
      <w:r>
        <w:t>e</w:t>
      </w:r>
      <w:r>
        <w:rPr>
          <w:spacing w:val="-3"/>
        </w:rPr>
        <w:t xml:space="preserve"> </w:t>
      </w:r>
      <w:r>
        <w:t>reestruturação</w:t>
      </w:r>
      <w:r>
        <w:rPr>
          <w:spacing w:val="-3"/>
        </w:rPr>
        <w:t xml:space="preserve"> </w:t>
      </w:r>
      <w:r>
        <w:t>do</w:t>
      </w:r>
      <w:r>
        <w:rPr>
          <w:spacing w:val="-4"/>
        </w:rPr>
        <w:t xml:space="preserve"> </w:t>
      </w:r>
      <w:r>
        <w:t>setor</w:t>
      </w:r>
      <w:r>
        <w:rPr>
          <w:spacing w:val="-3"/>
        </w:rPr>
        <w:t xml:space="preserve"> </w:t>
      </w:r>
      <w:r>
        <w:t>de</w:t>
      </w:r>
      <w:r>
        <w:rPr>
          <w:spacing w:val="-5"/>
        </w:rPr>
        <w:t xml:space="preserve"> </w:t>
      </w:r>
      <w:r>
        <w:t>telecomunicações</w:t>
      </w:r>
      <w:r>
        <w:rPr>
          <w:spacing w:val="-5"/>
        </w:rPr>
        <w:t xml:space="preserve"> </w:t>
      </w:r>
      <w:r>
        <w:t>brasileiro,</w:t>
      </w:r>
      <w:r>
        <w:rPr>
          <w:spacing w:val="-1"/>
        </w:rPr>
        <w:t xml:space="preserve"> </w:t>
      </w:r>
      <w:r>
        <w:t>com</w:t>
      </w:r>
      <w:r>
        <w:rPr>
          <w:spacing w:val="-2"/>
        </w:rPr>
        <w:t xml:space="preserve"> </w:t>
      </w:r>
      <w:r>
        <w:t>o</w:t>
      </w:r>
      <w:r>
        <w:rPr>
          <w:spacing w:val="-5"/>
        </w:rPr>
        <w:t xml:space="preserve"> </w:t>
      </w:r>
      <w:r>
        <w:t>objetivo</w:t>
      </w:r>
      <w:r>
        <w:rPr>
          <w:spacing w:val="-7"/>
        </w:rPr>
        <w:t xml:space="preserve"> </w:t>
      </w:r>
      <w:r>
        <w:t>de proporcionar suporte financeiro para os colaboradores que, em face da iminente dissolução da empresa, deveriam buscar recolocação no mercado de trabalho (Nota Explicativa 16).</w:t>
      </w:r>
    </w:p>
    <w:p w14:paraId="086A0E62" w14:textId="77777777" w:rsidR="002C6574" w:rsidRDefault="00000000">
      <w:pPr>
        <w:pStyle w:val="Corpodetexto"/>
        <w:spacing w:before="231"/>
        <w:ind w:left="143" w:right="703"/>
        <w:jc w:val="both"/>
      </w:pPr>
      <w:r>
        <w:t>O programa, ainda em vigor, contempla benefícios aos colaboradores a serem concedidos, quando se desligarem da Companhia. O programa é constituído das seguintes vantagens, acrescidas às verbas rescisórias de praxe:</w:t>
      </w:r>
    </w:p>
    <w:p w14:paraId="67B670FC" w14:textId="77777777" w:rsidR="002C6574" w:rsidRDefault="002C6574">
      <w:pPr>
        <w:pStyle w:val="Corpodetexto"/>
        <w:spacing w:before="24"/>
      </w:pPr>
    </w:p>
    <w:p w14:paraId="5D1953E7" w14:textId="77777777" w:rsidR="002C6574" w:rsidRDefault="00000000">
      <w:pPr>
        <w:pStyle w:val="PargrafodaLista"/>
        <w:numPr>
          <w:ilvl w:val="0"/>
          <w:numId w:val="51"/>
        </w:numPr>
        <w:tabs>
          <w:tab w:val="left" w:pos="337"/>
        </w:tabs>
        <w:spacing w:line="208" w:lineRule="auto"/>
        <w:ind w:right="701" w:firstLine="0"/>
        <w:jc w:val="both"/>
        <w:rPr>
          <w:rFonts w:ascii="Segoe UI Symbol" w:hAnsi="Segoe UI Symbol"/>
        </w:rPr>
      </w:pPr>
      <w:r>
        <w:rPr>
          <w:rFonts w:ascii="Segoe UI Symbol" w:hAnsi="Segoe UI Symbol"/>
        </w:rPr>
        <w:t xml:space="preserve">indenização pecuniária: 12 (doze) vezes o salário e anuênio percebidos pelo colaborador no mês de seu desligamento, acrescido de 1% (um por cento) por ano de serviço prestado ao Sistema </w:t>
      </w:r>
      <w:r>
        <w:rPr>
          <w:rFonts w:ascii="Segoe UI Symbol" w:hAnsi="Segoe UI Symbol"/>
          <w:spacing w:val="-2"/>
        </w:rPr>
        <w:t>Telebrás;</w:t>
      </w:r>
    </w:p>
    <w:p w14:paraId="2FB4B563" w14:textId="77777777" w:rsidR="002C6574" w:rsidRDefault="00000000">
      <w:pPr>
        <w:pStyle w:val="PargrafodaLista"/>
        <w:numPr>
          <w:ilvl w:val="0"/>
          <w:numId w:val="51"/>
        </w:numPr>
        <w:tabs>
          <w:tab w:val="left" w:pos="373"/>
        </w:tabs>
        <w:spacing w:before="218"/>
        <w:ind w:left="373" w:hanging="230"/>
        <w:jc w:val="both"/>
        <w:rPr>
          <w:rFonts w:ascii="Segoe UI Symbol" w:hAnsi="Segoe UI Symbol"/>
        </w:rPr>
      </w:pPr>
      <w:r>
        <w:rPr>
          <w:rFonts w:ascii="Segoe UI Symbol" w:hAnsi="Segoe UI Symbol"/>
        </w:rPr>
        <w:t>indenização</w:t>
      </w:r>
      <w:r>
        <w:rPr>
          <w:rFonts w:ascii="Segoe UI Symbol" w:hAnsi="Segoe UI Symbol"/>
          <w:spacing w:val="9"/>
        </w:rPr>
        <w:t xml:space="preserve"> </w:t>
      </w:r>
      <w:r>
        <w:rPr>
          <w:rFonts w:ascii="Segoe UI Symbol" w:hAnsi="Segoe UI Symbol"/>
        </w:rPr>
        <w:t>à</w:t>
      </w:r>
      <w:r>
        <w:rPr>
          <w:rFonts w:ascii="Segoe UI Symbol" w:hAnsi="Segoe UI Symbol"/>
          <w:spacing w:val="11"/>
        </w:rPr>
        <w:t xml:space="preserve"> </w:t>
      </w:r>
      <w:r>
        <w:rPr>
          <w:rFonts w:ascii="Segoe UI Symbol" w:hAnsi="Segoe UI Symbol"/>
        </w:rPr>
        <w:t>alimentação:</w:t>
      </w:r>
      <w:r>
        <w:rPr>
          <w:rFonts w:ascii="Segoe UI Symbol" w:hAnsi="Segoe UI Symbol"/>
          <w:spacing w:val="11"/>
        </w:rPr>
        <w:t xml:space="preserve"> </w:t>
      </w:r>
      <w:r>
        <w:rPr>
          <w:rFonts w:ascii="Segoe UI Symbol" w:hAnsi="Segoe UI Symbol"/>
        </w:rPr>
        <w:t>12</w:t>
      </w:r>
      <w:r>
        <w:rPr>
          <w:rFonts w:ascii="Segoe UI Symbol" w:hAnsi="Segoe UI Symbol"/>
          <w:spacing w:val="7"/>
        </w:rPr>
        <w:t xml:space="preserve"> </w:t>
      </w:r>
      <w:r>
        <w:rPr>
          <w:rFonts w:ascii="Segoe UI Symbol" w:hAnsi="Segoe UI Symbol"/>
        </w:rPr>
        <w:t>(doze)</w:t>
      </w:r>
      <w:r>
        <w:rPr>
          <w:rFonts w:ascii="Segoe UI Symbol" w:hAnsi="Segoe UI Symbol"/>
          <w:spacing w:val="9"/>
        </w:rPr>
        <w:t xml:space="preserve"> </w:t>
      </w:r>
      <w:r>
        <w:rPr>
          <w:rFonts w:ascii="Segoe UI Symbol" w:hAnsi="Segoe UI Symbol"/>
        </w:rPr>
        <w:t>vezes</w:t>
      </w:r>
      <w:r>
        <w:rPr>
          <w:rFonts w:ascii="Segoe UI Symbol" w:hAnsi="Segoe UI Symbol"/>
          <w:spacing w:val="10"/>
        </w:rPr>
        <w:t xml:space="preserve"> </w:t>
      </w:r>
      <w:r>
        <w:rPr>
          <w:rFonts w:ascii="Segoe UI Symbol" w:hAnsi="Segoe UI Symbol"/>
        </w:rPr>
        <w:t>o</w:t>
      </w:r>
      <w:r>
        <w:rPr>
          <w:rFonts w:ascii="Segoe UI Symbol" w:hAnsi="Segoe UI Symbol"/>
          <w:spacing w:val="5"/>
        </w:rPr>
        <w:t xml:space="preserve"> </w:t>
      </w:r>
      <w:r>
        <w:rPr>
          <w:rFonts w:ascii="Segoe UI Symbol" w:hAnsi="Segoe UI Symbol"/>
        </w:rPr>
        <w:t>valor</w:t>
      </w:r>
      <w:r>
        <w:rPr>
          <w:rFonts w:ascii="Segoe UI Symbol" w:hAnsi="Segoe UI Symbol"/>
          <w:spacing w:val="11"/>
        </w:rPr>
        <w:t xml:space="preserve"> </w:t>
      </w:r>
      <w:r>
        <w:rPr>
          <w:rFonts w:ascii="Segoe UI Symbol" w:hAnsi="Segoe UI Symbol"/>
        </w:rPr>
        <w:t>mensal</w:t>
      </w:r>
      <w:r>
        <w:rPr>
          <w:rFonts w:ascii="Segoe UI Symbol" w:hAnsi="Segoe UI Symbol"/>
          <w:spacing w:val="9"/>
        </w:rPr>
        <w:t xml:space="preserve"> </w:t>
      </w:r>
      <w:r>
        <w:rPr>
          <w:rFonts w:ascii="Segoe UI Symbol" w:hAnsi="Segoe UI Symbol"/>
        </w:rPr>
        <w:t>do</w:t>
      </w:r>
      <w:r>
        <w:rPr>
          <w:rFonts w:ascii="Segoe UI Symbol" w:hAnsi="Segoe UI Symbol"/>
          <w:spacing w:val="9"/>
        </w:rPr>
        <w:t xml:space="preserve"> </w:t>
      </w:r>
      <w:r>
        <w:rPr>
          <w:rFonts w:ascii="Segoe UI Symbol" w:hAnsi="Segoe UI Symbol"/>
        </w:rPr>
        <w:t>auxílio</w:t>
      </w:r>
      <w:r>
        <w:rPr>
          <w:rFonts w:ascii="Segoe UI Symbol" w:hAnsi="Segoe UI Symbol"/>
          <w:spacing w:val="7"/>
        </w:rPr>
        <w:t xml:space="preserve"> </w:t>
      </w:r>
      <w:r>
        <w:rPr>
          <w:rFonts w:ascii="Segoe UI Symbol" w:hAnsi="Segoe UI Symbol"/>
          <w:spacing w:val="-2"/>
        </w:rPr>
        <w:t>alimentação;</w:t>
      </w:r>
    </w:p>
    <w:p w14:paraId="429F6318" w14:textId="77777777" w:rsidR="002C6574" w:rsidRDefault="00000000">
      <w:pPr>
        <w:pStyle w:val="PargrafodaLista"/>
        <w:numPr>
          <w:ilvl w:val="0"/>
          <w:numId w:val="51"/>
        </w:numPr>
        <w:tabs>
          <w:tab w:val="left" w:pos="421"/>
        </w:tabs>
        <w:spacing w:before="214"/>
        <w:ind w:left="421" w:hanging="278"/>
        <w:jc w:val="both"/>
        <w:rPr>
          <w:rFonts w:ascii="Segoe UI Symbol" w:hAnsi="Segoe UI Symbol"/>
        </w:rPr>
      </w:pPr>
      <w:r>
        <w:rPr>
          <w:rFonts w:ascii="Segoe UI Symbol" w:hAnsi="Segoe UI Symbol"/>
        </w:rPr>
        <w:t>indenização</w:t>
      </w:r>
      <w:r>
        <w:rPr>
          <w:rFonts w:ascii="Segoe UI Symbol" w:hAnsi="Segoe UI Symbol"/>
          <w:spacing w:val="14"/>
        </w:rPr>
        <w:t xml:space="preserve"> </w:t>
      </w:r>
      <w:r>
        <w:rPr>
          <w:rFonts w:ascii="Segoe UI Symbol" w:hAnsi="Segoe UI Symbol"/>
        </w:rPr>
        <w:t>de</w:t>
      </w:r>
      <w:r>
        <w:rPr>
          <w:rFonts w:ascii="Segoe UI Symbol" w:hAnsi="Segoe UI Symbol"/>
          <w:spacing w:val="13"/>
        </w:rPr>
        <w:t xml:space="preserve"> </w:t>
      </w:r>
      <w:r>
        <w:rPr>
          <w:rFonts w:ascii="Segoe UI Symbol" w:hAnsi="Segoe UI Symbol"/>
        </w:rPr>
        <w:t>assistência</w:t>
      </w:r>
      <w:r>
        <w:rPr>
          <w:rFonts w:ascii="Segoe UI Symbol" w:hAnsi="Segoe UI Symbol"/>
          <w:spacing w:val="9"/>
        </w:rPr>
        <w:t xml:space="preserve"> </w:t>
      </w:r>
      <w:r>
        <w:rPr>
          <w:rFonts w:ascii="Segoe UI Symbol" w:hAnsi="Segoe UI Symbol"/>
        </w:rPr>
        <w:t>médica:</w:t>
      </w:r>
      <w:r>
        <w:rPr>
          <w:rFonts w:ascii="Segoe UI Symbol" w:hAnsi="Segoe UI Symbol"/>
          <w:spacing w:val="12"/>
        </w:rPr>
        <w:t xml:space="preserve"> </w:t>
      </w:r>
      <w:r>
        <w:rPr>
          <w:rFonts w:ascii="Segoe UI Symbol" w:hAnsi="Segoe UI Symbol"/>
        </w:rPr>
        <w:t>12</w:t>
      </w:r>
      <w:r>
        <w:rPr>
          <w:rFonts w:ascii="Segoe UI Symbol" w:hAnsi="Segoe UI Symbol"/>
          <w:spacing w:val="9"/>
        </w:rPr>
        <w:t xml:space="preserve"> </w:t>
      </w:r>
      <w:r>
        <w:rPr>
          <w:rFonts w:ascii="Segoe UI Symbol" w:hAnsi="Segoe UI Symbol"/>
        </w:rPr>
        <w:t>(doze)</w:t>
      </w:r>
      <w:r>
        <w:rPr>
          <w:rFonts w:ascii="Segoe UI Symbol" w:hAnsi="Segoe UI Symbol"/>
          <w:spacing w:val="10"/>
        </w:rPr>
        <w:t xml:space="preserve"> </w:t>
      </w:r>
      <w:r>
        <w:rPr>
          <w:rFonts w:ascii="Segoe UI Symbol" w:hAnsi="Segoe UI Symbol"/>
        </w:rPr>
        <w:t>vezes</w:t>
      </w:r>
      <w:r>
        <w:rPr>
          <w:rFonts w:ascii="Segoe UI Symbol" w:hAnsi="Segoe UI Symbol"/>
          <w:spacing w:val="12"/>
        </w:rPr>
        <w:t xml:space="preserve"> </w:t>
      </w:r>
      <w:r>
        <w:rPr>
          <w:rFonts w:ascii="Segoe UI Symbol" w:hAnsi="Segoe UI Symbol"/>
        </w:rPr>
        <w:t>o</w:t>
      </w:r>
      <w:r>
        <w:rPr>
          <w:rFonts w:ascii="Segoe UI Symbol" w:hAnsi="Segoe UI Symbol"/>
          <w:spacing w:val="9"/>
        </w:rPr>
        <w:t xml:space="preserve"> </w:t>
      </w:r>
      <w:r>
        <w:rPr>
          <w:rFonts w:ascii="Segoe UI Symbol" w:hAnsi="Segoe UI Symbol"/>
        </w:rPr>
        <w:t>valor</w:t>
      </w:r>
      <w:r>
        <w:rPr>
          <w:rFonts w:ascii="Segoe UI Symbol" w:hAnsi="Segoe UI Symbol"/>
          <w:spacing w:val="11"/>
        </w:rPr>
        <w:t xml:space="preserve"> </w:t>
      </w:r>
      <w:r>
        <w:rPr>
          <w:rFonts w:ascii="Segoe UI Symbol" w:hAnsi="Segoe UI Symbol"/>
        </w:rPr>
        <w:t>mensal</w:t>
      </w:r>
      <w:r>
        <w:rPr>
          <w:rFonts w:ascii="Segoe UI Symbol" w:hAnsi="Segoe UI Symbol"/>
          <w:spacing w:val="12"/>
        </w:rPr>
        <w:t xml:space="preserve"> </w:t>
      </w:r>
      <w:r>
        <w:rPr>
          <w:rFonts w:ascii="Segoe UI Symbol" w:hAnsi="Segoe UI Symbol"/>
        </w:rPr>
        <w:t>de</w:t>
      </w:r>
      <w:r>
        <w:rPr>
          <w:rFonts w:ascii="Segoe UI Symbol" w:hAnsi="Segoe UI Symbol"/>
          <w:spacing w:val="7"/>
        </w:rPr>
        <w:t xml:space="preserve"> </w:t>
      </w:r>
      <w:r>
        <w:rPr>
          <w:rFonts w:ascii="Segoe UI Symbol" w:hAnsi="Segoe UI Symbol"/>
        </w:rPr>
        <w:t>um</w:t>
      </w:r>
      <w:r>
        <w:rPr>
          <w:rFonts w:ascii="Segoe UI Symbol" w:hAnsi="Segoe UI Symbol"/>
          <w:spacing w:val="13"/>
        </w:rPr>
        <w:t xml:space="preserve"> </w:t>
      </w:r>
      <w:r>
        <w:rPr>
          <w:rFonts w:ascii="Segoe UI Symbol" w:hAnsi="Segoe UI Symbol"/>
        </w:rPr>
        <w:t>plano</w:t>
      </w:r>
      <w:r>
        <w:rPr>
          <w:rFonts w:ascii="Segoe UI Symbol" w:hAnsi="Segoe UI Symbol"/>
          <w:spacing w:val="12"/>
        </w:rPr>
        <w:t xml:space="preserve"> </w:t>
      </w:r>
      <w:r>
        <w:rPr>
          <w:rFonts w:ascii="Segoe UI Symbol" w:hAnsi="Segoe UI Symbol"/>
        </w:rPr>
        <w:t>de</w:t>
      </w:r>
      <w:r>
        <w:rPr>
          <w:rFonts w:ascii="Segoe UI Symbol" w:hAnsi="Segoe UI Symbol"/>
          <w:spacing w:val="9"/>
        </w:rPr>
        <w:t xml:space="preserve"> </w:t>
      </w:r>
      <w:r>
        <w:rPr>
          <w:rFonts w:ascii="Segoe UI Symbol" w:hAnsi="Segoe UI Symbol"/>
        </w:rPr>
        <w:t>saúde;</w:t>
      </w:r>
      <w:r>
        <w:rPr>
          <w:rFonts w:ascii="Segoe UI Symbol" w:hAnsi="Segoe UI Symbol"/>
          <w:spacing w:val="14"/>
        </w:rPr>
        <w:t xml:space="preserve"> </w:t>
      </w:r>
      <w:r>
        <w:rPr>
          <w:rFonts w:ascii="Segoe UI Symbol" w:hAnsi="Segoe UI Symbol"/>
          <w:spacing w:val="-10"/>
        </w:rPr>
        <w:t>e</w:t>
      </w:r>
    </w:p>
    <w:p w14:paraId="77A9582C" w14:textId="77777777" w:rsidR="002C6574" w:rsidRDefault="00000000">
      <w:pPr>
        <w:pStyle w:val="PargrafodaLista"/>
        <w:numPr>
          <w:ilvl w:val="0"/>
          <w:numId w:val="51"/>
        </w:numPr>
        <w:tabs>
          <w:tab w:val="left" w:pos="437"/>
        </w:tabs>
        <w:spacing w:before="243" w:line="208" w:lineRule="auto"/>
        <w:ind w:right="981" w:firstLine="0"/>
        <w:rPr>
          <w:rFonts w:ascii="Segoe UI Symbol" w:hAnsi="Segoe UI Symbol"/>
        </w:rPr>
      </w:pPr>
      <w:r>
        <w:rPr>
          <w:rFonts w:ascii="Segoe UI Symbol" w:hAnsi="Segoe UI Symbol"/>
        </w:rPr>
        <w:t>indenização Fundação de Seguridade Social: mensalidades do plano de seguridade social por um período de 12 (doze) meses.</w:t>
      </w:r>
    </w:p>
    <w:p w14:paraId="36A882A0" w14:textId="77777777" w:rsidR="002C6574" w:rsidRDefault="00000000">
      <w:pPr>
        <w:numPr>
          <w:ilvl w:val="2"/>
          <w:numId w:val="54"/>
        </w:numPr>
        <w:tabs>
          <w:tab w:val="left" w:pos="994"/>
        </w:tabs>
        <w:spacing w:before="251"/>
        <w:ind w:left="994" w:hanging="851"/>
        <w:rPr>
          <w:rFonts w:ascii="Arial"/>
          <w:b/>
        </w:rPr>
      </w:pPr>
      <w:r>
        <w:rPr>
          <w:rFonts w:ascii="Arial"/>
          <w:b/>
        </w:rPr>
        <w:t>Demais</w:t>
      </w:r>
      <w:r>
        <w:rPr>
          <w:rFonts w:ascii="Arial"/>
          <w:b/>
          <w:spacing w:val="-1"/>
        </w:rPr>
        <w:t xml:space="preserve"> </w:t>
      </w:r>
      <w:r>
        <w:rPr>
          <w:rFonts w:ascii="Arial"/>
          <w:b/>
        </w:rPr>
        <w:t>ativos</w:t>
      </w:r>
      <w:r>
        <w:rPr>
          <w:rFonts w:ascii="Arial"/>
          <w:b/>
          <w:spacing w:val="-4"/>
        </w:rPr>
        <w:t xml:space="preserve"> </w:t>
      </w:r>
      <w:r>
        <w:rPr>
          <w:rFonts w:ascii="Arial"/>
          <w:b/>
        </w:rPr>
        <w:t>e</w:t>
      </w:r>
      <w:r>
        <w:rPr>
          <w:rFonts w:ascii="Arial"/>
          <w:b/>
          <w:spacing w:val="-3"/>
        </w:rPr>
        <w:t xml:space="preserve"> </w:t>
      </w:r>
      <w:r>
        <w:rPr>
          <w:rFonts w:ascii="Arial"/>
          <w:b/>
          <w:spacing w:val="-2"/>
        </w:rPr>
        <w:t>passivos</w:t>
      </w:r>
    </w:p>
    <w:p w14:paraId="79A80AAA" w14:textId="77777777" w:rsidR="002C6574" w:rsidRDefault="00000000">
      <w:pPr>
        <w:pStyle w:val="Corpodetexto"/>
        <w:spacing w:before="220" w:line="237" w:lineRule="auto"/>
        <w:ind w:left="143" w:right="702"/>
        <w:jc w:val="both"/>
      </w:pPr>
      <w:r>
        <w:t>Os outros ativos estão apresentados ao valor de realização, incluindo, quando aplicável, os rendimentos e</w:t>
      </w:r>
      <w:r>
        <w:rPr>
          <w:spacing w:val="-3"/>
        </w:rPr>
        <w:t xml:space="preserve"> </w:t>
      </w:r>
      <w:r>
        <w:t>as variações monetárias</w:t>
      </w:r>
      <w:r>
        <w:rPr>
          <w:spacing w:val="-2"/>
        </w:rPr>
        <w:t xml:space="preserve"> </w:t>
      </w:r>
      <w:r>
        <w:t>auferidas</w:t>
      </w:r>
      <w:r>
        <w:rPr>
          <w:spacing w:val="-2"/>
        </w:rPr>
        <w:t xml:space="preserve"> </w:t>
      </w:r>
      <w:r>
        <w:t>até a</w:t>
      </w:r>
      <w:r>
        <w:rPr>
          <w:spacing w:val="-1"/>
        </w:rPr>
        <w:t xml:space="preserve"> </w:t>
      </w:r>
      <w:r>
        <w:t>data</w:t>
      </w:r>
      <w:r>
        <w:rPr>
          <w:spacing w:val="-3"/>
        </w:rPr>
        <w:t xml:space="preserve"> </w:t>
      </w:r>
      <w:r>
        <w:t>do balanço, deduzidos por</w:t>
      </w:r>
      <w:r>
        <w:rPr>
          <w:spacing w:val="-2"/>
        </w:rPr>
        <w:t xml:space="preserve"> </w:t>
      </w:r>
      <w:r>
        <w:t>provisão</w:t>
      </w:r>
      <w:r>
        <w:rPr>
          <w:spacing w:val="-1"/>
        </w:rPr>
        <w:t xml:space="preserve"> </w:t>
      </w:r>
      <w:r>
        <w:t>para perdas e/ou ajuste a valor presente, quando aplicável. As outras obrigações são demonstradas pelos valores</w:t>
      </w:r>
      <w:r>
        <w:rPr>
          <w:spacing w:val="40"/>
        </w:rPr>
        <w:t xml:space="preserve"> </w:t>
      </w:r>
      <w:r>
        <w:t>conhecidos</w:t>
      </w:r>
      <w:r>
        <w:rPr>
          <w:spacing w:val="40"/>
        </w:rPr>
        <w:t xml:space="preserve"> </w:t>
      </w:r>
      <w:r>
        <w:t>ou</w:t>
      </w:r>
      <w:r>
        <w:rPr>
          <w:spacing w:val="40"/>
        </w:rPr>
        <w:t xml:space="preserve"> </w:t>
      </w:r>
      <w:r>
        <w:t>calculáveis</w:t>
      </w:r>
      <w:r>
        <w:rPr>
          <w:spacing w:val="40"/>
        </w:rPr>
        <w:t xml:space="preserve"> </w:t>
      </w:r>
      <w:r>
        <w:t>acrescidos,</w:t>
      </w:r>
      <w:r>
        <w:rPr>
          <w:spacing w:val="40"/>
        </w:rPr>
        <w:t xml:space="preserve"> </w:t>
      </w:r>
      <w:r>
        <w:t>quando</w:t>
      </w:r>
      <w:r>
        <w:rPr>
          <w:spacing w:val="40"/>
        </w:rPr>
        <w:t xml:space="preserve"> </w:t>
      </w:r>
      <w:r>
        <w:t>aplicável,</w:t>
      </w:r>
      <w:r>
        <w:rPr>
          <w:spacing w:val="40"/>
        </w:rPr>
        <w:t xml:space="preserve"> </w:t>
      </w:r>
      <w:r>
        <w:t>dos</w:t>
      </w:r>
      <w:r>
        <w:rPr>
          <w:spacing w:val="40"/>
        </w:rPr>
        <w:t xml:space="preserve"> </w:t>
      </w:r>
      <w:r>
        <w:t>correspondentes</w:t>
      </w:r>
      <w:r>
        <w:rPr>
          <w:spacing w:val="40"/>
        </w:rPr>
        <w:t xml:space="preserve"> </w:t>
      </w:r>
      <w:r>
        <w:t>encargos</w:t>
      </w:r>
      <w:r>
        <w:rPr>
          <w:spacing w:val="40"/>
        </w:rPr>
        <w:t xml:space="preserve"> </w:t>
      </w:r>
      <w:r>
        <w:t>e das variações monetárias e/ou cambiais incorridas até a data do balanço.</w:t>
      </w:r>
    </w:p>
    <w:p w14:paraId="3EAE1418" w14:textId="77777777" w:rsidR="002C6574" w:rsidRDefault="002C6574">
      <w:pPr>
        <w:pStyle w:val="Corpodetexto"/>
        <w:spacing w:line="237" w:lineRule="auto"/>
        <w:jc w:val="both"/>
        <w:sectPr w:rsidR="002C6574">
          <w:pgSz w:w="11910" w:h="16840"/>
          <w:pgMar w:top="1600" w:right="141" w:bottom="1540" w:left="1133" w:header="856" w:footer="1296" w:gutter="0"/>
          <w:cols w:space="720"/>
        </w:sectPr>
      </w:pPr>
    </w:p>
    <w:p w14:paraId="3745ABC5" w14:textId="77777777" w:rsidR="002C6574" w:rsidRDefault="002C6574">
      <w:pPr>
        <w:pStyle w:val="Corpodetexto"/>
        <w:spacing w:before="227"/>
      </w:pPr>
    </w:p>
    <w:p w14:paraId="06DB703F" w14:textId="77777777" w:rsidR="002C6574" w:rsidRDefault="00000000">
      <w:pPr>
        <w:numPr>
          <w:ilvl w:val="2"/>
          <w:numId w:val="54"/>
        </w:numPr>
        <w:tabs>
          <w:tab w:val="left" w:pos="994"/>
        </w:tabs>
        <w:ind w:left="994" w:hanging="851"/>
        <w:rPr>
          <w:rFonts w:ascii="Arial"/>
          <w:b/>
        </w:rPr>
      </w:pPr>
      <w:r>
        <w:rPr>
          <w:rFonts w:ascii="Arial"/>
          <w:b/>
        </w:rPr>
        <w:t xml:space="preserve">Capital </w:t>
      </w:r>
      <w:r>
        <w:rPr>
          <w:rFonts w:ascii="Arial"/>
          <w:b/>
          <w:spacing w:val="-2"/>
        </w:rPr>
        <w:t>social</w:t>
      </w:r>
    </w:p>
    <w:p w14:paraId="2B6DE5E6" w14:textId="77777777" w:rsidR="002C6574" w:rsidRDefault="002C6574">
      <w:pPr>
        <w:pStyle w:val="Corpodetexto"/>
        <w:spacing w:before="72"/>
        <w:rPr>
          <w:rFonts w:ascii="Arial"/>
          <w:b/>
        </w:rPr>
      </w:pPr>
    </w:p>
    <w:p w14:paraId="32196732" w14:textId="77777777" w:rsidR="002C6574" w:rsidRDefault="00000000">
      <w:pPr>
        <w:pStyle w:val="Corpodetexto"/>
        <w:ind w:left="143"/>
        <w:jc w:val="both"/>
      </w:pPr>
      <w:r>
        <w:t>As</w:t>
      </w:r>
      <w:r>
        <w:rPr>
          <w:spacing w:val="15"/>
        </w:rPr>
        <w:t xml:space="preserve"> </w:t>
      </w:r>
      <w:r>
        <w:t>ações</w:t>
      </w:r>
      <w:r>
        <w:rPr>
          <w:spacing w:val="15"/>
        </w:rPr>
        <w:t xml:space="preserve"> </w:t>
      </w:r>
      <w:r>
        <w:t>ordinárias</w:t>
      </w:r>
      <w:r>
        <w:rPr>
          <w:spacing w:val="13"/>
        </w:rPr>
        <w:t xml:space="preserve"> </w:t>
      </w:r>
      <w:r>
        <w:t>e</w:t>
      </w:r>
      <w:r>
        <w:rPr>
          <w:spacing w:val="10"/>
        </w:rPr>
        <w:t xml:space="preserve"> </w:t>
      </w:r>
      <w:r>
        <w:t>as</w:t>
      </w:r>
      <w:r>
        <w:rPr>
          <w:spacing w:val="10"/>
        </w:rPr>
        <w:t xml:space="preserve"> </w:t>
      </w:r>
      <w:r>
        <w:t>preferenciais</w:t>
      </w:r>
      <w:r>
        <w:rPr>
          <w:spacing w:val="12"/>
        </w:rPr>
        <w:t xml:space="preserve"> </w:t>
      </w:r>
      <w:r>
        <w:t>são</w:t>
      </w:r>
      <w:r>
        <w:rPr>
          <w:spacing w:val="11"/>
        </w:rPr>
        <w:t xml:space="preserve"> </w:t>
      </w:r>
      <w:r>
        <w:t>classificadas</w:t>
      </w:r>
      <w:r>
        <w:rPr>
          <w:spacing w:val="15"/>
        </w:rPr>
        <w:t xml:space="preserve"> </w:t>
      </w:r>
      <w:r>
        <w:t>no</w:t>
      </w:r>
      <w:r>
        <w:rPr>
          <w:spacing w:val="13"/>
        </w:rPr>
        <w:t xml:space="preserve"> </w:t>
      </w:r>
      <w:r>
        <w:t>patrimônio</w:t>
      </w:r>
      <w:r>
        <w:rPr>
          <w:spacing w:val="8"/>
        </w:rPr>
        <w:t xml:space="preserve"> </w:t>
      </w:r>
      <w:r>
        <w:rPr>
          <w:spacing w:val="-2"/>
        </w:rPr>
        <w:t>líquido.</w:t>
      </w:r>
    </w:p>
    <w:p w14:paraId="1398BD50" w14:textId="77777777" w:rsidR="002C6574" w:rsidRDefault="002C6574">
      <w:pPr>
        <w:pStyle w:val="Corpodetexto"/>
        <w:spacing w:before="53"/>
      </w:pPr>
    </w:p>
    <w:p w14:paraId="65A358DD" w14:textId="77777777" w:rsidR="002C6574" w:rsidRDefault="00000000">
      <w:pPr>
        <w:numPr>
          <w:ilvl w:val="3"/>
          <w:numId w:val="54"/>
        </w:numPr>
        <w:tabs>
          <w:tab w:val="left" w:pos="1062"/>
        </w:tabs>
        <w:ind w:left="1062" w:hanging="919"/>
        <w:rPr>
          <w:rFonts w:ascii="Arial" w:hAnsi="Arial"/>
          <w:b/>
        </w:rPr>
      </w:pPr>
      <w:r>
        <w:rPr>
          <w:rFonts w:ascii="Arial" w:hAnsi="Arial"/>
          <w:b/>
        </w:rPr>
        <w:t>Ações</w:t>
      </w:r>
      <w:r>
        <w:rPr>
          <w:rFonts w:ascii="Arial" w:hAnsi="Arial"/>
          <w:b/>
          <w:spacing w:val="-5"/>
        </w:rPr>
        <w:t xml:space="preserve"> </w:t>
      </w:r>
      <w:r>
        <w:rPr>
          <w:rFonts w:ascii="Arial" w:hAnsi="Arial"/>
          <w:b/>
          <w:spacing w:val="-2"/>
        </w:rPr>
        <w:t>ordinárias</w:t>
      </w:r>
    </w:p>
    <w:p w14:paraId="4694F5F8" w14:textId="77777777" w:rsidR="002C6574" w:rsidRDefault="00000000">
      <w:pPr>
        <w:pStyle w:val="Corpodetexto"/>
        <w:spacing w:before="223" w:line="237" w:lineRule="auto"/>
        <w:ind w:left="143" w:right="703"/>
        <w:jc w:val="both"/>
      </w:pPr>
      <w:r>
        <w:t>Ações</w:t>
      </w:r>
      <w:r>
        <w:rPr>
          <w:spacing w:val="-2"/>
        </w:rPr>
        <w:t xml:space="preserve"> </w:t>
      </w:r>
      <w:r>
        <w:t>ordinárias</w:t>
      </w:r>
      <w:r>
        <w:rPr>
          <w:spacing w:val="-2"/>
        </w:rPr>
        <w:t xml:space="preserve"> </w:t>
      </w:r>
      <w:r>
        <w:t>são</w:t>
      </w:r>
      <w:r>
        <w:rPr>
          <w:spacing w:val="-7"/>
        </w:rPr>
        <w:t xml:space="preserve"> </w:t>
      </w:r>
      <w:r>
        <w:t>classificadas</w:t>
      </w:r>
      <w:r>
        <w:rPr>
          <w:spacing w:val="-2"/>
        </w:rPr>
        <w:t xml:space="preserve"> </w:t>
      </w:r>
      <w:r>
        <w:t>como</w:t>
      </w:r>
      <w:r>
        <w:rPr>
          <w:spacing w:val="-3"/>
        </w:rPr>
        <w:t xml:space="preserve"> </w:t>
      </w:r>
      <w:r>
        <w:t>patrimônio</w:t>
      </w:r>
      <w:r>
        <w:rPr>
          <w:spacing w:val="-3"/>
        </w:rPr>
        <w:t xml:space="preserve"> </w:t>
      </w:r>
      <w:r>
        <w:t>líquido.</w:t>
      </w:r>
      <w:r>
        <w:rPr>
          <w:spacing w:val="-2"/>
        </w:rPr>
        <w:t xml:space="preserve"> </w:t>
      </w:r>
      <w:r>
        <w:t>Custos</w:t>
      </w:r>
      <w:r>
        <w:rPr>
          <w:spacing w:val="-2"/>
        </w:rPr>
        <w:t xml:space="preserve"> </w:t>
      </w:r>
      <w:r>
        <w:t>adicionais</w:t>
      </w:r>
      <w:r>
        <w:rPr>
          <w:spacing w:val="-5"/>
        </w:rPr>
        <w:t xml:space="preserve"> </w:t>
      </w:r>
      <w:r>
        <w:t>diretamente</w:t>
      </w:r>
      <w:r>
        <w:rPr>
          <w:spacing w:val="-2"/>
        </w:rPr>
        <w:t xml:space="preserve"> </w:t>
      </w:r>
      <w:r>
        <w:t>atribuíveis à emissão de ações e opção de ações são reconhecidos como dedução do patrimônio líquido, livre de quaisquer efeitos tributários.</w:t>
      </w:r>
    </w:p>
    <w:p w14:paraId="5BAD0335" w14:textId="77777777" w:rsidR="002C6574" w:rsidRDefault="002C6574">
      <w:pPr>
        <w:pStyle w:val="Corpodetexto"/>
        <w:spacing w:before="57"/>
      </w:pPr>
    </w:p>
    <w:p w14:paraId="1760F979" w14:textId="77777777" w:rsidR="002C6574" w:rsidRDefault="00000000">
      <w:pPr>
        <w:numPr>
          <w:ilvl w:val="3"/>
          <w:numId w:val="54"/>
        </w:numPr>
        <w:tabs>
          <w:tab w:val="left" w:pos="1062"/>
        </w:tabs>
        <w:ind w:left="1062" w:hanging="919"/>
        <w:rPr>
          <w:rFonts w:ascii="Arial" w:hAnsi="Arial"/>
          <w:b/>
        </w:rPr>
      </w:pPr>
      <w:r>
        <w:rPr>
          <w:rFonts w:ascii="Arial" w:hAnsi="Arial"/>
          <w:b/>
        </w:rPr>
        <w:t>Ações</w:t>
      </w:r>
      <w:r>
        <w:rPr>
          <w:rFonts w:ascii="Arial" w:hAnsi="Arial"/>
          <w:b/>
          <w:spacing w:val="-3"/>
        </w:rPr>
        <w:t xml:space="preserve"> </w:t>
      </w:r>
      <w:r>
        <w:rPr>
          <w:rFonts w:ascii="Arial" w:hAnsi="Arial"/>
          <w:b/>
          <w:spacing w:val="-2"/>
        </w:rPr>
        <w:t>preferenciais</w:t>
      </w:r>
    </w:p>
    <w:p w14:paraId="7E4F5C0A" w14:textId="77777777" w:rsidR="002C6574" w:rsidRDefault="002C6574">
      <w:pPr>
        <w:pStyle w:val="Corpodetexto"/>
        <w:spacing w:before="72"/>
        <w:rPr>
          <w:rFonts w:ascii="Arial"/>
          <w:b/>
        </w:rPr>
      </w:pPr>
    </w:p>
    <w:p w14:paraId="458AD79B" w14:textId="77777777" w:rsidR="002C6574" w:rsidRDefault="00000000">
      <w:pPr>
        <w:pStyle w:val="Corpodetexto"/>
        <w:spacing w:before="1" w:line="237" w:lineRule="auto"/>
        <w:ind w:left="143" w:right="703"/>
        <w:jc w:val="both"/>
      </w:pPr>
      <w:r>
        <w:t>Ações preferenciais são classificadas no patrimônio líquido caso não sejam resgatáveis ou</w:t>
      </w:r>
      <w:r>
        <w:rPr>
          <w:spacing w:val="40"/>
        </w:rPr>
        <w:t xml:space="preserve"> </w:t>
      </w:r>
      <w:r>
        <w:t>resgatáveis somente à</w:t>
      </w:r>
      <w:r>
        <w:rPr>
          <w:spacing w:val="13"/>
        </w:rPr>
        <w:t xml:space="preserve"> </w:t>
      </w:r>
      <w:r>
        <w:t>escolha da Companhia.</w:t>
      </w:r>
      <w:r>
        <w:rPr>
          <w:spacing w:val="13"/>
        </w:rPr>
        <w:t xml:space="preserve"> </w:t>
      </w:r>
      <w:r>
        <w:t>As ações preferenciais não têm direito a voto,</w:t>
      </w:r>
      <w:r>
        <w:rPr>
          <w:spacing w:val="13"/>
        </w:rPr>
        <w:t xml:space="preserve"> </w:t>
      </w:r>
      <w:r>
        <w:t>sendo</w:t>
      </w:r>
      <w:r>
        <w:rPr>
          <w:spacing w:val="40"/>
        </w:rPr>
        <w:t xml:space="preserve"> </w:t>
      </w:r>
      <w:r>
        <w:t>a elas assegurada prioridade no reembolso de capital e no pagamento de dividendos mínimos, não cumulativos, de 6% (seis por cento) ao ano sobre o valor resultante da divisão do capital subscrito pelo número total de ações da Telebrás.</w:t>
      </w:r>
    </w:p>
    <w:p w14:paraId="7A7E2567" w14:textId="77777777" w:rsidR="002C6574" w:rsidRDefault="002C6574">
      <w:pPr>
        <w:pStyle w:val="Corpodetexto"/>
        <w:spacing w:before="32"/>
      </w:pPr>
    </w:p>
    <w:p w14:paraId="546DE74A" w14:textId="77777777" w:rsidR="002C6574" w:rsidRDefault="00000000">
      <w:pPr>
        <w:numPr>
          <w:ilvl w:val="3"/>
          <w:numId w:val="54"/>
        </w:numPr>
        <w:tabs>
          <w:tab w:val="left" w:pos="1062"/>
        </w:tabs>
        <w:ind w:left="1062" w:hanging="919"/>
        <w:rPr>
          <w:rFonts w:ascii="Arial" w:hAnsi="Arial"/>
          <w:b/>
        </w:rPr>
      </w:pPr>
      <w:r>
        <w:rPr>
          <w:rFonts w:ascii="Arial" w:hAnsi="Arial"/>
          <w:b/>
        </w:rPr>
        <w:t>Distribuição</w:t>
      </w:r>
      <w:r>
        <w:rPr>
          <w:rFonts w:ascii="Arial" w:hAnsi="Arial"/>
          <w:b/>
          <w:spacing w:val="-2"/>
        </w:rPr>
        <w:t xml:space="preserve"> </w:t>
      </w:r>
      <w:r>
        <w:rPr>
          <w:rFonts w:ascii="Arial" w:hAnsi="Arial"/>
          <w:b/>
        </w:rPr>
        <w:t>de</w:t>
      </w:r>
      <w:r>
        <w:rPr>
          <w:rFonts w:ascii="Arial" w:hAnsi="Arial"/>
          <w:b/>
          <w:spacing w:val="-2"/>
        </w:rPr>
        <w:t xml:space="preserve"> dividendos</w:t>
      </w:r>
    </w:p>
    <w:p w14:paraId="174ED9ED" w14:textId="77777777" w:rsidR="002C6574" w:rsidRDefault="002C6574">
      <w:pPr>
        <w:pStyle w:val="Corpodetexto"/>
        <w:spacing w:before="46"/>
        <w:rPr>
          <w:rFonts w:ascii="Arial"/>
          <w:b/>
        </w:rPr>
      </w:pPr>
    </w:p>
    <w:p w14:paraId="470B1CFC" w14:textId="77777777" w:rsidR="002C6574" w:rsidRDefault="00000000">
      <w:pPr>
        <w:pStyle w:val="Corpodetexto"/>
        <w:ind w:left="143" w:right="702"/>
        <w:jc w:val="both"/>
      </w:pPr>
      <w:r>
        <w:t>A distribuição de dividendos para os acionistas da Companhia é reconhecida como um passivo, apurado com base no estatuto social e na política de dividendos. Qualquer valor acima do mínimo obrigatório é destacado na Demonstração das Mutações do Patrimônio Líquido como “Dividendos adicionais propostos”, até aprovação pelos acionistas, em assembleia geral.</w:t>
      </w:r>
    </w:p>
    <w:p w14:paraId="1063B8C1" w14:textId="77777777" w:rsidR="002C6574" w:rsidRDefault="002C6574">
      <w:pPr>
        <w:pStyle w:val="Corpodetexto"/>
        <w:spacing w:before="22"/>
      </w:pPr>
    </w:p>
    <w:p w14:paraId="5CB38958" w14:textId="77777777" w:rsidR="002C6574" w:rsidRDefault="00000000">
      <w:pPr>
        <w:numPr>
          <w:ilvl w:val="2"/>
          <w:numId w:val="54"/>
        </w:numPr>
        <w:tabs>
          <w:tab w:val="left" w:pos="994"/>
        </w:tabs>
        <w:spacing w:before="1"/>
        <w:ind w:left="994" w:hanging="851"/>
        <w:rPr>
          <w:rFonts w:ascii="Arial"/>
          <w:b/>
        </w:rPr>
      </w:pPr>
      <w:r>
        <w:rPr>
          <w:rFonts w:ascii="Arial"/>
          <w:b/>
        </w:rPr>
        <w:t>Reconhecimento</w:t>
      </w:r>
      <w:r>
        <w:rPr>
          <w:rFonts w:ascii="Arial"/>
          <w:b/>
          <w:spacing w:val="-6"/>
        </w:rPr>
        <w:t xml:space="preserve"> </w:t>
      </w:r>
      <w:r>
        <w:rPr>
          <w:rFonts w:ascii="Arial"/>
          <w:b/>
        </w:rPr>
        <w:t>de</w:t>
      </w:r>
      <w:r>
        <w:rPr>
          <w:rFonts w:ascii="Arial"/>
          <w:b/>
          <w:spacing w:val="-5"/>
        </w:rPr>
        <w:t xml:space="preserve"> </w:t>
      </w:r>
      <w:r>
        <w:rPr>
          <w:rFonts w:ascii="Arial"/>
          <w:b/>
          <w:spacing w:val="-2"/>
        </w:rPr>
        <w:t>receitas</w:t>
      </w:r>
    </w:p>
    <w:p w14:paraId="6EA8EEE0" w14:textId="77777777" w:rsidR="002C6574" w:rsidRDefault="002C6574">
      <w:pPr>
        <w:pStyle w:val="Corpodetexto"/>
        <w:spacing w:before="43"/>
        <w:rPr>
          <w:rFonts w:ascii="Arial"/>
          <w:b/>
        </w:rPr>
      </w:pPr>
    </w:p>
    <w:p w14:paraId="61E0F585" w14:textId="77777777" w:rsidR="002C6574" w:rsidRDefault="00000000">
      <w:pPr>
        <w:pStyle w:val="Corpodetexto"/>
        <w:ind w:left="143" w:right="707"/>
        <w:jc w:val="both"/>
      </w:pPr>
      <w:r>
        <w:t>As receitas correspondem, substancialmente, ao valor das contraprestações recebidas ou recebíveis pela venda de serviços no curso regular das atividades da Companhia.</w:t>
      </w:r>
    </w:p>
    <w:p w14:paraId="0E37C9C2" w14:textId="77777777" w:rsidR="002C6574" w:rsidRDefault="00000000">
      <w:pPr>
        <w:pStyle w:val="Corpodetexto"/>
        <w:spacing w:before="291" w:line="237" w:lineRule="auto"/>
        <w:ind w:left="143" w:right="702"/>
        <w:jc w:val="both"/>
      </w:pPr>
      <w:r>
        <w:t>A receita é reconhecida quando o valor puder ser mensurado de maneira confiável, desse modo é provável que benefícios econômicos futuros serão transferidos para a Companhia, os custos incorridos na transação serão mensurados, os riscos e benefícios serão substancialmente</w:t>
      </w:r>
      <w:r>
        <w:rPr>
          <w:spacing w:val="40"/>
        </w:rPr>
        <w:t xml:space="preserve"> </w:t>
      </w:r>
      <w:r>
        <w:t>transferidos ao comprador e quando critérios específicos forem satisfeitos para cada uma das atividades da Companhia.</w:t>
      </w:r>
    </w:p>
    <w:p w14:paraId="0D43D42C" w14:textId="77777777" w:rsidR="002C6574" w:rsidRDefault="002C6574">
      <w:pPr>
        <w:pStyle w:val="Corpodetexto"/>
        <w:spacing w:before="4"/>
      </w:pPr>
    </w:p>
    <w:p w14:paraId="7E2F5467" w14:textId="77777777" w:rsidR="002C6574" w:rsidRDefault="00000000">
      <w:pPr>
        <w:pStyle w:val="Corpodetexto"/>
        <w:spacing w:line="237" w:lineRule="auto"/>
        <w:ind w:left="143" w:right="703"/>
        <w:jc w:val="both"/>
      </w:pPr>
      <w:r>
        <w:rPr>
          <w:w w:val="105"/>
        </w:rPr>
        <w:t>As</w:t>
      </w:r>
      <w:r>
        <w:rPr>
          <w:spacing w:val="-7"/>
          <w:w w:val="105"/>
        </w:rPr>
        <w:t xml:space="preserve"> </w:t>
      </w:r>
      <w:r>
        <w:rPr>
          <w:w w:val="105"/>
        </w:rPr>
        <w:t>receitas</w:t>
      </w:r>
      <w:r>
        <w:rPr>
          <w:spacing w:val="-9"/>
          <w:w w:val="105"/>
        </w:rPr>
        <w:t xml:space="preserve"> </w:t>
      </w:r>
      <w:r>
        <w:rPr>
          <w:w w:val="105"/>
        </w:rPr>
        <w:t>de</w:t>
      </w:r>
      <w:r>
        <w:rPr>
          <w:spacing w:val="-9"/>
          <w:w w:val="105"/>
        </w:rPr>
        <w:t xml:space="preserve"> </w:t>
      </w:r>
      <w:r>
        <w:rPr>
          <w:w w:val="105"/>
        </w:rPr>
        <w:t>serviços</w:t>
      </w:r>
      <w:r>
        <w:rPr>
          <w:spacing w:val="-7"/>
          <w:w w:val="105"/>
        </w:rPr>
        <w:t xml:space="preserve"> </w:t>
      </w:r>
      <w:r>
        <w:rPr>
          <w:w w:val="105"/>
        </w:rPr>
        <w:t>são</w:t>
      </w:r>
      <w:r>
        <w:rPr>
          <w:spacing w:val="-9"/>
          <w:w w:val="105"/>
        </w:rPr>
        <w:t xml:space="preserve"> </w:t>
      </w:r>
      <w:r>
        <w:rPr>
          <w:w w:val="105"/>
        </w:rPr>
        <w:t>reconhecidas</w:t>
      </w:r>
      <w:r>
        <w:rPr>
          <w:spacing w:val="-10"/>
          <w:w w:val="105"/>
        </w:rPr>
        <w:t xml:space="preserve"> </w:t>
      </w:r>
      <w:r>
        <w:rPr>
          <w:w w:val="105"/>
        </w:rPr>
        <w:t>quando</w:t>
      </w:r>
      <w:r>
        <w:rPr>
          <w:spacing w:val="-9"/>
          <w:w w:val="105"/>
        </w:rPr>
        <w:t xml:space="preserve"> </w:t>
      </w:r>
      <w:r>
        <w:rPr>
          <w:w w:val="105"/>
        </w:rPr>
        <w:t>estas</w:t>
      </w:r>
      <w:r>
        <w:rPr>
          <w:spacing w:val="-10"/>
          <w:w w:val="105"/>
        </w:rPr>
        <w:t xml:space="preserve"> </w:t>
      </w:r>
      <w:r>
        <w:rPr>
          <w:w w:val="105"/>
        </w:rPr>
        <w:t>são</w:t>
      </w:r>
      <w:r>
        <w:rPr>
          <w:spacing w:val="-9"/>
          <w:w w:val="105"/>
        </w:rPr>
        <w:t xml:space="preserve"> </w:t>
      </w:r>
      <w:r>
        <w:rPr>
          <w:w w:val="105"/>
        </w:rPr>
        <w:t>prestadas.</w:t>
      </w:r>
      <w:r>
        <w:rPr>
          <w:spacing w:val="-7"/>
          <w:w w:val="105"/>
        </w:rPr>
        <w:t xml:space="preserve"> </w:t>
      </w:r>
      <w:r>
        <w:rPr>
          <w:w w:val="105"/>
        </w:rPr>
        <w:t>As</w:t>
      </w:r>
      <w:r>
        <w:rPr>
          <w:spacing w:val="-10"/>
          <w:w w:val="105"/>
        </w:rPr>
        <w:t xml:space="preserve"> </w:t>
      </w:r>
      <w:r>
        <w:rPr>
          <w:w w:val="105"/>
        </w:rPr>
        <w:t>receitas</w:t>
      </w:r>
      <w:r>
        <w:rPr>
          <w:spacing w:val="-9"/>
          <w:w w:val="105"/>
        </w:rPr>
        <w:t xml:space="preserve"> </w:t>
      </w:r>
      <w:r>
        <w:rPr>
          <w:w w:val="105"/>
        </w:rPr>
        <w:t>de</w:t>
      </w:r>
      <w:r>
        <w:rPr>
          <w:spacing w:val="-9"/>
          <w:w w:val="105"/>
        </w:rPr>
        <w:t xml:space="preserve"> </w:t>
      </w:r>
      <w:r>
        <w:rPr>
          <w:w w:val="105"/>
        </w:rPr>
        <w:t>aluguéis</w:t>
      </w:r>
      <w:r>
        <w:rPr>
          <w:spacing w:val="-9"/>
          <w:w w:val="105"/>
        </w:rPr>
        <w:t xml:space="preserve"> </w:t>
      </w:r>
      <w:r>
        <w:rPr>
          <w:w w:val="105"/>
        </w:rPr>
        <w:t>e</w:t>
      </w:r>
      <w:r>
        <w:rPr>
          <w:spacing w:val="-8"/>
          <w:w w:val="105"/>
        </w:rPr>
        <w:t xml:space="preserve"> </w:t>
      </w:r>
      <w:r>
        <w:rPr>
          <w:w w:val="105"/>
        </w:rPr>
        <w:t xml:space="preserve">as </w:t>
      </w:r>
      <w:r>
        <w:t xml:space="preserve">locações são cobradas e registradas de acordo com as bases contratuais. Descontos e abatimentos </w:t>
      </w:r>
      <w:r>
        <w:rPr>
          <w:spacing w:val="-2"/>
          <w:w w:val="105"/>
        </w:rPr>
        <w:t>relacionados</w:t>
      </w:r>
      <w:r>
        <w:rPr>
          <w:spacing w:val="-8"/>
          <w:w w:val="105"/>
        </w:rPr>
        <w:t xml:space="preserve"> </w:t>
      </w:r>
      <w:r>
        <w:rPr>
          <w:spacing w:val="-2"/>
          <w:w w:val="105"/>
        </w:rPr>
        <w:t>às</w:t>
      </w:r>
      <w:r>
        <w:rPr>
          <w:spacing w:val="-8"/>
          <w:w w:val="105"/>
        </w:rPr>
        <w:t xml:space="preserve"> </w:t>
      </w:r>
      <w:r>
        <w:rPr>
          <w:spacing w:val="-2"/>
          <w:w w:val="105"/>
        </w:rPr>
        <w:t>receitas</w:t>
      </w:r>
      <w:r>
        <w:rPr>
          <w:spacing w:val="-11"/>
          <w:w w:val="105"/>
        </w:rPr>
        <w:t xml:space="preserve"> </w:t>
      </w:r>
      <w:r>
        <w:rPr>
          <w:spacing w:val="-2"/>
          <w:w w:val="105"/>
        </w:rPr>
        <w:t>de</w:t>
      </w:r>
      <w:r>
        <w:rPr>
          <w:spacing w:val="-8"/>
          <w:w w:val="105"/>
        </w:rPr>
        <w:t xml:space="preserve"> </w:t>
      </w:r>
      <w:r>
        <w:rPr>
          <w:spacing w:val="-2"/>
          <w:w w:val="105"/>
        </w:rPr>
        <w:t>serviços</w:t>
      </w:r>
      <w:r>
        <w:rPr>
          <w:spacing w:val="-7"/>
          <w:w w:val="105"/>
        </w:rPr>
        <w:t xml:space="preserve"> </w:t>
      </w:r>
      <w:r>
        <w:rPr>
          <w:spacing w:val="-2"/>
          <w:w w:val="105"/>
        </w:rPr>
        <w:t>prestados,</w:t>
      </w:r>
      <w:r>
        <w:rPr>
          <w:spacing w:val="-8"/>
          <w:w w:val="105"/>
        </w:rPr>
        <w:t xml:space="preserve"> </w:t>
      </w:r>
      <w:r>
        <w:rPr>
          <w:spacing w:val="-2"/>
          <w:w w:val="105"/>
        </w:rPr>
        <w:t>como</w:t>
      </w:r>
      <w:r>
        <w:rPr>
          <w:spacing w:val="-10"/>
          <w:w w:val="105"/>
        </w:rPr>
        <w:t xml:space="preserve"> </w:t>
      </w:r>
      <w:r>
        <w:rPr>
          <w:spacing w:val="-2"/>
          <w:w w:val="105"/>
        </w:rPr>
        <w:t>também</w:t>
      </w:r>
      <w:r>
        <w:rPr>
          <w:spacing w:val="-8"/>
          <w:w w:val="105"/>
        </w:rPr>
        <w:t xml:space="preserve"> </w:t>
      </w:r>
      <w:r>
        <w:rPr>
          <w:spacing w:val="-2"/>
          <w:w w:val="105"/>
        </w:rPr>
        <w:t>aluguéis,</w:t>
      </w:r>
      <w:r>
        <w:rPr>
          <w:spacing w:val="-8"/>
          <w:w w:val="105"/>
        </w:rPr>
        <w:t xml:space="preserve"> </w:t>
      </w:r>
      <w:r>
        <w:rPr>
          <w:spacing w:val="-2"/>
          <w:w w:val="105"/>
        </w:rPr>
        <w:t>locações</w:t>
      </w:r>
      <w:r>
        <w:rPr>
          <w:spacing w:val="-8"/>
          <w:w w:val="105"/>
        </w:rPr>
        <w:t xml:space="preserve"> </w:t>
      </w:r>
      <w:r>
        <w:rPr>
          <w:spacing w:val="-2"/>
          <w:w w:val="105"/>
        </w:rPr>
        <w:t>de</w:t>
      </w:r>
      <w:r>
        <w:rPr>
          <w:spacing w:val="-10"/>
          <w:w w:val="105"/>
        </w:rPr>
        <w:t xml:space="preserve"> </w:t>
      </w:r>
      <w:r>
        <w:rPr>
          <w:spacing w:val="-2"/>
          <w:w w:val="105"/>
        </w:rPr>
        <w:t xml:space="preserve">equipamentos </w:t>
      </w:r>
      <w:r>
        <w:rPr>
          <w:w w:val="105"/>
        </w:rPr>
        <w:t>e meios de conexão são considerados no reconhecimento das receitas a que se vinculam. Uma receita</w:t>
      </w:r>
      <w:r>
        <w:rPr>
          <w:spacing w:val="-2"/>
          <w:w w:val="105"/>
        </w:rPr>
        <w:t xml:space="preserve"> </w:t>
      </w:r>
      <w:r>
        <w:rPr>
          <w:w w:val="105"/>
        </w:rPr>
        <w:t>não</w:t>
      </w:r>
      <w:r>
        <w:rPr>
          <w:spacing w:val="-7"/>
          <w:w w:val="105"/>
        </w:rPr>
        <w:t xml:space="preserve"> </w:t>
      </w:r>
      <w:r>
        <w:rPr>
          <w:w w:val="105"/>
        </w:rPr>
        <w:t>é</w:t>
      </w:r>
      <w:r>
        <w:rPr>
          <w:spacing w:val="-3"/>
          <w:w w:val="105"/>
        </w:rPr>
        <w:t xml:space="preserve"> </w:t>
      </w:r>
      <w:r>
        <w:rPr>
          <w:w w:val="105"/>
        </w:rPr>
        <w:t>reconhecida</w:t>
      </w:r>
      <w:r>
        <w:rPr>
          <w:spacing w:val="-2"/>
          <w:w w:val="105"/>
        </w:rPr>
        <w:t xml:space="preserve"> </w:t>
      </w:r>
      <w:r>
        <w:rPr>
          <w:w w:val="105"/>
        </w:rPr>
        <w:t>se</w:t>
      </w:r>
      <w:r>
        <w:rPr>
          <w:spacing w:val="-5"/>
          <w:w w:val="105"/>
        </w:rPr>
        <w:t xml:space="preserve"> </w:t>
      </w:r>
      <w:r>
        <w:rPr>
          <w:w w:val="105"/>
        </w:rPr>
        <w:t>há</w:t>
      </w:r>
      <w:r>
        <w:rPr>
          <w:spacing w:val="-5"/>
          <w:w w:val="105"/>
        </w:rPr>
        <w:t xml:space="preserve"> </w:t>
      </w:r>
      <w:r>
        <w:rPr>
          <w:w w:val="105"/>
        </w:rPr>
        <w:t>uma</w:t>
      </w:r>
      <w:r>
        <w:rPr>
          <w:spacing w:val="-5"/>
          <w:w w:val="105"/>
        </w:rPr>
        <w:t xml:space="preserve"> </w:t>
      </w:r>
      <w:r>
        <w:rPr>
          <w:w w:val="105"/>
        </w:rPr>
        <w:t>incerteza</w:t>
      </w:r>
      <w:r>
        <w:rPr>
          <w:spacing w:val="-4"/>
          <w:w w:val="105"/>
        </w:rPr>
        <w:t xml:space="preserve"> </w:t>
      </w:r>
      <w:r>
        <w:rPr>
          <w:w w:val="105"/>
        </w:rPr>
        <w:t>significativa</w:t>
      </w:r>
      <w:r>
        <w:rPr>
          <w:spacing w:val="-2"/>
          <w:w w:val="105"/>
        </w:rPr>
        <w:t xml:space="preserve"> </w:t>
      </w:r>
      <w:r>
        <w:rPr>
          <w:w w:val="105"/>
        </w:rPr>
        <w:t>na</w:t>
      </w:r>
      <w:r>
        <w:rPr>
          <w:spacing w:val="-5"/>
          <w:w w:val="105"/>
        </w:rPr>
        <w:t xml:space="preserve"> </w:t>
      </w:r>
      <w:r>
        <w:rPr>
          <w:w w:val="105"/>
        </w:rPr>
        <w:t>sua</w:t>
      </w:r>
      <w:r>
        <w:rPr>
          <w:spacing w:val="-5"/>
          <w:w w:val="105"/>
        </w:rPr>
        <w:t xml:space="preserve"> </w:t>
      </w:r>
      <w:r>
        <w:rPr>
          <w:w w:val="105"/>
        </w:rPr>
        <w:t>realização.</w:t>
      </w:r>
    </w:p>
    <w:p w14:paraId="78C5EB00" w14:textId="77777777" w:rsidR="002C6574" w:rsidRDefault="002C6574">
      <w:pPr>
        <w:pStyle w:val="Corpodetexto"/>
        <w:spacing w:line="237" w:lineRule="auto"/>
        <w:jc w:val="both"/>
        <w:sectPr w:rsidR="002C6574">
          <w:pgSz w:w="11910" w:h="16840"/>
          <w:pgMar w:top="1600" w:right="141" w:bottom="1540" w:left="1133" w:header="856" w:footer="1296" w:gutter="0"/>
          <w:cols w:space="720"/>
        </w:sectPr>
      </w:pPr>
    </w:p>
    <w:p w14:paraId="5BD55B4E" w14:textId="77777777" w:rsidR="002C6574" w:rsidRDefault="002C6574">
      <w:pPr>
        <w:pStyle w:val="Corpodetexto"/>
        <w:spacing w:before="227"/>
      </w:pPr>
    </w:p>
    <w:p w14:paraId="231CA65D" w14:textId="77777777" w:rsidR="002C6574" w:rsidRDefault="00000000">
      <w:pPr>
        <w:numPr>
          <w:ilvl w:val="2"/>
          <w:numId w:val="54"/>
        </w:numPr>
        <w:tabs>
          <w:tab w:val="left" w:pos="994"/>
        </w:tabs>
        <w:ind w:left="994" w:hanging="851"/>
        <w:rPr>
          <w:rFonts w:ascii="Arial"/>
          <w:b/>
        </w:rPr>
      </w:pPr>
      <w:r>
        <w:rPr>
          <w:rFonts w:ascii="Arial"/>
          <w:b/>
        </w:rPr>
        <w:t>Reconhecimento</w:t>
      </w:r>
      <w:r>
        <w:rPr>
          <w:rFonts w:ascii="Arial"/>
          <w:b/>
          <w:spacing w:val="-8"/>
        </w:rPr>
        <w:t xml:space="preserve"> </w:t>
      </w:r>
      <w:r>
        <w:rPr>
          <w:rFonts w:ascii="Arial"/>
          <w:b/>
        </w:rPr>
        <w:t>de</w:t>
      </w:r>
      <w:r>
        <w:rPr>
          <w:rFonts w:ascii="Arial"/>
          <w:b/>
          <w:spacing w:val="-1"/>
        </w:rPr>
        <w:t xml:space="preserve"> </w:t>
      </w:r>
      <w:r>
        <w:rPr>
          <w:rFonts w:ascii="Arial"/>
          <w:b/>
          <w:spacing w:val="-2"/>
        </w:rPr>
        <w:t>despesas</w:t>
      </w:r>
    </w:p>
    <w:p w14:paraId="1D270E43" w14:textId="77777777" w:rsidR="002C6574" w:rsidRDefault="002C6574">
      <w:pPr>
        <w:pStyle w:val="Corpodetexto"/>
        <w:spacing w:before="75"/>
        <w:rPr>
          <w:rFonts w:ascii="Arial"/>
          <w:b/>
        </w:rPr>
      </w:pPr>
    </w:p>
    <w:p w14:paraId="7E5AD6F6" w14:textId="77777777" w:rsidR="002C6574" w:rsidRDefault="00000000">
      <w:pPr>
        <w:pStyle w:val="Corpodetexto"/>
        <w:spacing w:line="237" w:lineRule="auto"/>
        <w:ind w:left="143" w:right="703"/>
        <w:jc w:val="both"/>
      </w:pPr>
      <w:r>
        <w:t>As despesas são contabilizadas pelo regime de competência, obedecendo à sua vinculação com a realização das receitas. As despesas pagas antecipadamente e que competem a exercícios futuros são diferidas de acordo com seus respectivos prazos de duração.</w:t>
      </w:r>
    </w:p>
    <w:p w14:paraId="7DF5852A" w14:textId="77777777" w:rsidR="002C6574" w:rsidRDefault="002C6574">
      <w:pPr>
        <w:pStyle w:val="Corpodetexto"/>
        <w:spacing w:before="30"/>
      </w:pPr>
    </w:p>
    <w:p w14:paraId="4F028861" w14:textId="77777777" w:rsidR="002C6574" w:rsidRDefault="00000000">
      <w:pPr>
        <w:numPr>
          <w:ilvl w:val="2"/>
          <w:numId w:val="54"/>
        </w:numPr>
        <w:tabs>
          <w:tab w:val="left" w:pos="994"/>
        </w:tabs>
        <w:spacing w:before="1"/>
        <w:ind w:left="994" w:hanging="851"/>
        <w:rPr>
          <w:rFonts w:ascii="Arial"/>
          <w:b/>
        </w:rPr>
      </w:pPr>
      <w:r>
        <w:rPr>
          <w:rFonts w:ascii="Arial"/>
          <w:b/>
        </w:rPr>
        <w:t>Receitas</w:t>
      </w:r>
      <w:r>
        <w:rPr>
          <w:rFonts w:ascii="Arial"/>
          <w:b/>
          <w:spacing w:val="-1"/>
        </w:rPr>
        <w:t xml:space="preserve"> </w:t>
      </w:r>
      <w:r>
        <w:rPr>
          <w:rFonts w:ascii="Arial"/>
          <w:b/>
        </w:rPr>
        <w:t>e</w:t>
      </w:r>
      <w:r>
        <w:rPr>
          <w:rFonts w:ascii="Arial"/>
          <w:b/>
          <w:spacing w:val="-6"/>
        </w:rPr>
        <w:t xml:space="preserve"> </w:t>
      </w:r>
      <w:r>
        <w:rPr>
          <w:rFonts w:ascii="Arial"/>
          <w:b/>
        </w:rPr>
        <w:t>Despesas</w:t>
      </w:r>
      <w:r>
        <w:rPr>
          <w:rFonts w:ascii="Arial"/>
          <w:b/>
          <w:spacing w:val="-3"/>
        </w:rPr>
        <w:t xml:space="preserve"> </w:t>
      </w:r>
      <w:r>
        <w:rPr>
          <w:rFonts w:ascii="Arial"/>
          <w:b/>
          <w:spacing w:val="-2"/>
        </w:rPr>
        <w:t>financeiras</w:t>
      </w:r>
    </w:p>
    <w:p w14:paraId="2F36CF46" w14:textId="77777777" w:rsidR="002C6574" w:rsidRDefault="00000000">
      <w:pPr>
        <w:pStyle w:val="Corpodetexto"/>
        <w:spacing w:before="193" w:line="237" w:lineRule="auto"/>
        <w:ind w:left="143" w:right="703"/>
        <w:jc w:val="both"/>
      </w:pPr>
      <w:r>
        <w:t>As receitas financeiras são contabilizadas pelo regime de competência e representam os juros efetivos auferidos sobre contas a receber liquidadas após o vencimento, os ganhos com aplicações financeiras, variação monetária sobre depósitos judiciais e outros ganhos financeiros. As despesas financeiras representam os juros efetivos incorridos e os demais encargos com empréstimos, financiamentos, juros sobre adiantamento para futuro aumento de capital, juros sobre provisão para riscos</w:t>
      </w:r>
      <w:r>
        <w:rPr>
          <w:spacing w:val="17"/>
        </w:rPr>
        <w:t xml:space="preserve"> </w:t>
      </w:r>
      <w:r>
        <w:t>prováveis,</w:t>
      </w:r>
      <w:r>
        <w:rPr>
          <w:spacing w:val="13"/>
        </w:rPr>
        <w:t xml:space="preserve"> </w:t>
      </w:r>
      <w:r>
        <w:t>credores</w:t>
      </w:r>
      <w:r>
        <w:rPr>
          <w:spacing w:val="15"/>
        </w:rPr>
        <w:t xml:space="preserve"> </w:t>
      </w:r>
      <w:r>
        <w:t>por</w:t>
      </w:r>
      <w:r>
        <w:rPr>
          <w:spacing w:val="15"/>
        </w:rPr>
        <w:t xml:space="preserve"> </w:t>
      </w:r>
      <w:r>
        <w:t>perdas</w:t>
      </w:r>
      <w:r>
        <w:rPr>
          <w:spacing w:val="12"/>
        </w:rPr>
        <w:t xml:space="preserve"> </w:t>
      </w:r>
      <w:r>
        <w:t>judiciais</w:t>
      </w:r>
      <w:r>
        <w:rPr>
          <w:spacing w:val="15"/>
        </w:rPr>
        <w:t xml:space="preserve"> </w:t>
      </w:r>
      <w:r>
        <w:t>e</w:t>
      </w:r>
      <w:r>
        <w:rPr>
          <w:spacing w:val="15"/>
        </w:rPr>
        <w:t xml:space="preserve"> </w:t>
      </w:r>
      <w:r>
        <w:t>outras</w:t>
      </w:r>
      <w:r>
        <w:rPr>
          <w:spacing w:val="12"/>
        </w:rPr>
        <w:t xml:space="preserve"> </w:t>
      </w:r>
      <w:r>
        <w:t>transações</w:t>
      </w:r>
      <w:r>
        <w:rPr>
          <w:spacing w:val="11"/>
        </w:rPr>
        <w:t xml:space="preserve"> </w:t>
      </w:r>
      <w:r>
        <w:t>financeiras.</w:t>
      </w:r>
      <w:r>
        <w:rPr>
          <w:spacing w:val="13"/>
        </w:rPr>
        <w:t xml:space="preserve"> </w:t>
      </w:r>
      <w:r>
        <w:t>(Nota</w:t>
      </w:r>
      <w:r>
        <w:rPr>
          <w:spacing w:val="17"/>
        </w:rPr>
        <w:t xml:space="preserve"> </w:t>
      </w:r>
      <w:r>
        <w:t>Explicativa</w:t>
      </w:r>
      <w:r>
        <w:rPr>
          <w:spacing w:val="14"/>
        </w:rPr>
        <w:t xml:space="preserve"> </w:t>
      </w:r>
      <w:r>
        <w:rPr>
          <w:spacing w:val="-5"/>
        </w:rPr>
        <w:t>31)</w:t>
      </w:r>
    </w:p>
    <w:p w14:paraId="64BA88B1" w14:textId="77777777" w:rsidR="002C6574" w:rsidRDefault="002C6574">
      <w:pPr>
        <w:pStyle w:val="Corpodetexto"/>
        <w:spacing w:before="36"/>
      </w:pPr>
    </w:p>
    <w:p w14:paraId="631AED74" w14:textId="77777777" w:rsidR="002C6574" w:rsidRDefault="00000000">
      <w:pPr>
        <w:numPr>
          <w:ilvl w:val="2"/>
          <w:numId w:val="54"/>
        </w:numPr>
        <w:tabs>
          <w:tab w:val="left" w:pos="994"/>
        </w:tabs>
        <w:ind w:left="994" w:hanging="851"/>
        <w:rPr>
          <w:rFonts w:ascii="Arial" w:hAnsi="Arial"/>
          <w:b/>
        </w:rPr>
      </w:pPr>
      <w:r>
        <w:rPr>
          <w:rFonts w:ascii="Arial" w:hAnsi="Arial"/>
          <w:b/>
        </w:rPr>
        <w:t>Subvenções</w:t>
      </w:r>
      <w:r>
        <w:rPr>
          <w:rFonts w:ascii="Arial" w:hAnsi="Arial"/>
          <w:b/>
          <w:spacing w:val="-5"/>
        </w:rPr>
        <w:t xml:space="preserve"> </w:t>
      </w:r>
      <w:r>
        <w:rPr>
          <w:rFonts w:ascii="Arial" w:hAnsi="Arial"/>
          <w:b/>
        </w:rPr>
        <w:t>e</w:t>
      </w:r>
      <w:r>
        <w:rPr>
          <w:rFonts w:ascii="Arial" w:hAnsi="Arial"/>
          <w:b/>
          <w:spacing w:val="-4"/>
        </w:rPr>
        <w:t xml:space="preserve"> </w:t>
      </w:r>
      <w:r>
        <w:rPr>
          <w:rFonts w:ascii="Arial" w:hAnsi="Arial"/>
          <w:b/>
        </w:rPr>
        <w:t>Assistências</w:t>
      </w:r>
      <w:r>
        <w:rPr>
          <w:rFonts w:ascii="Arial" w:hAnsi="Arial"/>
          <w:b/>
          <w:spacing w:val="-4"/>
        </w:rPr>
        <w:t xml:space="preserve"> </w:t>
      </w:r>
      <w:r>
        <w:rPr>
          <w:rFonts w:ascii="Arial" w:hAnsi="Arial"/>
          <w:b/>
          <w:spacing w:val="-2"/>
        </w:rPr>
        <w:t>governamentais</w:t>
      </w:r>
    </w:p>
    <w:p w14:paraId="1B145E59" w14:textId="77777777" w:rsidR="002C6574" w:rsidRDefault="00000000">
      <w:pPr>
        <w:pStyle w:val="Corpodetexto"/>
        <w:spacing w:before="193" w:line="237" w:lineRule="auto"/>
        <w:ind w:left="143" w:right="703"/>
        <w:jc w:val="both"/>
      </w:pPr>
      <w:r>
        <w:t>As subvenções e assistências governamentais são reconhecidas a valor justo quando há razoável segurança de que as condições estabelecidas foram cumpridas e o benefício será recebido. São registradas como receita no resultado de fruição do benefício. (Nota Explicativa 31)</w:t>
      </w:r>
    </w:p>
    <w:p w14:paraId="777442B0" w14:textId="77777777" w:rsidR="002C6574" w:rsidRDefault="002C6574">
      <w:pPr>
        <w:pStyle w:val="Corpodetexto"/>
        <w:spacing w:before="2"/>
      </w:pPr>
    </w:p>
    <w:p w14:paraId="422F4948" w14:textId="77777777" w:rsidR="002C6574" w:rsidRDefault="00000000">
      <w:pPr>
        <w:pStyle w:val="Corpodetexto"/>
        <w:spacing w:before="1" w:line="237" w:lineRule="auto"/>
        <w:ind w:left="143" w:right="702"/>
        <w:jc w:val="both"/>
      </w:pPr>
      <w:r>
        <w:t>A Companhia na condição de Empresa Estatal Dependente, recebe recursos financeiros da Lei Orçamentária Anual (LOA), através de repasses do Tesouro Nacional para pagamento dos gastos com pessoal, custeios em geral e investimentos.</w:t>
      </w:r>
    </w:p>
    <w:p w14:paraId="2B1B2600" w14:textId="77777777" w:rsidR="002C6574" w:rsidRDefault="002C6574">
      <w:pPr>
        <w:pStyle w:val="Corpodetexto"/>
        <w:spacing w:before="2"/>
      </w:pPr>
    </w:p>
    <w:p w14:paraId="4B8D957B" w14:textId="77777777" w:rsidR="002C6574" w:rsidRDefault="00000000">
      <w:pPr>
        <w:pStyle w:val="Corpodetexto"/>
        <w:spacing w:line="237" w:lineRule="auto"/>
        <w:ind w:left="143" w:right="701"/>
        <w:jc w:val="both"/>
      </w:pPr>
      <w:r>
        <w:t>Os recursos orçamentários recebidos para aplicação no ativo imobilizado e intangíveis (Subvenções para Investimentos) são reconhecidos como Adiantamento para Futuro Aumento de Capital (AFAC), no Passivo Exigível.</w:t>
      </w:r>
    </w:p>
    <w:p w14:paraId="11AC7477" w14:textId="77777777" w:rsidR="002C6574" w:rsidRDefault="002C6574">
      <w:pPr>
        <w:pStyle w:val="Corpodetexto"/>
        <w:spacing w:before="2"/>
      </w:pPr>
    </w:p>
    <w:p w14:paraId="1FFCB879" w14:textId="77777777" w:rsidR="002C6574" w:rsidRDefault="00000000">
      <w:pPr>
        <w:pStyle w:val="Corpodetexto"/>
        <w:spacing w:line="237" w:lineRule="auto"/>
        <w:ind w:left="143" w:right="704"/>
        <w:jc w:val="both"/>
      </w:pPr>
      <w:r>
        <w:t>Os demais recursos recebidos para o pagamento de pessoal, outros custeios e relativo ao contrato de</w:t>
      </w:r>
      <w:r>
        <w:rPr>
          <w:spacing w:val="40"/>
        </w:rPr>
        <w:t xml:space="preserve"> </w:t>
      </w:r>
      <w:r>
        <w:t>gestão são reconhecidos</w:t>
      </w:r>
      <w:r>
        <w:rPr>
          <w:spacing w:val="40"/>
        </w:rPr>
        <w:t xml:space="preserve"> </w:t>
      </w:r>
      <w:r>
        <w:t>como Subvenções</w:t>
      </w:r>
      <w:r>
        <w:rPr>
          <w:spacing w:val="36"/>
        </w:rPr>
        <w:t xml:space="preserve"> </w:t>
      </w:r>
      <w:r>
        <w:t>Econômicas conforme o CPC</w:t>
      </w:r>
      <w:r>
        <w:rPr>
          <w:spacing w:val="36"/>
        </w:rPr>
        <w:t xml:space="preserve"> </w:t>
      </w:r>
      <w:r>
        <w:t>07.</w:t>
      </w:r>
    </w:p>
    <w:p w14:paraId="3D3DB91F" w14:textId="77777777" w:rsidR="002C6574" w:rsidRDefault="002C6574">
      <w:pPr>
        <w:pStyle w:val="Corpodetexto"/>
        <w:spacing w:before="28"/>
      </w:pPr>
    </w:p>
    <w:p w14:paraId="03F3B8D3" w14:textId="77777777" w:rsidR="002C6574" w:rsidRDefault="00000000">
      <w:pPr>
        <w:numPr>
          <w:ilvl w:val="2"/>
          <w:numId w:val="54"/>
        </w:numPr>
        <w:tabs>
          <w:tab w:val="left" w:pos="994"/>
        </w:tabs>
        <w:ind w:left="994" w:hanging="851"/>
        <w:rPr>
          <w:rFonts w:ascii="Arial" w:hAnsi="Arial"/>
          <w:b/>
        </w:rPr>
      </w:pPr>
      <w:r>
        <w:rPr>
          <w:rFonts w:ascii="Arial" w:hAnsi="Arial"/>
          <w:b/>
        </w:rPr>
        <w:t>Imposto</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Renda</w:t>
      </w:r>
      <w:r>
        <w:rPr>
          <w:rFonts w:ascii="Arial" w:hAnsi="Arial"/>
          <w:b/>
          <w:spacing w:val="-4"/>
        </w:rPr>
        <w:t xml:space="preserve"> </w:t>
      </w:r>
      <w:r>
        <w:rPr>
          <w:rFonts w:ascii="Arial" w:hAnsi="Arial"/>
          <w:b/>
        </w:rPr>
        <w:t>e Contribuição</w:t>
      </w:r>
      <w:r>
        <w:rPr>
          <w:rFonts w:ascii="Arial" w:hAnsi="Arial"/>
          <w:b/>
          <w:spacing w:val="-2"/>
        </w:rPr>
        <w:t xml:space="preserve"> </w:t>
      </w:r>
      <w:r>
        <w:rPr>
          <w:rFonts w:ascii="Arial" w:hAnsi="Arial"/>
          <w:b/>
        </w:rPr>
        <w:t>Social</w:t>
      </w:r>
      <w:r>
        <w:rPr>
          <w:rFonts w:ascii="Arial" w:hAnsi="Arial"/>
          <w:b/>
          <w:spacing w:val="-2"/>
        </w:rPr>
        <w:t xml:space="preserve"> </w:t>
      </w:r>
      <w:r>
        <w:rPr>
          <w:rFonts w:ascii="Arial" w:hAnsi="Arial"/>
          <w:b/>
        </w:rPr>
        <w:t>Sobre</w:t>
      </w:r>
      <w:r>
        <w:rPr>
          <w:rFonts w:ascii="Arial" w:hAnsi="Arial"/>
          <w:b/>
          <w:spacing w:val="-4"/>
        </w:rPr>
        <w:t xml:space="preserve"> </w:t>
      </w:r>
      <w:r>
        <w:rPr>
          <w:rFonts w:ascii="Arial" w:hAnsi="Arial"/>
          <w:b/>
        </w:rPr>
        <w:t>o Lucro</w:t>
      </w:r>
      <w:r>
        <w:rPr>
          <w:rFonts w:ascii="Arial" w:hAnsi="Arial"/>
          <w:b/>
          <w:spacing w:val="-5"/>
        </w:rPr>
        <w:t xml:space="preserve"> </w:t>
      </w:r>
      <w:r>
        <w:rPr>
          <w:rFonts w:ascii="Arial" w:hAnsi="Arial"/>
          <w:b/>
        </w:rPr>
        <w:t>Corrente</w:t>
      </w:r>
      <w:r>
        <w:rPr>
          <w:rFonts w:ascii="Arial" w:hAnsi="Arial"/>
          <w:b/>
          <w:spacing w:val="-4"/>
        </w:rPr>
        <w:t xml:space="preserve"> </w:t>
      </w:r>
      <w:r>
        <w:rPr>
          <w:rFonts w:ascii="Arial" w:hAnsi="Arial"/>
          <w:b/>
        </w:rPr>
        <w:t>e</w:t>
      </w:r>
      <w:r>
        <w:rPr>
          <w:rFonts w:ascii="Arial" w:hAnsi="Arial"/>
          <w:b/>
          <w:spacing w:val="-4"/>
        </w:rPr>
        <w:t xml:space="preserve"> </w:t>
      </w:r>
      <w:r>
        <w:rPr>
          <w:rFonts w:ascii="Arial" w:hAnsi="Arial"/>
          <w:b/>
          <w:spacing w:val="-2"/>
        </w:rPr>
        <w:t>Diferidos</w:t>
      </w:r>
    </w:p>
    <w:p w14:paraId="380632F8" w14:textId="77777777" w:rsidR="002C6574" w:rsidRDefault="00000000">
      <w:pPr>
        <w:pStyle w:val="Corpodetexto"/>
        <w:spacing w:before="170" w:line="237" w:lineRule="auto"/>
        <w:ind w:left="143" w:right="702"/>
        <w:jc w:val="both"/>
      </w:pPr>
      <w:r>
        <w:t>O</w:t>
      </w:r>
      <w:r>
        <w:rPr>
          <w:spacing w:val="-7"/>
        </w:rPr>
        <w:t xml:space="preserve"> </w:t>
      </w:r>
      <w:r>
        <w:t>Imposto</w:t>
      </w:r>
      <w:r>
        <w:rPr>
          <w:spacing w:val="-4"/>
        </w:rPr>
        <w:t xml:space="preserve"> </w:t>
      </w:r>
      <w:r>
        <w:t>de</w:t>
      </w:r>
      <w:r>
        <w:rPr>
          <w:spacing w:val="-5"/>
        </w:rPr>
        <w:t xml:space="preserve"> </w:t>
      </w:r>
      <w:r>
        <w:t>Renda</w:t>
      </w:r>
      <w:r>
        <w:rPr>
          <w:spacing w:val="-4"/>
        </w:rPr>
        <w:t xml:space="preserve"> </w:t>
      </w:r>
      <w:r>
        <w:t>e</w:t>
      </w:r>
      <w:r>
        <w:rPr>
          <w:spacing w:val="-4"/>
        </w:rPr>
        <w:t xml:space="preserve"> </w:t>
      </w:r>
      <w:r>
        <w:t>a</w:t>
      </w:r>
      <w:r>
        <w:rPr>
          <w:spacing w:val="-11"/>
        </w:rPr>
        <w:t xml:space="preserve"> </w:t>
      </w:r>
      <w:r>
        <w:t>Contribuição</w:t>
      </w:r>
      <w:r>
        <w:rPr>
          <w:spacing w:val="-4"/>
        </w:rPr>
        <w:t xml:space="preserve"> </w:t>
      </w:r>
      <w:r>
        <w:t>Social</w:t>
      </w:r>
      <w:r>
        <w:rPr>
          <w:spacing w:val="-7"/>
        </w:rPr>
        <w:t xml:space="preserve"> </w:t>
      </w:r>
      <w:r>
        <w:t>do</w:t>
      </w:r>
      <w:r>
        <w:rPr>
          <w:spacing w:val="-5"/>
        </w:rPr>
        <w:t xml:space="preserve"> </w:t>
      </w:r>
      <w:r>
        <w:t>exercício</w:t>
      </w:r>
      <w:r>
        <w:rPr>
          <w:spacing w:val="-5"/>
        </w:rPr>
        <w:t xml:space="preserve"> </w:t>
      </w:r>
      <w:r>
        <w:t>corrente</w:t>
      </w:r>
      <w:r>
        <w:rPr>
          <w:spacing w:val="-5"/>
        </w:rPr>
        <w:t xml:space="preserve"> </w:t>
      </w:r>
      <w:r>
        <w:t>e</w:t>
      </w:r>
      <w:r>
        <w:rPr>
          <w:spacing w:val="-5"/>
        </w:rPr>
        <w:t xml:space="preserve"> </w:t>
      </w:r>
      <w:r>
        <w:t>diferido</w:t>
      </w:r>
      <w:r>
        <w:rPr>
          <w:spacing w:val="-4"/>
        </w:rPr>
        <w:t xml:space="preserve"> </w:t>
      </w:r>
      <w:r>
        <w:t>são</w:t>
      </w:r>
      <w:r>
        <w:rPr>
          <w:spacing w:val="-4"/>
        </w:rPr>
        <w:t xml:space="preserve"> </w:t>
      </w:r>
      <w:r>
        <w:t>calculados</w:t>
      </w:r>
      <w:r>
        <w:rPr>
          <w:spacing w:val="-4"/>
        </w:rPr>
        <w:t xml:space="preserve"> </w:t>
      </w:r>
      <w:r>
        <w:t>com</w:t>
      </w:r>
      <w:r>
        <w:rPr>
          <w:spacing w:val="-4"/>
        </w:rPr>
        <w:t xml:space="preserve"> </w:t>
      </w:r>
      <w:r>
        <w:t xml:space="preserve">base </w:t>
      </w:r>
      <w:r>
        <w:rPr>
          <w:spacing w:val="-2"/>
          <w:w w:val="105"/>
        </w:rPr>
        <w:t>nas</w:t>
      </w:r>
      <w:r>
        <w:rPr>
          <w:spacing w:val="-8"/>
          <w:w w:val="105"/>
        </w:rPr>
        <w:t xml:space="preserve"> </w:t>
      </w:r>
      <w:r>
        <w:rPr>
          <w:spacing w:val="-2"/>
          <w:w w:val="105"/>
        </w:rPr>
        <w:t>alíquotas</w:t>
      </w:r>
      <w:r>
        <w:rPr>
          <w:spacing w:val="-12"/>
          <w:w w:val="105"/>
        </w:rPr>
        <w:t xml:space="preserve"> </w:t>
      </w:r>
      <w:r>
        <w:rPr>
          <w:spacing w:val="-2"/>
          <w:w w:val="105"/>
        </w:rPr>
        <w:t>de</w:t>
      </w:r>
      <w:r>
        <w:rPr>
          <w:spacing w:val="-8"/>
          <w:w w:val="105"/>
        </w:rPr>
        <w:t xml:space="preserve"> </w:t>
      </w:r>
      <w:r>
        <w:rPr>
          <w:spacing w:val="-2"/>
          <w:w w:val="105"/>
        </w:rPr>
        <w:t>15%,</w:t>
      </w:r>
      <w:r>
        <w:rPr>
          <w:spacing w:val="-10"/>
          <w:w w:val="105"/>
        </w:rPr>
        <w:t xml:space="preserve"> </w:t>
      </w:r>
      <w:r>
        <w:rPr>
          <w:spacing w:val="-2"/>
          <w:w w:val="105"/>
        </w:rPr>
        <w:t>acrescidas</w:t>
      </w:r>
      <w:r>
        <w:rPr>
          <w:spacing w:val="-8"/>
          <w:w w:val="105"/>
        </w:rPr>
        <w:t xml:space="preserve"> </w:t>
      </w:r>
      <w:r>
        <w:rPr>
          <w:spacing w:val="-2"/>
          <w:w w:val="105"/>
        </w:rPr>
        <w:t>do</w:t>
      </w:r>
      <w:r>
        <w:rPr>
          <w:spacing w:val="-9"/>
          <w:w w:val="105"/>
        </w:rPr>
        <w:t xml:space="preserve"> </w:t>
      </w:r>
      <w:r>
        <w:rPr>
          <w:spacing w:val="-2"/>
          <w:w w:val="105"/>
        </w:rPr>
        <w:t>adicional</w:t>
      </w:r>
      <w:r>
        <w:rPr>
          <w:spacing w:val="-10"/>
          <w:w w:val="105"/>
        </w:rPr>
        <w:t xml:space="preserve"> </w:t>
      </w:r>
      <w:r>
        <w:rPr>
          <w:spacing w:val="-2"/>
          <w:w w:val="105"/>
        </w:rPr>
        <w:t>de</w:t>
      </w:r>
      <w:r>
        <w:rPr>
          <w:spacing w:val="-10"/>
          <w:w w:val="105"/>
        </w:rPr>
        <w:t xml:space="preserve"> </w:t>
      </w:r>
      <w:r>
        <w:rPr>
          <w:spacing w:val="-2"/>
          <w:w w:val="105"/>
        </w:rPr>
        <w:t>10%</w:t>
      </w:r>
      <w:r>
        <w:rPr>
          <w:spacing w:val="-8"/>
          <w:w w:val="105"/>
        </w:rPr>
        <w:t xml:space="preserve"> </w:t>
      </w:r>
      <w:r>
        <w:rPr>
          <w:spacing w:val="-2"/>
          <w:w w:val="105"/>
        </w:rPr>
        <w:t>sobre</w:t>
      </w:r>
      <w:r>
        <w:rPr>
          <w:spacing w:val="-9"/>
          <w:w w:val="105"/>
        </w:rPr>
        <w:t xml:space="preserve"> </w:t>
      </w:r>
      <w:r>
        <w:rPr>
          <w:spacing w:val="-2"/>
          <w:w w:val="105"/>
        </w:rPr>
        <w:t>o</w:t>
      </w:r>
      <w:r>
        <w:rPr>
          <w:spacing w:val="-11"/>
          <w:w w:val="105"/>
        </w:rPr>
        <w:t xml:space="preserve"> </w:t>
      </w:r>
      <w:r>
        <w:rPr>
          <w:spacing w:val="-2"/>
          <w:w w:val="105"/>
        </w:rPr>
        <w:t>lucro</w:t>
      </w:r>
      <w:r>
        <w:rPr>
          <w:spacing w:val="-12"/>
          <w:w w:val="105"/>
        </w:rPr>
        <w:t xml:space="preserve"> </w:t>
      </w:r>
      <w:r>
        <w:rPr>
          <w:spacing w:val="-2"/>
          <w:w w:val="105"/>
        </w:rPr>
        <w:t>tributável</w:t>
      </w:r>
      <w:r>
        <w:rPr>
          <w:spacing w:val="-10"/>
          <w:w w:val="105"/>
        </w:rPr>
        <w:t xml:space="preserve"> </w:t>
      </w:r>
      <w:r>
        <w:rPr>
          <w:spacing w:val="-2"/>
          <w:w w:val="105"/>
        </w:rPr>
        <w:t>excedente</w:t>
      </w:r>
      <w:r>
        <w:rPr>
          <w:spacing w:val="-10"/>
          <w:w w:val="105"/>
        </w:rPr>
        <w:t xml:space="preserve"> </w:t>
      </w:r>
      <w:r>
        <w:rPr>
          <w:spacing w:val="-2"/>
          <w:w w:val="105"/>
        </w:rPr>
        <w:t>de</w:t>
      </w:r>
      <w:r>
        <w:rPr>
          <w:spacing w:val="-10"/>
          <w:w w:val="105"/>
        </w:rPr>
        <w:t xml:space="preserve"> </w:t>
      </w:r>
      <w:r>
        <w:rPr>
          <w:spacing w:val="-2"/>
          <w:w w:val="105"/>
        </w:rPr>
        <w:t>R$</w:t>
      </w:r>
      <w:r>
        <w:rPr>
          <w:spacing w:val="-9"/>
          <w:w w:val="105"/>
        </w:rPr>
        <w:t xml:space="preserve"> </w:t>
      </w:r>
      <w:r>
        <w:rPr>
          <w:spacing w:val="-2"/>
          <w:w w:val="105"/>
        </w:rPr>
        <w:t xml:space="preserve">240 </w:t>
      </w:r>
      <w:r>
        <w:t>para</w:t>
      </w:r>
      <w:r>
        <w:rPr>
          <w:spacing w:val="-5"/>
        </w:rPr>
        <w:t xml:space="preserve"> </w:t>
      </w:r>
      <w:r>
        <w:t>Imposto</w:t>
      </w:r>
      <w:r>
        <w:rPr>
          <w:spacing w:val="-1"/>
        </w:rPr>
        <w:t xml:space="preserve"> </w:t>
      </w:r>
      <w:r>
        <w:t>de</w:t>
      </w:r>
      <w:r>
        <w:rPr>
          <w:spacing w:val="-3"/>
        </w:rPr>
        <w:t xml:space="preserve"> </w:t>
      </w:r>
      <w:r>
        <w:t>Renda</w:t>
      </w:r>
      <w:r>
        <w:rPr>
          <w:spacing w:val="-1"/>
        </w:rPr>
        <w:t xml:space="preserve"> </w:t>
      </w:r>
      <w:r>
        <w:t>e</w:t>
      </w:r>
      <w:r>
        <w:rPr>
          <w:spacing w:val="-3"/>
        </w:rPr>
        <w:t xml:space="preserve"> </w:t>
      </w:r>
      <w:r>
        <w:t>9%</w:t>
      </w:r>
      <w:r>
        <w:rPr>
          <w:spacing w:val="-4"/>
        </w:rPr>
        <w:t xml:space="preserve"> </w:t>
      </w:r>
      <w:r>
        <w:t>sobre</w:t>
      </w:r>
      <w:r>
        <w:rPr>
          <w:spacing w:val="-5"/>
        </w:rPr>
        <w:t xml:space="preserve"> </w:t>
      </w:r>
      <w:r>
        <w:t>o</w:t>
      </w:r>
      <w:r>
        <w:rPr>
          <w:spacing w:val="-1"/>
        </w:rPr>
        <w:t xml:space="preserve"> </w:t>
      </w:r>
      <w:r>
        <w:t>lucro</w:t>
      </w:r>
      <w:r>
        <w:rPr>
          <w:spacing w:val="-5"/>
        </w:rPr>
        <w:t xml:space="preserve"> </w:t>
      </w:r>
      <w:r>
        <w:t>tributável</w:t>
      </w:r>
      <w:r>
        <w:rPr>
          <w:spacing w:val="-1"/>
        </w:rPr>
        <w:t xml:space="preserve"> </w:t>
      </w:r>
      <w:r>
        <w:t>para</w:t>
      </w:r>
      <w:r>
        <w:rPr>
          <w:spacing w:val="-3"/>
        </w:rPr>
        <w:t xml:space="preserve"> </w:t>
      </w:r>
      <w:r>
        <w:t>Contribuição</w:t>
      </w:r>
      <w:r>
        <w:rPr>
          <w:spacing w:val="-1"/>
        </w:rPr>
        <w:t xml:space="preserve"> </w:t>
      </w:r>
      <w:r>
        <w:t>Social</w:t>
      </w:r>
      <w:r>
        <w:rPr>
          <w:spacing w:val="-1"/>
        </w:rPr>
        <w:t xml:space="preserve"> </w:t>
      </w:r>
      <w:r>
        <w:t>Sobre</w:t>
      </w:r>
      <w:r>
        <w:rPr>
          <w:spacing w:val="-3"/>
        </w:rPr>
        <w:t xml:space="preserve"> </w:t>
      </w:r>
      <w:r>
        <w:t>o</w:t>
      </w:r>
      <w:r>
        <w:rPr>
          <w:spacing w:val="-1"/>
        </w:rPr>
        <w:t xml:space="preserve"> </w:t>
      </w:r>
      <w:r>
        <w:t>Lucro</w:t>
      </w:r>
      <w:r>
        <w:rPr>
          <w:spacing w:val="-3"/>
        </w:rPr>
        <w:t xml:space="preserve"> </w:t>
      </w:r>
      <w:r>
        <w:t xml:space="preserve">Líquido. </w:t>
      </w:r>
      <w:r>
        <w:rPr>
          <w:w w:val="105"/>
        </w:rPr>
        <w:t>É</w:t>
      </w:r>
      <w:r>
        <w:rPr>
          <w:spacing w:val="-4"/>
          <w:w w:val="105"/>
        </w:rPr>
        <w:t xml:space="preserve"> </w:t>
      </w:r>
      <w:r>
        <w:rPr>
          <w:w w:val="105"/>
        </w:rPr>
        <w:t>considerada,</w:t>
      </w:r>
      <w:r>
        <w:rPr>
          <w:spacing w:val="-3"/>
          <w:w w:val="105"/>
        </w:rPr>
        <w:t xml:space="preserve"> </w:t>
      </w:r>
      <w:r>
        <w:rPr>
          <w:w w:val="105"/>
        </w:rPr>
        <w:t>ainda,</w:t>
      </w:r>
      <w:r>
        <w:rPr>
          <w:spacing w:val="-5"/>
          <w:w w:val="105"/>
        </w:rPr>
        <w:t xml:space="preserve"> </w:t>
      </w:r>
      <w:r>
        <w:rPr>
          <w:w w:val="105"/>
        </w:rPr>
        <w:t>a</w:t>
      </w:r>
      <w:r>
        <w:rPr>
          <w:spacing w:val="-5"/>
          <w:w w:val="105"/>
        </w:rPr>
        <w:t xml:space="preserve"> </w:t>
      </w:r>
      <w:r>
        <w:rPr>
          <w:w w:val="105"/>
        </w:rPr>
        <w:t>compensação</w:t>
      </w:r>
      <w:r>
        <w:rPr>
          <w:spacing w:val="-4"/>
          <w:w w:val="105"/>
        </w:rPr>
        <w:t xml:space="preserve"> </w:t>
      </w:r>
      <w:r>
        <w:rPr>
          <w:w w:val="105"/>
        </w:rPr>
        <w:t>de</w:t>
      </w:r>
      <w:r>
        <w:rPr>
          <w:spacing w:val="-6"/>
          <w:w w:val="105"/>
        </w:rPr>
        <w:t xml:space="preserve"> </w:t>
      </w:r>
      <w:r>
        <w:rPr>
          <w:w w:val="105"/>
        </w:rPr>
        <w:t>prejuízos</w:t>
      </w:r>
      <w:r>
        <w:rPr>
          <w:spacing w:val="-4"/>
          <w:w w:val="105"/>
        </w:rPr>
        <w:t xml:space="preserve"> </w:t>
      </w:r>
      <w:r>
        <w:rPr>
          <w:w w:val="105"/>
        </w:rPr>
        <w:t>fiscais</w:t>
      </w:r>
      <w:r>
        <w:rPr>
          <w:spacing w:val="-5"/>
          <w:w w:val="105"/>
        </w:rPr>
        <w:t xml:space="preserve"> </w:t>
      </w:r>
      <w:r>
        <w:rPr>
          <w:w w:val="105"/>
        </w:rPr>
        <w:t>e</w:t>
      </w:r>
      <w:r>
        <w:rPr>
          <w:spacing w:val="-4"/>
          <w:w w:val="105"/>
        </w:rPr>
        <w:t xml:space="preserve"> </w:t>
      </w:r>
      <w:r>
        <w:rPr>
          <w:w w:val="105"/>
        </w:rPr>
        <w:t>base</w:t>
      </w:r>
      <w:r>
        <w:rPr>
          <w:spacing w:val="-4"/>
          <w:w w:val="105"/>
        </w:rPr>
        <w:t xml:space="preserve"> </w:t>
      </w:r>
      <w:r>
        <w:rPr>
          <w:w w:val="105"/>
        </w:rPr>
        <w:t>negativa</w:t>
      </w:r>
      <w:r>
        <w:rPr>
          <w:spacing w:val="-4"/>
          <w:w w:val="105"/>
        </w:rPr>
        <w:t xml:space="preserve"> </w:t>
      </w:r>
      <w:r>
        <w:rPr>
          <w:w w:val="105"/>
        </w:rPr>
        <w:t>de</w:t>
      </w:r>
      <w:r>
        <w:rPr>
          <w:spacing w:val="-4"/>
          <w:w w:val="105"/>
        </w:rPr>
        <w:t xml:space="preserve"> </w:t>
      </w:r>
      <w:r>
        <w:rPr>
          <w:w w:val="105"/>
        </w:rPr>
        <w:t>Contribuição</w:t>
      </w:r>
      <w:r>
        <w:rPr>
          <w:spacing w:val="-4"/>
          <w:w w:val="105"/>
        </w:rPr>
        <w:t xml:space="preserve"> </w:t>
      </w:r>
      <w:r>
        <w:rPr>
          <w:w w:val="105"/>
        </w:rPr>
        <w:t>Social, limitada a 30% do lucro real.</w:t>
      </w:r>
    </w:p>
    <w:p w14:paraId="60DE3666" w14:textId="77777777" w:rsidR="002C6574" w:rsidRDefault="002C6574">
      <w:pPr>
        <w:pStyle w:val="Corpodetexto"/>
        <w:spacing w:before="1"/>
      </w:pPr>
    </w:p>
    <w:p w14:paraId="47D9CCE2" w14:textId="77777777" w:rsidR="002C6574" w:rsidRDefault="00000000">
      <w:pPr>
        <w:pStyle w:val="Corpodetexto"/>
        <w:ind w:left="143" w:right="704"/>
        <w:jc w:val="both"/>
      </w:pPr>
      <w:r>
        <w:t>A</w:t>
      </w:r>
      <w:r>
        <w:rPr>
          <w:spacing w:val="-7"/>
        </w:rPr>
        <w:t xml:space="preserve"> </w:t>
      </w:r>
      <w:r>
        <w:t>despesa</w:t>
      </w:r>
      <w:r>
        <w:rPr>
          <w:spacing w:val="-6"/>
        </w:rPr>
        <w:t xml:space="preserve"> </w:t>
      </w:r>
      <w:r>
        <w:t>com</w:t>
      </w:r>
      <w:r>
        <w:rPr>
          <w:spacing w:val="-7"/>
        </w:rPr>
        <w:t xml:space="preserve"> </w:t>
      </w:r>
      <w:r>
        <w:t>Imposto</w:t>
      </w:r>
      <w:r>
        <w:rPr>
          <w:spacing w:val="-7"/>
        </w:rPr>
        <w:t xml:space="preserve"> </w:t>
      </w:r>
      <w:r>
        <w:t>de</w:t>
      </w:r>
      <w:r>
        <w:rPr>
          <w:spacing w:val="-6"/>
        </w:rPr>
        <w:t xml:space="preserve"> </w:t>
      </w:r>
      <w:r>
        <w:t>Renda</w:t>
      </w:r>
      <w:r>
        <w:rPr>
          <w:spacing w:val="-4"/>
        </w:rPr>
        <w:t xml:space="preserve"> </w:t>
      </w:r>
      <w:r>
        <w:t>e</w:t>
      </w:r>
      <w:r>
        <w:rPr>
          <w:spacing w:val="-6"/>
        </w:rPr>
        <w:t xml:space="preserve"> </w:t>
      </w:r>
      <w:r>
        <w:t>Contribuição</w:t>
      </w:r>
      <w:r>
        <w:rPr>
          <w:spacing w:val="-7"/>
        </w:rPr>
        <w:t xml:space="preserve"> </w:t>
      </w:r>
      <w:r>
        <w:t>Social</w:t>
      </w:r>
      <w:r>
        <w:rPr>
          <w:spacing w:val="-7"/>
        </w:rPr>
        <w:t xml:space="preserve"> </w:t>
      </w:r>
      <w:r>
        <w:t>compreende</w:t>
      </w:r>
      <w:r>
        <w:rPr>
          <w:spacing w:val="-4"/>
        </w:rPr>
        <w:t xml:space="preserve"> </w:t>
      </w:r>
      <w:r>
        <w:t>os</w:t>
      </w:r>
      <w:r>
        <w:rPr>
          <w:spacing w:val="-4"/>
        </w:rPr>
        <w:t xml:space="preserve"> </w:t>
      </w:r>
      <w:r>
        <w:t>impostos</w:t>
      </w:r>
      <w:r>
        <w:rPr>
          <w:spacing w:val="-4"/>
        </w:rPr>
        <w:t xml:space="preserve"> </w:t>
      </w:r>
      <w:r>
        <w:t>de</w:t>
      </w:r>
      <w:r>
        <w:rPr>
          <w:spacing w:val="-9"/>
        </w:rPr>
        <w:t xml:space="preserve"> </w:t>
      </w:r>
      <w:r>
        <w:t>renda</w:t>
      </w:r>
      <w:r>
        <w:rPr>
          <w:spacing w:val="-7"/>
        </w:rPr>
        <w:t xml:space="preserve"> </w:t>
      </w:r>
      <w:r>
        <w:t>correntes e diferidos. O Imposto Corrente e o Imposto Diferido são reconhecidos no resultado, a menos que estejam relacionados à combinação de negócios, ou itens diretamente reconhecidos no patrimônio líquido, ou em outros resultados abrangentes.</w:t>
      </w:r>
    </w:p>
    <w:p w14:paraId="0995CE2D" w14:textId="77777777" w:rsidR="002C6574" w:rsidRDefault="002C6574">
      <w:pPr>
        <w:pStyle w:val="Corpodetexto"/>
        <w:jc w:val="both"/>
        <w:sectPr w:rsidR="002C6574">
          <w:headerReference w:type="default" r:id="rId69"/>
          <w:footerReference w:type="default" r:id="rId70"/>
          <w:pgSz w:w="11910" w:h="16840"/>
          <w:pgMar w:top="1600" w:right="141" w:bottom="1540" w:left="1133" w:header="856" w:footer="1350" w:gutter="0"/>
          <w:cols w:space="720"/>
        </w:sectPr>
      </w:pPr>
    </w:p>
    <w:p w14:paraId="5313402E" w14:textId="77777777" w:rsidR="002C6574" w:rsidRDefault="002C6574">
      <w:pPr>
        <w:pStyle w:val="Corpodetexto"/>
        <w:spacing w:before="195"/>
      </w:pPr>
    </w:p>
    <w:p w14:paraId="24920884" w14:textId="77777777" w:rsidR="002C6574" w:rsidRDefault="00000000">
      <w:pPr>
        <w:pStyle w:val="Corpodetexto"/>
        <w:spacing w:before="1"/>
        <w:ind w:left="143" w:right="704"/>
        <w:jc w:val="both"/>
      </w:pPr>
      <w:r>
        <w:t>O Imposto</w:t>
      </w:r>
      <w:r>
        <w:rPr>
          <w:spacing w:val="-2"/>
        </w:rPr>
        <w:t xml:space="preserve"> </w:t>
      </w:r>
      <w:r>
        <w:t>Corrente</w:t>
      </w:r>
      <w:r>
        <w:rPr>
          <w:spacing w:val="-3"/>
        </w:rPr>
        <w:t xml:space="preserve"> </w:t>
      </w:r>
      <w:r>
        <w:t>é</w:t>
      </w:r>
      <w:r>
        <w:rPr>
          <w:spacing w:val="-4"/>
        </w:rPr>
        <w:t xml:space="preserve"> </w:t>
      </w:r>
      <w:r>
        <w:t>o</w:t>
      </w:r>
      <w:r>
        <w:rPr>
          <w:spacing w:val="-3"/>
        </w:rPr>
        <w:t xml:space="preserve"> </w:t>
      </w:r>
      <w:r>
        <w:t>imposto</w:t>
      </w:r>
      <w:r>
        <w:rPr>
          <w:spacing w:val="-3"/>
        </w:rPr>
        <w:t xml:space="preserve"> </w:t>
      </w:r>
      <w:r>
        <w:t>a</w:t>
      </w:r>
      <w:r>
        <w:rPr>
          <w:spacing w:val="-2"/>
        </w:rPr>
        <w:t xml:space="preserve"> </w:t>
      </w:r>
      <w:r>
        <w:t>pagar</w:t>
      </w:r>
      <w:r>
        <w:rPr>
          <w:spacing w:val="-1"/>
        </w:rPr>
        <w:t xml:space="preserve"> </w:t>
      </w:r>
      <w:r>
        <w:t>ou</w:t>
      </w:r>
      <w:r>
        <w:rPr>
          <w:spacing w:val="-6"/>
        </w:rPr>
        <w:t xml:space="preserve"> </w:t>
      </w:r>
      <w:r>
        <w:t>a</w:t>
      </w:r>
      <w:r>
        <w:rPr>
          <w:spacing w:val="-2"/>
        </w:rPr>
        <w:t xml:space="preserve"> </w:t>
      </w:r>
      <w:r>
        <w:t>receber</w:t>
      </w:r>
      <w:r>
        <w:rPr>
          <w:spacing w:val="-1"/>
        </w:rPr>
        <w:t xml:space="preserve"> </w:t>
      </w:r>
      <w:r>
        <w:t>esperado</w:t>
      </w:r>
      <w:r>
        <w:rPr>
          <w:spacing w:val="-3"/>
        </w:rPr>
        <w:t xml:space="preserve"> </w:t>
      </w:r>
      <w:r>
        <w:t>sobre</w:t>
      </w:r>
      <w:r>
        <w:rPr>
          <w:spacing w:val="-3"/>
        </w:rPr>
        <w:t xml:space="preserve"> </w:t>
      </w:r>
      <w:r>
        <w:t>o</w:t>
      </w:r>
      <w:r>
        <w:rPr>
          <w:spacing w:val="-3"/>
        </w:rPr>
        <w:t xml:space="preserve"> </w:t>
      </w:r>
      <w:r>
        <w:t>lucro</w:t>
      </w:r>
      <w:r>
        <w:rPr>
          <w:spacing w:val="-3"/>
        </w:rPr>
        <w:t xml:space="preserve"> </w:t>
      </w:r>
      <w:r>
        <w:t>tributável</w:t>
      </w:r>
      <w:r>
        <w:rPr>
          <w:spacing w:val="-2"/>
        </w:rPr>
        <w:t xml:space="preserve"> </w:t>
      </w:r>
      <w:r>
        <w:t>do</w:t>
      </w:r>
      <w:r>
        <w:rPr>
          <w:spacing w:val="-2"/>
        </w:rPr>
        <w:t xml:space="preserve"> </w:t>
      </w:r>
      <w:r>
        <w:t xml:space="preserve">exercício, a taxas de impostos vigentes ou substantivamente vigentes na data de apresentação das demonstrações contábeis e qualquer ajuste aos impostos a pagar com relação aos exercícios </w:t>
      </w:r>
      <w:r>
        <w:rPr>
          <w:spacing w:val="-2"/>
        </w:rPr>
        <w:t>anteriores.</w:t>
      </w:r>
    </w:p>
    <w:p w14:paraId="115D87B3" w14:textId="77777777" w:rsidR="002C6574" w:rsidRDefault="00000000">
      <w:pPr>
        <w:pStyle w:val="Corpodetexto"/>
        <w:spacing w:before="288" w:line="237" w:lineRule="auto"/>
        <w:ind w:left="143" w:right="704"/>
        <w:jc w:val="both"/>
      </w:pPr>
      <w:r>
        <w:t>O Imposto Diferido é reconhecido com relação às diferenças temporárias entre os valores contábeis de ativos, passivos e os correspondentes valores usados para fins de tributação. O Imposto Diferido</w:t>
      </w:r>
      <w:r>
        <w:rPr>
          <w:spacing w:val="40"/>
        </w:rPr>
        <w:t xml:space="preserve"> </w:t>
      </w:r>
      <w:r>
        <w:t>é mensurado pelas alíquotas que se espera serem aplicadas às diferenças temporárias quando elas revertem, baseando-se nas leis que foram decretadas ou substantivamente decretadas até a data de apresentação das demonstrações financeiras.</w:t>
      </w:r>
    </w:p>
    <w:p w14:paraId="4C2B860A" w14:textId="77777777" w:rsidR="002C6574" w:rsidRDefault="002C6574">
      <w:pPr>
        <w:pStyle w:val="Corpodetexto"/>
        <w:spacing w:before="4"/>
      </w:pPr>
    </w:p>
    <w:p w14:paraId="3CC20753" w14:textId="77777777" w:rsidR="002C6574" w:rsidRDefault="00000000">
      <w:pPr>
        <w:pStyle w:val="Corpodetexto"/>
        <w:spacing w:line="237" w:lineRule="auto"/>
        <w:ind w:left="143" w:right="705"/>
        <w:jc w:val="both"/>
      </w:pPr>
      <w:r>
        <w:rPr>
          <w:spacing w:val="-2"/>
          <w:w w:val="105"/>
        </w:rPr>
        <w:t>Os</w:t>
      </w:r>
      <w:r>
        <w:rPr>
          <w:spacing w:val="-6"/>
          <w:w w:val="105"/>
        </w:rPr>
        <w:t xml:space="preserve"> </w:t>
      </w:r>
      <w:r>
        <w:rPr>
          <w:spacing w:val="-2"/>
          <w:w w:val="105"/>
        </w:rPr>
        <w:t>ativos</w:t>
      </w:r>
      <w:r>
        <w:rPr>
          <w:spacing w:val="-8"/>
          <w:w w:val="105"/>
        </w:rPr>
        <w:t xml:space="preserve"> </w:t>
      </w:r>
      <w:r>
        <w:rPr>
          <w:spacing w:val="-2"/>
          <w:w w:val="105"/>
        </w:rPr>
        <w:t>e</w:t>
      </w:r>
      <w:r>
        <w:rPr>
          <w:spacing w:val="-6"/>
          <w:w w:val="105"/>
        </w:rPr>
        <w:t xml:space="preserve"> </w:t>
      </w:r>
      <w:r>
        <w:rPr>
          <w:spacing w:val="-2"/>
          <w:w w:val="105"/>
        </w:rPr>
        <w:t>os</w:t>
      </w:r>
      <w:r>
        <w:rPr>
          <w:spacing w:val="-8"/>
          <w:w w:val="105"/>
        </w:rPr>
        <w:t xml:space="preserve"> </w:t>
      </w:r>
      <w:r>
        <w:rPr>
          <w:spacing w:val="-2"/>
          <w:w w:val="105"/>
        </w:rPr>
        <w:t>passivos</w:t>
      </w:r>
      <w:r>
        <w:rPr>
          <w:spacing w:val="-8"/>
          <w:w w:val="105"/>
        </w:rPr>
        <w:t xml:space="preserve"> </w:t>
      </w:r>
      <w:r>
        <w:rPr>
          <w:spacing w:val="-2"/>
          <w:w w:val="105"/>
        </w:rPr>
        <w:t>fiscais</w:t>
      </w:r>
      <w:r>
        <w:rPr>
          <w:spacing w:val="-8"/>
          <w:w w:val="105"/>
        </w:rPr>
        <w:t xml:space="preserve"> </w:t>
      </w:r>
      <w:r>
        <w:rPr>
          <w:spacing w:val="-2"/>
          <w:w w:val="105"/>
        </w:rPr>
        <w:t>diferidos</w:t>
      </w:r>
      <w:r>
        <w:rPr>
          <w:spacing w:val="-6"/>
          <w:w w:val="105"/>
        </w:rPr>
        <w:t xml:space="preserve"> </w:t>
      </w:r>
      <w:r>
        <w:rPr>
          <w:spacing w:val="-2"/>
          <w:w w:val="105"/>
        </w:rPr>
        <w:t>são</w:t>
      </w:r>
      <w:r>
        <w:rPr>
          <w:spacing w:val="-8"/>
          <w:w w:val="105"/>
        </w:rPr>
        <w:t xml:space="preserve"> </w:t>
      </w:r>
      <w:r>
        <w:rPr>
          <w:spacing w:val="-2"/>
          <w:w w:val="105"/>
        </w:rPr>
        <w:t>compensados</w:t>
      </w:r>
      <w:r>
        <w:rPr>
          <w:spacing w:val="-6"/>
          <w:w w:val="105"/>
        </w:rPr>
        <w:t xml:space="preserve"> </w:t>
      </w:r>
      <w:r>
        <w:rPr>
          <w:spacing w:val="-2"/>
          <w:w w:val="105"/>
        </w:rPr>
        <w:t>caso</w:t>
      </w:r>
      <w:r>
        <w:rPr>
          <w:spacing w:val="-8"/>
          <w:w w:val="105"/>
        </w:rPr>
        <w:t xml:space="preserve"> </w:t>
      </w:r>
      <w:r>
        <w:rPr>
          <w:spacing w:val="-2"/>
          <w:w w:val="105"/>
        </w:rPr>
        <w:t>haja</w:t>
      </w:r>
      <w:r>
        <w:rPr>
          <w:spacing w:val="-8"/>
          <w:w w:val="105"/>
        </w:rPr>
        <w:t xml:space="preserve"> </w:t>
      </w:r>
      <w:r>
        <w:rPr>
          <w:spacing w:val="-2"/>
          <w:w w:val="105"/>
        </w:rPr>
        <w:t>um</w:t>
      </w:r>
      <w:r>
        <w:rPr>
          <w:spacing w:val="-10"/>
          <w:w w:val="105"/>
        </w:rPr>
        <w:t xml:space="preserve"> </w:t>
      </w:r>
      <w:r>
        <w:rPr>
          <w:spacing w:val="-2"/>
          <w:w w:val="105"/>
        </w:rPr>
        <w:t>direito</w:t>
      </w:r>
      <w:r>
        <w:rPr>
          <w:spacing w:val="-7"/>
          <w:w w:val="105"/>
        </w:rPr>
        <w:t xml:space="preserve"> </w:t>
      </w:r>
      <w:r>
        <w:rPr>
          <w:spacing w:val="-2"/>
          <w:w w:val="105"/>
        </w:rPr>
        <w:t>legal</w:t>
      </w:r>
      <w:r>
        <w:rPr>
          <w:spacing w:val="-8"/>
          <w:w w:val="105"/>
        </w:rPr>
        <w:t xml:space="preserve"> </w:t>
      </w:r>
      <w:r>
        <w:rPr>
          <w:spacing w:val="-2"/>
          <w:w w:val="105"/>
        </w:rPr>
        <w:t>de</w:t>
      </w:r>
      <w:r>
        <w:rPr>
          <w:spacing w:val="-8"/>
          <w:w w:val="105"/>
        </w:rPr>
        <w:t xml:space="preserve"> </w:t>
      </w:r>
      <w:r>
        <w:rPr>
          <w:spacing w:val="-2"/>
          <w:w w:val="105"/>
        </w:rPr>
        <w:t xml:space="preserve">compensar </w:t>
      </w:r>
      <w:r>
        <w:rPr>
          <w:w w:val="105"/>
        </w:rPr>
        <w:t>passivos</w:t>
      </w:r>
      <w:r>
        <w:rPr>
          <w:spacing w:val="-2"/>
          <w:w w:val="105"/>
        </w:rPr>
        <w:t xml:space="preserve"> </w:t>
      </w:r>
      <w:r>
        <w:rPr>
          <w:w w:val="105"/>
        </w:rPr>
        <w:t>e</w:t>
      </w:r>
      <w:r>
        <w:rPr>
          <w:spacing w:val="-2"/>
          <w:w w:val="105"/>
        </w:rPr>
        <w:t xml:space="preserve"> </w:t>
      </w:r>
      <w:r>
        <w:rPr>
          <w:w w:val="105"/>
        </w:rPr>
        <w:t>ativos</w:t>
      </w:r>
      <w:r>
        <w:rPr>
          <w:spacing w:val="-3"/>
          <w:w w:val="105"/>
        </w:rPr>
        <w:t xml:space="preserve"> </w:t>
      </w:r>
      <w:r>
        <w:rPr>
          <w:w w:val="105"/>
        </w:rPr>
        <w:t>fiscais</w:t>
      </w:r>
      <w:r>
        <w:rPr>
          <w:spacing w:val="-3"/>
          <w:w w:val="105"/>
        </w:rPr>
        <w:t xml:space="preserve"> </w:t>
      </w:r>
      <w:r>
        <w:rPr>
          <w:w w:val="105"/>
        </w:rPr>
        <w:t>correntes,</w:t>
      </w:r>
      <w:r>
        <w:rPr>
          <w:spacing w:val="-2"/>
          <w:w w:val="105"/>
        </w:rPr>
        <w:t xml:space="preserve"> </w:t>
      </w:r>
      <w:r>
        <w:rPr>
          <w:w w:val="105"/>
        </w:rPr>
        <w:t>pois</w:t>
      </w:r>
      <w:r>
        <w:rPr>
          <w:spacing w:val="-3"/>
          <w:w w:val="105"/>
        </w:rPr>
        <w:t xml:space="preserve"> </w:t>
      </w:r>
      <w:r>
        <w:rPr>
          <w:w w:val="105"/>
        </w:rPr>
        <w:t>se</w:t>
      </w:r>
      <w:r>
        <w:rPr>
          <w:spacing w:val="-3"/>
          <w:w w:val="105"/>
        </w:rPr>
        <w:t xml:space="preserve"> </w:t>
      </w:r>
      <w:r>
        <w:rPr>
          <w:w w:val="105"/>
        </w:rPr>
        <w:t>relacionam</w:t>
      </w:r>
      <w:r>
        <w:rPr>
          <w:spacing w:val="-1"/>
          <w:w w:val="105"/>
        </w:rPr>
        <w:t xml:space="preserve"> </w:t>
      </w:r>
      <w:r>
        <w:rPr>
          <w:w w:val="105"/>
        </w:rPr>
        <w:t>a</w:t>
      </w:r>
      <w:r>
        <w:rPr>
          <w:spacing w:val="-3"/>
          <w:w w:val="105"/>
        </w:rPr>
        <w:t xml:space="preserve"> </w:t>
      </w:r>
      <w:r>
        <w:rPr>
          <w:w w:val="105"/>
        </w:rPr>
        <w:t>impostos</w:t>
      </w:r>
      <w:r>
        <w:rPr>
          <w:spacing w:val="-3"/>
          <w:w w:val="105"/>
        </w:rPr>
        <w:t xml:space="preserve"> </w:t>
      </w:r>
      <w:r>
        <w:rPr>
          <w:w w:val="105"/>
        </w:rPr>
        <w:t>de</w:t>
      </w:r>
      <w:r>
        <w:rPr>
          <w:spacing w:val="-3"/>
          <w:w w:val="105"/>
        </w:rPr>
        <w:t xml:space="preserve"> </w:t>
      </w:r>
      <w:r>
        <w:rPr>
          <w:w w:val="105"/>
        </w:rPr>
        <w:t>renda</w:t>
      </w:r>
      <w:r>
        <w:rPr>
          <w:spacing w:val="-2"/>
          <w:w w:val="105"/>
        </w:rPr>
        <w:t xml:space="preserve"> </w:t>
      </w:r>
      <w:r>
        <w:rPr>
          <w:w w:val="105"/>
        </w:rPr>
        <w:t>lançados</w:t>
      </w:r>
      <w:r>
        <w:rPr>
          <w:spacing w:val="-2"/>
          <w:w w:val="105"/>
        </w:rPr>
        <w:t xml:space="preserve"> </w:t>
      </w:r>
      <w:r>
        <w:rPr>
          <w:w w:val="105"/>
        </w:rPr>
        <w:t>pela</w:t>
      </w:r>
      <w:r>
        <w:rPr>
          <w:spacing w:val="-3"/>
          <w:w w:val="105"/>
        </w:rPr>
        <w:t xml:space="preserve"> </w:t>
      </w:r>
      <w:r>
        <w:rPr>
          <w:w w:val="105"/>
        </w:rPr>
        <w:t xml:space="preserve">mesma </w:t>
      </w:r>
      <w:r>
        <w:rPr>
          <w:spacing w:val="-2"/>
          <w:w w:val="105"/>
        </w:rPr>
        <w:t>autoridade</w:t>
      </w:r>
      <w:r>
        <w:rPr>
          <w:spacing w:val="-9"/>
          <w:w w:val="105"/>
        </w:rPr>
        <w:t xml:space="preserve"> </w:t>
      </w:r>
      <w:r>
        <w:rPr>
          <w:spacing w:val="-2"/>
          <w:w w:val="105"/>
        </w:rPr>
        <w:t>tributária</w:t>
      </w:r>
      <w:r>
        <w:rPr>
          <w:spacing w:val="-9"/>
          <w:w w:val="105"/>
        </w:rPr>
        <w:t xml:space="preserve"> </w:t>
      </w:r>
      <w:r>
        <w:rPr>
          <w:spacing w:val="-2"/>
          <w:w w:val="105"/>
        </w:rPr>
        <w:t>sobre</w:t>
      </w:r>
      <w:r>
        <w:rPr>
          <w:spacing w:val="-9"/>
          <w:w w:val="105"/>
        </w:rPr>
        <w:t xml:space="preserve"> </w:t>
      </w:r>
      <w:r>
        <w:rPr>
          <w:spacing w:val="-2"/>
          <w:w w:val="105"/>
        </w:rPr>
        <w:t>a</w:t>
      </w:r>
      <w:r>
        <w:rPr>
          <w:spacing w:val="-7"/>
          <w:w w:val="105"/>
        </w:rPr>
        <w:t xml:space="preserve"> </w:t>
      </w:r>
      <w:r>
        <w:rPr>
          <w:spacing w:val="-2"/>
          <w:w w:val="105"/>
        </w:rPr>
        <w:t>mesma</w:t>
      </w:r>
      <w:r>
        <w:rPr>
          <w:spacing w:val="-9"/>
          <w:w w:val="105"/>
        </w:rPr>
        <w:t xml:space="preserve"> </w:t>
      </w:r>
      <w:r>
        <w:rPr>
          <w:spacing w:val="-2"/>
          <w:w w:val="105"/>
        </w:rPr>
        <w:t>entidade</w:t>
      </w:r>
      <w:r>
        <w:rPr>
          <w:spacing w:val="-7"/>
          <w:w w:val="105"/>
        </w:rPr>
        <w:t xml:space="preserve"> </w:t>
      </w:r>
      <w:r>
        <w:rPr>
          <w:spacing w:val="-2"/>
          <w:w w:val="105"/>
        </w:rPr>
        <w:t>sujeita</w:t>
      </w:r>
      <w:r>
        <w:rPr>
          <w:spacing w:val="-6"/>
          <w:w w:val="105"/>
        </w:rPr>
        <w:t xml:space="preserve"> </w:t>
      </w:r>
      <w:r>
        <w:rPr>
          <w:spacing w:val="-2"/>
          <w:w w:val="105"/>
        </w:rPr>
        <w:t>à</w:t>
      </w:r>
      <w:r>
        <w:rPr>
          <w:spacing w:val="-9"/>
          <w:w w:val="105"/>
        </w:rPr>
        <w:t xml:space="preserve"> </w:t>
      </w:r>
      <w:r>
        <w:rPr>
          <w:spacing w:val="-2"/>
          <w:w w:val="105"/>
        </w:rPr>
        <w:t>tributação.</w:t>
      </w:r>
    </w:p>
    <w:p w14:paraId="7A9FBEE2" w14:textId="77777777" w:rsidR="002C6574" w:rsidRDefault="002C6574">
      <w:pPr>
        <w:pStyle w:val="Corpodetexto"/>
        <w:spacing w:before="2"/>
      </w:pPr>
    </w:p>
    <w:p w14:paraId="5D6AEC18" w14:textId="77777777" w:rsidR="002C6574" w:rsidRDefault="00000000">
      <w:pPr>
        <w:pStyle w:val="Corpodetexto"/>
        <w:spacing w:line="237" w:lineRule="auto"/>
        <w:ind w:left="143" w:right="704"/>
        <w:jc w:val="both"/>
      </w:pPr>
      <w:r>
        <w:t>A Administração da Companhia decidiu pela não constituição de ativo fiscal diferido até que a Telebras passe a apresentar lucro tributário futuro de forma consistente. (Nota Explicativa 6)</w:t>
      </w:r>
    </w:p>
    <w:p w14:paraId="69F048A1" w14:textId="77777777" w:rsidR="002C6574" w:rsidRDefault="002C6574">
      <w:pPr>
        <w:pStyle w:val="Corpodetexto"/>
        <w:spacing w:before="28"/>
      </w:pPr>
    </w:p>
    <w:p w14:paraId="421F489E" w14:textId="77777777" w:rsidR="002C6574" w:rsidRDefault="00000000">
      <w:pPr>
        <w:numPr>
          <w:ilvl w:val="2"/>
          <w:numId w:val="54"/>
        </w:numPr>
        <w:tabs>
          <w:tab w:val="left" w:pos="994"/>
        </w:tabs>
        <w:ind w:left="994" w:hanging="851"/>
        <w:rPr>
          <w:rFonts w:ascii="Arial" w:hAnsi="Arial"/>
          <w:b/>
        </w:rPr>
      </w:pPr>
      <w:r>
        <w:rPr>
          <w:rFonts w:ascii="Arial" w:hAnsi="Arial"/>
          <w:b/>
        </w:rPr>
        <w:t>Resultado</w:t>
      </w:r>
      <w:r>
        <w:rPr>
          <w:rFonts w:ascii="Arial" w:hAnsi="Arial"/>
          <w:b/>
          <w:spacing w:val="-4"/>
        </w:rPr>
        <w:t xml:space="preserve"> </w:t>
      </w:r>
      <w:r>
        <w:rPr>
          <w:rFonts w:ascii="Arial" w:hAnsi="Arial"/>
          <w:b/>
        </w:rPr>
        <w:t>por</w:t>
      </w:r>
      <w:r>
        <w:rPr>
          <w:rFonts w:ascii="Arial" w:hAnsi="Arial"/>
          <w:b/>
          <w:spacing w:val="-2"/>
        </w:rPr>
        <w:t xml:space="preserve"> </w:t>
      </w:r>
      <w:r>
        <w:rPr>
          <w:rFonts w:ascii="Arial" w:hAnsi="Arial"/>
          <w:b/>
          <w:spacing w:val="-4"/>
        </w:rPr>
        <w:t>ação</w:t>
      </w:r>
    </w:p>
    <w:p w14:paraId="4531A01A" w14:textId="77777777" w:rsidR="002C6574" w:rsidRDefault="002C6574">
      <w:pPr>
        <w:pStyle w:val="Corpodetexto"/>
        <w:spacing w:before="49"/>
        <w:rPr>
          <w:rFonts w:ascii="Arial"/>
          <w:b/>
        </w:rPr>
      </w:pPr>
    </w:p>
    <w:p w14:paraId="1BD7E2F5" w14:textId="77777777" w:rsidR="002C6574" w:rsidRDefault="00000000">
      <w:pPr>
        <w:pStyle w:val="Corpodetexto"/>
        <w:spacing w:line="237" w:lineRule="auto"/>
        <w:ind w:left="143" w:right="702"/>
        <w:jc w:val="both"/>
      </w:pPr>
      <w:r>
        <w:t>O Lucro / (Prejuízo) básico por ação é calculado por meio do resultado do exercício atribuível aos acionistas da Companhia, dividido pela média ponderada das ações ordinárias e preferenciais em circulação durante o exercício. O resultado por ação diluído é calculado por meio da referida média das ações em circulação, ajustada pelos instrumentos potencialmente conversíveis em ações, com efeito</w:t>
      </w:r>
      <w:r>
        <w:rPr>
          <w:spacing w:val="11"/>
        </w:rPr>
        <w:t xml:space="preserve"> </w:t>
      </w:r>
      <w:r>
        <w:t>diluidor,</w:t>
      </w:r>
      <w:r>
        <w:rPr>
          <w:spacing w:val="8"/>
        </w:rPr>
        <w:t xml:space="preserve"> </w:t>
      </w:r>
      <w:r>
        <w:t>nos</w:t>
      </w:r>
      <w:r>
        <w:rPr>
          <w:spacing w:val="9"/>
        </w:rPr>
        <w:t xml:space="preserve"> </w:t>
      </w:r>
      <w:r>
        <w:t>exercícios</w:t>
      </w:r>
      <w:r>
        <w:rPr>
          <w:spacing w:val="11"/>
        </w:rPr>
        <w:t xml:space="preserve"> </w:t>
      </w:r>
      <w:r>
        <w:t>apresentados,</w:t>
      </w:r>
      <w:r>
        <w:rPr>
          <w:spacing w:val="14"/>
        </w:rPr>
        <w:t xml:space="preserve"> </w:t>
      </w:r>
      <w:r>
        <w:t>nos</w:t>
      </w:r>
      <w:r>
        <w:rPr>
          <w:spacing w:val="8"/>
        </w:rPr>
        <w:t xml:space="preserve"> </w:t>
      </w:r>
      <w:r>
        <w:t>termos</w:t>
      </w:r>
      <w:r>
        <w:rPr>
          <w:spacing w:val="9"/>
        </w:rPr>
        <w:t xml:space="preserve"> </w:t>
      </w:r>
      <w:r>
        <w:t>do</w:t>
      </w:r>
      <w:r>
        <w:rPr>
          <w:spacing w:val="6"/>
        </w:rPr>
        <w:t xml:space="preserve"> </w:t>
      </w:r>
      <w:r>
        <w:t>CPC</w:t>
      </w:r>
      <w:r>
        <w:rPr>
          <w:spacing w:val="11"/>
        </w:rPr>
        <w:t xml:space="preserve"> </w:t>
      </w:r>
      <w:r>
        <w:t>41</w:t>
      </w:r>
      <w:r>
        <w:rPr>
          <w:spacing w:val="11"/>
        </w:rPr>
        <w:t xml:space="preserve"> </w:t>
      </w:r>
      <w:r>
        <w:t>e</w:t>
      </w:r>
      <w:r>
        <w:rPr>
          <w:spacing w:val="10"/>
        </w:rPr>
        <w:t xml:space="preserve"> </w:t>
      </w:r>
      <w:r>
        <w:t>IAS</w:t>
      </w:r>
      <w:r>
        <w:rPr>
          <w:spacing w:val="4"/>
        </w:rPr>
        <w:t xml:space="preserve"> </w:t>
      </w:r>
      <w:r>
        <w:t>33.</w:t>
      </w:r>
      <w:r>
        <w:rPr>
          <w:spacing w:val="11"/>
        </w:rPr>
        <w:t xml:space="preserve"> </w:t>
      </w:r>
      <w:r>
        <w:t>(Nota</w:t>
      </w:r>
      <w:r>
        <w:rPr>
          <w:spacing w:val="10"/>
        </w:rPr>
        <w:t xml:space="preserve"> </w:t>
      </w:r>
      <w:r>
        <w:t>Explicativa</w:t>
      </w:r>
      <w:r>
        <w:rPr>
          <w:spacing w:val="11"/>
        </w:rPr>
        <w:t xml:space="preserve"> </w:t>
      </w:r>
      <w:r>
        <w:rPr>
          <w:spacing w:val="-2"/>
        </w:rPr>
        <w:t>28.5)</w:t>
      </w:r>
    </w:p>
    <w:p w14:paraId="442A9EDB" w14:textId="77777777" w:rsidR="002C6574" w:rsidRDefault="002C6574">
      <w:pPr>
        <w:pStyle w:val="Corpodetexto"/>
        <w:spacing w:before="32"/>
      </w:pPr>
    </w:p>
    <w:p w14:paraId="321D06D5" w14:textId="77777777" w:rsidR="002C6574" w:rsidRDefault="00000000">
      <w:pPr>
        <w:numPr>
          <w:ilvl w:val="2"/>
          <w:numId w:val="54"/>
        </w:numPr>
        <w:tabs>
          <w:tab w:val="left" w:pos="994"/>
        </w:tabs>
        <w:ind w:left="994" w:hanging="851"/>
        <w:rPr>
          <w:rFonts w:ascii="Arial" w:hAnsi="Arial"/>
          <w:b/>
        </w:rPr>
      </w:pPr>
      <w:r>
        <w:rPr>
          <w:rFonts w:ascii="Arial" w:hAnsi="Arial"/>
          <w:b/>
        </w:rPr>
        <w:t>Demonstrações</w:t>
      </w:r>
      <w:r>
        <w:rPr>
          <w:rFonts w:ascii="Arial" w:hAnsi="Arial"/>
          <w:b/>
          <w:spacing w:val="-6"/>
        </w:rPr>
        <w:t xml:space="preserve"> </w:t>
      </w:r>
      <w:r>
        <w:rPr>
          <w:rFonts w:ascii="Arial" w:hAnsi="Arial"/>
          <w:b/>
        </w:rPr>
        <w:t>do</w:t>
      </w:r>
      <w:r>
        <w:rPr>
          <w:rFonts w:ascii="Arial" w:hAnsi="Arial"/>
          <w:b/>
          <w:spacing w:val="-4"/>
        </w:rPr>
        <w:t xml:space="preserve"> </w:t>
      </w:r>
      <w:r>
        <w:rPr>
          <w:rFonts w:ascii="Arial" w:hAnsi="Arial"/>
          <w:b/>
        </w:rPr>
        <w:t>Valor</w:t>
      </w:r>
      <w:r>
        <w:rPr>
          <w:rFonts w:ascii="Arial" w:hAnsi="Arial"/>
          <w:b/>
          <w:spacing w:val="-4"/>
        </w:rPr>
        <w:t xml:space="preserve"> </w:t>
      </w:r>
      <w:r>
        <w:rPr>
          <w:rFonts w:ascii="Arial" w:hAnsi="Arial"/>
          <w:b/>
          <w:spacing w:val="-2"/>
        </w:rPr>
        <w:t>Adicionado</w:t>
      </w:r>
    </w:p>
    <w:p w14:paraId="1E9BF9F7" w14:textId="77777777" w:rsidR="002C6574" w:rsidRDefault="002C6574">
      <w:pPr>
        <w:pStyle w:val="Corpodetexto"/>
        <w:spacing w:before="49"/>
        <w:rPr>
          <w:rFonts w:ascii="Arial"/>
          <w:b/>
        </w:rPr>
      </w:pPr>
    </w:p>
    <w:p w14:paraId="60D13160" w14:textId="77777777" w:rsidR="002C6574" w:rsidRDefault="00000000">
      <w:pPr>
        <w:pStyle w:val="Corpodetexto"/>
        <w:spacing w:line="237" w:lineRule="auto"/>
        <w:ind w:left="143" w:right="702"/>
        <w:jc w:val="both"/>
      </w:pPr>
      <w:r>
        <w:t xml:space="preserve">A Companhia elaborou as Demonstrações do Valor Adicionado (DVA) individuais nos termos do pronunciamento técnico CPC 09 – Demonstração do Valor Adicionado, as quais são apresentadas como parte integrante das Demonstrações Contábeis, conforme as práticas contábeis adotadas no Brasil aplicáveis às companhias abertas, enquanto para o IFRS representa informação financeira </w:t>
      </w:r>
      <w:r>
        <w:rPr>
          <w:spacing w:val="-2"/>
        </w:rPr>
        <w:t>adicional.</w:t>
      </w:r>
    </w:p>
    <w:p w14:paraId="54601600" w14:textId="77777777" w:rsidR="002C6574" w:rsidRDefault="002C6574">
      <w:pPr>
        <w:pStyle w:val="Corpodetexto"/>
        <w:spacing w:before="32"/>
      </w:pPr>
    </w:p>
    <w:p w14:paraId="0538EDF2" w14:textId="77777777" w:rsidR="002C6574" w:rsidRDefault="00000000">
      <w:pPr>
        <w:numPr>
          <w:ilvl w:val="2"/>
          <w:numId w:val="54"/>
        </w:numPr>
        <w:tabs>
          <w:tab w:val="left" w:pos="994"/>
        </w:tabs>
        <w:ind w:left="994" w:hanging="851"/>
        <w:rPr>
          <w:rFonts w:ascii="Arial" w:hAnsi="Arial"/>
          <w:b/>
        </w:rPr>
      </w:pPr>
      <w:r>
        <w:rPr>
          <w:rFonts w:ascii="Arial" w:hAnsi="Arial"/>
          <w:b/>
        </w:rPr>
        <w:t>Demonstração</w:t>
      </w:r>
      <w:r>
        <w:rPr>
          <w:rFonts w:ascii="Arial" w:hAnsi="Arial"/>
          <w:b/>
          <w:spacing w:val="-6"/>
        </w:rPr>
        <w:t xml:space="preserve"> </w:t>
      </w:r>
      <w:r>
        <w:rPr>
          <w:rFonts w:ascii="Arial" w:hAnsi="Arial"/>
          <w:b/>
        </w:rPr>
        <w:t>dos</w:t>
      </w:r>
      <w:r>
        <w:rPr>
          <w:rFonts w:ascii="Arial" w:hAnsi="Arial"/>
          <w:b/>
          <w:spacing w:val="-2"/>
        </w:rPr>
        <w:t xml:space="preserve"> </w:t>
      </w:r>
      <w:r>
        <w:rPr>
          <w:rFonts w:ascii="Arial" w:hAnsi="Arial"/>
          <w:b/>
        </w:rPr>
        <w:t>Fluxos</w:t>
      </w:r>
      <w:r>
        <w:rPr>
          <w:rFonts w:ascii="Arial" w:hAnsi="Arial"/>
          <w:b/>
          <w:spacing w:val="-3"/>
        </w:rPr>
        <w:t xml:space="preserve"> </w:t>
      </w:r>
      <w:r>
        <w:rPr>
          <w:rFonts w:ascii="Arial" w:hAnsi="Arial"/>
          <w:b/>
        </w:rPr>
        <w:t>de</w:t>
      </w:r>
      <w:r>
        <w:rPr>
          <w:rFonts w:ascii="Arial" w:hAnsi="Arial"/>
          <w:b/>
          <w:spacing w:val="-4"/>
        </w:rPr>
        <w:t xml:space="preserve"> Caixa</w:t>
      </w:r>
    </w:p>
    <w:p w14:paraId="740D1EA0" w14:textId="77777777" w:rsidR="002C6574" w:rsidRDefault="002C6574">
      <w:pPr>
        <w:pStyle w:val="Corpodetexto"/>
        <w:spacing w:before="44"/>
        <w:rPr>
          <w:rFonts w:ascii="Arial"/>
          <w:b/>
        </w:rPr>
      </w:pPr>
    </w:p>
    <w:p w14:paraId="365CC56E" w14:textId="77777777" w:rsidR="002C6574" w:rsidRDefault="00000000">
      <w:pPr>
        <w:pStyle w:val="Corpodetexto"/>
        <w:ind w:left="143" w:right="703"/>
        <w:jc w:val="both"/>
      </w:pPr>
      <w:r>
        <w:t>A Demonstração dos Fluxos de Caixa é preparada de acordo com o CPC03 (R2) / IAS 7 por meio do método indireto. A Companhia classifica na rubrica de caixa e equivalentes de caixa os saldos de numerários conversíveis imediatamente em caixa e os investimentos de alta liquidez (normalmente com vencimento inferior a três meses) sujeitos a um insignificante risco de mudança de valor.</w:t>
      </w:r>
    </w:p>
    <w:p w14:paraId="200ED69E" w14:textId="77777777" w:rsidR="002C6574" w:rsidRDefault="002C6574">
      <w:pPr>
        <w:pStyle w:val="Corpodetexto"/>
        <w:jc w:val="both"/>
        <w:sectPr w:rsidR="002C6574">
          <w:headerReference w:type="default" r:id="rId71"/>
          <w:footerReference w:type="default" r:id="rId72"/>
          <w:pgSz w:w="11910" w:h="16840"/>
          <w:pgMar w:top="1600" w:right="141" w:bottom="1540" w:left="1133" w:header="856" w:footer="1350" w:gutter="0"/>
          <w:pgNumType w:start="1"/>
          <w:cols w:space="720"/>
        </w:sectPr>
      </w:pPr>
    </w:p>
    <w:p w14:paraId="744C3413" w14:textId="77777777" w:rsidR="002C6574" w:rsidRDefault="002C6574">
      <w:pPr>
        <w:pStyle w:val="Corpodetexto"/>
        <w:spacing w:before="195"/>
      </w:pPr>
    </w:p>
    <w:p w14:paraId="2A76C473" w14:textId="77777777" w:rsidR="002C6574" w:rsidRDefault="00000000">
      <w:pPr>
        <w:pStyle w:val="Corpodetexto"/>
        <w:spacing w:before="1"/>
        <w:ind w:left="143"/>
        <w:jc w:val="both"/>
      </w:pPr>
      <w:r>
        <w:rPr>
          <w:w w:val="105"/>
        </w:rPr>
        <w:t>Os</w:t>
      </w:r>
      <w:r>
        <w:rPr>
          <w:spacing w:val="-7"/>
          <w:w w:val="105"/>
        </w:rPr>
        <w:t xml:space="preserve"> </w:t>
      </w:r>
      <w:r>
        <w:rPr>
          <w:w w:val="105"/>
        </w:rPr>
        <w:t>fluxos</w:t>
      </w:r>
      <w:r>
        <w:rPr>
          <w:spacing w:val="-5"/>
          <w:w w:val="105"/>
        </w:rPr>
        <w:t xml:space="preserve"> </w:t>
      </w:r>
      <w:r>
        <w:rPr>
          <w:w w:val="105"/>
        </w:rPr>
        <w:t>de</w:t>
      </w:r>
      <w:r>
        <w:rPr>
          <w:spacing w:val="-4"/>
          <w:w w:val="105"/>
        </w:rPr>
        <w:t xml:space="preserve"> </w:t>
      </w:r>
      <w:r>
        <w:rPr>
          <w:w w:val="105"/>
        </w:rPr>
        <w:t>caixa</w:t>
      </w:r>
      <w:r>
        <w:rPr>
          <w:spacing w:val="-6"/>
          <w:w w:val="105"/>
        </w:rPr>
        <w:t xml:space="preserve"> </w:t>
      </w:r>
      <w:r>
        <w:rPr>
          <w:w w:val="105"/>
        </w:rPr>
        <w:t>são</w:t>
      </w:r>
      <w:r>
        <w:rPr>
          <w:spacing w:val="-5"/>
          <w:w w:val="105"/>
        </w:rPr>
        <w:t xml:space="preserve"> </w:t>
      </w:r>
      <w:r>
        <w:rPr>
          <w:w w:val="105"/>
        </w:rPr>
        <w:t>classificados,</w:t>
      </w:r>
      <w:r>
        <w:rPr>
          <w:spacing w:val="-3"/>
          <w:w w:val="105"/>
        </w:rPr>
        <w:t xml:space="preserve"> </w:t>
      </w:r>
      <w:r>
        <w:rPr>
          <w:w w:val="105"/>
        </w:rPr>
        <w:t>dependendo</w:t>
      </w:r>
      <w:r>
        <w:rPr>
          <w:spacing w:val="-6"/>
          <w:w w:val="105"/>
        </w:rPr>
        <w:t xml:space="preserve"> </w:t>
      </w:r>
      <w:r>
        <w:rPr>
          <w:w w:val="105"/>
        </w:rPr>
        <w:t>da</w:t>
      </w:r>
      <w:r>
        <w:rPr>
          <w:spacing w:val="-5"/>
          <w:w w:val="105"/>
        </w:rPr>
        <w:t xml:space="preserve"> </w:t>
      </w:r>
      <w:r>
        <w:rPr>
          <w:w w:val="105"/>
        </w:rPr>
        <w:t>sua</w:t>
      </w:r>
      <w:r>
        <w:rPr>
          <w:spacing w:val="-5"/>
          <w:w w:val="105"/>
        </w:rPr>
        <w:t xml:space="preserve"> </w:t>
      </w:r>
      <w:r>
        <w:rPr>
          <w:w w:val="105"/>
        </w:rPr>
        <w:t>natureza,</w:t>
      </w:r>
      <w:r>
        <w:rPr>
          <w:spacing w:val="-7"/>
          <w:w w:val="105"/>
        </w:rPr>
        <w:t xml:space="preserve"> </w:t>
      </w:r>
      <w:r>
        <w:rPr>
          <w:w w:val="105"/>
        </w:rPr>
        <w:t>em</w:t>
      </w:r>
      <w:r>
        <w:rPr>
          <w:spacing w:val="-7"/>
          <w:w w:val="105"/>
        </w:rPr>
        <w:t xml:space="preserve"> </w:t>
      </w:r>
      <w:r>
        <w:rPr>
          <w:w w:val="105"/>
        </w:rPr>
        <w:t>(i)</w:t>
      </w:r>
      <w:r>
        <w:rPr>
          <w:spacing w:val="-6"/>
          <w:w w:val="105"/>
        </w:rPr>
        <w:t xml:space="preserve"> </w:t>
      </w:r>
      <w:r>
        <w:rPr>
          <w:w w:val="105"/>
        </w:rPr>
        <w:t>atividades</w:t>
      </w:r>
      <w:r>
        <w:rPr>
          <w:spacing w:val="-5"/>
          <w:w w:val="105"/>
        </w:rPr>
        <w:t xml:space="preserve"> </w:t>
      </w:r>
      <w:r>
        <w:rPr>
          <w:spacing w:val="-2"/>
          <w:w w:val="105"/>
        </w:rPr>
        <w:t>operacionais,</w:t>
      </w:r>
    </w:p>
    <w:p w14:paraId="295B39E2" w14:textId="77777777" w:rsidR="002C6574" w:rsidRDefault="00000000">
      <w:pPr>
        <w:pStyle w:val="Corpodetexto"/>
        <w:spacing w:before="2" w:line="237" w:lineRule="auto"/>
        <w:ind w:left="143" w:right="702"/>
        <w:jc w:val="both"/>
      </w:pPr>
      <w:r>
        <w:t>(ii) atividades de investimento e (iii) atividades de financiamento. As atividades operacionais englobam essencialmente os recebimentos de clientes e os pagamentos aos fornecedores, pessoal, tributos, encargos financeiros e perdas em processos judiciais. Os fluxos de caixa abrangidos nas atividades de investimento incluem, principalmente, aquisições e alienações de investimentos, como também pagamentos e recebimentos decorrentes da compra e venda de ativos fixos. Os fluxos de caixa abrangidos nas atividades de financiamento incluem, principalmente, os pagamentos e recebimentos referentes a empréstimos e financiamentos obtidos, instrumentos financeiros derivativos e pagamentos de dividendos e de juros sobre o capital próprio.</w:t>
      </w:r>
    </w:p>
    <w:p w14:paraId="2BC85F3B" w14:textId="77777777" w:rsidR="002C6574" w:rsidRDefault="002C6574">
      <w:pPr>
        <w:pStyle w:val="Corpodetexto"/>
        <w:spacing w:before="37"/>
      </w:pPr>
    </w:p>
    <w:p w14:paraId="40FA22E4" w14:textId="77777777" w:rsidR="002C6574" w:rsidRDefault="00000000">
      <w:pPr>
        <w:numPr>
          <w:ilvl w:val="1"/>
          <w:numId w:val="54"/>
        </w:numPr>
        <w:tabs>
          <w:tab w:val="left" w:pos="996"/>
        </w:tabs>
        <w:ind w:left="996" w:hanging="853"/>
        <w:rPr>
          <w:rFonts w:ascii="Arial" w:hAnsi="Arial"/>
          <w:b/>
        </w:rPr>
      </w:pPr>
      <w:r>
        <w:rPr>
          <w:rFonts w:ascii="Arial" w:hAnsi="Arial"/>
          <w:b/>
        </w:rPr>
        <w:t>Estimativas</w:t>
      </w:r>
      <w:r>
        <w:rPr>
          <w:rFonts w:ascii="Arial" w:hAnsi="Arial"/>
          <w:b/>
          <w:spacing w:val="-6"/>
        </w:rPr>
        <w:t xml:space="preserve"> </w:t>
      </w:r>
      <w:r>
        <w:rPr>
          <w:rFonts w:ascii="Arial" w:hAnsi="Arial"/>
          <w:b/>
        </w:rPr>
        <w:t>e</w:t>
      </w:r>
      <w:r>
        <w:rPr>
          <w:rFonts w:ascii="Arial" w:hAnsi="Arial"/>
          <w:b/>
          <w:spacing w:val="-5"/>
        </w:rPr>
        <w:t xml:space="preserve"> </w:t>
      </w:r>
      <w:r>
        <w:rPr>
          <w:rFonts w:ascii="Arial" w:hAnsi="Arial"/>
          <w:b/>
        </w:rPr>
        <w:t>julgamentos</w:t>
      </w:r>
      <w:r>
        <w:rPr>
          <w:rFonts w:ascii="Arial" w:hAnsi="Arial"/>
          <w:b/>
          <w:spacing w:val="-5"/>
        </w:rPr>
        <w:t xml:space="preserve"> </w:t>
      </w:r>
      <w:r>
        <w:rPr>
          <w:rFonts w:ascii="Arial" w:hAnsi="Arial"/>
          <w:b/>
        </w:rPr>
        <w:t>contábeis</w:t>
      </w:r>
      <w:r>
        <w:rPr>
          <w:rFonts w:ascii="Arial" w:hAnsi="Arial"/>
          <w:b/>
          <w:spacing w:val="-5"/>
        </w:rPr>
        <w:t xml:space="preserve"> </w:t>
      </w:r>
      <w:r>
        <w:rPr>
          <w:rFonts w:ascii="Arial" w:hAnsi="Arial"/>
          <w:b/>
          <w:spacing w:val="-2"/>
        </w:rPr>
        <w:t>críticos</w:t>
      </w:r>
    </w:p>
    <w:p w14:paraId="5719511B" w14:textId="77777777" w:rsidR="002C6574" w:rsidRDefault="002C6574">
      <w:pPr>
        <w:pStyle w:val="Corpodetexto"/>
        <w:spacing w:before="32"/>
        <w:rPr>
          <w:rFonts w:ascii="Arial"/>
          <w:b/>
        </w:rPr>
      </w:pPr>
    </w:p>
    <w:p w14:paraId="01494F34" w14:textId="77777777" w:rsidR="002C6574" w:rsidRDefault="00000000">
      <w:pPr>
        <w:pStyle w:val="Corpodetexto"/>
        <w:spacing w:line="237" w:lineRule="auto"/>
        <w:ind w:left="143" w:right="703"/>
        <w:jc w:val="both"/>
      </w:pPr>
      <w:r>
        <w:t>Ao preparar as Demonstrações Contábeis, a Administração da Companhia se baseia em estimativas</w:t>
      </w:r>
      <w:r>
        <w:rPr>
          <w:spacing w:val="80"/>
        </w:rPr>
        <w:t xml:space="preserve"> </w:t>
      </w:r>
      <w:r>
        <w:t>e premissas derivadas da experiência histórica e outros fatores, incluindo expectativas de eventos futuros, as quais se consideram razoáveis e relevantes. A aplicação das estimativas e premissas frequentemente requer julgamentos relacionados a assuntos que são incertos, com relação aos resultados das operações e ao valor dos ativos e passivos. Os resultados operacionais e a posição financeira podem diferir se as experiências e premissas utilizadas na mensuração das estimativas forem diferentes dos resultados reais. As estimativas que possuem risco significativo de causar ajustes</w:t>
      </w:r>
      <w:r>
        <w:rPr>
          <w:spacing w:val="27"/>
        </w:rPr>
        <w:t xml:space="preserve"> </w:t>
      </w:r>
      <w:r>
        <w:t>materiais</w:t>
      </w:r>
      <w:r>
        <w:rPr>
          <w:spacing w:val="30"/>
        </w:rPr>
        <w:t xml:space="preserve"> </w:t>
      </w:r>
      <w:r>
        <w:t>sobre os</w:t>
      </w:r>
      <w:r>
        <w:rPr>
          <w:spacing w:val="30"/>
        </w:rPr>
        <w:t xml:space="preserve"> </w:t>
      </w:r>
      <w:r>
        <w:t>saldos</w:t>
      </w:r>
      <w:r>
        <w:rPr>
          <w:spacing w:val="33"/>
        </w:rPr>
        <w:t xml:space="preserve"> </w:t>
      </w:r>
      <w:r>
        <w:t>contábeis</w:t>
      </w:r>
      <w:r>
        <w:rPr>
          <w:spacing w:val="30"/>
        </w:rPr>
        <w:t xml:space="preserve"> </w:t>
      </w:r>
      <w:r>
        <w:t>dos</w:t>
      </w:r>
      <w:r>
        <w:rPr>
          <w:spacing w:val="30"/>
        </w:rPr>
        <w:t xml:space="preserve"> </w:t>
      </w:r>
      <w:r>
        <w:t>ativos</w:t>
      </w:r>
      <w:r>
        <w:rPr>
          <w:spacing w:val="33"/>
        </w:rPr>
        <w:t xml:space="preserve"> </w:t>
      </w:r>
      <w:r>
        <w:t>e passivos</w:t>
      </w:r>
      <w:r>
        <w:rPr>
          <w:spacing w:val="33"/>
        </w:rPr>
        <w:t xml:space="preserve"> </w:t>
      </w:r>
      <w:r>
        <w:t>estão</w:t>
      </w:r>
      <w:r>
        <w:rPr>
          <w:spacing w:val="27"/>
        </w:rPr>
        <w:t xml:space="preserve"> </w:t>
      </w:r>
      <w:r>
        <w:t>relacionadas</w:t>
      </w:r>
      <w:r>
        <w:rPr>
          <w:spacing w:val="33"/>
        </w:rPr>
        <w:t xml:space="preserve"> </w:t>
      </w:r>
      <w:r>
        <w:t>a</w:t>
      </w:r>
      <w:r>
        <w:rPr>
          <w:spacing w:val="27"/>
        </w:rPr>
        <w:t xml:space="preserve"> </w:t>
      </w:r>
      <w:r>
        <w:t>seguir.</w:t>
      </w:r>
    </w:p>
    <w:p w14:paraId="747041EC" w14:textId="77777777" w:rsidR="002C6574" w:rsidRDefault="002C6574">
      <w:pPr>
        <w:pStyle w:val="Corpodetexto"/>
        <w:spacing w:before="37"/>
      </w:pPr>
    </w:p>
    <w:p w14:paraId="119DF83E" w14:textId="77777777" w:rsidR="002C6574" w:rsidRDefault="00000000">
      <w:pPr>
        <w:numPr>
          <w:ilvl w:val="2"/>
          <w:numId w:val="54"/>
        </w:numPr>
        <w:tabs>
          <w:tab w:val="left" w:pos="995"/>
        </w:tabs>
        <w:rPr>
          <w:rFonts w:ascii="Arial" w:hAnsi="Arial"/>
          <w:b/>
        </w:rPr>
      </w:pPr>
      <w:r>
        <w:rPr>
          <w:rFonts w:ascii="Arial" w:hAnsi="Arial"/>
          <w:b/>
        </w:rPr>
        <w:t>Perdas</w:t>
      </w:r>
      <w:r>
        <w:rPr>
          <w:rFonts w:ascii="Arial" w:hAnsi="Arial"/>
          <w:b/>
          <w:spacing w:val="-1"/>
        </w:rPr>
        <w:t xml:space="preserve"> </w:t>
      </w:r>
      <w:r>
        <w:rPr>
          <w:rFonts w:ascii="Arial" w:hAnsi="Arial"/>
          <w:b/>
        </w:rPr>
        <w:t>estimadas</w:t>
      </w:r>
      <w:r>
        <w:rPr>
          <w:rFonts w:ascii="Arial" w:hAnsi="Arial"/>
          <w:b/>
          <w:spacing w:val="-3"/>
        </w:rPr>
        <w:t xml:space="preserve"> </w:t>
      </w:r>
      <w:r>
        <w:rPr>
          <w:rFonts w:ascii="Arial" w:hAnsi="Arial"/>
          <w:b/>
        </w:rPr>
        <w:t>com</w:t>
      </w:r>
      <w:r>
        <w:rPr>
          <w:rFonts w:ascii="Arial" w:hAnsi="Arial"/>
          <w:b/>
          <w:spacing w:val="-6"/>
        </w:rPr>
        <w:t xml:space="preserve"> </w:t>
      </w:r>
      <w:r>
        <w:rPr>
          <w:rFonts w:ascii="Arial" w:hAnsi="Arial"/>
          <w:b/>
        </w:rPr>
        <w:t>créditos</w:t>
      </w:r>
      <w:r>
        <w:rPr>
          <w:rFonts w:ascii="Arial" w:hAnsi="Arial"/>
          <w:b/>
          <w:spacing w:val="-6"/>
        </w:rPr>
        <w:t xml:space="preserve"> </w:t>
      </w:r>
      <w:r>
        <w:rPr>
          <w:rFonts w:ascii="Arial" w:hAnsi="Arial"/>
          <w:b/>
        </w:rPr>
        <w:t>de</w:t>
      </w:r>
      <w:r>
        <w:rPr>
          <w:rFonts w:ascii="Arial" w:hAnsi="Arial"/>
          <w:b/>
          <w:spacing w:val="-4"/>
        </w:rPr>
        <w:t xml:space="preserve"> </w:t>
      </w:r>
      <w:r>
        <w:rPr>
          <w:rFonts w:ascii="Arial" w:hAnsi="Arial"/>
          <w:b/>
        </w:rPr>
        <w:t>liquidação</w:t>
      </w:r>
      <w:r>
        <w:rPr>
          <w:rFonts w:ascii="Arial" w:hAnsi="Arial"/>
          <w:b/>
          <w:spacing w:val="-5"/>
        </w:rPr>
        <w:t xml:space="preserve"> </w:t>
      </w:r>
      <w:r>
        <w:rPr>
          <w:rFonts w:ascii="Arial" w:hAnsi="Arial"/>
          <w:b/>
          <w:spacing w:val="-2"/>
        </w:rPr>
        <w:t>duvidosa</w:t>
      </w:r>
    </w:p>
    <w:p w14:paraId="74492B20" w14:textId="77777777" w:rsidR="002C6574" w:rsidRDefault="002C6574">
      <w:pPr>
        <w:pStyle w:val="Corpodetexto"/>
        <w:spacing w:before="43"/>
        <w:rPr>
          <w:rFonts w:ascii="Arial"/>
          <w:b/>
        </w:rPr>
      </w:pPr>
    </w:p>
    <w:p w14:paraId="36086B34" w14:textId="77777777" w:rsidR="002C6574" w:rsidRDefault="00000000">
      <w:pPr>
        <w:pStyle w:val="Corpodetexto"/>
        <w:spacing w:before="1"/>
        <w:ind w:left="143" w:right="702"/>
        <w:jc w:val="both"/>
      </w:pPr>
      <w:r>
        <w:t xml:space="preserve">A provisão para perdas estimadas com créditos de liquidação duvidosa é estabelecida para reconhecer as perdas prováveis de contas a receber, considerando as medidas implementadas para restringir a prestação de serviços a clientes com contas em atraso e para cobrar clientes </w:t>
      </w:r>
      <w:r>
        <w:rPr>
          <w:spacing w:val="-2"/>
        </w:rPr>
        <w:t>inadimplentes.</w:t>
      </w:r>
    </w:p>
    <w:p w14:paraId="7C05780A" w14:textId="77777777" w:rsidR="002C6574" w:rsidRDefault="00000000">
      <w:pPr>
        <w:pStyle w:val="Corpodetexto"/>
        <w:spacing w:before="284"/>
        <w:ind w:left="143" w:right="703"/>
        <w:jc w:val="both"/>
      </w:pPr>
      <w:r>
        <w:t>Há situações de acordos com certos clientes para cobrar contas em atraso, inclusive acordos que permitem</w:t>
      </w:r>
      <w:r>
        <w:rPr>
          <w:spacing w:val="-5"/>
        </w:rPr>
        <w:t xml:space="preserve"> </w:t>
      </w:r>
      <w:r>
        <w:t>aos</w:t>
      </w:r>
      <w:r>
        <w:rPr>
          <w:spacing w:val="-5"/>
        </w:rPr>
        <w:t xml:space="preserve"> </w:t>
      </w:r>
      <w:r>
        <w:t>clientes</w:t>
      </w:r>
      <w:r>
        <w:rPr>
          <w:spacing w:val="-5"/>
        </w:rPr>
        <w:t xml:space="preserve"> </w:t>
      </w:r>
      <w:r>
        <w:t>quitar</w:t>
      </w:r>
      <w:r>
        <w:rPr>
          <w:spacing w:val="-3"/>
        </w:rPr>
        <w:t xml:space="preserve"> </w:t>
      </w:r>
      <w:r>
        <w:t>suas</w:t>
      </w:r>
      <w:r>
        <w:rPr>
          <w:spacing w:val="-5"/>
        </w:rPr>
        <w:t xml:space="preserve"> </w:t>
      </w:r>
      <w:r>
        <w:t>contas</w:t>
      </w:r>
      <w:r>
        <w:rPr>
          <w:spacing w:val="-3"/>
        </w:rPr>
        <w:t xml:space="preserve"> </w:t>
      </w:r>
      <w:r>
        <w:t>inadimplentes</w:t>
      </w:r>
      <w:r>
        <w:rPr>
          <w:spacing w:val="-5"/>
        </w:rPr>
        <w:t xml:space="preserve"> </w:t>
      </w:r>
      <w:r>
        <w:t>em</w:t>
      </w:r>
      <w:r>
        <w:rPr>
          <w:spacing w:val="-3"/>
        </w:rPr>
        <w:t xml:space="preserve"> </w:t>
      </w:r>
      <w:r>
        <w:t>parcelas.</w:t>
      </w:r>
      <w:r>
        <w:rPr>
          <w:spacing w:val="-5"/>
        </w:rPr>
        <w:t xml:space="preserve"> </w:t>
      </w:r>
      <w:r>
        <w:t>Os</w:t>
      </w:r>
      <w:r>
        <w:rPr>
          <w:spacing w:val="-5"/>
        </w:rPr>
        <w:t xml:space="preserve"> </w:t>
      </w:r>
      <w:r>
        <w:t>montantes</w:t>
      </w:r>
      <w:r>
        <w:rPr>
          <w:spacing w:val="-5"/>
        </w:rPr>
        <w:t xml:space="preserve"> </w:t>
      </w:r>
      <w:r>
        <w:t>que</w:t>
      </w:r>
      <w:r>
        <w:rPr>
          <w:spacing w:val="-6"/>
        </w:rPr>
        <w:t xml:space="preserve"> </w:t>
      </w:r>
      <w:r>
        <w:t>efetivamente deixamos de receber para essas contas podem ser diferentes do valor da provisão estabelecida e provisões adicionais podem ser necessárias. (Nota Explicativa 5)</w:t>
      </w:r>
    </w:p>
    <w:p w14:paraId="78DB02C7" w14:textId="77777777" w:rsidR="002C6574" w:rsidRDefault="002C6574">
      <w:pPr>
        <w:pStyle w:val="Corpodetexto"/>
        <w:spacing w:before="22"/>
      </w:pPr>
    </w:p>
    <w:p w14:paraId="050682E9" w14:textId="77777777" w:rsidR="002C6574" w:rsidRDefault="00000000">
      <w:pPr>
        <w:numPr>
          <w:ilvl w:val="2"/>
          <w:numId w:val="54"/>
        </w:numPr>
        <w:tabs>
          <w:tab w:val="left" w:pos="995"/>
        </w:tabs>
        <w:rPr>
          <w:rFonts w:ascii="Arial" w:hAnsi="Arial"/>
          <w:b/>
        </w:rPr>
      </w:pPr>
      <w:r>
        <w:rPr>
          <w:rFonts w:ascii="Arial" w:hAnsi="Arial"/>
          <w:b/>
        </w:rPr>
        <w:t>Depreciação</w:t>
      </w:r>
      <w:r>
        <w:rPr>
          <w:rFonts w:ascii="Arial" w:hAnsi="Arial"/>
          <w:b/>
          <w:spacing w:val="-3"/>
        </w:rPr>
        <w:t xml:space="preserve"> </w:t>
      </w:r>
      <w:r>
        <w:rPr>
          <w:rFonts w:ascii="Arial" w:hAnsi="Arial"/>
          <w:b/>
        </w:rPr>
        <w:t>e</w:t>
      </w:r>
      <w:r>
        <w:rPr>
          <w:rFonts w:ascii="Arial" w:hAnsi="Arial"/>
          <w:b/>
          <w:spacing w:val="-4"/>
        </w:rPr>
        <w:t xml:space="preserve"> </w:t>
      </w:r>
      <w:r>
        <w:rPr>
          <w:rFonts w:ascii="Arial" w:hAnsi="Arial"/>
          <w:b/>
        </w:rPr>
        <w:t>amortização</w:t>
      </w:r>
      <w:r>
        <w:rPr>
          <w:rFonts w:ascii="Arial" w:hAnsi="Arial"/>
          <w:b/>
          <w:spacing w:val="-3"/>
        </w:rPr>
        <w:t xml:space="preserve"> </w:t>
      </w:r>
      <w:r>
        <w:rPr>
          <w:rFonts w:ascii="Arial" w:hAnsi="Arial"/>
          <w:b/>
        </w:rPr>
        <w:t>de</w:t>
      </w:r>
      <w:r>
        <w:rPr>
          <w:rFonts w:ascii="Arial" w:hAnsi="Arial"/>
          <w:b/>
          <w:spacing w:val="-2"/>
        </w:rPr>
        <w:t xml:space="preserve"> </w:t>
      </w:r>
      <w:r>
        <w:rPr>
          <w:rFonts w:ascii="Arial" w:hAnsi="Arial"/>
          <w:b/>
        </w:rPr>
        <w:t>ativos</w:t>
      </w:r>
      <w:r>
        <w:rPr>
          <w:rFonts w:ascii="Arial" w:hAnsi="Arial"/>
          <w:b/>
          <w:spacing w:val="-4"/>
        </w:rPr>
        <w:t xml:space="preserve"> </w:t>
      </w:r>
      <w:r>
        <w:rPr>
          <w:rFonts w:ascii="Arial" w:hAnsi="Arial"/>
          <w:b/>
        </w:rPr>
        <w:t>com</w:t>
      </w:r>
      <w:r>
        <w:rPr>
          <w:rFonts w:ascii="Arial" w:hAnsi="Arial"/>
          <w:b/>
          <w:spacing w:val="-5"/>
        </w:rPr>
        <w:t xml:space="preserve"> </w:t>
      </w:r>
      <w:r>
        <w:rPr>
          <w:rFonts w:ascii="Arial" w:hAnsi="Arial"/>
          <w:b/>
        </w:rPr>
        <w:t>vida</w:t>
      </w:r>
      <w:r>
        <w:rPr>
          <w:rFonts w:ascii="Arial" w:hAnsi="Arial"/>
          <w:b/>
          <w:spacing w:val="-2"/>
        </w:rPr>
        <w:t xml:space="preserve"> </w:t>
      </w:r>
      <w:r>
        <w:rPr>
          <w:rFonts w:ascii="Arial" w:hAnsi="Arial"/>
          <w:b/>
        </w:rPr>
        <w:t>útil</w:t>
      </w:r>
      <w:r>
        <w:rPr>
          <w:rFonts w:ascii="Arial" w:hAnsi="Arial"/>
          <w:b/>
          <w:spacing w:val="-1"/>
        </w:rPr>
        <w:t xml:space="preserve"> </w:t>
      </w:r>
      <w:r>
        <w:rPr>
          <w:rFonts w:ascii="Arial" w:hAnsi="Arial"/>
          <w:b/>
          <w:spacing w:val="-2"/>
        </w:rPr>
        <w:t>definida</w:t>
      </w:r>
    </w:p>
    <w:p w14:paraId="65D8C66F" w14:textId="77777777" w:rsidR="002C6574" w:rsidRDefault="002C6574">
      <w:pPr>
        <w:pStyle w:val="Corpodetexto"/>
        <w:spacing w:before="46"/>
        <w:rPr>
          <w:rFonts w:ascii="Arial"/>
          <w:b/>
        </w:rPr>
      </w:pPr>
    </w:p>
    <w:p w14:paraId="48418D74" w14:textId="77777777" w:rsidR="002C6574" w:rsidRDefault="00000000">
      <w:pPr>
        <w:pStyle w:val="Corpodetexto"/>
        <w:ind w:left="143" w:right="703"/>
        <w:jc w:val="both"/>
      </w:pPr>
      <w:r>
        <w:t>Os ativos de vida útil definida do imobilizado e do intangível são depreciados e amortizados, respectivamente, usando o</w:t>
      </w:r>
      <w:r>
        <w:rPr>
          <w:spacing w:val="-4"/>
        </w:rPr>
        <w:t xml:space="preserve"> </w:t>
      </w:r>
      <w:r>
        <w:t>método linear no decorrer da</w:t>
      </w:r>
      <w:r>
        <w:rPr>
          <w:spacing w:val="-4"/>
        </w:rPr>
        <w:t xml:space="preserve"> </w:t>
      </w:r>
      <w:r>
        <w:t>vida útil dos respectivos ativos. As taxas</w:t>
      </w:r>
      <w:r>
        <w:rPr>
          <w:spacing w:val="-3"/>
        </w:rPr>
        <w:t xml:space="preserve"> </w:t>
      </w:r>
      <w:r>
        <w:t xml:space="preserve">de depreciação e de amortização dos ativos estão demonstradas nas Notas Explicativas 13 e 14, </w:t>
      </w:r>
      <w:r>
        <w:rPr>
          <w:spacing w:val="-2"/>
        </w:rPr>
        <w:t>respectivamente.</w:t>
      </w:r>
    </w:p>
    <w:p w14:paraId="15DC8205" w14:textId="77777777" w:rsidR="002C6574" w:rsidRDefault="00000000">
      <w:pPr>
        <w:pStyle w:val="Corpodetexto"/>
        <w:spacing w:before="284" w:line="475" w:lineRule="auto"/>
        <w:ind w:left="143" w:right="859"/>
        <w:jc w:val="both"/>
      </w:pPr>
      <w:r>
        <w:t xml:space="preserve">As vidas úteis de certos ativos podem variar dependendo da região onde se encontram instalados. </w:t>
      </w:r>
      <w:r>
        <w:rPr>
          <w:w w:val="105"/>
        </w:rPr>
        <w:t>A Companhia revisa anualmente as vidas úteis desses ativos.</w:t>
      </w:r>
    </w:p>
    <w:p w14:paraId="4774BC5A" w14:textId="77777777" w:rsidR="002C6574" w:rsidRDefault="002C6574">
      <w:pPr>
        <w:pStyle w:val="Corpodetexto"/>
        <w:spacing w:line="475" w:lineRule="auto"/>
        <w:jc w:val="both"/>
        <w:sectPr w:rsidR="002C6574">
          <w:pgSz w:w="11910" w:h="16840"/>
          <w:pgMar w:top="1600" w:right="141" w:bottom="1540" w:left="1133" w:header="856" w:footer="1350" w:gutter="0"/>
          <w:cols w:space="720"/>
        </w:sectPr>
      </w:pPr>
    </w:p>
    <w:p w14:paraId="646AADEC" w14:textId="77777777" w:rsidR="002C6574" w:rsidRDefault="002C6574">
      <w:pPr>
        <w:pStyle w:val="Corpodetexto"/>
        <w:spacing w:before="227"/>
      </w:pPr>
    </w:p>
    <w:p w14:paraId="6B9F1FC8" w14:textId="77777777" w:rsidR="002C6574" w:rsidRDefault="00000000">
      <w:pPr>
        <w:numPr>
          <w:ilvl w:val="2"/>
          <w:numId w:val="54"/>
        </w:numPr>
        <w:tabs>
          <w:tab w:val="left" w:pos="995"/>
        </w:tabs>
        <w:rPr>
          <w:rFonts w:ascii="Arial" w:hAnsi="Arial"/>
          <w:b/>
        </w:rPr>
      </w:pPr>
      <w:r>
        <w:rPr>
          <w:rFonts w:ascii="Arial" w:hAnsi="Arial"/>
          <w:b/>
        </w:rPr>
        <w:t>Redução</w:t>
      </w:r>
      <w:r>
        <w:rPr>
          <w:rFonts w:ascii="Arial" w:hAnsi="Arial"/>
          <w:b/>
          <w:spacing w:val="-4"/>
        </w:rPr>
        <w:t xml:space="preserve"> </w:t>
      </w:r>
      <w:r>
        <w:rPr>
          <w:rFonts w:ascii="Arial" w:hAnsi="Arial"/>
          <w:b/>
        </w:rPr>
        <w:t>ao</w:t>
      </w:r>
      <w:r>
        <w:rPr>
          <w:rFonts w:ascii="Arial" w:hAnsi="Arial"/>
          <w:b/>
          <w:spacing w:val="-3"/>
        </w:rPr>
        <w:t xml:space="preserve"> </w:t>
      </w:r>
      <w:r>
        <w:rPr>
          <w:rFonts w:ascii="Arial" w:hAnsi="Arial"/>
          <w:b/>
        </w:rPr>
        <w:t>valor</w:t>
      </w:r>
      <w:r>
        <w:rPr>
          <w:rFonts w:ascii="Arial" w:hAnsi="Arial"/>
          <w:b/>
          <w:spacing w:val="-3"/>
        </w:rPr>
        <w:t xml:space="preserve"> </w:t>
      </w:r>
      <w:r>
        <w:rPr>
          <w:rFonts w:ascii="Arial" w:hAnsi="Arial"/>
          <w:b/>
        </w:rPr>
        <w:t>recuperável</w:t>
      </w:r>
      <w:r>
        <w:rPr>
          <w:rFonts w:ascii="Arial" w:hAnsi="Arial"/>
          <w:b/>
          <w:spacing w:val="-1"/>
        </w:rPr>
        <w:t xml:space="preserve"> </w:t>
      </w:r>
      <w:r>
        <w:rPr>
          <w:rFonts w:ascii="Arial" w:hAnsi="Arial"/>
          <w:b/>
        </w:rPr>
        <w:t>de</w:t>
      </w:r>
      <w:r>
        <w:rPr>
          <w:rFonts w:ascii="Arial" w:hAnsi="Arial"/>
          <w:b/>
          <w:spacing w:val="-7"/>
        </w:rPr>
        <w:t xml:space="preserve"> </w:t>
      </w:r>
      <w:r>
        <w:rPr>
          <w:rFonts w:ascii="Arial" w:hAnsi="Arial"/>
          <w:b/>
        </w:rPr>
        <w:t>ativos</w:t>
      </w:r>
      <w:r>
        <w:rPr>
          <w:rFonts w:ascii="Arial" w:hAnsi="Arial"/>
          <w:b/>
          <w:spacing w:val="-4"/>
        </w:rPr>
        <w:t xml:space="preserve"> </w:t>
      </w:r>
      <w:r>
        <w:rPr>
          <w:rFonts w:ascii="Arial" w:hAnsi="Arial"/>
          <w:b/>
        </w:rPr>
        <w:t>de</w:t>
      </w:r>
      <w:r>
        <w:rPr>
          <w:rFonts w:ascii="Arial" w:hAnsi="Arial"/>
          <w:b/>
          <w:spacing w:val="-6"/>
        </w:rPr>
        <w:t xml:space="preserve"> </w:t>
      </w:r>
      <w:r>
        <w:rPr>
          <w:rFonts w:ascii="Arial" w:hAnsi="Arial"/>
          <w:b/>
        </w:rPr>
        <w:t>longa</w:t>
      </w:r>
      <w:r>
        <w:rPr>
          <w:rFonts w:ascii="Arial" w:hAnsi="Arial"/>
          <w:b/>
          <w:spacing w:val="-2"/>
        </w:rPr>
        <w:t xml:space="preserve"> duração</w:t>
      </w:r>
    </w:p>
    <w:p w14:paraId="52932ED2" w14:textId="77777777" w:rsidR="002C6574" w:rsidRDefault="002C6574">
      <w:pPr>
        <w:pStyle w:val="Corpodetexto"/>
        <w:spacing w:before="48"/>
        <w:rPr>
          <w:rFonts w:ascii="Arial"/>
          <w:b/>
        </w:rPr>
      </w:pPr>
    </w:p>
    <w:p w14:paraId="73780F2B" w14:textId="77777777" w:rsidR="002C6574" w:rsidRDefault="00000000">
      <w:pPr>
        <w:pStyle w:val="Corpodetexto"/>
        <w:spacing w:line="237" w:lineRule="auto"/>
        <w:ind w:left="143" w:right="703"/>
        <w:jc w:val="both"/>
      </w:pPr>
      <w:r>
        <w:t>A Companhia revisa e analisa a possibilidade de recuperação dos valores registrados no ativo imobilizado e intangível para avaliar a ocorrência de redução do valor recuperável dos ativos da Companhia, seja como o resultado de decisões de descontinuar atividades relacionadas a tais ativos ou em caso de haver evidências de que as receitas operacionais futuras não serão suficientes para garantir sua realização.</w:t>
      </w:r>
    </w:p>
    <w:p w14:paraId="5FEADF80" w14:textId="77777777" w:rsidR="002C6574" w:rsidRDefault="00000000">
      <w:pPr>
        <w:pStyle w:val="Corpodetexto"/>
        <w:spacing w:before="217" w:line="237" w:lineRule="auto"/>
        <w:ind w:left="143" w:right="705"/>
        <w:jc w:val="both"/>
      </w:pPr>
      <w:r>
        <w:t>Os</w:t>
      </w:r>
      <w:r>
        <w:rPr>
          <w:spacing w:val="-3"/>
        </w:rPr>
        <w:t xml:space="preserve"> </w:t>
      </w:r>
      <w:r>
        <w:t>testes de</w:t>
      </w:r>
      <w:r>
        <w:rPr>
          <w:spacing w:val="-2"/>
        </w:rPr>
        <w:t xml:space="preserve"> </w:t>
      </w:r>
      <w:r>
        <w:t>recuperabilidade (</w:t>
      </w:r>
      <w:r>
        <w:rPr>
          <w:rFonts w:ascii="Arial" w:hAnsi="Arial"/>
          <w:i/>
        </w:rPr>
        <w:t>impairment</w:t>
      </w:r>
      <w:r>
        <w:t>) dos ativos de vida útil definida</w:t>
      </w:r>
      <w:r>
        <w:rPr>
          <w:spacing w:val="-4"/>
        </w:rPr>
        <w:t xml:space="preserve"> </w:t>
      </w:r>
      <w:r>
        <w:t>são aplicados sempre que eventos ou mudanças em circunstâncias indicam que o valor contábil pode não ser recuperado.</w:t>
      </w:r>
    </w:p>
    <w:p w14:paraId="508D2D81" w14:textId="77777777" w:rsidR="002C6574" w:rsidRDefault="00000000">
      <w:pPr>
        <w:pStyle w:val="Corpodetexto"/>
        <w:spacing w:before="189" w:line="237" w:lineRule="auto"/>
        <w:ind w:left="143" w:right="702"/>
        <w:jc w:val="both"/>
      </w:pPr>
      <w:r>
        <w:t>Os valores recuperáveis dos ativos são determinados com base na comparação entre os cálculos do valor em uso e do valor de venda. Esses cálculos exigem o uso de julgamentos e premissas. A determinação do valor justo e dos fluxos de caixa operacionais futuros descontados exige que a Companhia estabeleça determinadas suposições e estimativas referentes aos fluxos de entrada e de saída de caixa projetados relacionados às receitas, aos gastos e às despesas futuras. Essas</w:t>
      </w:r>
      <w:r>
        <w:rPr>
          <w:spacing w:val="80"/>
        </w:rPr>
        <w:t xml:space="preserve"> </w:t>
      </w:r>
      <w:r>
        <w:t>suposições e estimativas podem ser influenciadas por diferentes fatores externos e internos, tais como</w:t>
      </w:r>
      <w:r>
        <w:rPr>
          <w:spacing w:val="29"/>
        </w:rPr>
        <w:t xml:space="preserve"> </w:t>
      </w:r>
      <w:r>
        <w:t>tendências</w:t>
      </w:r>
      <w:r>
        <w:rPr>
          <w:spacing w:val="31"/>
        </w:rPr>
        <w:t xml:space="preserve"> </w:t>
      </w:r>
      <w:r>
        <w:t>econômicas,</w:t>
      </w:r>
      <w:r>
        <w:rPr>
          <w:spacing w:val="31"/>
        </w:rPr>
        <w:t xml:space="preserve"> </w:t>
      </w:r>
      <w:r>
        <w:t>tendências</w:t>
      </w:r>
      <w:r>
        <w:rPr>
          <w:spacing w:val="34"/>
        </w:rPr>
        <w:t xml:space="preserve"> </w:t>
      </w:r>
      <w:r>
        <w:t>da</w:t>
      </w:r>
      <w:r>
        <w:rPr>
          <w:spacing w:val="29"/>
        </w:rPr>
        <w:t xml:space="preserve"> </w:t>
      </w:r>
      <w:r>
        <w:t>indústria</w:t>
      </w:r>
      <w:r>
        <w:rPr>
          <w:spacing w:val="29"/>
        </w:rPr>
        <w:t xml:space="preserve"> </w:t>
      </w:r>
      <w:r>
        <w:t>e</w:t>
      </w:r>
      <w:r>
        <w:rPr>
          <w:spacing w:val="29"/>
        </w:rPr>
        <w:t xml:space="preserve"> </w:t>
      </w:r>
      <w:r>
        <w:t>taxas</w:t>
      </w:r>
      <w:r>
        <w:rPr>
          <w:spacing w:val="31"/>
        </w:rPr>
        <w:t xml:space="preserve"> </w:t>
      </w:r>
      <w:r>
        <w:t>de</w:t>
      </w:r>
      <w:r>
        <w:rPr>
          <w:spacing w:val="29"/>
        </w:rPr>
        <w:t xml:space="preserve"> </w:t>
      </w:r>
      <w:r>
        <w:t>juros,</w:t>
      </w:r>
      <w:r>
        <w:rPr>
          <w:spacing w:val="31"/>
        </w:rPr>
        <w:t xml:space="preserve"> </w:t>
      </w:r>
      <w:r>
        <w:t>mudanças</w:t>
      </w:r>
      <w:r>
        <w:rPr>
          <w:spacing w:val="31"/>
        </w:rPr>
        <w:t xml:space="preserve"> </w:t>
      </w:r>
      <w:r>
        <w:t>nas</w:t>
      </w:r>
      <w:r>
        <w:rPr>
          <w:spacing w:val="31"/>
        </w:rPr>
        <w:t xml:space="preserve"> </w:t>
      </w:r>
      <w:r>
        <w:t>estratégias de negócios e mudanças no tipo de serviços e produtos que a Companhia fornece ao mercado. O uso</w:t>
      </w:r>
      <w:r>
        <w:rPr>
          <w:spacing w:val="6"/>
        </w:rPr>
        <w:t xml:space="preserve"> </w:t>
      </w:r>
      <w:r>
        <w:t>de</w:t>
      </w:r>
      <w:r>
        <w:rPr>
          <w:spacing w:val="6"/>
        </w:rPr>
        <w:t xml:space="preserve"> </w:t>
      </w:r>
      <w:r>
        <w:t>diferentes</w:t>
      </w:r>
      <w:r>
        <w:rPr>
          <w:spacing w:val="4"/>
        </w:rPr>
        <w:t xml:space="preserve"> </w:t>
      </w:r>
      <w:r>
        <w:t>premissas</w:t>
      </w:r>
      <w:r>
        <w:rPr>
          <w:spacing w:val="7"/>
        </w:rPr>
        <w:t xml:space="preserve"> </w:t>
      </w:r>
      <w:r>
        <w:t>pode</w:t>
      </w:r>
      <w:r>
        <w:rPr>
          <w:spacing w:val="6"/>
        </w:rPr>
        <w:t xml:space="preserve"> </w:t>
      </w:r>
      <w:r>
        <w:t>alterar</w:t>
      </w:r>
      <w:r>
        <w:rPr>
          <w:spacing w:val="7"/>
        </w:rPr>
        <w:t xml:space="preserve"> </w:t>
      </w:r>
      <w:r>
        <w:t>de</w:t>
      </w:r>
      <w:r>
        <w:rPr>
          <w:spacing w:val="5"/>
        </w:rPr>
        <w:t xml:space="preserve"> </w:t>
      </w:r>
      <w:r>
        <w:t>maneira</w:t>
      </w:r>
      <w:r>
        <w:rPr>
          <w:spacing w:val="7"/>
        </w:rPr>
        <w:t xml:space="preserve"> </w:t>
      </w:r>
      <w:r>
        <w:t>significativa</w:t>
      </w:r>
      <w:r>
        <w:rPr>
          <w:spacing w:val="6"/>
        </w:rPr>
        <w:t xml:space="preserve"> </w:t>
      </w:r>
      <w:r>
        <w:t>nossas</w:t>
      </w:r>
      <w:r>
        <w:rPr>
          <w:spacing w:val="1"/>
        </w:rPr>
        <w:t xml:space="preserve"> </w:t>
      </w:r>
      <w:r>
        <w:t>Demonstrações</w:t>
      </w:r>
      <w:r>
        <w:rPr>
          <w:spacing w:val="4"/>
        </w:rPr>
        <w:t xml:space="preserve"> </w:t>
      </w:r>
      <w:r>
        <w:rPr>
          <w:spacing w:val="-2"/>
        </w:rPr>
        <w:t>Contábeis.</w:t>
      </w:r>
    </w:p>
    <w:p w14:paraId="53179F4E" w14:textId="77777777" w:rsidR="002C6574" w:rsidRDefault="002C6574">
      <w:pPr>
        <w:pStyle w:val="Corpodetexto"/>
        <w:spacing w:before="38"/>
      </w:pPr>
    </w:p>
    <w:p w14:paraId="4C474D53" w14:textId="77777777" w:rsidR="002C6574" w:rsidRDefault="00000000">
      <w:pPr>
        <w:numPr>
          <w:ilvl w:val="2"/>
          <w:numId w:val="54"/>
        </w:numPr>
        <w:tabs>
          <w:tab w:val="left" w:pos="995"/>
        </w:tabs>
        <w:rPr>
          <w:rFonts w:ascii="Arial" w:hAnsi="Arial"/>
          <w:b/>
        </w:rPr>
      </w:pPr>
      <w:r>
        <w:rPr>
          <w:rFonts w:ascii="Arial" w:hAnsi="Arial"/>
          <w:b/>
        </w:rPr>
        <w:t>Provisão</w:t>
      </w:r>
      <w:r>
        <w:rPr>
          <w:rFonts w:ascii="Arial" w:hAnsi="Arial"/>
          <w:b/>
          <w:spacing w:val="-4"/>
        </w:rPr>
        <w:t xml:space="preserve"> </w:t>
      </w:r>
      <w:r>
        <w:rPr>
          <w:rFonts w:ascii="Arial" w:hAnsi="Arial"/>
          <w:b/>
        </w:rPr>
        <w:t>para</w:t>
      </w:r>
      <w:r>
        <w:rPr>
          <w:rFonts w:ascii="Arial" w:hAnsi="Arial"/>
          <w:b/>
          <w:spacing w:val="-3"/>
        </w:rPr>
        <w:t xml:space="preserve"> </w:t>
      </w:r>
      <w:r>
        <w:rPr>
          <w:rFonts w:ascii="Arial" w:hAnsi="Arial"/>
          <w:b/>
        </w:rPr>
        <w:t>riscos</w:t>
      </w:r>
      <w:r>
        <w:rPr>
          <w:rFonts w:ascii="Arial" w:hAnsi="Arial"/>
          <w:b/>
          <w:spacing w:val="-5"/>
        </w:rPr>
        <w:t xml:space="preserve"> </w:t>
      </w:r>
      <w:r>
        <w:rPr>
          <w:rFonts w:ascii="Arial" w:hAnsi="Arial"/>
          <w:b/>
        </w:rPr>
        <w:t>trabalhistas,</w:t>
      </w:r>
      <w:r>
        <w:rPr>
          <w:rFonts w:ascii="Arial" w:hAnsi="Arial"/>
          <w:b/>
          <w:spacing w:val="-3"/>
        </w:rPr>
        <w:t xml:space="preserve"> </w:t>
      </w:r>
      <w:r>
        <w:rPr>
          <w:rFonts w:ascii="Arial" w:hAnsi="Arial"/>
          <w:b/>
        </w:rPr>
        <w:t>cíveis,</w:t>
      </w:r>
      <w:r>
        <w:rPr>
          <w:rFonts w:ascii="Arial" w:hAnsi="Arial"/>
          <w:b/>
          <w:spacing w:val="-5"/>
        </w:rPr>
        <w:t xml:space="preserve"> </w:t>
      </w:r>
      <w:r>
        <w:rPr>
          <w:rFonts w:ascii="Arial" w:hAnsi="Arial"/>
          <w:b/>
        </w:rPr>
        <w:t>fiscais</w:t>
      </w:r>
      <w:r>
        <w:rPr>
          <w:rFonts w:ascii="Arial" w:hAnsi="Arial"/>
          <w:b/>
          <w:spacing w:val="-6"/>
        </w:rPr>
        <w:t xml:space="preserve"> </w:t>
      </w:r>
      <w:r>
        <w:rPr>
          <w:rFonts w:ascii="Arial" w:hAnsi="Arial"/>
          <w:b/>
        </w:rPr>
        <w:t>e</w:t>
      </w:r>
      <w:r>
        <w:rPr>
          <w:rFonts w:ascii="Arial" w:hAnsi="Arial"/>
          <w:b/>
          <w:spacing w:val="-5"/>
        </w:rPr>
        <w:t xml:space="preserve"> </w:t>
      </w:r>
      <w:r>
        <w:rPr>
          <w:rFonts w:ascii="Arial" w:hAnsi="Arial"/>
          <w:b/>
          <w:spacing w:val="-2"/>
        </w:rPr>
        <w:t>outros</w:t>
      </w:r>
    </w:p>
    <w:p w14:paraId="666E48C2" w14:textId="77777777" w:rsidR="002C6574" w:rsidRDefault="00000000">
      <w:pPr>
        <w:pStyle w:val="Corpodetexto"/>
        <w:spacing w:before="191"/>
        <w:ind w:left="143" w:right="703"/>
        <w:jc w:val="both"/>
      </w:pPr>
      <w:r>
        <w:t>A Companhia reconhece provisões para perdas em processos judiciais que correm nas esferas trabalhistas, cíveis, fiscais, bem como processos administrativos, conforme apresentado na Nota Explicativa 21.</w:t>
      </w:r>
    </w:p>
    <w:p w14:paraId="2FEA31FD" w14:textId="77777777" w:rsidR="002C6574" w:rsidRDefault="00000000">
      <w:pPr>
        <w:pStyle w:val="Corpodetexto"/>
        <w:spacing w:before="288" w:line="237" w:lineRule="auto"/>
        <w:ind w:left="143" w:right="703"/>
        <w:jc w:val="both"/>
      </w:pPr>
      <w:r>
        <w:rPr>
          <w:w w:val="105"/>
        </w:rPr>
        <w:t>O</w:t>
      </w:r>
      <w:r>
        <w:rPr>
          <w:spacing w:val="-10"/>
          <w:w w:val="105"/>
        </w:rPr>
        <w:t xml:space="preserve"> </w:t>
      </w:r>
      <w:r>
        <w:rPr>
          <w:w w:val="105"/>
        </w:rPr>
        <w:t>reconhecimento</w:t>
      </w:r>
      <w:r>
        <w:rPr>
          <w:spacing w:val="-10"/>
          <w:w w:val="105"/>
        </w:rPr>
        <w:t xml:space="preserve"> </w:t>
      </w:r>
      <w:r>
        <w:rPr>
          <w:w w:val="105"/>
        </w:rPr>
        <w:t>da</w:t>
      </w:r>
      <w:r>
        <w:rPr>
          <w:spacing w:val="-11"/>
          <w:w w:val="105"/>
        </w:rPr>
        <w:t xml:space="preserve"> </w:t>
      </w:r>
      <w:r>
        <w:rPr>
          <w:w w:val="105"/>
        </w:rPr>
        <w:t>provisão</w:t>
      </w:r>
      <w:r>
        <w:rPr>
          <w:spacing w:val="-10"/>
          <w:w w:val="105"/>
        </w:rPr>
        <w:t xml:space="preserve"> </w:t>
      </w:r>
      <w:r>
        <w:rPr>
          <w:w w:val="105"/>
        </w:rPr>
        <w:t>para</w:t>
      </w:r>
      <w:r>
        <w:rPr>
          <w:spacing w:val="-10"/>
          <w:w w:val="105"/>
        </w:rPr>
        <w:t xml:space="preserve"> </w:t>
      </w:r>
      <w:r>
        <w:rPr>
          <w:w w:val="105"/>
        </w:rPr>
        <w:t>perdas</w:t>
      </w:r>
      <w:r>
        <w:rPr>
          <w:spacing w:val="-10"/>
          <w:w w:val="105"/>
        </w:rPr>
        <w:t xml:space="preserve"> </w:t>
      </w:r>
      <w:r>
        <w:rPr>
          <w:w w:val="105"/>
        </w:rPr>
        <w:t>em</w:t>
      </w:r>
      <w:r>
        <w:rPr>
          <w:spacing w:val="-13"/>
          <w:w w:val="105"/>
        </w:rPr>
        <w:t xml:space="preserve"> </w:t>
      </w:r>
      <w:r>
        <w:rPr>
          <w:w w:val="105"/>
        </w:rPr>
        <w:t>processos</w:t>
      </w:r>
      <w:r>
        <w:rPr>
          <w:spacing w:val="-12"/>
          <w:w w:val="105"/>
        </w:rPr>
        <w:t xml:space="preserve"> </w:t>
      </w:r>
      <w:r>
        <w:rPr>
          <w:w w:val="105"/>
        </w:rPr>
        <w:t>judiciais</w:t>
      </w:r>
      <w:r>
        <w:rPr>
          <w:spacing w:val="-12"/>
          <w:w w:val="105"/>
        </w:rPr>
        <w:t xml:space="preserve"> </w:t>
      </w:r>
      <w:r>
        <w:rPr>
          <w:w w:val="105"/>
        </w:rPr>
        <w:t>se</w:t>
      </w:r>
      <w:r>
        <w:rPr>
          <w:spacing w:val="-11"/>
          <w:w w:val="105"/>
        </w:rPr>
        <w:t xml:space="preserve"> </w:t>
      </w:r>
      <w:r>
        <w:rPr>
          <w:w w:val="105"/>
        </w:rPr>
        <w:t>baseia</w:t>
      </w:r>
      <w:r>
        <w:rPr>
          <w:spacing w:val="-11"/>
          <w:w w:val="105"/>
        </w:rPr>
        <w:t xml:space="preserve"> </w:t>
      </w:r>
      <w:r>
        <w:rPr>
          <w:w w:val="105"/>
        </w:rPr>
        <w:t>na</w:t>
      </w:r>
      <w:r>
        <w:rPr>
          <w:spacing w:val="-11"/>
          <w:w w:val="105"/>
        </w:rPr>
        <w:t xml:space="preserve"> </w:t>
      </w:r>
      <w:r>
        <w:rPr>
          <w:w w:val="105"/>
        </w:rPr>
        <w:t>avaliação</w:t>
      </w:r>
      <w:r>
        <w:rPr>
          <w:spacing w:val="-10"/>
          <w:w w:val="105"/>
        </w:rPr>
        <w:t xml:space="preserve"> </w:t>
      </w:r>
      <w:r>
        <w:rPr>
          <w:w w:val="105"/>
        </w:rPr>
        <w:t>de</w:t>
      </w:r>
      <w:r>
        <w:rPr>
          <w:spacing w:val="-10"/>
          <w:w w:val="105"/>
        </w:rPr>
        <w:t xml:space="preserve"> </w:t>
      </w:r>
      <w:r>
        <w:rPr>
          <w:w w:val="105"/>
        </w:rPr>
        <w:t>risco de</w:t>
      </w:r>
      <w:r>
        <w:rPr>
          <w:spacing w:val="-10"/>
          <w:w w:val="105"/>
        </w:rPr>
        <w:t xml:space="preserve"> </w:t>
      </w:r>
      <w:r>
        <w:rPr>
          <w:w w:val="105"/>
        </w:rPr>
        <w:t>perda</w:t>
      </w:r>
      <w:r>
        <w:rPr>
          <w:spacing w:val="-11"/>
          <w:w w:val="105"/>
        </w:rPr>
        <w:t xml:space="preserve"> </w:t>
      </w:r>
      <w:r>
        <w:rPr>
          <w:w w:val="105"/>
        </w:rPr>
        <w:t>em</w:t>
      </w:r>
      <w:r>
        <w:rPr>
          <w:spacing w:val="-12"/>
          <w:w w:val="105"/>
        </w:rPr>
        <w:t xml:space="preserve"> </w:t>
      </w:r>
      <w:r>
        <w:rPr>
          <w:w w:val="105"/>
        </w:rPr>
        <w:t>cada</w:t>
      </w:r>
      <w:r>
        <w:rPr>
          <w:spacing w:val="-11"/>
          <w:w w:val="105"/>
        </w:rPr>
        <w:t xml:space="preserve"> </w:t>
      </w:r>
      <w:r>
        <w:rPr>
          <w:w w:val="105"/>
        </w:rPr>
        <w:t>processo,</w:t>
      </w:r>
      <w:r>
        <w:rPr>
          <w:spacing w:val="-10"/>
          <w:w w:val="105"/>
        </w:rPr>
        <w:t xml:space="preserve"> </w:t>
      </w:r>
      <w:r>
        <w:rPr>
          <w:w w:val="105"/>
        </w:rPr>
        <w:t>que</w:t>
      </w:r>
      <w:r>
        <w:rPr>
          <w:spacing w:val="-13"/>
          <w:w w:val="105"/>
        </w:rPr>
        <w:t xml:space="preserve"> </w:t>
      </w:r>
      <w:r>
        <w:rPr>
          <w:w w:val="105"/>
        </w:rPr>
        <w:t>inclui</w:t>
      </w:r>
      <w:r>
        <w:rPr>
          <w:spacing w:val="-12"/>
          <w:w w:val="105"/>
        </w:rPr>
        <w:t xml:space="preserve"> </w:t>
      </w:r>
      <w:r>
        <w:rPr>
          <w:w w:val="105"/>
        </w:rPr>
        <w:t>a</w:t>
      </w:r>
      <w:r>
        <w:rPr>
          <w:spacing w:val="-11"/>
          <w:w w:val="105"/>
        </w:rPr>
        <w:t xml:space="preserve"> </w:t>
      </w:r>
      <w:r>
        <w:rPr>
          <w:w w:val="105"/>
        </w:rPr>
        <w:t>avaliação</w:t>
      </w:r>
      <w:r>
        <w:rPr>
          <w:spacing w:val="-11"/>
          <w:w w:val="105"/>
        </w:rPr>
        <w:t xml:space="preserve"> </w:t>
      </w:r>
      <w:r>
        <w:rPr>
          <w:w w:val="105"/>
        </w:rPr>
        <w:t>das</w:t>
      </w:r>
      <w:r>
        <w:rPr>
          <w:spacing w:val="-12"/>
          <w:w w:val="105"/>
        </w:rPr>
        <w:t xml:space="preserve"> </w:t>
      </w:r>
      <w:r>
        <w:rPr>
          <w:w w:val="105"/>
        </w:rPr>
        <w:t>evidências</w:t>
      </w:r>
      <w:r>
        <w:rPr>
          <w:spacing w:val="-10"/>
          <w:w w:val="105"/>
        </w:rPr>
        <w:t xml:space="preserve"> </w:t>
      </w:r>
      <w:r>
        <w:rPr>
          <w:w w:val="105"/>
        </w:rPr>
        <w:t>disponíveis,</w:t>
      </w:r>
      <w:r>
        <w:rPr>
          <w:spacing w:val="-10"/>
          <w:w w:val="105"/>
        </w:rPr>
        <w:t xml:space="preserve"> </w:t>
      </w:r>
      <w:r>
        <w:rPr>
          <w:w w:val="105"/>
        </w:rPr>
        <w:t>decisões</w:t>
      </w:r>
      <w:r>
        <w:rPr>
          <w:spacing w:val="-14"/>
          <w:w w:val="105"/>
        </w:rPr>
        <w:t xml:space="preserve"> </w:t>
      </w:r>
      <w:r>
        <w:rPr>
          <w:w w:val="105"/>
        </w:rPr>
        <w:t>recentes</w:t>
      </w:r>
      <w:r>
        <w:rPr>
          <w:spacing w:val="-14"/>
          <w:w w:val="105"/>
        </w:rPr>
        <w:t xml:space="preserve"> </w:t>
      </w:r>
      <w:r>
        <w:rPr>
          <w:w w:val="105"/>
        </w:rPr>
        <w:t xml:space="preserve">e </w:t>
      </w:r>
      <w:r>
        <w:t xml:space="preserve">premissas estatísticas, assim como refletem provisões razoavelmente estimadas, conforme avaliado pela Administração, sua assessoria jurídica e pelos advogados externos (quando cabível). É possível </w:t>
      </w:r>
      <w:r>
        <w:rPr>
          <w:w w:val="105"/>
        </w:rPr>
        <w:t>que as premissas utilizadas para estimar a provisão para perdas em processos judiciais alterem, podendo</w:t>
      </w:r>
      <w:r>
        <w:rPr>
          <w:spacing w:val="-12"/>
          <w:w w:val="105"/>
        </w:rPr>
        <w:t xml:space="preserve"> </w:t>
      </w:r>
      <w:r>
        <w:rPr>
          <w:w w:val="105"/>
        </w:rPr>
        <w:t>resultar</w:t>
      </w:r>
      <w:r>
        <w:rPr>
          <w:spacing w:val="-12"/>
          <w:w w:val="105"/>
        </w:rPr>
        <w:t xml:space="preserve"> </w:t>
      </w:r>
      <w:r>
        <w:rPr>
          <w:w w:val="105"/>
        </w:rPr>
        <w:t>em</w:t>
      </w:r>
      <w:r>
        <w:rPr>
          <w:spacing w:val="-12"/>
          <w:w w:val="105"/>
        </w:rPr>
        <w:t xml:space="preserve"> </w:t>
      </w:r>
      <w:r>
        <w:rPr>
          <w:w w:val="105"/>
        </w:rPr>
        <w:t>mudanças</w:t>
      </w:r>
      <w:r>
        <w:rPr>
          <w:spacing w:val="-11"/>
          <w:w w:val="105"/>
        </w:rPr>
        <w:t xml:space="preserve"> </w:t>
      </w:r>
      <w:r>
        <w:rPr>
          <w:w w:val="105"/>
        </w:rPr>
        <w:t>nas</w:t>
      </w:r>
      <w:r>
        <w:rPr>
          <w:spacing w:val="-12"/>
          <w:w w:val="105"/>
        </w:rPr>
        <w:t xml:space="preserve"> </w:t>
      </w:r>
      <w:r>
        <w:rPr>
          <w:w w:val="105"/>
        </w:rPr>
        <w:t>futuras</w:t>
      </w:r>
      <w:r>
        <w:rPr>
          <w:spacing w:val="-15"/>
          <w:w w:val="105"/>
        </w:rPr>
        <w:t xml:space="preserve"> </w:t>
      </w:r>
      <w:r>
        <w:rPr>
          <w:w w:val="105"/>
        </w:rPr>
        <w:t>provisões</w:t>
      </w:r>
      <w:r>
        <w:rPr>
          <w:spacing w:val="-12"/>
          <w:w w:val="105"/>
        </w:rPr>
        <w:t xml:space="preserve"> </w:t>
      </w:r>
      <w:r>
        <w:rPr>
          <w:w w:val="105"/>
        </w:rPr>
        <w:t>para</w:t>
      </w:r>
      <w:r>
        <w:rPr>
          <w:spacing w:val="-16"/>
          <w:w w:val="105"/>
        </w:rPr>
        <w:t xml:space="preserve"> </w:t>
      </w:r>
      <w:r>
        <w:rPr>
          <w:w w:val="105"/>
        </w:rPr>
        <w:t>perdas</w:t>
      </w:r>
      <w:r>
        <w:rPr>
          <w:spacing w:val="-12"/>
          <w:w w:val="105"/>
        </w:rPr>
        <w:t xml:space="preserve"> </w:t>
      </w:r>
      <w:r>
        <w:rPr>
          <w:w w:val="105"/>
        </w:rPr>
        <w:t>nos</w:t>
      </w:r>
      <w:r>
        <w:rPr>
          <w:spacing w:val="-12"/>
          <w:w w:val="105"/>
        </w:rPr>
        <w:t xml:space="preserve"> </w:t>
      </w:r>
      <w:r>
        <w:rPr>
          <w:w w:val="105"/>
        </w:rPr>
        <w:t>processos</w:t>
      </w:r>
      <w:r>
        <w:rPr>
          <w:spacing w:val="-14"/>
          <w:w w:val="105"/>
        </w:rPr>
        <w:t xml:space="preserve"> </w:t>
      </w:r>
      <w:r>
        <w:rPr>
          <w:w w:val="105"/>
        </w:rPr>
        <w:t>judiciais.</w:t>
      </w:r>
    </w:p>
    <w:p w14:paraId="468C85E2" w14:textId="77777777" w:rsidR="002C6574" w:rsidRDefault="002C6574">
      <w:pPr>
        <w:pStyle w:val="Corpodetexto"/>
        <w:spacing w:before="36"/>
      </w:pPr>
    </w:p>
    <w:p w14:paraId="17F91A2D" w14:textId="77777777" w:rsidR="002C6574" w:rsidRDefault="00000000">
      <w:pPr>
        <w:numPr>
          <w:ilvl w:val="2"/>
          <w:numId w:val="54"/>
        </w:numPr>
        <w:tabs>
          <w:tab w:val="left" w:pos="995"/>
        </w:tabs>
        <w:rPr>
          <w:rFonts w:ascii="Arial"/>
          <w:b/>
        </w:rPr>
      </w:pPr>
      <w:r>
        <w:rPr>
          <w:rFonts w:ascii="Arial"/>
          <w:b/>
        </w:rPr>
        <w:t>Instrumentos</w:t>
      </w:r>
      <w:r>
        <w:rPr>
          <w:rFonts w:ascii="Arial"/>
          <w:b/>
          <w:spacing w:val="-7"/>
        </w:rPr>
        <w:t xml:space="preserve"> </w:t>
      </w:r>
      <w:r>
        <w:rPr>
          <w:rFonts w:ascii="Arial"/>
          <w:b/>
          <w:spacing w:val="-2"/>
        </w:rPr>
        <w:t>financeiros</w:t>
      </w:r>
    </w:p>
    <w:p w14:paraId="4A6DF97A" w14:textId="77777777" w:rsidR="002C6574" w:rsidRDefault="00000000">
      <w:pPr>
        <w:pStyle w:val="Corpodetexto"/>
        <w:spacing w:before="193" w:line="237" w:lineRule="auto"/>
        <w:ind w:left="143" w:right="703"/>
        <w:jc w:val="both"/>
      </w:pPr>
      <w:r>
        <w:t>Os instrumentos financeiros apresentados no balanço patrimonial pelo valor justo são mensurados através de técnicas de avaliação que consideram dados observáveis ou derivados de dados observáveis no mercado. (Nota Explicativa 3)</w:t>
      </w:r>
    </w:p>
    <w:p w14:paraId="7808A1F2" w14:textId="77777777" w:rsidR="002C6574" w:rsidRDefault="002C6574">
      <w:pPr>
        <w:pStyle w:val="Corpodetexto"/>
        <w:spacing w:before="31"/>
      </w:pPr>
    </w:p>
    <w:p w14:paraId="7E39BEF1" w14:textId="77777777" w:rsidR="002C6574" w:rsidRDefault="00000000">
      <w:pPr>
        <w:numPr>
          <w:ilvl w:val="2"/>
          <w:numId w:val="54"/>
        </w:numPr>
        <w:tabs>
          <w:tab w:val="left" w:pos="995"/>
        </w:tabs>
        <w:rPr>
          <w:rFonts w:ascii="Arial" w:hAnsi="Arial"/>
          <w:b/>
        </w:rPr>
      </w:pPr>
      <w:r>
        <w:rPr>
          <w:rFonts w:ascii="Arial" w:hAnsi="Arial"/>
          <w:b/>
        </w:rPr>
        <w:t>Benefícios</w:t>
      </w:r>
      <w:r>
        <w:rPr>
          <w:rFonts w:ascii="Arial" w:hAnsi="Arial"/>
          <w:b/>
          <w:spacing w:val="-6"/>
        </w:rPr>
        <w:t xml:space="preserve"> </w:t>
      </w:r>
      <w:r>
        <w:rPr>
          <w:rFonts w:ascii="Arial" w:hAnsi="Arial"/>
          <w:b/>
        </w:rPr>
        <w:t>pós-</w:t>
      </w:r>
      <w:r>
        <w:rPr>
          <w:rFonts w:ascii="Arial" w:hAnsi="Arial"/>
          <w:b/>
          <w:spacing w:val="-2"/>
        </w:rPr>
        <w:t>emprego</w:t>
      </w:r>
    </w:p>
    <w:p w14:paraId="085F1179" w14:textId="77777777" w:rsidR="002C6574" w:rsidRDefault="00000000">
      <w:pPr>
        <w:pStyle w:val="Corpodetexto"/>
        <w:spacing w:before="192"/>
        <w:ind w:left="143" w:right="702"/>
        <w:jc w:val="both"/>
      </w:pPr>
      <w:r>
        <w:t>A avaliação atuarial é baseada em premissas e estimativas com relação a taxas de juros, retorno de investimentos, níveis de inflação para períodos futuros, índices de mortalidade e projeção de níveis de emprego relacionada aos passivos com</w:t>
      </w:r>
      <w:r>
        <w:rPr>
          <w:spacing w:val="40"/>
        </w:rPr>
        <w:t xml:space="preserve"> </w:t>
      </w:r>
      <w:r>
        <w:t>benefícios de aposentadoria. A precisão dessas</w:t>
      </w:r>
      <w:r>
        <w:rPr>
          <w:spacing w:val="80"/>
        </w:rPr>
        <w:t xml:space="preserve"> </w:t>
      </w:r>
      <w:r>
        <w:t>premissas</w:t>
      </w:r>
      <w:r>
        <w:rPr>
          <w:spacing w:val="30"/>
        </w:rPr>
        <w:t xml:space="preserve"> </w:t>
      </w:r>
      <w:r>
        <w:t>e</w:t>
      </w:r>
      <w:r>
        <w:rPr>
          <w:spacing w:val="38"/>
        </w:rPr>
        <w:t xml:space="preserve"> </w:t>
      </w:r>
      <w:r>
        <w:t>estimativas</w:t>
      </w:r>
      <w:r>
        <w:rPr>
          <w:spacing w:val="35"/>
        </w:rPr>
        <w:t xml:space="preserve"> </w:t>
      </w:r>
      <w:r>
        <w:t>determinará</w:t>
      </w:r>
      <w:r>
        <w:rPr>
          <w:spacing w:val="31"/>
        </w:rPr>
        <w:t xml:space="preserve"> </w:t>
      </w:r>
      <w:r>
        <w:t>a</w:t>
      </w:r>
      <w:r>
        <w:rPr>
          <w:spacing w:val="31"/>
        </w:rPr>
        <w:t xml:space="preserve"> </w:t>
      </w:r>
      <w:r>
        <w:t>criação</w:t>
      </w:r>
      <w:r>
        <w:rPr>
          <w:spacing w:val="35"/>
        </w:rPr>
        <w:t xml:space="preserve"> </w:t>
      </w:r>
      <w:r>
        <w:t>de</w:t>
      </w:r>
      <w:r>
        <w:rPr>
          <w:spacing w:val="31"/>
        </w:rPr>
        <w:t xml:space="preserve"> </w:t>
      </w:r>
      <w:r>
        <w:t>reservas</w:t>
      </w:r>
      <w:r>
        <w:rPr>
          <w:spacing w:val="30"/>
        </w:rPr>
        <w:t xml:space="preserve"> </w:t>
      </w:r>
      <w:r>
        <w:t>suficientes</w:t>
      </w:r>
      <w:r>
        <w:rPr>
          <w:spacing w:val="30"/>
        </w:rPr>
        <w:t xml:space="preserve"> </w:t>
      </w:r>
      <w:r>
        <w:t>para</w:t>
      </w:r>
      <w:r>
        <w:rPr>
          <w:spacing w:val="31"/>
        </w:rPr>
        <w:t xml:space="preserve"> </w:t>
      </w:r>
      <w:r>
        <w:t>custos</w:t>
      </w:r>
      <w:r>
        <w:rPr>
          <w:spacing w:val="35"/>
        </w:rPr>
        <w:t xml:space="preserve"> </w:t>
      </w:r>
      <w:r>
        <w:t>com</w:t>
      </w:r>
      <w:r>
        <w:rPr>
          <w:spacing w:val="35"/>
        </w:rPr>
        <w:t xml:space="preserve"> </w:t>
      </w:r>
      <w:r>
        <w:t>pensões</w:t>
      </w:r>
    </w:p>
    <w:p w14:paraId="422E146A" w14:textId="77777777" w:rsidR="002C6574" w:rsidRDefault="002C6574">
      <w:pPr>
        <w:pStyle w:val="Corpodetexto"/>
        <w:jc w:val="both"/>
        <w:sectPr w:rsidR="002C6574">
          <w:pgSz w:w="11910" w:h="16840"/>
          <w:pgMar w:top="1600" w:right="141" w:bottom="1540" w:left="1133" w:header="856" w:footer="1350" w:gutter="0"/>
          <w:cols w:space="720"/>
        </w:sectPr>
      </w:pPr>
    </w:p>
    <w:p w14:paraId="7CD20EF4" w14:textId="77777777" w:rsidR="002C6574" w:rsidRDefault="002C6574">
      <w:pPr>
        <w:pStyle w:val="Corpodetexto"/>
        <w:spacing w:before="195"/>
      </w:pPr>
    </w:p>
    <w:p w14:paraId="2194AECA" w14:textId="77777777" w:rsidR="002C6574" w:rsidRDefault="00000000">
      <w:pPr>
        <w:pStyle w:val="Corpodetexto"/>
        <w:spacing w:before="1"/>
        <w:ind w:left="143" w:right="704"/>
        <w:jc w:val="both"/>
      </w:pPr>
      <w:r>
        <w:t>acumuladas e planos de saúde, como também o valor a ser fornecido a cada ano, como custos com benefícios de aposentadoria.</w:t>
      </w:r>
    </w:p>
    <w:p w14:paraId="60023081" w14:textId="77777777" w:rsidR="002C6574" w:rsidRDefault="00000000">
      <w:pPr>
        <w:pStyle w:val="Corpodetexto"/>
        <w:spacing w:before="288"/>
        <w:ind w:left="143" w:right="702"/>
        <w:jc w:val="both"/>
      </w:pPr>
      <w:r>
        <w:rPr>
          <w:w w:val="105"/>
        </w:rPr>
        <w:t>Tais premissas e estimativas estão sujeitas a flutuações significativas devido a diferentes fatores internos e externos, como tendências econômicas, indicadores sociais, nossa capacidade para empregos</w:t>
      </w:r>
      <w:r>
        <w:rPr>
          <w:spacing w:val="-3"/>
          <w:w w:val="105"/>
        </w:rPr>
        <w:t xml:space="preserve"> </w:t>
      </w:r>
      <w:r>
        <w:rPr>
          <w:w w:val="105"/>
        </w:rPr>
        <w:t>e de</w:t>
      </w:r>
      <w:r>
        <w:rPr>
          <w:spacing w:val="-2"/>
          <w:w w:val="105"/>
        </w:rPr>
        <w:t xml:space="preserve"> </w:t>
      </w:r>
      <w:r>
        <w:rPr>
          <w:w w:val="105"/>
        </w:rPr>
        <w:t>reter nossos empregados. Todas</w:t>
      </w:r>
      <w:r>
        <w:rPr>
          <w:spacing w:val="-2"/>
          <w:w w:val="105"/>
        </w:rPr>
        <w:t xml:space="preserve"> </w:t>
      </w:r>
      <w:r>
        <w:rPr>
          <w:w w:val="105"/>
        </w:rPr>
        <w:t>as premissas</w:t>
      </w:r>
      <w:r>
        <w:rPr>
          <w:spacing w:val="-3"/>
          <w:w w:val="105"/>
        </w:rPr>
        <w:t xml:space="preserve"> </w:t>
      </w:r>
      <w:r>
        <w:rPr>
          <w:w w:val="105"/>
        </w:rPr>
        <w:t>são</w:t>
      </w:r>
      <w:r>
        <w:rPr>
          <w:spacing w:val="-2"/>
          <w:w w:val="105"/>
        </w:rPr>
        <w:t xml:space="preserve"> </w:t>
      </w:r>
      <w:r>
        <w:rPr>
          <w:w w:val="105"/>
        </w:rPr>
        <w:t>revisadas a cada</w:t>
      </w:r>
      <w:r>
        <w:rPr>
          <w:spacing w:val="-1"/>
          <w:w w:val="105"/>
        </w:rPr>
        <w:t xml:space="preserve"> </w:t>
      </w:r>
      <w:r>
        <w:rPr>
          <w:w w:val="105"/>
        </w:rPr>
        <w:t>data</w:t>
      </w:r>
      <w:r>
        <w:rPr>
          <w:spacing w:val="-2"/>
          <w:w w:val="105"/>
        </w:rPr>
        <w:t xml:space="preserve"> </w:t>
      </w:r>
      <w:r>
        <w:rPr>
          <w:w w:val="105"/>
        </w:rPr>
        <w:t>base.</w:t>
      </w:r>
    </w:p>
    <w:p w14:paraId="4F0BBCBF" w14:textId="77777777" w:rsidR="002C6574" w:rsidRDefault="00000000">
      <w:pPr>
        <w:pStyle w:val="Corpodetexto"/>
        <w:spacing w:before="289" w:line="237" w:lineRule="auto"/>
        <w:ind w:left="143" w:right="704"/>
        <w:jc w:val="both"/>
      </w:pPr>
      <w:r>
        <w:t>Se essas premissas e estimativas não forem precisas, pode haver a necessidade de revisão das provisões para benefícios de aposentadoria, que poderiam afetar de maneira significativa os resultados da Companhia. (Nota Explicativa 33).</w:t>
      </w:r>
    </w:p>
    <w:p w14:paraId="1054DD35" w14:textId="77777777" w:rsidR="002C6574" w:rsidRDefault="002C6574">
      <w:pPr>
        <w:pStyle w:val="Corpodetexto"/>
        <w:spacing w:before="30"/>
      </w:pPr>
    </w:p>
    <w:p w14:paraId="22B6EA5C" w14:textId="77777777" w:rsidR="002C6574" w:rsidRDefault="00000000">
      <w:pPr>
        <w:numPr>
          <w:ilvl w:val="1"/>
          <w:numId w:val="54"/>
        </w:numPr>
        <w:tabs>
          <w:tab w:val="left" w:pos="996"/>
        </w:tabs>
        <w:spacing w:before="1"/>
        <w:ind w:left="996" w:hanging="853"/>
        <w:rPr>
          <w:rFonts w:ascii="Arial" w:hAnsi="Arial"/>
          <w:b/>
        </w:rPr>
      </w:pPr>
      <w:r>
        <w:rPr>
          <w:rFonts w:ascii="Arial" w:hAnsi="Arial"/>
          <w:b/>
        </w:rPr>
        <w:t>Normas</w:t>
      </w:r>
      <w:r>
        <w:rPr>
          <w:rFonts w:ascii="Arial" w:hAnsi="Arial"/>
          <w:b/>
          <w:spacing w:val="-5"/>
        </w:rPr>
        <w:t xml:space="preserve"> </w:t>
      </w:r>
      <w:r>
        <w:rPr>
          <w:rFonts w:ascii="Arial" w:hAnsi="Arial"/>
          <w:b/>
        </w:rPr>
        <w:t>e</w:t>
      </w:r>
      <w:r>
        <w:rPr>
          <w:rFonts w:ascii="Arial" w:hAnsi="Arial"/>
          <w:b/>
          <w:spacing w:val="-8"/>
        </w:rPr>
        <w:t xml:space="preserve"> </w:t>
      </w:r>
      <w:r>
        <w:rPr>
          <w:rFonts w:ascii="Arial" w:hAnsi="Arial"/>
          <w:b/>
        </w:rPr>
        <w:t>interpretação</w:t>
      </w:r>
      <w:r>
        <w:rPr>
          <w:rFonts w:ascii="Arial" w:hAnsi="Arial"/>
          <w:b/>
          <w:spacing w:val="-3"/>
        </w:rPr>
        <w:t xml:space="preserve"> </w:t>
      </w:r>
      <w:r>
        <w:rPr>
          <w:rFonts w:ascii="Arial" w:hAnsi="Arial"/>
          <w:b/>
        </w:rPr>
        <w:t>novas</w:t>
      </w:r>
      <w:r>
        <w:rPr>
          <w:rFonts w:ascii="Arial" w:hAnsi="Arial"/>
          <w:b/>
          <w:spacing w:val="-2"/>
        </w:rPr>
        <w:t xml:space="preserve"> </w:t>
      </w:r>
      <w:r>
        <w:rPr>
          <w:rFonts w:ascii="Arial" w:hAnsi="Arial"/>
          <w:b/>
        </w:rPr>
        <w:t>e</w:t>
      </w:r>
      <w:r>
        <w:rPr>
          <w:rFonts w:ascii="Arial" w:hAnsi="Arial"/>
          <w:b/>
          <w:spacing w:val="-7"/>
        </w:rPr>
        <w:t xml:space="preserve"> </w:t>
      </w:r>
      <w:r>
        <w:rPr>
          <w:rFonts w:ascii="Arial" w:hAnsi="Arial"/>
          <w:b/>
          <w:spacing w:val="-2"/>
        </w:rPr>
        <w:t>revisadas</w:t>
      </w:r>
    </w:p>
    <w:p w14:paraId="5E49966C" w14:textId="77777777" w:rsidR="002C6574" w:rsidRDefault="002C6574">
      <w:pPr>
        <w:pStyle w:val="Corpodetexto"/>
        <w:spacing w:before="74"/>
        <w:rPr>
          <w:rFonts w:ascii="Arial"/>
          <w:b/>
        </w:rPr>
      </w:pPr>
    </w:p>
    <w:p w14:paraId="481CA69E" w14:textId="77777777" w:rsidR="002C6574" w:rsidRDefault="00000000">
      <w:pPr>
        <w:pStyle w:val="PargrafodaLista"/>
        <w:numPr>
          <w:ilvl w:val="2"/>
          <w:numId w:val="54"/>
        </w:numPr>
        <w:tabs>
          <w:tab w:val="left" w:pos="863"/>
        </w:tabs>
        <w:ind w:left="863" w:hanging="720"/>
        <w:rPr>
          <w:rFonts w:ascii="Arial" w:hAnsi="Arial"/>
          <w:b/>
        </w:rPr>
      </w:pPr>
      <w:r>
        <w:rPr>
          <w:rFonts w:ascii="Arial" w:hAnsi="Arial"/>
          <w:b/>
        </w:rPr>
        <w:t>CPCs/IFRSs</w:t>
      </w:r>
      <w:r>
        <w:rPr>
          <w:rFonts w:ascii="Arial" w:hAnsi="Arial"/>
          <w:b/>
          <w:spacing w:val="-4"/>
        </w:rPr>
        <w:t xml:space="preserve"> </w:t>
      </w:r>
      <w:r>
        <w:rPr>
          <w:rFonts w:ascii="Arial" w:hAnsi="Arial"/>
          <w:b/>
        </w:rPr>
        <w:t>novas</w:t>
      </w:r>
      <w:r>
        <w:rPr>
          <w:rFonts w:ascii="Arial" w:hAnsi="Arial"/>
          <w:b/>
          <w:spacing w:val="-1"/>
        </w:rPr>
        <w:t xml:space="preserve"> </w:t>
      </w:r>
      <w:r>
        <w:rPr>
          <w:rFonts w:ascii="Arial" w:hAnsi="Arial"/>
          <w:b/>
        </w:rPr>
        <w:t>e</w:t>
      </w:r>
      <w:r>
        <w:rPr>
          <w:rFonts w:ascii="Arial" w:hAnsi="Arial"/>
          <w:b/>
          <w:spacing w:val="-6"/>
        </w:rPr>
        <w:t xml:space="preserve"> </w:t>
      </w:r>
      <w:r>
        <w:rPr>
          <w:rFonts w:ascii="Arial" w:hAnsi="Arial"/>
          <w:b/>
        </w:rPr>
        <w:t>alteradas</w:t>
      </w:r>
      <w:r>
        <w:rPr>
          <w:rFonts w:ascii="Arial" w:hAnsi="Arial"/>
          <w:b/>
          <w:spacing w:val="-2"/>
        </w:rPr>
        <w:t xml:space="preserve"> </w:t>
      </w:r>
      <w:r>
        <w:rPr>
          <w:rFonts w:ascii="Arial" w:hAnsi="Arial"/>
          <w:b/>
        </w:rPr>
        <w:t>em</w:t>
      </w:r>
      <w:r>
        <w:rPr>
          <w:rFonts w:ascii="Arial" w:hAnsi="Arial"/>
          <w:b/>
          <w:spacing w:val="-2"/>
        </w:rPr>
        <w:t xml:space="preserve"> </w:t>
      </w:r>
      <w:r>
        <w:rPr>
          <w:rFonts w:ascii="Arial" w:hAnsi="Arial"/>
          <w:b/>
        </w:rPr>
        <w:t>vigor</w:t>
      </w:r>
      <w:r>
        <w:rPr>
          <w:rFonts w:ascii="Arial" w:hAnsi="Arial"/>
          <w:b/>
          <w:spacing w:val="-4"/>
        </w:rPr>
        <w:t xml:space="preserve"> </w:t>
      </w:r>
      <w:r>
        <w:rPr>
          <w:rFonts w:ascii="Arial" w:hAnsi="Arial"/>
          <w:b/>
        </w:rPr>
        <w:t>no</w:t>
      </w:r>
      <w:r>
        <w:rPr>
          <w:rFonts w:ascii="Arial" w:hAnsi="Arial"/>
          <w:b/>
          <w:spacing w:val="-2"/>
        </w:rPr>
        <w:t xml:space="preserve"> </w:t>
      </w:r>
      <w:r>
        <w:rPr>
          <w:rFonts w:ascii="Arial" w:hAnsi="Arial"/>
          <w:b/>
        </w:rPr>
        <w:t>exercício</w:t>
      </w:r>
      <w:r>
        <w:rPr>
          <w:rFonts w:ascii="Arial" w:hAnsi="Arial"/>
          <w:b/>
          <w:spacing w:val="-4"/>
        </w:rPr>
        <w:t xml:space="preserve"> </w:t>
      </w:r>
      <w:r>
        <w:rPr>
          <w:rFonts w:ascii="Arial" w:hAnsi="Arial"/>
          <w:b/>
          <w:spacing w:val="-2"/>
        </w:rPr>
        <w:t>corrente</w:t>
      </w:r>
    </w:p>
    <w:p w14:paraId="0E30DF22" w14:textId="77777777" w:rsidR="002C6574" w:rsidRDefault="002C6574">
      <w:pPr>
        <w:pStyle w:val="Corpodetexto"/>
        <w:spacing w:before="34"/>
        <w:rPr>
          <w:rFonts w:ascii="Arial"/>
          <w:b/>
        </w:rPr>
      </w:pPr>
    </w:p>
    <w:p w14:paraId="03ECC5C4" w14:textId="77777777" w:rsidR="002C6574" w:rsidRDefault="00000000">
      <w:pPr>
        <w:pStyle w:val="Corpodetexto"/>
        <w:spacing w:before="1" w:line="237" w:lineRule="auto"/>
        <w:ind w:left="143" w:right="878"/>
      </w:pPr>
      <w:r>
        <w:t>As seguintes alterações de normas foram adotadas pela primeira vez para o exercício iniciado em 1º de janeiro de 2025:</w:t>
      </w:r>
    </w:p>
    <w:p w14:paraId="2D6B9C56" w14:textId="77777777" w:rsidR="002C6574" w:rsidRDefault="002C6574">
      <w:pPr>
        <w:pStyle w:val="Corpodetexto"/>
        <w:spacing w:before="27"/>
      </w:pPr>
    </w:p>
    <w:p w14:paraId="1459688F" w14:textId="77777777" w:rsidR="002C6574" w:rsidRDefault="00000000">
      <w:pPr>
        <w:pStyle w:val="Corpodetexto"/>
        <w:ind w:left="143" w:right="704"/>
        <w:jc w:val="both"/>
      </w:pPr>
      <w:r>
        <w:rPr>
          <w:rFonts w:ascii="Arial" w:hAnsi="Arial"/>
          <w:b/>
        </w:rPr>
        <w:t>Alterações ao IAS 21/ CPC 02 (R2) - Efeitos das mudanças nas taxas de câmbio e conversão de</w:t>
      </w:r>
      <w:r>
        <w:rPr>
          <w:rFonts w:ascii="Arial" w:hAnsi="Arial"/>
          <w:b/>
          <w:spacing w:val="-3"/>
        </w:rPr>
        <w:t xml:space="preserve"> </w:t>
      </w:r>
      <w:r>
        <w:rPr>
          <w:rFonts w:ascii="Arial" w:hAnsi="Arial"/>
          <w:b/>
        </w:rPr>
        <w:t>demonstrações</w:t>
      </w:r>
      <w:r>
        <w:rPr>
          <w:rFonts w:ascii="Arial" w:hAnsi="Arial"/>
          <w:b/>
          <w:spacing w:val="-2"/>
        </w:rPr>
        <w:t xml:space="preserve"> </w:t>
      </w:r>
      <w:r>
        <w:rPr>
          <w:rFonts w:ascii="Arial" w:hAnsi="Arial"/>
          <w:b/>
        </w:rPr>
        <w:t>contábeis:</w:t>
      </w:r>
      <w:r>
        <w:rPr>
          <w:rFonts w:ascii="Arial" w:hAnsi="Arial"/>
          <w:b/>
          <w:spacing w:val="-3"/>
        </w:rPr>
        <w:t xml:space="preserve"> </w:t>
      </w:r>
      <w:r>
        <w:t>em</w:t>
      </w:r>
      <w:r>
        <w:rPr>
          <w:spacing w:val="-1"/>
        </w:rPr>
        <w:t xml:space="preserve"> </w:t>
      </w:r>
      <w:r>
        <w:t>agosto</w:t>
      </w:r>
      <w:r>
        <w:rPr>
          <w:spacing w:val="-4"/>
        </w:rPr>
        <w:t xml:space="preserve"> </w:t>
      </w:r>
      <w:r>
        <w:t>de</w:t>
      </w:r>
      <w:r>
        <w:rPr>
          <w:spacing w:val="-4"/>
        </w:rPr>
        <w:t xml:space="preserve"> </w:t>
      </w:r>
      <w:r>
        <w:t>2023, o</w:t>
      </w:r>
      <w:r>
        <w:rPr>
          <w:spacing w:val="-2"/>
        </w:rPr>
        <w:t xml:space="preserve"> </w:t>
      </w:r>
      <w:r>
        <w:t>IASB</w:t>
      </w:r>
      <w:r>
        <w:rPr>
          <w:spacing w:val="-2"/>
        </w:rPr>
        <w:t xml:space="preserve"> </w:t>
      </w:r>
      <w:r>
        <w:t>alterou</w:t>
      </w:r>
      <w:r>
        <w:rPr>
          <w:spacing w:val="-2"/>
        </w:rPr>
        <w:t xml:space="preserve"> </w:t>
      </w:r>
      <w:r>
        <w:t>o</w:t>
      </w:r>
      <w:r>
        <w:rPr>
          <w:spacing w:val="-2"/>
        </w:rPr>
        <w:t xml:space="preserve"> </w:t>
      </w:r>
      <w:r>
        <w:t>IAS</w:t>
      </w:r>
      <w:r>
        <w:rPr>
          <w:spacing w:val="-5"/>
        </w:rPr>
        <w:t xml:space="preserve"> </w:t>
      </w:r>
      <w:r>
        <w:t>21</w:t>
      </w:r>
      <w:r>
        <w:rPr>
          <w:spacing w:val="-2"/>
        </w:rPr>
        <w:t xml:space="preserve"> </w:t>
      </w:r>
      <w:r>
        <w:t>-</w:t>
      </w:r>
      <w:r>
        <w:rPr>
          <w:spacing w:val="-3"/>
        </w:rPr>
        <w:t xml:space="preserve"> </w:t>
      </w:r>
      <w:r>
        <w:t>"Efeitos</w:t>
      </w:r>
      <w:r>
        <w:rPr>
          <w:spacing w:val="-1"/>
        </w:rPr>
        <w:t xml:space="preserve"> </w:t>
      </w:r>
      <w:r>
        <w:t>das</w:t>
      </w:r>
      <w:r>
        <w:rPr>
          <w:spacing w:val="-5"/>
        </w:rPr>
        <w:t xml:space="preserve"> </w:t>
      </w:r>
      <w:r>
        <w:t>Mudanças nas Taxas de Câmbio e</w:t>
      </w:r>
      <w:r>
        <w:rPr>
          <w:spacing w:val="-3"/>
        </w:rPr>
        <w:t xml:space="preserve"> </w:t>
      </w:r>
      <w:r>
        <w:t>Conversão de</w:t>
      </w:r>
      <w:r>
        <w:rPr>
          <w:spacing w:val="-1"/>
        </w:rPr>
        <w:t xml:space="preserve"> </w:t>
      </w:r>
      <w:r>
        <w:t>Demonstrações Contábeis", adicionando novos requisitos com o objetivo de ajudar as entidades a determinar se uma moeda é conversível em outra moeda e, quando não for, qual a taxa de câmbio à vista a ser utilizada. Antes dessas alterações, o IAS 21 somente estabelecia a taxa de câmbio a ser utilizada quando a falta de conversibilidade fosse temporária. As referidas alterações têm vigência a partir de 1o de janeiro de 2025.</w:t>
      </w:r>
    </w:p>
    <w:p w14:paraId="450CFD35" w14:textId="77777777" w:rsidR="002C6574" w:rsidRDefault="00000000">
      <w:pPr>
        <w:pStyle w:val="Corpodetexto"/>
        <w:spacing w:before="291" w:line="237" w:lineRule="auto"/>
        <w:ind w:left="143"/>
      </w:pPr>
      <w:r>
        <w:t>A Companhia não espera que essas alterações tenham um impacto material em suas operações ou demonstrações contábeis.</w:t>
      </w:r>
    </w:p>
    <w:p w14:paraId="1E5AAA21" w14:textId="77777777" w:rsidR="002C6574" w:rsidRDefault="002C6574">
      <w:pPr>
        <w:pStyle w:val="Corpodetexto"/>
        <w:spacing w:before="30"/>
      </w:pPr>
    </w:p>
    <w:p w14:paraId="173D7F98" w14:textId="77777777" w:rsidR="002C6574" w:rsidRDefault="00000000">
      <w:pPr>
        <w:numPr>
          <w:ilvl w:val="2"/>
          <w:numId w:val="54"/>
        </w:numPr>
        <w:tabs>
          <w:tab w:val="left" w:pos="863"/>
        </w:tabs>
        <w:ind w:left="863" w:hanging="720"/>
        <w:rPr>
          <w:rFonts w:ascii="Arial" w:hAnsi="Arial"/>
          <w:b/>
        </w:rPr>
      </w:pPr>
      <w:r>
        <w:rPr>
          <w:rFonts w:ascii="Arial" w:hAnsi="Arial"/>
          <w:b/>
        </w:rPr>
        <w:t>CPCs/IFRSs</w:t>
      </w:r>
      <w:r>
        <w:rPr>
          <w:rFonts w:ascii="Arial" w:hAnsi="Arial"/>
          <w:b/>
          <w:spacing w:val="-3"/>
        </w:rPr>
        <w:t xml:space="preserve"> </w:t>
      </w:r>
      <w:r>
        <w:rPr>
          <w:rFonts w:ascii="Arial" w:hAnsi="Arial"/>
          <w:b/>
        </w:rPr>
        <w:t>novas</w:t>
      </w:r>
      <w:r>
        <w:rPr>
          <w:rFonts w:ascii="Arial" w:hAnsi="Arial"/>
          <w:b/>
          <w:spacing w:val="-3"/>
        </w:rPr>
        <w:t xml:space="preserve"> </w:t>
      </w:r>
      <w:r>
        <w:rPr>
          <w:rFonts w:ascii="Arial" w:hAnsi="Arial"/>
          <w:b/>
        </w:rPr>
        <w:t>e</w:t>
      </w:r>
      <w:r>
        <w:rPr>
          <w:rFonts w:ascii="Arial" w:hAnsi="Arial"/>
          <w:b/>
          <w:spacing w:val="-7"/>
        </w:rPr>
        <w:t xml:space="preserve"> </w:t>
      </w:r>
      <w:r>
        <w:rPr>
          <w:rFonts w:ascii="Arial" w:hAnsi="Arial"/>
          <w:b/>
        </w:rPr>
        <w:t>revisadas</w:t>
      </w:r>
      <w:r>
        <w:rPr>
          <w:rFonts w:ascii="Arial" w:hAnsi="Arial"/>
          <w:b/>
          <w:spacing w:val="-6"/>
        </w:rPr>
        <w:t xml:space="preserve"> </w:t>
      </w:r>
      <w:r>
        <w:rPr>
          <w:rFonts w:ascii="Arial" w:hAnsi="Arial"/>
          <w:b/>
        </w:rPr>
        <w:t>já</w:t>
      </w:r>
      <w:r>
        <w:rPr>
          <w:rFonts w:ascii="Arial" w:hAnsi="Arial"/>
          <w:b/>
          <w:spacing w:val="-2"/>
        </w:rPr>
        <w:t xml:space="preserve"> </w:t>
      </w:r>
      <w:r>
        <w:rPr>
          <w:rFonts w:ascii="Arial" w:hAnsi="Arial"/>
          <w:b/>
        </w:rPr>
        <w:t>emitidas,</w:t>
      </w:r>
      <w:r>
        <w:rPr>
          <w:rFonts w:ascii="Arial" w:hAnsi="Arial"/>
          <w:b/>
          <w:spacing w:val="-2"/>
        </w:rPr>
        <w:t xml:space="preserve"> </w:t>
      </w:r>
      <w:r>
        <w:rPr>
          <w:rFonts w:ascii="Arial" w:hAnsi="Arial"/>
          <w:b/>
        </w:rPr>
        <w:t>porém</w:t>
      </w:r>
      <w:r>
        <w:rPr>
          <w:rFonts w:ascii="Arial" w:hAnsi="Arial"/>
          <w:b/>
          <w:spacing w:val="-1"/>
        </w:rPr>
        <w:t xml:space="preserve"> </w:t>
      </w:r>
      <w:r>
        <w:rPr>
          <w:rFonts w:ascii="Arial" w:hAnsi="Arial"/>
          <w:b/>
        </w:rPr>
        <w:t>ainda</w:t>
      </w:r>
      <w:r>
        <w:rPr>
          <w:rFonts w:ascii="Arial" w:hAnsi="Arial"/>
          <w:b/>
          <w:spacing w:val="-4"/>
        </w:rPr>
        <w:t xml:space="preserve"> </w:t>
      </w:r>
      <w:r>
        <w:rPr>
          <w:rFonts w:ascii="Arial" w:hAnsi="Arial"/>
          <w:b/>
        </w:rPr>
        <w:t>não</w:t>
      </w:r>
      <w:r>
        <w:rPr>
          <w:rFonts w:ascii="Arial" w:hAnsi="Arial"/>
          <w:b/>
          <w:spacing w:val="-6"/>
        </w:rPr>
        <w:t xml:space="preserve"> </w:t>
      </w:r>
      <w:r>
        <w:rPr>
          <w:rFonts w:ascii="Arial" w:hAnsi="Arial"/>
          <w:b/>
          <w:spacing w:val="-2"/>
        </w:rPr>
        <w:t>adotadas</w:t>
      </w:r>
    </w:p>
    <w:p w14:paraId="2D54A843" w14:textId="77777777" w:rsidR="002C6574" w:rsidRDefault="002C6574">
      <w:pPr>
        <w:pStyle w:val="Corpodetexto"/>
        <w:spacing w:before="32"/>
        <w:rPr>
          <w:rFonts w:ascii="Arial"/>
          <w:b/>
        </w:rPr>
      </w:pPr>
    </w:p>
    <w:p w14:paraId="23C7D51A" w14:textId="77777777" w:rsidR="002C6574" w:rsidRDefault="00000000">
      <w:pPr>
        <w:pStyle w:val="Corpodetexto"/>
        <w:spacing w:line="237" w:lineRule="auto"/>
        <w:ind w:left="143" w:right="704"/>
        <w:jc w:val="both"/>
      </w:pPr>
      <w:r>
        <w:t>As</w:t>
      </w:r>
      <w:r>
        <w:rPr>
          <w:spacing w:val="-3"/>
        </w:rPr>
        <w:t xml:space="preserve"> </w:t>
      </w:r>
      <w:r>
        <w:t>seguintes</w:t>
      </w:r>
      <w:r>
        <w:rPr>
          <w:spacing w:val="-6"/>
        </w:rPr>
        <w:t xml:space="preserve"> </w:t>
      </w:r>
      <w:r>
        <w:t>alterações</w:t>
      </w:r>
      <w:r>
        <w:rPr>
          <w:spacing w:val="-6"/>
        </w:rPr>
        <w:t xml:space="preserve"> </w:t>
      </w:r>
      <w:r>
        <w:t>de</w:t>
      </w:r>
      <w:r>
        <w:rPr>
          <w:spacing w:val="-3"/>
        </w:rPr>
        <w:t xml:space="preserve"> </w:t>
      </w:r>
      <w:r>
        <w:t>normas</w:t>
      </w:r>
      <w:r>
        <w:rPr>
          <w:spacing w:val="-6"/>
        </w:rPr>
        <w:t xml:space="preserve"> </w:t>
      </w:r>
      <w:r>
        <w:t>foram</w:t>
      </w:r>
      <w:r>
        <w:rPr>
          <w:spacing w:val="-6"/>
        </w:rPr>
        <w:t xml:space="preserve"> </w:t>
      </w:r>
      <w:r>
        <w:t>emitidas</w:t>
      </w:r>
      <w:r>
        <w:rPr>
          <w:spacing w:val="-3"/>
        </w:rPr>
        <w:t xml:space="preserve"> </w:t>
      </w:r>
      <w:r>
        <w:t>pelo</w:t>
      </w:r>
      <w:r>
        <w:rPr>
          <w:spacing w:val="-8"/>
        </w:rPr>
        <w:t xml:space="preserve"> </w:t>
      </w:r>
      <w:r>
        <w:t>IASB</w:t>
      </w:r>
      <w:r>
        <w:rPr>
          <w:spacing w:val="-3"/>
        </w:rPr>
        <w:t xml:space="preserve"> </w:t>
      </w:r>
      <w:r>
        <w:t>mas</w:t>
      </w:r>
      <w:r>
        <w:rPr>
          <w:spacing w:val="-6"/>
        </w:rPr>
        <w:t xml:space="preserve"> </w:t>
      </w:r>
      <w:r>
        <w:t>não</w:t>
      </w:r>
      <w:r>
        <w:rPr>
          <w:spacing w:val="-8"/>
        </w:rPr>
        <w:t xml:space="preserve"> </w:t>
      </w:r>
      <w:r>
        <w:t>estão</w:t>
      </w:r>
      <w:r>
        <w:rPr>
          <w:spacing w:val="-3"/>
        </w:rPr>
        <w:t xml:space="preserve"> </w:t>
      </w:r>
      <w:r>
        <w:t>em</w:t>
      </w:r>
      <w:r>
        <w:rPr>
          <w:spacing w:val="-6"/>
        </w:rPr>
        <w:t xml:space="preserve"> </w:t>
      </w:r>
      <w:r>
        <w:t>vigor</w:t>
      </w:r>
      <w:r>
        <w:rPr>
          <w:spacing w:val="-6"/>
        </w:rPr>
        <w:t xml:space="preserve"> </w:t>
      </w:r>
      <w:r>
        <w:t>para</w:t>
      </w:r>
      <w:r>
        <w:rPr>
          <w:spacing w:val="-8"/>
        </w:rPr>
        <w:t xml:space="preserve"> </w:t>
      </w:r>
      <w:r>
        <w:t>o</w:t>
      </w:r>
      <w:r>
        <w:rPr>
          <w:spacing w:val="-8"/>
        </w:rPr>
        <w:t xml:space="preserve"> </w:t>
      </w:r>
      <w:r>
        <w:t>exercício de 2025. A adoção antecipada de normas, embora encorajada pelo IASB, não é permitida, no Brasil, pelo Comitê de Pronunciamento Contábeis (CPC).</w:t>
      </w:r>
    </w:p>
    <w:p w14:paraId="44471A37" w14:textId="77777777" w:rsidR="002C6574" w:rsidRDefault="002C6574">
      <w:pPr>
        <w:pStyle w:val="Corpodetexto"/>
        <w:spacing w:before="2"/>
      </w:pPr>
    </w:p>
    <w:p w14:paraId="76C58CAA" w14:textId="77777777" w:rsidR="002C6574" w:rsidRDefault="00000000">
      <w:pPr>
        <w:pStyle w:val="Corpodetexto"/>
        <w:spacing w:line="237" w:lineRule="auto"/>
        <w:ind w:left="143" w:right="702"/>
        <w:jc w:val="both"/>
      </w:pPr>
      <w:r>
        <w:rPr>
          <w:w w:val="105"/>
        </w:rPr>
        <w:t>Alterações</w:t>
      </w:r>
      <w:r>
        <w:rPr>
          <w:spacing w:val="-11"/>
          <w:w w:val="105"/>
        </w:rPr>
        <w:t xml:space="preserve"> </w:t>
      </w:r>
      <w:r>
        <w:rPr>
          <w:w w:val="105"/>
        </w:rPr>
        <w:t>ao</w:t>
      </w:r>
      <w:r>
        <w:rPr>
          <w:spacing w:val="-13"/>
          <w:w w:val="105"/>
        </w:rPr>
        <w:t xml:space="preserve"> </w:t>
      </w:r>
      <w:r>
        <w:rPr>
          <w:w w:val="105"/>
        </w:rPr>
        <w:t>IFRS</w:t>
      </w:r>
      <w:r>
        <w:rPr>
          <w:spacing w:val="-11"/>
          <w:w w:val="105"/>
        </w:rPr>
        <w:t xml:space="preserve"> </w:t>
      </w:r>
      <w:r>
        <w:rPr>
          <w:w w:val="105"/>
        </w:rPr>
        <w:t>9</w:t>
      </w:r>
      <w:r>
        <w:rPr>
          <w:spacing w:val="-10"/>
          <w:w w:val="105"/>
        </w:rPr>
        <w:t xml:space="preserve"> </w:t>
      </w:r>
      <w:r>
        <w:rPr>
          <w:w w:val="105"/>
        </w:rPr>
        <w:t>e</w:t>
      </w:r>
      <w:r>
        <w:rPr>
          <w:spacing w:val="-12"/>
          <w:w w:val="105"/>
        </w:rPr>
        <w:t xml:space="preserve"> </w:t>
      </w:r>
      <w:r>
        <w:rPr>
          <w:w w:val="105"/>
        </w:rPr>
        <w:t>IFRS</w:t>
      </w:r>
      <w:r>
        <w:rPr>
          <w:spacing w:val="-12"/>
          <w:w w:val="105"/>
        </w:rPr>
        <w:t xml:space="preserve"> </w:t>
      </w:r>
      <w:r>
        <w:rPr>
          <w:w w:val="105"/>
        </w:rPr>
        <w:t>7</w:t>
      </w:r>
      <w:r>
        <w:rPr>
          <w:spacing w:val="-12"/>
          <w:w w:val="105"/>
        </w:rPr>
        <w:t xml:space="preserve"> </w:t>
      </w:r>
      <w:r>
        <w:rPr>
          <w:w w:val="105"/>
        </w:rPr>
        <w:t>-</w:t>
      </w:r>
      <w:r>
        <w:rPr>
          <w:spacing w:val="-10"/>
          <w:w w:val="105"/>
        </w:rPr>
        <w:t xml:space="preserve"> </w:t>
      </w:r>
      <w:r>
        <w:rPr>
          <w:w w:val="105"/>
        </w:rPr>
        <w:t>Classificação</w:t>
      </w:r>
      <w:r>
        <w:rPr>
          <w:spacing w:val="-10"/>
          <w:w w:val="105"/>
        </w:rPr>
        <w:t xml:space="preserve"> </w:t>
      </w:r>
      <w:r>
        <w:rPr>
          <w:w w:val="105"/>
        </w:rPr>
        <w:t>e</w:t>
      </w:r>
      <w:r>
        <w:rPr>
          <w:spacing w:val="-14"/>
          <w:w w:val="105"/>
        </w:rPr>
        <w:t xml:space="preserve"> </w:t>
      </w:r>
      <w:r>
        <w:rPr>
          <w:w w:val="105"/>
        </w:rPr>
        <w:t>Mensuração</w:t>
      </w:r>
      <w:r>
        <w:rPr>
          <w:spacing w:val="-11"/>
          <w:w w:val="105"/>
        </w:rPr>
        <w:t xml:space="preserve"> </w:t>
      </w:r>
      <w:r>
        <w:rPr>
          <w:w w:val="105"/>
        </w:rPr>
        <w:t>de</w:t>
      </w:r>
      <w:r>
        <w:rPr>
          <w:spacing w:val="-12"/>
          <w:w w:val="105"/>
        </w:rPr>
        <w:t xml:space="preserve"> </w:t>
      </w:r>
      <w:r>
        <w:rPr>
          <w:w w:val="105"/>
        </w:rPr>
        <w:t>Instrumentos</w:t>
      </w:r>
      <w:r>
        <w:rPr>
          <w:spacing w:val="-11"/>
          <w:w w:val="105"/>
        </w:rPr>
        <w:t xml:space="preserve"> </w:t>
      </w:r>
      <w:r>
        <w:rPr>
          <w:w w:val="105"/>
        </w:rPr>
        <w:t>Financeiros:</w:t>
      </w:r>
      <w:r>
        <w:rPr>
          <w:spacing w:val="-9"/>
          <w:w w:val="105"/>
        </w:rPr>
        <w:t xml:space="preserve"> </w:t>
      </w:r>
      <w:r>
        <w:rPr>
          <w:w w:val="105"/>
        </w:rPr>
        <w:t>em</w:t>
      </w:r>
      <w:r>
        <w:rPr>
          <w:spacing w:val="-13"/>
          <w:w w:val="105"/>
        </w:rPr>
        <w:t xml:space="preserve"> </w:t>
      </w:r>
      <w:r>
        <w:rPr>
          <w:w w:val="105"/>
        </w:rPr>
        <w:t>30</w:t>
      </w:r>
      <w:r>
        <w:rPr>
          <w:spacing w:val="-13"/>
          <w:w w:val="105"/>
        </w:rPr>
        <w:t xml:space="preserve"> </w:t>
      </w:r>
      <w:r>
        <w:rPr>
          <w:w w:val="105"/>
        </w:rPr>
        <w:t>de maio de 2024, o IASB emitiu alterações ao IFRS 9 - "Instrumentos Financeiros" e IFRS 7 - "Instrumentos</w:t>
      </w:r>
      <w:r>
        <w:rPr>
          <w:spacing w:val="-16"/>
          <w:w w:val="105"/>
        </w:rPr>
        <w:t xml:space="preserve"> </w:t>
      </w:r>
      <w:r>
        <w:rPr>
          <w:w w:val="105"/>
        </w:rPr>
        <w:t>Financeiros:</w:t>
      </w:r>
      <w:r>
        <w:rPr>
          <w:spacing w:val="-16"/>
          <w:w w:val="105"/>
        </w:rPr>
        <w:t xml:space="preserve"> </w:t>
      </w:r>
      <w:r>
        <w:rPr>
          <w:w w:val="105"/>
        </w:rPr>
        <w:t>Evidenciação"</w:t>
      </w:r>
      <w:r>
        <w:rPr>
          <w:spacing w:val="-16"/>
          <w:w w:val="105"/>
        </w:rPr>
        <w:t xml:space="preserve"> </w:t>
      </w:r>
      <w:r>
        <w:rPr>
          <w:w w:val="105"/>
        </w:rPr>
        <w:t>para</w:t>
      </w:r>
      <w:r>
        <w:rPr>
          <w:spacing w:val="-16"/>
          <w:w w:val="105"/>
        </w:rPr>
        <w:t xml:space="preserve"> </w:t>
      </w:r>
      <w:r>
        <w:rPr>
          <w:w w:val="105"/>
        </w:rPr>
        <w:t>responder</w:t>
      </w:r>
      <w:r>
        <w:rPr>
          <w:spacing w:val="-16"/>
          <w:w w:val="105"/>
        </w:rPr>
        <w:t xml:space="preserve"> </w:t>
      </w:r>
      <w:r>
        <w:rPr>
          <w:w w:val="105"/>
        </w:rPr>
        <w:t>a</w:t>
      </w:r>
      <w:r>
        <w:rPr>
          <w:spacing w:val="-15"/>
          <w:w w:val="105"/>
        </w:rPr>
        <w:t xml:space="preserve"> </w:t>
      </w:r>
      <w:r>
        <w:rPr>
          <w:w w:val="105"/>
        </w:rPr>
        <w:t>questões</w:t>
      </w:r>
      <w:r>
        <w:rPr>
          <w:spacing w:val="-16"/>
          <w:w w:val="105"/>
        </w:rPr>
        <w:t xml:space="preserve"> </w:t>
      </w:r>
      <w:r>
        <w:rPr>
          <w:w w:val="105"/>
        </w:rPr>
        <w:t>práticas</w:t>
      </w:r>
      <w:r>
        <w:rPr>
          <w:spacing w:val="-16"/>
          <w:w w:val="105"/>
        </w:rPr>
        <w:t xml:space="preserve"> </w:t>
      </w:r>
      <w:r>
        <w:rPr>
          <w:w w:val="105"/>
        </w:rPr>
        <w:t>recentes,</w:t>
      </w:r>
      <w:r>
        <w:rPr>
          <w:spacing w:val="-16"/>
          <w:w w:val="105"/>
        </w:rPr>
        <w:t xml:space="preserve"> </w:t>
      </w:r>
      <w:r>
        <w:rPr>
          <w:w w:val="105"/>
        </w:rPr>
        <w:t>melhorar</w:t>
      </w:r>
      <w:r>
        <w:rPr>
          <w:spacing w:val="-16"/>
          <w:w w:val="105"/>
        </w:rPr>
        <w:t xml:space="preserve"> </w:t>
      </w:r>
      <w:r>
        <w:rPr>
          <w:w w:val="105"/>
        </w:rPr>
        <w:t>o entendimento,</w:t>
      </w:r>
      <w:r>
        <w:rPr>
          <w:spacing w:val="-8"/>
          <w:w w:val="105"/>
        </w:rPr>
        <w:t xml:space="preserve"> </w:t>
      </w:r>
      <w:r>
        <w:rPr>
          <w:w w:val="105"/>
        </w:rPr>
        <w:t>bem</w:t>
      </w:r>
      <w:r>
        <w:rPr>
          <w:spacing w:val="-8"/>
          <w:w w:val="105"/>
        </w:rPr>
        <w:t xml:space="preserve"> </w:t>
      </w:r>
      <w:r>
        <w:rPr>
          <w:w w:val="105"/>
        </w:rPr>
        <w:t>como</w:t>
      </w:r>
      <w:r>
        <w:rPr>
          <w:spacing w:val="-8"/>
          <w:w w:val="105"/>
        </w:rPr>
        <w:t xml:space="preserve"> </w:t>
      </w:r>
      <w:r>
        <w:rPr>
          <w:w w:val="105"/>
        </w:rPr>
        <w:t>incluir</w:t>
      </w:r>
      <w:r>
        <w:rPr>
          <w:spacing w:val="-8"/>
          <w:w w:val="105"/>
        </w:rPr>
        <w:t xml:space="preserve"> </w:t>
      </w:r>
      <w:r>
        <w:rPr>
          <w:w w:val="105"/>
        </w:rPr>
        <w:t>novos</w:t>
      </w:r>
      <w:r>
        <w:rPr>
          <w:spacing w:val="-8"/>
          <w:w w:val="105"/>
        </w:rPr>
        <w:t xml:space="preserve"> </w:t>
      </w:r>
      <w:r>
        <w:rPr>
          <w:w w:val="105"/>
        </w:rPr>
        <w:t>requisitos</w:t>
      </w:r>
      <w:r>
        <w:rPr>
          <w:spacing w:val="-8"/>
          <w:w w:val="105"/>
        </w:rPr>
        <w:t xml:space="preserve"> </w:t>
      </w:r>
      <w:r>
        <w:rPr>
          <w:w w:val="105"/>
        </w:rPr>
        <w:t>aplicáveis</w:t>
      </w:r>
      <w:r>
        <w:rPr>
          <w:spacing w:val="-8"/>
          <w:w w:val="105"/>
        </w:rPr>
        <w:t xml:space="preserve"> </w:t>
      </w:r>
      <w:r>
        <w:rPr>
          <w:w w:val="105"/>
        </w:rPr>
        <w:t>à</w:t>
      </w:r>
      <w:r>
        <w:rPr>
          <w:spacing w:val="-8"/>
          <w:w w:val="105"/>
        </w:rPr>
        <w:t xml:space="preserve"> </w:t>
      </w:r>
      <w:r>
        <w:rPr>
          <w:w w:val="105"/>
        </w:rPr>
        <w:t>empresas</w:t>
      </w:r>
      <w:r>
        <w:rPr>
          <w:spacing w:val="-9"/>
          <w:w w:val="105"/>
        </w:rPr>
        <w:t xml:space="preserve"> </w:t>
      </w:r>
      <w:r>
        <w:rPr>
          <w:w w:val="105"/>
        </w:rPr>
        <w:t>em</w:t>
      </w:r>
      <w:r>
        <w:rPr>
          <w:spacing w:val="-7"/>
          <w:w w:val="105"/>
        </w:rPr>
        <w:t xml:space="preserve"> </w:t>
      </w:r>
      <w:r>
        <w:rPr>
          <w:w w:val="105"/>
        </w:rPr>
        <w:t>geral</w:t>
      </w:r>
      <w:r>
        <w:rPr>
          <w:spacing w:val="-8"/>
          <w:w w:val="105"/>
        </w:rPr>
        <w:t xml:space="preserve"> </w:t>
      </w:r>
      <w:r>
        <w:rPr>
          <w:w w:val="105"/>
        </w:rPr>
        <w:t>e</w:t>
      </w:r>
      <w:r>
        <w:rPr>
          <w:spacing w:val="-8"/>
          <w:w w:val="105"/>
        </w:rPr>
        <w:t xml:space="preserve"> </w:t>
      </w:r>
      <w:r>
        <w:rPr>
          <w:w w:val="105"/>
        </w:rPr>
        <w:t>não</w:t>
      </w:r>
      <w:r>
        <w:rPr>
          <w:spacing w:val="-8"/>
          <w:w w:val="105"/>
        </w:rPr>
        <w:t xml:space="preserve"> </w:t>
      </w:r>
      <w:r>
        <w:rPr>
          <w:w w:val="105"/>
        </w:rPr>
        <w:t>apenas</w:t>
      </w:r>
      <w:r>
        <w:rPr>
          <w:spacing w:val="-9"/>
          <w:w w:val="105"/>
        </w:rPr>
        <w:t xml:space="preserve"> </w:t>
      </w:r>
      <w:r>
        <w:rPr>
          <w:w w:val="105"/>
        </w:rPr>
        <w:t>à instituições financeiras.</w:t>
      </w:r>
    </w:p>
    <w:p w14:paraId="13B24A0D" w14:textId="77777777" w:rsidR="002C6574" w:rsidRDefault="002C6574">
      <w:pPr>
        <w:pStyle w:val="Corpodetexto"/>
        <w:spacing w:line="237" w:lineRule="auto"/>
        <w:jc w:val="both"/>
        <w:sectPr w:rsidR="002C6574">
          <w:pgSz w:w="11910" w:h="16840"/>
          <w:pgMar w:top="1600" w:right="141" w:bottom="1540" w:left="1133" w:header="856" w:footer="1350" w:gutter="0"/>
          <w:cols w:space="720"/>
        </w:sectPr>
      </w:pPr>
    </w:p>
    <w:p w14:paraId="39CF849A" w14:textId="77777777" w:rsidR="002C6574" w:rsidRDefault="002C6574">
      <w:pPr>
        <w:pStyle w:val="Corpodetexto"/>
        <w:spacing w:before="195"/>
      </w:pPr>
    </w:p>
    <w:p w14:paraId="691EE468" w14:textId="77777777" w:rsidR="002C6574" w:rsidRDefault="00000000">
      <w:pPr>
        <w:pStyle w:val="Corpodetexto"/>
        <w:spacing w:before="1"/>
        <w:ind w:left="143"/>
        <w:jc w:val="both"/>
      </w:pPr>
      <w:r>
        <w:rPr>
          <w:w w:val="105"/>
        </w:rPr>
        <w:t>As</w:t>
      </w:r>
      <w:r>
        <w:rPr>
          <w:spacing w:val="7"/>
          <w:w w:val="105"/>
        </w:rPr>
        <w:t xml:space="preserve"> </w:t>
      </w:r>
      <w:r>
        <w:rPr>
          <w:spacing w:val="-2"/>
          <w:w w:val="105"/>
        </w:rPr>
        <w:t>alterações:</w:t>
      </w:r>
    </w:p>
    <w:p w14:paraId="612D492A" w14:textId="77777777" w:rsidR="002C6574" w:rsidRDefault="002C6574">
      <w:pPr>
        <w:pStyle w:val="Corpodetexto"/>
      </w:pPr>
    </w:p>
    <w:p w14:paraId="215CB2DE" w14:textId="77777777" w:rsidR="002C6574" w:rsidRDefault="00000000">
      <w:pPr>
        <w:pStyle w:val="PargrafodaLista"/>
        <w:numPr>
          <w:ilvl w:val="0"/>
          <w:numId w:val="50"/>
        </w:numPr>
        <w:tabs>
          <w:tab w:val="left" w:pos="406"/>
        </w:tabs>
        <w:spacing w:line="237" w:lineRule="auto"/>
        <w:ind w:right="704" w:firstLine="0"/>
        <w:jc w:val="both"/>
        <w:rPr>
          <w:rFonts w:ascii="Segoe UI Symbol" w:hAnsi="Segoe UI Symbol"/>
        </w:rPr>
      </w:pPr>
      <w:r>
        <w:rPr>
          <w:rFonts w:ascii="Segoe UI Symbol" w:hAnsi="Segoe UI Symbol"/>
        </w:rPr>
        <w:t>esclarecem a data de reconhecimento e desreconhecimento de alguns ativos e passivos financeiros, com uma nova exceção para alguns passivos financeiros liquidados por meio de um sistema de transferência eletrônica de caixa;</w:t>
      </w:r>
    </w:p>
    <w:p w14:paraId="7C46A39F" w14:textId="77777777" w:rsidR="002C6574" w:rsidRDefault="002C6574">
      <w:pPr>
        <w:pStyle w:val="Corpodetexto"/>
        <w:spacing w:before="2"/>
      </w:pPr>
    </w:p>
    <w:p w14:paraId="3CFFF4B6" w14:textId="77777777" w:rsidR="002C6574" w:rsidRDefault="00000000">
      <w:pPr>
        <w:pStyle w:val="PargrafodaLista"/>
        <w:numPr>
          <w:ilvl w:val="0"/>
          <w:numId w:val="50"/>
        </w:numPr>
        <w:tabs>
          <w:tab w:val="left" w:pos="419"/>
        </w:tabs>
        <w:spacing w:line="237" w:lineRule="auto"/>
        <w:ind w:right="704" w:firstLine="0"/>
        <w:jc w:val="both"/>
        <w:rPr>
          <w:rFonts w:ascii="Segoe UI Symbol" w:hAnsi="Segoe UI Symbol"/>
        </w:rPr>
      </w:pPr>
      <w:r>
        <w:rPr>
          <w:rFonts w:ascii="Segoe UI Symbol" w:hAnsi="Segoe UI Symbol"/>
        </w:rPr>
        <w:t>esclarecem e adicionam orientação para avaliar se um ativo financeiro atende ao critério de somente</w:t>
      </w:r>
      <w:r>
        <w:rPr>
          <w:rFonts w:ascii="Segoe UI Symbol" w:hAnsi="Segoe UI Symbol"/>
          <w:spacing w:val="-11"/>
        </w:rPr>
        <w:t xml:space="preserve"> </w:t>
      </w:r>
      <w:r>
        <w:rPr>
          <w:rFonts w:ascii="Segoe UI Symbol" w:hAnsi="Segoe UI Symbol"/>
        </w:rPr>
        <w:t>pagamento</w:t>
      </w:r>
      <w:r>
        <w:rPr>
          <w:rFonts w:ascii="Segoe UI Symbol" w:hAnsi="Segoe UI Symbol"/>
          <w:spacing w:val="-11"/>
        </w:rPr>
        <w:t xml:space="preserve"> </w:t>
      </w:r>
      <w:r>
        <w:rPr>
          <w:rFonts w:ascii="Segoe UI Symbol" w:hAnsi="Segoe UI Symbol"/>
        </w:rPr>
        <w:t>de</w:t>
      </w:r>
      <w:r>
        <w:rPr>
          <w:rFonts w:ascii="Segoe UI Symbol" w:hAnsi="Segoe UI Symbol"/>
          <w:spacing w:val="-11"/>
        </w:rPr>
        <w:t xml:space="preserve"> </w:t>
      </w:r>
      <w:r>
        <w:rPr>
          <w:rFonts w:ascii="Segoe UI Symbol" w:hAnsi="Segoe UI Symbol"/>
        </w:rPr>
        <w:t>principal</w:t>
      </w:r>
      <w:r>
        <w:rPr>
          <w:rFonts w:ascii="Segoe UI Symbol" w:hAnsi="Segoe UI Symbol"/>
          <w:spacing w:val="-7"/>
        </w:rPr>
        <w:t xml:space="preserve"> </w:t>
      </w:r>
      <w:r>
        <w:rPr>
          <w:rFonts w:ascii="Segoe UI Symbol" w:hAnsi="Segoe UI Symbol"/>
        </w:rPr>
        <w:t>e</w:t>
      </w:r>
      <w:r>
        <w:rPr>
          <w:rFonts w:ascii="Segoe UI Symbol" w:hAnsi="Segoe UI Symbol"/>
          <w:spacing w:val="-11"/>
        </w:rPr>
        <w:t xml:space="preserve"> </w:t>
      </w:r>
      <w:r>
        <w:rPr>
          <w:rFonts w:ascii="Segoe UI Symbol" w:hAnsi="Segoe UI Symbol"/>
        </w:rPr>
        <w:t>juros</w:t>
      </w:r>
      <w:r>
        <w:rPr>
          <w:rFonts w:ascii="Segoe UI Symbol" w:hAnsi="Segoe UI Symbol"/>
          <w:spacing w:val="-9"/>
        </w:rPr>
        <w:t xml:space="preserve"> </w:t>
      </w:r>
      <w:r>
        <w:rPr>
          <w:rFonts w:ascii="Segoe UI Symbol" w:hAnsi="Segoe UI Symbol"/>
        </w:rPr>
        <w:t>("SPPI</w:t>
      </w:r>
      <w:r>
        <w:rPr>
          <w:rFonts w:ascii="Segoe UI Symbol" w:hAnsi="Segoe UI Symbol"/>
          <w:spacing w:val="-9"/>
        </w:rPr>
        <w:t xml:space="preserve"> </w:t>
      </w:r>
      <w:r>
        <w:rPr>
          <w:rFonts w:ascii="Segoe UI Symbol" w:hAnsi="Segoe UI Symbol"/>
        </w:rPr>
        <w:t>test"),</w:t>
      </w:r>
      <w:r>
        <w:rPr>
          <w:rFonts w:ascii="Segoe UI Symbol" w:hAnsi="Segoe UI Symbol"/>
          <w:spacing w:val="-11"/>
        </w:rPr>
        <w:t xml:space="preserve"> </w:t>
      </w:r>
      <w:r>
        <w:rPr>
          <w:rFonts w:ascii="Segoe UI Symbol" w:hAnsi="Segoe UI Symbol"/>
        </w:rPr>
        <w:t>incluindo</w:t>
      </w:r>
      <w:r>
        <w:rPr>
          <w:rFonts w:ascii="Segoe UI Symbol" w:hAnsi="Segoe UI Symbol"/>
          <w:spacing w:val="-8"/>
        </w:rPr>
        <w:t xml:space="preserve"> </w:t>
      </w:r>
      <w:r>
        <w:rPr>
          <w:rFonts w:ascii="Segoe UI Symbol" w:hAnsi="Segoe UI Symbol"/>
        </w:rPr>
        <w:t>situações</w:t>
      </w:r>
      <w:r>
        <w:rPr>
          <w:rFonts w:ascii="Segoe UI Symbol" w:hAnsi="Segoe UI Symbol"/>
          <w:spacing w:val="-9"/>
        </w:rPr>
        <w:t xml:space="preserve"> </w:t>
      </w:r>
      <w:r>
        <w:rPr>
          <w:rFonts w:ascii="Segoe UI Symbol" w:hAnsi="Segoe UI Symbol"/>
        </w:rPr>
        <w:t>de</w:t>
      </w:r>
      <w:r>
        <w:rPr>
          <w:rFonts w:ascii="Segoe UI Symbol" w:hAnsi="Segoe UI Symbol"/>
          <w:spacing w:val="-7"/>
        </w:rPr>
        <w:t xml:space="preserve"> </w:t>
      </w:r>
      <w:r>
        <w:rPr>
          <w:rFonts w:ascii="Segoe UI Symbol" w:hAnsi="Segoe UI Symbol"/>
        </w:rPr>
        <w:t>ocorrência</w:t>
      </w:r>
      <w:r>
        <w:rPr>
          <w:rFonts w:ascii="Segoe UI Symbol" w:hAnsi="Segoe UI Symbol"/>
          <w:spacing w:val="-11"/>
        </w:rPr>
        <w:t xml:space="preserve"> </w:t>
      </w:r>
      <w:r>
        <w:rPr>
          <w:rFonts w:ascii="Segoe UI Symbol" w:hAnsi="Segoe UI Symbol"/>
        </w:rPr>
        <w:t>de</w:t>
      </w:r>
      <w:r>
        <w:rPr>
          <w:rFonts w:ascii="Segoe UI Symbol" w:hAnsi="Segoe UI Symbol"/>
          <w:spacing w:val="-11"/>
        </w:rPr>
        <w:t xml:space="preserve"> </w:t>
      </w:r>
      <w:r>
        <w:rPr>
          <w:rFonts w:ascii="Segoe UI Symbol" w:hAnsi="Segoe UI Symbol"/>
        </w:rPr>
        <w:t>um</w:t>
      </w:r>
      <w:r>
        <w:rPr>
          <w:rFonts w:ascii="Segoe UI Symbol" w:hAnsi="Segoe UI Symbol"/>
          <w:spacing w:val="-7"/>
        </w:rPr>
        <w:t xml:space="preserve"> </w:t>
      </w:r>
      <w:r>
        <w:rPr>
          <w:rFonts w:ascii="Segoe UI Symbol" w:hAnsi="Segoe UI Symbol"/>
        </w:rPr>
        <w:t xml:space="preserve">evento </w:t>
      </w:r>
      <w:r>
        <w:rPr>
          <w:rFonts w:ascii="Segoe UI Symbol" w:hAnsi="Segoe UI Symbol"/>
          <w:spacing w:val="-2"/>
        </w:rPr>
        <w:t>contingente;</w:t>
      </w:r>
    </w:p>
    <w:p w14:paraId="425BBDF6" w14:textId="77777777" w:rsidR="002C6574" w:rsidRDefault="002C6574">
      <w:pPr>
        <w:pStyle w:val="Corpodetexto"/>
        <w:spacing w:before="2"/>
      </w:pPr>
    </w:p>
    <w:p w14:paraId="54936A05" w14:textId="77777777" w:rsidR="002C6574" w:rsidRDefault="00000000">
      <w:pPr>
        <w:pStyle w:val="PargrafodaLista"/>
        <w:numPr>
          <w:ilvl w:val="0"/>
          <w:numId w:val="50"/>
        </w:numPr>
        <w:tabs>
          <w:tab w:val="left" w:pos="417"/>
        </w:tabs>
        <w:spacing w:before="1" w:line="237" w:lineRule="auto"/>
        <w:ind w:right="702" w:firstLine="0"/>
        <w:jc w:val="both"/>
        <w:rPr>
          <w:rFonts w:ascii="Segoe UI Symbol" w:hAnsi="Segoe UI Symbol"/>
        </w:rPr>
      </w:pPr>
      <w:r>
        <w:rPr>
          <w:rFonts w:ascii="Segoe UI Symbol" w:hAnsi="Segoe UI Symbol"/>
        </w:rPr>
        <w:t>adicionam</w:t>
      </w:r>
      <w:r>
        <w:rPr>
          <w:rFonts w:ascii="Segoe UI Symbol" w:hAnsi="Segoe UI Symbol"/>
          <w:spacing w:val="-3"/>
        </w:rPr>
        <w:t xml:space="preserve"> </w:t>
      </w:r>
      <w:r>
        <w:rPr>
          <w:rFonts w:ascii="Segoe UI Symbol" w:hAnsi="Segoe UI Symbol"/>
        </w:rPr>
        <w:t>novas</w:t>
      </w:r>
      <w:r>
        <w:rPr>
          <w:rFonts w:ascii="Segoe UI Symbol" w:hAnsi="Segoe UI Symbol"/>
          <w:spacing w:val="-2"/>
        </w:rPr>
        <w:t xml:space="preserve"> </w:t>
      </w:r>
      <w:r>
        <w:rPr>
          <w:rFonts w:ascii="Segoe UI Symbol" w:hAnsi="Segoe UI Symbol"/>
        </w:rPr>
        <w:t>divulgações</w:t>
      </w:r>
      <w:r>
        <w:rPr>
          <w:rFonts w:ascii="Segoe UI Symbol" w:hAnsi="Segoe UI Symbol"/>
          <w:spacing w:val="-4"/>
        </w:rPr>
        <w:t xml:space="preserve"> </w:t>
      </w:r>
      <w:r>
        <w:rPr>
          <w:rFonts w:ascii="Segoe UI Symbol" w:hAnsi="Segoe UI Symbol"/>
        </w:rPr>
        <w:t>para</w:t>
      </w:r>
      <w:r>
        <w:rPr>
          <w:rFonts w:ascii="Segoe UI Symbol" w:hAnsi="Segoe UI Symbol"/>
          <w:spacing w:val="-8"/>
        </w:rPr>
        <w:t xml:space="preserve"> </w:t>
      </w:r>
      <w:r>
        <w:rPr>
          <w:rFonts w:ascii="Segoe UI Symbol" w:hAnsi="Segoe UI Symbol"/>
        </w:rPr>
        <w:t>certos</w:t>
      </w:r>
      <w:r>
        <w:rPr>
          <w:rFonts w:ascii="Segoe UI Symbol" w:hAnsi="Segoe UI Symbol"/>
          <w:spacing w:val="-2"/>
        </w:rPr>
        <w:t xml:space="preserve"> </w:t>
      </w:r>
      <w:r>
        <w:rPr>
          <w:rFonts w:ascii="Segoe UI Symbol" w:hAnsi="Segoe UI Symbol"/>
        </w:rPr>
        <w:t>instrumentos</w:t>
      </w:r>
      <w:r>
        <w:rPr>
          <w:rFonts w:ascii="Segoe UI Symbol" w:hAnsi="Segoe UI Symbol"/>
          <w:spacing w:val="-7"/>
        </w:rPr>
        <w:t xml:space="preserve"> </w:t>
      </w:r>
      <w:r>
        <w:rPr>
          <w:rFonts w:ascii="Segoe UI Symbol" w:hAnsi="Segoe UI Symbol"/>
        </w:rPr>
        <w:t>com</w:t>
      </w:r>
      <w:r>
        <w:rPr>
          <w:rFonts w:ascii="Segoe UI Symbol" w:hAnsi="Segoe UI Symbol"/>
          <w:spacing w:val="-7"/>
        </w:rPr>
        <w:t xml:space="preserve"> </w:t>
      </w:r>
      <w:r>
        <w:rPr>
          <w:rFonts w:ascii="Segoe UI Symbol" w:hAnsi="Segoe UI Symbol"/>
        </w:rPr>
        <w:t>termos</w:t>
      </w:r>
      <w:r>
        <w:rPr>
          <w:rFonts w:ascii="Segoe UI Symbol" w:hAnsi="Segoe UI Symbol"/>
          <w:spacing w:val="-4"/>
        </w:rPr>
        <w:t xml:space="preserve"> </w:t>
      </w:r>
      <w:r>
        <w:rPr>
          <w:rFonts w:ascii="Segoe UI Symbol" w:hAnsi="Segoe UI Symbol"/>
        </w:rPr>
        <w:t>contratuais</w:t>
      </w:r>
      <w:r>
        <w:rPr>
          <w:rFonts w:ascii="Segoe UI Symbol" w:hAnsi="Segoe UI Symbol"/>
          <w:spacing w:val="-4"/>
        </w:rPr>
        <w:t xml:space="preserve"> </w:t>
      </w:r>
      <w:r>
        <w:rPr>
          <w:rFonts w:ascii="Segoe UI Symbol" w:hAnsi="Segoe UI Symbol"/>
        </w:rPr>
        <w:t>que</w:t>
      </w:r>
      <w:r>
        <w:rPr>
          <w:rFonts w:ascii="Segoe UI Symbol" w:hAnsi="Segoe UI Symbol"/>
          <w:spacing w:val="-4"/>
        </w:rPr>
        <w:t xml:space="preserve"> </w:t>
      </w:r>
      <w:r>
        <w:rPr>
          <w:rFonts w:ascii="Segoe UI Symbol" w:hAnsi="Segoe UI Symbol"/>
        </w:rPr>
        <w:t>podem</w:t>
      </w:r>
      <w:r>
        <w:rPr>
          <w:rFonts w:ascii="Segoe UI Symbol" w:hAnsi="Segoe UI Symbol"/>
          <w:spacing w:val="-4"/>
        </w:rPr>
        <w:t xml:space="preserve"> </w:t>
      </w:r>
      <w:r>
        <w:rPr>
          <w:rFonts w:ascii="Segoe UI Symbol" w:hAnsi="Segoe UI Symbol"/>
        </w:rPr>
        <w:t xml:space="preserve">alterar </w:t>
      </w:r>
      <w:r>
        <w:rPr>
          <w:rFonts w:ascii="Segoe UI Symbol" w:hAnsi="Segoe UI Symbol"/>
          <w:w w:val="105"/>
        </w:rPr>
        <w:t>os fluxos de caixa (como alguns instrumentos financeiros com características vinculadas ao cumprimento de metas ESG); e</w:t>
      </w:r>
    </w:p>
    <w:p w14:paraId="365731FC" w14:textId="77777777" w:rsidR="002C6574" w:rsidRDefault="002C6574">
      <w:pPr>
        <w:pStyle w:val="Corpodetexto"/>
        <w:spacing w:before="2"/>
      </w:pPr>
    </w:p>
    <w:p w14:paraId="4A25672A" w14:textId="77777777" w:rsidR="002C6574" w:rsidRDefault="00000000">
      <w:pPr>
        <w:pStyle w:val="PargrafodaLista"/>
        <w:numPr>
          <w:ilvl w:val="0"/>
          <w:numId w:val="50"/>
        </w:numPr>
        <w:tabs>
          <w:tab w:val="left" w:pos="450"/>
        </w:tabs>
        <w:spacing w:line="237" w:lineRule="auto"/>
        <w:ind w:right="705" w:firstLine="0"/>
        <w:jc w:val="both"/>
        <w:rPr>
          <w:rFonts w:ascii="Segoe UI Symbol" w:hAnsi="Segoe UI Symbol"/>
        </w:rPr>
      </w:pPr>
      <w:r>
        <w:rPr>
          <w:rFonts w:ascii="Segoe UI Symbol" w:hAnsi="Segoe UI Symbol"/>
        </w:rPr>
        <w:t>atualizam as divulgações para instrumentos de patrimônio designados a valor justo por meio de outros resultados abrangentes ("FVOCI").</w:t>
      </w:r>
    </w:p>
    <w:p w14:paraId="17F38F33" w14:textId="77777777" w:rsidR="002C6574" w:rsidRDefault="00000000">
      <w:pPr>
        <w:pStyle w:val="Corpodetexto"/>
        <w:spacing w:before="292" w:line="237" w:lineRule="auto"/>
        <w:ind w:left="143" w:right="703"/>
        <w:jc w:val="both"/>
      </w:pPr>
      <w:r>
        <w:t>As referidas alterações têm vigência a partir de 1o de janeiro de 2026. A</w:t>
      </w:r>
      <w:r>
        <w:rPr>
          <w:spacing w:val="-1"/>
        </w:rPr>
        <w:t xml:space="preserve"> </w:t>
      </w:r>
      <w:r>
        <w:t>Companhia não espera</w:t>
      </w:r>
      <w:r>
        <w:rPr>
          <w:spacing w:val="-1"/>
        </w:rPr>
        <w:t xml:space="preserve"> </w:t>
      </w:r>
      <w:r>
        <w:t>que essas alterações tenham um impacto material em suas operações ou demonstrações contábeis.</w:t>
      </w:r>
    </w:p>
    <w:p w14:paraId="75C9624E" w14:textId="77777777" w:rsidR="002C6574" w:rsidRDefault="002C6574">
      <w:pPr>
        <w:pStyle w:val="Corpodetexto"/>
        <w:spacing w:before="30"/>
      </w:pPr>
    </w:p>
    <w:p w14:paraId="49CD2ED1" w14:textId="77777777" w:rsidR="002C6574" w:rsidRDefault="00000000">
      <w:pPr>
        <w:pStyle w:val="Corpodetexto"/>
        <w:ind w:left="143" w:right="703"/>
        <w:jc w:val="both"/>
      </w:pPr>
      <w:r>
        <w:rPr>
          <w:rFonts w:ascii="Arial" w:hAnsi="Arial"/>
          <w:b/>
        </w:rPr>
        <w:t>Alterações</w:t>
      </w:r>
      <w:r>
        <w:rPr>
          <w:rFonts w:ascii="Arial" w:hAnsi="Arial"/>
          <w:b/>
          <w:spacing w:val="-6"/>
        </w:rPr>
        <w:t xml:space="preserve"> </w:t>
      </w:r>
      <w:r>
        <w:rPr>
          <w:rFonts w:ascii="Arial" w:hAnsi="Arial"/>
          <w:b/>
        </w:rPr>
        <w:t>ao</w:t>
      </w:r>
      <w:r>
        <w:rPr>
          <w:rFonts w:ascii="Arial" w:hAnsi="Arial"/>
          <w:b/>
          <w:spacing w:val="-8"/>
        </w:rPr>
        <w:t xml:space="preserve"> </w:t>
      </w:r>
      <w:r>
        <w:rPr>
          <w:rFonts w:ascii="Arial" w:hAnsi="Arial"/>
          <w:b/>
        </w:rPr>
        <w:t>IFRS</w:t>
      </w:r>
      <w:r>
        <w:rPr>
          <w:rFonts w:ascii="Arial" w:hAnsi="Arial"/>
          <w:b/>
          <w:spacing w:val="-8"/>
        </w:rPr>
        <w:t xml:space="preserve"> </w:t>
      </w:r>
      <w:r>
        <w:rPr>
          <w:rFonts w:ascii="Arial" w:hAnsi="Arial"/>
          <w:b/>
        </w:rPr>
        <w:t>9</w:t>
      </w:r>
      <w:r>
        <w:rPr>
          <w:rFonts w:ascii="Arial" w:hAnsi="Arial"/>
          <w:b/>
          <w:spacing w:val="-8"/>
        </w:rPr>
        <w:t xml:space="preserve"> </w:t>
      </w:r>
      <w:r>
        <w:rPr>
          <w:rFonts w:ascii="Arial" w:hAnsi="Arial"/>
          <w:b/>
        </w:rPr>
        <w:t>e</w:t>
      </w:r>
      <w:r>
        <w:rPr>
          <w:rFonts w:ascii="Arial" w:hAnsi="Arial"/>
          <w:b/>
          <w:spacing w:val="-8"/>
        </w:rPr>
        <w:t xml:space="preserve"> </w:t>
      </w:r>
      <w:r>
        <w:rPr>
          <w:rFonts w:ascii="Arial" w:hAnsi="Arial"/>
          <w:b/>
        </w:rPr>
        <w:t>IFRS</w:t>
      </w:r>
      <w:r>
        <w:rPr>
          <w:rFonts w:ascii="Arial" w:hAnsi="Arial"/>
          <w:b/>
          <w:spacing w:val="-6"/>
        </w:rPr>
        <w:t xml:space="preserve"> </w:t>
      </w:r>
      <w:r>
        <w:rPr>
          <w:rFonts w:ascii="Arial" w:hAnsi="Arial"/>
          <w:b/>
        </w:rPr>
        <w:t>7</w:t>
      </w:r>
      <w:r>
        <w:rPr>
          <w:rFonts w:ascii="Arial" w:hAnsi="Arial"/>
          <w:b/>
          <w:spacing w:val="-5"/>
        </w:rPr>
        <w:t xml:space="preserve"> </w:t>
      </w:r>
      <w:r>
        <w:rPr>
          <w:rFonts w:ascii="Arial" w:hAnsi="Arial"/>
          <w:b/>
        </w:rPr>
        <w:t>-</w:t>
      </w:r>
      <w:r>
        <w:rPr>
          <w:rFonts w:ascii="Arial" w:hAnsi="Arial"/>
          <w:b/>
          <w:spacing w:val="-6"/>
        </w:rPr>
        <w:t xml:space="preserve"> </w:t>
      </w:r>
      <w:r>
        <w:rPr>
          <w:rFonts w:ascii="Arial" w:hAnsi="Arial"/>
          <w:b/>
        </w:rPr>
        <w:t>Contratos</w:t>
      </w:r>
      <w:r>
        <w:rPr>
          <w:rFonts w:ascii="Arial" w:hAnsi="Arial"/>
          <w:b/>
          <w:spacing w:val="-8"/>
        </w:rPr>
        <w:t xml:space="preserve"> </w:t>
      </w:r>
      <w:r>
        <w:rPr>
          <w:rFonts w:ascii="Arial" w:hAnsi="Arial"/>
          <w:b/>
        </w:rPr>
        <w:t>que</w:t>
      </w:r>
      <w:r>
        <w:rPr>
          <w:rFonts w:ascii="Arial" w:hAnsi="Arial"/>
          <w:b/>
          <w:spacing w:val="-10"/>
        </w:rPr>
        <w:t xml:space="preserve"> </w:t>
      </w:r>
      <w:r>
        <w:rPr>
          <w:rFonts w:ascii="Arial" w:hAnsi="Arial"/>
          <w:b/>
        </w:rPr>
        <w:t>tenham</w:t>
      </w:r>
      <w:r>
        <w:rPr>
          <w:rFonts w:ascii="Arial" w:hAnsi="Arial"/>
          <w:b/>
          <w:spacing w:val="-4"/>
        </w:rPr>
        <w:t xml:space="preserve"> </w:t>
      </w:r>
      <w:r>
        <w:rPr>
          <w:rFonts w:ascii="Arial" w:hAnsi="Arial"/>
          <w:b/>
        </w:rPr>
        <w:t>como</w:t>
      </w:r>
      <w:r>
        <w:rPr>
          <w:rFonts w:ascii="Arial" w:hAnsi="Arial"/>
          <w:b/>
          <w:spacing w:val="-6"/>
        </w:rPr>
        <w:t xml:space="preserve"> </w:t>
      </w:r>
      <w:r>
        <w:rPr>
          <w:rFonts w:ascii="Arial" w:hAnsi="Arial"/>
          <w:b/>
        </w:rPr>
        <w:t>referência</w:t>
      </w:r>
      <w:r>
        <w:rPr>
          <w:rFonts w:ascii="Arial" w:hAnsi="Arial"/>
          <w:b/>
          <w:spacing w:val="-6"/>
        </w:rPr>
        <w:t xml:space="preserve"> </w:t>
      </w:r>
      <w:r>
        <w:rPr>
          <w:rFonts w:ascii="Arial" w:hAnsi="Arial"/>
          <w:b/>
        </w:rPr>
        <w:t>energia</w:t>
      </w:r>
      <w:r>
        <w:rPr>
          <w:rFonts w:ascii="Arial" w:hAnsi="Arial"/>
          <w:b/>
          <w:spacing w:val="-8"/>
        </w:rPr>
        <w:t xml:space="preserve"> </w:t>
      </w:r>
      <w:r>
        <w:rPr>
          <w:rFonts w:ascii="Arial" w:hAnsi="Arial"/>
          <w:b/>
        </w:rPr>
        <w:t>e</w:t>
      </w:r>
      <w:r>
        <w:rPr>
          <w:rFonts w:ascii="Arial" w:hAnsi="Arial"/>
          <w:b/>
          <w:spacing w:val="-6"/>
        </w:rPr>
        <w:t xml:space="preserve"> </w:t>
      </w:r>
      <w:r>
        <w:rPr>
          <w:rFonts w:ascii="Arial" w:hAnsi="Arial"/>
          <w:b/>
        </w:rPr>
        <w:t>cuja</w:t>
      </w:r>
      <w:r>
        <w:rPr>
          <w:rFonts w:ascii="Arial" w:hAnsi="Arial"/>
          <w:b/>
          <w:spacing w:val="-4"/>
        </w:rPr>
        <w:t xml:space="preserve"> </w:t>
      </w:r>
      <w:r>
        <w:rPr>
          <w:rFonts w:ascii="Arial" w:hAnsi="Arial"/>
          <w:b/>
        </w:rPr>
        <w:t xml:space="preserve">geração dependa da natureza: </w:t>
      </w:r>
      <w:r>
        <w:t>em dezembro de</w:t>
      </w:r>
      <w:r>
        <w:rPr>
          <w:spacing w:val="-2"/>
        </w:rPr>
        <w:t xml:space="preserve"> </w:t>
      </w:r>
      <w:r>
        <w:t>2024, o</w:t>
      </w:r>
      <w:r>
        <w:rPr>
          <w:spacing w:val="-2"/>
        </w:rPr>
        <w:t xml:space="preserve"> </w:t>
      </w:r>
      <w:r>
        <w:t>IASB alterou os requisitos de aplicação de own use e hedge accounting previstos no IFRS 9 - "Instrumentos Financeiros", bem como adicionou certos requerimentos de divulgações do IFRS 7 - "Instrumentos Financeiros: Evidenciação", com o objetivo de assegurar que as demonstrações financeiras apresentem de forma adequada os efeitos de contratos que tenham como referência energia e cuja geração dependa da natureza (ex.: energia eólica, energia solar, etc.), descritos como 'contracts referencing nature-dependent electricity'. Portanto, se aplicam somente a contratos que expõem uma entidade a variabilidade em função da volatilidade na geração de energia que dependa de condições da natureza.</w:t>
      </w:r>
    </w:p>
    <w:p w14:paraId="5F89D1BB" w14:textId="77777777" w:rsidR="002C6574" w:rsidRDefault="00000000">
      <w:pPr>
        <w:pStyle w:val="Corpodetexto"/>
        <w:spacing w:before="286" w:line="237" w:lineRule="auto"/>
        <w:ind w:left="143" w:right="704"/>
        <w:jc w:val="both"/>
      </w:pPr>
      <w:r>
        <w:t>As alterações trazem: (i) orientações para a determinação pela entidade se os contratos de energia, que</w:t>
      </w:r>
      <w:r>
        <w:rPr>
          <w:spacing w:val="-4"/>
        </w:rPr>
        <w:t xml:space="preserve"> </w:t>
      </w:r>
      <w:r>
        <w:t>dependem</w:t>
      </w:r>
      <w:r>
        <w:rPr>
          <w:spacing w:val="-4"/>
        </w:rPr>
        <w:t xml:space="preserve"> </w:t>
      </w:r>
      <w:r>
        <w:t>de</w:t>
      </w:r>
      <w:r>
        <w:rPr>
          <w:spacing w:val="-6"/>
        </w:rPr>
        <w:t xml:space="preserve"> </w:t>
      </w:r>
      <w:r>
        <w:t>condições</w:t>
      </w:r>
      <w:r>
        <w:rPr>
          <w:spacing w:val="-2"/>
        </w:rPr>
        <w:t xml:space="preserve"> </w:t>
      </w:r>
      <w:r>
        <w:t>da</w:t>
      </w:r>
      <w:r>
        <w:rPr>
          <w:spacing w:val="-5"/>
        </w:rPr>
        <w:t xml:space="preserve"> </w:t>
      </w:r>
      <w:r>
        <w:t>natureza,</w:t>
      </w:r>
      <w:r>
        <w:rPr>
          <w:spacing w:val="-4"/>
        </w:rPr>
        <w:t xml:space="preserve"> </w:t>
      </w:r>
      <w:r>
        <w:t>devem</w:t>
      </w:r>
      <w:r>
        <w:rPr>
          <w:spacing w:val="-5"/>
        </w:rPr>
        <w:t xml:space="preserve"> </w:t>
      </w:r>
      <w:r>
        <w:t>ser</w:t>
      </w:r>
      <w:r>
        <w:rPr>
          <w:spacing w:val="-4"/>
        </w:rPr>
        <w:t xml:space="preserve"> </w:t>
      </w:r>
      <w:r>
        <w:t>tratados</w:t>
      </w:r>
      <w:r>
        <w:rPr>
          <w:spacing w:val="-4"/>
        </w:rPr>
        <w:t xml:space="preserve"> </w:t>
      </w:r>
      <w:r>
        <w:t>contabilmente</w:t>
      </w:r>
      <w:r>
        <w:rPr>
          <w:spacing w:val="-7"/>
        </w:rPr>
        <w:t xml:space="preserve"> </w:t>
      </w:r>
      <w:r>
        <w:t>como</w:t>
      </w:r>
      <w:r>
        <w:rPr>
          <w:spacing w:val="-7"/>
        </w:rPr>
        <w:t xml:space="preserve"> </w:t>
      </w:r>
      <w:r>
        <w:t>contratos</w:t>
      </w:r>
      <w:r>
        <w:rPr>
          <w:spacing w:val="-6"/>
        </w:rPr>
        <w:t xml:space="preserve"> </w:t>
      </w:r>
      <w:r>
        <w:t>de</w:t>
      </w:r>
      <w:r>
        <w:rPr>
          <w:spacing w:val="-9"/>
        </w:rPr>
        <w:t xml:space="preserve"> </w:t>
      </w:r>
      <w:r>
        <w:t xml:space="preserve">own </w:t>
      </w:r>
      <w:r>
        <w:rPr>
          <w:w w:val="105"/>
        </w:rPr>
        <w:t>use,</w:t>
      </w:r>
      <w:r>
        <w:rPr>
          <w:spacing w:val="-11"/>
          <w:w w:val="105"/>
        </w:rPr>
        <w:t xml:space="preserve"> </w:t>
      </w:r>
      <w:r>
        <w:rPr>
          <w:w w:val="105"/>
        </w:rPr>
        <w:t>(ii)</w:t>
      </w:r>
      <w:r>
        <w:rPr>
          <w:spacing w:val="-8"/>
          <w:w w:val="105"/>
        </w:rPr>
        <w:t xml:space="preserve"> </w:t>
      </w:r>
      <w:r>
        <w:rPr>
          <w:w w:val="105"/>
        </w:rPr>
        <w:t>condições</w:t>
      </w:r>
      <w:r>
        <w:rPr>
          <w:spacing w:val="-9"/>
          <w:w w:val="105"/>
        </w:rPr>
        <w:t xml:space="preserve"> </w:t>
      </w:r>
      <w:r>
        <w:rPr>
          <w:w w:val="105"/>
        </w:rPr>
        <w:t>a</w:t>
      </w:r>
      <w:r>
        <w:rPr>
          <w:spacing w:val="-11"/>
          <w:w w:val="105"/>
        </w:rPr>
        <w:t xml:space="preserve"> </w:t>
      </w:r>
      <w:r>
        <w:rPr>
          <w:w w:val="105"/>
        </w:rPr>
        <w:t>serem</w:t>
      </w:r>
      <w:r>
        <w:rPr>
          <w:spacing w:val="-9"/>
          <w:w w:val="105"/>
        </w:rPr>
        <w:t xml:space="preserve"> </w:t>
      </w:r>
      <w:r>
        <w:rPr>
          <w:w w:val="105"/>
        </w:rPr>
        <w:t>consideradas</w:t>
      </w:r>
      <w:r>
        <w:rPr>
          <w:spacing w:val="-8"/>
          <w:w w:val="105"/>
        </w:rPr>
        <w:t xml:space="preserve"> </w:t>
      </w:r>
      <w:r>
        <w:rPr>
          <w:w w:val="105"/>
        </w:rPr>
        <w:t>para</w:t>
      </w:r>
      <w:r>
        <w:rPr>
          <w:spacing w:val="-11"/>
          <w:w w:val="105"/>
        </w:rPr>
        <w:t xml:space="preserve"> </w:t>
      </w:r>
      <w:r>
        <w:rPr>
          <w:w w:val="105"/>
        </w:rPr>
        <w:t>aplicação</w:t>
      </w:r>
      <w:r>
        <w:rPr>
          <w:spacing w:val="-10"/>
          <w:w w:val="105"/>
        </w:rPr>
        <w:t xml:space="preserve"> </w:t>
      </w:r>
      <w:r>
        <w:rPr>
          <w:w w:val="105"/>
        </w:rPr>
        <w:t>de</w:t>
      </w:r>
      <w:r>
        <w:rPr>
          <w:spacing w:val="-10"/>
          <w:w w:val="105"/>
        </w:rPr>
        <w:t xml:space="preserve"> </w:t>
      </w:r>
      <w:r>
        <w:rPr>
          <w:w w:val="105"/>
        </w:rPr>
        <w:t>hedge</w:t>
      </w:r>
      <w:r>
        <w:rPr>
          <w:spacing w:val="-9"/>
          <w:w w:val="105"/>
        </w:rPr>
        <w:t xml:space="preserve"> </w:t>
      </w:r>
      <w:r>
        <w:rPr>
          <w:w w:val="105"/>
        </w:rPr>
        <w:t>accounting</w:t>
      </w:r>
      <w:r>
        <w:rPr>
          <w:spacing w:val="-9"/>
          <w:w w:val="105"/>
        </w:rPr>
        <w:t xml:space="preserve"> </w:t>
      </w:r>
      <w:r>
        <w:rPr>
          <w:w w:val="105"/>
        </w:rPr>
        <w:t>(cash</w:t>
      </w:r>
      <w:r>
        <w:rPr>
          <w:spacing w:val="-11"/>
          <w:w w:val="105"/>
        </w:rPr>
        <w:t xml:space="preserve"> </w:t>
      </w:r>
      <w:r>
        <w:rPr>
          <w:w w:val="105"/>
        </w:rPr>
        <w:t>flow</w:t>
      </w:r>
      <w:r>
        <w:rPr>
          <w:spacing w:val="-11"/>
          <w:w w:val="105"/>
        </w:rPr>
        <w:t xml:space="preserve"> </w:t>
      </w:r>
      <w:r>
        <w:rPr>
          <w:w w:val="105"/>
        </w:rPr>
        <w:t>hedge)</w:t>
      </w:r>
      <w:r>
        <w:rPr>
          <w:spacing w:val="-13"/>
          <w:w w:val="105"/>
        </w:rPr>
        <w:t xml:space="preserve"> </w:t>
      </w:r>
      <w:r>
        <w:rPr>
          <w:spacing w:val="-10"/>
          <w:w w:val="105"/>
        </w:rPr>
        <w:t>e</w:t>
      </w:r>
    </w:p>
    <w:p w14:paraId="453FC98D" w14:textId="77777777" w:rsidR="002C6574" w:rsidRDefault="00000000">
      <w:pPr>
        <w:pStyle w:val="Corpodetexto"/>
        <w:spacing w:before="5" w:line="237" w:lineRule="auto"/>
        <w:ind w:left="143" w:right="704"/>
        <w:jc w:val="both"/>
      </w:pPr>
      <w:r>
        <w:t>(iii) divulgações sobre características contratuais que expõem a entidade a variabilidades, compromissos</w:t>
      </w:r>
      <w:r>
        <w:rPr>
          <w:spacing w:val="-8"/>
        </w:rPr>
        <w:t xml:space="preserve"> </w:t>
      </w:r>
      <w:r>
        <w:t>contratuais</w:t>
      </w:r>
      <w:r>
        <w:rPr>
          <w:spacing w:val="-8"/>
        </w:rPr>
        <w:t xml:space="preserve"> </w:t>
      </w:r>
      <w:r>
        <w:t>ainda</w:t>
      </w:r>
      <w:r>
        <w:rPr>
          <w:spacing w:val="-8"/>
        </w:rPr>
        <w:t xml:space="preserve"> </w:t>
      </w:r>
      <w:r>
        <w:t>não</w:t>
      </w:r>
      <w:r>
        <w:rPr>
          <w:spacing w:val="-11"/>
        </w:rPr>
        <w:t xml:space="preserve"> </w:t>
      </w:r>
      <w:r>
        <w:t>reconhecidos</w:t>
      </w:r>
      <w:r>
        <w:rPr>
          <w:spacing w:val="-8"/>
        </w:rPr>
        <w:t xml:space="preserve"> </w:t>
      </w:r>
      <w:r>
        <w:t>(fluxos</w:t>
      </w:r>
      <w:r>
        <w:rPr>
          <w:spacing w:val="-6"/>
        </w:rPr>
        <w:t xml:space="preserve"> </w:t>
      </w:r>
      <w:r>
        <w:t>de</w:t>
      </w:r>
      <w:r>
        <w:rPr>
          <w:spacing w:val="-11"/>
        </w:rPr>
        <w:t xml:space="preserve"> </w:t>
      </w:r>
      <w:r>
        <w:t>caixa</w:t>
      </w:r>
      <w:r>
        <w:rPr>
          <w:spacing w:val="-8"/>
        </w:rPr>
        <w:t xml:space="preserve"> </w:t>
      </w:r>
      <w:r>
        <w:t>estimados)</w:t>
      </w:r>
      <w:r>
        <w:rPr>
          <w:spacing w:val="-5"/>
        </w:rPr>
        <w:t xml:space="preserve"> </w:t>
      </w:r>
      <w:r>
        <w:t>e</w:t>
      </w:r>
      <w:r>
        <w:rPr>
          <w:spacing w:val="-11"/>
        </w:rPr>
        <w:t xml:space="preserve"> </w:t>
      </w:r>
      <w:r>
        <w:t>efeitos</w:t>
      </w:r>
      <w:r>
        <w:rPr>
          <w:spacing w:val="-6"/>
        </w:rPr>
        <w:t xml:space="preserve"> </w:t>
      </w:r>
      <w:r>
        <w:t>dos</w:t>
      </w:r>
      <w:r>
        <w:rPr>
          <w:spacing w:val="-8"/>
        </w:rPr>
        <w:t xml:space="preserve"> </w:t>
      </w:r>
      <w:r>
        <w:t>contratos na performance da entidade durante o exercício.</w:t>
      </w:r>
    </w:p>
    <w:p w14:paraId="3B23FF2A" w14:textId="77777777" w:rsidR="002C6574" w:rsidRDefault="00000000">
      <w:pPr>
        <w:pStyle w:val="Corpodetexto"/>
        <w:spacing w:before="276"/>
        <w:ind w:left="143" w:right="702"/>
        <w:jc w:val="both"/>
      </w:pPr>
      <w:r>
        <w:t>As referidas alterações são aplicáveis a exercícios/períodos iniciados a partir de 1º de janeiro de 2026. A Companhia não espera que essas alterações tenham um impacto material em suas operações ou demonstrações contábeis</w:t>
      </w:r>
    </w:p>
    <w:p w14:paraId="6F00B909" w14:textId="77777777" w:rsidR="002C6574" w:rsidRDefault="00000000">
      <w:pPr>
        <w:pStyle w:val="Corpodetexto"/>
        <w:spacing w:before="274" w:line="237" w:lineRule="auto"/>
        <w:ind w:left="143" w:right="704"/>
        <w:jc w:val="both"/>
      </w:pPr>
      <w:r>
        <w:rPr>
          <w:rFonts w:ascii="Arial" w:hAnsi="Arial"/>
          <w:b/>
        </w:rPr>
        <w:t>IFRS</w:t>
      </w:r>
      <w:r>
        <w:rPr>
          <w:rFonts w:ascii="Arial" w:hAnsi="Arial"/>
          <w:b/>
          <w:spacing w:val="-16"/>
        </w:rPr>
        <w:t xml:space="preserve"> </w:t>
      </w:r>
      <w:r>
        <w:rPr>
          <w:rFonts w:ascii="Arial" w:hAnsi="Arial"/>
          <w:b/>
        </w:rPr>
        <w:t>18</w:t>
      </w:r>
      <w:r>
        <w:rPr>
          <w:rFonts w:ascii="Arial" w:hAnsi="Arial"/>
          <w:b/>
          <w:spacing w:val="-15"/>
        </w:rPr>
        <w:t xml:space="preserve"> </w:t>
      </w:r>
      <w:r>
        <w:rPr>
          <w:rFonts w:ascii="Arial" w:hAnsi="Arial"/>
          <w:b/>
        </w:rPr>
        <w:t>-</w:t>
      </w:r>
      <w:r>
        <w:rPr>
          <w:rFonts w:ascii="Arial" w:hAnsi="Arial"/>
          <w:b/>
          <w:spacing w:val="-15"/>
        </w:rPr>
        <w:t xml:space="preserve"> </w:t>
      </w:r>
      <w:r>
        <w:rPr>
          <w:rFonts w:ascii="Arial" w:hAnsi="Arial"/>
          <w:b/>
        </w:rPr>
        <w:t>Apresentação</w:t>
      </w:r>
      <w:r>
        <w:rPr>
          <w:rFonts w:ascii="Arial" w:hAnsi="Arial"/>
          <w:b/>
          <w:spacing w:val="-15"/>
        </w:rPr>
        <w:t xml:space="preserve"> </w:t>
      </w:r>
      <w:r>
        <w:rPr>
          <w:rFonts w:ascii="Arial" w:hAnsi="Arial"/>
          <w:b/>
        </w:rPr>
        <w:t>e</w:t>
      </w:r>
      <w:r>
        <w:rPr>
          <w:rFonts w:ascii="Arial" w:hAnsi="Arial"/>
          <w:b/>
          <w:spacing w:val="-14"/>
        </w:rPr>
        <w:t xml:space="preserve"> </w:t>
      </w:r>
      <w:r>
        <w:rPr>
          <w:rFonts w:ascii="Arial" w:hAnsi="Arial"/>
          <w:b/>
        </w:rPr>
        <w:t>Divulgação</w:t>
      </w:r>
      <w:r>
        <w:rPr>
          <w:rFonts w:ascii="Arial" w:hAnsi="Arial"/>
          <w:b/>
          <w:spacing w:val="-13"/>
        </w:rPr>
        <w:t xml:space="preserve"> </w:t>
      </w:r>
      <w:r>
        <w:rPr>
          <w:rFonts w:ascii="Arial" w:hAnsi="Arial"/>
          <w:b/>
        </w:rPr>
        <w:t>nas</w:t>
      </w:r>
      <w:r>
        <w:rPr>
          <w:rFonts w:ascii="Arial" w:hAnsi="Arial"/>
          <w:b/>
          <w:spacing w:val="-16"/>
        </w:rPr>
        <w:t xml:space="preserve"> </w:t>
      </w:r>
      <w:r>
        <w:rPr>
          <w:rFonts w:ascii="Arial" w:hAnsi="Arial"/>
          <w:b/>
        </w:rPr>
        <w:t>Demonstrações</w:t>
      </w:r>
      <w:r>
        <w:rPr>
          <w:rFonts w:ascii="Arial" w:hAnsi="Arial"/>
          <w:b/>
          <w:spacing w:val="-12"/>
        </w:rPr>
        <w:t xml:space="preserve"> </w:t>
      </w:r>
      <w:r>
        <w:rPr>
          <w:rFonts w:ascii="Arial" w:hAnsi="Arial"/>
          <w:b/>
        </w:rPr>
        <w:t>Financeiras:</w:t>
      </w:r>
      <w:r>
        <w:rPr>
          <w:rFonts w:ascii="Arial" w:hAnsi="Arial"/>
          <w:b/>
          <w:spacing w:val="-13"/>
        </w:rPr>
        <w:t xml:space="preserve"> </w:t>
      </w:r>
      <w:r>
        <w:t>essa</w:t>
      </w:r>
      <w:r>
        <w:rPr>
          <w:spacing w:val="-16"/>
        </w:rPr>
        <w:t xml:space="preserve"> </w:t>
      </w:r>
      <w:r>
        <w:t>nova</w:t>
      </w:r>
      <w:r>
        <w:rPr>
          <w:spacing w:val="-15"/>
        </w:rPr>
        <w:t xml:space="preserve"> </w:t>
      </w:r>
      <w:r>
        <w:t>norma</w:t>
      </w:r>
      <w:r>
        <w:rPr>
          <w:spacing w:val="-13"/>
        </w:rPr>
        <w:t xml:space="preserve"> </w:t>
      </w:r>
      <w:r>
        <w:t>contábil substituirá o IAS 1 - "Apresentação das Demonstrações Contábeis", introduzindo novos requisitos que ajudarão a alcançar a comparabilidade do desempenho financeiro de entidades semelhantes e fornecerão informações mais relevantes e transparência aos usuários. Embora o IFRS 18 não tenha impacto no reconhecimento ou mensuração de itens nas demonstrações financeiras, espera-se que</w:t>
      </w:r>
    </w:p>
    <w:p w14:paraId="09C772C1" w14:textId="77777777" w:rsidR="002C6574" w:rsidRDefault="002C6574">
      <w:pPr>
        <w:pStyle w:val="Corpodetexto"/>
        <w:spacing w:line="237" w:lineRule="auto"/>
        <w:jc w:val="both"/>
        <w:sectPr w:rsidR="002C6574">
          <w:headerReference w:type="default" r:id="rId73"/>
          <w:footerReference w:type="default" r:id="rId74"/>
          <w:pgSz w:w="11910" w:h="16840"/>
          <w:pgMar w:top="1600" w:right="141" w:bottom="1300" w:left="1133" w:header="856" w:footer="1113" w:gutter="0"/>
          <w:cols w:space="720"/>
        </w:sectPr>
      </w:pPr>
    </w:p>
    <w:p w14:paraId="4389F98E" w14:textId="77777777" w:rsidR="002C6574" w:rsidRDefault="002C6574">
      <w:pPr>
        <w:pStyle w:val="Corpodetexto"/>
        <w:spacing w:before="195"/>
      </w:pPr>
    </w:p>
    <w:p w14:paraId="1F379335" w14:textId="77777777" w:rsidR="002C6574" w:rsidRDefault="00000000">
      <w:pPr>
        <w:pStyle w:val="Corpodetexto"/>
        <w:spacing w:before="1"/>
        <w:ind w:left="143" w:right="701"/>
        <w:jc w:val="both"/>
      </w:pPr>
      <w:r>
        <w:t>seus impactos na apresentação e divulgação sejam generalizados, em particular aqueles</w:t>
      </w:r>
      <w:r>
        <w:rPr>
          <w:spacing w:val="40"/>
        </w:rPr>
        <w:t xml:space="preserve"> </w:t>
      </w:r>
      <w:r>
        <w:t>relacionados à demonstração do desempenho financeiro e ao fornecimento de medidas de desempenho definidas pela administração dentro das demonstrações financeiras. A administração está atualmente avaliando as implicações detalhadas da aplicação da nova norma nas demonstrações financeiras da Companhia. A partir de uma avaliação preliminar realizada, os seguintes impactos potenciais foram identificados:</w:t>
      </w:r>
    </w:p>
    <w:p w14:paraId="32170AD5" w14:textId="77777777" w:rsidR="002C6574" w:rsidRDefault="00000000">
      <w:pPr>
        <w:pStyle w:val="Corpodetexto"/>
        <w:spacing w:before="284" w:line="237" w:lineRule="auto"/>
        <w:ind w:left="143" w:right="703"/>
        <w:jc w:val="both"/>
      </w:pPr>
      <w:r>
        <w:t>Embora a adoção do IFRS 18 não tenha impacto no lucro líquido do Grupo, espera- -se que o agrupamento de itens de receitas e despesas na demonstração do resultado nas novas categorias tenha impacto em como o resultado operacional é calculado e divulgado.</w:t>
      </w:r>
    </w:p>
    <w:p w14:paraId="39075828" w14:textId="77777777" w:rsidR="002C6574" w:rsidRDefault="002C6574">
      <w:pPr>
        <w:pStyle w:val="Corpodetexto"/>
        <w:spacing w:before="2"/>
      </w:pPr>
    </w:p>
    <w:p w14:paraId="69CDDB02" w14:textId="77777777" w:rsidR="002C6574" w:rsidRDefault="00000000">
      <w:pPr>
        <w:pStyle w:val="Corpodetexto"/>
        <w:spacing w:line="237" w:lineRule="auto"/>
        <w:ind w:left="143" w:right="702"/>
        <w:jc w:val="both"/>
      </w:pPr>
      <w:r>
        <w:t xml:space="preserve">Os itens de linha apresentados nas demonstrações financeiras primárias podem mudar como resultado da aplicação dos princípios aprimorados sobre agregação e desagregação. Além disso, como o ágio deverá ser apresentado separadamente no balanço patrimonial, a Companhia desagregará o ágio e outros ativos intangíveis e os apresentará separadamente no balanço </w:t>
      </w:r>
      <w:r>
        <w:rPr>
          <w:spacing w:val="-2"/>
        </w:rPr>
        <w:t>patrimonial.</w:t>
      </w:r>
    </w:p>
    <w:p w14:paraId="1957CBD2" w14:textId="77777777" w:rsidR="002C6574" w:rsidRDefault="002C6574">
      <w:pPr>
        <w:pStyle w:val="Corpodetexto"/>
        <w:spacing w:before="4"/>
      </w:pPr>
    </w:p>
    <w:p w14:paraId="583306F0" w14:textId="77777777" w:rsidR="002C6574" w:rsidRDefault="00000000">
      <w:pPr>
        <w:pStyle w:val="Corpodetexto"/>
        <w:spacing w:line="237" w:lineRule="auto"/>
        <w:ind w:left="143" w:right="702"/>
        <w:jc w:val="both"/>
      </w:pPr>
      <w:r>
        <w:t>A Companhia não espera que haja mudança significativa nas informações que são atualmente divulgadas nas notas explicativas, uma vez que o requisito de divulgação de informações materiais permanece</w:t>
      </w:r>
      <w:r>
        <w:rPr>
          <w:spacing w:val="-6"/>
        </w:rPr>
        <w:t xml:space="preserve"> </w:t>
      </w:r>
      <w:r>
        <w:t>inalterado;</w:t>
      </w:r>
      <w:r>
        <w:rPr>
          <w:spacing w:val="-6"/>
        </w:rPr>
        <w:t xml:space="preserve"> </w:t>
      </w:r>
      <w:r>
        <w:t>no</w:t>
      </w:r>
      <w:r>
        <w:rPr>
          <w:spacing w:val="-6"/>
        </w:rPr>
        <w:t xml:space="preserve"> </w:t>
      </w:r>
      <w:r>
        <w:t>entanto,</w:t>
      </w:r>
      <w:r>
        <w:rPr>
          <w:spacing w:val="-5"/>
        </w:rPr>
        <w:t xml:space="preserve"> </w:t>
      </w:r>
      <w:r>
        <w:t>a</w:t>
      </w:r>
      <w:r>
        <w:rPr>
          <w:spacing w:val="-7"/>
        </w:rPr>
        <w:t xml:space="preserve"> </w:t>
      </w:r>
      <w:r>
        <w:t>maneira</w:t>
      </w:r>
      <w:r>
        <w:rPr>
          <w:spacing w:val="-6"/>
        </w:rPr>
        <w:t xml:space="preserve"> </w:t>
      </w:r>
      <w:r>
        <w:t>como</w:t>
      </w:r>
      <w:r>
        <w:rPr>
          <w:spacing w:val="-6"/>
        </w:rPr>
        <w:t xml:space="preserve"> </w:t>
      </w:r>
      <w:r>
        <w:t>as</w:t>
      </w:r>
      <w:r>
        <w:rPr>
          <w:spacing w:val="-5"/>
        </w:rPr>
        <w:t xml:space="preserve"> </w:t>
      </w:r>
      <w:r>
        <w:t>informações</w:t>
      </w:r>
      <w:r>
        <w:rPr>
          <w:spacing w:val="-5"/>
        </w:rPr>
        <w:t xml:space="preserve"> </w:t>
      </w:r>
      <w:r>
        <w:t>são</w:t>
      </w:r>
      <w:r>
        <w:rPr>
          <w:spacing w:val="-5"/>
        </w:rPr>
        <w:t xml:space="preserve"> </w:t>
      </w:r>
      <w:r>
        <w:t>agrupadas</w:t>
      </w:r>
      <w:r>
        <w:rPr>
          <w:spacing w:val="-5"/>
        </w:rPr>
        <w:t xml:space="preserve"> </w:t>
      </w:r>
      <w:r>
        <w:t>pode</w:t>
      </w:r>
      <w:r>
        <w:rPr>
          <w:spacing w:val="-7"/>
        </w:rPr>
        <w:t xml:space="preserve"> </w:t>
      </w:r>
      <w:r>
        <w:t>mudar</w:t>
      </w:r>
      <w:r>
        <w:rPr>
          <w:spacing w:val="-5"/>
        </w:rPr>
        <w:t xml:space="preserve"> </w:t>
      </w:r>
      <w:r>
        <w:t>como resultado dos princípios de agregação/desagregação. Além disso, haverá novas divulgações significativas necessárias para:</w:t>
      </w:r>
      <w:r>
        <w:rPr>
          <w:spacing w:val="-1"/>
        </w:rPr>
        <w:t xml:space="preserve"> </w:t>
      </w:r>
      <w:r>
        <w:t>(i) medidas de desempenho definidas pela</w:t>
      </w:r>
      <w:r>
        <w:rPr>
          <w:spacing w:val="-1"/>
        </w:rPr>
        <w:t xml:space="preserve"> </w:t>
      </w:r>
      <w:r>
        <w:t>administração;</w:t>
      </w:r>
      <w:r>
        <w:rPr>
          <w:spacing w:val="-1"/>
        </w:rPr>
        <w:t xml:space="preserve"> </w:t>
      </w:r>
      <w:r>
        <w:t>(ii) abertura da natureza de determinadas linhas de despesas apresentados por função na categoria operacional da demonstração de</w:t>
      </w:r>
      <w:r>
        <w:rPr>
          <w:spacing w:val="-1"/>
        </w:rPr>
        <w:t xml:space="preserve"> </w:t>
      </w:r>
      <w:r>
        <w:t>resultado; e</w:t>
      </w:r>
      <w:r>
        <w:rPr>
          <w:spacing w:val="-2"/>
        </w:rPr>
        <w:t xml:space="preserve"> </w:t>
      </w:r>
      <w:r>
        <w:t>(iii) para</w:t>
      </w:r>
      <w:r>
        <w:rPr>
          <w:spacing w:val="-2"/>
        </w:rPr>
        <w:t xml:space="preserve"> </w:t>
      </w:r>
      <w:r>
        <w:t>o primeiro ano</w:t>
      </w:r>
      <w:r>
        <w:rPr>
          <w:spacing w:val="-2"/>
        </w:rPr>
        <w:t xml:space="preserve"> </w:t>
      </w:r>
      <w:r>
        <w:t>de aplicação do IFRS 18, uma</w:t>
      </w:r>
      <w:r>
        <w:rPr>
          <w:spacing w:val="-4"/>
        </w:rPr>
        <w:t xml:space="preserve"> </w:t>
      </w:r>
      <w:r>
        <w:t>reconciliação para cada linha da demonstração de resultado entre os valores reapresentados pela aplicação do IFRS</w:t>
      </w:r>
      <w:r>
        <w:rPr>
          <w:spacing w:val="32"/>
        </w:rPr>
        <w:t xml:space="preserve"> </w:t>
      </w:r>
      <w:r>
        <w:t>18</w:t>
      </w:r>
      <w:r>
        <w:rPr>
          <w:spacing w:val="35"/>
        </w:rPr>
        <w:t xml:space="preserve"> </w:t>
      </w:r>
      <w:r>
        <w:t>e</w:t>
      </w:r>
      <w:r>
        <w:rPr>
          <w:spacing w:val="32"/>
        </w:rPr>
        <w:t xml:space="preserve"> </w:t>
      </w:r>
      <w:r>
        <w:t>os valores apresentados</w:t>
      </w:r>
      <w:r>
        <w:rPr>
          <w:spacing w:val="35"/>
        </w:rPr>
        <w:t xml:space="preserve"> </w:t>
      </w:r>
      <w:r>
        <w:t>anteriormente pela</w:t>
      </w:r>
      <w:r>
        <w:rPr>
          <w:spacing w:val="32"/>
        </w:rPr>
        <w:t xml:space="preserve"> </w:t>
      </w:r>
      <w:r>
        <w:t>aplicação</w:t>
      </w:r>
      <w:r>
        <w:rPr>
          <w:spacing w:val="37"/>
        </w:rPr>
        <w:t xml:space="preserve"> </w:t>
      </w:r>
      <w:r>
        <w:t>do</w:t>
      </w:r>
      <w:r>
        <w:rPr>
          <w:spacing w:val="32"/>
        </w:rPr>
        <w:t xml:space="preserve"> </w:t>
      </w:r>
      <w:r>
        <w:t>IAS</w:t>
      </w:r>
      <w:r>
        <w:rPr>
          <w:spacing w:val="37"/>
        </w:rPr>
        <w:t xml:space="preserve"> </w:t>
      </w:r>
      <w:r>
        <w:t>1.</w:t>
      </w:r>
    </w:p>
    <w:p w14:paraId="389E0240" w14:textId="77777777" w:rsidR="002C6574" w:rsidRDefault="00000000">
      <w:pPr>
        <w:pStyle w:val="Corpodetexto"/>
        <w:spacing w:before="285"/>
        <w:ind w:left="143" w:right="702"/>
        <w:jc w:val="both"/>
      </w:pPr>
      <w:r>
        <w:t>No que se</w:t>
      </w:r>
      <w:r>
        <w:rPr>
          <w:spacing w:val="-1"/>
        </w:rPr>
        <w:t xml:space="preserve"> </w:t>
      </w:r>
      <w:r>
        <w:t>refere à demonstração dos fluxos de caixa, haverá</w:t>
      </w:r>
      <w:r>
        <w:rPr>
          <w:spacing w:val="-1"/>
        </w:rPr>
        <w:t xml:space="preserve"> </w:t>
      </w:r>
      <w:r>
        <w:t>mudanças em como os juros recebidos e pagos são apresentados. Os juros pagos serão apresentados como fluxos de caixa de financiamento e os juros recebidos como fluxos de caixa de investimento.</w:t>
      </w:r>
    </w:p>
    <w:p w14:paraId="20C91BA8" w14:textId="77777777" w:rsidR="002C6574" w:rsidRDefault="00000000">
      <w:pPr>
        <w:pStyle w:val="Corpodetexto"/>
        <w:spacing w:before="288" w:line="237" w:lineRule="auto"/>
        <w:ind w:left="143" w:right="704"/>
        <w:jc w:val="both"/>
      </w:pPr>
      <w:r>
        <w:rPr>
          <w:w w:val="105"/>
        </w:rPr>
        <w:t>A</w:t>
      </w:r>
      <w:r>
        <w:rPr>
          <w:spacing w:val="-16"/>
          <w:w w:val="105"/>
        </w:rPr>
        <w:t xml:space="preserve"> </w:t>
      </w:r>
      <w:r>
        <w:rPr>
          <w:w w:val="105"/>
        </w:rPr>
        <w:t>nova</w:t>
      </w:r>
      <w:r>
        <w:rPr>
          <w:spacing w:val="-16"/>
          <w:w w:val="105"/>
        </w:rPr>
        <w:t xml:space="preserve"> </w:t>
      </w:r>
      <w:r>
        <w:rPr>
          <w:w w:val="105"/>
        </w:rPr>
        <w:t>norma</w:t>
      </w:r>
      <w:r>
        <w:rPr>
          <w:spacing w:val="-16"/>
          <w:w w:val="105"/>
        </w:rPr>
        <w:t xml:space="preserve"> </w:t>
      </w:r>
      <w:r>
        <w:rPr>
          <w:w w:val="105"/>
        </w:rPr>
        <w:t>tem</w:t>
      </w:r>
      <w:r>
        <w:rPr>
          <w:spacing w:val="-16"/>
          <w:w w:val="105"/>
        </w:rPr>
        <w:t xml:space="preserve"> </w:t>
      </w:r>
      <w:r>
        <w:rPr>
          <w:w w:val="105"/>
        </w:rPr>
        <w:t>vigência</w:t>
      </w:r>
      <w:r>
        <w:rPr>
          <w:spacing w:val="-16"/>
          <w:w w:val="105"/>
        </w:rPr>
        <w:t xml:space="preserve"> </w:t>
      </w:r>
      <w:r>
        <w:rPr>
          <w:w w:val="105"/>
        </w:rPr>
        <w:t>a</w:t>
      </w:r>
      <w:r>
        <w:rPr>
          <w:spacing w:val="-15"/>
          <w:w w:val="105"/>
        </w:rPr>
        <w:t xml:space="preserve"> </w:t>
      </w:r>
      <w:r>
        <w:rPr>
          <w:w w:val="105"/>
        </w:rPr>
        <w:t>partir</w:t>
      </w:r>
      <w:r>
        <w:rPr>
          <w:spacing w:val="-16"/>
          <w:w w:val="105"/>
        </w:rPr>
        <w:t xml:space="preserve"> </w:t>
      </w:r>
      <w:r>
        <w:rPr>
          <w:w w:val="105"/>
        </w:rPr>
        <w:t>de</w:t>
      </w:r>
      <w:r>
        <w:rPr>
          <w:spacing w:val="-16"/>
          <w:w w:val="105"/>
        </w:rPr>
        <w:t xml:space="preserve"> </w:t>
      </w:r>
      <w:r>
        <w:rPr>
          <w:w w:val="105"/>
        </w:rPr>
        <w:t>1º</w:t>
      </w:r>
      <w:r>
        <w:rPr>
          <w:spacing w:val="-16"/>
          <w:w w:val="105"/>
        </w:rPr>
        <w:t xml:space="preserve"> </w:t>
      </w:r>
      <w:r>
        <w:rPr>
          <w:w w:val="105"/>
        </w:rPr>
        <w:t>de</w:t>
      </w:r>
      <w:r>
        <w:rPr>
          <w:spacing w:val="-16"/>
          <w:w w:val="105"/>
        </w:rPr>
        <w:t xml:space="preserve"> </w:t>
      </w:r>
      <w:r>
        <w:rPr>
          <w:w w:val="105"/>
        </w:rPr>
        <w:t>janeiro</w:t>
      </w:r>
      <w:r>
        <w:rPr>
          <w:spacing w:val="-16"/>
          <w:w w:val="105"/>
        </w:rPr>
        <w:t xml:space="preserve"> </w:t>
      </w:r>
      <w:r>
        <w:rPr>
          <w:w w:val="105"/>
        </w:rPr>
        <w:t>de</w:t>
      </w:r>
      <w:r>
        <w:rPr>
          <w:spacing w:val="-15"/>
          <w:w w:val="105"/>
        </w:rPr>
        <w:t xml:space="preserve"> </w:t>
      </w:r>
      <w:r>
        <w:rPr>
          <w:w w:val="105"/>
        </w:rPr>
        <w:t>2027,</w:t>
      </w:r>
      <w:r>
        <w:rPr>
          <w:spacing w:val="-16"/>
          <w:w w:val="105"/>
        </w:rPr>
        <w:t xml:space="preserve"> </w:t>
      </w:r>
      <w:r>
        <w:rPr>
          <w:w w:val="105"/>
        </w:rPr>
        <w:t>com</w:t>
      </w:r>
      <w:r>
        <w:rPr>
          <w:spacing w:val="-16"/>
          <w:w w:val="105"/>
        </w:rPr>
        <w:t xml:space="preserve"> </w:t>
      </w:r>
      <w:r>
        <w:rPr>
          <w:w w:val="105"/>
        </w:rPr>
        <w:t>aplicação</w:t>
      </w:r>
      <w:r>
        <w:rPr>
          <w:spacing w:val="-16"/>
          <w:w w:val="105"/>
        </w:rPr>
        <w:t xml:space="preserve"> </w:t>
      </w:r>
      <w:r>
        <w:rPr>
          <w:w w:val="105"/>
        </w:rPr>
        <w:t>retrospectiva,</w:t>
      </w:r>
      <w:r>
        <w:rPr>
          <w:spacing w:val="-16"/>
          <w:w w:val="105"/>
        </w:rPr>
        <w:t xml:space="preserve"> </w:t>
      </w:r>
      <w:r>
        <w:rPr>
          <w:w w:val="105"/>
        </w:rPr>
        <w:t>isto</w:t>
      </w:r>
      <w:r>
        <w:rPr>
          <w:spacing w:val="-15"/>
          <w:w w:val="105"/>
        </w:rPr>
        <w:t xml:space="preserve"> </w:t>
      </w:r>
      <w:r>
        <w:rPr>
          <w:w w:val="105"/>
        </w:rPr>
        <w:t>é</w:t>
      </w:r>
      <w:r>
        <w:rPr>
          <w:spacing w:val="-16"/>
          <w:w w:val="105"/>
        </w:rPr>
        <w:t xml:space="preserve"> </w:t>
      </w:r>
      <w:r>
        <w:rPr>
          <w:w w:val="105"/>
        </w:rPr>
        <w:t xml:space="preserve">as </w:t>
      </w:r>
      <w:r>
        <w:t xml:space="preserve">informações comparativas para o exercício social de 31 de dezembro de 2026 serão reapresentadas </w:t>
      </w:r>
      <w:r>
        <w:rPr>
          <w:w w:val="105"/>
        </w:rPr>
        <w:t>de acordo com o IFRS 18.</w:t>
      </w:r>
    </w:p>
    <w:p w14:paraId="5E36BDAB" w14:textId="77777777" w:rsidR="002C6574" w:rsidRDefault="00000000">
      <w:pPr>
        <w:pStyle w:val="Corpodetexto"/>
        <w:spacing w:before="281" w:line="237" w:lineRule="auto"/>
        <w:ind w:left="143" w:right="703"/>
        <w:jc w:val="both"/>
      </w:pPr>
      <w:r>
        <w:rPr>
          <w:rFonts w:ascii="Arial" w:hAnsi="Arial"/>
          <w:b/>
        </w:rPr>
        <w:t xml:space="preserve">IFRS 19 - Subsidiárias sem Obrigação Pública de Prestação de Contas: </w:t>
      </w:r>
      <w:r>
        <w:t>Divulgações e alterações: Esta nova norma e alterações permitem que certas subsidiárias elegíveis de entidades controladoras que reportam sob normas contábeis internacionais (IFRS Accounting Standards) apliquem requisitos de divulgação reduzidos, de forma a equilibrar as necessidades de informação dos usuários das demonstrações financeiras das subsidiárias elegíveis com a economia de custos para os preparadores. O IFRS 19 é uma norma voluntária para subsidiárias elegíveis. A nova norma IFRS 19 tem vigência a partir de 1º de janeiro de 2027. A Companhia não espera que essas</w:t>
      </w:r>
      <w:r>
        <w:rPr>
          <w:spacing w:val="40"/>
        </w:rPr>
        <w:t xml:space="preserve"> </w:t>
      </w:r>
      <w:r>
        <w:t>alterações tenham impactos em suas demonstrações contábeis.</w:t>
      </w:r>
    </w:p>
    <w:p w14:paraId="75172774" w14:textId="77777777" w:rsidR="002C6574" w:rsidRDefault="002C6574">
      <w:pPr>
        <w:pStyle w:val="Corpodetexto"/>
        <w:spacing w:before="37"/>
      </w:pPr>
    </w:p>
    <w:p w14:paraId="14518148" w14:textId="77777777" w:rsidR="002C6574" w:rsidRDefault="00000000">
      <w:pPr>
        <w:spacing w:line="247" w:lineRule="auto"/>
        <w:ind w:left="143" w:right="703"/>
        <w:jc w:val="both"/>
      </w:pPr>
      <w:r>
        <w:rPr>
          <w:rFonts w:ascii="Arial" w:hAnsi="Arial"/>
          <w:b/>
        </w:rPr>
        <w:t>Melhorias Anuais às normas contábeis internacionais (IFRS Accounting Standards) - Volume 11:</w:t>
      </w:r>
      <w:r>
        <w:rPr>
          <w:rFonts w:ascii="Arial" w:hAnsi="Arial"/>
          <w:b/>
          <w:spacing w:val="8"/>
        </w:rPr>
        <w:t xml:space="preserve"> </w:t>
      </w:r>
      <w:r>
        <w:t>As</w:t>
      </w:r>
      <w:r>
        <w:rPr>
          <w:spacing w:val="5"/>
        </w:rPr>
        <w:t xml:space="preserve"> </w:t>
      </w:r>
      <w:r>
        <w:t>melhorias</w:t>
      </w:r>
      <w:r>
        <w:rPr>
          <w:spacing w:val="9"/>
        </w:rPr>
        <w:t xml:space="preserve"> </w:t>
      </w:r>
      <w:r>
        <w:t>anuais</w:t>
      </w:r>
      <w:r>
        <w:rPr>
          <w:spacing w:val="2"/>
        </w:rPr>
        <w:t xml:space="preserve"> </w:t>
      </w:r>
      <w:r>
        <w:t>se</w:t>
      </w:r>
      <w:r>
        <w:rPr>
          <w:spacing w:val="9"/>
        </w:rPr>
        <w:t xml:space="preserve"> </w:t>
      </w:r>
      <w:r>
        <w:t>limitam</w:t>
      </w:r>
      <w:r>
        <w:rPr>
          <w:spacing w:val="10"/>
        </w:rPr>
        <w:t xml:space="preserve"> </w:t>
      </w:r>
      <w:r>
        <w:t>a</w:t>
      </w:r>
      <w:r>
        <w:rPr>
          <w:spacing w:val="4"/>
        </w:rPr>
        <w:t xml:space="preserve"> </w:t>
      </w:r>
      <w:r>
        <w:t>alterações</w:t>
      </w:r>
      <w:r>
        <w:rPr>
          <w:spacing w:val="8"/>
        </w:rPr>
        <w:t xml:space="preserve"> </w:t>
      </w:r>
      <w:r>
        <w:t>que</w:t>
      </w:r>
      <w:r>
        <w:rPr>
          <w:spacing w:val="9"/>
        </w:rPr>
        <w:t xml:space="preserve"> </w:t>
      </w:r>
      <w:r>
        <w:t>visam</w:t>
      </w:r>
      <w:r>
        <w:rPr>
          <w:spacing w:val="10"/>
        </w:rPr>
        <w:t xml:space="preserve"> </w:t>
      </w:r>
      <w:r>
        <w:t>esclarecer</w:t>
      </w:r>
      <w:r>
        <w:rPr>
          <w:spacing w:val="5"/>
        </w:rPr>
        <w:t xml:space="preserve"> </w:t>
      </w:r>
      <w:r>
        <w:t>a</w:t>
      </w:r>
      <w:r>
        <w:rPr>
          <w:spacing w:val="8"/>
        </w:rPr>
        <w:t xml:space="preserve"> </w:t>
      </w:r>
      <w:r>
        <w:t>redação</w:t>
      </w:r>
      <w:r>
        <w:rPr>
          <w:spacing w:val="6"/>
        </w:rPr>
        <w:t xml:space="preserve"> </w:t>
      </w:r>
      <w:r>
        <w:t>de</w:t>
      </w:r>
      <w:r>
        <w:rPr>
          <w:spacing w:val="9"/>
        </w:rPr>
        <w:t xml:space="preserve"> </w:t>
      </w:r>
      <w:r>
        <w:t>algumas</w:t>
      </w:r>
      <w:r>
        <w:rPr>
          <w:spacing w:val="5"/>
        </w:rPr>
        <w:t xml:space="preserve"> </w:t>
      </w:r>
      <w:r>
        <w:rPr>
          <w:spacing w:val="-2"/>
        </w:rPr>
        <w:t>normas</w:t>
      </w:r>
    </w:p>
    <w:p w14:paraId="15D96F9D" w14:textId="77777777" w:rsidR="002C6574" w:rsidRDefault="002C6574">
      <w:pPr>
        <w:spacing w:line="247" w:lineRule="auto"/>
        <w:jc w:val="both"/>
        <w:sectPr w:rsidR="002C6574">
          <w:pgSz w:w="11910" w:h="16840"/>
          <w:pgMar w:top="1600" w:right="141" w:bottom="1300" w:left="1133" w:header="856" w:footer="1113" w:gutter="0"/>
          <w:cols w:space="720"/>
        </w:sectPr>
      </w:pPr>
    </w:p>
    <w:p w14:paraId="519BA650" w14:textId="77777777" w:rsidR="002C6574" w:rsidRDefault="002C6574">
      <w:pPr>
        <w:pStyle w:val="Corpodetexto"/>
        <w:spacing w:before="195"/>
      </w:pPr>
    </w:p>
    <w:p w14:paraId="5B482174" w14:textId="77777777" w:rsidR="002C6574" w:rsidRDefault="00000000">
      <w:pPr>
        <w:pStyle w:val="Corpodetexto"/>
        <w:spacing w:before="1"/>
        <w:ind w:left="143" w:right="703"/>
        <w:jc w:val="both"/>
      </w:pPr>
      <w:r>
        <w:rPr>
          <w:w w:val="105"/>
        </w:rPr>
        <w:t>contábeis</w:t>
      </w:r>
      <w:r>
        <w:rPr>
          <w:spacing w:val="-6"/>
          <w:w w:val="105"/>
        </w:rPr>
        <w:t xml:space="preserve"> </w:t>
      </w:r>
      <w:r>
        <w:rPr>
          <w:w w:val="105"/>
        </w:rPr>
        <w:t>internacionais</w:t>
      </w:r>
      <w:r>
        <w:rPr>
          <w:spacing w:val="-7"/>
          <w:w w:val="105"/>
        </w:rPr>
        <w:t xml:space="preserve"> </w:t>
      </w:r>
      <w:r>
        <w:rPr>
          <w:w w:val="105"/>
        </w:rPr>
        <w:t>(IFRS</w:t>
      </w:r>
      <w:r>
        <w:rPr>
          <w:spacing w:val="-6"/>
          <w:w w:val="105"/>
        </w:rPr>
        <w:t xml:space="preserve"> </w:t>
      </w:r>
      <w:r>
        <w:rPr>
          <w:w w:val="105"/>
        </w:rPr>
        <w:t>Accounting</w:t>
      </w:r>
      <w:r>
        <w:rPr>
          <w:spacing w:val="-6"/>
          <w:w w:val="105"/>
        </w:rPr>
        <w:t xml:space="preserve"> </w:t>
      </w:r>
      <w:r>
        <w:rPr>
          <w:w w:val="105"/>
        </w:rPr>
        <w:t>Standards)</w:t>
      </w:r>
      <w:r>
        <w:rPr>
          <w:spacing w:val="-6"/>
          <w:w w:val="105"/>
        </w:rPr>
        <w:t xml:space="preserve"> </w:t>
      </w:r>
      <w:r>
        <w:rPr>
          <w:w w:val="105"/>
        </w:rPr>
        <w:t>ou</w:t>
      </w:r>
      <w:r>
        <w:rPr>
          <w:spacing w:val="-7"/>
          <w:w w:val="105"/>
        </w:rPr>
        <w:t xml:space="preserve"> </w:t>
      </w:r>
      <w:r>
        <w:rPr>
          <w:w w:val="105"/>
        </w:rPr>
        <w:t>corrigir</w:t>
      </w:r>
      <w:r>
        <w:rPr>
          <w:spacing w:val="-6"/>
          <w:w w:val="105"/>
        </w:rPr>
        <w:t xml:space="preserve"> </w:t>
      </w:r>
      <w:r>
        <w:rPr>
          <w:w w:val="105"/>
        </w:rPr>
        <w:t>consequências</w:t>
      </w:r>
      <w:r>
        <w:rPr>
          <w:spacing w:val="-5"/>
          <w:w w:val="105"/>
        </w:rPr>
        <w:t xml:space="preserve"> </w:t>
      </w:r>
      <w:r>
        <w:rPr>
          <w:w w:val="105"/>
        </w:rPr>
        <w:t>não</w:t>
      </w:r>
      <w:r>
        <w:rPr>
          <w:spacing w:val="-5"/>
          <w:w w:val="105"/>
        </w:rPr>
        <w:t xml:space="preserve"> </w:t>
      </w:r>
      <w:r>
        <w:rPr>
          <w:w w:val="105"/>
        </w:rPr>
        <w:t>intencionais relativamente menores, omissões ou conflitos entre os requisitos das normas contábeis internacionais</w:t>
      </w:r>
      <w:r>
        <w:rPr>
          <w:spacing w:val="-1"/>
          <w:w w:val="105"/>
        </w:rPr>
        <w:t xml:space="preserve"> </w:t>
      </w:r>
      <w:r>
        <w:rPr>
          <w:w w:val="105"/>
        </w:rPr>
        <w:t>(IFRS</w:t>
      </w:r>
      <w:r>
        <w:rPr>
          <w:spacing w:val="-3"/>
          <w:w w:val="105"/>
        </w:rPr>
        <w:t xml:space="preserve"> </w:t>
      </w:r>
      <w:r>
        <w:rPr>
          <w:w w:val="105"/>
        </w:rPr>
        <w:t>Accounting</w:t>
      </w:r>
      <w:r>
        <w:rPr>
          <w:spacing w:val="-1"/>
          <w:w w:val="105"/>
        </w:rPr>
        <w:t xml:space="preserve"> </w:t>
      </w:r>
      <w:r>
        <w:rPr>
          <w:w w:val="105"/>
        </w:rPr>
        <w:t>Standards).</w:t>
      </w:r>
      <w:r>
        <w:rPr>
          <w:spacing w:val="-1"/>
          <w:w w:val="105"/>
        </w:rPr>
        <w:t xml:space="preserve"> </w:t>
      </w:r>
      <w:r>
        <w:rPr>
          <w:w w:val="105"/>
        </w:rPr>
        <w:t>As</w:t>
      </w:r>
      <w:r>
        <w:rPr>
          <w:spacing w:val="-4"/>
          <w:w w:val="105"/>
        </w:rPr>
        <w:t xml:space="preserve"> </w:t>
      </w:r>
      <w:r>
        <w:rPr>
          <w:w w:val="105"/>
        </w:rPr>
        <w:t>alterações</w:t>
      </w:r>
      <w:r>
        <w:rPr>
          <w:spacing w:val="-1"/>
          <w:w w:val="105"/>
        </w:rPr>
        <w:t xml:space="preserve"> </w:t>
      </w:r>
      <w:r>
        <w:rPr>
          <w:w w:val="105"/>
        </w:rPr>
        <w:t>referem-se</w:t>
      </w:r>
      <w:r>
        <w:rPr>
          <w:spacing w:val="-2"/>
          <w:w w:val="105"/>
        </w:rPr>
        <w:t xml:space="preserve"> </w:t>
      </w:r>
      <w:r>
        <w:rPr>
          <w:w w:val="105"/>
        </w:rPr>
        <w:t>às</w:t>
      </w:r>
      <w:r>
        <w:rPr>
          <w:spacing w:val="-5"/>
          <w:w w:val="105"/>
        </w:rPr>
        <w:t xml:space="preserve"> </w:t>
      </w:r>
      <w:r>
        <w:rPr>
          <w:w w:val="105"/>
        </w:rPr>
        <w:t>seguintes</w:t>
      </w:r>
      <w:r>
        <w:rPr>
          <w:spacing w:val="-1"/>
          <w:w w:val="105"/>
        </w:rPr>
        <w:t xml:space="preserve"> </w:t>
      </w:r>
      <w:r>
        <w:rPr>
          <w:w w:val="105"/>
        </w:rPr>
        <w:t>normas:</w:t>
      </w:r>
    </w:p>
    <w:p w14:paraId="79384989" w14:textId="77777777" w:rsidR="002C6574" w:rsidRDefault="00000000">
      <w:pPr>
        <w:pStyle w:val="PargrafodaLista"/>
        <w:numPr>
          <w:ilvl w:val="0"/>
          <w:numId w:val="49"/>
        </w:numPr>
        <w:tabs>
          <w:tab w:val="left" w:pos="449"/>
        </w:tabs>
        <w:spacing w:before="286"/>
        <w:ind w:left="449" w:hanging="306"/>
        <w:rPr>
          <w:rFonts w:ascii="Segoe UI Symbol" w:hAnsi="Segoe UI Symbol"/>
        </w:rPr>
      </w:pPr>
      <w:r>
        <w:rPr>
          <w:rFonts w:ascii="Segoe UI Symbol" w:hAnsi="Segoe UI Symbol"/>
        </w:rPr>
        <w:t>IFRS</w:t>
      </w:r>
      <w:r>
        <w:rPr>
          <w:rFonts w:ascii="Segoe UI Symbol" w:hAnsi="Segoe UI Symbol"/>
          <w:spacing w:val="8"/>
        </w:rPr>
        <w:t xml:space="preserve"> </w:t>
      </w:r>
      <w:r>
        <w:rPr>
          <w:rFonts w:ascii="Segoe UI Symbol" w:hAnsi="Segoe UI Symbol"/>
        </w:rPr>
        <w:t>1</w:t>
      </w:r>
      <w:r>
        <w:rPr>
          <w:rFonts w:ascii="Segoe UI Symbol" w:hAnsi="Segoe UI Symbol"/>
          <w:spacing w:val="8"/>
        </w:rPr>
        <w:t xml:space="preserve"> </w:t>
      </w:r>
      <w:r>
        <w:rPr>
          <w:rFonts w:ascii="Segoe UI Symbol" w:hAnsi="Segoe UI Symbol"/>
        </w:rPr>
        <w:t>-</w:t>
      </w:r>
      <w:r>
        <w:rPr>
          <w:rFonts w:ascii="Segoe UI Symbol" w:hAnsi="Segoe UI Symbol"/>
          <w:spacing w:val="11"/>
        </w:rPr>
        <w:t xml:space="preserve"> </w:t>
      </w:r>
      <w:r>
        <w:rPr>
          <w:rFonts w:ascii="Segoe UI Symbol" w:hAnsi="Segoe UI Symbol"/>
        </w:rPr>
        <w:t>"Adoção</w:t>
      </w:r>
      <w:r>
        <w:rPr>
          <w:rFonts w:ascii="Segoe UI Symbol" w:hAnsi="Segoe UI Symbol"/>
          <w:spacing w:val="4"/>
        </w:rPr>
        <w:t xml:space="preserve"> </w:t>
      </w:r>
      <w:r>
        <w:rPr>
          <w:rFonts w:ascii="Segoe UI Symbol" w:hAnsi="Segoe UI Symbol"/>
        </w:rPr>
        <w:t>Inicial</w:t>
      </w:r>
      <w:r>
        <w:rPr>
          <w:rFonts w:ascii="Segoe UI Symbol" w:hAnsi="Segoe UI Symbol"/>
          <w:spacing w:val="10"/>
        </w:rPr>
        <w:t xml:space="preserve"> </w:t>
      </w:r>
      <w:r>
        <w:rPr>
          <w:rFonts w:ascii="Segoe UI Symbol" w:hAnsi="Segoe UI Symbol"/>
        </w:rPr>
        <w:t>das</w:t>
      </w:r>
      <w:r>
        <w:rPr>
          <w:rFonts w:ascii="Segoe UI Symbol" w:hAnsi="Segoe UI Symbol"/>
          <w:spacing w:val="13"/>
        </w:rPr>
        <w:t xml:space="preserve"> </w:t>
      </w:r>
      <w:r>
        <w:rPr>
          <w:rFonts w:ascii="Segoe UI Symbol" w:hAnsi="Segoe UI Symbol"/>
        </w:rPr>
        <w:t>Normas</w:t>
      </w:r>
      <w:r>
        <w:rPr>
          <w:rFonts w:ascii="Segoe UI Symbol" w:hAnsi="Segoe UI Symbol"/>
          <w:spacing w:val="9"/>
        </w:rPr>
        <w:t xml:space="preserve"> </w:t>
      </w:r>
      <w:r>
        <w:rPr>
          <w:rFonts w:ascii="Segoe UI Symbol" w:hAnsi="Segoe UI Symbol"/>
        </w:rPr>
        <w:t>Internacionais</w:t>
      </w:r>
      <w:r>
        <w:rPr>
          <w:rFonts w:ascii="Segoe UI Symbol" w:hAnsi="Segoe UI Symbol"/>
          <w:spacing w:val="10"/>
        </w:rPr>
        <w:t xml:space="preserve"> </w:t>
      </w:r>
      <w:r>
        <w:rPr>
          <w:rFonts w:ascii="Segoe UI Symbol" w:hAnsi="Segoe UI Symbol"/>
        </w:rPr>
        <w:t>de</w:t>
      </w:r>
      <w:r>
        <w:rPr>
          <w:rFonts w:ascii="Segoe UI Symbol" w:hAnsi="Segoe UI Symbol"/>
          <w:spacing w:val="11"/>
        </w:rPr>
        <w:t xml:space="preserve"> </w:t>
      </w:r>
      <w:r>
        <w:rPr>
          <w:rFonts w:ascii="Segoe UI Symbol" w:hAnsi="Segoe UI Symbol"/>
        </w:rPr>
        <w:t>Relatório</w:t>
      </w:r>
      <w:r>
        <w:rPr>
          <w:rFonts w:ascii="Segoe UI Symbol" w:hAnsi="Segoe UI Symbol"/>
          <w:spacing w:val="6"/>
        </w:rPr>
        <w:t xml:space="preserve"> </w:t>
      </w:r>
      <w:r>
        <w:rPr>
          <w:rFonts w:ascii="Segoe UI Symbol" w:hAnsi="Segoe UI Symbol"/>
          <w:spacing w:val="-2"/>
        </w:rPr>
        <w:t>Financeiro";</w:t>
      </w:r>
    </w:p>
    <w:p w14:paraId="7F6A0A45" w14:textId="77777777" w:rsidR="002C6574" w:rsidRDefault="00000000">
      <w:pPr>
        <w:pStyle w:val="PargrafodaLista"/>
        <w:numPr>
          <w:ilvl w:val="0"/>
          <w:numId w:val="49"/>
        </w:numPr>
        <w:tabs>
          <w:tab w:val="left" w:pos="438"/>
        </w:tabs>
        <w:spacing w:line="292" w:lineRule="exact"/>
        <w:ind w:left="438" w:hanging="295"/>
        <w:rPr>
          <w:rFonts w:ascii="Segoe UI Symbol" w:hAnsi="Segoe UI Symbol"/>
        </w:rPr>
      </w:pPr>
      <w:r>
        <w:rPr>
          <w:rFonts w:ascii="Segoe UI Symbol" w:hAnsi="Segoe UI Symbol"/>
        </w:rPr>
        <w:t>IFRS</w:t>
      </w:r>
      <w:r>
        <w:rPr>
          <w:rFonts w:ascii="Segoe UI Symbol" w:hAnsi="Segoe UI Symbol"/>
          <w:spacing w:val="12"/>
        </w:rPr>
        <w:t xml:space="preserve"> </w:t>
      </w:r>
      <w:r>
        <w:rPr>
          <w:rFonts w:ascii="Segoe UI Symbol" w:hAnsi="Segoe UI Symbol"/>
        </w:rPr>
        <w:t>7</w:t>
      </w:r>
      <w:r>
        <w:rPr>
          <w:rFonts w:ascii="Segoe UI Symbol" w:hAnsi="Segoe UI Symbol"/>
          <w:spacing w:val="15"/>
        </w:rPr>
        <w:t xml:space="preserve"> </w:t>
      </w:r>
      <w:r>
        <w:rPr>
          <w:rFonts w:ascii="Segoe UI Symbol" w:hAnsi="Segoe UI Symbol"/>
        </w:rPr>
        <w:t>-</w:t>
      </w:r>
      <w:r>
        <w:rPr>
          <w:rFonts w:ascii="Segoe UI Symbol" w:hAnsi="Segoe UI Symbol"/>
          <w:spacing w:val="17"/>
        </w:rPr>
        <w:t xml:space="preserve"> </w:t>
      </w:r>
      <w:r>
        <w:rPr>
          <w:rFonts w:ascii="Segoe UI Symbol" w:hAnsi="Segoe UI Symbol"/>
        </w:rPr>
        <w:t>"Instrumentos</w:t>
      </w:r>
      <w:r>
        <w:rPr>
          <w:rFonts w:ascii="Segoe UI Symbol" w:hAnsi="Segoe UI Symbol"/>
          <w:spacing w:val="18"/>
        </w:rPr>
        <w:t xml:space="preserve"> </w:t>
      </w:r>
      <w:r>
        <w:rPr>
          <w:rFonts w:ascii="Segoe UI Symbol" w:hAnsi="Segoe UI Symbol"/>
        </w:rPr>
        <w:t>Financeiros:</w:t>
      </w:r>
      <w:r>
        <w:rPr>
          <w:rFonts w:ascii="Segoe UI Symbol" w:hAnsi="Segoe UI Symbol"/>
          <w:spacing w:val="15"/>
        </w:rPr>
        <w:t xml:space="preserve"> </w:t>
      </w:r>
      <w:r>
        <w:rPr>
          <w:rFonts w:ascii="Segoe UI Symbol" w:hAnsi="Segoe UI Symbol"/>
        </w:rPr>
        <w:t>Divulgação</w:t>
      </w:r>
      <w:r>
        <w:rPr>
          <w:rFonts w:ascii="Segoe UI Symbol" w:hAnsi="Segoe UI Symbol"/>
          <w:spacing w:val="18"/>
        </w:rPr>
        <w:t xml:space="preserve"> </w:t>
      </w:r>
      <w:r>
        <w:rPr>
          <w:rFonts w:ascii="Segoe UI Symbol" w:hAnsi="Segoe UI Symbol"/>
        </w:rPr>
        <w:t>e</w:t>
      </w:r>
      <w:r>
        <w:rPr>
          <w:rFonts w:ascii="Segoe UI Symbol" w:hAnsi="Segoe UI Symbol"/>
          <w:spacing w:val="20"/>
        </w:rPr>
        <w:t xml:space="preserve"> </w:t>
      </w:r>
      <w:r>
        <w:rPr>
          <w:rFonts w:ascii="Segoe UI Symbol" w:hAnsi="Segoe UI Symbol"/>
        </w:rPr>
        <w:t>sua</w:t>
      </w:r>
      <w:r>
        <w:rPr>
          <w:rFonts w:ascii="Segoe UI Symbol" w:hAnsi="Segoe UI Symbol"/>
          <w:spacing w:val="13"/>
        </w:rPr>
        <w:t xml:space="preserve"> </w:t>
      </w:r>
      <w:r>
        <w:rPr>
          <w:rFonts w:ascii="Segoe UI Symbol" w:hAnsi="Segoe UI Symbol"/>
        </w:rPr>
        <w:t>Orientação</w:t>
      </w:r>
      <w:r>
        <w:rPr>
          <w:rFonts w:ascii="Segoe UI Symbol" w:hAnsi="Segoe UI Symbol"/>
          <w:spacing w:val="15"/>
        </w:rPr>
        <w:t xml:space="preserve"> </w:t>
      </w:r>
      <w:r>
        <w:rPr>
          <w:rFonts w:ascii="Segoe UI Symbol" w:hAnsi="Segoe UI Symbol"/>
        </w:rPr>
        <w:t>de</w:t>
      </w:r>
      <w:r>
        <w:rPr>
          <w:rFonts w:ascii="Segoe UI Symbol" w:hAnsi="Segoe UI Symbol"/>
          <w:spacing w:val="15"/>
        </w:rPr>
        <w:t xml:space="preserve"> </w:t>
      </w:r>
      <w:r>
        <w:rPr>
          <w:rFonts w:ascii="Segoe UI Symbol" w:hAnsi="Segoe UI Symbol"/>
        </w:rPr>
        <w:t>Implementação</w:t>
      </w:r>
      <w:r>
        <w:rPr>
          <w:rFonts w:ascii="Segoe UI Symbol" w:hAnsi="Segoe UI Symbol"/>
          <w:spacing w:val="18"/>
        </w:rPr>
        <w:t xml:space="preserve"> </w:t>
      </w:r>
      <w:r>
        <w:rPr>
          <w:rFonts w:ascii="Segoe UI Symbol" w:hAnsi="Segoe UI Symbol"/>
        </w:rPr>
        <w:t>do</w:t>
      </w:r>
      <w:r>
        <w:rPr>
          <w:rFonts w:ascii="Segoe UI Symbol" w:hAnsi="Segoe UI Symbol"/>
          <w:spacing w:val="15"/>
        </w:rPr>
        <w:t xml:space="preserve"> </w:t>
      </w:r>
      <w:r>
        <w:rPr>
          <w:rFonts w:ascii="Segoe UI Symbol" w:hAnsi="Segoe UI Symbol"/>
        </w:rPr>
        <w:t>IFRS</w:t>
      </w:r>
      <w:r>
        <w:rPr>
          <w:rFonts w:ascii="Segoe UI Symbol" w:hAnsi="Segoe UI Symbol"/>
          <w:spacing w:val="11"/>
        </w:rPr>
        <w:t xml:space="preserve"> </w:t>
      </w:r>
      <w:r>
        <w:rPr>
          <w:rFonts w:ascii="Segoe UI Symbol" w:hAnsi="Segoe UI Symbol"/>
          <w:spacing w:val="-5"/>
        </w:rPr>
        <w:t>7";</w:t>
      </w:r>
    </w:p>
    <w:p w14:paraId="221902DD" w14:textId="77777777" w:rsidR="002C6574" w:rsidRDefault="00000000">
      <w:pPr>
        <w:pStyle w:val="Corpodetexto"/>
        <w:spacing w:line="290" w:lineRule="exact"/>
        <w:ind w:left="143"/>
      </w:pPr>
      <w:r>
        <w:t>ii)</w:t>
      </w:r>
      <w:r>
        <w:rPr>
          <w:spacing w:val="52"/>
          <w:w w:val="150"/>
        </w:rPr>
        <w:t xml:space="preserve"> </w:t>
      </w:r>
      <w:r>
        <w:t>IFRS</w:t>
      </w:r>
      <w:r>
        <w:rPr>
          <w:spacing w:val="5"/>
        </w:rPr>
        <w:t xml:space="preserve"> </w:t>
      </w:r>
      <w:r>
        <w:t>9</w:t>
      </w:r>
      <w:r>
        <w:rPr>
          <w:spacing w:val="7"/>
        </w:rPr>
        <w:t xml:space="preserve"> </w:t>
      </w:r>
      <w:r>
        <w:t>-</w:t>
      </w:r>
      <w:r>
        <w:rPr>
          <w:spacing w:val="8"/>
        </w:rPr>
        <w:t xml:space="preserve"> </w:t>
      </w:r>
      <w:r>
        <w:t>"Instrumentos</w:t>
      </w:r>
      <w:r>
        <w:rPr>
          <w:spacing w:val="9"/>
        </w:rPr>
        <w:t xml:space="preserve"> </w:t>
      </w:r>
      <w:r>
        <w:rPr>
          <w:spacing w:val="-2"/>
        </w:rPr>
        <w:t>Financeiros";</w:t>
      </w:r>
    </w:p>
    <w:p w14:paraId="348F8D43" w14:textId="77777777" w:rsidR="002C6574" w:rsidRDefault="00000000">
      <w:pPr>
        <w:pStyle w:val="PargrafodaLista"/>
        <w:numPr>
          <w:ilvl w:val="0"/>
          <w:numId w:val="48"/>
        </w:numPr>
        <w:tabs>
          <w:tab w:val="left" w:pos="437"/>
        </w:tabs>
        <w:spacing w:line="290" w:lineRule="exact"/>
        <w:ind w:left="437" w:hanging="294"/>
        <w:rPr>
          <w:rFonts w:ascii="Segoe UI Symbol" w:hAnsi="Segoe UI Symbol"/>
        </w:rPr>
      </w:pPr>
      <w:r>
        <w:rPr>
          <w:rFonts w:ascii="Segoe UI Symbol" w:hAnsi="Segoe UI Symbol"/>
        </w:rPr>
        <w:t>IFRS</w:t>
      </w:r>
      <w:r>
        <w:rPr>
          <w:rFonts w:ascii="Segoe UI Symbol" w:hAnsi="Segoe UI Symbol"/>
          <w:spacing w:val="31"/>
        </w:rPr>
        <w:t xml:space="preserve"> </w:t>
      </w:r>
      <w:r>
        <w:rPr>
          <w:rFonts w:ascii="Segoe UI Symbol" w:hAnsi="Segoe UI Symbol"/>
        </w:rPr>
        <w:t>10</w:t>
      </w:r>
      <w:r>
        <w:rPr>
          <w:rFonts w:ascii="Segoe UI Symbol" w:hAnsi="Segoe UI Symbol"/>
          <w:spacing w:val="29"/>
        </w:rPr>
        <w:t xml:space="preserve"> </w:t>
      </w:r>
      <w:r>
        <w:rPr>
          <w:rFonts w:ascii="Segoe UI Symbol" w:hAnsi="Segoe UI Symbol"/>
        </w:rPr>
        <w:t>-</w:t>
      </w:r>
      <w:r>
        <w:rPr>
          <w:rFonts w:ascii="Segoe UI Symbol" w:hAnsi="Segoe UI Symbol"/>
          <w:spacing w:val="31"/>
        </w:rPr>
        <w:t xml:space="preserve"> </w:t>
      </w:r>
      <w:r>
        <w:rPr>
          <w:rFonts w:ascii="Segoe UI Symbol" w:hAnsi="Segoe UI Symbol"/>
        </w:rPr>
        <w:t>"Demonstrações</w:t>
      </w:r>
      <w:r>
        <w:rPr>
          <w:rFonts w:ascii="Segoe UI Symbol" w:hAnsi="Segoe UI Symbol"/>
          <w:spacing w:val="33"/>
        </w:rPr>
        <w:t xml:space="preserve"> </w:t>
      </w:r>
      <w:r>
        <w:rPr>
          <w:rFonts w:ascii="Segoe UI Symbol" w:hAnsi="Segoe UI Symbol"/>
        </w:rPr>
        <w:t>Financeiras</w:t>
      </w:r>
      <w:r>
        <w:rPr>
          <w:rFonts w:ascii="Segoe UI Symbol" w:hAnsi="Segoe UI Symbol"/>
          <w:spacing w:val="28"/>
        </w:rPr>
        <w:t xml:space="preserve"> </w:t>
      </w:r>
      <w:r>
        <w:rPr>
          <w:rFonts w:ascii="Segoe UI Symbol" w:hAnsi="Segoe UI Symbol"/>
        </w:rPr>
        <w:t>Consolidadas";</w:t>
      </w:r>
      <w:r>
        <w:rPr>
          <w:rFonts w:ascii="Segoe UI Symbol" w:hAnsi="Segoe UI Symbol"/>
          <w:spacing w:val="35"/>
        </w:rPr>
        <w:t xml:space="preserve"> </w:t>
      </w:r>
      <w:r>
        <w:rPr>
          <w:rFonts w:ascii="Segoe UI Symbol" w:hAnsi="Segoe UI Symbol"/>
          <w:spacing w:val="-10"/>
        </w:rPr>
        <w:t>e</w:t>
      </w:r>
    </w:p>
    <w:p w14:paraId="022B06EE" w14:textId="77777777" w:rsidR="002C6574" w:rsidRDefault="00000000">
      <w:pPr>
        <w:pStyle w:val="PargrafodaLista"/>
        <w:numPr>
          <w:ilvl w:val="0"/>
          <w:numId w:val="48"/>
        </w:numPr>
        <w:tabs>
          <w:tab w:val="left" w:pos="436"/>
        </w:tabs>
        <w:spacing w:before="1" w:line="237" w:lineRule="auto"/>
        <w:ind w:left="143" w:right="703" w:firstLine="0"/>
        <w:rPr>
          <w:rFonts w:ascii="Segoe UI Symbol" w:hAnsi="Segoe UI Symbol"/>
        </w:rPr>
      </w:pPr>
      <w:r>
        <w:rPr>
          <w:rFonts w:ascii="Segoe UI Symbol" w:hAnsi="Segoe UI Symbol"/>
        </w:rPr>
        <w:t>IAS 7 - "Demonstração dos Fluxos de Caixa". Vigência para períodos anuais iniciados em ou após 1º de janeiro de 2026.</w:t>
      </w:r>
    </w:p>
    <w:p w14:paraId="47B585CB" w14:textId="77777777" w:rsidR="002C6574" w:rsidRDefault="00000000">
      <w:pPr>
        <w:pStyle w:val="Corpodetexto"/>
        <w:spacing w:before="292"/>
        <w:ind w:left="143"/>
      </w:pPr>
      <w:r>
        <w:t>A</w:t>
      </w:r>
      <w:r>
        <w:rPr>
          <w:spacing w:val="3"/>
        </w:rPr>
        <w:t xml:space="preserve"> </w:t>
      </w:r>
      <w:r>
        <w:t>Companhia</w:t>
      </w:r>
      <w:r>
        <w:rPr>
          <w:spacing w:val="3"/>
        </w:rPr>
        <w:t xml:space="preserve"> </w:t>
      </w:r>
      <w:r>
        <w:t>não</w:t>
      </w:r>
      <w:r>
        <w:rPr>
          <w:spacing w:val="5"/>
        </w:rPr>
        <w:t xml:space="preserve"> </w:t>
      </w:r>
      <w:r>
        <w:t>espera</w:t>
      </w:r>
      <w:r>
        <w:rPr>
          <w:spacing w:val="3"/>
        </w:rPr>
        <w:t xml:space="preserve"> </w:t>
      </w:r>
      <w:r>
        <w:t>que</w:t>
      </w:r>
      <w:r>
        <w:rPr>
          <w:spacing w:val="5"/>
        </w:rPr>
        <w:t xml:space="preserve"> </w:t>
      </w:r>
      <w:r>
        <w:t>essas</w:t>
      </w:r>
      <w:r>
        <w:rPr>
          <w:spacing w:val="2"/>
        </w:rPr>
        <w:t xml:space="preserve"> </w:t>
      </w:r>
      <w:r>
        <w:t>alterações</w:t>
      </w:r>
      <w:r>
        <w:rPr>
          <w:spacing w:val="2"/>
        </w:rPr>
        <w:t xml:space="preserve"> </w:t>
      </w:r>
      <w:r>
        <w:t>tenham</w:t>
      </w:r>
      <w:r>
        <w:rPr>
          <w:spacing w:val="8"/>
        </w:rPr>
        <w:t xml:space="preserve"> </w:t>
      </w:r>
      <w:r>
        <w:t>impactos</w:t>
      </w:r>
      <w:r>
        <w:rPr>
          <w:spacing w:val="2"/>
        </w:rPr>
        <w:t xml:space="preserve"> </w:t>
      </w:r>
      <w:r>
        <w:t>em</w:t>
      </w:r>
      <w:r>
        <w:rPr>
          <w:spacing w:val="4"/>
        </w:rPr>
        <w:t xml:space="preserve"> </w:t>
      </w:r>
      <w:r>
        <w:t>suas</w:t>
      </w:r>
      <w:r>
        <w:rPr>
          <w:spacing w:val="5"/>
        </w:rPr>
        <w:t xml:space="preserve"> </w:t>
      </w:r>
      <w:r>
        <w:t>demonstrações</w:t>
      </w:r>
      <w:r>
        <w:rPr>
          <w:spacing w:val="5"/>
        </w:rPr>
        <w:t xml:space="preserve"> </w:t>
      </w:r>
      <w:r>
        <w:rPr>
          <w:spacing w:val="-2"/>
        </w:rPr>
        <w:t>contábeis.</w:t>
      </w:r>
    </w:p>
    <w:p w14:paraId="19DA9278" w14:textId="77777777" w:rsidR="002C6574" w:rsidRDefault="00000000">
      <w:pPr>
        <w:spacing w:before="274"/>
        <w:ind w:left="143" w:right="703"/>
        <w:jc w:val="both"/>
      </w:pPr>
      <w:r>
        <w:rPr>
          <w:rFonts w:ascii="Arial" w:hAnsi="Arial"/>
          <w:b/>
        </w:rPr>
        <w:t xml:space="preserve">Alterações ao IAS 21 - Tradução para uma Moeda de Apresentação Hiperinflacionária: </w:t>
      </w:r>
      <w:r>
        <w:t>Essas alterações de escopo restrito especificam os procedimentos de tradução para uma entidade cuja moeda</w:t>
      </w:r>
      <w:r>
        <w:rPr>
          <w:spacing w:val="3"/>
        </w:rPr>
        <w:t xml:space="preserve"> </w:t>
      </w:r>
      <w:r>
        <w:t>de</w:t>
      </w:r>
      <w:r>
        <w:rPr>
          <w:spacing w:val="3"/>
        </w:rPr>
        <w:t xml:space="preserve"> </w:t>
      </w:r>
      <w:r>
        <w:t>apresentação</w:t>
      </w:r>
      <w:r>
        <w:rPr>
          <w:spacing w:val="2"/>
        </w:rPr>
        <w:t xml:space="preserve"> </w:t>
      </w:r>
      <w:r>
        <w:t>é</w:t>
      </w:r>
      <w:r>
        <w:rPr>
          <w:spacing w:val="3"/>
        </w:rPr>
        <w:t xml:space="preserve"> </w:t>
      </w:r>
      <w:r>
        <w:t>a</w:t>
      </w:r>
      <w:r>
        <w:rPr>
          <w:spacing w:val="4"/>
        </w:rPr>
        <w:t xml:space="preserve"> </w:t>
      </w:r>
      <w:r>
        <w:t>de</w:t>
      </w:r>
      <w:r>
        <w:rPr>
          <w:spacing w:val="3"/>
        </w:rPr>
        <w:t xml:space="preserve"> </w:t>
      </w:r>
      <w:r>
        <w:t>uma</w:t>
      </w:r>
      <w:r>
        <w:rPr>
          <w:spacing w:val="4"/>
        </w:rPr>
        <w:t xml:space="preserve"> </w:t>
      </w:r>
      <w:r>
        <w:t>economia</w:t>
      </w:r>
      <w:r>
        <w:rPr>
          <w:spacing w:val="2"/>
        </w:rPr>
        <w:t xml:space="preserve"> </w:t>
      </w:r>
      <w:r>
        <w:t>hiperinflacionária.</w:t>
      </w:r>
      <w:r>
        <w:rPr>
          <w:spacing w:val="7"/>
        </w:rPr>
        <w:t xml:space="preserve"> </w:t>
      </w:r>
      <w:r>
        <w:t>A</w:t>
      </w:r>
      <w:r>
        <w:rPr>
          <w:spacing w:val="1"/>
        </w:rPr>
        <w:t xml:space="preserve"> </w:t>
      </w:r>
      <w:r>
        <w:t>entidade</w:t>
      </w:r>
      <w:r>
        <w:rPr>
          <w:spacing w:val="4"/>
        </w:rPr>
        <w:t xml:space="preserve"> </w:t>
      </w:r>
      <w:r>
        <w:t>aplica</w:t>
      </w:r>
      <w:r>
        <w:rPr>
          <w:spacing w:val="3"/>
        </w:rPr>
        <w:t xml:space="preserve"> </w:t>
      </w:r>
      <w:r>
        <w:t>as</w:t>
      </w:r>
      <w:r>
        <w:rPr>
          <w:spacing w:val="4"/>
        </w:rPr>
        <w:t xml:space="preserve"> </w:t>
      </w:r>
      <w:r>
        <w:t>alterações</w:t>
      </w:r>
      <w:r>
        <w:rPr>
          <w:spacing w:val="3"/>
        </w:rPr>
        <w:t xml:space="preserve"> </w:t>
      </w:r>
      <w:r>
        <w:rPr>
          <w:spacing w:val="-5"/>
        </w:rPr>
        <w:t>se:</w:t>
      </w:r>
    </w:p>
    <w:p w14:paraId="7131C847" w14:textId="77777777" w:rsidR="002C6574" w:rsidRDefault="00000000">
      <w:pPr>
        <w:pStyle w:val="PargrafodaLista"/>
        <w:numPr>
          <w:ilvl w:val="0"/>
          <w:numId w:val="47"/>
        </w:numPr>
        <w:tabs>
          <w:tab w:val="left" w:pos="342"/>
        </w:tabs>
        <w:spacing w:before="288" w:line="237" w:lineRule="auto"/>
        <w:ind w:right="707" w:firstLine="0"/>
        <w:rPr>
          <w:rFonts w:ascii="Segoe UI Symbol" w:hAnsi="Segoe UI Symbol"/>
        </w:rPr>
      </w:pPr>
      <w:r>
        <w:rPr>
          <w:rFonts w:ascii="Segoe UI Symbol" w:hAnsi="Segoe UI Symbol"/>
        </w:rPr>
        <w:t>Sua moeda funcional for a de uma economia não hiperinflacionária e ela estiver traduzindo seus</w:t>
      </w:r>
      <w:r>
        <w:rPr>
          <w:rFonts w:ascii="Segoe UI Symbol" w:hAnsi="Segoe UI Symbol"/>
          <w:spacing w:val="40"/>
        </w:rPr>
        <w:t xml:space="preserve"> </w:t>
      </w:r>
      <w:r>
        <w:rPr>
          <w:rFonts w:ascii="Segoe UI Symbol" w:hAnsi="Segoe UI Symbol"/>
        </w:rPr>
        <w:t>resultados e posição financeira para a moeda de uma economia hiperinflacionária; ou</w:t>
      </w:r>
    </w:p>
    <w:p w14:paraId="1DDD3EF6" w14:textId="77777777" w:rsidR="002C6574" w:rsidRDefault="002C6574">
      <w:pPr>
        <w:pStyle w:val="Corpodetexto"/>
        <w:spacing w:before="2"/>
      </w:pPr>
    </w:p>
    <w:p w14:paraId="4BC51DE3" w14:textId="77777777" w:rsidR="002C6574" w:rsidRDefault="00000000">
      <w:pPr>
        <w:pStyle w:val="PargrafodaLista"/>
        <w:numPr>
          <w:ilvl w:val="0"/>
          <w:numId w:val="47"/>
        </w:numPr>
        <w:tabs>
          <w:tab w:val="left" w:pos="393"/>
        </w:tabs>
        <w:spacing w:line="237" w:lineRule="auto"/>
        <w:ind w:right="704" w:firstLine="0"/>
        <w:jc w:val="both"/>
        <w:rPr>
          <w:rFonts w:ascii="Segoe UI Symbol" w:hAnsi="Segoe UI Symbol"/>
        </w:rPr>
      </w:pPr>
      <w:r>
        <w:rPr>
          <w:rFonts w:ascii="Segoe UI Symbol" w:hAnsi="Segoe UI Symbol"/>
        </w:rPr>
        <w:t xml:space="preserve">Estiver traduzindo para a moeda de uma economia hiperinflacionária os resultados e a posição financeira de uma operação no exterior cuja moeda funcional seja a de uma economia não </w:t>
      </w:r>
      <w:r>
        <w:rPr>
          <w:rFonts w:ascii="Segoe UI Symbol" w:hAnsi="Segoe UI Symbol"/>
          <w:spacing w:val="-2"/>
        </w:rPr>
        <w:t>hiperinflacionária.</w:t>
      </w:r>
    </w:p>
    <w:p w14:paraId="641861FB" w14:textId="77777777" w:rsidR="002C6574" w:rsidRDefault="00000000">
      <w:pPr>
        <w:pStyle w:val="Corpodetexto"/>
        <w:spacing w:before="290"/>
        <w:ind w:left="143" w:right="703"/>
        <w:jc w:val="both"/>
      </w:pPr>
      <w:r>
        <w:t>As alterações têm como objetivo melhorar a utilidade das informações resultantes de maneira eficiente em termos de custos. Desenvolvidas em resposta ao feedback de partes interessadas, espera-se que essas alterações reduzam a diversidade de práticas e proporcionem uma base mais clara para o reporte em moeda hiperinflacionária.</w:t>
      </w:r>
    </w:p>
    <w:p w14:paraId="1673D631" w14:textId="77777777" w:rsidR="002C6574" w:rsidRDefault="00000000">
      <w:pPr>
        <w:pStyle w:val="Corpodetexto"/>
        <w:spacing w:before="287"/>
        <w:ind w:left="143"/>
      </w:pPr>
      <w:r>
        <w:t>Vigência</w:t>
      </w:r>
      <w:r>
        <w:rPr>
          <w:spacing w:val="1"/>
        </w:rPr>
        <w:t xml:space="preserve"> </w:t>
      </w:r>
      <w:r>
        <w:t>é</w:t>
      </w:r>
      <w:r>
        <w:rPr>
          <w:spacing w:val="3"/>
        </w:rPr>
        <w:t xml:space="preserve"> </w:t>
      </w:r>
      <w:r>
        <w:t>para</w:t>
      </w:r>
      <w:r>
        <w:rPr>
          <w:spacing w:val="4"/>
        </w:rPr>
        <w:t xml:space="preserve"> </w:t>
      </w:r>
      <w:r>
        <w:t>períodos anuais</w:t>
      </w:r>
      <w:r>
        <w:rPr>
          <w:spacing w:val="3"/>
        </w:rPr>
        <w:t xml:space="preserve"> </w:t>
      </w:r>
      <w:r>
        <w:t>iniciados</w:t>
      </w:r>
      <w:r>
        <w:rPr>
          <w:spacing w:val="3"/>
        </w:rPr>
        <w:t xml:space="preserve"> </w:t>
      </w:r>
      <w:r>
        <w:t>em</w:t>
      </w:r>
      <w:r>
        <w:rPr>
          <w:spacing w:val="3"/>
        </w:rPr>
        <w:t xml:space="preserve"> </w:t>
      </w:r>
      <w:r>
        <w:t>ou</w:t>
      </w:r>
      <w:r>
        <w:rPr>
          <w:spacing w:val="1"/>
        </w:rPr>
        <w:t xml:space="preserve"> </w:t>
      </w:r>
      <w:r>
        <w:t>após</w:t>
      </w:r>
      <w:r>
        <w:rPr>
          <w:spacing w:val="6"/>
        </w:rPr>
        <w:t xml:space="preserve"> </w:t>
      </w:r>
      <w:r>
        <w:t>1º</w:t>
      </w:r>
      <w:r>
        <w:rPr>
          <w:spacing w:val="1"/>
        </w:rPr>
        <w:t xml:space="preserve"> </w:t>
      </w:r>
      <w:r>
        <w:t>de</w:t>
      </w:r>
      <w:r>
        <w:rPr>
          <w:spacing w:val="1"/>
        </w:rPr>
        <w:t xml:space="preserve"> </w:t>
      </w:r>
      <w:r>
        <w:t>janeiro</w:t>
      </w:r>
      <w:r>
        <w:rPr>
          <w:spacing w:val="2"/>
        </w:rPr>
        <w:t xml:space="preserve"> </w:t>
      </w:r>
      <w:r>
        <w:t>de</w:t>
      </w:r>
      <w:r>
        <w:rPr>
          <w:spacing w:val="3"/>
        </w:rPr>
        <w:t xml:space="preserve"> </w:t>
      </w:r>
      <w:r>
        <w:rPr>
          <w:spacing w:val="-2"/>
        </w:rPr>
        <w:t>2027.</w:t>
      </w:r>
    </w:p>
    <w:p w14:paraId="74ECE0E0" w14:textId="77777777" w:rsidR="002C6574" w:rsidRDefault="00000000">
      <w:pPr>
        <w:pStyle w:val="Corpodetexto"/>
        <w:spacing w:before="288"/>
        <w:ind w:left="143"/>
      </w:pPr>
      <w:r>
        <w:t>A</w:t>
      </w:r>
      <w:r>
        <w:rPr>
          <w:spacing w:val="3"/>
        </w:rPr>
        <w:t xml:space="preserve"> </w:t>
      </w:r>
      <w:r>
        <w:t>Companhia</w:t>
      </w:r>
      <w:r>
        <w:rPr>
          <w:spacing w:val="3"/>
        </w:rPr>
        <w:t xml:space="preserve"> </w:t>
      </w:r>
      <w:r>
        <w:t>não</w:t>
      </w:r>
      <w:r>
        <w:rPr>
          <w:spacing w:val="5"/>
        </w:rPr>
        <w:t xml:space="preserve"> </w:t>
      </w:r>
      <w:r>
        <w:t>espera</w:t>
      </w:r>
      <w:r>
        <w:rPr>
          <w:spacing w:val="3"/>
        </w:rPr>
        <w:t xml:space="preserve"> </w:t>
      </w:r>
      <w:r>
        <w:t>que</w:t>
      </w:r>
      <w:r>
        <w:rPr>
          <w:spacing w:val="5"/>
        </w:rPr>
        <w:t xml:space="preserve"> </w:t>
      </w:r>
      <w:r>
        <w:t>essas</w:t>
      </w:r>
      <w:r>
        <w:rPr>
          <w:spacing w:val="2"/>
        </w:rPr>
        <w:t xml:space="preserve"> </w:t>
      </w:r>
      <w:r>
        <w:t>alterações</w:t>
      </w:r>
      <w:r>
        <w:rPr>
          <w:spacing w:val="2"/>
        </w:rPr>
        <w:t xml:space="preserve"> </w:t>
      </w:r>
      <w:r>
        <w:t>tenham</w:t>
      </w:r>
      <w:r>
        <w:rPr>
          <w:spacing w:val="8"/>
        </w:rPr>
        <w:t xml:space="preserve"> </w:t>
      </w:r>
      <w:r>
        <w:t>impactos</w:t>
      </w:r>
      <w:r>
        <w:rPr>
          <w:spacing w:val="2"/>
        </w:rPr>
        <w:t xml:space="preserve"> </w:t>
      </w:r>
      <w:r>
        <w:t>em</w:t>
      </w:r>
      <w:r>
        <w:rPr>
          <w:spacing w:val="4"/>
        </w:rPr>
        <w:t xml:space="preserve"> </w:t>
      </w:r>
      <w:r>
        <w:t>suas</w:t>
      </w:r>
      <w:r>
        <w:rPr>
          <w:spacing w:val="5"/>
        </w:rPr>
        <w:t xml:space="preserve"> </w:t>
      </w:r>
      <w:r>
        <w:t>demonstrações</w:t>
      </w:r>
      <w:r>
        <w:rPr>
          <w:spacing w:val="5"/>
        </w:rPr>
        <w:t xml:space="preserve"> </w:t>
      </w:r>
      <w:r>
        <w:rPr>
          <w:spacing w:val="-2"/>
        </w:rPr>
        <w:t>contábeis.</w:t>
      </w:r>
    </w:p>
    <w:p w14:paraId="3E7BF1BA" w14:textId="77777777" w:rsidR="002C6574" w:rsidRDefault="002C6574">
      <w:pPr>
        <w:pStyle w:val="Corpodetexto"/>
        <w:spacing w:before="26"/>
      </w:pPr>
    </w:p>
    <w:p w14:paraId="33F54C41" w14:textId="77777777" w:rsidR="002C6574" w:rsidRDefault="00000000">
      <w:pPr>
        <w:ind w:left="143" w:right="703"/>
        <w:jc w:val="both"/>
      </w:pPr>
      <w:r>
        <w:rPr>
          <w:rFonts w:ascii="Arial" w:hAnsi="Arial"/>
          <w:b/>
        </w:rPr>
        <w:t xml:space="preserve">Alterações aos Exemplos Ilustrativos sobre IFRS 7, IFRS 18, IAS 1, IAS 8, IAS 36 e IAS 37 - "Divulgação de Incertezas nas Demonstrações Contábeis": </w:t>
      </w:r>
      <w:r>
        <w:t>Essas alterações incluem exemplos que ilustram como uma entidade pode aplicar os requisitos das normas contábeis internacionais (IFRS Accounting Standards) para divulgar os efeitos de incertezas em suas demonstrações</w:t>
      </w:r>
      <w:r>
        <w:rPr>
          <w:spacing w:val="40"/>
        </w:rPr>
        <w:t xml:space="preserve"> </w:t>
      </w:r>
      <w:r>
        <w:rPr>
          <w:spacing w:val="-2"/>
        </w:rPr>
        <w:t>contábeis.</w:t>
      </w:r>
    </w:p>
    <w:p w14:paraId="647B31BA" w14:textId="77777777" w:rsidR="002C6574" w:rsidRDefault="002C6574">
      <w:pPr>
        <w:pStyle w:val="Corpodetexto"/>
        <w:spacing w:before="3"/>
      </w:pPr>
    </w:p>
    <w:p w14:paraId="652F9DC9" w14:textId="77777777" w:rsidR="002C6574" w:rsidRDefault="00000000">
      <w:pPr>
        <w:pStyle w:val="Corpodetexto"/>
        <w:spacing w:line="237" w:lineRule="auto"/>
        <w:ind w:left="143" w:right="702"/>
        <w:jc w:val="both"/>
      </w:pPr>
      <w:r>
        <w:t>Os exemplos demonstram como divulgar os impactos de incertezas em cenários relacionados ao clima, mas os princípios e requisitos também são aplicáveis à divulgação de outras incertezas. Os exemplos não acrescentam nem alteram exigências das normas contábeis internacionais (IFRS Accounting</w:t>
      </w:r>
      <w:r>
        <w:rPr>
          <w:spacing w:val="29"/>
        </w:rPr>
        <w:t xml:space="preserve"> </w:t>
      </w:r>
      <w:r>
        <w:t>Standards)</w:t>
      </w:r>
      <w:r>
        <w:rPr>
          <w:spacing w:val="29"/>
        </w:rPr>
        <w:t xml:space="preserve"> </w:t>
      </w:r>
      <w:r>
        <w:t>e,</w:t>
      </w:r>
      <w:r>
        <w:rPr>
          <w:spacing w:val="31"/>
        </w:rPr>
        <w:t xml:space="preserve"> </w:t>
      </w:r>
      <w:r>
        <w:t>portanto,</w:t>
      </w:r>
      <w:r>
        <w:rPr>
          <w:spacing w:val="29"/>
        </w:rPr>
        <w:t xml:space="preserve"> </w:t>
      </w:r>
      <w:r>
        <w:t>não</w:t>
      </w:r>
      <w:r>
        <w:rPr>
          <w:spacing w:val="30"/>
        </w:rPr>
        <w:t xml:space="preserve"> </w:t>
      </w:r>
      <w:r>
        <w:t>há</w:t>
      </w:r>
      <w:r>
        <w:rPr>
          <w:spacing w:val="27"/>
        </w:rPr>
        <w:t xml:space="preserve"> </w:t>
      </w:r>
      <w:r>
        <w:t>requisitos</w:t>
      </w:r>
      <w:r>
        <w:rPr>
          <w:spacing w:val="29"/>
        </w:rPr>
        <w:t xml:space="preserve"> </w:t>
      </w:r>
      <w:r>
        <w:t>de transição.</w:t>
      </w:r>
      <w:r>
        <w:rPr>
          <w:spacing w:val="30"/>
        </w:rPr>
        <w:t xml:space="preserve"> </w:t>
      </w:r>
      <w:r>
        <w:t>Em</w:t>
      </w:r>
      <w:r>
        <w:rPr>
          <w:spacing w:val="27"/>
        </w:rPr>
        <w:t xml:space="preserve"> </w:t>
      </w:r>
      <w:r>
        <w:t>vez disso,</w:t>
      </w:r>
      <w:r>
        <w:rPr>
          <w:spacing w:val="30"/>
        </w:rPr>
        <w:t xml:space="preserve"> </w:t>
      </w:r>
      <w:r>
        <w:t>esses exemplos</w:t>
      </w:r>
    </w:p>
    <w:p w14:paraId="6EC51377" w14:textId="77777777" w:rsidR="002C6574" w:rsidRDefault="002C6574">
      <w:pPr>
        <w:pStyle w:val="Corpodetexto"/>
        <w:spacing w:line="237" w:lineRule="auto"/>
        <w:jc w:val="both"/>
        <w:sectPr w:rsidR="002C6574">
          <w:pgSz w:w="11910" w:h="16840"/>
          <w:pgMar w:top="1600" w:right="141" w:bottom="1380" w:left="1133" w:header="856" w:footer="1113" w:gutter="0"/>
          <w:cols w:space="720"/>
        </w:sectPr>
      </w:pPr>
    </w:p>
    <w:p w14:paraId="1988A834" w14:textId="77777777" w:rsidR="002C6574" w:rsidRDefault="00000000">
      <w:pPr>
        <w:pStyle w:val="Corpodetexto"/>
        <w:spacing w:before="200" w:line="237" w:lineRule="auto"/>
        <w:ind w:left="143" w:right="706"/>
        <w:jc w:val="both"/>
      </w:pPr>
      <w:r>
        <w:rPr>
          <w:w w:val="105"/>
        </w:rPr>
        <w:lastRenderedPageBreak/>
        <w:t>acompanharão as respectivas normas contábeis internacionais (IFRS Accounting Standards) às quais estão relacionados.</w:t>
      </w:r>
    </w:p>
    <w:p w14:paraId="2AA9A2FE" w14:textId="77777777" w:rsidR="002C6574" w:rsidRDefault="002C6574">
      <w:pPr>
        <w:pStyle w:val="Corpodetexto"/>
        <w:spacing w:before="2"/>
      </w:pPr>
    </w:p>
    <w:p w14:paraId="48DEA46B" w14:textId="77777777" w:rsidR="002C6574" w:rsidRDefault="00000000">
      <w:pPr>
        <w:pStyle w:val="Corpodetexto"/>
        <w:spacing w:line="237" w:lineRule="auto"/>
        <w:ind w:left="143" w:right="703"/>
        <w:jc w:val="both"/>
      </w:pPr>
      <w:r>
        <w:t>Não se espera que essas novas normas e alterações de normas tenham impacto significativo sobre</w:t>
      </w:r>
      <w:r>
        <w:rPr>
          <w:spacing w:val="40"/>
        </w:rPr>
        <w:t xml:space="preserve"> </w:t>
      </w:r>
      <w:r>
        <w:t>as demonstrações contábeis a Companhia.</w:t>
      </w:r>
    </w:p>
    <w:p w14:paraId="205674EA" w14:textId="77777777" w:rsidR="002C6574" w:rsidRDefault="002C6574">
      <w:pPr>
        <w:pStyle w:val="Corpodetexto"/>
        <w:spacing w:before="1"/>
      </w:pPr>
    </w:p>
    <w:p w14:paraId="2FCFF8E5" w14:textId="77777777" w:rsidR="002C6574" w:rsidRDefault="00000000">
      <w:pPr>
        <w:pStyle w:val="Corpodetexto"/>
        <w:spacing w:line="237" w:lineRule="auto"/>
        <w:ind w:left="143" w:right="702"/>
        <w:jc w:val="both"/>
      </w:pPr>
      <w:r>
        <w:t>Não há outras normas contábeis internacionais (IFRS Accounting Standards) ou interpretações IFRIC que ainda não entraram em vigor que poderiam ter impacto significativo sobre as demonstrações contábeis da Companhia.</w:t>
      </w:r>
    </w:p>
    <w:p w14:paraId="588C3265" w14:textId="77777777" w:rsidR="002C6574" w:rsidRDefault="002C6574">
      <w:pPr>
        <w:pStyle w:val="Corpodetexto"/>
        <w:spacing w:before="29"/>
      </w:pPr>
    </w:p>
    <w:p w14:paraId="1576384B" w14:textId="77777777" w:rsidR="002C6574" w:rsidRDefault="00000000">
      <w:pPr>
        <w:numPr>
          <w:ilvl w:val="0"/>
          <w:numId w:val="54"/>
        </w:numPr>
        <w:tabs>
          <w:tab w:val="left" w:pos="644"/>
        </w:tabs>
        <w:ind w:left="644" w:hanging="501"/>
        <w:rPr>
          <w:rFonts w:ascii="Arial" w:hAnsi="Arial"/>
          <w:b/>
        </w:rPr>
      </w:pPr>
      <w:r>
        <w:rPr>
          <w:rFonts w:ascii="Arial" w:hAnsi="Arial"/>
          <w:b/>
        </w:rPr>
        <w:t>GESTÃO</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rPr>
        <w:t>RISCO</w:t>
      </w:r>
      <w:r>
        <w:rPr>
          <w:rFonts w:ascii="Arial" w:hAnsi="Arial"/>
          <w:b/>
          <w:spacing w:val="-5"/>
        </w:rPr>
        <w:t xml:space="preserve"> </w:t>
      </w:r>
      <w:r>
        <w:rPr>
          <w:rFonts w:ascii="Arial" w:hAnsi="Arial"/>
          <w:b/>
        </w:rPr>
        <w:t>E</w:t>
      </w:r>
      <w:r>
        <w:rPr>
          <w:rFonts w:ascii="Arial" w:hAnsi="Arial"/>
          <w:b/>
          <w:spacing w:val="-6"/>
        </w:rPr>
        <w:t xml:space="preserve"> </w:t>
      </w:r>
      <w:r>
        <w:rPr>
          <w:rFonts w:ascii="Arial" w:hAnsi="Arial"/>
          <w:b/>
        </w:rPr>
        <w:t>INSTRUMENTOS</w:t>
      </w:r>
      <w:r>
        <w:rPr>
          <w:rFonts w:ascii="Arial" w:hAnsi="Arial"/>
          <w:b/>
          <w:spacing w:val="-4"/>
        </w:rPr>
        <w:t xml:space="preserve"> </w:t>
      </w:r>
      <w:r>
        <w:rPr>
          <w:rFonts w:ascii="Arial" w:hAnsi="Arial"/>
          <w:b/>
          <w:spacing w:val="-2"/>
        </w:rPr>
        <w:t>FINANCEIROS</w:t>
      </w:r>
    </w:p>
    <w:p w14:paraId="735A426D" w14:textId="77777777" w:rsidR="002C6574" w:rsidRDefault="00000000">
      <w:pPr>
        <w:numPr>
          <w:ilvl w:val="1"/>
          <w:numId w:val="46"/>
        </w:numPr>
        <w:tabs>
          <w:tab w:val="left" w:pos="996"/>
        </w:tabs>
        <w:spacing w:before="225"/>
        <w:rPr>
          <w:rFonts w:ascii="Arial"/>
          <w:b/>
        </w:rPr>
      </w:pPr>
      <w:r>
        <w:rPr>
          <w:rFonts w:ascii="Arial"/>
          <w:b/>
        </w:rPr>
        <w:t>Fatores</w:t>
      </w:r>
      <w:r>
        <w:rPr>
          <w:rFonts w:ascii="Arial"/>
          <w:b/>
          <w:spacing w:val="-2"/>
        </w:rPr>
        <w:t xml:space="preserve"> </w:t>
      </w:r>
      <w:r>
        <w:rPr>
          <w:rFonts w:ascii="Arial"/>
          <w:b/>
        </w:rPr>
        <w:t>de</w:t>
      </w:r>
      <w:r>
        <w:rPr>
          <w:rFonts w:ascii="Arial"/>
          <w:b/>
          <w:spacing w:val="-3"/>
        </w:rPr>
        <w:t xml:space="preserve"> </w:t>
      </w:r>
      <w:r>
        <w:rPr>
          <w:rFonts w:ascii="Arial"/>
          <w:b/>
          <w:spacing w:val="-2"/>
        </w:rPr>
        <w:t>risco</w:t>
      </w:r>
    </w:p>
    <w:p w14:paraId="68B33DBD" w14:textId="77777777" w:rsidR="002C6574" w:rsidRDefault="002C6574">
      <w:pPr>
        <w:pStyle w:val="Corpodetexto"/>
        <w:spacing w:before="70"/>
        <w:rPr>
          <w:rFonts w:ascii="Arial"/>
          <w:b/>
        </w:rPr>
      </w:pPr>
    </w:p>
    <w:p w14:paraId="3F547C76" w14:textId="77777777" w:rsidR="002C6574" w:rsidRDefault="00000000">
      <w:pPr>
        <w:pStyle w:val="Corpodetexto"/>
        <w:ind w:left="146" w:right="703" w:hanging="3"/>
        <w:jc w:val="both"/>
      </w:pPr>
      <w:r>
        <w:t>A administração tem total responsabilidade pelo estabelecimento e a supervisão da estrutura de gerenciamento</w:t>
      </w:r>
      <w:r>
        <w:rPr>
          <w:spacing w:val="40"/>
        </w:rPr>
        <w:t xml:space="preserve"> </w:t>
      </w:r>
      <w:r>
        <w:t>de</w:t>
      </w:r>
      <w:r>
        <w:rPr>
          <w:spacing w:val="40"/>
        </w:rPr>
        <w:t xml:space="preserve"> </w:t>
      </w:r>
      <w:r>
        <w:t>seus</w:t>
      </w:r>
      <w:r>
        <w:rPr>
          <w:spacing w:val="40"/>
        </w:rPr>
        <w:t xml:space="preserve"> </w:t>
      </w:r>
      <w:r>
        <w:t>riscos,</w:t>
      </w:r>
      <w:r>
        <w:rPr>
          <w:spacing w:val="40"/>
        </w:rPr>
        <w:t xml:space="preserve"> </w:t>
      </w:r>
      <w:r>
        <w:t>observando,</w:t>
      </w:r>
      <w:r>
        <w:rPr>
          <w:spacing w:val="40"/>
        </w:rPr>
        <w:t xml:space="preserve"> </w:t>
      </w:r>
      <w:r>
        <w:t>para</w:t>
      </w:r>
      <w:r>
        <w:rPr>
          <w:spacing w:val="40"/>
        </w:rPr>
        <w:t xml:space="preserve"> </w:t>
      </w:r>
      <w:r>
        <w:t>tanto,</w:t>
      </w:r>
      <w:r>
        <w:rPr>
          <w:spacing w:val="40"/>
        </w:rPr>
        <w:t xml:space="preserve"> </w:t>
      </w:r>
      <w:r>
        <w:t>as</w:t>
      </w:r>
      <w:r>
        <w:rPr>
          <w:spacing w:val="40"/>
        </w:rPr>
        <w:t xml:space="preserve"> </w:t>
      </w:r>
      <w:r>
        <w:t>avaliações</w:t>
      </w:r>
      <w:r>
        <w:rPr>
          <w:spacing w:val="40"/>
        </w:rPr>
        <w:t xml:space="preserve"> </w:t>
      </w:r>
      <w:r>
        <w:t>técnicas</w:t>
      </w:r>
      <w:r>
        <w:rPr>
          <w:spacing w:val="40"/>
        </w:rPr>
        <w:t xml:space="preserve"> </w:t>
      </w:r>
      <w:r>
        <w:t>corporativas realizadas pela Companhia.</w:t>
      </w:r>
    </w:p>
    <w:p w14:paraId="27379DED" w14:textId="77777777" w:rsidR="002C6574" w:rsidRDefault="00000000">
      <w:pPr>
        <w:pStyle w:val="Corpodetexto"/>
        <w:spacing w:before="183" w:line="237" w:lineRule="auto"/>
        <w:ind w:left="143" w:right="702"/>
        <w:jc w:val="both"/>
      </w:pPr>
      <w:r>
        <w:t>As políticas de gerenciamento de risco são estabelecidas para dar previsibilidade a eventuais riscos, objetivando definir limites e controles apropriados, de forma a propiciar monitoração permanente e aderência aos limites operativos estabelecidos a cada empresa. A administração busca,</w:t>
      </w:r>
      <w:r>
        <w:rPr>
          <w:spacing w:val="80"/>
        </w:rPr>
        <w:t xml:space="preserve"> </w:t>
      </w:r>
      <w:r>
        <w:t>efetivamente, a previsibilidade com vistas ao acompanhamento de operações que porventura possam comprometer a liquidez e a rentabilidade da Companhia.</w:t>
      </w:r>
    </w:p>
    <w:p w14:paraId="1BB24585" w14:textId="77777777" w:rsidR="002C6574" w:rsidRDefault="00000000">
      <w:pPr>
        <w:pStyle w:val="Corpodetexto"/>
        <w:spacing w:before="188"/>
        <w:ind w:left="143" w:right="703"/>
        <w:jc w:val="both"/>
      </w:pPr>
      <w:r>
        <w:rPr>
          <w:w w:val="105"/>
        </w:rPr>
        <w:t>Essa</w:t>
      </w:r>
      <w:r>
        <w:rPr>
          <w:spacing w:val="-7"/>
          <w:w w:val="105"/>
        </w:rPr>
        <w:t xml:space="preserve"> </w:t>
      </w:r>
      <w:r>
        <w:rPr>
          <w:w w:val="105"/>
        </w:rPr>
        <w:t>política</w:t>
      </w:r>
      <w:r>
        <w:rPr>
          <w:spacing w:val="-9"/>
          <w:w w:val="105"/>
        </w:rPr>
        <w:t xml:space="preserve"> </w:t>
      </w:r>
      <w:r>
        <w:rPr>
          <w:w w:val="105"/>
        </w:rPr>
        <w:t>trata</w:t>
      </w:r>
      <w:r>
        <w:rPr>
          <w:spacing w:val="-8"/>
          <w:w w:val="105"/>
        </w:rPr>
        <w:t xml:space="preserve"> </w:t>
      </w:r>
      <w:r>
        <w:rPr>
          <w:w w:val="105"/>
        </w:rPr>
        <w:t>da</w:t>
      </w:r>
      <w:r>
        <w:rPr>
          <w:spacing w:val="-9"/>
          <w:w w:val="105"/>
        </w:rPr>
        <w:t xml:space="preserve"> </w:t>
      </w:r>
      <w:r>
        <w:rPr>
          <w:w w:val="105"/>
        </w:rPr>
        <w:t>revisão</w:t>
      </w:r>
      <w:r>
        <w:rPr>
          <w:spacing w:val="-7"/>
          <w:w w:val="105"/>
        </w:rPr>
        <w:t xml:space="preserve"> </w:t>
      </w:r>
      <w:r>
        <w:rPr>
          <w:w w:val="105"/>
        </w:rPr>
        <w:t>periódica</w:t>
      </w:r>
      <w:r>
        <w:rPr>
          <w:spacing w:val="-7"/>
          <w:w w:val="105"/>
        </w:rPr>
        <w:t xml:space="preserve"> </w:t>
      </w:r>
      <w:r>
        <w:rPr>
          <w:w w:val="105"/>
        </w:rPr>
        <w:t>dos</w:t>
      </w:r>
      <w:r>
        <w:rPr>
          <w:spacing w:val="-7"/>
          <w:w w:val="105"/>
        </w:rPr>
        <w:t xml:space="preserve"> </w:t>
      </w:r>
      <w:r>
        <w:rPr>
          <w:w w:val="105"/>
        </w:rPr>
        <w:t>riscos</w:t>
      </w:r>
      <w:r>
        <w:rPr>
          <w:spacing w:val="-7"/>
          <w:w w:val="105"/>
        </w:rPr>
        <w:t xml:space="preserve"> </w:t>
      </w:r>
      <w:r>
        <w:rPr>
          <w:w w:val="105"/>
        </w:rPr>
        <w:t>financeiros</w:t>
      </w:r>
      <w:r>
        <w:rPr>
          <w:spacing w:val="-9"/>
          <w:w w:val="105"/>
        </w:rPr>
        <w:t xml:space="preserve"> </w:t>
      </w:r>
      <w:r>
        <w:rPr>
          <w:w w:val="105"/>
        </w:rPr>
        <w:t>associados</w:t>
      </w:r>
      <w:r>
        <w:rPr>
          <w:spacing w:val="-9"/>
          <w:w w:val="105"/>
        </w:rPr>
        <w:t xml:space="preserve"> </w:t>
      </w:r>
      <w:r>
        <w:rPr>
          <w:w w:val="105"/>
        </w:rPr>
        <w:t>às</w:t>
      </w:r>
      <w:r>
        <w:rPr>
          <w:spacing w:val="-7"/>
          <w:w w:val="105"/>
        </w:rPr>
        <w:t xml:space="preserve"> </w:t>
      </w:r>
      <w:r>
        <w:rPr>
          <w:w w:val="105"/>
        </w:rPr>
        <w:t>captações,</w:t>
      </w:r>
      <w:r>
        <w:rPr>
          <w:spacing w:val="-7"/>
          <w:w w:val="105"/>
        </w:rPr>
        <w:t xml:space="preserve"> </w:t>
      </w:r>
      <w:r>
        <w:rPr>
          <w:w w:val="105"/>
        </w:rPr>
        <w:t>de</w:t>
      </w:r>
      <w:r>
        <w:rPr>
          <w:spacing w:val="-8"/>
          <w:w w:val="105"/>
        </w:rPr>
        <w:t xml:space="preserve"> </w:t>
      </w:r>
      <w:r>
        <w:rPr>
          <w:w w:val="105"/>
        </w:rPr>
        <w:t>modo</w:t>
      </w:r>
      <w:r>
        <w:rPr>
          <w:spacing w:val="-12"/>
          <w:w w:val="105"/>
        </w:rPr>
        <w:t xml:space="preserve"> </w:t>
      </w:r>
      <w:r>
        <w:rPr>
          <w:w w:val="105"/>
        </w:rPr>
        <w:t xml:space="preserve">a antecipar eventuais mudanças nas condições de mercado e seus reflexos nas atividades da </w:t>
      </w:r>
      <w:r>
        <w:rPr>
          <w:spacing w:val="-2"/>
          <w:w w:val="105"/>
        </w:rPr>
        <w:t>Companhia.</w:t>
      </w:r>
    </w:p>
    <w:p w14:paraId="2121D08A" w14:textId="77777777" w:rsidR="002C6574" w:rsidRDefault="00000000">
      <w:pPr>
        <w:pStyle w:val="Corpodetexto"/>
        <w:spacing w:before="207"/>
        <w:ind w:left="143" w:right="704"/>
        <w:jc w:val="both"/>
      </w:pPr>
      <w:r>
        <w:t>A</w:t>
      </w:r>
      <w:r>
        <w:rPr>
          <w:spacing w:val="-5"/>
        </w:rPr>
        <w:t xml:space="preserve"> </w:t>
      </w:r>
      <w:r>
        <w:t>Companhia</w:t>
      </w:r>
      <w:r>
        <w:rPr>
          <w:spacing w:val="-7"/>
        </w:rPr>
        <w:t xml:space="preserve"> </w:t>
      </w:r>
      <w:r>
        <w:t>mantém</w:t>
      </w:r>
      <w:r>
        <w:rPr>
          <w:spacing w:val="-5"/>
        </w:rPr>
        <w:t xml:space="preserve"> </w:t>
      </w:r>
      <w:r>
        <w:t>operações</w:t>
      </w:r>
      <w:r>
        <w:rPr>
          <w:spacing w:val="-5"/>
        </w:rPr>
        <w:t xml:space="preserve"> </w:t>
      </w:r>
      <w:r>
        <w:t>com</w:t>
      </w:r>
      <w:r>
        <w:rPr>
          <w:spacing w:val="-2"/>
        </w:rPr>
        <w:t xml:space="preserve"> </w:t>
      </w:r>
      <w:r>
        <w:t>instrumentos</w:t>
      </w:r>
      <w:r>
        <w:rPr>
          <w:spacing w:val="-2"/>
        </w:rPr>
        <w:t xml:space="preserve"> </w:t>
      </w:r>
      <w:r>
        <w:t>financeiros,</w:t>
      </w:r>
      <w:r>
        <w:rPr>
          <w:spacing w:val="-5"/>
        </w:rPr>
        <w:t xml:space="preserve"> </w:t>
      </w:r>
      <w:r>
        <w:t>cujos</w:t>
      </w:r>
      <w:r>
        <w:rPr>
          <w:spacing w:val="-2"/>
        </w:rPr>
        <w:t xml:space="preserve"> </w:t>
      </w:r>
      <w:r>
        <w:t>limites</w:t>
      </w:r>
      <w:r>
        <w:rPr>
          <w:spacing w:val="-2"/>
        </w:rPr>
        <w:t xml:space="preserve"> </w:t>
      </w:r>
      <w:r>
        <w:t>de</w:t>
      </w:r>
      <w:r>
        <w:rPr>
          <w:spacing w:val="-7"/>
        </w:rPr>
        <w:t xml:space="preserve"> </w:t>
      </w:r>
      <w:r>
        <w:t>exposição</w:t>
      </w:r>
      <w:r>
        <w:rPr>
          <w:spacing w:val="-2"/>
        </w:rPr>
        <w:t xml:space="preserve"> </w:t>
      </w:r>
      <w:r>
        <w:t>aos</w:t>
      </w:r>
      <w:r>
        <w:rPr>
          <w:spacing w:val="-7"/>
        </w:rPr>
        <w:t xml:space="preserve"> </w:t>
      </w:r>
      <w:r>
        <w:t>riscos de crédito são aprovados e revisados periodicamente pela Administração. Todos são inerentes à atividade operacional da Companhia, que não opera com instrumentos financeiros derivativos.</w:t>
      </w:r>
    </w:p>
    <w:p w14:paraId="294A1414" w14:textId="77777777" w:rsidR="002C6574" w:rsidRDefault="00000000">
      <w:pPr>
        <w:numPr>
          <w:ilvl w:val="2"/>
          <w:numId w:val="46"/>
        </w:numPr>
        <w:tabs>
          <w:tab w:val="left" w:pos="847"/>
        </w:tabs>
        <w:spacing w:before="212"/>
        <w:ind w:left="847" w:hanging="704"/>
        <w:rPr>
          <w:rFonts w:ascii="Arial" w:hAnsi="Arial"/>
          <w:b/>
        </w:rPr>
      </w:pPr>
      <w:r>
        <w:rPr>
          <w:rFonts w:ascii="Arial" w:hAnsi="Arial"/>
          <w:b/>
        </w:rPr>
        <w:t>Gestão</w:t>
      </w:r>
      <w:r>
        <w:rPr>
          <w:rFonts w:ascii="Arial" w:hAnsi="Arial"/>
          <w:b/>
          <w:spacing w:val="-4"/>
        </w:rPr>
        <w:t xml:space="preserve"> </w:t>
      </w:r>
      <w:r>
        <w:rPr>
          <w:rFonts w:ascii="Arial" w:hAnsi="Arial"/>
          <w:b/>
        </w:rPr>
        <w:t xml:space="preserve">de </w:t>
      </w:r>
      <w:r>
        <w:rPr>
          <w:rFonts w:ascii="Arial" w:hAnsi="Arial"/>
          <w:b/>
          <w:spacing w:val="-2"/>
        </w:rPr>
        <w:t>capital</w:t>
      </w:r>
    </w:p>
    <w:p w14:paraId="19F103DB" w14:textId="77777777" w:rsidR="002C6574" w:rsidRDefault="002C6574">
      <w:pPr>
        <w:pStyle w:val="Corpodetexto"/>
        <w:spacing w:before="70"/>
        <w:rPr>
          <w:rFonts w:ascii="Arial"/>
          <w:b/>
        </w:rPr>
      </w:pPr>
    </w:p>
    <w:p w14:paraId="4E2DB210" w14:textId="77777777" w:rsidR="002C6574" w:rsidRDefault="00000000">
      <w:pPr>
        <w:pStyle w:val="Corpodetexto"/>
        <w:ind w:left="143" w:right="702"/>
        <w:jc w:val="both"/>
      </w:pPr>
      <w:r>
        <w:t>Ao administrar seu capital, a Companhia busca salvaguardar a capacidade de continuidade para oferecer retorno aos acionistas e benefícios às outras partes interessadas, monitorando os níveis de capital de giro líquido.</w:t>
      </w:r>
    </w:p>
    <w:p w14:paraId="4A14F0EB" w14:textId="77777777" w:rsidR="002C6574" w:rsidRDefault="00000000">
      <w:pPr>
        <w:numPr>
          <w:ilvl w:val="2"/>
          <w:numId w:val="46"/>
        </w:numPr>
        <w:tabs>
          <w:tab w:val="left" w:pos="847"/>
        </w:tabs>
        <w:spacing w:before="212"/>
        <w:ind w:left="847" w:hanging="704"/>
        <w:rPr>
          <w:rFonts w:ascii="Arial" w:hAnsi="Arial"/>
          <w:b/>
        </w:rPr>
      </w:pPr>
      <w:r>
        <w:rPr>
          <w:rFonts w:ascii="Arial" w:hAnsi="Arial"/>
          <w:b/>
        </w:rPr>
        <w:t>Risco</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spacing w:val="-2"/>
        </w:rPr>
        <w:t>crédito</w:t>
      </w:r>
    </w:p>
    <w:p w14:paraId="206B50CC" w14:textId="77777777" w:rsidR="002C6574" w:rsidRDefault="002C6574">
      <w:pPr>
        <w:pStyle w:val="Corpodetexto"/>
        <w:spacing w:before="74"/>
        <w:rPr>
          <w:rFonts w:ascii="Arial"/>
          <w:b/>
        </w:rPr>
      </w:pPr>
    </w:p>
    <w:p w14:paraId="50076B63" w14:textId="77777777" w:rsidR="002C6574" w:rsidRDefault="00000000">
      <w:pPr>
        <w:pStyle w:val="Corpodetexto"/>
        <w:spacing w:line="237" w:lineRule="auto"/>
        <w:ind w:left="143" w:right="702"/>
        <w:jc w:val="both"/>
      </w:pPr>
      <w:r>
        <w:t>O risco de crédito é o risco de uma operação negociada entre contrapartes de não cumprir uma obrigação prevista em um instrumento financeiro ou na negociação de venda ao cliente, que levaria ao prejuízo financeiro. A</w:t>
      </w:r>
      <w:r>
        <w:rPr>
          <w:spacing w:val="-1"/>
        </w:rPr>
        <w:t xml:space="preserve"> </w:t>
      </w:r>
      <w:r>
        <w:t>Companhia está exposta a risco de crédito em suas atividades operacionais e nos depósitos mantidos em bancos e outros investimentos em instrumentos financeiros em instituições financeiras.</w:t>
      </w:r>
    </w:p>
    <w:p w14:paraId="47AFA788" w14:textId="77777777" w:rsidR="002C6574" w:rsidRDefault="002C6574">
      <w:pPr>
        <w:pStyle w:val="Corpodetexto"/>
        <w:spacing w:line="237" w:lineRule="auto"/>
        <w:jc w:val="both"/>
        <w:sectPr w:rsidR="002C6574">
          <w:pgSz w:w="11910" w:h="16840"/>
          <w:pgMar w:top="1600" w:right="141" w:bottom="1380" w:left="1133" w:header="856" w:footer="1113" w:gutter="0"/>
          <w:cols w:space="720"/>
        </w:sectPr>
      </w:pPr>
    </w:p>
    <w:p w14:paraId="38BADBD5" w14:textId="77777777" w:rsidR="002C6574" w:rsidRDefault="00000000">
      <w:pPr>
        <w:numPr>
          <w:ilvl w:val="3"/>
          <w:numId w:val="46"/>
        </w:numPr>
        <w:tabs>
          <w:tab w:val="left" w:pos="992"/>
        </w:tabs>
        <w:spacing w:before="229"/>
        <w:ind w:left="992" w:hanging="849"/>
        <w:rPr>
          <w:rFonts w:ascii="Arial" w:hAnsi="Arial"/>
          <w:b/>
        </w:rPr>
      </w:pPr>
      <w:r>
        <w:rPr>
          <w:rFonts w:ascii="Arial" w:hAnsi="Arial"/>
          <w:b/>
        </w:rPr>
        <w:lastRenderedPageBreak/>
        <w:t>Risco</w:t>
      </w:r>
      <w:r>
        <w:rPr>
          <w:rFonts w:ascii="Arial" w:hAnsi="Arial"/>
          <w:b/>
          <w:spacing w:val="-6"/>
        </w:rPr>
        <w:t xml:space="preserve"> </w:t>
      </w:r>
      <w:r>
        <w:rPr>
          <w:rFonts w:ascii="Arial" w:hAnsi="Arial"/>
          <w:b/>
        </w:rPr>
        <w:t>de</w:t>
      </w:r>
      <w:r>
        <w:rPr>
          <w:rFonts w:ascii="Arial" w:hAnsi="Arial"/>
          <w:b/>
          <w:spacing w:val="-2"/>
        </w:rPr>
        <w:t xml:space="preserve"> </w:t>
      </w:r>
      <w:r>
        <w:rPr>
          <w:rFonts w:ascii="Arial" w:hAnsi="Arial"/>
          <w:b/>
        </w:rPr>
        <w:t>crédito</w:t>
      </w:r>
      <w:r>
        <w:rPr>
          <w:rFonts w:ascii="Arial" w:hAnsi="Arial"/>
          <w:b/>
          <w:spacing w:val="-5"/>
        </w:rPr>
        <w:t xml:space="preserve"> </w:t>
      </w:r>
      <w:r>
        <w:rPr>
          <w:rFonts w:ascii="Arial" w:hAnsi="Arial"/>
          <w:b/>
        </w:rPr>
        <w:t>Inadimplência</w:t>
      </w:r>
      <w:r>
        <w:rPr>
          <w:rFonts w:ascii="Arial" w:hAnsi="Arial"/>
          <w:b/>
          <w:spacing w:val="-1"/>
        </w:rPr>
        <w:t xml:space="preserve"> </w:t>
      </w:r>
      <w:r>
        <w:rPr>
          <w:rFonts w:ascii="Arial" w:hAnsi="Arial"/>
          <w:b/>
        </w:rPr>
        <w:t>das</w:t>
      </w:r>
      <w:r>
        <w:rPr>
          <w:rFonts w:ascii="Arial" w:hAnsi="Arial"/>
          <w:b/>
          <w:spacing w:val="-4"/>
        </w:rPr>
        <w:t xml:space="preserve"> </w:t>
      </w:r>
      <w:r>
        <w:rPr>
          <w:rFonts w:ascii="Arial" w:hAnsi="Arial"/>
          <w:b/>
        </w:rPr>
        <w:t>contas</w:t>
      </w:r>
      <w:r>
        <w:rPr>
          <w:rFonts w:ascii="Arial" w:hAnsi="Arial"/>
          <w:b/>
          <w:spacing w:val="-5"/>
        </w:rPr>
        <w:t xml:space="preserve"> </w:t>
      </w:r>
      <w:r>
        <w:rPr>
          <w:rFonts w:ascii="Arial" w:hAnsi="Arial"/>
          <w:b/>
        </w:rPr>
        <w:t>a</w:t>
      </w:r>
      <w:r>
        <w:rPr>
          <w:rFonts w:ascii="Arial" w:hAnsi="Arial"/>
          <w:b/>
          <w:spacing w:val="-4"/>
        </w:rPr>
        <w:t xml:space="preserve"> </w:t>
      </w:r>
      <w:r>
        <w:rPr>
          <w:rFonts w:ascii="Arial" w:hAnsi="Arial"/>
          <w:b/>
        </w:rPr>
        <w:t>receber</w:t>
      </w:r>
      <w:r>
        <w:rPr>
          <w:rFonts w:ascii="Arial" w:hAnsi="Arial"/>
          <w:b/>
          <w:spacing w:val="-2"/>
        </w:rPr>
        <w:t xml:space="preserve"> </w:t>
      </w:r>
      <w:r>
        <w:rPr>
          <w:rFonts w:ascii="Arial" w:hAnsi="Arial"/>
          <w:b/>
        </w:rPr>
        <w:t>de</w:t>
      </w:r>
      <w:r>
        <w:rPr>
          <w:rFonts w:ascii="Arial" w:hAnsi="Arial"/>
          <w:b/>
          <w:spacing w:val="-4"/>
        </w:rPr>
        <w:t xml:space="preserve"> </w:t>
      </w:r>
      <w:r>
        <w:rPr>
          <w:rFonts w:ascii="Arial" w:hAnsi="Arial"/>
          <w:b/>
          <w:spacing w:val="-2"/>
        </w:rPr>
        <w:t>clientes</w:t>
      </w:r>
    </w:p>
    <w:p w14:paraId="73904288" w14:textId="77777777" w:rsidR="002C6574" w:rsidRDefault="002C6574">
      <w:pPr>
        <w:pStyle w:val="Corpodetexto"/>
        <w:spacing w:before="48"/>
        <w:rPr>
          <w:rFonts w:ascii="Arial"/>
          <w:b/>
        </w:rPr>
      </w:pPr>
    </w:p>
    <w:p w14:paraId="0055588A" w14:textId="77777777" w:rsidR="002C6574" w:rsidRDefault="00000000">
      <w:pPr>
        <w:pStyle w:val="Corpodetexto"/>
        <w:spacing w:before="1" w:line="237" w:lineRule="auto"/>
        <w:ind w:left="143" w:right="703"/>
        <w:jc w:val="both"/>
      </w:pPr>
      <w:r>
        <w:t>Para recuperação da inadimplência, a Companhia atua tempestivamente da seguinte forma: notificações de débito e de cobrança, política de negociação de débitos, interrupção dos serviços e negativação do cliente, inclusão no Cadastro Informativo de Créditos não</w:t>
      </w:r>
      <w:r>
        <w:rPr>
          <w:spacing w:val="-1"/>
        </w:rPr>
        <w:t xml:space="preserve"> </w:t>
      </w:r>
      <w:r>
        <w:t>Quitados do Setor Público Federal – CADIN, e cobrança Judicial.</w:t>
      </w:r>
    </w:p>
    <w:p w14:paraId="653266CB" w14:textId="77777777" w:rsidR="002C6574" w:rsidRDefault="00000000">
      <w:pPr>
        <w:numPr>
          <w:ilvl w:val="3"/>
          <w:numId w:val="46"/>
        </w:numPr>
        <w:tabs>
          <w:tab w:val="left" w:pos="992"/>
        </w:tabs>
        <w:spacing w:before="218"/>
        <w:ind w:left="992" w:hanging="849"/>
        <w:rPr>
          <w:rFonts w:ascii="Arial"/>
          <w:b/>
        </w:rPr>
      </w:pPr>
      <w:r>
        <w:rPr>
          <w:rFonts w:ascii="Arial"/>
          <w:b/>
        </w:rPr>
        <w:t>Caixa</w:t>
      </w:r>
      <w:r>
        <w:rPr>
          <w:rFonts w:ascii="Arial"/>
          <w:b/>
          <w:spacing w:val="-4"/>
        </w:rPr>
        <w:t xml:space="preserve"> </w:t>
      </w:r>
      <w:r>
        <w:rPr>
          <w:rFonts w:ascii="Arial"/>
          <w:b/>
        </w:rPr>
        <w:t>e</w:t>
      </w:r>
      <w:r>
        <w:rPr>
          <w:rFonts w:ascii="Arial"/>
          <w:b/>
          <w:spacing w:val="-5"/>
        </w:rPr>
        <w:t xml:space="preserve"> </w:t>
      </w:r>
      <w:r>
        <w:rPr>
          <w:rFonts w:ascii="Arial"/>
          <w:b/>
        </w:rPr>
        <w:t>equivalentes</w:t>
      </w:r>
      <w:r>
        <w:rPr>
          <w:rFonts w:ascii="Arial"/>
          <w:b/>
          <w:spacing w:val="-6"/>
        </w:rPr>
        <w:t xml:space="preserve"> </w:t>
      </w:r>
      <w:r>
        <w:rPr>
          <w:rFonts w:ascii="Arial"/>
          <w:b/>
        </w:rPr>
        <w:t>de</w:t>
      </w:r>
      <w:r>
        <w:rPr>
          <w:rFonts w:ascii="Arial"/>
          <w:b/>
          <w:spacing w:val="-2"/>
        </w:rPr>
        <w:t xml:space="preserve"> </w:t>
      </w:r>
      <w:r>
        <w:rPr>
          <w:rFonts w:ascii="Arial"/>
          <w:b/>
        </w:rPr>
        <w:t>caixa</w:t>
      </w:r>
      <w:r>
        <w:rPr>
          <w:rFonts w:ascii="Arial"/>
          <w:b/>
          <w:spacing w:val="-6"/>
        </w:rPr>
        <w:t xml:space="preserve"> </w:t>
      </w:r>
      <w:r>
        <w:rPr>
          <w:rFonts w:ascii="Arial"/>
          <w:b/>
        </w:rPr>
        <w:t>e</w:t>
      </w:r>
      <w:r>
        <w:rPr>
          <w:rFonts w:ascii="Arial"/>
          <w:b/>
          <w:spacing w:val="-5"/>
        </w:rPr>
        <w:t xml:space="preserve"> </w:t>
      </w:r>
      <w:r>
        <w:rPr>
          <w:rFonts w:ascii="Arial"/>
          <w:b/>
        </w:rPr>
        <w:t>investimentos</w:t>
      </w:r>
      <w:r>
        <w:rPr>
          <w:rFonts w:ascii="Arial"/>
          <w:b/>
          <w:spacing w:val="-2"/>
        </w:rPr>
        <w:t xml:space="preserve"> financeiros</w:t>
      </w:r>
    </w:p>
    <w:p w14:paraId="599E7095" w14:textId="77777777" w:rsidR="002C6574" w:rsidRDefault="002C6574">
      <w:pPr>
        <w:pStyle w:val="Corpodetexto"/>
        <w:spacing w:before="46"/>
        <w:rPr>
          <w:rFonts w:ascii="Arial"/>
          <w:b/>
        </w:rPr>
      </w:pPr>
    </w:p>
    <w:p w14:paraId="2E51EF81" w14:textId="77777777" w:rsidR="002C6574" w:rsidRDefault="00000000">
      <w:pPr>
        <w:pStyle w:val="Corpodetexto"/>
        <w:spacing w:line="237" w:lineRule="auto"/>
        <w:ind w:left="143" w:right="702"/>
        <w:jc w:val="both"/>
      </w:pPr>
      <w:r>
        <w:t>O risco de crédito dos saldos de caixa e dos investimentos financeiros, que é gerido pela Administração</w:t>
      </w:r>
      <w:r>
        <w:rPr>
          <w:spacing w:val="-10"/>
        </w:rPr>
        <w:t xml:space="preserve"> </w:t>
      </w:r>
      <w:r>
        <w:t>da</w:t>
      </w:r>
      <w:r>
        <w:rPr>
          <w:spacing w:val="-10"/>
        </w:rPr>
        <w:t xml:space="preserve"> </w:t>
      </w:r>
      <w:r>
        <w:t>Companhia,</w:t>
      </w:r>
      <w:r>
        <w:rPr>
          <w:spacing w:val="-5"/>
        </w:rPr>
        <w:t xml:space="preserve"> </w:t>
      </w:r>
      <w:r>
        <w:t>é</w:t>
      </w:r>
      <w:r>
        <w:rPr>
          <w:spacing w:val="-10"/>
        </w:rPr>
        <w:t xml:space="preserve"> </w:t>
      </w:r>
      <w:r>
        <w:t>mitigado</w:t>
      </w:r>
      <w:r>
        <w:rPr>
          <w:spacing w:val="-6"/>
        </w:rPr>
        <w:t xml:space="preserve"> </w:t>
      </w:r>
      <w:r>
        <w:t>pela</w:t>
      </w:r>
      <w:r>
        <w:rPr>
          <w:spacing w:val="-6"/>
        </w:rPr>
        <w:t xml:space="preserve"> </w:t>
      </w:r>
      <w:r>
        <w:t>seleção</w:t>
      </w:r>
      <w:r>
        <w:rPr>
          <w:spacing w:val="-5"/>
        </w:rPr>
        <w:t xml:space="preserve"> </w:t>
      </w:r>
      <w:r>
        <w:t>dos</w:t>
      </w:r>
      <w:r>
        <w:rPr>
          <w:spacing w:val="-8"/>
        </w:rPr>
        <w:t xml:space="preserve"> </w:t>
      </w:r>
      <w:r>
        <w:t>investimentos</w:t>
      </w:r>
      <w:r>
        <w:rPr>
          <w:spacing w:val="-8"/>
        </w:rPr>
        <w:t xml:space="preserve"> </w:t>
      </w:r>
      <w:r>
        <w:t>considerados</w:t>
      </w:r>
      <w:r>
        <w:rPr>
          <w:spacing w:val="-5"/>
        </w:rPr>
        <w:t xml:space="preserve"> </w:t>
      </w:r>
      <w:r>
        <w:t>de</w:t>
      </w:r>
      <w:r>
        <w:rPr>
          <w:spacing w:val="-6"/>
        </w:rPr>
        <w:t xml:space="preserve"> </w:t>
      </w:r>
      <w:r>
        <w:t>baixo</w:t>
      </w:r>
      <w:r>
        <w:rPr>
          <w:spacing w:val="-10"/>
        </w:rPr>
        <w:t xml:space="preserve"> </w:t>
      </w:r>
      <w:r>
        <w:t>risco pelo mercado financeiro e investimentos vinculados a títulos de bancos públicos, principalmente devido às restrições impostas pelos órgãos reguladores (Conselho Monetário Nacional e Banco Central do Brasil), que definem, através da Resolução n° 4.986 de 17 de fevereiro de 2022, do Banco Central do Brasil, que as disponibilidades oriundas de receitas próprias das empresas públicas e das sociedades de economia mista integrantes da Administração Federal Indireta sejam aplicadas em fundos</w:t>
      </w:r>
      <w:r>
        <w:rPr>
          <w:spacing w:val="-8"/>
        </w:rPr>
        <w:t xml:space="preserve"> </w:t>
      </w:r>
      <w:r>
        <w:t>ou</w:t>
      </w:r>
      <w:r>
        <w:rPr>
          <w:spacing w:val="-9"/>
        </w:rPr>
        <w:t xml:space="preserve"> </w:t>
      </w:r>
      <w:r>
        <w:t>por</w:t>
      </w:r>
      <w:r>
        <w:rPr>
          <w:spacing w:val="-9"/>
        </w:rPr>
        <w:t xml:space="preserve"> </w:t>
      </w:r>
      <w:r>
        <w:t>instituição</w:t>
      </w:r>
      <w:r>
        <w:rPr>
          <w:spacing w:val="-11"/>
        </w:rPr>
        <w:t xml:space="preserve"> </w:t>
      </w:r>
      <w:r>
        <w:t>integrante</w:t>
      </w:r>
      <w:r>
        <w:rPr>
          <w:spacing w:val="-11"/>
        </w:rPr>
        <w:t xml:space="preserve"> </w:t>
      </w:r>
      <w:r>
        <w:t>do</w:t>
      </w:r>
      <w:r>
        <w:rPr>
          <w:spacing w:val="-11"/>
        </w:rPr>
        <w:t xml:space="preserve"> </w:t>
      </w:r>
      <w:r>
        <w:t>conglomerado</w:t>
      </w:r>
      <w:r>
        <w:rPr>
          <w:spacing w:val="-9"/>
        </w:rPr>
        <w:t xml:space="preserve"> </w:t>
      </w:r>
      <w:r>
        <w:t>financeiro</w:t>
      </w:r>
      <w:r>
        <w:rPr>
          <w:spacing w:val="-9"/>
        </w:rPr>
        <w:t xml:space="preserve"> </w:t>
      </w:r>
      <w:r>
        <w:t>por</w:t>
      </w:r>
      <w:r>
        <w:rPr>
          <w:spacing w:val="-9"/>
        </w:rPr>
        <w:t xml:space="preserve"> </w:t>
      </w:r>
      <w:r>
        <w:t>eles</w:t>
      </w:r>
      <w:r>
        <w:rPr>
          <w:spacing w:val="-9"/>
        </w:rPr>
        <w:t xml:space="preserve"> </w:t>
      </w:r>
      <w:r>
        <w:t>liderados,</w:t>
      </w:r>
      <w:r>
        <w:rPr>
          <w:spacing w:val="-9"/>
        </w:rPr>
        <w:t xml:space="preserve"> </w:t>
      </w:r>
      <w:r>
        <w:t>constituídos</w:t>
      </w:r>
      <w:r>
        <w:rPr>
          <w:spacing w:val="-11"/>
        </w:rPr>
        <w:t xml:space="preserve"> </w:t>
      </w:r>
      <w:r>
        <w:t>com observância do disposto nesta Resolução. Neste sentindo, as disponibilidades da Companhia são aplicadas em fundos de investimento extramercado administrados pela Caixa Econômica Federal e pelo Banco do Brasil S.A.</w:t>
      </w:r>
    </w:p>
    <w:p w14:paraId="185DE682" w14:textId="77777777" w:rsidR="002C6574" w:rsidRDefault="00000000">
      <w:pPr>
        <w:numPr>
          <w:ilvl w:val="2"/>
          <w:numId w:val="46"/>
        </w:numPr>
        <w:tabs>
          <w:tab w:val="left" w:pos="847"/>
        </w:tabs>
        <w:spacing w:before="229"/>
        <w:ind w:left="847" w:hanging="704"/>
        <w:rPr>
          <w:rFonts w:ascii="Arial"/>
          <w:b/>
        </w:rPr>
      </w:pPr>
      <w:r>
        <w:rPr>
          <w:rFonts w:ascii="Arial"/>
          <w:b/>
        </w:rPr>
        <w:t>Risco</w:t>
      </w:r>
      <w:r>
        <w:rPr>
          <w:rFonts w:ascii="Arial"/>
          <w:b/>
          <w:spacing w:val="-2"/>
        </w:rPr>
        <w:t xml:space="preserve"> </w:t>
      </w:r>
      <w:r>
        <w:rPr>
          <w:rFonts w:ascii="Arial"/>
          <w:b/>
        </w:rPr>
        <w:t>de</w:t>
      </w:r>
      <w:r>
        <w:rPr>
          <w:rFonts w:ascii="Arial"/>
          <w:b/>
          <w:spacing w:val="-2"/>
        </w:rPr>
        <w:t xml:space="preserve"> liquidez</w:t>
      </w:r>
    </w:p>
    <w:p w14:paraId="6560B701" w14:textId="77777777" w:rsidR="002C6574" w:rsidRDefault="002C6574">
      <w:pPr>
        <w:pStyle w:val="Corpodetexto"/>
        <w:spacing w:before="70"/>
        <w:rPr>
          <w:rFonts w:ascii="Arial"/>
          <w:b/>
        </w:rPr>
      </w:pPr>
    </w:p>
    <w:p w14:paraId="4A59A0E4" w14:textId="77777777" w:rsidR="002C6574" w:rsidRDefault="00000000">
      <w:pPr>
        <w:pStyle w:val="Corpodetexto"/>
        <w:ind w:left="143" w:right="704"/>
        <w:jc w:val="both"/>
      </w:pPr>
      <w:r>
        <w:t>É</w:t>
      </w:r>
      <w:r>
        <w:rPr>
          <w:spacing w:val="-4"/>
        </w:rPr>
        <w:t xml:space="preserve"> </w:t>
      </w:r>
      <w:r>
        <w:t>o</w:t>
      </w:r>
      <w:r>
        <w:rPr>
          <w:spacing w:val="-1"/>
        </w:rPr>
        <w:t xml:space="preserve"> </w:t>
      </w:r>
      <w:r>
        <w:t>risco</w:t>
      </w:r>
      <w:r>
        <w:rPr>
          <w:spacing w:val="-2"/>
        </w:rPr>
        <w:t xml:space="preserve"> </w:t>
      </w:r>
      <w:r>
        <w:t>de</w:t>
      </w:r>
      <w:r>
        <w:rPr>
          <w:spacing w:val="-2"/>
        </w:rPr>
        <w:t xml:space="preserve"> </w:t>
      </w:r>
      <w:r>
        <w:t>a</w:t>
      </w:r>
      <w:r>
        <w:rPr>
          <w:spacing w:val="-2"/>
        </w:rPr>
        <w:t xml:space="preserve"> </w:t>
      </w:r>
      <w:r>
        <w:t>Companhia</w:t>
      </w:r>
      <w:r>
        <w:rPr>
          <w:spacing w:val="-2"/>
        </w:rPr>
        <w:t xml:space="preserve"> </w:t>
      </w:r>
      <w:r>
        <w:t>não</w:t>
      </w:r>
      <w:r>
        <w:rPr>
          <w:spacing w:val="-1"/>
        </w:rPr>
        <w:t xml:space="preserve"> </w:t>
      </w:r>
      <w:r>
        <w:t>dispor de</w:t>
      </w:r>
      <w:r>
        <w:rPr>
          <w:spacing w:val="-6"/>
        </w:rPr>
        <w:t xml:space="preserve"> </w:t>
      </w:r>
      <w:r>
        <w:t>recursos</w:t>
      </w:r>
      <w:r>
        <w:rPr>
          <w:spacing w:val="-6"/>
        </w:rPr>
        <w:t xml:space="preserve"> </w:t>
      </w:r>
      <w:r>
        <w:t>líquidos</w:t>
      </w:r>
      <w:r>
        <w:rPr>
          <w:spacing w:val="-1"/>
        </w:rPr>
        <w:t xml:space="preserve"> </w:t>
      </w:r>
      <w:r>
        <w:t>suficientes</w:t>
      </w:r>
      <w:r>
        <w:rPr>
          <w:spacing w:val="-4"/>
        </w:rPr>
        <w:t xml:space="preserve"> </w:t>
      </w:r>
      <w:r>
        <w:t>para</w:t>
      </w:r>
      <w:r>
        <w:rPr>
          <w:spacing w:val="-4"/>
        </w:rPr>
        <w:t xml:space="preserve"> </w:t>
      </w:r>
      <w:r>
        <w:t>honrar</w:t>
      </w:r>
      <w:r>
        <w:rPr>
          <w:spacing w:val="-5"/>
        </w:rPr>
        <w:t xml:space="preserve"> </w:t>
      </w:r>
      <w:r>
        <w:t>seus</w:t>
      </w:r>
      <w:r>
        <w:rPr>
          <w:spacing w:val="-1"/>
        </w:rPr>
        <w:t xml:space="preserve"> </w:t>
      </w:r>
      <w:r>
        <w:t xml:space="preserve">compromissos </w:t>
      </w:r>
      <w:r>
        <w:rPr>
          <w:w w:val="105"/>
        </w:rPr>
        <w:t>financeiros, em decorrência do descasamento de prazo ou volume entre os recebimentos e pagamentos previstos.</w:t>
      </w:r>
    </w:p>
    <w:p w14:paraId="6B7E2A82" w14:textId="77777777" w:rsidR="002C6574" w:rsidRDefault="00000000">
      <w:pPr>
        <w:pStyle w:val="Corpodetexto"/>
        <w:spacing w:before="286"/>
        <w:ind w:left="143" w:right="703"/>
        <w:jc w:val="both"/>
      </w:pPr>
      <w:r>
        <w:t xml:space="preserve">Para administrar a liquidez do caixa são estabelecidas projeções baseadas em contratos e premissas de desembolsos e recebimentos futuros, sendo monitorados diariamente pela Companhia. Possíveis </w:t>
      </w:r>
      <w:r>
        <w:rPr>
          <w:w w:val="105"/>
        </w:rPr>
        <w:t>reduções</w:t>
      </w:r>
      <w:r>
        <w:rPr>
          <w:spacing w:val="-16"/>
          <w:w w:val="105"/>
        </w:rPr>
        <w:t xml:space="preserve"> </w:t>
      </w:r>
      <w:r>
        <w:rPr>
          <w:w w:val="105"/>
        </w:rPr>
        <w:t>são</w:t>
      </w:r>
      <w:r>
        <w:rPr>
          <w:spacing w:val="-16"/>
          <w:w w:val="105"/>
        </w:rPr>
        <w:t xml:space="preserve"> </w:t>
      </w:r>
      <w:r>
        <w:rPr>
          <w:w w:val="105"/>
        </w:rPr>
        <w:t>detectadas</w:t>
      </w:r>
      <w:r>
        <w:rPr>
          <w:spacing w:val="-16"/>
          <w:w w:val="105"/>
        </w:rPr>
        <w:t xml:space="preserve"> </w:t>
      </w:r>
      <w:r>
        <w:rPr>
          <w:w w:val="105"/>
        </w:rPr>
        <w:t>com</w:t>
      </w:r>
      <w:r>
        <w:rPr>
          <w:spacing w:val="-16"/>
          <w:w w:val="105"/>
        </w:rPr>
        <w:t xml:space="preserve"> </w:t>
      </w:r>
      <w:r>
        <w:rPr>
          <w:w w:val="105"/>
        </w:rPr>
        <w:t>antecedência,</w:t>
      </w:r>
      <w:r>
        <w:rPr>
          <w:spacing w:val="-16"/>
          <w:w w:val="105"/>
        </w:rPr>
        <w:t xml:space="preserve"> </w:t>
      </w:r>
      <w:r>
        <w:rPr>
          <w:w w:val="105"/>
        </w:rPr>
        <w:t>permitindo</w:t>
      </w:r>
      <w:r>
        <w:rPr>
          <w:spacing w:val="-15"/>
          <w:w w:val="105"/>
        </w:rPr>
        <w:t xml:space="preserve"> </w:t>
      </w:r>
      <w:r>
        <w:rPr>
          <w:w w:val="105"/>
        </w:rPr>
        <w:t>que</w:t>
      </w:r>
      <w:r>
        <w:rPr>
          <w:spacing w:val="-16"/>
          <w:w w:val="105"/>
        </w:rPr>
        <w:t xml:space="preserve"> </w:t>
      </w:r>
      <w:r>
        <w:rPr>
          <w:w w:val="105"/>
        </w:rPr>
        <w:t>a</w:t>
      </w:r>
      <w:r>
        <w:rPr>
          <w:spacing w:val="-16"/>
          <w:w w:val="105"/>
        </w:rPr>
        <w:t xml:space="preserve"> </w:t>
      </w:r>
      <w:r>
        <w:rPr>
          <w:w w:val="105"/>
        </w:rPr>
        <w:t>Companhia</w:t>
      </w:r>
      <w:r>
        <w:rPr>
          <w:spacing w:val="-16"/>
          <w:w w:val="105"/>
        </w:rPr>
        <w:t xml:space="preserve"> </w:t>
      </w:r>
      <w:r>
        <w:rPr>
          <w:w w:val="105"/>
        </w:rPr>
        <w:t>adote</w:t>
      </w:r>
      <w:r>
        <w:rPr>
          <w:spacing w:val="-16"/>
          <w:w w:val="105"/>
        </w:rPr>
        <w:t xml:space="preserve"> </w:t>
      </w:r>
      <w:r>
        <w:rPr>
          <w:w w:val="105"/>
        </w:rPr>
        <w:t>medidas</w:t>
      </w:r>
      <w:r>
        <w:rPr>
          <w:spacing w:val="-16"/>
          <w:w w:val="105"/>
        </w:rPr>
        <w:t xml:space="preserve"> </w:t>
      </w:r>
      <w:r>
        <w:rPr>
          <w:w w:val="105"/>
        </w:rPr>
        <w:t>visando mitigar</w:t>
      </w:r>
      <w:r>
        <w:rPr>
          <w:spacing w:val="-3"/>
          <w:w w:val="105"/>
        </w:rPr>
        <w:t xml:space="preserve"> </w:t>
      </w:r>
      <w:r>
        <w:rPr>
          <w:w w:val="105"/>
        </w:rPr>
        <w:t>o</w:t>
      </w:r>
      <w:r>
        <w:rPr>
          <w:spacing w:val="-6"/>
          <w:w w:val="105"/>
        </w:rPr>
        <w:t xml:space="preserve"> </w:t>
      </w:r>
      <w:r>
        <w:rPr>
          <w:w w:val="105"/>
        </w:rPr>
        <w:t>risco</w:t>
      </w:r>
      <w:r>
        <w:rPr>
          <w:spacing w:val="-6"/>
          <w:w w:val="105"/>
        </w:rPr>
        <w:t xml:space="preserve"> </w:t>
      </w:r>
      <w:r>
        <w:rPr>
          <w:w w:val="105"/>
        </w:rPr>
        <w:t>e</w:t>
      </w:r>
      <w:r>
        <w:rPr>
          <w:spacing w:val="-6"/>
          <w:w w:val="105"/>
        </w:rPr>
        <w:t xml:space="preserve"> </w:t>
      </w:r>
      <w:r>
        <w:rPr>
          <w:w w:val="105"/>
        </w:rPr>
        <w:t>o</w:t>
      </w:r>
      <w:r>
        <w:rPr>
          <w:spacing w:val="-4"/>
          <w:w w:val="105"/>
        </w:rPr>
        <w:t xml:space="preserve"> </w:t>
      </w:r>
      <w:r>
        <w:rPr>
          <w:w w:val="105"/>
        </w:rPr>
        <w:t>custo</w:t>
      </w:r>
      <w:r>
        <w:rPr>
          <w:spacing w:val="-4"/>
          <w:w w:val="105"/>
        </w:rPr>
        <w:t xml:space="preserve"> </w:t>
      </w:r>
      <w:r>
        <w:rPr>
          <w:w w:val="105"/>
        </w:rPr>
        <w:t>financeiro.</w:t>
      </w:r>
    </w:p>
    <w:p w14:paraId="6231BBB4" w14:textId="77777777" w:rsidR="002C6574" w:rsidRDefault="00000000">
      <w:pPr>
        <w:pStyle w:val="Corpodetexto"/>
        <w:spacing w:before="284"/>
        <w:ind w:left="143"/>
        <w:jc w:val="both"/>
      </w:pPr>
      <w:r>
        <w:t>A</w:t>
      </w:r>
      <w:r>
        <w:rPr>
          <w:spacing w:val="11"/>
        </w:rPr>
        <w:t xml:space="preserve"> </w:t>
      </w:r>
      <w:r>
        <w:t>seguir,</w:t>
      </w:r>
      <w:r>
        <w:rPr>
          <w:spacing w:val="12"/>
        </w:rPr>
        <w:t xml:space="preserve"> </w:t>
      </w:r>
      <w:r>
        <w:t>estão</w:t>
      </w:r>
      <w:r>
        <w:rPr>
          <w:spacing w:val="8"/>
        </w:rPr>
        <w:t xml:space="preserve"> </w:t>
      </w:r>
      <w:r>
        <w:t>demonstrados</w:t>
      </w:r>
      <w:r>
        <w:rPr>
          <w:spacing w:val="12"/>
        </w:rPr>
        <w:t xml:space="preserve"> </w:t>
      </w:r>
      <w:r>
        <w:t>os</w:t>
      </w:r>
      <w:r>
        <w:rPr>
          <w:spacing w:val="8"/>
        </w:rPr>
        <w:t xml:space="preserve"> </w:t>
      </w:r>
      <w:r>
        <w:t>fluxos</w:t>
      </w:r>
      <w:r>
        <w:rPr>
          <w:spacing w:val="8"/>
        </w:rPr>
        <w:t xml:space="preserve"> </w:t>
      </w:r>
      <w:r>
        <w:t>de</w:t>
      </w:r>
      <w:r>
        <w:rPr>
          <w:spacing w:val="12"/>
        </w:rPr>
        <w:t xml:space="preserve"> </w:t>
      </w:r>
      <w:r>
        <w:t>caixa</w:t>
      </w:r>
      <w:r>
        <w:rPr>
          <w:spacing w:val="3"/>
        </w:rPr>
        <w:t xml:space="preserve"> </w:t>
      </w:r>
      <w:r>
        <w:t>contratuais</w:t>
      </w:r>
      <w:r>
        <w:rPr>
          <w:spacing w:val="11"/>
        </w:rPr>
        <w:t xml:space="preserve"> </w:t>
      </w:r>
      <w:r>
        <w:t>dos</w:t>
      </w:r>
      <w:r>
        <w:rPr>
          <w:spacing w:val="7"/>
        </w:rPr>
        <w:t xml:space="preserve"> </w:t>
      </w:r>
      <w:r>
        <w:t>passivos</w:t>
      </w:r>
      <w:r>
        <w:rPr>
          <w:spacing w:val="7"/>
        </w:rPr>
        <w:t xml:space="preserve"> </w:t>
      </w:r>
      <w:r>
        <w:rPr>
          <w:spacing w:val="-2"/>
        </w:rPr>
        <w:t>financeiros:</w:t>
      </w:r>
    </w:p>
    <w:p w14:paraId="28FAD99C" w14:textId="77777777" w:rsidR="002C6574" w:rsidRDefault="002C6574">
      <w:pPr>
        <w:pStyle w:val="Corpodetexto"/>
        <w:spacing w:before="56"/>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6"/>
        <w:gridCol w:w="1135"/>
        <w:gridCol w:w="1133"/>
        <w:gridCol w:w="1133"/>
        <w:gridCol w:w="1133"/>
        <w:gridCol w:w="1131"/>
      </w:tblGrid>
      <w:tr w:rsidR="002C6574" w14:paraId="2412D0FF" w14:textId="77777777">
        <w:trPr>
          <w:trHeight w:val="412"/>
        </w:trPr>
        <w:tc>
          <w:tcPr>
            <w:tcW w:w="4106" w:type="dxa"/>
            <w:shd w:val="clear" w:color="auto" w:fill="D8D8D8"/>
          </w:tcPr>
          <w:p w14:paraId="3A7AFAC2" w14:textId="77777777" w:rsidR="002C6574" w:rsidRDefault="00000000">
            <w:pPr>
              <w:pStyle w:val="TableParagraph"/>
              <w:spacing w:before="102"/>
              <w:ind w:left="69"/>
              <w:jc w:val="left"/>
              <w:rPr>
                <w:rFonts w:ascii="Arial" w:hAnsi="Arial"/>
                <w:b/>
                <w:sz w:val="18"/>
              </w:rPr>
            </w:pPr>
            <w:r>
              <w:rPr>
                <w:rFonts w:ascii="Arial" w:hAnsi="Arial"/>
                <w:b/>
                <w:sz w:val="18"/>
              </w:rPr>
              <w:t>Passivos Financeiros não</w:t>
            </w:r>
            <w:r>
              <w:rPr>
                <w:rFonts w:ascii="Arial" w:hAnsi="Arial"/>
                <w:b/>
                <w:spacing w:val="-1"/>
                <w:sz w:val="18"/>
              </w:rPr>
              <w:t xml:space="preserve"> </w:t>
            </w:r>
            <w:r>
              <w:rPr>
                <w:rFonts w:ascii="Arial" w:hAnsi="Arial"/>
                <w:b/>
                <w:spacing w:val="-2"/>
                <w:sz w:val="18"/>
              </w:rPr>
              <w:t>Derivativos</w:t>
            </w:r>
          </w:p>
        </w:tc>
        <w:tc>
          <w:tcPr>
            <w:tcW w:w="1135" w:type="dxa"/>
          </w:tcPr>
          <w:p w14:paraId="1AF2AA16" w14:textId="77777777" w:rsidR="002C6574" w:rsidRDefault="00000000">
            <w:pPr>
              <w:pStyle w:val="TableParagraph"/>
              <w:spacing w:before="102"/>
              <w:ind w:left="340"/>
              <w:jc w:val="left"/>
              <w:rPr>
                <w:rFonts w:ascii="Arial"/>
                <w:b/>
                <w:sz w:val="18"/>
              </w:rPr>
            </w:pPr>
            <w:r>
              <w:rPr>
                <w:rFonts w:ascii="Arial"/>
                <w:b/>
                <w:spacing w:val="-2"/>
                <w:sz w:val="18"/>
              </w:rPr>
              <w:t>Valor</w:t>
            </w:r>
          </w:p>
        </w:tc>
        <w:tc>
          <w:tcPr>
            <w:tcW w:w="1133" w:type="dxa"/>
          </w:tcPr>
          <w:p w14:paraId="6A73DE03" w14:textId="77777777" w:rsidR="002C6574" w:rsidRDefault="00000000">
            <w:pPr>
              <w:pStyle w:val="TableParagraph"/>
              <w:spacing w:before="102"/>
              <w:ind w:left="161"/>
              <w:jc w:val="left"/>
              <w:rPr>
                <w:rFonts w:ascii="Arial" w:hAnsi="Arial"/>
                <w:b/>
                <w:sz w:val="18"/>
              </w:rPr>
            </w:pPr>
            <w:r>
              <w:rPr>
                <w:rFonts w:ascii="Arial" w:hAnsi="Arial"/>
                <w:b/>
                <w:sz w:val="18"/>
              </w:rPr>
              <w:t>Até</w:t>
            </w:r>
            <w:r>
              <w:rPr>
                <w:rFonts w:ascii="Arial" w:hAnsi="Arial"/>
                <w:b/>
                <w:spacing w:val="-2"/>
                <w:sz w:val="18"/>
              </w:rPr>
              <w:t xml:space="preserve"> </w:t>
            </w:r>
            <w:r>
              <w:rPr>
                <w:rFonts w:ascii="Arial" w:hAnsi="Arial"/>
                <w:b/>
                <w:sz w:val="18"/>
              </w:rPr>
              <w:t>1</w:t>
            </w:r>
            <w:r>
              <w:rPr>
                <w:rFonts w:ascii="Arial" w:hAnsi="Arial"/>
                <w:b/>
                <w:spacing w:val="2"/>
                <w:sz w:val="18"/>
              </w:rPr>
              <w:t xml:space="preserve"> </w:t>
            </w:r>
            <w:r>
              <w:rPr>
                <w:rFonts w:ascii="Arial" w:hAnsi="Arial"/>
                <w:b/>
                <w:spacing w:val="-5"/>
                <w:sz w:val="18"/>
              </w:rPr>
              <w:t>ano</w:t>
            </w:r>
          </w:p>
        </w:tc>
        <w:tc>
          <w:tcPr>
            <w:tcW w:w="1133" w:type="dxa"/>
          </w:tcPr>
          <w:p w14:paraId="7A1918FD" w14:textId="77777777" w:rsidR="002C6574" w:rsidRDefault="00000000">
            <w:pPr>
              <w:pStyle w:val="TableParagraph"/>
              <w:spacing w:line="206" w:lineRule="exact"/>
              <w:ind w:left="355" w:hanging="130"/>
              <w:jc w:val="left"/>
              <w:rPr>
                <w:rFonts w:ascii="Arial"/>
                <w:b/>
                <w:sz w:val="18"/>
              </w:rPr>
            </w:pPr>
            <w:r>
              <w:rPr>
                <w:rFonts w:ascii="Arial"/>
                <w:b/>
                <w:sz w:val="18"/>
              </w:rPr>
              <w:t>De</w:t>
            </w:r>
            <w:r>
              <w:rPr>
                <w:rFonts w:ascii="Arial"/>
                <w:b/>
                <w:spacing w:val="-13"/>
                <w:sz w:val="18"/>
              </w:rPr>
              <w:t xml:space="preserve"> </w:t>
            </w:r>
            <w:r>
              <w:rPr>
                <w:rFonts w:ascii="Arial"/>
                <w:b/>
                <w:sz w:val="18"/>
              </w:rPr>
              <w:t>1</w:t>
            </w:r>
            <w:r>
              <w:rPr>
                <w:rFonts w:ascii="Arial"/>
                <w:b/>
                <w:spacing w:val="-11"/>
                <w:sz w:val="18"/>
              </w:rPr>
              <w:t xml:space="preserve"> </w:t>
            </w:r>
            <w:r>
              <w:rPr>
                <w:rFonts w:ascii="Arial"/>
                <w:b/>
                <w:sz w:val="18"/>
              </w:rPr>
              <w:t>a</w:t>
            </w:r>
            <w:r>
              <w:rPr>
                <w:rFonts w:ascii="Arial"/>
                <w:b/>
                <w:spacing w:val="-13"/>
                <w:sz w:val="18"/>
              </w:rPr>
              <w:t xml:space="preserve"> </w:t>
            </w:r>
            <w:r>
              <w:rPr>
                <w:rFonts w:ascii="Arial"/>
                <w:b/>
                <w:sz w:val="18"/>
              </w:rPr>
              <w:t xml:space="preserve">2 </w:t>
            </w:r>
            <w:r>
              <w:rPr>
                <w:rFonts w:ascii="Arial"/>
                <w:b/>
                <w:spacing w:val="-4"/>
                <w:sz w:val="18"/>
              </w:rPr>
              <w:t>anos</w:t>
            </w:r>
          </w:p>
        </w:tc>
        <w:tc>
          <w:tcPr>
            <w:tcW w:w="1133" w:type="dxa"/>
          </w:tcPr>
          <w:p w14:paraId="2FE0A470" w14:textId="77777777" w:rsidR="002C6574" w:rsidRDefault="00000000">
            <w:pPr>
              <w:pStyle w:val="TableParagraph"/>
              <w:spacing w:line="206" w:lineRule="exact"/>
              <w:ind w:left="355" w:hanging="130"/>
              <w:jc w:val="left"/>
              <w:rPr>
                <w:rFonts w:ascii="Arial"/>
                <w:b/>
                <w:sz w:val="18"/>
              </w:rPr>
            </w:pPr>
            <w:r>
              <w:rPr>
                <w:rFonts w:ascii="Arial"/>
                <w:b/>
                <w:sz w:val="18"/>
              </w:rPr>
              <w:t>De</w:t>
            </w:r>
            <w:r>
              <w:rPr>
                <w:rFonts w:ascii="Arial"/>
                <w:b/>
                <w:spacing w:val="-13"/>
                <w:sz w:val="18"/>
              </w:rPr>
              <w:t xml:space="preserve"> </w:t>
            </w:r>
            <w:r>
              <w:rPr>
                <w:rFonts w:ascii="Arial"/>
                <w:b/>
                <w:sz w:val="18"/>
              </w:rPr>
              <w:t>2</w:t>
            </w:r>
            <w:r>
              <w:rPr>
                <w:rFonts w:ascii="Arial"/>
                <w:b/>
                <w:spacing w:val="-11"/>
                <w:sz w:val="18"/>
              </w:rPr>
              <w:t xml:space="preserve"> </w:t>
            </w:r>
            <w:r>
              <w:rPr>
                <w:rFonts w:ascii="Arial"/>
                <w:b/>
                <w:sz w:val="18"/>
              </w:rPr>
              <w:t>a</w:t>
            </w:r>
            <w:r>
              <w:rPr>
                <w:rFonts w:ascii="Arial"/>
                <w:b/>
                <w:spacing w:val="-13"/>
                <w:sz w:val="18"/>
              </w:rPr>
              <w:t xml:space="preserve"> </w:t>
            </w:r>
            <w:r>
              <w:rPr>
                <w:rFonts w:ascii="Arial"/>
                <w:b/>
                <w:sz w:val="18"/>
              </w:rPr>
              <w:t xml:space="preserve">5 </w:t>
            </w:r>
            <w:r>
              <w:rPr>
                <w:rFonts w:ascii="Arial"/>
                <w:b/>
                <w:spacing w:val="-4"/>
                <w:sz w:val="18"/>
              </w:rPr>
              <w:t>anos</w:t>
            </w:r>
          </w:p>
        </w:tc>
        <w:tc>
          <w:tcPr>
            <w:tcW w:w="1131" w:type="dxa"/>
          </w:tcPr>
          <w:p w14:paraId="58112059" w14:textId="77777777" w:rsidR="002C6574" w:rsidRDefault="00000000">
            <w:pPr>
              <w:pStyle w:val="TableParagraph"/>
              <w:spacing w:line="206" w:lineRule="exact"/>
              <w:ind w:left="354" w:hanging="197"/>
              <w:jc w:val="left"/>
              <w:rPr>
                <w:rFonts w:ascii="Arial"/>
                <w:b/>
                <w:sz w:val="18"/>
              </w:rPr>
            </w:pPr>
            <w:r>
              <w:rPr>
                <w:rFonts w:ascii="Arial"/>
                <w:b/>
                <w:sz w:val="18"/>
              </w:rPr>
              <w:t>Mais</w:t>
            </w:r>
            <w:r>
              <w:rPr>
                <w:rFonts w:ascii="Arial"/>
                <w:b/>
                <w:spacing w:val="-15"/>
                <w:sz w:val="18"/>
              </w:rPr>
              <w:t xml:space="preserve"> </w:t>
            </w:r>
            <w:r>
              <w:rPr>
                <w:rFonts w:ascii="Arial"/>
                <w:b/>
                <w:sz w:val="18"/>
              </w:rPr>
              <w:t>de</w:t>
            </w:r>
            <w:r>
              <w:rPr>
                <w:rFonts w:ascii="Arial"/>
                <w:b/>
                <w:spacing w:val="-12"/>
                <w:sz w:val="18"/>
              </w:rPr>
              <w:t xml:space="preserve"> </w:t>
            </w:r>
            <w:r>
              <w:rPr>
                <w:rFonts w:ascii="Arial"/>
                <w:b/>
                <w:sz w:val="18"/>
              </w:rPr>
              <w:t xml:space="preserve">5 </w:t>
            </w:r>
            <w:r>
              <w:rPr>
                <w:rFonts w:ascii="Arial"/>
                <w:b/>
                <w:spacing w:val="-4"/>
                <w:sz w:val="18"/>
              </w:rPr>
              <w:t>anos</w:t>
            </w:r>
          </w:p>
        </w:tc>
      </w:tr>
      <w:tr w:rsidR="002C6574" w14:paraId="7899D298" w14:textId="77777777">
        <w:trPr>
          <w:trHeight w:val="232"/>
        </w:trPr>
        <w:tc>
          <w:tcPr>
            <w:tcW w:w="4106" w:type="dxa"/>
          </w:tcPr>
          <w:p w14:paraId="00E8983D" w14:textId="77777777" w:rsidR="002C6574" w:rsidRDefault="00000000">
            <w:pPr>
              <w:pStyle w:val="TableParagraph"/>
              <w:spacing w:line="212" w:lineRule="exact"/>
              <w:ind w:left="69"/>
              <w:jc w:val="left"/>
              <w:rPr>
                <w:sz w:val="18"/>
              </w:rPr>
            </w:pPr>
            <w:r>
              <w:rPr>
                <w:spacing w:val="-2"/>
                <w:w w:val="105"/>
                <w:sz w:val="18"/>
              </w:rPr>
              <w:t>Fornecedores</w:t>
            </w:r>
          </w:p>
        </w:tc>
        <w:tc>
          <w:tcPr>
            <w:tcW w:w="1135" w:type="dxa"/>
          </w:tcPr>
          <w:p w14:paraId="76250837" w14:textId="77777777" w:rsidR="002C6574" w:rsidRDefault="00000000">
            <w:pPr>
              <w:pStyle w:val="TableParagraph"/>
              <w:spacing w:line="212" w:lineRule="exact"/>
              <w:ind w:right="59"/>
              <w:rPr>
                <w:sz w:val="18"/>
              </w:rPr>
            </w:pPr>
            <w:r>
              <w:rPr>
                <w:spacing w:val="-2"/>
                <w:w w:val="105"/>
                <w:sz w:val="18"/>
              </w:rPr>
              <w:t>151.794</w:t>
            </w:r>
          </w:p>
        </w:tc>
        <w:tc>
          <w:tcPr>
            <w:tcW w:w="1133" w:type="dxa"/>
          </w:tcPr>
          <w:p w14:paraId="05B91EB2" w14:textId="77777777" w:rsidR="002C6574" w:rsidRDefault="00000000">
            <w:pPr>
              <w:pStyle w:val="TableParagraph"/>
              <w:spacing w:line="212" w:lineRule="exact"/>
              <w:ind w:right="55"/>
              <w:rPr>
                <w:sz w:val="18"/>
              </w:rPr>
            </w:pPr>
            <w:r>
              <w:rPr>
                <w:spacing w:val="-2"/>
                <w:w w:val="105"/>
                <w:sz w:val="18"/>
              </w:rPr>
              <w:t>151.794</w:t>
            </w:r>
          </w:p>
        </w:tc>
        <w:tc>
          <w:tcPr>
            <w:tcW w:w="1133" w:type="dxa"/>
          </w:tcPr>
          <w:p w14:paraId="29DB434B" w14:textId="77777777" w:rsidR="002C6574" w:rsidRDefault="00000000">
            <w:pPr>
              <w:pStyle w:val="TableParagraph"/>
              <w:spacing w:line="212" w:lineRule="exact"/>
              <w:ind w:right="57"/>
              <w:rPr>
                <w:sz w:val="18"/>
              </w:rPr>
            </w:pPr>
            <w:r>
              <w:rPr>
                <w:spacing w:val="-10"/>
                <w:w w:val="95"/>
                <w:sz w:val="18"/>
              </w:rPr>
              <w:t>-</w:t>
            </w:r>
          </w:p>
        </w:tc>
        <w:tc>
          <w:tcPr>
            <w:tcW w:w="1133" w:type="dxa"/>
          </w:tcPr>
          <w:p w14:paraId="5BB169AA" w14:textId="77777777" w:rsidR="002C6574" w:rsidRDefault="00000000">
            <w:pPr>
              <w:pStyle w:val="TableParagraph"/>
              <w:spacing w:line="212" w:lineRule="exact"/>
              <w:ind w:right="107"/>
              <w:rPr>
                <w:sz w:val="18"/>
              </w:rPr>
            </w:pPr>
            <w:r>
              <w:rPr>
                <w:spacing w:val="-10"/>
                <w:w w:val="95"/>
                <w:sz w:val="18"/>
              </w:rPr>
              <w:t>-</w:t>
            </w:r>
          </w:p>
        </w:tc>
        <w:tc>
          <w:tcPr>
            <w:tcW w:w="1131" w:type="dxa"/>
          </w:tcPr>
          <w:p w14:paraId="402F7B4B" w14:textId="77777777" w:rsidR="002C6574" w:rsidRDefault="00000000">
            <w:pPr>
              <w:pStyle w:val="TableParagraph"/>
              <w:spacing w:line="212" w:lineRule="exact"/>
              <w:ind w:right="108"/>
              <w:rPr>
                <w:sz w:val="18"/>
              </w:rPr>
            </w:pPr>
            <w:r>
              <w:rPr>
                <w:spacing w:val="-10"/>
                <w:w w:val="95"/>
                <w:sz w:val="18"/>
              </w:rPr>
              <w:t>-</w:t>
            </w:r>
          </w:p>
        </w:tc>
      </w:tr>
      <w:tr w:rsidR="002C6574" w14:paraId="034E4847" w14:textId="77777777">
        <w:trPr>
          <w:trHeight w:val="232"/>
        </w:trPr>
        <w:tc>
          <w:tcPr>
            <w:tcW w:w="4106" w:type="dxa"/>
          </w:tcPr>
          <w:p w14:paraId="40311611" w14:textId="77777777" w:rsidR="002C6574" w:rsidRDefault="00000000">
            <w:pPr>
              <w:pStyle w:val="TableParagraph"/>
              <w:spacing w:line="212" w:lineRule="exact"/>
              <w:ind w:left="69"/>
              <w:jc w:val="left"/>
              <w:rPr>
                <w:sz w:val="18"/>
              </w:rPr>
            </w:pPr>
            <w:r>
              <w:rPr>
                <w:spacing w:val="-2"/>
                <w:sz w:val="18"/>
              </w:rPr>
              <w:t>Arrendamento</w:t>
            </w:r>
            <w:r>
              <w:rPr>
                <w:spacing w:val="1"/>
                <w:sz w:val="18"/>
              </w:rPr>
              <w:t xml:space="preserve"> </w:t>
            </w:r>
            <w:r>
              <w:rPr>
                <w:spacing w:val="-2"/>
                <w:sz w:val="18"/>
              </w:rPr>
              <w:t>Mercantil</w:t>
            </w:r>
            <w:r>
              <w:rPr>
                <w:spacing w:val="4"/>
                <w:sz w:val="18"/>
              </w:rPr>
              <w:t xml:space="preserve"> </w:t>
            </w:r>
            <w:r>
              <w:rPr>
                <w:spacing w:val="-2"/>
                <w:sz w:val="18"/>
              </w:rPr>
              <w:t>Financeiro</w:t>
            </w:r>
          </w:p>
        </w:tc>
        <w:tc>
          <w:tcPr>
            <w:tcW w:w="1135" w:type="dxa"/>
          </w:tcPr>
          <w:p w14:paraId="362865F7" w14:textId="77777777" w:rsidR="002C6574" w:rsidRDefault="00000000">
            <w:pPr>
              <w:pStyle w:val="TableParagraph"/>
              <w:spacing w:line="212" w:lineRule="exact"/>
              <w:ind w:right="57"/>
              <w:rPr>
                <w:sz w:val="18"/>
              </w:rPr>
            </w:pPr>
            <w:r>
              <w:rPr>
                <w:spacing w:val="-2"/>
                <w:w w:val="105"/>
                <w:sz w:val="18"/>
              </w:rPr>
              <w:t>19.879</w:t>
            </w:r>
          </w:p>
        </w:tc>
        <w:tc>
          <w:tcPr>
            <w:tcW w:w="1133" w:type="dxa"/>
          </w:tcPr>
          <w:p w14:paraId="46DC7BC3" w14:textId="77777777" w:rsidR="002C6574" w:rsidRDefault="00000000">
            <w:pPr>
              <w:pStyle w:val="TableParagraph"/>
              <w:spacing w:line="212" w:lineRule="exact"/>
              <w:ind w:right="55"/>
              <w:rPr>
                <w:sz w:val="18"/>
              </w:rPr>
            </w:pPr>
            <w:r>
              <w:rPr>
                <w:spacing w:val="-2"/>
                <w:w w:val="110"/>
                <w:sz w:val="18"/>
              </w:rPr>
              <w:t>5.093</w:t>
            </w:r>
          </w:p>
        </w:tc>
        <w:tc>
          <w:tcPr>
            <w:tcW w:w="1133" w:type="dxa"/>
          </w:tcPr>
          <w:p w14:paraId="1384C92D" w14:textId="77777777" w:rsidR="002C6574" w:rsidRDefault="00000000">
            <w:pPr>
              <w:pStyle w:val="TableParagraph"/>
              <w:spacing w:line="212" w:lineRule="exact"/>
              <w:ind w:right="55"/>
              <w:rPr>
                <w:sz w:val="18"/>
              </w:rPr>
            </w:pPr>
            <w:r>
              <w:rPr>
                <w:spacing w:val="-2"/>
                <w:w w:val="110"/>
                <w:sz w:val="18"/>
              </w:rPr>
              <w:t>8.203</w:t>
            </w:r>
          </w:p>
        </w:tc>
        <w:tc>
          <w:tcPr>
            <w:tcW w:w="1133" w:type="dxa"/>
          </w:tcPr>
          <w:p w14:paraId="682674F3" w14:textId="77777777" w:rsidR="002C6574" w:rsidRDefault="00000000">
            <w:pPr>
              <w:pStyle w:val="TableParagraph"/>
              <w:spacing w:line="212" w:lineRule="exact"/>
              <w:ind w:right="56"/>
              <w:rPr>
                <w:sz w:val="18"/>
              </w:rPr>
            </w:pPr>
            <w:r>
              <w:rPr>
                <w:spacing w:val="-2"/>
                <w:w w:val="110"/>
                <w:sz w:val="18"/>
              </w:rPr>
              <w:t>6.534</w:t>
            </w:r>
          </w:p>
        </w:tc>
        <w:tc>
          <w:tcPr>
            <w:tcW w:w="1131" w:type="dxa"/>
          </w:tcPr>
          <w:p w14:paraId="2661718F" w14:textId="77777777" w:rsidR="002C6574" w:rsidRDefault="00000000">
            <w:pPr>
              <w:pStyle w:val="TableParagraph"/>
              <w:spacing w:line="212" w:lineRule="exact"/>
              <w:ind w:right="57"/>
              <w:rPr>
                <w:sz w:val="18"/>
              </w:rPr>
            </w:pPr>
            <w:r>
              <w:rPr>
                <w:spacing w:val="-5"/>
                <w:w w:val="105"/>
                <w:sz w:val="18"/>
              </w:rPr>
              <w:t>49</w:t>
            </w:r>
          </w:p>
        </w:tc>
      </w:tr>
      <w:tr w:rsidR="002C6574" w14:paraId="0CD3A758" w14:textId="77777777">
        <w:trPr>
          <w:trHeight w:val="232"/>
        </w:trPr>
        <w:tc>
          <w:tcPr>
            <w:tcW w:w="4106" w:type="dxa"/>
          </w:tcPr>
          <w:p w14:paraId="6D3790A6" w14:textId="77777777" w:rsidR="002C6574" w:rsidRDefault="00000000">
            <w:pPr>
              <w:pStyle w:val="TableParagraph"/>
              <w:spacing w:before="11" w:line="201" w:lineRule="exact"/>
              <w:ind w:left="69"/>
              <w:jc w:val="left"/>
              <w:rPr>
                <w:rFonts w:ascii="Arial"/>
                <w:b/>
                <w:sz w:val="18"/>
              </w:rPr>
            </w:pPr>
            <w:r>
              <w:rPr>
                <w:rFonts w:ascii="Arial"/>
                <w:b/>
                <w:spacing w:val="-2"/>
                <w:sz w:val="18"/>
              </w:rPr>
              <w:t>Total</w:t>
            </w:r>
          </w:p>
        </w:tc>
        <w:tc>
          <w:tcPr>
            <w:tcW w:w="1135" w:type="dxa"/>
          </w:tcPr>
          <w:p w14:paraId="07B52DBE" w14:textId="77777777" w:rsidR="002C6574" w:rsidRDefault="00000000">
            <w:pPr>
              <w:pStyle w:val="TableParagraph"/>
              <w:spacing w:before="11" w:line="201" w:lineRule="exact"/>
              <w:ind w:right="57"/>
              <w:rPr>
                <w:rFonts w:ascii="Arial"/>
                <w:b/>
                <w:sz w:val="18"/>
              </w:rPr>
            </w:pPr>
            <w:r>
              <w:rPr>
                <w:rFonts w:ascii="Arial"/>
                <w:b/>
                <w:spacing w:val="-2"/>
                <w:sz w:val="18"/>
              </w:rPr>
              <w:t>171.673</w:t>
            </w:r>
          </w:p>
        </w:tc>
        <w:tc>
          <w:tcPr>
            <w:tcW w:w="1133" w:type="dxa"/>
          </w:tcPr>
          <w:p w14:paraId="4CA878C3" w14:textId="77777777" w:rsidR="002C6574" w:rsidRDefault="00000000">
            <w:pPr>
              <w:pStyle w:val="TableParagraph"/>
              <w:spacing w:before="11" w:line="201" w:lineRule="exact"/>
              <w:ind w:right="55"/>
              <w:rPr>
                <w:rFonts w:ascii="Arial"/>
                <w:b/>
                <w:sz w:val="18"/>
              </w:rPr>
            </w:pPr>
            <w:r>
              <w:rPr>
                <w:rFonts w:ascii="Arial"/>
                <w:b/>
                <w:spacing w:val="-2"/>
                <w:sz w:val="18"/>
              </w:rPr>
              <w:t>156.887</w:t>
            </w:r>
          </w:p>
        </w:tc>
        <w:tc>
          <w:tcPr>
            <w:tcW w:w="1133" w:type="dxa"/>
          </w:tcPr>
          <w:p w14:paraId="762DA727" w14:textId="77777777" w:rsidR="002C6574" w:rsidRDefault="00000000">
            <w:pPr>
              <w:pStyle w:val="TableParagraph"/>
              <w:spacing w:before="11" w:line="201" w:lineRule="exact"/>
              <w:ind w:right="55"/>
              <w:rPr>
                <w:rFonts w:ascii="Arial"/>
                <w:b/>
                <w:sz w:val="18"/>
              </w:rPr>
            </w:pPr>
            <w:r>
              <w:rPr>
                <w:rFonts w:ascii="Arial"/>
                <w:b/>
                <w:spacing w:val="-2"/>
                <w:sz w:val="18"/>
              </w:rPr>
              <w:t>8.203</w:t>
            </w:r>
          </w:p>
        </w:tc>
        <w:tc>
          <w:tcPr>
            <w:tcW w:w="1133" w:type="dxa"/>
          </w:tcPr>
          <w:p w14:paraId="50728CF6" w14:textId="77777777" w:rsidR="002C6574" w:rsidRDefault="00000000">
            <w:pPr>
              <w:pStyle w:val="TableParagraph"/>
              <w:spacing w:before="11" w:line="201" w:lineRule="exact"/>
              <w:ind w:right="56"/>
              <w:rPr>
                <w:rFonts w:ascii="Arial"/>
                <w:b/>
                <w:sz w:val="18"/>
              </w:rPr>
            </w:pPr>
            <w:r>
              <w:rPr>
                <w:rFonts w:ascii="Arial"/>
                <w:b/>
                <w:spacing w:val="-2"/>
                <w:sz w:val="18"/>
              </w:rPr>
              <w:t>6.534</w:t>
            </w:r>
          </w:p>
        </w:tc>
        <w:tc>
          <w:tcPr>
            <w:tcW w:w="1131" w:type="dxa"/>
          </w:tcPr>
          <w:p w14:paraId="559694B4" w14:textId="77777777" w:rsidR="002C6574" w:rsidRDefault="00000000">
            <w:pPr>
              <w:pStyle w:val="TableParagraph"/>
              <w:spacing w:before="11" w:line="201" w:lineRule="exact"/>
              <w:ind w:right="57"/>
              <w:rPr>
                <w:rFonts w:ascii="Arial"/>
                <w:b/>
                <w:sz w:val="18"/>
              </w:rPr>
            </w:pPr>
            <w:r>
              <w:rPr>
                <w:rFonts w:ascii="Arial"/>
                <w:b/>
                <w:spacing w:val="-5"/>
                <w:sz w:val="18"/>
              </w:rPr>
              <w:t>49</w:t>
            </w:r>
          </w:p>
        </w:tc>
      </w:tr>
    </w:tbl>
    <w:p w14:paraId="2EC7884D" w14:textId="77777777" w:rsidR="002C6574" w:rsidRDefault="002C6574">
      <w:pPr>
        <w:pStyle w:val="TableParagraph"/>
        <w:spacing w:line="201" w:lineRule="exact"/>
        <w:rPr>
          <w:rFonts w:ascii="Arial"/>
          <w:b/>
          <w:sz w:val="18"/>
        </w:rPr>
        <w:sectPr w:rsidR="002C6574">
          <w:pgSz w:w="11910" w:h="16840"/>
          <w:pgMar w:top="1600" w:right="141" w:bottom="1380" w:left="1133" w:header="856" w:footer="1113" w:gutter="0"/>
          <w:cols w:space="720"/>
        </w:sectPr>
      </w:pPr>
    </w:p>
    <w:p w14:paraId="37C4C7B1" w14:textId="77777777" w:rsidR="002C6574" w:rsidRDefault="00000000">
      <w:pPr>
        <w:numPr>
          <w:ilvl w:val="2"/>
          <w:numId w:val="46"/>
        </w:numPr>
        <w:tabs>
          <w:tab w:val="left" w:pos="847"/>
        </w:tabs>
        <w:spacing w:before="229"/>
        <w:ind w:left="847" w:hanging="704"/>
        <w:rPr>
          <w:rFonts w:ascii="Arial"/>
          <w:b/>
        </w:rPr>
      </w:pPr>
      <w:r>
        <w:rPr>
          <w:rFonts w:ascii="Arial"/>
          <w:b/>
        </w:rPr>
        <w:lastRenderedPageBreak/>
        <w:t>Risco</w:t>
      </w:r>
      <w:r>
        <w:rPr>
          <w:rFonts w:ascii="Arial"/>
          <w:b/>
          <w:spacing w:val="-2"/>
        </w:rPr>
        <w:t xml:space="preserve"> </w:t>
      </w:r>
      <w:r>
        <w:rPr>
          <w:rFonts w:ascii="Arial"/>
          <w:b/>
        </w:rPr>
        <w:t>de</w:t>
      </w:r>
      <w:r>
        <w:rPr>
          <w:rFonts w:ascii="Arial"/>
          <w:b/>
          <w:spacing w:val="-2"/>
        </w:rPr>
        <w:t xml:space="preserve"> mercado</w:t>
      </w:r>
    </w:p>
    <w:p w14:paraId="132DA35A" w14:textId="77777777" w:rsidR="002C6574" w:rsidRDefault="002C6574">
      <w:pPr>
        <w:pStyle w:val="Corpodetexto"/>
        <w:spacing w:before="60"/>
        <w:rPr>
          <w:rFonts w:ascii="Arial"/>
          <w:b/>
        </w:rPr>
      </w:pPr>
    </w:p>
    <w:p w14:paraId="58E06333" w14:textId="77777777" w:rsidR="002C6574" w:rsidRDefault="00000000">
      <w:pPr>
        <w:pStyle w:val="PargrafodaLista"/>
        <w:numPr>
          <w:ilvl w:val="3"/>
          <w:numId w:val="46"/>
        </w:numPr>
        <w:tabs>
          <w:tab w:val="left" w:pos="992"/>
        </w:tabs>
        <w:ind w:left="992" w:hanging="849"/>
        <w:rPr>
          <w:rFonts w:ascii="Arial"/>
          <w:b/>
        </w:rPr>
      </w:pPr>
      <w:r>
        <w:rPr>
          <w:rFonts w:ascii="Arial"/>
          <w:b/>
        </w:rPr>
        <w:t>Risco</w:t>
      </w:r>
      <w:r>
        <w:rPr>
          <w:rFonts w:ascii="Arial"/>
          <w:b/>
          <w:spacing w:val="-5"/>
        </w:rPr>
        <w:t xml:space="preserve"> </w:t>
      </w:r>
      <w:r>
        <w:rPr>
          <w:rFonts w:ascii="Arial"/>
          <w:b/>
        </w:rPr>
        <w:t>de</w:t>
      </w:r>
      <w:r>
        <w:rPr>
          <w:rFonts w:ascii="Arial"/>
          <w:b/>
          <w:spacing w:val="-4"/>
        </w:rPr>
        <w:t xml:space="preserve"> </w:t>
      </w:r>
      <w:r>
        <w:rPr>
          <w:rFonts w:ascii="Arial"/>
          <w:b/>
        </w:rPr>
        <w:t>taxa</w:t>
      </w:r>
      <w:r>
        <w:rPr>
          <w:rFonts w:ascii="Arial"/>
          <w:b/>
          <w:spacing w:val="-1"/>
        </w:rPr>
        <w:t xml:space="preserve"> </w:t>
      </w:r>
      <w:r>
        <w:rPr>
          <w:rFonts w:ascii="Arial"/>
          <w:b/>
        </w:rPr>
        <w:t>de</w:t>
      </w:r>
      <w:r>
        <w:rPr>
          <w:rFonts w:ascii="Arial"/>
          <w:b/>
          <w:spacing w:val="-4"/>
        </w:rPr>
        <w:t xml:space="preserve"> juros</w:t>
      </w:r>
    </w:p>
    <w:p w14:paraId="334A7B83" w14:textId="77777777" w:rsidR="002C6574" w:rsidRDefault="002C6574">
      <w:pPr>
        <w:pStyle w:val="Corpodetexto"/>
        <w:spacing w:before="49"/>
        <w:rPr>
          <w:rFonts w:ascii="Arial"/>
          <w:b/>
        </w:rPr>
      </w:pPr>
    </w:p>
    <w:p w14:paraId="4B711E37" w14:textId="77777777" w:rsidR="002C6574" w:rsidRDefault="00000000">
      <w:pPr>
        <w:pStyle w:val="Corpodetexto"/>
        <w:spacing w:line="237" w:lineRule="auto"/>
        <w:ind w:left="143" w:right="702"/>
        <w:jc w:val="both"/>
      </w:pPr>
      <w:r>
        <w:t>Consiste na</w:t>
      </w:r>
      <w:r>
        <w:rPr>
          <w:spacing w:val="-3"/>
        </w:rPr>
        <w:t xml:space="preserve"> </w:t>
      </w:r>
      <w:r>
        <w:t>possibilidade de</w:t>
      </w:r>
      <w:r>
        <w:rPr>
          <w:spacing w:val="-3"/>
        </w:rPr>
        <w:t xml:space="preserve"> </w:t>
      </w:r>
      <w:r>
        <w:t>a Companhia</w:t>
      </w:r>
      <w:r>
        <w:rPr>
          <w:spacing w:val="-1"/>
        </w:rPr>
        <w:t xml:space="preserve"> </w:t>
      </w:r>
      <w:r>
        <w:t>vir a</w:t>
      </w:r>
      <w:r>
        <w:rPr>
          <w:spacing w:val="-3"/>
        </w:rPr>
        <w:t xml:space="preserve"> </w:t>
      </w:r>
      <w:r>
        <w:t>incorrer em perdas por conta de</w:t>
      </w:r>
      <w:r>
        <w:rPr>
          <w:spacing w:val="-5"/>
        </w:rPr>
        <w:t xml:space="preserve"> </w:t>
      </w:r>
      <w:r>
        <w:t>flutuações</w:t>
      </w:r>
      <w:r>
        <w:rPr>
          <w:spacing w:val="-2"/>
        </w:rPr>
        <w:t xml:space="preserve"> </w:t>
      </w:r>
      <w:r>
        <w:t>nas</w:t>
      </w:r>
      <w:r>
        <w:rPr>
          <w:spacing w:val="-4"/>
        </w:rPr>
        <w:t xml:space="preserve"> </w:t>
      </w:r>
      <w:r>
        <w:t>taxas de juros, fazendo com que aumentem as despesas financeiras relativas a passivos sujeitos a juros flutuantes, que</w:t>
      </w:r>
      <w:r>
        <w:rPr>
          <w:spacing w:val="-1"/>
        </w:rPr>
        <w:t xml:space="preserve"> </w:t>
      </w:r>
      <w:r>
        <w:t>reduzem</w:t>
      </w:r>
      <w:r>
        <w:rPr>
          <w:spacing w:val="-2"/>
        </w:rPr>
        <w:t xml:space="preserve"> </w:t>
      </w:r>
      <w:r>
        <w:t>o rendimento</w:t>
      </w:r>
      <w:r>
        <w:rPr>
          <w:spacing w:val="-3"/>
        </w:rPr>
        <w:t xml:space="preserve"> </w:t>
      </w:r>
      <w:r>
        <w:t>dos</w:t>
      </w:r>
      <w:r>
        <w:rPr>
          <w:spacing w:val="-2"/>
        </w:rPr>
        <w:t xml:space="preserve"> </w:t>
      </w:r>
      <w:r>
        <w:t>ativos sujeitos</w:t>
      </w:r>
      <w:r>
        <w:rPr>
          <w:spacing w:val="-2"/>
        </w:rPr>
        <w:t xml:space="preserve"> </w:t>
      </w:r>
      <w:r>
        <w:t>a</w:t>
      </w:r>
      <w:r>
        <w:rPr>
          <w:spacing w:val="-1"/>
        </w:rPr>
        <w:t xml:space="preserve"> </w:t>
      </w:r>
      <w:r>
        <w:t>juros</w:t>
      </w:r>
      <w:r>
        <w:rPr>
          <w:spacing w:val="-2"/>
        </w:rPr>
        <w:t xml:space="preserve"> </w:t>
      </w:r>
      <w:r>
        <w:t>flutuantes e/ou quando</w:t>
      </w:r>
      <w:r>
        <w:rPr>
          <w:spacing w:val="-1"/>
        </w:rPr>
        <w:t xml:space="preserve"> </w:t>
      </w:r>
      <w:r>
        <w:t>a</w:t>
      </w:r>
      <w:r>
        <w:rPr>
          <w:spacing w:val="-3"/>
        </w:rPr>
        <w:t xml:space="preserve"> </w:t>
      </w:r>
      <w:r>
        <w:t>flutuação do valor justo na apuração do preço de ativos e passivos, que estejam marcados a mercado, sejam corrigidos com taxas prefixadas.</w:t>
      </w:r>
    </w:p>
    <w:p w14:paraId="4DA104B6" w14:textId="77777777" w:rsidR="002C6574" w:rsidRDefault="002C6574">
      <w:pPr>
        <w:pStyle w:val="Corpodetexto"/>
        <w:spacing w:before="1"/>
      </w:pPr>
    </w:p>
    <w:p w14:paraId="353EA710" w14:textId="77777777" w:rsidR="002C6574" w:rsidRDefault="00000000">
      <w:pPr>
        <w:pStyle w:val="Corpodetexto"/>
        <w:ind w:left="143" w:right="702"/>
        <w:jc w:val="both"/>
      </w:pPr>
      <w:r>
        <w:t>As principais rubricas das informações contábeis intermediárias sujeitas a risco de taxa de juros são: caixa, equivalentes de caixa e investimentos financeiros, pois são devido às limitações impostas pelo Conselho</w:t>
      </w:r>
      <w:r>
        <w:rPr>
          <w:spacing w:val="21"/>
        </w:rPr>
        <w:t xml:space="preserve"> </w:t>
      </w:r>
      <w:r>
        <w:t>Monetário Nacional e</w:t>
      </w:r>
      <w:r>
        <w:rPr>
          <w:spacing w:val="21"/>
        </w:rPr>
        <w:t xml:space="preserve"> </w:t>
      </w:r>
      <w:r>
        <w:t>pelo Banco</w:t>
      </w:r>
      <w:r>
        <w:rPr>
          <w:spacing w:val="21"/>
        </w:rPr>
        <w:t xml:space="preserve"> </w:t>
      </w:r>
      <w:r>
        <w:t>Central do Brasil,</w:t>
      </w:r>
      <w:r>
        <w:rPr>
          <w:spacing w:val="21"/>
        </w:rPr>
        <w:t xml:space="preserve"> </w:t>
      </w:r>
      <w:r>
        <w:t>através</w:t>
      </w:r>
      <w:r>
        <w:rPr>
          <w:spacing w:val="21"/>
        </w:rPr>
        <w:t xml:space="preserve"> </w:t>
      </w:r>
      <w:r>
        <w:t>da Resolução n°</w:t>
      </w:r>
      <w:r>
        <w:rPr>
          <w:spacing w:val="21"/>
        </w:rPr>
        <w:t xml:space="preserve"> </w:t>
      </w:r>
      <w:r>
        <w:t>4.986 de</w:t>
      </w:r>
      <w:r>
        <w:rPr>
          <w:spacing w:val="21"/>
        </w:rPr>
        <w:t xml:space="preserve"> </w:t>
      </w:r>
      <w:r>
        <w:t>17 de fevereiro de 2022, para aplicação de recursos disponíveis para investimentos, tornando a exposição da Companhia para este tipo de risco baixo. Os investimentos financeiros são realizados em fundos de investimento extramercado administrados pela Caixa Econômica Federal e pelo Banco do Brasil S.A.</w:t>
      </w:r>
    </w:p>
    <w:p w14:paraId="3F9BEEB3" w14:textId="77777777" w:rsidR="002C6574" w:rsidRDefault="00000000">
      <w:pPr>
        <w:numPr>
          <w:ilvl w:val="2"/>
          <w:numId w:val="46"/>
        </w:numPr>
        <w:tabs>
          <w:tab w:val="left" w:pos="847"/>
        </w:tabs>
        <w:spacing w:before="205"/>
        <w:ind w:left="847" w:hanging="704"/>
        <w:rPr>
          <w:rFonts w:ascii="Arial"/>
          <w:b/>
        </w:rPr>
      </w:pPr>
      <w:r>
        <w:rPr>
          <w:rFonts w:ascii="Arial"/>
          <w:b/>
        </w:rPr>
        <w:t>Risco</w:t>
      </w:r>
      <w:r>
        <w:rPr>
          <w:rFonts w:ascii="Arial"/>
          <w:b/>
          <w:spacing w:val="-2"/>
        </w:rPr>
        <w:t xml:space="preserve"> operacional</w:t>
      </w:r>
    </w:p>
    <w:p w14:paraId="5C21135B" w14:textId="77777777" w:rsidR="002C6574" w:rsidRDefault="002C6574">
      <w:pPr>
        <w:pStyle w:val="Corpodetexto"/>
        <w:spacing w:before="46"/>
        <w:rPr>
          <w:rFonts w:ascii="Arial"/>
          <w:b/>
        </w:rPr>
      </w:pPr>
    </w:p>
    <w:p w14:paraId="7BF06B16" w14:textId="77777777" w:rsidR="002C6574" w:rsidRDefault="00000000">
      <w:pPr>
        <w:pStyle w:val="Corpodetexto"/>
        <w:spacing w:before="1" w:line="237" w:lineRule="auto"/>
        <w:ind w:left="143" w:right="703"/>
        <w:jc w:val="both"/>
      </w:pPr>
      <w:r>
        <w:t>Risco</w:t>
      </w:r>
      <w:r>
        <w:rPr>
          <w:spacing w:val="-2"/>
        </w:rPr>
        <w:t xml:space="preserve"> </w:t>
      </w:r>
      <w:r>
        <w:t>operacional</w:t>
      </w:r>
      <w:r>
        <w:rPr>
          <w:spacing w:val="-2"/>
        </w:rPr>
        <w:t xml:space="preserve"> </w:t>
      </w:r>
      <w:r>
        <w:t>é</w:t>
      </w:r>
      <w:r>
        <w:rPr>
          <w:spacing w:val="-5"/>
        </w:rPr>
        <w:t xml:space="preserve"> </w:t>
      </w:r>
      <w:r>
        <w:t>o</w:t>
      </w:r>
      <w:r>
        <w:rPr>
          <w:spacing w:val="-4"/>
        </w:rPr>
        <w:t xml:space="preserve"> </w:t>
      </w:r>
      <w:r>
        <w:t>risco</w:t>
      </w:r>
      <w:r>
        <w:rPr>
          <w:spacing w:val="-3"/>
        </w:rPr>
        <w:t xml:space="preserve"> </w:t>
      </w:r>
      <w:r>
        <w:t>de</w:t>
      </w:r>
      <w:r>
        <w:rPr>
          <w:spacing w:val="-3"/>
        </w:rPr>
        <w:t xml:space="preserve"> </w:t>
      </w:r>
      <w:r>
        <w:t>prejuízos</w:t>
      </w:r>
      <w:r>
        <w:rPr>
          <w:spacing w:val="-2"/>
        </w:rPr>
        <w:t xml:space="preserve"> </w:t>
      </w:r>
      <w:r>
        <w:t>diretos</w:t>
      </w:r>
      <w:r>
        <w:rPr>
          <w:spacing w:val="-4"/>
        </w:rPr>
        <w:t xml:space="preserve"> </w:t>
      </w:r>
      <w:r>
        <w:t>ou</w:t>
      </w:r>
      <w:r>
        <w:rPr>
          <w:spacing w:val="-3"/>
        </w:rPr>
        <w:t xml:space="preserve"> </w:t>
      </w:r>
      <w:r>
        <w:t>indiretos</w:t>
      </w:r>
      <w:r>
        <w:rPr>
          <w:spacing w:val="-4"/>
        </w:rPr>
        <w:t xml:space="preserve"> </w:t>
      </w:r>
      <w:r>
        <w:t>decorrentes</w:t>
      </w:r>
      <w:r>
        <w:rPr>
          <w:spacing w:val="-2"/>
        </w:rPr>
        <w:t xml:space="preserve"> </w:t>
      </w:r>
      <w:r>
        <w:t>de</w:t>
      </w:r>
      <w:r>
        <w:rPr>
          <w:spacing w:val="-3"/>
        </w:rPr>
        <w:t xml:space="preserve"> </w:t>
      </w:r>
      <w:r>
        <w:t>uma</w:t>
      </w:r>
      <w:r>
        <w:rPr>
          <w:spacing w:val="-5"/>
        </w:rPr>
        <w:t xml:space="preserve"> </w:t>
      </w:r>
      <w:r>
        <w:t>variedade</w:t>
      </w:r>
      <w:r>
        <w:rPr>
          <w:spacing w:val="-3"/>
        </w:rPr>
        <w:t xml:space="preserve"> </w:t>
      </w:r>
      <w:r>
        <w:t>de</w:t>
      </w:r>
      <w:r>
        <w:rPr>
          <w:spacing w:val="-5"/>
        </w:rPr>
        <w:t xml:space="preserve"> </w:t>
      </w:r>
      <w:r>
        <w:t>causas associadas a processos, pessoal, tecnologia e infraestrutura, como também a fatores externos,</w:t>
      </w:r>
      <w:r>
        <w:rPr>
          <w:spacing w:val="80"/>
        </w:rPr>
        <w:t xml:space="preserve"> </w:t>
      </w:r>
      <w:r>
        <w:t>exceto riscos de crédito, mercado e liquidez, como aqueles decorrentes de exigências legais e regulatórias</w:t>
      </w:r>
      <w:r>
        <w:rPr>
          <w:spacing w:val="-2"/>
        </w:rPr>
        <w:t xml:space="preserve"> </w:t>
      </w:r>
      <w:r>
        <w:t>e</w:t>
      </w:r>
      <w:r>
        <w:rPr>
          <w:spacing w:val="-1"/>
        </w:rPr>
        <w:t xml:space="preserve"> </w:t>
      </w:r>
      <w:r>
        <w:t>de</w:t>
      </w:r>
      <w:r>
        <w:rPr>
          <w:spacing w:val="-3"/>
        </w:rPr>
        <w:t xml:space="preserve"> </w:t>
      </w:r>
      <w:r>
        <w:t>padrões geralmente</w:t>
      </w:r>
      <w:r>
        <w:rPr>
          <w:spacing w:val="-1"/>
        </w:rPr>
        <w:t xml:space="preserve"> </w:t>
      </w:r>
      <w:r>
        <w:t>aceitos</w:t>
      </w:r>
      <w:r>
        <w:rPr>
          <w:spacing w:val="-2"/>
        </w:rPr>
        <w:t xml:space="preserve"> </w:t>
      </w:r>
      <w:r>
        <w:t>de</w:t>
      </w:r>
      <w:r>
        <w:rPr>
          <w:spacing w:val="-2"/>
        </w:rPr>
        <w:t xml:space="preserve"> </w:t>
      </w:r>
      <w:r>
        <w:t>comportamento</w:t>
      </w:r>
      <w:r>
        <w:rPr>
          <w:spacing w:val="-3"/>
        </w:rPr>
        <w:t xml:space="preserve"> </w:t>
      </w:r>
      <w:r>
        <w:t>empresarial.</w:t>
      </w:r>
      <w:r>
        <w:rPr>
          <w:spacing w:val="-2"/>
        </w:rPr>
        <w:t xml:space="preserve"> </w:t>
      </w:r>
      <w:r>
        <w:t>Os</w:t>
      </w:r>
      <w:r>
        <w:rPr>
          <w:spacing w:val="-2"/>
        </w:rPr>
        <w:t xml:space="preserve"> </w:t>
      </w:r>
      <w:r>
        <w:t>riscos</w:t>
      </w:r>
      <w:r>
        <w:rPr>
          <w:spacing w:val="-2"/>
        </w:rPr>
        <w:t xml:space="preserve"> </w:t>
      </w:r>
      <w:r>
        <w:t>operacionais surgem de todas as operações da Companhia.</w:t>
      </w:r>
    </w:p>
    <w:p w14:paraId="514933CF" w14:textId="77777777" w:rsidR="002C6574" w:rsidRDefault="002C6574">
      <w:pPr>
        <w:pStyle w:val="Corpodetexto"/>
        <w:spacing w:before="6"/>
      </w:pPr>
    </w:p>
    <w:p w14:paraId="0055801E" w14:textId="77777777" w:rsidR="002C6574" w:rsidRDefault="00000000">
      <w:pPr>
        <w:pStyle w:val="Corpodetexto"/>
        <w:spacing w:line="237" w:lineRule="auto"/>
        <w:ind w:left="143" w:right="703"/>
        <w:jc w:val="both"/>
      </w:pPr>
      <w:r>
        <w:t>O objetivo da Administração é gerenciar o risco operacional, para evitar a ocorrência de prejuízos operacionais</w:t>
      </w:r>
      <w:r>
        <w:rPr>
          <w:spacing w:val="17"/>
        </w:rPr>
        <w:t xml:space="preserve"> </w:t>
      </w:r>
      <w:r>
        <w:t>ou</w:t>
      </w:r>
      <w:r>
        <w:rPr>
          <w:spacing w:val="20"/>
        </w:rPr>
        <w:t xml:space="preserve"> </w:t>
      </w:r>
      <w:r>
        <w:t>financeiros</w:t>
      </w:r>
      <w:r>
        <w:rPr>
          <w:spacing w:val="17"/>
        </w:rPr>
        <w:t xml:space="preserve"> </w:t>
      </w:r>
      <w:r>
        <w:t>e</w:t>
      </w:r>
      <w:r>
        <w:rPr>
          <w:spacing w:val="20"/>
        </w:rPr>
        <w:t xml:space="preserve"> </w:t>
      </w:r>
      <w:r>
        <w:t>danos</w:t>
      </w:r>
      <w:r>
        <w:rPr>
          <w:spacing w:val="20"/>
        </w:rPr>
        <w:t xml:space="preserve"> </w:t>
      </w:r>
      <w:r>
        <w:t>à</w:t>
      </w:r>
      <w:r>
        <w:rPr>
          <w:spacing w:val="15"/>
        </w:rPr>
        <w:t xml:space="preserve"> </w:t>
      </w:r>
      <w:r>
        <w:t>reputação</w:t>
      </w:r>
      <w:r>
        <w:rPr>
          <w:spacing w:val="15"/>
        </w:rPr>
        <w:t xml:space="preserve"> </w:t>
      </w:r>
      <w:r>
        <w:t>da</w:t>
      </w:r>
      <w:r>
        <w:rPr>
          <w:spacing w:val="20"/>
        </w:rPr>
        <w:t xml:space="preserve"> </w:t>
      </w:r>
      <w:r>
        <w:t>Companhia,</w:t>
      </w:r>
      <w:r>
        <w:rPr>
          <w:spacing w:val="17"/>
        </w:rPr>
        <w:t xml:space="preserve"> </w:t>
      </w:r>
      <w:r>
        <w:t>além</w:t>
      </w:r>
      <w:r>
        <w:rPr>
          <w:spacing w:val="19"/>
        </w:rPr>
        <w:t xml:space="preserve"> </w:t>
      </w:r>
      <w:r>
        <w:t>de</w:t>
      </w:r>
      <w:r>
        <w:rPr>
          <w:spacing w:val="15"/>
        </w:rPr>
        <w:t xml:space="preserve"> </w:t>
      </w:r>
      <w:r>
        <w:t>buscar</w:t>
      </w:r>
      <w:r>
        <w:rPr>
          <w:spacing w:val="17"/>
        </w:rPr>
        <w:t xml:space="preserve"> </w:t>
      </w:r>
      <w:r>
        <w:t>eficácia</w:t>
      </w:r>
      <w:r>
        <w:rPr>
          <w:spacing w:val="19"/>
        </w:rPr>
        <w:t xml:space="preserve"> </w:t>
      </w:r>
      <w:r>
        <w:t>de</w:t>
      </w:r>
      <w:r>
        <w:rPr>
          <w:spacing w:val="15"/>
        </w:rPr>
        <w:t xml:space="preserve"> </w:t>
      </w:r>
      <w:r>
        <w:t>custos e evitar procedimentos de controle que restrinjam a iniciativa e a criatividade.</w:t>
      </w:r>
    </w:p>
    <w:p w14:paraId="6B20B24C" w14:textId="77777777" w:rsidR="002C6574" w:rsidRDefault="002C6574">
      <w:pPr>
        <w:pStyle w:val="Corpodetexto"/>
        <w:spacing w:before="2"/>
      </w:pPr>
    </w:p>
    <w:p w14:paraId="6064FEAD" w14:textId="77777777" w:rsidR="002C6574" w:rsidRDefault="00000000">
      <w:pPr>
        <w:pStyle w:val="Corpodetexto"/>
        <w:spacing w:line="237" w:lineRule="auto"/>
        <w:ind w:left="143" w:right="703"/>
        <w:jc w:val="both"/>
      </w:pPr>
      <w:r>
        <w:t>Nesse sentido, a Companhia trabalha para expandir sua infraestrutura de rede de fibras ópticas (backbone), visando ampliar sua área de atuação e a carteira de clientes corporativos. Complementarmente à rede terrestre, a Telebras viabilizou o segmento satelital via Satélite Geoestacionário de Defesa e Comunicações Estratégicas (SGDC), potencializando a geração de receita neste segmento. Adicionalmente, a Companhia tem expandido seu portfólio de Serviços de Valor Adicionado (SVA).</w:t>
      </w:r>
    </w:p>
    <w:p w14:paraId="1D8B1ED2" w14:textId="77777777" w:rsidR="002C6574" w:rsidRDefault="002C6574">
      <w:pPr>
        <w:pStyle w:val="Corpodetexto"/>
        <w:spacing w:before="4"/>
      </w:pPr>
    </w:p>
    <w:p w14:paraId="7D2A2E4F" w14:textId="77777777" w:rsidR="002C6574" w:rsidRDefault="00000000">
      <w:pPr>
        <w:pStyle w:val="Corpodetexto"/>
        <w:spacing w:line="237" w:lineRule="auto"/>
        <w:ind w:left="143" w:right="702"/>
        <w:jc w:val="both"/>
      </w:pPr>
      <w:r>
        <w:t>Todas essas ações aliadas às de marketing têm por objetivo proporcionar à Telebrás o reconhecimento de uma empresa forte e competitiva no cenário nacional de telecomunicações, detentora</w:t>
      </w:r>
      <w:r>
        <w:rPr>
          <w:spacing w:val="-3"/>
        </w:rPr>
        <w:t xml:space="preserve"> </w:t>
      </w:r>
      <w:r>
        <w:t>de</w:t>
      </w:r>
      <w:r>
        <w:rPr>
          <w:spacing w:val="-4"/>
        </w:rPr>
        <w:t xml:space="preserve"> </w:t>
      </w:r>
      <w:r>
        <w:t>um</w:t>
      </w:r>
      <w:r>
        <w:rPr>
          <w:spacing w:val="-2"/>
        </w:rPr>
        <w:t xml:space="preserve"> </w:t>
      </w:r>
      <w:r>
        <w:t>backbone</w:t>
      </w:r>
      <w:r>
        <w:rPr>
          <w:spacing w:val="-2"/>
        </w:rPr>
        <w:t xml:space="preserve"> </w:t>
      </w:r>
      <w:r>
        <w:t>nacional</w:t>
      </w:r>
      <w:r>
        <w:rPr>
          <w:spacing w:val="-2"/>
        </w:rPr>
        <w:t xml:space="preserve"> </w:t>
      </w:r>
      <w:r>
        <w:t>de</w:t>
      </w:r>
      <w:r>
        <w:rPr>
          <w:spacing w:val="-2"/>
        </w:rPr>
        <w:t xml:space="preserve"> </w:t>
      </w:r>
      <w:r>
        <w:t>qualidade</w:t>
      </w:r>
      <w:r>
        <w:rPr>
          <w:spacing w:val="-2"/>
        </w:rPr>
        <w:t xml:space="preserve"> </w:t>
      </w:r>
      <w:r>
        <w:t>e</w:t>
      </w:r>
      <w:r>
        <w:rPr>
          <w:spacing w:val="-3"/>
        </w:rPr>
        <w:t xml:space="preserve"> </w:t>
      </w:r>
      <w:r>
        <w:t>de</w:t>
      </w:r>
      <w:r>
        <w:rPr>
          <w:spacing w:val="-4"/>
        </w:rPr>
        <w:t xml:space="preserve"> </w:t>
      </w:r>
      <w:r>
        <w:t>tecnologias</w:t>
      </w:r>
      <w:r>
        <w:rPr>
          <w:spacing w:val="-4"/>
        </w:rPr>
        <w:t xml:space="preserve"> </w:t>
      </w:r>
      <w:r>
        <w:t>modernas, promovendo</w:t>
      </w:r>
      <w:r>
        <w:rPr>
          <w:spacing w:val="-2"/>
        </w:rPr>
        <w:t xml:space="preserve"> </w:t>
      </w:r>
      <w:r>
        <w:t>o</w:t>
      </w:r>
      <w:r>
        <w:rPr>
          <w:spacing w:val="-3"/>
        </w:rPr>
        <w:t xml:space="preserve"> </w:t>
      </w:r>
      <w:r>
        <w:t>acesso aos melhores serviços de telecomunicações com qualidade e melhor relação custo/benefício. A conquista</w:t>
      </w:r>
      <w:r>
        <w:rPr>
          <w:spacing w:val="-3"/>
        </w:rPr>
        <w:t xml:space="preserve"> </w:t>
      </w:r>
      <w:r>
        <w:t>de</w:t>
      </w:r>
      <w:r>
        <w:rPr>
          <w:spacing w:val="-1"/>
        </w:rPr>
        <w:t xml:space="preserve"> </w:t>
      </w:r>
      <w:r>
        <w:t>novos</w:t>
      </w:r>
      <w:r>
        <w:rPr>
          <w:spacing w:val="-4"/>
        </w:rPr>
        <w:t xml:space="preserve"> </w:t>
      </w:r>
      <w:r>
        <w:t>mercados</w:t>
      </w:r>
      <w:r>
        <w:rPr>
          <w:spacing w:val="-2"/>
        </w:rPr>
        <w:t xml:space="preserve"> </w:t>
      </w:r>
      <w:r>
        <w:t>terá</w:t>
      </w:r>
      <w:r>
        <w:rPr>
          <w:spacing w:val="-3"/>
        </w:rPr>
        <w:t xml:space="preserve"> </w:t>
      </w:r>
      <w:r>
        <w:t>como</w:t>
      </w:r>
      <w:r>
        <w:rPr>
          <w:spacing w:val="-3"/>
        </w:rPr>
        <w:t xml:space="preserve"> </w:t>
      </w:r>
      <w:r>
        <w:t>consequência</w:t>
      </w:r>
      <w:r>
        <w:rPr>
          <w:spacing w:val="-1"/>
        </w:rPr>
        <w:t xml:space="preserve"> </w:t>
      </w:r>
      <w:r>
        <w:t>o</w:t>
      </w:r>
      <w:r>
        <w:rPr>
          <w:spacing w:val="-1"/>
        </w:rPr>
        <w:t xml:space="preserve"> </w:t>
      </w:r>
      <w:r>
        <w:t>expressivo</w:t>
      </w:r>
      <w:r>
        <w:rPr>
          <w:spacing w:val="-3"/>
        </w:rPr>
        <w:t xml:space="preserve"> </w:t>
      </w:r>
      <w:r>
        <w:t>aumento</w:t>
      </w:r>
      <w:r>
        <w:rPr>
          <w:spacing w:val="-1"/>
        </w:rPr>
        <w:t xml:space="preserve"> </w:t>
      </w:r>
      <w:r>
        <w:t>da</w:t>
      </w:r>
      <w:r>
        <w:rPr>
          <w:spacing w:val="-1"/>
        </w:rPr>
        <w:t xml:space="preserve"> </w:t>
      </w:r>
      <w:r>
        <w:t>receita</w:t>
      </w:r>
      <w:r>
        <w:rPr>
          <w:spacing w:val="-5"/>
        </w:rPr>
        <w:t xml:space="preserve"> </w:t>
      </w:r>
      <w:r>
        <w:t>operacional, a curto e médio prazos, com impactos positivos para o resultado da Companhia.</w:t>
      </w:r>
    </w:p>
    <w:p w14:paraId="563F8C9A" w14:textId="77777777" w:rsidR="002C6574" w:rsidRDefault="002C6574">
      <w:pPr>
        <w:pStyle w:val="Corpodetexto"/>
        <w:spacing w:line="237" w:lineRule="auto"/>
        <w:jc w:val="both"/>
        <w:sectPr w:rsidR="002C6574">
          <w:headerReference w:type="default" r:id="rId75"/>
          <w:footerReference w:type="default" r:id="rId76"/>
          <w:pgSz w:w="11910" w:h="16840"/>
          <w:pgMar w:top="1600" w:right="141" w:bottom="1380" w:left="1133" w:header="856" w:footer="1182" w:gutter="0"/>
          <w:cols w:space="720"/>
        </w:sectPr>
      </w:pPr>
    </w:p>
    <w:p w14:paraId="5F01CC2E" w14:textId="77777777" w:rsidR="002C6574" w:rsidRDefault="00000000">
      <w:pPr>
        <w:numPr>
          <w:ilvl w:val="1"/>
          <w:numId w:val="46"/>
        </w:numPr>
        <w:tabs>
          <w:tab w:val="left" w:pos="852"/>
        </w:tabs>
        <w:spacing w:before="229"/>
        <w:ind w:left="852" w:hanging="709"/>
        <w:rPr>
          <w:rFonts w:ascii="Arial"/>
          <w:b/>
        </w:rPr>
      </w:pPr>
      <w:r>
        <w:rPr>
          <w:rFonts w:ascii="Arial"/>
          <w:b/>
        </w:rPr>
        <w:lastRenderedPageBreak/>
        <w:t>Estimativa</w:t>
      </w:r>
      <w:r>
        <w:rPr>
          <w:rFonts w:ascii="Arial"/>
          <w:b/>
          <w:spacing w:val="-8"/>
        </w:rPr>
        <w:t xml:space="preserve"> </w:t>
      </w:r>
      <w:r>
        <w:rPr>
          <w:rFonts w:ascii="Arial"/>
          <w:b/>
        </w:rPr>
        <w:t>de</w:t>
      </w:r>
      <w:r>
        <w:rPr>
          <w:rFonts w:ascii="Arial"/>
          <w:b/>
          <w:spacing w:val="-3"/>
        </w:rPr>
        <w:t xml:space="preserve"> </w:t>
      </w:r>
      <w:r>
        <w:rPr>
          <w:rFonts w:ascii="Arial"/>
          <w:b/>
        </w:rPr>
        <w:t>valor</w:t>
      </w:r>
      <w:r>
        <w:rPr>
          <w:rFonts w:ascii="Arial"/>
          <w:b/>
          <w:spacing w:val="-4"/>
        </w:rPr>
        <w:t xml:space="preserve"> </w:t>
      </w:r>
      <w:r>
        <w:rPr>
          <w:rFonts w:ascii="Arial"/>
          <w:b/>
          <w:spacing w:val="-2"/>
        </w:rPr>
        <w:t>justo</w:t>
      </w:r>
    </w:p>
    <w:p w14:paraId="6302F18D" w14:textId="77777777" w:rsidR="002C6574" w:rsidRDefault="002C6574">
      <w:pPr>
        <w:pStyle w:val="Corpodetexto"/>
        <w:spacing w:before="75"/>
        <w:rPr>
          <w:rFonts w:ascii="Arial"/>
          <w:b/>
        </w:rPr>
      </w:pPr>
    </w:p>
    <w:p w14:paraId="02F99D32" w14:textId="77777777" w:rsidR="002C6574" w:rsidRDefault="00000000">
      <w:pPr>
        <w:pStyle w:val="Corpodetexto"/>
        <w:spacing w:line="237" w:lineRule="auto"/>
        <w:ind w:left="143" w:right="703"/>
        <w:jc w:val="both"/>
      </w:pPr>
      <w:r>
        <w:t>Os instrumentos financeiros ativos e passivos são registrados, inicialmente, pelo valor justo das transações que lhes deram origem e são atualizados, quando aplicável, com base nos encargos contratuais e ajustados pelas estimativas de perda. A Administração avalia que os valores apurados com base nesses critérios podem ser considerados a melhor estimativa para apuração do</w:t>
      </w:r>
      <w:r>
        <w:rPr>
          <w:spacing w:val="-1"/>
        </w:rPr>
        <w:t xml:space="preserve"> </w:t>
      </w:r>
      <w:r>
        <w:t>valor justo dos instrumentos financeiros detidos pela Companhia.</w:t>
      </w:r>
    </w:p>
    <w:p w14:paraId="3D103B04" w14:textId="77777777" w:rsidR="002C6574" w:rsidRDefault="00000000">
      <w:pPr>
        <w:numPr>
          <w:ilvl w:val="2"/>
          <w:numId w:val="46"/>
        </w:numPr>
        <w:tabs>
          <w:tab w:val="left" w:pos="847"/>
        </w:tabs>
        <w:spacing w:before="219"/>
        <w:ind w:left="847" w:hanging="704"/>
        <w:rPr>
          <w:rFonts w:ascii="Arial"/>
          <w:b/>
        </w:rPr>
      </w:pPr>
      <w:r>
        <w:rPr>
          <w:rFonts w:ascii="Arial"/>
          <w:b/>
        </w:rPr>
        <w:t>Hierarquia</w:t>
      </w:r>
      <w:r>
        <w:rPr>
          <w:rFonts w:ascii="Arial"/>
          <w:b/>
          <w:spacing w:val="-1"/>
        </w:rPr>
        <w:t xml:space="preserve"> </w:t>
      </w:r>
      <w:r>
        <w:rPr>
          <w:rFonts w:ascii="Arial"/>
          <w:b/>
        </w:rPr>
        <w:t>do</w:t>
      </w:r>
      <w:r>
        <w:rPr>
          <w:rFonts w:ascii="Arial"/>
          <w:b/>
          <w:spacing w:val="-8"/>
        </w:rPr>
        <w:t xml:space="preserve"> </w:t>
      </w:r>
      <w:r>
        <w:rPr>
          <w:rFonts w:ascii="Arial"/>
          <w:b/>
        </w:rPr>
        <w:t>valor</w:t>
      </w:r>
      <w:r>
        <w:rPr>
          <w:rFonts w:ascii="Arial"/>
          <w:b/>
          <w:spacing w:val="-2"/>
        </w:rPr>
        <w:t xml:space="preserve"> justo</w:t>
      </w:r>
    </w:p>
    <w:p w14:paraId="32B4D69B" w14:textId="77777777" w:rsidR="002C6574" w:rsidRDefault="002C6574">
      <w:pPr>
        <w:pStyle w:val="Corpodetexto"/>
        <w:spacing w:before="46"/>
        <w:rPr>
          <w:rFonts w:ascii="Arial"/>
          <w:b/>
        </w:rPr>
      </w:pPr>
    </w:p>
    <w:p w14:paraId="5E99D418" w14:textId="77777777" w:rsidR="002C6574" w:rsidRDefault="00000000">
      <w:pPr>
        <w:pStyle w:val="Corpodetexto"/>
        <w:spacing w:before="1" w:line="237" w:lineRule="auto"/>
        <w:ind w:left="143" w:right="702"/>
        <w:jc w:val="both"/>
      </w:pPr>
      <w:r>
        <w:t>O CPC 40</w:t>
      </w:r>
      <w:r>
        <w:rPr>
          <w:spacing w:val="-3"/>
        </w:rPr>
        <w:t xml:space="preserve"> </w:t>
      </w:r>
      <w:r>
        <w:t>/ IFRS</w:t>
      </w:r>
      <w:r>
        <w:rPr>
          <w:spacing w:val="-1"/>
        </w:rPr>
        <w:t xml:space="preserve"> </w:t>
      </w:r>
      <w:r>
        <w:t>7</w:t>
      </w:r>
      <w:r>
        <w:rPr>
          <w:spacing w:val="-1"/>
        </w:rPr>
        <w:t xml:space="preserve"> </w:t>
      </w:r>
      <w:r>
        <w:t>define valor justo</w:t>
      </w:r>
      <w:r>
        <w:rPr>
          <w:spacing w:val="-1"/>
        </w:rPr>
        <w:t xml:space="preserve"> </w:t>
      </w:r>
      <w:r>
        <w:t>como</w:t>
      </w:r>
      <w:r>
        <w:rPr>
          <w:spacing w:val="-1"/>
        </w:rPr>
        <w:t xml:space="preserve"> </w:t>
      </w:r>
      <w:r>
        <w:t>o valor/preço</w:t>
      </w:r>
      <w:r>
        <w:rPr>
          <w:spacing w:val="-1"/>
        </w:rPr>
        <w:t xml:space="preserve"> </w:t>
      </w:r>
      <w:r>
        <w:t>que</w:t>
      </w:r>
      <w:r>
        <w:rPr>
          <w:spacing w:val="-3"/>
        </w:rPr>
        <w:t xml:space="preserve"> </w:t>
      </w:r>
      <w:r>
        <w:t>seria</w:t>
      </w:r>
      <w:r>
        <w:rPr>
          <w:spacing w:val="-3"/>
        </w:rPr>
        <w:t xml:space="preserve"> </w:t>
      </w:r>
      <w:r>
        <w:t>recebido na</w:t>
      </w:r>
      <w:r>
        <w:rPr>
          <w:spacing w:val="-1"/>
        </w:rPr>
        <w:t xml:space="preserve"> </w:t>
      </w:r>
      <w:r>
        <w:t>venda</w:t>
      </w:r>
      <w:r>
        <w:rPr>
          <w:spacing w:val="-1"/>
        </w:rPr>
        <w:t xml:space="preserve"> </w:t>
      </w:r>
      <w:r>
        <w:t>de</w:t>
      </w:r>
      <w:r>
        <w:rPr>
          <w:spacing w:val="-1"/>
        </w:rPr>
        <w:t xml:space="preserve"> </w:t>
      </w:r>
      <w:r>
        <w:t>um ativo</w:t>
      </w:r>
      <w:r>
        <w:rPr>
          <w:spacing w:val="-1"/>
        </w:rPr>
        <w:t xml:space="preserve"> </w:t>
      </w:r>
      <w:r>
        <w:t>ou pago</w:t>
      </w:r>
      <w:r>
        <w:rPr>
          <w:spacing w:val="-4"/>
        </w:rPr>
        <w:t xml:space="preserve"> </w:t>
      </w:r>
      <w:r>
        <w:t>na</w:t>
      </w:r>
      <w:r>
        <w:rPr>
          <w:spacing w:val="-4"/>
        </w:rPr>
        <w:t xml:space="preserve"> </w:t>
      </w:r>
      <w:r>
        <w:t>transferência</w:t>
      </w:r>
      <w:r>
        <w:rPr>
          <w:spacing w:val="-5"/>
        </w:rPr>
        <w:t xml:space="preserve"> </w:t>
      </w:r>
      <w:r>
        <w:t>de</w:t>
      </w:r>
      <w:r>
        <w:rPr>
          <w:spacing w:val="-5"/>
        </w:rPr>
        <w:t xml:space="preserve"> </w:t>
      </w:r>
      <w:r>
        <w:t>um</w:t>
      </w:r>
      <w:r>
        <w:rPr>
          <w:spacing w:val="-2"/>
        </w:rPr>
        <w:t xml:space="preserve"> </w:t>
      </w:r>
      <w:r>
        <w:t>passivo</w:t>
      </w:r>
      <w:r>
        <w:rPr>
          <w:spacing w:val="-5"/>
        </w:rPr>
        <w:t xml:space="preserve"> </w:t>
      </w:r>
      <w:r>
        <w:t>em</w:t>
      </w:r>
      <w:r>
        <w:rPr>
          <w:spacing w:val="-2"/>
        </w:rPr>
        <w:t xml:space="preserve"> </w:t>
      </w:r>
      <w:r>
        <w:t>uma</w:t>
      </w:r>
      <w:r>
        <w:rPr>
          <w:spacing w:val="-4"/>
        </w:rPr>
        <w:t xml:space="preserve"> </w:t>
      </w:r>
      <w:r>
        <w:t>transação</w:t>
      </w:r>
      <w:r>
        <w:rPr>
          <w:spacing w:val="-4"/>
        </w:rPr>
        <w:t xml:space="preserve"> </w:t>
      </w:r>
      <w:r>
        <w:t>ordinária</w:t>
      </w:r>
      <w:r>
        <w:rPr>
          <w:spacing w:val="-4"/>
        </w:rPr>
        <w:t xml:space="preserve"> </w:t>
      </w:r>
      <w:r>
        <w:t>entre</w:t>
      </w:r>
      <w:r>
        <w:rPr>
          <w:spacing w:val="-4"/>
        </w:rPr>
        <w:t xml:space="preserve"> </w:t>
      </w:r>
      <w:r>
        <w:t>participantes</w:t>
      </w:r>
      <w:r>
        <w:rPr>
          <w:spacing w:val="-4"/>
        </w:rPr>
        <w:t xml:space="preserve"> </w:t>
      </w:r>
      <w:r>
        <w:t>de</w:t>
      </w:r>
      <w:r>
        <w:rPr>
          <w:spacing w:val="-5"/>
        </w:rPr>
        <w:t xml:space="preserve"> </w:t>
      </w:r>
      <w:r>
        <w:t>um</w:t>
      </w:r>
      <w:r>
        <w:rPr>
          <w:spacing w:val="-4"/>
        </w:rPr>
        <w:t xml:space="preserve"> </w:t>
      </w:r>
      <w:r>
        <w:t>mercado na data de sua mensuração. A norma esclarece que o valor justo deve ser fundamentado nas premissas que</w:t>
      </w:r>
      <w:r>
        <w:rPr>
          <w:spacing w:val="-3"/>
        </w:rPr>
        <w:t xml:space="preserve"> </w:t>
      </w:r>
      <w:r>
        <w:t>os</w:t>
      </w:r>
      <w:r>
        <w:rPr>
          <w:spacing w:val="-2"/>
        </w:rPr>
        <w:t xml:space="preserve"> </w:t>
      </w:r>
      <w:r>
        <w:t>participantes de</w:t>
      </w:r>
      <w:r>
        <w:rPr>
          <w:spacing w:val="-2"/>
        </w:rPr>
        <w:t xml:space="preserve"> </w:t>
      </w:r>
      <w:r>
        <w:t>um mercado</w:t>
      </w:r>
      <w:r>
        <w:rPr>
          <w:spacing w:val="-2"/>
        </w:rPr>
        <w:t xml:space="preserve"> </w:t>
      </w:r>
      <w:r>
        <w:t>utilizam quando</w:t>
      </w:r>
      <w:r>
        <w:rPr>
          <w:spacing w:val="-2"/>
        </w:rPr>
        <w:t xml:space="preserve"> </w:t>
      </w:r>
      <w:r>
        <w:t>atribuem</w:t>
      </w:r>
      <w:r>
        <w:rPr>
          <w:spacing w:val="-3"/>
        </w:rPr>
        <w:t xml:space="preserve"> </w:t>
      </w:r>
      <w:r>
        <w:t>um valor/preço a</w:t>
      </w:r>
      <w:r>
        <w:rPr>
          <w:spacing w:val="-5"/>
        </w:rPr>
        <w:t xml:space="preserve"> </w:t>
      </w:r>
      <w:r>
        <w:t>um ativo ou passivo e estabelece uma hierarquia que prioriza a informação utilizada para desenvolver essas premissas. A hierarquia</w:t>
      </w:r>
      <w:r>
        <w:rPr>
          <w:spacing w:val="-1"/>
        </w:rPr>
        <w:t xml:space="preserve"> </w:t>
      </w:r>
      <w:r>
        <w:t>do valor justo</w:t>
      </w:r>
      <w:r>
        <w:rPr>
          <w:spacing w:val="-1"/>
        </w:rPr>
        <w:t xml:space="preserve"> </w:t>
      </w:r>
      <w:r>
        <w:t>atribui maior peso às informações</w:t>
      </w:r>
      <w:r>
        <w:rPr>
          <w:spacing w:val="-2"/>
        </w:rPr>
        <w:t xml:space="preserve"> </w:t>
      </w:r>
      <w:r>
        <w:t xml:space="preserve">de mercado disponíveis (ou seja, dados observáveis) e menor peso às informações relacionadas a dados sem transparência (ou seja, dados inobserváveis). Adicionalmente, a norma requer que a empresa considere todos os aspectos de riscos de não desempenho </w:t>
      </w:r>
      <w:r>
        <w:rPr>
          <w:rFonts w:ascii="Arial" w:hAnsi="Arial"/>
          <w:i/>
        </w:rPr>
        <w:t>(“non-performance risk”)</w:t>
      </w:r>
      <w:r>
        <w:t xml:space="preserve">, incluindo o próprio crédito da Companhia e de suas controladas e coligadas (quando couber), ao mensurar o valor justo de um </w:t>
      </w:r>
      <w:r>
        <w:rPr>
          <w:spacing w:val="-2"/>
        </w:rPr>
        <w:t>passivo.</w:t>
      </w:r>
    </w:p>
    <w:p w14:paraId="4E6A8A1D" w14:textId="77777777" w:rsidR="002C6574" w:rsidRDefault="002C6574">
      <w:pPr>
        <w:pStyle w:val="Corpodetexto"/>
        <w:spacing w:before="10"/>
      </w:pPr>
    </w:p>
    <w:p w14:paraId="68415BDD" w14:textId="77777777" w:rsidR="002C6574" w:rsidRDefault="00000000">
      <w:pPr>
        <w:pStyle w:val="Corpodetexto"/>
        <w:ind w:left="143" w:right="703"/>
        <w:jc w:val="both"/>
      </w:pPr>
      <w:r>
        <w:t>O CPC 40 / IFRS 7 estabelece uma hierarquia de três níveis a ser utilizada ao mensurar e divulgar o valor justo. Um instrumento de categorização na hierarquia do valor justo baseia-se no menor nível de “</w:t>
      </w:r>
      <w:r>
        <w:rPr>
          <w:rFonts w:ascii="Arial" w:hAnsi="Arial"/>
          <w:i/>
        </w:rPr>
        <w:t>input</w:t>
      </w:r>
      <w:r>
        <w:t>” significativo</w:t>
      </w:r>
      <w:r>
        <w:rPr>
          <w:spacing w:val="-1"/>
        </w:rPr>
        <w:t xml:space="preserve"> </w:t>
      </w:r>
      <w:r>
        <w:t>para</w:t>
      </w:r>
      <w:r>
        <w:rPr>
          <w:spacing w:val="-1"/>
        </w:rPr>
        <w:t xml:space="preserve"> </w:t>
      </w:r>
      <w:r>
        <w:t>sua</w:t>
      </w:r>
      <w:r>
        <w:rPr>
          <w:spacing w:val="-3"/>
        </w:rPr>
        <w:t xml:space="preserve"> </w:t>
      </w:r>
      <w:r>
        <w:t>mensuração. Abaixo</w:t>
      </w:r>
      <w:r>
        <w:rPr>
          <w:spacing w:val="-1"/>
        </w:rPr>
        <w:t xml:space="preserve"> </w:t>
      </w:r>
      <w:r>
        <w:t>está</w:t>
      </w:r>
      <w:r>
        <w:rPr>
          <w:spacing w:val="-1"/>
        </w:rPr>
        <w:t xml:space="preserve"> </w:t>
      </w:r>
      <w:r>
        <w:t>demonstrada uma</w:t>
      </w:r>
      <w:r>
        <w:rPr>
          <w:spacing w:val="-1"/>
        </w:rPr>
        <w:t xml:space="preserve"> </w:t>
      </w:r>
      <w:r>
        <w:t>descrição</w:t>
      </w:r>
      <w:r>
        <w:rPr>
          <w:spacing w:val="-1"/>
        </w:rPr>
        <w:t xml:space="preserve"> </w:t>
      </w:r>
      <w:r>
        <w:t>dos</w:t>
      </w:r>
      <w:r>
        <w:rPr>
          <w:spacing w:val="-2"/>
        </w:rPr>
        <w:t xml:space="preserve"> </w:t>
      </w:r>
      <w:r>
        <w:t>três níveis de hierarquia:</w:t>
      </w:r>
    </w:p>
    <w:p w14:paraId="2E6E2B9E" w14:textId="77777777" w:rsidR="002C6574" w:rsidRDefault="00000000">
      <w:pPr>
        <w:pStyle w:val="Corpodetexto"/>
        <w:spacing w:before="284"/>
        <w:ind w:left="143" w:right="702"/>
        <w:jc w:val="both"/>
      </w:pPr>
      <w:r>
        <w:t>Nível 1</w:t>
      </w:r>
      <w:r>
        <w:rPr>
          <w:spacing w:val="-1"/>
        </w:rPr>
        <w:t xml:space="preserve"> </w:t>
      </w:r>
      <w:r>
        <w:t>—</w:t>
      </w:r>
      <w:r>
        <w:rPr>
          <w:spacing w:val="-1"/>
        </w:rPr>
        <w:t xml:space="preserve"> </w:t>
      </w:r>
      <w:r>
        <w:t>Os “</w:t>
      </w:r>
      <w:r>
        <w:rPr>
          <w:rFonts w:ascii="Arial" w:hAnsi="Arial"/>
          <w:i/>
        </w:rPr>
        <w:t>inputs</w:t>
      </w:r>
      <w:r>
        <w:t>” são determinados</w:t>
      </w:r>
      <w:r>
        <w:rPr>
          <w:spacing w:val="-1"/>
        </w:rPr>
        <w:t xml:space="preserve"> </w:t>
      </w:r>
      <w:r>
        <w:t>com base nos preços praticados</w:t>
      </w:r>
      <w:r>
        <w:rPr>
          <w:spacing w:val="-1"/>
        </w:rPr>
        <w:t xml:space="preserve"> </w:t>
      </w:r>
      <w:r>
        <w:t>em um mercado ativo para ativos ou passivos idênticos na data da mensuração. Adicionalmente, a Companhia e suas controladas</w:t>
      </w:r>
      <w:r>
        <w:rPr>
          <w:spacing w:val="-3"/>
        </w:rPr>
        <w:t xml:space="preserve"> </w:t>
      </w:r>
      <w:r>
        <w:t>e</w:t>
      </w:r>
      <w:r>
        <w:rPr>
          <w:spacing w:val="-2"/>
        </w:rPr>
        <w:t xml:space="preserve"> </w:t>
      </w:r>
      <w:r>
        <w:t>coligadas</w:t>
      </w:r>
      <w:r>
        <w:rPr>
          <w:spacing w:val="-3"/>
        </w:rPr>
        <w:t xml:space="preserve"> </w:t>
      </w:r>
      <w:r>
        <w:t>(quando couber) devem</w:t>
      </w:r>
      <w:r>
        <w:rPr>
          <w:spacing w:val="-3"/>
        </w:rPr>
        <w:t xml:space="preserve"> </w:t>
      </w:r>
      <w:r>
        <w:t>ter possibilidade de negociar nesse</w:t>
      </w:r>
      <w:r>
        <w:rPr>
          <w:spacing w:val="-2"/>
        </w:rPr>
        <w:t xml:space="preserve"> </w:t>
      </w:r>
      <w:r>
        <w:t>mercado</w:t>
      </w:r>
      <w:r>
        <w:rPr>
          <w:spacing w:val="-4"/>
        </w:rPr>
        <w:t xml:space="preserve"> </w:t>
      </w:r>
      <w:r>
        <w:t>ativo</w:t>
      </w:r>
      <w:r>
        <w:rPr>
          <w:spacing w:val="-4"/>
        </w:rPr>
        <w:t xml:space="preserve"> </w:t>
      </w:r>
      <w:r>
        <w:t>e o preço praticado não pode ser ajustado pelas empresas.</w:t>
      </w:r>
    </w:p>
    <w:p w14:paraId="538C0950" w14:textId="77777777" w:rsidR="002C6574" w:rsidRDefault="00000000">
      <w:pPr>
        <w:pStyle w:val="Corpodetexto"/>
        <w:spacing w:before="286" w:line="237" w:lineRule="auto"/>
        <w:ind w:left="143" w:right="702"/>
        <w:jc w:val="both"/>
      </w:pPr>
      <w:r>
        <w:t>Nível 2</w:t>
      </w:r>
      <w:r>
        <w:rPr>
          <w:spacing w:val="-2"/>
        </w:rPr>
        <w:t xml:space="preserve"> </w:t>
      </w:r>
      <w:r>
        <w:t>—</w:t>
      </w:r>
      <w:r>
        <w:rPr>
          <w:spacing w:val="-4"/>
        </w:rPr>
        <w:t xml:space="preserve"> </w:t>
      </w:r>
      <w:r>
        <w:t>Os</w:t>
      </w:r>
      <w:r>
        <w:rPr>
          <w:spacing w:val="-3"/>
        </w:rPr>
        <w:t xml:space="preserve"> </w:t>
      </w:r>
      <w:r>
        <w:t>“</w:t>
      </w:r>
      <w:r>
        <w:rPr>
          <w:rFonts w:ascii="Arial" w:hAnsi="Arial"/>
          <w:i/>
        </w:rPr>
        <w:t>inputs</w:t>
      </w:r>
      <w:r>
        <w:t>” são outros que</w:t>
      </w:r>
      <w:r>
        <w:rPr>
          <w:spacing w:val="-2"/>
        </w:rPr>
        <w:t xml:space="preserve"> </w:t>
      </w:r>
      <w:r>
        <w:t>não</w:t>
      </w:r>
      <w:r>
        <w:rPr>
          <w:spacing w:val="-2"/>
        </w:rPr>
        <w:t xml:space="preserve"> </w:t>
      </w:r>
      <w:r>
        <w:t>sejam</w:t>
      </w:r>
      <w:r>
        <w:rPr>
          <w:spacing w:val="-2"/>
        </w:rPr>
        <w:t xml:space="preserve"> </w:t>
      </w:r>
      <w:r>
        <w:t>preços</w:t>
      </w:r>
      <w:r>
        <w:rPr>
          <w:spacing w:val="-3"/>
        </w:rPr>
        <w:t xml:space="preserve"> </w:t>
      </w:r>
      <w:r>
        <w:t>praticados</w:t>
      </w:r>
      <w:r>
        <w:rPr>
          <w:spacing w:val="-3"/>
        </w:rPr>
        <w:t xml:space="preserve"> </w:t>
      </w:r>
      <w:r>
        <w:t>conforme</w:t>
      </w:r>
      <w:r>
        <w:rPr>
          <w:spacing w:val="-1"/>
        </w:rPr>
        <w:t xml:space="preserve"> </w:t>
      </w:r>
      <w:r>
        <w:t>determinado</w:t>
      </w:r>
      <w:r>
        <w:rPr>
          <w:spacing w:val="-2"/>
        </w:rPr>
        <w:t xml:space="preserve"> </w:t>
      </w:r>
      <w:r>
        <w:t>pelo Nível 1</w:t>
      </w:r>
      <w:r>
        <w:rPr>
          <w:spacing w:val="-9"/>
        </w:rPr>
        <w:t xml:space="preserve"> </w:t>
      </w:r>
      <w:r>
        <w:t>que</w:t>
      </w:r>
      <w:r>
        <w:rPr>
          <w:spacing w:val="-9"/>
        </w:rPr>
        <w:t xml:space="preserve"> </w:t>
      </w:r>
      <w:r>
        <w:t>são</w:t>
      </w:r>
      <w:r>
        <w:rPr>
          <w:spacing w:val="-9"/>
        </w:rPr>
        <w:t xml:space="preserve"> </w:t>
      </w:r>
      <w:r>
        <w:t>observáveis</w:t>
      </w:r>
      <w:r>
        <w:rPr>
          <w:spacing w:val="-8"/>
        </w:rPr>
        <w:t xml:space="preserve"> </w:t>
      </w:r>
      <w:r>
        <w:t>para</w:t>
      </w:r>
      <w:r>
        <w:rPr>
          <w:spacing w:val="-8"/>
        </w:rPr>
        <w:t xml:space="preserve"> </w:t>
      </w:r>
      <w:r>
        <w:t>o</w:t>
      </w:r>
      <w:r>
        <w:rPr>
          <w:spacing w:val="-9"/>
        </w:rPr>
        <w:t xml:space="preserve"> </w:t>
      </w:r>
      <w:r>
        <w:t>ativo</w:t>
      </w:r>
      <w:r>
        <w:rPr>
          <w:spacing w:val="-8"/>
        </w:rPr>
        <w:t xml:space="preserve"> </w:t>
      </w:r>
      <w:r>
        <w:t>ou</w:t>
      </w:r>
      <w:r>
        <w:rPr>
          <w:spacing w:val="-8"/>
        </w:rPr>
        <w:t xml:space="preserve"> </w:t>
      </w:r>
      <w:r>
        <w:t>passivo,</w:t>
      </w:r>
      <w:r>
        <w:rPr>
          <w:spacing w:val="-7"/>
        </w:rPr>
        <w:t xml:space="preserve"> </w:t>
      </w:r>
      <w:r>
        <w:t>direta</w:t>
      </w:r>
      <w:r>
        <w:rPr>
          <w:spacing w:val="-8"/>
        </w:rPr>
        <w:t xml:space="preserve"> </w:t>
      </w:r>
      <w:r>
        <w:t>ou</w:t>
      </w:r>
      <w:r>
        <w:rPr>
          <w:spacing w:val="-9"/>
        </w:rPr>
        <w:t xml:space="preserve"> </w:t>
      </w:r>
      <w:r>
        <w:t>indiretamente.</w:t>
      </w:r>
      <w:r>
        <w:rPr>
          <w:spacing w:val="-10"/>
        </w:rPr>
        <w:t xml:space="preserve"> </w:t>
      </w:r>
      <w:r>
        <w:t>Os</w:t>
      </w:r>
      <w:r>
        <w:rPr>
          <w:spacing w:val="-10"/>
        </w:rPr>
        <w:t xml:space="preserve"> </w:t>
      </w:r>
      <w:r>
        <w:t>“</w:t>
      </w:r>
      <w:r>
        <w:rPr>
          <w:rFonts w:ascii="Arial" w:hAnsi="Arial"/>
          <w:i/>
        </w:rPr>
        <w:t>inputs</w:t>
      </w:r>
      <w:r>
        <w:t>”</w:t>
      </w:r>
      <w:r>
        <w:rPr>
          <w:spacing w:val="-6"/>
        </w:rPr>
        <w:t xml:space="preserve"> </w:t>
      </w:r>
      <w:r>
        <w:t>do</w:t>
      </w:r>
      <w:r>
        <w:rPr>
          <w:spacing w:val="-9"/>
        </w:rPr>
        <w:t xml:space="preserve"> </w:t>
      </w:r>
      <w:r>
        <w:t>Nível</w:t>
      </w:r>
      <w:r>
        <w:rPr>
          <w:spacing w:val="-8"/>
        </w:rPr>
        <w:t xml:space="preserve"> </w:t>
      </w:r>
      <w:r>
        <w:t>2</w:t>
      </w:r>
      <w:r>
        <w:rPr>
          <w:spacing w:val="-9"/>
        </w:rPr>
        <w:t xml:space="preserve"> </w:t>
      </w:r>
      <w:r>
        <w:t>incluem preços praticados em um mercado ativo para ativos ou passivos similares, preços praticados em um mercado inativo para ativos ou passivos idênticos; ou “</w:t>
      </w:r>
      <w:r>
        <w:rPr>
          <w:rFonts w:ascii="Arial" w:hAnsi="Arial"/>
          <w:i/>
        </w:rPr>
        <w:t>inputs</w:t>
      </w:r>
      <w:r>
        <w:t>” que são observáveis ou que possam corroborar na observação de dados de um mercado por correlação ou de outras formas para substancialmente toda parte do ativo ou passivo.</w:t>
      </w:r>
    </w:p>
    <w:p w14:paraId="3E4E35C1" w14:textId="77777777" w:rsidR="002C6574" w:rsidRDefault="002C6574">
      <w:pPr>
        <w:pStyle w:val="Corpodetexto"/>
        <w:spacing w:before="7"/>
      </w:pPr>
    </w:p>
    <w:p w14:paraId="5970F1F9" w14:textId="77777777" w:rsidR="002C6574" w:rsidRDefault="00000000">
      <w:pPr>
        <w:pStyle w:val="Corpodetexto"/>
        <w:spacing w:line="237" w:lineRule="auto"/>
        <w:ind w:left="143" w:right="703"/>
        <w:jc w:val="both"/>
      </w:pPr>
      <w:r>
        <w:t>Nível 3 — Os “</w:t>
      </w:r>
      <w:r>
        <w:rPr>
          <w:rFonts w:ascii="Arial" w:hAnsi="Arial"/>
          <w:i/>
        </w:rPr>
        <w:t>inputs</w:t>
      </w:r>
      <w:r>
        <w:t>” inobserváveis são aqueles provenientes de pouca ou nenhuma atividade de mercado. Esses “</w:t>
      </w:r>
      <w:r>
        <w:rPr>
          <w:rFonts w:ascii="Arial" w:hAnsi="Arial"/>
          <w:i/>
        </w:rPr>
        <w:t>inputs</w:t>
      </w:r>
      <w:r>
        <w:t>” representam as melhores estimativas da Administração da Companhia de como os participantes de mercado poderiam atribuir valor/preço a esses ativos ou passivos. Geralmente, os ativos e passivos de Nível 3 são mensurados utilizando modelos de precificação,</w:t>
      </w:r>
      <w:r>
        <w:rPr>
          <w:spacing w:val="40"/>
        </w:rPr>
        <w:t xml:space="preserve"> </w:t>
      </w:r>
      <w:r>
        <w:t>fluxo</w:t>
      </w:r>
      <w:r>
        <w:rPr>
          <w:spacing w:val="-11"/>
        </w:rPr>
        <w:t xml:space="preserve"> </w:t>
      </w:r>
      <w:r>
        <w:t>de</w:t>
      </w:r>
      <w:r>
        <w:rPr>
          <w:spacing w:val="-11"/>
        </w:rPr>
        <w:t xml:space="preserve"> </w:t>
      </w:r>
      <w:r>
        <w:t>caixa</w:t>
      </w:r>
      <w:r>
        <w:rPr>
          <w:spacing w:val="-12"/>
        </w:rPr>
        <w:t xml:space="preserve"> </w:t>
      </w:r>
      <w:r>
        <w:t>descontados</w:t>
      </w:r>
      <w:r>
        <w:rPr>
          <w:spacing w:val="-11"/>
        </w:rPr>
        <w:t xml:space="preserve"> </w:t>
      </w:r>
      <w:r>
        <w:t>ou</w:t>
      </w:r>
      <w:r>
        <w:rPr>
          <w:spacing w:val="-12"/>
        </w:rPr>
        <w:t xml:space="preserve"> </w:t>
      </w:r>
      <w:r>
        <w:t>metodologias</w:t>
      </w:r>
      <w:r>
        <w:rPr>
          <w:spacing w:val="-11"/>
        </w:rPr>
        <w:t xml:space="preserve"> </w:t>
      </w:r>
      <w:r>
        <w:t>similares</w:t>
      </w:r>
      <w:r>
        <w:rPr>
          <w:spacing w:val="-11"/>
        </w:rPr>
        <w:t xml:space="preserve"> </w:t>
      </w:r>
      <w:r>
        <w:t>que</w:t>
      </w:r>
      <w:r>
        <w:rPr>
          <w:spacing w:val="-11"/>
        </w:rPr>
        <w:t xml:space="preserve"> </w:t>
      </w:r>
      <w:r>
        <w:t>demandam</w:t>
      </w:r>
      <w:r>
        <w:rPr>
          <w:spacing w:val="-13"/>
        </w:rPr>
        <w:t xml:space="preserve"> </w:t>
      </w:r>
      <w:r>
        <w:t>um</w:t>
      </w:r>
      <w:r>
        <w:rPr>
          <w:spacing w:val="-11"/>
        </w:rPr>
        <w:t xml:space="preserve"> </w:t>
      </w:r>
      <w:r>
        <w:t>significativo</w:t>
      </w:r>
      <w:r>
        <w:rPr>
          <w:spacing w:val="-11"/>
        </w:rPr>
        <w:t xml:space="preserve"> </w:t>
      </w:r>
      <w:r>
        <w:t>julgamento</w:t>
      </w:r>
      <w:r>
        <w:rPr>
          <w:spacing w:val="-12"/>
        </w:rPr>
        <w:t xml:space="preserve"> </w:t>
      </w:r>
      <w:r>
        <w:t xml:space="preserve">ou </w:t>
      </w:r>
      <w:r>
        <w:rPr>
          <w:spacing w:val="-2"/>
        </w:rPr>
        <w:t>estimativa.</w:t>
      </w:r>
    </w:p>
    <w:p w14:paraId="5CFFB486" w14:textId="77777777" w:rsidR="002C6574" w:rsidRDefault="002C6574">
      <w:pPr>
        <w:pStyle w:val="Corpodetexto"/>
        <w:spacing w:line="237" w:lineRule="auto"/>
        <w:jc w:val="both"/>
        <w:sectPr w:rsidR="002C6574">
          <w:headerReference w:type="default" r:id="rId77"/>
          <w:footerReference w:type="default" r:id="rId78"/>
          <w:pgSz w:w="11910" w:h="16840"/>
          <w:pgMar w:top="1600" w:right="141" w:bottom="1320" w:left="1133" w:header="856" w:footer="1123" w:gutter="0"/>
          <w:pgNumType w:start="1"/>
          <w:cols w:space="720"/>
        </w:sectPr>
      </w:pPr>
    </w:p>
    <w:p w14:paraId="58BD5511" w14:textId="77777777" w:rsidR="002C6574" w:rsidRDefault="002C6574">
      <w:pPr>
        <w:pStyle w:val="Corpodetexto"/>
        <w:spacing w:before="145"/>
      </w:pPr>
    </w:p>
    <w:p w14:paraId="72754597" w14:textId="77777777" w:rsidR="002C6574" w:rsidRDefault="00000000">
      <w:pPr>
        <w:pStyle w:val="Corpodetexto"/>
        <w:spacing w:line="213" w:lineRule="auto"/>
        <w:ind w:left="143" w:right="704"/>
        <w:jc w:val="both"/>
      </w:pPr>
      <w:r>
        <w:rPr>
          <w:w w:val="105"/>
        </w:rPr>
        <w:t>De</w:t>
      </w:r>
      <w:r>
        <w:rPr>
          <w:spacing w:val="-2"/>
          <w:w w:val="105"/>
        </w:rPr>
        <w:t xml:space="preserve"> </w:t>
      </w:r>
      <w:r>
        <w:rPr>
          <w:w w:val="105"/>
        </w:rPr>
        <w:t>acordo com o CPC</w:t>
      </w:r>
      <w:r>
        <w:rPr>
          <w:spacing w:val="-1"/>
          <w:w w:val="105"/>
        </w:rPr>
        <w:t xml:space="preserve"> </w:t>
      </w:r>
      <w:r>
        <w:rPr>
          <w:w w:val="105"/>
        </w:rPr>
        <w:t xml:space="preserve">40 </w:t>
      </w:r>
      <w:r>
        <w:t xml:space="preserve">/ </w:t>
      </w:r>
      <w:r>
        <w:rPr>
          <w:w w:val="105"/>
        </w:rPr>
        <w:t>IFRS</w:t>
      </w:r>
      <w:r>
        <w:rPr>
          <w:spacing w:val="-2"/>
          <w:w w:val="105"/>
        </w:rPr>
        <w:t xml:space="preserve"> </w:t>
      </w:r>
      <w:r>
        <w:rPr>
          <w:w w:val="105"/>
        </w:rPr>
        <w:t>7, a Companhia mensura</w:t>
      </w:r>
      <w:r>
        <w:rPr>
          <w:spacing w:val="-2"/>
          <w:w w:val="105"/>
        </w:rPr>
        <w:t xml:space="preserve"> </w:t>
      </w:r>
      <w:r>
        <w:rPr>
          <w:w w:val="105"/>
        </w:rPr>
        <w:t>seus Equivalentes de caixa (Aplicações financeiras</w:t>
      </w:r>
      <w:r>
        <w:rPr>
          <w:spacing w:val="-13"/>
          <w:w w:val="105"/>
        </w:rPr>
        <w:t xml:space="preserve"> </w:t>
      </w:r>
      <w:r>
        <w:rPr>
          <w:w w:val="105"/>
        </w:rPr>
        <w:t>de</w:t>
      </w:r>
      <w:r>
        <w:rPr>
          <w:spacing w:val="-15"/>
          <w:w w:val="105"/>
        </w:rPr>
        <w:t xml:space="preserve"> </w:t>
      </w:r>
      <w:r>
        <w:rPr>
          <w:w w:val="105"/>
        </w:rPr>
        <w:t>liquidez</w:t>
      </w:r>
      <w:r>
        <w:rPr>
          <w:spacing w:val="-14"/>
          <w:w w:val="105"/>
        </w:rPr>
        <w:t xml:space="preserve"> </w:t>
      </w:r>
      <w:r>
        <w:rPr>
          <w:w w:val="105"/>
        </w:rPr>
        <w:t>imediata)</w:t>
      </w:r>
      <w:r>
        <w:rPr>
          <w:spacing w:val="-14"/>
          <w:w w:val="105"/>
        </w:rPr>
        <w:t xml:space="preserve"> </w:t>
      </w:r>
      <w:r>
        <w:rPr>
          <w:w w:val="105"/>
        </w:rPr>
        <w:t>pelo</w:t>
      </w:r>
      <w:r>
        <w:rPr>
          <w:spacing w:val="-15"/>
          <w:w w:val="105"/>
        </w:rPr>
        <w:t xml:space="preserve"> </w:t>
      </w:r>
      <w:r>
        <w:rPr>
          <w:w w:val="105"/>
        </w:rPr>
        <w:t>seu</w:t>
      </w:r>
      <w:r>
        <w:rPr>
          <w:spacing w:val="-16"/>
          <w:w w:val="105"/>
        </w:rPr>
        <w:t xml:space="preserve"> </w:t>
      </w:r>
      <w:r>
        <w:rPr>
          <w:w w:val="105"/>
        </w:rPr>
        <w:t>valor</w:t>
      </w:r>
      <w:r>
        <w:rPr>
          <w:spacing w:val="-15"/>
          <w:w w:val="105"/>
        </w:rPr>
        <w:t xml:space="preserve"> </w:t>
      </w:r>
      <w:r>
        <w:rPr>
          <w:w w:val="105"/>
        </w:rPr>
        <w:t>justo.</w:t>
      </w:r>
      <w:r>
        <w:rPr>
          <w:spacing w:val="-13"/>
          <w:w w:val="105"/>
        </w:rPr>
        <w:t xml:space="preserve"> </w:t>
      </w:r>
      <w:r>
        <w:rPr>
          <w:w w:val="105"/>
        </w:rPr>
        <w:t>Esses</w:t>
      </w:r>
      <w:r>
        <w:rPr>
          <w:spacing w:val="-12"/>
          <w:w w:val="105"/>
        </w:rPr>
        <w:t xml:space="preserve"> </w:t>
      </w:r>
      <w:r>
        <w:rPr>
          <w:w w:val="105"/>
        </w:rPr>
        <w:t>Equivalentes</w:t>
      </w:r>
      <w:r>
        <w:rPr>
          <w:spacing w:val="-14"/>
          <w:w w:val="105"/>
        </w:rPr>
        <w:t xml:space="preserve"> </w:t>
      </w:r>
      <w:r>
        <w:rPr>
          <w:w w:val="105"/>
        </w:rPr>
        <w:t>de</w:t>
      </w:r>
      <w:r>
        <w:rPr>
          <w:spacing w:val="-14"/>
          <w:w w:val="105"/>
        </w:rPr>
        <w:t xml:space="preserve"> </w:t>
      </w:r>
      <w:r>
        <w:rPr>
          <w:w w:val="105"/>
        </w:rPr>
        <w:t>caixa</w:t>
      </w:r>
      <w:r>
        <w:rPr>
          <w:spacing w:val="-16"/>
          <w:w w:val="105"/>
        </w:rPr>
        <w:t xml:space="preserve"> </w:t>
      </w:r>
      <w:r>
        <w:rPr>
          <w:w w:val="105"/>
        </w:rPr>
        <w:t>são</w:t>
      </w:r>
      <w:r>
        <w:rPr>
          <w:spacing w:val="-14"/>
          <w:w w:val="105"/>
        </w:rPr>
        <w:t xml:space="preserve"> </w:t>
      </w:r>
      <w:r>
        <w:rPr>
          <w:w w:val="105"/>
        </w:rPr>
        <w:t>classificados como</w:t>
      </w:r>
      <w:r>
        <w:rPr>
          <w:spacing w:val="-16"/>
          <w:w w:val="105"/>
        </w:rPr>
        <w:t xml:space="preserve"> </w:t>
      </w:r>
      <w:r>
        <w:rPr>
          <w:w w:val="105"/>
        </w:rPr>
        <w:t>Nível</w:t>
      </w:r>
      <w:r>
        <w:rPr>
          <w:spacing w:val="-16"/>
          <w:w w:val="105"/>
        </w:rPr>
        <w:t xml:space="preserve"> </w:t>
      </w:r>
      <w:r>
        <w:rPr>
          <w:w w:val="105"/>
        </w:rPr>
        <w:t>1,</w:t>
      </w:r>
      <w:r>
        <w:rPr>
          <w:spacing w:val="-16"/>
          <w:w w:val="105"/>
        </w:rPr>
        <w:t xml:space="preserve"> </w:t>
      </w:r>
      <w:r>
        <w:rPr>
          <w:w w:val="105"/>
        </w:rPr>
        <w:t>pois</w:t>
      </w:r>
      <w:r>
        <w:rPr>
          <w:spacing w:val="-16"/>
          <w:w w:val="105"/>
        </w:rPr>
        <w:t xml:space="preserve"> </w:t>
      </w:r>
      <w:r>
        <w:rPr>
          <w:w w:val="105"/>
        </w:rPr>
        <w:t>são</w:t>
      </w:r>
      <w:r>
        <w:rPr>
          <w:spacing w:val="-16"/>
          <w:w w:val="105"/>
        </w:rPr>
        <w:t xml:space="preserve"> </w:t>
      </w:r>
      <w:r>
        <w:rPr>
          <w:w w:val="105"/>
        </w:rPr>
        <w:t>mensurados</w:t>
      </w:r>
      <w:r>
        <w:rPr>
          <w:spacing w:val="-15"/>
          <w:w w:val="105"/>
        </w:rPr>
        <w:t xml:space="preserve"> </w:t>
      </w:r>
      <w:r>
        <w:rPr>
          <w:w w:val="105"/>
        </w:rPr>
        <w:t>utilizando</w:t>
      </w:r>
      <w:r>
        <w:rPr>
          <w:spacing w:val="-16"/>
          <w:w w:val="105"/>
        </w:rPr>
        <w:t xml:space="preserve"> </w:t>
      </w:r>
      <w:r>
        <w:rPr>
          <w:w w:val="105"/>
        </w:rPr>
        <w:t>preços</w:t>
      </w:r>
      <w:r>
        <w:rPr>
          <w:spacing w:val="-16"/>
          <w:w w:val="105"/>
        </w:rPr>
        <w:t xml:space="preserve"> </w:t>
      </w:r>
      <w:r>
        <w:rPr>
          <w:w w:val="105"/>
        </w:rPr>
        <w:t>de</w:t>
      </w:r>
      <w:r>
        <w:rPr>
          <w:spacing w:val="-16"/>
          <w:w w:val="105"/>
        </w:rPr>
        <w:t xml:space="preserve"> </w:t>
      </w:r>
      <w:r>
        <w:rPr>
          <w:w w:val="105"/>
        </w:rPr>
        <w:t>mercado</w:t>
      </w:r>
      <w:r>
        <w:rPr>
          <w:spacing w:val="-16"/>
          <w:w w:val="105"/>
        </w:rPr>
        <w:t xml:space="preserve"> </w:t>
      </w:r>
      <w:r>
        <w:rPr>
          <w:w w:val="105"/>
        </w:rPr>
        <w:t>para</w:t>
      </w:r>
      <w:r>
        <w:rPr>
          <w:spacing w:val="-16"/>
          <w:w w:val="105"/>
        </w:rPr>
        <w:t xml:space="preserve"> </w:t>
      </w:r>
      <w:r>
        <w:rPr>
          <w:w w:val="105"/>
        </w:rPr>
        <w:t>instrumentos</w:t>
      </w:r>
      <w:r>
        <w:rPr>
          <w:spacing w:val="-15"/>
          <w:w w:val="105"/>
        </w:rPr>
        <w:t xml:space="preserve"> </w:t>
      </w:r>
      <w:r>
        <w:rPr>
          <w:w w:val="105"/>
        </w:rPr>
        <w:t>similares.</w:t>
      </w:r>
    </w:p>
    <w:p w14:paraId="17FB9896" w14:textId="77777777" w:rsidR="002C6574" w:rsidRDefault="00000000">
      <w:pPr>
        <w:pStyle w:val="Corpodetexto"/>
        <w:spacing w:before="177"/>
        <w:ind w:left="143" w:right="702"/>
        <w:jc w:val="both"/>
      </w:pPr>
      <w:r>
        <w:t>As tabelas abaixo demonstram, de forma resumida, os principais instrumentos financeiros ativos e passivos em 31 de dezembro de 2025 e 31 de dezembro de 2024:</w:t>
      </w:r>
    </w:p>
    <w:p w14:paraId="2A19672B" w14:textId="77777777" w:rsidR="002C6574" w:rsidRDefault="002C6574">
      <w:pPr>
        <w:pStyle w:val="Corpodetexto"/>
        <w:spacing w:before="1"/>
        <w:rPr>
          <w:sz w:val="1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9"/>
        <w:gridCol w:w="950"/>
        <w:gridCol w:w="933"/>
        <w:gridCol w:w="880"/>
        <w:gridCol w:w="851"/>
        <w:gridCol w:w="849"/>
        <w:gridCol w:w="851"/>
      </w:tblGrid>
      <w:tr w:rsidR="002C6574" w14:paraId="57138228" w14:textId="77777777">
        <w:trPr>
          <w:trHeight w:val="237"/>
        </w:trPr>
        <w:tc>
          <w:tcPr>
            <w:tcW w:w="4459" w:type="dxa"/>
            <w:vMerge w:val="restart"/>
            <w:shd w:val="clear" w:color="auto" w:fill="D8D8D8"/>
          </w:tcPr>
          <w:p w14:paraId="2B97AAB3" w14:textId="77777777" w:rsidR="002C6574" w:rsidRDefault="002C6574">
            <w:pPr>
              <w:pStyle w:val="TableParagraph"/>
              <w:spacing w:before="4"/>
              <w:jc w:val="left"/>
              <w:rPr>
                <w:sz w:val="16"/>
              </w:rPr>
            </w:pPr>
          </w:p>
          <w:p w14:paraId="747C52D7" w14:textId="77777777" w:rsidR="002C6574" w:rsidRDefault="00000000">
            <w:pPr>
              <w:pStyle w:val="TableParagraph"/>
              <w:ind w:left="69"/>
              <w:jc w:val="left"/>
              <w:rPr>
                <w:rFonts w:ascii="Arial"/>
                <w:b/>
                <w:sz w:val="16"/>
              </w:rPr>
            </w:pPr>
            <w:r>
              <w:rPr>
                <w:rFonts w:ascii="Arial"/>
                <w:b/>
                <w:sz w:val="16"/>
              </w:rPr>
              <w:t>Instrumentos</w:t>
            </w:r>
            <w:r>
              <w:rPr>
                <w:rFonts w:ascii="Arial"/>
                <w:b/>
                <w:spacing w:val="-5"/>
                <w:sz w:val="16"/>
              </w:rPr>
              <w:t xml:space="preserve"> </w:t>
            </w:r>
            <w:r>
              <w:rPr>
                <w:rFonts w:ascii="Arial"/>
                <w:b/>
                <w:spacing w:val="-2"/>
                <w:sz w:val="16"/>
              </w:rPr>
              <w:t>Financeiros:</w:t>
            </w:r>
          </w:p>
        </w:tc>
        <w:tc>
          <w:tcPr>
            <w:tcW w:w="950" w:type="dxa"/>
            <w:vMerge w:val="restart"/>
          </w:tcPr>
          <w:p w14:paraId="6082FCB0" w14:textId="77777777" w:rsidR="002C6574" w:rsidRDefault="002C6574">
            <w:pPr>
              <w:pStyle w:val="TableParagraph"/>
              <w:spacing w:before="4"/>
              <w:jc w:val="left"/>
              <w:rPr>
                <w:sz w:val="16"/>
              </w:rPr>
            </w:pPr>
          </w:p>
          <w:p w14:paraId="1C24CC13" w14:textId="77777777" w:rsidR="002C6574" w:rsidRDefault="00000000">
            <w:pPr>
              <w:pStyle w:val="TableParagraph"/>
              <w:ind w:left="101"/>
              <w:jc w:val="left"/>
              <w:rPr>
                <w:rFonts w:ascii="Arial" w:hAnsi="Arial"/>
                <w:b/>
                <w:sz w:val="16"/>
              </w:rPr>
            </w:pPr>
            <w:r>
              <w:rPr>
                <w:rFonts w:ascii="Arial" w:hAnsi="Arial"/>
                <w:b/>
                <w:spacing w:val="-2"/>
                <w:sz w:val="16"/>
              </w:rPr>
              <w:t>Avaliação</w:t>
            </w:r>
          </w:p>
        </w:tc>
        <w:tc>
          <w:tcPr>
            <w:tcW w:w="933" w:type="dxa"/>
            <w:vMerge w:val="restart"/>
          </w:tcPr>
          <w:p w14:paraId="4AB5AA1A" w14:textId="77777777" w:rsidR="002C6574" w:rsidRDefault="00000000">
            <w:pPr>
              <w:pStyle w:val="TableParagraph"/>
              <w:spacing w:before="32"/>
              <w:ind w:left="13"/>
              <w:jc w:val="center"/>
              <w:rPr>
                <w:rFonts w:ascii="Arial"/>
                <w:b/>
                <w:sz w:val="16"/>
              </w:rPr>
            </w:pPr>
            <w:r>
              <w:rPr>
                <w:rFonts w:ascii="Arial"/>
                <w:b/>
                <w:spacing w:val="-2"/>
                <w:sz w:val="16"/>
              </w:rPr>
              <w:t xml:space="preserve">Hierarquia </w:t>
            </w:r>
            <w:r>
              <w:rPr>
                <w:rFonts w:ascii="Arial"/>
                <w:b/>
                <w:sz w:val="16"/>
              </w:rPr>
              <w:t xml:space="preserve">do Valor </w:t>
            </w:r>
            <w:r>
              <w:rPr>
                <w:rFonts w:ascii="Arial"/>
                <w:b/>
                <w:spacing w:val="-2"/>
                <w:sz w:val="16"/>
              </w:rPr>
              <w:t>justo</w:t>
            </w:r>
          </w:p>
        </w:tc>
        <w:tc>
          <w:tcPr>
            <w:tcW w:w="1731" w:type="dxa"/>
            <w:gridSpan w:val="2"/>
          </w:tcPr>
          <w:p w14:paraId="364B7FF0" w14:textId="77777777" w:rsidR="002C6574" w:rsidRDefault="00000000">
            <w:pPr>
              <w:pStyle w:val="TableParagraph"/>
              <w:spacing w:before="27"/>
              <w:ind w:left="464"/>
              <w:jc w:val="left"/>
              <w:rPr>
                <w:rFonts w:ascii="Arial"/>
                <w:b/>
                <w:sz w:val="16"/>
              </w:rPr>
            </w:pPr>
            <w:r>
              <w:rPr>
                <w:rFonts w:ascii="Arial"/>
                <w:b/>
                <w:spacing w:val="-2"/>
                <w:sz w:val="16"/>
              </w:rPr>
              <w:t>31/12/2025</w:t>
            </w:r>
          </w:p>
        </w:tc>
        <w:tc>
          <w:tcPr>
            <w:tcW w:w="1700" w:type="dxa"/>
            <w:gridSpan w:val="2"/>
          </w:tcPr>
          <w:p w14:paraId="0977E186" w14:textId="77777777" w:rsidR="002C6574" w:rsidRDefault="00000000">
            <w:pPr>
              <w:pStyle w:val="TableParagraph"/>
              <w:spacing w:before="27"/>
              <w:ind w:left="452"/>
              <w:jc w:val="left"/>
              <w:rPr>
                <w:rFonts w:ascii="Arial"/>
                <w:b/>
                <w:sz w:val="16"/>
              </w:rPr>
            </w:pPr>
            <w:r>
              <w:rPr>
                <w:rFonts w:ascii="Arial"/>
                <w:b/>
                <w:spacing w:val="-2"/>
                <w:sz w:val="16"/>
              </w:rPr>
              <w:t>31/12/2024</w:t>
            </w:r>
          </w:p>
        </w:tc>
      </w:tr>
      <w:tr w:rsidR="002C6574" w14:paraId="76060136" w14:textId="77777777">
        <w:trPr>
          <w:trHeight w:val="369"/>
        </w:trPr>
        <w:tc>
          <w:tcPr>
            <w:tcW w:w="4459" w:type="dxa"/>
            <w:vMerge/>
            <w:tcBorders>
              <w:top w:val="nil"/>
            </w:tcBorders>
            <w:shd w:val="clear" w:color="auto" w:fill="D8D8D8"/>
          </w:tcPr>
          <w:p w14:paraId="22752661" w14:textId="77777777" w:rsidR="002C6574" w:rsidRDefault="002C6574">
            <w:pPr>
              <w:rPr>
                <w:sz w:val="2"/>
                <w:szCs w:val="2"/>
              </w:rPr>
            </w:pPr>
          </w:p>
        </w:tc>
        <w:tc>
          <w:tcPr>
            <w:tcW w:w="950" w:type="dxa"/>
            <w:vMerge/>
            <w:tcBorders>
              <w:top w:val="nil"/>
            </w:tcBorders>
          </w:tcPr>
          <w:p w14:paraId="034E15A8" w14:textId="77777777" w:rsidR="002C6574" w:rsidRDefault="002C6574">
            <w:pPr>
              <w:rPr>
                <w:sz w:val="2"/>
                <w:szCs w:val="2"/>
              </w:rPr>
            </w:pPr>
          </w:p>
        </w:tc>
        <w:tc>
          <w:tcPr>
            <w:tcW w:w="933" w:type="dxa"/>
            <w:vMerge/>
            <w:tcBorders>
              <w:top w:val="nil"/>
            </w:tcBorders>
          </w:tcPr>
          <w:p w14:paraId="65A18D45" w14:textId="77777777" w:rsidR="002C6574" w:rsidRDefault="002C6574">
            <w:pPr>
              <w:rPr>
                <w:sz w:val="2"/>
                <w:szCs w:val="2"/>
              </w:rPr>
            </w:pPr>
          </w:p>
        </w:tc>
        <w:tc>
          <w:tcPr>
            <w:tcW w:w="880" w:type="dxa"/>
          </w:tcPr>
          <w:p w14:paraId="01B5759A" w14:textId="77777777" w:rsidR="002C6574" w:rsidRDefault="00000000">
            <w:pPr>
              <w:pStyle w:val="TableParagraph"/>
              <w:spacing w:line="180" w:lineRule="atLeast"/>
              <w:ind w:left="118" w:firstLine="140"/>
              <w:jc w:val="left"/>
              <w:rPr>
                <w:rFonts w:ascii="Arial" w:hAnsi="Arial"/>
                <w:b/>
                <w:sz w:val="16"/>
              </w:rPr>
            </w:pPr>
            <w:r>
              <w:rPr>
                <w:rFonts w:ascii="Arial" w:hAnsi="Arial"/>
                <w:b/>
                <w:spacing w:val="-2"/>
                <w:sz w:val="16"/>
              </w:rPr>
              <w:t>Valor Contábil</w:t>
            </w:r>
          </w:p>
        </w:tc>
        <w:tc>
          <w:tcPr>
            <w:tcW w:w="851" w:type="dxa"/>
          </w:tcPr>
          <w:p w14:paraId="296D3DC8" w14:textId="77777777" w:rsidR="002C6574" w:rsidRDefault="00000000">
            <w:pPr>
              <w:pStyle w:val="TableParagraph"/>
              <w:spacing w:line="180" w:lineRule="atLeast"/>
              <w:ind w:left="212" w:right="183" w:firstLine="35"/>
              <w:jc w:val="left"/>
              <w:rPr>
                <w:rFonts w:ascii="Arial"/>
                <w:b/>
                <w:sz w:val="16"/>
              </w:rPr>
            </w:pPr>
            <w:r>
              <w:rPr>
                <w:rFonts w:ascii="Arial"/>
                <w:b/>
                <w:spacing w:val="-2"/>
                <w:sz w:val="16"/>
              </w:rPr>
              <w:t>Valor Justo</w:t>
            </w:r>
          </w:p>
        </w:tc>
        <w:tc>
          <w:tcPr>
            <w:tcW w:w="849" w:type="dxa"/>
          </w:tcPr>
          <w:p w14:paraId="5EE7FB45" w14:textId="77777777" w:rsidR="002C6574" w:rsidRDefault="00000000">
            <w:pPr>
              <w:pStyle w:val="TableParagraph"/>
              <w:spacing w:line="180" w:lineRule="atLeast"/>
              <w:ind w:left="105" w:firstLine="143"/>
              <w:jc w:val="left"/>
              <w:rPr>
                <w:rFonts w:ascii="Arial" w:hAnsi="Arial"/>
                <w:b/>
                <w:sz w:val="16"/>
              </w:rPr>
            </w:pPr>
            <w:r>
              <w:rPr>
                <w:rFonts w:ascii="Arial" w:hAnsi="Arial"/>
                <w:b/>
                <w:spacing w:val="-4"/>
                <w:sz w:val="16"/>
              </w:rPr>
              <w:t xml:space="preserve">Valor </w:t>
            </w:r>
            <w:r>
              <w:rPr>
                <w:rFonts w:ascii="Arial" w:hAnsi="Arial"/>
                <w:b/>
                <w:spacing w:val="-2"/>
                <w:sz w:val="16"/>
              </w:rPr>
              <w:t>Contábil</w:t>
            </w:r>
          </w:p>
        </w:tc>
        <w:tc>
          <w:tcPr>
            <w:tcW w:w="851" w:type="dxa"/>
          </w:tcPr>
          <w:p w14:paraId="049F8034" w14:textId="77777777" w:rsidR="002C6574" w:rsidRDefault="00000000">
            <w:pPr>
              <w:pStyle w:val="TableParagraph"/>
              <w:spacing w:line="180" w:lineRule="atLeast"/>
              <w:ind w:left="214" w:right="181" w:firstLine="35"/>
              <w:jc w:val="left"/>
              <w:rPr>
                <w:rFonts w:ascii="Arial"/>
                <w:b/>
                <w:sz w:val="16"/>
              </w:rPr>
            </w:pPr>
            <w:r>
              <w:rPr>
                <w:rFonts w:ascii="Arial"/>
                <w:b/>
                <w:spacing w:val="-2"/>
                <w:sz w:val="16"/>
              </w:rPr>
              <w:t>Valor Justo</w:t>
            </w:r>
          </w:p>
        </w:tc>
      </w:tr>
      <w:tr w:rsidR="002C6574" w14:paraId="24E729DC" w14:textId="77777777">
        <w:trPr>
          <w:trHeight w:val="237"/>
        </w:trPr>
        <w:tc>
          <w:tcPr>
            <w:tcW w:w="4459" w:type="dxa"/>
          </w:tcPr>
          <w:p w14:paraId="5F6968E8" w14:textId="77777777" w:rsidR="002C6574" w:rsidRDefault="00000000">
            <w:pPr>
              <w:pStyle w:val="TableParagraph"/>
              <w:spacing w:before="27"/>
              <w:ind w:left="69"/>
              <w:jc w:val="left"/>
              <w:rPr>
                <w:rFonts w:ascii="Arial"/>
                <w:b/>
                <w:sz w:val="16"/>
              </w:rPr>
            </w:pPr>
            <w:r>
              <w:rPr>
                <w:rFonts w:ascii="Arial"/>
                <w:b/>
                <w:sz w:val="16"/>
              </w:rPr>
              <w:t>Ativos</w:t>
            </w:r>
            <w:r>
              <w:rPr>
                <w:rFonts w:ascii="Arial"/>
                <w:b/>
                <w:spacing w:val="-4"/>
                <w:sz w:val="16"/>
              </w:rPr>
              <w:t xml:space="preserve"> </w:t>
            </w:r>
            <w:r>
              <w:rPr>
                <w:rFonts w:ascii="Arial"/>
                <w:b/>
                <w:spacing w:val="-2"/>
                <w:sz w:val="16"/>
              </w:rPr>
              <w:t>Financeiros</w:t>
            </w:r>
          </w:p>
        </w:tc>
        <w:tc>
          <w:tcPr>
            <w:tcW w:w="950" w:type="dxa"/>
          </w:tcPr>
          <w:p w14:paraId="69EA6285" w14:textId="77777777" w:rsidR="002C6574" w:rsidRDefault="002C6574">
            <w:pPr>
              <w:pStyle w:val="TableParagraph"/>
              <w:jc w:val="left"/>
              <w:rPr>
                <w:rFonts w:ascii="Times New Roman"/>
                <w:sz w:val="16"/>
              </w:rPr>
            </w:pPr>
          </w:p>
        </w:tc>
        <w:tc>
          <w:tcPr>
            <w:tcW w:w="933" w:type="dxa"/>
          </w:tcPr>
          <w:p w14:paraId="5FD28B24" w14:textId="77777777" w:rsidR="002C6574" w:rsidRDefault="002C6574">
            <w:pPr>
              <w:pStyle w:val="TableParagraph"/>
              <w:jc w:val="left"/>
              <w:rPr>
                <w:rFonts w:ascii="Times New Roman"/>
                <w:sz w:val="16"/>
              </w:rPr>
            </w:pPr>
          </w:p>
        </w:tc>
        <w:tc>
          <w:tcPr>
            <w:tcW w:w="880" w:type="dxa"/>
          </w:tcPr>
          <w:p w14:paraId="2B30C377" w14:textId="77777777" w:rsidR="002C6574" w:rsidRDefault="002C6574">
            <w:pPr>
              <w:pStyle w:val="TableParagraph"/>
              <w:jc w:val="left"/>
              <w:rPr>
                <w:rFonts w:ascii="Times New Roman"/>
                <w:sz w:val="16"/>
              </w:rPr>
            </w:pPr>
          </w:p>
        </w:tc>
        <w:tc>
          <w:tcPr>
            <w:tcW w:w="851" w:type="dxa"/>
          </w:tcPr>
          <w:p w14:paraId="08C7687A" w14:textId="77777777" w:rsidR="002C6574" w:rsidRDefault="002C6574">
            <w:pPr>
              <w:pStyle w:val="TableParagraph"/>
              <w:jc w:val="left"/>
              <w:rPr>
                <w:rFonts w:ascii="Times New Roman"/>
                <w:sz w:val="16"/>
              </w:rPr>
            </w:pPr>
          </w:p>
        </w:tc>
        <w:tc>
          <w:tcPr>
            <w:tcW w:w="849" w:type="dxa"/>
          </w:tcPr>
          <w:p w14:paraId="64FFC54B" w14:textId="77777777" w:rsidR="002C6574" w:rsidRDefault="002C6574">
            <w:pPr>
              <w:pStyle w:val="TableParagraph"/>
              <w:jc w:val="left"/>
              <w:rPr>
                <w:rFonts w:ascii="Times New Roman"/>
                <w:sz w:val="16"/>
              </w:rPr>
            </w:pPr>
          </w:p>
        </w:tc>
        <w:tc>
          <w:tcPr>
            <w:tcW w:w="851" w:type="dxa"/>
          </w:tcPr>
          <w:p w14:paraId="4340B832" w14:textId="77777777" w:rsidR="002C6574" w:rsidRDefault="002C6574">
            <w:pPr>
              <w:pStyle w:val="TableParagraph"/>
              <w:jc w:val="left"/>
              <w:rPr>
                <w:rFonts w:ascii="Times New Roman"/>
                <w:sz w:val="16"/>
              </w:rPr>
            </w:pPr>
          </w:p>
        </w:tc>
      </w:tr>
      <w:tr w:rsidR="002C6574" w14:paraId="2E2420BB" w14:textId="77777777">
        <w:trPr>
          <w:trHeight w:val="237"/>
        </w:trPr>
        <w:tc>
          <w:tcPr>
            <w:tcW w:w="4459" w:type="dxa"/>
          </w:tcPr>
          <w:p w14:paraId="533DB2A4" w14:textId="77777777" w:rsidR="002C6574" w:rsidRDefault="002C6574">
            <w:pPr>
              <w:pStyle w:val="TableParagraph"/>
              <w:jc w:val="left"/>
              <w:rPr>
                <w:rFonts w:ascii="Times New Roman"/>
                <w:sz w:val="16"/>
              </w:rPr>
            </w:pPr>
          </w:p>
        </w:tc>
        <w:tc>
          <w:tcPr>
            <w:tcW w:w="950" w:type="dxa"/>
          </w:tcPr>
          <w:p w14:paraId="00FB0FA1" w14:textId="77777777" w:rsidR="002C6574" w:rsidRDefault="002C6574">
            <w:pPr>
              <w:pStyle w:val="TableParagraph"/>
              <w:jc w:val="left"/>
              <w:rPr>
                <w:rFonts w:ascii="Times New Roman"/>
                <w:sz w:val="16"/>
              </w:rPr>
            </w:pPr>
          </w:p>
        </w:tc>
        <w:tc>
          <w:tcPr>
            <w:tcW w:w="933" w:type="dxa"/>
          </w:tcPr>
          <w:p w14:paraId="3A9342FE" w14:textId="77777777" w:rsidR="002C6574" w:rsidRDefault="002C6574">
            <w:pPr>
              <w:pStyle w:val="TableParagraph"/>
              <w:jc w:val="left"/>
              <w:rPr>
                <w:rFonts w:ascii="Times New Roman"/>
                <w:sz w:val="16"/>
              </w:rPr>
            </w:pPr>
          </w:p>
        </w:tc>
        <w:tc>
          <w:tcPr>
            <w:tcW w:w="880" w:type="dxa"/>
          </w:tcPr>
          <w:p w14:paraId="3E7DEA42" w14:textId="77777777" w:rsidR="002C6574" w:rsidRDefault="002C6574">
            <w:pPr>
              <w:pStyle w:val="TableParagraph"/>
              <w:jc w:val="left"/>
              <w:rPr>
                <w:rFonts w:ascii="Times New Roman"/>
                <w:sz w:val="16"/>
              </w:rPr>
            </w:pPr>
          </w:p>
        </w:tc>
        <w:tc>
          <w:tcPr>
            <w:tcW w:w="851" w:type="dxa"/>
          </w:tcPr>
          <w:p w14:paraId="7F90BF10" w14:textId="77777777" w:rsidR="002C6574" w:rsidRDefault="002C6574">
            <w:pPr>
              <w:pStyle w:val="TableParagraph"/>
              <w:jc w:val="left"/>
              <w:rPr>
                <w:rFonts w:ascii="Times New Roman"/>
                <w:sz w:val="16"/>
              </w:rPr>
            </w:pPr>
          </w:p>
        </w:tc>
        <w:tc>
          <w:tcPr>
            <w:tcW w:w="849" w:type="dxa"/>
          </w:tcPr>
          <w:p w14:paraId="6EFEC7E3" w14:textId="77777777" w:rsidR="002C6574" w:rsidRDefault="002C6574">
            <w:pPr>
              <w:pStyle w:val="TableParagraph"/>
              <w:jc w:val="left"/>
              <w:rPr>
                <w:rFonts w:ascii="Times New Roman"/>
                <w:sz w:val="16"/>
              </w:rPr>
            </w:pPr>
          </w:p>
        </w:tc>
        <w:tc>
          <w:tcPr>
            <w:tcW w:w="851" w:type="dxa"/>
          </w:tcPr>
          <w:p w14:paraId="3F475211" w14:textId="77777777" w:rsidR="002C6574" w:rsidRDefault="002C6574">
            <w:pPr>
              <w:pStyle w:val="TableParagraph"/>
              <w:jc w:val="left"/>
              <w:rPr>
                <w:rFonts w:ascii="Times New Roman"/>
                <w:sz w:val="16"/>
              </w:rPr>
            </w:pPr>
          </w:p>
        </w:tc>
      </w:tr>
      <w:tr w:rsidR="002C6574" w14:paraId="1B3A0BF7" w14:textId="77777777">
        <w:trPr>
          <w:trHeight w:val="268"/>
        </w:trPr>
        <w:tc>
          <w:tcPr>
            <w:tcW w:w="4459" w:type="dxa"/>
          </w:tcPr>
          <w:p w14:paraId="3B087582" w14:textId="77777777" w:rsidR="002C6574" w:rsidRDefault="00000000">
            <w:pPr>
              <w:pStyle w:val="TableParagraph"/>
              <w:spacing w:before="44"/>
              <w:ind w:left="69"/>
              <w:jc w:val="left"/>
              <w:rPr>
                <w:rFonts w:ascii="Arial"/>
                <w:b/>
                <w:sz w:val="16"/>
              </w:rPr>
            </w:pPr>
            <w:r>
              <w:rPr>
                <w:rFonts w:ascii="Arial"/>
                <w:b/>
                <w:sz w:val="16"/>
              </w:rPr>
              <w:t>Valor</w:t>
            </w:r>
            <w:r>
              <w:rPr>
                <w:rFonts w:ascii="Arial"/>
                <w:b/>
                <w:spacing w:val="-2"/>
                <w:sz w:val="16"/>
              </w:rPr>
              <w:t xml:space="preserve"> </w:t>
            </w:r>
            <w:r>
              <w:rPr>
                <w:rFonts w:ascii="Arial"/>
                <w:b/>
                <w:sz w:val="16"/>
              </w:rPr>
              <w:t>Justo</w:t>
            </w:r>
            <w:r>
              <w:rPr>
                <w:rFonts w:ascii="Arial"/>
                <w:b/>
                <w:spacing w:val="-3"/>
                <w:sz w:val="16"/>
              </w:rPr>
              <w:t xml:space="preserve"> </w:t>
            </w:r>
            <w:r>
              <w:rPr>
                <w:rFonts w:ascii="Arial"/>
                <w:b/>
                <w:sz w:val="16"/>
              </w:rPr>
              <w:t>por</w:t>
            </w:r>
            <w:r>
              <w:rPr>
                <w:rFonts w:ascii="Arial"/>
                <w:b/>
                <w:spacing w:val="-3"/>
                <w:sz w:val="16"/>
              </w:rPr>
              <w:t xml:space="preserve"> </w:t>
            </w:r>
            <w:r>
              <w:rPr>
                <w:rFonts w:ascii="Arial"/>
                <w:b/>
                <w:sz w:val="16"/>
              </w:rPr>
              <w:t>meio</w:t>
            </w:r>
            <w:r>
              <w:rPr>
                <w:rFonts w:ascii="Arial"/>
                <w:b/>
                <w:spacing w:val="-1"/>
                <w:sz w:val="16"/>
              </w:rPr>
              <w:t xml:space="preserve"> </w:t>
            </w:r>
            <w:r>
              <w:rPr>
                <w:rFonts w:ascii="Arial"/>
                <w:b/>
                <w:sz w:val="16"/>
              </w:rPr>
              <w:t xml:space="preserve">do </w:t>
            </w:r>
            <w:r>
              <w:rPr>
                <w:rFonts w:ascii="Arial"/>
                <w:b/>
                <w:spacing w:val="-2"/>
                <w:sz w:val="16"/>
              </w:rPr>
              <w:t>Resultado</w:t>
            </w:r>
          </w:p>
        </w:tc>
        <w:tc>
          <w:tcPr>
            <w:tcW w:w="950" w:type="dxa"/>
          </w:tcPr>
          <w:p w14:paraId="4E90D252" w14:textId="77777777" w:rsidR="002C6574" w:rsidRDefault="002C6574">
            <w:pPr>
              <w:pStyle w:val="TableParagraph"/>
              <w:jc w:val="left"/>
              <w:rPr>
                <w:rFonts w:ascii="Times New Roman"/>
                <w:sz w:val="18"/>
              </w:rPr>
            </w:pPr>
          </w:p>
        </w:tc>
        <w:tc>
          <w:tcPr>
            <w:tcW w:w="933" w:type="dxa"/>
          </w:tcPr>
          <w:p w14:paraId="24E16251" w14:textId="77777777" w:rsidR="002C6574" w:rsidRDefault="002C6574">
            <w:pPr>
              <w:pStyle w:val="TableParagraph"/>
              <w:jc w:val="left"/>
              <w:rPr>
                <w:rFonts w:ascii="Times New Roman"/>
                <w:sz w:val="18"/>
              </w:rPr>
            </w:pPr>
          </w:p>
        </w:tc>
        <w:tc>
          <w:tcPr>
            <w:tcW w:w="880" w:type="dxa"/>
          </w:tcPr>
          <w:p w14:paraId="75857EAF" w14:textId="77777777" w:rsidR="002C6574" w:rsidRDefault="002C6574">
            <w:pPr>
              <w:pStyle w:val="TableParagraph"/>
              <w:jc w:val="left"/>
              <w:rPr>
                <w:rFonts w:ascii="Times New Roman"/>
                <w:sz w:val="18"/>
              </w:rPr>
            </w:pPr>
          </w:p>
        </w:tc>
        <w:tc>
          <w:tcPr>
            <w:tcW w:w="851" w:type="dxa"/>
          </w:tcPr>
          <w:p w14:paraId="1D5A07CC" w14:textId="77777777" w:rsidR="002C6574" w:rsidRDefault="002C6574">
            <w:pPr>
              <w:pStyle w:val="TableParagraph"/>
              <w:jc w:val="left"/>
              <w:rPr>
                <w:rFonts w:ascii="Times New Roman"/>
                <w:sz w:val="18"/>
              </w:rPr>
            </w:pPr>
          </w:p>
        </w:tc>
        <w:tc>
          <w:tcPr>
            <w:tcW w:w="849" w:type="dxa"/>
          </w:tcPr>
          <w:p w14:paraId="21E9D947" w14:textId="77777777" w:rsidR="002C6574" w:rsidRDefault="002C6574">
            <w:pPr>
              <w:pStyle w:val="TableParagraph"/>
              <w:jc w:val="left"/>
              <w:rPr>
                <w:rFonts w:ascii="Times New Roman"/>
                <w:sz w:val="18"/>
              </w:rPr>
            </w:pPr>
          </w:p>
        </w:tc>
        <w:tc>
          <w:tcPr>
            <w:tcW w:w="851" w:type="dxa"/>
          </w:tcPr>
          <w:p w14:paraId="23414D2A" w14:textId="77777777" w:rsidR="002C6574" w:rsidRDefault="002C6574">
            <w:pPr>
              <w:pStyle w:val="TableParagraph"/>
              <w:jc w:val="left"/>
              <w:rPr>
                <w:rFonts w:ascii="Times New Roman"/>
                <w:sz w:val="18"/>
              </w:rPr>
            </w:pPr>
          </w:p>
        </w:tc>
      </w:tr>
      <w:tr w:rsidR="002C6574" w14:paraId="0CDC8F13" w14:textId="77777777">
        <w:trPr>
          <w:trHeight w:val="239"/>
        </w:trPr>
        <w:tc>
          <w:tcPr>
            <w:tcW w:w="4459" w:type="dxa"/>
          </w:tcPr>
          <w:p w14:paraId="1CE9D60E" w14:textId="77777777" w:rsidR="002C6574" w:rsidRDefault="00000000">
            <w:pPr>
              <w:pStyle w:val="TableParagraph"/>
              <w:spacing w:before="7" w:line="212" w:lineRule="exact"/>
              <w:ind w:left="69"/>
              <w:jc w:val="left"/>
              <w:rPr>
                <w:sz w:val="16"/>
              </w:rPr>
            </w:pPr>
            <w:r>
              <w:rPr>
                <w:w w:val="105"/>
                <w:sz w:val="16"/>
              </w:rPr>
              <w:t>Caixa</w:t>
            </w:r>
            <w:r>
              <w:rPr>
                <w:spacing w:val="5"/>
                <w:w w:val="105"/>
                <w:sz w:val="16"/>
              </w:rPr>
              <w:t xml:space="preserve"> </w:t>
            </w:r>
            <w:r>
              <w:rPr>
                <w:w w:val="105"/>
                <w:sz w:val="16"/>
              </w:rPr>
              <w:t>e</w:t>
            </w:r>
            <w:r>
              <w:rPr>
                <w:spacing w:val="5"/>
                <w:w w:val="105"/>
                <w:sz w:val="16"/>
              </w:rPr>
              <w:t xml:space="preserve"> </w:t>
            </w:r>
            <w:r>
              <w:rPr>
                <w:spacing w:val="-2"/>
                <w:w w:val="105"/>
                <w:sz w:val="16"/>
              </w:rPr>
              <w:t>Bancos</w:t>
            </w:r>
          </w:p>
        </w:tc>
        <w:tc>
          <w:tcPr>
            <w:tcW w:w="950" w:type="dxa"/>
          </w:tcPr>
          <w:p w14:paraId="51C589F6" w14:textId="77777777" w:rsidR="002C6574" w:rsidRDefault="00000000">
            <w:pPr>
              <w:pStyle w:val="TableParagraph"/>
              <w:spacing w:before="7" w:line="212" w:lineRule="exact"/>
              <w:ind w:left="12" w:right="1"/>
              <w:jc w:val="center"/>
              <w:rPr>
                <w:sz w:val="16"/>
              </w:rPr>
            </w:pPr>
            <w:r>
              <w:rPr>
                <w:w w:val="115"/>
                <w:sz w:val="16"/>
              </w:rPr>
              <w:t>VJR</w:t>
            </w:r>
            <w:r>
              <w:rPr>
                <w:spacing w:val="5"/>
                <w:w w:val="115"/>
                <w:sz w:val="16"/>
              </w:rPr>
              <w:t xml:space="preserve"> </w:t>
            </w:r>
            <w:r>
              <w:rPr>
                <w:spacing w:val="-5"/>
                <w:w w:val="115"/>
                <w:sz w:val="16"/>
              </w:rPr>
              <w:t>(i)</w:t>
            </w:r>
          </w:p>
        </w:tc>
        <w:tc>
          <w:tcPr>
            <w:tcW w:w="933" w:type="dxa"/>
          </w:tcPr>
          <w:p w14:paraId="224A8905" w14:textId="77777777" w:rsidR="002C6574" w:rsidRDefault="00000000">
            <w:pPr>
              <w:pStyle w:val="TableParagraph"/>
              <w:spacing w:before="7" w:line="212" w:lineRule="exact"/>
              <w:ind w:right="59"/>
              <w:rPr>
                <w:sz w:val="16"/>
              </w:rPr>
            </w:pPr>
            <w:r>
              <w:rPr>
                <w:sz w:val="16"/>
              </w:rPr>
              <w:t>Nível</w:t>
            </w:r>
            <w:r>
              <w:rPr>
                <w:spacing w:val="5"/>
                <w:sz w:val="16"/>
              </w:rPr>
              <w:t xml:space="preserve"> </w:t>
            </w:r>
            <w:r>
              <w:rPr>
                <w:spacing w:val="-10"/>
                <w:sz w:val="16"/>
              </w:rPr>
              <w:t>1</w:t>
            </w:r>
          </w:p>
        </w:tc>
        <w:tc>
          <w:tcPr>
            <w:tcW w:w="880" w:type="dxa"/>
          </w:tcPr>
          <w:p w14:paraId="207758D0" w14:textId="77777777" w:rsidR="002C6574" w:rsidRDefault="00000000">
            <w:pPr>
              <w:pStyle w:val="TableParagraph"/>
              <w:spacing w:before="7" w:line="212" w:lineRule="exact"/>
              <w:ind w:right="86"/>
              <w:rPr>
                <w:sz w:val="16"/>
              </w:rPr>
            </w:pPr>
            <w:r>
              <w:rPr>
                <w:spacing w:val="-5"/>
                <w:w w:val="105"/>
                <w:sz w:val="16"/>
              </w:rPr>
              <w:t>771</w:t>
            </w:r>
          </w:p>
        </w:tc>
        <w:tc>
          <w:tcPr>
            <w:tcW w:w="851" w:type="dxa"/>
          </w:tcPr>
          <w:p w14:paraId="1D96EECB" w14:textId="77777777" w:rsidR="002C6574" w:rsidRDefault="00000000">
            <w:pPr>
              <w:pStyle w:val="TableParagraph"/>
              <w:spacing w:before="7" w:line="212" w:lineRule="exact"/>
              <w:ind w:right="56"/>
              <w:rPr>
                <w:sz w:val="16"/>
              </w:rPr>
            </w:pPr>
            <w:r>
              <w:rPr>
                <w:spacing w:val="-5"/>
                <w:w w:val="105"/>
                <w:sz w:val="16"/>
              </w:rPr>
              <w:t>771</w:t>
            </w:r>
          </w:p>
        </w:tc>
        <w:tc>
          <w:tcPr>
            <w:tcW w:w="849" w:type="dxa"/>
          </w:tcPr>
          <w:p w14:paraId="4253A34F" w14:textId="77777777" w:rsidR="002C6574" w:rsidRDefault="00000000">
            <w:pPr>
              <w:pStyle w:val="TableParagraph"/>
              <w:spacing w:before="7" w:line="212" w:lineRule="exact"/>
              <w:ind w:right="53"/>
              <w:rPr>
                <w:sz w:val="16"/>
              </w:rPr>
            </w:pPr>
            <w:r>
              <w:rPr>
                <w:spacing w:val="-2"/>
                <w:w w:val="105"/>
                <w:sz w:val="16"/>
              </w:rPr>
              <w:t>36.843</w:t>
            </w:r>
          </w:p>
        </w:tc>
        <w:tc>
          <w:tcPr>
            <w:tcW w:w="851" w:type="dxa"/>
          </w:tcPr>
          <w:p w14:paraId="1DACE511" w14:textId="77777777" w:rsidR="002C6574" w:rsidRDefault="00000000">
            <w:pPr>
              <w:pStyle w:val="TableParagraph"/>
              <w:spacing w:before="7" w:line="212" w:lineRule="exact"/>
              <w:ind w:left="236"/>
              <w:jc w:val="center"/>
              <w:rPr>
                <w:sz w:val="16"/>
              </w:rPr>
            </w:pPr>
            <w:r>
              <w:rPr>
                <w:spacing w:val="-2"/>
                <w:w w:val="105"/>
                <w:sz w:val="16"/>
              </w:rPr>
              <w:t>36.843</w:t>
            </w:r>
          </w:p>
        </w:tc>
      </w:tr>
      <w:tr w:rsidR="002C6574" w14:paraId="0A20D73F" w14:textId="77777777">
        <w:trPr>
          <w:trHeight w:val="237"/>
        </w:trPr>
        <w:tc>
          <w:tcPr>
            <w:tcW w:w="4459" w:type="dxa"/>
          </w:tcPr>
          <w:p w14:paraId="046993D6" w14:textId="77777777" w:rsidR="002C6574" w:rsidRDefault="00000000">
            <w:pPr>
              <w:pStyle w:val="TableParagraph"/>
              <w:spacing w:before="4" w:line="212" w:lineRule="exact"/>
              <w:ind w:left="69"/>
              <w:jc w:val="left"/>
              <w:rPr>
                <w:sz w:val="16"/>
              </w:rPr>
            </w:pPr>
            <w:r>
              <w:rPr>
                <w:sz w:val="16"/>
              </w:rPr>
              <w:t>Aplicações</w:t>
            </w:r>
            <w:r>
              <w:rPr>
                <w:spacing w:val="20"/>
                <w:sz w:val="16"/>
              </w:rPr>
              <w:t xml:space="preserve"> </w:t>
            </w:r>
            <w:r>
              <w:rPr>
                <w:spacing w:val="-2"/>
                <w:sz w:val="16"/>
              </w:rPr>
              <w:t>Financeiras</w:t>
            </w:r>
          </w:p>
        </w:tc>
        <w:tc>
          <w:tcPr>
            <w:tcW w:w="950" w:type="dxa"/>
          </w:tcPr>
          <w:p w14:paraId="61593A9A" w14:textId="77777777" w:rsidR="002C6574" w:rsidRDefault="00000000">
            <w:pPr>
              <w:pStyle w:val="TableParagraph"/>
              <w:spacing w:before="4" w:line="212" w:lineRule="exact"/>
              <w:ind w:left="12" w:right="1"/>
              <w:jc w:val="center"/>
              <w:rPr>
                <w:sz w:val="16"/>
              </w:rPr>
            </w:pPr>
            <w:r>
              <w:rPr>
                <w:w w:val="115"/>
                <w:sz w:val="16"/>
              </w:rPr>
              <w:t>VJR</w:t>
            </w:r>
            <w:r>
              <w:rPr>
                <w:spacing w:val="6"/>
                <w:w w:val="115"/>
                <w:sz w:val="16"/>
              </w:rPr>
              <w:t xml:space="preserve"> </w:t>
            </w:r>
            <w:r>
              <w:rPr>
                <w:spacing w:val="-5"/>
                <w:w w:val="115"/>
                <w:sz w:val="16"/>
              </w:rPr>
              <w:t>(i)</w:t>
            </w:r>
          </w:p>
        </w:tc>
        <w:tc>
          <w:tcPr>
            <w:tcW w:w="933" w:type="dxa"/>
          </w:tcPr>
          <w:p w14:paraId="372A1930" w14:textId="77777777" w:rsidR="002C6574" w:rsidRDefault="00000000">
            <w:pPr>
              <w:pStyle w:val="TableParagraph"/>
              <w:spacing w:before="4" w:line="212" w:lineRule="exact"/>
              <w:ind w:right="58"/>
              <w:rPr>
                <w:sz w:val="16"/>
              </w:rPr>
            </w:pPr>
            <w:r>
              <w:rPr>
                <w:sz w:val="16"/>
              </w:rPr>
              <w:t>Nível</w:t>
            </w:r>
            <w:r>
              <w:rPr>
                <w:spacing w:val="5"/>
                <w:sz w:val="16"/>
              </w:rPr>
              <w:t xml:space="preserve"> </w:t>
            </w:r>
            <w:r>
              <w:rPr>
                <w:spacing w:val="-10"/>
                <w:sz w:val="16"/>
              </w:rPr>
              <w:t>1</w:t>
            </w:r>
          </w:p>
        </w:tc>
        <w:tc>
          <w:tcPr>
            <w:tcW w:w="880" w:type="dxa"/>
          </w:tcPr>
          <w:p w14:paraId="651507D9" w14:textId="77777777" w:rsidR="002C6574" w:rsidRDefault="00000000">
            <w:pPr>
              <w:pStyle w:val="TableParagraph"/>
              <w:spacing w:before="4" w:line="212" w:lineRule="exact"/>
              <w:ind w:right="58"/>
              <w:rPr>
                <w:sz w:val="16"/>
              </w:rPr>
            </w:pPr>
            <w:r>
              <w:rPr>
                <w:spacing w:val="-2"/>
                <w:w w:val="105"/>
                <w:sz w:val="16"/>
              </w:rPr>
              <w:t>697.743</w:t>
            </w:r>
          </w:p>
        </w:tc>
        <w:tc>
          <w:tcPr>
            <w:tcW w:w="851" w:type="dxa"/>
          </w:tcPr>
          <w:p w14:paraId="72DAFF9F" w14:textId="77777777" w:rsidR="002C6574" w:rsidRDefault="00000000">
            <w:pPr>
              <w:pStyle w:val="TableParagraph"/>
              <w:spacing w:before="4" w:line="212" w:lineRule="exact"/>
              <w:ind w:right="57"/>
              <w:rPr>
                <w:sz w:val="16"/>
              </w:rPr>
            </w:pPr>
            <w:r>
              <w:rPr>
                <w:spacing w:val="-2"/>
                <w:w w:val="105"/>
                <w:sz w:val="16"/>
              </w:rPr>
              <w:t>697.743</w:t>
            </w:r>
          </w:p>
        </w:tc>
        <w:tc>
          <w:tcPr>
            <w:tcW w:w="849" w:type="dxa"/>
          </w:tcPr>
          <w:p w14:paraId="568D7743" w14:textId="77777777" w:rsidR="002C6574" w:rsidRDefault="00000000">
            <w:pPr>
              <w:pStyle w:val="TableParagraph"/>
              <w:spacing w:before="4" w:line="212" w:lineRule="exact"/>
              <w:ind w:right="54"/>
              <w:rPr>
                <w:sz w:val="16"/>
              </w:rPr>
            </w:pPr>
            <w:r>
              <w:rPr>
                <w:spacing w:val="-2"/>
                <w:w w:val="105"/>
                <w:sz w:val="16"/>
              </w:rPr>
              <w:t>388.544</w:t>
            </w:r>
          </w:p>
        </w:tc>
        <w:tc>
          <w:tcPr>
            <w:tcW w:w="851" w:type="dxa"/>
          </w:tcPr>
          <w:p w14:paraId="0C2532F7" w14:textId="77777777" w:rsidR="002C6574" w:rsidRDefault="00000000">
            <w:pPr>
              <w:pStyle w:val="TableParagraph"/>
              <w:spacing w:before="4" w:line="212" w:lineRule="exact"/>
              <w:ind w:left="147"/>
              <w:jc w:val="center"/>
              <w:rPr>
                <w:sz w:val="16"/>
              </w:rPr>
            </w:pPr>
            <w:r>
              <w:rPr>
                <w:spacing w:val="-2"/>
                <w:w w:val="105"/>
                <w:sz w:val="16"/>
              </w:rPr>
              <w:t>388.544</w:t>
            </w:r>
          </w:p>
        </w:tc>
      </w:tr>
      <w:tr w:rsidR="002C6574" w14:paraId="18E6BBA6" w14:textId="77777777">
        <w:trPr>
          <w:trHeight w:val="268"/>
        </w:trPr>
        <w:tc>
          <w:tcPr>
            <w:tcW w:w="4459" w:type="dxa"/>
          </w:tcPr>
          <w:p w14:paraId="28EE3121" w14:textId="77777777" w:rsidR="002C6574" w:rsidRDefault="00000000">
            <w:pPr>
              <w:pStyle w:val="TableParagraph"/>
              <w:spacing w:before="44"/>
              <w:ind w:left="69"/>
              <w:jc w:val="left"/>
              <w:rPr>
                <w:rFonts w:ascii="Arial"/>
                <w:b/>
                <w:sz w:val="16"/>
              </w:rPr>
            </w:pPr>
            <w:r>
              <w:rPr>
                <w:rFonts w:ascii="Arial"/>
                <w:b/>
                <w:sz w:val="16"/>
              </w:rPr>
              <w:t>Custo</w:t>
            </w:r>
            <w:r>
              <w:rPr>
                <w:rFonts w:ascii="Arial"/>
                <w:b/>
                <w:spacing w:val="-3"/>
                <w:sz w:val="16"/>
              </w:rPr>
              <w:t xml:space="preserve"> </w:t>
            </w:r>
            <w:r>
              <w:rPr>
                <w:rFonts w:ascii="Arial"/>
                <w:b/>
                <w:spacing w:val="-2"/>
                <w:sz w:val="16"/>
              </w:rPr>
              <w:t>Amortizado</w:t>
            </w:r>
          </w:p>
        </w:tc>
        <w:tc>
          <w:tcPr>
            <w:tcW w:w="950" w:type="dxa"/>
          </w:tcPr>
          <w:p w14:paraId="54DF7D07" w14:textId="77777777" w:rsidR="002C6574" w:rsidRDefault="002C6574">
            <w:pPr>
              <w:pStyle w:val="TableParagraph"/>
              <w:jc w:val="left"/>
              <w:rPr>
                <w:rFonts w:ascii="Times New Roman"/>
                <w:sz w:val="18"/>
              </w:rPr>
            </w:pPr>
          </w:p>
        </w:tc>
        <w:tc>
          <w:tcPr>
            <w:tcW w:w="933" w:type="dxa"/>
          </w:tcPr>
          <w:p w14:paraId="1CCC5EAB" w14:textId="77777777" w:rsidR="002C6574" w:rsidRDefault="002C6574">
            <w:pPr>
              <w:pStyle w:val="TableParagraph"/>
              <w:jc w:val="left"/>
              <w:rPr>
                <w:rFonts w:ascii="Times New Roman"/>
                <w:sz w:val="18"/>
              </w:rPr>
            </w:pPr>
          </w:p>
        </w:tc>
        <w:tc>
          <w:tcPr>
            <w:tcW w:w="880" w:type="dxa"/>
          </w:tcPr>
          <w:p w14:paraId="675899E4" w14:textId="77777777" w:rsidR="002C6574" w:rsidRDefault="002C6574">
            <w:pPr>
              <w:pStyle w:val="TableParagraph"/>
              <w:jc w:val="left"/>
              <w:rPr>
                <w:rFonts w:ascii="Times New Roman"/>
                <w:sz w:val="18"/>
              </w:rPr>
            </w:pPr>
          </w:p>
        </w:tc>
        <w:tc>
          <w:tcPr>
            <w:tcW w:w="851" w:type="dxa"/>
          </w:tcPr>
          <w:p w14:paraId="4D149C84" w14:textId="77777777" w:rsidR="002C6574" w:rsidRDefault="002C6574">
            <w:pPr>
              <w:pStyle w:val="TableParagraph"/>
              <w:jc w:val="left"/>
              <w:rPr>
                <w:rFonts w:ascii="Times New Roman"/>
                <w:sz w:val="18"/>
              </w:rPr>
            </w:pPr>
          </w:p>
        </w:tc>
        <w:tc>
          <w:tcPr>
            <w:tcW w:w="849" w:type="dxa"/>
          </w:tcPr>
          <w:p w14:paraId="2AC541E1" w14:textId="77777777" w:rsidR="002C6574" w:rsidRDefault="002C6574">
            <w:pPr>
              <w:pStyle w:val="TableParagraph"/>
              <w:jc w:val="left"/>
              <w:rPr>
                <w:rFonts w:ascii="Times New Roman"/>
                <w:sz w:val="18"/>
              </w:rPr>
            </w:pPr>
          </w:p>
        </w:tc>
        <w:tc>
          <w:tcPr>
            <w:tcW w:w="851" w:type="dxa"/>
          </w:tcPr>
          <w:p w14:paraId="6C7D2AFA" w14:textId="77777777" w:rsidR="002C6574" w:rsidRDefault="002C6574">
            <w:pPr>
              <w:pStyle w:val="TableParagraph"/>
              <w:jc w:val="left"/>
              <w:rPr>
                <w:rFonts w:ascii="Times New Roman"/>
                <w:sz w:val="18"/>
              </w:rPr>
            </w:pPr>
          </w:p>
        </w:tc>
      </w:tr>
      <w:tr w:rsidR="002C6574" w14:paraId="41CBCD56" w14:textId="77777777">
        <w:trPr>
          <w:trHeight w:val="369"/>
        </w:trPr>
        <w:tc>
          <w:tcPr>
            <w:tcW w:w="4459" w:type="dxa"/>
          </w:tcPr>
          <w:p w14:paraId="66B98879" w14:textId="77777777" w:rsidR="002C6574" w:rsidRDefault="00000000">
            <w:pPr>
              <w:pStyle w:val="TableParagraph"/>
              <w:spacing w:before="69"/>
              <w:ind w:left="69"/>
              <w:jc w:val="left"/>
              <w:rPr>
                <w:sz w:val="16"/>
              </w:rPr>
            </w:pPr>
            <w:r>
              <w:rPr>
                <w:w w:val="105"/>
                <w:sz w:val="16"/>
              </w:rPr>
              <w:t>Contas</w:t>
            </w:r>
            <w:r>
              <w:rPr>
                <w:spacing w:val="-2"/>
                <w:w w:val="105"/>
                <w:sz w:val="16"/>
              </w:rPr>
              <w:t xml:space="preserve"> </w:t>
            </w:r>
            <w:r>
              <w:rPr>
                <w:w w:val="105"/>
                <w:sz w:val="16"/>
              </w:rPr>
              <w:t>a</w:t>
            </w:r>
            <w:r>
              <w:rPr>
                <w:spacing w:val="-6"/>
                <w:w w:val="105"/>
                <w:sz w:val="16"/>
              </w:rPr>
              <w:t xml:space="preserve"> </w:t>
            </w:r>
            <w:r>
              <w:rPr>
                <w:spacing w:val="-2"/>
                <w:w w:val="105"/>
                <w:sz w:val="16"/>
              </w:rPr>
              <w:t>Receber</w:t>
            </w:r>
          </w:p>
        </w:tc>
        <w:tc>
          <w:tcPr>
            <w:tcW w:w="950" w:type="dxa"/>
          </w:tcPr>
          <w:p w14:paraId="76B57A7F" w14:textId="77777777" w:rsidR="002C6574" w:rsidRDefault="00000000">
            <w:pPr>
              <w:pStyle w:val="TableParagraph"/>
              <w:spacing w:line="184" w:lineRule="exact"/>
              <w:ind w:left="69" w:firstLine="194"/>
              <w:jc w:val="left"/>
              <w:rPr>
                <w:sz w:val="16"/>
              </w:rPr>
            </w:pPr>
            <w:r>
              <w:rPr>
                <w:spacing w:val="-2"/>
                <w:sz w:val="16"/>
              </w:rPr>
              <w:t xml:space="preserve">Custo </w:t>
            </w:r>
            <w:r>
              <w:rPr>
                <w:spacing w:val="-4"/>
                <w:sz w:val="16"/>
              </w:rPr>
              <w:t>Amortizado</w:t>
            </w:r>
          </w:p>
        </w:tc>
        <w:tc>
          <w:tcPr>
            <w:tcW w:w="933" w:type="dxa"/>
          </w:tcPr>
          <w:p w14:paraId="2B295399" w14:textId="77777777" w:rsidR="002C6574" w:rsidRDefault="002C6574">
            <w:pPr>
              <w:pStyle w:val="TableParagraph"/>
              <w:jc w:val="left"/>
              <w:rPr>
                <w:rFonts w:ascii="Times New Roman"/>
                <w:sz w:val="18"/>
              </w:rPr>
            </w:pPr>
          </w:p>
        </w:tc>
        <w:tc>
          <w:tcPr>
            <w:tcW w:w="880" w:type="dxa"/>
          </w:tcPr>
          <w:p w14:paraId="6B78D8FD" w14:textId="77777777" w:rsidR="002C6574" w:rsidRDefault="00000000">
            <w:pPr>
              <w:pStyle w:val="TableParagraph"/>
              <w:spacing w:before="69"/>
              <w:ind w:right="58"/>
              <w:rPr>
                <w:sz w:val="16"/>
              </w:rPr>
            </w:pPr>
            <w:r>
              <w:rPr>
                <w:spacing w:val="-2"/>
                <w:w w:val="105"/>
                <w:sz w:val="16"/>
              </w:rPr>
              <w:t>448.342</w:t>
            </w:r>
          </w:p>
        </w:tc>
        <w:tc>
          <w:tcPr>
            <w:tcW w:w="851" w:type="dxa"/>
          </w:tcPr>
          <w:p w14:paraId="16295BE5" w14:textId="77777777" w:rsidR="002C6574" w:rsidRDefault="00000000">
            <w:pPr>
              <w:pStyle w:val="TableParagraph"/>
              <w:spacing w:before="69"/>
              <w:ind w:right="57"/>
              <w:rPr>
                <w:sz w:val="16"/>
              </w:rPr>
            </w:pPr>
            <w:r>
              <w:rPr>
                <w:spacing w:val="-2"/>
                <w:w w:val="105"/>
                <w:sz w:val="16"/>
              </w:rPr>
              <w:t>448.342</w:t>
            </w:r>
          </w:p>
        </w:tc>
        <w:tc>
          <w:tcPr>
            <w:tcW w:w="849" w:type="dxa"/>
          </w:tcPr>
          <w:p w14:paraId="4BB72EF1" w14:textId="77777777" w:rsidR="002C6574" w:rsidRDefault="00000000">
            <w:pPr>
              <w:pStyle w:val="TableParagraph"/>
              <w:spacing w:before="69"/>
              <w:ind w:right="54"/>
              <w:rPr>
                <w:sz w:val="16"/>
              </w:rPr>
            </w:pPr>
            <w:r>
              <w:rPr>
                <w:spacing w:val="-2"/>
                <w:w w:val="105"/>
                <w:sz w:val="16"/>
              </w:rPr>
              <w:t>233.301</w:t>
            </w:r>
          </w:p>
        </w:tc>
        <w:tc>
          <w:tcPr>
            <w:tcW w:w="851" w:type="dxa"/>
          </w:tcPr>
          <w:p w14:paraId="4D90A9B8" w14:textId="77777777" w:rsidR="002C6574" w:rsidRDefault="00000000">
            <w:pPr>
              <w:pStyle w:val="TableParagraph"/>
              <w:spacing w:before="69"/>
              <w:ind w:left="147"/>
              <w:jc w:val="center"/>
              <w:rPr>
                <w:sz w:val="16"/>
              </w:rPr>
            </w:pPr>
            <w:r>
              <w:rPr>
                <w:spacing w:val="-2"/>
                <w:w w:val="105"/>
                <w:sz w:val="16"/>
              </w:rPr>
              <w:t>233.301</w:t>
            </w:r>
          </w:p>
        </w:tc>
      </w:tr>
      <w:tr w:rsidR="002C6574" w14:paraId="59F05236" w14:textId="77777777">
        <w:trPr>
          <w:trHeight w:val="366"/>
        </w:trPr>
        <w:tc>
          <w:tcPr>
            <w:tcW w:w="4459" w:type="dxa"/>
          </w:tcPr>
          <w:p w14:paraId="42913FBF" w14:textId="77777777" w:rsidR="002C6574" w:rsidRDefault="00000000">
            <w:pPr>
              <w:pStyle w:val="TableParagraph"/>
              <w:spacing w:before="69"/>
              <w:ind w:left="69"/>
              <w:jc w:val="left"/>
              <w:rPr>
                <w:sz w:val="16"/>
              </w:rPr>
            </w:pPr>
            <w:r>
              <w:rPr>
                <w:sz w:val="16"/>
              </w:rPr>
              <w:t>Dividendos</w:t>
            </w:r>
            <w:r>
              <w:rPr>
                <w:spacing w:val="1"/>
                <w:sz w:val="16"/>
              </w:rPr>
              <w:t xml:space="preserve"> </w:t>
            </w:r>
            <w:r>
              <w:rPr>
                <w:sz w:val="16"/>
              </w:rPr>
              <w:t>a</w:t>
            </w:r>
            <w:r>
              <w:rPr>
                <w:spacing w:val="1"/>
                <w:sz w:val="16"/>
              </w:rPr>
              <w:t xml:space="preserve"> </w:t>
            </w:r>
            <w:r>
              <w:rPr>
                <w:spacing w:val="-2"/>
                <w:sz w:val="16"/>
              </w:rPr>
              <w:t>Receber</w:t>
            </w:r>
          </w:p>
        </w:tc>
        <w:tc>
          <w:tcPr>
            <w:tcW w:w="950" w:type="dxa"/>
          </w:tcPr>
          <w:p w14:paraId="5947649E" w14:textId="77777777" w:rsidR="002C6574" w:rsidRDefault="00000000">
            <w:pPr>
              <w:pStyle w:val="TableParagraph"/>
              <w:spacing w:line="184" w:lineRule="exact"/>
              <w:ind w:left="69" w:firstLine="194"/>
              <w:jc w:val="left"/>
              <w:rPr>
                <w:sz w:val="16"/>
              </w:rPr>
            </w:pPr>
            <w:r>
              <w:rPr>
                <w:spacing w:val="-2"/>
                <w:sz w:val="16"/>
              </w:rPr>
              <w:t xml:space="preserve">Custo </w:t>
            </w:r>
            <w:r>
              <w:rPr>
                <w:spacing w:val="-4"/>
                <w:sz w:val="16"/>
              </w:rPr>
              <w:t>Amortizado</w:t>
            </w:r>
          </w:p>
        </w:tc>
        <w:tc>
          <w:tcPr>
            <w:tcW w:w="933" w:type="dxa"/>
          </w:tcPr>
          <w:p w14:paraId="22EBE042" w14:textId="77777777" w:rsidR="002C6574" w:rsidRDefault="002C6574">
            <w:pPr>
              <w:pStyle w:val="TableParagraph"/>
              <w:jc w:val="left"/>
              <w:rPr>
                <w:rFonts w:ascii="Times New Roman"/>
                <w:sz w:val="18"/>
              </w:rPr>
            </w:pPr>
          </w:p>
        </w:tc>
        <w:tc>
          <w:tcPr>
            <w:tcW w:w="880" w:type="dxa"/>
          </w:tcPr>
          <w:p w14:paraId="4E071C2B" w14:textId="77777777" w:rsidR="002C6574" w:rsidRDefault="00000000">
            <w:pPr>
              <w:pStyle w:val="TableParagraph"/>
              <w:spacing w:before="69"/>
              <w:ind w:right="56"/>
              <w:rPr>
                <w:sz w:val="16"/>
              </w:rPr>
            </w:pPr>
            <w:r>
              <w:rPr>
                <w:spacing w:val="-10"/>
                <w:w w:val="95"/>
                <w:sz w:val="16"/>
              </w:rPr>
              <w:t>-</w:t>
            </w:r>
          </w:p>
        </w:tc>
        <w:tc>
          <w:tcPr>
            <w:tcW w:w="851" w:type="dxa"/>
          </w:tcPr>
          <w:p w14:paraId="01D06F72" w14:textId="77777777" w:rsidR="002C6574" w:rsidRDefault="00000000">
            <w:pPr>
              <w:pStyle w:val="TableParagraph"/>
              <w:spacing w:before="69"/>
              <w:ind w:right="57"/>
              <w:rPr>
                <w:sz w:val="16"/>
              </w:rPr>
            </w:pPr>
            <w:r>
              <w:rPr>
                <w:spacing w:val="-10"/>
                <w:w w:val="95"/>
                <w:sz w:val="16"/>
              </w:rPr>
              <w:t>-</w:t>
            </w:r>
          </w:p>
        </w:tc>
        <w:tc>
          <w:tcPr>
            <w:tcW w:w="849" w:type="dxa"/>
          </w:tcPr>
          <w:p w14:paraId="34502961" w14:textId="77777777" w:rsidR="002C6574" w:rsidRDefault="00000000">
            <w:pPr>
              <w:pStyle w:val="TableParagraph"/>
              <w:spacing w:before="69"/>
              <w:ind w:right="53"/>
              <w:rPr>
                <w:sz w:val="16"/>
              </w:rPr>
            </w:pPr>
            <w:r>
              <w:rPr>
                <w:spacing w:val="-4"/>
                <w:w w:val="110"/>
                <w:sz w:val="16"/>
              </w:rPr>
              <w:t>5.456</w:t>
            </w:r>
          </w:p>
        </w:tc>
        <w:tc>
          <w:tcPr>
            <w:tcW w:w="851" w:type="dxa"/>
          </w:tcPr>
          <w:p w14:paraId="0250343A" w14:textId="77777777" w:rsidR="002C6574" w:rsidRDefault="00000000">
            <w:pPr>
              <w:pStyle w:val="TableParagraph"/>
              <w:spacing w:before="69"/>
              <w:ind w:left="325"/>
              <w:jc w:val="center"/>
              <w:rPr>
                <w:sz w:val="16"/>
              </w:rPr>
            </w:pPr>
            <w:r>
              <w:rPr>
                <w:spacing w:val="-4"/>
                <w:w w:val="110"/>
                <w:sz w:val="16"/>
              </w:rPr>
              <w:t>5.456</w:t>
            </w:r>
          </w:p>
        </w:tc>
      </w:tr>
      <w:tr w:rsidR="002C6574" w14:paraId="112302CB" w14:textId="77777777">
        <w:trPr>
          <w:trHeight w:val="368"/>
        </w:trPr>
        <w:tc>
          <w:tcPr>
            <w:tcW w:w="4459" w:type="dxa"/>
          </w:tcPr>
          <w:p w14:paraId="738EC3D9" w14:textId="77777777" w:rsidR="002C6574" w:rsidRDefault="00000000">
            <w:pPr>
              <w:pStyle w:val="TableParagraph"/>
              <w:spacing w:before="68"/>
              <w:ind w:left="69"/>
              <w:jc w:val="left"/>
              <w:rPr>
                <w:sz w:val="16"/>
              </w:rPr>
            </w:pPr>
            <w:r>
              <w:rPr>
                <w:w w:val="105"/>
                <w:sz w:val="16"/>
              </w:rPr>
              <w:t>Aplicações</w:t>
            </w:r>
            <w:r>
              <w:rPr>
                <w:spacing w:val="-6"/>
                <w:w w:val="105"/>
                <w:sz w:val="16"/>
              </w:rPr>
              <w:t xml:space="preserve"> </w:t>
            </w:r>
            <w:r>
              <w:rPr>
                <w:w w:val="105"/>
                <w:sz w:val="16"/>
              </w:rPr>
              <w:t>Financeiras</w:t>
            </w:r>
            <w:r>
              <w:rPr>
                <w:spacing w:val="-7"/>
                <w:w w:val="105"/>
                <w:sz w:val="16"/>
              </w:rPr>
              <w:t xml:space="preserve"> </w:t>
            </w:r>
            <w:r>
              <w:rPr>
                <w:w w:val="105"/>
                <w:sz w:val="16"/>
              </w:rPr>
              <w:t>–</w:t>
            </w:r>
            <w:r>
              <w:rPr>
                <w:spacing w:val="-8"/>
                <w:w w:val="105"/>
                <w:sz w:val="16"/>
              </w:rPr>
              <w:t xml:space="preserve"> </w:t>
            </w:r>
            <w:r>
              <w:rPr>
                <w:w w:val="105"/>
                <w:sz w:val="16"/>
              </w:rPr>
              <w:t>Garantia</w:t>
            </w:r>
            <w:r>
              <w:rPr>
                <w:spacing w:val="-9"/>
                <w:w w:val="105"/>
                <w:sz w:val="16"/>
              </w:rPr>
              <w:t xml:space="preserve"> </w:t>
            </w:r>
            <w:r>
              <w:rPr>
                <w:w w:val="105"/>
                <w:sz w:val="16"/>
              </w:rPr>
              <w:t>e</w:t>
            </w:r>
            <w:r>
              <w:rPr>
                <w:spacing w:val="-8"/>
                <w:w w:val="105"/>
                <w:sz w:val="16"/>
              </w:rPr>
              <w:t xml:space="preserve"> </w:t>
            </w:r>
            <w:r>
              <w:rPr>
                <w:spacing w:val="-2"/>
                <w:w w:val="105"/>
                <w:sz w:val="16"/>
              </w:rPr>
              <w:t>outros</w:t>
            </w:r>
          </w:p>
        </w:tc>
        <w:tc>
          <w:tcPr>
            <w:tcW w:w="950" w:type="dxa"/>
          </w:tcPr>
          <w:p w14:paraId="46FC51B2" w14:textId="77777777" w:rsidR="002C6574" w:rsidRDefault="00000000">
            <w:pPr>
              <w:pStyle w:val="TableParagraph"/>
              <w:spacing w:line="184" w:lineRule="exact"/>
              <w:ind w:left="69" w:firstLine="194"/>
              <w:jc w:val="left"/>
              <w:rPr>
                <w:sz w:val="16"/>
              </w:rPr>
            </w:pPr>
            <w:r>
              <w:rPr>
                <w:spacing w:val="-2"/>
                <w:sz w:val="16"/>
              </w:rPr>
              <w:t xml:space="preserve">Custo </w:t>
            </w:r>
            <w:r>
              <w:rPr>
                <w:spacing w:val="-4"/>
                <w:sz w:val="16"/>
              </w:rPr>
              <w:t>Amortizado</w:t>
            </w:r>
          </w:p>
        </w:tc>
        <w:tc>
          <w:tcPr>
            <w:tcW w:w="933" w:type="dxa"/>
          </w:tcPr>
          <w:p w14:paraId="58D6E8DD" w14:textId="77777777" w:rsidR="002C6574" w:rsidRDefault="002C6574">
            <w:pPr>
              <w:pStyle w:val="TableParagraph"/>
              <w:jc w:val="left"/>
              <w:rPr>
                <w:rFonts w:ascii="Times New Roman"/>
                <w:sz w:val="18"/>
              </w:rPr>
            </w:pPr>
          </w:p>
        </w:tc>
        <w:tc>
          <w:tcPr>
            <w:tcW w:w="880" w:type="dxa"/>
          </w:tcPr>
          <w:p w14:paraId="47B03FE6" w14:textId="77777777" w:rsidR="002C6574" w:rsidRDefault="00000000">
            <w:pPr>
              <w:pStyle w:val="TableParagraph"/>
              <w:spacing w:before="68"/>
              <w:ind w:right="57"/>
              <w:rPr>
                <w:sz w:val="16"/>
              </w:rPr>
            </w:pPr>
            <w:r>
              <w:rPr>
                <w:spacing w:val="-2"/>
                <w:w w:val="105"/>
                <w:sz w:val="16"/>
              </w:rPr>
              <w:t>50.665</w:t>
            </w:r>
          </w:p>
        </w:tc>
        <w:tc>
          <w:tcPr>
            <w:tcW w:w="851" w:type="dxa"/>
          </w:tcPr>
          <w:p w14:paraId="4F903DAF" w14:textId="77777777" w:rsidR="002C6574" w:rsidRDefault="00000000">
            <w:pPr>
              <w:pStyle w:val="TableParagraph"/>
              <w:spacing w:before="68"/>
              <w:ind w:right="56"/>
              <w:rPr>
                <w:sz w:val="16"/>
              </w:rPr>
            </w:pPr>
            <w:r>
              <w:rPr>
                <w:spacing w:val="-2"/>
                <w:w w:val="105"/>
                <w:sz w:val="16"/>
              </w:rPr>
              <w:t>50.665</w:t>
            </w:r>
          </w:p>
        </w:tc>
        <w:tc>
          <w:tcPr>
            <w:tcW w:w="849" w:type="dxa"/>
          </w:tcPr>
          <w:p w14:paraId="6B9B4853" w14:textId="77777777" w:rsidR="002C6574" w:rsidRDefault="00000000">
            <w:pPr>
              <w:pStyle w:val="TableParagraph"/>
              <w:spacing w:before="68"/>
              <w:ind w:right="53"/>
              <w:rPr>
                <w:sz w:val="16"/>
              </w:rPr>
            </w:pPr>
            <w:r>
              <w:rPr>
                <w:spacing w:val="-2"/>
                <w:w w:val="105"/>
                <w:sz w:val="16"/>
              </w:rPr>
              <w:t>84.355</w:t>
            </w:r>
          </w:p>
        </w:tc>
        <w:tc>
          <w:tcPr>
            <w:tcW w:w="851" w:type="dxa"/>
          </w:tcPr>
          <w:p w14:paraId="3F328B9E" w14:textId="77777777" w:rsidR="002C6574" w:rsidRDefault="00000000">
            <w:pPr>
              <w:pStyle w:val="TableParagraph"/>
              <w:spacing w:before="68"/>
              <w:ind w:left="236"/>
              <w:jc w:val="center"/>
              <w:rPr>
                <w:sz w:val="16"/>
              </w:rPr>
            </w:pPr>
            <w:r>
              <w:rPr>
                <w:spacing w:val="-2"/>
                <w:w w:val="105"/>
                <w:sz w:val="16"/>
              </w:rPr>
              <w:t>84.355</w:t>
            </w:r>
          </w:p>
        </w:tc>
      </w:tr>
      <w:tr w:rsidR="002C6574" w14:paraId="73252E4A" w14:textId="77777777">
        <w:trPr>
          <w:trHeight w:val="366"/>
        </w:trPr>
        <w:tc>
          <w:tcPr>
            <w:tcW w:w="4459" w:type="dxa"/>
          </w:tcPr>
          <w:p w14:paraId="072EE9C9" w14:textId="77777777" w:rsidR="002C6574" w:rsidRDefault="00000000">
            <w:pPr>
              <w:pStyle w:val="TableParagraph"/>
              <w:spacing w:line="184" w:lineRule="exact"/>
              <w:ind w:left="69" w:right="183"/>
              <w:jc w:val="left"/>
              <w:rPr>
                <w:rFonts w:ascii="Arial"/>
                <w:b/>
                <w:sz w:val="16"/>
              </w:rPr>
            </w:pPr>
            <w:r>
              <w:rPr>
                <w:rFonts w:ascii="Arial"/>
                <w:b/>
                <w:sz w:val="16"/>
              </w:rPr>
              <w:t>Valor</w:t>
            </w:r>
            <w:r>
              <w:rPr>
                <w:rFonts w:ascii="Arial"/>
                <w:b/>
                <w:spacing w:val="-6"/>
                <w:sz w:val="16"/>
              </w:rPr>
              <w:t xml:space="preserve"> </w:t>
            </w:r>
            <w:r>
              <w:rPr>
                <w:rFonts w:ascii="Arial"/>
                <w:b/>
                <w:sz w:val="16"/>
              </w:rPr>
              <w:t>Justo</w:t>
            </w:r>
            <w:r>
              <w:rPr>
                <w:rFonts w:ascii="Arial"/>
                <w:b/>
                <w:spacing w:val="-7"/>
                <w:sz w:val="16"/>
              </w:rPr>
              <w:t xml:space="preserve"> </w:t>
            </w:r>
            <w:r>
              <w:rPr>
                <w:rFonts w:ascii="Arial"/>
                <w:b/>
                <w:sz w:val="16"/>
              </w:rPr>
              <w:t>por</w:t>
            </w:r>
            <w:r>
              <w:rPr>
                <w:rFonts w:ascii="Arial"/>
                <w:b/>
                <w:spacing w:val="-7"/>
                <w:sz w:val="16"/>
              </w:rPr>
              <w:t xml:space="preserve"> </w:t>
            </w:r>
            <w:r>
              <w:rPr>
                <w:rFonts w:ascii="Arial"/>
                <w:b/>
                <w:sz w:val="16"/>
              </w:rPr>
              <w:t>meio</w:t>
            </w:r>
            <w:r>
              <w:rPr>
                <w:rFonts w:ascii="Arial"/>
                <w:b/>
                <w:spacing w:val="-5"/>
                <w:sz w:val="16"/>
              </w:rPr>
              <w:t xml:space="preserve"> </w:t>
            </w:r>
            <w:r>
              <w:rPr>
                <w:rFonts w:ascii="Arial"/>
                <w:b/>
                <w:sz w:val="16"/>
              </w:rPr>
              <w:t>de</w:t>
            </w:r>
            <w:r>
              <w:rPr>
                <w:rFonts w:ascii="Arial"/>
                <w:b/>
                <w:spacing w:val="-6"/>
                <w:sz w:val="16"/>
              </w:rPr>
              <w:t xml:space="preserve"> </w:t>
            </w:r>
            <w:r>
              <w:rPr>
                <w:rFonts w:ascii="Arial"/>
                <w:b/>
                <w:sz w:val="16"/>
              </w:rPr>
              <w:t>Outros</w:t>
            </w:r>
            <w:r>
              <w:rPr>
                <w:rFonts w:ascii="Arial"/>
                <w:b/>
                <w:spacing w:val="-7"/>
                <w:sz w:val="16"/>
              </w:rPr>
              <w:t xml:space="preserve"> </w:t>
            </w:r>
            <w:r>
              <w:rPr>
                <w:rFonts w:ascii="Arial"/>
                <w:b/>
                <w:sz w:val="16"/>
              </w:rPr>
              <w:t xml:space="preserve">Resultados </w:t>
            </w:r>
            <w:r>
              <w:rPr>
                <w:rFonts w:ascii="Arial"/>
                <w:b/>
                <w:spacing w:val="-2"/>
                <w:sz w:val="16"/>
              </w:rPr>
              <w:t>Abrangentes</w:t>
            </w:r>
          </w:p>
        </w:tc>
        <w:tc>
          <w:tcPr>
            <w:tcW w:w="950" w:type="dxa"/>
          </w:tcPr>
          <w:p w14:paraId="2DCB74CD" w14:textId="77777777" w:rsidR="002C6574" w:rsidRDefault="002C6574">
            <w:pPr>
              <w:pStyle w:val="TableParagraph"/>
              <w:jc w:val="left"/>
              <w:rPr>
                <w:rFonts w:ascii="Times New Roman"/>
                <w:sz w:val="18"/>
              </w:rPr>
            </w:pPr>
          </w:p>
        </w:tc>
        <w:tc>
          <w:tcPr>
            <w:tcW w:w="933" w:type="dxa"/>
          </w:tcPr>
          <w:p w14:paraId="714C9976" w14:textId="77777777" w:rsidR="002C6574" w:rsidRDefault="002C6574">
            <w:pPr>
              <w:pStyle w:val="TableParagraph"/>
              <w:jc w:val="left"/>
              <w:rPr>
                <w:rFonts w:ascii="Times New Roman"/>
                <w:sz w:val="18"/>
              </w:rPr>
            </w:pPr>
          </w:p>
        </w:tc>
        <w:tc>
          <w:tcPr>
            <w:tcW w:w="880" w:type="dxa"/>
          </w:tcPr>
          <w:p w14:paraId="22A83E87" w14:textId="77777777" w:rsidR="002C6574" w:rsidRDefault="002C6574">
            <w:pPr>
              <w:pStyle w:val="TableParagraph"/>
              <w:jc w:val="left"/>
              <w:rPr>
                <w:rFonts w:ascii="Times New Roman"/>
                <w:sz w:val="18"/>
              </w:rPr>
            </w:pPr>
          </w:p>
        </w:tc>
        <w:tc>
          <w:tcPr>
            <w:tcW w:w="851" w:type="dxa"/>
          </w:tcPr>
          <w:p w14:paraId="2B7381DC" w14:textId="77777777" w:rsidR="002C6574" w:rsidRDefault="002C6574">
            <w:pPr>
              <w:pStyle w:val="TableParagraph"/>
              <w:jc w:val="left"/>
              <w:rPr>
                <w:rFonts w:ascii="Times New Roman"/>
                <w:sz w:val="18"/>
              </w:rPr>
            </w:pPr>
          </w:p>
        </w:tc>
        <w:tc>
          <w:tcPr>
            <w:tcW w:w="849" w:type="dxa"/>
          </w:tcPr>
          <w:p w14:paraId="09498CF9" w14:textId="77777777" w:rsidR="002C6574" w:rsidRDefault="002C6574">
            <w:pPr>
              <w:pStyle w:val="TableParagraph"/>
              <w:jc w:val="left"/>
              <w:rPr>
                <w:rFonts w:ascii="Times New Roman"/>
                <w:sz w:val="18"/>
              </w:rPr>
            </w:pPr>
          </w:p>
        </w:tc>
        <w:tc>
          <w:tcPr>
            <w:tcW w:w="851" w:type="dxa"/>
          </w:tcPr>
          <w:p w14:paraId="65B1DAD6" w14:textId="77777777" w:rsidR="002C6574" w:rsidRDefault="002C6574">
            <w:pPr>
              <w:pStyle w:val="TableParagraph"/>
              <w:jc w:val="left"/>
              <w:rPr>
                <w:rFonts w:ascii="Times New Roman"/>
                <w:sz w:val="18"/>
              </w:rPr>
            </w:pPr>
          </w:p>
        </w:tc>
      </w:tr>
      <w:tr w:rsidR="002C6574" w14:paraId="798C472E" w14:textId="77777777">
        <w:trPr>
          <w:trHeight w:val="236"/>
        </w:trPr>
        <w:tc>
          <w:tcPr>
            <w:tcW w:w="4459" w:type="dxa"/>
          </w:tcPr>
          <w:p w14:paraId="746DB1F5" w14:textId="77777777" w:rsidR="002C6574" w:rsidRDefault="00000000">
            <w:pPr>
              <w:pStyle w:val="TableParagraph"/>
              <w:spacing w:before="3" w:line="212" w:lineRule="exact"/>
              <w:ind w:left="69"/>
              <w:jc w:val="left"/>
              <w:rPr>
                <w:sz w:val="16"/>
              </w:rPr>
            </w:pPr>
            <w:r>
              <w:rPr>
                <w:w w:val="105"/>
                <w:sz w:val="16"/>
              </w:rPr>
              <w:t>Aplicações</w:t>
            </w:r>
            <w:r>
              <w:rPr>
                <w:spacing w:val="-9"/>
                <w:w w:val="105"/>
                <w:sz w:val="16"/>
              </w:rPr>
              <w:t xml:space="preserve"> </w:t>
            </w:r>
            <w:r>
              <w:rPr>
                <w:w w:val="105"/>
                <w:sz w:val="16"/>
              </w:rPr>
              <w:t>Financeiras</w:t>
            </w:r>
            <w:r>
              <w:rPr>
                <w:spacing w:val="-10"/>
                <w:w w:val="105"/>
                <w:sz w:val="16"/>
              </w:rPr>
              <w:t xml:space="preserve"> </w:t>
            </w:r>
            <w:r>
              <w:rPr>
                <w:spacing w:val="-2"/>
                <w:w w:val="105"/>
                <w:sz w:val="16"/>
              </w:rPr>
              <w:t>(Ações)</w:t>
            </w:r>
          </w:p>
        </w:tc>
        <w:tc>
          <w:tcPr>
            <w:tcW w:w="950" w:type="dxa"/>
          </w:tcPr>
          <w:p w14:paraId="2F51058E" w14:textId="77777777" w:rsidR="002C6574" w:rsidRDefault="00000000">
            <w:pPr>
              <w:pStyle w:val="TableParagraph"/>
              <w:spacing w:before="3" w:line="212" w:lineRule="exact"/>
              <w:ind w:left="12"/>
              <w:jc w:val="center"/>
              <w:rPr>
                <w:sz w:val="16"/>
              </w:rPr>
            </w:pPr>
            <w:r>
              <w:rPr>
                <w:w w:val="110"/>
                <w:sz w:val="16"/>
              </w:rPr>
              <w:t>VJORA</w:t>
            </w:r>
            <w:r>
              <w:rPr>
                <w:spacing w:val="3"/>
                <w:w w:val="110"/>
                <w:sz w:val="16"/>
              </w:rPr>
              <w:t xml:space="preserve"> </w:t>
            </w:r>
            <w:r>
              <w:rPr>
                <w:spacing w:val="-4"/>
                <w:w w:val="110"/>
                <w:sz w:val="16"/>
              </w:rPr>
              <w:t>(ii)</w:t>
            </w:r>
          </w:p>
        </w:tc>
        <w:tc>
          <w:tcPr>
            <w:tcW w:w="933" w:type="dxa"/>
          </w:tcPr>
          <w:p w14:paraId="524EF4AC" w14:textId="77777777" w:rsidR="002C6574" w:rsidRDefault="00000000">
            <w:pPr>
              <w:pStyle w:val="TableParagraph"/>
              <w:spacing w:before="3" w:line="212" w:lineRule="exact"/>
              <w:ind w:right="58"/>
              <w:rPr>
                <w:sz w:val="16"/>
              </w:rPr>
            </w:pPr>
            <w:r>
              <w:rPr>
                <w:sz w:val="16"/>
              </w:rPr>
              <w:t>Nível</w:t>
            </w:r>
            <w:r>
              <w:rPr>
                <w:spacing w:val="4"/>
                <w:sz w:val="16"/>
              </w:rPr>
              <w:t xml:space="preserve"> </w:t>
            </w:r>
            <w:r>
              <w:rPr>
                <w:spacing w:val="-10"/>
                <w:sz w:val="16"/>
              </w:rPr>
              <w:t>1</w:t>
            </w:r>
          </w:p>
        </w:tc>
        <w:tc>
          <w:tcPr>
            <w:tcW w:w="880" w:type="dxa"/>
          </w:tcPr>
          <w:p w14:paraId="3A0D4D64" w14:textId="77777777" w:rsidR="002C6574" w:rsidRDefault="00000000">
            <w:pPr>
              <w:pStyle w:val="TableParagraph"/>
              <w:spacing w:before="3" w:line="212" w:lineRule="exact"/>
              <w:ind w:right="58"/>
              <w:rPr>
                <w:sz w:val="16"/>
              </w:rPr>
            </w:pPr>
            <w:r>
              <w:rPr>
                <w:spacing w:val="-4"/>
                <w:w w:val="110"/>
                <w:sz w:val="16"/>
              </w:rPr>
              <w:t>3.284</w:t>
            </w:r>
          </w:p>
        </w:tc>
        <w:tc>
          <w:tcPr>
            <w:tcW w:w="851" w:type="dxa"/>
          </w:tcPr>
          <w:p w14:paraId="2B5EC62D" w14:textId="77777777" w:rsidR="002C6574" w:rsidRDefault="00000000">
            <w:pPr>
              <w:pStyle w:val="TableParagraph"/>
              <w:spacing w:before="3" w:line="212" w:lineRule="exact"/>
              <w:ind w:right="56"/>
              <w:rPr>
                <w:sz w:val="16"/>
              </w:rPr>
            </w:pPr>
            <w:r>
              <w:rPr>
                <w:spacing w:val="-4"/>
                <w:w w:val="110"/>
                <w:sz w:val="16"/>
              </w:rPr>
              <w:t>3.284</w:t>
            </w:r>
          </w:p>
        </w:tc>
        <w:tc>
          <w:tcPr>
            <w:tcW w:w="849" w:type="dxa"/>
          </w:tcPr>
          <w:p w14:paraId="6DE585CF" w14:textId="77777777" w:rsidR="002C6574" w:rsidRDefault="00000000">
            <w:pPr>
              <w:pStyle w:val="TableParagraph"/>
              <w:spacing w:before="3" w:line="212" w:lineRule="exact"/>
              <w:ind w:right="53"/>
              <w:rPr>
                <w:sz w:val="16"/>
              </w:rPr>
            </w:pPr>
            <w:r>
              <w:rPr>
                <w:spacing w:val="-4"/>
                <w:w w:val="110"/>
                <w:sz w:val="16"/>
              </w:rPr>
              <w:t>2.331</w:t>
            </w:r>
          </w:p>
        </w:tc>
        <w:tc>
          <w:tcPr>
            <w:tcW w:w="851" w:type="dxa"/>
          </w:tcPr>
          <w:p w14:paraId="194B51C2" w14:textId="77777777" w:rsidR="002C6574" w:rsidRDefault="00000000">
            <w:pPr>
              <w:pStyle w:val="TableParagraph"/>
              <w:spacing w:before="3" w:line="212" w:lineRule="exact"/>
              <w:ind w:left="325"/>
              <w:jc w:val="center"/>
              <w:rPr>
                <w:sz w:val="16"/>
              </w:rPr>
            </w:pPr>
            <w:r>
              <w:rPr>
                <w:spacing w:val="-4"/>
                <w:w w:val="110"/>
                <w:sz w:val="16"/>
              </w:rPr>
              <w:t>2.331</w:t>
            </w:r>
          </w:p>
        </w:tc>
      </w:tr>
      <w:tr w:rsidR="002C6574" w14:paraId="1F030D4B" w14:textId="77777777">
        <w:trPr>
          <w:trHeight w:val="270"/>
        </w:trPr>
        <w:tc>
          <w:tcPr>
            <w:tcW w:w="4459" w:type="dxa"/>
          </w:tcPr>
          <w:p w14:paraId="1593A966" w14:textId="77777777" w:rsidR="002C6574" w:rsidRDefault="00000000">
            <w:pPr>
              <w:pStyle w:val="TableParagraph"/>
              <w:spacing w:before="44"/>
              <w:ind w:left="69"/>
              <w:jc w:val="left"/>
              <w:rPr>
                <w:rFonts w:ascii="Arial"/>
                <w:b/>
                <w:sz w:val="16"/>
              </w:rPr>
            </w:pPr>
            <w:r>
              <w:rPr>
                <w:rFonts w:ascii="Arial"/>
                <w:b/>
                <w:sz w:val="16"/>
              </w:rPr>
              <w:t>Passivos</w:t>
            </w:r>
            <w:r>
              <w:rPr>
                <w:rFonts w:ascii="Arial"/>
                <w:b/>
                <w:spacing w:val="-4"/>
                <w:sz w:val="16"/>
              </w:rPr>
              <w:t xml:space="preserve"> </w:t>
            </w:r>
            <w:r>
              <w:rPr>
                <w:rFonts w:ascii="Arial"/>
                <w:b/>
                <w:spacing w:val="-2"/>
                <w:sz w:val="16"/>
              </w:rPr>
              <w:t>Financeiros</w:t>
            </w:r>
          </w:p>
        </w:tc>
        <w:tc>
          <w:tcPr>
            <w:tcW w:w="950" w:type="dxa"/>
          </w:tcPr>
          <w:p w14:paraId="5CD660EE" w14:textId="77777777" w:rsidR="002C6574" w:rsidRDefault="002C6574">
            <w:pPr>
              <w:pStyle w:val="TableParagraph"/>
              <w:jc w:val="left"/>
              <w:rPr>
                <w:rFonts w:ascii="Times New Roman"/>
                <w:sz w:val="18"/>
              </w:rPr>
            </w:pPr>
          </w:p>
        </w:tc>
        <w:tc>
          <w:tcPr>
            <w:tcW w:w="933" w:type="dxa"/>
          </w:tcPr>
          <w:p w14:paraId="2751711D" w14:textId="77777777" w:rsidR="002C6574" w:rsidRDefault="002C6574">
            <w:pPr>
              <w:pStyle w:val="TableParagraph"/>
              <w:jc w:val="left"/>
              <w:rPr>
                <w:rFonts w:ascii="Times New Roman"/>
                <w:sz w:val="18"/>
              </w:rPr>
            </w:pPr>
          </w:p>
        </w:tc>
        <w:tc>
          <w:tcPr>
            <w:tcW w:w="880" w:type="dxa"/>
          </w:tcPr>
          <w:p w14:paraId="7A6D3987" w14:textId="77777777" w:rsidR="002C6574" w:rsidRDefault="002C6574">
            <w:pPr>
              <w:pStyle w:val="TableParagraph"/>
              <w:jc w:val="left"/>
              <w:rPr>
                <w:rFonts w:ascii="Times New Roman"/>
                <w:sz w:val="18"/>
              </w:rPr>
            </w:pPr>
          </w:p>
        </w:tc>
        <w:tc>
          <w:tcPr>
            <w:tcW w:w="851" w:type="dxa"/>
          </w:tcPr>
          <w:p w14:paraId="4B44E1A2" w14:textId="77777777" w:rsidR="002C6574" w:rsidRDefault="002C6574">
            <w:pPr>
              <w:pStyle w:val="TableParagraph"/>
              <w:jc w:val="left"/>
              <w:rPr>
                <w:rFonts w:ascii="Times New Roman"/>
                <w:sz w:val="18"/>
              </w:rPr>
            </w:pPr>
          </w:p>
        </w:tc>
        <w:tc>
          <w:tcPr>
            <w:tcW w:w="849" w:type="dxa"/>
          </w:tcPr>
          <w:p w14:paraId="2C90EBC7" w14:textId="77777777" w:rsidR="002C6574" w:rsidRDefault="002C6574">
            <w:pPr>
              <w:pStyle w:val="TableParagraph"/>
              <w:jc w:val="left"/>
              <w:rPr>
                <w:rFonts w:ascii="Times New Roman"/>
                <w:sz w:val="18"/>
              </w:rPr>
            </w:pPr>
          </w:p>
        </w:tc>
        <w:tc>
          <w:tcPr>
            <w:tcW w:w="851" w:type="dxa"/>
          </w:tcPr>
          <w:p w14:paraId="4EB208A9" w14:textId="77777777" w:rsidR="002C6574" w:rsidRDefault="002C6574">
            <w:pPr>
              <w:pStyle w:val="TableParagraph"/>
              <w:jc w:val="left"/>
              <w:rPr>
                <w:rFonts w:ascii="Times New Roman"/>
                <w:sz w:val="18"/>
              </w:rPr>
            </w:pPr>
          </w:p>
        </w:tc>
      </w:tr>
      <w:tr w:rsidR="002C6574" w14:paraId="184A9897" w14:textId="77777777">
        <w:trPr>
          <w:trHeight w:val="268"/>
        </w:trPr>
        <w:tc>
          <w:tcPr>
            <w:tcW w:w="4459" w:type="dxa"/>
          </w:tcPr>
          <w:p w14:paraId="5321BE2D" w14:textId="77777777" w:rsidR="002C6574" w:rsidRDefault="00000000">
            <w:pPr>
              <w:pStyle w:val="TableParagraph"/>
              <w:spacing w:before="41"/>
              <w:ind w:left="69"/>
              <w:jc w:val="left"/>
              <w:rPr>
                <w:rFonts w:ascii="Arial"/>
                <w:b/>
                <w:sz w:val="16"/>
              </w:rPr>
            </w:pPr>
            <w:r>
              <w:rPr>
                <w:rFonts w:ascii="Arial"/>
                <w:b/>
                <w:sz w:val="16"/>
              </w:rPr>
              <w:t>Custo</w:t>
            </w:r>
            <w:r>
              <w:rPr>
                <w:rFonts w:ascii="Arial"/>
                <w:b/>
                <w:spacing w:val="-3"/>
                <w:sz w:val="16"/>
              </w:rPr>
              <w:t xml:space="preserve"> </w:t>
            </w:r>
            <w:r>
              <w:rPr>
                <w:rFonts w:ascii="Arial"/>
                <w:b/>
                <w:spacing w:val="-2"/>
                <w:sz w:val="16"/>
              </w:rPr>
              <w:t>Amortizado</w:t>
            </w:r>
          </w:p>
        </w:tc>
        <w:tc>
          <w:tcPr>
            <w:tcW w:w="950" w:type="dxa"/>
          </w:tcPr>
          <w:p w14:paraId="5089AC92" w14:textId="77777777" w:rsidR="002C6574" w:rsidRDefault="002C6574">
            <w:pPr>
              <w:pStyle w:val="TableParagraph"/>
              <w:jc w:val="left"/>
              <w:rPr>
                <w:rFonts w:ascii="Times New Roman"/>
                <w:sz w:val="18"/>
              </w:rPr>
            </w:pPr>
          </w:p>
        </w:tc>
        <w:tc>
          <w:tcPr>
            <w:tcW w:w="933" w:type="dxa"/>
          </w:tcPr>
          <w:p w14:paraId="4CAE5047" w14:textId="77777777" w:rsidR="002C6574" w:rsidRDefault="002C6574">
            <w:pPr>
              <w:pStyle w:val="TableParagraph"/>
              <w:jc w:val="left"/>
              <w:rPr>
                <w:rFonts w:ascii="Times New Roman"/>
                <w:sz w:val="18"/>
              </w:rPr>
            </w:pPr>
          </w:p>
        </w:tc>
        <w:tc>
          <w:tcPr>
            <w:tcW w:w="880" w:type="dxa"/>
          </w:tcPr>
          <w:p w14:paraId="564A9B91" w14:textId="77777777" w:rsidR="002C6574" w:rsidRDefault="002C6574">
            <w:pPr>
              <w:pStyle w:val="TableParagraph"/>
              <w:jc w:val="left"/>
              <w:rPr>
                <w:rFonts w:ascii="Times New Roman"/>
                <w:sz w:val="18"/>
              </w:rPr>
            </w:pPr>
          </w:p>
        </w:tc>
        <w:tc>
          <w:tcPr>
            <w:tcW w:w="851" w:type="dxa"/>
          </w:tcPr>
          <w:p w14:paraId="073EF979" w14:textId="77777777" w:rsidR="002C6574" w:rsidRDefault="002C6574">
            <w:pPr>
              <w:pStyle w:val="TableParagraph"/>
              <w:jc w:val="left"/>
              <w:rPr>
                <w:rFonts w:ascii="Times New Roman"/>
                <w:sz w:val="18"/>
              </w:rPr>
            </w:pPr>
          </w:p>
        </w:tc>
        <w:tc>
          <w:tcPr>
            <w:tcW w:w="849" w:type="dxa"/>
          </w:tcPr>
          <w:p w14:paraId="15F54ABC" w14:textId="77777777" w:rsidR="002C6574" w:rsidRDefault="002C6574">
            <w:pPr>
              <w:pStyle w:val="TableParagraph"/>
              <w:jc w:val="left"/>
              <w:rPr>
                <w:rFonts w:ascii="Times New Roman"/>
                <w:sz w:val="18"/>
              </w:rPr>
            </w:pPr>
          </w:p>
        </w:tc>
        <w:tc>
          <w:tcPr>
            <w:tcW w:w="851" w:type="dxa"/>
          </w:tcPr>
          <w:p w14:paraId="7E40D57A" w14:textId="77777777" w:rsidR="002C6574" w:rsidRDefault="002C6574">
            <w:pPr>
              <w:pStyle w:val="TableParagraph"/>
              <w:jc w:val="left"/>
              <w:rPr>
                <w:rFonts w:ascii="Times New Roman"/>
                <w:sz w:val="18"/>
              </w:rPr>
            </w:pPr>
          </w:p>
        </w:tc>
      </w:tr>
      <w:tr w:rsidR="002C6574" w14:paraId="1CCBF7C5" w14:textId="77777777">
        <w:trPr>
          <w:trHeight w:val="366"/>
        </w:trPr>
        <w:tc>
          <w:tcPr>
            <w:tcW w:w="4459" w:type="dxa"/>
          </w:tcPr>
          <w:p w14:paraId="00CCA8A9" w14:textId="77777777" w:rsidR="002C6574" w:rsidRDefault="00000000">
            <w:pPr>
              <w:pStyle w:val="TableParagraph"/>
              <w:spacing w:before="69"/>
              <w:ind w:left="69"/>
              <w:jc w:val="left"/>
              <w:rPr>
                <w:sz w:val="16"/>
              </w:rPr>
            </w:pPr>
            <w:r>
              <w:rPr>
                <w:spacing w:val="-2"/>
                <w:w w:val="105"/>
                <w:sz w:val="16"/>
              </w:rPr>
              <w:t>Fornecedores</w:t>
            </w:r>
          </w:p>
        </w:tc>
        <w:tc>
          <w:tcPr>
            <w:tcW w:w="950" w:type="dxa"/>
          </w:tcPr>
          <w:p w14:paraId="466EF9AA" w14:textId="77777777" w:rsidR="002C6574" w:rsidRDefault="00000000">
            <w:pPr>
              <w:pStyle w:val="TableParagraph"/>
              <w:spacing w:line="184" w:lineRule="exact"/>
              <w:ind w:left="69" w:firstLine="194"/>
              <w:jc w:val="left"/>
              <w:rPr>
                <w:sz w:val="16"/>
              </w:rPr>
            </w:pPr>
            <w:r>
              <w:rPr>
                <w:spacing w:val="-2"/>
                <w:sz w:val="16"/>
              </w:rPr>
              <w:t xml:space="preserve">Custo </w:t>
            </w:r>
            <w:r>
              <w:rPr>
                <w:spacing w:val="-4"/>
                <w:sz w:val="16"/>
              </w:rPr>
              <w:t>Amortizado</w:t>
            </w:r>
          </w:p>
        </w:tc>
        <w:tc>
          <w:tcPr>
            <w:tcW w:w="933" w:type="dxa"/>
          </w:tcPr>
          <w:p w14:paraId="2A6CD749" w14:textId="77777777" w:rsidR="002C6574" w:rsidRDefault="002C6574">
            <w:pPr>
              <w:pStyle w:val="TableParagraph"/>
              <w:jc w:val="left"/>
              <w:rPr>
                <w:rFonts w:ascii="Times New Roman"/>
                <w:sz w:val="18"/>
              </w:rPr>
            </w:pPr>
          </w:p>
        </w:tc>
        <w:tc>
          <w:tcPr>
            <w:tcW w:w="880" w:type="dxa"/>
          </w:tcPr>
          <w:p w14:paraId="2C8BD95F" w14:textId="77777777" w:rsidR="002C6574" w:rsidRDefault="00000000">
            <w:pPr>
              <w:pStyle w:val="TableParagraph"/>
              <w:spacing w:before="69"/>
              <w:ind w:right="58"/>
              <w:rPr>
                <w:sz w:val="16"/>
              </w:rPr>
            </w:pPr>
            <w:r>
              <w:rPr>
                <w:spacing w:val="-2"/>
                <w:w w:val="105"/>
                <w:sz w:val="16"/>
              </w:rPr>
              <w:t>151.794</w:t>
            </w:r>
          </w:p>
        </w:tc>
        <w:tc>
          <w:tcPr>
            <w:tcW w:w="851" w:type="dxa"/>
          </w:tcPr>
          <w:p w14:paraId="0C1EE0CA" w14:textId="77777777" w:rsidR="002C6574" w:rsidRDefault="00000000">
            <w:pPr>
              <w:pStyle w:val="TableParagraph"/>
              <w:spacing w:before="69"/>
              <w:ind w:right="57"/>
              <w:rPr>
                <w:sz w:val="16"/>
              </w:rPr>
            </w:pPr>
            <w:r>
              <w:rPr>
                <w:spacing w:val="-2"/>
                <w:w w:val="105"/>
                <w:sz w:val="16"/>
              </w:rPr>
              <w:t>151.794</w:t>
            </w:r>
          </w:p>
        </w:tc>
        <w:tc>
          <w:tcPr>
            <w:tcW w:w="849" w:type="dxa"/>
          </w:tcPr>
          <w:p w14:paraId="17A25F9B" w14:textId="77777777" w:rsidR="002C6574" w:rsidRDefault="00000000">
            <w:pPr>
              <w:pStyle w:val="TableParagraph"/>
              <w:spacing w:before="69"/>
              <w:ind w:right="54"/>
              <w:rPr>
                <w:sz w:val="16"/>
              </w:rPr>
            </w:pPr>
            <w:r>
              <w:rPr>
                <w:spacing w:val="-2"/>
                <w:w w:val="105"/>
                <w:sz w:val="16"/>
              </w:rPr>
              <w:t>144.636</w:t>
            </w:r>
          </w:p>
        </w:tc>
        <w:tc>
          <w:tcPr>
            <w:tcW w:w="851" w:type="dxa"/>
          </w:tcPr>
          <w:p w14:paraId="4B3A75F4" w14:textId="77777777" w:rsidR="002C6574" w:rsidRDefault="00000000">
            <w:pPr>
              <w:pStyle w:val="TableParagraph"/>
              <w:spacing w:before="69"/>
              <w:ind w:left="147"/>
              <w:jc w:val="center"/>
              <w:rPr>
                <w:sz w:val="16"/>
              </w:rPr>
            </w:pPr>
            <w:r>
              <w:rPr>
                <w:spacing w:val="-2"/>
                <w:w w:val="105"/>
                <w:sz w:val="16"/>
              </w:rPr>
              <w:t>144.636</w:t>
            </w:r>
          </w:p>
        </w:tc>
      </w:tr>
      <w:tr w:rsidR="002C6574" w14:paraId="7742BB7E" w14:textId="77777777">
        <w:trPr>
          <w:trHeight w:val="368"/>
        </w:trPr>
        <w:tc>
          <w:tcPr>
            <w:tcW w:w="4459" w:type="dxa"/>
          </w:tcPr>
          <w:p w14:paraId="57ED0A25" w14:textId="77777777" w:rsidR="002C6574" w:rsidRDefault="00000000">
            <w:pPr>
              <w:pStyle w:val="TableParagraph"/>
              <w:spacing w:before="68"/>
              <w:ind w:left="69"/>
              <w:jc w:val="left"/>
              <w:rPr>
                <w:sz w:val="16"/>
              </w:rPr>
            </w:pPr>
            <w:r>
              <w:rPr>
                <w:sz w:val="16"/>
              </w:rPr>
              <w:t>Empréstimos</w:t>
            </w:r>
            <w:r>
              <w:rPr>
                <w:spacing w:val="10"/>
                <w:sz w:val="16"/>
              </w:rPr>
              <w:t xml:space="preserve"> </w:t>
            </w:r>
            <w:r>
              <w:rPr>
                <w:sz w:val="16"/>
              </w:rPr>
              <w:t>e</w:t>
            </w:r>
            <w:r>
              <w:rPr>
                <w:spacing w:val="5"/>
                <w:sz w:val="16"/>
              </w:rPr>
              <w:t xml:space="preserve"> </w:t>
            </w:r>
            <w:r>
              <w:rPr>
                <w:sz w:val="16"/>
              </w:rPr>
              <w:t>Financiamentos</w:t>
            </w:r>
            <w:r>
              <w:rPr>
                <w:spacing w:val="8"/>
                <w:sz w:val="16"/>
              </w:rPr>
              <w:t xml:space="preserve"> </w:t>
            </w:r>
            <w:r>
              <w:rPr>
                <w:sz w:val="16"/>
              </w:rPr>
              <w:t>-</w:t>
            </w:r>
            <w:r>
              <w:rPr>
                <w:spacing w:val="6"/>
                <w:sz w:val="16"/>
              </w:rPr>
              <w:t xml:space="preserve"> </w:t>
            </w:r>
            <w:r>
              <w:rPr>
                <w:spacing w:val="-4"/>
                <w:sz w:val="16"/>
              </w:rPr>
              <w:t>FINEP</w:t>
            </w:r>
          </w:p>
        </w:tc>
        <w:tc>
          <w:tcPr>
            <w:tcW w:w="950" w:type="dxa"/>
          </w:tcPr>
          <w:p w14:paraId="3BAB1584" w14:textId="77777777" w:rsidR="002C6574" w:rsidRDefault="00000000">
            <w:pPr>
              <w:pStyle w:val="TableParagraph"/>
              <w:spacing w:line="184" w:lineRule="exact"/>
              <w:ind w:left="69" w:firstLine="194"/>
              <w:jc w:val="left"/>
              <w:rPr>
                <w:sz w:val="16"/>
              </w:rPr>
            </w:pPr>
            <w:r>
              <w:rPr>
                <w:spacing w:val="-2"/>
                <w:sz w:val="16"/>
              </w:rPr>
              <w:t xml:space="preserve">Custo </w:t>
            </w:r>
            <w:r>
              <w:rPr>
                <w:spacing w:val="-4"/>
                <w:sz w:val="16"/>
              </w:rPr>
              <w:t>Amortizado</w:t>
            </w:r>
          </w:p>
        </w:tc>
        <w:tc>
          <w:tcPr>
            <w:tcW w:w="933" w:type="dxa"/>
          </w:tcPr>
          <w:p w14:paraId="2D654E42" w14:textId="77777777" w:rsidR="002C6574" w:rsidRDefault="002C6574">
            <w:pPr>
              <w:pStyle w:val="TableParagraph"/>
              <w:jc w:val="left"/>
              <w:rPr>
                <w:rFonts w:ascii="Times New Roman"/>
                <w:sz w:val="18"/>
              </w:rPr>
            </w:pPr>
          </w:p>
        </w:tc>
        <w:tc>
          <w:tcPr>
            <w:tcW w:w="880" w:type="dxa"/>
          </w:tcPr>
          <w:p w14:paraId="227803A2" w14:textId="77777777" w:rsidR="002C6574" w:rsidRDefault="00000000">
            <w:pPr>
              <w:pStyle w:val="TableParagraph"/>
              <w:spacing w:before="68"/>
              <w:ind w:right="56"/>
              <w:rPr>
                <w:sz w:val="16"/>
              </w:rPr>
            </w:pPr>
            <w:r>
              <w:rPr>
                <w:spacing w:val="-10"/>
                <w:w w:val="95"/>
                <w:sz w:val="16"/>
              </w:rPr>
              <w:t>-</w:t>
            </w:r>
          </w:p>
        </w:tc>
        <w:tc>
          <w:tcPr>
            <w:tcW w:w="851" w:type="dxa"/>
          </w:tcPr>
          <w:p w14:paraId="71302688" w14:textId="77777777" w:rsidR="002C6574" w:rsidRDefault="00000000">
            <w:pPr>
              <w:pStyle w:val="TableParagraph"/>
              <w:spacing w:before="68"/>
              <w:ind w:right="57"/>
              <w:rPr>
                <w:sz w:val="16"/>
              </w:rPr>
            </w:pPr>
            <w:r>
              <w:rPr>
                <w:spacing w:val="-10"/>
                <w:w w:val="95"/>
                <w:sz w:val="16"/>
              </w:rPr>
              <w:t>-</w:t>
            </w:r>
          </w:p>
        </w:tc>
        <w:tc>
          <w:tcPr>
            <w:tcW w:w="849" w:type="dxa"/>
          </w:tcPr>
          <w:p w14:paraId="5F431096" w14:textId="77777777" w:rsidR="002C6574" w:rsidRDefault="00000000">
            <w:pPr>
              <w:pStyle w:val="TableParagraph"/>
              <w:spacing w:before="68"/>
              <w:ind w:right="53"/>
              <w:rPr>
                <w:sz w:val="16"/>
              </w:rPr>
            </w:pPr>
            <w:r>
              <w:rPr>
                <w:spacing w:val="-2"/>
                <w:w w:val="105"/>
                <w:sz w:val="16"/>
              </w:rPr>
              <w:t>46.210</w:t>
            </w:r>
          </w:p>
        </w:tc>
        <w:tc>
          <w:tcPr>
            <w:tcW w:w="851" w:type="dxa"/>
          </w:tcPr>
          <w:p w14:paraId="2AE03AF6" w14:textId="77777777" w:rsidR="002C6574" w:rsidRDefault="00000000">
            <w:pPr>
              <w:pStyle w:val="TableParagraph"/>
              <w:spacing w:before="68"/>
              <w:ind w:left="236"/>
              <w:jc w:val="center"/>
              <w:rPr>
                <w:sz w:val="16"/>
              </w:rPr>
            </w:pPr>
            <w:r>
              <w:rPr>
                <w:spacing w:val="-2"/>
                <w:w w:val="105"/>
                <w:sz w:val="16"/>
              </w:rPr>
              <w:t>46.210</w:t>
            </w:r>
          </w:p>
        </w:tc>
      </w:tr>
      <w:tr w:rsidR="002C6574" w14:paraId="37E981E9" w14:textId="77777777">
        <w:trPr>
          <w:trHeight w:val="366"/>
        </w:trPr>
        <w:tc>
          <w:tcPr>
            <w:tcW w:w="4459" w:type="dxa"/>
          </w:tcPr>
          <w:p w14:paraId="561FBF97" w14:textId="77777777" w:rsidR="002C6574" w:rsidRDefault="00000000">
            <w:pPr>
              <w:pStyle w:val="TableParagraph"/>
              <w:spacing w:before="69"/>
              <w:ind w:left="69"/>
              <w:jc w:val="left"/>
              <w:rPr>
                <w:sz w:val="16"/>
              </w:rPr>
            </w:pPr>
            <w:r>
              <w:rPr>
                <w:sz w:val="16"/>
              </w:rPr>
              <w:t>Financiamento</w:t>
            </w:r>
            <w:r>
              <w:rPr>
                <w:spacing w:val="-2"/>
                <w:sz w:val="16"/>
              </w:rPr>
              <w:t xml:space="preserve"> </w:t>
            </w:r>
            <w:r>
              <w:rPr>
                <w:sz w:val="16"/>
              </w:rPr>
              <w:t>-</w:t>
            </w:r>
            <w:r>
              <w:rPr>
                <w:spacing w:val="-6"/>
                <w:sz w:val="16"/>
              </w:rPr>
              <w:t xml:space="preserve"> </w:t>
            </w:r>
            <w:r>
              <w:rPr>
                <w:sz w:val="16"/>
              </w:rPr>
              <w:t>Arrendamento</w:t>
            </w:r>
            <w:r>
              <w:rPr>
                <w:spacing w:val="-4"/>
                <w:sz w:val="16"/>
              </w:rPr>
              <w:t xml:space="preserve"> </w:t>
            </w:r>
            <w:r>
              <w:rPr>
                <w:sz w:val="16"/>
              </w:rPr>
              <w:t>Mercantil</w:t>
            </w:r>
            <w:r>
              <w:rPr>
                <w:spacing w:val="-6"/>
                <w:sz w:val="16"/>
              </w:rPr>
              <w:t xml:space="preserve"> </w:t>
            </w:r>
            <w:r>
              <w:rPr>
                <w:sz w:val="16"/>
              </w:rPr>
              <w:t>Financeiro</w:t>
            </w:r>
            <w:r>
              <w:rPr>
                <w:spacing w:val="-4"/>
                <w:sz w:val="16"/>
              </w:rPr>
              <w:t xml:space="preserve"> </w:t>
            </w:r>
            <w:r>
              <w:rPr>
                <w:spacing w:val="-2"/>
                <w:sz w:val="16"/>
              </w:rPr>
              <w:t>(iii)</w:t>
            </w:r>
          </w:p>
        </w:tc>
        <w:tc>
          <w:tcPr>
            <w:tcW w:w="950" w:type="dxa"/>
          </w:tcPr>
          <w:p w14:paraId="1B05F693" w14:textId="77777777" w:rsidR="002C6574" w:rsidRDefault="00000000">
            <w:pPr>
              <w:pStyle w:val="TableParagraph"/>
              <w:spacing w:line="184" w:lineRule="exact"/>
              <w:ind w:left="69" w:firstLine="194"/>
              <w:jc w:val="left"/>
              <w:rPr>
                <w:sz w:val="16"/>
              </w:rPr>
            </w:pPr>
            <w:r>
              <w:rPr>
                <w:spacing w:val="-2"/>
                <w:sz w:val="16"/>
              </w:rPr>
              <w:t xml:space="preserve">Custo </w:t>
            </w:r>
            <w:r>
              <w:rPr>
                <w:spacing w:val="-4"/>
                <w:sz w:val="16"/>
              </w:rPr>
              <w:t>Amortizado</w:t>
            </w:r>
          </w:p>
        </w:tc>
        <w:tc>
          <w:tcPr>
            <w:tcW w:w="933" w:type="dxa"/>
          </w:tcPr>
          <w:p w14:paraId="4ED11C66" w14:textId="77777777" w:rsidR="002C6574" w:rsidRDefault="002C6574">
            <w:pPr>
              <w:pStyle w:val="TableParagraph"/>
              <w:jc w:val="left"/>
              <w:rPr>
                <w:rFonts w:ascii="Times New Roman"/>
                <w:sz w:val="18"/>
              </w:rPr>
            </w:pPr>
          </w:p>
        </w:tc>
        <w:tc>
          <w:tcPr>
            <w:tcW w:w="880" w:type="dxa"/>
          </w:tcPr>
          <w:p w14:paraId="473B5B55" w14:textId="77777777" w:rsidR="002C6574" w:rsidRDefault="00000000">
            <w:pPr>
              <w:pStyle w:val="TableParagraph"/>
              <w:spacing w:before="69"/>
              <w:ind w:right="57"/>
              <w:rPr>
                <w:sz w:val="16"/>
              </w:rPr>
            </w:pPr>
            <w:r>
              <w:rPr>
                <w:spacing w:val="-2"/>
                <w:w w:val="105"/>
                <w:sz w:val="16"/>
              </w:rPr>
              <w:t>19.879</w:t>
            </w:r>
          </w:p>
        </w:tc>
        <w:tc>
          <w:tcPr>
            <w:tcW w:w="851" w:type="dxa"/>
          </w:tcPr>
          <w:p w14:paraId="4B2BA365" w14:textId="77777777" w:rsidR="002C6574" w:rsidRDefault="00000000">
            <w:pPr>
              <w:pStyle w:val="TableParagraph"/>
              <w:spacing w:before="69"/>
              <w:ind w:right="56"/>
              <w:rPr>
                <w:sz w:val="16"/>
              </w:rPr>
            </w:pPr>
            <w:r>
              <w:rPr>
                <w:spacing w:val="-2"/>
                <w:w w:val="105"/>
                <w:sz w:val="16"/>
              </w:rPr>
              <w:t>19.879</w:t>
            </w:r>
          </w:p>
        </w:tc>
        <w:tc>
          <w:tcPr>
            <w:tcW w:w="849" w:type="dxa"/>
          </w:tcPr>
          <w:p w14:paraId="64283986" w14:textId="77777777" w:rsidR="002C6574" w:rsidRDefault="00000000">
            <w:pPr>
              <w:pStyle w:val="TableParagraph"/>
              <w:spacing w:before="69"/>
              <w:ind w:right="53"/>
              <w:rPr>
                <w:sz w:val="16"/>
              </w:rPr>
            </w:pPr>
            <w:r>
              <w:rPr>
                <w:spacing w:val="-4"/>
                <w:w w:val="110"/>
                <w:sz w:val="16"/>
              </w:rPr>
              <w:t>9.513</w:t>
            </w:r>
          </w:p>
        </w:tc>
        <w:tc>
          <w:tcPr>
            <w:tcW w:w="851" w:type="dxa"/>
          </w:tcPr>
          <w:p w14:paraId="7633AFBB" w14:textId="77777777" w:rsidR="002C6574" w:rsidRDefault="00000000">
            <w:pPr>
              <w:pStyle w:val="TableParagraph"/>
              <w:spacing w:before="69"/>
              <w:ind w:left="325"/>
              <w:jc w:val="center"/>
              <w:rPr>
                <w:sz w:val="16"/>
              </w:rPr>
            </w:pPr>
            <w:r>
              <w:rPr>
                <w:spacing w:val="-4"/>
                <w:w w:val="110"/>
                <w:sz w:val="16"/>
              </w:rPr>
              <w:t>9.513</w:t>
            </w:r>
          </w:p>
        </w:tc>
      </w:tr>
      <w:tr w:rsidR="002C6574" w14:paraId="75E60E88" w14:textId="77777777">
        <w:trPr>
          <w:trHeight w:val="368"/>
        </w:trPr>
        <w:tc>
          <w:tcPr>
            <w:tcW w:w="4459" w:type="dxa"/>
          </w:tcPr>
          <w:p w14:paraId="14298D8E" w14:textId="77777777" w:rsidR="002C6574" w:rsidRDefault="00000000">
            <w:pPr>
              <w:pStyle w:val="TableParagraph"/>
              <w:spacing w:before="68"/>
              <w:ind w:left="69"/>
              <w:jc w:val="left"/>
              <w:rPr>
                <w:sz w:val="16"/>
              </w:rPr>
            </w:pPr>
            <w:r>
              <w:rPr>
                <w:spacing w:val="-2"/>
                <w:w w:val="105"/>
                <w:sz w:val="16"/>
              </w:rPr>
              <w:t>Credores</w:t>
            </w:r>
            <w:r>
              <w:rPr>
                <w:spacing w:val="1"/>
                <w:w w:val="105"/>
                <w:sz w:val="16"/>
              </w:rPr>
              <w:t xml:space="preserve"> </w:t>
            </w:r>
            <w:r>
              <w:rPr>
                <w:spacing w:val="-2"/>
                <w:w w:val="105"/>
                <w:sz w:val="16"/>
              </w:rPr>
              <w:t>por</w:t>
            </w:r>
            <w:r>
              <w:rPr>
                <w:spacing w:val="-1"/>
                <w:w w:val="105"/>
                <w:sz w:val="16"/>
              </w:rPr>
              <w:t xml:space="preserve"> </w:t>
            </w:r>
            <w:r>
              <w:rPr>
                <w:spacing w:val="-2"/>
                <w:w w:val="105"/>
                <w:sz w:val="16"/>
              </w:rPr>
              <w:t>Perdas</w:t>
            </w:r>
            <w:r>
              <w:rPr>
                <w:spacing w:val="-1"/>
                <w:w w:val="105"/>
                <w:sz w:val="16"/>
              </w:rPr>
              <w:t xml:space="preserve"> </w:t>
            </w:r>
            <w:r>
              <w:rPr>
                <w:spacing w:val="-2"/>
                <w:w w:val="105"/>
                <w:sz w:val="16"/>
              </w:rPr>
              <w:t>Judiciais</w:t>
            </w:r>
          </w:p>
        </w:tc>
        <w:tc>
          <w:tcPr>
            <w:tcW w:w="950" w:type="dxa"/>
          </w:tcPr>
          <w:p w14:paraId="1928461F" w14:textId="77777777" w:rsidR="002C6574" w:rsidRDefault="00000000">
            <w:pPr>
              <w:pStyle w:val="TableParagraph"/>
              <w:spacing w:line="184" w:lineRule="exact"/>
              <w:ind w:left="69" w:firstLine="194"/>
              <w:jc w:val="left"/>
              <w:rPr>
                <w:sz w:val="16"/>
              </w:rPr>
            </w:pPr>
            <w:r>
              <w:rPr>
                <w:spacing w:val="-2"/>
                <w:sz w:val="16"/>
              </w:rPr>
              <w:t xml:space="preserve">Custo </w:t>
            </w:r>
            <w:r>
              <w:rPr>
                <w:spacing w:val="-4"/>
                <w:sz w:val="16"/>
              </w:rPr>
              <w:t>Amortizado</w:t>
            </w:r>
          </w:p>
        </w:tc>
        <w:tc>
          <w:tcPr>
            <w:tcW w:w="933" w:type="dxa"/>
          </w:tcPr>
          <w:p w14:paraId="3916DC51" w14:textId="77777777" w:rsidR="002C6574" w:rsidRDefault="002C6574">
            <w:pPr>
              <w:pStyle w:val="TableParagraph"/>
              <w:jc w:val="left"/>
              <w:rPr>
                <w:rFonts w:ascii="Times New Roman"/>
                <w:sz w:val="18"/>
              </w:rPr>
            </w:pPr>
          </w:p>
        </w:tc>
        <w:tc>
          <w:tcPr>
            <w:tcW w:w="880" w:type="dxa"/>
          </w:tcPr>
          <w:p w14:paraId="3D0EED16" w14:textId="77777777" w:rsidR="002C6574" w:rsidRDefault="00000000">
            <w:pPr>
              <w:pStyle w:val="TableParagraph"/>
              <w:spacing w:before="68"/>
              <w:ind w:right="58"/>
              <w:rPr>
                <w:sz w:val="16"/>
              </w:rPr>
            </w:pPr>
            <w:r>
              <w:rPr>
                <w:spacing w:val="-10"/>
                <w:w w:val="95"/>
                <w:sz w:val="16"/>
              </w:rPr>
              <w:t>-</w:t>
            </w:r>
          </w:p>
        </w:tc>
        <w:tc>
          <w:tcPr>
            <w:tcW w:w="851" w:type="dxa"/>
          </w:tcPr>
          <w:p w14:paraId="00AA40C9" w14:textId="77777777" w:rsidR="002C6574" w:rsidRDefault="00000000">
            <w:pPr>
              <w:pStyle w:val="TableParagraph"/>
              <w:spacing w:before="68"/>
              <w:ind w:right="53"/>
              <w:rPr>
                <w:sz w:val="16"/>
              </w:rPr>
            </w:pPr>
            <w:r>
              <w:rPr>
                <w:spacing w:val="-10"/>
                <w:w w:val="95"/>
                <w:sz w:val="16"/>
              </w:rPr>
              <w:t>-</w:t>
            </w:r>
          </w:p>
        </w:tc>
        <w:tc>
          <w:tcPr>
            <w:tcW w:w="849" w:type="dxa"/>
          </w:tcPr>
          <w:p w14:paraId="1E83FFB1" w14:textId="77777777" w:rsidR="002C6574" w:rsidRDefault="00000000">
            <w:pPr>
              <w:pStyle w:val="TableParagraph"/>
              <w:spacing w:before="68"/>
              <w:ind w:right="54"/>
              <w:rPr>
                <w:sz w:val="16"/>
              </w:rPr>
            </w:pPr>
            <w:r>
              <w:rPr>
                <w:spacing w:val="-2"/>
                <w:w w:val="105"/>
                <w:sz w:val="16"/>
              </w:rPr>
              <w:t>118.882</w:t>
            </w:r>
          </w:p>
        </w:tc>
        <w:tc>
          <w:tcPr>
            <w:tcW w:w="851" w:type="dxa"/>
          </w:tcPr>
          <w:p w14:paraId="48F4E445" w14:textId="77777777" w:rsidR="002C6574" w:rsidRDefault="00000000">
            <w:pPr>
              <w:pStyle w:val="TableParagraph"/>
              <w:spacing w:before="68"/>
              <w:ind w:left="147"/>
              <w:jc w:val="center"/>
              <w:rPr>
                <w:sz w:val="16"/>
              </w:rPr>
            </w:pPr>
            <w:r>
              <w:rPr>
                <w:spacing w:val="-2"/>
                <w:w w:val="105"/>
                <w:sz w:val="16"/>
              </w:rPr>
              <w:t>118.882</w:t>
            </w:r>
          </w:p>
        </w:tc>
      </w:tr>
    </w:tbl>
    <w:p w14:paraId="15C8694D" w14:textId="77777777" w:rsidR="002C6574" w:rsidRDefault="00000000">
      <w:pPr>
        <w:pStyle w:val="PargrafodaLista"/>
        <w:numPr>
          <w:ilvl w:val="0"/>
          <w:numId w:val="45"/>
        </w:numPr>
        <w:tabs>
          <w:tab w:val="left" w:pos="329"/>
        </w:tabs>
        <w:spacing w:line="197" w:lineRule="exact"/>
        <w:ind w:left="329" w:hanging="186"/>
        <w:rPr>
          <w:rFonts w:ascii="Segoe UI Symbol" w:hAnsi="Segoe UI Symbol"/>
          <w:sz w:val="16"/>
        </w:rPr>
      </w:pPr>
      <w:r>
        <w:rPr>
          <w:rFonts w:ascii="Segoe UI Symbol" w:hAnsi="Segoe UI Symbol"/>
          <w:sz w:val="16"/>
        </w:rPr>
        <w:t>VJR</w:t>
      </w:r>
      <w:r>
        <w:rPr>
          <w:rFonts w:ascii="Segoe UI Symbol" w:hAnsi="Segoe UI Symbol"/>
          <w:spacing w:val="2"/>
          <w:sz w:val="16"/>
        </w:rPr>
        <w:t xml:space="preserve"> </w:t>
      </w:r>
      <w:r>
        <w:rPr>
          <w:rFonts w:ascii="Segoe UI Symbol" w:hAnsi="Segoe UI Symbol"/>
          <w:sz w:val="16"/>
        </w:rPr>
        <w:t>–</w:t>
      </w:r>
      <w:r>
        <w:rPr>
          <w:rFonts w:ascii="Segoe UI Symbol" w:hAnsi="Segoe UI Symbol"/>
          <w:spacing w:val="1"/>
          <w:sz w:val="16"/>
        </w:rPr>
        <w:t xml:space="preserve"> </w:t>
      </w:r>
      <w:r>
        <w:rPr>
          <w:rFonts w:ascii="Segoe UI Symbol" w:hAnsi="Segoe UI Symbol"/>
          <w:sz w:val="16"/>
        </w:rPr>
        <w:t>Valor</w:t>
      </w:r>
      <w:r>
        <w:rPr>
          <w:rFonts w:ascii="Segoe UI Symbol" w:hAnsi="Segoe UI Symbol"/>
          <w:spacing w:val="4"/>
          <w:sz w:val="16"/>
        </w:rPr>
        <w:t xml:space="preserve"> </w:t>
      </w:r>
      <w:r>
        <w:rPr>
          <w:rFonts w:ascii="Segoe UI Symbol" w:hAnsi="Segoe UI Symbol"/>
          <w:sz w:val="16"/>
        </w:rPr>
        <w:t>justo</w:t>
      </w:r>
      <w:r>
        <w:rPr>
          <w:rFonts w:ascii="Segoe UI Symbol" w:hAnsi="Segoe UI Symbol"/>
          <w:spacing w:val="1"/>
          <w:sz w:val="16"/>
        </w:rPr>
        <w:t xml:space="preserve"> </w:t>
      </w:r>
      <w:r>
        <w:rPr>
          <w:rFonts w:ascii="Segoe UI Symbol" w:hAnsi="Segoe UI Symbol"/>
          <w:sz w:val="16"/>
        </w:rPr>
        <w:t>por</w:t>
      </w:r>
      <w:r>
        <w:rPr>
          <w:rFonts w:ascii="Segoe UI Symbol" w:hAnsi="Segoe UI Symbol"/>
          <w:spacing w:val="4"/>
          <w:sz w:val="16"/>
        </w:rPr>
        <w:t xml:space="preserve"> </w:t>
      </w:r>
      <w:r>
        <w:rPr>
          <w:rFonts w:ascii="Segoe UI Symbol" w:hAnsi="Segoe UI Symbol"/>
          <w:sz w:val="16"/>
        </w:rPr>
        <w:t>meio</w:t>
      </w:r>
      <w:r>
        <w:rPr>
          <w:rFonts w:ascii="Segoe UI Symbol" w:hAnsi="Segoe UI Symbol"/>
          <w:spacing w:val="1"/>
          <w:sz w:val="16"/>
        </w:rPr>
        <w:t xml:space="preserve"> </w:t>
      </w:r>
      <w:r>
        <w:rPr>
          <w:rFonts w:ascii="Segoe UI Symbol" w:hAnsi="Segoe UI Symbol"/>
          <w:sz w:val="16"/>
        </w:rPr>
        <w:t>do</w:t>
      </w:r>
      <w:r>
        <w:rPr>
          <w:rFonts w:ascii="Segoe UI Symbol" w:hAnsi="Segoe UI Symbol"/>
          <w:spacing w:val="4"/>
          <w:sz w:val="16"/>
        </w:rPr>
        <w:t xml:space="preserve"> </w:t>
      </w:r>
      <w:r>
        <w:rPr>
          <w:rFonts w:ascii="Segoe UI Symbol" w:hAnsi="Segoe UI Symbol"/>
          <w:spacing w:val="-2"/>
          <w:sz w:val="16"/>
        </w:rPr>
        <w:t>resultado.</w:t>
      </w:r>
    </w:p>
    <w:p w14:paraId="447C660C" w14:textId="77777777" w:rsidR="002C6574" w:rsidRDefault="00000000">
      <w:pPr>
        <w:pStyle w:val="PargrafodaLista"/>
        <w:numPr>
          <w:ilvl w:val="0"/>
          <w:numId w:val="45"/>
        </w:numPr>
        <w:tabs>
          <w:tab w:val="left" w:pos="365"/>
        </w:tabs>
        <w:spacing w:line="211" w:lineRule="exact"/>
        <w:ind w:left="365" w:hanging="222"/>
        <w:rPr>
          <w:rFonts w:ascii="Segoe UI Symbol" w:hAnsi="Segoe UI Symbol"/>
          <w:sz w:val="16"/>
        </w:rPr>
      </w:pPr>
      <w:r>
        <w:rPr>
          <w:rFonts w:ascii="Segoe UI Symbol" w:hAnsi="Segoe UI Symbol"/>
          <w:sz w:val="16"/>
        </w:rPr>
        <w:t>VJORA –</w:t>
      </w:r>
      <w:r>
        <w:rPr>
          <w:rFonts w:ascii="Segoe UI Symbol" w:hAnsi="Segoe UI Symbol"/>
          <w:spacing w:val="1"/>
          <w:sz w:val="16"/>
        </w:rPr>
        <w:t xml:space="preserve"> </w:t>
      </w:r>
      <w:r>
        <w:rPr>
          <w:rFonts w:ascii="Segoe UI Symbol" w:hAnsi="Segoe UI Symbol"/>
          <w:sz w:val="16"/>
        </w:rPr>
        <w:t>Valor</w:t>
      </w:r>
      <w:r>
        <w:rPr>
          <w:rFonts w:ascii="Segoe UI Symbol" w:hAnsi="Segoe UI Symbol"/>
          <w:spacing w:val="2"/>
          <w:sz w:val="16"/>
        </w:rPr>
        <w:t xml:space="preserve"> </w:t>
      </w:r>
      <w:r>
        <w:rPr>
          <w:rFonts w:ascii="Segoe UI Symbol" w:hAnsi="Segoe UI Symbol"/>
          <w:sz w:val="16"/>
        </w:rPr>
        <w:t>justo</w:t>
      </w:r>
      <w:r>
        <w:rPr>
          <w:rFonts w:ascii="Segoe UI Symbol" w:hAnsi="Segoe UI Symbol"/>
          <w:spacing w:val="3"/>
          <w:sz w:val="16"/>
        </w:rPr>
        <w:t xml:space="preserve"> </w:t>
      </w:r>
      <w:r>
        <w:rPr>
          <w:rFonts w:ascii="Segoe UI Symbol" w:hAnsi="Segoe UI Symbol"/>
          <w:sz w:val="16"/>
        </w:rPr>
        <w:t>por</w:t>
      </w:r>
      <w:r>
        <w:rPr>
          <w:rFonts w:ascii="Segoe UI Symbol" w:hAnsi="Segoe UI Symbol"/>
          <w:spacing w:val="2"/>
          <w:sz w:val="16"/>
        </w:rPr>
        <w:t xml:space="preserve"> </w:t>
      </w:r>
      <w:r>
        <w:rPr>
          <w:rFonts w:ascii="Segoe UI Symbol" w:hAnsi="Segoe UI Symbol"/>
          <w:sz w:val="16"/>
        </w:rPr>
        <w:t>meio de</w:t>
      </w:r>
      <w:r>
        <w:rPr>
          <w:rFonts w:ascii="Segoe UI Symbol" w:hAnsi="Segoe UI Symbol"/>
          <w:spacing w:val="3"/>
          <w:sz w:val="16"/>
        </w:rPr>
        <w:t xml:space="preserve"> </w:t>
      </w:r>
      <w:r>
        <w:rPr>
          <w:rFonts w:ascii="Segoe UI Symbol" w:hAnsi="Segoe UI Symbol"/>
          <w:sz w:val="16"/>
        </w:rPr>
        <w:t>outros</w:t>
      </w:r>
      <w:r>
        <w:rPr>
          <w:rFonts w:ascii="Segoe UI Symbol" w:hAnsi="Segoe UI Symbol"/>
          <w:spacing w:val="5"/>
          <w:sz w:val="16"/>
        </w:rPr>
        <w:t xml:space="preserve"> </w:t>
      </w:r>
      <w:r>
        <w:rPr>
          <w:rFonts w:ascii="Segoe UI Symbol" w:hAnsi="Segoe UI Symbol"/>
          <w:sz w:val="16"/>
        </w:rPr>
        <w:t>resultados</w:t>
      </w:r>
      <w:r>
        <w:rPr>
          <w:rFonts w:ascii="Segoe UI Symbol" w:hAnsi="Segoe UI Symbol"/>
          <w:spacing w:val="5"/>
          <w:sz w:val="16"/>
        </w:rPr>
        <w:t xml:space="preserve"> </w:t>
      </w:r>
      <w:r>
        <w:rPr>
          <w:rFonts w:ascii="Segoe UI Symbol" w:hAnsi="Segoe UI Symbol"/>
          <w:spacing w:val="-2"/>
          <w:sz w:val="16"/>
        </w:rPr>
        <w:t>abrangentes.</w:t>
      </w:r>
    </w:p>
    <w:p w14:paraId="7363A13D" w14:textId="77777777" w:rsidR="002C6574" w:rsidRDefault="00000000">
      <w:pPr>
        <w:pStyle w:val="PargrafodaLista"/>
        <w:numPr>
          <w:ilvl w:val="0"/>
          <w:numId w:val="45"/>
        </w:numPr>
        <w:tabs>
          <w:tab w:val="left" w:pos="401"/>
        </w:tabs>
        <w:spacing w:line="212" w:lineRule="exact"/>
        <w:ind w:left="401" w:hanging="258"/>
        <w:rPr>
          <w:rFonts w:ascii="Segoe UI Symbol" w:hAnsi="Segoe UI Symbol"/>
          <w:sz w:val="16"/>
        </w:rPr>
      </w:pPr>
      <w:r>
        <w:rPr>
          <w:rFonts w:ascii="Segoe UI Symbol" w:hAnsi="Segoe UI Symbol"/>
          <w:sz w:val="16"/>
        </w:rPr>
        <w:t>Valor</w:t>
      </w:r>
      <w:r>
        <w:rPr>
          <w:rFonts w:ascii="Segoe UI Symbol" w:hAnsi="Segoe UI Symbol"/>
          <w:spacing w:val="-1"/>
          <w:sz w:val="16"/>
        </w:rPr>
        <w:t xml:space="preserve"> </w:t>
      </w:r>
      <w:r>
        <w:rPr>
          <w:rFonts w:ascii="Segoe UI Symbol" w:hAnsi="Segoe UI Symbol"/>
          <w:sz w:val="16"/>
        </w:rPr>
        <w:t>líquido</w:t>
      </w:r>
      <w:r>
        <w:rPr>
          <w:rFonts w:ascii="Segoe UI Symbol" w:hAnsi="Segoe UI Symbol"/>
          <w:spacing w:val="2"/>
          <w:sz w:val="16"/>
        </w:rPr>
        <w:t xml:space="preserve"> </w:t>
      </w:r>
      <w:r>
        <w:rPr>
          <w:rFonts w:ascii="Segoe UI Symbol" w:hAnsi="Segoe UI Symbol"/>
          <w:sz w:val="16"/>
        </w:rPr>
        <w:t>dos</w:t>
      </w:r>
      <w:r>
        <w:rPr>
          <w:rFonts w:ascii="Segoe UI Symbol" w:hAnsi="Segoe UI Symbol"/>
          <w:spacing w:val="3"/>
          <w:sz w:val="16"/>
        </w:rPr>
        <w:t xml:space="preserve"> </w:t>
      </w:r>
      <w:r>
        <w:rPr>
          <w:rFonts w:ascii="Segoe UI Symbol" w:hAnsi="Segoe UI Symbol"/>
          <w:sz w:val="16"/>
        </w:rPr>
        <w:t>Juros</w:t>
      </w:r>
      <w:r>
        <w:rPr>
          <w:rFonts w:ascii="Segoe UI Symbol" w:hAnsi="Segoe UI Symbol"/>
          <w:spacing w:val="2"/>
          <w:sz w:val="16"/>
        </w:rPr>
        <w:t xml:space="preserve"> </w:t>
      </w:r>
      <w:r>
        <w:rPr>
          <w:rFonts w:ascii="Segoe UI Symbol" w:hAnsi="Segoe UI Symbol"/>
          <w:sz w:val="16"/>
        </w:rPr>
        <w:t>a</w:t>
      </w:r>
      <w:r>
        <w:rPr>
          <w:rFonts w:ascii="Segoe UI Symbol" w:hAnsi="Segoe UI Symbol"/>
          <w:spacing w:val="1"/>
          <w:sz w:val="16"/>
        </w:rPr>
        <w:t xml:space="preserve"> </w:t>
      </w:r>
      <w:r>
        <w:rPr>
          <w:rFonts w:ascii="Segoe UI Symbol" w:hAnsi="Segoe UI Symbol"/>
          <w:sz w:val="16"/>
        </w:rPr>
        <w:t>Incorrer</w:t>
      </w:r>
      <w:r>
        <w:rPr>
          <w:rFonts w:ascii="Segoe UI Symbol" w:hAnsi="Segoe UI Symbol"/>
          <w:spacing w:val="2"/>
          <w:sz w:val="16"/>
        </w:rPr>
        <w:t xml:space="preserve"> </w:t>
      </w:r>
      <w:r>
        <w:rPr>
          <w:rFonts w:ascii="Segoe UI Symbol" w:hAnsi="Segoe UI Symbol"/>
          <w:sz w:val="16"/>
        </w:rPr>
        <w:t>no</w:t>
      </w:r>
      <w:r>
        <w:rPr>
          <w:rFonts w:ascii="Segoe UI Symbol" w:hAnsi="Segoe UI Symbol"/>
          <w:spacing w:val="4"/>
          <w:sz w:val="16"/>
        </w:rPr>
        <w:t xml:space="preserve"> </w:t>
      </w:r>
      <w:r>
        <w:rPr>
          <w:rFonts w:ascii="Segoe UI Symbol" w:hAnsi="Segoe UI Symbol"/>
          <w:sz w:val="16"/>
        </w:rPr>
        <w:t>valor</w:t>
      </w:r>
      <w:r>
        <w:rPr>
          <w:rFonts w:ascii="Segoe UI Symbol" w:hAnsi="Segoe UI Symbol"/>
          <w:spacing w:val="2"/>
          <w:sz w:val="16"/>
        </w:rPr>
        <w:t xml:space="preserve"> </w:t>
      </w:r>
      <w:r>
        <w:rPr>
          <w:rFonts w:ascii="Segoe UI Symbol" w:hAnsi="Segoe UI Symbol"/>
          <w:sz w:val="16"/>
        </w:rPr>
        <w:t>de</w:t>
      </w:r>
      <w:r>
        <w:rPr>
          <w:rFonts w:ascii="Segoe UI Symbol" w:hAnsi="Segoe UI Symbol"/>
          <w:spacing w:val="2"/>
          <w:sz w:val="16"/>
        </w:rPr>
        <w:t xml:space="preserve"> </w:t>
      </w:r>
      <w:r>
        <w:rPr>
          <w:rFonts w:ascii="Segoe UI Symbol" w:hAnsi="Segoe UI Symbol"/>
          <w:sz w:val="16"/>
        </w:rPr>
        <w:t>R$</w:t>
      </w:r>
      <w:r>
        <w:rPr>
          <w:rFonts w:ascii="Segoe UI Symbol" w:hAnsi="Segoe UI Symbol"/>
          <w:spacing w:val="4"/>
          <w:sz w:val="16"/>
        </w:rPr>
        <w:t xml:space="preserve"> </w:t>
      </w:r>
      <w:r>
        <w:rPr>
          <w:rFonts w:ascii="Segoe UI Symbol" w:hAnsi="Segoe UI Symbol"/>
          <w:spacing w:val="-2"/>
          <w:sz w:val="16"/>
        </w:rPr>
        <w:t>2.795.</w:t>
      </w:r>
    </w:p>
    <w:p w14:paraId="502D9AEB" w14:textId="77777777" w:rsidR="002C6574" w:rsidRDefault="002C6574">
      <w:pPr>
        <w:pStyle w:val="Corpodetexto"/>
        <w:spacing w:before="18"/>
        <w:rPr>
          <w:sz w:val="16"/>
        </w:rPr>
      </w:pPr>
    </w:p>
    <w:p w14:paraId="009D09A8" w14:textId="77777777" w:rsidR="002C6574" w:rsidRDefault="00000000">
      <w:pPr>
        <w:numPr>
          <w:ilvl w:val="0"/>
          <w:numId w:val="54"/>
        </w:numPr>
        <w:tabs>
          <w:tab w:val="left" w:pos="501"/>
        </w:tabs>
        <w:ind w:left="501" w:hanging="358"/>
        <w:rPr>
          <w:rFonts w:ascii="Arial"/>
          <w:b/>
        </w:rPr>
      </w:pPr>
      <w:r>
        <w:rPr>
          <w:rFonts w:ascii="Arial"/>
          <w:b/>
        </w:rPr>
        <w:t>CAIXA</w:t>
      </w:r>
      <w:r>
        <w:rPr>
          <w:rFonts w:ascii="Arial"/>
          <w:b/>
          <w:spacing w:val="-3"/>
        </w:rPr>
        <w:t xml:space="preserve"> </w:t>
      </w:r>
      <w:r>
        <w:rPr>
          <w:rFonts w:ascii="Arial"/>
          <w:b/>
        </w:rPr>
        <w:t>E</w:t>
      </w:r>
      <w:r>
        <w:rPr>
          <w:rFonts w:ascii="Arial"/>
          <w:b/>
          <w:spacing w:val="-4"/>
        </w:rPr>
        <w:t xml:space="preserve"> </w:t>
      </w:r>
      <w:r>
        <w:rPr>
          <w:rFonts w:ascii="Arial"/>
          <w:b/>
        </w:rPr>
        <w:t>EQUIVALENTES</w:t>
      </w:r>
      <w:r>
        <w:rPr>
          <w:rFonts w:ascii="Arial"/>
          <w:b/>
          <w:spacing w:val="-5"/>
        </w:rPr>
        <w:t xml:space="preserve"> </w:t>
      </w:r>
      <w:r>
        <w:rPr>
          <w:rFonts w:ascii="Arial"/>
          <w:b/>
        </w:rPr>
        <w:t>DE</w:t>
      </w:r>
      <w:r>
        <w:rPr>
          <w:rFonts w:ascii="Arial"/>
          <w:b/>
          <w:spacing w:val="-2"/>
        </w:rPr>
        <w:t xml:space="preserve"> CAIXA</w:t>
      </w:r>
    </w:p>
    <w:p w14:paraId="2388352B" w14:textId="77777777" w:rsidR="002C6574" w:rsidRDefault="002C6574">
      <w:pPr>
        <w:pStyle w:val="Corpodetexto"/>
        <w:spacing w:before="23"/>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8"/>
        <w:gridCol w:w="1524"/>
        <w:gridCol w:w="1637"/>
      </w:tblGrid>
      <w:tr w:rsidR="002C6574" w14:paraId="13591E3C" w14:textId="77777777">
        <w:trPr>
          <w:trHeight w:val="261"/>
        </w:trPr>
        <w:tc>
          <w:tcPr>
            <w:tcW w:w="6638" w:type="dxa"/>
            <w:shd w:val="clear" w:color="auto" w:fill="D8D8D8"/>
          </w:tcPr>
          <w:p w14:paraId="3B6C82DF" w14:textId="77777777" w:rsidR="002C6574" w:rsidRDefault="00000000">
            <w:pPr>
              <w:pStyle w:val="TableParagraph"/>
              <w:spacing w:before="27"/>
              <w:ind w:left="69"/>
              <w:jc w:val="left"/>
              <w:rPr>
                <w:rFonts w:ascii="Arial" w:hAnsi="Arial"/>
                <w:b/>
                <w:sz w:val="18"/>
              </w:rPr>
            </w:pPr>
            <w:r>
              <w:rPr>
                <w:rFonts w:ascii="Arial" w:hAnsi="Arial"/>
                <w:b/>
                <w:spacing w:val="-2"/>
                <w:sz w:val="18"/>
              </w:rPr>
              <w:t>Composição:</w:t>
            </w:r>
          </w:p>
        </w:tc>
        <w:tc>
          <w:tcPr>
            <w:tcW w:w="1524" w:type="dxa"/>
          </w:tcPr>
          <w:p w14:paraId="4CE57898" w14:textId="77777777" w:rsidR="002C6574" w:rsidRDefault="00000000">
            <w:pPr>
              <w:pStyle w:val="TableParagraph"/>
              <w:spacing w:before="27"/>
              <w:ind w:left="310"/>
              <w:jc w:val="left"/>
              <w:rPr>
                <w:rFonts w:ascii="Arial"/>
                <w:b/>
                <w:sz w:val="18"/>
              </w:rPr>
            </w:pPr>
            <w:r>
              <w:rPr>
                <w:rFonts w:ascii="Arial"/>
                <w:b/>
                <w:spacing w:val="-2"/>
                <w:sz w:val="18"/>
              </w:rPr>
              <w:t>31/12/2025</w:t>
            </w:r>
          </w:p>
        </w:tc>
        <w:tc>
          <w:tcPr>
            <w:tcW w:w="1637" w:type="dxa"/>
          </w:tcPr>
          <w:p w14:paraId="1A503DA2" w14:textId="77777777" w:rsidR="002C6574" w:rsidRDefault="00000000">
            <w:pPr>
              <w:pStyle w:val="TableParagraph"/>
              <w:spacing w:before="27"/>
              <w:ind w:left="366"/>
              <w:jc w:val="left"/>
              <w:rPr>
                <w:rFonts w:ascii="Arial"/>
                <w:b/>
                <w:sz w:val="18"/>
              </w:rPr>
            </w:pPr>
            <w:r>
              <w:rPr>
                <w:rFonts w:ascii="Arial"/>
                <w:b/>
                <w:spacing w:val="-2"/>
                <w:sz w:val="18"/>
              </w:rPr>
              <w:t>31/12/2024</w:t>
            </w:r>
          </w:p>
        </w:tc>
      </w:tr>
      <w:tr w:rsidR="002C6574" w14:paraId="7B17BD2E" w14:textId="77777777">
        <w:trPr>
          <w:trHeight w:val="261"/>
        </w:trPr>
        <w:tc>
          <w:tcPr>
            <w:tcW w:w="6638" w:type="dxa"/>
          </w:tcPr>
          <w:p w14:paraId="5CE9A7FB" w14:textId="77777777" w:rsidR="002C6574" w:rsidRDefault="00000000">
            <w:pPr>
              <w:pStyle w:val="TableParagraph"/>
              <w:ind w:left="69"/>
              <w:jc w:val="left"/>
              <w:rPr>
                <w:sz w:val="18"/>
              </w:rPr>
            </w:pPr>
            <w:r>
              <w:rPr>
                <w:sz w:val="18"/>
              </w:rPr>
              <w:t>Aplicações</w:t>
            </w:r>
            <w:r>
              <w:rPr>
                <w:spacing w:val="21"/>
                <w:sz w:val="18"/>
              </w:rPr>
              <w:t xml:space="preserve"> </w:t>
            </w:r>
            <w:r>
              <w:rPr>
                <w:spacing w:val="-2"/>
                <w:sz w:val="18"/>
              </w:rPr>
              <w:t>Financeiras</w:t>
            </w:r>
          </w:p>
        </w:tc>
        <w:tc>
          <w:tcPr>
            <w:tcW w:w="1524" w:type="dxa"/>
          </w:tcPr>
          <w:p w14:paraId="0ADE2D44" w14:textId="77777777" w:rsidR="002C6574" w:rsidRDefault="00000000">
            <w:pPr>
              <w:pStyle w:val="TableParagraph"/>
              <w:ind w:right="59"/>
              <w:rPr>
                <w:sz w:val="18"/>
              </w:rPr>
            </w:pPr>
            <w:r>
              <w:rPr>
                <w:spacing w:val="-2"/>
                <w:w w:val="105"/>
                <w:sz w:val="18"/>
              </w:rPr>
              <w:t>697.743</w:t>
            </w:r>
          </w:p>
        </w:tc>
        <w:tc>
          <w:tcPr>
            <w:tcW w:w="1637" w:type="dxa"/>
          </w:tcPr>
          <w:p w14:paraId="087B3E75" w14:textId="77777777" w:rsidR="002C6574" w:rsidRDefault="00000000">
            <w:pPr>
              <w:pStyle w:val="TableParagraph"/>
              <w:ind w:right="57"/>
              <w:rPr>
                <w:sz w:val="18"/>
              </w:rPr>
            </w:pPr>
            <w:r>
              <w:rPr>
                <w:spacing w:val="-2"/>
                <w:w w:val="105"/>
                <w:sz w:val="18"/>
              </w:rPr>
              <w:t>388.544</w:t>
            </w:r>
          </w:p>
        </w:tc>
      </w:tr>
      <w:tr w:rsidR="002C6574" w14:paraId="26FCA5C9" w14:textId="77777777">
        <w:trPr>
          <w:trHeight w:val="261"/>
        </w:trPr>
        <w:tc>
          <w:tcPr>
            <w:tcW w:w="6638" w:type="dxa"/>
          </w:tcPr>
          <w:p w14:paraId="58C19422" w14:textId="77777777" w:rsidR="002C6574" w:rsidRDefault="00000000">
            <w:pPr>
              <w:pStyle w:val="TableParagraph"/>
              <w:ind w:left="69"/>
              <w:jc w:val="left"/>
              <w:rPr>
                <w:sz w:val="18"/>
              </w:rPr>
            </w:pPr>
            <w:r>
              <w:rPr>
                <w:sz w:val="18"/>
              </w:rPr>
              <w:t>Caixa</w:t>
            </w:r>
            <w:r>
              <w:rPr>
                <w:spacing w:val="18"/>
                <w:sz w:val="18"/>
              </w:rPr>
              <w:t xml:space="preserve"> </w:t>
            </w:r>
            <w:r>
              <w:rPr>
                <w:sz w:val="18"/>
              </w:rPr>
              <w:t>e</w:t>
            </w:r>
            <w:r>
              <w:rPr>
                <w:spacing w:val="18"/>
                <w:sz w:val="18"/>
              </w:rPr>
              <w:t xml:space="preserve"> </w:t>
            </w:r>
            <w:r>
              <w:rPr>
                <w:sz w:val="18"/>
              </w:rPr>
              <w:t>Banco</w:t>
            </w:r>
            <w:r>
              <w:rPr>
                <w:spacing w:val="18"/>
                <w:sz w:val="18"/>
              </w:rPr>
              <w:t xml:space="preserve"> </w:t>
            </w:r>
            <w:r>
              <w:rPr>
                <w:sz w:val="18"/>
              </w:rPr>
              <w:t>Conta</w:t>
            </w:r>
            <w:r>
              <w:rPr>
                <w:spacing w:val="16"/>
                <w:sz w:val="18"/>
              </w:rPr>
              <w:t xml:space="preserve"> </w:t>
            </w:r>
            <w:r>
              <w:rPr>
                <w:spacing w:val="-2"/>
                <w:sz w:val="18"/>
              </w:rPr>
              <w:t>Movimento</w:t>
            </w:r>
          </w:p>
        </w:tc>
        <w:tc>
          <w:tcPr>
            <w:tcW w:w="1524" w:type="dxa"/>
          </w:tcPr>
          <w:p w14:paraId="155CB119" w14:textId="77777777" w:rsidR="002C6574" w:rsidRDefault="00000000">
            <w:pPr>
              <w:pStyle w:val="TableParagraph"/>
              <w:ind w:right="57"/>
              <w:rPr>
                <w:sz w:val="18"/>
              </w:rPr>
            </w:pPr>
            <w:r>
              <w:rPr>
                <w:spacing w:val="-5"/>
                <w:w w:val="105"/>
                <w:sz w:val="18"/>
              </w:rPr>
              <w:t>767</w:t>
            </w:r>
          </w:p>
        </w:tc>
        <w:tc>
          <w:tcPr>
            <w:tcW w:w="1637" w:type="dxa"/>
          </w:tcPr>
          <w:p w14:paraId="2002D045" w14:textId="77777777" w:rsidR="002C6574" w:rsidRDefault="00000000">
            <w:pPr>
              <w:pStyle w:val="TableParagraph"/>
              <w:ind w:right="55"/>
              <w:rPr>
                <w:sz w:val="18"/>
              </w:rPr>
            </w:pPr>
            <w:r>
              <w:rPr>
                <w:spacing w:val="-5"/>
                <w:w w:val="105"/>
                <w:sz w:val="18"/>
              </w:rPr>
              <w:t>775</w:t>
            </w:r>
          </w:p>
        </w:tc>
      </w:tr>
      <w:tr w:rsidR="002C6574" w14:paraId="17DA9888" w14:textId="77777777">
        <w:trPr>
          <w:trHeight w:val="261"/>
        </w:trPr>
        <w:tc>
          <w:tcPr>
            <w:tcW w:w="6638" w:type="dxa"/>
          </w:tcPr>
          <w:p w14:paraId="4570C4C5" w14:textId="77777777" w:rsidR="002C6574" w:rsidRDefault="00000000">
            <w:pPr>
              <w:pStyle w:val="TableParagraph"/>
              <w:ind w:left="69"/>
              <w:jc w:val="left"/>
              <w:rPr>
                <w:sz w:val="18"/>
              </w:rPr>
            </w:pPr>
            <w:r>
              <w:rPr>
                <w:sz w:val="18"/>
              </w:rPr>
              <w:t>Limite</w:t>
            </w:r>
            <w:r>
              <w:rPr>
                <w:spacing w:val="7"/>
                <w:sz w:val="18"/>
              </w:rPr>
              <w:t xml:space="preserve"> </w:t>
            </w:r>
            <w:r>
              <w:rPr>
                <w:sz w:val="18"/>
              </w:rPr>
              <w:t>de</w:t>
            </w:r>
            <w:r>
              <w:rPr>
                <w:spacing w:val="7"/>
                <w:sz w:val="18"/>
              </w:rPr>
              <w:t xml:space="preserve"> </w:t>
            </w:r>
            <w:r>
              <w:rPr>
                <w:sz w:val="18"/>
              </w:rPr>
              <w:t>Saque</w:t>
            </w:r>
            <w:r>
              <w:rPr>
                <w:spacing w:val="4"/>
                <w:sz w:val="18"/>
              </w:rPr>
              <w:t xml:space="preserve"> </w:t>
            </w:r>
            <w:r>
              <w:rPr>
                <w:sz w:val="18"/>
              </w:rPr>
              <w:t>com</w:t>
            </w:r>
            <w:r>
              <w:rPr>
                <w:spacing w:val="5"/>
                <w:sz w:val="18"/>
              </w:rPr>
              <w:t xml:space="preserve"> </w:t>
            </w:r>
            <w:r>
              <w:rPr>
                <w:sz w:val="18"/>
              </w:rPr>
              <w:t>Vinculação</w:t>
            </w:r>
            <w:r>
              <w:rPr>
                <w:spacing w:val="7"/>
                <w:sz w:val="18"/>
              </w:rPr>
              <w:t xml:space="preserve"> </w:t>
            </w:r>
            <w:r>
              <w:rPr>
                <w:sz w:val="18"/>
              </w:rPr>
              <w:t>de</w:t>
            </w:r>
            <w:r>
              <w:rPr>
                <w:spacing w:val="4"/>
                <w:sz w:val="18"/>
              </w:rPr>
              <w:t xml:space="preserve"> </w:t>
            </w:r>
            <w:r>
              <w:rPr>
                <w:spacing w:val="-2"/>
                <w:sz w:val="18"/>
              </w:rPr>
              <w:t>Pagamentos</w:t>
            </w:r>
          </w:p>
        </w:tc>
        <w:tc>
          <w:tcPr>
            <w:tcW w:w="1524" w:type="dxa"/>
          </w:tcPr>
          <w:p w14:paraId="12398E9D" w14:textId="77777777" w:rsidR="002C6574" w:rsidRDefault="00000000">
            <w:pPr>
              <w:pStyle w:val="TableParagraph"/>
              <w:ind w:right="61"/>
              <w:rPr>
                <w:sz w:val="18"/>
              </w:rPr>
            </w:pPr>
            <w:r>
              <w:rPr>
                <w:spacing w:val="-10"/>
                <w:w w:val="105"/>
                <w:sz w:val="18"/>
              </w:rPr>
              <w:t>4</w:t>
            </w:r>
          </w:p>
        </w:tc>
        <w:tc>
          <w:tcPr>
            <w:tcW w:w="1637" w:type="dxa"/>
          </w:tcPr>
          <w:p w14:paraId="4520D6BB" w14:textId="77777777" w:rsidR="002C6574" w:rsidRDefault="00000000">
            <w:pPr>
              <w:pStyle w:val="TableParagraph"/>
              <w:ind w:right="56"/>
              <w:rPr>
                <w:sz w:val="18"/>
              </w:rPr>
            </w:pPr>
            <w:r>
              <w:rPr>
                <w:spacing w:val="-2"/>
                <w:w w:val="105"/>
                <w:sz w:val="18"/>
              </w:rPr>
              <w:t>36.068</w:t>
            </w:r>
          </w:p>
        </w:tc>
      </w:tr>
      <w:tr w:rsidR="002C6574" w14:paraId="6B0EE384" w14:textId="77777777">
        <w:trPr>
          <w:trHeight w:val="261"/>
        </w:trPr>
        <w:tc>
          <w:tcPr>
            <w:tcW w:w="6638" w:type="dxa"/>
          </w:tcPr>
          <w:p w14:paraId="381A4FA8" w14:textId="77777777" w:rsidR="002C6574" w:rsidRDefault="00000000">
            <w:pPr>
              <w:pStyle w:val="TableParagraph"/>
              <w:spacing w:before="25"/>
              <w:ind w:left="69"/>
              <w:jc w:val="left"/>
              <w:rPr>
                <w:rFonts w:ascii="Arial"/>
                <w:b/>
                <w:sz w:val="18"/>
              </w:rPr>
            </w:pPr>
            <w:r>
              <w:rPr>
                <w:rFonts w:ascii="Arial"/>
                <w:b/>
                <w:spacing w:val="-2"/>
                <w:sz w:val="18"/>
              </w:rPr>
              <w:t>Total</w:t>
            </w:r>
          </w:p>
        </w:tc>
        <w:tc>
          <w:tcPr>
            <w:tcW w:w="1524" w:type="dxa"/>
          </w:tcPr>
          <w:p w14:paraId="646EA6FD" w14:textId="77777777" w:rsidR="002C6574" w:rsidRDefault="00000000">
            <w:pPr>
              <w:pStyle w:val="TableParagraph"/>
              <w:spacing w:before="25"/>
              <w:ind w:right="59"/>
              <w:rPr>
                <w:rFonts w:ascii="Arial"/>
                <w:b/>
                <w:sz w:val="18"/>
              </w:rPr>
            </w:pPr>
            <w:r>
              <w:rPr>
                <w:rFonts w:ascii="Arial"/>
                <w:b/>
                <w:spacing w:val="-2"/>
                <w:sz w:val="18"/>
              </w:rPr>
              <w:t>698.514</w:t>
            </w:r>
          </w:p>
        </w:tc>
        <w:tc>
          <w:tcPr>
            <w:tcW w:w="1637" w:type="dxa"/>
          </w:tcPr>
          <w:p w14:paraId="04091247" w14:textId="77777777" w:rsidR="002C6574" w:rsidRDefault="00000000">
            <w:pPr>
              <w:pStyle w:val="TableParagraph"/>
              <w:spacing w:before="25"/>
              <w:ind w:right="57"/>
              <w:rPr>
                <w:rFonts w:ascii="Arial"/>
                <w:b/>
                <w:sz w:val="18"/>
              </w:rPr>
            </w:pPr>
            <w:r>
              <w:rPr>
                <w:rFonts w:ascii="Arial"/>
                <w:b/>
                <w:spacing w:val="-2"/>
                <w:sz w:val="18"/>
              </w:rPr>
              <w:t>425.387</w:t>
            </w:r>
          </w:p>
        </w:tc>
      </w:tr>
    </w:tbl>
    <w:p w14:paraId="353B21DC" w14:textId="77777777" w:rsidR="002C6574" w:rsidRDefault="00000000">
      <w:pPr>
        <w:numPr>
          <w:ilvl w:val="1"/>
          <w:numId w:val="44"/>
        </w:numPr>
        <w:tabs>
          <w:tab w:val="left" w:pos="1004"/>
        </w:tabs>
        <w:spacing w:before="252"/>
        <w:ind w:hanging="861"/>
        <w:rPr>
          <w:rFonts w:ascii="Arial" w:hAnsi="Arial"/>
          <w:b/>
        </w:rPr>
      </w:pPr>
      <w:r>
        <w:rPr>
          <w:rFonts w:ascii="Arial" w:hAnsi="Arial"/>
          <w:b/>
        </w:rPr>
        <w:t>Limite</w:t>
      </w:r>
      <w:r>
        <w:rPr>
          <w:rFonts w:ascii="Arial" w:hAnsi="Arial"/>
          <w:b/>
          <w:spacing w:val="-5"/>
        </w:rPr>
        <w:t xml:space="preserve"> </w:t>
      </w:r>
      <w:r>
        <w:rPr>
          <w:rFonts w:ascii="Arial" w:hAnsi="Arial"/>
          <w:b/>
        </w:rPr>
        <w:t>de</w:t>
      </w:r>
      <w:r>
        <w:rPr>
          <w:rFonts w:ascii="Arial" w:hAnsi="Arial"/>
          <w:b/>
          <w:spacing w:val="-1"/>
        </w:rPr>
        <w:t xml:space="preserve"> </w:t>
      </w:r>
      <w:r>
        <w:rPr>
          <w:rFonts w:ascii="Arial" w:hAnsi="Arial"/>
          <w:b/>
        </w:rPr>
        <w:t>saque</w:t>
      </w:r>
      <w:r>
        <w:rPr>
          <w:rFonts w:ascii="Arial" w:hAnsi="Arial"/>
          <w:b/>
          <w:spacing w:val="-5"/>
        </w:rPr>
        <w:t xml:space="preserve"> </w:t>
      </w:r>
      <w:r>
        <w:rPr>
          <w:rFonts w:ascii="Arial" w:hAnsi="Arial"/>
          <w:b/>
        </w:rPr>
        <w:t>com</w:t>
      </w:r>
      <w:r>
        <w:rPr>
          <w:rFonts w:ascii="Arial" w:hAnsi="Arial"/>
          <w:b/>
          <w:spacing w:val="-1"/>
        </w:rPr>
        <w:t xml:space="preserve"> </w:t>
      </w:r>
      <w:r>
        <w:rPr>
          <w:rFonts w:ascii="Arial" w:hAnsi="Arial"/>
          <w:b/>
        </w:rPr>
        <w:t>vinculação</w:t>
      </w:r>
      <w:r>
        <w:rPr>
          <w:rFonts w:ascii="Arial" w:hAnsi="Arial"/>
          <w:b/>
          <w:spacing w:val="-1"/>
        </w:rPr>
        <w:t xml:space="preserve"> </w:t>
      </w:r>
      <w:r>
        <w:rPr>
          <w:rFonts w:ascii="Arial" w:hAnsi="Arial"/>
          <w:b/>
        </w:rPr>
        <w:t>de</w:t>
      </w:r>
      <w:r>
        <w:rPr>
          <w:rFonts w:ascii="Arial" w:hAnsi="Arial"/>
          <w:b/>
          <w:spacing w:val="-2"/>
        </w:rPr>
        <w:t xml:space="preserve"> pagamentos</w:t>
      </w:r>
    </w:p>
    <w:p w14:paraId="388EC5C5" w14:textId="77777777" w:rsidR="002C6574" w:rsidRDefault="00000000">
      <w:pPr>
        <w:pStyle w:val="Corpodetexto"/>
        <w:spacing w:before="225" w:line="237" w:lineRule="auto"/>
        <w:ind w:left="143" w:right="703"/>
        <w:jc w:val="both"/>
      </w:pPr>
      <w:r>
        <w:t>Nesta</w:t>
      </w:r>
      <w:r>
        <w:rPr>
          <w:spacing w:val="-8"/>
        </w:rPr>
        <w:t xml:space="preserve"> </w:t>
      </w:r>
      <w:r>
        <w:t>conta</w:t>
      </w:r>
      <w:r>
        <w:rPr>
          <w:spacing w:val="-12"/>
        </w:rPr>
        <w:t xml:space="preserve"> </w:t>
      </w:r>
      <w:r>
        <w:t>é</w:t>
      </w:r>
      <w:r>
        <w:rPr>
          <w:spacing w:val="-14"/>
        </w:rPr>
        <w:t xml:space="preserve"> </w:t>
      </w:r>
      <w:r>
        <w:t>registrado</w:t>
      </w:r>
      <w:r>
        <w:rPr>
          <w:spacing w:val="-14"/>
        </w:rPr>
        <w:t xml:space="preserve"> </w:t>
      </w:r>
      <w:r>
        <w:t>o</w:t>
      </w:r>
      <w:r>
        <w:rPr>
          <w:spacing w:val="-7"/>
        </w:rPr>
        <w:t xml:space="preserve"> </w:t>
      </w:r>
      <w:r>
        <w:t>valor</w:t>
      </w:r>
      <w:r>
        <w:rPr>
          <w:spacing w:val="-9"/>
        </w:rPr>
        <w:t xml:space="preserve"> </w:t>
      </w:r>
      <w:r>
        <w:t>do</w:t>
      </w:r>
      <w:r>
        <w:rPr>
          <w:spacing w:val="-8"/>
        </w:rPr>
        <w:t xml:space="preserve"> </w:t>
      </w:r>
      <w:r>
        <w:t>limite</w:t>
      </w:r>
      <w:r>
        <w:rPr>
          <w:spacing w:val="-12"/>
        </w:rPr>
        <w:t xml:space="preserve"> </w:t>
      </w:r>
      <w:r>
        <w:t>de</w:t>
      </w:r>
      <w:r>
        <w:rPr>
          <w:spacing w:val="-14"/>
        </w:rPr>
        <w:t xml:space="preserve"> </w:t>
      </w:r>
      <w:r>
        <w:t>saque</w:t>
      </w:r>
      <w:r>
        <w:rPr>
          <w:spacing w:val="-8"/>
        </w:rPr>
        <w:t xml:space="preserve"> </w:t>
      </w:r>
      <w:r>
        <w:t>da</w:t>
      </w:r>
      <w:r>
        <w:rPr>
          <w:spacing w:val="-12"/>
        </w:rPr>
        <w:t xml:space="preserve"> </w:t>
      </w:r>
      <w:r>
        <w:t>Conta</w:t>
      </w:r>
      <w:r>
        <w:rPr>
          <w:spacing w:val="-8"/>
        </w:rPr>
        <w:t xml:space="preserve"> </w:t>
      </w:r>
      <w:r>
        <w:t>Única</w:t>
      </w:r>
      <w:r>
        <w:rPr>
          <w:spacing w:val="-12"/>
        </w:rPr>
        <w:t xml:space="preserve"> </w:t>
      </w:r>
      <w:r>
        <w:t>do</w:t>
      </w:r>
      <w:r>
        <w:rPr>
          <w:spacing w:val="-12"/>
        </w:rPr>
        <w:t xml:space="preserve"> </w:t>
      </w:r>
      <w:r>
        <w:t>Tesouro</w:t>
      </w:r>
      <w:r>
        <w:rPr>
          <w:spacing w:val="-12"/>
        </w:rPr>
        <w:t xml:space="preserve"> </w:t>
      </w:r>
      <w:r>
        <w:t>Nacional,</w:t>
      </w:r>
      <w:r>
        <w:rPr>
          <w:spacing w:val="-7"/>
        </w:rPr>
        <w:t xml:space="preserve"> </w:t>
      </w:r>
      <w:r>
        <w:t>estabelecido pelo órgão central de programação financeira (Cofin) da Secretaria do Tesouro Nacional (STN), para atender às despesas com vinculações de pagamentos, sendo então divididas nas seguintes categorias: Categoria de Gasto com Pessoal e Encargos Sociais, Categoria de Gasto com Custeio/Investimento e Categoria de Gasto com Investimentos (Obras).</w:t>
      </w:r>
    </w:p>
    <w:p w14:paraId="5845F008" w14:textId="77777777" w:rsidR="002C6574" w:rsidRDefault="002C6574">
      <w:pPr>
        <w:pStyle w:val="Corpodetexto"/>
        <w:spacing w:line="237" w:lineRule="auto"/>
        <w:jc w:val="both"/>
        <w:sectPr w:rsidR="002C6574">
          <w:pgSz w:w="11910" w:h="16840"/>
          <w:pgMar w:top="1600" w:right="141" w:bottom="1380" w:left="1133" w:header="856" w:footer="1123" w:gutter="0"/>
          <w:cols w:space="720"/>
        </w:sectPr>
      </w:pPr>
    </w:p>
    <w:p w14:paraId="0E16381A" w14:textId="77777777" w:rsidR="002C6574" w:rsidRDefault="00000000">
      <w:pPr>
        <w:pStyle w:val="Corpodetexto"/>
        <w:spacing w:before="198"/>
        <w:ind w:left="143" w:right="703"/>
        <w:jc w:val="both"/>
      </w:pPr>
      <w:r>
        <w:lastRenderedPageBreak/>
        <w:t>A função da conta Limite de Saque com Vinculação de Pagamento é registrar o valor do limite de saque da Conta Única da União, estabelecido pelo Órgão Central de Programação Financeira para atender às despesas com vinculação de pagamentos que foram processadas e liquidadas, conforme processamento no Sistema Integrado de Administração Financeira do Governo Federal (Siafi).</w:t>
      </w:r>
    </w:p>
    <w:p w14:paraId="05730515" w14:textId="77777777" w:rsidR="002C6574" w:rsidRDefault="00000000">
      <w:pPr>
        <w:pStyle w:val="Corpodetexto"/>
        <w:spacing w:before="284"/>
        <w:ind w:left="143" w:right="702"/>
        <w:jc w:val="both"/>
      </w:pPr>
      <w:r>
        <w:t>A redução do saldo da rubrica é justificada pela assinatura do Contrato de Gestão, uma vez, que</w:t>
      </w:r>
      <w:r>
        <w:rPr>
          <w:spacing w:val="40"/>
        </w:rPr>
        <w:t xml:space="preserve"> </w:t>
      </w:r>
      <w:r>
        <w:t>após a assinatura do contrato a Companhia não usará o sistema SIAFI para a escrituração de sua contabilidade na versão de Contabilidade Pública.</w:t>
      </w:r>
    </w:p>
    <w:p w14:paraId="28969C9F" w14:textId="77777777" w:rsidR="002C6574" w:rsidRDefault="002C6574">
      <w:pPr>
        <w:pStyle w:val="Corpodetexto"/>
        <w:spacing w:before="24"/>
      </w:pPr>
    </w:p>
    <w:p w14:paraId="350336C3" w14:textId="77777777" w:rsidR="002C6574" w:rsidRDefault="00000000">
      <w:pPr>
        <w:numPr>
          <w:ilvl w:val="1"/>
          <w:numId w:val="44"/>
        </w:numPr>
        <w:tabs>
          <w:tab w:val="left" w:pos="1004"/>
        </w:tabs>
        <w:ind w:hanging="861"/>
        <w:rPr>
          <w:rFonts w:ascii="Arial" w:hAnsi="Arial"/>
          <w:b/>
        </w:rPr>
      </w:pPr>
      <w:r>
        <w:rPr>
          <w:rFonts w:ascii="Arial" w:hAnsi="Arial"/>
          <w:b/>
        </w:rPr>
        <w:t>Aplicações</w:t>
      </w:r>
      <w:r>
        <w:rPr>
          <w:rFonts w:ascii="Arial" w:hAnsi="Arial"/>
          <w:b/>
          <w:spacing w:val="-5"/>
        </w:rPr>
        <w:t xml:space="preserve"> </w:t>
      </w:r>
      <w:r>
        <w:rPr>
          <w:rFonts w:ascii="Arial" w:hAnsi="Arial"/>
          <w:b/>
          <w:spacing w:val="-2"/>
        </w:rPr>
        <w:t>financeiras</w:t>
      </w:r>
    </w:p>
    <w:p w14:paraId="575896C1" w14:textId="77777777" w:rsidR="002C6574" w:rsidRDefault="00000000">
      <w:pPr>
        <w:pStyle w:val="Corpodetexto"/>
        <w:spacing w:before="225" w:line="237" w:lineRule="auto"/>
        <w:ind w:left="143" w:right="702"/>
        <w:jc w:val="both"/>
      </w:pPr>
      <w:r>
        <w:t xml:space="preserve">A Companhia mantém seus recursos disponíveis aplicados em fundos de investimentos extramercado administrados pela Caixa Econômica Federal e pelo Banco do Brasil S.A, conforme determina a Resolução </w:t>
      </w:r>
      <w:r>
        <w:rPr>
          <w:sz w:val="24"/>
        </w:rPr>
        <w:t>n° 4.986 de 17 de fevereiro de 2022</w:t>
      </w:r>
      <w:r>
        <w:t>, do Banco Central do Brasil. A Resolução</w:t>
      </w:r>
      <w:r>
        <w:rPr>
          <w:spacing w:val="20"/>
        </w:rPr>
        <w:t xml:space="preserve"> </w:t>
      </w:r>
      <w:r>
        <w:t>estabelece</w:t>
      </w:r>
      <w:r>
        <w:rPr>
          <w:spacing w:val="20"/>
        </w:rPr>
        <w:t xml:space="preserve"> </w:t>
      </w:r>
      <w:r>
        <w:t>que</w:t>
      </w:r>
      <w:r>
        <w:rPr>
          <w:spacing w:val="20"/>
        </w:rPr>
        <w:t xml:space="preserve"> </w:t>
      </w:r>
      <w:r>
        <w:t>as</w:t>
      </w:r>
      <w:r>
        <w:rPr>
          <w:spacing w:val="24"/>
        </w:rPr>
        <w:t xml:space="preserve"> </w:t>
      </w:r>
      <w:r>
        <w:t>disponibilidades</w:t>
      </w:r>
      <w:r>
        <w:rPr>
          <w:spacing w:val="20"/>
        </w:rPr>
        <w:t xml:space="preserve"> </w:t>
      </w:r>
      <w:r>
        <w:t>oriundas</w:t>
      </w:r>
      <w:r>
        <w:rPr>
          <w:spacing w:val="20"/>
        </w:rPr>
        <w:t xml:space="preserve"> </w:t>
      </w:r>
      <w:r>
        <w:t>de</w:t>
      </w:r>
      <w:r>
        <w:rPr>
          <w:spacing w:val="20"/>
        </w:rPr>
        <w:t xml:space="preserve"> </w:t>
      </w:r>
      <w:r>
        <w:t>receitas</w:t>
      </w:r>
      <w:r>
        <w:rPr>
          <w:spacing w:val="20"/>
        </w:rPr>
        <w:t xml:space="preserve"> </w:t>
      </w:r>
      <w:r>
        <w:t>próprias</w:t>
      </w:r>
      <w:r>
        <w:rPr>
          <w:spacing w:val="24"/>
        </w:rPr>
        <w:t xml:space="preserve"> </w:t>
      </w:r>
      <w:r>
        <w:t>das</w:t>
      </w:r>
      <w:r>
        <w:rPr>
          <w:spacing w:val="24"/>
        </w:rPr>
        <w:t xml:space="preserve"> </w:t>
      </w:r>
      <w:r>
        <w:t>empresas</w:t>
      </w:r>
      <w:r>
        <w:rPr>
          <w:spacing w:val="20"/>
        </w:rPr>
        <w:t xml:space="preserve"> </w:t>
      </w:r>
      <w:r>
        <w:t>públicas e das sociedades de economia mista integrantes da Administração Federal Indireta sejam aplicadas nestes fundos ou por instituição integrante do conglomerado financeiro por eles liderados, constituídos com observância do disposto nesta Resolução. Os recursos estão aplicados no Banco</w:t>
      </w:r>
      <w:r>
        <w:rPr>
          <w:spacing w:val="40"/>
        </w:rPr>
        <w:t xml:space="preserve"> </w:t>
      </w:r>
      <w:r>
        <w:t xml:space="preserve">do Brasil, no fundo extramercado FAE FI RF e na Caixa Econômica Federal no fundo – CEF, Extra </w:t>
      </w:r>
      <w:r>
        <w:rPr>
          <w:spacing w:val="-2"/>
        </w:rPr>
        <w:t>Comum.</w:t>
      </w:r>
    </w:p>
    <w:p w14:paraId="7C9C41A0" w14:textId="77777777" w:rsidR="002C6574" w:rsidRDefault="00000000">
      <w:pPr>
        <w:pStyle w:val="Corpodetexto"/>
        <w:spacing w:before="196" w:line="237" w:lineRule="auto"/>
        <w:ind w:left="143" w:right="704"/>
        <w:jc w:val="both"/>
      </w:pPr>
      <w:r>
        <w:t xml:space="preserve">Os fundos possuem prazo de resgate indeterminado, dependendo das necessidades da Companhia, </w:t>
      </w:r>
      <w:r>
        <w:rPr>
          <w:w w:val="105"/>
        </w:rPr>
        <w:t>e as remunerações são atreladas aos índices IMA-B e IRFM (extramercado).</w:t>
      </w:r>
    </w:p>
    <w:p w14:paraId="118E9D53" w14:textId="77777777" w:rsidR="002C6574" w:rsidRDefault="00000000">
      <w:pPr>
        <w:pStyle w:val="Corpodetexto"/>
        <w:spacing w:before="292"/>
        <w:ind w:left="143"/>
        <w:jc w:val="both"/>
      </w:pPr>
      <w:r>
        <w:t>A</w:t>
      </w:r>
      <w:r>
        <w:rPr>
          <w:spacing w:val="7"/>
        </w:rPr>
        <w:t xml:space="preserve"> </w:t>
      </w:r>
      <w:r>
        <w:t>remuneração</w:t>
      </w:r>
      <w:r>
        <w:rPr>
          <w:spacing w:val="5"/>
        </w:rPr>
        <w:t xml:space="preserve"> </w:t>
      </w:r>
      <w:r>
        <w:t>média</w:t>
      </w:r>
      <w:r>
        <w:rPr>
          <w:spacing w:val="1"/>
        </w:rPr>
        <w:t xml:space="preserve"> </w:t>
      </w:r>
      <w:r>
        <w:t>dos</w:t>
      </w:r>
      <w:r>
        <w:rPr>
          <w:spacing w:val="9"/>
        </w:rPr>
        <w:t xml:space="preserve"> </w:t>
      </w:r>
      <w:r>
        <w:t>fundos</w:t>
      </w:r>
      <w:r>
        <w:rPr>
          <w:spacing w:val="2"/>
        </w:rPr>
        <w:t xml:space="preserve"> </w:t>
      </w:r>
      <w:r>
        <w:t>nos</w:t>
      </w:r>
      <w:r>
        <w:rPr>
          <w:spacing w:val="3"/>
        </w:rPr>
        <w:t xml:space="preserve"> </w:t>
      </w:r>
      <w:r>
        <w:t>últimos</w:t>
      </w:r>
      <w:r>
        <w:rPr>
          <w:spacing w:val="3"/>
        </w:rPr>
        <w:t xml:space="preserve"> </w:t>
      </w:r>
      <w:r>
        <w:t>12</w:t>
      </w:r>
      <w:r>
        <w:rPr>
          <w:spacing w:val="4"/>
        </w:rPr>
        <w:t xml:space="preserve"> </w:t>
      </w:r>
      <w:r>
        <w:t>(doze)</w:t>
      </w:r>
      <w:r>
        <w:rPr>
          <w:spacing w:val="5"/>
        </w:rPr>
        <w:t xml:space="preserve"> </w:t>
      </w:r>
      <w:r>
        <w:t>meses</w:t>
      </w:r>
      <w:r>
        <w:rPr>
          <w:spacing w:val="3"/>
        </w:rPr>
        <w:t xml:space="preserve"> </w:t>
      </w:r>
      <w:r>
        <w:t>foi</w:t>
      </w:r>
      <w:r>
        <w:rPr>
          <w:spacing w:val="6"/>
        </w:rPr>
        <w:t xml:space="preserve"> </w:t>
      </w:r>
      <w:r>
        <w:t>de</w:t>
      </w:r>
      <w:r>
        <w:rPr>
          <w:spacing w:val="5"/>
        </w:rPr>
        <w:t xml:space="preserve"> </w:t>
      </w:r>
      <w:r>
        <w:t>14,67%</w:t>
      </w:r>
      <w:r>
        <w:rPr>
          <w:spacing w:val="8"/>
        </w:rPr>
        <w:t xml:space="preserve"> </w:t>
      </w:r>
      <w:r>
        <w:rPr>
          <w:spacing w:val="-4"/>
        </w:rPr>
        <w:t>a.a.</w:t>
      </w:r>
    </w:p>
    <w:p w14:paraId="273638EB" w14:textId="77777777" w:rsidR="002C6574" w:rsidRDefault="00000000">
      <w:pPr>
        <w:numPr>
          <w:ilvl w:val="0"/>
          <w:numId w:val="54"/>
        </w:numPr>
        <w:tabs>
          <w:tab w:val="left" w:pos="995"/>
        </w:tabs>
        <w:spacing w:before="214"/>
        <w:ind w:left="995" w:hanging="852"/>
        <w:rPr>
          <w:rFonts w:ascii="Arial"/>
          <w:b/>
        </w:rPr>
      </w:pPr>
      <w:r>
        <w:rPr>
          <w:rFonts w:ascii="Arial"/>
          <w:b/>
        </w:rPr>
        <w:t>CONTAS</w:t>
      </w:r>
      <w:r>
        <w:rPr>
          <w:rFonts w:ascii="Arial"/>
          <w:b/>
          <w:spacing w:val="-5"/>
        </w:rPr>
        <w:t xml:space="preserve"> </w:t>
      </w:r>
      <w:r>
        <w:rPr>
          <w:rFonts w:ascii="Arial"/>
          <w:b/>
        </w:rPr>
        <w:t>A</w:t>
      </w:r>
      <w:r>
        <w:rPr>
          <w:rFonts w:ascii="Arial"/>
          <w:b/>
          <w:spacing w:val="-2"/>
        </w:rPr>
        <w:t xml:space="preserve"> </w:t>
      </w:r>
      <w:r>
        <w:rPr>
          <w:rFonts w:ascii="Arial"/>
          <w:b/>
        </w:rPr>
        <w:t>RECEBER</w:t>
      </w:r>
      <w:r>
        <w:rPr>
          <w:rFonts w:ascii="Arial"/>
          <w:b/>
          <w:spacing w:val="-2"/>
        </w:rPr>
        <w:t xml:space="preserve"> </w:t>
      </w:r>
      <w:r>
        <w:rPr>
          <w:rFonts w:ascii="Arial"/>
          <w:b/>
        </w:rPr>
        <w:t>DE</w:t>
      </w:r>
      <w:r>
        <w:rPr>
          <w:rFonts w:ascii="Arial"/>
          <w:b/>
          <w:spacing w:val="-4"/>
        </w:rPr>
        <w:t xml:space="preserve"> </w:t>
      </w:r>
      <w:r>
        <w:rPr>
          <w:rFonts w:ascii="Arial"/>
          <w:b/>
          <w:spacing w:val="-2"/>
        </w:rPr>
        <w:t>CLIENTES</w:t>
      </w:r>
    </w:p>
    <w:p w14:paraId="663258F3" w14:textId="77777777" w:rsidR="002C6574" w:rsidRDefault="002C6574">
      <w:pPr>
        <w:pStyle w:val="Corpodetexto"/>
        <w:rPr>
          <w:rFonts w:ascii="Arial"/>
          <w:b/>
          <w:sz w:val="18"/>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38"/>
        <w:gridCol w:w="1867"/>
        <w:gridCol w:w="1865"/>
      </w:tblGrid>
      <w:tr w:rsidR="002C6574" w14:paraId="0B3A5EB7" w14:textId="77777777">
        <w:trPr>
          <w:trHeight w:val="237"/>
        </w:trPr>
        <w:tc>
          <w:tcPr>
            <w:tcW w:w="6038" w:type="dxa"/>
            <w:shd w:val="clear" w:color="auto" w:fill="D8D8D8"/>
          </w:tcPr>
          <w:p w14:paraId="348B4A5B" w14:textId="77777777" w:rsidR="002C6574" w:rsidRDefault="00000000">
            <w:pPr>
              <w:pStyle w:val="TableParagraph"/>
              <w:spacing w:before="13" w:line="204" w:lineRule="exact"/>
              <w:ind w:left="69"/>
              <w:jc w:val="left"/>
              <w:rPr>
                <w:rFonts w:ascii="Arial" w:hAnsi="Arial"/>
                <w:b/>
                <w:sz w:val="18"/>
              </w:rPr>
            </w:pPr>
            <w:r>
              <w:rPr>
                <w:rFonts w:ascii="Arial" w:hAnsi="Arial"/>
                <w:b/>
                <w:spacing w:val="-2"/>
                <w:sz w:val="18"/>
              </w:rPr>
              <w:t>Composição:</w:t>
            </w:r>
          </w:p>
        </w:tc>
        <w:tc>
          <w:tcPr>
            <w:tcW w:w="1867" w:type="dxa"/>
          </w:tcPr>
          <w:p w14:paraId="5EB043FF" w14:textId="77777777" w:rsidR="002C6574" w:rsidRDefault="00000000">
            <w:pPr>
              <w:pStyle w:val="TableParagraph"/>
              <w:spacing w:before="13" w:line="204" w:lineRule="exact"/>
              <w:ind w:left="483"/>
              <w:jc w:val="left"/>
              <w:rPr>
                <w:rFonts w:ascii="Arial"/>
                <w:b/>
                <w:sz w:val="18"/>
              </w:rPr>
            </w:pPr>
            <w:r>
              <w:rPr>
                <w:rFonts w:ascii="Arial"/>
                <w:b/>
                <w:spacing w:val="-2"/>
                <w:sz w:val="18"/>
              </w:rPr>
              <w:t>31/12/2025</w:t>
            </w:r>
          </w:p>
        </w:tc>
        <w:tc>
          <w:tcPr>
            <w:tcW w:w="1865" w:type="dxa"/>
          </w:tcPr>
          <w:p w14:paraId="2B2D7DA8" w14:textId="77777777" w:rsidR="002C6574" w:rsidRDefault="00000000">
            <w:pPr>
              <w:pStyle w:val="TableParagraph"/>
              <w:spacing w:before="13" w:line="204" w:lineRule="exact"/>
              <w:ind w:left="482"/>
              <w:jc w:val="left"/>
              <w:rPr>
                <w:rFonts w:ascii="Arial"/>
                <w:b/>
                <w:sz w:val="18"/>
              </w:rPr>
            </w:pPr>
            <w:r>
              <w:rPr>
                <w:rFonts w:ascii="Arial"/>
                <w:b/>
                <w:spacing w:val="-2"/>
                <w:sz w:val="18"/>
              </w:rPr>
              <w:t>31/12/2024</w:t>
            </w:r>
          </w:p>
        </w:tc>
      </w:tr>
      <w:tr w:rsidR="002C6574" w14:paraId="338BB555" w14:textId="77777777">
        <w:trPr>
          <w:trHeight w:val="237"/>
        </w:trPr>
        <w:tc>
          <w:tcPr>
            <w:tcW w:w="6038" w:type="dxa"/>
          </w:tcPr>
          <w:p w14:paraId="59504D4C" w14:textId="77777777" w:rsidR="002C6574" w:rsidRDefault="00000000">
            <w:pPr>
              <w:pStyle w:val="TableParagraph"/>
              <w:spacing w:line="217" w:lineRule="exact"/>
              <w:ind w:left="69"/>
              <w:jc w:val="left"/>
              <w:rPr>
                <w:sz w:val="18"/>
              </w:rPr>
            </w:pPr>
            <w:r>
              <w:rPr>
                <w:sz w:val="18"/>
              </w:rPr>
              <w:t>Serviço</w:t>
            </w:r>
            <w:r>
              <w:rPr>
                <w:spacing w:val="3"/>
                <w:sz w:val="18"/>
              </w:rPr>
              <w:t xml:space="preserve"> </w:t>
            </w:r>
            <w:r>
              <w:rPr>
                <w:sz w:val="18"/>
              </w:rPr>
              <w:t>de</w:t>
            </w:r>
            <w:r>
              <w:rPr>
                <w:spacing w:val="6"/>
                <w:sz w:val="18"/>
              </w:rPr>
              <w:t xml:space="preserve"> </w:t>
            </w:r>
            <w:r>
              <w:rPr>
                <w:sz w:val="18"/>
              </w:rPr>
              <w:t>Comunicação</w:t>
            </w:r>
            <w:r>
              <w:rPr>
                <w:spacing w:val="3"/>
                <w:sz w:val="18"/>
              </w:rPr>
              <w:t xml:space="preserve"> </w:t>
            </w:r>
            <w:r>
              <w:rPr>
                <w:sz w:val="18"/>
              </w:rPr>
              <w:t>e</w:t>
            </w:r>
            <w:r>
              <w:rPr>
                <w:spacing w:val="4"/>
                <w:sz w:val="18"/>
              </w:rPr>
              <w:t xml:space="preserve"> </w:t>
            </w:r>
            <w:r>
              <w:rPr>
                <w:sz w:val="18"/>
              </w:rPr>
              <w:t>Multimídia</w:t>
            </w:r>
            <w:r>
              <w:rPr>
                <w:spacing w:val="3"/>
                <w:sz w:val="18"/>
              </w:rPr>
              <w:t xml:space="preserve"> </w:t>
            </w:r>
            <w:r>
              <w:rPr>
                <w:sz w:val="18"/>
              </w:rPr>
              <w:t>/</w:t>
            </w:r>
            <w:r>
              <w:rPr>
                <w:spacing w:val="5"/>
                <w:sz w:val="18"/>
              </w:rPr>
              <w:t xml:space="preserve"> </w:t>
            </w:r>
            <w:r>
              <w:rPr>
                <w:sz w:val="18"/>
              </w:rPr>
              <w:t>Aluguéis</w:t>
            </w:r>
            <w:r>
              <w:rPr>
                <w:spacing w:val="3"/>
                <w:sz w:val="18"/>
              </w:rPr>
              <w:t xml:space="preserve"> </w:t>
            </w:r>
            <w:r>
              <w:rPr>
                <w:sz w:val="18"/>
              </w:rPr>
              <w:t>e</w:t>
            </w:r>
            <w:r>
              <w:rPr>
                <w:spacing w:val="4"/>
                <w:sz w:val="18"/>
              </w:rPr>
              <w:t xml:space="preserve"> </w:t>
            </w:r>
            <w:r>
              <w:rPr>
                <w:sz w:val="18"/>
              </w:rPr>
              <w:t>Locações</w:t>
            </w:r>
            <w:r>
              <w:rPr>
                <w:spacing w:val="5"/>
                <w:sz w:val="18"/>
              </w:rPr>
              <w:t xml:space="preserve"> </w:t>
            </w:r>
            <w:r>
              <w:rPr>
                <w:sz w:val="18"/>
              </w:rPr>
              <w:t>e</w:t>
            </w:r>
            <w:r>
              <w:rPr>
                <w:spacing w:val="4"/>
                <w:sz w:val="18"/>
              </w:rPr>
              <w:t xml:space="preserve"> </w:t>
            </w:r>
            <w:r>
              <w:rPr>
                <w:spacing w:val="-2"/>
                <w:sz w:val="18"/>
              </w:rPr>
              <w:t>Outros</w:t>
            </w:r>
          </w:p>
        </w:tc>
        <w:tc>
          <w:tcPr>
            <w:tcW w:w="1867" w:type="dxa"/>
          </w:tcPr>
          <w:p w14:paraId="78B24D00" w14:textId="77777777" w:rsidR="002C6574" w:rsidRDefault="00000000">
            <w:pPr>
              <w:pStyle w:val="TableParagraph"/>
              <w:spacing w:line="217" w:lineRule="exact"/>
              <w:ind w:right="58"/>
              <w:rPr>
                <w:sz w:val="18"/>
              </w:rPr>
            </w:pPr>
            <w:r>
              <w:rPr>
                <w:spacing w:val="-2"/>
                <w:w w:val="105"/>
                <w:sz w:val="18"/>
              </w:rPr>
              <w:t>454.430</w:t>
            </w:r>
          </w:p>
        </w:tc>
        <w:tc>
          <w:tcPr>
            <w:tcW w:w="1865" w:type="dxa"/>
          </w:tcPr>
          <w:p w14:paraId="6B40E485" w14:textId="77777777" w:rsidR="002C6574" w:rsidRDefault="00000000">
            <w:pPr>
              <w:pStyle w:val="TableParagraph"/>
              <w:spacing w:line="217" w:lineRule="exact"/>
              <w:ind w:right="57"/>
              <w:rPr>
                <w:sz w:val="18"/>
              </w:rPr>
            </w:pPr>
            <w:r>
              <w:rPr>
                <w:spacing w:val="-2"/>
                <w:w w:val="105"/>
                <w:sz w:val="18"/>
              </w:rPr>
              <w:t>236.582</w:t>
            </w:r>
          </w:p>
        </w:tc>
      </w:tr>
      <w:tr w:rsidR="002C6574" w14:paraId="7089DF89" w14:textId="77777777">
        <w:trPr>
          <w:trHeight w:val="239"/>
        </w:trPr>
        <w:tc>
          <w:tcPr>
            <w:tcW w:w="6038" w:type="dxa"/>
          </w:tcPr>
          <w:p w14:paraId="11B850D4" w14:textId="77777777" w:rsidR="002C6574" w:rsidRDefault="00000000">
            <w:pPr>
              <w:pStyle w:val="TableParagraph"/>
              <w:spacing w:before="15" w:line="204" w:lineRule="exact"/>
              <w:ind w:left="69"/>
              <w:jc w:val="left"/>
              <w:rPr>
                <w:rFonts w:ascii="Arial"/>
                <w:b/>
                <w:sz w:val="18"/>
              </w:rPr>
            </w:pPr>
            <w:r>
              <w:rPr>
                <w:rFonts w:ascii="Arial"/>
                <w:b/>
                <w:sz w:val="18"/>
              </w:rPr>
              <w:t>Total</w:t>
            </w:r>
            <w:r>
              <w:rPr>
                <w:rFonts w:ascii="Arial"/>
                <w:b/>
                <w:spacing w:val="-3"/>
                <w:sz w:val="18"/>
              </w:rPr>
              <w:t xml:space="preserve"> </w:t>
            </w:r>
            <w:r>
              <w:rPr>
                <w:rFonts w:ascii="Arial"/>
                <w:b/>
                <w:sz w:val="18"/>
              </w:rPr>
              <w:t xml:space="preserve">a Receber </w:t>
            </w:r>
            <w:r>
              <w:rPr>
                <w:rFonts w:ascii="Arial"/>
                <w:b/>
                <w:spacing w:val="-4"/>
                <w:sz w:val="18"/>
              </w:rPr>
              <w:t>Bruto</w:t>
            </w:r>
          </w:p>
        </w:tc>
        <w:tc>
          <w:tcPr>
            <w:tcW w:w="1867" w:type="dxa"/>
          </w:tcPr>
          <w:p w14:paraId="67018B69" w14:textId="77777777" w:rsidR="002C6574" w:rsidRDefault="00000000">
            <w:pPr>
              <w:pStyle w:val="TableParagraph"/>
              <w:spacing w:before="15" w:line="204" w:lineRule="exact"/>
              <w:ind w:right="59"/>
              <w:rPr>
                <w:rFonts w:ascii="Arial"/>
                <w:b/>
                <w:sz w:val="18"/>
              </w:rPr>
            </w:pPr>
            <w:r>
              <w:rPr>
                <w:rFonts w:ascii="Arial"/>
                <w:b/>
                <w:spacing w:val="-2"/>
                <w:sz w:val="18"/>
              </w:rPr>
              <w:t>454.430</w:t>
            </w:r>
          </w:p>
        </w:tc>
        <w:tc>
          <w:tcPr>
            <w:tcW w:w="1865" w:type="dxa"/>
          </w:tcPr>
          <w:p w14:paraId="414E3667" w14:textId="77777777" w:rsidR="002C6574" w:rsidRDefault="00000000">
            <w:pPr>
              <w:pStyle w:val="TableParagraph"/>
              <w:spacing w:before="15" w:line="204" w:lineRule="exact"/>
              <w:ind w:right="57"/>
              <w:rPr>
                <w:rFonts w:ascii="Arial"/>
                <w:b/>
                <w:sz w:val="18"/>
              </w:rPr>
            </w:pPr>
            <w:r>
              <w:rPr>
                <w:rFonts w:ascii="Arial"/>
                <w:b/>
                <w:spacing w:val="-2"/>
                <w:sz w:val="18"/>
              </w:rPr>
              <w:t>236.582</w:t>
            </w:r>
          </w:p>
        </w:tc>
      </w:tr>
      <w:tr w:rsidR="002C6574" w14:paraId="79C84C68" w14:textId="77777777">
        <w:trPr>
          <w:trHeight w:val="237"/>
        </w:trPr>
        <w:tc>
          <w:tcPr>
            <w:tcW w:w="6038" w:type="dxa"/>
          </w:tcPr>
          <w:p w14:paraId="74518DF7" w14:textId="77777777" w:rsidR="002C6574" w:rsidRDefault="00000000">
            <w:pPr>
              <w:pStyle w:val="TableParagraph"/>
              <w:spacing w:line="217" w:lineRule="exact"/>
              <w:ind w:left="69"/>
              <w:jc w:val="left"/>
              <w:rPr>
                <w:sz w:val="18"/>
              </w:rPr>
            </w:pPr>
            <w:r>
              <w:rPr>
                <w:sz w:val="18"/>
              </w:rPr>
              <w:t>Perdas</w:t>
            </w:r>
            <w:r>
              <w:rPr>
                <w:spacing w:val="12"/>
                <w:sz w:val="18"/>
              </w:rPr>
              <w:t xml:space="preserve"> </w:t>
            </w:r>
            <w:r>
              <w:rPr>
                <w:sz w:val="18"/>
              </w:rPr>
              <w:t>Estimadas</w:t>
            </w:r>
            <w:r>
              <w:rPr>
                <w:spacing w:val="13"/>
                <w:sz w:val="18"/>
              </w:rPr>
              <w:t xml:space="preserve"> </w:t>
            </w:r>
            <w:r>
              <w:rPr>
                <w:sz w:val="18"/>
              </w:rPr>
              <w:t>com</w:t>
            </w:r>
            <w:r>
              <w:rPr>
                <w:spacing w:val="14"/>
                <w:sz w:val="18"/>
              </w:rPr>
              <w:t xml:space="preserve"> </w:t>
            </w:r>
            <w:r>
              <w:rPr>
                <w:sz w:val="18"/>
              </w:rPr>
              <w:t>Créditos</w:t>
            </w:r>
            <w:r>
              <w:rPr>
                <w:spacing w:val="15"/>
                <w:sz w:val="18"/>
              </w:rPr>
              <w:t xml:space="preserve"> </w:t>
            </w:r>
            <w:r>
              <w:rPr>
                <w:sz w:val="18"/>
              </w:rPr>
              <w:t>de</w:t>
            </w:r>
            <w:r>
              <w:rPr>
                <w:spacing w:val="12"/>
                <w:sz w:val="18"/>
              </w:rPr>
              <w:t xml:space="preserve"> </w:t>
            </w:r>
            <w:r>
              <w:rPr>
                <w:sz w:val="18"/>
              </w:rPr>
              <w:t>Liquidação</w:t>
            </w:r>
            <w:r>
              <w:rPr>
                <w:spacing w:val="16"/>
                <w:sz w:val="18"/>
              </w:rPr>
              <w:t xml:space="preserve"> </w:t>
            </w:r>
            <w:r>
              <w:rPr>
                <w:spacing w:val="-2"/>
                <w:sz w:val="18"/>
              </w:rPr>
              <w:t>Duvidosa</w:t>
            </w:r>
          </w:p>
        </w:tc>
        <w:tc>
          <w:tcPr>
            <w:tcW w:w="1867" w:type="dxa"/>
          </w:tcPr>
          <w:p w14:paraId="77C03F07" w14:textId="77777777" w:rsidR="002C6574" w:rsidRDefault="00000000">
            <w:pPr>
              <w:pStyle w:val="TableParagraph"/>
              <w:spacing w:line="217" w:lineRule="exact"/>
              <w:ind w:right="57"/>
              <w:rPr>
                <w:sz w:val="18"/>
              </w:rPr>
            </w:pPr>
            <w:r>
              <w:rPr>
                <w:spacing w:val="-2"/>
                <w:w w:val="110"/>
                <w:sz w:val="18"/>
              </w:rPr>
              <w:t>(6.088)</w:t>
            </w:r>
          </w:p>
        </w:tc>
        <w:tc>
          <w:tcPr>
            <w:tcW w:w="1865" w:type="dxa"/>
          </w:tcPr>
          <w:p w14:paraId="253EEAF4" w14:textId="77777777" w:rsidR="002C6574" w:rsidRDefault="00000000">
            <w:pPr>
              <w:pStyle w:val="TableParagraph"/>
              <w:spacing w:line="217" w:lineRule="exact"/>
              <w:ind w:right="56"/>
              <w:rPr>
                <w:sz w:val="18"/>
              </w:rPr>
            </w:pPr>
            <w:r>
              <w:rPr>
                <w:spacing w:val="-2"/>
                <w:w w:val="110"/>
                <w:sz w:val="18"/>
              </w:rPr>
              <w:t>(3.281)</w:t>
            </w:r>
          </w:p>
        </w:tc>
      </w:tr>
      <w:tr w:rsidR="002C6574" w14:paraId="4D1F1DF7" w14:textId="77777777">
        <w:trPr>
          <w:trHeight w:val="239"/>
        </w:trPr>
        <w:tc>
          <w:tcPr>
            <w:tcW w:w="6038" w:type="dxa"/>
          </w:tcPr>
          <w:p w14:paraId="142833B6" w14:textId="77777777" w:rsidR="002C6574" w:rsidRDefault="00000000">
            <w:pPr>
              <w:pStyle w:val="TableParagraph"/>
              <w:spacing w:before="15" w:line="204" w:lineRule="exact"/>
              <w:ind w:left="69"/>
              <w:jc w:val="left"/>
              <w:rPr>
                <w:rFonts w:ascii="Arial" w:hAnsi="Arial"/>
                <w:b/>
                <w:sz w:val="18"/>
              </w:rPr>
            </w:pPr>
            <w:r>
              <w:rPr>
                <w:rFonts w:ascii="Arial" w:hAnsi="Arial"/>
                <w:b/>
                <w:sz w:val="18"/>
              </w:rPr>
              <w:t>Total</w:t>
            </w:r>
            <w:r>
              <w:rPr>
                <w:rFonts w:ascii="Arial" w:hAnsi="Arial"/>
                <w:b/>
                <w:spacing w:val="-1"/>
                <w:sz w:val="18"/>
              </w:rPr>
              <w:t xml:space="preserve"> </w:t>
            </w:r>
            <w:r>
              <w:rPr>
                <w:rFonts w:ascii="Arial" w:hAnsi="Arial"/>
                <w:b/>
                <w:sz w:val="18"/>
              </w:rPr>
              <w:t xml:space="preserve">a Receber </w:t>
            </w:r>
            <w:r>
              <w:rPr>
                <w:rFonts w:ascii="Arial" w:hAnsi="Arial"/>
                <w:b/>
                <w:spacing w:val="-2"/>
                <w:sz w:val="18"/>
              </w:rPr>
              <w:t>Líquido</w:t>
            </w:r>
          </w:p>
        </w:tc>
        <w:tc>
          <w:tcPr>
            <w:tcW w:w="1867" w:type="dxa"/>
          </w:tcPr>
          <w:p w14:paraId="65547F64" w14:textId="77777777" w:rsidR="002C6574" w:rsidRDefault="00000000">
            <w:pPr>
              <w:pStyle w:val="TableParagraph"/>
              <w:spacing w:before="15" w:line="204" w:lineRule="exact"/>
              <w:ind w:right="58"/>
              <w:rPr>
                <w:rFonts w:ascii="Arial"/>
                <w:b/>
                <w:sz w:val="18"/>
              </w:rPr>
            </w:pPr>
            <w:r>
              <w:rPr>
                <w:rFonts w:ascii="Arial"/>
                <w:b/>
                <w:spacing w:val="-2"/>
                <w:sz w:val="18"/>
              </w:rPr>
              <w:t>448.342</w:t>
            </w:r>
          </w:p>
        </w:tc>
        <w:tc>
          <w:tcPr>
            <w:tcW w:w="1865" w:type="dxa"/>
          </w:tcPr>
          <w:p w14:paraId="75A81AF5" w14:textId="77777777" w:rsidR="002C6574" w:rsidRDefault="00000000">
            <w:pPr>
              <w:pStyle w:val="TableParagraph"/>
              <w:spacing w:before="15" w:line="204" w:lineRule="exact"/>
              <w:ind w:right="57"/>
              <w:rPr>
                <w:rFonts w:ascii="Arial"/>
                <w:b/>
                <w:sz w:val="18"/>
              </w:rPr>
            </w:pPr>
            <w:r>
              <w:rPr>
                <w:rFonts w:ascii="Arial"/>
                <w:b/>
                <w:spacing w:val="-2"/>
                <w:sz w:val="18"/>
              </w:rPr>
              <w:t>233.301</w:t>
            </w:r>
          </w:p>
        </w:tc>
      </w:tr>
    </w:tbl>
    <w:p w14:paraId="3DCD7B66" w14:textId="77777777" w:rsidR="002C6574" w:rsidRDefault="00000000">
      <w:pPr>
        <w:pStyle w:val="Corpodetexto"/>
        <w:spacing w:before="179" w:line="237" w:lineRule="auto"/>
        <w:ind w:left="143" w:right="703"/>
        <w:jc w:val="both"/>
      </w:pPr>
      <w:r>
        <w:t>A variação</w:t>
      </w:r>
      <w:r>
        <w:rPr>
          <w:spacing w:val="-2"/>
        </w:rPr>
        <w:t xml:space="preserve"> </w:t>
      </w:r>
      <w:r>
        <w:t>de</w:t>
      </w:r>
      <w:r>
        <w:rPr>
          <w:spacing w:val="-2"/>
        </w:rPr>
        <w:t xml:space="preserve"> </w:t>
      </w:r>
      <w:r>
        <w:t>92,1% no</w:t>
      </w:r>
      <w:r>
        <w:rPr>
          <w:spacing w:val="-4"/>
        </w:rPr>
        <w:t xml:space="preserve"> </w:t>
      </w:r>
      <w:r>
        <w:t>saldo de</w:t>
      </w:r>
      <w:r>
        <w:rPr>
          <w:spacing w:val="-2"/>
        </w:rPr>
        <w:t xml:space="preserve"> </w:t>
      </w:r>
      <w:r>
        <w:t>Contas a</w:t>
      </w:r>
      <w:r>
        <w:rPr>
          <w:spacing w:val="-2"/>
        </w:rPr>
        <w:t xml:space="preserve"> </w:t>
      </w:r>
      <w:r>
        <w:t>Receber Bruto entre</w:t>
      </w:r>
      <w:r>
        <w:rPr>
          <w:spacing w:val="-2"/>
        </w:rPr>
        <w:t xml:space="preserve"> </w:t>
      </w:r>
      <w:r>
        <w:t>os exercícios de 2025</w:t>
      </w:r>
      <w:r>
        <w:rPr>
          <w:spacing w:val="-2"/>
        </w:rPr>
        <w:t xml:space="preserve"> </w:t>
      </w:r>
      <w:r>
        <w:t>e 2024 decorre, principalmente, do aumento dos valores a receber de</w:t>
      </w:r>
      <w:r>
        <w:rPr>
          <w:spacing w:val="-3"/>
        </w:rPr>
        <w:t xml:space="preserve"> </w:t>
      </w:r>
      <w:r>
        <w:t>clientes governamentais, com destaque para</w:t>
      </w:r>
      <w:r>
        <w:rPr>
          <w:spacing w:val="-3"/>
        </w:rPr>
        <w:t xml:space="preserve"> </w:t>
      </w:r>
      <w:r>
        <w:t>o Ministério das Comunicações, no âmbito do Programa GESAC.</w:t>
      </w:r>
    </w:p>
    <w:p w14:paraId="0F03DCC3" w14:textId="77777777" w:rsidR="002C6574" w:rsidRDefault="002C6574">
      <w:pPr>
        <w:pStyle w:val="Corpodetexto"/>
        <w:spacing w:before="2"/>
      </w:pPr>
    </w:p>
    <w:p w14:paraId="2238DD1D" w14:textId="77777777" w:rsidR="002C6574" w:rsidRDefault="00000000">
      <w:pPr>
        <w:pStyle w:val="Corpodetexto"/>
        <w:spacing w:line="237" w:lineRule="auto"/>
        <w:ind w:left="143" w:right="705"/>
        <w:jc w:val="both"/>
      </w:pPr>
      <w:r>
        <w:t>Esse incremento está relacionado às restrições orçamentárias impostas pelo Governo Federal, que impactaram o cronograma de repasses e resultaram no atraso no pagamento das faturas emitidas pela</w:t>
      </w:r>
      <w:r>
        <w:rPr>
          <w:spacing w:val="-4"/>
        </w:rPr>
        <w:t xml:space="preserve"> </w:t>
      </w:r>
      <w:r>
        <w:t>Companhia.</w:t>
      </w:r>
      <w:r>
        <w:rPr>
          <w:spacing w:val="-3"/>
        </w:rPr>
        <w:t xml:space="preserve"> </w:t>
      </w:r>
      <w:r>
        <w:t>Como</w:t>
      </w:r>
      <w:r>
        <w:rPr>
          <w:spacing w:val="-8"/>
        </w:rPr>
        <w:t xml:space="preserve"> </w:t>
      </w:r>
      <w:r>
        <w:t>consequência,</w:t>
      </w:r>
      <w:r>
        <w:rPr>
          <w:spacing w:val="-3"/>
        </w:rPr>
        <w:t xml:space="preserve"> </w:t>
      </w:r>
      <w:r>
        <w:t>houve</w:t>
      </w:r>
      <w:r>
        <w:rPr>
          <w:spacing w:val="-3"/>
        </w:rPr>
        <w:t xml:space="preserve"> </w:t>
      </w:r>
      <w:r>
        <w:t>elevação</w:t>
      </w:r>
      <w:r>
        <w:rPr>
          <w:spacing w:val="-4"/>
        </w:rPr>
        <w:t xml:space="preserve"> </w:t>
      </w:r>
      <w:r>
        <w:t>significativa</w:t>
      </w:r>
      <w:r>
        <w:rPr>
          <w:spacing w:val="-4"/>
        </w:rPr>
        <w:t xml:space="preserve"> </w:t>
      </w:r>
      <w:r>
        <w:t>do</w:t>
      </w:r>
      <w:r>
        <w:rPr>
          <w:spacing w:val="-5"/>
        </w:rPr>
        <w:t xml:space="preserve"> </w:t>
      </w:r>
      <w:r>
        <w:t>montante</w:t>
      </w:r>
      <w:r>
        <w:rPr>
          <w:spacing w:val="-5"/>
        </w:rPr>
        <w:t xml:space="preserve"> </w:t>
      </w:r>
      <w:r>
        <w:t>registrado</w:t>
      </w:r>
      <w:r>
        <w:rPr>
          <w:spacing w:val="-3"/>
        </w:rPr>
        <w:t xml:space="preserve"> </w:t>
      </w:r>
      <w:r>
        <w:t>a</w:t>
      </w:r>
      <w:r>
        <w:rPr>
          <w:spacing w:val="-8"/>
        </w:rPr>
        <w:t xml:space="preserve"> </w:t>
      </w:r>
      <w:r>
        <w:t>receber ao final do exercício.</w:t>
      </w:r>
    </w:p>
    <w:p w14:paraId="7A8764D1" w14:textId="77777777" w:rsidR="002C6574" w:rsidRDefault="002C6574">
      <w:pPr>
        <w:pStyle w:val="Corpodetexto"/>
        <w:spacing w:before="63"/>
      </w:pPr>
    </w:p>
    <w:p w14:paraId="3733AA7A" w14:textId="77777777" w:rsidR="002C6574" w:rsidRDefault="00000000">
      <w:pPr>
        <w:numPr>
          <w:ilvl w:val="1"/>
          <w:numId w:val="43"/>
        </w:numPr>
        <w:tabs>
          <w:tab w:val="left" w:pos="995"/>
        </w:tabs>
        <w:rPr>
          <w:rFonts w:ascii="Arial"/>
          <w:b/>
        </w:rPr>
      </w:pPr>
      <w:r>
        <w:rPr>
          <w:rFonts w:ascii="Arial"/>
          <w:b/>
        </w:rPr>
        <w:t>Valores</w:t>
      </w:r>
      <w:r>
        <w:rPr>
          <w:rFonts w:ascii="Arial"/>
          <w:b/>
          <w:spacing w:val="-1"/>
        </w:rPr>
        <w:t xml:space="preserve"> </w:t>
      </w:r>
      <w:r>
        <w:rPr>
          <w:rFonts w:ascii="Arial"/>
          <w:b/>
        </w:rPr>
        <w:t>a</w:t>
      </w:r>
      <w:r>
        <w:rPr>
          <w:rFonts w:ascii="Arial"/>
          <w:b/>
          <w:spacing w:val="-5"/>
        </w:rPr>
        <w:t xml:space="preserve"> </w:t>
      </w:r>
      <w:r>
        <w:rPr>
          <w:rFonts w:ascii="Arial"/>
          <w:b/>
        </w:rPr>
        <w:t>receber por</w:t>
      </w:r>
      <w:r>
        <w:rPr>
          <w:rFonts w:ascii="Arial"/>
          <w:b/>
          <w:spacing w:val="-4"/>
        </w:rPr>
        <w:t xml:space="preserve"> </w:t>
      </w:r>
      <w:r>
        <w:rPr>
          <w:rFonts w:ascii="Arial"/>
          <w:b/>
        </w:rPr>
        <w:t>idade</w:t>
      </w:r>
      <w:r>
        <w:rPr>
          <w:rFonts w:ascii="Arial"/>
          <w:b/>
          <w:spacing w:val="-3"/>
        </w:rPr>
        <w:t xml:space="preserve"> </w:t>
      </w:r>
      <w:r>
        <w:rPr>
          <w:rFonts w:ascii="Arial"/>
          <w:b/>
        </w:rPr>
        <w:t>de</w:t>
      </w:r>
      <w:r>
        <w:rPr>
          <w:rFonts w:ascii="Arial"/>
          <w:b/>
          <w:spacing w:val="-3"/>
        </w:rPr>
        <w:t xml:space="preserve"> </w:t>
      </w:r>
      <w:r>
        <w:rPr>
          <w:rFonts w:ascii="Arial"/>
          <w:b/>
          <w:spacing w:val="-2"/>
        </w:rPr>
        <w:t>vencimento</w:t>
      </w:r>
    </w:p>
    <w:p w14:paraId="541FCA3C" w14:textId="77777777" w:rsidR="002C6574" w:rsidRDefault="00000000">
      <w:pPr>
        <w:pStyle w:val="Corpodetexto"/>
        <w:spacing w:before="126"/>
        <w:ind w:left="143" w:right="704"/>
        <w:jc w:val="both"/>
      </w:pPr>
      <w:r>
        <w:t xml:space="preserve">A composição das contas a receber por idade de vencimento é apresentada conforme quadro a </w:t>
      </w:r>
      <w:r>
        <w:rPr>
          <w:spacing w:val="-2"/>
        </w:rPr>
        <w:t>seguir:</w:t>
      </w:r>
    </w:p>
    <w:p w14:paraId="629E3750" w14:textId="77777777" w:rsidR="002C6574" w:rsidRDefault="002C6574">
      <w:pPr>
        <w:pStyle w:val="Corpodetexto"/>
        <w:jc w:val="both"/>
        <w:sectPr w:rsidR="002C6574">
          <w:pgSz w:w="11910" w:h="16840"/>
          <w:pgMar w:top="1600" w:right="141" w:bottom="1380" w:left="1133" w:header="856" w:footer="1123" w:gutter="0"/>
          <w:cols w:space="720"/>
        </w:sectPr>
      </w:pPr>
    </w:p>
    <w:p w14:paraId="6ABCD7E5" w14:textId="77777777" w:rsidR="002C6574" w:rsidRDefault="002C6574">
      <w:pPr>
        <w:pStyle w:val="Corpodetexto"/>
        <w:spacing w:before="3"/>
        <w:rPr>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38"/>
        <w:gridCol w:w="1867"/>
        <w:gridCol w:w="1865"/>
      </w:tblGrid>
      <w:tr w:rsidR="002C6574" w14:paraId="2792EACF" w14:textId="77777777">
        <w:trPr>
          <w:trHeight w:val="239"/>
        </w:trPr>
        <w:tc>
          <w:tcPr>
            <w:tcW w:w="6038" w:type="dxa"/>
            <w:shd w:val="clear" w:color="auto" w:fill="D8D8D8"/>
          </w:tcPr>
          <w:p w14:paraId="69B3523E" w14:textId="77777777" w:rsidR="002C6574" w:rsidRDefault="00000000">
            <w:pPr>
              <w:pStyle w:val="TableParagraph"/>
              <w:spacing w:before="15" w:line="204" w:lineRule="exact"/>
              <w:ind w:left="69"/>
              <w:jc w:val="left"/>
              <w:rPr>
                <w:rFonts w:ascii="Arial" w:hAnsi="Arial"/>
                <w:b/>
                <w:sz w:val="18"/>
              </w:rPr>
            </w:pPr>
            <w:r>
              <w:rPr>
                <w:rFonts w:ascii="Arial" w:hAnsi="Arial"/>
                <w:b/>
                <w:spacing w:val="-2"/>
                <w:sz w:val="18"/>
              </w:rPr>
              <w:t>Composição:</w:t>
            </w:r>
          </w:p>
        </w:tc>
        <w:tc>
          <w:tcPr>
            <w:tcW w:w="1867" w:type="dxa"/>
          </w:tcPr>
          <w:p w14:paraId="1F66FD80" w14:textId="77777777" w:rsidR="002C6574" w:rsidRDefault="00000000">
            <w:pPr>
              <w:pStyle w:val="TableParagraph"/>
              <w:spacing w:before="15" w:line="204" w:lineRule="exact"/>
              <w:ind w:left="483"/>
              <w:jc w:val="left"/>
              <w:rPr>
                <w:rFonts w:ascii="Arial"/>
                <w:b/>
                <w:sz w:val="18"/>
              </w:rPr>
            </w:pPr>
            <w:r>
              <w:rPr>
                <w:rFonts w:ascii="Arial"/>
                <w:b/>
                <w:spacing w:val="-2"/>
                <w:sz w:val="18"/>
              </w:rPr>
              <w:t>31/12/2025</w:t>
            </w:r>
          </w:p>
        </w:tc>
        <w:tc>
          <w:tcPr>
            <w:tcW w:w="1865" w:type="dxa"/>
          </w:tcPr>
          <w:p w14:paraId="4D17DD55" w14:textId="77777777" w:rsidR="002C6574" w:rsidRDefault="00000000">
            <w:pPr>
              <w:pStyle w:val="TableParagraph"/>
              <w:spacing w:before="15" w:line="204" w:lineRule="exact"/>
              <w:ind w:left="482"/>
              <w:jc w:val="left"/>
              <w:rPr>
                <w:rFonts w:ascii="Arial"/>
                <w:b/>
                <w:sz w:val="18"/>
              </w:rPr>
            </w:pPr>
            <w:r>
              <w:rPr>
                <w:rFonts w:ascii="Arial"/>
                <w:b/>
                <w:spacing w:val="-2"/>
                <w:sz w:val="18"/>
              </w:rPr>
              <w:t>31/12/2024</w:t>
            </w:r>
          </w:p>
        </w:tc>
      </w:tr>
      <w:tr w:rsidR="002C6574" w14:paraId="6F3C7E86" w14:textId="77777777">
        <w:trPr>
          <w:trHeight w:val="237"/>
        </w:trPr>
        <w:tc>
          <w:tcPr>
            <w:tcW w:w="6038" w:type="dxa"/>
          </w:tcPr>
          <w:p w14:paraId="4A46D460" w14:textId="77777777" w:rsidR="002C6574" w:rsidRDefault="00000000">
            <w:pPr>
              <w:pStyle w:val="TableParagraph"/>
              <w:spacing w:before="13" w:line="204" w:lineRule="exact"/>
              <w:ind w:left="69"/>
              <w:jc w:val="left"/>
              <w:rPr>
                <w:rFonts w:ascii="Arial" w:hAnsi="Arial"/>
                <w:b/>
                <w:sz w:val="18"/>
              </w:rPr>
            </w:pPr>
            <w:r>
              <w:rPr>
                <w:rFonts w:ascii="Arial" w:hAnsi="Arial"/>
                <w:b/>
                <w:sz w:val="18"/>
              </w:rPr>
              <w:t>A</w:t>
            </w:r>
            <w:r>
              <w:rPr>
                <w:rFonts w:ascii="Arial" w:hAnsi="Arial"/>
                <w:b/>
                <w:spacing w:val="-4"/>
                <w:sz w:val="18"/>
              </w:rPr>
              <w:t xml:space="preserve"> </w:t>
            </w:r>
            <w:r>
              <w:rPr>
                <w:rFonts w:ascii="Arial" w:hAnsi="Arial"/>
                <w:b/>
                <w:sz w:val="18"/>
              </w:rPr>
              <w:t>vencer (Faturados</w:t>
            </w:r>
            <w:r>
              <w:rPr>
                <w:rFonts w:ascii="Arial" w:hAnsi="Arial"/>
                <w:b/>
                <w:spacing w:val="-1"/>
                <w:sz w:val="18"/>
              </w:rPr>
              <w:t xml:space="preserve"> </w:t>
            </w:r>
            <w:r>
              <w:rPr>
                <w:rFonts w:ascii="Arial" w:hAnsi="Arial"/>
                <w:b/>
                <w:sz w:val="18"/>
              </w:rPr>
              <w:t>e</w:t>
            </w:r>
            <w:r>
              <w:rPr>
                <w:rFonts w:ascii="Arial" w:hAnsi="Arial"/>
                <w:b/>
                <w:spacing w:val="1"/>
                <w:sz w:val="18"/>
              </w:rPr>
              <w:t xml:space="preserve"> </w:t>
            </w:r>
            <w:r>
              <w:rPr>
                <w:rFonts w:ascii="Arial" w:hAnsi="Arial"/>
                <w:b/>
                <w:sz w:val="18"/>
              </w:rPr>
              <w:t xml:space="preserve">Não </w:t>
            </w:r>
            <w:r>
              <w:rPr>
                <w:rFonts w:ascii="Arial" w:hAnsi="Arial"/>
                <w:b/>
                <w:spacing w:val="-2"/>
                <w:sz w:val="18"/>
              </w:rPr>
              <w:t>Faturados)</w:t>
            </w:r>
          </w:p>
        </w:tc>
        <w:tc>
          <w:tcPr>
            <w:tcW w:w="1867" w:type="dxa"/>
          </w:tcPr>
          <w:p w14:paraId="1A4E442A" w14:textId="77777777" w:rsidR="002C6574" w:rsidRDefault="00000000">
            <w:pPr>
              <w:pStyle w:val="TableParagraph"/>
              <w:spacing w:before="13" w:line="204" w:lineRule="exact"/>
              <w:ind w:right="58"/>
              <w:rPr>
                <w:rFonts w:ascii="Arial"/>
                <w:b/>
                <w:sz w:val="18"/>
              </w:rPr>
            </w:pPr>
            <w:r>
              <w:rPr>
                <w:rFonts w:ascii="Arial"/>
                <w:b/>
                <w:spacing w:val="-2"/>
                <w:sz w:val="18"/>
              </w:rPr>
              <w:t>117.333</w:t>
            </w:r>
          </w:p>
        </w:tc>
        <w:tc>
          <w:tcPr>
            <w:tcW w:w="1865" w:type="dxa"/>
          </w:tcPr>
          <w:p w14:paraId="4799B834" w14:textId="77777777" w:rsidR="002C6574" w:rsidRDefault="00000000">
            <w:pPr>
              <w:pStyle w:val="TableParagraph"/>
              <w:spacing w:before="13" w:line="204" w:lineRule="exact"/>
              <w:ind w:right="57"/>
              <w:rPr>
                <w:rFonts w:ascii="Arial"/>
                <w:b/>
                <w:sz w:val="18"/>
              </w:rPr>
            </w:pPr>
            <w:r>
              <w:rPr>
                <w:rFonts w:ascii="Arial"/>
                <w:b/>
                <w:spacing w:val="-2"/>
                <w:sz w:val="18"/>
              </w:rPr>
              <w:t>100.762</w:t>
            </w:r>
          </w:p>
        </w:tc>
      </w:tr>
      <w:tr w:rsidR="002C6574" w14:paraId="3F6944E0" w14:textId="77777777">
        <w:trPr>
          <w:trHeight w:val="237"/>
        </w:trPr>
        <w:tc>
          <w:tcPr>
            <w:tcW w:w="6038" w:type="dxa"/>
          </w:tcPr>
          <w:p w14:paraId="7ECEE080" w14:textId="77777777" w:rsidR="002C6574" w:rsidRDefault="00000000">
            <w:pPr>
              <w:pStyle w:val="TableParagraph"/>
              <w:spacing w:before="15" w:line="201" w:lineRule="exact"/>
              <w:ind w:left="69"/>
              <w:jc w:val="left"/>
              <w:rPr>
                <w:rFonts w:ascii="Arial"/>
                <w:b/>
                <w:sz w:val="18"/>
              </w:rPr>
            </w:pPr>
            <w:r>
              <w:rPr>
                <w:rFonts w:ascii="Arial"/>
                <w:b/>
                <w:spacing w:val="-2"/>
                <w:sz w:val="18"/>
              </w:rPr>
              <w:t>Vencidos</w:t>
            </w:r>
          </w:p>
        </w:tc>
        <w:tc>
          <w:tcPr>
            <w:tcW w:w="1867" w:type="dxa"/>
          </w:tcPr>
          <w:p w14:paraId="61877839" w14:textId="77777777" w:rsidR="002C6574" w:rsidRDefault="00000000">
            <w:pPr>
              <w:pStyle w:val="TableParagraph"/>
              <w:spacing w:before="15" w:line="201" w:lineRule="exact"/>
              <w:ind w:right="58"/>
              <w:rPr>
                <w:rFonts w:ascii="Arial"/>
                <w:b/>
                <w:sz w:val="18"/>
              </w:rPr>
            </w:pPr>
            <w:r>
              <w:rPr>
                <w:rFonts w:ascii="Arial"/>
                <w:b/>
                <w:spacing w:val="-2"/>
                <w:sz w:val="18"/>
              </w:rPr>
              <w:t>337.097</w:t>
            </w:r>
          </w:p>
        </w:tc>
        <w:tc>
          <w:tcPr>
            <w:tcW w:w="1865" w:type="dxa"/>
          </w:tcPr>
          <w:p w14:paraId="251C07F0" w14:textId="77777777" w:rsidR="002C6574" w:rsidRDefault="00000000">
            <w:pPr>
              <w:pStyle w:val="TableParagraph"/>
              <w:spacing w:before="15" w:line="201" w:lineRule="exact"/>
              <w:ind w:right="57"/>
              <w:rPr>
                <w:rFonts w:ascii="Arial"/>
                <w:b/>
                <w:sz w:val="18"/>
              </w:rPr>
            </w:pPr>
            <w:r>
              <w:rPr>
                <w:rFonts w:ascii="Arial"/>
                <w:b/>
                <w:spacing w:val="-2"/>
                <w:sz w:val="18"/>
              </w:rPr>
              <w:t>135.820</w:t>
            </w:r>
          </w:p>
        </w:tc>
      </w:tr>
      <w:tr w:rsidR="002C6574" w14:paraId="759B4C64" w14:textId="77777777">
        <w:trPr>
          <w:trHeight w:val="239"/>
        </w:trPr>
        <w:tc>
          <w:tcPr>
            <w:tcW w:w="6038" w:type="dxa"/>
          </w:tcPr>
          <w:p w14:paraId="4484122D" w14:textId="77777777" w:rsidR="002C6574" w:rsidRDefault="00000000">
            <w:pPr>
              <w:pStyle w:val="TableParagraph"/>
              <w:spacing w:line="220" w:lineRule="exact"/>
              <w:ind w:left="69"/>
              <w:jc w:val="left"/>
              <w:rPr>
                <w:sz w:val="18"/>
              </w:rPr>
            </w:pPr>
            <w:r>
              <w:rPr>
                <w:sz w:val="18"/>
              </w:rPr>
              <w:t>Até</w:t>
            </w:r>
            <w:r>
              <w:rPr>
                <w:spacing w:val="3"/>
                <w:sz w:val="18"/>
              </w:rPr>
              <w:t xml:space="preserve"> </w:t>
            </w:r>
            <w:r>
              <w:rPr>
                <w:sz w:val="18"/>
              </w:rPr>
              <w:t>30</w:t>
            </w:r>
            <w:r>
              <w:rPr>
                <w:spacing w:val="1"/>
                <w:sz w:val="18"/>
              </w:rPr>
              <w:t xml:space="preserve"> </w:t>
            </w:r>
            <w:r>
              <w:rPr>
                <w:spacing w:val="-4"/>
                <w:sz w:val="18"/>
              </w:rPr>
              <w:t>dias</w:t>
            </w:r>
          </w:p>
        </w:tc>
        <w:tc>
          <w:tcPr>
            <w:tcW w:w="1867" w:type="dxa"/>
          </w:tcPr>
          <w:p w14:paraId="19BA2928" w14:textId="77777777" w:rsidR="002C6574" w:rsidRDefault="00000000">
            <w:pPr>
              <w:pStyle w:val="TableParagraph"/>
              <w:spacing w:line="220" w:lineRule="exact"/>
              <w:ind w:right="57"/>
              <w:rPr>
                <w:sz w:val="18"/>
              </w:rPr>
            </w:pPr>
            <w:r>
              <w:rPr>
                <w:spacing w:val="-2"/>
                <w:w w:val="105"/>
                <w:sz w:val="18"/>
              </w:rPr>
              <w:t>190.135</w:t>
            </w:r>
          </w:p>
        </w:tc>
        <w:tc>
          <w:tcPr>
            <w:tcW w:w="1865" w:type="dxa"/>
          </w:tcPr>
          <w:p w14:paraId="15C9B116" w14:textId="77777777" w:rsidR="002C6574" w:rsidRDefault="00000000">
            <w:pPr>
              <w:pStyle w:val="TableParagraph"/>
              <w:spacing w:line="220" w:lineRule="exact"/>
              <w:ind w:right="57"/>
              <w:rPr>
                <w:sz w:val="18"/>
              </w:rPr>
            </w:pPr>
            <w:r>
              <w:rPr>
                <w:spacing w:val="-2"/>
                <w:w w:val="105"/>
                <w:sz w:val="18"/>
              </w:rPr>
              <w:t>28.174</w:t>
            </w:r>
          </w:p>
        </w:tc>
      </w:tr>
      <w:tr w:rsidR="002C6574" w14:paraId="12879731" w14:textId="77777777">
        <w:trPr>
          <w:trHeight w:val="237"/>
        </w:trPr>
        <w:tc>
          <w:tcPr>
            <w:tcW w:w="6038" w:type="dxa"/>
          </w:tcPr>
          <w:p w14:paraId="61CE8965" w14:textId="77777777" w:rsidR="002C6574" w:rsidRDefault="00000000">
            <w:pPr>
              <w:pStyle w:val="TableParagraph"/>
              <w:spacing w:line="217" w:lineRule="exact"/>
              <w:ind w:left="69"/>
              <w:jc w:val="left"/>
              <w:rPr>
                <w:sz w:val="18"/>
              </w:rPr>
            </w:pPr>
            <w:r>
              <w:rPr>
                <w:w w:val="105"/>
                <w:sz w:val="18"/>
              </w:rPr>
              <w:t>31</w:t>
            </w:r>
            <w:r>
              <w:rPr>
                <w:spacing w:val="-3"/>
                <w:w w:val="105"/>
                <w:sz w:val="18"/>
              </w:rPr>
              <w:t xml:space="preserve"> </w:t>
            </w:r>
            <w:r>
              <w:rPr>
                <w:w w:val="105"/>
                <w:sz w:val="18"/>
              </w:rPr>
              <w:t>a</w:t>
            </w:r>
            <w:r>
              <w:rPr>
                <w:spacing w:val="-5"/>
                <w:w w:val="105"/>
                <w:sz w:val="18"/>
              </w:rPr>
              <w:t xml:space="preserve"> </w:t>
            </w:r>
            <w:r>
              <w:rPr>
                <w:w w:val="105"/>
                <w:sz w:val="18"/>
              </w:rPr>
              <w:t>60</w:t>
            </w:r>
            <w:r>
              <w:rPr>
                <w:spacing w:val="-4"/>
                <w:w w:val="105"/>
                <w:sz w:val="18"/>
              </w:rPr>
              <w:t xml:space="preserve"> dias</w:t>
            </w:r>
          </w:p>
        </w:tc>
        <w:tc>
          <w:tcPr>
            <w:tcW w:w="1867" w:type="dxa"/>
          </w:tcPr>
          <w:p w14:paraId="4B79C547" w14:textId="77777777" w:rsidR="002C6574" w:rsidRDefault="00000000">
            <w:pPr>
              <w:pStyle w:val="TableParagraph"/>
              <w:spacing w:line="217" w:lineRule="exact"/>
              <w:ind w:right="57"/>
              <w:rPr>
                <w:sz w:val="18"/>
              </w:rPr>
            </w:pPr>
            <w:r>
              <w:rPr>
                <w:spacing w:val="-4"/>
                <w:w w:val="110"/>
                <w:sz w:val="18"/>
              </w:rPr>
              <w:t>8.386</w:t>
            </w:r>
          </w:p>
        </w:tc>
        <w:tc>
          <w:tcPr>
            <w:tcW w:w="1865" w:type="dxa"/>
          </w:tcPr>
          <w:p w14:paraId="1992099D" w14:textId="77777777" w:rsidR="002C6574" w:rsidRDefault="00000000">
            <w:pPr>
              <w:pStyle w:val="TableParagraph"/>
              <w:spacing w:line="217" w:lineRule="exact"/>
              <w:ind w:right="57"/>
              <w:rPr>
                <w:sz w:val="18"/>
              </w:rPr>
            </w:pPr>
            <w:r>
              <w:rPr>
                <w:spacing w:val="-2"/>
                <w:w w:val="105"/>
                <w:sz w:val="18"/>
              </w:rPr>
              <w:t>14.466</w:t>
            </w:r>
          </w:p>
        </w:tc>
      </w:tr>
      <w:tr w:rsidR="002C6574" w14:paraId="6DADD61E" w14:textId="77777777">
        <w:trPr>
          <w:trHeight w:val="237"/>
        </w:trPr>
        <w:tc>
          <w:tcPr>
            <w:tcW w:w="6038" w:type="dxa"/>
          </w:tcPr>
          <w:p w14:paraId="76BFED64" w14:textId="77777777" w:rsidR="002C6574" w:rsidRDefault="00000000">
            <w:pPr>
              <w:pStyle w:val="TableParagraph"/>
              <w:spacing w:line="217" w:lineRule="exact"/>
              <w:ind w:left="69"/>
              <w:jc w:val="left"/>
              <w:rPr>
                <w:sz w:val="18"/>
              </w:rPr>
            </w:pPr>
            <w:r>
              <w:rPr>
                <w:w w:val="105"/>
                <w:sz w:val="18"/>
              </w:rPr>
              <w:t>61</w:t>
            </w:r>
            <w:r>
              <w:rPr>
                <w:spacing w:val="-3"/>
                <w:w w:val="105"/>
                <w:sz w:val="18"/>
              </w:rPr>
              <w:t xml:space="preserve"> </w:t>
            </w:r>
            <w:r>
              <w:rPr>
                <w:w w:val="105"/>
                <w:sz w:val="18"/>
              </w:rPr>
              <w:t>a</w:t>
            </w:r>
            <w:r>
              <w:rPr>
                <w:spacing w:val="-5"/>
                <w:w w:val="105"/>
                <w:sz w:val="18"/>
              </w:rPr>
              <w:t xml:space="preserve"> </w:t>
            </w:r>
            <w:r>
              <w:rPr>
                <w:w w:val="105"/>
                <w:sz w:val="18"/>
              </w:rPr>
              <w:t>90</w:t>
            </w:r>
            <w:r>
              <w:rPr>
                <w:spacing w:val="-4"/>
                <w:w w:val="105"/>
                <w:sz w:val="18"/>
              </w:rPr>
              <w:t xml:space="preserve"> dias</w:t>
            </w:r>
          </w:p>
        </w:tc>
        <w:tc>
          <w:tcPr>
            <w:tcW w:w="1867" w:type="dxa"/>
          </w:tcPr>
          <w:p w14:paraId="3C03172E" w14:textId="77777777" w:rsidR="002C6574" w:rsidRDefault="00000000">
            <w:pPr>
              <w:pStyle w:val="TableParagraph"/>
              <w:spacing w:line="217" w:lineRule="exact"/>
              <w:ind w:right="57"/>
              <w:rPr>
                <w:sz w:val="18"/>
              </w:rPr>
            </w:pPr>
            <w:r>
              <w:rPr>
                <w:spacing w:val="-2"/>
                <w:w w:val="105"/>
                <w:sz w:val="18"/>
              </w:rPr>
              <w:t>37.048</w:t>
            </w:r>
          </w:p>
        </w:tc>
        <w:tc>
          <w:tcPr>
            <w:tcW w:w="1865" w:type="dxa"/>
          </w:tcPr>
          <w:p w14:paraId="5D9D114E" w14:textId="77777777" w:rsidR="002C6574" w:rsidRDefault="00000000">
            <w:pPr>
              <w:pStyle w:val="TableParagraph"/>
              <w:spacing w:line="217" w:lineRule="exact"/>
              <w:ind w:right="57"/>
              <w:rPr>
                <w:sz w:val="18"/>
              </w:rPr>
            </w:pPr>
            <w:r>
              <w:rPr>
                <w:spacing w:val="-2"/>
                <w:w w:val="105"/>
                <w:sz w:val="18"/>
              </w:rPr>
              <w:t>26.127</w:t>
            </w:r>
          </w:p>
        </w:tc>
      </w:tr>
      <w:tr w:rsidR="002C6574" w14:paraId="63BBD2B8" w14:textId="77777777">
        <w:trPr>
          <w:trHeight w:val="239"/>
        </w:trPr>
        <w:tc>
          <w:tcPr>
            <w:tcW w:w="6038" w:type="dxa"/>
          </w:tcPr>
          <w:p w14:paraId="40FC359C" w14:textId="77777777" w:rsidR="002C6574" w:rsidRDefault="00000000">
            <w:pPr>
              <w:pStyle w:val="TableParagraph"/>
              <w:spacing w:line="220" w:lineRule="exact"/>
              <w:ind w:left="69"/>
              <w:jc w:val="left"/>
              <w:rPr>
                <w:sz w:val="18"/>
              </w:rPr>
            </w:pPr>
            <w:r>
              <w:rPr>
                <w:w w:val="105"/>
                <w:sz w:val="18"/>
              </w:rPr>
              <w:t>91</w:t>
            </w:r>
            <w:r>
              <w:rPr>
                <w:spacing w:val="-4"/>
                <w:w w:val="105"/>
                <w:sz w:val="18"/>
              </w:rPr>
              <w:t xml:space="preserve"> </w:t>
            </w:r>
            <w:r>
              <w:rPr>
                <w:w w:val="105"/>
                <w:sz w:val="18"/>
              </w:rPr>
              <w:t>a</w:t>
            </w:r>
            <w:r>
              <w:rPr>
                <w:spacing w:val="-5"/>
                <w:w w:val="105"/>
                <w:sz w:val="18"/>
              </w:rPr>
              <w:t xml:space="preserve"> </w:t>
            </w:r>
            <w:r>
              <w:rPr>
                <w:w w:val="105"/>
                <w:sz w:val="18"/>
              </w:rPr>
              <w:t>120</w:t>
            </w:r>
            <w:r>
              <w:rPr>
                <w:spacing w:val="-3"/>
                <w:w w:val="105"/>
                <w:sz w:val="18"/>
              </w:rPr>
              <w:t xml:space="preserve"> </w:t>
            </w:r>
            <w:r>
              <w:rPr>
                <w:spacing w:val="-4"/>
                <w:w w:val="105"/>
                <w:sz w:val="18"/>
              </w:rPr>
              <w:t>dias</w:t>
            </w:r>
          </w:p>
        </w:tc>
        <w:tc>
          <w:tcPr>
            <w:tcW w:w="1867" w:type="dxa"/>
          </w:tcPr>
          <w:p w14:paraId="26A16D20" w14:textId="77777777" w:rsidR="002C6574" w:rsidRDefault="00000000">
            <w:pPr>
              <w:pStyle w:val="TableParagraph"/>
              <w:spacing w:line="220" w:lineRule="exact"/>
              <w:ind w:right="57"/>
              <w:rPr>
                <w:sz w:val="18"/>
              </w:rPr>
            </w:pPr>
            <w:r>
              <w:rPr>
                <w:spacing w:val="-4"/>
                <w:w w:val="110"/>
                <w:sz w:val="18"/>
              </w:rPr>
              <w:t>6.742</w:t>
            </w:r>
          </w:p>
        </w:tc>
        <w:tc>
          <w:tcPr>
            <w:tcW w:w="1865" w:type="dxa"/>
          </w:tcPr>
          <w:p w14:paraId="19E43B18" w14:textId="77777777" w:rsidR="002C6574" w:rsidRDefault="00000000">
            <w:pPr>
              <w:pStyle w:val="TableParagraph"/>
              <w:spacing w:line="220" w:lineRule="exact"/>
              <w:ind w:right="58"/>
              <w:rPr>
                <w:sz w:val="18"/>
              </w:rPr>
            </w:pPr>
            <w:r>
              <w:rPr>
                <w:spacing w:val="-4"/>
                <w:w w:val="110"/>
                <w:sz w:val="18"/>
              </w:rPr>
              <w:t>3.041</w:t>
            </w:r>
          </w:p>
        </w:tc>
      </w:tr>
      <w:tr w:rsidR="002C6574" w14:paraId="65716A61" w14:textId="77777777">
        <w:trPr>
          <w:trHeight w:val="237"/>
        </w:trPr>
        <w:tc>
          <w:tcPr>
            <w:tcW w:w="6038" w:type="dxa"/>
          </w:tcPr>
          <w:p w14:paraId="378FD63A" w14:textId="77777777" w:rsidR="002C6574" w:rsidRDefault="00000000">
            <w:pPr>
              <w:pStyle w:val="TableParagraph"/>
              <w:spacing w:line="217" w:lineRule="exact"/>
              <w:ind w:left="69"/>
              <w:jc w:val="left"/>
              <w:rPr>
                <w:sz w:val="18"/>
              </w:rPr>
            </w:pPr>
            <w:r>
              <w:rPr>
                <w:w w:val="105"/>
                <w:sz w:val="18"/>
              </w:rPr>
              <w:t>121</w:t>
            </w:r>
            <w:r>
              <w:rPr>
                <w:spacing w:val="-3"/>
                <w:w w:val="105"/>
                <w:sz w:val="18"/>
              </w:rPr>
              <w:t xml:space="preserve"> </w:t>
            </w:r>
            <w:r>
              <w:rPr>
                <w:w w:val="105"/>
                <w:sz w:val="18"/>
              </w:rPr>
              <w:t>a</w:t>
            </w:r>
            <w:r>
              <w:rPr>
                <w:spacing w:val="-6"/>
                <w:w w:val="105"/>
                <w:sz w:val="18"/>
              </w:rPr>
              <w:t xml:space="preserve"> </w:t>
            </w:r>
            <w:r>
              <w:rPr>
                <w:w w:val="105"/>
                <w:sz w:val="18"/>
              </w:rPr>
              <w:t>150</w:t>
            </w:r>
            <w:r>
              <w:rPr>
                <w:spacing w:val="-6"/>
                <w:w w:val="105"/>
                <w:sz w:val="18"/>
              </w:rPr>
              <w:t xml:space="preserve"> </w:t>
            </w:r>
            <w:r>
              <w:rPr>
                <w:spacing w:val="-4"/>
                <w:w w:val="105"/>
                <w:sz w:val="18"/>
              </w:rPr>
              <w:t>dias</w:t>
            </w:r>
          </w:p>
        </w:tc>
        <w:tc>
          <w:tcPr>
            <w:tcW w:w="1867" w:type="dxa"/>
          </w:tcPr>
          <w:p w14:paraId="241A52CD" w14:textId="77777777" w:rsidR="002C6574" w:rsidRDefault="00000000">
            <w:pPr>
              <w:pStyle w:val="TableParagraph"/>
              <w:spacing w:line="217" w:lineRule="exact"/>
              <w:ind w:right="57"/>
              <w:rPr>
                <w:sz w:val="18"/>
              </w:rPr>
            </w:pPr>
            <w:r>
              <w:rPr>
                <w:spacing w:val="-2"/>
                <w:w w:val="105"/>
                <w:sz w:val="18"/>
              </w:rPr>
              <w:t>23.608</w:t>
            </w:r>
          </w:p>
        </w:tc>
        <w:tc>
          <w:tcPr>
            <w:tcW w:w="1865" w:type="dxa"/>
          </w:tcPr>
          <w:p w14:paraId="20E7533F" w14:textId="77777777" w:rsidR="002C6574" w:rsidRDefault="00000000">
            <w:pPr>
              <w:pStyle w:val="TableParagraph"/>
              <w:spacing w:line="217" w:lineRule="exact"/>
              <w:ind w:right="57"/>
              <w:rPr>
                <w:sz w:val="18"/>
              </w:rPr>
            </w:pPr>
            <w:r>
              <w:rPr>
                <w:spacing w:val="-2"/>
                <w:w w:val="105"/>
                <w:sz w:val="18"/>
              </w:rPr>
              <w:t>32.072</w:t>
            </w:r>
          </w:p>
        </w:tc>
      </w:tr>
      <w:tr w:rsidR="002C6574" w14:paraId="11618B65" w14:textId="77777777">
        <w:trPr>
          <w:trHeight w:val="237"/>
        </w:trPr>
        <w:tc>
          <w:tcPr>
            <w:tcW w:w="6038" w:type="dxa"/>
          </w:tcPr>
          <w:p w14:paraId="4B0B0AEA" w14:textId="77777777" w:rsidR="002C6574" w:rsidRDefault="00000000">
            <w:pPr>
              <w:pStyle w:val="TableParagraph"/>
              <w:spacing w:line="217" w:lineRule="exact"/>
              <w:ind w:left="69"/>
              <w:jc w:val="left"/>
              <w:rPr>
                <w:sz w:val="18"/>
              </w:rPr>
            </w:pPr>
            <w:r>
              <w:rPr>
                <w:w w:val="105"/>
                <w:sz w:val="18"/>
              </w:rPr>
              <w:t>151</w:t>
            </w:r>
            <w:r>
              <w:rPr>
                <w:spacing w:val="-3"/>
                <w:w w:val="105"/>
                <w:sz w:val="18"/>
              </w:rPr>
              <w:t xml:space="preserve"> </w:t>
            </w:r>
            <w:r>
              <w:rPr>
                <w:w w:val="105"/>
                <w:sz w:val="18"/>
              </w:rPr>
              <w:t>a</w:t>
            </w:r>
            <w:r>
              <w:rPr>
                <w:spacing w:val="-6"/>
                <w:w w:val="105"/>
                <w:sz w:val="18"/>
              </w:rPr>
              <w:t xml:space="preserve"> </w:t>
            </w:r>
            <w:r>
              <w:rPr>
                <w:w w:val="105"/>
                <w:sz w:val="18"/>
              </w:rPr>
              <w:t>180</w:t>
            </w:r>
            <w:r>
              <w:rPr>
                <w:spacing w:val="-6"/>
                <w:w w:val="105"/>
                <w:sz w:val="18"/>
              </w:rPr>
              <w:t xml:space="preserve"> </w:t>
            </w:r>
            <w:r>
              <w:rPr>
                <w:spacing w:val="-4"/>
                <w:w w:val="105"/>
                <w:sz w:val="18"/>
              </w:rPr>
              <w:t>dias</w:t>
            </w:r>
          </w:p>
        </w:tc>
        <w:tc>
          <w:tcPr>
            <w:tcW w:w="1867" w:type="dxa"/>
          </w:tcPr>
          <w:p w14:paraId="01AEA0A2" w14:textId="77777777" w:rsidR="002C6574" w:rsidRDefault="00000000">
            <w:pPr>
              <w:pStyle w:val="TableParagraph"/>
              <w:spacing w:line="217" w:lineRule="exact"/>
              <w:ind w:right="57"/>
              <w:rPr>
                <w:sz w:val="18"/>
              </w:rPr>
            </w:pPr>
            <w:r>
              <w:rPr>
                <w:spacing w:val="-2"/>
                <w:w w:val="110"/>
                <w:sz w:val="18"/>
              </w:rPr>
              <w:t>7.310</w:t>
            </w:r>
          </w:p>
        </w:tc>
        <w:tc>
          <w:tcPr>
            <w:tcW w:w="1865" w:type="dxa"/>
          </w:tcPr>
          <w:p w14:paraId="2355105D" w14:textId="77777777" w:rsidR="002C6574" w:rsidRDefault="00000000">
            <w:pPr>
              <w:pStyle w:val="TableParagraph"/>
              <w:spacing w:line="217" w:lineRule="exact"/>
              <w:ind w:right="57"/>
              <w:rPr>
                <w:sz w:val="18"/>
              </w:rPr>
            </w:pPr>
            <w:r>
              <w:rPr>
                <w:spacing w:val="-2"/>
                <w:w w:val="105"/>
                <w:sz w:val="18"/>
              </w:rPr>
              <w:t>14.278</w:t>
            </w:r>
          </w:p>
        </w:tc>
      </w:tr>
      <w:tr w:rsidR="002C6574" w14:paraId="22F6708A" w14:textId="77777777">
        <w:trPr>
          <w:trHeight w:val="239"/>
        </w:trPr>
        <w:tc>
          <w:tcPr>
            <w:tcW w:w="6038" w:type="dxa"/>
          </w:tcPr>
          <w:p w14:paraId="662D505F" w14:textId="77777777" w:rsidR="002C6574" w:rsidRDefault="00000000">
            <w:pPr>
              <w:pStyle w:val="TableParagraph"/>
              <w:spacing w:line="220" w:lineRule="exact"/>
              <w:ind w:left="69"/>
              <w:jc w:val="left"/>
              <w:rPr>
                <w:sz w:val="18"/>
              </w:rPr>
            </w:pPr>
            <w:r>
              <w:rPr>
                <w:sz w:val="18"/>
              </w:rPr>
              <w:t>Acima</w:t>
            </w:r>
            <w:r>
              <w:rPr>
                <w:spacing w:val="6"/>
                <w:sz w:val="18"/>
              </w:rPr>
              <w:t xml:space="preserve"> </w:t>
            </w:r>
            <w:r>
              <w:rPr>
                <w:sz w:val="18"/>
              </w:rPr>
              <w:t>de</w:t>
            </w:r>
            <w:r>
              <w:rPr>
                <w:spacing w:val="4"/>
                <w:sz w:val="18"/>
              </w:rPr>
              <w:t xml:space="preserve"> </w:t>
            </w:r>
            <w:r>
              <w:rPr>
                <w:sz w:val="18"/>
              </w:rPr>
              <w:t>180</w:t>
            </w:r>
            <w:r>
              <w:rPr>
                <w:spacing w:val="6"/>
                <w:sz w:val="18"/>
              </w:rPr>
              <w:t xml:space="preserve"> </w:t>
            </w:r>
            <w:r>
              <w:rPr>
                <w:spacing w:val="-4"/>
                <w:sz w:val="18"/>
              </w:rPr>
              <w:t>dias</w:t>
            </w:r>
          </w:p>
        </w:tc>
        <w:tc>
          <w:tcPr>
            <w:tcW w:w="1867" w:type="dxa"/>
          </w:tcPr>
          <w:p w14:paraId="73712C91" w14:textId="77777777" w:rsidR="002C6574" w:rsidRDefault="00000000">
            <w:pPr>
              <w:pStyle w:val="TableParagraph"/>
              <w:spacing w:line="220" w:lineRule="exact"/>
              <w:ind w:right="57"/>
              <w:rPr>
                <w:sz w:val="18"/>
              </w:rPr>
            </w:pPr>
            <w:r>
              <w:rPr>
                <w:spacing w:val="-2"/>
                <w:w w:val="105"/>
                <w:sz w:val="18"/>
              </w:rPr>
              <w:t>63.868</w:t>
            </w:r>
          </w:p>
        </w:tc>
        <w:tc>
          <w:tcPr>
            <w:tcW w:w="1865" w:type="dxa"/>
          </w:tcPr>
          <w:p w14:paraId="57C7B1A2" w14:textId="77777777" w:rsidR="002C6574" w:rsidRDefault="00000000">
            <w:pPr>
              <w:pStyle w:val="TableParagraph"/>
              <w:spacing w:line="220" w:lineRule="exact"/>
              <w:ind w:right="57"/>
              <w:rPr>
                <w:sz w:val="18"/>
              </w:rPr>
            </w:pPr>
            <w:r>
              <w:rPr>
                <w:spacing w:val="-2"/>
                <w:w w:val="105"/>
                <w:sz w:val="18"/>
              </w:rPr>
              <w:t>17.662</w:t>
            </w:r>
          </w:p>
        </w:tc>
      </w:tr>
      <w:tr w:rsidR="002C6574" w14:paraId="74260B38" w14:textId="77777777">
        <w:trPr>
          <w:trHeight w:val="237"/>
        </w:trPr>
        <w:tc>
          <w:tcPr>
            <w:tcW w:w="6038" w:type="dxa"/>
          </w:tcPr>
          <w:p w14:paraId="63482C0E" w14:textId="77777777" w:rsidR="002C6574" w:rsidRDefault="00000000">
            <w:pPr>
              <w:pStyle w:val="TableParagraph"/>
              <w:spacing w:before="13" w:line="204" w:lineRule="exact"/>
              <w:ind w:left="69"/>
              <w:jc w:val="left"/>
              <w:rPr>
                <w:rFonts w:ascii="Arial" w:hAnsi="Arial"/>
                <w:b/>
                <w:sz w:val="18"/>
              </w:rPr>
            </w:pPr>
            <w:r>
              <w:rPr>
                <w:rFonts w:ascii="Arial" w:hAnsi="Arial"/>
                <w:b/>
                <w:sz w:val="18"/>
              </w:rPr>
              <w:t>Contas</w:t>
            </w:r>
            <w:r>
              <w:rPr>
                <w:rFonts w:ascii="Arial" w:hAnsi="Arial"/>
                <w:b/>
                <w:spacing w:val="-3"/>
                <w:sz w:val="18"/>
              </w:rPr>
              <w:t xml:space="preserve"> </w:t>
            </w:r>
            <w:r>
              <w:rPr>
                <w:rFonts w:ascii="Arial" w:hAnsi="Arial"/>
                <w:b/>
                <w:sz w:val="18"/>
              </w:rPr>
              <w:t>a</w:t>
            </w:r>
            <w:r>
              <w:rPr>
                <w:rFonts w:ascii="Arial" w:hAnsi="Arial"/>
                <w:b/>
                <w:spacing w:val="1"/>
                <w:sz w:val="18"/>
              </w:rPr>
              <w:t xml:space="preserve"> </w:t>
            </w:r>
            <w:r>
              <w:rPr>
                <w:rFonts w:ascii="Arial" w:hAnsi="Arial"/>
                <w:b/>
                <w:sz w:val="18"/>
              </w:rPr>
              <w:t>Receber</w:t>
            </w:r>
            <w:r>
              <w:rPr>
                <w:rFonts w:ascii="Arial" w:hAnsi="Arial"/>
                <w:b/>
                <w:spacing w:val="-1"/>
                <w:sz w:val="18"/>
              </w:rPr>
              <w:t xml:space="preserve"> </w:t>
            </w:r>
            <w:r>
              <w:rPr>
                <w:rFonts w:ascii="Arial" w:hAnsi="Arial"/>
                <w:b/>
                <w:sz w:val="18"/>
              </w:rPr>
              <w:t>–</w:t>
            </w:r>
            <w:r>
              <w:rPr>
                <w:rFonts w:ascii="Arial" w:hAnsi="Arial"/>
                <w:b/>
                <w:spacing w:val="2"/>
                <w:sz w:val="18"/>
              </w:rPr>
              <w:t xml:space="preserve"> </w:t>
            </w:r>
            <w:r>
              <w:rPr>
                <w:rFonts w:ascii="Arial" w:hAnsi="Arial"/>
                <w:b/>
                <w:spacing w:val="-4"/>
                <w:sz w:val="18"/>
              </w:rPr>
              <w:t>Bruto</w:t>
            </w:r>
          </w:p>
        </w:tc>
        <w:tc>
          <w:tcPr>
            <w:tcW w:w="1867" w:type="dxa"/>
          </w:tcPr>
          <w:p w14:paraId="62CF11B1" w14:textId="77777777" w:rsidR="002C6574" w:rsidRDefault="00000000">
            <w:pPr>
              <w:pStyle w:val="TableParagraph"/>
              <w:spacing w:before="13" w:line="204" w:lineRule="exact"/>
              <w:ind w:right="59"/>
              <w:rPr>
                <w:rFonts w:ascii="Arial"/>
                <w:b/>
                <w:sz w:val="18"/>
              </w:rPr>
            </w:pPr>
            <w:r>
              <w:rPr>
                <w:rFonts w:ascii="Arial"/>
                <w:b/>
                <w:spacing w:val="-2"/>
                <w:sz w:val="18"/>
              </w:rPr>
              <w:t>454.430</w:t>
            </w:r>
          </w:p>
        </w:tc>
        <w:tc>
          <w:tcPr>
            <w:tcW w:w="1865" w:type="dxa"/>
          </w:tcPr>
          <w:p w14:paraId="3CE68FC3" w14:textId="77777777" w:rsidR="002C6574" w:rsidRDefault="00000000">
            <w:pPr>
              <w:pStyle w:val="TableParagraph"/>
              <w:spacing w:before="13" w:line="204" w:lineRule="exact"/>
              <w:ind w:right="57"/>
              <w:rPr>
                <w:rFonts w:ascii="Arial"/>
                <w:b/>
                <w:sz w:val="18"/>
              </w:rPr>
            </w:pPr>
            <w:r>
              <w:rPr>
                <w:rFonts w:ascii="Arial"/>
                <w:b/>
                <w:spacing w:val="-2"/>
                <w:sz w:val="18"/>
              </w:rPr>
              <w:t>236.582</w:t>
            </w:r>
          </w:p>
        </w:tc>
      </w:tr>
      <w:tr w:rsidR="002C6574" w14:paraId="06E914EF" w14:textId="77777777">
        <w:trPr>
          <w:trHeight w:val="237"/>
        </w:trPr>
        <w:tc>
          <w:tcPr>
            <w:tcW w:w="6038" w:type="dxa"/>
          </w:tcPr>
          <w:p w14:paraId="72896C4F" w14:textId="77777777" w:rsidR="002C6574" w:rsidRDefault="00000000">
            <w:pPr>
              <w:pStyle w:val="TableParagraph"/>
              <w:spacing w:before="15" w:line="201" w:lineRule="exact"/>
              <w:ind w:left="69"/>
              <w:jc w:val="left"/>
              <w:rPr>
                <w:rFonts w:ascii="Arial" w:hAnsi="Arial"/>
                <w:b/>
                <w:sz w:val="18"/>
              </w:rPr>
            </w:pPr>
            <w:r>
              <w:rPr>
                <w:rFonts w:ascii="Arial" w:hAnsi="Arial"/>
                <w:b/>
                <w:sz w:val="18"/>
              </w:rPr>
              <w:t>Perdas Estimadas</w:t>
            </w:r>
            <w:r>
              <w:rPr>
                <w:rFonts w:ascii="Arial" w:hAnsi="Arial"/>
                <w:b/>
                <w:spacing w:val="-1"/>
                <w:sz w:val="18"/>
              </w:rPr>
              <w:t xml:space="preserve"> </w:t>
            </w:r>
            <w:r>
              <w:rPr>
                <w:rFonts w:ascii="Arial" w:hAnsi="Arial"/>
                <w:b/>
                <w:sz w:val="18"/>
              </w:rPr>
              <w:t>com</w:t>
            </w:r>
            <w:r>
              <w:rPr>
                <w:rFonts w:ascii="Arial" w:hAnsi="Arial"/>
                <w:b/>
                <w:spacing w:val="-1"/>
                <w:sz w:val="18"/>
              </w:rPr>
              <w:t xml:space="preserve"> </w:t>
            </w:r>
            <w:r>
              <w:rPr>
                <w:rFonts w:ascii="Arial" w:hAnsi="Arial"/>
                <w:b/>
                <w:sz w:val="18"/>
              </w:rPr>
              <w:t>Créditos</w:t>
            </w:r>
            <w:r>
              <w:rPr>
                <w:rFonts w:ascii="Arial" w:hAnsi="Arial"/>
                <w:b/>
                <w:spacing w:val="-1"/>
                <w:sz w:val="18"/>
              </w:rPr>
              <w:t xml:space="preserve"> </w:t>
            </w:r>
            <w:r>
              <w:rPr>
                <w:rFonts w:ascii="Arial" w:hAnsi="Arial"/>
                <w:b/>
                <w:sz w:val="18"/>
              </w:rPr>
              <w:t>de</w:t>
            </w:r>
            <w:r>
              <w:rPr>
                <w:rFonts w:ascii="Arial" w:hAnsi="Arial"/>
                <w:b/>
                <w:spacing w:val="-2"/>
                <w:sz w:val="18"/>
              </w:rPr>
              <w:t xml:space="preserve"> </w:t>
            </w:r>
            <w:r>
              <w:rPr>
                <w:rFonts w:ascii="Arial" w:hAnsi="Arial"/>
                <w:b/>
                <w:sz w:val="18"/>
              </w:rPr>
              <w:t>Liquidação</w:t>
            </w:r>
            <w:r>
              <w:rPr>
                <w:rFonts w:ascii="Arial" w:hAnsi="Arial"/>
                <w:b/>
                <w:spacing w:val="-1"/>
                <w:sz w:val="18"/>
              </w:rPr>
              <w:t xml:space="preserve"> </w:t>
            </w:r>
            <w:r>
              <w:rPr>
                <w:rFonts w:ascii="Arial" w:hAnsi="Arial"/>
                <w:b/>
                <w:spacing w:val="-2"/>
                <w:sz w:val="18"/>
              </w:rPr>
              <w:t>Duvidosa</w:t>
            </w:r>
          </w:p>
        </w:tc>
        <w:tc>
          <w:tcPr>
            <w:tcW w:w="1867" w:type="dxa"/>
          </w:tcPr>
          <w:p w14:paraId="1D0D1467" w14:textId="77777777" w:rsidR="002C6574" w:rsidRDefault="00000000">
            <w:pPr>
              <w:pStyle w:val="TableParagraph"/>
              <w:spacing w:before="15" w:line="201" w:lineRule="exact"/>
              <w:ind w:right="58"/>
              <w:rPr>
                <w:rFonts w:ascii="Arial"/>
                <w:b/>
                <w:sz w:val="18"/>
              </w:rPr>
            </w:pPr>
            <w:r>
              <w:rPr>
                <w:rFonts w:ascii="Arial"/>
                <w:b/>
                <w:spacing w:val="-2"/>
                <w:sz w:val="18"/>
              </w:rPr>
              <w:t>(6.088)</w:t>
            </w:r>
          </w:p>
        </w:tc>
        <w:tc>
          <w:tcPr>
            <w:tcW w:w="1865" w:type="dxa"/>
          </w:tcPr>
          <w:p w14:paraId="19D47715" w14:textId="77777777" w:rsidR="002C6574" w:rsidRDefault="00000000">
            <w:pPr>
              <w:pStyle w:val="TableParagraph"/>
              <w:spacing w:before="15" w:line="201" w:lineRule="exact"/>
              <w:ind w:right="56"/>
              <w:rPr>
                <w:rFonts w:ascii="Arial"/>
                <w:b/>
                <w:sz w:val="18"/>
              </w:rPr>
            </w:pPr>
            <w:r>
              <w:rPr>
                <w:rFonts w:ascii="Arial"/>
                <w:b/>
                <w:spacing w:val="-2"/>
                <w:sz w:val="18"/>
              </w:rPr>
              <w:t>(3.281)</w:t>
            </w:r>
          </w:p>
        </w:tc>
      </w:tr>
      <w:tr w:rsidR="002C6574" w14:paraId="6D7DD6CC" w14:textId="77777777">
        <w:trPr>
          <w:trHeight w:val="239"/>
        </w:trPr>
        <w:tc>
          <w:tcPr>
            <w:tcW w:w="6038" w:type="dxa"/>
          </w:tcPr>
          <w:p w14:paraId="36D4C00F" w14:textId="77777777" w:rsidR="002C6574" w:rsidRDefault="00000000">
            <w:pPr>
              <w:pStyle w:val="TableParagraph"/>
              <w:spacing w:before="15" w:line="204" w:lineRule="exact"/>
              <w:ind w:left="69"/>
              <w:jc w:val="left"/>
              <w:rPr>
                <w:rFonts w:ascii="Arial" w:hAnsi="Arial"/>
                <w:b/>
                <w:sz w:val="18"/>
              </w:rPr>
            </w:pPr>
            <w:r>
              <w:rPr>
                <w:rFonts w:ascii="Arial" w:hAnsi="Arial"/>
                <w:b/>
                <w:sz w:val="18"/>
              </w:rPr>
              <w:t>Contas</w:t>
            </w:r>
            <w:r>
              <w:rPr>
                <w:rFonts w:ascii="Arial" w:hAnsi="Arial"/>
                <w:b/>
                <w:spacing w:val="-1"/>
                <w:sz w:val="18"/>
              </w:rPr>
              <w:t xml:space="preserve"> </w:t>
            </w:r>
            <w:r>
              <w:rPr>
                <w:rFonts w:ascii="Arial" w:hAnsi="Arial"/>
                <w:b/>
                <w:sz w:val="18"/>
              </w:rPr>
              <w:t>a</w:t>
            </w:r>
            <w:r>
              <w:rPr>
                <w:rFonts w:ascii="Arial" w:hAnsi="Arial"/>
                <w:b/>
                <w:spacing w:val="1"/>
                <w:sz w:val="18"/>
              </w:rPr>
              <w:t xml:space="preserve"> </w:t>
            </w:r>
            <w:r>
              <w:rPr>
                <w:rFonts w:ascii="Arial" w:hAnsi="Arial"/>
                <w:b/>
                <w:sz w:val="18"/>
              </w:rPr>
              <w:t>Receber</w:t>
            </w:r>
            <w:r>
              <w:rPr>
                <w:rFonts w:ascii="Arial" w:hAnsi="Arial"/>
                <w:b/>
                <w:spacing w:val="-1"/>
                <w:sz w:val="18"/>
              </w:rPr>
              <w:t xml:space="preserve"> </w:t>
            </w:r>
            <w:r>
              <w:rPr>
                <w:rFonts w:ascii="Arial" w:hAnsi="Arial"/>
                <w:b/>
                <w:sz w:val="18"/>
              </w:rPr>
              <w:t>–</w:t>
            </w:r>
            <w:r>
              <w:rPr>
                <w:rFonts w:ascii="Arial" w:hAnsi="Arial"/>
                <w:b/>
                <w:spacing w:val="2"/>
                <w:sz w:val="18"/>
              </w:rPr>
              <w:t xml:space="preserve"> </w:t>
            </w:r>
            <w:r>
              <w:rPr>
                <w:rFonts w:ascii="Arial" w:hAnsi="Arial"/>
                <w:b/>
                <w:spacing w:val="-2"/>
                <w:sz w:val="18"/>
              </w:rPr>
              <w:t>Líquido</w:t>
            </w:r>
          </w:p>
        </w:tc>
        <w:tc>
          <w:tcPr>
            <w:tcW w:w="1867" w:type="dxa"/>
          </w:tcPr>
          <w:p w14:paraId="1AD8D1DF" w14:textId="77777777" w:rsidR="002C6574" w:rsidRDefault="00000000">
            <w:pPr>
              <w:pStyle w:val="TableParagraph"/>
              <w:spacing w:before="15" w:line="204" w:lineRule="exact"/>
              <w:ind w:right="58"/>
              <w:rPr>
                <w:rFonts w:ascii="Arial"/>
                <w:b/>
                <w:sz w:val="18"/>
              </w:rPr>
            </w:pPr>
            <w:r>
              <w:rPr>
                <w:rFonts w:ascii="Arial"/>
                <w:b/>
                <w:spacing w:val="-2"/>
                <w:sz w:val="18"/>
              </w:rPr>
              <w:t>448.342</w:t>
            </w:r>
          </w:p>
        </w:tc>
        <w:tc>
          <w:tcPr>
            <w:tcW w:w="1865" w:type="dxa"/>
          </w:tcPr>
          <w:p w14:paraId="0AF82A5D" w14:textId="77777777" w:rsidR="002C6574" w:rsidRDefault="00000000">
            <w:pPr>
              <w:pStyle w:val="TableParagraph"/>
              <w:spacing w:before="15" w:line="204" w:lineRule="exact"/>
              <w:ind w:right="57"/>
              <w:rPr>
                <w:rFonts w:ascii="Arial"/>
                <w:b/>
                <w:sz w:val="18"/>
              </w:rPr>
            </w:pPr>
            <w:r>
              <w:rPr>
                <w:rFonts w:ascii="Arial"/>
                <w:b/>
                <w:spacing w:val="-2"/>
                <w:sz w:val="18"/>
              </w:rPr>
              <w:t>233.301</w:t>
            </w:r>
          </w:p>
        </w:tc>
      </w:tr>
    </w:tbl>
    <w:p w14:paraId="0FA645FA" w14:textId="77777777" w:rsidR="002C6574" w:rsidRDefault="00000000">
      <w:pPr>
        <w:pStyle w:val="Corpodetexto"/>
        <w:spacing w:before="186" w:line="237" w:lineRule="auto"/>
        <w:ind w:left="143" w:right="702"/>
        <w:jc w:val="both"/>
      </w:pPr>
      <w:r>
        <w:t>Em 31 de dezembro de 2025 e 31 de dezembro de 2024, a Companhia possuía valores a receber de Entidades</w:t>
      </w:r>
      <w:r>
        <w:rPr>
          <w:spacing w:val="29"/>
        </w:rPr>
        <w:t xml:space="preserve"> </w:t>
      </w:r>
      <w:r>
        <w:t>do Governo</w:t>
      </w:r>
      <w:r>
        <w:rPr>
          <w:spacing w:val="32"/>
        </w:rPr>
        <w:t xml:space="preserve"> </w:t>
      </w:r>
      <w:r>
        <w:t>Federal</w:t>
      </w:r>
      <w:r>
        <w:rPr>
          <w:spacing w:val="29"/>
        </w:rPr>
        <w:t xml:space="preserve"> </w:t>
      </w:r>
      <w:r>
        <w:t>que representavam</w:t>
      </w:r>
      <w:r>
        <w:rPr>
          <w:spacing w:val="27"/>
        </w:rPr>
        <w:t xml:space="preserve"> </w:t>
      </w:r>
      <w:r>
        <w:t>mais</w:t>
      </w:r>
      <w:r>
        <w:rPr>
          <w:spacing w:val="29"/>
        </w:rPr>
        <w:t xml:space="preserve"> </w:t>
      </w:r>
      <w:r>
        <w:t>de 10%</w:t>
      </w:r>
      <w:r>
        <w:rPr>
          <w:spacing w:val="29"/>
        </w:rPr>
        <w:t xml:space="preserve"> </w:t>
      </w:r>
      <w:r>
        <w:t>das</w:t>
      </w:r>
      <w:r>
        <w:rPr>
          <w:spacing w:val="29"/>
        </w:rPr>
        <w:t xml:space="preserve"> </w:t>
      </w:r>
      <w:r>
        <w:t>contas</w:t>
      </w:r>
      <w:r>
        <w:rPr>
          <w:spacing w:val="29"/>
        </w:rPr>
        <w:t xml:space="preserve"> </w:t>
      </w:r>
      <w:r>
        <w:t>a</w:t>
      </w:r>
      <w:r>
        <w:rPr>
          <w:spacing w:val="29"/>
        </w:rPr>
        <w:t xml:space="preserve"> </w:t>
      </w:r>
      <w:r>
        <w:t>receber</w:t>
      </w:r>
      <w:r>
        <w:rPr>
          <w:spacing w:val="29"/>
        </w:rPr>
        <w:t xml:space="preserve"> </w:t>
      </w:r>
      <w:r>
        <w:t>líquidas.</w:t>
      </w:r>
    </w:p>
    <w:p w14:paraId="78D730A7" w14:textId="77777777" w:rsidR="002C6574" w:rsidRDefault="002C6574">
      <w:pPr>
        <w:pStyle w:val="Corpodetexto"/>
        <w:spacing w:before="31"/>
      </w:pPr>
    </w:p>
    <w:p w14:paraId="727276A5" w14:textId="77777777" w:rsidR="002C6574" w:rsidRDefault="00000000">
      <w:pPr>
        <w:numPr>
          <w:ilvl w:val="1"/>
          <w:numId w:val="43"/>
        </w:numPr>
        <w:tabs>
          <w:tab w:val="left" w:pos="993"/>
        </w:tabs>
        <w:ind w:left="993" w:hanging="850"/>
        <w:jc w:val="both"/>
        <w:rPr>
          <w:rFonts w:ascii="Arial" w:hAnsi="Arial"/>
          <w:b/>
        </w:rPr>
      </w:pPr>
      <w:r>
        <w:rPr>
          <w:rFonts w:ascii="Arial" w:hAnsi="Arial"/>
          <w:b/>
        </w:rPr>
        <w:t>Perdas</w:t>
      </w:r>
      <w:r>
        <w:rPr>
          <w:rFonts w:ascii="Arial" w:hAnsi="Arial"/>
          <w:b/>
          <w:spacing w:val="-2"/>
        </w:rPr>
        <w:t xml:space="preserve"> </w:t>
      </w:r>
      <w:r>
        <w:rPr>
          <w:rFonts w:ascii="Arial" w:hAnsi="Arial"/>
          <w:b/>
        </w:rPr>
        <w:t>estimadas</w:t>
      </w:r>
      <w:r>
        <w:rPr>
          <w:rFonts w:ascii="Arial" w:hAnsi="Arial"/>
          <w:b/>
          <w:spacing w:val="-4"/>
        </w:rPr>
        <w:t xml:space="preserve"> </w:t>
      </w:r>
      <w:r>
        <w:rPr>
          <w:rFonts w:ascii="Arial" w:hAnsi="Arial"/>
          <w:b/>
        </w:rPr>
        <w:t>com</w:t>
      </w:r>
      <w:r>
        <w:rPr>
          <w:rFonts w:ascii="Arial" w:hAnsi="Arial"/>
          <w:b/>
          <w:spacing w:val="-5"/>
        </w:rPr>
        <w:t xml:space="preserve"> </w:t>
      </w:r>
      <w:r>
        <w:rPr>
          <w:rFonts w:ascii="Arial" w:hAnsi="Arial"/>
          <w:b/>
        </w:rPr>
        <w:t>créditos</w:t>
      </w:r>
      <w:r>
        <w:rPr>
          <w:rFonts w:ascii="Arial" w:hAnsi="Arial"/>
          <w:b/>
          <w:spacing w:val="-6"/>
        </w:rPr>
        <w:t xml:space="preserve"> </w:t>
      </w:r>
      <w:r>
        <w:rPr>
          <w:rFonts w:ascii="Arial" w:hAnsi="Arial"/>
          <w:b/>
        </w:rPr>
        <w:t>de</w:t>
      </w:r>
      <w:r>
        <w:rPr>
          <w:rFonts w:ascii="Arial" w:hAnsi="Arial"/>
          <w:b/>
          <w:spacing w:val="-3"/>
        </w:rPr>
        <w:t xml:space="preserve"> </w:t>
      </w:r>
      <w:r>
        <w:rPr>
          <w:rFonts w:ascii="Arial" w:hAnsi="Arial"/>
          <w:b/>
        </w:rPr>
        <w:t>liquidação</w:t>
      </w:r>
      <w:r>
        <w:rPr>
          <w:rFonts w:ascii="Arial" w:hAnsi="Arial"/>
          <w:b/>
          <w:spacing w:val="-5"/>
        </w:rPr>
        <w:t xml:space="preserve"> </w:t>
      </w:r>
      <w:r>
        <w:rPr>
          <w:rFonts w:ascii="Arial" w:hAnsi="Arial"/>
          <w:b/>
          <w:spacing w:val="-2"/>
        </w:rPr>
        <w:t>duvidosa</w:t>
      </w:r>
    </w:p>
    <w:p w14:paraId="2C3E7B13" w14:textId="77777777" w:rsidR="002C6574" w:rsidRDefault="00000000">
      <w:pPr>
        <w:pStyle w:val="Corpodetexto"/>
        <w:spacing w:before="193" w:line="237" w:lineRule="auto"/>
        <w:ind w:left="143" w:right="702"/>
        <w:jc w:val="both"/>
      </w:pPr>
      <w:r>
        <w:t>A Companhia reconhece o valor da estimativa de perdas com base no modelo de perdas esperadas. No cálculo são utilizadas bases históricas de inadimplência, prazos de recebimento e volumes de perdas incorridas, ajustadas conforme o julgamento da Administração, quando as condições atuais de economia indiquem que perdas reais sejam superiores ou inferiores àquelas sugeridas pela base histórica. As proporções de inadimplência e de perdas, bem como os prazos estimados para recuperações futuras são regularmente analisados com os resultados reais, a fim de confirmar a sua aderência. As perdas estimadas são reconhecidas no resultado.</w:t>
      </w:r>
    </w:p>
    <w:p w14:paraId="7404475D" w14:textId="77777777" w:rsidR="002C6574" w:rsidRDefault="002C6574">
      <w:pPr>
        <w:pStyle w:val="Corpodetexto"/>
        <w:spacing w:before="39"/>
      </w:pPr>
    </w:p>
    <w:p w14:paraId="6332B537" w14:textId="77777777" w:rsidR="002C6574" w:rsidRDefault="00000000">
      <w:pPr>
        <w:pStyle w:val="Corpodetexto"/>
        <w:spacing w:line="206" w:lineRule="auto"/>
        <w:ind w:left="143" w:right="704"/>
        <w:jc w:val="both"/>
      </w:pPr>
      <w:r>
        <w:t>A composição das perdas estimadas com créditos de liquidação duvidosa, de acordo com o critério de constituição, é apresentada a seguir:</w:t>
      </w:r>
    </w:p>
    <w:p w14:paraId="2B5EF7B1" w14:textId="77777777" w:rsidR="002C6574" w:rsidRDefault="002C6574">
      <w:pPr>
        <w:pStyle w:val="Corpodetexto"/>
        <w:rPr>
          <w:sz w:val="19"/>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1183"/>
        <w:gridCol w:w="1224"/>
        <w:gridCol w:w="1133"/>
        <w:gridCol w:w="1138"/>
        <w:gridCol w:w="1448"/>
        <w:gridCol w:w="1110"/>
      </w:tblGrid>
      <w:tr w:rsidR="002C6574" w14:paraId="3F5E69CC" w14:textId="77777777">
        <w:trPr>
          <w:trHeight w:val="366"/>
        </w:trPr>
        <w:tc>
          <w:tcPr>
            <w:tcW w:w="2537" w:type="dxa"/>
            <w:vMerge w:val="restart"/>
            <w:shd w:val="clear" w:color="auto" w:fill="D8D8D8"/>
          </w:tcPr>
          <w:p w14:paraId="75510CAD" w14:textId="77777777" w:rsidR="002C6574" w:rsidRDefault="002C6574">
            <w:pPr>
              <w:pStyle w:val="TableParagraph"/>
              <w:jc w:val="left"/>
              <w:rPr>
                <w:sz w:val="16"/>
              </w:rPr>
            </w:pPr>
          </w:p>
          <w:p w14:paraId="41603EB6" w14:textId="77777777" w:rsidR="002C6574" w:rsidRDefault="002C6574">
            <w:pPr>
              <w:pStyle w:val="TableParagraph"/>
              <w:spacing w:before="38"/>
              <w:jc w:val="left"/>
              <w:rPr>
                <w:sz w:val="16"/>
              </w:rPr>
            </w:pPr>
          </w:p>
          <w:p w14:paraId="24529B52" w14:textId="77777777" w:rsidR="002C6574" w:rsidRDefault="00000000">
            <w:pPr>
              <w:pStyle w:val="TableParagraph"/>
              <w:ind w:left="381"/>
              <w:jc w:val="left"/>
              <w:rPr>
                <w:rFonts w:ascii="Arial"/>
                <w:b/>
                <w:sz w:val="16"/>
              </w:rPr>
            </w:pPr>
            <w:r>
              <w:rPr>
                <w:rFonts w:ascii="Arial"/>
                <w:b/>
                <w:sz w:val="16"/>
              </w:rPr>
              <w:t>Faixas</w:t>
            </w:r>
            <w:r>
              <w:rPr>
                <w:rFonts w:ascii="Arial"/>
                <w:b/>
                <w:spacing w:val="-1"/>
                <w:sz w:val="16"/>
              </w:rPr>
              <w:t xml:space="preserve"> </w:t>
            </w:r>
            <w:r>
              <w:rPr>
                <w:rFonts w:ascii="Arial"/>
                <w:b/>
                <w:sz w:val="16"/>
              </w:rPr>
              <w:t>de</w:t>
            </w:r>
            <w:r>
              <w:rPr>
                <w:rFonts w:ascii="Arial"/>
                <w:b/>
                <w:spacing w:val="-3"/>
                <w:sz w:val="16"/>
              </w:rPr>
              <w:t xml:space="preserve"> </w:t>
            </w:r>
            <w:r>
              <w:rPr>
                <w:rFonts w:ascii="Arial"/>
                <w:b/>
                <w:spacing w:val="-2"/>
                <w:sz w:val="16"/>
              </w:rPr>
              <w:t>Vencimentos</w:t>
            </w:r>
          </w:p>
        </w:tc>
        <w:tc>
          <w:tcPr>
            <w:tcW w:w="1183" w:type="dxa"/>
            <w:vMerge w:val="restart"/>
          </w:tcPr>
          <w:p w14:paraId="101D4C0B" w14:textId="77777777" w:rsidR="002C6574" w:rsidRDefault="002C6574">
            <w:pPr>
              <w:pStyle w:val="TableParagraph"/>
              <w:spacing w:before="68"/>
              <w:jc w:val="left"/>
              <w:rPr>
                <w:sz w:val="16"/>
              </w:rPr>
            </w:pPr>
          </w:p>
          <w:p w14:paraId="4EFAFEC3" w14:textId="77777777" w:rsidR="002C6574" w:rsidRDefault="00000000">
            <w:pPr>
              <w:pStyle w:val="TableParagraph"/>
              <w:spacing w:before="1"/>
              <w:ind w:left="90" w:right="82" w:firstLine="50"/>
              <w:jc w:val="center"/>
              <w:rPr>
                <w:rFonts w:ascii="Arial" w:hAnsi="Arial"/>
                <w:b/>
                <w:sz w:val="16"/>
              </w:rPr>
            </w:pPr>
            <w:r>
              <w:rPr>
                <w:rFonts w:ascii="Arial" w:hAnsi="Arial"/>
                <w:b/>
                <w:sz w:val="16"/>
              </w:rPr>
              <w:t>Valor a Receber</w:t>
            </w:r>
            <w:r>
              <w:rPr>
                <w:rFonts w:ascii="Arial" w:hAnsi="Arial"/>
                <w:b/>
                <w:spacing w:val="-12"/>
                <w:sz w:val="16"/>
              </w:rPr>
              <w:t xml:space="preserve"> </w:t>
            </w:r>
            <w:r>
              <w:rPr>
                <w:rFonts w:ascii="Arial" w:hAnsi="Arial"/>
                <w:b/>
                <w:sz w:val="16"/>
              </w:rPr>
              <w:t xml:space="preserve">sem </w:t>
            </w:r>
            <w:r>
              <w:rPr>
                <w:rFonts w:ascii="Arial" w:hAnsi="Arial"/>
                <w:b/>
                <w:spacing w:val="-2"/>
                <w:sz w:val="16"/>
              </w:rPr>
              <w:t>Exclusões</w:t>
            </w:r>
          </w:p>
        </w:tc>
        <w:tc>
          <w:tcPr>
            <w:tcW w:w="2357" w:type="dxa"/>
            <w:gridSpan w:val="2"/>
          </w:tcPr>
          <w:p w14:paraId="0E0C6499" w14:textId="77777777" w:rsidR="002C6574" w:rsidRDefault="00000000">
            <w:pPr>
              <w:pStyle w:val="TableParagraph"/>
              <w:spacing w:line="182" w:lineRule="exact"/>
              <w:ind w:left="887" w:right="301" w:hanging="529"/>
              <w:jc w:val="left"/>
              <w:rPr>
                <w:rFonts w:ascii="Arial" w:hAnsi="Arial"/>
                <w:b/>
                <w:sz w:val="16"/>
              </w:rPr>
            </w:pPr>
            <w:r>
              <w:rPr>
                <w:rFonts w:ascii="Arial" w:hAnsi="Arial"/>
                <w:b/>
                <w:sz w:val="16"/>
              </w:rPr>
              <w:t>Exclusões</w:t>
            </w:r>
            <w:r>
              <w:rPr>
                <w:rFonts w:ascii="Arial" w:hAnsi="Arial"/>
                <w:b/>
                <w:spacing w:val="-12"/>
                <w:sz w:val="16"/>
              </w:rPr>
              <w:t xml:space="preserve"> </w:t>
            </w:r>
            <w:r>
              <w:rPr>
                <w:rFonts w:ascii="Arial" w:hAnsi="Arial"/>
                <w:b/>
                <w:sz w:val="16"/>
              </w:rPr>
              <w:t>da</w:t>
            </w:r>
            <w:r>
              <w:rPr>
                <w:rFonts w:ascii="Arial" w:hAnsi="Arial"/>
                <w:b/>
                <w:spacing w:val="-11"/>
                <w:sz w:val="16"/>
              </w:rPr>
              <w:t xml:space="preserve"> </w:t>
            </w:r>
            <w:r>
              <w:rPr>
                <w:rFonts w:ascii="Arial" w:hAnsi="Arial"/>
                <w:b/>
                <w:sz w:val="16"/>
              </w:rPr>
              <w:t>Base</w:t>
            </w:r>
            <w:r>
              <w:rPr>
                <w:rFonts w:ascii="Arial" w:hAnsi="Arial"/>
                <w:b/>
                <w:spacing w:val="-11"/>
                <w:sz w:val="16"/>
              </w:rPr>
              <w:t xml:space="preserve"> </w:t>
            </w:r>
            <w:r>
              <w:rPr>
                <w:rFonts w:ascii="Arial" w:hAnsi="Arial"/>
                <w:b/>
                <w:sz w:val="16"/>
              </w:rPr>
              <w:t xml:space="preserve">de </w:t>
            </w:r>
            <w:r>
              <w:rPr>
                <w:rFonts w:ascii="Arial" w:hAnsi="Arial"/>
                <w:b/>
                <w:spacing w:val="-2"/>
                <w:sz w:val="16"/>
              </w:rPr>
              <w:t>Cálculo</w:t>
            </w:r>
          </w:p>
        </w:tc>
        <w:tc>
          <w:tcPr>
            <w:tcW w:w="1138" w:type="dxa"/>
            <w:vMerge w:val="restart"/>
          </w:tcPr>
          <w:p w14:paraId="0C7BE853" w14:textId="77777777" w:rsidR="002C6574" w:rsidRDefault="00000000">
            <w:pPr>
              <w:pStyle w:val="TableParagraph"/>
              <w:spacing w:before="188"/>
              <w:ind w:left="172" w:right="159" w:firstLine="42"/>
              <w:jc w:val="center"/>
              <w:rPr>
                <w:rFonts w:ascii="Arial" w:hAnsi="Arial"/>
                <w:b/>
                <w:sz w:val="16"/>
              </w:rPr>
            </w:pPr>
            <w:r>
              <w:rPr>
                <w:rFonts w:ascii="Arial" w:hAnsi="Arial"/>
                <w:b/>
                <w:sz w:val="16"/>
              </w:rPr>
              <w:t xml:space="preserve">Valor a </w:t>
            </w:r>
            <w:r>
              <w:rPr>
                <w:rFonts w:ascii="Arial" w:hAnsi="Arial"/>
                <w:b/>
                <w:spacing w:val="-2"/>
                <w:sz w:val="16"/>
              </w:rPr>
              <w:t xml:space="preserve">Receber </w:t>
            </w:r>
            <w:r>
              <w:rPr>
                <w:rFonts w:ascii="Arial" w:hAnsi="Arial"/>
                <w:b/>
                <w:spacing w:val="-4"/>
                <w:sz w:val="16"/>
              </w:rPr>
              <w:t xml:space="preserve">após </w:t>
            </w:r>
            <w:r>
              <w:rPr>
                <w:rFonts w:ascii="Arial" w:hAnsi="Arial"/>
                <w:b/>
                <w:spacing w:val="-2"/>
                <w:sz w:val="16"/>
              </w:rPr>
              <w:t>Exclusões</w:t>
            </w:r>
          </w:p>
        </w:tc>
        <w:tc>
          <w:tcPr>
            <w:tcW w:w="1448" w:type="dxa"/>
            <w:vMerge w:val="restart"/>
          </w:tcPr>
          <w:p w14:paraId="088C681C" w14:textId="77777777" w:rsidR="002C6574" w:rsidRDefault="002C6574">
            <w:pPr>
              <w:pStyle w:val="TableParagraph"/>
              <w:spacing w:before="160"/>
              <w:jc w:val="left"/>
              <w:rPr>
                <w:sz w:val="16"/>
              </w:rPr>
            </w:pPr>
          </w:p>
          <w:p w14:paraId="0D82B73E" w14:textId="77777777" w:rsidR="002C6574" w:rsidRDefault="00000000">
            <w:pPr>
              <w:pStyle w:val="TableParagraph"/>
              <w:ind w:left="363" w:hanging="249"/>
              <w:jc w:val="left"/>
              <w:rPr>
                <w:rFonts w:ascii="Arial" w:hAnsi="Arial"/>
                <w:b/>
                <w:sz w:val="16"/>
              </w:rPr>
            </w:pPr>
            <w:r>
              <w:rPr>
                <w:rFonts w:ascii="Arial" w:hAnsi="Arial"/>
                <w:b/>
                <w:sz w:val="16"/>
              </w:rPr>
              <w:t>%</w:t>
            </w:r>
            <w:r>
              <w:rPr>
                <w:rFonts w:ascii="Arial" w:hAnsi="Arial"/>
                <w:b/>
                <w:spacing w:val="-12"/>
                <w:sz w:val="16"/>
              </w:rPr>
              <w:t xml:space="preserve"> </w:t>
            </w:r>
            <w:r>
              <w:rPr>
                <w:rFonts w:ascii="Arial" w:hAnsi="Arial"/>
                <w:b/>
                <w:sz w:val="16"/>
              </w:rPr>
              <w:t>Inadimplência por Faixa</w:t>
            </w:r>
          </w:p>
        </w:tc>
        <w:tc>
          <w:tcPr>
            <w:tcW w:w="1110" w:type="dxa"/>
            <w:vMerge w:val="restart"/>
          </w:tcPr>
          <w:p w14:paraId="6ABC7A6C" w14:textId="77777777" w:rsidR="002C6574" w:rsidRDefault="002C6574">
            <w:pPr>
              <w:pStyle w:val="TableParagraph"/>
              <w:spacing w:before="160"/>
              <w:jc w:val="left"/>
              <w:rPr>
                <w:sz w:val="16"/>
              </w:rPr>
            </w:pPr>
          </w:p>
          <w:p w14:paraId="5BB16437" w14:textId="77777777" w:rsidR="002C6574" w:rsidRDefault="00000000">
            <w:pPr>
              <w:pStyle w:val="TableParagraph"/>
              <w:ind w:left="281" w:right="202" w:hanging="23"/>
              <w:jc w:val="left"/>
              <w:rPr>
                <w:rFonts w:ascii="Arial"/>
                <w:b/>
                <w:sz w:val="16"/>
              </w:rPr>
            </w:pPr>
            <w:r>
              <w:rPr>
                <w:rFonts w:ascii="Arial"/>
                <w:b/>
                <w:sz w:val="16"/>
              </w:rPr>
              <w:t>Valor</w:t>
            </w:r>
            <w:r>
              <w:rPr>
                <w:rFonts w:ascii="Arial"/>
                <w:b/>
                <w:spacing w:val="-12"/>
                <w:sz w:val="16"/>
              </w:rPr>
              <w:t xml:space="preserve"> </w:t>
            </w:r>
            <w:r>
              <w:rPr>
                <w:rFonts w:ascii="Arial"/>
                <w:b/>
                <w:sz w:val="16"/>
              </w:rPr>
              <w:t xml:space="preserve">da </w:t>
            </w:r>
            <w:r>
              <w:rPr>
                <w:rFonts w:ascii="Arial"/>
                <w:b/>
                <w:spacing w:val="-4"/>
                <w:sz w:val="16"/>
              </w:rPr>
              <w:t>PECLD</w:t>
            </w:r>
          </w:p>
        </w:tc>
      </w:tr>
      <w:tr w:rsidR="002C6574" w14:paraId="6941E0B1" w14:textId="77777777">
        <w:trPr>
          <w:trHeight w:val="736"/>
        </w:trPr>
        <w:tc>
          <w:tcPr>
            <w:tcW w:w="2537" w:type="dxa"/>
            <w:vMerge/>
            <w:tcBorders>
              <w:top w:val="nil"/>
            </w:tcBorders>
            <w:shd w:val="clear" w:color="auto" w:fill="D8D8D8"/>
          </w:tcPr>
          <w:p w14:paraId="240D8C74" w14:textId="77777777" w:rsidR="002C6574" w:rsidRDefault="002C6574">
            <w:pPr>
              <w:rPr>
                <w:sz w:val="2"/>
                <w:szCs w:val="2"/>
              </w:rPr>
            </w:pPr>
          </w:p>
        </w:tc>
        <w:tc>
          <w:tcPr>
            <w:tcW w:w="1183" w:type="dxa"/>
            <w:vMerge/>
            <w:tcBorders>
              <w:top w:val="nil"/>
            </w:tcBorders>
          </w:tcPr>
          <w:p w14:paraId="36D213B6" w14:textId="77777777" w:rsidR="002C6574" w:rsidRDefault="002C6574">
            <w:pPr>
              <w:rPr>
                <w:sz w:val="2"/>
                <w:szCs w:val="2"/>
              </w:rPr>
            </w:pPr>
          </w:p>
        </w:tc>
        <w:tc>
          <w:tcPr>
            <w:tcW w:w="1224" w:type="dxa"/>
          </w:tcPr>
          <w:p w14:paraId="344AF13A" w14:textId="77777777" w:rsidR="002C6574" w:rsidRDefault="002C6574">
            <w:pPr>
              <w:pStyle w:val="TableParagraph"/>
              <w:spacing w:before="64"/>
              <w:jc w:val="left"/>
              <w:rPr>
                <w:sz w:val="16"/>
              </w:rPr>
            </w:pPr>
          </w:p>
          <w:p w14:paraId="3A151C2E" w14:textId="77777777" w:rsidR="002C6574" w:rsidRDefault="00000000">
            <w:pPr>
              <w:pStyle w:val="TableParagraph"/>
              <w:ind w:right="114"/>
              <w:rPr>
                <w:rFonts w:ascii="Arial"/>
                <w:b/>
                <w:sz w:val="16"/>
              </w:rPr>
            </w:pPr>
            <w:r>
              <w:rPr>
                <w:rFonts w:ascii="Arial"/>
                <w:b/>
                <w:sz w:val="16"/>
              </w:rPr>
              <w:t>Parceiros</w:t>
            </w:r>
            <w:r>
              <w:rPr>
                <w:rFonts w:ascii="Arial"/>
                <w:b/>
                <w:spacing w:val="-3"/>
                <w:sz w:val="16"/>
              </w:rPr>
              <w:t xml:space="preserve"> </w:t>
            </w:r>
            <w:r>
              <w:rPr>
                <w:rFonts w:ascii="Arial"/>
                <w:b/>
                <w:spacing w:val="-5"/>
                <w:sz w:val="16"/>
              </w:rPr>
              <w:t>(i)</w:t>
            </w:r>
          </w:p>
        </w:tc>
        <w:tc>
          <w:tcPr>
            <w:tcW w:w="1133" w:type="dxa"/>
          </w:tcPr>
          <w:p w14:paraId="56E6EFF2" w14:textId="77777777" w:rsidR="002C6574" w:rsidRDefault="00000000">
            <w:pPr>
              <w:pStyle w:val="TableParagraph"/>
              <w:spacing w:before="1"/>
              <w:ind w:left="95" w:right="41"/>
              <w:jc w:val="center"/>
              <w:rPr>
                <w:rFonts w:ascii="Arial" w:hAnsi="Arial"/>
                <w:b/>
                <w:sz w:val="16"/>
              </w:rPr>
            </w:pPr>
            <w:r>
              <w:rPr>
                <w:rFonts w:ascii="Arial" w:hAnsi="Arial"/>
                <w:b/>
                <w:sz w:val="16"/>
              </w:rPr>
              <w:t>Exclusão</w:t>
            </w:r>
            <w:r>
              <w:rPr>
                <w:rFonts w:ascii="Arial" w:hAnsi="Arial"/>
                <w:b/>
                <w:spacing w:val="-12"/>
                <w:sz w:val="16"/>
              </w:rPr>
              <w:t xml:space="preserve"> </w:t>
            </w:r>
            <w:r>
              <w:rPr>
                <w:rFonts w:ascii="Arial" w:hAnsi="Arial"/>
                <w:b/>
                <w:sz w:val="16"/>
              </w:rPr>
              <w:t>de Clientes da Base de</w:t>
            </w:r>
          </w:p>
          <w:p w14:paraId="748FEB95" w14:textId="77777777" w:rsidR="002C6574" w:rsidRDefault="00000000">
            <w:pPr>
              <w:pStyle w:val="TableParagraph"/>
              <w:spacing w:line="163" w:lineRule="exact"/>
              <w:ind w:left="54" w:right="49"/>
              <w:jc w:val="center"/>
              <w:rPr>
                <w:rFonts w:ascii="Arial" w:hAnsi="Arial"/>
                <w:b/>
                <w:sz w:val="16"/>
              </w:rPr>
            </w:pPr>
            <w:r>
              <w:rPr>
                <w:rFonts w:ascii="Arial" w:hAnsi="Arial"/>
                <w:b/>
                <w:sz w:val="16"/>
              </w:rPr>
              <w:t>Cálculo</w:t>
            </w:r>
            <w:r>
              <w:rPr>
                <w:rFonts w:ascii="Arial" w:hAnsi="Arial"/>
                <w:b/>
                <w:spacing w:val="-3"/>
                <w:sz w:val="16"/>
              </w:rPr>
              <w:t xml:space="preserve"> </w:t>
            </w:r>
            <w:r>
              <w:rPr>
                <w:rFonts w:ascii="Arial" w:hAnsi="Arial"/>
                <w:b/>
                <w:spacing w:val="-4"/>
                <w:sz w:val="16"/>
              </w:rPr>
              <w:t>(ii)</w:t>
            </w:r>
          </w:p>
        </w:tc>
        <w:tc>
          <w:tcPr>
            <w:tcW w:w="1138" w:type="dxa"/>
            <w:vMerge/>
            <w:tcBorders>
              <w:top w:val="nil"/>
            </w:tcBorders>
          </w:tcPr>
          <w:p w14:paraId="504D96B5" w14:textId="77777777" w:rsidR="002C6574" w:rsidRDefault="002C6574">
            <w:pPr>
              <w:rPr>
                <w:sz w:val="2"/>
                <w:szCs w:val="2"/>
              </w:rPr>
            </w:pPr>
          </w:p>
        </w:tc>
        <w:tc>
          <w:tcPr>
            <w:tcW w:w="1448" w:type="dxa"/>
            <w:vMerge/>
            <w:tcBorders>
              <w:top w:val="nil"/>
            </w:tcBorders>
          </w:tcPr>
          <w:p w14:paraId="4B9B8707" w14:textId="77777777" w:rsidR="002C6574" w:rsidRDefault="002C6574">
            <w:pPr>
              <w:rPr>
                <w:sz w:val="2"/>
                <w:szCs w:val="2"/>
              </w:rPr>
            </w:pPr>
          </w:p>
        </w:tc>
        <w:tc>
          <w:tcPr>
            <w:tcW w:w="1110" w:type="dxa"/>
            <w:vMerge/>
            <w:tcBorders>
              <w:top w:val="nil"/>
            </w:tcBorders>
          </w:tcPr>
          <w:p w14:paraId="2897F940" w14:textId="77777777" w:rsidR="002C6574" w:rsidRDefault="002C6574">
            <w:pPr>
              <w:rPr>
                <w:sz w:val="2"/>
                <w:szCs w:val="2"/>
              </w:rPr>
            </w:pPr>
          </w:p>
        </w:tc>
      </w:tr>
      <w:tr w:rsidR="002C6574" w14:paraId="277E3F73" w14:textId="77777777">
        <w:trPr>
          <w:trHeight w:val="237"/>
        </w:trPr>
        <w:tc>
          <w:tcPr>
            <w:tcW w:w="2537" w:type="dxa"/>
          </w:tcPr>
          <w:p w14:paraId="1F55DB57" w14:textId="77777777" w:rsidR="002C6574" w:rsidRDefault="00000000">
            <w:pPr>
              <w:pStyle w:val="TableParagraph"/>
              <w:spacing w:before="27"/>
              <w:ind w:left="114"/>
              <w:jc w:val="left"/>
              <w:rPr>
                <w:rFonts w:ascii="Arial" w:hAnsi="Arial"/>
                <w:b/>
                <w:sz w:val="16"/>
              </w:rPr>
            </w:pPr>
            <w:r>
              <w:rPr>
                <w:rFonts w:ascii="Arial" w:hAnsi="Arial"/>
                <w:b/>
                <w:sz w:val="16"/>
              </w:rPr>
              <w:t>Não</w:t>
            </w:r>
            <w:r>
              <w:rPr>
                <w:rFonts w:ascii="Arial" w:hAnsi="Arial"/>
                <w:b/>
                <w:spacing w:val="-1"/>
                <w:sz w:val="16"/>
              </w:rPr>
              <w:t xml:space="preserve"> </w:t>
            </w:r>
            <w:r>
              <w:rPr>
                <w:rFonts w:ascii="Arial" w:hAnsi="Arial"/>
                <w:b/>
                <w:spacing w:val="-2"/>
                <w:sz w:val="16"/>
              </w:rPr>
              <w:t>Faturado</w:t>
            </w:r>
          </w:p>
        </w:tc>
        <w:tc>
          <w:tcPr>
            <w:tcW w:w="1183" w:type="dxa"/>
          </w:tcPr>
          <w:p w14:paraId="3BCC67CE" w14:textId="77777777" w:rsidR="002C6574" w:rsidRDefault="00000000">
            <w:pPr>
              <w:pStyle w:val="TableParagraph"/>
              <w:spacing w:before="27"/>
              <w:ind w:right="57"/>
              <w:rPr>
                <w:rFonts w:ascii="Arial"/>
                <w:b/>
                <w:sz w:val="16"/>
              </w:rPr>
            </w:pPr>
            <w:r>
              <w:rPr>
                <w:rFonts w:ascii="Arial"/>
                <w:b/>
                <w:spacing w:val="-2"/>
                <w:sz w:val="16"/>
              </w:rPr>
              <w:t>57.237</w:t>
            </w:r>
          </w:p>
        </w:tc>
        <w:tc>
          <w:tcPr>
            <w:tcW w:w="1224" w:type="dxa"/>
          </w:tcPr>
          <w:p w14:paraId="2BB72374" w14:textId="77777777" w:rsidR="002C6574" w:rsidRDefault="00000000">
            <w:pPr>
              <w:pStyle w:val="TableParagraph"/>
              <w:spacing w:before="27"/>
              <w:ind w:right="60"/>
              <w:rPr>
                <w:rFonts w:ascii="Arial"/>
                <w:b/>
                <w:sz w:val="16"/>
              </w:rPr>
            </w:pPr>
            <w:r>
              <w:rPr>
                <w:rFonts w:ascii="Arial"/>
                <w:b/>
                <w:spacing w:val="-2"/>
                <w:sz w:val="16"/>
              </w:rPr>
              <w:t>(2.366)</w:t>
            </w:r>
          </w:p>
        </w:tc>
        <w:tc>
          <w:tcPr>
            <w:tcW w:w="1133" w:type="dxa"/>
          </w:tcPr>
          <w:p w14:paraId="2BD7D5E9" w14:textId="77777777" w:rsidR="002C6574" w:rsidRDefault="00000000">
            <w:pPr>
              <w:pStyle w:val="TableParagraph"/>
              <w:spacing w:before="27"/>
              <w:ind w:right="59"/>
              <w:rPr>
                <w:rFonts w:ascii="Arial"/>
                <w:b/>
                <w:sz w:val="16"/>
              </w:rPr>
            </w:pPr>
            <w:r>
              <w:rPr>
                <w:rFonts w:ascii="Arial"/>
                <w:b/>
                <w:spacing w:val="-2"/>
                <w:sz w:val="16"/>
              </w:rPr>
              <w:t>(42.357)</w:t>
            </w:r>
          </w:p>
        </w:tc>
        <w:tc>
          <w:tcPr>
            <w:tcW w:w="1138" w:type="dxa"/>
          </w:tcPr>
          <w:p w14:paraId="12360B09" w14:textId="77777777" w:rsidR="002C6574" w:rsidRDefault="00000000">
            <w:pPr>
              <w:pStyle w:val="TableParagraph"/>
              <w:spacing w:before="27"/>
              <w:ind w:right="58"/>
              <w:rPr>
                <w:rFonts w:ascii="Arial"/>
                <w:b/>
                <w:sz w:val="16"/>
              </w:rPr>
            </w:pPr>
            <w:r>
              <w:rPr>
                <w:rFonts w:ascii="Arial"/>
                <w:b/>
                <w:spacing w:val="-2"/>
                <w:sz w:val="16"/>
              </w:rPr>
              <w:t>12.514</w:t>
            </w:r>
          </w:p>
        </w:tc>
        <w:tc>
          <w:tcPr>
            <w:tcW w:w="1448" w:type="dxa"/>
          </w:tcPr>
          <w:p w14:paraId="3E52255F" w14:textId="77777777" w:rsidR="002C6574" w:rsidRDefault="00000000">
            <w:pPr>
              <w:pStyle w:val="TableParagraph"/>
              <w:spacing w:before="27"/>
              <w:ind w:right="60"/>
              <w:rPr>
                <w:rFonts w:ascii="Arial"/>
                <w:b/>
                <w:sz w:val="16"/>
              </w:rPr>
            </w:pPr>
            <w:r>
              <w:rPr>
                <w:rFonts w:ascii="Arial"/>
                <w:b/>
                <w:spacing w:val="-2"/>
                <w:sz w:val="16"/>
              </w:rPr>
              <w:t>1,65%</w:t>
            </w:r>
          </w:p>
        </w:tc>
        <w:tc>
          <w:tcPr>
            <w:tcW w:w="1110" w:type="dxa"/>
          </w:tcPr>
          <w:p w14:paraId="707083D4" w14:textId="77777777" w:rsidR="002C6574" w:rsidRDefault="00000000">
            <w:pPr>
              <w:pStyle w:val="TableParagraph"/>
              <w:spacing w:before="27"/>
              <w:ind w:right="60"/>
              <w:rPr>
                <w:rFonts w:ascii="Arial"/>
                <w:b/>
                <w:sz w:val="16"/>
              </w:rPr>
            </w:pPr>
            <w:r>
              <w:rPr>
                <w:rFonts w:ascii="Arial"/>
                <w:b/>
                <w:spacing w:val="-5"/>
                <w:sz w:val="16"/>
              </w:rPr>
              <w:t>206</w:t>
            </w:r>
          </w:p>
        </w:tc>
      </w:tr>
      <w:tr w:rsidR="002C6574" w14:paraId="7980FE32" w14:textId="77777777">
        <w:trPr>
          <w:trHeight w:val="239"/>
        </w:trPr>
        <w:tc>
          <w:tcPr>
            <w:tcW w:w="2537" w:type="dxa"/>
          </w:tcPr>
          <w:p w14:paraId="3154D3C1" w14:textId="77777777" w:rsidR="002C6574" w:rsidRDefault="00000000">
            <w:pPr>
              <w:pStyle w:val="TableParagraph"/>
              <w:spacing w:before="29"/>
              <w:ind w:left="114"/>
              <w:jc w:val="left"/>
              <w:rPr>
                <w:rFonts w:ascii="Arial"/>
                <w:b/>
                <w:sz w:val="16"/>
              </w:rPr>
            </w:pPr>
            <w:r>
              <w:rPr>
                <w:rFonts w:ascii="Arial"/>
                <w:b/>
                <w:sz w:val="16"/>
              </w:rPr>
              <w:t xml:space="preserve">A </w:t>
            </w:r>
            <w:r>
              <w:rPr>
                <w:rFonts w:ascii="Arial"/>
                <w:b/>
                <w:spacing w:val="-2"/>
                <w:sz w:val="16"/>
              </w:rPr>
              <w:t>Vencer</w:t>
            </w:r>
          </w:p>
        </w:tc>
        <w:tc>
          <w:tcPr>
            <w:tcW w:w="1183" w:type="dxa"/>
          </w:tcPr>
          <w:p w14:paraId="1E4C56B3" w14:textId="77777777" w:rsidR="002C6574" w:rsidRDefault="00000000">
            <w:pPr>
              <w:pStyle w:val="TableParagraph"/>
              <w:spacing w:before="29"/>
              <w:ind w:right="57"/>
              <w:rPr>
                <w:rFonts w:ascii="Arial"/>
                <w:b/>
                <w:sz w:val="16"/>
              </w:rPr>
            </w:pPr>
            <w:r>
              <w:rPr>
                <w:rFonts w:ascii="Arial"/>
                <w:b/>
                <w:spacing w:val="-2"/>
                <w:sz w:val="16"/>
              </w:rPr>
              <w:t>60.096</w:t>
            </w:r>
          </w:p>
        </w:tc>
        <w:tc>
          <w:tcPr>
            <w:tcW w:w="1224" w:type="dxa"/>
          </w:tcPr>
          <w:p w14:paraId="71A6E4B8" w14:textId="77777777" w:rsidR="002C6574" w:rsidRDefault="00000000">
            <w:pPr>
              <w:pStyle w:val="TableParagraph"/>
              <w:spacing w:before="29"/>
              <w:ind w:right="59"/>
              <w:rPr>
                <w:rFonts w:ascii="Arial"/>
                <w:b/>
                <w:sz w:val="16"/>
              </w:rPr>
            </w:pPr>
            <w:r>
              <w:rPr>
                <w:rFonts w:ascii="Arial"/>
                <w:b/>
                <w:spacing w:val="-10"/>
                <w:sz w:val="16"/>
              </w:rPr>
              <w:t>-</w:t>
            </w:r>
          </w:p>
        </w:tc>
        <w:tc>
          <w:tcPr>
            <w:tcW w:w="1133" w:type="dxa"/>
          </w:tcPr>
          <w:p w14:paraId="2AA162ED" w14:textId="77777777" w:rsidR="002C6574" w:rsidRDefault="00000000">
            <w:pPr>
              <w:pStyle w:val="TableParagraph"/>
              <w:spacing w:before="29"/>
              <w:ind w:right="59"/>
              <w:rPr>
                <w:rFonts w:ascii="Arial"/>
                <w:b/>
                <w:sz w:val="16"/>
              </w:rPr>
            </w:pPr>
            <w:r>
              <w:rPr>
                <w:rFonts w:ascii="Arial"/>
                <w:b/>
                <w:spacing w:val="-2"/>
                <w:sz w:val="16"/>
              </w:rPr>
              <w:t>(33.729)</w:t>
            </w:r>
          </w:p>
        </w:tc>
        <w:tc>
          <w:tcPr>
            <w:tcW w:w="1138" w:type="dxa"/>
          </w:tcPr>
          <w:p w14:paraId="0C5CF026" w14:textId="77777777" w:rsidR="002C6574" w:rsidRDefault="00000000">
            <w:pPr>
              <w:pStyle w:val="TableParagraph"/>
              <w:spacing w:before="29"/>
              <w:ind w:right="58"/>
              <w:rPr>
                <w:rFonts w:ascii="Arial"/>
                <w:b/>
                <w:sz w:val="16"/>
              </w:rPr>
            </w:pPr>
            <w:r>
              <w:rPr>
                <w:rFonts w:ascii="Arial"/>
                <w:b/>
                <w:spacing w:val="-2"/>
                <w:sz w:val="16"/>
              </w:rPr>
              <w:t>26.367</w:t>
            </w:r>
          </w:p>
        </w:tc>
        <w:tc>
          <w:tcPr>
            <w:tcW w:w="1448" w:type="dxa"/>
          </w:tcPr>
          <w:p w14:paraId="6475914F" w14:textId="77777777" w:rsidR="002C6574" w:rsidRDefault="00000000">
            <w:pPr>
              <w:pStyle w:val="TableParagraph"/>
              <w:spacing w:before="29"/>
              <w:ind w:right="60"/>
              <w:rPr>
                <w:rFonts w:ascii="Arial"/>
                <w:b/>
                <w:sz w:val="16"/>
              </w:rPr>
            </w:pPr>
            <w:r>
              <w:rPr>
                <w:rFonts w:ascii="Arial"/>
                <w:b/>
                <w:spacing w:val="-2"/>
                <w:sz w:val="16"/>
              </w:rPr>
              <w:t>1,65%</w:t>
            </w:r>
          </w:p>
        </w:tc>
        <w:tc>
          <w:tcPr>
            <w:tcW w:w="1110" w:type="dxa"/>
          </w:tcPr>
          <w:p w14:paraId="0D5463B0" w14:textId="77777777" w:rsidR="002C6574" w:rsidRDefault="00000000">
            <w:pPr>
              <w:pStyle w:val="TableParagraph"/>
              <w:spacing w:before="29"/>
              <w:ind w:right="60"/>
              <w:rPr>
                <w:rFonts w:ascii="Arial"/>
                <w:b/>
                <w:sz w:val="16"/>
              </w:rPr>
            </w:pPr>
            <w:r>
              <w:rPr>
                <w:rFonts w:ascii="Arial"/>
                <w:b/>
                <w:spacing w:val="-5"/>
                <w:sz w:val="16"/>
              </w:rPr>
              <w:t>435</w:t>
            </w:r>
          </w:p>
        </w:tc>
      </w:tr>
      <w:tr w:rsidR="002C6574" w14:paraId="2910807A" w14:textId="77777777">
        <w:trPr>
          <w:trHeight w:val="237"/>
        </w:trPr>
        <w:tc>
          <w:tcPr>
            <w:tcW w:w="2537" w:type="dxa"/>
          </w:tcPr>
          <w:p w14:paraId="64A4CB42" w14:textId="77777777" w:rsidR="002C6574" w:rsidRDefault="00000000">
            <w:pPr>
              <w:pStyle w:val="TableParagraph"/>
              <w:spacing w:before="27"/>
              <w:ind w:left="114"/>
              <w:jc w:val="left"/>
              <w:rPr>
                <w:rFonts w:ascii="Arial"/>
                <w:b/>
                <w:sz w:val="16"/>
              </w:rPr>
            </w:pPr>
            <w:r>
              <w:rPr>
                <w:rFonts w:ascii="Arial"/>
                <w:b/>
                <w:spacing w:val="-2"/>
                <w:sz w:val="16"/>
              </w:rPr>
              <w:t>Vencidos:</w:t>
            </w:r>
          </w:p>
        </w:tc>
        <w:tc>
          <w:tcPr>
            <w:tcW w:w="1183" w:type="dxa"/>
          </w:tcPr>
          <w:p w14:paraId="21169000" w14:textId="77777777" w:rsidR="002C6574" w:rsidRDefault="00000000">
            <w:pPr>
              <w:pStyle w:val="TableParagraph"/>
              <w:spacing w:before="27"/>
              <w:ind w:right="57"/>
              <w:rPr>
                <w:rFonts w:ascii="Arial"/>
                <w:b/>
                <w:sz w:val="16"/>
              </w:rPr>
            </w:pPr>
            <w:r>
              <w:rPr>
                <w:rFonts w:ascii="Arial"/>
                <w:b/>
                <w:spacing w:val="-2"/>
                <w:sz w:val="16"/>
              </w:rPr>
              <w:t>337.097</w:t>
            </w:r>
          </w:p>
        </w:tc>
        <w:tc>
          <w:tcPr>
            <w:tcW w:w="1224" w:type="dxa"/>
          </w:tcPr>
          <w:p w14:paraId="799F0E7D" w14:textId="77777777" w:rsidR="002C6574" w:rsidRDefault="00000000">
            <w:pPr>
              <w:pStyle w:val="TableParagraph"/>
              <w:spacing w:before="27"/>
              <w:ind w:right="59"/>
              <w:rPr>
                <w:rFonts w:ascii="Arial"/>
                <w:b/>
                <w:sz w:val="16"/>
              </w:rPr>
            </w:pPr>
            <w:r>
              <w:rPr>
                <w:rFonts w:ascii="Arial"/>
                <w:b/>
                <w:spacing w:val="-2"/>
                <w:sz w:val="16"/>
              </w:rPr>
              <w:t>(15.877)</w:t>
            </w:r>
          </w:p>
        </w:tc>
        <w:tc>
          <w:tcPr>
            <w:tcW w:w="1133" w:type="dxa"/>
          </w:tcPr>
          <w:p w14:paraId="65FBBDFB" w14:textId="77777777" w:rsidR="002C6574" w:rsidRDefault="00000000">
            <w:pPr>
              <w:pStyle w:val="TableParagraph"/>
              <w:spacing w:before="27"/>
              <w:ind w:right="60"/>
              <w:rPr>
                <w:rFonts w:ascii="Arial"/>
                <w:b/>
                <w:sz w:val="16"/>
              </w:rPr>
            </w:pPr>
            <w:r>
              <w:rPr>
                <w:rFonts w:ascii="Arial"/>
                <w:b/>
                <w:spacing w:val="-2"/>
                <w:sz w:val="16"/>
              </w:rPr>
              <w:t>(308.785)</w:t>
            </w:r>
          </w:p>
        </w:tc>
        <w:tc>
          <w:tcPr>
            <w:tcW w:w="1138" w:type="dxa"/>
          </w:tcPr>
          <w:p w14:paraId="05B427AB" w14:textId="77777777" w:rsidR="002C6574" w:rsidRDefault="00000000">
            <w:pPr>
              <w:pStyle w:val="TableParagraph"/>
              <w:spacing w:before="27"/>
              <w:ind w:right="58"/>
              <w:rPr>
                <w:rFonts w:ascii="Arial"/>
                <w:b/>
                <w:sz w:val="16"/>
              </w:rPr>
            </w:pPr>
            <w:r>
              <w:rPr>
                <w:rFonts w:ascii="Arial"/>
                <w:b/>
                <w:spacing w:val="-2"/>
                <w:sz w:val="16"/>
              </w:rPr>
              <w:t>12.435</w:t>
            </w:r>
          </w:p>
        </w:tc>
        <w:tc>
          <w:tcPr>
            <w:tcW w:w="1448" w:type="dxa"/>
            <w:shd w:val="clear" w:color="auto" w:fill="D8D8D8"/>
          </w:tcPr>
          <w:p w14:paraId="6B628AA8" w14:textId="77777777" w:rsidR="002C6574" w:rsidRDefault="002C6574">
            <w:pPr>
              <w:pStyle w:val="TableParagraph"/>
              <w:jc w:val="left"/>
              <w:rPr>
                <w:rFonts w:ascii="Times New Roman"/>
                <w:sz w:val="16"/>
              </w:rPr>
            </w:pPr>
          </w:p>
        </w:tc>
        <w:tc>
          <w:tcPr>
            <w:tcW w:w="1110" w:type="dxa"/>
          </w:tcPr>
          <w:p w14:paraId="3E6E506F" w14:textId="77777777" w:rsidR="002C6574" w:rsidRDefault="00000000">
            <w:pPr>
              <w:pStyle w:val="TableParagraph"/>
              <w:spacing w:before="27"/>
              <w:ind w:right="59"/>
              <w:rPr>
                <w:rFonts w:ascii="Arial"/>
                <w:b/>
                <w:sz w:val="16"/>
              </w:rPr>
            </w:pPr>
            <w:r>
              <w:rPr>
                <w:rFonts w:ascii="Arial"/>
                <w:b/>
                <w:spacing w:val="-2"/>
                <w:sz w:val="16"/>
              </w:rPr>
              <w:t>5.447</w:t>
            </w:r>
          </w:p>
        </w:tc>
      </w:tr>
      <w:tr w:rsidR="002C6574" w14:paraId="7EBB6CA6" w14:textId="77777777">
        <w:trPr>
          <w:trHeight w:val="237"/>
        </w:trPr>
        <w:tc>
          <w:tcPr>
            <w:tcW w:w="2537" w:type="dxa"/>
          </w:tcPr>
          <w:p w14:paraId="791D8D1A" w14:textId="77777777" w:rsidR="002C6574" w:rsidRDefault="00000000">
            <w:pPr>
              <w:pStyle w:val="TableParagraph"/>
              <w:spacing w:before="27"/>
              <w:ind w:left="274"/>
              <w:jc w:val="left"/>
              <w:rPr>
                <w:rFonts w:ascii="Arial" w:hAnsi="Arial"/>
                <w:b/>
                <w:sz w:val="16"/>
              </w:rPr>
            </w:pPr>
            <w:r>
              <w:rPr>
                <w:rFonts w:ascii="Arial" w:hAnsi="Arial"/>
                <w:b/>
                <w:sz w:val="16"/>
              </w:rPr>
              <w:t>Até</w:t>
            </w:r>
            <w:r>
              <w:rPr>
                <w:rFonts w:ascii="Arial" w:hAnsi="Arial"/>
                <w:b/>
                <w:spacing w:val="-3"/>
                <w:sz w:val="16"/>
              </w:rPr>
              <w:t xml:space="preserve"> </w:t>
            </w:r>
            <w:r>
              <w:rPr>
                <w:rFonts w:ascii="Arial" w:hAnsi="Arial"/>
                <w:b/>
                <w:sz w:val="16"/>
              </w:rPr>
              <w:t>30</w:t>
            </w:r>
            <w:r>
              <w:rPr>
                <w:rFonts w:ascii="Arial" w:hAnsi="Arial"/>
                <w:b/>
                <w:spacing w:val="1"/>
                <w:sz w:val="16"/>
              </w:rPr>
              <w:t xml:space="preserve"> </w:t>
            </w:r>
            <w:r>
              <w:rPr>
                <w:rFonts w:ascii="Arial" w:hAnsi="Arial"/>
                <w:b/>
                <w:spacing w:val="-4"/>
                <w:sz w:val="16"/>
              </w:rPr>
              <w:t>dias</w:t>
            </w:r>
          </w:p>
        </w:tc>
        <w:tc>
          <w:tcPr>
            <w:tcW w:w="1183" w:type="dxa"/>
          </w:tcPr>
          <w:p w14:paraId="7DBB14E7" w14:textId="77777777" w:rsidR="002C6574" w:rsidRDefault="00000000">
            <w:pPr>
              <w:pStyle w:val="TableParagraph"/>
              <w:spacing w:before="4" w:line="212" w:lineRule="exact"/>
              <w:ind w:right="57"/>
              <w:rPr>
                <w:sz w:val="16"/>
              </w:rPr>
            </w:pPr>
            <w:r>
              <w:rPr>
                <w:spacing w:val="-2"/>
                <w:w w:val="105"/>
                <w:sz w:val="16"/>
              </w:rPr>
              <w:t>190.135</w:t>
            </w:r>
          </w:p>
        </w:tc>
        <w:tc>
          <w:tcPr>
            <w:tcW w:w="1224" w:type="dxa"/>
          </w:tcPr>
          <w:p w14:paraId="0D1DE8DE" w14:textId="77777777" w:rsidR="002C6574" w:rsidRDefault="00000000">
            <w:pPr>
              <w:pStyle w:val="TableParagraph"/>
              <w:spacing w:before="4" w:line="212" w:lineRule="exact"/>
              <w:ind w:right="60"/>
              <w:rPr>
                <w:sz w:val="16"/>
              </w:rPr>
            </w:pPr>
            <w:r>
              <w:rPr>
                <w:spacing w:val="-2"/>
                <w:w w:val="110"/>
                <w:sz w:val="16"/>
              </w:rPr>
              <w:t>(2.038)</w:t>
            </w:r>
          </w:p>
        </w:tc>
        <w:tc>
          <w:tcPr>
            <w:tcW w:w="1133" w:type="dxa"/>
          </w:tcPr>
          <w:p w14:paraId="4F7B455E" w14:textId="77777777" w:rsidR="002C6574" w:rsidRDefault="00000000">
            <w:pPr>
              <w:pStyle w:val="TableParagraph"/>
              <w:spacing w:before="4" w:line="212" w:lineRule="exact"/>
              <w:ind w:right="60"/>
              <w:rPr>
                <w:sz w:val="16"/>
              </w:rPr>
            </w:pPr>
            <w:r>
              <w:rPr>
                <w:spacing w:val="-2"/>
                <w:w w:val="105"/>
                <w:sz w:val="16"/>
              </w:rPr>
              <w:t>(187.014)</w:t>
            </w:r>
          </w:p>
        </w:tc>
        <w:tc>
          <w:tcPr>
            <w:tcW w:w="1138" w:type="dxa"/>
          </w:tcPr>
          <w:p w14:paraId="4721143E" w14:textId="77777777" w:rsidR="002C6574" w:rsidRDefault="00000000">
            <w:pPr>
              <w:pStyle w:val="TableParagraph"/>
              <w:spacing w:before="4" w:line="212" w:lineRule="exact"/>
              <w:ind w:right="57"/>
              <w:rPr>
                <w:sz w:val="16"/>
              </w:rPr>
            </w:pPr>
            <w:r>
              <w:rPr>
                <w:spacing w:val="-4"/>
                <w:w w:val="110"/>
                <w:sz w:val="16"/>
              </w:rPr>
              <w:t>1.083</w:t>
            </w:r>
          </w:p>
        </w:tc>
        <w:tc>
          <w:tcPr>
            <w:tcW w:w="1448" w:type="dxa"/>
          </w:tcPr>
          <w:p w14:paraId="5B127A58" w14:textId="77777777" w:rsidR="002C6574" w:rsidRDefault="00000000">
            <w:pPr>
              <w:pStyle w:val="TableParagraph"/>
              <w:spacing w:before="4" w:line="212" w:lineRule="exact"/>
              <w:ind w:right="60"/>
              <w:rPr>
                <w:sz w:val="16"/>
              </w:rPr>
            </w:pPr>
            <w:r>
              <w:rPr>
                <w:spacing w:val="-2"/>
                <w:w w:val="110"/>
                <w:sz w:val="16"/>
              </w:rPr>
              <w:t>1,65%</w:t>
            </w:r>
          </w:p>
        </w:tc>
        <w:tc>
          <w:tcPr>
            <w:tcW w:w="1110" w:type="dxa"/>
          </w:tcPr>
          <w:p w14:paraId="6EEC6A6B" w14:textId="77777777" w:rsidR="002C6574" w:rsidRDefault="00000000">
            <w:pPr>
              <w:pStyle w:val="TableParagraph"/>
              <w:spacing w:before="4" w:line="212" w:lineRule="exact"/>
              <w:ind w:right="60"/>
              <w:rPr>
                <w:sz w:val="16"/>
              </w:rPr>
            </w:pPr>
            <w:r>
              <w:rPr>
                <w:spacing w:val="-5"/>
                <w:w w:val="105"/>
                <w:sz w:val="16"/>
              </w:rPr>
              <w:t>18</w:t>
            </w:r>
          </w:p>
        </w:tc>
      </w:tr>
      <w:tr w:rsidR="002C6574" w14:paraId="712C4141" w14:textId="77777777">
        <w:trPr>
          <w:trHeight w:val="239"/>
        </w:trPr>
        <w:tc>
          <w:tcPr>
            <w:tcW w:w="2537" w:type="dxa"/>
          </w:tcPr>
          <w:p w14:paraId="77441E27" w14:textId="77777777" w:rsidR="002C6574" w:rsidRDefault="00000000">
            <w:pPr>
              <w:pStyle w:val="TableParagraph"/>
              <w:spacing w:before="29"/>
              <w:ind w:left="274"/>
              <w:jc w:val="left"/>
              <w:rPr>
                <w:rFonts w:ascii="Arial"/>
                <w:b/>
                <w:sz w:val="16"/>
              </w:rPr>
            </w:pPr>
            <w:r>
              <w:rPr>
                <w:rFonts w:ascii="Arial"/>
                <w:b/>
                <w:sz w:val="16"/>
              </w:rPr>
              <w:t>De 31</w:t>
            </w:r>
            <w:r>
              <w:rPr>
                <w:rFonts w:ascii="Arial"/>
                <w:b/>
                <w:spacing w:val="-1"/>
                <w:sz w:val="16"/>
              </w:rPr>
              <w:t xml:space="preserve"> </w:t>
            </w:r>
            <w:r>
              <w:rPr>
                <w:rFonts w:ascii="Arial"/>
                <w:b/>
                <w:sz w:val="16"/>
              </w:rPr>
              <w:t>a</w:t>
            </w:r>
            <w:r>
              <w:rPr>
                <w:rFonts w:ascii="Arial"/>
                <w:b/>
                <w:spacing w:val="1"/>
                <w:sz w:val="16"/>
              </w:rPr>
              <w:t xml:space="preserve"> </w:t>
            </w:r>
            <w:r>
              <w:rPr>
                <w:rFonts w:ascii="Arial"/>
                <w:b/>
                <w:sz w:val="16"/>
              </w:rPr>
              <w:t>60</w:t>
            </w:r>
            <w:r>
              <w:rPr>
                <w:rFonts w:ascii="Arial"/>
                <w:b/>
                <w:spacing w:val="-3"/>
                <w:sz w:val="16"/>
              </w:rPr>
              <w:t xml:space="preserve"> </w:t>
            </w:r>
            <w:r>
              <w:rPr>
                <w:rFonts w:ascii="Arial"/>
                <w:b/>
                <w:spacing w:val="-4"/>
                <w:sz w:val="16"/>
              </w:rPr>
              <w:t>dias</w:t>
            </w:r>
          </w:p>
        </w:tc>
        <w:tc>
          <w:tcPr>
            <w:tcW w:w="1183" w:type="dxa"/>
          </w:tcPr>
          <w:p w14:paraId="0B45B622" w14:textId="77777777" w:rsidR="002C6574" w:rsidRDefault="00000000">
            <w:pPr>
              <w:pStyle w:val="TableParagraph"/>
              <w:spacing w:before="7" w:line="212" w:lineRule="exact"/>
              <w:ind w:right="57"/>
              <w:rPr>
                <w:sz w:val="16"/>
              </w:rPr>
            </w:pPr>
            <w:r>
              <w:rPr>
                <w:spacing w:val="-4"/>
                <w:w w:val="110"/>
                <w:sz w:val="16"/>
              </w:rPr>
              <w:t>8.386</w:t>
            </w:r>
          </w:p>
        </w:tc>
        <w:tc>
          <w:tcPr>
            <w:tcW w:w="1224" w:type="dxa"/>
          </w:tcPr>
          <w:p w14:paraId="0C68E27D" w14:textId="77777777" w:rsidR="002C6574" w:rsidRDefault="00000000">
            <w:pPr>
              <w:pStyle w:val="TableParagraph"/>
              <w:spacing w:before="7" w:line="212" w:lineRule="exact"/>
              <w:ind w:right="62"/>
              <w:rPr>
                <w:sz w:val="16"/>
              </w:rPr>
            </w:pPr>
            <w:r>
              <w:rPr>
                <w:spacing w:val="-4"/>
                <w:w w:val="105"/>
                <w:sz w:val="16"/>
              </w:rPr>
              <w:t>(777)</w:t>
            </w:r>
          </w:p>
        </w:tc>
        <w:tc>
          <w:tcPr>
            <w:tcW w:w="1133" w:type="dxa"/>
          </w:tcPr>
          <w:p w14:paraId="2EC5885D" w14:textId="77777777" w:rsidR="002C6574" w:rsidRDefault="00000000">
            <w:pPr>
              <w:pStyle w:val="TableParagraph"/>
              <w:spacing w:before="7" w:line="212" w:lineRule="exact"/>
              <w:ind w:right="60"/>
              <w:rPr>
                <w:sz w:val="16"/>
              </w:rPr>
            </w:pPr>
            <w:r>
              <w:rPr>
                <w:spacing w:val="-2"/>
                <w:w w:val="110"/>
                <w:sz w:val="16"/>
              </w:rPr>
              <w:t>(4.963)</w:t>
            </w:r>
          </w:p>
        </w:tc>
        <w:tc>
          <w:tcPr>
            <w:tcW w:w="1138" w:type="dxa"/>
          </w:tcPr>
          <w:p w14:paraId="6B0D1F0A" w14:textId="77777777" w:rsidR="002C6574" w:rsidRDefault="00000000">
            <w:pPr>
              <w:pStyle w:val="TableParagraph"/>
              <w:spacing w:before="7" w:line="212" w:lineRule="exact"/>
              <w:ind w:right="57"/>
              <w:rPr>
                <w:sz w:val="16"/>
              </w:rPr>
            </w:pPr>
            <w:r>
              <w:rPr>
                <w:spacing w:val="-4"/>
                <w:w w:val="110"/>
                <w:sz w:val="16"/>
              </w:rPr>
              <w:t>2.646</w:t>
            </w:r>
          </w:p>
        </w:tc>
        <w:tc>
          <w:tcPr>
            <w:tcW w:w="1448" w:type="dxa"/>
          </w:tcPr>
          <w:p w14:paraId="716CB8DE" w14:textId="77777777" w:rsidR="002C6574" w:rsidRDefault="00000000">
            <w:pPr>
              <w:pStyle w:val="TableParagraph"/>
              <w:spacing w:before="7" w:line="212" w:lineRule="exact"/>
              <w:ind w:right="60"/>
              <w:rPr>
                <w:sz w:val="16"/>
              </w:rPr>
            </w:pPr>
            <w:r>
              <w:rPr>
                <w:spacing w:val="-2"/>
                <w:w w:val="110"/>
                <w:sz w:val="16"/>
              </w:rPr>
              <w:t>9,97%</w:t>
            </w:r>
          </w:p>
        </w:tc>
        <w:tc>
          <w:tcPr>
            <w:tcW w:w="1110" w:type="dxa"/>
          </w:tcPr>
          <w:p w14:paraId="72FD0EC3" w14:textId="77777777" w:rsidR="002C6574" w:rsidRDefault="00000000">
            <w:pPr>
              <w:pStyle w:val="TableParagraph"/>
              <w:spacing w:before="7" w:line="212" w:lineRule="exact"/>
              <w:ind w:right="60"/>
              <w:rPr>
                <w:sz w:val="16"/>
              </w:rPr>
            </w:pPr>
            <w:r>
              <w:rPr>
                <w:spacing w:val="-5"/>
                <w:w w:val="105"/>
                <w:sz w:val="16"/>
              </w:rPr>
              <w:t>264</w:t>
            </w:r>
          </w:p>
        </w:tc>
      </w:tr>
      <w:tr w:rsidR="002C6574" w14:paraId="10CC049F" w14:textId="77777777">
        <w:trPr>
          <w:trHeight w:val="237"/>
        </w:trPr>
        <w:tc>
          <w:tcPr>
            <w:tcW w:w="2537" w:type="dxa"/>
          </w:tcPr>
          <w:p w14:paraId="49D0428A" w14:textId="77777777" w:rsidR="002C6574" w:rsidRDefault="00000000">
            <w:pPr>
              <w:pStyle w:val="TableParagraph"/>
              <w:spacing w:before="27"/>
              <w:ind w:left="274"/>
              <w:jc w:val="left"/>
              <w:rPr>
                <w:rFonts w:ascii="Arial"/>
                <w:b/>
                <w:sz w:val="16"/>
              </w:rPr>
            </w:pPr>
            <w:r>
              <w:rPr>
                <w:rFonts w:ascii="Arial"/>
                <w:b/>
                <w:sz w:val="16"/>
              </w:rPr>
              <w:t>De 61</w:t>
            </w:r>
            <w:r>
              <w:rPr>
                <w:rFonts w:ascii="Arial"/>
                <w:b/>
                <w:spacing w:val="-1"/>
                <w:sz w:val="16"/>
              </w:rPr>
              <w:t xml:space="preserve"> </w:t>
            </w:r>
            <w:r>
              <w:rPr>
                <w:rFonts w:ascii="Arial"/>
                <w:b/>
                <w:sz w:val="16"/>
              </w:rPr>
              <w:t>a</w:t>
            </w:r>
            <w:r>
              <w:rPr>
                <w:rFonts w:ascii="Arial"/>
                <w:b/>
                <w:spacing w:val="1"/>
                <w:sz w:val="16"/>
              </w:rPr>
              <w:t xml:space="preserve"> </w:t>
            </w:r>
            <w:r>
              <w:rPr>
                <w:rFonts w:ascii="Arial"/>
                <w:b/>
                <w:sz w:val="16"/>
              </w:rPr>
              <w:t>90</w:t>
            </w:r>
            <w:r>
              <w:rPr>
                <w:rFonts w:ascii="Arial"/>
                <w:b/>
                <w:spacing w:val="-3"/>
                <w:sz w:val="16"/>
              </w:rPr>
              <w:t xml:space="preserve"> </w:t>
            </w:r>
            <w:r>
              <w:rPr>
                <w:rFonts w:ascii="Arial"/>
                <w:b/>
                <w:spacing w:val="-4"/>
                <w:sz w:val="16"/>
              </w:rPr>
              <w:t>dias</w:t>
            </w:r>
          </w:p>
        </w:tc>
        <w:tc>
          <w:tcPr>
            <w:tcW w:w="1183" w:type="dxa"/>
          </w:tcPr>
          <w:p w14:paraId="55957F93" w14:textId="77777777" w:rsidR="002C6574" w:rsidRDefault="00000000">
            <w:pPr>
              <w:pStyle w:val="TableParagraph"/>
              <w:spacing w:before="4" w:line="212" w:lineRule="exact"/>
              <w:ind w:right="57"/>
              <w:rPr>
                <w:sz w:val="16"/>
              </w:rPr>
            </w:pPr>
            <w:r>
              <w:rPr>
                <w:spacing w:val="-2"/>
                <w:w w:val="105"/>
                <w:sz w:val="16"/>
              </w:rPr>
              <w:t>37.048</w:t>
            </w:r>
          </w:p>
        </w:tc>
        <w:tc>
          <w:tcPr>
            <w:tcW w:w="1224" w:type="dxa"/>
          </w:tcPr>
          <w:p w14:paraId="634C0344" w14:textId="77777777" w:rsidR="002C6574" w:rsidRDefault="00000000">
            <w:pPr>
              <w:pStyle w:val="TableParagraph"/>
              <w:spacing w:before="4" w:line="212" w:lineRule="exact"/>
              <w:ind w:right="60"/>
              <w:rPr>
                <w:sz w:val="16"/>
              </w:rPr>
            </w:pPr>
            <w:r>
              <w:rPr>
                <w:spacing w:val="-2"/>
                <w:w w:val="110"/>
                <w:sz w:val="16"/>
              </w:rPr>
              <w:t>(1.316)</w:t>
            </w:r>
          </w:p>
        </w:tc>
        <w:tc>
          <w:tcPr>
            <w:tcW w:w="1133" w:type="dxa"/>
          </w:tcPr>
          <w:p w14:paraId="762631E0" w14:textId="77777777" w:rsidR="002C6574" w:rsidRDefault="00000000">
            <w:pPr>
              <w:pStyle w:val="TableParagraph"/>
              <w:spacing w:before="4" w:line="212" w:lineRule="exact"/>
              <w:ind w:right="59"/>
              <w:rPr>
                <w:sz w:val="16"/>
              </w:rPr>
            </w:pPr>
            <w:r>
              <w:rPr>
                <w:spacing w:val="-2"/>
                <w:w w:val="110"/>
                <w:sz w:val="16"/>
              </w:rPr>
              <w:t>(34.826)</w:t>
            </w:r>
          </w:p>
        </w:tc>
        <w:tc>
          <w:tcPr>
            <w:tcW w:w="1138" w:type="dxa"/>
          </w:tcPr>
          <w:p w14:paraId="325446FA" w14:textId="77777777" w:rsidR="002C6574" w:rsidRDefault="00000000">
            <w:pPr>
              <w:pStyle w:val="TableParagraph"/>
              <w:spacing w:before="4" w:line="212" w:lineRule="exact"/>
              <w:ind w:right="58"/>
              <w:rPr>
                <w:sz w:val="16"/>
              </w:rPr>
            </w:pPr>
            <w:r>
              <w:rPr>
                <w:spacing w:val="-5"/>
                <w:w w:val="105"/>
                <w:sz w:val="16"/>
              </w:rPr>
              <w:t>906</w:t>
            </w:r>
          </w:p>
        </w:tc>
        <w:tc>
          <w:tcPr>
            <w:tcW w:w="1448" w:type="dxa"/>
          </w:tcPr>
          <w:p w14:paraId="6633AE2C" w14:textId="77777777" w:rsidR="002C6574" w:rsidRDefault="00000000">
            <w:pPr>
              <w:pStyle w:val="TableParagraph"/>
              <w:spacing w:before="4" w:line="212" w:lineRule="exact"/>
              <w:ind w:right="60"/>
              <w:rPr>
                <w:sz w:val="16"/>
              </w:rPr>
            </w:pPr>
            <w:r>
              <w:rPr>
                <w:spacing w:val="-2"/>
                <w:w w:val="110"/>
                <w:sz w:val="16"/>
              </w:rPr>
              <w:t>19,87%</w:t>
            </w:r>
          </w:p>
        </w:tc>
        <w:tc>
          <w:tcPr>
            <w:tcW w:w="1110" w:type="dxa"/>
          </w:tcPr>
          <w:p w14:paraId="67ADC784" w14:textId="77777777" w:rsidR="002C6574" w:rsidRDefault="00000000">
            <w:pPr>
              <w:pStyle w:val="TableParagraph"/>
              <w:spacing w:before="4" w:line="212" w:lineRule="exact"/>
              <w:ind w:right="60"/>
              <w:rPr>
                <w:sz w:val="16"/>
              </w:rPr>
            </w:pPr>
            <w:r>
              <w:rPr>
                <w:spacing w:val="-5"/>
                <w:w w:val="105"/>
                <w:sz w:val="16"/>
              </w:rPr>
              <w:t>180</w:t>
            </w:r>
          </w:p>
        </w:tc>
      </w:tr>
      <w:tr w:rsidR="002C6574" w14:paraId="0174AEB6" w14:textId="77777777">
        <w:trPr>
          <w:trHeight w:val="237"/>
        </w:trPr>
        <w:tc>
          <w:tcPr>
            <w:tcW w:w="2537" w:type="dxa"/>
          </w:tcPr>
          <w:p w14:paraId="7DDA104A" w14:textId="77777777" w:rsidR="002C6574" w:rsidRDefault="00000000">
            <w:pPr>
              <w:pStyle w:val="TableParagraph"/>
              <w:spacing w:before="27"/>
              <w:ind w:left="274"/>
              <w:jc w:val="left"/>
              <w:rPr>
                <w:rFonts w:ascii="Arial"/>
                <w:b/>
                <w:sz w:val="16"/>
              </w:rPr>
            </w:pPr>
            <w:r>
              <w:rPr>
                <w:rFonts w:ascii="Arial"/>
                <w:b/>
                <w:sz w:val="16"/>
              </w:rPr>
              <w:t>De</w:t>
            </w:r>
            <w:r>
              <w:rPr>
                <w:rFonts w:ascii="Arial"/>
                <w:b/>
                <w:spacing w:val="-2"/>
                <w:sz w:val="16"/>
              </w:rPr>
              <w:t xml:space="preserve"> </w:t>
            </w:r>
            <w:r>
              <w:rPr>
                <w:rFonts w:ascii="Arial"/>
                <w:b/>
                <w:sz w:val="16"/>
              </w:rPr>
              <w:t>91</w:t>
            </w:r>
            <w:r>
              <w:rPr>
                <w:rFonts w:ascii="Arial"/>
                <w:b/>
                <w:spacing w:val="-2"/>
                <w:sz w:val="16"/>
              </w:rPr>
              <w:t xml:space="preserve"> </w:t>
            </w:r>
            <w:r>
              <w:rPr>
                <w:rFonts w:ascii="Arial"/>
                <w:b/>
                <w:sz w:val="16"/>
              </w:rPr>
              <w:t>a</w:t>
            </w:r>
            <w:r>
              <w:rPr>
                <w:rFonts w:ascii="Arial"/>
                <w:b/>
                <w:spacing w:val="1"/>
                <w:sz w:val="16"/>
              </w:rPr>
              <w:t xml:space="preserve"> </w:t>
            </w:r>
            <w:r>
              <w:rPr>
                <w:rFonts w:ascii="Arial"/>
                <w:b/>
                <w:sz w:val="16"/>
              </w:rPr>
              <w:t>120</w:t>
            </w:r>
            <w:r>
              <w:rPr>
                <w:rFonts w:ascii="Arial"/>
                <w:b/>
                <w:spacing w:val="-3"/>
                <w:sz w:val="16"/>
              </w:rPr>
              <w:t xml:space="preserve"> </w:t>
            </w:r>
            <w:r>
              <w:rPr>
                <w:rFonts w:ascii="Arial"/>
                <w:b/>
                <w:spacing w:val="-4"/>
                <w:sz w:val="16"/>
              </w:rPr>
              <w:t>dias</w:t>
            </w:r>
          </w:p>
        </w:tc>
        <w:tc>
          <w:tcPr>
            <w:tcW w:w="1183" w:type="dxa"/>
          </w:tcPr>
          <w:p w14:paraId="31AFE07E" w14:textId="77777777" w:rsidR="002C6574" w:rsidRDefault="00000000">
            <w:pPr>
              <w:pStyle w:val="TableParagraph"/>
              <w:spacing w:before="4" w:line="212" w:lineRule="exact"/>
              <w:ind w:right="57"/>
              <w:rPr>
                <w:sz w:val="16"/>
              </w:rPr>
            </w:pPr>
            <w:r>
              <w:rPr>
                <w:spacing w:val="-4"/>
                <w:w w:val="110"/>
                <w:sz w:val="16"/>
              </w:rPr>
              <w:t>6.742</w:t>
            </w:r>
          </w:p>
        </w:tc>
        <w:tc>
          <w:tcPr>
            <w:tcW w:w="1224" w:type="dxa"/>
          </w:tcPr>
          <w:p w14:paraId="4344141F" w14:textId="77777777" w:rsidR="002C6574" w:rsidRDefault="00000000">
            <w:pPr>
              <w:pStyle w:val="TableParagraph"/>
              <w:spacing w:before="4" w:line="212" w:lineRule="exact"/>
              <w:ind w:right="61"/>
              <w:rPr>
                <w:sz w:val="16"/>
              </w:rPr>
            </w:pPr>
            <w:r>
              <w:rPr>
                <w:spacing w:val="-4"/>
                <w:w w:val="105"/>
                <w:sz w:val="16"/>
              </w:rPr>
              <w:t>(64)</w:t>
            </w:r>
          </w:p>
        </w:tc>
        <w:tc>
          <w:tcPr>
            <w:tcW w:w="1133" w:type="dxa"/>
          </w:tcPr>
          <w:p w14:paraId="25C4B4A4" w14:textId="77777777" w:rsidR="002C6574" w:rsidRDefault="00000000">
            <w:pPr>
              <w:pStyle w:val="TableParagraph"/>
              <w:spacing w:before="4" w:line="212" w:lineRule="exact"/>
              <w:ind w:right="60"/>
              <w:rPr>
                <w:sz w:val="16"/>
              </w:rPr>
            </w:pPr>
            <w:r>
              <w:rPr>
                <w:spacing w:val="-2"/>
                <w:w w:val="110"/>
                <w:sz w:val="16"/>
              </w:rPr>
              <w:t>(5.937)</w:t>
            </w:r>
          </w:p>
        </w:tc>
        <w:tc>
          <w:tcPr>
            <w:tcW w:w="1138" w:type="dxa"/>
          </w:tcPr>
          <w:p w14:paraId="0652C715" w14:textId="77777777" w:rsidR="002C6574" w:rsidRDefault="00000000">
            <w:pPr>
              <w:pStyle w:val="TableParagraph"/>
              <w:spacing w:before="4" w:line="212" w:lineRule="exact"/>
              <w:ind w:right="58"/>
              <w:rPr>
                <w:sz w:val="16"/>
              </w:rPr>
            </w:pPr>
            <w:r>
              <w:rPr>
                <w:spacing w:val="-5"/>
                <w:w w:val="105"/>
                <w:sz w:val="16"/>
              </w:rPr>
              <w:t>741</w:t>
            </w:r>
          </w:p>
        </w:tc>
        <w:tc>
          <w:tcPr>
            <w:tcW w:w="1448" w:type="dxa"/>
          </w:tcPr>
          <w:p w14:paraId="30AC1964" w14:textId="77777777" w:rsidR="002C6574" w:rsidRDefault="00000000">
            <w:pPr>
              <w:pStyle w:val="TableParagraph"/>
              <w:spacing w:before="4" w:line="212" w:lineRule="exact"/>
              <w:ind w:right="60"/>
              <w:rPr>
                <w:sz w:val="16"/>
              </w:rPr>
            </w:pPr>
            <w:r>
              <w:rPr>
                <w:spacing w:val="-2"/>
                <w:w w:val="110"/>
                <w:sz w:val="16"/>
              </w:rPr>
              <w:t>30,28%</w:t>
            </w:r>
          </w:p>
        </w:tc>
        <w:tc>
          <w:tcPr>
            <w:tcW w:w="1110" w:type="dxa"/>
          </w:tcPr>
          <w:p w14:paraId="5556E3F9" w14:textId="77777777" w:rsidR="002C6574" w:rsidRDefault="00000000">
            <w:pPr>
              <w:pStyle w:val="TableParagraph"/>
              <w:spacing w:before="4" w:line="212" w:lineRule="exact"/>
              <w:ind w:right="60"/>
              <w:rPr>
                <w:sz w:val="16"/>
              </w:rPr>
            </w:pPr>
            <w:r>
              <w:rPr>
                <w:spacing w:val="-5"/>
                <w:w w:val="105"/>
                <w:sz w:val="16"/>
              </w:rPr>
              <w:t>224</w:t>
            </w:r>
          </w:p>
        </w:tc>
      </w:tr>
      <w:tr w:rsidR="002C6574" w14:paraId="1E6142B4" w14:textId="77777777">
        <w:trPr>
          <w:trHeight w:val="239"/>
        </w:trPr>
        <w:tc>
          <w:tcPr>
            <w:tcW w:w="2537" w:type="dxa"/>
          </w:tcPr>
          <w:p w14:paraId="745F3B21" w14:textId="77777777" w:rsidR="002C6574" w:rsidRDefault="00000000">
            <w:pPr>
              <w:pStyle w:val="TableParagraph"/>
              <w:spacing w:before="29"/>
              <w:ind w:right="921"/>
              <w:rPr>
                <w:rFonts w:ascii="Arial"/>
                <w:b/>
                <w:sz w:val="16"/>
              </w:rPr>
            </w:pPr>
            <w:r>
              <w:rPr>
                <w:rFonts w:ascii="Arial"/>
                <w:b/>
                <w:sz w:val="16"/>
              </w:rPr>
              <w:t>De 121 a</w:t>
            </w:r>
            <w:r>
              <w:rPr>
                <w:rFonts w:ascii="Arial"/>
                <w:b/>
                <w:spacing w:val="-2"/>
                <w:sz w:val="16"/>
              </w:rPr>
              <w:t xml:space="preserve"> </w:t>
            </w:r>
            <w:r>
              <w:rPr>
                <w:rFonts w:ascii="Arial"/>
                <w:b/>
                <w:sz w:val="16"/>
              </w:rPr>
              <w:t>150</w:t>
            </w:r>
            <w:r>
              <w:rPr>
                <w:rFonts w:ascii="Arial"/>
                <w:b/>
                <w:spacing w:val="-3"/>
                <w:sz w:val="16"/>
              </w:rPr>
              <w:t xml:space="preserve"> </w:t>
            </w:r>
            <w:r>
              <w:rPr>
                <w:rFonts w:ascii="Arial"/>
                <w:b/>
                <w:spacing w:val="-4"/>
                <w:sz w:val="16"/>
              </w:rPr>
              <w:t>dias</w:t>
            </w:r>
          </w:p>
        </w:tc>
        <w:tc>
          <w:tcPr>
            <w:tcW w:w="1183" w:type="dxa"/>
          </w:tcPr>
          <w:p w14:paraId="046C57FB" w14:textId="77777777" w:rsidR="002C6574" w:rsidRDefault="00000000">
            <w:pPr>
              <w:pStyle w:val="TableParagraph"/>
              <w:spacing w:before="7" w:line="212" w:lineRule="exact"/>
              <w:ind w:right="57"/>
              <w:rPr>
                <w:sz w:val="16"/>
              </w:rPr>
            </w:pPr>
            <w:r>
              <w:rPr>
                <w:spacing w:val="-2"/>
                <w:w w:val="105"/>
                <w:sz w:val="16"/>
              </w:rPr>
              <w:t>23.608</w:t>
            </w:r>
          </w:p>
        </w:tc>
        <w:tc>
          <w:tcPr>
            <w:tcW w:w="1224" w:type="dxa"/>
          </w:tcPr>
          <w:p w14:paraId="4B77E1EB" w14:textId="77777777" w:rsidR="002C6574" w:rsidRDefault="00000000">
            <w:pPr>
              <w:pStyle w:val="TableParagraph"/>
              <w:spacing w:before="7" w:line="212" w:lineRule="exact"/>
              <w:ind w:right="62"/>
              <w:rPr>
                <w:sz w:val="16"/>
              </w:rPr>
            </w:pPr>
            <w:r>
              <w:rPr>
                <w:spacing w:val="-4"/>
                <w:w w:val="105"/>
                <w:sz w:val="16"/>
              </w:rPr>
              <w:t>(395)</w:t>
            </w:r>
          </w:p>
        </w:tc>
        <w:tc>
          <w:tcPr>
            <w:tcW w:w="1133" w:type="dxa"/>
          </w:tcPr>
          <w:p w14:paraId="5122D4E1" w14:textId="77777777" w:rsidR="002C6574" w:rsidRDefault="00000000">
            <w:pPr>
              <w:pStyle w:val="TableParagraph"/>
              <w:spacing w:before="7" w:line="212" w:lineRule="exact"/>
              <w:ind w:right="59"/>
              <w:rPr>
                <w:sz w:val="16"/>
              </w:rPr>
            </w:pPr>
            <w:r>
              <w:rPr>
                <w:spacing w:val="-2"/>
                <w:w w:val="110"/>
                <w:sz w:val="16"/>
              </w:rPr>
              <w:t>(22.237)</w:t>
            </w:r>
          </w:p>
        </w:tc>
        <w:tc>
          <w:tcPr>
            <w:tcW w:w="1138" w:type="dxa"/>
          </w:tcPr>
          <w:p w14:paraId="404D93C8" w14:textId="77777777" w:rsidR="002C6574" w:rsidRDefault="00000000">
            <w:pPr>
              <w:pStyle w:val="TableParagraph"/>
              <w:spacing w:before="7" w:line="212" w:lineRule="exact"/>
              <w:ind w:right="58"/>
              <w:rPr>
                <w:sz w:val="16"/>
              </w:rPr>
            </w:pPr>
            <w:r>
              <w:rPr>
                <w:spacing w:val="-5"/>
                <w:w w:val="105"/>
                <w:sz w:val="16"/>
              </w:rPr>
              <w:t>976</w:t>
            </w:r>
          </w:p>
        </w:tc>
        <w:tc>
          <w:tcPr>
            <w:tcW w:w="1448" w:type="dxa"/>
          </w:tcPr>
          <w:p w14:paraId="7B2B238A" w14:textId="77777777" w:rsidR="002C6574" w:rsidRDefault="00000000">
            <w:pPr>
              <w:pStyle w:val="TableParagraph"/>
              <w:spacing w:before="7" w:line="212" w:lineRule="exact"/>
              <w:ind w:right="60"/>
              <w:rPr>
                <w:sz w:val="16"/>
              </w:rPr>
            </w:pPr>
            <w:r>
              <w:rPr>
                <w:spacing w:val="-2"/>
                <w:w w:val="110"/>
                <w:sz w:val="16"/>
              </w:rPr>
              <w:t>45,92%</w:t>
            </w:r>
          </w:p>
        </w:tc>
        <w:tc>
          <w:tcPr>
            <w:tcW w:w="1110" w:type="dxa"/>
          </w:tcPr>
          <w:p w14:paraId="40FF54B4" w14:textId="77777777" w:rsidR="002C6574" w:rsidRDefault="00000000">
            <w:pPr>
              <w:pStyle w:val="TableParagraph"/>
              <w:spacing w:before="7" w:line="212" w:lineRule="exact"/>
              <w:ind w:right="60"/>
              <w:rPr>
                <w:sz w:val="16"/>
              </w:rPr>
            </w:pPr>
            <w:r>
              <w:rPr>
                <w:spacing w:val="-5"/>
                <w:w w:val="105"/>
                <w:sz w:val="16"/>
              </w:rPr>
              <w:t>449</w:t>
            </w:r>
          </w:p>
        </w:tc>
      </w:tr>
      <w:tr w:rsidR="002C6574" w14:paraId="0FF173EE" w14:textId="77777777">
        <w:trPr>
          <w:trHeight w:val="237"/>
        </w:trPr>
        <w:tc>
          <w:tcPr>
            <w:tcW w:w="2537" w:type="dxa"/>
          </w:tcPr>
          <w:p w14:paraId="1448A78B" w14:textId="77777777" w:rsidR="002C6574" w:rsidRDefault="00000000">
            <w:pPr>
              <w:pStyle w:val="TableParagraph"/>
              <w:spacing w:before="27"/>
              <w:ind w:right="921"/>
              <w:rPr>
                <w:rFonts w:ascii="Arial"/>
                <w:b/>
                <w:sz w:val="16"/>
              </w:rPr>
            </w:pPr>
            <w:r>
              <w:rPr>
                <w:rFonts w:ascii="Arial"/>
                <w:b/>
                <w:sz w:val="16"/>
              </w:rPr>
              <w:t>De 151 a</w:t>
            </w:r>
            <w:r>
              <w:rPr>
                <w:rFonts w:ascii="Arial"/>
                <w:b/>
                <w:spacing w:val="-2"/>
                <w:sz w:val="16"/>
              </w:rPr>
              <w:t xml:space="preserve"> </w:t>
            </w:r>
            <w:r>
              <w:rPr>
                <w:rFonts w:ascii="Arial"/>
                <w:b/>
                <w:sz w:val="16"/>
              </w:rPr>
              <w:t>180</w:t>
            </w:r>
            <w:r>
              <w:rPr>
                <w:rFonts w:ascii="Arial"/>
                <w:b/>
                <w:spacing w:val="-3"/>
                <w:sz w:val="16"/>
              </w:rPr>
              <w:t xml:space="preserve"> </w:t>
            </w:r>
            <w:r>
              <w:rPr>
                <w:rFonts w:ascii="Arial"/>
                <w:b/>
                <w:spacing w:val="-4"/>
                <w:sz w:val="16"/>
              </w:rPr>
              <w:t>dias</w:t>
            </w:r>
          </w:p>
        </w:tc>
        <w:tc>
          <w:tcPr>
            <w:tcW w:w="1183" w:type="dxa"/>
          </w:tcPr>
          <w:p w14:paraId="42504328" w14:textId="77777777" w:rsidR="002C6574" w:rsidRDefault="00000000">
            <w:pPr>
              <w:pStyle w:val="TableParagraph"/>
              <w:spacing w:before="4" w:line="212" w:lineRule="exact"/>
              <w:ind w:right="57"/>
              <w:rPr>
                <w:sz w:val="16"/>
              </w:rPr>
            </w:pPr>
            <w:r>
              <w:rPr>
                <w:spacing w:val="-4"/>
                <w:w w:val="110"/>
                <w:sz w:val="16"/>
              </w:rPr>
              <w:t>7.310</w:t>
            </w:r>
          </w:p>
        </w:tc>
        <w:tc>
          <w:tcPr>
            <w:tcW w:w="1224" w:type="dxa"/>
          </w:tcPr>
          <w:p w14:paraId="1C2D3032" w14:textId="77777777" w:rsidR="002C6574" w:rsidRDefault="00000000">
            <w:pPr>
              <w:pStyle w:val="TableParagraph"/>
              <w:spacing w:before="4" w:line="212" w:lineRule="exact"/>
              <w:ind w:right="61"/>
              <w:rPr>
                <w:sz w:val="16"/>
              </w:rPr>
            </w:pPr>
            <w:r>
              <w:rPr>
                <w:spacing w:val="-4"/>
                <w:w w:val="105"/>
                <w:sz w:val="16"/>
              </w:rPr>
              <w:t>(13)</w:t>
            </w:r>
          </w:p>
        </w:tc>
        <w:tc>
          <w:tcPr>
            <w:tcW w:w="1133" w:type="dxa"/>
          </w:tcPr>
          <w:p w14:paraId="0C9EBFC4" w14:textId="77777777" w:rsidR="002C6574" w:rsidRDefault="00000000">
            <w:pPr>
              <w:pStyle w:val="TableParagraph"/>
              <w:spacing w:before="4" w:line="212" w:lineRule="exact"/>
              <w:ind w:right="60"/>
              <w:rPr>
                <w:sz w:val="16"/>
              </w:rPr>
            </w:pPr>
            <w:r>
              <w:rPr>
                <w:spacing w:val="-2"/>
                <w:w w:val="110"/>
                <w:sz w:val="16"/>
              </w:rPr>
              <w:t>(7.175)</w:t>
            </w:r>
          </w:p>
        </w:tc>
        <w:tc>
          <w:tcPr>
            <w:tcW w:w="1138" w:type="dxa"/>
          </w:tcPr>
          <w:p w14:paraId="412F6E43" w14:textId="77777777" w:rsidR="002C6574" w:rsidRDefault="00000000">
            <w:pPr>
              <w:pStyle w:val="TableParagraph"/>
              <w:spacing w:before="4" w:line="212" w:lineRule="exact"/>
              <w:ind w:right="58"/>
              <w:rPr>
                <w:sz w:val="16"/>
              </w:rPr>
            </w:pPr>
            <w:r>
              <w:rPr>
                <w:spacing w:val="-5"/>
                <w:w w:val="105"/>
                <w:sz w:val="16"/>
              </w:rPr>
              <w:t>122</w:t>
            </w:r>
          </w:p>
        </w:tc>
        <w:tc>
          <w:tcPr>
            <w:tcW w:w="1448" w:type="dxa"/>
          </w:tcPr>
          <w:p w14:paraId="53A5D2AF" w14:textId="77777777" w:rsidR="002C6574" w:rsidRDefault="00000000">
            <w:pPr>
              <w:pStyle w:val="TableParagraph"/>
              <w:spacing w:before="4" w:line="212" w:lineRule="exact"/>
              <w:ind w:right="60"/>
              <w:rPr>
                <w:sz w:val="16"/>
              </w:rPr>
            </w:pPr>
            <w:r>
              <w:rPr>
                <w:spacing w:val="-2"/>
                <w:w w:val="110"/>
                <w:sz w:val="16"/>
              </w:rPr>
              <w:t>57,56%</w:t>
            </w:r>
          </w:p>
        </w:tc>
        <w:tc>
          <w:tcPr>
            <w:tcW w:w="1110" w:type="dxa"/>
          </w:tcPr>
          <w:p w14:paraId="1B907551" w14:textId="77777777" w:rsidR="002C6574" w:rsidRDefault="00000000">
            <w:pPr>
              <w:pStyle w:val="TableParagraph"/>
              <w:spacing w:before="4" w:line="212" w:lineRule="exact"/>
              <w:ind w:right="60"/>
              <w:rPr>
                <w:sz w:val="16"/>
              </w:rPr>
            </w:pPr>
            <w:r>
              <w:rPr>
                <w:spacing w:val="-5"/>
                <w:w w:val="105"/>
                <w:sz w:val="16"/>
              </w:rPr>
              <w:t>70</w:t>
            </w:r>
          </w:p>
        </w:tc>
      </w:tr>
      <w:tr w:rsidR="002C6574" w14:paraId="3704AD17" w14:textId="77777777">
        <w:trPr>
          <w:trHeight w:val="237"/>
        </w:trPr>
        <w:tc>
          <w:tcPr>
            <w:tcW w:w="2537" w:type="dxa"/>
          </w:tcPr>
          <w:p w14:paraId="3CF91A39" w14:textId="77777777" w:rsidR="002C6574" w:rsidRDefault="00000000">
            <w:pPr>
              <w:pStyle w:val="TableParagraph"/>
              <w:spacing w:before="27"/>
              <w:ind w:left="274"/>
              <w:jc w:val="left"/>
              <w:rPr>
                <w:rFonts w:ascii="Arial"/>
                <w:b/>
                <w:sz w:val="16"/>
              </w:rPr>
            </w:pPr>
            <w:r>
              <w:rPr>
                <w:rFonts w:ascii="Arial"/>
                <w:b/>
                <w:sz w:val="16"/>
              </w:rPr>
              <w:t>+</w:t>
            </w:r>
            <w:r>
              <w:rPr>
                <w:rFonts w:ascii="Arial"/>
                <w:b/>
                <w:spacing w:val="-2"/>
                <w:sz w:val="16"/>
              </w:rPr>
              <w:t xml:space="preserve"> </w:t>
            </w:r>
            <w:r>
              <w:rPr>
                <w:rFonts w:ascii="Arial"/>
                <w:b/>
                <w:sz w:val="16"/>
              </w:rPr>
              <w:t>de</w:t>
            </w:r>
            <w:r>
              <w:rPr>
                <w:rFonts w:ascii="Arial"/>
                <w:b/>
                <w:spacing w:val="-3"/>
                <w:sz w:val="16"/>
              </w:rPr>
              <w:t xml:space="preserve"> </w:t>
            </w:r>
            <w:r>
              <w:rPr>
                <w:rFonts w:ascii="Arial"/>
                <w:b/>
                <w:sz w:val="16"/>
              </w:rPr>
              <w:t>180</w:t>
            </w:r>
            <w:r>
              <w:rPr>
                <w:rFonts w:ascii="Arial"/>
                <w:b/>
                <w:spacing w:val="1"/>
                <w:sz w:val="16"/>
              </w:rPr>
              <w:t xml:space="preserve"> </w:t>
            </w:r>
            <w:r>
              <w:rPr>
                <w:rFonts w:ascii="Arial"/>
                <w:b/>
                <w:spacing w:val="-4"/>
                <w:sz w:val="16"/>
              </w:rPr>
              <w:t>dias</w:t>
            </w:r>
          </w:p>
        </w:tc>
        <w:tc>
          <w:tcPr>
            <w:tcW w:w="1183" w:type="dxa"/>
          </w:tcPr>
          <w:p w14:paraId="3B6FCF5B" w14:textId="77777777" w:rsidR="002C6574" w:rsidRDefault="00000000">
            <w:pPr>
              <w:pStyle w:val="TableParagraph"/>
              <w:spacing w:before="4" w:line="212" w:lineRule="exact"/>
              <w:ind w:right="57"/>
              <w:rPr>
                <w:sz w:val="16"/>
              </w:rPr>
            </w:pPr>
            <w:r>
              <w:rPr>
                <w:spacing w:val="-2"/>
                <w:w w:val="105"/>
                <w:sz w:val="16"/>
              </w:rPr>
              <w:t>63.868</w:t>
            </w:r>
          </w:p>
        </w:tc>
        <w:tc>
          <w:tcPr>
            <w:tcW w:w="1224" w:type="dxa"/>
          </w:tcPr>
          <w:p w14:paraId="4B7296F2" w14:textId="77777777" w:rsidR="002C6574" w:rsidRDefault="00000000">
            <w:pPr>
              <w:pStyle w:val="TableParagraph"/>
              <w:spacing w:before="4" w:line="212" w:lineRule="exact"/>
              <w:ind w:right="59"/>
              <w:rPr>
                <w:sz w:val="16"/>
              </w:rPr>
            </w:pPr>
            <w:r>
              <w:rPr>
                <w:spacing w:val="-2"/>
                <w:w w:val="110"/>
                <w:sz w:val="16"/>
              </w:rPr>
              <w:t>(11.274)</w:t>
            </w:r>
          </w:p>
        </w:tc>
        <w:tc>
          <w:tcPr>
            <w:tcW w:w="1133" w:type="dxa"/>
          </w:tcPr>
          <w:p w14:paraId="0615A74C" w14:textId="77777777" w:rsidR="002C6574" w:rsidRDefault="00000000">
            <w:pPr>
              <w:pStyle w:val="TableParagraph"/>
              <w:spacing w:before="4" w:line="212" w:lineRule="exact"/>
              <w:ind w:right="59"/>
              <w:rPr>
                <w:sz w:val="16"/>
              </w:rPr>
            </w:pPr>
            <w:r>
              <w:rPr>
                <w:spacing w:val="-2"/>
                <w:w w:val="110"/>
                <w:sz w:val="16"/>
              </w:rPr>
              <w:t>(46.633)</w:t>
            </w:r>
          </w:p>
        </w:tc>
        <w:tc>
          <w:tcPr>
            <w:tcW w:w="1138" w:type="dxa"/>
          </w:tcPr>
          <w:p w14:paraId="07BFB8DF" w14:textId="77777777" w:rsidR="002C6574" w:rsidRDefault="00000000">
            <w:pPr>
              <w:pStyle w:val="TableParagraph"/>
              <w:spacing w:before="4" w:line="212" w:lineRule="exact"/>
              <w:ind w:right="57"/>
              <w:rPr>
                <w:sz w:val="16"/>
              </w:rPr>
            </w:pPr>
            <w:r>
              <w:rPr>
                <w:spacing w:val="-4"/>
                <w:w w:val="110"/>
                <w:sz w:val="16"/>
              </w:rPr>
              <w:t>5.961</w:t>
            </w:r>
          </w:p>
        </w:tc>
        <w:tc>
          <w:tcPr>
            <w:tcW w:w="1448" w:type="dxa"/>
          </w:tcPr>
          <w:p w14:paraId="61240792" w14:textId="77777777" w:rsidR="002C6574" w:rsidRDefault="00000000">
            <w:pPr>
              <w:pStyle w:val="TableParagraph"/>
              <w:spacing w:before="4" w:line="212" w:lineRule="exact"/>
              <w:ind w:right="60"/>
              <w:rPr>
                <w:sz w:val="16"/>
              </w:rPr>
            </w:pPr>
            <w:r>
              <w:rPr>
                <w:spacing w:val="-2"/>
                <w:w w:val="110"/>
                <w:sz w:val="16"/>
              </w:rPr>
              <w:t>71,14%</w:t>
            </w:r>
          </w:p>
        </w:tc>
        <w:tc>
          <w:tcPr>
            <w:tcW w:w="1110" w:type="dxa"/>
          </w:tcPr>
          <w:p w14:paraId="3E434D99" w14:textId="77777777" w:rsidR="002C6574" w:rsidRDefault="00000000">
            <w:pPr>
              <w:pStyle w:val="TableParagraph"/>
              <w:spacing w:before="4" w:line="212" w:lineRule="exact"/>
              <w:ind w:right="59"/>
              <w:rPr>
                <w:sz w:val="16"/>
              </w:rPr>
            </w:pPr>
            <w:r>
              <w:rPr>
                <w:spacing w:val="-4"/>
                <w:w w:val="110"/>
                <w:sz w:val="16"/>
              </w:rPr>
              <w:t>4.242</w:t>
            </w:r>
          </w:p>
        </w:tc>
      </w:tr>
      <w:tr w:rsidR="002C6574" w14:paraId="799BA0B5" w14:textId="77777777">
        <w:trPr>
          <w:trHeight w:val="239"/>
        </w:trPr>
        <w:tc>
          <w:tcPr>
            <w:tcW w:w="2537" w:type="dxa"/>
          </w:tcPr>
          <w:p w14:paraId="49712246" w14:textId="77777777" w:rsidR="002C6574" w:rsidRDefault="00000000">
            <w:pPr>
              <w:pStyle w:val="TableParagraph"/>
              <w:spacing w:before="29"/>
              <w:ind w:left="112"/>
              <w:jc w:val="left"/>
              <w:rPr>
                <w:rFonts w:ascii="Arial"/>
                <w:b/>
                <w:sz w:val="16"/>
              </w:rPr>
            </w:pPr>
            <w:r>
              <w:rPr>
                <w:rFonts w:ascii="Arial"/>
                <w:b/>
                <w:spacing w:val="-2"/>
                <w:sz w:val="16"/>
              </w:rPr>
              <w:t>Totais</w:t>
            </w:r>
          </w:p>
        </w:tc>
        <w:tc>
          <w:tcPr>
            <w:tcW w:w="1183" w:type="dxa"/>
          </w:tcPr>
          <w:p w14:paraId="143CA5E2" w14:textId="77777777" w:rsidR="002C6574" w:rsidRDefault="00000000">
            <w:pPr>
              <w:pStyle w:val="TableParagraph"/>
              <w:spacing w:before="29"/>
              <w:ind w:right="57"/>
              <w:rPr>
                <w:rFonts w:ascii="Arial"/>
                <w:b/>
                <w:sz w:val="16"/>
              </w:rPr>
            </w:pPr>
            <w:r>
              <w:rPr>
                <w:rFonts w:ascii="Arial"/>
                <w:b/>
                <w:spacing w:val="-2"/>
                <w:sz w:val="16"/>
              </w:rPr>
              <w:t>454.430</w:t>
            </w:r>
          </w:p>
        </w:tc>
        <w:tc>
          <w:tcPr>
            <w:tcW w:w="1224" w:type="dxa"/>
          </w:tcPr>
          <w:p w14:paraId="75B48965" w14:textId="77777777" w:rsidR="002C6574" w:rsidRDefault="00000000">
            <w:pPr>
              <w:pStyle w:val="TableParagraph"/>
              <w:spacing w:before="29"/>
              <w:ind w:right="59"/>
              <w:rPr>
                <w:rFonts w:ascii="Arial"/>
                <w:b/>
                <w:sz w:val="16"/>
              </w:rPr>
            </w:pPr>
            <w:r>
              <w:rPr>
                <w:rFonts w:ascii="Arial"/>
                <w:b/>
                <w:spacing w:val="-2"/>
                <w:sz w:val="16"/>
              </w:rPr>
              <w:t>(18.243)</w:t>
            </w:r>
          </w:p>
        </w:tc>
        <w:tc>
          <w:tcPr>
            <w:tcW w:w="1133" w:type="dxa"/>
          </w:tcPr>
          <w:p w14:paraId="2A07CDAC" w14:textId="77777777" w:rsidR="002C6574" w:rsidRDefault="00000000">
            <w:pPr>
              <w:pStyle w:val="TableParagraph"/>
              <w:spacing w:before="29"/>
              <w:ind w:right="60"/>
              <w:rPr>
                <w:rFonts w:ascii="Arial"/>
                <w:b/>
                <w:sz w:val="16"/>
              </w:rPr>
            </w:pPr>
            <w:r>
              <w:rPr>
                <w:rFonts w:ascii="Arial"/>
                <w:b/>
                <w:spacing w:val="-2"/>
                <w:sz w:val="16"/>
              </w:rPr>
              <w:t>(384.871)</w:t>
            </w:r>
          </w:p>
        </w:tc>
        <w:tc>
          <w:tcPr>
            <w:tcW w:w="1138" w:type="dxa"/>
          </w:tcPr>
          <w:p w14:paraId="0869FB35" w14:textId="77777777" w:rsidR="002C6574" w:rsidRDefault="00000000">
            <w:pPr>
              <w:pStyle w:val="TableParagraph"/>
              <w:spacing w:before="29"/>
              <w:ind w:right="58"/>
              <w:rPr>
                <w:rFonts w:ascii="Arial"/>
                <w:b/>
                <w:sz w:val="16"/>
              </w:rPr>
            </w:pPr>
            <w:r>
              <w:rPr>
                <w:rFonts w:ascii="Arial"/>
                <w:b/>
                <w:spacing w:val="-2"/>
                <w:sz w:val="16"/>
              </w:rPr>
              <w:t>51.316</w:t>
            </w:r>
          </w:p>
        </w:tc>
        <w:tc>
          <w:tcPr>
            <w:tcW w:w="1448" w:type="dxa"/>
            <w:shd w:val="clear" w:color="auto" w:fill="D8D8D8"/>
          </w:tcPr>
          <w:p w14:paraId="64D6CAD0" w14:textId="77777777" w:rsidR="002C6574" w:rsidRDefault="002C6574">
            <w:pPr>
              <w:pStyle w:val="TableParagraph"/>
              <w:jc w:val="left"/>
              <w:rPr>
                <w:rFonts w:ascii="Times New Roman"/>
                <w:sz w:val="16"/>
              </w:rPr>
            </w:pPr>
          </w:p>
        </w:tc>
        <w:tc>
          <w:tcPr>
            <w:tcW w:w="1110" w:type="dxa"/>
          </w:tcPr>
          <w:p w14:paraId="1F2F6DFF" w14:textId="77777777" w:rsidR="002C6574" w:rsidRDefault="00000000">
            <w:pPr>
              <w:pStyle w:val="TableParagraph"/>
              <w:spacing w:before="29"/>
              <w:ind w:right="59"/>
              <w:rPr>
                <w:rFonts w:ascii="Arial"/>
                <w:b/>
                <w:sz w:val="16"/>
              </w:rPr>
            </w:pPr>
            <w:r>
              <w:rPr>
                <w:rFonts w:ascii="Arial"/>
                <w:b/>
                <w:spacing w:val="-2"/>
                <w:sz w:val="16"/>
              </w:rPr>
              <w:t>6.088</w:t>
            </w:r>
          </w:p>
        </w:tc>
      </w:tr>
    </w:tbl>
    <w:p w14:paraId="62712E1F" w14:textId="77777777" w:rsidR="002C6574" w:rsidRDefault="00000000">
      <w:pPr>
        <w:pStyle w:val="PargrafodaLista"/>
        <w:numPr>
          <w:ilvl w:val="0"/>
          <w:numId w:val="42"/>
        </w:numPr>
        <w:tabs>
          <w:tab w:val="left" w:pos="422"/>
        </w:tabs>
        <w:spacing w:before="225"/>
        <w:ind w:right="706" w:firstLine="0"/>
        <w:jc w:val="both"/>
        <w:rPr>
          <w:rFonts w:ascii="Segoe UI Symbol" w:hAnsi="Segoe UI Symbol"/>
        </w:rPr>
      </w:pPr>
      <w:r>
        <w:rPr>
          <w:rFonts w:ascii="Segoe UI Symbol" w:hAnsi="Segoe UI Symbol"/>
          <w:w w:val="105"/>
        </w:rPr>
        <w:t>Valor</w:t>
      </w:r>
      <w:r>
        <w:rPr>
          <w:rFonts w:ascii="Segoe UI Symbol" w:hAnsi="Segoe UI Symbol"/>
          <w:spacing w:val="-1"/>
          <w:w w:val="105"/>
        </w:rPr>
        <w:t xml:space="preserve"> </w:t>
      </w:r>
      <w:r>
        <w:rPr>
          <w:rFonts w:ascii="Segoe UI Symbol" w:hAnsi="Segoe UI Symbol"/>
          <w:w w:val="105"/>
        </w:rPr>
        <w:t>excluído</w:t>
      </w:r>
      <w:r>
        <w:rPr>
          <w:rFonts w:ascii="Segoe UI Symbol" w:hAnsi="Segoe UI Symbol"/>
          <w:spacing w:val="-5"/>
          <w:w w:val="105"/>
        </w:rPr>
        <w:t xml:space="preserve"> </w:t>
      </w:r>
      <w:r>
        <w:rPr>
          <w:rFonts w:ascii="Segoe UI Symbol" w:hAnsi="Segoe UI Symbol"/>
          <w:w w:val="105"/>
        </w:rPr>
        <w:t>da</w:t>
      </w:r>
      <w:r>
        <w:rPr>
          <w:rFonts w:ascii="Segoe UI Symbol" w:hAnsi="Segoe UI Symbol"/>
          <w:spacing w:val="-2"/>
          <w:w w:val="105"/>
        </w:rPr>
        <w:t xml:space="preserve"> </w:t>
      </w:r>
      <w:r>
        <w:rPr>
          <w:rFonts w:ascii="Segoe UI Symbol" w:hAnsi="Segoe UI Symbol"/>
          <w:w w:val="105"/>
        </w:rPr>
        <w:t>base</w:t>
      </w:r>
      <w:r>
        <w:rPr>
          <w:rFonts w:ascii="Segoe UI Symbol" w:hAnsi="Segoe UI Symbol"/>
          <w:spacing w:val="-2"/>
          <w:w w:val="105"/>
        </w:rPr>
        <w:t xml:space="preserve"> </w:t>
      </w:r>
      <w:r>
        <w:rPr>
          <w:rFonts w:ascii="Segoe UI Symbol" w:hAnsi="Segoe UI Symbol"/>
          <w:w w:val="105"/>
        </w:rPr>
        <w:t>de</w:t>
      </w:r>
      <w:r>
        <w:rPr>
          <w:rFonts w:ascii="Segoe UI Symbol" w:hAnsi="Segoe UI Symbol"/>
          <w:spacing w:val="-3"/>
          <w:w w:val="105"/>
        </w:rPr>
        <w:t xml:space="preserve"> </w:t>
      </w:r>
      <w:r>
        <w:rPr>
          <w:rFonts w:ascii="Segoe UI Symbol" w:hAnsi="Segoe UI Symbol"/>
          <w:w w:val="105"/>
        </w:rPr>
        <w:t>cálculo</w:t>
      </w:r>
      <w:r>
        <w:rPr>
          <w:rFonts w:ascii="Segoe UI Symbol" w:hAnsi="Segoe UI Symbol"/>
          <w:spacing w:val="-3"/>
          <w:w w:val="105"/>
        </w:rPr>
        <w:t xml:space="preserve"> </w:t>
      </w:r>
      <w:r>
        <w:rPr>
          <w:rFonts w:ascii="Segoe UI Symbol" w:hAnsi="Segoe UI Symbol"/>
          <w:w w:val="105"/>
        </w:rPr>
        <w:t>está</w:t>
      </w:r>
      <w:r>
        <w:rPr>
          <w:rFonts w:ascii="Segoe UI Symbol" w:hAnsi="Segoe UI Symbol"/>
          <w:spacing w:val="-4"/>
          <w:w w:val="105"/>
        </w:rPr>
        <w:t xml:space="preserve"> </w:t>
      </w:r>
      <w:r>
        <w:rPr>
          <w:rFonts w:ascii="Segoe UI Symbol" w:hAnsi="Segoe UI Symbol"/>
          <w:w w:val="105"/>
        </w:rPr>
        <w:t>relacionado</w:t>
      </w:r>
      <w:r>
        <w:rPr>
          <w:rFonts w:ascii="Segoe UI Symbol" w:hAnsi="Segoe UI Symbol"/>
          <w:spacing w:val="-2"/>
          <w:w w:val="105"/>
        </w:rPr>
        <w:t xml:space="preserve"> </w:t>
      </w:r>
      <w:r>
        <w:rPr>
          <w:rFonts w:ascii="Segoe UI Symbol" w:hAnsi="Segoe UI Symbol"/>
          <w:w w:val="105"/>
        </w:rPr>
        <w:t>as</w:t>
      </w:r>
      <w:r>
        <w:rPr>
          <w:rFonts w:ascii="Segoe UI Symbol" w:hAnsi="Segoe UI Symbol"/>
          <w:spacing w:val="-2"/>
          <w:w w:val="105"/>
        </w:rPr>
        <w:t xml:space="preserve"> </w:t>
      </w:r>
      <w:r>
        <w:rPr>
          <w:rFonts w:ascii="Segoe UI Symbol" w:hAnsi="Segoe UI Symbol"/>
          <w:w w:val="105"/>
        </w:rPr>
        <w:t>operações</w:t>
      </w:r>
      <w:r>
        <w:rPr>
          <w:rFonts w:ascii="Segoe UI Symbol" w:hAnsi="Segoe UI Symbol"/>
          <w:spacing w:val="-4"/>
          <w:w w:val="105"/>
        </w:rPr>
        <w:t xml:space="preserve"> </w:t>
      </w:r>
      <w:r>
        <w:rPr>
          <w:rFonts w:ascii="Segoe UI Symbol" w:hAnsi="Segoe UI Symbol"/>
          <w:w w:val="105"/>
        </w:rPr>
        <w:t>de</w:t>
      </w:r>
      <w:r>
        <w:rPr>
          <w:rFonts w:ascii="Segoe UI Symbol" w:hAnsi="Segoe UI Symbol"/>
          <w:spacing w:val="-4"/>
          <w:w w:val="105"/>
        </w:rPr>
        <w:t xml:space="preserve"> </w:t>
      </w:r>
      <w:r>
        <w:rPr>
          <w:rFonts w:ascii="Segoe UI Symbol" w:hAnsi="Segoe UI Symbol"/>
          <w:w w:val="105"/>
        </w:rPr>
        <w:t>permutas</w:t>
      </w:r>
      <w:r>
        <w:rPr>
          <w:rFonts w:ascii="Segoe UI Symbol" w:hAnsi="Segoe UI Symbol"/>
          <w:spacing w:val="-2"/>
          <w:w w:val="105"/>
        </w:rPr>
        <w:t xml:space="preserve"> </w:t>
      </w:r>
      <w:r>
        <w:rPr>
          <w:rFonts w:ascii="Segoe UI Symbol" w:hAnsi="Segoe UI Symbol"/>
          <w:w w:val="105"/>
        </w:rPr>
        <w:t>não</w:t>
      </w:r>
      <w:r>
        <w:rPr>
          <w:rFonts w:ascii="Segoe UI Symbol" w:hAnsi="Segoe UI Symbol"/>
          <w:spacing w:val="-4"/>
          <w:w w:val="105"/>
        </w:rPr>
        <w:t xml:space="preserve"> </w:t>
      </w:r>
      <w:r>
        <w:rPr>
          <w:rFonts w:ascii="Segoe UI Symbol" w:hAnsi="Segoe UI Symbol"/>
          <w:w w:val="105"/>
        </w:rPr>
        <w:t>monetárias realizadas entre a Telebras e seus parceiros.</w:t>
      </w:r>
    </w:p>
    <w:p w14:paraId="2B034A88" w14:textId="77777777" w:rsidR="002C6574" w:rsidRDefault="00000000">
      <w:pPr>
        <w:pStyle w:val="PargrafodaLista"/>
        <w:numPr>
          <w:ilvl w:val="0"/>
          <w:numId w:val="42"/>
        </w:numPr>
        <w:tabs>
          <w:tab w:val="left" w:pos="457"/>
        </w:tabs>
        <w:spacing w:before="185" w:line="237" w:lineRule="auto"/>
        <w:ind w:right="703" w:firstLine="0"/>
        <w:jc w:val="both"/>
        <w:rPr>
          <w:rFonts w:ascii="Segoe UI Symbol" w:hAnsi="Segoe UI Symbol"/>
        </w:rPr>
      </w:pPr>
      <w:r>
        <w:rPr>
          <w:rFonts w:ascii="Segoe UI Symbol" w:hAnsi="Segoe UI Symbol"/>
          <w:w w:val="105"/>
        </w:rPr>
        <w:t>Os</w:t>
      </w:r>
      <w:r>
        <w:rPr>
          <w:rFonts w:ascii="Segoe UI Symbol" w:hAnsi="Segoe UI Symbol"/>
          <w:spacing w:val="-10"/>
          <w:w w:val="105"/>
        </w:rPr>
        <w:t xml:space="preserve"> </w:t>
      </w:r>
      <w:r>
        <w:rPr>
          <w:rFonts w:ascii="Segoe UI Symbol" w:hAnsi="Segoe UI Symbol"/>
          <w:w w:val="105"/>
        </w:rPr>
        <w:t>valores</w:t>
      </w:r>
      <w:r>
        <w:rPr>
          <w:rFonts w:ascii="Segoe UI Symbol" w:hAnsi="Segoe UI Symbol"/>
          <w:spacing w:val="-13"/>
          <w:w w:val="105"/>
        </w:rPr>
        <w:t xml:space="preserve"> </w:t>
      </w:r>
      <w:r>
        <w:rPr>
          <w:rFonts w:ascii="Segoe UI Symbol" w:hAnsi="Segoe UI Symbol"/>
          <w:w w:val="105"/>
        </w:rPr>
        <w:t>referem-se</w:t>
      </w:r>
      <w:r>
        <w:rPr>
          <w:rFonts w:ascii="Segoe UI Symbol" w:hAnsi="Segoe UI Symbol"/>
          <w:spacing w:val="-11"/>
          <w:w w:val="105"/>
        </w:rPr>
        <w:t xml:space="preserve"> </w:t>
      </w:r>
      <w:r>
        <w:rPr>
          <w:rFonts w:ascii="Segoe UI Symbol" w:hAnsi="Segoe UI Symbol"/>
          <w:w w:val="105"/>
        </w:rPr>
        <w:t>aos</w:t>
      </w:r>
      <w:r>
        <w:rPr>
          <w:rFonts w:ascii="Segoe UI Symbol" w:hAnsi="Segoe UI Symbol"/>
          <w:spacing w:val="-10"/>
          <w:w w:val="105"/>
        </w:rPr>
        <w:t xml:space="preserve"> </w:t>
      </w:r>
      <w:r>
        <w:rPr>
          <w:rFonts w:ascii="Segoe UI Symbol" w:hAnsi="Segoe UI Symbol"/>
          <w:w w:val="105"/>
        </w:rPr>
        <w:t>contratos</w:t>
      </w:r>
      <w:r>
        <w:rPr>
          <w:rFonts w:ascii="Segoe UI Symbol" w:hAnsi="Segoe UI Symbol"/>
          <w:spacing w:val="-12"/>
          <w:w w:val="105"/>
        </w:rPr>
        <w:t xml:space="preserve"> </w:t>
      </w:r>
      <w:r>
        <w:rPr>
          <w:rFonts w:ascii="Segoe UI Symbol" w:hAnsi="Segoe UI Symbol"/>
          <w:w w:val="105"/>
        </w:rPr>
        <w:t>firmados</w:t>
      </w:r>
      <w:r>
        <w:rPr>
          <w:rFonts w:ascii="Segoe UI Symbol" w:hAnsi="Segoe UI Symbol"/>
          <w:spacing w:val="-12"/>
          <w:w w:val="105"/>
        </w:rPr>
        <w:t xml:space="preserve"> </w:t>
      </w:r>
      <w:r>
        <w:rPr>
          <w:rFonts w:ascii="Segoe UI Symbol" w:hAnsi="Segoe UI Symbol"/>
          <w:w w:val="105"/>
        </w:rPr>
        <w:t>com</w:t>
      </w:r>
      <w:r>
        <w:rPr>
          <w:rFonts w:ascii="Segoe UI Symbol" w:hAnsi="Segoe UI Symbol"/>
          <w:spacing w:val="-12"/>
          <w:w w:val="105"/>
        </w:rPr>
        <w:t xml:space="preserve"> </w:t>
      </w:r>
      <w:r>
        <w:rPr>
          <w:rFonts w:ascii="Segoe UI Symbol" w:hAnsi="Segoe UI Symbol"/>
          <w:w w:val="105"/>
        </w:rPr>
        <w:t>o</w:t>
      </w:r>
      <w:r>
        <w:rPr>
          <w:rFonts w:ascii="Segoe UI Symbol" w:hAnsi="Segoe UI Symbol"/>
          <w:spacing w:val="-13"/>
          <w:w w:val="105"/>
        </w:rPr>
        <w:t xml:space="preserve"> </w:t>
      </w:r>
      <w:r>
        <w:rPr>
          <w:rFonts w:ascii="Segoe UI Symbol" w:hAnsi="Segoe UI Symbol"/>
          <w:w w:val="105"/>
        </w:rPr>
        <w:t>Governo</w:t>
      </w:r>
      <w:r>
        <w:rPr>
          <w:rFonts w:ascii="Segoe UI Symbol" w:hAnsi="Segoe UI Symbol"/>
          <w:spacing w:val="-11"/>
          <w:w w:val="105"/>
        </w:rPr>
        <w:t xml:space="preserve"> </w:t>
      </w:r>
      <w:r>
        <w:rPr>
          <w:rFonts w:ascii="Segoe UI Symbol" w:hAnsi="Segoe UI Symbol"/>
          <w:w w:val="105"/>
        </w:rPr>
        <w:t>Federal</w:t>
      </w:r>
      <w:r>
        <w:rPr>
          <w:rFonts w:ascii="Segoe UI Symbol" w:hAnsi="Segoe UI Symbol"/>
          <w:spacing w:val="-12"/>
          <w:w w:val="105"/>
        </w:rPr>
        <w:t xml:space="preserve"> </w:t>
      </w:r>
      <w:r>
        <w:rPr>
          <w:rFonts w:ascii="Segoe UI Symbol" w:hAnsi="Segoe UI Symbol"/>
          <w:w w:val="105"/>
        </w:rPr>
        <w:t>e</w:t>
      </w:r>
      <w:r>
        <w:rPr>
          <w:rFonts w:ascii="Segoe UI Symbol" w:hAnsi="Segoe UI Symbol"/>
          <w:spacing w:val="-11"/>
          <w:w w:val="105"/>
        </w:rPr>
        <w:t xml:space="preserve"> </w:t>
      </w:r>
      <w:r>
        <w:rPr>
          <w:rFonts w:ascii="Segoe UI Symbol" w:hAnsi="Segoe UI Symbol"/>
          <w:w w:val="105"/>
        </w:rPr>
        <w:t>com</w:t>
      </w:r>
      <w:r>
        <w:rPr>
          <w:rFonts w:ascii="Segoe UI Symbol" w:hAnsi="Segoe UI Symbol"/>
          <w:spacing w:val="-9"/>
          <w:w w:val="105"/>
        </w:rPr>
        <w:t xml:space="preserve"> </w:t>
      </w:r>
      <w:r>
        <w:rPr>
          <w:rFonts w:ascii="Segoe UI Symbol" w:hAnsi="Segoe UI Symbol"/>
          <w:w w:val="105"/>
        </w:rPr>
        <w:t>a</w:t>
      </w:r>
      <w:r>
        <w:rPr>
          <w:rFonts w:ascii="Segoe UI Symbol" w:hAnsi="Segoe UI Symbol"/>
          <w:spacing w:val="-13"/>
          <w:w w:val="105"/>
        </w:rPr>
        <w:t xml:space="preserve"> </w:t>
      </w:r>
      <w:r>
        <w:rPr>
          <w:rFonts w:ascii="Segoe UI Symbol" w:hAnsi="Segoe UI Symbol"/>
          <w:w w:val="105"/>
        </w:rPr>
        <w:t>empresa</w:t>
      </w:r>
      <w:r>
        <w:rPr>
          <w:rFonts w:ascii="Segoe UI Symbol" w:hAnsi="Segoe UI Symbol"/>
          <w:spacing w:val="-13"/>
          <w:w w:val="105"/>
        </w:rPr>
        <w:t xml:space="preserve"> </w:t>
      </w:r>
      <w:r>
        <w:rPr>
          <w:rFonts w:ascii="Segoe UI Symbol" w:hAnsi="Segoe UI Symbol"/>
          <w:w w:val="105"/>
        </w:rPr>
        <w:t xml:space="preserve">Viasat. Esses clientes foram excluídos da base de cálculo da Provisão para Perdas Esperadas de Crédito </w:t>
      </w:r>
      <w:r>
        <w:rPr>
          <w:rFonts w:ascii="Segoe UI Symbol" w:hAnsi="Segoe UI Symbol"/>
          <w:spacing w:val="-2"/>
          <w:w w:val="105"/>
        </w:rPr>
        <w:t>de</w:t>
      </w:r>
      <w:r>
        <w:rPr>
          <w:rFonts w:ascii="Segoe UI Symbol" w:hAnsi="Segoe UI Symbol"/>
          <w:spacing w:val="-4"/>
          <w:w w:val="105"/>
        </w:rPr>
        <w:t xml:space="preserve"> </w:t>
      </w:r>
      <w:r>
        <w:rPr>
          <w:rFonts w:ascii="Segoe UI Symbol" w:hAnsi="Segoe UI Symbol"/>
          <w:spacing w:val="-2"/>
          <w:w w:val="105"/>
        </w:rPr>
        <w:t>Liquidação</w:t>
      </w:r>
      <w:r>
        <w:rPr>
          <w:rFonts w:ascii="Segoe UI Symbol" w:hAnsi="Segoe UI Symbol"/>
          <w:spacing w:val="-3"/>
          <w:w w:val="105"/>
        </w:rPr>
        <w:t xml:space="preserve"> </w:t>
      </w:r>
      <w:r>
        <w:rPr>
          <w:rFonts w:ascii="Segoe UI Symbol" w:hAnsi="Segoe UI Symbol"/>
          <w:spacing w:val="-2"/>
          <w:w w:val="105"/>
        </w:rPr>
        <w:t>Duvidosa</w:t>
      </w:r>
      <w:r>
        <w:rPr>
          <w:rFonts w:ascii="Segoe UI Symbol" w:hAnsi="Segoe UI Symbol"/>
          <w:spacing w:val="-8"/>
          <w:w w:val="105"/>
        </w:rPr>
        <w:t xml:space="preserve"> </w:t>
      </w:r>
      <w:r>
        <w:rPr>
          <w:rFonts w:ascii="Segoe UI Symbol" w:hAnsi="Segoe UI Symbol"/>
          <w:spacing w:val="-2"/>
          <w:w w:val="105"/>
        </w:rPr>
        <w:t>(PECLD),</w:t>
      </w:r>
      <w:r>
        <w:rPr>
          <w:rFonts w:ascii="Segoe UI Symbol" w:hAnsi="Segoe UI Symbol"/>
          <w:spacing w:val="-4"/>
          <w:w w:val="105"/>
        </w:rPr>
        <w:t xml:space="preserve"> </w:t>
      </w:r>
      <w:r>
        <w:rPr>
          <w:rFonts w:ascii="Segoe UI Symbol" w:hAnsi="Segoe UI Symbol"/>
          <w:spacing w:val="-2"/>
          <w:w w:val="105"/>
        </w:rPr>
        <w:t>uma</w:t>
      </w:r>
      <w:r>
        <w:rPr>
          <w:rFonts w:ascii="Segoe UI Symbol" w:hAnsi="Segoe UI Symbol"/>
          <w:spacing w:val="-6"/>
          <w:w w:val="105"/>
        </w:rPr>
        <w:t xml:space="preserve"> </w:t>
      </w:r>
      <w:r>
        <w:rPr>
          <w:rFonts w:ascii="Segoe UI Symbol" w:hAnsi="Segoe UI Symbol"/>
          <w:spacing w:val="-2"/>
          <w:w w:val="105"/>
        </w:rPr>
        <w:t>vez</w:t>
      </w:r>
      <w:r>
        <w:rPr>
          <w:rFonts w:ascii="Segoe UI Symbol" w:hAnsi="Segoe UI Symbol"/>
          <w:spacing w:val="-5"/>
          <w:w w:val="105"/>
        </w:rPr>
        <w:t xml:space="preserve"> </w:t>
      </w:r>
      <w:r>
        <w:rPr>
          <w:rFonts w:ascii="Segoe UI Symbol" w:hAnsi="Segoe UI Symbol"/>
          <w:spacing w:val="-2"/>
          <w:w w:val="105"/>
        </w:rPr>
        <w:t>que</w:t>
      </w:r>
      <w:r>
        <w:rPr>
          <w:rFonts w:ascii="Segoe UI Symbol" w:hAnsi="Segoe UI Symbol"/>
          <w:spacing w:val="-5"/>
          <w:w w:val="105"/>
        </w:rPr>
        <w:t xml:space="preserve"> </w:t>
      </w:r>
      <w:r>
        <w:rPr>
          <w:rFonts w:ascii="Segoe UI Symbol" w:hAnsi="Segoe UI Symbol"/>
          <w:spacing w:val="-2"/>
          <w:w w:val="105"/>
        </w:rPr>
        <w:t>não</w:t>
      </w:r>
      <w:r>
        <w:rPr>
          <w:rFonts w:ascii="Segoe UI Symbol" w:hAnsi="Segoe UI Symbol"/>
          <w:spacing w:val="-4"/>
          <w:w w:val="105"/>
        </w:rPr>
        <w:t xml:space="preserve"> </w:t>
      </w:r>
      <w:r>
        <w:rPr>
          <w:rFonts w:ascii="Segoe UI Symbol" w:hAnsi="Segoe UI Symbol"/>
          <w:spacing w:val="-2"/>
          <w:w w:val="105"/>
        </w:rPr>
        <w:t>apresentam</w:t>
      </w:r>
      <w:r>
        <w:rPr>
          <w:rFonts w:ascii="Segoe UI Symbol" w:hAnsi="Segoe UI Symbol"/>
          <w:spacing w:val="-5"/>
          <w:w w:val="105"/>
        </w:rPr>
        <w:t xml:space="preserve"> </w:t>
      </w:r>
      <w:r>
        <w:rPr>
          <w:rFonts w:ascii="Segoe UI Symbol" w:hAnsi="Segoe UI Symbol"/>
          <w:spacing w:val="-2"/>
          <w:w w:val="105"/>
        </w:rPr>
        <w:t>histórico</w:t>
      </w:r>
      <w:r>
        <w:rPr>
          <w:rFonts w:ascii="Segoe UI Symbol" w:hAnsi="Segoe UI Symbol"/>
          <w:spacing w:val="-4"/>
          <w:w w:val="105"/>
        </w:rPr>
        <w:t xml:space="preserve"> </w:t>
      </w:r>
      <w:r>
        <w:rPr>
          <w:rFonts w:ascii="Segoe UI Symbol" w:hAnsi="Segoe UI Symbol"/>
          <w:spacing w:val="-2"/>
          <w:w w:val="105"/>
        </w:rPr>
        <w:t>de</w:t>
      </w:r>
      <w:r>
        <w:rPr>
          <w:rFonts w:ascii="Segoe UI Symbol" w:hAnsi="Segoe UI Symbol"/>
          <w:spacing w:val="-5"/>
          <w:w w:val="105"/>
        </w:rPr>
        <w:t xml:space="preserve"> </w:t>
      </w:r>
      <w:r>
        <w:rPr>
          <w:rFonts w:ascii="Segoe UI Symbol" w:hAnsi="Segoe UI Symbol"/>
          <w:spacing w:val="-2"/>
          <w:w w:val="105"/>
        </w:rPr>
        <w:t>inadimplência</w:t>
      </w:r>
      <w:r>
        <w:rPr>
          <w:rFonts w:ascii="Segoe UI Symbol" w:hAnsi="Segoe UI Symbol"/>
          <w:spacing w:val="-6"/>
          <w:w w:val="105"/>
        </w:rPr>
        <w:t xml:space="preserve"> </w:t>
      </w:r>
      <w:r>
        <w:rPr>
          <w:rFonts w:ascii="Segoe UI Symbol" w:hAnsi="Segoe UI Symbol"/>
          <w:spacing w:val="-2"/>
          <w:w w:val="105"/>
        </w:rPr>
        <w:t>junto</w:t>
      </w:r>
      <w:r>
        <w:rPr>
          <w:rFonts w:ascii="Segoe UI Symbol" w:hAnsi="Segoe UI Symbol"/>
          <w:spacing w:val="-10"/>
          <w:w w:val="105"/>
        </w:rPr>
        <w:t xml:space="preserve"> à</w:t>
      </w:r>
    </w:p>
    <w:p w14:paraId="384F1321" w14:textId="77777777" w:rsidR="002C6574" w:rsidRDefault="002C6574">
      <w:pPr>
        <w:pStyle w:val="PargrafodaLista"/>
        <w:spacing w:line="237" w:lineRule="auto"/>
        <w:jc w:val="both"/>
        <w:rPr>
          <w:rFonts w:ascii="Segoe UI Symbol" w:hAnsi="Segoe UI Symbol"/>
        </w:rPr>
        <w:sectPr w:rsidR="002C6574">
          <w:pgSz w:w="11910" w:h="16840"/>
          <w:pgMar w:top="1600" w:right="141" w:bottom="1320" w:left="1133" w:header="856" w:footer="1123" w:gutter="0"/>
          <w:cols w:space="720"/>
        </w:sectPr>
      </w:pPr>
    </w:p>
    <w:p w14:paraId="4C9DBD04" w14:textId="77777777" w:rsidR="002C6574" w:rsidRDefault="00000000">
      <w:pPr>
        <w:pStyle w:val="Corpodetexto"/>
        <w:spacing w:before="200" w:line="237" w:lineRule="auto"/>
        <w:ind w:left="143" w:right="878"/>
      </w:pPr>
      <w:r>
        <w:lastRenderedPageBreak/>
        <w:t>Telebras e são considerados de baixo risco de crédito, conforme evidenciado pelo comportamento de pagamento observado ao longo da vigência dos contratos.</w:t>
      </w:r>
    </w:p>
    <w:p w14:paraId="5A692F19" w14:textId="77777777" w:rsidR="002C6574" w:rsidRDefault="00000000">
      <w:pPr>
        <w:pStyle w:val="Corpodetexto"/>
        <w:spacing w:before="215" w:line="237" w:lineRule="auto"/>
        <w:ind w:left="143"/>
      </w:pPr>
      <w:r>
        <w:t>A</w:t>
      </w:r>
      <w:r>
        <w:rPr>
          <w:spacing w:val="40"/>
        </w:rPr>
        <w:t xml:space="preserve"> </w:t>
      </w:r>
      <w:r>
        <w:t>Administração</w:t>
      </w:r>
      <w:r>
        <w:rPr>
          <w:spacing w:val="40"/>
        </w:rPr>
        <w:t xml:space="preserve"> </w:t>
      </w:r>
      <w:r>
        <w:t>entende</w:t>
      </w:r>
      <w:r>
        <w:rPr>
          <w:spacing w:val="40"/>
        </w:rPr>
        <w:t xml:space="preserve"> </w:t>
      </w:r>
      <w:r>
        <w:t>que</w:t>
      </w:r>
      <w:r>
        <w:rPr>
          <w:spacing w:val="40"/>
        </w:rPr>
        <w:t xml:space="preserve"> </w:t>
      </w:r>
      <w:r>
        <w:t>o</w:t>
      </w:r>
      <w:r>
        <w:rPr>
          <w:spacing w:val="40"/>
        </w:rPr>
        <w:t xml:space="preserve"> </w:t>
      </w:r>
      <w:r>
        <w:t>valor</w:t>
      </w:r>
      <w:r>
        <w:rPr>
          <w:spacing w:val="40"/>
        </w:rPr>
        <w:t xml:space="preserve"> </w:t>
      </w:r>
      <w:r>
        <w:t>constituído</w:t>
      </w:r>
      <w:r>
        <w:rPr>
          <w:spacing w:val="40"/>
        </w:rPr>
        <w:t xml:space="preserve"> </w:t>
      </w:r>
      <w:r>
        <w:t>é</w:t>
      </w:r>
      <w:r>
        <w:rPr>
          <w:spacing w:val="40"/>
        </w:rPr>
        <w:t xml:space="preserve"> </w:t>
      </w:r>
      <w:r>
        <w:t>suficiente</w:t>
      </w:r>
      <w:r>
        <w:rPr>
          <w:spacing w:val="40"/>
        </w:rPr>
        <w:t xml:space="preserve"> </w:t>
      </w:r>
      <w:r>
        <w:t>para</w:t>
      </w:r>
      <w:r>
        <w:rPr>
          <w:spacing w:val="40"/>
        </w:rPr>
        <w:t xml:space="preserve"> </w:t>
      </w:r>
      <w:r>
        <w:t>cobrir</w:t>
      </w:r>
      <w:r>
        <w:rPr>
          <w:spacing w:val="40"/>
        </w:rPr>
        <w:t xml:space="preserve"> </w:t>
      </w:r>
      <w:r>
        <w:t>possíveis</w:t>
      </w:r>
      <w:r>
        <w:rPr>
          <w:spacing w:val="40"/>
        </w:rPr>
        <w:t xml:space="preserve"> </w:t>
      </w:r>
      <w:r>
        <w:t>perdas</w:t>
      </w:r>
      <w:r>
        <w:rPr>
          <w:spacing w:val="40"/>
        </w:rPr>
        <w:t xml:space="preserve"> </w:t>
      </w:r>
      <w:r>
        <w:t>no</w:t>
      </w:r>
      <w:r>
        <w:rPr>
          <w:spacing w:val="40"/>
        </w:rPr>
        <w:t xml:space="preserve"> </w:t>
      </w:r>
      <w:r>
        <w:t>recebimento dos créditos decorrentes da exploração das atividades.</w:t>
      </w:r>
    </w:p>
    <w:p w14:paraId="1040BA76" w14:textId="77777777" w:rsidR="002C6574" w:rsidRDefault="00000000">
      <w:pPr>
        <w:pStyle w:val="Corpodetexto"/>
        <w:spacing w:before="158"/>
        <w:ind w:left="143" w:right="700"/>
      </w:pPr>
      <w:r>
        <w:t>A</w:t>
      </w:r>
      <w:r>
        <w:rPr>
          <w:spacing w:val="15"/>
        </w:rPr>
        <w:t xml:space="preserve"> </w:t>
      </w:r>
      <w:r>
        <w:t>movimentação das</w:t>
      </w:r>
      <w:r>
        <w:rPr>
          <w:spacing w:val="17"/>
        </w:rPr>
        <w:t xml:space="preserve"> </w:t>
      </w:r>
      <w:r>
        <w:t>perdas</w:t>
      </w:r>
      <w:r>
        <w:rPr>
          <w:spacing w:val="17"/>
        </w:rPr>
        <w:t xml:space="preserve"> </w:t>
      </w:r>
      <w:r>
        <w:t>estimadas</w:t>
      </w:r>
      <w:r>
        <w:rPr>
          <w:spacing w:val="17"/>
        </w:rPr>
        <w:t xml:space="preserve"> </w:t>
      </w:r>
      <w:r>
        <w:t>com</w:t>
      </w:r>
      <w:r>
        <w:rPr>
          <w:spacing w:val="15"/>
        </w:rPr>
        <w:t xml:space="preserve"> </w:t>
      </w:r>
      <w:r>
        <w:t>créditos</w:t>
      </w:r>
      <w:r>
        <w:rPr>
          <w:spacing w:val="17"/>
        </w:rPr>
        <w:t xml:space="preserve"> </w:t>
      </w:r>
      <w:r>
        <w:t>de liquidação</w:t>
      </w:r>
      <w:r>
        <w:rPr>
          <w:spacing w:val="16"/>
        </w:rPr>
        <w:t xml:space="preserve"> </w:t>
      </w:r>
      <w:r>
        <w:t>duvidosa,</w:t>
      </w:r>
      <w:r>
        <w:rPr>
          <w:spacing w:val="17"/>
        </w:rPr>
        <w:t xml:space="preserve"> </w:t>
      </w:r>
      <w:r>
        <w:t>no exercício</w:t>
      </w:r>
      <w:r>
        <w:rPr>
          <w:spacing w:val="17"/>
        </w:rPr>
        <w:t xml:space="preserve"> </w:t>
      </w:r>
      <w:r>
        <w:t>de 2025, é apresentada no quadro a seguir:</w:t>
      </w:r>
    </w:p>
    <w:p w14:paraId="1E3DF552" w14:textId="77777777" w:rsidR="002C6574" w:rsidRDefault="002C6574">
      <w:pPr>
        <w:pStyle w:val="Corpodetexto"/>
        <w:spacing w:before="53"/>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1"/>
        <w:gridCol w:w="1690"/>
      </w:tblGrid>
      <w:tr w:rsidR="002C6574" w14:paraId="03AFD3F5" w14:textId="77777777">
        <w:trPr>
          <w:trHeight w:val="237"/>
        </w:trPr>
        <w:tc>
          <w:tcPr>
            <w:tcW w:w="8081" w:type="dxa"/>
          </w:tcPr>
          <w:p w14:paraId="49F903F6" w14:textId="77777777" w:rsidR="002C6574" w:rsidRDefault="00000000">
            <w:pPr>
              <w:pStyle w:val="TableParagraph"/>
              <w:spacing w:before="15" w:line="201"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2024</w:t>
            </w:r>
          </w:p>
        </w:tc>
        <w:tc>
          <w:tcPr>
            <w:tcW w:w="1690" w:type="dxa"/>
          </w:tcPr>
          <w:p w14:paraId="7119BE8B" w14:textId="77777777" w:rsidR="002C6574" w:rsidRDefault="00000000">
            <w:pPr>
              <w:pStyle w:val="TableParagraph"/>
              <w:spacing w:before="15" w:line="201" w:lineRule="exact"/>
              <w:ind w:right="57"/>
              <w:rPr>
                <w:rFonts w:ascii="Arial"/>
                <w:b/>
                <w:sz w:val="18"/>
              </w:rPr>
            </w:pPr>
            <w:r>
              <w:rPr>
                <w:rFonts w:ascii="Arial"/>
                <w:b/>
                <w:spacing w:val="-2"/>
                <w:sz w:val="18"/>
              </w:rPr>
              <w:t>3.281</w:t>
            </w:r>
          </w:p>
        </w:tc>
      </w:tr>
      <w:tr w:rsidR="002C6574" w14:paraId="367390BD" w14:textId="77777777">
        <w:trPr>
          <w:trHeight w:val="239"/>
        </w:trPr>
        <w:tc>
          <w:tcPr>
            <w:tcW w:w="8081" w:type="dxa"/>
          </w:tcPr>
          <w:p w14:paraId="0B63226B" w14:textId="77777777" w:rsidR="002C6574" w:rsidRDefault="00000000">
            <w:pPr>
              <w:pStyle w:val="TableParagraph"/>
              <w:spacing w:line="220" w:lineRule="exact"/>
              <w:ind w:left="69"/>
              <w:jc w:val="left"/>
              <w:rPr>
                <w:sz w:val="18"/>
              </w:rPr>
            </w:pPr>
            <w:r>
              <w:rPr>
                <w:sz w:val="18"/>
              </w:rPr>
              <w:t>Constituição</w:t>
            </w:r>
            <w:r>
              <w:rPr>
                <w:spacing w:val="14"/>
                <w:sz w:val="18"/>
              </w:rPr>
              <w:t xml:space="preserve"> </w:t>
            </w:r>
            <w:r>
              <w:rPr>
                <w:sz w:val="18"/>
              </w:rPr>
              <w:t>de</w:t>
            </w:r>
            <w:r>
              <w:rPr>
                <w:spacing w:val="20"/>
                <w:sz w:val="18"/>
              </w:rPr>
              <w:t xml:space="preserve"> </w:t>
            </w:r>
            <w:r>
              <w:rPr>
                <w:sz w:val="18"/>
              </w:rPr>
              <w:t>PECLD</w:t>
            </w:r>
            <w:r>
              <w:rPr>
                <w:spacing w:val="19"/>
                <w:sz w:val="18"/>
              </w:rPr>
              <w:t xml:space="preserve"> </w:t>
            </w:r>
            <w:r>
              <w:rPr>
                <w:sz w:val="18"/>
              </w:rPr>
              <w:t>no</w:t>
            </w:r>
            <w:r>
              <w:rPr>
                <w:spacing w:val="18"/>
                <w:sz w:val="18"/>
              </w:rPr>
              <w:t xml:space="preserve"> </w:t>
            </w:r>
            <w:r>
              <w:rPr>
                <w:spacing w:val="-2"/>
                <w:sz w:val="18"/>
              </w:rPr>
              <w:t>período</w:t>
            </w:r>
          </w:p>
        </w:tc>
        <w:tc>
          <w:tcPr>
            <w:tcW w:w="1690" w:type="dxa"/>
          </w:tcPr>
          <w:p w14:paraId="752C1020" w14:textId="77777777" w:rsidR="002C6574" w:rsidRDefault="00000000">
            <w:pPr>
              <w:pStyle w:val="TableParagraph"/>
              <w:spacing w:line="220" w:lineRule="exact"/>
              <w:ind w:right="56"/>
              <w:rPr>
                <w:sz w:val="18"/>
              </w:rPr>
            </w:pPr>
            <w:r>
              <w:rPr>
                <w:spacing w:val="-2"/>
                <w:w w:val="110"/>
                <w:sz w:val="18"/>
              </w:rPr>
              <w:t>3.378</w:t>
            </w:r>
          </w:p>
        </w:tc>
      </w:tr>
      <w:tr w:rsidR="002C6574" w14:paraId="1E10F2A0" w14:textId="77777777">
        <w:trPr>
          <w:trHeight w:val="237"/>
        </w:trPr>
        <w:tc>
          <w:tcPr>
            <w:tcW w:w="8081" w:type="dxa"/>
          </w:tcPr>
          <w:p w14:paraId="0A8478E8" w14:textId="77777777" w:rsidR="002C6574" w:rsidRDefault="00000000">
            <w:pPr>
              <w:pStyle w:val="TableParagraph"/>
              <w:spacing w:line="217" w:lineRule="exact"/>
              <w:ind w:left="69"/>
              <w:jc w:val="left"/>
              <w:rPr>
                <w:sz w:val="18"/>
              </w:rPr>
            </w:pPr>
            <w:r>
              <w:rPr>
                <w:sz w:val="18"/>
              </w:rPr>
              <w:t>Reversões</w:t>
            </w:r>
            <w:r>
              <w:rPr>
                <w:spacing w:val="14"/>
                <w:sz w:val="18"/>
              </w:rPr>
              <w:t xml:space="preserve"> </w:t>
            </w:r>
            <w:r>
              <w:rPr>
                <w:sz w:val="18"/>
              </w:rPr>
              <w:t>de</w:t>
            </w:r>
            <w:r>
              <w:rPr>
                <w:spacing w:val="12"/>
                <w:sz w:val="18"/>
              </w:rPr>
              <w:t xml:space="preserve"> </w:t>
            </w:r>
            <w:r>
              <w:rPr>
                <w:sz w:val="18"/>
              </w:rPr>
              <w:t>perdas</w:t>
            </w:r>
            <w:r>
              <w:rPr>
                <w:spacing w:val="17"/>
                <w:sz w:val="18"/>
              </w:rPr>
              <w:t xml:space="preserve"> </w:t>
            </w:r>
            <w:r>
              <w:rPr>
                <w:sz w:val="18"/>
              </w:rPr>
              <w:t>no</w:t>
            </w:r>
            <w:r>
              <w:rPr>
                <w:spacing w:val="17"/>
                <w:sz w:val="18"/>
              </w:rPr>
              <w:t xml:space="preserve"> </w:t>
            </w:r>
            <w:r>
              <w:rPr>
                <w:spacing w:val="-2"/>
                <w:sz w:val="18"/>
              </w:rPr>
              <w:t>período</w:t>
            </w:r>
          </w:p>
        </w:tc>
        <w:tc>
          <w:tcPr>
            <w:tcW w:w="1690" w:type="dxa"/>
          </w:tcPr>
          <w:p w14:paraId="171F1262" w14:textId="77777777" w:rsidR="002C6574" w:rsidRDefault="00000000">
            <w:pPr>
              <w:pStyle w:val="TableParagraph"/>
              <w:spacing w:line="217" w:lineRule="exact"/>
              <w:ind w:right="55"/>
              <w:rPr>
                <w:sz w:val="18"/>
              </w:rPr>
            </w:pPr>
            <w:r>
              <w:rPr>
                <w:spacing w:val="-2"/>
                <w:w w:val="105"/>
                <w:sz w:val="18"/>
              </w:rPr>
              <w:t>(571)</w:t>
            </w:r>
          </w:p>
        </w:tc>
      </w:tr>
      <w:tr w:rsidR="002C6574" w14:paraId="7144ABFE" w14:textId="77777777">
        <w:trPr>
          <w:trHeight w:val="239"/>
        </w:trPr>
        <w:tc>
          <w:tcPr>
            <w:tcW w:w="8081" w:type="dxa"/>
          </w:tcPr>
          <w:p w14:paraId="0B38A05F" w14:textId="77777777" w:rsidR="002C6574" w:rsidRDefault="00000000">
            <w:pPr>
              <w:pStyle w:val="TableParagraph"/>
              <w:spacing w:before="15" w:line="204"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2025</w:t>
            </w:r>
          </w:p>
        </w:tc>
        <w:tc>
          <w:tcPr>
            <w:tcW w:w="1690" w:type="dxa"/>
          </w:tcPr>
          <w:p w14:paraId="166D117D" w14:textId="77777777" w:rsidR="002C6574" w:rsidRDefault="00000000">
            <w:pPr>
              <w:pStyle w:val="TableParagraph"/>
              <w:spacing w:before="15" w:line="204" w:lineRule="exact"/>
              <w:ind w:right="57"/>
              <w:rPr>
                <w:rFonts w:ascii="Arial"/>
                <w:b/>
                <w:sz w:val="18"/>
              </w:rPr>
            </w:pPr>
            <w:r>
              <w:rPr>
                <w:rFonts w:ascii="Arial"/>
                <w:b/>
                <w:spacing w:val="-2"/>
                <w:sz w:val="18"/>
              </w:rPr>
              <w:t>6.088</w:t>
            </w:r>
          </w:p>
        </w:tc>
      </w:tr>
    </w:tbl>
    <w:p w14:paraId="72872954" w14:textId="77777777" w:rsidR="002C6574" w:rsidRDefault="00000000">
      <w:pPr>
        <w:numPr>
          <w:ilvl w:val="0"/>
          <w:numId w:val="54"/>
        </w:numPr>
        <w:tabs>
          <w:tab w:val="left" w:pos="995"/>
        </w:tabs>
        <w:spacing w:before="291"/>
        <w:ind w:left="995" w:hanging="852"/>
        <w:rPr>
          <w:rFonts w:ascii="Arial"/>
          <w:b/>
        </w:rPr>
      </w:pPr>
      <w:r>
        <w:rPr>
          <w:rFonts w:ascii="Arial"/>
          <w:b/>
        </w:rPr>
        <w:t>TRIBUTOS</w:t>
      </w:r>
      <w:r>
        <w:rPr>
          <w:rFonts w:ascii="Arial"/>
          <w:b/>
          <w:spacing w:val="-4"/>
        </w:rPr>
        <w:t xml:space="preserve"> </w:t>
      </w:r>
      <w:r>
        <w:rPr>
          <w:rFonts w:ascii="Arial"/>
          <w:b/>
        </w:rPr>
        <w:t xml:space="preserve">A </w:t>
      </w:r>
      <w:r>
        <w:rPr>
          <w:rFonts w:ascii="Arial"/>
          <w:b/>
          <w:spacing w:val="-2"/>
        </w:rPr>
        <w:t>COMPENSAR/RECUPERAR</w:t>
      </w:r>
    </w:p>
    <w:p w14:paraId="464977AC" w14:textId="77777777" w:rsidR="002C6574" w:rsidRDefault="002C6574">
      <w:pPr>
        <w:pStyle w:val="Corpodetexto"/>
        <w:spacing w:before="45"/>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8"/>
        <w:gridCol w:w="1378"/>
        <w:gridCol w:w="1376"/>
      </w:tblGrid>
      <w:tr w:rsidR="002C6574" w14:paraId="43783A32" w14:textId="77777777">
        <w:trPr>
          <w:trHeight w:val="232"/>
        </w:trPr>
        <w:tc>
          <w:tcPr>
            <w:tcW w:w="7018" w:type="dxa"/>
            <w:shd w:val="clear" w:color="auto" w:fill="D8D8D8"/>
          </w:tcPr>
          <w:p w14:paraId="0B80DA94" w14:textId="77777777" w:rsidR="002C6574" w:rsidRDefault="00000000">
            <w:pPr>
              <w:pStyle w:val="TableParagraph"/>
              <w:spacing w:before="13" w:line="199" w:lineRule="exact"/>
              <w:ind w:left="69"/>
              <w:jc w:val="left"/>
              <w:rPr>
                <w:rFonts w:ascii="Arial" w:hAnsi="Arial"/>
                <w:b/>
                <w:sz w:val="18"/>
              </w:rPr>
            </w:pPr>
            <w:r>
              <w:rPr>
                <w:rFonts w:ascii="Arial" w:hAnsi="Arial"/>
                <w:b/>
                <w:spacing w:val="-2"/>
                <w:sz w:val="18"/>
              </w:rPr>
              <w:t>Composição:</w:t>
            </w:r>
          </w:p>
        </w:tc>
        <w:tc>
          <w:tcPr>
            <w:tcW w:w="1378" w:type="dxa"/>
          </w:tcPr>
          <w:p w14:paraId="694E121E" w14:textId="77777777" w:rsidR="002C6574" w:rsidRDefault="00000000">
            <w:pPr>
              <w:pStyle w:val="TableParagraph"/>
              <w:spacing w:before="13" w:line="199" w:lineRule="exact"/>
              <w:ind w:left="236"/>
              <w:jc w:val="left"/>
              <w:rPr>
                <w:rFonts w:ascii="Arial"/>
                <w:b/>
                <w:sz w:val="18"/>
              </w:rPr>
            </w:pPr>
            <w:r>
              <w:rPr>
                <w:rFonts w:ascii="Arial"/>
                <w:b/>
                <w:spacing w:val="-2"/>
                <w:sz w:val="18"/>
              </w:rPr>
              <w:t>31/12/2025</w:t>
            </w:r>
          </w:p>
        </w:tc>
        <w:tc>
          <w:tcPr>
            <w:tcW w:w="1376" w:type="dxa"/>
          </w:tcPr>
          <w:p w14:paraId="7319E522" w14:textId="77777777" w:rsidR="002C6574" w:rsidRDefault="00000000">
            <w:pPr>
              <w:pStyle w:val="TableParagraph"/>
              <w:spacing w:before="13" w:line="199" w:lineRule="exact"/>
              <w:ind w:left="236"/>
              <w:jc w:val="left"/>
              <w:rPr>
                <w:rFonts w:ascii="Arial"/>
                <w:b/>
                <w:sz w:val="18"/>
              </w:rPr>
            </w:pPr>
            <w:r>
              <w:rPr>
                <w:rFonts w:ascii="Arial"/>
                <w:b/>
                <w:spacing w:val="-2"/>
                <w:sz w:val="18"/>
              </w:rPr>
              <w:t>31/12/2024</w:t>
            </w:r>
          </w:p>
        </w:tc>
      </w:tr>
      <w:tr w:rsidR="002C6574" w14:paraId="1BB26735" w14:textId="77777777">
        <w:trPr>
          <w:trHeight w:val="232"/>
        </w:trPr>
        <w:tc>
          <w:tcPr>
            <w:tcW w:w="7018" w:type="dxa"/>
          </w:tcPr>
          <w:p w14:paraId="765D58EB" w14:textId="77777777" w:rsidR="002C6574" w:rsidRDefault="00000000">
            <w:pPr>
              <w:pStyle w:val="TableParagraph"/>
              <w:spacing w:line="212" w:lineRule="exact"/>
              <w:ind w:left="69"/>
              <w:jc w:val="left"/>
              <w:rPr>
                <w:sz w:val="18"/>
              </w:rPr>
            </w:pPr>
            <w:r>
              <w:rPr>
                <w:w w:val="105"/>
                <w:sz w:val="18"/>
              </w:rPr>
              <w:t>Imposto</w:t>
            </w:r>
            <w:r>
              <w:rPr>
                <w:spacing w:val="-13"/>
                <w:w w:val="105"/>
                <w:sz w:val="18"/>
              </w:rPr>
              <w:t xml:space="preserve"> </w:t>
            </w:r>
            <w:r>
              <w:rPr>
                <w:w w:val="105"/>
                <w:sz w:val="18"/>
              </w:rPr>
              <w:t>de</w:t>
            </w:r>
            <w:r>
              <w:rPr>
                <w:spacing w:val="-11"/>
                <w:w w:val="105"/>
                <w:sz w:val="18"/>
              </w:rPr>
              <w:t xml:space="preserve"> </w:t>
            </w:r>
            <w:r>
              <w:rPr>
                <w:w w:val="105"/>
                <w:sz w:val="18"/>
              </w:rPr>
              <w:t>Renda</w:t>
            </w:r>
            <w:r>
              <w:rPr>
                <w:spacing w:val="-12"/>
                <w:w w:val="105"/>
                <w:sz w:val="18"/>
              </w:rPr>
              <w:t xml:space="preserve"> </w:t>
            </w:r>
            <w:r>
              <w:rPr>
                <w:w w:val="105"/>
                <w:sz w:val="18"/>
              </w:rPr>
              <w:t>Pessoa</w:t>
            </w:r>
            <w:r>
              <w:rPr>
                <w:spacing w:val="-13"/>
                <w:w w:val="105"/>
                <w:sz w:val="18"/>
              </w:rPr>
              <w:t xml:space="preserve"> </w:t>
            </w:r>
            <w:r>
              <w:rPr>
                <w:w w:val="105"/>
                <w:sz w:val="18"/>
              </w:rPr>
              <w:t>Jurídica</w:t>
            </w:r>
            <w:r>
              <w:rPr>
                <w:spacing w:val="-10"/>
                <w:w w:val="105"/>
                <w:sz w:val="18"/>
              </w:rPr>
              <w:t xml:space="preserve"> </w:t>
            </w:r>
            <w:r>
              <w:rPr>
                <w:w w:val="105"/>
                <w:sz w:val="18"/>
              </w:rPr>
              <w:t>-</w:t>
            </w:r>
            <w:r>
              <w:rPr>
                <w:spacing w:val="-13"/>
                <w:w w:val="105"/>
                <w:sz w:val="18"/>
              </w:rPr>
              <w:t xml:space="preserve"> </w:t>
            </w:r>
            <w:r>
              <w:rPr>
                <w:spacing w:val="-4"/>
                <w:w w:val="105"/>
                <w:sz w:val="18"/>
              </w:rPr>
              <w:t>IRPJ</w:t>
            </w:r>
          </w:p>
        </w:tc>
        <w:tc>
          <w:tcPr>
            <w:tcW w:w="1378" w:type="dxa"/>
          </w:tcPr>
          <w:p w14:paraId="76291785" w14:textId="77777777" w:rsidR="002C6574" w:rsidRDefault="00000000">
            <w:pPr>
              <w:pStyle w:val="TableParagraph"/>
              <w:spacing w:line="212" w:lineRule="exact"/>
              <w:ind w:right="56"/>
              <w:rPr>
                <w:sz w:val="18"/>
              </w:rPr>
            </w:pPr>
            <w:r>
              <w:rPr>
                <w:spacing w:val="-2"/>
                <w:w w:val="105"/>
                <w:sz w:val="18"/>
              </w:rPr>
              <w:t>98.999</w:t>
            </w:r>
          </w:p>
        </w:tc>
        <w:tc>
          <w:tcPr>
            <w:tcW w:w="1376" w:type="dxa"/>
          </w:tcPr>
          <w:p w14:paraId="217835BD" w14:textId="77777777" w:rsidR="002C6574" w:rsidRDefault="00000000">
            <w:pPr>
              <w:pStyle w:val="TableParagraph"/>
              <w:spacing w:line="212" w:lineRule="exact"/>
              <w:ind w:right="61"/>
              <w:rPr>
                <w:sz w:val="18"/>
              </w:rPr>
            </w:pPr>
            <w:r>
              <w:rPr>
                <w:spacing w:val="-2"/>
                <w:w w:val="105"/>
                <w:sz w:val="18"/>
              </w:rPr>
              <w:t>82.443</w:t>
            </w:r>
          </w:p>
        </w:tc>
      </w:tr>
      <w:tr w:rsidR="002C6574" w14:paraId="4A478934" w14:textId="77777777">
        <w:trPr>
          <w:trHeight w:val="232"/>
        </w:trPr>
        <w:tc>
          <w:tcPr>
            <w:tcW w:w="7018" w:type="dxa"/>
          </w:tcPr>
          <w:p w14:paraId="262E240A" w14:textId="77777777" w:rsidR="002C6574" w:rsidRDefault="00000000">
            <w:pPr>
              <w:pStyle w:val="TableParagraph"/>
              <w:spacing w:line="212" w:lineRule="exact"/>
              <w:ind w:left="69"/>
              <w:jc w:val="left"/>
              <w:rPr>
                <w:sz w:val="18"/>
              </w:rPr>
            </w:pPr>
            <w:r>
              <w:rPr>
                <w:sz w:val="18"/>
              </w:rPr>
              <w:t>Contribuição</w:t>
            </w:r>
            <w:r>
              <w:rPr>
                <w:spacing w:val="7"/>
                <w:sz w:val="18"/>
              </w:rPr>
              <w:t xml:space="preserve"> </w:t>
            </w:r>
            <w:r>
              <w:rPr>
                <w:sz w:val="18"/>
              </w:rPr>
              <w:t>para</w:t>
            </w:r>
            <w:r>
              <w:rPr>
                <w:spacing w:val="4"/>
                <w:sz w:val="18"/>
              </w:rPr>
              <w:t xml:space="preserve"> </w:t>
            </w:r>
            <w:r>
              <w:rPr>
                <w:sz w:val="18"/>
              </w:rPr>
              <w:t>o</w:t>
            </w:r>
            <w:r>
              <w:rPr>
                <w:spacing w:val="4"/>
                <w:sz w:val="18"/>
              </w:rPr>
              <w:t xml:space="preserve"> </w:t>
            </w:r>
            <w:r>
              <w:rPr>
                <w:sz w:val="18"/>
              </w:rPr>
              <w:t>Financiamento</w:t>
            </w:r>
            <w:r>
              <w:rPr>
                <w:spacing w:val="8"/>
                <w:sz w:val="18"/>
              </w:rPr>
              <w:t xml:space="preserve"> </w:t>
            </w:r>
            <w:r>
              <w:rPr>
                <w:sz w:val="18"/>
              </w:rPr>
              <w:t>da</w:t>
            </w:r>
            <w:r>
              <w:rPr>
                <w:spacing w:val="5"/>
                <w:sz w:val="18"/>
              </w:rPr>
              <w:t xml:space="preserve"> </w:t>
            </w:r>
            <w:r>
              <w:rPr>
                <w:sz w:val="18"/>
              </w:rPr>
              <w:t>Seguridade</w:t>
            </w:r>
            <w:r>
              <w:rPr>
                <w:spacing w:val="5"/>
                <w:sz w:val="18"/>
              </w:rPr>
              <w:t xml:space="preserve"> </w:t>
            </w:r>
            <w:r>
              <w:rPr>
                <w:sz w:val="18"/>
              </w:rPr>
              <w:t>Social</w:t>
            </w:r>
            <w:r>
              <w:rPr>
                <w:spacing w:val="5"/>
                <w:sz w:val="18"/>
              </w:rPr>
              <w:t xml:space="preserve"> </w:t>
            </w:r>
            <w:r>
              <w:rPr>
                <w:sz w:val="18"/>
              </w:rPr>
              <w:t>–</w:t>
            </w:r>
            <w:r>
              <w:rPr>
                <w:spacing w:val="5"/>
                <w:sz w:val="18"/>
              </w:rPr>
              <w:t xml:space="preserve"> </w:t>
            </w:r>
            <w:r>
              <w:rPr>
                <w:spacing w:val="-2"/>
                <w:sz w:val="18"/>
              </w:rPr>
              <w:t>Cofins</w:t>
            </w:r>
          </w:p>
        </w:tc>
        <w:tc>
          <w:tcPr>
            <w:tcW w:w="1378" w:type="dxa"/>
          </w:tcPr>
          <w:p w14:paraId="5329478F" w14:textId="77777777" w:rsidR="002C6574" w:rsidRDefault="00000000">
            <w:pPr>
              <w:pStyle w:val="TableParagraph"/>
              <w:spacing w:line="212" w:lineRule="exact"/>
              <w:ind w:right="56"/>
              <w:rPr>
                <w:sz w:val="18"/>
              </w:rPr>
            </w:pPr>
            <w:r>
              <w:rPr>
                <w:spacing w:val="-2"/>
                <w:w w:val="105"/>
                <w:sz w:val="18"/>
              </w:rPr>
              <w:t>46.593</w:t>
            </w:r>
          </w:p>
        </w:tc>
        <w:tc>
          <w:tcPr>
            <w:tcW w:w="1376" w:type="dxa"/>
          </w:tcPr>
          <w:p w14:paraId="71AB0E11" w14:textId="77777777" w:rsidR="002C6574" w:rsidRDefault="00000000">
            <w:pPr>
              <w:pStyle w:val="TableParagraph"/>
              <w:spacing w:line="212" w:lineRule="exact"/>
              <w:ind w:right="61"/>
              <w:rPr>
                <w:sz w:val="18"/>
              </w:rPr>
            </w:pPr>
            <w:r>
              <w:rPr>
                <w:spacing w:val="-2"/>
                <w:w w:val="105"/>
                <w:sz w:val="18"/>
              </w:rPr>
              <w:t>43.528</w:t>
            </w:r>
          </w:p>
        </w:tc>
      </w:tr>
      <w:tr w:rsidR="002C6574" w14:paraId="7BF68B1B" w14:textId="77777777">
        <w:trPr>
          <w:trHeight w:val="230"/>
        </w:trPr>
        <w:tc>
          <w:tcPr>
            <w:tcW w:w="7018" w:type="dxa"/>
          </w:tcPr>
          <w:p w14:paraId="35676071" w14:textId="77777777" w:rsidR="002C6574" w:rsidRDefault="00000000">
            <w:pPr>
              <w:pStyle w:val="TableParagraph"/>
              <w:spacing w:line="210" w:lineRule="exact"/>
              <w:ind w:left="69"/>
              <w:jc w:val="left"/>
              <w:rPr>
                <w:sz w:val="18"/>
              </w:rPr>
            </w:pPr>
            <w:r>
              <w:rPr>
                <w:sz w:val="18"/>
              </w:rPr>
              <w:t>Contribuição</w:t>
            </w:r>
            <w:r>
              <w:rPr>
                <w:spacing w:val="6"/>
                <w:sz w:val="18"/>
              </w:rPr>
              <w:t xml:space="preserve"> </w:t>
            </w:r>
            <w:r>
              <w:rPr>
                <w:sz w:val="18"/>
              </w:rPr>
              <w:t>Social</w:t>
            </w:r>
            <w:r>
              <w:rPr>
                <w:spacing w:val="6"/>
                <w:sz w:val="18"/>
              </w:rPr>
              <w:t xml:space="preserve"> </w:t>
            </w:r>
            <w:r>
              <w:rPr>
                <w:sz w:val="18"/>
              </w:rPr>
              <w:t>sobre</w:t>
            </w:r>
            <w:r>
              <w:rPr>
                <w:spacing w:val="3"/>
                <w:sz w:val="18"/>
              </w:rPr>
              <w:t xml:space="preserve"> </w:t>
            </w:r>
            <w:r>
              <w:rPr>
                <w:sz w:val="18"/>
              </w:rPr>
              <w:t>Lucro</w:t>
            </w:r>
            <w:r>
              <w:rPr>
                <w:spacing w:val="4"/>
                <w:sz w:val="18"/>
              </w:rPr>
              <w:t xml:space="preserve"> </w:t>
            </w:r>
            <w:r>
              <w:rPr>
                <w:spacing w:val="-2"/>
                <w:sz w:val="18"/>
              </w:rPr>
              <w:t>Líquido</w:t>
            </w:r>
          </w:p>
        </w:tc>
        <w:tc>
          <w:tcPr>
            <w:tcW w:w="1378" w:type="dxa"/>
          </w:tcPr>
          <w:p w14:paraId="59EB8CA4" w14:textId="77777777" w:rsidR="002C6574" w:rsidRDefault="00000000">
            <w:pPr>
              <w:pStyle w:val="TableParagraph"/>
              <w:spacing w:line="210" w:lineRule="exact"/>
              <w:ind w:right="56"/>
              <w:rPr>
                <w:sz w:val="18"/>
              </w:rPr>
            </w:pPr>
            <w:r>
              <w:rPr>
                <w:spacing w:val="-4"/>
                <w:w w:val="110"/>
                <w:sz w:val="18"/>
              </w:rPr>
              <w:t>9.246</w:t>
            </w:r>
          </w:p>
        </w:tc>
        <w:tc>
          <w:tcPr>
            <w:tcW w:w="1376" w:type="dxa"/>
          </w:tcPr>
          <w:p w14:paraId="3C7F5542" w14:textId="77777777" w:rsidR="002C6574" w:rsidRDefault="00000000">
            <w:pPr>
              <w:pStyle w:val="TableParagraph"/>
              <w:spacing w:line="210" w:lineRule="exact"/>
              <w:ind w:right="59"/>
              <w:rPr>
                <w:sz w:val="18"/>
              </w:rPr>
            </w:pPr>
            <w:r>
              <w:rPr>
                <w:spacing w:val="-4"/>
                <w:w w:val="110"/>
                <w:sz w:val="18"/>
              </w:rPr>
              <w:t>6.856</w:t>
            </w:r>
          </w:p>
        </w:tc>
      </w:tr>
      <w:tr w:rsidR="002C6574" w14:paraId="083B362D" w14:textId="77777777">
        <w:trPr>
          <w:trHeight w:val="232"/>
        </w:trPr>
        <w:tc>
          <w:tcPr>
            <w:tcW w:w="7018" w:type="dxa"/>
          </w:tcPr>
          <w:p w14:paraId="3C438B9C" w14:textId="77777777" w:rsidR="002C6574" w:rsidRDefault="00000000">
            <w:pPr>
              <w:pStyle w:val="TableParagraph"/>
              <w:spacing w:line="212" w:lineRule="exact"/>
              <w:ind w:left="69"/>
              <w:jc w:val="left"/>
              <w:rPr>
                <w:sz w:val="18"/>
              </w:rPr>
            </w:pPr>
            <w:r>
              <w:rPr>
                <w:sz w:val="18"/>
              </w:rPr>
              <w:t>Programa</w:t>
            </w:r>
            <w:r>
              <w:rPr>
                <w:spacing w:val="3"/>
                <w:sz w:val="18"/>
              </w:rPr>
              <w:t xml:space="preserve"> </w:t>
            </w:r>
            <w:r>
              <w:rPr>
                <w:sz w:val="18"/>
              </w:rPr>
              <w:t>de</w:t>
            </w:r>
            <w:r>
              <w:rPr>
                <w:spacing w:val="3"/>
                <w:sz w:val="18"/>
              </w:rPr>
              <w:t xml:space="preserve"> </w:t>
            </w:r>
            <w:r>
              <w:rPr>
                <w:sz w:val="18"/>
              </w:rPr>
              <w:t>Integração</w:t>
            </w:r>
            <w:r>
              <w:rPr>
                <w:spacing w:val="6"/>
                <w:sz w:val="18"/>
              </w:rPr>
              <w:t xml:space="preserve"> </w:t>
            </w:r>
            <w:r>
              <w:rPr>
                <w:sz w:val="18"/>
              </w:rPr>
              <w:t>Social</w:t>
            </w:r>
            <w:r>
              <w:rPr>
                <w:spacing w:val="6"/>
                <w:sz w:val="18"/>
              </w:rPr>
              <w:t xml:space="preserve"> </w:t>
            </w:r>
            <w:r>
              <w:rPr>
                <w:sz w:val="18"/>
              </w:rPr>
              <w:t>-</w:t>
            </w:r>
            <w:r>
              <w:rPr>
                <w:spacing w:val="3"/>
                <w:sz w:val="18"/>
              </w:rPr>
              <w:t xml:space="preserve"> </w:t>
            </w:r>
            <w:r>
              <w:rPr>
                <w:spacing w:val="-5"/>
                <w:sz w:val="18"/>
              </w:rPr>
              <w:t>PIS</w:t>
            </w:r>
          </w:p>
        </w:tc>
        <w:tc>
          <w:tcPr>
            <w:tcW w:w="1378" w:type="dxa"/>
          </w:tcPr>
          <w:p w14:paraId="064FC2CE" w14:textId="77777777" w:rsidR="002C6574" w:rsidRDefault="00000000">
            <w:pPr>
              <w:pStyle w:val="TableParagraph"/>
              <w:spacing w:line="212" w:lineRule="exact"/>
              <w:ind w:right="56"/>
              <w:rPr>
                <w:sz w:val="18"/>
              </w:rPr>
            </w:pPr>
            <w:r>
              <w:rPr>
                <w:spacing w:val="-2"/>
                <w:w w:val="105"/>
                <w:sz w:val="18"/>
              </w:rPr>
              <w:t>10.091</w:t>
            </w:r>
          </w:p>
        </w:tc>
        <w:tc>
          <w:tcPr>
            <w:tcW w:w="1376" w:type="dxa"/>
          </w:tcPr>
          <w:p w14:paraId="3CF1183A" w14:textId="77777777" w:rsidR="002C6574" w:rsidRDefault="00000000">
            <w:pPr>
              <w:pStyle w:val="TableParagraph"/>
              <w:spacing w:line="212" w:lineRule="exact"/>
              <w:ind w:right="59"/>
              <w:rPr>
                <w:sz w:val="18"/>
              </w:rPr>
            </w:pPr>
            <w:r>
              <w:rPr>
                <w:spacing w:val="-4"/>
                <w:w w:val="110"/>
                <w:sz w:val="18"/>
              </w:rPr>
              <w:t>9.537</w:t>
            </w:r>
          </w:p>
        </w:tc>
      </w:tr>
      <w:tr w:rsidR="002C6574" w14:paraId="7372A930" w14:textId="77777777">
        <w:trPr>
          <w:trHeight w:val="232"/>
        </w:trPr>
        <w:tc>
          <w:tcPr>
            <w:tcW w:w="7018" w:type="dxa"/>
          </w:tcPr>
          <w:p w14:paraId="629A0C4D" w14:textId="77777777" w:rsidR="002C6574" w:rsidRDefault="00000000">
            <w:pPr>
              <w:pStyle w:val="TableParagraph"/>
              <w:spacing w:line="212" w:lineRule="exact"/>
              <w:ind w:left="69"/>
              <w:jc w:val="left"/>
              <w:rPr>
                <w:sz w:val="18"/>
              </w:rPr>
            </w:pPr>
            <w:r>
              <w:rPr>
                <w:sz w:val="18"/>
              </w:rPr>
              <w:t>Instituto</w:t>
            </w:r>
            <w:r>
              <w:rPr>
                <w:spacing w:val="5"/>
                <w:sz w:val="18"/>
              </w:rPr>
              <w:t xml:space="preserve"> </w:t>
            </w:r>
            <w:r>
              <w:rPr>
                <w:sz w:val="18"/>
              </w:rPr>
              <w:t>Nacional</w:t>
            </w:r>
            <w:r>
              <w:rPr>
                <w:spacing w:val="6"/>
                <w:sz w:val="18"/>
              </w:rPr>
              <w:t xml:space="preserve"> </w:t>
            </w:r>
            <w:r>
              <w:rPr>
                <w:sz w:val="18"/>
              </w:rPr>
              <w:t>de</w:t>
            </w:r>
            <w:r>
              <w:rPr>
                <w:spacing w:val="3"/>
                <w:sz w:val="18"/>
              </w:rPr>
              <w:t xml:space="preserve"> </w:t>
            </w:r>
            <w:r>
              <w:rPr>
                <w:sz w:val="18"/>
              </w:rPr>
              <w:t>Previdência</w:t>
            </w:r>
            <w:r>
              <w:rPr>
                <w:spacing w:val="4"/>
                <w:sz w:val="18"/>
              </w:rPr>
              <w:t xml:space="preserve"> </w:t>
            </w:r>
            <w:r>
              <w:rPr>
                <w:sz w:val="18"/>
              </w:rPr>
              <w:t>Social</w:t>
            </w:r>
            <w:r>
              <w:rPr>
                <w:spacing w:val="5"/>
                <w:sz w:val="18"/>
              </w:rPr>
              <w:t xml:space="preserve"> </w:t>
            </w:r>
            <w:r>
              <w:rPr>
                <w:sz w:val="18"/>
              </w:rPr>
              <w:t>–</w:t>
            </w:r>
            <w:r>
              <w:rPr>
                <w:spacing w:val="3"/>
                <w:sz w:val="18"/>
              </w:rPr>
              <w:t xml:space="preserve"> </w:t>
            </w:r>
            <w:r>
              <w:rPr>
                <w:spacing w:val="-4"/>
                <w:sz w:val="18"/>
              </w:rPr>
              <w:t>INSS</w:t>
            </w:r>
          </w:p>
        </w:tc>
        <w:tc>
          <w:tcPr>
            <w:tcW w:w="1378" w:type="dxa"/>
          </w:tcPr>
          <w:p w14:paraId="4AD6C967" w14:textId="77777777" w:rsidR="002C6574" w:rsidRDefault="00000000">
            <w:pPr>
              <w:pStyle w:val="TableParagraph"/>
              <w:spacing w:line="212" w:lineRule="exact"/>
              <w:ind w:right="57"/>
              <w:rPr>
                <w:sz w:val="18"/>
              </w:rPr>
            </w:pPr>
            <w:r>
              <w:rPr>
                <w:spacing w:val="-5"/>
                <w:w w:val="105"/>
                <w:sz w:val="18"/>
              </w:rPr>
              <w:t>28</w:t>
            </w:r>
          </w:p>
        </w:tc>
        <w:tc>
          <w:tcPr>
            <w:tcW w:w="1376" w:type="dxa"/>
          </w:tcPr>
          <w:p w14:paraId="2CF94FAF" w14:textId="77777777" w:rsidR="002C6574" w:rsidRDefault="00000000">
            <w:pPr>
              <w:pStyle w:val="TableParagraph"/>
              <w:spacing w:line="212" w:lineRule="exact"/>
              <w:ind w:right="60"/>
              <w:rPr>
                <w:sz w:val="18"/>
              </w:rPr>
            </w:pPr>
            <w:r>
              <w:rPr>
                <w:spacing w:val="-5"/>
                <w:w w:val="105"/>
                <w:sz w:val="18"/>
              </w:rPr>
              <w:t>31</w:t>
            </w:r>
          </w:p>
        </w:tc>
      </w:tr>
      <w:tr w:rsidR="002C6574" w14:paraId="6814D754" w14:textId="77777777">
        <w:trPr>
          <w:trHeight w:val="232"/>
        </w:trPr>
        <w:tc>
          <w:tcPr>
            <w:tcW w:w="7018" w:type="dxa"/>
          </w:tcPr>
          <w:p w14:paraId="10D1949F" w14:textId="77777777" w:rsidR="002C6574" w:rsidRDefault="00000000">
            <w:pPr>
              <w:pStyle w:val="TableParagraph"/>
              <w:spacing w:before="13" w:line="199" w:lineRule="exact"/>
              <w:ind w:left="69"/>
              <w:jc w:val="left"/>
              <w:rPr>
                <w:rFonts w:ascii="Arial"/>
                <w:b/>
                <w:sz w:val="18"/>
              </w:rPr>
            </w:pPr>
            <w:r>
              <w:rPr>
                <w:rFonts w:ascii="Arial"/>
                <w:b/>
                <w:sz w:val="18"/>
              </w:rPr>
              <w:t>Tributos</w:t>
            </w:r>
            <w:r>
              <w:rPr>
                <w:rFonts w:ascii="Arial"/>
                <w:b/>
                <w:spacing w:val="1"/>
                <w:sz w:val="18"/>
              </w:rPr>
              <w:t xml:space="preserve"> </w:t>
            </w:r>
            <w:r>
              <w:rPr>
                <w:rFonts w:ascii="Arial"/>
                <w:b/>
                <w:spacing w:val="-2"/>
                <w:sz w:val="18"/>
              </w:rPr>
              <w:t>Federais:</w:t>
            </w:r>
          </w:p>
        </w:tc>
        <w:tc>
          <w:tcPr>
            <w:tcW w:w="1378" w:type="dxa"/>
          </w:tcPr>
          <w:p w14:paraId="533F46BE" w14:textId="77777777" w:rsidR="002C6574" w:rsidRDefault="00000000">
            <w:pPr>
              <w:pStyle w:val="TableParagraph"/>
              <w:spacing w:before="13" w:line="199" w:lineRule="exact"/>
              <w:ind w:right="56"/>
              <w:rPr>
                <w:rFonts w:ascii="Arial"/>
                <w:b/>
                <w:sz w:val="18"/>
              </w:rPr>
            </w:pPr>
            <w:r>
              <w:rPr>
                <w:rFonts w:ascii="Arial"/>
                <w:b/>
                <w:spacing w:val="-2"/>
                <w:sz w:val="18"/>
              </w:rPr>
              <w:t>164.957</w:t>
            </w:r>
          </w:p>
        </w:tc>
        <w:tc>
          <w:tcPr>
            <w:tcW w:w="1376" w:type="dxa"/>
          </w:tcPr>
          <w:p w14:paraId="3D89BC98" w14:textId="77777777" w:rsidR="002C6574" w:rsidRDefault="00000000">
            <w:pPr>
              <w:pStyle w:val="TableParagraph"/>
              <w:spacing w:before="13" w:line="199" w:lineRule="exact"/>
              <w:ind w:right="61"/>
              <w:rPr>
                <w:rFonts w:ascii="Arial"/>
                <w:b/>
                <w:sz w:val="18"/>
              </w:rPr>
            </w:pPr>
            <w:r>
              <w:rPr>
                <w:rFonts w:ascii="Arial"/>
                <w:b/>
                <w:spacing w:val="-2"/>
                <w:sz w:val="18"/>
              </w:rPr>
              <w:t>142.395</w:t>
            </w:r>
          </w:p>
        </w:tc>
      </w:tr>
      <w:tr w:rsidR="002C6574" w14:paraId="13F6FEF1" w14:textId="77777777">
        <w:trPr>
          <w:trHeight w:val="232"/>
        </w:trPr>
        <w:tc>
          <w:tcPr>
            <w:tcW w:w="7018" w:type="dxa"/>
          </w:tcPr>
          <w:p w14:paraId="02958FA1" w14:textId="77777777" w:rsidR="002C6574" w:rsidRDefault="00000000">
            <w:pPr>
              <w:pStyle w:val="TableParagraph"/>
              <w:spacing w:line="212" w:lineRule="exact"/>
              <w:ind w:left="69"/>
              <w:jc w:val="left"/>
              <w:rPr>
                <w:sz w:val="18"/>
              </w:rPr>
            </w:pPr>
            <w:r>
              <w:rPr>
                <w:sz w:val="18"/>
              </w:rPr>
              <w:t>Imposto</w:t>
            </w:r>
            <w:r>
              <w:rPr>
                <w:spacing w:val="8"/>
                <w:sz w:val="18"/>
              </w:rPr>
              <w:t xml:space="preserve"> </w:t>
            </w:r>
            <w:r>
              <w:rPr>
                <w:sz w:val="18"/>
              </w:rPr>
              <w:t>sobre</w:t>
            </w:r>
            <w:r>
              <w:rPr>
                <w:spacing w:val="9"/>
                <w:sz w:val="18"/>
              </w:rPr>
              <w:t xml:space="preserve"> </w:t>
            </w:r>
            <w:r>
              <w:rPr>
                <w:sz w:val="18"/>
              </w:rPr>
              <w:t>Circulação</w:t>
            </w:r>
            <w:r>
              <w:rPr>
                <w:spacing w:val="10"/>
                <w:sz w:val="18"/>
              </w:rPr>
              <w:t xml:space="preserve"> </w:t>
            </w:r>
            <w:r>
              <w:rPr>
                <w:sz w:val="18"/>
              </w:rPr>
              <w:t>de</w:t>
            </w:r>
            <w:r>
              <w:rPr>
                <w:spacing w:val="8"/>
                <w:sz w:val="18"/>
              </w:rPr>
              <w:t xml:space="preserve"> </w:t>
            </w:r>
            <w:r>
              <w:rPr>
                <w:sz w:val="18"/>
              </w:rPr>
              <w:t>Mercadorias</w:t>
            </w:r>
            <w:r>
              <w:rPr>
                <w:spacing w:val="11"/>
                <w:sz w:val="18"/>
              </w:rPr>
              <w:t xml:space="preserve"> </w:t>
            </w:r>
            <w:r>
              <w:rPr>
                <w:sz w:val="18"/>
              </w:rPr>
              <w:t>e</w:t>
            </w:r>
            <w:r>
              <w:rPr>
                <w:spacing w:val="10"/>
                <w:sz w:val="18"/>
              </w:rPr>
              <w:t xml:space="preserve"> </w:t>
            </w:r>
            <w:r>
              <w:rPr>
                <w:sz w:val="18"/>
              </w:rPr>
              <w:t>Prestação</w:t>
            </w:r>
            <w:r>
              <w:rPr>
                <w:spacing w:val="9"/>
                <w:sz w:val="18"/>
              </w:rPr>
              <w:t xml:space="preserve"> </w:t>
            </w:r>
            <w:r>
              <w:rPr>
                <w:sz w:val="18"/>
              </w:rPr>
              <w:t>de</w:t>
            </w:r>
            <w:r>
              <w:rPr>
                <w:spacing w:val="13"/>
                <w:sz w:val="18"/>
              </w:rPr>
              <w:t xml:space="preserve"> </w:t>
            </w:r>
            <w:r>
              <w:rPr>
                <w:sz w:val="18"/>
              </w:rPr>
              <w:t>Serviços</w:t>
            </w:r>
            <w:r>
              <w:rPr>
                <w:spacing w:val="8"/>
                <w:sz w:val="18"/>
              </w:rPr>
              <w:t xml:space="preserve"> </w:t>
            </w:r>
            <w:r>
              <w:rPr>
                <w:sz w:val="18"/>
              </w:rPr>
              <w:t>–</w:t>
            </w:r>
            <w:r>
              <w:rPr>
                <w:spacing w:val="13"/>
                <w:sz w:val="18"/>
              </w:rPr>
              <w:t xml:space="preserve"> </w:t>
            </w:r>
            <w:r>
              <w:rPr>
                <w:spacing w:val="-4"/>
                <w:sz w:val="18"/>
              </w:rPr>
              <w:t>ICMS</w:t>
            </w:r>
          </w:p>
        </w:tc>
        <w:tc>
          <w:tcPr>
            <w:tcW w:w="1378" w:type="dxa"/>
          </w:tcPr>
          <w:p w14:paraId="3EB3CC5C" w14:textId="77777777" w:rsidR="002C6574" w:rsidRDefault="00000000">
            <w:pPr>
              <w:pStyle w:val="TableParagraph"/>
              <w:spacing w:line="212" w:lineRule="exact"/>
              <w:ind w:right="56"/>
              <w:rPr>
                <w:sz w:val="18"/>
              </w:rPr>
            </w:pPr>
            <w:r>
              <w:rPr>
                <w:spacing w:val="-2"/>
                <w:w w:val="105"/>
                <w:sz w:val="18"/>
              </w:rPr>
              <w:t>43.255</w:t>
            </w:r>
          </w:p>
        </w:tc>
        <w:tc>
          <w:tcPr>
            <w:tcW w:w="1376" w:type="dxa"/>
          </w:tcPr>
          <w:p w14:paraId="12B3BA19" w14:textId="77777777" w:rsidR="002C6574" w:rsidRDefault="00000000">
            <w:pPr>
              <w:pStyle w:val="TableParagraph"/>
              <w:spacing w:line="212" w:lineRule="exact"/>
              <w:ind w:right="61"/>
              <w:rPr>
                <w:sz w:val="18"/>
              </w:rPr>
            </w:pPr>
            <w:r>
              <w:rPr>
                <w:spacing w:val="-2"/>
                <w:w w:val="105"/>
                <w:sz w:val="18"/>
              </w:rPr>
              <w:t>43.742</w:t>
            </w:r>
          </w:p>
        </w:tc>
      </w:tr>
      <w:tr w:rsidR="002C6574" w14:paraId="201577C6" w14:textId="77777777">
        <w:trPr>
          <w:trHeight w:val="232"/>
        </w:trPr>
        <w:tc>
          <w:tcPr>
            <w:tcW w:w="7018" w:type="dxa"/>
          </w:tcPr>
          <w:p w14:paraId="059F1D53" w14:textId="77777777" w:rsidR="002C6574" w:rsidRDefault="00000000">
            <w:pPr>
              <w:pStyle w:val="TableParagraph"/>
              <w:spacing w:before="11" w:line="201" w:lineRule="exact"/>
              <w:ind w:left="69"/>
              <w:jc w:val="left"/>
              <w:rPr>
                <w:rFonts w:ascii="Arial"/>
                <w:b/>
                <w:sz w:val="18"/>
              </w:rPr>
            </w:pPr>
            <w:r>
              <w:rPr>
                <w:rFonts w:ascii="Arial"/>
                <w:b/>
                <w:sz w:val="18"/>
              </w:rPr>
              <w:t>Tributos</w:t>
            </w:r>
            <w:r>
              <w:rPr>
                <w:rFonts w:ascii="Arial"/>
                <w:b/>
                <w:spacing w:val="1"/>
                <w:sz w:val="18"/>
              </w:rPr>
              <w:t xml:space="preserve"> </w:t>
            </w:r>
            <w:r>
              <w:rPr>
                <w:rFonts w:ascii="Arial"/>
                <w:b/>
                <w:spacing w:val="-2"/>
                <w:sz w:val="18"/>
              </w:rPr>
              <w:t>Estaduais:</w:t>
            </w:r>
          </w:p>
        </w:tc>
        <w:tc>
          <w:tcPr>
            <w:tcW w:w="1378" w:type="dxa"/>
          </w:tcPr>
          <w:p w14:paraId="4434AE5A" w14:textId="77777777" w:rsidR="002C6574" w:rsidRDefault="00000000">
            <w:pPr>
              <w:pStyle w:val="TableParagraph"/>
              <w:spacing w:before="11" w:line="201" w:lineRule="exact"/>
              <w:ind w:right="56"/>
              <w:rPr>
                <w:rFonts w:ascii="Arial"/>
                <w:b/>
                <w:sz w:val="18"/>
              </w:rPr>
            </w:pPr>
            <w:r>
              <w:rPr>
                <w:rFonts w:ascii="Arial"/>
                <w:b/>
                <w:spacing w:val="-2"/>
                <w:sz w:val="18"/>
              </w:rPr>
              <w:t>43.255</w:t>
            </w:r>
          </w:p>
        </w:tc>
        <w:tc>
          <w:tcPr>
            <w:tcW w:w="1376" w:type="dxa"/>
          </w:tcPr>
          <w:p w14:paraId="34118B30" w14:textId="77777777" w:rsidR="002C6574" w:rsidRDefault="00000000">
            <w:pPr>
              <w:pStyle w:val="TableParagraph"/>
              <w:spacing w:before="11" w:line="201" w:lineRule="exact"/>
              <w:ind w:right="61"/>
              <w:rPr>
                <w:rFonts w:ascii="Arial"/>
                <w:b/>
                <w:sz w:val="18"/>
              </w:rPr>
            </w:pPr>
            <w:r>
              <w:rPr>
                <w:rFonts w:ascii="Arial"/>
                <w:b/>
                <w:spacing w:val="-2"/>
                <w:sz w:val="18"/>
              </w:rPr>
              <w:t>43.742</w:t>
            </w:r>
          </w:p>
        </w:tc>
      </w:tr>
      <w:tr w:rsidR="002C6574" w14:paraId="2BC2B743" w14:textId="77777777">
        <w:trPr>
          <w:trHeight w:val="230"/>
        </w:trPr>
        <w:tc>
          <w:tcPr>
            <w:tcW w:w="7018" w:type="dxa"/>
          </w:tcPr>
          <w:p w14:paraId="72A09768" w14:textId="77777777" w:rsidR="002C6574" w:rsidRDefault="00000000">
            <w:pPr>
              <w:pStyle w:val="TableParagraph"/>
              <w:spacing w:line="210" w:lineRule="exact"/>
              <w:ind w:left="69"/>
              <w:jc w:val="left"/>
              <w:rPr>
                <w:sz w:val="18"/>
              </w:rPr>
            </w:pPr>
            <w:r>
              <w:rPr>
                <w:sz w:val="18"/>
              </w:rPr>
              <w:t>Imposto</w:t>
            </w:r>
            <w:r>
              <w:rPr>
                <w:spacing w:val="4"/>
                <w:sz w:val="18"/>
              </w:rPr>
              <w:t xml:space="preserve"> </w:t>
            </w:r>
            <w:r>
              <w:rPr>
                <w:sz w:val="18"/>
              </w:rPr>
              <w:t>sobre</w:t>
            </w:r>
            <w:r>
              <w:rPr>
                <w:spacing w:val="4"/>
                <w:sz w:val="18"/>
              </w:rPr>
              <w:t xml:space="preserve"> </w:t>
            </w:r>
            <w:r>
              <w:rPr>
                <w:sz w:val="18"/>
              </w:rPr>
              <w:t>Serviços</w:t>
            </w:r>
            <w:r>
              <w:rPr>
                <w:spacing w:val="7"/>
                <w:sz w:val="18"/>
              </w:rPr>
              <w:t xml:space="preserve"> </w:t>
            </w:r>
            <w:r>
              <w:rPr>
                <w:sz w:val="18"/>
              </w:rPr>
              <w:t>de</w:t>
            </w:r>
            <w:r>
              <w:rPr>
                <w:spacing w:val="5"/>
                <w:sz w:val="18"/>
              </w:rPr>
              <w:t xml:space="preserve"> </w:t>
            </w:r>
            <w:r>
              <w:rPr>
                <w:sz w:val="18"/>
              </w:rPr>
              <w:t>Qualquer</w:t>
            </w:r>
            <w:r>
              <w:rPr>
                <w:spacing w:val="4"/>
                <w:sz w:val="18"/>
              </w:rPr>
              <w:t xml:space="preserve"> </w:t>
            </w:r>
            <w:r>
              <w:rPr>
                <w:sz w:val="18"/>
              </w:rPr>
              <w:t>Natureza</w:t>
            </w:r>
            <w:r>
              <w:rPr>
                <w:spacing w:val="4"/>
                <w:sz w:val="18"/>
              </w:rPr>
              <w:t xml:space="preserve"> </w:t>
            </w:r>
            <w:r>
              <w:rPr>
                <w:sz w:val="18"/>
              </w:rPr>
              <w:t>–</w:t>
            </w:r>
            <w:r>
              <w:rPr>
                <w:spacing w:val="5"/>
                <w:sz w:val="18"/>
              </w:rPr>
              <w:t xml:space="preserve"> </w:t>
            </w:r>
            <w:r>
              <w:rPr>
                <w:spacing w:val="-5"/>
                <w:sz w:val="18"/>
              </w:rPr>
              <w:t>ISS</w:t>
            </w:r>
          </w:p>
        </w:tc>
        <w:tc>
          <w:tcPr>
            <w:tcW w:w="1378" w:type="dxa"/>
          </w:tcPr>
          <w:p w14:paraId="15DD5EA1" w14:textId="77777777" w:rsidR="002C6574" w:rsidRDefault="00000000">
            <w:pPr>
              <w:pStyle w:val="TableParagraph"/>
              <w:spacing w:line="210" w:lineRule="exact"/>
              <w:ind w:right="57"/>
              <w:rPr>
                <w:sz w:val="18"/>
              </w:rPr>
            </w:pPr>
            <w:r>
              <w:rPr>
                <w:spacing w:val="-5"/>
                <w:w w:val="105"/>
                <w:sz w:val="18"/>
              </w:rPr>
              <w:t>99</w:t>
            </w:r>
          </w:p>
        </w:tc>
        <w:tc>
          <w:tcPr>
            <w:tcW w:w="1376" w:type="dxa"/>
          </w:tcPr>
          <w:p w14:paraId="6884050D" w14:textId="77777777" w:rsidR="002C6574" w:rsidRDefault="00000000">
            <w:pPr>
              <w:pStyle w:val="TableParagraph"/>
              <w:spacing w:line="210" w:lineRule="exact"/>
              <w:ind w:right="59"/>
              <w:rPr>
                <w:sz w:val="18"/>
              </w:rPr>
            </w:pPr>
            <w:r>
              <w:rPr>
                <w:spacing w:val="-5"/>
                <w:w w:val="105"/>
                <w:sz w:val="18"/>
              </w:rPr>
              <w:t>189</w:t>
            </w:r>
          </w:p>
        </w:tc>
      </w:tr>
      <w:tr w:rsidR="002C6574" w14:paraId="031C70E8" w14:textId="77777777">
        <w:trPr>
          <w:trHeight w:val="232"/>
        </w:trPr>
        <w:tc>
          <w:tcPr>
            <w:tcW w:w="7018" w:type="dxa"/>
          </w:tcPr>
          <w:p w14:paraId="67FD62A0" w14:textId="77777777" w:rsidR="002C6574" w:rsidRDefault="00000000">
            <w:pPr>
              <w:pStyle w:val="TableParagraph"/>
              <w:spacing w:before="13" w:line="199" w:lineRule="exact"/>
              <w:ind w:left="69"/>
              <w:jc w:val="left"/>
              <w:rPr>
                <w:rFonts w:ascii="Arial"/>
                <w:b/>
                <w:sz w:val="18"/>
              </w:rPr>
            </w:pPr>
            <w:r>
              <w:rPr>
                <w:rFonts w:ascii="Arial"/>
                <w:b/>
                <w:sz w:val="18"/>
              </w:rPr>
              <w:t>Tributos</w:t>
            </w:r>
            <w:r>
              <w:rPr>
                <w:rFonts w:ascii="Arial"/>
                <w:b/>
                <w:spacing w:val="-3"/>
                <w:sz w:val="18"/>
              </w:rPr>
              <w:t xml:space="preserve"> </w:t>
            </w:r>
            <w:r>
              <w:rPr>
                <w:rFonts w:ascii="Arial"/>
                <w:b/>
                <w:spacing w:val="-2"/>
                <w:sz w:val="18"/>
              </w:rPr>
              <w:t>Municipais</w:t>
            </w:r>
          </w:p>
        </w:tc>
        <w:tc>
          <w:tcPr>
            <w:tcW w:w="1378" w:type="dxa"/>
          </w:tcPr>
          <w:p w14:paraId="7EBD736E" w14:textId="77777777" w:rsidR="002C6574" w:rsidRDefault="00000000">
            <w:pPr>
              <w:pStyle w:val="TableParagraph"/>
              <w:spacing w:before="13" w:line="199" w:lineRule="exact"/>
              <w:ind w:right="56"/>
              <w:rPr>
                <w:rFonts w:ascii="Arial"/>
                <w:b/>
                <w:sz w:val="18"/>
              </w:rPr>
            </w:pPr>
            <w:r>
              <w:rPr>
                <w:rFonts w:ascii="Arial"/>
                <w:b/>
                <w:spacing w:val="-5"/>
                <w:sz w:val="18"/>
              </w:rPr>
              <w:t>99</w:t>
            </w:r>
          </w:p>
        </w:tc>
        <w:tc>
          <w:tcPr>
            <w:tcW w:w="1376" w:type="dxa"/>
          </w:tcPr>
          <w:p w14:paraId="450244F6" w14:textId="77777777" w:rsidR="002C6574" w:rsidRDefault="00000000">
            <w:pPr>
              <w:pStyle w:val="TableParagraph"/>
              <w:spacing w:before="13" w:line="199" w:lineRule="exact"/>
              <w:ind w:right="59"/>
              <w:rPr>
                <w:rFonts w:ascii="Arial"/>
                <w:b/>
                <w:sz w:val="18"/>
              </w:rPr>
            </w:pPr>
            <w:r>
              <w:rPr>
                <w:rFonts w:ascii="Arial"/>
                <w:b/>
                <w:spacing w:val="-5"/>
                <w:sz w:val="18"/>
              </w:rPr>
              <w:t>189</w:t>
            </w:r>
          </w:p>
        </w:tc>
      </w:tr>
      <w:tr w:rsidR="002C6574" w14:paraId="0DFC9050" w14:textId="77777777">
        <w:trPr>
          <w:trHeight w:val="232"/>
        </w:trPr>
        <w:tc>
          <w:tcPr>
            <w:tcW w:w="7018" w:type="dxa"/>
          </w:tcPr>
          <w:p w14:paraId="75241818" w14:textId="77777777" w:rsidR="002C6574" w:rsidRDefault="00000000">
            <w:pPr>
              <w:pStyle w:val="TableParagraph"/>
              <w:spacing w:before="13" w:line="199" w:lineRule="exact"/>
              <w:ind w:left="69"/>
              <w:jc w:val="left"/>
              <w:rPr>
                <w:rFonts w:ascii="Arial"/>
                <w:b/>
                <w:sz w:val="18"/>
              </w:rPr>
            </w:pPr>
            <w:r>
              <w:rPr>
                <w:rFonts w:ascii="Arial"/>
                <w:b/>
                <w:spacing w:val="-2"/>
                <w:sz w:val="18"/>
              </w:rPr>
              <w:t>Total</w:t>
            </w:r>
          </w:p>
        </w:tc>
        <w:tc>
          <w:tcPr>
            <w:tcW w:w="1378" w:type="dxa"/>
          </w:tcPr>
          <w:p w14:paraId="04BD4A2F" w14:textId="77777777" w:rsidR="002C6574" w:rsidRDefault="00000000">
            <w:pPr>
              <w:pStyle w:val="TableParagraph"/>
              <w:spacing w:before="13" w:line="199" w:lineRule="exact"/>
              <w:ind w:right="57"/>
              <w:rPr>
                <w:rFonts w:ascii="Arial"/>
                <w:b/>
                <w:sz w:val="18"/>
              </w:rPr>
            </w:pPr>
            <w:r>
              <w:rPr>
                <w:rFonts w:ascii="Arial"/>
                <w:b/>
                <w:spacing w:val="-2"/>
                <w:sz w:val="18"/>
              </w:rPr>
              <w:t>208.311</w:t>
            </w:r>
          </w:p>
        </w:tc>
        <w:tc>
          <w:tcPr>
            <w:tcW w:w="1376" w:type="dxa"/>
          </w:tcPr>
          <w:p w14:paraId="6CD3A20C" w14:textId="77777777" w:rsidR="002C6574" w:rsidRDefault="00000000">
            <w:pPr>
              <w:pStyle w:val="TableParagraph"/>
              <w:spacing w:before="13" w:line="199" w:lineRule="exact"/>
              <w:ind w:right="61"/>
              <w:rPr>
                <w:rFonts w:ascii="Arial"/>
                <w:b/>
                <w:sz w:val="18"/>
              </w:rPr>
            </w:pPr>
            <w:r>
              <w:rPr>
                <w:rFonts w:ascii="Arial"/>
                <w:b/>
                <w:spacing w:val="-2"/>
                <w:sz w:val="18"/>
              </w:rPr>
              <w:t>186.326</w:t>
            </w:r>
          </w:p>
        </w:tc>
      </w:tr>
      <w:tr w:rsidR="002C6574" w14:paraId="229AFE27" w14:textId="77777777">
        <w:trPr>
          <w:trHeight w:val="232"/>
        </w:trPr>
        <w:tc>
          <w:tcPr>
            <w:tcW w:w="7018" w:type="dxa"/>
          </w:tcPr>
          <w:p w14:paraId="2D38FA8C" w14:textId="77777777" w:rsidR="002C6574" w:rsidRDefault="00000000">
            <w:pPr>
              <w:pStyle w:val="TableParagraph"/>
              <w:spacing w:before="13" w:line="199" w:lineRule="exact"/>
              <w:ind w:left="69"/>
              <w:jc w:val="left"/>
              <w:rPr>
                <w:rFonts w:ascii="Arial"/>
                <w:b/>
                <w:sz w:val="18"/>
              </w:rPr>
            </w:pPr>
            <w:r>
              <w:rPr>
                <w:rFonts w:ascii="Arial"/>
                <w:b/>
                <w:spacing w:val="-2"/>
                <w:sz w:val="18"/>
              </w:rPr>
              <w:t>Circulante</w:t>
            </w:r>
          </w:p>
        </w:tc>
        <w:tc>
          <w:tcPr>
            <w:tcW w:w="1378" w:type="dxa"/>
          </w:tcPr>
          <w:p w14:paraId="7DF08A26" w14:textId="77777777" w:rsidR="002C6574" w:rsidRDefault="00000000">
            <w:pPr>
              <w:pStyle w:val="TableParagraph"/>
              <w:spacing w:before="13" w:line="199" w:lineRule="exact"/>
              <w:ind w:right="57"/>
              <w:rPr>
                <w:rFonts w:ascii="Arial"/>
                <w:b/>
                <w:sz w:val="18"/>
              </w:rPr>
            </w:pPr>
            <w:r>
              <w:rPr>
                <w:rFonts w:ascii="Arial"/>
                <w:b/>
                <w:spacing w:val="-2"/>
                <w:sz w:val="18"/>
              </w:rPr>
              <w:t>204.516</w:t>
            </w:r>
          </w:p>
        </w:tc>
        <w:tc>
          <w:tcPr>
            <w:tcW w:w="1376" w:type="dxa"/>
          </w:tcPr>
          <w:p w14:paraId="0FF0C3FA" w14:textId="77777777" w:rsidR="002C6574" w:rsidRDefault="00000000">
            <w:pPr>
              <w:pStyle w:val="TableParagraph"/>
              <w:spacing w:before="13" w:line="199" w:lineRule="exact"/>
              <w:ind w:right="61"/>
              <w:rPr>
                <w:rFonts w:ascii="Arial"/>
                <w:b/>
                <w:sz w:val="18"/>
              </w:rPr>
            </w:pPr>
            <w:r>
              <w:rPr>
                <w:rFonts w:ascii="Arial"/>
                <w:b/>
                <w:spacing w:val="-2"/>
                <w:sz w:val="18"/>
              </w:rPr>
              <w:t>178.044</w:t>
            </w:r>
          </w:p>
        </w:tc>
      </w:tr>
      <w:tr w:rsidR="002C6574" w14:paraId="17829C40" w14:textId="77777777">
        <w:trPr>
          <w:trHeight w:val="232"/>
        </w:trPr>
        <w:tc>
          <w:tcPr>
            <w:tcW w:w="7018" w:type="dxa"/>
          </w:tcPr>
          <w:p w14:paraId="2F14D7B7" w14:textId="77777777" w:rsidR="002C6574" w:rsidRDefault="00000000">
            <w:pPr>
              <w:pStyle w:val="TableParagraph"/>
              <w:spacing w:before="11" w:line="201" w:lineRule="exact"/>
              <w:ind w:left="69"/>
              <w:jc w:val="left"/>
              <w:rPr>
                <w:rFonts w:ascii="Arial" w:hAnsi="Arial"/>
                <w:b/>
                <w:sz w:val="18"/>
              </w:rPr>
            </w:pPr>
            <w:r>
              <w:rPr>
                <w:rFonts w:ascii="Arial" w:hAnsi="Arial"/>
                <w:b/>
                <w:sz w:val="18"/>
              </w:rPr>
              <w:t xml:space="preserve">Não </w:t>
            </w:r>
            <w:r>
              <w:rPr>
                <w:rFonts w:ascii="Arial" w:hAnsi="Arial"/>
                <w:b/>
                <w:spacing w:val="-2"/>
                <w:sz w:val="18"/>
              </w:rPr>
              <w:t>Circulante</w:t>
            </w:r>
          </w:p>
        </w:tc>
        <w:tc>
          <w:tcPr>
            <w:tcW w:w="1378" w:type="dxa"/>
          </w:tcPr>
          <w:p w14:paraId="4DA44E23" w14:textId="77777777" w:rsidR="002C6574" w:rsidRDefault="00000000">
            <w:pPr>
              <w:pStyle w:val="TableParagraph"/>
              <w:spacing w:before="11" w:line="201" w:lineRule="exact"/>
              <w:ind w:right="57"/>
              <w:rPr>
                <w:rFonts w:ascii="Arial"/>
                <w:b/>
                <w:sz w:val="18"/>
              </w:rPr>
            </w:pPr>
            <w:r>
              <w:rPr>
                <w:rFonts w:ascii="Arial"/>
                <w:b/>
                <w:spacing w:val="-2"/>
                <w:sz w:val="18"/>
              </w:rPr>
              <w:t>3.795</w:t>
            </w:r>
          </w:p>
        </w:tc>
        <w:tc>
          <w:tcPr>
            <w:tcW w:w="1376" w:type="dxa"/>
          </w:tcPr>
          <w:p w14:paraId="33567992" w14:textId="77777777" w:rsidR="002C6574" w:rsidRDefault="00000000">
            <w:pPr>
              <w:pStyle w:val="TableParagraph"/>
              <w:spacing w:before="11" w:line="201" w:lineRule="exact"/>
              <w:ind w:right="59"/>
              <w:rPr>
                <w:rFonts w:ascii="Arial"/>
                <w:b/>
                <w:sz w:val="18"/>
              </w:rPr>
            </w:pPr>
            <w:r>
              <w:rPr>
                <w:rFonts w:ascii="Arial"/>
                <w:b/>
                <w:spacing w:val="-2"/>
                <w:sz w:val="18"/>
              </w:rPr>
              <w:t>8.282</w:t>
            </w:r>
          </w:p>
        </w:tc>
      </w:tr>
    </w:tbl>
    <w:p w14:paraId="08B0FE4C" w14:textId="77777777" w:rsidR="002C6574" w:rsidRDefault="002C6574">
      <w:pPr>
        <w:pStyle w:val="Corpodetexto"/>
        <w:spacing w:before="128"/>
        <w:rPr>
          <w:rFonts w:ascii="Arial"/>
          <w:b/>
        </w:rPr>
      </w:pPr>
    </w:p>
    <w:p w14:paraId="0918622F" w14:textId="77777777" w:rsidR="002C6574" w:rsidRDefault="00000000">
      <w:pPr>
        <w:numPr>
          <w:ilvl w:val="1"/>
          <w:numId w:val="41"/>
        </w:numPr>
        <w:tabs>
          <w:tab w:val="left" w:pos="863"/>
        </w:tabs>
        <w:rPr>
          <w:rFonts w:ascii="Arial" w:hAnsi="Arial"/>
          <w:b/>
        </w:rPr>
      </w:pPr>
      <w:r>
        <w:rPr>
          <w:rFonts w:ascii="Arial" w:hAnsi="Arial"/>
          <w:b/>
        </w:rPr>
        <w:t>Movimentação</w:t>
      </w:r>
      <w:r>
        <w:rPr>
          <w:rFonts w:ascii="Arial" w:hAnsi="Arial"/>
          <w:b/>
          <w:spacing w:val="-6"/>
        </w:rPr>
        <w:t xml:space="preserve"> </w:t>
      </w:r>
      <w:r>
        <w:rPr>
          <w:rFonts w:ascii="Arial" w:hAnsi="Arial"/>
          <w:b/>
        </w:rPr>
        <w:t>do</w:t>
      </w:r>
      <w:r>
        <w:rPr>
          <w:rFonts w:ascii="Arial" w:hAnsi="Arial"/>
          <w:b/>
          <w:spacing w:val="-3"/>
        </w:rPr>
        <w:t xml:space="preserve"> </w:t>
      </w:r>
      <w:r>
        <w:rPr>
          <w:rFonts w:ascii="Arial" w:hAnsi="Arial"/>
          <w:b/>
          <w:spacing w:val="-2"/>
        </w:rPr>
        <w:t>período</w:t>
      </w:r>
    </w:p>
    <w:p w14:paraId="077B5DE0" w14:textId="77777777" w:rsidR="002C6574" w:rsidRDefault="00000000">
      <w:pPr>
        <w:pStyle w:val="Corpodetexto"/>
        <w:spacing w:before="244" w:line="206" w:lineRule="auto"/>
        <w:ind w:left="143" w:right="700"/>
      </w:pPr>
      <w:r>
        <w:t>O</w:t>
      </w:r>
      <w:r>
        <w:rPr>
          <w:spacing w:val="-6"/>
        </w:rPr>
        <w:t xml:space="preserve"> </w:t>
      </w:r>
      <w:r>
        <w:t>quadro</w:t>
      </w:r>
      <w:r>
        <w:rPr>
          <w:spacing w:val="-9"/>
        </w:rPr>
        <w:t xml:space="preserve"> </w:t>
      </w:r>
      <w:r>
        <w:t>a</w:t>
      </w:r>
      <w:r>
        <w:rPr>
          <w:spacing w:val="-7"/>
        </w:rPr>
        <w:t xml:space="preserve"> </w:t>
      </w:r>
      <w:r>
        <w:t>seguir</w:t>
      </w:r>
      <w:r>
        <w:rPr>
          <w:spacing w:val="-6"/>
        </w:rPr>
        <w:t xml:space="preserve"> </w:t>
      </w:r>
      <w:r>
        <w:t>apresenta</w:t>
      </w:r>
      <w:r>
        <w:rPr>
          <w:spacing w:val="-6"/>
        </w:rPr>
        <w:t xml:space="preserve"> </w:t>
      </w:r>
      <w:r>
        <w:t>a</w:t>
      </w:r>
      <w:r>
        <w:rPr>
          <w:spacing w:val="-9"/>
        </w:rPr>
        <w:t xml:space="preserve"> </w:t>
      </w:r>
      <w:r>
        <w:t>movimentação</w:t>
      </w:r>
      <w:r>
        <w:rPr>
          <w:spacing w:val="-7"/>
        </w:rPr>
        <w:t xml:space="preserve"> </w:t>
      </w:r>
      <w:r>
        <w:t>dos</w:t>
      </w:r>
      <w:r>
        <w:rPr>
          <w:spacing w:val="-8"/>
        </w:rPr>
        <w:t xml:space="preserve"> </w:t>
      </w:r>
      <w:r>
        <w:t>tributos</w:t>
      </w:r>
      <w:r>
        <w:rPr>
          <w:spacing w:val="-8"/>
        </w:rPr>
        <w:t xml:space="preserve"> </w:t>
      </w:r>
      <w:r>
        <w:t>a</w:t>
      </w:r>
      <w:r>
        <w:rPr>
          <w:spacing w:val="-9"/>
        </w:rPr>
        <w:t xml:space="preserve"> </w:t>
      </w:r>
      <w:r>
        <w:t>compensar</w:t>
      </w:r>
      <w:r>
        <w:rPr>
          <w:spacing w:val="-8"/>
        </w:rPr>
        <w:t xml:space="preserve"> </w:t>
      </w:r>
      <w:r>
        <w:t>e/ou</w:t>
      </w:r>
      <w:r>
        <w:rPr>
          <w:spacing w:val="-7"/>
        </w:rPr>
        <w:t xml:space="preserve"> </w:t>
      </w:r>
      <w:r>
        <w:t>a</w:t>
      </w:r>
      <w:r>
        <w:rPr>
          <w:spacing w:val="-8"/>
        </w:rPr>
        <w:t xml:space="preserve"> </w:t>
      </w:r>
      <w:r>
        <w:t>recuperar</w:t>
      </w:r>
      <w:r>
        <w:rPr>
          <w:spacing w:val="-6"/>
        </w:rPr>
        <w:t xml:space="preserve"> </w:t>
      </w:r>
      <w:r>
        <w:t>no</w:t>
      </w:r>
      <w:r>
        <w:rPr>
          <w:spacing w:val="-7"/>
        </w:rPr>
        <w:t xml:space="preserve"> </w:t>
      </w:r>
      <w:r>
        <w:t>exercício de 2025.</w:t>
      </w:r>
    </w:p>
    <w:p w14:paraId="22CD01B7" w14:textId="77777777" w:rsidR="002C6574" w:rsidRDefault="002C6574">
      <w:pPr>
        <w:pStyle w:val="Corpodetexto"/>
        <w:rPr>
          <w:sz w:val="19"/>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1"/>
        <w:gridCol w:w="658"/>
        <w:gridCol w:w="867"/>
        <w:gridCol w:w="994"/>
        <w:gridCol w:w="992"/>
        <w:gridCol w:w="819"/>
        <w:gridCol w:w="740"/>
        <w:gridCol w:w="829"/>
      </w:tblGrid>
      <w:tr w:rsidR="002C6574" w14:paraId="0921C2E6" w14:textId="77777777">
        <w:trPr>
          <w:trHeight w:val="258"/>
        </w:trPr>
        <w:tc>
          <w:tcPr>
            <w:tcW w:w="4001" w:type="dxa"/>
            <w:vMerge w:val="restart"/>
            <w:shd w:val="clear" w:color="auto" w:fill="D8D8D8"/>
          </w:tcPr>
          <w:p w14:paraId="2DC78AD2" w14:textId="77777777" w:rsidR="002C6574" w:rsidRDefault="002C6574">
            <w:pPr>
              <w:pStyle w:val="TableParagraph"/>
              <w:jc w:val="left"/>
              <w:rPr>
                <w:sz w:val="11"/>
              </w:rPr>
            </w:pPr>
          </w:p>
          <w:p w14:paraId="5B255CC0" w14:textId="77777777" w:rsidR="002C6574" w:rsidRDefault="002C6574">
            <w:pPr>
              <w:pStyle w:val="TableParagraph"/>
              <w:jc w:val="left"/>
              <w:rPr>
                <w:sz w:val="11"/>
              </w:rPr>
            </w:pPr>
          </w:p>
          <w:p w14:paraId="43641003" w14:textId="77777777" w:rsidR="002C6574" w:rsidRDefault="002C6574">
            <w:pPr>
              <w:pStyle w:val="TableParagraph"/>
              <w:jc w:val="left"/>
              <w:rPr>
                <w:sz w:val="11"/>
              </w:rPr>
            </w:pPr>
          </w:p>
          <w:p w14:paraId="70C709E5" w14:textId="77777777" w:rsidR="002C6574" w:rsidRDefault="002C6574">
            <w:pPr>
              <w:pStyle w:val="TableParagraph"/>
              <w:spacing w:before="28"/>
              <w:jc w:val="left"/>
              <w:rPr>
                <w:sz w:val="11"/>
              </w:rPr>
            </w:pPr>
          </w:p>
          <w:p w14:paraId="1ED388FC" w14:textId="77777777" w:rsidR="002C6574" w:rsidRDefault="00000000">
            <w:pPr>
              <w:pStyle w:val="TableParagraph"/>
              <w:spacing w:before="1"/>
              <w:ind w:left="69"/>
              <w:jc w:val="left"/>
              <w:rPr>
                <w:rFonts w:ascii="Arial"/>
                <w:b/>
                <w:sz w:val="11"/>
              </w:rPr>
            </w:pPr>
            <w:r>
              <w:rPr>
                <w:rFonts w:ascii="Arial"/>
                <w:b/>
                <w:spacing w:val="-2"/>
                <w:sz w:val="11"/>
              </w:rPr>
              <w:t>Natureza/Tributo</w:t>
            </w:r>
          </w:p>
        </w:tc>
        <w:tc>
          <w:tcPr>
            <w:tcW w:w="658" w:type="dxa"/>
            <w:vMerge w:val="restart"/>
          </w:tcPr>
          <w:p w14:paraId="343AE983" w14:textId="77777777" w:rsidR="002C6574" w:rsidRDefault="002C6574">
            <w:pPr>
              <w:pStyle w:val="TableParagraph"/>
              <w:jc w:val="left"/>
              <w:rPr>
                <w:sz w:val="11"/>
              </w:rPr>
            </w:pPr>
          </w:p>
          <w:p w14:paraId="531D28BF" w14:textId="77777777" w:rsidR="002C6574" w:rsidRDefault="002C6574">
            <w:pPr>
              <w:pStyle w:val="TableParagraph"/>
              <w:spacing w:before="132"/>
              <w:jc w:val="left"/>
              <w:rPr>
                <w:sz w:val="11"/>
              </w:rPr>
            </w:pPr>
          </w:p>
          <w:p w14:paraId="20B0FF48" w14:textId="77777777" w:rsidR="002C6574" w:rsidRDefault="00000000">
            <w:pPr>
              <w:pStyle w:val="TableParagraph"/>
              <w:ind w:left="76" w:right="67" w:hanging="2"/>
              <w:jc w:val="center"/>
              <w:rPr>
                <w:rFonts w:ascii="Arial"/>
                <w:b/>
                <w:sz w:val="11"/>
              </w:rPr>
            </w:pPr>
            <w:r>
              <w:rPr>
                <w:rFonts w:ascii="Arial"/>
                <w:b/>
                <w:sz w:val="11"/>
              </w:rPr>
              <w:t>Saldo</w:t>
            </w:r>
            <w:r>
              <w:rPr>
                <w:rFonts w:ascii="Arial"/>
                <w:b/>
                <w:spacing w:val="-8"/>
                <w:sz w:val="11"/>
              </w:rPr>
              <w:t xml:space="preserve"> </w:t>
            </w:r>
            <w:r>
              <w:rPr>
                <w:rFonts w:ascii="Arial"/>
                <w:b/>
                <w:sz w:val="11"/>
              </w:rPr>
              <w:t>em</w:t>
            </w:r>
            <w:r>
              <w:rPr>
                <w:rFonts w:ascii="Arial"/>
                <w:b/>
                <w:spacing w:val="40"/>
                <w:sz w:val="11"/>
              </w:rPr>
              <w:t xml:space="preserve"> </w:t>
            </w:r>
            <w:r>
              <w:rPr>
                <w:rFonts w:ascii="Arial"/>
                <w:b/>
                <w:sz w:val="11"/>
              </w:rPr>
              <w:t>31</w:t>
            </w:r>
            <w:r>
              <w:rPr>
                <w:rFonts w:ascii="Arial"/>
                <w:b/>
                <w:spacing w:val="-8"/>
                <w:sz w:val="11"/>
              </w:rPr>
              <w:t xml:space="preserve"> </w:t>
            </w:r>
            <w:r>
              <w:rPr>
                <w:rFonts w:ascii="Arial"/>
                <w:b/>
                <w:sz w:val="11"/>
              </w:rPr>
              <w:t>de</w:t>
            </w:r>
            <w:r>
              <w:rPr>
                <w:rFonts w:ascii="Arial"/>
                <w:b/>
                <w:spacing w:val="40"/>
                <w:sz w:val="11"/>
              </w:rPr>
              <w:t xml:space="preserve"> </w:t>
            </w:r>
            <w:r>
              <w:rPr>
                <w:rFonts w:ascii="Arial"/>
                <w:b/>
                <w:spacing w:val="-2"/>
                <w:sz w:val="11"/>
              </w:rPr>
              <w:t>dezembr</w:t>
            </w:r>
            <w:r>
              <w:rPr>
                <w:rFonts w:ascii="Arial"/>
                <w:b/>
                <w:spacing w:val="40"/>
                <w:sz w:val="11"/>
              </w:rPr>
              <w:t xml:space="preserve"> </w:t>
            </w:r>
            <w:r>
              <w:rPr>
                <w:rFonts w:ascii="Arial"/>
                <w:b/>
                <w:sz w:val="11"/>
              </w:rPr>
              <w:t>o de</w:t>
            </w:r>
            <w:r>
              <w:rPr>
                <w:rFonts w:ascii="Arial"/>
                <w:b/>
                <w:spacing w:val="-1"/>
                <w:sz w:val="11"/>
              </w:rPr>
              <w:t xml:space="preserve"> </w:t>
            </w:r>
            <w:r>
              <w:rPr>
                <w:rFonts w:ascii="Arial"/>
                <w:b/>
                <w:spacing w:val="-4"/>
                <w:sz w:val="11"/>
              </w:rPr>
              <w:t>2024</w:t>
            </w:r>
          </w:p>
        </w:tc>
        <w:tc>
          <w:tcPr>
            <w:tcW w:w="4412" w:type="dxa"/>
            <w:gridSpan w:val="5"/>
          </w:tcPr>
          <w:p w14:paraId="413E231B" w14:textId="77777777" w:rsidR="002C6574" w:rsidRDefault="00000000">
            <w:pPr>
              <w:pStyle w:val="TableParagraph"/>
              <w:spacing w:before="64"/>
              <w:ind w:right="27"/>
              <w:jc w:val="center"/>
              <w:rPr>
                <w:rFonts w:ascii="Arial" w:hAnsi="Arial"/>
                <w:b/>
                <w:sz w:val="11"/>
              </w:rPr>
            </w:pPr>
            <w:r>
              <w:rPr>
                <w:rFonts w:ascii="Arial" w:hAnsi="Arial"/>
                <w:b/>
                <w:spacing w:val="-2"/>
                <w:sz w:val="11"/>
              </w:rPr>
              <w:t>Movimentações</w:t>
            </w:r>
          </w:p>
        </w:tc>
        <w:tc>
          <w:tcPr>
            <w:tcW w:w="829" w:type="dxa"/>
            <w:vMerge w:val="restart"/>
          </w:tcPr>
          <w:p w14:paraId="07D59442" w14:textId="77777777" w:rsidR="002C6574" w:rsidRDefault="002C6574">
            <w:pPr>
              <w:pStyle w:val="TableParagraph"/>
              <w:jc w:val="left"/>
              <w:rPr>
                <w:sz w:val="11"/>
              </w:rPr>
            </w:pPr>
          </w:p>
          <w:p w14:paraId="27A56C76" w14:textId="77777777" w:rsidR="002C6574" w:rsidRDefault="002C6574">
            <w:pPr>
              <w:pStyle w:val="TableParagraph"/>
              <w:jc w:val="left"/>
              <w:rPr>
                <w:sz w:val="11"/>
              </w:rPr>
            </w:pPr>
          </w:p>
          <w:p w14:paraId="103EC575" w14:textId="77777777" w:rsidR="002C6574" w:rsidRDefault="002C6574">
            <w:pPr>
              <w:pStyle w:val="TableParagraph"/>
              <w:spacing w:before="50"/>
              <w:jc w:val="left"/>
              <w:rPr>
                <w:sz w:val="11"/>
              </w:rPr>
            </w:pPr>
          </w:p>
          <w:p w14:paraId="5329E422" w14:textId="77777777" w:rsidR="002C6574" w:rsidRDefault="00000000">
            <w:pPr>
              <w:pStyle w:val="TableParagraph"/>
              <w:ind w:left="70" w:right="64" w:hanging="5"/>
              <w:jc w:val="center"/>
              <w:rPr>
                <w:rFonts w:ascii="Arial"/>
                <w:b/>
                <w:sz w:val="11"/>
              </w:rPr>
            </w:pPr>
            <w:r>
              <w:rPr>
                <w:rFonts w:ascii="Arial"/>
                <w:b/>
                <w:sz w:val="11"/>
              </w:rPr>
              <w:t>Saldo em 30</w:t>
            </w:r>
            <w:r>
              <w:rPr>
                <w:rFonts w:ascii="Arial"/>
                <w:b/>
                <w:spacing w:val="40"/>
                <w:sz w:val="11"/>
              </w:rPr>
              <w:t xml:space="preserve"> </w:t>
            </w:r>
            <w:r>
              <w:rPr>
                <w:rFonts w:ascii="Arial"/>
                <w:b/>
                <w:sz w:val="11"/>
              </w:rPr>
              <w:t>de</w:t>
            </w:r>
            <w:r>
              <w:rPr>
                <w:rFonts w:ascii="Arial"/>
                <w:b/>
                <w:spacing w:val="-8"/>
                <w:sz w:val="11"/>
              </w:rPr>
              <w:t xml:space="preserve"> </w:t>
            </w:r>
            <w:r>
              <w:rPr>
                <w:rFonts w:ascii="Arial"/>
                <w:b/>
                <w:sz w:val="11"/>
              </w:rPr>
              <w:t>dezembro</w:t>
            </w:r>
            <w:r>
              <w:rPr>
                <w:rFonts w:ascii="Arial"/>
                <w:b/>
                <w:spacing w:val="40"/>
                <w:sz w:val="11"/>
              </w:rPr>
              <w:t xml:space="preserve"> </w:t>
            </w:r>
            <w:r>
              <w:rPr>
                <w:rFonts w:ascii="Arial"/>
                <w:b/>
                <w:sz w:val="11"/>
              </w:rPr>
              <w:t>de</w:t>
            </w:r>
            <w:r>
              <w:rPr>
                <w:rFonts w:ascii="Arial"/>
                <w:b/>
                <w:spacing w:val="-8"/>
                <w:sz w:val="11"/>
              </w:rPr>
              <w:t xml:space="preserve"> </w:t>
            </w:r>
            <w:r>
              <w:rPr>
                <w:rFonts w:ascii="Arial"/>
                <w:b/>
                <w:sz w:val="11"/>
              </w:rPr>
              <w:t>2025</w:t>
            </w:r>
          </w:p>
        </w:tc>
      </w:tr>
      <w:tr w:rsidR="002C6574" w14:paraId="3F46C80D" w14:textId="77777777">
        <w:trPr>
          <w:trHeight w:val="1089"/>
        </w:trPr>
        <w:tc>
          <w:tcPr>
            <w:tcW w:w="4001" w:type="dxa"/>
            <w:vMerge/>
            <w:tcBorders>
              <w:top w:val="nil"/>
            </w:tcBorders>
            <w:shd w:val="clear" w:color="auto" w:fill="D8D8D8"/>
          </w:tcPr>
          <w:p w14:paraId="6F3E9D29" w14:textId="77777777" w:rsidR="002C6574" w:rsidRDefault="002C6574">
            <w:pPr>
              <w:rPr>
                <w:sz w:val="2"/>
                <w:szCs w:val="2"/>
              </w:rPr>
            </w:pPr>
          </w:p>
        </w:tc>
        <w:tc>
          <w:tcPr>
            <w:tcW w:w="658" w:type="dxa"/>
            <w:vMerge/>
            <w:tcBorders>
              <w:top w:val="nil"/>
            </w:tcBorders>
          </w:tcPr>
          <w:p w14:paraId="50202328" w14:textId="77777777" w:rsidR="002C6574" w:rsidRDefault="002C6574">
            <w:pPr>
              <w:rPr>
                <w:sz w:val="2"/>
                <w:szCs w:val="2"/>
              </w:rPr>
            </w:pPr>
          </w:p>
        </w:tc>
        <w:tc>
          <w:tcPr>
            <w:tcW w:w="867" w:type="dxa"/>
          </w:tcPr>
          <w:p w14:paraId="7BF199B5" w14:textId="77777777" w:rsidR="002C6574" w:rsidRDefault="002C6574">
            <w:pPr>
              <w:pStyle w:val="TableParagraph"/>
              <w:jc w:val="left"/>
              <w:rPr>
                <w:sz w:val="11"/>
              </w:rPr>
            </w:pPr>
          </w:p>
          <w:p w14:paraId="7EA2AF55" w14:textId="77777777" w:rsidR="002C6574" w:rsidRDefault="002C6574">
            <w:pPr>
              <w:pStyle w:val="TableParagraph"/>
              <w:jc w:val="left"/>
              <w:rPr>
                <w:sz w:val="11"/>
              </w:rPr>
            </w:pPr>
          </w:p>
          <w:p w14:paraId="422D5660" w14:textId="77777777" w:rsidR="002C6574" w:rsidRDefault="002C6574">
            <w:pPr>
              <w:pStyle w:val="TableParagraph"/>
              <w:spacing w:before="40"/>
              <w:jc w:val="left"/>
              <w:rPr>
                <w:sz w:val="11"/>
              </w:rPr>
            </w:pPr>
          </w:p>
          <w:p w14:paraId="60577C83" w14:textId="77777777" w:rsidR="002C6574" w:rsidRDefault="00000000">
            <w:pPr>
              <w:pStyle w:val="TableParagraph"/>
              <w:spacing w:before="1"/>
              <w:ind w:left="215"/>
              <w:jc w:val="left"/>
              <w:rPr>
                <w:rFonts w:ascii="Arial" w:hAnsi="Arial"/>
                <w:b/>
                <w:sz w:val="11"/>
              </w:rPr>
            </w:pPr>
            <w:r>
              <w:rPr>
                <w:rFonts w:ascii="Arial" w:hAnsi="Arial"/>
                <w:b/>
                <w:spacing w:val="-2"/>
                <w:sz w:val="11"/>
              </w:rPr>
              <w:t>Adições</w:t>
            </w:r>
          </w:p>
        </w:tc>
        <w:tc>
          <w:tcPr>
            <w:tcW w:w="994" w:type="dxa"/>
          </w:tcPr>
          <w:p w14:paraId="17508D0D" w14:textId="77777777" w:rsidR="002C6574" w:rsidRDefault="002C6574">
            <w:pPr>
              <w:pStyle w:val="TableParagraph"/>
              <w:jc w:val="left"/>
              <w:rPr>
                <w:sz w:val="11"/>
              </w:rPr>
            </w:pPr>
          </w:p>
          <w:p w14:paraId="083FEEF0" w14:textId="77777777" w:rsidR="002C6574" w:rsidRDefault="002C6574">
            <w:pPr>
              <w:pStyle w:val="TableParagraph"/>
              <w:jc w:val="left"/>
              <w:rPr>
                <w:sz w:val="11"/>
              </w:rPr>
            </w:pPr>
          </w:p>
          <w:p w14:paraId="17BE1E0B" w14:textId="77777777" w:rsidR="002C6574" w:rsidRDefault="002C6574">
            <w:pPr>
              <w:pStyle w:val="TableParagraph"/>
              <w:spacing w:before="40"/>
              <w:jc w:val="left"/>
              <w:rPr>
                <w:sz w:val="11"/>
              </w:rPr>
            </w:pPr>
          </w:p>
          <w:p w14:paraId="73934FF4" w14:textId="77777777" w:rsidR="002C6574" w:rsidRDefault="00000000">
            <w:pPr>
              <w:pStyle w:val="TableParagraph"/>
              <w:spacing w:before="1"/>
              <w:ind w:right="94"/>
              <w:rPr>
                <w:rFonts w:ascii="Arial" w:hAnsi="Arial"/>
                <w:b/>
                <w:sz w:val="11"/>
              </w:rPr>
            </w:pPr>
            <w:r>
              <w:rPr>
                <w:rFonts w:ascii="Arial" w:hAnsi="Arial"/>
                <w:b/>
                <w:spacing w:val="-2"/>
                <w:sz w:val="11"/>
              </w:rPr>
              <w:t>Transferências</w:t>
            </w:r>
          </w:p>
        </w:tc>
        <w:tc>
          <w:tcPr>
            <w:tcW w:w="992" w:type="dxa"/>
          </w:tcPr>
          <w:p w14:paraId="756F3A2D" w14:textId="77777777" w:rsidR="002C6574" w:rsidRDefault="002C6574">
            <w:pPr>
              <w:pStyle w:val="TableParagraph"/>
              <w:jc w:val="left"/>
              <w:rPr>
                <w:sz w:val="11"/>
              </w:rPr>
            </w:pPr>
          </w:p>
          <w:p w14:paraId="4717B7F9" w14:textId="77777777" w:rsidR="002C6574" w:rsidRDefault="002C6574">
            <w:pPr>
              <w:pStyle w:val="TableParagraph"/>
              <w:jc w:val="left"/>
              <w:rPr>
                <w:sz w:val="11"/>
              </w:rPr>
            </w:pPr>
          </w:p>
          <w:p w14:paraId="73F9AD63" w14:textId="77777777" w:rsidR="002C6574" w:rsidRDefault="002C6574">
            <w:pPr>
              <w:pStyle w:val="TableParagraph"/>
              <w:spacing w:before="40"/>
              <w:jc w:val="left"/>
              <w:rPr>
                <w:sz w:val="11"/>
              </w:rPr>
            </w:pPr>
          </w:p>
          <w:p w14:paraId="4C7D9850" w14:textId="77777777" w:rsidR="002C6574" w:rsidRDefault="00000000">
            <w:pPr>
              <w:pStyle w:val="TableParagraph"/>
              <w:spacing w:before="1"/>
              <w:ind w:right="81"/>
              <w:rPr>
                <w:rFonts w:ascii="Arial" w:hAnsi="Arial"/>
                <w:b/>
                <w:sz w:val="11"/>
              </w:rPr>
            </w:pPr>
            <w:r>
              <w:rPr>
                <w:rFonts w:ascii="Arial" w:hAnsi="Arial"/>
                <w:b/>
                <w:spacing w:val="-2"/>
                <w:sz w:val="11"/>
              </w:rPr>
              <w:t>Compensações</w:t>
            </w:r>
          </w:p>
        </w:tc>
        <w:tc>
          <w:tcPr>
            <w:tcW w:w="819" w:type="dxa"/>
          </w:tcPr>
          <w:p w14:paraId="09491DE4" w14:textId="77777777" w:rsidR="002C6574" w:rsidRDefault="002C6574">
            <w:pPr>
              <w:pStyle w:val="TableParagraph"/>
              <w:jc w:val="left"/>
              <w:rPr>
                <w:sz w:val="11"/>
              </w:rPr>
            </w:pPr>
          </w:p>
          <w:p w14:paraId="550C6BB9" w14:textId="77777777" w:rsidR="002C6574" w:rsidRDefault="002C6574">
            <w:pPr>
              <w:pStyle w:val="TableParagraph"/>
              <w:spacing w:before="124"/>
              <w:jc w:val="left"/>
              <w:rPr>
                <w:sz w:val="11"/>
              </w:rPr>
            </w:pPr>
          </w:p>
          <w:p w14:paraId="588D8560" w14:textId="77777777" w:rsidR="002C6574" w:rsidRDefault="00000000">
            <w:pPr>
              <w:pStyle w:val="TableParagraph"/>
              <w:spacing w:before="1"/>
              <w:ind w:left="146" w:hanging="48"/>
              <w:jc w:val="left"/>
              <w:rPr>
                <w:rFonts w:ascii="Arial" w:hAnsi="Arial"/>
                <w:b/>
                <w:sz w:val="11"/>
              </w:rPr>
            </w:pPr>
            <w:r>
              <w:rPr>
                <w:rFonts w:ascii="Arial" w:hAnsi="Arial"/>
                <w:b/>
                <w:spacing w:val="-2"/>
                <w:sz w:val="11"/>
              </w:rPr>
              <w:t>Atualização</w:t>
            </w:r>
            <w:r>
              <w:rPr>
                <w:rFonts w:ascii="Arial" w:hAnsi="Arial"/>
                <w:b/>
                <w:spacing w:val="40"/>
                <w:sz w:val="11"/>
              </w:rPr>
              <w:t xml:space="preserve"> </w:t>
            </w:r>
            <w:r>
              <w:rPr>
                <w:rFonts w:ascii="Arial" w:hAnsi="Arial"/>
                <w:b/>
                <w:spacing w:val="-2"/>
                <w:sz w:val="11"/>
              </w:rPr>
              <w:t>Monetária</w:t>
            </w:r>
          </w:p>
        </w:tc>
        <w:tc>
          <w:tcPr>
            <w:tcW w:w="740" w:type="dxa"/>
          </w:tcPr>
          <w:p w14:paraId="4842A6AA" w14:textId="77777777" w:rsidR="002C6574" w:rsidRDefault="002C6574">
            <w:pPr>
              <w:pStyle w:val="TableParagraph"/>
              <w:jc w:val="left"/>
              <w:rPr>
                <w:sz w:val="11"/>
              </w:rPr>
            </w:pPr>
          </w:p>
          <w:p w14:paraId="4000AC16" w14:textId="77777777" w:rsidR="002C6574" w:rsidRDefault="002C6574">
            <w:pPr>
              <w:pStyle w:val="TableParagraph"/>
              <w:spacing w:before="124"/>
              <w:jc w:val="left"/>
              <w:rPr>
                <w:sz w:val="11"/>
              </w:rPr>
            </w:pPr>
          </w:p>
          <w:p w14:paraId="74D6AA25" w14:textId="77777777" w:rsidR="002C6574" w:rsidRDefault="00000000">
            <w:pPr>
              <w:pStyle w:val="TableParagraph"/>
              <w:spacing w:before="1"/>
              <w:ind w:left="100" w:right="76" w:hanging="15"/>
              <w:jc w:val="left"/>
              <w:rPr>
                <w:rFonts w:ascii="Arial"/>
                <w:b/>
                <w:sz w:val="11"/>
              </w:rPr>
            </w:pPr>
            <w:r>
              <w:rPr>
                <w:rFonts w:ascii="Arial"/>
                <w:b/>
                <w:sz w:val="11"/>
              </w:rPr>
              <w:t>Baixa</w:t>
            </w:r>
            <w:r>
              <w:rPr>
                <w:rFonts w:ascii="Arial"/>
                <w:b/>
                <w:spacing w:val="-8"/>
                <w:sz w:val="11"/>
              </w:rPr>
              <w:t xml:space="preserve"> </w:t>
            </w:r>
            <w:r>
              <w:rPr>
                <w:rFonts w:ascii="Arial"/>
                <w:b/>
                <w:sz w:val="11"/>
              </w:rPr>
              <w:t>para</w:t>
            </w:r>
            <w:r>
              <w:rPr>
                <w:rFonts w:ascii="Arial"/>
                <w:b/>
                <w:spacing w:val="40"/>
                <w:sz w:val="11"/>
              </w:rPr>
              <w:t xml:space="preserve"> </w:t>
            </w:r>
            <w:r>
              <w:rPr>
                <w:rFonts w:ascii="Arial"/>
                <w:b/>
                <w:spacing w:val="-2"/>
                <w:sz w:val="11"/>
              </w:rPr>
              <w:t>Resultado</w:t>
            </w:r>
          </w:p>
        </w:tc>
        <w:tc>
          <w:tcPr>
            <w:tcW w:w="829" w:type="dxa"/>
            <w:vMerge/>
            <w:tcBorders>
              <w:top w:val="nil"/>
            </w:tcBorders>
          </w:tcPr>
          <w:p w14:paraId="6A4A4BB1" w14:textId="77777777" w:rsidR="002C6574" w:rsidRDefault="002C6574">
            <w:pPr>
              <w:rPr>
                <w:sz w:val="2"/>
                <w:szCs w:val="2"/>
              </w:rPr>
            </w:pPr>
          </w:p>
        </w:tc>
      </w:tr>
      <w:tr w:rsidR="002C6574" w14:paraId="326D84D4" w14:textId="77777777">
        <w:trPr>
          <w:trHeight w:val="256"/>
        </w:trPr>
        <w:tc>
          <w:tcPr>
            <w:tcW w:w="4001" w:type="dxa"/>
          </w:tcPr>
          <w:p w14:paraId="19757324" w14:textId="77777777" w:rsidR="002C6574" w:rsidRDefault="00000000">
            <w:pPr>
              <w:pStyle w:val="TableParagraph"/>
              <w:spacing w:before="64"/>
              <w:ind w:left="69"/>
              <w:jc w:val="left"/>
              <w:rPr>
                <w:rFonts w:ascii="Arial" w:hAnsi="Arial"/>
                <w:b/>
                <w:sz w:val="11"/>
              </w:rPr>
            </w:pPr>
            <w:r>
              <w:rPr>
                <w:rFonts w:ascii="Arial" w:hAnsi="Arial"/>
                <w:b/>
                <w:sz w:val="11"/>
              </w:rPr>
              <w:t>imposto</w:t>
            </w:r>
            <w:r>
              <w:rPr>
                <w:rFonts w:ascii="Arial" w:hAnsi="Arial"/>
                <w:b/>
                <w:spacing w:val="-4"/>
                <w:sz w:val="11"/>
              </w:rPr>
              <w:t xml:space="preserve"> </w:t>
            </w:r>
            <w:r>
              <w:rPr>
                <w:rFonts w:ascii="Arial" w:hAnsi="Arial"/>
                <w:b/>
                <w:sz w:val="11"/>
              </w:rPr>
              <w:t>de</w:t>
            </w:r>
            <w:r>
              <w:rPr>
                <w:rFonts w:ascii="Arial" w:hAnsi="Arial"/>
                <w:b/>
                <w:spacing w:val="-2"/>
                <w:sz w:val="11"/>
              </w:rPr>
              <w:t xml:space="preserve"> </w:t>
            </w:r>
            <w:r>
              <w:rPr>
                <w:rFonts w:ascii="Arial" w:hAnsi="Arial"/>
                <w:b/>
                <w:sz w:val="11"/>
              </w:rPr>
              <w:t>Renda</w:t>
            </w:r>
            <w:r>
              <w:rPr>
                <w:rFonts w:ascii="Arial" w:hAnsi="Arial"/>
                <w:b/>
                <w:spacing w:val="-1"/>
                <w:sz w:val="11"/>
              </w:rPr>
              <w:t xml:space="preserve"> </w:t>
            </w:r>
            <w:r>
              <w:rPr>
                <w:rFonts w:ascii="Arial" w:hAnsi="Arial"/>
                <w:b/>
                <w:sz w:val="11"/>
              </w:rPr>
              <w:t>Pessoa</w:t>
            </w:r>
            <w:r>
              <w:rPr>
                <w:rFonts w:ascii="Arial" w:hAnsi="Arial"/>
                <w:b/>
                <w:spacing w:val="-3"/>
                <w:sz w:val="11"/>
              </w:rPr>
              <w:t xml:space="preserve"> </w:t>
            </w:r>
            <w:r>
              <w:rPr>
                <w:rFonts w:ascii="Arial" w:hAnsi="Arial"/>
                <w:b/>
                <w:sz w:val="11"/>
              </w:rPr>
              <w:t>Jurídica</w:t>
            </w:r>
            <w:r>
              <w:rPr>
                <w:rFonts w:ascii="Arial" w:hAnsi="Arial"/>
                <w:b/>
                <w:spacing w:val="-2"/>
                <w:sz w:val="11"/>
              </w:rPr>
              <w:t xml:space="preserve"> </w:t>
            </w:r>
            <w:r>
              <w:rPr>
                <w:rFonts w:ascii="Arial" w:hAnsi="Arial"/>
                <w:b/>
                <w:sz w:val="11"/>
              </w:rPr>
              <w:t>-</w:t>
            </w:r>
            <w:r>
              <w:rPr>
                <w:rFonts w:ascii="Arial" w:hAnsi="Arial"/>
                <w:b/>
                <w:spacing w:val="-2"/>
                <w:sz w:val="11"/>
              </w:rPr>
              <w:t xml:space="preserve"> </w:t>
            </w:r>
            <w:r>
              <w:rPr>
                <w:rFonts w:ascii="Arial" w:hAnsi="Arial"/>
                <w:b/>
                <w:spacing w:val="-4"/>
                <w:sz w:val="11"/>
              </w:rPr>
              <w:t>IRPJ</w:t>
            </w:r>
          </w:p>
        </w:tc>
        <w:tc>
          <w:tcPr>
            <w:tcW w:w="658" w:type="dxa"/>
          </w:tcPr>
          <w:p w14:paraId="49CEEC71" w14:textId="77777777" w:rsidR="002C6574" w:rsidRDefault="00000000">
            <w:pPr>
              <w:pStyle w:val="TableParagraph"/>
              <w:spacing w:before="49"/>
              <w:ind w:right="56"/>
              <w:rPr>
                <w:sz w:val="11"/>
              </w:rPr>
            </w:pPr>
            <w:r>
              <w:rPr>
                <w:spacing w:val="-2"/>
                <w:w w:val="105"/>
                <w:sz w:val="11"/>
              </w:rPr>
              <w:t>82.443</w:t>
            </w:r>
          </w:p>
        </w:tc>
        <w:tc>
          <w:tcPr>
            <w:tcW w:w="867" w:type="dxa"/>
          </w:tcPr>
          <w:p w14:paraId="22518604" w14:textId="77777777" w:rsidR="002C6574" w:rsidRDefault="00000000">
            <w:pPr>
              <w:pStyle w:val="TableParagraph"/>
              <w:spacing w:before="49"/>
              <w:ind w:right="60"/>
              <w:rPr>
                <w:sz w:val="11"/>
              </w:rPr>
            </w:pPr>
            <w:r>
              <w:rPr>
                <w:spacing w:val="-2"/>
                <w:w w:val="105"/>
                <w:sz w:val="11"/>
              </w:rPr>
              <w:t>53.514</w:t>
            </w:r>
          </w:p>
        </w:tc>
        <w:tc>
          <w:tcPr>
            <w:tcW w:w="994" w:type="dxa"/>
          </w:tcPr>
          <w:p w14:paraId="2C8F0E90" w14:textId="77777777" w:rsidR="002C6574" w:rsidRDefault="00000000">
            <w:pPr>
              <w:pStyle w:val="TableParagraph"/>
              <w:spacing w:before="49"/>
              <w:ind w:right="58"/>
              <w:rPr>
                <w:sz w:val="11"/>
              </w:rPr>
            </w:pPr>
            <w:r>
              <w:rPr>
                <w:spacing w:val="-10"/>
                <w:w w:val="95"/>
                <w:sz w:val="11"/>
              </w:rPr>
              <w:t>-</w:t>
            </w:r>
          </w:p>
        </w:tc>
        <w:tc>
          <w:tcPr>
            <w:tcW w:w="992" w:type="dxa"/>
          </w:tcPr>
          <w:p w14:paraId="072E6C41" w14:textId="77777777" w:rsidR="002C6574" w:rsidRDefault="00000000">
            <w:pPr>
              <w:pStyle w:val="TableParagraph"/>
              <w:spacing w:before="49"/>
              <w:ind w:right="58"/>
              <w:rPr>
                <w:sz w:val="11"/>
              </w:rPr>
            </w:pPr>
            <w:r>
              <w:rPr>
                <w:spacing w:val="-2"/>
                <w:w w:val="110"/>
                <w:sz w:val="11"/>
              </w:rPr>
              <w:t>(43.729)</w:t>
            </w:r>
          </w:p>
        </w:tc>
        <w:tc>
          <w:tcPr>
            <w:tcW w:w="819" w:type="dxa"/>
          </w:tcPr>
          <w:p w14:paraId="1AFBA719" w14:textId="77777777" w:rsidR="002C6574" w:rsidRDefault="00000000">
            <w:pPr>
              <w:pStyle w:val="TableParagraph"/>
              <w:spacing w:before="49"/>
              <w:ind w:right="62"/>
              <w:rPr>
                <w:sz w:val="11"/>
              </w:rPr>
            </w:pPr>
            <w:r>
              <w:rPr>
                <w:spacing w:val="-2"/>
                <w:w w:val="110"/>
                <w:sz w:val="11"/>
              </w:rPr>
              <w:t>6.771</w:t>
            </w:r>
          </w:p>
        </w:tc>
        <w:tc>
          <w:tcPr>
            <w:tcW w:w="740" w:type="dxa"/>
          </w:tcPr>
          <w:p w14:paraId="43462760" w14:textId="77777777" w:rsidR="002C6574" w:rsidRDefault="00000000">
            <w:pPr>
              <w:pStyle w:val="TableParagraph"/>
              <w:spacing w:before="49"/>
              <w:ind w:right="60"/>
              <w:rPr>
                <w:sz w:val="11"/>
              </w:rPr>
            </w:pPr>
            <w:r>
              <w:rPr>
                <w:spacing w:val="-10"/>
                <w:w w:val="95"/>
                <w:sz w:val="11"/>
              </w:rPr>
              <w:t>-</w:t>
            </w:r>
          </w:p>
        </w:tc>
        <w:tc>
          <w:tcPr>
            <w:tcW w:w="829" w:type="dxa"/>
          </w:tcPr>
          <w:p w14:paraId="756157AD" w14:textId="77777777" w:rsidR="002C6574" w:rsidRDefault="00000000">
            <w:pPr>
              <w:pStyle w:val="TableParagraph"/>
              <w:spacing w:before="49"/>
              <w:ind w:right="60"/>
              <w:rPr>
                <w:sz w:val="11"/>
              </w:rPr>
            </w:pPr>
            <w:r>
              <w:rPr>
                <w:spacing w:val="-2"/>
                <w:w w:val="105"/>
                <w:sz w:val="11"/>
              </w:rPr>
              <w:t>98.999</w:t>
            </w:r>
          </w:p>
        </w:tc>
      </w:tr>
      <w:tr w:rsidR="002C6574" w14:paraId="3701F09B" w14:textId="77777777">
        <w:trPr>
          <w:trHeight w:val="258"/>
        </w:trPr>
        <w:tc>
          <w:tcPr>
            <w:tcW w:w="4001" w:type="dxa"/>
          </w:tcPr>
          <w:p w14:paraId="2E8D91F5" w14:textId="77777777" w:rsidR="002C6574" w:rsidRDefault="00000000">
            <w:pPr>
              <w:pStyle w:val="TableParagraph"/>
              <w:spacing w:before="67"/>
              <w:ind w:left="69"/>
              <w:jc w:val="left"/>
              <w:rPr>
                <w:rFonts w:ascii="Arial" w:hAnsi="Arial"/>
                <w:b/>
                <w:sz w:val="11"/>
              </w:rPr>
            </w:pPr>
            <w:r>
              <w:rPr>
                <w:rFonts w:ascii="Arial" w:hAnsi="Arial"/>
                <w:b/>
                <w:sz w:val="11"/>
              </w:rPr>
              <w:t>Contribuição</w:t>
            </w:r>
            <w:r>
              <w:rPr>
                <w:rFonts w:ascii="Arial" w:hAnsi="Arial"/>
                <w:b/>
                <w:spacing w:val="-4"/>
                <w:sz w:val="11"/>
              </w:rPr>
              <w:t xml:space="preserve"> </w:t>
            </w:r>
            <w:r>
              <w:rPr>
                <w:rFonts w:ascii="Arial" w:hAnsi="Arial"/>
                <w:b/>
                <w:sz w:val="11"/>
              </w:rPr>
              <w:t>para</w:t>
            </w:r>
            <w:r>
              <w:rPr>
                <w:rFonts w:ascii="Arial" w:hAnsi="Arial"/>
                <w:b/>
                <w:spacing w:val="-1"/>
                <w:sz w:val="11"/>
              </w:rPr>
              <w:t xml:space="preserve"> </w:t>
            </w:r>
            <w:r>
              <w:rPr>
                <w:rFonts w:ascii="Arial" w:hAnsi="Arial"/>
                <w:b/>
                <w:sz w:val="11"/>
              </w:rPr>
              <w:t>o</w:t>
            </w:r>
            <w:r>
              <w:rPr>
                <w:rFonts w:ascii="Arial" w:hAnsi="Arial"/>
                <w:b/>
                <w:spacing w:val="-3"/>
                <w:sz w:val="11"/>
              </w:rPr>
              <w:t xml:space="preserve"> </w:t>
            </w:r>
            <w:r>
              <w:rPr>
                <w:rFonts w:ascii="Arial" w:hAnsi="Arial"/>
                <w:b/>
                <w:sz w:val="11"/>
              </w:rPr>
              <w:t>Financiamento</w:t>
            </w:r>
            <w:r>
              <w:rPr>
                <w:rFonts w:ascii="Arial" w:hAnsi="Arial"/>
                <w:b/>
                <w:spacing w:val="-2"/>
                <w:sz w:val="11"/>
              </w:rPr>
              <w:t xml:space="preserve"> </w:t>
            </w:r>
            <w:r>
              <w:rPr>
                <w:rFonts w:ascii="Arial" w:hAnsi="Arial"/>
                <w:b/>
                <w:sz w:val="11"/>
              </w:rPr>
              <w:t>da</w:t>
            </w:r>
            <w:r>
              <w:rPr>
                <w:rFonts w:ascii="Arial" w:hAnsi="Arial"/>
                <w:b/>
                <w:spacing w:val="-1"/>
                <w:sz w:val="11"/>
              </w:rPr>
              <w:t xml:space="preserve"> </w:t>
            </w:r>
            <w:r>
              <w:rPr>
                <w:rFonts w:ascii="Arial" w:hAnsi="Arial"/>
                <w:b/>
                <w:sz w:val="11"/>
              </w:rPr>
              <w:t>Seguridade</w:t>
            </w:r>
            <w:r>
              <w:rPr>
                <w:rFonts w:ascii="Arial" w:hAnsi="Arial"/>
                <w:b/>
                <w:spacing w:val="-4"/>
                <w:sz w:val="11"/>
              </w:rPr>
              <w:t xml:space="preserve"> </w:t>
            </w:r>
            <w:r>
              <w:rPr>
                <w:rFonts w:ascii="Arial" w:hAnsi="Arial"/>
                <w:b/>
                <w:sz w:val="11"/>
              </w:rPr>
              <w:t>Social</w:t>
            </w:r>
            <w:r>
              <w:rPr>
                <w:rFonts w:ascii="Arial" w:hAnsi="Arial"/>
                <w:b/>
                <w:spacing w:val="-3"/>
                <w:sz w:val="11"/>
              </w:rPr>
              <w:t xml:space="preserve"> </w:t>
            </w:r>
            <w:r>
              <w:rPr>
                <w:rFonts w:ascii="Arial" w:hAnsi="Arial"/>
                <w:b/>
                <w:sz w:val="11"/>
              </w:rPr>
              <w:t>–</w:t>
            </w:r>
            <w:r>
              <w:rPr>
                <w:rFonts w:ascii="Arial" w:hAnsi="Arial"/>
                <w:b/>
                <w:spacing w:val="-1"/>
                <w:sz w:val="11"/>
              </w:rPr>
              <w:t xml:space="preserve"> </w:t>
            </w:r>
            <w:r>
              <w:rPr>
                <w:rFonts w:ascii="Arial" w:hAnsi="Arial"/>
                <w:b/>
                <w:spacing w:val="-2"/>
                <w:sz w:val="11"/>
              </w:rPr>
              <w:t>Cofins</w:t>
            </w:r>
          </w:p>
        </w:tc>
        <w:tc>
          <w:tcPr>
            <w:tcW w:w="658" w:type="dxa"/>
          </w:tcPr>
          <w:p w14:paraId="08252EC9" w14:textId="77777777" w:rsidR="002C6574" w:rsidRDefault="00000000">
            <w:pPr>
              <w:pStyle w:val="TableParagraph"/>
              <w:spacing w:before="51"/>
              <w:ind w:right="56"/>
              <w:rPr>
                <w:sz w:val="11"/>
              </w:rPr>
            </w:pPr>
            <w:r>
              <w:rPr>
                <w:spacing w:val="-2"/>
                <w:w w:val="105"/>
                <w:sz w:val="11"/>
              </w:rPr>
              <w:t>43.528</w:t>
            </w:r>
          </w:p>
        </w:tc>
        <w:tc>
          <w:tcPr>
            <w:tcW w:w="867" w:type="dxa"/>
          </w:tcPr>
          <w:p w14:paraId="15809323" w14:textId="77777777" w:rsidR="002C6574" w:rsidRDefault="00000000">
            <w:pPr>
              <w:pStyle w:val="TableParagraph"/>
              <w:spacing w:before="51"/>
              <w:ind w:right="60"/>
              <w:rPr>
                <w:sz w:val="11"/>
              </w:rPr>
            </w:pPr>
            <w:r>
              <w:rPr>
                <w:spacing w:val="-2"/>
                <w:w w:val="105"/>
                <w:sz w:val="11"/>
              </w:rPr>
              <w:t>13.245</w:t>
            </w:r>
          </w:p>
        </w:tc>
        <w:tc>
          <w:tcPr>
            <w:tcW w:w="994" w:type="dxa"/>
          </w:tcPr>
          <w:p w14:paraId="00996F73" w14:textId="77777777" w:rsidR="002C6574" w:rsidRDefault="00000000">
            <w:pPr>
              <w:pStyle w:val="TableParagraph"/>
              <w:spacing w:before="51"/>
              <w:ind w:right="58"/>
              <w:rPr>
                <w:sz w:val="11"/>
              </w:rPr>
            </w:pPr>
            <w:r>
              <w:rPr>
                <w:spacing w:val="-10"/>
                <w:w w:val="95"/>
                <w:sz w:val="11"/>
              </w:rPr>
              <w:t>-</w:t>
            </w:r>
          </w:p>
        </w:tc>
        <w:tc>
          <w:tcPr>
            <w:tcW w:w="992" w:type="dxa"/>
          </w:tcPr>
          <w:p w14:paraId="19553811" w14:textId="77777777" w:rsidR="002C6574" w:rsidRDefault="00000000">
            <w:pPr>
              <w:pStyle w:val="TableParagraph"/>
              <w:spacing w:before="51"/>
              <w:ind w:right="58"/>
              <w:rPr>
                <w:sz w:val="11"/>
              </w:rPr>
            </w:pPr>
            <w:r>
              <w:rPr>
                <w:spacing w:val="-2"/>
                <w:w w:val="110"/>
                <w:sz w:val="11"/>
              </w:rPr>
              <w:t>(14.383)</w:t>
            </w:r>
          </w:p>
        </w:tc>
        <w:tc>
          <w:tcPr>
            <w:tcW w:w="819" w:type="dxa"/>
          </w:tcPr>
          <w:p w14:paraId="75549ADF" w14:textId="77777777" w:rsidR="002C6574" w:rsidRDefault="00000000">
            <w:pPr>
              <w:pStyle w:val="TableParagraph"/>
              <w:spacing w:before="51"/>
              <w:ind w:right="62"/>
              <w:rPr>
                <w:sz w:val="11"/>
              </w:rPr>
            </w:pPr>
            <w:r>
              <w:rPr>
                <w:spacing w:val="-2"/>
                <w:w w:val="110"/>
                <w:sz w:val="11"/>
              </w:rPr>
              <w:t>4.203</w:t>
            </w:r>
          </w:p>
        </w:tc>
        <w:tc>
          <w:tcPr>
            <w:tcW w:w="740" w:type="dxa"/>
          </w:tcPr>
          <w:p w14:paraId="49C65948" w14:textId="77777777" w:rsidR="002C6574" w:rsidRDefault="00000000">
            <w:pPr>
              <w:pStyle w:val="TableParagraph"/>
              <w:spacing w:before="51"/>
              <w:ind w:right="60"/>
              <w:rPr>
                <w:sz w:val="11"/>
              </w:rPr>
            </w:pPr>
            <w:r>
              <w:rPr>
                <w:spacing w:val="-10"/>
                <w:w w:val="95"/>
                <w:sz w:val="11"/>
              </w:rPr>
              <w:t>-</w:t>
            </w:r>
          </w:p>
        </w:tc>
        <w:tc>
          <w:tcPr>
            <w:tcW w:w="829" w:type="dxa"/>
          </w:tcPr>
          <w:p w14:paraId="595BEF8E" w14:textId="77777777" w:rsidR="002C6574" w:rsidRDefault="00000000">
            <w:pPr>
              <w:pStyle w:val="TableParagraph"/>
              <w:spacing w:before="51"/>
              <w:ind w:right="60"/>
              <w:rPr>
                <w:sz w:val="11"/>
              </w:rPr>
            </w:pPr>
            <w:r>
              <w:rPr>
                <w:spacing w:val="-2"/>
                <w:w w:val="105"/>
                <w:sz w:val="11"/>
              </w:rPr>
              <w:t>46.593</w:t>
            </w:r>
          </w:p>
        </w:tc>
      </w:tr>
      <w:tr w:rsidR="002C6574" w14:paraId="6E3EEC8E" w14:textId="77777777">
        <w:trPr>
          <w:trHeight w:val="258"/>
        </w:trPr>
        <w:tc>
          <w:tcPr>
            <w:tcW w:w="4001" w:type="dxa"/>
          </w:tcPr>
          <w:p w14:paraId="607831DD" w14:textId="77777777" w:rsidR="002C6574" w:rsidRDefault="00000000">
            <w:pPr>
              <w:pStyle w:val="TableParagraph"/>
              <w:spacing w:before="64"/>
              <w:ind w:left="69"/>
              <w:jc w:val="left"/>
              <w:rPr>
                <w:rFonts w:ascii="Arial" w:hAnsi="Arial"/>
                <w:b/>
                <w:sz w:val="11"/>
              </w:rPr>
            </w:pPr>
            <w:r>
              <w:rPr>
                <w:rFonts w:ascii="Arial" w:hAnsi="Arial"/>
                <w:b/>
                <w:sz w:val="11"/>
              </w:rPr>
              <w:t>Imposto</w:t>
            </w:r>
            <w:r>
              <w:rPr>
                <w:rFonts w:ascii="Arial" w:hAnsi="Arial"/>
                <w:b/>
                <w:spacing w:val="-4"/>
                <w:sz w:val="11"/>
              </w:rPr>
              <w:t xml:space="preserve"> </w:t>
            </w:r>
            <w:r>
              <w:rPr>
                <w:rFonts w:ascii="Arial" w:hAnsi="Arial"/>
                <w:b/>
                <w:sz w:val="11"/>
              </w:rPr>
              <w:t>sobre</w:t>
            </w:r>
            <w:r>
              <w:rPr>
                <w:rFonts w:ascii="Arial" w:hAnsi="Arial"/>
                <w:b/>
                <w:spacing w:val="-2"/>
                <w:sz w:val="11"/>
              </w:rPr>
              <w:t xml:space="preserve"> </w:t>
            </w:r>
            <w:r>
              <w:rPr>
                <w:rFonts w:ascii="Arial" w:hAnsi="Arial"/>
                <w:b/>
                <w:sz w:val="11"/>
              </w:rPr>
              <w:t>Circulação</w:t>
            </w:r>
            <w:r>
              <w:rPr>
                <w:rFonts w:ascii="Arial" w:hAnsi="Arial"/>
                <w:b/>
                <w:spacing w:val="-2"/>
                <w:sz w:val="11"/>
              </w:rPr>
              <w:t xml:space="preserve"> </w:t>
            </w:r>
            <w:r>
              <w:rPr>
                <w:rFonts w:ascii="Arial" w:hAnsi="Arial"/>
                <w:b/>
                <w:sz w:val="11"/>
              </w:rPr>
              <w:t>de</w:t>
            </w:r>
            <w:r>
              <w:rPr>
                <w:rFonts w:ascii="Arial" w:hAnsi="Arial"/>
                <w:b/>
                <w:spacing w:val="-1"/>
                <w:sz w:val="11"/>
              </w:rPr>
              <w:t xml:space="preserve"> </w:t>
            </w:r>
            <w:r>
              <w:rPr>
                <w:rFonts w:ascii="Arial" w:hAnsi="Arial"/>
                <w:b/>
                <w:sz w:val="11"/>
              </w:rPr>
              <w:t>Mercadorias</w:t>
            </w:r>
            <w:r>
              <w:rPr>
                <w:rFonts w:ascii="Arial" w:hAnsi="Arial"/>
                <w:b/>
                <w:spacing w:val="-3"/>
                <w:sz w:val="11"/>
              </w:rPr>
              <w:t xml:space="preserve"> </w:t>
            </w:r>
            <w:r>
              <w:rPr>
                <w:rFonts w:ascii="Arial" w:hAnsi="Arial"/>
                <w:b/>
                <w:sz w:val="11"/>
              </w:rPr>
              <w:t>e</w:t>
            </w:r>
            <w:r>
              <w:rPr>
                <w:rFonts w:ascii="Arial" w:hAnsi="Arial"/>
                <w:b/>
                <w:spacing w:val="-3"/>
                <w:sz w:val="11"/>
              </w:rPr>
              <w:t xml:space="preserve"> </w:t>
            </w:r>
            <w:r>
              <w:rPr>
                <w:rFonts w:ascii="Arial" w:hAnsi="Arial"/>
                <w:b/>
                <w:sz w:val="11"/>
              </w:rPr>
              <w:t>Prestação</w:t>
            </w:r>
            <w:r>
              <w:rPr>
                <w:rFonts w:ascii="Arial" w:hAnsi="Arial"/>
                <w:b/>
                <w:spacing w:val="-5"/>
                <w:sz w:val="11"/>
              </w:rPr>
              <w:t xml:space="preserve"> </w:t>
            </w:r>
            <w:r>
              <w:rPr>
                <w:rFonts w:ascii="Arial" w:hAnsi="Arial"/>
                <w:b/>
                <w:sz w:val="11"/>
              </w:rPr>
              <w:t>de</w:t>
            </w:r>
            <w:r>
              <w:rPr>
                <w:rFonts w:ascii="Arial" w:hAnsi="Arial"/>
                <w:b/>
                <w:spacing w:val="-3"/>
                <w:sz w:val="11"/>
              </w:rPr>
              <w:t xml:space="preserve"> </w:t>
            </w:r>
            <w:r>
              <w:rPr>
                <w:rFonts w:ascii="Arial" w:hAnsi="Arial"/>
                <w:b/>
                <w:sz w:val="11"/>
              </w:rPr>
              <w:t>Serviços</w:t>
            </w:r>
            <w:r>
              <w:rPr>
                <w:rFonts w:ascii="Arial" w:hAnsi="Arial"/>
                <w:b/>
                <w:spacing w:val="-2"/>
                <w:sz w:val="11"/>
              </w:rPr>
              <w:t xml:space="preserve"> </w:t>
            </w:r>
            <w:r>
              <w:rPr>
                <w:rFonts w:ascii="Arial" w:hAnsi="Arial"/>
                <w:b/>
                <w:sz w:val="11"/>
              </w:rPr>
              <w:t>-</w:t>
            </w:r>
            <w:r>
              <w:rPr>
                <w:rFonts w:ascii="Arial" w:hAnsi="Arial"/>
                <w:b/>
                <w:spacing w:val="-3"/>
                <w:sz w:val="11"/>
              </w:rPr>
              <w:t xml:space="preserve"> </w:t>
            </w:r>
            <w:r>
              <w:rPr>
                <w:rFonts w:ascii="Arial" w:hAnsi="Arial"/>
                <w:b/>
                <w:spacing w:val="-4"/>
                <w:sz w:val="11"/>
              </w:rPr>
              <w:t>ICMS</w:t>
            </w:r>
          </w:p>
        </w:tc>
        <w:tc>
          <w:tcPr>
            <w:tcW w:w="658" w:type="dxa"/>
          </w:tcPr>
          <w:p w14:paraId="7E1DD707" w14:textId="77777777" w:rsidR="002C6574" w:rsidRDefault="00000000">
            <w:pPr>
              <w:pStyle w:val="TableParagraph"/>
              <w:spacing w:before="49"/>
              <w:ind w:right="56"/>
              <w:rPr>
                <w:sz w:val="11"/>
              </w:rPr>
            </w:pPr>
            <w:r>
              <w:rPr>
                <w:spacing w:val="-2"/>
                <w:w w:val="105"/>
                <w:sz w:val="11"/>
              </w:rPr>
              <w:t>43.742</w:t>
            </w:r>
          </w:p>
        </w:tc>
        <w:tc>
          <w:tcPr>
            <w:tcW w:w="867" w:type="dxa"/>
          </w:tcPr>
          <w:p w14:paraId="59CF2F63" w14:textId="77777777" w:rsidR="002C6574" w:rsidRDefault="00000000">
            <w:pPr>
              <w:pStyle w:val="TableParagraph"/>
              <w:spacing w:before="49"/>
              <w:ind w:right="60"/>
              <w:rPr>
                <w:sz w:val="11"/>
              </w:rPr>
            </w:pPr>
            <w:r>
              <w:rPr>
                <w:spacing w:val="-2"/>
                <w:w w:val="105"/>
                <w:sz w:val="11"/>
              </w:rPr>
              <w:t>13.763</w:t>
            </w:r>
          </w:p>
        </w:tc>
        <w:tc>
          <w:tcPr>
            <w:tcW w:w="994" w:type="dxa"/>
          </w:tcPr>
          <w:p w14:paraId="7C59CEF0" w14:textId="77777777" w:rsidR="002C6574" w:rsidRDefault="00000000">
            <w:pPr>
              <w:pStyle w:val="TableParagraph"/>
              <w:spacing w:before="49"/>
              <w:ind w:right="58"/>
              <w:rPr>
                <w:sz w:val="11"/>
              </w:rPr>
            </w:pPr>
            <w:r>
              <w:rPr>
                <w:spacing w:val="-5"/>
                <w:w w:val="105"/>
                <w:sz w:val="11"/>
              </w:rPr>
              <w:t>164</w:t>
            </w:r>
          </w:p>
        </w:tc>
        <w:tc>
          <w:tcPr>
            <w:tcW w:w="992" w:type="dxa"/>
          </w:tcPr>
          <w:p w14:paraId="1C64D58F" w14:textId="77777777" w:rsidR="002C6574" w:rsidRDefault="00000000">
            <w:pPr>
              <w:pStyle w:val="TableParagraph"/>
              <w:spacing w:before="49"/>
              <w:ind w:right="58"/>
              <w:rPr>
                <w:sz w:val="11"/>
              </w:rPr>
            </w:pPr>
            <w:r>
              <w:rPr>
                <w:spacing w:val="-2"/>
                <w:w w:val="110"/>
                <w:sz w:val="11"/>
              </w:rPr>
              <w:t>(11.282)</w:t>
            </w:r>
          </w:p>
        </w:tc>
        <w:tc>
          <w:tcPr>
            <w:tcW w:w="819" w:type="dxa"/>
          </w:tcPr>
          <w:p w14:paraId="636198E7" w14:textId="77777777" w:rsidR="002C6574" w:rsidRDefault="00000000">
            <w:pPr>
              <w:pStyle w:val="TableParagraph"/>
              <w:spacing w:before="49"/>
              <w:ind w:right="62"/>
              <w:rPr>
                <w:sz w:val="11"/>
              </w:rPr>
            </w:pPr>
            <w:r>
              <w:rPr>
                <w:spacing w:val="-10"/>
                <w:w w:val="95"/>
                <w:sz w:val="11"/>
              </w:rPr>
              <w:t>-</w:t>
            </w:r>
          </w:p>
        </w:tc>
        <w:tc>
          <w:tcPr>
            <w:tcW w:w="740" w:type="dxa"/>
          </w:tcPr>
          <w:p w14:paraId="3233BA79" w14:textId="77777777" w:rsidR="002C6574" w:rsidRDefault="00000000">
            <w:pPr>
              <w:pStyle w:val="TableParagraph"/>
              <w:spacing w:before="49"/>
              <w:ind w:right="58"/>
              <w:rPr>
                <w:sz w:val="11"/>
              </w:rPr>
            </w:pPr>
            <w:r>
              <w:rPr>
                <w:spacing w:val="-2"/>
                <w:w w:val="110"/>
                <w:sz w:val="11"/>
              </w:rPr>
              <w:t>(3.132)</w:t>
            </w:r>
          </w:p>
        </w:tc>
        <w:tc>
          <w:tcPr>
            <w:tcW w:w="829" w:type="dxa"/>
          </w:tcPr>
          <w:p w14:paraId="058584A9" w14:textId="77777777" w:rsidR="002C6574" w:rsidRDefault="00000000">
            <w:pPr>
              <w:pStyle w:val="TableParagraph"/>
              <w:spacing w:before="49"/>
              <w:ind w:right="61"/>
              <w:rPr>
                <w:sz w:val="11"/>
              </w:rPr>
            </w:pPr>
            <w:r>
              <w:rPr>
                <w:spacing w:val="-2"/>
                <w:w w:val="105"/>
                <w:sz w:val="11"/>
              </w:rPr>
              <w:t>43.255</w:t>
            </w:r>
          </w:p>
        </w:tc>
      </w:tr>
      <w:tr w:rsidR="002C6574" w14:paraId="1010C894" w14:textId="77777777">
        <w:trPr>
          <w:trHeight w:val="256"/>
        </w:trPr>
        <w:tc>
          <w:tcPr>
            <w:tcW w:w="4001" w:type="dxa"/>
          </w:tcPr>
          <w:p w14:paraId="7F060762" w14:textId="77777777" w:rsidR="002C6574" w:rsidRDefault="00000000">
            <w:pPr>
              <w:pStyle w:val="TableParagraph"/>
              <w:spacing w:before="64"/>
              <w:ind w:left="69"/>
              <w:jc w:val="left"/>
              <w:rPr>
                <w:rFonts w:ascii="Arial" w:hAnsi="Arial"/>
                <w:b/>
                <w:sz w:val="11"/>
              </w:rPr>
            </w:pPr>
            <w:r>
              <w:rPr>
                <w:rFonts w:ascii="Arial" w:hAnsi="Arial"/>
                <w:b/>
                <w:sz w:val="11"/>
              </w:rPr>
              <w:t>Programa</w:t>
            </w:r>
            <w:r>
              <w:rPr>
                <w:rFonts w:ascii="Arial" w:hAnsi="Arial"/>
                <w:b/>
                <w:spacing w:val="-3"/>
                <w:sz w:val="11"/>
              </w:rPr>
              <w:t xml:space="preserve"> </w:t>
            </w:r>
            <w:r>
              <w:rPr>
                <w:rFonts w:ascii="Arial" w:hAnsi="Arial"/>
                <w:b/>
                <w:sz w:val="11"/>
              </w:rPr>
              <w:t>de</w:t>
            </w:r>
            <w:r>
              <w:rPr>
                <w:rFonts w:ascii="Arial" w:hAnsi="Arial"/>
                <w:b/>
                <w:spacing w:val="-1"/>
                <w:sz w:val="11"/>
              </w:rPr>
              <w:t xml:space="preserve"> </w:t>
            </w:r>
            <w:r>
              <w:rPr>
                <w:rFonts w:ascii="Arial" w:hAnsi="Arial"/>
                <w:b/>
                <w:sz w:val="11"/>
              </w:rPr>
              <w:t>Integração</w:t>
            </w:r>
            <w:r>
              <w:rPr>
                <w:rFonts w:ascii="Arial" w:hAnsi="Arial"/>
                <w:b/>
                <w:spacing w:val="-4"/>
                <w:sz w:val="11"/>
              </w:rPr>
              <w:t xml:space="preserve"> </w:t>
            </w:r>
            <w:r>
              <w:rPr>
                <w:rFonts w:ascii="Arial" w:hAnsi="Arial"/>
                <w:b/>
                <w:sz w:val="11"/>
              </w:rPr>
              <w:t>Social</w:t>
            </w:r>
            <w:r>
              <w:rPr>
                <w:rFonts w:ascii="Arial" w:hAnsi="Arial"/>
                <w:b/>
                <w:spacing w:val="-4"/>
                <w:sz w:val="11"/>
              </w:rPr>
              <w:t xml:space="preserve"> </w:t>
            </w:r>
            <w:r>
              <w:rPr>
                <w:rFonts w:ascii="Arial" w:hAnsi="Arial"/>
                <w:b/>
                <w:sz w:val="11"/>
              </w:rPr>
              <w:t>-</w:t>
            </w:r>
            <w:r>
              <w:rPr>
                <w:rFonts w:ascii="Arial" w:hAnsi="Arial"/>
                <w:b/>
                <w:spacing w:val="-1"/>
                <w:sz w:val="11"/>
              </w:rPr>
              <w:t xml:space="preserve"> </w:t>
            </w:r>
            <w:r>
              <w:rPr>
                <w:rFonts w:ascii="Arial" w:hAnsi="Arial"/>
                <w:b/>
                <w:spacing w:val="-5"/>
                <w:sz w:val="11"/>
              </w:rPr>
              <w:t>PIS</w:t>
            </w:r>
          </w:p>
        </w:tc>
        <w:tc>
          <w:tcPr>
            <w:tcW w:w="658" w:type="dxa"/>
          </w:tcPr>
          <w:p w14:paraId="255627ED" w14:textId="77777777" w:rsidR="002C6574" w:rsidRDefault="00000000">
            <w:pPr>
              <w:pStyle w:val="TableParagraph"/>
              <w:spacing w:before="49"/>
              <w:ind w:right="56"/>
              <w:rPr>
                <w:sz w:val="11"/>
              </w:rPr>
            </w:pPr>
            <w:r>
              <w:rPr>
                <w:spacing w:val="-2"/>
                <w:w w:val="110"/>
                <w:sz w:val="11"/>
              </w:rPr>
              <w:t>9.537</w:t>
            </w:r>
          </w:p>
        </w:tc>
        <w:tc>
          <w:tcPr>
            <w:tcW w:w="867" w:type="dxa"/>
          </w:tcPr>
          <w:p w14:paraId="7546632B" w14:textId="77777777" w:rsidR="002C6574" w:rsidRDefault="00000000">
            <w:pPr>
              <w:pStyle w:val="TableParagraph"/>
              <w:spacing w:before="111" w:line="125" w:lineRule="exact"/>
              <w:ind w:right="60"/>
              <w:rPr>
                <w:sz w:val="11"/>
              </w:rPr>
            </w:pPr>
            <w:r>
              <w:rPr>
                <w:spacing w:val="-10"/>
                <w:w w:val="95"/>
                <w:sz w:val="11"/>
              </w:rPr>
              <w:t>-</w:t>
            </w:r>
          </w:p>
        </w:tc>
        <w:tc>
          <w:tcPr>
            <w:tcW w:w="994" w:type="dxa"/>
          </w:tcPr>
          <w:p w14:paraId="2857720B" w14:textId="77777777" w:rsidR="002C6574" w:rsidRDefault="00000000">
            <w:pPr>
              <w:pStyle w:val="TableParagraph"/>
              <w:spacing w:before="49"/>
              <w:ind w:right="59"/>
              <w:rPr>
                <w:sz w:val="11"/>
              </w:rPr>
            </w:pPr>
            <w:r>
              <w:rPr>
                <w:spacing w:val="-10"/>
                <w:w w:val="95"/>
                <w:sz w:val="11"/>
              </w:rPr>
              <w:t>-</w:t>
            </w:r>
          </w:p>
        </w:tc>
        <w:tc>
          <w:tcPr>
            <w:tcW w:w="992" w:type="dxa"/>
          </w:tcPr>
          <w:p w14:paraId="3DBEC891" w14:textId="77777777" w:rsidR="002C6574" w:rsidRDefault="00000000">
            <w:pPr>
              <w:pStyle w:val="TableParagraph"/>
              <w:spacing w:before="49"/>
              <w:ind w:right="57"/>
              <w:rPr>
                <w:sz w:val="11"/>
              </w:rPr>
            </w:pPr>
            <w:r>
              <w:rPr>
                <w:spacing w:val="-2"/>
                <w:w w:val="105"/>
                <w:sz w:val="11"/>
              </w:rPr>
              <w:t>(352)</w:t>
            </w:r>
          </w:p>
        </w:tc>
        <w:tc>
          <w:tcPr>
            <w:tcW w:w="819" w:type="dxa"/>
          </w:tcPr>
          <w:p w14:paraId="5B2141D5" w14:textId="77777777" w:rsidR="002C6574" w:rsidRDefault="00000000">
            <w:pPr>
              <w:pStyle w:val="TableParagraph"/>
              <w:spacing w:before="49"/>
              <w:ind w:right="62"/>
              <w:rPr>
                <w:sz w:val="11"/>
              </w:rPr>
            </w:pPr>
            <w:r>
              <w:rPr>
                <w:spacing w:val="-5"/>
                <w:w w:val="105"/>
                <w:sz w:val="11"/>
              </w:rPr>
              <w:t>906</w:t>
            </w:r>
          </w:p>
        </w:tc>
        <w:tc>
          <w:tcPr>
            <w:tcW w:w="740" w:type="dxa"/>
          </w:tcPr>
          <w:p w14:paraId="25E77C72" w14:textId="77777777" w:rsidR="002C6574" w:rsidRDefault="00000000">
            <w:pPr>
              <w:pStyle w:val="TableParagraph"/>
              <w:spacing w:before="49"/>
              <w:ind w:right="61"/>
              <w:rPr>
                <w:sz w:val="11"/>
              </w:rPr>
            </w:pPr>
            <w:r>
              <w:rPr>
                <w:spacing w:val="-10"/>
                <w:w w:val="95"/>
                <w:sz w:val="11"/>
              </w:rPr>
              <w:t>-</w:t>
            </w:r>
          </w:p>
        </w:tc>
        <w:tc>
          <w:tcPr>
            <w:tcW w:w="829" w:type="dxa"/>
          </w:tcPr>
          <w:p w14:paraId="3C9DE2C1" w14:textId="77777777" w:rsidR="002C6574" w:rsidRDefault="00000000">
            <w:pPr>
              <w:pStyle w:val="TableParagraph"/>
              <w:spacing w:before="49"/>
              <w:ind w:right="60"/>
              <w:rPr>
                <w:sz w:val="11"/>
              </w:rPr>
            </w:pPr>
            <w:r>
              <w:rPr>
                <w:spacing w:val="-2"/>
                <w:w w:val="105"/>
                <w:sz w:val="11"/>
              </w:rPr>
              <w:t>10.091</w:t>
            </w:r>
          </w:p>
        </w:tc>
      </w:tr>
      <w:tr w:rsidR="002C6574" w14:paraId="1990EE94" w14:textId="77777777">
        <w:trPr>
          <w:trHeight w:val="258"/>
        </w:trPr>
        <w:tc>
          <w:tcPr>
            <w:tcW w:w="4001" w:type="dxa"/>
          </w:tcPr>
          <w:p w14:paraId="6EEB8DA9" w14:textId="77777777" w:rsidR="002C6574" w:rsidRDefault="00000000">
            <w:pPr>
              <w:pStyle w:val="TableParagraph"/>
              <w:spacing w:before="67"/>
              <w:ind w:left="69"/>
              <w:jc w:val="left"/>
              <w:rPr>
                <w:rFonts w:ascii="Arial" w:hAnsi="Arial"/>
                <w:b/>
                <w:sz w:val="11"/>
              </w:rPr>
            </w:pPr>
            <w:r>
              <w:rPr>
                <w:rFonts w:ascii="Arial" w:hAnsi="Arial"/>
                <w:b/>
                <w:sz w:val="11"/>
              </w:rPr>
              <w:t>Contribuição</w:t>
            </w:r>
            <w:r>
              <w:rPr>
                <w:rFonts w:ascii="Arial" w:hAnsi="Arial"/>
                <w:b/>
                <w:spacing w:val="-6"/>
                <w:sz w:val="11"/>
              </w:rPr>
              <w:t xml:space="preserve"> </w:t>
            </w:r>
            <w:r>
              <w:rPr>
                <w:rFonts w:ascii="Arial" w:hAnsi="Arial"/>
                <w:b/>
                <w:sz w:val="11"/>
              </w:rPr>
              <w:t>Social</w:t>
            </w:r>
            <w:r>
              <w:rPr>
                <w:rFonts w:ascii="Arial" w:hAnsi="Arial"/>
                <w:b/>
                <w:spacing w:val="-1"/>
                <w:sz w:val="11"/>
              </w:rPr>
              <w:t xml:space="preserve"> </w:t>
            </w:r>
            <w:r>
              <w:rPr>
                <w:rFonts w:ascii="Arial" w:hAnsi="Arial"/>
                <w:b/>
                <w:sz w:val="11"/>
              </w:rPr>
              <w:t>sobre</w:t>
            </w:r>
            <w:r>
              <w:rPr>
                <w:rFonts w:ascii="Arial" w:hAnsi="Arial"/>
                <w:b/>
                <w:spacing w:val="-2"/>
                <w:sz w:val="11"/>
              </w:rPr>
              <w:t xml:space="preserve"> </w:t>
            </w:r>
            <w:r>
              <w:rPr>
                <w:rFonts w:ascii="Arial" w:hAnsi="Arial"/>
                <w:b/>
                <w:sz w:val="11"/>
              </w:rPr>
              <w:t>Lucro</w:t>
            </w:r>
            <w:r>
              <w:rPr>
                <w:rFonts w:ascii="Arial" w:hAnsi="Arial"/>
                <w:b/>
                <w:spacing w:val="-2"/>
                <w:sz w:val="11"/>
              </w:rPr>
              <w:t xml:space="preserve"> </w:t>
            </w:r>
            <w:r>
              <w:rPr>
                <w:rFonts w:ascii="Arial" w:hAnsi="Arial"/>
                <w:b/>
                <w:sz w:val="11"/>
              </w:rPr>
              <w:t>Líquido</w:t>
            </w:r>
            <w:r>
              <w:rPr>
                <w:rFonts w:ascii="Arial" w:hAnsi="Arial"/>
                <w:b/>
                <w:spacing w:val="-2"/>
                <w:sz w:val="11"/>
              </w:rPr>
              <w:t xml:space="preserve"> </w:t>
            </w:r>
            <w:r>
              <w:rPr>
                <w:rFonts w:ascii="Arial" w:hAnsi="Arial"/>
                <w:b/>
                <w:sz w:val="11"/>
              </w:rPr>
              <w:t>-</w:t>
            </w:r>
            <w:r>
              <w:rPr>
                <w:rFonts w:ascii="Arial" w:hAnsi="Arial"/>
                <w:b/>
                <w:spacing w:val="-2"/>
                <w:sz w:val="11"/>
              </w:rPr>
              <w:t xml:space="preserve"> </w:t>
            </w:r>
            <w:r>
              <w:rPr>
                <w:rFonts w:ascii="Arial" w:hAnsi="Arial"/>
                <w:b/>
                <w:spacing w:val="-4"/>
                <w:sz w:val="11"/>
              </w:rPr>
              <w:t>CSLL</w:t>
            </w:r>
          </w:p>
        </w:tc>
        <w:tc>
          <w:tcPr>
            <w:tcW w:w="658" w:type="dxa"/>
          </w:tcPr>
          <w:p w14:paraId="5DA67990" w14:textId="77777777" w:rsidR="002C6574" w:rsidRDefault="00000000">
            <w:pPr>
              <w:pStyle w:val="TableParagraph"/>
              <w:spacing w:before="51"/>
              <w:ind w:right="56"/>
              <w:rPr>
                <w:sz w:val="11"/>
              </w:rPr>
            </w:pPr>
            <w:r>
              <w:rPr>
                <w:spacing w:val="-2"/>
                <w:w w:val="110"/>
                <w:sz w:val="11"/>
              </w:rPr>
              <w:t>6.856</w:t>
            </w:r>
          </w:p>
        </w:tc>
        <w:tc>
          <w:tcPr>
            <w:tcW w:w="867" w:type="dxa"/>
          </w:tcPr>
          <w:p w14:paraId="56927C2D" w14:textId="77777777" w:rsidR="002C6574" w:rsidRDefault="00000000">
            <w:pPr>
              <w:pStyle w:val="TableParagraph"/>
              <w:spacing w:before="51"/>
              <w:ind w:right="59"/>
              <w:rPr>
                <w:sz w:val="11"/>
              </w:rPr>
            </w:pPr>
            <w:r>
              <w:rPr>
                <w:spacing w:val="-2"/>
                <w:w w:val="110"/>
                <w:sz w:val="11"/>
              </w:rPr>
              <w:t>3.960</w:t>
            </w:r>
          </w:p>
        </w:tc>
        <w:tc>
          <w:tcPr>
            <w:tcW w:w="994" w:type="dxa"/>
          </w:tcPr>
          <w:p w14:paraId="4CB2B5A5" w14:textId="77777777" w:rsidR="002C6574" w:rsidRDefault="00000000">
            <w:pPr>
              <w:pStyle w:val="TableParagraph"/>
              <w:spacing w:before="51"/>
              <w:ind w:right="59"/>
              <w:rPr>
                <w:sz w:val="11"/>
              </w:rPr>
            </w:pPr>
            <w:r>
              <w:rPr>
                <w:spacing w:val="-10"/>
                <w:w w:val="95"/>
                <w:sz w:val="11"/>
              </w:rPr>
              <w:t>-</w:t>
            </w:r>
          </w:p>
        </w:tc>
        <w:tc>
          <w:tcPr>
            <w:tcW w:w="992" w:type="dxa"/>
          </w:tcPr>
          <w:p w14:paraId="7EEF58F9" w14:textId="77777777" w:rsidR="002C6574" w:rsidRDefault="00000000">
            <w:pPr>
              <w:pStyle w:val="TableParagraph"/>
              <w:spacing w:before="51"/>
              <w:ind w:right="57"/>
              <w:rPr>
                <w:sz w:val="11"/>
              </w:rPr>
            </w:pPr>
            <w:r>
              <w:rPr>
                <w:spacing w:val="-2"/>
                <w:w w:val="110"/>
                <w:sz w:val="11"/>
              </w:rPr>
              <w:t>(2.415)</w:t>
            </w:r>
          </w:p>
        </w:tc>
        <w:tc>
          <w:tcPr>
            <w:tcW w:w="819" w:type="dxa"/>
          </w:tcPr>
          <w:p w14:paraId="3F354716" w14:textId="77777777" w:rsidR="002C6574" w:rsidRDefault="00000000">
            <w:pPr>
              <w:pStyle w:val="TableParagraph"/>
              <w:spacing w:before="51"/>
              <w:ind w:right="61"/>
              <w:rPr>
                <w:sz w:val="11"/>
              </w:rPr>
            </w:pPr>
            <w:r>
              <w:rPr>
                <w:spacing w:val="-5"/>
                <w:w w:val="105"/>
                <w:sz w:val="11"/>
              </w:rPr>
              <w:t>845</w:t>
            </w:r>
          </w:p>
        </w:tc>
        <w:tc>
          <w:tcPr>
            <w:tcW w:w="740" w:type="dxa"/>
          </w:tcPr>
          <w:p w14:paraId="79F4EFEE" w14:textId="77777777" w:rsidR="002C6574" w:rsidRDefault="00000000">
            <w:pPr>
              <w:pStyle w:val="TableParagraph"/>
              <w:spacing w:before="51"/>
              <w:ind w:right="61"/>
              <w:rPr>
                <w:sz w:val="11"/>
              </w:rPr>
            </w:pPr>
            <w:r>
              <w:rPr>
                <w:spacing w:val="-10"/>
                <w:w w:val="95"/>
                <w:sz w:val="11"/>
              </w:rPr>
              <w:t>-</w:t>
            </w:r>
          </w:p>
        </w:tc>
        <w:tc>
          <w:tcPr>
            <w:tcW w:w="829" w:type="dxa"/>
          </w:tcPr>
          <w:p w14:paraId="44A56E9A" w14:textId="77777777" w:rsidR="002C6574" w:rsidRDefault="00000000">
            <w:pPr>
              <w:pStyle w:val="TableParagraph"/>
              <w:spacing w:before="51"/>
              <w:ind w:right="61"/>
              <w:rPr>
                <w:sz w:val="11"/>
              </w:rPr>
            </w:pPr>
            <w:r>
              <w:rPr>
                <w:spacing w:val="-2"/>
                <w:w w:val="110"/>
                <w:sz w:val="11"/>
              </w:rPr>
              <w:t>9.246</w:t>
            </w:r>
          </w:p>
        </w:tc>
      </w:tr>
      <w:tr w:rsidR="002C6574" w14:paraId="3E22EA5B" w14:textId="77777777">
        <w:trPr>
          <w:trHeight w:val="258"/>
        </w:trPr>
        <w:tc>
          <w:tcPr>
            <w:tcW w:w="4001" w:type="dxa"/>
          </w:tcPr>
          <w:p w14:paraId="681D5511" w14:textId="77777777" w:rsidR="002C6574" w:rsidRDefault="00000000">
            <w:pPr>
              <w:pStyle w:val="TableParagraph"/>
              <w:spacing w:before="64"/>
              <w:ind w:left="69"/>
              <w:jc w:val="left"/>
              <w:rPr>
                <w:rFonts w:ascii="Arial" w:hAnsi="Arial"/>
                <w:b/>
                <w:sz w:val="11"/>
              </w:rPr>
            </w:pPr>
            <w:r>
              <w:rPr>
                <w:rFonts w:ascii="Arial" w:hAnsi="Arial"/>
                <w:b/>
                <w:sz w:val="11"/>
              </w:rPr>
              <w:t>Imposto</w:t>
            </w:r>
            <w:r>
              <w:rPr>
                <w:rFonts w:ascii="Arial" w:hAnsi="Arial"/>
                <w:b/>
                <w:spacing w:val="-4"/>
                <w:sz w:val="11"/>
              </w:rPr>
              <w:t xml:space="preserve"> </w:t>
            </w:r>
            <w:r>
              <w:rPr>
                <w:rFonts w:ascii="Arial" w:hAnsi="Arial"/>
                <w:b/>
                <w:sz w:val="11"/>
              </w:rPr>
              <w:t>sobre</w:t>
            </w:r>
            <w:r>
              <w:rPr>
                <w:rFonts w:ascii="Arial" w:hAnsi="Arial"/>
                <w:b/>
                <w:spacing w:val="-3"/>
                <w:sz w:val="11"/>
              </w:rPr>
              <w:t xml:space="preserve"> </w:t>
            </w:r>
            <w:r>
              <w:rPr>
                <w:rFonts w:ascii="Arial" w:hAnsi="Arial"/>
                <w:b/>
                <w:sz w:val="11"/>
              </w:rPr>
              <w:t>Serviços</w:t>
            </w:r>
            <w:r>
              <w:rPr>
                <w:rFonts w:ascii="Arial" w:hAnsi="Arial"/>
                <w:b/>
                <w:spacing w:val="-3"/>
                <w:sz w:val="11"/>
              </w:rPr>
              <w:t xml:space="preserve"> </w:t>
            </w:r>
            <w:r>
              <w:rPr>
                <w:rFonts w:ascii="Arial" w:hAnsi="Arial"/>
                <w:b/>
                <w:sz w:val="11"/>
              </w:rPr>
              <w:t>de</w:t>
            </w:r>
            <w:r>
              <w:rPr>
                <w:rFonts w:ascii="Arial" w:hAnsi="Arial"/>
                <w:b/>
                <w:spacing w:val="-3"/>
                <w:sz w:val="11"/>
              </w:rPr>
              <w:t xml:space="preserve"> </w:t>
            </w:r>
            <w:r>
              <w:rPr>
                <w:rFonts w:ascii="Arial" w:hAnsi="Arial"/>
                <w:b/>
                <w:sz w:val="11"/>
              </w:rPr>
              <w:t>Qualquer</w:t>
            </w:r>
            <w:r>
              <w:rPr>
                <w:rFonts w:ascii="Arial" w:hAnsi="Arial"/>
                <w:b/>
                <w:spacing w:val="-1"/>
                <w:sz w:val="11"/>
              </w:rPr>
              <w:t xml:space="preserve"> </w:t>
            </w:r>
            <w:r>
              <w:rPr>
                <w:rFonts w:ascii="Arial" w:hAnsi="Arial"/>
                <w:b/>
                <w:sz w:val="11"/>
              </w:rPr>
              <w:t>Natureza</w:t>
            </w:r>
            <w:r>
              <w:rPr>
                <w:rFonts w:ascii="Arial" w:hAnsi="Arial"/>
                <w:b/>
                <w:spacing w:val="-3"/>
                <w:sz w:val="11"/>
              </w:rPr>
              <w:t xml:space="preserve"> </w:t>
            </w:r>
            <w:r>
              <w:rPr>
                <w:rFonts w:ascii="Arial" w:hAnsi="Arial"/>
                <w:b/>
                <w:sz w:val="11"/>
              </w:rPr>
              <w:t>-</w:t>
            </w:r>
            <w:r>
              <w:rPr>
                <w:rFonts w:ascii="Arial" w:hAnsi="Arial"/>
                <w:b/>
                <w:spacing w:val="-3"/>
                <w:sz w:val="11"/>
              </w:rPr>
              <w:t xml:space="preserve"> </w:t>
            </w:r>
            <w:r>
              <w:rPr>
                <w:rFonts w:ascii="Arial" w:hAnsi="Arial"/>
                <w:b/>
                <w:spacing w:val="-5"/>
                <w:sz w:val="11"/>
              </w:rPr>
              <w:t>ISS</w:t>
            </w:r>
          </w:p>
        </w:tc>
        <w:tc>
          <w:tcPr>
            <w:tcW w:w="658" w:type="dxa"/>
          </w:tcPr>
          <w:p w14:paraId="48555AF2" w14:textId="77777777" w:rsidR="002C6574" w:rsidRDefault="00000000">
            <w:pPr>
              <w:pStyle w:val="TableParagraph"/>
              <w:spacing w:before="49"/>
              <w:ind w:right="56"/>
              <w:rPr>
                <w:sz w:val="11"/>
              </w:rPr>
            </w:pPr>
            <w:r>
              <w:rPr>
                <w:spacing w:val="-5"/>
                <w:w w:val="105"/>
                <w:sz w:val="11"/>
              </w:rPr>
              <w:t>189</w:t>
            </w:r>
          </w:p>
        </w:tc>
        <w:tc>
          <w:tcPr>
            <w:tcW w:w="867" w:type="dxa"/>
          </w:tcPr>
          <w:p w14:paraId="0D8ED3BA" w14:textId="77777777" w:rsidR="002C6574" w:rsidRDefault="00000000">
            <w:pPr>
              <w:pStyle w:val="TableParagraph"/>
              <w:spacing w:before="49"/>
              <w:ind w:right="59"/>
              <w:rPr>
                <w:sz w:val="11"/>
              </w:rPr>
            </w:pPr>
            <w:r>
              <w:rPr>
                <w:spacing w:val="-5"/>
                <w:w w:val="105"/>
                <w:sz w:val="11"/>
              </w:rPr>
              <w:t>325</w:t>
            </w:r>
          </w:p>
        </w:tc>
        <w:tc>
          <w:tcPr>
            <w:tcW w:w="994" w:type="dxa"/>
          </w:tcPr>
          <w:p w14:paraId="3B5D49EE" w14:textId="77777777" w:rsidR="002C6574" w:rsidRDefault="00000000">
            <w:pPr>
              <w:pStyle w:val="TableParagraph"/>
              <w:spacing w:before="49"/>
              <w:ind w:right="59"/>
              <w:rPr>
                <w:sz w:val="11"/>
              </w:rPr>
            </w:pPr>
            <w:r>
              <w:rPr>
                <w:spacing w:val="-10"/>
                <w:w w:val="95"/>
                <w:sz w:val="11"/>
              </w:rPr>
              <w:t>-</w:t>
            </w:r>
          </w:p>
        </w:tc>
        <w:tc>
          <w:tcPr>
            <w:tcW w:w="992" w:type="dxa"/>
          </w:tcPr>
          <w:p w14:paraId="04EA149E" w14:textId="77777777" w:rsidR="002C6574" w:rsidRDefault="00000000">
            <w:pPr>
              <w:pStyle w:val="TableParagraph"/>
              <w:spacing w:before="49"/>
              <w:ind w:right="57"/>
              <w:rPr>
                <w:sz w:val="11"/>
              </w:rPr>
            </w:pPr>
            <w:r>
              <w:rPr>
                <w:spacing w:val="-2"/>
                <w:w w:val="105"/>
                <w:sz w:val="11"/>
              </w:rPr>
              <w:t>(415)</w:t>
            </w:r>
          </w:p>
        </w:tc>
        <w:tc>
          <w:tcPr>
            <w:tcW w:w="819" w:type="dxa"/>
          </w:tcPr>
          <w:p w14:paraId="2325AD1E" w14:textId="77777777" w:rsidR="002C6574" w:rsidRDefault="00000000">
            <w:pPr>
              <w:pStyle w:val="TableParagraph"/>
              <w:spacing w:before="49"/>
              <w:ind w:right="63"/>
              <w:rPr>
                <w:sz w:val="11"/>
              </w:rPr>
            </w:pPr>
            <w:r>
              <w:rPr>
                <w:spacing w:val="-10"/>
                <w:w w:val="95"/>
                <w:sz w:val="11"/>
              </w:rPr>
              <w:t>-</w:t>
            </w:r>
          </w:p>
        </w:tc>
        <w:tc>
          <w:tcPr>
            <w:tcW w:w="740" w:type="dxa"/>
          </w:tcPr>
          <w:p w14:paraId="776F28D1" w14:textId="77777777" w:rsidR="002C6574" w:rsidRDefault="00000000">
            <w:pPr>
              <w:pStyle w:val="TableParagraph"/>
              <w:spacing w:before="49"/>
              <w:ind w:right="61"/>
              <w:rPr>
                <w:sz w:val="11"/>
              </w:rPr>
            </w:pPr>
            <w:r>
              <w:rPr>
                <w:spacing w:val="-10"/>
                <w:w w:val="95"/>
                <w:sz w:val="11"/>
              </w:rPr>
              <w:t>-</w:t>
            </w:r>
          </w:p>
        </w:tc>
        <w:tc>
          <w:tcPr>
            <w:tcW w:w="829" w:type="dxa"/>
          </w:tcPr>
          <w:p w14:paraId="7E7DE0B8" w14:textId="77777777" w:rsidR="002C6574" w:rsidRDefault="00000000">
            <w:pPr>
              <w:pStyle w:val="TableParagraph"/>
              <w:spacing w:before="49"/>
              <w:ind w:right="60"/>
              <w:rPr>
                <w:sz w:val="11"/>
              </w:rPr>
            </w:pPr>
            <w:r>
              <w:rPr>
                <w:spacing w:val="-5"/>
                <w:w w:val="105"/>
                <w:sz w:val="11"/>
              </w:rPr>
              <w:t>99</w:t>
            </w:r>
          </w:p>
        </w:tc>
      </w:tr>
      <w:tr w:rsidR="002C6574" w14:paraId="08187022" w14:textId="77777777">
        <w:trPr>
          <w:trHeight w:val="256"/>
        </w:trPr>
        <w:tc>
          <w:tcPr>
            <w:tcW w:w="4001" w:type="dxa"/>
          </w:tcPr>
          <w:p w14:paraId="5C85741B" w14:textId="77777777" w:rsidR="002C6574" w:rsidRDefault="00000000">
            <w:pPr>
              <w:pStyle w:val="TableParagraph"/>
              <w:spacing w:before="64"/>
              <w:ind w:left="69"/>
              <w:jc w:val="left"/>
              <w:rPr>
                <w:rFonts w:ascii="Arial" w:hAnsi="Arial"/>
                <w:b/>
                <w:sz w:val="11"/>
              </w:rPr>
            </w:pPr>
            <w:r>
              <w:rPr>
                <w:rFonts w:ascii="Arial" w:hAnsi="Arial"/>
                <w:b/>
                <w:sz w:val="11"/>
              </w:rPr>
              <w:t>Instituto</w:t>
            </w:r>
            <w:r>
              <w:rPr>
                <w:rFonts w:ascii="Arial" w:hAnsi="Arial"/>
                <w:b/>
                <w:spacing w:val="-6"/>
                <w:sz w:val="11"/>
              </w:rPr>
              <w:t xml:space="preserve"> </w:t>
            </w:r>
            <w:r>
              <w:rPr>
                <w:rFonts w:ascii="Arial" w:hAnsi="Arial"/>
                <w:b/>
                <w:sz w:val="11"/>
              </w:rPr>
              <w:t>Nacional</w:t>
            </w:r>
            <w:r>
              <w:rPr>
                <w:rFonts w:ascii="Arial" w:hAnsi="Arial"/>
                <w:b/>
                <w:spacing w:val="-3"/>
                <w:sz w:val="11"/>
              </w:rPr>
              <w:t xml:space="preserve"> </w:t>
            </w:r>
            <w:r>
              <w:rPr>
                <w:rFonts w:ascii="Arial" w:hAnsi="Arial"/>
                <w:b/>
                <w:sz w:val="11"/>
              </w:rPr>
              <w:t>de</w:t>
            </w:r>
            <w:r>
              <w:rPr>
                <w:rFonts w:ascii="Arial" w:hAnsi="Arial"/>
                <w:b/>
                <w:spacing w:val="-2"/>
                <w:sz w:val="11"/>
              </w:rPr>
              <w:t xml:space="preserve"> </w:t>
            </w:r>
            <w:r>
              <w:rPr>
                <w:rFonts w:ascii="Arial" w:hAnsi="Arial"/>
                <w:b/>
                <w:sz w:val="11"/>
              </w:rPr>
              <w:t>Previdência</w:t>
            </w:r>
            <w:r>
              <w:rPr>
                <w:rFonts w:ascii="Arial" w:hAnsi="Arial"/>
                <w:b/>
                <w:spacing w:val="-2"/>
                <w:sz w:val="11"/>
              </w:rPr>
              <w:t xml:space="preserve"> </w:t>
            </w:r>
            <w:r>
              <w:rPr>
                <w:rFonts w:ascii="Arial" w:hAnsi="Arial"/>
                <w:b/>
                <w:sz w:val="11"/>
              </w:rPr>
              <w:t>Social</w:t>
            </w:r>
            <w:r>
              <w:rPr>
                <w:rFonts w:ascii="Arial" w:hAnsi="Arial"/>
                <w:b/>
                <w:spacing w:val="-3"/>
                <w:sz w:val="11"/>
              </w:rPr>
              <w:t xml:space="preserve"> </w:t>
            </w:r>
            <w:r>
              <w:rPr>
                <w:rFonts w:ascii="Arial" w:hAnsi="Arial"/>
                <w:b/>
                <w:sz w:val="11"/>
              </w:rPr>
              <w:t>–</w:t>
            </w:r>
            <w:r>
              <w:rPr>
                <w:rFonts w:ascii="Arial" w:hAnsi="Arial"/>
                <w:b/>
                <w:spacing w:val="-2"/>
                <w:sz w:val="11"/>
              </w:rPr>
              <w:t xml:space="preserve"> </w:t>
            </w:r>
            <w:r>
              <w:rPr>
                <w:rFonts w:ascii="Arial" w:hAnsi="Arial"/>
                <w:b/>
                <w:spacing w:val="-4"/>
                <w:sz w:val="11"/>
              </w:rPr>
              <w:t>INSS</w:t>
            </w:r>
          </w:p>
        </w:tc>
        <w:tc>
          <w:tcPr>
            <w:tcW w:w="658" w:type="dxa"/>
          </w:tcPr>
          <w:p w14:paraId="06C421DA" w14:textId="77777777" w:rsidR="002C6574" w:rsidRDefault="00000000">
            <w:pPr>
              <w:pStyle w:val="TableParagraph"/>
              <w:spacing w:before="49"/>
              <w:ind w:right="56"/>
              <w:rPr>
                <w:sz w:val="11"/>
              </w:rPr>
            </w:pPr>
            <w:r>
              <w:rPr>
                <w:spacing w:val="-5"/>
                <w:w w:val="105"/>
                <w:sz w:val="11"/>
              </w:rPr>
              <w:t>31</w:t>
            </w:r>
          </w:p>
        </w:tc>
        <w:tc>
          <w:tcPr>
            <w:tcW w:w="867" w:type="dxa"/>
          </w:tcPr>
          <w:p w14:paraId="2D536D35" w14:textId="77777777" w:rsidR="002C6574" w:rsidRDefault="00000000">
            <w:pPr>
              <w:pStyle w:val="TableParagraph"/>
              <w:spacing w:before="49"/>
              <w:ind w:right="60"/>
              <w:rPr>
                <w:sz w:val="11"/>
              </w:rPr>
            </w:pPr>
            <w:r>
              <w:rPr>
                <w:spacing w:val="-5"/>
                <w:w w:val="105"/>
                <w:sz w:val="11"/>
              </w:rPr>
              <w:t>12</w:t>
            </w:r>
          </w:p>
        </w:tc>
        <w:tc>
          <w:tcPr>
            <w:tcW w:w="994" w:type="dxa"/>
          </w:tcPr>
          <w:p w14:paraId="749148E4" w14:textId="77777777" w:rsidR="002C6574" w:rsidRDefault="00000000">
            <w:pPr>
              <w:pStyle w:val="TableParagraph"/>
              <w:spacing w:before="49"/>
              <w:ind w:right="58"/>
              <w:rPr>
                <w:sz w:val="11"/>
              </w:rPr>
            </w:pPr>
            <w:r>
              <w:rPr>
                <w:spacing w:val="-10"/>
                <w:w w:val="95"/>
                <w:sz w:val="11"/>
              </w:rPr>
              <w:t>-</w:t>
            </w:r>
          </w:p>
        </w:tc>
        <w:tc>
          <w:tcPr>
            <w:tcW w:w="992" w:type="dxa"/>
          </w:tcPr>
          <w:p w14:paraId="04A64D57" w14:textId="77777777" w:rsidR="002C6574" w:rsidRDefault="00000000">
            <w:pPr>
              <w:pStyle w:val="TableParagraph"/>
              <w:spacing w:before="49"/>
              <w:ind w:right="59"/>
              <w:rPr>
                <w:sz w:val="11"/>
              </w:rPr>
            </w:pPr>
            <w:r>
              <w:rPr>
                <w:spacing w:val="-4"/>
                <w:w w:val="105"/>
                <w:sz w:val="11"/>
              </w:rPr>
              <w:t>(15)</w:t>
            </w:r>
          </w:p>
        </w:tc>
        <w:tc>
          <w:tcPr>
            <w:tcW w:w="819" w:type="dxa"/>
          </w:tcPr>
          <w:p w14:paraId="7AF1B57A" w14:textId="77777777" w:rsidR="002C6574" w:rsidRDefault="00000000">
            <w:pPr>
              <w:pStyle w:val="TableParagraph"/>
              <w:spacing w:before="49"/>
              <w:ind w:right="63"/>
              <w:rPr>
                <w:sz w:val="11"/>
              </w:rPr>
            </w:pPr>
            <w:r>
              <w:rPr>
                <w:spacing w:val="-10"/>
                <w:w w:val="95"/>
                <w:sz w:val="11"/>
              </w:rPr>
              <w:t>-</w:t>
            </w:r>
          </w:p>
        </w:tc>
        <w:tc>
          <w:tcPr>
            <w:tcW w:w="740" w:type="dxa"/>
          </w:tcPr>
          <w:p w14:paraId="25CC1656" w14:textId="77777777" w:rsidR="002C6574" w:rsidRDefault="00000000">
            <w:pPr>
              <w:pStyle w:val="TableParagraph"/>
              <w:spacing w:before="49"/>
              <w:ind w:right="61"/>
              <w:rPr>
                <w:sz w:val="11"/>
              </w:rPr>
            </w:pPr>
            <w:r>
              <w:rPr>
                <w:spacing w:val="-10"/>
                <w:w w:val="95"/>
                <w:sz w:val="11"/>
              </w:rPr>
              <w:t>-</w:t>
            </w:r>
          </w:p>
        </w:tc>
        <w:tc>
          <w:tcPr>
            <w:tcW w:w="829" w:type="dxa"/>
          </w:tcPr>
          <w:p w14:paraId="2181B564" w14:textId="77777777" w:rsidR="002C6574" w:rsidRDefault="00000000">
            <w:pPr>
              <w:pStyle w:val="TableParagraph"/>
              <w:spacing w:before="49"/>
              <w:ind w:right="60"/>
              <w:rPr>
                <w:sz w:val="11"/>
              </w:rPr>
            </w:pPr>
            <w:r>
              <w:rPr>
                <w:spacing w:val="-5"/>
                <w:w w:val="105"/>
                <w:sz w:val="11"/>
              </w:rPr>
              <w:t>28</w:t>
            </w:r>
          </w:p>
        </w:tc>
      </w:tr>
      <w:tr w:rsidR="002C6574" w14:paraId="33A788FC" w14:textId="77777777">
        <w:trPr>
          <w:trHeight w:val="258"/>
        </w:trPr>
        <w:tc>
          <w:tcPr>
            <w:tcW w:w="4001" w:type="dxa"/>
          </w:tcPr>
          <w:p w14:paraId="2C9281AC" w14:textId="77777777" w:rsidR="002C6574" w:rsidRDefault="00000000">
            <w:pPr>
              <w:pStyle w:val="TableParagraph"/>
              <w:spacing w:before="67"/>
              <w:ind w:left="69"/>
              <w:jc w:val="left"/>
              <w:rPr>
                <w:rFonts w:ascii="Arial"/>
                <w:b/>
                <w:sz w:val="11"/>
              </w:rPr>
            </w:pPr>
            <w:r>
              <w:rPr>
                <w:rFonts w:ascii="Arial"/>
                <w:b/>
                <w:spacing w:val="-2"/>
                <w:sz w:val="11"/>
              </w:rPr>
              <w:t>TOTAL</w:t>
            </w:r>
          </w:p>
        </w:tc>
        <w:tc>
          <w:tcPr>
            <w:tcW w:w="658" w:type="dxa"/>
          </w:tcPr>
          <w:p w14:paraId="0B857B9B" w14:textId="77777777" w:rsidR="002C6574" w:rsidRDefault="00000000">
            <w:pPr>
              <w:pStyle w:val="TableParagraph"/>
              <w:spacing w:before="67"/>
              <w:ind w:right="56"/>
              <w:rPr>
                <w:rFonts w:ascii="Arial"/>
                <w:b/>
                <w:sz w:val="11"/>
              </w:rPr>
            </w:pPr>
            <w:r>
              <w:rPr>
                <w:rFonts w:ascii="Arial"/>
                <w:b/>
                <w:spacing w:val="-2"/>
                <w:sz w:val="11"/>
              </w:rPr>
              <w:t>186.326</w:t>
            </w:r>
          </w:p>
        </w:tc>
        <w:tc>
          <w:tcPr>
            <w:tcW w:w="867" w:type="dxa"/>
          </w:tcPr>
          <w:p w14:paraId="1AE38DCD" w14:textId="77777777" w:rsidR="002C6574" w:rsidRDefault="00000000">
            <w:pPr>
              <w:pStyle w:val="TableParagraph"/>
              <w:spacing w:before="67"/>
              <w:ind w:right="59"/>
              <w:rPr>
                <w:rFonts w:ascii="Arial"/>
                <w:b/>
                <w:sz w:val="11"/>
              </w:rPr>
            </w:pPr>
            <w:r>
              <w:rPr>
                <w:rFonts w:ascii="Arial"/>
                <w:b/>
                <w:spacing w:val="-2"/>
                <w:sz w:val="11"/>
              </w:rPr>
              <w:t>84.819</w:t>
            </w:r>
          </w:p>
        </w:tc>
        <w:tc>
          <w:tcPr>
            <w:tcW w:w="994" w:type="dxa"/>
          </w:tcPr>
          <w:p w14:paraId="26C3B68F" w14:textId="77777777" w:rsidR="002C6574" w:rsidRDefault="00000000">
            <w:pPr>
              <w:pStyle w:val="TableParagraph"/>
              <w:spacing w:before="67"/>
              <w:ind w:right="58"/>
              <w:rPr>
                <w:rFonts w:ascii="Arial"/>
                <w:b/>
                <w:sz w:val="11"/>
              </w:rPr>
            </w:pPr>
            <w:r>
              <w:rPr>
                <w:rFonts w:ascii="Arial"/>
                <w:b/>
                <w:spacing w:val="-5"/>
                <w:sz w:val="11"/>
              </w:rPr>
              <w:t>164</w:t>
            </w:r>
          </w:p>
        </w:tc>
        <w:tc>
          <w:tcPr>
            <w:tcW w:w="992" w:type="dxa"/>
          </w:tcPr>
          <w:p w14:paraId="3D3F518F" w14:textId="77777777" w:rsidR="002C6574" w:rsidRDefault="00000000">
            <w:pPr>
              <w:pStyle w:val="TableParagraph"/>
              <w:spacing w:before="67"/>
              <w:ind w:right="59"/>
              <w:rPr>
                <w:rFonts w:ascii="Arial"/>
                <w:b/>
                <w:sz w:val="11"/>
              </w:rPr>
            </w:pPr>
            <w:r>
              <w:rPr>
                <w:rFonts w:ascii="Arial"/>
                <w:b/>
                <w:spacing w:val="-2"/>
                <w:sz w:val="11"/>
              </w:rPr>
              <w:t>(72.591)</w:t>
            </w:r>
          </w:p>
        </w:tc>
        <w:tc>
          <w:tcPr>
            <w:tcW w:w="819" w:type="dxa"/>
          </w:tcPr>
          <w:p w14:paraId="4128AAF9" w14:textId="77777777" w:rsidR="002C6574" w:rsidRDefault="00000000">
            <w:pPr>
              <w:pStyle w:val="TableParagraph"/>
              <w:spacing w:before="67"/>
              <w:ind w:right="61"/>
              <w:rPr>
                <w:rFonts w:ascii="Arial"/>
                <w:b/>
                <w:sz w:val="11"/>
              </w:rPr>
            </w:pPr>
            <w:r>
              <w:rPr>
                <w:rFonts w:ascii="Arial"/>
                <w:b/>
                <w:spacing w:val="-2"/>
                <w:sz w:val="11"/>
              </w:rPr>
              <w:t>12.725</w:t>
            </w:r>
          </w:p>
        </w:tc>
        <w:tc>
          <w:tcPr>
            <w:tcW w:w="740" w:type="dxa"/>
          </w:tcPr>
          <w:p w14:paraId="5033EBFF" w14:textId="77777777" w:rsidR="002C6574" w:rsidRDefault="00000000">
            <w:pPr>
              <w:pStyle w:val="TableParagraph"/>
              <w:spacing w:before="67"/>
              <w:ind w:right="58"/>
              <w:rPr>
                <w:rFonts w:ascii="Arial"/>
                <w:b/>
                <w:sz w:val="11"/>
              </w:rPr>
            </w:pPr>
            <w:r>
              <w:rPr>
                <w:rFonts w:ascii="Arial"/>
                <w:b/>
                <w:spacing w:val="-2"/>
                <w:sz w:val="11"/>
              </w:rPr>
              <w:t>(3.132)</w:t>
            </w:r>
          </w:p>
        </w:tc>
        <w:tc>
          <w:tcPr>
            <w:tcW w:w="829" w:type="dxa"/>
          </w:tcPr>
          <w:p w14:paraId="72F171CC" w14:textId="77777777" w:rsidR="002C6574" w:rsidRDefault="00000000">
            <w:pPr>
              <w:pStyle w:val="TableParagraph"/>
              <w:spacing w:before="67"/>
              <w:ind w:right="61"/>
              <w:rPr>
                <w:rFonts w:ascii="Arial"/>
                <w:b/>
                <w:sz w:val="11"/>
              </w:rPr>
            </w:pPr>
            <w:r>
              <w:rPr>
                <w:rFonts w:ascii="Arial"/>
                <w:b/>
                <w:spacing w:val="-2"/>
                <w:sz w:val="11"/>
              </w:rPr>
              <w:t>208.311</w:t>
            </w:r>
          </w:p>
        </w:tc>
      </w:tr>
    </w:tbl>
    <w:p w14:paraId="3D3EF859" w14:textId="77777777" w:rsidR="002C6574" w:rsidRDefault="002C6574">
      <w:pPr>
        <w:pStyle w:val="TableParagraph"/>
        <w:rPr>
          <w:rFonts w:ascii="Arial"/>
          <w:b/>
          <w:sz w:val="11"/>
        </w:rPr>
        <w:sectPr w:rsidR="002C6574">
          <w:pgSz w:w="11910" w:h="16840"/>
          <w:pgMar w:top="1600" w:right="141" w:bottom="1320" w:left="1133" w:header="856" w:footer="1123" w:gutter="0"/>
          <w:cols w:space="720"/>
        </w:sectPr>
      </w:pPr>
    </w:p>
    <w:p w14:paraId="33CA4F24" w14:textId="77777777" w:rsidR="002C6574" w:rsidRDefault="00000000">
      <w:pPr>
        <w:numPr>
          <w:ilvl w:val="1"/>
          <w:numId w:val="41"/>
        </w:numPr>
        <w:tabs>
          <w:tab w:val="left" w:pos="707"/>
        </w:tabs>
        <w:spacing w:before="229"/>
        <w:ind w:left="707" w:hanging="564"/>
        <w:rPr>
          <w:rFonts w:ascii="Arial" w:hAnsi="Arial"/>
          <w:b/>
        </w:rPr>
      </w:pPr>
      <w:r>
        <w:rPr>
          <w:rFonts w:ascii="Arial" w:hAnsi="Arial"/>
          <w:b/>
        </w:rPr>
        <w:lastRenderedPageBreak/>
        <w:t>Imposto</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Renda</w:t>
      </w:r>
      <w:r>
        <w:rPr>
          <w:rFonts w:ascii="Arial" w:hAnsi="Arial"/>
          <w:b/>
          <w:spacing w:val="-5"/>
        </w:rPr>
        <w:t xml:space="preserve"> </w:t>
      </w:r>
      <w:r>
        <w:rPr>
          <w:rFonts w:ascii="Arial" w:hAnsi="Arial"/>
          <w:b/>
        </w:rPr>
        <w:t>e</w:t>
      </w:r>
      <w:r>
        <w:rPr>
          <w:rFonts w:ascii="Arial" w:hAnsi="Arial"/>
          <w:b/>
          <w:spacing w:val="-1"/>
        </w:rPr>
        <w:t xml:space="preserve"> </w:t>
      </w:r>
      <w:r>
        <w:rPr>
          <w:rFonts w:ascii="Arial" w:hAnsi="Arial"/>
          <w:b/>
        </w:rPr>
        <w:t>Contribuição</w:t>
      </w:r>
      <w:r>
        <w:rPr>
          <w:rFonts w:ascii="Arial" w:hAnsi="Arial"/>
          <w:b/>
          <w:spacing w:val="-2"/>
        </w:rPr>
        <w:t xml:space="preserve"> </w:t>
      </w:r>
      <w:r>
        <w:rPr>
          <w:rFonts w:ascii="Arial" w:hAnsi="Arial"/>
          <w:b/>
        </w:rPr>
        <w:t>Social</w:t>
      </w:r>
      <w:r>
        <w:rPr>
          <w:rFonts w:ascii="Arial" w:hAnsi="Arial"/>
          <w:b/>
          <w:spacing w:val="-2"/>
        </w:rPr>
        <w:t xml:space="preserve"> </w:t>
      </w:r>
      <w:r>
        <w:rPr>
          <w:rFonts w:ascii="Arial" w:hAnsi="Arial"/>
          <w:b/>
        </w:rPr>
        <w:t>Sobre</w:t>
      </w:r>
      <w:r>
        <w:rPr>
          <w:rFonts w:ascii="Arial" w:hAnsi="Arial"/>
          <w:b/>
          <w:spacing w:val="-4"/>
        </w:rPr>
        <w:t xml:space="preserve"> </w:t>
      </w:r>
      <w:r>
        <w:rPr>
          <w:rFonts w:ascii="Arial" w:hAnsi="Arial"/>
          <w:b/>
        </w:rPr>
        <w:t>o</w:t>
      </w:r>
      <w:r>
        <w:rPr>
          <w:rFonts w:ascii="Arial" w:hAnsi="Arial"/>
          <w:b/>
          <w:spacing w:val="-1"/>
        </w:rPr>
        <w:t xml:space="preserve"> </w:t>
      </w:r>
      <w:r>
        <w:rPr>
          <w:rFonts w:ascii="Arial" w:hAnsi="Arial"/>
          <w:b/>
        </w:rPr>
        <w:t>Lucro</w:t>
      </w:r>
      <w:r>
        <w:rPr>
          <w:rFonts w:ascii="Arial" w:hAnsi="Arial"/>
          <w:b/>
          <w:spacing w:val="-5"/>
        </w:rPr>
        <w:t xml:space="preserve"> </w:t>
      </w:r>
      <w:r>
        <w:rPr>
          <w:rFonts w:ascii="Arial" w:hAnsi="Arial"/>
          <w:b/>
          <w:spacing w:val="-2"/>
        </w:rPr>
        <w:t>Líquido</w:t>
      </w:r>
    </w:p>
    <w:p w14:paraId="734AE5A0" w14:textId="77777777" w:rsidR="002C6574" w:rsidRDefault="00000000">
      <w:pPr>
        <w:pStyle w:val="Corpodetexto"/>
        <w:spacing w:before="249" w:line="237" w:lineRule="auto"/>
        <w:ind w:left="143" w:right="703"/>
        <w:jc w:val="both"/>
      </w:pPr>
      <w:r>
        <w:t>O Imposto de Renda e a Contribuição Social do exercício corrente são calculados com base nas alíquotas</w:t>
      </w:r>
      <w:r>
        <w:rPr>
          <w:spacing w:val="19"/>
        </w:rPr>
        <w:t xml:space="preserve"> </w:t>
      </w:r>
      <w:r>
        <w:t>de 15%,</w:t>
      </w:r>
      <w:r>
        <w:rPr>
          <w:spacing w:val="20"/>
        </w:rPr>
        <w:t xml:space="preserve"> </w:t>
      </w:r>
      <w:r>
        <w:t>acrescida de 10% sobre o lucro tributável</w:t>
      </w:r>
      <w:r>
        <w:rPr>
          <w:spacing w:val="19"/>
        </w:rPr>
        <w:t xml:space="preserve"> </w:t>
      </w:r>
      <w:r>
        <w:t>que exceder a</w:t>
      </w:r>
      <w:r>
        <w:rPr>
          <w:spacing w:val="19"/>
        </w:rPr>
        <w:t xml:space="preserve"> </w:t>
      </w:r>
      <w:r>
        <w:t>R$</w:t>
      </w:r>
      <w:r>
        <w:rPr>
          <w:spacing w:val="19"/>
        </w:rPr>
        <w:t xml:space="preserve"> </w:t>
      </w:r>
      <w:r>
        <w:t>240 para o Imposto de Renda e de 9% sobre o lucro tributável para a Contribuição Social, e consideram a compensação de prejuízos fiscais e base negativa de Contribuição Social limitada a 30% do lucro real. A opção de tributação da Companhia é o lucro real anual com antecipações mensais.</w:t>
      </w:r>
    </w:p>
    <w:p w14:paraId="1B582B41" w14:textId="77777777" w:rsidR="002C6574" w:rsidRDefault="00000000">
      <w:pPr>
        <w:numPr>
          <w:ilvl w:val="2"/>
          <w:numId w:val="41"/>
        </w:numPr>
        <w:tabs>
          <w:tab w:val="left" w:pos="847"/>
        </w:tabs>
        <w:spacing w:before="195"/>
        <w:ind w:left="847" w:hanging="704"/>
        <w:rPr>
          <w:rFonts w:ascii="Arial" w:hAnsi="Arial"/>
          <w:b/>
        </w:rPr>
      </w:pPr>
      <w:r>
        <w:rPr>
          <w:rFonts w:ascii="Arial" w:hAnsi="Arial"/>
          <w:b/>
        </w:rPr>
        <w:t>Conciliação</w:t>
      </w:r>
      <w:r>
        <w:rPr>
          <w:rFonts w:ascii="Arial" w:hAnsi="Arial"/>
          <w:b/>
          <w:spacing w:val="-8"/>
        </w:rPr>
        <w:t xml:space="preserve"> </w:t>
      </w:r>
      <w:r>
        <w:rPr>
          <w:rFonts w:ascii="Arial" w:hAnsi="Arial"/>
          <w:b/>
        </w:rPr>
        <w:t>do</w:t>
      </w:r>
      <w:r>
        <w:rPr>
          <w:rFonts w:ascii="Arial" w:hAnsi="Arial"/>
          <w:b/>
          <w:spacing w:val="-5"/>
        </w:rPr>
        <w:t xml:space="preserve"> </w:t>
      </w:r>
      <w:r>
        <w:rPr>
          <w:rFonts w:ascii="Arial" w:hAnsi="Arial"/>
          <w:b/>
        </w:rPr>
        <w:t>Imposto</w:t>
      </w:r>
      <w:r>
        <w:rPr>
          <w:rFonts w:ascii="Arial" w:hAnsi="Arial"/>
          <w:b/>
          <w:spacing w:val="-5"/>
        </w:rPr>
        <w:t xml:space="preserve"> </w:t>
      </w:r>
      <w:r>
        <w:rPr>
          <w:rFonts w:ascii="Arial" w:hAnsi="Arial"/>
          <w:b/>
        </w:rPr>
        <w:t>de</w:t>
      </w:r>
      <w:r>
        <w:rPr>
          <w:rFonts w:ascii="Arial" w:hAnsi="Arial"/>
          <w:b/>
          <w:spacing w:val="-4"/>
        </w:rPr>
        <w:t xml:space="preserve"> </w:t>
      </w:r>
      <w:r>
        <w:rPr>
          <w:rFonts w:ascii="Arial" w:hAnsi="Arial"/>
          <w:b/>
        </w:rPr>
        <w:t>Renda</w:t>
      </w:r>
      <w:r>
        <w:rPr>
          <w:rFonts w:ascii="Arial" w:hAnsi="Arial"/>
          <w:b/>
          <w:spacing w:val="-1"/>
        </w:rPr>
        <w:t xml:space="preserve"> </w:t>
      </w:r>
      <w:r>
        <w:rPr>
          <w:rFonts w:ascii="Arial" w:hAnsi="Arial"/>
          <w:b/>
        </w:rPr>
        <w:t>e</w:t>
      </w:r>
      <w:r>
        <w:rPr>
          <w:rFonts w:ascii="Arial" w:hAnsi="Arial"/>
          <w:b/>
          <w:spacing w:val="-6"/>
        </w:rPr>
        <w:t xml:space="preserve"> </w:t>
      </w:r>
      <w:r>
        <w:rPr>
          <w:rFonts w:ascii="Arial" w:hAnsi="Arial"/>
          <w:b/>
        </w:rPr>
        <w:t>Contribuição</w:t>
      </w:r>
      <w:r>
        <w:rPr>
          <w:rFonts w:ascii="Arial" w:hAnsi="Arial"/>
          <w:b/>
          <w:spacing w:val="-3"/>
        </w:rPr>
        <w:t xml:space="preserve"> </w:t>
      </w:r>
      <w:r>
        <w:rPr>
          <w:rFonts w:ascii="Arial" w:hAnsi="Arial"/>
          <w:b/>
        </w:rPr>
        <w:t>Social sobre</w:t>
      </w:r>
      <w:r>
        <w:rPr>
          <w:rFonts w:ascii="Arial" w:hAnsi="Arial"/>
          <w:b/>
          <w:spacing w:val="-3"/>
        </w:rPr>
        <w:t xml:space="preserve"> </w:t>
      </w:r>
      <w:r>
        <w:rPr>
          <w:rFonts w:ascii="Arial" w:hAnsi="Arial"/>
          <w:b/>
        </w:rPr>
        <w:t>o</w:t>
      </w:r>
      <w:r>
        <w:rPr>
          <w:rFonts w:ascii="Arial" w:hAnsi="Arial"/>
          <w:b/>
          <w:spacing w:val="-2"/>
        </w:rPr>
        <w:t xml:space="preserve"> </w:t>
      </w:r>
      <w:r>
        <w:rPr>
          <w:rFonts w:ascii="Arial" w:hAnsi="Arial"/>
          <w:b/>
        </w:rPr>
        <w:t>Lucro</w:t>
      </w:r>
      <w:r>
        <w:rPr>
          <w:rFonts w:ascii="Arial" w:hAnsi="Arial"/>
          <w:b/>
          <w:spacing w:val="-2"/>
        </w:rPr>
        <w:t xml:space="preserve"> Líquido</w:t>
      </w:r>
    </w:p>
    <w:p w14:paraId="20802778" w14:textId="77777777" w:rsidR="002C6574" w:rsidRDefault="002C6574">
      <w:pPr>
        <w:pStyle w:val="Corpodetexto"/>
        <w:spacing w:before="98"/>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0"/>
        <w:gridCol w:w="1440"/>
      </w:tblGrid>
      <w:tr w:rsidR="002C6574" w14:paraId="61364363" w14:textId="77777777">
        <w:trPr>
          <w:trHeight w:val="232"/>
        </w:trPr>
        <w:tc>
          <w:tcPr>
            <w:tcW w:w="8330" w:type="dxa"/>
            <w:shd w:val="clear" w:color="auto" w:fill="D8D8D8"/>
          </w:tcPr>
          <w:p w14:paraId="6F76EBAD" w14:textId="77777777" w:rsidR="002C6574" w:rsidRDefault="00000000">
            <w:pPr>
              <w:pStyle w:val="TableParagraph"/>
              <w:spacing w:before="25" w:line="187" w:lineRule="exact"/>
              <w:ind w:left="69"/>
              <w:jc w:val="left"/>
              <w:rPr>
                <w:rFonts w:ascii="Arial" w:hAnsi="Arial"/>
                <w:b/>
                <w:sz w:val="18"/>
              </w:rPr>
            </w:pPr>
            <w:r>
              <w:rPr>
                <w:rFonts w:ascii="Arial" w:hAnsi="Arial"/>
                <w:b/>
                <w:spacing w:val="-2"/>
                <w:sz w:val="18"/>
              </w:rPr>
              <w:t>Conciliação:</w:t>
            </w:r>
          </w:p>
        </w:tc>
        <w:tc>
          <w:tcPr>
            <w:tcW w:w="1440" w:type="dxa"/>
          </w:tcPr>
          <w:p w14:paraId="403C37D2" w14:textId="77777777" w:rsidR="002C6574" w:rsidRDefault="00000000">
            <w:pPr>
              <w:pStyle w:val="TableParagraph"/>
              <w:spacing w:before="25" w:line="187" w:lineRule="exact"/>
              <w:ind w:right="56"/>
              <w:rPr>
                <w:rFonts w:ascii="Arial"/>
                <w:b/>
                <w:sz w:val="18"/>
              </w:rPr>
            </w:pPr>
            <w:r>
              <w:rPr>
                <w:rFonts w:ascii="Arial"/>
                <w:b/>
                <w:spacing w:val="-2"/>
                <w:sz w:val="18"/>
              </w:rPr>
              <w:t>31/12/2025</w:t>
            </w:r>
          </w:p>
        </w:tc>
      </w:tr>
      <w:tr w:rsidR="002C6574" w14:paraId="19F0CAF6" w14:textId="77777777">
        <w:trPr>
          <w:trHeight w:val="232"/>
        </w:trPr>
        <w:tc>
          <w:tcPr>
            <w:tcW w:w="8330" w:type="dxa"/>
          </w:tcPr>
          <w:p w14:paraId="79C40D78" w14:textId="77777777" w:rsidR="002C6574" w:rsidRDefault="00000000">
            <w:pPr>
              <w:pStyle w:val="TableParagraph"/>
              <w:spacing w:before="25" w:line="187" w:lineRule="exact"/>
              <w:ind w:left="69"/>
              <w:jc w:val="left"/>
              <w:rPr>
                <w:rFonts w:ascii="Arial" w:hAnsi="Arial"/>
                <w:b/>
                <w:sz w:val="18"/>
              </w:rPr>
            </w:pPr>
            <w:r>
              <w:rPr>
                <w:rFonts w:ascii="Arial" w:hAnsi="Arial"/>
                <w:b/>
                <w:sz w:val="18"/>
              </w:rPr>
              <w:t>Resultado</w:t>
            </w:r>
            <w:r>
              <w:rPr>
                <w:rFonts w:ascii="Arial" w:hAnsi="Arial"/>
                <w:b/>
                <w:spacing w:val="-2"/>
                <w:sz w:val="18"/>
              </w:rPr>
              <w:t xml:space="preserve"> </w:t>
            </w:r>
            <w:r>
              <w:rPr>
                <w:rFonts w:ascii="Arial" w:hAnsi="Arial"/>
                <w:b/>
                <w:sz w:val="18"/>
              </w:rPr>
              <w:t>contábil antes</w:t>
            </w:r>
            <w:r>
              <w:rPr>
                <w:rFonts w:ascii="Arial" w:hAnsi="Arial"/>
                <w:b/>
                <w:spacing w:val="-2"/>
                <w:sz w:val="18"/>
              </w:rPr>
              <w:t xml:space="preserve"> </w:t>
            </w:r>
            <w:r>
              <w:rPr>
                <w:rFonts w:ascii="Arial" w:hAnsi="Arial"/>
                <w:b/>
                <w:sz w:val="18"/>
              </w:rPr>
              <w:t>do</w:t>
            </w:r>
            <w:r>
              <w:rPr>
                <w:rFonts w:ascii="Arial" w:hAnsi="Arial"/>
                <w:b/>
                <w:spacing w:val="-2"/>
                <w:sz w:val="18"/>
              </w:rPr>
              <w:t xml:space="preserve"> </w:t>
            </w:r>
            <w:r>
              <w:rPr>
                <w:rFonts w:ascii="Arial" w:hAnsi="Arial"/>
                <w:b/>
                <w:sz w:val="18"/>
              </w:rPr>
              <w:t>IRPJ</w:t>
            </w:r>
            <w:r>
              <w:rPr>
                <w:rFonts w:ascii="Arial" w:hAnsi="Arial"/>
                <w:b/>
                <w:spacing w:val="2"/>
                <w:sz w:val="18"/>
              </w:rPr>
              <w:t xml:space="preserve"> </w:t>
            </w:r>
            <w:r>
              <w:rPr>
                <w:rFonts w:ascii="Arial" w:hAnsi="Arial"/>
                <w:b/>
                <w:sz w:val="18"/>
              </w:rPr>
              <w:t xml:space="preserve">e da </w:t>
            </w:r>
            <w:r>
              <w:rPr>
                <w:rFonts w:ascii="Arial" w:hAnsi="Arial"/>
                <w:b/>
                <w:spacing w:val="-4"/>
                <w:sz w:val="18"/>
              </w:rPr>
              <w:t>CSLL</w:t>
            </w:r>
          </w:p>
        </w:tc>
        <w:tc>
          <w:tcPr>
            <w:tcW w:w="1440" w:type="dxa"/>
          </w:tcPr>
          <w:p w14:paraId="7145B2FF" w14:textId="77777777" w:rsidR="002C6574" w:rsidRDefault="00000000">
            <w:pPr>
              <w:pStyle w:val="TableParagraph"/>
              <w:spacing w:before="25" w:line="187" w:lineRule="exact"/>
              <w:ind w:right="59"/>
              <w:rPr>
                <w:rFonts w:ascii="Arial"/>
                <w:b/>
                <w:sz w:val="18"/>
              </w:rPr>
            </w:pPr>
            <w:r>
              <w:rPr>
                <w:rFonts w:ascii="Arial"/>
                <w:b/>
                <w:spacing w:val="-2"/>
                <w:sz w:val="18"/>
              </w:rPr>
              <w:t>182.436</w:t>
            </w:r>
          </w:p>
        </w:tc>
      </w:tr>
      <w:tr w:rsidR="002C6574" w14:paraId="17F9867C" w14:textId="77777777">
        <w:trPr>
          <w:trHeight w:val="232"/>
        </w:trPr>
        <w:tc>
          <w:tcPr>
            <w:tcW w:w="8330" w:type="dxa"/>
          </w:tcPr>
          <w:p w14:paraId="45A70F9E" w14:textId="77777777" w:rsidR="002C6574" w:rsidRDefault="00000000">
            <w:pPr>
              <w:pStyle w:val="TableParagraph"/>
              <w:spacing w:before="23" w:line="189" w:lineRule="exact"/>
              <w:ind w:left="69"/>
              <w:jc w:val="left"/>
              <w:rPr>
                <w:rFonts w:ascii="Arial" w:hAnsi="Arial"/>
                <w:b/>
                <w:sz w:val="18"/>
              </w:rPr>
            </w:pPr>
            <w:r>
              <w:rPr>
                <w:rFonts w:ascii="Arial" w:hAnsi="Arial"/>
                <w:b/>
                <w:sz w:val="18"/>
              </w:rPr>
              <w:t xml:space="preserve">Alíquota Normal </w:t>
            </w:r>
            <w:r>
              <w:rPr>
                <w:rFonts w:ascii="Arial" w:hAnsi="Arial"/>
                <w:b/>
                <w:spacing w:val="-4"/>
                <w:sz w:val="18"/>
              </w:rPr>
              <w:t>(34%)</w:t>
            </w:r>
          </w:p>
        </w:tc>
        <w:tc>
          <w:tcPr>
            <w:tcW w:w="1440" w:type="dxa"/>
          </w:tcPr>
          <w:p w14:paraId="350EE87B" w14:textId="77777777" w:rsidR="002C6574" w:rsidRDefault="00000000">
            <w:pPr>
              <w:pStyle w:val="TableParagraph"/>
              <w:spacing w:before="23" w:line="189" w:lineRule="exact"/>
              <w:ind w:right="57"/>
              <w:rPr>
                <w:rFonts w:ascii="Arial"/>
                <w:b/>
                <w:sz w:val="18"/>
              </w:rPr>
            </w:pPr>
            <w:r>
              <w:rPr>
                <w:rFonts w:ascii="Arial"/>
                <w:b/>
                <w:spacing w:val="-5"/>
                <w:sz w:val="18"/>
              </w:rPr>
              <w:t>34%</w:t>
            </w:r>
          </w:p>
        </w:tc>
      </w:tr>
      <w:tr w:rsidR="002C6574" w14:paraId="7375C30B" w14:textId="77777777">
        <w:trPr>
          <w:trHeight w:val="230"/>
        </w:trPr>
        <w:tc>
          <w:tcPr>
            <w:tcW w:w="8330" w:type="dxa"/>
          </w:tcPr>
          <w:p w14:paraId="5AA907AE" w14:textId="77777777" w:rsidR="002C6574" w:rsidRDefault="00000000">
            <w:pPr>
              <w:pStyle w:val="TableParagraph"/>
              <w:spacing w:before="23" w:line="187" w:lineRule="exact"/>
              <w:ind w:left="69"/>
              <w:jc w:val="left"/>
              <w:rPr>
                <w:rFonts w:ascii="Arial" w:hAnsi="Arial"/>
                <w:b/>
                <w:sz w:val="18"/>
              </w:rPr>
            </w:pPr>
            <w:r>
              <w:rPr>
                <w:rFonts w:ascii="Arial" w:hAnsi="Arial"/>
                <w:b/>
                <w:sz w:val="18"/>
              </w:rPr>
              <w:t>Despesa</w:t>
            </w:r>
            <w:r>
              <w:rPr>
                <w:rFonts w:ascii="Arial" w:hAnsi="Arial"/>
                <w:b/>
                <w:spacing w:val="-3"/>
                <w:sz w:val="18"/>
              </w:rPr>
              <w:t xml:space="preserve"> </w:t>
            </w:r>
            <w:r>
              <w:rPr>
                <w:rFonts w:ascii="Arial" w:hAnsi="Arial"/>
                <w:b/>
                <w:sz w:val="18"/>
              </w:rPr>
              <w:t>de</w:t>
            </w:r>
            <w:r>
              <w:rPr>
                <w:rFonts w:ascii="Arial" w:hAnsi="Arial"/>
                <w:b/>
                <w:spacing w:val="-1"/>
                <w:sz w:val="18"/>
              </w:rPr>
              <w:t xml:space="preserve"> </w:t>
            </w:r>
            <w:r>
              <w:rPr>
                <w:rFonts w:ascii="Arial" w:hAnsi="Arial"/>
                <w:b/>
                <w:sz w:val="18"/>
              </w:rPr>
              <w:t>imposto</w:t>
            </w:r>
            <w:r>
              <w:rPr>
                <w:rFonts w:ascii="Arial" w:hAnsi="Arial"/>
                <w:b/>
                <w:spacing w:val="-2"/>
                <w:sz w:val="18"/>
              </w:rPr>
              <w:t xml:space="preserve"> </w:t>
            </w:r>
            <w:r>
              <w:rPr>
                <w:rFonts w:ascii="Arial" w:hAnsi="Arial"/>
                <w:b/>
                <w:sz w:val="18"/>
              </w:rPr>
              <w:t>de</w:t>
            </w:r>
            <w:r>
              <w:rPr>
                <w:rFonts w:ascii="Arial" w:hAnsi="Arial"/>
                <w:b/>
                <w:spacing w:val="-1"/>
                <w:sz w:val="18"/>
              </w:rPr>
              <w:t xml:space="preserve"> </w:t>
            </w:r>
            <w:r>
              <w:rPr>
                <w:rFonts w:ascii="Arial" w:hAnsi="Arial"/>
                <w:b/>
                <w:sz w:val="18"/>
              </w:rPr>
              <w:t>renda e</w:t>
            </w:r>
            <w:r>
              <w:rPr>
                <w:rFonts w:ascii="Arial" w:hAnsi="Arial"/>
                <w:b/>
                <w:spacing w:val="1"/>
                <w:sz w:val="18"/>
              </w:rPr>
              <w:t xml:space="preserve"> </w:t>
            </w:r>
            <w:r>
              <w:rPr>
                <w:rFonts w:ascii="Arial" w:hAnsi="Arial"/>
                <w:b/>
                <w:sz w:val="18"/>
              </w:rPr>
              <w:t>contribuição social</w:t>
            </w:r>
            <w:r>
              <w:rPr>
                <w:rFonts w:ascii="Arial" w:hAnsi="Arial"/>
                <w:b/>
                <w:spacing w:val="-2"/>
                <w:sz w:val="18"/>
              </w:rPr>
              <w:t xml:space="preserve"> </w:t>
            </w:r>
            <w:r>
              <w:rPr>
                <w:rFonts w:ascii="Arial" w:hAnsi="Arial"/>
                <w:b/>
                <w:sz w:val="18"/>
              </w:rPr>
              <w:t>às</w:t>
            </w:r>
            <w:r>
              <w:rPr>
                <w:rFonts w:ascii="Arial" w:hAnsi="Arial"/>
                <w:b/>
                <w:spacing w:val="-3"/>
                <w:sz w:val="18"/>
              </w:rPr>
              <w:t xml:space="preserve"> </w:t>
            </w:r>
            <w:r>
              <w:rPr>
                <w:rFonts w:ascii="Arial" w:hAnsi="Arial"/>
                <w:b/>
                <w:sz w:val="18"/>
              </w:rPr>
              <w:t xml:space="preserve">alíquotas </w:t>
            </w:r>
            <w:r>
              <w:rPr>
                <w:rFonts w:ascii="Arial" w:hAnsi="Arial"/>
                <w:b/>
                <w:spacing w:val="-2"/>
                <w:sz w:val="18"/>
              </w:rPr>
              <w:t>nominais</w:t>
            </w:r>
          </w:p>
        </w:tc>
        <w:tc>
          <w:tcPr>
            <w:tcW w:w="1440" w:type="dxa"/>
          </w:tcPr>
          <w:p w14:paraId="219886BD" w14:textId="77777777" w:rsidR="002C6574" w:rsidRDefault="00000000">
            <w:pPr>
              <w:pStyle w:val="TableParagraph"/>
              <w:spacing w:before="23" w:line="187" w:lineRule="exact"/>
              <w:ind w:right="59"/>
              <w:rPr>
                <w:rFonts w:ascii="Arial"/>
                <w:b/>
                <w:sz w:val="18"/>
              </w:rPr>
            </w:pPr>
            <w:r>
              <w:rPr>
                <w:rFonts w:ascii="Arial"/>
                <w:b/>
                <w:spacing w:val="-2"/>
                <w:sz w:val="18"/>
              </w:rPr>
              <w:t>62.028</w:t>
            </w:r>
          </w:p>
        </w:tc>
      </w:tr>
      <w:tr w:rsidR="002C6574" w14:paraId="39635081" w14:textId="77777777">
        <w:trPr>
          <w:trHeight w:val="232"/>
        </w:trPr>
        <w:tc>
          <w:tcPr>
            <w:tcW w:w="8330" w:type="dxa"/>
          </w:tcPr>
          <w:p w14:paraId="07C87AA8" w14:textId="77777777" w:rsidR="002C6574" w:rsidRDefault="00000000">
            <w:pPr>
              <w:pStyle w:val="TableParagraph"/>
              <w:spacing w:before="25" w:line="187" w:lineRule="exact"/>
              <w:ind w:left="69"/>
              <w:jc w:val="left"/>
              <w:rPr>
                <w:rFonts w:ascii="Arial" w:hAnsi="Arial"/>
                <w:b/>
                <w:sz w:val="18"/>
              </w:rPr>
            </w:pPr>
            <w:r>
              <w:rPr>
                <w:rFonts w:ascii="Arial" w:hAnsi="Arial"/>
                <w:b/>
                <w:sz w:val="18"/>
              </w:rPr>
              <w:t>Adições</w:t>
            </w:r>
            <w:r>
              <w:rPr>
                <w:rFonts w:ascii="Arial" w:hAnsi="Arial"/>
                <w:b/>
                <w:spacing w:val="-2"/>
                <w:sz w:val="18"/>
              </w:rPr>
              <w:t xml:space="preserve"> </w:t>
            </w:r>
            <w:r>
              <w:rPr>
                <w:rFonts w:ascii="Arial" w:hAnsi="Arial"/>
                <w:b/>
                <w:sz w:val="18"/>
              </w:rPr>
              <w:t>/</w:t>
            </w:r>
            <w:r>
              <w:rPr>
                <w:rFonts w:ascii="Arial" w:hAnsi="Arial"/>
                <w:b/>
                <w:spacing w:val="3"/>
                <w:sz w:val="18"/>
              </w:rPr>
              <w:t xml:space="preserve"> </w:t>
            </w:r>
            <w:r>
              <w:rPr>
                <w:rFonts w:ascii="Arial" w:hAnsi="Arial"/>
                <w:b/>
                <w:spacing w:val="-2"/>
                <w:sz w:val="18"/>
              </w:rPr>
              <w:t>Exclusões</w:t>
            </w:r>
          </w:p>
        </w:tc>
        <w:tc>
          <w:tcPr>
            <w:tcW w:w="1440" w:type="dxa"/>
          </w:tcPr>
          <w:p w14:paraId="311623AC" w14:textId="77777777" w:rsidR="002C6574" w:rsidRDefault="00000000">
            <w:pPr>
              <w:pStyle w:val="TableParagraph"/>
              <w:spacing w:before="25" w:line="187" w:lineRule="exact"/>
              <w:ind w:right="54"/>
              <w:rPr>
                <w:rFonts w:ascii="Arial"/>
                <w:b/>
                <w:sz w:val="18"/>
              </w:rPr>
            </w:pPr>
            <w:r>
              <w:rPr>
                <w:rFonts w:ascii="Arial"/>
                <w:b/>
                <w:spacing w:val="-2"/>
                <w:sz w:val="18"/>
              </w:rPr>
              <w:t>(1.038)</w:t>
            </w:r>
          </w:p>
        </w:tc>
      </w:tr>
      <w:tr w:rsidR="002C6574" w14:paraId="429F45C5" w14:textId="77777777">
        <w:trPr>
          <w:trHeight w:val="232"/>
        </w:trPr>
        <w:tc>
          <w:tcPr>
            <w:tcW w:w="8330" w:type="dxa"/>
          </w:tcPr>
          <w:p w14:paraId="32144898" w14:textId="77777777" w:rsidR="002C6574" w:rsidRDefault="00000000">
            <w:pPr>
              <w:pStyle w:val="TableParagraph"/>
              <w:spacing w:before="25" w:line="187" w:lineRule="exact"/>
              <w:ind w:left="69"/>
              <w:jc w:val="left"/>
              <w:rPr>
                <w:rFonts w:ascii="Arial" w:hAnsi="Arial"/>
                <w:b/>
                <w:sz w:val="18"/>
              </w:rPr>
            </w:pPr>
            <w:r>
              <w:rPr>
                <w:rFonts w:ascii="Arial" w:hAnsi="Arial"/>
                <w:b/>
                <w:spacing w:val="-2"/>
                <w:sz w:val="18"/>
              </w:rPr>
              <w:t>Adições:</w:t>
            </w:r>
          </w:p>
        </w:tc>
        <w:tc>
          <w:tcPr>
            <w:tcW w:w="1440" w:type="dxa"/>
          </w:tcPr>
          <w:p w14:paraId="4F31BFFE" w14:textId="77777777" w:rsidR="002C6574" w:rsidRDefault="00000000">
            <w:pPr>
              <w:pStyle w:val="TableParagraph"/>
              <w:spacing w:before="25" w:line="187" w:lineRule="exact"/>
              <w:ind w:right="59"/>
              <w:rPr>
                <w:rFonts w:ascii="Arial"/>
                <w:b/>
                <w:sz w:val="18"/>
              </w:rPr>
            </w:pPr>
            <w:r>
              <w:rPr>
                <w:rFonts w:ascii="Arial"/>
                <w:b/>
                <w:spacing w:val="-2"/>
                <w:sz w:val="18"/>
              </w:rPr>
              <w:t>8.625</w:t>
            </w:r>
          </w:p>
        </w:tc>
      </w:tr>
      <w:tr w:rsidR="002C6574" w14:paraId="3F38B15F" w14:textId="77777777">
        <w:trPr>
          <w:trHeight w:val="232"/>
        </w:trPr>
        <w:tc>
          <w:tcPr>
            <w:tcW w:w="8330" w:type="dxa"/>
          </w:tcPr>
          <w:p w14:paraId="73446FE1" w14:textId="77777777" w:rsidR="002C6574" w:rsidRDefault="00000000">
            <w:pPr>
              <w:pStyle w:val="TableParagraph"/>
              <w:spacing w:line="212" w:lineRule="exact"/>
              <w:ind w:left="219"/>
              <w:jc w:val="left"/>
              <w:rPr>
                <w:sz w:val="18"/>
              </w:rPr>
            </w:pPr>
            <w:r>
              <w:rPr>
                <w:sz w:val="18"/>
              </w:rPr>
              <w:t>Depreciação</w:t>
            </w:r>
            <w:r>
              <w:rPr>
                <w:spacing w:val="-9"/>
                <w:sz w:val="18"/>
              </w:rPr>
              <w:t xml:space="preserve"> </w:t>
            </w:r>
            <w:r>
              <w:rPr>
                <w:sz w:val="18"/>
              </w:rPr>
              <w:t>-</w:t>
            </w:r>
            <w:r>
              <w:rPr>
                <w:spacing w:val="-7"/>
                <w:sz w:val="18"/>
              </w:rPr>
              <w:t xml:space="preserve"> </w:t>
            </w:r>
            <w:r>
              <w:rPr>
                <w:sz w:val="18"/>
              </w:rPr>
              <w:t>Arrendamento</w:t>
            </w:r>
            <w:r>
              <w:rPr>
                <w:spacing w:val="-7"/>
                <w:sz w:val="18"/>
              </w:rPr>
              <w:t xml:space="preserve"> </w:t>
            </w:r>
            <w:r>
              <w:rPr>
                <w:sz w:val="18"/>
              </w:rPr>
              <w:t>Mercantil</w:t>
            </w:r>
            <w:r>
              <w:rPr>
                <w:spacing w:val="-6"/>
                <w:sz w:val="18"/>
              </w:rPr>
              <w:t xml:space="preserve"> </w:t>
            </w:r>
            <w:r>
              <w:rPr>
                <w:sz w:val="18"/>
              </w:rPr>
              <w:t>(Direito</w:t>
            </w:r>
            <w:r>
              <w:rPr>
                <w:spacing w:val="-8"/>
                <w:sz w:val="18"/>
              </w:rPr>
              <w:t xml:space="preserve"> </w:t>
            </w:r>
            <w:r>
              <w:rPr>
                <w:sz w:val="18"/>
              </w:rPr>
              <w:t>de</w:t>
            </w:r>
            <w:r>
              <w:rPr>
                <w:spacing w:val="-9"/>
                <w:sz w:val="18"/>
              </w:rPr>
              <w:t xml:space="preserve"> </w:t>
            </w:r>
            <w:r>
              <w:rPr>
                <w:spacing w:val="-4"/>
                <w:sz w:val="18"/>
              </w:rPr>
              <w:t>Uso)</w:t>
            </w:r>
          </w:p>
        </w:tc>
        <w:tc>
          <w:tcPr>
            <w:tcW w:w="1440" w:type="dxa"/>
          </w:tcPr>
          <w:p w14:paraId="2384F85C" w14:textId="77777777" w:rsidR="002C6574" w:rsidRDefault="00000000">
            <w:pPr>
              <w:pStyle w:val="TableParagraph"/>
              <w:spacing w:line="212" w:lineRule="exact"/>
              <w:ind w:right="58"/>
              <w:rPr>
                <w:sz w:val="18"/>
              </w:rPr>
            </w:pPr>
            <w:r>
              <w:rPr>
                <w:spacing w:val="-2"/>
                <w:w w:val="110"/>
                <w:sz w:val="18"/>
              </w:rPr>
              <w:t>2.033</w:t>
            </w:r>
          </w:p>
        </w:tc>
      </w:tr>
      <w:tr w:rsidR="002C6574" w14:paraId="2D74E138" w14:textId="77777777">
        <w:trPr>
          <w:trHeight w:val="232"/>
        </w:trPr>
        <w:tc>
          <w:tcPr>
            <w:tcW w:w="8330" w:type="dxa"/>
          </w:tcPr>
          <w:p w14:paraId="7CF95C14" w14:textId="77777777" w:rsidR="002C6574" w:rsidRDefault="00000000">
            <w:pPr>
              <w:pStyle w:val="TableParagraph"/>
              <w:spacing w:line="212" w:lineRule="exact"/>
              <w:ind w:left="219"/>
              <w:jc w:val="left"/>
              <w:rPr>
                <w:sz w:val="18"/>
              </w:rPr>
            </w:pPr>
            <w:r>
              <w:rPr>
                <w:sz w:val="18"/>
              </w:rPr>
              <w:t>Despesas</w:t>
            </w:r>
            <w:r>
              <w:rPr>
                <w:spacing w:val="12"/>
                <w:sz w:val="18"/>
              </w:rPr>
              <w:t xml:space="preserve"> </w:t>
            </w:r>
            <w:r>
              <w:rPr>
                <w:sz w:val="18"/>
              </w:rPr>
              <w:t>Financeiras</w:t>
            </w:r>
            <w:r>
              <w:rPr>
                <w:spacing w:val="11"/>
                <w:sz w:val="18"/>
              </w:rPr>
              <w:t xml:space="preserve"> </w:t>
            </w:r>
            <w:r>
              <w:rPr>
                <w:sz w:val="18"/>
              </w:rPr>
              <w:t>Arrend.</w:t>
            </w:r>
            <w:r>
              <w:rPr>
                <w:spacing w:val="12"/>
                <w:sz w:val="18"/>
              </w:rPr>
              <w:t xml:space="preserve"> </w:t>
            </w:r>
            <w:r>
              <w:rPr>
                <w:sz w:val="18"/>
              </w:rPr>
              <w:t>Mercantil</w:t>
            </w:r>
            <w:r>
              <w:rPr>
                <w:spacing w:val="11"/>
                <w:sz w:val="18"/>
              </w:rPr>
              <w:t xml:space="preserve"> </w:t>
            </w:r>
            <w:r>
              <w:rPr>
                <w:sz w:val="18"/>
              </w:rPr>
              <w:t>(Direito</w:t>
            </w:r>
            <w:r>
              <w:rPr>
                <w:spacing w:val="10"/>
                <w:sz w:val="18"/>
              </w:rPr>
              <w:t xml:space="preserve"> </w:t>
            </w:r>
            <w:r>
              <w:rPr>
                <w:sz w:val="18"/>
              </w:rPr>
              <w:t>de</w:t>
            </w:r>
            <w:r>
              <w:rPr>
                <w:spacing w:val="10"/>
                <w:sz w:val="18"/>
              </w:rPr>
              <w:t xml:space="preserve"> </w:t>
            </w:r>
            <w:r>
              <w:rPr>
                <w:spacing w:val="-4"/>
                <w:sz w:val="18"/>
              </w:rPr>
              <w:t>Uso)</w:t>
            </w:r>
          </w:p>
        </w:tc>
        <w:tc>
          <w:tcPr>
            <w:tcW w:w="1440" w:type="dxa"/>
          </w:tcPr>
          <w:p w14:paraId="054E71EA" w14:textId="77777777" w:rsidR="002C6574" w:rsidRDefault="00000000">
            <w:pPr>
              <w:pStyle w:val="TableParagraph"/>
              <w:spacing w:line="212" w:lineRule="exact"/>
              <w:ind w:right="56"/>
              <w:rPr>
                <w:sz w:val="18"/>
              </w:rPr>
            </w:pPr>
            <w:r>
              <w:rPr>
                <w:spacing w:val="-5"/>
                <w:w w:val="105"/>
                <w:sz w:val="18"/>
              </w:rPr>
              <w:t>295</w:t>
            </w:r>
          </w:p>
        </w:tc>
      </w:tr>
      <w:tr w:rsidR="002C6574" w14:paraId="2AEBFDAE" w14:textId="77777777">
        <w:trPr>
          <w:trHeight w:val="232"/>
        </w:trPr>
        <w:tc>
          <w:tcPr>
            <w:tcW w:w="8330" w:type="dxa"/>
          </w:tcPr>
          <w:p w14:paraId="77F0F88F" w14:textId="77777777" w:rsidR="002C6574" w:rsidRDefault="00000000">
            <w:pPr>
              <w:pStyle w:val="TableParagraph"/>
              <w:spacing w:line="212" w:lineRule="exact"/>
              <w:ind w:left="219"/>
              <w:jc w:val="left"/>
              <w:rPr>
                <w:sz w:val="18"/>
              </w:rPr>
            </w:pPr>
            <w:r>
              <w:rPr>
                <w:w w:val="105"/>
                <w:sz w:val="18"/>
              </w:rPr>
              <w:t>Provisão</w:t>
            </w:r>
            <w:r>
              <w:rPr>
                <w:spacing w:val="-4"/>
                <w:w w:val="105"/>
                <w:sz w:val="18"/>
              </w:rPr>
              <w:t xml:space="preserve"> </w:t>
            </w:r>
            <w:r>
              <w:rPr>
                <w:w w:val="105"/>
                <w:sz w:val="18"/>
              </w:rPr>
              <w:t>p/</w:t>
            </w:r>
            <w:r>
              <w:rPr>
                <w:spacing w:val="-5"/>
                <w:w w:val="105"/>
                <w:sz w:val="18"/>
              </w:rPr>
              <w:t xml:space="preserve"> </w:t>
            </w:r>
            <w:r>
              <w:rPr>
                <w:w w:val="105"/>
                <w:sz w:val="18"/>
              </w:rPr>
              <w:t>Riscos</w:t>
            </w:r>
            <w:r>
              <w:rPr>
                <w:spacing w:val="-6"/>
                <w:w w:val="105"/>
                <w:sz w:val="18"/>
              </w:rPr>
              <w:t xml:space="preserve"> </w:t>
            </w:r>
            <w:r>
              <w:rPr>
                <w:w w:val="105"/>
                <w:sz w:val="18"/>
              </w:rPr>
              <w:t>Trabalhistas,</w:t>
            </w:r>
            <w:r>
              <w:rPr>
                <w:spacing w:val="-5"/>
                <w:w w:val="105"/>
                <w:sz w:val="18"/>
              </w:rPr>
              <w:t xml:space="preserve"> </w:t>
            </w:r>
            <w:r>
              <w:rPr>
                <w:w w:val="105"/>
                <w:sz w:val="18"/>
              </w:rPr>
              <w:t>Cíveis</w:t>
            </w:r>
            <w:r>
              <w:rPr>
                <w:spacing w:val="-6"/>
                <w:w w:val="105"/>
                <w:sz w:val="18"/>
              </w:rPr>
              <w:t xml:space="preserve"> </w:t>
            </w:r>
            <w:r>
              <w:rPr>
                <w:w w:val="105"/>
                <w:sz w:val="18"/>
              </w:rPr>
              <w:t>e</w:t>
            </w:r>
            <w:r>
              <w:rPr>
                <w:spacing w:val="-6"/>
                <w:w w:val="105"/>
                <w:sz w:val="18"/>
              </w:rPr>
              <w:t xml:space="preserve"> </w:t>
            </w:r>
            <w:r>
              <w:rPr>
                <w:spacing w:val="-2"/>
                <w:w w:val="105"/>
                <w:sz w:val="18"/>
              </w:rPr>
              <w:t>Fiscais</w:t>
            </w:r>
          </w:p>
        </w:tc>
        <w:tc>
          <w:tcPr>
            <w:tcW w:w="1440" w:type="dxa"/>
          </w:tcPr>
          <w:p w14:paraId="727C7045" w14:textId="77777777" w:rsidR="002C6574" w:rsidRDefault="00000000">
            <w:pPr>
              <w:pStyle w:val="TableParagraph"/>
              <w:spacing w:line="212" w:lineRule="exact"/>
              <w:ind w:right="58"/>
              <w:rPr>
                <w:sz w:val="18"/>
              </w:rPr>
            </w:pPr>
            <w:r>
              <w:rPr>
                <w:spacing w:val="-2"/>
                <w:w w:val="110"/>
                <w:sz w:val="18"/>
              </w:rPr>
              <w:t>3.971</w:t>
            </w:r>
          </w:p>
        </w:tc>
      </w:tr>
      <w:tr w:rsidR="002C6574" w14:paraId="147497E3" w14:textId="77777777">
        <w:trPr>
          <w:trHeight w:val="230"/>
        </w:trPr>
        <w:tc>
          <w:tcPr>
            <w:tcW w:w="8330" w:type="dxa"/>
          </w:tcPr>
          <w:p w14:paraId="3A6FC45E" w14:textId="77777777" w:rsidR="002C6574" w:rsidRDefault="00000000">
            <w:pPr>
              <w:pStyle w:val="TableParagraph"/>
              <w:spacing w:line="210" w:lineRule="exact"/>
              <w:ind w:left="219"/>
              <w:jc w:val="left"/>
              <w:rPr>
                <w:sz w:val="18"/>
              </w:rPr>
            </w:pPr>
            <w:r>
              <w:rPr>
                <w:sz w:val="18"/>
              </w:rPr>
              <w:t>Provisão</w:t>
            </w:r>
            <w:r>
              <w:rPr>
                <w:spacing w:val="13"/>
                <w:sz w:val="18"/>
              </w:rPr>
              <w:t xml:space="preserve"> </w:t>
            </w:r>
            <w:r>
              <w:rPr>
                <w:sz w:val="18"/>
              </w:rPr>
              <w:t>Programa</w:t>
            </w:r>
            <w:r>
              <w:rPr>
                <w:spacing w:val="11"/>
                <w:sz w:val="18"/>
              </w:rPr>
              <w:t xml:space="preserve"> </w:t>
            </w:r>
            <w:r>
              <w:rPr>
                <w:sz w:val="18"/>
              </w:rPr>
              <w:t>de</w:t>
            </w:r>
            <w:r>
              <w:rPr>
                <w:spacing w:val="10"/>
                <w:sz w:val="18"/>
              </w:rPr>
              <w:t xml:space="preserve"> </w:t>
            </w:r>
            <w:r>
              <w:rPr>
                <w:sz w:val="18"/>
              </w:rPr>
              <w:t>Indenização</w:t>
            </w:r>
            <w:r>
              <w:rPr>
                <w:spacing w:val="10"/>
                <w:sz w:val="18"/>
              </w:rPr>
              <w:t xml:space="preserve"> </w:t>
            </w:r>
            <w:r>
              <w:rPr>
                <w:sz w:val="18"/>
              </w:rPr>
              <w:t>por</w:t>
            </w:r>
            <w:r>
              <w:rPr>
                <w:spacing w:val="11"/>
                <w:sz w:val="18"/>
              </w:rPr>
              <w:t xml:space="preserve"> </w:t>
            </w:r>
            <w:r>
              <w:rPr>
                <w:sz w:val="18"/>
              </w:rPr>
              <w:t>Serviços</w:t>
            </w:r>
            <w:r>
              <w:rPr>
                <w:spacing w:val="11"/>
                <w:sz w:val="18"/>
              </w:rPr>
              <w:t xml:space="preserve"> </w:t>
            </w:r>
            <w:r>
              <w:rPr>
                <w:spacing w:val="-2"/>
                <w:sz w:val="18"/>
              </w:rPr>
              <w:t>Prestados</w:t>
            </w:r>
          </w:p>
        </w:tc>
        <w:tc>
          <w:tcPr>
            <w:tcW w:w="1440" w:type="dxa"/>
          </w:tcPr>
          <w:p w14:paraId="6CCD20EA" w14:textId="77777777" w:rsidR="002C6574" w:rsidRDefault="00000000">
            <w:pPr>
              <w:pStyle w:val="TableParagraph"/>
              <w:spacing w:line="210" w:lineRule="exact"/>
              <w:ind w:right="59"/>
              <w:rPr>
                <w:sz w:val="18"/>
              </w:rPr>
            </w:pPr>
            <w:r>
              <w:rPr>
                <w:spacing w:val="-2"/>
                <w:w w:val="110"/>
                <w:sz w:val="18"/>
              </w:rPr>
              <w:t>1.119</w:t>
            </w:r>
          </w:p>
        </w:tc>
      </w:tr>
      <w:tr w:rsidR="002C6574" w14:paraId="11ED6703" w14:textId="77777777">
        <w:trPr>
          <w:trHeight w:val="232"/>
        </w:trPr>
        <w:tc>
          <w:tcPr>
            <w:tcW w:w="8330" w:type="dxa"/>
          </w:tcPr>
          <w:p w14:paraId="57F3A213" w14:textId="77777777" w:rsidR="002C6574" w:rsidRDefault="00000000">
            <w:pPr>
              <w:pStyle w:val="TableParagraph"/>
              <w:spacing w:line="212" w:lineRule="exact"/>
              <w:ind w:left="219"/>
              <w:jc w:val="left"/>
              <w:rPr>
                <w:sz w:val="18"/>
              </w:rPr>
            </w:pPr>
            <w:r>
              <w:rPr>
                <w:sz w:val="18"/>
              </w:rPr>
              <w:t>Perda</w:t>
            </w:r>
            <w:r>
              <w:rPr>
                <w:spacing w:val="4"/>
                <w:sz w:val="18"/>
              </w:rPr>
              <w:t xml:space="preserve"> </w:t>
            </w:r>
            <w:r>
              <w:rPr>
                <w:sz w:val="18"/>
              </w:rPr>
              <w:t>Estimada</w:t>
            </w:r>
            <w:r>
              <w:rPr>
                <w:spacing w:val="7"/>
                <w:sz w:val="18"/>
              </w:rPr>
              <w:t xml:space="preserve"> </w:t>
            </w:r>
            <w:r>
              <w:rPr>
                <w:sz w:val="18"/>
              </w:rPr>
              <w:t>c/</w:t>
            </w:r>
            <w:r>
              <w:rPr>
                <w:spacing w:val="4"/>
                <w:sz w:val="18"/>
              </w:rPr>
              <w:t xml:space="preserve"> </w:t>
            </w:r>
            <w:r>
              <w:rPr>
                <w:sz w:val="18"/>
              </w:rPr>
              <w:t>Crédito</w:t>
            </w:r>
            <w:r>
              <w:rPr>
                <w:spacing w:val="7"/>
                <w:sz w:val="18"/>
              </w:rPr>
              <w:t xml:space="preserve"> </w:t>
            </w:r>
            <w:r>
              <w:rPr>
                <w:sz w:val="18"/>
              </w:rPr>
              <w:t>de</w:t>
            </w:r>
            <w:r>
              <w:rPr>
                <w:spacing w:val="6"/>
                <w:sz w:val="18"/>
              </w:rPr>
              <w:t xml:space="preserve"> </w:t>
            </w:r>
            <w:r>
              <w:rPr>
                <w:sz w:val="18"/>
              </w:rPr>
              <w:t>Liquidação</w:t>
            </w:r>
            <w:r>
              <w:rPr>
                <w:spacing w:val="5"/>
                <w:sz w:val="18"/>
              </w:rPr>
              <w:t xml:space="preserve"> </w:t>
            </w:r>
            <w:r>
              <w:rPr>
                <w:spacing w:val="-2"/>
                <w:sz w:val="18"/>
              </w:rPr>
              <w:t>Duvidosa</w:t>
            </w:r>
          </w:p>
        </w:tc>
        <w:tc>
          <w:tcPr>
            <w:tcW w:w="1440" w:type="dxa"/>
          </w:tcPr>
          <w:p w14:paraId="389D9F19" w14:textId="77777777" w:rsidR="002C6574" w:rsidRDefault="00000000">
            <w:pPr>
              <w:pStyle w:val="TableParagraph"/>
              <w:spacing w:line="212" w:lineRule="exact"/>
              <w:ind w:right="58"/>
              <w:rPr>
                <w:sz w:val="18"/>
              </w:rPr>
            </w:pPr>
            <w:r>
              <w:rPr>
                <w:spacing w:val="-2"/>
                <w:w w:val="110"/>
                <w:sz w:val="18"/>
              </w:rPr>
              <w:t>1.149</w:t>
            </w:r>
          </w:p>
        </w:tc>
      </w:tr>
      <w:tr w:rsidR="002C6574" w14:paraId="5B42C538" w14:textId="77777777">
        <w:trPr>
          <w:trHeight w:val="232"/>
        </w:trPr>
        <w:tc>
          <w:tcPr>
            <w:tcW w:w="8330" w:type="dxa"/>
          </w:tcPr>
          <w:p w14:paraId="5B95AB44" w14:textId="77777777" w:rsidR="002C6574" w:rsidRDefault="00000000">
            <w:pPr>
              <w:pStyle w:val="TableParagraph"/>
              <w:spacing w:line="212" w:lineRule="exact"/>
              <w:ind w:left="219"/>
              <w:jc w:val="left"/>
              <w:rPr>
                <w:sz w:val="18"/>
              </w:rPr>
            </w:pPr>
            <w:r>
              <w:rPr>
                <w:sz w:val="18"/>
              </w:rPr>
              <w:t>Outras</w:t>
            </w:r>
            <w:r>
              <w:rPr>
                <w:spacing w:val="8"/>
                <w:sz w:val="18"/>
              </w:rPr>
              <w:t xml:space="preserve"> </w:t>
            </w:r>
            <w:r>
              <w:rPr>
                <w:spacing w:val="-2"/>
                <w:sz w:val="18"/>
              </w:rPr>
              <w:t>Adições</w:t>
            </w:r>
          </w:p>
        </w:tc>
        <w:tc>
          <w:tcPr>
            <w:tcW w:w="1440" w:type="dxa"/>
          </w:tcPr>
          <w:p w14:paraId="17D82CFE" w14:textId="77777777" w:rsidR="002C6574" w:rsidRDefault="00000000">
            <w:pPr>
              <w:pStyle w:val="TableParagraph"/>
              <w:spacing w:line="212" w:lineRule="exact"/>
              <w:ind w:right="57"/>
              <w:rPr>
                <w:sz w:val="18"/>
              </w:rPr>
            </w:pPr>
            <w:r>
              <w:rPr>
                <w:spacing w:val="-5"/>
                <w:w w:val="105"/>
                <w:sz w:val="18"/>
              </w:rPr>
              <w:t>58</w:t>
            </w:r>
          </w:p>
        </w:tc>
      </w:tr>
      <w:tr w:rsidR="002C6574" w14:paraId="404BD927" w14:textId="77777777">
        <w:trPr>
          <w:trHeight w:val="232"/>
        </w:trPr>
        <w:tc>
          <w:tcPr>
            <w:tcW w:w="8330" w:type="dxa"/>
          </w:tcPr>
          <w:p w14:paraId="2B94D0FC" w14:textId="77777777" w:rsidR="002C6574" w:rsidRDefault="00000000">
            <w:pPr>
              <w:pStyle w:val="TableParagraph"/>
              <w:spacing w:before="25" w:line="187" w:lineRule="exact"/>
              <w:ind w:left="69"/>
              <w:jc w:val="left"/>
              <w:rPr>
                <w:rFonts w:ascii="Arial" w:hAnsi="Arial"/>
                <w:b/>
                <w:sz w:val="18"/>
              </w:rPr>
            </w:pPr>
            <w:r>
              <w:rPr>
                <w:rFonts w:ascii="Arial" w:hAnsi="Arial"/>
                <w:b/>
                <w:spacing w:val="-2"/>
                <w:sz w:val="18"/>
              </w:rPr>
              <w:t>Exclusões:</w:t>
            </w:r>
          </w:p>
        </w:tc>
        <w:tc>
          <w:tcPr>
            <w:tcW w:w="1440" w:type="dxa"/>
          </w:tcPr>
          <w:p w14:paraId="07220CA5" w14:textId="77777777" w:rsidR="002C6574" w:rsidRDefault="00000000">
            <w:pPr>
              <w:pStyle w:val="TableParagraph"/>
              <w:spacing w:before="25" w:line="187" w:lineRule="exact"/>
              <w:ind w:right="54"/>
              <w:rPr>
                <w:rFonts w:ascii="Arial"/>
                <w:b/>
                <w:sz w:val="18"/>
              </w:rPr>
            </w:pPr>
            <w:r>
              <w:rPr>
                <w:rFonts w:ascii="Arial"/>
                <w:b/>
                <w:spacing w:val="-2"/>
                <w:sz w:val="18"/>
              </w:rPr>
              <w:t>(9.663)</w:t>
            </w:r>
          </w:p>
        </w:tc>
      </w:tr>
      <w:tr w:rsidR="002C6574" w14:paraId="08CE8D46" w14:textId="77777777">
        <w:trPr>
          <w:trHeight w:val="232"/>
        </w:trPr>
        <w:tc>
          <w:tcPr>
            <w:tcW w:w="8330" w:type="dxa"/>
          </w:tcPr>
          <w:p w14:paraId="38D68463" w14:textId="77777777" w:rsidR="002C6574" w:rsidRDefault="00000000">
            <w:pPr>
              <w:pStyle w:val="TableParagraph"/>
              <w:spacing w:line="212" w:lineRule="exact"/>
              <w:ind w:left="219"/>
              <w:jc w:val="left"/>
              <w:rPr>
                <w:sz w:val="18"/>
              </w:rPr>
            </w:pPr>
            <w:r>
              <w:rPr>
                <w:sz w:val="18"/>
              </w:rPr>
              <w:t>Resultado</w:t>
            </w:r>
            <w:r>
              <w:rPr>
                <w:spacing w:val="19"/>
                <w:sz w:val="18"/>
              </w:rPr>
              <w:t xml:space="preserve"> </w:t>
            </w:r>
            <w:r>
              <w:rPr>
                <w:sz w:val="18"/>
              </w:rPr>
              <w:t>de</w:t>
            </w:r>
            <w:r>
              <w:rPr>
                <w:spacing w:val="15"/>
                <w:sz w:val="18"/>
              </w:rPr>
              <w:t xml:space="preserve"> </w:t>
            </w:r>
            <w:r>
              <w:rPr>
                <w:sz w:val="18"/>
              </w:rPr>
              <w:t>Equivalência</w:t>
            </w:r>
            <w:r>
              <w:rPr>
                <w:spacing w:val="17"/>
                <w:sz w:val="18"/>
              </w:rPr>
              <w:t xml:space="preserve"> </w:t>
            </w:r>
            <w:r>
              <w:rPr>
                <w:spacing w:val="-2"/>
                <w:sz w:val="18"/>
              </w:rPr>
              <w:t>Patrimonial</w:t>
            </w:r>
          </w:p>
        </w:tc>
        <w:tc>
          <w:tcPr>
            <w:tcW w:w="1440" w:type="dxa"/>
          </w:tcPr>
          <w:p w14:paraId="18A18DED" w14:textId="77777777" w:rsidR="002C6574" w:rsidRDefault="00000000">
            <w:pPr>
              <w:pStyle w:val="TableParagraph"/>
              <w:spacing w:line="212" w:lineRule="exact"/>
              <w:ind w:right="54"/>
              <w:rPr>
                <w:sz w:val="18"/>
              </w:rPr>
            </w:pPr>
            <w:r>
              <w:rPr>
                <w:spacing w:val="-2"/>
                <w:w w:val="105"/>
                <w:sz w:val="18"/>
              </w:rPr>
              <w:t>(126)</w:t>
            </w:r>
          </w:p>
        </w:tc>
      </w:tr>
      <w:tr w:rsidR="002C6574" w14:paraId="667D4421" w14:textId="77777777">
        <w:trPr>
          <w:trHeight w:val="232"/>
        </w:trPr>
        <w:tc>
          <w:tcPr>
            <w:tcW w:w="8330" w:type="dxa"/>
          </w:tcPr>
          <w:p w14:paraId="770E778A" w14:textId="77777777" w:rsidR="002C6574" w:rsidRDefault="00000000">
            <w:pPr>
              <w:pStyle w:val="TableParagraph"/>
              <w:spacing w:line="212" w:lineRule="exact"/>
              <w:ind w:left="219"/>
              <w:jc w:val="left"/>
              <w:rPr>
                <w:sz w:val="18"/>
              </w:rPr>
            </w:pPr>
            <w:r>
              <w:rPr>
                <w:w w:val="105"/>
                <w:sz w:val="18"/>
              </w:rPr>
              <w:t>Provisão</w:t>
            </w:r>
            <w:r>
              <w:rPr>
                <w:spacing w:val="-4"/>
                <w:w w:val="105"/>
                <w:sz w:val="18"/>
              </w:rPr>
              <w:t xml:space="preserve"> </w:t>
            </w:r>
            <w:r>
              <w:rPr>
                <w:w w:val="105"/>
                <w:sz w:val="18"/>
              </w:rPr>
              <w:t>p/</w:t>
            </w:r>
            <w:r>
              <w:rPr>
                <w:spacing w:val="-5"/>
                <w:w w:val="105"/>
                <w:sz w:val="18"/>
              </w:rPr>
              <w:t xml:space="preserve"> </w:t>
            </w:r>
            <w:r>
              <w:rPr>
                <w:w w:val="105"/>
                <w:sz w:val="18"/>
              </w:rPr>
              <w:t>Riscos</w:t>
            </w:r>
            <w:r>
              <w:rPr>
                <w:spacing w:val="-6"/>
                <w:w w:val="105"/>
                <w:sz w:val="18"/>
              </w:rPr>
              <w:t xml:space="preserve"> </w:t>
            </w:r>
            <w:r>
              <w:rPr>
                <w:w w:val="105"/>
                <w:sz w:val="18"/>
              </w:rPr>
              <w:t>Trabalhistas,</w:t>
            </w:r>
            <w:r>
              <w:rPr>
                <w:spacing w:val="-5"/>
                <w:w w:val="105"/>
                <w:sz w:val="18"/>
              </w:rPr>
              <w:t xml:space="preserve"> </w:t>
            </w:r>
            <w:r>
              <w:rPr>
                <w:w w:val="105"/>
                <w:sz w:val="18"/>
              </w:rPr>
              <w:t>Cíveis</w:t>
            </w:r>
            <w:r>
              <w:rPr>
                <w:spacing w:val="-6"/>
                <w:w w:val="105"/>
                <w:sz w:val="18"/>
              </w:rPr>
              <w:t xml:space="preserve"> </w:t>
            </w:r>
            <w:r>
              <w:rPr>
                <w:w w:val="105"/>
                <w:sz w:val="18"/>
              </w:rPr>
              <w:t>e</w:t>
            </w:r>
            <w:r>
              <w:rPr>
                <w:spacing w:val="-6"/>
                <w:w w:val="105"/>
                <w:sz w:val="18"/>
              </w:rPr>
              <w:t xml:space="preserve"> </w:t>
            </w:r>
            <w:r>
              <w:rPr>
                <w:spacing w:val="-2"/>
                <w:w w:val="105"/>
                <w:sz w:val="18"/>
              </w:rPr>
              <w:t>Fiscais</w:t>
            </w:r>
          </w:p>
        </w:tc>
        <w:tc>
          <w:tcPr>
            <w:tcW w:w="1440" w:type="dxa"/>
          </w:tcPr>
          <w:p w14:paraId="010CE36C" w14:textId="77777777" w:rsidR="002C6574" w:rsidRDefault="00000000">
            <w:pPr>
              <w:pStyle w:val="TableParagraph"/>
              <w:spacing w:line="212" w:lineRule="exact"/>
              <w:ind w:right="54"/>
              <w:rPr>
                <w:sz w:val="18"/>
              </w:rPr>
            </w:pPr>
            <w:r>
              <w:rPr>
                <w:spacing w:val="-2"/>
                <w:w w:val="110"/>
                <w:sz w:val="18"/>
              </w:rPr>
              <w:t>(1.121)</w:t>
            </w:r>
          </w:p>
        </w:tc>
      </w:tr>
      <w:tr w:rsidR="002C6574" w14:paraId="0995BE20" w14:textId="77777777">
        <w:trPr>
          <w:trHeight w:val="230"/>
        </w:trPr>
        <w:tc>
          <w:tcPr>
            <w:tcW w:w="8330" w:type="dxa"/>
          </w:tcPr>
          <w:p w14:paraId="6EAB9209" w14:textId="77777777" w:rsidR="002C6574" w:rsidRDefault="00000000">
            <w:pPr>
              <w:pStyle w:val="TableParagraph"/>
              <w:spacing w:line="210" w:lineRule="exact"/>
              <w:ind w:left="219"/>
              <w:jc w:val="left"/>
              <w:rPr>
                <w:sz w:val="18"/>
              </w:rPr>
            </w:pPr>
            <w:r>
              <w:rPr>
                <w:sz w:val="18"/>
              </w:rPr>
              <w:t>Pagamento</w:t>
            </w:r>
            <w:r>
              <w:rPr>
                <w:spacing w:val="-6"/>
                <w:sz w:val="18"/>
              </w:rPr>
              <w:t xml:space="preserve"> </w:t>
            </w:r>
            <w:r>
              <w:rPr>
                <w:sz w:val="18"/>
              </w:rPr>
              <w:t>Contraprestação</w:t>
            </w:r>
            <w:r>
              <w:rPr>
                <w:spacing w:val="-7"/>
                <w:sz w:val="18"/>
              </w:rPr>
              <w:t xml:space="preserve"> </w:t>
            </w:r>
            <w:r>
              <w:rPr>
                <w:sz w:val="18"/>
              </w:rPr>
              <w:t>Arrendamento</w:t>
            </w:r>
            <w:r>
              <w:rPr>
                <w:spacing w:val="-7"/>
                <w:sz w:val="18"/>
              </w:rPr>
              <w:t xml:space="preserve"> </w:t>
            </w:r>
            <w:r>
              <w:rPr>
                <w:sz w:val="18"/>
              </w:rPr>
              <w:t>Mercantil</w:t>
            </w:r>
            <w:r>
              <w:rPr>
                <w:spacing w:val="-4"/>
                <w:sz w:val="18"/>
              </w:rPr>
              <w:t xml:space="preserve"> </w:t>
            </w:r>
            <w:r>
              <w:rPr>
                <w:sz w:val="18"/>
              </w:rPr>
              <w:t>(Direito</w:t>
            </w:r>
            <w:r>
              <w:rPr>
                <w:spacing w:val="-4"/>
                <w:sz w:val="18"/>
              </w:rPr>
              <w:t xml:space="preserve"> </w:t>
            </w:r>
            <w:r>
              <w:rPr>
                <w:sz w:val="18"/>
              </w:rPr>
              <w:t>de</w:t>
            </w:r>
            <w:r>
              <w:rPr>
                <w:spacing w:val="-4"/>
                <w:sz w:val="18"/>
              </w:rPr>
              <w:t xml:space="preserve"> Uso)</w:t>
            </w:r>
          </w:p>
        </w:tc>
        <w:tc>
          <w:tcPr>
            <w:tcW w:w="1440" w:type="dxa"/>
          </w:tcPr>
          <w:p w14:paraId="470E45BA" w14:textId="77777777" w:rsidR="002C6574" w:rsidRDefault="00000000">
            <w:pPr>
              <w:pStyle w:val="TableParagraph"/>
              <w:spacing w:line="210" w:lineRule="exact"/>
              <w:ind w:right="56"/>
              <w:rPr>
                <w:sz w:val="18"/>
              </w:rPr>
            </w:pPr>
            <w:r>
              <w:rPr>
                <w:spacing w:val="-2"/>
                <w:w w:val="110"/>
                <w:sz w:val="18"/>
              </w:rPr>
              <w:t>(2.396)</w:t>
            </w:r>
          </w:p>
        </w:tc>
      </w:tr>
      <w:tr w:rsidR="002C6574" w14:paraId="2FE3D666" w14:textId="77777777">
        <w:trPr>
          <w:trHeight w:val="232"/>
        </w:trPr>
        <w:tc>
          <w:tcPr>
            <w:tcW w:w="8330" w:type="dxa"/>
          </w:tcPr>
          <w:p w14:paraId="50AB8506" w14:textId="77777777" w:rsidR="002C6574" w:rsidRDefault="00000000">
            <w:pPr>
              <w:pStyle w:val="TableParagraph"/>
              <w:spacing w:line="212" w:lineRule="exact"/>
              <w:ind w:left="219"/>
              <w:jc w:val="left"/>
              <w:rPr>
                <w:sz w:val="18"/>
              </w:rPr>
            </w:pPr>
            <w:r>
              <w:rPr>
                <w:w w:val="105"/>
                <w:sz w:val="18"/>
              </w:rPr>
              <w:t>Baixa</w:t>
            </w:r>
            <w:r>
              <w:rPr>
                <w:spacing w:val="-4"/>
                <w:w w:val="105"/>
                <w:sz w:val="18"/>
              </w:rPr>
              <w:t xml:space="preserve"> </w:t>
            </w:r>
            <w:r>
              <w:rPr>
                <w:w w:val="105"/>
                <w:sz w:val="18"/>
              </w:rPr>
              <w:t>de</w:t>
            </w:r>
            <w:r>
              <w:rPr>
                <w:spacing w:val="-4"/>
                <w:w w:val="105"/>
                <w:sz w:val="18"/>
              </w:rPr>
              <w:t xml:space="preserve"> </w:t>
            </w:r>
            <w:r>
              <w:rPr>
                <w:w w:val="105"/>
                <w:sz w:val="18"/>
              </w:rPr>
              <w:t>Provisão</w:t>
            </w:r>
            <w:r>
              <w:rPr>
                <w:spacing w:val="-1"/>
                <w:w w:val="105"/>
                <w:sz w:val="18"/>
              </w:rPr>
              <w:t xml:space="preserve"> </w:t>
            </w:r>
            <w:r>
              <w:rPr>
                <w:w w:val="105"/>
                <w:sz w:val="18"/>
              </w:rPr>
              <w:t>para</w:t>
            </w:r>
            <w:r>
              <w:rPr>
                <w:spacing w:val="-4"/>
                <w:w w:val="105"/>
                <w:sz w:val="18"/>
              </w:rPr>
              <w:t xml:space="preserve"> </w:t>
            </w:r>
            <w:r>
              <w:rPr>
                <w:w w:val="105"/>
                <w:sz w:val="18"/>
              </w:rPr>
              <w:t>PISP</w:t>
            </w:r>
            <w:r>
              <w:rPr>
                <w:spacing w:val="-3"/>
                <w:w w:val="105"/>
                <w:sz w:val="18"/>
              </w:rPr>
              <w:t xml:space="preserve"> </w:t>
            </w:r>
            <w:r>
              <w:rPr>
                <w:w w:val="105"/>
                <w:sz w:val="18"/>
              </w:rPr>
              <w:t>por</w:t>
            </w:r>
            <w:r>
              <w:rPr>
                <w:spacing w:val="-3"/>
                <w:w w:val="105"/>
                <w:sz w:val="18"/>
              </w:rPr>
              <w:t xml:space="preserve"> </w:t>
            </w:r>
            <w:r>
              <w:rPr>
                <w:spacing w:val="-2"/>
                <w:w w:val="105"/>
                <w:sz w:val="18"/>
              </w:rPr>
              <w:t>Pagamento</w:t>
            </w:r>
          </w:p>
        </w:tc>
        <w:tc>
          <w:tcPr>
            <w:tcW w:w="1440" w:type="dxa"/>
          </w:tcPr>
          <w:p w14:paraId="5F1B283F" w14:textId="77777777" w:rsidR="002C6574" w:rsidRDefault="00000000">
            <w:pPr>
              <w:pStyle w:val="TableParagraph"/>
              <w:spacing w:line="212" w:lineRule="exact"/>
              <w:ind w:right="56"/>
              <w:rPr>
                <w:sz w:val="18"/>
              </w:rPr>
            </w:pPr>
            <w:r>
              <w:rPr>
                <w:spacing w:val="-2"/>
                <w:w w:val="110"/>
                <w:sz w:val="18"/>
              </w:rPr>
              <w:t>(1.624)</w:t>
            </w:r>
          </w:p>
        </w:tc>
      </w:tr>
      <w:tr w:rsidR="002C6574" w14:paraId="4B2B032B" w14:textId="77777777">
        <w:trPr>
          <w:trHeight w:val="232"/>
        </w:trPr>
        <w:tc>
          <w:tcPr>
            <w:tcW w:w="8330" w:type="dxa"/>
          </w:tcPr>
          <w:p w14:paraId="52A4D4E8" w14:textId="77777777" w:rsidR="002C6574" w:rsidRDefault="00000000">
            <w:pPr>
              <w:pStyle w:val="TableParagraph"/>
              <w:spacing w:line="212" w:lineRule="exact"/>
              <w:ind w:left="219"/>
              <w:jc w:val="left"/>
              <w:rPr>
                <w:sz w:val="18"/>
              </w:rPr>
            </w:pPr>
            <w:r>
              <w:rPr>
                <w:w w:val="105"/>
                <w:sz w:val="18"/>
              </w:rPr>
              <w:t>Reversão</w:t>
            </w:r>
            <w:r>
              <w:rPr>
                <w:spacing w:val="-7"/>
                <w:w w:val="105"/>
                <w:sz w:val="18"/>
              </w:rPr>
              <w:t xml:space="preserve"> </w:t>
            </w:r>
            <w:r>
              <w:rPr>
                <w:w w:val="105"/>
                <w:sz w:val="18"/>
              </w:rPr>
              <w:t>de</w:t>
            </w:r>
            <w:r>
              <w:rPr>
                <w:spacing w:val="-7"/>
                <w:w w:val="105"/>
                <w:sz w:val="18"/>
              </w:rPr>
              <w:t xml:space="preserve"> </w:t>
            </w:r>
            <w:r>
              <w:rPr>
                <w:w w:val="105"/>
                <w:sz w:val="18"/>
              </w:rPr>
              <w:t>prov.</w:t>
            </w:r>
            <w:r>
              <w:rPr>
                <w:spacing w:val="-6"/>
                <w:w w:val="105"/>
                <w:sz w:val="18"/>
              </w:rPr>
              <w:t xml:space="preserve"> </w:t>
            </w:r>
            <w:r>
              <w:rPr>
                <w:w w:val="105"/>
                <w:sz w:val="18"/>
              </w:rPr>
              <w:t>p/</w:t>
            </w:r>
            <w:r>
              <w:rPr>
                <w:spacing w:val="-4"/>
                <w:w w:val="105"/>
                <w:sz w:val="18"/>
              </w:rPr>
              <w:t xml:space="preserve"> </w:t>
            </w:r>
            <w:r>
              <w:rPr>
                <w:w w:val="105"/>
                <w:sz w:val="18"/>
              </w:rPr>
              <w:t>Riscos</w:t>
            </w:r>
            <w:r>
              <w:rPr>
                <w:spacing w:val="-6"/>
                <w:w w:val="105"/>
                <w:sz w:val="18"/>
              </w:rPr>
              <w:t xml:space="preserve"> </w:t>
            </w:r>
            <w:r>
              <w:rPr>
                <w:w w:val="105"/>
                <w:sz w:val="18"/>
              </w:rPr>
              <w:t>Trabalhistas,</w:t>
            </w:r>
            <w:r>
              <w:rPr>
                <w:spacing w:val="-5"/>
                <w:w w:val="105"/>
                <w:sz w:val="18"/>
              </w:rPr>
              <w:t xml:space="preserve"> </w:t>
            </w:r>
            <w:r>
              <w:rPr>
                <w:w w:val="105"/>
                <w:sz w:val="18"/>
              </w:rPr>
              <w:t>Cíveis</w:t>
            </w:r>
            <w:r>
              <w:rPr>
                <w:spacing w:val="-5"/>
                <w:w w:val="105"/>
                <w:sz w:val="18"/>
              </w:rPr>
              <w:t xml:space="preserve"> </w:t>
            </w:r>
            <w:r>
              <w:rPr>
                <w:w w:val="105"/>
                <w:sz w:val="18"/>
              </w:rPr>
              <w:t>e</w:t>
            </w:r>
            <w:r>
              <w:rPr>
                <w:spacing w:val="-4"/>
                <w:w w:val="105"/>
                <w:sz w:val="18"/>
              </w:rPr>
              <w:t xml:space="preserve"> </w:t>
            </w:r>
            <w:r>
              <w:rPr>
                <w:spacing w:val="-2"/>
                <w:w w:val="105"/>
                <w:sz w:val="18"/>
              </w:rPr>
              <w:t>Fiscais</w:t>
            </w:r>
          </w:p>
        </w:tc>
        <w:tc>
          <w:tcPr>
            <w:tcW w:w="1440" w:type="dxa"/>
          </w:tcPr>
          <w:p w14:paraId="1888978F" w14:textId="77777777" w:rsidR="002C6574" w:rsidRDefault="00000000">
            <w:pPr>
              <w:pStyle w:val="TableParagraph"/>
              <w:spacing w:line="212" w:lineRule="exact"/>
              <w:ind w:right="56"/>
              <w:rPr>
                <w:sz w:val="18"/>
              </w:rPr>
            </w:pPr>
            <w:r>
              <w:rPr>
                <w:spacing w:val="-4"/>
                <w:w w:val="105"/>
                <w:sz w:val="18"/>
              </w:rPr>
              <w:t>(483)</w:t>
            </w:r>
          </w:p>
        </w:tc>
      </w:tr>
      <w:tr w:rsidR="002C6574" w14:paraId="35E483FB" w14:textId="77777777">
        <w:trPr>
          <w:trHeight w:val="232"/>
        </w:trPr>
        <w:tc>
          <w:tcPr>
            <w:tcW w:w="8330" w:type="dxa"/>
          </w:tcPr>
          <w:p w14:paraId="4C2567A1" w14:textId="77777777" w:rsidR="002C6574" w:rsidRDefault="00000000">
            <w:pPr>
              <w:pStyle w:val="TableParagraph"/>
              <w:spacing w:line="212" w:lineRule="exact"/>
              <w:ind w:left="219"/>
              <w:jc w:val="left"/>
              <w:rPr>
                <w:sz w:val="18"/>
              </w:rPr>
            </w:pPr>
            <w:r>
              <w:rPr>
                <w:sz w:val="18"/>
              </w:rPr>
              <w:t>Reversão</w:t>
            </w:r>
            <w:r>
              <w:rPr>
                <w:spacing w:val="8"/>
                <w:sz w:val="18"/>
              </w:rPr>
              <w:t xml:space="preserve"> </w:t>
            </w:r>
            <w:r>
              <w:rPr>
                <w:sz w:val="18"/>
              </w:rPr>
              <w:t>de</w:t>
            </w:r>
            <w:r>
              <w:rPr>
                <w:spacing w:val="11"/>
                <w:sz w:val="18"/>
              </w:rPr>
              <w:t xml:space="preserve"> </w:t>
            </w:r>
            <w:r>
              <w:rPr>
                <w:sz w:val="18"/>
              </w:rPr>
              <w:t>Perda</w:t>
            </w:r>
            <w:r>
              <w:rPr>
                <w:spacing w:val="12"/>
                <w:sz w:val="18"/>
              </w:rPr>
              <w:t xml:space="preserve"> </w:t>
            </w:r>
            <w:r>
              <w:rPr>
                <w:sz w:val="18"/>
              </w:rPr>
              <w:t>Estimada</w:t>
            </w:r>
            <w:r>
              <w:rPr>
                <w:spacing w:val="12"/>
                <w:sz w:val="18"/>
              </w:rPr>
              <w:t xml:space="preserve"> </w:t>
            </w:r>
            <w:r>
              <w:rPr>
                <w:sz w:val="18"/>
              </w:rPr>
              <w:t>c/</w:t>
            </w:r>
            <w:r>
              <w:rPr>
                <w:spacing w:val="9"/>
                <w:sz w:val="18"/>
              </w:rPr>
              <w:t xml:space="preserve"> </w:t>
            </w:r>
            <w:r>
              <w:rPr>
                <w:sz w:val="18"/>
              </w:rPr>
              <w:t>Crédito</w:t>
            </w:r>
            <w:r>
              <w:rPr>
                <w:spacing w:val="8"/>
                <w:sz w:val="18"/>
              </w:rPr>
              <w:t xml:space="preserve"> </w:t>
            </w:r>
            <w:r>
              <w:rPr>
                <w:sz w:val="18"/>
              </w:rPr>
              <w:t>de</w:t>
            </w:r>
            <w:r>
              <w:rPr>
                <w:spacing w:val="8"/>
                <w:sz w:val="18"/>
              </w:rPr>
              <w:t xml:space="preserve"> </w:t>
            </w:r>
            <w:r>
              <w:rPr>
                <w:sz w:val="18"/>
              </w:rPr>
              <w:t>Liquidação</w:t>
            </w:r>
            <w:r>
              <w:rPr>
                <w:spacing w:val="9"/>
                <w:sz w:val="18"/>
              </w:rPr>
              <w:t xml:space="preserve"> </w:t>
            </w:r>
            <w:r>
              <w:rPr>
                <w:spacing w:val="-2"/>
                <w:sz w:val="18"/>
              </w:rPr>
              <w:t>Duvidosa</w:t>
            </w:r>
          </w:p>
        </w:tc>
        <w:tc>
          <w:tcPr>
            <w:tcW w:w="1440" w:type="dxa"/>
          </w:tcPr>
          <w:p w14:paraId="5205719D" w14:textId="77777777" w:rsidR="002C6574" w:rsidRDefault="00000000">
            <w:pPr>
              <w:pStyle w:val="TableParagraph"/>
              <w:spacing w:line="212" w:lineRule="exact"/>
              <w:ind w:right="54"/>
              <w:rPr>
                <w:sz w:val="18"/>
              </w:rPr>
            </w:pPr>
            <w:r>
              <w:rPr>
                <w:spacing w:val="-2"/>
                <w:w w:val="105"/>
                <w:sz w:val="18"/>
              </w:rPr>
              <w:t>(194)</w:t>
            </w:r>
          </w:p>
        </w:tc>
      </w:tr>
      <w:tr w:rsidR="002C6574" w14:paraId="360ACCCB" w14:textId="77777777">
        <w:trPr>
          <w:trHeight w:val="232"/>
        </w:trPr>
        <w:tc>
          <w:tcPr>
            <w:tcW w:w="8330" w:type="dxa"/>
          </w:tcPr>
          <w:p w14:paraId="1AA7F5E6" w14:textId="77777777" w:rsidR="002C6574" w:rsidRDefault="00000000">
            <w:pPr>
              <w:pStyle w:val="TableParagraph"/>
              <w:spacing w:line="212" w:lineRule="exact"/>
              <w:ind w:left="219"/>
              <w:jc w:val="left"/>
              <w:rPr>
                <w:sz w:val="18"/>
              </w:rPr>
            </w:pPr>
            <w:r>
              <w:rPr>
                <w:w w:val="105"/>
                <w:sz w:val="18"/>
              </w:rPr>
              <w:t>Provisões</w:t>
            </w:r>
            <w:r>
              <w:rPr>
                <w:spacing w:val="-1"/>
                <w:w w:val="105"/>
                <w:sz w:val="18"/>
              </w:rPr>
              <w:t xml:space="preserve"> </w:t>
            </w:r>
            <w:r>
              <w:rPr>
                <w:w w:val="105"/>
                <w:sz w:val="18"/>
              </w:rPr>
              <w:t xml:space="preserve">– </w:t>
            </w:r>
            <w:r>
              <w:rPr>
                <w:spacing w:val="-2"/>
                <w:w w:val="105"/>
                <w:sz w:val="18"/>
              </w:rPr>
              <w:t>Custeio</w:t>
            </w:r>
          </w:p>
        </w:tc>
        <w:tc>
          <w:tcPr>
            <w:tcW w:w="1440" w:type="dxa"/>
          </w:tcPr>
          <w:p w14:paraId="3891377F" w14:textId="77777777" w:rsidR="002C6574" w:rsidRDefault="00000000">
            <w:pPr>
              <w:pStyle w:val="TableParagraph"/>
              <w:spacing w:line="212" w:lineRule="exact"/>
              <w:ind w:right="56"/>
              <w:rPr>
                <w:sz w:val="18"/>
              </w:rPr>
            </w:pPr>
            <w:r>
              <w:rPr>
                <w:spacing w:val="-2"/>
                <w:w w:val="110"/>
                <w:sz w:val="18"/>
              </w:rPr>
              <w:t>(3.696)</w:t>
            </w:r>
          </w:p>
        </w:tc>
      </w:tr>
      <w:tr w:rsidR="002C6574" w14:paraId="72B130AF" w14:textId="77777777">
        <w:trPr>
          <w:trHeight w:val="232"/>
        </w:trPr>
        <w:tc>
          <w:tcPr>
            <w:tcW w:w="8330" w:type="dxa"/>
          </w:tcPr>
          <w:p w14:paraId="575F506D" w14:textId="77777777" w:rsidR="002C6574" w:rsidRDefault="00000000">
            <w:pPr>
              <w:pStyle w:val="TableParagraph"/>
              <w:spacing w:line="212" w:lineRule="exact"/>
              <w:ind w:left="219"/>
              <w:jc w:val="left"/>
              <w:rPr>
                <w:sz w:val="18"/>
              </w:rPr>
            </w:pPr>
            <w:r>
              <w:rPr>
                <w:sz w:val="18"/>
              </w:rPr>
              <w:t>Ajuste</w:t>
            </w:r>
            <w:r>
              <w:rPr>
                <w:spacing w:val="-8"/>
                <w:sz w:val="18"/>
              </w:rPr>
              <w:t xml:space="preserve"> </w:t>
            </w:r>
            <w:r>
              <w:rPr>
                <w:sz w:val="18"/>
              </w:rPr>
              <w:t>do</w:t>
            </w:r>
            <w:r>
              <w:rPr>
                <w:spacing w:val="-8"/>
                <w:sz w:val="18"/>
              </w:rPr>
              <w:t xml:space="preserve"> </w:t>
            </w:r>
            <w:r>
              <w:rPr>
                <w:sz w:val="18"/>
              </w:rPr>
              <w:t>adicional</w:t>
            </w:r>
            <w:r>
              <w:rPr>
                <w:spacing w:val="-6"/>
                <w:sz w:val="18"/>
              </w:rPr>
              <w:t xml:space="preserve"> </w:t>
            </w:r>
            <w:r>
              <w:rPr>
                <w:sz w:val="18"/>
              </w:rPr>
              <w:t>do</w:t>
            </w:r>
            <w:r>
              <w:rPr>
                <w:spacing w:val="-8"/>
                <w:sz w:val="18"/>
              </w:rPr>
              <w:t xml:space="preserve"> </w:t>
            </w:r>
            <w:r>
              <w:rPr>
                <w:spacing w:val="-4"/>
                <w:sz w:val="18"/>
              </w:rPr>
              <w:t>IRPJ</w:t>
            </w:r>
          </w:p>
        </w:tc>
        <w:tc>
          <w:tcPr>
            <w:tcW w:w="1440" w:type="dxa"/>
          </w:tcPr>
          <w:p w14:paraId="7E9D46C7" w14:textId="77777777" w:rsidR="002C6574" w:rsidRDefault="00000000">
            <w:pPr>
              <w:pStyle w:val="TableParagraph"/>
              <w:spacing w:line="212" w:lineRule="exact"/>
              <w:ind w:right="55"/>
              <w:rPr>
                <w:sz w:val="18"/>
              </w:rPr>
            </w:pPr>
            <w:r>
              <w:rPr>
                <w:spacing w:val="-4"/>
                <w:w w:val="105"/>
                <w:sz w:val="18"/>
              </w:rPr>
              <w:t>(23)</w:t>
            </w:r>
          </w:p>
        </w:tc>
      </w:tr>
      <w:tr w:rsidR="002C6574" w14:paraId="72D07B2A" w14:textId="77777777">
        <w:trPr>
          <w:trHeight w:val="230"/>
        </w:trPr>
        <w:tc>
          <w:tcPr>
            <w:tcW w:w="8330" w:type="dxa"/>
          </w:tcPr>
          <w:p w14:paraId="12A59519" w14:textId="77777777" w:rsidR="002C6574" w:rsidRDefault="00000000">
            <w:pPr>
              <w:pStyle w:val="TableParagraph"/>
              <w:spacing w:before="23" w:line="187" w:lineRule="exact"/>
              <w:ind w:left="69"/>
              <w:jc w:val="left"/>
              <w:rPr>
                <w:rFonts w:ascii="Arial" w:hAnsi="Arial"/>
                <w:b/>
                <w:sz w:val="18"/>
              </w:rPr>
            </w:pPr>
            <w:r>
              <w:rPr>
                <w:rFonts w:ascii="Arial" w:hAnsi="Arial"/>
                <w:b/>
                <w:sz w:val="18"/>
              </w:rPr>
              <w:t>Compensação</w:t>
            </w:r>
            <w:r>
              <w:rPr>
                <w:rFonts w:ascii="Arial" w:hAnsi="Arial"/>
                <w:b/>
                <w:spacing w:val="-3"/>
                <w:sz w:val="18"/>
              </w:rPr>
              <w:t xml:space="preserve"> </w:t>
            </w:r>
            <w:r>
              <w:rPr>
                <w:rFonts w:ascii="Arial" w:hAnsi="Arial"/>
                <w:b/>
                <w:sz w:val="18"/>
              </w:rPr>
              <w:t>de Prejuízo</w:t>
            </w:r>
            <w:r>
              <w:rPr>
                <w:rFonts w:ascii="Arial" w:hAnsi="Arial"/>
                <w:b/>
                <w:spacing w:val="-2"/>
                <w:sz w:val="18"/>
              </w:rPr>
              <w:t xml:space="preserve"> </w:t>
            </w:r>
            <w:r>
              <w:rPr>
                <w:rFonts w:ascii="Arial" w:hAnsi="Arial"/>
                <w:b/>
                <w:sz w:val="18"/>
              </w:rPr>
              <w:t>Fiscal</w:t>
            </w:r>
            <w:r>
              <w:rPr>
                <w:rFonts w:ascii="Arial" w:hAnsi="Arial"/>
                <w:b/>
                <w:spacing w:val="2"/>
                <w:sz w:val="18"/>
              </w:rPr>
              <w:t xml:space="preserve"> </w:t>
            </w:r>
            <w:r>
              <w:rPr>
                <w:rFonts w:ascii="Arial" w:hAnsi="Arial"/>
                <w:b/>
                <w:spacing w:val="-4"/>
                <w:sz w:val="18"/>
              </w:rPr>
              <w:t>(30%)</w:t>
            </w:r>
          </w:p>
        </w:tc>
        <w:tc>
          <w:tcPr>
            <w:tcW w:w="1440" w:type="dxa"/>
          </w:tcPr>
          <w:p w14:paraId="7555ACBB" w14:textId="77777777" w:rsidR="002C6574" w:rsidRDefault="00000000">
            <w:pPr>
              <w:pStyle w:val="TableParagraph"/>
              <w:spacing w:before="23" w:line="187" w:lineRule="exact"/>
              <w:ind w:right="56"/>
              <w:rPr>
                <w:rFonts w:ascii="Arial"/>
                <w:b/>
                <w:sz w:val="18"/>
              </w:rPr>
            </w:pPr>
            <w:r>
              <w:rPr>
                <w:rFonts w:ascii="Arial"/>
                <w:b/>
                <w:spacing w:val="-2"/>
                <w:sz w:val="18"/>
              </w:rPr>
              <w:t>(18.304)</w:t>
            </w:r>
          </w:p>
        </w:tc>
      </w:tr>
      <w:tr w:rsidR="002C6574" w14:paraId="0A9AAF15" w14:textId="77777777">
        <w:trPr>
          <w:trHeight w:val="232"/>
        </w:trPr>
        <w:tc>
          <w:tcPr>
            <w:tcW w:w="8330" w:type="dxa"/>
          </w:tcPr>
          <w:p w14:paraId="4311F690" w14:textId="77777777" w:rsidR="002C6574" w:rsidRDefault="00000000">
            <w:pPr>
              <w:pStyle w:val="TableParagraph"/>
              <w:spacing w:before="25" w:line="187" w:lineRule="exact"/>
              <w:ind w:left="69"/>
              <w:jc w:val="left"/>
              <w:rPr>
                <w:rFonts w:ascii="Arial" w:hAnsi="Arial"/>
                <w:b/>
                <w:sz w:val="18"/>
              </w:rPr>
            </w:pPr>
            <w:r>
              <w:rPr>
                <w:rFonts w:ascii="Arial" w:hAnsi="Arial"/>
                <w:b/>
                <w:sz w:val="18"/>
              </w:rPr>
              <w:t>Compensação</w:t>
            </w:r>
            <w:r>
              <w:rPr>
                <w:rFonts w:ascii="Arial" w:hAnsi="Arial"/>
                <w:b/>
                <w:spacing w:val="-4"/>
                <w:sz w:val="18"/>
              </w:rPr>
              <w:t xml:space="preserve"> </w:t>
            </w:r>
            <w:r>
              <w:rPr>
                <w:rFonts w:ascii="Arial" w:hAnsi="Arial"/>
                <w:b/>
                <w:sz w:val="18"/>
              </w:rPr>
              <w:t>Incentivo</w:t>
            </w:r>
            <w:r>
              <w:rPr>
                <w:rFonts w:ascii="Arial" w:hAnsi="Arial"/>
                <w:b/>
                <w:spacing w:val="-2"/>
                <w:sz w:val="18"/>
              </w:rPr>
              <w:t xml:space="preserve"> </w:t>
            </w:r>
            <w:r>
              <w:rPr>
                <w:rFonts w:ascii="Arial" w:hAnsi="Arial"/>
                <w:b/>
                <w:sz w:val="18"/>
              </w:rPr>
              <w:t xml:space="preserve">Fiscal - </w:t>
            </w:r>
            <w:r>
              <w:rPr>
                <w:rFonts w:ascii="Arial" w:hAnsi="Arial"/>
                <w:b/>
                <w:spacing w:val="-5"/>
                <w:sz w:val="18"/>
              </w:rPr>
              <w:t>PAT</w:t>
            </w:r>
          </w:p>
        </w:tc>
        <w:tc>
          <w:tcPr>
            <w:tcW w:w="1440" w:type="dxa"/>
          </w:tcPr>
          <w:p w14:paraId="232CD957" w14:textId="77777777" w:rsidR="002C6574" w:rsidRDefault="00000000">
            <w:pPr>
              <w:pStyle w:val="TableParagraph"/>
              <w:spacing w:before="25" w:line="187" w:lineRule="exact"/>
              <w:ind w:right="54"/>
              <w:rPr>
                <w:rFonts w:ascii="Arial"/>
                <w:b/>
                <w:sz w:val="18"/>
              </w:rPr>
            </w:pPr>
            <w:r>
              <w:rPr>
                <w:rFonts w:ascii="Arial"/>
                <w:b/>
                <w:spacing w:val="-2"/>
                <w:sz w:val="18"/>
              </w:rPr>
              <w:t>(754)</w:t>
            </w:r>
          </w:p>
        </w:tc>
      </w:tr>
      <w:tr w:rsidR="002C6574" w14:paraId="2CFEBC7B" w14:textId="77777777">
        <w:trPr>
          <w:trHeight w:val="232"/>
        </w:trPr>
        <w:tc>
          <w:tcPr>
            <w:tcW w:w="8330" w:type="dxa"/>
          </w:tcPr>
          <w:p w14:paraId="6B3B6F40" w14:textId="77777777" w:rsidR="002C6574" w:rsidRDefault="00000000">
            <w:pPr>
              <w:pStyle w:val="TableParagraph"/>
              <w:spacing w:before="25" w:line="187" w:lineRule="exact"/>
              <w:ind w:left="69"/>
              <w:jc w:val="left"/>
              <w:rPr>
                <w:rFonts w:ascii="Arial" w:hAnsi="Arial"/>
                <w:b/>
                <w:sz w:val="18"/>
              </w:rPr>
            </w:pPr>
            <w:r>
              <w:rPr>
                <w:rFonts w:ascii="Arial" w:hAnsi="Arial"/>
                <w:b/>
                <w:sz w:val="18"/>
              </w:rPr>
              <w:t>Imposto</w:t>
            </w:r>
            <w:r>
              <w:rPr>
                <w:rFonts w:ascii="Arial" w:hAnsi="Arial"/>
                <w:b/>
                <w:spacing w:val="-3"/>
                <w:sz w:val="18"/>
              </w:rPr>
              <w:t xml:space="preserve"> </w:t>
            </w:r>
            <w:r>
              <w:rPr>
                <w:rFonts w:ascii="Arial" w:hAnsi="Arial"/>
                <w:b/>
                <w:sz w:val="18"/>
              </w:rPr>
              <w:t>de Renda</w:t>
            </w:r>
            <w:r>
              <w:rPr>
                <w:rFonts w:ascii="Arial" w:hAnsi="Arial"/>
                <w:b/>
                <w:spacing w:val="2"/>
                <w:sz w:val="18"/>
              </w:rPr>
              <w:t xml:space="preserve"> </w:t>
            </w:r>
            <w:r>
              <w:rPr>
                <w:rFonts w:ascii="Arial" w:hAnsi="Arial"/>
                <w:b/>
                <w:sz w:val="18"/>
              </w:rPr>
              <w:t>e Contribuição</w:t>
            </w:r>
            <w:r>
              <w:rPr>
                <w:rFonts w:ascii="Arial" w:hAnsi="Arial"/>
                <w:b/>
                <w:spacing w:val="1"/>
                <w:sz w:val="18"/>
              </w:rPr>
              <w:t xml:space="preserve"> </w:t>
            </w:r>
            <w:r>
              <w:rPr>
                <w:rFonts w:ascii="Arial" w:hAnsi="Arial"/>
                <w:b/>
                <w:sz w:val="18"/>
              </w:rPr>
              <w:t>Social</w:t>
            </w:r>
            <w:r>
              <w:rPr>
                <w:rFonts w:ascii="Arial" w:hAnsi="Arial"/>
                <w:b/>
                <w:spacing w:val="-2"/>
                <w:sz w:val="18"/>
              </w:rPr>
              <w:t xml:space="preserve"> </w:t>
            </w:r>
            <w:r>
              <w:rPr>
                <w:rFonts w:ascii="Arial" w:hAnsi="Arial"/>
                <w:b/>
                <w:sz w:val="18"/>
              </w:rPr>
              <w:t>sobre o Lucro</w:t>
            </w:r>
            <w:r>
              <w:rPr>
                <w:rFonts w:ascii="Arial" w:hAnsi="Arial"/>
                <w:b/>
                <w:spacing w:val="-5"/>
                <w:sz w:val="18"/>
              </w:rPr>
              <w:t xml:space="preserve"> </w:t>
            </w:r>
            <w:r>
              <w:rPr>
                <w:rFonts w:ascii="Arial" w:hAnsi="Arial"/>
                <w:b/>
                <w:sz w:val="18"/>
              </w:rPr>
              <w:t>Líquido</w:t>
            </w:r>
            <w:r>
              <w:rPr>
                <w:rFonts w:ascii="Arial" w:hAnsi="Arial"/>
                <w:b/>
                <w:spacing w:val="-3"/>
                <w:sz w:val="18"/>
              </w:rPr>
              <w:t xml:space="preserve"> </w:t>
            </w:r>
            <w:r>
              <w:rPr>
                <w:rFonts w:ascii="Arial" w:hAnsi="Arial"/>
                <w:b/>
                <w:sz w:val="18"/>
              </w:rPr>
              <w:t>no</w:t>
            </w:r>
            <w:r>
              <w:rPr>
                <w:rFonts w:ascii="Arial" w:hAnsi="Arial"/>
                <w:b/>
                <w:spacing w:val="1"/>
                <w:sz w:val="18"/>
              </w:rPr>
              <w:t xml:space="preserve"> </w:t>
            </w:r>
            <w:r>
              <w:rPr>
                <w:rFonts w:ascii="Arial" w:hAnsi="Arial"/>
                <w:b/>
                <w:spacing w:val="-2"/>
                <w:sz w:val="18"/>
              </w:rPr>
              <w:t>Resultado</w:t>
            </w:r>
          </w:p>
        </w:tc>
        <w:tc>
          <w:tcPr>
            <w:tcW w:w="1440" w:type="dxa"/>
          </w:tcPr>
          <w:p w14:paraId="6227D40C" w14:textId="77777777" w:rsidR="002C6574" w:rsidRDefault="00000000">
            <w:pPr>
              <w:pStyle w:val="TableParagraph"/>
              <w:spacing w:before="25" w:line="187" w:lineRule="exact"/>
              <w:ind w:right="59"/>
              <w:rPr>
                <w:rFonts w:ascii="Arial"/>
                <w:b/>
                <w:sz w:val="18"/>
              </w:rPr>
            </w:pPr>
            <w:r>
              <w:rPr>
                <w:rFonts w:ascii="Arial"/>
                <w:b/>
                <w:spacing w:val="-2"/>
                <w:sz w:val="18"/>
              </w:rPr>
              <w:t>41.932</w:t>
            </w:r>
          </w:p>
        </w:tc>
      </w:tr>
      <w:tr w:rsidR="002C6574" w14:paraId="7CE3D811" w14:textId="77777777">
        <w:trPr>
          <w:trHeight w:val="232"/>
        </w:trPr>
        <w:tc>
          <w:tcPr>
            <w:tcW w:w="8330" w:type="dxa"/>
          </w:tcPr>
          <w:p w14:paraId="439198A5" w14:textId="77777777" w:rsidR="002C6574" w:rsidRDefault="00000000">
            <w:pPr>
              <w:pStyle w:val="TableParagraph"/>
              <w:spacing w:before="25" w:line="187" w:lineRule="exact"/>
              <w:ind w:left="69"/>
              <w:jc w:val="left"/>
              <w:rPr>
                <w:rFonts w:ascii="Arial" w:hAnsi="Arial"/>
                <w:b/>
                <w:sz w:val="18"/>
              </w:rPr>
            </w:pPr>
            <w:r>
              <w:rPr>
                <w:rFonts w:ascii="Arial" w:hAnsi="Arial"/>
                <w:b/>
                <w:sz w:val="18"/>
              </w:rPr>
              <w:t>Alíquota</w:t>
            </w:r>
            <w:r>
              <w:rPr>
                <w:rFonts w:ascii="Arial" w:hAnsi="Arial"/>
                <w:b/>
                <w:spacing w:val="1"/>
                <w:sz w:val="18"/>
              </w:rPr>
              <w:t xml:space="preserve"> </w:t>
            </w:r>
            <w:r>
              <w:rPr>
                <w:rFonts w:ascii="Arial" w:hAnsi="Arial"/>
                <w:b/>
                <w:spacing w:val="-2"/>
                <w:sz w:val="18"/>
              </w:rPr>
              <w:t>Efetiva</w:t>
            </w:r>
          </w:p>
        </w:tc>
        <w:tc>
          <w:tcPr>
            <w:tcW w:w="1440" w:type="dxa"/>
          </w:tcPr>
          <w:p w14:paraId="4399C33D" w14:textId="77777777" w:rsidR="002C6574" w:rsidRDefault="00000000">
            <w:pPr>
              <w:pStyle w:val="TableParagraph"/>
              <w:spacing w:before="25" w:line="187" w:lineRule="exact"/>
              <w:ind w:right="57"/>
              <w:rPr>
                <w:rFonts w:ascii="Arial"/>
                <w:b/>
                <w:sz w:val="18"/>
              </w:rPr>
            </w:pPr>
            <w:r>
              <w:rPr>
                <w:rFonts w:ascii="Arial"/>
                <w:b/>
                <w:spacing w:val="-5"/>
                <w:sz w:val="18"/>
              </w:rPr>
              <w:t>23%</w:t>
            </w:r>
          </w:p>
        </w:tc>
      </w:tr>
    </w:tbl>
    <w:p w14:paraId="4BE50D5E" w14:textId="77777777" w:rsidR="002C6574" w:rsidRDefault="00000000">
      <w:pPr>
        <w:pStyle w:val="Corpodetexto"/>
        <w:spacing w:before="99" w:line="237" w:lineRule="auto"/>
        <w:ind w:left="143" w:right="702"/>
        <w:jc w:val="both"/>
      </w:pPr>
      <w:r>
        <w:t>As informações comparativas não são apresentadas, uma vez que a Telebras não</w:t>
      </w:r>
      <w:r>
        <w:rPr>
          <w:spacing w:val="-3"/>
        </w:rPr>
        <w:t xml:space="preserve"> </w:t>
      </w:r>
      <w:r>
        <w:t>registrou</w:t>
      </w:r>
      <w:r>
        <w:rPr>
          <w:spacing w:val="-3"/>
        </w:rPr>
        <w:t xml:space="preserve"> </w:t>
      </w:r>
      <w:r>
        <w:t>resultado tributável no exercício de 2024.</w:t>
      </w:r>
    </w:p>
    <w:p w14:paraId="2D3EBF78" w14:textId="77777777" w:rsidR="002C6574" w:rsidRDefault="002C6574">
      <w:pPr>
        <w:pStyle w:val="Corpodetexto"/>
        <w:spacing w:before="18"/>
      </w:pPr>
    </w:p>
    <w:p w14:paraId="5B441CC8" w14:textId="77777777" w:rsidR="002C6574" w:rsidRDefault="00000000">
      <w:pPr>
        <w:numPr>
          <w:ilvl w:val="1"/>
          <w:numId w:val="41"/>
        </w:numPr>
        <w:tabs>
          <w:tab w:val="left" w:pos="707"/>
        </w:tabs>
        <w:ind w:left="707" w:hanging="564"/>
        <w:rPr>
          <w:rFonts w:ascii="Arial" w:hAnsi="Arial"/>
          <w:b/>
        </w:rPr>
      </w:pPr>
      <w:r>
        <w:rPr>
          <w:rFonts w:ascii="Arial" w:hAnsi="Arial"/>
          <w:b/>
        </w:rPr>
        <w:t>Créditos</w:t>
      </w:r>
      <w:r>
        <w:rPr>
          <w:rFonts w:ascii="Arial" w:hAnsi="Arial"/>
          <w:b/>
          <w:spacing w:val="-4"/>
        </w:rPr>
        <w:t xml:space="preserve"> </w:t>
      </w:r>
      <w:r>
        <w:rPr>
          <w:rFonts w:ascii="Arial" w:hAnsi="Arial"/>
          <w:b/>
        </w:rPr>
        <w:t>fiscais</w:t>
      </w:r>
      <w:r>
        <w:rPr>
          <w:rFonts w:ascii="Arial" w:hAnsi="Arial"/>
          <w:b/>
          <w:spacing w:val="-4"/>
        </w:rPr>
        <w:t xml:space="preserve"> </w:t>
      </w:r>
      <w:r>
        <w:rPr>
          <w:rFonts w:ascii="Arial" w:hAnsi="Arial"/>
          <w:b/>
        </w:rPr>
        <w:t>diferidos</w:t>
      </w:r>
      <w:r>
        <w:rPr>
          <w:rFonts w:ascii="Arial" w:hAnsi="Arial"/>
          <w:b/>
          <w:spacing w:val="-2"/>
        </w:rPr>
        <w:t xml:space="preserve"> </w:t>
      </w:r>
      <w:r>
        <w:rPr>
          <w:rFonts w:ascii="Arial" w:hAnsi="Arial"/>
          <w:b/>
        </w:rPr>
        <w:t>e</w:t>
      </w:r>
      <w:r>
        <w:rPr>
          <w:rFonts w:ascii="Arial" w:hAnsi="Arial"/>
          <w:b/>
          <w:spacing w:val="-4"/>
        </w:rPr>
        <w:t xml:space="preserve"> </w:t>
      </w:r>
      <w:r>
        <w:rPr>
          <w:rFonts w:ascii="Arial" w:hAnsi="Arial"/>
          <w:b/>
        </w:rPr>
        <w:t>não</w:t>
      </w:r>
      <w:r>
        <w:rPr>
          <w:rFonts w:ascii="Arial" w:hAnsi="Arial"/>
          <w:b/>
          <w:spacing w:val="-5"/>
        </w:rPr>
        <w:t xml:space="preserve"> </w:t>
      </w:r>
      <w:r>
        <w:rPr>
          <w:rFonts w:ascii="Arial" w:hAnsi="Arial"/>
          <w:b/>
          <w:spacing w:val="-2"/>
        </w:rPr>
        <w:t>registrados</w:t>
      </w:r>
    </w:p>
    <w:p w14:paraId="5F111BB7" w14:textId="77777777" w:rsidR="002C6574" w:rsidRDefault="002C6574">
      <w:pPr>
        <w:pStyle w:val="Corpodetexto"/>
        <w:spacing w:before="73"/>
        <w:rPr>
          <w:rFonts w:ascii="Arial"/>
          <w:b/>
        </w:rPr>
      </w:pPr>
    </w:p>
    <w:p w14:paraId="2E612D5F" w14:textId="77777777" w:rsidR="002C6574" w:rsidRDefault="00000000">
      <w:pPr>
        <w:pStyle w:val="Corpodetexto"/>
        <w:spacing w:line="237" w:lineRule="auto"/>
        <w:ind w:left="143" w:right="702"/>
        <w:jc w:val="both"/>
      </w:pPr>
      <w:r>
        <w:t>A Companhia não registra os efeitos dos ativos fiscais diferidos de Imposto de Renda e Contribuição Social sobre o Lucro líquido, decorrentes de diferenças temporárias, prejuízos fiscais e resultado ajustado negativo de Contribuição Social Sobre o Lucro Líquido, até que passe a apresentar lucro tributável sustentável. No quadro a seguir são apresentados os valores dos ativos fiscais diferidos</w:t>
      </w:r>
      <w:r>
        <w:rPr>
          <w:spacing w:val="80"/>
        </w:rPr>
        <w:t xml:space="preserve"> </w:t>
      </w:r>
      <w:r>
        <w:t>em 31 de dezembro de 2025 e 31 de dezembro de 2024:</w:t>
      </w:r>
    </w:p>
    <w:p w14:paraId="611672F2" w14:textId="77777777" w:rsidR="002C6574" w:rsidRDefault="002C6574">
      <w:pPr>
        <w:pStyle w:val="Corpodetexto"/>
        <w:spacing w:before="59"/>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0"/>
        <w:gridCol w:w="1200"/>
        <w:gridCol w:w="1200"/>
        <w:gridCol w:w="1140"/>
        <w:gridCol w:w="1140"/>
      </w:tblGrid>
      <w:tr w:rsidR="002C6574" w14:paraId="30DACEE3" w14:textId="77777777">
        <w:trPr>
          <w:trHeight w:val="251"/>
        </w:trPr>
        <w:tc>
          <w:tcPr>
            <w:tcW w:w="5340" w:type="dxa"/>
            <w:vMerge w:val="restart"/>
            <w:shd w:val="clear" w:color="auto" w:fill="D8D8D8"/>
          </w:tcPr>
          <w:p w14:paraId="35449B29" w14:textId="77777777" w:rsidR="002C6574" w:rsidRDefault="00000000">
            <w:pPr>
              <w:pStyle w:val="TableParagraph"/>
              <w:spacing w:before="152"/>
              <w:ind w:left="69"/>
              <w:jc w:val="left"/>
              <w:rPr>
                <w:rFonts w:ascii="Arial" w:hAnsi="Arial"/>
                <w:b/>
                <w:sz w:val="18"/>
              </w:rPr>
            </w:pPr>
            <w:r>
              <w:rPr>
                <w:rFonts w:ascii="Arial" w:hAnsi="Arial"/>
                <w:b/>
                <w:spacing w:val="-2"/>
                <w:sz w:val="18"/>
              </w:rPr>
              <w:t>Composição:</w:t>
            </w:r>
          </w:p>
        </w:tc>
        <w:tc>
          <w:tcPr>
            <w:tcW w:w="2400" w:type="dxa"/>
            <w:gridSpan w:val="2"/>
          </w:tcPr>
          <w:p w14:paraId="2401474B" w14:textId="77777777" w:rsidR="002C6574" w:rsidRDefault="00000000">
            <w:pPr>
              <w:pStyle w:val="TableParagraph"/>
              <w:spacing w:before="44" w:line="187" w:lineRule="exact"/>
              <w:ind w:left="153"/>
              <w:jc w:val="left"/>
              <w:rPr>
                <w:rFonts w:ascii="Arial"/>
                <w:b/>
                <w:sz w:val="18"/>
              </w:rPr>
            </w:pPr>
            <w:r>
              <w:rPr>
                <w:rFonts w:ascii="Arial"/>
                <w:b/>
                <w:sz w:val="18"/>
              </w:rPr>
              <w:t>Imposto</w:t>
            </w:r>
            <w:r>
              <w:rPr>
                <w:rFonts w:ascii="Arial"/>
                <w:b/>
                <w:spacing w:val="-4"/>
                <w:sz w:val="18"/>
              </w:rPr>
              <w:t xml:space="preserve"> </w:t>
            </w:r>
            <w:r>
              <w:rPr>
                <w:rFonts w:ascii="Arial"/>
                <w:b/>
                <w:sz w:val="18"/>
              </w:rPr>
              <w:t>de Renda</w:t>
            </w:r>
            <w:r>
              <w:rPr>
                <w:rFonts w:ascii="Arial"/>
                <w:b/>
                <w:spacing w:val="3"/>
                <w:sz w:val="18"/>
              </w:rPr>
              <w:t xml:space="preserve"> </w:t>
            </w:r>
            <w:r>
              <w:rPr>
                <w:rFonts w:ascii="Arial"/>
                <w:b/>
                <w:spacing w:val="-4"/>
                <w:sz w:val="18"/>
              </w:rPr>
              <w:t>(25%)</w:t>
            </w:r>
          </w:p>
        </w:tc>
        <w:tc>
          <w:tcPr>
            <w:tcW w:w="2280" w:type="dxa"/>
            <w:gridSpan w:val="2"/>
          </w:tcPr>
          <w:p w14:paraId="6018C217" w14:textId="77777777" w:rsidR="002C6574" w:rsidRDefault="00000000">
            <w:pPr>
              <w:pStyle w:val="TableParagraph"/>
              <w:spacing w:before="44" w:line="187" w:lineRule="exact"/>
              <w:ind w:left="78"/>
              <w:jc w:val="left"/>
              <w:rPr>
                <w:rFonts w:ascii="Arial" w:hAnsi="Arial"/>
                <w:b/>
                <w:sz w:val="18"/>
              </w:rPr>
            </w:pPr>
            <w:r>
              <w:rPr>
                <w:rFonts w:ascii="Arial" w:hAnsi="Arial"/>
                <w:b/>
                <w:sz w:val="18"/>
              </w:rPr>
              <w:t>Contribuição</w:t>
            </w:r>
            <w:r>
              <w:rPr>
                <w:rFonts w:ascii="Arial" w:hAnsi="Arial"/>
                <w:b/>
                <w:spacing w:val="-4"/>
                <w:sz w:val="18"/>
              </w:rPr>
              <w:t xml:space="preserve"> </w:t>
            </w:r>
            <w:r>
              <w:rPr>
                <w:rFonts w:ascii="Arial" w:hAnsi="Arial"/>
                <w:b/>
                <w:sz w:val="18"/>
              </w:rPr>
              <w:t>Social</w:t>
            </w:r>
            <w:r>
              <w:rPr>
                <w:rFonts w:ascii="Arial" w:hAnsi="Arial"/>
                <w:b/>
                <w:spacing w:val="2"/>
                <w:sz w:val="18"/>
              </w:rPr>
              <w:t xml:space="preserve"> </w:t>
            </w:r>
            <w:r>
              <w:rPr>
                <w:rFonts w:ascii="Arial" w:hAnsi="Arial"/>
                <w:b/>
                <w:spacing w:val="-4"/>
                <w:sz w:val="18"/>
              </w:rPr>
              <w:t>(9%)</w:t>
            </w:r>
          </w:p>
        </w:tc>
      </w:tr>
      <w:tr w:rsidR="002C6574" w14:paraId="479A150C" w14:textId="77777777">
        <w:trPr>
          <w:trHeight w:val="249"/>
        </w:trPr>
        <w:tc>
          <w:tcPr>
            <w:tcW w:w="5340" w:type="dxa"/>
            <w:vMerge/>
            <w:tcBorders>
              <w:top w:val="nil"/>
            </w:tcBorders>
            <w:shd w:val="clear" w:color="auto" w:fill="D8D8D8"/>
          </w:tcPr>
          <w:p w14:paraId="553FAED5" w14:textId="77777777" w:rsidR="002C6574" w:rsidRDefault="002C6574">
            <w:pPr>
              <w:rPr>
                <w:sz w:val="2"/>
                <w:szCs w:val="2"/>
              </w:rPr>
            </w:pPr>
          </w:p>
        </w:tc>
        <w:tc>
          <w:tcPr>
            <w:tcW w:w="1200" w:type="dxa"/>
          </w:tcPr>
          <w:p w14:paraId="07230F74" w14:textId="77777777" w:rsidR="002C6574" w:rsidRDefault="00000000">
            <w:pPr>
              <w:pStyle w:val="TableParagraph"/>
              <w:spacing w:before="42" w:line="187" w:lineRule="exact"/>
              <w:ind w:left="148"/>
              <w:jc w:val="left"/>
              <w:rPr>
                <w:rFonts w:ascii="Arial"/>
                <w:b/>
                <w:sz w:val="18"/>
              </w:rPr>
            </w:pPr>
            <w:r>
              <w:rPr>
                <w:rFonts w:ascii="Arial"/>
                <w:b/>
                <w:spacing w:val="-2"/>
                <w:sz w:val="18"/>
              </w:rPr>
              <w:t>31/12/2025</w:t>
            </w:r>
          </w:p>
        </w:tc>
        <w:tc>
          <w:tcPr>
            <w:tcW w:w="1200" w:type="dxa"/>
          </w:tcPr>
          <w:p w14:paraId="67148218" w14:textId="77777777" w:rsidR="002C6574" w:rsidRDefault="00000000">
            <w:pPr>
              <w:pStyle w:val="TableParagraph"/>
              <w:spacing w:before="42" w:line="187" w:lineRule="exact"/>
              <w:ind w:left="148"/>
              <w:jc w:val="left"/>
              <w:rPr>
                <w:rFonts w:ascii="Arial"/>
                <w:b/>
                <w:sz w:val="18"/>
              </w:rPr>
            </w:pPr>
            <w:r>
              <w:rPr>
                <w:rFonts w:ascii="Arial"/>
                <w:b/>
                <w:spacing w:val="-2"/>
                <w:sz w:val="18"/>
              </w:rPr>
              <w:t>31/12/2024</w:t>
            </w:r>
          </w:p>
        </w:tc>
        <w:tc>
          <w:tcPr>
            <w:tcW w:w="1140" w:type="dxa"/>
          </w:tcPr>
          <w:p w14:paraId="18CFD253" w14:textId="77777777" w:rsidR="002C6574" w:rsidRDefault="00000000">
            <w:pPr>
              <w:pStyle w:val="TableParagraph"/>
              <w:spacing w:before="42" w:line="187" w:lineRule="exact"/>
              <w:ind w:right="106"/>
              <w:rPr>
                <w:rFonts w:ascii="Arial"/>
                <w:b/>
                <w:sz w:val="18"/>
              </w:rPr>
            </w:pPr>
            <w:r>
              <w:rPr>
                <w:rFonts w:ascii="Arial"/>
                <w:b/>
                <w:spacing w:val="-2"/>
                <w:sz w:val="18"/>
              </w:rPr>
              <w:t>31/12/2025</w:t>
            </w:r>
          </w:p>
        </w:tc>
        <w:tc>
          <w:tcPr>
            <w:tcW w:w="1140" w:type="dxa"/>
          </w:tcPr>
          <w:p w14:paraId="77C47A70" w14:textId="77777777" w:rsidR="002C6574" w:rsidRDefault="00000000">
            <w:pPr>
              <w:pStyle w:val="TableParagraph"/>
              <w:spacing w:before="42" w:line="187" w:lineRule="exact"/>
              <w:ind w:right="106"/>
              <w:rPr>
                <w:rFonts w:ascii="Arial"/>
                <w:b/>
                <w:sz w:val="18"/>
              </w:rPr>
            </w:pPr>
            <w:r>
              <w:rPr>
                <w:rFonts w:ascii="Arial"/>
                <w:b/>
                <w:spacing w:val="-2"/>
                <w:sz w:val="18"/>
              </w:rPr>
              <w:t>31/12/2024</w:t>
            </w:r>
          </w:p>
        </w:tc>
      </w:tr>
      <w:tr w:rsidR="002C6574" w14:paraId="50409F5F" w14:textId="77777777">
        <w:trPr>
          <w:trHeight w:val="249"/>
        </w:trPr>
        <w:tc>
          <w:tcPr>
            <w:tcW w:w="5340" w:type="dxa"/>
          </w:tcPr>
          <w:p w14:paraId="7D2638A9" w14:textId="77777777" w:rsidR="002C6574" w:rsidRDefault="00000000">
            <w:pPr>
              <w:pStyle w:val="TableParagraph"/>
              <w:spacing w:line="229" w:lineRule="exact"/>
              <w:ind w:left="69"/>
              <w:jc w:val="left"/>
              <w:rPr>
                <w:sz w:val="18"/>
              </w:rPr>
            </w:pPr>
            <w:r>
              <w:rPr>
                <w:w w:val="105"/>
                <w:sz w:val="18"/>
              </w:rPr>
              <w:t>Provisão</w:t>
            </w:r>
            <w:r>
              <w:rPr>
                <w:spacing w:val="-7"/>
                <w:w w:val="105"/>
                <w:sz w:val="18"/>
              </w:rPr>
              <w:t xml:space="preserve"> </w:t>
            </w:r>
            <w:r>
              <w:rPr>
                <w:w w:val="105"/>
                <w:sz w:val="18"/>
              </w:rPr>
              <w:t>p/</w:t>
            </w:r>
            <w:r>
              <w:rPr>
                <w:spacing w:val="-4"/>
                <w:w w:val="105"/>
                <w:sz w:val="18"/>
              </w:rPr>
              <w:t xml:space="preserve"> </w:t>
            </w:r>
            <w:r>
              <w:rPr>
                <w:w w:val="105"/>
                <w:sz w:val="18"/>
              </w:rPr>
              <w:t>Riscos</w:t>
            </w:r>
            <w:r>
              <w:rPr>
                <w:spacing w:val="-3"/>
                <w:w w:val="105"/>
                <w:sz w:val="18"/>
              </w:rPr>
              <w:t xml:space="preserve"> </w:t>
            </w:r>
            <w:r>
              <w:rPr>
                <w:w w:val="105"/>
                <w:sz w:val="18"/>
              </w:rPr>
              <w:t>Trabalhistas,</w:t>
            </w:r>
            <w:r>
              <w:rPr>
                <w:spacing w:val="-6"/>
                <w:w w:val="105"/>
                <w:sz w:val="18"/>
              </w:rPr>
              <w:t xml:space="preserve"> </w:t>
            </w:r>
            <w:r>
              <w:rPr>
                <w:w w:val="105"/>
                <w:sz w:val="18"/>
              </w:rPr>
              <w:t>Cíveis</w:t>
            </w:r>
            <w:r>
              <w:rPr>
                <w:spacing w:val="-7"/>
                <w:w w:val="105"/>
                <w:sz w:val="18"/>
              </w:rPr>
              <w:t xml:space="preserve"> </w:t>
            </w:r>
            <w:r>
              <w:rPr>
                <w:w w:val="105"/>
                <w:sz w:val="18"/>
              </w:rPr>
              <w:t>e</w:t>
            </w:r>
            <w:r>
              <w:rPr>
                <w:spacing w:val="-3"/>
                <w:w w:val="105"/>
                <w:sz w:val="18"/>
              </w:rPr>
              <w:t xml:space="preserve"> </w:t>
            </w:r>
            <w:r>
              <w:rPr>
                <w:spacing w:val="-2"/>
                <w:w w:val="105"/>
                <w:sz w:val="18"/>
              </w:rPr>
              <w:t>Fiscais</w:t>
            </w:r>
          </w:p>
        </w:tc>
        <w:tc>
          <w:tcPr>
            <w:tcW w:w="1200" w:type="dxa"/>
          </w:tcPr>
          <w:p w14:paraId="3E589A4A" w14:textId="77777777" w:rsidR="002C6574" w:rsidRDefault="00000000">
            <w:pPr>
              <w:pStyle w:val="TableParagraph"/>
              <w:spacing w:before="16" w:line="212" w:lineRule="exact"/>
              <w:ind w:right="55"/>
              <w:rPr>
                <w:sz w:val="18"/>
              </w:rPr>
            </w:pPr>
            <w:r>
              <w:rPr>
                <w:spacing w:val="-2"/>
                <w:w w:val="105"/>
                <w:sz w:val="18"/>
              </w:rPr>
              <w:t>17.930</w:t>
            </w:r>
          </w:p>
        </w:tc>
        <w:tc>
          <w:tcPr>
            <w:tcW w:w="1200" w:type="dxa"/>
          </w:tcPr>
          <w:p w14:paraId="6823DC20" w14:textId="77777777" w:rsidR="002C6574" w:rsidRDefault="00000000">
            <w:pPr>
              <w:pStyle w:val="TableParagraph"/>
              <w:spacing w:before="16" w:line="212" w:lineRule="exact"/>
              <w:ind w:right="55"/>
              <w:rPr>
                <w:sz w:val="18"/>
              </w:rPr>
            </w:pPr>
            <w:r>
              <w:rPr>
                <w:spacing w:val="-2"/>
                <w:w w:val="105"/>
                <w:sz w:val="18"/>
              </w:rPr>
              <w:t>16.189</w:t>
            </w:r>
          </w:p>
        </w:tc>
        <w:tc>
          <w:tcPr>
            <w:tcW w:w="1140" w:type="dxa"/>
          </w:tcPr>
          <w:p w14:paraId="42C0B042" w14:textId="77777777" w:rsidR="002C6574" w:rsidRDefault="00000000">
            <w:pPr>
              <w:pStyle w:val="TableParagraph"/>
              <w:spacing w:before="16" w:line="212" w:lineRule="exact"/>
              <w:ind w:right="56"/>
              <w:rPr>
                <w:sz w:val="18"/>
              </w:rPr>
            </w:pPr>
            <w:r>
              <w:rPr>
                <w:spacing w:val="-2"/>
                <w:w w:val="110"/>
                <w:sz w:val="18"/>
              </w:rPr>
              <w:t>6.455</w:t>
            </w:r>
          </w:p>
        </w:tc>
        <w:tc>
          <w:tcPr>
            <w:tcW w:w="1140" w:type="dxa"/>
          </w:tcPr>
          <w:p w14:paraId="7536BEBF" w14:textId="77777777" w:rsidR="002C6574" w:rsidRDefault="00000000">
            <w:pPr>
              <w:pStyle w:val="TableParagraph"/>
              <w:spacing w:before="16" w:line="212" w:lineRule="exact"/>
              <w:ind w:right="56"/>
              <w:rPr>
                <w:sz w:val="18"/>
              </w:rPr>
            </w:pPr>
            <w:r>
              <w:rPr>
                <w:spacing w:val="-2"/>
                <w:w w:val="110"/>
                <w:sz w:val="18"/>
              </w:rPr>
              <w:t>5.828</w:t>
            </w:r>
          </w:p>
        </w:tc>
      </w:tr>
      <w:tr w:rsidR="002C6574" w14:paraId="7C66972B" w14:textId="77777777">
        <w:trPr>
          <w:trHeight w:val="251"/>
        </w:trPr>
        <w:tc>
          <w:tcPr>
            <w:tcW w:w="5340" w:type="dxa"/>
          </w:tcPr>
          <w:p w14:paraId="5A2ECE43" w14:textId="77777777" w:rsidR="002C6574" w:rsidRDefault="00000000">
            <w:pPr>
              <w:pStyle w:val="TableParagraph"/>
              <w:spacing w:line="232" w:lineRule="exact"/>
              <w:ind w:left="69"/>
              <w:jc w:val="left"/>
              <w:rPr>
                <w:sz w:val="18"/>
              </w:rPr>
            </w:pPr>
            <w:r>
              <w:rPr>
                <w:sz w:val="18"/>
              </w:rPr>
              <w:t>Perda</w:t>
            </w:r>
            <w:r>
              <w:rPr>
                <w:spacing w:val="6"/>
                <w:sz w:val="18"/>
              </w:rPr>
              <w:t xml:space="preserve"> </w:t>
            </w:r>
            <w:r>
              <w:rPr>
                <w:sz w:val="18"/>
              </w:rPr>
              <w:t>Estimada</w:t>
            </w:r>
            <w:r>
              <w:rPr>
                <w:spacing w:val="5"/>
                <w:sz w:val="18"/>
              </w:rPr>
              <w:t xml:space="preserve"> </w:t>
            </w:r>
            <w:r>
              <w:rPr>
                <w:sz w:val="18"/>
              </w:rPr>
              <w:t>c/</w:t>
            </w:r>
            <w:r>
              <w:rPr>
                <w:spacing w:val="7"/>
                <w:sz w:val="18"/>
              </w:rPr>
              <w:t xml:space="preserve"> </w:t>
            </w:r>
            <w:r>
              <w:rPr>
                <w:sz w:val="18"/>
              </w:rPr>
              <w:t>Crédito</w:t>
            </w:r>
            <w:r>
              <w:rPr>
                <w:spacing w:val="6"/>
                <w:sz w:val="18"/>
              </w:rPr>
              <w:t xml:space="preserve"> </w:t>
            </w:r>
            <w:r>
              <w:rPr>
                <w:sz w:val="18"/>
              </w:rPr>
              <w:t>de</w:t>
            </w:r>
            <w:r>
              <w:rPr>
                <w:spacing w:val="5"/>
                <w:sz w:val="18"/>
              </w:rPr>
              <w:t xml:space="preserve"> </w:t>
            </w:r>
            <w:r>
              <w:rPr>
                <w:sz w:val="18"/>
              </w:rPr>
              <w:t>Liquidação</w:t>
            </w:r>
            <w:r>
              <w:rPr>
                <w:spacing w:val="9"/>
                <w:sz w:val="18"/>
              </w:rPr>
              <w:t xml:space="preserve"> </w:t>
            </w:r>
            <w:r>
              <w:rPr>
                <w:spacing w:val="-2"/>
                <w:sz w:val="18"/>
              </w:rPr>
              <w:t>Duvidosa</w:t>
            </w:r>
          </w:p>
        </w:tc>
        <w:tc>
          <w:tcPr>
            <w:tcW w:w="1200" w:type="dxa"/>
          </w:tcPr>
          <w:p w14:paraId="50ABB682" w14:textId="77777777" w:rsidR="002C6574" w:rsidRDefault="00000000">
            <w:pPr>
              <w:pStyle w:val="TableParagraph"/>
              <w:spacing w:before="19" w:line="212" w:lineRule="exact"/>
              <w:ind w:right="56"/>
              <w:rPr>
                <w:sz w:val="18"/>
              </w:rPr>
            </w:pPr>
            <w:r>
              <w:rPr>
                <w:spacing w:val="-2"/>
                <w:w w:val="110"/>
                <w:sz w:val="18"/>
              </w:rPr>
              <w:t>1.522</w:t>
            </w:r>
          </w:p>
        </w:tc>
        <w:tc>
          <w:tcPr>
            <w:tcW w:w="1200" w:type="dxa"/>
          </w:tcPr>
          <w:p w14:paraId="66856EB8" w14:textId="77777777" w:rsidR="002C6574" w:rsidRDefault="00000000">
            <w:pPr>
              <w:pStyle w:val="TableParagraph"/>
              <w:spacing w:before="19" w:line="212" w:lineRule="exact"/>
              <w:ind w:right="57"/>
              <w:rPr>
                <w:sz w:val="18"/>
              </w:rPr>
            </w:pPr>
            <w:r>
              <w:rPr>
                <w:spacing w:val="-5"/>
                <w:w w:val="105"/>
                <w:sz w:val="18"/>
              </w:rPr>
              <w:t>820</w:t>
            </w:r>
          </w:p>
        </w:tc>
        <w:tc>
          <w:tcPr>
            <w:tcW w:w="1140" w:type="dxa"/>
          </w:tcPr>
          <w:p w14:paraId="27F56C5A" w14:textId="77777777" w:rsidR="002C6574" w:rsidRDefault="00000000">
            <w:pPr>
              <w:pStyle w:val="TableParagraph"/>
              <w:spacing w:before="19" w:line="212" w:lineRule="exact"/>
              <w:ind w:right="57"/>
              <w:rPr>
                <w:sz w:val="18"/>
              </w:rPr>
            </w:pPr>
            <w:r>
              <w:rPr>
                <w:spacing w:val="-5"/>
                <w:w w:val="105"/>
                <w:sz w:val="18"/>
              </w:rPr>
              <w:t>548</w:t>
            </w:r>
          </w:p>
        </w:tc>
        <w:tc>
          <w:tcPr>
            <w:tcW w:w="1140" w:type="dxa"/>
          </w:tcPr>
          <w:p w14:paraId="0D4A7491" w14:textId="77777777" w:rsidR="002C6574" w:rsidRDefault="00000000">
            <w:pPr>
              <w:pStyle w:val="TableParagraph"/>
              <w:spacing w:before="19" w:line="212" w:lineRule="exact"/>
              <w:ind w:right="57"/>
              <w:rPr>
                <w:sz w:val="18"/>
              </w:rPr>
            </w:pPr>
            <w:r>
              <w:rPr>
                <w:spacing w:val="-5"/>
                <w:w w:val="105"/>
                <w:sz w:val="18"/>
              </w:rPr>
              <w:t>295</w:t>
            </w:r>
          </w:p>
        </w:tc>
      </w:tr>
      <w:tr w:rsidR="002C6574" w14:paraId="67E91FC5" w14:textId="77777777">
        <w:trPr>
          <w:trHeight w:val="249"/>
        </w:trPr>
        <w:tc>
          <w:tcPr>
            <w:tcW w:w="5340" w:type="dxa"/>
          </w:tcPr>
          <w:p w14:paraId="06C24B2E" w14:textId="77777777" w:rsidR="002C6574" w:rsidRDefault="00000000">
            <w:pPr>
              <w:pStyle w:val="TableParagraph"/>
              <w:spacing w:line="229" w:lineRule="exact"/>
              <w:ind w:left="69"/>
              <w:jc w:val="left"/>
              <w:rPr>
                <w:sz w:val="18"/>
              </w:rPr>
            </w:pPr>
            <w:r>
              <w:rPr>
                <w:sz w:val="18"/>
              </w:rPr>
              <w:t>Provisão</w:t>
            </w:r>
            <w:r>
              <w:rPr>
                <w:spacing w:val="7"/>
                <w:sz w:val="18"/>
              </w:rPr>
              <w:t xml:space="preserve"> </w:t>
            </w:r>
            <w:r>
              <w:rPr>
                <w:sz w:val="18"/>
              </w:rPr>
              <w:t>o</w:t>
            </w:r>
            <w:r>
              <w:rPr>
                <w:spacing w:val="11"/>
                <w:sz w:val="18"/>
              </w:rPr>
              <w:t xml:space="preserve"> </w:t>
            </w:r>
            <w:r>
              <w:rPr>
                <w:sz w:val="18"/>
              </w:rPr>
              <w:t>Programa</w:t>
            </w:r>
            <w:r>
              <w:rPr>
                <w:spacing w:val="8"/>
                <w:sz w:val="18"/>
              </w:rPr>
              <w:t xml:space="preserve"> </w:t>
            </w:r>
            <w:r>
              <w:rPr>
                <w:sz w:val="18"/>
              </w:rPr>
              <w:t>por</w:t>
            </w:r>
            <w:r>
              <w:rPr>
                <w:spacing w:val="8"/>
                <w:sz w:val="18"/>
              </w:rPr>
              <w:t xml:space="preserve"> </w:t>
            </w:r>
            <w:r>
              <w:rPr>
                <w:sz w:val="18"/>
              </w:rPr>
              <w:t>Serviços</w:t>
            </w:r>
            <w:r>
              <w:rPr>
                <w:spacing w:val="12"/>
                <w:sz w:val="18"/>
              </w:rPr>
              <w:t xml:space="preserve"> </w:t>
            </w:r>
            <w:r>
              <w:rPr>
                <w:sz w:val="18"/>
              </w:rPr>
              <w:t>Prestados</w:t>
            </w:r>
            <w:r>
              <w:rPr>
                <w:spacing w:val="11"/>
                <w:sz w:val="18"/>
              </w:rPr>
              <w:t xml:space="preserve"> </w:t>
            </w:r>
            <w:r>
              <w:rPr>
                <w:sz w:val="18"/>
              </w:rPr>
              <w:t>-</w:t>
            </w:r>
            <w:r>
              <w:rPr>
                <w:spacing w:val="10"/>
                <w:sz w:val="18"/>
              </w:rPr>
              <w:t xml:space="preserve"> </w:t>
            </w:r>
            <w:r>
              <w:rPr>
                <w:spacing w:val="-4"/>
                <w:sz w:val="18"/>
              </w:rPr>
              <w:t>PISP</w:t>
            </w:r>
          </w:p>
        </w:tc>
        <w:tc>
          <w:tcPr>
            <w:tcW w:w="1200" w:type="dxa"/>
          </w:tcPr>
          <w:p w14:paraId="66CACF3E" w14:textId="77777777" w:rsidR="002C6574" w:rsidRDefault="00000000">
            <w:pPr>
              <w:pStyle w:val="TableParagraph"/>
              <w:spacing w:before="16" w:line="212" w:lineRule="exact"/>
              <w:ind w:right="56"/>
              <w:rPr>
                <w:sz w:val="18"/>
              </w:rPr>
            </w:pPr>
            <w:r>
              <w:rPr>
                <w:spacing w:val="-2"/>
                <w:w w:val="110"/>
                <w:sz w:val="18"/>
              </w:rPr>
              <w:t>5.316</w:t>
            </w:r>
          </w:p>
        </w:tc>
        <w:tc>
          <w:tcPr>
            <w:tcW w:w="1200" w:type="dxa"/>
          </w:tcPr>
          <w:p w14:paraId="0D7D6BD2" w14:textId="77777777" w:rsidR="002C6574" w:rsidRDefault="00000000">
            <w:pPr>
              <w:pStyle w:val="TableParagraph"/>
              <w:spacing w:before="16" w:line="212" w:lineRule="exact"/>
              <w:ind w:right="56"/>
              <w:rPr>
                <w:sz w:val="18"/>
              </w:rPr>
            </w:pPr>
            <w:r>
              <w:rPr>
                <w:spacing w:val="-2"/>
                <w:w w:val="110"/>
                <w:sz w:val="18"/>
              </w:rPr>
              <w:t>5.688</w:t>
            </w:r>
          </w:p>
        </w:tc>
        <w:tc>
          <w:tcPr>
            <w:tcW w:w="1140" w:type="dxa"/>
          </w:tcPr>
          <w:p w14:paraId="1F9E1927" w14:textId="77777777" w:rsidR="002C6574" w:rsidRDefault="00000000">
            <w:pPr>
              <w:pStyle w:val="TableParagraph"/>
              <w:spacing w:before="16" w:line="212" w:lineRule="exact"/>
              <w:ind w:right="56"/>
              <w:rPr>
                <w:sz w:val="18"/>
              </w:rPr>
            </w:pPr>
            <w:r>
              <w:rPr>
                <w:spacing w:val="-2"/>
                <w:w w:val="110"/>
                <w:sz w:val="18"/>
              </w:rPr>
              <w:t>1.914</w:t>
            </w:r>
          </w:p>
        </w:tc>
        <w:tc>
          <w:tcPr>
            <w:tcW w:w="1140" w:type="dxa"/>
          </w:tcPr>
          <w:p w14:paraId="0F37BA0C" w14:textId="77777777" w:rsidR="002C6574" w:rsidRDefault="00000000">
            <w:pPr>
              <w:pStyle w:val="TableParagraph"/>
              <w:spacing w:before="16" w:line="212" w:lineRule="exact"/>
              <w:ind w:right="56"/>
              <w:rPr>
                <w:sz w:val="18"/>
              </w:rPr>
            </w:pPr>
            <w:r>
              <w:rPr>
                <w:spacing w:val="-2"/>
                <w:w w:val="110"/>
                <w:sz w:val="18"/>
              </w:rPr>
              <w:t>2.048</w:t>
            </w:r>
          </w:p>
        </w:tc>
      </w:tr>
    </w:tbl>
    <w:p w14:paraId="7574B85B" w14:textId="77777777" w:rsidR="002C6574" w:rsidRDefault="002C6574">
      <w:pPr>
        <w:pStyle w:val="TableParagraph"/>
        <w:spacing w:line="212" w:lineRule="exact"/>
        <w:rPr>
          <w:sz w:val="18"/>
        </w:rPr>
        <w:sectPr w:rsidR="002C6574">
          <w:pgSz w:w="11910" w:h="16840"/>
          <w:pgMar w:top="1600" w:right="141" w:bottom="1320" w:left="1133" w:header="856" w:footer="1123" w:gutter="0"/>
          <w:cols w:space="720"/>
        </w:sectPr>
      </w:pPr>
    </w:p>
    <w:p w14:paraId="19D17B90" w14:textId="77777777" w:rsidR="002C6574" w:rsidRDefault="002C6574">
      <w:pPr>
        <w:pStyle w:val="Corpodetexto"/>
        <w:spacing w:before="3"/>
        <w:rPr>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0"/>
        <w:gridCol w:w="1200"/>
        <w:gridCol w:w="1200"/>
        <w:gridCol w:w="1140"/>
        <w:gridCol w:w="1140"/>
      </w:tblGrid>
      <w:tr w:rsidR="002C6574" w14:paraId="6CA19313" w14:textId="77777777">
        <w:trPr>
          <w:trHeight w:val="251"/>
        </w:trPr>
        <w:tc>
          <w:tcPr>
            <w:tcW w:w="5340" w:type="dxa"/>
            <w:vMerge w:val="restart"/>
            <w:shd w:val="clear" w:color="auto" w:fill="D8D8D8"/>
          </w:tcPr>
          <w:p w14:paraId="147E0A93" w14:textId="77777777" w:rsidR="002C6574" w:rsidRDefault="00000000">
            <w:pPr>
              <w:pStyle w:val="TableParagraph"/>
              <w:spacing w:before="152"/>
              <w:ind w:left="69"/>
              <w:jc w:val="left"/>
              <w:rPr>
                <w:rFonts w:ascii="Arial" w:hAnsi="Arial"/>
                <w:b/>
                <w:sz w:val="18"/>
              </w:rPr>
            </w:pPr>
            <w:r>
              <w:rPr>
                <w:rFonts w:ascii="Arial" w:hAnsi="Arial"/>
                <w:b/>
                <w:spacing w:val="-2"/>
                <w:sz w:val="18"/>
              </w:rPr>
              <w:t>Composição:</w:t>
            </w:r>
          </w:p>
        </w:tc>
        <w:tc>
          <w:tcPr>
            <w:tcW w:w="2400" w:type="dxa"/>
            <w:gridSpan w:val="2"/>
          </w:tcPr>
          <w:p w14:paraId="426852EA" w14:textId="77777777" w:rsidR="002C6574" w:rsidRDefault="00000000">
            <w:pPr>
              <w:pStyle w:val="TableParagraph"/>
              <w:spacing w:before="42" w:line="189" w:lineRule="exact"/>
              <w:ind w:left="153"/>
              <w:jc w:val="left"/>
              <w:rPr>
                <w:rFonts w:ascii="Arial"/>
                <w:b/>
                <w:sz w:val="18"/>
              </w:rPr>
            </w:pPr>
            <w:r>
              <w:rPr>
                <w:rFonts w:ascii="Arial"/>
                <w:b/>
                <w:sz w:val="18"/>
              </w:rPr>
              <w:t>Imposto</w:t>
            </w:r>
            <w:r>
              <w:rPr>
                <w:rFonts w:ascii="Arial"/>
                <w:b/>
                <w:spacing w:val="-4"/>
                <w:sz w:val="18"/>
              </w:rPr>
              <w:t xml:space="preserve"> </w:t>
            </w:r>
            <w:r>
              <w:rPr>
                <w:rFonts w:ascii="Arial"/>
                <w:b/>
                <w:sz w:val="18"/>
              </w:rPr>
              <w:t>de Renda</w:t>
            </w:r>
            <w:r>
              <w:rPr>
                <w:rFonts w:ascii="Arial"/>
                <w:b/>
                <w:spacing w:val="3"/>
                <w:sz w:val="18"/>
              </w:rPr>
              <w:t xml:space="preserve"> </w:t>
            </w:r>
            <w:r>
              <w:rPr>
                <w:rFonts w:ascii="Arial"/>
                <w:b/>
                <w:spacing w:val="-4"/>
                <w:sz w:val="18"/>
              </w:rPr>
              <w:t>(25%)</w:t>
            </w:r>
          </w:p>
        </w:tc>
        <w:tc>
          <w:tcPr>
            <w:tcW w:w="2280" w:type="dxa"/>
            <w:gridSpan w:val="2"/>
          </w:tcPr>
          <w:p w14:paraId="3741A69C" w14:textId="77777777" w:rsidR="002C6574" w:rsidRDefault="00000000">
            <w:pPr>
              <w:pStyle w:val="TableParagraph"/>
              <w:spacing w:before="42" w:line="189" w:lineRule="exact"/>
              <w:ind w:left="78"/>
              <w:jc w:val="left"/>
              <w:rPr>
                <w:rFonts w:ascii="Arial" w:hAnsi="Arial"/>
                <w:b/>
                <w:sz w:val="18"/>
              </w:rPr>
            </w:pPr>
            <w:r>
              <w:rPr>
                <w:rFonts w:ascii="Arial" w:hAnsi="Arial"/>
                <w:b/>
                <w:sz w:val="18"/>
              </w:rPr>
              <w:t>Contribuição</w:t>
            </w:r>
            <w:r>
              <w:rPr>
                <w:rFonts w:ascii="Arial" w:hAnsi="Arial"/>
                <w:b/>
                <w:spacing w:val="-4"/>
                <w:sz w:val="18"/>
              </w:rPr>
              <w:t xml:space="preserve"> </w:t>
            </w:r>
            <w:r>
              <w:rPr>
                <w:rFonts w:ascii="Arial" w:hAnsi="Arial"/>
                <w:b/>
                <w:sz w:val="18"/>
              </w:rPr>
              <w:t>Social</w:t>
            </w:r>
            <w:r>
              <w:rPr>
                <w:rFonts w:ascii="Arial" w:hAnsi="Arial"/>
                <w:b/>
                <w:spacing w:val="2"/>
                <w:sz w:val="18"/>
              </w:rPr>
              <w:t xml:space="preserve"> </w:t>
            </w:r>
            <w:r>
              <w:rPr>
                <w:rFonts w:ascii="Arial" w:hAnsi="Arial"/>
                <w:b/>
                <w:spacing w:val="-4"/>
                <w:sz w:val="18"/>
              </w:rPr>
              <w:t>(9%)</w:t>
            </w:r>
          </w:p>
        </w:tc>
      </w:tr>
      <w:tr w:rsidR="002C6574" w14:paraId="27A17A30" w14:textId="77777777">
        <w:trPr>
          <w:trHeight w:val="249"/>
        </w:trPr>
        <w:tc>
          <w:tcPr>
            <w:tcW w:w="5340" w:type="dxa"/>
            <w:vMerge/>
            <w:tcBorders>
              <w:top w:val="nil"/>
            </w:tcBorders>
            <w:shd w:val="clear" w:color="auto" w:fill="D8D8D8"/>
          </w:tcPr>
          <w:p w14:paraId="0D942908" w14:textId="77777777" w:rsidR="002C6574" w:rsidRDefault="002C6574">
            <w:pPr>
              <w:rPr>
                <w:sz w:val="2"/>
                <w:szCs w:val="2"/>
              </w:rPr>
            </w:pPr>
          </w:p>
        </w:tc>
        <w:tc>
          <w:tcPr>
            <w:tcW w:w="1200" w:type="dxa"/>
          </w:tcPr>
          <w:p w14:paraId="07F6C564" w14:textId="77777777" w:rsidR="002C6574" w:rsidRDefault="00000000">
            <w:pPr>
              <w:pStyle w:val="TableParagraph"/>
              <w:spacing w:before="42" w:line="187" w:lineRule="exact"/>
              <w:ind w:left="148"/>
              <w:jc w:val="left"/>
              <w:rPr>
                <w:rFonts w:ascii="Arial"/>
                <w:b/>
                <w:sz w:val="18"/>
              </w:rPr>
            </w:pPr>
            <w:r>
              <w:rPr>
                <w:rFonts w:ascii="Arial"/>
                <w:b/>
                <w:spacing w:val="-2"/>
                <w:sz w:val="18"/>
              </w:rPr>
              <w:t>31/12/2025</w:t>
            </w:r>
          </w:p>
        </w:tc>
        <w:tc>
          <w:tcPr>
            <w:tcW w:w="1200" w:type="dxa"/>
          </w:tcPr>
          <w:p w14:paraId="20FF4A9F" w14:textId="77777777" w:rsidR="002C6574" w:rsidRDefault="00000000">
            <w:pPr>
              <w:pStyle w:val="TableParagraph"/>
              <w:spacing w:before="42" w:line="187" w:lineRule="exact"/>
              <w:ind w:left="148"/>
              <w:jc w:val="left"/>
              <w:rPr>
                <w:rFonts w:ascii="Arial"/>
                <w:b/>
                <w:sz w:val="18"/>
              </w:rPr>
            </w:pPr>
            <w:r>
              <w:rPr>
                <w:rFonts w:ascii="Arial"/>
                <w:b/>
                <w:spacing w:val="-2"/>
                <w:sz w:val="18"/>
              </w:rPr>
              <w:t>31/12/2024</w:t>
            </w:r>
          </w:p>
        </w:tc>
        <w:tc>
          <w:tcPr>
            <w:tcW w:w="1140" w:type="dxa"/>
          </w:tcPr>
          <w:p w14:paraId="7CDE7F90" w14:textId="77777777" w:rsidR="002C6574" w:rsidRDefault="00000000">
            <w:pPr>
              <w:pStyle w:val="TableParagraph"/>
              <w:spacing w:before="42" w:line="187" w:lineRule="exact"/>
              <w:ind w:right="106"/>
              <w:rPr>
                <w:rFonts w:ascii="Arial"/>
                <w:b/>
                <w:sz w:val="18"/>
              </w:rPr>
            </w:pPr>
            <w:r>
              <w:rPr>
                <w:rFonts w:ascii="Arial"/>
                <w:b/>
                <w:spacing w:val="-2"/>
                <w:sz w:val="18"/>
              </w:rPr>
              <w:t>31/12/2025</w:t>
            </w:r>
          </w:p>
        </w:tc>
        <w:tc>
          <w:tcPr>
            <w:tcW w:w="1140" w:type="dxa"/>
          </w:tcPr>
          <w:p w14:paraId="7ED0B44A" w14:textId="77777777" w:rsidR="002C6574" w:rsidRDefault="00000000">
            <w:pPr>
              <w:pStyle w:val="TableParagraph"/>
              <w:spacing w:before="42" w:line="187" w:lineRule="exact"/>
              <w:ind w:right="106"/>
              <w:rPr>
                <w:rFonts w:ascii="Arial"/>
                <w:b/>
                <w:sz w:val="18"/>
              </w:rPr>
            </w:pPr>
            <w:r>
              <w:rPr>
                <w:rFonts w:ascii="Arial"/>
                <w:b/>
                <w:spacing w:val="-2"/>
                <w:sz w:val="18"/>
              </w:rPr>
              <w:t>31/12/2024</w:t>
            </w:r>
          </w:p>
        </w:tc>
      </w:tr>
      <w:tr w:rsidR="002C6574" w14:paraId="430DCEDA" w14:textId="77777777">
        <w:trPr>
          <w:trHeight w:val="249"/>
        </w:trPr>
        <w:tc>
          <w:tcPr>
            <w:tcW w:w="5340" w:type="dxa"/>
          </w:tcPr>
          <w:p w14:paraId="78D94E4A" w14:textId="77777777" w:rsidR="002C6574" w:rsidRDefault="00000000">
            <w:pPr>
              <w:pStyle w:val="TableParagraph"/>
              <w:spacing w:line="229" w:lineRule="exact"/>
              <w:ind w:left="69"/>
              <w:jc w:val="left"/>
              <w:rPr>
                <w:sz w:val="18"/>
              </w:rPr>
            </w:pPr>
            <w:r>
              <w:rPr>
                <w:sz w:val="18"/>
              </w:rPr>
              <w:t>Provisões</w:t>
            </w:r>
            <w:r>
              <w:rPr>
                <w:spacing w:val="11"/>
                <w:sz w:val="18"/>
              </w:rPr>
              <w:t xml:space="preserve"> </w:t>
            </w:r>
            <w:r>
              <w:rPr>
                <w:sz w:val="18"/>
              </w:rPr>
              <w:t>-</w:t>
            </w:r>
            <w:r>
              <w:rPr>
                <w:spacing w:val="10"/>
                <w:sz w:val="18"/>
              </w:rPr>
              <w:t xml:space="preserve"> </w:t>
            </w:r>
            <w:r>
              <w:rPr>
                <w:spacing w:val="-2"/>
                <w:sz w:val="18"/>
              </w:rPr>
              <w:t>Custeio</w:t>
            </w:r>
          </w:p>
        </w:tc>
        <w:tc>
          <w:tcPr>
            <w:tcW w:w="1200" w:type="dxa"/>
          </w:tcPr>
          <w:p w14:paraId="439D5855" w14:textId="77777777" w:rsidR="002C6574" w:rsidRDefault="00000000">
            <w:pPr>
              <w:pStyle w:val="TableParagraph"/>
              <w:spacing w:before="16" w:line="212" w:lineRule="exact"/>
              <w:ind w:right="55"/>
              <w:rPr>
                <w:sz w:val="18"/>
              </w:rPr>
            </w:pPr>
            <w:r>
              <w:rPr>
                <w:spacing w:val="-2"/>
                <w:w w:val="105"/>
                <w:sz w:val="18"/>
              </w:rPr>
              <w:t>18.503</w:t>
            </w:r>
          </w:p>
        </w:tc>
        <w:tc>
          <w:tcPr>
            <w:tcW w:w="1200" w:type="dxa"/>
          </w:tcPr>
          <w:p w14:paraId="06527AA4" w14:textId="77777777" w:rsidR="002C6574" w:rsidRDefault="00000000">
            <w:pPr>
              <w:pStyle w:val="TableParagraph"/>
              <w:spacing w:before="16" w:line="212" w:lineRule="exact"/>
              <w:ind w:right="55"/>
              <w:rPr>
                <w:sz w:val="18"/>
              </w:rPr>
            </w:pPr>
            <w:r>
              <w:rPr>
                <w:spacing w:val="-2"/>
                <w:w w:val="105"/>
                <w:sz w:val="18"/>
              </w:rPr>
              <w:t>19.645</w:t>
            </w:r>
          </w:p>
        </w:tc>
        <w:tc>
          <w:tcPr>
            <w:tcW w:w="1140" w:type="dxa"/>
          </w:tcPr>
          <w:p w14:paraId="25379D2D" w14:textId="77777777" w:rsidR="002C6574" w:rsidRDefault="00000000">
            <w:pPr>
              <w:pStyle w:val="TableParagraph"/>
              <w:spacing w:before="16" w:line="212" w:lineRule="exact"/>
              <w:ind w:right="56"/>
              <w:rPr>
                <w:sz w:val="18"/>
              </w:rPr>
            </w:pPr>
            <w:r>
              <w:rPr>
                <w:spacing w:val="-2"/>
                <w:w w:val="110"/>
                <w:sz w:val="18"/>
              </w:rPr>
              <w:t>6.661</w:t>
            </w:r>
          </w:p>
        </w:tc>
        <w:tc>
          <w:tcPr>
            <w:tcW w:w="1140" w:type="dxa"/>
          </w:tcPr>
          <w:p w14:paraId="619598A5" w14:textId="77777777" w:rsidR="002C6574" w:rsidRDefault="00000000">
            <w:pPr>
              <w:pStyle w:val="TableParagraph"/>
              <w:spacing w:before="16" w:line="212" w:lineRule="exact"/>
              <w:ind w:right="56"/>
              <w:rPr>
                <w:sz w:val="18"/>
              </w:rPr>
            </w:pPr>
            <w:r>
              <w:rPr>
                <w:spacing w:val="-2"/>
                <w:w w:val="110"/>
                <w:sz w:val="18"/>
              </w:rPr>
              <w:t>7.072</w:t>
            </w:r>
          </w:p>
        </w:tc>
      </w:tr>
      <w:tr w:rsidR="002C6574" w14:paraId="62F9351C" w14:textId="77777777">
        <w:trPr>
          <w:trHeight w:val="251"/>
        </w:trPr>
        <w:tc>
          <w:tcPr>
            <w:tcW w:w="5340" w:type="dxa"/>
          </w:tcPr>
          <w:p w14:paraId="03C56408" w14:textId="77777777" w:rsidR="002C6574" w:rsidRDefault="00000000">
            <w:pPr>
              <w:pStyle w:val="TableParagraph"/>
              <w:spacing w:line="232" w:lineRule="exact"/>
              <w:ind w:left="69"/>
              <w:jc w:val="left"/>
              <w:rPr>
                <w:sz w:val="18"/>
              </w:rPr>
            </w:pPr>
            <w:r>
              <w:rPr>
                <w:sz w:val="18"/>
              </w:rPr>
              <w:t>Prejuízo</w:t>
            </w:r>
            <w:r>
              <w:rPr>
                <w:spacing w:val="-1"/>
                <w:sz w:val="18"/>
              </w:rPr>
              <w:t xml:space="preserve"> </w:t>
            </w:r>
            <w:r>
              <w:rPr>
                <w:sz w:val="18"/>
              </w:rPr>
              <w:t>fiscal/Resultado</w:t>
            </w:r>
            <w:r>
              <w:rPr>
                <w:spacing w:val="2"/>
                <w:sz w:val="18"/>
              </w:rPr>
              <w:t xml:space="preserve"> </w:t>
            </w:r>
            <w:r>
              <w:rPr>
                <w:sz w:val="18"/>
              </w:rPr>
              <w:t>Ajustado Negativo</w:t>
            </w:r>
            <w:r>
              <w:rPr>
                <w:spacing w:val="2"/>
                <w:sz w:val="18"/>
              </w:rPr>
              <w:t xml:space="preserve"> </w:t>
            </w:r>
            <w:r>
              <w:rPr>
                <w:sz w:val="18"/>
              </w:rPr>
              <w:t xml:space="preserve">de </w:t>
            </w:r>
            <w:r>
              <w:rPr>
                <w:spacing w:val="-4"/>
                <w:sz w:val="18"/>
              </w:rPr>
              <w:t>CSLL</w:t>
            </w:r>
          </w:p>
        </w:tc>
        <w:tc>
          <w:tcPr>
            <w:tcW w:w="1200" w:type="dxa"/>
          </w:tcPr>
          <w:p w14:paraId="469B2A6C" w14:textId="77777777" w:rsidR="002C6574" w:rsidRDefault="00000000">
            <w:pPr>
              <w:pStyle w:val="TableParagraph"/>
              <w:spacing w:before="16" w:line="215" w:lineRule="exact"/>
              <w:ind w:right="56"/>
              <w:rPr>
                <w:sz w:val="18"/>
              </w:rPr>
            </w:pPr>
            <w:r>
              <w:rPr>
                <w:spacing w:val="-2"/>
                <w:w w:val="105"/>
                <w:sz w:val="18"/>
              </w:rPr>
              <w:t>650.116</w:t>
            </w:r>
          </w:p>
        </w:tc>
        <w:tc>
          <w:tcPr>
            <w:tcW w:w="1200" w:type="dxa"/>
          </w:tcPr>
          <w:p w14:paraId="49B74ED2" w14:textId="77777777" w:rsidR="002C6574" w:rsidRDefault="00000000">
            <w:pPr>
              <w:pStyle w:val="TableParagraph"/>
              <w:spacing w:before="16" w:line="215" w:lineRule="exact"/>
              <w:ind w:right="56"/>
              <w:rPr>
                <w:sz w:val="18"/>
              </w:rPr>
            </w:pPr>
            <w:r>
              <w:rPr>
                <w:spacing w:val="-2"/>
                <w:w w:val="105"/>
                <w:sz w:val="18"/>
              </w:rPr>
              <w:t>663.575</w:t>
            </w:r>
          </w:p>
        </w:tc>
        <w:tc>
          <w:tcPr>
            <w:tcW w:w="1140" w:type="dxa"/>
          </w:tcPr>
          <w:p w14:paraId="1857A31C" w14:textId="77777777" w:rsidR="002C6574" w:rsidRDefault="00000000">
            <w:pPr>
              <w:pStyle w:val="TableParagraph"/>
              <w:spacing w:before="16" w:line="215" w:lineRule="exact"/>
              <w:ind w:right="56"/>
              <w:rPr>
                <w:sz w:val="18"/>
              </w:rPr>
            </w:pPr>
            <w:r>
              <w:rPr>
                <w:spacing w:val="-2"/>
                <w:w w:val="105"/>
                <w:sz w:val="18"/>
              </w:rPr>
              <w:t>232.019</w:t>
            </w:r>
          </w:p>
        </w:tc>
        <w:tc>
          <w:tcPr>
            <w:tcW w:w="1140" w:type="dxa"/>
          </w:tcPr>
          <w:p w14:paraId="75193452" w14:textId="77777777" w:rsidR="002C6574" w:rsidRDefault="00000000">
            <w:pPr>
              <w:pStyle w:val="TableParagraph"/>
              <w:spacing w:before="16" w:line="215" w:lineRule="exact"/>
              <w:ind w:right="56"/>
              <w:rPr>
                <w:sz w:val="18"/>
              </w:rPr>
            </w:pPr>
            <w:r>
              <w:rPr>
                <w:spacing w:val="-2"/>
                <w:w w:val="105"/>
                <w:sz w:val="18"/>
              </w:rPr>
              <w:t>236.864</w:t>
            </w:r>
          </w:p>
        </w:tc>
      </w:tr>
      <w:tr w:rsidR="002C6574" w14:paraId="55FCBA89" w14:textId="77777777">
        <w:trPr>
          <w:trHeight w:val="249"/>
        </w:trPr>
        <w:tc>
          <w:tcPr>
            <w:tcW w:w="5340" w:type="dxa"/>
          </w:tcPr>
          <w:p w14:paraId="0D774ED0" w14:textId="77777777" w:rsidR="002C6574" w:rsidRDefault="00000000">
            <w:pPr>
              <w:pStyle w:val="TableParagraph"/>
              <w:spacing w:before="42" w:line="187" w:lineRule="exact"/>
              <w:ind w:left="69"/>
              <w:jc w:val="left"/>
              <w:rPr>
                <w:rFonts w:ascii="Arial"/>
                <w:b/>
                <w:sz w:val="18"/>
              </w:rPr>
            </w:pPr>
            <w:r>
              <w:rPr>
                <w:rFonts w:ascii="Arial"/>
                <w:b/>
                <w:spacing w:val="-2"/>
                <w:sz w:val="18"/>
              </w:rPr>
              <w:t>Total</w:t>
            </w:r>
          </w:p>
        </w:tc>
        <w:tc>
          <w:tcPr>
            <w:tcW w:w="1200" w:type="dxa"/>
          </w:tcPr>
          <w:p w14:paraId="35173AA9" w14:textId="77777777" w:rsidR="002C6574" w:rsidRDefault="00000000">
            <w:pPr>
              <w:pStyle w:val="TableParagraph"/>
              <w:spacing w:before="42" w:line="187" w:lineRule="exact"/>
              <w:ind w:right="56"/>
              <w:rPr>
                <w:rFonts w:ascii="Arial"/>
                <w:b/>
                <w:sz w:val="18"/>
              </w:rPr>
            </w:pPr>
            <w:r>
              <w:rPr>
                <w:rFonts w:ascii="Arial"/>
                <w:b/>
                <w:spacing w:val="-2"/>
                <w:sz w:val="18"/>
              </w:rPr>
              <w:t>693.387</w:t>
            </w:r>
          </w:p>
        </w:tc>
        <w:tc>
          <w:tcPr>
            <w:tcW w:w="1200" w:type="dxa"/>
          </w:tcPr>
          <w:p w14:paraId="5732289B" w14:textId="77777777" w:rsidR="002C6574" w:rsidRDefault="00000000">
            <w:pPr>
              <w:pStyle w:val="TableParagraph"/>
              <w:spacing w:before="42" w:line="187" w:lineRule="exact"/>
              <w:ind w:right="56"/>
              <w:rPr>
                <w:rFonts w:ascii="Arial"/>
                <w:b/>
                <w:sz w:val="18"/>
              </w:rPr>
            </w:pPr>
            <w:r>
              <w:rPr>
                <w:rFonts w:ascii="Arial"/>
                <w:b/>
                <w:spacing w:val="-2"/>
                <w:sz w:val="18"/>
              </w:rPr>
              <w:t>705.917</w:t>
            </w:r>
          </w:p>
        </w:tc>
        <w:tc>
          <w:tcPr>
            <w:tcW w:w="1140" w:type="dxa"/>
          </w:tcPr>
          <w:p w14:paraId="3A4C9987" w14:textId="77777777" w:rsidR="002C6574" w:rsidRDefault="00000000">
            <w:pPr>
              <w:pStyle w:val="TableParagraph"/>
              <w:spacing w:before="42" w:line="187" w:lineRule="exact"/>
              <w:ind w:right="56"/>
              <w:rPr>
                <w:rFonts w:ascii="Arial"/>
                <w:b/>
                <w:sz w:val="18"/>
              </w:rPr>
            </w:pPr>
            <w:r>
              <w:rPr>
                <w:rFonts w:ascii="Arial"/>
                <w:b/>
                <w:spacing w:val="-2"/>
                <w:sz w:val="18"/>
              </w:rPr>
              <w:t>247.597</w:t>
            </w:r>
          </w:p>
        </w:tc>
        <w:tc>
          <w:tcPr>
            <w:tcW w:w="1140" w:type="dxa"/>
          </w:tcPr>
          <w:p w14:paraId="27AA9401" w14:textId="77777777" w:rsidR="002C6574" w:rsidRDefault="00000000">
            <w:pPr>
              <w:pStyle w:val="TableParagraph"/>
              <w:spacing w:before="42" w:line="187" w:lineRule="exact"/>
              <w:ind w:right="56"/>
              <w:rPr>
                <w:rFonts w:ascii="Arial"/>
                <w:b/>
                <w:sz w:val="18"/>
              </w:rPr>
            </w:pPr>
            <w:r>
              <w:rPr>
                <w:rFonts w:ascii="Arial"/>
                <w:b/>
                <w:spacing w:val="-2"/>
                <w:sz w:val="18"/>
              </w:rPr>
              <w:t>252.107</w:t>
            </w:r>
          </w:p>
        </w:tc>
      </w:tr>
    </w:tbl>
    <w:p w14:paraId="5B8D013F" w14:textId="77777777" w:rsidR="002C6574" w:rsidRDefault="00000000">
      <w:pPr>
        <w:pStyle w:val="Corpodetexto"/>
        <w:spacing w:before="260"/>
        <w:ind w:left="143" w:right="705"/>
        <w:jc w:val="both"/>
      </w:pPr>
      <w:r>
        <w:t>De acordo com a legislação vigente, a compensação dos prejuízos fiscais relativos ao Imposto de Renda e o resultado ajustado negativo da Contribuição Social sobre o Lucro Líquido está limitada a 30% (trinta por cento) do lucro tributável e base positiva.</w:t>
      </w:r>
    </w:p>
    <w:p w14:paraId="4B75A1CE" w14:textId="77777777" w:rsidR="002C6574" w:rsidRDefault="00000000">
      <w:pPr>
        <w:numPr>
          <w:ilvl w:val="1"/>
          <w:numId w:val="41"/>
        </w:numPr>
        <w:tabs>
          <w:tab w:val="left" w:pos="707"/>
        </w:tabs>
        <w:spacing w:before="27"/>
        <w:ind w:left="707" w:hanging="564"/>
        <w:rPr>
          <w:rFonts w:ascii="Arial" w:hAnsi="Arial"/>
          <w:b/>
        </w:rPr>
      </w:pPr>
      <w:r>
        <w:rPr>
          <w:rFonts w:ascii="Arial" w:hAnsi="Arial"/>
          <w:b/>
        </w:rPr>
        <w:t>Exclusão</w:t>
      </w:r>
      <w:r>
        <w:rPr>
          <w:rFonts w:ascii="Arial" w:hAnsi="Arial"/>
          <w:b/>
          <w:spacing w:val="-4"/>
        </w:rPr>
        <w:t xml:space="preserve"> </w:t>
      </w:r>
      <w:r>
        <w:rPr>
          <w:rFonts w:ascii="Arial" w:hAnsi="Arial"/>
          <w:b/>
        </w:rPr>
        <w:t>do</w:t>
      </w:r>
      <w:r>
        <w:rPr>
          <w:rFonts w:ascii="Arial" w:hAnsi="Arial"/>
          <w:b/>
          <w:spacing w:val="-4"/>
        </w:rPr>
        <w:t xml:space="preserve"> </w:t>
      </w:r>
      <w:r>
        <w:rPr>
          <w:rFonts w:ascii="Arial" w:hAnsi="Arial"/>
          <w:b/>
        </w:rPr>
        <w:t>ICMS</w:t>
      </w:r>
      <w:r>
        <w:rPr>
          <w:rFonts w:ascii="Arial" w:hAnsi="Arial"/>
          <w:b/>
          <w:spacing w:val="-6"/>
        </w:rPr>
        <w:t xml:space="preserve"> </w:t>
      </w:r>
      <w:r>
        <w:rPr>
          <w:rFonts w:ascii="Arial" w:hAnsi="Arial"/>
          <w:b/>
        </w:rPr>
        <w:t>da</w:t>
      </w:r>
      <w:r>
        <w:rPr>
          <w:rFonts w:ascii="Arial" w:hAnsi="Arial"/>
          <w:b/>
          <w:spacing w:val="-3"/>
        </w:rPr>
        <w:t xml:space="preserve"> </w:t>
      </w:r>
      <w:r>
        <w:rPr>
          <w:rFonts w:ascii="Arial" w:hAnsi="Arial"/>
          <w:b/>
        </w:rPr>
        <w:t>base</w:t>
      </w:r>
      <w:r>
        <w:rPr>
          <w:rFonts w:ascii="Arial" w:hAnsi="Arial"/>
          <w:b/>
          <w:spacing w:val="1"/>
        </w:rPr>
        <w:t xml:space="preserve"> </w:t>
      </w:r>
      <w:r>
        <w:rPr>
          <w:rFonts w:ascii="Arial" w:hAnsi="Arial"/>
          <w:b/>
        </w:rPr>
        <w:t>de</w:t>
      </w:r>
      <w:r>
        <w:rPr>
          <w:rFonts w:ascii="Arial" w:hAnsi="Arial"/>
          <w:b/>
          <w:spacing w:val="-2"/>
        </w:rPr>
        <w:t xml:space="preserve"> </w:t>
      </w:r>
      <w:r>
        <w:rPr>
          <w:rFonts w:ascii="Arial" w:hAnsi="Arial"/>
          <w:b/>
        </w:rPr>
        <w:t>cálculo</w:t>
      </w:r>
      <w:r>
        <w:rPr>
          <w:rFonts w:ascii="Arial" w:hAnsi="Arial"/>
          <w:b/>
          <w:spacing w:val="-4"/>
        </w:rPr>
        <w:t xml:space="preserve"> </w:t>
      </w:r>
      <w:r>
        <w:rPr>
          <w:rFonts w:ascii="Arial" w:hAnsi="Arial"/>
          <w:b/>
        </w:rPr>
        <w:t>do</w:t>
      </w:r>
      <w:r>
        <w:rPr>
          <w:rFonts w:ascii="Arial" w:hAnsi="Arial"/>
          <w:b/>
          <w:spacing w:val="-2"/>
        </w:rPr>
        <w:t xml:space="preserve"> </w:t>
      </w:r>
      <w:r>
        <w:rPr>
          <w:rFonts w:ascii="Arial" w:hAnsi="Arial"/>
          <w:b/>
        </w:rPr>
        <w:t>PIS</w:t>
      </w:r>
      <w:r>
        <w:rPr>
          <w:rFonts w:ascii="Arial" w:hAnsi="Arial"/>
          <w:b/>
          <w:spacing w:val="-1"/>
        </w:rPr>
        <w:t xml:space="preserve"> </w:t>
      </w:r>
      <w:r>
        <w:rPr>
          <w:rFonts w:ascii="Arial" w:hAnsi="Arial"/>
          <w:b/>
        </w:rPr>
        <w:t>e</w:t>
      </w:r>
      <w:r>
        <w:rPr>
          <w:rFonts w:ascii="Arial" w:hAnsi="Arial"/>
          <w:b/>
          <w:spacing w:val="-3"/>
        </w:rPr>
        <w:t xml:space="preserve"> </w:t>
      </w:r>
      <w:r>
        <w:rPr>
          <w:rFonts w:ascii="Arial" w:hAnsi="Arial"/>
          <w:b/>
          <w:spacing w:val="-2"/>
        </w:rPr>
        <w:t>Cofins</w:t>
      </w:r>
    </w:p>
    <w:p w14:paraId="7ACD4675" w14:textId="77777777" w:rsidR="002C6574" w:rsidRDefault="00000000">
      <w:pPr>
        <w:pStyle w:val="Corpodetexto"/>
        <w:spacing w:before="218"/>
        <w:ind w:left="143" w:right="702"/>
        <w:jc w:val="both"/>
      </w:pPr>
      <w:r>
        <w:t>A Telebras, acompanhando as discussões em torno da inconstitucionalidade da inclusão do ICMS na base de cálculo de PIS/Cofins, discutida no Supremo Tribunal Federal em</w:t>
      </w:r>
      <w:r>
        <w:rPr>
          <w:spacing w:val="-1"/>
        </w:rPr>
        <w:t xml:space="preserve"> </w:t>
      </w:r>
      <w:r>
        <w:t>sede de repercussão geral, RE 574.706,</w:t>
      </w:r>
      <w:r>
        <w:rPr>
          <w:spacing w:val="40"/>
        </w:rPr>
        <w:t xml:space="preserve"> </w:t>
      </w:r>
      <w:r>
        <w:t>ajuizou ação de rito comum ordinário, em face da Fazenda Nacional, para que fosse declarada a inexistência de relação jurídica obrigacional tributária da Telebras de recolher PIS e Cofins</w:t>
      </w:r>
      <w:r>
        <w:rPr>
          <w:spacing w:val="-1"/>
        </w:rPr>
        <w:t xml:space="preserve"> </w:t>
      </w:r>
      <w:r>
        <w:t>sobre</w:t>
      </w:r>
      <w:r>
        <w:rPr>
          <w:spacing w:val="-4"/>
        </w:rPr>
        <w:t xml:space="preserve"> </w:t>
      </w:r>
      <w:r>
        <w:t>os</w:t>
      </w:r>
      <w:r>
        <w:rPr>
          <w:spacing w:val="-3"/>
        </w:rPr>
        <w:t xml:space="preserve"> </w:t>
      </w:r>
      <w:r>
        <w:t>valores</w:t>
      </w:r>
      <w:r>
        <w:rPr>
          <w:spacing w:val="-3"/>
        </w:rPr>
        <w:t xml:space="preserve"> </w:t>
      </w:r>
      <w:r>
        <w:t>de</w:t>
      </w:r>
      <w:r>
        <w:rPr>
          <w:spacing w:val="-1"/>
        </w:rPr>
        <w:t xml:space="preserve"> </w:t>
      </w:r>
      <w:r>
        <w:t>ICMS,</w:t>
      </w:r>
      <w:r>
        <w:rPr>
          <w:spacing w:val="-2"/>
        </w:rPr>
        <w:t xml:space="preserve"> </w:t>
      </w:r>
      <w:r>
        <w:t>desobrigando-se</w:t>
      </w:r>
      <w:r>
        <w:rPr>
          <w:spacing w:val="-2"/>
        </w:rPr>
        <w:t xml:space="preserve"> </w:t>
      </w:r>
      <w:r>
        <w:t>ao</w:t>
      </w:r>
      <w:r>
        <w:rPr>
          <w:spacing w:val="-2"/>
        </w:rPr>
        <w:t xml:space="preserve"> </w:t>
      </w:r>
      <w:r>
        <w:t>recolhimento</w:t>
      </w:r>
      <w:r>
        <w:rPr>
          <w:spacing w:val="-4"/>
        </w:rPr>
        <w:t xml:space="preserve"> </w:t>
      </w:r>
      <w:r>
        <w:t>das</w:t>
      </w:r>
      <w:r>
        <w:rPr>
          <w:spacing w:val="-3"/>
        </w:rPr>
        <w:t xml:space="preserve"> </w:t>
      </w:r>
      <w:r>
        <w:t>referidas</w:t>
      </w:r>
      <w:r>
        <w:rPr>
          <w:spacing w:val="-1"/>
        </w:rPr>
        <w:t xml:space="preserve"> </w:t>
      </w:r>
      <w:r>
        <w:t>contribuições</w:t>
      </w:r>
      <w:r>
        <w:rPr>
          <w:spacing w:val="-3"/>
        </w:rPr>
        <w:t xml:space="preserve"> </w:t>
      </w:r>
      <w:r>
        <w:t>sobre o imposto estadual. Pleiteou, ainda, a restituição e a compensação dos pagamentos efetuados indevidamente nos últimos 05 (cinco) anos, devidamente atualizados/corrigidos pela taxa Selic.</w:t>
      </w:r>
    </w:p>
    <w:p w14:paraId="3014E28D" w14:textId="77777777" w:rsidR="002C6574" w:rsidRDefault="00000000">
      <w:pPr>
        <w:pStyle w:val="Corpodetexto"/>
        <w:spacing w:before="282" w:line="237" w:lineRule="auto"/>
        <w:ind w:left="143" w:right="705"/>
        <w:jc w:val="both"/>
      </w:pPr>
      <w:r>
        <w:rPr>
          <w:w w:val="105"/>
        </w:rPr>
        <w:t>O</w:t>
      </w:r>
      <w:r>
        <w:rPr>
          <w:spacing w:val="-9"/>
          <w:w w:val="105"/>
        </w:rPr>
        <w:t xml:space="preserve"> </w:t>
      </w:r>
      <w:r>
        <w:rPr>
          <w:w w:val="105"/>
        </w:rPr>
        <w:t>processo</w:t>
      </w:r>
      <w:r>
        <w:rPr>
          <w:spacing w:val="-11"/>
          <w:w w:val="105"/>
        </w:rPr>
        <w:t xml:space="preserve"> </w:t>
      </w:r>
      <w:r>
        <w:rPr>
          <w:w w:val="105"/>
        </w:rPr>
        <w:t>foi</w:t>
      </w:r>
      <w:r>
        <w:rPr>
          <w:spacing w:val="-11"/>
          <w:w w:val="105"/>
        </w:rPr>
        <w:t xml:space="preserve"> </w:t>
      </w:r>
      <w:r>
        <w:rPr>
          <w:w w:val="105"/>
        </w:rPr>
        <w:t>distribuído</w:t>
      </w:r>
      <w:r>
        <w:rPr>
          <w:spacing w:val="-10"/>
          <w:w w:val="105"/>
        </w:rPr>
        <w:t xml:space="preserve"> </w:t>
      </w:r>
      <w:r>
        <w:rPr>
          <w:w w:val="105"/>
        </w:rPr>
        <w:t>para</w:t>
      </w:r>
      <w:r>
        <w:rPr>
          <w:spacing w:val="-10"/>
          <w:w w:val="105"/>
        </w:rPr>
        <w:t xml:space="preserve"> </w:t>
      </w:r>
      <w:r>
        <w:rPr>
          <w:w w:val="105"/>
        </w:rPr>
        <w:t>a</w:t>
      </w:r>
      <w:r>
        <w:rPr>
          <w:spacing w:val="-10"/>
          <w:w w:val="105"/>
        </w:rPr>
        <w:t xml:space="preserve"> </w:t>
      </w:r>
      <w:r>
        <w:rPr>
          <w:w w:val="105"/>
        </w:rPr>
        <w:t>3ª</w:t>
      </w:r>
      <w:r>
        <w:rPr>
          <w:spacing w:val="-11"/>
          <w:w w:val="105"/>
        </w:rPr>
        <w:t xml:space="preserve"> </w:t>
      </w:r>
      <w:r>
        <w:rPr>
          <w:w w:val="105"/>
        </w:rPr>
        <w:t>Vara</w:t>
      </w:r>
      <w:r>
        <w:rPr>
          <w:spacing w:val="-10"/>
          <w:w w:val="105"/>
        </w:rPr>
        <w:t xml:space="preserve"> </w:t>
      </w:r>
      <w:r>
        <w:rPr>
          <w:w w:val="105"/>
        </w:rPr>
        <w:t>Federal</w:t>
      </w:r>
      <w:r>
        <w:rPr>
          <w:spacing w:val="-11"/>
          <w:w w:val="105"/>
        </w:rPr>
        <w:t xml:space="preserve"> </w:t>
      </w:r>
      <w:r>
        <w:rPr>
          <w:w w:val="105"/>
        </w:rPr>
        <w:t>Cível</w:t>
      </w:r>
      <w:r>
        <w:rPr>
          <w:spacing w:val="-11"/>
          <w:w w:val="105"/>
        </w:rPr>
        <w:t xml:space="preserve"> </w:t>
      </w:r>
      <w:r>
        <w:rPr>
          <w:w w:val="105"/>
        </w:rPr>
        <w:t>da</w:t>
      </w:r>
      <w:r>
        <w:rPr>
          <w:spacing w:val="-10"/>
          <w:w w:val="105"/>
        </w:rPr>
        <w:t xml:space="preserve"> </w:t>
      </w:r>
      <w:r>
        <w:rPr>
          <w:w w:val="105"/>
        </w:rPr>
        <w:t>Seção</w:t>
      </w:r>
      <w:r>
        <w:rPr>
          <w:spacing w:val="-11"/>
          <w:w w:val="105"/>
        </w:rPr>
        <w:t xml:space="preserve"> </w:t>
      </w:r>
      <w:r>
        <w:rPr>
          <w:w w:val="105"/>
        </w:rPr>
        <w:t>Judiciária</w:t>
      </w:r>
      <w:r>
        <w:rPr>
          <w:spacing w:val="-10"/>
          <w:w w:val="105"/>
        </w:rPr>
        <w:t xml:space="preserve"> </w:t>
      </w:r>
      <w:r>
        <w:rPr>
          <w:w w:val="105"/>
        </w:rPr>
        <w:t>do</w:t>
      </w:r>
      <w:r>
        <w:rPr>
          <w:spacing w:val="-10"/>
          <w:w w:val="105"/>
        </w:rPr>
        <w:t xml:space="preserve"> </w:t>
      </w:r>
      <w:r>
        <w:rPr>
          <w:w w:val="105"/>
        </w:rPr>
        <w:t>Distrito</w:t>
      </w:r>
      <w:r>
        <w:rPr>
          <w:spacing w:val="-12"/>
          <w:w w:val="105"/>
        </w:rPr>
        <w:t xml:space="preserve"> </w:t>
      </w:r>
      <w:r>
        <w:rPr>
          <w:w w:val="105"/>
        </w:rPr>
        <w:t>Federal,</w:t>
      </w:r>
      <w:r>
        <w:rPr>
          <w:spacing w:val="-12"/>
          <w:w w:val="105"/>
        </w:rPr>
        <w:t xml:space="preserve"> </w:t>
      </w:r>
      <w:r>
        <w:rPr>
          <w:w w:val="105"/>
        </w:rPr>
        <w:t>sob nº 1010276-63.2018.4.01.3400.</w:t>
      </w:r>
    </w:p>
    <w:p w14:paraId="2C44125E" w14:textId="77777777" w:rsidR="002C6574" w:rsidRDefault="002C6574">
      <w:pPr>
        <w:pStyle w:val="Corpodetexto"/>
        <w:spacing w:before="1"/>
      </w:pPr>
    </w:p>
    <w:p w14:paraId="4A815D24" w14:textId="77777777" w:rsidR="002C6574" w:rsidRDefault="00000000">
      <w:pPr>
        <w:pStyle w:val="Corpodetexto"/>
        <w:spacing w:before="1" w:line="237" w:lineRule="auto"/>
        <w:ind w:left="143" w:right="703"/>
        <w:jc w:val="both"/>
      </w:pPr>
      <w:r>
        <w:t>Foi</w:t>
      </w:r>
      <w:r>
        <w:rPr>
          <w:spacing w:val="80"/>
        </w:rPr>
        <w:t xml:space="preserve"> </w:t>
      </w:r>
      <w:r>
        <w:t>proferida</w:t>
      </w:r>
      <w:r>
        <w:rPr>
          <w:spacing w:val="80"/>
        </w:rPr>
        <w:t xml:space="preserve"> </w:t>
      </w:r>
      <w:r>
        <w:t>sentença</w:t>
      </w:r>
      <w:r>
        <w:rPr>
          <w:spacing w:val="80"/>
        </w:rPr>
        <w:t xml:space="preserve"> </w:t>
      </w:r>
      <w:r>
        <w:t>favorável</w:t>
      </w:r>
      <w:r>
        <w:rPr>
          <w:spacing w:val="80"/>
        </w:rPr>
        <w:t xml:space="preserve"> </w:t>
      </w:r>
      <w:r>
        <w:t>à</w:t>
      </w:r>
      <w:r>
        <w:rPr>
          <w:spacing w:val="80"/>
        </w:rPr>
        <w:t xml:space="preserve"> </w:t>
      </w:r>
      <w:r>
        <w:t>Telebras,</w:t>
      </w:r>
      <w:r>
        <w:rPr>
          <w:spacing w:val="80"/>
          <w:w w:val="150"/>
        </w:rPr>
        <w:t xml:space="preserve"> </w:t>
      </w:r>
      <w:r>
        <w:t>na</w:t>
      </w:r>
      <w:r>
        <w:rPr>
          <w:spacing w:val="80"/>
        </w:rPr>
        <w:t xml:space="preserve"> </w:t>
      </w:r>
      <w:r>
        <w:t>qual</w:t>
      </w:r>
      <w:r>
        <w:rPr>
          <w:spacing w:val="80"/>
        </w:rPr>
        <w:t xml:space="preserve"> </w:t>
      </w:r>
      <w:r>
        <w:t>foram</w:t>
      </w:r>
      <w:r>
        <w:rPr>
          <w:spacing w:val="80"/>
        </w:rPr>
        <w:t xml:space="preserve"> </w:t>
      </w:r>
      <w:r>
        <w:t>julgados</w:t>
      </w:r>
      <w:r>
        <w:rPr>
          <w:spacing w:val="80"/>
          <w:w w:val="150"/>
        </w:rPr>
        <w:t xml:space="preserve"> </w:t>
      </w:r>
      <w:r>
        <w:t>procedentes</w:t>
      </w:r>
      <w:r>
        <w:rPr>
          <w:spacing w:val="80"/>
        </w:rPr>
        <w:t xml:space="preserve"> </w:t>
      </w:r>
      <w:r>
        <w:t>os</w:t>
      </w:r>
      <w:r>
        <w:rPr>
          <w:spacing w:val="40"/>
        </w:rPr>
        <w:t xml:space="preserve"> </w:t>
      </w:r>
      <w:r>
        <w:t xml:space="preserve">pedidos para declarar a inexistência de relação jurídico-tributária que autorize a incidência do ICMS na base de cálculo do PIS e da Cofins, assim como para condenar a Fazenda Nacional a restituir, via compensação ou repetição, os valores indevidamente recolhidos a esse título nos 05 (cinco) anos que antecedem o ajuizamento da ação. Salienta-se que os juros de mora e a correção monetária tomarão como índice exclusivo a taxa Selic, que deve incidir a partir da data de cada pagamento </w:t>
      </w:r>
      <w:r>
        <w:rPr>
          <w:spacing w:val="-2"/>
        </w:rPr>
        <w:t>indevido.</w:t>
      </w:r>
    </w:p>
    <w:p w14:paraId="5FDF025F" w14:textId="77777777" w:rsidR="002C6574" w:rsidRDefault="002C6574">
      <w:pPr>
        <w:pStyle w:val="Corpodetexto"/>
        <w:spacing w:before="2"/>
      </w:pPr>
    </w:p>
    <w:p w14:paraId="096ADD9E" w14:textId="77777777" w:rsidR="002C6574" w:rsidRDefault="00000000">
      <w:pPr>
        <w:pStyle w:val="Corpodetexto"/>
        <w:ind w:left="143" w:right="703"/>
        <w:jc w:val="both"/>
      </w:pPr>
      <w:r>
        <w:t>A</w:t>
      </w:r>
      <w:r>
        <w:rPr>
          <w:spacing w:val="-5"/>
        </w:rPr>
        <w:t xml:space="preserve"> </w:t>
      </w:r>
      <w:r>
        <w:t>Fazenda</w:t>
      </w:r>
      <w:r>
        <w:rPr>
          <w:spacing w:val="-5"/>
        </w:rPr>
        <w:t xml:space="preserve"> </w:t>
      </w:r>
      <w:r>
        <w:t>Nacional</w:t>
      </w:r>
      <w:r>
        <w:rPr>
          <w:spacing w:val="-4"/>
        </w:rPr>
        <w:t xml:space="preserve"> </w:t>
      </w:r>
      <w:r>
        <w:t>apelou</w:t>
      </w:r>
      <w:r>
        <w:rPr>
          <w:spacing w:val="-5"/>
        </w:rPr>
        <w:t xml:space="preserve"> </w:t>
      </w:r>
      <w:r>
        <w:t>e</w:t>
      </w:r>
      <w:r>
        <w:rPr>
          <w:spacing w:val="-4"/>
        </w:rPr>
        <w:t xml:space="preserve"> </w:t>
      </w:r>
      <w:r>
        <w:t>o</w:t>
      </w:r>
      <w:r>
        <w:rPr>
          <w:spacing w:val="-5"/>
        </w:rPr>
        <w:t xml:space="preserve"> </w:t>
      </w:r>
      <w:r>
        <w:t>processo</w:t>
      </w:r>
      <w:r>
        <w:rPr>
          <w:spacing w:val="-5"/>
        </w:rPr>
        <w:t xml:space="preserve"> </w:t>
      </w:r>
      <w:r>
        <w:t>foi</w:t>
      </w:r>
      <w:r>
        <w:rPr>
          <w:spacing w:val="-6"/>
        </w:rPr>
        <w:t xml:space="preserve"> </w:t>
      </w:r>
      <w:r>
        <w:t>remetido</w:t>
      </w:r>
      <w:r>
        <w:rPr>
          <w:spacing w:val="-4"/>
        </w:rPr>
        <w:t xml:space="preserve"> </w:t>
      </w:r>
      <w:r>
        <w:t>para</w:t>
      </w:r>
      <w:r>
        <w:rPr>
          <w:spacing w:val="-5"/>
        </w:rPr>
        <w:t xml:space="preserve"> </w:t>
      </w:r>
      <w:r>
        <w:t>o</w:t>
      </w:r>
      <w:r>
        <w:rPr>
          <w:spacing w:val="-5"/>
        </w:rPr>
        <w:t xml:space="preserve"> </w:t>
      </w:r>
      <w:r>
        <w:t>TRF</w:t>
      </w:r>
      <w:r>
        <w:rPr>
          <w:spacing w:val="-4"/>
        </w:rPr>
        <w:t xml:space="preserve"> </w:t>
      </w:r>
      <w:r>
        <w:t>da</w:t>
      </w:r>
      <w:r>
        <w:rPr>
          <w:spacing w:val="-4"/>
        </w:rPr>
        <w:t xml:space="preserve"> </w:t>
      </w:r>
      <w:r>
        <w:t>1ª</w:t>
      </w:r>
      <w:r>
        <w:rPr>
          <w:spacing w:val="-6"/>
        </w:rPr>
        <w:t xml:space="preserve"> </w:t>
      </w:r>
      <w:r>
        <w:t>Região,</w:t>
      </w:r>
      <w:r>
        <w:rPr>
          <w:spacing w:val="-2"/>
        </w:rPr>
        <w:t xml:space="preserve"> </w:t>
      </w:r>
      <w:r>
        <w:t>no</w:t>
      </w:r>
      <w:r>
        <w:rPr>
          <w:spacing w:val="-5"/>
        </w:rPr>
        <w:t xml:space="preserve"> </w:t>
      </w:r>
      <w:r>
        <w:t>qual</w:t>
      </w:r>
      <w:r>
        <w:rPr>
          <w:spacing w:val="-6"/>
        </w:rPr>
        <w:t xml:space="preserve"> </w:t>
      </w:r>
      <w:r>
        <w:t>foi</w:t>
      </w:r>
      <w:r>
        <w:rPr>
          <w:spacing w:val="-6"/>
        </w:rPr>
        <w:t xml:space="preserve"> </w:t>
      </w:r>
      <w:r>
        <w:t>distribuído para a 8ª Turma, Relator Desembargador Federal Novély Vilanova.</w:t>
      </w:r>
    </w:p>
    <w:p w14:paraId="63C4A77A" w14:textId="77777777" w:rsidR="002C6574" w:rsidRDefault="00000000">
      <w:pPr>
        <w:pStyle w:val="Corpodetexto"/>
        <w:spacing w:before="291" w:line="237" w:lineRule="auto"/>
        <w:ind w:left="143" w:right="703"/>
        <w:jc w:val="both"/>
      </w:pPr>
      <w:r>
        <w:t>O processo teve decisão monocrática, no qual o Relator deu provimento parcial à apelação da Fazenda Nacional</w:t>
      </w:r>
      <w:r>
        <w:rPr>
          <w:spacing w:val="-2"/>
        </w:rPr>
        <w:t xml:space="preserve"> </w:t>
      </w:r>
      <w:r>
        <w:t>para</w:t>
      </w:r>
      <w:r>
        <w:rPr>
          <w:spacing w:val="-1"/>
        </w:rPr>
        <w:t xml:space="preserve"> </w:t>
      </w:r>
      <w:r>
        <w:t>que: (i)</w:t>
      </w:r>
      <w:r>
        <w:rPr>
          <w:spacing w:val="-3"/>
        </w:rPr>
        <w:t xml:space="preserve"> </w:t>
      </w:r>
      <w:r>
        <w:t>a</w:t>
      </w:r>
      <w:r>
        <w:rPr>
          <w:spacing w:val="-5"/>
        </w:rPr>
        <w:t xml:space="preserve"> </w:t>
      </w:r>
      <w:r>
        <w:t>repetição/compensação do indébito</w:t>
      </w:r>
      <w:r>
        <w:rPr>
          <w:spacing w:val="-5"/>
        </w:rPr>
        <w:t xml:space="preserve"> </w:t>
      </w:r>
      <w:r>
        <w:t>(ICMS</w:t>
      </w:r>
      <w:r>
        <w:rPr>
          <w:spacing w:val="-5"/>
        </w:rPr>
        <w:t xml:space="preserve"> </w:t>
      </w:r>
      <w:r>
        <w:t>destacado</w:t>
      </w:r>
      <w:r>
        <w:rPr>
          <w:spacing w:val="-1"/>
        </w:rPr>
        <w:t xml:space="preserve"> </w:t>
      </w:r>
      <w:r>
        <w:t>na</w:t>
      </w:r>
      <w:r>
        <w:rPr>
          <w:spacing w:val="-5"/>
        </w:rPr>
        <w:t xml:space="preserve"> </w:t>
      </w:r>
      <w:r>
        <w:t>nota</w:t>
      </w:r>
      <w:r>
        <w:rPr>
          <w:spacing w:val="-1"/>
        </w:rPr>
        <w:t xml:space="preserve"> </w:t>
      </w:r>
      <w:r>
        <w:t>fiscal) se proceda a partir de 15 de março de 2017; e (ii) a compensação do indébito observe</w:t>
      </w:r>
      <w:r>
        <w:rPr>
          <w:spacing w:val="-1"/>
        </w:rPr>
        <w:t xml:space="preserve"> </w:t>
      </w:r>
      <w:r>
        <w:t>a lei vigente na data em que for efetivada, após o trânsito em julgado. A decisão do Relator seguiu a</w:t>
      </w:r>
      <w:r>
        <w:rPr>
          <w:spacing w:val="-2"/>
        </w:rPr>
        <w:t xml:space="preserve"> </w:t>
      </w:r>
      <w:r>
        <w:t>modulação dos efeitos do</w:t>
      </w:r>
      <w:r>
        <w:rPr>
          <w:spacing w:val="-3"/>
        </w:rPr>
        <w:t xml:space="preserve"> </w:t>
      </w:r>
      <w:r>
        <w:t>julgado definido pelo</w:t>
      </w:r>
      <w:r>
        <w:rPr>
          <w:spacing w:val="-3"/>
        </w:rPr>
        <w:t xml:space="preserve"> </w:t>
      </w:r>
      <w:r>
        <w:t>Supremo Tribunal Federal no julgamento dos</w:t>
      </w:r>
      <w:r>
        <w:rPr>
          <w:spacing w:val="-1"/>
        </w:rPr>
        <w:t xml:space="preserve"> </w:t>
      </w:r>
      <w:r>
        <w:t>Embargos de Declaração do RE nº 574.706-PR. A decisão do TRF1ª Região transitou em julgado. O processo retornou</w:t>
      </w:r>
      <w:r>
        <w:rPr>
          <w:spacing w:val="32"/>
        </w:rPr>
        <w:t xml:space="preserve"> </w:t>
      </w:r>
      <w:r>
        <w:t>à 3ª</w:t>
      </w:r>
      <w:r>
        <w:rPr>
          <w:spacing w:val="30"/>
        </w:rPr>
        <w:t xml:space="preserve"> </w:t>
      </w:r>
      <w:r>
        <w:t>Vara</w:t>
      </w:r>
      <w:r>
        <w:rPr>
          <w:spacing w:val="32"/>
        </w:rPr>
        <w:t xml:space="preserve"> </w:t>
      </w:r>
      <w:r>
        <w:t>Federal</w:t>
      </w:r>
      <w:r>
        <w:rPr>
          <w:spacing w:val="30"/>
        </w:rPr>
        <w:t xml:space="preserve"> </w:t>
      </w:r>
      <w:r>
        <w:t>de</w:t>
      </w:r>
      <w:r>
        <w:rPr>
          <w:spacing w:val="32"/>
        </w:rPr>
        <w:t xml:space="preserve"> </w:t>
      </w:r>
      <w:r>
        <w:t>Brasília –</w:t>
      </w:r>
      <w:r>
        <w:rPr>
          <w:spacing w:val="30"/>
        </w:rPr>
        <w:t xml:space="preserve"> </w:t>
      </w:r>
      <w:r>
        <w:t>Seção Judiciária do</w:t>
      </w:r>
      <w:r>
        <w:rPr>
          <w:spacing w:val="33"/>
        </w:rPr>
        <w:t xml:space="preserve"> </w:t>
      </w:r>
      <w:r>
        <w:t>Distrito Federal.</w:t>
      </w:r>
    </w:p>
    <w:p w14:paraId="0A59CC30" w14:textId="77777777" w:rsidR="002C6574" w:rsidRDefault="002C6574">
      <w:pPr>
        <w:pStyle w:val="Corpodetexto"/>
        <w:spacing w:before="7"/>
      </w:pPr>
    </w:p>
    <w:p w14:paraId="31FB1140" w14:textId="77777777" w:rsidR="002C6574" w:rsidRDefault="00000000">
      <w:pPr>
        <w:pStyle w:val="Corpodetexto"/>
        <w:spacing w:before="1" w:line="237" w:lineRule="auto"/>
        <w:ind w:left="143" w:right="702"/>
        <w:jc w:val="both"/>
      </w:pPr>
      <w:r>
        <w:t>A Telebras realizou o levantamento dos valores a que tem direito de se creditar e fez o reconhecimento</w:t>
      </w:r>
      <w:r>
        <w:rPr>
          <w:spacing w:val="-3"/>
        </w:rPr>
        <w:t xml:space="preserve"> </w:t>
      </w:r>
      <w:r>
        <w:t>contábil</w:t>
      </w:r>
      <w:r>
        <w:rPr>
          <w:spacing w:val="-3"/>
        </w:rPr>
        <w:t xml:space="preserve"> </w:t>
      </w:r>
      <w:r>
        <w:t>desse crédito.</w:t>
      </w:r>
      <w:r>
        <w:rPr>
          <w:spacing w:val="-2"/>
        </w:rPr>
        <w:t xml:space="preserve"> </w:t>
      </w:r>
      <w:r>
        <w:t>O</w:t>
      </w:r>
      <w:r>
        <w:rPr>
          <w:spacing w:val="-3"/>
        </w:rPr>
        <w:t xml:space="preserve"> </w:t>
      </w:r>
      <w:r>
        <w:t>montante atualizado monetariamente</w:t>
      </w:r>
      <w:r>
        <w:rPr>
          <w:spacing w:val="-2"/>
        </w:rPr>
        <w:t xml:space="preserve"> </w:t>
      </w:r>
      <w:r>
        <w:t>até</w:t>
      </w:r>
      <w:r>
        <w:rPr>
          <w:spacing w:val="-5"/>
        </w:rPr>
        <w:t xml:space="preserve"> </w:t>
      </w:r>
      <w:r>
        <w:t>31</w:t>
      </w:r>
      <w:r>
        <w:rPr>
          <w:spacing w:val="-2"/>
        </w:rPr>
        <w:t xml:space="preserve"> </w:t>
      </w:r>
      <w:r>
        <w:t>de dezembro de</w:t>
      </w:r>
      <w:r>
        <w:rPr>
          <w:spacing w:val="33"/>
        </w:rPr>
        <w:t xml:space="preserve"> </w:t>
      </w:r>
      <w:r>
        <w:t>2025</w:t>
      </w:r>
      <w:r>
        <w:rPr>
          <w:spacing w:val="31"/>
        </w:rPr>
        <w:t xml:space="preserve"> </w:t>
      </w:r>
      <w:r>
        <w:t>é</w:t>
      </w:r>
      <w:r>
        <w:rPr>
          <w:spacing w:val="28"/>
        </w:rPr>
        <w:t xml:space="preserve"> </w:t>
      </w:r>
      <w:r>
        <w:t>de</w:t>
      </w:r>
      <w:r>
        <w:rPr>
          <w:spacing w:val="31"/>
        </w:rPr>
        <w:t xml:space="preserve"> </w:t>
      </w:r>
      <w:r>
        <w:t>R$</w:t>
      </w:r>
      <w:r>
        <w:rPr>
          <w:spacing w:val="29"/>
        </w:rPr>
        <w:t xml:space="preserve"> </w:t>
      </w:r>
      <w:r>
        <w:t>17.875,</w:t>
      </w:r>
      <w:r>
        <w:rPr>
          <w:spacing w:val="32"/>
        </w:rPr>
        <w:t xml:space="preserve"> </w:t>
      </w:r>
      <w:r>
        <w:t>sendo</w:t>
      </w:r>
      <w:r>
        <w:rPr>
          <w:spacing w:val="31"/>
        </w:rPr>
        <w:t xml:space="preserve"> </w:t>
      </w:r>
      <w:r>
        <w:t>R$</w:t>
      </w:r>
      <w:r>
        <w:rPr>
          <w:spacing w:val="28"/>
        </w:rPr>
        <w:t xml:space="preserve"> </w:t>
      </w:r>
      <w:r>
        <w:t>3.183</w:t>
      </w:r>
      <w:r>
        <w:rPr>
          <w:spacing w:val="29"/>
        </w:rPr>
        <w:t xml:space="preserve"> </w:t>
      </w:r>
      <w:r>
        <w:t>para</w:t>
      </w:r>
      <w:r>
        <w:rPr>
          <w:spacing w:val="28"/>
        </w:rPr>
        <w:t xml:space="preserve"> </w:t>
      </w:r>
      <w:r>
        <w:t>o</w:t>
      </w:r>
      <w:r>
        <w:rPr>
          <w:spacing w:val="28"/>
        </w:rPr>
        <w:t xml:space="preserve"> </w:t>
      </w:r>
      <w:r>
        <w:t>PIS</w:t>
      </w:r>
      <w:r>
        <w:rPr>
          <w:spacing w:val="31"/>
        </w:rPr>
        <w:t xml:space="preserve"> </w:t>
      </w:r>
      <w:r>
        <w:t>e</w:t>
      </w:r>
      <w:r>
        <w:rPr>
          <w:spacing w:val="33"/>
        </w:rPr>
        <w:t xml:space="preserve"> </w:t>
      </w:r>
      <w:r>
        <w:t>R$</w:t>
      </w:r>
      <w:r>
        <w:rPr>
          <w:spacing w:val="28"/>
        </w:rPr>
        <w:t xml:space="preserve"> </w:t>
      </w:r>
      <w:r>
        <w:t>14.692</w:t>
      </w:r>
      <w:r>
        <w:rPr>
          <w:spacing w:val="29"/>
        </w:rPr>
        <w:t xml:space="preserve"> </w:t>
      </w:r>
      <w:r>
        <w:t>para</w:t>
      </w:r>
      <w:r>
        <w:rPr>
          <w:spacing w:val="25"/>
        </w:rPr>
        <w:t xml:space="preserve"> </w:t>
      </w:r>
      <w:r>
        <w:t>a</w:t>
      </w:r>
      <w:r>
        <w:rPr>
          <w:spacing w:val="28"/>
        </w:rPr>
        <w:t xml:space="preserve"> </w:t>
      </w:r>
      <w:r>
        <w:t>Cofins.</w:t>
      </w:r>
    </w:p>
    <w:p w14:paraId="07D1867E" w14:textId="77777777" w:rsidR="002C6574" w:rsidRDefault="002C6574">
      <w:pPr>
        <w:pStyle w:val="Corpodetexto"/>
        <w:spacing w:before="28"/>
      </w:pPr>
    </w:p>
    <w:p w14:paraId="0C2132C5" w14:textId="77777777" w:rsidR="002C6574" w:rsidRDefault="00000000">
      <w:pPr>
        <w:pStyle w:val="Corpodetexto"/>
        <w:spacing w:line="237" w:lineRule="auto"/>
        <w:ind w:left="143" w:right="704"/>
        <w:jc w:val="both"/>
      </w:pPr>
      <w:r>
        <w:rPr>
          <w:spacing w:val="-2"/>
          <w:w w:val="105"/>
        </w:rPr>
        <w:t>Com</w:t>
      </w:r>
      <w:r>
        <w:rPr>
          <w:spacing w:val="-8"/>
          <w:w w:val="105"/>
        </w:rPr>
        <w:t xml:space="preserve"> </w:t>
      </w:r>
      <w:r>
        <w:rPr>
          <w:spacing w:val="-2"/>
          <w:w w:val="105"/>
        </w:rPr>
        <w:t>a</w:t>
      </w:r>
      <w:r>
        <w:rPr>
          <w:spacing w:val="-9"/>
          <w:w w:val="105"/>
        </w:rPr>
        <w:t xml:space="preserve"> </w:t>
      </w:r>
      <w:r>
        <w:rPr>
          <w:spacing w:val="-2"/>
          <w:w w:val="105"/>
        </w:rPr>
        <w:t>devolução</w:t>
      </w:r>
      <w:r>
        <w:rPr>
          <w:spacing w:val="-10"/>
          <w:w w:val="105"/>
        </w:rPr>
        <w:t xml:space="preserve"> </w:t>
      </w:r>
      <w:r>
        <w:rPr>
          <w:spacing w:val="-2"/>
          <w:w w:val="105"/>
        </w:rPr>
        <w:t>do</w:t>
      </w:r>
      <w:r>
        <w:rPr>
          <w:spacing w:val="-7"/>
          <w:w w:val="105"/>
        </w:rPr>
        <w:t xml:space="preserve"> </w:t>
      </w:r>
      <w:r>
        <w:rPr>
          <w:spacing w:val="-2"/>
          <w:w w:val="105"/>
        </w:rPr>
        <w:t>processo</w:t>
      </w:r>
      <w:r>
        <w:rPr>
          <w:spacing w:val="-7"/>
          <w:w w:val="105"/>
        </w:rPr>
        <w:t xml:space="preserve"> </w:t>
      </w:r>
      <w:r>
        <w:rPr>
          <w:spacing w:val="-2"/>
          <w:w w:val="105"/>
        </w:rPr>
        <w:t>à</w:t>
      </w:r>
      <w:r>
        <w:rPr>
          <w:spacing w:val="-9"/>
          <w:w w:val="105"/>
        </w:rPr>
        <w:t xml:space="preserve"> </w:t>
      </w:r>
      <w:r>
        <w:rPr>
          <w:spacing w:val="-2"/>
          <w:w w:val="105"/>
        </w:rPr>
        <w:t>Primeira</w:t>
      </w:r>
      <w:r>
        <w:rPr>
          <w:spacing w:val="-10"/>
          <w:w w:val="105"/>
        </w:rPr>
        <w:t xml:space="preserve"> </w:t>
      </w:r>
      <w:r>
        <w:rPr>
          <w:spacing w:val="-2"/>
          <w:w w:val="105"/>
        </w:rPr>
        <w:t>Instância,</w:t>
      </w:r>
      <w:r>
        <w:rPr>
          <w:spacing w:val="-7"/>
          <w:w w:val="105"/>
        </w:rPr>
        <w:t xml:space="preserve"> </w:t>
      </w:r>
      <w:r>
        <w:rPr>
          <w:spacing w:val="-2"/>
          <w:w w:val="105"/>
        </w:rPr>
        <w:t>a</w:t>
      </w:r>
      <w:r>
        <w:rPr>
          <w:spacing w:val="-9"/>
          <w:w w:val="105"/>
        </w:rPr>
        <w:t xml:space="preserve"> </w:t>
      </w:r>
      <w:r>
        <w:rPr>
          <w:spacing w:val="-2"/>
          <w:w w:val="105"/>
        </w:rPr>
        <w:t>Telebras</w:t>
      </w:r>
      <w:r>
        <w:rPr>
          <w:spacing w:val="-9"/>
          <w:w w:val="105"/>
        </w:rPr>
        <w:t xml:space="preserve"> </w:t>
      </w:r>
      <w:r>
        <w:rPr>
          <w:spacing w:val="-2"/>
          <w:w w:val="105"/>
        </w:rPr>
        <w:t>propôs</w:t>
      </w:r>
      <w:r>
        <w:rPr>
          <w:spacing w:val="-9"/>
          <w:w w:val="105"/>
        </w:rPr>
        <w:t xml:space="preserve"> </w:t>
      </w:r>
      <w:r>
        <w:rPr>
          <w:spacing w:val="-2"/>
          <w:w w:val="105"/>
        </w:rPr>
        <w:t>o</w:t>
      </w:r>
      <w:r>
        <w:rPr>
          <w:spacing w:val="-9"/>
          <w:w w:val="105"/>
        </w:rPr>
        <w:t xml:space="preserve"> </w:t>
      </w:r>
      <w:r>
        <w:rPr>
          <w:spacing w:val="-2"/>
          <w:w w:val="105"/>
        </w:rPr>
        <w:t>cumprimento</w:t>
      </w:r>
      <w:r>
        <w:rPr>
          <w:spacing w:val="-7"/>
          <w:w w:val="105"/>
        </w:rPr>
        <w:t xml:space="preserve"> </w:t>
      </w:r>
      <w:r>
        <w:rPr>
          <w:spacing w:val="-2"/>
          <w:w w:val="105"/>
        </w:rPr>
        <w:t>de</w:t>
      </w:r>
      <w:r>
        <w:rPr>
          <w:spacing w:val="-10"/>
          <w:w w:val="105"/>
        </w:rPr>
        <w:t xml:space="preserve"> </w:t>
      </w:r>
      <w:r>
        <w:rPr>
          <w:spacing w:val="-2"/>
          <w:w w:val="105"/>
        </w:rPr>
        <w:t xml:space="preserve">sentença, </w:t>
      </w:r>
      <w:r>
        <w:t>nos</w:t>
      </w:r>
      <w:r>
        <w:rPr>
          <w:spacing w:val="-6"/>
        </w:rPr>
        <w:t xml:space="preserve"> </w:t>
      </w:r>
      <w:r>
        <w:t>termos</w:t>
      </w:r>
      <w:r>
        <w:rPr>
          <w:spacing w:val="-6"/>
        </w:rPr>
        <w:t xml:space="preserve"> </w:t>
      </w:r>
      <w:r>
        <w:t>dos</w:t>
      </w:r>
      <w:r>
        <w:rPr>
          <w:spacing w:val="-6"/>
        </w:rPr>
        <w:t xml:space="preserve"> </w:t>
      </w:r>
      <w:r>
        <w:t>artigos</w:t>
      </w:r>
      <w:r>
        <w:rPr>
          <w:spacing w:val="-8"/>
        </w:rPr>
        <w:t xml:space="preserve"> </w:t>
      </w:r>
      <w:r>
        <w:t>534</w:t>
      </w:r>
      <w:r>
        <w:rPr>
          <w:spacing w:val="-8"/>
        </w:rPr>
        <w:t xml:space="preserve"> </w:t>
      </w:r>
      <w:r>
        <w:t>e</w:t>
      </w:r>
      <w:r>
        <w:rPr>
          <w:spacing w:val="-8"/>
        </w:rPr>
        <w:t xml:space="preserve"> </w:t>
      </w:r>
      <w:r>
        <w:t>seguintes</w:t>
      </w:r>
      <w:r>
        <w:rPr>
          <w:spacing w:val="-8"/>
        </w:rPr>
        <w:t xml:space="preserve"> </w:t>
      </w:r>
      <w:r>
        <w:t>do</w:t>
      </w:r>
      <w:r>
        <w:rPr>
          <w:spacing w:val="-10"/>
        </w:rPr>
        <w:t xml:space="preserve"> </w:t>
      </w:r>
      <w:r>
        <w:t>Código</w:t>
      </w:r>
      <w:r>
        <w:rPr>
          <w:spacing w:val="-8"/>
        </w:rPr>
        <w:t xml:space="preserve"> </w:t>
      </w:r>
      <w:r>
        <w:t>de</w:t>
      </w:r>
      <w:r>
        <w:rPr>
          <w:spacing w:val="-6"/>
        </w:rPr>
        <w:t xml:space="preserve"> </w:t>
      </w:r>
      <w:r>
        <w:t>Processo</w:t>
      </w:r>
      <w:r>
        <w:rPr>
          <w:spacing w:val="-10"/>
        </w:rPr>
        <w:t xml:space="preserve"> </w:t>
      </w:r>
      <w:r>
        <w:t>Civil,</w:t>
      </w:r>
      <w:r>
        <w:rPr>
          <w:spacing w:val="-6"/>
        </w:rPr>
        <w:t xml:space="preserve"> </w:t>
      </w:r>
      <w:r>
        <w:t>baseado</w:t>
      </w:r>
      <w:r>
        <w:rPr>
          <w:spacing w:val="-8"/>
        </w:rPr>
        <w:t xml:space="preserve"> </w:t>
      </w:r>
      <w:r>
        <w:t>nos</w:t>
      </w:r>
      <w:r>
        <w:rPr>
          <w:spacing w:val="-8"/>
        </w:rPr>
        <w:t xml:space="preserve"> </w:t>
      </w:r>
      <w:r>
        <w:t>valores</w:t>
      </w:r>
      <w:r>
        <w:rPr>
          <w:spacing w:val="-8"/>
        </w:rPr>
        <w:t xml:space="preserve"> </w:t>
      </w:r>
      <w:r>
        <w:rPr>
          <w:spacing w:val="-2"/>
        </w:rPr>
        <w:t>levantados.</w:t>
      </w:r>
    </w:p>
    <w:p w14:paraId="70A55C5F" w14:textId="77777777" w:rsidR="002C6574" w:rsidRDefault="002C6574">
      <w:pPr>
        <w:pStyle w:val="Corpodetexto"/>
        <w:spacing w:line="237" w:lineRule="auto"/>
        <w:jc w:val="both"/>
        <w:sectPr w:rsidR="002C6574">
          <w:pgSz w:w="11910" w:h="16840"/>
          <w:pgMar w:top="1600" w:right="141" w:bottom="1320" w:left="1133" w:header="856" w:footer="1123" w:gutter="0"/>
          <w:cols w:space="720"/>
        </w:sectPr>
      </w:pPr>
    </w:p>
    <w:p w14:paraId="12D59A2E" w14:textId="77777777" w:rsidR="002C6574" w:rsidRDefault="00000000">
      <w:pPr>
        <w:pStyle w:val="Corpodetexto"/>
        <w:spacing w:before="200" w:line="237" w:lineRule="auto"/>
        <w:ind w:left="143" w:right="704"/>
        <w:jc w:val="both"/>
      </w:pPr>
      <w:r>
        <w:lastRenderedPageBreak/>
        <w:t>A União (Fazenda Nacional) apresentou impugnação ao cumprimento de sentença. A Telebras manifestou-se quanto à impugnação apresentada e está aguardando a decisão judicial.</w:t>
      </w:r>
    </w:p>
    <w:p w14:paraId="27889F51" w14:textId="77777777" w:rsidR="002C6574" w:rsidRDefault="002C6574">
      <w:pPr>
        <w:pStyle w:val="Corpodetexto"/>
        <w:spacing w:before="30"/>
      </w:pPr>
    </w:p>
    <w:p w14:paraId="3F54C0A4" w14:textId="77777777" w:rsidR="002C6574" w:rsidRDefault="00000000">
      <w:pPr>
        <w:numPr>
          <w:ilvl w:val="0"/>
          <w:numId w:val="54"/>
        </w:numPr>
        <w:tabs>
          <w:tab w:val="left" w:pos="995"/>
        </w:tabs>
        <w:spacing w:before="1"/>
        <w:ind w:left="995" w:hanging="852"/>
        <w:rPr>
          <w:rFonts w:ascii="Arial" w:hAnsi="Arial"/>
          <w:b/>
        </w:rPr>
      </w:pPr>
      <w:r>
        <w:rPr>
          <w:rFonts w:ascii="Arial" w:hAnsi="Arial"/>
          <w:b/>
        </w:rPr>
        <w:t>DEPÓSITOS</w:t>
      </w:r>
      <w:r>
        <w:rPr>
          <w:rFonts w:ascii="Arial" w:hAnsi="Arial"/>
          <w:b/>
          <w:spacing w:val="-6"/>
        </w:rPr>
        <w:t xml:space="preserve"> </w:t>
      </w:r>
      <w:r>
        <w:rPr>
          <w:rFonts w:ascii="Arial" w:hAnsi="Arial"/>
          <w:b/>
          <w:spacing w:val="-2"/>
        </w:rPr>
        <w:t>JUDICIAIS</w:t>
      </w:r>
    </w:p>
    <w:p w14:paraId="316F21BB" w14:textId="77777777" w:rsidR="002C6574" w:rsidRDefault="00000000">
      <w:pPr>
        <w:pStyle w:val="Corpodetexto"/>
        <w:spacing w:before="224" w:line="237" w:lineRule="auto"/>
        <w:ind w:left="143" w:right="704"/>
        <w:jc w:val="both"/>
      </w:pPr>
      <w:r>
        <w:t>A Companhia possui depósitos judiciais vinculados a processos cíveis, trabalhistas, tributários e societários. A composição dos depósitos judiciais vinculados e não vinculados às provisões para riscos prováveis está assim distribuída:</w:t>
      </w:r>
    </w:p>
    <w:p w14:paraId="0F6DC7B9" w14:textId="77777777" w:rsidR="002C6574" w:rsidRDefault="002C6574">
      <w:pPr>
        <w:pStyle w:val="Corpodetexto"/>
        <w:spacing w:before="3"/>
        <w:rPr>
          <w:sz w:val="1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9"/>
        <w:gridCol w:w="1159"/>
        <w:gridCol w:w="1159"/>
        <w:gridCol w:w="1169"/>
        <w:gridCol w:w="1147"/>
        <w:gridCol w:w="1106"/>
        <w:gridCol w:w="1060"/>
      </w:tblGrid>
      <w:tr w:rsidR="002C6574" w14:paraId="320CDB29" w14:textId="77777777">
        <w:trPr>
          <w:trHeight w:val="253"/>
        </w:trPr>
        <w:tc>
          <w:tcPr>
            <w:tcW w:w="2909" w:type="dxa"/>
            <w:vMerge w:val="restart"/>
            <w:shd w:val="clear" w:color="auto" w:fill="D8D8D8"/>
          </w:tcPr>
          <w:p w14:paraId="0193ADF2" w14:textId="77777777" w:rsidR="002C6574" w:rsidRDefault="00000000">
            <w:pPr>
              <w:pStyle w:val="TableParagraph"/>
              <w:spacing w:before="211"/>
              <w:ind w:left="69"/>
              <w:jc w:val="left"/>
              <w:rPr>
                <w:sz w:val="18"/>
              </w:rPr>
            </w:pPr>
            <w:r>
              <w:rPr>
                <w:spacing w:val="-2"/>
                <w:w w:val="105"/>
                <w:sz w:val="18"/>
              </w:rPr>
              <w:t>Natureza:</w:t>
            </w:r>
          </w:p>
        </w:tc>
        <w:tc>
          <w:tcPr>
            <w:tcW w:w="3487" w:type="dxa"/>
            <w:gridSpan w:val="3"/>
          </w:tcPr>
          <w:p w14:paraId="1984D710" w14:textId="77777777" w:rsidR="002C6574" w:rsidRDefault="00000000">
            <w:pPr>
              <w:pStyle w:val="TableParagraph"/>
              <w:spacing w:before="23"/>
              <w:ind w:left="10"/>
              <w:jc w:val="center"/>
              <w:rPr>
                <w:rFonts w:ascii="Arial"/>
                <w:b/>
                <w:sz w:val="18"/>
              </w:rPr>
            </w:pPr>
            <w:r>
              <w:rPr>
                <w:rFonts w:ascii="Arial"/>
                <w:b/>
                <w:spacing w:val="-2"/>
                <w:sz w:val="18"/>
              </w:rPr>
              <w:t>31/12/2025</w:t>
            </w:r>
          </w:p>
        </w:tc>
        <w:tc>
          <w:tcPr>
            <w:tcW w:w="3313" w:type="dxa"/>
            <w:gridSpan w:val="3"/>
          </w:tcPr>
          <w:p w14:paraId="183B327E" w14:textId="77777777" w:rsidR="002C6574" w:rsidRDefault="00000000">
            <w:pPr>
              <w:pStyle w:val="TableParagraph"/>
              <w:spacing w:before="23"/>
              <w:ind w:left="11"/>
              <w:jc w:val="center"/>
              <w:rPr>
                <w:rFonts w:ascii="Arial"/>
                <w:b/>
                <w:sz w:val="18"/>
              </w:rPr>
            </w:pPr>
            <w:r>
              <w:rPr>
                <w:rFonts w:ascii="Arial"/>
                <w:b/>
                <w:spacing w:val="-2"/>
                <w:sz w:val="18"/>
              </w:rPr>
              <w:t>31/12/2024</w:t>
            </w:r>
          </w:p>
        </w:tc>
      </w:tr>
      <w:tr w:rsidR="002C6574" w14:paraId="6716FE9F" w14:textId="77777777">
        <w:trPr>
          <w:trHeight w:val="414"/>
        </w:trPr>
        <w:tc>
          <w:tcPr>
            <w:tcW w:w="2909" w:type="dxa"/>
            <w:vMerge/>
            <w:tcBorders>
              <w:top w:val="nil"/>
            </w:tcBorders>
            <w:shd w:val="clear" w:color="auto" w:fill="D8D8D8"/>
          </w:tcPr>
          <w:p w14:paraId="32408BC0" w14:textId="77777777" w:rsidR="002C6574" w:rsidRDefault="002C6574">
            <w:pPr>
              <w:rPr>
                <w:sz w:val="2"/>
                <w:szCs w:val="2"/>
              </w:rPr>
            </w:pPr>
          </w:p>
        </w:tc>
        <w:tc>
          <w:tcPr>
            <w:tcW w:w="1159" w:type="dxa"/>
          </w:tcPr>
          <w:p w14:paraId="713E0A65" w14:textId="77777777" w:rsidR="002C6574" w:rsidRDefault="00000000">
            <w:pPr>
              <w:pStyle w:val="TableParagraph"/>
              <w:spacing w:before="104"/>
              <w:ind w:right="87"/>
              <w:rPr>
                <w:rFonts w:ascii="Arial"/>
                <w:b/>
                <w:sz w:val="18"/>
              </w:rPr>
            </w:pPr>
            <w:r>
              <w:rPr>
                <w:rFonts w:ascii="Arial"/>
                <w:b/>
                <w:spacing w:val="-2"/>
                <w:sz w:val="18"/>
              </w:rPr>
              <w:t>Vinculados</w:t>
            </w:r>
          </w:p>
        </w:tc>
        <w:tc>
          <w:tcPr>
            <w:tcW w:w="1159" w:type="dxa"/>
          </w:tcPr>
          <w:p w14:paraId="7421AB61" w14:textId="77777777" w:rsidR="002C6574" w:rsidRDefault="00000000">
            <w:pPr>
              <w:pStyle w:val="TableParagraph"/>
              <w:spacing w:line="206" w:lineRule="exact"/>
              <w:ind w:left="98" w:firstLine="309"/>
              <w:jc w:val="left"/>
              <w:rPr>
                <w:rFonts w:ascii="Arial" w:hAnsi="Arial"/>
                <w:b/>
                <w:sz w:val="18"/>
              </w:rPr>
            </w:pPr>
            <w:r>
              <w:rPr>
                <w:rFonts w:ascii="Arial" w:hAnsi="Arial"/>
                <w:b/>
                <w:spacing w:val="-4"/>
                <w:sz w:val="18"/>
              </w:rPr>
              <w:t xml:space="preserve">Não </w:t>
            </w:r>
            <w:r>
              <w:rPr>
                <w:rFonts w:ascii="Arial" w:hAnsi="Arial"/>
                <w:b/>
                <w:spacing w:val="-2"/>
                <w:sz w:val="18"/>
              </w:rPr>
              <w:t>Vinculados</w:t>
            </w:r>
          </w:p>
        </w:tc>
        <w:tc>
          <w:tcPr>
            <w:tcW w:w="1169" w:type="dxa"/>
          </w:tcPr>
          <w:p w14:paraId="4AB89303" w14:textId="77777777" w:rsidR="002C6574" w:rsidRDefault="00000000">
            <w:pPr>
              <w:pStyle w:val="TableParagraph"/>
              <w:spacing w:before="104"/>
              <w:ind w:left="367"/>
              <w:jc w:val="left"/>
              <w:rPr>
                <w:rFonts w:ascii="Arial"/>
                <w:b/>
                <w:sz w:val="18"/>
              </w:rPr>
            </w:pPr>
            <w:r>
              <w:rPr>
                <w:rFonts w:ascii="Arial"/>
                <w:b/>
                <w:spacing w:val="-2"/>
                <w:sz w:val="18"/>
              </w:rPr>
              <w:t>Total</w:t>
            </w:r>
          </w:p>
        </w:tc>
        <w:tc>
          <w:tcPr>
            <w:tcW w:w="1147" w:type="dxa"/>
          </w:tcPr>
          <w:p w14:paraId="25ECADC9" w14:textId="77777777" w:rsidR="002C6574" w:rsidRDefault="00000000">
            <w:pPr>
              <w:pStyle w:val="TableParagraph"/>
              <w:spacing w:before="104"/>
              <w:ind w:right="80"/>
              <w:rPr>
                <w:rFonts w:ascii="Arial"/>
                <w:b/>
                <w:sz w:val="18"/>
              </w:rPr>
            </w:pPr>
            <w:r>
              <w:rPr>
                <w:rFonts w:ascii="Arial"/>
                <w:b/>
                <w:spacing w:val="-2"/>
                <w:sz w:val="18"/>
              </w:rPr>
              <w:t>Vinculados</w:t>
            </w:r>
          </w:p>
        </w:tc>
        <w:tc>
          <w:tcPr>
            <w:tcW w:w="1106" w:type="dxa"/>
          </w:tcPr>
          <w:p w14:paraId="03D3CDBE" w14:textId="77777777" w:rsidR="002C6574" w:rsidRDefault="00000000">
            <w:pPr>
              <w:pStyle w:val="TableParagraph"/>
              <w:spacing w:line="206" w:lineRule="exact"/>
              <w:ind w:left="71" w:firstLine="309"/>
              <w:jc w:val="left"/>
              <w:rPr>
                <w:rFonts w:ascii="Arial" w:hAnsi="Arial"/>
                <w:b/>
                <w:sz w:val="18"/>
              </w:rPr>
            </w:pPr>
            <w:r>
              <w:rPr>
                <w:rFonts w:ascii="Arial" w:hAnsi="Arial"/>
                <w:b/>
                <w:spacing w:val="-4"/>
                <w:sz w:val="18"/>
              </w:rPr>
              <w:t xml:space="preserve">Não </w:t>
            </w:r>
            <w:r>
              <w:rPr>
                <w:rFonts w:ascii="Arial" w:hAnsi="Arial"/>
                <w:b/>
                <w:spacing w:val="-2"/>
                <w:sz w:val="18"/>
              </w:rPr>
              <w:t>Vinculados</w:t>
            </w:r>
          </w:p>
        </w:tc>
        <w:tc>
          <w:tcPr>
            <w:tcW w:w="1060" w:type="dxa"/>
          </w:tcPr>
          <w:p w14:paraId="6F889DB4" w14:textId="77777777" w:rsidR="002C6574" w:rsidRDefault="00000000">
            <w:pPr>
              <w:pStyle w:val="TableParagraph"/>
              <w:spacing w:before="104"/>
              <w:ind w:left="314"/>
              <w:jc w:val="left"/>
              <w:rPr>
                <w:rFonts w:ascii="Arial"/>
                <w:b/>
                <w:sz w:val="18"/>
              </w:rPr>
            </w:pPr>
            <w:r>
              <w:rPr>
                <w:rFonts w:ascii="Arial"/>
                <w:b/>
                <w:spacing w:val="-2"/>
                <w:sz w:val="18"/>
              </w:rPr>
              <w:t>Total</w:t>
            </w:r>
          </w:p>
        </w:tc>
      </w:tr>
      <w:tr w:rsidR="002C6574" w14:paraId="183BF265" w14:textId="77777777">
        <w:trPr>
          <w:trHeight w:val="253"/>
        </w:trPr>
        <w:tc>
          <w:tcPr>
            <w:tcW w:w="2909" w:type="dxa"/>
          </w:tcPr>
          <w:p w14:paraId="7832F9E4" w14:textId="77777777" w:rsidR="002C6574" w:rsidRDefault="002C6574">
            <w:pPr>
              <w:pStyle w:val="TableParagraph"/>
              <w:jc w:val="left"/>
              <w:rPr>
                <w:rFonts w:ascii="Times New Roman"/>
                <w:sz w:val="18"/>
              </w:rPr>
            </w:pPr>
          </w:p>
        </w:tc>
        <w:tc>
          <w:tcPr>
            <w:tcW w:w="1159" w:type="dxa"/>
          </w:tcPr>
          <w:p w14:paraId="56A9A1C1" w14:textId="77777777" w:rsidR="002C6574" w:rsidRDefault="00000000">
            <w:pPr>
              <w:pStyle w:val="TableParagraph"/>
              <w:spacing w:line="234" w:lineRule="exact"/>
              <w:ind w:left="142" w:right="136"/>
              <w:jc w:val="center"/>
              <w:rPr>
                <w:sz w:val="18"/>
              </w:rPr>
            </w:pPr>
            <w:r>
              <w:rPr>
                <w:spacing w:val="-5"/>
                <w:w w:val="110"/>
                <w:sz w:val="18"/>
              </w:rPr>
              <w:t>(A)</w:t>
            </w:r>
          </w:p>
        </w:tc>
        <w:tc>
          <w:tcPr>
            <w:tcW w:w="1159" w:type="dxa"/>
          </w:tcPr>
          <w:p w14:paraId="44AF41C1" w14:textId="77777777" w:rsidR="002C6574" w:rsidRDefault="00000000">
            <w:pPr>
              <w:pStyle w:val="TableParagraph"/>
              <w:spacing w:line="234" w:lineRule="exact"/>
              <w:ind w:left="142" w:right="134"/>
              <w:jc w:val="center"/>
              <w:rPr>
                <w:sz w:val="18"/>
              </w:rPr>
            </w:pPr>
            <w:r>
              <w:rPr>
                <w:spacing w:val="-5"/>
                <w:w w:val="110"/>
                <w:sz w:val="18"/>
              </w:rPr>
              <w:t>(B)</w:t>
            </w:r>
          </w:p>
        </w:tc>
        <w:tc>
          <w:tcPr>
            <w:tcW w:w="1169" w:type="dxa"/>
          </w:tcPr>
          <w:p w14:paraId="127A5E63" w14:textId="77777777" w:rsidR="002C6574" w:rsidRDefault="00000000">
            <w:pPr>
              <w:pStyle w:val="TableParagraph"/>
              <w:spacing w:line="234" w:lineRule="exact"/>
              <w:ind w:left="351"/>
              <w:jc w:val="left"/>
              <w:rPr>
                <w:sz w:val="18"/>
              </w:rPr>
            </w:pPr>
            <w:r>
              <w:rPr>
                <w:spacing w:val="-4"/>
                <w:w w:val="105"/>
                <w:sz w:val="18"/>
              </w:rPr>
              <w:t>(A+B)</w:t>
            </w:r>
          </w:p>
        </w:tc>
        <w:tc>
          <w:tcPr>
            <w:tcW w:w="1147" w:type="dxa"/>
          </w:tcPr>
          <w:p w14:paraId="7B83A433" w14:textId="77777777" w:rsidR="002C6574" w:rsidRDefault="00000000">
            <w:pPr>
              <w:pStyle w:val="TableParagraph"/>
              <w:spacing w:line="234" w:lineRule="exact"/>
              <w:ind w:left="10"/>
              <w:jc w:val="center"/>
              <w:rPr>
                <w:sz w:val="18"/>
              </w:rPr>
            </w:pPr>
            <w:r>
              <w:rPr>
                <w:spacing w:val="-5"/>
                <w:w w:val="110"/>
                <w:sz w:val="18"/>
              </w:rPr>
              <w:t>(A)</w:t>
            </w:r>
          </w:p>
        </w:tc>
        <w:tc>
          <w:tcPr>
            <w:tcW w:w="1106" w:type="dxa"/>
          </w:tcPr>
          <w:p w14:paraId="043F2720" w14:textId="77777777" w:rsidR="002C6574" w:rsidRDefault="00000000">
            <w:pPr>
              <w:pStyle w:val="TableParagraph"/>
              <w:spacing w:line="234" w:lineRule="exact"/>
              <w:ind w:left="8"/>
              <w:jc w:val="center"/>
              <w:rPr>
                <w:sz w:val="18"/>
              </w:rPr>
            </w:pPr>
            <w:r>
              <w:rPr>
                <w:spacing w:val="-5"/>
                <w:w w:val="110"/>
                <w:sz w:val="18"/>
              </w:rPr>
              <w:t>(B)</w:t>
            </w:r>
          </w:p>
        </w:tc>
        <w:tc>
          <w:tcPr>
            <w:tcW w:w="1060" w:type="dxa"/>
          </w:tcPr>
          <w:p w14:paraId="05CCAE00" w14:textId="77777777" w:rsidR="002C6574" w:rsidRDefault="00000000">
            <w:pPr>
              <w:pStyle w:val="TableParagraph"/>
              <w:spacing w:line="234" w:lineRule="exact"/>
              <w:ind w:left="295"/>
              <w:jc w:val="left"/>
              <w:rPr>
                <w:sz w:val="18"/>
              </w:rPr>
            </w:pPr>
            <w:r>
              <w:rPr>
                <w:spacing w:val="-4"/>
                <w:w w:val="105"/>
                <w:sz w:val="18"/>
              </w:rPr>
              <w:t>(A+B)</w:t>
            </w:r>
          </w:p>
        </w:tc>
      </w:tr>
      <w:tr w:rsidR="002C6574" w14:paraId="607E073E" w14:textId="77777777">
        <w:trPr>
          <w:trHeight w:val="254"/>
        </w:trPr>
        <w:tc>
          <w:tcPr>
            <w:tcW w:w="2909" w:type="dxa"/>
          </w:tcPr>
          <w:p w14:paraId="4ECECF9A" w14:textId="77777777" w:rsidR="002C6574" w:rsidRDefault="00000000">
            <w:pPr>
              <w:pStyle w:val="TableParagraph"/>
              <w:spacing w:line="234" w:lineRule="exact"/>
              <w:ind w:left="69"/>
              <w:jc w:val="left"/>
              <w:rPr>
                <w:sz w:val="18"/>
              </w:rPr>
            </w:pPr>
            <w:r>
              <w:rPr>
                <w:spacing w:val="-2"/>
                <w:sz w:val="18"/>
              </w:rPr>
              <w:t>Cível/Societário</w:t>
            </w:r>
          </w:p>
        </w:tc>
        <w:tc>
          <w:tcPr>
            <w:tcW w:w="1159" w:type="dxa"/>
          </w:tcPr>
          <w:p w14:paraId="6EFF28A6" w14:textId="77777777" w:rsidR="002C6574" w:rsidRDefault="00000000">
            <w:pPr>
              <w:pStyle w:val="TableParagraph"/>
              <w:spacing w:line="234" w:lineRule="exact"/>
              <w:ind w:right="55"/>
              <w:rPr>
                <w:sz w:val="18"/>
              </w:rPr>
            </w:pPr>
            <w:r>
              <w:rPr>
                <w:spacing w:val="-4"/>
                <w:w w:val="110"/>
                <w:sz w:val="18"/>
              </w:rPr>
              <w:t>1.147</w:t>
            </w:r>
          </w:p>
        </w:tc>
        <w:tc>
          <w:tcPr>
            <w:tcW w:w="1159" w:type="dxa"/>
          </w:tcPr>
          <w:p w14:paraId="4DC7631D" w14:textId="77777777" w:rsidR="002C6574" w:rsidRDefault="00000000">
            <w:pPr>
              <w:pStyle w:val="TableParagraph"/>
              <w:spacing w:line="234" w:lineRule="exact"/>
              <w:ind w:right="55"/>
              <w:rPr>
                <w:sz w:val="18"/>
              </w:rPr>
            </w:pPr>
            <w:r>
              <w:rPr>
                <w:spacing w:val="-2"/>
                <w:w w:val="105"/>
                <w:sz w:val="18"/>
              </w:rPr>
              <w:t>54.490</w:t>
            </w:r>
          </w:p>
        </w:tc>
        <w:tc>
          <w:tcPr>
            <w:tcW w:w="1169" w:type="dxa"/>
          </w:tcPr>
          <w:p w14:paraId="75321E48" w14:textId="77777777" w:rsidR="002C6574" w:rsidRDefault="00000000">
            <w:pPr>
              <w:pStyle w:val="TableParagraph"/>
              <w:spacing w:line="234" w:lineRule="exact"/>
              <w:ind w:right="58"/>
              <w:rPr>
                <w:sz w:val="18"/>
              </w:rPr>
            </w:pPr>
            <w:r>
              <w:rPr>
                <w:spacing w:val="-2"/>
                <w:w w:val="105"/>
                <w:sz w:val="18"/>
              </w:rPr>
              <w:t>55.637</w:t>
            </w:r>
          </w:p>
        </w:tc>
        <w:tc>
          <w:tcPr>
            <w:tcW w:w="1147" w:type="dxa"/>
          </w:tcPr>
          <w:p w14:paraId="1EC0ACB0" w14:textId="77777777" w:rsidR="002C6574" w:rsidRDefault="00000000">
            <w:pPr>
              <w:pStyle w:val="TableParagraph"/>
              <w:spacing w:line="234" w:lineRule="exact"/>
              <w:ind w:right="55"/>
              <w:rPr>
                <w:sz w:val="18"/>
              </w:rPr>
            </w:pPr>
            <w:r>
              <w:rPr>
                <w:spacing w:val="-2"/>
                <w:w w:val="110"/>
                <w:sz w:val="18"/>
              </w:rPr>
              <w:t>2.181</w:t>
            </w:r>
          </w:p>
        </w:tc>
        <w:tc>
          <w:tcPr>
            <w:tcW w:w="1106" w:type="dxa"/>
          </w:tcPr>
          <w:p w14:paraId="60ADB194" w14:textId="77777777" w:rsidR="002C6574" w:rsidRDefault="00000000">
            <w:pPr>
              <w:pStyle w:val="TableParagraph"/>
              <w:spacing w:line="234" w:lineRule="exact"/>
              <w:ind w:right="55"/>
              <w:rPr>
                <w:sz w:val="18"/>
              </w:rPr>
            </w:pPr>
            <w:r>
              <w:rPr>
                <w:spacing w:val="-2"/>
                <w:w w:val="105"/>
                <w:sz w:val="18"/>
              </w:rPr>
              <w:t>50.400</w:t>
            </w:r>
          </w:p>
        </w:tc>
        <w:tc>
          <w:tcPr>
            <w:tcW w:w="1060" w:type="dxa"/>
          </w:tcPr>
          <w:p w14:paraId="02826C36" w14:textId="77777777" w:rsidR="002C6574" w:rsidRDefault="00000000">
            <w:pPr>
              <w:pStyle w:val="TableParagraph"/>
              <w:spacing w:line="234" w:lineRule="exact"/>
              <w:ind w:right="56"/>
              <w:rPr>
                <w:sz w:val="18"/>
              </w:rPr>
            </w:pPr>
            <w:r>
              <w:rPr>
                <w:spacing w:val="-2"/>
                <w:w w:val="105"/>
                <w:sz w:val="18"/>
              </w:rPr>
              <w:t>52.581</w:t>
            </w:r>
          </w:p>
        </w:tc>
      </w:tr>
      <w:tr w:rsidR="002C6574" w14:paraId="1D3DB589" w14:textId="77777777">
        <w:trPr>
          <w:trHeight w:val="254"/>
        </w:trPr>
        <w:tc>
          <w:tcPr>
            <w:tcW w:w="2909" w:type="dxa"/>
          </w:tcPr>
          <w:p w14:paraId="5DE8B522" w14:textId="77777777" w:rsidR="002C6574" w:rsidRDefault="00000000">
            <w:pPr>
              <w:pStyle w:val="TableParagraph"/>
              <w:spacing w:line="234" w:lineRule="exact"/>
              <w:ind w:left="69"/>
              <w:jc w:val="left"/>
              <w:rPr>
                <w:sz w:val="18"/>
              </w:rPr>
            </w:pPr>
            <w:r>
              <w:rPr>
                <w:spacing w:val="-2"/>
                <w:sz w:val="18"/>
              </w:rPr>
              <w:t>Trabalhista</w:t>
            </w:r>
          </w:p>
        </w:tc>
        <w:tc>
          <w:tcPr>
            <w:tcW w:w="1159" w:type="dxa"/>
          </w:tcPr>
          <w:p w14:paraId="4379C181" w14:textId="77777777" w:rsidR="002C6574" w:rsidRDefault="00000000">
            <w:pPr>
              <w:pStyle w:val="TableParagraph"/>
              <w:spacing w:line="234" w:lineRule="exact"/>
              <w:ind w:right="56"/>
              <w:rPr>
                <w:sz w:val="18"/>
              </w:rPr>
            </w:pPr>
            <w:r>
              <w:rPr>
                <w:spacing w:val="-2"/>
                <w:w w:val="110"/>
                <w:sz w:val="18"/>
              </w:rPr>
              <w:t>1.057</w:t>
            </w:r>
          </w:p>
        </w:tc>
        <w:tc>
          <w:tcPr>
            <w:tcW w:w="1159" w:type="dxa"/>
          </w:tcPr>
          <w:p w14:paraId="310137C6" w14:textId="77777777" w:rsidR="002C6574" w:rsidRDefault="00000000">
            <w:pPr>
              <w:pStyle w:val="TableParagraph"/>
              <w:spacing w:line="234" w:lineRule="exact"/>
              <w:ind w:right="57"/>
              <w:rPr>
                <w:sz w:val="18"/>
              </w:rPr>
            </w:pPr>
            <w:r>
              <w:rPr>
                <w:spacing w:val="-5"/>
                <w:w w:val="105"/>
                <w:sz w:val="18"/>
              </w:rPr>
              <w:t>232</w:t>
            </w:r>
          </w:p>
        </w:tc>
        <w:tc>
          <w:tcPr>
            <w:tcW w:w="1169" w:type="dxa"/>
          </w:tcPr>
          <w:p w14:paraId="16C56C77" w14:textId="77777777" w:rsidR="002C6574" w:rsidRDefault="00000000">
            <w:pPr>
              <w:pStyle w:val="TableParagraph"/>
              <w:spacing w:line="234" w:lineRule="exact"/>
              <w:ind w:right="58"/>
              <w:rPr>
                <w:sz w:val="18"/>
              </w:rPr>
            </w:pPr>
            <w:r>
              <w:rPr>
                <w:spacing w:val="-2"/>
                <w:w w:val="110"/>
                <w:sz w:val="18"/>
              </w:rPr>
              <w:t>1.289</w:t>
            </w:r>
          </w:p>
        </w:tc>
        <w:tc>
          <w:tcPr>
            <w:tcW w:w="1147" w:type="dxa"/>
          </w:tcPr>
          <w:p w14:paraId="2EDEDA49" w14:textId="77777777" w:rsidR="002C6574" w:rsidRDefault="00000000">
            <w:pPr>
              <w:pStyle w:val="TableParagraph"/>
              <w:spacing w:line="234" w:lineRule="exact"/>
              <w:ind w:right="57"/>
              <w:rPr>
                <w:sz w:val="18"/>
              </w:rPr>
            </w:pPr>
            <w:r>
              <w:rPr>
                <w:spacing w:val="-5"/>
                <w:w w:val="105"/>
                <w:sz w:val="18"/>
              </w:rPr>
              <w:t>959</w:t>
            </w:r>
          </w:p>
        </w:tc>
        <w:tc>
          <w:tcPr>
            <w:tcW w:w="1106" w:type="dxa"/>
          </w:tcPr>
          <w:p w14:paraId="3669002E" w14:textId="77777777" w:rsidR="002C6574" w:rsidRDefault="00000000">
            <w:pPr>
              <w:pStyle w:val="TableParagraph"/>
              <w:spacing w:line="234" w:lineRule="exact"/>
              <w:ind w:right="56"/>
              <w:rPr>
                <w:sz w:val="18"/>
              </w:rPr>
            </w:pPr>
            <w:r>
              <w:rPr>
                <w:spacing w:val="-5"/>
                <w:w w:val="105"/>
                <w:sz w:val="18"/>
              </w:rPr>
              <w:t>177</w:t>
            </w:r>
          </w:p>
        </w:tc>
        <w:tc>
          <w:tcPr>
            <w:tcW w:w="1060" w:type="dxa"/>
          </w:tcPr>
          <w:p w14:paraId="7538C07F" w14:textId="77777777" w:rsidR="002C6574" w:rsidRDefault="00000000">
            <w:pPr>
              <w:pStyle w:val="TableParagraph"/>
              <w:spacing w:line="234" w:lineRule="exact"/>
              <w:ind w:right="57"/>
              <w:rPr>
                <w:sz w:val="18"/>
              </w:rPr>
            </w:pPr>
            <w:r>
              <w:rPr>
                <w:spacing w:val="-2"/>
                <w:w w:val="110"/>
                <w:sz w:val="18"/>
              </w:rPr>
              <w:t>1.136</w:t>
            </w:r>
          </w:p>
        </w:tc>
      </w:tr>
      <w:tr w:rsidR="002C6574" w14:paraId="45B9B341" w14:textId="77777777">
        <w:trPr>
          <w:trHeight w:val="253"/>
        </w:trPr>
        <w:tc>
          <w:tcPr>
            <w:tcW w:w="2909" w:type="dxa"/>
          </w:tcPr>
          <w:p w14:paraId="636A03BC" w14:textId="77777777" w:rsidR="002C6574" w:rsidRDefault="00000000">
            <w:pPr>
              <w:pStyle w:val="TableParagraph"/>
              <w:spacing w:line="234" w:lineRule="exact"/>
              <w:ind w:left="69"/>
              <w:jc w:val="left"/>
              <w:rPr>
                <w:sz w:val="18"/>
              </w:rPr>
            </w:pPr>
            <w:r>
              <w:rPr>
                <w:spacing w:val="-2"/>
                <w:sz w:val="18"/>
              </w:rPr>
              <w:t>Tributária</w:t>
            </w:r>
          </w:p>
        </w:tc>
        <w:tc>
          <w:tcPr>
            <w:tcW w:w="1159" w:type="dxa"/>
          </w:tcPr>
          <w:p w14:paraId="751E41A0" w14:textId="77777777" w:rsidR="002C6574" w:rsidRDefault="00000000">
            <w:pPr>
              <w:pStyle w:val="TableParagraph"/>
              <w:spacing w:line="234" w:lineRule="exact"/>
              <w:ind w:right="57"/>
              <w:rPr>
                <w:sz w:val="18"/>
              </w:rPr>
            </w:pPr>
            <w:r>
              <w:rPr>
                <w:spacing w:val="-5"/>
                <w:w w:val="105"/>
                <w:sz w:val="18"/>
              </w:rPr>
              <w:t>532</w:t>
            </w:r>
          </w:p>
        </w:tc>
        <w:tc>
          <w:tcPr>
            <w:tcW w:w="1159" w:type="dxa"/>
          </w:tcPr>
          <w:p w14:paraId="24C87A68" w14:textId="77777777" w:rsidR="002C6574" w:rsidRDefault="00000000">
            <w:pPr>
              <w:pStyle w:val="TableParagraph"/>
              <w:spacing w:line="234" w:lineRule="exact"/>
              <w:ind w:right="55"/>
              <w:rPr>
                <w:sz w:val="18"/>
              </w:rPr>
            </w:pPr>
            <w:r>
              <w:rPr>
                <w:spacing w:val="-2"/>
                <w:w w:val="110"/>
                <w:sz w:val="18"/>
              </w:rPr>
              <w:t>2.419</w:t>
            </w:r>
          </w:p>
        </w:tc>
        <w:tc>
          <w:tcPr>
            <w:tcW w:w="1169" w:type="dxa"/>
          </w:tcPr>
          <w:p w14:paraId="3A0CB52F" w14:textId="77777777" w:rsidR="002C6574" w:rsidRDefault="00000000">
            <w:pPr>
              <w:pStyle w:val="TableParagraph"/>
              <w:spacing w:line="234" w:lineRule="exact"/>
              <w:ind w:right="58"/>
              <w:rPr>
                <w:sz w:val="18"/>
              </w:rPr>
            </w:pPr>
            <w:r>
              <w:rPr>
                <w:spacing w:val="-2"/>
                <w:w w:val="110"/>
                <w:sz w:val="18"/>
              </w:rPr>
              <w:t>2.951</w:t>
            </w:r>
          </w:p>
        </w:tc>
        <w:tc>
          <w:tcPr>
            <w:tcW w:w="1147" w:type="dxa"/>
          </w:tcPr>
          <w:p w14:paraId="148F97E8" w14:textId="77777777" w:rsidR="002C6574" w:rsidRDefault="00000000">
            <w:pPr>
              <w:pStyle w:val="TableParagraph"/>
              <w:spacing w:line="234" w:lineRule="exact"/>
              <w:ind w:right="57"/>
              <w:rPr>
                <w:sz w:val="18"/>
              </w:rPr>
            </w:pPr>
            <w:r>
              <w:rPr>
                <w:spacing w:val="-5"/>
                <w:w w:val="105"/>
                <w:sz w:val="18"/>
              </w:rPr>
              <w:t>571</w:t>
            </w:r>
          </w:p>
        </w:tc>
        <w:tc>
          <w:tcPr>
            <w:tcW w:w="1106" w:type="dxa"/>
          </w:tcPr>
          <w:p w14:paraId="63C34BDD" w14:textId="77777777" w:rsidR="002C6574" w:rsidRDefault="00000000">
            <w:pPr>
              <w:pStyle w:val="TableParagraph"/>
              <w:spacing w:line="234" w:lineRule="exact"/>
              <w:ind w:right="55"/>
              <w:rPr>
                <w:sz w:val="18"/>
              </w:rPr>
            </w:pPr>
            <w:r>
              <w:rPr>
                <w:spacing w:val="-2"/>
                <w:w w:val="110"/>
                <w:sz w:val="18"/>
              </w:rPr>
              <w:t>1.802</w:t>
            </w:r>
          </w:p>
        </w:tc>
        <w:tc>
          <w:tcPr>
            <w:tcW w:w="1060" w:type="dxa"/>
          </w:tcPr>
          <w:p w14:paraId="56423A0C" w14:textId="77777777" w:rsidR="002C6574" w:rsidRDefault="00000000">
            <w:pPr>
              <w:pStyle w:val="TableParagraph"/>
              <w:spacing w:line="234" w:lineRule="exact"/>
              <w:ind w:right="57"/>
              <w:rPr>
                <w:sz w:val="18"/>
              </w:rPr>
            </w:pPr>
            <w:r>
              <w:rPr>
                <w:spacing w:val="-2"/>
                <w:w w:val="110"/>
                <w:sz w:val="18"/>
              </w:rPr>
              <w:t>2.373</w:t>
            </w:r>
          </w:p>
        </w:tc>
      </w:tr>
      <w:tr w:rsidR="002C6574" w14:paraId="62ABECB0" w14:textId="77777777">
        <w:trPr>
          <w:trHeight w:val="254"/>
        </w:trPr>
        <w:tc>
          <w:tcPr>
            <w:tcW w:w="2909" w:type="dxa"/>
          </w:tcPr>
          <w:p w14:paraId="001E96BD" w14:textId="77777777" w:rsidR="002C6574" w:rsidRDefault="00000000">
            <w:pPr>
              <w:pStyle w:val="TableParagraph"/>
              <w:spacing w:before="23"/>
              <w:ind w:left="69"/>
              <w:jc w:val="left"/>
              <w:rPr>
                <w:rFonts w:ascii="Arial"/>
                <w:b/>
                <w:sz w:val="18"/>
              </w:rPr>
            </w:pPr>
            <w:r>
              <w:rPr>
                <w:rFonts w:ascii="Arial"/>
                <w:b/>
                <w:spacing w:val="-2"/>
                <w:sz w:val="18"/>
              </w:rPr>
              <w:t>Total</w:t>
            </w:r>
          </w:p>
        </w:tc>
        <w:tc>
          <w:tcPr>
            <w:tcW w:w="1159" w:type="dxa"/>
          </w:tcPr>
          <w:p w14:paraId="30898722" w14:textId="77777777" w:rsidR="002C6574" w:rsidRDefault="00000000">
            <w:pPr>
              <w:pStyle w:val="TableParagraph"/>
              <w:spacing w:before="23"/>
              <w:ind w:right="55"/>
              <w:rPr>
                <w:rFonts w:ascii="Arial"/>
                <w:b/>
                <w:sz w:val="18"/>
              </w:rPr>
            </w:pPr>
            <w:r>
              <w:rPr>
                <w:rFonts w:ascii="Arial"/>
                <w:b/>
                <w:spacing w:val="-2"/>
                <w:sz w:val="18"/>
              </w:rPr>
              <w:t>2.736</w:t>
            </w:r>
          </w:p>
        </w:tc>
        <w:tc>
          <w:tcPr>
            <w:tcW w:w="1159" w:type="dxa"/>
          </w:tcPr>
          <w:p w14:paraId="2711FF38" w14:textId="77777777" w:rsidR="002C6574" w:rsidRDefault="00000000">
            <w:pPr>
              <w:pStyle w:val="TableParagraph"/>
              <w:spacing w:before="23"/>
              <w:ind w:right="55"/>
              <w:rPr>
                <w:rFonts w:ascii="Arial"/>
                <w:b/>
                <w:sz w:val="18"/>
              </w:rPr>
            </w:pPr>
            <w:r>
              <w:rPr>
                <w:rFonts w:ascii="Arial"/>
                <w:b/>
                <w:spacing w:val="-2"/>
                <w:sz w:val="18"/>
              </w:rPr>
              <w:t>57.141</w:t>
            </w:r>
          </w:p>
        </w:tc>
        <w:tc>
          <w:tcPr>
            <w:tcW w:w="1169" w:type="dxa"/>
          </w:tcPr>
          <w:p w14:paraId="7878BD5D" w14:textId="77777777" w:rsidR="002C6574" w:rsidRDefault="00000000">
            <w:pPr>
              <w:pStyle w:val="TableParagraph"/>
              <w:spacing w:before="23"/>
              <w:ind w:right="58"/>
              <w:rPr>
                <w:rFonts w:ascii="Arial"/>
                <w:b/>
                <w:sz w:val="18"/>
              </w:rPr>
            </w:pPr>
            <w:r>
              <w:rPr>
                <w:rFonts w:ascii="Arial"/>
                <w:b/>
                <w:spacing w:val="-2"/>
                <w:sz w:val="18"/>
              </w:rPr>
              <w:t>59.877</w:t>
            </w:r>
          </w:p>
        </w:tc>
        <w:tc>
          <w:tcPr>
            <w:tcW w:w="1147" w:type="dxa"/>
          </w:tcPr>
          <w:p w14:paraId="4B059790" w14:textId="77777777" w:rsidR="002C6574" w:rsidRDefault="00000000">
            <w:pPr>
              <w:pStyle w:val="TableParagraph"/>
              <w:spacing w:before="23"/>
              <w:ind w:right="55"/>
              <w:rPr>
                <w:rFonts w:ascii="Arial"/>
                <w:b/>
                <w:sz w:val="18"/>
              </w:rPr>
            </w:pPr>
            <w:r>
              <w:rPr>
                <w:rFonts w:ascii="Arial"/>
                <w:b/>
                <w:spacing w:val="-2"/>
                <w:sz w:val="18"/>
              </w:rPr>
              <w:t>3.711</w:t>
            </w:r>
          </w:p>
        </w:tc>
        <w:tc>
          <w:tcPr>
            <w:tcW w:w="1106" w:type="dxa"/>
          </w:tcPr>
          <w:p w14:paraId="3094560A" w14:textId="77777777" w:rsidR="002C6574" w:rsidRDefault="00000000">
            <w:pPr>
              <w:pStyle w:val="TableParagraph"/>
              <w:spacing w:before="23"/>
              <w:ind w:right="55"/>
              <w:rPr>
                <w:rFonts w:ascii="Arial"/>
                <w:b/>
                <w:sz w:val="18"/>
              </w:rPr>
            </w:pPr>
            <w:r>
              <w:rPr>
                <w:rFonts w:ascii="Arial"/>
                <w:b/>
                <w:spacing w:val="-2"/>
                <w:sz w:val="18"/>
              </w:rPr>
              <w:t>52.379</w:t>
            </w:r>
          </w:p>
        </w:tc>
        <w:tc>
          <w:tcPr>
            <w:tcW w:w="1060" w:type="dxa"/>
          </w:tcPr>
          <w:p w14:paraId="45B59899" w14:textId="77777777" w:rsidR="002C6574" w:rsidRDefault="00000000">
            <w:pPr>
              <w:pStyle w:val="TableParagraph"/>
              <w:spacing w:before="23"/>
              <w:ind w:right="56"/>
              <w:rPr>
                <w:rFonts w:ascii="Arial"/>
                <w:b/>
                <w:sz w:val="18"/>
              </w:rPr>
            </w:pPr>
            <w:r>
              <w:rPr>
                <w:rFonts w:ascii="Arial"/>
                <w:b/>
                <w:spacing w:val="-2"/>
                <w:sz w:val="18"/>
              </w:rPr>
              <w:t>56.090</w:t>
            </w:r>
          </w:p>
        </w:tc>
      </w:tr>
      <w:tr w:rsidR="002C6574" w14:paraId="192A6F14" w14:textId="77777777">
        <w:trPr>
          <w:trHeight w:val="253"/>
        </w:trPr>
        <w:tc>
          <w:tcPr>
            <w:tcW w:w="2909" w:type="dxa"/>
          </w:tcPr>
          <w:p w14:paraId="78A4043C" w14:textId="77777777" w:rsidR="002C6574" w:rsidRDefault="00000000">
            <w:pPr>
              <w:pStyle w:val="TableParagraph"/>
              <w:spacing w:before="23"/>
              <w:ind w:left="69"/>
              <w:jc w:val="left"/>
              <w:rPr>
                <w:rFonts w:ascii="Arial"/>
                <w:b/>
                <w:sz w:val="18"/>
              </w:rPr>
            </w:pPr>
            <w:r>
              <w:rPr>
                <w:rFonts w:ascii="Arial"/>
                <w:b/>
                <w:spacing w:val="-2"/>
                <w:sz w:val="18"/>
              </w:rPr>
              <w:t>Circulante</w:t>
            </w:r>
          </w:p>
        </w:tc>
        <w:tc>
          <w:tcPr>
            <w:tcW w:w="1159" w:type="dxa"/>
          </w:tcPr>
          <w:p w14:paraId="47436C01" w14:textId="77777777" w:rsidR="002C6574" w:rsidRDefault="00000000">
            <w:pPr>
              <w:pStyle w:val="TableParagraph"/>
              <w:spacing w:before="23"/>
              <w:ind w:right="55"/>
              <w:rPr>
                <w:rFonts w:ascii="Arial"/>
                <w:b/>
                <w:sz w:val="18"/>
              </w:rPr>
            </w:pPr>
            <w:r>
              <w:rPr>
                <w:rFonts w:ascii="Arial"/>
                <w:b/>
                <w:spacing w:val="-2"/>
                <w:sz w:val="18"/>
              </w:rPr>
              <w:t>1.079</w:t>
            </w:r>
          </w:p>
        </w:tc>
        <w:tc>
          <w:tcPr>
            <w:tcW w:w="1159" w:type="dxa"/>
          </w:tcPr>
          <w:p w14:paraId="00934619" w14:textId="77777777" w:rsidR="002C6574" w:rsidRDefault="00000000">
            <w:pPr>
              <w:pStyle w:val="TableParagraph"/>
              <w:spacing w:before="23"/>
              <w:ind w:right="55"/>
              <w:rPr>
                <w:rFonts w:ascii="Arial"/>
                <w:b/>
                <w:sz w:val="18"/>
              </w:rPr>
            </w:pPr>
            <w:r>
              <w:rPr>
                <w:rFonts w:ascii="Arial"/>
                <w:b/>
                <w:spacing w:val="-2"/>
                <w:sz w:val="18"/>
              </w:rPr>
              <w:t>6.232</w:t>
            </w:r>
          </w:p>
        </w:tc>
        <w:tc>
          <w:tcPr>
            <w:tcW w:w="1169" w:type="dxa"/>
          </w:tcPr>
          <w:p w14:paraId="2CF4D77E" w14:textId="77777777" w:rsidR="002C6574" w:rsidRDefault="00000000">
            <w:pPr>
              <w:pStyle w:val="TableParagraph"/>
              <w:spacing w:before="23"/>
              <w:ind w:right="58"/>
              <w:rPr>
                <w:rFonts w:ascii="Arial"/>
                <w:b/>
                <w:sz w:val="18"/>
              </w:rPr>
            </w:pPr>
            <w:r>
              <w:rPr>
                <w:rFonts w:ascii="Arial"/>
                <w:b/>
                <w:spacing w:val="-2"/>
                <w:sz w:val="18"/>
              </w:rPr>
              <w:t>7.311</w:t>
            </w:r>
          </w:p>
        </w:tc>
        <w:tc>
          <w:tcPr>
            <w:tcW w:w="1147" w:type="dxa"/>
          </w:tcPr>
          <w:p w14:paraId="47FBCF45" w14:textId="77777777" w:rsidR="002C6574" w:rsidRDefault="00000000">
            <w:pPr>
              <w:pStyle w:val="TableParagraph"/>
              <w:spacing w:before="23"/>
              <w:ind w:right="55"/>
              <w:rPr>
                <w:rFonts w:ascii="Arial"/>
                <w:b/>
                <w:sz w:val="18"/>
              </w:rPr>
            </w:pPr>
            <w:r>
              <w:rPr>
                <w:rFonts w:ascii="Arial"/>
                <w:b/>
                <w:spacing w:val="-2"/>
                <w:sz w:val="18"/>
              </w:rPr>
              <w:t>1.598</w:t>
            </w:r>
          </w:p>
        </w:tc>
        <w:tc>
          <w:tcPr>
            <w:tcW w:w="1106" w:type="dxa"/>
          </w:tcPr>
          <w:p w14:paraId="224B6EE2" w14:textId="77777777" w:rsidR="002C6574" w:rsidRDefault="00000000">
            <w:pPr>
              <w:pStyle w:val="TableParagraph"/>
              <w:spacing w:before="23"/>
              <w:ind w:right="55"/>
              <w:rPr>
                <w:rFonts w:ascii="Arial"/>
                <w:b/>
                <w:sz w:val="18"/>
              </w:rPr>
            </w:pPr>
            <w:r>
              <w:rPr>
                <w:rFonts w:ascii="Arial"/>
                <w:b/>
                <w:spacing w:val="-2"/>
                <w:sz w:val="18"/>
              </w:rPr>
              <w:t>5.766</w:t>
            </w:r>
          </w:p>
        </w:tc>
        <w:tc>
          <w:tcPr>
            <w:tcW w:w="1060" w:type="dxa"/>
          </w:tcPr>
          <w:p w14:paraId="42E9A9F8" w14:textId="77777777" w:rsidR="002C6574" w:rsidRDefault="00000000">
            <w:pPr>
              <w:pStyle w:val="TableParagraph"/>
              <w:spacing w:before="23"/>
              <w:ind w:right="57"/>
              <w:rPr>
                <w:rFonts w:ascii="Arial"/>
                <w:b/>
                <w:sz w:val="18"/>
              </w:rPr>
            </w:pPr>
            <w:r>
              <w:rPr>
                <w:rFonts w:ascii="Arial"/>
                <w:b/>
                <w:spacing w:val="-2"/>
                <w:sz w:val="18"/>
              </w:rPr>
              <w:t>7.364</w:t>
            </w:r>
          </w:p>
        </w:tc>
      </w:tr>
      <w:tr w:rsidR="002C6574" w14:paraId="441911B2" w14:textId="77777777">
        <w:trPr>
          <w:trHeight w:val="254"/>
        </w:trPr>
        <w:tc>
          <w:tcPr>
            <w:tcW w:w="2909" w:type="dxa"/>
          </w:tcPr>
          <w:p w14:paraId="0BF41FE5" w14:textId="77777777" w:rsidR="002C6574" w:rsidRDefault="00000000">
            <w:pPr>
              <w:pStyle w:val="TableParagraph"/>
              <w:spacing w:before="23"/>
              <w:ind w:left="69"/>
              <w:jc w:val="left"/>
              <w:rPr>
                <w:rFonts w:ascii="Arial" w:hAnsi="Arial"/>
                <w:b/>
                <w:sz w:val="18"/>
              </w:rPr>
            </w:pPr>
            <w:r>
              <w:rPr>
                <w:rFonts w:ascii="Arial" w:hAnsi="Arial"/>
                <w:b/>
                <w:sz w:val="18"/>
              </w:rPr>
              <w:t xml:space="preserve">Não </w:t>
            </w:r>
            <w:r>
              <w:rPr>
                <w:rFonts w:ascii="Arial" w:hAnsi="Arial"/>
                <w:b/>
                <w:spacing w:val="-2"/>
                <w:sz w:val="18"/>
              </w:rPr>
              <w:t>Circulante</w:t>
            </w:r>
          </w:p>
        </w:tc>
        <w:tc>
          <w:tcPr>
            <w:tcW w:w="1159" w:type="dxa"/>
          </w:tcPr>
          <w:p w14:paraId="2F784E90" w14:textId="77777777" w:rsidR="002C6574" w:rsidRDefault="00000000">
            <w:pPr>
              <w:pStyle w:val="TableParagraph"/>
              <w:spacing w:before="23"/>
              <w:ind w:right="57"/>
              <w:rPr>
                <w:rFonts w:ascii="Arial"/>
                <w:b/>
                <w:sz w:val="18"/>
              </w:rPr>
            </w:pPr>
            <w:r>
              <w:rPr>
                <w:rFonts w:ascii="Arial"/>
                <w:b/>
                <w:spacing w:val="-2"/>
                <w:sz w:val="18"/>
              </w:rPr>
              <w:t>1.657</w:t>
            </w:r>
          </w:p>
        </w:tc>
        <w:tc>
          <w:tcPr>
            <w:tcW w:w="1159" w:type="dxa"/>
          </w:tcPr>
          <w:p w14:paraId="356AB0E5" w14:textId="77777777" w:rsidR="002C6574" w:rsidRDefault="00000000">
            <w:pPr>
              <w:pStyle w:val="TableParagraph"/>
              <w:spacing w:before="23"/>
              <w:ind w:right="55"/>
              <w:rPr>
                <w:rFonts w:ascii="Arial"/>
                <w:b/>
                <w:sz w:val="18"/>
              </w:rPr>
            </w:pPr>
            <w:r>
              <w:rPr>
                <w:rFonts w:ascii="Arial"/>
                <w:b/>
                <w:spacing w:val="-2"/>
                <w:sz w:val="18"/>
              </w:rPr>
              <w:t>50.909</w:t>
            </w:r>
          </w:p>
        </w:tc>
        <w:tc>
          <w:tcPr>
            <w:tcW w:w="1169" w:type="dxa"/>
          </w:tcPr>
          <w:p w14:paraId="59111F13" w14:textId="77777777" w:rsidR="002C6574" w:rsidRDefault="00000000">
            <w:pPr>
              <w:pStyle w:val="TableParagraph"/>
              <w:spacing w:before="23"/>
              <w:ind w:right="58"/>
              <w:rPr>
                <w:rFonts w:ascii="Arial"/>
                <w:b/>
                <w:sz w:val="18"/>
              </w:rPr>
            </w:pPr>
            <w:r>
              <w:rPr>
                <w:rFonts w:ascii="Arial"/>
                <w:b/>
                <w:spacing w:val="-2"/>
                <w:sz w:val="18"/>
              </w:rPr>
              <w:t>52.566</w:t>
            </w:r>
          </w:p>
        </w:tc>
        <w:tc>
          <w:tcPr>
            <w:tcW w:w="1147" w:type="dxa"/>
          </w:tcPr>
          <w:p w14:paraId="00E20C99" w14:textId="77777777" w:rsidR="002C6574" w:rsidRDefault="00000000">
            <w:pPr>
              <w:pStyle w:val="TableParagraph"/>
              <w:spacing w:before="23"/>
              <w:ind w:right="55"/>
              <w:rPr>
                <w:rFonts w:ascii="Arial"/>
                <w:b/>
                <w:sz w:val="18"/>
              </w:rPr>
            </w:pPr>
            <w:r>
              <w:rPr>
                <w:rFonts w:ascii="Arial"/>
                <w:b/>
                <w:spacing w:val="-2"/>
                <w:sz w:val="18"/>
              </w:rPr>
              <w:t>2.113</w:t>
            </w:r>
          </w:p>
        </w:tc>
        <w:tc>
          <w:tcPr>
            <w:tcW w:w="1106" w:type="dxa"/>
          </w:tcPr>
          <w:p w14:paraId="7B0A043F" w14:textId="77777777" w:rsidR="002C6574" w:rsidRDefault="00000000">
            <w:pPr>
              <w:pStyle w:val="TableParagraph"/>
              <w:spacing w:before="23"/>
              <w:ind w:right="55"/>
              <w:rPr>
                <w:rFonts w:ascii="Arial"/>
                <w:b/>
                <w:sz w:val="18"/>
              </w:rPr>
            </w:pPr>
            <w:r>
              <w:rPr>
                <w:rFonts w:ascii="Arial"/>
                <w:b/>
                <w:spacing w:val="-2"/>
                <w:sz w:val="18"/>
              </w:rPr>
              <w:t>46.613</w:t>
            </w:r>
          </w:p>
        </w:tc>
        <w:tc>
          <w:tcPr>
            <w:tcW w:w="1060" w:type="dxa"/>
          </w:tcPr>
          <w:p w14:paraId="4A51EDB5" w14:textId="77777777" w:rsidR="002C6574" w:rsidRDefault="00000000">
            <w:pPr>
              <w:pStyle w:val="TableParagraph"/>
              <w:spacing w:before="23"/>
              <w:ind w:right="56"/>
              <w:rPr>
                <w:rFonts w:ascii="Arial"/>
                <w:b/>
                <w:sz w:val="18"/>
              </w:rPr>
            </w:pPr>
            <w:r>
              <w:rPr>
                <w:rFonts w:ascii="Arial"/>
                <w:b/>
                <w:spacing w:val="-2"/>
                <w:sz w:val="18"/>
              </w:rPr>
              <w:t>48.726</w:t>
            </w:r>
          </w:p>
        </w:tc>
      </w:tr>
    </w:tbl>
    <w:p w14:paraId="10C8A472" w14:textId="77777777" w:rsidR="002C6574" w:rsidRDefault="002C6574">
      <w:pPr>
        <w:pStyle w:val="Corpodetexto"/>
        <w:spacing w:before="4"/>
      </w:pPr>
    </w:p>
    <w:p w14:paraId="7C596787" w14:textId="77777777" w:rsidR="002C6574" w:rsidRDefault="00000000">
      <w:pPr>
        <w:ind w:left="143"/>
        <w:rPr>
          <w:rFonts w:ascii="Arial" w:hAnsi="Arial"/>
          <w:b/>
        </w:rPr>
      </w:pPr>
      <w:r>
        <w:rPr>
          <w:rFonts w:ascii="Arial" w:hAnsi="Arial"/>
          <w:b/>
        </w:rPr>
        <w:t>7.1.</w:t>
      </w:r>
      <w:r>
        <w:rPr>
          <w:rFonts w:ascii="Arial" w:hAnsi="Arial"/>
          <w:b/>
          <w:spacing w:val="33"/>
        </w:rPr>
        <w:t xml:space="preserve">  </w:t>
      </w:r>
      <w:r>
        <w:rPr>
          <w:rFonts w:ascii="Arial" w:hAnsi="Arial"/>
          <w:b/>
        </w:rPr>
        <w:t>Movimentação</w:t>
      </w:r>
      <w:r>
        <w:rPr>
          <w:rFonts w:ascii="Arial" w:hAnsi="Arial"/>
          <w:b/>
          <w:spacing w:val="-2"/>
        </w:rPr>
        <w:t xml:space="preserve"> </w:t>
      </w:r>
      <w:r>
        <w:rPr>
          <w:rFonts w:ascii="Arial" w:hAnsi="Arial"/>
          <w:b/>
        </w:rPr>
        <w:t>dos</w:t>
      </w:r>
      <w:r>
        <w:rPr>
          <w:rFonts w:ascii="Arial" w:hAnsi="Arial"/>
          <w:b/>
          <w:spacing w:val="-2"/>
        </w:rPr>
        <w:t xml:space="preserve"> </w:t>
      </w:r>
      <w:r>
        <w:rPr>
          <w:rFonts w:ascii="Arial" w:hAnsi="Arial"/>
          <w:b/>
        </w:rPr>
        <w:t>depósitos</w:t>
      </w:r>
      <w:r>
        <w:rPr>
          <w:rFonts w:ascii="Arial" w:hAnsi="Arial"/>
          <w:b/>
          <w:spacing w:val="-4"/>
        </w:rPr>
        <w:t xml:space="preserve"> </w:t>
      </w:r>
      <w:r>
        <w:rPr>
          <w:rFonts w:ascii="Arial" w:hAnsi="Arial"/>
          <w:b/>
          <w:spacing w:val="-2"/>
        </w:rPr>
        <w:t>judiciais</w:t>
      </w:r>
    </w:p>
    <w:p w14:paraId="0CE59624" w14:textId="77777777" w:rsidR="002C6574" w:rsidRDefault="00000000">
      <w:pPr>
        <w:pStyle w:val="Corpodetexto"/>
        <w:spacing w:before="220"/>
        <w:ind w:left="143"/>
        <w:jc w:val="both"/>
      </w:pPr>
      <w:r>
        <w:t>A</w:t>
      </w:r>
      <w:r>
        <w:rPr>
          <w:spacing w:val="8"/>
        </w:rPr>
        <w:t xml:space="preserve"> </w:t>
      </w:r>
      <w:r>
        <w:t>movimentação</w:t>
      </w:r>
      <w:r>
        <w:rPr>
          <w:spacing w:val="3"/>
        </w:rPr>
        <w:t xml:space="preserve"> </w:t>
      </w:r>
      <w:r>
        <w:t>dos</w:t>
      </w:r>
      <w:r>
        <w:rPr>
          <w:spacing w:val="7"/>
        </w:rPr>
        <w:t xml:space="preserve"> </w:t>
      </w:r>
      <w:r>
        <w:t>depósitos</w:t>
      </w:r>
      <w:r>
        <w:rPr>
          <w:spacing w:val="5"/>
        </w:rPr>
        <w:t xml:space="preserve"> </w:t>
      </w:r>
      <w:r>
        <w:t>judiciais</w:t>
      </w:r>
      <w:r>
        <w:rPr>
          <w:spacing w:val="7"/>
        </w:rPr>
        <w:t xml:space="preserve"> </w:t>
      </w:r>
      <w:r>
        <w:t>no</w:t>
      </w:r>
      <w:r>
        <w:rPr>
          <w:spacing w:val="7"/>
        </w:rPr>
        <w:t xml:space="preserve"> </w:t>
      </w:r>
      <w:r>
        <w:t>exercício</w:t>
      </w:r>
      <w:r>
        <w:rPr>
          <w:spacing w:val="8"/>
        </w:rPr>
        <w:t xml:space="preserve"> </w:t>
      </w:r>
      <w:r>
        <w:t>de</w:t>
      </w:r>
      <w:r>
        <w:rPr>
          <w:spacing w:val="8"/>
        </w:rPr>
        <w:t xml:space="preserve"> </w:t>
      </w:r>
      <w:r>
        <w:t>2025,</w:t>
      </w:r>
      <w:r>
        <w:rPr>
          <w:spacing w:val="5"/>
        </w:rPr>
        <w:t xml:space="preserve"> </w:t>
      </w:r>
      <w:r>
        <w:t>está</w:t>
      </w:r>
      <w:r>
        <w:rPr>
          <w:spacing w:val="5"/>
        </w:rPr>
        <w:t xml:space="preserve"> </w:t>
      </w:r>
      <w:r>
        <w:t>apresentada</w:t>
      </w:r>
      <w:r>
        <w:rPr>
          <w:spacing w:val="9"/>
        </w:rPr>
        <w:t xml:space="preserve"> </w:t>
      </w:r>
      <w:r>
        <w:t>a</w:t>
      </w:r>
      <w:r>
        <w:rPr>
          <w:spacing w:val="2"/>
        </w:rPr>
        <w:t xml:space="preserve"> </w:t>
      </w:r>
      <w:r>
        <w:rPr>
          <w:spacing w:val="-2"/>
        </w:rPr>
        <w:t>seguir:</w:t>
      </w:r>
    </w:p>
    <w:p w14:paraId="5EBD8C5D" w14:textId="77777777" w:rsidR="002C6574" w:rsidRDefault="002C6574">
      <w:pPr>
        <w:pStyle w:val="Corpodetexto"/>
        <w:spacing w:before="3"/>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21"/>
        <w:gridCol w:w="1450"/>
      </w:tblGrid>
      <w:tr w:rsidR="002C6574" w14:paraId="4BFF80CC" w14:textId="77777777">
        <w:trPr>
          <w:trHeight w:val="237"/>
        </w:trPr>
        <w:tc>
          <w:tcPr>
            <w:tcW w:w="8321" w:type="dxa"/>
          </w:tcPr>
          <w:p w14:paraId="28BEA8D9" w14:textId="77777777" w:rsidR="002C6574" w:rsidRDefault="00000000">
            <w:pPr>
              <w:pStyle w:val="TableParagraph"/>
              <w:spacing w:before="13" w:line="204"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2024</w:t>
            </w:r>
          </w:p>
        </w:tc>
        <w:tc>
          <w:tcPr>
            <w:tcW w:w="1450" w:type="dxa"/>
          </w:tcPr>
          <w:p w14:paraId="3560573D" w14:textId="77777777" w:rsidR="002C6574" w:rsidRDefault="00000000">
            <w:pPr>
              <w:pStyle w:val="TableParagraph"/>
              <w:spacing w:before="13" w:line="204" w:lineRule="exact"/>
              <w:ind w:right="56"/>
              <w:rPr>
                <w:rFonts w:ascii="Arial"/>
                <w:b/>
                <w:sz w:val="18"/>
              </w:rPr>
            </w:pPr>
            <w:r>
              <w:rPr>
                <w:rFonts w:ascii="Arial"/>
                <w:b/>
                <w:spacing w:val="-2"/>
                <w:sz w:val="18"/>
              </w:rPr>
              <w:t>56.090</w:t>
            </w:r>
          </w:p>
        </w:tc>
      </w:tr>
      <w:tr w:rsidR="002C6574" w14:paraId="736A071B" w14:textId="77777777">
        <w:trPr>
          <w:trHeight w:val="237"/>
        </w:trPr>
        <w:tc>
          <w:tcPr>
            <w:tcW w:w="8321" w:type="dxa"/>
          </w:tcPr>
          <w:p w14:paraId="23FCF072" w14:textId="77777777" w:rsidR="002C6574" w:rsidRDefault="00000000">
            <w:pPr>
              <w:pStyle w:val="TableParagraph"/>
              <w:spacing w:line="217" w:lineRule="exact"/>
              <w:ind w:left="69"/>
              <w:jc w:val="left"/>
              <w:rPr>
                <w:sz w:val="18"/>
              </w:rPr>
            </w:pPr>
            <w:r>
              <w:rPr>
                <w:spacing w:val="-2"/>
                <w:sz w:val="18"/>
              </w:rPr>
              <w:t>Adições</w:t>
            </w:r>
          </w:p>
        </w:tc>
        <w:tc>
          <w:tcPr>
            <w:tcW w:w="1450" w:type="dxa"/>
          </w:tcPr>
          <w:p w14:paraId="39A11331" w14:textId="77777777" w:rsidR="002C6574" w:rsidRDefault="00000000">
            <w:pPr>
              <w:pStyle w:val="TableParagraph"/>
              <w:spacing w:line="217" w:lineRule="exact"/>
              <w:ind w:right="56"/>
              <w:rPr>
                <w:sz w:val="18"/>
              </w:rPr>
            </w:pPr>
            <w:r>
              <w:rPr>
                <w:spacing w:val="-5"/>
                <w:w w:val="105"/>
                <w:sz w:val="18"/>
              </w:rPr>
              <w:t>783</w:t>
            </w:r>
          </w:p>
        </w:tc>
      </w:tr>
      <w:tr w:rsidR="002C6574" w14:paraId="75EA875A" w14:textId="77777777">
        <w:trPr>
          <w:trHeight w:val="239"/>
        </w:trPr>
        <w:tc>
          <w:tcPr>
            <w:tcW w:w="8321" w:type="dxa"/>
          </w:tcPr>
          <w:p w14:paraId="459F7B83" w14:textId="77777777" w:rsidR="002C6574" w:rsidRDefault="00000000">
            <w:pPr>
              <w:pStyle w:val="TableParagraph"/>
              <w:spacing w:line="220" w:lineRule="exact"/>
              <w:ind w:left="69"/>
              <w:jc w:val="left"/>
              <w:rPr>
                <w:sz w:val="18"/>
              </w:rPr>
            </w:pPr>
            <w:r>
              <w:rPr>
                <w:spacing w:val="-2"/>
                <w:w w:val="110"/>
                <w:sz w:val="18"/>
              </w:rPr>
              <w:t>Baixas</w:t>
            </w:r>
          </w:p>
        </w:tc>
        <w:tc>
          <w:tcPr>
            <w:tcW w:w="1450" w:type="dxa"/>
          </w:tcPr>
          <w:p w14:paraId="12522F3A" w14:textId="77777777" w:rsidR="002C6574" w:rsidRDefault="00000000">
            <w:pPr>
              <w:pStyle w:val="TableParagraph"/>
              <w:spacing w:line="220" w:lineRule="exact"/>
              <w:ind w:right="57"/>
              <w:rPr>
                <w:sz w:val="18"/>
              </w:rPr>
            </w:pPr>
            <w:r>
              <w:rPr>
                <w:spacing w:val="-2"/>
                <w:w w:val="110"/>
                <w:sz w:val="18"/>
              </w:rPr>
              <w:t>(1.531)</w:t>
            </w:r>
          </w:p>
        </w:tc>
      </w:tr>
      <w:tr w:rsidR="002C6574" w14:paraId="2173EBFE" w14:textId="77777777">
        <w:trPr>
          <w:trHeight w:val="237"/>
        </w:trPr>
        <w:tc>
          <w:tcPr>
            <w:tcW w:w="8321" w:type="dxa"/>
          </w:tcPr>
          <w:p w14:paraId="41578C3E" w14:textId="77777777" w:rsidR="002C6574" w:rsidRDefault="00000000">
            <w:pPr>
              <w:pStyle w:val="TableParagraph"/>
              <w:spacing w:line="217" w:lineRule="exact"/>
              <w:ind w:left="69"/>
              <w:jc w:val="left"/>
              <w:rPr>
                <w:sz w:val="18"/>
              </w:rPr>
            </w:pPr>
            <w:r>
              <w:rPr>
                <w:sz w:val="18"/>
              </w:rPr>
              <w:t>Atualização</w:t>
            </w:r>
            <w:r>
              <w:rPr>
                <w:spacing w:val="12"/>
                <w:sz w:val="18"/>
              </w:rPr>
              <w:t xml:space="preserve"> </w:t>
            </w:r>
            <w:r>
              <w:rPr>
                <w:spacing w:val="-2"/>
                <w:sz w:val="18"/>
              </w:rPr>
              <w:t>Monetária</w:t>
            </w:r>
          </w:p>
        </w:tc>
        <w:tc>
          <w:tcPr>
            <w:tcW w:w="1450" w:type="dxa"/>
          </w:tcPr>
          <w:p w14:paraId="56AC0CCD" w14:textId="77777777" w:rsidR="002C6574" w:rsidRDefault="00000000">
            <w:pPr>
              <w:pStyle w:val="TableParagraph"/>
              <w:spacing w:line="217" w:lineRule="exact"/>
              <w:ind w:right="56"/>
              <w:rPr>
                <w:sz w:val="18"/>
              </w:rPr>
            </w:pPr>
            <w:r>
              <w:rPr>
                <w:spacing w:val="-2"/>
                <w:w w:val="110"/>
                <w:sz w:val="18"/>
              </w:rPr>
              <w:t>4.535</w:t>
            </w:r>
          </w:p>
        </w:tc>
      </w:tr>
      <w:tr w:rsidR="002C6574" w14:paraId="5551AD07" w14:textId="77777777">
        <w:trPr>
          <w:trHeight w:val="239"/>
        </w:trPr>
        <w:tc>
          <w:tcPr>
            <w:tcW w:w="8321" w:type="dxa"/>
          </w:tcPr>
          <w:p w14:paraId="773128BE" w14:textId="77777777" w:rsidR="002C6574" w:rsidRDefault="00000000">
            <w:pPr>
              <w:pStyle w:val="TableParagraph"/>
              <w:spacing w:before="15" w:line="204"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2025</w:t>
            </w:r>
          </w:p>
        </w:tc>
        <w:tc>
          <w:tcPr>
            <w:tcW w:w="1450" w:type="dxa"/>
          </w:tcPr>
          <w:p w14:paraId="33F4E714" w14:textId="77777777" w:rsidR="002C6574" w:rsidRDefault="00000000">
            <w:pPr>
              <w:pStyle w:val="TableParagraph"/>
              <w:spacing w:before="15" w:line="204" w:lineRule="exact"/>
              <w:ind w:right="56"/>
              <w:rPr>
                <w:rFonts w:ascii="Arial"/>
                <w:b/>
                <w:sz w:val="18"/>
              </w:rPr>
            </w:pPr>
            <w:r>
              <w:rPr>
                <w:rFonts w:ascii="Arial"/>
                <w:b/>
                <w:spacing w:val="-2"/>
                <w:sz w:val="18"/>
              </w:rPr>
              <w:t>59.877</w:t>
            </w:r>
          </w:p>
        </w:tc>
      </w:tr>
    </w:tbl>
    <w:p w14:paraId="3967B950" w14:textId="77777777" w:rsidR="002C6574" w:rsidRDefault="00000000">
      <w:pPr>
        <w:pStyle w:val="Corpodetexto"/>
        <w:spacing w:before="248" w:line="237" w:lineRule="auto"/>
        <w:ind w:left="143" w:right="704"/>
        <w:jc w:val="both"/>
      </w:pPr>
      <w:r>
        <w:t>Os depósitos judiciais e extrajudiciais não vinculados a itens de provisões para riscos prováveis referem-se a diversos processos em que a Telebras figura como ré ou autora.</w:t>
      </w:r>
    </w:p>
    <w:p w14:paraId="5B3D0EBF" w14:textId="77777777" w:rsidR="002C6574" w:rsidRDefault="00000000">
      <w:pPr>
        <w:pStyle w:val="Corpodetexto"/>
        <w:spacing w:before="292" w:line="237" w:lineRule="auto"/>
        <w:ind w:left="143" w:right="703"/>
        <w:jc w:val="both"/>
      </w:pPr>
      <w:r>
        <w:t>Do total de R$ 57.141 dos depósitos não vinculados em 31 de dezembro de 2025, R$ 47.223 (R$ 21.005 corresponde ao valor original, quando do acordo parcial com a Previ) refere-se a depósito realizado em litígio com a Previ, que foi parcialmente firmado e que gerou um valor controverso em relação ao total para liquidação do processo. A Telebras entendeu, na época, que o valor cobrado pela Previ era superior àquele que ela entendia como correto. Assim, efetuou um depósito judicial que corresponde à diferença apurada (R$ 21.005) e avaliou o risco de perda da ação como remota.</w:t>
      </w:r>
    </w:p>
    <w:p w14:paraId="506BA9AD" w14:textId="77777777" w:rsidR="002C6574" w:rsidRDefault="002C6574">
      <w:pPr>
        <w:pStyle w:val="Corpodetexto"/>
        <w:spacing w:before="36"/>
      </w:pPr>
    </w:p>
    <w:p w14:paraId="4D592817" w14:textId="77777777" w:rsidR="002C6574" w:rsidRDefault="00000000">
      <w:pPr>
        <w:numPr>
          <w:ilvl w:val="0"/>
          <w:numId w:val="54"/>
        </w:numPr>
        <w:tabs>
          <w:tab w:val="left" w:pos="995"/>
        </w:tabs>
        <w:ind w:left="995" w:hanging="852"/>
        <w:rPr>
          <w:rFonts w:ascii="Arial" w:hAnsi="Arial"/>
          <w:b/>
        </w:rPr>
      </w:pPr>
      <w:r>
        <w:rPr>
          <w:rFonts w:ascii="Arial" w:hAnsi="Arial"/>
          <w:b/>
        </w:rPr>
        <w:t>SUPERÁVIT</w:t>
      </w:r>
      <w:r>
        <w:rPr>
          <w:rFonts w:ascii="Arial" w:hAnsi="Arial"/>
          <w:b/>
          <w:spacing w:val="-4"/>
        </w:rPr>
        <w:t xml:space="preserve"> </w:t>
      </w:r>
      <w:r>
        <w:rPr>
          <w:rFonts w:ascii="Arial" w:hAnsi="Arial"/>
          <w:b/>
        </w:rPr>
        <w:t>–</w:t>
      </w:r>
      <w:r>
        <w:rPr>
          <w:rFonts w:ascii="Arial" w:hAnsi="Arial"/>
          <w:b/>
          <w:spacing w:val="-5"/>
        </w:rPr>
        <w:t xml:space="preserve"> </w:t>
      </w:r>
      <w:r>
        <w:rPr>
          <w:rFonts w:ascii="Arial" w:hAnsi="Arial"/>
          <w:b/>
        </w:rPr>
        <w:t>PREVIDÊNCIA</w:t>
      </w:r>
      <w:r>
        <w:rPr>
          <w:rFonts w:ascii="Arial" w:hAnsi="Arial"/>
          <w:b/>
          <w:spacing w:val="-2"/>
        </w:rPr>
        <w:t xml:space="preserve"> PRIVADA</w:t>
      </w:r>
    </w:p>
    <w:p w14:paraId="7063D6D0" w14:textId="77777777" w:rsidR="002C6574" w:rsidRDefault="002C6574">
      <w:pPr>
        <w:pStyle w:val="Corpodetexto"/>
        <w:spacing w:before="46"/>
        <w:rPr>
          <w:rFonts w:ascii="Arial"/>
          <w:b/>
        </w:rPr>
      </w:pPr>
    </w:p>
    <w:p w14:paraId="4134EF4F" w14:textId="77777777" w:rsidR="002C6574" w:rsidRDefault="00000000">
      <w:pPr>
        <w:pStyle w:val="Corpodetexto"/>
        <w:spacing w:line="237" w:lineRule="auto"/>
        <w:ind w:left="143" w:right="702"/>
        <w:jc w:val="both"/>
      </w:pPr>
      <w:r>
        <w:t>Nos</w:t>
      </w:r>
      <w:r>
        <w:rPr>
          <w:spacing w:val="40"/>
        </w:rPr>
        <w:t xml:space="preserve"> </w:t>
      </w:r>
      <w:r>
        <w:t>exercícios</w:t>
      </w:r>
      <w:r>
        <w:rPr>
          <w:spacing w:val="40"/>
        </w:rPr>
        <w:t xml:space="preserve"> </w:t>
      </w:r>
      <w:r>
        <w:t>de</w:t>
      </w:r>
      <w:r>
        <w:rPr>
          <w:spacing w:val="40"/>
        </w:rPr>
        <w:t xml:space="preserve"> </w:t>
      </w:r>
      <w:r>
        <w:t>2023</w:t>
      </w:r>
      <w:r>
        <w:rPr>
          <w:spacing w:val="40"/>
        </w:rPr>
        <w:t xml:space="preserve"> </w:t>
      </w:r>
      <w:r>
        <w:t>e</w:t>
      </w:r>
      <w:r>
        <w:rPr>
          <w:spacing w:val="40"/>
        </w:rPr>
        <w:t xml:space="preserve"> </w:t>
      </w:r>
      <w:r>
        <w:t>2024,</w:t>
      </w:r>
      <w:r>
        <w:rPr>
          <w:spacing w:val="40"/>
        </w:rPr>
        <w:t xml:space="preserve"> </w:t>
      </w:r>
      <w:r>
        <w:t>a</w:t>
      </w:r>
      <w:r>
        <w:rPr>
          <w:spacing w:val="40"/>
        </w:rPr>
        <w:t xml:space="preserve"> </w:t>
      </w:r>
      <w:r>
        <w:t>Superintendência</w:t>
      </w:r>
      <w:r>
        <w:rPr>
          <w:spacing w:val="40"/>
        </w:rPr>
        <w:t xml:space="preserve"> </w:t>
      </w:r>
      <w:r>
        <w:t>Nacional</w:t>
      </w:r>
      <w:r>
        <w:rPr>
          <w:spacing w:val="40"/>
        </w:rPr>
        <w:t xml:space="preserve"> </w:t>
      </w:r>
      <w:r>
        <w:t>de</w:t>
      </w:r>
      <w:r>
        <w:rPr>
          <w:spacing w:val="40"/>
        </w:rPr>
        <w:t xml:space="preserve"> </w:t>
      </w:r>
      <w:r>
        <w:t>Previdência</w:t>
      </w:r>
      <w:r>
        <w:rPr>
          <w:spacing w:val="40"/>
        </w:rPr>
        <w:t xml:space="preserve"> </w:t>
      </w:r>
      <w:r>
        <w:t>Complementar</w:t>
      </w:r>
      <w:r>
        <w:rPr>
          <w:spacing w:val="40"/>
        </w:rPr>
        <w:t xml:space="preserve"> </w:t>
      </w:r>
      <w:r>
        <w:t>– PREVIC</w:t>
      </w:r>
      <w:r>
        <w:rPr>
          <w:spacing w:val="20"/>
        </w:rPr>
        <w:t xml:space="preserve"> </w:t>
      </w:r>
      <w:r>
        <w:t>aprovou</w:t>
      </w:r>
      <w:r>
        <w:rPr>
          <w:spacing w:val="22"/>
        </w:rPr>
        <w:t xml:space="preserve"> </w:t>
      </w:r>
      <w:r>
        <w:t>a</w:t>
      </w:r>
      <w:r>
        <w:rPr>
          <w:spacing w:val="19"/>
        </w:rPr>
        <w:t xml:space="preserve"> </w:t>
      </w:r>
      <w:r>
        <w:t>distribuição</w:t>
      </w:r>
      <w:r>
        <w:rPr>
          <w:spacing w:val="20"/>
        </w:rPr>
        <w:t xml:space="preserve"> </w:t>
      </w:r>
      <w:r>
        <w:t>dos</w:t>
      </w:r>
      <w:r>
        <w:rPr>
          <w:spacing w:val="24"/>
        </w:rPr>
        <w:t xml:space="preserve"> </w:t>
      </w:r>
      <w:r>
        <w:t>superávits</w:t>
      </w:r>
      <w:r>
        <w:rPr>
          <w:spacing w:val="18"/>
        </w:rPr>
        <w:t xml:space="preserve"> </w:t>
      </w:r>
      <w:r>
        <w:t>dos</w:t>
      </w:r>
      <w:r>
        <w:rPr>
          <w:spacing w:val="20"/>
        </w:rPr>
        <w:t xml:space="preserve"> </w:t>
      </w:r>
      <w:r>
        <w:t>planos</w:t>
      </w:r>
      <w:r>
        <w:rPr>
          <w:spacing w:val="20"/>
        </w:rPr>
        <w:t xml:space="preserve"> </w:t>
      </w:r>
      <w:r>
        <w:t>de</w:t>
      </w:r>
      <w:r>
        <w:rPr>
          <w:spacing w:val="19"/>
        </w:rPr>
        <w:t xml:space="preserve"> </w:t>
      </w:r>
      <w:r>
        <w:t>benefícios</w:t>
      </w:r>
      <w:r>
        <w:rPr>
          <w:spacing w:val="24"/>
        </w:rPr>
        <w:t xml:space="preserve"> </w:t>
      </w:r>
      <w:r>
        <w:t>patrocinados</w:t>
      </w:r>
      <w:r>
        <w:rPr>
          <w:spacing w:val="18"/>
        </w:rPr>
        <w:t xml:space="preserve"> </w:t>
      </w:r>
      <w:r>
        <w:t>pela</w:t>
      </w:r>
      <w:r>
        <w:rPr>
          <w:spacing w:val="19"/>
        </w:rPr>
        <w:t xml:space="preserve"> </w:t>
      </w:r>
      <w:r>
        <w:t>Telebras e por outras companhias originadas a partir do processo de privatização do Sistema Telebras. Os valores destinados à Telebras serão repassados pela administradora dos planos, o SISTEL, em 36 (trinta e seis) parcelas mensais, corrigidas com base na rentabilidade da cota de cada plano.</w:t>
      </w:r>
    </w:p>
    <w:p w14:paraId="26CD8C62" w14:textId="77777777" w:rsidR="002C6574" w:rsidRDefault="002C6574">
      <w:pPr>
        <w:pStyle w:val="Corpodetexto"/>
        <w:spacing w:line="237" w:lineRule="auto"/>
        <w:jc w:val="both"/>
        <w:sectPr w:rsidR="002C6574">
          <w:pgSz w:w="11910" w:h="16840"/>
          <w:pgMar w:top="1600" w:right="141" w:bottom="1320" w:left="1133" w:header="856" w:footer="1123" w:gutter="0"/>
          <w:cols w:space="720"/>
        </w:sectPr>
      </w:pPr>
    </w:p>
    <w:p w14:paraId="368F478C" w14:textId="77777777" w:rsidR="002C6574" w:rsidRDefault="00000000">
      <w:pPr>
        <w:pStyle w:val="Corpodetexto"/>
        <w:spacing w:before="198"/>
        <w:ind w:left="143" w:right="704"/>
        <w:jc w:val="both"/>
      </w:pPr>
      <w:r>
        <w:lastRenderedPageBreak/>
        <w:t>No terceiro trimestre de 2025, a PREVIC aprovou a distribuição do superávit do plano de benefício PBS-A, referente aos exercícios de 2022 e 2023. Assim como nos demais casos, o repasse ocorrerá em</w:t>
      </w:r>
      <w:r>
        <w:rPr>
          <w:spacing w:val="40"/>
        </w:rPr>
        <w:t xml:space="preserve"> </w:t>
      </w:r>
      <w:r>
        <w:t>36</w:t>
      </w:r>
      <w:r>
        <w:rPr>
          <w:spacing w:val="36"/>
        </w:rPr>
        <w:t xml:space="preserve"> </w:t>
      </w:r>
      <w:r>
        <w:t>parcelas</w:t>
      </w:r>
      <w:r>
        <w:rPr>
          <w:spacing w:val="34"/>
        </w:rPr>
        <w:t xml:space="preserve"> </w:t>
      </w:r>
      <w:r>
        <w:t>mensais;</w:t>
      </w:r>
      <w:r>
        <w:rPr>
          <w:spacing w:val="36"/>
        </w:rPr>
        <w:t xml:space="preserve"> </w:t>
      </w:r>
      <w:r>
        <w:t>contudo,</w:t>
      </w:r>
      <w:r>
        <w:rPr>
          <w:spacing w:val="39"/>
        </w:rPr>
        <w:t xml:space="preserve"> </w:t>
      </w:r>
      <w:r>
        <w:t>essas</w:t>
      </w:r>
      <w:r>
        <w:rPr>
          <w:spacing w:val="40"/>
        </w:rPr>
        <w:t xml:space="preserve"> </w:t>
      </w:r>
      <w:r>
        <w:t>parcelas</w:t>
      </w:r>
      <w:r>
        <w:rPr>
          <w:spacing w:val="39"/>
        </w:rPr>
        <w:t xml:space="preserve"> </w:t>
      </w:r>
      <w:r>
        <w:t>não</w:t>
      </w:r>
      <w:r>
        <w:rPr>
          <w:spacing w:val="40"/>
        </w:rPr>
        <w:t xml:space="preserve"> </w:t>
      </w:r>
      <w:r>
        <w:t>serão</w:t>
      </w:r>
      <w:r>
        <w:rPr>
          <w:spacing w:val="40"/>
        </w:rPr>
        <w:t xml:space="preserve"> </w:t>
      </w:r>
      <w:r>
        <w:t>atualizadas</w:t>
      </w:r>
      <w:r>
        <w:rPr>
          <w:spacing w:val="39"/>
        </w:rPr>
        <w:t xml:space="preserve"> </w:t>
      </w:r>
      <w:r>
        <w:t>monetariamente.</w:t>
      </w:r>
    </w:p>
    <w:p w14:paraId="31B88553" w14:textId="77777777" w:rsidR="002C6574" w:rsidRDefault="00000000">
      <w:pPr>
        <w:pStyle w:val="Corpodetexto"/>
        <w:spacing w:before="286"/>
        <w:ind w:left="143" w:right="702"/>
        <w:jc w:val="both"/>
      </w:pPr>
      <w:r>
        <w:t xml:space="preserve">No quarto trimestre de 2025, a PREVIC aprovou a distribuição dos superávits do plano de benefício </w:t>
      </w:r>
      <w:r>
        <w:rPr>
          <w:w w:val="105"/>
        </w:rPr>
        <w:t>Telebraprev,</w:t>
      </w:r>
      <w:r>
        <w:rPr>
          <w:spacing w:val="-12"/>
          <w:w w:val="105"/>
        </w:rPr>
        <w:t xml:space="preserve"> </w:t>
      </w:r>
      <w:r>
        <w:rPr>
          <w:w w:val="105"/>
        </w:rPr>
        <w:t>relativos</w:t>
      </w:r>
      <w:r>
        <w:rPr>
          <w:spacing w:val="-11"/>
          <w:w w:val="105"/>
        </w:rPr>
        <w:t xml:space="preserve"> </w:t>
      </w:r>
      <w:r>
        <w:rPr>
          <w:w w:val="105"/>
        </w:rPr>
        <w:t>aos</w:t>
      </w:r>
      <w:r>
        <w:rPr>
          <w:spacing w:val="-11"/>
          <w:w w:val="105"/>
        </w:rPr>
        <w:t xml:space="preserve"> </w:t>
      </w:r>
      <w:r>
        <w:rPr>
          <w:w w:val="105"/>
        </w:rPr>
        <w:t>exercícios</w:t>
      </w:r>
      <w:r>
        <w:rPr>
          <w:spacing w:val="-12"/>
          <w:w w:val="105"/>
        </w:rPr>
        <w:t xml:space="preserve"> </w:t>
      </w:r>
      <w:r>
        <w:rPr>
          <w:w w:val="105"/>
        </w:rPr>
        <w:t>de</w:t>
      </w:r>
      <w:r>
        <w:rPr>
          <w:spacing w:val="-12"/>
          <w:w w:val="105"/>
        </w:rPr>
        <w:t xml:space="preserve"> </w:t>
      </w:r>
      <w:r>
        <w:rPr>
          <w:w w:val="105"/>
        </w:rPr>
        <w:t>2016,</w:t>
      </w:r>
      <w:r>
        <w:rPr>
          <w:spacing w:val="-11"/>
          <w:w w:val="105"/>
        </w:rPr>
        <w:t xml:space="preserve"> </w:t>
      </w:r>
      <w:r>
        <w:rPr>
          <w:w w:val="105"/>
        </w:rPr>
        <w:t>2017,</w:t>
      </w:r>
      <w:r>
        <w:rPr>
          <w:spacing w:val="-11"/>
          <w:w w:val="105"/>
        </w:rPr>
        <w:t xml:space="preserve"> </w:t>
      </w:r>
      <w:r>
        <w:rPr>
          <w:w w:val="105"/>
        </w:rPr>
        <w:t>2022</w:t>
      </w:r>
      <w:r>
        <w:rPr>
          <w:spacing w:val="-11"/>
          <w:w w:val="105"/>
        </w:rPr>
        <w:t xml:space="preserve"> </w:t>
      </w:r>
      <w:r>
        <w:rPr>
          <w:w w:val="105"/>
        </w:rPr>
        <w:t>e</w:t>
      </w:r>
      <w:r>
        <w:rPr>
          <w:spacing w:val="-13"/>
          <w:w w:val="105"/>
        </w:rPr>
        <w:t xml:space="preserve"> </w:t>
      </w:r>
      <w:r>
        <w:rPr>
          <w:w w:val="105"/>
        </w:rPr>
        <w:t>2023.</w:t>
      </w:r>
      <w:r>
        <w:rPr>
          <w:spacing w:val="-11"/>
          <w:w w:val="105"/>
        </w:rPr>
        <w:t xml:space="preserve"> </w:t>
      </w:r>
      <w:r>
        <w:rPr>
          <w:w w:val="105"/>
        </w:rPr>
        <w:t>Os</w:t>
      </w:r>
      <w:r>
        <w:rPr>
          <w:spacing w:val="-12"/>
          <w:w w:val="105"/>
        </w:rPr>
        <w:t xml:space="preserve"> </w:t>
      </w:r>
      <w:r>
        <w:rPr>
          <w:w w:val="105"/>
        </w:rPr>
        <w:t>valores</w:t>
      </w:r>
      <w:r>
        <w:rPr>
          <w:spacing w:val="-11"/>
          <w:w w:val="105"/>
        </w:rPr>
        <w:t xml:space="preserve"> </w:t>
      </w:r>
      <w:r>
        <w:rPr>
          <w:w w:val="105"/>
        </w:rPr>
        <w:t>serão</w:t>
      </w:r>
      <w:r>
        <w:rPr>
          <w:spacing w:val="-13"/>
          <w:w w:val="105"/>
        </w:rPr>
        <w:t xml:space="preserve"> </w:t>
      </w:r>
      <w:r>
        <w:rPr>
          <w:w w:val="105"/>
        </w:rPr>
        <w:t>distribuídos</w:t>
      </w:r>
      <w:r>
        <w:rPr>
          <w:spacing w:val="-11"/>
          <w:w w:val="105"/>
        </w:rPr>
        <w:t xml:space="preserve"> </w:t>
      </w:r>
      <w:r>
        <w:rPr>
          <w:w w:val="105"/>
        </w:rPr>
        <w:t>em 36</w:t>
      </w:r>
      <w:r>
        <w:rPr>
          <w:spacing w:val="-14"/>
          <w:w w:val="105"/>
        </w:rPr>
        <w:t xml:space="preserve"> </w:t>
      </w:r>
      <w:r>
        <w:rPr>
          <w:w w:val="105"/>
        </w:rPr>
        <w:t>parcelas</w:t>
      </w:r>
      <w:r>
        <w:rPr>
          <w:spacing w:val="-16"/>
          <w:w w:val="105"/>
        </w:rPr>
        <w:t xml:space="preserve"> </w:t>
      </w:r>
      <w:r>
        <w:rPr>
          <w:w w:val="105"/>
        </w:rPr>
        <w:t>fixas,</w:t>
      </w:r>
      <w:r>
        <w:rPr>
          <w:spacing w:val="-13"/>
          <w:w w:val="105"/>
        </w:rPr>
        <w:t xml:space="preserve"> </w:t>
      </w:r>
      <w:r>
        <w:rPr>
          <w:w w:val="105"/>
        </w:rPr>
        <w:t>excetuando-se</w:t>
      </w:r>
      <w:r>
        <w:rPr>
          <w:spacing w:val="-14"/>
          <w:w w:val="105"/>
        </w:rPr>
        <w:t xml:space="preserve"> </w:t>
      </w:r>
      <w:r>
        <w:rPr>
          <w:w w:val="105"/>
        </w:rPr>
        <w:t>a</w:t>
      </w:r>
      <w:r>
        <w:rPr>
          <w:spacing w:val="-16"/>
          <w:w w:val="105"/>
        </w:rPr>
        <w:t xml:space="preserve"> </w:t>
      </w:r>
      <w:r>
        <w:rPr>
          <w:w w:val="105"/>
        </w:rPr>
        <w:t>parcela</w:t>
      </w:r>
      <w:r>
        <w:rPr>
          <w:spacing w:val="-16"/>
          <w:w w:val="105"/>
        </w:rPr>
        <w:t xml:space="preserve"> </w:t>
      </w:r>
      <w:r>
        <w:rPr>
          <w:w w:val="105"/>
        </w:rPr>
        <w:t>referente</w:t>
      </w:r>
      <w:r>
        <w:rPr>
          <w:spacing w:val="-13"/>
          <w:w w:val="105"/>
        </w:rPr>
        <w:t xml:space="preserve"> </w:t>
      </w:r>
      <w:r>
        <w:rPr>
          <w:w w:val="105"/>
        </w:rPr>
        <w:t>ao</w:t>
      </w:r>
      <w:r>
        <w:rPr>
          <w:spacing w:val="-15"/>
          <w:w w:val="105"/>
        </w:rPr>
        <w:t xml:space="preserve"> </w:t>
      </w:r>
      <w:r>
        <w:rPr>
          <w:w w:val="105"/>
        </w:rPr>
        <w:t>exercício</w:t>
      </w:r>
      <w:r>
        <w:rPr>
          <w:spacing w:val="-15"/>
          <w:w w:val="105"/>
        </w:rPr>
        <w:t xml:space="preserve"> </w:t>
      </w:r>
      <w:r>
        <w:rPr>
          <w:w w:val="105"/>
        </w:rPr>
        <w:t>de</w:t>
      </w:r>
      <w:r>
        <w:rPr>
          <w:spacing w:val="-15"/>
          <w:w w:val="105"/>
        </w:rPr>
        <w:t xml:space="preserve"> </w:t>
      </w:r>
      <w:r>
        <w:rPr>
          <w:w w:val="105"/>
        </w:rPr>
        <w:t>2016,</w:t>
      </w:r>
      <w:r>
        <w:rPr>
          <w:spacing w:val="-12"/>
          <w:w w:val="105"/>
        </w:rPr>
        <w:t xml:space="preserve"> </w:t>
      </w:r>
      <w:r>
        <w:rPr>
          <w:w w:val="105"/>
        </w:rPr>
        <w:t>que</w:t>
      </w:r>
      <w:r>
        <w:rPr>
          <w:spacing w:val="-15"/>
          <w:w w:val="105"/>
        </w:rPr>
        <w:t xml:space="preserve"> </w:t>
      </w:r>
      <w:r>
        <w:rPr>
          <w:w w:val="105"/>
        </w:rPr>
        <w:t>será</w:t>
      </w:r>
      <w:r>
        <w:rPr>
          <w:spacing w:val="-15"/>
          <w:w w:val="105"/>
        </w:rPr>
        <w:t xml:space="preserve"> </w:t>
      </w:r>
      <w:r>
        <w:rPr>
          <w:w w:val="105"/>
        </w:rPr>
        <w:t>atualizada</w:t>
      </w:r>
      <w:r>
        <w:rPr>
          <w:spacing w:val="-15"/>
          <w:w w:val="105"/>
        </w:rPr>
        <w:t xml:space="preserve"> </w:t>
      </w:r>
      <w:r>
        <w:rPr>
          <w:w w:val="105"/>
        </w:rPr>
        <w:t>pela rentabilidade</w:t>
      </w:r>
      <w:r>
        <w:rPr>
          <w:spacing w:val="-9"/>
          <w:w w:val="105"/>
        </w:rPr>
        <w:t xml:space="preserve"> </w:t>
      </w:r>
      <w:r>
        <w:rPr>
          <w:w w:val="105"/>
        </w:rPr>
        <w:t>do</w:t>
      </w:r>
      <w:r>
        <w:rPr>
          <w:spacing w:val="-11"/>
          <w:w w:val="105"/>
        </w:rPr>
        <w:t xml:space="preserve"> </w:t>
      </w:r>
      <w:r>
        <w:rPr>
          <w:w w:val="105"/>
        </w:rPr>
        <w:t>respectivo</w:t>
      </w:r>
      <w:r>
        <w:rPr>
          <w:spacing w:val="-10"/>
          <w:w w:val="105"/>
        </w:rPr>
        <w:t xml:space="preserve"> </w:t>
      </w:r>
      <w:r>
        <w:rPr>
          <w:w w:val="105"/>
        </w:rPr>
        <w:t>plano.</w:t>
      </w:r>
    </w:p>
    <w:p w14:paraId="0EDF953A" w14:textId="77777777" w:rsidR="002C6574" w:rsidRDefault="00000000">
      <w:pPr>
        <w:pStyle w:val="Corpodetexto"/>
        <w:spacing w:after="26" w:line="237" w:lineRule="auto"/>
        <w:ind w:left="143" w:right="704"/>
        <w:jc w:val="both"/>
      </w:pPr>
      <w:r>
        <w:rPr>
          <w:w w:val="105"/>
        </w:rPr>
        <w:t>Os</w:t>
      </w:r>
      <w:r>
        <w:rPr>
          <w:spacing w:val="-15"/>
          <w:w w:val="105"/>
        </w:rPr>
        <w:t xml:space="preserve"> </w:t>
      </w:r>
      <w:r>
        <w:rPr>
          <w:w w:val="105"/>
        </w:rPr>
        <w:t>montantes</w:t>
      </w:r>
      <w:r>
        <w:rPr>
          <w:spacing w:val="-15"/>
          <w:w w:val="105"/>
        </w:rPr>
        <w:t xml:space="preserve"> </w:t>
      </w:r>
      <w:r>
        <w:rPr>
          <w:w w:val="105"/>
        </w:rPr>
        <w:t>destinados</w:t>
      </w:r>
      <w:r>
        <w:rPr>
          <w:spacing w:val="-12"/>
          <w:w w:val="105"/>
        </w:rPr>
        <w:t xml:space="preserve"> </w:t>
      </w:r>
      <w:r>
        <w:rPr>
          <w:w w:val="105"/>
        </w:rPr>
        <w:t>à</w:t>
      </w:r>
      <w:r>
        <w:rPr>
          <w:spacing w:val="-14"/>
          <w:w w:val="105"/>
        </w:rPr>
        <w:t xml:space="preserve"> </w:t>
      </w:r>
      <w:r>
        <w:rPr>
          <w:w w:val="105"/>
        </w:rPr>
        <w:t>Companhia</w:t>
      </w:r>
      <w:r>
        <w:rPr>
          <w:spacing w:val="-15"/>
          <w:w w:val="105"/>
        </w:rPr>
        <w:t xml:space="preserve"> </w:t>
      </w:r>
      <w:r>
        <w:rPr>
          <w:w w:val="105"/>
        </w:rPr>
        <w:t>nos</w:t>
      </w:r>
      <w:r>
        <w:rPr>
          <w:spacing w:val="-15"/>
          <w:w w:val="105"/>
        </w:rPr>
        <w:t xml:space="preserve"> </w:t>
      </w:r>
      <w:r>
        <w:rPr>
          <w:w w:val="105"/>
        </w:rPr>
        <w:t>exercícios</w:t>
      </w:r>
      <w:r>
        <w:rPr>
          <w:spacing w:val="-12"/>
          <w:w w:val="105"/>
        </w:rPr>
        <w:t xml:space="preserve"> </w:t>
      </w:r>
      <w:r>
        <w:rPr>
          <w:w w:val="105"/>
        </w:rPr>
        <w:t>de</w:t>
      </w:r>
      <w:r>
        <w:rPr>
          <w:spacing w:val="-15"/>
          <w:w w:val="105"/>
        </w:rPr>
        <w:t xml:space="preserve"> </w:t>
      </w:r>
      <w:r>
        <w:rPr>
          <w:w w:val="105"/>
        </w:rPr>
        <w:t>2023,</w:t>
      </w:r>
      <w:r>
        <w:rPr>
          <w:spacing w:val="-14"/>
          <w:w w:val="105"/>
        </w:rPr>
        <w:t xml:space="preserve"> </w:t>
      </w:r>
      <w:r>
        <w:rPr>
          <w:w w:val="105"/>
        </w:rPr>
        <w:t>2024</w:t>
      </w:r>
      <w:r>
        <w:rPr>
          <w:spacing w:val="-14"/>
          <w:w w:val="105"/>
        </w:rPr>
        <w:t xml:space="preserve"> </w:t>
      </w:r>
      <w:r>
        <w:rPr>
          <w:w w:val="105"/>
        </w:rPr>
        <w:t>e</w:t>
      </w:r>
      <w:r>
        <w:rPr>
          <w:spacing w:val="-15"/>
          <w:w w:val="105"/>
        </w:rPr>
        <w:t xml:space="preserve"> </w:t>
      </w:r>
      <w:r>
        <w:rPr>
          <w:w w:val="105"/>
        </w:rPr>
        <w:t>2025</w:t>
      </w:r>
      <w:r>
        <w:rPr>
          <w:spacing w:val="-15"/>
          <w:w w:val="105"/>
        </w:rPr>
        <w:t xml:space="preserve"> </w:t>
      </w:r>
      <w:r>
        <w:rPr>
          <w:w w:val="105"/>
        </w:rPr>
        <w:t>estão</w:t>
      </w:r>
      <w:r>
        <w:rPr>
          <w:spacing w:val="-15"/>
          <w:w w:val="105"/>
        </w:rPr>
        <w:t xml:space="preserve"> </w:t>
      </w:r>
      <w:r>
        <w:rPr>
          <w:w w:val="105"/>
        </w:rPr>
        <w:t>apresentados</w:t>
      </w:r>
      <w:r>
        <w:rPr>
          <w:spacing w:val="-16"/>
          <w:w w:val="105"/>
        </w:rPr>
        <w:t xml:space="preserve"> </w:t>
      </w:r>
      <w:r>
        <w:rPr>
          <w:w w:val="105"/>
        </w:rPr>
        <w:t xml:space="preserve">a </w:t>
      </w:r>
      <w:r>
        <w:rPr>
          <w:spacing w:val="-2"/>
          <w:w w:val="105"/>
        </w:rPr>
        <w:t>seguir:</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2"/>
        <w:gridCol w:w="1188"/>
        <w:gridCol w:w="1202"/>
        <w:gridCol w:w="1075"/>
        <w:gridCol w:w="1063"/>
      </w:tblGrid>
      <w:tr w:rsidR="002C6574" w14:paraId="36557EF9" w14:textId="77777777">
        <w:trPr>
          <w:trHeight w:val="232"/>
        </w:trPr>
        <w:tc>
          <w:tcPr>
            <w:tcW w:w="5242" w:type="dxa"/>
            <w:shd w:val="clear" w:color="auto" w:fill="D8D8D8"/>
          </w:tcPr>
          <w:p w14:paraId="326C7DE8" w14:textId="77777777" w:rsidR="002C6574" w:rsidRDefault="00000000">
            <w:pPr>
              <w:pStyle w:val="TableParagraph"/>
              <w:spacing w:before="13" w:line="199" w:lineRule="exact"/>
              <w:ind w:left="69"/>
              <w:jc w:val="left"/>
              <w:rPr>
                <w:rFonts w:ascii="Arial"/>
                <w:b/>
                <w:sz w:val="18"/>
              </w:rPr>
            </w:pPr>
            <w:r>
              <w:rPr>
                <w:rFonts w:ascii="Arial"/>
                <w:b/>
                <w:spacing w:val="-2"/>
                <w:sz w:val="18"/>
              </w:rPr>
              <w:t>Planos</w:t>
            </w:r>
          </w:p>
        </w:tc>
        <w:tc>
          <w:tcPr>
            <w:tcW w:w="1188" w:type="dxa"/>
          </w:tcPr>
          <w:p w14:paraId="0726EABA" w14:textId="77777777" w:rsidR="002C6574" w:rsidRDefault="00000000">
            <w:pPr>
              <w:pStyle w:val="TableParagraph"/>
              <w:spacing w:before="13" w:line="199" w:lineRule="exact"/>
              <w:ind w:left="393"/>
              <w:jc w:val="left"/>
              <w:rPr>
                <w:rFonts w:ascii="Arial"/>
                <w:b/>
                <w:sz w:val="18"/>
              </w:rPr>
            </w:pPr>
            <w:r>
              <w:rPr>
                <w:rFonts w:ascii="Arial"/>
                <w:b/>
                <w:spacing w:val="-4"/>
                <w:sz w:val="18"/>
              </w:rPr>
              <w:t>2023</w:t>
            </w:r>
          </w:p>
        </w:tc>
        <w:tc>
          <w:tcPr>
            <w:tcW w:w="1202" w:type="dxa"/>
          </w:tcPr>
          <w:p w14:paraId="7B0792F2" w14:textId="77777777" w:rsidR="002C6574" w:rsidRDefault="00000000">
            <w:pPr>
              <w:pStyle w:val="TableParagraph"/>
              <w:spacing w:before="13" w:line="199" w:lineRule="exact"/>
              <w:ind w:left="399"/>
              <w:jc w:val="left"/>
              <w:rPr>
                <w:rFonts w:ascii="Arial"/>
                <w:b/>
                <w:sz w:val="18"/>
              </w:rPr>
            </w:pPr>
            <w:r>
              <w:rPr>
                <w:rFonts w:ascii="Arial"/>
                <w:b/>
                <w:spacing w:val="-4"/>
                <w:sz w:val="18"/>
              </w:rPr>
              <w:t>2024</w:t>
            </w:r>
          </w:p>
        </w:tc>
        <w:tc>
          <w:tcPr>
            <w:tcW w:w="1075" w:type="dxa"/>
          </w:tcPr>
          <w:p w14:paraId="6C9D42A6" w14:textId="77777777" w:rsidR="002C6574" w:rsidRDefault="00000000">
            <w:pPr>
              <w:pStyle w:val="TableParagraph"/>
              <w:spacing w:before="13" w:line="199" w:lineRule="exact"/>
              <w:ind w:left="335"/>
              <w:jc w:val="left"/>
              <w:rPr>
                <w:rFonts w:ascii="Arial"/>
                <w:b/>
                <w:sz w:val="18"/>
              </w:rPr>
            </w:pPr>
            <w:r>
              <w:rPr>
                <w:rFonts w:ascii="Arial"/>
                <w:b/>
                <w:spacing w:val="-4"/>
                <w:sz w:val="18"/>
              </w:rPr>
              <w:t>2025</w:t>
            </w:r>
          </w:p>
        </w:tc>
        <w:tc>
          <w:tcPr>
            <w:tcW w:w="1063" w:type="dxa"/>
          </w:tcPr>
          <w:p w14:paraId="6812DA81" w14:textId="77777777" w:rsidR="002C6574" w:rsidRDefault="00000000">
            <w:pPr>
              <w:pStyle w:val="TableParagraph"/>
              <w:spacing w:before="13" w:line="199" w:lineRule="exact"/>
              <w:ind w:left="316"/>
              <w:jc w:val="left"/>
              <w:rPr>
                <w:rFonts w:ascii="Arial"/>
                <w:b/>
                <w:sz w:val="18"/>
              </w:rPr>
            </w:pPr>
            <w:r>
              <w:rPr>
                <w:rFonts w:ascii="Arial"/>
                <w:b/>
                <w:spacing w:val="-2"/>
                <w:sz w:val="18"/>
              </w:rPr>
              <w:t>Total</w:t>
            </w:r>
          </w:p>
        </w:tc>
      </w:tr>
      <w:tr w:rsidR="002C6574" w14:paraId="4301D818" w14:textId="77777777">
        <w:trPr>
          <w:trHeight w:val="232"/>
        </w:trPr>
        <w:tc>
          <w:tcPr>
            <w:tcW w:w="5242" w:type="dxa"/>
          </w:tcPr>
          <w:p w14:paraId="08F4F6D2" w14:textId="77777777" w:rsidR="002C6574" w:rsidRDefault="00000000">
            <w:pPr>
              <w:pStyle w:val="TableParagraph"/>
              <w:spacing w:line="212" w:lineRule="exact"/>
              <w:ind w:left="69"/>
              <w:jc w:val="left"/>
              <w:rPr>
                <w:sz w:val="18"/>
              </w:rPr>
            </w:pPr>
            <w:r>
              <w:rPr>
                <w:w w:val="105"/>
                <w:sz w:val="18"/>
              </w:rPr>
              <w:t>PBS-</w:t>
            </w:r>
            <w:r>
              <w:rPr>
                <w:spacing w:val="-10"/>
                <w:w w:val="105"/>
                <w:sz w:val="18"/>
              </w:rPr>
              <w:t>A</w:t>
            </w:r>
          </w:p>
        </w:tc>
        <w:tc>
          <w:tcPr>
            <w:tcW w:w="1188" w:type="dxa"/>
          </w:tcPr>
          <w:p w14:paraId="38AD7A08" w14:textId="77777777" w:rsidR="002C6574" w:rsidRDefault="00000000">
            <w:pPr>
              <w:pStyle w:val="TableParagraph"/>
              <w:spacing w:line="212" w:lineRule="exact"/>
              <w:ind w:right="56"/>
              <w:rPr>
                <w:sz w:val="18"/>
              </w:rPr>
            </w:pPr>
            <w:r>
              <w:rPr>
                <w:spacing w:val="-2"/>
                <w:w w:val="105"/>
                <w:sz w:val="18"/>
              </w:rPr>
              <w:t>26.491</w:t>
            </w:r>
          </w:p>
        </w:tc>
        <w:tc>
          <w:tcPr>
            <w:tcW w:w="1202" w:type="dxa"/>
          </w:tcPr>
          <w:p w14:paraId="722F5108" w14:textId="77777777" w:rsidR="002C6574" w:rsidRDefault="00000000">
            <w:pPr>
              <w:pStyle w:val="TableParagraph"/>
              <w:spacing w:line="212" w:lineRule="exact"/>
              <w:ind w:right="55"/>
              <w:rPr>
                <w:sz w:val="18"/>
              </w:rPr>
            </w:pPr>
            <w:r>
              <w:rPr>
                <w:spacing w:val="-2"/>
                <w:w w:val="105"/>
                <w:sz w:val="18"/>
              </w:rPr>
              <w:t>35.179</w:t>
            </w:r>
          </w:p>
        </w:tc>
        <w:tc>
          <w:tcPr>
            <w:tcW w:w="1075" w:type="dxa"/>
          </w:tcPr>
          <w:p w14:paraId="1C448EBA" w14:textId="77777777" w:rsidR="002C6574" w:rsidRDefault="00000000">
            <w:pPr>
              <w:pStyle w:val="TableParagraph"/>
              <w:spacing w:line="212" w:lineRule="exact"/>
              <w:ind w:right="55"/>
              <w:rPr>
                <w:sz w:val="18"/>
              </w:rPr>
            </w:pPr>
            <w:r>
              <w:rPr>
                <w:spacing w:val="-2"/>
                <w:w w:val="105"/>
                <w:sz w:val="18"/>
              </w:rPr>
              <w:t>32.502</w:t>
            </w:r>
          </w:p>
        </w:tc>
        <w:tc>
          <w:tcPr>
            <w:tcW w:w="1063" w:type="dxa"/>
          </w:tcPr>
          <w:p w14:paraId="0D2441ED" w14:textId="77777777" w:rsidR="002C6574" w:rsidRDefault="00000000">
            <w:pPr>
              <w:pStyle w:val="TableParagraph"/>
              <w:spacing w:line="212" w:lineRule="exact"/>
              <w:ind w:right="55"/>
              <w:rPr>
                <w:sz w:val="18"/>
              </w:rPr>
            </w:pPr>
            <w:r>
              <w:rPr>
                <w:spacing w:val="-2"/>
                <w:w w:val="105"/>
                <w:sz w:val="18"/>
              </w:rPr>
              <w:t>94.172</w:t>
            </w:r>
          </w:p>
        </w:tc>
      </w:tr>
      <w:tr w:rsidR="002C6574" w14:paraId="60E681EF" w14:textId="77777777">
        <w:trPr>
          <w:trHeight w:val="232"/>
        </w:trPr>
        <w:tc>
          <w:tcPr>
            <w:tcW w:w="5242" w:type="dxa"/>
          </w:tcPr>
          <w:p w14:paraId="38CBF6FF" w14:textId="77777777" w:rsidR="002C6574" w:rsidRDefault="00000000">
            <w:pPr>
              <w:pStyle w:val="TableParagraph"/>
              <w:spacing w:line="212" w:lineRule="exact"/>
              <w:ind w:left="69"/>
              <w:jc w:val="left"/>
              <w:rPr>
                <w:sz w:val="18"/>
              </w:rPr>
            </w:pPr>
            <w:r>
              <w:rPr>
                <w:w w:val="110"/>
                <w:sz w:val="18"/>
              </w:rPr>
              <w:t>PBS-</w:t>
            </w:r>
            <w:r>
              <w:rPr>
                <w:spacing w:val="-2"/>
                <w:w w:val="110"/>
                <w:sz w:val="18"/>
              </w:rPr>
              <w:t>Telebras</w:t>
            </w:r>
          </w:p>
        </w:tc>
        <w:tc>
          <w:tcPr>
            <w:tcW w:w="1188" w:type="dxa"/>
          </w:tcPr>
          <w:p w14:paraId="03CF6C28" w14:textId="77777777" w:rsidR="002C6574" w:rsidRDefault="00000000">
            <w:pPr>
              <w:pStyle w:val="TableParagraph"/>
              <w:spacing w:line="212" w:lineRule="exact"/>
              <w:ind w:right="55"/>
              <w:rPr>
                <w:sz w:val="18"/>
              </w:rPr>
            </w:pPr>
            <w:r>
              <w:rPr>
                <w:spacing w:val="-4"/>
                <w:w w:val="110"/>
                <w:sz w:val="18"/>
              </w:rPr>
              <w:t>7.421</w:t>
            </w:r>
          </w:p>
        </w:tc>
        <w:tc>
          <w:tcPr>
            <w:tcW w:w="1202" w:type="dxa"/>
          </w:tcPr>
          <w:p w14:paraId="4774F400" w14:textId="77777777" w:rsidR="002C6574" w:rsidRDefault="00000000">
            <w:pPr>
              <w:pStyle w:val="TableParagraph"/>
              <w:spacing w:line="212" w:lineRule="exact"/>
              <w:ind w:right="57"/>
              <w:rPr>
                <w:sz w:val="18"/>
              </w:rPr>
            </w:pPr>
            <w:r>
              <w:rPr>
                <w:spacing w:val="-10"/>
                <w:w w:val="95"/>
                <w:sz w:val="18"/>
              </w:rPr>
              <w:t>-</w:t>
            </w:r>
          </w:p>
        </w:tc>
        <w:tc>
          <w:tcPr>
            <w:tcW w:w="1075" w:type="dxa"/>
          </w:tcPr>
          <w:p w14:paraId="6CC18A0D" w14:textId="77777777" w:rsidR="002C6574" w:rsidRDefault="00000000">
            <w:pPr>
              <w:pStyle w:val="TableParagraph"/>
              <w:spacing w:line="212" w:lineRule="exact"/>
              <w:ind w:right="57"/>
              <w:rPr>
                <w:sz w:val="18"/>
              </w:rPr>
            </w:pPr>
            <w:r>
              <w:rPr>
                <w:spacing w:val="-10"/>
                <w:w w:val="95"/>
                <w:sz w:val="18"/>
              </w:rPr>
              <w:t>-</w:t>
            </w:r>
          </w:p>
        </w:tc>
        <w:tc>
          <w:tcPr>
            <w:tcW w:w="1063" w:type="dxa"/>
          </w:tcPr>
          <w:p w14:paraId="57D9FDB2" w14:textId="77777777" w:rsidR="002C6574" w:rsidRDefault="00000000">
            <w:pPr>
              <w:pStyle w:val="TableParagraph"/>
              <w:spacing w:line="212" w:lineRule="exact"/>
              <w:ind w:right="55"/>
              <w:rPr>
                <w:sz w:val="18"/>
              </w:rPr>
            </w:pPr>
            <w:r>
              <w:rPr>
                <w:spacing w:val="-2"/>
                <w:w w:val="110"/>
                <w:sz w:val="18"/>
              </w:rPr>
              <w:t>7.421</w:t>
            </w:r>
          </w:p>
        </w:tc>
      </w:tr>
      <w:tr w:rsidR="002C6574" w14:paraId="5CE261D7" w14:textId="77777777">
        <w:trPr>
          <w:trHeight w:val="232"/>
        </w:trPr>
        <w:tc>
          <w:tcPr>
            <w:tcW w:w="5242" w:type="dxa"/>
          </w:tcPr>
          <w:p w14:paraId="061399BA" w14:textId="77777777" w:rsidR="002C6574" w:rsidRDefault="00000000">
            <w:pPr>
              <w:pStyle w:val="TableParagraph"/>
              <w:spacing w:line="212" w:lineRule="exact"/>
              <w:ind w:left="69"/>
              <w:jc w:val="left"/>
              <w:rPr>
                <w:sz w:val="18"/>
              </w:rPr>
            </w:pPr>
            <w:r>
              <w:rPr>
                <w:w w:val="105"/>
                <w:sz w:val="18"/>
              </w:rPr>
              <w:t xml:space="preserve">Telebras </w:t>
            </w:r>
            <w:r>
              <w:rPr>
                <w:spacing w:val="-4"/>
                <w:w w:val="105"/>
                <w:sz w:val="18"/>
              </w:rPr>
              <w:t>Prev</w:t>
            </w:r>
          </w:p>
        </w:tc>
        <w:tc>
          <w:tcPr>
            <w:tcW w:w="1188" w:type="dxa"/>
          </w:tcPr>
          <w:p w14:paraId="38FD1743" w14:textId="77777777" w:rsidR="002C6574" w:rsidRDefault="00000000">
            <w:pPr>
              <w:pStyle w:val="TableParagraph"/>
              <w:spacing w:line="212" w:lineRule="exact"/>
              <w:ind w:right="58"/>
              <w:rPr>
                <w:sz w:val="18"/>
              </w:rPr>
            </w:pPr>
            <w:r>
              <w:rPr>
                <w:spacing w:val="-10"/>
                <w:w w:val="95"/>
                <w:sz w:val="18"/>
              </w:rPr>
              <w:t>-</w:t>
            </w:r>
          </w:p>
        </w:tc>
        <w:tc>
          <w:tcPr>
            <w:tcW w:w="1202" w:type="dxa"/>
          </w:tcPr>
          <w:p w14:paraId="60724300" w14:textId="77777777" w:rsidR="002C6574" w:rsidRDefault="00000000">
            <w:pPr>
              <w:pStyle w:val="TableParagraph"/>
              <w:spacing w:line="212" w:lineRule="exact"/>
              <w:ind w:right="56"/>
              <w:rPr>
                <w:sz w:val="18"/>
              </w:rPr>
            </w:pPr>
            <w:r>
              <w:rPr>
                <w:spacing w:val="-2"/>
                <w:w w:val="105"/>
                <w:sz w:val="18"/>
              </w:rPr>
              <w:t>176.859</w:t>
            </w:r>
          </w:p>
        </w:tc>
        <w:tc>
          <w:tcPr>
            <w:tcW w:w="1075" w:type="dxa"/>
          </w:tcPr>
          <w:p w14:paraId="1A8132CA" w14:textId="77777777" w:rsidR="002C6574" w:rsidRDefault="00000000">
            <w:pPr>
              <w:pStyle w:val="TableParagraph"/>
              <w:spacing w:line="212" w:lineRule="exact"/>
              <w:ind w:right="55"/>
              <w:rPr>
                <w:sz w:val="18"/>
              </w:rPr>
            </w:pPr>
            <w:r>
              <w:rPr>
                <w:spacing w:val="-2"/>
                <w:w w:val="105"/>
                <w:sz w:val="18"/>
              </w:rPr>
              <w:t>102.225</w:t>
            </w:r>
          </w:p>
        </w:tc>
        <w:tc>
          <w:tcPr>
            <w:tcW w:w="1063" w:type="dxa"/>
          </w:tcPr>
          <w:p w14:paraId="6986366A" w14:textId="77777777" w:rsidR="002C6574" w:rsidRDefault="00000000">
            <w:pPr>
              <w:pStyle w:val="TableParagraph"/>
              <w:spacing w:line="212" w:lineRule="exact"/>
              <w:ind w:right="55"/>
              <w:rPr>
                <w:sz w:val="18"/>
              </w:rPr>
            </w:pPr>
            <w:r>
              <w:rPr>
                <w:spacing w:val="-2"/>
                <w:w w:val="105"/>
                <w:sz w:val="18"/>
              </w:rPr>
              <w:t>279.084</w:t>
            </w:r>
          </w:p>
        </w:tc>
      </w:tr>
      <w:tr w:rsidR="002C6574" w14:paraId="1AFA8AAA" w14:textId="77777777">
        <w:trPr>
          <w:trHeight w:val="232"/>
        </w:trPr>
        <w:tc>
          <w:tcPr>
            <w:tcW w:w="5242" w:type="dxa"/>
          </w:tcPr>
          <w:p w14:paraId="73D04D12" w14:textId="77777777" w:rsidR="002C6574" w:rsidRDefault="00000000">
            <w:pPr>
              <w:pStyle w:val="TableParagraph"/>
              <w:spacing w:before="11" w:line="201" w:lineRule="exact"/>
              <w:ind w:left="69"/>
              <w:jc w:val="left"/>
              <w:rPr>
                <w:rFonts w:ascii="Arial"/>
                <w:b/>
                <w:sz w:val="18"/>
              </w:rPr>
            </w:pPr>
            <w:r>
              <w:rPr>
                <w:rFonts w:ascii="Arial"/>
                <w:b/>
                <w:spacing w:val="-2"/>
                <w:sz w:val="18"/>
              </w:rPr>
              <w:t>Total</w:t>
            </w:r>
          </w:p>
        </w:tc>
        <w:tc>
          <w:tcPr>
            <w:tcW w:w="1188" w:type="dxa"/>
          </w:tcPr>
          <w:p w14:paraId="19298ED2" w14:textId="77777777" w:rsidR="002C6574" w:rsidRDefault="00000000">
            <w:pPr>
              <w:pStyle w:val="TableParagraph"/>
              <w:spacing w:before="11" w:line="201" w:lineRule="exact"/>
              <w:ind w:right="56"/>
              <w:rPr>
                <w:rFonts w:ascii="Arial"/>
                <w:b/>
                <w:sz w:val="18"/>
              </w:rPr>
            </w:pPr>
            <w:r>
              <w:rPr>
                <w:rFonts w:ascii="Arial"/>
                <w:b/>
                <w:spacing w:val="-2"/>
                <w:sz w:val="18"/>
              </w:rPr>
              <w:t>33.912</w:t>
            </w:r>
          </w:p>
        </w:tc>
        <w:tc>
          <w:tcPr>
            <w:tcW w:w="1202" w:type="dxa"/>
          </w:tcPr>
          <w:p w14:paraId="6A58DBB0" w14:textId="77777777" w:rsidR="002C6574" w:rsidRDefault="00000000">
            <w:pPr>
              <w:pStyle w:val="TableParagraph"/>
              <w:spacing w:before="11" w:line="201" w:lineRule="exact"/>
              <w:ind w:right="56"/>
              <w:rPr>
                <w:rFonts w:ascii="Arial"/>
                <w:b/>
                <w:sz w:val="18"/>
              </w:rPr>
            </w:pPr>
            <w:r>
              <w:rPr>
                <w:rFonts w:ascii="Arial"/>
                <w:b/>
                <w:spacing w:val="-2"/>
                <w:sz w:val="18"/>
              </w:rPr>
              <w:t>212.038</w:t>
            </w:r>
          </w:p>
        </w:tc>
        <w:tc>
          <w:tcPr>
            <w:tcW w:w="1075" w:type="dxa"/>
          </w:tcPr>
          <w:p w14:paraId="6DF0E120" w14:textId="77777777" w:rsidR="002C6574" w:rsidRDefault="00000000">
            <w:pPr>
              <w:pStyle w:val="TableParagraph"/>
              <w:spacing w:before="11" w:line="201" w:lineRule="exact"/>
              <w:ind w:right="55"/>
              <w:rPr>
                <w:rFonts w:ascii="Arial"/>
                <w:b/>
                <w:sz w:val="18"/>
              </w:rPr>
            </w:pPr>
            <w:r>
              <w:rPr>
                <w:rFonts w:ascii="Arial"/>
                <w:b/>
                <w:spacing w:val="-2"/>
                <w:sz w:val="18"/>
              </w:rPr>
              <w:t>134.727</w:t>
            </w:r>
          </w:p>
        </w:tc>
        <w:tc>
          <w:tcPr>
            <w:tcW w:w="1063" w:type="dxa"/>
          </w:tcPr>
          <w:p w14:paraId="4CF981EF" w14:textId="77777777" w:rsidR="002C6574" w:rsidRDefault="00000000">
            <w:pPr>
              <w:pStyle w:val="TableParagraph"/>
              <w:spacing w:before="11" w:line="201" w:lineRule="exact"/>
              <w:ind w:right="55"/>
              <w:rPr>
                <w:rFonts w:ascii="Arial"/>
                <w:b/>
                <w:sz w:val="18"/>
              </w:rPr>
            </w:pPr>
            <w:r>
              <w:rPr>
                <w:rFonts w:ascii="Arial"/>
                <w:b/>
                <w:spacing w:val="-2"/>
                <w:sz w:val="18"/>
              </w:rPr>
              <w:t>380.677</w:t>
            </w:r>
          </w:p>
        </w:tc>
      </w:tr>
    </w:tbl>
    <w:p w14:paraId="18A65142" w14:textId="77777777" w:rsidR="002C6574" w:rsidRDefault="00000000">
      <w:pPr>
        <w:pStyle w:val="Corpodetexto"/>
        <w:spacing w:before="263" w:line="237" w:lineRule="auto"/>
        <w:ind w:left="143" w:right="705"/>
        <w:jc w:val="both"/>
      </w:pPr>
      <w:r>
        <w:t>A movimentação dos recursos a receber relativos aos superávits dos planos no exercício de 2025</w:t>
      </w:r>
      <w:r>
        <w:rPr>
          <w:spacing w:val="40"/>
        </w:rPr>
        <w:t xml:space="preserve"> </w:t>
      </w:r>
      <w:r>
        <w:t>está apresentada no quadro a seguir:</w:t>
      </w:r>
    </w:p>
    <w:p w14:paraId="3F881EFA" w14:textId="77777777" w:rsidR="002C6574" w:rsidRDefault="002C6574">
      <w:pPr>
        <w:pStyle w:val="Corpodetexto"/>
        <w:spacing w:before="57"/>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43"/>
        <w:gridCol w:w="1327"/>
      </w:tblGrid>
      <w:tr w:rsidR="002C6574" w14:paraId="0272D9A6" w14:textId="77777777">
        <w:trPr>
          <w:trHeight w:val="230"/>
        </w:trPr>
        <w:tc>
          <w:tcPr>
            <w:tcW w:w="8443" w:type="dxa"/>
            <w:shd w:val="clear" w:color="auto" w:fill="BFBFBF"/>
          </w:tcPr>
          <w:p w14:paraId="64193A07" w14:textId="77777777" w:rsidR="002C6574" w:rsidRDefault="00000000">
            <w:pPr>
              <w:pStyle w:val="TableParagraph"/>
              <w:spacing w:before="11" w:line="199" w:lineRule="exact"/>
              <w:ind w:left="69"/>
              <w:jc w:val="left"/>
              <w:rPr>
                <w:rFonts w:ascii="Arial" w:hAnsi="Arial"/>
                <w:b/>
                <w:sz w:val="18"/>
              </w:rPr>
            </w:pPr>
            <w:r>
              <w:rPr>
                <w:rFonts w:ascii="Arial" w:hAnsi="Arial"/>
                <w:b/>
                <w:spacing w:val="-2"/>
                <w:sz w:val="18"/>
              </w:rPr>
              <w:t>Composição:</w:t>
            </w:r>
          </w:p>
        </w:tc>
        <w:tc>
          <w:tcPr>
            <w:tcW w:w="1327" w:type="dxa"/>
          </w:tcPr>
          <w:p w14:paraId="36D41D3F" w14:textId="77777777" w:rsidR="002C6574" w:rsidRDefault="00000000">
            <w:pPr>
              <w:pStyle w:val="TableParagraph"/>
              <w:spacing w:before="11" w:line="199" w:lineRule="exact"/>
              <w:ind w:left="7"/>
              <w:jc w:val="center"/>
              <w:rPr>
                <w:rFonts w:ascii="Arial"/>
                <w:b/>
                <w:sz w:val="18"/>
              </w:rPr>
            </w:pPr>
            <w:r>
              <w:rPr>
                <w:rFonts w:ascii="Arial"/>
                <w:b/>
                <w:spacing w:val="-2"/>
                <w:sz w:val="18"/>
              </w:rPr>
              <w:t>Total</w:t>
            </w:r>
          </w:p>
        </w:tc>
      </w:tr>
      <w:tr w:rsidR="002C6574" w14:paraId="56AF853E" w14:textId="77777777">
        <w:trPr>
          <w:trHeight w:val="232"/>
        </w:trPr>
        <w:tc>
          <w:tcPr>
            <w:tcW w:w="8443" w:type="dxa"/>
          </w:tcPr>
          <w:p w14:paraId="0B146E07" w14:textId="77777777" w:rsidR="002C6574" w:rsidRDefault="00000000">
            <w:pPr>
              <w:pStyle w:val="TableParagraph"/>
              <w:spacing w:before="13" w:line="199" w:lineRule="exact"/>
              <w:ind w:left="119"/>
              <w:jc w:val="left"/>
              <w:rPr>
                <w:rFonts w:ascii="Arial"/>
                <w:b/>
                <w:sz w:val="18"/>
              </w:rPr>
            </w:pPr>
            <w:r>
              <w:rPr>
                <w:rFonts w:ascii="Arial"/>
                <w:b/>
                <w:sz w:val="18"/>
              </w:rPr>
              <w:t>Saldo</w:t>
            </w:r>
            <w:r>
              <w:rPr>
                <w:rFonts w:ascii="Arial"/>
                <w:b/>
                <w:spacing w:val="-1"/>
                <w:sz w:val="18"/>
              </w:rPr>
              <w:t xml:space="preserve"> </w:t>
            </w:r>
            <w:r>
              <w:rPr>
                <w:rFonts w:ascii="Arial"/>
                <w:b/>
                <w:sz w:val="18"/>
              </w:rPr>
              <w:t>em 31</w:t>
            </w:r>
            <w:r>
              <w:rPr>
                <w:rFonts w:ascii="Arial"/>
                <w:b/>
                <w:spacing w:val="-3"/>
                <w:sz w:val="18"/>
              </w:rPr>
              <w:t xml:space="preserve"> </w:t>
            </w:r>
            <w:r>
              <w:rPr>
                <w:rFonts w:ascii="Arial"/>
                <w:b/>
                <w:sz w:val="18"/>
              </w:rPr>
              <w:t xml:space="preserve">de dezembro de </w:t>
            </w:r>
            <w:r>
              <w:rPr>
                <w:rFonts w:ascii="Arial"/>
                <w:b/>
                <w:spacing w:val="-4"/>
                <w:sz w:val="18"/>
              </w:rPr>
              <w:t>2024</w:t>
            </w:r>
          </w:p>
        </w:tc>
        <w:tc>
          <w:tcPr>
            <w:tcW w:w="1327" w:type="dxa"/>
          </w:tcPr>
          <w:p w14:paraId="29CDC948" w14:textId="77777777" w:rsidR="002C6574" w:rsidRDefault="00000000">
            <w:pPr>
              <w:pStyle w:val="TableParagraph"/>
              <w:spacing w:before="13" w:line="199" w:lineRule="exact"/>
              <w:ind w:right="58"/>
              <w:rPr>
                <w:rFonts w:ascii="Arial"/>
                <w:b/>
                <w:sz w:val="18"/>
              </w:rPr>
            </w:pPr>
            <w:r>
              <w:rPr>
                <w:rFonts w:ascii="Arial"/>
                <w:b/>
                <w:spacing w:val="-2"/>
                <w:sz w:val="18"/>
              </w:rPr>
              <w:t>227.645</w:t>
            </w:r>
          </w:p>
        </w:tc>
      </w:tr>
      <w:tr w:rsidR="002C6574" w14:paraId="19FC2324" w14:textId="77777777">
        <w:trPr>
          <w:trHeight w:val="232"/>
        </w:trPr>
        <w:tc>
          <w:tcPr>
            <w:tcW w:w="8443" w:type="dxa"/>
          </w:tcPr>
          <w:p w14:paraId="26979206" w14:textId="77777777" w:rsidR="002C6574" w:rsidRDefault="00000000">
            <w:pPr>
              <w:pStyle w:val="TableParagraph"/>
              <w:spacing w:line="212" w:lineRule="exact"/>
              <w:ind w:left="169"/>
              <w:jc w:val="left"/>
              <w:rPr>
                <w:sz w:val="18"/>
              </w:rPr>
            </w:pPr>
            <w:r>
              <w:rPr>
                <w:spacing w:val="-2"/>
                <w:w w:val="105"/>
                <w:sz w:val="18"/>
              </w:rPr>
              <w:t>Ingressos</w:t>
            </w:r>
          </w:p>
        </w:tc>
        <w:tc>
          <w:tcPr>
            <w:tcW w:w="1327" w:type="dxa"/>
          </w:tcPr>
          <w:p w14:paraId="1FC9C0F4" w14:textId="77777777" w:rsidR="002C6574" w:rsidRDefault="00000000">
            <w:pPr>
              <w:pStyle w:val="TableParagraph"/>
              <w:spacing w:line="212" w:lineRule="exact"/>
              <w:ind w:right="59"/>
              <w:rPr>
                <w:sz w:val="18"/>
              </w:rPr>
            </w:pPr>
            <w:r>
              <w:rPr>
                <w:spacing w:val="-2"/>
                <w:w w:val="105"/>
                <w:sz w:val="18"/>
              </w:rPr>
              <w:t>134.727</w:t>
            </w:r>
          </w:p>
        </w:tc>
      </w:tr>
      <w:tr w:rsidR="002C6574" w14:paraId="5D747434" w14:textId="77777777">
        <w:trPr>
          <w:trHeight w:val="232"/>
        </w:trPr>
        <w:tc>
          <w:tcPr>
            <w:tcW w:w="8443" w:type="dxa"/>
          </w:tcPr>
          <w:p w14:paraId="78DCCF07" w14:textId="77777777" w:rsidR="002C6574" w:rsidRDefault="00000000">
            <w:pPr>
              <w:pStyle w:val="TableParagraph"/>
              <w:spacing w:line="212" w:lineRule="exact"/>
              <w:ind w:left="119"/>
              <w:jc w:val="left"/>
              <w:rPr>
                <w:sz w:val="18"/>
              </w:rPr>
            </w:pPr>
            <w:r>
              <w:rPr>
                <w:sz w:val="18"/>
              </w:rPr>
              <w:t>Atualização</w:t>
            </w:r>
            <w:r>
              <w:rPr>
                <w:spacing w:val="13"/>
                <w:sz w:val="18"/>
              </w:rPr>
              <w:t xml:space="preserve"> </w:t>
            </w:r>
            <w:r>
              <w:rPr>
                <w:spacing w:val="-2"/>
                <w:sz w:val="18"/>
              </w:rPr>
              <w:t>Monetária</w:t>
            </w:r>
          </w:p>
        </w:tc>
        <w:tc>
          <w:tcPr>
            <w:tcW w:w="1327" w:type="dxa"/>
          </w:tcPr>
          <w:p w14:paraId="49FF2D2A" w14:textId="77777777" w:rsidR="002C6574" w:rsidRDefault="00000000">
            <w:pPr>
              <w:pStyle w:val="TableParagraph"/>
              <w:spacing w:line="212" w:lineRule="exact"/>
              <w:ind w:right="59"/>
              <w:rPr>
                <w:sz w:val="18"/>
              </w:rPr>
            </w:pPr>
            <w:r>
              <w:rPr>
                <w:spacing w:val="-2"/>
                <w:w w:val="105"/>
                <w:sz w:val="18"/>
              </w:rPr>
              <w:t>18.868</w:t>
            </w:r>
          </w:p>
        </w:tc>
      </w:tr>
      <w:tr w:rsidR="002C6574" w14:paraId="1338DF54" w14:textId="77777777">
        <w:trPr>
          <w:trHeight w:val="232"/>
        </w:trPr>
        <w:tc>
          <w:tcPr>
            <w:tcW w:w="8443" w:type="dxa"/>
          </w:tcPr>
          <w:p w14:paraId="579AE7D3" w14:textId="77777777" w:rsidR="002C6574" w:rsidRDefault="00000000">
            <w:pPr>
              <w:pStyle w:val="TableParagraph"/>
              <w:spacing w:line="212" w:lineRule="exact"/>
              <w:ind w:left="119"/>
              <w:jc w:val="left"/>
              <w:rPr>
                <w:sz w:val="18"/>
              </w:rPr>
            </w:pPr>
            <w:r>
              <w:rPr>
                <w:sz w:val="18"/>
              </w:rPr>
              <w:t>Recebimentos</w:t>
            </w:r>
            <w:r>
              <w:rPr>
                <w:spacing w:val="7"/>
                <w:sz w:val="18"/>
              </w:rPr>
              <w:t xml:space="preserve"> </w:t>
            </w:r>
            <w:r>
              <w:rPr>
                <w:sz w:val="18"/>
              </w:rPr>
              <w:t>no</w:t>
            </w:r>
            <w:r>
              <w:rPr>
                <w:spacing w:val="4"/>
                <w:sz w:val="18"/>
              </w:rPr>
              <w:t xml:space="preserve"> </w:t>
            </w:r>
            <w:r>
              <w:rPr>
                <w:spacing w:val="-2"/>
                <w:sz w:val="18"/>
              </w:rPr>
              <w:t>Período</w:t>
            </w:r>
          </w:p>
        </w:tc>
        <w:tc>
          <w:tcPr>
            <w:tcW w:w="1327" w:type="dxa"/>
          </w:tcPr>
          <w:p w14:paraId="6CBC69EF" w14:textId="77777777" w:rsidR="002C6574" w:rsidRDefault="00000000">
            <w:pPr>
              <w:pStyle w:val="TableParagraph"/>
              <w:spacing w:line="212" w:lineRule="exact"/>
              <w:ind w:right="57"/>
              <w:rPr>
                <w:sz w:val="18"/>
              </w:rPr>
            </w:pPr>
            <w:r>
              <w:rPr>
                <w:spacing w:val="-2"/>
                <w:w w:val="110"/>
                <w:sz w:val="18"/>
              </w:rPr>
              <w:t>(92.638)</w:t>
            </w:r>
          </w:p>
        </w:tc>
      </w:tr>
      <w:tr w:rsidR="002C6574" w14:paraId="6AF1944C" w14:textId="77777777">
        <w:trPr>
          <w:trHeight w:val="232"/>
        </w:trPr>
        <w:tc>
          <w:tcPr>
            <w:tcW w:w="8443" w:type="dxa"/>
          </w:tcPr>
          <w:p w14:paraId="07DC4368" w14:textId="77777777" w:rsidR="002C6574" w:rsidRDefault="00000000">
            <w:pPr>
              <w:pStyle w:val="TableParagraph"/>
              <w:spacing w:before="11" w:line="201" w:lineRule="exact"/>
              <w:ind w:left="119"/>
              <w:jc w:val="left"/>
              <w:rPr>
                <w:rFonts w:ascii="Arial"/>
                <w:b/>
                <w:sz w:val="18"/>
              </w:rPr>
            </w:pPr>
            <w:r>
              <w:rPr>
                <w:rFonts w:ascii="Arial"/>
                <w:b/>
                <w:sz w:val="18"/>
              </w:rPr>
              <w:t>Saldo</w:t>
            </w:r>
            <w:r>
              <w:rPr>
                <w:rFonts w:ascii="Arial"/>
                <w:b/>
                <w:spacing w:val="-1"/>
                <w:sz w:val="18"/>
              </w:rPr>
              <w:t xml:space="preserve"> </w:t>
            </w:r>
            <w:r>
              <w:rPr>
                <w:rFonts w:ascii="Arial"/>
                <w:b/>
                <w:sz w:val="18"/>
              </w:rPr>
              <w:t>em 31</w:t>
            </w:r>
            <w:r>
              <w:rPr>
                <w:rFonts w:ascii="Arial"/>
                <w:b/>
                <w:spacing w:val="-3"/>
                <w:sz w:val="18"/>
              </w:rPr>
              <w:t xml:space="preserve"> </w:t>
            </w:r>
            <w:r>
              <w:rPr>
                <w:rFonts w:ascii="Arial"/>
                <w:b/>
                <w:sz w:val="18"/>
              </w:rPr>
              <w:t xml:space="preserve">de dezembro de </w:t>
            </w:r>
            <w:r>
              <w:rPr>
                <w:rFonts w:ascii="Arial"/>
                <w:b/>
                <w:spacing w:val="-4"/>
                <w:sz w:val="18"/>
              </w:rPr>
              <w:t>2025</w:t>
            </w:r>
          </w:p>
        </w:tc>
        <w:tc>
          <w:tcPr>
            <w:tcW w:w="1327" w:type="dxa"/>
          </w:tcPr>
          <w:p w14:paraId="28128E80" w14:textId="77777777" w:rsidR="002C6574" w:rsidRDefault="00000000">
            <w:pPr>
              <w:pStyle w:val="TableParagraph"/>
              <w:spacing w:before="11" w:line="201" w:lineRule="exact"/>
              <w:ind w:right="58"/>
              <w:rPr>
                <w:rFonts w:ascii="Arial"/>
                <w:b/>
                <w:sz w:val="18"/>
              </w:rPr>
            </w:pPr>
            <w:r>
              <w:rPr>
                <w:rFonts w:ascii="Arial"/>
                <w:b/>
                <w:spacing w:val="-2"/>
                <w:sz w:val="18"/>
              </w:rPr>
              <w:t>288.602</w:t>
            </w:r>
          </w:p>
        </w:tc>
      </w:tr>
      <w:tr w:rsidR="002C6574" w14:paraId="0C5C5022" w14:textId="77777777">
        <w:trPr>
          <w:trHeight w:val="230"/>
        </w:trPr>
        <w:tc>
          <w:tcPr>
            <w:tcW w:w="8443" w:type="dxa"/>
          </w:tcPr>
          <w:p w14:paraId="50D3129B" w14:textId="77777777" w:rsidR="002C6574" w:rsidRDefault="00000000">
            <w:pPr>
              <w:pStyle w:val="TableParagraph"/>
              <w:spacing w:before="11" w:line="199" w:lineRule="exact"/>
              <w:ind w:left="119"/>
              <w:jc w:val="left"/>
              <w:rPr>
                <w:rFonts w:ascii="Arial"/>
                <w:b/>
                <w:sz w:val="18"/>
              </w:rPr>
            </w:pPr>
            <w:r>
              <w:rPr>
                <w:rFonts w:ascii="Arial"/>
                <w:b/>
                <w:spacing w:val="-2"/>
                <w:sz w:val="18"/>
              </w:rPr>
              <w:t>Circulante</w:t>
            </w:r>
          </w:p>
        </w:tc>
        <w:tc>
          <w:tcPr>
            <w:tcW w:w="1327" w:type="dxa"/>
          </w:tcPr>
          <w:p w14:paraId="4C7DACD5" w14:textId="77777777" w:rsidR="002C6574" w:rsidRDefault="00000000">
            <w:pPr>
              <w:pStyle w:val="TableParagraph"/>
              <w:spacing w:before="11" w:line="199" w:lineRule="exact"/>
              <w:ind w:right="59"/>
              <w:rPr>
                <w:rFonts w:ascii="Arial"/>
                <w:b/>
                <w:sz w:val="18"/>
              </w:rPr>
            </w:pPr>
            <w:r>
              <w:rPr>
                <w:rFonts w:ascii="Arial"/>
                <w:b/>
                <w:spacing w:val="-2"/>
                <w:sz w:val="18"/>
              </w:rPr>
              <w:t>103.565</w:t>
            </w:r>
          </w:p>
        </w:tc>
      </w:tr>
      <w:tr w:rsidR="002C6574" w14:paraId="18689A0C" w14:textId="77777777">
        <w:trPr>
          <w:trHeight w:val="232"/>
        </w:trPr>
        <w:tc>
          <w:tcPr>
            <w:tcW w:w="8443" w:type="dxa"/>
          </w:tcPr>
          <w:p w14:paraId="4C7AD948" w14:textId="77777777" w:rsidR="002C6574" w:rsidRDefault="00000000">
            <w:pPr>
              <w:pStyle w:val="TableParagraph"/>
              <w:spacing w:before="13" w:line="199" w:lineRule="exact"/>
              <w:ind w:left="119"/>
              <w:jc w:val="left"/>
              <w:rPr>
                <w:rFonts w:ascii="Arial" w:hAnsi="Arial"/>
                <w:b/>
                <w:sz w:val="18"/>
              </w:rPr>
            </w:pPr>
            <w:r>
              <w:rPr>
                <w:rFonts w:ascii="Arial" w:hAnsi="Arial"/>
                <w:b/>
                <w:sz w:val="18"/>
              </w:rPr>
              <w:t>Não</w:t>
            </w:r>
            <w:r>
              <w:rPr>
                <w:rFonts w:ascii="Arial" w:hAnsi="Arial"/>
                <w:b/>
                <w:spacing w:val="1"/>
                <w:sz w:val="18"/>
              </w:rPr>
              <w:t xml:space="preserve"> </w:t>
            </w:r>
            <w:r>
              <w:rPr>
                <w:rFonts w:ascii="Arial" w:hAnsi="Arial"/>
                <w:b/>
                <w:spacing w:val="-2"/>
                <w:sz w:val="18"/>
              </w:rPr>
              <w:t>Circulante</w:t>
            </w:r>
          </w:p>
        </w:tc>
        <w:tc>
          <w:tcPr>
            <w:tcW w:w="1327" w:type="dxa"/>
          </w:tcPr>
          <w:p w14:paraId="1FEE6A16" w14:textId="77777777" w:rsidR="002C6574" w:rsidRDefault="00000000">
            <w:pPr>
              <w:pStyle w:val="TableParagraph"/>
              <w:spacing w:before="13" w:line="199" w:lineRule="exact"/>
              <w:ind w:right="57"/>
              <w:rPr>
                <w:rFonts w:ascii="Arial"/>
                <w:b/>
                <w:sz w:val="18"/>
              </w:rPr>
            </w:pPr>
            <w:r>
              <w:rPr>
                <w:rFonts w:ascii="Arial"/>
                <w:b/>
                <w:spacing w:val="-2"/>
                <w:sz w:val="18"/>
              </w:rPr>
              <w:t>185.037</w:t>
            </w:r>
          </w:p>
        </w:tc>
      </w:tr>
    </w:tbl>
    <w:p w14:paraId="7FEA7FD8" w14:textId="77777777" w:rsidR="002C6574" w:rsidRDefault="002C6574">
      <w:pPr>
        <w:pStyle w:val="Corpodetexto"/>
        <w:spacing w:before="2"/>
      </w:pPr>
    </w:p>
    <w:p w14:paraId="6237783A" w14:textId="77777777" w:rsidR="002C6574" w:rsidRDefault="00000000">
      <w:pPr>
        <w:numPr>
          <w:ilvl w:val="0"/>
          <w:numId w:val="54"/>
        </w:numPr>
        <w:tabs>
          <w:tab w:val="left" w:pos="995"/>
        </w:tabs>
        <w:ind w:left="995" w:hanging="852"/>
        <w:rPr>
          <w:rFonts w:ascii="Arial" w:hAnsi="Arial"/>
          <w:b/>
        </w:rPr>
      </w:pPr>
      <w:r>
        <w:rPr>
          <w:rFonts w:ascii="Arial" w:hAnsi="Arial"/>
          <w:b/>
        </w:rPr>
        <w:t>OUTROS</w:t>
      </w:r>
      <w:r>
        <w:rPr>
          <w:rFonts w:ascii="Arial" w:hAnsi="Arial"/>
          <w:b/>
          <w:spacing w:val="-4"/>
        </w:rPr>
        <w:t xml:space="preserve"> </w:t>
      </w:r>
      <w:r>
        <w:rPr>
          <w:rFonts w:ascii="Arial" w:hAnsi="Arial"/>
          <w:b/>
        </w:rPr>
        <w:t>ATIVOS</w:t>
      </w:r>
      <w:r>
        <w:rPr>
          <w:rFonts w:ascii="Arial" w:hAnsi="Arial"/>
          <w:b/>
          <w:spacing w:val="-4"/>
        </w:rPr>
        <w:t xml:space="preserve"> </w:t>
      </w:r>
      <w:r>
        <w:rPr>
          <w:rFonts w:ascii="Arial" w:hAnsi="Arial"/>
          <w:b/>
          <w:spacing w:val="-2"/>
        </w:rPr>
        <w:t>REALIZÁVEIS</w:t>
      </w:r>
    </w:p>
    <w:p w14:paraId="050C4588" w14:textId="77777777" w:rsidR="002C6574" w:rsidRDefault="002C6574">
      <w:pPr>
        <w:pStyle w:val="Corpodetexto"/>
        <w:spacing w:before="101"/>
        <w:rPr>
          <w:rFonts w:ascii="Arial"/>
          <w:b/>
        </w:rPr>
      </w:pPr>
    </w:p>
    <w:p w14:paraId="42D41A91" w14:textId="77777777" w:rsidR="002C6574" w:rsidRDefault="00000000">
      <w:pPr>
        <w:numPr>
          <w:ilvl w:val="1"/>
          <w:numId w:val="40"/>
        </w:numPr>
        <w:tabs>
          <w:tab w:val="left" w:pos="852"/>
        </w:tabs>
        <w:rPr>
          <w:rFonts w:ascii="Arial"/>
          <w:b/>
        </w:rPr>
      </w:pPr>
      <w:r>
        <w:rPr>
          <w:rFonts w:ascii="Arial"/>
          <w:b/>
        </w:rPr>
        <w:t>Valores</w:t>
      </w:r>
      <w:r>
        <w:rPr>
          <w:rFonts w:ascii="Arial"/>
          <w:b/>
          <w:spacing w:val="-3"/>
        </w:rPr>
        <w:t xml:space="preserve"> </w:t>
      </w:r>
      <w:r>
        <w:rPr>
          <w:rFonts w:ascii="Arial"/>
          <w:b/>
        </w:rPr>
        <w:t>a</w:t>
      </w:r>
      <w:r>
        <w:rPr>
          <w:rFonts w:ascii="Arial"/>
          <w:b/>
          <w:spacing w:val="-7"/>
        </w:rPr>
        <w:t xml:space="preserve"> </w:t>
      </w:r>
      <w:r>
        <w:rPr>
          <w:rFonts w:ascii="Arial"/>
          <w:b/>
        </w:rPr>
        <w:t>receber</w:t>
      </w:r>
      <w:r>
        <w:rPr>
          <w:rFonts w:ascii="Arial"/>
          <w:b/>
          <w:spacing w:val="-3"/>
        </w:rPr>
        <w:t xml:space="preserve"> </w:t>
      </w:r>
      <w:r>
        <w:rPr>
          <w:rFonts w:ascii="Arial"/>
          <w:b/>
        </w:rPr>
        <w:t>de</w:t>
      </w:r>
      <w:r>
        <w:rPr>
          <w:rFonts w:ascii="Arial"/>
          <w:b/>
          <w:spacing w:val="-4"/>
        </w:rPr>
        <w:t xml:space="preserve"> </w:t>
      </w:r>
      <w:r>
        <w:rPr>
          <w:rFonts w:ascii="Arial"/>
          <w:b/>
        </w:rPr>
        <w:t>colaboradores</w:t>
      </w:r>
      <w:r>
        <w:rPr>
          <w:rFonts w:ascii="Arial"/>
          <w:b/>
          <w:spacing w:val="-5"/>
        </w:rPr>
        <w:t xml:space="preserve"> </w:t>
      </w:r>
      <w:r>
        <w:rPr>
          <w:rFonts w:ascii="Arial"/>
          <w:b/>
          <w:spacing w:val="-2"/>
        </w:rPr>
        <w:t>cedidos</w:t>
      </w:r>
    </w:p>
    <w:p w14:paraId="5E0C144D" w14:textId="77777777" w:rsidR="002C6574" w:rsidRDefault="002C6574">
      <w:pPr>
        <w:pStyle w:val="Corpodetexto"/>
        <w:spacing w:before="49"/>
        <w:rPr>
          <w:rFonts w:ascii="Arial"/>
          <w:b/>
        </w:rPr>
      </w:pPr>
    </w:p>
    <w:p w14:paraId="1073AFD5" w14:textId="77777777" w:rsidR="002C6574" w:rsidRDefault="00000000">
      <w:pPr>
        <w:pStyle w:val="Corpodetexto"/>
        <w:spacing w:line="237" w:lineRule="auto"/>
        <w:ind w:left="143" w:right="703"/>
        <w:jc w:val="both"/>
      </w:pPr>
      <w:r>
        <w:rPr>
          <w:spacing w:val="-2"/>
          <w:w w:val="105"/>
        </w:rPr>
        <w:t>A</w:t>
      </w:r>
      <w:r>
        <w:rPr>
          <w:spacing w:val="-5"/>
          <w:w w:val="105"/>
        </w:rPr>
        <w:t xml:space="preserve"> </w:t>
      </w:r>
      <w:r>
        <w:rPr>
          <w:spacing w:val="-2"/>
          <w:w w:val="105"/>
        </w:rPr>
        <w:t>Companhia</w:t>
      </w:r>
      <w:r>
        <w:rPr>
          <w:spacing w:val="-5"/>
          <w:w w:val="105"/>
        </w:rPr>
        <w:t xml:space="preserve"> </w:t>
      </w:r>
      <w:r>
        <w:rPr>
          <w:spacing w:val="-2"/>
          <w:w w:val="105"/>
        </w:rPr>
        <w:t>possui</w:t>
      </w:r>
      <w:r>
        <w:rPr>
          <w:spacing w:val="-6"/>
          <w:w w:val="105"/>
        </w:rPr>
        <w:t xml:space="preserve"> </w:t>
      </w:r>
      <w:r>
        <w:rPr>
          <w:spacing w:val="-2"/>
          <w:w w:val="105"/>
        </w:rPr>
        <w:t>Colaboradores</w:t>
      </w:r>
      <w:r>
        <w:rPr>
          <w:spacing w:val="-6"/>
          <w:w w:val="105"/>
        </w:rPr>
        <w:t xml:space="preserve"> </w:t>
      </w:r>
      <w:r>
        <w:rPr>
          <w:spacing w:val="-2"/>
          <w:w w:val="105"/>
        </w:rPr>
        <w:t>cedidos</w:t>
      </w:r>
      <w:r>
        <w:rPr>
          <w:spacing w:val="-6"/>
          <w:w w:val="105"/>
        </w:rPr>
        <w:t xml:space="preserve"> </w:t>
      </w:r>
      <w:r>
        <w:rPr>
          <w:spacing w:val="-2"/>
          <w:w w:val="105"/>
        </w:rPr>
        <w:t>à</w:t>
      </w:r>
      <w:r>
        <w:rPr>
          <w:spacing w:val="-7"/>
          <w:w w:val="105"/>
        </w:rPr>
        <w:t xml:space="preserve"> </w:t>
      </w:r>
      <w:r>
        <w:rPr>
          <w:spacing w:val="-2"/>
          <w:w w:val="105"/>
        </w:rPr>
        <w:t>Agência</w:t>
      </w:r>
      <w:r>
        <w:rPr>
          <w:spacing w:val="-5"/>
          <w:w w:val="105"/>
        </w:rPr>
        <w:t xml:space="preserve"> </w:t>
      </w:r>
      <w:r>
        <w:rPr>
          <w:spacing w:val="-2"/>
          <w:w w:val="105"/>
        </w:rPr>
        <w:t>Nacional</w:t>
      </w:r>
      <w:r>
        <w:rPr>
          <w:spacing w:val="-6"/>
          <w:w w:val="105"/>
        </w:rPr>
        <w:t xml:space="preserve"> </w:t>
      </w:r>
      <w:r>
        <w:rPr>
          <w:spacing w:val="-2"/>
          <w:w w:val="105"/>
        </w:rPr>
        <w:t>de</w:t>
      </w:r>
      <w:r>
        <w:rPr>
          <w:spacing w:val="-6"/>
          <w:w w:val="105"/>
        </w:rPr>
        <w:t xml:space="preserve"> </w:t>
      </w:r>
      <w:r>
        <w:rPr>
          <w:spacing w:val="-2"/>
          <w:w w:val="105"/>
        </w:rPr>
        <w:t>Telecomunicações</w:t>
      </w:r>
      <w:r>
        <w:rPr>
          <w:spacing w:val="-6"/>
          <w:w w:val="105"/>
        </w:rPr>
        <w:t xml:space="preserve"> </w:t>
      </w:r>
      <w:r>
        <w:rPr>
          <w:spacing w:val="-2"/>
          <w:w w:val="105"/>
        </w:rPr>
        <w:t>(ANATEL)</w:t>
      </w:r>
      <w:r>
        <w:rPr>
          <w:spacing w:val="-8"/>
          <w:w w:val="105"/>
        </w:rPr>
        <w:t xml:space="preserve"> </w:t>
      </w:r>
      <w:r>
        <w:rPr>
          <w:spacing w:val="-2"/>
          <w:w w:val="105"/>
        </w:rPr>
        <w:t xml:space="preserve">e </w:t>
      </w:r>
      <w:r>
        <w:t>a outros Órgãos Governamentais. Os</w:t>
      </w:r>
      <w:r>
        <w:rPr>
          <w:spacing w:val="16"/>
        </w:rPr>
        <w:t xml:space="preserve"> </w:t>
      </w:r>
      <w:r>
        <w:t>valores a receber referem-se a salários e respectivos encargos</w:t>
      </w:r>
      <w:r>
        <w:rPr>
          <w:spacing w:val="40"/>
          <w:w w:val="105"/>
        </w:rPr>
        <w:t xml:space="preserve"> </w:t>
      </w:r>
      <w:r>
        <w:rPr>
          <w:w w:val="105"/>
        </w:rPr>
        <w:t>e benefícios sociais, inclusive provisões de férias e 13º salários.</w:t>
      </w:r>
    </w:p>
    <w:p w14:paraId="412D3A66" w14:textId="77777777" w:rsidR="002C6574" w:rsidRDefault="00000000">
      <w:pPr>
        <w:pStyle w:val="Corpodetexto"/>
        <w:spacing w:before="290"/>
        <w:ind w:left="143" w:right="702"/>
        <w:jc w:val="both"/>
      </w:pPr>
      <w:r>
        <w:t>Em</w:t>
      </w:r>
      <w:r>
        <w:rPr>
          <w:spacing w:val="22"/>
        </w:rPr>
        <w:t xml:space="preserve"> </w:t>
      </w:r>
      <w:r>
        <w:t>31</w:t>
      </w:r>
      <w:r>
        <w:rPr>
          <w:spacing w:val="20"/>
        </w:rPr>
        <w:t xml:space="preserve"> </w:t>
      </w:r>
      <w:r>
        <w:t>de</w:t>
      </w:r>
      <w:r>
        <w:rPr>
          <w:spacing w:val="21"/>
        </w:rPr>
        <w:t xml:space="preserve"> </w:t>
      </w:r>
      <w:r>
        <w:t>dezembro de</w:t>
      </w:r>
      <w:r>
        <w:rPr>
          <w:spacing w:val="19"/>
        </w:rPr>
        <w:t xml:space="preserve"> </w:t>
      </w:r>
      <w:r>
        <w:t>2025</w:t>
      </w:r>
      <w:r>
        <w:rPr>
          <w:spacing w:val="21"/>
        </w:rPr>
        <w:t xml:space="preserve"> </w:t>
      </w:r>
      <w:r>
        <w:t>e</w:t>
      </w:r>
      <w:r>
        <w:rPr>
          <w:spacing w:val="20"/>
        </w:rPr>
        <w:t xml:space="preserve"> </w:t>
      </w:r>
      <w:r>
        <w:t>31</w:t>
      </w:r>
      <w:r>
        <w:rPr>
          <w:spacing w:val="20"/>
        </w:rPr>
        <w:t xml:space="preserve"> </w:t>
      </w:r>
      <w:r>
        <w:t>de</w:t>
      </w:r>
      <w:r>
        <w:rPr>
          <w:spacing w:val="21"/>
        </w:rPr>
        <w:t xml:space="preserve"> </w:t>
      </w:r>
      <w:r>
        <w:t>dezembro de</w:t>
      </w:r>
      <w:r>
        <w:rPr>
          <w:spacing w:val="21"/>
        </w:rPr>
        <w:t xml:space="preserve"> </w:t>
      </w:r>
      <w:r>
        <w:t>2024,</w:t>
      </w:r>
      <w:r>
        <w:rPr>
          <w:spacing w:val="21"/>
        </w:rPr>
        <w:t xml:space="preserve"> </w:t>
      </w:r>
      <w:r>
        <w:t>os valores</w:t>
      </w:r>
      <w:r>
        <w:rPr>
          <w:spacing w:val="21"/>
        </w:rPr>
        <w:t xml:space="preserve"> </w:t>
      </w:r>
      <w:r>
        <w:t>a receber</w:t>
      </w:r>
      <w:r>
        <w:rPr>
          <w:spacing w:val="22"/>
        </w:rPr>
        <w:t xml:space="preserve"> </w:t>
      </w:r>
      <w:r>
        <w:t>referentes</w:t>
      </w:r>
      <w:r>
        <w:rPr>
          <w:spacing w:val="21"/>
        </w:rPr>
        <w:t xml:space="preserve"> </w:t>
      </w:r>
      <w:r>
        <w:t>à cessão de Colaboradores da Telebras às entidades governamentais estão apresentados no quadro a seguir:</w:t>
      </w:r>
    </w:p>
    <w:p w14:paraId="7F26217C" w14:textId="77777777" w:rsidR="002C6574" w:rsidRDefault="002C6574">
      <w:pPr>
        <w:pStyle w:val="Corpodetexto"/>
        <w:spacing w:before="53"/>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2"/>
        <w:gridCol w:w="1275"/>
        <w:gridCol w:w="1395"/>
      </w:tblGrid>
      <w:tr w:rsidR="002C6574" w14:paraId="0E7D05DA" w14:textId="77777777">
        <w:trPr>
          <w:trHeight w:val="237"/>
        </w:trPr>
        <w:tc>
          <w:tcPr>
            <w:tcW w:w="7102" w:type="dxa"/>
            <w:shd w:val="clear" w:color="auto" w:fill="BFBFBF"/>
          </w:tcPr>
          <w:p w14:paraId="74DF885B" w14:textId="77777777" w:rsidR="002C6574" w:rsidRDefault="00000000">
            <w:pPr>
              <w:pStyle w:val="TableParagraph"/>
              <w:spacing w:before="15" w:line="201" w:lineRule="exact"/>
              <w:ind w:left="69"/>
              <w:jc w:val="left"/>
              <w:rPr>
                <w:rFonts w:ascii="Arial" w:hAnsi="Arial"/>
                <w:b/>
                <w:sz w:val="18"/>
              </w:rPr>
            </w:pPr>
            <w:r>
              <w:rPr>
                <w:rFonts w:ascii="Arial" w:hAnsi="Arial"/>
                <w:b/>
                <w:spacing w:val="-2"/>
                <w:sz w:val="18"/>
              </w:rPr>
              <w:t>Órgãos/Entidades:</w:t>
            </w:r>
          </w:p>
        </w:tc>
        <w:tc>
          <w:tcPr>
            <w:tcW w:w="1275" w:type="dxa"/>
          </w:tcPr>
          <w:p w14:paraId="3E7F0411" w14:textId="77777777" w:rsidR="002C6574" w:rsidRDefault="00000000">
            <w:pPr>
              <w:pStyle w:val="TableParagraph"/>
              <w:spacing w:before="15" w:line="201" w:lineRule="exact"/>
              <w:ind w:left="183"/>
              <w:jc w:val="left"/>
              <w:rPr>
                <w:rFonts w:ascii="Arial"/>
                <w:b/>
                <w:sz w:val="18"/>
              </w:rPr>
            </w:pPr>
            <w:r>
              <w:rPr>
                <w:rFonts w:ascii="Arial"/>
                <w:b/>
                <w:spacing w:val="-2"/>
                <w:sz w:val="18"/>
              </w:rPr>
              <w:t>31/12/2025</w:t>
            </w:r>
          </w:p>
        </w:tc>
        <w:tc>
          <w:tcPr>
            <w:tcW w:w="1395" w:type="dxa"/>
          </w:tcPr>
          <w:p w14:paraId="29CBE781" w14:textId="77777777" w:rsidR="002C6574" w:rsidRDefault="00000000">
            <w:pPr>
              <w:pStyle w:val="TableParagraph"/>
              <w:spacing w:before="15" w:line="201" w:lineRule="exact"/>
              <w:ind w:left="246"/>
              <w:jc w:val="left"/>
              <w:rPr>
                <w:rFonts w:ascii="Arial"/>
                <w:b/>
                <w:sz w:val="18"/>
              </w:rPr>
            </w:pPr>
            <w:r>
              <w:rPr>
                <w:rFonts w:ascii="Arial"/>
                <w:b/>
                <w:spacing w:val="-2"/>
                <w:sz w:val="18"/>
              </w:rPr>
              <w:t>31/12/2024</w:t>
            </w:r>
          </w:p>
        </w:tc>
      </w:tr>
      <w:tr w:rsidR="002C6574" w14:paraId="5DCEC5DE" w14:textId="77777777">
        <w:trPr>
          <w:trHeight w:val="239"/>
        </w:trPr>
        <w:tc>
          <w:tcPr>
            <w:tcW w:w="7102" w:type="dxa"/>
          </w:tcPr>
          <w:p w14:paraId="6D562255" w14:textId="77777777" w:rsidR="002C6574" w:rsidRDefault="00000000">
            <w:pPr>
              <w:pStyle w:val="TableParagraph"/>
              <w:spacing w:line="220" w:lineRule="exact"/>
              <w:ind w:left="69"/>
              <w:jc w:val="left"/>
              <w:rPr>
                <w:sz w:val="18"/>
              </w:rPr>
            </w:pPr>
            <w:r>
              <w:rPr>
                <w:sz w:val="18"/>
              </w:rPr>
              <w:t>Órgãos</w:t>
            </w:r>
            <w:r>
              <w:rPr>
                <w:spacing w:val="10"/>
                <w:sz w:val="18"/>
              </w:rPr>
              <w:t xml:space="preserve"> </w:t>
            </w:r>
            <w:r>
              <w:rPr>
                <w:spacing w:val="-2"/>
                <w:sz w:val="18"/>
              </w:rPr>
              <w:t>Governamentais</w:t>
            </w:r>
          </w:p>
        </w:tc>
        <w:tc>
          <w:tcPr>
            <w:tcW w:w="1275" w:type="dxa"/>
          </w:tcPr>
          <w:p w14:paraId="1C70022E" w14:textId="77777777" w:rsidR="002C6574" w:rsidRDefault="00000000">
            <w:pPr>
              <w:pStyle w:val="TableParagraph"/>
              <w:spacing w:line="220" w:lineRule="exact"/>
              <w:ind w:right="63"/>
              <w:rPr>
                <w:sz w:val="18"/>
              </w:rPr>
            </w:pPr>
            <w:r>
              <w:rPr>
                <w:spacing w:val="-2"/>
                <w:w w:val="110"/>
                <w:sz w:val="18"/>
              </w:rPr>
              <w:t>1.945</w:t>
            </w:r>
          </w:p>
        </w:tc>
        <w:tc>
          <w:tcPr>
            <w:tcW w:w="1395" w:type="dxa"/>
          </w:tcPr>
          <w:p w14:paraId="10105663" w14:textId="77777777" w:rsidR="002C6574" w:rsidRDefault="00000000">
            <w:pPr>
              <w:pStyle w:val="TableParagraph"/>
              <w:spacing w:line="220" w:lineRule="exact"/>
              <w:ind w:right="61"/>
              <w:rPr>
                <w:sz w:val="18"/>
              </w:rPr>
            </w:pPr>
            <w:r>
              <w:rPr>
                <w:spacing w:val="-2"/>
                <w:w w:val="110"/>
                <w:sz w:val="18"/>
              </w:rPr>
              <w:t>1.945</w:t>
            </w:r>
          </w:p>
        </w:tc>
      </w:tr>
      <w:tr w:rsidR="002C6574" w14:paraId="1BD1EE35" w14:textId="77777777">
        <w:trPr>
          <w:trHeight w:val="237"/>
        </w:trPr>
        <w:tc>
          <w:tcPr>
            <w:tcW w:w="7102" w:type="dxa"/>
          </w:tcPr>
          <w:p w14:paraId="6089AE70" w14:textId="77777777" w:rsidR="002C6574" w:rsidRDefault="00000000">
            <w:pPr>
              <w:pStyle w:val="TableParagraph"/>
              <w:spacing w:before="13" w:line="204" w:lineRule="exact"/>
              <w:ind w:left="69"/>
              <w:jc w:val="left"/>
              <w:rPr>
                <w:rFonts w:ascii="Arial"/>
                <w:b/>
                <w:sz w:val="18"/>
              </w:rPr>
            </w:pPr>
            <w:r>
              <w:rPr>
                <w:rFonts w:ascii="Arial"/>
                <w:b/>
                <w:spacing w:val="-2"/>
                <w:sz w:val="18"/>
              </w:rPr>
              <w:t>Total</w:t>
            </w:r>
          </w:p>
        </w:tc>
        <w:tc>
          <w:tcPr>
            <w:tcW w:w="1275" w:type="dxa"/>
          </w:tcPr>
          <w:p w14:paraId="1CF5E1E5" w14:textId="77777777" w:rsidR="002C6574" w:rsidRDefault="00000000">
            <w:pPr>
              <w:pStyle w:val="TableParagraph"/>
              <w:spacing w:before="13" w:line="204" w:lineRule="exact"/>
              <w:ind w:right="63"/>
              <w:rPr>
                <w:rFonts w:ascii="Arial"/>
                <w:b/>
                <w:sz w:val="18"/>
              </w:rPr>
            </w:pPr>
            <w:r>
              <w:rPr>
                <w:rFonts w:ascii="Arial"/>
                <w:b/>
                <w:spacing w:val="-2"/>
                <w:sz w:val="18"/>
              </w:rPr>
              <w:t>1.945</w:t>
            </w:r>
          </w:p>
        </w:tc>
        <w:tc>
          <w:tcPr>
            <w:tcW w:w="1395" w:type="dxa"/>
          </w:tcPr>
          <w:p w14:paraId="1FE7D48D" w14:textId="77777777" w:rsidR="002C6574" w:rsidRDefault="00000000">
            <w:pPr>
              <w:pStyle w:val="TableParagraph"/>
              <w:spacing w:before="13" w:line="204" w:lineRule="exact"/>
              <w:ind w:right="61"/>
              <w:rPr>
                <w:rFonts w:ascii="Arial"/>
                <w:b/>
                <w:sz w:val="18"/>
              </w:rPr>
            </w:pPr>
            <w:r>
              <w:rPr>
                <w:rFonts w:ascii="Arial"/>
                <w:b/>
                <w:spacing w:val="-2"/>
                <w:sz w:val="18"/>
              </w:rPr>
              <w:t>1.945</w:t>
            </w:r>
          </w:p>
        </w:tc>
      </w:tr>
      <w:tr w:rsidR="002C6574" w14:paraId="6B07B0BC" w14:textId="77777777">
        <w:trPr>
          <w:trHeight w:val="239"/>
        </w:trPr>
        <w:tc>
          <w:tcPr>
            <w:tcW w:w="7102" w:type="dxa"/>
          </w:tcPr>
          <w:p w14:paraId="5FAC1795" w14:textId="77777777" w:rsidR="002C6574" w:rsidRDefault="00000000">
            <w:pPr>
              <w:pStyle w:val="TableParagraph"/>
              <w:spacing w:before="15" w:line="204" w:lineRule="exact"/>
              <w:ind w:left="69"/>
              <w:jc w:val="left"/>
              <w:rPr>
                <w:rFonts w:ascii="Arial"/>
                <w:b/>
                <w:sz w:val="18"/>
              </w:rPr>
            </w:pPr>
            <w:r>
              <w:rPr>
                <w:rFonts w:ascii="Arial"/>
                <w:b/>
                <w:spacing w:val="-2"/>
                <w:sz w:val="18"/>
              </w:rPr>
              <w:t>Circulante</w:t>
            </w:r>
          </w:p>
        </w:tc>
        <w:tc>
          <w:tcPr>
            <w:tcW w:w="1275" w:type="dxa"/>
          </w:tcPr>
          <w:p w14:paraId="68118F09" w14:textId="77777777" w:rsidR="002C6574" w:rsidRDefault="00000000">
            <w:pPr>
              <w:pStyle w:val="TableParagraph"/>
              <w:spacing w:before="15" w:line="204" w:lineRule="exact"/>
              <w:ind w:right="63"/>
              <w:rPr>
                <w:rFonts w:ascii="Arial"/>
                <w:b/>
                <w:sz w:val="18"/>
              </w:rPr>
            </w:pPr>
            <w:r>
              <w:rPr>
                <w:rFonts w:ascii="Arial"/>
                <w:b/>
                <w:spacing w:val="-2"/>
                <w:sz w:val="18"/>
              </w:rPr>
              <w:t>1.945</w:t>
            </w:r>
          </w:p>
        </w:tc>
        <w:tc>
          <w:tcPr>
            <w:tcW w:w="1395" w:type="dxa"/>
          </w:tcPr>
          <w:p w14:paraId="04A9394B" w14:textId="77777777" w:rsidR="002C6574" w:rsidRDefault="00000000">
            <w:pPr>
              <w:pStyle w:val="TableParagraph"/>
              <w:spacing w:before="15" w:line="204" w:lineRule="exact"/>
              <w:ind w:right="61"/>
              <w:rPr>
                <w:rFonts w:ascii="Arial"/>
                <w:b/>
                <w:sz w:val="18"/>
              </w:rPr>
            </w:pPr>
            <w:r>
              <w:rPr>
                <w:rFonts w:ascii="Arial"/>
                <w:b/>
                <w:spacing w:val="-2"/>
                <w:sz w:val="18"/>
              </w:rPr>
              <w:t>1.945</w:t>
            </w:r>
          </w:p>
        </w:tc>
      </w:tr>
    </w:tbl>
    <w:p w14:paraId="211408DF" w14:textId="77777777" w:rsidR="002C6574" w:rsidRDefault="00000000">
      <w:pPr>
        <w:numPr>
          <w:ilvl w:val="1"/>
          <w:numId w:val="40"/>
        </w:numPr>
        <w:tabs>
          <w:tab w:val="left" w:pos="852"/>
        </w:tabs>
        <w:spacing w:before="253"/>
        <w:rPr>
          <w:rFonts w:ascii="Arial" w:hAnsi="Arial"/>
          <w:b/>
        </w:rPr>
      </w:pPr>
      <w:r>
        <w:rPr>
          <w:rFonts w:ascii="Arial" w:hAnsi="Arial"/>
          <w:b/>
        </w:rPr>
        <w:t>Outros</w:t>
      </w:r>
      <w:r>
        <w:rPr>
          <w:rFonts w:ascii="Arial" w:hAnsi="Arial"/>
          <w:b/>
          <w:spacing w:val="-5"/>
        </w:rPr>
        <w:t xml:space="preserve"> </w:t>
      </w:r>
      <w:r>
        <w:rPr>
          <w:rFonts w:ascii="Arial" w:hAnsi="Arial"/>
          <w:b/>
        </w:rPr>
        <w:t>ativos</w:t>
      </w:r>
      <w:r>
        <w:rPr>
          <w:rFonts w:ascii="Arial" w:hAnsi="Arial"/>
          <w:b/>
          <w:spacing w:val="-4"/>
        </w:rPr>
        <w:t xml:space="preserve"> </w:t>
      </w:r>
      <w:r>
        <w:rPr>
          <w:rFonts w:ascii="Arial" w:hAnsi="Arial"/>
          <w:b/>
          <w:spacing w:val="-2"/>
        </w:rPr>
        <w:t>realizáveis</w:t>
      </w:r>
    </w:p>
    <w:p w14:paraId="18A50E22" w14:textId="77777777" w:rsidR="002C6574" w:rsidRDefault="002C6574">
      <w:pPr>
        <w:pStyle w:val="Corpodetexto"/>
        <w:spacing w:before="45"/>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6"/>
        <w:gridCol w:w="1447"/>
        <w:gridCol w:w="1447"/>
      </w:tblGrid>
      <w:tr w:rsidR="002C6574" w14:paraId="0EE0B564" w14:textId="77777777">
        <w:trPr>
          <w:trHeight w:val="232"/>
        </w:trPr>
        <w:tc>
          <w:tcPr>
            <w:tcW w:w="6876" w:type="dxa"/>
            <w:shd w:val="clear" w:color="auto" w:fill="D8D8D8"/>
          </w:tcPr>
          <w:p w14:paraId="0F1BEDE5" w14:textId="77777777" w:rsidR="002C6574" w:rsidRDefault="00000000">
            <w:pPr>
              <w:pStyle w:val="TableParagraph"/>
              <w:spacing w:before="13" w:line="199" w:lineRule="exact"/>
              <w:ind w:left="69"/>
              <w:jc w:val="left"/>
              <w:rPr>
                <w:rFonts w:ascii="Arial" w:hAnsi="Arial"/>
                <w:b/>
                <w:sz w:val="18"/>
              </w:rPr>
            </w:pPr>
            <w:r>
              <w:rPr>
                <w:rFonts w:ascii="Arial" w:hAnsi="Arial"/>
                <w:b/>
                <w:spacing w:val="-2"/>
                <w:sz w:val="18"/>
              </w:rPr>
              <w:t>Composição:</w:t>
            </w:r>
          </w:p>
        </w:tc>
        <w:tc>
          <w:tcPr>
            <w:tcW w:w="1447" w:type="dxa"/>
          </w:tcPr>
          <w:p w14:paraId="3D821EDE" w14:textId="77777777" w:rsidR="002C6574" w:rsidRDefault="00000000">
            <w:pPr>
              <w:pStyle w:val="TableParagraph"/>
              <w:spacing w:before="13" w:line="199" w:lineRule="exact"/>
              <w:ind w:left="274"/>
              <w:jc w:val="left"/>
              <w:rPr>
                <w:rFonts w:ascii="Arial"/>
                <w:b/>
                <w:sz w:val="18"/>
              </w:rPr>
            </w:pPr>
            <w:r>
              <w:rPr>
                <w:rFonts w:ascii="Arial"/>
                <w:b/>
                <w:spacing w:val="-2"/>
                <w:sz w:val="18"/>
              </w:rPr>
              <w:t>31/12/2025</w:t>
            </w:r>
          </w:p>
        </w:tc>
        <w:tc>
          <w:tcPr>
            <w:tcW w:w="1447" w:type="dxa"/>
          </w:tcPr>
          <w:p w14:paraId="43E6F8B9" w14:textId="77777777" w:rsidR="002C6574" w:rsidRDefault="00000000">
            <w:pPr>
              <w:pStyle w:val="TableParagraph"/>
              <w:spacing w:before="13" w:line="199" w:lineRule="exact"/>
              <w:ind w:left="274"/>
              <w:jc w:val="left"/>
              <w:rPr>
                <w:rFonts w:ascii="Arial"/>
                <w:b/>
                <w:sz w:val="18"/>
              </w:rPr>
            </w:pPr>
            <w:r>
              <w:rPr>
                <w:rFonts w:ascii="Arial"/>
                <w:b/>
                <w:spacing w:val="-2"/>
                <w:sz w:val="18"/>
              </w:rPr>
              <w:t>31/12/2024</w:t>
            </w:r>
          </w:p>
        </w:tc>
      </w:tr>
      <w:tr w:rsidR="002C6574" w14:paraId="44C5E06B" w14:textId="77777777">
        <w:trPr>
          <w:trHeight w:val="232"/>
        </w:trPr>
        <w:tc>
          <w:tcPr>
            <w:tcW w:w="6876" w:type="dxa"/>
          </w:tcPr>
          <w:p w14:paraId="5D9B6B2F" w14:textId="77777777" w:rsidR="002C6574" w:rsidRDefault="00000000">
            <w:pPr>
              <w:pStyle w:val="TableParagraph"/>
              <w:spacing w:line="212" w:lineRule="exact"/>
              <w:ind w:left="69"/>
              <w:jc w:val="left"/>
              <w:rPr>
                <w:sz w:val="18"/>
              </w:rPr>
            </w:pPr>
            <w:r>
              <w:rPr>
                <w:sz w:val="18"/>
              </w:rPr>
              <w:t>Adiantamento</w:t>
            </w:r>
            <w:r>
              <w:rPr>
                <w:spacing w:val="2"/>
                <w:sz w:val="18"/>
              </w:rPr>
              <w:t xml:space="preserve"> </w:t>
            </w:r>
            <w:r>
              <w:rPr>
                <w:sz w:val="18"/>
              </w:rPr>
              <w:t>a</w:t>
            </w:r>
            <w:r>
              <w:rPr>
                <w:spacing w:val="4"/>
                <w:sz w:val="18"/>
              </w:rPr>
              <w:t xml:space="preserve"> </w:t>
            </w:r>
            <w:r>
              <w:rPr>
                <w:sz w:val="18"/>
              </w:rPr>
              <w:t>Fornecedores</w:t>
            </w:r>
            <w:r>
              <w:rPr>
                <w:spacing w:val="3"/>
                <w:sz w:val="18"/>
              </w:rPr>
              <w:t xml:space="preserve"> </w:t>
            </w:r>
            <w:r>
              <w:rPr>
                <w:sz w:val="18"/>
              </w:rPr>
              <w:t>de</w:t>
            </w:r>
            <w:r>
              <w:rPr>
                <w:spacing w:val="6"/>
                <w:sz w:val="18"/>
              </w:rPr>
              <w:t xml:space="preserve"> </w:t>
            </w:r>
            <w:r>
              <w:rPr>
                <w:sz w:val="18"/>
              </w:rPr>
              <w:t>Operação</w:t>
            </w:r>
            <w:r>
              <w:rPr>
                <w:spacing w:val="2"/>
                <w:sz w:val="18"/>
              </w:rPr>
              <w:t xml:space="preserve"> </w:t>
            </w:r>
            <w:r>
              <w:rPr>
                <w:sz w:val="18"/>
              </w:rPr>
              <w:t>e</w:t>
            </w:r>
            <w:r>
              <w:rPr>
                <w:spacing w:val="3"/>
                <w:sz w:val="18"/>
              </w:rPr>
              <w:t xml:space="preserve"> </w:t>
            </w:r>
            <w:r>
              <w:rPr>
                <w:sz w:val="18"/>
              </w:rPr>
              <w:t>Manutenção</w:t>
            </w:r>
            <w:r>
              <w:rPr>
                <w:spacing w:val="3"/>
                <w:sz w:val="18"/>
              </w:rPr>
              <w:t xml:space="preserve"> </w:t>
            </w:r>
            <w:r>
              <w:rPr>
                <w:spacing w:val="-5"/>
                <w:sz w:val="18"/>
              </w:rPr>
              <w:t>(i)</w:t>
            </w:r>
          </w:p>
        </w:tc>
        <w:tc>
          <w:tcPr>
            <w:tcW w:w="1447" w:type="dxa"/>
          </w:tcPr>
          <w:p w14:paraId="2E6BCA35" w14:textId="77777777" w:rsidR="002C6574" w:rsidRDefault="00000000">
            <w:pPr>
              <w:pStyle w:val="TableParagraph"/>
              <w:spacing w:line="212" w:lineRule="exact"/>
              <w:ind w:right="59"/>
              <w:rPr>
                <w:sz w:val="18"/>
              </w:rPr>
            </w:pPr>
            <w:r>
              <w:rPr>
                <w:spacing w:val="-2"/>
                <w:w w:val="105"/>
                <w:sz w:val="18"/>
              </w:rPr>
              <w:t>12.980</w:t>
            </w:r>
          </w:p>
        </w:tc>
        <w:tc>
          <w:tcPr>
            <w:tcW w:w="1447" w:type="dxa"/>
          </w:tcPr>
          <w:p w14:paraId="78392ED0" w14:textId="77777777" w:rsidR="002C6574" w:rsidRDefault="00000000">
            <w:pPr>
              <w:pStyle w:val="TableParagraph"/>
              <w:spacing w:line="212" w:lineRule="exact"/>
              <w:ind w:right="59"/>
              <w:rPr>
                <w:sz w:val="18"/>
              </w:rPr>
            </w:pPr>
            <w:r>
              <w:rPr>
                <w:spacing w:val="-2"/>
                <w:w w:val="105"/>
                <w:sz w:val="18"/>
              </w:rPr>
              <w:t>18.694</w:t>
            </w:r>
          </w:p>
        </w:tc>
      </w:tr>
      <w:tr w:rsidR="002C6574" w14:paraId="6A34A759" w14:textId="77777777">
        <w:trPr>
          <w:trHeight w:val="232"/>
        </w:trPr>
        <w:tc>
          <w:tcPr>
            <w:tcW w:w="6876" w:type="dxa"/>
          </w:tcPr>
          <w:p w14:paraId="763F3046" w14:textId="77777777" w:rsidR="002C6574" w:rsidRDefault="00000000">
            <w:pPr>
              <w:pStyle w:val="TableParagraph"/>
              <w:spacing w:line="212" w:lineRule="exact"/>
              <w:ind w:left="69"/>
              <w:jc w:val="left"/>
              <w:rPr>
                <w:sz w:val="18"/>
              </w:rPr>
            </w:pPr>
            <w:r>
              <w:rPr>
                <w:w w:val="105"/>
                <w:sz w:val="18"/>
              </w:rPr>
              <w:t>Despesas</w:t>
            </w:r>
            <w:r>
              <w:rPr>
                <w:spacing w:val="12"/>
                <w:w w:val="105"/>
                <w:sz w:val="18"/>
              </w:rPr>
              <w:t xml:space="preserve"> </w:t>
            </w:r>
            <w:r>
              <w:rPr>
                <w:w w:val="105"/>
                <w:sz w:val="18"/>
              </w:rPr>
              <w:t>Pagas</w:t>
            </w:r>
            <w:r>
              <w:rPr>
                <w:spacing w:val="18"/>
                <w:w w:val="105"/>
                <w:sz w:val="18"/>
              </w:rPr>
              <w:t xml:space="preserve"> </w:t>
            </w:r>
            <w:r>
              <w:rPr>
                <w:spacing w:val="-2"/>
                <w:w w:val="105"/>
                <w:sz w:val="18"/>
              </w:rPr>
              <w:t>Antecipadamente</w:t>
            </w:r>
          </w:p>
        </w:tc>
        <w:tc>
          <w:tcPr>
            <w:tcW w:w="1447" w:type="dxa"/>
          </w:tcPr>
          <w:p w14:paraId="712BF19A" w14:textId="77777777" w:rsidR="002C6574" w:rsidRDefault="00000000">
            <w:pPr>
              <w:pStyle w:val="TableParagraph"/>
              <w:spacing w:line="212" w:lineRule="exact"/>
              <w:ind w:right="57"/>
              <w:rPr>
                <w:sz w:val="18"/>
              </w:rPr>
            </w:pPr>
            <w:r>
              <w:rPr>
                <w:spacing w:val="-4"/>
                <w:w w:val="110"/>
                <w:sz w:val="18"/>
              </w:rPr>
              <w:t>7.700</w:t>
            </w:r>
          </w:p>
        </w:tc>
        <w:tc>
          <w:tcPr>
            <w:tcW w:w="1447" w:type="dxa"/>
          </w:tcPr>
          <w:p w14:paraId="3DE08AAB" w14:textId="77777777" w:rsidR="002C6574" w:rsidRDefault="00000000">
            <w:pPr>
              <w:pStyle w:val="TableParagraph"/>
              <w:spacing w:line="212" w:lineRule="exact"/>
              <w:ind w:right="59"/>
              <w:rPr>
                <w:sz w:val="18"/>
              </w:rPr>
            </w:pPr>
            <w:r>
              <w:rPr>
                <w:spacing w:val="-2"/>
                <w:w w:val="105"/>
                <w:sz w:val="18"/>
              </w:rPr>
              <w:t>10.738</w:t>
            </w:r>
          </w:p>
        </w:tc>
      </w:tr>
      <w:tr w:rsidR="002C6574" w14:paraId="7947881F" w14:textId="77777777">
        <w:trPr>
          <w:trHeight w:val="232"/>
        </w:trPr>
        <w:tc>
          <w:tcPr>
            <w:tcW w:w="6876" w:type="dxa"/>
          </w:tcPr>
          <w:p w14:paraId="0104EA63" w14:textId="77777777" w:rsidR="002C6574" w:rsidRDefault="00000000">
            <w:pPr>
              <w:pStyle w:val="TableParagraph"/>
              <w:spacing w:line="212" w:lineRule="exact"/>
              <w:ind w:left="69"/>
              <w:jc w:val="left"/>
              <w:rPr>
                <w:sz w:val="18"/>
              </w:rPr>
            </w:pPr>
            <w:r>
              <w:rPr>
                <w:sz w:val="18"/>
              </w:rPr>
              <w:t>Tributos</w:t>
            </w:r>
            <w:r>
              <w:rPr>
                <w:spacing w:val="13"/>
                <w:sz w:val="18"/>
              </w:rPr>
              <w:t xml:space="preserve"> </w:t>
            </w:r>
            <w:r>
              <w:rPr>
                <w:sz w:val="18"/>
              </w:rPr>
              <w:t>Retidos</w:t>
            </w:r>
            <w:r>
              <w:rPr>
                <w:spacing w:val="11"/>
                <w:sz w:val="18"/>
              </w:rPr>
              <w:t xml:space="preserve"> </w:t>
            </w:r>
            <w:r>
              <w:rPr>
                <w:sz w:val="18"/>
              </w:rPr>
              <w:t>e</w:t>
            </w:r>
            <w:r>
              <w:rPr>
                <w:spacing w:val="8"/>
                <w:sz w:val="18"/>
              </w:rPr>
              <w:t xml:space="preserve"> </w:t>
            </w:r>
            <w:r>
              <w:rPr>
                <w:sz w:val="18"/>
              </w:rPr>
              <w:t>Recolhidos</w:t>
            </w:r>
            <w:r>
              <w:rPr>
                <w:spacing w:val="8"/>
                <w:sz w:val="18"/>
              </w:rPr>
              <w:t xml:space="preserve"> </w:t>
            </w:r>
            <w:r>
              <w:rPr>
                <w:sz w:val="18"/>
              </w:rPr>
              <w:t>a</w:t>
            </w:r>
            <w:r>
              <w:rPr>
                <w:spacing w:val="8"/>
                <w:sz w:val="18"/>
              </w:rPr>
              <w:t xml:space="preserve"> </w:t>
            </w:r>
            <w:r>
              <w:rPr>
                <w:sz w:val="18"/>
              </w:rPr>
              <w:t>Recuperar</w:t>
            </w:r>
            <w:r>
              <w:rPr>
                <w:spacing w:val="7"/>
                <w:sz w:val="18"/>
              </w:rPr>
              <w:t xml:space="preserve"> </w:t>
            </w:r>
            <w:r>
              <w:rPr>
                <w:sz w:val="18"/>
              </w:rPr>
              <w:t>de</w:t>
            </w:r>
            <w:r>
              <w:rPr>
                <w:spacing w:val="12"/>
                <w:sz w:val="18"/>
              </w:rPr>
              <w:t xml:space="preserve"> </w:t>
            </w:r>
            <w:r>
              <w:rPr>
                <w:spacing w:val="-2"/>
                <w:sz w:val="18"/>
              </w:rPr>
              <w:t>Clientes</w:t>
            </w:r>
          </w:p>
        </w:tc>
        <w:tc>
          <w:tcPr>
            <w:tcW w:w="1447" w:type="dxa"/>
          </w:tcPr>
          <w:p w14:paraId="34A07E67" w14:textId="77777777" w:rsidR="002C6574" w:rsidRDefault="00000000">
            <w:pPr>
              <w:pStyle w:val="TableParagraph"/>
              <w:spacing w:line="212" w:lineRule="exact"/>
              <w:ind w:right="57"/>
              <w:rPr>
                <w:sz w:val="18"/>
              </w:rPr>
            </w:pPr>
            <w:r>
              <w:rPr>
                <w:spacing w:val="-4"/>
                <w:w w:val="110"/>
                <w:sz w:val="18"/>
              </w:rPr>
              <w:t>4.766</w:t>
            </w:r>
          </w:p>
        </w:tc>
        <w:tc>
          <w:tcPr>
            <w:tcW w:w="1447" w:type="dxa"/>
          </w:tcPr>
          <w:p w14:paraId="0C1E163B" w14:textId="77777777" w:rsidR="002C6574" w:rsidRDefault="00000000">
            <w:pPr>
              <w:pStyle w:val="TableParagraph"/>
              <w:spacing w:line="212" w:lineRule="exact"/>
              <w:ind w:right="57"/>
              <w:rPr>
                <w:sz w:val="18"/>
              </w:rPr>
            </w:pPr>
            <w:r>
              <w:rPr>
                <w:spacing w:val="-4"/>
                <w:w w:val="110"/>
                <w:sz w:val="18"/>
              </w:rPr>
              <w:t>3.159</w:t>
            </w:r>
          </w:p>
        </w:tc>
      </w:tr>
    </w:tbl>
    <w:p w14:paraId="483DF5AD" w14:textId="77777777" w:rsidR="002C6574" w:rsidRDefault="002C6574">
      <w:pPr>
        <w:pStyle w:val="TableParagraph"/>
        <w:spacing w:line="212" w:lineRule="exact"/>
        <w:rPr>
          <w:sz w:val="18"/>
        </w:rPr>
        <w:sectPr w:rsidR="002C6574">
          <w:pgSz w:w="11910" w:h="16840"/>
          <w:pgMar w:top="1600" w:right="141" w:bottom="1320" w:left="1133" w:header="856" w:footer="1123" w:gutter="0"/>
          <w:cols w:space="720"/>
        </w:sectPr>
      </w:pPr>
    </w:p>
    <w:p w14:paraId="0C06B901" w14:textId="77777777" w:rsidR="002C6574" w:rsidRDefault="002C6574">
      <w:pPr>
        <w:pStyle w:val="Corpodetexto"/>
        <w:spacing w:before="10"/>
        <w:rPr>
          <w:rFonts w:ascii="Arial"/>
          <w:b/>
          <w:sz w:val="19"/>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6"/>
        <w:gridCol w:w="1447"/>
        <w:gridCol w:w="1447"/>
      </w:tblGrid>
      <w:tr w:rsidR="002C6574" w14:paraId="671320EE" w14:textId="77777777">
        <w:trPr>
          <w:trHeight w:val="232"/>
        </w:trPr>
        <w:tc>
          <w:tcPr>
            <w:tcW w:w="6876" w:type="dxa"/>
            <w:shd w:val="clear" w:color="auto" w:fill="D8D8D8"/>
          </w:tcPr>
          <w:p w14:paraId="78F415F4" w14:textId="77777777" w:rsidR="002C6574" w:rsidRDefault="00000000">
            <w:pPr>
              <w:pStyle w:val="TableParagraph"/>
              <w:spacing w:before="13" w:line="199" w:lineRule="exact"/>
              <w:ind w:left="69"/>
              <w:jc w:val="left"/>
              <w:rPr>
                <w:rFonts w:ascii="Arial" w:hAnsi="Arial"/>
                <w:b/>
                <w:sz w:val="18"/>
              </w:rPr>
            </w:pPr>
            <w:r>
              <w:rPr>
                <w:rFonts w:ascii="Arial" w:hAnsi="Arial"/>
                <w:b/>
                <w:spacing w:val="-2"/>
                <w:sz w:val="18"/>
              </w:rPr>
              <w:t>Composição:</w:t>
            </w:r>
          </w:p>
        </w:tc>
        <w:tc>
          <w:tcPr>
            <w:tcW w:w="1447" w:type="dxa"/>
          </w:tcPr>
          <w:p w14:paraId="46FB337E" w14:textId="77777777" w:rsidR="002C6574" w:rsidRDefault="00000000">
            <w:pPr>
              <w:pStyle w:val="TableParagraph"/>
              <w:spacing w:before="13" w:line="199" w:lineRule="exact"/>
              <w:ind w:left="274"/>
              <w:jc w:val="left"/>
              <w:rPr>
                <w:rFonts w:ascii="Arial"/>
                <w:b/>
                <w:sz w:val="18"/>
              </w:rPr>
            </w:pPr>
            <w:r>
              <w:rPr>
                <w:rFonts w:ascii="Arial"/>
                <w:b/>
                <w:spacing w:val="-2"/>
                <w:sz w:val="18"/>
              </w:rPr>
              <w:t>31/12/2025</w:t>
            </w:r>
          </w:p>
        </w:tc>
        <w:tc>
          <w:tcPr>
            <w:tcW w:w="1447" w:type="dxa"/>
          </w:tcPr>
          <w:p w14:paraId="2DF33A5F" w14:textId="77777777" w:rsidR="002C6574" w:rsidRDefault="00000000">
            <w:pPr>
              <w:pStyle w:val="TableParagraph"/>
              <w:spacing w:before="13" w:line="199" w:lineRule="exact"/>
              <w:ind w:left="274"/>
              <w:jc w:val="left"/>
              <w:rPr>
                <w:rFonts w:ascii="Arial"/>
                <w:b/>
                <w:sz w:val="18"/>
              </w:rPr>
            </w:pPr>
            <w:r>
              <w:rPr>
                <w:rFonts w:ascii="Arial"/>
                <w:b/>
                <w:spacing w:val="-2"/>
                <w:sz w:val="18"/>
              </w:rPr>
              <w:t>31/12/2024</w:t>
            </w:r>
          </w:p>
        </w:tc>
      </w:tr>
      <w:tr w:rsidR="002C6574" w14:paraId="14412CA6" w14:textId="77777777">
        <w:trPr>
          <w:trHeight w:val="232"/>
        </w:trPr>
        <w:tc>
          <w:tcPr>
            <w:tcW w:w="6876" w:type="dxa"/>
          </w:tcPr>
          <w:p w14:paraId="63E3432B" w14:textId="77777777" w:rsidR="002C6574" w:rsidRDefault="00000000">
            <w:pPr>
              <w:pStyle w:val="TableParagraph"/>
              <w:spacing w:line="212" w:lineRule="exact"/>
              <w:ind w:left="69"/>
              <w:jc w:val="left"/>
              <w:rPr>
                <w:sz w:val="18"/>
              </w:rPr>
            </w:pPr>
            <w:r>
              <w:rPr>
                <w:w w:val="105"/>
                <w:sz w:val="18"/>
              </w:rPr>
              <w:t>Cauções</w:t>
            </w:r>
            <w:r>
              <w:rPr>
                <w:spacing w:val="4"/>
                <w:w w:val="105"/>
                <w:sz w:val="18"/>
              </w:rPr>
              <w:t xml:space="preserve"> </w:t>
            </w:r>
            <w:r>
              <w:rPr>
                <w:w w:val="105"/>
                <w:sz w:val="18"/>
              </w:rPr>
              <w:t>e</w:t>
            </w:r>
            <w:r>
              <w:rPr>
                <w:spacing w:val="1"/>
                <w:w w:val="105"/>
                <w:sz w:val="18"/>
              </w:rPr>
              <w:t xml:space="preserve"> </w:t>
            </w:r>
            <w:r>
              <w:rPr>
                <w:spacing w:val="-2"/>
                <w:w w:val="105"/>
                <w:sz w:val="18"/>
              </w:rPr>
              <w:t>Retenções</w:t>
            </w:r>
          </w:p>
        </w:tc>
        <w:tc>
          <w:tcPr>
            <w:tcW w:w="1447" w:type="dxa"/>
          </w:tcPr>
          <w:p w14:paraId="2094BA5D" w14:textId="77777777" w:rsidR="002C6574" w:rsidRDefault="00000000">
            <w:pPr>
              <w:pStyle w:val="TableParagraph"/>
              <w:spacing w:line="212" w:lineRule="exact"/>
              <w:ind w:right="57"/>
              <w:rPr>
                <w:sz w:val="18"/>
              </w:rPr>
            </w:pPr>
            <w:r>
              <w:rPr>
                <w:spacing w:val="-4"/>
                <w:w w:val="110"/>
                <w:sz w:val="18"/>
              </w:rPr>
              <w:t>2.740</w:t>
            </w:r>
          </w:p>
        </w:tc>
        <w:tc>
          <w:tcPr>
            <w:tcW w:w="1447" w:type="dxa"/>
          </w:tcPr>
          <w:p w14:paraId="04BE514A" w14:textId="77777777" w:rsidR="002C6574" w:rsidRDefault="00000000">
            <w:pPr>
              <w:pStyle w:val="TableParagraph"/>
              <w:spacing w:line="212" w:lineRule="exact"/>
              <w:ind w:right="57"/>
              <w:rPr>
                <w:sz w:val="18"/>
              </w:rPr>
            </w:pPr>
            <w:r>
              <w:rPr>
                <w:spacing w:val="-4"/>
                <w:w w:val="110"/>
                <w:sz w:val="18"/>
              </w:rPr>
              <w:t>1.009</w:t>
            </w:r>
          </w:p>
        </w:tc>
      </w:tr>
      <w:tr w:rsidR="002C6574" w14:paraId="6C80370A" w14:textId="77777777">
        <w:trPr>
          <w:trHeight w:val="232"/>
        </w:trPr>
        <w:tc>
          <w:tcPr>
            <w:tcW w:w="6876" w:type="dxa"/>
          </w:tcPr>
          <w:p w14:paraId="235A8897" w14:textId="77777777" w:rsidR="002C6574" w:rsidRDefault="00000000">
            <w:pPr>
              <w:pStyle w:val="TableParagraph"/>
              <w:spacing w:line="212" w:lineRule="exact"/>
              <w:ind w:left="69"/>
              <w:jc w:val="left"/>
              <w:rPr>
                <w:sz w:val="18"/>
              </w:rPr>
            </w:pPr>
            <w:r>
              <w:rPr>
                <w:sz w:val="18"/>
              </w:rPr>
              <w:t>Adiantamento</w:t>
            </w:r>
            <w:r>
              <w:rPr>
                <w:spacing w:val="-9"/>
                <w:sz w:val="18"/>
              </w:rPr>
              <w:t xml:space="preserve"> </w:t>
            </w:r>
            <w:r>
              <w:rPr>
                <w:sz w:val="18"/>
              </w:rPr>
              <w:t>a</w:t>
            </w:r>
            <w:r>
              <w:rPr>
                <w:spacing w:val="-8"/>
                <w:sz w:val="18"/>
              </w:rPr>
              <w:t xml:space="preserve"> </w:t>
            </w:r>
            <w:r>
              <w:rPr>
                <w:spacing w:val="-2"/>
                <w:sz w:val="18"/>
              </w:rPr>
              <w:t>Empregados</w:t>
            </w:r>
          </w:p>
        </w:tc>
        <w:tc>
          <w:tcPr>
            <w:tcW w:w="1447" w:type="dxa"/>
          </w:tcPr>
          <w:p w14:paraId="6336C9BE" w14:textId="77777777" w:rsidR="002C6574" w:rsidRDefault="00000000">
            <w:pPr>
              <w:pStyle w:val="TableParagraph"/>
              <w:spacing w:line="212" w:lineRule="exact"/>
              <w:ind w:right="58"/>
              <w:rPr>
                <w:sz w:val="18"/>
              </w:rPr>
            </w:pPr>
            <w:r>
              <w:rPr>
                <w:spacing w:val="-2"/>
                <w:w w:val="110"/>
                <w:sz w:val="18"/>
              </w:rPr>
              <w:t>1.873</w:t>
            </w:r>
          </w:p>
        </w:tc>
        <w:tc>
          <w:tcPr>
            <w:tcW w:w="1447" w:type="dxa"/>
          </w:tcPr>
          <w:p w14:paraId="47E66367" w14:textId="77777777" w:rsidR="002C6574" w:rsidRDefault="00000000">
            <w:pPr>
              <w:pStyle w:val="TableParagraph"/>
              <w:spacing w:line="212" w:lineRule="exact"/>
              <w:ind w:right="57"/>
              <w:rPr>
                <w:sz w:val="18"/>
              </w:rPr>
            </w:pPr>
            <w:r>
              <w:rPr>
                <w:spacing w:val="-4"/>
                <w:w w:val="110"/>
                <w:sz w:val="18"/>
              </w:rPr>
              <w:t>1.792</w:t>
            </w:r>
          </w:p>
        </w:tc>
      </w:tr>
      <w:tr w:rsidR="002C6574" w14:paraId="6722423C" w14:textId="77777777">
        <w:trPr>
          <w:trHeight w:val="232"/>
        </w:trPr>
        <w:tc>
          <w:tcPr>
            <w:tcW w:w="6876" w:type="dxa"/>
          </w:tcPr>
          <w:p w14:paraId="0DCC658F" w14:textId="77777777" w:rsidR="002C6574" w:rsidRDefault="00000000">
            <w:pPr>
              <w:pStyle w:val="TableParagraph"/>
              <w:spacing w:line="212" w:lineRule="exact"/>
              <w:ind w:left="69"/>
              <w:jc w:val="left"/>
              <w:rPr>
                <w:sz w:val="18"/>
              </w:rPr>
            </w:pPr>
            <w:r>
              <w:rPr>
                <w:w w:val="105"/>
                <w:sz w:val="18"/>
              </w:rPr>
              <w:t>Glosas</w:t>
            </w:r>
            <w:r>
              <w:rPr>
                <w:spacing w:val="-6"/>
                <w:w w:val="105"/>
                <w:sz w:val="18"/>
              </w:rPr>
              <w:t xml:space="preserve"> </w:t>
            </w:r>
            <w:r>
              <w:rPr>
                <w:w w:val="105"/>
                <w:sz w:val="18"/>
              </w:rPr>
              <w:t>sobre</w:t>
            </w:r>
            <w:r>
              <w:rPr>
                <w:spacing w:val="-7"/>
                <w:w w:val="105"/>
                <w:sz w:val="18"/>
              </w:rPr>
              <w:t xml:space="preserve"> </w:t>
            </w:r>
            <w:r>
              <w:rPr>
                <w:w w:val="105"/>
                <w:sz w:val="18"/>
              </w:rPr>
              <w:t>Serviços</w:t>
            </w:r>
            <w:r>
              <w:rPr>
                <w:spacing w:val="-6"/>
                <w:w w:val="105"/>
                <w:sz w:val="18"/>
              </w:rPr>
              <w:t xml:space="preserve"> </w:t>
            </w:r>
            <w:r>
              <w:rPr>
                <w:w w:val="105"/>
                <w:sz w:val="18"/>
              </w:rPr>
              <w:t>a</w:t>
            </w:r>
            <w:r>
              <w:rPr>
                <w:spacing w:val="-3"/>
                <w:w w:val="105"/>
                <w:sz w:val="18"/>
              </w:rPr>
              <w:t xml:space="preserve"> </w:t>
            </w:r>
            <w:r>
              <w:rPr>
                <w:w w:val="105"/>
                <w:sz w:val="18"/>
              </w:rPr>
              <w:t>Recuperar</w:t>
            </w:r>
            <w:r>
              <w:rPr>
                <w:spacing w:val="-6"/>
                <w:w w:val="105"/>
                <w:sz w:val="18"/>
              </w:rPr>
              <w:t xml:space="preserve"> </w:t>
            </w:r>
            <w:r>
              <w:rPr>
                <w:w w:val="105"/>
                <w:sz w:val="18"/>
              </w:rPr>
              <w:t>de</w:t>
            </w:r>
            <w:r>
              <w:rPr>
                <w:spacing w:val="-6"/>
                <w:w w:val="105"/>
                <w:sz w:val="18"/>
              </w:rPr>
              <w:t xml:space="preserve"> </w:t>
            </w:r>
            <w:r>
              <w:rPr>
                <w:spacing w:val="-2"/>
                <w:w w:val="105"/>
                <w:sz w:val="18"/>
              </w:rPr>
              <w:t>Clientes</w:t>
            </w:r>
          </w:p>
        </w:tc>
        <w:tc>
          <w:tcPr>
            <w:tcW w:w="1447" w:type="dxa"/>
          </w:tcPr>
          <w:p w14:paraId="7560DA37" w14:textId="77777777" w:rsidR="002C6574" w:rsidRDefault="00000000">
            <w:pPr>
              <w:pStyle w:val="TableParagraph"/>
              <w:spacing w:line="212" w:lineRule="exact"/>
              <w:ind w:right="57"/>
              <w:rPr>
                <w:sz w:val="18"/>
              </w:rPr>
            </w:pPr>
            <w:r>
              <w:rPr>
                <w:spacing w:val="-5"/>
                <w:w w:val="105"/>
                <w:sz w:val="18"/>
              </w:rPr>
              <w:t>940</w:t>
            </w:r>
          </w:p>
        </w:tc>
        <w:tc>
          <w:tcPr>
            <w:tcW w:w="1447" w:type="dxa"/>
          </w:tcPr>
          <w:p w14:paraId="1FA063D2" w14:textId="77777777" w:rsidR="002C6574" w:rsidRDefault="00000000">
            <w:pPr>
              <w:pStyle w:val="TableParagraph"/>
              <w:spacing w:line="212" w:lineRule="exact"/>
              <w:ind w:right="57"/>
              <w:rPr>
                <w:sz w:val="18"/>
              </w:rPr>
            </w:pPr>
            <w:r>
              <w:rPr>
                <w:spacing w:val="-5"/>
                <w:w w:val="105"/>
                <w:sz w:val="18"/>
              </w:rPr>
              <w:t>940</w:t>
            </w:r>
          </w:p>
        </w:tc>
      </w:tr>
      <w:tr w:rsidR="002C6574" w14:paraId="0990E3B2" w14:textId="77777777">
        <w:trPr>
          <w:trHeight w:val="230"/>
        </w:trPr>
        <w:tc>
          <w:tcPr>
            <w:tcW w:w="6876" w:type="dxa"/>
          </w:tcPr>
          <w:p w14:paraId="2853D48F" w14:textId="77777777" w:rsidR="002C6574" w:rsidRDefault="00000000">
            <w:pPr>
              <w:pStyle w:val="TableParagraph"/>
              <w:spacing w:line="210" w:lineRule="exact"/>
              <w:ind w:left="69"/>
              <w:jc w:val="left"/>
              <w:rPr>
                <w:sz w:val="18"/>
              </w:rPr>
            </w:pPr>
            <w:r>
              <w:rPr>
                <w:spacing w:val="-2"/>
                <w:sz w:val="18"/>
              </w:rPr>
              <w:t>Outros</w:t>
            </w:r>
          </w:p>
        </w:tc>
        <w:tc>
          <w:tcPr>
            <w:tcW w:w="1447" w:type="dxa"/>
          </w:tcPr>
          <w:p w14:paraId="330E46D8" w14:textId="77777777" w:rsidR="002C6574" w:rsidRDefault="00000000">
            <w:pPr>
              <w:pStyle w:val="TableParagraph"/>
              <w:spacing w:line="210" w:lineRule="exact"/>
              <w:ind w:right="57"/>
              <w:rPr>
                <w:sz w:val="18"/>
              </w:rPr>
            </w:pPr>
            <w:r>
              <w:rPr>
                <w:spacing w:val="-5"/>
                <w:w w:val="105"/>
                <w:sz w:val="18"/>
              </w:rPr>
              <w:t>63</w:t>
            </w:r>
          </w:p>
        </w:tc>
        <w:tc>
          <w:tcPr>
            <w:tcW w:w="1447" w:type="dxa"/>
          </w:tcPr>
          <w:p w14:paraId="45C09E97" w14:textId="77777777" w:rsidR="002C6574" w:rsidRDefault="00000000">
            <w:pPr>
              <w:pStyle w:val="TableParagraph"/>
              <w:spacing w:line="210" w:lineRule="exact"/>
              <w:ind w:right="58"/>
              <w:rPr>
                <w:sz w:val="18"/>
              </w:rPr>
            </w:pPr>
            <w:r>
              <w:rPr>
                <w:spacing w:val="-5"/>
                <w:w w:val="105"/>
                <w:sz w:val="18"/>
              </w:rPr>
              <w:t>34</w:t>
            </w:r>
          </w:p>
        </w:tc>
      </w:tr>
      <w:tr w:rsidR="002C6574" w14:paraId="626504C7" w14:textId="77777777">
        <w:trPr>
          <w:trHeight w:val="232"/>
        </w:trPr>
        <w:tc>
          <w:tcPr>
            <w:tcW w:w="6876" w:type="dxa"/>
          </w:tcPr>
          <w:p w14:paraId="167BD92A" w14:textId="77777777" w:rsidR="002C6574" w:rsidRDefault="00000000">
            <w:pPr>
              <w:pStyle w:val="TableParagraph"/>
              <w:spacing w:line="212" w:lineRule="exact"/>
              <w:ind w:left="69"/>
              <w:jc w:val="left"/>
              <w:rPr>
                <w:sz w:val="18"/>
              </w:rPr>
            </w:pPr>
            <w:r>
              <w:rPr>
                <w:sz w:val="18"/>
              </w:rPr>
              <w:t>Estoques</w:t>
            </w:r>
            <w:r>
              <w:rPr>
                <w:spacing w:val="8"/>
                <w:sz w:val="18"/>
              </w:rPr>
              <w:t xml:space="preserve"> </w:t>
            </w:r>
            <w:r>
              <w:rPr>
                <w:sz w:val="18"/>
              </w:rPr>
              <w:t>de</w:t>
            </w:r>
            <w:r>
              <w:rPr>
                <w:spacing w:val="6"/>
                <w:sz w:val="18"/>
              </w:rPr>
              <w:t xml:space="preserve"> </w:t>
            </w:r>
            <w:r>
              <w:rPr>
                <w:sz w:val="18"/>
              </w:rPr>
              <w:t>Materiais</w:t>
            </w:r>
            <w:r>
              <w:rPr>
                <w:spacing w:val="8"/>
                <w:sz w:val="18"/>
              </w:rPr>
              <w:t xml:space="preserve"> </w:t>
            </w:r>
            <w:r>
              <w:rPr>
                <w:sz w:val="18"/>
              </w:rPr>
              <w:t>de</w:t>
            </w:r>
            <w:r>
              <w:rPr>
                <w:spacing w:val="7"/>
                <w:sz w:val="18"/>
              </w:rPr>
              <w:t xml:space="preserve"> </w:t>
            </w:r>
            <w:r>
              <w:rPr>
                <w:spacing w:val="-2"/>
                <w:sz w:val="18"/>
              </w:rPr>
              <w:t>Consumo</w:t>
            </w:r>
          </w:p>
        </w:tc>
        <w:tc>
          <w:tcPr>
            <w:tcW w:w="1447" w:type="dxa"/>
          </w:tcPr>
          <w:p w14:paraId="2846EE43" w14:textId="77777777" w:rsidR="002C6574" w:rsidRDefault="00000000">
            <w:pPr>
              <w:pStyle w:val="TableParagraph"/>
              <w:spacing w:line="212" w:lineRule="exact"/>
              <w:ind w:right="58"/>
              <w:rPr>
                <w:sz w:val="18"/>
              </w:rPr>
            </w:pPr>
            <w:r>
              <w:rPr>
                <w:spacing w:val="-5"/>
                <w:w w:val="105"/>
                <w:sz w:val="18"/>
              </w:rPr>
              <w:t>40</w:t>
            </w:r>
          </w:p>
        </w:tc>
        <w:tc>
          <w:tcPr>
            <w:tcW w:w="1447" w:type="dxa"/>
          </w:tcPr>
          <w:p w14:paraId="442F3730" w14:textId="77777777" w:rsidR="002C6574" w:rsidRDefault="00000000">
            <w:pPr>
              <w:pStyle w:val="TableParagraph"/>
              <w:spacing w:line="212" w:lineRule="exact"/>
              <w:ind w:right="58"/>
              <w:rPr>
                <w:sz w:val="18"/>
              </w:rPr>
            </w:pPr>
            <w:r>
              <w:rPr>
                <w:spacing w:val="-5"/>
                <w:w w:val="105"/>
                <w:sz w:val="18"/>
              </w:rPr>
              <w:t>45</w:t>
            </w:r>
          </w:p>
        </w:tc>
      </w:tr>
      <w:tr w:rsidR="002C6574" w14:paraId="2A242C49" w14:textId="77777777">
        <w:trPr>
          <w:trHeight w:val="232"/>
        </w:trPr>
        <w:tc>
          <w:tcPr>
            <w:tcW w:w="6876" w:type="dxa"/>
          </w:tcPr>
          <w:p w14:paraId="5875260D" w14:textId="77777777" w:rsidR="002C6574" w:rsidRDefault="00000000">
            <w:pPr>
              <w:pStyle w:val="TableParagraph"/>
              <w:spacing w:line="212" w:lineRule="exact"/>
              <w:ind w:left="69"/>
              <w:jc w:val="left"/>
              <w:rPr>
                <w:sz w:val="18"/>
              </w:rPr>
            </w:pPr>
            <w:r>
              <w:rPr>
                <w:w w:val="105"/>
                <w:sz w:val="18"/>
              </w:rPr>
              <w:t>Provisão</w:t>
            </w:r>
            <w:r>
              <w:rPr>
                <w:spacing w:val="-11"/>
                <w:w w:val="105"/>
                <w:sz w:val="18"/>
              </w:rPr>
              <w:t xml:space="preserve"> </w:t>
            </w:r>
            <w:r>
              <w:rPr>
                <w:w w:val="105"/>
                <w:sz w:val="18"/>
              </w:rPr>
              <w:t>para</w:t>
            </w:r>
            <w:r>
              <w:rPr>
                <w:spacing w:val="-11"/>
                <w:w w:val="105"/>
                <w:sz w:val="18"/>
              </w:rPr>
              <w:t xml:space="preserve"> </w:t>
            </w:r>
            <w:r>
              <w:rPr>
                <w:w w:val="105"/>
                <w:sz w:val="18"/>
              </w:rPr>
              <w:t>Perdas</w:t>
            </w:r>
            <w:r>
              <w:rPr>
                <w:spacing w:val="-10"/>
                <w:w w:val="105"/>
                <w:sz w:val="18"/>
              </w:rPr>
              <w:t xml:space="preserve"> </w:t>
            </w:r>
            <w:r>
              <w:rPr>
                <w:w w:val="105"/>
                <w:sz w:val="18"/>
              </w:rPr>
              <w:t>sobre</w:t>
            </w:r>
            <w:r>
              <w:rPr>
                <w:spacing w:val="-10"/>
                <w:w w:val="105"/>
                <w:sz w:val="18"/>
              </w:rPr>
              <w:t xml:space="preserve"> </w:t>
            </w:r>
            <w:r>
              <w:rPr>
                <w:spacing w:val="-2"/>
                <w:w w:val="105"/>
                <w:sz w:val="18"/>
              </w:rPr>
              <w:t>Glosas</w:t>
            </w:r>
          </w:p>
        </w:tc>
        <w:tc>
          <w:tcPr>
            <w:tcW w:w="1447" w:type="dxa"/>
          </w:tcPr>
          <w:p w14:paraId="21419FCF" w14:textId="77777777" w:rsidR="002C6574" w:rsidRDefault="00000000">
            <w:pPr>
              <w:pStyle w:val="TableParagraph"/>
              <w:spacing w:line="212" w:lineRule="exact"/>
              <w:ind w:right="54"/>
              <w:rPr>
                <w:sz w:val="18"/>
              </w:rPr>
            </w:pPr>
            <w:r>
              <w:rPr>
                <w:spacing w:val="-2"/>
                <w:w w:val="105"/>
                <w:sz w:val="18"/>
              </w:rPr>
              <w:t>(940)</w:t>
            </w:r>
          </w:p>
        </w:tc>
        <w:tc>
          <w:tcPr>
            <w:tcW w:w="1447" w:type="dxa"/>
          </w:tcPr>
          <w:p w14:paraId="6D9C8EEE" w14:textId="77777777" w:rsidR="002C6574" w:rsidRDefault="00000000">
            <w:pPr>
              <w:pStyle w:val="TableParagraph"/>
              <w:spacing w:line="212" w:lineRule="exact"/>
              <w:ind w:right="54"/>
              <w:rPr>
                <w:sz w:val="18"/>
              </w:rPr>
            </w:pPr>
            <w:r>
              <w:rPr>
                <w:spacing w:val="-2"/>
                <w:w w:val="105"/>
                <w:sz w:val="18"/>
              </w:rPr>
              <w:t>(849)</w:t>
            </w:r>
          </w:p>
        </w:tc>
      </w:tr>
      <w:tr w:rsidR="002C6574" w14:paraId="7098FB52" w14:textId="77777777">
        <w:trPr>
          <w:trHeight w:val="232"/>
        </w:trPr>
        <w:tc>
          <w:tcPr>
            <w:tcW w:w="6876" w:type="dxa"/>
          </w:tcPr>
          <w:p w14:paraId="48C3AEAE" w14:textId="77777777" w:rsidR="002C6574" w:rsidRDefault="00000000">
            <w:pPr>
              <w:pStyle w:val="TableParagraph"/>
              <w:spacing w:before="11" w:line="201" w:lineRule="exact"/>
              <w:ind w:left="69"/>
              <w:jc w:val="left"/>
              <w:rPr>
                <w:rFonts w:ascii="Arial"/>
                <w:b/>
                <w:sz w:val="18"/>
              </w:rPr>
            </w:pPr>
            <w:r>
              <w:rPr>
                <w:rFonts w:ascii="Arial"/>
                <w:b/>
                <w:spacing w:val="-2"/>
                <w:sz w:val="18"/>
              </w:rPr>
              <w:t>Total</w:t>
            </w:r>
          </w:p>
        </w:tc>
        <w:tc>
          <w:tcPr>
            <w:tcW w:w="1447" w:type="dxa"/>
          </w:tcPr>
          <w:p w14:paraId="161131F7" w14:textId="77777777" w:rsidR="002C6574" w:rsidRDefault="00000000">
            <w:pPr>
              <w:pStyle w:val="TableParagraph"/>
              <w:spacing w:before="11" w:line="201" w:lineRule="exact"/>
              <w:ind w:right="58"/>
              <w:rPr>
                <w:rFonts w:ascii="Arial"/>
                <w:b/>
                <w:sz w:val="18"/>
              </w:rPr>
            </w:pPr>
            <w:r>
              <w:rPr>
                <w:rFonts w:ascii="Arial"/>
                <w:b/>
                <w:spacing w:val="-2"/>
                <w:sz w:val="18"/>
              </w:rPr>
              <w:t>30.162</w:t>
            </w:r>
          </w:p>
        </w:tc>
        <w:tc>
          <w:tcPr>
            <w:tcW w:w="1447" w:type="dxa"/>
          </w:tcPr>
          <w:p w14:paraId="2CB681A9" w14:textId="77777777" w:rsidR="002C6574" w:rsidRDefault="00000000">
            <w:pPr>
              <w:pStyle w:val="TableParagraph"/>
              <w:spacing w:before="11" w:line="201" w:lineRule="exact"/>
              <w:ind w:right="59"/>
              <w:rPr>
                <w:rFonts w:ascii="Arial"/>
                <w:b/>
                <w:sz w:val="18"/>
              </w:rPr>
            </w:pPr>
            <w:r>
              <w:rPr>
                <w:rFonts w:ascii="Arial"/>
                <w:b/>
                <w:spacing w:val="-2"/>
                <w:sz w:val="18"/>
              </w:rPr>
              <w:t>35.562</w:t>
            </w:r>
          </w:p>
        </w:tc>
      </w:tr>
      <w:tr w:rsidR="002C6574" w14:paraId="6D22CD24" w14:textId="77777777">
        <w:trPr>
          <w:trHeight w:val="232"/>
        </w:trPr>
        <w:tc>
          <w:tcPr>
            <w:tcW w:w="6876" w:type="dxa"/>
          </w:tcPr>
          <w:p w14:paraId="37EE6B35" w14:textId="77777777" w:rsidR="002C6574" w:rsidRDefault="00000000">
            <w:pPr>
              <w:pStyle w:val="TableParagraph"/>
              <w:spacing w:before="11" w:line="201" w:lineRule="exact"/>
              <w:ind w:left="69"/>
              <w:jc w:val="left"/>
              <w:rPr>
                <w:rFonts w:ascii="Arial"/>
                <w:b/>
                <w:sz w:val="18"/>
              </w:rPr>
            </w:pPr>
            <w:r>
              <w:rPr>
                <w:rFonts w:ascii="Arial"/>
                <w:b/>
                <w:spacing w:val="-2"/>
                <w:sz w:val="18"/>
              </w:rPr>
              <w:t>Circulante</w:t>
            </w:r>
          </w:p>
        </w:tc>
        <w:tc>
          <w:tcPr>
            <w:tcW w:w="1447" w:type="dxa"/>
          </w:tcPr>
          <w:p w14:paraId="509391D1" w14:textId="77777777" w:rsidR="002C6574" w:rsidRDefault="00000000">
            <w:pPr>
              <w:pStyle w:val="TableParagraph"/>
              <w:spacing w:before="11" w:line="201" w:lineRule="exact"/>
              <w:ind w:right="58"/>
              <w:rPr>
                <w:rFonts w:ascii="Arial"/>
                <w:b/>
                <w:sz w:val="18"/>
              </w:rPr>
            </w:pPr>
            <w:r>
              <w:rPr>
                <w:rFonts w:ascii="Arial"/>
                <w:b/>
                <w:spacing w:val="-2"/>
                <w:sz w:val="18"/>
              </w:rPr>
              <w:t>23.495</w:t>
            </w:r>
          </w:p>
        </w:tc>
        <w:tc>
          <w:tcPr>
            <w:tcW w:w="1447" w:type="dxa"/>
          </w:tcPr>
          <w:p w14:paraId="484DD64B" w14:textId="77777777" w:rsidR="002C6574" w:rsidRDefault="00000000">
            <w:pPr>
              <w:pStyle w:val="TableParagraph"/>
              <w:spacing w:before="11" w:line="201" w:lineRule="exact"/>
              <w:ind w:right="59"/>
              <w:rPr>
                <w:rFonts w:ascii="Arial"/>
                <w:b/>
                <w:sz w:val="18"/>
              </w:rPr>
            </w:pPr>
            <w:r>
              <w:rPr>
                <w:rFonts w:ascii="Arial"/>
                <w:b/>
                <w:spacing w:val="-2"/>
                <w:sz w:val="18"/>
              </w:rPr>
              <w:t>23.181</w:t>
            </w:r>
          </w:p>
        </w:tc>
      </w:tr>
      <w:tr w:rsidR="002C6574" w14:paraId="3CA9D27E" w14:textId="77777777">
        <w:trPr>
          <w:trHeight w:val="232"/>
        </w:trPr>
        <w:tc>
          <w:tcPr>
            <w:tcW w:w="6876" w:type="dxa"/>
          </w:tcPr>
          <w:p w14:paraId="6B24CC5F" w14:textId="77777777" w:rsidR="002C6574" w:rsidRDefault="00000000">
            <w:pPr>
              <w:pStyle w:val="TableParagraph"/>
              <w:spacing w:before="11" w:line="201" w:lineRule="exact"/>
              <w:ind w:left="69"/>
              <w:jc w:val="left"/>
              <w:rPr>
                <w:rFonts w:ascii="Arial" w:hAnsi="Arial"/>
                <w:b/>
                <w:sz w:val="18"/>
              </w:rPr>
            </w:pPr>
            <w:r>
              <w:rPr>
                <w:rFonts w:ascii="Arial" w:hAnsi="Arial"/>
                <w:b/>
                <w:sz w:val="18"/>
              </w:rPr>
              <w:t xml:space="preserve">Não </w:t>
            </w:r>
            <w:r>
              <w:rPr>
                <w:rFonts w:ascii="Arial" w:hAnsi="Arial"/>
                <w:b/>
                <w:spacing w:val="-2"/>
                <w:sz w:val="18"/>
              </w:rPr>
              <w:t>Circulante</w:t>
            </w:r>
          </w:p>
        </w:tc>
        <w:tc>
          <w:tcPr>
            <w:tcW w:w="1447" w:type="dxa"/>
          </w:tcPr>
          <w:p w14:paraId="7DC140BC" w14:textId="77777777" w:rsidR="002C6574" w:rsidRDefault="00000000">
            <w:pPr>
              <w:pStyle w:val="TableParagraph"/>
              <w:spacing w:before="11" w:line="201" w:lineRule="exact"/>
              <w:ind w:right="57"/>
              <w:rPr>
                <w:rFonts w:ascii="Arial"/>
                <w:b/>
                <w:sz w:val="18"/>
              </w:rPr>
            </w:pPr>
            <w:r>
              <w:rPr>
                <w:rFonts w:ascii="Arial"/>
                <w:b/>
                <w:spacing w:val="-2"/>
                <w:sz w:val="18"/>
              </w:rPr>
              <w:t>6.667</w:t>
            </w:r>
          </w:p>
        </w:tc>
        <w:tc>
          <w:tcPr>
            <w:tcW w:w="1447" w:type="dxa"/>
          </w:tcPr>
          <w:p w14:paraId="79DD5F9C" w14:textId="77777777" w:rsidR="002C6574" w:rsidRDefault="00000000">
            <w:pPr>
              <w:pStyle w:val="TableParagraph"/>
              <w:spacing w:before="11" w:line="201" w:lineRule="exact"/>
              <w:ind w:right="59"/>
              <w:rPr>
                <w:rFonts w:ascii="Arial"/>
                <w:b/>
                <w:sz w:val="18"/>
              </w:rPr>
            </w:pPr>
            <w:r>
              <w:rPr>
                <w:rFonts w:ascii="Arial"/>
                <w:b/>
                <w:spacing w:val="-2"/>
                <w:sz w:val="18"/>
              </w:rPr>
              <w:t>12.381</w:t>
            </w:r>
          </w:p>
        </w:tc>
      </w:tr>
    </w:tbl>
    <w:p w14:paraId="59FCF820" w14:textId="77777777" w:rsidR="002C6574" w:rsidRDefault="00000000">
      <w:pPr>
        <w:pStyle w:val="Corpodetexto"/>
        <w:spacing w:before="248" w:line="237" w:lineRule="auto"/>
        <w:ind w:left="143" w:right="703"/>
        <w:jc w:val="both"/>
      </w:pPr>
      <w:r>
        <w:rPr>
          <w:sz w:val="24"/>
        </w:rPr>
        <w:t xml:space="preserve">(i) </w:t>
      </w:r>
      <w:r>
        <w:t>Inclui o valor de R$ 12.380 (R$ 18.095 em 31 de dezembro de 2024) correspondente ao adiantamento realizado à empresa Viasat Brasil Serviços de Comunicação Ltda (subsidiária da Viasat Inc.), cujo objetivo foi o de acelerar o início da prestação dos serviços em banda larga, conforme acordo contratual firmado entre a Telebras e a Viasat.</w:t>
      </w:r>
    </w:p>
    <w:p w14:paraId="58C7C0FC" w14:textId="77777777" w:rsidR="002C6574" w:rsidRDefault="002C6574">
      <w:pPr>
        <w:pStyle w:val="Corpodetexto"/>
        <w:spacing w:before="19"/>
      </w:pPr>
    </w:p>
    <w:p w14:paraId="024369D4" w14:textId="77777777" w:rsidR="002C6574" w:rsidRDefault="00000000">
      <w:pPr>
        <w:numPr>
          <w:ilvl w:val="0"/>
          <w:numId w:val="54"/>
        </w:numPr>
        <w:tabs>
          <w:tab w:val="left" w:pos="993"/>
        </w:tabs>
        <w:spacing w:before="1"/>
        <w:ind w:left="993" w:hanging="850"/>
        <w:jc w:val="both"/>
        <w:rPr>
          <w:rFonts w:ascii="Arial"/>
          <w:b/>
        </w:rPr>
      </w:pPr>
      <w:r>
        <w:rPr>
          <w:rFonts w:ascii="Arial"/>
          <w:b/>
        </w:rPr>
        <w:t>DIVIDENDOS</w:t>
      </w:r>
      <w:r>
        <w:rPr>
          <w:rFonts w:ascii="Arial"/>
          <w:b/>
          <w:spacing w:val="-6"/>
        </w:rPr>
        <w:t xml:space="preserve"> </w:t>
      </w:r>
      <w:r>
        <w:rPr>
          <w:rFonts w:ascii="Arial"/>
          <w:b/>
        </w:rPr>
        <w:t xml:space="preserve">A </w:t>
      </w:r>
      <w:r>
        <w:rPr>
          <w:rFonts w:ascii="Arial"/>
          <w:b/>
          <w:spacing w:val="-2"/>
        </w:rPr>
        <w:t>RECEBER</w:t>
      </w:r>
    </w:p>
    <w:p w14:paraId="6F3F9B2B" w14:textId="77777777" w:rsidR="002C6574" w:rsidRDefault="002C6574">
      <w:pPr>
        <w:pStyle w:val="Corpodetexto"/>
        <w:spacing w:before="72"/>
        <w:rPr>
          <w:rFonts w:ascii="Arial"/>
          <w:b/>
        </w:rPr>
      </w:pPr>
    </w:p>
    <w:p w14:paraId="7630A074" w14:textId="77777777" w:rsidR="002C6574" w:rsidRDefault="00000000">
      <w:pPr>
        <w:pStyle w:val="Corpodetexto"/>
        <w:spacing w:line="237" w:lineRule="auto"/>
        <w:ind w:left="143" w:right="702"/>
        <w:jc w:val="both"/>
      </w:pPr>
      <w:r>
        <w:t>Em dezembro de 2025, a Companhia realizou um encontro de contas com sua coligada Visiona Tecnologia Espacial S.A., envolvendo o crédito de dividendos a receber e os débitos referentes às obrigações relacionadas à contratação de garantia estendida de equipamentos satelitais junto à referida investida. Como resultado dessa operação, houve a baixa do ativo correspondente aos dividendos registrados e a quitação parcial da obrigação vinculada à garantia estendida.</w:t>
      </w:r>
    </w:p>
    <w:p w14:paraId="42887F32" w14:textId="77777777" w:rsidR="002C6574" w:rsidRDefault="002C6574">
      <w:pPr>
        <w:pStyle w:val="Corpodetexto"/>
        <w:spacing w:before="32"/>
      </w:pPr>
    </w:p>
    <w:p w14:paraId="09848127" w14:textId="77777777" w:rsidR="002C6574" w:rsidRDefault="00000000">
      <w:pPr>
        <w:numPr>
          <w:ilvl w:val="0"/>
          <w:numId w:val="54"/>
        </w:numPr>
        <w:tabs>
          <w:tab w:val="left" w:pos="993"/>
        </w:tabs>
        <w:spacing w:before="1"/>
        <w:ind w:left="993" w:hanging="850"/>
        <w:jc w:val="both"/>
        <w:rPr>
          <w:rFonts w:ascii="Arial" w:hAnsi="Arial"/>
          <w:b/>
        </w:rPr>
      </w:pPr>
      <w:r>
        <w:rPr>
          <w:rFonts w:ascii="Arial" w:hAnsi="Arial"/>
          <w:b/>
        </w:rPr>
        <w:t>APLICAÇÕES</w:t>
      </w:r>
      <w:r>
        <w:rPr>
          <w:rFonts w:ascii="Arial" w:hAnsi="Arial"/>
          <w:b/>
          <w:spacing w:val="-7"/>
        </w:rPr>
        <w:t xml:space="preserve"> </w:t>
      </w:r>
      <w:r>
        <w:rPr>
          <w:rFonts w:ascii="Arial" w:hAnsi="Arial"/>
          <w:b/>
          <w:spacing w:val="-2"/>
        </w:rPr>
        <w:t>FINANCEIRAS</w:t>
      </w:r>
    </w:p>
    <w:p w14:paraId="3B5B5C6E" w14:textId="77777777" w:rsidR="002C6574" w:rsidRDefault="002C6574">
      <w:pPr>
        <w:pStyle w:val="Corpodetexto"/>
        <w:spacing w:before="47"/>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9"/>
        <w:gridCol w:w="1313"/>
        <w:gridCol w:w="1359"/>
      </w:tblGrid>
      <w:tr w:rsidR="002C6574" w14:paraId="03C5FF44" w14:textId="77777777">
        <w:trPr>
          <w:trHeight w:val="237"/>
        </w:trPr>
        <w:tc>
          <w:tcPr>
            <w:tcW w:w="7099" w:type="dxa"/>
            <w:shd w:val="clear" w:color="auto" w:fill="D8D8D8"/>
          </w:tcPr>
          <w:p w14:paraId="3AF5C8B2" w14:textId="77777777" w:rsidR="002C6574" w:rsidRDefault="00000000">
            <w:pPr>
              <w:pStyle w:val="TableParagraph"/>
              <w:spacing w:before="13" w:line="204" w:lineRule="exact"/>
              <w:ind w:left="69"/>
              <w:jc w:val="left"/>
              <w:rPr>
                <w:rFonts w:ascii="Arial" w:hAnsi="Arial"/>
                <w:b/>
                <w:sz w:val="18"/>
              </w:rPr>
            </w:pPr>
            <w:r>
              <w:rPr>
                <w:rFonts w:ascii="Arial" w:hAnsi="Arial"/>
                <w:b/>
                <w:spacing w:val="-2"/>
                <w:sz w:val="18"/>
              </w:rPr>
              <w:t>Composição:</w:t>
            </w:r>
          </w:p>
        </w:tc>
        <w:tc>
          <w:tcPr>
            <w:tcW w:w="1313" w:type="dxa"/>
          </w:tcPr>
          <w:p w14:paraId="02211B40" w14:textId="77777777" w:rsidR="002C6574" w:rsidRDefault="00000000">
            <w:pPr>
              <w:pStyle w:val="TableParagraph"/>
              <w:spacing w:before="13" w:line="204" w:lineRule="exact"/>
              <w:ind w:left="203"/>
              <w:jc w:val="left"/>
              <w:rPr>
                <w:rFonts w:ascii="Arial"/>
                <w:b/>
                <w:sz w:val="18"/>
              </w:rPr>
            </w:pPr>
            <w:r>
              <w:rPr>
                <w:rFonts w:ascii="Arial"/>
                <w:b/>
                <w:spacing w:val="-2"/>
                <w:sz w:val="18"/>
              </w:rPr>
              <w:t>31/12/2025</w:t>
            </w:r>
          </w:p>
        </w:tc>
        <w:tc>
          <w:tcPr>
            <w:tcW w:w="1359" w:type="dxa"/>
          </w:tcPr>
          <w:p w14:paraId="4B1F1DC6" w14:textId="77777777" w:rsidR="002C6574" w:rsidRDefault="00000000">
            <w:pPr>
              <w:pStyle w:val="TableParagraph"/>
              <w:spacing w:before="13" w:line="204" w:lineRule="exact"/>
              <w:ind w:left="228"/>
              <w:jc w:val="left"/>
              <w:rPr>
                <w:rFonts w:ascii="Arial"/>
                <w:b/>
                <w:sz w:val="18"/>
              </w:rPr>
            </w:pPr>
            <w:r>
              <w:rPr>
                <w:rFonts w:ascii="Arial"/>
                <w:b/>
                <w:spacing w:val="-2"/>
                <w:sz w:val="18"/>
              </w:rPr>
              <w:t>31/12/2024</w:t>
            </w:r>
          </w:p>
        </w:tc>
      </w:tr>
      <w:tr w:rsidR="002C6574" w14:paraId="308DA966" w14:textId="77777777">
        <w:trPr>
          <w:trHeight w:val="237"/>
        </w:trPr>
        <w:tc>
          <w:tcPr>
            <w:tcW w:w="7099" w:type="dxa"/>
          </w:tcPr>
          <w:p w14:paraId="5DDE7F03" w14:textId="77777777" w:rsidR="002C6574" w:rsidRDefault="00000000">
            <w:pPr>
              <w:pStyle w:val="TableParagraph"/>
              <w:spacing w:line="217" w:lineRule="exact"/>
              <w:ind w:left="69"/>
              <w:jc w:val="left"/>
              <w:rPr>
                <w:sz w:val="18"/>
              </w:rPr>
            </w:pPr>
            <w:r>
              <w:rPr>
                <w:sz w:val="18"/>
              </w:rPr>
              <w:t>Fundo</w:t>
            </w:r>
            <w:r>
              <w:rPr>
                <w:spacing w:val="16"/>
                <w:sz w:val="18"/>
              </w:rPr>
              <w:t xml:space="preserve"> </w:t>
            </w:r>
            <w:r>
              <w:rPr>
                <w:sz w:val="18"/>
              </w:rPr>
              <w:t>Caixa</w:t>
            </w:r>
            <w:r>
              <w:rPr>
                <w:spacing w:val="16"/>
                <w:sz w:val="18"/>
              </w:rPr>
              <w:t xml:space="preserve"> </w:t>
            </w:r>
            <w:r>
              <w:rPr>
                <w:sz w:val="18"/>
              </w:rPr>
              <w:t>Extramercado</w:t>
            </w:r>
            <w:r>
              <w:rPr>
                <w:spacing w:val="19"/>
                <w:sz w:val="18"/>
              </w:rPr>
              <w:t xml:space="preserve"> </w:t>
            </w:r>
            <w:r>
              <w:rPr>
                <w:sz w:val="18"/>
              </w:rPr>
              <w:t>Comum</w:t>
            </w:r>
            <w:r>
              <w:rPr>
                <w:spacing w:val="18"/>
                <w:sz w:val="18"/>
              </w:rPr>
              <w:t xml:space="preserve"> </w:t>
            </w:r>
            <w:r>
              <w:rPr>
                <w:sz w:val="18"/>
              </w:rPr>
              <w:t>IRFM-1</w:t>
            </w:r>
            <w:r>
              <w:rPr>
                <w:spacing w:val="16"/>
                <w:sz w:val="18"/>
              </w:rPr>
              <w:t xml:space="preserve"> </w:t>
            </w:r>
            <w:r>
              <w:rPr>
                <w:spacing w:val="-4"/>
                <w:sz w:val="18"/>
              </w:rPr>
              <w:t>(iv)</w:t>
            </w:r>
          </w:p>
        </w:tc>
        <w:tc>
          <w:tcPr>
            <w:tcW w:w="1313" w:type="dxa"/>
          </w:tcPr>
          <w:p w14:paraId="3BBB6F7B" w14:textId="77777777" w:rsidR="002C6574" w:rsidRDefault="00000000">
            <w:pPr>
              <w:pStyle w:val="TableParagraph"/>
              <w:spacing w:line="217" w:lineRule="exact"/>
              <w:ind w:right="59"/>
              <w:rPr>
                <w:sz w:val="18"/>
              </w:rPr>
            </w:pPr>
            <w:r>
              <w:rPr>
                <w:spacing w:val="-2"/>
                <w:w w:val="105"/>
                <w:sz w:val="18"/>
              </w:rPr>
              <w:t>412.234</w:t>
            </w:r>
          </w:p>
        </w:tc>
        <w:tc>
          <w:tcPr>
            <w:tcW w:w="1359" w:type="dxa"/>
          </w:tcPr>
          <w:p w14:paraId="20B08FE9" w14:textId="77777777" w:rsidR="002C6574" w:rsidRDefault="00000000">
            <w:pPr>
              <w:pStyle w:val="TableParagraph"/>
              <w:spacing w:line="217" w:lineRule="exact"/>
              <w:ind w:right="56"/>
              <w:rPr>
                <w:sz w:val="18"/>
              </w:rPr>
            </w:pPr>
            <w:r>
              <w:rPr>
                <w:spacing w:val="-2"/>
                <w:w w:val="105"/>
                <w:sz w:val="18"/>
              </w:rPr>
              <w:t>412.234</w:t>
            </w:r>
          </w:p>
        </w:tc>
      </w:tr>
      <w:tr w:rsidR="002C6574" w14:paraId="383BD590" w14:textId="77777777">
        <w:trPr>
          <w:trHeight w:val="239"/>
        </w:trPr>
        <w:tc>
          <w:tcPr>
            <w:tcW w:w="7099" w:type="dxa"/>
          </w:tcPr>
          <w:p w14:paraId="45A87A08" w14:textId="77777777" w:rsidR="002C6574" w:rsidRDefault="00000000">
            <w:pPr>
              <w:pStyle w:val="TableParagraph"/>
              <w:spacing w:line="220" w:lineRule="exact"/>
              <w:ind w:left="69"/>
              <w:jc w:val="left"/>
              <w:rPr>
                <w:sz w:val="18"/>
              </w:rPr>
            </w:pPr>
            <w:r>
              <w:rPr>
                <w:sz w:val="18"/>
              </w:rPr>
              <w:t>BB</w:t>
            </w:r>
            <w:r>
              <w:rPr>
                <w:spacing w:val="35"/>
                <w:sz w:val="18"/>
              </w:rPr>
              <w:t xml:space="preserve"> </w:t>
            </w:r>
            <w:r>
              <w:rPr>
                <w:sz w:val="18"/>
              </w:rPr>
              <w:t>Extramercado</w:t>
            </w:r>
            <w:r>
              <w:rPr>
                <w:spacing w:val="34"/>
                <w:sz w:val="18"/>
              </w:rPr>
              <w:t xml:space="preserve"> </w:t>
            </w:r>
            <w:r>
              <w:rPr>
                <w:sz w:val="18"/>
              </w:rPr>
              <w:t>FAE2</w:t>
            </w:r>
            <w:r>
              <w:rPr>
                <w:spacing w:val="35"/>
                <w:sz w:val="18"/>
              </w:rPr>
              <w:t xml:space="preserve"> </w:t>
            </w:r>
            <w:r>
              <w:rPr>
                <w:sz w:val="18"/>
              </w:rPr>
              <w:t>FI</w:t>
            </w:r>
            <w:r>
              <w:rPr>
                <w:spacing w:val="36"/>
                <w:sz w:val="18"/>
              </w:rPr>
              <w:t xml:space="preserve"> </w:t>
            </w:r>
            <w:r>
              <w:rPr>
                <w:spacing w:val="-4"/>
                <w:sz w:val="18"/>
              </w:rPr>
              <w:t>(iv)</w:t>
            </w:r>
          </w:p>
        </w:tc>
        <w:tc>
          <w:tcPr>
            <w:tcW w:w="1313" w:type="dxa"/>
          </w:tcPr>
          <w:p w14:paraId="6B5E65C9" w14:textId="77777777" w:rsidR="002C6574" w:rsidRDefault="00000000">
            <w:pPr>
              <w:pStyle w:val="TableParagraph"/>
              <w:spacing w:line="220" w:lineRule="exact"/>
              <w:ind w:right="59"/>
              <w:rPr>
                <w:sz w:val="18"/>
              </w:rPr>
            </w:pPr>
            <w:r>
              <w:rPr>
                <w:spacing w:val="-2"/>
                <w:w w:val="105"/>
                <w:sz w:val="18"/>
              </w:rPr>
              <w:t>410.118</w:t>
            </w:r>
          </w:p>
        </w:tc>
        <w:tc>
          <w:tcPr>
            <w:tcW w:w="1359" w:type="dxa"/>
          </w:tcPr>
          <w:p w14:paraId="1F73CAE7" w14:textId="77777777" w:rsidR="002C6574" w:rsidRDefault="00000000">
            <w:pPr>
              <w:pStyle w:val="TableParagraph"/>
              <w:spacing w:line="220" w:lineRule="exact"/>
              <w:ind w:right="56"/>
              <w:rPr>
                <w:sz w:val="18"/>
              </w:rPr>
            </w:pPr>
            <w:r>
              <w:rPr>
                <w:spacing w:val="-2"/>
                <w:w w:val="105"/>
                <w:sz w:val="18"/>
              </w:rPr>
              <w:t>410.118</w:t>
            </w:r>
          </w:p>
        </w:tc>
      </w:tr>
      <w:tr w:rsidR="002C6574" w14:paraId="73DF076A" w14:textId="77777777">
        <w:trPr>
          <w:trHeight w:val="237"/>
        </w:trPr>
        <w:tc>
          <w:tcPr>
            <w:tcW w:w="7099" w:type="dxa"/>
          </w:tcPr>
          <w:p w14:paraId="6A7CC063" w14:textId="77777777" w:rsidR="002C6574" w:rsidRDefault="00000000">
            <w:pPr>
              <w:pStyle w:val="TableParagraph"/>
              <w:spacing w:line="217" w:lineRule="exact"/>
              <w:ind w:left="69"/>
              <w:jc w:val="left"/>
              <w:rPr>
                <w:sz w:val="18"/>
              </w:rPr>
            </w:pPr>
            <w:r>
              <w:rPr>
                <w:sz w:val="18"/>
              </w:rPr>
              <w:t>Fundo</w:t>
            </w:r>
            <w:r>
              <w:rPr>
                <w:spacing w:val="10"/>
                <w:sz w:val="18"/>
              </w:rPr>
              <w:t xml:space="preserve"> </w:t>
            </w:r>
            <w:r>
              <w:rPr>
                <w:sz w:val="18"/>
              </w:rPr>
              <w:t>BB</w:t>
            </w:r>
            <w:r>
              <w:rPr>
                <w:spacing w:val="10"/>
                <w:sz w:val="18"/>
              </w:rPr>
              <w:t xml:space="preserve"> </w:t>
            </w:r>
            <w:r>
              <w:rPr>
                <w:sz w:val="18"/>
              </w:rPr>
              <w:t>Referenciado</w:t>
            </w:r>
            <w:r>
              <w:rPr>
                <w:spacing w:val="9"/>
                <w:sz w:val="18"/>
              </w:rPr>
              <w:t xml:space="preserve"> </w:t>
            </w:r>
            <w:r>
              <w:rPr>
                <w:sz w:val="18"/>
              </w:rPr>
              <w:t>DI</w:t>
            </w:r>
            <w:r>
              <w:rPr>
                <w:spacing w:val="11"/>
                <w:sz w:val="18"/>
              </w:rPr>
              <w:t xml:space="preserve"> </w:t>
            </w:r>
            <w:r>
              <w:rPr>
                <w:sz w:val="18"/>
              </w:rPr>
              <w:t>LP</w:t>
            </w:r>
            <w:r>
              <w:rPr>
                <w:spacing w:val="9"/>
                <w:sz w:val="18"/>
              </w:rPr>
              <w:t xml:space="preserve"> </w:t>
            </w:r>
            <w:r>
              <w:rPr>
                <w:sz w:val="18"/>
              </w:rPr>
              <w:t>Corporativo</w:t>
            </w:r>
            <w:r>
              <w:rPr>
                <w:spacing w:val="9"/>
                <w:sz w:val="18"/>
              </w:rPr>
              <w:t xml:space="preserve"> </w:t>
            </w:r>
            <w:r>
              <w:rPr>
                <w:sz w:val="18"/>
              </w:rPr>
              <w:t>600</w:t>
            </w:r>
            <w:r>
              <w:rPr>
                <w:spacing w:val="7"/>
                <w:sz w:val="18"/>
              </w:rPr>
              <w:t xml:space="preserve"> </w:t>
            </w:r>
            <w:r>
              <w:rPr>
                <w:sz w:val="18"/>
              </w:rPr>
              <w:t>mil</w:t>
            </w:r>
            <w:r>
              <w:rPr>
                <w:spacing w:val="14"/>
                <w:sz w:val="18"/>
              </w:rPr>
              <w:t xml:space="preserve"> </w:t>
            </w:r>
            <w:r>
              <w:rPr>
                <w:spacing w:val="-5"/>
                <w:sz w:val="18"/>
              </w:rPr>
              <w:t>(i)</w:t>
            </w:r>
          </w:p>
        </w:tc>
        <w:tc>
          <w:tcPr>
            <w:tcW w:w="1313" w:type="dxa"/>
          </w:tcPr>
          <w:p w14:paraId="4EED9651" w14:textId="77777777" w:rsidR="002C6574" w:rsidRDefault="00000000">
            <w:pPr>
              <w:pStyle w:val="TableParagraph"/>
              <w:spacing w:line="217" w:lineRule="exact"/>
              <w:ind w:right="57"/>
              <w:rPr>
                <w:sz w:val="18"/>
              </w:rPr>
            </w:pPr>
            <w:r>
              <w:rPr>
                <w:spacing w:val="-2"/>
                <w:w w:val="105"/>
                <w:sz w:val="18"/>
              </w:rPr>
              <w:t>50.665</w:t>
            </w:r>
          </w:p>
        </w:tc>
        <w:tc>
          <w:tcPr>
            <w:tcW w:w="1359" w:type="dxa"/>
          </w:tcPr>
          <w:p w14:paraId="0BAC810A" w14:textId="77777777" w:rsidR="002C6574" w:rsidRDefault="00000000">
            <w:pPr>
              <w:pStyle w:val="TableParagraph"/>
              <w:spacing w:line="217" w:lineRule="exact"/>
              <w:ind w:right="56"/>
              <w:rPr>
                <w:sz w:val="18"/>
              </w:rPr>
            </w:pPr>
            <w:r>
              <w:rPr>
                <w:spacing w:val="-2"/>
                <w:w w:val="105"/>
                <w:sz w:val="18"/>
              </w:rPr>
              <w:t>45.277</w:t>
            </w:r>
          </w:p>
        </w:tc>
      </w:tr>
      <w:tr w:rsidR="002C6574" w14:paraId="0616F68A" w14:textId="77777777">
        <w:trPr>
          <w:trHeight w:val="237"/>
        </w:trPr>
        <w:tc>
          <w:tcPr>
            <w:tcW w:w="7099" w:type="dxa"/>
          </w:tcPr>
          <w:p w14:paraId="4E2C62D8" w14:textId="77777777" w:rsidR="002C6574" w:rsidRDefault="00000000">
            <w:pPr>
              <w:pStyle w:val="TableParagraph"/>
              <w:spacing w:line="217" w:lineRule="exact"/>
              <w:ind w:left="69"/>
              <w:jc w:val="left"/>
              <w:rPr>
                <w:sz w:val="18"/>
              </w:rPr>
            </w:pPr>
            <w:r>
              <w:rPr>
                <w:sz w:val="18"/>
              </w:rPr>
              <w:t>Fundo</w:t>
            </w:r>
            <w:r>
              <w:rPr>
                <w:spacing w:val="30"/>
                <w:sz w:val="18"/>
              </w:rPr>
              <w:t xml:space="preserve"> </w:t>
            </w:r>
            <w:r>
              <w:rPr>
                <w:sz w:val="18"/>
              </w:rPr>
              <w:t>BB</w:t>
            </w:r>
            <w:r>
              <w:rPr>
                <w:spacing w:val="29"/>
                <w:sz w:val="18"/>
              </w:rPr>
              <w:t xml:space="preserve"> </w:t>
            </w:r>
            <w:r>
              <w:rPr>
                <w:sz w:val="18"/>
              </w:rPr>
              <w:t>Extramercado</w:t>
            </w:r>
            <w:r>
              <w:rPr>
                <w:spacing w:val="33"/>
                <w:sz w:val="18"/>
              </w:rPr>
              <w:t xml:space="preserve"> </w:t>
            </w:r>
            <w:r>
              <w:rPr>
                <w:sz w:val="18"/>
              </w:rPr>
              <w:t>FAE</w:t>
            </w:r>
            <w:r>
              <w:rPr>
                <w:spacing w:val="29"/>
                <w:sz w:val="18"/>
              </w:rPr>
              <w:t xml:space="preserve"> </w:t>
            </w:r>
            <w:r>
              <w:rPr>
                <w:sz w:val="18"/>
              </w:rPr>
              <w:t>FI</w:t>
            </w:r>
            <w:r>
              <w:rPr>
                <w:spacing w:val="33"/>
                <w:sz w:val="18"/>
              </w:rPr>
              <w:t xml:space="preserve"> </w:t>
            </w:r>
            <w:r>
              <w:rPr>
                <w:sz w:val="18"/>
              </w:rPr>
              <w:t>RF</w:t>
            </w:r>
            <w:r>
              <w:rPr>
                <w:spacing w:val="31"/>
                <w:sz w:val="18"/>
              </w:rPr>
              <w:t xml:space="preserve"> </w:t>
            </w:r>
            <w:r>
              <w:rPr>
                <w:spacing w:val="-4"/>
                <w:sz w:val="18"/>
              </w:rPr>
              <w:t>(ii)</w:t>
            </w:r>
          </w:p>
        </w:tc>
        <w:tc>
          <w:tcPr>
            <w:tcW w:w="1313" w:type="dxa"/>
          </w:tcPr>
          <w:p w14:paraId="17D8E3B2" w14:textId="77777777" w:rsidR="002C6574" w:rsidRDefault="00000000">
            <w:pPr>
              <w:pStyle w:val="TableParagraph"/>
              <w:spacing w:line="217" w:lineRule="exact"/>
              <w:ind w:right="58"/>
              <w:rPr>
                <w:sz w:val="18"/>
              </w:rPr>
            </w:pPr>
            <w:r>
              <w:rPr>
                <w:spacing w:val="-10"/>
                <w:w w:val="95"/>
                <w:sz w:val="18"/>
              </w:rPr>
              <w:t>-</w:t>
            </w:r>
          </w:p>
        </w:tc>
        <w:tc>
          <w:tcPr>
            <w:tcW w:w="1359" w:type="dxa"/>
          </w:tcPr>
          <w:p w14:paraId="76A3D45D" w14:textId="77777777" w:rsidR="002C6574" w:rsidRDefault="00000000">
            <w:pPr>
              <w:pStyle w:val="TableParagraph"/>
              <w:spacing w:line="217" w:lineRule="exact"/>
              <w:ind w:right="56"/>
              <w:rPr>
                <w:sz w:val="18"/>
              </w:rPr>
            </w:pPr>
            <w:r>
              <w:rPr>
                <w:spacing w:val="-2"/>
                <w:w w:val="105"/>
                <w:sz w:val="18"/>
              </w:rPr>
              <w:t>39.078</w:t>
            </w:r>
          </w:p>
        </w:tc>
      </w:tr>
      <w:tr w:rsidR="002C6574" w14:paraId="700535FF" w14:textId="77777777">
        <w:trPr>
          <w:trHeight w:val="239"/>
        </w:trPr>
        <w:tc>
          <w:tcPr>
            <w:tcW w:w="7099" w:type="dxa"/>
          </w:tcPr>
          <w:p w14:paraId="39FCBE43" w14:textId="77777777" w:rsidR="002C6574" w:rsidRDefault="00000000">
            <w:pPr>
              <w:pStyle w:val="TableParagraph"/>
              <w:spacing w:line="220" w:lineRule="exact"/>
              <w:ind w:left="69"/>
              <w:jc w:val="left"/>
              <w:rPr>
                <w:sz w:val="18"/>
              </w:rPr>
            </w:pPr>
            <w:r>
              <w:rPr>
                <w:sz w:val="18"/>
              </w:rPr>
              <w:t>Aplicações</w:t>
            </w:r>
            <w:r>
              <w:rPr>
                <w:spacing w:val="4"/>
                <w:sz w:val="18"/>
              </w:rPr>
              <w:t xml:space="preserve"> </w:t>
            </w:r>
            <w:r>
              <w:rPr>
                <w:sz w:val="18"/>
              </w:rPr>
              <w:t>em</w:t>
            </w:r>
            <w:r>
              <w:rPr>
                <w:spacing w:val="9"/>
                <w:sz w:val="18"/>
              </w:rPr>
              <w:t xml:space="preserve"> </w:t>
            </w:r>
            <w:r>
              <w:rPr>
                <w:sz w:val="18"/>
              </w:rPr>
              <w:t>Ações</w:t>
            </w:r>
            <w:r>
              <w:rPr>
                <w:spacing w:val="7"/>
                <w:sz w:val="18"/>
              </w:rPr>
              <w:t xml:space="preserve"> </w:t>
            </w:r>
            <w:r>
              <w:rPr>
                <w:sz w:val="18"/>
              </w:rPr>
              <w:t>e</w:t>
            </w:r>
            <w:r>
              <w:rPr>
                <w:spacing w:val="5"/>
                <w:sz w:val="18"/>
              </w:rPr>
              <w:t xml:space="preserve"> </w:t>
            </w:r>
            <w:r>
              <w:rPr>
                <w:sz w:val="18"/>
              </w:rPr>
              <w:t>Fundo</w:t>
            </w:r>
            <w:r>
              <w:rPr>
                <w:spacing w:val="4"/>
                <w:sz w:val="18"/>
              </w:rPr>
              <w:t xml:space="preserve"> </w:t>
            </w:r>
            <w:r>
              <w:rPr>
                <w:sz w:val="18"/>
              </w:rPr>
              <w:t>de</w:t>
            </w:r>
            <w:r>
              <w:rPr>
                <w:spacing w:val="9"/>
                <w:sz w:val="18"/>
              </w:rPr>
              <w:t xml:space="preserve"> </w:t>
            </w:r>
            <w:r>
              <w:rPr>
                <w:sz w:val="18"/>
              </w:rPr>
              <w:t>Investimentos</w:t>
            </w:r>
            <w:r>
              <w:rPr>
                <w:spacing w:val="10"/>
                <w:sz w:val="18"/>
              </w:rPr>
              <w:t xml:space="preserve"> </w:t>
            </w:r>
            <w:r>
              <w:rPr>
                <w:spacing w:val="-4"/>
                <w:sz w:val="18"/>
              </w:rPr>
              <w:t>(iii)</w:t>
            </w:r>
          </w:p>
        </w:tc>
        <w:tc>
          <w:tcPr>
            <w:tcW w:w="1313" w:type="dxa"/>
          </w:tcPr>
          <w:p w14:paraId="301BD7AC" w14:textId="77777777" w:rsidR="002C6574" w:rsidRDefault="00000000">
            <w:pPr>
              <w:pStyle w:val="TableParagraph"/>
              <w:spacing w:line="220" w:lineRule="exact"/>
              <w:ind w:right="59"/>
              <w:rPr>
                <w:sz w:val="18"/>
              </w:rPr>
            </w:pPr>
            <w:r>
              <w:rPr>
                <w:spacing w:val="-2"/>
                <w:w w:val="110"/>
                <w:sz w:val="18"/>
              </w:rPr>
              <w:t>3.284</w:t>
            </w:r>
          </w:p>
        </w:tc>
        <w:tc>
          <w:tcPr>
            <w:tcW w:w="1359" w:type="dxa"/>
          </w:tcPr>
          <w:p w14:paraId="372DB854" w14:textId="77777777" w:rsidR="002C6574" w:rsidRDefault="00000000">
            <w:pPr>
              <w:pStyle w:val="TableParagraph"/>
              <w:spacing w:line="220" w:lineRule="exact"/>
              <w:ind w:right="56"/>
              <w:rPr>
                <w:sz w:val="18"/>
              </w:rPr>
            </w:pPr>
            <w:r>
              <w:rPr>
                <w:spacing w:val="-2"/>
                <w:w w:val="110"/>
                <w:sz w:val="18"/>
              </w:rPr>
              <w:t>2.331</w:t>
            </w:r>
          </w:p>
        </w:tc>
      </w:tr>
      <w:tr w:rsidR="002C6574" w14:paraId="0BF94A7B" w14:textId="77777777">
        <w:trPr>
          <w:trHeight w:val="237"/>
        </w:trPr>
        <w:tc>
          <w:tcPr>
            <w:tcW w:w="7099" w:type="dxa"/>
          </w:tcPr>
          <w:p w14:paraId="12F55C6B" w14:textId="77777777" w:rsidR="002C6574" w:rsidRDefault="00000000">
            <w:pPr>
              <w:pStyle w:val="TableParagraph"/>
              <w:spacing w:before="13" w:line="204" w:lineRule="exact"/>
              <w:ind w:left="69"/>
              <w:jc w:val="left"/>
              <w:rPr>
                <w:rFonts w:ascii="Arial"/>
                <w:b/>
                <w:sz w:val="18"/>
              </w:rPr>
            </w:pPr>
            <w:r>
              <w:rPr>
                <w:rFonts w:ascii="Arial"/>
                <w:b/>
                <w:spacing w:val="-2"/>
                <w:sz w:val="18"/>
              </w:rPr>
              <w:t>Total</w:t>
            </w:r>
          </w:p>
        </w:tc>
        <w:tc>
          <w:tcPr>
            <w:tcW w:w="1313" w:type="dxa"/>
          </w:tcPr>
          <w:p w14:paraId="69E7342F" w14:textId="77777777" w:rsidR="002C6574" w:rsidRDefault="00000000">
            <w:pPr>
              <w:pStyle w:val="TableParagraph"/>
              <w:spacing w:before="13" w:line="204" w:lineRule="exact"/>
              <w:ind w:right="58"/>
              <w:rPr>
                <w:rFonts w:ascii="Arial"/>
                <w:b/>
                <w:sz w:val="18"/>
              </w:rPr>
            </w:pPr>
            <w:r>
              <w:rPr>
                <w:rFonts w:ascii="Arial"/>
                <w:b/>
                <w:spacing w:val="-2"/>
                <w:sz w:val="18"/>
              </w:rPr>
              <w:t>876.301</w:t>
            </w:r>
          </w:p>
        </w:tc>
        <w:tc>
          <w:tcPr>
            <w:tcW w:w="1359" w:type="dxa"/>
          </w:tcPr>
          <w:p w14:paraId="65C9DB92" w14:textId="77777777" w:rsidR="002C6574" w:rsidRDefault="00000000">
            <w:pPr>
              <w:pStyle w:val="TableParagraph"/>
              <w:spacing w:before="13" w:line="204" w:lineRule="exact"/>
              <w:ind w:right="56"/>
              <w:rPr>
                <w:rFonts w:ascii="Arial"/>
                <w:b/>
                <w:sz w:val="18"/>
              </w:rPr>
            </w:pPr>
            <w:r>
              <w:rPr>
                <w:rFonts w:ascii="Arial"/>
                <w:b/>
                <w:spacing w:val="-2"/>
                <w:sz w:val="18"/>
              </w:rPr>
              <w:t>909.038</w:t>
            </w:r>
          </w:p>
        </w:tc>
      </w:tr>
      <w:tr w:rsidR="002C6574" w14:paraId="2D3CC137" w14:textId="77777777">
        <w:trPr>
          <w:trHeight w:val="237"/>
        </w:trPr>
        <w:tc>
          <w:tcPr>
            <w:tcW w:w="7099" w:type="dxa"/>
          </w:tcPr>
          <w:p w14:paraId="75AB0D5F" w14:textId="77777777" w:rsidR="002C6574" w:rsidRDefault="00000000">
            <w:pPr>
              <w:pStyle w:val="TableParagraph"/>
              <w:spacing w:before="15" w:line="201" w:lineRule="exact"/>
              <w:ind w:left="69"/>
              <w:jc w:val="left"/>
              <w:rPr>
                <w:rFonts w:ascii="Arial"/>
                <w:b/>
                <w:sz w:val="18"/>
              </w:rPr>
            </w:pPr>
            <w:r>
              <w:rPr>
                <w:rFonts w:ascii="Arial"/>
                <w:b/>
                <w:spacing w:val="-2"/>
                <w:sz w:val="18"/>
              </w:rPr>
              <w:t>Circulante</w:t>
            </w:r>
          </w:p>
        </w:tc>
        <w:tc>
          <w:tcPr>
            <w:tcW w:w="1313" w:type="dxa"/>
          </w:tcPr>
          <w:p w14:paraId="3E2CFAA9" w14:textId="77777777" w:rsidR="002C6574" w:rsidRDefault="00000000">
            <w:pPr>
              <w:pStyle w:val="TableParagraph"/>
              <w:spacing w:before="15" w:line="201" w:lineRule="exact"/>
              <w:ind w:right="59"/>
              <w:rPr>
                <w:rFonts w:ascii="Arial"/>
                <w:b/>
                <w:sz w:val="18"/>
              </w:rPr>
            </w:pPr>
            <w:r>
              <w:rPr>
                <w:rFonts w:ascii="Arial"/>
                <w:b/>
                <w:spacing w:val="-2"/>
                <w:sz w:val="18"/>
              </w:rPr>
              <w:t>822.352</w:t>
            </w:r>
          </w:p>
        </w:tc>
        <w:tc>
          <w:tcPr>
            <w:tcW w:w="1359" w:type="dxa"/>
          </w:tcPr>
          <w:p w14:paraId="5E98F6B1" w14:textId="77777777" w:rsidR="002C6574" w:rsidRDefault="00000000">
            <w:pPr>
              <w:pStyle w:val="TableParagraph"/>
              <w:spacing w:before="15" w:line="201" w:lineRule="exact"/>
              <w:ind w:right="56"/>
              <w:rPr>
                <w:rFonts w:ascii="Arial"/>
                <w:b/>
                <w:sz w:val="18"/>
              </w:rPr>
            </w:pPr>
            <w:r>
              <w:rPr>
                <w:rFonts w:ascii="Arial"/>
                <w:b/>
                <w:spacing w:val="-2"/>
                <w:sz w:val="18"/>
              </w:rPr>
              <w:t>822.352</w:t>
            </w:r>
          </w:p>
        </w:tc>
      </w:tr>
      <w:tr w:rsidR="002C6574" w14:paraId="45AE844B" w14:textId="77777777">
        <w:trPr>
          <w:trHeight w:val="239"/>
        </w:trPr>
        <w:tc>
          <w:tcPr>
            <w:tcW w:w="7099" w:type="dxa"/>
          </w:tcPr>
          <w:p w14:paraId="0ECD1773" w14:textId="77777777" w:rsidR="002C6574" w:rsidRDefault="00000000">
            <w:pPr>
              <w:pStyle w:val="TableParagraph"/>
              <w:spacing w:before="15" w:line="204" w:lineRule="exact"/>
              <w:ind w:left="69"/>
              <w:jc w:val="left"/>
              <w:rPr>
                <w:rFonts w:ascii="Arial" w:hAnsi="Arial"/>
                <w:b/>
                <w:sz w:val="18"/>
              </w:rPr>
            </w:pPr>
            <w:r>
              <w:rPr>
                <w:rFonts w:ascii="Arial" w:hAnsi="Arial"/>
                <w:b/>
                <w:sz w:val="18"/>
              </w:rPr>
              <w:t xml:space="preserve">Não </w:t>
            </w:r>
            <w:r>
              <w:rPr>
                <w:rFonts w:ascii="Arial" w:hAnsi="Arial"/>
                <w:b/>
                <w:spacing w:val="-2"/>
                <w:sz w:val="18"/>
              </w:rPr>
              <w:t>Circulante</w:t>
            </w:r>
          </w:p>
        </w:tc>
        <w:tc>
          <w:tcPr>
            <w:tcW w:w="1313" w:type="dxa"/>
          </w:tcPr>
          <w:p w14:paraId="6D0960A7" w14:textId="77777777" w:rsidR="002C6574" w:rsidRDefault="00000000">
            <w:pPr>
              <w:pStyle w:val="TableParagraph"/>
              <w:spacing w:before="15" w:line="204" w:lineRule="exact"/>
              <w:ind w:right="59"/>
              <w:rPr>
                <w:rFonts w:ascii="Arial"/>
                <w:b/>
                <w:sz w:val="18"/>
              </w:rPr>
            </w:pPr>
            <w:r>
              <w:rPr>
                <w:rFonts w:ascii="Arial"/>
                <w:b/>
                <w:spacing w:val="-2"/>
                <w:sz w:val="18"/>
              </w:rPr>
              <w:t>53.949</w:t>
            </w:r>
          </w:p>
        </w:tc>
        <w:tc>
          <w:tcPr>
            <w:tcW w:w="1359" w:type="dxa"/>
          </w:tcPr>
          <w:p w14:paraId="1BCDEA9F" w14:textId="77777777" w:rsidR="002C6574" w:rsidRDefault="00000000">
            <w:pPr>
              <w:pStyle w:val="TableParagraph"/>
              <w:spacing w:before="15" w:line="204" w:lineRule="exact"/>
              <w:ind w:right="56"/>
              <w:rPr>
                <w:rFonts w:ascii="Arial"/>
                <w:b/>
                <w:sz w:val="18"/>
              </w:rPr>
            </w:pPr>
            <w:r>
              <w:rPr>
                <w:rFonts w:ascii="Arial"/>
                <w:b/>
                <w:spacing w:val="-2"/>
                <w:sz w:val="18"/>
              </w:rPr>
              <w:t>86.686</w:t>
            </w:r>
          </w:p>
        </w:tc>
      </w:tr>
    </w:tbl>
    <w:p w14:paraId="5316035E" w14:textId="77777777" w:rsidR="002C6574" w:rsidRDefault="00000000">
      <w:pPr>
        <w:pStyle w:val="PargrafodaLista"/>
        <w:numPr>
          <w:ilvl w:val="0"/>
          <w:numId w:val="39"/>
        </w:numPr>
        <w:tabs>
          <w:tab w:val="left" w:pos="471"/>
        </w:tabs>
        <w:spacing w:before="245"/>
        <w:ind w:right="704" w:firstLine="0"/>
        <w:jc w:val="both"/>
        <w:rPr>
          <w:rFonts w:ascii="Segoe UI Symbol" w:hAnsi="Segoe UI Symbol"/>
          <w:sz w:val="24"/>
        </w:rPr>
      </w:pPr>
      <w:r>
        <w:rPr>
          <w:rFonts w:ascii="Segoe UI Symbol" w:hAnsi="Segoe UI Symbol"/>
        </w:rPr>
        <w:t>A Telebras realizou aplicação em Fundo de Investimento de Renda Fixa com remuneração atrelada à taxa do CDI, como garantia da Transação Parcial firmada com a Caixa de Previdência dos Funcionários do Banco do Brasil (PREVI), em função de ação judicial com sentença transitada em julgado. (Nota Explicativa 21).</w:t>
      </w:r>
    </w:p>
    <w:p w14:paraId="0E8C09FD" w14:textId="77777777" w:rsidR="002C6574" w:rsidRDefault="002C6574">
      <w:pPr>
        <w:pStyle w:val="Corpodetexto"/>
        <w:spacing w:before="116"/>
      </w:pPr>
    </w:p>
    <w:p w14:paraId="2D67E469" w14:textId="77777777" w:rsidR="002C6574" w:rsidRDefault="00000000">
      <w:pPr>
        <w:pStyle w:val="Corpodetexto"/>
        <w:spacing w:line="237" w:lineRule="auto"/>
        <w:ind w:left="143" w:right="704"/>
        <w:jc w:val="both"/>
      </w:pPr>
      <w:r>
        <w:t>Em dezembro de 2025, a Telebras realizou o pagamento antecipado da dívida junto à PREVI. Em decorrência desse pagamento, a garantia previamente depositada será resgatada no decorrer do primeiro trimestre de 2026.</w:t>
      </w:r>
    </w:p>
    <w:p w14:paraId="05B25E26" w14:textId="77777777" w:rsidR="002C6574" w:rsidRDefault="002C6574">
      <w:pPr>
        <w:pStyle w:val="Corpodetexto"/>
        <w:spacing w:before="122"/>
      </w:pPr>
    </w:p>
    <w:p w14:paraId="26D28EA7" w14:textId="77777777" w:rsidR="002C6574" w:rsidRDefault="00000000">
      <w:pPr>
        <w:pStyle w:val="PargrafodaLista"/>
        <w:numPr>
          <w:ilvl w:val="0"/>
          <w:numId w:val="39"/>
        </w:numPr>
        <w:tabs>
          <w:tab w:val="left" w:pos="442"/>
        </w:tabs>
        <w:spacing w:line="237" w:lineRule="auto"/>
        <w:ind w:right="702" w:firstLine="0"/>
        <w:jc w:val="both"/>
        <w:rPr>
          <w:rFonts w:ascii="Segoe UI Symbol" w:hAnsi="Segoe UI Symbol"/>
        </w:rPr>
      </w:pPr>
      <w:r>
        <w:rPr>
          <w:rFonts w:ascii="Segoe UI Symbol" w:hAnsi="Segoe UI Symbol"/>
        </w:rPr>
        <w:t>No</w:t>
      </w:r>
      <w:r>
        <w:rPr>
          <w:rFonts w:ascii="Segoe UI Symbol" w:hAnsi="Segoe UI Symbol"/>
          <w:spacing w:val="-6"/>
        </w:rPr>
        <w:t xml:space="preserve"> </w:t>
      </w:r>
      <w:r>
        <w:rPr>
          <w:rFonts w:ascii="Segoe UI Symbol" w:hAnsi="Segoe UI Symbol"/>
        </w:rPr>
        <w:t>primeiro</w:t>
      </w:r>
      <w:r>
        <w:rPr>
          <w:rFonts w:ascii="Segoe UI Symbol" w:hAnsi="Segoe UI Symbol"/>
          <w:spacing w:val="-8"/>
        </w:rPr>
        <w:t xml:space="preserve"> </w:t>
      </w:r>
      <w:r>
        <w:rPr>
          <w:rFonts w:ascii="Segoe UI Symbol" w:hAnsi="Segoe UI Symbol"/>
        </w:rPr>
        <w:t>trimestre</w:t>
      </w:r>
      <w:r>
        <w:rPr>
          <w:rFonts w:ascii="Segoe UI Symbol" w:hAnsi="Segoe UI Symbol"/>
          <w:spacing w:val="-10"/>
        </w:rPr>
        <w:t xml:space="preserve"> </w:t>
      </w:r>
      <w:r>
        <w:rPr>
          <w:rFonts w:ascii="Segoe UI Symbol" w:hAnsi="Segoe UI Symbol"/>
        </w:rPr>
        <w:t>de</w:t>
      </w:r>
      <w:r>
        <w:rPr>
          <w:rFonts w:ascii="Segoe UI Symbol" w:hAnsi="Segoe UI Symbol"/>
          <w:spacing w:val="-5"/>
        </w:rPr>
        <w:t xml:space="preserve"> </w:t>
      </w:r>
      <w:r>
        <w:rPr>
          <w:rFonts w:ascii="Segoe UI Symbol" w:hAnsi="Segoe UI Symbol"/>
        </w:rPr>
        <w:t>2025,</w:t>
      </w:r>
      <w:r>
        <w:rPr>
          <w:rFonts w:ascii="Segoe UI Symbol" w:hAnsi="Segoe UI Symbol"/>
          <w:spacing w:val="-6"/>
        </w:rPr>
        <w:t xml:space="preserve"> </w:t>
      </w:r>
      <w:r>
        <w:rPr>
          <w:rFonts w:ascii="Segoe UI Symbol" w:hAnsi="Segoe UI Symbol"/>
        </w:rPr>
        <w:t>a</w:t>
      </w:r>
      <w:r>
        <w:rPr>
          <w:rFonts w:ascii="Segoe UI Symbol" w:hAnsi="Segoe UI Symbol"/>
          <w:spacing w:val="-8"/>
        </w:rPr>
        <w:t xml:space="preserve"> </w:t>
      </w:r>
      <w:r>
        <w:rPr>
          <w:rFonts w:ascii="Segoe UI Symbol" w:hAnsi="Segoe UI Symbol"/>
        </w:rPr>
        <w:t>Companhia</w:t>
      </w:r>
      <w:r>
        <w:rPr>
          <w:rFonts w:ascii="Segoe UI Symbol" w:hAnsi="Segoe UI Symbol"/>
          <w:spacing w:val="-8"/>
        </w:rPr>
        <w:t xml:space="preserve"> </w:t>
      </w:r>
      <w:r>
        <w:rPr>
          <w:rFonts w:ascii="Segoe UI Symbol" w:hAnsi="Segoe UI Symbol"/>
        </w:rPr>
        <w:t>efetuou</w:t>
      </w:r>
      <w:r>
        <w:rPr>
          <w:rFonts w:ascii="Segoe UI Symbol" w:hAnsi="Segoe UI Symbol"/>
          <w:spacing w:val="-6"/>
        </w:rPr>
        <w:t xml:space="preserve"> </w:t>
      </w:r>
      <w:r>
        <w:rPr>
          <w:rFonts w:ascii="Segoe UI Symbol" w:hAnsi="Segoe UI Symbol"/>
        </w:rPr>
        <w:t>a</w:t>
      </w:r>
      <w:r>
        <w:rPr>
          <w:rFonts w:ascii="Segoe UI Symbol" w:hAnsi="Segoe UI Symbol"/>
          <w:spacing w:val="-8"/>
        </w:rPr>
        <w:t xml:space="preserve"> </w:t>
      </w:r>
      <w:r>
        <w:rPr>
          <w:rFonts w:ascii="Segoe UI Symbol" w:hAnsi="Segoe UI Symbol"/>
        </w:rPr>
        <w:t>liquidação</w:t>
      </w:r>
      <w:r>
        <w:rPr>
          <w:rFonts w:ascii="Segoe UI Symbol" w:hAnsi="Segoe UI Symbol"/>
          <w:spacing w:val="-5"/>
        </w:rPr>
        <w:t xml:space="preserve"> </w:t>
      </w:r>
      <w:r>
        <w:rPr>
          <w:rFonts w:ascii="Segoe UI Symbol" w:hAnsi="Segoe UI Symbol"/>
        </w:rPr>
        <w:t>do</w:t>
      </w:r>
      <w:r>
        <w:rPr>
          <w:rFonts w:ascii="Segoe UI Symbol" w:hAnsi="Segoe UI Symbol"/>
          <w:spacing w:val="-6"/>
        </w:rPr>
        <w:t xml:space="preserve"> </w:t>
      </w:r>
      <w:r>
        <w:rPr>
          <w:rFonts w:ascii="Segoe UI Symbol" w:hAnsi="Segoe UI Symbol"/>
        </w:rPr>
        <w:t>financiamento</w:t>
      </w:r>
      <w:r>
        <w:rPr>
          <w:rFonts w:ascii="Segoe UI Symbol" w:hAnsi="Segoe UI Symbol"/>
          <w:spacing w:val="-10"/>
        </w:rPr>
        <w:t xml:space="preserve"> </w:t>
      </w:r>
      <w:r>
        <w:rPr>
          <w:rFonts w:ascii="Segoe UI Symbol" w:hAnsi="Segoe UI Symbol"/>
        </w:rPr>
        <w:t>junto</w:t>
      </w:r>
      <w:r>
        <w:rPr>
          <w:rFonts w:ascii="Segoe UI Symbol" w:hAnsi="Segoe UI Symbol"/>
          <w:spacing w:val="-6"/>
        </w:rPr>
        <w:t xml:space="preserve"> </w:t>
      </w:r>
      <w:r>
        <w:rPr>
          <w:rFonts w:ascii="Segoe UI Symbol" w:hAnsi="Segoe UI Symbol"/>
        </w:rPr>
        <w:t>a</w:t>
      </w:r>
      <w:r>
        <w:rPr>
          <w:rFonts w:ascii="Segoe UI Symbol" w:hAnsi="Segoe UI Symbol"/>
          <w:spacing w:val="-8"/>
        </w:rPr>
        <w:t xml:space="preserve"> </w:t>
      </w:r>
      <w:r>
        <w:rPr>
          <w:rFonts w:ascii="Segoe UI Symbol" w:hAnsi="Segoe UI Symbol"/>
        </w:rPr>
        <w:t xml:space="preserve">FINEP, </w:t>
      </w:r>
      <w:r>
        <w:rPr>
          <w:rFonts w:ascii="Segoe UI Symbol" w:hAnsi="Segoe UI Symbol"/>
          <w:w w:val="105"/>
        </w:rPr>
        <w:t>e consequentemente, realizou o resgate do valor relativo à garantia do financiamento que se encontrava</w:t>
      </w:r>
      <w:r>
        <w:rPr>
          <w:rFonts w:ascii="Segoe UI Symbol" w:hAnsi="Segoe UI Symbol"/>
          <w:spacing w:val="-2"/>
          <w:w w:val="105"/>
        </w:rPr>
        <w:t xml:space="preserve"> </w:t>
      </w:r>
      <w:r>
        <w:rPr>
          <w:rFonts w:ascii="Segoe UI Symbol" w:hAnsi="Segoe UI Symbol"/>
          <w:w w:val="105"/>
        </w:rPr>
        <w:t>aplicada no</w:t>
      </w:r>
      <w:r>
        <w:rPr>
          <w:rFonts w:ascii="Segoe UI Symbol" w:hAnsi="Segoe UI Symbol"/>
          <w:spacing w:val="-4"/>
          <w:w w:val="105"/>
        </w:rPr>
        <w:t xml:space="preserve"> </w:t>
      </w:r>
      <w:r>
        <w:rPr>
          <w:rFonts w:ascii="Segoe UI Symbol" w:hAnsi="Segoe UI Symbol"/>
          <w:w w:val="105"/>
        </w:rPr>
        <w:t>Banco do Brasil S.A no</w:t>
      </w:r>
      <w:r>
        <w:rPr>
          <w:rFonts w:ascii="Segoe UI Symbol" w:hAnsi="Segoe UI Symbol"/>
          <w:spacing w:val="-2"/>
          <w:w w:val="105"/>
        </w:rPr>
        <w:t xml:space="preserve"> </w:t>
      </w:r>
      <w:r>
        <w:rPr>
          <w:rFonts w:ascii="Segoe UI Symbol" w:hAnsi="Segoe UI Symbol"/>
          <w:w w:val="105"/>
        </w:rPr>
        <w:t>fundo investimento</w:t>
      </w:r>
      <w:r>
        <w:rPr>
          <w:rFonts w:ascii="Segoe UI Symbol" w:hAnsi="Segoe UI Symbol"/>
          <w:spacing w:val="-2"/>
          <w:w w:val="105"/>
        </w:rPr>
        <w:t xml:space="preserve"> </w:t>
      </w:r>
      <w:r>
        <w:rPr>
          <w:rFonts w:ascii="Segoe UI Symbol" w:hAnsi="Segoe UI Symbol"/>
          <w:w w:val="105"/>
        </w:rPr>
        <w:t>BB</w:t>
      </w:r>
      <w:r>
        <w:rPr>
          <w:rFonts w:ascii="Segoe UI Symbol" w:hAnsi="Segoe UI Symbol"/>
          <w:spacing w:val="-1"/>
          <w:w w:val="105"/>
        </w:rPr>
        <w:t xml:space="preserve"> </w:t>
      </w:r>
      <w:r>
        <w:rPr>
          <w:rFonts w:ascii="Segoe UI Symbol" w:hAnsi="Segoe UI Symbol"/>
          <w:w w:val="105"/>
        </w:rPr>
        <w:t>–</w:t>
      </w:r>
      <w:r>
        <w:rPr>
          <w:rFonts w:ascii="Segoe UI Symbol" w:hAnsi="Segoe UI Symbol"/>
          <w:spacing w:val="-3"/>
          <w:w w:val="105"/>
        </w:rPr>
        <w:t xml:space="preserve"> </w:t>
      </w:r>
      <w:r>
        <w:rPr>
          <w:rFonts w:ascii="Segoe UI Symbol" w:hAnsi="Segoe UI Symbol"/>
          <w:w w:val="105"/>
        </w:rPr>
        <w:t>Extramercado</w:t>
      </w:r>
      <w:r>
        <w:rPr>
          <w:rFonts w:ascii="Segoe UI Symbol" w:hAnsi="Segoe UI Symbol"/>
          <w:spacing w:val="-2"/>
          <w:w w:val="105"/>
        </w:rPr>
        <w:t xml:space="preserve"> </w:t>
      </w:r>
      <w:r>
        <w:rPr>
          <w:rFonts w:ascii="Segoe UI Symbol" w:hAnsi="Segoe UI Symbol"/>
          <w:w w:val="105"/>
        </w:rPr>
        <w:t>FAE FI RF.</w:t>
      </w:r>
    </w:p>
    <w:p w14:paraId="76B77501" w14:textId="77777777" w:rsidR="002C6574" w:rsidRDefault="002C6574">
      <w:pPr>
        <w:pStyle w:val="PargrafodaLista"/>
        <w:spacing w:line="237" w:lineRule="auto"/>
        <w:jc w:val="both"/>
        <w:rPr>
          <w:rFonts w:ascii="Segoe UI Symbol" w:hAnsi="Segoe UI Symbol"/>
        </w:rPr>
        <w:sectPr w:rsidR="002C6574">
          <w:headerReference w:type="default" r:id="rId79"/>
          <w:footerReference w:type="default" r:id="rId80"/>
          <w:pgSz w:w="11910" w:h="16840"/>
          <w:pgMar w:top="1600" w:right="141" w:bottom="1320" w:left="1133" w:header="856" w:footer="1125" w:gutter="0"/>
          <w:cols w:space="720"/>
        </w:sectPr>
      </w:pPr>
    </w:p>
    <w:p w14:paraId="7710AD7B" w14:textId="77777777" w:rsidR="002C6574" w:rsidRDefault="00000000">
      <w:pPr>
        <w:pStyle w:val="PargrafodaLista"/>
        <w:numPr>
          <w:ilvl w:val="0"/>
          <w:numId w:val="39"/>
        </w:numPr>
        <w:tabs>
          <w:tab w:val="left" w:pos="549"/>
        </w:tabs>
        <w:spacing w:before="198"/>
        <w:ind w:right="706" w:firstLine="0"/>
        <w:jc w:val="both"/>
        <w:rPr>
          <w:rFonts w:ascii="Segoe UI Symbol" w:hAnsi="Segoe UI Symbol"/>
        </w:rPr>
      </w:pPr>
      <w:r>
        <w:rPr>
          <w:rFonts w:ascii="Segoe UI Symbol" w:hAnsi="Segoe UI Symbol"/>
        </w:rPr>
        <w:lastRenderedPageBreak/>
        <w:t>Representa investimentos em títulos mobiliários (ações) de empresas de telecomunicações e no Fundo de Investimento na Amazônia (FINAM) e que são negociados na Bolsa de Valores - Bovespa. Estes investimentos estão classificados como instrumentos financeiros na categoria de valor justo</w:t>
      </w:r>
      <w:r>
        <w:rPr>
          <w:rFonts w:ascii="Segoe UI Symbol" w:hAnsi="Segoe UI Symbol"/>
          <w:spacing w:val="40"/>
        </w:rPr>
        <w:t xml:space="preserve"> </w:t>
      </w:r>
      <w:r>
        <w:rPr>
          <w:rFonts w:ascii="Segoe UI Symbol" w:hAnsi="Segoe UI Symbol"/>
        </w:rPr>
        <w:t>por meio de outros resultados abrangentes.</w:t>
      </w:r>
    </w:p>
    <w:p w14:paraId="55DC4D48" w14:textId="77777777" w:rsidR="002C6574" w:rsidRDefault="00000000">
      <w:pPr>
        <w:pStyle w:val="PargrafodaLista"/>
        <w:numPr>
          <w:ilvl w:val="0"/>
          <w:numId w:val="39"/>
        </w:numPr>
        <w:tabs>
          <w:tab w:val="left" w:pos="516"/>
        </w:tabs>
        <w:spacing w:before="205"/>
        <w:ind w:right="705" w:firstLine="0"/>
        <w:jc w:val="both"/>
        <w:rPr>
          <w:rFonts w:ascii="Segoe UI Symbol" w:hAnsi="Segoe UI Symbol"/>
        </w:rPr>
      </w:pPr>
      <w:r>
        <w:rPr>
          <w:rFonts w:ascii="Segoe UI Symbol" w:hAnsi="Segoe UI Symbol"/>
          <w:w w:val="105"/>
        </w:rPr>
        <w:t>Em</w:t>
      </w:r>
      <w:r>
        <w:rPr>
          <w:rFonts w:ascii="Segoe UI Symbol" w:hAnsi="Segoe UI Symbol"/>
          <w:spacing w:val="-16"/>
          <w:w w:val="105"/>
        </w:rPr>
        <w:t xml:space="preserve"> </w:t>
      </w:r>
      <w:r>
        <w:rPr>
          <w:rFonts w:ascii="Segoe UI Symbol" w:hAnsi="Segoe UI Symbol"/>
          <w:w w:val="105"/>
        </w:rPr>
        <w:t>dezembro</w:t>
      </w:r>
      <w:r>
        <w:rPr>
          <w:rFonts w:ascii="Segoe UI Symbol" w:hAnsi="Segoe UI Symbol"/>
          <w:spacing w:val="-16"/>
          <w:w w:val="105"/>
        </w:rPr>
        <w:t xml:space="preserve"> </w:t>
      </w:r>
      <w:r>
        <w:rPr>
          <w:rFonts w:ascii="Segoe UI Symbol" w:hAnsi="Segoe UI Symbol"/>
          <w:w w:val="105"/>
        </w:rPr>
        <w:t>de</w:t>
      </w:r>
      <w:r>
        <w:rPr>
          <w:rFonts w:ascii="Segoe UI Symbol" w:hAnsi="Segoe UI Symbol"/>
          <w:spacing w:val="-16"/>
          <w:w w:val="105"/>
        </w:rPr>
        <w:t xml:space="preserve"> </w:t>
      </w:r>
      <w:r>
        <w:rPr>
          <w:rFonts w:ascii="Segoe UI Symbol" w:hAnsi="Segoe UI Symbol"/>
          <w:w w:val="105"/>
        </w:rPr>
        <w:t>2019,</w:t>
      </w:r>
      <w:r>
        <w:rPr>
          <w:rFonts w:ascii="Segoe UI Symbol" w:hAnsi="Segoe UI Symbol"/>
          <w:spacing w:val="-16"/>
          <w:w w:val="105"/>
        </w:rPr>
        <w:t xml:space="preserve"> </w:t>
      </w:r>
      <w:r>
        <w:rPr>
          <w:rFonts w:ascii="Segoe UI Symbol" w:hAnsi="Segoe UI Symbol"/>
          <w:w w:val="105"/>
        </w:rPr>
        <w:t>a</w:t>
      </w:r>
      <w:r>
        <w:rPr>
          <w:rFonts w:ascii="Segoe UI Symbol" w:hAnsi="Segoe UI Symbol"/>
          <w:spacing w:val="-16"/>
          <w:w w:val="105"/>
        </w:rPr>
        <w:t xml:space="preserve"> </w:t>
      </w:r>
      <w:r>
        <w:rPr>
          <w:rFonts w:ascii="Segoe UI Symbol" w:hAnsi="Segoe UI Symbol"/>
          <w:w w:val="105"/>
        </w:rPr>
        <w:t>União</w:t>
      </w:r>
      <w:r>
        <w:rPr>
          <w:rFonts w:ascii="Segoe UI Symbol" w:hAnsi="Segoe UI Symbol"/>
          <w:spacing w:val="-15"/>
          <w:w w:val="105"/>
        </w:rPr>
        <w:t xml:space="preserve"> </w:t>
      </w:r>
      <w:r>
        <w:rPr>
          <w:rFonts w:ascii="Segoe UI Symbol" w:hAnsi="Segoe UI Symbol"/>
          <w:w w:val="105"/>
        </w:rPr>
        <w:t>destinou</w:t>
      </w:r>
      <w:r>
        <w:rPr>
          <w:rFonts w:ascii="Segoe UI Symbol" w:hAnsi="Segoe UI Symbol"/>
          <w:spacing w:val="-16"/>
          <w:w w:val="105"/>
        </w:rPr>
        <w:t xml:space="preserve"> </w:t>
      </w:r>
      <w:r>
        <w:rPr>
          <w:rFonts w:ascii="Segoe UI Symbol" w:hAnsi="Segoe UI Symbol"/>
          <w:w w:val="105"/>
        </w:rPr>
        <w:t>à</w:t>
      </w:r>
      <w:r>
        <w:rPr>
          <w:rFonts w:ascii="Segoe UI Symbol" w:hAnsi="Segoe UI Symbol"/>
          <w:spacing w:val="-16"/>
          <w:w w:val="105"/>
        </w:rPr>
        <w:t xml:space="preserve"> </w:t>
      </w:r>
      <w:r>
        <w:rPr>
          <w:rFonts w:ascii="Segoe UI Symbol" w:hAnsi="Segoe UI Symbol"/>
          <w:w w:val="105"/>
        </w:rPr>
        <w:t>Companhia</w:t>
      </w:r>
      <w:r>
        <w:rPr>
          <w:rFonts w:ascii="Segoe UI Symbol" w:hAnsi="Segoe UI Symbol"/>
          <w:spacing w:val="-16"/>
          <w:w w:val="105"/>
        </w:rPr>
        <w:t xml:space="preserve"> </w:t>
      </w:r>
      <w:r>
        <w:rPr>
          <w:rFonts w:ascii="Segoe UI Symbol" w:hAnsi="Segoe UI Symbol"/>
          <w:w w:val="105"/>
        </w:rPr>
        <w:t>o</w:t>
      </w:r>
      <w:r>
        <w:rPr>
          <w:rFonts w:ascii="Segoe UI Symbol" w:hAnsi="Segoe UI Symbol"/>
          <w:spacing w:val="-16"/>
          <w:w w:val="105"/>
        </w:rPr>
        <w:t xml:space="preserve"> </w:t>
      </w:r>
      <w:r>
        <w:rPr>
          <w:rFonts w:ascii="Segoe UI Symbol" w:hAnsi="Segoe UI Symbol"/>
          <w:w w:val="105"/>
        </w:rPr>
        <w:t>montante</w:t>
      </w:r>
      <w:r>
        <w:rPr>
          <w:rFonts w:ascii="Segoe UI Symbol" w:hAnsi="Segoe UI Symbol"/>
          <w:spacing w:val="-16"/>
          <w:w w:val="105"/>
        </w:rPr>
        <w:t xml:space="preserve"> </w:t>
      </w:r>
      <w:r>
        <w:rPr>
          <w:rFonts w:ascii="Segoe UI Symbol" w:hAnsi="Segoe UI Symbol"/>
          <w:w w:val="105"/>
        </w:rPr>
        <w:t>de</w:t>
      </w:r>
      <w:r>
        <w:rPr>
          <w:rFonts w:ascii="Segoe UI Symbol" w:hAnsi="Segoe UI Symbol"/>
          <w:spacing w:val="-15"/>
          <w:w w:val="105"/>
        </w:rPr>
        <w:t xml:space="preserve"> </w:t>
      </w:r>
      <w:r>
        <w:rPr>
          <w:rFonts w:ascii="Segoe UI Symbol" w:hAnsi="Segoe UI Symbol"/>
          <w:w w:val="105"/>
        </w:rPr>
        <w:t>R$</w:t>
      </w:r>
      <w:r>
        <w:rPr>
          <w:rFonts w:ascii="Segoe UI Symbol" w:hAnsi="Segoe UI Symbol"/>
          <w:spacing w:val="-16"/>
          <w:w w:val="105"/>
        </w:rPr>
        <w:t xml:space="preserve"> </w:t>
      </w:r>
      <w:r>
        <w:rPr>
          <w:rFonts w:ascii="Segoe UI Symbol" w:hAnsi="Segoe UI Symbol"/>
          <w:w w:val="105"/>
        </w:rPr>
        <w:t>822.352,</w:t>
      </w:r>
      <w:r>
        <w:rPr>
          <w:rFonts w:ascii="Segoe UI Symbol" w:hAnsi="Segoe UI Symbol"/>
          <w:spacing w:val="-16"/>
          <w:w w:val="105"/>
        </w:rPr>
        <w:t xml:space="preserve"> </w:t>
      </w:r>
      <w:r>
        <w:rPr>
          <w:rFonts w:ascii="Segoe UI Symbol" w:hAnsi="Segoe UI Symbol"/>
          <w:w w:val="105"/>
        </w:rPr>
        <w:t>na</w:t>
      </w:r>
      <w:r>
        <w:rPr>
          <w:rFonts w:ascii="Segoe UI Symbol" w:hAnsi="Segoe UI Symbol"/>
          <w:spacing w:val="-16"/>
          <w:w w:val="105"/>
        </w:rPr>
        <w:t xml:space="preserve"> </w:t>
      </w:r>
      <w:r>
        <w:rPr>
          <w:rFonts w:ascii="Segoe UI Symbol" w:hAnsi="Segoe UI Symbol"/>
          <w:w w:val="105"/>
        </w:rPr>
        <w:t>forma</w:t>
      </w:r>
      <w:r>
        <w:rPr>
          <w:rFonts w:ascii="Segoe UI Symbol" w:hAnsi="Segoe UI Symbol"/>
          <w:spacing w:val="-16"/>
          <w:w w:val="105"/>
        </w:rPr>
        <w:t xml:space="preserve"> </w:t>
      </w:r>
      <w:r>
        <w:rPr>
          <w:rFonts w:ascii="Segoe UI Symbol" w:hAnsi="Segoe UI Symbol"/>
          <w:w w:val="105"/>
        </w:rPr>
        <w:t>de Adiantamento</w:t>
      </w:r>
      <w:r>
        <w:rPr>
          <w:rFonts w:ascii="Segoe UI Symbol" w:hAnsi="Segoe UI Symbol"/>
          <w:spacing w:val="-12"/>
          <w:w w:val="105"/>
        </w:rPr>
        <w:t xml:space="preserve"> </w:t>
      </w:r>
      <w:r>
        <w:rPr>
          <w:rFonts w:ascii="Segoe UI Symbol" w:hAnsi="Segoe UI Symbol"/>
          <w:w w:val="105"/>
        </w:rPr>
        <w:t>para</w:t>
      </w:r>
      <w:r>
        <w:rPr>
          <w:rFonts w:ascii="Segoe UI Symbol" w:hAnsi="Segoe UI Symbol"/>
          <w:spacing w:val="-12"/>
          <w:w w:val="105"/>
        </w:rPr>
        <w:t xml:space="preserve"> </w:t>
      </w:r>
      <w:r>
        <w:rPr>
          <w:rFonts w:ascii="Segoe UI Symbol" w:hAnsi="Segoe UI Symbol"/>
          <w:w w:val="105"/>
        </w:rPr>
        <w:t>Futuro</w:t>
      </w:r>
      <w:r>
        <w:rPr>
          <w:rFonts w:ascii="Segoe UI Symbol" w:hAnsi="Segoe UI Symbol"/>
          <w:spacing w:val="-12"/>
          <w:w w:val="105"/>
        </w:rPr>
        <w:t xml:space="preserve"> </w:t>
      </w:r>
      <w:r>
        <w:rPr>
          <w:rFonts w:ascii="Segoe UI Symbol" w:hAnsi="Segoe UI Symbol"/>
          <w:w w:val="105"/>
        </w:rPr>
        <w:t>Aumento</w:t>
      </w:r>
      <w:r>
        <w:rPr>
          <w:rFonts w:ascii="Segoe UI Symbol" w:hAnsi="Segoe UI Symbol"/>
          <w:spacing w:val="-14"/>
          <w:w w:val="105"/>
        </w:rPr>
        <w:t xml:space="preserve"> </w:t>
      </w:r>
      <w:r>
        <w:rPr>
          <w:rFonts w:ascii="Segoe UI Symbol" w:hAnsi="Segoe UI Symbol"/>
          <w:w w:val="105"/>
        </w:rPr>
        <w:t>de</w:t>
      </w:r>
      <w:r>
        <w:rPr>
          <w:rFonts w:ascii="Segoe UI Symbol" w:hAnsi="Segoe UI Symbol"/>
          <w:spacing w:val="-14"/>
          <w:w w:val="105"/>
        </w:rPr>
        <w:t xml:space="preserve"> </w:t>
      </w:r>
      <w:r>
        <w:rPr>
          <w:rFonts w:ascii="Segoe UI Symbol" w:hAnsi="Segoe UI Symbol"/>
          <w:w w:val="105"/>
        </w:rPr>
        <w:t>Capital</w:t>
      </w:r>
      <w:r>
        <w:rPr>
          <w:rFonts w:ascii="Segoe UI Symbol" w:hAnsi="Segoe UI Symbol"/>
          <w:spacing w:val="-14"/>
          <w:w w:val="105"/>
        </w:rPr>
        <w:t xml:space="preserve"> </w:t>
      </w:r>
      <w:r>
        <w:rPr>
          <w:rFonts w:ascii="Segoe UI Symbol" w:hAnsi="Segoe UI Symbol"/>
          <w:w w:val="105"/>
        </w:rPr>
        <w:t>(AFAC),</w:t>
      </w:r>
      <w:r>
        <w:rPr>
          <w:rFonts w:ascii="Segoe UI Symbol" w:hAnsi="Segoe UI Symbol"/>
          <w:spacing w:val="-11"/>
          <w:w w:val="105"/>
        </w:rPr>
        <w:t xml:space="preserve"> </w:t>
      </w:r>
      <w:r>
        <w:rPr>
          <w:rFonts w:ascii="Segoe UI Symbol" w:hAnsi="Segoe UI Symbol"/>
          <w:w w:val="105"/>
        </w:rPr>
        <w:t>conforme</w:t>
      </w:r>
      <w:r>
        <w:rPr>
          <w:rFonts w:ascii="Segoe UI Symbol" w:hAnsi="Segoe UI Symbol"/>
          <w:spacing w:val="-14"/>
          <w:w w:val="105"/>
        </w:rPr>
        <w:t xml:space="preserve"> </w:t>
      </w:r>
      <w:r>
        <w:rPr>
          <w:rFonts w:ascii="Segoe UI Symbol" w:hAnsi="Segoe UI Symbol"/>
          <w:w w:val="105"/>
        </w:rPr>
        <w:t>a</w:t>
      </w:r>
      <w:r>
        <w:rPr>
          <w:rFonts w:ascii="Segoe UI Symbol" w:hAnsi="Segoe UI Symbol"/>
          <w:spacing w:val="-12"/>
          <w:w w:val="105"/>
        </w:rPr>
        <w:t xml:space="preserve"> </w:t>
      </w:r>
      <w:r>
        <w:rPr>
          <w:rFonts w:ascii="Segoe UI Symbol" w:hAnsi="Segoe UI Symbol"/>
          <w:w w:val="105"/>
        </w:rPr>
        <w:t>Lei</w:t>
      </w:r>
      <w:r>
        <w:rPr>
          <w:rFonts w:ascii="Segoe UI Symbol" w:hAnsi="Segoe UI Symbol"/>
          <w:spacing w:val="-12"/>
          <w:w w:val="105"/>
        </w:rPr>
        <w:t xml:space="preserve"> </w:t>
      </w:r>
      <w:r>
        <w:rPr>
          <w:rFonts w:ascii="Segoe UI Symbol" w:hAnsi="Segoe UI Symbol"/>
          <w:w w:val="105"/>
        </w:rPr>
        <w:t>Orçamentária</w:t>
      </w:r>
      <w:r>
        <w:rPr>
          <w:rFonts w:ascii="Segoe UI Symbol" w:hAnsi="Segoe UI Symbol"/>
          <w:spacing w:val="-11"/>
          <w:w w:val="105"/>
        </w:rPr>
        <w:t xml:space="preserve"> </w:t>
      </w:r>
      <w:r>
        <w:rPr>
          <w:rFonts w:ascii="Segoe UI Symbol" w:hAnsi="Segoe UI Symbol"/>
          <w:w w:val="105"/>
        </w:rPr>
        <w:t>Anual</w:t>
      </w:r>
      <w:r>
        <w:rPr>
          <w:rFonts w:ascii="Segoe UI Symbol" w:hAnsi="Segoe UI Symbol"/>
          <w:spacing w:val="-14"/>
          <w:w w:val="105"/>
        </w:rPr>
        <w:t xml:space="preserve"> </w:t>
      </w:r>
      <w:r>
        <w:rPr>
          <w:rFonts w:ascii="Segoe UI Symbol" w:hAnsi="Segoe UI Symbol"/>
          <w:w w:val="105"/>
        </w:rPr>
        <w:t>(LOA) então</w:t>
      </w:r>
      <w:r>
        <w:rPr>
          <w:rFonts w:ascii="Segoe UI Symbol" w:hAnsi="Segoe UI Symbol"/>
          <w:spacing w:val="-2"/>
          <w:w w:val="105"/>
        </w:rPr>
        <w:t xml:space="preserve"> </w:t>
      </w:r>
      <w:r>
        <w:rPr>
          <w:rFonts w:ascii="Segoe UI Symbol" w:hAnsi="Segoe UI Symbol"/>
          <w:w w:val="105"/>
        </w:rPr>
        <w:t>vigente.</w:t>
      </w:r>
      <w:r>
        <w:rPr>
          <w:rFonts w:ascii="Segoe UI Symbol" w:hAnsi="Segoe UI Symbol"/>
          <w:spacing w:val="-2"/>
          <w:w w:val="105"/>
        </w:rPr>
        <w:t xml:space="preserve"> </w:t>
      </w:r>
      <w:r>
        <w:rPr>
          <w:rFonts w:ascii="Segoe UI Symbol" w:hAnsi="Segoe UI Symbol"/>
          <w:w w:val="105"/>
        </w:rPr>
        <w:t>Esses</w:t>
      </w:r>
      <w:r>
        <w:rPr>
          <w:rFonts w:ascii="Segoe UI Symbol" w:hAnsi="Segoe UI Symbol"/>
          <w:spacing w:val="-3"/>
          <w:w w:val="105"/>
        </w:rPr>
        <w:t xml:space="preserve"> </w:t>
      </w:r>
      <w:r>
        <w:rPr>
          <w:rFonts w:ascii="Segoe UI Symbol" w:hAnsi="Segoe UI Symbol"/>
          <w:w w:val="105"/>
        </w:rPr>
        <w:t>recursos</w:t>
      </w:r>
      <w:r>
        <w:rPr>
          <w:rFonts w:ascii="Segoe UI Symbol" w:hAnsi="Segoe UI Symbol"/>
          <w:spacing w:val="-1"/>
          <w:w w:val="105"/>
        </w:rPr>
        <w:t xml:space="preserve"> </w:t>
      </w:r>
      <w:r>
        <w:rPr>
          <w:rFonts w:ascii="Segoe UI Symbol" w:hAnsi="Segoe UI Symbol"/>
          <w:w w:val="105"/>
        </w:rPr>
        <w:t>estão</w:t>
      </w:r>
      <w:r>
        <w:rPr>
          <w:rFonts w:ascii="Segoe UI Symbol" w:hAnsi="Segoe UI Symbol"/>
          <w:spacing w:val="-5"/>
          <w:w w:val="105"/>
        </w:rPr>
        <w:t xml:space="preserve"> </w:t>
      </w:r>
      <w:r>
        <w:rPr>
          <w:rFonts w:ascii="Segoe UI Symbol" w:hAnsi="Segoe UI Symbol"/>
          <w:w w:val="105"/>
        </w:rPr>
        <w:t>sendo</w:t>
      </w:r>
      <w:r>
        <w:rPr>
          <w:rFonts w:ascii="Segoe UI Symbol" w:hAnsi="Segoe UI Symbol"/>
          <w:spacing w:val="-3"/>
          <w:w w:val="105"/>
        </w:rPr>
        <w:t xml:space="preserve"> </w:t>
      </w:r>
      <w:r>
        <w:rPr>
          <w:rFonts w:ascii="Segoe UI Symbol" w:hAnsi="Segoe UI Symbol"/>
          <w:w w:val="105"/>
        </w:rPr>
        <w:t>investidos</w:t>
      </w:r>
      <w:r>
        <w:rPr>
          <w:rFonts w:ascii="Segoe UI Symbol" w:hAnsi="Segoe UI Symbol"/>
          <w:spacing w:val="-3"/>
          <w:w w:val="105"/>
        </w:rPr>
        <w:t xml:space="preserve"> </w:t>
      </w:r>
      <w:r>
        <w:rPr>
          <w:rFonts w:ascii="Segoe UI Symbol" w:hAnsi="Segoe UI Symbol"/>
          <w:w w:val="105"/>
        </w:rPr>
        <w:t>de</w:t>
      </w:r>
      <w:r>
        <w:rPr>
          <w:rFonts w:ascii="Segoe UI Symbol" w:hAnsi="Segoe UI Symbol"/>
          <w:spacing w:val="-1"/>
          <w:w w:val="105"/>
        </w:rPr>
        <w:t xml:space="preserve"> </w:t>
      </w:r>
      <w:r>
        <w:rPr>
          <w:rFonts w:ascii="Segoe UI Symbol" w:hAnsi="Segoe UI Symbol"/>
          <w:w w:val="105"/>
        </w:rPr>
        <w:t>acordo</w:t>
      </w:r>
      <w:r>
        <w:rPr>
          <w:rFonts w:ascii="Segoe UI Symbol" w:hAnsi="Segoe UI Symbol"/>
          <w:spacing w:val="-1"/>
          <w:w w:val="105"/>
        </w:rPr>
        <w:t xml:space="preserve"> </w:t>
      </w:r>
      <w:r>
        <w:rPr>
          <w:rFonts w:ascii="Segoe UI Symbol" w:hAnsi="Segoe UI Symbol"/>
          <w:w w:val="105"/>
        </w:rPr>
        <w:t>com</w:t>
      </w:r>
      <w:r>
        <w:rPr>
          <w:rFonts w:ascii="Segoe UI Symbol" w:hAnsi="Segoe UI Symbol"/>
          <w:spacing w:val="-4"/>
          <w:w w:val="105"/>
        </w:rPr>
        <w:t xml:space="preserve"> </w:t>
      </w:r>
      <w:r>
        <w:rPr>
          <w:rFonts w:ascii="Segoe UI Symbol" w:hAnsi="Segoe UI Symbol"/>
          <w:w w:val="105"/>
        </w:rPr>
        <w:t>as</w:t>
      </w:r>
      <w:r>
        <w:rPr>
          <w:rFonts w:ascii="Segoe UI Symbol" w:hAnsi="Segoe UI Symbol"/>
          <w:spacing w:val="-3"/>
          <w:w w:val="105"/>
        </w:rPr>
        <w:t xml:space="preserve"> </w:t>
      </w:r>
      <w:r>
        <w:rPr>
          <w:rFonts w:ascii="Segoe UI Symbol" w:hAnsi="Segoe UI Symbol"/>
          <w:w w:val="105"/>
        </w:rPr>
        <w:t>especificações</w:t>
      </w:r>
      <w:r>
        <w:rPr>
          <w:rFonts w:ascii="Segoe UI Symbol" w:hAnsi="Segoe UI Symbol"/>
          <w:spacing w:val="-1"/>
          <w:w w:val="105"/>
        </w:rPr>
        <w:t xml:space="preserve"> </w:t>
      </w:r>
      <w:r>
        <w:rPr>
          <w:rFonts w:ascii="Segoe UI Symbol" w:hAnsi="Segoe UI Symbol"/>
          <w:w w:val="105"/>
        </w:rPr>
        <w:t>da</w:t>
      </w:r>
      <w:r>
        <w:rPr>
          <w:rFonts w:ascii="Segoe UI Symbol" w:hAnsi="Segoe UI Symbol"/>
          <w:spacing w:val="-4"/>
          <w:w w:val="105"/>
        </w:rPr>
        <w:t xml:space="preserve"> </w:t>
      </w:r>
      <w:r>
        <w:rPr>
          <w:rFonts w:ascii="Segoe UI Symbol" w:hAnsi="Segoe UI Symbol"/>
          <w:w w:val="105"/>
        </w:rPr>
        <w:t>LOA.</w:t>
      </w:r>
    </w:p>
    <w:p w14:paraId="7F8D97E6" w14:textId="77777777" w:rsidR="002C6574" w:rsidRDefault="002C6574">
      <w:pPr>
        <w:pStyle w:val="Corpodetexto"/>
        <w:spacing w:before="24"/>
      </w:pPr>
    </w:p>
    <w:p w14:paraId="76093D1A" w14:textId="77777777" w:rsidR="002C6574" w:rsidRDefault="00000000">
      <w:pPr>
        <w:numPr>
          <w:ilvl w:val="0"/>
          <w:numId w:val="54"/>
        </w:numPr>
        <w:tabs>
          <w:tab w:val="left" w:pos="995"/>
        </w:tabs>
        <w:ind w:left="995" w:hanging="852"/>
        <w:rPr>
          <w:rFonts w:ascii="Arial"/>
          <w:b/>
        </w:rPr>
      </w:pPr>
      <w:r>
        <w:rPr>
          <w:rFonts w:ascii="Arial"/>
          <w:b/>
          <w:spacing w:val="-2"/>
        </w:rPr>
        <w:t>INVESTIMENTOS</w:t>
      </w:r>
    </w:p>
    <w:p w14:paraId="5B79F3AC" w14:textId="77777777" w:rsidR="002C6574" w:rsidRDefault="00000000">
      <w:pPr>
        <w:numPr>
          <w:ilvl w:val="1"/>
          <w:numId w:val="38"/>
        </w:numPr>
        <w:tabs>
          <w:tab w:val="left" w:pos="995"/>
        </w:tabs>
        <w:spacing w:before="196"/>
        <w:rPr>
          <w:rFonts w:ascii="Arial" w:hAnsi="Arial"/>
          <w:b/>
        </w:rPr>
      </w:pPr>
      <w:r>
        <w:rPr>
          <w:rFonts w:ascii="Arial" w:hAnsi="Arial"/>
          <w:b/>
        </w:rPr>
        <w:t>Informações</w:t>
      </w:r>
      <w:r>
        <w:rPr>
          <w:rFonts w:ascii="Arial" w:hAnsi="Arial"/>
          <w:b/>
          <w:spacing w:val="-3"/>
        </w:rPr>
        <w:t xml:space="preserve"> </w:t>
      </w:r>
      <w:r>
        <w:rPr>
          <w:rFonts w:ascii="Arial" w:hAnsi="Arial"/>
          <w:b/>
        </w:rPr>
        <w:t>das</w:t>
      </w:r>
      <w:r>
        <w:rPr>
          <w:rFonts w:ascii="Arial" w:hAnsi="Arial"/>
          <w:b/>
          <w:spacing w:val="-9"/>
        </w:rPr>
        <w:t xml:space="preserve"> </w:t>
      </w:r>
      <w:r>
        <w:rPr>
          <w:rFonts w:ascii="Arial" w:hAnsi="Arial"/>
          <w:b/>
          <w:spacing w:val="-2"/>
        </w:rPr>
        <w:t>investidas</w:t>
      </w:r>
    </w:p>
    <w:p w14:paraId="7085F69B" w14:textId="77777777" w:rsidR="002C6574" w:rsidRDefault="00000000">
      <w:pPr>
        <w:pStyle w:val="Corpodetexto"/>
        <w:spacing w:before="222" w:line="237" w:lineRule="auto"/>
        <w:ind w:left="143" w:right="703"/>
        <w:jc w:val="both"/>
      </w:pPr>
      <w:r>
        <w:rPr>
          <w:w w:val="105"/>
        </w:rPr>
        <w:t xml:space="preserve">A Companhia detém participação societária na coligada, cujas informações são apresentadas a </w:t>
      </w:r>
      <w:r>
        <w:rPr>
          <w:spacing w:val="-2"/>
          <w:w w:val="105"/>
        </w:rPr>
        <w:t>seguir:</w:t>
      </w:r>
    </w:p>
    <w:p w14:paraId="5E529271" w14:textId="77777777" w:rsidR="002C6574" w:rsidRDefault="00000000">
      <w:pPr>
        <w:pStyle w:val="Corpodetexto"/>
        <w:spacing w:before="187" w:line="237" w:lineRule="auto"/>
        <w:ind w:left="143" w:right="702"/>
        <w:jc w:val="both"/>
      </w:pPr>
      <w:r>
        <w:rPr>
          <w:rFonts w:ascii="Arial" w:hAnsi="Arial"/>
          <w:b/>
        </w:rPr>
        <w:t>VISIONA TECNOLOGIA ESPACIAL S.A</w:t>
      </w:r>
      <w:r>
        <w:t>. (“VISIONA” ou Coligada), constituída em 14 de junho de 2011, com sede na cidade de São José dos Campos, Estado de São Paulo, Brasil, tem por objeto atuar, no Brasil ou no exterior, nas atividades de pesquisa, especificação, projeto, desenvolvimento, certificação, fabricação, prestação de serviços de manutenção, de engenharia, modernização,</w:t>
      </w:r>
      <w:r>
        <w:rPr>
          <w:spacing w:val="80"/>
        </w:rPr>
        <w:t xml:space="preserve"> </w:t>
      </w:r>
      <w:r>
        <w:t>seleção e contratação de fornecedores, integração, logística, treinamento, operação,</w:t>
      </w:r>
      <w:r>
        <w:rPr>
          <w:spacing w:val="80"/>
        </w:rPr>
        <w:t xml:space="preserve"> </w:t>
      </w:r>
      <w:r>
        <w:t>comercialização, locação, importação e exportação de satélites, estações de terra e outros equipamentos e sistemas aeroespaciais, voltados, inclusive, para atividades relacionadas ao atendimento</w:t>
      </w:r>
      <w:r>
        <w:rPr>
          <w:spacing w:val="-7"/>
        </w:rPr>
        <w:t xml:space="preserve"> </w:t>
      </w:r>
      <w:r>
        <w:t>das</w:t>
      </w:r>
      <w:r>
        <w:rPr>
          <w:spacing w:val="-2"/>
        </w:rPr>
        <w:t xml:space="preserve"> </w:t>
      </w:r>
      <w:r>
        <w:t>necessidades</w:t>
      </w:r>
      <w:r>
        <w:rPr>
          <w:spacing w:val="-2"/>
        </w:rPr>
        <w:t xml:space="preserve"> </w:t>
      </w:r>
      <w:r>
        <w:t>do</w:t>
      </w:r>
      <w:r>
        <w:rPr>
          <w:spacing w:val="-5"/>
        </w:rPr>
        <w:t xml:space="preserve"> </w:t>
      </w:r>
      <w:r>
        <w:t>Governo</w:t>
      </w:r>
      <w:r>
        <w:rPr>
          <w:spacing w:val="-7"/>
        </w:rPr>
        <w:t xml:space="preserve"> </w:t>
      </w:r>
      <w:r>
        <w:t>Federal</w:t>
      </w:r>
      <w:r>
        <w:rPr>
          <w:spacing w:val="-5"/>
        </w:rPr>
        <w:t xml:space="preserve"> </w:t>
      </w:r>
      <w:r>
        <w:t>relativas</w:t>
      </w:r>
      <w:r>
        <w:rPr>
          <w:spacing w:val="-2"/>
        </w:rPr>
        <w:t xml:space="preserve"> </w:t>
      </w:r>
      <w:r>
        <w:t>ao</w:t>
      </w:r>
      <w:r>
        <w:rPr>
          <w:spacing w:val="-3"/>
        </w:rPr>
        <w:t xml:space="preserve"> </w:t>
      </w:r>
      <w:r>
        <w:t>plano</w:t>
      </w:r>
      <w:r>
        <w:rPr>
          <w:spacing w:val="-2"/>
        </w:rPr>
        <w:t xml:space="preserve"> </w:t>
      </w:r>
      <w:r>
        <w:t>de</w:t>
      </w:r>
      <w:r>
        <w:rPr>
          <w:spacing w:val="-3"/>
        </w:rPr>
        <w:t xml:space="preserve"> </w:t>
      </w:r>
      <w:r>
        <w:t>desenvolvimento</w:t>
      </w:r>
      <w:r>
        <w:rPr>
          <w:spacing w:val="-2"/>
        </w:rPr>
        <w:t xml:space="preserve"> </w:t>
      </w:r>
      <w:r>
        <w:t>de</w:t>
      </w:r>
      <w:r>
        <w:rPr>
          <w:spacing w:val="-7"/>
        </w:rPr>
        <w:t xml:space="preserve"> </w:t>
      </w:r>
      <w:r>
        <w:t>satélite brasileiro, em especial no âmbito do Programa Nacional de Banda Larga – PNBL, e à comunicação estratégica de defesa e governamental, no âmbito da Estratégia Nacional de Defesa, assim como o suporte logístico contratado para as atividades mencionadas.</w:t>
      </w:r>
    </w:p>
    <w:p w14:paraId="20C8D5E4" w14:textId="77777777" w:rsidR="002C6574" w:rsidRDefault="00000000">
      <w:pPr>
        <w:pStyle w:val="Corpodetexto"/>
        <w:spacing w:before="199" w:line="237" w:lineRule="auto"/>
        <w:ind w:left="143" w:right="704"/>
        <w:jc w:val="both"/>
      </w:pPr>
      <w:r>
        <w:rPr>
          <w:w w:val="105"/>
        </w:rPr>
        <w:t>A</w:t>
      </w:r>
      <w:r>
        <w:rPr>
          <w:spacing w:val="-6"/>
          <w:w w:val="105"/>
        </w:rPr>
        <w:t xml:space="preserve"> </w:t>
      </w:r>
      <w:r>
        <w:rPr>
          <w:w w:val="105"/>
        </w:rPr>
        <w:t>coligada</w:t>
      </w:r>
      <w:r>
        <w:rPr>
          <w:spacing w:val="-6"/>
          <w:w w:val="105"/>
        </w:rPr>
        <w:t xml:space="preserve"> </w:t>
      </w:r>
      <w:r>
        <w:rPr>
          <w:w w:val="105"/>
        </w:rPr>
        <w:t>tem</w:t>
      </w:r>
      <w:r>
        <w:rPr>
          <w:spacing w:val="-6"/>
          <w:w w:val="105"/>
        </w:rPr>
        <w:t xml:space="preserve"> </w:t>
      </w:r>
      <w:r>
        <w:rPr>
          <w:w w:val="105"/>
        </w:rPr>
        <w:t>como</w:t>
      </w:r>
      <w:r>
        <w:rPr>
          <w:spacing w:val="-5"/>
          <w:w w:val="105"/>
        </w:rPr>
        <w:t xml:space="preserve"> </w:t>
      </w:r>
      <w:r>
        <w:rPr>
          <w:w w:val="105"/>
        </w:rPr>
        <w:t>acionistas</w:t>
      </w:r>
      <w:r>
        <w:rPr>
          <w:spacing w:val="-5"/>
          <w:w w:val="105"/>
        </w:rPr>
        <w:t xml:space="preserve"> </w:t>
      </w:r>
      <w:r>
        <w:rPr>
          <w:w w:val="105"/>
        </w:rPr>
        <w:t>as</w:t>
      </w:r>
      <w:r>
        <w:rPr>
          <w:spacing w:val="-5"/>
          <w:w w:val="105"/>
        </w:rPr>
        <w:t xml:space="preserve"> </w:t>
      </w:r>
      <w:r>
        <w:rPr>
          <w:w w:val="105"/>
        </w:rPr>
        <w:t>empresas</w:t>
      </w:r>
      <w:r>
        <w:rPr>
          <w:spacing w:val="-5"/>
          <w:w w:val="105"/>
        </w:rPr>
        <w:t xml:space="preserve"> </w:t>
      </w:r>
      <w:r>
        <w:rPr>
          <w:w w:val="105"/>
        </w:rPr>
        <w:t>Embraer</w:t>
      </w:r>
      <w:r>
        <w:rPr>
          <w:spacing w:val="-6"/>
          <w:w w:val="105"/>
        </w:rPr>
        <w:t xml:space="preserve"> </w:t>
      </w:r>
      <w:r>
        <w:rPr>
          <w:w w:val="105"/>
        </w:rPr>
        <w:t>Defesa</w:t>
      </w:r>
      <w:r>
        <w:rPr>
          <w:spacing w:val="-6"/>
          <w:w w:val="105"/>
        </w:rPr>
        <w:t xml:space="preserve"> </w:t>
      </w:r>
      <w:r>
        <w:rPr>
          <w:w w:val="105"/>
        </w:rPr>
        <w:t>e</w:t>
      </w:r>
      <w:r>
        <w:rPr>
          <w:spacing w:val="-6"/>
          <w:w w:val="105"/>
        </w:rPr>
        <w:t xml:space="preserve"> </w:t>
      </w:r>
      <w:r>
        <w:rPr>
          <w:w w:val="105"/>
        </w:rPr>
        <w:t>Segurança</w:t>
      </w:r>
      <w:r>
        <w:rPr>
          <w:spacing w:val="-6"/>
          <w:w w:val="105"/>
        </w:rPr>
        <w:t xml:space="preserve"> </w:t>
      </w:r>
      <w:r>
        <w:rPr>
          <w:w w:val="105"/>
        </w:rPr>
        <w:t>Participações</w:t>
      </w:r>
      <w:r>
        <w:rPr>
          <w:spacing w:val="-5"/>
          <w:w w:val="105"/>
        </w:rPr>
        <w:t xml:space="preserve"> </w:t>
      </w:r>
      <w:r>
        <w:rPr>
          <w:w w:val="105"/>
        </w:rPr>
        <w:t>S.A,</w:t>
      </w:r>
      <w:r>
        <w:rPr>
          <w:spacing w:val="-5"/>
          <w:w w:val="105"/>
        </w:rPr>
        <w:t xml:space="preserve"> </w:t>
      </w:r>
      <w:r>
        <w:rPr>
          <w:w w:val="105"/>
        </w:rPr>
        <w:t>que detém 51% do capital social e a Telecomunicações Brasileiras S.A com 49% do capital social. O controle da VISIONA é exercido pela Embraer Defesa e Segurança Participações S.A.</w:t>
      </w:r>
    </w:p>
    <w:p w14:paraId="53C24153" w14:textId="77777777" w:rsidR="002C6574" w:rsidRDefault="00000000">
      <w:pPr>
        <w:pStyle w:val="Corpodetexto"/>
        <w:spacing w:before="163" w:line="237" w:lineRule="auto"/>
        <w:ind w:left="143" w:right="704"/>
        <w:jc w:val="both"/>
      </w:pPr>
      <w:r>
        <w:t>Em 31 de dezembro de 2025 e dezembro de 2024, o capital social da coligada é de R$ 75.000, com um total de 75.000.000 de ações ordinárias emitidas. Deste montante, a Telebras detém 36.750.000 de ações.</w:t>
      </w:r>
    </w:p>
    <w:p w14:paraId="5E510184" w14:textId="77777777" w:rsidR="002C6574" w:rsidRDefault="00000000">
      <w:pPr>
        <w:pStyle w:val="PargrafodaLista"/>
        <w:numPr>
          <w:ilvl w:val="1"/>
          <w:numId w:val="38"/>
        </w:numPr>
        <w:tabs>
          <w:tab w:val="left" w:pos="995"/>
        </w:tabs>
        <w:spacing w:before="218"/>
        <w:rPr>
          <w:rFonts w:ascii="Arial" w:hAnsi="Arial"/>
          <w:b/>
        </w:rPr>
      </w:pPr>
      <w:r>
        <w:rPr>
          <w:rFonts w:ascii="Arial" w:hAnsi="Arial"/>
          <w:b/>
        </w:rPr>
        <w:t>Investimentos</w:t>
      </w:r>
      <w:r>
        <w:rPr>
          <w:rFonts w:ascii="Arial" w:hAnsi="Arial"/>
          <w:b/>
          <w:spacing w:val="-9"/>
        </w:rPr>
        <w:t xml:space="preserve"> </w:t>
      </w:r>
      <w:r>
        <w:rPr>
          <w:rFonts w:ascii="Arial" w:hAnsi="Arial"/>
          <w:b/>
        </w:rPr>
        <w:t>avaliados</w:t>
      </w:r>
      <w:r>
        <w:rPr>
          <w:rFonts w:ascii="Arial" w:hAnsi="Arial"/>
          <w:b/>
          <w:spacing w:val="-6"/>
        </w:rPr>
        <w:t xml:space="preserve"> </w:t>
      </w:r>
      <w:r>
        <w:rPr>
          <w:rFonts w:ascii="Arial" w:hAnsi="Arial"/>
          <w:b/>
        </w:rPr>
        <w:t>pelo</w:t>
      </w:r>
      <w:r>
        <w:rPr>
          <w:rFonts w:ascii="Arial" w:hAnsi="Arial"/>
          <w:b/>
          <w:spacing w:val="-4"/>
        </w:rPr>
        <w:t xml:space="preserve"> </w:t>
      </w:r>
      <w:r>
        <w:rPr>
          <w:rFonts w:ascii="Arial" w:hAnsi="Arial"/>
          <w:b/>
        </w:rPr>
        <w:t>método</w:t>
      </w:r>
      <w:r>
        <w:rPr>
          <w:rFonts w:ascii="Arial" w:hAnsi="Arial"/>
          <w:b/>
          <w:spacing w:val="-2"/>
        </w:rPr>
        <w:t xml:space="preserve"> </w:t>
      </w:r>
      <w:r>
        <w:rPr>
          <w:rFonts w:ascii="Arial" w:hAnsi="Arial"/>
          <w:b/>
        </w:rPr>
        <w:t>de</w:t>
      </w:r>
      <w:r>
        <w:rPr>
          <w:rFonts w:ascii="Arial" w:hAnsi="Arial"/>
          <w:b/>
          <w:spacing w:val="-6"/>
        </w:rPr>
        <w:t xml:space="preserve"> </w:t>
      </w:r>
      <w:r>
        <w:rPr>
          <w:rFonts w:ascii="Arial" w:hAnsi="Arial"/>
          <w:b/>
        </w:rPr>
        <w:t>equivalência</w:t>
      </w:r>
      <w:r>
        <w:rPr>
          <w:rFonts w:ascii="Arial" w:hAnsi="Arial"/>
          <w:b/>
          <w:spacing w:val="-6"/>
        </w:rPr>
        <w:t xml:space="preserve"> </w:t>
      </w:r>
      <w:r>
        <w:rPr>
          <w:rFonts w:ascii="Arial" w:hAnsi="Arial"/>
          <w:b/>
          <w:spacing w:val="-2"/>
        </w:rPr>
        <w:t>patrimonial</w:t>
      </w:r>
    </w:p>
    <w:p w14:paraId="64B40229" w14:textId="77777777" w:rsidR="002C6574" w:rsidRDefault="002C6574">
      <w:pPr>
        <w:pStyle w:val="Corpodetexto"/>
        <w:spacing w:before="10"/>
        <w:rPr>
          <w:rFonts w:ascii="Arial"/>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6"/>
        <w:gridCol w:w="1148"/>
        <w:gridCol w:w="990"/>
        <w:gridCol w:w="1110"/>
        <w:gridCol w:w="1110"/>
        <w:gridCol w:w="1019"/>
        <w:gridCol w:w="954"/>
        <w:gridCol w:w="954"/>
      </w:tblGrid>
      <w:tr w:rsidR="002C6574" w14:paraId="6AB9C843" w14:textId="77777777">
        <w:trPr>
          <w:trHeight w:val="263"/>
        </w:trPr>
        <w:tc>
          <w:tcPr>
            <w:tcW w:w="2506" w:type="dxa"/>
            <w:vMerge w:val="restart"/>
            <w:shd w:val="clear" w:color="auto" w:fill="D8D8D8"/>
          </w:tcPr>
          <w:p w14:paraId="68C3DD99" w14:textId="77777777" w:rsidR="002C6574" w:rsidRDefault="002C6574">
            <w:pPr>
              <w:pStyle w:val="TableParagraph"/>
              <w:jc w:val="left"/>
              <w:rPr>
                <w:rFonts w:ascii="Arial"/>
                <w:b/>
                <w:sz w:val="16"/>
              </w:rPr>
            </w:pPr>
          </w:p>
          <w:p w14:paraId="3D191657" w14:textId="77777777" w:rsidR="002C6574" w:rsidRDefault="002C6574">
            <w:pPr>
              <w:pStyle w:val="TableParagraph"/>
              <w:jc w:val="left"/>
              <w:rPr>
                <w:rFonts w:ascii="Arial"/>
                <w:b/>
                <w:sz w:val="16"/>
              </w:rPr>
            </w:pPr>
          </w:p>
          <w:p w14:paraId="067AE6B1" w14:textId="77777777" w:rsidR="002C6574" w:rsidRDefault="00000000">
            <w:pPr>
              <w:pStyle w:val="TableParagraph"/>
              <w:ind w:left="69"/>
              <w:jc w:val="left"/>
              <w:rPr>
                <w:rFonts w:ascii="Arial"/>
                <w:b/>
                <w:sz w:val="16"/>
              </w:rPr>
            </w:pPr>
            <w:r>
              <w:rPr>
                <w:rFonts w:ascii="Arial"/>
                <w:b/>
                <w:spacing w:val="-2"/>
                <w:sz w:val="16"/>
              </w:rPr>
              <w:t>Investida:</w:t>
            </w:r>
          </w:p>
        </w:tc>
        <w:tc>
          <w:tcPr>
            <w:tcW w:w="1148" w:type="dxa"/>
            <w:vMerge w:val="restart"/>
          </w:tcPr>
          <w:p w14:paraId="33F0DB09" w14:textId="77777777" w:rsidR="002C6574" w:rsidRDefault="002C6574">
            <w:pPr>
              <w:pStyle w:val="TableParagraph"/>
              <w:spacing w:before="1"/>
              <w:jc w:val="left"/>
              <w:rPr>
                <w:rFonts w:ascii="Arial"/>
                <w:b/>
                <w:sz w:val="16"/>
              </w:rPr>
            </w:pPr>
          </w:p>
          <w:p w14:paraId="3A0FADBB" w14:textId="77777777" w:rsidR="002C6574" w:rsidRDefault="00000000">
            <w:pPr>
              <w:pStyle w:val="TableParagraph"/>
              <w:ind w:left="76" w:right="71" w:firstLine="48"/>
              <w:jc w:val="center"/>
              <w:rPr>
                <w:rFonts w:ascii="Arial"/>
                <w:b/>
                <w:sz w:val="16"/>
              </w:rPr>
            </w:pPr>
            <w:r>
              <w:rPr>
                <w:rFonts w:ascii="Arial"/>
                <w:b/>
                <w:spacing w:val="-2"/>
                <w:sz w:val="16"/>
              </w:rPr>
              <w:t>Capital Social Integralizado</w:t>
            </w:r>
          </w:p>
        </w:tc>
        <w:tc>
          <w:tcPr>
            <w:tcW w:w="990" w:type="dxa"/>
            <w:vMerge w:val="restart"/>
          </w:tcPr>
          <w:p w14:paraId="0688A106" w14:textId="77777777" w:rsidR="002C6574" w:rsidRDefault="002C6574">
            <w:pPr>
              <w:pStyle w:val="TableParagraph"/>
              <w:jc w:val="left"/>
              <w:rPr>
                <w:rFonts w:ascii="Arial"/>
                <w:b/>
                <w:sz w:val="16"/>
              </w:rPr>
            </w:pPr>
          </w:p>
          <w:p w14:paraId="42961E99" w14:textId="77777777" w:rsidR="002C6574" w:rsidRDefault="002C6574">
            <w:pPr>
              <w:pStyle w:val="TableParagraph"/>
              <w:jc w:val="left"/>
              <w:rPr>
                <w:rFonts w:ascii="Arial"/>
                <w:b/>
                <w:sz w:val="16"/>
              </w:rPr>
            </w:pPr>
          </w:p>
          <w:p w14:paraId="1420AEFF" w14:textId="77777777" w:rsidR="002C6574" w:rsidRDefault="00000000">
            <w:pPr>
              <w:pStyle w:val="TableParagraph"/>
              <w:ind w:left="202" w:hanging="130"/>
              <w:jc w:val="left"/>
              <w:rPr>
                <w:rFonts w:ascii="Arial" w:hAnsi="Arial"/>
                <w:b/>
                <w:sz w:val="16"/>
              </w:rPr>
            </w:pPr>
            <w:r>
              <w:rPr>
                <w:rFonts w:ascii="Arial" w:hAnsi="Arial"/>
                <w:b/>
                <w:spacing w:val="-2"/>
                <w:sz w:val="16"/>
              </w:rPr>
              <w:t>Patrimônio Líquido</w:t>
            </w:r>
          </w:p>
        </w:tc>
        <w:tc>
          <w:tcPr>
            <w:tcW w:w="1110" w:type="dxa"/>
            <w:vMerge w:val="restart"/>
          </w:tcPr>
          <w:p w14:paraId="44E63731" w14:textId="77777777" w:rsidR="002C6574" w:rsidRDefault="002C6574">
            <w:pPr>
              <w:pStyle w:val="TableParagraph"/>
              <w:spacing w:before="92"/>
              <w:jc w:val="left"/>
              <w:rPr>
                <w:rFonts w:ascii="Arial"/>
                <w:b/>
                <w:sz w:val="16"/>
              </w:rPr>
            </w:pPr>
          </w:p>
          <w:p w14:paraId="4EE02260" w14:textId="77777777" w:rsidR="002C6574" w:rsidRDefault="00000000">
            <w:pPr>
              <w:pStyle w:val="TableParagraph"/>
              <w:spacing w:before="1"/>
              <w:ind w:left="163" w:right="69" w:hanging="89"/>
              <w:jc w:val="left"/>
              <w:rPr>
                <w:rFonts w:ascii="Arial" w:hAnsi="Arial"/>
                <w:b/>
                <w:sz w:val="16"/>
              </w:rPr>
            </w:pPr>
            <w:r>
              <w:rPr>
                <w:rFonts w:ascii="Arial" w:hAnsi="Arial"/>
                <w:b/>
                <w:spacing w:val="-2"/>
                <w:sz w:val="16"/>
              </w:rPr>
              <w:t xml:space="preserve">Participação </w:t>
            </w:r>
            <w:r>
              <w:rPr>
                <w:rFonts w:ascii="Arial" w:hAnsi="Arial"/>
                <w:b/>
                <w:sz w:val="16"/>
              </w:rPr>
              <w:t>no Capital Social (%)</w:t>
            </w:r>
          </w:p>
        </w:tc>
        <w:tc>
          <w:tcPr>
            <w:tcW w:w="1110" w:type="dxa"/>
            <w:vMerge w:val="restart"/>
          </w:tcPr>
          <w:p w14:paraId="079392F9" w14:textId="77777777" w:rsidR="002C6574" w:rsidRDefault="002C6574">
            <w:pPr>
              <w:pStyle w:val="TableParagraph"/>
              <w:spacing w:before="1"/>
              <w:jc w:val="left"/>
              <w:rPr>
                <w:rFonts w:ascii="Arial"/>
                <w:b/>
                <w:sz w:val="16"/>
              </w:rPr>
            </w:pPr>
          </w:p>
          <w:p w14:paraId="437A029E" w14:textId="77777777" w:rsidR="002C6574" w:rsidRDefault="00000000">
            <w:pPr>
              <w:pStyle w:val="TableParagraph"/>
              <w:ind w:left="3"/>
              <w:jc w:val="center"/>
              <w:rPr>
                <w:rFonts w:ascii="Arial" w:hAnsi="Arial"/>
                <w:b/>
                <w:sz w:val="16"/>
              </w:rPr>
            </w:pPr>
            <w:r>
              <w:rPr>
                <w:rFonts w:ascii="Arial" w:hAnsi="Arial"/>
                <w:b/>
                <w:spacing w:val="-2"/>
                <w:sz w:val="16"/>
              </w:rPr>
              <w:t xml:space="preserve">Participação </w:t>
            </w:r>
            <w:r>
              <w:rPr>
                <w:rFonts w:ascii="Arial" w:hAnsi="Arial"/>
                <w:b/>
                <w:sz w:val="16"/>
              </w:rPr>
              <w:t xml:space="preserve">nas Ações </w:t>
            </w:r>
            <w:r>
              <w:rPr>
                <w:rFonts w:ascii="Arial" w:hAnsi="Arial"/>
                <w:b/>
                <w:spacing w:val="-2"/>
                <w:sz w:val="16"/>
              </w:rPr>
              <w:t>Ordinárias</w:t>
            </w:r>
          </w:p>
          <w:p w14:paraId="3AC34F06" w14:textId="77777777" w:rsidR="002C6574" w:rsidRDefault="00000000">
            <w:pPr>
              <w:pStyle w:val="TableParagraph"/>
              <w:spacing w:line="163" w:lineRule="exact"/>
              <w:ind w:left="3" w:right="3"/>
              <w:jc w:val="center"/>
              <w:rPr>
                <w:rFonts w:ascii="Arial"/>
                <w:b/>
                <w:sz w:val="16"/>
              </w:rPr>
            </w:pPr>
            <w:r>
              <w:rPr>
                <w:rFonts w:ascii="Arial"/>
                <w:b/>
                <w:spacing w:val="-5"/>
                <w:sz w:val="16"/>
              </w:rPr>
              <w:t>(%)</w:t>
            </w:r>
          </w:p>
        </w:tc>
        <w:tc>
          <w:tcPr>
            <w:tcW w:w="1019" w:type="dxa"/>
            <w:vMerge w:val="restart"/>
          </w:tcPr>
          <w:p w14:paraId="71BB7B09" w14:textId="77777777" w:rsidR="002C6574" w:rsidRDefault="00000000">
            <w:pPr>
              <w:pStyle w:val="TableParagraph"/>
              <w:spacing w:before="1"/>
              <w:ind w:left="146" w:right="147" w:firstLine="44"/>
              <w:jc w:val="center"/>
              <w:rPr>
                <w:rFonts w:ascii="Arial" w:hAnsi="Arial"/>
                <w:b/>
                <w:sz w:val="16"/>
              </w:rPr>
            </w:pPr>
            <w:r>
              <w:rPr>
                <w:rFonts w:ascii="Arial" w:hAnsi="Arial"/>
                <w:b/>
                <w:spacing w:val="-2"/>
                <w:sz w:val="16"/>
              </w:rPr>
              <w:t xml:space="preserve">Número </w:t>
            </w:r>
            <w:r>
              <w:rPr>
                <w:rFonts w:ascii="Arial" w:hAnsi="Arial"/>
                <w:b/>
                <w:sz w:val="16"/>
              </w:rPr>
              <w:t>de</w:t>
            </w:r>
            <w:r>
              <w:rPr>
                <w:rFonts w:ascii="Arial" w:hAnsi="Arial"/>
                <w:b/>
                <w:spacing w:val="-12"/>
                <w:sz w:val="16"/>
              </w:rPr>
              <w:t xml:space="preserve"> </w:t>
            </w:r>
            <w:r>
              <w:rPr>
                <w:rFonts w:ascii="Arial" w:hAnsi="Arial"/>
                <w:b/>
                <w:sz w:val="16"/>
              </w:rPr>
              <w:t xml:space="preserve">Ações </w:t>
            </w:r>
            <w:r>
              <w:rPr>
                <w:rFonts w:ascii="Arial" w:hAnsi="Arial"/>
                <w:b/>
                <w:spacing w:val="-2"/>
                <w:sz w:val="16"/>
              </w:rPr>
              <w:t xml:space="preserve">Detidas </w:t>
            </w:r>
            <w:r>
              <w:rPr>
                <w:rFonts w:ascii="Arial" w:hAnsi="Arial"/>
                <w:b/>
                <w:spacing w:val="-4"/>
                <w:sz w:val="16"/>
              </w:rPr>
              <w:t>pela</w:t>
            </w:r>
          </w:p>
          <w:p w14:paraId="406BEAA7" w14:textId="77777777" w:rsidR="002C6574" w:rsidRDefault="00000000">
            <w:pPr>
              <w:pStyle w:val="TableParagraph"/>
              <w:spacing w:line="163" w:lineRule="exact"/>
              <w:jc w:val="center"/>
              <w:rPr>
                <w:rFonts w:ascii="Arial"/>
                <w:b/>
                <w:sz w:val="16"/>
              </w:rPr>
            </w:pPr>
            <w:r>
              <w:rPr>
                <w:rFonts w:ascii="Arial"/>
                <w:b/>
                <w:spacing w:val="-2"/>
                <w:sz w:val="16"/>
              </w:rPr>
              <w:t>TELEBRAS</w:t>
            </w:r>
          </w:p>
        </w:tc>
        <w:tc>
          <w:tcPr>
            <w:tcW w:w="1908" w:type="dxa"/>
            <w:gridSpan w:val="2"/>
          </w:tcPr>
          <w:p w14:paraId="0715CF2E" w14:textId="77777777" w:rsidR="002C6574" w:rsidRDefault="00000000">
            <w:pPr>
              <w:pStyle w:val="TableParagraph"/>
              <w:spacing w:before="41"/>
              <w:ind w:left="401"/>
              <w:jc w:val="left"/>
              <w:rPr>
                <w:rFonts w:ascii="Arial" w:hAnsi="Arial"/>
                <w:b/>
                <w:sz w:val="16"/>
              </w:rPr>
            </w:pPr>
            <w:r>
              <w:rPr>
                <w:rFonts w:ascii="Arial" w:hAnsi="Arial"/>
                <w:b/>
                <w:sz w:val="16"/>
              </w:rPr>
              <w:t>Valor</w:t>
            </w:r>
            <w:r>
              <w:rPr>
                <w:rFonts w:ascii="Arial" w:hAnsi="Arial"/>
                <w:b/>
                <w:spacing w:val="-2"/>
                <w:sz w:val="16"/>
              </w:rPr>
              <w:t xml:space="preserve"> Contábil</w:t>
            </w:r>
          </w:p>
        </w:tc>
      </w:tr>
      <w:tr w:rsidR="002C6574" w14:paraId="5475AC7E" w14:textId="77777777">
        <w:trPr>
          <w:trHeight w:val="647"/>
        </w:trPr>
        <w:tc>
          <w:tcPr>
            <w:tcW w:w="2506" w:type="dxa"/>
            <w:vMerge/>
            <w:tcBorders>
              <w:top w:val="nil"/>
            </w:tcBorders>
            <w:shd w:val="clear" w:color="auto" w:fill="D8D8D8"/>
          </w:tcPr>
          <w:p w14:paraId="7444A726" w14:textId="77777777" w:rsidR="002C6574" w:rsidRDefault="002C6574">
            <w:pPr>
              <w:rPr>
                <w:sz w:val="2"/>
                <w:szCs w:val="2"/>
              </w:rPr>
            </w:pPr>
          </w:p>
        </w:tc>
        <w:tc>
          <w:tcPr>
            <w:tcW w:w="1148" w:type="dxa"/>
            <w:vMerge/>
            <w:tcBorders>
              <w:top w:val="nil"/>
            </w:tcBorders>
          </w:tcPr>
          <w:p w14:paraId="08CD63D4" w14:textId="77777777" w:rsidR="002C6574" w:rsidRDefault="002C6574">
            <w:pPr>
              <w:rPr>
                <w:sz w:val="2"/>
                <w:szCs w:val="2"/>
              </w:rPr>
            </w:pPr>
          </w:p>
        </w:tc>
        <w:tc>
          <w:tcPr>
            <w:tcW w:w="990" w:type="dxa"/>
            <w:vMerge/>
            <w:tcBorders>
              <w:top w:val="nil"/>
            </w:tcBorders>
          </w:tcPr>
          <w:p w14:paraId="4A7B7BC7" w14:textId="77777777" w:rsidR="002C6574" w:rsidRDefault="002C6574">
            <w:pPr>
              <w:rPr>
                <w:sz w:val="2"/>
                <w:szCs w:val="2"/>
              </w:rPr>
            </w:pPr>
          </w:p>
        </w:tc>
        <w:tc>
          <w:tcPr>
            <w:tcW w:w="1110" w:type="dxa"/>
            <w:vMerge/>
            <w:tcBorders>
              <w:top w:val="nil"/>
            </w:tcBorders>
          </w:tcPr>
          <w:p w14:paraId="7E48713B" w14:textId="77777777" w:rsidR="002C6574" w:rsidRDefault="002C6574">
            <w:pPr>
              <w:rPr>
                <w:sz w:val="2"/>
                <w:szCs w:val="2"/>
              </w:rPr>
            </w:pPr>
          </w:p>
        </w:tc>
        <w:tc>
          <w:tcPr>
            <w:tcW w:w="1110" w:type="dxa"/>
            <w:vMerge/>
            <w:tcBorders>
              <w:top w:val="nil"/>
            </w:tcBorders>
          </w:tcPr>
          <w:p w14:paraId="3C2CF2DF" w14:textId="77777777" w:rsidR="002C6574" w:rsidRDefault="002C6574">
            <w:pPr>
              <w:rPr>
                <w:sz w:val="2"/>
                <w:szCs w:val="2"/>
              </w:rPr>
            </w:pPr>
          </w:p>
        </w:tc>
        <w:tc>
          <w:tcPr>
            <w:tcW w:w="1019" w:type="dxa"/>
            <w:vMerge/>
            <w:tcBorders>
              <w:top w:val="nil"/>
            </w:tcBorders>
          </w:tcPr>
          <w:p w14:paraId="236E3A64" w14:textId="77777777" w:rsidR="002C6574" w:rsidRDefault="002C6574">
            <w:pPr>
              <w:rPr>
                <w:sz w:val="2"/>
                <w:szCs w:val="2"/>
              </w:rPr>
            </w:pPr>
          </w:p>
        </w:tc>
        <w:tc>
          <w:tcPr>
            <w:tcW w:w="954" w:type="dxa"/>
          </w:tcPr>
          <w:p w14:paraId="56C2DEF3" w14:textId="77777777" w:rsidR="002C6574" w:rsidRDefault="002C6574">
            <w:pPr>
              <w:pStyle w:val="TableParagraph"/>
              <w:spacing w:before="47"/>
              <w:jc w:val="left"/>
              <w:rPr>
                <w:rFonts w:ascii="Arial"/>
                <w:b/>
                <w:sz w:val="16"/>
              </w:rPr>
            </w:pPr>
          </w:p>
          <w:p w14:paraId="0CEFFB34" w14:textId="77777777" w:rsidR="002C6574" w:rsidRDefault="00000000">
            <w:pPr>
              <w:pStyle w:val="TableParagraph"/>
              <w:ind w:right="72"/>
              <w:rPr>
                <w:rFonts w:ascii="Arial"/>
                <w:b/>
                <w:sz w:val="16"/>
              </w:rPr>
            </w:pPr>
            <w:r>
              <w:rPr>
                <w:rFonts w:ascii="Arial"/>
                <w:b/>
                <w:spacing w:val="-2"/>
                <w:sz w:val="16"/>
              </w:rPr>
              <w:t>31/12/2025</w:t>
            </w:r>
          </w:p>
        </w:tc>
        <w:tc>
          <w:tcPr>
            <w:tcW w:w="954" w:type="dxa"/>
          </w:tcPr>
          <w:p w14:paraId="6D84B515" w14:textId="77777777" w:rsidR="002C6574" w:rsidRDefault="002C6574">
            <w:pPr>
              <w:pStyle w:val="TableParagraph"/>
              <w:spacing w:before="47"/>
              <w:jc w:val="left"/>
              <w:rPr>
                <w:rFonts w:ascii="Arial"/>
                <w:b/>
                <w:sz w:val="16"/>
              </w:rPr>
            </w:pPr>
          </w:p>
          <w:p w14:paraId="1723D381" w14:textId="77777777" w:rsidR="002C6574" w:rsidRDefault="00000000">
            <w:pPr>
              <w:pStyle w:val="TableParagraph"/>
              <w:ind w:right="73"/>
              <w:rPr>
                <w:rFonts w:ascii="Arial"/>
                <w:b/>
                <w:sz w:val="16"/>
              </w:rPr>
            </w:pPr>
            <w:r>
              <w:rPr>
                <w:rFonts w:ascii="Arial"/>
                <w:b/>
                <w:spacing w:val="-2"/>
                <w:sz w:val="16"/>
              </w:rPr>
              <w:t>31/12/2024</w:t>
            </w:r>
          </w:p>
        </w:tc>
      </w:tr>
      <w:tr w:rsidR="002C6574" w14:paraId="6418688D" w14:textId="77777777">
        <w:trPr>
          <w:trHeight w:val="263"/>
        </w:trPr>
        <w:tc>
          <w:tcPr>
            <w:tcW w:w="2506" w:type="dxa"/>
          </w:tcPr>
          <w:p w14:paraId="41673331" w14:textId="77777777" w:rsidR="002C6574" w:rsidRDefault="00000000">
            <w:pPr>
              <w:pStyle w:val="TableParagraph"/>
              <w:spacing w:before="16"/>
              <w:ind w:left="69"/>
              <w:jc w:val="left"/>
              <w:rPr>
                <w:sz w:val="16"/>
              </w:rPr>
            </w:pPr>
            <w:r>
              <w:rPr>
                <w:spacing w:val="-2"/>
                <w:w w:val="105"/>
                <w:sz w:val="16"/>
              </w:rPr>
              <w:t>Visiona</w:t>
            </w:r>
            <w:r>
              <w:rPr>
                <w:spacing w:val="5"/>
                <w:w w:val="105"/>
                <w:sz w:val="16"/>
              </w:rPr>
              <w:t xml:space="preserve"> </w:t>
            </w:r>
            <w:r>
              <w:rPr>
                <w:spacing w:val="-2"/>
                <w:w w:val="105"/>
                <w:sz w:val="16"/>
              </w:rPr>
              <w:t>Tecnologia</w:t>
            </w:r>
            <w:r>
              <w:rPr>
                <w:spacing w:val="2"/>
                <w:w w:val="105"/>
                <w:sz w:val="16"/>
              </w:rPr>
              <w:t xml:space="preserve"> </w:t>
            </w:r>
            <w:r>
              <w:rPr>
                <w:spacing w:val="-2"/>
                <w:w w:val="105"/>
                <w:sz w:val="16"/>
              </w:rPr>
              <w:t>Espacial</w:t>
            </w:r>
            <w:r>
              <w:rPr>
                <w:spacing w:val="5"/>
                <w:w w:val="105"/>
                <w:sz w:val="16"/>
              </w:rPr>
              <w:t xml:space="preserve"> </w:t>
            </w:r>
            <w:r>
              <w:rPr>
                <w:spacing w:val="-5"/>
                <w:w w:val="105"/>
                <w:sz w:val="16"/>
              </w:rPr>
              <w:t>S.A</w:t>
            </w:r>
          </w:p>
        </w:tc>
        <w:tc>
          <w:tcPr>
            <w:tcW w:w="1148" w:type="dxa"/>
          </w:tcPr>
          <w:p w14:paraId="2F23BB57" w14:textId="77777777" w:rsidR="002C6574" w:rsidRDefault="00000000">
            <w:pPr>
              <w:pStyle w:val="TableParagraph"/>
              <w:spacing w:before="16"/>
              <w:ind w:left="585"/>
              <w:jc w:val="left"/>
              <w:rPr>
                <w:sz w:val="16"/>
              </w:rPr>
            </w:pPr>
            <w:r>
              <w:rPr>
                <w:spacing w:val="-2"/>
                <w:w w:val="105"/>
                <w:sz w:val="16"/>
              </w:rPr>
              <w:t>75.000</w:t>
            </w:r>
          </w:p>
        </w:tc>
        <w:tc>
          <w:tcPr>
            <w:tcW w:w="990" w:type="dxa"/>
          </w:tcPr>
          <w:p w14:paraId="08D6B899" w14:textId="77777777" w:rsidR="002C6574" w:rsidRDefault="00000000">
            <w:pPr>
              <w:pStyle w:val="TableParagraph"/>
              <w:spacing w:before="16"/>
              <w:ind w:left="339"/>
              <w:jc w:val="left"/>
              <w:rPr>
                <w:sz w:val="16"/>
              </w:rPr>
            </w:pPr>
            <w:r>
              <w:rPr>
                <w:spacing w:val="-2"/>
                <w:w w:val="105"/>
                <w:sz w:val="16"/>
              </w:rPr>
              <w:t>155.781</w:t>
            </w:r>
          </w:p>
        </w:tc>
        <w:tc>
          <w:tcPr>
            <w:tcW w:w="1110" w:type="dxa"/>
          </w:tcPr>
          <w:p w14:paraId="30747DB4" w14:textId="77777777" w:rsidR="002C6574" w:rsidRDefault="00000000">
            <w:pPr>
              <w:pStyle w:val="TableParagraph"/>
              <w:spacing w:before="16"/>
              <w:ind w:left="635"/>
              <w:jc w:val="left"/>
              <w:rPr>
                <w:sz w:val="16"/>
              </w:rPr>
            </w:pPr>
            <w:r>
              <w:rPr>
                <w:spacing w:val="-4"/>
                <w:w w:val="110"/>
                <w:sz w:val="16"/>
              </w:rPr>
              <w:t>49,00</w:t>
            </w:r>
          </w:p>
        </w:tc>
        <w:tc>
          <w:tcPr>
            <w:tcW w:w="1110" w:type="dxa"/>
          </w:tcPr>
          <w:p w14:paraId="00073E1B" w14:textId="77777777" w:rsidR="002C6574" w:rsidRDefault="00000000">
            <w:pPr>
              <w:pStyle w:val="TableParagraph"/>
              <w:spacing w:before="16"/>
              <w:ind w:left="634"/>
              <w:jc w:val="left"/>
              <w:rPr>
                <w:sz w:val="16"/>
              </w:rPr>
            </w:pPr>
            <w:r>
              <w:rPr>
                <w:spacing w:val="-4"/>
                <w:w w:val="110"/>
                <w:sz w:val="16"/>
              </w:rPr>
              <w:t>49,00</w:t>
            </w:r>
          </w:p>
        </w:tc>
        <w:tc>
          <w:tcPr>
            <w:tcW w:w="1019" w:type="dxa"/>
          </w:tcPr>
          <w:p w14:paraId="30E651E0" w14:textId="77777777" w:rsidR="002C6574" w:rsidRDefault="00000000">
            <w:pPr>
              <w:pStyle w:val="TableParagraph"/>
              <w:spacing w:before="16"/>
              <w:ind w:left="139"/>
              <w:jc w:val="left"/>
              <w:rPr>
                <w:sz w:val="16"/>
              </w:rPr>
            </w:pPr>
            <w:r>
              <w:rPr>
                <w:spacing w:val="-2"/>
                <w:w w:val="110"/>
                <w:sz w:val="16"/>
              </w:rPr>
              <w:t>36.750.000</w:t>
            </w:r>
          </w:p>
        </w:tc>
        <w:tc>
          <w:tcPr>
            <w:tcW w:w="954" w:type="dxa"/>
          </w:tcPr>
          <w:p w14:paraId="0EDFBD78" w14:textId="77777777" w:rsidR="002C6574" w:rsidRDefault="00000000">
            <w:pPr>
              <w:pStyle w:val="TableParagraph"/>
              <w:spacing w:before="16"/>
              <w:ind w:right="64"/>
              <w:rPr>
                <w:sz w:val="16"/>
              </w:rPr>
            </w:pPr>
            <w:r>
              <w:rPr>
                <w:spacing w:val="-2"/>
                <w:w w:val="105"/>
                <w:sz w:val="16"/>
              </w:rPr>
              <w:t>76.332</w:t>
            </w:r>
          </w:p>
        </w:tc>
        <w:tc>
          <w:tcPr>
            <w:tcW w:w="954" w:type="dxa"/>
          </w:tcPr>
          <w:p w14:paraId="38746376" w14:textId="77777777" w:rsidR="002C6574" w:rsidRDefault="00000000">
            <w:pPr>
              <w:pStyle w:val="TableParagraph"/>
              <w:spacing w:before="16"/>
              <w:ind w:right="68"/>
              <w:rPr>
                <w:sz w:val="16"/>
              </w:rPr>
            </w:pPr>
            <w:r>
              <w:rPr>
                <w:spacing w:val="-2"/>
                <w:w w:val="105"/>
                <w:sz w:val="16"/>
              </w:rPr>
              <w:t>80.124</w:t>
            </w:r>
          </w:p>
        </w:tc>
      </w:tr>
      <w:tr w:rsidR="002C6574" w14:paraId="666DA95B" w14:textId="77777777">
        <w:trPr>
          <w:trHeight w:val="263"/>
        </w:trPr>
        <w:tc>
          <w:tcPr>
            <w:tcW w:w="2506" w:type="dxa"/>
          </w:tcPr>
          <w:p w14:paraId="176FDC64" w14:textId="77777777" w:rsidR="002C6574" w:rsidRDefault="00000000">
            <w:pPr>
              <w:pStyle w:val="TableParagraph"/>
              <w:spacing w:before="39"/>
              <w:ind w:left="69"/>
              <w:jc w:val="left"/>
              <w:rPr>
                <w:rFonts w:ascii="Arial"/>
                <w:b/>
                <w:sz w:val="16"/>
              </w:rPr>
            </w:pPr>
            <w:r>
              <w:rPr>
                <w:rFonts w:ascii="Arial"/>
                <w:b/>
                <w:spacing w:val="-2"/>
                <w:sz w:val="16"/>
              </w:rPr>
              <w:t>Total</w:t>
            </w:r>
          </w:p>
        </w:tc>
        <w:tc>
          <w:tcPr>
            <w:tcW w:w="1148" w:type="dxa"/>
            <w:shd w:val="clear" w:color="auto" w:fill="D8D8D8"/>
          </w:tcPr>
          <w:p w14:paraId="3966A2C6" w14:textId="77777777" w:rsidR="002C6574" w:rsidRDefault="002C6574">
            <w:pPr>
              <w:pStyle w:val="TableParagraph"/>
              <w:jc w:val="left"/>
              <w:rPr>
                <w:rFonts w:ascii="Times New Roman"/>
                <w:sz w:val="18"/>
              </w:rPr>
            </w:pPr>
          </w:p>
        </w:tc>
        <w:tc>
          <w:tcPr>
            <w:tcW w:w="990" w:type="dxa"/>
            <w:shd w:val="clear" w:color="auto" w:fill="D8D8D8"/>
          </w:tcPr>
          <w:p w14:paraId="317F537B" w14:textId="77777777" w:rsidR="002C6574" w:rsidRDefault="002C6574">
            <w:pPr>
              <w:pStyle w:val="TableParagraph"/>
              <w:jc w:val="left"/>
              <w:rPr>
                <w:rFonts w:ascii="Times New Roman"/>
                <w:sz w:val="18"/>
              </w:rPr>
            </w:pPr>
          </w:p>
        </w:tc>
        <w:tc>
          <w:tcPr>
            <w:tcW w:w="1110" w:type="dxa"/>
            <w:shd w:val="clear" w:color="auto" w:fill="D8D8D8"/>
          </w:tcPr>
          <w:p w14:paraId="7CB26F72" w14:textId="77777777" w:rsidR="002C6574" w:rsidRDefault="002C6574">
            <w:pPr>
              <w:pStyle w:val="TableParagraph"/>
              <w:jc w:val="left"/>
              <w:rPr>
                <w:rFonts w:ascii="Times New Roman"/>
                <w:sz w:val="18"/>
              </w:rPr>
            </w:pPr>
          </w:p>
        </w:tc>
        <w:tc>
          <w:tcPr>
            <w:tcW w:w="1110" w:type="dxa"/>
            <w:shd w:val="clear" w:color="auto" w:fill="D8D8D8"/>
          </w:tcPr>
          <w:p w14:paraId="646A597B" w14:textId="77777777" w:rsidR="002C6574" w:rsidRDefault="002C6574">
            <w:pPr>
              <w:pStyle w:val="TableParagraph"/>
              <w:jc w:val="left"/>
              <w:rPr>
                <w:rFonts w:ascii="Times New Roman"/>
                <w:sz w:val="18"/>
              </w:rPr>
            </w:pPr>
          </w:p>
        </w:tc>
        <w:tc>
          <w:tcPr>
            <w:tcW w:w="1019" w:type="dxa"/>
            <w:shd w:val="clear" w:color="auto" w:fill="D8D8D8"/>
          </w:tcPr>
          <w:p w14:paraId="5EF7A144" w14:textId="77777777" w:rsidR="002C6574" w:rsidRDefault="002C6574">
            <w:pPr>
              <w:pStyle w:val="TableParagraph"/>
              <w:jc w:val="left"/>
              <w:rPr>
                <w:rFonts w:ascii="Times New Roman"/>
                <w:sz w:val="18"/>
              </w:rPr>
            </w:pPr>
          </w:p>
        </w:tc>
        <w:tc>
          <w:tcPr>
            <w:tcW w:w="954" w:type="dxa"/>
          </w:tcPr>
          <w:p w14:paraId="5CF2A8E2" w14:textId="77777777" w:rsidR="002C6574" w:rsidRDefault="00000000">
            <w:pPr>
              <w:pStyle w:val="TableParagraph"/>
              <w:spacing w:before="39"/>
              <w:ind w:right="64"/>
              <w:rPr>
                <w:rFonts w:ascii="Arial"/>
                <w:b/>
                <w:sz w:val="16"/>
              </w:rPr>
            </w:pPr>
            <w:r>
              <w:rPr>
                <w:rFonts w:ascii="Arial"/>
                <w:b/>
                <w:spacing w:val="-2"/>
                <w:sz w:val="16"/>
              </w:rPr>
              <w:t>76.332</w:t>
            </w:r>
          </w:p>
        </w:tc>
        <w:tc>
          <w:tcPr>
            <w:tcW w:w="954" w:type="dxa"/>
          </w:tcPr>
          <w:p w14:paraId="6445D79E" w14:textId="77777777" w:rsidR="002C6574" w:rsidRDefault="00000000">
            <w:pPr>
              <w:pStyle w:val="TableParagraph"/>
              <w:spacing w:before="39"/>
              <w:ind w:right="68"/>
              <w:rPr>
                <w:rFonts w:ascii="Arial"/>
                <w:b/>
                <w:sz w:val="16"/>
              </w:rPr>
            </w:pPr>
            <w:r>
              <w:rPr>
                <w:rFonts w:ascii="Arial"/>
                <w:b/>
                <w:spacing w:val="-2"/>
                <w:sz w:val="16"/>
              </w:rPr>
              <w:t>80.124</w:t>
            </w:r>
          </w:p>
        </w:tc>
      </w:tr>
    </w:tbl>
    <w:p w14:paraId="1806E38C" w14:textId="77777777" w:rsidR="002C6574" w:rsidRDefault="002C6574">
      <w:pPr>
        <w:pStyle w:val="Corpodetexto"/>
        <w:spacing w:before="39"/>
        <w:rPr>
          <w:rFonts w:ascii="Arial"/>
          <w:b/>
        </w:rPr>
      </w:pPr>
    </w:p>
    <w:p w14:paraId="5B544361" w14:textId="77777777" w:rsidR="002C6574" w:rsidRDefault="00000000">
      <w:pPr>
        <w:pStyle w:val="PargrafodaLista"/>
        <w:numPr>
          <w:ilvl w:val="1"/>
          <w:numId w:val="38"/>
        </w:numPr>
        <w:tabs>
          <w:tab w:val="left" w:pos="1059"/>
        </w:tabs>
        <w:ind w:left="1059" w:hanging="916"/>
        <w:rPr>
          <w:rFonts w:ascii="Arial" w:hAnsi="Arial"/>
          <w:b/>
        </w:rPr>
      </w:pPr>
      <w:r>
        <w:rPr>
          <w:rFonts w:ascii="Arial" w:hAnsi="Arial"/>
          <w:b/>
        </w:rPr>
        <w:t>Informações</w:t>
      </w:r>
      <w:r>
        <w:rPr>
          <w:rFonts w:ascii="Arial" w:hAnsi="Arial"/>
          <w:b/>
          <w:spacing w:val="-7"/>
        </w:rPr>
        <w:t xml:space="preserve"> </w:t>
      </w:r>
      <w:r>
        <w:rPr>
          <w:rFonts w:ascii="Arial" w:hAnsi="Arial"/>
          <w:b/>
        </w:rPr>
        <w:t>econômicas</w:t>
      </w:r>
      <w:r>
        <w:rPr>
          <w:rFonts w:ascii="Arial" w:hAnsi="Arial"/>
          <w:b/>
          <w:spacing w:val="-4"/>
        </w:rPr>
        <w:t xml:space="preserve"> </w:t>
      </w:r>
      <w:r>
        <w:rPr>
          <w:rFonts w:ascii="Arial" w:hAnsi="Arial"/>
          <w:b/>
        </w:rPr>
        <w:t>e</w:t>
      </w:r>
      <w:r>
        <w:rPr>
          <w:rFonts w:ascii="Arial" w:hAnsi="Arial"/>
          <w:b/>
          <w:spacing w:val="-6"/>
        </w:rPr>
        <w:t xml:space="preserve"> </w:t>
      </w:r>
      <w:r>
        <w:rPr>
          <w:rFonts w:ascii="Arial" w:hAnsi="Arial"/>
          <w:b/>
        </w:rPr>
        <w:t>financeiras</w:t>
      </w:r>
      <w:r>
        <w:rPr>
          <w:rFonts w:ascii="Arial" w:hAnsi="Arial"/>
          <w:b/>
          <w:spacing w:val="-6"/>
        </w:rPr>
        <w:t xml:space="preserve"> </w:t>
      </w:r>
      <w:r>
        <w:rPr>
          <w:rFonts w:ascii="Arial" w:hAnsi="Arial"/>
          <w:b/>
          <w:spacing w:val="-2"/>
        </w:rPr>
        <w:t>resumidas</w:t>
      </w:r>
    </w:p>
    <w:p w14:paraId="4AA9D20E" w14:textId="77777777" w:rsidR="002C6574" w:rsidRDefault="002C6574">
      <w:pPr>
        <w:pStyle w:val="Corpodetexto"/>
        <w:spacing w:before="47" w:after="1"/>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9"/>
        <w:gridCol w:w="1181"/>
        <w:gridCol w:w="1181"/>
        <w:gridCol w:w="1035"/>
        <w:gridCol w:w="1181"/>
        <w:gridCol w:w="994"/>
        <w:gridCol w:w="992"/>
      </w:tblGrid>
      <w:tr w:rsidR="002C6574" w14:paraId="1CD5F579" w14:textId="77777777">
        <w:trPr>
          <w:trHeight w:val="232"/>
        </w:trPr>
        <w:tc>
          <w:tcPr>
            <w:tcW w:w="3209" w:type="dxa"/>
            <w:vMerge w:val="restart"/>
            <w:shd w:val="clear" w:color="auto" w:fill="D8D8D8"/>
          </w:tcPr>
          <w:p w14:paraId="6FEC398D" w14:textId="77777777" w:rsidR="002C6574" w:rsidRDefault="002C6574">
            <w:pPr>
              <w:pStyle w:val="TableParagraph"/>
              <w:spacing w:before="17"/>
              <w:jc w:val="left"/>
              <w:rPr>
                <w:rFonts w:ascii="Arial"/>
                <w:b/>
                <w:sz w:val="18"/>
              </w:rPr>
            </w:pPr>
          </w:p>
          <w:p w14:paraId="5468C797" w14:textId="77777777" w:rsidR="002C6574" w:rsidRDefault="00000000">
            <w:pPr>
              <w:pStyle w:val="TableParagraph"/>
              <w:ind w:left="69"/>
              <w:jc w:val="left"/>
              <w:rPr>
                <w:rFonts w:ascii="Arial"/>
                <w:b/>
                <w:sz w:val="18"/>
              </w:rPr>
            </w:pPr>
            <w:r>
              <w:rPr>
                <w:rFonts w:ascii="Arial"/>
                <w:b/>
                <w:spacing w:val="-2"/>
                <w:sz w:val="18"/>
              </w:rPr>
              <w:t>Investida:</w:t>
            </w:r>
          </w:p>
        </w:tc>
        <w:tc>
          <w:tcPr>
            <w:tcW w:w="3397" w:type="dxa"/>
            <w:gridSpan w:val="3"/>
          </w:tcPr>
          <w:p w14:paraId="52BDBEF3" w14:textId="77777777" w:rsidR="002C6574" w:rsidRDefault="00000000">
            <w:pPr>
              <w:pStyle w:val="TableParagraph"/>
              <w:spacing w:before="11" w:line="201" w:lineRule="exact"/>
              <w:ind w:left="9"/>
              <w:jc w:val="center"/>
              <w:rPr>
                <w:rFonts w:ascii="Arial"/>
                <w:b/>
                <w:sz w:val="18"/>
              </w:rPr>
            </w:pPr>
            <w:r>
              <w:rPr>
                <w:rFonts w:ascii="Arial"/>
                <w:b/>
                <w:spacing w:val="-2"/>
                <w:sz w:val="18"/>
              </w:rPr>
              <w:t>31/12/2025</w:t>
            </w:r>
          </w:p>
        </w:tc>
        <w:tc>
          <w:tcPr>
            <w:tcW w:w="3167" w:type="dxa"/>
            <w:gridSpan w:val="3"/>
          </w:tcPr>
          <w:p w14:paraId="54535AF9" w14:textId="77777777" w:rsidR="002C6574" w:rsidRDefault="00000000">
            <w:pPr>
              <w:pStyle w:val="TableParagraph"/>
              <w:spacing w:before="11" w:line="201" w:lineRule="exact"/>
              <w:ind w:left="8"/>
              <w:jc w:val="center"/>
              <w:rPr>
                <w:rFonts w:ascii="Arial"/>
                <w:b/>
                <w:sz w:val="18"/>
              </w:rPr>
            </w:pPr>
            <w:r>
              <w:rPr>
                <w:rFonts w:ascii="Arial"/>
                <w:b/>
                <w:spacing w:val="-2"/>
                <w:sz w:val="18"/>
              </w:rPr>
              <w:t>31/12/2024</w:t>
            </w:r>
          </w:p>
        </w:tc>
      </w:tr>
      <w:tr w:rsidR="002C6574" w14:paraId="4A105C7E" w14:textId="77777777">
        <w:trPr>
          <w:trHeight w:val="412"/>
        </w:trPr>
        <w:tc>
          <w:tcPr>
            <w:tcW w:w="3209" w:type="dxa"/>
            <w:vMerge/>
            <w:tcBorders>
              <w:top w:val="nil"/>
            </w:tcBorders>
            <w:shd w:val="clear" w:color="auto" w:fill="D8D8D8"/>
          </w:tcPr>
          <w:p w14:paraId="5736F5D4" w14:textId="77777777" w:rsidR="002C6574" w:rsidRDefault="002C6574">
            <w:pPr>
              <w:rPr>
                <w:sz w:val="2"/>
                <w:szCs w:val="2"/>
              </w:rPr>
            </w:pPr>
          </w:p>
        </w:tc>
        <w:tc>
          <w:tcPr>
            <w:tcW w:w="1181" w:type="dxa"/>
          </w:tcPr>
          <w:p w14:paraId="72819BCE" w14:textId="77777777" w:rsidR="002C6574" w:rsidRDefault="00000000">
            <w:pPr>
              <w:pStyle w:val="TableParagraph"/>
              <w:spacing w:before="102"/>
              <w:ind w:left="361"/>
              <w:jc w:val="left"/>
              <w:rPr>
                <w:rFonts w:ascii="Arial"/>
                <w:b/>
                <w:sz w:val="18"/>
              </w:rPr>
            </w:pPr>
            <w:r>
              <w:rPr>
                <w:rFonts w:ascii="Arial"/>
                <w:b/>
                <w:spacing w:val="-2"/>
                <w:sz w:val="18"/>
              </w:rPr>
              <w:t>Ativo</w:t>
            </w:r>
          </w:p>
        </w:tc>
        <w:tc>
          <w:tcPr>
            <w:tcW w:w="1181" w:type="dxa"/>
          </w:tcPr>
          <w:p w14:paraId="71432D36" w14:textId="77777777" w:rsidR="002C6574" w:rsidRDefault="00000000">
            <w:pPr>
              <w:pStyle w:val="TableParagraph"/>
              <w:spacing w:line="206" w:lineRule="exact"/>
              <w:ind w:left="246" w:right="238"/>
              <w:jc w:val="left"/>
              <w:rPr>
                <w:rFonts w:ascii="Arial" w:hAnsi="Arial"/>
                <w:b/>
                <w:sz w:val="18"/>
              </w:rPr>
            </w:pPr>
            <w:r>
              <w:rPr>
                <w:rFonts w:ascii="Arial" w:hAnsi="Arial"/>
                <w:b/>
                <w:spacing w:val="-2"/>
                <w:sz w:val="18"/>
              </w:rPr>
              <w:t>Passivo Exigível</w:t>
            </w:r>
          </w:p>
        </w:tc>
        <w:tc>
          <w:tcPr>
            <w:tcW w:w="1035" w:type="dxa"/>
          </w:tcPr>
          <w:p w14:paraId="392A68BA" w14:textId="77777777" w:rsidR="002C6574" w:rsidRDefault="00000000">
            <w:pPr>
              <w:pStyle w:val="TableParagraph"/>
              <w:spacing w:line="206" w:lineRule="exact"/>
              <w:ind w:left="193" w:hanging="3"/>
              <w:jc w:val="left"/>
              <w:rPr>
                <w:rFonts w:ascii="Arial" w:hAnsi="Arial"/>
                <w:b/>
                <w:sz w:val="18"/>
              </w:rPr>
            </w:pPr>
            <w:r>
              <w:rPr>
                <w:rFonts w:ascii="Arial" w:hAnsi="Arial"/>
                <w:b/>
                <w:spacing w:val="-2"/>
                <w:sz w:val="18"/>
              </w:rPr>
              <w:t>Receita Líquida</w:t>
            </w:r>
          </w:p>
        </w:tc>
        <w:tc>
          <w:tcPr>
            <w:tcW w:w="1181" w:type="dxa"/>
          </w:tcPr>
          <w:p w14:paraId="2B008801" w14:textId="77777777" w:rsidR="002C6574" w:rsidRDefault="00000000">
            <w:pPr>
              <w:pStyle w:val="TableParagraph"/>
              <w:spacing w:before="102"/>
              <w:ind w:left="360"/>
              <w:jc w:val="left"/>
              <w:rPr>
                <w:rFonts w:ascii="Arial"/>
                <w:b/>
                <w:sz w:val="18"/>
              </w:rPr>
            </w:pPr>
            <w:r>
              <w:rPr>
                <w:rFonts w:ascii="Arial"/>
                <w:b/>
                <w:spacing w:val="-2"/>
                <w:sz w:val="18"/>
              </w:rPr>
              <w:t>Ativo</w:t>
            </w:r>
          </w:p>
        </w:tc>
        <w:tc>
          <w:tcPr>
            <w:tcW w:w="994" w:type="dxa"/>
          </w:tcPr>
          <w:p w14:paraId="4E6E5F6F" w14:textId="77777777" w:rsidR="002C6574" w:rsidRDefault="00000000">
            <w:pPr>
              <w:pStyle w:val="TableParagraph"/>
              <w:spacing w:line="206" w:lineRule="exact"/>
              <w:ind w:left="151" w:right="146"/>
              <w:jc w:val="left"/>
              <w:rPr>
                <w:rFonts w:ascii="Arial" w:hAnsi="Arial"/>
                <w:b/>
                <w:sz w:val="18"/>
              </w:rPr>
            </w:pPr>
            <w:r>
              <w:rPr>
                <w:rFonts w:ascii="Arial" w:hAnsi="Arial"/>
                <w:b/>
                <w:spacing w:val="-2"/>
                <w:sz w:val="18"/>
              </w:rPr>
              <w:t>Passivo Exigível</w:t>
            </w:r>
          </w:p>
        </w:tc>
        <w:tc>
          <w:tcPr>
            <w:tcW w:w="992" w:type="dxa"/>
          </w:tcPr>
          <w:p w14:paraId="7B5013B1" w14:textId="77777777" w:rsidR="002C6574" w:rsidRDefault="00000000">
            <w:pPr>
              <w:pStyle w:val="TableParagraph"/>
              <w:spacing w:line="206" w:lineRule="exact"/>
              <w:ind w:left="170" w:hanging="3"/>
              <w:jc w:val="left"/>
              <w:rPr>
                <w:rFonts w:ascii="Arial" w:hAnsi="Arial"/>
                <w:b/>
                <w:sz w:val="18"/>
              </w:rPr>
            </w:pPr>
            <w:r>
              <w:rPr>
                <w:rFonts w:ascii="Arial" w:hAnsi="Arial"/>
                <w:b/>
                <w:spacing w:val="-2"/>
                <w:sz w:val="18"/>
              </w:rPr>
              <w:t>Receita Líquida</w:t>
            </w:r>
          </w:p>
        </w:tc>
      </w:tr>
      <w:tr w:rsidR="002C6574" w14:paraId="0CA2DCAB" w14:textId="77777777">
        <w:trPr>
          <w:trHeight w:val="232"/>
        </w:trPr>
        <w:tc>
          <w:tcPr>
            <w:tcW w:w="3209" w:type="dxa"/>
          </w:tcPr>
          <w:p w14:paraId="70B93CE4" w14:textId="77777777" w:rsidR="002C6574" w:rsidRDefault="00000000">
            <w:pPr>
              <w:pStyle w:val="TableParagraph"/>
              <w:spacing w:line="212" w:lineRule="exact"/>
              <w:ind w:left="69"/>
              <w:jc w:val="left"/>
              <w:rPr>
                <w:sz w:val="18"/>
              </w:rPr>
            </w:pPr>
            <w:r>
              <w:rPr>
                <w:sz w:val="18"/>
              </w:rPr>
              <w:t>Visiona</w:t>
            </w:r>
            <w:r>
              <w:rPr>
                <w:spacing w:val="20"/>
                <w:sz w:val="18"/>
              </w:rPr>
              <w:t xml:space="preserve"> </w:t>
            </w:r>
            <w:r>
              <w:rPr>
                <w:sz w:val="18"/>
              </w:rPr>
              <w:t>Tecnologia</w:t>
            </w:r>
            <w:r>
              <w:rPr>
                <w:spacing w:val="21"/>
                <w:sz w:val="18"/>
              </w:rPr>
              <w:t xml:space="preserve"> </w:t>
            </w:r>
            <w:r>
              <w:rPr>
                <w:sz w:val="18"/>
              </w:rPr>
              <w:t>Espacial</w:t>
            </w:r>
            <w:r>
              <w:rPr>
                <w:spacing w:val="23"/>
                <w:sz w:val="18"/>
              </w:rPr>
              <w:t xml:space="preserve"> </w:t>
            </w:r>
            <w:r>
              <w:rPr>
                <w:spacing w:val="-5"/>
                <w:sz w:val="18"/>
              </w:rPr>
              <w:t>S.A</w:t>
            </w:r>
          </w:p>
        </w:tc>
        <w:tc>
          <w:tcPr>
            <w:tcW w:w="1181" w:type="dxa"/>
          </w:tcPr>
          <w:p w14:paraId="0D61DEFB" w14:textId="77777777" w:rsidR="002C6574" w:rsidRDefault="00000000">
            <w:pPr>
              <w:pStyle w:val="TableParagraph"/>
              <w:spacing w:line="212" w:lineRule="exact"/>
              <w:ind w:left="457"/>
              <w:jc w:val="left"/>
              <w:rPr>
                <w:sz w:val="18"/>
              </w:rPr>
            </w:pPr>
            <w:r>
              <w:rPr>
                <w:spacing w:val="-2"/>
                <w:w w:val="105"/>
                <w:sz w:val="18"/>
              </w:rPr>
              <w:t>206.798</w:t>
            </w:r>
          </w:p>
        </w:tc>
        <w:tc>
          <w:tcPr>
            <w:tcW w:w="1181" w:type="dxa"/>
          </w:tcPr>
          <w:p w14:paraId="7EB4093D" w14:textId="77777777" w:rsidR="002C6574" w:rsidRDefault="00000000">
            <w:pPr>
              <w:pStyle w:val="TableParagraph"/>
              <w:spacing w:line="212" w:lineRule="exact"/>
              <w:ind w:left="558"/>
              <w:jc w:val="left"/>
              <w:rPr>
                <w:sz w:val="18"/>
              </w:rPr>
            </w:pPr>
            <w:r>
              <w:rPr>
                <w:spacing w:val="-2"/>
                <w:w w:val="105"/>
                <w:sz w:val="18"/>
              </w:rPr>
              <w:t>51.017</w:t>
            </w:r>
          </w:p>
        </w:tc>
        <w:tc>
          <w:tcPr>
            <w:tcW w:w="1035" w:type="dxa"/>
          </w:tcPr>
          <w:p w14:paraId="5BD362FE" w14:textId="77777777" w:rsidR="002C6574" w:rsidRDefault="00000000">
            <w:pPr>
              <w:pStyle w:val="TableParagraph"/>
              <w:spacing w:line="212" w:lineRule="exact"/>
              <w:ind w:left="510"/>
              <w:jc w:val="left"/>
              <w:rPr>
                <w:sz w:val="18"/>
              </w:rPr>
            </w:pPr>
            <w:r>
              <w:rPr>
                <w:spacing w:val="-2"/>
                <w:w w:val="110"/>
                <w:sz w:val="18"/>
              </w:rPr>
              <w:t>6.562</w:t>
            </w:r>
          </w:p>
        </w:tc>
        <w:tc>
          <w:tcPr>
            <w:tcW w:w="1181" w:type="dxa"/>
          </w:tcPr>
          <w:p w14:paraId="57899199" w14:textId="77777777" w:rsidR="002C6574" w:rsidRDefault="00000000">
            <w:pPr>
              <w:pStyle w:val="TableParagraph"/>
              <w:spacing w:line="212" w:lineRule="exact"/>
              <w:ind w:left="457"/>
              <w:jc w:val="left"/>
              <w:rPr>
                <w:sz w:val="18"/>
              </w:rPr>
            </w:pPr>
            <w:r>
              <w:rPr>
                <w:spacing w:val="-2"/>
                <w:w w:val="105"/>
                <w:sz w:val="18"/>
              </w:rPr>
              <w:t>235.294</w:t>
            </w:r>
          </w:p>
        </w:tc>
        <w:tc>
          <w:tcPr>
            <w:tcW w:w="994" w:type="dxa"/>
          </w:tcPr>
          <w:p w14:paraId="53A386ED" w14:textId="77777777" w:rsidR="002C6574" w:rsidRDefault="00000000">
            <w:pPr>
              <w:pStyle w:val="TableParagraph"/>
              <w:spacing w:line="212" w:lineRule="exact"/>
              <w:ind w:left="370"/>
              <w:jc w:val="left"/>
              <w:rPr>
                <w:sz w:val="18"/>
              </w:rPr>
            </w:pPr>
            <w:r>
              <w:rPr>
                <w:spacing w:val="-2"/>
                <w:w w:val="105"/>
                <w:sz w:val="18"/>
              </w:rPr>
              <w:t>71.777</w:t>
            </w:r>
          </w:p>
        </w:tc>
        <w:tc>
          <w:tcPr>
            <w:tcW w:w="992" w:type="dxa"/>
          </w:tcPr>
          <w:p w14:paraId="437C24F6" w14:textId="77777777" w:rsidR="002C6574" w:rsidRDefault="00000000">
            <w:pPr>
              <w:pStyle w:val="TableParagraph"/>
              <w:spacing w:line="212" w:lineRule="exact"/>
              <w:ind w:left="465"/>
              <w:jc w:val="left"/>
              <w:rPr>
                <w:sz w:val="18"/>
              </w:rPr>
            </w:pPr>
            <w:r>
              <w:rPr>
                <w:spacing w:val="-2"/>
                <w:w w:val="110"/>
                <w:sz w:val="18"/>
              </w:rPr>
              <w:t>9.197</w:t>
            </w:r>
          </w:p>
        </w:tc>
      </w:tr>
    </w:tbl>
    <w:p w14:paraId="5EF843CB" w14:textId="77777777" w:rsidR="002C6574" w:rsidRDefault="002C6574">
      <w:pPr>
        <w:pStyle w:val="TableParagraph"/>
        <w:spacing w:line="212" w:lineRule="exact"/>
        <w:jc w:val="left"/>
        <w:rPr>
          <w:sz w:val="18"/>
        </w:rPr>
        <w:sectPr w:rsidR="002C6574">
          <w:headerReference w:type="default" r:id="rId81"/>
          <w:footerReference w:type="default" r:id="rId82"/>
          <w:pgSz w:w="11910" w:h="16840"/>
          <w:pgMar w:top="1600" w:right="141" w:bottom="1320" w:left="1133" w:header="856" w:footer="1125" w:gutter="0"/>
          <w:pgNumType w:start="1"/>
          <w:cols w:space="720"/>
        </w:sectPr>
      </w:pPr>
    </w:p>
    <w:p w14:paraId="754D9B02" w14:textId="77777777" w:rsidR="002C6574" w:rsidRDefault="002C6574">
      <w:pPr>
        <w:pStyle w:val="Corpodetexto"/>
        <w:spacing w:before="252"/>
        <w:rPr>
          <w:rFonts w:ascii="Arial"/>
          <w:b/>
        </w:rPr>
      </w:pPr>
    </w:p>
    <w:p w14:paraId="3D409AE1" w14:textId="77777777" w:rsidR="002C6574" w:rsidRDefault="00000000">
      <w:pPr>
        <w:pStyle w:val="PargrafodaLista"/>
        <w:numPr>
          <w:ilvl w:val="1"/>
          <w:numId w:val="38"/>
        </w:numPr>
        <w:tabs>
          <w:tab w:val="left" w:pos="995"/>
        </w:tabs>
        <w:rPr>
          <w:rFonts w:ascii="Arial" w:hAnsi="Arial"/>
          <w:b/>
        </w:rPr>
      </w:pPr>
      <w:r>
        <w:rPr>
          <w:rFonts w:ascii="Arial" w:hAnsi="Arial"/>
          <w:b/>
        </w:rPr>
        <w:t>Informações</w:t>
      </w:r>
      <w:r>
        <w:rPr>
          <w:rFonts w:ascii="Arial" w:hAnsi="Arial"/>
          <w:b/>
          <w:spacing w:val="-4"/>
        </w:rPr>
        <w:t xml:space="preserve"> </w:t>
      </w:r>
      <w:r>
        <w:rPr>
          <w:rFonts w:ascii="Arial" w:hAnsi="Arial"/>
          <w:b/>
        </w:rPr>
        <w:t>econômicas</w:t>
      </w:r>
      <w:r>
        <w:rPr>
          <w:rFonts w:ascii="Arial" w:hAnsi="Arial"/>
          <w:b/>
          <w:spacing w:val="-3"/>
        </w:rPr>
        <w:t xml:space="preserve"> </w:t>
      </w:r>
      <w:r>
        <w:rPr>
          <w:rFonts w:ascii="Arial" w:hAnsi="Arial"/>
          <w:b/>
        </w:rPr>
        <w:t>e</w:t>
      </w:r>
      <w:r>
        <w:rPr>
          <w:rFonts w:ascii="Arial" w:hAnsi="Arial"/>
          <w:b/>
          <w:spacing w:val="-7"/>
        </w:rPr>
        <w:t xml:space="preserve"> </w:t>
      </w:r>
      <w:r>
        <w:rPr>
          <w:rFonts w:ascii="Arial" w:hAnsi="Arial"/>
          <w:b/>
        </w:rPr>
        <w:t>financeiras</w:t>
      </w:r>
      <w:r>
        <w:rPr>
          <w:rFonts w:ascii="Arial" w:hAnsi="Arial"/>
          <w:b/>
          <w:spacing w:val="-5"/>
        </w:rPr>
        <w:t xml:space="preserve"> </w:t>
      </w:r>
      <w:r>
        <w:rPr>
          <w:rFonts w:ascii="Arial" w:hAnsi="Arial"/>
          <w:b/>
          <w:spacing w:val="-2"/>
        </w:rPr>
        <w:t>resumidas</w:t>
      </w:r>
    </w:p>
    <w:p w14:paraId="72828D04" w14:textId="77777777" w:rsidR="002C6574" w:rsidRDefault="002C6574">
      <w:pPr>
        <w:pStyle w:val="Corpodetexto"/>
        <w:spacing w:before="23"/>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4"/>
        <w:gridCol w:w="1654"/>
        <w:gridCol w:w="1856"/>
        <w:gridCol w:w="1554"/>
        <w:gridCol w:w="1976"/>
      </w:tblGrid>
      <w:tr w:rsidR="002C6574" w14:paraId="5DC322F9" w14:textId="77777777">
        <w:trPr>
          <w:trHeight w:val="237"/>
        </w:trPr>
        <w:tc>
          <w:tcPr>
            <w:tcW w:w="2734" w:type="dxa"/>
            <w:vMerge w:val="restart"/>
            <w:shd w:val="clear" w:color="auto" w:fill="D8D8D8"/>
          </w:tcPr>
          <w:p w14:paraId="1568C625" w14:textId="77777777" w:rsidR="002C6574" w:rsidRDefault="002C6574">
            <w:pPr>
              <w:pStyle w:val="TableParagraph"/>
              <w:spacing w:before="123"/>
              <w:jc w:val="left"/>
              <w:rPr>
                <w:rFonts w:ascii="Arial"/>
                <w:b/>
                <w:sz w:val="18"/>
              </w:rPr>
            </w:pPr>
          </w:p>
          <w:p w14:paraId="6F863E4C" w14:textId="77777777" w:rsidR="002C6574" w:rsidRDefault="00000000">
            <w:pPr>
              <w:pStyle w:val="TableParagraph"/>
              <w:ind w:left="69"/>
              <w:jc w:val="left"/>
              <w:rPr>
                <w:rFonts w:ascii="Arial"/>
                <w:b/>
                <w:sz w:val="18"/>
              </w:rPr>
            </w:pPr>
            <w:r>
              <w:rPr>
                <w:rFonts w:ascii="Arial"/>
                <w:b/>
                <w:spacing w:val="-2"/>
                <w:sz w:val="18"/>
              </w:rPr>
              <w:t>Investida:</w:t>
            </w:r>
          </w:p>
        </w:tc>
        <w:tc>
          <w:tcPr>
            <w:tcW w:w="3510" w:type="dxa"/>
            <w:gridSpan w:val="2"/>
          </w:tcPr>
          <w:p w14:paraId="0C10E70B" w14:textId="77777777" w:rsidR="002C6574" w:rsidRDefault="00000000">
            <w:pPr>
              <w:pStyle w:val="TableParagraph"/>
              <w:spacing w:before="15" w:line="201" w:lineRule="exact"/>
              <w:ind w:left="6"/>
              <w:jc w:val="center"/>
              <w:rPr>
                <w:rFonts w:ascii="Arial"/>
                <w:b/>
                <w:sz w:val="18"/>
              </w:rPr>
            </w:pPr>
            <w:r>
              <w:rPr>
                <w:rFonts w:ascii="Arial"/>
                <w:b/>
                <w:spacing w:val="-2"/>
                <w:sz w:val="18"/>
              </w:rPr>
              <w:t>31/12/2025</w:t>
            </w:r>
          </w:p>
        </w:tc>
        <w:tc>
          <w:tcPr>
            <w:tcW w:w="3530" w:type="dxa"/>
            <w:gridSpan w:val="2"/>
          </w:tcPr>
          <w:p w14:paraId="7F7C472A" w14:textId="77777777" w:rsidR="002C6574" w:rsidRDefault="00000000">
            <w:pPr>
              <w:pStyle w:val="TableParagraph"/>
              <w:spacing w:before="15" w:line="201" w:lineRule="exact"/>
              <w:ind w:left="4"/>
              <w:jc w:val="center"/>
              <w:rPr>
                <w:rFonts w:ascii="Arial"/>
                <w:b/>
                <w:sz w:val="18"/>
              </w:rPr>
            </w:pPr>
            <w:r>
              <w:rPr>
                <w:rFonts w:ascii="Arial"/>
                <w:b/>
                <w:spacing w:val="-2"/>
                <w:sz w:val="18"/>
              </w:rPr>
              <w:t>31/12/2024</w:t>
            </w:r>
          </w:p>
        </w:tc>
      </w:tr>
      <w:tr w:rsidR="002C6574" w14:paraId="530A6344" w14:textId="77777777">
        <w:trPr>
          <w:trHeight w:val="621"/>
        </w:trPr>
        <w:tc>
          <w:tcPr>
            <w:tcW w:w="2734" w:type="dxa"/>
            <w:vMerge/>
            <w:tcBorders>
              <w:top w:val="nil"/>
            </w:tcBorders>
            <w:shd w:val="clear" w:color="auto" w:fill="D8D8D8"/>
          </w:tcPr>
          <w:p w14:paraId="22218918" w14:textId="77777777" w:rsidR="002C6574" w:rsidRDefault="002C6574">
            <w:pPr>
              <w:rPr>
                <w:sz w:val="2"/>
                <w:szCs w:val="2"/>
              </w:rPr>
            </w:pPr>
          </w:p>
        </w:tc>
        <w:tc>
          <w:tcPr>
            <w:tcW w:w="1654" w:type="dxa"/>
          </w:tcPr>
          <w:p w14:paraId="7B952100" w14:textId="77777777" w:rsidR="002C6574" w:rsidRDefault="00000000">
            <w:pPr>
              <w:pStyle w:val="TableParagraph"/>
              <w:spacing w:before="104"/>
              <w:ind w:left="289" w:right="10" w:hanging="42"/>
              <w:jc w:val="left"/>
              <w:rPr>
                <w:rFonts w:ascii="Arial" w:hAnsi="Arial"/>
                <w:b/>
                <w:sz w:val="18"/>
              </w:rPr>
            </w:pPr>
            <w:r>
              <w:rPr>
                <w:rFonts w:ascii="Arial" w:hAnsi="Arial"/>
                <w:b/>
                <w:sz w:val="18"/>
              </w:rPr>
              <w:t>Lucro</w:t>
            </w:r>
            <w:r>
              <w:rPr>
                <w:rFonts w:ascii="Arial" w:hAnsi="Arial"/>
                <w:b/>
                <w:spacing w:val="-13"/>
                <w:sz w:val="18"/>
              </w:rPr>
              <w:t xml:space="preserve"> </w:t>
            </w:r>
            <w:r>
              <w:rPr>
                <w:rFonts w:ascii="Arial" w:hAnsi="Arial"/>
                <w:b/>
                <w:sz w:val="18"/>
              </w:rPr>
              <w:t>Líquido do Exercício</w:t>
            </w:r>
          </w:p>
        </w:tc>
        <w:tc>
          <w:tcPr>
            <w:tcW w:w="1856" w:type="dxa"/>
          </w:tcPr>
          <w:p w14:paraId="2320018D" w14:textId="77777777" w:rsidR="002C6574" w:rsidRDefault="00000000">
            <w:pPr>
              <w:pStyle w:val="TableParagraph"/>
              <w:spacing w:line="206" w:lineRule="exact"/>
              <w:ind w:left="373" w:right="328" w:firstLine="9"/>
              <w:jc w:val="both"/>
              <w:rPr>
                <w:rFonts w:ascii="Arial" w:hAnsi="Arial"/>
                <w:b/>
                <w:sz w:val="18"/>
              </w:rPr>
            </w:pPr>
            <w:r>
              <w:rPr>
                <w:rFonts w:ascii="Arial" w:hAnsi="Arial"/>
                <w:b/>
                <w:sz w:val="18"/>
              </w:rPr>
              <w:t>Resultado</w:t>
            </w:r>
            <w:r>
              <w:rPr>
                <w:rFonts w:ascii="Arial" w:hAnsi="Arial"/>
                <w:b/>
                <w:spacing w:val="-13"/>
                <w:sz w:val="18"/>
              </w:rPr>
              <w:t xml:space="preserve"> </w:t>
            </w:r>
            <w:r>
              <w:rPr>
                <w:rFonts w:ascii="Arial" w:hAnsi="Arial"/>
                <w:b/>
                <w:sz w:val="18"/>
              </w:rPr>
              <w:t xml:space="preserve">de </w:t>
            </w:r>
            <w:r>
              <w:rPr>
                <w:rFonts w:ascii="Arial" w:hAnsi="Arial"/>
                <w:b/>
                <w:spacing w:val="-2"/>
                <w:sz w:val="18"/>
              </w:rPr>
              <w:t>Equivalência Patrimonial</w:t>
            </w:r>
          </w:p>
        </w:tc>
        <w:tc>
          <w:tcPr>
            <w:tcW w:w="1554" w:type="dxa"/>
          </w:tcPr>
          <w:p w14:paraId="1DE83E24" w14:textId="77777777" w:rsidR="002C6574" w:rsidRDefault="00000000">
            <w:pPr>
              <w:pStyle w:val="TableParagraph"/>
              <w:spacing w:before="104"/>
              <w:ind w:left="300" w:right="68" w:hanging="231"/>
              <w:jc w:val="left"/>
              <w:rPr>
                <w:rFonts w:ascii="Arial" w:hAnsi="Arial"/>
                <w:b/>
                <w:sz w:val="18"/>
              </w:rPr>
            </w:pPr>
            <w:r>
              <w:rPr>
                <w:rFonts w:ascii="Arial" w:hAnsi="Arial"/>
                <w:b/>
                <w:sz w:val="18"/>
              </w:rPr>
              <w:t>Prejuízo</w:t>
            </w:r>
            <w:r>
              <w:rPr>
                <w:rFonts w:ascii="Arial" w:hAnsi="Arial"/>
                <w:b/>
                <w:spacing w:val="-13"/>
                <w:sz w:val="18"/>
              </w:rPr>
              <w:t xml:space="preserve"> </w:t>
            </w:r>
            <w:r>
              <w:rPr>
                <w:rFonts w:ascii="Arial" w:hAnsi="Arial"/>
                <w:b/>
                <w:sz w:val="18"/>
              </w:rPr>
              <w:t>Líquido do Período</w:t>
            </w:r>
          </w:p>
        </w:tc>
        <w:tc>
          <w:tcPr>
            <w:tcW w:w="1976" w:type="dxa"/>
          </w:tcPr>
          <w:p w14:paraId="71A49C3A" w14:textId="77777777" w:rsidR="002C6574" w:rsidRDefault="00000000">
            <w:pPr>
              <w:pStyle w:val="TableParagraph"/>
              <w:spacing w:line="206" w:lineRule="exact"/>
              <w:ind w:left="433" w:right="388" w:firstLine="9"/>
              <w:jc w:val="both"/>
              <w:rPr>
                <w:rFonts w:ascii="Arial" w:hAnsi="Arial"/>
                <w:b/>
                <w:sz w:val="18"/>
              </w:rPr>
            </w:pPr>
            <w:r>
              <w:rPr>
                <w:rFonts w:ascii="Arial" w:hAnsi="Arial"/>
                <w:b/>
                <w:sz w:val="18"/>
              </w:rPr>
              <w:t>Resultado</w:t>
            </w:r>
            <w:r>
              <w:rPr>
                <w:rFonts w:ascii="Arial" w:hAnsi="Arial"/>
                <w:b/>
                <w:spacing w:val="-13"/>
                <w:sz w:val="18"/>
              </w:rPr>
              <w:t xml:space="preserve"> </w:t>
            </w:r>
            <w:r>
              <w:rPr>
                <w:rFonts w:ascii="Arial" w:hAnsi="Arial"/>
                <w:b/>
                <w:sz w:val="18"/>
              </w:rPr>
              <w:t xml:space="preserve">de </w:t>
            </w:r>
            <w:r>
              <w:rPr>
                <w:rFonts w:ascii="Arial" w:hAnsi="Arial"/>
                <w:b/>
                <w:spacing w:val="-2"/>
                <w:sz w:val="18"/>
              </w:rPr>
              <w:t>Equivalência Patrimonial</w:t>
            </w:r>
          </w:p>
        </w:tc>
      </w:tr>
      <w:tr w:rsidR="002C6574" w14:paraId="2FDF5359" w14:textId="77777777">
        <w:trPr>
          <w:trHeight w:val="239"/>
        </w:trPr>
        <w:tc>
          <w:tcPr>
            <w:tcW w:w="2734" w:type="dxa"/>
          </w:tcPr>
          <w:p w14:paraId="508F0DD4" w14:textId="77777777" w:rsidR="002C6574" w:rsidRDefault="00000000">
            <w:pPr>
              <w:pStyle w:val="TableParagraph"/>
              <w:spacing w:line="220" w:lineRule="exact"/>
              <w:ind w:left="69"/>
              <w:jc w:val="left"/>
              <w:rPr>
                <w:sz w:val="18"/>
              </w:rPr>
            </w:pPr>
            <w:r>
              <w:rPr>
                <w:sz w:val="18"/>
              </w:rPr>
              <w:t>Visiona</w:t>
            </w:r>
            <w:r>
              <w:rPr>
                <w:spacing w:val="20"/>
                <w:sz w:val="18"/>
              </w:rPr>
              <w:t xml:space="preserve"> </w:t>
            </w:r>
            <w:r>
              <w:rPr>
                <w:sz w:val="18"/>
              </w:rPr>
              <w:t>Tecnologia</w:t>
            </w:r>
            <w:r>
              <w:rPr>
                <w:spacing w:val="21"/>
                <w:sz w:val="18"/>
              </w:rPr>
              <w:t xml:space="preserve"> </w:t>
            </w:r>
            <w:r>
              <w:rPr>
                <w:sz w:val="18"/>
              </w:rPr>
              <w:t>Espacial</w:t>
            </w:r>
            <w:r>
              <w:rPr>
                <w:spacing w:val="23"/>
                <w:sz w:val="18"/>
              </w:rPr>
              <w:t xml:space="preserve"> </w:t>
            </w:r>
            <w:r>
              <w:rPr>
                <w:spacing w:val="-5"/>
                <w:sz w:val="18"/>
              </w:rPr>
              <w:t>S.A</w:t>
            </w:r>
          </w:p>
        </w:tc>
        <w:tc>
          <w:tcPr>
            <w:tcW w:w="1654" w:type="dxa"/>
          </w:tcPr>
          <w:p w14:paraId="1B126DF6" w14:textId="77777777" w:rsidR="002C6574" w:rsidRDefault="00000000">
            <w:pPr>
              <w:pStyle w:val="TableParagraph"/>
              <w:spacing w:line="220" w:lineRule="exact"/>
              <w:ind w:right="58"/>
              <w:rPr>
                <w:sz w:val="18"/>
              </w:rPr>
            </w:pPr>
            <w:r>
              <w:rPr>
                <w:spacing w:val="-5"/>
                <w:w w:val="105"/>
                <w:sz w:val="18"/>
              </w:rPr>
              <w:t>754</w:t>
            </w:r>
          </w:p>
        </w:tc>
        <w:tc>
          <w:tcPr>
            <w:tcW w:w="1856" w:type="dxa"/>
          </w:tcPr>
          <w:p w14:paraId="2D113815" w14:textId="77777777" w:rsidR="002C6574" w:rsidRDefault="00000000">
            <w:pPr>
              <w:pStyle w:val="TableParagraph"/>
              <w:spacing w:line="220" w:lineRule="exact"/>
              <w:ind w:right="61"/>
              <w:rPr>
                <w:sz w:val="18"/>
              </w:rPr>
            </w:pPr>
            <w:r>
              <w:rPr>
                <w:spacing w:val="-5"/>
                <w:w w:val="105"/>
                <w:sz w:val="18"/>
              </w:rPr>
              <w:t>369</w:t>
            </w:r>
          </w:p>
        </w:tc>
        <w:tc>
          <w:tcPr>
            <w:tcW w:w="1554" w:type="dxa"/>
          </w:tcPr>
          <w:p w14:paraId="08A13C93" w14:textId="77777777" w:rsidR="002C6574" w:rsidRDefault="00000000">
            <w:pPr>
              <w:pStyle w:val="TableParagraph"/>
              <w:spacing w:line="220" w:lineRule="exact"/>
              <w:ind w:left="907"/>
              <w:jc w:val="left"/>
              <w:rPr>
                <w:sz w:val="18"/>
              </w:rPr>
            </w:pPr>
            <w:r>
              <w:rPr>
                <w:spacing w:val="-2"/>
                <w:w w:val="110"/>
                <w:sz w:val="18"/>
              </w:rPr>
              <w:t>(2.068)</w:t>
            </w:r>
          </w:p>
        </w:tc>
        <w:tc>
          <w:tcPr>
            <w:tcW w:w="1976" w:type="dxa"/>
          </w:tcPr>
          <w:p w14:paraId="2C9D76B2" w14:textId="77777777" w:rsidR="002C6574" w:rsidRDefault="00000000">
            <w:pPr>
              <w:pStyle w:val="TableParagraph"/>
              <w:spacing w:line="220" w:lineRule="exact"/>
              <w:ind w:right="60"/>
              <w:rPr>
                <w:sz w:val="18"/>
              </w:rPr>
            </w:pPr>
            <w:r>
              <w:rPr>
                <w:spacing w:val="-2"/>
                <w:w w:val="110"/>
                <w:sz w:val="18"/>
              </w:rPr>
              <w:t>(1.013)</w:t>
            </w:r>
          </w:p>
        </w:tc>
      </w:tr>
    </w:tbl>
    <w:p w14:paraId="258D3827" w14:textId="77777777" w:rsidR="002C6574" w:rsidRDefault="002C6574">
      <w:pPr>
        <w:pStyle w:val="Corpodetexto"/>
        <w:spacing w:before="23"/>
        <w:rPr>
          <w:rFonts w:ascii="Arial"/>
          <w:b/>
        </w:rPr>
      </w:pPr>
    </w:p>
    <w:p w14:paraId="35AFFA33" w14:textId="77777777" w:rsidR="002C6574" w:rsidRDefault="00000000">
      <w:pPr>
        <w:pStyle w:val="PargrafodaLista"/>
        <w:numPr>
          <w:ilvl w:val="1"/>
          <w:numId w:val="38"/>
        </w:numPr>
        <w:tabs>
          <w:tab w:val="left" w:pos="851"/>
        </w:tabs>
        <w:ind w:left="851" w:hanging="708"/>
        <w:rPr>
          <w:rFonts w:ascii="Arial" w:hAnsi="Arial"/>
          <w:b/>
        </w:rPr>
      </w:pPr>
      <w:r>
        <w:rPr>
          <w:rFonts w:ascii="Arial" w:hAnsi="Arial"/>
          <w:b/>
        </w:rPr>
        <w:t>Movimentação</w:t>
      </w:r>
      <w:r>
        <w:rPr>
          <w:rFonts w:ascii="Arial" w:hAnsi="Arial"/>
          <w:b/>
          <w:spacing w:val="-8"/>
        </w:rPr>
        <w:t xml:space="preserve"> </w:t>
      </w:r>
      <w:r>
        <w:rPr>
          <w:rFonts w:ascii="Arial" w:hAnsi="Arial"/>
          <w:b/>
        </w:rPr>
        <w:t>dos</w:t>
      </w:r>
      <w:r>
        <w:rPr>
          <w:rFonts w:ascii="Arial" w:hAnsi="Arial"/>
          <w:b/>
          <w:spacing w:val="-5"/>
        </w:rPr>
        <w:t xml:space="preserve"> </w:t>
      </w:r>
      <w:r>
        <w:rPr>
          <w:rFonts w:ascii="Arial" w:hAnsi="Arial"/>
          <w:b/>
        </w:rPr>
        <w:t>investimentos</w:t>
      </w:r>
      <w:r>
        <w:rPr>
          <w:rFonts w:ascii="Arial" w:hAnsi="Arial"/>
          <w:b/>
          <w:spacing w:val="-7"/>
        </w:rPr>
        <w:t xml:space="preserve"> </w:t>
      </w:r>
      <w:r>
        <w:rPr>
          <w:rFonts w:ascii="Arial" w:hAnsi="Arial"/>
          <w:b/>
        </w:rPr>
        <w:t>avaliados</w:t>
      </w:r>
      <w:r>
        <w:rPr>
          <w:rFonts w:ascii="Arial" w:hAnsi="Arial"/>
          <w:b/>
          <w:spacing w:val="-5"/>
        </w:rPr>
        <w:t xml:space="preserve"> </w:t>
      </w:r>
      <w:r>
        <w:rPr>
          <w:rFonts w:ascii="Arial" w:hAnsi="Arial"/>
          <w:b/>
        </w:rPr>
        <w:t>pelo</w:t>
      </w:r>
      <w:r>
        <w:rPr>
          <w:rFonts w:ascii="Arial" w:hAnsi="Arial"/>
          <w:b/>
          <w:spacing w:val="-3"/>
        </w:rPr>
        <w:t xml:space="preserve"> </w:t>
      </w:r>
      <w:r>
        <w:rPr>
          <w:rFonts w:ascii="Arial" w:hAnsi="Arial"/>
          <w:b/>
        </w:rPr>
        <w:t>método</w:t>
      </w:r>
      <w:r>
        <w:rPr>
          <w:rFonts w:ascii="Arial" w:hAnsi="Arial"/>
          <w:b/>
          <w:spacing w:val="-5"/>
        </w:rPr>
        <w:t xml:space="preserve"> </w:t>
      </w:r>
      <w:r>
        <w:rPr>
          <w:rFonts w:ascii="Arial" w:hAnsi="Arial"/>
          <w:b/>
        </w:rPr>
        <w:t>de</w:t>
      </w:r>
      <w:r>
        <w:rPr>
          <w:rFonts w:ascii="Arial" w:hAnsi="Arial"/>
          <w:b/>
          <w:spacing w:val="-5"/>
        </w:rPr>
        <w:t xml:space="preserve"> </w:t>
      </w:r>
      <w:r>
        <w:rPr>
          <w:rFonts w:ascii="Arial" w:hAnsi="Arial"/>
          <w:b/>
        </w:rPr>
        <w:t>equivalência</w:t>
      </w:r>
      <w:r>
        <w:rPr>
          <w:rFonts w:ascii="Arial" w:hAnsi="Arial"/>
          <w:b/>
          <w:spacing w:val="-3"/>
        </w:rPr>
        <w:t xml:space="preserve"> </w:t>
      </w:r>
      <w:r>
        <w:rPr>
          <w:rFonts w:ascii="Arial" w:hAnsi="Arial"/>
          <w:b/>
          <w:spacing w:val="-2"/>
        </w:rPr>
        <w:t>patrimonial</w:t>
      </w:r>
    </w:p>
    <w:p w14:paraId="3B1E3BB0" w14:textId="77777777" w:rsidR="002C6574" w:rsidRDefault="002C6574">
      <w:pPr>
        <w:pStyle w:val="Corpodetexto"/>
        <w:spacing w:before="24"/>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35"/>
        <w:gridCol w:w="2335"/>
      </w:tblGrid>
      <w:tr w:rsidR="002C6574" w14:paraId="43C1C579" w14:textId="77777777">
        <w:trPr>
          <w:trHeight w:val="237"/>
        </w:trPr>
        <w:tc>
          <w:tcPr>
            <w:tcW w:w="7435" w:type="dxa"/>
            <w:shd w:val="clear" w:color="auto" w:fill="D8D8D8"/>
          </w:tcPr>
          <w:p w14:paraId="11E49B84" w14:textId="77777777" w:rsidR="002C6574" w:rsidRDefault="00000000">
            <w:pPr>
              <w:pStyle w:val="TableParagraph"/>
              <w:spacing w:before="11" w:line="206" w:lineRule="exact"/>
              <w:ind w:left="110"/>
              <w:jc w:val="left"/>
              <w:rPr>
                <w:rFonts w:ascii="Arial" w:hAnsi="Arial"/>
                <w:b/>
                <w:sz w:val="18"/>
              </w:rPr>
            </w:pPr>
            <w:r>
              <w:rPr>
                <w:rFonts w:ascii="Arial" w:hAnsi="Arial"/>
                <w:b/>
                <w:spacing w:val="-2"/>
                <w:sz w:val="18"/>
              </w:rPr>
              <w:t>Composição:</w:t>
            </w:r>
          </w:p>
        </w:tc>
        <w:tc>
          <w:tcPr>
            <w:tcW w:w="2335" w:type="dxa"/>
          </w:tcPr>
          <w:p w14:paraId="0A2EE2DC" w14:textId="77777777" w:rsidR="002C6574" w:rsidRDefault="00000000">
            <w:pPr>
              <w:pStyle w:val="TableParagraph"/>
              <w:spacing w:before="13" w:line="204" w:lineRule="exact"/>
              <w:ind w:left="715"/>
              <w:jc w:val="left"/>
              <w:rPr>
                <w:rFonts w:ascii="Arial"/>
                <w:b/>
                <w:sz w:val="18"/>
              </w:rPr>
            </w:pPr>
            <w:r>
              <w:rPr>
                <w:rFonts w:ascii="Arial"/>
                <w:b/>
                <w:spacing w:val="-2"/>
                <w:sz w:val="18"/>
              </w:rPr>
              <w:t>31/12/2025</w:t>
            </w:r>
          </w:p>
        </w:tc>
      </w:tr>
      <w:tr w:rsidR="002C6574" w14:paraId="098C16F3" w14:textId="77777777">
        <w:trPr>
          <w:trHeight w:val="237"/>
        </w:trPr>
        <w:tc>
          <w:tcPr>
            <w:tcW w:w="7435" w:type="dxa"/>
          </w:tcPr>
          <w:p w14:paraId="7BC18B98" w14:textId="77777777" w:rsidR="002C6574" w:rsidRDefault="00000000">
            <w:pPr>
              <w:pStyle w:val="TableParagraph"/>
              <w:spacing w:before="15" w:line="201"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2024</w:t>
            </w:r>
          </w:p>
        </w:tc>
        <w:tc>
          <w:tcPr>
            <w:tcW w:w="2335" w:type="dxa"/>
          </w:tcPr>
          <w:p w14:paraId="4B1541DA" w14:textId="77777777" w:rsidR="002C6574" w:rsidRDefault="00000000">
            <w:pPr>
              <w:pStyle w:val="TableParagraph"/>
              <w:spacing w:before="15" w:line="201" w:lineRule="exact"/>
              <w:ind w:right="60"/>
              <w:rPr>
                <w:rFonts w:ascii="Arial"/>
                <w:b/>
                <w:sz w:val="18"/>
              </w:rPr>
            </w:pPr>
            <w:r>
              <w:rPr>
                <w:rFonts w:ascii="Arial"/>
                <w:b/>
                <w:spacing w:val="-2"/>
                <w:sz w:val="18"/>
              </w:rPr>
              <w:t>80.124</w:t>
            </w:r>
          </w:p>
        </w:tc>
      </w:tr>
      <w:tr w:rsidR="002C6574" w14:paraId="11CD8FC5" w14:textId="77777777">
        <w:trPr>
          <w:trHeight w:val="239"/>
        </w:trPr>
        <w:tc>
          <w:tcPr>
            <w:tcW w:w="7435" w:type="dxa"/>
          </w:tcPr>
          <w:p w14:paraId="5E591814" w14:textId="77777777" w:rsidR="002C6574" w:rsidRDefault="00000000">
            <w:pPr>
              <w:pStyle w:val="TableParagraph"/>
              <w:spacing w:line="220" w:lineRule="exact"/>
              <w:ind w:left="119"/>
              <w:jc w:val="left"/>
              <w:rPr>
                <w:sz w:val="18"/>
              </w:rPr>
            </w:pPr>
            <w:r>
              <w:rPr>
                <w:sz w:val="18"/>
              </w:rPr>
              <w:t>Resultado</w:t>
            </w:r>
            <w:r>
              <w:rPr>
                <w:spacing w:val="4"/>
                <w:sz w:val="18"/>
              </w:rPr>
              <w:t xml:space="preserve"> </w:t>
            </w:r>
            <w:r>
              <w:rPr>
                <w:sz w:val="18"/>
              </w:rPr>
              <w:t>de</w:t>
            </w:r>
            <w:r>
              <w:rPr>
                <w:spacing w:val="9"/>
                <w:sz w:val="18"/>
              </w:rPr>
              <w:t xml:space="preserve"> </w:t>
            </w:r>
            <w:r>
              <w:rPr>
                <w:sz w:val="18"/>
              </w:rPr>
              <w:t>Equivalência</w:t>
            </w:r>
            <w:r>
              <w:rPr>
                <w:spacing w:val="5"/>
                <w:sz w:val="18"/>
              </w:rPr>
              <w:t xml:space="preserve"> </w:t>
            </w:r>
            <w:r>
              <w:rPr>
                <w:sz w:val="18"/>
              </w:rPr>
              <w:t>Patrimonial</w:t>
            </w:r>
            <w:r>
              <w:rPr>
                <w:spacing w:val="8"/>
                <w:sz w:val="18"/>
              </w:rPr>
              <w:t xml:space="preserve"> </w:t>
            </w:r>
            <w:r>
              <w:rPr>
                <w:sz w:val="18"/>
              </w:rPr>
              <w:t>do</w:t>
            </w:r>
            <w:r>
              <w:rPr>
                <w:spacing w:val="9"/>
                <w:sz w:val="18"/>
              </w:rPr>
              <w:t xml:space="preserve"> </w:t>
            </w:r>
            <w:r>
              <w:rPr>
                <w:spacing w:val="-2"/>
                <w:sz w:val="18"/>
              </w:rPr>
              <w:t>Período</w:t>
            </w:r>
          </w:p>
        </w:tc>
        <w:tc>
          <w:tcPr>
            <w:tcW w:w="2335" w:type="dxa"/>
          </w:tcPr>
          <w:p w14:paraId="1AFDB320" w14:textId="77777777" w:rsidR="002C6574" w:rsidRDefault="00000000">
            <w:pPr>
              <w:pStyle w:val="TableParagraph"/>
              <w:spacing w:line="220" w:lineRule="exact"/>
              <w:ind w:right="61"/>
              <w:rPr>
                <w:sz w:val="18"/>
              </w:rPr>
            </w:pPr>
            <w:r>
              <w:rPr>
                <w:spacing w:val="-5"/>
                <w:w w:val="105"/>
                <w:sz w:val="18"/>
              </w:rPr>
              <w:t>369</w:t>
            </w:r>
          </w:p>
        </w:tc>
      </w:tr>
      <w:tr w:rsidR="002C6574" w14:paraId="28D79444" w14:textId="77777777">
        <w:trPr>
          <w:trHeight w:val="237"/>
        </w:trPr>
        <w:tc>
          <w:tcPr>
            <w:tcW w:w="7435" w:type="dxa"/>
          </w:tcPr>
          <w:p w14:paraId="16113470" w14:textId="77777777" w:rsidR="002C6574" w:rsidRDefault="00000000">
            <w:pPr>
              <w:pStyle w:val="TableParagraph"/>
              <w:spacing w:line="217" w:lineRule="exact"/>
              <w:ind w:left="119"/>
              <w:jc w:val="left"/>
              <w:rPr>
                <w:sz w:val="18"/>
              </w:rPr>
            </w:pPr>
            <w:r>
              <w:rPr>
                <w:sz w:val="18"/>
              </w:rPr>
              <w:t>Equivalência</w:t>
            </w:r>
            <w:r>
              <w:rPr>
                <w:spacing w:val="12"/>
                <w:sz w:val="18"/>
              </w:rPr>
              <w:t xml:space="preserve"> </w:t>
            </w:r>
            <w:r>
              <w:rPr>
                <w:sz w:val="18"/>
              </w:rPr>
              <w:t>Patrimonial</w:t>
            </w:r>
            <w:r>
              <w:rPr>
                <w:spacing w:val="16"/>
                <w:sz w:val="18"/>
              </w:rPr>
              <w:t xml:space="preserve"> </w:t>
            </w:r>
            <w:r>
              <w:rPr>
                <w:sz w:val="18"/>
              </w:rPr>
              <w:t>Reflexa</w:t>
            </w:r>
            <w:r>
              <w:rPr>
                <w:spacing w:val="15"/>
                <w:sz w:val="18"/>
              </w:rPr>
              <w:t xml:space="preserve"> </w:t>
            </w:r>
            <w:r>
              <w:rPr>
                <w:sz w:val="18"/>
              </w:rPr>
              <w:t>-</w:t>
            </w:r>
            <w:r>
              <w:rPr>
                <w:spacing w:val="13"/>
                <w:sz w:val="18"/>
              </w:rPr>
              <w:t xml:space="preserve"> </w:t>
            </w:r>
            <w:r>
              <w:rPr>
                <w:sz w:val="18"/>
              </w:rPr>
              <w:t>PL</w:t>
            </w:r>
            <w:r>
              <w:rPr>
                <w:spacing w:val="15"/>
                <w:sz w:val="18"/>
              </w:rPr>
              <w:t xml:space="preserve"> </w:t>
            </w:r>
            <w:r>
              <w:rPr>
                <w:sz w:val="18"/>
              </w:rPr>
              <w:t>de</w:t>
            </w:r>
            <w:r>
              <w:rPr>
                <w:spacing w:val="12"/>
                <w:sz w:val="18"/>
              </w:rPr>
              <w:t xml:space="preserve"> </w:t>
            </w:r>
            <w:r>
              <w:rPr>
                <w:spacing w:val="-2"/>
                <w:sz w:val="18"/>
              </w:rPr>
              <w:t>Coligadas</w:t>
            </w:r>
          </w:p>
        </w:tc>
        <w:tc>
          <w:tcPr>
            <w:tcW w:w="2335" w:type="dxa"/>
          </w:tcPr>
          <w:p w14:paraId="2D15652F" w14:textId="77777777" w:rsidR="002C6574" w:rsidRDefault="00000000">
            <w:pPr>
              <w:pStyle w:val="TableParagraph"/>
              <w:spacing w:line="217" w:lineRule="exact"/>
              <w:ind w:right="57"/>
              <w:rPr>
                <w:sz w:val="18"/>
              </w:rPr>
            </w:pPr>
            <w:r>
              <w:rPr>
                <w:spacing w:val="-2"/>
                <w:w w:val="110"/>
                <w:sz w:val="18"/>
              </w:rPr>
              <w:t>(4.161)</w:t>
            </w:r>
          </w:p>
        </w:tc>
      </w:tr>
      <w:tr w:rsidR="002C6574" w14:paraId="4ED114C9" w14:textId="77777777">
        <w:trPr>
          <w:trHeight w:val="237"/>
        </w:trPr>
        <w:tc>
          <w:tcPr>
            <w:tcW w:w="7435" w:type="dxa"/>
          </w:tcPr>
          <w:p w14:paraId="715FC686" w14:textId="77777777" w:rsidR="002C6574" w:rsidRDefault="00000000">
            <w:pPr>
              <w:pStyle w:val="TableParagraph"/>
              <w:spacing w:before="15" w:line="201"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2025</w:t>
            </w:r>
          </w:p>
        </w:tc>
        <w:tc>
          <w:tcPr>
            <w:tcW w:w="2335" w:type="dxa"/>
          </w:tcPr>
          <w:p w14:paraId="024FEA03" w14:textId="77777777" w:rsidR="002C6574" w:rsidRDefault="00000000">
            <w:pPr>
              <w:pStyle w:val="TableParagraph"/>
              <w:spacing w:before="15" w:line="201" w:lineRule="exact"/>
              <w:ind w:right="60"/>
              <w:rPr>
                <w:rFonts w:ascii="Arial"/>
                <w:b/>
                <w:sz w:val="18"/>
              </w:rPr>
            </w:pPr>
            <w:r>
              <w:rPr>
                <w:rFonts w:ascii="Arial"/>
                <w:b/>
                <w:spacing w:val="-2"/>
                <w:sz w:val="18"/>
              </w:rPr>
              <w:t>76.332</w:t>
            </w:r>
          </w:p>
        </w:tc>
      </w:tr>
    </w:tbl>
    <w:p w14:paraId="4617367E" w14:textId="77777777" w:rsidR="002C6574" w:rsidRDefault="00000000">
      <w:pPr>
        <w:pStyle w:val="PargrafodaLista"/>
        <w:numPr>
          <w:ilvl w:val="1"/>
          <w:numId w:val="38"/>
        </w:numPr>
        <w:tabs>
          <w:tab w:val="left" w:pos="995"/>
        </w:tabs>
        <w:spacing w:before="186"/>
        <w:rPr>
          <w:rFonts w:ascii="Arial" w:hAnsi="Arial"/>
          <w:b/>
        </w:rPr>
      </w:pPr>
      <w:r>
        <w:rPr>
          <w:rFonts w:ascii="Arial" w:hAnsi="Arial"/>
          <w:b/>
        </w:rPr>
        <w:t>Informações</w:t>
      </w:r>
      <w:r>
        <w:rPr>
          <w:rFonts w:ascii="Arial" w:hAnsi="Arial"/>
          <w:b/>
          <w:spacing w:val="-4"/>
        </w:rPr>
        <w:t xml:space="preserve"> </w:t>
      </w:r>
      <w:r>
        <w:rPr>
          <w:rFonts w:ascii="Arial" w:hAnsi="Arial"/>
          <w:b/>
        </w:rPr>
        <w:t>contábeis</w:t>
      </w:r>
      <w:r>
        <w:rPr>
          <w:rFonts w:ascii="Arial" w:hAnsi="Arial"/>
          <w:b/>
          <w:spacing w:val="-5"/>
        </w:rPr>
        <w:t xml:space="preserve"> </w:t>
      </w:r>
      <w:r>
        <w:rPr>
          <w:rFonts w:ascii="Arial" w:hAnsi="Arial"/>
          <w:b/>
        </w:rPr>
        <w:t>da</w:t>
      </w:r>
      <w:r>
        <w:rPr>
          <w:rFonts w:ascii="Arial" w:hAnsi="Arial"/>
          <w:b/>
          <w:spacing w:val="-4"/>
        </w:rPr>
        <w:t xml:space="preserve"> </w:t>
      </w:r>
      <w:r>
        <w:rPr>
          <w:rFonts w:ascii="Arial" w:hAnsi="Arial"/>
          <w:b/>
          <w:spacing w:val="-2"/>
        </w:rPr>
        <w:t>coligada</w:t>
      </w:r>
    </w:p>
    <w:p w14:paraId="03925798" w14:textId="77777777" w:rsidR="002C6574" w:rsidRDefault="002C6574">
      <w:pPr>
        <w:pStyle w:val="Corpodetexto"/>
        <w:spacing w:before="21"/>
        <w:rPr>
          <w:rFonts w:ascii="Arial"/>
          <w:b/>
        </w:rPr>
      </w:pPr>
    </w:p>
    <w:p w14:paraId="20371133" w14:textId="77777777" w:rsidR="002C6574" w:rsidRDefault="00000000">
      <w:pPr>
        <w:pStyle w:val="PargrafodaLista"/>
        <w:numPr>
          <w:ilvl w:val="2"/>
          <w:numId w:val="38"/>
        </w:numPr>
        <w:tabs>
          <w:tab w:val="left" w:pos="990"/>
        </w:tabs>
        <w:spacing w:before="1"/>
        <w:ind w:left="990" w:hanging="847"/>
        <w:rPr>
          <w:rFonts w:ascii="Arial"/>
          <w:b/>
        </w:rPr>
      </w:pPr>
      <w:r>
        <w:rPr>
          <w:rFonts w:ascii="Arial"/>
          <w:b/>
        </w:rPr>
        <w:t>Visiona</w:t>
      </w:r>
      <w:r>
        <w:rPr>
          <w:rFonts w:ascii="Arial"/>
          <w:b/>
          <w:spacing w:val="-6"/>
        </w:rPr>
        <w:t xml:space="preserve"> </w:t>
      </w:r>
      <w:r>
        <w:rPr>
          <w:rFonts w:ascii="Arial"/>
          <w:b/>
        </w:rPr>
        <w:t>Tecnologia</w:t>
      </w:r>
      <w:r>
        <w:rPr>
          <w:rFonts w:ascii="Arial"/>
          <w:b/>
          <w:spacing w:val="-4"/>
        </w:rPr>
        <w:t xml:space="preserve"> </w:t>
      </w:r>
      <w:r>
        <w:rPr>
          <w:rFonts w:ascii="Arial"/>
          <w:b/>
        </w:rPr>
        <w:t>Espacial</w:t>
      </w:r>
      <w:r>
        <w:rPr>
          <w:rFonts w:ascii="Arial"/>
          <w:b/>
          <w:spacing w:val="-3"/>
        </w:rPr>
        <w:t xml:space="preserve"> </w:t>
      </w:r>
      <w:r>
        <w:rPr>
          <w:rFonts w:ascii="Arial"/>
          <w:b/>
          <w:spacing w:val="-5"/>
        </w:rPr>
        <w:t>S.A</w:t>
      </w:r>
    </w:p>
    <w:p w14:paraId="7B9BA718" w14:textId="77777777" w:rsidR="002C6574" w:rsidRDefault="002C6574">
      <w:pPr>
        <w:pStyle w:val="Corpodetexto"/>
        <w:rPr>
          <w:rFonts w:ascii="Arial"/>
          <w:b/>
          <w:sz w:val="18"/>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6"/>
        <w:gridCol w:w="1932"/>
        <w:gridCol w:w="1932"/>
      </w:tblGrid>
      <w:tr w:rsidR="002C6574" w14:paraId="0B947E4D" w14:textId="77777777">
        <w:trPr>
          <w:trHeight w:val="237"/>
        </w:trPr>
        <w:tc>
          <w:tcPr>
            <w:tcW w:w="5906" w:type="dxa"/>
            <w:shd w:val="clear" w:color="auto" w:fill="D8D8D8"/>
          </w:tcPr>
          <w:p w14:paraId="1D662E32" w14:textId="77777777" w:rsidR="002C6574" w:rsidRDefault="00000000">
            <w:pPr>
              <w:pStyle w:val="TableParagraph"/>
              <w:spacing w:before="15" w:line="201" w:lineRule="exact"/>
              <w:ind w:left="119"/>
              <w:jc w:val="left"/>
              <w:rPr>
                <w:rFonts w:ascii="Arial" w:hAnsi="Arial"/>
                <w:b/>
                <w:sz w:val="18"/>
              </w:rPr>
            </w:pPr>
            <w:r>
              <w:rPr>
                <w:rFonts w:ascii="Arial" w:hAnsi="Arial"/>
                <w:b/>
                <w:sz w:val="18"/>
              </w:rPr>
              <w:t>Balanço</w:t>
            </w:r>
            <w:r>
              <w:rPr>
                <w:rFonts w:ascii="Arial" w:hAnsi="Arial"/>
                <w:b/>
                <w:spacing w:val="-1"/>
                <w:sz w:val="18"/>
              </w:rPr>
              <w:t xml:space="preserve"> </w:t>
            </w:r>
            <w:r>
              <w:rPr>
                <w:rFonts w:ascii="Arial" w:hAnsi="Arial"/>
                <w:b/>
                <w:spacing w:val="-2"/>
                <w:sz w:val="18"/>
              </w:rPr>
              <w:t>Patrimonial</w:t>
            </w:r>
          </w:p>
        </w:tc>
        <w:tc>
          <w:tcPr>
            <w:tcW w:w="1932" w:type="dxa"/>
          </w:tcPr>
          <w:p w14:paraId="7406EBFC" w14:textId="77777777" w:rsidR="002C6574" w:rsidRDefault="00000000">
            <w:pPr>
              <w:pStyle w:val="TableParagraph"/>
              <w:spacing w:before="15" w:line="201" w:lineRule="exact"/>
              <w:ind w:left="513"/>
              <w:jc w:val="left"/>
              <w:rPr>
                <w:rFonts w:ascii="Arial"/>
                <w:b/>
                <w:sz w:val="18"/>
              </w:rPr>
            </w:pPr>
            <w:r>
              <w:rPr>
                <w:rFonts w:ascii="Arial"/>
                <w:b/>
                <w:spacing w:val="-2"/>
                <w:sz w:val="18"/>
              </w:rPr>
              <w:t>31/12/2025</w:t>
            </w:r>
          </w:p>
        </w:tc>
        <w:tc>
          <w:tcPr>
            <w:tcW w:w="1932" w:type="dxa"/>
          </w:tcPr>
          <w:p w14:paraId="489808C0" w14:textId="77777777" w:rsidR="002C6574" w:rsidRDefault="00000000">
            <w:pPr>
              <w:pStyle w:val="TableParagraph"/>
              <w:spacing w:before="15" w:line="201" w:lineRule="exact"/>
              <w:ind w:left="517"/>
              <w:jc w:val="left"/>
              <w:rPr>
                <w:rFonts w:ascii="Arial"/>
                <w:b/>
                <w:sz w:val="18"/>
              </w:rPr>
            </w:pPr>
            <w:r>
              <w:rPr>
                <w:rFonts w:ascii="Arial"/>
                <w:b/>
                <w:spacing w:val="-2"/>
                <w:sz w:val="18"/>
              </w:rPr>
              <w:t>31/12/2024</w:t>
            </w:r>
          </w:p>
        </w:tc>
      </w:tr>
      <w:tr w:rsidR="002C6574" w14:paraId="079C7039" w14:textId="77777777">
        <w:trPr>
          <w:trHeight w:val="239"/>
        </w:trPr>
        <w:tc>
          <w:tcPr>
            <w:tcW w:w="5906" w:type="dxa"/>
          </w:tcPr>
          <w:p w14:paraId="5ABE0D90" w14:textId="77777777" w:rsidR="002C6574" w:rsidRDefault="00000000">
            <w:pPr>
              <w:pStyle w:val="TableParagraph"/>
              <w:spacing w:before="15" w:line="204" w:lineRule="exact"/>
              <w:ind w:left="69"/>
              <w:jc w:val="left"/>
              <w:rPr>
                <w:rFonts w:ascii="Arial"/>
                <w:b/>
                <w:sz w:val="18"/>
              </w:rPr>
            </w:pPr>
            <w:r>
              <w:rPr>
                <w:rFonts w:ascii="Arial"/>
                <w:b/>
                <w:spacing w:val="-2"/>
                <w:sz w:val="18"/>
              </w:rPr>
              <w:t>Ativo</w:t>
            </w:r>
          </w:p>
        </w:tc>
        <w:tc>
          <w:tcPr>
            <w:tcW w:w="1932" w:type="dxa"/>
          </w:tcPr>
          <w:p w14:paraId="481B32FD" w14:textId="77777777" w:rsidR="002C6574" w:rsidRDefault="002C6574">
            <w:pPr>
              <w:pStyle w:val="TableParagraph"/>
              <w:jc w:val="left"/>
              <w:rPr>
                <w:rFonts w:ascii="Times New Roman"/>
                <w:sz w:val="16"/>
              </w:rPr>
            </w:pPr>
          </w:p>
        </w:tc>
        <w:tc>
          <w:tcPr>
            <w:tcW w:w="1932" w:type="dxa"/>
          </w:tcPr>
          <w:p w14:paraId="56800068" w14:textId="77777777" w:rsidR="002C6574" w:rsidRDefault="002C6574">
            <w:pPr>
              <w:pStyle w:val="TableParagraph"/>
              <w:jc w:val="left"/>
              <w:rPr>
                <w:rFonts w:ascii="Times New Roman"/>
                <w:sz w:val="16"/>
              </w:rPr>
            </w:pPr>
          </w:p>
        </w:tc>
      </w:tr>
      <w:tr w:rsidR="002C6574" w14:paraId="285B2376" w14:textId="77777777">
        <w:trPr>
          <w:trHeight w:val="237"/>
        </w:trPr>
        <w:tc>
          <w:tcPr>
            <w:tcW w:w="5906" w:type="dxa"/>
          </w:tcPr>
          <w:p w14:paraId="1789F767" w14:textId="77777777" w:rsidR="002C6574" w:rsidRDefault="00000000">
            <w:pPr>
              <w:pStyle w:val="TableParagraph"/>
              <w:spacing w:before="13" w:line="204" w:lineRule="exact"/>
              <w:ind w:left="69"/>
              <w:jc w:val="left"/>
              <w:rPr>
                <w:rFonts w:ascii="Arial"/>
                <w:b/>
                <w:sz w:val="18"/>
              </w:rPr>
            </w:pPr>
            <w:r>
              <w:rPr>
                <w:rFonts w:ascii="Arial"/>
                <w:b/>
                <w:spacing w:val="-2"/>
                <w:sz w:val="18"/>
              </w:rPr>
              <w:t>Circulante</w:t>
            </w:r>
          </w:p>
        </w:tc>
        <w:tc>
          <w:tcPr>
            <w:tcW w:w="1932" w:type="dxa"/>
          </w:tcPr>
          <w:p w14:paraId="22E4E2D7" w14:textId="77777777" w:rsidR="002C6574" w:rsidRDefault="00000000">
            <w:pPr>
              <w:pStyle w:val="TableParagraph"/>
              <w:spacing w:before="13" w:line="204" w:lineRule="exact"/>
              <w:ind w:right="59"/>
              <w:rPr>
                <w:rFonts w:ascii="Arial"/>
                <w:b/>
                <w:sz w:val="18"/>
              </w:rPr>
            </w:pPr>
            <w:r>
              <w:rPr>
                <w:rFonts w:ascii="Arial"/>
                <w:b/>
                <w:spacing w:val="-2"/>
                <w:sz w:val="18"/>
              </w:rPr>
              <w:t>165.056</w:t>
            </w:r>
          </w:p>
        </w:tc>
        <w:tc>
          <w:tcPr>
            <w:tcW w:w="1932" w:type="dxa"/>
          </w:tcPr>
          <w:p w14:paraId="41DF2354" w14:textId="77777777" w:rsidR="002C6574" w:rsidRDefault="00000000">
            <w:pPr>
              <w:pStyle w:val="TableParagraph"/>
              <w:spacing w:before="13" w:line="204" w:lineRule="exact"/>
              <w:ind w:right="55"/>
              <w:rPr>
                <w:rFonts w:ascii="Arial"/>
                <w:b/>
                <w:sz w:val="18"/>
              </w:rPr>
            </w:pPr>
            <w:r>
              <w:rPr>
                <w:rFonts w:ascii="Arial"/>
                <w:b/>
                <w:spacing w:val="-2"/>
                <w:sz w:val="18"/>
              </w:rPr>
              <w:t>124.268</w:t>
            </w:r>
          </w:p>
        </w:tc>
      </w:tr>
      <w:tr w:rsidR="002C6574" w14:paraId="07C94DCF" w14:textId="77777777">
        <w:trPr>
          <w:trHeight w:val="237"/>
        </w:trPr>
        <w:tc>
          <w:tcPr>
            <w:tcW w:w="5906" w:type="dxa"/>
          </w:tcPr>
          <w:p w14:paraId="4B6C2674" w14:textId="77777777" w:rsidR="002C6574" w:rsidRDefault="00000000">
            <w:pPr>
              <w:pStyle w:val="TableParagraph"/>
              <w:spacing w:before="15" w:line="201" w:lineRule="exact"/>
              <w:ind w:left="69"/>
              <w:jc w:val="left"/>
              <w:rPr>
                <w:rFonts w:ascii="Arial" w:hAnsi="Arial"/>
                <w:b/>
                <w:sz w:val="18"/>
              </w:rPr>
            </w:pPr>
            <w:r>
              <w:rPr>
                <w:rFonts w:ascii="Arial" w:hAnsi="Arial"/>
                <w:b/>
                <w:sz w:val="18"/>
              </w:rPr>
              <w:t xml:space="preserve">Não </w:t>
            </w:r>
            <w:r>
              <w:rPr>
                <w:rFonts w:ascii="Arial" w:hAnsi="Arial"/>
                <w:b/>
                <w:spacing w:val="-2"/>
                <w:sz w:val="18"/>
              </w:rPr>
              <w:t>Circulante</w:t>
            </w:r>
          </w:p>
        </w:tc>
        <w:tc>
          <w:tcPr>
            <w:tcW w:w="1932" w:type="dxa"/>
          </w:tcPr>
          <w:p w14:paraId="0F0C2003" w14:textId="77777777" w:rsidR="002C6574" w:rsidRDefault="00000000">
            <w:pPr>
              <w:pStyle w:val="TableParagraph"/>
              <w:spacing w:before="15" w:line="201" w:lineRule="exact"/>
              <w:ind w:right="57"/>
              <w:rPr>
                <w:rFonts w:ascii="Arial"/>
                <w:b/>
                <w:sz w:val="18"/>
              </w:rPr>
            </w:pPr>
            <w:r>
              <w:rPr>
                <w:rFonts w:ascii="Arial"/>
                <w:b/>
                <w:spacing w:val="-2"/>
                <w:sz w:val="18"/>
              </w:rPr>
              <w:t>41.742</w:t>
            </w:r>
          </w:p>
        </w:tc>
        <w:tc>
          <w:tcPr>
            <w:tcW w:w="1932" w:type="dxa"/>
          </w:tcPr>
          <w:p w14:paraId="5F34CDD5" w14:textId="77777777" w:rsidR="002C6574" w:rsidRDefault="00000000">
            <w:pPr>
              <w:pStyle w:val="TableParagraph"/>
              <w:spacing w:before="15" w:line="201" w:lineRule="exact"/>
              <w:ind w:right="55"/>
              <w:rPr>
                <w:rFonts w:ascii="Arial"/>
                <w:b/>
                <w:sz w:val="18"/>
              </w:rPr>
            </w:pPr>
            <w:r>
              <w:rPr>
                <w:rFonts w:ascii="Arial"/>
                <w:b/>
                <w:spacing w:val="-2"/>
                <w:sz w:val="18"/>
              </w:rPr>
              <w:t>110.326</w:t>
            </w:r>
          </w:p>
        </w:tc>
      </w:tr>
      <w:tr w:rsidR="002C6574" w14:paraId="79579F2A" w14:textId="77777777">
        <w:trPr>
          <w:trHeight w:val="239"/>
        </w:trPr>
        <w:tc>
          <w:tcPr>
            <w:tcW w:w="5906" w:type="dxa"/>
          </w:tcPr>
          <w:p w14:paraId="50BAA11D" w14:textId="77777777" w:rsidR="002C6574" w:rsidRDefault="00000000">
            <w:pPr>
              <w:pStyle w:val="TableParagraph"/>
              <w:spacing w:line="220" w:lineRule="exact"/>
              <w:ind w:left="119"/>
              <w:jc w:val="left"/>
              <w:rPr>
                <w:sz w:val="18"/>
              </w:rPr>
            </w:pPr>
            <w:r>
              <w:rPr>
                <w:w w:val="105"/>
                <w:sz w:val="18"/>
              </w:rPr>
              <w:t>Realizável</w:t>
            </w:r>
            <w:r>
              <w:rPr>
                <w:spacing w:val="-11"/>
                <w:w w:val="105"/>
                <w:sz w:val="18"/>
              </w:rPr>
              <w:t xml:space="preserve"> </w:t>
            </w:r>
            <w:r>
              <w:rPr>
                <w:w w:val="105"/>
                <w:sz w:val="18"/>
              </w:rPr>
              <w:t>a</w:t>
            </w:r>
            <w:r>
              <w:rPr>
                <w:spacing w:val="-7"/>
                <w:w w:val="105"/>
                <w:sz w:val="18"/>
              </w:rPr>
              <w:t xml:space="preserve"> </w:t>
            </w:r>
            <w:r>
              <w:rPr>
                <w:w w:val="105"/>
                <w:sz w:val="18"/>
              </w:rPr>
              <w:t>Longo</w:t>
            </w:r>
            <w:r>
              <w:rPr>
                <w:spacing w:val="-7"/>
                <w:w w:val="105"/>
                <w:sz w:val="18"/>
              </w:rPr>
              <w:t xml:space="preserve"> </w:t>
            </w:r>
            <w:r>
              <w:rPr>
                <w:spacing w:val="-4"/>
                <w:w w:val="105"/>
                <w:sz w:val="18"/>
              </w:rPr>
              <w:t>Prazo</w:t>
            </w:r>
          </w:p>
        </w:tc>
        <w:tc>
          <w:tcPr>
            <w:tcW w:w="1932" w:type="dxa"/>
          </w:tcPr>
          <w:p w14:paraId="22C3C81A" w14:textId="77777777" w:rsidR="002C6574" w:rsidRDefault="00000000">
            <w:pPr>
              <w:pStyle w:val="TableParagraph"/>
              <w:spacing w:line="220" w:lineRule="exact"/>
              <w:ind w:right="58"/>
              <w:rPr>
                <w:sz w:val="18"/>
              </w:rPr>
            </w:pPr>
            <w:r>
              <w:rPr>
                <w:spacing w:val="-5"/>
                <w:w w:val="105"/>
                <w:sz w:val="18"/>
              </w:rPr>
              <w:t>769</w:t>
            </w:r>
          </w:p>
        </w:tc>
        <w:tc>
          <w:tcPr>
            <w:tcW w:w="1932" w:type="dxa"/>
          </w:tcPr>
          <w:p w14:paraId="4BE05CDE" w14:textId="77777777" w:rsidR="002C6574" w:rsidRDefault="00000000">
            <w:pPr>
              <w:pStyle w:val="TableParagraph"/>
              <w:spacing w:line="220" w:lineRule="exact"/>
              <w:ind w:right="57"/>
              <w:rPr>
                <w:sz w:val="18"/>
              </w:rPr>
            </w:pPr>
            <w:r>
              <w:rPr>
                <w:spacing w:val="-5"/>
                <w:w w:val="105"/>
                <w:sz w:val="18"/>
              </w:rPr>
              <w:t>250</w:t>
            </w:r>
          </w:p>
        </w:tc>
      </w:tr>
      <w:tr w:rsidR="002C6574" w14:paraId="3199AF60" w14:textId="77777777">
        <w:trPr>
          <w:trHeight w:val="237"/>
        </w:trPr>
        <w:tc>
          <w:tcPr>
            <w:tcW w:w="5906" w:type="dxa"/>
          </w:tcPr>
          <w:p w14:paraId="31820B64" w14:textId="77777777" w:rsidR="002C6574" w:rsidRDefault="00000000">
            <w:pPr>
              <w:pStyle w:val="TableParagraph"/>
              <w:spacing w:line="217" w:lineRule="exact"/>
              <w:ind w:left="119"/>
              <w:jc w:val="left"/>
              <w:rPr>
                <w:sz w:val="18"/>
              </w:rPr>
            </w:pPr>
            <w:r>
              <w:rPr>
                <w:spacing w:val="-2"/>
                <w:sz w:val="18"/>
              </w:rPr>
              <w:t>Investimento</w:t>
            </w:r>
          </w:p>
        </w:tc>
        <w:tc>
          <w:tcPr>
            <w:tcW w:w="1932" w:type="dxa"/>
          </w:tcPr>
          <w:p w14:paraId="64FBBBFD" w14:textId="77777777" w:rsidR="002C6574" w:rsidRDefault="00000000">
            <w:pPr>
              <w:pStyle w:val="TableParagraph"/>
              <w:spacing w:line="217" w:lineRule="exact"/>
              <w:ind w:right="57"/>
              <w:rPr>
                <w:sz w:val="18"/>
              </w:rPr>
            </w:pPr>
            <w:r>
              <w:rPr>
                <w:spacing w:val="-2"/>
                <w:w w:val="105"/>
                <w:sz w:val="18"/>
              </w:rPr>
              <w:t>29.362</w:t>
            </w:r>
          </w:p>
        </w:tc>
        <w:tc>
          <w:tcPr>
            <w:tcW w:w="1932" w:type="dxa"/>
          </w:tcPr>
          <w:p w14:paraId="2867CFC0" w14:textId="77777777" w:rsidR="002C6574" w:rsidRDefault="00000000">
            <w:pPr>
              <w:pStyle w:val="TableParagraph"/>
              <w:spacing w:line="217" w:lineRule="exact"/>
              <w:ind w:right="55"/>
              <w:rPr>
                <w:sz w:val="18"/>
              </w:rPr>
            </w:pPr>
            <w:r>
              <w:rPr>
                <w:spacing w:val="-2"/>
                <w:w w:val="105"/>
                <w:sz w:val="18"/>
              </w:rPr>
              <w:t>105.875</w:t>
            </w:r>
          </w:p>
        </w:tc>
      </w:tr>
      <w:tr w:rsidR="002C6574" w14:paraId="1DBB757F" w14:textId="77777777">
        <w:trPr>
          <w:trHeight w:val="237"/>
        </w:trPr>
        <w:tc>
          <w:tcPr>
            <w:tcW w:w="5906" w:type="dxa"/>
          </w:tcPr>
          <w:p w14:paraId="6FE9B94F" w14:textId="77777777" w:rsidR="002C6574" w:rsidRDefault="00000000">
            <w:pPr>
              <w:pStyle w:val="TableParagraph"/>
              <w:spacing w:line="217" w:lineRule="exact"/>
              <w:ind w:left="119"/>
              <w:jc w:val="left"/>
              <w:rPr>
                <w:sz w:val="18"/>
              </w:rPr>
            </w:pPr>
            <w:r>
              <w:rPr>
                <w:spacing w:val="-2"/>
                <w:sz w:val="18"/>
              </w:rPr>
              <w:t>Imobilizado</w:t>
            </w:r>
          </w:p>
        </w:tc>
        <w:tc>
          <w:tcPr>
            <w:tcW w:w="1932" w:type="dxa"/>
          </w:tcPr>
          <w:p w14:paraId="7476F7D1" w14:textId="77777777" w:rsidR="002C6574" w:rsidRDefault="00000000">
            <w:pPr>
              <w:pStyle w:val="TableParagraph"/>
              <w:spacing w:line="217" w:lineRule="exact"/>
              <w:ind w:right="58"/>
              <w:rPr>
                <w:sz w:val="18"/>
              </w:rPr>
            </w:pPr>
            <w:r>
              <w:rPr>
                <w:spacing w:val="-2"/>
                <w:w w:val="105"/>
                <w:sz w:val="18"/>
              </w:rPr>
              <w:t>10.196</w:t>
            </w:r>
          </w:p>
        </w:tc>
        <w:tc>
          <w:tcPr>
            <w:tcW w:w="1932" w:type="dxa"/>
          </w:tcPr>
          <w:p w14:paraId="130E1154" w14:textId="77777777" w:rsidR="002C6574" w:rsidRDefault="00000000">
            <w:pPr>
              <w:pStyle w:val="TableParagraph"/>
              <w:spacing w:line="217" w:lineRule="exact"/>
              <w:ind w:right="55"/>
              <w:rPr>
                <w:sz w:val="18"/>
              </w:rPr>
            </w:pPr>
            <w:r>
              <w:rPr>
                <w:spacing w:val="-2"/>
                <w:w w:val="110"/>
                <w:sz w:val="18"/>
              </w:rPr>
              <w:t>2.206</w:t>
            </w:r>
          </w:p>
        </w:tc>
      </w:tr>
      <w:tr w:rsidR="002C6574" w14:paraId="7D6FD2AF" w14:textId="77777777">
        <w:trPr>
          <w:trHeight w:val="239"/>
        </w:trPr>
        <w:tc>
          <w:tcPr>
            <w:tcW w:w="5906" w:type="dxa"/>
          </w:tcPr>
          <w:p w14:paraId="3B974288" w14:textId="77777777" w:rsidR="002C6574" w:rsidRDefault="00000000">
            <w:pPr>
              <w:pStyle w:val="TableParagraph"/>
              <w:spacing w:line="220" w:lineRule="exact"/>
              <w:ind w:left="119"/>
              <w:jc w:val="left"/>
              <w:rPr>
                <w:sz w:val="18"/>
              </w:rPr>
            </w:pPr>
            <w:r>
              <w:rPr>
                <w:spacing w:val="-2"/>
                <w:sz w:val="18"/>
              </w:rPr>
              <w:t>Intangível</w:t>
            </w:r>
          </w:p>
        </w:tc>
        <w:tc>
          <w:tcPr>
            <w:tcW w:w="1932" w:type="dxa"/>
          </w:tcPr>
          <w:p w14:paraId="34E03A7E" w14:textId="77777777" w:rsidR="002C6574" w:rsidRDefault="00000000">
            <w:pPr>
              <w:pStyle w:val="TableParagraph"/>
              <w:spacing w:line="220" w:lineRule="exact"/>
              <w:ind w:right="58"/>
              <w:rPr>
                <w:sz w:val="18"/>
              </w:rPr>
            </w:pPr>
            <w:r>
              <w:rPr>
                <w:spacing w:val="-2"/>
                <w:w w:val="110"/>
                <w:sz w:val="18"/>
              </w:rPr>
              <w:t>1.415</w:t>
            </w:r>
          </w:p>
        </w:tc>
        <w:tc>
          <w:tcPr>
            <w:tcW w:w="1932" w:type="dxa"/>
          </w:tcPr>
          <w:p w14:paraId="1930BA82" w14:textId="77777777" w:rsidR="002C6574" w:rsidRDefault="00000000">
            <w:pPr>
              <w:pStyle w:val="TableParagraph"/>
              <w:spacing w:line="220" w:lineRule="exact"/>
              <w:ind w:right="55"/>
              <w:rPr>
                <w:sz w:val="18"/>
              </w:rPr>
            </w:pPr>
            <w:r>
              <w:rPr>
                <w:spacing w:val="-2"/>
                <w:w w:val="110"/>
                <w:sz w:val="18"/>
              </w:rPr>
              <w:t>1.995</w:t>
            </w:r>
          </w:p>
        </w:tc>
      </w:tr>
      <w:tr w:rsidR="002C6574" w14:paraId="62EFC9FE" w14:textId="77777777">
        <w:trPr>
          <w:trHeight w:val="237"/>
        </w:trPr>
        <w:tc>
          <w:tcPr>
            <w:tcW w:w="5906" w:type="dxa"/>
          </w:tcPr>
          <w:p w14:paraId="45F26C06" w14:textId="77777777" w:rsidR="002C6574" w:rsidRDefault="00000000">
            <w:pPr>
              <w:pStyle w:val="TableParagraph"/>
              <w:spacing w:before="13" w:line="204" w:lineRule="exact"/>
              <w:ind w:left="69"/>
              <w:jc w:val="left"/>
              <w:rPr>
                <w:rFonts w:ascii="Arial"/>
                <w:b/>
                <w:sz w:val="18"/>
              </w:rPr>
            </w:pPr>
            <w:r>
              <w:rPr>
                <w:rFonts w:ascii="Arial"/>
                <w:b/>
                <w:spacing w:val="-2"/>
                <w:sz w:val="18"/>
              </w:rPr>
              <w:t>Total</w:t>
            </w:r>
          </w:p>
        </w:tc>
        <w:tc>
          <w:tcPr>
            <w:tcW w:w="1932" w:type="dxa"/>
          </w:tcPr>
          <w:p w14:paraId="0027041D" w14:textId="77777777" w:rsidR="002C6574" w:rsidRDefault="00000000">
            <w:pPr>
              <w:pStyle w:val="TableParagraph"/>
              <w:spacing w:before="13" w:line="204" w:lineRule="exact"/>
              <w:ind w:right="59"/>
              <w:rPr>
                <w:rFonts w:ascii="Arial"/>
                <w:b/>
                <w:sz w:val="18"/>
              </w:rPr>
            </w:pPr>
            <w:r>
              <w:rPr>
                <w:rFonts w:ascii="Arial"/>
                <w:b/>
                <w:spacing w:val="-2"/>
                <w:sz w:val="18"/>
              </w:rPr>
              <w:t>206.798</w:t>
            </w:r>
          </w:p>
        </w:tc>
        <w:tc>
          <w:tcPr>
            <w:tcW w:w="1932" w:type="dxa"/>
          </w:tcPr>
          <w:p w14:paraId="73D58F85" w14:textId="77777777" w:rsidR="002C6574" w:rsidRDefault="00000000">
            <w:pPr>
              <w:pStyle w:val="TableParagraph"/>
              <w:spacing w:before="13" w:line="204" w:lineRule="exact"/>
              <w:ind w:right="55"/>
              <w:rPr>
                <w:rFonts w:ascii="Arial"/>
                <w:b/>
                <w:sz w:val="18"/>
              </w:rPr>
            </w:pPr>
            <w:r>
              <w:rPr>
                <w:rFonts w:ascii="Arial"/>
                <w:b/>
                <w:spacing w:val="-2"/>
                <w:sz w:val="18"/>
              </w:rPr>
              <w:t>234.594</w:t>
            </w:r>
          </w:p>
        </w:tc>
      </w:tr>
      <w:tr w:rsidR="002C6574" w14:paraId="30483C8D" w14:textId="77777777">
        <w:trPr>
          <w:trHeight w:val="237"/>
        </w:trPr>
        <w:tc>
          <w:tcPr>
            <w:tcW w:w="5906" w:type="dxa"/>
          </w:tcPr>
          <w:p w14:paraId="2424F40F" w14:textId="77777777" w:rsidR="002C6574" w:rsidRDefault="00000000">
            <w:pPr>
              <w:pStyle w:val="TableParagraph"/>
              <w:spacing w:before="15" w:line="201" w:lineRule="exact"/>
              <w:ind w:left="69"/>
              <w:jc w:val="left"/>
              <w:rPr>
                <w:rFonts w:ascii="Arial"/>
                <w:b/>
                <w:sz w:val="18"/>
              </w:rPr>
            </w:pPr>
            <w:r>
              <w:rPr>
                <w:rFonts w:ascii="Arial"/>
                <w:b/>
                <w:spacing w:val="-2"/>
                <w:sz w:val="18"/>
              </w:rPr>
              <w:t>Passivo</w:t>
            </w:r>
          </w:p>
        </w:tc>
        <w:tc>
          <w:tcPr>
            <w:tcW w:w="1932" w:type="dxa"/>
          </w:tcPr>
          <w:p w14:paraId="38B3B4AC" w14:textId="77777777" w:rsidR="002C6574" w:rsidRDefault="002C6574">
            <w:pPr>
              <w:pStyle w:val="TableParagraph"/>
              <w:jc w:val="left"/>
              <w:rPr>
                <w:rFonts w:ascii="Times New Roman"/>
                <w:sz w:val="16"/>
              </w:rPr>
            </w:pPr>
          </w:p>
        </w:tc>
        <w:tc>
          <w:tcPr>
            <w:tcW w:w="1932" w:type="dxa"/>
          </w:tcPr>
          <w:p w14:paraId="6127006D" w14:textId="77777777" w:rsidR="002C6574" w:rsidRDefault="002C6574">
            <w:pPr>
              <w:pStyle w:val="TableParagraph"/>
              <w:jc w:val="left"/>
              <w:rPr>
                <w:rFonts w:ascii="Times New Roman"/>
                <w:sz w:val="16"/>
              </w:rPr>
            </w:pPr>
          </w:p>
        </w:tc>
      </w:tr>
      <w:tr w:rsidR="002C6574" w14:paraId="444C52B6" w14:textId="77777777">
        <w:trPr>
          <w:trHeight w:val="239"/>
        </w:trPr>
        <w:tc>
          <w:tcPr>
            <w:tcW w:w="5906" w:type="dxa"/>
          </w:tcPr>
          <w:p w14:paraId="5E47B6BA" w14:textId="77777777" w:rsidR="002C6574" w:rsidRDefault="00000000">
            <w:pPr>
              <w:pStyle w:val="TableParagraph"/>
              <w:spacing w:line="220" w:lineRule="exact"/>
              <w:ind w:left="69"/>
              <w:jc w:val="left"/>
              <w:rPr>
                <w:sz w:val="18"/>
              </w:rPr>
            </w:pPr>
            <w:r>
              <w:rPr>
                <w:spacing w:val="-2"/>
                <w:sz w:val="18"/>
              </w:rPr>
              <w:t>Circulante</w:t>
            </w:r>
          </w:p>
        </w:tc>
        <w:tc>
          <w:tcPr>
            <w:tcW w:w="1932" w:type="dxa"/>
          </w:tcPr>
          <w:p w14:paraId="0039DEAE" w14:textId="77777777" w:rsidR="002C6574" w:rsidRDefault="00000000">
            <w:pPr>
              <w:pStyle w:val="TableParagraph"/>
              <w:spacing w:line="220" w:lineRule="exact"/>
              <w:ind w:right="57"/>
              <w:rPr>
                <w:sz w:val="18"/>
              </w:rPr>
            </w:pPr>
            <w:r>
              <w:rPr>
                <w:spacing w:val="-2"/>
                <w:w w:val="105"/>
                <w:sz w:val="18"/>
              </w:rPr>
              <w:t>44.265</w:t>
            </w:r>
          </w:p>
        </w:tc>
        <w:tc>
          <w:tcPr>
            <w:tcW w:w="1932" w:type="dxa"/>
          </w:tcPr>
          <w:p w14:paraId="47207C46" w14:textId="77777777" w:rsidR="002C6574" w:rsidRDefault="00000000">
            <w:pPr>
              <w:pStyle w:val="TableParagraph"/>
              <w:spacing w:line="220" w:lineRule="exact"/>
              <w:ind w:right="55"/>
              <w:rPr>
                <w:sz w:val="18"/>
              </w:rPr>
            </w:pPr>
            <w:r>
              <w:rPr>
                <w:spacing w:val="-2"/>
                <w:w w:val="105"/>
                <w:sz w:val="18"/>
              </w:rPr>
              <w:t>59.232</w:t>
            </w:r>
          </w:p>
        </w:tc>
      </w:tr>
      <w:tr w:rsidR="002C6574" w14:paraId="62245769" w14:textId="77777777">
        <w:trPr>
          <w:trHeight w:val="237"/>
        </w:trPr>
        <w:tc>
          <w:tcPr>
            <w:tcW w:w="5906" w:type="dxa"/>
          </w:tcPr>
          <w:p w14:paraId="3F0DEAB5" w14:textId="77777777" w:rsidR="002C6574" w:rsidRDefault="00000000">
            <w:pPr>
              <w:pStyle w:val="TableParagraph"/>
              <w:spacing w:line="217" w:lineRule="exact"/>
              <w:ind w:left="69"/>
              <w:jc w:val="left"/>
              <w:rPr>
                <w:sz w:val="18"/>
              </w:rPr>
            </w:pPr>
            <w:r>
              <w:rPr>
                <w:sz w:val="18"/>
              </w:rPr>
              <w:t>Não</w:t>
            </w:r>
            <w:r>
              <w:rPr>
                <w:spacing w:val="-2"/>
                <w:sz w:val="18"/>
              </w:rPr>
              <w:t xml:space="preserve"> Circulante</w:t>
            </w:r>
          </w:p>
        </w:tc>
        <w:tc>
          <w:tcPr>
            <w:tcW w:w="1932" w:type="dxa"/>
          </w:tcPr>
          <w:p w14:paraId="13F1EC63" w14:textId="77777777" w:rsidR="002C6574" w:rsidRDefault="00000000">
            <w:pPr>
              <w:pStyle w:val="TableParagraph"/>
              <w:spacing w:line="217" w:lineRule="exact"/>
              <w:ind w:right="59"/>
              <w:rPr>
                <w:sz w:val="18"/>
              </w:rPr>
            </w:pPr>
            <w:r>
              <w:rPr>
                <w:spacing w:val="-2"/>
                <w:w w:val="110"/>
                <w:sz w:val="18"/>
              </w:rPr>
              <w:t>6.752</w:t>
            </w:r>
          </w:p>
        </w:tc>
        <w:tc>
          <w:tcPr>
            <w:tcW w:w="1932" w:type="dxa"/>
          </w:tcPr>
          <w:p w14:paraId="43064225" w14:textId="77777777" w:rsidR="002C6574" w:rsidRDefault="00000000">
            <w:pPr>
              <w:pStyle w:val="TableParagraph"/>
              <w:spacing w:line="217" w:lineRule="exact"/>
              <w:ind w:right="55"/>
              <w:rPr>
                <w:sz w:val="18"/>
              </w:rPr>
            </w:pPr>
            <w:r>
              <w:rPr>
                <w:spacing w:val="-2"/>
                <w:w w:val="105"/>
                <w:sz w:val="18"/>
              </w:rPr>
              <w:t>12.545</w:t>
            </w:r>
          </w:p>
        </w:tc>
      </w:tr>
      <w:tr w:rsidR="002C6574" w14:paraId="7763BABC" w14:textId="77777777">
        <w:trPr>
          <w:trHeight w:val="237"/>
        </w:trPr>
        <w:tc>
          <w:tcPr>
            <w:tcW w:w="5906" w:type="dxa"/>
          </w:tcPr>
          <w:p w14:paraId="273A4C69" w14:textId="77777777" w:rsidR="002C6574" w:rsidRDefault="00000000">
            <w:pPr>
              <w:pStyle w:val="TableParagraph"/>
              <w:spacing w:line="217" w:lineRule="exact"/>
              <w:ind w:left="69"/>
              <w:jc w:val="left"/>
              <w:rPr>
                <w:sz w:val="18"/>
              </w:rPr>
            </w:pPr>
            <w:r>
              <w:rPr>
                <w:spacing w:val="-2"/>
                <w:sz w:val="18"/>
              </w:rPr>
              <w:t>Patrimônio</w:t>
            </w:r>
            <w:r>
              <w:rPr>
                <w:spacing w:val="3"/>
                <w:sz w:val="18"/>
              </w:rPr>
              <w:t xml:space="preserve"> </w:t>
            </w:r>
            <w:r>
              <w:rPr>
                <w:spacing w:val="-2"/>
                <w:sz w:val="18"/>
              </w:rPr>
              <w:t>Líquido</w:t>
            </w:r>
          </w:p>
        </w:tc>
        <w:tc>
          <w:tcPr>
            <w:tcW w:w="1932" w:type="dxa"/>
          </w:tcPr>
          <w:p w14:paraId="029215E4" w14:textId="77777777" w:rsidR="002C6574" w:rsidRDefault="00000000">
            <w:pPr>
              <w:pStyle w:val="TableParagraph"/>
              <w:spacing w:line="217" w:lineRule="exact"/>
              <w:ind w:right="59"/>
              <w:rPr>
                <w:sz w:val="18"/>
              </w:rPr>
            </w:pPr>
            <w:r>
              <w:rPr>
                <w:spacing w:val="-2"/>
                <w:w w:val="105"/>
                <w:sz w:val="18"/>
              </w:rPr>
              <w:t>155.781</w:t>
            </w:r>
          </w:p>
        </w:tc>
        <w:tc>
          <w:tcPr>
            <w:tcW w:w="1932" w:type="dxa"/>
          </w:tcPr>
          <w:p w14:paraId="395E72B7" w14:textId="77777777" w:rsidR="002C6574" w:rsidRDefault="00000000">
            <w:pPr>
              <w:pStyle w:val="TableParagraph"/>
              <w:spacing w:line="217" w:lineRule="exact"/>
              <w:ind w:right="55"/>
              <w:rPr>
                <w:sz w:val="18"/>
              </w:rPr>
            </w:pPr>
            <w:r>
              <w:rPr>
                <w:spacing w:val="-2"/>
                <w:w w:val="105"/>
                <w:sz w:val="18"/>
              </w:rPr>
              <w:t>163.517</w:t>
            </w:r>
          </w:p>
        </w:tc>
      </w:tr>
      <w:tr w:rsidR="002C6574" w14:paraId="25C15E2F" w14:textId="77777777">
        <w:trPr>
          <w:trHeight w:val="239"/>
        </w:trPr>
        <w:tc>
          <w:tcPr>
            <w:tcW w:w="5906" w:type="dxa"/>
          </w:tcPr>
          <w:p w14:paraId="47FFB07D" w14:textId="77777777" w:rsidR="002C6574" w:rsidRDefault="00000000">
            <w:pPr>
              <w:pStyle w:val="TableParagraph"/>
              <w:spacing w:before="15" w:line="204" w:lineRule="exact"/>
              <w:ind w:left="69"/>
              <w:jc w:val="left"/>
              <w:rPr>
                <w:rFonts w:ascii="Arial"/>
                <w:b/>
                <w:sz w:val="18"/>
              </w:rPr>
            </w:pPr>
            <w:r>
              <w:rPr>
                <w:rFonts w:ascii="Arial"/>
                <w:b/>
                <w:spacing w:val="-2"/>
                <w:sz w:val="18"/>
              </w:rPr>
              <w:t>Total</w:t>
            </w:r>
          </w:p>
        </w:tc>
        <w:tc>
          <w:tcPr>
            <w:tcW w:w="1932" w:type="dxa"/>
          </w:tcPr>
          <w:p w14:paraId="37227E5B" w14:textId="77777777" w:rsidR="002C6574" w:rsidRDefault="00000000">
            <w:pPr>
              <w:pStyle w:val="TableParagraph"/>
              <w:spacing w:before="15" w:line="204" w:lineRule="exact"/>
              <w:ind w:right="59"/>
              <w:rPr>
                <w:rFonts w:ascii="Arial"/>
                <w:b/>
                <w:sz w:val="18"/>
              </w:rPr>
            </w:pPr>
            <w:r>
              <w:rPr>
                <w:rFonts w:ascii="Arial"/>
                <w:b/>
                <w:spacing w:val="-2"/>
                <w:sz w:val="18"/>
              </w:rPr>
              <w:t>206.798</w:t>
            </w:r>
          </w:p>
        </w:tc>
        <w:tc>
          <w:tcPr>
            <w:tcW w:w="1932" w:type="dxa"/>
          </w:tcPr>
          <w:p w14:paraId="415645D2" w14:textId="77777777" w:rsidR="002C6574" w:rsidRDefault="00000000">
            <w:pPr>
              <w:pStyle w:val="TableParagraph"/>
              <w:spacing w:before="15" w:line="204" w:lineRule="exact"/>
              <w:ind w:right="55"/>
              <w:rPr>
                <w:rFonts w:ascii="Arial"/>
                <w:b/>
                <w:sz w:val="18"/>
              </w:rPr>
            </w:pPr>
            <w:r>
              <w:rPr>
                <w:rFonts w:ascii="Arial"/>
                <w:b/>
                <w:spacing w:val="-2"/>
                <w:sz w:val="18"/>
              </w:rPr>
              <w:t>235.294</w:t>
            </w:r>
          </w:p>
        </w:tc>
      </w:tr>
    </w:tbl>
    <w:p w14:paraId="06470333" w14:textId="77777777" w:rsidR="002C6574" w:rsidRDefault="002C6574">
      <w:pPr>
        <w:pStyle w:val="Corpodetexto"/>
        <w:spacing w:before="50"/>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88"/>
        <w:gridCol w:w="1442"/>
        <w:gridCol w:w="1440"/>
      </w:tblGrid>
      <w:tr w:rsidR="002C6574" w14:paraId="6D477678" w14:textId="77777777">
        <w:trPr>
          <w:trHeight w:val="232"/>
        </w:trPr>
        <w:tc>
          <w:tcPr>
            <w:tcW w:w="6888" w:type="dxa"/>
            <w:shd w:val="clear" w:color="auto" w:fill="D8D8D8"/>
          </w:tcPr>
          <w:p w14:paraId="6D5271FF" w14:textId="77777777" w:rsidR="002C6574" w:rsidRDefault="00000000">
            <w:pPr>
              <w:pStyle w:val="TableParagraph"/>
              <w:spacing w:before="11" w:line="201" w:lineRule="exact"/>
              <w:ind w:left="69"/>
              <w:jc w:val="left"/>
              <w:rPr>
                <w:rFonts w:ascii="Arial" w:hAnsi="Arial"/>
                <w:b/>
                <w:sz w:val="18"/>
              </w:rPr>
            </w:pPr>
            <w:r>
              <w:rPr>
                <w:rFonts w:ascii="Arial" w:hAnsi="Arial"/>
                <w:b/>
                <w:sz w:val="18"/>
              </w:rPr>
              <w:t>Demonstração do</w:t>
            </w:r>
            <w:r>
              <w:rPr>
                <w:rFonts w:ascii="Arial" w:hAnsi="Arial"/>
                <w:b/>
                <w:spacing w:val="-2"/>
                <w:sz w:val="18"/>
              </w:rPr>
              <w:t xml:space="preserve"> </w:t>
            </w:r>
            <w:r>
              <w:rPr>
                <w:rFonts w:ascii="Arial" w:hAnsi="Arial"/>
                <w:b/>
                <w:sz w:val="18"/>
              </w:rPr>
              <w:t>Resultado</w:t>
            </w:r>
            <w:r>
              <w:rPr>
                <w:rFonts w:ascii="Arial" w:hAnsi="Arial"/>
                <w:b/>
                <w:spacing w:val="-2"/>
                <w:sz w:val="18"/>
              </w:rPr>
              <w:t xml:space="preserve"> </w:t>
            </w:r>
            <w:r>
              <w:rPr>
                <w:rFonts w:ascii="Arial" w:hAnsi="Arial"/>
                <w:b/>
                <w:sz w:val="18"/>
              </w:rPr>
              <w:t>do</w:t>
            </w:r>
            <w:r>
              <w:rPr>
                <w:rFonts w:ascii="Arial" w:hAnsi="Arial"/>
                <w:b/>
                <w:spacing w:val="1"/>
                <w:sz w:val="18"/>
              </w:rPr>
              <w:t xml:space="preserve"> </w:t>
            </w:r>
            <w:r>
              <w:rPr>
                <w:rFonts w:ascii="Arial" w:hAnsi="Arial"/>
                <w:b/>
                <w:spacing w:val="-2"/>
                <w:sz w:val="18"/>
              </w:rPr>
              <w:t>Exercício</w:t>
            </w:r>
          </w:p>
        </w:tc>
        <w:tc>
          <w:tcPr>
            <w:tcW w:w="1442" w:type="dxa"/>
          </w:tcPr>
          <w:p w14:paraId="0EEC45DE" w14:textId="77777777" w:rsidR="002C6574" w:rsidRDefault="00000000">
            <w:pPr>
              <w:pStyle w:val="TableParagraph"/>
              <w:spacing w:before="11" w:line="201" w:lineRule="exact"/>
              <w:ind w:left="271"/>
              <w:jc w:val="left"/>
              <w:rPr>
                <w:rFonts w:ascii="Arial"/>
                <w:b/>
                <w:sz w:val="18"/>
              </w:rPr>
            </w:pPr>
            <w:r>
              <w:rPr>
                <w:rFonts w:ascii="Arial"/>
                <w:b/>
                <w:spacing w:val="-2"/>
                <w:sz w:val="18"/>
              </w:rPr>
              <w:t>31/12/2025</w:t>
            </w:r>
          </w:p>
        </w:tc>
        <w:tc>
          <w:tcPr>
            <w:tcW w:w="1440" w:type="dxa"/>
          </w:tcPr>
          <w:p w14:paraId="1940FD70" w14:textId="77777777" w:rsidR="002C6574" w:rsidRDefault="00000000">
            <w:pPr>
              <w:pStyle w:val="TableParagraph"/>
              <w:spacing w:before="11" w:line="201" w:lineRule="exact"/>
              <w:ind w:left="269"/>
              <w:jc w:val="left"/>
              <w:rPr>
                <w:rFonts w:ascii="Arial"/>
                <w:b/>
                <w:sz w:val="18"/>
              </w:rPr>
            </w:pPr>
            <w:r>
              <w:rPr>
                <w:rFonts w:ascii="Arial"/>
                <w:b/>
                <w:spacing w:val="-2"/>
                <w:sz w:val="18"/>
              </w:rPr>
              <w:t>31/12/2024</w:t>
            </w:r>
          </w:p>
        </w:tc>
      </w:tr>
      <w:tr w:rsidR="002C6574" w14:paraId="24FA8C1E" w14:textId="77777777">
        <w:trPr>
          <w:trHeight w:val="232"/>
        </w:trPr>
        <w:tc>
          <w:tcPr>
            <w:tcW w:w="6888" w:type="dxa"/>
          </w:tcPr>
          <w:p w14:paraId="6998D00E" w14:textId="77777777" w:rsidR="002C6574" w:rsidRDefault="00000000">
            <w:pPr>
              <w:pStyle w:val="TableParagraph"/>
              <w:spacing w:before="11" w:line="201" w:lineRule="exact"/>
              <w:ind w:left="69"/>
              <w:jc w:val="left"/>
              <w:rPr>
                <w:rFonts w:ascii="Arial" w:hAnsi="Arial"/>
                <w:b/>
                <w:sz w:val="18"/>
              </w:rPr>
            </w:pPr>
            <w:r>
              <w:rPr>
                <w:rFonts w:ascii="Arial" w:hAnsi="Arial"/>
                <w:b/>
                <w:sz w:val="18"/>
              </w:rPr>
              <w:t>Receita Operacional</w:t>
            </w:r>
            <w:r>
              <w:rPr>
                <w:rFonts w:ascii="Arial" w:hAnsi="Arial"/>
                <w:b/>
                <w:spacing w:val="2"/>
                <w:sz w:val="18"/>
              </w:rPr>
              <w:t xml:space="preserve"> </w:t>
            </w:r>
            <w:r>
              <w:rPr>
                <w:rFonts w:ascii="Arial" w:hAnsi="Arial"/>
                <w:b/>
                <w:spacing w:val="-2"/>
                <w:sz w:val="18"/>
              </w:rPr>
              <w:t>Líquida</w:t>
            </w:r>
          </w:p>
        </w:tc>
        <w:tc>
          <w:tcPr>
            <w:tcW w:w="1442" w:type="dxa"/>
          </w:tcPr>
          <w:p w14:paraId="267289AC" w14:textId="77777777" w:rsidR="002C6574" w:rsidRDefault="00000000">
            <w:pPr>
              <w:pStyle w:val="TableParagraph"/>
              <w:spacing w:line="212" w:lineRule="exact"/>
              <w:ind w:right="58"/>
              <w:rPr>
                <w:sz w:val="18"/>
              </w:rPr>
            </w:pPr>
            <w:r>
              <w:rPr>
                <w:spacing w:val="-4"/>
                <w:w w:val="110"/>
                <w:sz w:val="18"/>
              </w:rPr>
              <w:t>6.561</w:t>
            </w:r>
          </w:p>
        </w:tc>
        <w:tc>
          <w:tcPr>
            <w:tcW w:w="1440" w:type="dxa"/>
          </w:tcPr>
          <w:p w14:paraId="13184422" w14:textId="77777777" w:rsidR="002C6574" w:rsidRDefault="00000000">
            <w:pPr>
              <w:pStyle w:val="TableParagraph"/>
              <w:spacing w:line="212" w:lineRule="exact"/>
              <w:ind w:right="57"/>
              <w:rPr>
                <w:sz w:val="18"/>
              </w:rPr>
            </w:pPr>
            <w:r>
              <w:rPr>
                <w:spacing w:val="-4"/>
                <w:w w:val="110"/>
                <w:sz w:val="18"/>
              </w:rPr>
              <w:t>9.197</w:t>
            </w:r>
          </w:p>
        </w:tc>
      </w:tr>
      <w:tr w:rsidR="002C6574" w14:paraId="1DCEEF4B" w14:textId="77777777">
        <w:trPr>
          <w:trHeight w:val="230"/>
        </w:trPr>
        <w:tc>
          <w:tcPr>
            <w:tcW w:w="6888" w:type="dxa"/>
          </w:tcPr>
          <w:p w14:paraId="3ADE247B" w14:textId="77777777" w:rsidR="002C6574" w:rsidRDefault="00000000">
            <w:pPr>
              <w:pStyle w:val="TableParagraph"/>
              <w:spacing w:line="210" w:lineRule="exact"/>
              <w:ind w:left="69"/>
              <w:jc w:val="left"/>
              <w:rPr>
                <w:sz w:val="18"/>
              </w:rPr>
            </w:pPr>
            <w:r>
              <w:rPr>
                <w:sz w:val="18"/>
              </w:rPr>
              <w:t>Custo</w:t>
            </w:r>
            <w:r>
              <w:rPr>
                <w:spacing w:val="5"/>
                <w:sz w:val="18"/>
              </w:rPr>
              <w:t xml:space="preserve"> </w:t>
            </w:r>
            <w:r>
              <w:rPr>
                <w:sz w:val="18"/>
              </w:rPr>
              <w:t>dos</w:t>
            </w:r>
            <w:r>
              <w:rPr>
                <w:spacing w:val="12"/>
                <w:sz w:val="18"/>
              </w:rPr>
              <w:t xml:space="preserve"> </w:t>
            </w:r>
            <w:r>
              <w:rPr>
                <w:sz w:val="18"/>
              </w:rPr>
              <w:t>Produtos</w:t>
            </w:r>
            <w:r>
              <w:rPr>
                <w:spacing w:val="9"/>
                <w:sz w:val="18"/>
              </w:rPr>
              <w:t xml:space="preserve"> </w:t>
            </w:r>
            <w:r>
              <w:rPr>
                <w:sz w:val="18"/>
              </w:rPr>
              <w:t>Vendidos</w:t>
            </w:r>
            <w:r>
              <w:rPr>
                <w:spacing w:val="8"/>
                <w:sz w:val="18"/>
              </w:rPr>
              <w:t xml:space="preserve"> </w:t>
            </w:r>
            <w:r>
              <w:rPr>
                <w:sz w:val="18"/>
              </w:rPr>
              <w:t>e</w:t>
            </w:r>
            <w:r>
              <w:rPr>
                <w:spacing w:val="6"/>
                <w:sz w:val="18"/>
              </w:rPr>
              <w:t xml:space="preserve"> </w:t>
            </w:r>
            <w:r>
              <w:rPr>
                <w:sz w:val="18"/>
              </w:rPr>
              <w:t>Serviços</w:t>
            </w:r>
            <w:r>
              <w:rPr>
                <w:spacing w:val="9"/>
                <w:sz w:val="18"/>
              </w:rPr>
              <w:t xml:space="preserve"> </w:t>
            </w:r>
            <w:r>
              <w:rPr>
                <w:spacing w:val="-2"/>
                <w:sz w:val="18"/>
              </w:rPr>
              <w:t>Prestados</w:t>
            </w:r>
          </w:p>
        </w:tc>
        <w:tc>
          <w:tcPr>
            <w:tcW w:w="1442" w:type="dxa"/>
          </w:tcPr>
          <w:p w14:paraId="772A4465" w14:textId="77777777" w:rsidR="002C6574" w:rsidRDefault="00000000">
            <w:pPr>
              <w:pStyle w:val="TableParagraph"/>
              <w:spacing w:line="210" w:lineRule="exact"/>
              <w:ind w:right="54"/>
              <w:rPr>
                <w:sz w:val="18"/>
              </w:rPr>
            </w:pPr>
            <w:r>
              <w:rPr>
                <w:spacing w:val="-2"/>
                <w:w w:val="110"/>
                <w:sz w:val="18"/>
              </w:rPr>
              <w:t>(5.316)</w:t>
            </w:r>
          </w:p>
        </w:tc>
        <w:tc>
          <w:tcPr>
            <w:tcW w:w="1440" w:type="dxa"/>
          </w:tcPr>
          <w:p w14:paraId="2B8EBBFF" w14:textId="77777777" w:rsidR="002C6574" w:rsidRDefault="00000000">
            <w:pPr>
              <w:pStyle w:val="TableParagraph"/>
              <w:spacing w:line="210" w:lineRule="exact"/>
              <w:ind w:right="56"/>
              <w:rPr>
                <w:sz w:val="18"/>
              </w:rPr>
            </w:pPr>
            <w:r>
              <w:rPr>
                <w:spacing w:val="-2"/>
                <w:w w:val="110"/>
                <w:sz w:val="18"/>
              </w:rPr>
              <w:t>(6.153)</w:t>
            </w:r>
          </w:p>
        </w:tc>
      </w:tr>
      <w:tr w:rsidR="002C6574" w14:paraId="43A73F99" w14:textId="77777777">
        <w:trPr>
          <w:trHeight w:val="232"/>
        </w:trPr>
        <w:tc>
          <w:tcPr>
            <w:tcW w:w="6888" w:type="dxa"/>
          </w:tcPr>
          <w:p w14:paraId="26BED8EE" w14:textId="77777777" w:rsidR="002C6574" w:rsidRDefault="00000000">
            <w:pPr>
              <w:pStyle w:val="TableParagraph"/>
              <w:spacing w:before="13" w:line="199" w:lineRule="exact"/>
              <w:ind w:left="69"/>
              <w:jc w:val="left"/>
              <w:rPr>
                <w:rFonts w:ascii="Arial"/>
                <w:b/>
                <w:sz w:val="18"/>
              </w:rPr>
            </w:pPr>
            <w:r>
              <w:rPr>
                <w:rFonts w:ascii="Arial"/>
                <w:b/>
                <w:sz w:val="18"/>
              </w:rPr>
              <w:t>Lucro</w:t>
            </w:r>
            <w:r>
              <w:rPr>
                <w:rFonts w:ascii="Arial"/>
                <w:b/>
                <w:spacing w:val="1"/>
                <w:sz w:val="18"/>
              </w:rPr>
              <w:t xml:space="preserve"> </w:t>
            </w:r>
            <w:r>
              <w:rPr>
                <w:rFonts w:ascii="Arial"/>
                <w:b/>
                <w:spacing w:val="-2"/>
                <w:sz w:val="18"/>
              </w:rPr>
              <w:t>Bruto</w:t>
            </w:r>
          </w:p>
        </w:tc>
        <w:tc>
          <w:tcPr>
            <w:tcW w:w="1442" w:type="dxa"/>
          </w:tcPr>
          <w:p w14:paraId="0294DD49" w14:textId="77777777" w:rsidR="002C6574" w:rsidRDefault="00000000">
            <w:pPr>
              <w:pStyle w:val="TableParagraph"/>
              <w:spacing w:before="13" w:line="199" w:lineRule="exact"/>
              <w:ind w:right="57"/>
              <w:rPr>
                <w:rFonts w:ascii="Arial"/>
                <w:b/>
                <w:sz w:val="18"/>
              </w:rPr>
            </w:pPr>
            <w:r>
              <w:rPr>
                <w:rFonts w:ascii="Arial"/>
                <w:b/>
                <w:spacing w:val="-2"/>
                <w:sz w:val="18"/>
              </w:rPr>
              <w:t>1.245</w:t>
            </w:r>
          </w:p>
        </w:tc>
        <w:tc>
          <w:tcPr>
            <w:tcW w:w="1440" w:type="dxa"/>
          </w:tcPr>
          <w:p w14:paraId="23F9DD30" w14:textId="77777777" w:rsidR="002C6574" w:rsidRDefault="00000000">
            <w:pPr>
              <w:pStyle w:val="TableParagraph"/>
              <w:spacing w:before="13" w:line="199" w:lineRule="exact"/>
              <w:ind w:right="57"/>
              <w:rPr>
                <w:rFonts w:ascii="Arial"/>
                <w:b/>
                <w:sz w:val="18"/>
              </w:rPr>
            </w:pPr>
            <w:r>
              <w:rPr>
                <w:rFonts w:ascii="Arial"/>
                <w:b/>
                <w:spacing w:val="-2"/>
                <w:sz w:val="18"/>
              </w:rPr>
              <w:t>3.044</w:t>
            </w:r>
          </w:p>
        </w:tc>
      </w:tr>
      <w:tr w:rsidR="002C6574" w14:paraId="5254C112" w14:textId="77777777">
        <w:trPr>
          <w:trHeight w:val="232"/>
        </w:trPr>
        <w:tc>
          <w:tcPr>
            <w:tcW w:w="6888" w:type="dxa"/>
          </w:tcPr>
          <w:p w14:paraId="023FB42A" w14:textId="77777777" w:rsidR="002C6574" w:rsidRDefault="00000000">
            <w:pPr>
              <w:pStyle w:val="TableParagraph"/>
              <w:spacing w:line="212" w:lineRule="exact"/>
              <w:ind w:left="69"/>
              <w:jc w:val="left"/>
              <w:rPr>
                <w:sz w:val="18"/>
              </w:rPr>
            </w:pPr>
            <w:r>
              <w:rPr>
                <w:w w:val="105"/>
                <w:sz w:val="18"/>
              </w:rPr>
              <w:t>Despesas</w:t>
            </w:r>
            <w:r>
              <w:rPr>
                <w:spacing w:val="13"/>
                <w:w w:val="105"/>
                <w:sz w:val="18"/>
              </w:rPr>
              <w:t xml:space="preserve"> </w:t>
            </w:r>
            <w:r>
              <w:rPr>
                <w:spacing w:val="-2"/>
                <w:w w:val="105"/>
                <w:sz w:val="18"/>
              </w:rPr>
              <w:t>Operacionais</w:t>
            </w:r>
          </w:p>
        </w:tc>
        <w:tc>
          <w:tcPr>
            <w:tcW w:w="1442" w:type="dxa"/>
          </w:tcPr>
          <w:p w14:paraId="60EF7218" w14:textId="77777777" w:rsidR="002C6574" w:rsidRDefault="00000000">
            <w:pPr>
              <w:pStyle w:val="TableParagraph"/>
              <w:spacing w:line="212" w:lineRule="exact"/>
              <w:ind w:right="55"/>
              <w:rPr>
                <w:sz w:val="18"/>
              </w:rPr>
            </w:pPr>
            <w:r>
              <w:rPr>
                <w:spacing w:val="-2"/>
                <w:w w:val="110"/>
                <w:sz w:val="18"/>
              </w:rPr>
              <w:t>(16.125)</w:t>
            </w:r>
          </w:p>
        </w:tc>
        <w:tc>
          <w:tcPr>
            <w:tcW w:w="1440" w:type="dxa"/>
          </w:tcPr>
          <w:p w14:paraId="5CF8DD75" w14:textId="77777777" w:rsidR="002C6574" w:rsidRDefault="00000000">
            <w:pPr>
              <w:pStyle w:val="TableParagraph"/>
              <w:spacing w:line="212" w:lineRule="exact"/>
              <w:ind w:right="55"/>
              <w:rPr>
                <w:sz w:val="18"/>
              </w:rPr>
            </w:pPr>
            <w:r>
              <w:rPr>
                <w:spacing w:val="-2"/>
                <w:w w:val="110"/>
                <w:sz w:val="18"/>
              </w:rPr>
              <w:t>(15.515)</w:t>
            </w:r>
          </w:p>
        </w:tc>
      </w:tr>
      <w:tr w:rsidR="002C6574" w14:paraId="419892B3" w14:textId="77777777">
        <w:trPr>
          <w:trHeight w:val="232"/>
        </w:trPr>
        <w:tc>
          <w:tcPr>
            <w:tcW w:w="6888" w:type="dxa"/>
          </w:tcPr>
          <w:p w14:paraId="187FBB24" w14:textId="77777777" w:rsidR="002C6574" w:rsidRDefault="00000000">
            <w:pPr>
              <w:pStyle w:val="TableParagraph"/>
              <w:spacing w:line="212" w:lineRule="exact"/>
              <w:ind w:left="69"/>
              <w:jc w:val="left"/>
              <w:rPr>
                <w:sz w:val="18"/>
              </w:rPr>
            </w:pPr>
            <w:r>
              <w:rPr>
                <w:w w:val="105"/>
                <w:sz w:val="18"/>
              </w:rPr>
              <w:t>Outras</w:t>
            </w:r>
            <w:r>
              <w:rPr>
                <w:spacing w:val="2"/>
                <w:w w:val="105"/>
                <w:sz w:val="18"/>
              </w:rPr>
              <w:t xml:space="preserve"> </w:t>
            </w:r>
            <w:r>
              <w:rPr>
                <w:w w:val="105"/>
                <w:sz w:val="18"/>
              </w:rPr>
              <w:t>Receitas</w:t>
            </w:r>
            <w:r>
              <w:rPr>
                <w:spacing w:val="3"/>
                <w:w w:val="105"/>
                <w:sz w:val="18"/>
              </w:rPr>
              <w:t xml:space="preserve"> </w:t>
            </w:r>
            <w:r>
              <w:rPr>
                <w:w w:val="105"/>
                <w:sz w:val="18"/>
              </w:rPr>
              <w:t>(Despesas)</w:t>
            </w:r>
            <w:r>
              <w:rPr>
                <w:spacing w:val="1"/>
                <w:w w:val="105"/>
                <w:sz w:val="18"/>
              </w:rPr>
              <w:t xml:space="preserve"> </w:t>
            </w:r>
            <w:r>
              <w:rPr>
                <w:spacing w:val="-2"/>
                <w:w w:val="105"/>
                <w:sz w:val="18"/>
              </w:rPr>
              <w:t>Operacionais</w:t>
            </w:r>
          </w:p>
        </w:tc>
        <w:tc>
          <w:tcPr>
            <w:tcW w:w="1442" w:type="dxa"/>
          </w:tcPr>
          <w:p w14:paraId="773B0142" w14:textId="77777777" w:rsidR="002C6574" w:rsidRDefault="00000000">
            <w:pPr>
              <w:pStyle w:val="TableParagraph"/>
              <w:spacing w:line="212" w:lineRule="exact"/>
              <w:ind w:right="54"/>
              <w:rPr>
                <w:sz w:val="18"/>
              </w:rPr>
            </w:pPr>
            <w:r>
              <w:rPr>
                <w:spacing w:val="-2"/>
                <w:w w:val="110"/>
                <w:sz w:val="18"/>
              </w:rPr>
              <w:t>(1.063)</w:t>
            </w:r>
          </w:p>
        </w:tc>
        <w:tc>
          <w:tcPr>
            <w:tcW w:w="1440" w:type="dxa"/>
          </w:tcPr>
          <w:p w14:paraId="2DAC2F1F" w14:textId="77777777" w:rsidR="002C6574" w:rsidRDefault="00000000">
            <w:pPr>
              <w:pStyle w:val="TableParagraph"/>
              <w:spacing w:line="212" w:lineRule="exact"/>
              <w:ind w:right="56"/>
              <w:rPr>
                <w:sz w:val="18"/>
              </w:rPr>
            </w:pPr>
            <w:r>
              <w:rPr>
                <w:spacing w:val="-2"/>
                <w:w w:val="110"/>
                <w:sz w:val="18"/>
              </w:rPr>
              <w:t>(3.710)</w:t>
            </w:r>
          </w:p>
        </w:tc>
      </w:tr>
      <w:tr w:rsidR="002C6574" w14:paraId="05F2C6E1" w14:textId="77777777">
        <w:trPr>
          <w:trHeight w:val="232"/>
        </w:trPr>
        <w:tc>
          <w:tcPr>
            <w:tcW w:w="6888" w:type="dxa"/>
          </w:tcPr>
          <w:p w14:paraId="1540C016" w14:textId="77777777" w:rsidR="002C6574" w:rsidRDefault="00000000">
            <w:pPr>
              <w:pStyle w:val="TableParagraph"/>
              <w:spacing w:line="212" w:lineRule="exact"/>
              <w:ind w:left="69"/>
              <w:jc w:val="left"/>
              <w:rPr>
                <w:sz w:val="18"/>
              </w:rPr>
            </w:pPr>
            <w:r>
              <w:rPr>
                <w:sz w:val="18"/>
              </w:rPr>
              <w:t>Equivalência</w:t>
            </w:r>
            <w:r>
              <w:rPr>
                <w:spacing w:val="37"/>
                <w:sz w:val="18"/>
              </w:rPr>
              <w:t xml:space="preserve"> </w:t>
            </w:r>
            <w:r>
              <w:rPr>
                <w:spacing w:val="-2"/>
                <w:sz w:val="18"/>
              </w:rPr>
              <w:t>Patrimonial</w:t>
            </w:r>
          </w:p>
        </w:tc>
        <w:tc>
          <w:tcPr>
            <w:tcW w:w="1442" w:type="dxa"/>
          </w:tcPr>
          <w:p w14:paraId="7015C469" w14:textId="77777777" w:rsidR="002C6574" w:rsidRDefault="00000000">
            <w:pPr>
              <w:pStyle w:val="TableParagraph"/>
              <w:spacing w:line="212" w:lineRule="exact"/>
              <w:ind w:right="57"/>
              <w:rPr>
                <w:sz w:val="18"/>
              </w:rPr>
            </w:pPr>
            <w:r>
              <w:rPr>
                <w:spacing w:val="-4"/>
                <w:w w:val="110"/>
                <w:sz w:val="18"/>
              </w:rPr>
              <w:t>4.042</w:t>
            </w:r>
          </w:p>
        </w:tc>
        <w:tc>
          <w:tcPr>
            <w:tcW w:w="1440" w:type="dxa"/>
          </w:tcPr>
          <w:p w14:paraId="0E1CE7BC" w14:textId="77777777" w:rsidR="002C6574" w:rsidRDefault="00000000">
            <w:pPr>
              <w:pStyle w:val="TableParagraph"/>
              <w:spacing w:line="212" w:lineRule="exact"/>
              <w:ind w:right="57"/>
              <w:rPr>
                <w:sz w:val="18"/>
              </w:rPr>
            </w:pPr>
            <w:r>
              <w:rPr>
                <w:spacing w:val="-4"/>
                <w:w w:val="110"/>
                <w:sz w:val="18"/>
              </w:rPr>
              <w:t>5.382</w:t>
            </w:r>
          </w:p>
        </w:tc>
      </w:tr>
      <w:tr w:rsidR="002C6574" w14:paraId="1E35C52A" w14:textId="77777777">
        <w:trPr>
          <w:trHeight w:val="232"/>
        </w:trPr>
        <w:tc>
          <w:tcPr>
            <w:tcW w:w="6888" w:type="dxa"/>
          </w:tcPr>
          <w:p w14:paraId="4DC46653" w14:textId="77777777" w:rsidR="002C6574" w:rsidRDefault="00000000">
            <w:pPr>
              <w:pStyle w:val="TableParagraph"/>
              <w:spacing w:before="11" w:line="201" w:lineRule="exact"/>
              <w:ind w:left="69"/>
              <w:jc w:val="left"/>
              <w:rPr>
                <w:rFonts w:ascii="Arial"/>
                <w:b/>
                <w:sz w:val="18"/>
              </w:rPr>
            </w:pPr>
            <w:r>
              <w:rPr>
                <w:rFonts w:ascii="Arial"/>
                <w:b/>
                <w:sz w:val="18"/>
              </w:rPr>
              <w:t>Resultado</w:t>
            </w:r>
            <w:r>
              <w:rPr>
                <w:rFonts w:ascii="Arial"/>
                <w:b/>
                <w:spacing w:val="-3"/>
                <w:sz w:val="18"/>
              </w:rPr>
              <w:t xml:space="preserve"> </w:t>
            </w:r>
            <w:r>
              <w:rPr>
                <w:rFonts w:ascii="Arial"/>
                <w:b/>
                <w:sz w:val="18"/>
              </w:rPr>
              <w:t>antes</w:t>
            </w:r>
            <w:r>
              <w:rPr>
                <w:rFonts w:ascii="Arial"/>
                <w:b/>
                <w:spacing w:val="1"/>
                <w:sz w:val="18"/>
              </w:rPr>
              <w:t xml:space="preserve"> </w:t>
            </w:r>
            <w:r>
              <w:rPr>
                <w:rFonts w:ascii="Arial"/>
                <w:b/>
                <w:sz w:val="18"/>
              </w:rPr>
              <w:t>do</w:t>
            </w:r>
            <w:r>
              <w:rPr>
                <w:rFonts w:ascii="Arial"/>
                <w:b/>
                <w:spacing w:val="-1"/>
                <w:sz w:val="18"/>
              </w:rPr>
              <w:t xml:space="preserve"> </w:t>
            </w:r>
            <w:r>
              <w:rPr>
                <w:rFonts w:ascii="Arial"/>
                <w:b/>
                <w:sz w:val="18"/>
              </w:rPr>
              <w:t>Resultado</w:t>
            </w:r>
            <w:r>
              <w:rPr>
                <w:rFonts w:ascii="Arial"/>
                <w:b/>
                <w:spacing w:val="1"/>
                <w:sz w:val="18"/>
              </w:rPr>
              <w:t xml:space="preserve"> </w:t>
            </w:r>
            <w:r>
              <w:rPr>
                <w:rFonts w:ascii="Arial"/>
                <w:b/>
                <w:spacing w:val="-2"/>
                <w:sz w:val="18"/>
              </w:rPr>
              <w:t>Financeiro</w:t>
            </w:r>
          </w:p>
        </w:tc>
        <w:tc>
          <w:tcPr>
            <w:tcW w:w="1442" w:type="dxa"/>
          </w:tcPr>
          <w:p w14:paraId="02966E06" w14:textId="77777777" w:rsidR="002C6574" w:rsidRDefault="00000000">
            <w:pPr>
              <w:pStyle w:val="TableParagraph"/>
              <w:spacing w:before="11" w:line="201" w:lineRule="exact"/>
              <w:ind w:right="54"/>
              <w:rPr>
                <w:rFonts w:ascii="Arial"/>
                <w:b/>
                <w:sz w:val="18"/>
              </w:rPr>
            </w:pPr>
            <w:r>
              <w:rPr>
                <w:rFonts w:ascii="Arial"/>
                <w:b/>
                <w:spacing w:val="-2"/>
                <w:sz w:val="18"/>
              </w:rPr>
              <w:t>(11.901)</w:t>
            </w:r>
          </w:p>
        </w:tc>
        <w:tc>
          <w:tcPr>
            <w:tcW w:w="1440" w:type="dxa"/>
          </w:tcPr>
          <w:p w14:paraId="600796EC" w14:textId="77777777" w:rsidR="002C6574" w:rsidRDefault="00000000">
            <w:pPr>
              <w:pStyle w:val="TableParagraph"/>
              <w:spacing w:before="11" w:line="201" w:lineRule="exact"/>
              <w:ind w:right="55"/>
              <w:rPr>
                <w:rFonts w:ascii="Arial"/>
                <w:b/>
                <w:sz w:val="18"/>
              </w:rPr>
            </w:pPr>
            <w:r>
              <w:rPr>
                <w:rFonts w:ascii="Arial"/>
                <w:b/>
                <w:spacing w:val="-2"/>
                <w:sz w:val="18"/>
              </w:rPr>
              <w:t>(10.799)</w:t>
            </w:r>
          </w:p>
        </w:tc>
      </w:tr>
      <w:tr w:rsidR="002C6574" w14:paraId="014EDBB7" w14:textId="77777777">
        <w:trPr>
          <w:trHeight w:val="230"/>
        </w:trPr>
        <w:tc>
          <w:tcPr>
            <w:tcW w:w="6888" w:type="dxa"/>
          </w:tcPr>
          <w:p w14:paraId="0FD9962E" w14:textId="77777777" w:rsidR="002C6574" w:rsidRDefault="00000000">
            <w:pPr>
              <w:pStyle w:val="TableParagraph"/>
              <w:spacing w:line="210" w:lineRule="exact"/>
              <w:ind w:left="69"/>
              <w:jc w:val="left"/>
              <w:rPr>
                <w:sz w:val="18"/>
              </w:rPr>
            </w:pPr>
            <w:r>
              <w:rPr>
                <w:sz w:val="18"/>
              </w:rPr>
              <w:t>Resultado</w:t>
            </w:r>
            <w:r>
              <w:rPr>
                <w:spacing w:val="17"/>
                <w:sz w:val="18"/>
              </w:rPr>
              <w:t xml:space="preserve"> </w:t>
            </w:r>
            <w:r>
              <w:rPr>
                <w:spacing w:val="-2"/>
                <w:sz w:val="18"/>
              </w:rPr>
              <w:t>Financeiro</w:t>
            </w:r>
          </w:p>
        </w:tc>
        <w:tc>
          <w:tcPr>
            <w:tcW w:w="1442" w:type="dxa"/>
          </w:tcPr>
          <w:p w14:paraId="296325D9" w14:textId="77777777" w:rsidR="002C6574" w:rsidRDefault="00000000">
            <w:pPr>
              <w:pStyle w:val="TableParagraph"/>
              <w:spacing w:line="210" w:lineRule="exact"/>
              <w:ind w:right="57"/>
              <w:rPr>
                <w:sz w:val="18"/>
              </w:rPr>
            </w:pPr>
            <w:r>
              <w:rPr>
                <w:spacing w:val="-2"/>
                <w:w w:val="105"/>
                <w:sz w:val="18"/>
              </w:rPr>
              <w:t>12.655</w:t>
            </w:r>
          </w:p>
        </w:tc>
        <w:tc>
          <w:tcPr>
            <w:tcW w:w="1440" w:type="dxa"/>
          </w:tcPr>
          <w:p w14:paraId="5BAFC614" w14:textId="77777777" w:rsidR="002C6574" w:rsidRDefault="00000000">
            <w:pPr>
              <w:pStyle w:val="TableParagraph"/>
              <w:spacing w:line="210" w:lineRule="exact"/>
              <w:ind w:right="57"/>
              <w:rPr>
                <w:sz w:val="18"/>
              </w:rPr>
            </w:pPr>
            <w:r>
              <w:rPr>
                <w:spacing w:val="-4"/>
                <w:w w:val="110"/>
                <w:sz w:val="18"/>
              </w:rPr>
              <w:t>8.731</w:t>
            </w:r>
          </w:p>
        </w:tc>
      </w:tr>
      <w:tr w:rsidR="002C6574" w14:paraId="7D1FDF6D" w14:textId="77777777">
        <w:trPr>
          <w:trHeight w:val="232"/>
        </w:trPr>
        <w:tc>
          <w:tcPr>
            <w:tcW w:w="6888" w:type="dxa"/>
          </w:tcPr>
          <w:p w14:paraId="494FA4EA" w14:textId="77777777" w:rsidR="002C6574" w:rsidRDefault="00000000">
            <w:pPr>
              <w:pStyle w:val="TableParagraph"/>
              <w:spacing w:before="13" w:line="199" w:lineRule="exact"/>
              <w:ind w:left="69"/>
              <w:jc w:val="left"/>
              <w:rPr>
                <w:rFonts w:ascii="Arial"/>
                <w:b/>
                <w:sz w:val="18"/>
              </w:rPr>
            </w:pPr>
            <w:r>
              <w:rPr>
                <w:rFonts w:ascii="Arial"/>
                <w:b/>
                <w:sz w:val="18"/>
              </w:rPr>
              <w:t>Resultado</w:t>
            </w:r>
            <w:r>
              <w:rPr>
                <w:rFonts w:ascii="Arial"/>
                <w:b/>
                <w:spacing w:val="-2"/>
                <w:sz w:val="18"/>
              </w:rPr>
              <w:t xml:space="preserve"> </w:t>
            </w:r>
            <w:r>
              <w:rPr>
                <w:rFonts w:ascii="Arial"/>
                <w:b/>
                <w:sz w:val="18"/>
              </w:rPr>
              <w:t>Antes dos</w:t>
            </w:r>
            <w:r>
              <w:rPr>
                <w:rFonts w:ascii="Arial"/>
                <w:b/>
                <w:spacing w:val="2"/>
                <w:sz w:val="18"/>
              </w:rPr>
              <w:t xml:space="preserve"> </w:t>
            </w:r>
            <w:r>
              <w:rPr>
                <w:rFonts w:ascii="Arial"/>
                <w:b/>
                <w:spacing w:val="-2"/>
                <w:sz w:val="18"/>
              </w:rPr>
              <w:t>Tributos</w:t>
            </w:r>
          </w:p>
        </w:tc>
        <w:tc>
          <w:tcPr>
            <w:tcW w:w="1442" w:type="dxa"/>
          </w:tcPr>
          <w:p w14:paraId="0F769003" w14:textId="77777777" w:rsidR="002C6574" w:rsidRDefault="00000000">
            <w:pPr>
              <w:pStyle w:val="TableParagraph"/>
              <w:spacing w:before="13" w:line="199" w:lineRule="exact"/>
              <w:ind w:right="58"/>
              <w:rPr>
                <w:rFonts w:ascii="Arial"/>
                <w:b/>
                <w:sz w:val="18"/>
              </w:rPr>
            </w:pPr>
            <w:r>
              <w:rPr>
                <w:rFonts w:ascii="Arial"/>
                <w:b/>
                <w:spacing w:val="-5"/>
                <w:sz w:val="18"/>
              </w:rPr>
              <w:t>754</w:t>
            </w:r>
          </w:p>
        </w:tc>
        <w:tc>
          <w:tcPr>
            <w:tcW w:w="1440" w:type="dxa"/>
          </w:tcPr>
          <w:p w14:paraId="527F6A5A" w14:textId="77777777" w:rsidR="002C6574" w:rsidRDefault="00000000">
            <w:pPr>
              <w:pStyle w:val="TableParagraph"/>
              <w:spacing w:before="13" w:line="199" w:lineRule="exact"/>
              <w:ind w:right="56"/>
              <w:rPr>
                <w:rFonts w:ascii="Arial"/>
                <w:b/>
                <w:sz w:val="18"/>
              </w:rPr>
            </w:pPr>
            <w:r>
              <w:rPr>
                <w:rFonts w:ascii="Arial"/>
                <w:b/>
                <w:spacing w:val="-2"/>
                <w:sz w:val="18"/>
              </w:rPr>
              <w:t>(2.068)</w:t>
            </w:r>
          </w:p>
        </w:tc>
      </w:tr>
      <w:tr w:rsidR="002C6574" w14:paraId="036D6F6E" w14:textId="77777777">
        <w:trPr>
          <w:trHeight w:val="232"/>
        </w:trPr>
        <w:tc>
          <w:tcPr>
            <w:tcW w:w="6888" w:type="dxa"/>
          </w:tcPr>
          <w:p w14:paraId="4ACB458B" w14:textId="77777777" w:rsidR="002C6574" w:rsidRDefault="00000000">
            <w:pPr>
              <w:pStyle w:val="TableParagraph"/>
              <w:spacing w:before="13" w:line="199" w:lineRule="exact"/>
              <w:ind w:left="69"/>
              <w:jc w:val="left"/>
              <w:rPr>
                <w:rFonts w:ascii="Arial" w:hAnsi="Arial"/>
                <w:b/>
                <w:sz w:val="18"/>
              </w:rPr>
            </w:pPr>
            <w:r>
              <w:rPr>
                <w:rFonts w:ascii="Arial" w:hAnsi="Arial"/>
                <w:b/>
                <w:sz w:val="18"/>
              </w:rPr>
              <w:t>Lucro/(Prejuízo)</w:t>
            </w:r>
            <w:r>
              <w:rPr>
                <w:rFonts w:ascii="Arial" w:hAnsi="Arial"/>
                <w:b/>
                <w:spacing w:val="-1"/>
                <w:sz w:val="18"/>
              </w:rPr>
              <w:t xml:space="preserve"> </w:t>
            </w:r>
            <w:r>
              <w:rPr>
                <w:rFonts w:ascii="Arial" w:hAnsi="Arial"/>
                <w:b/>
                <w:sz w:val="18"/>
              </w:rPr>
              <w:t>Líquido</w:t>
            </w:r>
            <w:r>
              <w:rPr>
                <w:rFonts w:ascii="Arial" w:hAnsi="Arial"/>
                <w:b/>
                <w:spacing w:val="-1"/>
                <w:sz w:val="18"/>
              </w:rPr>
              <w:t xml:space="preserve"> </w:t>
            </w:r>
            <w:r>
              <w:rPr>
                <w:rFonts w:ascii="Arial" w:hAnsi="Arial"/>
                <w:b/>
                <w:sz w:val="18"/>
              </w:rPr>
              <w:t>do</w:t>
            </w:r>
            <w:r>
              <w:rPr>
                <w:rFonts w:ascii="Arial" w:hAnsi="Arial"/>
                <w:b/>
                <w:spacing w:val="-4"/>
                <w:sz w:val="18"/>
              </w:rPr>
              <w:t xml:space="preserve"> </w:t>
            </w:r>
            <w:r>
              <w:rPr>
                <w:rFonts w:ascii="Arial" w:hAnsi="Arial"/>
                <w:b/>
                <w:spacing w:val="-2"/>
                <w:sz w:val="18"/>
              </w:rPr>
              <w:t>Período</w:t>
            </w:r>
          </w:p>
        </w:tc>
        <w:tc>
          <w:tcPr>
            <w:tcW w:w="1442" w:type="dxa"/>
          </w:tcPr>
          <w:p w14:paraId="7337C387" w14:textId="77777777" w:rsidR="002C6574" w:rsidRDefault="00000000">
            <w:pPr>
              <w:pStyle w:val="TableParagraph"/>
              <w:spacing w:before="13" w:line="199" w:lineRule="exact"/>
              <w:ind w:right="57"/>
              <w:rPr>
                <w:rFonts w:ascii="Arial"/>
                <w:b/>
                <w:sz w:val="18"/>
              </w:rPr>
            </w:pPr>
            <w:r>
              <w:rPr>
                <w:rFonts w:ascii="Arial"/>
                <w:b/>
                <w:spacing w:val="-5"/>
                <w:sz w:val="18"/>
              </w:rPr>
              <w:t>754</w:t>
            </w:r>
          </w:p>
        </w:tc>
        <w:tc>
          <w:tcPr>
            <w:tcW w:w="1440" w:type="dxa"/>
          </w:tcPr>
          <w:p w14:paraId="3D5510AC" w14:textId="77777777" w:rsidR="002C6574" w:rsidRDefault="00000000">
            <w:pPr>
              <w:pStyle w:val="TableParagraph"/>
              <w:spacing w:before="13" w:line="199" w:lineRule="exact"/>
              <w:ind w:right="56"/>
              <w:rPr>
                <w:rFonts w:ascii="Arial"/>
                <w:b/>
                <w:sz w:val="18"/>
              </w:rPr>
            </w:pPr>
            <w:r>
              <w:rPr>
                <w:rFonts w:ascii="Arial"/>
                <w:b/>
                <w:spacing w:val="-2"/>
                <w:sz w:val="18"/>
              </w:rPr>
              <w:t>(2.068)</w:t>
            </w:r>
          </w:p>
        </w:tc>
      </w:tr>
    </w:tbl>
    <w:p w14:paraId="18587361" w14:textId="77777777" w:rsidR="002C6574" w:rsidRDefault="00000000">
      <w:pPr>
        <w:numPr>
          <w:ilvl w:val="0"/>
          <w:numId w:val="54"/>
        </w:numPr>
        <w:tabs>
          <w:tab w:val="left" w:pos="995"/>
        </w:tabs>
        <w:spacing w:before="243"/>
        <w:ind w:left="995" w:hanging="852"/>
        <w:rPr>
          <w:rFonts w:ascii="Arial"/>
          <w:b/>
        </w:rPr>
      </w:pPr>
      <w:r>
        <w:rPr>
          <w:rFonts w:ascii="Arial"/>
          <w:b/>
          <w:spacing w:val="-2"/>
        </w:rPr>
        <w:t>IMOBILIZADO</w:t>
      </w:r>
    </w:p>
    <w:p w14:paraId="144F0E5B" w14:textId="77777777" w:rsidR="002C6574" w:rsidRDefault="00000000">
      <w:pPr>
        <w:pStyle w:val="Corpodetexto"/>
        <w:spacing w:before="64" w:line="237" w:lineRule="auto"/>
        <w:ind w:left="143" w:right="703"/>
        <w:jc w:val="both"/>
      </w:pPr>
      <w:r>
        <w:t>No imobilizado estão os bens destinados à manutenção das atividades da Telebras e registrados ao custo</w:t>
      </w:r>
      <w:r>
        <w:rPr>
          <w:spacing w:val="-1"/>
        </w:rPr>
        <w:t xml:space="preserve"> </w:t>
      </w:r>
      <w:r>
        <w:t>de aquisição, deduzidos das respectivas depreciações calculadas pelo</w:t>
      </w:r>
      <w:r>
        <w:rPr>
          <w:spacing w:val="-1"/>
        </w:rPr>
        <w:t xml:space="preserve"> </w:t>
      </w:r>
      <w:r>
        <w:t>método</w:t>
      </w:r>
      <w:r>
        <w:rPr>
          <w:spacing w:val="-1"/>
        </w:rPr>
        <w:t xml:space="preserve"> </w:t>
      </w:r>
      <w:r>
        <w:t>linear,</w:t>
      </w:r>
      <w:r>
        <w:rPr>
          <w:spacing w:val="-4"/>
        </w:rPr>
        <w:t xml:space="preserve"> </w:t>
      </w:r>
      <w:r>
        <w:t>mediante aplicação de taxas que consideram a vida útil econômica dos bens e de provisão para redução ao valor recuperável</w:t>
      </w:r>
      <w:r>
        <w:rPr>
          <w:spacing w:val="-4"/>
        </w:rPr>
        <w:t xml:space="preserve"> </w:t>
      </w:r>
      <w:r>
        <w:t>quando</w:t>
      </w:r>
      <w:r>
        <w:rPr>
          <w:spacing w:val="-3"/>
        </w:rPr>
        <w:t xml:space="preserve"> </w:t>
      </w:r>
      <w:r>
        <w:t>houver indicação</w:t>
      </w:r>
      <w:r>
        <w:rPr>
          <w:spacing w:val="-1"/>
        </w:rPr>
        <w:t xml:space="preserve"> </w:t>
      </w:r>
      <w:r>
        <w:t>de</w:t>
      </w:r>
      <w:r>
        <w:rPr>
          <w:spacing w:val="-3"/>
        </w:rPr>
        <w:t xml:space="preserve"> </w:t>
      </w:r>
      <w:r>
        <w:t>que o</w:t>
      </w:r>
      <w:r>
        <w:rPr>
          <w:spacing w:val="1"/>
        </w:rPr>
        <w:t xml:space="preserve"> </w:t>
      </w:r>
      <w:r>
        <w:t>valor contábil</w:t>
      </w:r>
      <w:r>
        <w:rPr>
          <w:spacing w:val="-1"/>
        </w:rPr>
        <w:t xml:space="preserve"> </w:t>
      </w:r>
      <w:r>
        <w:t>dos</w:t>
      </w:r>
      <w:r>
        <w:rPr>
          <w:spacing w:val="-3"/>
        </w:rPr>
        <w:t xml:space="preserve"> </w:t>
      </w:r>
      <w:r>
        <w:t>bens</w:t>
      </w:r>
      <w:r>
        <w:rPr>
          <w:spacing w:val="-1"/>
        </w:rPr>
        <w:t xml:space="preserve"> </w:t>
      </w:r>
      <w:r>
        <w:t>esteja</w:t>
      </w:r>
      <w:r>
        <w:rPr>
          <w:spacing w:val="-4"/>
        </w:rPr>
        <w:t xml:space="preserve"> </w:t>
      </w:r>
      <w:r>
        <w:t>superior ao</w:t>
      </w:r>
      <w:r>
        <w:rPr>
          <w:spacing w:val="-2"/>
        </w:rPr>
        <w:t xml:space="preserve"> valor</w:t>
      </w:r>
    </w:p>
    <w:p w14:paraId="37E682CA" w14:textId="77777777" w:rsidR="002C6574" w:rsidRDefault="002C6574">
      <w:pPr>
        <w:pStyle w:val="Corpodetexto"/>
        <w:spacing w:line="237" w:lineRule="auto"/>
        <w:jc w:val="both"/>
        <w:sectPr w:rsidR="002C6574">
          <w:pgSz w:w="11910" w:h="16840"/>
          <w:pgMar w:top="1600" w:right="141" w:bottom="1320" w:left="1133" w:header="856" w:footer="1125" w:gutter="0"/>
          <w:cols w:space="720"/>
        </w:sectPr>
      </w:pPr>
    </w:p>
    <w:p w14:paraId="21344F09" w14:textId="77777777" w:rsidR="002C6574" w:rsidRDefault="00000000">
      <w:pPr>
        <w:pStyle w:val="Corpodetexto"/>
        <w:spacing w:before="200" w:line="237" w:lineRule="auto"/>
        <w:ind w:left="143" w:right="706"/>
        <w:jc w:val="both"/>
      </w:pPr>
      <w:r>
        <w:rPr>
          <w:w w:val="105"/>
        </w:rPr>
        <w:lastRenderedPageBreak/>
        <w:t>de</w:t>
      </w:r>
      <w:r>
        <w:rPr>
          <w:spacing w:val="-12"/>
          <w:w w:val="105"/>
        </w:rPr>
        <w:t xml:space="preserve"> </w:t>
      </w:r>
      <w:r>
        <w:rPr>
          <w:w w:val="105"/>
        </w:rPr>
        <w:t>recuperação.</w:t>
      </w:r>
      <w:r>
        <w:rPr>
          <w:spacing w:val="-14"/>
          <w:w w:val="105"/>
        </w:rPr>
        <w:t xml:space="preserve"> </w:t>
      </w:r>
      <w:r>
        <w:rPr>
          <w:w w:val="105"/>
        </w:rPr>
        <w:t>O</w:t>
      </w:r>
      <w:r>
        <w:rPr>
          <w:spacing w:val="-12"/>
          <w:w w:val="105"/>
        </w:rPr>
        <w:t xml:space="preserve"> </w:t>
      </w:r>
      <w:r>
        <w:rPr>
          <w:w w:val="105"/>
        </w:rPr>
        <w:t>valor</w:t>
      </w:r>
      <w:r>
        <w:rPr>
          <w:spacing w:val="-14"/>
          <w:w w:val="105"/>
        </w:rPr>
        <w:t xml:space="preserve"> </w:t>
      </w:r>
      <w:r>
        <w:rPr>
          <w:w w:val="105"/>
        </w:rPr>
        <w:t>contábil</w:t>
      </w:r>
      <w:r>
        <w:rPr>
          <w:spacing w:val="-13"/>
          <w:w w:val="105"/>
        </w:rPr>
        <w:t xml:space="preserve"> </w:t>
      </w:r>
      <w:r>
        <w:rPr>
          <w:w w:val="105"/>
        </w:rPr>
        <w:t>do</w:t>
      </w:r>
      <w:r>
        <w:rPr>
          <w:spacing w:val="-14"/>
          <w:w w:val="105"/>
        </w:rPr>
        <w:t xml:space="preserve"> </w:t>
      </w:r>
      <w:r>
        <w:rPr>
          <w:w w:val="105"/>
        </w:rPr>
        <w:t>imobilizado</w:t>
      </w:r>
      <w:r>
        <w:rPr>
          <w:spacing w:val="-13"/>
          <w:w w:val="105"/>
        </w:rPr>
        <w:t xml:space="preserve"> </w:t>
      </w:r>
      <w:r>
        <w:rPr>
          <w:w w:val="105"/>
        </w:rPr>
        <w:t>em</w:t>
      </w:r>
      <w:r>
        <w:rPr>
          <w:spacing w:val="-10"/>
          <w:w w:val="105"/>
        </w:rPr>
        <w:t xml:space="preserve"> </w:t>
      </w:r>
      <w:r>
        <w:rPr>
          <w:w w:val="105"/>
        </w:rPr>
        <w:t>31</w:t>
      </w:r>
      <w:r>
        <w:rPr>
          <w:spacing w:val="-14"/>
          <w:w w:val="105"/>
        </w:rPr>
        <w:t xml:space="preserve"> </w:t>
      </w:r>
      <w:r>
        <w:rPr>
          <w:w w:val="105"/>
        </w:rPr>
        <w:t>de</w:t>
      </w:r>
      <w:r>
        <w:rPr>
          <w:spacing w:val="-12"/>
          <w:w w:val="105"/>
        </w:rPr>
        <w:t xml:space="preserve"> </w:t>
      </w:r>
      <w:r>
        <w:rPr>
          <w:w w:val="105"/>
        </w:rPr>
        <w:t>dezembro</w:t>
      </w:r>
      <w:r>
        <w:rPr>
          <w:spacing w:val="-12"/>
          <w:w w:val="105"/>
        </w:rPr>
        <w:t xml:space="preserve"> </w:t>
      </w:r>
      <w:r>
        <w:rPr>
          <w:w w:val="105"/>
        </w:rPr>
        <w:t>de</w:t>
      </w:r>
      <w:r>
        <w:rPr>
          <w:spacing w:val="-15"/>
          <w:w w:val="105"/>
        </w:rPr>
        <w:t xml:space="preserve"> </w:t>
      </w:r>
      <w:r>
        <w:rPr>
          <w:w w:val="105"/>
        </w:rPr>
        <w:t>2025</w:t>
      </w:r>
      <w:r>
        <w:rPr>
          <w:spacing w:val="-12"/>
          <w:w w:val="105"/>
        </w:rPr>
        <w:t xml:space="preserve"> </w:t>
      </w:r>
      <w:r>
        <w:rPr>
          <w:w w:val="105"/>
        </w:rPr>
        <w:t>era</w:t>
      </w:r>
      <w:r>
        <w:rPr>
          <w:spacing w:val="-14"/>
          <w:w w:val="105"/>
        </w:rPr>
        <w:t xml:space="preserve"> </w:t>
      </w:r>
      <w:r>
        <w:rPr>
          <w:w w:val="105"/>
        </w:rPr>
        <w:t>de</w:t>
      </w:r>
      <w:r>
        <w:rPr>
          <w:spacing w:val="-12"/>
          <w:w w:val="105"/>
        </w:rPr>
        <w:t xml:space="preserve"> </w:t>
      </w:r>
      <w:r>
        <w:rPr>
          <w:w w:val="105"/>
        </w:rPr>
        <w:t>R$</w:t>
      </w:r>
      <w:r>
        <w:rPr>
          <w:spacing w:val="-14"/>
          <w:w w:val="105"/>
        </w:rPr>
        <w:t xml:space="preserve"> </w:t>
      </w:r>
      <w:r>
        <w:rPr>
          <w:w w:val="105"/>
        </w:rPr>
        <w:t>1.697.499 (R$ 1.909.708 em 31 de dezembro de 2024).</w:t>
      </w:r>
    </w:p>
    <w:p w14:paraId="6EC8C2F7" w14:textId="77777777" w:rsidR="002C6574" w:rsidRDefault="002C6574">
      <w:pPr>
        <w:pStyle w:val="Corpodetexto"/>
        <w:spacing w:before="2"/>
      </w:pPr>
    </w:p>
    <w:p w14:paraId="26EC6E80" w14:textId="77777777" w:rsidR="002C6574" w:rsidRDefault="00000000">
      <w:pPr>
        <w:pStyle w:val="Corpodetexto"/>
        <w:spacing w:line="237" w:lineRule="auto"/>
        <w:ind w:left="143" w:right="705"/>
        <w:jc w:val="both"/>
      </w:pPr>
      <w:r>
        <w:t>Em 31 de dezembro de 2025, os ativos da Companhia não apresentavam indícios de perda ao valor recuperável (</w:t>
      </w:r>
      <w:r>
        <w:rPr>
          <w:rFonts w:ascii="Arial" w:hAnsi="Arial"/>
          <w:i/>
        </w:rPr>
        <w:t>impairment</w:t>
      </w:r>
      <w:r>
        <w:t>), conforme indicado no laudo de avaliação elaborado com base nas informações disponíveis até 30 de novembro de 2025.</w:t>
      </w:r>
    </w:p>
    <w:p w14:paraId="5757E636" w14:textId="77777777" w:rsidR="002C6574" w:rsidRDefault="00000000">
      <w:pPr>
        <w:pStyle w:val="Corpodetexto"/>
        <w:spacing w:before="163" w:line="237" w:lineRule="auto"/>
        <w:ind w:left="143" w:right="702"/>
        <w:jc w:val="both"/>
      </w:pPr>
      <w:r>
        <w:t>Os especialistas da Companhia (engenheiros) estabeleceram, por meio de laudo técnico, que a vida útil econômica do Satélite Geoestacionário de Defesa e Comunicações Estratégicas (SGDC) é de 17 (dezessete) anos a partir de sua entrada em operação, ocorrida em julho de 2018.</w:t>
      </w:r>
    </w:p>
    <w:p w14:paraId="62278AEB" w14:textId="77777777" w:rsidR="002C6574" w:rsidRDefault="00000000">
      <w:pPr>
        <w:pStyle w:val="Corpodetexto"/>
        <w:spacing w:before="184"/>
        <w:ind w:left="143" w:right="705"/>
        <w:jc w:val="both"/>
      </w:pPr>
      <w:r>
        <w:t>A Companhia não possui bens dados em garantia, relativos à penhora ou aval em defesa de processos judiciais.</w:t>
      </w:r>
    </w:p>
    <w:p w14:paraId="22094964" w14:textId="77777777" w:rsidR="002C6574" w:rsidRDefault="00000000">
      <w:pPr>
        <w:numPr>
          <w:ilvl w:val="1"/>
          <w:numId w:val="37"/>
        </w:numPr>
        <w:tabs>
          <w:tab w:val="left" w:pos="995"/>
        </w:tabs>
        <w:spacing w:before="241"/>
        <w:rPr>
          <w:rFonts w:ascii="Arial" w:hAnsi="Arial"/>
          <w:b/>
        </w:rPr>
      </w:pPr>
      <w:r>
        <w:rPr>
          <w:rFonts w:ascii="Arial" w:hAnsi="Arial"/>
          <w:b/>
        </w:rPr>
        <w:t>Movimentação</w:t>
      </w:r>
      <w:r>
        <w:rPr>
          <w:rFonts w:ascii="Arial" w:hAnsi="Arial"/>
          <w:b/>
          <w:spacing w:val="-5"/>
        </w:rPr>
        <w:t xml:space="preserve"> </w:t>
      </w:r>
      <w:r>
        <w:rPr>
          <w:rFonts w:ascii="Arial" w:hAnsi="Arial"/>
          <w:b/>
        </w:rPr>
        <w:t>do</w:t>
      </w:r>
      <w:r>
        <w:rPr>
          <w:rFonts w:ascii="Arial" w:hAnsi="Arial"/>
          <w:b/>
          <w:spacing w:val="-4"/>
        </w:rPr>
        <w:t xml:space="preserve"> </w:t>
      </w:r>
      <w:r>
        <w:rPr>
          <w:rFonts w:ascii="Arial" w:hAnsi="Arial"/>
          <w:b/>
          <w:spacing w:val="-2"/>
        </w:rPr>
        <w:t>imobilizado</w:t>
      </w:r>
    </w:p>
    <w:p w14:paraId="59514A02" w14:textId="77777777" w:rsidR="002C6574" w:rsidRDefault="002C6574">
      <w:pPr>
        <w:pStyle w:val="Corpodetexto"/>
        <w:spacing w:before="44" w:after="1"/>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5"/>
        <w:gridCol w:w="679"/>
        <w:gridCol w:w="710"/>
        <w:gridCol w:w="849"/>
        <w:gridCol w:w="664"/>
        <w:gridCol w:w="750"/>
        <w:gridCol w:w="884"/>
        <w:gridCol w:w="831"/>
        <w:gridCol w:w="692"/>
        <w:gridCol w:w="848"/>
        <w:gridCol w:w="697"/>
      </w:tblGrid>
      <w:tr w:rsidR="002C6574" w14:paraId="1C393D8C" w14:textId="77777777">
        <w:trPr>
          <w:trHeight w:val="227"/>
        </w:trPr>
        <w:tc>
          <w:tcPr>
            <w:tcW w:w="2155" w:type="dxa"/>
            <w:vMerge w:val="restart"/>
            <w:shd w:val="clear" w:color="auto" w:fill="D8D8D8"/>
          </w:tcPr>
          <w:p w14:paraId="1E910FE9" w14:textId="77777777" w:rsidR="002C6574" w:rsidRDefault="002C6574">
            <w:pPr>
              <w:pStyle w:val="TableParagraph"/>
              <w:jc w:val="left"/>
              <w:rPr>
                <w:rFonts w:ascii="Arial"/>
                <w:b/>
                <w:sz w:val="10"/>
              </w:rPr>
            </w:pPr>
          </w:p>
          <w:p w14:paraId="3E1C27AD" w14:textId="77777777" w:rsidR="002C6574" w:rsidRDefault="002C6574">
            <w:pPr>
              <w:pStyle w:val="TableParagraph"/>
              <w:jc w:val="left"/>
              <w:rPr>
                <w:rFonts w:ascii="Arial"/>
                <w:b/>
                <w:sz w:val="10"/>
              </w:rPr>
            </w:pPr>
          </w:p>
          <w:p w14:paraId="592ADD01" w14:textId="77777777" w:rsidR="002C6574" w:rsidRDefault="002C6574">
            <w:pPr>
              <w:pStyle w:val="TableParagraph"/>
              <w:jc w:val="left"/>
              <w:rPr>
                <w:rFonts w:ascii="Arial"/>
                <w:b/>
                <w:sz w:val="10"/>
              </w:rPr>
            </w:pPr>
          </w:p>
          <w:p w14:paraId="5C6D624D" w14:textId="77777777" w:rsidR="002C6574" w:rsidRDefault="002C6574">
            <w:pPr>
              <w:pStyle w:val="TableParagraph"/>
              <w:spacing w:before="7"/>
              <w:jc w:val="left"/>
              <w:rPr>
                <w:rFonts w:ascii="Arial"/>
                <w:b/>
                <w:sz w:val="10"/>
              </w:rPr>
            </w:pPr>
          </w:p>
          <w:p w14:paraId="6B61163C" w14:textId="77777777" w:rsidR="002C6574" w:rsidRDefault="00000000">
            <w:pPr>
              <w:pStyle w:val="TableParagraph"/>
              <w:ind w:left="69"/>
              <w:jc w:val="left"/>
              <w:rPr>
                <w:rFonts w:ascii="Arial" w:hAnsi="Arial"/>
                <w:b/>
                <w:sz w:val="10"/>
              </w:rPr>
            </w:pPr>
            <w:r>
              <w:rPr>
                <w:rFonts w:ascii="Arial" w:hAnsi="Arial"/>
                <w:b/>
                <w:spacing w:val="-2"/>
                <w:sz w:val="10"/>
              </w:rPr>
              <w:t>Composição:</w:t>
            </w:r>
          </w:p>
        </w:tc>
        <w:tc>
          <w:tcPr>
            <w:tcW w:w="7604" w:type="dxa"/>
            <w:gridSpan w:val="10"/>
          </w:tcPr>
          <w:p w14:paraId="069EFC14" w14:textId="77777777" w:rsidR="002C6574" w:rsidRDefault="00000000">
            <w:pPr>
              <w:pStyle w:val="TableParagraph"/>
              <w:spacing w:before="57"/>
              <w:ind w:left="22"/>
              <w:jc w:val="center"/>
              <w:rPr>
                <w:rFonts w:ascii="Arial"/>
                <w:b/>
                <w:sz w:val="10"/>
              </w:rPr>
            </w:pPr>
            <w:r>
              <w:rPr>
                <w:rFonts w:ascii="Arial"/>
                <w:b/>
                <w:spacing w:val="-2"/>
                <w:sz w:val="10"/>
              </w:rPr>
              <w:t>Imobilizado</w:t>
            </w:r>
          </w:p>
        </w:tc>
      </w:tr>
      <w:tr w:rsidR="002C6574" w14:paraId="594E96B8" w14:textId="77777777">
        <w:trPr>
          <w:trHeight w:val="227"/>
        </w:trPr>
        <w:tc>
          <w:tcPr>
            <w:tcW w:w="2155" w:type="dxa"/>
            <w:vMerge/>
            <w:tcBorders>
              <w:top w:val="nil"/>
            </w:tcBorders>
            <w:shd w:val="clear" w:color="auto" w:fill="D8D8D8"/>
          </w:tcPr>
          <w:p w14:paraId="5AFAD2C3" w14:textId="77777777" w:rsidR="002C6574" w:rsidRDefault="002C6574">
            <w:pPr>
              <w:rPr>
                <w:sz w:val="2"/>
                <w:szCs w:val="2"/>
              </w:rPr>
            </w:pPr>
          </w:p>
        </w:tc>
        <w:tc>
          <w:tcPr>
            <w:tcW w:w="5367" w:type="dxa"/>
            <w:gridSpan w:val="7"/>
          </w:tcPr>
          <w:p w14:paraId="637477CD" w14:textId="77777777" w:rsidR="002C6574" w:rsidRDefault="00000000">
            <w:pPr>
              <w:pStyle w:val="TableParagraph"/>
              <w:spacing w:before="57"/>
              <w:ind w:left="13"/>
              <w:jc w:val="center"/>
              <w:rPr>
                <w:rFonts w:ascii="Arial" w:hAnsi="Arial"/>
                <w:b/>
                <w:sz w:val="10"/>
              </w:rPr>
            </w:pPr>
            <w:r>
              <w:rPr>
                <w:rFonts w:ascii="Arial" w:hAnsi="Arial"/>
                <w:b/>
                <w:sz w:val="10"/>
              </w:rPr>
              <w:t>Bens</w:t>
            </w:r>
            <w:r>
              <w:rPr>
                <w:rFonts w:ascii="Arial" w:hAnsi="Arial"/>
                <w:b/>
                <w:spacing w:val="-4"/>
                <w:sz w:val="10"/>
              </w:rPr>
              <w:t xml:space="preserve"> </w:t>
            </w:r>
            <w:r>
              <w:rPr>
                <w:rFonts w:ascii="Arial" w:hAnsi="Arial"/>
                <w:b/>
                <w:sz w:val="10"/>
              </w:rPr>
              <w:t>e</w:t>
            </w:r>
            <w:r>
              <w:rPr>
                <w:rFonts w:ascii="Arial" w:hAnsi="Arial"/>
                <w:b/>
                <w:spacing w:val="-3"/>
                <w:sz w:val="10"/>
              </w:rPr>
              <w:t xml:space="preserve"> </w:t>
            </w:r>
            <w:r>
              <w:rPr>
                <w:rFonts w:ascii="Arial" w:hAnsi="Arial"/>
                <w:b/>
                <w:sz w:val="10"/>
              </w:rPr>
              <w:t>Instalações</w:t>
            </w:r>
            <w:r>
              <w:rPr>
                <w:rFonts w:ascii="Arial" w:hAnsi="Arial"/>
                <w:b/>
                <w:spacing w:val="-4"/>
                <w:sz w:val="10"/>
              </w:rPr>
              <w:t xml:space="preserve"> </w:t>
            </w:r>
            <w:r>
              <w:rPr>
                <w:rFonts w:ascii="Arial" w:hAnsi="Arial"/>
                <w:b/>
                <w:sz w:val="10"/>
              </w:rPr>
              <w:t>em</w:t>
            </w:r>
            <w:r>
              <w:rPr>
                <w:rFonts w:ascii="Arial" w:hAnsi="Arial"/>
                <w:b/>
                <w:spacing w:val="-5"/>
                <w:sz w:val="10"/>
              </w:rPr>
              <w:t xml:space="preserve"> </w:t>
            </w:r>
            <w:r>
              <w:rPr>
                <w:rFonts w:ascii="Arial" w:hAnsi="Arial"/>
                <w:b/>
                <w:spacing w:val="-2"/>
                <w:sz w:val="10"/>
              </w:rPr>
              <w:t>Serviço</w:t>
            </w:r>
          </w:p>
        </w:tc>
        <w:tc>
          <w:tcPr>
            <w:tcW w:w="692" w:type="dxa"/>
            <w:vMerge w:val="restart"/>
          </w:tcPr>
          <w:p w14:paraId="0624E212" w14:textId="77777777" w:rsidR="002C6574" w:rsidRDefault="002C6574">
            <w:pPr>
              <w:pStyle w:val="TableParagraph"/>
              <w:jc w:val="left"/>
              <w:rPr>
                <w:rFonts w:ascii="Arial"/>
                <w:b/>
                <w:sz w:val="10"/>
              </w:rPr>
            </w:pPr>
          </w:p>
          <w:p w14:paraId="500183E9" w14:textId="77777777" w:rsidR="002C6574" w:rsidRDefault="002C6574">
            <w:pPr>
              <w:pStyle w:val="TableParagraph"/>
              <w:spacing w:before="5"/>
              <w:jc w:val="left"/>
              <w:rPr>
                <w:rFonts w:ascii="Arial"/>
                <w:b/>
                <w:sz w:val="10"/>
              </w:rPr>
            </w:pPr>
          </w:p>
          <w:p w14:paraId="652E6466" w14:textId="77777777" w:rsidR="002C6574" w:rsidRDefault="00000000">
            <w:pPr>
              <w:pStyle w:val="TableParagraph"/>
              <w:spacing w:line="237" w:lineRule="auto"/>
              <w:ind w:left="89" w:right="66"/>
              <w:jc w:val="center"/>
              <w:rPr>
                <w:rFonts w:ascii="Arial"/>
                <w:b/>
                <w:sz w:val="10"/>
              </w:rPr>
            </w:pPr>
            <w:r>
              <w:rPr>
                <w:rFonts w:ascii="Arial"/>
                <w:b/>
                <w:sz w:val="10"/>
              </w:rPr>
              <w:t>Direito</w:t>
            </w:r>
            <w:r>
              <w:rPr>
                <w:rFonts w:ascii="Arial"/>
                <w:b/>
                <w:spacing w:val="-7"/>
                <w:sz w:val="10"/>
              </w:rPr>
              <w:t xml:space="preserve"> </w:t>
            </w:r>
            <w:r>
              <w:rPr>
                <w:rFonts w:ascii="Arial"/>
                <w:b/>
                <w:sz w:val="10"/>
              </w:rPr>
              <w:t>de</w:t>
            </w:r>
            <w:r>
              <w:rPr>
                <w:rFonts w:ascii="Arial"/>
                <w:b/>
                <w:spacing w:val="40"/>
                <w:sz w:val="10"/>
              </w:rPr>
              <w:t xml:space="preserve"> </w:t>
            </w:r>
            <w:r>
              <w:rPr>
                <w:rFonts w:ascii="Arial"/>
                <w:b/>
                <w:sz w:val="10"/>
              </w:rPr>
              <w:t>Uso</w:t>
            </w:r>
            <w:r>
              <w:rPr>
                <w:rFonts w:ascii="Arial"/>
                <w:b/>
                <w:spacing w:val="-7"/>
                <w:sz w:val="10"/>
              </w:rPr>
              <w:t xml:space="preserve"> </w:t>
            </w:r>
            <w:r>
              <w:rPr>
                <w:rFonts w:ascii="Arial"/>
                <w:b/>
                <w:sz w:val="10"/>
              </w:rPr>
              <w:t>de</w:t>
            </w:r>
            <w:r>
              <w:rPr>
                <w:rFonts w:ascii="Arial"/>
                <w:b/>
                <w:spacing w:val="40"/>
                <w:sz w:val="10"/>
              </w:rPr>
              <w:t xml:space="preserve"> </w:t>
            </w:r>
            <w:r>
              <w:rPr>
                <w:rFonts w:ascii="Arial"/>
                <w:b/>
                <w:spacing w:val="-2"/>
                <w:sz w:val="10"/>
              </w:rPr>
              <w:t>Ativo</w:t>
            </w:r>
          </w:p>
        </w:tc>
        <w:tc>
          <w:tcPr>
            <w:tcW w:w="848" w:type="dxa"/>
            <w:vMerge w:val="restart"/>
          </w:tcPr>
          <w:p w14:paraId="3FCE8654" w14:textId="77777777" w:rsidR="002C6574" w:rsidRDefault="002C6574">
            <w:pPr>
              <w:pStyle w:val="TableParagraph"/>
              <w:jc w:val="left"/>
              <w:rPr>
                <w:rFonts w:ascii="Arial"/>
                <w:b/>
                <w:sz w:val="10"/>
              </w:rPr>
            </w:pPr>
          </w:p>
          <w:p w14:paraId="71042638" w14:textId="77777777" w:rsidR="002C6574" w:rsidRDefault="002C6574">
            <w:pPr>
              <w:pStyle w:val="TableParagraph"/>
              <w:spacing w:before="5"/>
              <w:jc w:val="left"/>
              <w:rPr>
                <w:rFonts w:ascii="Arial"/>
                <w:b/>
                <w:sz w:val="10"/>
              </w:rPr>
            </w:pPr>
          </w:p>
          <w:p w14:paraId="473B2D27" w14:textId="77777777" w:rsidR="002C6574" w:rsidRDefault="00000000">
            <w:pPr>
              <w:pStyle w:val="TableParagraph"/>
              <w:spacing w:line="237" w:lineRule="auto"/>
              <w:ind w:left="154" w:right="129" w:hanging="1"/>
              <w:jc w:val="center"/>
              <w:rPr>
                <w:rFonts w:ascii="Arial"/>
                <w:b/>
                <w:sz w:val="10"/>
              </w:rPr>
            </w:pPr>
            <w:r>
              <w:rPr>
                <w:rFonts w:ascii="Arial"/>
                <w:b/>
                <w:spacing w:val="-2"/>
                <w:sz w:val="10"/>
              </w:rPr>
              <w:t>Imobilizado</w:t>
            </w:r>
            <w:r>
              <w:rPr>
                <w:rFonts w:ascii="Arial"/>
                <w:b/>
                <w:spacing w:val="40"/>
                <w:sz w:val="10"/>
              </w:rPr>
              <w:t xml:space="preserve"> </w:t>
            </w:r>
            <w:r>
              <w:rPr>
                <w:rFonts w:ascii="Arial"/>
                <w:b/>
                <w:spacing w:val="-6"/>
                <w:sz w:val="10"/>
              </w:rPr>
              <w:t>em</w:t>
            </w:r>
            <w:r>
              <w:rPr>
                <w:rFonts w:ascii="Arial"/>
                <w:b/>
                <w:spacing w:val="40"/>
                <w:sz w:val="10"/>
              </w:rPr>
              <w:t xml:space="preserve"> </w:t>
            </w:r>
            <w:r>
              <w:rPr>
                <w:rFonts w:ascii="Arial"/>
                <w:b/>
                <w:spacing w:val="-2"/>
                <w:sz w:val="10"/>
              </w:rPr>
              <w:t>Andamento</w:t>
            </w:r>
          </w:p>
        </w:tc>
        <w:tc>
          <w:tcPr>
            <w:tcW w:w="697" w:type="dxa"/>
            <w:vMerge w:val="restart"/>
          </w:tcPr>
          <w:p w14:paraId="443FFFEB" w14:textId="77777777" w:rsidR="002C6574" w:rsidRDefault="002C6574">
            <w:pPr>
              <w:pStyle w:val="TableParagraph"/>
              <w:jc w:val="left"/>
              <w:rPr>
                <w:rFonts w:ascii="Arial"/>
                <w:b/>
                <w:sz w:val="10"/>
              </w:rPr>
            </w:pPr>
          </w:p>
          <w:p w14:paraId="6649B089" w14:textId="77777777" w:rsidR="002C6574" w:rsidRDefault="002C6574">
            <w:pPr>
              <w:pStyle w:val="TableParagraph"/>
              <w:jc w:val="left"/>
              <w:rPr>
                <w:rFonts w:ascii="Arial"/>
                <w:b/>
                <w:sz w:val="10"/>
              </w:rPr>
            </w:pPr>
          </w:p>
          <w:p w14:paraId="340673A1" w14:textId="77777777" w:rsidR="002C6574" w:rsidRDefault="002C6574">
            <w:pPr>
              <w:pStyle w:val="TableParagraph"/>
              <w:spacing w:before="2"/>
              <w:jc w:val="left"/>
              <w:rPr>
                <w:rFonts w:ascii="Arial"/>
                <w:b/>
                <w:sz w:val="10"/>
              </w:rPr>
            </w:pPr>
          </w:p>
          <w:p w14:paraId="768EA4A0" w14:textId="77777777" w:rsidR="002C6574" w:rsidRDefault="00000000">
            <w:pPr>
              <w:pStyle w:val="TableParagraph"/>
              <w:ind w:left="237"/>
              <w:jc w:val="left"/>
              <w:rPr>
                <w:rFonts w:ascii="Arial"/>
                <w:b/>
                <w:sz w:val="10"/>
              </w:rPr>
            </w:pPr>
            <w:r>
              <w:rPr>
                <w:rFonts w:ascii="Arial"/>
                <w:b/>
                <w:spacing w:val="-2"/>
                <w:sz w:val="10"/>
              </w:rPr>
              <w:t>Total</w:t>
            </w:r>
          </w:p>
        </w:tc>
      </w:tr>
      <w:tr w:rsidR="002C6574" w14:paraId="20CEB915" w14:textId="77777777">
        <w:trPr>
          <w:trHeight w:val="575"/>
        </w:trPr>
        <w:tc>
          <w:tcPr>
            <w:tcW w:w="2155" w:type="dxa"/>
            <w:vMerge/>
            <w:tcBorders>
              <w:top w:val="nil"/>
            </w:tcBorders>
            <w:shd w:val="clear" w:color="auto" w:fill="D8D8D8"/>
          </w:tcPr>
          <w:p w14:paraId="36F8EFC7" w14:textId="77777777" w:rsidR="002C6574" w:rsidRDefault="002C6574">
            <w:pPr>
              <w:rPr>
                <w:sz w:val="2"/>
                <w:szCs w:val="2"/>
              </w:rPr>
            </w:pPr>
          </w:p>
        </w:tc>
        <w:tc>
          <w:tcPr>
            <w:tcW w:w="679" w:type="dxa"/>
          </w:tcPr>
          <w:p w14:paraId="07138475" w14:textId="77777777" w:rsidR="002C6574" w:rsidRDefault="00000000">
            <w:pPr>
              <w:pStyle w:val="TableParagraph"/>
              <w:spacing w:line="116" w:lineRule="exact"/>
              <w:ind w:left="69" w:right="62" w:firstLine="6"/>
              <w:jc w:val="center"/>
              <w:rPr>
                <w:rFonts w:ascii="Arial" w:hAnsi="Arial"/>
                <w:b/>
                <w:sz w:val="10"/>
              </w:rPr>
            </w:pPr>
            <w:r>
              <w:rPr>
                <w:rFonts w:ascii="Arial" w:hAnsi="Arial"/>
                <w:b/>
                <w:spacing w:val="-2"/>
                <w:sz w:val="10"/>
              </w:rPr>
              <w:t>Instalaçõe</w:t>
            </w:r>
            <w:r>
              <w:rPr>
                <w:rFonts w:ascii="Arial" w:hAnsi="Arial"/>
                <w:b/>
                <w:spacing w:val="40"/>
                <w:sz w:val="10"/>
              </w:rPr>
              <w:t xml:space="preserve"> </w:t>
            </w:r>
            <w:r>
              <w:rPr>
                <w:rFonts w:ascii="Arial" w:hAnsi="Arial"/>
                <w:b/>
                <w:sz w:val="10"/>
              </w:rPr>
              <w:t>s</w:t>
            </w:r>
            <w:r>
              <w:rPr>
                <w:rFonts w:ascii="Arial" w:hAnsi="Arial"/>
                <w:b/>
                <w:spacing w:val="-7"/>
                <w:sz w:val="10"/>
              </w:rPr>
              <w:t xml:space="preserve"> </w:t>
            </w:r>
            <w:r>
              <w:rPr>
                <w:rFonts w:ascii="Arial" w:hAnsi="Arial"/>
                <w:b/>
                <w:sz w:val="10"/>
              </w:rPr>
              <w:t>Prediais</w:t>
            </w:r>
            <w:r>
              <w:rPr>
                <w:rFonts w:ascii="Arial" w:hAnsi="Arial"/>
                <w:b/>
                <w:spacing w:val="-7"/>
                <w:sz w:val="10"/>
              </w:rPr>
              <w:t xml:space="preserve"> </w:t>
            </w:r>
            <w:r>
              <w:rPr>
                <w:rFonts w:ascii="Arial" w:hAnsi="Arial"/>
                <w:b/>
                <w:sz w:val="10"/>
              </w:rPr>
              <w:t>-</w:t>
            </w:r>
            <w:r>
              <w:rPr>
                <w:rFonts w:ascii="Arial" w:hAnsi="Arial"/>
                <w:b/>
                <w:spacing w:val="40"/>
                <w:sz w:val="10"/>
              </w:rPr>
              <w:t xml:space="preserve"> </w:t>
            </w:r>
            <w:r>
              <w:rPr>
                <w:rFonts w:ascii="Arial" w:hAnsi="Arial"/>
                <w:b/>
                <w:sz w:val="10"/>
              </w:rPr>
              <w:t>Benf.</w:t>
            </w:r>
            <w:r>
              <w:rPr>
                <w:rFonts w:ascii="Arial" w:hAnsi="Arial"/>
                <w:b/>
                <w:spacing w:val="-7"/>
                <w:sz w:val="10"/>
              </w:rPr>
              <w:t xml:space="preserve"> </w:t>
            </w:r>
            <w:r>
              <w:rPr>
                <w:rFonts w:ascii="Arial" w:hAnsi="Arial"/>
                <w:b/>
                <w:sz w:val="10"/>
              </w:rPr>
              <w:t>em</w:t>
            </w:r>
            <w:r>
              <w:rPr>
                <w:rFonts w:ascii="Arial" w:hAnsi="Arial"/>
                <w:b/>
                <w:spacing w:val="40"/>
                <w:sz w:val="10"/>
              </w:rPr>
              <w:t xml:space="preserve"> </w:t>
            </w:r>
            <w:r>
              <w:rPr>
                <w:rFonts w:ascii="Arial" w:hAnsi="Arial"/>
                <w:b/>
                <w:sz w:val="10"/>
              </w:rPr>
              <w:t>Prop.</w:t>
            </w:r>
            <w:r>
              <w:rPr>
                <w:rFonts w:ascii="Arial" w:hAnsi="Arial"/>
                <w:b/>
                <w:spacing w:val="-7"/>
                <w:sz w:val="10"/>
              </w:rPr>
              <w:t xml:space="preserve"> </w:t>
            </w:r>
            <w:r>
              <w:rPr>
                <w:rFonts w:ascii="Arial" w:hAnsi="Arial"/>
                <w:b/>
                <w:sz w:val="10"/>
              </w:rPr>
              <w:t>de</w:t>
            </w:r>
            <w:r>
              <w:rPr>
                <w:rFonts w:ascii="Arial" w:hAnsi="Arial"/>
                <w:b/>
                <w:spacing w:val="40"/>
                <w:sz w:val="10"/>
              </w:rPr>
              <w:t xml:space="preserve"> </w:t>
            </w:r>
            <w:r>
              <w:rPr>
                <w:rFonts w:ascii="Arial" w:hAnsi="Arial"/>
                <w:b/>
                <w:spacing w:val="-2"/>
                <w:sz w:val="10"/>
              </w:rPr>
              <w:t>Terceiros</w:t>
            </w:r>
          </w:p>
        </w:tc>
        <w:tc>
          <w:tcPr>
            <w:tcW w:w="710" w:type="dxa"/>
          </w:tcPr>
          <w:p w14:paraId="12CD23D8" w14:textId="77777777" w:rsidR="002C6574" w:rsidRDefault="002C6574">
            <w:pPr>
              <w:pStyle w:val="TableParagraph"/>
              <w:jc w:val="left"/>
              <w:rPr>
                <w:rFonts w:ascii="Arial"/>
                <w:b/>
                <w:sz w:val="10"/>
              </w:rPr>
            </w:pPr>
          </w:p>
          <w:p w14:paraId="62E4D6CE" w14:textId="77777777" w:rsidR="002C6574" w:rsidRDefault="002C6574">
            <w:pPr>
              <w:pStyle w:val="TableParagraph"/>
              <w:jc w:val="left"/>
              <w:rPr>
                <w:rFonts w:ascii="Arial"/>
                <w:b/>
                <w:sz w:val="10"/>
              </w:rPr>
            </w:pPr>
          </w:p>
          <w:p w14:paraId="001185AA" w14:textId="77777777" w:rsidR="002C6574" w:rsidRDefault="00000000">
            <w:pPr>
              <w:pStyle w:val="TableParagraph"/>
              <w:ind w:right="108"/>
              <w:rPr>
                <w:rFonts w:ascii="Arial" w:hAnsi="Arial"/>
                <w:b/>
                <w:sz w:val="10"/>
              </w:rPr>
            </w:pPr>
            <w:r>
              <w:rPr>
                <w:rFonts w:ascii="Arial" w:hAnsi="Arial"/>
                <w:b/>
                <w:spacing w:val="-2"/>
                <w:sz w:val="10"/>
              </w:rPr>
              <w:t>Mobiliário</w:t>
            </w:r>
          </w:p>
        </w:tc>
        <w:tc>
          <w:tcPr>
            <w:tcW w:w="849" w:type="dxa"/>
          </w:tcPr>
          <w:p w14:paraId="3B4182A8" w14:textId="77777777" w:rsidR="002C6574" w:rsidRDefault="002C6574">
            <w:pPr>
              <w:pStyle w:val="TableParagraph"/>
              <w:jc w:val="left"/>
              <w:rPr>
                <w:rFonts w:ascii="Arial"/>
                <w:b/>
                <w:sz w:val="10"/>
              </w:rPr>
            </w:pPr>
          </w:p>
          <w:p w14:paraId="5B3E2DD7" w14:textId="77777777" w:rsidR="002C6574" w:rsidRDefault="002C6574">
            <w:pPr>
              <w:pStyle w:val="TableParagraph"/>
              <w:jc w:val="left"/>
              <w:rPr>
                <w:rFonts w:ascii="Arial"/>
                <w:b/>
                <w:sz w:val="10"/>
              </w:rPr>
            </w:pPr>
          </w:p>
          <w:p w14:paraId="7B716B2A" w14:textId="77777777" w:rsidR="002C6574" w:rsidRDefault="00000000">
            <w:pPr>
              <w:pStyle w:val="TableParagraph"/>
              <w:ind w:right="84"/>
              <w:rPr>
                <w:rFonts w:ascii="Arial"/>
                <w:b/>
                <w:sz w:val="10"/>
              </w:rPr>
            </w:pPr>
            <w:r>
              <w:rPr>
                <w:rFonts w:ascii="Arial"/>
                <w:b/>
                <w:spacing w:val="-2"/>
                <w:sz w:val="10"/>
              </w:rPr>
              <w:t>Infraestrutura</w:t>
            </w:r>
          </w:p>
        </w:tc>
        <w:tc>
          <w:tcPr>
            <w:tcW w:w="664" w:type="dxa"/>
          </w:tcPr>
          <w:p w14:paraId="49293733" w14:textId="77777777" w:rsidR="002C6574" w:rsidRDefault="00000000">
            <w:pPr>
              <w:pStyle w:val="TableParagraph"/>
              <w:spacing w:before="115"/>
              <w:ind w:left="100" w:right="87"/>
              <w:jc w:val="center"/>
              <w:rPr>
                <w:rFonts w:ascii="Arial"/>
                <w:b/>
                <w:sz w:val="10"/>
              </w:rPr>
            </w:pPr>
            <w:r>
              <w:rPr>
                <w:rFonts w:ascii="Arial"/>
                <w:b/>
                <w:sz w:val="10"/>
              </w:rPr>
              <w:t>Equip.</w:t>
            </w:r>
            <w:r>
              <w:rPr>
                <w:rFonts w:ascii="Arial"/>
                <w:b/>
                <w:spacing w:val="-7"/>
                <w:sz w:val="10"/>
              </w:rPr>
              <w:t xml:space="preserve"> </w:t>
            </w:r>
            <w:r>
              <w:rPr>
                <w:rFonts w:ascii="Arial"/>
                <w:b/>
                <w:sz w:val="10"/>
              </w:rPr>
              <w:t>de</w:t>
            </w:r>
            <w:r>
              <w:rPr>
                <w:rFonts w:ascii="Arial"/>
                <w:b/>
                <w:spacing w:val="40"/>
                <w:sz w:val="10"/>
              </w:rPr>
              <w:t xml:space="preserve"> </w:t>
            </w:r>
            <w:r>
              <w:rPr>
                <w:rFonts w:ascii="Arial"/>
                <w:b/>
                <w:spacing w:val="-4"/>
                <w:sz w:val="10"/>
              </w:rPr>
              <w:t>Data</w:t>
            </w:r>
            <w:r>
              <w:rPr>
                <w:rFonts w:ascii="Arial"/>
                <w:b/>
                <w:spacing w:val="40"/>
                <w:sz w:val="10"/>
              </w:rPr>
              <w:t xml:space="preserve"> </w:t>
            </w:r>
            <w:r>
              <w:rPr>
                <w:rFonts w:ascii="Arial"/>
                <w:b/>
                <w:spacing w:val="-2"/>
                <w:sz w:val="10"/>
              </w:rPr>
              <w:t>Center</w:t>
            </w:r>
          </w:p>
        </w:tc>
        <w:tc>
          <w:tcPr>
            <w:tcW w:w="750" w:type="dxa"/>
          </w:tcPr>
          <w:p w14:paraId="4D376CA1" w14:textId="77777777" w:rsidR="002C6574" w:rsidRDefault="00000000">
            <w:pPr>
              <w:pStyle w:val="TableParagraph"/>
              <w:spacing w:before="57"/>
              <w:ind w:left="105" w:right="93" w:hanging="2"/>
              <w:jc w:val="center"/>
              <w:rPr>
                <w:rFonts w:ascii="Arial" w:hAnsi="Arial"/>
                <w:b/>
                <w:sz w:val="10"/>
              </w:rPr>
            </w:pPr>
            <w:r>
              <w:rPr>
                <w:rFonts w:ascii="Arial" w:hAnsi="Arial"/>
                <w:b/>
                <w:sz w:val="10"/>
              </w:rPr>
              <w:t>Equip.</w:t>
            </w:r>
            <w:r>
              <w:rPr>
                <w:rFonts w:ascii="Arial" w:hAnsi="Arial"/>
                <w:b/>
                <w:spacing w:val="-7"/>
                <w:sz w:val="10"/>
              </w:rPr>
              <w:t xml:space="preserve"> </w:t>
            </w:r>
            <w:r>
              <w:rPr>
                <w:rFonts w:ascii="Arial" w:hAnsi="Arial"/>
                <w:b/>
                <w:sz w:val="10"/>
              </w:rPr>
              <w:t>de</w:t>
            </w:r>
            <w:r>
              <w:rPr>
                <w:rFonts w:ascii="Arial" w:hAnsi="Arial"/>
                <w:b/>
                <w:spacing w:val="40"/>
                <w:sz w:val="10"/>
              </w:rPr>
              <w:t xml:space="preserve"> </w:t>
            </w:r>
            <w:r>
              <w:rPr>
                <w:rFonts w:ascii="Arial" w:hAnsi="Arial"/>
                <w:b/>
                <w:spacing w:val="-2"/>
                <w:sz w:val="10"/>
              </w:rPr>
              <w:t>Tecnologia</w:t>
            </w:r>
            <w:r>
              <w:rPr>
                <w:rFonts w:ascii="Arial" w:hAnsi="Arial"/>
                <w:b/>
                <w:spacing w:val="40"/>
                <w:sz w:val="10"/>
              </w:rPr>
              <w:t xml:space="preserve"> </w:t>
            </w:r>
            <w:r>
              <w:rPr>
                <w:rFonts w:ascii="Arial" w:hAnsi="Arial"/>
                <w:b/>
                <w:spacing w:val="-6"/>
                <w:sz w:val="10"/>
              </w:rPr>
              <w:t>de</w:t>
            </w:r>
            <w:r>
              <w:rPr>
                <w:rFonts w:ascii="Arial" w:hAnsi="Arial"/>
                <w:b/>
                <w:spacing w:val="40"/>
                <w:sz w:val="10"/>
              </w:rPr>
              <w:t xml:space="preserve"> </w:t>
            </w:r>
            <w:r>
              <w:rPr>
                <w:rFonts w:ascii="Arial" w:hAnsi="Arial"/>
                <w:b/>
                <w:spacing w:val="-2"/>
                <w:sz w:val="10"/>
              </w:rPr>
              <w:t>Informação</w:t>
            </w:r>
          </w:p>
        </w:tc>
        <w:tc>
          <w:tcPr>
            <w:tcW w:w="884" w:type="dxa"/>
          </w:tcPr>
          <w:p w14:paraId="624F32CE" w14:textId="77777777" w:rsidR="002C6574" w:rsidRDefault="00000000">
            <w:pPr>
              <w:pStyle w:val="TableParagraph"/>
              <w:spacing w:before="57"/>
              <w:ind w:left="106" w:right="91" w:firstLine="3"/>
              <w:jc w:val="center"/>
              <w:rPr>
                <w:rFonts w:ascii="Arial" w:hAnsi="Arial"/>
                <w:b/>
                <w:sz w:val="10"/>
              </w:rPr>
            </w:pPr>
            <w:r>
              <w:rPr>
                <w:rFonts w:ascii="Arial" w:hAnsi="Arial"/>
                <w:b/>
                <w:sz w:val="10"/>
              </w:rPr>
              <w:t>Equip.</w:t>
            </w:r>
            <w:r>
              <w:rPr>
                <w:rFonts w:ascii="Arial" w:hAnsi="Arial"/>
                <w:b/>
                <w:spacing w:val="-7"/>
                <w:sz w:val="10"/>
              </w:rPr>
              <w:t xml:space="preserve"> </w:t>
            </w:r>
            <w:r>
              <w:rPr>
                <w:rFonts w:ascii="Arial" w:hAnsi="Arial"/>
                <w:b/>
                <w:sz w:val="10"/>
              </w:rPr>
              <w:t>de</w:t>
            </w:r>
            <w:r>
              <w:rPr>
                <w:rFonts w:ascii="Arial" w:hAnsi="Arial"/>
                <w:b/>
                <w:spacing w:val="40"/>
                <w:sz w:val="10"/>
              </w:rPr>
              <w:t xml:space="preserve"> </w:t>
            </w:r>
            <w:r>
              <w:rPr>
                <w:rFonts w:ascii="Arial" w:hAnsi="Arial"/>
                <w:b/>
                <w:sz w:val="10"/>
              </w:rPr>
              <w:t>Transmissão</w:t>
            </w:r>
            <w:r>
              <w:rPr>
                <w:rFonts w:ascii="Arial" w:hAnsi="Arial"/>
                <w:b/>
                <w:spacing w:val="-7"/>
                <w:sz w:val="10"/>
              </w:rPr>
              <w:t xml:space="preserve"> </w:t>
            </w:r>
            <w:r>
              <w:rPr>
                <w:rFonts w:ascii="Arial" w:hAnsi="Arial"/>
                <w:b/>
                <w:sz w:val="10"/>
              </w:rPr>
              <w:t>/</w:t>
            </w:r>
            <w:r>
              <w:rPr>
                <w:rFonts w:ascii="Arial" w:hAnsi="Arial"/>
                <w:b/>
                <w:spacing w:val="40"/>
                <w:sz w:val="10"/>
              </w:rPr>
              <w:t xml:space="preserve"> </w:t>
            </w:r>
            <w:r>
              <w:rPr>
                <w:rFonts w:ascii="Arial" w:hAnsi="Arial"/>
                <w:b/>
                <w:spacing w:val="-2"/>
                <w:sz w:val="10"/>
              </w:rPr>
              <w:t>Comunicação</w:t>
            </w:r>
            <w:r>
              <w:rPr>
                <w:rFonts w:ascii="Arial" w:hAnsi="Arial"/>
                <w:b/>
                <w:spacing w:val="40"/>
                <w:sz w:val="10"/>
              </w:rPr>
              <w:t xml:space="preserve"> </w:t>
            </w:r>
            <w:r>
              <w:rPr>
                <w:rFonts w:ascii="Arial" w:hAnsi="Arial"/>
                <w:b/>
                <w:sz w:val="10"/>
              </w:rPr>
              <w:t>de</w:t>
            </w:r>
            <w:r>
              <w:rPr>
                <w:rFonts w:ascii="Arial" w:hAnsi="Arial"/>
                <w:b/>
                <w:spacing w:val="-7"/>
                <w:sz w:val="10"/>
              </w:rPr>
              <w:t xml:space="preserve"> </w:t>
            </w:r>
            <w:r>
              <w:rPr>
                <w:rFonts w:ascii="Arial" w:hAnsi="Arial"/>
                <w:b/>
                <w:sz w:val="10"/>
              </w:rPr>
              <w:t>Dados</w:t>
            </w:r>
          </w:p>
        </w:tc>
        <w:tc>
          <w:tcPr>
            <w:tcW w:w="831" w:type="dxa"/>
          </w:tcPr>
          <w:p w14:paraId="135CEC45" w14:textId="77777777" w:rsidR="002C6574" w:rsidRDefault="002C6574">
            <w:pPr>
              <w:pStyle w:val="TableParagraph"/>
              <w:spacing w:before="57"/>
              <w:jc w:val="left"/>
              <w:rPr>
                <w:rFonts w:ascii="Arial"/>
                <w:b/>
                <w:sz w:val="10"/>
              </w:rPr>
            </w:pPr>
          </w:p>
          <w:p w14:paraId="6EE0C7F7" w14:textId="77777777" w:rsidR="002C6574" w:rsidRDefault="00000000">
            <w:pPr>
              <w:pStyle w:val="TableParagraph"/>
              <w:ind w:left="76" w:firstLine="180"/>
              <w:jc w:val="left"/>
              <w:rPr>
                <w:rFonts w:ascii="Arial"/>
                <w:b/>
                <w:sz w:val="10"/>
              </w:rPr>
            </w:pPr>
            <w:r>
              <w:rPr>
                <w:rFonts w:ascii="Arial"/>
                <w:b/>
                <w:spacing w:val="-2"/>
                <w:sz w:val="10"/>
              </w:rPr>
              <w:t>Outros</w:t>
            </w:r>
            <w:r>
              <w:rPr>
                <w:rFonts w:ascii="Arial"/>
                <w:b/>
                <w:spacing w:val="40"/>
                <w:sz w:val="10"/>
              </w:rPr>
              <w:t xml:space="preserve"> </w:t>
            </w:r>
            <w:r>
              <w:rPr>
                <w:rFonts w:ascii="Arial"/>
                <w:b/>
                <w:spacing w:val="-2"/>
                <w:sz w:val="10"/>
              </w:rPr>
              <w:t>Equipamentos</w:t>
            </w:r>
          </w:p>
        </w:tc>
        <w:tc>
          <w:tcPr>
            <w:tcW w:w="692" w:type="dxa"/>
            <w:vMerge/>
            <w:tcBorders>
              <w:top w:val="nil"/>
            </w:tcBorders>
          </w:tcPr>
          <w:p w14:paraId="406431B6" w14:textId="77777777" w:rsidR="002C6574" w:rsidRDefault="002C6574">
            <w:pPr>
              <w:rPr>
                <w:sz w:val="2"/>
                <w:szCs w:val="2"/>
              </w:rPr>
            </w:pPr>
          </w:p>
        </w:tc>
        <w:tc>
          <w:tcPr>
            <w:tcW w:w="848" w:type="dxa"/>
            <w:vMerge/>
            <w:tcBorders>
              <w:top w:val="nil"/>
            </w:tcBorders>
          </w:tcPr>
          <w:p w14:paraId="5ED3EB02" w14:textId="77777777" w:rsidR="002C6574" w:rsidRDefault="002C6574">
            <w:pPr>
              <w:rPr>
                <w:sz w:val="2"/>
                <w:szCs w:val="2"/>
              </w:rPr>
            </w:pPr>
          </w:p>
        </w:tc>
        <w:tc>
          <w:tcPr>
            <w:tcW w:w="697" w:type="dxa"/>
            <w:vMerge/>
            <w:tcBorders>
              <w:top w:val="nil"/>
            </w:tcBorders>
          </w:tcPr>
          <w:p w14:paraId="02EB880B" w14:textId="77777777" w:rsidR="002C6574" w:rsidRDefault="002C6574">
            <w:pPr>
              <w:rPr>
                <w:sz w:val="2"/>
                <w:szCs w:val="2"/>
              </w:rPr>
            </w:pPr>
          </w:p>
        </w:tc>
      </w:tr>
      <w:tr w:rsidR="002C6574" w14:paraId="0F0C6692" w14:textId="77777777">
        <w:trPr>
          <w:trHeight w:val="221"/>
        </w:trPr>
        <w:tc>
          <w:tcPr>
            <w:tcW w:w="2155" w:type="dxa"/>
          </w:tcPr>
          <w:p w14:paraId="359F1F1E" w14:textId="77777777" w:rsidR="002C6574" w:rsidRDefault="00000000">
            <w:pPr>
              <w:pStyle w:val="TableParagraph"/>
              <w:spacing w:before="50"/>
              <w:ind w:left="69"/>
              <w:jc w:val="left"/>
              <w:rPr>
                <w:rFonts w:ascii="Arial" w:hAnsi="Arial"/>
                <w:b/>
                <w:sz w:val="10"/>
              </w:rPr>
            </w:pPr>
            <w:r>
              <w:rPr>
                <w:rFonts w:ascii="Arial" w:hAnsi="Arial"/>
                <w:b/>
                <w:sz w:val="10"/>
              </w:rPr>
              <w:t>Custo</w:t>
            </w:r>
            <w:r>
              <w:rPr>
                <w:rFonts w:ascii="Arial" w:hAnsi="Arial"/>
                <w:b/>
                <w:spacing w:val="-5"/>
                <w:sz w:val="10"/>
              </w:rPr>
              <w:t xml:space="preserve"> </w:t>
            </w:r>
            <w:r>
              <w:rPr>
                <w:rFonts w:ascii="Arial" w:hAnsi="Arial"/>
                <w:b/>
                <w:sz w:val="10"/>
              </w:rPr>
              <w:t>de</w:t>
            </w:r>
            <w:r>
              <w:rPr>
                <w:rFonts w:ascii="Arial" w:hAnsi="Arial"/>
                <w:b/>
                <w:spacing w:val="-2"/>
                <w:sz w:val="10"/>
              </w:rPr>
              <w:t xml:space="preserve"> Aquisição</w:t>
            </w:r>
          </w:p>
        </w:tc>
        <w:tc>
          <w:tcPr>
            <w:tcW w:w="679" w:type="dxa"/>
          </w:tcPr>
          <w:p w14:paraId="34798D21" w14:textId="77777777" w:rsidR="002C6574" w:rsidRDefault="002C6574">
            <w:pPr>
              <w:pStyle w:val="TableParagraph"/>
              <w:jc w:val="left"/>
              <w:rPr>
                <w:rFonts w:ascii="Times New Roman"/>
                <w:sz w:val="14"/>
              </w:rPr>
            </w:pPr>
          </w:p>
        </w:tc>
        <w:tc>
          <w:tcPr>
            <w:tcW w:w="710" w:type="dxa"/>
          </w:tcPr>
          <w:p w14:paraId="3627EC8D" w14:textId="77777777" w:rsidR="002C6574" w:rsidRDefault="002C6574">
            <w:pPr>
              <w:pStyle w:val="TableParagraph"/>
              <w:jc w:val="left"/>
              <w:rPr>
                <w:rFonts w:ascii="Times New Roman"/>
                <w:sz w:val="14"/>
              </w:rPr>
            </w:pPr>
          </w:p>
        </w:tc>
        <w:tc>
          <w:tcPr>
            <w:tcW w:w="849" w:type="dxa"/>
          </w:tcPr>
          <w:p w14:paraId="34AAB497" w14:textId="77777777" w:rsidR="002C6574" w:rsidRDefault="002C6574">
            <w:pPr>
              <w:pStyle w:val="TableParagraph"/>
              <w:jc w:val="left"/>
              <w:rPr>
                <w:rFonts w:ascii="Times New Roman"/>
                <w:sz w:val="14"/>
              </w:rPr>
            </w:pPr>
          </w:p>
        </w:tc>
        <w:tc>
          <w:tcPr>
            <w:tcW w:w="664" w:type="dxa"/>
          </w:tcPr>
          <w:p w14:paraId="13DED6C1" w14:textId="77777777" w:rsidR="002C6574" w:rsidRDefault="002C6574">
            <w:pPr>
              <w:pStyle w:val="TableParagraph"/>
              <w:jc w:val="left"/>
              <w:rPr>
                <w:rFonts w:ascii="Times New Roman"/>
                <w:sz w:val="14"/>
              </w:rPr>
            </w:pPr>
          </w:p>
        </w:tc>
        <w:tc>
          <w:tcPr>
            <w:tcW w:w="750" w:type="dxa"/>
          </w:tcPr>
          <w:p w14:paraId="66E1720B" w14:textId="77777777" w:rsidR="002C6574" w:rsidRDefault="002C6574">
            <w:pPr>
              <w:pStyle w:val="TableParagraph"/>
              <w:jc w:val="left"/>
              <w:rPr>
                <w:rFonts w:ascii="Times New Roman"/>
                <w:sz w:val="14"/>
              </w:rPr>
            </w:pPr>
          </w:p>
        </w:tc>
        <w:tc>
          <w:tcPr>
            <w:tcW w:w="884" w:type="dxa"/>
          </w:tcPr>
          <w:p w14:paraId="71E0F838" w14:textId="77777777" w:rsidR="002C6574" w:rsidRDefault="002C6574">
            <w:pPr>
              <w:pStyle w:val="TableParagraph"/>
              <w:jc w:val="left"/>
              <w:rPr>
                <w:rFonts w:ascii="Times New Roman"/>
                <w:sz w:val="14"/>
              </w:rPr>
            </w:pPr>
          </w:p>
        </w:tc>
        <w:tc>
          <w:tcPr>
            <w:tcW w:w="831" w:type="dxa"/>
          </w:tcPr>
          <w:p w14:paraId="5E9F6F95" w14:textId="77777777" w:rsidR="002C6574" w:rsidRDefault="002C6574">
            <w:pPr>
              <w:pStyle w:val="TableParagraph"/>
              <w:jc w:val="left"/>
              <w:rPr>
                <w:rFonts w:ascii="Times New Roman"/>
                <w:sz w:val="14"/>
              </w:rPr>
            </w:pPr>
          </w:p>
        </w:tc>
        <w:tc>
          <w:tcPr>
            <w:tcW w:w="692" w:type="dxa"/>
          </w:tcPr>
          <w:p w14:paraId="25888F0E" w14:textId="77777777" w:rsidR="002C6574" w:rsidRDefault="002C6574">
            <w:pPr>
              <w:pStyle w:val="TableParagraph"/>
              <w:jc w:val="left"/>
              <w:rPr>
                <w:rFonts w:ascii="Times New Roman"/>
                <w:sz w:val="14"/>
              </w:rPr>
            </w:pPr>
          </w:p>
        </w:tc>
        <w:tc>
          <w:tcPr>
            <w:tcW w:w="848" w:type="dxa"/>
          </w:tcPr>
          <w:p w14:paraId="02E4E375" w14:textId="77777777" w:rsidR="002C6574" w:rsidRDefault="002C6574">
            <w:pPr>
              <w:pStyle w:val="TableParagraph"/>
              <w:jc w:val="left"/>
              <w:rPr>
                <w:rFonts w:ascii="Times New Roman"/>
                <w:sz w:val="14"/>
              </w:rPr>
            </w:pPr>
          </w:p>
        </w:tc>
        <w:tc>
          <w:tcPr>
            <w:tcW w:w="697" w:type="dxa"/>
          </w:tcPr>
          <w:p w14:paraId="21F6AB0A" w14:textId="77777777" w:rsidR="002C6574" w:rsidRDefault="002C6574">
            <w:pPr>
              <w:pStyle w:val="TableParagraph"/>
              <w:jc w:val="left"/>
              <w:rPr>
                <w:rFonts w:ascii="Times New Roman"/>
                <w:sz w:val="14"/>
              </w:rPr>
            </w:pPr>
          </w:p>
        </w:tc>
      </w:tr>
      <w:tr w:rsidR="002C6574" w14:paraId="20F7D8C0" w14:textId="77777777">
        <w:trPr>
          <w:trHeight w:val="227"/>
        </w:trPr>
        <w:tc>
          <w:tcPr>
            <w:tcW w:w="2155" w:type="dxa"/>
          </w:tcPr>
          <w:p w14:paraId="69C7A18A" w14:textId="77777777" w:rsidR="002C6574" w:rsidRDefault="00000000">
            <w:pPr>
              <w:pStyle w:val="TableParagraph"/>
              <w:spacing w:before="57"/>
              <w:ind w:left="69"/>
              <w:jc w:val="left"/>
              <w:rPr>
                <w:rFonts w:ascii="Arial"/>
                <w:b/>
                <w:sz w:val="10"/>
              </w:rPr>
            </w:pPr>
            <w:r>
              <w:rPr>
                <w:rFonts w:ascii="Arial"/>
                <w:b/>
                <w:sz w:val="10"/>
              </w:rPr>
              <w:t>Saldo</w:t>
            </w:r>
            <w:r>
              <w:rPr>
                <w:rFonts w:ascii="Arial"/>
                <w:b/>
                <w:spacing w:val="-2"/>
                <w:sz w:val="10"/>
              </w:rPr>
              <w:t xml:space="preserve"> </w:t>
            </w:r>
            <w:r>
              <w:rPr>
                <w:rFonts w:ascii="Arial"/>
                <w:b/>
                <w:sz w:val="10"/>
              </w:rPr>
              <w:t>em</w:t>
            </w:r>
            <w:r>
              <w:rPr>
                <w:rFonts w:ascii="Arial"/>
                <w:b/>
                <w:spacing w:val="-2"/>
                <w:sz w:val="10"/>
              </w:rPr>
              <w:t xml:space="preserve"> </w:t>
            </w:r>
            <w:r>
              <w:rPr>
                <w:rFonts w:ascii="Arial"/>
                <w:b/>
                <w:sz w:val="10"/>
              </w:rPr>
              <w:t>31</w:t>
            </w:r>
            <w:r>
              <w:rPr>
                <w:rFonts w:ascii="Arial"/>
                <w:b/>
                <w:spacing w:val="-5"/>
                <w:sz w:val="10"/>
              </w:rPr>
              <w:t xml:space="preserve"> </w:t>
            </w:r>
            <w:r>
              <w:rPr>
                <w:rFonts w:ascii="Arial"/>
                <w:b/>
                <w:sz w:val="10"/>
              </w:rPr>
              <w:t>de</w:t>
            </w:r>
            <w:r>
              <w:rPr>
                <w:rFonts w:ascii="Arial"/>
                <w:b/>
                <w:spacing w:val="-5"/>
                <w:sz w:val="10"/>
              </w:rPr>
              <w:t xml:space="preserve"> </w:t>
            </w:r>
            <w:r>
              <w:rPr>
                <w:rFonts w:ascii="Arial"/>
                <w:b/>
                <w:sz w:val="10"/>
              </w:rPr>
              <w:t>dezembro</w:t>
            </w:r>
            <w:r>
              <w:rPr>
                <w:rFonts w:ascii="Arial"/>
                <w:b/>
                <w:spacing w:val="-3"/>
                <w:sz w:val="10"/>
              </w:rPr>
              <w:t xml:space="preserve"> </w:t>
            </w:r>
            <w:r>
              <w:rPr>
                <w:rFonts w:ascii="Arial"/>
                <w:b/>
                <w:sz w:val="10"/>
              </w:rPr>
              <w:t>de</w:t>
            </w:r>
            <w:r>
              <w:rPr>
                <w:rFonts w:ascii="Arial"/>
                <w:b/>
                <w:spacing w:val="-1"/>
                <w:sz w:val="10"/>
              </w:rPr>
              <w:t xml:space="preserve"> </w:t>
            </w:r>
            <w:r>
              <w:rPr>
                <w:rFonts w:ascii="Arial"/>
                <w:b/>
                <w:spacing w:val="-4"/>
                <w:sz w:val="10"/>
              </w:rPr>
              <w:t>2024</w:t>
            </w:r>
          </w:p>
        </w:tc>
        <w:tc>
          <w:tcPr>
            <w:tcW w:w="679" w:type="dxa"/>
          </w:tcPr>
          <w:p w14:paraId="2A8D154F" w14:textId="77777777" w:rsidR="002C6574" w:rsidRDefault="00000000">
            <w:pPr>
              <w:pStyle w:val="TableParagraph"/>
              <w:spacing w:before="57"/>
              <w:ind w:right="61"/>
              <w:rPr>
                <w:rFonts w:ascii="Arial"/>
                <w:b/>
                <w:sz w:val="10"/>
              </w:rPr>
            </w:pPr>
            <w:r>
              <w:rPr>
                <w:rFonts w:ascii="Arial"/>
                <w:b/>
                <w:spacing w:val="-2"/>
                <w:sz w:val="10"/>
              </w:rPr>
              <w:t>287.456</w:t>
            </w:r>
          </w:p>
        </w:tc>
        <w:tc>
          <w:tcPr>
            <w:tcW w:w="710" w:type="dxa"/>
          </w:tcPr>
          <w:p w14:paraId="017739F1" w14:textId="77777777" w:rsidR="002C6574" w:rsidRDefault="00000000">
            <w:pPr>
              <w:pStyle w:val="TableParagraph"/>
              <w:spacing w:before="57"/>
              <w:ind w:right="58"/>
              <w:rPr>
                <w:rFonts w:ascii="Arial"/>
                <w:b/>
                <w:sz w:val="10"/>
              </w:rPr>
            </w:pPr>
            <w:r>
              <w:rPr>
                <w:rFonts w:ascii="Arial"/>
                <w:b/>
                <w:spacing w:val="-2"/>
                <w:sz w:val="10"/>
              </w:rPr>
              <w:t>3.133</w:t>
            </w:r>
          </w:p>
        </w:tc>
        <w:tc>
          <w:tcPr>
            <w:tcW w:w="849" w:type="dxa"/>
          </w:tcPr>
          <w:p w14:paraId="55F6758B" w14:textId="77777777" w:rsidR="002C6574" w:rsidRDefault="00000000">
            <w:pPr>
              <w:pStyle w:val="TableParagraph"/>
              <w:spacing w:before="57"/>
              <w:ind w:right="58"/>
              <w:rPr>
                <w:rFonts w:ascii="Arial"/>
                <w:b/>
                <w:sz w:val="10"/>
              </w:rPr>
            </w:pPr>
            <w:r>
              <w:rPr>
                <w:rFonts w:ascii="Arial"/>
                <w:b/>
                <w:spacing w:val="-2"/>
                <w:sz w:val="10"/>
              </w:rPr>
              <w:t>300.867</w:t>
            </w:r>
          </w:p>
        </w:tc>
        <w:tc>
          <w:tcPr>
            <w:tcW w:w="664" w:type="dxa"/>
          </w:tcPr>
          <w:p w14:paraId="6B0828AA" w14:textId="77777777" w:rsidR="002C6574" w:rsidRDefault="00000000">
            <w:pPr>
              <w:pStyle w:val="TableParagraph"/>
              <w:spacing w:before="57"/>
              <w:ind w:right="56"/>
              <w:rPr>
                <w:rFonts w:ascii="Arial"/>
                <w:b/>
                <w:sz w:val="10"/>
              </w:rPr>
            </w:pPr>
            <w:r>
              <w:rPr>
                <w:rFonts w:ascii="Arial"/>
                <w:b/>
                <w:spacing w:val="-2"/>
                <w:sz w:val="10"/>
              </w:rPr>
              <w:t>7.628</w:t>
            </w:r>
          </w:p>
        </w:tc>
        <w:tc>
          <w:tcPr>
            <w:tcW w:w="750" w:type="dxa"/>
          </w:tcPr>
          <w:p w14:paraId="330CFEE4" w14:textId="77777777" w:rsidR="002C6574" w:rsidRDefault="00000000">
            <w:pPr>
              <w:pStyle w:val="TableParagraph"/>
              <w:spacing w:before="57"/>
              <w:ind w:right="55"/>
              <w:rPr>
                <w:rFonts w:ascii="Arial"/>
                <w:b/>
                <w:sz w:val="10"/>
              </w:rPr>
            </w:pPr>
            <w:r>
              <w:rPr>
                <w:rFonts w:ascii="Arial"/>
                <w:b/>
                <w:spacing w:val="-2"/>
                <w:sz w:val="10"/>
              </w:rPr>
              <w:t>24.315</w:t>
            </w:r>
          </w:p>
        </w:tc>
        <w:tc>
          <w:tcPr>
            <w:tcW w:w="884" w:type="dxa"/>
          </w:tcPr>
          <w:p w14:paraId="149B317F" w14:textId="77777777" w:rsidR="002C6574" w:rsidRDefault="00000000">
            <w:pPr>
              <w:pStyle w:val="TableParagraph"/>
              <w:spacing w:before="57"/>
              <w:ind w:right="54"/>
              <w:rPr>
                <w:rFonts w:ascii="Arial"/>
                <w:b/>
                <w:sz w:val="10"/>
              </w:rPr>
            </w:pPr>
            <w:r>
              <w:rPr>
                <w:rFonts w:ascii="Arial"/>
                <w:b/>
                <w:spacing w:val="-2"/>
                <w:sz w:val="10"/>
              </w:rPr>
              <w:t>2.876.336</w:t>
            </w:r>
          </w:p>
        </w:tc>
        <w:tc>
          <w:tcPr>
            <w:tcW w:w="831" w:type="dxa"/>
          </w:tcPr>
          <w:p w14:paraId="20C67F40" w14:textId="77777777" w:rsidR="002C6574" w:rsidRDefault="00000000">
            <w:pPr>
              <w:pStyle w:val="TableParagraph"/>
              <w:spacing w:before="57"/>
              <w:ind w:right="49"/>
              <w:rPr>
                <w:rFonts w:ascii="Arial"/>
                <w:b/>
                <w:sz w:val="10"/>
              </w:rPr>
            </w:pPr>
            <w:r>
              <w:rPr>
                <w:rFonts w:ascii="Arial"/>
                <w:b/>
                <w:spacing w:val="-2"/>
                <w:sz w:val="10"/>
              </w:rPr>
              <w:t>1.156</w:t>
            </w:r>
          </w:p>
        </w:tc>
        <w:tc>
          <w:tcPr>
            <w:tcW w:w="692" w:type="dxa"/>
          </w:tcPr>
          <w:p w14:paraId="7A0C70DF" w14:textId="77777777" w:rsidR="002C6574" w:rsidRDefault="00000000">
            <w:pPr>
              <w:pStyle w:val="TableParagraph"/>
              <w:spacing w:before="57"/>
              <w:ind w:right="51"/>
              <w:rPr>
                <w:rFonts w:ascii="Arial"/>
                <w:b/>
                <w:sz w:val="10"/>
              </w:rPr>
            </w:pPr>
            <w:r>
              <w:rPr>
                <w:rFonts w:ascii="Arial"/>
                <w:b/>
                <w:spacing w:val="-2"/>
                <w:sz w:val="10"/>
              </w:rPr>
              <w:t>52.023</w:t>
            </w:r>
          </w:p>
        </w:tc>
        <w:tc>
          <w:tcPr>
            <w:tcW w:w="848" w:type="dxa"/>
          </w:tcPr>
          <w:p w14:paraId="4A5304CF" w14:textId="77777777" w:rsidR="002C6574" w:rsidRDefault="00000000">
            <w:pPr>
              <w:pStyle w:val="TableParagraph"/>
              <w:spacing w:before="57"/>
              <w:ind w:right="49"/>
              <w:rPr>
                <w:rFonts w:ascii="Arial"/>
                <w:b/>
                <w:sz w:val="10"/>
              </w:rPr>
            </w:pPr>
            <w:r>
              <w:rPr>
                <w:rFonts w:ascii="Arial"/>
                <w:b/>
                <w:spacing w:val="-2"/>
                <w:sz w:val="10"/>
              </w:rPr>
              <w:t>39.297</w:t>
            </w:r>
          </w:p>
        </w:tc>
        <w:tc>
          <w:tcPr>
            <w:tcW w:w="697" w:type="dxa"/>
          </w:tcPr>
          <w:p w14:paraId="6DEC6551" w14:textId="77777777" w:rsidR="002C6574" w:rsidRDefault="00000000">
            <w:pPr>
              <w:pStyle w:val="TableParagraph"/>
              <w:spacing w:before="57"/>
              <w:ind w:right="45"/>
              <w:rPr>
                <w:rFonts w:ascii="Arial"/>
                <w:b/>
                <w:sz w:val="10"/>
              </w:rPr>
            </w:pPr>
            <w:r>
              <w:rPr>
                <w:rFonts w:ascii="Arial"/>
                <w:b/>
                <w:spacing w:val="-2"/>
                <w:sz w:val="10"/>
              </w:rPr>
              <w:t>3.592.211</w:t>
            </w:r>
          </w:p>
        </w:tc>
      </w:tr>
      <w:tr w:rsidR="002C6574" w14:paraId="00F4E5F1" w14:textId="77777777">
        <w:trPr>
          <w:trHeight w:val="229"/>
        </w:trPr>
        <w:tc>
          <w:tcPr>
            <w:tcW w:w="2155" w:type="dxa"/>
          </w:tcPr>
          <w:p w14:paraId="5F430F32" w14:textId="77777777" w:rsidR="002C6574" w:rsidRDefault="00000000">
            <w:pPr>
              <w:pStyle w:val="TableParagraph"/>
              <w:spacing w:before="43"/>
              <w:ind w:left="98"/>
              <w:jc w:val="left"/>
              <w:rPr>
                <w:sz w:val="10"/>
              </w:rPr>
            </w:pPr>
            <w:r>
              <w:rPr>
                <w:sz w:val="10"/>
              </w:rPr>
              <w:t>Adições</w:t>
            </w:r>
            <w:r>
              <w:rPr>
                <w:spacing w:val="13"/>
                <w:sz w:val="10"/>
              </w:rPr>
              <w:t xml:space="preserve"> </w:t>
            </w:r>
            <w:r>
              <w:rPr>
                <w:sz w:val="10"/>
              </w:rPr>
              <w:t>-</w:t>
            </w:r>
            <w:r>
              <w:rPr>
                <w:spacing w:val="13"/>
                <w:sz w:val="10"/>
              </w:rPr>
              <w:t xml:space="preserve"> </w:t>
            </w:r>
            <w:r>
              <w:rPr>
                <w:sz w:val="10"/>
              </w:rPr>
              <w:t>CPC</w:t>
            </w:r>
            <w:r>
              <w:rPr>
                <w:spacing w:val="9"/>
                <w:sz w:val="10"/>
              </w:rPr>
              <w:t xml:space="preserve"> </w:t>
            </w:r>
            <w:r>
              <w:rPr>
                <w:sz w:val="10"/>
              </w:rPr>
              <w:t>6(R2)</w:t>
            </w:r>
            <w:r>
              <w:rPr>
                <w:spacing w:val="13"/>
                <w:sz w:val="10"/>
              </w:rPr>
              <w:t xml:space="preserve"> </w:t>
            </w:r>
            <w:r>
              <w:rPr>
                <w:sz w:val="10"/>
              </w:rPr>
              <w:t>/</w:t>
            </w:r>
            <w:r>
              <w:rPr>
                <w:spacing w:val="11"/>
                <w:sz w:val="10"/>
              </w:rPr>
              <w:t xml:space="preserve"> </w:t>
            </w:r>
            <w:r>
              <w:rPr>
                <w:sz w:val="10"/>
              </w:rPr>
              <w:t>IFRS</w:t>
            </w:r>
            <w:r>
              <w:rPr>
                <w:spacing w:val="14"/>
                <w:sz w:val="10"/>
              </w:rPr>
              <w:t xml:space="preserve"> </w:t>
            </w:r>
            <w:r>
              <w:rPr>
                <w:spacing w:val="-5"/>
                <w:sz w:val="10"/>
              </w:rPr>
              <w:t>16</w:t>
            </w:r>
          </w:p>
        </w:tc>
        <w:tc>
          <w:tcPr>
            <w:tcW w:w="679" w:type="dxa"/>
          </w:tcPr>
          <w:p w14:paraId="2AAADC03" w14:textId="77777777" w:rsidR="002C6574" w:rsidRDefault="00000000">
            <w:pPr>
              <w:pStyle w:val="TableParagraph"/>
              <w:spacing w:before="100" w:line="109" w:lineRule="exact"/>
              <w:ind w:right="59"/>
              <w:rPr>
                <w:sz w:val="10"/>
              </w:rPr>
            </w:pPr>
            <w:r>
              <w:rPr>
                <w:spacing w:val="-10"/>
                <w:w w:val="95"/>
                <w:sz w:val="10"/>
              </w:rPr>
              <w:t>-</w:t>
            </w:r>
          </w:p>
        </w:tc>
        <w:tc>
          <w:tcPr>
            <w:tcW w:w="710" w:type="dxa"/>
          </w:tcPr>
          <w:p w14:paraId="77C739AD" w14:textId="77777777" w:rsidR="002C6574" w:rsidRDefault="00000000">
            <w:pPr>
              <w:pStyle w:val="TableParagraph"/>
              <w:spacing w:before="100" w:line="109" w:lineRule="exact"/>
              <w:ind w:right="59"/>
              <w:rPr>
                <w:sz w:val="10"/>
              </w:rPr>
            </w:pPr>
            <w:r>
              <w:rPr>
                <w:spacing w:val="-10"/>
                <w:w w:val="95"/>
                <w:sz w:val="10"/>
              </w:rPr>
              <w:t>-</w:t>
            </w:r>
          </w:p>
        </w:tc>
        <w:tc>
          <w:tcPr>
            <w:tcW w:w="849" w:type="dxa"/>
          </w:tcPr>
          <w:p w14:paraId="30FC92D7" w14:textId="77777777" w:rsidR="002C6574" w:rsidRDefault="00000000">
            <w:pPr>
              <w:pStyle w:val="TableParagraph"/>
              <w:spacing w:before="100" w:line="109" w:lineRule="exact"/>
              <w:ind w:right="56"/>
              <w:rPr>
                <w:sz w:val="10"/>
              </w:rPr>
            </w:pPr>
            <w:r>
              <w:rPr>
                <w:spacing w:val="-10"/>
                <w:w w:val="95"/>
                <w:sz w:val="10"/>
              </w:rPr>
              <w:t>-</w:t>
            </w:r>
          </w:p>
        </w:tc>
        <w:tc>
          <w:tcPr>
            <w:tcW w:w="664" w:type="dxa"/>
          </w:tcPr>
          <w:p w14:paraId="649A18A5" w14:textId="77777777" w:rsidR="002C6574" w:rsidRDefault="00000000">
            <w:pPr>
              <w:pStyle w:val="TableParagraph"/>
              <w:spacing w:before="100" w:line="109" w:lineRule="exact"/>
              <w:ind w:right="58"/>
              <w:rPr>
                <w:sz w:val="10"/>
              </w:rPr>
            </w:pPr>
            <w:r>
              <w:rPr>
                <w:spacing w:val="-10"/>
                <w:w w:val="95"/>
                <w:sz w:val="10"/>
              </w:rPr>
              <w:t>-</w:t>
            </w:r>
          </w:p>
        </w:tc>
        <w:tc>
          <w:tcPr>
            <w:tcW w:w="750" w:type="dxa"/>
          </w:tcPr>
          <w:p w14:paraId="06B06A48" w14:textId="77777777" w:rsidR="002C6574" w:rsidRDefault="00000000">
            <w:pPr>
              <w:pStyle w:val="TableParagraph"/>
              <w:spacing w:before="100" w:line="109" w:lineRule="exact"/>
              <w:ind w:right="56"/>
              <w:rPr>
                <w:sz w:val="10"/>
              </w:rPr>
            </w:pPr>
            <w:r>
              <w:rPr>
                <w:spacing w:val="-10"/>
                <w:w w:val="95"/>
                <w:sz w:val="10"/>
              </w:rPr>
              <w:t>-</w:t>
            </w:r>
          </w:p>
        </w:tc>
        <w:tc>
          <w:tcPr>
            <w:tcW w:w="884" w:type="dxa"/>
          </w:tcPr>
          <w:p w14:paraId="38E9F4B1" w14:textId="77777777" w:rsidR="002C6574" w:rsidRDefault="00000000">
            <w:pPr>
              <w:pStyle w:val="TableParagraph"/>
              <w:spacing w:before="100" w:line="109" w:lineRule="exact"/>
              <w:ind w:right="55"/>
              <w:rPr>
                <w:sz w:val="10"/>
              </w:rPr>
            </w:pPr>
            <w:r>
              <w:rPr>
                <w:spacing w:val="-10"/>
                <w:w w:val="95"/>
                <w:sz w:val="10"/>
              </w:rPr>
              <w:t>-</w:t>
            </w:r>
          </w:p>
        </w:tc>
        <w:tc>
          <w:tcPr>
            <w:tcW w:w="831" w:type="dxa"/>
          </w:tcPr>
          <w:p w14:paraId="025D0E69" w14:textId="77777777" w:rsidR="002C6574" w:rsidRDefault="00000000">
            <w:pPr>
              <w:pStyle w:val="TableParagraph"/>
              <w:spacing w:before="100" w:line="109" w:lineRule="exact"/>
              <w:ind w:right="51"/>
              <w:rPr>
                <w:sz w:val="10"/>
              </w:rPr>
            </w:pPr>
            <w:r>
              <w:rPr>
                <w:spacing w:val="-10"/>
                <w:w w:val="95"/>
                <w:sz w:val="10"/>
              </w:rPr>
              <w:t>-</w:t>
            </w:r>
          </w:p>
        </w:tc>
        <w:tc>
          <w:tcPr>
            <w:tcW w:w="692" w:type="dxa"/>
          </w:tcPr>
          <w:p w14:paraId="46FE7908" w14:textId="77777777" w:rsidR="002C6574" w:rsidRDefault="00000000">
            <w:pPr>
              <w:pStyle w:val="TableParagraph"/>
              <w:spacing w:before="43"/>
              <w:ind w:right="50"/>
              <w:rPr>
                <w:sz w:val="10"/>
              </w:rPr>
            </w:pPr>
            <w:r>
              <w:rPr>
                <w:spacing w:val="-2"/>
                <w:w w:val="110"/>
                <w:sz w:val="10"/>
              </w:rPr>
              <w:t>16.546</w:t>
            </w:r>
          </w:p>
        </w:tc>
        <w:tc>
          <w:tcPr>
            <w:tcW w:w="848" w:type="dxa"/>
          </w:tcPr>
          <w:p w14:paraId="2B760C2A" w14:textId="77777777" w:rsidR="002C6574" w:rsidRDefault="00000000">
            <w:pPr>
              <w:pStyle w:val="TableParagraph"/>
              <w:spacing w:before="100" w:line="109" w:lineRule="exact"/>
              <w:ind w:right="50"/>
              <w:rPr>
                <w:sz w:val="10"/>
              </w:rPr>
            </w:pPr>
            <w:r>
              <w:rPr>
                <w:spacing w:val="-10"/>
                <w:w w:val="95"/>
                <w:sz w:val="10"/>
              </w:rPr>
              <w:t>-</w:t>
            </w:r>
          </w:p>
        </w:tc>
        <w:tc>
          <w:tcPr>
            <w:tcW w:w="697" w:type="dxa"/>
          </w:tcPr>
          <w:p w14:paraId="6ABD7315" w14:textId="77777777" w:rsidR="002C6574" w:rsidRDefault="00000000">
            <w:pPr>
              <w:pStyle w:val="TableParagraph"/>
              <w:spacing w:before="43"/>
              <w:ind w:right="45"/>
              <w:rPr>
                <w:sz w:val="10"/>
              </w:rPr>
            </w:pPr>
            <w:r>
              <w:rPr>
                <w:spacing w:val="-2"/>
                <w:w w:val="110"/>
                <w:sz w:val="10"/>
              </w:rPr>
              <w:t>16.546</w:t>
            </w:r>
          </w:p>
        </w:tc>
      </w:tr>
      <w:tr w:rsidR="002C6574" w14:paraId="04014B38" w14:textId="77777777">
        <w:trPr>
          <w:trHeight w:val="230"/>
        </w:trPr>
        <w:tc>
          <w:tcPr>
            <w:tcW w:w="2155" w:type="dxa"/>
          </w:tcPr>
          <w:p w14:paraId="4E2604F3" w14:textId="77777777" w:rsidR="002C6574" w:rsidRDefault="00000000">
            <w:pPr>
              <w:pStyle w:val="TableParagraph"/>
              <w:spacing w:before="43"/>
              <w:ind w:left="98"/>
              <w:jc w:val="left"/>
              <w:rPr>
                <w:sz w:val="10"/>
              </w:rPr>
            </w:pPr>
            <w:r>
              <w:rPr>
                <w:spacing w:val="-2"/>
                <w:sz w:val="10"/>
              </w:rPr>
              <w:t>Aquisições/Adições</w:t>
            </w:r>
          </w:p>
        </w:tc>
        <w:tc>
          <w:tcPr>
            <w:tcW w:w="679" w:type="dxa"/>
          </w:tcPr>
          <w:p w14:paraId="2398B32D" w14:textId="77777777" w:rsidR="002C6574" w:rsidRDefault="00000000">
            <w:pPr>
              <w:pStyle w:val="TableParagraph"/>
              <w:spacing w:before="100" w:line="109" w:lineRule="exact"/>
              <w:ind w:right="59"/>
              <w:rPr>
                <w:sz w:val="10"/>
              </w:rPr>
            </w:pPr>
            <w:r>
              <w:rPr>
                <w:spacing w:val="-10"/>
                <w:w w:val="95"/>
                <w:sz w:val="10"/>
              </w:rPr>
              <w:t>-</w:t>
            </w:r>
          </w:p>
        </w:tc>
        <w:tc>
          <w:tcPr>
            <w:tcW w:w="710" w:type="dxa"/>
          </w:tcPr>
          <w:p w14:paraId="341E7C92" w14:textId="77777777" w:rsidR="002C6574" w:rsidRDefault="00000000">
            <w:pPr>
              <w:pStyle w:val="TableParagraph"/>
              <w:spacing w:before="43"/>
              <w:ind w:right="58"/>
              <w:rPr>
                <w:sz w:val="10"/>
              </w:rPr>
            </w:pPr>
            <w:r>
              <w:rPr>
                <w:spacing w:val="-10"/>
                <w:w w:val="105"/>
                <w:sz w:val="10"/>
              </w:rPr>
              <w:t>3</w:t>
            </w:r>
          </w:p>
        </w:tc>
        <w:tc>
          <w:tcPr>
            <w:tcW w:w="849" w:type="dxa"/>
          </w:tcPr>
          <w:p w14:paraId="109DC1DC" w14:textId="77777777" w:rsidR="002C6574" w:rsidRDefault="00000000">
            <w:pPr>
              <w:pStyle w:val="TableParagraph"/>
              <w:spacing w:before="100" w:line="109" w:lineRule="exact"/>
              <w:ind w:right="56"/>
              <w:rPr>
                <w:sz w:val="10"/>
              </w:rPr>
            </w:pPr>
            <w:r>
              <w:rPr>
                <w:spacing w:val="-10"/>
                <w:w w:val="95"/>
                <w:sz w:val="10"/>
              </w:rPr>
              <w:t>-</w:t>
            </w:r>
          </w:p>
        </w:tc>
        <w:tc>
          <w:tcPr>
            <w:tcW w:w="664" w:type="dxa"/>
          </w:tcPr>
          <w:p w14:paraId="0F22E014" w14:textId="77777777" w:rsidR="002C6574" w:rsidRDefault="00000000">
            <w:pPr>
              <w:pStyle w:val="TableParagraph"/>
              <w:spacing w:before="100" w:line="109" w:lineRule="exact"/>
              <w:ind w:right="58"/>
              <w:rPr>
                <w:sz w:val="10"/>
              </w:rPr>
            </w:pPr>
            <w:r>
              <w:rPr>
                <w:spacing w:val="-10"/>
                <w:w w:val="95"/>
                <w:sz w:val="10"/>
              </w:rPr>
              <w:t>-</w:t>
            </w:r>
          </w:p>
        </w:tc>
        <w:tc>
          <w:tcPr>
            <w:tcW w:w="750" w:type="dxa"/>
          </w:tcPr>
          <w:p w14:paraId="47FB19DC" w14:textId="77777777" w:rsidR="002C6574" w:rsidRDefault="00000000">
            <w:pPr>
              <w:pStyle w:val="TableParagraph"/>
              <w:spacing w:before="100" w:line="109" w:lineRule="exact"/>
              <w:ind w:right="56"/>
              <w:rPr>
                <w:sz w:val="10"/>
              </w:rPr>
            </w:pPr>
            <w:r>
              <w:rPr>
                <w:spacing w:val="-10"/>
                <w:w w:val="95"/>
                <w:sz w:val="10"/>
              </w:rPr>
              <w:t>-</w:t>
            </w:r>
          </w:p>
        </w:tc>
        <w:tc>
          <w:tcPr>
            <w:tcW w:w="884" w:type="dxa"/>
          </w:tcPr>
          <w:p w14:paraId="071BE86A" w14:textId="77777777" w:rsidR="002C6574" w:rsidRDefault="00000000">
            <w:pPr>
              <w:pStyle w:val="TableParagraph"/>
              <w:spacing w:before="100" w:line="109" w:lineRule="exact"/>
              <w:ind w:right="55"/>
              <w:rPr>
                <w:sz w:val="10"/>
              </w:rPr>
            </w:pPr>
            <w:r>
              <w:rPr>
                <w:spacing w:val="-10"/>
                <w:w w:val="95"/>
                <w:sz w:val="10"/>
              </w:rPr>
              <w:t>-</w:t>
            </w:r>
          </w:p>
        </w:tc>
        <w:tc>
          <w:tcPr>
            <w:tcW w:w="831" w:type="dxa"/>
          </w:tcPr>
          <w:p w14:paraId="54AFD5AA" w14:textId="77777777" w:rsidR="002C6574" w:rsidRDefault="00000000">
            <w:pPr>
              <w:pStyle w:val="TableParagraph"/>
              <w:spacing w:before="100" w:line="109" w:lineRule="exact"/>
              <w:ind w:right="51"/>
              <w:rPr>
                <w:sz w:val="10"/>
              </w:rPr>
            </w:pPr>
            <w:r>
              <w:rPr>
                <w:spacing w:val="-10"/>
                <w:w w:val="95"/>
                <w:sz w:val="10"/>
              </w:rPr>
              <w:t>-</w:t>
            </w:r>
          </w:p>
        </w:tc>
        <w:tc>
          <w:tcPr>
            <w:tcW w:w="692" w:type="dxa"/>
          </w:tcPr>
          <w:p w14:paraId="78A4CC92" w14:textId="77777777" w:rsidR="002C6574" w:rsidRDefault="00000000">
            <w:pPr>
              <w:pStyle w:val="TableParagraph"/>
              <w:spacing w:before="100" w:line="109" w:lineRule="exact"/>
              <w:ind w:right="51"/>
              <w:rPr>
                <w:sz w:val="10"/>
              </w:rPr>
            </w:pPr>
            <w:r>
              <w:rPr>
                <w:spacing w:val="-10"/>
                <w:w w:val="95"/>
                <w:sz w:val="10"/>
              </w:rPr>
              <w:t>-</w:t>
            </w:r>
          </w:p>
        </w:tc>
        <w:tc>
          <w:tcPr>
            <w:tcW w:w="848" w:type="dxa"/>
          </w:tcPr>
          <w:p w14:paraId="6548F9DE" w14:textId="77777777" w:rsidR="002C6574" w:rsidRDefault="00000000">
            <w:pPr>
              <w:pStyle w:val="TableParagraph"/>
              <w:spacing w:before="43"/>
              <w:ind w:right="49"/>
              <w:rPr>
                <w:sz w:val="10"/>
              </w:rPr>
            </w:pPr>
            <w:r>
              <w:rPr>
                <w:spacing w:val="-2"/>
                <w:w w:val="110"/>
                <w:sz w:val="10"/>
              </w:rPr>
              <w:t>52.524</w:t>
            </w:r>
          </w:p>
        </w:tc>
        <w:tc>
          <w:tcPr>
            <w:tcW w:w="697" w:type="dxa"/>
          </w:tcPr>
          <w:p w14:paraId="3BA6AB2A" w14:textId="77777777" w:rsidR="002C6574" w:rsidRDefault="00000000">
            <w:pPr>
              <w:pStyle w:val="TableParagraph"/>
              <w:spacing w:before="43"/>
              <w:ind w:right="45"/>
              <w:rPr>
                <w:sz w:val="10"/>
              </w:rPr>
            </w:pPr>
            <w:r>
              <w:rPr>
                <w:spacing w:val="-2"/>
                <w:w w:val="110"/>
                <w:sz w:val="10"/>
              </w:rPr>
              <w:t>52.527</w:t>
            </w:r>
          </w:p>
        </w:tc>
      </w:tr>
      <w:tr w:rsidR="002C6574" w14:paraId="39CFA792" w14:textId="77777777">
        <w:trPr>
          <w:trHeight w:val="230"/>
        </w:trPr>
        <w:tc>
          <w:tcPr>
            <w:tcW w:w="2155" w:type="dxa"/>
          </w:tcPr>
          <w:p w14:paraId="40AF5878" w14:textId="77777777" w:rsidR="002C6574" w:rsidRDefault="00000000">
            <w:pPr>
              <w:pStyle w:val="TableParagraph"/>
              <w:spacing w:before="43"/>
              <w:ind w:left="98"/>
              <w:jc w:val="left"/>
              <w:rPr>
                <w:sz w:val="10"/>
              </w:rPr>
            </w:pPr>
            <w:r>
              <w:rPr>
                <w:sz w:val="10"/>
              </w:rPr>
              <w:t>Transferências</w:t>
            </w:r>
            <w:r>
              <w:rPr>
                <w:spacing w:val="7"/>
                <w:sz w:val="10"/>
              </w:rPr>
              <w:t xml:space="preserve"> </w:t>
            </w:r>
            <w:r>
              <w:rPr>
                <w:sz w:val="10"/>
              </w:rPr>
              <w:t>Internas</w:t>
            </w:r>
            <w:r>
              <w:rPr>
                <w:spacing w:val="11"/>
                <w:sz w:val="10"/>
              </w:rPr>
              <w:t xml:space="preserve"> </w:t>
            </w:r>
            <w:r>
              <w:rPr>
                <w:sz w:val="10"/>
              </w:rPr>
              <w:t>no</w:t>
            </w:r>
            <w:r>
              <w:rPr>
                <w:spacing w:val="8"/>
                <w:sz w:val="10"/>
              </w:rPr>
              <w:t xml:space="preserve"> </w:t>
            </w:r>
            <w:r>
              <w:rPr>
                <w:spacing w:val="-2"/>
                <w:sz w:val="10"/>
              </w:rPr>
              <w:t>Imobilizado</w:t>
            </w:r>
          </w:p>
        </w:tc>
        <w:tc>
          <w:tcPr>
            <w:tcW w:w="679" w:type="dxa"/>
          </w:tcPr>
          <w:p w14:paraId="21E1C51E" w14:textId="77777777" w:rsidR="002C6574" w:rsidRDefault="00000000">
            <w:pPr>
              <w:pStyle w:val="TableParagraph"/>
              <w:spacing w:before="43"/>
              <w:ind w:right="61"/>
              <w:rPr>
                <w:sz w:val="10"/>
              </w:rPr>
            </w:pPr>
            <w:r>
              <w:rPr>
                <w:spacing w:val="-5"/>
                <w:w w:val="105"/>
                <w:sz w:val="10"/>
              </w:rPr>
              <w:t>228</w:t>
            </w:r>
          </w:p>
        </w:tc>
        <w:tc>
          <w:tcPr>
            <w:tcW w:w="710" w:type="dxa"/>
          </w:tcPr>
          <w:p w14:paraId="6D53DB59" w14:textId="77777777" w:rsidR="002C6574" w:rsidRDefault="00000000">
            <w:pPr>
              <w:pStyle w:val="TableParagraph"/>
              <w:spacing w:before="43"/>
              <w:ind w:right="60"/>
              <w:rPr>
                <w:sz w:val="10"/>
              </w:rPr>
            </w:pPr>
            <w:r>
              <w:rPr>
                <w:spacing w:val="-5"/>
                <w:w w:val="105"/>
                <w:sz w:val="10"/>
              </w:rPr>
              <w:t>165</w:t>
            </w:r>
          </w:p>
        </w:tc>
        <w:tc>
          <w:tcPr>
            <w:tcW w:w="849" w:type="dxa"/>
          </w:tcPr>
          <w:p w14:paraId="4512E22A" w14:textId="77777777" w:rsidR="002C6574" w:rsidRDefault="00000000">
            <w:pPr>
              <w:pStyle w:val="TableParagraph"/>
              <w:spacing w:before="43"/>
              <w:ind w:right="55"/>
              <w:rPr>
                <w:sz w:val="10"/>
              </w:rPr>
            </w:pPr>
            <w:r>
              <w:rPr>
                <w:spacing w:val="-2"/>
                <w:w w:val="110"/>
                <w:sz w:val="10"/>
              </w:rPr>
              <w:t>4.154</w:t>
            </w:r>
          </w:p>
        </w:tc>
        <w:tc>
          <w:tcPr>
            <w:tcW w:w="664" w:type="dxa"/>
          </w:tcPr>
          <w:p w14:paraId="007B306A" w14:textId="77777777" w:rsidR="002C6574" w:rsidRDefault="00000000">
            <w:pPr>
              <w:pStyle w:val="TableParagraph"/>
              <w:spacing w:before="43"/>
              <w:ind w:right="59"/>
              <w:rPr>
                <w:sz w:val="10"/>
              </w:rPr>
            </w:pPr>
            <w:r>
              <w:rPr>
                <w:spacing w:val="-5"/>
                <w:w w:val="105"/>
                <w:sz w:val="10"/>
              </w:rPr>
              <w:t>615</w:t>
            </w:r>
          </w:p>
        </w:tc>
        <w:tc>
          <w:tcPr>
            <w:tcW w:w="750" w:type="dxa"/>
          </w:tcPr>
          <w:p w14:paraId="10FD0D1B" w14:textId="77777777" w:rsidR="002C6574" w:rsidRDefault="00000000">
            <w:pPr>
              <w:pStyle w:val="TableParagraph"/>
              <w:spacing w:before="43"/>
              <w:ind w:right="58"/>
              <w:rPr>
                <w:sz w:val="10"/>
              </w:rPr>
            </w:pPr>
            <w:r>
              <w:rPr>
                <w:spacing w:val="-5"/>
                <w:w w:val="105"/>
                <w:sz w:val="10"/>
              </w:rPr>
              <w:t>106</w:t>
            </w:r>
          </w:p>
        </w:tc>
        <w:tc>
          <w:tcPr>
            <w:tcW w:w="884" w:type="dxa"/>
          </w:tcPr>
          <w:p w14:paraId="56EC79EF" w14:textId="77777777" w:rsidR="002C6574" w:rsidRDefault="00000000">
            <w:pPr>
              <w:pStyle w:val="TableParagraph"/>
              <w:spacing w:before="43"/>
              <w:ind w:right="54"/>
              <w:rPr>
                <w:sz w:val="10"/>
              </w:rPr>
            </w:pPr>
            <w:r>
              <w:rPr>
                <w:spacing w:val="-2"/>
                <w:w w:val="110"/>
                <w:sz w:val="10"/>
              </w:rPr>
              <w:t>40.775</w:t>
            </w:r>
          </w:p>
        </w:tc>
        <w:tc>
          <w:tcPr>
            <w:tcW w:w="831" w:type="dxa"/>
          </w:tcPr>
          <w:p w14:paraId="490EA2D9" w14:textId="77777777" w:rsidR="002C6574" w:rsidRDefault="00000000">
            <w:pPr>
              <w:pStyle w:val="TableParagraph"/>
              <w:spacing w:before="100" w:line="109" w:lineRule="exact"/>
              <w:ind w:right="51"/>
              <w:rPr>
                <w:sz w:val="10"/>
              </w:rPr>
            </w:pPr>
            <w:r>
              <w:rPr>
                <w:spacing w:val="-10"/>
                <w:w w:val="95"/>
                <w:sz w:val="10"/>
              </w:rPr>
              <w:t>-</w:t>
            </w:r>
          </w:p>
        </w:tc>
        <w:tc>
          <w:tcPr>
            <w:tcW w:w="692" w:type="dxa"/>
          </w:tcPr>
          <w:p w14:paraId="518A38E5" w14:textId="77777777" w:rsidR="002C6574" w:rsidRDefault="00000000">
            <w:pPr>
              <w:pStyle w:val="TableParagraph"/>
              <w:spacing w:before="100" w:line="109" w:lineRule="exact"/>
              <w:ind w:right="51"/>
              <w:rPr>
                <w:sz w:val="10"/>
              </w:rPr>
            </w:pPr>
            <w:r>
              <w:rPr>
                <w:spacing w:val="-10"/>
                <w:w w:val="95"/>
                <w:sz w:val="10"/>
              </w:rPr>
              <w:t>-</w:t>
            </w:r>
          </w:p>
        </w:tc>
        <w:tc>
          <w:tcPr>
            <w:tcW w:w="848" w:type="dxa"/>
          </w:tcPr>
          <w:p w14:paraId="3EB58FC5" w14:textId="77777777" w:rsidR="002C6574" w:rsidRDefault="00000000">
            <w:pPr>
              <w:pStyle w:val="TableParagraph"/>
              <w:spacing w:before="43"/>
              <w:ind w:right="49"/>
              <w:rPr>
                <w:sz w:val="10"/>
              </w:rPr>
            </w:pPr>
            <w:r>
              <w:rPr>
                <w:spacing w:val="-2"/>
                <w:w w:val="110"/>
                <w:sz w:val="10"/>
              </w:rPr>
              <w:t>(46.043)</w:t>
            </w:r>
          </w:p>
        </w:tc>
        <w:tc>
          <w:tcPr>
            <w:tcW w:w="697" w:type="dxa"/>
          </w:tcPr>
          <w:p w14:paraId="56594597" w14:textId="77777777" w:rsidR="002C6574" w:rsidRDefault="00000000">
            <w:pPr>
              <w:pStyle w:val="TableParagraph"/>
              <w:spacing w:before="100" w:line="109" w:lineRule="exact"/>
              <w:ind w:right="46"/>
              <w:rPr>
                <w:sz w:val="10"/>
              </w:rPr>
            </w:pPr>
            <w:r>
              <w:rPr>
                <w:spacing w:val="-10"/>
                <w:w w:val="95"/>
                <w:sz w:val="10"/>
              </w:rPr>
              <w:t>-</w:t>
            </w:r>
          </w:p>
        </w:tc>
      </w:tr>
      <w:tr w:rsidR="002C6574" w14:paraId="4AA9FB1E" w14:textId="77777777">
        <w:trPr>
          <w:trHeight w:val="230"/>
        </w:trPr>
        <w:tc>
          <w:tcPr>
            <w:tcW w:w="2155" w:type="dxa"/>
          </w:tcPr>
          <w:p w14:paraId="6E5C4D39" w14:textId="77777777" w:rsidR="002C6574" w:rsidRDefault="00000000">
            <w:pPr>
              <w:pStyle w:val="TableParagraph"/>
              <w:spacing w:before="43"/>
              <w:ind w:left="69"/>
              <w:jc w:val="left"/>
              <w:rPr>
                <w:sz w:val="10"/>
              </w:rPr>
            </w:pPr>
            <w:r>
              <w:rPr>
                <w:w w:val="105"/>
                <w:sz w:val="10"/>
              </w:rPr>
              <w:t>Transferências</w:t>
            </w:r>
            <w:r>
              <w:rPr>
                <w:spacing w:val="-7"/>
                <w:w w:val="105"/>
                <w:sz w:val="10"/>
              </w:rPr>
              <w:t xml:space="preserve"> </w:t>
            </w:r>
            <w:r>
              <w:rPr>
                <w:w w:val="105"/>
                <w:sz w:val="10"/>
              </w:rPr>
              <w:t>para</w:t>
            </w:r>
            <w:r>
              <w:rPr>
                <w:spacing w:val="-7"/>
                <w:w w:val="105"/>
                <w:sz w:val="10"/>
              </w:rPr>
              <w:t xml:space="preserve"> </w:t>
            </w:r>
            <w:r>
              <w:rPr>
                <w:w w:val="105"/>
                <w:sz w:val="10"/>
              </w:rPr>
              <w:t>o</w:t>
            </w:r>
            <w:r>
              <w:rPr>
                <w:spacing w:val="-7"/>
                <w:w w:val="105"/>
                <w:sz w:val="10"/>
              </w:rPr>
              <w:t xml:space="preserve"> </w:t>
            </w:r>
            <w:r>
              <w:rPr>
                <w:spacing w:val="-2"/>
                <w:w w:val="105"/>
                <w:sz w:val="10"/>
              </w:rPr>
              <w:t>Intangível</w:t>
            </w:r>
          </w:p>
        </w:tc>
        <w:tc>
          <w:tcPr>
            <w:tcW w:w="679" w:type="dxa"/>
          </w:tcPr>
          <w:p w14:paraId="660B84F5" w14:textId="77777777" w:rsidR="002C6574" w:rsidRDefault="002C6574">
            <w:pPr>
              <w:pStyle w:val="TableParagraph"/>
              <w:jc w:val="left"/>
              <w:rPr>
                <w:rFonts w:ascii="Times New Roman"/>
                <w:sz w:val="14"/>
              </w:rPr>
            </w:pPr>
          </w:p>
        </w:tc>
        <w:tc>
          <w:tcPr>
            <w:tcW w:w="710" w:type="dxa"/>
          </w:tcPr>
          <w:p w14:paraId="62F89194" w14:textId="77777777" w:rsidR="002C6574" w:rsidRDefault="002C6574">
            <w:pPr>
              <w:pStyle w:val="TableParagraph"/>
              <w:jc w:val="left"/>
              <w:rPr>
                <w:rFonts w:ascii="Times New Roman"/>
                <w:sz w:val="14"/>
              </w:rPr>
            </w:pPr>
          </w:p>
        </w:tc>
        <w:tc>
          <w:tcPr>
            <w:tcW w:w="849" w:type="dxa"/>
          </w:tcPr>
          <w:p w14:paraId="74F5CE27" w14:textId="77777777" w:rsidR="002C6574" w:rsidRDefault="002C6574">
            <w:pPr>
              <w:pStyle w:val="TableParagraph"/>
              <w:jc w:val="left"/>
              <w:rPr>
                <w:rFonts w:ascii="Times New Roman"/>
                <w:sz w:val="14"/>
              </w:rPr>
            </w:pPr>
          </w:p>
        </w:tc>
        <w:tc>
          <w:tcPr>
            <w:tcW w:w="664" w:type="dxa"/>
          </w:tcPr>
          <w:p w14:paraId="14F2A3E2" w14:textId="77777777" w:rsidR="002C6574" w:rsidRDefault="002C6574">
            <w:pPr>
              <w:pStyle w:val="TableParagraph"/>
              <w:jc w:val="left"/>
              <w:rPr>
                <w:rFonts w:ascii="Times New Roman"/>
                <w:sz w:val="14"/>
              </w:rPr>
            </w:pPr>
          </w:p>
        </w:tc>
        <w:tc>
          <w:tcPr>
            <w:tcW w:w="750" w:type="dxa"/>
          </w:tcPr>
          <w:p w14:paraId="3B85D65D" w14:textId="77777777" w:rsidR="002C6574" w:rsidRDefault="002C6574">
            <w:pPr>
              <w:pStyle w:val="TableParagraph"/>
              <w:jc w:val="left"/>
              <w:rPr>
                <w:rFonts w:ascii="Times New Roman"/>
                <w:sz w:val="14"/>
              </w:rPr>
            </w:pPr>
          </w:p>
        </w:tc>
        <w:tc>
          <w:tcPr>
            <w:tcW w:w="884" w:type="dxa"/>
          </w:tcPr>
          <w:p w14:paraId="187D8FA5" w14:textId="77777777" w:rsidR="002C6574" w:rsidRDefault="002C6574">
            <w:pPr>
              <w:pStyle w:val="TableParagraph"/>
              <w:jc w:val="left"/>
              <w:rPr>
                <w:rFonts w:ascii="Times New Roman"/>
                <w:sz w:val="14"/>
              </w:rPr>
            </w:pPr>
          </w:p>
        </w:tc>
        <w:tc>
          <w:tcPr>
            <w:tcW w:w="831" w:type="dxa"/>
          </w:tcPr>
          <w:p w14:paraId="23FC68F6" w14:textId="77777777" w:rsidR="002C6574" w:rsidRDefault="002C6574">
            <w:pPr>
              <w:pStyle w:val="TableParagraph"/>
              <w:jc w:val="left"/>
              <w:rPr>
                <w:rFonts w:ascii="Times New Roman"/>
                <w:sz w:val="14"/>
              </w:rPr>
            </w:pPr>
          </w:p>
        </w:tc>
        <w:tc>
          <w:tcPr>
            <w:tcW w:w="692" w:type="dxa"/>
          </w:tcPr>
          <w:p w14:paraId="25536BCD" w14:textId="77777777" w:rsidR="002C6574" w:rsidRDefault="00000000">
            <w:pPr>
              <w:pStyle w:val="TableParagraph"/>
              <w:spacing w:before="100" w:line="109" w:lineRule="exact"/>
              <w:ind w:right="51"/>
              <w:rPr>
                <w:sz w:val="10"/>
              </w:rPr>
            </w:pPr>
            <w:r>
              <w:rPr>
                <w:spacing w:val="-10"/>
                <w:w w:val="95"/>
                <w:sz w:val="10"/>
              </w:rPr>
              <w:t>-</w:t>
            </w:r>
          </w:p>
        </w:tc>
        <w:tc>
          <w:tcPr>
            <w:tcW w:w="848" w:type="dxa"/>
          </w:tcPr>
          <w:p w14:paraId="0C5B676D" w14:textId="77777777" w:rsidR="002C6574" w:rsidRDefault="00000000">
            <w:pPr>
              <w:pStyle w:val="TableParagraph"/>
              <w:spacing w:before="43"/>
              <w:ind w:right="49"/>
              <w:rPr>
                <w:sz w:val="10"/>
              </w:rPr>
            </w:pPr>
            <w:r>
              <w:rPr>
                <w:spacing w:val="-2"/>
                <w:w w:val="110"/>
                <w:sz w:val="10"/>
              </w:rPr>
              <w:t>(17.160)</w:t>
            </w:r>
          </w:p>
        </w:tc>
        <w:tc>
          <w:tcPr>
            <w:tcW w:w="697" w:type="dxa"/>
          </w:tcPr>
          <w:p w14:paraId="299B6CCF" w14:textId="77777777" w:rsidR="002C6574" w:rsidRDefault="00000000">
            <w:pPr>
              <w:pStyle w:val="TableParagraph"/>
              <w:spacing w:before="43"/>
              <w:ind w:right="46"/>
              <w:rPr>
                <w:sz w:val="10"/>
              </w:rPr>
            </w:pPr>
            <w:r>
              <w:rPr>
                <w:spacing w:val="-2"/>
                <w:w w:val="110"/>
                <w:sz w:val="10"/>
              </w:rPr>
              <w:t>(17.160)</w:t>
            </w:r>
          </w:p>
        </w:tc>
      </w:tr>
      <w:tr w:rsidR="002C6574" w14:paraId="052D724D" w14:textId="77777777">
        <w:trPr>
          <w:trHeight w:val="227"/>
        </w:trPr>
        <w:tc>
          <w:tcPr>
            <w:tcW w:w="2155" w:type="dxa"/>
          </w:tcPr>
          <w:p w14:paraId="76139765" w14:textId="77777777" w:rsidR="002C6574" w:rsidRDefault="00000000">
            <w:pPr>
              <w:pStyle w:val="TableParagraph"/>
              <w:spacing w:before="57"/>
              <w:ind w:left="69"/>
              <w:jc w:val="left"/>
              <w:rPr>
                <w:rFonts w:ascii="Arial"/>
                <w:b/>
                <w:sz w:val="10"/>
              </w:rPr>
            </w:pPr>
            <w:r>
              <w:rPr>
                <w:rFonts w:ascii="Arial"/>
                <w:b/>
                <w:sz w:val="10"/>
              </w:rPr>
              <w:t>Saldo</w:t>
            </w:r>
            <w:r>
              <w:rPr>
                <w:rFonts w:ascii="Arial"/>
                <w:b/>
                <w:spacing w:val="-2"/>
                <w:sz w:val="10"/>
              </w:rPr>
              <w:t xml:space="preserve"> </w:t>
            </w:r>
            <w:r>
              <w:rPr>
                <w:rFonts w:ascii="Arial"/>
                <w:b/>
                <w:sz w:val="10"/>
              </w:rPr>
              <w:t>em</w:t>
            </w:r>
            <w:r>
              <w:rPr>
                <w:rFonts w:ascii="Arial"/>
                <w:b/>
                <w:spacing w:val="-2"/>
                <w:sz w:val="10"/>
              </w:rPr>
              <w:t xml:space="preserve"> </w:t>
            </w:r>
            <w:r>
              <w:rPr>
                <w:rFonts w:ascii="Arial"/>
                <w:b/>
                <w:sz w:val="10"/>
              </w:rPr>
              <w:t>31</w:t>
            </w:r>
            <w:r>
              <w:rPr>
                <w:rFonts w:ascii="Arial"/>
                <w:b/>
                <w:spacing w:val="-5"/>
                <w:sz w:val="10"/>
              </w:rPr>
              <w:t xml:space="preserve"> </w:t>
            </w:r>
            <w:r>
              <w:rPr>
                <w:rFonts w:ascii="Arial"/>
                <w:b/>
                <w:sz w:val="10"/>
              </w:rPr>
              <w:t>de</w:t>
            </w:r>
            <w:r>
              <w:rPr>
                <w:rFonts w:ascii="Arial"/>
                <w:b/>
                <w:spacing w:val="-5"/>
                <w:sz w:val="10"/>
              </w:rPr>
              <w:t xml:space="preserve"> </w:t>
            </w:r>
            <w:r>
              <w:rPr>
                <w:rFonts w:ascii="Arial"/>
                <w:b/>
                <w:sz w:val="10"/>
              </w:rPr>
              <w:t>dezembro</w:t>
            </w:r>
            <w:r>
              <w:rPr>
                <w:rFonts w:ascii="Arial"/>
                <w:b/>
                <w:spacing w:val="-3"/>
                <w:sz w:val="10"/>
              </w:rPr>
              <w:t xml:space="preserve"> </w:t>
            </w:r>
            <w:r>
              <w:rPr>
                <w:rFonts w:ascii="Arial"/>
                <w:b/>
                <w:sz w:val="10"/>
              </w:rPr>
              <w:t>de</w:t>
            </w:r>
            <w:r>
              <w:rPr>
                <w:rFonts w:ascii="Arial"/>
                <w:b/>
                <w:spacing w:val="-1"/>
                <w:sz w:val="10"/>
              </w:rPr>
              <w:t xml:space="preserve"> </w:t>
            </w:r>
            <w:r>
              <w:rPr>
                <w:rFonts w:ascii="Arial"/>
                <w:b/>
                <w:spacing w:val="-4"/>
                <w:sz w:val="10"/>
              </w:rPr>
              <w:t>2025</w:t>
            </w:r>
          </w:p>
        </w:tc>
        <w:tc>
          <w:tcPr>
            <w:tcW w:w="679" w:type="dxa"/>
          </w:tcPr>
          <w:p w14:paraId="68A3F44D" w14:textId="77777777" w:rsidR="002C6574" w:rsidRDefault="00000000">
            <w:pPr>
              <w:pStyle w:val="TableParagraph"/>
              <w:spacing w:before="57"/>
              <w:ind w:right="61"/>
              <w:rPr>
                <w:rFonts w:ascii="Arial"/>
                <w:b/>
                <w:sz w:val="10"/>
              </w:rPr>
            </w:pPr>
            <w:r>
              <w:rPr>
                <w:rFonts w:ascii="Arial"/>
                <w:b/>
                <w:spacing w:val="-2"/>
                <w:sz w:val="10"/>
              </w:rPr>
              <w:t>287.684</w:t>
            </w:r>
          </w:p>
        </w:tc>
        <w:tc>
          <w:tcPr>
            <w:tcW w:w="710" w:type="dxa"/>
          </w:tcPr>
          <w:p w14:paraId="74E01C7D" w14:textId="77777777" w:rsidR="002C6574" w:rsidRDefault="00000000">
            <w:pPr>
              <w:pStyle w:val="TableParagraph"/>
              <w:spacing w:before="57"/>
              <w:ind w:right="58"/>
              <w:rPr>
                <w:rFonts w:ascii="Arial"/>
                <w:b/>
                <w:sz w:val="10"/>
              </w:rPr>
            </w:pPr>
            <w:r>
              <w:rPr>
                <w:rFonts w:ascii="Arial"/>
                <w:b/>
                <w:spacing w:val="-2"/>
                <w:sz w:val="10"/>
              </w:rPr>
              <w:t>3.301</w:t>
            </w:r>
          </w:p>
        </w:tc>
        <w:tc>
          <w:tcPr>
            <w:tcW w:w="849" w:type="dxa"/>
          </w:tcPr>
          <w:p w14:paraId="54B1E48A" w14:textId="77777777" w:rsidR="002C6574" w:rsidRDefault="00000000">
            <w:pPr>
              <w:pStyle w:val="TableParagraph"/>
              <w:spacing w:before="57"/>
              <w:ind w:right="58"/>
              <w:rPr>
                <w:rFonts w:ascii="Arial"/>
                <w:b/>
                <w:sz w:val="10"/>
              </w:rPr>
            </w:pPr>
            <w:r>
              <w:rPr>
                <w:rFonts w:ascii="Arial"/>
                <w:b/>
                <w:spacing w:val="-2"/>
                <w:sz w:val="10"/>
              </w:rPr>
              <w:t>305.021</w:t>
            </w:r>
          </w:p>
        </w:tc>
        <w:tc>
          <w:tcPr>
            <w:tcW w:w="664" w:type="dxa"/>
          </w:tcPr>
          <w:p w14:paraId="47996929" w14:textId="77777777" w:rsidR="002C6574" w:rsidRDefault="00000000">
            <w:pPr>
              <w:pStyle w:val="TableParagraph"/>
              <w:spacing w:before="57"/>
              <w:ind w:right="56"/>
              <w:rPr>
                <w:rFonts w:ascii="Arial"/>
                <w:b/>
                <w:sz w:val="10"/>
              </w:rPr>
            </w:pPr>
            <w:r>
              <w:rPr>
                <w:rFonts w:ascii="Arial"/>
                <w:b/>
                <w:spacing w:val="-2"/>
                <w:sz w:val="10"/>
              </w:rPr>
              <w:t>8.243</w:t>
            </w:r>
          </w:p>
        </w:tc>
        <w:tc>
          <w:tcPr>
            <w:tcW w:w="750" w:type="dxa"/>
          </w:tcPr>
          <w:p w14:paraId="63641A5E" w14:textId="77777777" w:rsidR="002C6574" w:rsidRDefault="00000000">
            <w:pPr>
              <w:pStyle w:val="TableParagraph"/>
              <w:spacing w:before="57"/>
              <w:ind w:right="55"/>
              <w:rPr>
                <w:rFonts w:ascii="Arial"/>
                <w:b/>
                <w:sz w:val="10"/>
              </w:rPr>
            </w:pPr>
            <w:r>
              <w:rPr>
                <w:rFonts w:ascii="Arial"/>
                <w:b/>
                <w:spacing w:val="-2"/>
                <w:sz w:val="10"/>
              </w:rPr>
              <w:t>24.421</w:t>
            </w:r>
          </w:p>
        </w:tc>
        <w:tc>
          <w:tcPr>
            <w:tcW w:w="884" w:type="dxa"/>
          </w:tcPr>
          <w:p w14:paraId="12546523" w14:textId="77777777" w:rsidR="002C6574" w:rsidRDefault="00000000">
            <w:pPr>
              <w:pStyle w:val="TableParagraph"/>
              <w:spacing w:before="57"/>
              <w:ind w:right="54"/>
              <w:rPr>
                <w:rFonts w:ascii="Arial"/>
                <w:b/>
                <w:sz w:val="10"/>
              </w:rPr>
            </w:pPr>
            <w:r>
              <w:rPr>
                <w:rFonts w:ascii="Arial"/>
                <w:b/>
                <w:spacing w:val="-2"/>
                <w:sz w:val="10"/>
              </w:rPr>
              <w:t>2.917.111</w:t>
            </w:r>
          </w:p>
        </w:tc>
        <w:tc>
          <w:tcPr>
            <w:tcW w:w="831" w:type="dxa"/>
          </w:tcPr>
          <w:p w14:paraId="4AB8B326" w14:textId="77777777" w:rsidR="002C6574" w:rsidRDefault="00000000">
            <w:pPr>
              <w:pStyle w:val="TableParagraph"/>
              <w:spacing w:before="57"/>
              <w:ind w:right="49"/>
              <w:rPr>
                <w:rFonts w:ascii="Arial"/>
                <w:b/>
                <w:sz w:val="10"/>
              </w:rPr>
            </w:pPr>
            <w:r>
              <w:rPr>
                <w:rFonts w:ascii="Arial"/>
                <w:b/>
                <w:spacing w:val="-2"/>
                <w:sz w:val="10"/>
              </w:rPr>
              <w:t>1.156</w:t>
            </w:r>
          </w:p>
        </w:tc>
        <w:tc>
          <w:tcPr>
            <w:tcW w:w="692" w:type="dxa"/>
          </w:tcPr>
          <w:p w14:paraId="2ABDA4EE" w14:textId="77777777" w:rsidR="002C6574" w:rsidRDefault="00000000">
            <w:pPr>
              <w:pStyle w:val="TableParagraph"/>
              <w:spacing w:before="57"/>
              <w:ind w:right="51"/>
              <w:rPr>
                <w:rFonts w:ascii="Arial"/>
                <w:b/>
                <w:sz w:val="10"/>
              </w:rPr>
            </w:pPr>
            <w:r>
              <w:rPr>
                <w:rFonts w:ascii="Arial"/>
                <w:b/>
                <w:spacing w:val="-2"/>
                <w:sz w:val="10"/>
              </w:rPr>
              <w:t>68.569</w:t>
            </w:r>
          </w:p>
        </w:tc>
        <w:tc>
          <w:tcPr>
            <w:tcW w:w="848" w:type="dxa"/>
          </w:tcPr>
          <w:p w14:paraId="486CF60F" w14:textId="77777777" w:rsidR="002C6574" w:rsidRDefault="00000000">
            <w:pPr>
              <w:pStyle w:val="TableParagraph"/>
              <w:spacing w:before="57"/>
              <w:ind w:right="49"/>
              <w:rPr>
                <w:rFonts w:ascii="Arial"/>
                <w:b/>
                <w:sz w:val="10"/>
              </w:rPr>
            </w:pPr>
            <w:r>
              <w:rPr>
                <w:rFonts w:ascii="Arial"/>
                <w:b/>
                <w:spacing w:val="-2"/>
                <w:sz w:val="10"/>
              </w:rPr>
              <w:t>28.618</w:t>
            </w:r>
          </w:p>
        </w:tc>
        <w:tc>
          <w:tcPr>
            <w:tcW w:w="697" w:type="dxa"/>
          </w:tcPr>
          <w:p w14:paraId="17286EC0" w14:textId="77777777" w:rsidR="002C6574" w:rsidRDefault="00000000">
            <w:pPr>
              <w:pStyle w:val="TableParagraph"/>
              <w:spacing w:before="57"/>
              <w:ind w:right="45"/>
              <w:rPr>
                <w:rFonts w:ascii="Arial"/>
                <w:b/>
                <w:sz w:val="10"/>
              </w:rPr>
            </w:pPr>
            <w:r>
              <w:rPr>
                <w:rFonts w:ascii="Arial"/>
                <w:b/>
                <w:spacing w:val="-2"/>
                <w:sz w:val="10"/>
              </w:rPr>
              <w:t>3.644.124</w:t>
            </w:r>
          </w:p>
        </w:tc>
      </w:tr>
      <w:tr w:rsidR="002C6574" w14:paraId="068603F0" w14:textId="77777777">
        <w:trPr>
          <w:trHeight w:val="227"/>
        </w:trPr>
        <w:tc>
          <w:tcPr>
            <w:tcW w:w="2155" w:type="dxa"/>
          </w:tcPr>
          <w:p w14:paraId="3B86B071" w14:textId="77777777" w:rsidR="002C6574" w:rsidRDefault="00000000">
            <w:pPr>
              <w:pStyle w:val="TableParagraph"/>
              <w:spacing w:before="55"/>
              <w:ind w:left="98"/>
              <w:jc w:val="left"/>
              <w:rPr>
                <w:rFonts w:ascii="Arial" w:hAnsi="Arial"/>
                <w:b/>
                <w:sz w:val="10"/>
              </w:rPr>
            </w:pPr>
            <w:r>
              <w:rPr>
                <w:rFonts w:ascii="Arial" w:hAnsi="Arial"/>
                <w:b/>
                <w:spacing w:val="-2"/>
                <w:sz w:val="10"/>
              </w:rPr>
              <w:t>Depreciação</w:t>
            </w:r>
            <w:r>
              <w:rPr>
                <w:rFonts w:ascii="Arial" w:hAnsi="Arial"/>
                <w:b/>
                <w:spacing w:val="14"/>
                <w:sz w:val="10"/>
              </w:rPr>
              <w:t xml:space="preserve"> </w:t>
            </w:r>
            <w:r>
              <w:rPr>
                <w:rFonts w:ascii="Arial" w:hAnsi="Arial"/>
                <w:b/>
                <w:spacing w:val="-2"/>
                <w:sz w:val="10"/>
              </w:rPr>
              <w:t>Acumulada</w:t>
            </w:r>
          </w:p>
        </w:tc>
        <w:tc>
          <w:tcPr>
            <w:tcW w:w="679" w:type="dxa"/>
          </w:tcPr>
          <w:p w14:paraId="392BA8EE" w14:textId="77777777" w:rsidR="002C6574" w:rsidRDefault="002C6574">
            <w:pPr>
              <w:pStyle w:val="TableParagraph"/>
              <w:jc w:val="left"/>
              <w:rPr>
                <w:rFonts w:ascii="Times New Roman"/>
                <w:sz w:val="14"/>
              </w:rPr>
            </w:pPr>
          </w:p>
        </w:tc>
        <w:tc>
          <w:tcPr>
            <w:tcW w:w="710" w:type="dxa"/>
          </w:tcPr>
          <w:p w14:paraId="5AFC900C" w14:textId="77777777" w:rsidR="002C6574" w:rsidRDefault="002C6574">
            <w:pPr>
              <w:pStyle w:val="TableParagraph"/>
              <w:jc w:val="left"/>
              <w:rPr>
                <w:rFonts w:ascii="Times New Roman"/>
                <w:sz w:val="14"/>
              </w:rPr>
            </w:pPr>
          </w:p>
        </w:tc>
        <w:tc>
          <w:tcPr>
            <w:tcW w:w="849" w:type="dxa"/>
          </w:tcPr>
          <w:p w14:paraId="262EF12E" w14:textId="77777777" w:rsidR="002C6574" w:rsidRDefault="002C6574">
            <w:pPr>
              <w:pStyle w:val="TableParagraph"/>
              <w:jc w:val="left"/>
              <w:rPr>
                <w:rFonts w:ascii="Times New Roman"/>
                <w:sz w:val="14"/>
              </w:rPr>
            </w:pPr>
          </w:p>
        </w:tc>
        <w:tc>
          <w:tcPr>
            <w:tcW w:w="664" w:type="dxa"/>
          </w:tcPr>
          <w:p w14:paraId="71E73CDC" w14:textId="77777777" w:rsidR="002C6574" w:rsidRDefault="002C6574">
            <w:pPr>
              <w:pStyle w:val="TableParagraph"/>
              <w:jc w:val="left"/>
              <w:rPr>
                <w:rFonts w:ascii="Times New Roman"/>
                <w:sz w:val="14"/>
              </w:rPr>
            </w:pPr>
          </w:p>
        </w:tc>
        <w:tc>
          <w:tcPr>
            <w:tcW w:w="750" w:type="dxa"/>
          </w:tcPr>
          <w:p w14:paraId="4F16CB3E" w14:textId="77777777" w:rsidR="002C6574" w:rsidRDefault="002C6574">
            <w:pPr>
              <w:pStyle w:val="TableParagraph"/>
              <w:jc w:val="left"/>
              <w:rPr>
                <w:rFonts w:ascii="Times New Roman"/>
                <w:sz w:val="14"/>
              </w:rPr>
            </w:pPr>
          </w:p>
        </w:tc>
        <w:tc>
          <w:tcPr>
            <w:tcW w:w="884" w:type="dxa"/>
          </w:tcPr>
          <w:p w14:paraId="387FE529" w14:textId="77777777" w:rsidR="002C6574" w:rsidRDefault="002C6574">
            <w:pPr>
              <w:pStyle w:val="TableParagraph"/>
              <w:jc w:val="left"/>
              <w:rPr>
                <w:rFonts w:ascii="Times New Roman"/>
                <w:sz w:val="14"/>
              </w:rPr>
            </w:pPr>
          </w:p>
        </w:tc>
        <w:tc>
          <w:tcPr>
            <w:tcW w:w="831" w:type="dxa"/>
          </w:tcPr>
          <w:p w14:paraId="1D87355B" w14:textId="77777777" w:rsidR="002C6574" w:rsidRDefault="002C6574">
            <w:pPr>
              <w:pStyle w:val="TableParagraph"/>
              <w:jc w:val="left"/>
              <w:rPr>
                <w:rFonts w:ascii="Times New Roman"/>
                <w:sz w:val="14"/>
              </w:rPr>
            </w:pPr>
          </w:p>
        </w:tc>
        <w:tc>
          <w:tcPr>
            <w:tcW w:w="692" w:type="dxa"/>
          </w:tcPr>
          <w:p w14:paraId="6716A744" w14:textId="77777777" w:rsidR="002C6574" w:rsidRDefault="002C6574">
            <w:pPr>
              <w:pStyle w:val="TableParagraph"/>
              <w:jc w:val="left"/>
              <w:rPr>
                <w:rFonts w:ascii="Times New Roman"/>
                <w:sz w:val="14"/>
              </w:rPr>
            </w:pPr>
          </w:p>
        </w:tc>
        <w:tc>
          <w:tcPr>
            <w:tcW w:w="848" w:type="dxa"/>
          </w:tcPr>
          <w:p w14:paraId="6B1BD948" w14:textId="77777777" w:rsidR="002C6574" w:rsidRDefault="002C6574">
            <w:pPr>
              <w:pStyle w:val="TableParagraph"/>
              <w:jc w:val="left"/>
              <w:rPr>
                <w:rFonts w:ascii="Times New Roman"/>
                <w:sz w:val="14"/>
              </w:rPr>
            </w:pPr>
          </w:p>
        </w:tc>
        <w:tc>
          <w:tcPr>
            <w:tcW w:w="697" w:type="dxa"/>
          </w:tcPr>
          <w:p w14:paraId="266B897B" w14:textId="77777777" w:rsidR="002C6574" w:rsidRDefault="002C6574">
            <w:pPr>
              <w:pStyle w:val="TableParagraph"/>
              <w:jc w:val="left"/>
              <w:rPr>
                <w:rFonts w:ascii="Times New Roman"/>
                <w:sz w:val="14"/>
              </w:rPr>
            </w:pPr>
          </w:p>
        </w:tc>
      </w:tr>
      <w:tr w:rsidR="002C6574" w14:paraId="5355CB05" w14:textId="77777777">
        <w:trPr>
          <w:trHeight w:val="230"/>
        </w:trPr>
        <w:tc>
          <w:tcPr>
            <w:tcW w:w="2155" w:type="dxa"/>
          </w:tcPr>
          <w:p w14:paraId="5E51AFE7" w14:textId="77777777" w:rsidR="002C6574" w:rsidRDefault="00000000">
            <w:pPr>
              <w:pStyle w:val="TableParagraph"/>
              <w:spacing w:before="57"/>
              <w:ind w:left="69"/>
              <w:jc w:val="left"/>
              <w:rPr>
                <w:rFonts w:ascii="Arial"/>
                <w:b/>
                <w:sz w:val="10"/>
              </w:rPr>
            </w:pPr>
            <w:r>
              <w:rPr>
                <w:rFonts w:ascii="Arial"/>
                <w:b/>
                <w:sz w:val="10"/>
              </w:rPr>
              <w:t>Saldo</w:t>
            </w:r>
            <w:r>
              <w:rPr>
                <w:rFonts w:ascii="Arial"/>
                <w:b/>
                <w:spacing w:val="-2"/>
                <w:sz w:val="10"/>
              </w:rPr>
              <w:t xml:space="preserve"> </w:t>
            </w:r>
            <w:r>
              <w:rPr>
                <w:rFonts w:ascii="Arial"/>
                <w:b/>
                <w:sz w:val="10"/>
              </w:rPr>
              <w:t>em</w:t>
            </w:r>
            <w:r>
              <w:rPr>
                <w:rFonts w:ascii="Arial"/>
                <w:b/>
                <w:spacing w:val="-2"/>
                <w:sz w:val="10"/>
              </w:rPr>
              <w:t xml:space="preserve"> </w:t>
            </w:r>
            <w:r>
              <w:rPr>
                <w:rFonts w:ascii="Arial"/>
                <w:b/>
                <w:sz w:val="10"/>
              </w:rPr>
              <w:t>31</w:t>
            </w:r>
            <w:r>
              <w:rPr>
                <w:rFonts w:ascii="Arial"/>
                <w:b/>
                <w:spacing w:val="-5"/>
                <w:sz w:val="10"/>
              </w:rPr>
              <w:t xml:space="preserve"> </w:t>
            </w:r>
            <w:r>
              <w:rPr>
                <w:rFonts w:ascii="Arial"/>
                <w:b/>
                <w:sz w:val="10"/>
              </w:rPr>
              <w:t>de</w:t>
            </w:r>
            <w:r>
              <w:rPr>
                <w:rFonts w:ascii="Arial"/>
                <w:b/>
                <w:spacing w:val="-5"/>
                <w:sz w:val="10"/>
              </w:rPr>
              <w:t xml:space="preserve"> </w:t>
            </w:r>
            <w:r>
              <w:rPr>
                <w:rFonts w:ascii="Arial"/>
                <w:b/>
                <w:sz w:val="10"/>
              </w:rPr>
              <w:t>dezembro</w:t>
            </w:r>
            <w:r>
              <w:rPr>
                <w:rFonts w:ascii="Arial"/>
                <w:b/>
                <w:spacing w:val="-3"/>
                <w:sz w:val="10"/>
              </w:rPr>
              <w:t xml:space="preserve"> </w:t>
            </w:r>
            <w:r>
              <w:rPr>
                <w:rFonts w:ascii="Arial"/>
                <w:b/>
                <w:sz w:val="10"/>
              </w:rPr>
              <w:t>de</w:t>
            </w:r>
            <w:r>
              <w:rPr>
                <w:rFonts w:ascii="Arial"/>
                <w:b/>
                <w:spacing w:val="-1"/>
                <w:sz w:val="10"/>
              </w:rPr>
              <w:t xml:space="preserve"> </w:t>
            </w:r>
            <w:r>
              <w:rPr>
                <w:rFonts w:ascii="Arial"/>
                <w:b/>
                <w:spacing w:val="-4"/>
                <w:sz w:val="10"/>
              </w:rPr>
              <w:t>2024</w:t>
            </w:r>
          </w:p>
        </w:tc>
        <w:tc>
          <w:tcPr>
            <w:tcW w:w="679" w:type="dxa"/>
          </w:tcPr>
          <w:p w14:paraId="7ED62714" w14:textId="77777777" w:rsidR="002C6574" w:rsidRDefault="00000000">
            <w:pPr>
              <w:pStyle w:val="TableParagraph"/>
              <w:spacing w:before="57"/>
              <w:ind w:right="59"/>
              <w:rPr>
                <w:rFonts w:ascii="Arial"/>
                <w:b/>
                <w:sz w:val="10"/>
              </w:rPr>
            </w:pPr>
            <w:r>
              <w:rPr>
                <w:rFonts w:ascii="Arial"/>
                <w:b/>
                <w:spacing w:val="-2"/>
                <w:sz w:val="10"/>
              </w:rPr>
              <w:t>(124.172)</w:t>
            </w:r>
          </w:p>
        </w:tc>
        <w:tc>
          <w:tcPr>
            <w:tcW w:w="710" w:type="dxa"/>
          </w:tcPr>
          <w:p w14:paraId="78A61543" w14:textId="77777777" w:rsidR="002C6574" w:rsidRDefault="00000000">
            <w:pPr>
              <w:pStyle w:val="TableParagraph"/>
              <w:spacing w:before="57"/>
              <w:ind w:right="59"/>
              <w:rPr>
                <w:rFonts w:ascii="Arial"/>
                <w:b/>
                <w:sz w:val="10"/>
              </w:rPr>
            </w:pPr>
            <w:r>
              <w:rPr>
                <w:rFonts w:ascii="Arial"/>
                <w:b/>
                <w:spacing w:val="-2"/>
                <w:sz w:val="10"/>
              </w:rPr>
              <w:t>(2.658)</w:t>
            </w:r>
          </w:p>
        </w:tc>
        <w:tc>
          <w:tcPr>
            <w:tcW w:w="849" w:type="dxa"/>
          </w:tcPr>
          <w:p w14:paraId="168A93DE" w14:textId="77777777" w:rsidR="002C6574" w:rsidRDefault="00000000">
            <w:pPr>
              <w:pStyle w:val="TableParagraph"/>
              <w:spacing w:before="57"/>
              <w:ind w:right="56"/>
              <w:rPr>
                <w:rFonts w:ascii="Arial"/>
                <w:b/>
                <w:sz w:val="10"/>
              </w:rPr>
            </w:pPr>
            <w:r>
              <w:rPr>
                <w:rFonts w:ascii="Arial"/>
                <w:b/>
                <w:spacing w:val="-2"/>
                <w:sz w:val="10"/>
              </w:rPr>
              <w:t>(138.437)</w:t>
            </w:r>
          </w:p>
        </w:tc>
        <w:tc>
          <w:tcPr>
            <w:tcW w:w="664" w:type="dxa"/>
          </w:tcPr>
          <w:p w14:paraId="5D576E1C" w14:textId="77777777" w:rsidR="002C6574" w:rsidRDefault="00000000">
            <w:pPr>
              <w:pStyle w:val="TableParagraph"/>
              <w:spacing w:before="57"/>
              <w:ind w:right="58"/>
              <w:rPr>
                <w:rFonts w:ascii="Arial"/>
                <w:b/>
                <w:sz w:val="10"/>
              </w:rPr>
            </w:pPr>
            <w:r>
              <w:rPr>
                <w:rFonts w:ascii="Arial"/>
                <w:b/>
                <w:spacing w:val="-2"/>
                <w:sz w:val="10"/>
              </w:rPr>
              <w:t>(3.931)</w:t>
            </w:r>
          </w:p>
        </w:tc>
        <w:tc>
          <w:tcPr>
            <w:tcW w:w="750" w:type="dxa"/>
          </w:tcPr>
          <w:p w14:paraId="7E28066E" w14:textId="77777777" w:rsidR="002C6574" w:rsidRDefault="00000000">
            <w:pPr>
              <w:pStyle w:val="TableParagraph"/>
              <w:spacing w:before="57"/>
              <w:ind w:right="57"/>
              <w:rPr>
                <w:rFonts w:ascii="Arial"/>
                <w:b/>
                <w:sz w:val="10"/>
              </w:rPr>
            </w:pPr>
            <w:r>
              <w:rPr>
                <w:rFonts w:ascii="Arial"/>
                <w:b/>
                <w:spacing w:val="-2"/>
                <w:sz w:val="10"/>
              </w:rPr>
              <w:t>(17.990)</w:t>
            </w:r>
          </w:p>
        </w:tc>
        <w:tc>
          <w:tcPr>
            <w:tcW w:w="884" w:type="dxa"/>
          </w:tcPr>
          <w:p w14:paraId="608B9721" w14:textId="77777777" w:rsidR="002C6574" w:rsidRDefault="00000000">
            <w:pPr>
              <w:pStyle w:val="TableParagraph"/>
              <w:spacing w:before="57"/>
              <w:ind w:right="55"/>
              <w:rPr>
                <w:rFonts w:ascii="Arial"/>
                <w:b/>
                <w:sz w:val="10"/>
              </w:rPr>
            </w:pPr>
            <w:r>
              <w:rPr>
                <w:rFonts w:ascii="Arial"/>
                <w:b/>
                <w:spacing w:val="-2"/>
                <w:sz w:val="10"/>
              </w:rPr>
              <w:t>(1.350.860)</w:t>
            </w:r>
          </w:p>
        </w:tc>
        <w:tc>
          <w:tcPr>
            <w:tcW w:w="831" w:type="dxa"/>
          </w:tcPr>
          <w:p w14:paraId="6631BFDA" w14:textId="77777777" w:rsidR="002C6574" w:rsidRDefault="00000000">
            <w:pPr>
              <w:pStyle w:val="TableParagraph"/>
              <w:spacing w:before="57"/>
              <w:ind w:right="51"/>
              <w:rPr>
                <w:rFonts w:ascii="Arial"/>
                <w:b/>
                <w:sz w:val="10"/>
              </w:rPr>
            </w:pPr>
            <w:r>
              <w:rPr>
                <w:rFonts w:ascii="Arial"/>
                <w:b/>
                <w:spacing w:val="-2"/>
                <w:sz w:val="10"/>
              </w:rPr>
              <w:t>(1.156)</w:t>
            </w:r>
          </w:p>
        </w:tc>
        <w:tc>
          <w:tcPr>
            <w:tcW w:w="692" w:type="dxa"/>
          </w:tcPr>
          <w:p w14:paraId="1D99F97F" w14:textId="77777777" w:rsidR="002C6574" w:rsidRDefault="00000000">
            <w:pPr>
              <w:pStyle w:val="TableParagraph"/>
              <w:spacing w:before="57"/>
              <w:ind w:right="52"/>
              <w:rPr>
                <w:rFonts w:ascii="Arial"/>
                <w:b/>
                <w:sz w:val="10"/>
              </w:rPr>
            </w:pPr>
            <w:r>
              <w:rPr>
                <w:rFonts w:ascii="Arial"/>
                <w:b/>
                <w:spacing w:val="-2"/>
                <w:sz w:val="10"/>
              </w:rPr>
              <w:t>(43.299)</w:t>
            </w:r>
          </w:p>
        </w:tc>
        <w:tc>
          <w:tcPr>
            <w:tcW w:w="848" w:type="dxa"/>
          </w:tcPr>
          <w:p w14:paraId="370534CF" w14:textId="77777777" w:rsidR="002C6574" w:rsidRDefault="00000000">
            <w:pPr>
              <w:pStyle w:val="TableParagraph"/>
              <w:spacing w:before="115" w:line="95" w:lineRule="exact"/>
              <w:ind w:right="50"/>
              <w:rPr>
                <w:rFonts w:ascii="Arial"/>
                <w:b/>
                <w:sz w:val="10"/>
              </w:rPr>
            </w:pPr>
            <w:r>
              <w:rPr>
                <w:rFonts w:ascii="Arial"/>
                <w:b/>
                <w:spacing w:val="-10"/>
                <w:sz w:val="10"/>
              </w:rPr>
              <w:t>-</w:t>
            </w:r>
          </w:p>
        </w:tc>
        <w:tc>
          <w:tcPr>
            <w:tcW w:w="697" w:type="dxa"/>
          </w:tcPr>
          <w:p w14:paraId="5DC7C177" w14:textId="77777777" w:rsidR="002C6574" w:rsidRDefault="00000000">
            <w:pPr>
              <w:pStyle w:val="TableParagraph"/>
              <w:spacing w:before="57"/>
              <w:ind w:right="46"/>
              <w:rPr>
                <w:rFonts w:ascii="Arial"/>
                <w:b/>
                <w:sz w:val="10"/>
              </w:rPr>
            </w:pPr>
            <w:r>
              <w:rPr>
                <w:rFonts w:ascii="Arial"/>
                <w:b/>
                <w:spacing w:val="-2"/>
                <w:sz w:val="10"/>
              </w:rPr>
              <w:t>(1.682.503)</w:t>
            </w:r>
          </w:p>
        </w:tc>
      </w:tr>
      <w:tr w:rsidR="002C6574" w14:paraId="3CDFE07E" w14:textId="77777777">
        <w:trPr>
          <w:trHeight w:val="230"/>
        </w:trPr>
        <w:tc>
          <w:tcPr>
            <w:tcW w:w="2155" w:type="dxa"/>
          </w:tcPr>
          <w:p w14:paraId="1D5A6206" w14:textId="77777777" w:rsidR="002C6574" w:rsidRDefault="00000000">
            <w:pPr>
              <w:pStyle w:val="TableParagraph"/>
              <w:spacing w:before="43"/>
              <w:ind w:left="69"/>
              <w:jc w:val="left"/>
              <w:rPr>
                <w:sz w:val="10"/>
              </w:rPr>
            </w:pPr>
            <w:r>
              <w:rPr>
                <w:w w:val="105"/>
                <w:sz w:val="10"/>
              </w:rPr>
              <w:t>Depreciação</w:t>
            </w:r>
            <w:r>
              <w:rPr>
                <w:spacing w:val="4"/>
                <w:w w:val="105"/>
                <w:sz w:val="10"/>
              </w:rPr>
              <w:t xml:space="preserve"> </w:t>
            </w:r>
            <w:r>
              <w:rPr>
                <w:w w:val="105"/>
                <w:sz w:val="10"/>
              </w:rPr>
              <w:t>CPC</w:t>
            </w:r>
            <w:r>
              <w:rPr>
                <w:spacing w:val="4"/>
                <w:w w:val="105"/>
                <w:sz w:val="10"/>
              </w:rPr>
              <w:t xml:space="preserve"> </w:t>
            </w:r>
            <w:r>
              <w:rPr>
                <w:w w:val="105"/>
                <w:sz w:val="10"/>
              </w:rPr>
              <w:t>6</w:t>
            </w:r>
            <w:r>
              <w:rPr>
                <w:spacing w:val="5"/>
                <w:w w:val="105"/>
                <w:sz w:val="10"/>
              </w:rPr>
              <w:t xml:space="preserve"> </w:t>
            </w:r>
            <w:r>
              <w:rPr>
                <w:w w:val="105"/>
                <w:sz w:val="10"/>
              </w:rPr>
              <w:t>(R2)</w:t>
            </w:r>
            <w:r>
              <w:rPr>
                <w:spacing w:val="5"/>
                <w:w w:val="105"/>
                <w:sz w:val="10"/>
              </w:rPr>
              <w:t xml:space="preserve"> </w:t>
            </w:r>
            <w:r>
              <w:rPr>
                <w:sz w:val="10"/>
              </w:rPr>
              <w:t>/</w:t>
            </w:r>
            <w:r>
              <w:rPr>
                <w:spacing w:val="3"/>
                <w:w w:val="105"/>
                <w:sz w:val="10"/>
              </w:rPr>
              <w:t xml:space="preserve"> </w:t>
            </w:r>
            <w:r>
              <w:rPr>
                <w:w w:val="105"/>
                <w:sz w:val="10"/>
              </w:rPr>
              <w:t>IFRS</w:t>
            </w:r>
            <w:r>
              <w:rPr>
                <w:spacing w:val="1"/>
                <w:w w:val="105"/>
                <w:sz w:val="10"/>
              </w:rPr>
              <w:t xml:space="preserve"> </w:t>
            </w:r>
            <w:r>
              <w:rPr>
                <w:spacing w:val="-5"/>
                <w:w w:val="105"/>
                <w:sz w:val="10"/>
              </w:rPr>
              <w:t>16</w:t>
            </w:r>
          </w:p>
        </w:tc>
        <w:tc>
          <w:tcPr>
            <w:tcW w:w="679" w:type="dxa"/>
          </w:tcPr>
          <w:p w14:paraId="2F6F468A" w14:textId="77777777" w:rsidR="002C6574" w:rsidRDefault="00000000">
            <w:pPr>
              <w:pStyle w:val="TableParagraph"/>
              <w:spacing w:before="100" w:line="109" w:lineRule="exact"/>
              <w:ind w:right="59"/>
              <w:rPr>
                <w:sz w:val="10"/>
              </w:rPr>
            </w:pPr>
            <w:r>
              <w:rPr>
                <w:spacing w:val="-10"/>
                <w:w w:val="95"/>
                <w:sz w:val="10"/>
              </w:rPr>
              <w:t>-</w:t>
            </w:r>
          </w:p>
        </w:tc>
        <w:tc>
          <w:tcPr>
            <w:tcW w:w="710" w:type="dxa"/>
          </w:tcPr>
          <w:p w14:paraId="5AF1E51D" w14:textId="77777777" w:rsidR="002C6574" w:rsidRDefault="00000000">
            <w:pPr>
              <w:pStyle w:val="TableParagraph"/>
              <w:spacing w:before="100" w:line="109" w:lineRule="exact"/>
              <w:ind w:right="59"/>
              <w:rPr>
                <w:sz w:val="10"/>
              </w:rPr>
            </w:pPr>
            <w:r>
              <w:rPr>
                <w:spacing w:val="-10"/>
                <w:w w:val="95"/>
                <w:sz w:val="10"/>
              </w:rPr>
              <w:t>-</w:t>
            </w:r>
          </w:p>
        </w:tc>
        <w:tc>
          <w:tcPr>
            <w:tcW w:w="849" w:type="dxa"/>
          </w:tcPr>
          <w:p w14:paraId="0CEF603B" w14:textId="77777777" w:rsidR="002C6574" w:rsidRDefault="00000000">
            <w:pPr>
              <w:pStyle w:val="TableParagraph"/>
              <w:spacing w:before="100" w:line="109" w:lineRule="exact"/>
              <w:ind w:right="56"/>
              <w:rPr>
                <w:sz w:val="10"/>
              </w:rPr>
            </w:pPr>
            <w:r>
              <w:rPr>
                <w:spacing w:val="-10"/>
                <w:w w:val="95"/>
                <w:sz w:val="10"/>
              </w:rPr>
              <w:t>-</w:t>
            </w:r>
          </w:p>
        </w:tc>
        <w:tc>
          <w:tcPr>
            <w:tcW w:w="664" w:type="dxa"/>
          </w:tcPr>
          <w:p w14:paraId="564B70FA" w14:textId="77777777" w:rsidR="002C6574" w:rsidRDefault="00000000">
            <w:pPr>
              <w:pStyle w:val="TableParagraph"/>
              <w:spacing w:before="100" w:line="109" w:lineRule="exact"/>
              <w:ind w:right="58"/>
              <w:rPr>
                <w:sz w:val="10"/>
              </w:rPr>
            </w:pPr>
            <w:r>
              <w:rPr>
                <w:spacing w:val="-10"/>
                <w:w w:val="95"/>
                <w:sz w:val="10"/>
              </w:rPr>
              <w:t>-</w:t>
            </w:r>
          </w:p>
        </w:tc>
        <w:tc>
          <w:tcPr>
            <w:tcW w:w="750" w:type="dxa"/>
          </w:tcPr>
          <w:p w14:paraId="273A13D8" w14:textId="77777777" w:rsidR="002C6574" w:rsidRDefault="00000000">
            <w:pPr>
              <w:pStyle w:val="TableParagraph"/>
              <w:spacing w:before="100" w:line="109" w:lineRule="exact"/>
              <w:ind w:right="56"/>
              <w:rPr>
                <w:sz w:val="10"/>
              </w:rPr>
            </w:pPr>
            <w:r>
              <w:rPr>
                <w:spacing w:val="-10"/>
                <w:w w:val="95"/>
                <w:sz w:val="10"/>
              </w:rPr>
              <w:t>-</w:t>
            </w:r>
          </w:p>
        </w:tc>
        <w:tc>
          <w:tcPr>
            <w:tcW w:w="884" w:type="dxa"/>
          </w:tcPr>
          <w:p w14:paraId="7A1803F5" w14:textId="77777777" w:rsidR="002C6574" w:rsidRDefault="00000000">
            <w:pPr>
              <w:pStyle w:val="TableParagraph"/>
              <w:spacing w:before="100" w:line="109" w:lineRule="exact"/>
              <w:ind w:right="55"/>
              <w:rPr>
                <w:sz w:val="10"/>
              </w:rPr>
            </w:pPr>
            <w:r>
              <w:rPr>
                <w:spacing w:val="-10"/>
                <w:w w:val="95"/>
                <w:sz w:val="10"/>
              </w:rPr>
              <w:t>-</w:t>
            </w:r>
          </w:p>
        </w:tc>
        <w:tc>
          <w:tcPr>
            <w:tcW w:w="831" w:type="dxa"/>
          </w:tcPr>
          <w:p w14:paraId="065CBA94" w14:textId="77777777" w:rsidR="002C6574" w:rsidRDefault="00000000">
            <w:pPr>
              <w:pStyle w:val="TableParagraph"/>
              <w:spacing w:before="100" w:line="109" w:lineRule="exact"/>
              <w:ind w:right="51"/>
              <w:rPr>
                <w:sz w:val="10"/>
              </w:rPr>
            </w:pPr>
            <w:r>
              <w:rPr>
                <w:spacing w:val="-10"/>
                <w:w w:val="95"/>
                <w:sz w:val="10"/>
              </w:rPr>
              <w:t>-</w:t>
            </w:r>
          </w:p>
        </w:tc>
        <w:tc>
          <w:tcPr>
            <w:tcW w:w="692" w:type="dxa"/>
          </w:tcPr>
          <w:p w14:paraId="2E6E7AE3" w14:textId="77777777" w:rsidR="002C6574" w:rsidRDefault="00000000">
            <w:pPr>
              <w:pStyle w:val="TableParagraph"/>
              <w:spacing w:before="43"/>
              <w:ind w:right="51"/>
              <w:rPr>
                <w:sz w:val="10"/>
              </w:rPr>
            </w:pPr>
            <w:r>
              <w:rPr>
                <w:spacing w:val="-2"/>
                <w:w w:val="110"/>
                <w:sz w:val="10"/>
              </w:rPr>
              <w:t>(5.980)</w:t>
            </w:r>
          </w:p>
        </w:tc>
        <w:tc>
          <w:tcPr>
            <w:tcW w:w="848" w:type="dxa"/>
          </w:tcPr>
          <w:p w14:paraId="5F6D1601" w14:textId="77777777" w:rsidR="002C6574" w:rsidRDefault="00000000">
            <w:pPr>
              <w:pStyle w:val="TableParagraph"/>
              <w:spacing w:before="100" w:line="109" w:lineRule="exact"/>
              <w:ind w:right="50"/>
              <w:rPr>
                <w:sz w:val="10"/>
              </w:rPr>
            </w:pPr>
            <w:r>
              <w:rPr>
                <w:spacing w:val="-10"/>
                <w:w w:val="95"/>
                <w:sz w:val="10"/>
              </w:rPr>
              <w:t>-</w:t>
            </w:r>
          </w:p>
        </w:tc>
        <w:tc>
          <w:tcPr>
            <w:tcW w:w="697" w:type="dxa"/>
          </w:tcPr>
          <w:p w14:paraId="76F1FF66" w14:textId="77777777" w:rsidR="002C6574" w:rsidRDefault="00000000">
            <w:pPr>
              <w:pStyle w:val="TableParagraph"/>
              <w:spacing w:before="43"/>
              <w:ind w:right="46"/>
              <w:rPr>
                <w:sz w:val="10"/>
              </w:rPr>
            </w:pPr>
            <w:r>
              <w:rPr>
                <w:spacing w:val="-2"/>
                <w:w w:val="110"/>
                <w:sz w:val="10"/>
              </w:rPr>
              <w:t>(5.980)</w:t>
            </w:r>
          </w:p>
        </w:tc>
      </w:tr>
      <w:tr w:rsidR="002C6574" w14:paraId="0A106490" w14:textId="77777777">
        <w:trPr>
          <w:trHeight w:val="230"/>
        </w:trPr>
        <w:tc>
          <w:tcPr>
            <w:tcW w:w="2155" w:type="dxa"/>
          </w:tcPr>
          <w:p w14:paraId="73B42619" w14:textId="77777777" w:rsidR="002C6574" w:rsidRDefault="00000000">
            <w:pPr>
              <w:pStyle w:val="TableParagraph"/>
              <w:spacing w:before="43"/>
              <w:ind w:left="69"/>
              <w:jc w:val="left"/>
              <w:rPr>
                <w:sz w:val="10"/>
              </w:rPr>
            </w:pPr>
            <w:r>
              <w:rPr>
                <w:spacing w:val="-2"/>
                <w:w w:val="105"/>
                <w:sz w:val="10"/>
              </w:rPr>
              <w:t>Depreciação</w:t>
            </w:r>
            <w:r>
              <w:rPr>
                <w:spacing w:val="2"/>
                <w:w w:val="105"/>
                <w:sz w:val="10"/>
              </w:rPr>
              <w:t xml:space="preserve"> </w:t>
            </w:r>
            <w:r>
              <w:rPr>
                <w:spacing w:val="-2"/>
                <w:w w:val="105"/>
                <w:sz w:val="10"/>
              </w:rPr>
              <w:t>e</w:t>
            </w:r>
            <w:r>
              <w:rPr>
                <w:spacing w:val="2"/>
                <w:w w:val="105"/>
                <w:sz w:val="10"/>
              </w:rPr>
              <w:t xml:space="preserve"> </w:t>
            </w:r>
            <w:r>
              <w:rPr>
                <w:spacing w:val="-2"/>
                <w:w w:val="105"/>
                <w:sz w:val="10"/>
              </w:rPr>
              <w:t>Amortização</w:t>
            </w:r>
          </w:p>
        </w:tc>
        <w:tc>
          <w:tcPr>
            <w:tcW w:w="679" w:type="dxa"/>
          </w:tcPr>
          <w:p w14:paraId="6126959A" w14:textId="77777777" w:rsidR="002C6574" w:rsidRDefault="00000000">
            <w:pPr>
              <w:pStyle w:val="TableParagraph"/>
              <w:spacing w:before="43"/>
              <w:ind w:right="59"/>
              <w:rPr>
                <w:sz w:val="10"/>
              </w:rPr>
            </w:pPr>
            <w:r>
              <w:rPr>
                <w:spacing w:val="-2"/>
                <w:w w:val="110"/>
                <w:sz w:val="10"/>
              </w:rPr>
              <w:t>(16.442)</w:t>
            </w:r>
          </w:p>
        </w:tc>
        <w:tc>
          <w:tcPr>
            <w:tcW w:w="710" w:type="dxa"/>
          </w:tcPr>
          <w:p w14:paraId="20460CFD" w14:textId="77777777" w:rsidR="002C6574" w:rsidRDefault="00000000">
            <w:pPr>
              <w:pStyle w:val="TableParagraph"/>
              <w:spacing w:before="43"/>
              <w:ind w:right="59"/>
              <w:rPr>
                <w:sz w:val="10"/>
              </w:rPr>
            </w:pPr>
            <w:r>
              <w:rPr>
                <w:spacing w:val="-2"/>
                <w:w w:val="105"/>
                <w:sz w:val="10"/>
              </w:rPr>
              <w:t>(123)</w:t>
            </w:r>
          </w:p>
        </w:tc>
        <w:tc>
          <w:tcPr>
            <w:tcW w:w="849" w:type="dxa"/>
          </w:tcPr>
          <w:p w14:paraId="3A6D09CC" w14:textId="77777777" w:rsidR="002C6574" w:rsidRDefault="00000000">
            <w:pPr>
              <w:pStyle w:val="TableParagraph"/>
              <w:spacing w:before="43"/>
              <w:ind w:right="56"/>
              <w:rPr>
                <w:sz w:val="10"/>
              </w:rPr>
            </w:pPr>
            <w:r>
              <w:rPr>
                <w:spacing w:val="-2"/>
                <w:w w:val="110"/>
                <w:sz w:val="10"/>
              </w:rPr>
              <w:t>(24.904)</w:t>
            </w:r>
          </w:p>
        </w:tc>
        <w:tc>
          <w:tcPr>
            <w:tcW w:w="664" w:type="dxa"/>
          </w:tcPr>
          <w:p w14:paraId="041DA051" w14:textId="77777777" w:rsidR="002C6574" w:rsidRDefault="00000000">
            <w:pPr>
              <w:pStyle w:val="TableParagraph"/>
              <w:spacing w:before="43"/>
              <w:ind w:right="57"/>
              <w:rPr>
                <w:sz w:val="10"/>
              </w:rPr>
            </w:pPr>
            <w:r>
              <w:rPr>
                <w:spacing w:val="-2"/>
                <w:w w:val="105"/>
                <w:sz w:val="10"/>
              </w:rPr>
              <w:t>(988)</w:t>
            </w:r>
          </w:p>
        </w:tc>
        <w:tc>
          <w:tcPr>
            <w:tcW w:w="750" w:type="dxa"/>
          </w:tcPr>
          <w:p w14:paraId="7F9C08A8" w14:textId="77777777" w:rsidR="002C6574" w:rsidRDefault="00000000">
            <w:pPr>
              <w:pStyle w:val="TableParagraph"/>
              <w:spacing w:before="43"/>
              <w:ind w:right="56"/>
              <w:rPr>
                <w:sz w:val="10"/>
              </w:rPr>
            </w:pPr>
            <w:r>
              <w:rPr>
                <w:spacing w:val="-2"/>
                <w:w w:val="110"/>
                <w:sz w:val="10"/>
              </w:rPr>
              <w:t>(1.952)</w:t>
            </w:r>
          </w:p>
        </w:tc>
        <w:tc>
          <w:tcPr>
            <w:tcW w:w="884" w:type="dxa"/>
          </w:tcPr>
          <w:p w14:paraId="20050EF1" w14:textId="77777777" w:rsidR="002C6574" w:rsidRDefault="00000000">
            <w:pPr>
              <w:pStyle w:val="TableParagraph"/>
              <w:spacing w:before="43"/>
              <w:ind w:right="55"/>
              <w:rPr>
                <w:sz w:val="10"/>
              </w:rPr>
            </w:pPr>
            <w:r>
              <w:rPr>
                <w:spacing w:val="-2"/>
                <w:w w:val="110"/>
                <w:sz w:val="10"/>
              </w:rPr>
              <w:t>(213.733)</w:t>
            </w:r>
          </w:p>
        </w:tc>
        <w:tc>
          <w:tcPr>
            <w:tcW w:w="831" w:type="dxa"/>
          </w:tcPr>
          <w:p w14:paraId="7D1AFB67" w14:textId="77777777" w:rsidR="002C6574" w:rsidRDefault="00000000">
            <w:pPr>
              <w:pStyle w:val="TableParagraph"/>
              <w:spacing w:before="100" w:line="109" w:lineRule="exact"/>
              <w:ind w:right="51"/>
              <w:rPr>
                <w:sz w:val="10"/>
              </w:rPr>
            </w:pPr>
            <w:r>
              <w:rPr>
                <w:spacing w:val="-10"/>
                <w:w w:val="95"/>
                <w:sz w:val="10"/>
              </w:rPr>
              <w:t>-</w:t>
            </w:r>
          </w:p>
        </w:tc>
        <w:tc>
          <w:tcPr>
            <w:tcW w:w="692" w:type="dxa"/>
          </w:tcPr>
          <w:p w14:paraId="0F2BA60B" w14:textId="77777777" w:rsidR="002C6574" w:rsidRDefault="00000000">
            <w:pPr>
              <w:pStyle w:val="TableParagraph"/>
              <w:spacing w:before="100" w:line="109" w:lineRule="exact"/>
              <w:ind w:right="51"/>
              <w:rPr>
                <w:sz w:val="10"/>
              </w:rPr>
            </w:pPr>
            <w:r>
              <w:rPr>
                <w:spacing w:val="-10"/>
                <w:w w:val="95"/>
                <w:sz w:val="10"/>
              </w:rPr>
              <w:t>-</w:t>
            </w:r>
          </w:p>
        </w:tc>
        <w:tc>
          <w:tcPr>
            <w:tcW w:w="848" w:type="dxa"/>
          </w:tcPr>
          <w:p w14:paraId="188D9EC8" w14:textId="77777777" w:rsidR="002C6574" w:rsidRDefault="00000000">
            <w:pPr>
              <w:pStyle w:val="TableParagraph"/>
              <w:spacing w:before="100" w:line="109" w:lineRule="exact"/>
              <w:ind w:right="50"/>
              <w:rPr>
                <w:sz w:val="10"/>
              </w:rPr>
            </w:pPr>
            <w:r>
              <w:rPr>
                <w:spacing w:val="-10"/>
                <w:w w:val="95"/>
                <w:sz w:val="10"/>
              </w:rPr>
              <w:t>-</w:t>
            </w:r>
          </w:p>
        </w:tc>
        <w:tc>
          <w:tcPr>
            <w:tcW w:w="697" w:type="dxa"/>
          </w:tcPr>
          <w:p w14:paraId="0C112DA2" w14:textId="77777777" w:rsidR="002C6574" w:rsidRDefault="00000000">
            <w:pPr>
              <w:pStyle w:val="TableParagraph"/>
              <w:spacing w:before="43"/>
              <w:ind w:right="46"/>
              <w:rPr>
                <w:sz w:val="10"/>
              </w:rPr>
            </w:pPr>
            <w:r>
              <w:rPr>
                <w:spacing w:val="-2"/>
                <w:w w:val="110"/>
                <w:sz w:val="10"/>
              </w:rPr>
              <w:t>(258.142)</w:t>
            </w:r>
          </w:p>
        </w:tc>
      </w:tr>
      <w:tr w:rsidR="002C6574" w14:paraId="275FC23D" w14:textId="77777777">
        <w:trPr>
          <w:trHeight w:val="230"/>
        </w:trPr>
        <w:tc>
          <w:tcPr>
            <w:tcW w:w="2155" w:type="dxa"/>
          </w:tcPr>
          <w:p w14:paraId="31EEB172" w14:textId="77777777" w:rsidR="002C6574" w:rsidRDefault="00000000">
            <w:pPr>
              <w:pStyle w:val="TableParagraph"/>
              <w:spacing w:before="57"/>
              <w:ind w:left="69"/>
              <w:jc w:val="left"/>
              <w:rPr>
                <w:rFonts w:ascii="Arial"/>
                <w:b/>
                <w:sz w:val="10"/>
              </w:rPr>
            </w:pPr>
            <w:r>
              <w:rPr>
                <w:rFonts w:ascii="Arial"/>
                <w:b/>
                <w:sz w:val="10"/>
              </w:rPr>
              <w:t>Saldo</w:t>
            </w:r>
            <w:r>
              <w:rPr>
                <w:rFonts w:ascii="Arial"/>
                <w:b/>
                <w:spacing w:val="-2"/>
                <w:sz w:val="10"/>
              </w:rPr>
              <w:t xml:space="preserve"> </w:t>
            </w:r>
            <w:r>
              <w:rPr>
                <w:rFonts w:ascii="Arial"/>
                <w:b/>
                <w:sz w:val="10"/>
              </w:rPr>
              <w:t>em</w:t>
            </w:r>
            <w:r>
              <w:rPr>
                <w:rFonts w:ascii="Arial"/>
                <w:b/>
                <w:spacing w:val="-2"/>
                <w:sz w:val="10"/>
              </w:rPr>
              <w:t xml:space="preserve"> </w:t>
            </w:r>
            <w:r>
              <w:rPr>
                <w:rFonts w:ascii="Arial"/>
                <w:b/>
                <w:sz w:val="10"/>
              </w:rPr>
              <w:t>31</w:t>
            </w:r>
            <w:r>
              <w:rPr>
                <w:rFonts w:ascii="Arial"/>
                <w:b/>
                <w:spacing w:val="-5"/>
                <w:sz w:val="10"/>
              </w:rPr>
              <w:t xml:space="preserve"> </w:t>
            </w:r>
            <w:r>
              <w:rPr>
                <w:rFonts w:ascii="Arial"/>
                <w:b/>
                <w:sz w:val="10"/>
              </w:rPr>
              <w:t>de</w:t>
            </w:r>
            <w:r>
              <w:rPr>
                <w:rFonts w:ascii="Arial"/>
                <w:b/>
                <w:spacing w:val="-5"/>
                <w:sz w:val="10"/>
              </w:rPr>
              <w:t xml:space="preserve"> </w:t>
            </w:r>
            <w:r>
              <w:rPr>
                <w:rFonts w:ascii="Arial"/>
                <w:b/>
                <w:sz w:val="10"/>
              </w:rPr>
              <w:t>dezembro</w:t>
            </w:r>
            <w:r>
              <w:rPr>
                <w:rFonts w:ascii="Arial"/>
                <w:b/>
                <w:spacing w:val="-3"/>
                <w:sz w:val="10"/>
              </w:rPr>
              <w:t xml:space="preserve"> </w:t>
            </w:r>
            <w:r>
              <w:rPr>
                <w:rFonts w:ascii="Arial"/>
                <w:b/>
                <w:sz w:val="10"/>
              </w:rPr>
              <w:t>de</w:t>
            </w:r>
            <w:r>
              <w:rPr>
                <w:rFonts w:ascii="Arial"/>
                <w:b/>
                <w:spacing w:val="-1"/>
                <w:sz w:val="10"/>
              </w:rPr>
              <w:t xml:space="preserve"> </w:t>
            </w:r>
            <w:r>
              <w:rPr>
                <w:rFonts w:ascii="Arial"/>
                <w:b/>
                <w:spacing w:val="-4"/>
                <w:sz w:val="10"/>
              </w:rPr>
              <w:t>2025</w:t>
            </w:r>
          </w:p>
        </w:tc>
        <w:tc>
          <w:tcPr>
            <w:tcW w:w="679" w:type="dxa"/>
          </w:tcPr>
          <w:p w14:paraId="2D1A20AE" w14:textId="77777777" w:rsidR="002C6574" w:rsidRDefault="00000000">
            <w:pPr>
              <w:pStyle w:val="TableParagraph"/>
              <w:spacing w:before="57"/>
              <w:ind w:right="59"/>
              <w:rPr>
                <w:rFonts w:ascii="Arial"/>
                <w:b/>
                <w:sz w:val="10"/>
              </w:rPr>
            </w:pPr>
            <w:r>
              <w:rPr>
                <w:rFonts w:ascii="Arial"/>
                <w:b/>
                <w:spacing w:val="-2"/>
                <w:sz w:val="10"/>
              </w:rPr>
              <w:t>(140.614)</w:t>
            </w:r>
          </w:p>
        </w:tc>
        <w:tc>
          <w:tcPr>
            <w:tcW w:w="710" w:type="dxa"/>
          </w:tcPr>
          <w:p w14:paraId="5E648AE0" w14:textId="77777777" w:rsidR="002C6574" w:rsidRDefault="00000000">
            <w:pPr>
              <w:pStyle w:val="TableParagraph"/>
              <w:spacing w:before="57"/>
              <w:ind w:right="59"/>
              <w:rPr>
                <w:rFonts w:ascii="Arial"/>
                <w:b/>
                <w:sz w:val="10"/>
              </w:rPr>
            </w:pPr>
            <w:r>
              <w:rPr>
                <w:rFonts w:ascii="Arial"/>
                <w:b/>
                <w:spacing w:val="-2"/>
                <w:sz w:val="10"/>
              </w:rPr>
              <w:t>(2.781)</w:t>
            </w:r>
          </w:p>
        </w:tc>
        <w:tc>
          <w:tcPr>
            <w:tcW w:w="849" w:type="dxa"/>
          </w:tcPr>
          <w:p w14:paraId="5230A125" w14:textId="77777777" w:rsidR="002C6574" w:rsidRDefault="00000000">
            <w:pPr>
              <w:pStyle w:val="TableParagraph"/>
              <w:spacing w:before="57"/>
              <w:ind w:right="56"/>
              <w:rPr>
                <w:rFonts w:ascii="Arial"/>
                <w:b/>
                <w:sz w:val="10"/>
              </w:rPr>
            </w:pPr>
            <w:r>
              <w:rPr>
                <w:rFonts w:ascii="Arial"/>
                <w:b/>
                <w:spacing w:val="-2"/>
                <w:sz w:val="10"/>
              </w:rPr>
              <w:t>(163.341)</w:t>
            </w:r>
          </w:p>
        </w:tc>
        <w:tc>
          <w:tcPr>
            <w:tcW w:w="664" w:type="dxa"/>
          </w:tcPr>
          <w:p w14:paraId="2EA2E641" w14:textId="77777777" w:rsidR="002C6574" w:rsidRDefault="00000000">
            <w:pPr>
              <w:pStyle w:val="TableParagraph"/>
              <w:spacing w:before="57"/>
              <w:ind w:right="58"/>
              <w:rPr>
                <w:rFonts w:ascii="Arial"/>
                <w:b/>
                <w:sz w:val="10"/>
              </w:rPr>
            </w:pPr>
            <w:r>
              <w:rPr>
                <w:rFonts w:ascii="Arial"/>
                <w:b/>
                <w:spacing w:val="-2"/>
                <w:sz w:val="10"/>
              </w:rPr>
              <w:t>(4.919)</w:t>
            </w:r>
          </w:p>
        </w:tc>
        <w:tc>
          <w:tcPr>
            <w:tcW w:w="750" w:type="dxa"/>
          </w:tcPr>
          <w:p w14:paraId="3A680EF9" w14:textId="77777777" w:rsidR="002C6574" w:rsidRDefault="00000000">
            <w:pPr>
              <w:pStyle w:val="TableParagraph"/>
              <w:spacing w:before="57"/>
              <w:ind w:right="57"/>
              <w:rPr>
                <w:rFonts w:ascii="Arial"/>
                <w:b/>
                <w:sz w:val="10"/>
              </w:rPr>
            </w:pPr>
            <w:r>
              <w:rPr>
                <w:rFonts w:ascii="Arial"/>
                <w:b/>
                <w:spacing w:val="-2"/>
                <w:sz w:val="10"/>
              </w:rPr>
              <w:t>(19.942)</w:t>
            </w:r>
          </w:p>
        </w:tc>
        <w:tc>
          <w:tcPr>
            <w:tcW w:w="884" w:type="dxa"/>
          </w:tcPr>
          <w:p w14:paraId="45134B9C" w14:textId="77777777" w:rsidR="002C6574" w:rsidRDefault="00000000">
            <w:pPr>
              <w:pStyle w:val="TableParagraph"/>
              <w:spacing w:before="57"/>
              <w:ind w:right="55"/>
              <w:rPr>
                <w:rFonts w:ascii="Arial"/>
                <w:b/>
                <w:sz w:val="10"/>
              </w:rPr>
            </w:pPr>
            <w:r>
              <w:rPr>
                <w:rFonts w:ascii="Arial"/>
                <w:b/>
                <w:spacing w:val="-2"/>
                <w:sz w:val="10"/>
              </w:rPr>
              <w:t>(1.564.593)</w:t>
            </w:r>
          </w:p>
        </w:tc>
        <w:tc>
          <w:tcPr>
            <w:tcW w:w="831" w:type="dxa"/>
          </w:tcPr>
          <w:p w14:paraId="104881C2" w14:textId="77777777" w:rsidR="002C6574" w:rsidRDefault="00000000">
            <w:pPr>
              <w:pStyle w:val="TableParagraph"/>
              <w:spacing w:before="57"/>
              <w:ind w:right="51"/>
              <w:rPr>
                <w:rFonts w:ascii="Arial"/>
                <w:b/>
                <w:sz w:val="10"/>
              </w:rPr>
            </w:pPr>
            <w:r>
              <w:rPr>
                <w:rFonts w:ascii="Arial"/>
                <w:b/>
                <w:spacing w:val="-2"/>
                <w:sz w:val="10"/>
              </w:rPr>
              <w:t>(1.156)</w:t>
            </w:r>
          </w:p>
        </w:tc>
        <w:tc>
          <w:tcPr>
            <w:tcW w:w="692" w:type="dxa"/>
          </w:tcPr>
          <w:p w14:paraId="48A69A09" w14:textId="77777777" w:rsidR="002C6574" w:rsidRDefault="00000000">
            <w:pPr>
              <w:pStyle w:val="TableParagraph"/>
              <w:spacing w:before="57"/>
              <w:ind w:right="52"/>
              <w:rPr>
                <w:rFonts w:ascii="Arial"/>
                <w:b/>
                <w:sz w:val="10"/>
              </w:rPr>
            </w:pPr>
            <w:r>
              <w:rPr>
                <w:rFonts w:ascii="Arial"/>
                <w:b/>
                <w:spacing w:val="-2"/>
                <w:sz w:val="10"/>
              </w:rPr>
              <w:t>(49.279)</w:t>
            </w:r>
          </w:p>
        </w:tc>
        <w:tc>
          <w:tcPr>
            <w:tcW w:w="848" w:type="dxa"/>
          </w:tcPr>
          <w:p w14:paraId="3A702BB4" w14:textId="77777777" w:rsidR="002C6574" w:rsidRDefault="00000000">
            <w:pPr>
              <w:pStyle w:val="TableParagraph"/>
              <w:spacing w:before="115" w:line="95" w:lineRule="exact"/>
              <w:ind w:right="50"/>
              <w:rPr>
                <w:rFonts w:ascii="Arial"/>
                <w:b/>
                <w:sz w:val="10"/>
              </w:rPr>
            </w:pPr>
            <w:r>
              <w:rPr>
                <w:rFonts w:ascii="Arial"/>
                <w:b/>
                <w:spacing w:val="-10"/>
                <w:sz w:val="10"/>
              </w:rPr>
              <w:t>-</w:t>
            </w:r>
          </w:p>
        </w:tc>
        <w:tc>
          <w:tcPr>
            <w:tcW w:w="697" w:type="dxa"/>
          </w:tcPr>
          <w:p w14:paraId="7C496976" w14:textId="77777777" w:rsidR="002C6574" w:rsidRDefault="00000000">
            <w:pPr>
              <w:pStyle w:val="TableParagraph"/>
              <w:spacing w:before="57"/>
              <w:ind w:right="46"/>
              <w:rPr>
                <w:rFonts w:ascii="Arial"/>
                <w:b/>
                <w:sz w:val="10"/>
              </w:rPr>
            </w:pPr>
            <w:r>
              <w:rPr>
                <w:rFonts w:ascii="Arial"/>
                <w:b/>
                <w:spacing w:val="-2"/>
                <w:sz w:val="10"/>
              </w:rPr>
              <w:t>(1.946.625)</w:t>
            </w:r>
          </w:p>
        </w:tc>
      </w:tr>
      <w:tr w:rsidR="002C6574" w14:paraId="20303B7F" w14:textId="77777777">
        <w:trPr>
          <w:trHeight w:val="229"/>
        </w:trPr>
        <w:tc>
          <w:tcPr>
            <w:tcW w:w="2155" w:type="dxa"/>
          </w:tcPr>
          <w:p w14:paraId="1FAB6711" w14:textId="77777777" w:rsidR="002C6574" w:rsidRDefault="00000000">
            <w:pPr>
              <w:pStyle w:val="TableParagraph"/>
              <w:spacing w:line="116" w:lineRule="exact"/>
              <w:ind w:left="69" w:right="146"/>
              <w:jc w:val="left"/>
              <w:rPr>
                <w:rFonts w:ascii="Arial" w:hAnsi="Arial"/>
                <w:b/>
                <w:sz w:val="10"/>
              </w:rPr>
            </w:pPr>
            <w:r>
              <w:rPr>
                <w:rFonts w:ascii="Arial" w:hAnsi="Arial"/>
                <w:b/>
                <w:sz w:val="10"/>
              </w:rPr>
              <w:t>Valor</w:t>
            </w:r>
            <w:r>
              <w:rPr>
                <w:rFonts w:ascii="Arial" w:hAnsi="Arial"/>
                <w:b/>
                <w:spacing w:val="-6"/>
                <w:sz w:val="10"/>
              </w:rPr>
              <w:t xml:space="preserve"> </w:t>
            </w:r>
            <w:r>
              <w:rPr>
                <w:rFonts w:ascii="Arial" w:hAnsi="Arial"/>
                <w:b/>
                <w:sz w:val="10"/>
              </w:rPr>
              <w:t>Contábil</w:t>
            </w:r>
            <w:r>
              <w:rPr>
                <w:rFonts w:ascii="Arial" w:hAnsi="Arial"/>
                <w:b/>
                <w:spacing w:val="-4"/>
                <w:sz w:val="10"/>
              </w:rPr>
              <w:t xml:space="preserve"> </w:t>
            </w:r>
            <w:r>
              <w:rPr>
                <w:rFonts w:ascii="Arial" w:hAnsi="Arial"/>
                <w:b/>
                <w:sz w:val="10"/>
              </w:rPr>
              <w:t>em</w:t>
            </w:r>
            <w:r>
              <w:rPr>
                <w:rFonts w:ascii="Arial" w:hAnsi="Arial"/>
                <w:b/>
                <w:spacing w:val="-5"/>
                <w:sz w:val="10"/>
              </w:rPr>
              <w:t xml:space="preserve"> </w:t>
            </w:r>
            <w:r>
              <w:rPr>
                <w:rFonts w:ascii="Arial" w:hAnsi="Arial"/>
                <w:b/>
                <w:sz w:val="10"/>
              </w:rPr>
              <w:t>31</w:t>
            </w:r>
            <w:r>
              <w:rPr>
                <w:rFonts w:ascii="Arial" w:hAnsi="Arial"/>
                <w:b/>
                <w:spacing w:val="-7"/>
                <w:sz w:val="10"/>
              </w:rPr>
              <w:t xml:space="preserve"> </w:t>
            </w:r>
            <w:r>
              <w:rPr>
                <w:rFonts w:ascii="Arial" w:hAnsi="Arial"/>
                <w:b/>
                <w:sz w:val="10"/>
              </w:rPr>
              <w:t>de</w:t>
            </w:r>
            <w:r>
              <w:rPr>
                <w:rFonts w:ascii="Arial" w:hAnsi="Arial"/>
                <w:b/>
                <w:spacing w:val="-7"/>
                <w:sz w:val="10"/>
              </w:rPr>
              <w:t xml:space="preserve"> </w:t>
            </w:r>
            <w:r>
              <w:rPr>
                <w:rFonts w:ascii="Arial" w:hAnsi="Arial"/>
                <w:b/>
                <w:sz w:val="10"/>
              </w:rPr>
              <w:t>dezembro</w:t>
            </w:r>
            <w:r>
              <w:rPr>
                <w:rFonts w:ascii="Arial" w:hAnsi="Arial"/>
                <w:b/>
                <w:spacing w:val="-6"/>
                <w:sz w:val="10"/>
              </w:rPr>
              <w:t xml:space="preserve"> </w:t>
            </w:r>
            <w:r>
              <w:rPr>
                <w:rFonts w:ascii="Arial" w:hAnsi="Arial"/>
                <w:b/>
                <w:sz w:val="10"/>
              </w:rPr>
              <w:t>de</w:t>
            </w:r>
            <w:r>
              <w:rPr>
                <w:rFonts w:ascii="Arial" w:hAnsi="Arial"/>
                <w:b/>
                <w:spacing w:val="40"/>
                <w:sz w:val="10"/>
              </w:rPr>
              <w:t xml:space="preserve"> </w:t>
            </w:r>
            <w:r>
              <w:rPr>
                <w:rFonts w:ascii="Arial" w:hAnsi="Arial"/>
                <w:b/>
                <w:spacing w:val="-4"/>
                <w:sz w:val="10"/>
              </w:rPr>
              <w:t>2025</w:t>
            </w:r>
          </w:p>
        </w:tc>
        <w:tc>
          <w:tcPr>
            <w:tcW w:w="679" w:type="dxa"/>
          </w:tcPr>
          <w:p w14:paraId="0D9DC6E7" w14:textId="77777777" w:rsidR="002C6574" w:rsidRDefault="00000000">
            <w:pPr>
              <w:pStyle w:val="TableParagraph"/>
              <w:spacing w:before="57"/>
              <w:ind w:right="61"/>
              <w:rPr>
                <w:rFonts w:ascii="Arial"/>
                <w:b/>
                <w:sz w:val="10"/>
              </w:rPr>
            </w:pPr>
            <w:r>
              <w:rPr>
                <w:rFonts w:ascii="Arial"/>
                <w:b/>
                <w:spacing w:val="-2"/>
                <w:sz w:val="10"/>
              </w:rPr>
              <w:t>147.070</w:t>
            </w:r>
          </w:p>
        </w:tc>
        <w:tc>
          <w:tcPr>
            <w:tcW w:w="710" w:type="dxa"/>
          </w:tcPr>
          <w:p w14:paraId="78E44995" w14:textId="77777777" w:rsidR="002C6574" w:rsidRDefault="00000000">
            <w:pPr>
              <w:pStyle w:val="TableParagraph"/>
              <w:spacing w:before="57"/>
              <w:ind w:right="61"/>
              <w:rPr>
                <w:rFonts w:ascii="Arial"/>
                <w:b/>
                <w:sz w:val="10"/>
              </w:rPr>
            </w:pPr>
            <w:r>
              <w:rPr>
                <w:rFonts w:ascii="Arial"/>
                <w:b/>
                <w:spacing w:val="-5"/>
                <w:sz w:val="10"/>
              </w:rPr>
              <w:t>520</w:t>
            </w:r>
          </w:p>
        </w:tc>
        <w:tc>
          <w:tcPr>
            <w:tcW w:w="849" w:type="dxa"/>
          </w:tcPr>
          <w:p w14:paraId="68E7C5C6" w14:textId="77777777" w:rsidR="002C6574" w:rsidRDefault="00000000">
            <w:pPr>
              <w:pStyle w:val="TableParagraph"/>
              <w:spacing w:before="57"/>
              <w:ind w:right="58"/>
              <w:rPr>
                <w:rFonts w:ascii="Arial"/>
                <w:b/>
                <w:sz w:val="10"/>
              </w:rPr>
            </w:pPr>
            <w:r>
              <w:rPr>
                <w:rFonts w:ascii="Arial"/>
                <w:b/>
                <w:spacing w:val="-2"/>
                <w:sz w:val="10"/>
              </w:rPr>
              <w:t>141.680</w:t>
            </w:r>
          </w:p>
        </w:tc>
        <w:tc>
          <w:tcPr>
            <w:tcW w:w="664" w:type="dxa"/>
          </w:tcPr>
          <w:p w14:paraId="1E9B2575" w14:textId="77777777" w:rsidR="002C6574" w:rsidRDefault="00000000">
            <w:pPr>
              <w:pStyle w:val="TableParagraph"/>
              <w:spacing w:before="57"/>
              <w:ind w:right="57"/>
              <w:rPr>
                <w:rFonts w:ascii="Arial"/>
                <w:b/>
                <w:sz w:val="10"/>
              </w:rPr>
            </w:pPr>
            <w:r>
              <w:rPr>
                <w:rFonts w:ascii="Arial"/>
                <w:b/>
                <w:spacing w:val="-2"/>
                <w:sz w:val="10"/>
              </w:rPr>
              <w:t>3.324</w:t>
            </w:r>
          </w:p>
        </w:tc>
        <w:tc>
          <w:tcPr>
            <w:tcW w:w="750" w:type="dxa"/>
          </w:tcPr>
          <w:p w14:paraId="40F8BBE4" w14:textId="77777777" w:rsidR="002C6574" w:rsidRDefault="00000000">
            <w:pPr>
              <w:pStyle w:val="TableParagraph"/>
              <w:spacing w:before="57"/>
              <w:ind w:right="56"/>
              <w:rPr>
                <w:rFonts w:ascii="Arial"/>
                <w:b/>
                <w:sz w:val="10"/>
              </w:rPr>
            </w:pPr>
            <w:r>
              <w:rPr>
                <w:rFonts w:ascii="Arial"/>
                <w:b/>
                <w:spacing w:val="-2"/>
                <w:sz w:val="10"/>
              </w:rPr>
              <w:t>4.479</w:t>
            </w:r>
          </w:p>
        </w:tc>
        <w:tc>
          <w:tcPr>
            <w:tcW w:w="884" w:type="dxa"/>
          </w:tcPr>
          <w:p w14:paraId="214CF11F" w14:textId="77777777" w:rsidR="002C6574" w:rsidRDefault="00000000">
            <w:pPr>
              <w:pStyle w:val="TableParagraph"/>
              <w:spacing w:before="57"/>
              <w:ind w:right="54"/>
              <w:rPr>
                <w:rFonts w:ascii="Arial"/>
                <w:b/>
                <w:sz w:val="10"/>
              </w:rPr>
            </w:pPr>
            <w:r>
              <w:rPr>
                <w:rFonts w:ascii="Arial"/>
                <w:b/>
                <w:spacing w:val="-2"/>
                <w:sz w:val="10"/>
              </w:rPr>
              <w:t>1.352.518</w:t>
            </w:r>
          </w:p>
        </w:tc>
        <w:tc>
          <w:tcPr>
            <w:tcW w:w="831" w:type="dxa"/>
          </w:tcPr>
          <w:p w14:paraId="1FCAFD31" w14:textId="77777777" w:rsidR="002C6574" w:rsidRDefault="00000000">
            <w:pPr>
              <w:pStyle w:val="TableParagraph"/>
              <w:spacing w:before="115" w:line="95" w:lineRule="exact"/>
              <w:ind w:right="51"/>
              <w:rPr>
                <w:rFonts w:ascii="Arial"/>
                <w:b/>
                <w:sz w:val="10"/>
              </w:rPr>
            </w:pPr>
            <w:r>
              <w:rPr>
                <w:rFonts w:ascii="Arial"/>
                <w:b/>
                <w:spacing w:val="-10"/>
                <w:sz w:val="10"/>
              </w:rPr>
              <w:t>-</w:t>
            </w:r>
          </w:p>
        </w:tc>
        <w:tc>
          <w:tcPr>
            <w:tcW w:w="692" w:type="dxa"/>
          </w:tcPr>
          <w:p w14:paraId="49600CDA" w14:textId="77777777" w:rsidR="002C6574" w:rsidRDefault="00000000">
            <w:pPr>
              <w:pStyle w:val="TableParagraph"/>
              <w:spacing w:before="57"/>
              <w:ind w:right="50"/>
              <w:rPr>
                <w:rFonts w:ascii="Arial"/>
                <w:b/>
                <w:sz w:val="10"/>
              </w:rPr>
            </w:pPr>
            <w:r>
              <w:rPr>
                <w:rFonts w:ascii="Arial"/>
                <w:b/>
                <w:spacing w:val="-2"/>
                <w:sz w:val="10"/>
              </w:rPr>
              <w:t>19.290</w:t>
            </w:r>
          </w:p>
        </w:tc>
        <w:tc>
          <w:tcPr>
            <w:tcW w:w="848" w:type="dxa"/>
          </w:tcPr>
          <w:p w14:paraId="04D9EF0D" w14:textId="77777777" w:rsidR="002C6574" w:rsidRDefault="00000000">
            <w:pPr>
              <w:pStyle w:val="TableParagraph"/>
              <w:spacing w:before="57"/>
              <w:ind w:right="49"/>
              <w:rPr>
                <w:rFonts w:ascii="Arial"/>
                <w:b/>
                <w:sz w:val="10"/>
              </w:rPr>
            </w:pPr>
            <w:r>
              <w:rPr>
                <w:rFonts w:ascii="Arial"/>
                <w:b/>
                <w:spacing w:val="-2"/>
                <w:sz w:val="10"/>
              </w:rPr>
              <w:t>28.618</w:t>
            </w:r>
          </w:p>
        </w:tc>
        <w:tc>
          <w:tcPr>
            <w:tcW w:w="697" w:type="dxa"/>
          </w:tcPr>
          <w:p w14:paraId="37B46FC2" w14:textId="77777777" w:rsidR="002C6574" w:rsidRDefault="00000000">
            <w:pPr>
              <w:pStyle w:val="TableParagraph"/>
              <w:spacing w:before="57"/>
              <w:ind w:right="45"/>
              <w:rPr>
                <w:rFonts w:ascii="Arial"/>
                <w:b/>
                <w:sz w:val="10"/>
              </w:rPr>
            </w:pPr>
            <w:r>
              <w:rPr>
                <w:rFonts w:ascii="Arial"/>
                <w:b/>
                <w:spacing w:val="-2"/>
                <w:sz w:val="10"/>
              </w:rPr>
              <w:t>1.697.499</w:t>
            </w:r>
          </w:p>
        </w:tc>
      </w:tr>
      <w:tr w:rsidR="002C6574" w14:paraId="7B711577" w14:textId="77777777">
        <w:trPr>
          <w:trHeight w:val="228"/>
        </w:trPr>
        <w:tc>
          <w:tcPr>
            <w:tcW w:w="2155" w:type="dxa"/>
          </w:tcPr>
          <w:p w14:paraId="75673EB1" w14:textId="77777777" w:rsidR="002C6574" w:rsidRDefault="00000000">
            <w:pPr>
              <w:pStyle w:val="TableParagraph"/>
              <w:spacing w:line="113" w:lineRule="exact"/>
              <w:ind w:left="69"/>
              <w:jc w:val="left"/>
              <w:rPr>
                <w:rFonts w:ascii="Arial" w:hAnsi="Arial"/>
                <w:b/>
                <w:sz w:val="10"/>
              </w:rPr>
            </w:pPr>
            <w:r>
              <w:rPr>
                <w:rFonts w:ascii="Arial" w:hAnsi="Arial"/>
                <w:b/>
                <w:sz w:val="10"/>
              </w:rPr>
              <w:t>Valor</w:t>
            </w:r>
            <w:r>
              <w:rPr>
                <w:rFonts w:ascii="Arial" w:hAnsi="Arial"/>
                <w:b/>
                <w:spacing w:val="-3"/>
                <w:sz w:val="10"/>
              </w:rPr>
              <w:t xml:space="preserve"> </w:t>
            </w:r>
            <w:r>
              <w:rPr>
                <w:rFonts w:ascii="Arial" w:hAnsi="Arial"/>
                <w:b/>
                <w:sz w:val="10"/>
              </w:rPr>
              <w:t>Contábil</w:t>
            </w:r>
            <w:r>
              <w:rPr>
                <w:rFonts w:ascii="Arial" w:hAnsi="Arial"/>
                <w:b/>
                <w:spacing w:val="-2"/>
                <w:sz w:val="10"/>
              </w:rPr>
              <w:t xml:space="preserve"> </w:t>
            </w:r>
            <w:r>
              <w:rPr>
                <w:rFonts w:ascii="Arial" w:hAnsi="Arial"/>
                <w:b/>
                <w:sz w:val="10"/>
              </w:rPr>
              <w:t>em</w:t>
            </w:r>
            <w:r>
              <w:rPr>
                <w:rFonts w:ascii="Arial" w:hAnsi="Arial"/>
                <w:b/>
                <w:spacing w:val="-3"/>
                <w:sz w:val="10"/>
              </w:rPr>
              <w:t xml:space="preserve"> </w:t>
            </w:r>
            <w:r>
              <w:rPr>
                <w:rFonts w:ascii="Arial" w:hAnsi="Arial"/>
                <w:b/>
                <w:sz w:val="10"/>
              </w:rPr>
              <w:t>31</w:t>
            </w:r>
            <w:r>
              <w:rPr>
                <w:rFonts w:ascii="Arial" w:hAnsi="Arial"/>
                <w:b/>
                <w:spacing w:val="-6"/>
                <w:sz w:val="10"/>
              </w:rPr>
              <w:t xml:space="preserve"> </w:t>
            </w:r>
            <w:r>
              <w:rPr>
                <w:rFonts w:ascii="Arial" w:hAnsi="Arial"/>
                <w:b/>
                <w:sz w:val="10"/>
              </w:rPr>
              <w:t>de</w:t>
            </w:r>
            <w:r>
              <w:rPr>
                <w:rFonts w:ascii="Arial" w:hAnsi="Arial"/>
                <w:b/>
                <w:spacing w:val="-6"/>
                <w:sz w:val="10"/>
              </w:rPr>
              <w:t xml:space="preserve"> </w:t>
            </w:r>
            <w:r>
              <w:rPr>
                <w:rFonts w:ascii="Arial" w:hAnsi="Arial"/>
                <w:b/>
                <w:sz w:val="10"/>
              </w:rPr>
              <w:t>dezembro</w:t>
            </w:r>
            <w:r>
              <w:rPr>
                <w:rFonts w:ascii="Arial" w:hAnsi="Arial"/>
                <w:b/>
                <w:spacing w:val="-3"/>
                <w:sz w:val="10"/>
              </w:rPr>
              <w:t xml:space="preserve"> </w:t>
            </w:r>
            <w:r>
              <w:rPr>
                <w:rFonts w:ascii="Arial" w:hAnsi="Arial"/>
                <w:b/>
                <w:spacing w:val="-5"/>
                <w:sz w:val="10"/>
              </w:rPr>
              <w:t>de</w:t>
            </w:r>
          </w:p>
          <w:p w14:paraId="14DCF80D" w14:textId="77777777" w:rsidR="002C6574" w:rsidRDefault="00000000">
            <w:pPr>
              <w:pStyle w:val="TableParagraph"/>
              <w:spacing w:line="95" w:lineRule="exact"/>
              <w:ind w:left="69"/>
              <w:jc w:val="left"/>
              <w:rPr>
                <w:rFonts w:ascii="Arial"/>
                <w:b/>
                <w:sz w:val="10"/>
              </w:rPr>
            </w:pPr>
            <w:r>
              <w:rPr>
                <w:rFonts w:ascii="Arial"/>
                <w:b/>
                <w:spacing w:val="-4"/>
                <w:sz w:val="10"/>
              </w:rPr>
              <w:t>2024</w:t>
            </w:r>
          </w:p>
        </w:tc>
        <w:tc>
          <w:tcPr>
            <w:tcW w:w="679" w:type="dxa"/>
          </w:tcPr>
          <w:p w14:paraId="7C24C5FD" w14:textId="77777777" w:rsidR="002C6574" w:rsidRDefault="00000000">
            <w:pPr>
              <w:pStyle w:val="TableParagraph"/>
              <w:spacing w:before="55"/>
              <w:ind w:right="61"/>
              <w:rPr>
                <w:rFonts w:ascii="Arial"/>
                <w:b/>
                <w:sz w:val="10"/>
              </w:rPr>
            </w:pPr>
            <w:r>
              <w:rPr>
                <w:rFonts w:ascii="Arial"/>
                <w:b/>
                <w:spacing w:val="-2"/>
                <w:sz w:val="10"/>
              </w:rPr>
              <w:t>163.284</w:t>
            </w:r>
          </w:p>
        </w:tc>
        <w:tc>
          <w:tcPr>
            <w:tcW w:w="710" w:type="dxa"/>
          </w:tcPr>
          <w:p w14:paraId="29CC6EC0" w14:textId="77777777" w:rsidR="002C6574" w:rsidRDefault="00000000">
            <w:pPr>
              <w:pStyle w:val="TableParagraph"/>
              <w:spacing w:before="55"/>
              <w:ind w:right="61"/>
              <w:rPr>
                <w:rFonts w:ascii="Arial"/>
                <w:b/>
                <w:sz w:val="10"/>
              </w:rPr>
            </w:pPr>
            <w:r>
              <w:rPr>
                <w:rFonts w:ascii="Arial"/>
                <w:b/>
                <w:spacing w:val="-5"/>
                <w:sz w:val="10"/>
              </w:rPr>
              <w:t>475</w:t>
            </w:r>
          </w:p>
        </w:tc>
        <w:tc>
          <w:tcPr>
            <w:tcW w:w="849" w:type="dxa"/>
          </w:tcPr>
          <w:p w14:paraId="22C18EB3" w14:textId="77777777" w:rsidR="002C6574" w:rsidRDefault="00000000">
            <w:pPr>
              <w:pStyle w:val="TableParagraph"/>
              <w:spacing w:before="55"/>
              <w:ind w:right="58"/>
              <w:rPr>
                <w:rFonts w:ascii="Arial"/>
                <w:b/>
                <w:sz w:val="10"/>
              </w:rPr>
            </w:pPr>
            <w:r>
              <w:rPr>
                <w:rFonts w:ascii="Arial"/>
                <w:b/>
                <w:spacing w:val="-2"/>
                <w:sz w:val="10"/>
              </w:rPr>
              <w:t>162.430</w:t>
            </w:r>
          </w:p>
        </w:tc>
        <w:tc>
          <w:tcPr>
            <w:tcW w:w="664" w:type="dxa"/>
          </w:tcPr>
          <w:p w14:paraId="768C1F6C" w14:textId="77777777" w:rsidR="002C6574" w:rsidRDefault="00000000">
            <w:pPr>
              <w:pStyle w:val="TableParagraph"/>
              <w:spacing w:before="55"/>
              <w:ind w:right="57"/>
              <w:rPr>
                <w:rFonts w:ascii="Arial"/>
                <w:b/>
                <w:sz w:val="10"/>
              </w:rPr>
            </w:pPr>
            <w:r>
              <w:rPr>
                <w:rFonts w:ascii="Arial"/>
                <w:b/>
                <w:spacing w:val="-2"/>
                <w:sz w:val="10"/>
              </w:rPr>
              <w:t>3.697</w:t>
            </w:r>
          </w:p>
        </w:tc>
        <w:tc>
          <w:tcPr>
            <w:tcW w:w="750" w:type="dxa"/>
          </w:tcPr>
          <w:p w14:paraId="789E6D7D" w14:textId="77777777" w:rsidR="002C6574" w:rsidRDefault="00000000">
            <w:pPr>
              <w:pStyle w:val="TableParagraph"/>
              <w:spacing w:before="55"/>
              <w:ind w:right="56"/>
              <w:rPr>
                <w:rFonts w:ascii="Arial"/>
                <w:b/>
                <w:sz w:val="10"/>
              </w:rPr>
            </w:pPr>
            <w:r>
              <w:rPr>
                <w:rFonts w:ascii="Arial"/>
                <w:b/>
                <w:spacing w:val="-2"/>
                <w:sz w:val="10"/>
              </w:rPr>
              <w:t>6.325</w:t>
            </w:r>
          </w:p>
        </w:tc>
        <w:tc>
          <w:tcPr>
            <w:tcW w:w="884" w:type="dxa"/>
          </w:tcPr>
          <w:p w14:paraId="70DB4CF8" w14:textId="77777777" w:rsidR="002C6574" w:rsidRDefault="00000000">
            <w:pPr>
              <w:pStyle w:val="TableParagraph"/>
              <w:spacing w:before="55"/>
              <w:ind w:right="54"/>
              <w:rPr>
                <w:rFonts w:ascii="Arial"/>
                <w:b/>
                <w:sz w:val="10"/>
              </w:rPr>
            </w:pPr>
            <w:r>
              <w:rPr>
                <w:rFonts w:ascii="Arial"/>
                <w:b/>
                <w:spacing w:val="-2"/>
                <w:sz w:val="10"/>
              </w:rPr>
              <w:t>1.525.476</w:t>
            </w:r>
          </w:p>
        </w:tc>
        <w:tc>
          <w:tcPr>
            <w:tcW w:w="831" w:type="dxa"/>
          </w:tcPr>
          <w:p w14:paraId="2824A9FA" w14:textId="77777777" w:rsidR="002C6574" w:rsidRDefault="00000000">
            <w:pPr>
              <w:pStyle w:val="TableParagraph"/>
              <w:spacing w:before="113" w:line="95" w:lineRule="exact"/>
              <w:ind w:right="51"/>
              <w:rPr>
                <w:rFonts w:ascii="Arial"/>
                <w:b/>
                <w:sz w:val="10"/>
              </w:rPr>
            </w:pPr>
            <w:r>
              <w:rPr>
                <w:rFonts w:ascii="Arial"/>
                <w:b/>
                <w:spacing w:val="-10"/>
                <w:sz w:val="10"/>
              </w:rPr>
              <w:t>-</w:t>
            </w:r>
          </w:p>
        </w:tc>
        <w:tc>
          <w:tcPr>
            <w:tcW w:w="692" w:type="dxa"/>
          </w:tcPr>
          <w:p w14:paraId="2199943E" w14:textId="77777777" w:rsidR="002C6574" w:rsidRDefault="00000000">
            <w:pPr>
              <w:pStyle w:val="TableParagraph"/>
              <w:spacing w:before="55"/>
              <w:ind w:right="51"/>
              <w:rPr>
                <w:rFonts w:ascii="Arial"/>
                <w:b/>
                <w:sz w:val="10"/>
              </w:rPr>
            </w:pPr>
            <w:r>
              <w:rPr>
                <w:rFonts w:ascii="Arial"/>
                <w:b/>
                <w:spacing w:val="-2"/>
                <w:sz w:val="10"/>
              </w:rPr>
              <w:t>8.724</w:t>
            </w:r>
          </w:p>
        </w:tc>
        <w:tc>
          <w:tcPr>
            <w:tcW w:w="848" w:type="dxa"/>
          </w:tcPr>
          <w:p w14:paraId="1BD8DFC0" w14:textId="77777777" w:rsidR="002C6574" w:rsidRDefault="00000000">
            <w:pPr>
              <w:pStyle w:val="TableParagraph"/>
              <w:spacing w:before="55"/>
              <w:ind w:right="49"/>
              <w:rPr>
                <w:rFonts w:ascii="Arial"/>
                <w:b/>
                <w:sz w:val="10"/>
              </w:rPr>
            </w:pPr>
            <w:r>
              <w:rPr>
                <w:rFonts w:ascii="Arial"/>
                <w:b/>
                <w:spacing w:val="-2"/>
                <w:sz w:val="10"/>
              </w:rPr>
              <w:t>39.297</w:t>
            </w:r>
          </w:p>
        </w:tc>
        <w:tc>
          <w:tcPr>
            <w:tcW w:w="697" w:type="dxa"/>
          </w:tcPr>
          <w:p w14:paraId="6A0C7854" w14:textId="77777777" w:rsidR="002C6574" w:rsidRDefault="00000000">
            <w:pPr>
              <w:pStyle w:val="TableParagraph"/>
              <w:spacing w:before="55"/>
              <w:ind w:right="45"/>
              <w:rPr>
                <w:rFonts w:ascii="Arial"/>
                <w:b/>
                <w:sz w:val="10"/>
              </w:rPr>
            </w:pPr>
            <w:r>
              <w:rPr>
                <w:rFonts w:ascii="Arial"/>
                <w:b/>
                <w:spacing w:val="-2"/>
                <w:sz w:val="10"/>
              </w:rPr>
              <w:t>1.909.708</w:t>
            </w:r>
          </w:p>
        </w:tc>
      </w:tr>
      <w:tr w:rsidR="002C6574" w14:paraId="1F65AF36" w14:textId="77777777">
        <w:trPr>
          <w:trHeight w:val="230"/>
        </w:trPr>
        <w:tc>
          <w:tcPr>
            <w:tcW w:w="2155" w:type="dxa"/>
          </w:tcPr>
          <w:p w14:paraId="3C516619" w14:textId="77777777" w:rsidR="002C6574" w:rsidRDefault="00000000">
            <w:pPr>
              <w:pStyle w:val="TableParagraph"/>
              <w:spacing w:before="57"/>
              <w:ind w:left="69"/>
              <w:jc w:val="left"/>
              <w:rPr>
                <w:rFonts w:ascii="Arial" w:hAnsi="Arial"/>
                <w:b/>
                <w:sz w:val="10"/>
              </w:rPr>
            </w:pPr>
            <w:r>
              <w:rPr>
                <w:rFonts w:ascii="Arial" w:hAnsi="Arial"/>
                <w:b/>
                <w:sz w:val="10"/>
              </w:rPr>
              <w:t>Taxa</w:t>
            </w:r>
            <w:r>
              <w:rPr>
                <w:rFonts w:ascii="Arial" w:hAnsi="Arial"/>
                <w:b/>
                <w:spacing w:val="-6"/>
                <w:sz w:val="10"/>
              </w:rPr>
              <w:t xml:space="preserve"> </w:t>
            </w:r>
            <w:r>
              <w:rPr>
                <w:rFonts w:ascii="Arial" w:hAnsi="Arial"/>
                <w:b/>
                <w:sz w:val="10"/>
              </w:rPr>
              <w:t>Anual</w:t>
            </w:r>
            <w:r>
              <w:rPr>
                <w:rFonts w:ascii="Arial" w:hAnsi="Arial"/>
                <w:b/>
                <w:spacing w:val="-4"/>
                <w:sz w:val="10"/>
              </w:rPr>
              <w:t xml:space="preserve"> </w:t>
            </w:r>
            <w:r>
              <w:rPr>
                <w:rFonts w:ascii="Arial" w:hAnsi="Arial"/>
                <w:b/>
                <w:sz w:val="10"/>
              </w:rPr>
              <w:t>de</w:t>
            </w:r>
            <w:r>
              <w:rPr>
                <w:rFonts w:ascii="Arial" w:hAnsi="Arial"/>
                <w:b/>
                <w:spacing w:val="-3"/>
                <w:sz w:val="10"/>
              </w:rPr>
              <w:t xml:space="preserve"> </w:t>
            </w:r>
            <w:r>
              <w:rPr>
                <w:rFonts w:ascii="Arial" w:hAnsi="Arial"/>
                <w:b/>
                <w:spacing w:val="-2"/>
                <w:sz w:val="10"/>
              </w:rPr>
              <w:t>Depreciação</w:t>
            </w:r>
          </w:p>
        </w:tc>
        <w:tc>
          <w:tcPr>
            <w:tcW w:w="679" w:type="dxa"/>
          </w:tcPr>
          <w:p w14:paraId="19C6AE44" w14:textId="77777777" w:rsidR="002C6574" w:rsidRDefault="00000000">
            <w:pPr>
              <w:pStyle w:val="TableParagraph"/>
              <w:spacing w:before="57"/>
              <w:ind w:left="168"/>
              <w:jc w:val="left"/>
              <w:rPr>
                <w:rFonts w:ascii="Arial"/>
                <w:b/>
                <w:sz w:val="10"/>
              </w:rPr>
            </w:pPr>
            <w:r>
              <w:rPr>
                <w:rFonts w:ascii="Arial"/>
                <w:b/>
                <w:spacing w:val="-2"/>
                <w:sz w:val="10"/>
              </w:rPr>
              <w:t>16,60%</w:t>
            </w:r>
          </w:p>
        </w:tc>
        <w:tc>
          <w:tcPr>
            <w:tcW w:w="710" w:type="dxa"/>
          </w:tcPr>
          <w:p w14:paraId="761830BB" w14:textId="77777777" w:rsidR="002C6574" w:rsidRDefault="00000000">
            <w:pPr>
              <w:pStyle w:val="TableParagraph"/>
              <w:spacing w:before="57"/>
              <w:ind w:left="182"/>
              <w:jc w:val="left"/>
              <w:rPr>
                <w:rFonts w:ascii="Arial"/>
                <w:b/>
                <w:sz w:val="10"/>
              </w:rPr>
            </w:pPr>
            <w:r>
              <w:rPr>
                <w:rFonts w:ascii="Arial"/>
                <w:b/>
                <w:spacing w:val="-2"/>
                <w:sz w:val="10"/>
              </w:rPr>
              <w:t>10,00%</w:t>
            </w:r>
          </w:p>
        </w:tc>
        <w:tc>
          <w:tcPr>
            <w:tcW w:w="849" w:type="dxa"/>
          </w:tcPr>
          <w:p w14:paraId="19126175" w14:textId="77777777" w:rsidR="002C6574" w:rsidRDefault="00000000">
            <w:pPr>
              <w:pStyle w:val="TableParagraph"/>
              <w:spacing w:line="115" w:lineRule="exact"/>
              <w:ind w:left="192"/>
              <w:jc w:val="left"/>
              <w:rPr>
                <w:rFonts w:ascii="Arial"/>
                <w:b/>
                <w:sz w:val="10"/>
              </w:rPr>
            </w:pPr>
            <w:r>
              <w:rPr>
                <w:rFonts w:ascii="Arial"/>
                <w:b/>
                <w:sz w:val="10"/>
              </w:rPr>
              <w:t>De</w:t>
            </w:r>
            <w:r>
              <w:rPr>
                <w:rFonts w:ascii="Arial"/>
                <w:b/>
                <w:spacing w:val="-3"/>
                <w:sz w:val="10"/>
              </w:rPr>
              <w:t xml:space="preserve"> </w:t>
            </w:r>
            <w:r>
              <w:rPr>
                <w:rFonts w:ascii="Arial"/>
                <w:b/>
                <w:sz w:val="10"/>
              </w:rPr>
              <w:t>5,0%</w:t>
            </w:r>
            <w:r>
              <w:rPr>
                <w:rFonts w:ascii="Arial"/>
                <w:b/>
                <w:spacing w:val="-4"/>
                <w:sz w:val="10"/>
              </w:rPr>
              <w:t xml:space="preserve"> </w:t>
            </w:r>
            <w:r>
              <w:rPr>
                <w:rFonts w:ascii="Arial"/>
                <w:b/>
                <w:spacing w:val="-10"/>
                <w:sz w:val="10"/>
              </w:rPr>
              <w:t>a</w:t>
            </w:r>
          </w:p>
          <w:p w14:paraId="71319227" w14:textId="77777777" w:rsidR="002C6574" w:rsidRDefault="00000000">
            <w:pPr>
              <w:pStyle w:val="TableParagraph"/>
              <w:spacing w:line="95" w:lineRule="exact"/>
              <w:ind w:left="283"/>
              <w:jc w:val="left"/>
              <w:rPr>
                <w:rFonts w:ascii="Arial"/>
                <w:b/>
                <w:sz w:val="10"/>
              </w:rPr>
            </w:pPr>
            <w:r>
              <w:rPr>
                <w:rFonts w:ascii="Arial"/>
                <w:b/>
                <w:spacing w:val="-2"/>
                <w:sz w:val="10"/>
              </w:rPr>
              <w:t>20,0%</w:t>
            </w:r>
          </w:p>
        </w:tc>
        <w:tc>
          <w:tcPr>
            <w:tcW w:w="664" w:type="dxa"/>
          </w:tcPr>
          <w:p w14:paraId="15C0DB68" w14:textId="77777777" w:rsidR="002C6574" w:rsidRDefault="00000000">
            <w:pPr>
              <w:pStyle w:val="TableParagraph"/>
              <w:spacing w:before="57"/>
              <w:ind w:left="162"/>
              <w:jc w:val="left"/>
              <w:rPr>
                <w:rFonts w:ascii="Arial"/>
                <w:b/>
                <w:sz w:val="10"/>
              </w:rPr>
            </w:pPr>
            <w:r>
              <w:rPr>
                <w:rFonts w:ascii="Arial"/>
                <w:b/>
                <w:spacing w:val="-2"/>
                <w:sz w:val="10"/>
              </w:rPr>
              <w:t>20,00%</w:t>
            </w:r>
          </w:p>
        </w:tc>
        <w:tc>
          <w:tcPr>
            <w:tcW w:w="750" w:type="dxa"/>
          </w:tcPr>
          <w:p w14:paraId="22ADD45D" w14:textId="77777777" w:rsidR="002C6574" w:rsidRDefault="00000000">
            <w:pPr>
              <w:pStyle w:val="TableParagraph"/>
              <w:spacing w:before="57"/>
              <w:ind w:left="206"/>
              <w:jc w:val="left"/>
              <w:rPr>
                <w:rFonts w:ascii="Arial"/>
                <w:b/>
                <w:sz w:val="10"/>
              </w:rPr>
            </w:pPr>
            <w:r>
              <w:rPr>
                <w:rFonts w:ascii="Arial"/>
                <w:b/>
                <w:spacing w:val="-2"/>
                <w:sz w:val="10"/>
              </w:rPr>
              <w:t>20,00%</w:t>
            </w:r>
          </w:p>
        </w:tc>
        <w:tc>
          <w:tcPr>
            <w:tcW w:w="884" w:type="dxa"/>
          </w:tcPr>
          <w:p w14:paraId="01B8B461" w14:textId="77777777" w:rsidR="002C6574" w:rsidRDefault="00000000">
            <w:pPr>
              <w:pStyle w:val="TableParagraph"/>
              <w:spacing w:line="115" w:lineRule="exact"/>
              <w:ind w:left="16" w:right="2"/>
              <w:jc w:val="center"/>
              <w:rPr>
                <w:rFonts w:ascii="Arial"/>
                <w:b/>
                <w:sz w:val="10"/>
              </w:rPr>
            </w:pPr>
            <w:r>
              <w:rPr>
                <w:rFonts w:ascii="Arial"/>
                <w:b/>
                <w:sz w:val="10"/>
              </w:rPr>
              <w:t>De</w:t>
            </w:r>
            <w:r>
              <w:rPr>
                <w:rFonts w:ascii="Arial"/>
                <w:b/>
                <w:spacing w:val="-3"/>
                <w:sz w:val="10"/>
              </w:rPr>
              <w:t xml:space="preserve"> </w:t>
            </w:r>
            <w:r>
              <w:rPr>
                <w:rFonts w:ascii="Arial"/>
                <w:b/>
                <w:sz w:val="10"/>
              </w:rPr>
              <w:t>10,0%</w:t>
            </w:r>
            <w:r>
              <w:rPr>
                <w:rFonts w:ascii="Arial"/>
                <w:b/>
                <w:spacing w:val="-5"/>
                <w:sz w:val="10"/>
              </w:rPr>
              <w:t xml:space="preserve"> </w:t>
            </w:r>
            <w:r>
              <w:rPr>
                <w:rFonts w:ascii="Arial"/>
                <w:b/>
                <w:spacing w:val="-10"/>
                <w:sz w:val="10"/>
              </w:rPr>
              <w:t>a</w:t>
            </w:r>
          </w:p>
          <w:p w14:paraId="25EC9062" w14:textId="77777777" w:rsidR="002C6574" w:rsidRDefault="00000000">
            <w:pPr>
              <w:pStyle w:val="TableParagraph"/>
              <w:spacing w:line="95" w:lineRule="exact"/>
              <w:ind w:left="16"/>
              <w:jc w:val="center"/>
              <w:rPr>
                <w:rFonts w:ascii="Arial"/>
                <w:b/>
                <w:sz w:val="10"/>
              </w:rPr>
            </w:pPr>
            <w:r>
              <w:rPr>
                <w:rFonts w:ascii="Arial"/>
                <w:b/>
                <w:spacing w:val="-2"/>
                <w:sz w:val="10"/>
              </w:rPr>
              <w:t>20,0%</w:t>
            </w:r>
          </w:p>
        </w:tc>
        <w:tc>
          <w:tcPr>
            <w:tcW w:w="831" w:type="dxa"/>
          </w:tcPr>
          <w:p w14:paraId="7F6BBA58" w14:textId="77777777" w:rsidR="002C6574" w:rsidRDefault="00000000">
            <w:pPr>
              <w:pStyle w:val="TableParagraph"/>
              <w:spacing w:before="57"/>
              <w:ind w:left="252"/>
              <w:jc w:val="left"/>
              <w:rPr>
                <w:rFonts w:ascii="Arial"/>
                <w:b/>
                <w:sz w:val="10"/>
              </w:rPr>
            </w:pPr>
            <w:r>
              <w:rPr>
                <w:rFonts w:ascii="Arial"/>
                <w:b/>
                <w:spacing w:val="-2"/>
                <w:sz w:val="10"/>
              </w:rPr>
              <w:t>20,00%</w:t>
            </w:r>
          </w:p>
        </w:tc>
        <w:tc>
          <w:tcPr>
            <w:tcW w:w="692" w:type="dxa"/>
          </w:tcPr>
          <w:p w14:paraId="62D8C265" w14:textId="77777777" w:rsidR="002C6574" w:rsidRDefault="00000000">
            <w:pPr>
              <w:pStyle w:val="TableParagraph"/>
              <w:spacing w:line="115" w:lineRule="exact"/>
              <w:ind w:left="119"/>
              <w:jc w:val="left"/>
              <w:rPr>
                <w:rFonts w:ascii="Arial"/>
                <w:b/>
                <w:sz w:val="10"/>
              </w:rPr>
            </w:pPr>
            <w:r>
              <w:rPr>
                <w:rFonts w:ascii="Arial"/>
                <w:b/>
                <w:sz w:val="10"/>
              </w:rPr>
              <w:t>De</w:t>
            </w:r>
            <w:r>
              <w:rPr>
                <w:rFonts w:ascii="Arial"/>
                <w:b/>
                <w:spacing w:val="-3"/>
                <w:sz w:val="10"/>
              </w:rPr>
              <w:t xml:space="preserve"> </w:t>
            </w:r>
            <w:r>
              <w:rPr>
                <w:rFonts w:ascii="Arial"/>
                <w:b/>
                <w:sz w:val="10"/>
              </w:rPr>
              <w:t>6,6%</w:t>
            </w:r>
            <w:r>
              <w:rPr>
                <w:rFonts w:ascii="Arial"/>
                <w:b/>
                <w:spacing w:val="-4"/>
                <w:sz w:val="10"/>
              </w:rPr>
              <w:t xml:space="preserve"> </w:t>
            </w:r>
            <w:r>
              <w:rPr>
                <w:rFonts w:ascii="Arial"/>
                <w:b/>
                <w:spacing w:val="-10"/>
                <w:sz w:val="10"/>
              </w:rPr>
              <w:t>a</w:t>
            </w:r>
          </w:p>
          <w:p w14:paraId="30A6836B" w14:textId="77777777" w:rsidR="002C6574" w:rsidRDefault="00000000">
            <w:pPr>
              <w:pStyle w:val="TableParagraph"/>
              <w:spacing w:line="95" w:lineRule="exact"/>
              <w:ind w:left="210"/>
              <w:jc w:val="left"/>
              <w:rPr>
                <w:rFonts w:ascii="Arial"/>
                <w:b/>
                <w:sz w:val="10"/>
              </w:rPr>
            </w:pPr>
            <w:r>
              <w:rPr>
                <w:rFonts w:ascii="Arial"/>
                <w:b/>
                <w:spacing w:val="-2"/>
                <w:sz w:val="10"/>
              </w:rPr>
              <w:t>20,0%</w:t>
            </w:r>
          </w:p>
        </w:tc>
        <w:tc>
          <w:tcPr>
            <w:tcW w:w="848" w:type="dxa"/>
            <w:shd w:val="clear" w:color="auto" w:fill="D8D8D8"/>
          </w:tcPr>
          <w:p w14:paraId="7F0C7AD5" w14:textId="77777777" w:rsidR="002C6574" w:rsidRDefault="002C6574">
            <w:pPr>
              <w:pStyle w:val="TableParagraph"/>
              <w:jc w:val="left"/>
              <w:rPr>
                <w:rFonts w:ascii="Times New Roman"/>
                <w:sz w:val="14"/>
              </w:rPr>
            </w:pPr>
          </w:p>
        </w:tc>
        <w:tc>
          <w:tcPr>
            <w:tcW w:w="697" w:type="dxa"/>
            <w:shd w:val="clear" w:color="auto" w:fill="D8D8D8"/>
          </w:tcPr>
          <w:p w14:paraId="1CD12ADA" w14:textId="77777777" w:rsidR="002C6574" w:rsidRDefault="002C6574">
            <w:pPr>
              <w:pStyle w:val="TableParagraph"/>
              <w:jc w:val="left"/>
              <w:rPr>
                <w:rFonts w:ascii="Times New Roman"/>
                <w:sz w:val="14"/>
              </w:rPr>
            </w:pPr>
          </w:p>
        </w:tc>
      </w:tr>
    </w:tbl>
    <w:p w14:paraId="1AFF5F12" w14:textId="77777777" w:rsidR="002C6574" w:rsidRDefault="002C6574">
      <w:pPr>
        <w:pStyle w:val="Corpodetexto"/>
        <w:spacing w:before="28"/>
        <w:rPr>
          <w:rFonts w:ascii="Arial"/>
          <w:b/>
        </w:rPr>
      </w:pPr>
    </w:p>
    <w:p w14:paraId="51EEEEB5" w14:textId="77777777" w:rsidR="002C6574" w:rsidRDefault="00000000">
      <w:pPr>
        <w:pStyle w:val="PargrafodaLista"/>
        <w:numPr>
          <w:ilvl w:val="1"/>
          <w:numId w:val="37"/>
        </w:numPr>
        <w:tabs>
          <w:tab w:val="left" w:pos="995"/>
        </w:tabs>
        <w:rPr>
          <w:rFonts w:ascii="Arial"/>
          <w:b/>
        </w:rPr>
      </w:pPr>
      <w:r>
        <w:rPr>
          <w:rFonts w:ascii="Arial"/>
          <w:b/>
        </w:rPr>
        <w:t>Bens</w:t>
      </w:r>
      <w:r>
        <w:rPr>
          <w:rFonts w:ascii="Arial"/>
          <w:b/>
          <w:spacing w:val="-3"/>
        </w:rPr>
        <w:t xml:space="preserve"> </w:t>
      </w:r>
      <w:r>
        <w:rPr>
          <w:rFonts w:ascii="Arial"/>
          <w:b/>
        </w:rPr>
        <w:t>totalmente</w:t>
      </w:r>
      <w:r>
        <w:rPr>
          <w:rFonts w:ascii="Arial"/>
          <w:b/>
          <w:spacing w:val="-2"/>
        </w:rPr>
        <w:t xml:space="preserve"> depreciados</w:t>
      </w:r>
    </w:p>
    <w:p w14:paraId="5648864C" w14:textId="77777777" w:rsidR="002C6574" w:rsidRDefault="00000000">
      <w:pPr>
        <w:pStyle w:val="Corpodetexto"/>
        <w:spacing w:before="244"/>
        <w:ind w:left="143" w:right="703"/>
        <w:jc w:val="both"/>
      </w:pPr>
      <w:r>
        <w:rPr>
          <w:w w:val="105"/>
        </w:rPr>
        <w:t>Em</w:t>
      </w:r>
      <w:r>
        <w:rPr>
          <w:spacing w:val="-10"/>
          <w:w w:val="105"/>
        </w:rPr>
        <w:t xml:space="preserve"> </w:t>
      </w:r>
      <w:r>
        <w:rPr>
          <w:w w:val="105"/>
        </w:rPr>
        <w:t>31</w:t>
      </w:r>
      <w:r>
        <w:rPr>
          <w:spacing w:val="-9"/>
          <w:w w:val="105"/>
        </w:rPr>
        <w:t xml:space="preserve"> </w:t>
      </w:r>
      <w:r>
        <w:rPr>
          <w:w w:val="105"/>
        </w:rPr>
        <w:t>de</w:t>
      </w:r>
      <w:r>
        <w:rPr>
          <w:spacing w:val="-12"/>
          <w:w w:val="105"/>
        </w:rPr>
        <w:t xml:space="preserve"> </w:t>
      </w:r>
      <w:r>
        <w:rPr>
          <w:w w:val="105"/>
        </w:rPr>
        <w:t>dezembro</w:t>
      </w:r>
      <w:r>
        <w:rPr>
          <w:spacing w:val="-12"/>
          <w:w w:val="105"/>
        </w:rPr>
        <w:t xml:space="preserve"> </w:t>
      </w:r>
      <w:r>
        <w:rPr>
          <w:w w:val="105"/>
        </w:rPr>
        <w:t>de</w:t>
      </w:r>
      <w:r>
        <w:rPr>
          <w:spacing w:val="-14"/>
          <w:w w:val="105"/>
        </w:rPr>
        <w:t xml:space="preserve"> </w:t>
      </w:r>
      <w:r>
        <w:rPr>
          <w:w w:val="105"/>
        </w:rPr>
        <w:t>2025,</w:t>
      </w:r>
      <w:r>
        <w:rPr>
          <w:spacing w:val="-9"/>
          <w:w w:val="105"/>
        </w:rPr>
        <w:t xml:space="preserve"> </w:t>
      </w:r>
      <w:r>
        <w:rPr>
          <w:w w:val="105"/>
        </w:rPr>
        <w:t>o</w:t>
      </w:r>
      <w:r>
        <w:rPr>
          <w:spacing w:val="-12"/>
          <w:w w:val="105"/>
        </w:rPr>
        <w:t xml:space="preserve"> </w:t>
      </w:r>
      <w:r>
        <w:rPr>
          <w:w w:val="105"/>
        </w:rPr>
        <w:t>imobilizado</w:t>
      </w:r>
      <w:r>
        <w:rPr>
          <w:spacing w:val="-11"/>
          <w:w w:val="105"/>
        </w:rPr>
        <w:t xml:space="preserve"> </w:t>
      </w:r>
      <w:r>
        <w:rPr>
          <w:w w:val="105"/>
        </w:rPr>
        <w:t>apresenta</w:t>
      </w:r>
      <w:r>
        <w:rPr>
          <w:spacing w:val="-11"/>
          <w:w w:val="105"/>
        </w:rPr>
        <w:t xml:space="preserve"> </w:t>
      </w:r>
      <w:r>
        <w:rPr>
          <w:w w:val="105"/>
        </w:rPr>
        <w:t>saldo</w:t>
      </w:r>
      <w:r>
        <w:rPr>
          <w:spacing w:val="-11"/>
          <w:w w:val="105"/>
        </w:rPr>
        <w:t xml:space="preserve"> </w:t>
      </w:r>
      <w:r>
        <w:rPr>
          <w:w w:val="105"/>
        </w:rPr>
        <w:t>de</w:t>
      </w:r>
      <w:r>
        <w:rPr>
          <w:spacing w:val="-12"/>
          <w:w w:val="105"/>
        </w:rPr>
        <w:t xml:space="preserve"> </w:t>
      </w:r>
      <w:r>
        <w:rPr>
          <w:w w:val="105"/>
        </w:rPr>
        <w:t>R$</w:t>
      </w:r>
      <w:r>
        <w:rPr>
          <w:spacing w:val="-12"/>
          <w:w w:val="105"/>
        </w:rPr>
        <w:t xml:space="preserve"> </w:t>
      </w:r>
      <w:r>
        <w:rPr>
          <w:w w:val="105"/>
        </w:rPr>
        <w:t>502.100</w:t>
      </w:r>
      <w:r>
        <w:rPr>
          <w:spacing w:val="-9"/>
          <w:w w:val="105"/>
        </w:rPr>
        <w:t xml:space="preserve"> </w:t>
      </w:r>
      <w:r>
        <w:rPr>
          <w:w w:val="105"/>
        </w:rPr>
        <w:t>(R$</w:t>
      </w:r>
      <w:r>
        <w:rPr>
          <w:spacing w:val="-12"/>
          <w:w w:val="105"/>
        </w:rPr>
        <w:t xml:space="preserve"> </w:t>
      </w:r>
      <w:r>
        <w:rPr>
          <w:w w:val="105"/>
        </w:rPr>
        <w:t>279.508</w:t>
      </w:r>
      <w:r>
        <w:rPr>
          <w:spacing w:val="-11"/>
          <w:w w:val="105"/>
        </w:rPr>
        <w:t xml:space="preserve"> </w:t>
      </w:r>
      <w:r>
        <w:rPr>
          <w:w w:val="105"/>
        </w:rPr>
        <w:t>em</w:t>
      </w:r>
      <w:r>
        <w:rPr>
          <w:spacing w:val="-10"/>
          <w:w w:val="105"/>
        </w:rPr>
        <w:t xml:space="preserve"> </w:t>
      </w:r>
      <w:r>
        <w:rPr>
          <w:w w:val="105"/>
        </w:rPr>
        <w:t>2024), registrado ao custo de aquisição, referente a bens totalmente depreciados. Esses bens estão distribuídos nos seguintes grupos:</w:t>
      </w:r>
    </w:p>
    <w:p w14:paraId="3754E4B5" w14:textId="77777777" w:rsidR="002C6574" w:rsidRDefault="002C6574">
      <w:pPr>
        <w:pStyle w:val="Corpodetexto"/>
        <w:spacing w:before="51"/>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6"/>
        <w:gridCol w:w="1418"/>
        <w:gridCol w:w="1365"/>
      </w:tblGrid>
      <w:tr w:rsidR="002C6574" w14:paraId="12B81561" w14:textId="77777777">
        <w:trPr>
          <w:trHeight w:val="232"/>
        </w:trPr>
        <w:tc>
          <w:tcPr>
            <w:tcW w:w="6986" w:type="dxa"/>
            <w:shd w:val="clear" w:color="auto" w:fill="D8D8D8"/>
          </w:tcPr>
          <w:p w14:paraId="4ED6B817" w14:textId="77777777" w:rsidR="002C6574" w:rsidRDefault="00000000">
            <w:pPr>
              <w:pStyle w:val="TableParagraph"/>
              <w:spacing w:before="11" w:line="201" w:lineRule="exact"/>
              <w:ind w:left="119"/>
              <w:jc w:val="left"/>
              <w:rPr>
                <w:rFonts w:ascii="Arial"/>
                <w:b/>
                <w:sz w:val="18"/>
              </w:rPr>
            </w:pPr>
            <w:r>
              <w:rPr>
                <w:rFonts w:ascii="Arial"/>
                <w:b/>
                <w:spacing w:val="-2"/>
                <w:sz w:val="18"/>
              </w:rPr>
              <w:t>Ativos:</w:t>
            </w:r>
          </w:p>
        </w:tc>
        <w:tc>
          <w:tcPr>
            <w:tcW w:w="1418" w:type="dxa"/>
          </w:tcPr>
          <w:p w14:paraId="1E611702" w14:textId="77777777" w:rsidR="002C6574" w:rsidRDefault="00000000">
            <w:pPr>
              <w:pStyle w:val="TableParagraph"/>
              <w:spacing w:before="11" w:line="201" w:lineRule="exact"/>
              <w:ind w:right="55"/>
              <w:rPr>
                <w:rFonts w:ascii="Arial"/>
                <w:b/>
                <w:sz w:val="18"/>
              </w:rPr>
            </w:pPr>
            <w:r>
              <w:rPr>
                <w:rFonts w:ascii="Arial"/>
                <w:b/>
                <w:spacing w:val="-2"/>
                <w:sz w:val="18"/>
              </w:rPr>
              <w:t>31/12/2025</w:t>
            </w:r>
          </w:p>
        </w:tc>
        <w:tc>
          <w:tcPr>
            <w:tcW w:w="1365" w:type="dxa"/>
          </w:tcPr>
          <w:p w14:paraId="0DBC7A9A" w14:textId="77777777" w:rsidR="002C6574" w:rsidRDefault="00000000">
            <w:pPr>
              <w:pStyle w:val="TableParagraph"/>
              <w:spacing w:before="11" w:line="201" w:lineRule="exact"/>
              <w:ind w:right="55"/>
              <w:rPr>
                <w:rFonts w:ascii="Arial"/>
                <w:b/>
                <w:sz w:val="18"/>
              </w:rPr>
            </w:pPr>
            <w:r>
              <w:rPr>
                <w:rFonts w:ascii="Arial"/>
                <w:b/>
                <w:spacing w:val="-2"/>
                <w:sz w:val="18"/>
              </w:rPr>
              <w:t>31/12/2024</w:t>
            </w:r>
          </w:p>
        </w:tc>
      </w:tr>
      <w:tr w:rsidR="002C6574" w14:paraId="186E15F2" w14:textId="77777777">
        <w:trPr>
          <w:trHeight w:val="232"/>
        </w:trPr>
        <w:tc>
          <w:tcPr>
            <w:tcW w:w="6986" w:type="dxa"/>
          </w:tcPr>
          <w:p w14:paraId="3B18DCE4" w14:textId="77777777" w:rsidR="002C6574" w:rsidRDefault="00000000">
            <w:pPr>
              <w:pStyle w:val="TableParagraph"/>
              <w:spacing w:line="212" w:lineRule="exact"/>
              <w:ind w:left="69"/>
              <w:jc w:val="left"/>
              <w:rPr>
                <w:sz w:val="18"/>
              </w:rPr>
            </w:pPr>
            <w:r>
              <w:rPr>
                <w:sz w:val="18"/>
              </w:rPr>
              <w:t>Equipamentos</w:t>
            </w:r>
            <w:r>
              <w:rPr>
                <w:spacing w:val="10"/>
                <w:sz w:val="18"/>
              </w:rPr>
              <w:t xml:space="preserve"> </w:t>
            </w:r>
            <w:r>
              <w:rPr>
                <w:sz w:val="18"/>
              </w:rPr>
              <w:t>de</w:t>
            </w:r>
            <w:r>
              <w:rPr>
                <w:spacing w:val="11"/>
                <w:sz w:val="18"/>
              </w:rPr>
              <w:t xml:space="preserve"> </w:t>
            </w:r>
            <w:r>
              <w:rPr>
                <w:sz w:val="18"/>
              </w:rPr>
              <w:t>Transmissão</w:t>
            </w:r>
            <w:r>
              <w:rPr>
                <w:spacing w:val="13"/>
                <w:sz w:val="18"/>
              </w:rPr>
              <w:t xml:space="preserve"> </w:t>
            </w:r>
            <w:r>
              <w:rPr>
                <w:sz w:val="18"/>
              </w:rPr>
              <w:t>e</w:t>
            </w:r>
            <w:r>
              <w:rPr>
                <w:spacing w:val="15"/>
                <w:sz w:val="18"/>
              </w:rPr>
              <w:t xml:space="preserve"> </w:t>
            </w:r>
            <w:r>
              <w:rPr>
                <w:sz w:val="18"/>
              </w:rPr>
              <w:t>Comunicação</w:t>
            </w:r>
            <w:r>
              <w:rPr>
                <w:spacing w:val="11"/>
                <w:sz w:val="18"/>
              </w:rPr>
              <w:t xml:space="preserve"> </w:t>
            </w:r>
            <w:r>
              <w:rPr>
                <w:sz w:val="18"/>
              </w:rPr>
              <w:t>de</w:t>
            </w:r>
            <w:r>
              <w:rPr>
                <w:spacing w:val="17"/>
                <w:sz w:val="18"/>
              </w:rPr>
              <w:t xml:space="preserve"> </w:t>
            </w:r>
            <w:r>
              <w:rPr>
                <w:spacing w:val="-4"/>
                <w:sz w:val="18"/>
              </w:rPr>
              <w:t>Dados</w:t>
            </w:r>
          </w:p>
        </w:tc>
        <w:tc>
          <w:tcPr>
            <w:tcW w:w="1418" w:type="dxa"/>
          </w:tcPr>
          <w:p w14:paraId="43DEE893" w14:textId="77777777" w:rsidR="002C6574" w:rsidRDefault="00000000">
            <w:pPr>
              <w:pStyle w:val="TableParagraph"/>
              <w:spacing w:line="212" w:lineRule="exact"/>
              <w:ind w:right="56"/>
              <w:rPr>
                <w:sz w:val="18"/>
              </w:rPr>
            </w:pPr>
            <w:r>
              <w:rPr>
                <w:spacing w:val="-2"/>
                <w:w w:val="105"/>
                <w:sz w:val="18"/>
              </w:rPr>
              <w:t>389.316</w:t>
            </w:r>
          </w:p>
        </w:tc>
        <w:tc>
          <w:tcPr>
            <w:tcW w:w="1365" w:type="dxa"/>
          </w:tcPr>
          <w:p w14:paraId="598D2FC2" w14:textId="77777777" w:rsidR="002C6574" w:rsidRDefault="00000000">
            <w:pPr>
              <w:pStyle w:val="TableParagraph"/>
              <w:spacing w:line="212" w:lineRule="exact"/>
              <w:ind w:right="54"/>
              <w:rPr>
                <w:sz w:val="18"/>
              </w:rPr>
            </w:pPr>
            <w:r>
              <w:rPr>
                <w:spacing w:val="-2"/>
                <w:w w:val="105"/>
                <w:sz w:val="18"/>
              </w:rPr>
              <w:t>175.914</w:t>
            </w:r>
          </w:p>
        </w:tc>
      </w:tr>
      <w:tr w:rsidR="002C6574" w14:paraId="50396843" w14:textId="77777777">
        <w:trPr>
          <w:trHeight w:val="232"/>
        </w:trPr>
        <w:tc>
          <w:tcPr>
            <w:tcW w:w="6986" w:type="dxa"/>
          </w:tcPr>
          <w:p w14:paraId="524CB10A" w14:textId="77777777" w:rsidR="002C6574" w:rsidRDefault="00000000">
            <w:pPr>
              <w:pStyle w:val="TableParagraph"/>
              <w:spacing w:line="212" w:lineRule="exact"/>
              <w:ind w:left="69"/>
              <w:jc w:val="left"/>
              <w:rPr>
                <w:sz w:val="18"/>
              </w:rPr>
            </w:pPr>
            <w:r>
              <w:rPr>
                <w:sz w:val="18"/>
              </w:rPr>
              <w:t>Benfeitorias</w:t>
            </w:r>
            <w:r>
              <w:rPr>
                <w:spacing w:val="3"/>
                <w:sz w:val="18"/>
              </w:rPr>
              <w:t xml:space="preserve"> </w:t>
            </w:r>
            <w:r>
              <w:rPr>
                <w:sz w:val="18"/>
              </w:rPr>
              <w:t>em</w:t>
            </w:r>
            <w:r>
              <w:rPr>
                <w:spacing w:val="3"/>
                <w:sz w:val="18"/>
              </w:rPr>
              <w:t xml:space="preserve"> </w:t>
            </w:r>
            <w:r>
              <w:rPr>
                <w:sz w:val="18"/>
              </w:rPr>
              <w:t>Propriedade de</w:t>
            </w:r>
            <w:r>
              <w:rPr>
                <w:spacing w:val="2"/>
                <w:sz w:val="18"/>
              </w:rPr>
              <w:t xml:space="preserve"> </w:t>
            </w:r>
            <w:r>
              <w:rPr>
                <w:spacing w:val="-2"/>
                <w:sz w:val="18"/>
              </w:rPr>
              <w:t>Terceiros</w:t>
            </w:r>
          </w:p>
        </w:tc>
        <w:tc>
          <w:tcPr>
            <w:tcW w:w="1418" w:type="dxa"/>
          </w:tcPr>
          <w:p w14:paraId="6330BB73" w14:textId="77777777" w:rsidR="002C6574" w:rsidRDefault="00000000">
            <w:pPr>
              <w:pStyle w:val="TableParagraph"/>
              <w:spacing w:line="212" w:lineRule="exact"/>
              <w:ind w:right="55"/>
              <w:rPr>
                <w:sz w:val="18"/>
              </w:rPr>
            </w:pPr>
            <w:r>
              <w:rPr>
                <w:spacing w:val="-2"/>
                <w:w w:val="105"/>
                <w:sz w:val="18"/>
              </w:rPr>
              <w:t>57.780</w:t>
            </w:r>
          </w:p>
        </w:tc>
        <w:tc>
          <w:tcPr>
            <w:tcW w:w="1365" w:type="dxa"/>
          </w:tcPr>
          <w:p w14:paraId="5F941D6B" w14:textId="77777777" w:rsidR="002C6574" w:rsidRDefault="00000000">
            <w:pPr>
              <w:pStyle w:val="TableParagraph"/>
              <w:spacing w:line="212" w:lineRule="exact"/>
              <w:ind w:right="54"/>
              <w:rPr>
                <w:sz w:val="18"/>
              </w:rPr>
            </w:pPr>
            <w:r>
              <w:rPr>
                <w:spacing w:val="-2"/>
                <w:w w:val="105"/>
                <w:sz w:val="18"/>
              </w:rPr>
              <w:t>52.142</w:t>
            </w:r>
          </w:p>
        </w:tc>
      </w:tr>
      <w:tr w:rsidR="002C6574" w14:paraId="6A64C54F" w14:textId="77777777">
        <w:trPr>
          <w:trHeight w:val="230"/>
        </w:trPr>
        <w:tc>
          <w:tcPr>
            <w:tcW w:w="6986" w:type="dxa"/>
          </w:tcPr>
          <w:p w14:paraId="4561BCBD" w14:textId="77777777" w:rsidR="002C6574" w:rsidRDefault="00000000">
            <w:pPr>
              <w:pStyle w:val="TableParagraph"/>
              <w:spacing w:line="210" w:lineRule="exact"/>
              <w:ind w:left="69"/>
              <w:jc w:val="left"/>
              <w:rPr>
                <w:sz w:val="18"/>
              </w:rPr>
            </w:pPr>
            <w:r>
              <w:rPr>
                <w:sz w:val="18"/>
              </w:rPr>
              <w:t>Equipamentos</w:t>
            </w:r>
            <w:r>
              <w:rPr>
                <w:spacing w:val="2"/>
                <w:sz w:val="18"/>
              </w:rPr>
              <w:t xml:space="preserve"> </w:t>
            </w:r>
            <w:r>
              <w:rPr>
                <w:sz w:val="18"/>
              </w:rPr>
              <w:t>de</w:t>
            </w:r>
            <w:r>
              <w:rPr>
                <w:spacing w:val="4"/>
                <w:sz w:val="18"/>
              </w:rPr>
              <w:t xml:space="preserve"> </w:t>
            </w:r>
            <w:r>
              <w:rPr>
                <w:spacing w:val="-2"/>
                <w:sz w:val="18"/>
              </w:rPr>
              <w:t>Infraestrutura</w:t>
            </w:r>
          </w:p>
        </w:tc>
        <w:tc>
          <w:tcPr>
            <w:tcW w:w="1418" w:type="dxa"/>
          </w:tcPr>
          <w:p w14:paraId="519275CD" w14:textId="77777777" w:rsidR="002C6574" w:rsidRDefault="00000000">
            <w:pPr>
              <w:pStyle w:val="TableParagraph"/>
              <w:spacing w:line="210" w:lineRule="exact"/>
              <w:ind w:right="54"/>
              <w:rPr>
                <w:sz w:val="18"/>
              </w:rPr>
            </w:pPr>
            <w:r>
              <w:rPr>
                <w:spacing w:val="-2"/>
                <w:w w:val="105"/>
                <w:sz w:val="18"/>
              </w:rPr>
              <w:t>34.863</w:t>
            </w:r>
          </w:p>
        </w:tc>
        <w:tc>
          <w:tcPr>
            <w:tcW w:w="1365" w:type="dxa"/>
          </w:tcPr>
          <w:p w14:paraId="7ABE1CD3" w14:textId="77777777" w:rsidR="002C6574" w:rsidRDefault="00000000">
            <w:pPr>
              <w:pStyle w:val="TableParagraph"/>
              <w:spacing w:line="210" w:lineRule="exact"/>
              <w:ind w:right="54"/>
              <w:rPr>
                <w:sz w:val="18"/>
              </w:rPr>
            </w:pPr>
            <w:r>
              <w:rPr>
                <w:spacing w:val="-2"/>
                <w:w w:val="105"/>
                <w:sz w:val="18"/>
              </w:rPr>
              <w:t>32.020</w:t>
            </w:r>
          </w:p>
        </w:tc>
      </w:tr>
      <w:tr w:rsidR="002C6574" w14:paraId="73EA1763" w14:textId="77777777">
        <w:trPr>
          <w:trHeight w:val="232"/>
        </w:trPr>
        <w:tc>
          <w:tcPr>
            <w:tcW w:w="6986" w:type="dxa"/>
          </w:tcPr>
          <w:p w14:paraId="36F24EE0" w14:textId="77777777" w:rsidR="002C6574" w:rsidRDefault="00000000">
            <w:pPr>
              <w:pStyle w:val="TableParagraph"/>
              <w:spacing w:line="212" w:lineRule="exact"/>
              <w:ind w:left="69"/>
              <w:jc w:val="left"/>
              <w:rPr>
                <w:sz w:val="18"/>
              </w:rPr>
            </w:pPr>
            <w:r>
              <w:rPr>
                <w:sz w:val="18"/>
              </w:rPr>
              <w:t>Equipamentos</w:t>
            </w:r>
            <w:r>
              <w:rPr>
                <w:spacing w:val="2"/>
                <w:sz w:val="18"/>
              </w:rPr>
              <w:t xml:space="preserve"> </w:t>
            </w:r>
            <w:r>
              <w:rPr>
                <w:sz w:val="18"/>
              </w:rPr>
              <w:t>de</w:t>
            </w:r>
            <w:r>
              <w:rPr>
                <w:spacing w:val="4"/>
                <w:sz w:val="18"/>
              </w:rPr>
              <w:t xml:space="preserve"> </w:t>
            </w:r>
            <w:r>
              <w:rPr>
                <w:sz w:val="18"/>
              </w:rPr>
              <w:t>Tecnologia</w:t>
            </w:r>
            <w:r>
              <w:rPr>
                <w:spacing w:val="1"/>
                <w:sz w:val="18"/>
              </w:rPr>
              <w:t xml:space="preserve"> </w:t>
            </w:r>
            <w:r>
              <w:rPr>
                <w:sz w:val="18"/>
              </w:rPr>
              <w:t>da</w:t>
            </w:r>
            <w:r>
              <w:rPr>
                <w:spacing w:val="7"/>
                <w:sz w:val="18"/>
              </w:rPr>
              <w:t xml:space="preserve"> </w:t>
            </w:r>
            <w:r>
              <w:rPr>
                <w:spacing w:val="-2"/>
                <w:sz w:val="18"/>
              </w:rPr>
              <w:t>Informação</w:t>
            </w:r>
          </w:p>
        </w:tc>
        <w:tc>
          <w:tcPr>
            <w:tcW w:w="1418" w:type="dxa"/>
          </w:tcPr>
          <w:p w14:paraId="08C8C5CA" w14:textId="77777777" w:rsidR="002C6574" w:rsidRDefault="00000000">
            <w:pPr>
              <w:pStyle w:val="TableParagraph"/>
              <w:spacing w:line="212" w:lineRule="exact"/>
              <w:ind w:right="55"/>
              <w:rPr>
                <w:sz w:val="18"/>
              </w:rPr>
            </w:pPr>
            <w:r>
              <w:rPr>
                <w:spacing w:val="-2"/>
                <w:w w:val="105"/>
                <w:sz w:val="18"/>
              </w:rPr>
              <w:t>13.391</w:t>
            </w:r>
          </w:p>
        </w:tc>
        <w:tc>
          <w:tcPr>
            <w:tcW w:w="1365" w:type="dxa"/>
          </w:tcPr>
          <w:p w14:paraId="195884C4" w14:textId="77777777" w:rsidR="002C6574" w:rsidRDefault="00000000">
            <w:pPr>
              <w:pStyle w:val="TableParagraph"/>
              <w:spacing w:line="212" w:lineRule="exact"/>
              <w:ind w:right="54"/>
              <w:rPr>
                <w:sz w:val="18"/>
              </w:rPr>
            </w:pPr>
            <w:r>
              <w:rPr>
                <w:spacing w:val="-2"/>
                <w:w w:val="105"/>
                <w:sz w:val="18"/>
              </w:rPr>
              <w:t>13.391</w:t>
            </w:r>
          </w:p>
        </w:tc>
      </w:tr>
      <w:tr w:rsidR="002C6574" w14:paraId="1C38A9CD" w14:textId="77777777">
        <w:trPr>
          <w:trHeight w:val="232"/>
        </w:trPr>
        <w:tc>
          <w:tcPr>
            <w:tcW w:w="6986" w:type="dxa"/>
          </w:tcPr>
          <w:p w14:paraId="7690160A" w14:textId="77777777" w:rsidR="002C6574" w:rsidRDefault="00000000">
            <w:pPr>
              <w:pStyle w:val="TableParagraph"/>
              <w:spacing w:line="212" w:lineRule="exact"/>
              <w:ind w:left="69"/>
              <w:jc w:val="left"/>
              <w:rPr>
                <w:sz w:val="18"/>
              </w:rPr>
            </w:pPr>
            <w:r>
              <w:rPr>
                <w:sz w:val="18"/>
              </w:rPr>
              <w:t>Equipamentos</w:t>
            </w:r>
            <w:r>
              <w:rPr>
                <w:spacing w:val="6"/>
                <w:sz w:val="18"/>
              </w:rPr>
              <w:t xml:space="preserve"> </w:t>
            </w:r>
            <w:r>
              <w:rPr>
                <w:sz w:val="18"/>
              </w:rPr>
              <w:t>Data</w:t>
            </w:r>
            <w:r>
              <w:rPr>
                <w:spacing w:val="12"/>
                <w:sz w:val="18"/>
              </w:rPr>
              <w:t xml:space="preserve"> </w:t>
            </w:r>
            <w:r>
              <w:rPr>
                <w:spacing w:val="-2"/>
                <w:sz w:val="18"/>
              </w:rPr>
              <w:t>Center</w:t>
            </w:r>
          </w:p>
        </w:tc>
        <w:tc>
          <w:tcPr>
            <w:tcW w:w="1418" w:type="dxa"/>
          </w:tcPr>
          <w:p w14:paraId="10AA7F30" w14:textId="77777777" w:rsidR="002C6574" w:rsidRDefault="00000000">
            <w:pPr>
              <w:pStyle w:val="TableParagraph"/>
              <w:spacing w:line="212" w:lineRule="exact"/>
              <w:ind w:right="54"/>
              <w:rPr>
                <w:sz w:val="18"/>
              </w:rPr>
            </w:pPr>
            <w:r>
              <w:rPr>
                <w:spacing w:val="-4"/>
                <w:w w:val="110"/>
                <w:sz w:val="18"/>
              </w:rPr>
              <w:t>3.577</w:t>
            </w:r>
          </w:p>
        </w:tc>
        <w:tc>
          <w:tcPr>
            <w:tcW w:w="1365" w:type="dxa"/>
          </w:tcPr>
          <w:p w14:paraId="77DE0A28" w14:textId="77777777" w:rsidR="002C6574" w:rsidRDefault="00000000">
            <w:pPr>
              <w:pStyle w:val="TableParagraph"/>
              <w:spacing w:line="212" w:lineRule="exact"/>
              <w:ind w:right="54"/>
              <w:rPr>
                <w:sz w:val="18"/>
              </w:rPr>
            </w:pPr>
            <w:r>
              <w:rPr>
                <w:spacing w:val="-2"/>
                <w:w w:val="110"/>
                <w:sz w:val="18"/>
              </w:rPr>
              <w:t>2.963</w:t>
            </w:r>
          </w:p>
        </w:tc>
      </w:tr>
      <w:tr w:rsidR="002C6574" w14:paraId="2AC0F7D5" w14:textId="77777777">
        <w:trPr>
          <w:trHeight w:val="232"/>
        </w:trPr>
        <w:tc>
          <w:tcPr>
            <w:tcW w:w="6986" w:type="dxa"/>
          </w:tcPr>
          <w:p w14:paraId="44D6EE52" w14:textId="77777777" w:rsidR="002C6574" w:rsidRDefault="00000000">
            <w:pPr>
              <w:pStyle w:val="TableParagraph"/>
              <w:spacing w:line="212" w:lineRule="exact"/>
              <w:ind w:left="69"/>
              <w:jc w:val="left"/>
              <w:rPr>
                <w:sz w:val="18"/>
              </w:rPr>
            </w:pPr>
            <w:r>
              <w:rPr>
                <w:spacing w:val="-2"/>
                <w:sz w:val="18"/>
              </w:rPr>
              <w:t>Mobiliários</w:t>
            </w:r>
          </w:p>
        </w:tc>
        <w:tc>
          <w:tcPr>
            <w:tcW w:w="1418" w:type="dxa"/>
          </w:tcPr>
          <w:p w14:paraId="04819942" w14:textId="77777777" w:rsidR="002C6574" w:rsidRDefault="00000000">
            <w:pPr>
              <w:pStyle w:val="TableParagraph"/>
              <w:spacing w:line="212" w:lineRule="exact"/>
              <w:ind w:right="55"/>
              <w:rPr>
                <w:sz w:val="18"/>
              </w:rPr>
            </w:pPr>
            <w:r>
              <w:rPr>
                <w:spacing w:val="-4"/>
                <w:w w:val="110"/>
                <w:sz w:val="18"/>
              </w:rPr>
              <w:t>2.017</w:t>
            </w:r>
          </w:p>
        </w:tc>
        <w:tc>
          <w:tcPr>
            <w:tcW w:w="1365" w:type="dxa"/>
          </w:tcPr>
          <w:p w14:paraId="7AE127CE" w14:textId="77777777" w:rsidR="002C6574" w:rsidRDefault="00000000">
            <w:pPr>
              <w:pStyle w:val="TableParagraph"/>
              <w:spacing w:line="212" w:lineRule="exact"/>
              <w:ind w:right="54"/>
              <w:rPr>
                <w:sz w:val="18"/>
              </w:rPr>
            </w:pPr>
            <w:r>
              <w:rPr>
                <w:spacing w:val="-2"/>
                <w:w w:val="110"/>
                <w:sz w:val="18"/>
              </w:rPr>
              <w:t>1.922</w:t>
            </w:r>
          </w:p>
        </w:tc>
      </w:tr>
      <w:tr w:rsidR="002C6574" w14:paraId="1E8B1846" w14:textId="77777777">
        <w:trPr>
          <w:trHeight w:val="232"/>
        </w:trPr>
        <w:tc>
          <w:tcPr>
            <w:tcW w:w="6986" w:type="dxa"/>
          </w:tcPr>
          <w:p w14:paraId="47F072BB" w14:textId="77777777" w:rsidR="002C6574" w:rsidRDefault="00000000">
            <w:pPr>
              <w:pStyle w:val="TableParagraph"/>
              <w:spacing w:line="212" w:lineRule="exact"/>
              <w:ind w:left="69"/>
              <w:jc w:val="left"/>
              <w:rPr>
                <w:sz w:val="18"/>
              </w:rPr>
            </w:pPr>
            <w:r>
              <w:rPr>
                <w:w w:val="105"/>
                <w:sz w:val="18"/>
              </w:rPr>
              <w:t>Ferramentas</w:t>
            </w:r>
            <w:r>
              <w:rPr>
                <w:spacing w:val="-7"/>
                <w:w w:val="105"/>
                <w:sz w:val="18"/>
              </w:rPr>
              <w:t xml:space="preserve"> </w:t>
            </w:r>
            <w:r>
              <w:rPr>
                <w:w w:val="105"/>
                <w:sz w:val="18"/>
              </w:rPr>
              <w:t>e</w:t>
            </w:r>
            <w:r>
              <w:rPr>
                <w:spacing w:val="-9"/>
                <w:w w:val="105"/>
                <w:sz w:val="18"/>
              </w:rPr>
              <w:t xml:space="preserve"> </w:t>
            </w:r>
            <w:r>
              <w:rPr>
                <w:spacing w:val="-2"/>
                <w:w w:val="105"/>
                <w:sz w:val="18"/>
              </w:rPr>
              <w:t>Instrumentos</w:t>
            </w:r>
          </w:p>
        </w:tc>
        <w:tc>
          <w:tcPr>
            <w:tcW w:w="1418" w:type="dxa"/>
          </w:tcPr>
          <w:p w14:paraId="6E6E4D4B" w14:textId="77777777" w:rsidR="002C6574" w:rsidRDefault="00000000">
            <w:pPr>
              <w:pStyle w:val="TableParagraph"/>
              <w:spacing w:line="212" w:lineRule="exact"/>
              <w:ind w:right="55"/>
              <w:rPr>
                <w:sz w:val="18"/>
              </w:rPr>
            </w:pPr>
            <w:r>
              <w:rPr>
                <w:spacing w:val="-2"/>
                <w:w w:val="110"/>
                <w:sz w:val="18"/>
              </w:rPr>
              <w:t>1.156</w:t>
            </w:r>
          </w:p>
        </w:tc>
        <w:tc>
          <w:tcPr>
            <w:tcW w:w="1365" w:type="dxa"/>
          </w:tcPr>
          <w:p w14:paraId="18981C87" w14:textId="77777777" w:rsidR="002C6574" w:rsidRDefault="00000000">
            <w:pPr>
              <w:pStyle w:val="TableParagraph"/>
              <w:spacing w:line="212" w:lineRule="exact"/>
              <w:ind w:right="54"/>
              <w:rPr>
                <w:sz w:val="18"/>
              </w:rPr>
            </w:pPr>
            <w:r>
              <w:rPr>
                <w:spacing w:val="-2"/>
                <w:w w:val="110"/>
                <w:sz w:val="18"/>
              </w:rPr>
              <w:t>1.156</w:t>
            </w:r>
          </w:p>
        </w:tc>
      </w:tr>
      <w:tr w:rsidR="002C6574" w14:paraId="4BD73B5C" w14:textId="77777777">
        <w:trPr>
          <w:trHeight w:val="232"/>
        </w:trPr>
        <w:tc>
          <w:tcPr>
            <w:tcW w:w="6986" w:type="dxa"/>
          </w:tcPr>
          <w:p w14:paraId="592EF5DE" w14:textId="77777777" w:rsidR="002C6574" w:rsidRDefault="00000000">
            <w:pPr>
              <w:pStyle w:val="TableParagraph"/>
              <w:spacing w:before="11" w:line="201" w:lineRule="exact"/>
              <w:ind w:left="69"/>
              <w:jc w:val="left"/>
              <w:rPr>
                <w:rFonts w:ascii="Arial"/>
                <w:b/>
                <w:sz w:val="18"/>
              </w:rPr>
            </w:pPr>
            <w:r>
              <w:rPr>
                <w:rFonts w:ascii="Arial"/>
                <w:b/>
                <w:spacing w:val="-2"/>
                <w:sz w:val="18"/>
              </w:rPr>
              <w:t>Total</w:t>
            </w:r>
          </w:p>
        </w:tc>
        <w:tc>
          <w:tcPr>
            <w:tcW w:w="1418" w:type="dxa"/>
          </w:tcPr>
          <w:p w14:paraId="799B2794" w14:textId="77777777" w:rsidR="002C6574" w:rsidRDefault="00000000">
            <w:pPr>
              <w:pStyle w:val="TableParagraph"/>
              <w:spacing w:before="11" w:line="201" w:lineRule="exact"/>
              <w:ind w:right="56"/>
              <w:rPr>
                <w:rFonts w:ascii="Arial"/>
                <w:b/>
                <w:sz w:val="18"/>
              </w:rPr>
            </w:pPr>
            <w:r>
              <w:rPr>
                <w:rFonts w:ascii="Arial"/>
                <w:b/>
                <w:spacing w:val="-2"/>
                <w:sz w:val="18"/>
              </w:rPr>
              <w:t>502.100</w:t>
            </w:r>
          </w:p>
        </w:tc>
        <w:tc>
          <w:tcPr>
            <w:tcW w:w="1365" w:type="dxa"/>
          </w:tcPr>
          <w:p w14:paraId="504A421D" w14:textId="77777777" w:rsidR="002C6574" w:rsidRDefault="00000000">
            <w:pPr>
              <w:pStyle w:val="TableParagraph"/>
              <w:spacing w:before="11" w:line="201" w:lineRule="exact"/>
              <w:ind w:right="54"/>
              <w:rPr>
                <w:rFonts w:ascii="Arial"/>
                <w:b/>
                <w:sz w:val="18"/>
              </w:rPr>
            </w:pPr>
            <w:r>
              <w:rPr>
                <w:rFonts w:ascii="Arial"/>
                <w:b/>
                <w:spacing w:val="-2"/>
                <w:sz w:val="18"/>
              </w:rPr>
              <w:t>279.508</w:t>
            </w:r>
          </w:p>
        </w:tc>
      </w:tr>
    </w:tbl>
    <w:p w14:paraId="1B0D16AF" w14:textId="77777777" w:rsidR="002C6574" w:rsidRDefault="002C6574">
      <w:pPr>
        <w:pStyle w:val="TableParagraph"/>
        <w:spacing w:line="201" w:lineRule="exact"/>
        <w:rPr>
          <w:rFonts w:ascii="Arial"/>
          <w:b/>
          <w:sz w:val="18"/>
        </w:rPr>
        <w:sectPr w:rsidR="002C6574">
          <w:pgSz w:w="11910" w:h="16840"/>
          <w:pgMar w:top="1600" w:right="141" w:bottom="1320" w:left="1133" w:header="856" w:footer="1125" w:gutter="0"/>
          <w:cols w:space="720"/>
        </w:sectPr>
      </w:pPr>
    </w:p>
    <w:p w14:paraId="602BFE61" w14:textId="77777777" w:rsidR="002C6574" w:rsidRDefault="00000000">
      <w:pPr>
        <w:numPr>
          <w:ilvl w:val="1"/>
          <w:numId w:val="37"/>
        </w:numPr>
        <w:tabs>
          <w:tab w:val="left" w:pos="995"/>
        </w:tabs>
        <w:spacing w:before="229"/>
        <w:rPr>
          <w:rFonts w:ascii="Arial"/>
          <w:b/>
        </w:rPr>
      </w:pPr>
      <w:r>
        <w:rPr>
          <w:rFonts w:ascii="Arial"/>
          <w:b/>
          <w:spacing w:val="-2"/>
        </w:rPr>
        <w:lastRenderedPageBreak/>
        <w:t>Seguros</w:t>
      </w:r>
    </w:p>
    <w:p w14:paraId="12CAC208" w14:textId="77777777" w:rsidR="002C6574" w:rsidRDefault="00000000">
      <w:pPr>
        <w:pStyle w:val="Corpodetexto"/>
        <w:spacing w:before="93" w:line="237" w:lineRule="auto"/>
        <w:ind w:left="143" w:right="703"/>
        <w:jc w:val="both"/>
      </w:pPr>
      <w:r>
        <w:t>A Telebras mantém contrato de seguro para cobertura de eventuais perdas relacionadas ao Satélite Geoestacionário de Defesa e Comunicações Estratégicas – SGDC. As principais informações referentes a esse contrato são apresentadas a seguir:</w:t>
      </w:r>
    </w:p>
    <w:p w14:paraId="07826AE0" w14:textId="77777777" w:rsidR="002C6574" w:rsidRDefault="002C6574">
      <w:pPr>
        <w:pStyle w:val="Corpodetexto"/>
        <w:spacing w:before="122"/>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7"/>
        <w:gridCol w:w="1687"/>
        <w:gridCol w:w="1133"/>
        <w:gridCol w:w="1236"/>
        <w:gridCol w:w="1147"/>
        <w:gridCol w:w="2460"/>
      </w:tblGrid>
      <w:tr w:rsidR="002C6574" w14:paraId="22F2E4AE" w14:textId="77777777">
        <w:trPr>
          <w:trHeight w:val="414"/>
        </w:trPr>
        <w:tc>
          <w:tcPr>
            <w:tcW w:w="2107" w:type="dxa"/>
            <w:shd w:val="clear" w:color="auto" w:fill="D8D8D8"/>
          </w:tcPr>
          <w:p w14:paraId="314ACF2B" w14:textId="77777777" w:rsidR="002C6574" w:rsidRDefault="00000000">
            <w:pPr>
              <w:pStyle w:val="TableParagraph"/>
              <w:spacing w:before="104"/>
              <w:ind w:left="69"/>
              <w:jc w:val="left"/>
              <w:rPr>
                <w:rFonts w:ascii="Arial"/>
                <w:b/>
                <w:sz w:val="18"/>
              </w:rPr>
            </w:pPr>
            <w:r>
              <w:rPr>
                <w:rFonts w:ascii="Arial"/>
                <w:b/>
                <w:spacing w:val="-2"/>
                <w:sz w:val="18"/>
              </w:rPr>
              <w:t>Entidades</w:t>
            </w:r>
          </w:p>
        </w:tc>
        <w:tc>
          <w:tcPr>
            <w:tcW w:w="1687" w:type="dxa"/>
            <w:shd w:val="clear" w:color="auto" w:fill="D8D8D8"/>
          </w:tcPr>
          <w:p w14:paraId="1DFA7C84" w14:textId="77777777" w:rsidR="002C6574" w:rsidRDefault="00000000">
            <w:pPr>
              <w:pStyle w:val="TableParagraph"/>
              <w:spacing w:before="104"/>
              <w:ind w:left="9" w:right="3"/>
              <w:jc w:val="center"/>
              <w:rPr>
                <w:rFonts w:ascii="Arial"/>
                <w:b/>
                <w:sz w:val="18"/>
              </w:rPr>
            </w:pPr>
            <w:r>
              <w:rPr>
                <w:rFonts w:ascii="Arial"/>
                <w:b/>
                <w:spacing w:val="-2"/>
                <w:sz w:val="18"/>
              </w:rPr>
              <w:t>Natureza</w:t>
            </w:r>
          </w:p>
        </w:tc>
        <w:tc>
          <w:tcPr>
            <w:tcW w:w="1133" w:type="dxa"/>
            <w:shd w:val="clear" w:color="auto" w:fill="D8D8D8"/>
          </w:tcPr>
          <w:p w14:paraId="2D8789E7" w14:textId="77777777" w:rsidR="002C6574" w:rsidRDefault="00000000">
            <w:pPr>
              <w:pStyle w:val="TableParagraph"/>
              <w:spacing w:line="206" w:lineRule="exact"/>
              <w:ind w:left="86" w:firstLine="254"/>
              <w:jc w:val="left"/>
              <w:rPr>
                <w:rFonts w:ascii="Arial"/>
                <w:b/>
                <w:sz w:val="18"/>
              </w:rPr>
            </w:pPr>
            <w:r>
              <w:rPr>
                <w:rFonts w:ascii="Arial"/>
                <w:b/>
                <w:spacing w:val="-2"/>
                <w:sz w:val="18"/>
              </w:rPr>
              <w:t>Valor Contratado</w:t>
            </w:r>
          </w:p>
        </w:tc>
        <w:tc>
          <w:tcPr>
            <w:tcW w:w="1236" w:type="dxa"/>
            <w:shd w:val="clear" w:color="auto" w:fill="D8D8D8"/>
          </w:tcPr>
          <w:p w14:paraId="43C2345D" w14:textId="77777777" w:rsidR="002C6574" w:rsidRDefault="00000000">
            <w:pPr>
              <w:pStyle w:val="TableParagraph"/>
              <w:spacing w:line="206" w:lineRule="exact"/>
              <w:ind w:left="312" w:right="242" w:hanging="56"/>
              <w:jc w:val="left"/>
              <w:rPr>
                <w:rFonts w:ascii="Arial" w:hAnsi="Arial"/>
                <w:b/>
                <w:sz w:val="18"/>
              </w:rPr>
            </w:pPr>
            <w:r>
              <w:rPr>
                <w:rFonts w:ascii="Arial" w:hAnsi="Arial"/>
                <w:b/>
                <w:sz w:val="18"/>
              </w:rPr>
              <w:t>Valor</w:t>
            </w:r>
            <w:r>
              <w:rPr>
                <w:rFonts w:ascii="Arial" w:hAnsi="Arial"/>
                <w:b/>
                <w:spacing w:val="-13"/>
                <w:sz w:val="18"/>
              </w:rPr>
              <w:t xml:space="preserve"> </w:t>
            </w:r>
            <w:r>
              <w:rPr>
                <w:rFonts w:ascii="Arial" w:hAnsi="Arial"/>
                <w:b/>
                <w:sz w:val="18"/>
              </w:rPr>
              <w:t xml:space="preserve">do </w:t>
            </w:r>
            <w:r>
              <w:rPr>
                <w:rFonts w:ascii="Arial" w:hAnsi="Arial"/>
                <w:b/>
                <w:spacing w:val="-2"/>
                <w:sz w:val="18"/>
              </w:rPr>
              <w:t>Prêmio</w:t>
            </w:r>
          </w:p>
        </w:tc>
        <w:tc>
          <w:tcPr>
            <w:tcW w:w="1147" w:type="dxa"/>
            <w:shd w:val="clear" w:color="auto" w:fill="D8D8D8"/>
          </w:tcPr>
          <w:p w14:paraId="0C5FBEA3" w14:textId="77777777" w:rsidR="002C6574" w:rsidRDefault="00000000">
            <w:pPr>
              <w:pStyle w:val="TableParagraph"/>
              <w:spacing w:line="206" w:lineRule="exact"/>
              <w:ind w:left="86" w:firstLine="259"/>
              <w:jc w:val="left"/>
              <w:rPr>
                <w:rFonts w:ascii="Arial" w:hAnsi="Arial"/>
                <w:b/>
                <w:sz w:val="18"/>
              </w:rPr>
            </w:pPr>
            <w:r>
              <w:rPr>
                <w:rFonts w:ascii="Arial" w:hAnsi="Arial"/>
                <w:b/>
                <w:spacing w:val="-2"/>
                <w:sz w:val="18"/>
              </w:rPr>
              <w:t>Valor Indenizável</w:t>
            </w:r>
          </w:p>
        </w:tc>
        <w:tc>
          <w:tcPr>
            <w:tcW w:w="2460" w:type="dxa"/>
            <w:shd w:val="clear" w:color="auto" w:fill="D8D8D8"/>
          </w:tcPr>
          <w:p w14:paraId="50212770" w14:textId="77777777" w:rsidR="002C6574" w:rsidRDefault="00000000">
            <w:pPr>
              <w:pStyle w:val="TableParagraph"/>
              <w:spacing w:before="104"/>
              <w:ind w:left="9"/>
              <w:jc w:val="center"/>
              <w:rPr>
                <w:rFonts w:ascii="Arial" w:hAnsi="Arial"/>
                <w:b/>
                <w:sz w:val="18"/>
              </w:rPr>
            </w:pPr>
            <w:r>
              <w:rPr>
                <w:rFonts w:ascii="Arial" w:hAnsi="Arial"/>
                <w:b/>
                <w:spacing w:val="-2"/>
                <w:sz w:val="18"/>
              </w:rPr>
              <w:t>Vigência</w:t>
            </w:r>
          </w:p>
        </w:tc>
      </w:tr>
      <w:tr w:rsidR="002C6574" w14:paraId="21B64B98" w14:textId="77777777">
        <w:trPr>
          <w:trHeight w:val="268"/>
        </w:trPr>
        <w:tc>
          <w:tcPr>
            <w:tcW w:w="2107" w:type="dxa"/>
          </w:tcPr>
          <w:p w14:paraId="5B3BBDC0" w14:textId="77777777" w:rsidR="002C6574" w:rsidRDefault="00000000">
            <w:pPr>
              <w:pStyle w:val="TableParagraph"/>
              <w:spacing w:before="4"/>
              <w:ind w:left="69"/>
              <w:jc w:val="left"/>
              <w:rPr>
                <w:sz w:val="18"/>
              </w:rPr>
            </w:pPr>
            <w:r>
              <w:rPr>
                <w:spacing w:val="-2"/>
                <w:sz w:val="18"/>
              </w:rPr>
              <w:t>Mapfre</w:t>
            </w:r>
            <w:r>
              <w:rPr>
                <w:spacing w:val="-4"/>
                <w:sz w:val="18"/>
              </w:rPr>
              <w:t xml:space="preserve"> </w:t>
            </w:r>
            <w:r>
              <w:rPr>
                <w:spacing w:val="-2"/>
                <w:sz w:val="18"/>
              </w:rPr>
              <w:t>Seguros</w:t>
            </w:r>
          </w:p>
        </w:tc>
        <w:tc>
          <w:tcPr>
            <w:tcW w:w="1687" w:type="dxa"/>
          </w:tcPr>
          <w:p w14:paraId="1DEB6716" w14:textId="77777777" w:rsidR="002C6574" w:rsidRDefault="00000000">
            <w:pPr>
              <w:pStyle w:val="TableParagraph"/>
              <w:spacing w:before="4"/>
              <w:ind w:left="9"/>
              <w:jc w:val="center"/>
              <w:rPr>
                <w:sz w:val="18"/>
              </w:rPr>
            </w:pPr>
            <w:r>
              <w:rPr>
                <w:spacing w:val="-2"/>
                <w:sz w:val="18"/>
              </w:rPr>
              <w:t>Seguro</w:t>
            </w:r>
          </w:p>
        </w:tc>
        <w:tc>
          <w:tcPr>
            <w:tcW w:w="1133" w:type="dxa"/>
            <w:shd w:val="clear" w:color="auto" w:fill="D8D8D8"/>
          </w:tcPr>
          <w:p w14:paraId="6ADE85E4" w14:textId="77777777" w:rsidR="002C6574" w:rsidRDefault="002C6574">
            <w:pPr>
              <w:pStyle w:val="TableParagraph"/>
              <w:jc w:val="left"/>
              <w:rPr>
                <w:rFonts w:ascii="Times New Roman"/>
                <w:sz w:val="18"/>
              </w:rPr>
            </w:pPr>
          </w:p>
        </w:tc>
        <w:tc>
          <w:tcPr>
            <w:tcW w:w="1236" w:type="dxa"/>
          </w:tcPr>
          <w:p w14:paraId="75C35FEE" w14:textId="77777777" w:rsidR="002C6574" w:rsidRDefault="00000000">
            <w:pPr>
              <w:pStyle w:val="TableParagraph"/>
              <w:spacing w:before="4"/>
              <w:ind w:left="616"/>
              <w:jc w:val="left"/>
              <w:rPr>
                <w:sz w:val="18"/>
              </w:rPr>
            </w:pPr>
            <w:r>
              <w:rPr>
                <w:spacing w:val="-2"/>
                <w:w w:val="105"/>
                <w:sz w:val="18"/>
              </w:rPr>
              <w:t>13.200</w:t>
            </w:r>
          </w:p>
        </w:tc>
        <w:tc>
          <w:tcPr>
            <w:tcW w:w="1147" w:type="dxa"/>
          </w:tcPr>
          <w:p w14:paraId="63442113" w14:textId="77777777" w:rsidR="002C6574" w:rsidRDefault="00000000">
            <w:pPr>
              <w:pStyle w:val="TableParagraph"/>
              <w:spacing w:before="4"/>
              <w:ind w:left="273"/>
              <w:jc w:val="left"/>
              <w:rPr>
                <w:sz w:val="18"/>
              </w:rPr>
            </w:pPr>
            <w:r>
              <w:rPr>
                <w:spacing w:val="-2"/>
                <w:w w:val="110"/>
                <w:sz w:val="18"/>
              </w:rPr>
              <w:t>1.062.084</w:t>
            </w:r>
          </w:p>
        </w:tc>
        <w:tc>
          <w:tcPr>
            <w:tcW w:w="2460" w:type="dxa"/>
          </w:tcPr>
          <w:p w14:paraId="47B5BA3B" w14:textId="77777777" w:rsidR="002C6574" w:rsidRDefault="00000000">
            <w:pPr>
              <w:pStyle w:val="TableParagraph"/>
              <w:spacing w:before="4"/>
              <w:ind w:left="386"/>
              <w:jc w:val="left"/>
              <w:rPr>
                <w:sz w:val="18"/>
              </w:rPr>
            </w:pPr>
            <w:r>
              <w:rPr>
                <w:sz w:val="18"/>
              </w:rPr>
              <w:t>03/08/2025</w:t>
            </w:r>
            <w:r>
              <w:rPr>
                <w:spacing w:val="-5"/>
                <w:sz w:val="18"/>
              </w:rPr>
              <w:t xml:space="preserve"> </w:t>
            </w:r>
            <w:r>
              <w:rPr>
                <w:sz w:val="18"/>
              </w:rPr>
              <w:t>a</w:t>
            </w:r>
            <w:r>
              <w:rPr>
                <w:spacing w:val="-6"/>
                <w:sz w:val="18"/>
              </w:rPr>
              <w:t xml:space="preserve"> </w:t>
            </w:r>
            <w:r>
              <w:rPr>
                <w:spacing w:val="-2"/>
                <w:sz w:val="18"/>
              </w:rPr>
              <w:t>03/08/2026</w:t>
            </w:r>
          </w:p>
        </w:tc>
      </w:tr>
    </w:tbl>
    <w:p w14:paraId="697EB7BF" w14:textId="77777777" w:rsidR="002C6574" w:rsidRDefault="002C6574">
      <w:pPr>
        <w:pStyle w:val="Corpodetexto"/>
        <w:spacing w:before="1"/>
      </w:pPr>
    </w:p>
    <w:p w14:paraId="3D5BF6B3" w14:textId="77777777" w:rsidR="002C6574" w:rsidRDefault="00000000">
      <w:pPr>
        <w:numPr>
          <w:ilvl w:val="0"/>
          <w:numId w:val="54"/>
        </w:numPr>
        <w:tabs>
          <w:tab w:val="left" w:pos="995"/>
        </w:tabs>
        <w:ind w:left="995" w:hanging="852"/>
        <w:rPr>
          <w:rFonts w:ascii="Arial" w:hAnsi="Arial"/>
          <w:b/>
        </w:rPr>
      </w:pPr>
      <w:r>
        <w:rPr>
          <w:rFonts w:ascii="Arial" w:hAnsi="Arial"/>
          <w:b/>
          <w:spacing w:val="-2"/>
        </w:rPr>
        <w:t>INTANGÍVEL</w:t>
      </w:r>
    </w:p>
    <w:p w14:paraId="0C14027A" w14:textId="77777777" w:rsidR="002C6574" w:rsidRDefault="00000000">
      <w:pPr>
        <w:pStyle w:val="Corpodetexto"/>
        <w:spacing w:before="246" w:line="237" w:lineRule="auto"/>
        <w:ind w:left="143" w:right="702"/>
        <w:jc w:val="both"/>
      </w:pPr>
      <w:r>
        <w:t>No intangível são registrados os direitos que tenham por objeto bens incorpóreos destinados à manutenção da Companhia ou exercidos com essa finalidade, deduzidos das respectivas amortizações e da provisão para redução ao valor recuperável quando houver indicação de que os valores contábeis dos bens intangíveis estão superiores ao valor de recuperação. O valor contábil</w:t>
      </w:r>
      <w:r>
        <w:rPr>
          <w:spacing w:val="-1"/>
        </w:rPr>
        <w:t xml:space="preserve"> </w:t>
      </w:r>
      <w:r>
        <w:t>do intangível em 31 de dezembro de 2025 era de R$ 26.581 (R$ 19.403 em 31 de dezembro de 2024), conforme quadro abaixo.</w:t>
      </w:r>
    </w:p>
    <w:p w14:paraId="76AFC6CD" w14:textId="77777777" w:rsidR="002C6574" w:rsidRDefault="002C6574">
      <w:pPr>
        <w:pStyle w:val="Corpodetexto"/>
        <w:spacing w:before="62"/>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1431"/>
        <w:gridCol w:w="1652"/>
        <w:gridCol w:w="1249"/>
        <w:gridCol w:w="1052"/>
      </w:tblGrid>
      <w:tr w:rsidR="002C6574" w14:paraId="4175267C" w14:textId="77777777">
        <w:trPr>
          <w:trHeight w:val="230"/>
        </w:trPr>
        <w:tc>
          <w:tcPr>
            <w:tcW w:w="4390" w:type="dxa"/>
            <w:vMerge w:val="restart"/>
            <w:shd w:val="clear" w:color="auto" w:fill="D8D8D8"/>
          </w:tcPr>
          <w:p w14:paraId="506AA76C" w14:textId="77777777" w:rsidR="002C6574" w:rsidRDefault="00000000">
            <w:pPr>
              <w:pStyle w:val="TableParagraph"/>
              <w:spacing w:before="222"/>
              <w:ind w:left="69"/>
              <w:jc w:val="left"/>
              <w:rPr>
                <w:rFonts w:ascii="Arial" w:hAnsi="Arial"/>
                <w:b/>
                <w:sz w:val="18"/>
              </w:rPr>
            </w:pPr>
            <w:r>
              <w:rPr>
                <w:rFonts w:ascii="Arial" w:hAnsi="Arial"/>
                <w:b/>
                <w:spacing w:val="-2"/>
                <w:sz w:val="18"/>
              </w:rPr>
              <w:t>Composição:</w:t>
            </w:r>
          </w:p>
        </w:tc>
        <w:tc>
          <w:tcPr>
            <w:tcW w:w="5384" w:type="dxa"/>
            <w:gridSpan w:val="4"/>
          </w:tcPr>
          <w:p w14:paraId="26A5CB4E" w14:textId="77777777" w:rsidR="002C6574" w:rsidRDefault="00000000">
            <w:pPr>
              <w:pStyle w:val="TableParagraph"/>
              <w:spacing w:before="11" w:line="199" w:lineRule="exact"/>
              <w:ind w:left="6"/>
              <w:jc w:val="center"/>
              <w:rPr>
                <w:rFonts w:ascii="Arial" w:hAnsi="Arial"/>
                <w:b/>
                <w:sz w:val="18"/>
              </w:rPr>
            </w:pPr>
            <w:r>
              <w:rPr>
                <w:rFonts w:ascii="Arial" w:hAnsi="Arial"/>
                <w:b/>
                <w:spacing w:val="-2"/>
                <w:sz w:val="18"/>
              </w:rPr>
              <w:t>Intangível</w:t>
            </w:r>
          </w:p>
        </w:tc>
      </w:tr>
      <w:tr w:rsidR="002C6574" w14:paraId="21953621" w14:textId="77777777">
        <w:trPr>
          <w:trHeight w:val="414"/>
        </w:trPr>
        <w:tc>
          <w:tcPr>
            <w:tcW w:w="4390" w:type="dxa"/>
            <w:vMerge/>
            <w:tcBorders>
              <w:top w:val="nil"/>
            </w:tcBorders>
            <w:shd w:val="clear" w:color="auto" w:fill="D8D8D8"/>
          </w:tcPr>
          <w:p w14:paraId="465230E6" w14:textId="77777777" w:rsidR="002C6574" w:rsidRDefault="002C6574">
            <w:pPr>
              <w:rPr>
                <w:sz w:val="2"/>
                <w:szCs w:val="2"/>
              </w:rPr>
            </w:pPr>
          </w:p>
        </w:tc>
        <w:tc>
          <w:tcPr>
            <w:tcW w:w="1431" w:type="dxa"/>
          </w:tcPr>
          <w:p w14:paraId="5A2AB6D4" w14:textId="77777777" w:rsidR="002C6574" w:rsidRDefault="00000000">
            <w:pPr>
              <w:pStyle w:val="TableParagraph"/>
              <w:spacing w:line="206" w:lineRule="exact"/>
              <w:ind w:left="234" w:firstLine="84"/>
              <w:jc w:val="left"/>
              <w:rPr>
                <w:rFonts w:ascii="Arial"/>
                <w:b/>
                <w:sz w:val="18"/>
              </w:rPr>
            </w:pPr>
            <w:r>
              <w:rPr>
                <w:rFonts w:ascii="Arial"/>
                <w:b/>
                <w:spacing w:val="-2"/>
                <w:sz w:val="18"/>
              </w:rPr>
              <w:t>Sistemas Aplicativos</w:t>
            </w:r>
          </w:p>
        </w:tc>
        <w:tc>
          <w:tcPr>
            <w:tcW w:w="1652" w:type="dxa"/>
          </w:tcPr>
          <w:p w14:paraId="33B4C399" w14:textId="77777777" w:rsidR="002C6574" w:rsidRDefault="00000000">
            <w:pPr>
              <w:pStyle w:val="TableParagraph"/>
              <w:spacing w:line="206" w:lineRule="exact"/>
              <w:ind w:left="258" w:right="207" w:hanging="41"/>
              <w:jc w:val="left"/>
              <w:rPr>
                <w:rFonts w:ascii="Arial" w:hAnsi="Arial"/>
                <w:b/>
                <w:sz w:val="18"/>
              </w:rPr>
            </w:pPr>
            <w:r>
              <w:rPr>
                <w:rFonts w:ascii="Arial" w:hAnsi="Arial"/>
                <w:b/>
                <w:sz w:val="18"/>
              </w:rPr>
              <w:t>Direitos</w:t>
            </w:r>
            <w:r>
              <w:rPr>
                <w:rFonts w:ascii="Arial" w:hAnsi="Arial"/>
                <w:b/>
                <w:spacing w:val="-13"/>
                <w:sz w:val="18"/>
              </w:rPr>
              <w:t xml:space="preserve"> </w:t>
            </w:r>
            <w:r>
              <w:rPr>
                <w:rFonts w:ascii="Arial" w:hAnsi="Arial"/>
                <w:b/>
                <w:sz w:val="18"/>
              </w:rPr>
              <w:t xml:space="preserve">sobre </w:t>
            </w:r>
            <w:r>
              <w:rPr>
                <w:rFonts w:ascii="Arial" w:hAnsi="Arial"/>
                <w:b/>
                <w:spacing w:val="-2"/>
                <w:sz w:val="18"/>
              </w:rPr>
              <w:t>Autorizações</w:t>
            </w:r>
          </w:p>
        </w:tc>
        <w:tc>
          <w:tcPr>
            <w:tcW w:w="1249" w:type="dxa"/>
          </w:tcPr>
          <w:p w14:paraId="38C0A398" w14:textId="77777777" w:rsidR="002C6574" w:rsidRDefault="00000000">
            <w:pPr>
              <w:pStyle w:val="TableParagraph"/>
              <w:spacing w:line="206" w:lineRule="exact"/>
              <w:ind w:left="449" w:right="148" w:hanging="296"/>
              <w:jc w:val="left"/>
              <w:rPr>
                <w:rFonts w:ascii="Arial"/>
                <w:b/>
                <w:sz w:val="18"/>
              </w:rPr>
            </w:pPr>
            <w:r>
              <w:rPr>
                <w:rFonts w:ascii="Arial"/>
                <w:b/>
                <w:sz w:val="18"/>
              </w:rPr>
              <w:t>Direitos</w:t>
            </w:r>
            <w:r>
              <w:rPr>
                <w:rFonts w:ascii="Arial"/>
                <w:b/>
                <w:spacing w:val="-13"/>
                <w:sz w:val="18"/>
              </w:rPr>
              <w:t xml:space="preserve"> </w:t>
            </w:r>
            <w:r>
              <w:rPr>
                <w:rFonts w:ascii="Arial"/>
                <w:b/>
                <w:sz w:val="18"/>
              </w:rPr>
              <w:t xml:space="preserve">de </w:t>
            </w:r>
            <w:r>
              <w:rPr>
                <w:rFonts w:ascii="Arial"/>
                <w:b/>
                <w:spacing w:val="-4"/>
                <w:sz w:val="18"/>
              </w:rPr>
              <w:t>Uso</w:t>
            </w:r>
          </w:p>
        </w:tc>
        <w:tc>
          <w:tcPr>
            <w:tcW w:w="1052" w:type="dxa"/>
          </w:tcPr>
          <w:p w14:paraId="5150BDFB" w14:textId="77777777" w:rsidR="002C6574" w:rsidRDefault="00000000">
            <w:pPr>
              <w:pStyle w:val="TableParagraph"/>
              <w:spacing w:before="104"/>
              <w:ind w:left="304"/>
              <w:jc w:val="left"/>
              <w:rPr>
                <w:rFonts w:ascii="Arial"/>
                <w:b/>
                <w:sz w:val="18"/>
              </w:rPr>
            </w:pPr>
            <w:r>
              <w:rPr>
                <w:rFonts w:ascii="Arial"/>
                <w:b/>
                <w:spacing w:val="-2"/>
                <w:sz w:val="18"/>
              </w:rPr>
              <w:t>Total</w:t>
            </w:r>
          </w:p>
        </w:tc>
      </w:tr>
      <w:tr w:rsidR="002C6574" w14:paraId="5D753623" w14:textId="77777777">
        <w:trPr>
          <w:trHeight w:val="232"/>
        </w:trPr>
        <w:tc>
          <w:tcPr>
            <w:tcW w:w="4390" w:type="dxa"/>
          </w:tcPr>
          <w:p w14:paraId="744A51B3" w14:textId="77777777" w:rsidR="002C6574" w:rsidRDefault="00000000">
            <w:pPr>
              <w:pStyle w:val="TableParagraph"/>
              <w:spacing w:before="11" w:line="201" w:lineRule="exact"/>
              <w:ind w:left="69"/>
              <w:jc w:val="left"/>
              <w:rPr>
                <w:rFonts w:ascii="Arial" w:hAnsi="Arial"/>
                <w:b/>
                <w:sz w:val="18"/>
              </w:rPr>
            </w:pPr>
            <w:r>
              <w:rPr>
                <w:rFonts w:ascii="Arial" w:hAnsi="Arial"/>
                <w:b/>
                <w:sz w:val="18"/>
              </w:rPr>
              <w:t>Custo</w:t>
            </w:r>
            <w:r>
              <w:rPr>
                <w:rFonts w:ascii="Arial" w:hAnsi="Arial"/>
                <w:b/>
                <w:spacing w:val="1"/>
                <w:sz w:val="18"/>
              </w:rPr>
              <w:t xml:space="preserve"> </w:t>
            </w:r>
            <w:r>
              <w:rPr>
                <w:rFonts w:ascii="Arial" w:hAnsi="Arial"/>
                <w:b/>
                <w:sz w:val="18"/>
              </w:rPr>
              <w:t>de</w:t>
            </w:r>
            <w:r>
              <w:rPr>
                <w:rFonts w:ascii="Arial" w:hAnsi="Arial"/>
                <w:b/>
                <w:spacing w:val="1"/>
                <w:sz w:val="18"/>
              </w:rPr>
              <w:t xml:space="preserve"> </w:t>
            </w:r>
            <w:r>
              <w:rPr>
                <w:rFonts w:ascii="Arial" w:hAnsi="Arial"/>
                <w:b/>
                <w:spacing w:val="-2"/>
                <w:sz w:val="18"/>
              </w:rPr>
              <w:t>Aquisição</w:t>
            </w:r>
          </w:p>
        </w:tc>
        <w:tc>
          <w:tcPr>
            <w:tcW w:w="1431" w:type="dxa"/>
          </w:tcPr>
          <w:p w14:paraId="622D2554" w14:textId="77777777" w:rsidR="002C6574" w:rsidRDefault="002C6574">
            <w:pPr>
              <w:pStyle w:val="TableParagraph"/>
              <w:jc w:val="left"/>
              <w:rPr>
                <w:rFonts w:ascii="Times New Roman"/>
                <w:sz w:val="16"/>
              </w:rPr>
            </w:pPr>
          </w:p>
        </w:tc>
        <w:tc>
          <w:tcPr>
            <w:tcW w:w="1652" w:type="dxa"/>
          </w:tcPr>
          <w:p w14:paraId="78FDF788" w14:textId="77777777" w:rsidR="002C6574" w:rsidRDefault="002C6574">
            <w:pPr>
              <w:pStyle w:val="TableParagraph"/>
              <w:jc w:val="left"/>
              <w:rPr>
                <w:rFonts w:ascii="Times New Roman"/>
                <w:sz w:val="16"/>
              </w:rPr>
            </w:pPr>
          </w:p>
        </w:tc>
        <w:tc>
          <w:tcPr>
            <w:tcW w:w="1249" w:type="dxa"/>
          </w:tcPr>
          <w:p w14:paraId="420E0B73" w14:textId="77777777" w:rsidR="002C6574" w:rsidRDefault="002C6574">
            <w:pPr>
              <w:pStyle w:val="TableParagraph"/>
              <w:jc w:val="left"/>
              <w:rPr>
                <w:rFonts w:ascii="Times New Roman"/>
                <w:sz w:val="16"/>
              </w:rPr>
            </w:pPr>
          </w:p>
        </w:tc>
        <w:tc>
          <w:tcPr>
            <w:tcW w:w="1052" w:type="dxa"/>
          </w:tcPr>
          <w:p w14:paraId="2FDA1C1C" w14:textId="77777777" w:rsidR="002C6574" w:rsidRDefault="002C6574">
            <w:pPr>
              <w:pStyle w:val="TableParagraph"/>
              <w:jc w:val="left"/>
              <w:rPr>
                <w:rFonts w:ascii="Times New Roman"/>
                <w:sz w:val="16"/>
              </w:rPr>
            </w:pPr>
          </w:p>
        </w:tc>
      </w:tr>
      <w:tr w:rsidR="002C6574" w14:paraId="02502CAE" w14:textId="77777777">
        <w:trPr>
          <w:trHeight w:val="232"/>
        </w:trPr>
        <w:tc>
          <w:tcPr>
            <w:tcW w:w="4390" w:type="dxa"/>
          </w:tcPr>
          <w:p w14:paraId="74AABFFE" w14:textId="77777777" w:rsidR="002C6574" w:rsidRDefault="00000000">
            <w:pPr>
              <w:pStyle w:val="TableParagraph"/>
              <w:spacing w:before="25"/>
              <w:ind w:left="69"/>
              <w:jc w:val="left"/>
              <w:rPr>
                <w:rFonts w:ascii="Arial"/>
                <w:b/>
                <w:sz w:val="16"/>
              </w:rPr>
            </w:pPr>
            <w:r>
              <w:rPr>
                <w:rFonts w:ascii="Arial"/>
                <w:b/>
                <w:sz w:val="16"/>
              </w:rPr>
              <w:t>Saldo</w:t>
            </w:r>
            <w:r>
              <w:rPr>
                <w:rFonts w:ascii="Arial"/>
                <w:b/>
                <w:spacing w:val="-4"/>
                <w:sz w:val="16"/>
              </w:rPr>
              <w:t xml:space="preserve"> </w:t>
            </w:r>
            <w:r>
              <w:rPr>
                <w:rFonts w:ascii="Arial"/>
                <w:b/>
                <w:sz w:val="16"/>
              </w:rPr>
              <w:t>em</w:t>
            </w:r>
            <w:r>
              <w:rPr>
                <w:rFonts w:ascii="Arial"/>
                <w:b/>
                <w:spacing w:val="1"/>
                <w:sz w:val="16"/>
              </w:rPr>
              <w:t xml:space="preserve"> </w:t>
            </w:r>
            <w:r>
              <w:rPr>
                <w:rFonts w:ascii="Arial"/>
                <w:b/>
                <w:sz w:val="16"/>
              </w:rPr>
              <w:t>31</w:t>
            </w:r>
            <w:r>
              <w:rPr>
                <w:rFonts w:ascii="Arial"/>
                <w:b/>
                <w:spacing w:val="-4"/>
                <w:sz w:val="16"/>
              </w:rPr>
              <w:t xml:space="preserve"> </w:t>
            </w:r>
            <w:r>
              <w:rPr>
                <w:rFonts w:ascii="Arial"/>
                <w:b/>
                <w:sz w:val="16"/>
              </w:rPr>
              <w:t>de</w:t>
            </w:r>
            <w:r>
              <w:rPr>
                <w:rFonts w:ascii="Arial"/>
                <w:b/>
                <w:spacing w:val="-1"/>
                <w:sz w:val="16"/>
              </w:rPr>
              <w:t xml:space="preserve"> </w:t>
            </w:r>
            <w:r>
              <w:rPr>
                <w:rFonts w:ascii="Arial"/>
                <w:b/>
                <w:sz w:val="16"/>
              </w:rPr>
              <w:t>dezembro</w:t>
            </w:r>
            <w:r>
              <w:rPr>
                <w:rFonts w:ascii="Arial"/>
                <w:b/>
                <w:spacing w:val="-3"/>
                <w:sz w:val="16"/>
              </w:rPr>
              <w:t xml:space="preserve"> </w:t>
            </w:r>
            <w:r>
              <w:rPr>
                <w:rFonts w:ascii="Arial"/>
                <w:b/>
                <w:sz w:val="16"/>
              </w:rPr>
              <w:t>de</w:t>
            </w:r>
            <w:r>
              <w:rPr>
                <w:rFonts w:ascii="Arial"/>
                <w:b/>
                <w:spacing w:val="-2"/>
                <w:sz w:val="16"/>
              </w:rPr>
              <w:t xml:space="preserve"> </w:t>
            </w:r>
            <w:r>
              <w:rPr>
                <w:rFonts w:ascii="Arial"/>
                <w:b/>
                <w:spacing w:val="-4"/>
                <w:sz w:val="16"/>
              </w:rPr>
              <w:t>2024</w:t>
            </w:r>
          </w:p>
        </w:tc>
        <w:tc>
          <w:tcPr>
            <w:tcW w:w="1431" w:type="dxa"/>
          </w:tcPr>
          <w:p w14:paraId="559466F6" w14:textId="77777777" w:rsidR="002C6574" w:rsidRDefault="00000000">
            <w:pPr>
              <w:pStyle w:val="TableParagraph"/>
              <w:spacing w:before="11" w:line="201" w:lineRule="exact"/>
              <w:ind w:right="56"/>
              <w:rPr>
                <w:rFonts w:ascii="Arial"/>
                <w:b/>
                <w:sz w:val="18"/>
              </w:rPr>
            </w:pPr>
            <w:r>
              <w:rPr>
                <w:rFonts w:ascii="Arial"/>
                <w:b/>
                <w:spacing w:val="-2"/>
                <w:sz w:val="18"/>
              </w:rPr>
              <w:t>58.627</w:t>
            </w:r>
          </w:p>
        </w:tc>
        <w:tc>
          <w:tcPr>
            <w:tcW w:w="1652" w:type="dxa"/>
          </w:tcPr>
          <w:p w14:paraId="393ED697" w14:textId="77777777" w:rsidR="002C6574" w:rsidRDefault="00000000">
            <w:pPr>
              <w:pStyle w:val="TableParagraph"/>
              <w:spacing w:before="11" w:line="201" w:lineRule="exact"/>
              <w:ind w:right="57"/>
              <w:rPr>
                <w:rFonts w:ascii="Arial"/>
                <w:b/>
                <w:sz w:val="18"/>
              </w:rPr>
            </w:pPr>
            <w:r>
              <w:rPr>
                <w:rFonts w:ascii="Arial"/>
                <w:b/>
                <w:spacing w:val="-2"/>
                <w:sz w:val="18"/>
              </w:rPr>
              <w:t>3.946</w:t>
            </w:r>
          </w:p>
        </w:tc>
        <w:tc>
          <w:tcPr>
            <w:tcW w:w="1249" w:type="dxa"/>
          </w:tcPr>
          <w:p w14:paraId="3ABB35EC" w14:textId="77777777" w:rsidR="002C6574" w:rsidRDefault="00000000">
            <w:pPr>
              <w:pStyle w:val="TableParagraph"/>
              <w:spacing w:before="11" w:line="201" w:lineRule="exact"/>
              <w:ind w:right="61"/>
              <w:rPr>
                <w:rFonts w:ascii="Arial"/>
                <w:b/>
                <w:sz w:val="18"/>
              </w:rPr>
            </w:pPr>
            <w:r>
              <w:rPr>
                <w:rFonts w:ascii="Arial"/>
                <w:b/>
                <w:spacing w:val="-2"/>
                <w:sz w:val="18"/>
              </w:rPr>
              <w:t>1.449</w:t>
            </w:r>
          </w:p>
        </w:tc>
        <w:tc>
          <w:tcPr>
            <w:tcW w:w="1052" w:type="dxa"/>
          </w:tcPr>
          <w:p w14:paraId="3B107B1F" w14:textId="77777777" w:rsidR="002C6574" w:rsidRDefault="00000000">
            <w:pPr>
              <w:pStyle w:val="TableParagraph"/>
              <w:spacing w:before="11" w:line="201" w:lineRule="exact"/>
              <w:ind w:right="61"/>
              <w:rPr>
                <w:rFonts w:ascii="Arial"/>
                <w:b/>
                <w:sz w:val="18"/>
              </w:rPr>
            </w:pPr>
            <w:r>
              <w:rPr>
                <w:rFonts w:ascii="Arial"/>
                <w:b/>
                <w:spacing w:val="-2"/>
                <w:sz w:val="18"/>
              </w:rPr>
              <w:t>64.022</w:t>
            </w:r>
          </w:p>
        </w:tc>
      </w:tr>
      <w:tr w:rsidR="002C6574" w14:paraId="089B73F9" w14:textId="77777777">
        <w:trPr>
          <w:trHeight w:val="230"/>
        </w:trPr>
        <w:tc>
          <w:tcPr>
            <w:tcW w:w="4390" w:type="dxa"/>
          </w:tcPr>
          <w:p w14:paraId="58CECF93" w14:textId="77777777" w:rsidR="002C6574" w:rsidRDefault="00000000">
            <w:pPr>
              <w:pStyle w:val="TableParagraph"/>
              <w:spacing w:line="210" w:lineRule="exact"/>
              <w:ind w:left="114"/>
              <w:jc w:val="left"/>
              <w:rPr>
                <w:sz w:val="16"/>
              </w:rPr>
            </w:pPr>
            <w:r>
              <w:rPr>
                <w:sz w:val="16"/>
              </w:rPr>
              <w:t>Transferências</w:t>
            </w:r>
            <w:r>
              <w:rPr>
                <w:spacing w:val="19"/>
                <w:sz w:val="16"/>
              </w:rPr>
              <w:t xml:space="preserve"> </w:t>
            </w:r>
            <w:r>
              <w:rPr>
                <w:sz w:val="16"/>
              </w:rPr>
              <w:t>do</w:t>
            </w:r>
            <w:r>
              <w:rPr>
                <w:spacing w:val="16"/>
                <w:sz w:val="16"/>
              </w:rPr>
              <w:t xml:space="preserve"> </w:t>
            </w:r>
            <w:r>
              <w:rPr>
                <w:spacing w:val="-2"/>
                <w:sz w:val="16"/>
              </w:rPr>
              <w:t>Imobilizado</w:t>
            </w:r>
          </w:p>
        </w:tc>
        <w:tc>
          <w:tcPr>
            <w:tcW w:w="1431" w:type="dxa"/>
          </w:tcPr>
          <w:p w14:paraId="10FE155F" w14:textId="77777777" w:rsidR="002C6574" w:rsidRDefault="00000000">
            <w:pPr>
              <w:pStyle w:val="TableParagraph"/>
              <w:spacing w:line="210" w:lineRule="exact"/>
              <w:ind w:right="56"/>
              <w:rPr>
                <w:sz w:val="18"/>
              </w:rPr>
            </w:pPr>
            <w:r>
              <w:rPr>
                <w:spacing w:val="-2"/>
                <w:w w:val="105"/>
                <w:sz w:val="18"/>
              </w:rPr>
              <w:t>17.143</w:t>
            </w:r>
          </w:p>
        </w:tc>
        <w:tc>
          <w:tcPr>
            <w:tcW w:w="1652" w:type="dxa"/>
          </w:tcPr>
          <w:p w14:paraId="7E869541" w14:textId="77777777" w:rsidR="002C6574" w:rsidRDefault="00000000">
            <w:pPr>
              <w:pStyle w:val="TableParagraph"/>
              <w:spacing w:line="210" w:lineRule="exact"/>
              <w:ind w:right="58"/>
              <w:rPr>
                <w:sz w:val="18"/>
              </w:rPr>
            </w:pPr>
            <w:r>
              <w:rPr>
                <w:spacing w:val="-5"/>
                <w:w w:val="105"/>
                <w:sz w:val="18"/>
              </w:rPr>
              <w:t>17</w:t>
            </w:r>
          </w:p>
        </w:tc>
        <w:tc>
          <w:tcPr>
            <w:tcW w:w="1249" w:type="dxa"/>
          </w:tcPr>
          <w:p w14:paraId="0C18E437" w14:textId="77777777" w:rsidR="002C6574" w:rsidRDefault="002C6574">
            <w:pPr>
              <w:pStyle w:val="TableParagraph"/>
              <w:jc w:val="left"/>
              <w:rPr>
                <w:rFonts w:ascii="Times New Roman"/>
                <w:sz w:val="16"/>
              </w:rPr>
            </w:pPr>
          </w:p>
        </w:tc>
        <w:tc>
          <w:tcPr>
            <w:tcW w:w="1052" w:type="dxa"/>
          </w:tcPr>
          <w:p w14:paraId="31F7C05D" w14:textId="77777777" w:rsidR="002C6574" w:rsidRDefault="00000000">
            <w:pPr>
              <w:pStyle w:val="TableParagraph"/>
              <w:spacing w:before="11" w:line="199" w:lineRule="exact"/>
              <w:ind w:right="61"/>
              <w:rPr>
                <w:rFonts w:ascii="Arial"/>
                <w:b/>
                <w:sz w:val="18"/>
              </w:rPr>
            </w:pPr>
            <w:r>
              <w:rPr>
                <w:rFonts w:ascii="Arial"/>
                <w:b/>
                <w:spacing w:val="-2"/>
                <w:sz w:val="18"/>
              </w:rPr>
              <w:t>17.160</w:t>
            </w:r>
          </w:p>
        </w:tc>
      </w:tr>
      <w:tr w:rsidR="002C6574" w14:paraId="70888C3B" w14:textId="77777777">
        <w:trPr>
          <w:trHeight w:val="232"/>
        </w:trPr>
        <w:tc>
          <w:tcPr>
            <w:tcW w:w="4390" w:type="dxa"/>
          </w:tcPr>
          <w:p w14:paraId="4EBCD62C" w14:textId="77777777" w:rsidR="002C6574" w:rsidRDefault="00000000">
            <w:pPr>
              <w:pStyle w:val="TableParagraph"/>
              <w:spacing w:before="25"/>
              <w:ind w:left="69"/>
              <w:jc w:val="left"/>
              <w:rPr>
                <w:rFonts w:ascii="Arial"/>
                <w:b/>
                <w:sz w:val="16"/>
              </w:rPr>
            </w:pPr>
            <w:r>
              <w:rPr>
                <w:rFonts w:ascii="Arial"/>
                <w:b/>
                <w:sz w:val="16"/>
              </w:rPr>
              <w:t>Saldo</w:t>
            </w:r>
            <w:r>
              <w:rPr>
                <w:rFonts w:ascii="Arial"/>
                <w:b/>
                <w:spacing w:val="-4"/>
                <w:sz w:val="16"/>
              </w:rPr>
              <w:t xml:space="preserve"> </w:t>
            </w:r>
            <w:r>
              <w:rPr>
                <w:rFonts w:ascii="Arial"/>
                <w:b/>
                <w:sz w:val="16"/>
              </w:rPr>
              <w:t>em</w:t>
            </w:r>
            <w:r>
              <w:rPr>
                <w:rFonts w:ascii="Arial"/>
                <w:b/>
                <w:spacing w:val="1"/>
                <w:sz w:val="16"/>
              </w:rPr>
              <w:t xml:space="preserve"> </w:t>
            </w:r>
            <w:r>
              <w:rPr>
                <w:rFonts w:ascii="Arial"/>
                <w:b/>
                <w:sz w:val="16"/>
              </w:rPr>
              <w:t>31</w:t>
            </w:r>
            <w:r>
              <w:rPr>
                <w:rFonts w:ascii="Arial"/>
                <w:b/>
                <w:spacing w:val="-4"/>
                <w:sz w:val="16"/>
              </w:rPr>
              <w:t xml:space="preserve"> </w:t>
            </w:r>
            <w:r>
              <w:rPr>
                <w:rFonts w:ascii="Arial"/>
                <w:b/>
                <w:sz w:val="16"/>
              </w:rPr>
              <w:t>de</w:t>
            </w:r>
            <w:r>
              <w:rPr>
                <w:rFonts w:ascii="Arial"/>
                <w:b/>
                <w:spacing w:val="-1"/>
                <w:sz w:val="16"/>
              </w:rPr>
              <w:t xml:space="preserve"> </w:t>
            </w:r>
            <w:r>
              <w:rPr>
                <w:rFonts w:ascii="Arial"/>
                <w:b/>
                <w:sz w:val="16"/>
              </w:rPr>
              <w:t>dezembro</w:t>
            </w:r>
            <w:r>
              <w:rPr>
                <w:rFonts w:ascii="Arial"/>
                <w:b/>
                <w:spacing w:val="-3"/>
                <w:sz w:val="16"/>
              </w:rPr>
              <w:t xml:space="preserve"> </w:t>
            </w:r>
            <w:r>
              <w:rPr>
                <w:rFonts w:ascii="Arial"/>
                <w:b/>
                <w:sz w:val="16"/>
              </w:rPr>
              <w:t>de</w:t>
            </w:r>
            <w:r>
              <w:rPr>
                <w:rFonts w:ascii="Arial"/>
                <w:b/>
                <w:spacing w:val="-2"/>
                <w:sz w:val="16"/>
              </w:rPr>
              <w:t xml:space="preserve"> </w:t>
            </w:r>
            <w:r>
              <w:rPr>
                <w:rFonts w:ascii="Arial"/>
                <w:b/>
                <w:spacing w:val="-4"/>
                <w:sz w:val="16"/>
              </w:rPr>
              <w:t>2025</w:t>
            </w:r>
          </w:p>
        </w:tc>
        <w:tc>
          <w:tcPr>
            <w:tcW w:w="1431" w:type="dxa"/>
          </w:tcPr>
          <w:p w14:paraId="3D713119" w14:textId="77777777" w:rsidR="002C6574" w:rsidRDefault="00000000">
            <w:pPr>
              <w:pStyle w:val="TableParagraph"/>
              <w:spacing w:before="13" w:line="199" w:lineRule="exact"/>
              <w:ind w:right="56"/>
              <w:rPr>
                <w:rFonts w:ascii="Arial"/>
                <w:b/>
                <w:sz w:val="18"/>
              </w:rPr>
            </w:pPr>
            <w:r>
              <w:rPr>
                <w:rFonts w:ascii="Arial"/>
                <w:b/>
                <w:spacing w:val="-2"/>
                <w:sz w:val="18"/>
              </w:rPr>
              <w:t>75.770</w:t>
            </w:r>
          </w:p>
        </w:tc>
        <w:tc>
          <w:tcPr>
            <w:tcW w:w="1652" w:type="dxa"/>
          </w:tcPr>
          <w:p w14:paraId="3A756120" w14:textId="77777777" w:rsidR="002C6574" w:rsidRDefault="00000000">
            <w:pPr>
              <w:pStyle w:val="TableParagraph"/>
              <w:spacing w:before="13" w:line="199" w:lineRule="exact"/>
              <w:ind w:right="57"/>
              <w:rPr>
                <w:rFonts w:ascii="Arial"/>
                <w:b/>
                <w:sz w:val="18"/>
              </w:rPr>
            </w:pPr>
            <w:r>
              <w:rPr>
                <w:rFonts w:ascii="Arial"/>
                <w:b/>
                <w:spacing w:val="-2"/>
                <w:sz w:val="18"/>
              </w:rPr>
              <w:t>3.963</w:t>
            </w:r>
          </w:p>
        </w:tc>
        <w:tc>
          <w:tcPr>
            <w:tcW w:w="1249" w:type="dxa"/>
          </w:tcPr>
          <w:p w14:paraId="441BE8AF" w14:textId="77777777" w:rsidR="002C6574" w:rsidRDefault="00000000">
            <w:pPr>
              <w:pStyle w:val="TableParagraph"/>
              <w:spacing w:before="13" w:line="199" w:lineRule="exact"/>
              <w:ind w:right="61"/>
              <w:rPr>
                <w:rFonts w:ascii="Arial"/>
                <w:b/>
                <w:sz w:val="18"/>
              </w:rPr>
            </w:pPr>
            <w:r>
              <w:rPr>
                <w:rFonts w:ascii="Arial"/>
                <w:b/>
                <w:spacing w:val="-2"/>
                <w:sz w:val="18"/>
              </w:rPr>
              <w:t>1.449</w:t>
            </w:r>
          </w:p>
        </w:tc>
        <w:tc>
          <w:tcPr>
            <w:tcW w:w="1052" w:type="dxa"/>
          </w:tcPr>
          <w:p w14:paraId="7DBA562A" w14:textId="77777777" w:rsidR="002C6574" w:rsidRDefault="00000000">
            <w:pPr>
              <w:pStyle w:val="TableParagraph"/>
              <w:spacing w:before="13" w:line="199" w:lineRule="exact"/>
              <w:ind w:right="61"/>
              <w:rPr>
                <w:rFonts w:ascii="Arial"/>
                <w:b/>
                <w:sz w:val="18"/>
              </w:rPr>
            </w:pPr>
            <w:r>
              <w:rPr>
                <w:rFonts w:ascii="Arial"/>
                <w:b/>
                <w:spacing w:val="-2"/>
                <w:sz w:val="18"/>
              </w:rPr>
              <w:t>81.182</w:t>
            </w:r>
          </w:p>
        </w:tc>
      </w:tr>
      <w:tr w:rsidR="002C6574" w14:paraId="5BC708DB" w14:textId="77777777">
        <w:trPr>
          <w:trHeight w:val="232"/>
        </w:trPr>
        <w:tc>
          <w:tcPr>
            <w:tcW w:w="4390" w:type="dxa"/>
          </w:tcPr>
          <w:p w14:paraId="4178A0C1" w14:textId="77777777" w:rsidR="002C6574" w:rsidRDefault="00000000">
            <w:pPr>
              <w:pStyle w:val="TableParagraph"/>
              <w:spacing w:before="13" w:line="199" w:lineRule="exact"/>
              <w:ind w:left="69"/>
              <w:jc w:val="left"/>
              <w:rPr>
                <w:rFonts w:ascii="Arial" w:hAnsi="Arial"/>
                <w:b/>
                <w:sz w:val="18"/>
              </w:rPr>
            </w:pPr>
            <w:r>
              <w:rPr>
                <w:rFonts w:ascii="Arial" w:hAnsi="Arial"/>
                <w:b/>
                <w:sz w:val="18"/>
              </w:rPr>
              <w:t>Amortização</w:t>
            </w:r>
            <w:r>
              <w:rPr>
                <w:rFonts w:ascii="Arial" w:hAnsi="Arial"/>
                <w:b/>
                <w:spacing w:val="-3"/>
                <w:sz w:val="18"/>
              </w:rPr>
              <w:t xml:space="preserve"> </w:t>
            </w:r>
            <w:r>
              <w:rPr>
                <w:rFonts w:ascii="Arial" w:hAnsi="Arial"/>
                <w:b/>
                <w:spacing w:val="-2"/>
                <w:sz w:val="18"/>
              </w:rPr>
              <w:t>Acumulada</w:t>
            </w:r>
          </w:p>
        </w:tc>
        <w:tc>
          <w:tcPr>
            <w:tcW w:w="1431" w:type="dxa"/>
          </w:tcPr>
          <w:p w14:paraId="4BBBE68D" w14:textId="77777777" w:rsidR="002C6574" w:rsidRDefault="002C6574">
            <w:pPr>
              <w:pStyle w:val="TableParagraph"/>
              <w:jc w:val="left"/>
              <w:rPr>
                <w:rFonts w:ascii="Times New Roman"/>
                <w:sz w:val="16"/>
              </w:rPr>
            </w:pPr>
          </w:p>
        </w:tc>
        <w:tc>
          <w:tcPr>
            <w:tcW w:w="1652" w:type="dxa"/>
          </w:tcPr>
          <w:p w14:paraId="02889248" w14:textId="77777777" w:rsidR="002C6574" w:rsidRDefault="002C6574">
            <w:pPr>
              <w:pStyle w:val="TableParagraph"/>
              <w:jc w:val="left"/>
              <w:rPr>
                <w:rFonts w:ascii="Times New Roman"/>
                <w:sz w:val="16"/>
              </w:rPr>
            </w:pPr>
          </w:p>
        </w:tc>
        <w:tc>
          <w:tcPr>
            <w:tcW w:w="1249" w:type="dxa"/>
          </w:tcPr>
          <w:p w14:paraId="4C608C94" w14:textId="77777777" w:rsidR="002C6574" w:rsidRDefault="002C6574">
            <w:pPr>
              <w:pStyle w:val="TableParagraph"/>
              <w:jc w:val="left"/>
              <w:rPr>
                <w:rFonts w:ascii="Times New Roman"/>
                <w:sz w:val="16"/>
              </w:rPr>
            </w:pPr>
          </w:p>
        </w:tc>
        <w:tc>
          <w:tcPr>
            <w:tcW w:w="1052" w:type="dxa"/>
          </w:tcPr>
          <w:p w14:paraId="2EFDDAFE" w14:textId="77777777" w:rsidR="002C6574" w:rsidRDefault="002C6574">
            <w:pPr>
              <w:pStyle w:val="TableParagraph"/>
              <w:jc w:val="left"/>
              <w:rPr>
                <w:rFonts w:ascii="Times New Roman"/>
                <w:sz w:val="16"/>
              </w:rPr>
            </w:pPr>
          </w:p>
        </w:tc>
      </w:tr>
      <w:tr w:rsidR="002C6574" w14:paraId="10586F63" w14:textId="77777777">
        <w:trPr>
          <w:trHeight w:val="232"/>
        </w:trPr>
        <w:tc>
          <w:tcPr>
            <w:tcW w:w="4390" w:type="dxa"/>
          </w:tcPr>
          <w:p w14:paraId="7DAB9771" w14:textId="77777777" w:rsidR="002C6574" w:rsidRDefault="00000000">
            <w:pPr>
              <w:pStyle w:val="TableParagraph"/>
              <w:spacing w:before="25"/>
              <w:ind w:left="69"/>
              <w:jc w:val="left"/>
              <w:rPr>
                <w:rFonts w:ascii="Arial"/>
                <w:b/>
                <w:sz w:val="16"/>
              </w:rPr>
            </w:pPr>
            <w:r>
              <w:rPr>
                <w:rFonts w:ascii="Arial"/>
                <w:b/>
                <w:sz w:val="16"/>
              </w:rPr>
              <w:t>Saldo</w:t>
            </w:r>
            <w:r>
              <w:rPr>
                <w:rFonts w:ascii="Arial"/>
                <w:b/>
                <w:spacing w:val="-4"/>
                <w:sz w:val="16"/>
              </w:rPr>
              <w:t xml:space="preserve"> </w:t>
            </w:r>
            <w:r>
              <w:rPr>
                <w:rFonts w:ascii="Arial"/>
                <w:b/>
                <w:sz w:val="16"/>
              </w:rPr>
              <w:t>em</w:t>
            </w:r>
            <w:r>
              <w:rPr>
                <w:rFonts w:ascii="Arial"/>
                <w:b/>
                <w:spacing w:val="1"/>
                <w:sz w:val="16"/>
              </w:rPr>
              <w:t xml:space="preserve"> </w:t>
            </w:r>
            <w:r>
              <w:rPr>
                <w:rFonts w:ascii="Arial"/>
                <w:b/>
                <w:sz w:val="16"/>
              </w:rPr>
              <w:t>31</w:t>
            </w:r>
            <w:r>
              <w:rPr>
                <w:rFonts w:ascii="Arial"/>
                <w:b/>
                <w:spacing w:val="-4"/>
                <w:sz w:val="16"/>
              </w:rPr>
              <w:t xml:space="preserve"> </w:t>
            </w:r>
            <w:r>
              <w:rPr>
                <w:rFonts w:ascii="Arial"/>
                <w:b/>
                <w:sz w:val="16"/>
              </w:rPr>
              <w:t>de</w:t>
            </w:r>
            <w:r>
              <w:rPr>
                <w:rFonts w:ascii="Arial"/>
                <w:b/>
                <w:spacing w:val="-1"/>
                <w:sz w:val="16"/>
              </w:rPr>
              <w:t xml:space="preserve"> </w:t>
            </w:r>
            <w:r>
              <w:rPr>
                <w:rFonts w:ascii="Arial"/>
                <w:b/>
                <w:sz w:val="16"/>
              </w:rPr>
              <w:t>dezembro</w:t>
            </w:r>
            <w:r>
              <w:rPr>
                <w:rFonts w:ascii="Arial"/>
                <w:b/>
                <w:spacing w:val="-3"/>
                <w:sz w:val="16"/>
              </w:rPr>
              <w:t xml:space="preserve"> </w:t>
            </w:r>
            <w:r>
              <w:rPr>
                <w:rFonts w:ascii="Arial"/>
                <w:b/>
                <w:sz w:val="16"/>
              </w:rPr>
              <w:t>de</w:t>
            </w:r>
            <w:r>
              <w:rPr>
                <w:rFonts w:ascii="Arial"/>
                <w:b/>
                <w:spacing w:val="-2"/>
                <w:sz w:val="16"/>
              </w:rPr>
              <w:t xml:space="preserve"> </w:t>
            </w:r>
            <w:r>
              <w:rPr>
                <w:rFonts w:ascii="Arial"/>
                <w:b/>
                <w:spacing w:val="-4"/>
                <w:sz w:val="16"/>
              </w:rPr>
              <w:t>2024</w:t>
            </w:r>
          </w:p>
        </w:tc>
        <w:tc>
          <w:tcPr>
            <w:tcW w:w="1431" w:type="dxa"/>
          </w:tcPr>
          <w:p w14:paraId="3ADDBABE" w14:textId="77777777" w:rsidR="002C6574" w:rsidRDefault="00000000">
            <w:pPr>
              <w:pStyle w:val="TableParagraph"/>
              <w:spacing w:before="13" w:line="199" w:lineRule="exact"/>
              <w:ind w:right="56"/>
              <w:rPr>
                <w:rFonts w:ascii="Arial"/>
                <w:b/>
                <w:sz w:val="18"/>
              </w:rPr>
            </w:pPr>
            <w:r>
              <w:rPr>
                <w:rFonts w:ascii="Arial"/>
                <w:b/>
                <w:spacing w:val="-2"/>
                <w:sz w:val="18"/>
              </w:rPr>
              <w:t>(41.098)</w:t>
            </w:r>
          </w:p>
        </w:tc>
        <w:tc>
          <w:tcPr>
            <w:tcW w:w="1652" w:type="dxa"/>
          </w:tcPr>
          <w:p w14:paraId="6751EC0E" w14:textId="77777777" w:rsidR="002C6574" w:rsidRDefault="00000000">
            <w:pPr>
              <w:pStyle w:val="TableParagraph"/>
              <w:spacing w:before="13" w:line="199" w:lineRule="exact"/>
              <w:ind w:right="57"/>
              <w:rPr>
                <w:rFonts w:ascii="Arial"/>
                <w:b/>
                <w:sz w:val="18"/>
              </w:rPr>
            </w:pPr>
            <w:r>
              <w:rPr>
                <w:rFonts w:ascii="Arial"/>
                <w:b/>
                <w:spacing w:val="-2"/>
                <w:sz w:val="18"/>
              </w:rPr>
              <w:t>(2.072)</w:t>
            </w:r>
          </w:p>
        </w:tc>
        <w:tc>
          <w:tcPr>
            <w:tcW w:w="1249" w:type="dxa"/>
          </w:tcPr>
          <w:p w14:paraId="4CD9B78B" w14:textId="77777777" w:rsidR="002C6574" w:rsidRDefault="00000000">
            <w:pPr>
              <w:pStyle w:val="TableParagraph"/>
              <w:spacing w:before="13" w:line="199" w:lineRule="exact"/>
              <w:ind w:right="61"/>
              <w:rPr>
                <w:rFonts w:ascii="Arial"/>
                <w:b/>
                <w:sz w:val="18"/>
              </w:rPr>
            </w:pPr>
            <w:r>
              <w:rPr>
                <w:rFonts w:ascii="Arial"/>
                <w:b/>
                <w:spacing w:val="-2"/>
                <w:sz w:val="18"/>
              </w:rPr>
              <w:t>(1.449)</w:t>
            </w:r>
          </w:p>
        </w:tc>
        <w:tc>
          <w:tcPr>
            <w:tcW w:w="1052" w:type="dxa"/>
          </w:tcPr>
          <w:p w14:paraId="57631CE5" w14:textId="77777777" w:rsidR="002C6574" w:rsidRDefault="00000000">
            <w:pPr>
              <w:pStyle w:val="TableParagraph"/>
              <w:spacing w:before="13" w:line="199" w:lineRule="exact"/>
              <w:ind w:right="61"/>
              <w:rPr>
                <w:rFonts w:ascii="Arial"/>
                <w:b/>
                <w:sz w:val="18"/>
              </w:rPr>
            </w:pPr>
            <w:r>
              <w:rPr>
                <w:rFonts w:ascii="Arial"/>
                <w:b/>
                <w:spacing w:val="-2"/>
                <w:sz w:val="18"/>
              </w:rPr>
              <w:t>(44.619)</w:t>
            </w:r>
          </w:p>
        </w:tc>
      </w:tr>
      <w:tr w:rsidR="002C6574" w14:paraId="51F343FC" w14:textId="77777777">
        <w:trPr>
          <w:trHeight w:val="232"/>
        </w:trPr>
        <w:tc>
          <w:tcPr>
            <w:tcW w:w="4390" w:type="dxa"/>
          </w:tcPr>
          <w:p w14:paraId="2BB5D58C" w14:textId="77777777" w:rsidR="002C6574" w:rsidRDefault="00000000">
            <w:pPr>
              <w:pStyle w:val="TableParagraph"/>
              <w:spacing w:line="212" w:lineRule="exact"/>
              <w:ind w:left="69"/>
              <w:jc w:val="left"/>
              <w:rPr>
                <w:sz w:val="18"/>
              </w:rPr>
            </w:pPr>
            <w:r>
              <w:rPr>
                <w:sz w:val="18"/>
              </w:rPr>
              <w:t>Amortização</w:t>
            </w:r>
            <w:r>
              <w:rPr>
                <w:spacing w:val="-10"/>
                <w:sz w:val="18"/>
              </w:rPr>
              <w:t xml:space="preserve"> </w:t>
            </w:r>
            <w:r>
              <w:rPr>
                <w:sz w:val="18"/>
              </w:rPr>
              <w:t>do</w:t>
            </w:r>
            <w:r>
              <w:rPr>
                <w:spacing w:val="-6"/>
                <w:sz w:val="18"/>
              </w:rPr>
              <w:t xml:space="preserve"> </w:t>
            </w:r>
            <w:r>
              <w:rPr>
                <w:spacing w:val="-2"/>
                <w:sz w:val="18"/>
              </w:rPr>
              <w:t>Período</w:t>
            </w:r>
          </w:p>
        </w:tc>
        <w:tc>
          <w:tcPr>
            <w:tcW w:w="1431" w:type="dxa"/>
          </w:tcPr>
          <w:p w14:paraId="79CE389E" w14:textId="77777777" w:rsidR="002C6574" w:rsidRDefault="00000000">
            <w:pPr>
              <w:pStyle w:val="TableParagraph"/>
              <w:spacing w:line="212" w:lineRule="exact"/>
              <w:ind w:right="56"/>
              <w:rPr>
                <w:sz w:val="18"/>
              </w:rPr>
            </w:pPr>
            <w:r>
              <w:rPr>
                <w:spacing w:val="-2"/>
                <w:w w:val="110"/>
                <w:sz w:val="18"/>
              </w:rPr>
              <w:t>(9.719)</w:t>
            </w:r>
          </w:p>
        </w:tc>
        <w:tc>
          <w:tcPr>
            <w:tcW w:w="1652" w:type="dxa"/>
          </w:tcPr>
          <w:p w14:paraId="775F00A7" w14:textId="77777777" w:rsidR="002C6574" w:rsidRDefault="00000000">
            <w:pPr>
              <w:pStyle w:val="TableParagraph"/>
              <w:spacing w:line="212" w:lineRule="exact"/>
              <w:ind w:right="56"/>
              <w:rPr>
                <w:sz w:val="18"/>
              </w:rPr>
            </w:pPr>
            <w:r>
              <w:rPr>
                <w:spacing w:val="-2"/>
                <w:w w:val="105"/>
                <w:sz w:val="18"/>
              </w:rPr>
              <w:t>(263)</w:t>
            </w:r>
          </w:p>
        </w:tc>
        <w:tc>
          <w:tcPr>
            <w:tcW w:w="1249" w:type="dxa"/>
          </w:tcPr>
          <w:p w14:paraId="12A8FF3B" w14:textId="77777777" w:rsidR="002C6574" w:rsidRDefault="00000000">
            <w:pPr>
              <w:pStyle w:val="TableParagraph"/>
              <w:spacing w:line="212" w:lineRule="exact"/>
              <w:ind w:right="61"/>
              <w:rPr>
                <w:sz w:val="18"/>
              </w:rPr>
            </w:pPr>
            <w:r>
              <w:rPr>
                <w:spacing w:val="-10"/>
                <w:w w:val="95"/>
                <w:sz w:val="18"/>
              </w:rPr>
              <w:t>-</w:t>
            </w:r>
          </w:p>
        </w:tc>
        <w:tc>
          <w:tcPr>
            <w:tcW w:w="1052" w:type="dxa"/>
          </w:tcPr>
          <w:p w14:paraId="785437F2" w14:textId="77777777" w:rsidR="002C6574" w:rsidRDefault="00000000">
            <w:pPr>
              <w:pStyle w:val="TableParagraph"/>
              <w:spacing w:line="212" w:lineRule="exact"/>
              <w:ind w:right="62"/>
              <w:rPr>
                <w:sz w:val="18"/>
              </w:rPr>
            </w:pPr>
            <w:r>
              <w:rPr>
                <w:spacing w:val="-2"/>
                <w:w w:val="110"/>
                <w:sz w:val="18"/>
              </w:rPr>
              <w:t>(9.982)</w:t>
            </w:r>
          </w:p>
        </w:tc>
      </w:tr>
      <w:tr w:rsidR="002C6574" w14:paraId="37966683" w14:textId="77777777">
        <w:trPr>
          <w:trHeight w:val="232"/>
        </w:trPr>
        <w:tc>
          <w:tcPr>
            <w:tcW w:w="4390" w:type="dxa"/>
          </w:tcPr>
          <w:p w14:paraId="7C840B29" w14:textId="77777777" w:rsidR="002C6574" w:rsidRDefault="00000000">
            <w:pPr>
              <w:pStyle w:val="TableParagraph"/>
              <w:spacing w:before="25"/>
              <w:ind w:left="69"/>
              <w:jc w:val="left"/>
              <w:rPr>
                <w:rFonts w:ascii="Arial"/>
                <w:b/>
                <w:sz w:val="16"/>
              </w:rPr>
            </w:pPr>
            <w:r>
              <w:rPr>
                <w:rFonts w:ascii="Arial"/>
                <w:b/>
                <w:sz w:val="16"/>
              </w:rPr>
              <w:t>Saldo</w:t>
            </w:r>
            <w:r>
              <w:rPr>
                <w:rFonts w:ascii="Arial"/>
                <w:b/>
                <w:spacing w:val="-4"/>
                <w:sz w:val="16"/>
              </w:rPr>
              <w:t xml:space="preserve"> </w:t>
            </w:r>
            <w:r>
              <w:rPr>
                <w:rFonts w:ascii="Arial"/>
                <w:b/>
                <w:sz w:val="16"/>
              </w:rPr>
              <w:t>em</w:t>
            </w:r>
            <w:r>
              <w:rPr>
                <w:rFonts w:ascii="Arial"/>
                <w:b/>
                <w:spacing w:val="1"/>
                <w:sz w:val="16"/>
              </w:rPr>
              <w:t xml:space="preserve"> </w:t>
            </w:r>
            <w:r>
              <w:rPr>
                <w:rFonts w:ascii="Arial"/>
                <w:b/>
                <w:sz w:val="16"/>
              </w:rPr>
              <w:t>31</w:t>
            </w:r>
            <w:r>
              <w:rPr>
                <w:rFonts w:ascii="Arial"/>
                <w:b/>
                <w:spacing w:val="-4"/>
                <w:sz w:val="16"/>
              </w:rPr>
              <w:t xml:space="preserve"> </w:t>
            </w:r>
            <w:r>
              <w:rPr>
                <w:rFonts w:ascii="Arial"/>
                <w:b/>
                <w:sz w:val="16"/>
              </w:rPr>
              <w:t>de</w:t>
            </w:r>
            <w:r>
              <w:rPr>
                <w:rFonts w:ascii="Arial"/>
                <w:b/>
                <w:spacing w:val="-1"/>
                <w:sz w:val="16"/>
              </w:rPr>
              <w:t xml:space="preserve"> </w:t>
            </w:r>
            <w:r>
              <w:rPr>
                <w:rFonts w:ascii="Arial"/>
                <w:b/>
                <w:sz w:val="16"/>
              </w:rPr>
              <w:t>dezembro</w:t>
            </w:r>
            <w:r>
              <w:rPr>
                <w:rFonts w:ascii="Arial"/>
                <w:b/>
                <w:spacing w:val="-3"/>
                <w:sz w:val="16"/>
              </w:rPr>
              <w:t xml:space="preserve"> </w:t>
            </w:r>
            <w:r>
              <w:rPr>
                <w:rFonts w:ascii="Arial"/>
                <w:b/>
                <w:sz w:val="16"/>
              </w:rPr>
              <w:t>de</w:t>
            </w:r>
            <w:r>
              <w:rPr>
                <w:rFonts w:ascii="Arial"/>
                <w:b/>
                <w:spacing w:val="-2"/>
                <w:sz w:val="16"/>
              </w:rPr>
              <w:t xml:space="preserve"> </w:t>
            </w:r>
            <w:r>
              <w:rPr>
                <w:rFonts w:ascii="Arial"/>
                <w:b/>
                <w:spacing w:val="-4"/>
                <w:sz w:val="16"/>
              </w:rPr>
              <w:t>2025</w:t>
            </w:r>
          </w:p>
        </w:tc>
        <w:tc>
          <w:tcPr>
            <w:tcW w:w="1431" w:type="dxa"/>
          </w:tcPr>
          <w:p w14:paraId="70AD2452" w14:textId="77777777" w:rsidR="002C6574" w:rsidRDefault="00000000">
            <w:pPr>
              <w:pStyle w:val="TableParagraph"/>
              <w:spacing w:before="11" w:line="201" w:lineRule="exact"/>
              <w:ind w:right="56"/>
              <w:rPr>
                <w:rFonts w:ascii="Arial"/>
                <w:b/>
                <w:sz w:val="18"/>
              </w:rPr>
            </w:pPr>
            <w:r>
              <w:rPr>
                <w:rFonts w:ascii="Arial"/>
                <w:b/>
                <w:spacing w:val="-2"/>
                <w:sz w:val="18"/>
              </w:rPr>
              <w:t>(50.817)</w:t>
            </w:r>
          </w:p>
        </w:tc>
        <w:tc>
          <w:tcPr>
            <w:tcW w:w="1652" w:type="dxa"/>
          </w:tcPr>
          <w:p w14:paraId="3D574484" w14:textId="77777777" w:rsidR="002C6574" w:rsidRDefault="00000000">
            <w:pPr>
              <w:pStyle w:val="TableParagraph"/>
              <w:spacing w:before="11" w:line="201" w:lineRule="exact"/>
              <w:ind w:right="57"/>
              <w:rPr>
                <w:rFonts w:ascii="Arial"/>
                <w:b/>
                <w:sz w:val="18"/>
              </w:rPr>
            </w:pPr>
            <w:r>
              <w:rPr>
                <w:rFonts w:ascii="Arial"/>
                <w:b/>
                <w:spacing w:val="-2"/>
                <w:sz w:val="18"/>
              </w:rPr>
              <w:t>(2.335)</w:t>
            </w:r>
          </w:p>
        </w:tc>
        <w:tc>
          <w:tcPr>
            <w:tcW w:w="1249" w:type="dxa"/>
          </w:tcPr>
          <w:p w14:paraId="57EC56FD" w14:textId="77777777" w:rsidR="002C6574" w:rsidRDefault="00000000">
            <w:pPr>
              <w:pStyle w:val="TableParagraph"/>
              <w:spacing w:before="11" w:line="201" w:lineRule="exact"/>
              <w:ind w:right="61"/>
              <w:rPr>
                <w:rFonts w:ascii="Arial"/>
                <w:b/>
                <w:sz w:val="18"/>
              </w:rPr>
            </w:pPr>
            <w:r>
              <w:rPr>
                <w:rFonts w:ascii="Arial"/>
                <w:b/>
                <w:spacing w:val="-2"/>
                <w:sz w:val="18"/>
              </w:rPr>
              <w:t>(1.449)</w:t>
            </w:r>
          </w:p>
        </w:tc>
        <w:tc>
          <w:tcPr>
            <w:tcW w:w="1052" w:type="dxa"/>
          </w:tcPr>
          <w:p w14:paraId="20D21C5A" w14:textId="77777777" w:rsidR="002C6574" w:rsidRDefault="00000000">
            <w:pPr>
              <w:pStyle w:val="TableParagraph"/>
              <w:spacing w:before="11" w:line="201" w:lineRule="exact"/>
              <w:ind w:right="61"/>
              <w:rPr>
                <w:rFonts w:ascii="Arial"/>
                <w:b/>
                <w:sz w:val="18"/>
              </w:rPr>
            </w:pPr>
            <w:r>
              <w:rPr>
                <w:rFonts w:ascii="Arial"/>
                <w:b/>
                <w:spacing w:val="-2"/>
                <w:sz w:val="18"/>
              </w:rPr>
              <w:t>(54.601)</w:t>
            </w:r>
          </w:p>
        </w:tc>
      </w:tr>
      <w:tr w:rsidR="002C6574" w14:paraId="10715DDC" w14:textId="77777777">
        <w:trPr>
          <w:trHeight w:val="230"/>
        </w:trPr>
        <w:tc>
          <w:tcPr>
            <w:tcW w:w="4390" w:type="dxa"/>
          </w:tcPr>
          <w:p w14:paraId="1FE783D0" w14:textId="77777777" w:rsidR="002C6574" w:rsidRDefault="00000000">
            <w:pPr>
              <w:pStyle w:val="TableParagraph"/>
              <w:spacing w:before="22"/>
              <w:ind w:left="69"/>
              <w:jc w:val="left"/>
              <w:rPr>
                <w:rFonts w:ascii="Arial" w:hAnsi="Arial"/>
                <w:b/>
                <w:sz w:val="16"/>
              </w:rPr>
            </w:pPr>
            <w:r>
              <w:rPr>
                <w:rFonts w:ascii="Arial" w:hAnsi="Arial"/>
                <w:b/>
                <w:sz w:val="16"/>
              </w:rPr>
              <w:t>Valor</w:t>
            </w:r>
            <w:r>
              <w:rPr>
                <w:rFonts w:ascii="Arial" w:hAnsi="Arial"/>
                <w:b/>
                <w:spacing w:val="-5"/>
                <w:sz w:val="16"/>
              </w:rPr>
              <w:t xml:space="preserve"> </w:t>
            </w:r>
            <w:r>
              <w:rPr>
                <w:rFonts w:ascii="Arial" w:hAnsi="Arial"/>
                <w:b/>
                <w:sz w:val="16"/>
              </w:rPr>
              <w:t>Contábil</w:t>
            </w:r>
            <w:r>
              <w:rPr>
                <w:rFonts w:ascii="Arial" w:hAnsi="Arial"/>
                <w:b/>
                <w:spacing w:val="-1"/>
                <w:sz w:val="16"/>
              </w:rPr>
              <w:t xml:space="preserve"> </w:t>
            </w:r>
            <w:r>
              <w:rPr>
                <w:rFonts w:ascii="Arial" w:hAnsi="Arial"/>
                <w:b/>
                <w:sz w:val="16"/>
              </w:rPr>
              <w:t>em</w:t>
            </w:r>
            <w:r>
              <w:rPr>
                <w:rFonts w:ascii="Arial" w:hAnsi="Arial"/>
                <w:b/>
                <w:spacing w:val="-4"/>
                <w:sz w:val="16"/>
              </w:rPr>
              <w:t xml:space="preserve"> </w:t>
            </w:r>
            <w:r>
              <w:rPr>
                <w:rFonts w:ascii="Arial" w:hAnsi="Arial"/>
                <w:b/>
                <w:sz w:val="16"/>
              </w:rPr>
              <w:t>31 de</w:t>
            </w:r>
            <w:r>
              <w:rPr>
                <w:rFonts w:ascii="Arial" w:hAnsi="Arial"/>
                <w:b/>
                <w:spacing w:val="-5"/>
                <w:sz w:val="16"/>
              </w:rPr>
              <w:t xml:space="preserve"> </w:t>
            </w:r>
            <w:r>
              <w:rPr>
                <w:rFonts w:ascii="Arial" w:hAnsi="Arial"/>
                <w:b/>
                <w:sz w:val="16"/>
              </w:rPr>
              <w:t>dezembro</w:t>
            </w:r>
            <w:r>
              <w:rPr>
                <w:rFonts w:ascii="Arial" w:hAnsi="Arial"/>
                <w:b/>
                <w:spacing w:val="1"/>
                <w:sz w:val="16"/>
              </w:rPr>
              <w:t xml:space="preserve"> </w:t>
            </w:r>
            <w:r>
              <w:rPr>
                <w:rFonts w:ascii="Arial" w:hAnsi="Arial"/>
                <w:b/>
                <w:sz w:val="16"/>
              </w:rPr>
              <w:t>de</w:t>
            </w:r>
            <w:r>
              <w:rPr>
                <w:rFonts w:ascii="Arial" w:hAnsi="Arial"/>
                <w:b/>
                <w:spacing w:val="-2"/>
                <w:sz w:val="16"/>
              </w:rPr>
              <w:t xml:space="preserve"> </w:t>
            </w:r>
            <w:r>
              <w:rPr>
                <w:rFonts w:ascii="Arial" w:hAnsi="Arial"/>
                <w:b/>
                <w:spacing w:val="-4"/>
                <w:sz w:val="16"/>
              </w:rPr>
              <w:t>2025</w:t>
            </w:r>
          </w:p>
        </w:tc>
        <w:tc>
          <w:tcPr>
            <w:tcW w:w="1431" w:type="dxa"/>
          </w:tcPr>
          <w:p w14:paraId="0FB87C56" w14:textId="77777777" w:rsidR="002C6574" w:rsidRDefault="00000000">
            <w:pPr>
              <w:pStyle w:val="TableParagraph"/>
              <w:spacing w:before="11" w:line="199" w:lineRule="exact"/>
              <w:ind w:right="56"/>
              <w:rPr>
                <w:rFonts w:ascii="Arial"/>
                <w:b/>
                <w:sz w:val="18"/>
              </w:rPr>
            </w:pPr>
            <w:r>
              <w:rPr>
                <w:rFonts w:ascii="Arial"/>
                <w:b/>
                <w:spacing w:val="-2"/>
                <w:sz w:val="18"/>
              </w:rPr>
              <w:t>24.953</w:t>
            </w:r>
          </w:p>
        </w:tc>
        <w:tc>
          <w:tcPr>
            <w:tcW w:w="1652" w:type="dxa"/>
          </w:tcPr>
          <w:p w14:paraId="3386A471" w14:textId="77777777" w:rsidR="002C6574" w:rsidRDefault="00000000">
            <w:pPr>
              <w:pStyle w:val="TableParagraph"/>
              <w:spacing w:before="11" w:line="199" w:lineRule="exact"/>
              <w:ind w:right="57"/>
              <w:rPr>
                <w:rFonts w:ascii="Arial"/>
                <w:b/>
                <w:sz w:val="18"/>
              </w:rPr>
            </w:pPr>
            <w:r>
              <w:rPr>
                <w:rFonts w:ascii="Arial"/>
                <w:b/>
                <w:spacing w:val="-2"/>
                <w:sz w:val="18"/>
              </w:rPr>
              <w:t>1.628</w:t>
            </w:r>
          </w:p>
        </w:tc>
        <w:tc>
          <w:tcPr>
            <w:tcW w:w="1249" w:type="dxa"/>
          </w:tcPr>
          <w:p w14:paraId="4F5F5B8A" w14:textId="77777777" w:rsidR="002C6574" w:rsidRDefault="00000000">
            <w:pPr>
              <w:pStyle w:val="TableParagraph"/>
              <w:spacing w:before="11" w:line="199" w:lineRule="exact"/>
              <w:ind w:right="61"/>
              <w:rPr>
                <w:rFonts w:ascii="Arial"/>
                <w:b/>
                <w:sz w:val="18"/>
              </w:rPr>
            </w:pPr>
            <w:r>
              <w:rPr>
                <w:rFonts w:ascii="Arial"/>
                <w:b/>
                <w:spacing w:val="-10"/>
                <w:sz w:val="18"/>
              </w:rPr>
              <w:t>-</w:t>
            </w:r>
          </w:p>
        </w:tc>
        <w:tc>
          <w:tcPr>
            <w:tcW w:w="1052" w:type="dxa"/>
          </w:tcPr>
          <w:p w14:paraId="1847AAD5" w14:textId="77777777" w:rsidR="002C6574" w:rsidRDefault="00000000">
            <w:pPr>
              <w:pStyle w:val="TableParagraph"/>
              <w:spacing w:before="11" w:line="199" w:lineRule="exact"/>
              <w:ind w:right="61"/>
              <w:rPr>
                <w:rFonts w:ascii="Arial"/>
                <w:b/>
                <w:sz w:val="18"/>
              </w:rPr>
            </w:pPr>
            <w:r>
              <w:rPr>
                <w:rFonts w:ascii="Arial"/>
                <w:b/>
                <w:spacing w:val="-2"/>
                <w:sz w:val="18"/>
              </w:rPr>
              <w:t>26.581</w:t>
            </w:r>
          </w:p>
        </w:tc>
      </w:tr>
      <w:tr w:rsidR="002C6574" w14:paraId="00206775" w14:textId="77777777">
        <w:trPr>
          <w:trHeight w:val="232"/>
        </w:trPr>
        <w:tc>
          <w:tcPr>
            <w:tcW w:w="4390" w:type="dxa"/>
          </w:tcPr>
          <w:p w14:paraId="682A8867" w14:textId="77777777" w:rsidR="002C6574" w:rsidRDefault="00000000">
            <w:pPr>
              <w:pStyle w:val="TableParagraph"/>
              <w:spacing w:before="25"/>
              <w:ind w:left="69"/>
              <w:jc w:val="left"/>
              <w:rPr>
                <w:rFonts w:ascii="Arial" w:hAnsi="Arial"/>
                <w:b/>
                <w:sz w:val="16"/>
              </w:rPr>
            </w:pPr>
            <w:r>
              <w:rPr>
                <w:rFonts w:ascii="Arial" w:hAnsi="Arial"/>
                <w:b/>
                <w:sz w:val="16"/>
              </w:rPr>
              <w:t>Valor</w:t>
            </w:r>
            <w:r>
              <w:rPr>
                <w:rFonts w:ascii="Arial" w:hAnsi="Arial"/>
                <w:b/>
                <w:spacing w:val="-5"/>
                <w:sz w:val="16"/>
              </w:rPr>
              <w:t xml:space="preserve"> </w:t>
            </w:r>
            <w:r>
              <w:rPr>
                <w:rFonts w:ascii="Arial" w:hAnsi="Arial"/>
                <w:b/>
                <w:sz w:val="16"/>
              </w:rPr>
              <w:t>Contábil</w:t>
            </w:r>
            <w:r>
              <w:rPr>
                <w:rFonts w:ascii="Arial" w:hAnsi="Arial"/>
                <w:b/>
                <w:spacing w:val="-1"/>
                <w:sz w:val="16"/>
              </w:rPr>
              <w:t xml:space="preserve"> </w:t>
            </w:r>
            <w:r>
              <w:rPr>
                <w:rFonts w:ascii="Arial" w:hAnsi="Arial"/>
                <w:b/>
                <w:sz w:val="16"/>
              </w:rPr>
              <w:t>em</w:t>
            </w:r>
            <w:r>
              <w:rPr>
                <w:rFonts w:ascii="Arial" w:hAnsi="Arial"/>
                <w:b/>
                <w:spacing w:val="-4"/>
                <w:sz w:val="16"/>
              </w:rPr>
              <w:t xml:space="preserve"> </w:t>
            </w:r>
            <w:r>
              <w:rPr>
                <w:rFonts w:ascii="Arial" w:hAnsi="Arial"/>
                <w:b/>
                <w:sz w:val="16"/>
              </w:rPr>
              <w:t>31 de</w:t>
            </w:r>
            <w:r>
              <w:rPr>
                <w:rFonts w:ascii="Arial" w:hAnsi="Arial"/>
                <w:b/>
                <w:spacing w:val="-5"/>
                <w:sz w:val="16"/>
              </w:rPr>
              <w:t xml:space="preserve"> </w:t>
            </w:r>
            <w:r>
              <w:rPr>
                <w:rFonts w:ascii="Arial" w:hAnsi="Arial"/>
                <w:b/>
                <w:sz w:val="16"/>
              </w:rPr>
              <w:t>dezembro</w:t>
            </w:r>
            <w:r>
              <w:rPr>
                <w:rFonts w:ascii="Arial" w:hAnsi="Arial"/>
                <w:b/>
                <w:spacing w:val="1"/>
                <w:sz w:val="16"/>
              </w:rPr>
              <w:t xml:space="preserve"> </w:t>
            </w:r>
            <w:r>
              <w:rPr>
                <w:rFonts w:ascii="Arial" w:hAnsi="Arial"/>
                <w:b/>
                <w:sz w:val="16"/>
              </w:rPr>
              <w:t>de</w:t>
            </w:r>
            <w:r>
              <w:rPr>
                <w:rFonts w:ascii="Arial" w:hAnsi="Arial"/>
                <w:b/>
                <w:spacing w:val="-2"/>
                <w:sz w:val="16"/>
              </w:rPr>
              <w:t xml:space="preserve"> </w:t>
            </w:r>
            <w:r>
              <w:rPr>
                <w:rFonts w:ascii="Arial" w:hAnsi="Arial"/>
                <w:b/>
                <w:spacing w:val="-4"/>
                <w:sz w:val="16"/>
              </w:rPr>
              <w:t>2024</w:t>
            </w:r>
          </w:p>
        </w:tc>
        <w:tc>
          <w:tcPr>
            <w:tcW w:w="1431" w:type="dxa"/>
          </w:tcPr>
          <w:p w14:paraId="42BFBC32" w14:textId="77777777" w:rsidR="002C6574" w:rsidRDefault="00000000">
            <w:pPr>
              <w:pStyle w:val="TableParagraph"/>
              <w:spacing w:before="13" w:line="199" w:lineRule="exact"/>
              <w:ind w:right="56"/>
              <w:rPr>
                <w:rFonts w:ascii="Arial"/>
                <w:b/>
                <w:sz w:val="18"/>
              </w:rPr>
            </w:pPr>
            <w:r>
              <w:rPr>
                <w:rFonts w:ascii="Arial"/>
                <w:b/>
                <w:spacing w:val="-2"/>
                <w:sz w:val="18"/>
              </w:rPr>
              <w:t>17.529</w:t>
            </w:r>
          </w:p>
        </w:tc>
        <w:tc>
          <w:tcPr>
            <w:tcW w:w="1652" w:type="dxa"/>
          </w:tcPr>
          <w:p w14:paraId="50A3AFC4" w14:textId="77777777" w:rsidR="002C6574" w:rsidRDefault="00000000">
            <w:pPr>
              <w:pStyle w:val="TableParagraph"/>
              <w:spacing w:before="13" w:line="199" w:lineRule="exact"/>
              <w:ind w:right="57"/>
              <w:rPr>
                <w:rFonts w:ascii="Arial"/>
                <w:b/>
                <w:sz w:val="18"/>
              </w:rPr>
            </w:pPr>
            <w:r>
              <w:rPr>
                <w:rFonts w:ascii="Arial"/>
                <w:b/>
                <w:spacing w:val="-2"/>
                <w:sz w:val="18"/>
              </w:rPr>
              <w:t>1.874</w:t>
            </w:r>
          </w:p>
        </w:tc>
        <w:tc>
          <w:tcPr>
            <w:tcW w:w="1249" w:type="dxa"/>
          </w:tcPr>
          <w:p w14:paraId="329AD7BB" w14:textId="77777777" w:rsidR="002C6574" w:rsidRDefault="00000000">
            <w:pPr>
              <w:pStyle w:val="TableParagraph"/>
              <w:spacing w:before="13" w:line="199" w:lineRule="exact"/>
              <w:ind w:right="63"/>
              <w:rPr>
                <w:rFonts w:ascii="Arial"/>
                <w:b/>
                <w:sz w:val="18"/>
              </w:rPr>
            </w:pPr>
            <w:r>
              <w:rPr>
                <w:rFonts w:ascii="Arial"/>
                <w:b/>
                <w:spacing w:val="-10"/>
                <w:sz w:val="18"/>
              </w:rPr>
              <w:t>-</w:t>
            </w:r>
          </w:p>
        </w:tc>
        <w:tc>
          <w:tcPr>
            <w:tcW w:w="1052" w:type="dxa"/>
          </w:tcPr>
          <w:p w14:paraId="7952FF7D" w14:textId="77777777" w:rsidR="002C6574" w:rsidRDefault="00000000">
            <w:pPr>
              <w:pStyle w:val="TableParagraph"/>
              <w:spacing w:before="13" w:line="199" w:lineRule="exact"/>
              <w:ind w:right="61"/>
              <w:rPr>
                <w:rFonts w:ascii="Arial"/>
                <w:b/>
                <w:sz w:val="18"/>
              </w:rPr>
            </w:pPr>
            <w:r>
              <w:rPr>
                <w:rFonts w:ascii="Arial"/>
                <w:b/>
                <w:spacing w:val="-2"/>
                <w:sz w:val="18"/>
              </w:rPr>
              <w:t>19.403</w:t>
            </w:r>
          </w:p>
        </w:tc>
      </w:tr>
    </w:tbl>
    <w:p w14:paraId="762DAF85" w14:textId="77777777" w:rsidR="002C6574" w:rsidRDefault="00000000">
      <w:pPr>
        <w:pStyle w:val="Corpodetexto"/>
        <w:spacing w:before="135" w:line="237" w:lineRule="auto"/>
        <w:ind w:left="143" w:right="705"/>
        <w:jc w:val="both"/>
      </w:pPr>
      <w:r>
        <w:t>Em 31 de dezembro de 2025, os ativos da Companhia não apresentavam indícios de perda ao valor recuperável (</w:t>
      </w:r>
      <w:r>
        <w:rPr>
          <w:rFonts w:ascii="Arial" w:hAnsi="Arial"/>
          <w:i/>
        </w:rPr>
        <w:t>impairment</w:t>
      </w:r>
      <w:r>
        <w:t>), conforme indicado no laudo de avaliação elaborado com base nas informações disponíveis até 30 de novembro de 2025.</w:t>
      </w:r>
    </w:p>
    <w:p w14:paraId="51B36E1D" w14:textId="77777777" w:rsidR="002C6574" w:rsidRDefault="002C6574">
      <w:pPr>
        <w:pStyle w:val="Corpodetexto"/>
        <w:spacing w:before="29"/>
      </w:pPr>
    </w:p>
    <w:p w14:paraId="6B942CDE" w14:textId="77777777" w:rsidR="002C6574" w:rsidRDefault="00000000">
      <w:pPr>
        <w:numPr>
          <w:ilvl w:val="0"/>
          <w:numId w:val="54"/>
        </w:numPr>
        <w:tabs>
          <w:tab w:val="left" w:pos="995"/>
        </w:tabs>
        <w:ind w:left="995" w:hanging="852"/>
        <w:rPr>
          <w:rFonts w:ascii="Arial" w:hAnsi="Arial"/>
          <w:b/>
        </w:rPr>
      </w:pPr>
      <w:r>
        <w:rPr>
          <w:rFonts w:ascii="Arial" w:hAnsi="Arial"/>
          <w:b/>
        </w:rPr>
        <w:t>PESSOAL,</w:t>
      </w:r>
      <w:r>
        <w:rPr>
          <w:rFonts w:ascii="Arial" w:hAnsi="Arial"/>
          <w:b/>
          <w:spacing w:val="-4"/>
        </w:rPr>
        <w:t xml:space="preserve"> </w:t>
      </w:r>
      <w:r>
        <w:rPr>
          <w:rFonts w:ascii="Arial" w:hAnsi="Arial"/>
          <w:b/>
        </w:rPr>
        <w:t>ENCARGOS</w:t>
      </w:r>
      <w:r>
        <w:rPr>
          <w:rFonts w:ascii="Arial" w:hAnsi="Arial"/>
          <w:b/>
          <w:spacing w:val="-5"/>
        </w:rPr>
        <w:t xml:space="preserve"> </w:t>
      </w:r>
      <w:r>
        <w:rPr>
          <w:rFonts w:ascii="Arial" w:hAnsi="Arial"/>
          <w:b/>
        </w:rPr>
        <w:t>E</w:t>
      </w:r>
      <w:r>
        <w:rPr>
          <w:rFonts w:ascii="Arial" w:hAnsi="Arial"/>
          <w:b/>
          <w:spacing w:val="-4"/>
        </w:rPr>
        <w:t xml:space="preserve"> </w:t>
      </w:r>
      <w:r>
        <w:rPr>
          <w:rFonts w:ascii="Arial" w:hAnsi="Arial"/>
          <w:b/>
        </w:rPr>
        <w:t>BENEFÍCIOS</w:t>
      </w:r>
      <w:r>
        <w:rPr>
          <w:rFonts w:ascii="Arial" w:hAnsi="Arial"/>
          <w:b/>
          <w:spacing w:val="-4"/>
        </w:rPr>
        <w:t xml:space="preserve"> </w:t>
      </w:r>
      <w:r>
        <w:rPr>
          <w:rFonts w:ascii="Arial" w:hAnsi="Arial"/>
          <w:b/>
          <w:spacing w:val="-2"/>
        </w:rPr>
        <w:t>SOCIAIS</w:t>
      </w:r>
    </w:p>
    <w:p w14:paraId="2E8A34CA" w14:textId="77777777" w:rsidR="002C6574" w:rsidRDefault="00000000">
      <w:pPr>
        <w:pStyle w:val="Corpodetexto"/>
        <w:spacing w:before="249" w:line="237" w:lineRule="auto"/>
        <w:ind w:left="143" w:right="703"/>
        <w:jc w:val="both"/>
      </w:pPr>
      <w:r>
        <w:t xml:space="preserve">Nesta rubrica são registradas as obrigações com pessoal, inclusive as provisões de férias, 13º salário e dos respectivos encargos sociais, exceto os encargos tributários a recolher que estão incluídos no </w:t>
      </w:r>
      <w:r>
        <w:rPr>
          <w:w w:val="105"/>
        </w:rPr>
        <w:t>grupo</w:t>
      </w:r>
      <w:r>
        <w:rPr>
          <w:spacing w:val="-2"/>
          <w:w w:val="105"/>
        </w:rPr>
        <w:t xml:space="preserve"> </w:t>
      </w:r>
      <w:r>
        <w:rPr>
          <w:w w:val="105"/>
        </w:rPr>
        <w:t>Outras Obrigações.</w:t>
      </w:r>
      <w:r>
        <w:rPr>
          <w:spacing w:val="-2"/>
          <w:w w:val="105"/>
        </w:rPr>
        <w:t xml:space="preserve"> </w:t>
      </w:r>
      <w:r>
        <w:rPr>
          <w:w w:val="105"/>
        </w:rPr>
        <w:t>(Nota</w:t>
      </w:r>
      <w:r>
        <w:rPr>
          <w:spacing w:val="-2"/>
          <w:w w:val="105"/>
        </w:rPr>
        <w:t xml:space="preserve"> </w:t>
      </w:r>
      <w:r>
        <w:rPr>
          <w:w w:val="105"/>
        </w:rPr>
        <w:t>Explicativa 27)</w:t>
      </w:r>
    </w:p>
    <w:p w14:paraId="0717F1D8" w14:textId="77777777" w:rsidR="002C6574" w:rsidRDefault="002C6574">
      <w:pPr>
        <w:pStyle w:val="Corpodetexto"/>
        <w:spacing w:before="5"/>
        <w:rPr>
          <w:sz w:val="16"/>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3"/>
        <w:gridCol w:w="1596"/>
        <w:gridCol w:w="1591"/>
      </w:tblGrid>
      <w:tr w:rsidR="002C6574" w14:paraId="6E17B1A0" w14:textId="77777777">
        <w:trPr>
          <w:trHeight w:val="232"/>
        </w:trPr>
        <w:tc>
          <w:tcPr>
            <w:tcW w:w="6583" w:type="dxa"/>
            <w:shd w:val="clear" w:color="auto" w:fill="D8D8D8"/>
          </w:tcPr>
          <w:p w14:paraId="3CA59162" w14:textId="77777777" w:rsidR="002C6574" w:rsidRDefault="00000000">
            <w:pPr>
              <w:pStyle w:val="TableParagraph"/>
              <w:spacing w:before="11" w:line="201" w:lineRule="exact"/>
              <w:ind w:left="69"/>
              <w:jc w:val="left"/>
              <w:rPr>
                <w:rFonts w:ascii="Arial" w:hAnsi="Arial"/>
                <w:b/>
                <w:sz w:val="18"/>
              </w:rPr>
            </w:pPr>
            <w:r>
              <w:rPr>
                <w:rFonts w:ascii="Arial" w:hAnsi="Arial"/>
                <w:b/>
                <w:spacing w:val="-2"/>
                <w:sz w:val="18"/>
              </w:rPr>
              <w:t>Composição:</w:t>
            </w:r>
          </w:p>
        </w:tc>
        <w:tc>
          <w:tcPr>
            <w:tcW w:w="1596" w:type="dxa"/>
          </w:tcPr>
          <w:p w14:paraId="36C732FF" w14:textId="77777777" w:rsidR="002C6574" w:rsidRDefault="00000000">
            <w:pPr>
              <w:pStyle w:val="TableParagraph"/>
              <w:spacing w:before="11" w:line="201" w:lineRule="exact"/>
              <w:ind w:left="345"/>
              <w:jc w:val="left"/>
              <w:rPr>
                <w:rFonts w:ascii="Arial"/>
                <w:b/>
                <w:sz w:val="18"/>
              </w:rPr>
            </w:pPr>
            <w:r>
              <w:rPr>
                <w:rFonts w:ascii="Arial"/>
                <w:b/>
                <w:spacing w:val="-2"/>
                <w:sz w:val="18"/>
              </w:rPr>
              <w:t>31/12/2025</w:t>
            </w:r>
          </w:p>
        </w:tc>
        <w:tc>
          <w:tcPr>
            <w:tcW w:w="1591" w:type="dxa"/>
          </w:tcPr>
          <w:p w14:paraId="12FC24AD" w14:textId="77777777" w:rsidR="002C6574" w:rsidRDefault="00000000">
            <w:pPr>
              <w:pStyle w:val="TableParagraph"/>
              <w:spacing w:before="11" w:line="201" w:lineRule="exact"/>
              <w:ind w:left="342"/>
              <w:jc w:val="left"/>
              <w:rPr>
                <w:rFonts w:ascii="Arial"/>
                <w:b/>
                <w:sz w:val="18"/>
              </w:rPr>
            </w:pPr>
            <w:r>
              <w:rPr>
                <w:rFonts w:ascii="Arial"/>
                <w:b/>
                <w:spacing w:val="-2"/>
                <w:sz w:val="18"/>
              </w:rPr>
              <w:t>31/12/2024</w:t>
            </w:r>
          </w:p>
        </w:tc>
      </w:tr>
      <w:tr w:rsidR="002C6574" w14:paraId="750A761B" w14:textId="77777777">
        <w:trPr>
          <w:trHeight w:val="230"/>
        </w:trPr>
        <w:tc>
          <w:tcPr>
            <w:tcW w:w="6583" w:type="dxa"/>
          </w:tcPr>
          <w:p w14:paraId="1E062A7B" w14:textId="77777777" w:rsidR="002C6574" w:rsidRDefault="00000000">
            <w:pPr>
              <w:pStyle w:val="TableParagraph"/>
              <w:spacing w:line="210" w:lineRule="exact"/>
              <w:ind w:left="69"/>
              <w:jc w:val="left"/>
              <w:rPr>
                <w:sz w:val="18"/>
              </w:rPr>
            </w:pPr>
            <w:r>
              <w:rPr>
                <w:w w:val="105"/>
                <w:sz w:val="18"/>
              </w:rPr>
              <w:t>Encargos</w:t>
            </w:r>
            <w:r>
              <w:rPr>
                <w:spacing w:val="3"/>
                <w:w w:val="105"/>
                <w:sz w:val="18"/>
              </w:rPr>
              <w:t xml:space="preserve"> </w:t>
            </w:r>
            <w:r>
              <w:rPr>
                <w:w w:val="105"/>
                <w:sz w:val="18"/>
              </w:rPr>
              <w:t>Sociais</w:t>
            </w:r>
            <w:r>
              <w:rPr>
                <w:spacing w:val="2"/>
                <w:w w:val="105"/>
                <w:sz w:val="18"/>
              </w:rPr>
              <w:t xml:space="preserve"> </w:t>
            </w:r>
            <w:r>
              <w:rPr>
                <w:w w:val="105"/>
                <w:sz w:val="18"/>
              </w:rPr>
              <w:t>a</w:t>
            </w:r>
            <w:r>
              <w:rPr>
                <w:spacing w:val="2"/>
                <w:w w:val="105"/>
                <w:sz w:val="18"/>
              </w:rPr>
              <w:t xml:space="preserve"> </w:t>
            </w:r>
            <w:r>
              <w:rPr>
                <w:spacing w:val="-4"/>
                <w:w w:val="105"/>
                <w:sz w:val="18"/>
              </w:rPr>
              <w:t>Pagar</w:t>
            </w:r>
          </w:p>
        </w:tc>
        <w:tc>
          <w:tcPr>
            <w:tcW w:w="1596" w:type="dxa"/>
          </w:tcPr>
          <w:p w14:paraId="6D988520" w14:textId="77777777" w:rsidR="002C6574" w:rsidRDefault="00000000">
            <w:pPr>
              <w:pStyle w:val="TableParagraph"/>
              <w:spacing w:line="210" w:lineRule="exact"/>
              <w:ind w:right="57"/>
              <w:rPr>
                <w:sz w:val="18"/>
              </w:rPr>
            </w:pPr>
            <w:r>
              <w:rPr>
                <w:spacing w:val="-2"/>
                <w:w w:val="105"/>
                <w:sz w:val="18"/>
              </w:rPr>
              <w:t>15.518</w:t>
            </w:r>
          </w:p>
        </w:tc>
        <w:tc>
          <w:tcPr>
            <w:tcW w:w="1591" w:type="dxa"/>
          </w:tcPr>
          <w:p w14:paraId="0F3811AB" w14:textId="77777777" w:rsidR="002C6574" w:rsidRDefault="00000000">
            <w:pPr>
              <w:pStyle w:val="TableParagraph"/>
              <w:spacing w:line="210" w:lineRule="exact"/>
              <w:ind w:right="61"/>
              <w:rPr>
                <w:sz w:val="18"/>
              </w:rPr>
            </w:pPr>
            <w:r>
              <w:rPr>
                <w:spacing w:val="-2"/>
                <w:w w:val="105"/>
                <w:sz w:val="18"/>
              </w:rPr>
              <w:t>13.270</w:t>
            </w:r>
          </w:p>
        </w:tc>
      </w:tr>
      <w:tr w:rsidR="002C6574" w14:paraId="5BDBE6BB" w14:textId="77777777">
        <w:trPr>
          <w:trHeight w:val="232"/>
        </w:trPr>
        <w:tc>
          <w:tcPr>
            <w:tcW w:w="6583" w:type="dxa"/>
          </w:tcPr>
          <w:p w14:paraId="2D61D15C" w14:textId="77777777" w:rsidR="002C6574" w:rsidRDefault="00000000">
            <w:pPr>
              <w:pStyle w:val="TableParagraph"/>
              <w:spacing w:line="212" w:lineRule="exact"/>
              <w:ind w:left="69"/>
              <w:jc w:val="left"/>
              <w:rPr>
                <w:sz w:val="18"/>
              </w:rPr>
            </w:pPr>
            <w:r>
              <w:rPr>
                <w:sz w:val="18"/>
              </w:rPr>
              <w:t>Salários</w:t>
            </w:r>
            <w:r>
              <w:rPr>
                <w:spacing w:val="11"/>
                <w:sz w:val="18"/>
              </w:rPr>
              <w:t xml:space="preserve"> </w:t>
            </w:r>
            <w:r>
              <w:rPr>
                <w:sz w:val="18"/>
              </w:rPr>
              <w:t>e</w:t>
            </w:r>
            <w:r>
              <w:rPr>
                <w:spacing w:val="9"/>
                <w:sz w:val="18"/>
              </w:rPr>
              <w:t xml:space="preserve"> </w:t>
            </w:r>
            <w:r>
              <w:rPr>
                <w:sz w:val="18"/>
              </w:rPr>
              <w:t>Honorários</w:t>
            </w:r>
            <w:r>
              <w:rPr>
                <w:spacing w:val="9"/>
                <w:sz w:val="18"/>
              </w:rPr>
              <w:t xml:space="preserve"> </w:t>
            </w:r>
            <w:r>
              <w:rPr>
                <w:sz w:val="18"/>
              </w:rPr>
              <w:t>a</w:t>
            </w:r>
            <w:r>
              <w:rPr>
                <w:spacing w:val="12"/>
                <w:sz w:val="18"/>
              </w:rPr>
              <w:t xml:space="preserve"> </w:t>
            </w:r>
            <w:r>
              <w:rPr>
                <w:spacing w:val="-4"/>
                <w:sz w:val="18"/>
              </w:rPr>
              <w:t>Pagar</w:t>
            </w:r>
          </w:p>
        </w:tc>
        <w:tc>
          <w:tcPr>
            <w:tcW w:w="1596" w:type="dxa"/>
          </w:tcPr>
          <w:p w14:paraId="1CA99176" w14:textId="77777777" w:rsidR="002C6574" w:rsidRDefault="00000000">
            <w:pPr>
              <w:pStyle w:val="TableParagraph"/>
              <w:spacing w:line="212" w:lineRule="exact"/>
              <w:ind w:right="59"/>
              <w:rPr>
                <w:sz w:val="18"/>
              </w:rPr>
            </w:pPr>
            <w:r>
              <w:rPr>
                <w:spacing w:val="-2"/>
                <w:w w:val="110"/>
                <w:sz w:val="18"/>
              </w:rPr>
              <w:t>6.052</w:t>
            </w:r>
          </w:p>
        </w:tc>
        <w:tc>
          <w:tcPr>
            <w:tcW w:w="1591" w:type="dxa"/>
          </w:tcPr>
          <w:p w14:paraId="303E29F2" w14:textId="77777777" w:rsidR="002C6574" w:rsidRDefault="00000000">
            <w:pPr>
              <w:pStyle w:val="TableParagraph"/>
              <w:spacing w:line="212" w:lineRule="exact"/>
              <w:ind w:right="61"/>
              <w:rPr>
                <w:sz w:val="18"/>
              </w:rPr>
            </w:pPr>
            <w:r>
              <w:rPr>
                <w:spacing w:val="-5"/>
                <w:w w:val="105"/>
                <w:sz w:val="18"/>
              </w:rPr>
              <w:t>50</w:t>
            </w:r>
          </w:p>
        </w:tc>
      </w:tr>
      <w:tr w:rsidR="002C6574" w14:paraId="45B39143" w14:textId="77777777">
        <w:trPr>
          <w:trHeight w:val="232"/>
        </w:trPr>
        <w:tc>
          <w:tcPr>
            <w:tcW w:w="6583" w:type="dxa"/>
          </w:tcPr>
          <w:p w14:paraId="1E2F6828" w14:textId="77777777" w:rsidR="002C6574" w:rsidRDefault="00000000">
            <w:pPr>
              <w:pStyle w:val="TableParagraph"/>
              <w:spacing w:line="212" w:lineRule="exact"/>
              <w:ind w:left="69"/>
              <w:jc w:val="left"/>
              <w:rPr>
                <w:sz w:val="18"/>
              </w:rPr>
            </w:pPr>
            <w:r>
              <w:rPr>
                <w:w w:val="105"/>
                <w:sz w:val="18"/>
              </w:rPr>
              <w:t>Benefícios</w:t>
            </w:r>
            <w:r>
              <w:rPr>
                <w:spacing w:val="-1"/>
                <w:w w:val="105"/>
                <w:sz w:val="18"/>
              </w:rPr>
              <w:t xml:space="preserve"> </w:t>
            </w:r>
            <w:r>
              <w:rPr>
                <w:w w:val="105"/>
                <w:sz w:val="18"/>
              </w:rPr>
              <w:t>Sociais</w:t>
            </w:r>
            <w:r>
              <w:rPr>
                <w:spacing w:val="-2"/>
                <w:w w:val="105"/>
                <w:sz w:val="18"/>
              </w:rPr>
              <w:t xml:space="preserve"> </w:t>
            </w:r>
            <w:r>
              <w:rPr>
                <w:w w:val="105"/>
                <w:sz w:val="18"/>
              </w:rPr>
              <w:t xml:space="preserve">a </w:t>
            </w:r>
            <w:r>
              <w:rPr>
                <w:spacing w:val="-4"/>
                <w:w w:val="105"/>
                <w:sz w:val="18"/>
              </w:rPr>
              <w:t>Pagar</w:t>
            </w:r>
          </w:p>
        </w:tc>
        <w:tc>
          <w:tcPr>
            <w:tcW w:w="1596" w:type="dxa"/>
          </w:tcPr>
          <w:p w14:paraId="1BBB804E" w14:textId="77777777" w:rsidR="002C6574" w:rsidRDefault="00000000">
            <w:pPr>
              <w:pStyle w:val="TableParagraph"/>
              <w:spacing w:line="212" w:lineRule="exact"/>
              <w:ind w:right="59"/>
              <w:rPr>
                <w:sz w:val="18"/>
              </w:rPr>
            </w:pPr>
            <w:r>
              <w:rPr>
                <w:spacing w:val="-5"/>
                <w:w w:val="105"/>
                <w:sz w:val="18"/>
              </w:rPr>
              <w:t>13</w:t>
            </w:r>
          </w:p>
        </w:tc>
        <w:tc>
          <w:tcPr>
            <w:tcW w:w="1591" w:type="dxa"/>
          </w:tcPr>
          <w:p w14:paraId="0335E58A" w14:textId="77777777" w:rsidR="002C6574" w:rsidRDefault="00000000">
            <w:pPr>
              <w:pStyle w:val="TableParagraph"/>
              <w:spacing w:line="212" w:lineRule="exact"/>
              <w:ind w:right="61"/>
              <w:rPr>
                <w:sz w:val="18"/>
              </w:rPr>
            </w:pPr>
            <w:r>
              <w:rPr>
                <w:spacing w:val="-5"/>
                <w:w w:val="105"/>
                <w:sz w:val="18"/>
              </w:rPr>
              <w:t>11</w:t>
            </w:r>
          </w:p>
        </w:tc>
      </w:tr>
      <w:tr w:rsidR="002C6574" w14:paraId="508D9BD9" w14:textId="77777777">
        <w:trPr>
          <w:trHeight w:val="232"/>
        </w:trPr>
        <w:tc>
          <w:tcPr>
            <w:tcW w:w="6583" w:type="dxa"/>
          </w:tcPr>
          <w:p w14:paraId="14D87EAD" w14:textId="77777777" w:rsidR="002C6574" w:rsidRDefault="00000000">
            <w:pPr>
              <w:pStyle w:val="TableParagraph"/>
              <w:spacing w:before="11" w:line="201" w:lineRule="exact"/>
              <w:ind w:left="69"/>
              <w:jc w:val="left"/>
              <w:rPr>
                <w:rFonts w:ascii="Arial"/>
                <w:b/>
                <w:sz w:val="18"/>
              </w:rPr>
            </w:pPr>
            <w:r>
              <w:rPr>
                <w:rFonts w:ascii="Arial"/>
                <w:b/>
                <w:spacing w:val="-2"/>
                <w:sz w:val="18"/>
              </w:rPr>
              <w:t>Total</w:t>
            </w:r>
          </w:p>
        </w:tc>
        <w:tc>
          <w:tcPr>
            <w:tcW w:w="1596" w:type="dxa"/>
          </w:tcPr>
          <w:p w14:paraId="50807A54" w14:textId="77777777" w:rsidR="002C6574" w:rsidRDefault="00000000">
            <w:pPr>
              <w:pStyle w:val="TableParagraph"/>
              <w:spacing w:before="11" w:line="201" w:lineRule="exact"/>
              <w:ind w:right="57"/>
              <w:rPr>
                <w:rFonts w:ascii="Arial"/>
                <w:b/>
                <w:sz w:val="18"/>
              </w:rPr>
            </w:pPr>
            <w:r>
              <w:rPr>
                <w:rFonts w:ascii="Arial"/>
                <w:b/>
                <w:spacing w:val="-2"/>
                <w:sz w:val="18"/>
              </w:rPr>
              <w:t>21.583</w:t>
            </w:r>
          </w:p>
        </w:tc>
        <w:tc>
          <w:tcPr>
            <w:tcW w:w="1591" w:type="dxa"/>
          </w:tcPr>
          <w:p w14:paraId="6BE1CD4B" w14:textId="77777777" w:rsidR="002C6574" w:rsidRDefault="00000000">
            <w:pPr>
              <w:pStyle w:val="TableParagraph"/>
              <w:spacing w:before="11" w:line="201" w:lineRule="exact"/>
              <w:ind w:right="61"/>
              <w:rPr>
                <w:rFonts w:ascii="Arial"/>
                <w:b/>
                <w:sz w:val="18"/>
              </w:rPr>
            </w:pPr>
            <w:r>
              <w:rPr>
                <w:rFonts w:ascii="Arial"/>
                <w:b/>
                <w:spacing w:val="-2"/>
                <w:sz w:val="18"/>
              </w:rPr>
              <w:t>13.331</w:t>
            </w:r>
          </w:p>
        </w:tc>
      </w:tr>
      <w:tr w:rsidR="002C6574" w14:paraId="0743DF98" w14:textId="77777777">
        <w:trPr>
          <w:trHeight w:val="232"/>
        </w:trPr>
        <w:tc>
          <w:tcPr>
            <w:tcW w:w="6583" w:type="dxa"/>
          </w:tcPr>
          <w:p w14:paraId="63A0B95C" w14:textId="77777777" w:rsidR="002C6574" w:rsidRDefault="00000000">
            <w:pPr>
              <w:pStyle w:val="TableParagraph"/>
              <w:spacing w:before="11" w:line="201" w:lineRule="exact"/>
              <w:ind w:left="69"/>
              <w:jc w:val="left"/>
              <w:rPr>
                <w:rFonts w:ascii="Arial"/>
                <w:b/>
                <w:sz w:val="18"/>
              </w:rPr>
            </w:pPr>
            <w:r>
              <w:rPr>
                <w:rFonts w:ascii="Arial"/>
                <w:b/>
                <w:spacing w:val="-2"/>
                <w:sz w:val="18"/>
              </w:rPr>
              <w:t>Circulante</w:t>
            </w:r>
          </w:p>
        </w:tc>
        <w:tc>
          <w:tcPr>
            <w:tcW w:w="1596" w:type="dxa"/>
          </w:tcPr>
          <w:p w14:paraId="27F3DCFC" w14:textId="77777777" w:rsidR="002C6574" w:rsidRDefault="00000000">
            <w:pPr>
              <w:pStyle w:val="TableParagraph"/>
              <w:spacing w:before="11" w:line="201" w:lineRule="exact"/>
              <w:ind w:right="58"/>
              <w:rPr>
                <w:rFonts w:ascii="Arial"/>
                <w:b/>
                <w:sz w:val="18"/>
              </w:rPr>
            </w:pPr>
            <w:r>
              <w:rPr>
                <w:rFonts w:ascii="Arial"/>
                <w:b/>
                <w:spacing w:val="-2"/>
                <w:sz w:val="18"/>
              </w:rPr>
              <w:t>21.583</w:t>
            </w:r>
          </w:p>
        </w:tc>
        <w:tc>
          <w:tcPr>
            <w:tcW w:w="1591" w:type="dxa"/>
          </w:tcPr>
          <w:p w14:paraId="51716BDD" w14:textId="77777777" w:rsidR="002C6574" w:rsidRDefault="00000000">
            <w:pPr>
              <w:pStyle w:val="TableParagraph"/>
              <w:spacing w:before="11" w:line="201" w:lineRule="exact"/>
              <w:ind w:right="61"/>
              <w:rPr>
                <w:rFonts w:ascii="Arial"/>
                <w:b/>
                <w:sz w:val="18"/>
              </w:rPr>
            </w:pPr>
            <w:r>
              <w:rPr>
                <w:rFonts w:ascii="Arial"/>
                <w:b/>
                <w:spacing w:val="-2"/>
                <w:sz w:val="18"/>
              </w:rPr>
              <w:t>13.331</w:t>
            </w:r>
          </w:p>
        </w:tc>
      </w:tr>
    </w:tbl>
    <w:p w14:paraId="51E589AF" w14:textId="77777777" w:rsidR="002C6574" w:rsidRDefault="002C6574">
      <w:pPr>
        <w:pStyle w:val="TableParagraph"/>
        <w:spacing w:line="201" w:lineRule="exact"/>
        <w:rPr>
          <w:rFonts w:ascii="Arial"/>
          <w:b/>
          <w:sz w:val="18"/>
        </w:rPr>
        <w:sectPr w:rsidR="002C6574">
          <w:pgSz w:w="11910" w:h="16840"/>
          <w:pgMar w:top="1600" w:right="141" w:bottom="1320" w:left="1133" w:header="856" w:footer="1125" w:gutter="0"/>
          <w:cols w:space="720"/>
        </w:sectPr>
      </w:pPr>
    </w:p>
    <w:p w14:paraId="6DDFD2A4" w14:textId="77777777" w:rsidR="002C6574" w:rsidRDefault="00000000">
      <w:pPr>
        <w:numPr>
          <w:ilvl w:val="0"/>
          <w:numId w:val="54"/>
        </w:numPr>
        <w:tabs>
          <w:tab w:val="left" w:pos="995"/>
        </w:tabs>
        <w:spacing w:before="229"/>
        <w:ind w:left="995" w:hanging="852"/>
        <w:rPr>
          <w:rFonts w:ascii="Arial" w:hAnsi="Arial"/>
          <w:b/>
        </w:rPr>
      </w:pPr>
      <w:r>
        <w:rPr>
          <w:rFonts w:ascii="Arial" w:hAnsi="Arial"/>
          <w:b/>
          <w:spacing w:val="-2"/>
        </w:rPr>
        <w:lastRenderedPageBreak/>
        <w:t>PROVISÃO</w:t>
      </w:r>
      <w:r>
        <w:rPr>
          <w:rFonts w:ascii="Arial" w:hAnsi="Arial"/>
          <w:b/>
          <w:spacing w:val="-9"/>
        </w:rPr>
        <w:t xml:space="preserve"> </w:t>
      </w:r>
      <w:r>
        <w:rPr>
          <w:rFonts w:ascii="Arial" w:hAnsi="Arial"/>
          <w:b/>
          <w:spacing w:val="-2"/>
        </w:rPr>
        <w:t>PARA</w:t>
      </w:r>
      <w:r>
        <w:rPr>
          <w:rFonts w:ascii="Arial" w:hAnsi="Arial"/>
          <w:b/>
          <w:spacing w:val="-1"/>
        </w:rPr>
        <w:t xml:space="preserve"> </w:t>
      </w:r>
      <w:r>
        <w:rPr>
          <w:rFonts w:ascii="Arial" w:hAnsi="Arial"/>
          <w:b/>
          <w:spacing w:val="-2"/>
        </w:rPr>
        <w:t>PROGRAMA</w:t>
      </w:r>
      <w:r>
        <w:rPr>
          <w:rFonts w:ascii="Arial" w:hAnsi="Arial"/>
          <w:b/>
          <w:spacing w:val="-1"/>
        </w:rPr>
        <w:t xml:space="preserve"> </w:t>
      </w:r>
      <w:r>
        <w:rPr>
          <w:rFonts w:ascii="Arial" w:hAnsi="Arial"/>
          <w:b/>
          <w:spacing w:val="-2"/>
        </w:rPr>
        <w:t>DE</w:t>
      </w:r>
      <w:r>
        <w:rPr>
          <w:rFonts w:ascii="Arial" w:hAnsi="Arial"/>
          <w:b/>
          <w:spacing w:val="-11"/>
        </w:rPr>
        <w:t xml:space="preserve"> </w:t>
      </w:r>
      <w:r>
        <w:rPr>
          <w:rFonts w:ascii="Arial" w:hAnsi="Arial"/>
          <w:b/>
          <w:spacing w:val="-2"/>
        </w:rPr>
        <w:t>INDENIZAÇÃO</w:t>
      </w:r>
      <w:r>
        <w:rPr>
          <w:rFonts w:ascii="Arial" w:hAnsi="Arial"/>
          <w:b/>
          <w:spacing w:val="-6"/>
        </w:rPr>
        <w:t xml:space="preserve"> </w:t>
      </w:r>
      <w:r>
        <w:rPr>
          <w:rFonts w:ascii="Arial" w:hAnsi="Arial"/>
          <w:b/>
          <w:spacing w:val="-2"/>
        </w:rPr>
        <w:t>POR</w:t>
      </w:r>
      <w:r>
        <w:rPr>
          <w:rFonts w:ascii="Arial" w:hAnsi="Arial"/>
          <w:b/>
          <w:spacing w:val="-8"/>
        </w:rPr>
        <w:t xml:space="preserve"> </w:t>
      </w:r>
      <w:r>
        <w:rPr>
          <w:rFonts w:ascii="Arial" w:hAnsi="Arial"/>
          <w:b/>
          <w:spacing w:val="-2"/>
        </w:rPr>
        <w:t>SERVIÇOS</w:t>
      </w:r>
      <w:r>
        <w:rPr>
          <w:rFonts w:ascii="Arial" w:hAnsi="Arial"/>
          <w:b/>
          <w:spacing w:val="-8"/>
        </w:rPr>
        <w:t xml:space="preserve"> </w:t>
      </w:r>
      <w:r>
        <w:rPr>
          <w:rFonts w:ascii="Arial" w:hAnsi="Arial"/>
          <w:b/>
          <w:spacing w:val="-2"/>
        </w:rPr>
        <w:t>PRESTADOS</w:t>
      </w:r>
      <w:r>
        <w:rPr>
          <w:rFonts w:ascii="Arial" w:hAnsi="Arial"/>
          <w:b/>
          <w:spacing w:val="-8"/>
        </w:rPr>
        <w:t xml:space="preserve"> </w:t>
      </w:r>
      <w:r>
        <w:rPr>
          <w:rFonts w:ascii="Arial" w:hAnsi="Arial"/>
          <w:b/>
          <w:spacing w:val="-2"/>
        </w:rPr>
        <w:t>(PISP)</w:t>
      </w:r>
    </w:p>
    <w:p w14:paraId="3EA0D623" w14:textId="77777777" w:rsidR="002C6574" w:rsidRDefault="00000000">
      <w:pPr>
        <w:pStyle w:val="Corpodetexto"/>
        <w:spacing w:before="170" w:line="237" w:lineRule="auto"/>
        <w:ind w:left="143" w:right="703"/>
        <w:jc w:val="both"/>
      </w:pPr>
      <w:r>
        <w:t>Desde 2013, a Telebras reconheceu no passivo exigível provisão para o Programa de Indenização</w:t>
      </w:r>
      <w:r>
        <w:rPr>
          <w:spacing w:val="80"/>
        </w:rPr>
        <w:t xml:space="preserve"> </w:t>
      </w:r>
      <w:r>
        <w:t>por Serviços Prestados (PISP). Esta provisão foi constituída para fazer frente à indenização dos colaboradores que são elegíveis para o seu recebimento quando do desligamento da Companhia.</w:t>
      </w:r>
      <w:r>
        <w:rPr>
          <w:spacing w:val="40"/>
        </w:rPr>
        <w:t xml:space="preserve"> </w:t>
      </w:r>
      <w:r>
        <w:t>Os colaboradores elegíveis ao recebimento são aqueles que não tiveram seus vínculos</w:t>
      </w:r>
      <w:r>
        <w:rPr>
          <w:spacing w:val="80"/>
        </w:rPr>
        <w:t xml:space="preserve"> </w:t>
      </w:r>
      <w:r>
        <w:t>empregatícios rescindidos após o processo de cisão da Telebras e que aderiram ao plano conforme prazo</w:t>
      </w:r>
      <w:r>
        <w:rPr>
          <w:spacing w:val="-6"/>
        </w:rPr>
        <w:t xml:space="preserve"> </w:t>
      </w:r>
      <w:r>
        <w:t>estabelecido</w:t>
      </w:r>
      <w:r>
        <w:rPr>
          <w:spacing w:val="-5"/>
        </w:rPr>
        <w:t xml:space="preserve"> </w:t>
      </w:r>
      <w:r>
        <w:t>à</w:t>
      </w:r>
      <w:r>
        <w:rPr>
          <w:spacing w:val="-9"/>
        </w:rPr>
        <w:t xml:space="preserve"> </w:t>
      </w:r>
      <w:r>
        <w:t>época.</w:t>
      </w:r>
      <w:r>
        <w:rPr>
          <w:spacing w:val="-3"/>
        </w:rPr>
        <w:t xml:space="preserve"> </w:t>
      </w:r>
      <w:r>
        <w:t>Em</w:t>
      </w:r>
      <w:r>
        <w:rPr>
          <w:spacing w:val="-9"/>
        </w:rPr>
        <w:t xml:space="preserve"> </w:t>
      </w:r>
      <w:r>
        <w:t>31</w:t>
      </w:r>
      <w:r>
        <w:rPr>
          <w:spacing w:val="-6"/>
        </w:rPr>
        <w:t xml:space="preserve"> </w:t>
      </w:r>
      <w:r>
        <w:t>de</w:t>
      </w:r>
      <w:r>
        <w:rPr>
          <w:spacing w:val="-9"/>
        </w:rPr>
        <w:t xml:space="preserve"> </w:t>
      </w:r>
      <w:r>
        <w:t>dezembro</w:t>
      </w:r>
      <w:r>
        <w:rPr>
          <w:spacing w:val="-9"/>
        </w:rPr>
        <w:t xml:space="preserve"> </w:t>
      </w:r>
      <w:r>
        <w:t>de</w:t>
      </w:r>
      <w:r>
        <w:rPr>
          <w:spacing w:val="-6"/>
        </w:rPr>
        <w:t xml:space="preserve"> </w:t>
      </w:r>
      <w:r>
        <w:t>2025,</w:t>
      </w:r>
      <w:r>
        <w:rPr>
          <w:spacing w:val="-6"/>
        </w:rPr>
        <w:t xml:space="preserve"> </w:t>
      </w:r>
      <w:r>
        <w:t>o</w:t>
      </w:r>
      <w:r>
        <w:rPr>
          <w:spacing w:val="-6"/>
        </w:rPr>
        <w:t xml:space="preserve"> </w:t>
      </w:r>
      <w:r>
        <w:t>número</w:t>
      </w:r>
      <w:r>
        <w:rPr>
          <w:spacing w:val="-9"/>
        </w:rPr>
        <w:t xml:space="preserve"> </w:t>
      </w:r>
      <w:r>
        <w:t>de</w:t>
      </w:r>
      <w:r>
        <w:rPr>
          <w:spacing w:val="-9"/>
        </w:rPr>
        <w:t xml:space="preserve"> </w:t>
      </w:r>
      <w:r>
        <w:t>inscritos</w:t>
      </w:r>
      <w:r>
        <w:rPr>
          <w:spacing w:val="-7"/>
        </w:rPr>
        <w:t xml:space="preserve"> </w:t>
      </w:r>
      <w:r>
        <w:t>no</w:t>
      </w:r>
      <w:r>
        <w:rPr>
          <w:spacing w:val="-7"/>
        </w:rPr>
        <w:t xml:space="preserve"> </w:t>
      </w:r>
      <w:r>
        <w:t>programa</w:t>
      </w:r>
      <w:r>
        <w:rPr>
          <w:spacing w:val="-9"/>
        </w:rPr>
        <w:t xml:space="preserve"> </w:t>
      </w:r>
      <w:r>
        <w:t xml:space="preserve">totaliza 53 colaboradores e o montante provisionado é de R$ 21.266 (R$ 22.751 em 31 de dezembro de </w:t>
      </w:r>
      <w:r>
        <w:rPr>
          <w:spacing w:val="-2"/>
        </w:rPr>
        <w:t>2024).</w:t>
      </w:r>
    </w:p>
    <w:p w14:paraId="3B43E098" w14:textId="77777777" w:rsidR="002C6574" w:rsidRDefault="00000000">
      <w:pPr>
        <w:pStyle w:val="Corpodetexto"/>
        <w:spacing w:before="84"/>
        <w:ind w:left="143"/>
        <w:jc w:val="both"/>
      </w:pPr>
      <w:r>
        <w:t>A</w:t>
      </w:r>
      <w:r>
        <w:rPr>
          <w:spacing w:val="9"/>
        </w:rPr>
        <w:t xml:space="preserve"> </w:t>
      </w:r>
      <w:r>
        <w:t>movimentação</w:t>
      </w:r>
      <w:r>
        <w:rPr>
          <w:spacing w:val="4"/>
        </w:rPr>
        <w:t xml:space="preserve"> </w:t>
      </w:r>
      <w:r>
        <w:t>do</w:t>
      </w:r>
      <w:r>
        <w:rPr>
          <w:spacing w:val="11"/>
        </w:rPr>
        <w:t xml:space="preserve"> </w:t>
      </w:r>
      <w:r>
        <w:t>PISP</w:t>
      </w:r>
      <w:r>
        <w:rPr>
          <w:spacing w:val="6"/>
        </w:rPr>
        <w:t xml:space="preserve"> </w:t>
      </w:r>
      <w:r>
        <w:t>no</w:t>
      </w:r>
      <w:r>
        <w:rPr>
          <w:spacing w:val="8"/>
        </w:rPr>
        <w:t xml:space="preserve"> </w:t>
      </w:r>
      <w:r>
        <w:t>exercício</w:t>
      </w:r>
      <w:r>
        <w:rPr>
          <w:spacing w:val="8"/>
        </w:rPr>
        <w:t xml:space="preserve"> </w:t>
      </w:r>
      <w:r>
        <w:t>de</w:t>
      </w:r>
      <w:r>
        <w:rPr>
          <w:spacing w:val="9"/>
        </w:rPr>
        <w:t xml:space="preserve"> </w:t>
      </w:r>
      <w:r>
        <w:t>2025</w:t>
      </w:r>
      <w:r>
        <w:rPr>
          <w:spacing w:val="6"/>
        </w:rPr>
        <w:t xml:space="preserve"> </w:t>
      </w:r>
      <w:r>
        <w:t>está</w:t>
      </w:r>
      <w:r>
        <w:rPr>
          <w:spacing w:val="10"/>
        </w:rPr>
        <w:t xml:space="preserve"> </w:t>
      </w:r>
      <w:r>
        <w:t>apresentada</w:t>
      </w:r>
      <w:r>
        <w:rPr>
          <w:spacing w:val="8"/>
        </w:rPr>
        <w:t xml:space="preserve"> </w:t>
      </w:r>
      <w:r>
        <w:t>no</w:t>
      </w:r>
      <w:r>
        <w:rPr>
          <w:spacing w:val="7"/>
        </w:rPr>
        <w:t xml:space="preserve"> </w:t>
      </w:r>
      <w:r>
        <w:t>quadro</w:t>
      </w:r>
      <w:r>
        <w:rPr>
          <w:spacing w:val="9"/>
        </w:rPr>
        <w:t xml:space="preserve"> </w:t>
      </w:r>
      <w:r>
        <w:t>a</w:t>
      </w:r>
      <w:r>
        <w:rPr>
          <w:spacing w:val="4"/>
        </w:rPr>
        <w:t xml:space="preserve"> </w:t>
      </w:r>
      <w:r>
        <w:rPr>
          <w:spacing w:val="-2"/>
        </w:rPr>
        <w:t>seguir:</w:t>
      </w:r>
    </w:p>
    <w:p w14:paraId="360C05EE" w14:textId="77777777" w:rsidR="002C6574" w:rsidRDefault="002C6574">
      <w:pPr>
        <w:pStyle w:val="Corpodetexto"/>
        <w:spacing w:before="56"/>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67"/>
        <w:gridCol w:w="1903"/>
      </w:tblGrid>
      <w:tr w:rsidR="002C6574" w14:paraId="2EFA5613" w14:textId="77777777">
        <w:trPr>
          <w:trHeight w:val="232"/>
        </w:trPr>
        <w:tc>
          <w:tcPr>
            <w:tcW w:w="7867" w:type="dxa"/>
          </w:tcPr>
          <w:p w14:paraId="064C45B8" w14:textId="77777777" w:rsidR="002C6574" w:rsidRDefault="00000000">
            <w:pPr>
              <w:pStyle w:val="TableParagraph"/>
              <w:spacing w:before="11" w:line="201"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2024</w:t>
            </w:r>
          </w:p>
        </w:tc>
        <w:tc>
          <w:tcPr>
            <w:tcW w:w="1903" w:type="dxa"/>
          </w:tcPr>
          <w:p w14:paraId="371B578C" w14:textId="77777777" w:rsidR="002C6574" w:rsidRDefault="00000000">
            <w:pPr>
              <w:pStyle w:val="TableParagraph"/>
              <w:spacing w:before="11" w:line="201" w:lineRule="exact"/>
              <w:ind w:right="57"/>
              <w:rPr>
                <w:rFonts w:ascii="Arial"/>
                <w:b/>
                <w:sz w:val="18"/>
              </w:rPr>
            </w:pPr>
            <w:r>
              <w:rPr>
                <w:rFonts w:ascii="Arial"/>
                <w:b/>
                <w:spacing w:val="-2"/>
                <w:sz w:val="18"/>
              </w:rPr>
              <w:t>22.751</w:t>
            </w:r>
          </w:p>
        </w:tc>
      </w:tr>
      <w:tr w:rsidR="002C6574" w14:paraId="74EB1CBF" w14:textId="77777777">
        <w:trPr>
          <w:trHeight w:val="230"/>
        </w:trPr>
        <w:tc>
          <w:tcPr>
            <w:tcW w:w="7867" w:type="dxa"/>
          </w:tcPr>
          <w:p w14:paraId="54C4E3ED" w14:textId="77777777" w:rsidR="002C6574" w:rsidRDefault="00000000">
            <w:pPr>
              <w:pStyle w:val="TableParagraph"/>
              <w:spacing w:line="210" w:lineRule="exact"/>
              <w:ind w:left="69"/>
              <w:jc w:val="left"/>
              <w:rPr>
                <w:sz w:val="18"/>
              </w:rPr>
            </w:pPr>
            <w:r>
              <w:rPr>
                <w:sz w:val="18"/>
              </w:rPr>
              <w:t>Atualização</w:t>
            </w:r>
            <w:r>
              <w:rPr>
                <w:spacing w:val="5"/>
                <w:sz w:val="18"/>
              </w:rPr>
              <w:t xml:space="preserve"> </w:t>
            </w:r>
            <w:r>
              <w:rPr>
                <w:sz w:val="18"/>
              </w:rPr>
              <w:t>da</w:t>
            </w:r>
            <w:r>
              <w:rPr>
                <w:spacing w:val="11"/>
                <w:sz w:val="18"/>
              </w:rPr>
              <w:t xml:space="preserve"> </w:t>
            </w:r>
            <w:r>
              <w:rPr>
                <w:sz w:val="18"/>
              </w:rPr>
              <w:t>Provisão</w:t>
            </w:r>
            <w:r>
              <w:rPr>
                <w:spacing w:val="7"/>
                <w:sz w:val="18"/>
              </w:rPr>
              <w:t xml:space="preserve"> </w:t>
            </w:r>
            <w:r>
              <w:rPr>
                <w:sz w:val="18"/>
              </w:rPr>
              <w:t>no</w:t>
            </w:r>
            <w:r>
              <w:rPr>
                <w:spacing w:val="9"/>
                <w:sz w:val="18"/>
              </w:rPr>
              <w:t xml:space="preserve"> </w:t>
            </w:r>
            <w:r>
              <w:rPr>
                <w:spacing w:val="-2"/>
                <w:sz w:val="18"/>
              </w:rPr>
              <w:t>Período</w:t>
            </w:r>
          </w:p>
        </w:tc>
        <w:tc>
          <w:tcPr>
            <w:tcW w:w="1903" w:type="dxa"/>
          </w:tcPr>
          <w:p w14:paraId="2068F0D0" w14:textId="77777777" w:rsidR="002C6574" w:rsidRDefault="00000000">
            <w:pPr>
              <w:pStyle w:val="TableParagraph"/>
              <w:spacing w:line="210" w:lineRule="exact"/>
              <w:ind w:right="57"/>
              <w:rPr>
                <w:sz w:val="18"/>
              </w:rPr>
            </w:pPr>
            <w:r>
              <w:rPr>
                <w:spacing w:val="-4"/>
                <w:w w:val="110"/>
                <w:sz w:val="18"/>
              </w:rPr>
              <w:t>3.292</w:t>
            </w:r>
          </w:p>
        </w:tc>
      </w:tr>
      <w:tr w:rsidR="002C6574" w14:paraId="7B528BD8" w14:textId="77777777">
        <w:trPr>
          <w:trHeight w:val="232"/>
        </w:trPr>
        <w:tc>
          <w:tcPr>
            <w:tcW w:w="7867" w:type="dxa"/>
          </w:tcPr>
          <w:p w14:paraId="7ABACCA3" w14:textId="77777777" w:rsidR="002C6574" w:rsidRDefault="00000000">
            <w:pPr>
              <w:pStyle w:val="TableParagraph"/>
              <w:spacing w:line="212" w:lineRule="exact"/>
              <w:ind w:left="69"/>
              <w:jc w:val="left"/>
              <w:rPr>
                <w:sz w:val="18"/>
              </w:rPr>
            </w:pPr>
            <w:r>
              <w:rPr>
                <w:spacing w:val="-2"/>
                <w:w w:val="110"/>
                <w:sz w:val="18"/>
              </w:rPr>
              <w:t>Baixas</w:t>
            </w:r>
          </w:p>
        </w:tc>
        <w:tc>
          <w:tcPr>
            <w:tcW w:w="1903" w:type="dxa"/>
          </w:tcPr>
          <w:p w14:paraId="6B496FCA" w14:textId="77777777" w:rsidR="002C6574" w:rsidRDefault="00000000">
            <w:pPr>
              <w:pStyle w:val="TableParagraph"/>
              <w:spacing w:line="212" w:lineRule="exact"/>
              <w:ind w:right="55"/>
              <w:rPr>
                <w:sz w:val="18"/>
              </w:rPr>
            </w:pPr>
            <w:r>
              <w:rPr>
                <w:spacing w:val="-2"/>
                <w:w w:val="110"/>
                <w:sz w:val="18"/>
              </w:rPr>
              <w:t>(4.777)</w:t>
            </w:r>
          </w:p>
        </w:tc>
      </w:tr>
      <w:tr w:rsidR="002C6574" w14:paraId="4F3D6DD2" w14:textId="77777777">
        <w:trPr>
          <w:trHeight w:val="232"/>
        </w:trPr>
        <w:tc>
          <w:tcPr>
            <w:tcW w:w="7867" w:type="dxa"/>
          </w:tcPr>
          <w:p w14:paraId="28CBDA3A" w14:textId="77777777" w:rsidR="002C6574" w:rsidRDefault="00000000">
            <w:pPr>
              <w:pStyle w:val="TableParagraph"/>
              <w:spacing w:before="13" w:line="199"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2025</w:t>
            </w:r>
          </w:p>
        </w:tc>
        <w:tc>
          <w:tcPr>
            <w:tcW w:w="1903" w:type="dxa"/>
          </w:tcPr>
          <w:p w14:paraId="2F7FA72E" w14:textId="77777777" w:rsidR="002C6574" w:rsidRDefault="00000000">
            <w:pPr>
              <w:pStyle w:val="TableParagraph"/>
              <w:spacing w:before="13" w:line="199" w:lineRule="exact"/>
              <w:ind w:right="57"/>
              <w:rPr>
                <w:rFonts w:ascii="Arial"/>
                <w:b/>
                <w:sz w:val="18"/>
              </w:rPr>
            </w:pPr>
            <w:r>
              <w:rPr>
                <w:rFonts w:ascii="Arial"/>
                <w:b/>
                <w:spacing w:val="-2"/>
                <w:sz w:val="18"/>
              </w:rPr>
              <w:t>21.266</w:t>
            </w:r>
          </w:p>
        </w:tc>
      </w:tr>
      <w:tr w:rsidR="002C6574" w14:paraId="340B4EEA" w14:textId="77777777">
        <w:trPr>
          <w:trHeight w:val="232"/>
        </w:trPr>
        <w:tc>
          <w:tcPr>
            <w:tcW w:w="7867" w:type="dxa"/>
          </w:tcPr>
          <w:p w14:paraId="02AAF087" w14:textId="77777777" w:rsidR="002C6574" w:rsidRDefault="00000000">
            <w:pPr>
              <w:pStyle w:val="TableParagraph"/>
              <w:spacing w:before="13" w:line="199" w:lineRule="exact"/>
              <w:ind w:left="69"/>
              <w:jc w:val="left"/>
              <w:rPr>
                <w:rFonts w:ascii="Arial"/>
                <w:b/>
                <w:sz w:val="18"/>
              </w:rPr>
            </w:pPr>
            <w:r>
              <w:rPr>
                <w:rFonts w:ascii="Arial"/>
                <w:b/>
                <w:spacing w:val="-2"/>
                <w:sz w:val="18"/>
              </w:rPr>
              <w:t>Circulante</w:t>
            </w:r>
          </w:p>
        </w:tc>
        <w:tc>
          <w:tcPr>
            <w:tcW w:w="1903" w:type="dxa"/>
          </w:tcPr>
          <w:p w14:paraId="72DA1959" w14:textId="77777777" w:rsidR="002C6574" w:rsidRDefault="00000000">
            <w:pPr>
              <w:pStyle w:val="TableParagraph"/>
              <w:spacing w:before="13" w:line="199" w:lineRule="exact"/>
              <w:ind w:right="57"/>
              <w:rPr>
                <w:rFonts w:ascii="Arial"/>
                <w:b/>
                <w:sz w:val="18"/>
              </w:rPr>
            </w:pPr>
            <w:r>
              <w:rPr>
                <w:rFonts w:ascii="Arial"/>
                <w:b/>
                <w:spacing w:val="-2"/>
                <w:sz w:val="18"/>
              </w:rPr>
              <w:t>2.191</w:t>
            </w:r>
          </w:p>
        </w:tc>
      </w:tr>
      <w:tr w:rsidR="002C6574" w14:paraId="26E5AC41" w14:textId="77777777">
        <w:trPr>
          <w:trHeight w:val="232"/>
        </w:trPr>
        <w:tc>
          <w:tcPr>
            <w:tcW w:w="7867" w:type="dxa"/>
          </w:tcPr>
          <w:p w14:paraId="30DF40D9" w14:textId="77777777" w:rsidR="002C6574" w:rsidRDefault="00000000">
            <w:pPr>
              <w:pStyle w:val="TableParagraph"/>
              <w:spacing w:before="11" w:line="201" w:lineRule="exact"/>
              <w:ind w:left="69"/>
              <w:jc w:val="left"/>
              <w:rPr>
                <w:rFonts w:ascii="Arial" w:hAnsi="Arial"/>
                <w:b/>
                <w:sz w:val="18"/>
              </w:rPr>
            </w:pPr>
            <w:r>
              <w:rPr>
                <w:rFonts w:ascii="Arial" w:hAnsi="Arial"/>
                <w:b/>
                <w:sz w:val="18"/>
              </w:rPr>
              <w:t xml:space="preserve">Não </w:t>
            </w:r>
            <w:r>
              <w:rPr>
                <w:rFonts w:ascii="Arial" w:hAnsi="Arial"/>
                <w:b/>
                <w:spacing w:val="-2"/>
                <w:sz w:val="18"/>
              </w:rPr>
              <w:t>circulante</w:t>
            </w:r>
          </w:p>
        </w:tc>
        <w:tc>
          <w:tcPr>
            <w:tcW w:w="1903" w:type="dxa"/>
          </w:tcPr>
          <w:p w14:paraId="7FC79680" w14:textId="77777777" w:rsidR="002C6574" w:rsidRDefault="00000000">
            <w:pPr>
              <w:pStyle w:val="TableParagraph"/>
              <w:spacing w:before="11" w:line="201" w:lineRule="exact"/>
              <w:ind w:right="57"/>
              <w:rPr>
                <w:rFonts w:ascii="Arial"/>
                <w:b/>
                <w:sz w:val="18"/>
              </w:rPr>
            </w:pPr>
            <w:r>
              <w:rPr>
                <w:rFonts w:ascii="Arial"/>
                <w:b/>
                <w:spacing w:val="-2"/>
                <w:sz w:val="18"/>
              </w:rPr>
              <w:t>19.075</w:t>
            </w:r>
          </w:p>
        </w:tc>
      </w:tr>
    </w:tbl>
    <w:p w14:paraId="540E07EA" w14:textId="77777777" w:rsidR="002C6574" w:rsidRDefault="00000000">
      <w:pPr>
        <w:numPr>
          <w:ilvl w:val="0"/>
          <w:numId w:val="54"/>
        </w:numPr>
        <w:tabs>
          <w:tab w:val="left" w:pos="995"/>
        </w:tabs>
        <w:spacing w:before="213"/>
        <w:ind w:left="995" w:hanging="852"/>
        <w:rPr>
          <w:rFonts w:ascii="Arial" w:hAnsi="Arial"/>
          <w:b/>
        </w:rPr>
      </w:pPr>
      <w:r>
        <w:rPr>
          <w:rFonts w:ascii="Arial" w:hAnsi="Arial"/>
          <w:b/>
        </w:rPr>
        <w:t>GRUPAMENTO</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AÇÕES</w:t>
      </w:r>
      <w:r>
        <w:rPr>
          <w:rFonts w:ascii="Arial" w:hAnsi="Arial"/>
          <w:b/>
          <w:spacing w:val="-3"/>
        </w:rPr>
        <w:t xml:space="preserve"> </w:t>
      </w:r>
      <w:r>
        <w:rPr>
          <w:rFonts w:ascii="Arial" w:hAnsi="Arial"/>
          <w:b/>
        </w:rPr>
        <w:t>(Leilão</w:t>
      </w:r>
      <w:r>
        <w:rPr>
          <w:rFonts w:ascii="Arial" w:hAnsi="Arial"/>
          <w:b/>
          <w:spacing w:val="-5"/>
        </w:rPr>
        <w:t xml:space="preserve"> </w:t>
      </w:r>
      <w:r>
        <w:rPr>
          <w:rFonts w:ascii="Arial" w:hAnsi="Arial"/>
          <w:b/>
        </w:rPr>
        <w:t>de</w:t>
      </w:r>
      <w:r>
        <w:rPr>
          <w:rFonts w:ascii="Arial" w:hAnsi="Arial"/>
          <w:b/>
          <w:spacing w:val="-2"/>
        </w:rPr>
        <w:t xml:space="preserve"> frações)</w:t>
      </w:r>
    </w:p>
    <w:p w14:paraId="39526EBB" w14:textId="77777777" w:rsidR="002C6574" w:rsidRDefault="00000000">
      <w:pPr>
        <w:pStyle w:val="Corpodetexto"/>
        <w:spacing w:before="112"/>
        <w:ind w:left="143" w:right="702"/>
        <w:jc w:val="both"/>
      </w:pPr>
      <w:r>
        <w:t xml:space="preserve">Representa os valores arrecadados com a realização do leilão das frações de ações após o processo de grupamento realizado no ano de 2018, cujo montante totalizou R$ 680. Este valor aguarda a manifestação dos acionistas que detêm o direito de receber tais valores para que o pagamento seja </w:t>
      </w:r>
      <w:r>
        <w:rPr>
          <w:spacing w:val="-2"/>
        </w:rPr>
        <w:t>realizado.</w:t>
      </w:r>
    </w:p>
    <w:p w14:paraId="2A6EC3CB" w14:textId="77777777" w:rsidR="002C6574" w:rsidRDefault="002C6574">
      <w:pPr>
        <w:pStyle w:val="Corpodetexto"/>
        <w:spacing w:before="24"/>
      </w:pPr>
    </w:p>
    <w:p w14:paraId="7659FDA3" w14:textId="77777777" w:rsidR="002C6574" w:rsidRDefault="00000000">
      <w:pPr>
        <w:numPr>
          <w:ilvl w:val="0"/>
          <w:numId w:val="54"/>
        </w:numPr>
        <w:tabs>
          <w:tab w:val="left" w:pos="995"/>
        </w:tabs>
        <w:ind w:left="995" w:hanging="852"/>
        <w:rPr>
          <w:rFonts w:ascii="Arial"/>
          <w:b/>
        </w:rPr>
      </w:pPr>
      <w:r>
        <w:rPr>
          <w:rFonts w:ascii="Arial"/>
          <w:b/>
          <w:spacing w:val="-2"/>
        </w:rPr>
        <w:t>FORNECEDORES</w:t>
      </w:r>
    </w:p>
    <w:p w14:paraId="75644D93" w14:textId="77777777" w:rsidR="002C6574" w:rsidRDefault="002C6574">
      <w:pPr>
        <w:pStyle w:val="Corpodetexto"/>
        <w:spacing w:before="45"/>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8"/>
        <w:gridCol w:w="1330"/>
        <w:gridCol w:w="1484"/>
      </w:tblGrid>
      <w:tr w:rsidR="002C6574" w14:paraId="44535D9B" w14:textId="77777777">
        <w:trPr>
          <w:trHeight w:val="237"/>
        </w:trPr>
        <w:tc>
          <w:tcPr>
            <w:tcW w:w="6958" w:type="dxa"/>
            <w:shd w:val="clear" w:color="auto" w:fill="D8D8D8"/>
          </w:tcPr>
          <w:p w14:paraId="2400E7E1" w14:textId="77777777" w:rsidR="002C6574" w:rsidRDefault="00000000">
            <w:pPr>
              <w:pStyle w:val="TableParagraph"/>
              <w:spacing w:before="15" w:line="201" w:lineRule="exact"/>
              <w:ind w:left="69"/>
              <w:jc w:val="left"/>
              <w:rPr>
                <w:rFonts w:ascii="Arial" w:hAnsi="Arial"/>
                <w:b/>
                <w:sz w:val="18"/>
              </w:rPr>
            </w:pPr>
            <w:r>
              <w:rPr>
                <w:rFonts w:ascii="Arial" w:hAnsi="Arial"/>
                <w:b/>
                <w:spacing w:val="-2"/>
                <w:sz w:val="18"/>
              </w:rPr>
              <w:t>Composição:</w:t>
            </w:r>
          </w:p>
        </w:tc>
        <w:tc>
          <w:tcPr>
            <w:tcW w:w="1330" w:type="dxa"/>
          </w:tcPr>
          <w:p w14:paraId="51CC76BB" w14:textId="77777777" w:rsidR="002C6574" w:rsidRDefault="00000000">
            <w:pPr>
              <w:pStyle w:val="TableParagraph"/>
              <w:spacing w:before="15" w:line="201" w:lineRule="exact"/>
              <w:ind w:left="213"/>
              <w:jc w:val="left"/>
              <w:rPr>
                <w:rFonts w:ascii="Arial"/>
                <w:b/>
                <w:sz w:val="18"/>
              </w:rPr>
            </w:pPr>
            <w:r>
              <w:rPr>
                <w:rFonts w:ascii="Arial"/>
                <w:b/>
                <w:spacing w:val="-2"/>
                <w:sz w:val="18"/>
              </w:rPr>
              <w:t>31/12/2025</w:t>
            </w:r>
          </w:p>
        </w:tc>
        <w:tc>
          <w:tcPr>
            <w:tcW w:w="1484" w:type="dxa"/>
          </w:tcPr>
          <w:p w14:paraId="2BF3D587" w14:textId="77777777" w:rsidR="002C6574" w:rsidRDefault="00000000">
            <w:pPr>
              <w:pStyle w:val="TableParagraph"/>
              <w:spacing w:before="15" w:line="201" w:lineRule="exact"/>
              <w:ind w:left="289"/>
              <w:jc w:val="left"/>
              <w:rPr>
                <w:rFonts w:ascii="Arial"/>
                <w:b/>
                <w:sz w:val="18"/>
              </w:rPr>
            </w:pPr>
            <w:r>
              <w:rPr>
                <w:rFonts w:ascii="Arial"/>
                <w:b/>
                <w:spacing w:val="-2"/>
                <w:sz w:val="18"/>
              </w:rPr>
              <w:t>31/12/2024</w:t>
            </w:r>
          </w:p>
        </w:tc>
      </w:tr>
      <w:tr w:rsidR="002C6574" w14:paraId="7694E6A6" w14:textId="77777777">
        <w:trPr>
          <w:trHeight w:val="239"/>
        </w:trPr>
        <w:tc>
          <w:tcPr>
            <w:tcW w:w="6958" w:type="dxa"/>
          </w:tcPr>
          <w:p w14:paraId="4D3ADAAD" w14:textId="77777777" w:rsidR="002C6574" w:rsidRDefault="00000000">
            <w:pPr>
              <w:pStyle w:val="TableParagraph"/>
              <w:spacing w:line="220" w:lineRule="exact"/>
              <w:ind w:left="69"/>
              <w:jc w:val="left"/>
              <w:rPr>
                <w:sz w:val="18"/>
              </w:rPr>
            </w:pPr>
            <w:r>
              <w:rPr>
                <w:sz w:val="18"/>
              </w:rPr>
              <w:t>Fornecedores</w:t>
            </w:r>
            <w:r>
              <w:rPr>
                <w:spacing w:val="13"/>
                <w:sz w:val="18"/>
              </w:rPr>
              <w:t xml:space="preserve"> </w:t>
            </w:r>
            <w:r>
              <w:rPr>
                <w:sz w:val="18"/>
              </w:rPr>
              <w:t>de</w:t>
            </w:r>
            <w:r>
              <w:rPr>
                <w:spacing w:val="19"/>
                <w:sz w:val="18"/>
              </w:rPr>
              <w:t xml:space="preserve"> </w:t>
            </w:r>
            <w:r>
              <w:rPr>
                <w:spacing w:val="-2"/>
                <w:sz w:val="18"/>
              </w:rPr>
              <w:t>Operação</w:t>
            </w:r>
          </w:p>
        </w:tc>
        <w:tc>
          <w:tcPr>
            <w:tcW w:w="1330" w:type="dxa"/>
          </w:tcPr>
          <w:p w14:paraId="65E3F0BE" w14:textId="77777777" w:rsidR="002C6574" w:rsidRDefault="00000000">
            <w:pPr>
              <w:pStyle w:val="TableParagraph"/>
              <w:spacing w:line="220" w:lineRule="exact"/>
              <w:ind w:right="57"/>
              <w:rPr>
                <w:sz w:val="18"/>
              </w:rPr>
            </w:pPr>
            <w:r>
              <w:rPr>
                <w:spacing w:val="-2"/>
                <w:w w:val="105"/>
                <w:sz w:val="18"/>
              </w:rPr>
              <w:t>145.743</w:t>
            </w:r>
          </w:p>
        </w:tc>
        <w:tc>
          <w:tcPr>
            <w:tcW w:w="1484" w:type="dxa"/>
          </w:tcPr>
          <w:p w14:paraId="74979751" w14:textId="77777777" w:rsidR="002C6574" w:rsidRDefault="00000000">
            <w:pPr>
              <w:pStyle w:val="TableParagraph"/>
              <w:spacing w:line="220" w:lineRule="exact"/>
              <w:ind w:right="57"/>
              <w:rPr>
                <w:sz w:val="18"/>
              </w:rPr>
            </w:pPr>
            <w:r>
              <w:rPr>
                <w:spacing w:val="-2"/>
                <w:w w:val="105"/>
                <w:sz w:val="18"/>
              </w:rPr>
              <w:t>128.781</w:t>
            </w:r>
          </w:p>
        </w:tc>
      </w:tr>
      <w:tr w:rsidR="002C6574" w14:paraId="47907B27" w14:textId="77777777">
        <w:trPr>
          <w:trHeight w:val="237"/>
        </w:trPr>
        <w:tc>
          <w:tcPr>
            <w:tcW w:w="6958" w:type="dxa"/>
          </w:tcPr>
          <w:p w14:paraId="4961619E" w14:textId="77777777" w:rsidR="002C6574" w:rsidRDefault="00000000">
            <w:pPr>
              <w:pStyle w:val="TableParagraph"/>
              <w:spacing w:line="217" w:lineRule="exact"/>
              <w:ind w:left="69"/>
              <w:jc w:val="left"/>
              <w:rPr>
                <w:sz w:val="18"/>
              </w:rPr>
            </w:pPr>
            <w:r>
              <w:rPr>
                <w:sz w:val="18"/>
              </w:rPr>
              <w:t>Fornecedores</w:t>
            </w:r>
            <w:r>
              <w:rPr>
                <w:spacing w:val="13"/>
                <w:sz w:val="18"/>
              </w:rPr>
              <w:t xml:space="preserve"> </w:t>
            </w:r>
            <w:r>
              <w:rPr>
                <w:sz w:val="18"/>
              </w:rPr>
              <w:t>de</w:t>
            </w:r>
            <w:r>
              <w:rPr>
                <w:spacing w:val="19"/>
                <w:sz w:val="18"/>
              </w:rPr>
              <w:t xml:space="preserve"> </w:t>
            </w:r>
            <w:r>
              <w:rPr>
                <w:spacing w:val="-2"/>
                <w:sz w:val="18"/>
              </w:rPr>
              <w:t>Expansão</w:t>
            </w:r>
          </w:p>
        </w:tc>
        <w:tc>
          <w:tcPr>
            <w:tcW w:w="1330" w:type="dxa"/>
          </w:tcPr>
          <w:p w14:paraId="37EAD938" w14:textId="77777777" w:rsidR="002C6574" w:rsidRDefault="00000000">
            <w:pPr>
              <w:pStyle w:val="TableParagraph"/>
              <w:spacing w:line="217" w:lineRule="exact"/>
              <w:ind w:right="57"/>
              <w:rPr>
                <w:sz w:val="18"/>
              </w:rPr>
            </w:pPr>
            <w:r>
              <w:rPr>
                <w:spacing w:val="-2"/>
                <w:w w:val="110"/>
                <w:sz w:val="18"/>
              </w:rPr>
              <w:t>6.051</w:t>
            </w:r>
          </w:p>
        </w:tc>
        <w:tc>
          <w:tcPr>
            <w:tcW w:w="1484" w:type="dxa"/>
          </w:tcPr>
          <w:p w14:paraId="479C059F" w14:textId="77777777" w:rsidR="002C6574" w:rsidRDefault="00000000">
            <w:pPr>
              <w:pStyle w:val="TableParagraph"/>
              <w:spacing w:line="217" w:lineRule="exact"/>
              <w:ind w:right="57"/>
              <w:rPr>
                <w:sz w:val="18"/>
              </w:rPr>
            </w:pPr>
            <w:r>
              <w:rPr>
                <w:spacing w:val="-2"/>
                <w:w w:val="105"/>
                <w:sz w:val="18"/>
              </w:rPr>
              <w:t>15.855</w:t>
            </w:r>
          </w:p>
        </w:tc>
      </w:tr>
      <w:tr w:rsidR="002C6574" w14:paraId="0F94ED74" w14:textId="77777777">
        <w:trPr>
          <w:trHeight w:val="237"/>
        </w:trPr>
        <w:tc>
          <w:tcPr>
            <w:tcW w:w="6958" w:type="dxa"/>
          </w:tcPr>
          <w:p w14:paraId="0CD17192" w14:textId="77777777" w:rsidR="002C6574" w:rsidRDefault="00000000">
            <w:pPr>
              <w:pStyle w:val="TableParagraph"/>
              <w:spacing w:before="15" w:line="201" w:lineRule="exact"/>
              <w:ind w:left="69"/>
              <w:jc w:val="left"/>
              <w:rPr>
                <w:rFonts w:ascii="Arial"/>
                <w:b/>
                <w:sz w:val="18"/>
              </w:rPr>
            </w:pPr>
            <w:r>
              <w:rPr>
                <w:rFonts w:ascii="Arial"/>
                <w:b/>
                <w:spacing w:val="-2"/>
                <w:sz w:val="18"/>
              </w:rPr>
              <w:t>Total</w:t>
            </w:r>
          </w:p>
        </w:tc>
        <w:tc>
          <w:tcPr>
            <w:tcW w:w="1330" w:type="dxa"/>
          </w:tcPr>
          <w:p w14:paraId="59FE9ED1" w14:textId="77777777" w:rsidR="002C6574" w:rsidRDefault="00000000">
            <w:pPr>
              <w:pStyle w:val="TableParagraph"/>
              <w:spacing w:before="15" w:line="201" w:lineRule="exact"/>
              <w:ind w:right="57"/>
              <w:rPr>
                <w:rFonts w:ascii="Arial"/>
                <w:b/>
                <w:sz w:val="18"/>
              </w:rPr>
            </w:pPr>
            <w:r>
              <w:rPr>
                <w:rFonts w:ascii="Arial"/>
                <w:b/>
                <w:spacing w:val="-2"/>
                <w:sz w:val="18"/>
              </w:rPr>
              <w:t>151.794</w:t>
            </w:r>
          </w:p>
        </w:tc>
        <w:tc>
          <w:tcPr>
            <w:tcW w:w="1484" w:type="dxa"/>
          </w:tcPr>
          <w:p w14:paraId="181F9B49" w14:textId="77777777" w:rsidR="002C6574" w:rsidRDefault="00000000">
            <w:pPr>
              <w:pStyle w:val="TableParagraph"/>
              <w:spacing w:before="15" w:line="201" w:lineRule="exact"/>
              <w:ind w:right="57"/>
              <w:rPr>
                <w:rFonts w:ascii="Arial"/>
                <w:b/>
                <w:sz w:val="18"/>
              </w:rPr>
            </w:pPr>
            <w:r>
              <w:rPr>
                <w:rFonts w:ascii="Arial"/>
                <w:b/>
                <w:spacing w:val="-2"/>
                <w:sz w:val="18"/>
              </w:rPr>
              <w:t>144.636</w:t>
            </w:r>
          </w:p>
        </w:tc>
      </w:tr>
      <w:tr w:rsidR="002C6574" w14:paraId="239508BA" w14:textId="77777777">
        <w:trPr>
          <w:trHeight w:val="239"/>
        </w:trPr>
        <w:tc>
          <w:tcPr>
            <w:tcW w:w="6958" w:type="dxa"/>
          </w:tcPr>
          <w:p w14:paraId="5F663BE1" w14:textId="77777777" w:rsidR="002C6574" w:rsidRDefault="00000000">
            <w:pPr>
              <w:pStyle w:val="TableParagraph"/>
              <w:spacing w:before="15" w:line="204" w:lineRule="exact"/>
              <w:ind w:left="69"/>
              <w:jc w:val="left"/>
              <w:rPr>
                <w:rFonts w:ascii="Arial"/>
                <w:b/>
                <w:sz w:val="18"/>
              </w:rPr>
            </w:pPr>
            <w:r>
              <w:rPr>
                <w:rFonts w:ascii="Arial"/>
                <w:b/>
                <w:spacing w:val="-2"/>
                <w:sz w:val="18"/>
              </w:rPr>
              <w:t>Circulante</w:t>
            </w:r>
          </w:p>
        </w:tc>
        <w:tc>
          <w:tcPr>
            <w:tcW w:w="1330" w:type="dxa"/>
          </w:tcPr>
          <w:p w14:paraId="7013FE2D" w14:textId="77777777" w:rsidR="002C6574" w:rsidRDefault="00000000">
            <w:pPr>
              <w:pStyle w:val="TableParagraph"/>
              <w:spacing w:before="15" w:line="204" w:lineRule="exact"/>
              <w:ind w:right="57"/>
              <w:rPr>
                <w:rFonts w:ascii="Arial"/>
                <w:b/>
                <w:sz w:val="18"/>
              </w:rPr>
            </w:pPr>
            <w:r>
              <w:rPr>
                <w:rFonts w:ascii="Arial"/>
                <w:b/>
                <w:spacing w:val="-2"/>
                <w:sz w:val="18"/>
              </w:rPr>
              <w:t>151.794</w:t>
            </w:r>
          </w:p>
        </w:tc>
        <w:tc>
          <w:tcPr>
            <w:tcW w:w="1484" w:type="dxa"/>
          </w:tcPr>
          <w:p w14:paraId="4A0B0393" w14:textId="77777777" w:rsidR="002C6574" w:rsidRDefault="00000000">
            <w:pPr>
              <w:pStyle w:val="TableParagraph"/>
              <w:spacing w:before="15" w:line="204" w:lineRule="exact"/>
              <w:ind w:right="57"/>
              <w:rPr>
                <w:rFonts w:ascii="Arial"/>
                <w:b/>
                <w:sz w:val="18"/>
              </w:rPr>
            </w:pPr>
            <w:r>
              <w:rPr>
                <w:rFonts w:ascii="Arial"/>
                <w:b/>
                <w:spacing w:val="-2"/>
                <w:sz w:val="18"/>
              </w:rPr>
              <w:t>144.636</w:t>
            </w:r>
          </w:p>
        </w:tc>
      </w:tr>
    </w:tbl>
    <w:p w14:paraId="277C97BF" w14:textId="77777777" w:rsidR="002C6574" w:rsidRDefault="002C6574">
      <w:pPr>
        <w:pStyle w:val="Corpodetexto"/>
        <w:rPr>
          <w:rFonts w:ascii="Arial"/>
          <w:b/>
        </w:rPr>
      </w:pPr>
    </w:p>
    <w:p w14:paraId="71D63B7F" w14:textId="77777777" w:rsidR="002C6574" w:rsidRDefault="00000000">
      <w:pPr>
        <w:pStyle w:val="PargrafodaLista"/>
        <w:numPr>
          <w:ilvl w:val="0"/>
          <w:numId w:val="54"/>
        </w:numPr>
        <w:tabs>
          <w:tab w:val="left" w:pos="995"/>
        </w:tabs>
        <w:ind w:left="995" w:hanging="852"/>
        <w:rPr>
          <w:rFonts w:ascii="Arial"/>
          <w:b/>
        </w:rPr>
      </w:pPr>
      <w:r>
        <w:rPr>
          <w:rFonts w:ascii="Arial"/>
          <w:b/>
        </w:rPr>
        <w:t>TRIBUTOS</w:t>
      </w:r>
      <w:r>
        <w:rPr>
          <w:rFonts w:ascii="Arial"/>
          <w:b/>
          <w:spacing w:val="-3"/>
        </w:rPr>
        <w:t xml:space="preserve"> </w:t>
      </w:r>
      <w:r>
        <w:rPr>
          <w:rFonts w:ascii="Arial"/>
          <w:b/>
          <w:spacing w:val="-2"/>
        </w:rPr>
        <w:t>DIRETOS</w:t>
      </w:r>
    </w:p>
    <w:p w14:paraId="42B5716B" w14:textId="77777777" w:rsidR="002C6574" w:rsidRDefault="00000000">
      <w:pPr>
        <w:pStyle w:val="Corpodetexto"/>
        <w:spacing w:before="225" w:line="237" w:lineRule="auto"/>
        <w:ind w:left="143" w:right="703"/>
        <w:jc w:val="both"/>
      </w:pPr>
      <w:r>
        <w:rPr>
          <w:w w:val="105"/>
        </w:rPr>
        <w:t>No</w:t>
      </w:r>
      <w:r>
        <w:rPr>
          <w:spacing w:val="-3"/>
          <w:w w:val="105"/>
        </w:rPr>
        <w:t xml:space="preserve"> </w:t>
      </w:r>
      <w:r>
        <w:rPr>
          <w:w w:val="105"/>
        </w:rPr>
        <w:t>exercício</w:t>
      </w:r>
      <w:r>
        <w:rPr>
          <w:spacing w:val="-3"/>
          <w:w w:val="105"/>
        </w:rPr>
        <w:t xml:space="preserve"> </w:t>
      </w:r>
      <w:r>
        <w:rPr>
          <w:w w:val="105"/>
        </w:rPr>
        <w:t>de</w:t>
      </w:r>
      <w:r>
        <w:rPr>
          <w:spacing w:val="-3"/>
          <w:w w:val="105"/>
        </w:rPr>
        <w:t xml:space="preserve"> </w:t>
      </w:r>
      <w:r>
        <w:rPr>
          <w:w w:val="105"/>
        </w:rPr>
        <w:t>2025,</w:t>
      </w:r>
      <w:r>
        <w:rPr>
          <w:spacing w:val="-3"/>
          <w:w w:val="105"/>
        </w:rPr>
        <w:t xml:space="preserve"> </w:t>
      </w:r>
      <w:r>
        <w:rPr>
          <w:w w:val="105"/>
        </w:rPr>
        <w:t>a</w:t>
      </w:r>
      <w:r>
        <w:rPr>
          <w:spacing w:val="-3"/>
          <w:w w:val="105"/>
        </w:rPr>
        <w:t xml:space="preserve"> </w:t>
      </w:r>
      <w:r>
        <w:rPr>
          <w:w w:val="105"/>
        </w:rPr>
        <w:t>Telebras</w:t>
      </w:r>
      <w:r>
        <w:rPr>
          <w:spacing w:val="-3"/>
          <w:w w:val="105"/>
        </w:rPr>
        <w:t xml:space="preserve"> </w:t>
      </w:r>
      <w:r>
        <w:rPr>
          <w:w w:val="105"/>
        </w:rPr>
        <w:t>apresentou</w:t>
      </w:r>
      <w:r>
        <w:rPr>
          <w:spacing w:val="-3"/>
          <w:w w:val="105"/>
        </w:rPr>
        <w:t xml:space="preserve"> </w:t>
      </w:r>
      <w:r>
        <w:rPr>
          <w:w w:val="105"/>
        </w:rPr>
        <w:t>lucro</w:t>
      </w:r>
      <w:r>
        <w:rPr>
          <w:spacing w:val="-6"/>
          <w:w w:val="105"/>
        </w:rPr>
        <w:t xml:space="preserve"> </w:t>
      </w:r>
      <w:r>
        <w:rPr>
          <w:w w:val="105"/>
        </w:rPr>
        <w:t>tributável</w:t>
      </w:r>
      <w:r>
        <w:rPr>
          <w:spacing w:val="-5"/>
          <w:w w:val="105"/>
        </w:rPr>
        <w:t xml:space="preserve"> </w:t>
      </w:r>
      <w:r>
        <w:rPr>
          <w:w w:val="105"/>
        </w:rPr>
        <w:t>no</w:t>
      </w:r>
      <w:r>
        <w:rPr>
          <w:spacing w:val="-6"/>
          <w:w w:val="105"/>
        </w:rPr>
        <w:t xml:space="preserve"> </w:t>
      </w:r>
      <w:r>
        <w:rPr>
          <w:w w:val="105"/>
        </w:rPr>
        <w:t>montante</w:t>
      </w:r>
      <w:r>
        <w:rPr>
          <w:spacing w:val="-3"/>
          <w:w w:val="105"/>
        </w:rPr>
        <w:t xml:space="preserve"> </w:t>
      </w:r>
      <w:r>
        <w:rPr>
          <w:w w:val="105"/>
        </w:rPr>
        <w:t>de</w:t>
      </w:r>
      <w:r>
        <w:rPr>
          <w:spacing w:val="-3"/>
          <w:w w:val="105"/>
        </w:rPr>
        <w:t xml:space="preserve"> </w:t>
      </w:r>
      <w:r>
        <w:rPr>
          <w:w w:val="105"/>
        </w:rPr>
        <w:t>R$</w:t>
      </w:r>
      <w:r>
        <w:rPr>
          <w:spacing w:val="-6"/>
          <w:w w:val="105"/>
        </w:rPr>
        <w:t xml:space="preserve"> </w:t>
      </w:r>
      <w:r>
        <w:rPr>
          <w:w w:val="105"/>
        </w:rPr>
        <w:t>179.448.</w:t>
      </w:r>
      <w:r>
        <w:rPr>
          <w:spacing w:val="-3"/>
          <w:w w:val="105"/>
        </w:rPr>
        <w:t xml:space="preserve"> </w:t>
      </w:r>
      <w:r>
        <w:rPr>
          <w:w w:val="105"/>
        </w:rPr>
        <w:t>Após</w:t>
      </w:r>
      <w:r>
        <w:rPr>
          <w:spacing w:val="-6"/>
          <w:w w:val="105"/>
        </w:rPr>
        <w:t xml:space="preserve"> </w:t>
      </w:r>
      <w:r>
        <w:rPr>
          <w:w w:val="105"/>
        </w:rPr>
        <w:t>a compensação</w:t>
      </w:r>
      <w:r>
        <w:rPr>
          <w:spacing w:val="-6"/>
          <w:w w:val="105"/>
        </w:rPr>
        <w:t xml:space="preserve"> </w:t>
      </w:r>
      <w:r>
        <w:rPr>
          <w:w w:val="105"/>
        </w:rPr>
        <w:t>dos</w:t>
      </w:r>
      <w:r>
        <w:rPr>
          <w:spacing w:val="-6"/>
          <w:w w:val="105"/>
        </w:rPr>
        <w:t xml:space="preserve"> </w:t>
      </w:r>
      <w:r>
        <w:rPr>
          <w:w w:val="105"/>
        </w:rPr>
        <w:t>prejuízos</w:t>
      </w:r>
      <w:r>
        <w:rPr>
          <w:spacing w:val="-6"/>
          <w:w w:val="105"/>
        </w:rPr>
        <w:t xml:space="preserve"> </w:t>
      </w:r>
      <w:r>
        <w:rPr>
          <w:w w:val="105"/>
        </w:rPr>
        <w:t>fiscais</w:t>
      </w:r>
      <w:r>
        <w:rPr>
          <w:spacing w:val="-8"/>
          <w:w w:val="105"/>
        </w:rPr>
        <w:t xml:space="preserve"> </w:t>
      </w:r>
      <w:r>
        <w:rPr>
          <w:w w:val="105"/>
        </w:rPr>
        <w:t>(limitada</w:t>
      </w:r>
      <w:r>
        <w:rPr>
          <w:spacing w:val="-6"/>
          <w:w w:val="105"/>
        </w:rPr>
        <w:t xml:space="preserve"> </w:t>
      </w:r>
      <w:r>
        <w:rPr>
          <w:w w:val="105"/>
        </w:rPr>
        <w:t>a</w:t>
      </w:r>
      <w:r>
        <w:rPr>
          <w:spacing w:val="-6"/>
          <w:w w:val="105"/>
        </w:rPr>
        <w:t xml:space="preserve"> </w:t>
      </w:r>
      <w:r>
        <w:rPr>
          <w:w w:val="105"/>
        </w:rPr>
        <w:t>30%)</w:t>
      </w:r>
      <w:r>
        <w:rPr>
          <w:spacing w:val="-5"/>
          <w:w w:val="105"/>
        </w:rPr>
        <w:t xml:space="preserve"> </w:t>
      </w:r>
      <w:r>
        <w:rPr>
          <w:w w:val="105"/>
        </w:rPr>
        <w:t>e</w:t>
      </w:r>
      <w:r>
        <w:rPr>
          <w:spacing w:val="-6"/>
          <w:w w:val="105"/>
        </w:rPr>
        <w:t xml:space="preserve"> </w:t>
      </w:r>
      <w:r>
        <w:rPr>
          <w:w w:val="105"/>
        </w:rPr>
        <w:t>da</w:t>
      </w:r>
      <w:r>
        <w:rPr>
          <w:spacing w:val="-6"/>
          <w:w w:val="105"/>
        </w:rPr>
        <w:t xml:space="preserve"> </w:t>
      </w:r>
      <w:r>
        <w:rPr>
          <w:w w:val="105"/>
        </w:rPr>
        <w:t>dedução</w:t>
      </w:r>
      <w:r>
        <w:rPr>
          <w:spacing w:val="-8"/>
          <w:w w:val="105"/>
        </w:rPr>
        <w:t xml:space="preserve"> </w:t>
      </w:r>
      <w:r>
        <w:rPr>
          <w:w w:val="105"/>
        </w:rPr>
        <w:t>referente</w:t>
      </w:r>
      <w:r>
        <w:rPr>
          <w:spacing w:val="-6"/>
          <w:w w:val="105"/>
        </w:rPr>
        <w:t xml:space="preserve"> </w:t>
      </w:r>
      <w:r>
        <w:rPr>
          <w:w w:val="105"/>
        </w:rPr>
        <w:t>ao</w:t>
      </w:r>
      <w:r>
        <w:rPr>
          <w:spacing w:val="-6"/>
          <w:w w:val="105"/>
        </w:rPr>
        <w:t xml:space="preserve"> </w:t>
      </w:r>
      <w:r>
        <w:rPr>
          <w:w w:val="105"/>
        </w:rPr>
        <w:t>incentivo</w:t>
      </w:r>
      <w:r>
        <w:rPr>
          <w:spacing w:val="-7"/>
          <w:w w:val="105"/>
        </w:rPr>
        <w:t xml:space="preserve"> </w:t>
      </w:r>
      <w:r>
        <w:rPr>
          <w:w w:val="105"/>
        </w:rPr>
        <w:t>fiscal</w:t>
      </w:r>
      <w:r>
        <w:rPr>
          <w:spacing w:val="-7"/>
          <w:w w:val="105"/>
        </w:rPr>
        <w:t xml:space="preserve"> </w:t>
      </w:r>
      <w:r>
        <w:rPr>
          <w:w w:val="105"/>
        </w:rPr>
        <w:t>do Programa</w:t>
      </w:r>
      <w:r>
        <w:rPr>
          <w:spacing w:val="-6"/>
          <w:w w:val="105"/>
        </w:rPr>
        <w:t xml:space="preserve"> </w:t>
      </w:r>
      <w:r>
        <w:rPr>
          <w:w w:val="105"/>
        </w:rPr>
        <w:t>de</w:t>
      </w:r>
      <w:r>
        <w:rPr>
          <w:spacing w:val="-5"/>
          <w:w w:val="105"/>
        </w:rPr>
        <w:t xml:space="preserve"> </w:t>
      </w:r>
      <w:r>
        <w:rPr>
          <w:w w:val="105"/>
        </w:rPr>
        <w:t>Alimentação</w:t>
      </w:r>
      <w:r>
        <w:rPr>
          <w:spacing w:val="-5"/>
          <w:w w:val="105"/>
        </w:rPr>
        <w:t xml:space="preserve"> </w:t>
      </w:r>
      <w:r>
        <w:rPr>
          <w:w w:val="105"/>
        </w:rPr>
        <w:t>do</w:t>
      </w:r>
      <w:r>
        <w:rPr>
          <w:spacing w:val="-5"/>
          <w:w w:val="105"/>
        </w:rPr>
        <w:t xml:space="preserve"> </w:t>
      </w:r>
      <w:r>
        <w:rPr>
          <w:w w:val="105"/>
        </w:rPr>
        <w:t>Trabalhador</w:t>
      </w:r>
      <w:r>
        <w:rPr>
          <w:spacing w:val="-4"/>
          <w:w w:val="105"/>
        </w:rPr>
        <w:t xml:space="preserve"> </w:t>
      </w:r>
      <w:r>
        <w:rPr>
          <w:w w:val="105"/>
        </w:rPr>
        <w:t>(PAT),</w:t>
      </w:r>
      <w:r>
        <w:rPr>
          <w:spacing w:val="-7"/>
          <w:w w:val="105"/>
        </w:rPr>
        <w:t xml:space="preserve"> </w:t>
      </w:r>
      <w:r>
        <w:rPr>
          <w:w w:val="105"/>
        </w:rPr>
        <w:t>foi</w:t>
      </w:r>
      <w:r>
        <w:rPr>
          <w:spacing w:val="-5"/>
          <w:w w:val="105"/>
        </w:rPr>
        <w:t xml:space="preserve"> </w:t>
      </w:r>
      <w:r>
        <w:rPr>
          <w:w w:val="105"/>
        </w:rPr>
        <w:t>apurado</w:t>
      </w:r>
      <w:r>
        <w:rPr>
          <w:spacing w:val="-5"/>
          <w:w w:val="105"/>
        </w:rPr>
        <w:t xml:space="preserve"> </w:t>
      </w:r>
      <w:r>
        <w:rPr>
          <w:w w:val="105"/>
        </w:rPr>
        <w:t>tributo</w:t>
      </w:r>
      <w:r>
        <w:rPr>
          <w:spacing w:val="-5"/>
          <w:w w:val="105"/>
        </w:rPr>
        <w:t xml:space="preserve"> </w:t>
      </w:r>
      <w:r>
        <w:rPr>
          <w:w w:val="105"/>
        </w:rPr>
        <w:t>a</w:t>
      </w:r>
      <w:r>
        <w:rPr>
          <w:spacing w:val="-7"/>
          <w:w w:val="105"/>
        </w:rPr>
        <w:t xml:space="preserve"> </w:t>
      </w:r>
      <w:r>
        <w:rPr>
          <w:w w:val="105"/>
        </w:rPr>
        <w:t>pagar</w:t>
      </w:r>
      <w:r>
        <w:rPr>
          <w:spacing w:val="-4"/>
          <w:w w:val="105"/>
        </w:rPr>
        <w:t xml:space="preserve"> </w:t>
      </w:r>
      <w:r>
        <w:rPr>
          <w:w w:val="105"/>
        </w:rPr>
        <w:t>no</w:t>
      </w:r>
      <w:r>
        <w:rPr>
          <w:spacing w:val="-5"/>
          <w:w w:val="105"/>
        </w:rPr>
        <w:t xml:space="preserve"> </w:t>
      </w:r>
      <w:r>
        <w:rPr>
          <w:w w:val="105"/>
        </w:rPr>
        <w:t>valor</w:t>
      </w:r>
      <w:r>
        <w:rPr>
          <w:spacing w:val="-5"/>
          <w:w w:val="105"/>
        </w:rPr>
        <w:t xml:space="preserve"> </w:t>
      </w:r>
      <w:r>
        <w:rPr>
          <w:w w:val="105"/>
        </w:rPr>
        <w:t>total</w:t>
      </w:r>
      <w:r>
        <w:rPr>
          <w:spacing w:val="-5"/>
          <w:w w:val="105"/>
        </w:rPr>
        <w:t xml:space="preserve"> </w:t>
      </w:r>
      <w:r>
        <w:rPr>
          <w:w w:val="105"/>
        </w:rPr>
        <w:t>de</w:t>
      </w:r>
      <w:r>
        <w:rPr>
          <w:spacing w:val="-7"/>
          <w:w w:val="105"/>
        </w:rPr>
        <w:t xml:space="preserve"> </w:t>
      </w:r>
      <w:r>
        <w:rPr>
          <w:w w:val="105"/>
        </w:rPr>
        <w:t xml:space="preserve">R$ </w:t>
      </w:r>
      <w:r>
        <w:t>41.932, sendo R$ 30.626 relativos ao Imposto de</w:t>
      </w:r>
      <w:r>
        <w:rPr>
          <w:spacing w:val="-1"/>
        </w:rPr>
        <w:t xml:space="preserve"> </w:t>
      </w:r>
      <w:r>
        <w:t>Renda e R$ 11.306</w:t>
      </w:r>
      <w:r>
        <w:rPr>
          <w:spacing w:val="-1"/>
        </w:rPr>
        <w:t xml:space="preserve"> </w:t>
      </w:r>
      <w:r>
        <w:t xml:space="preserve">referentes à Contribuição Social </w:t>
      </w:r>
      <w:r>
        <w:rPr>
          <w:w w:val="105"/>
        </w:rPr>
        <w:t>sobre o Lucro Líquido.</w:t>
      </w:r>
    </w:p>
    <w:p w14:paraId="45CD007E" w14:textId="77777777" w:rsidR="002C6574" w:rsidRDefault="002C6574">
      <w:pPr>
        <w:pStyle w:val="Corpodetexto"/>
        <w:spacing w:before="1"/>
      </w:pPr>
    </w:p>
    <w:p w14:paraId="6498CDD1" w14:textId="77777777" w:rsidR="002C6574" w:rsidRDefault="00000000">
      <w:pPr>
        <w:pStyle w:val="Corpodetexto"/>
        <w:ind w:left="143" w:right="702"/>
        <w:jc w:val="both"/>
      </w:pPr>
      <w:r>
        <w:t>Em decorrência da apuração de resultado tributável no primeiro trimestre de 2025, a Companhia realizou pagamentos antecipados desses tributos. Assim, os valores recolhidos antecipadamente serão</w:t>
      </w:r>
      <w:r>
        <w:rPr>
          <w:spacing w:val="-16"/>
        </w:rPr>
        <w:t xml:space="preserve"> </w:t>
      </w:r>
      <w:r>
        <w:t>compensados</w:t>
      </w:r>
      <w:r>
        <w:rPr>
          <w:spacing w:val="-15"/>
        </w:rPr>
        <w:t xml:space="preserve"> </w:t>
      </w:r>
      <w:r>
        <w:t>com</w:t>
      </w:r>
      <w:r>
        <w:rPr>
          <w:spacing w:val="-15"/>
        </w:rPr>
        <w:t xml:space="preserve"> </w:t>
      </w:r>
      <w:r>
        <w:t>o</w:t>
      </w:r>
      <w:r>
        <w:rPr>
          <w:spacing w:val="-14"/>
        </w:rPr>
        <w:t xml:space="preserve"> </w:t>
      </w:r>
      <w:r>
        <w:t>montante</w:t>
      </w:r>
      <w:r>
        <w:rPr>
          <w:spacing w:val="-15"/>
        </w:rPr>
        <w:t xml:space="preserve"> </w:t>
      </w:r>
      <w:r>
        <w:t>devido</w:t>
      </w:r>
      <w:r>
        <w:rPr>
          <w:spacing w:val="-15"/>
        </w:rPr>
        <w:t xml:space="preserve"> </w:t>
      </w:r>
      <w:r>
        <w:t>relativo</w:t>
      </w:r>
      <w:r>
        <w:rPr>
          <w:spacing w:val="-15"/>
        </w:rPr>
        <w:t xml:space="preserve"> </w:t>
      </w:r>
      <w:r>
        <w:t>ao</w:t>
      </w:r>
      <w:r>
        <w:rPr>
          <w:spacing w:val="-15"/>
        </w:rPr>
        <w:t xml:space="preserve"> </w:t>
      </w:r>
      <w:r>
        <w:t>período</w:t>
      </w:r>
      <w:r>
        <w:rPr>
          <w:spacing w:val="-15"/>
        </w:rPr>
        <w:t xml:space="preserve"> </w:t>
      </w:r>
      <w:r>
        <w:t>de</w:t>
      </w:r>
      <w:r>
        <w:rPr>
          <w:spacing w:val="-13"/>
        </w:rPr>
        <w:t xml:space="preserve"> </w:t>
      </w:r>
      <w:r>
        <w:t>apuração</w:t>
      </w:r>
      <w:r>
        <w:rPr>
          <w:spacing w:val="-16"/>
        </w:rPr>
        <w:t xml:space="preserve"> </w:t>
      </w:r>
      <w:r>
        <w:t>encerrado</w:t>
      </w:r>
      <w:r>
        <w:rPr>
          <w:spacing w:val="-13"/>
        </w:rPr>
        <w:t xml:space="preserve"> </w:t>
      </w:r>
      <w:r>
        <w:t>em</w:t>
      </w:r>
      <w:r>
        <w:rPr>
          <w:spacing w:val="-13"/>
        </w:rPr>
        <w:t xml:space="preserve"> </w:t>
      </w:r>
      <w:r>
        <w:t>dezembro de 2025.</w:t>
      </w:r>
    </w:p>
    <w:p w14:paraId="551CC848" w14:textId="77777777" w:rsidR="002C6574" w:rsidRDefault="002C6574">
      <w:pPr>
        <w:pStyle w:val="Corpodetexto"/>
        <w:jc w:val="both"/>
        <w:sectPr w:rsidR="002C6574">
          <w:pgSz w:w="11910" w:h="16840"/>
          <w:pgMar w:top="1600" w:right="141" w:bottom="1320" w:left="1133" w:header="856" w:footer="1125" w:gutter="0"/>
          <w:cols w:space="720"/>
        </w:sectPr>
      </w:pPr>
    </w:p>
    <w:p w14:paraId="4C3C4793" w14:textId="77777777" w:rsidR="002C6574" w:rsidRDefault="00000000">
      <w:pPr>
        <w:numPr>
          <w:ilvl w:val="0"/>
          <w:numId w:val="54"/>
        </w:numPr>
        <w:tabs>
          <w:tab w:val="left" w:pos="995"/>
        </w:tabs>
        <w:spacing w:before="229"/>
        <w:ind w:left="995" w:hanging="852"/>
        <w:rPr>
          <w:rFonts w:ascii="Arial"/>
          <w:b/>
        </w:rPr>
      </w:pPr>
      <w:r>
        <w:rPr>
          <w:rFonts w:ascii="Arial"/>
          <w:b/>
        </w:rPr>
        <w:lastRenderedPageBreak/>
        <w:t>TRIBUTOS</w:t>
      </w:r>
      <w:r>
        <w:rPr>
          <w:rFonts w:ascii="Arial"/>
          <w:b/>
          <w:spacing w:val="-5"/>
        </w:rPr>
        <w:t xml:space="preserve"> </w:t>
      </w:r>
      <w:r>
        <w:rPr>
          <w:rFonts w:ascii="Arial"/>
          <w:b/>
          <w:spacing w:val="-2"/>
        </w:rPr>
        <w:t>INDIRETOS</w:t>
      </w:r>
    </w:p>
    <w:p w14:paraId="3F92AEF0" w14:textId="77777777" w:rsidR="002C6574" w:rsidRDefault="002C6574">
      <w:pPr>
        <w:pStyle w:val="Corpodetexto"/>
        <w:spacing w:before="93"/>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8"/>
        <w:gridCol w:w="1258"/>
        <w:gridCol w:w="1256"/>
      </w:tblGrid>
      <w:tr w:rsidR="002C6574" w14:paraId="6FC10878" w14:textId="77777777">
        <w:trPr>
          <w:trHeight w:val="232"/>
        </w:trPr>
        <w:tc>
          <w:tcPr>
            <w:tcW w:w="7258" w:type="dxa"/>
            <w:shd w:val="clear" w:color="auto" w:fill="D8D8D8"/>
          </w:tcPr>
          <w:p w14:paraId="794E1389" w14:textId="77777777" w:rsidR="002C6574" w:rsidRDefault="00000000">
            <w:pPr>
              <w:pStyle w:val="TableParagraph"/>
              <w:spacing w:before="11" w:line="201" w:lineRule="exact"/>
              <w:ind w:left="69"/>
              <w:jc w:val="left"/>
              <w:rPr>
                <w:rFonts w:ascii="Arial" w:hAnsi="Arial"/>
                <w:b/>
                <w:sz w:val="18"/>
              </w:rPr>
            </w:pPr>
            <w:r>
              <w:rPr>
                <w:rFonts w:ascii="Arial" w:hAnsi="Arial"/>
                <w:b/>
                <w:spacing w:val="-2"/>
                <w:sz w:val="18"/>
              </w:rPr>
              <w:t>Composição:</w:t>
            </w:r>
          </w:p>
        </w:tc>
        <w:tc>
          <w:tcPr>
            <w:tcW w:w="1258" w:type="dxa"/>
          </w:tcPr>
          <w:p w14:paraId="4350739E" w14:textId="77777777" w:rsidR="002C6574" w:rsidRDefault="00000000">
            <w:pPr>
              <w:pStyle w:val="TableParagraph"/>
              <w:spacing w:before="11" w:line="201" w:lineRule="exact"/>
              <w:ind w:left="176"/>
              <w:jc w:val="left"/>
              <w:rPr>
                <w:rFonts w:ascii="Arial"/>
                <w:b/>
                <w:sz w:val="18"/>
              </w:rPr>
            </w:pPr>
            <w:r>
              <w:rPr>
                <w:rFonts w:ascii="Arial"/>
                <w:b/>
                <w:spacing w:val="-2"/>
                <w:sz w:val="18"/>
              </w:rPr>
              <w:t>31/12/2025</w:t>
            </w:r>
          </w:p>
        </w:tc>
        <w:tc>
          <w:tcPr>
            <w:tcW w:w="1256" w:type="dxa"/>
          </w:tcPr>
          <w:p w14:paraId="00705031" w14:textId="77777777" w:rsidR="002C6574" w:rsidRDefault="00000000">
            <w:pPr>
              <w:pStyle w:val="TableParagraph"/>
              <w:spacing w:before="11" w:line="201" w:lineRule="exact"/>
              <w:ind w:left="175"/>
              <w:jc w:val="left"/>
              <w:rPr>
                <w:rFonts w:ascii="Arial"/>
                <w:b/>
                <w:sz w:val="18"/>
              </w:rPr>
            </w:pPr>
            <w:r>
              <w:rPr>
                <w:rFonts w:ascii="Arial"/>
                <w:b/>
                <w:spacing w:val="-2"/>
                <w:sz w:val="18"/>
              </w:rPr>
              <w:t>31/12/2024</w:t>
            </w:r>
          </w:p>
        </w:tc>
      </w:tr>
      <w:tr w:rsidR="002C6574" w14:paraId="0844181A" w14:textId="77777777">
        <w:trPr>
          <w:trHeight w:val="230"/>
        </w:trPr>
        <w:tc>
          <w:tcPr>
            <w:tcW w:w="7258" w:type="dxa"/>
          </w:tcPr>
          <w:p w14:paraId="5B6EC4ED" w14:textId="77777777" w:rsidR="002C6574" w:rsidRDefault="00000000">
            <w:pPr>
              <w:pStyle w:val="TableParagraph"/>
              <w:spacing w:line="210" w:lineRule="exact"/>
              <w:ind w:left="69"/>
              <w:jc w:val="left"/>
              <w:rPr>
                <w:sz w:val="18"/>
              </w:rPr>
            </w:pPr>
            <w:r>
              <w:rPr>
                <w:sz w:val="18"/>
              </w:rPr>
              <w:t>Contribuição</w:t>
            </w:r>
            <w:r>
              <w:rPr>
                <w:spacing w:val="7"/>
                <w:sz w:val="18"/>
              </w:rPr>
              <w:t xml:space="preserve"> </w:t>
            </w:r>
            <w:r>
              <w:rPr>
                <w:sz w:val="18"/>
              </w:rPr>
              <w:t>para</w:t>
            </w:r>
            <w:r>
              <w:rPr>
                <w:spacing w:val="4"/>
                <w:sz w:val="18"/>
              </w:rPr>
              <w:t xml:space="preserve"> </w:t>
            </w:r>
            <w:r>
              <w:rPr>
                <w:sz w:val="18"/>
              </w:rPr>
              <w:t>o</w:t>
            </w:r>
            <w:r>
              <w:rPr>
                <w:spacing w:val="4"/>
                <w:sz w:val="18"/>
              </w:rPr>
              <w:t xml:space="preserve"> </w:t>
            </w:r>
            <w:r>
              <w:rPr>
                <w:sz w:val="18"/>
              </w:rPr>
              <w:t>Financiamento</w:t>
            </w:r>
            <w:r>
              <w:rPr>
                <w:spacing w:val="8"/>
                <w:sz w:val="18"/>
              </w:rPr>
              <w:t xml:space="preserve"> </w:t>
            </w:r>
            <w:r>
              <w:rPr>
                <w:sz w:val="18"/>
              </w:rPr>
              <w:t>da</w:t>
            </w:r>
            <w:r>
              <w:rPr>
                <w:spacing w:val="5"/>
                <w:sz w:val="18"/>
              </w:rPr>
              <w:t xml:space="preserve"> </w:t>
            </w:r>
            <w:r>
              <w:rPr>
                <w:sz w:val="18"/>
              </w:rPr>
              <w:t>Seguridade</w:t>
            </w:r>
            <w:r>
              <w:rPr>
                <w:spacing w:val="5"/>
                <w:sz w:val="18"/>
              </w:rPr>
              <w:t xml:space="preserve"> </w:t>
            </w:r>
            <w:r>
              <w:rPr>
                <w:sz w:val="18"/>
              </w:rPr>
              <w:t>Social</w:t>
            </w:r>
            <w:r>
              <w:rPr>
                <w:spacing w:val="5"/>
                <w:sz w:val="18"/>
              </w:rPr>
              <w:t xml:space="preserve"> </w:t>
            </w:r>
            <w:r>
              <w:rPr>
                <w:sz w:val="18"/>
              </w:rPr>
              <w:t>–</w:t>
            </w:r>
            <w:r>
              <w:rPr>
                <w:spacing w:val="5"/>
                <w:sz w:val="18"/>
              </w:rPr>
              <w:t xml:space="preserve"> </w:t>
            </w:r>
            <w:r>
              <w:rPr>
                <w:spacing w:val="-2"/>
                <w:sz w:val="18"/>
              </w:rPr>
              <w:t>Cofins</w:t>
            </w:r>
          </w:p>
        </w:tc>
        <w:tc>
          <w:tcPr>
            <w:tcW w:w="1258" w:type="dxa"/>
          </w:tcPr>
          <w:p w14:paraId="43859BAD" w14:textId="77777777" w:rsidR="002C6574" w:rsidRDefault="00000000">
            <w:pPr>
              <w:pStyle w:val="TableParagraph"/>
              <w:spacing w:line="210" w:lineRule="exact"/>
              <w:ind w:right="60"/>
              <w:rPr>
                <w:sz w:val="18"/>
              </w:rPr>
            </w:pPr>
            <w:r>
              <w:rPr>
                <w:spacing w:val="-2"/>
                <w:w w:val="110"/>
                <w:sz w:val="18"/>
              </w:rPr>
              <w:t>9.375</w:t>
            </w:r>
          </w:p>
        </w:tc>
        <w:tc>
          <w:tcPr>
            <w:tcW w:w="1256" w:type="dxa"/>
          </w:tcPr>
          <w:p w14:paraId="77B2250B" w14:textId="77777777" w:rsidR="002C6574" w:rsidRDefault="00000000">
            <w:pPr>
              <w:pStyle w:val="TableParagraph"/>
              <w:spacing w:line="210" w:lineRule="exact"/>
              <w:ind w:right="59"/>
              <w:rPr>
                <w:sz w:val="18"/>
              </w:rPr>
            </w:pPr>
            <w:r>
              <w:rPr>
                <w:spacing w:val="-2"/>
                <w:w w:val="105"/>
                <w:sz w:val="18"/>
              </w:rPr>
              <w:t>16.201</w:t>
            </w:r>
          </w:p>
        </w:tc>
      </w:tr>
      <w:tr w:rsidR="002C6574" w14:paraId="5FF72CF7" w14:textId="77777777">
        <w:trPr>
          <w:trHeight w:val="232"/>
        </w:trPr>
        <w:tc>
          <w:tcPr>
            <w:tcW w:w="7258" w:type="dxa"/>
          </w:tcPr>
          <w:p w14:paraId="375D4FB9" w14:textId="77777777" w:rsidR="002C6574" w:rsidRDefault="00000000">
            <w:pPr>
              <w:pStyle w:val="TableParagraph"/>
              <w:spacing w:line="212" w:lineRule="exact"/>
              <w:ind w:left="69"/>
              <w:jc w:val="left"/>
              <w:rPr>
                <w:sz w:val="18"/>
              </w:rPr>
            </w:pPr>
            <w:r>
              <w:rPr>
                <w:sz w:val="18"/>
              </w:rPr>
              <w:t>Programa</w:t>
            </w:r>
            <w:r>
              <w:rPr>
                <w:spacing w:val="3"/>
                <w:sz w:val="18"/>
              </w:rPr>
              <w:t xml:space="preserve"> </w:t>
            </w:r>
            <w:r>
              <w:rPr>
                <w:sz w:val="18"/>
              </w:rPr>
              <w:t>de</w:t>
            </w:r>
            <w:r>
              <w:rPr>
                <w:spacing w:val="3"/>
                <w:sz w:val="18"/>
              </w:rPr>
              <w:t xml:space="preserve"> </w:t>
            </w:r>
            <w:r>
              <w:rPr>
                <w:sz w:val="18"/>
              </w:rPr>
              <w:t>Integração</w:t>
            </w:r>
            <w:r>
              <w:rPr>
                <w:spacing w:val="6"/>
                <w:sz w:val="18"/>
              </w:rPr>
              <w:t xml:space="preserve"> </w:t>
            </w:r>
            <w:r>
              <w:rPr>
                <w:sz w:val="18"/>
              </w:rPr>
              <w:t>Social</w:t>
            </w:r>
            <w:r>
              <w:rPr>
                <w:spacing w:val="6"/>
                <w:sz w:val="18"/>
              </w:rPr>
              <w:t xml:space="preserve"> </w:t>
            </w:r>
            <w:r>
              <w:rPr>
                <w:sz w:val="18"/>
              </w:rPr>
              <w:t>-</w:t>
            </w:r>
            <w:r>
              <w:rPr>
                <w:spacing w:val="3"/>
                <w:sz w:val="18"/>
              </w:rPr>
              <w:t xml:space="preserve"> </w:t>
            </w:r>
            <w:r>
              <w:rPr>
                <w:spacing w:val="-5"/>
                <w:sz w:val="18"/>
              </w:rPr>
              <w:t>PIS</w:t>
            </w:r>
          </w:p>
        </w:tc>
        <w:tc>
          <w:tcPr>
            <w:tcW w:w="1258" w:type="dxa"/>
          </w:tcPr>
          <w:p w14:paraId="11C8417B" w14:textId="77777777" w:rsidR="002C6574" w:rsidRDefault="00000000">
            <w:pPr>
              <w:pStyle w:val="TableParagraph"/>
              <w:spacing w:line="212" w:lineRule="exact"/>
              <w:ind w:right="60"/>
              <w:rPr>
                <w:sz w:val="18"/>
              </w:rPr>
            </w:pPr>
            <w:r>
              <w:rPr>
                <w:spacing w:val="-2"/>
                <w:w w:val="110"/>
                <w:sz w:val="18"/>
              </w:rPr>
              <w:t>1.924</w:t>
            </w:r>
          </w:p>
        </w:tc>
        <w:tc>
          <w:tcPr>
            <w:tcW w:w="1256" w:type="dxa"/>
          </w:tcPr>
          <w:p w14:paraId="4A84B3EB" w14:textId="77777777" w:rsidR="002C6574" w:rsidRDefault="00000000">
            <w:pPr>
              <w:pStyle w:val="TableParagraph"/>
              <w:spacing w:line="212" w:lineRule="exact"/>
              <w:ind w:right="60"/>
              <w:rPr>
                <w:sz w:val="18"/>
              </w:rPr>
            </w:pPr>
            <w:r>
              <w:rPr>
                <w:spacing w:val="-2"/>
                <w:w w:val="110"/>
                <w:sz w:val="18"/>
              </w:rPr>
              <w:t>3.662</w:t>
            </w:r>
          </w:p>
        </w:tc>
      </w:tr>
      <w:tr w:rsidR="002C6574" w14:paraId="4195D5FF" w14:textId="77777777">
        <w:trPr>
          <w:trHeight w:val="232"/>
        </w:trPr>
        <w:tc>
          <w:tcPr>
            <w:tcW w:w="7258" w:type="dxa"/>
          </w:tcPr>
          <w:p w14:paraId="2884DD78" w14:textId="77777777" w:rsidR="002C6574" w:rsidRDefault="00000000">
            <w:pPr>
              <w:pStyle w:val="TableParagraph"/>
              <w:spacing w:line="212" w:lineRule="exact"/>
              <w:ind w:left="69"/>
              <w:jc w:val="left"/>
              <w:rPr>
                <w:sz w:val="18"/>
              </w:rPr>
            </w:pPr>
            <w:r>
              <w:rPr>
                <w:sz w:val="18"/>
              </w:rPr>
              <w:t>Fundo</w:t>
            </w:r>
            <w:r>
              <w:rPr>
                <w:spacing w:val="14"/>
                <w:sz w:val="18"/>
              </w:rPr>
              <w:t xml:space="preserve"> </w:t>
            </w:r>
            <w:r>
              <w:rPr>
                <w:sz w:val="18"/>
              </w:rPr>
              <w:t>de</w:t>
            </w:r>
            <w:r>
              <w:rPr>
                <w:spacing w:val="18"/>
                <w:sz w:val="18"/>
              </w:rPr>
              <w:t xml:space="preserve"> </w:t>
            </w:r>
            <w:r>
              <w:rPr>
                <w:sz w:val="18"/>
              </w:rPr>
              <w:t>Universalização</w:t>
            </w:r>
            <w:r>
              <w:rPr>
                <w:spacing w:val="16"/>
                <w:sz w:val="18"/>
              </w:rPr>
              <w:t xml:space="preserve"> </w:t>
            </w:r>
            <w:r>
              <w:rPr>
                <w:sz w:val="18"/>
              </w:rPr>
              <w:t>dos</w:t>
            </w:r>
            <w:r>
              <w:rPr>
                <w:spacing w:val="16"/>
                <w:sz w:val="18"/>
              </w:rPr>
              <w:t xml:space="preserve"> </w:t>
            </w:r>
            <w:r>
              <w:rPr>
                <w:sz w:val="18"/>
              </w:rPr>
              <w:t>Serviços</w:t>
            </w:r>
            <w:r>
              <w:rPr>
                <w:spacing w:val="15"/>
                <w:sz w:val="18"/>
              </w:rPr>
              <w:t xml:space="preserve"> </w:t>
            </w:r>
            <w:r>
              <w:rPr>
                <w:sz w:val="18"/>
              </w:rPr>
              <w:t>de</w:t>
            </w:r>
            <w:r>
              <w:rPr>
                <w:spacing w:val="15"/>
                <w:sz w:val="18"/>
              </w:rPr>
              <w:t xml:space="preserve"> </w:t>
            </w:r>
            <w:r>
              <w:rPr>
                <w:sz w:val="18"/>
              </w:rPr>
              <w:t>Telecomunicações</w:t>
            </w:r>
            <w:r>
              <w:rPr>
                <w:spacing w:val="18"/>
                <w:sz w:val="18"/>
              </w:rPr>
              <w:t xml:space="preserve"> </w:t>
            </w:r>
            <w:r>
              <w:rPr>
                <w:sz w:val="18"/>
              </w:rPr>
              <w:t>–</w:t>
            </w:r>
            <w:r>
              <w:rPr>
                <w:spacing w:val="16"/>
                <w:sz w:val="18"/>
              </w:rPr>
              <w:t xml:space="preserve"> </w:t>
            </w:r>
            <w:r>
              <w:rPr>
                <w:spacing w:val="-4"/>
                <w:sz w:val="18"/>
              </w:rPr>
              <w:t>Fust</w:t>
            </w:r>
          </w:p>
        </w:tc>
        <w:tc>
          <w:tcPr>
            <w:tcW w:w="1258" w:type="dxa"/>
          </w:tcPr>
          <w:p w14:paraId="0C3100FD" w14:textId="77777777" w:rsidR="002C6574" w:rsidRDefault="00000000">
            <w:pPr>
              <w:pStyle w:val="TableParagraph"/>
              <w:spacing w:line="212" w:lineRule="exact"/>
              <w:ind w:right="60"/>
              <w:rPr>
                <w:sz w:val="18"/>
              </w:rPr>
            </w:pPr>
            <w:r>
              <w:rPr>
                <w:spacing w:val="-5"/>
                <w:w w:val="105"/>
                <w:sz w:val="18"/>
              </w:rPr>
              <w:t>542</w:t>
            </w:r>
          </w:p>
        </w:tc>
        <w:tc>
          <w:tcPr>
            <w:tcW w:w="1256" w:type="dxa"/>
          </w:tcPr>
          <w:p w14:paraId="4EFFACD2" w14:textId="77777777" w:rsidR="002C6574" w:rsidRDefault="00000000">
            <w:pPr>
              <w:pStyle w:val="TableParagraph"/>
              <w:spacing w:line="212" w:lineRule="exact"/>
              <w:ind w:right="61"/>
              <w:rPr>
                <w:sz w:val="18"/>
              </w:rPr>
            </w:pPr>
            <w:r>
              <w:rPr>
                <w:spacing w:val="-5"/>
                <w:w w:val="105"/>
                <w:sz w:val="18"/>
              </w:rPr>
              <w:t>454</w:t>
            </w:r>
          </w:p>
        </w:tc>
      </w:tr>
      <w:tr w:rsidR="002C6574" w14:paraId="16293463" w14:textId="77777777">
        <w:trPr>
          <w:trHeight w:val="232"/>
        </w:trPr>
        <w:tc>
          <w:tcPr>
            <w:tcW w:w="7258" w:type="dxa"/>
          </w:tcPr>
          <w:p w14:paraId="2C3F6C15" w14:textId="77777777" w:rsidR="002C6574" w:rsidRDefault="00000000">
            <w:pPr>
              <w:pStyle w:val="TableParagraph"/>
              <w:spacing w:line="212" w:lineRule="exact"/>
              <w:ind w:left="69"/>
              <w:jc w:val="left"/>
              <w:rPr>
                <w:sz w:val="18"/>
              </w:rPr>
            </w:pPr>
            <w:r>
              <w:rPr>
                <w:sz w:val="18"/>
              </w:rPr>
              <w:t>Fundo</w:t>
            </w:r>
            <w:r>
              <w:rPr>
                <w:spacing w:val="5"/>
                <w:sz w:val="18"/>
              </w:rPr>
              <w:t xml:space="preserve"> </w:t>
            </w:r>
            <w:r>
              <w:rPr>
                <w:sz w:val="18"/>
              </w:rPr>
              <w:t>para</w:t>
            </w:r>
            <w:r>
              <w:rPr>
                <w:spacing w:val="6"/>
                <w:sz w:val="18"/>
              </w:rPr>
              <w:t xml:space="preserve"> </w:t>
            </w:r>
            <w:r>
              <w:rPr>
                <w:sz w:val="18"/>
              </w:rPr>
              <w:t>o</w:t>
            </w:r>
            <w:r>
              <w:rPr>
                <w:spacing w:val="7"/>
                <w:sz w:val="18"/>
              </w:rPr>
              <w:t xml:space="preserve"> </w:t>
            </w:r>
            <w:r>
              <w:rPr>
                <w:sz w:val="18"/>
              </w:rPr>
              <w:t>Desenvolvimento</w:t>
            </w:r>
            <w:r>
              <w:rPr>
                <w:spacing w:val="10"/>
                <w:sz w:val="18"/>
              </w:rPr>
              <w:t xml:space="preserve"> </w:t>
            </w:r>
            <w:r>
              <w:rPr>
                <w:sz w:val="18"/>
              </w:rPr>
              <w:t>Tecnológico</w:t>
            </w:r>
            <w:r>
              <w:rPr>
                <w:spacing w:val="9"/>
                <w:sz w:val="18"/>
              </w:rPr>
              <w:t xml:space="preserve"> </w:t>
            </w:r>
            <w:r>
              <w:rPr>
                <w:sz w:val="18"/>
              </w:rPr>
              <w:t>das</w:t>
            </w:r>
            <w:r>
              <w:rPr>
                <w:spacing w:val="8"/>
                <w:sz w:val="18"/>
              </w:rPr>
              <w:t xml:space="preserve"> </w:t>
            </w:r>
            <w:r>
              <w:rPr>
                <w:sz w:val="18"/>
              </w:rPr>
              <w:t>Telecomunicações</w:t>
            </w:r>
            <w:r>
              <w:rPr>
                <w:spacing w:val="7"/>
                <w:sz w:val="18"/>
              </w:rPr>
              <w:t xml:space="preserve"> </w:t>
            </w:r>
            <w:r>
              <w:rPr>
                <w:sz w:val="18"/>
              </w:rPr>
              <w:t>–</w:t>
            </w:r>
            <w:r>
              <w:rPr>
                <w:spacing w:val="9"/>
                <w:sz w:val="18"/>
              </w:rPr>
              <w:t xml:space="preserve"> </w:t>
            </w:r>
            <w:r>
              <w:rPr>
                <w:spacing w:val="-2"/>
                <w:sz w:val="18"/>
              </w:rPr>
              <w:t>Funttel</w:t>
            </w:r>
          </w:p>
        </w:tc>
        <w:tc>
          <w:tcPr>
            <w:tcW w:w="1258" w:type="dxa"/>
          </w:tcPr>
          <w:p w14:paraId="1822304E" w14:textId="77777777" w:rsidR="002C6574" w:rsidRDefault="00000000">
            <w:pPr>
              <w:pStyle w:val="TableParagraph"/>
              <w:spacing w:line="212" w:lineRule="exact"/>
              <w:ind w:right="58"/>
              <w:rPr>
                <w:sz w:val="18"/>
              </w:rPr>
            </w:pPr>
            <w:r>
              <w:rPr>
                <w:spacing w:val="-5"/>
                <w:w w:val="105"/>
                <w:sz w:val="18"/>
              </w:rPr>
              <w:t>271</w:t>
            </w:r>
          </w:p>
        </w:tc>
        <w:tc>
          <w:tcPr>
            <w:tcW w:w="1256" w:type="dxa"/>
          </w:tcPr>
          <w:p w14:paraId="72A3EF88" w14:textId="77777777" w:rsidR="002C6574" w:rsidRDefault="00000000">
            <w:pPr>
              <w:pStyle w:val="TableParagraph"/>
              <w:spacing w:line="212" w:lineRule="exact"/>
              <w:ind w:right="61"/>
              <w:rPr>
                <w:sz w:val="18"/>
              </w:rPr>
            </w:pPr>
            <w:r>
              <w:rPr>
                <w:spacing w:val="-5"/>
                <w:w w:val="105"/>
                <w:sz w:val="18"/>
              </w:rPr>
              <w:t>227</w:t>
            </w:r>
          </w:p>
        </w:tc>
      </w:tr>
      <w:tr w:rsidR="002C6574" w14:paraId="39C07FF3" w14:textId="77777777">
        <w:trPr>
          <w:trHeight w:val="232"/>
        </w:trPr>
        <w:tc>
          <w:tcPr>
            <w:tcW w:w="7258" w:type="dxa"/>
          </w:tcPr>
          <w:p w14:paraId="45CB76BB" w14:textId="77777777" w:rsidR="002C6574" w:rsidRDefault="00000000">
            <w:pPr>
              <w:pStyle w:val="TableParagraph"/>
              <w:spacing w:before="11" w:line="201" w:lineRule="exact"/>
              <w:ind w:left="69"/>
              <w:jc w:val="left"/>
              <w:rPr>
                <w:rFonts w:ascii="Arial"/>
                <w:b/>
                <w:sz w:val="18"/>
              </w:rPr>
            </w:pPr>
            <w:r>
              <w:rPr>
                <w:rFonts w:ascii="Arial"/>
                <w:b/>
                <w:sz w:val="18"/>
              </w:rPr>
              <w:t>Tributos</w:t>
            </w:r>
            <w:r>
              <w:rPr>
                <w:rFonts w:ascii="Arial"/>
                <w:b/>
                <w:spacing w:val="1"/>
                <w:sz w:val="18"/>
              </w:rPr>
              <w:t xml:space="preserve"> </w:t>
            </w:r>
            <w:r>
              <w:rPr>
                <w:rFonts w:ascii="Arial"/>
                <w:b/>
                <w:spacing w:val="-2"/>
                <w:sz w:val="18"/>
              </w:rPr>
              <w:t>Federais</w:t>
            </w:r>
          </w:p>
        </w:tc>
        <w:tc>
          <w:tcPr>
            <w:tcW w:w="1258" w:type="dxa"/>
          </w:tcPr>
          <w:p w14:paraId="2996C9B0" w14:textId="77777777" w:rsidR="002C6574" w:rsidRDefault="00000000">
            <w:pPr>
              <w:pStyle w:val="TableParagraph"/>
              <w:spacing w:before="11" w:line="201" w:lineRule="exact"/>
              <w:ind w:right="58"/>
              <w:rPr>
                <w:rFonts w:ascii="Arial"/>
                <w:b/>
                <w:sz w:val="18"/>
              </w:rPr>
            </w:pPr>
            <w:r>
              <w:rPr>
                <w:rFonts w:ascii="Arial"/>
                <w:b/>
                <w:spacing w:val="-2"/>
                <w:sz w:val="18"/>
              </w:rPr>
              <w:t>12.112</w:t>
            </w:r>
          </w:p>
        </w:tc>
        <w:tc>
          <w:tcPr>
            <w:tcW w:w="1256" w:type="dxa"/>
          </w:tcPr>
          <w:p w14:paraId="18C4320B" w14:textId="77777777" w:rsidR="002C6574" w:rsidRDefault="00000000">
            <w:pPr>
              <w:pStyle w:val="TableParagraph"/>
              <w:spacing w:before="11" w:line="201" w:lineRule="exact"/>
              <w:ind w:right="59"/>
              <w:rPr>
                <w:rFonts w:ascii="Arial"/>
                <w:b/>
                <w:sz w:val="18"/>
              </w:rPr>
            </w:pPr>
            <w:r>
              <w:rPr>
                <w:rFonts w:ascii="Arial"/>
                <w:b/>
                <w:spacing w:val="-2"/>
                <w:sz w:val="18"/>
              </w:rPr>
              <w:t>20.544</w:t>
            </w:r>
          </w:p>
        </w:tc>
      </w:tr>
      <w:tr w:rsidR="002C6574" w14:paraId="077DC925" w14:textId="77777777">
        <w:trPr>
          <w:trHeight w:val="232"/>
        </w:trPr>
        <w:tc>
          <w:tcPr>
            <w:tcW w:w="7258" w:type="dxa"/>
          </w:tcPr>
          <w:p w14:paraId="28F970B5" w14:textId="77777777" w:rsidR="002C6574" w:rsidRDefault="00000000">
            <w:pPr>
              <w:pStyle w:val="TableParagraph"/>
              <w:spacing w:line="212" w:lineRule="exact"/>
              <w:ind w:left="69"/>
              <w:jc w:val="left"/>
              <w:rPr>
                <w:sz w:val="18"/>
              </w:rPr>
            </w:pPr>
            <w:r>
              <w:rPr>
                <w:sz w:val="18"/>
              </w:rPr>
              <w:t>Imposto</w:t>
            </w:r>
            <w:r>
              <w:rPr>
                <w:spacing w:val="8"/>
                <w:sz w:val="18"/>
              </w:rPr>
              <w:t xml:space="preserve"> </w:t>
            </w:r>
            <w:r>
              <w:rPr>
                <w:sz w:val="18"/>
              </w:rPr>
              <w:t>sobre</w:t>
            </w:r>
            <w:r>
              <w:rPr>
                <w:spacing w:val="9"/>
                <w:sz w:val="18"/>
              </w:rPr>
              <w:t xml:space="preserve"> </w:t>
            </w:r>
            <w:r>
              <w:rPr>
                <w:sz w:val="18"/>
              </w:rPr>
              <w:t>Circulação</w:t>
            </w:r>
            <w:r>
              <w:rPr>
                <w:spacing w:val="10"/>
                <w:sz w:val="18"/>
              </w:rPr>
              <w:t xml:space="preserve"> </w:t>
            </w:r>
            <w:r>
              <w:rPr>
                <w:sz w:val="18"/>
              </w:rPr>
              <w:t>de</w:t>
            </w:r>
            <w:r>
              <w:rPr>
                <w:spacing w:val="8"/>
                <w:sz w:val="18"/>
              </w:rPr>
              <w:t xml:space="preserve"> </w:t>
            </w:r>
            <w:r>
              <w:rPr>
                <w:sz w:val="18"/>
              </w:rPr>
              <w:t>Mercadorias</w:t>
            </w:r>
            <w:r>
              <w:rPr>
                <w:spacing w:val="11"/>
                <w:sz w:val="18"/>
              </w:rPr>
              <w:t xml:space="preserve"> </w:t>
            </w:r>
            <w:r>
              <w:rPr>
                <w:sz w:val="18"/>
              </w:rPr>
              <w:t>e</w:t>
            </w:r>
            <w:r>
              <w:rPr>
                <w:spacing w:val="10"/>
                <w:sz w:val="18"/>
              </w:rPr>
              <w:t xml:space="preserve"> </w:t>
            </w:r>
            <w:r>
              <w:rPr>
                <w:sz w:val="18"/>
              </w:rPr>
              <w:t>Prestação</w:t>
            </w:r>
            <w:r>
              <w:rPr>
                <w:spacing w:val="9"/>
                <w:sz w:val="18"/>
              </w:rPr>
              <w:t xml:space="preserve"> </w:t>
            </w:r>
            <w:r>
              <w:rPr>
                <w:sz w:val="18"/>
              </w:rPr>
              <w:t>de</w:t>
            </w:r>
            <w:r>
              <w:rPr>
                <w:spacing w:val="13"/>
                <w:sz w:val="18"/>
              </w:rPr>
              <w:t xml:space="preserve"> </w:t>
            </w:r>
            <w:r>
              <w:rPr>
                <w:sz w:val="18"/>
              </w:rPr>
              <w:t>Serviços</w:t>
            </w:r>
            <w:r>
              <w:rPr>
                <w:spacing w:val="8"/>
                <w:sz w:val="18"/>
              </w:rPr>
              <w:t xml:space="preserve"> </w:t>
            </w:r>
            <w:r>
              <w:rPr>
                <w:sz w:val="18"/>
              </w:rPr>
              <w:t>–</w:t>
            </w:r>
            <w:r>
              <w:rPr>
                <w:spacing w:val="13"/>
                <w:sz w:val="18"/>
              </w:rPr>
              <w:t xml:space="preserve"> </w:t>
            </w:r>
            <w:r>
              <w:rPr>
                <w:spacing w:val="-4"/>
                <w:sz w:val="18"/>
              </w:rPr>
              <w:t>ICMS</w:t>
            </w:r>
          </w:p>
        </w:tc>
        <w:tc>
          <w:tcPr>
            <w:tcW w:w="1258" w:type="dxa"/>
          </w:tcPr>
          <w:p w14:paraId="0465AB05" w14:textId="77777777" w:rsidR="002C6574" w:rsidRDefault="00000000">
            <w:pPr>
              <w:pStyle w:val="TableParagraph"/>
              <w:spacing w:line="212" w:lineRule="exact"/>
              <w:ind w:right="60"/>
              <w:rPr>
                <w:sz w:val="18"/>
              </w:rPr>
            </w:pPr>
            <w:r>
              <w:rPr>
                <w:spacing w:val="-2"/>
                <w:w w:val="110"/>
                <w:sz w:val="18"/>
              </w:rPr>
              <w:t>3.480</w:t>
            </w:r>
          </w:p>
        </w:tc>
        <w:tc>
          <w:tcPr>
            <w:tcW w:w="1256" w:type="dxa"/>
          </w:tcPr>
          <w:p w14:paraId="4B5E9B6F" w14:textId="77777777" w:rsidR="002C6574" w:rsidRDefault="00000000">
            <w:pPr>
              <w:pStyle w:val="TableParagraph"/>
              <w:spacing w:line="212" w:lineRule="exact"/>
              <w:ind w:right="60"/>
              <w:rPr>
                <w:sz w:val="18"/>
              </w:rPr>
            </w:pPr>
            <w:r>
              <w:rPr>
                <w:spacing w:val="-2"/>
                <w:w w:val="110"/>
                <w:sz w:val="18"/>
              </w:rPr>
              <w:t>2.330</w:t>
            </w:r>
          </w:p>
        </w:tc>
      </w:tr>
      <w:tr w:rsidR="002C6574" w14:paraId="12141AC5" w14:textId="77777777">
        <w:trPr>
          <w:trHeight w:val="230"/>
        </w:trPr>
        <w:tc>
          <w:tcPr>
            <w:tcW w:w="7258" w:type="dxa"/>
          </w:tcPr>
          <w:p w14:paraId="7F9A3F6B" w14:textId="77777777" w:rsidR="002C6574" w:rsidRDefault="00000000">
            <w:pPr>
              <w:pStyle w:val="TableParagraph"/>
              <w:spacing w:before="11" w:line="199" w:lineRule="exact"/>
              <w:ind w:left="69"/>
              <w:jc w:val="left"/>
              <w:rPr>
                <w:rFonts w:ascii="Arial"/>
                <w:b/>
                <w:sz w:val="18"/>
              </w:rPr>
            </w:pPr>
            <w:r>
              <w:rPr>
                <w:rFonts w:ascii="Arial"/>
                <w:b/>
                <w:sz w:val="18"/>
              </w:rPr>
              <w:t>Tributos</w:t>
            </w:r>
            <w:r>
              <w:rPr>
                <w:rFonts w:ascii="Arial"/>
                <w:b/>
                <w:spacing w:val="1"/>
                <w:sz w:val="18"/>
              </w:rPr>
              <w:t xml:space="preserve"> </w:t>
            </w:r>
            <w:r>
              <w:rPr>
                <w:rFonts w:ascii="Arial"/>
                <w:b/>
                <w:spacing w:val="-2"/>
                <w:sz w:val="18"/>
              </w:rPr>
              <w:t>Estaduais</w:t>
            </w:r>
          </w:p>
        </w:tc>
        <w:tc>
          <w:tcPr>
            <w:tcW w:w="1258" w:type="dxa"/>
          </w:tcPr>
          <w:p w14:paraId="5B7FE7CD" w14:textId="77777777" w:rsidR="002C6574" w:rsidRDefault="00000000">
            <w:pPr>
              <w:pStyle w:val="TableParagraph"/>
              <w:spacing w:before="11" w:line="199" w:lineRule="exact"/>
              <w:ind w:right="60"/>
              <w:rPr>
                <w:rFonts w:ascii="Arial"/>
                <w:b/>
                <w:sz w:val="18"/>
              </w:rPr>
            </w:pPr>
            <w:r>
              <w:rPr>
                <w:rFonts w:ascii="Arial"/>
                <w:b/>
                <w:spacing w:val="-2"/>
                <w:sz w:val="18"/>
              </w:rPr>
              <w:t>3.480</w:t>
            </w:r>
          </w:p>
        </w:tc>
        <w:tc>
          <w:tcPr>
            <w:tcW w:w="1256" w:type="dxa"/>
          </w:tcPr>
          <w:p w14:paraId="54EC8E18" w14:textId="77777777" w:rsidR="002C6574" w:rsidRDefault="00000000">
            <w:pPr>
              <w:pStyle w:val="TableParagraph"/>
              <w:spacing w:before="11" w:line="199" w:lineRule="exact"/>
              <w:ind w:right="60"/>
              <w:rPr>
                <w:rFonts w:ascii="Arial"/>
                <w:b/>
                <w:sz w:val="18"/>
              </w:rPr>
            </w:pPr>
            <w:r>
              <w:rPr>
                <w:rFonts w:ascii="Arial"/>
                <w:b/>
                <w:spacing w:val="-2"/>
                <w:sz w:val="18"/>
              </w:rPr>
              <w:t>2.330</w:t>
            </w:r>
          </w:p>
        </w:tc>
      </w:tr>
      <w:tr w:rsidR="002C6574" w14:paraId="7E2D431B" w14:textId="77777777">
        <w:trPr>
          <w:trHeight w:val="232"/>
        </w:trPr>
        <w:tc>
          <w:tcPr>
            <w:tcW w:w="7258" w:type="dxa"/>
          </w:tcPr>
          <w:p w14:paraId="2853A832" w14:textId="77777777" w:rsidR="002C6574" w:rsidRDefault="00000000">
            <w:pPr>
              <w:pStyle w:val="TableParagraph"/>
              <w:spacing w:line="212" w:lineRule="exact"/>
              <w:ind w:left="69"/>
              <w:jc w:val="left"/>
              <w:rPr>
                <w:sz w:val="18"/>
              </w:rPr>
            </w:pPr>
            <w:r>
              <w:rPr>
                <w:sz w:val="18"/>
              </w:rPr>
              <w:t>Imposto</w:t>
            </w:r>
            <w:r>
              <w:rPr>
                <w:spacing w:val="8"/>
                <w:sz w:val="18"/>
              </w:rPr>
              <w:t xml:space="preserve"> </w:t>
            </w:r>
            <w:r>
              <w:rPr>
                <w:sz w:val="18"/>
              </w:rPr>
              <w:t>Sobre</w:t>
            </w:r>
            <w:r>
              <w:rPr>
                <w:spacing w:val="7"/>
                <w:sz w:val="18"/>
              </w:rPr>
              <w:t xml:space="preserve"> </w:t>
            </w:r>
            <w:r>
              <w:rPr>
                <w:sz w:val="18"/>
              </w:rPr>
              <w:t>Serviços</w:t>
            </w:r>
            <w:r>
              <w:rPr>
                <w:spacing w:val="6"/>
                <w:sz w:val="18"/>
              </w:rPr>
              <w:t xml:space="preserve"> </w:t>
            </w:r>
            <w:r>
              <w:rPr>
                <w:sz w:val="18"/>
              </w:rPr>
              <w:t>de</w:t>
            </w:r>
            <w:r>
              <w:rPr>
                <w:spacing w:val="3"/>
                <w:sz w:val="18"/>
              </w:rPr>
              <w:t xml:space="preserve"> </w:t>
            </w:r>
            <w:r>
              <w:rPr>
                <w:sz w:val="18"/>
              </w:rPr>
              <w:t>Qualquer</w:t>
            </w:r>
            <w:r>
              <w:rPr>
                <w:spacing w:val="5"/>
                <w:sz w:val="18"/>
              </w:rPr>
              <w:t xml:space="preserve"> </w:t>
            </w:r>
            <w:r>
              <w:rPr>
                <w:sz w:val="18"/>
              </w:rPr>
              <w:t>Natureza</w:t>
            </w:r>
            <w:r>
              <w:rPr>
                <w:spacing w:val="5"/>
                <w:sz w:val="18"/>
              </w:rPr>
              <w:t xml:space="preserve"> </w:t>
            </w:r>
            <w:r>
              <w:rPr>
                <w:sz w:val="18"/>
              </w:rPr>
              <w:t>–</w:t>
            </w:r>
            <w:r>
              <w:rPr>
                <w:spacing w:val="6"/>
                <w:sz w:val="18"/>
              </w:rPr>
              <w:t xml:space="preserve"> </w:t>
            </w:r>
            <w:r>
              <w:rPr>
                <w:spacing w:val="-4"/>
                <w:sz w:val="18"/>
              </w:rPr>
              <w:t>ISSQN</w:t>
            </w:r>
          </w:p>
        </w:tc>
        <w:tc>
          <w:tcPr>
            <w:tcW w:w="1258" w:type="dxa"/>
          </w:tcPr>
          <w:p w14:paraId="2C685B95" w14:textId="77777777" w:rsidR="002C6574" w:rsidRDefault="00000000">
            <w:pPr>
              <w:pStyle w:val="TableParagraph"/>
              <w:spacing w:line="212" w:lineRule="exact"/>
              <w:ind w:right="58"/>
              <w:rPr>
                <w:sz w:val="18"/>
              </w:rPr>
            </w:pPr>
            <w:r>
              <w:rPr>
                <w:spacing w:val="-4"/>
                <w:w w:val="110"/>
                <w:sz w:val="18"/>
              </w:rPr>
              <w:t>1.252</w:t>
            </w:r>
          </w:p>
        </w:tc>
        <w:tc>
          <w:tcPr>
            <w:tcW w:w="1256" w:type="dxa"/>
          </w:tcPr>
          <w:p w14:paraId="3A8E3FAA" w14:textId="77777777" w:rsidR="002C6574" w:rsidRDefault="00000000">
            <w:pPr>
              <w:pStyle w:val="TableParagraph"/>
              <w:spacing w:line="212" w:lineRule="exact"/>
              <w:ind w:right="61"/>
              <w:rPr>
                <w:sz w:val="18"/>
              </w:rPr>
            </w:pPr>
            <w:r>
              <w:rPr>
                <w:spacing w:val="-5"/>
                <w:w w:val="105"/>
                <w:sz w:val="18"/>
              </w:rPr>
              <w:t>625</w:t>
            </w:r>
          </w:p>
        </w:tc>
      </w:tr>
      <w:tr w:rsidR="002C6574" w14:paraId="0D085920" w14:textId="77777777">
        <w:trPr>
          <w:trHeight w:val="232"/>
        </w:trPr>
        <w:tc>
          <w:tcPr>
            <w:tcW w:w="7258" w:type="dxa"/>
          </w:tcPr>
          <w:p w14:paraId="297467A8" w14:textId="77777777" w:rsidR="002C6574" w:rsidRDefault="00000000">
            <w:pPr>
              <w:pStyle w:val="TableParagraph"/>
              <w:spacing w:before="13" w:line="199" w:lineRule="exact"/>
              <w:ind w:left="69"/>
              <w:jc w:val="left"/>
              <w:rPr>
                <w:rFonts w:ascii="Arial"/>
                <w:b/>
                <w:sz w:val="18"/>
              </w:rPr>
            </w:pPr>
            <w:r>
              <w:rPr>
                <w:rFonts w:ascii="Arial"/>
                <w:b/>
                <w:sz w:val="18"/>
              </w:rPr>
              <w:t>Tributos</w:t>
            </w:r>
            <w:r>
              <w:rPr>
                <w:rFonts w:ascii="Arial"/>
                <w:b/>
                <w:spacing w:val="-3"/>
                <w:sz w:val="18"/>
              </w:rPr>
              <w:t xml:space="preserve"> </w:t>
            </w:r>
            <w:r>
              <w:rPr>
                <w:rFonts w:ascii="Arial"/>
                <w:b/>
                <w:spacing w:val="-2"/>
                <w:sz w:val="18"/>
              </w:rPr>
              <w:t>Municipais</w:t>
            </w:r>
          </w:p>
        </w:tc>
        <w:tc>
          <w:tcPr>
            <w:tcW w:w="1258" w:type="dxa"/>
          </w:tcPr>
          <w:p w14:paraId="71B973D1" w14:textId="77777777" w:rsidR="002C6574" w:rsidRDefault="00000000">
            <w:pPr>
              <w:pStyle w:val="TableParagraph"/>
              <w:spacing w:before="13" w:line="199" w:lineRule="exact"/>
              <w:ind w:right="59"/>
              <w:rPr>
                <w:rFonts w:ascii="Arial"/>
                <w:b/>
                <w:sz w:val="18"/>
              </w:rPr>
            </w:pPr>
            <w:r>
              <w:rPr>
                <w:rFonts w:ascii="Arial"/>
                <w:b/>
                <w:spacing w:val="-2"/>
                <w:sz w:val="18"/>
              </w:rPr>
              <w:t>1.252</w:t>
            </w:r>
          </w:p>
        </w:tc>
        <w:tc>
          <w:tcPr>
            <w:tcW w:w="1256" w:type="dxa"/>
          </w:tcPr>
          <w:p w14:paraId="729D0651" w14:textId="77777777" w:rsidR="002C6574" w:rsidRDefault="00000000">
            <w:pPr>
              <w:pStyle w:val="TableParagraph"/>
              <w:spacing w:before="13" w:line="199" w:lineRule="exact"/>
              <w:ind w:right="61"/>
              <w:rPr>
                <w:rFonts w:ascii="Arial"/>
                <w:b/>
                <w:sz w:val="18"/>
              </w:rPr>
            </w:pPr>
            <w:r>
              <w:rPr>
                <w:rFonts w:ascii="Arial"/>
                <w:b/>
                <w:spacing w:val="-5"/>
                <w:sz w:val="18"/>
              </w:rPr>
              <w:t>625</w:t>
            </w:r>
          </w:p>
        </w:tc>
      </w:tr>
      <w:tr w:rsidR="002C6574" w14:paraId="53B72B3E" w14:textId="77777777">
        <w:trPr>
          <w:trHeight w:val="232"/>
        </w:trPr>
        <w:tc>
          <w:tcPr>
            <w:tcW w:w="7258" w:type="dxa"/>
          </w:tcPr>
          <w:p w14:paraId="144FD24E" w14:textId="77777777" w:rsidR="002C6574" w:rsidRDefault="00000000">
            <w:pPr>
              <w:pStyle w:val="TableParagraph"/>
              <w:spacing w:before="11" w:line="201" w:lineRule="exact"/>
              <w:ind w:left="69"/>
              <w:jc w:val="left"/>
              <w:rPr>
                <w:rFonts w:ascii="Arial"/>
                <w:b/>
                <w:sz w:val="18"/>
              </w:rPr>
            </w:pPr>
            <w:r>
              <w:rPr>
                <w:rFonts w:ascii="Arial"/>
                <w:b/>
                <w:spacing w:val="-2"/>
                <w:sz w:val="18"/>
              </w:rPr>
              <w:t>Total</w:t>
            </w:r>
          </w:p>
        </w:tc>
        <w:tc>
          <w:tcPr>
            <w:tcW w:w="1258" w:type="dxa"/>
          </w:tcPr>
          <w:p w14:paraId="5543BE38" w14:textId="77777777" w:rsidR="002C6574" w:rsidRDefault="00000000">
            <w:pPr>
              <w:pStyle w:val="TableParagraph"/>
              <w:spacing w:before="11" w:line="201" w:lineRule="exact"/>
              <w:ind w:right="59"/>
              <w:rPr>
                <w:rFonts w:ascii="Arial"/>
                <w:b/>
                <w:sz w:val="18"/>
              </w:rPr>
            </w:pPr>
            <w:r>
              <w:rPr>
                <w:rFonts w:ascii="Arial"/>
                <w:b/>
                <w:spacing w:val="-2"/>
                <w:sz w:val="18"/>
              </w:rPr>
              <w:t>16.844</w:t>
            </w:r>
          </w:p>
        </w:tc>
        <w:tc>
          <w:tcPr>
            <w:tcW w:w="1256" w:type="dxa"/>
          </w:tcPr>
          <w:p w14:paraId="22E559EA" w14:textId="77777777" w:rsidR="002C6574" w:rsidRDefault="00000000">
            <w:pPr>
              <w:pStyle w:val="TableParagraph"/>
              <w:spacing w:before="11" w:line="201" w:lineRule="exact"/>
              <w:ind w:right="59"/>
              <w:rPr>
                <w:rFonts w:ascii="Arial"/>
                <w:b/>
                <w:sz w:val="18"/>
              </w:rPr>
            </w:pPr>
            <w:r>
              <w:rPr>
                <w:rFonts w:ascii="Arial"/>
                <w:b/>
                <w:spacing w:val="-2"/>
                <w:sz w:val="18"/>
              </w:rPr>
              <w:t>23.499</w:t>
            </w:r>
          </w:p>
        </w:tc>
      </w:tr>
      <w:tr w:rsidR="002C6574" w14:paraId="54786362" w14:textId="77777777">
        <w:trPr>
          <w:trHeight w:val="232"/>
        </w:trPr>
        <w:tc>
          <w:tcPr>
            <w:tcW w:w="7258" w:type="dxa"/>
          </w:tcPr>
          <w:p w14:paraId="3502BD12" w14:textId="77777777" w:rsidR="002C6574" w:rsidRDefault="00000000">
            <w:pPr>
              <w:pStyle w:val="TableParagraph"/>
              <w:spacing w:before="11" w:line="201" w:lineRule="exact"/>
              <w:ind w:left="69"/>
              <w:jc w:val="left"/>
              <w:rPr>
                <w:rFonts w:ascii="Arial"/>
                <w:b/>
                <w:sz w:val="18"/>
              </w:rPr>
            </w:pPr>
            <w:r>
              <w:rPr>
                <w:rFonts w:ascii="Arial"/>
                <w:b/>
                <w:spacing w:val="-2"/>
                <w:sz w:val="18"/>
              </w:rPr>
              <w:t>Circulante</w:t>
            </w:r>
          </w:p>
        </w:tc>
        <w:tc>
          <w:tcPr>
            <w:tcW w:w="1258" w:type="dxa"/>
          </w:tcPr>
          <w:p w14:paraId="451C2352" w14:textId="77777777" w:rsidR="002C6574" w:rsidRDefault="00000000">
            <w:pPr>
              <w:pStyle w:val="TableParagraph"/>
              <w:spacing w:before="11" w:line="201" w:lineRule="exact"/>
              <w:ind w:right="59"/>
              <w:rPr>
                <w:rFonts w:ascii="Arial"/>
                <w:b/>
                <w:sz w:val="18"/>
              </w:rPr>
            </w:pPr>
            <w:r>
              <w:rPr>
                <w:rFonts w:ascii="Arial"/>
                <w:b/>
                <w:spacing w:val="-2"/>
                <w:sz w:val="18"/>
              </w:rPr>
              <w:t>16.844</w:t>
            </w:r>
          </w:p>
        </w:tc>
        <w:tc>
          <w:tcPr>
            <w:tcW w:w="1256" w:type="dxa"/>
          </w:tcPr>
          <w:p w14:paraId="6383DB13" w14:textId="77777777" w:rsidR="002C6574" w:rsidRDefault="00000000">
            <w:pPr>
              <w:pStyle w:val="TableParagraph"/>
              <w:spacing w:before="11" w:line="201" w:lineRule="exact"/>
              <w:ind w:right="59"/>
              <w:rPr>
                <w:rFonts w:ascii="Arial"/>
                <w:b/>
                <w:sz w:val="18"/>
              </w:rPr>
            </w:pPr>
            <w:r>
              <w:rPr>
                <w:rFonts w:ascii="Arial"/>
                <w:b/>
                <w:spacing w:val="-2"/>
                <w:sz w:val="18"/>
              </w:rPr>
              <w:t>23.499</w:t>
            </w:r>
          </w:p>
        </w:tc>
      </w:tr>
    </w:tbl>
    <w:p w14:paraId="29898DA1" w14:textId="77777777" w:rsidR="002C6574" w:rsidRDefault="002C6574">
      <w:pPr>
        <w:pStyle w:val="Corpodetexto"/>
        <w:spacing w:before="60"/>
        <w:rPr>
          <w:rFonts w:ascii="Arial"/>
          <w:b/>
        </w:rPr>
      </w:pPr>
    </w:p>
    <w:p w14:paraId="1D0B29F7" w14:textId="77777777" w:rsidR="002C6574" w:rsidRDefault="00000000">
      <w:pPr>
        <w:pStyle w:val="PargrafodaLista"/>
        <w:numPr>
          <w:ilvl w:val="0"/>
          <w:numId w:val="54"/>
        </w:numPr>
        <w:tabs>
          <w:tab w:val="left" w:pos="995"/>
        </w:tabs>
        <w:ind w:left="995" w:hanging="852"/>
        <w:rPr>
          <w:rFonts w:ascii="Arial" w:hAnsi="Arial"/>
          <w:b/>
        </w:rPr>
      </w:pPr>
      <w:r>
        <w:rPr>
          <w:rFonts w:ascii="Arial" w:hAnsi="Arial"/>
          <w:b/>
        </w:rPr>
        <w:t>PROVISÃO</w:t>
      </w:r>
      <w:r>
        <w:rPr>
          <w:rFonts w:ascii="Arial" w:hAnsi="Arial"/>
          <w:b/>
          <w:spacing w:val="-9"/>
        </w:rPr>
        <w:t xml:space="preserve"> </w:t>
      </w:r>
      <w:r>
        <w:rPr>
          <w:rFonts w:ascii="Arial" w:hAnsi="Arial"/>
          <w:b/>
        </w:rPr>
        <w:t>PARA RISCOS</w:t>
      </w:r>
      <w:r>
        <w:rPr>
          <w:rFonts w:ascii="Arial" w:hAnsi="Arial"/>
          <w:b/>
          <w:spacing w:val="-6"/>
        </w:rPr>
        <w:t xml:space="preserve"> </w:t>
      </w:r>
      <w:r>
        <w:rPr>
          <w:rFonts w:ascii="Arial" w:hAnsi="Arial"/>
          <w:b/>
        </w:rPr>
        <w:t>TRABALHISTAS,</w:t>
      </w:r>
      <w:r>
        <w:rPr>
          <w:rFonts w:ascii="Arial" w:hAnsi="Arial"/>
          <w:b/>
          <w:spacing w:val="-3"/>
        </w:rPr>
        <w:t xml:space="preserve"> </w:t>
      </w:r>
      <w:r>
        <w:rPr>
          <w:rFonts w:ascii="Arial" w:hAnsi="Arial"/>
          <w:b/>
        </w:rPr>
        <w:t>CÍVEIS</w:t>
      </w:r>
      <w:r>
        <w:rPr>
          <w:rFonts w:ascii="Arial" w:hAnsi="Arial"/>
          <w:b/>
          <w:spacing w:val="-6"/>
        </w:rPr>
        <w:t xml:space="preserve"> </w:t>
      </w:r>
      <w:r>
        <w:rPr>
          <w:rFonts w:ascii="Arial" w:hAnsi="Arial"/>
          <w:b/>
        </w:rPr>
        <w:t>E</w:t>
      </w:r>
      <w:r>
        <w:rPr>
          <w:rFonts w:ascii="Arial" w:hAnsi="Arial"/>
          <w:b/>
          <w:spacing w:val="-4"/>
        </w:rPr>
        <w:t xml:space="preserve"> </w:t>
      </w:r>
      <w:r>
        <w:rPr>
          <w:rFonts w:ascii="Arial" w:hAnsi="Arial"/>
          <w:b/>
          <w:spacing w:val="-2"/>
        </w:rPr>
        <w:t>FISCAIS</w:t>
      </w:r>
    </w:p>
    <w:p w14:paraId="50559F5A" w14:textId="77777777" w:rsidR="002C6574" w:rsidRDefault="00000000">
      <w:pPr>
        <w:pStyle w:val="Corpodetexto"/>
        <w:spacing w:before="76" w:line="237" w:lineRule="auto"/>
        <w:ind w:left="143" w:right="703"/>
        <w:jc w:val="both"/>
      </w:pPr>
      <w:r>
        <w:t>A Companhia é parte em processos judiciais e administrativos, perante vários tribunais, oriundos do curso normal de suas operações, envolvendo questões trabalhistas, cíveis, tributárias e outros assuntos.</w:t>
      </w:r>
      <w:r>
        <w:rPr>
          <w:spacing w:val="25"/>
        </w:rPr>
        <w:t xml:space="preserve"> </w:t>
      </w:r>
      <w:r>
        <w:t>Dessa</w:t>
      </w:r>
      <w:r>
        <w:rPr>
          <w:spacing w:val="20"/>
        </w:rPr>
        <w:t xml:space="preserve"> </w:t>
      </w:r>
      <w:r>
        <w:t>forma,</w:t>
      </w:r>
      <w:r>
        <w:rPr>
          <w:spacing w:val="23"/>
        </w:rPr>
        <w:t xml:space="preserve"> </w:t>
      </w:r>
      <w:r>
        <w:t>a</w:t>
      </w:r>
      <w:r>
        <w:rPr>
          <w:spacing w:val="24"/>
        </w:rPr>
        <w:t xml:space="preserve"> </w:t>
      </w:r>
      <w:r>
        <w:t>Companhia</w:t>
      </w:r>
      <w:r>
        <w:rPr>
          <w:spacing w:val="24"/>
        </w:rPr>
        <w:t xml:space="preserve"> </w:t>
      </w:r>
      <w:r>
        <w:t>constituiu</w:t>
      </w:r>
      <w:r>
        <w:rPr>
          <w:spacing w:val="18"/>
        </w:rPr>
        <w:t xml:space="preserve"> </w:t>
      </w:r>
      <w:r>
        <w:t>provisões</w:t>
      </w:r>
      <w:r>
        <w:rPr>
          <w:spacing w:val="25"/>
        </w:rPr>
        <w:t xml:space="preserve"> </w:t>
      </w:r>
      <w:r>
        <w:t>para</w:t>
      </w:r>
      <w:r>
        <w:rPr>
          <w:spacing w:val="24"/>
        </w:rPr>
        <w:t xml:space="preserve"> </w:t>
      </w:r>
      <w:r>
        <w:t>as</w:t>
      </w:r>
      <w:r>
        <w:rPr>
          <w:spacing w:val="23"/>
        </w:rPr>
        <w:t xml:space="preserve"> </w:t>
      </w:r>
      <w:r>
        <w:t>ações</w:t>
      </w:r>
      <w:r>
        <w:rPr>
          <w:spacing w:val="23"/>
        </w:rPr>
        <w:t xml:space="preserve"> </w:t>
      </w:r>
      <w:r>
        <w:t>cuja</w:t>
      </w:r>
      <w:r>
        <w:rPr>
          <w:spacing w:val="20"/>
        </w:rPr>
        <w:t xml:space="preserve"> </w:t>
      </w:r>
      <w:r>
        <w:t>expectativa</w:t>
      </w:r>
      <w:r>
        <w:rPr>
          <w:spacing w:val="25"/>
        </w:rPr>
        <w:t xml:space="preserve"> </w:t>
      </w:r>
      <w:r>
        <w:t>de</w:t>
      </w:r>
      <w:r>
        <w:rPr>
          <w:spacing w:val="24"/>
        </w:rPr>
        <w:t xml:space="preserve"> </w:t>
      </w:r>
      <w:r>
        <w:t>perda é considerada provável, baseada na avaliação de seus consultores jurídicos, para as quais será necessária uma saída de recursos financeiros para liquidar a obrigação, conforme segue.</w:t>
      </w:r>
    </w:p>
    <w:p w14:paraId="7FCF297E" w14:textId="77777777" w:rsidR="002C6574" w:rsidRDefault="00000000">
      <w:pPr>
        <w:pStyle w:val="PargrafodaLista"/>
        <w:numPr>
          <w:ilvl w:val="1"/>
          <w:numId w:val="36"/>
        </w:numPr>
        <w:tabs>
          <w:tab w:val="left" w:pos="995"/>
        </w:tabs>
        <w:spacing w:before="246"/>
        <w:rPr>
          <w:rFonts w:ascii="Arial" w:hAnsi="Arial"/>
          <w:b/>
        </w:rPr>
      </w:pPr>
      <w:r>
        <w:rPr>
          <w:rFonts w:ascii="Arial" w:hAnsi="Arial"/>
          <w:b/>
        </w:rPr>
        <w:t>Provisão</w:t>
      </w:r>
      <w:r>
        <w:rPr>
          <w:rFonts w:ascii="Arial" w:hAnsi="Arial"/>
          <w:b/>
          <w:spacing w:val="-4"/>
        </w:rPr>
        <w:t xml:space="preserve"> </w:t>
      </w:r>
      <w:r>
        <w:rPr>
          <w:rFonts w:ascii="Arial" w:hAnsi="Arial"/>
          <w:b/>
        </w:rPr>
        <w:t>para</w:t>
      </w:r>
      <w:r>
        <w:rPr>
          <w:rFonts w:ascii="Arial" w:hAnsi="Arial"/>
          <w:b/>
          <w:spacing w:val="-3"/>
        </w:rPr>
        <w:t xml:space="preserve"> </w:t>
      </w:r>
      <w:r>
        <w:rPr>
          <w:rFonts w:ascii="Arial" w:hAnsi="Arial"/>
          <w:b/>
        </w:rPr>
        <w:t>riscos</w:t>
      </w:r>
      <w:r>
        <w:rPr>
          <w:rFonts w:ascii="Arial" w:hAnsi="Arial"/>
          <w:b/>
          <w:spacing w:val="-6"/>
        </w:rPr>
        <w:t xml:space="preserve"> </w:t>
      </w:r>
      <w:r>
        <w:rPr>
          <w:rFonts w:ascii="Arial" w:hAnsi="Arial"/>
          <w:b/>
          <w:spacing w:val="-2"/>
        </w:rPr>
        <w:t>prováveis</w:t>
      </w:r>
    </w:p>
    <w:p w14:paraId="4977B2E5" w14:textId="77777777" w:rsidR="002C6574" w:rsidRDefault="00000000">
      <w:pPr>
        <w:pStyle w:val="PargrafodaLista"/>
        <w:numPr>
          <w:ilvl w:val="2"/>
          <w:numId w:val="36"/>
        </w:numPr>
        <w:tabs>
          <w:tab w:val="left" w:pos="990"/>
        </w:tabs>
        <w:spacing w:before="162"/>
        <w:ind w:left="990" w:hanging="847"/>
        <w:rPr>
          <w:rFonts w:ascii="Arial" w:hAnsi="Arial"/>
          <w:b/>
        </w:rPr>
      </w:pPr>
      <w:r>
        <w:rPr>
          <w:rFonts w:ascii="Arial" w:hAnsi="Arial"/>
          <w:b/>
        </w:rPr>
        <w:t>Provisão</w:t>
      </w:r>
      <w:r>
        <w:rPr>
          <w:rFonts w:ascii="Arial" w:hAnsi="Arial"/>
          <w:b/>
          <w:spacing w:val="-5"/>
        </w:rPr>
        <w:t xml:space="preserve"> </w:t>
      </w:r>
      <w:r>
        <w:rPr>
          <w:rFonts w:ascii="Arial" w:hAnsi="Arial"/>
          <w:b/>
        </w:rPr>
        <w:t>para</w:t>
      </w:r>
      <w:r>
        <w:rPr>
          <w:rFonts w:ascii="Arial" w:hAnsi="Arial"/>
          <w:b/>
          <w:spacing w:val="-5"/>
        </w:rPr>
        <w:t xml:space="preserve"> </w:t>
      </w:r>
      <w:r>
        <w:rPr>
          <w:rFonts w:ascii="Arial" w:hAnsi="Arial"/>
          <w:b/>
        </w:rPr>
        <w:t>riscos</w:t>
      </w:r>
      <w:r>
        <w:rPr>
          <w:rFonts w:ascii="Arial" w:hAnsi="Arial"/>
          <w:b/>
          <w:spacing w:val="-7"/>
        </w:rPr>
        <w:t xml:space="preserve"> </w:t>
      </w:r>
      <w:r>
        <w:rPr>
          <w:rFonts w:ascii="Arial" w:hAnsi="Arial"/>
          <w:b/>
        </w:rPr>
        <w:t>prováveis</w:t>
      </w:r>
      <w:r>
        <w:rPr>
          <w:rFonts w:ascii="Arial" w:hAnsi="Arial"/>
          <w:b/>
          <w:spacing w:val="-2"/>
        </w:rPr>
        <w:t xml:space="preserve"> </w:t>
      </w:r>
      <w:r>
        <w:rPr>
          <w:rFonts w:ascii="Arial" w:hAnsi="Arial"/>
          <w:b/>
        </w:rPr>
        <w:t>líquida</w:t>
      </w:r>
      <w:r>
        <w:rPr>
          <w:rFonts w:ascii="Arial" w:hAnsi="Arial"/>
          <w:b/>
          <w:spacing w:val="-5"/>
        </w:rPr>
        <w:t xml:space="preserve"> </w:t>
      </w:r>
      <w:r>
        <w:rPr>
          <w:rFonts w:ascii="Arial" w:hAnsi="Arial"/>
          <w:b/>
        </w:rPr>
        <w:t>de</w:t>
      </w:r>
      <w:r>
        <w:rPr>
          <w:rFonts w:ascii="Arial" w:hAnsi="Arial"/>
          <w:b/>
          <w:spacing w:val="-5"/>
        </w:rPr>
        <w:t xml:space="preserve"> </w:t>
      </w:r>
      <w:r>
        <w:rPr>
          <w:rFonts w:ascii="Arial" w:hAnsi="Arial"/>
          <w:b/>
        </w:rPr>
        <w:t>depósitos</w:t>
      </w:r>
      <w:r>
        <w:rPr>
          <w:rFonts w:ascii="Arial" w:hAnsi="Arial"/>
          <w:b/>
          <w:spacing w:val="-6"/>
        </w:rPr>
        <w:t xml:space="preserve"> </w:t>
      </w:r>
      <w:r>
        <w:rPr>
          <w:rFonts w:ascii="Arial" w:hAnsi="Arial"/>
          <w:b/>
          <w:spacing w:val="-2"/>
        </w:rPr>
        <w:t>judiciais</w:t>
      </w:r>
    </w:p>
    <w:p w14:paraId="1016D93B" w14:textId="77777777" w:rsidR="002C6574" w:rsidRDefault="002C6574">
      <w:pPr>
        <w:pStyle w:val="Corpodetexto"/>
        <w:spacing w:before="90" w:after="1"/>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3"/>
        <w:gridCol w:w="1282"/>
        <w:gridCol w:w="1140"/>
        <w:gridCol w:w="1061"/>
        <w:gridCol w:w="1282"/>
        <w:gridCol w:w="1102"/>
        <w:gridCol w:w="1032"/>
      </w:tblGrid>
      <w:tr w:rsidR="002C6574" w14:paraId="44D65EAD" w14:textId="77777777">
        <w:trPr>
          <w:trHeight w:val="239"/>
        </w:trPr>
        <w:tc>
          <w:tcPr>
            <w:tcW w:w="2873" w:type="dxa"/>
            <w:vMerge w:val="restart"/>
            <w:shd w:val="clear" w:color="auto" w:fill="D8D8D8"/>
          </w:tcPr>
          <w:p w14:paraId="57985E56" w14:textId="77777777" w:rsidR="002C6574" w:rsidRDefault="002C6574">
            <w:pPr>
              <w:pStyle w:val="TableParagraph"/>
              <w:jc w:val="left"/>
              <w:rPr>
                <w:rFonts w:ascii="Arial"/>
                <w:b/>
                <w:sz w:val="18"/>
              </w:rPr>
            </w:pPr>
          </w:p>
          <w:p w14:paraId="0B67E209" w14:textId="77777777" w:rsidR="002C6574" w:rsidRDefault="002C6574">
            <w:pPr>
              <w:pStyle w:val="TableParagraph"/>
              <w:spacing w:before="144"/>
              <w:jc w:val="left"/>
              <w:rPr>
                <w:rFonts w:ascii="Arial"/>
                <w:b/>
                <w:sz w:val="18"/>
              </w:rPr>
            </w:pPr>
          </w:p>
          <w:p w14:paraId="2B57301D" w14:textId="77777777" w:rsidR="002C6574" w:rsidRDefault="00000000">
            <w:pPr>
              <w:pStyle w:val="TableParagraph"/>
              <w:ind w:left="69"/>
              <w:jc w:val="left"/>
              <w:rPr>
                <w:rFonts w:ascii="Arial"/>
                <w:b/>
                <w:sz w:val="18"/>
              </w:rPr>
            </w:pPr>
            <w:r>
              <w:rPr>
                <w:rFonts w:ascii="Arial"/>
                <w:b/>
                <w:spacing w:val="-2"/>
                <w:sz w:val="18"/>
              </w:rPr>
              <w:t>Natureza</w:t>
            </w:r>
          </w:p>
        </w:tc>
        <w:tc>
          <w:tcPr>
            <w:tcW w:w="3483" w:type="dxa"/>
            <w:gridSpan w:val="3"/>
          </w:tcPr>
          <w:p w14:paraId="4ADD8EE4" w14:textId="77777777" w:rsidR="002C6574" w:rsidRDefault="00000000">
            <w:pPr>
              <w:pStyle w:val="TableParagraph"/>
              <w:spacing w:before="15" w:line="204" w:lineRule="exact"/>
              <w:ind w:left="9"/>
              <w:jc w:val="center"/>
              <w:rPr>
                <w:rFonts w:ascii="Arial"/>
                <w:b/>
                <w:sz w:val="18"/>
              </w:rPr>
            </w:pPr>
            <w:r>
              <w:rPr>
                <w:rFonts w:ascii="Arial"/>
                <w:b/>
                <w:spacing w:val="-2"/>
                <w:sz w:val="18"/>
              </w:rPr>
              <w:t>31/12/2025</w:t>
            </w:r>
          </w:p>
        </w:tc>
        <w:tc>
          <w:tcPr>
            <w:tcW w:w="3416" w:type="dxa"/>
            <w:gridSpan w:val="3"/>
          </w:tcPr>
          <w:p w14:paraId="30BFB02C" w14:textId="77777777" w:rsidR="002C6574" w:rsidRDefault="00000000">
            <w:pPr>
              <w:pStyle w:val="TableParagraph"/>
              <w:spacing w:before="15" w:line="204" w:lineRule="exact"/>
              <w:ind w:left="8"/>
              <w:jc w:val="center"/>
              <w:rPr>
                <w:rFonts w:ascii="Arial"/>
                <w:b/>
                <w:sz w:val="18"/>
              </w:rPr>
            </w:pPr>
            <w:r>
              <w:rPr>
                <w:rFonts w:ascii="Arial"/>
                <w:b/>
                <w:spacing w:val="-2"/>
                <w:sz w:val="18"/>
              </w:rPr>
              <w:t>31/12/2024</w:t>
            </w:r>
          </w:p>
        </w:tc>
      </w:tr>
      <w:tr w:rsidR="002C6574" w14:paraId="5E57C61E" w14:textId="77777777">
        <w:trPr>
          <w:trHeight w:val="827"/>
        </w:trPr>
        <w:tc>
          <w:tcPr>
            <w:tcW w:w="2873" w:type="dxa"/>
            <w:vMerge/>
            <w:tcBorders>
              <w:top w:val="nil"/>
            </w:tcBorders>
            <w:shd w:val="clear" w:color="auto" w:fill="D8D8D8"/>
          </w:tcPr>
          <w:p w14:paraId="6EFAF2C1" w14:textId="77777777" w:rsidR="002C6574" w:rsidRDefault="002C6574">
            <w:pPr>
              <w:rPr>
                <w:sz w:val="2"/>
                <w:szCs w:val="2"/>
              </w:rPr>
            </w:pPr>
          </w:p>
        </w:tc>
        <w:tc>
          <w:tcPr>
            <w:tcW w:w="1282" w:type="dxa"/>
          </w:tcPr>
          <w:p w14:paraId="2C3FC323" w14:textId="77777777" w:rsidR="002C6574" w:rsidRDefault="00000000">
            <w:pPr>
              <w:pStyle w:val="TableParagraph"/>
              <w:spacing w:before="205"/>
              <w:ind w:left="69" w:firstLine="343"/>
              <w:jc w:val="left"/>
              <w:rPr>
                <w:rFonts w:ascii="Arial"/>
                <w:b/>
                <w:sz w:val="18"/>
              </w:rPr>
            </w:pPr>
            <w:r>
              <w:rPr>
                <w:rFonts w:ascii="Arial"/>
                <w:b/>
                <w:spacing w:val="-2"/>
                <w:sz w:val="18"/>
              </w:rPr>
              <w:t>Valor Provisionado</w:t>
            </w:r>
          </w:p>
        </w:tc>
        <w:tc>
          <w:tcPr>
            <w:tcW w:w="1140" w:type="dxa"/>
          </w:tcPr>
          <w:p w14:paraId="252DD448" w14:textId="77777777" w:rsidR="002C6574" w:rsidRDefault="00000000">
            <w:pPr>
              <w:pStyle w:val="TableParagraph"/>
              <w:spacing w:before="102"/>
              <w:ind w:left="85" w:right="80" w:firstLine="2"/>
              <w:jc w:val="center"/>
              <w:rPr>
                <w:rFonts w:ascii="Arial" w:hAnsi="Arial"/>
                <w:b/>
                <w:sz w:val="18"/>
              </w:rPr>
            </w:pPr>
            <w:r>
              <w:rPr>
                <w:rFonts w:ascii="Arial" w:hAnsi="Arial"/>
                <w:b/>
                <w:spacing w:val="-2"/>
                <w:sz w:val="18"/>
              </w:rPr>
              <w:t>Depósitos Judiciais Vinculados</w:t>
            </w:r>
          </w:p>
        </w:tc>
        <w:tc>
          <w:tcPr>
            <w:tcW w:w="1061" w:type="dxa"/>
          </w:tcPr>
          <w:p w14:paraId="6A359B55" w14:textId="77777777" w:rsidR="002C6574" w:rsidRDefault="00000000">
            <w:pPr>
              <w:pStyle w:val="TableParagraph"/>
              <w:ind w:left="83" w:right="73"/>
              <w:jc w:val="center"/>
              <w:rPr>
                <w:rFonts w:ascii="Arial" w:hAnsi="Arial"/>
                <w:b/>
                <w:sz w:val="18"/>
              </w:rPr>
            </w:pPr>
            <w:r>
              <w:rPr>
                <w:rFonts w:ascii="Arial" w:hAnsi="Arial"/>
                <w:b/>
                <w:spacing w:val="-2"/>
                <w:sz w:val="18"/>
              </w:rPr>
              <w:t xml:space="preserve">Provisão Líquida </w:t>
            </w:r>
            <w:r>
              <w:rPr>
                <w:rFonts w:ascii="Arial" w:hAnsi="Arial"/>
                <w:b/>
                <w:spacing w:val="-4"/>
                <w:sz w:val="18"/>
              </w:rPr>
              <w:t>dos</w:t>
            </w:r>
          </w:p>
          <w:p w14:paraId="2594E92B" w14:textId="77777777" w:rsidR="002C6574" w:rsidRDefault="00000000">
            <w:pPr>
              <w:pStyle w:val="TableParagraph"/>
              <w:spacing w:line="187" w:lineRule="exact"/>
              <w:ind w:left="80" w:right="73"/>
              <w:jc w:val="center"/>
              <w:rPr>
                <w:rFonts w:ascii="Arial" w:hAnsi="Arial"/>
                <w:b/>
                <w:sz w:val="18"/>
              </w:rPr>
            </w:pPr>
            <w:r>
              <w:rPr>
                <w:rFonts w:ascii="Arial" w:hAnsi="Arial"/>
                <w:b/>
                <w:spacing w:val="-2"/>
                <w:sz w:val="18"/>
              </w:rPr>
              <w:t>Depósitos</w:t>
            </w:r>
          </w:p>
        </w:tc>
        <w:tc>
          <w:tcPr>
            <w:tcW w:w="1282" w:type="dxa"/>
          </w:tcPr>
          <w:p w14:paraId="5CC1CF91" w14:textId="77777777" w:rsidR="002C6574" w:rsidRDefault="00000000">
            <w:pPr>
              <w:pStyle w:val="TableParagraph"/>
              <w:spacing w:before="205"/>
              <w:ind w:left="68" w:firstLine="343"/>
              <w:jc w:val="left"/>
              <w:rPr>
                <w:rFonts w:ascii="Arial"/>
                <w:b/>
                <w:sz w:val="18"/>
              </w:rPr>
            </w:pPr>
            <w:r>
              <w:rPr>
                <w:rFonts w:ascii="Arial"/>
                <w:b/>
                <w:spacing w:val="-2"/>
                <w:sz w:val="18"/>
              </w:rPr>
              <w:t>Valor Provisionado</w:t>
            </w:r>
          </w:p>
        </w:tc>
        <w:tc>
          <w:tcPr>
            <w:tcW w:w="1102" w:type="dxa"/>
          </w:tcPr>
          <w:p w14:paraId="1244C951" w14:textId="77777777" w:rsidR="002C6574" w:rsidRDefault="00000000">
            <w:pPr>
              <w:pStyle w:val="TableParagraph"/>
              <w:spacing w:before="102"/>
              <w:ind w:left="68" w:right="59" w:firstLine="43"/>
              <w:jc w:val="both"/>
              <w:rPr>
                <w:rFonts w:ascii="Arial" w:hAnsi="Arial"/>
                <w:b/>
                <w:sz w:val="18"/>
              </w:rPr>
            </w:pPr>
            <w:r>
              <w:rPr>
                <w:rFonts w:ascii="Arial" w:hAnsi="Arial"/>
                <w:b/>
                <w:spacing w:val="-2"/>
                <w:sz w:val="18"/>
              </w:rPr>
              <w:t>Depósitos Judiciais Vinculados</w:t>
            </w:r>
          </w:p>
        </w:tc>
        <w:tc>
          <w:tcPr>
            <w:tcW w:w="1032" w:type="dxa"/>
          </w:tcPr>
          <w:p w14:paraId="73EBE185" w14:textId="77777777" w:rsidR="002C6574" w:rsidRDefault="00000000">
            <w:pPr>
              <w:pStyle w:val="TableParagraph"/>
              <w:ind w:left="66" w:right="62"/>
              <w:jc w:val="center"/>
              <w:rPr>
                <w:rFonts w:ascii="Arial" w:hAnsi="Arial"/>
                <w:b/>
                <w:sz w:val="18"/>
              </w:rPr>
            </w:pPr>
            <w:r>
              <w:rPr>
                <w:rFonts w:ascii="Arial" w:hAnsi="Arial"/>
                <w:b/>
                <w:spacing w:val="-2"/>
                <w:sz w:val="18"/>
              </w:rPr>
              <w:t xml:space="preserve">Provisão Líquida </w:t>
            </w:r>
            <w:r>
              <w:rPr>
                <w:rFonts w:ascii="Arial" w:hAnsi="Arial"/>
                <w:b/>
                <w:spacing w:val="-4"/>
                <w:sz w:val="18"/>
              </w:rPr>
              <w:t>dos</w:t>
            </w:r>
          </w:p>
          <w:p w14:paraId="3B3794E4" w14:textId="77777777" w:rsidR="002C6574" w:rsidRDefault="00000000">
            <w:pPr>
              <w:pStyle w:val="TableParagraph"/>
              <w:spacing w:line="187" w:lineRule="exact"/>
              <w:ind w:left="63" w:right="62"/>
              <w:jc w:val="center"/>
              <w:rPr>
                <w:rFonts w:ascii="Arial" w:hAnsi="Arial"/>
                <w:b/>
                <w:sz w:val="18"/>
              </w:rPr>
            </w:pPr>
            <w:r>
              <w:rPr>
                <w:rFonts w:ascii="Arial" w:hAnsi="Arial"/>
                <w:b/>
                <w:spacing w:val="-2"/>
                <w:sz w:val="18"/>
              </w:rPr>
              <w:t>Depósitos</w:t>
            </w:r>
          </w:p>
        </w:tc>
      </w:tr>
      <w:tr w:rsidR="002C6574" w14:paraId="10ACBAD8" w14:textId="77777777">
        <w:trPr>
          <w:trHeight w:val="237"/>
        </w:trPr>
        <w:tc>
          <w:tcPr>
            <w:tcW w:w="2873" w:type="dxa"/>
            <w:vMerge/>
            <w:tcBorders>
              <w:top w:val="nil"/>
            </w:tcBorders>
            <w:shd w:val="clear" w:color="auto" w:fill="D8D8D8"/>
          </w:tcPr>
          <w:p w14:paraId="68585E30" w14:textId="77777777" w:rsidR="002C6574" w:rsidRDefault="002C6574">
            <w:pPr>
              <w:rPr>
                <w:sz w:val="2"/>
                <w:szCs w:val="2"/>
              </w:rPr>
            </w:pPr>
          </w:p>
        </w:tc>
        <w:tc>
          <w:tcPr>
            <w:tcW w:w="1282" w:type="dxa"/>
          </w:tcPr>
          <w:p w14:paraId="212249DB" w14:textId="77777777" w:rsidR="002C6574" w:rsidRDefault="00000000">
            <w:pPr>
              <w:pStyle w:val="TableParagraph"/>
              <w:spacing w:before="15" w:line="201" w:lineRule="exact"/>
              <w:ind w:left="4"/>
              <w:jc w:val="center"/>
              <w:rPr>
                <w:rFonts w:ascii="Arial"/>
                <w:b/>
                <w:sz w:val="18"/>
              </w:rPr>
            </w:pPr>
            <w:r>
              <w:rPr>
                <w:rFonts w:ascii="Arial"/>
                <w:b/>
                <w:spacing w:val="-5"/>
                <w:sz w:val="18"/>
              </w:rPr>
              <w:t>(A)</w:t>
            </w:r>
          </w:p>
        </w:tc>
        <w:tc>
          <w:tcPr>
            <w:tcW w:w="1140" w:type="dxa"/>
          </w:tcPr>
          <w:p w14:paraId="3B78180C" w14:textId="77777777" w:rsidR="002C6574" w:rsidRDefault="00000000">
            <w:pPr>
              <w:pStyle w:val="TableParagraph"/>
              <w:spacing w:before="15" w:line="201" w:lineRule="exact"/>
              <w:jc w:val="center"/>
              <w:rPr>
                <w:rFonts w:ascii="Arial"/>
                <w:b/>
                <w:sz w:val="18"/>
              </w:rPr>
            </w:pPr>
            <w:r>
              <w:rPr>
                <w:rFonts w:ascii="Arial"/>
                <w:b/>
                <w:spacing w:val="-5"/>
                <w:sz w:val="18"/>
              </w:rPr>
              <w:t>(B)</w:t>
            </w:r>
          </w:p>
        </w:tc>
        <w:tc>
          <w:tcPr>
            <w:tcW w:w="1061" w:type="dxa"/>
          </w:tcPr>
          <w:p w14:paraId="093F54C3" w14:textId="77777777" w:rsidR="002C6574" w:rsidRDefault="00000000">
            <w:pPr>
              <w:pStyle w:val="TableParagraph"/>
              <w:spacing w:before="15" w:line="201" w:lineRule="exact"/>
              <w:ind w:left="308"/>
              <w:jc w:val="left"/>
              <w:rPr>
                <w:rFonts w:ascii="Arial"/>
                <w:b/>
                <w:sz w:val="18"/>
              </w:rPr>
            </w:pPr>
            <w:r>
              <w:rPr>
                <w:rFonts w:ascii="Arial"/>
                <w:b/>
                <w:sz w:val="18"/>
              </w:rPr>
              <w:t>(A-</w:t>
            </w:r>
            <w:r>
              <w:rPr>
                <w:rFonts w:ascii="Arial"/>
                <w:b/>
                <w:spacing w:val="-5"/>
                <w:sz w:val="18"/>
              </w:rPr>
              <w:t>B)</w:t>
            </w:r>
          </w:p>
        </w:tc>
        <w:tc>
          <w:tcPr>
            <w:tcW w:w="1282" w:type="dxa"/>
          </w:tcPr>
          <w:p w14:paraId="5DA36C7E" w14:textId="77777777" w:rsidR="002C6574" w:rsidRDefault="00000000">
            <w:pPr>
              <w:pStyle w:val="TableParagraph"/>
              <w:spacing w:before="15" w:line="201" w:lineRule="exact"/>
              <w:ind w:left="4" w:right="2"/>
              <w:jc w:val="center"/>
              <w:rPr>
                <w:rFonts w:ascii="Arial"/>
                <w:b/>
                <w:sz w:val="18"/>
              </w:rPr>
            </w:pPr>
            <w:r>
              <w:rPr>
                <w:rFonts w:ascii="Arial"/>
                <w:b/>
                <w:spacing w:val="-5"/>
                <w:sz w:val="18"/>
              </w:rPr>
              <w:t>(A)</w:t>
            </w:r>
          </w:p>
        </w:tc>
        <w:tc>
          <w:tcPr>
            <w:tcW w:w="1102" w:type="dxa"/>
          </w:tcPr>
          <w:p w14:paraId="61860BB1" w14:textId="77777777" w:rsidR="002C6574" w:rsidRDefault="00000000">
            <w:pPr>
              <w:pStyle w:val="TableParagraph"/>
              <w:spacing w:before="15" w:line="201" w:lineRule="exact"/>
              <w:ind w:left="6"/>
              <w:jc w:val="center"/>
              <w:rPr>
                <w:rFonts w:ascii="Arial"/>
                <w:b/>
                <w:sz w:val="18"/>
              </w:rPr>
            </w:pPr>
            <w:r>
              <w:rPr>
                <w:rFonts w:ascii="Arial"/>
                <w:b/>
                <w:spacing w:val="-5"/>
                <w:sz w:val="18"/>
              </w:rPr>
              <w:t>(B)</w:t>
            </w:r>
          </w:p>
        </w:tc>
        <w:tc>
          <w:tcPr>
            <w:tcW w:w="1032" w:type="dxa"/>
          </w:tcPr>
          <w:p w14:paraId="6E7B710C" w14:textId="77777777" w:rsidR="002C6574" w:rsidRDefault="00000000">
            <w:pPr>
              <w:pStyle w:val="TableParagraph"/>
              <w:spacing w:before="15" w:line="201" w:lineRule="exact"/>
              <w:ind w:left="290"/>
              <w:jc w:val="left"/>
              <w:rPr>
                <w:rFonts w:ascii="Arial"/>
                <w:b/>
                <w:sz w:val="18"/>
              </w:rPr>
            </w:pPr>
            <w:r>
              <w:rPr>
                <w:rFonts w:ascii="Arial"/>
                <w:b/>
                <w:sz w:val="18"/>
              </w:rPr>
              <w:t>(A-</w:t>
            </w:r>
            <w:r>
              <w:rPr>
                <w:rFonts w:ascii="Arial"/>
                <w:b/>
                <w:spacing w:val="-5"/>
                <w:sz w:val="18"/>
              </w:rPr>
              <w:t>B)</w:t>
            </w:r>
          </w:p>
        </w:tc>
      </w:tr>
      <w:tr w:rsidR="002C6574" w14:paraId="22415C35" w14:textId="77777777">
        <w:trPr>
          <w:trHeight w:val="239"/>
        </w:trPr>
        <w:tc>
          <w:tcPr>
            <w:tcW w:w="2873" w:type="dxa"/>
          </w:tcPr>
          <w:p w14:paraId="4D88B015" w14:textId="77777777" w:rsidR="002C6574" w:rsidRDefault="00000000">
            <w:pPr>
              <w:pStyle w:val="TableParagraph"/>
              <w:spacing w:line="220" w:lineRule="exact"/>
              <w:ind w:left="69"/>
              <w:jc w:val="left"/>
              <w:rPr>
                <w:sz w:val="18"/>
              </w:rPr>
            </w:pPr>
            <w:r>
              <w:rPr>
                <w:spacing w:val="-4"/>
                <w:w w:val="105"/>
                <w:sz w:val="18"/>
              </w:rPr>
              <w:t>Cível</w:t>
            </w:r>
          </w:p>
        </w:tc>
        <w:tc>
          <w:tcPr>
            <w:tcW w:w="1282" w:type="dxa"/>
          </w:tcPr>
          <w:p w14:paraId="0FD7F7A3" w14:textId="77777777" w:rsidR="002C6574" w:rsidRDefault="00000000">
            <w:pPr>
              <w:pStyle w:val="TableParagraph"/>
              <w:spacing w:line="220" w:lineRule="exact"/>
              <w:ind w:right="61"/>
              <w:rPr>
                <w:sz w:val="18"/>
              </w:rPr>
            </w:pPr>
            <w:r>
              <w:rPr>
                <w:spacing w:val="-2"/>
                <w:w w:val="105"/>
                <w:sz w:val="18"/>
              </w:rPr>
              <w:t>58.694</w:t>
            </w:r>
          </w:p>
        </w:tc>
        <w:tc>
          <w:tcPr>
            <w:tcW w:w="1140" w:type="dxa"/>
          </w:tcPr>
          <w:p w14:paraId="6B43F22B" w14:textId="77777777" w:rsidR="002C6574" w:rsidRDefault="00000000">
            <w:pPr>
              <w:pStyle w:val="TableParagraph"/>
              <w:spacing w:line="220" w:lineRule="exact"/>
              <w:ind w:right="58"/>
              <w:rPr>
                <w:sz w:val="18"/>
              </w:rPr>
            </w:pPr>
            <w:r>
              <w:rPr>
                <w:spacing w:val="-4"/>
                <w:w w:val="110"/>
                <w:sz w:val="18"/>
              </w:rPr>
              <w:t>1.147</w:t>
            </w:r>
          </w:p>
        </w:tc>
        <w:tc>
          <w:tcPr>
            <w:tcW w:w="1061" w:type="dxa"/>
          </w:tcPr>
          <w:p w14:paraId="28AE402D" w14:textId="77777777" w:rsidR="002C6574" w:rsidRDefault="00000000">
            <w:pPr>
              <w:pStyle w:val="TableParagraph"/>
              <w:spacing w:line="220" w:lineRule="exact"/>
              <w:ind w:right="59"/>
              <w:rPr>
                <w:sz w:val="18"/>
              </w:rPr>
            </w:pPr>
            <w:r>
              <w:rPr>
                <w:spacing w:val="-2"/>
                <w:w w:val="105"/>
                <w:sz w:val="18"/>
              </w:rPr>
              <w:t>57.547</w:t>
            </w:r>
          </w:p>
        </w:tc>
        <w:tc>
          <w:tcPr>
            <w:tcW w:w="1282" w:type="dxa"/>
          </w:tcPr>
          <w:p w14:paraId="3FE0CF32" w14:textId="77777777" w:rsidR="002C6574" w:rsidRDefault="00000000">
            <w:pPr>
              <w:pStyle w:val="TableParagraph"/>
              <w:spacing w:line="220" w:lineRule="exact"/>
              <w:ind w:right="59"/>
              <w:rPr>
                <w:sz w:val="18"/>
              </w:rPr>
            </w:pPr>
            <w:r>
              <w:rPr>
                <w:spacing w:val="-2"/>
                <w:w w:val="105"/>
                <w:sz w:val="18"/>
              </w:rPr>
              <w:t>54.191</w:t>
            </w:r>
          </w:p>
        </w:tc>
        <w:tc>
          <w:tcPr>
            <w:tcW w:w="1102" w:type="dxa"/>
          </w:tcPr>
          <w:p w14:paraId="2E798AA1" w14:textId="77777777" w:rsidR="002C6574" w:rsidRDefault="00000000">
            <w:pPr>
              <w:pStyle w:val="TableParagraph"/>
              <w:spacing w:line="220" w:lineRule="exact"/>
              <w:ind w:right="60"/>
              <w:rPr>
                <w:sz w:val="18"/>
              </w:rPr>
            </w:pPr>
            <w:r>
              <w:rPr>
                <w:spacing w:val="-2"/>
                <w:w w:val="110"/>
                <w:sz w:val="18"/>
              </w:rPr>
              <w:t>2.181</w:t>
            </w:r>
          </w:p>
        </w:tc>
        <w:tc>
          <w:tcPr>
            <w:tcW w:w="1032" w:type="dxa"/>
          </w:tcPr>
          <w:p w14:paraId="07C817AF" w14:textId="77777777" w:rsidR="002C6574" w:rsidRDefault="00000000">
            <w:pPr>
              <w:pStyle w:val="TableParagraph"/>
              <w:spacing w:line="220" w:lineRule="exact"/>
              <w:ind w:right="59"/>
              <w:rPr>
                <w:sz w:val="18"/>
              </w:rPr>
            </w:pPr>
            <w:r>
              <w:rPr>
                <w:spacing w:val="-2"/>
                <w:w w:val="105"/>
                <w:sz w:val="18"/>
              </w:rPr>
              <w:t>52.010</w:t>
            </w:r>
          </w:p>
        </w:tc>
      </w:tr>
      <w:tr w:rsidR="002C6574" w14:paraId="47068437" w14:textId="77777777">
        <w:trPr>
          <w:trHeight w:val="237"/>
        </w:trPr>
        <w:tc>
          <w:tcPr>
            <w:tcW w:w="2873" w:type="dxa"/>
          </w:tcPr>
          <w:p w14:paraId="407B299B" w14:textId="77777777" w:rsidR="002C6574" w:rsidRDefault="00000000">
            <w:pPr>
              <w:pStyle w:val="TableParagraph"/>
              <w:spacing w:line="217" w:lineRule="exact"/>
              <w:ind w:left="69"/>
              <w:jc w:val="left"/>
              <w:rPr>
                <w:sz w:val="18"/>
              </w:rPr>
            </w:pPr>
            <w:r>
              <w:rPr>
                <w:spacing w:val="-2"/>
                <w:sz w:val="18"/>
              </w:rPr>
              <w:t>Trabalhista</w:t>
            </w:r>
          </w:p>
        </w:tc>
        <w:tc>
          <w:tcPr>
            <w:tcW w:w="1282" w:type="dxa"/>
          </w:tcPr>
          <w:p w14:paraId="4FF7FCAB" w14:textId="77777777" w:rsidR="002C6574" w:rsidRDefault="00000000">
            <w:pPr>
              <w:pStyle w:val="TableParagraph"/>
              <w:spacing w:line="217" w:lineRule="exact"/>
              <w:ind w:right="61"/>
              <w:rPr>
                <w:sz w:val="18"/>
              </w:rPr>
            </w:pPr>
            <w:r>
              <w:rPr>
                <w:spacing w:val="-2"/>
                <w:w w:val="105"/>
                <w:sz w:val="18"/>
              </w:rPr>
              <w:t>12.494</w:t>
            </w:r>
          </w:p>
        </w:tc>
        <w:tc>
          <w:tcPr>
            <w:tcW w:w="1140" w:type="dxa"/>
          </w:tcPr>
          <w:p w14:paraId="77A51265" w14:textId="77777777" w:rsidR="002C6574" w:rsidRDefault="00000000">
            <w:pPr>
              <w:pStyle w:val="TableParagraph"/>
              <w:spacing w:line="217" w:lineRule="exact"/>
              <w:ind w:right="58"/>
              <w:rPr>
                <w:sz w:val="18"/>
              </w:rPr>
            </w:pPr>
            <w:r>
              <w:rPr>
                <w:spacing w:val="-4"/>
                <w:w w:val="110"/>
                <w:sz w:val="18"/>
              </w:rPr>
              <w:t>1.057</w:t>
            </w:r>
          </w:p>
        </w:tc>
        <w:tc>
          <w:tcPr>
            <w:tcW w:w="1061" w:type="dxa"/>
          </w:tcPr>
          <w:p w14:paraId="12BFAA93" w14:textId="77777777" w:rsidR="002C6574" w:rsidRDefault="00000000">
            <w:pPr>
              <w:pStyle w:val="TableParagraph"/>
              <w:spacing w:line="217" w:lineRule="exact"/>
              <w:ind w:right="59"/>
              <w:rPr>
                <w:sz w:val="18"/>
              </w:rPr>
            </w:pPr>
            <w:r>
              <w:rPr>
                <w:spacing w:val="-2"/>
                <w:w w:val="105"/>
                <w:sz w:val="18"/>
              </w:rPr>
              <w:t>11.437</w:t>
            </w:r>
          </w:p>
        </w:tc>
        <w:tc>
          <w:tcPr>
            <w:tcW w:w="1282" w:type="dxa"/>
          </w:tcPr>
          <w:p w14:paraId="5DFF82DF" w14:textId="77777777" w:rsidR="002C6574" w:rsidRDefault="00000000">
            <w:pPr>
              <w:pStyle w:val="TableParagraph"/>
              <w:spacing w:line="217" w:lineRule="exact"/>
              <w:ind w:right="59"/>
              <w:rPr>
                <w:sz w:val="18"/>
              </w:rPr>
            </w:pPr>
            <w:r>
              <w:rPr>
                <w:spacing w:val="-2"/>
                <w:w w:val="110"/>
                <w:sz w:val="18"/>
              </w:rPr>
              <w:t>9.994</w:t>
            </w:r>
          </w:p>
        </w:tc>
        <w:tc>
          <w:tcPr>
            <w:tcW w:w="1102" w:type="dxa"/>
          </w:tcPr>
          <w:p w14:paraId="2E4C8B11" w14:textId="77777777" w:rsidR="002C6574" w:rsidRDefault="00000000">
            <w:pPr>
              <w:pStyle w:val="TableParagraph"/>
              <w:spacing w:line="217" w:lineRule="exact"/>
              <w:ind w:right="61"/>
              <w:rPr>
                <w:sz w:val="18"/>
              </w:rPr>
            </w:pPr>
            <w:r>
              <w:rPr>
                <w:spacing w:val="-5"/>
                <w:w w:val="105"/>
                <w:sz w:val="18"/>
              </w:rPr>
              <w:t>959</w:t>
            </w:r>
          </w:p>
        </w:tc>
        <w:tc>
          <w:tcPr>
            <w:tcW w:w="1032" w:type="dxa"/>
          </w:tcPr>
          <w:p w14:paraId="497FCDC9" w14:textId="77777777" w:rsidR="002C6574" w:rsidRDefault="00000000">
            <w:pPr>
              <w:pStyle w:val="TableParagraph"/>
              <w:spacing w:line="217" w:lineRule="exact"/>
              <w:ind w:right="60"/>
              <w:rPr>
                <w:sz w:val="18"/>
              </w:rPr>
            </w:pPr>
            <w:r>
              <w:rPr>
                <w:spacing w:val="-2"/>
                <w:w w:val="110"/>
                <w:sz w:val="18"/>
              </w:rPr>
              <w:t>9.035</w:t>
            </w:r>
          </w:p>
        </w:tc>
      </w:tr>
      <w:tr w:rsidR="002C6574" w14:paraId="138DEC41" w14:textId="77777777">
        <w:trPr>
          <w:trHeight w:val="237"/>
        </w:trPr>
        <w:tc>
          <w:tcPr>
            <w:tcW w:w="2873" w:type="dxa"/>
          </w:tcPr>
          <w:p w14:paraId="600B16E8" w14:textId="77777777" w:rsidR="002C6574" w:rsidRDefault="00000000">
            <w:pPr>
              <w:pStyle w:val="TableParagraph"/>
              <w:spacing w:line="217" w:lineRule="exact"/>
              <w:ind w:left="69"/>
              <w:jc w:val="left"/>
              <w:rPr>
                <w:sz w:val="18"/>
              </w:rPr>
            </w:pPr>
            <w:r>
              <w:rPr>
                <w:spacing w:val="-2"/>
                <w:sz w:val="18"/>
              </w:rPr>
              <w:t>Tributária</w:t>
            </w:r>
          </w:p>
        </w:tc>
        <w:tc>
          <w:tcPr>
            <w:tcW w:w="1282" w:type="dxa"/>
          </w:tcPr>
          <w:p w14:paraId="247AB5D3" w14:textId="77777777" w:rsidR="002C6574" w:rsidRDefault="00000000">
            <w:pPr>
              <w:pStyle w:val="TableParagraph"/>
              <w:spacing w:line="217" w:lineRule="exact"/>
              <w:ind w:right="62"/>
              <w:rPr>
                <w:sz w:val="18"/>
              </w:rPr>
            </w:pPr>
            <w:r>
              <w:rPr>
                <w:spacing w:val="-5"/>
                <w:w w:val="105"/>
                <w:sz w:val="18"/>
              </w:rPr>
              <w:t>531</w:t>
            </w:r>
          </w:p>
        </w:tc>
        <w:tc>
          <w:tcPr>
            <w:tcW w:w="1140" w:type="dxa"/>
          </w:tcPr>
          <w:p w14:paraId="129E1694" w14:textId="77777777" w:rsidR="002C6574" w:rsidRDefault="00000000">
            <w:pPr>
              <w:pStyle w:val="TableParagraph"/>
              <w:spacing w:line="217" w:lineRule="exact"/>
              <w:ind w:right="58"/>
              <w:rPr>
                <w:sz w:val="18"/>
              </w:rPr>
            </w:pPr>
            <w:r>
              <w:rPr>
                <w:spacing w:val="-5"/>
                <w:w w:val="105"/>
                <w:sz w:val="18"/>
              </w:rPr>
              <w:t>532</w:t>
            </w:r>
          </w:p>
        </w:tc>
        <w:tc>
          <w:tcPr>
            <w:tcW w:w="1061" w:type="dxa"/>
          </w:tcPr>
          <w:p w14:paraId="55D4E4B6" w14:textId="77777777" w:rsidR="002C6574" w:rsidRDefault="00000000">
            <w:pPr>
              <w:pStyle w:val="TableParagraph"/>
              <w:spacing w:line="217" w:lineRule="exact"/>
              <w:ind w:right="57"/>
              <w:rPr>
                <w:sz w:val="18"/>
              </w:rPr>
            </w:pPr>
            <w:r>
              <w:rPr>
                <w:spacing w:val="-5"/>
                <w:w w:val="110"/>
                <w:sz w:val="18"/>
              </w:rPr>
              <w:t>(1)</w:t>
            </w:r>
          </w:p>
        </w:tc>
        <w:tc>
          <w:tcPr>
            <w:tcW w:w="1282" w:type="dxa"/>
          </w:tcPr>
          <w:p w14:paraId="6356F5C1" w14:textId="77777777" w:rsidR="002C6574" w:rsidRDefault="00000000">
            <w:pPr>
              <w:pStyle w:val="TableParagraph"/>
              <w:spacing w:line="217" w:lineRule="exact"/>
              <w:ind w:right="61"/>
              <w:rPr>
                <w:sz w:val="18"/>
              </w:rPr>
            </w:pPr>
            <w:r>
              <w:rPr>
                <w:spacing w:val="-5"/>
                <w:w w:val="105"/>
                <w:sz w:val="18"/>
              </w:rPr>
              <w:t>573</w:t>
            </w:r>
          </w:p>
        </w:tc>
        <w:tc>
          <w:tcPr>
            <w:tcW w:w="1102" w:type="dxa"/>
          </w:tcPr>
          <w:p w14:paraId="1A1ECC93" w14:textId="77777777" w:rsidR="002C6574" w:rsidRDefault="00000000">
            <w:pPr>
              <w:pStyle w:val="TableParagraph"/>
              <w:spacing w:line="217" w:lineRule="exact"/>
              <w:ind w:right="61"/>
              <w:rPr>
                <w:sz w:val="18"/>
              </w:rPr>
            </w:pPr>
            <w:r>
              <w:rPr>
                <w:spacing w:val="-5"/>
                <w:w w:val="105"/>
                <w:sz w:val="18"/>
              </w:rPr>
              <w:t>571</w:t>
            </w:r>
          </w:p>
        </w:tc>
        <w:tc>
          <w:tcPr>
            <w:tcW w:w="1032" w:type="dxa"/>
          </w:tcPr>
          <w:p w14:paraId="2A9AE69D" w14:textId="77777777" w:rsidR="002C6574" w:rsidRDefault="00000000">
            <w:pPr>
              <w:pStyle w:val="TableParagraph"/>
              <w:spacing w:line="217" w:lineRule="exact"/>
              <w:ind w:right="62"/>
              <w:rPr>
                <w:sz w:val="18"/>
              </w:rPr>
            </w:pPr>
            <w:r>
              <w:rPr>
                <w:spacing w:val="-10"/>
                <w:w w:val="105"/>
                <w:sz w:val="18"/>
              </w:rPr>
              <w:t>2</w:t>
            </w:r>
          </w:p>
        </w:tc>
      </w:tr>
      <w:tr w:rsidR="002C6574" w14:paraId="59A86BBE" w14:textId="77777777">
        <w:trPr>
          <w:trHeight w:val="239"/>
        </w:trPr>
        <w:tc>
          <w:tcPr>
            <w:tcW w:w="2873" w:type="dxa"/>
          </w:tcPr>
          <w:p w14:paraId="46AD3D93" w14:textId="77777777" w:rsidR="002C6574" w:rsidRDefault="00000000">
            <w:pPr>
              <w:pStyle w:val="TableParagraph"/>
              <w:spacing w:before="15" w:line="204" w:lineRule="exact"/>
              <w:ind w:left="69"/>
              <w:jc w:val="left"/>
              <w:rPr>
                <w:rFonts w:ascii="Arial"/>
                <w:b/>
                <w:sz w:val="18"/>
              </w:rPr>
            </w:pPr>
            <w:r>
              <w:rPr>
                <w:rFonts w:ascii="Arial"/>
                <w:b/>
                <w:spacing w:val="-2"/>
                <w:sz w:val="18"/>
              </w:rPr>
              <w:t>Total</w:t>
            </w:r>
          </w:p>
        </w:tc>
        <w:tc>
          <w:tcPr>
            <w:tcW w:w="1282" w:type="dxa"/>
          </w:tcPr>
          <w:p w14:paraId="7F200092" w14:textId="77777777" w:rsidR="002C6574" w:rsidRDefault="00000000">
            <w:pPr>
              <w:pStyle w:val="TableParagraph"/>
              <w:spacing w:before="15" w:line="204" w:lineRule="exact"/>
              <w:ind w:right="62"/>
              <w:rPr>
                <w:rFonts w:ascii="Arial"/>
                <w:b/>
                <w:sz w:val="18"/>
              </w:rPr>
            </w:pPr>
            <w:r>
              <w:rPr>
                <w:rFonts w:ascii="Arial"/>
                <w:b/>
                <w:spacing w:val="-2"/>
                <w:sz w:val="18"/>
              </w:rPr>
              <w:t>71.719</w:t>
            </w:r>
          </w:p>
        </w:tc>
        <w:tc>
          <w:tcPr>
            <w:tcW w:w="1140" w:type="dxa"/>
          </w:tcPr>
          <w:p w14:paraId="09C2EEE2" w14:textId="77777777" w:rsidR="002C6574" w:rsidRDefault="00000000">
            <w:pPr>
              <w:pStyle w:val="TableParagraph"/>
              <w:spacing w:before="15" w:line="204" w:lineRule="exact"/>
              <w:ind w:right="58"/>
              <w:rPr>
                <w:rFonts w:ascii="Arial"/>
                <w:b/>
                <w:sz w:val="18"/>
              </w:rPr>
            </w:pPr>
            <w:r>
              <w:rPr>
                <w:rFonts w:ascii="Arial"/>
                <w:b/>
                <w:spacing w:val="-2"/>
                <w:sz w:val="18"/>
              </w:rPr>
              <w:t>2.736</w:t>
            </w:r>
          </w:p>
        </w:tc>
        <w:tc>
          <w:tcPr>
            <w:tcW w:w="1061" w:type="dxa"/>
          </w:tcPr>
          <w:p w14:paraId="165301BC" w14:textId="77777777" w:rsidR="002C6574" w:rsidRDefault="00000000">
            <w:pPr>
              <w:pStyle w:val="TableParagraph"/>
              <w:spacing w:before="15" w:line="204" w:lineRule="exact"/>
              <w:ind w:right="59"/>
              <w:rPr>
                <w:rFonts w:ascii="Arial"/>
                <w:b/>
                <w:sz w:val="18"/>
              </w:rPr>
            </w:pPr>
            <w:r>
              <w:rPr>
                <w:rFonts w:ascii="Arial"/>
                <w:b/>
                <w:spacing w:val="-2"/>
                <w:sz w:val="18"/>
              </w:rPr>
              <w:t>68.983</w:t>
            </w:r>
          </w:p>
        </w:tc>
        <w:tc>
          <w:tcPr>
            <w:tcW w:w="1282" w:type="dxa"/>
          </w:tcPr>
          <w:p w14:paraId="09765487" w14:textId="77777777" w:rsidR="002C6574" w:rsidRDefault="00000000">
            <w:pPr>
              <w:pStyle w:val="TableParagraph"/>
              <w:spacing w:before="15" w:line="204" w:lineRule="exact"/>
              <w:ind w:right="59"/>
              <w:rPr>
                <w:rFonts w:ascii="Arial"/>
                <w:b/>
                <w:sz w:val="18"/>
              </w:rPr>
            </w:pPr>
            <w:r>
              <w:rPr>
                <w:rFonts w:ascii="Arial"/>
                <w:b/>
                <w:spacing w:val="-2"/>
                <w:sz w:val="18"/>
              </w:rPr>
              <w:t>64.758</w:t>
            </w:r>
          </w:p>
        </w:tc>
        <w:tc>
          <w:tcPr>
            <w:tcW w:w="1102" w:type="dxa"/>
          </w:tcPr>
          <w:p w14:paraId="1B95809C" w14:textId="77777777" w:rsidR="002C6574" w:rsidRDefault="00000000">
            <w:pPr>
              <w:pStyle w:val="TableParagraph"/>
              <w:spacing w:before="15" w:line="204" w:lineRule="exact"/>
              <w:ind w:right="60"/>
              <w:rPr>
                <w:rFonts w:ascii="Arial"/>
                <w:b/>
                <w:sz w:val="18"/>
              </w:rPr>
            </w:pPr>
            <w:r>
              <w:rPr>
                <w:rFonts w:ascii="Arial"/>
                <w:b/>
                <w:spacing w:val="-2"/>
                <w:sz w:val="18"/>
              </w:rPr>
              <w:t>3.711</w:t>
            </w:r>
          </w:p>
        </w:tc>
        <w:tc>
          <w:tcPr>
            <w:tcW w:w="1032" w:type="dxa"/>
          </w:tcPr>
          <w:p w14:paraId="517391AD" w14:textId="77777777" w:rsidR="002C6574" w:rsidRDefault="00000000">
            <w:pPr>
              <w:pStyle w:val="TableParagraph"/>
              <w:spacing w:before="15" w:line="204" w:lineRule="exact"/>
              <w:ind w:right="59"/>
              <w:rPr>
                <w:rFonts w:ascii="Arial"/>
                <w:b/>
                <w:sz w:val="18"/>
              </w:rPr>
            </w:pPr>
            <w:r>
              <w:rPr>
                <w:rFonts w:ascii="Arial"/>
                <w:b/>
                <w:spacing w:val="-2"/>
                <w:sz w:val="18"/>
              </w:rPr>
              <w:t>61.047</w:t>
            </w:r>
          </w:p>
        </w:tc>
      </w:tr>
      <w:tr w:rsidR="002C6574" w14:paraId="679D2FBE" w14:textId="77777777">
        <w:trPr>
          <w:trHeight w:val="237"/>
        </w:trPr>
        <w:tc>
          <w:tcPr>
            <w:tcW w:w="2873" w:type="dxa"/>
          </w:tcPr>
          <w:p w14:paraId="2D3A4652" w14:textId="77777777" w:rsidR="002C6574" w:rsidRDefault="00000000">
            <w:pPr>
              <w:pStyle w:val="TableParagraph"/>
              <w:spacing w:before="13" w:line="204" w:lineRule="exact"/>
              <w:ind w:left="69"/>
              <w:jc w:val="left"/>
              <w:rPr>
                <w:rFonts w:ascii="Arial"/>
                <w:b/>
                <w:sz w:val="18"/>
              </w:rPr>
            </w:pPr>
            <w:r>
              <w:rPr>
                <w:rFonts w:ascii="Arial"/>
                <w:b/>
                <w:spacing w:val="-2"/>
                <w:sz w:val="18"/>
              </w:rPr>
              <w:t>Circulante</w:t>
            </w:r>
          </w:p>
        </w:tc>
        <w:tc>
          <w:tcPr>
            <w:tcW w:w="1282" w:type="dxa"/>
          </w:tcPr>
          <w:p w14:paraId="2FA879A7" w14:textId="77777777" w:rsidR="002C6574" w:rsidRDefault="00000000">
            <w:pPr>
              <w:pStyle w:val="TableParagraph"/>
              <w:spacing w:before="13" w:line="204" w:lineRule="exact"/>
              <w:ind w:right="60"/>
              <w:rPr>
                <w:rFonts w:ascii="Arial"/>
                <w:b/>
                <w:sz w:val="18"/>
              </w:rPr>
            </w:pPr>
            <w:r>
              <w:rPr>
                <w:rFonts w:ascii="Arial"/>
                <w:b/>
                <w:spacing w:val="-2"/>
                <w:sz w:val="18"/>
              </w:rPr>
              <w:t>5.416</w:t>
            </w:r>
          </w:p>
        </w:tc>
        <w:tc>
          <w:tcPr>
            <w:tcW w:w="1140" w:type="dxa"/>
          </w:tcPr>
          <w:p w14:paraId="6D4FC88B" w14:textId="77777777" w:rsidR="002C6574" w:rsidRDefault="00000000">
            <w:pPr>
              <w:pStyle w:val="TableParagraph"/>
              <w:spacing w:before="13" w:line="204" w:lineRule="exact"/>
              <w:ind w:right="58"/>
              <w:rPr>
                <w:rFonts w:ascii="Arial"/>
                <w:b/>
                <w:sz w:val="18"/>
              </w:rPr>
            </w:pPr>
            <w:r>
              <w:rPr>
                <w:rFonts w:ascii="Arial"/>
                <w:b/>
                <w:spacing w:val="-2"/>
                <w:sz w:val="18"/>
              </w:rPr>
              <w:t>1.079</w:t>
            </w:r>
          </w:p>
        </w:tc>
        <w:tc>
          <w:tcPr>
            <w:tcW w:w="1061" w:type="dxa"/>
          </w:tcPr>
          <w:p w14:paraId="28CD6446" w14:textId="77777777" w:rsidR="002C6574" w:rsidRDefault="00000000">
            <w:pPr>
              <w:pStyle w:val="TableParagraph"/>
              <w:spacing w:before="13" w:line="204" w:lineRule="exact"/>
              <w:ind w:right="59"/>
              <w:rPr>
                <w:rFonts w:ascii="Arial"/>
                <w:b/>
                <w:sz w:val="18"/>
              </w:rPr>
            </w:pPr>
            <w:r>
              <w:rPr>
                <w:rFonts w:ascii="Arial"/>
                <w:b/>
                <w:spacing w:val="-2"/>
                <w:sz w:val="18"/>
              </w:rPr>
              <w:t>4.337</w:t>
            </w:r>
          </w:p>
        </w:tc>
        <w:tc>
          <w:tcPr>
            <w:tcW w:w="1282" w:type="dxa"/>
          </w:tcPr>
          <w:p w14:paraId="6A8C9AEF" w14:textId="77777777" w:rsidR="002C6574" w:rsidRDefault="00000000">
            <w:pPr>
              <w:pStyle w:val="TableParagraph"/>
              <w:spacing w:before="13" w:line="204" w:lineRule="exact"/>
              <w:ind w:right="59"/>
              <w:rPr>
                <w:rFonts w:ascii="Arial"/>
                <w:b/>
                <w:sz w:val="18"/>
              </w:rPr>
            </w:pPr>
            <w:r>
              <w:rPr>
                <w:rFonts w:ascii="Arial"/>
                <w:b/>
                <w:spacing w:val="-2"/>
                <w:sz w:val="18"/>
              </w:rPr>
              <w:t>4.877</w:t>
            </w:r>
          </w:p>
        </w:tc>
        <w:tc>
          <w:tcPr>
            <w:tcW w:w="1102" w:type="dxa"/>
          </w:tcPr>
          <w:p w14:paraId="2F20A3EF" w14:textId="77777777" w:rsidR="002C6574" w:rsidRDefault="00000000">
            <w:pPr>
              <w:pStyle w:val="TableParagraph"/>
              <w:spacing w:before="13" w:line="204" w:lineRule="exact"/>
              <w:ind w:right="60"/>
              <w:rPr>
                <w:rFonts w:ascii="Arial"/>
                <w:b/>
                <w:sz w:val="18"/>
              </w:rPr>
            </w:pPr>
            <w:r>
              <w:rPr>
                <w:rFonts w:ascii="Arial"/>
                <w:b/>
                <w:spacing w:val="-2"/>
                <w:sz w:val="18"/>
              </w:rPr>
              <w:t>1.598</w:t>
            </w:r>
          </w:p>
        </w:tc>
        <w:tc>
          <w:tcPr>
            <w:tcW w:w="1032" w:type="dxa"/>
          </w:tcPr>
          <w:p w14:paraId="123DCAE3" w14:textId="77777777" w:rsidR="002C6574" w:rsidRDefault="00000000">
            <w:pPr>
              <w:pStyle w:val="TableParagraph"/>
              <w:spacing w:before="13" w:line="204" w:lineRule="exact"/>
              <w:ind w:right="60"/>
              <w:rPr>
                <w:rFonts w:ascii="Arial"/>
                <w:b/>
                <w:sz w:val="18"/>
              </w:rPr>
            </w:pPr>
            <w:r>
              <w:rPr>
                <w:rFonts w:ascii="Arial"/>
                <w:b/>
                <w:spacing w:val="-2"/>
                <w:sz w:val="18"/>
              </w:rPr>
              <w:t>3.279</w:t>
            </w:r>
          </w:p>
        </w:tc>
      </w:tr>
      <w:tr w:rsidR="002C6574" w14:paraId="0B1DA42A" w14:textId="77777777">
        <w:trPr>
          <w:trHeight w:val="237"/>
        </w:trPr>
        <w:tc>
          <w:tcPr>
            <w:tcW w:w="2873" w:type="dxa"/>
          </w:tcPr>
          <w:p w14:paraId="143D7E97" w14:textId="77777777" w:rsidR="002C6574" w:rsidRDefault="00000000">
            <w:pPr>
              <w:pStyle w:val="TableParagraph"/>
              <w:spacing w:before="15" w:line="201" w:lineRule="exact"/>
              <w:ind w:left="69"/>
              <w:jc w:val="left"/>
              <w:rPr>
                <w:rFonts w:ascii="Arial" w:hAnsi="Arial"/>
                <w:b/>
                <w:sz w:val="18"/>
              </w:rPr>
            </w:pPr>
            <w:r>
              <w:rPr>
                <w:rFonts w:ascii="Arial" w:hAnsi="Arial"/>
                <w:b/>
                <w:sz w:val="18"/>
              </w:rPr>
              <w:t xml:space="preserve">Não </w:t>
            </w:r>
            <w:r>
              <w:rPr>
                <w:rFonts w:ascii="Arial" w:hAnsi="Arial"/>
                <w:b/>
                <w:spacing w:val="-2"/>
                <w:sz w:val="18"/>
              </w:rPr>
              <w:t>Circulante</w:t>
            </w:r>
          </w:p>
        </w:tc>
        <w:tc>
          <w:tcPr>
            <w:tcW w:w="1282" w:type="dxa"/>
          </w:tcPr>
          <w:p w14:paraId="162E3648" w14:textId="77777777" w:rsidR="002C6574" w:rsidRDefault="00000000">
            <w:pPr>
              <w:pStyle w:val="TableParagraph"/>
              <w:spacing w:before="15" w:line="201" w:lineRule="exact"/>
              <w:ind w:right="61"/>
              <w:rPr>
                <w:rFonts w:ascii="Arial"/>
                <w:b/>
                <w:sz w:val="18"/>
              </w:rPr>
            </w:pPr>
            <w:r>
              <w:rPr>
                <w:rFonts w:ascii="Arial"/>
                <w:b/>
                <w:spacing w:val="-2"/>
                <w:sz w:val="18"/>
              </w:rPr>
              <w:t>66.303</w:t>
            </w:r>
          </w:p>
        </w:tc>
        <w:tc>
          <w:tcPr>
            <w:tcW w:w="1140" w:type="dxa"/>
          </w:tcPr>
          <w:p w14:paraId="05E53051" w14:textId="77777777" w:rsidR="002C6574" w:rsidRDefault="00000000">
            <w:pPr>
              <w:pStyle w:val="TableParagraph"/>
              <w:spacing w:before="15" w:line="201" w:lineRule="exact"/>
              <w:ind w:right="58"/>
              <w:rPr>
                <w:rFonts w:ascii="Arial"/>
                <w:b/>
                <w:sz w:val="18"/>
              </w:rPr>
            </w:pPr>
            <w:r>
              <w:rPr>
                <w:rFonts w:ascii="Arial"/>
                <w:b/>
                <w:spacing w:val="-2"/>
                <w:sz w:val="18"/>
              </w:rPr>
              <w:t>1.657</w:t>
            </w:r>
          </w:p>
        </w:tc>
        <w:tc>
          <w:tcPr>
            <w:tcW w:w="1061" w:type="dxa"/>
          </w:tcPr>
          <w:p w14:paraId="447B43D4" w14:textId="77777777" w:rsidR="002C6574" w:rsidRDefault="00000000">
            <w:pPr>
              <w:pStyle w:val="TableParagraph"/>
              <w:spacing w:before="15" w:line="201" w:lineRule="exact"/>
              <w:ind w:right="59"/>
              <w:rPr>
                <w:rFonts w:ascii="Arial"/>
                <w:b/>
                <w:sz w:val="18"/>
              </w:rPr>
            </w:pPr>
            <w:r>
              <w:rPr>
                <w:rFonts w:ascii="Arial"/>
                <w:b/>
                <w:spacing w:val="-2"/>
                <w:sz w:val="18"/>
              </w:rPr>
              <w:t>64.646</w:t>
            </w:r>
          </w:p>
        </w:tc>
        <w:tc>
          <w:tcPr>
            <w:tcW w:w="1282" w:type="dxa"/>
          </w:tcPr>
          <w:p w14:paraId="47E602E4" w14:textId="77777777" w:rsidR="002C6574" w:rsidRDefault="00000000">
            <w:pPr>
              <w:pStyle w:val="TableParagraph"/>
              <w:spacing w:before="15" w:line="201" w:lineRule="exact"/>
              <w:ind w:right="59"/>
              <w:rPr>
                <w:rFonts w:ascii="Arial"/>
                <w:b/>
                <w:sz w:val="18"/>
              </w:rPr>
            </w:pPr>
            <w:r>
              <w:rPr>
                <w:rFonts w:ascii="Arial"/>
                <w:b/>
                <w:spacing w:val="-2"/>
                <w:sz w:val="18"/>
              </w:rPr>
              <w:t>59.881</w:t>
            </w:r>
          </w:p>
        </w:tc>
        <w:tc>
          <w:tcPr>
            <w:tcW w:w="1102" w:type="dxa"/>
          </w:tcPr>
          <w:p w14:paraId="5E09CDBA" w14:textId="77777777" w:rsidR="002C6574" w:rsidRDefault="00000000">
            <w:pPr>
              <w:pStyle w:val="TableParagraph"/>
              <w:spacing w:before="15" w:line="201" w:lineRule="exact"/>
              <w:ind w:right="60"/>
              <w:rPr>
                <w:rFonts w:ascii="Arial"/>
                <w:b/>
                <w:sz w:val="18"/>
              </w:rPr>
            </w:pPr>
            <w:r>
              <w:rPr>
                <w:rFonts w:ascii="Arial"/>
                <w:b/>
                <w:spacing w:val="-2"/>
                <w:sz w:val="18"/>
              </w:rPr>
              <w:t>2.113</w:t>
            </w:r>
          </w:p>
        </w:tc>
        <w:tc>
          <w:tcPr>
            <w:tcW w:w="1032" w:type="dxa"/>
          </w:tcPr>
          <w:p w14:paraId="39263DCD" w14:textId="77777777" w:rsidR="002C6574" w:rsidRDefault="00000000">
            <w:pPr>
              <w:pStyle w:val="TableParagraph"/>
              <w:spacing w:before="15" w:line="201" w:lineRule="exact"/>
              <w:ind w:right="59"/>
              <w:rPr>
                <w:rFonts w:ascii="Arial"/>
                <w:b/>
                <w:sz w:val="18"/>
              </w:rPr>
            </w:pPr>
            <w:r>
              <w:rPr>
                <w:rFonts w:ascii="Arial"/>
                <w:b/>
                <w:spacing w:val="-2"/>
                <w:sz w:val="18"/>
              </w:rPr>
              <w:t>57.768</w:t>
            </w:r>
          </w:p>
        </w:tc>
      </w:tr>
    </w:tbl>
    <w:p w14:paraId="0B2F85B3" w14:textId="77777777" w:rsidR="002C6574" w:rsidRDefault="002C6574">
      <w:pPr>
        <w:pStyle w:val="Corpodetexto"/>
        <w:spacing w:before="26"/>
        <w:rPr>
          <w:rFonts w:ascii="Arial"/>
          <w:b/>
        </w:rPr>
      </w:pPr>
    </w:p>
    <w:p w14:paraId="3928DE79" w14:textId="77777777" w:rsidR="002C6574" w:rsidRDefault="00000000">
      <w:pPr>
        <w:pStyle w:val="PargrafodaLista"/>
        <w:numPr>
          <w:ilvl w:val="2"/>
          <w:numId w:val="36"/>
        </w:numPr>
        <w:tabs>
          <w:tab w:val="left" w:pos="990"/>
        </w:tabs>
        <w:ind w:left="990" w:hanging="847"/>
        <w:rPr>
          <w:rFonts w:ascii="Arial" w:hAnsi="Arial"/>
          <w:b/>
        </w:rPr>
      </w:pPr>
      <w:r>
        <w:rPr>
          <w:rFonts w:ascii="Arial" w:hAnsi="Arial"/>
          <w:b/>
        </w:rPr>
        <w:t>Natureza</w:t>
      </w:r>
      <w:r>
        <w:rPr>
          <w:rFonts w:ascii="Arial" w:hAnsi="Arial"/>
          <w:b/>
          <w:spacing w:val="-2"/>
        </w:rPr>
        <w:t xml:space="preserve"> </w:t>
      </w:r>
      <w:r>
        <w:rPr>
          <w:rFonts w:ascii="Arial" w:hAnsi="Arial"/>
          <w:b/>
        </w:rPr>
        <w:t>das</w:t>
      </w:r>
      <w:r>
        <w:rPr>
          <w:rFonts w:ascii="Arial" w:hAnsi="Arial"/>
          <w:b/>
          <w:spacing w:val="-4"/>
        </w:rPr>
        <w:t xml:space="preserve"> </w:t>
      </w:r>
      <w:r>
        <w:rPr>
          <w:rFonts w:ascii="Arial" w:hAnsi="Arial"/>
          <w:b/>
        </w:rPr>
        <w:t>ações</w:t>
      </w:r>
      <w:r>
        <w:rPr>
          <w:rFonts w:ascii="Arial" w:hAnsi="Arial"/>
          <w:b/>
          <w:spacing w:val="-3"/>
        </w:rPr>
        <w:t xml:space="preserve"> </w:t>
      </w:r>
      <w:r>
        <w:rPr>
          <w:rFonts w:ascii="Arial" w:hAnsi="Arial"/>
          <w:b/>
          <w:spacing w:val="-2"/>
        </w:rPr>
        <w:t>judiciais</w:t>
      </w:r>
    </w:p>
    <w:p w14:paraId="6FEB9581" w14:textId="77777777" w:rsidR="002C6574" w:rsidRDefault="00000000">
      <w:pPr>
        <w:pStyle w:val="Corpodetexto"/>
        <w:spacing w:before="88" w:line="237" w:lineRule="auto"/>
        <w:ind w:left="143" w:right="706"/>
        <w:jc w:val="both"/>
      </w:pPr>
      <w:r>
        <w:t xml:space="preserve">Os detalhes sobre as principais provisões para riscos prováveis de acordo com a natureza das ações </w:t>
      </w:r>
      <w:r>
        <w:rPr>
          <w:w w:val="105"/>
        </w:rPr>
        <w:t>são</w:t>
      </w:r>
      <w:r>
        <w:rPr>
          <w:spacing w:val="-6"/>
          <w:w w:val="105"/>
        </w:rPr>
        <w:t xml:space="preserve"> </w:t>
      </w:r>
      <w:r>
        <w:rPr>
          <w:w w:val="105"/>
        </w:rPr>
        <w:t>como</w:t>
      </w:r>
      <w:r>
        <w:rPr>
          <w:spacing w:val="-10"/>
          <w:w w:val="105"/>
        </w:rPr>
        <w:t xml:space="preserve"> </w:t>
      </w:r>
      <w:r>
        <w:rPr>
          <w:w w:val="105"/>
        </w:rPr>
        <w:t>segue,</w:t>
      </w:r>
      <w:r>
        <w:rPr>
          <w:spacing w:val="-7"/>
          <w:w w:val="105"/>
        </w:rPr>
        <w:t xml:space="preserve"> </w:t>
      </w:r>
      <w:r>
        <w:rPr>
          <w:w w:val="105"/>
        </w:rPr>
        <w:t>sendo</w:t>
      </w:r>
      <w:r>
        <w:rPr>
          <w:spacing w:val="-10"/>
          <w:w w:val="105"/>
        </w:rPr>
        <w:t xml:space="preserve"> </w:t>
      </w:r>
      <w:r>
        <w:rPr>
          <w:w w:val="105"/>
        </w:rPr>
        <w:t>a</w:t>
      </w:r>
      <w:r>
        <w:rPr>
          <w:spacing w:val="-8"/>
          <w:w w:val="105"/>
        </w:rPr>
        <w:t xml:space="preserve"> </w:t>
      </w:r>
      <w:r>
        <w:rPr>
          <w:w w:val="105"/>
        </w:rPr>
        <w:t>melhor</w:t>
      </w:r>
      <w:r>
        <w:rPr>
          <w:spacing w:val="-8"/>
          <w:w w:val="105"/>
        </w:rPr>
        <w:t xml:space="preserve"> </w:t>
      </w:r>
      <w:r>
        <w:rPr>
          <w:w w:val="105"/>
        </w:rPr>
        <w:t>expectativa</w:t>
      </w:r>
      <w:r>
        <w:rPr>
          <w:spacing w:val="-9"/>
          <w:w w:val="105"/>
        </w:rPr>
        <w:t xml:space="preserve"> </w:t>
      </w:r>
      <w:r>
        <w:rPr>
          <w:w w:val="105"/>
        </w:rPr>
        <w:t>dos</w:t>
      </w:r>
      <w:r>
        <w:rPr>
          <w:spacing w:val="-11"/>
          <w:w w:val="105"/>
        </w:rPr>
        <w:t xml:space="preserve"> </w:t>
      </w:r>
      <w:r>
        <w:rPr>
          <w:w w:val="105"/>
        </w:rPr>
        <w:t>desembolsos</w:t>
      </w:r>
      <w:r>
        <w:rPr>
          <w:spacing w:val="-11"/>
          <w:w w:val="105"/>
        </w:rPr>
        <w:t xml:space="preserve"> </w:t>
      </w:r>
      <w:r>
        <w:rPr>
          <w:w w:val="105"/>
        </w:rPr>
        <w:t>futuros</w:t>
      </w:r>
      <w:r>
        <w:rPr>
          <w:spacing w:val="-8"/>
          <w:w w:val="105"/>
        </w:rPr>
        <w:t xml:space="preserve"> </w:t>
      </w:r>
      <w:r>
        <w:rPr>
          <w:w w:val="105"/>
        </w:rPr>
        <w:t>para</w:t>
      </w:r>
      <w:r>
        <w:rPr>
          <w:spacing w:val="-7"/>
          <w:w w:val="105"/>
        </w:rPr>
        <w:t xml:space="preserve"> </w:t>
      </w:r>
      <w:r>
        <w:rPr>
          <w:w w:val="105"/>
        </w:rPr>
        <w:t>esses</w:t>
      </w:r>
      <w:r>
        <w:rPr>
          <w:spacing w:val="-6"/>
          <w:w w:val="105"/>
        </w:rPr>
        <w:t xml:space="preserve"> </w:t>
      </w:r>
      <w:r>
        <w:rPr>
          <w:w w:val="105"/>
        </w:rPr>
        <w:t>processos:</w:t>
      </w:r>
    </w:p>
    <w:p w14:paraId="3BD375FE" w14:textId="77777777" w:rsidR="002C6574" w:rsidRDefault="002C6574">
      <w:pPr>
        <w:pStyle w:val="Corpodetexto"/>
        <w:spacing w:before="2"/>
        <w:rPr>
          <w:sz w:val="14"/>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4"/>
        <w:gridCol w:w="1258"/>
        <w:gridCol w:w="1272"/>
        <w:gridCol w:w="1258"/>
        <w:gridCol w:w="1270"/>
      </w:tblGrid>
      <w:tr w:rsidR="002C6574" w14:paraId="4BF425A3" w14:textId="77777777">
        <w:trPr>
          <w:trHeight w:val="239"/>
        </w:trPr>
        <w:tc>
          <w:tcPr>
            <w:tcW w:w="4714" w:type="dxa"/>
            <w:vMerge w:val="restart"/>
            <w:shd w:val="clear" w:color="auto" w:fill="D8D8D8"/>
          </w:tcPr>
          <w:p w14:paraId="3A625C21" w14:textId="77777777" w:rsidR="002C6574" w:rsidRDefault="002C6574">
            <w:pPr>
              <w:pStyle w:val="TableParagraph"/>
              <w:jc w:val="left"/>
              <w:rPr>
                <w:sz w:val="18"/>
              </w:rPr>
            </w:pPr>
          </w:p>
          <w:p w14:paraId="6A752312" w14:textId="77777777" w:rsidR="002C6574" w:rsidRDefault="002C6574">
            <w:pPr>
              <w:pStyle w:val="TableParagraph"/>
              <w:spacing w:before="127"/>
              <w:jc w:val="left"/>
              <w:rPr>
                <w:sz w:val="18"/>
              </w:rPr>
            </w:pPr>
          </w:p>
          <w:p w14:paraId="2ACF5583" w14:textId="77777777" w:rsidR="002C6574" w:rsidRDefault="00000000">
            <w:pPr>
              <w:pStyle w:val="TableParagraph"/>
              <w:ind w:left="69"/>
              <w:jc w:val="left"/>
              <w:rPr>
                <w:rFonts w:ascii="Arial" w:hAnsi="Arial"/>
                <w:b/>
                <w:sz w:val="18"/>
              </w:rPr>
            </w:pPr>
            <w:r>
              <w:rPr>
                <w:rFonts w:ascii="Arial" w:hAnsi="Arial"/>
                <w:b/>
                <w:sz w:val="18"/>
              </w:rPr>
              <w:t>Natureza/Objeto</w:t>
            </w:r>
            <w:r>
              <w:rPr>
                <w:rFonts w:ascii="Arial" w:hAnsi="Arial"/>
                <w:b/>
                <w:spacing w:val="-4"/>
                <w:sz w:val="18"/>
              </w:rPr>
              <w:t xml:space="preserve"> </w:t>
            </w:r>
            <w:r>
              <w:rPr>
                <w:rFonts w:ascii="Arial" w:hAnsi="Arial"/>
                <w:b/>
                <w:sz w:val="18"/>
              </w:rPr>
              <w:t xml:space="preserve">das </w:t>
            </w:r>
            <w:r>
              <w:rPr>
                <w:rFonts w:ascii="Arial" w:hAnsi="Arial"/>
                <w:b/>
                <w:spacing w:val="-2"/>
                <w:sz w:val="18"/>
              </w:rPr>
              <w:t>Ações</w:t>
            </w:r>
          </w:p>
        </w:tc>
        <w:tc>
          <w:tcPr>
            <w:tcW w:w="3788" w:type="dxa"/>
            <w:gridSpan w:val="3"/>
          </w:tcPr>
          <w:p w14:paraId="6F10529C" w14:textId="77777777" w:rsidR="002C6574" w:rsidRDefault="00000000">
            <w:pPr>
              <w:pStyle w:val="TableParagraph"/>
              <w:spacing w:line="206" w:lineRule="exact"/>
              <w:ind w:left="6"/>
              <w:jc w:val="center"/>
              <w:rPr>
                <w:rFonts w:ascii="Arial"/>
                <w:b/>
                <w:sz w:val="18"/>
              </w:rPr>
            </w:pPr>
            <w:r>
              <w:rPr>
                <w:rFonts w:ascii="Arial"/>
                <w:b/>
                <w:spacing w:val="-2"/>
                <w:sz w:val="18"/>
              </w:rPr>
              <w:t>31/12/2025</w:t>
            </w:r>
          </w:p>
        </w:tc>
        <w:tc>
          <w:tcPr>
            <w:tcW w:w="1270" w:type="dxa"/>
          </w:tcPr>
          <w:p w14:paraId="603E2A93" w14:textId="77777777" w:rsidR="002C6574" w:rsidRDefault="00000000">
            <w:pPr>
              <w:pStyle w:val="TableParagraph"/>
              <w:spacing w:line="206" w:lineRule="exact"/>
              <w:ind w:left="67"/>
              <w:jc w:val="left"/>
              <w:rPr>
                <w:rFonts w:ascii="Arial"/>
                <w:b/>
                <w:sz w:val="18"/>
              </w:rPr>
            </w:pPr>
            <w:r>
              <w:rPr>
                <w:rFonts w:ascii="Arial"/>
                <w:b/>
                <w:spacing w:val="-2"/>
                <w:sz w:val="18"/>
              </w:rPr>
              <w:t>31/12/2024</w:t>
            </w:r>
          </w:p>
        </w:tc>
      </w:tr>
      <w:tr w:rsidR="002C6574" w14:paraId="42CA7A14" w14:textId="77777777">
        <w:trPr>
          <w:trHeight w:val="952"/>
        </w:trPr>
        <w:tc>
          <w:tcPr>
            <w:tcW w:w="4714" w:type="dxa"/>
            <w:vMerge/>
            <w:tcBorders>
              <w:top w:val="nil"/>
            </w:tcBorders>
            <w:shd w:val="clear" w:color="auto" w:fill="D8D8D8"/>
          </w:tcPr>
          <w:p w14:paraId="7054CF0E" w14:textId="77777777" w:rsidR="002C6574" w:rsidRDefault="002C6574">
            <w:pPr>
              <w:rPr>
                <w:sz w:val="2"/>
                <w:szCs w:val="2"/>
              </w:rPr>
            </w:pPr>
          </w:p>
        </w:tc>
        <w:tc>
          <w:tcPr>
            <w:tcW w:w="1258" w:type="dxa"/>
          </w:tcPr>
          <w:p w14:paraId="00983B0F" w14:textId="77777777" w:rsidR="002C6574" w:rsidRDefault="002C6574">
            <w:pPr>
              <w:pStyle w:val="TableParagraph"/>
              <w:spacing w:before="117"/>
              <w:jc w:val="left"/>
              <w:rPr>
                <w:sz w:val="18"/>
              </w:rPr>
            </w:pPr>
          </w:p>
          <w:p w14:paraId="6B1E625F" w14:textId="77777777" w:rsidR="002C6574" w:rsidRDefault="00000000">
            <w:pPr>
              <w:pStyle w:val="TableParagraph"/>
              <w:ind w:left="196"/>
              <w:jc w:val="left"/>
              <w:rPr>
                <w:rFonts w:ascii="Arial" w:hAnsi="Arial"/>
                <w:b/>
                <w:sz w:val="18"/>
              </w:rPr>
            </w:pPr>
            <w:r>
              <w:rPr>
                <w:rFonts w:ascii="Arial" w:hAnsi="Arial"/>
                <w:b/>
                <w:spacing w:val="-2"/>
                <w:sz w:val="18"/>
              </w:rPr>
              <w:t>Provisões</w:t>
            </w:r>
          </w:p>
        </w:tc>
        <w:tc>
          <w:tcPr>
            <w:tcW w:w="1272" w:type="dxa"/>
          </w:tcPr>
          <w:p w14:paraId="07B0D200" w14:textId="77777777" w:rsidR="002C6574" w:rsidRDefault="00000000">
            <w:pPr>
              <w:pStyle w:val="TableParagraph"/>
              <w:spacing w:before="236" w:line="276" w:lineRule="auto"/>
              <w:ind w:left="248" w:hanging="51"/>
              <w:jc w:val="left"/>
              <w:rPr>
                <w:rFonts w:ascii="Arial" w:hAnsi="Arial"/>
                <w:b/>
                <w:sz w:val="18"/>
              </w:rPr>
            </w:pPr>
            <w:r>
              <w:rPr>
                <w:rFonts w:ascii="Arial" w:hAnsi="Arial"/>
                <w:b/>
                <w:spacing w:val="-2"/>
                <w:sz w:val="18"/>
              </w:rPr>
              <w:t>Depósitos Judiciais</w:t>
            </w:r>
          </w:p>
        </w:tc>
        <w:tc>
          <w:tcPr>
            <w:tcW w:w="1258" w:type="dxa"/>
          </w:tcPr>
          <w:p w14:paraId="2574EFD7" w14:textId="77777777" w:rsidR="002C6574" w:rsidRDefault="00000000">
            <w:pPr>
              <w:pStyle w:val="TableParagraph"/>
              <w:spacing w:before="236" w:line="276" w:lineRule="auto"/>
              <w:ind w:left="255" w:hanging="63"/>
              <w:jc w:val="left"/>
              <w:rPr>
                <w:rFonts w:ascii="Arial" w:hAnsi="Arial"/>
                <w:b/>
                <w:sz w:val="18"/>
              </w:rPr>
            </w:pPr>
            <w:r>
              <w:rPr>
                <w:rFonts w:ascii="Arial" w:hAnsi="Arial"/>
                <w:b/>
                <w:spacing w:val="-2"/>
                <w:sz w:val="18"/>
              </w:rPr>
              <w:t>Provisões Líquidas</w:t>
            </w:r>
          </w:p>
        </w:tc>
        <w:tc>
          <w:tcPr>
            <w:tcW w:w="1270" w:type="dxa"/>
          </w:tcPr>
          <w:p w14:paraId="1221DA88" w14:textId="77777777" w:rsidR="002C6574" w:rsidRDefault="00000000">
            <w:pPr>
              <w:pStyle w:val="TableParagraph"/>
              <w:spacing w:line="276" w:lineRule="auto"/>
              <w:ind w:left="9" w:right="4"/>
              <w:jc w:val="center"/>
              <w:rPr>
                <w:rFonts w:ascii="Arial" w:hAnsi="Arial"/>
                <w:b/>
                <w:sz w:val="18"/>
              </w:rPr>
            </w:pPr>
            <w:r>
              <w:rPr>
                <w:rFonts w:ascii="Arial" w:hAnsi="Arial"/>
                <w:b/>
                <w:spacing w:val="-2"/>
                <w:sz w:val="18"/>
              </w:rPr>
              <w:t xml:space="preserve">Provisão </w:t>
            </w:r>
            <w:r>
              <w:rPr>
                <w:rFonts w:ascii="Arial" w:hAnsi="Arial"/>
                <w:b/>
                <w:sz w:val="18"/>
              </w:rPr>
              <w:t>Líquida</w:t>
            </w:r>
            <w:r>
              <w:rPr>
                <w:rFonts w:ascii="Arial" w:hAnsi="Arial"/>
                <w:b/>
                <w:spacing w:val="-13"/>
                <w:sz w:val="18"/>
              </w:rPr>
              <w:t xml:space="preserve"> </w:t>
            </w:r>
            <w:r>
              <w:rPr>
                <w:rFonts w:ascii="Arial" w:hAnsi="Arial"/>
                <w:b/>
                <w:sz w:val="18"/>
              </w:rPr>
              <w:t xml:space="preserve">dos </w:t>
            </w:r>
            <w:r>
              <w:rPr>
                <w:rFonts w:ascii="Arial" w:hAnsi="Arial"/>
                <w:b/>
                <w:spacing w:val="-2"/>
                <w:sz w:val="18"/>
              </w:rPr>
              <w:t>Depósitos</w:t>
            </w:r>
          </w:p>
          <w:p w14:paraId="37C95B90" w14:textId="77777777" w:rsidR="002C6574" w:rsidRDefault="00000000">
            <w:pPr>
              <w:pStyle w:val="TableParagraph"/>
              <w:spacing w:line="206" w:lineRule="exact"/>
              <w:ind w:left="9"/>
              <w:jc w:val="center"/>
              <w:rPr>
                <w:rFonts w:ascii="Arial"/>
                <w:b/>
                <w:sz w:val="18"/>
              </w:rPr>
            </w:pPr>
            <w:r>
              <w:rPr>
                <w:rFonts w:ascii="Arial"/>
                <w:b/>
                <w:spacing w:val="-2"/>
                <w:sz w:val="18"/>
              </w:rPr>
              <w:t>Judiciais</w:t>
            </w:r>
          </w:p>
        </w:tc>
      </w:tr>
      <w:tr w:rsidR="002C6574" w14:paraId="1A392ACD" w14:textId="77777777">
        <w:trPr>
          <w:trHeight w:val="237"/>
        </w:trPr>
        <w:tc>
          <w:tcPr>
            <w:tcW w:w="4714" w:type="dxa"/>
            <w:vMerge/>
            <w:tcBorders>
              <w:top w:val="nil"/>
            </w:tcBorders>
            <w:shd w:val="clear" w:color="auto" w:fill="D8D8D8"/>
          </w:tcPr>
          <w:p w14:paraId="6CBA3824" w14:textId="77777777" w:rsidR="002C6574" w:rsidRDefault="002C6574">
            <w:pPr>
              <w:rPr>
                <w:sz w:val="2"/>
                <w:szCs w:val="2"/>
              </w:rPr>
            </w:pPr>
          </w:p>
        </w:tc>
        <w:tc>
          <w:tcPr>
            <w:tcW w:w="1258" w:type="dxa"/>
          </w:tcPr>
          <w:p w14:paraId="3F08A5FA" w14:textId="77777777" w:rsidR="002C6574" w:rsidRDefault="00000000">
            <w:pPr>
              <w:pStyle w:val="TableParagraph"/>
              <w:spacing w:line="206" w:lineRule="exact"/>
              <w:ind w:left="8"/>
              <w:jc w:val="center"/>
              <w:rPr>
                <w:rFonts w:ascii="Arial"/>
                <w:b/>
                <w:sz w:val="18"/>
              </w:rPr>
            </w:pPr>
            <w:r>
              <w:rPr>
                <w:rFonts w:ascii="Arial"/>
                <w:b/>
                <w:spacing w:val="-5"/>
                <w:sz w:val="18"/>
              </w:rPr>
              <w:t>(A)</w:t>
            </w:r>
          </w:p>
        </w:tc>
        <w:tc>
          <w:tcPr>
            <w:tcW w:w="1272" w:type="dxa"/>
          </w:tcPr>
          <w:p w14:paraId="49D44D0C" w14:textId="77777777" w:rsidR="002C6574" w:rsidRDefault="00000000">
            <w:pPr>
              <w:pStyle w:val="TableParagraph"/>
              <w:spacing w:line="206" w:lineRule="exact"/>
              <w:ind w:left="2"/>
              <w:jc w:val="center"/>
              <w:rPr>
                <w:rFonts w:ascii="Arial"/>
                <w:b/>
                <w:sz w:val="18"/>
              </w:rPr>
            </w:pPr>
            <w:r>
              <w:rPr>
                <w:rFonts w:ascii="Arial"/>
                <w:b/>
                <w:spacing w:val="-5"/>
                <w:sz w:val="18"/>
              </w:rPr>
              <w:t>(B)</w:t>
            </w:r>
          </w:p>
        </w:tc>
        <w:tc>
          <w:tcPr>
            <w:tcW w:w="1258" w:type="dxa"/>
          </w:tcPr>
          <w:p w14:paraId="709CAE68" w14:textId="77777777" w:rsidR="002C6574" w:rsidRDefault="00000000">
            <w:pPr>
              <w:pStyle w:val="TableParagraph"/>
              <w:spacing w:line="206" w:lineRule="exact"/>
              <w:ind w:left="404"/>
              <w:jc w:val="left"/>
              <w:rPr>
                <w:rFonts w:ascii="Arial"/>
                <w:b/>
                <w:sz w:val="18"/>
              </w:rPr>
            </w:pPr>
            <w:r>
              <w:rPr>
                <w:rFonts w:ascii="Arial"/>
                <w:b/>
                <w:sz w:val="18"/>
              </w:rPr>
              <w:t>(A-</w:t>
            </w:r>
            <w:r>
              <w:rPr>
                <w:rFonts w:ascii="Arial"/>
                <w:b/>
                <w:spacing w:val="-5"/>
                <w:sz w:val="18"/>
              </w:rPr>
              <w:t>B)</w:t>
            </w:r>
          </w:p>
        </w:tc>
        <w:tc>
          <w:tcPr>
            <w:tcW w:w="1270" w:type="dxa"/>
          </w:tcPr>
          <w:p w14:paraId="45DBBEF2" w14:textId="77777777" w:rsidR="002C6574" w:rsidRDefault="00000000">
            <w:pPr>
              <w:pStyle w:val="TableParagraph"/>
              <w:spacing w:line="206" w:lineRule="exact"/>
              <w:ind w:left="327"/>
              <w:jc w:val="left"/>
              <w:rPr>
                <w:rFonts w:ascii="Arial"/>
                <w:b/>
                <w:sz w:val="18"/>
              </w:rPr>
            </w:pPr>
            <w:r>
              <w:rPr>
                <w:rFonts w:ascii="Arial"/>
                <w:b/>
                <w:spacing w:val="-2"/>
                <w:sz w:val="18"/>
              </w:rPr>
              <w:t>(Saldo)</w:t>
            </w:r>
          </w:p>
        </w:tc>
      </w:tr>
      <w:tr w:rsidR="002C6574" w14:paraId="3957E49D" w14:textId="77777777">
        <w:trPr>
          <w:trHeight w:val="237"/>
        </w:trPr>
        <w:tc>
          <w:tcPr>
            <w:tcW w:w="4714" w:type="dxa"/>
          </w:tcPr>
          <w:p w14:paraId="1E2BA8A2" w14:textId="77777777" w:rsidR="002C6574" w:rsidRDefault="00000000">
            <w:pPr>
              <w:pStyle w:val="TableParagraph"/>
              <w:spacing w:line="206" w:lineRule="exact"/>
              <w:ind w:left="69"/>
              <w:jc w:val="left"/>
              <w:rPr>
                <w:rFonts w:ascii="Arial" w:hAnsi="Arial"/>
                <w:b/>
                <w:sz w:val="18"/>
              </w:rPr>
            </w:pPr>
            <w:r>
              <w:rPr>
                <w:rFonts w:ascii="Arial" w:hAnsi="Arial"/>
                <w:b/>
                <w:spacing w:val="-2"/>
                <w:sz w:val="18"/>
              </w:rPr>
              <w:t>Cíveis</w:t>
            </w:r>
          </w:p>
        </w:tc>
        <w:tc>
          <w:tcPr>
            <w:tcW w:w="1258" w:type="dxa"/>
          </w:tcPr>
          <w:p w14:paraId="0BF0FE23" w14:textId="77777777" w:rsidR="002C6574" w:rsidRDefault="002C6574">
            <w:pPr>
              <w:pStyle w:val="TableParagraph"/>
              <w:jc w:val="left"/>
              <w:rPr>
                <w:rFonts w:ascii="Times New Roman"/>
                <w:sz w:val="16"/>
              </w:rPr>
            </w:pPr>
          </w:p>
        </w:tc>
        <w:tc>
          <w:tcPr>
            <w:tcW w:w="1272" w:type="dxa"/>
          </w:tcPr>
          <w:p w14:paraId="3752296E" w14:textId="77777777" w:rsidR="002C6574" w:rsidRDefault="002C6574">
            <w:pPr>
              <w:pStyle w:val="TableParagraph"/>
              <w:jc w:val="left"/>
              <w:rPr>
                <w:rFonts w:ascii="Times New Roman"/>
                <w:sz w:val="16"/>
              </w:rPr>
            </w:pPr>
          </w:p>
        </w:tc>
        <w:tc>
          <w:tcPr>
            <w:tcW w:w="1258" w:type="dxa"/>
          </w:tcPr>
          <w:p w14:paraId="660C3AF3" w14:textId="77777777" w:rsidR="002C6574" w:rsidRDefault="002C6574">
            <w:pPr>
              <w:pStyle w:val="TableParagraph"/>
              <w:jc w:val="left"/>
              <w:rPr>
                <w:rFonts w:ascii="Times New Roman"/>
                <w:sz w:val="16"/>
              </w:rPr>
            </w:pPr>
          </w:p>
        </w:tc>
        <w:tc>
          <w:tcPr>
            <w:tcW w:w="1270" w:type="dxa"/>
          </w:tcPr>
          <w:p w14:paraId="7E3E5BE2" w14:textId="77777777" w:rsidR="002C6574" w:rsidRDefault="002C6574">
            <w:pPr>
              <w:pStyle w:val="TableParagraph"/>
              <w:jc w:val="left"/>
              <w:rPr>
                <w:rFonts w:ascii="Times New Roman"/>
                <w:sz w:val="16"/>
              </w:rPr>
            </w:pPr>
          </w:p>
        </w:tc>
      </w:tr>
      <w:tr w:rsidR="002C6574" w14:paraId="31566655" w14:textId="77777777">
        <w:trPr>
          <w:trHeight w:val="239"/>
        </w:trPr>
        <w:tc>
          <w:tcPr>
            <w:tcW w:w="4714" w:type="dxa"/>
          </w:tcPr>
          <w:p w14:paraId="7BEA2A15" w14:textId="77777777" w:rsidR="002C6574" w:rsidRDefault="00000000">
            <w:pPr>
              <w:pStyle w:val="TableParagraph"/>
              <w:spacing w:line="213" w:lineRule="exact"/>
              <w:ind w:left="69"/>
              <w:jc w:val="left"/>
              <w:rPr>
                <w:sz w:val="18"/>
              </w:rPr>
            </w:pPr>
            <w:r>
              <w:rPr>
                <w:sz w:val="18"/>
              </w:rPr>
              <w:t>Ilegalidade</w:t>
            </w:r>
            <w:r>
              <w:rPr>
                <w:spacing w:val="4"/>
                <w:sz w:val="18"/>
              </w:rPr>
              <w:t xml:space="preserve"> </w:t>
            </w:r>
            <w:r>
              <w:rPr>
                <w:sz w:val="18"/>
              </w:rPr>
              <w:t>na</w:t>
            </w:r>
            <w:r>
              <w:rPr>
                <w:spacing w:val="9"/>
                <w:sz w:val="18"/>
              </w:rPr>
              <w:t xml:space="preserve"> </w:t>
            </w:r>
            <w:r>
              <w:rPr>
                <w:sz w:val="18"/>
              </w:rPr>
              <w:t>Venda</w:t>
            </w:r>
            <w:r>
              <w:rPr>
                <w:spacing w:val="5"/>
                <w:sz w:val="18"/>
              </w:rPr>
              <w:t xml:space="preserve"> </w:t>
            </w:r>
            <w:r>
              <w:rPr>
                <w:sz w:val="18"/>
              </w:rPr>
              <w:t>de</w:t>
            </w:r>
            <w:r>
              <w:rPr>
                <w:spacing w:val="9"/>
                <w:sz w:val="18"/>
              </w:rPr>
              <w:t xml:space="preserve"> </w:t>
            </w:r>
            <w:r>
              <w:rPr>
                <w:sz w:val="18"/>
              </w:rPr>
              <w:t>Ações</w:t>
            </w:r>
            <w:r>
              <w:rPr>
                <w:spacing w:val="9"/>
                <w:sz w:val="18"/>
              </w:rPr>
              <w:t xml:space="preserve"> </w:t>
            </w:r>
            <w:r>
              <w:rPr>
                <w:spacing w:val="-2"/>
                <w:sz w:val="18"/>
              </w:rPr>
              <w:t>(fraude)</w:t>
            </w:r>
          </w:p>
        </w:tc>
        <w:tc>
          <w:tcPr>
            <w:tcW w:w="1258" w:type="dxa"/>
          </w:tcPr>
          <w:p w14:paraId="615D59AB" w14:textId="77777777" w:rsidR="002C6574" w:rsidRDefault="00000000">
            <w:pPr>
              <w:pStyle w:val="TableParagraph"/>
              <w:spacing w:line="213" w:lineRule="exact"/>
              <w:ind w:right="55"/>
              <w:rPr>
                <w:sz w:val="18"/>
              </w:rPr>
            </w:pPr>
            <w:r>
              <w:rPr>
                <w:spacing w:val="-5"/>
                <w:w w:val="105"/>
                <w:sz w:val="18"/>
              </w:rPr>
              <w:t>406</w:t>
            </w:r>
          </w:p>
        </w:tc>
        <w:tc>
          <w:tcPr>
            <w:tcW w:w="1272" w:type="dxa"/>
          </w:tcPr>
          <w:p w14:paraId="5545E0A4" w14:textId="77777777" w:rsidR="002C6574" w:rsidRDefault="00000000">
            <w:pPr>
              <w:pStyle w:val="TableParagraph"/>
              <w:spacing w:line="213" w:lineRule="exact"/>
              <w:ind w:right="61"/>
              <w:rPr>
                <w:sz w:val="18"/>
              </w:rPr>
            </w:pPr>
            <w:r>
              <w:rPr>
                <w:spacing w:val="-10"/>
                <w:w w:val="105"/>
                <w:sz w:val="18"/>
              </w:rPr>
              <w:t>4</w:t>
            </w:r>
          </w:p>
        </w:tc>
        <w:tc>
          <w:tcPr>
            <w:tcW w:w="1258" w:type="dxa"/>
          </w:tcPr>
          <w:p w14:paraId="74C7E684" w14:textId="77777777" w:rsidR="002C6574" w:rsidRDefault="00000000">
            <w:pPr>
              <w:pStyle w:val="TableParagraph"/>
              <w:spacing w:line="213" w:lineRule="exact"/>
              <w:ind w:right="61"/>
              <w:rPr>
                <w:sz w:val="18"/>
              </w:rPr>
            </w:pPr>
            <w:r>
              <w:rPr>
                <w:spacing w:val="-5"/>
                <w:w w:val="105"/>
                <w:sz w:val="18"/>
              </w:rPr>
              <w:t>402</w:t>
            </w:r>
          </w:p>
        </w:tc>
        <w:tc>
          <w:tcPr>
            <w:tcW w:w="1270" w:type="dxa"/>
          </w:tcPr>
          <w:p w14:paraId="33E34838" w14:textId="77777777" w:rsidR="002C6574" w:rsidRDefault="00000000">
            <w:pPr>
              <w:pStyle w:val="TableParagraph"/>
              <w:spacing w:line="213" w:lineRule="exact"/>
              <w:ind w:right="59"/>
              <w:rPr>
                <w:sz w:val="18"/>
              </w:rPr>
            </w:pPr>
            <w:r>
              <w:rPr>
                <w:spacing w:val="-5"/>
                <w:w w:val="105"/>
                <w:sz w:val="18"/>
              </w:rPr>
              <w:t>358</w:t>
            </w:r>
          </w:p>
        </w:tc>
      </w:tr>
      <w:tr w:rsidR="002C6574" w14:paraId="30DDB325" w14:textId="77777777">
        <w:trPr>
          <w:trHeight w:val="237"/>
        </w:trPr>
        <w:tc>
          <w:tcPr>
            <w:tcW w:w="4714" w:type="dxa"/>
          </w:tcPr>
          <w:p w14:paraId="5AA0AA7C" w14:textId="77777777" w:rsidR="002C6574" w:rsidRDefault="00000000">
            <w:pPr>
              <w:pStyle w:val="TableParagraph"/>
              <w:spacing w:line="213" w:lineRule="exact"/>
              <w:ind w:left="69"/>
              <w:jc w:val="left"/>
              <w:rPr>
                <w:sz w:val="18"/>
              </w:rPr>
            </w:pPr>
            <w:r>
              <w:rPr>
                <w:sz w:val="18"/>
              </w:rPr>
              <w:t>Dividendos</w:t>
            </w:r>
            <w:r>
              <w:rPr>
                <w:spacing w:val="-2"/>
                <w:sz w:val="18"/>
              </w:rPr>
              <w:t xml:space="preserve"> </w:t>
            </w:r>
            <w:r>
              <w:rPr>
                <w:sz w:val="18"/>
              </w:rPr>
              <w:t>sobre</w:t>
            </w:r>
            <w:r>
              <w:rPr>
                <w:spacing w:val="-3"/>
                <w:sz w:val="18"/>
              </w:rPr>
              <w:t xml:space="preserve"> </w:t>
            </w:r>
            <w:r>
              <w:rPr>
                <w:sz w:val="18"/>
              </w:rPr>
              <w:t>o</w:t>
            </w:r>
            <w:r>
              <w:rPr>
                <w:spacing w:val="3"/>
                <w:sz w:val="18"/>
              </w:rPr>
              <w:t xml:space="preserve"> </w:t>
            </w:r>
            <w:r>
              <w:rPr>
                <w:sz w:val="18"/>
              </w:rPr>
              <w:t>Capital</w:t>
            </w:r>
            <w:r>
              <w:rPr>
                <w:spacing w:val="2"/>
                <w:sz w:val="18"/>
              </w:rPr>
              <w:t xml:space="preserve"> </w:t>
            </w:r>
            <w:r>
              <w:rPr>
                <w:sz w:val="18"/>
              </w:rPr>
              <w:t>da</w:t>
            </w:r>
            <w:r>
              <w:rPr>
                <w:spacing w:val="-1"/>
                <w:sz w:val="18"/>
              </w:rPr>
              <w:t xml:space="preserve"> </w:t>
            </w:r>
            <w:r>
              <w:rPr>
                <w:spacing w:val="-2"/>
                <w:sz w:val="18"/>
              </w:rPr>
              <w:t>TELEBRAS</w:t>
            </w:r>
          </w:p>
        </w:tc>
        <w:tc>
          <w:tcPr>
            <w:tcW w:w="1258" w:type="dxa"/>
          </w:tcPr>
          <w:p w14:paraId="60B94E8E" w14:textId="77777777" w:rsidR="002C6574" w:rsidRDefault="00000000">
            <w:pPr>
              <w:pStyle w:val="TableParagraph"/>
              <w:spacing w:line="213" w:lineRule="exact"/>
              <w:ind w:right="56"/>
              <w:rPr>
                <w:sz w:val="18"/>
              </w:rPr>
            </w:pPr>
            <w:r>
              <w:rPr>
                <w:spacing w:val="-2"/>
                <w:w w:val="105"/>
                <w:sz w:val="18"/>
              </w:rPr>
              <w:t>45.909</w:t>
            </w:r>
          </w:p>
        </w:tc>
        <w:tc>
          <w:tcPr>
            <w:tcW w:w="1272" w:type="dxa"/>
          </w:tcPr>
          <w:p w14:paraId="400792ED" w14:textId="77777777" w:rsidR="002C6574" w:rsidRDefault="00000000">
            <w:pPr>
              <w:pStyle w:val="TableParagraph"/>
              <w:spacing w:line="213" w:lineRule="exact"/>
              <w:ind w:right="61"/>
              <w:rPr>
                <w:sz w:val="18"/>
              </w:rPr>
            </w:pPr>
            <w:r>
              <w:rPr>
                <w:spacing w:val="-10"/>
                <w:w w:val="105"/>
                <w:sz w:val="18"/>
              </w:rPr>
              <w:t>0</w:t>
            </w:r>
          </w:p>
        </w:tc>
        <w:tc>
          <w:tcPr>
            <w:tcW w:w="1258" w:type="dxa"/>
          </w:tcPr>
          <w:p w14:paraId="7D9C52CE" w14:textId="77777777" w:rsidR="002C6574" w:rsidRDefault="00000000">
            <w:pPr>
              <w:pStyle w:val="TableParagraph"/>
              <w:spacing w:line="213" w:lineRule="exact"/>
              <w:ind w:right="59"/>
              <w:rPr>
                <w:sz w:val="18"/>
              </w:rPr>
            </w:pPr>
            <w:r>
              <w:rPr>
                <w:spacing w:val="-2"/>
                <w:w w:val="105"/>
                <w:sz w:val="18"/>
              </w:rPr>
              <w:t>45.909</w:t>
            </w:r>
          </w:p>
        </w:tc>
        <w:tc>
          <w:tcPr>
            <w:tcW w:w="1270" w:type="dxa"/>
          </w:tcPr>
          <w:p w14:paraId="71219854" w14:textId="77777777" w:rsidR="002C6574" w:rsidRDefault="00000000">
            <w:pPr>
              <w:pStyle w:val="TableParagraph"/>
              <w:spacing w:line="213" w:lineRule="exact"/>
              <w:ind w:right="57"/>
              <w:rPr>
                <w:sz w:val="18"/>
              </w:rPr>
            </w:pPr>
            <w:r>
              <w:rPr>
                <w:spacing w:val="-2"/>
                <w:w w:val="105"/>
                <w:sz w:val="18"/>
              </w:rPr>
              <w:t>41.728</w:t>
            </w:r>
          </w:p>
        </w:tc>
      </w:tr>
      <w:tr w:rsidR="002C6574" w14:paraId="099BC249" w14:textId="77777777">
        <w:trPr>
          <w:trHeight w:val="237"/>
        </w:trPr>
        <w:tc>
          <w:tcPr>
            <w:tcW w:w="4714" w:type="dxa"/>
          </w:tcPr>
          <w:p w14:paraId="442E6A2F" w14:textId="77777777" w:rsidR="002C6574" w:rsidRDefault="00000000">
            <w:pPr>
              <w:pStyle w:val="TableParagraph"/>
              <w:spacing w:line="213" w:lineRule="exact"/>
              <w:ind w:left="69"/>
              <w:jc w:val="left"/>
              <w:rPr>
                <w:sz w:val="18"/>
              </w:rPr>
            </w:pPr>
            <w:r>
              <w:rPr>
                <w:sz w:val="18"/>
              </w:rPr>
              <w:t>Diferença</w:t>
            </w:r>
            <w:r>
              <w:rPr>
                <w:spacing w:val="10"/>
                <w:sz w:val="18"/>
              </w:rPr>
              <w:t xml:space="preserve"> </w:t>
            </w:r>
            <w:r>
              <w:rPr>
                <w:sz w:val="18"/>
              </w:rPr>
              <w:t>de</w:t>
            </w:r>
            <w:r>
              <w:rPr>
                <w:spacing w:val="11"/>
                <w:sz w:val="18"/>
              </w:rPr>
              <w:t xml:space="preserve"> </w:t>
            </w:r>
            <w:r>
              <w:rPr>
                <w:sz w:val="18"/>
              </w:rPr>
              <w:t>Ações</w:t>
            </w:r>
            <w:r>
              <w:rPr>
                <w:spacing w:val="14"/>
                <w:sz w:val="18"/>
              </w:rPr>
              <w:t xml:space="preserve"> </w:t>
            </w:r>
            <w:r>
              <w:rPr>
                <w:sz w:val="18"/>
              </w:rPr>
              <w:t>(inclusive</w:t>
            </w:r>
            <w:r>
              <w:rPr>
                <w:spacing w:val="8"/>
                <w:sz w:val="18"/>
              </w:rPr>
              <w:t xml:space="preserve"> </w:t>
            </w:r>
            <w:r>
              <w:rPr>
                <w:sz w:val="18"/>
              </w:rPr>
              <w:t>Conversão</w:t>
            </w:r>
            <w:r>
              <w:rPr>
                <w:spacing w:val="12"/>
                <w:sz w:val="18"/>
              </w:rPr>
              <w:t xml:space="preserve"> </w:t>
            </w:r>
            <w:r>
              <w:rPr>
                <w:sz w:val="18"/>
              </w:rPr>
              <w:t>de</w:t>
            </w:r>
            <w:r>
              <w:rPr>
                <w:spacing w:val="11"/>
                <w:sz w:val="18"/>
              </w:rPr>
              <w:t xml:space="preserve"> </w:t>
            </w:r>
            <w:r>
              <w:rPr>
                <w:spacing w:val="-2"/>
                <w:sz w:val="18"/>
              </w:rPr>
              <w:t>Debêntures)</w:t>
            </w:r>
          </w:p>
        </w:tc>
        <w:tc>
          <w:tcPr>
            <w:tcW w:w="1258" w:type="dxa"/>
          </w:tcPr>
          <w:p w14:paraId="43AC5B73" w14:textId="77777777" w:rsidR="002C6574" w:rsidRDefault="00000000">
            <w:pPr>
              <w:pStyle w:val="TableParagraph"/>
              <w:spacing w:line="213" w:lineRule="exact"/>
              <w:ind w:right="56"/>
              <w:rPr>
                <w:sz w:val="18"/>
              </w:rPr>
            </w:pPr>
            <w:r>
              <w:rPr>
                <w:spacing w:val="-2"/>
                <w:w w:val="110"/>
                <w:sz w:val="18"/>
              </w:rPr>
              <w:t>5.516</w:t>
            </w:r>
          </w:p>
        </w:tc>
        <w:tc>
          <w:tcPr>
            <w:tcW w:w="1272" w:type="dxa"/>
          </w:tcPr>
          <w:p w14:paraId="463D2477" w14:textId="77777777" w:rsidR="002C6574" w:rsidRDefault="00000000">
            <w:pPr>
              <w:pStyle w:val="TableParagraph"/>
              <w:spacing w:line="213" w:lineRule="exact"/>
              <w:ind w:right="60"/>
              <w:rPr>
                <w:sz w:val="18"/>
              </w:rPr>
            </w:pPr>
            <w:r>
              <w:rPr>
                <w:spacing w:val="-5"/>
                <w:w w:val="105"/>
                <w:sz w:val="18"/>
              </w:rPr>
              <w:t>169</w:t>
            </w:r>
          </w:p>
        </w:tc>
        <w:tc>
          <w:tcPr>
            <w:tcW w:w="1258" w:type="dxa"/>
          </w:tcPr>
          <w:p w14:paraId="32ACD354" w14:textId="77777777" w:rsidR="002C6574" w:rsidRDefault="00000000">
            <w:pPr>
              <w:pStyle w:val="TableParagraph"/>
              <w:spacing w:line="213" w:lineRule="exact"/>
              <w:ind w:right="59"/>
              <w:rPr>
                <w:sz w:val="18"/>
              </w:rPr>
            </w:pPr>
            <w:r>
              <w:rPr>
                <w:spacing w:val="-2"/>
                <w:w w:val="110"/>
                <w:sz w:val="18"/>
              </w:rPr>
              <w:t>5.347</w:t>
            </w:r>
          </w:p>
        </w:tc>
        <w:tc>
          <w:tcPr>
            <w:tcW w:w="1270" w:type="dxa"/>
          </w:tcPr>
          <w:p w14:paraId="2B341F26" w14:textId="77777777" w:rsidR="002C6574" w:rsidRDefault="00000000">
            <w:pPr>
              <w:pStyle w:val="TableParagraph"/>
              <w:spacing w:line="213" w:lineRule="exact"/>
              <w:ind w:right="57"/>
              <w:rPr>
                <w:sz w:val="18"/>
              </w:rPr>
            </w:pPr>
            <w:r>
              <w:rPr>
                <w:spacing w:val="-2"/>
                <w:w w:val="110"/>
                <w:sz w:val="18"/>
              </w:rPr>
              <w:t>4.873</w:t>
            </w:r>
          </w:p>
        </w:tc>
      </w:tr>
    </w:tbl>
    <w:p w14:paraId="377916F4" w14:textId="77777777" w:rsidR="002C6574" w:rsidRDefault="002C6574">
      <w:pPr>
        <w:pStyle w:val="TableParagraph"/>
        <w:spacing w:line="213" w:lineRule="exact"/>
        <w:rPr>
          <w:sz w:val="18"/>
        </w:rPr>
        <w:sectPr w:rsidR="002C6574">
          <w:pgSz w:w="11910" w:h="16840"/>
          <w:pgMar w:top="1600" w:right="141" w:bottom="1320" w:left="1133" w:header="856" w:footer="1125" w:gutter="0"/>
          <w:cols w:space="720"/>
        </w:sectPr>
      </w:pPr>
    </w:p>
    <w:p w14:paraId="3B725D77" w14:textId="77777777" w:rsidR="002C6574" w:rsidRDefault="002C6574">
      <w:pPr>
        <w:pStyle w:val="Corpodetexto"/>
        <w:spacing w:before="3"/>
        <w:rPr>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4"/>
        <w:gridCol w:w="1258"/>
        <w:gridCol w:w="1272"/>
        <w:gridCol w:w="1258"/>
        <w:gridCol w:w="1270"/>
      </w:tblGrid>
      <w:tr w:rsidR="002C6574" w14:paraId="11524DDA" w14:textId="77777777">
        <w:trPr>
          <w:trHeight w:val="239"/>
        </w:trPr>
        <w:tc>
          <w:tcPr>
            <w:tcW w:w="4714" w:type="dxa"/>
            <w:vMerge w:val="restart"/>
            <w:shd w:val="clear" w:color="auto" w:fill="D8D8D8"/>
          </w:tcPr>
          <w:p w14:paraId="2D787B5E" w14:textId="77777777" w:rsidR="002C6574" w:rsidRDefault="002C6574">
            <w:pPr>
              <w:pStyle w:val="TableParagraph"/>
              <w:jc w:val="left"/>
              <w:rPr>
                <w:sz w:val="18"/>
              </w:rPr>
            </w:pPr>
          </w:p>
          <w:p w14:paraId="02219686" w14:textId="77777777" w:rsidR="002C6574" w:rsidRDefault="002C6574">
            <w:pPr>
              <w:pStyle w:val="TableParagraph"/>
              <w:spacing w:before="124"/>
              <w:jc w:val="left"/>
              <w:rPr>
                <w:sz w:val="18"/>
              </w:rPr>
            </w:pPr>
          </w:p>
          <w:p w14:paraId="5D985032" w14:textId="77777777" w:rsidR="002C6574" w:rsidRDefault="00000000">
            <w:pPr>
              <w:pStyle w:val="TableParagraph"/>
              <w:spacing w:before="1"/>
              <w:ind w:left="69"/>
              <w:jc w:val="left"/>
              <w:rPr>
                <w:rFonts w:ascii="Arial" w:hAnsi="Arial"/>
                <w:b/>
                <w:sz w:val="18"/>
              </w:rPr>
            </w:pPr>
            <w:r>
              <w:rPr>
                <w:rFonts w:ascii="Arial" w:hAnsi="Arial"/>
                <w:b/>
                <w:sz w:val="18"/>
              </w:rPr>
              <w:t>Natureza/Objeto</w:t>
            </w:r>
            <w:r>
              <w:rPr>
                <w:rFonts w:ascii="Arial" w:hAnsi="Arial"/>
                <w:b/>
                <w:spacing w:val="-4"/>
                <w:sz w:val="18"/>
              </w:rPr>
              <w:t xml:space="preserve"> </w:t>
            </w:r>
            <w:r>
              <w:rPr>
                <w:rFonts w:ascii="Arial" w:hAnsi="Arial"/>
                <w:b/>
                <w:sz w:val="18"/>
              </w:rPr>
              <w:t xml:space="preserve">das </w:t>
            </w:r>
            <w:r>
              <w:rPr>
                <w:rFonts w:ascii="Arial" w:hAnsi="Arial"/>
                <w:b/>
                <w:spacing w:val="-2"/>
                <w:sz w:val="18"/>
              </w:rPr>
              <w:t>Ações</w:t>
            </w:r>
          </w:p>
        </w:tc>
        <w:tc>
          <w:tcPr>
            <w:tcW w:w="3788" w:type="dxa"/>
            <w:gridSpan w:val="3"/>
          </w:tcPr>
          <w:p w14:paraId="37496CE0" w14:textId="77777777" w:rsidR="002C6574" w:rsidRDefault="00000000">
            <w:pPr>
              <w:pStyle w:val="TableParagraph"/>
              <w:spacing w:line="206" w:lineRule="exact"/>
              <w:ind w:left="6"/>
              <w:jc w:val="center"/>
              <w:rPr>
                <w:rFonts w:ascii="Arial"/>
                <w:b/>
                <w:sz w:val="18"/>
              </w:rPr>
            </w:pPr>
            <w:r>
              <w:rPr>
                <w:rFonts w:ascii="Arial"/>
                <w:b/>
                <w:spacing w:val="-2"/>
                <w:sz w:val="18"/>
              </w:rPr>
              <w:t>31/12/2025</w:t>
            </w:r>
          </w:p>
        </w:tc>
        <w:tc>
          <w:tcPr>
            <w:tcW w:w="1270" w:type="dxa"/>
          </w:tcPr>
          <w:p w14:paraId="16E2AEA2" w14:textId="77777777" w:rsidR="002C6574" w:rsidRDefault="00000000">
            <w:pPr>
              <w:pStyle w:val="TableParagraph"/>
              <w:spacing w:line="206" w:lineRule="exact"/>
              <w:ind w:left="67"/>
              <w:jc w:val="left"/>
              <w:rPr>
                <w:rFonts w:ascii="Arial"/>
                <w:b/>
                <w:sz w:val="18"/>
              </w:rPr>
            </w:pPr>
            <w:r>
              <w:rPr>
                <w:rFonts w:ascii="Arial"/>
                <w:b/>
                <w:spacing w:val="-2"/>
                <w:sz w:val="18"/>
              </w:rPr>
              <w:t>31/12/2024</w:t>
            </w:r>
          </w:p>
        </w:tc>
      </w:tr>
      <w:tr w:rsidR="002C6574" w14:paraId="23AFB599" w14:textId="77777777">
        <w:trPr>
          <w:trHeight w:val="950"/>
        </w:trPr>
        <w:tc>
          <w:tcPr>
            <w:tcW w:w="4714" w:type="dxa"/>
            <w:vMerge/>
            <w:tcBorders>
              <w:top w:val="nil"/>
            </w:tcBorders>
            <w:shd w:val="clear" w:color="auto" w:fill="D8D8D8"/>
          </w:tcPr>
          <w:p w14:paraId="1D81653C" w14:textId="77777777" w:rsidR="002C6574" w:rsidRDefault="002C6574">
            <w:pPr>
              <w:rPr>
                <w:sz w:val="2"/>
                <w:szCs w:val="2"/>
              </w:rPr>
            </w:pPr>
          </w:p>
        </w:tc>
        <w:tc>
          <w:tcPr>
            <w:tcW w:w="1258" w:type="dxa"/>
          </w:tcPr>
          <w:p w14:paraId="08157BC1" w14:textId="77777777" w:rsidR="002C6574" w:rsidRDefault="002C6574">
            <w:pPr>
              <w:pStyle w:val="TableParagraph"/>
              <w:spacing w:before="114"/>
              <w:jc w:val="left"/>
              <w:rPr>
                <w:sz w:val="18"/>
              </w:rPr>
            </w:pPr>
          </w:p>
          <w:p w14:paraId="3B393D22" w14:textId="77777777" w:rsidR="002C6574" w:rsidRDefault="00000000">
            <w:pPr>
              <w:pStyle w:val="TableParagraph"/>
              <w:ind w:left="196"/>
              <w:jc w:val="left"/>
              <w:rPr>
                <w:rFonts w:ascii="Arial" w:hAnsi="Arial"/>
                <w:b/>
                <w:sz w:val="18"/>
              </w:rPr>
            </w:pPr>
            <w:r>
              <w:rPr>
                <w:rFonts w:ascii="Arial" w:hAnsi="Arial"/>
                <w:b/>
                <w:spacing w:val="-2"/>
                <w:sz w:val="18"/>
              </w:rPr>
              <w:t>Provisões</w:t>
            </w:r>
          </w:p>
        </w:tc>
        <w:tc>
          <w:tcPr>
            <w:tcW w:w="1272" w:type="dxa"/>
          </w:tcPr>
          <w:p w14:paraId="1DEB06AA" w14:textId="77777777" w:rsidR="002C6574" w:rsidRDefault="00000000">
            <w:pPr>
              <w:pStyle w:val="TableParagraph"/>
              <w:spacing w:before="236" w:line="276" w:lineRule="auto"/>
              <w:ind w:left="248" w:hanging="51"/>
              <w:jc w:val="left"/>
              <w:rPr>
                <w:rFonts w:ascii="Arial" w:hAnsi="Arial"/>
                <w:b/>
                <w:sz w:val="18"/>
              </w:rPr>
            </w:pPr>
            <w:r>
              <w:rPr>
                <w:rFonts w:ascii="Arial" w:hAnsi="Arial"/>
                <w:b/>
                <w:spacing w:val="-2"/>
                <w:sz w:val="18"/>
              </w:rPr>
              <w:t>Depósitos Judiciais</w:t>
            </w:r>
          </w:p>
        </w:tc>
        <w:tc>
          <w:tcPr>
            <w:tcW w:w="1258" w:type="dxa"/>
          </w:tcPr>
          <w:p w14:paraId="5C6B5BE8" w14:textId="77777777" w:rsidR="002C6574" w:rsidRDefault="00000000">
            <w:pPr>
              <w:pStyle w:val="TableParagraph"/>
              <w:spacing w:before="236" w:line="276" w:lineRule="auto"/>
              <w:ind w:left="255" w:hanging="63"/>
              <w:jc w:val="left"/>
              <w:rPr>
                <w:rFonts w:ascii="Arial" w:hAnsi="Arial"/>
                <w:b/>
                <w:sz w:val="18"/>
              </w:rPr>
            </w:pPr>
            <w:r>
              <w:rPr>
                <w:rFonts w:ascii="Arial" w:hAnsi="Arial"/>
                <w:b/>
                <w:spacing w:val="-2"/>
                <w:sz w:val="18"/>
              </w:rPr>
              <w:t>Provisões Líquidas</w:t>
            </w:r>
          </w:p>
        </w:tc>
        <w:tc>
          <w:tcPr>
            <w:tcW w:w="1270" w:type="dxa"/>
          </w:tcPr>
          <w:p w14:paraId="1DB1BD4F" w14:textId="77777777" w:rsidR="002C6574" w:rsidRDefault="00000000">
            <w:pPr>
              <w:pStyle w:val="TableParagraph"/>
              <w:spacing w:line="276" w:lineRule="auto"/>
              <w:ind w:left="9" w:right="4"/>
              <w:jc w:val="center"/>
              <w:rPr>
                <w:rFonts w:ascii="Arial" w:hAnsi="Arial"/>
                <w:b/>
                <w:sz w:val="18"/>
              </w:rPr>
            </w:pPr>
            <w:r>
              <w:rPr>
                <w:rFonts w:ascii="Arial" w:hAnsi="Arial"/>
                <w:b/>
                <w:spacing w:val="-2"/>
                <w:sz w:val="18"/>
              </w:rPr>
              <w:t xml:space="preserve">Provisão </w:t>
            </w:r>
            <w:r>
              <w:rPr>
                <w:rFonts w:ascii="Arial" w:hAnsi="Arial"/>
                <w:b/>
                <w:sz w:val="18"/>
              </w:rPr>
              <w:t>Líquida</w:t>
            </w:r>
            <w:r>
              <w:rPr>
                <w:rFonts w:ascii="Arial" w:hAnsi="Arial"/>
                <w:b/>
                <w:spacing w:val="-13"/>
                <w:sz w:val="18"/>
              </w:rPr>
              <w:t xml:space="preserve"> </w:t>
            </w:r>
            <w:r>
              <w:rPr>
                <w:rFonts w:ascii="Arial" w:hAnsi="Arial"/>
                <w:b/>
                <w:sz w:val="18"/>
              </w:rPr>
              <w:t xml:space="preserve">dos </w:t>
            </w:r>
            <w:r>
              <w:rPr>
                <w:rFonts w:ascii="Arial" w:hAnsi="Arial"/>
                <w:b/>
                <w:spacing w:val="-2"/>
                <w:sz w:val="18"/>
              </w:rPr>
              <w:t>Depósitos</w:t>
            </w:r>
          </w:p>
          <w:p w14:paraId="46B83400" w14:textId="77777777" w:rsidR="002C6574" w:rsidRDefault="00000000">
            <w:pPr>
              <w:pStyle w:val="TableParagraph"/>
              <w:spacing w:line="206" w:lineRule="exact"/>
              <w:ind w:left="9"/>
              <w:jc w:val="center"/>
              <w:rPr>
                <w:rFonts w:ascii="Arial"/>
                <w:b/>
                <w:sz w:val="18"/>
              </w:rPr>
            </w:pPr>
            <w:r>
              <w:rPr>
                <w:rFonts w:ascii="Arial"/>
                <w:b/>
                <w:spacing w:val="-2"/>
                <w:sz w:val="18"/>
              </w:rPr>
              <w:t>Judiciais</w:t>
            </w:r>
          </w:p>
        </w:tc>
      </w:tr>
      <w:tr w:rsidR="002C6574" w14:paraId="04069133" w14:textId="77777777">
        <w:trPr>
          <w:trHeight w:val="239"/>
        </w:trPr>
        <w:tc>
          <w:tcPr>
            <w:tcW w:w="4714" w:type="dxa"/>
            <w:vMerge/>
            <w:tcBorders>
              <w:top w:val="nil"/>
            </w:tcBorders>
            <w:shd w:val="clear" w:color="auto" w:fill="D8D8D8"/>
          </w:tcPr>
          <w:p w14:paraId="26D68101" w14:textId="77777777" w:rsidR="002C6574" w:rsidRDefault="002C6574">
            <w:pPr>
              <w:rPr>
                <w:sz w:val="2"/>
                <w:szCs w:val="2"/>
              </w:rPr>
            </w:pPr>
          </w:p>
        </w:tc>
        <w:tc>
          <w:tcPr>
            <w:tcW w:w="1258" w:type="dxa"/>
          </w:tcPr>
          <w:p w14:paraId="0E1FD5B6" w14:textId="77777777" w:rsidR="002C6574" w:rsidRDefault="00000000">
            <w:pPr>
              <w:pStyle w:val="TableParagraph"/>
              <w:spacing w:before="1"/>
              <w:ind w:left="8"/>
              <w:jc w:val="center"/>
              <w:rPr>
                <w:rFonts w:ascii="Arial"/>
                <w:b/>
                <w:sz w:val="18"/>
              </w:rPr>
            </w:pPr>
            <w:r>
              <w:rPr>
                <w:rFonts w:ascii="Arial"/>
                <w:b/>
                <w:spacing w:val="-5"/>
                <w:sz w:val="18"/>
              </w:rPr>
              <w:t>(A)</w:t>
            </w:r>
          </w:p>
        </w:tc>
        <w:tc>
          <w:tcPr>
            <w:tcW w:w="1272" w:type="dxa"/>
          </w:tcPr>
          <w:p w14:paraId="7656727E" w14:textId="77777777" w:rsidR="002C6574" w:rsidRDefault="00000000">
            <w:pPr>
              <w:pStyle w:val="TableParagraph"/>
              <w:spacing w:before="1"/>
              <w:ind w:left="2"/>
              <w:jc w:val="center"/>
              <w:rPr>
                <w:rFonts w:ascii="Arial"/>
                <w:b/>
                <w:sz w:val="18"/>
              </w:rPr>
            </w:pPr>
            <w:r>
              <w:rPr>
                <w:rFonts w:ascii="Arial"/>
                <w:b/>
                <w:spacing w:val="-5"/>
                <w:sz w:val="18"/>
              </w:rPr>
              <w:t>(B)</w:t>
            </w:r>
          </w:p>
        </w:tc>
        <w:tc>
          <w:tcPr>
            <w:tcW w:w="1258" w:type="dxa"/>
          </w:tcPr>
          <w:p w14:paraId="6D7341A2" w14:textId="77777777" w:rsidR="002C6574" w:rsidRDefault="00000000">
            <w:pPr>
              <w:pStyle w:val="TableParagraph"/>
              <w:spacing w:before="1"/>
              <w:ind w:left="404"/>
              <w:jc w:val="left"/>
              <w:rPr>
                <w:rFonts w:ascii="Arial"/>
                <w:b/>
                <w:sz w:val="18"/>
              </w:rPr>
            </w:pPr>
            <w:r>
              <w:rPr>
                <w:rFonts w:ascii="Arial"/>
                <w:b/>
                <w:sz w:val="18"/>
              </w:rPr>
              <w:t>(A-</w:t>
            </w:r>
            <w:r>
              <w:rPr>
                <w:rFonts w:ascii="Arial"/>
                <w:b/>
                <w:spacing w:val="-5"/>
                <w:sz w:val="18"/>
              </w:rPr>
              <w:t>B)</w:t>
            </w:r>
          </w:p>
        </w:tc>
        <w:tc>
          <w:tcPr>
            <w:tcW w:w="1270" w:type="dxa"/>
          </w:tcPr>
          <w:p w14:paraId="79A9D969" w14:textId="77777777" w:rsidR="002C6574" w:rsidRDefault="00000000">
            <w:pPr>
              <w:pStyle w:val="TableParagraph"/>
              <w:spacing w:before="1"/>
              <w:ind w:left="327"/>
              <w:jc w:val="left"/>
              <w:rPr>
                <w:rFonts w:ascii="Arial"/>
                <w:b/>
                <w:sz w:val="18"/>
              </w:rPr>
            </w:pPr>
            <w:r>
              <w:rPr>
                <w:rFonts w:ascii="Arial"/>
                <w:b/>
                <w:spacing w:val="-2"/>
                <w:sz w:val="18"/>
              </w:rPr>
              <w:t>(Saldo)</w:t>
            </w:r>
          </w:p>
        </w:tc>
      </w:tr>
      <w:tr w:rsidR="002C6574" w14:paraId="280F0C47" w14:textId="77777777">
        <w:trPr>
          <w:trHeight w:val="237"/>
        </w:trPr>
        <w:tc>
          <w:tcPr>
            <w:tcW w:w="4714" w:type="dxa"/>
          </w:tcPr>
          <w:p w14:paraId="0AFD1557" w14:textId="77777777" w:rsidR="002C6574" w:rsidRDefault="00000000">
            <w:pPr>
              <w:pStyle w:val="TableParagraph"/>
              <w:spacing w:line="213" w:lineRule="exact"/>
              <w:ind w:left="69"/>
              <w:jc w:val="left"/>
              <w:rPr>
                <w:sz w:val="18"/>
              </w:rPr>
            </w:pPr>
            <w:r>
              <w:rPr>
                <w:sz w:val="18"/>
              </w:rPr>
              <w:t>Outros</w:t>
            </w:r>
            <w:r>
              <w:rPr>
                <w:spacing w:val="-5"/>
                <w:sz w:val="18"/>
              </w:rPr>
              <w:t xml:space="preserve"> </w:t>
            </w:r>
            <w:r>
              <w:rPr>
                <w:spacing w:val="-2"/>
                <w:sz w:val="18"/>
              </w:rPr>
              <w:t>Processos</w:t>
            </w:r>
          </w:p>
        </w:tc>
        <w:tc>
          <w:tcPr>
            <w:tcW w:w="1258" w:type="dxa"/>
          </w:tcPr>
          <w:p w14:paraId="2A286CD8" w14:textId="77777777" w:rsidR="002C6574" w:rsidRDefault="00000000">
            <w:pPr>
              <w:pStyle w:val="TableParagraph"/>
              <w:spacing w:line="213" w:lineRule="exact"/>
              <w:ind w:right="56"/>
              <w:rPr>
                <w:sz w:val="18"/>
              </w:rPr>
            </w:pPr>
            <w:r>
              <w:rPr>
                <w:spacing w:val="-2"/>
                <w:w w:val="110"/>
                <w:sz w:val="18"/>
              </w:rPr>
              <w:t>6.863</w:t>
            </w:r>
          </w:p>
        </w:tc>
        <w:tc>
          <w:tcPr>
            <w:tcW w:w="1272" w:type="dxa"/>
          </w:tcPr>
          <w:p w14:paraId="6BE463D2" w14:textId="77777777" w:rsidR="002C6574" w:rsidRDefault="00000000">
            <w:pPr>
              <w:pStyle w:val="TableParagraph"/>
              <w:spacing w:line="213" w:lineRule="exact"/>
              <w:ind w:right="60"/>
              <w:rPr>
                <w:sz w:val="18"/>
              </w:rPr>
            </w:pPr>
            <w:r>
              <w:rPr>
                <w:spacing w:val="-5"/>
                <w:w w:val="105"/>
                <w:sz w:val="18"/>
              </w:rPr>
              <w:t>974</w:t>
            </w:r>
          </w:p>
        </w:tc>
        <w:tc>
          <w:tcPr>
            <w:tcW w:w="1258" w:type="dxa"/>
          </w:tcPr>
          <w:p w14:paraId="33D668D3" w14:textId="77777777" w:rsidR="002C6574" w:rsidRDefault="00000000">
            <w:pPr>
              <w:pStyle w:val="TableParagraph"/>
              <w:spacing w:line="213" w:lineRule="exact"/>
              <w:ind w:right="59"/>
              <w:rPr>
                <w:sz w:val="18"/>
              </w:rPr>
            </w:pPr>
            <w:r>
              <w:rPr>
                <w:spacing w:val="-2"/>
                <w:w w:val="110"/>
                <w:sz w:val="18"/>
              </w:rPr>
              <w:t>5.889</w:t>
            </w:r>
          </w:p>
        </w:tc>
        <w:tc>
          <w:tcPr>
            <w:tcW w:w="1270" w:type="dxa"/>
          </w:tcPr>
          <w:p w14:paraId="4380321B" w14:textId="77777777" w:rsidR="002C6574" w:rsidRDefault="00000000">
            <w:pPr>
              <w:pStyle w:val="TableParagraph"/>
              <w:spacing w:line="213" w:lineRule="exact"/>
              <w:ind w:right="57"/>
              <w:rPr>
                <w:sz w:val="18"/>
              </w:rPr>
            </w:pPr>
            <w:r>
              <w:rPr>
                <w:spacing w:val="-2"/>
                <w:w w:val="110"/>
                <w:sz w:val="18"/>
              </w:rPr>
              <w:t>5.051</w:t>
            </w:r>
          </w:p>
        </w:tc>
      </w:tr>
      <w:tr w:rsidR="002C6574" w14:paraId="06E3F245" w14:textId="77777777">
        <w:trPr>
          <w:trHeight w:val="237"/>
        </w:trPr>
        <w:tc>
          <w:tcPr>
            <w:tcW w:w="4714" w:type="dxa"/>
          </w:tcPr>
          <w:p w14:paraId="6456CACB" w14:textId="77777777" w:rsidR="002C6574" w:rsidRDefault="00000000">
            <w:pPr>
              <w:pStyle w:val="TableParagraph"/>
              <w:spacing w:line="206" w:lineRule="exact"/>
              <w:ind w:left="69"/>
              <w:jc w:val="left"/>
              <w:rPr>
                <w:rFonts w:ascii="Arial"/>
                <w:b/>
                <w:sz w:val="18"/>
              </w:rPr>
            </w:pPr>
            <w:r>
              <w:rPr>
                <w:rFonts w:ascii="Arial"/>
                <w:b/>
                <w:spacing w:val="-2"/>
                <w:sz w:val="18"/>
              </w:rPr>
              <w:t>Total</w:t>
            </w:r>
          </w:p>
        </w:tc>
        <w:tc>
          <w:tcPr>
            <w:tcW w:w="1258" w:type="dxa"/>
          </w:tcPr>
          <w:p w14:paraId="70AEC721" w14:textId="77777777" w:rsidR="002C6574" w:rsidRDefault="00000000">
            <w:pPr>
              <w:pStyle w:val="TableParagraph"/>
              <w:spacing w:line="206" w:lineRule="exact"/>
              <w:ind w:right="57"/>
              <w:rPr>
                <w:rFonts w:ascii="Arial"/>
                <w:b/>
                <w:sz w:val="18"/>
              </w:rPr>
            </w:pPr>
            <w:r>
              <w:rPr>
                <w:rFonts w:ascii="Arial"/>
                <w:b/>
                <w:spacing w:val="-2"/>
                <w:sz w:val="18"/>
              </w:rPr>
              <w:t>58.694</w:t>
            </w:r>
          </w:p>
        </w:tc>
        <w:tc>
          <w:tcPr>
            <w:tcW w:w="1272" w:type="dxa"/>
          </w:tcPr>
          <w:p w14:paraId="7C1A20B7" w14:textId="77777777" w:rsidR="002C6574" w:rsidRDefault="00000000">
            <w:pPr>
              <w:pStyle w:val="TableParagraph"/>
              <w:spacing w:line="206" w:lineRule="exact"/>
              <w:ind w:right="59"/>
              <w:rPr>
                <w:rFonts w:ascii="Arial"/>
                <w:b/>
                <w:sz w:val="18"/>
              </w:rPr>
            </w:pPr>
            <w:r>
              <w:rPr>
                <w:rFonts w:ascii="Arial"/>
                <w:b/>
                <w:spacing w:val="-2"/>
                <w:sz w:val="18"/>
              </w:rPr>
              <w:t>1.147</w:t>
            </w:r>
          </w:p>
        </w:tc>
        <w:tc>
          <w:tcPr>
            <w:tcW w:w="1258" w:type="dxa"/>
          </w:tcPr>
          <w:p w14:paraId="116603B2" w14:textId="77777777" w:rsidR="002C6574" w:rsidRDefault="00000000">
            <w:pPr>
              <w:pStyle w:val="TableParagraph"/>
              <w:spacing w:line="206" w:lineRule="exact"/>
              <w:ind w:right="59"/>
              <w:rPr>
                <w:rFonts w:ascii="Arial"/>
                <w:b/>
                <w:sz w:val="18"/>
              </w:rPr>
            </w:pPr>
            <w:r>
              <w:rPr>
                <w:rFonts w:ascii="Arial"/>
                <w:b/>
                <w:spacing w:val="-2"/>
                <w:sz w:val="18"/>
              </w:rPr>
              <w:t>57.547</w:t>
            </w:r>
          </w:p>
        </w:tc>
        <w:tc>
          <w:tcPr>
            <w:tcW w:w="1270" w:type="dxa"/>
          </w:tcPr>
          <w:p w14:paraId="11A876D8" w14:textId="77777777" w:rsidR="002C6574" w:rsidRDefault="00000000">
            <w:pPr>
              <w:pStyle w:val="TableParagraph"/>
              <w:spacing w:line="206" w:lineRule="exact"/>
              <w:ind w:right="57"/>
              <w:rPr>
                <w:rFonts w:ascii="Arial"/>
                <w:b/>
                <w:sz w:val="18"/>
              </w:rPr>
            </w:pPr>
            <w:r>
              <w:rPr>
                <w:rFonts w:ascii="Arial"/>
                <w:b/>
                <w:spacing w:val="-2"/>
                <w:sz w:val="18"/>
              </w:rPr>
              <w:t>52.010</w:t>
            </w:r>
          </w:p>
        </w:tc>
      </w:tr>
      <w:tr w:rsidR="002C6574" w14:paraId="73475BAA" w14:textId="77777777">
        <w:trPr>
          <w:trHeight w:val="239"/>
        </w:trPr>
        <w:tc>
          <w:tcPr>
            <w:tcW w:w="4714" w:type="dxa"/>
          </w:tcPr>
          <w:p w14:paraId="71D20493" w14:textId="77777777" w:rsidR="002C6574" w:rsidRDefault="00000000">
            <w:pPr>
              <w:pStyle w:val="TableParagraph"/>
              <w:spacing w:before="1"/>
              <w:ind w:left="69"/>
              <w:jc w:val="left"/>
              <w:rPr>
                <w:rFonts w:ascii="Arial"/>
                <w:b/>
                <w:sz w:val="18"/>
              </w:rPr>
            </w:pPr>
            <w:r>
              <w:rPr>
                <w:rFonts w:ascii="Arial"/>
                <w:b/>
                <w:spacing w:val="-2"/>
                <w:sz w:val="18"/>
              </w:rPr>
              <w:t>Trabalhistas</w:t>
            </w:r>
          </w:p>
        </w:tc>
        <w:tc>
          <w:tcPr>
            <w:tcW w:w="1258" w:type="dxa"/>
          </w:tcPr>
          <w:p w14:paraId="21066E7F" w14:textId="77777777" w:rsidR="002C6574" w:rsidRDefault="002C6574">
            <w:pPr>
              <w:pStyle w:val="TableParagraph"/>
              <w:jc w:val="left"/>
              <w:rPr>
                <w:rFonts w:ascii="Times New Roman"/>
                <w:sz w:val="16"/>
              </w:rPr>
            </w:pPr>
          </w:p>
        </w:tc>
        <w:tc>
          <w:tcPr>
            <w:tcW w:w="1272" w:type="dxa"/>
          </w:tcPr>
          <w:p w14:paraId="0EC9B19E" w14:textId="77777777" w:rsidR="002C6574" w:rsidRDefault="002C6574">
            <w:pPr>
              <w:pStyle w:val="TableParagraph"/>
              <w:jc w:val="left"/>
              <w:rPr>
                <w:rFonts w:ascii="Times New Roman"/>
                <w:sz w:val="16"/>
              </w:rPr>
            </w:pPr>
          </w:p>
        </w:tc>
        <w:tc>
          <w:tcPr>
            <w:tcW w:w="1258" w:type="dxa"/>
          </w:tcPr>
          <w:p w14:paraId="6AAFA5B4" w14:textId="77777777" w:rsidR="002C6574" w:rsidRDefault="002C6574">
            <w:pPr>
              <w:pStyle w:val="TableParagraph"/>
              <w:jc w:val="left"/>
              <w:rPr>
                <w:rFonts w:ascii="Times New Roman"/>
                <w:sz w:val="16"/>
              </w:rPr>
            </w:pPr>
          </w:p>
        </w:tc>
        <w:tc>
          <w:tcPr>
            <w:tcW w:w="1270" w:type="dxa"/>
          </w:tcPr>
          <w:p w14:paraId="6F74EA24" w14:textId="77777777" w:rsidR="002C6574" w:rsidRDefault="002C6574">
            <w:pPr>
              <w:pStyle w:val="TableParagraph"/>
              <w:jc w:val="left"/>
              <w:rPr>
                <w:rFonts w:ascii="Times New Roman"/>
                <w:sz w:val="16"/>
              </w:rPr>
            </w:pPr>
          </w:p>
        </w:tc>
      </w:tr>
      <w:tr w:rsidR="002C6574" w14:paraId="7B2F1DB4" w14:textId="77777777">
        <w:trPr>
          <w:trHeight w:val="237"/>
        </w:trPr>
        <w:tc>
          <w:tcPr>
            <w:tcW w:w="4714" w:type="dxa"/>
          </w:tcPr>
          <w:p w14:paraId="13947AE0" w14:textId="77777777" w:rsidR="002C6574" w:rsidRDefault="00000000">
            <w:pPr>
              <w:pStyle w:val="TableParagraph"/>
              <w:spacing w:line="213" w:lineRule="exact"/>
              <w:ind w:left="69"/>
              <w:jc w:val="left"/>
              <w:rPr>
                <w:sz w:val="18"/>
              </w:rPr>
            </w:pPr>
            <w:r>
              <w:rPr>
                <w:sz w:val="18"/>
              </w:rPr>
              <w:t>Ganhos</w:t>
            </w:r>
            <w:r>
              <w:rPr>
                <w:spacing w:val="13"/>
                <w:sz w:val="18"/>
              </w:rPr>
              <w:t xml:space="preserve"> </w:t>
            </w:r>
            <w:r>
              <w:rPr>
                <w:sz w:val="18"/>
              </w:rPr>
              <w:t>de</w:t>
            </w:r>
            <w:r>
              <w:rPr>
                <w:spacing w:val="16"/>
                <w:sz w:val="18"/>
              </w:rPr>
              <w:t xml:space="preserve"> </w:t>
            </w:r>
            <w:r>
              <w:rPr>
                <w:spacing w:val="-2"/>
                <w:sz w:val="18"/>
              </w:rPr>
              <w:t>Produtividade</w:t>
            </w:r>
          </w:p>
        </w:tc>
        <w:tc>
          <w:tcPr>
            <w:tcW w:w="1258" w:type="dxa"/>
          </w:tcPr>
          <w:p w14:paraId="423AAF6D" w14:textId="77777777" w:rsidR="002C6574" w:rsidRDefault="00000000">
            <w:pPr>
              <w:pStyle w:val="TableParagraph"/>
              <w:spacing w:line="213" w:lineRule="exact"/>
              <w:ind w:right="57"/>
              <w:rPr>
                <w:sz w:val="18"/>
              </w:rPr>
            </w:pPr>
            <w:r>
              <w:rPr>
                <w:spacing w:val="-2"/>
                <w:w w:val="110"/>
                <w:sz w:val="18"/>
              </w:rPr>
              <w:t>4.578</w:t>
            </w:r>
          </w:p>
        </w:tc>
        <w:tc>
          <w:tcPr>
            <w:tcW w:w="1272" w:type="dxa"/>
          </w:tcPr>
          <w:p w14:paraId="6068D072" w14:textId="77777777" w:rsidR="002C6574" w:rsidRDefault="00000000">
            <w:pPr>
              <w:pStyle w:val="TableParagraph"/>
              <w:spacing w:line="213" w:lineRule="exact"/>
              <w:ind w:right="59"/>
              <w:rPr>
                <w:sz w:val="18"/>
              </w:rPr>
            </w:pPr>
            <w:r>
              <w:rPr>
                <w:spacing w:val="-5"/>
                <w:w w:val="105"/>
                <w:sz w:val="18"/>
              </w:rPr>
              <w:t>49</w:t>
            </w:r>
          </w:p>
        </w:tc>
        <w:tc>
          <w:tcPr>
            <w:tcW w:w="1258" w:type="dxa"/>
          </w:tcPr>
          <w:p w14:paraId="30119C2D" w14:textId="77777777" w:rsidR="002C6574" w:rsidRDefault="00000000">
            <w:pPr>
              <w:pStyle w:val="TableParagraph"/>
              <w:spacing w:line="213" w:lineRule="exact"/>
              <w:ind w:right="59"/>
              <w:rPr>
                <w:sz w:val="18"/>
              </w:rPr>
            </w:pPr>
            <w:r>
              <w:rPr>
                <w:spacing w:val="-2"/>
                <w:w w:val="110"/>
                <w:sz w:val="18"/>
              </w:rPr>
              <w:t>4.529</w:t>
            </w:r>
          </w:p>
        </w:tc>
        <w:tc>
          <w:tcPr>
            <w:tcW w:w="1270" w:type="dxa"/>
          </w:tcPr>
          <w:p w14:paraId="2EA1405E" w14:textId="77777777" w:rsidR="002C6574" w:rsidRDefault="00000000">
            <w:pPr>
              <w:pStyle w:val="TableParagraph"/>
              <w:spacing w:line="213" w:lineRule="exact"/>
              <w:ind w:right="57"/>
              <w:rPr>
                <w:sz w:val="18"/>
              </w:rPr>
            </w:pPr>
            <w:r>
              <w:rPr>
                <w:spacing w:val="-2"/>
                <w:w w:val="110"/>
                <w:sz w:val="18"/>
              </w:rPr>
              <w:t>4.219</w:t>
            </w:r>
          </w:p>
        </w:tc>
      </w:tr>
      <w:tr w:rsidR="002C6574" w14:paraId="5257D101" w14:textId="77777777">
        <w:trPr>
          <w:trHeight w:val="239"/>
        </w:trPr>
        <w:tc>
          <w:tcPr>
            <w:tcW w:w="4714" w:type="dxa"/>
          </w:tcPr>
          <w:p w14:paraId="59936E23" w14:textId="77777777" w:rsidR="002C6574" w:rsidRDefault="00000000">
            <w:pPr>
              <w:pStyle w:val="TableParagraph"/>
              <w:spacing w:line="213" w:lineRule="exact"/>
              <w:ind w:left="69"/>
              <w:jc w:val="left"/>
              <w:rPr>
                <w:sz w:val="18"/>
              </w:rPr>
            </w:pPr>
            <w:r>
              <w:rPr>
                <w:sz w:val="18"/>
              </w:rPr>
              <w:t>Responsabilidade</w:t>
            </w:r>
            <w:r>
              <w:rPr>
                <w:spacing w:val="24"/>
                <w:sz w:val="18"/>
              </w:rPr>
              <w:t xml:space="preserve"> </w:t>
            </w:r>
            <w:r>
              <w:rPr>
                <w:spacing w:val="-2"/>
                <w:sz w:val="18"/>
              </w:rPr>
              <w:t>Subsidiária</w:t>
            </w:r>
          </w:p>
        </w:tc>
        <w:tc>
          <w:tcPr>
            <w:tcW w:w="1258" w:type="dxa"/>
          </w:tcPr>
          <w:p w14:paraId="07F5165A" w14:textId="77777777" w:rsidR="002C6574" w:rsidRDefault="00000000">
            <w:pPr>
              <w:pStyle w:val="TableParagraph"/>
              <w:spacing w:line="213" w:lineRule="exact"/>
              <w:ind w:right="56"/>
              <w:rPr>
                <w:sz w:val="18"/>
              </w:rPr>
            </w:pPr>
            <w:r>
              <w:rPr>
                <w:spacing w:val="-2"/>
                <w:w w:val="110"/>
                <w:sz w:val="18"/>
              </w:rPr>
              <w:t>4.217</w:t>
            </w:r>
          </w:p>
        </w:tc>
        <w:tc>
          <w:tcPr>
            <w:tcW w:w="1272" w:type="dxa"/>
          </w:tcPr>
          <w:p w14:paraId="606721CE" w14:textId="77777777" w:rsidR="002C6574" w:rsidRDefault="00000000">
            <w:pPr>
              <w:pStyle w:val="TableParagraph"/>
              <w:spacing w:line="213" w:lineRule="exact"/>
              <w:ind w:right="60"/>
              <w:rPr>
                <w:sz w:val="18"/>
              </w:rPr>
            </w:pPr>
            <w:r>
              <w:rPr>
                <w:spacing w:val="-5"/>
                <w:w w:val="105"/>
                <w:sz w:val="18"/>
              </w:rPr>
              <w:t>518</w:t>
            </w:r>
          </w:p>
        </w:tc>
        <w:tc>
          <w:tcPr>
            <w:tcW w:w="1258" w:type="dxa"/>
          </w:tcPr>
          <w:p w14:paraId="6F88D4FE" w14:textId="77777777" w:rsidR="002C6574" w:rsidRDefault="00000000">
            <w:pPr>
              <w:pStyle w:val="TableParagraph"/>
              <w:spacing w:line="213" w:lineRule="exact"/>
              <w:ind w:right="59"/>
              <w:rPr>
                <w:sz w:val="18"/>
              </w:rPr>
            </w:pPr>
            <w:r>
              <w:rPr>
                <w:spacing w:val="-2"/>
                <w:w w:val="110"/>
                <w:sz w:val="18"/>
              </w:rPr>
              <w:t>3.699</w:t>
            </w:r>
          </w:p>
        </w:tc>
        <w:tc>
          <w:tcPr>
            <w:tcW w:w="1270" w:type="dxa"/>
          </w:tcPr>
          <w:p w14:paraId="6F600975" w14:textId="77777777" w:rsidR="002C6574" w:rsidRDefault="00000000">
            <w:pPr>
              <w:pStyle w:val="TableParagraph"/>
              <w:spacing w:line="213" w:lineRule="exact"/>
              <w:ind w:right="57"/>
              <w:rPr>
                <w:sz w:val="18"/>
              </w:rPr>
            </w:pPr>
            <w:r>
              <w:rPr>
                <w:spacing w:val="-2"/>
                <w:w w:val="110"/>
                <w:sz w:val="18"/>
              </w:rPr>
              <w:t>1.625</w:t>
            </w:r>
          </w:p>
        </w:tc>
      </w:tr>
      <w:tr w:rsidR="002C6574" w14:paraId="188978A0" w14:textId="77777777">
        <w:trPr>
          <w:trHeight w:val="237"/>
        </w:trPr>
        <w:tc>
          <w:tcPr>
            <w:tcW w:w="4714" w:type="dxa"/>
          </w:tcPr>
          <w:p w14:paraId="0DF9E4D0" w14:textId="77777777" w:rsidR="002C6574" w:rsidRDefault="00000000">
            <w:pPr>
              <w:pStyle w:val="TableParagraph"/>
              <w:spacing w:line="213" w:lineRule="exact"/>
              <w:ind w:left="69"/>
              <w:jc w:val="left"/>
              <w:rPr>
                <w:sz w:val="18"/>
              </w:rPr>
            </w:pPr>
            <w:r>
              <w:rPr>
                <w:sz w:val="18"/>
              </w:rPr>
              <w:t>Outros</w:t>
            </w:r>
            <w:r>
              <w:rPr>
                <w:spacing w:val="-5"/>
                <w:sz w:val="18"/>
              </w:rPr>
              <w:t xml:space="preserve"> </w:t>
            </w:r>
            <w:r>
              <w:rPr>
                <w:spacing w:val="-2"/>
                <w:sz w:val="18"/>
              </w:rPr>
              <w:t>Processos</w:t>
            </w:r>
          </w:p>
        </w:tc>
        <w:tc>
          <w:tcPr>
            <w:tcW w:w="1258" w:type="dxa"/>
          </w:tcPr>
          <w:p w14:paraId="46CBC40C" w14:textId="77777777" w:rsidR="002C6574" w:rsidRDefault="00000000">
            <w:pPr>
              <w:pStyle w:val="TableParagraph"/>
              <w:spacing w:line="213" w:lineRule="exact"/>
              <w:ind w:right="56"/>
              <w:rPr>
                <w:sz w:val="18"/>
              </w:rPr>
            </w:pPr>
            <w:r>
              <w:rPr>
                <w:spacing w:val="-2"/>
                <w:w w:val="110"/>
                <w:sz w:val="18"/>
              </w:rPr>
              <w:t>3.699</w:t>
            </w:r>
          </w:p>
        </w:tc>
        <w:tc>
          <w:tcPr>
            <w:tcW w:w="1272" w:type="dxa"/>
          </w:tcPr>
          <w:p w14:paraId="122CDAF3" w14:textId="77777777" w:rsidR="002C6574" w:rsidRDefault="00000000">
            <w:pPr>
              <w:pStyle w:val="TableParagraph"/>
              <w:spacing w:line="213" w:lineRule="exact"/>
              <w:ind w:right="60"/>
              <w:rPr>
                <w:sz w:val="18"/>
              </w:rPr>
            </w:pPr>
            <w:r>
              <w:rPr>
                <w:spacing w:val="-5"/>
                <w:w w:val="105"/>
                <w:sz w:val="18"/>
              </w:rPr>
              <w:t>490</w:t>
            </w:r>
          </w:p>
        </w:tc>
        <w:tc>
          <w:tcPr>
            <w:tcW w:w="1258" w:type="dxa"/>
          </w:tcPr>
          <w:p w14:paraId="5DD866E8" w14:textId="77777777" w:rsidR="002C6574" w:rsidRDefault="00000000">
            <w:pPr>
              <w:pStyle w:val="TableParagraph"/>
              <w:spacing w:line="213" w:lineRule="exact"/>
              <w:ind w:right="59"/>
              <w:rPr>
                <w:sz w:val="18"/>
              </w:rPr>
            </w:pPr>
            <w:r>
              <w:rPr>
                <w:spacing w:val="-2"/>
                <w:w w:val="110"/>
                <w:sz w:val="18"/>
              </w:rPr>
              <w:t>3.209</w:t>
            </w:r>
          </w:p>
        </w:tc>
        <w:tc>
          <w:tcPr>
            <w:tcW w:w="1270" w:type="dxa"/>
          </w:tcPr>
          <w:p w14:paraId="51F0A8D3" w14:textId="77777777" w:rsidR="002C6574" w:rsidRDefault="00000000">
            <w:pPr>
              <w:pStyle w:val="TableParagraph"/>
              <w:spacing w:line="213" w:lineRule="exact"/>
              <w:ind w:right="57"/>
              <w:rPr>
                <w:sz w:val="18"/>
              </w:rPr>
            </w:pPr>
            <w:r>
              <w:rPr>
                <w:spacing w:val="-2"/>
                <w:w w:val="110"/>
                <w:sz w:val="18"/>
              </w:rPr>
              <w:t>3.191</w:t>
            </w:r>
          </w:p>
        </w:tc>
      </w:tr>
      <w:tr w:rsidR="002C6574" w14:paraId="779A2454" w14:textId="77777777">
        <w:trPr>
          <w:trHeight w:val="237"/>
        </w:trPr>
        <w:tc>
          <w:tcPr>
            <w:tcW w:w="4714" w:type="dxa"/>
          </w:tcPr>
          <w:p w14:paraId="6CE56106" w14:textId="77777777" w:rsidR="002C6574" w:rsidRDefault="00000000">
            <w:pPr>
              <w:pStyle w:val="TableParagraph"/>
              <w:spacing w:line="206" w:lineRule="exact"/>
              <w:ind w:left="69"/>
              <w:jc w:val="left"/>
              <w:rPr>
                <w:rFonts w:ascii="Arial"/>
                <w:b/>
                <w:sz w:val="18"/>
              </w:rPr>
            </w:pPr>
            <w:r>
              <w:rPr>
                <w:rFonts w:ascii="Arial"/>
                <w:b/>
                <w:spacing w:val="-2"/>
                <w:sz w:val="18"/>
              </w:rPr>
              <w:t>Total</w:t>
            </w:r>
          </w:p>
        </w:tc>
        <w:tc>
          <w:tcPr>
            <w:tcW w:w="1258" w:type="dxa"/>
          </w:tcPr>
          <w:p w14:paraId="36C80749" w14:textId="77777777" w:rsidR="002C6574" w:rsidRDefault="00000000">
            <w:pPr>
              <w:pStyle w:val="TableParagraph"/>
              <w:spacing w:line="206" w:lineRule="exact"/>
              <w:ind w:right="57"/>
              <w:rPr>
                <w:rFonts w:ascii="Arial"/>
                <w:b/>
                <w:sz w:val="18"/>
              </w:rPr>
            </w:pPr>
            <w:r>
              <w:rPr>
                <w:rFonts w:ascii="Arial"/>
                <w:b/>
                <w:spacing w:val="-2"/>
                <w:sz w:val="18"/>
              </w:rPr>
              <w:t>12.494</w:t>
            </w:r>
          </w:p>
        </w:tc>
        <w:tc>
          <w:tcPr>
            <w:tcW w:w="1272" w:type="dxa"/>
          </w:tcPr>
          <w:p w14:paraId="32CC48C6" w14:textId="77777777" w:rsidR="002C6574" w:rsidRDefault="00000000">
            <w:pPr>
              <w:pStyle w:val="TableParagraph"/>
              <w:spacing w:line="206" w:lineRule="exact"/>
              <w:ind w:right="59"/>
              <w:rPr>
                <w:rFonts w:ascii="Arial"/>
                <w:b/>
                <w:sz w:val="18"/>
              </w:rPr>
            </w:pPr>
            <w:r>
              <w:rPr>
                <w:rFonts w:ascii="Arial"/>
                <w:b/>
                <w:spacing w:val="-2"/>
                <w:sz w:val="18"/>
              </w:rPr>
              <w:t>1.057</w:t>
            </w:r>
          </w:p>
        </w:tc>
        <w:tc>
          <w:tcPr>
            <w:tcW w:w="1258" w:type="dxa"/>
          </w:tcPr>
          <w:p w14:paraId="621091D2" w14:textId="77777777" w:rsidR="002C6574" w:rsidRDefault="00000000">
            <w:pPr>
              <w:pStyle w:val="TableParagraph"/>
              <w:spacing w:line="206" w:lineRule="exact"/>
              <w:ind w:right="59"/>
              <w:rPr>
                <w:rFonts w:ascii="Arial"/>
                <w:b/>
                <w:sz w:val="18"/>
              </w:rPr>
            </w:pPr>
            <w:r>
              <w:rPr>
                <w:rFonts w:ascii="Arial"/>
                <w:b/>
                <w:spacing w:val="-2"/>
                <w:sz w:val="18"/>
              </w:rPr>
              <w:t>11.437</w:t>
            </w:r>
          </w:p>
        </w:tc>
        <w:tc>
          <w:tcPr>
            <w:tcW w:w="1270" w:type="dxa"/>
          </w:tcPr>
          <w:p w14:paraId="30B7007A" w14:textId="77777777" w:rsidR="002C6574" w:rsidRDefault="00000000">
            <w:pPr>
              <w:pStyle w:val="TableParagraph"/>
              <w:spacing w:line="206" w:lineRule="exact"/>
              <w:ind w:right="57"/>
              <w:rPr>
                <w:rFonts w:ascii="Arial"/>
                <w:b/>
                <w:sz w:val="18"/>
              </w:rPr>
            </w:pPr>
            <w:r>
              <w:rPr>
                <w:rFonts w:ascii="Arial"/>
                <w:b/>
                <w:spacing w:val="-2"/>
                <w:sz w:val="18"/>
              </w:rPr>
              <w:t>9.035</w:t>
            </w:r>
          </w:p>
        </w:tc>
      </w:tr>
      <w:tr w:rsidR="002C6574" w14:paraId="7C359A4C" w14:textId="77777777">
        <w:trPr>
          <w:trHeight w:val="239"/>
        </w:trPr>
        <w:tc>
          <w:tcPr>
            <w:tcW w:w="4714" w:type="dxa"/>
          </w:tcPr>
          <w:p w14:paraId="6F70ACD0" w14:textId="77777777" w:rsidR="002C6574" w:rsidRDefault="00000000">
            <w:pPr>
              <w:pStyle w:val="TableParagraph"/>
              <w:spacing w:line="206" w:lineRule="exact"/>
              <w:ind w:left="69"/>
              <w:jc w:val="left"/>
              <w:rPr>
                <w:rFonts w:ascii="Arial" w:hAnsi="Arial"/>
                <w:b/>
                <w:sz w:val="18"/>
              </w:rPr>
            </w:pPr>
            <w:r>
              <w:rPr>
                <w:rFonts w:ascii="Arial" w:hAnsi="Arial"/>
                <w:b/>
                <w:spacing w:val="-2"/>
                <w:sz w:val="18"/>
              </w:rPr>
              <w:t>Tributárias</w:t>
            </w:r>
          </w:p>
        </w:tc>
        <w:tc>
          <w:tcPr>
            <w:tcW w:w="1258" w:type="dxa"/>
          </w:tcPr>
          <w:p w14:paraId="50A2A2F8" w14:textId="77777777" w:rsidR="002C6574" w:rsidRDefault="002C6574">
            <w:pPr>
              <w:pStyle w:val="TableParagraph"/>
              <w:jc w:val="left"/>
              <w:rPr>
                <w:rFonts w:ascii="Times New Roman"/>
                <w:sz w:val="16"/>
              </w:rPr>
            </w:pPr>
          </w:p>
        </w:tc>
        <w:tc>
          <w:tcPr>
            <w:tcW w:w="1272" w:type="dxa"/>
          </w:tcPr>
          <w:p w14:paraId="0A52E43B" w14:textId="77777777" w:rsidR="002C6574" w:rsidRDefault="002C6574">
            <w:pPr>
              <w:pStyle w:val="TableParagraph"/>
              <w:jc w:val="left"/>
              <w:rPr>
                <w:rFonts w:ascii="Times New Roman"/>
                <w:sz w:val="16"/>
              </w:rPr>
            </w:pPr>
          </w:p>
        </w:tc>
        <w:tc>
          <w:tcPr>
            <w:tcW w:w="1258" w:type="dxa"/>
          </w:tcPr>
          <w:p w14:paraId="290A60A2" w14:textId="77777777" w:rsidR="002C6574" w:rsidRDefault="002C6574">
            <w:pPr>
              <w:pStyle w:val="TableParagraph"/>
              <w:jc w:val="left"/>
              <w:rPr>
                <w:rFonts w:ascii="Times New Roman"/>
                <w:sz w:val="16"/>
              </w:rPr>
            </w:pPr>
          </w:p>
        </w:tc>
        <w:tc>
          <w:tcPr>
            <w:tcW w:w="1270" w:type="dxa"/>
          </w:tcPr>
          <w:p w14:paraId="0E29FF58" w14:textId="77777777" w:rsidR="002C6574" w:rsidRDefault="002C6574">
            <w:pPr>
              <w:pStyle w:val="TableParagraph"/>
              <w:jc w:val="left"/>
              <w:rPr>
                <w:rFonts w:ascii="Times New Roman"/>
                <w:sz w:val="16"/>
              </w:rPr>
            </w:pPr>
          </w:p>
        </w:tc>
      </w:tr>
      <w:tr w:rsidR="002C6574" w14:paraId="6A9F89AD" w14:textId="77777777">
        <w:trPr>
          <w:trHeight w:val="237"/>
        </w:trPr>
        <w:tc>
          <w:tcPr>
            <w:tcW w:w="4714" w:type="dxa"/>
          </w:tcPr>
          <w:p w14:paraId="2F6D52D1" w14:textId="77777777" w:rsidR="002C6574" w:rsidRDefault="00000000">
            <w:pPr>
              <w:pStyle w:val="TableParagraph"/>
              <w:spacing w:line="213" w:lineRule="exact"/>
              <w:ind w:left="69"/>
              <w:jc w:val="left"/>
              <w:rPr>
                <w:sz w:val="18"/>
              </w:rPr>
            </w:pPr>
            <w:r>
              <w:rPr>
                <w:w w:val="105"/>
                <w:sz w:val="18"/>
              </w:rPr>
              <w:t>Execução</w:t>
            </w:r>
            <w:r>
              <w:rPr>
                <w:spacing w:val="12"/>
                <w:w w:val="105"/>
                <w:sz w:val="18"/>
              </w:rPr>
              <w:t xml:space="preserve"> </w:t>
            </w:r>
            <w:r>
              <w:rPr>
                <w:spacing w:val="-2"/>
                <w:w w:val="105"/>
                <w:sz w:val="18"/>
              </w:rPr>
              <w:t>Fiscal</w:t>
            </w:r>
          </w:p>
        </w:tc>
        <w:tc>
          <w:tcPr>
            <w:tcW w:w="1258" w:type="dxa"/>
          </w:tcPr>
          <w:p w14:paraId="100EE37C" w14:textId="77777777" w:rsidR="002C6574" w:rsidRDefault="00000000">
            <w:pPr>
              <w:pStyle w:val="TableParagraph"/>
              <w:spacing w:line="213" w:lineRule="exact"/>
              <w:ind w:right="58"/>
              <w:rPr>
                <w:sz w:val="18"/>
              </w:rPr>
            </w:pPr>
            <w:r>
              <w:rPr>
                <w:spacing w:val="-5"/>
                <w:w w:val="105"/>
                <w:sz w:val="18"/>
              </w:rPr>
              <w:t>531</w:t>
            </w:r>
          </w:p>
        </w:tc>
        <w:tc>
          <w:tcPr>
            <w:tcW w:w="1272" w:type="dxa"/>
          </w:tcPr>
          <w:p w14:paraId="2639D16F" w14:textId="77777777" w:rsidR="002C6574" w:rsidRDefault="00000000">
            <w:pPr>
              <w:pStyle w:val="TableParagraph"/>
              <w:spacing w:line="213" w:lineRule="exact"/>
              <w:ind w:right="60"/>
              <w:rPr>
                <w:sz w:val="18"/>
              </w:rPr>
            </w:pPr>
            <w:r>
              <w:rPr>
                <w:spacing w:val="-5"/>
                <w:w w:val="105"/>
                <w:sz w:val="18"/>
              </w:rPr>
              <w:t>532</w:t>
            </w:r>
          </w:p>
        </w:tc>
        <w:tc>
          <w:tcPr>
            <w:tcW w:w="1258" w:type="dxa"/>
          </w:tcPr>
          <w:p w14:paraId="13244A72" w14:textId="77777777" w:rsidR="002C6574" w:rsidRDefault="00000000">
            <w:pPr>
              <w:pStyle w:val="TableParagraph"/>
              <w:spacing w:line="213" w:lineRule="exact"/>
              <w:ind w:right="62"/>
              <w:rPr>
                <w:sz w:val="18"/>
              </w:rPr>
            </w:pPr>
            <w:r>
              <w:rPr>
                <w:spacing w:val="-5"/>
                <w:w w:val="110"/>
                <w:sz w:val="18"/>
              </w:rPr>
              <w:t>(1)</w:t>
            </w:r>
          </w:p>
        </w:tc>
        <w:tc>
          <w:tcPr>
            <w:tcW w:w="1270" w:type="dxa"/>
          </w:tcPr>
          <w:p w14:paraId="7248B6F3" w14:textId="77777777" w:rsidR="002C6574" w:rsidRDefault="00000000">
            <w:pPr>
              <w:pStyle w:val="TableParagraph"/>
              <w:spacing w:line="213" w:lineRule="exact"/>
              <w:ind w:right="60"/>
              <w:rPr>
                <w:sz w:val="18"/>
              </w:rPr>
            </w:pPr>
            <w:r>
              <w:rPr>
                <w:spacing w:val="-10"/>
                <w:w w:val="105"/>
                <w:sz w:val="18"/>
              </w:rPr>
              <w:t>2</w:t>
            </w:r>
          </w:p>
        </w:tc>
      </w:tr>
      <w:tr w:rsidR="002C6574" w14:paraId="082DDB66" w14:textId="77777777">
        <w:trPr>
          <w:trHeight w:val="237"/>
        </w:trPr>
        <w:tc>
          <w:tcPr>
            <w:tcW w:w="4714" w:type="dxa"/>
          </w:tcPr>
          <w:p w14:paraId="0571A65D" w14:textId="77777777" w:rsidR="002C6574" w:rsidRDefault="00000000">
            <w:pPr>
              <w:pStyle w:val="TableParagraph"/>
              <w:spacing w:line="206" w:lineRule="exact"/>
              <w:ind w:left="69"/>
              <w:jc w:val="left"/>
              <w:rPr>
                <w:rFonts w:ascii="Arial"/>
                <w:b/>
                <w:sz w:val="18"/>
              </w:rPr>
            </w:pPr>
            <w:r>
              <w:rPr>
                <w:rFonts w:ascii="Arial"/>
                <w:b/>
                <w:spacing w:val="-2"/>
                <w:sz w:val="18"/>
              </w:rPr>
              <w:t>Total</w:t>
            </w:r>
          </w:p>
        </w:tc>
        <w:tc>
          <w:tcPr>
            <w:tcW w:w="1258" w:type="dxa"/>
          </w:tcPr>
          <w:p w14:paraId="74080291" w14:textId="77777777" w:rsidR="002C6574" w:rsidRDefault="00000000">
            <w:pPr>
              <w:pStyle w:val="TableParagraph"/>
              <w:spacing w:line="206" w:lineRule="exact"/>
              <w:ind w:right="56"/>
              <w:rPr>
                <w:rFonts w:ascii="Arial"/>
                <w:b/>
                <w:sz w:val="18"/>
              </w:rPr>
            </w:pPr>
            <w:r>
              <w:rPr>
                <w:rFonts w:ascii="Arial"/>
                <w:b/>
                <w:spacing w:val="-5"/>
                <w:sz w:val="18"/>
              </w:rPr>
              <w:t>531</w:t>
            </w:r>
          </w:p>
        </w:tc>
        <w:tc>
          <w:tcPr>
            <w:tcW w:w="1272" w:type="dxa"/>
          </w:tcPr>
          <w:p w14:paraId="72576B22" w14:textId="77777777" w:rsidR="002C6574" w:rsidRDefault="00000000">
            <w:pPr>
              <w:pStyle w:val="TableParagraph"/>
              <w:spacing w:line="206" w:lineRule="exact"/>
              <w:ind w:right="60"/>
              <w:rPr>
                <w:rFonts w:ascii="Arial"/>
                <w:b/>
                <w:sz w:val="18"/>
              </w:rPr>
            </w:pPr>
            <w:r>
              <w:rPr>
                <w:rFonts w:ascii="Arial"/>
                <w:b/>
                <w:spacing w:val="-5"/>
                <w:sz w:val="18"/>
              </w:rPr>
              <w:t>532</w:t>
            </w:r>
          </w:p>
        </w:tc>
        <w:tc>
          <w:tcPr>
            <w:tcW w:w="1258" w:type="dxa"/>
          </w:tcPr>
          <w:p w14:paraId="1EB5FE4D" w14:textId="77777777" w:rsidR="002C6574" w:rsidRDefault="00000000">
            <w:pPr>
              <w:pStyle w:val="TableParagraph"/>
              <w:spacing w:line="206" w:lineRule="exact"/>
              <w:ind w:right="62"/>
              <w:rPr>
                <w:rFonts w:ascii="Arial"/>
                <w:b/>
                <w:sz w:val="18"/>
              </w:rPr>
            </w:pPr>
            <w:r>
              <w:rPr>
                <w:rFonts w:ascii="Arial"/>
                <w:b/>
                <w:spacing w:val="-5"/>
                <w:sz w:val="18"/>
              </w:rPr>
              <w:t>(1)</w:t>
            </w:r>
          </w:p>
        </w:tc>
        <w:tc>
          <w:tcPr>
            <w:tcW w:w="1270" w:type="dxa"/>
          </w:tcPr>
          <w:p w14:paraId="46E988B1" w14:textId="77777777" w:rsidR="002C6574" w:rsidRDefault="00000000">
            <w:pPr>
              <w:pStyle w:val="TableParagraph"/>
              <w:spacing w:line="206" w:lineRule="exact"/>
              <w:ind w:right="60"/>
              <w:rPr>
                <w:rFonts w:ascii="Arial"/>
                <w:b/>
                <w:sz w:val="18"/>
              </w:rPr>
            </w:pPr>
            <w:r>
              <w:rPr>
                <w:rFonts w:ascii="Arial"/>
                <w:b/>
                <w:spacing w:val="-10"/>
                <w:sz w:val="18"/>
              </w:rPr>
              <w:t>2</w:t>
            </w:r>
          </w:p>
        </w:tc>
      </w:tr>
      <w:tr w:rsidR="002C6574" w14:paraId="6571BB74" w14:textId="77777777">
        <w:trPr>
          <w:trHeight w:val="239"/>
        </w:trPr>
        <w:tc>
          <w:tcPr>
            <w:tcW w:w="4714" w:type="dxa"/>
          </w:tcPr>
          <w:p w14:paraId="62469D83" w14:textId="77777777" w:rsidR="002C6574" w:rsidRDefault="00000000">
            <w:pPr>
              <w:pStyle w:val="TableParagraph"/>
              <w:spacing w:line="206" w:lineRule="exact"/>
              <w:ind w:left="69"/>
              <w:jc w:val="left"/>
              <w:rPr>
                <w:rFonts w:ascii="Arial"/>
                <w:b/>
                <w:sz w:val="18"/>
              </w:rPr>
            </w:pPr>
            <w:r>
              <w:rPr>
                <w:rFonts w:ascii="Arial"/>
                <w:b/>
                <w:sz w:val="18"/>
              </w:rPr>
              <w:t xml:space="preserve">TOTAL </w:t>
            </w:r>
            <w:r>
              <w:rPr>
                <w:rFonts w:ascii="Arial"/>
                <w:b/>
                <w:spacing w:val="-2"/>
                <w:sz w:val="18"/>
              </w:rPr>
              <w:t>GERAL</w:t>
            </w:r>
          </w:p>
        </w:tc>
        <w:tc>
          <w:tcPr>
            <w:tcW w:w="1258" w:type="dxa"/>
          </w:tcPr>
          <w:p w14:paraId="4A15930A" w14:textId="77777777" w:rsidR="002C6574" w:rsidRDefault="00000000">
            <w:pPr>
              <w:pStyle w:val="TableParagraph"/>
              <w:spacing w:line="206" w:lineRule="exact"/>
              <w:ind w:right="57"/>
              <w:rPr>
                <w:rFonts w:ascii="Arial"/>
                <w:b/>
                <w:sz w:val="18"/>
              </w:rPr>
            </w:pPr>
            <w:r>
              <w:rPr>
                <w:rFonts w:ascii="Arial"/>
                <w:b/>
                <w:spacing w:val="-2"/>
                <w:sz w:val="18"/>
              </w:rPr>
              <w:t>71.719</w:t>
            </w:r>
          </w:p>
        </w:tc>
        <w:tc>
          <w:tcPr>
            <w:tcW w:w="1272" w:type="dxa"/>
          </w:tcPr>
          <w:p w14:paraId="38B6C86A" w14:textId="77777777" w:rsidR="002C6574" w:rsidRDefault="00000000">
            <w:pPr>
              <w:pStyle w:val="TableParagraph"/>
              <w:spacing w:line="206" w:lineRule="exact"/>
              <w:ind w:right="59"/>
              <w:rPr>
                <w:rFonts w:ascii="Arial"/>
                <w:b/>
                <w:sz w:val="18"/>
              </w:rPr>
            </w:pPr>
            <w:r>
              <w:rPr>
                <w:rFonts w:ascii="Arial"/>
                <w:b/>
                <w:spacing w:val="-2"/>
                <w:sz w:val="18"/>
              </w:rPr>
              <w:t>2.736</w:t>
            </w:r>
          </w:p>
        </w:tc>
        <w:tc>
          <w:tcPr>
            <w:tcW w:w="1258" w:type="dxa"/>
          </w:tcPr>
          <w:p w14:paraId="573365EB" w14:textId="77777777" w:rsidR="002C6574" w:rsidRDefault="00000000">
            <w:pPr>
              <w:pStyle w:val="TableParagraph"/>
              <w:spacing w:line="206" w:lineRule="exact"/>
              <w:ind w:right="59"/>
              <w:rPr>
                <w:rFonts w:ascii="Arial"/>
                <w:b/>
                <w:sz w:val="18"/>
              </w:rPr>
            </w:pPr>
            <w:r>
              <w:rPr>
                <w:rFonts w:ascii="Arial"/>
                <w:b/>
                <w:spacing w:val="-2"/>
                <w:sz w:val="18"/>
              </w:rPr>
              <w:t>68.983</w:t>
            </w:r>
          </w:p>
        </w:tc>
        <w:tc>
          <w:tcPr>
            <w:tcW w:w="1270" w:type="dxa"/>
          </w:tcPr>
          <w:p w14:paraId="69D9D949" w14:textId="77777777" w:rsidR="002C6574" w:rsidRDefault="00000000">
            <w:pPr>
              <w:pStyle w:val="TableParagraph"/>
              <w:spacing w:line="206" w:lineRule="exact"/>
              <w:ind w:right="57"/>
              <w:rPr>
                <w:rFonts w:ascii="Arial"/>
                <w:b/>
                <w:sz w:val="18"/>
              </w:rPr>
            </w:pPr>
            <w:r>
              <w:rPr>
                <w:rFonts w:ascii="Arial"/>
                <w:b/>
                <w:spacing w:val="-2"/>
                <w:sz w:val="18"/>
              </w:rPr>
              <w:t>61.047</w:t>
            </w:r>
          </w:p>
        </w:tc>
      </w:tr>
      <w:tr w:rsidR="002C6574" w14:paraId="4B97D227" w14:textId="77777777">
        <w:trPr>
          <w:trHeight w:val="237"/>
        </w:trPr>
        <w:tc>
          <w:tcPr>
            <w:tcW w:w="4714" w:type="dxa"/>
          </w:tcPr>
          <w:p w14:paraId="57314D98" w14:textId="77777777" w:rsidR="002C6574" w:rsidRDefault="00000000">
            <w:pPr>
              <w:pStyle w:val="TableParagraph"/>
              <w:spacing w:line="206" w:lineRule="exact"/>
              <w:ind w:left="69"/>
              <w:jc w:val="left"/>
              <w:rPr>
                <w:rFonts w:ascii="Arial"/>
                <w:b/>
                <w:sz w:val="18"/>
              </w:rPr>
            </w:pPr>
            <w:r>
              <w:rPr>
                <w:rFonts w:ascii="Arial"/>
                <w:b/>
                <w:spacing w:val="-2"/>
                <w:sz w:val="18"/>
              </w:rPr>
              <w:t>Circulante</w:t>
            </w:r>
          </w:p>
        </w:tc>
        <w:tc>
          <w:tcPr>
            <w:tcW w:w="1258" w:type="dxa"/>
          </w:tcPr>
          <w:p w14:paraId="197AB51C" w14:textId="77777777" w:rsidR="002C6574" w:rsidRDefault="00000000">
            <w:pPr>
              <w:pStyle w:val="TableParagraph"/>
              <w:spacing w:line="206" w:lineRule="exact"/>
              <w:ind w:right="56"/>
              <w:rPr>
                <w:rFonts w:ascii="Arial"/>
                <w:b/>
                <w:sz w:val="18"/>
              </w:rPr>
            </w:pPr>
            <w:r>
              <w:rPr>
                <w:rFonts w:ascii="Arial"/>
                <w:b/>
                <w:spacing w:val="-2"/>
                <w:sz w:val="18"/>
              </w:rPr>
              <w:t>5.416</w:t>
            </w:r>
          </w:p>
        </w:tc>
        <w:tc>
          <w:tcPr>
            <w:tcW w:w="1272" w:type="dxa"/>
          </w:tcPr>
          <w:p w14:paraId="1382B470" w14:textId="77777777" w:rsidR="002C6574" w:rsidRDefault="00000000">
            <w:pPr>
              <w:pStyle w:val="TableParagraph"/>
              <w:spacing w:line="206" w:lineRule="exact"/>
              <w:ind w:right="59"/>
              <w:rPr>
                <w:rFonts w:ascii="Arial"/>
                <w:b/>
                <w:sz w:val="18"/>
              </w:rPr>
            </w:pPr>
            <w:r>
              <w:rPr>
                <w:rFonts w:ascii="Arial"/>
                <w:b/>
                <w:spacing w:val="-2"/>
                <w:sz w:val="18"/>
              </w:rPr>
              <w:t>1.079</w:t>
            </w:r>
          </w:p>
        </w:tc>
        <w:tc>
          <w:tcPr>
            <w:tcW w:w="1258" w:type="dxa"/>
          </w:tcPr>
          <w:p w14:paraId="1850E82F" w14:textId="77777777" w:rsidR="002C6574" w:rsidRDefault="00000000">
            <w:pPr>
              <w:pStyle w:val="TableParagraph"/>
              <w:spacing w:line="206" w:lineRule="exact"/>
              <w:ind w:right="59"/>
              <w:rPr>
                <w:rFonts w:ascii="Arial"/>
                <w:b/>
                <w:sz w:val="18"/>
              </w:rPr>
            </w:pPr>
            <w:r>
              <w:rPr>
                <w:rFonts w:ascii="Arial"/>
                <w:b/>
                <w:spacing w:val="-2"/>
                <w:sz w:val="18"/>
              </w:rPr>
              <w:t>4.337</w:t>
            </w:r>
          </w:p>
        </w:tc>
        <w:tc>
          <w:tcPr>
            <w:tcW w:w="1270" w:type="dxa"/>
          </w:tcPr>
          <w:p w14:paraId="72E80F17" w14:textId="77777777" w:rsidR="002C6574" w:rsidRDefault="00000000">
            <w:pPr>
              <w:pStyle w:val="TableParagraph"/>
              <w:spacing w:line="206" w:lineRule="exact"/>
              <w:ind w:right="57"/>
              <w:rPr>
                <w:rFonts w:ascii="Arial"/>
                <w:b/>
                <w:sz w:val="18"/>
              </w:rPr>
            </w:pPr>
            <w:r>
              <w:rPr>
                <w:rFonts w:ascii="Arial"/>
                <w:b/>
                <w:spacing w:val="-2"/>
                <w:sz w:val="18"/>
              </w:rPr>
              <w:t>3.279</w:t>
            </w:r>
          </w:p>
        </w:tc>
      </w:tr>
      <w:tr w:rsidR="002C6574" w14:paraId="29793B35" w14:textId="77777777">
        <w:trPr>
          <w:trHeight w:val="237"/>
        </w:trPr>
        <w:tc>
          <w:tcPr>
            <w:tcW w:w="4714" w:type="dxa"/>
          </w:tcPr>
          <w:p w14:paraId="1A65F21E" w14:textId="77777777" w:rsidR="002C6574" w:rsidRDefault="00000000">
            <w:pPr>
              <w:pStyle w:val="TableParagraph"/>
              <w:spacing w:line="206" w:lineRule="exact"/>
              <w:ind w:left="69"/>
              <w:jc w:val="left"/>
              <w:rPr>
                <w:rFonts w:ascii="Arial" w:hAnsi="Arial"/>
                <w:b/>
                <w:sz w:val="18"/>
              </w:rPr>
            </w:pPr>
            <w:r>
              <w:rPr>
                <w:rFonts w:ascii="Arial" w:hAnsi="Arial"/>
                <w:b/>
                <w:sz w:val="18"/>
              </w:rPr>
              <w:t xml:space="preserve">Não </w:t>
            </w:r>
            <w:r>
              <w:rPr>
                <w:rFonts w:ascii="Arial" w:hAnsi="Arial"/>
                <w:b/>
                <w:spacing w:val="-2"/>
                <w:sz w:val="18"/>
              </w:rPr>
              <w:t>Circulante</w:t>
            </w:r>
          </w:p>
        </w:tc>
        <w:tc>
          <w:tcPr>
            <w:tcW w:w="1258" w:type="dxa"/>
          </w:tcPr>
          <w:p w14:paraId="54063B78" w14:textId="77777777" w:rsidR="002C6574" w:rsidRDefault="00000000">
            <w:pPr>
              <w:pStyle w:val="TableParagraph"/>
              <w:spacing w:line="206" w:lineRule="exact"/>
              <w:ind w:right="56"/>
              <w:rPr>
                <w:rFonts w:ascii="Arial"/>
                <w:b/>
                <w:sz w:val="18"/>
              </w:rPr>
            </w:pPr>
            <w:r>
              <w:rPr>
                <w:rFonts w:ascii="Arial"/>
                <w:b/>
                <w:spacing w:val="-2"/>
                <w:sz w:val="18"/>
              </w:rPr>
              <w:t>66.303</w:t>
            </w:r>
          </w:p>
        </w:tc>
        <w:tc>
          <w:tcPr>
            <w:tcW w:w="1272" w:type="dxa"/>
          </w:tcPr>
          <w:p w14:paraId="0E244AE1" w14:textId="77777777" w:rsidR="002C6574" w:rsidRDefault="00000000">
            <w:pPr>
              <w:pStyle w:val="TableParagraph"/>
              <w:spacing w:line="206" w:lineRule="exact"/>
              <w:ind w:right="59"/>
              <w:rPr>
                <w:rFonts w:ascii="Arial"/>
                <w:b/>
                <w:sz w:val="18"/>
              </w:rPr>
            </w:pPr>
            <w:r>
              <w:rPr>
                <w:rFonts w:ascii="Arial"/>
                <w:b/>
                <w:spacing w:val="-2"/>
                <w:sz w:val="18"/>
              </w:rPr>
              <w:t>1.657</w:t>
            </w:r>
          </w:p>
        </w:tc>
        <w:tc>
          <w:tcPr>
            <w:tcW w:w="1258" w:type="dxa"/>
          </w:tcPr>
          <w:p w14:paraId="21595CE0" w14:textId="77777777" w:rsidR="002C6574" w:rsidRDefault="00000000">
            <w:pPr>
              <w:pStyle w:val="TableParagraph"/>
              <w:spacing w:line="206" w:lineRule="exact"/>
              <w:ind w:right="59"/>
              <w:rPr>
                <w:rFonts w:ascii="Arial"/>
                <w:b/>
                <w:sz w:val="18"/>
              </w:rPr>
            </w:pPr>
            <w:r>
              <w:rPr>
                <w:rFonts w:ascii="Arial"/>
                <w:b/>
                <w:spacing w:val="-2"/>
                <w:sz w:val="18"/>
              </w:rPr>
              <w:t>64.646</w:t>
            </w:r>
          </w:p>
        </w:tc>
        <w:tc>
          <w:tcPr>
            <w:tcW w:w="1270" w:type="dxa"/>
          </w:tcPr>
          <w:p w14:paraId="7C4CCD9F" w14:textId="77777777" w:rsidR="002C6574" w:rsidRDefault="00000000">
            <w:pPr>
              <w:pStyle w:val="TableParagraph"/>
              <w:spacing w:line="206" w:lineRule="exact"/>
              <w:ind w:right="57"/>
              <w:rPr>
                <w:rFonts w:ascii="Arial"/>
                <w:b/>
                <w:sz w:val="18"/>
              </w:rPr>
            </w:pPr>
            <w:r>
              <w:rPr>
                <w:rFonts w:ascii="Arial"/>
                <w:b/>
                <w:spacing w:val="-2"/>
                <w:sz w:val="18"/>
              </w:rPr>
              <w:t>57.768</w:t>
            </w:r>
          </w:p>
        </w:tc>
      </w:tr>
    </w:tbl>
    <w:p w14:paraId="2AE13034" w14:textId="77777777" w:rsidR="002C6574" w:rsidRDefault="00000000">
      <w:pPr>
        <w:numPr>
          <w:ilvl w:val="2"/>
          <w:numId w:val="36"/>
        </w:numPr>
        <w:tabs>
          <w:tab w:val="left" w:pos="990"/>
        </w:tabs>
        <w:spacing w:before="245"/>
        <w:ind w:left="990" w:hanging="847"/>
        <w:rPr>
          <w:rFonts w:ascii="Arial" w:hAnsi="Arial"/>
          <w:b/>
        </w:rPr>
      </w:pPr>
      <w:r>
        <w:rPr>
          <w:rFonts w:ascii="Arial" w:hAnsi="Arial"/>
          <w:b/>
        </w:rPr>
        <w:t>Movimentação</w:t>
      </w:r>
      <w:r>
        <w:rPr>
          <w:rFonts w:ascii="Arial" w:hAnsi="Arial"/>
          <w:b/>
          <w:spacing w:val="-7"/>
        </w:rPr>
        <w:t xml:space="preserve"> </w:t>
      </w:r>
      <w:r>
        <w:rPr>
          <w:rFonts w:ascii="Arial" w:hAnsi="Arial"/>
          <w:b/>
        </w:rPr>
        <w:t>das</w:t>
      </w:r>
      <w:r>
        <w:rPr>
          <w:rFonts w:ascii="Arial" w:hAnsi="Arial"/>
          <w:b/>
          <w:spacing w:val="-2"/>
        </w:rPr>
        <w:t xml:space="preserve"> </w:t>
      </w:r>
      <w:r>
        <w:rPr>
          <w:rFonts w:ascii="Arial" w:hAnsi="Arial"/>
          <w:b/>
        </w:rPr>
        <w:t>provisões</w:t>
      </w:r>
      <w:r>
        <w:rPr>
          <w:rFonts w:ascii="Arial" w:hAnsi="Arial"/>
          <w:b/>
          <w:spacing w:val="-3"/>
        </w:rPr>
        <w:t xml:space="preserve"> </w:t>
      </w:r>
      <w:r>
        <w:rPr>
          <w:rFonts w:ascii="Arial" w:hAnsi="Arial"/>
          <w:b/>
        </w:rPr>
        <w:t>para</w:t>
      </w:r>
      <w:r>
        <w:rPr>
          <w:rFonts w:ascii="Arial" w:hAnsi="Arial"/>
          <w:b/>
          <w:spacing w:val="-5"/>
        </w:rPr>
        <w:t xml:space="preserve"> </w:t>
      </w:r>
      <w:r>
        <w:rPr>
          <w:rFonts w:ascii="Arial" w:hAnsi="Arial"/>
          <w:b/>
        </w:rPr>
        <w:t>riscos</w:t>
      </w:r>
      <w:r>
        <w:rPr>
          <w:rFonts w:ascii="Arial" w:hAnsi="Arial"/>
          <w:b/>
          <w:spacing w:val="-6"/>
        </w:rPr>
        <w:t xml:space="preserve"> </w:t>
      </w:r>
      <w:r>
        <w:rPr>
          <w:rFonts w:ascii="Arial" w:hAnsi="Arial"/>
          <w:b/>
        </w:rPr>
        <w:t>prováveis</w:t>
      </w:r>
      <w:r>
        <w:rPr>
          <w:rFonts w:ascii="Arial" w:hAnsi="Arial"/>
          <w:b/>
          <w:spacing w:val="-2"/>
        </w:rPr>
        <w:t xml:space="preserve"> </w:t>
      </w:r>
      <w:r>
        <w:rPr>
          <w:rFonts w:ascii="Arial" w:hAnsi="Arial"/>
          <w:b/>
        </w:rPr>
        <w:t>no</w:t>
      </w:r>
      <w:r>
        <w:rPr>
          <w:rFonts w:ascii="Arial" w:hAnsi="Arial"/>
          <w:b/>
          <w:spacing w:val="-5"/>
        </w:rPr>
        <w:t xml:space="preserve"> </w:t>
      </w:r>
      <w:r>
        <w:rPr>
          <w:rFonts w:ascii="Arial" w:hAnsi="Arial"/>
          <w:b/>
          <w:spacing w:val="-2"/>
        </w:rPr>
        <w:t>exercício</w:t>
      </w:r>
    </w:p>
    <w:p w14:paraId="1C030D77" w14:textId="77777777" w:rsidR="002C6574" w:rsidRDefault="002C6574">
      <w:pPr>
        <w:pStyle w:val="Corpodetexto"/>
        <w:spacing w:before="47"/>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1"/>
        <w:gridCol w:w="2539"/>
      </w:tblGrid>
      <w:tr w:rsidR="002C6574" w14:paraId="64A55795" w14:textId="77777777">
        <w:trPr>
          <w:trHeight w:val="206"/>
        </w:trPr>
        <w:tc>
          <w:tcPr>
            <w:tcW w:w="7231" w:type="dxa"/>
          </w:tcPr>
          <w:p w14:paraId="3C284827" w14:textId="77777777" w:rsidR="002C6574" w:rsidRDefault="00000000">
            <w:pPr>
              <w:pStyle w:val="TableParagraph"/>
              <w:spacing w:line="186"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2024</w:t>
            </w:r>
          </w:p>
        </w:tc>
        <w:tc>
          <w:tcPr>
            <w:tcW w:w="2539" w:type="dxa"/>
          </w:tcPr>
          <w:p w14:paraId="7064C34D" w14:textId="77777777" w:rsidR="002C6574" w:rsidRDefault="00000000">
            <w:pPr>
              <w:pStyle w:val="TableParagraph"/>
              <w:spacing w:line="186" w:lineRule="exact"/>
              <w:ind w:right="59"/>
              <w:rPr>
                <w:rFonts w:ascii="Arial"/>
                <w:b/>
                <w:sz w:val="18"/>
              </w:rPr>
            </w:pPr>
            <w:r>
              <w:rPr>
                <w:rFonts w:ascii="Arial"/>
                <w:b/>
                <w:spacing w:val="-2"/>
                <w:sz w:val="18"/>
              </w:rPr>
              <w:t>64.758</w:t>
            </w:r>
          </w:p>
        </w:tc>
      </w:tr>
      <w:tr w:rsidR="002C6574" w14:paraId="7D88996A" w14:textId="77777777">
        <w:trPr>
          <w:trHeight w:val="208"/>
        </w:trPr>
        <w:tc>
          <w:tcPr>
            <w:tcW w:w="7231" w:type="dxa"/>
          </w:tcPr>
          <w:p w14:paraId="361DDDA6" w14:textId="77777777" w:rsidR="002C6574" w:rsidRDefault="00000000">
            <w:pPr>
              <w:pStyle w:val="TableParagraph"/>
              <w:spacing w:line="188" w:lineRule="exact"/>
              <w:ind w:left="69"/>
              <w:jc w:val="left"/>
              <w:rPr>
                <w:sz w:val="18"/>
              </w:rPr>
            </w:pPr>
            <w:r>
              <w:rPr>
                <w:sz w:val="18"/>
              </w:rPr>
              <w:t>Constituição</w:t>
            </w:r>
            <w:r>
              <w:rPr>
                <w:spacing w:val="-3"/>
                <w:sz w:val="18"/>
              </w:rPr>
              <w:t xml:space="preserve"> </w:t>
            </w:r>
            <w:r>
              <w:rPr>
                <w:sz w:val="18"/>
              </w:rPr>
              <w:t>de</w:t>
            </w:r>
            <w:r>
              <w:rPr>
                <w:spacing w:val="1"/>
                <w:sz w:val="18"/>
              </w:rPr>
              <w:t xml:space="preserve"> </w:t>
            </w:r>
            <w:r>
              <w:rPr>
                <w:spacing w:val="-2"/>
                <w:sz w:val="18"/>
              </w:rPr>
              <w:t>Provisão</w:t>
            </w:r>
          </w:p>
        </w:tc>
        <w:tc>
          <w:tcPr>
            <w:tcW w:w="2539" w:type="dxa"/>
          </w:tcPr>
          <w:p w14:paraId="32CD0013" w14:textId="77777777" w:rsidR="002C6574" w:rsidRDefault="00000000">
            <w:pPr>
              <w:pStyle w:val="TableParagraph"/>
              <w:spacing w:line="188" w:lineRule="exact"/>
              <w:ind w:right="57"/>
              <w:rPr>
                <w:sz w:val="18"/>
              </w:rPr>
            </w:pPr>
            <w:r>
              <w:rPr>
                <w:spacing w:val="-4"/>
                <w:w w:val="110"/>
                <w:sz w:val="18"/>
              </w:rPr>
              <w:t>5.196</w:t>
            </w:r>
          </w:p>
        </w:tc>
      </w:tr>
      <w:tr w:rsidR="002C6574" w14:paraId="755544D9" w14:textId="77777777">
        <w:trPr>
          <w:trHeight w:val="205"/>
        </w:trPr>
        <w:tc>
          <w:tcPr>
            <w:tcW w:w="7231" w:type="dxa"/>
          </w:tcPr>
          <w:p w14:paraId="7C726067" w14:textId="77777777" w:rsidR="002C6574" w:rsidRDefault="00000000">
            <w:pPr>
              <w:pStyle w:val="TableParagraph"/>
              <w:spacing w:line="186" w:lineRule="exact"/>
              <w:ind w:left="69"/>
              <w:jc w:val="left"/>
              <w:rPr>
                <w:sz w:val="18"/>
              </w:rPr>
            </w:pPr>
            <w:r>
              <w:rPr>
                <w:w w:val="105"/>
                <w:sz w:val="18"/>
              </w:rPr>
              <w:t>Reversão</w:t>
            </w:r>
            <w:r>
              <w:rPr>
                <w:spacing w:val="-2"/>
                <w:w w:val="105"/>
                <w:sz w:val="18"/>
              </w:rPr>
              <w:t xml:space="preserve"> </w:t>
            </w:r>
            <w:r>
              <w:rPr>
                <w:w w:val="105"/>
                <w:sz w:val="18"/>
              </w:rPr>
              <w:t>de</w:t>
            </w:r>
            <w:r>
              <w:rPr>
                <w:spacing w:val="-1"/>
                <w:w w:val="105"/>
                <w:sz w:val="18"/>
              </w:rPr>
              <w:t xml:space="preserve"> </w:t>
            </w:r>
            <w:r>
              <w:rPr>
                <w:spacing w:val="-2"/>
                <w:w w:val="105"/>
                <w:sz w:val="18"/>
              </w:rPr>
              <w:t>Provisão</w:t>
            </w:r>
          </w:p>
        </w:tc>
        <w:tc>
          <w:tcPr>
            <w:tcW w:w="2539" w:type="dxa"/>
          </w:tcPr>
          <w:p w14:paraId="4AE95B02" w14:textId="77777777" w:rsidR="002C6574" w:rsidRDefault="00000000">
            <w:pPr>
              <w:pStyle w:val="TableParagraph"/>
              <w:spacing w:line="186" w:lineRule="exact"/>
              <w:ind w:right="56"/>
              <w:rPr>
                <w:sz w:val="18"/>
              </w:rPr>
            </w:pPr>
            <w:r>
              <w:rPr>
                <w:spacing w:val="-2"/>
                <w:w w:val="110"/>
                <w:sz w:val="18"/>
              </w:rPr>
              <w:t>(1.421)</w:t>
            </w:r>
          </w:p>
        </w:tc>
      </w:tr>
      <w:tr w:rsidR="002C6574" w14:paraId="4609388A" w14:textId="77777777">
        <w:trPr>
          <w:trHeight w:val="208"/>
        </w:trPr>
        <w:tc>
          <w:tcPr>
            <w:tcW w:w="7231" w:type="dxa"/>
          </w:tcPr>
          <w:p w14:paraId="633F32F7" w14:textId="77777777" w:rsidR="002C6574" w:rsidRDefault="00000000">
            <w:pPr>
              <w:pStyle w:val="TableParagraph"/>
              <w:spacing w:line="188" w:lineRule="exact"/>
              <w:ind w:left="69"/>
              <w:jc w:val="left"/>
              <w:rPr>
                <w:sz w:val="18"/>
              </w:rPr>
            </w:pPr>
            <w:r>
              <w:rPr>
                <w:sz w:val="18"/>
              </w:rPr>
              <w:t>Juros</w:t>
            </w:r>
            <w:r>
              <w:rPr>
                <w:spacing w:val="26"/>
                <w:sz w:val="18"/>
              </w:rPr>
              <w:t xml:space="preserve"> </w:t>
            </w:r>
            <w:r>
              <w:rPr>
                <w:spacing w:val="-2"/>
                <w:sz w:val="18"/>
              </w:rPr>
              <w:t>Incorridos</w:t>
            </w:r>
          </w:p>
        </w:tc>
        <w:tc>
          <w:tcPr>
            <w:tcW w:w="2539" w:type="dxa"/>
          </w:tcPr>
          <w:p w14:paraId="0A930A92" w14:textId="77777777" w:rsidR="002C6574" w:rsidRDefault="00000000">
            <w:pPr>
              <w:pStyle w:val="TableParagraph"/>
              <w:spacing w:line="188" w:lineRule="exact"/>
              <w:ind w:right="57"/>
              <w:rPr>
                <w:sz w:val="18"/>
              </w:rPr>
            </w:pPr>
            <w:r>
              <w:rPr>
                <w:spacing w:val="-4"/>
                <w:w w:val="110"/>
                <w:sz w:val="18"/>
              </w:rPr>
              <w:t>4.760</w:t>
            </w:r>
          </w:p>
        </w:tc>
      </w:tr>
      <w:tr w:rsidR="002C6574" w14:paraId="5ECAE1A7" w14:textId="77777777">
        <w:trPr>
          <w:trHeight w:val="205"/>
        </w:trPr>
        <w:tc>
          <w:tcPr>
            <w:tcW w:w="7231" w:type="dxa"/>
          </w:tcPr>
          <w:p w14:paraId="6ACAD422" w14:textId="77777777" w:rsidR="002C6574" w:rsidRDefault="00000000">
            <w:pPr>
              <w:pStyle w:val="TableParagraph"/>
              <w:spacing w:line="186" w:lineRule="exact"/>
              <w:ind w:left="69"/>
              <w:jc w:val="left"/>
              <w:rPr>
                <w:sz w:val="18"/>
              </w:rPr>
            </w:pPr>
            <w:r>
              <w:rPr>
                <w:sz w:val="18"/>
              </w:rPr>
              <w:t>Atualização</w:t>
            </w:r>
            <w:r>
              <w:rPr>
                <w:spacing w:val="12"/>
                <w:sz w:val="18"/>
              </w:rPr>
              <w:t xml:space="preserve"> </w:t>
            </w:r>
            <w:r>
              <w:rPr>
                <w:spacing w:val="-2"/>
                <w:sz w:val="18"/>
              </w:rPr>
              <w:t>Monetária</w:t>
            </w:r>
          </w:p>
        </w:tc>
        <w:tc>
          <w:tcPr>
            <w:tcW w:w="2539" w:type="dxa"/>
          </w:tcPr>
          <w:p w14:paraId="0238F991" w14:textId="77777777" w:rsidR="002C6574" w:rsidRDefault="00000000">
            <w:pPr>
              <w:pStyle w:val="TableParagraph"/>
              <w:spacing w:line="186" w:lineRule="exact"/>
              <w:ind w:right="58"/>
              <w:rPr>
                <w:sz w:val="18"/>
              </w:rPr>
            </w:pPr>
            <w:r>
              <w:rPr>
                <w:spacing w:val="-2"/>
                <w:w w:val="110"/>
                <w:sz w:val="18"/>
              </w:rPr>
              <w:t>1.724</w:t>
            </w:r>
          </w:p>
        </w:tc>
      </w:tr>
      <w:tr w:rsidR="002C6574" w14:paraId="003B579C" w14:textId="77777777">
        <w:trPr>
          <w:trHeight w:val="206"/>
        </w:trPr>
        <w:tc>
          <w:tcPr>
            <w:tcW w:w="7231" w:type="dxa"/>
          </w:tcPr>
          <w:p w14:paraId="283FA36E" w14:textId="77777777" w:rsidR="002C6574" w:rsidRDefault="00000000">
            <w:pPr>
              <w:pStyle w:val="TableParagraph"/>
              <w:spacing w:line="186" w:lineRule="exact"/>
              <w:ind w:left="69"/>
              <w:jc w:val="left"/>
              <w:rPr>
                <w:sz w:val="18"/>
              </w:rPr>
            </w:pPr>
            <w:r>
              <w:rPr>
                <w:spacing w:val="-2"/>
                <w:w w:val="110"/>
                <w:sz w:val="18"/>
              </w:rPr>
              <w:t>Baixas</w:t>
            </w:r>
          </w:p>
        </w:tc>
        <w:tc>
          <w:tcPr>
            <w:tcW w:w="2539" w:type="dxa"/>
          </w:tcPr>
          <w:p w14:paraId="2C6D82B0" w14:textId="77777777" w:rsidR="002C6574" w:rsidRDefault="00000000">
            <w:pPr>
              <w:pStyle w:val="TableParagraph"/>
              <w:spacing w:line="186" w:lineRule="exact"/>
              <w:ind w:right="55"/>
              <w:rPr>
                <w:sz w:val="18"/>
              </w:rPr>
            </w:pPr>
            <w:r>
              <w:rPr>
                <w:spacing w:val="-2"/>
                <w:w w:val="110"/>
                <w:sz w:val="18"/>
              </w:rPr>
              <w:t>(3.298)</w:t>
            </w:r>
          </w:p>
        </w:tc>
      </w:tr>
      <w:tr w:rsidR="002C6574" w14:paraId="32B938B5" w14:textId="77777777">
        <w:trPr>
          <w:trHeight w:val="208"/>
        </w:trPr>
        <w:tc>
          <w:tcPr>
            <w:tcW w:w="7231" w:type="dxa"/>
          </w:tcPr>
          <w:p w14:paraId="7F9C9B96" w14:textId="77777777" w:rsidR="002C6574" w:rsidRDefault="00000000">
            <w:pPr>
              <w:pStyle w:val="TableParagraph"/>
              <w:spacing w:line="188"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2025</w:t>
            </w:r>
          </w:p>
        </w:tc>
        <w:tc>
          <w:tcPr>
            <w:tcW w:w="2539" w:type="dxa"/>
          </w:tcPr>
          <w:p w14:paraId="3609D83C" w14:textId="77777777" w:rsidR="002C6574" w:rsidRDefault="00000000">
            <w:pPr>
              <w:pStyle w:val="TableParagraph"/>
              <w:spacing w:line="188" w:lineRule="exact"/>
              <w:ind w:right="59"/>
              <w:rPr>
                <w:rFonts w:ascii="Arial"/>
                <w:b/>
                <w:sz w:val="18"/>
              </w:rPr>
            </w:pPr>
            <w:r>
              <w:rPr>
                <w:rFonts w:ascii="Arial"/>
                <w:b/>
                <w:spacing w:val="-2"/>
                <w:sz w:val="18"/>
              </w:rPr>
              <w:t>71.719</w:t>
            </w:r>
          </w:p>
        </w:tc>
      </w:tr>
      <w:tr w:rsidR="002C6574" w14:paraId="702443BC" w14:textId="77777777">
        <w:trPr>
          <w:trHeight w:val="205"/>
        </w:trPr>
        <w:tc>
          <w:tcPr>
            <w:tcW w:w="7231" w:type="dxa"/>
          </w:tcPr>
          <w:p w14:paraId="06C15977" w14:textId="77777777" w:rsidR="002C6574" w:rsidRDefault="00000000">
            <w:pPr>
              <w:pStyle w:val="TableParagraph"/>
              <w:spacing w:line="186" w:lineRule="exact"/>
              <w:ind w:left="69"/>
              <w:jc w:val="left"/>
              <w:rPr>
                <w:rFonts w:ascii="Arial"/>
                <w:b/>
                <w:sz w:val="18"/>
              </w:rPr>
            </w:pPr>
            <w:r>
              <w:rPr>
                <w:rFonts w:ascii="Arial"/>
                <w:b/>
                <w:spacing w:val="-2"/>
                <w:sz w:val="18"/>
              </w:rPr>
              <w:t>Circulante</w:t>
            </w:r>
          </w:p>
        </w:tc>
        <w:tc>
          <w:tcPr>
            <w:tcW w:w="2539" w:type="dxa"/>
          </w:tcPr>
          <w:p w14:paraId="4291D850" w14:textId="77777777" w:rsidR="002C6574" w:rsidRDefault="00000000">
            <w:pPr>
              <w:pStyle w:val="TableParagraph"/>
              <w:spacing w:line="186" w:lineRule="exact"/>
              <w:ind w:right="59"/>
              <w:rPr>
                <w:rFonts w:ascii="Arial"/>
                <w:b/>
                <w:sz w:val="18"/>
              </w:rPr>
            </w:pPr>
            <w:r>
              <w:rPr>
                <w:rFonts w:ascii="Arial"/>
                <w:b/>
                <w:spacing w:val="-2"/>
                <w:sz w:val="18"/>
              </w:rPr>
              <w:t>5.416</w:t>
            </w:r>
          </w:p>
        </w:tc>
      </w:tr>
      <w:tr w:rsidR="002C6574" w14:paraId="55846FC5" w14:textId="77777777">
        <w:trPr>
          <w:trHeight w:val="208"/>
        </w:trPr>
        <w:tc>
          <w:tcPr>
            <w:tcW w:w="7231" w:type="dxa"/>
          </w:tcPr>
          <w:p w14:paraId="3A4778DC" w14:textId="77777777" w:rsidR="002C6574" w:rsidRDefault="00000000">
            <w:pPr>
              <w:pStyle w:val="TableParagraph"/>
              <w:spacing w:line="188" w:lineRule="exact"/>
              <w:ind w:left="69"/>
              <w:jc w:val="left"/>
              <w:rPr>
                <w:rFonts w:ascii="Arial" w:hAnsi="Arial"/>
                <w:b/>
                <w:sz w:val="18"/>
              </w:rPr>
            </w:pPr>
            <w:r>
              <w:rPr>
                <w:rFonts w:ascii="Arial" w:hAnsi="Arial"/>
                <w:b/>
                <w:sz w:val="18"/>
              </w:rPr>
              <w:t xml:space="preserve">Não </w:t>
            </w:r>
            <w:r>
              <w:rPr>
                <w:rFonts w:ascii="Arial" w:hAnsi="Arial"/>
                <w:b/>
                <w:spacing w:val="-2"/>
                <w:sz w:val="18"/>
              </w:rPr>
              <w:t>Circulante</w:t>
            </w:r>
          </w:p>
        </w:tc>
        <w:tc>
          <w:tcPr>
            <w:tcW w:w="2539" w:type="dxa"/>
          </w:tcPr>
          <w:p w14:paraId="62F4699C" w14:textId="77777777" w:rsidR="002C6574" w:rsidRDefault="00000000">
            <w:pPr>
              <w:pStyle w:val="TableParagraph"/>
              <w:spacing w:line="188" w:lineRule="exact"/>
              <w:ind w:right="59"/>
              <w:rPr>
                <w:rFonts w:ascii="Arial"/>
                <w:b/>
                <w:sz w:val="18"/>
              </w:rPr>
            </w:pPr>
            <w:r>
              <w:rPr>
                <w:rFonts w:ascii="Arial"/>
                <w:b/>
                <w:spacing w:val="-2"/>
                <w:sz w:val="18"/>
              </w:rPr>
              <w:t>66.303</w:t>
            </w:r>
          </w:p>
        </w:tc>
      </w:tr>
    </w:tbl>
    <w:p w14:paraId="54C0BA32" w14:textId="77777777" w:rsidR="002C6574" w:rsidRDefault="00000000">
      <w:pPr>
        <w:pStyle w:val="Corpodetexto"/>
        <w:spacing w:before="251" w:line="237" w:lineRule="auto"/>
        <w:ind w:left="143" w:right="703"/>
        <w:jc w:val="both"/>
      </w:pPr>
      <w:r>
        <w:t>A Administração, tendo em vista os prazos e a dinâmica dos sistemas judiciário, tributário e regulatório, acredita não ser praticável fornecer informações úteis aos usuários dessas informações contábeis a</w:t>
      </w:r>
      <w:r>
        <w:rPr>
          <w:spacing w:val="-6"/>
        </w:rPr>
        <w:t xml:space="preserve"> </w:t>
      </w:r>
      <w:r>
        <w:t>respeito</w:t>
      </w:r>
      <w:r>
        <w:rPr>
          <w:spacing w:val="-4"/>
        </w:rPr>
        <w:t xml:space="preserve"> </w:t>
      </w:r>
      <w:r>
        <w:t>do</w:t>
      </w:r>
      <w:r>
        <w:rPr>
          <w:spacing w:val="-4"/>
        </w:rPr>
        <w:t xml:space="preserve"> </w:t>
      </w:r>
      <w:r>
        <w:t>momento</w:t>
      </w:r>
      <w:r>
        <w:rPr>
          <w:spacing w:val="-2"/>
        </w:rPr>
        <w:t xml:space="preserve"> </w:t>
      </w:r>
      <w:r>
        <w:t>de</w:t>
      </w:r>
      <w:r>
        <w:rPr>
          <w:spacing w:val="-3"/>
        </w:rPr>
        <w:t xml:space="preserve"> </w:t>
      </w:r>
      <w:r>
        <w:t>eventuais</w:t>
      </w:r>
      <w:r>
        <w:rPr>
          <w:spacing w:val="-3"/>
        </w:rPr>
        <w:t xml:space="preserve"> </w:t>
      </w:r>
      <w:r>
        <w:t>saídas</w:t>
      </w:r>
      <w:r>
        <w:rPr>
          <w:spacing w:val="-3"/>
        </w:rPr>
        <w:t xml:space="preserve"> </w:t>
      </w:r>
      <w:r>
        <w:t>de</w:t>
      </w:r>
      <w:r>
        <w:rPr>
          <w:spacing w:val="-4"/>
        </w:rPr>
        <w:t xml:space="preserve"> </w:t>
      </w:r>
      <w:r>
        <w:t>caixa,</w:t>
      </w:r>
      <w:r>
        <w:rPr>
          <w:spacing w:val="-2"/>
        </w:rPr>
        <w:t xml:space="preserve"> </w:t>
      </w:r>
      <w:r>
        <w:t>bem</w:t>
      </w:r>
      <w:r>
        <w:rPr>
          <w:spacing w:val="-3"/>
        </w:rPr>
        <w:t xml:space="preserve"> </w:t>
      </w:r>
      <w:r>
        <w:t>como de</w:t>
      </w:r>
      <w:r>
        <w:rPr>
          <w:spacing w:val="-2"/>
        </w:rPr>
        <w:t xml:space="preserve"> </w:t>
      </w:r>
      <w:r>
        <w:t>qualquer possibilidade de reembolsos. A Companhia acredita que eventuais desembolsos, em excesso aos montantes provisionados, após o desfecho dos respectivos processos, não afetarão, de forma relevante, o resultado das suas operações e a posição financeira.</w:t>
      </w:r>
    </w:p>
    <w:p w14:paraId="00B40402" w14:textId="77777777" w:rsidR="002C6574" w:rsidRDefault="00000000">
      <w:pPr>
        <w:numPr>
          <w:ilvl w:val="1"/>
          <w:numId w:val="36"/>
        </w:numPr>
        <w:tabs>
          <w:tab w:val="left" w:pos="995"/>
        </w:tabs>
        <w:spacing w:before="247"/>
        <w:rPr>
          <w:rFonts w:ascii="Arial" w:hAnsi="Arial"/>
          <w:b/>
        </w:rPr>
      </w:pPr>
      <w:r>
        <w:rPr>
          <w:rFonts w:ascii="Arial" w:hAnsi="Arial"/>
          <w:b/>
        </w:rPr>
        <w:t>Provisão</w:t>
      </w:r>
      <w:r>
        <w:rPr>
          <w:rFonts w:ascii="Arial" w:hAnsi="Arial"/>
          <w:b/>
          <w:spacing w:val="-4"/>
        </w:rPr>
        <w:t xml:space="preserve"> </w:t>
      </w:r>
      <w:r>
        <w:rPr>
          <w:rFonts w:ascii="Arial" w:hAnsi="Arial"/>
          <w:b/>
        </w:rPr>
        <w:t>para</w:t>
      </w:r>
      <w:r>
        <w:rPr>
          <w:rFonts w:ascii="Arial" w:hAnsi="Arial"/>
          <w:b/>
          <w:spacing w:val="-4"/>
        </w:rPr>
        <w:t xml:space="preserve"> </w:t>
      </w:r>
      <w:r>
        <w:rPr>
          <w:rFonts w:ascii="Arial" w:hAnsi="Arial"/>
          <w:b/>
        </w:rPr>
        <w:t>riscos</w:t>
      </w:r>
      <w:r>
        <w:rPr>
          <w:rFonts w:ascii="Arial" w:hAnsi="Arial"/>
          <w:b/>
          <w:spacing w:val="-8"/>
        </w:rPr>
        <w:t xml:space="preserve"> </w:t>
      </w:r>
      <w:r>
        <w:rPr>
          <w:rFonts w:ascii="Arial" w:hAnsi="Arial"/>
          <w:b/>
        </w:rPr>
        <w:t>possíveis</w:t>
      </w:r>
      <w:r>
        <w:rPr>
          <w:rFonts w:ascii="Arial" w:hAnsi="Arial"/>
          <w:b/>
          <w:spacing w:val="-8"/>
        </w:rPr>
        <w:t xml:space="preserve"> </w:t>
      </w:r>
      <w:r>
        <w:rPr>
          <w:rFonts w:ascii="Arial" w:hAnsi="Arial"/>
          <w:b/>
        </w:rPr>
        <w:t>(Passivos</w:t>
      </w:r>
      <w:r>
        <w:rPr>
          <w:rFonts w:ascii="Arial" w:hAnsi="Arial"/>
          <w:b/>
          <w:spacing w:val="-2"/>
        </w:rPr>
        <w:t xml:space="preserve"> contingentes)</w:t>
      </w:r>
    </w:p>
    <w:p w14:paraId="150A6D29" w14:textId="77777777" w:rsidR="002C6574" w:rsidRDefault="00000000">
      <w:pPr>
        <w:pStyle w:val="Corpodetexto"/>
        <w:spacing w:before="143" w:line="237" w:lineRule="auto"/>
        <w:ind w:left="143" w:right="703"/>
        <w:jc w:val="both"/>
      </w:pPr>
      <w:r>
        <w:rPr>
          <w:spacing w:val="-2"/>
          <w:w w:val="105"/>
        </w:rPr>
        <w:t>Os</w:t>
      </w:r>
      <w:r>
        <w:rPr>
          <w:spacing w:val="-6"/>
          <w:w w:val="105"/>
        </w:rPr>
        <w:t xml:space="preserve"> </w:t>
      </w:r>
      <w:r>
        <w:rPr>
          <w:spacing w:val="-2"/>
          <w:w w:val="105"/>
        </w:rPr>
        <w:t>processos</w:t>
      </w:r>
      <w:r>
        <w:rPr>
          <w:spacing w:val="-12"/>
          <w:w w:val="105"/>
        </w:rPr>
        <w:t xml:space="preserve"> </w:t>
      </w:r>
      <w:r>
        <w:rPr>
          <w:spacing w:val="-2"/>
          <w:w w:val="105"/>
        </w:rPr>
        <w:t>judiciais</w:t>
      </w:r>
      <w:r>
        <w:rPr>
          <w:spacing w:val="-8"/>
          <w:w w:val="105"/>
        </w:rPr>
        <w:t xml:space="preserve"> </w:t>
      </w:r>
      <w:r>
        <w:rPr>
          <w:spacing w:val="-2"/>
          <w:w w:val="105"/>
        </w:rPr>
        <w:t>que</w:t>
      </w:r>
      <w:r>
        <w:rPr>
          <w:spacing w:val="-7"/>
          <w:w w:val="105"/>
        </w:rPr>
        <w:t xml:space="preserve"> </w:t>
      </w:r>
      <w:r>
        <w:rPr>
          <w:spacing w:val="-2"/>
          <w:w w:val="105"/>
        </w:rPr>
        <w:t>constituem</w:t>
      </w:r>
      <w:r>
        <w:rPr>
          <w:spacing w:val="-8"/>
          <w:w w:val="105"/>
        </w:rPr>
        <w:t xml:space="preserve"> </w:t>
      </w:r>
      <w:r>
        <w:rPr>
          <w:spacing w:val="-2"/>
          <w:w w:val="105"/>
        </w:rPr>
        <w:t>obrigações</w:t>
      </w:r>
      <w:r>
        <w:rPr>
          <w:spacing w:val="-6"/>
          <w:w w:val="105"/>
        </w:rPr>
        <w:t xml:space="preserve"> </w:t>
      </w:r>
      <w:r>
        <w:rPr>
          <w:spacing w:val="-2"/>
          <w:w w:val="105"/>
        </w:rPr>
        <w:t>presentes,</w:t>
      </w:r>
      <w:r>
        <w:rPr>
          <w:spacing w:val="-5"/>
          <w:w w:val="105"/>
        </w:rPr>
        <w:t xml:space="preserve"> </w:t>
      </w:r>
      <w:r>
        <w:rPr>
          <w:spacing w:val="-2"/>
          <w:w w:val="105"/>
        </w:rPr>
        <w:t>cuja</w:t>
      </w:r>
      <w:r>
        <w:rPr>
          <w:spacing w:val="-8"/>
          <w:w w:val="105"/>
        </w:rPr>
        <w:t xml:space="preserve"> </w:t>
      </w:r>
      <w:r>
        <w:rPr>
          <w:spacing w:val="-2"/>
          <w:w w:val="105"/>
        </w:rPr>
        <w:t>saída</w:t>
      </w:r>
      <w:r>
        <w:rPr>
          <w:spacing w:val="-8"/>
          <w:w w:val="105"/>
        </w:rPr>
        <w:t xml:space="preserve"> </w:t>
      </w:r>
      <w:r>
        <w:rPr>
          <w:spacing w:val="-2"/>
          <w:w w:val="105"/>
        </w:rPr>
        <w:t>de</w:t>
      </w:r>
      <w:r>
        <w:rPr>
          <w:spacing w:val="-7"/>
          <w:w w:val="105"/>
        </w:rPr>
        <w:t xml:space="preserve"> </w:t>
      </w:r>
      <w:r>
        <w:rPr>
          <w:spacing w:val="-2"/>
          <w:w w:val="105"/>
        </w:rPr>
        <w:t>recursos</w:t>
      </w:r>
      <w:r>
        <w:rPr>
          <w:spacing w:val="-6"/>
          <w:w w:val="105"/>
        </w:rPr>
        <w:t xml:space="preserve"> </w:t>
      </w:r>
      <w:r>
        <w:rPr>
          <w:spacing w:val="-2"/>
          <w:w w:val="105"/>
        </w:rPr>
        <w:t>não</w:t>
      </w:r>
      <w:r>
        <w:rPr>
          <w:spacing w:val="-8"/>
          <w:w w:val="105"/>
        </w:rPr>
        <w:t xml:space="preserve"> </w:t>
      </w:r>
      <w:r>
        <w:rPr>
          <w:spacing w:val="-2"/>
          <w:w w:val="105"/>
        </w:rPr>
        <w:t>é</w:t>
      </w:r>
      <w:r>
        <w:rPr>
          <w:spacing w:val="-8"/>
          <w:w w:val="105"/>
        </w:rPr>
        <w:t xml:space="preserve"> </w:t>
      </w:r>
      <w:r>
        <w:rPr>
          <w:spacing w:val="-2"/>
          <w:w w:val="105"/>
        </w:rPr>
        <w:t xml:space="preserve">provável </w:t>
      </w:r>
      <w:r>
        <w:t>ou</w:t>
      </w:r>
      <w:r>
        <w:rPr>
          <w:spacing w:val="-6"/>
        </w:rPr>
        <w:t xml:space="preserve"> </w:t>
      </w:r>
      <w:r>
        <w:t>que</w:t>
      </w:r>
      <w:r>
        <w:rPr>
          <w:spacing w:val="-6"/>
        </w:rPr>
        <w:t xml:space="preserve"> </w:t>
      </w:r>
      <w:r>
        <w:t>não</w:t>
      </w:r>
      <w:r>
        <w:rPr>
          <w:spacing w:val="-6"/>
        </w:rPr>
        <w:t xml:space="preserve"> </w:t>
      </w:r>
      <w:r>
        <w:t>possa</w:t>
      </w:r>
      <w:r>
        <w:rPr>
          <w:spacing w:val="-7"/>
        </w:rPr>
        <w:t xml:space="preserve"> </w:t>
      </w:r>
      <w:r>
        <w:t>ser</w:t>
      </w:r>
      <w:r>
        <w:rPr>
          <w:spacing w:val="-8"/>
        </w:rPr>
        <w:t xml:space="preserve"> </w:t>
      </w:r>
      <w:r>
        <w:t>feita</w:t>
      </w:r>
      <w:r>
        <w:rPr>
          <w:spacing w:val="-7"/>
        </w:rPr>
        <w:t xml:space="preserve"> </w:t>
      </w:r>
      <w:r>
        <w:t>uma</w:t>
      </w:r>
      <w:r>
        <w:rPr>
          <w:spacing w:val="-7"/>
        </w:rPr>
        <w:t xml:space="preserve"> </w:t>
      </w:r>
      <w:r>
        <w:t>estimativa</w:t>
      </w:r>
      <w:r>
        <w:rPr>
          <w:spacing w:val="-6"/>
        </w:rPr>
        <w:t xml:space="preserve"> </w:t>
      </w:r>
      <w:r>
        <w:t>suficientemente</w:t>
      </w:r>
      <w:r>
        <w:rPr>
          <w:spacing w:val="-7"/>
        </w:rPr>
        <w:t xml:space="preserve"> </w:t>
      </w:r>
      <w:r>
        <w:t>confiável</w:t>
      </w:r>
      <w:r>
        <w:rPr>
          <w:spacing w:val="-8"/>
        </w:rPr>
        <w:t xml:space="preserve"> </w:t>
      </w:r>
      <w:r>
        <w:t>do</w:t>
      </w:r>
      <w:r>
        <w:rPr>
          <w:spacing w:val="-6"/>
        </w:rPr>
        <w:t xml:space="preserve"> </w:t>
      </w:r>
      <w:r>
        <w:t>valor,</w:t>
      </w:r>
      <w:r>
        <w:rPr>
          <w:spacing w:val="-6"/>
        </w:rPr>
        <w:t xml:space="preserve"> </w:t>
      </w:r>
      <w:r>
        <w:t>bem</w:t>
      </w:r>
      <w:r>
        <w:rPr>
          <w:spacing w:val="-8"/>
        </w:rPr>
        <w:t xml:space="preserve"> </w:t>
      </w:r>
      <w:r>
        <w:t>como</w:t>
      </w:r>
      <w:r>
        <w:rPr>
          <w:spacing w:val="-9"/>
        </w:rPr>
        <w:t xml:space="preserve"> </w:t>
      </w:r>
      <w:r>
        <w:t>aqueles</w:t>
      </w:r>
      <w:r>
        <w:rPr>
          <w:spacing w:val="-6"/>
        </w:rPr>
        <w:t xml:space="preserve"> </w:t>
      </w:r>
      <w:r>
        <w:t xml:space="preserve">que </w:t>
      </w:r>
      <w:r>
        <w:rPr>
          <w:w w:val="105"/>
        </w:rPr>
        <w:t xml:space="preserve">não constituem obrigações presentes, não são reconhecidos, mas divulgados, a menos que seja </w:t>
      </w:r>
      <w:r>
        <w:t>remota a possibilidade de saída de recursos. Os passivos contingentes estimados para os processos judiciais</w:t>
      </w:r>
      <w:r>
        <w:rPr>
          <w:spacing w:val="-4"/>
        </w:rPr>
        <w:t xml:space="preserve"> </w:t>
      </w:r>
      <w:r>
        <w:t>em</w:t>
      </w:r>
      <w:r>
        <w:rPr>
          <w:spacing w:val="-5"/>
        </w:rPr>
        <w:t xml:space="preserve"> </w:t>
      </w:r>
      <w:r>
        <w:t>31</w:t>
      </w:r>
      <w:r>
        <w:rPr>
          <w:spacing w:val="-8"/>
        </w:rPr>
        <w:t xml:space="preserve"> </w:t>
      </w:r>
      <w:r>
        <w:t>de</w:t>
      </w:r>
      <w:r>
        <w:rPr>
          <w:spacing w:val="-4"/>
        </w:rPr>
        <w:t xml:space="preserve"> </w:t>
      </w:r>
      <w:r>
        <w:t>dezembro</w:t>
      </w:r>
      <w:r>
        <w:rPr>
          <w:spacing w:val="-5"/>
        </w:rPr>
        <w:t xml:space="preserve"> </w:t>
      </w:r>
      <w:r>
        <w:t>de</w:t>
      </w:r>
      <w:r>
        <w:rPr>
          <w:spacing w:val="-4"/>
        </w:rPr>
        <w:t xml:space="preserve"> </w:t>
      </w:r>
      <w:r>
        <w:t>2025,</w:t>
      </w:r>
      <w:r>
        <w:rPr>
          <w:spacing w:val="-3"/>
        </w:rPr>
        <w:t xml:space="preserve"> </w:t>
      </w:r>
      <w:r>
        <w:t>para</w:t>
      </w:r>
      <w:r>
        <w:rPr>
          <w:spacing w:val="-5"/>
        </w:rPr>
        <w:t xml:space="preserve"> </w:t>
      </w:r>
      <w:r>
        <w:t>os</w:t>
      </w:r>
      <w:r>
        <w:rPr>
          <w:spacing w:val="-6"/>
        </w:rPr>
        <w:t xml:space="preserve"> </w:t>
      </w:r>
      <w:r>
        <w:t>quais</w:t>
      </w:r>
      <w:r>
        <w:rPr>
          <w:spacing w:val="-6"/>
        </w:rPr>
        <w:t xml:space="preserve"> </w:t>
      </w:r>
      <w:r>
        <w:t>a</w:t>
      </w:r>
      <w:r>
        <w:rPr>
          <w:spacing w:val="-4"/>
        </w:rPr>
        <w:t xml:space="preserve"> </w:t>
      </w:r>
      <w:r>
        <w:t>probabilidade</w:t>
      </w:r>
      <w:r>
        <w:rPr>
          <w:spacing w:val="-5"/>
        </w:rPr>
        <w:t xml:space="preserve"> </w:t>
      </w:r>
      <w:r>
        <w:t>de</w:t>
      </w:r>
      <w:r>
        <w:rPr>
          <w:spacing w:val="-5"/>
        </w:rPr>
        <w:t xml:space="preserve"> </w:t>
      </w:r>
      <w:r>
        <w:t>perda</w:t>
      </w:r>
      <w:r>
        <w:rPr>
          <w:spacing w:val="-5"/>
        </w:rPr>
        <w:t xml:space="preserve"> </w:t>
      </w:r>
      <w:r>
        <w:t>é</w:t>
      </w:r>
      <w:r>
        <w:rPr>
          <w:spacing w:val="-4"/>
        </w:rPr>
        <w:t xml:space="preserve"> </w:t>
      </w:r>
      <w:r>
        <w:t>considerada</w:t>
      </w:r>
      <w:r>
        <w:rPr>
          <w:spacing w:val="-5"/>
        </w:rPr>
        <w:t xml:space="preserve"> </w:t>
      </w:r>
      <w:r>
        <w:t xml:space="preserve">possível, </w:t>
      </w:r>
      <w:r>
        <w:rPr>
          <w:w w:val="105"/>
        </w:rPr>
        <w:t>são apresentados a seguir:</w:t>
      </w:r>
    </w:p>
    <w:p w14:paraId="4C0A8CB8" w14:textId="77777777" w:rsidR="002C6574" w:rsidRDefault="002C6574">
      <w:pPr>
        <w:pStyle w:val="Corpodetexto"/>
        <w:spacing w:before="59" w:after="1"/>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2"/>
        <w:gridCol w:w="1555"/>
        <w:gridCol w:w="1553"/>
      </w:tblGrid>
      <w:tr w:rsidR="002C6574" w14:paraId="10907417" w14:textId="77777777">
        <w:trPr>
          <w:trHeight w:val="215"/>
        </w:trPr>
        <w:tc>
          <w:tcPr>
            <w:tcW w:w="6662" w:type="dxa"/>
            <w:shd w:val="clear" w:color="auto" w:fill="D8D8D8"/>
          </w:tcPr>
          <w:p w14:paraId="4BC5577B" w14:textId="77777777" w:rsidR="002C6574" w:rsidRDefault="00000000">
            <w:pPr>
              <w:pStyle w:val="TableParagraph"/>
              <w:spacing w:before="3" w:line="192" w:lineRule="exact"/>
              <w:ind w:left="69"/>
              <w:jc w:val="left"/>
              <w:rPr>
                <w:rFonts w:ascii="Arial"/>
                <w:b/>
                <w:sz w:val="18"/>
              </w:rPr>
            </w:pPr>
            <w:r>
              <w:rPr>
                <w:rFonts w:ascii="Arial"/>
                <w:b/>
                <w:spacing w:val="-2"/>
                <w:sz w:val="18"/>
              </w:rPr>
              <w:t>Natureza:</w:t>
            </w:r>
          </w:p>
        </w:tc>
        <w:tc>
          <w:tcPr>
            <w:tcW w:w="1555" w:type="dxa"/>
          </w:tcPr>
          <w:p w14:paraId="6CB9E9BD" w14:textId="77777777" w:rsidR="002C6574" w:rsidRDefault="00000000">
            <w:pPr>
              <w:pStyle w:val="TableParagraph"/>
              <w:spacing w:before="3" w:line="192" w:lineRule="exact"/>
              <w:ind w:left="325"/>
              <w:jc w:val="left"/>
              <w:rPr>
                <w:rFonts w:ascii="Arial"/>
                <w:b/>
                <w:sz w:val="18"/>
              </w:rPr>
            </w:pPr>
            <w:r>
              <w:rPr>
                <w:rFonts w:ascii="Arial"/>
                <w:b/>
                <w:spacing w:val="-2"/>
                <w:sz w:val="18"/>
              </w:rPr>
              <w:t>31/12/2025</w:t>
            </w:r>
          </w:p>
        </w:tc>
        <w:tc>
          <w:tcPr>
            <w:tcW w:w="1553" w:type="dxa"/>
          </w:tcPr>
          <w:p w14:paraId="3348F29E" w14:textId="77777777" w:rsidR="002C6574" w:rsidRDefault="00000000">
            <w:pPr>
              <w:pStyle w:val="TableParagraph"/>
              <w:spacing w:before="3" w:line="192" w:lineRule="exact"/>
              <w:ind w:left="326"/>
              <w:jc w:val="left"/>
              <w:rPr>
                <w:rFonts w:ascii="Arial"/>
                <w:b/>
                <w:sz w:val="18"/>
              </w:rPr>
            </w:pPr>
            <w:r>
              <w:rPr>
                <w:rFonts w:ascii="Arial"/>
                <w:b/>
                <w:spacing w:val="-2"/>
                <w:sz w:val="18"/>
              </w:rPr>
              <w:t>31/12/2024</w:t>
            </w:r>
          </w:p>
        </w:tc>
      </w:tr>
      <w:tr w:rsidR="002C6574" w14:paraId="3DD04485" w14:textId="77777777">
        <w:trPr>
          <w:trHeight w:val="215"/>
        </w:trPr>
        <w:tc>
          <w:tcPr>
            <w:tcW w:w="6662" w:type="dxa"/>
          </w:tcPr>
          <w:p w14:paraId="10C23DEC" w14:textId="77777777" w:rsidR="002C6574" w:rsidRDefault="00000000">
            <w:pPr>
              <w:pStyle w:val="TableParagraph"/>
              <w:spacing w:line="196" w:lineRule="exact"/>
              <w:ind w:left="69"/>
              <w:jc w:val="left"/>
              <w:rPr>
                <w:sz w:val="18"/>
              </w:rPr>
            </w:pPr>
            <w:r>
              <w:rPr>
                <w:spacing w:val="-4"/>
                <w:w w:val="105"/>
                <w:sz w:val="18"/>
              </w:rPr>
              <w:t>Cível</w:t>
            </w:r>
          </w:p>
        </w:tc>
        <w:tc>
          <w:tcPr>
            <w:tcW w:w="1555" w:type="dxa"/>
          </w:tcPr>
          <w:p w14:paraId="06CE369E" w14:textId="77777777" w:rsidR="002C6574" w:rsidRDefault="00000000">
            <w:pPr>
              <w:pStyle w:val="TableParagraph"/>
              <w:spacing w:line="196" w:lineRule="exact"/>
              <w:ind w:right="59"/>
              <w:rPr>
                <w:sz w:val="18"/>
              </w:rPr>
            </w:pPr>
            <w:r>
              <w:rPr>
                <w:spacing w:val="-2"/>
                <w:w w:val="105"/>
                <w:sz w:val="18"/>
              </w:rPr>
              <w:t>101.911</w:t>
            </w:r>
          </w:p>
        </w:tc>
        <w:tc>
          <w:tcPr>
            <w:tcW w:w="1553" w:type="dxa"/>
          </w:tcPr>
          <w:p w14:paraId="3012017F" w14:textId="77777777" w:rsidR="002C6574" w:rsidRDefault="00000000">
            <w:pPr>
              <w:pStyle w:val="TableParagraph"/>
              <w:spacing w:line="196" w:lineRule="exact"/>
              <w:ind w:right="55"/>
              <w:rPr>
                <w:sz w:val="18"/>
              </w:rPr>
            </w:pPr>
            <w:r>
              <w:rPr>
                <w:spacing w:val="-2"/>
                <w:w w:val="105"/>
                <w:sz w:val="18"/>
              </w:rPr>
              <w:t>110.978</w:t>
            </w:r>
          </w:p>
        </w:tc>
      </w:tr>
      <w:tr w:rsidR="002C6574" w14:paraId="176F6FFB" w14:textId="77777777">
        <w:trPr>
          <w:trHeight w:val="213"/>
        </w:trPr>
        <w:tc>
          <w:tcPr>
            <w:tcW w:w="6662" w:type="dxa"/>
          </w:tcPr>
          <w:p w14:paraId="79E184EB" w14:textId="77777777" w:rsidR="002C6574" w:rsidRDefault="00000000">
            <w:pPr>
              <w:pStyle w:val="TableParagraph"/>
              <w:spacing w:line="193" w:lineRule="exact"/>
              <w:ind w:left="69"/>
              <w:jc w:val="left"/>
              <w:rPr>
                <w:sz w:val="18"/>
              </w:rPr>
            </w:pPr>
            <w:r>
              <w:rPr>
                <w:spacing w:val="-2"/>
                <w:sz w:val="18"/>
              </w:rPr>
              <w:t>Tributária</w:t>
            </w:r>
          </w:p>
        </w:tc>
        <w:tc>
          <w:tcPr>
            <w:tcW w:w="1555" w:type="dxa"/>
          </w:tcPr>
          <w:p w14:paraId="5BB52D12" w14:textId="77777777" w:rsidR="002C6574" w:rsidRDefault="00000000">
            <w:pPr>
              <w:pStyle w:val="TableParagraph"/>
              <w:spacing w:line="193" w:lineRule="exact"/>
              <w:ind w:right="57"/>
              <w:rPr>
                <w:sz w:val="18"/>
              </w:rPr>
            </w:pPr>
            <w:r>
              <w:rPr>
                <w:spacing w:val="-2"/>
                <w:w w:val="105"/>
                <w:sz w:val="18"/>
              </w:rPr>
              <w:t>26.136</w:t>
            </w:r>
          </w:p>
        </w:tc>
        <w:tc>
          <w:tcPr>
            <w:tcW w:w="1553" w:type="dxa"/>
          </w:tcPr>
          <w:p w14:paraId="508EF590" w14:textId="77777777" w:rsidR="002C6574" w:rsidRDefault="00000000">
            <w:pPr>
              <w:pStyle w:val="TableParagraph"/>
              <w:spacing w:line="193" w:lineRule="exact"/>
              <w:ind w:right="55"/>
              <w:rPr>
                <w:sz w:val="18"/>
              </w:rPr>
            </w:pPr>
            <w:r>
              <w:rPr>
                <w:spacing w:val="-2"/>
                <w:w w:val="105"/>
                <w:sz w:val="18"/>
              </w:rPr>
              <w:t>26.083</w:t>
            </w:r>
          </w:p>
        </w:tc>
      </w:tr>
      <w:tr w:rsidR="002C6574" w14:paraId="014FFFAD" w14:textId="77777777">
        <w:trPr>
          <w:trHeight w:val="215"/>
        </w:trPr>
        <w:tc>
          <w:tcPr>
            <w:tcW w:w="6662" w:type="dxa"/>
          </w:tcPr>
          <w:p w14:paraId="29279B6B" w14:textId="77777777" w:rsidR="002C6574" w:rsidRDefault="00000000">
            <w:pPr>
              <w:pStyle w:val="TableParagraph"/>
              <w:spacing w:line="196" w:lineRule="exact"/>
              <w:ind w:left="69"/>
              <w:jc w:val="left"/>
              <w:rPr>
                <w:sz w:val="18"/>
              </w:rPr>
            </w:pPr>
            <w:r>
              <w:rPr>
                <w:spacing w:val="-2"/>
                <w:sz w:val="18"/>
              </w:rPr>
              <w:t>Trabalhista</w:t>
            </w:r>
          </w:p>
        </w:tc>
        <w:tc>
          <w:tcPr>
            <w:tcW w:w="1555" w:type="dxa"/>
          </w:tcPr>
          <w:p w14:paraId="6F822A4A" w14:textId="77777777" w:rsidR="002C6574" w:rsidRDefault="00000000">
            <w:pPr>
              <w:pStyle w:val="TableParagraph"/>
              <w:spacing w:line="196" w:lineRule="exact"/>
              <w:ind w:right="57"/>
              <w:rPr>
                <w:sz w:val="18"/>
              </w:rPr>
            </w:pPr>
            <w:r>
              <w:rPr>
                <w:spacing w:val="-2"/>
                <w:w w:val="110"/>
                <w:sz w:val="18"/>
              </w:rPr>
              <w:t>8.406</w:t>
            </w:r>
          </w:p>
        </w:tc>
        <w:tc>
          <w:tcPr>
            <w:tcW w:w="1553" w:type="dxa"/>
          </w:tcPr>
          <w:p w14:paraId="6F9D5197" w14:textId="77777777" w:rsidR="002C6574" w:rsidRDefault="00000000">
            <w:pPr>
              <w:pStyle w:val="TableParagraph"/>
              <w:spacing w:line="196" w:lineRule="exact"/>
              <w:ind w:right="55"/>
              <w:rPr>
                <w:sz w:val="18"/>
              </w:rPr>
            </w:pPr>
            <w:r>
              <w:rPr>
                <w:spacing w:val="-2"/>
                <w:w w:val="110"/>
                <w:sz w:val="18"/>
              </w:rPr>
              <w:t>2.887</w:t>
            </w:r>
          </w:p>
        </w:tc>
      </w:tr>
      <w:tr w:rsidR="002C6574" w14:paraId="261D4763" w14:textId="77777777">
        <w:trPr>
          <w:trHeight w:val="215"/>
        </w:trPr>
        <w:tc>
          <w:tcPr>
            <w:tcW w:w="6662" w:type="dxa"/>
          </w:tcPr>
          <w:p w14:paraId="75104006" w14:textId="77777777" w:rsidR="002C6574" w:rsidRDefault="00000000">
            <w:pPr>
              <w:pStyle w:val="TableParagraph"/>
              <w:spacing w:before="3" w:line="192" w:lineRule="exact"/>
              <w:ind w:left="69"/>
              <w:jc w:val="left"/>
              <w:rPr>
                <w:rFonts w:ascii="Arial"/>
                <w:b/>
                <w:sz w:val="18"/>
              </w:rPr>
            </w:pPr>
            <w:r>
              <w:rPr>
                <w:rFonts w:ascii="Arial"/>
                <w:b/>
                <w:spacing w:val="-2"/>
                <w:sz w:val="18"/>
              </w:rPr>
              <w:t>Total</w:t>
            </w:r>
          </w:p>
        </w:tc>
        <w:tc>
          <w:tcPr>
            <w:tcW w:w="1555" w:type="dxa"/>
          </w:tcPr>
          <w:p w14:paraId="0B751E85" w14:textId="77777777" w:rsidR="002C6574" w:rsidRDefault="00000000">
            <w:pPr>
              <w:pStyle w:val="TableParagraph"/>
              <w:spacing w:before="3" w:line="192" w:lineRule="exact"/>
              <w:ind w:right="58"/>
              <w:rPr>
                <w:rFonts w:ascii="Arial"/>
                <w:b/>
                <w:sz w:val="18"/>
              </w:rPr>
            </w:pPr>
            <w:r>
              <w:rPr>
                <w:rFonts w:ascii="Arial"/>
                <w:b/>
                <w:spacing w:val="-2"/>
                <w:sz w:val="18"/>
              </w:rPr>
              <w:t>136.453</w:t>
            </w:r>
          </w:p>
        </w:tc>
        <w:tc>
          <w:tcPr>
            <w:tcW w:w="1553" w:type="dxa"/>
          </w:tcPr>
          <w:p w14:paraId="27208865" w14:textId="77777777" w:rsidR="002C6574" w:rsidRDefault="00000000">
            <w:pPr>
              <w:pStyle w:val="TableParagraph"/>
              <w:spacing w:before="3" w:line="192" w:lineRule="exact"/>
              <w:ind w:right="55"/>
              <w:rPr>
                <w:rFonts w:ascii="Arial"/>
                <w:b/>
                <w:sz w:val="18"/>
              </w:rPr>
            </w:pPr>
            <w:r>
              <w:rPr>
                <w:rFonts w:ascii="Arial"/>
                <w:b/>
                <w:spacing w:val="-2"/>
                <w:sz w:val="18"/>
              </w:rPr>
              <w:t>139.948</w:t>
            </w:r>
          </w:p>
        </w:tc>
      </w:tr>
    </w:tbl>
    <w:p w14:paraId="4C485963" w14:textId="77777777" w:rsidR="002C6574" w:rsidRDefault="002C6574">
      <w:pPr>
        <w:pStyle w:val="TableParagraph"/>
        <w:spacing w:line="192" w:lineRule="exact"/>
        <w:rPr>
          <w:rFonts w:ascii="Arial"/>
          <w:b/>
          <w:sz w:val="18"/>
        </w:rPr>
        <w:sectPr w:rsidR="002C6574">
          <w:pgSz w:w="11910" w:h="16840"/>
          <w:pgMar w:top="1600" w:right="141" w:bottom="1320" w:left="1133" w:header="856" w:footer="1125" w:gutter="0"/>
          <w:cols w:space="720"/>
        </w:sectPr>
      </w:pPr>
    </w:p>
    <w:p w14:paraId="0E99FC31" w14:textId="77777777" w:rsidR="002C6574" w:rsidRDefault="00000000">
      <w:pPr>
        <w:numPr>
          <w:ilvl w:val="2"/>
          <w:numId w:val="36"/>
        </w:numPr>
        <w:tabs>
          <w:tab w:val="left" w:pos="990"/>
        </w:tabs>
        <w:spacing w:before="229"/>
        <w:ind w:left="990" w:hanging="847"/>
        <w:rPr>
          <w:rFonts w:ascii="Arial" w:hAnsi="Arial"/>
          <w:b/>
        </w:rPr>
      </w:pPr>
      <w:r>
        <w:rPr>
          <w:rFonts w:ascii="Arial" w:hAnsi="Arial"/>
          <w:b/>
        </w:rPr>
        <w:lastRenderedPageBreak/>
        <w:t>Natureza</w:t>
      </w:r>
      <w:r>
        <w:rPr>
          <w:rFonts w:ascii="Arial" w:hAnsi="Arial"/>
          <w:b/>
          <w:spacing w:val="-2"/>
        </w:rPr>
        <w:t xml:space="preserve"> </w:t>
      </w:r>
      <w:r>
        <w:rPr>
          <w:rFonts w:ascii="Arial" w:hAnsi="Arial"/>
          <w:b/>
        </w:rPr>
        <w:t>das</w:t>
      </w:r>
      <w:r>
        <w:rPr>
          <w:rFonts w:ascii="Arial" w:hAnsi="Arial"/>
          <w:b/>
          <w:spacing w:val="-4"/>
        </w:rPr>
        <w:t xml:space="preserve"> </w:t>
      </w:r>
      <w:r>
        <w:rPr>
          <w:rFonts w:ascii="Arial" w:hAnsi="Arial"/>
          <w:b/>
        </w:rPr>
        <w:t>ações</w:t>
      </w:r>
      <w:r>
        <w:rPr>
          <w:rFonts w:ascii="Arial" w:hAnsi="Arial"/>
          <w:b/>
          <w:spacing w:val="-3"/>
        </w:rPr>
        <w:t xml:space="preserve"> </w:t>
      </w:r>
      <w:r>
        <w:rPr>
          <w:rFonts w:ascii="Arial" w:hAnsi="Arial"/>
          <w:b/>
          <w:spacing w:val="-2"/>
        </w:rPr>
        <w:t>judiciais</w:t>
      </w:r>
    </w:p>
    <w:p w14:paraId="446C9361" w14:textId="77777777" w:rsidR="002C6574" w:rsidRDefault="002C6574">
      <w:pPr>
        <w:pStyle w:val="Corpodetexto"/>
        <w:spacing w:before="75"/>
        <w:rPr>
          <w:rFonts w:ascii="Arial"/>
          <w:b/>
        </w:rPr>
      </w:pPr>
    </w:p>
    <w:p w14:paraId="145ED731" w14:textId="77777777" w:rsidR="002C6574" w:rsidRDefault="00000000">
      <w:pPr>
        <w:pStyle w:val="Corpodetexto"/>
        <w:spacing w:line="237" w:lineRule="auto"/>
        <w:ind w:left="143" w:right="705"/>
        <w:jc w:val="both"/>
      </w:pPr>
      <w:r>
        <w:t>Os detalhes sobre as principais provisões para riscos possíveis (passivos contingentes), de acordo com a natureza das ações, são apresentados a seguir, representando a melhor estimativa da Companhia para os</w:t>
      </w:r>
      <w:r>
        <w:rPr>
          <w:spacing w:val="40"/>
        </w:rPr>
        <w:t xml:space="preserve"> </w:t>
      </w:r>
      <w:r>
        <w:t>potenciais</w:t>
      </w:r>
      <w:r>
        <w:rPr>
          <w:spacing w:val="40"/>
        </w:rPr>
        <w:t xml:space="preserve"> </w:t>
      </w:r>
      <w:r>
        <w:t>desembolsos futuros</w:t>
      </w:r>
      <w:r>
        <w:rPr>
          <w:spacing w:val="40"/>
        </w:rPr>
        <w:t xml:space="preserve"> </w:t>
      </w:r>
      <w:r>
        <w:t>relacionados</w:t>
      </w:r>
      <w:r>
        <w:rPr>
          <w:spacing w:val="40"/>
        </w:rPr>
        <w:t xml:space="preserve"> </w:t>
      </w:r>
      <w:r>
        <w:t>a esses processos:</w:t>
      </w:r>
    </w:p>
    <w:p w14:paraId="15723C4F" w14:textId="77777777" w:rsidR="002C6574" w:rsidRDefault="002C6574">
      <w:pPr>
        <w:pStyle w:val="Corpodetexto"/>
        <w:spacing w:before="55"/>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4"/>
        <w:gridCol w:w="1756"/>
        <w:gridCol w:w="1758"/>
      </w:tblGrid>
      <w:tr w:rsidR="002C6574" w14:paraId="41037626" w14:textId="77777777">
        <w:trPr>
          <w:trHeight w:val="239"/>
        </w:trPr>
        <w:tc>
          <w:tcPr>
            <w:tcW w:w="6254" w:type="dxa"/>
            <w:shd w:val="clear" w:color="auto" w:fill="D8D8D8"/>
          </w:tcPr>
          <w:p w14:paraId="5A805D71" w14:textId="77777777" w:rsidR="002C6574" w:rsidRDefault="00000000">
            <w:pPr>
              <w:pStyle w:val="TableParagraph"/>
              <w:spacing w:before="1"/>
              <w:ind w:left="69"/>
              <w:jc w:val="left"/>
              <w:rPr>
                <w:rFonts w:ascii="Arial" w:hAnsi="Arial"/>
                <w:b/>
                <w:sz w:val="18"/>
              </w:rPr>
            </w:pPr>
            <w:r>
              <w:rPr>
                <w:rFonts w:ascii="Arial" w:hAnsi="Arial"/>
                <w:b/>
                <w:sz w:val="18"/>
              </w:rPr>
              <w:t>Natureza/Objeto</w:t>
            </w:r>
            <w:r>
              <w:rPr>
                <w:rFonts w:ascii="Arial" w:hAnsi="Arial"/>
                <w:b/>
                <w:spacing w:val="-4"/>
                <w:sz w:val="18"/>
              </w:rPr>
              <w:t xml:space="preserve"> </w:t>
            </w:r>
            <w:r>
              <w:rPr>
                <w:rFonts w:ascii="Arial" w:hAnsi="Arial"/>
                <w:b/>
                <w:sz w:val="18"/>
              </w:rPr>
              <w:t xml:space="preserve">das </w:t>
            </w:r>
            <w:r>
              <w:rPr>
                <w:rFonts w:ascii="Arial" w:hAnsi="Arial"/>
                <w:b/>
                <w:spacing w:val="-2"/>
                <w:sz w:val="18"/>
              </w:rPr>
              <w:t>Ações:</w:t>
            </w:r>
          </w:p>
        </w:tc>
        <w:tc>
          <w:tcPr>
            <w:tcW w:w="1756" w:type="dxa"/>
          </w:tcPr>
          <w:p w14:paraId="098DA17B" w14:textId="77777777" w:rsidR="002C6574" w:rsidRDefault="00000000">
            <w:pPr>
              <w:pStyle w:val="TableParagraph"/>
              <w:spacing w:before="1"/>
              <w:ind w:left="428"/>
              <w:jc w:val="left"/>
              <w:rPr>
                <w:rFonts w:ascii="Arial"/>
                <w:b/>
                <w:sz w:val="18"/>
              </w:rPr>
            </w:pPr>
            <w:r>
              <w:rPr>
                <w:rFonts w:ascii="Arial"/>
                <w:b/>
                <w:spacing w:val="-2"/>
                <w:sz w:val="18"/>
              </w:rPr>
              <w:t>31/12/2025</w:t>
            </w:r>
          </w:p>
        </w:tc>
        <w:tc>
          <w:tcPr>
            <w:tcW w:w="1758" w:type="dxa"/>
          </w:tcPr>
          <w:p w14:paraId="19788E9A" w14:textId="77777777" w:rsidR="002C6574" w:rsidRDefault="00000000">
            <w:pPr>
              <w:pStyle w:val="TableParagraph"/>
              <w:spacing w:before="1"/>
              <w:ind w:left="430"/>
              <w:jc w:val="left"/>
              <w:rPr>
                <w:rFonts w:ascii="Arial"/>
                <w:b/>
                <w:sz w:val="18"/>
              </w:rPr>
            </w:pPr>
            <w:r>
              <w:rPr>
                <w:rFonts w:ascii="Arial"/>
                <w:b/>
                <w:spacing w:val="-2"/>
                <w:sz w:val="18"/>
              </w:rPr>
              <w:t>31/12/2024</w:t>
            </w:r>
          </w:p>
        </w:tc>
      </w:tr>
      <w:tr w:rsidR="002C6574" w14:paraId="1D7FA7A4" w14:textId="77777777">
        <w:trPr>
          <w:trHeight w:val="237"/>
        </w:trPr>
        <w:tc>
          <w:tcPr>
            <w:tcW w:w="6254" w:type="dxa"/>
          </w:tcPr>
          <w:p w14:paraId="3CD85F3B" w14:textId="77777777" w:rsidR="002C6574" w:rsidRDefault="00000000">
            <w:pPr>
              <w:pStyle w:val="TableParagraph"/>
              <w:spacing w:line="206" w:lineRule="exact"/>
              <w:ind w:left="69"/>
              <w:jc w:val="left"/>
              <w:rPr>
                <w:rFonts w:ascii="Arial" w:hAnsi="Arial"/>
                <w:b/>
                <w:sz w:val="18"/>
              </w:rPr>
            </w:pPr>
            <w:r>
              <w:rPr>
                <w:rFonts w:ascii="Arial" w:hAnsi="Arial"/>
                <w:b/>
                <w:spacing w:val="-2"/>
                <w:sz w:val="18"/>
              </w:rPr>
              <w:t>Cíveis</w:t>
            </w:r>
          </w:p>
        </w:tc>
        <w:tc>
          <w:tcPr>
            <w:tcW w:w="1756" w:type="dxa"/>
          </w:tcPr>
          <w:p w14:paraId="53CA2297" w14:textId="77777777" w:rsidR="002C6574" w:rsidRDefault="002C6574">
            <w:pPr>
              <w:pStyle w:val="TableParagraph"/>
              <w:jc w:val="left"/>
              <w:rPr>
                <w:rFonts w:ascii="Times New Roman"/>
                <w:sz w:val="16"/>
              </w:rPr>
            </w:pPr>
          </w:p>
        </w:tc>
        <w:tc>
          <w:tcPr>
            <w:tcW w:w="1758" w:type="dxa"/>
          </w:tcPr>
          <w:p w14:paraId="0C9DD1A0" w14:textId="77777777" w:rsidR="002C6574" w:rsidRDefault="002C6574">
            <w:pPr>
              <w:pStyle w:val="TableParagraph"/>
              <w:jc w:val="left"/>
              <w:rPr>
                <w:rFonts w:ascii="Times New Roman"/>
                <w:sz w:val="16"/>
              </w:rPr>
            </w:pPr>
          </w:p>
        </w:tc>
      </w:tr>
      <w:tr w:rsidR="002C6574" w14:paraId="4634BE4C" w14:textId="77777777">
        <w:trPr>
          <w:trHeight w:val="477"/>
        </w:trPr>
        <w:tc>
          <w:tcPr>
            <w:tcW w:w="6254" w:type="dxa"/>
          </w:tcPr>
          <w:p w14:paraId="454F011D" w14:textId="77777777" w:rsidR="002C6574" w:rsidRDefault="00000000">
            <w:pPr>
              <w:pStyle w:val="TableParagraph"/>
              <w:spacing w:line="212" w:lineRule="exact"/>
              <w:ind w:left="69"/>
              <w:jc w:val="left"/>
              <w:rPr>
                <w:sz w:val="18"/>
              </w:rPr>
            </w:pPr>
            <w:r>
              <w:rPr>
                <w:w w:val="105"/>
                <w:sz w:val="18"/>
              </w:rPr>
              <w:t>VPA´S</w:t>
            </w:r>
            <w:r>
              <w:rPr>
                <w:spacing w:val="39"/>
                <w:w w:val="105"/>
                <w:sz w:val="18"/>
              </w:rPr>
              <w:t xml:space="preserve"> </w:t>
            </w:r>
            <w:r>
              <w:rPr>
                <w:w w:val="105"/>
                <w:sz w:val="18"/>
              </w:rPr>
              <w:t>nas</w:t>
            </w:r>
            <w:r>
              <w:rPr>
                <w:spacing w:val="40"/>
                <w:w w:val="105"/>
                <w:sz w:val="18"/>
              </w:rPr>
              <w:t xml:space="preserve"> </w:t>
            </w:r>
            <w:r>
              <w:rPr>
                <w:w w:val="105"/>
                <w:sz w:val="18"/>
              </w:rPr>
              <w:t>Capitalizações</w:t>
            </w:r>
            <w:r>
              <w:rPr>
                <w:spacing w:val="42"/>
                <w:w w:val="105"/>
                <w:sz w:val="18"/>
              </w:rPr>
              <w:t xml:space="preserve"> </w:t>
            </w:r>
            <w:r>
              <w:rPr>
                <w:w w:val="105"/>
                <w:sz w:val="18"/>
              </w:rPr>
              <w:t>por</w:t>
            </w:r>
            <w:r>
              <w:rPr>
                <w:spacing w:val="40"/>
                <w:w w:val="105"/>
                <w:sz w:val="18"/>
              </w:rPr>
              <w:t xml:space="preserve"> </w:t>
            </w:r>
            <w:r>
              <w:rPr>
                <w:w w:val="105"/>
                <w:sz w:val="18"/>
              </w:rPr>
              <w:t>Contratos</w:t>
            </w:r>
            <w:r>
              <w:rPr>
                <w:spacing w:val="39"/>
                <w:w w:val="105"/>
                <w:sz w:val="18"/>
              </w:rPr>
              <w:t xml:space="preserve"> </w:t>
            </w:r>
            <w:r>
              <w:rPr>
                <w:w w:val="105"/>
                <w:sz w:val="18"/>
              </w:rPr>
              <w:t>de</w:t>
            </w:r>
            <w:r>
              <w:rPr>
                <w:spacing w:val="38"/>
                <w:w w:val="105"/>
                <w:sz w:val="18"/>
              </w:rPr>
              <w:t xml:space="preserve"> </w:t>
            </w:r>
            <w:r>
              <w:rPr>
                <w:w w:val="105"/>
                <w:sz w:val="18"/>
              </w:rPr>
              <w:t>Participação</w:t>
            </w:r>
            <w:r>
              <w:rPr>
                <w:spacing w:val="39"/>
                <w:w w:val="105"/>
                <w:sz w:val="18"/>
              </w:rPr>
              <w:t xml:space="preserve"> </w:t>
            </w:r>
            <w:r>
              <w:rPr>
                <w:w w:val="105"/>
                <w:sz w:val="18"/>
              </w:rPr>
              <w:t>Financeira-</w:t>
            </w:r>
            <w:r>
              <w:rPr>
                <w:spacing w:val="-5"/>
                <w:w w:val="105"/>
                <w:sz w:val="18"/>
              </w:rPr>
              <w:t>PF</w:t>
            </w:r>
          </w:p>
          <w:p w14:paraId="02EA9AC4" w14:textId="77777777" w:rsidR="002C6574" w:rsidRDefault="00000000">
            <w:pPr>
              <w:pStyle w:val="TableParagraph"/>
              <w:spacing w:line="239" w:lineRule="exact"/>
              <w:ind w:left="69"/>
              <w:jc w:val="left"/>
              <w:rPr>
                <w:sz w:val="18"/>
              </w:rPr>
            </w:pPr>
            <w:r>
              <w:rPr>
                <w:spacing w:val="-2"/>
                <w:sz w:val="18"/>
              </w:rPr>
              <w:t>(Autofinanciamento)</w:t>
            </w:r>
          </w:p>
        </w:tc>
        <w:tc>
          <w:tcPr>
            <w:tcW w:w="1756" w:type="dxa"/>
          </w:tcPr>
          <w:p w14:paraId="7D4013E3" w14:textId="77777777" w:rsidR="002C6574" w:rsidRDefault="00000000">
            <w:pPr>
              <w:pStyle w:val="TableParagraph"/>
              <w:spacing w:before="93"/>
              <w:ind w:right="54"/>
              <w:rPr>
                <w:sz w:val="18"/>
              </w:rPr>
            </w:pPr>
            <w:r>
              <w:rPr>
                <w:spacing w:val="-2"/>
                <w:w w:val="110"/>
                <w:sz w:val="18"/>
              </w:rPr>
              <w:t>7.812</w:t>
            </w:r>
          </w:p>
        </w:tc>
        <w:tc>
          <w:tcPr>
            <w:tcW w:w="1758" w:type="dxa"/>
          </w:tcPr>
          <w:p w14:paraId="1E47DEA2" w14:textId="77777777" w:rsidR="002C6574" w:rsidRDefault="00000000">
            <w:pPr>
              <w:pStyle w:val="TableParagraph"/>
              <w:spacing w:before="93"/>
              <w:ind w:right="53"/>
              <w:rPr>
                <w:sz w:val="18"/>
              </w:rPr>
            </w:pPr>
            <w:r>
              <w:rPr>
                <w:spacing w:val="-2"/>
                <w:w w:val="110"/>
                <w:sz w:val="18"/>
              </w:rPr>
              <w:t>7.168</w:t>
            </w:r>
          </w:p>
        </w:tc>
      </w:tr>
      <w:tr w:rsidR="002C6574" w14:paraId="0DA062C0" w14:textId="77777777">
        <w:trPr>
          <w:trHeight w:val="237"/>
        </w:trPr>
        <w:tc>
          <w:tcPr>
            <w:tcW w:w="6254" w:type="dxa"/>
          </w:tcPr>
          <w:p w14:paraId="70755474" w14:textId="77777777" w:rsidR="002C6574" w:rsidRDefault="00000000">
            <w:pPr>
              <w:pStyle w:val="TableParagraph"/>
              <w:spacing w:line="213" w:lineRule="exact"/>
              <w:ind w:left="69"/>
              <w:jc w:val="left"/>
              <w:rPr>
                <w:sz w:val="18"/>
              </w:rPr>
            </w:pPr>
            <w:r>
              <w:rPr>
                <w:sz w:val="18"/>
              </w:rPr>
              <w:t>Ilegalidade</w:t>
            </w:r>
            <w:r>
              <w:rPr>
                <w:spacing w:val="2"/>
                <w:sz w:val="18"/>
              </w:rPr>
              <w:t xml:space="preserve"> </w:t>
            </w:r>
            <w:r>
              <w:rPr>
                <w:sz w:val="18"/>
              </w:rPr>
              <w:t>na</w:t>
            </w:r>
            <w:r>
              <w:rPr>
                <w:spacing w:val="5"/>
                <w:sz w:val="18"/>
              </w:rPr>
              <w:t xml:space="preserve"> </w:t>
            </w:r>
            <w:r>
              <w:rPr>
                <w:sz w:val="18"/>
              </w:rPr>
              <w:t>Venda</w:t>
            </w:r>
            <w:r>
              <w:rPr>
                <w:spacing w:val="3"/>
                <w:sz w:val="18"/>
              </w:rPr>
              <w:t xml:space="preserve"> </w:t>
            </w:r>
            <w:r>
              <w:rPr>
                <w:sz w:val="18"/>
              </w:rPr>
              <w:t>de</w:t>
            </w:r>
            <w:r>
              <w:rPr>
                <w:spacing w:val="6"/>
                <w:sz w:val="18"/>
              </w:rPr>
              <w:t xml:space="preserve"> </w:t>
            </w:r>
            <w:r>
              <w:rPr>
                <w:spacing w:val="-4"/>
                <w:sz w:val="18"/>
              </w:rPr>
              <w:t>Ações</w:t>
            </w:r>
          </w:p>
        </w:tc>
        <w:tc>
          <w:tcPr>
            <w:tcW w:w="1756" w:type="dxa"/>
          </w:tcPr>
          <w:p w14:paraId="6035E717" w14:textId="77777777" w:rsidR="002C6574" w:rsidRDefault="00000000">
            <w:pPr>
              <w:pStyle w:val="TableParagraph"/>
              <w:spacing w:line="213" w:lineRule="exact"/>
              <w:ind w:right="54"/>
              <w:rPr>
                <w:sz w:val="18"/>
              </w:rPr>
            </w:pPr>
            <w:r>
              <w:rPr>
                <w:spacing w:val="-4"/>
                <w:w w:val="110"/>
                <w:sz w:val="18"/>
              </w:rPr>
              <w:t>5.761</w:t>
            </w:r>
          </w:p>
        </w:tc>
        <w:tc>
          <w:tcPr>
            <w:tcW w:w="1758" w:type="dxa"/>
          </w:tcPr>
          <w:p w14:paraId="0EEF4E6D" w14:textId="77777777" w:rsidR="002C6574" w:rsidRDefault="00000000">
            <w:pPr>
              <w:pStyle w:val="TableParagraph"/>
              <w:spacing w:line="213" w:lineRule="exact"/>
              <w:ind w:right="53"/>
              <w:rPr>
                <w:sz w:val="18"/>
              </w:rPr>
            </w:pPr>
            <w:r>
              <w:rPr>
                <w:spacing w:val="-2"/>
                <w:w w:val="110"/>
                <w:sz w:val="18"/>
              </w:rPr>
              <w:t>5.464</w:t>
            </w:r>
          </w:p>
        </w:tc>
      </w:tr>
      <w:tr w:rsidR="002C6574" w14:paraId="3F2BCB4A" w14:textId="77777777">
        <w:trPr>
          <w:trHeight w:val="237"/>
        </w:trPr>
        <w:tc>
          <w:tcPr>
            <w:tcW w:w="6254" w:type="dxa"/>
          </w:tcPr>
          <w:p w14:paraId="5CF9073C" w14:textId="77777777" w:rsidR="002C6574" w:rsidRDefault="00000000">
            <w:pPr>
              <w:pStyle w:val="TableParagraph"/>
              <w:spacing w:line="213" w:lineRule="exact"/>
              <w:ind w:left="69"/>
              <w:jc w:val="left"/>
              <w:rPr>
                <w:sz w:val="18"/>
              </w:rPr>
            </w:pPr>
            <w:r>
              <w:rPr>
                <w:w w:val="105"/>
                <w:sz w:val="18"/>
              </w:rPr>
              <w:t>Processo</w:t>
            </w:r>
            <w:r>
              <w:rPr>
                <w:spacing w:val="-4"/>
                <w:w w:val="105"/>
                <w:sz w:val="18"/>
              </w:rPr>
              <w:t xml:space="preserve"> </w:t>
            </w:r>
            <w:r>
              <w:rPr>
                <w:w w:val="105"/>
                <w:sz w:val="18"/>
              </w:rPr>
              <w:t>de</w:t>
            </w:r>
            <w:r>
              <w:rPr>
                <w:spacing w:val="-1"/>
                <w:w w:val="105"/>
                <w:sz w:val="18"/>
              </w:rPr>
              <w:t xml:space="preserve"> </w:t>
            </w:r>
            <w:r>
              <w:rPr>
                <w:w w:val="105"/>
                <w:sz w:val="18"/>
              </w:rPr>
              <w:t>Cisão</w:t>
            </w:r>
            <w:r>
              <w:rPr>
                <w:spacing w:val="-3"/>
                <w:w w:val="105"/>
                <w:sz w:val="18"/>
              </w:rPr>
              <w:t xml:space="preserve"> </w:t>
            </w:r>
            <w:r>
              <w:rPr>
                <w:w w:val="105"/>
                <w:sz w:val="18"/>
              </w:rPr>
              <w:t>Sistema</w:t>
            </w:r>
            <w:r>
              <w:rPr>
                <w:spacing w:val="-3"/>
                <w:w w:val="105"/>
                <w:sz w:val="18"/>
              </w:rPr>
              <w:t xml:space="preserve"> </w:t>
            </w:r>
            <w:r>
              <w:rPr>
                <w:w w:val="105"/>
                <w:sz w:val="18"/>
              </w:rPr>
              <w:t>Telebras</w:t>
            </w:r>
            <w:r>
              <w:rPr>
                <w:spacing w:val="-1"/>
                <w:w w:val="105"/>
                <w:sz w:val="18"/>
              </w:rPr>
              <w:t xml:space="preserve"> </w:t>
            </w:r>
            <w:r>
              <w:rPr>
                <w:spacing w:val="-5"/>
                <w:w w:val="105"/>
                <w:sz w:val="18"/>
              </w:rPr>
              <w:t>(i)</w:t>
            </w:r>
          </w:p>
        </w:tc>
        <w:tc>
          <w:tcPr>
            <w:tcW w:w="1756" w:type="dxa"/>
          </w:tcPr>
          <w:p w14:paraId="58977E6F" w14:textId="77777777" w:rsidR="002C6574" w:rsidRDefault="00000000">
            <w:pPr>
              <w:pStyle w:val="TableParagraph"/>
              <w:spacing w:line="213" w:lineRule="exact"/>
              <w:ind w:right="55"/>
              <w:rPr>
                <w:sz w:val="18"/>
              </w:rPr>
            </w:pPr>
            <w:r>
              <w:rPr>
                <w:spacing w:val="-2"/>
                <w:w w:val="105"/>
                <w:sz w:val="18"/>
              </w:rPr>
              <w:t>31.726</w:t>
            </w:r>
          </w:p>
        </w:tc>
        <w:tc>
          <w:tcPr>
            <w:tcW w:w="1758" w:type="dxa"/>
          </w:tcPr>
          <w:p w14:paraId="46DA48E8" w14:textId="77777777" w:rsidR="002C6574" w:rsidRDefault="00000000">
            <w:pPr>
              <w:pStyle w:val="TableParagraph"/>
              <w:spacing w:line="213" w:lineRule="exact"/>
              <w:ind w:right="53"/>
              <w:rPr>
                <w:sz w:val="18"/>
              </w:rPr>
            </w:pPr>
            <w:r>
              <w:rPr>
                <w:spacing w:val="-2"/>
                <w:w w:val="105"/>
                <w:sz w:val="18"/>
              </w:rPr>
              <w:t>44.050</w:t>
            </w:r>
          </w:p>
        </w:tc>
      </w:tr>
      <w:tr w:rsidR="002C6574" w14:paraId="54819377" w14:textId="77777777">
        <w:trPr>
          <w:trHeight w:val="239"/>
        </w:trPr>
        <w:tc>
          <w:tcPr>
            <w:tcW w:w="6254" w:type="dxa"/>
          </w:tcPr>
          <w:p w14:paraId="0E22BC03" w14:textId="77777777" w:rsidR="002C6574" w:rsidRDefault="00000000">
            <w:pPr>
              <w:pStyle w:val="TableParagraph"/>
              <w:spacing w:line="213" w:lineRule="exact"/>
              <w:ind w:left="69"/>
              <w:jc w:val="left"/>
              <w:rPr>
                <w:sz w:val="18"/>
              </w:rPr>
            </w:pPr>
            <w:r>
              <w:rPr>
                <w:w w:val="105"/>
                <w:sz w:val="18"/>
              </w:rPr>
              <w:t>Outros</w:t>
            </w:r>
            <w:r>
              <w:rPr>
                <w:spacing w:val="-12"/>
                <w:w w:val="105"/>
                <w:sz w:val="18"/>
              </w:rPr>
              <w:t xml:space="preserve"> </w:t>
            </w:r>
            <w:r>
              <w:rPr>
                <w:w w:val="105"/>
                <w:sz w:val="18"/>
              </w:rPr>
              <w:t>Processos</w:t>
            </w:r>
            <w:r>
              <w:rPr>
                <w:spacing w:val="-12"/>
                <w:w w:val="105"/>
                <w:sz w:val="18"/>
              </w:rPr>
              <w:t xml:space="preserve"> </w:t>
            </w:r>
            <w:r>
              <w:rPr>
                <w:spacing w:val="-4"/>
                <w:w w:val="105"/>
                <w:sz w:val="18"/>
              </w:rPr>
              <w:t>(ii)</w:t>
            </w:r>
          </w:p>
        </w:tc>
        <w:tc>
          <w:tcPr>
            <w:tcW w:w="1756" w:type="dxa"/>
          </w:tcPr>
          <w:p w14:paraId="659388AB" w14:textId="77777777" w:rsidR="002C6574" w:rsidRDefault="00000000">
            <w:pPr>
              <w:pStyle w:val="TableParagraph"/>
              <w:spacing w:line="213" w:lineRule="exact"/>
              <w:ind w:right="55"/>
              <w:rPr>
                <w:sz w:val="18"/>
              </w:rPr>
            </w:pPr>
            <w:r>
              <w:rPr>
                <w:spacing w:val="-2"/>
                <w:w w:val="105"/>
                <w:sz w:val="18"/>
              </w:rPr>
              <w:t>56.612</w:t>
            </w:r>
          </w:p>
        </w:tc>
        <w:tc>
          <w:tcPr>
            <w:tcW w:w="1758" w:type="dxa"/>
          </w:tcPr>
          <w:p w14:paraId="67EEF032" w14:textId="77777777" w:rsidR="002C6574" w:rsidRDefault="00000000">
            <w:pPr>
              <w:pStyle w:val="TableParagraph"/>
              <w:spacing w:line="213" w:lineRule="exact"/>
              <w:ind w:right="53"/>
              <w:rPr>
                <w:sz w:val="18"/>
              </w:rPr>
            </w:pPr>
            <w:r>
              <w:rPr>
                <w:spacing w:val="-2"/>
                <w:w w:val="105"/>
                <w:sz w:val="18"/>
              </w:rPr>
              <w:t>54.296</w:t>
            </w:r>
          </w:p>
        </w:tc>
      </w:tr>
      <w:tr w:rsidR="002C6574" w14:paraId="4A8D75F8" w14:textId="77777777">
        <w:trPr>
          <w:trHeight w:val="237"/>
        </w:trPr>
        <w:tc>
          <w:tcPr>
            <w:tcW w:w="6254" w:type="dxa"/>
          </w:tcPr>
          <w:p w14:paraId="0A032C40" w14:textId="77777777" w:rsidR="002C6574" w:rsidRDefault="00000000">
            <w:pPr>
              <w:pStyle w:val="TableParagraph"/>
              <w:spacing w:line="206" w:lineRule="exact"/>
              <w:ind w:left="69"/>
              <w:jc w:val="left"/>
              <w:rPr>
                <w:rFonts w:ascii="Arial"/>
                <w:b/>
                <w:sz w:val="18"/>
              </w:rPr>
            </w:pPr>
            <w:r>
              <w:rPr>
                <w:rFonts w:ascii="Arial"/>
                <w:b/>
                <w:spacing w:val="-2"/>
                <w:sz w:val="18"/>
              </w:rPr>
              <w:t>Total</w:t>
            </w:r>
          </w:p>
        </w:tc>
        <w:tc>
          <w:tcPr>
            <w:tcW w:w="1756" w:type="dxa"/>
          </w:tcPr>
          <w:p w14:paraId="36C55BEE" w14:textId="77777777" w:rsidR="002C6574" w:rsidRDefault="00000000">
            <w:pPr>
              <w:pStyle w:val="TableParagraph"/>
              <w:spacing w:line="206" w:lineRule="exact"/>
              <w:ind w:right="55"/>
              <w:rPr>
                <w:rFonts w:ascii="Arial"/>
                <w:b/>
                <w:sz w:val="18"/>
              </w:rPr>
            </w:pPr>
            <w:r>
              <w:rPr>
                <w:rFonts w:ascii="Arial"/>
                <w:b/>
                <w:spacing w:val="-2"/>
                <w:sz w:val="18"/>
              </w:rPr>
              <w:t>101.911</w:t>
            </w:r>
          </w:p>
        </w:tc>
        <w:tc>
          <w:tcPr>
            <w:tcW w:w="1758" w:type="dxa"/>
          </w:tcPr>
          <w:p w14:paraId="4C649AA4" w14:textId="77777777" w:rsidR="002C6574" w:rsidRDefault="00000000">
            <w:pPr>
              <w:pStyle w:val="TableParagraph"/>
              <w:spacing w:line="206" w:lineRule="exact"/>
              <w:ind w:right="53"/>
              <w:rPr>
                <w:rFonts w:ascii="Arial"/>
                <w:b/>
                <w:sz w:val="18"/>
              </w:rPr>
            </w:pPr>
            <w:r>
              <w:rPr>
                <w:rFonts w:ascii="Arial"/>
                <w:b/>
                <w:spacing w:val="-2"/>
                <w:sz w:val="18"/>
              </w:rPr>
              <w:t>110.978</w:t>
            </w:r>
          </w:p>
        </w:tc>
      </w:tr>
      <w:tr w:rsidR="002C6574" w14:paraId="55207C1F" w14:textId="77777777">
        <w:trPr>
          <w:trHeight w:val="237"/>
        </w:trPr>
        <w:tc>
          <w:tcPr>
            <w:tcW w:w="6254" w:type="dxa"/>
          </w:tcPr>
          <w:p w14:paraId="2FF3969E" w14:textId="77777777" w:rsidR="002C6574" w:rsidRDefault="002C6574">
            <w:pPr>
              <w:pStyle w:val="TableParagraph"/>
              <w:jc w:val="left"/>
              <w:rPr>
                <w:rFonts w:ascii="Times New Roman"/>
                <w:sz w:val="16"/>
              </w:rPr>
            </w:pPr>
          </w:p>
        </w:tc>
        <w:tc>
          <w:tcPr>
            <w:tcW w:w="1756" w:type="dxa"/>
          </w:tcPr>
          <w:p w14:paraId="2EE5F7FA" w14:textId="77777777" w:rsidR="002C6574" w:rsidRDefault="002C6574">
            <w:pPr>
              <w:pStyle w:val="TableParagraph"/>
              <w:jc w:val="left"/>
              <w:rPr>
                <w:rFonts w:ascii="Times New Roman"/>
                <w:sz w:val="16"/>
              </w:rPr>
            </w:pPr>
          </w:p>
        </w:tc>
        <w:tc>
          <w:tcPr>
            <w:tcW w:w="1758" w:type="dxa"/>
          </w:tcPr>
          <w:p w14:paraId="4766FDB9" w14:textId="77777777" w:rsidR="002C6574" w:rsidRDefault="002C6574">
            <w:pPr>
              <w:pStyle w:val="TableParagraph"/>
              <w:jc w:val="left"/>
              <w:rPr>
                <w:rFonts w:ascii="Times New Roman"/>
                <w:sz w:val="16"/>
              </w:rPr>
            </w:pPr>
          </w:p>
        </w:tc>
      </w:tr>
      <w:tr w:rsidR="002C6574" w14:paraId="5FE33FDD" w14:textId="77777777">
        <w:trPr>
          <w:trHeight w:val="239"/>
        </w:trPr>
        <w:tc>
          <w:tcPr>
            <w:tcW w:w="6254" w:type="dxa"/>
          </w:tcPr>
          <w:p w14:paraId="5A4689E7" w14:textId="77777777" w:rsidR="002C6574" w:rsidRDefault="00000000">
            <w:pPr>
              <w:pStyle w:val="TableParagraph"/>
              <w:spacing w:before="1"/>
              <w:ind w:left="69"/>
              <w:jc w:val="left"/>
              <w:rPr>
                <w:rFonts w:ascii="Arial"/>
                <w:b/>
                <w:sz w:val="18"/>
              </w:rPr>
            </w:pPr>
            <w:r>
              <w:rPr>
                <w:rFonts w:ascii="Arial"/>
                <w:b/>
                <w:spacing w:val="-2"/>
                <w:sz w:val="18"/>
              </w:rPr>
              <w:t>Trabalhistas</w:t>
            </w:r>
          </w:p>
        </w:tc>
        <w:tc>
          <w:tcPr>
            <w:tcW w:w="1756" w:type="dxa"/>
          </w:tcPr>
          <w:p w14:paraId="5F25382F" w14:textId="77777777" w:rsidR="002C6574" w:rsidRDefault="002C6574">
            <w:pPr>
              <w:pStyle w:val="TableParagraph"/>
              <w:jc w:val="left"/>
              <w:rPr>
                <w:rFonts w:ascii="Times New Roman"/>
                <w:sz w:val="16"/>
              </w:rPr>
            </w:pPr>
          </w:p>
        </w:tc>
        <w:tc>
          <w:tcPr>
            <w:tcW w:w="1758" w:type="dxa"/>
          </w:tcPr>
          <w:p w14:paraId="31E9580A" w14:textId="77777777" w:rsidR="002C6574" w:rsidRDefault="002C6574">
            <w:pPr>
              <w:pStyle w:val="TableParagraph"/>
              <w:jc w:val="left"/>
              <w:rPr>
                <w:rFonts w:ascii="Times New Roman"/>
                <w:sz w:val="16"/>
              </w:rPr>
            </w:pPr>
          </w:p>
        </w:tc>
      </w:tr>
      <w:tr w:rsidR="002C6574" w14:paraId="0CABCDC6" w14:textId="77777777">
        <w:trPr>
          <w:trHeight w:val="237"/>
        </w:trPr>
        <w:tc>
          <w:tcPr>
            <w:tcW w:w="6254" w:type="dxa"/>
          </w:tcPr>
          <w:p w14:paraId="2C15DF06" w14:textId="77777777" w:rsidR="002C6574" w:rsidRDefault="00000000">
            <w:pPr>
              <w:pStyle w:val="TableParagraph"/>
              <w:spacing w:line="213" w:lineRule="exact"/>
              <w:ind w:left="69"/>
              <w:jc w:val="left"/>
              <w:rPr>
                <w:sz w:val="18"/>
              </w:rPr>
            </w:pPr>
            <w:r>
              <w:rPr>
                <w:sz w:val="18"/>
              </w:rPr>
              <w:t>Responsabilidade</w:t>
            </w:r>
            <w:r>
              <w:rPr>
                <w:spacing w:val="24"/>
                <w:sz w:val="18"/>
              </w:rPr>
              <w:t xml:space="preserve"> </w:t>
            </w:r>
            <w:r>
              <w:rPr>
                <w:spacing w:val="-2"/>
                <w:sz w:val="18"/>
              </w:rPr>
              <w:t>Subsidiária</w:t>
            </w:r>
          </w:p>
        </w:tc>
        <w:tc>
          <w:tcPr>
            <w:tcW w:w="1756" w:type="dxa"/>
          </w:tcPr>
          <w:p w14:paraId="5E19A592" w14:textId="77777777" w:rsidR="002C6574" w:rsidRDefault="00000000">
            <w:pPr>
              <w:pStyle w:val="TableParagraph"/>
              <w:spacing w:line="213" w:lineRule="exact"/>
              <w:ind w:right="55"/>
              <w:rPr>
                <w:sz w:val="18"/>
              </w:rPr>
            </w:pPr>
            <w:r>
              <w:rPr>
                <w:spacing w:val="-2"/>
                <w:w w:val="110"/>
                <w:sz w:val="18"/>
              </w:rPr>
              <w:t>6.045</w:t>
            </w:r>
          </w:p>
        </w:tc>
        <w:tc>
          <w:tcPr>
            <w:tcW w:w="1758" w:type="dxa"/>
          </w:tcPr>
          <w:p w14:paraId="18F1BB51" w14:textId="77777777" w:rsidR="002C6574" w:rsidRDefault="00000000">
            <w:pPr>
              <w:pStyle w:val="TableParagraph"/>
              <w:spacing w:line="213" w:lineRule="exact"/>
              <w:ind w:right="53"/>
              <w:rPr>
                <w:sz w:val="18"/>
              </w:rPr>
            </w:pPr>
            <w:r>
              <w:rPr>
                <w:spacing w:val="-2"/>
                <w:w w:val="110"/>
                <w:sz w:val="18"/>
              </w:rPr>
              <w:t>1.141</w:t>
            </w:r>
          </w:p>
        </w:tc>
      </w:tr>
      <w:tr w:rsidR="002C6574" w14:paraId="2589271C" w14:textId="77777777">
        <w:trPr>
          <w:trHeight w:val="237"/>
        </w:trPr>
        <w:tc>
          <w:tcPr>
            <w:tcW w:w="6254" w:type="dxa"/>
          </w:tcPr>
          <w:p w14:paraId="3601D303" w14:textId="77777777" w:rsidR="002C6574" w:rsidRDefault="00000000">
            <w:pPr>
              <w:pStyle w:val="TableParagraph"/>
              <w:spacing w:line="213" w:lineRule="exact"/>
              <w:ind w:left="69"/>
              <w:jc w:val="left"/>
              <w:rPr>
                <w:sz w:val="18"/>
              </w:rPr>
            </w:pPr>
            <w:r>
              <w:rPr>
                <w:sz w:val="18"/>
              </w:rPr>
              <w:t>Outros</w:t>
            </w:r>
            <w:r>
              <w:rPr>
                <w:spacing w:val="-5"/>
                <w:sz w:val="18"/>
              </w:rPr>
              <w:t xml:space="preserve"> </w:t>
            </w:r>
            <w:r>
              <w:rPr>
                <w:spacing w:val="-2"/>
                <w:sz w:val="18"/>
              </w:rPr>
              <w:t>Processos</w:t>
            </w:r>
          </w:p>
        </w:tc>
        <w:tc>
          <w:tcPr>
            <w:tcW w:w="1756" w:type="dxa"/>
          </w:tcPr>
          <w:p w14:paraId="7F08E8C3" w14:textId="77777777" w:rsidR="002C6574" w:rsidRDefault="00000000">
            <w:pPr>
              <w:pStyle w:val="TableParagraph"/>
              <w:spacing w:line="213" w:lineRule="exact"/>
              <w:ind w:right="55"/>
              <w:rPr>
                <w:sz w:val="18"/>
              </w:rPr>
            </w:pPr>
            <w:r>
              <w:rPr>
                <w:spacing w:val="-2"/>
                <w:w w:val="110"/>
                <w:sz w:val="18"/>
              </w:rPr>
              <w:t>2.361</w:t>
            </w:r>
          </w:p>
        </w:tc>
        <w:tc>
          <w:tcPr>
            <w:tcW w:w="1758" w:type="dxa"/>
          </w:tcPr>
          <w:p w14:paraId="13D67668" w14:textId="77777777" w:rsidR="002C6574" w:rsidRDefault="00000000">
            <w:pPr>
              <w:pStyle w:val="TableParagraph"/>
              <w:spacing w:line="213" w:lineRule="exact"/>
              <w:ind w:right="53"/>
              <w:rPr>
                <w:sz w:val="18"/>
              </w:rPr>
            </w:pPr>
            <w:r>
              <w:rPr>
                <w:spacing w:val="-2"/>
                <w:w w:val="110"/>
                <w:sz w:val="18"/>
              </w:rPr>
              <w:t>1.746</w:t>
            </w:r>
          </w:p>
        </w:tc>
      </w:tr>
      <w:tr w:rsidR="002C6574" w14:paraId="20173AD8" w14:textId="77777777">
        <w:trPr>
          <w:trHeight w:val="239"/>
        </w:trPr>
        <w:tc>
          <w:tcPr>
            <w:tcW w:w="6254" w:type="dxa"/>
          </w:tcPr>
          <w:p w14:paraId="19AE20E9" w14:textId="77777777" w:rsidR="002C6574" w:rsidRDefault="00000000">
            <w:pPr>
              <w:pStyle w:val="TableParagraph"/>
              <w:spacing w:before="1"/>
              <w:ind w:left="69"/>
              <w:jc w:val="left"/>
              <w:rPr>
                <w:rFonts w:ascii="Arial"/>
                <w:b/>
                <w:sz w:val="18"/>
              </w:rPr>
            </w:pPr>
            <w:r>
              <w:rPr>
                <w:rFonts w:ascii="Arial"/>
                <w:b/>
                <w:spacing w:val="-2"/>
                <w:sz w:val="18"/>
              </w:rPr>
              <w:t>Total</w:t>
            </w:r>
          </w:p>
        </w:tc>
        <w:tc>
          <w:tcPr>
            <w:tcW w:w="1756" w:type="dxa"/>
          </w:tcPr>
          <w:p w14:paraId="483145EA" w14:textId="77777777" w:rsidR="002C6574" w:rsidRDefault="00000000">
            <w:pPr>
              <w:pStyle w:val="TableParagraph"/>
              <w:spacing w:before="1"/>
              <w:ind w:right="56"/>
              <w:rPr>
                <w:rFonts w:ascii="Arial"/>
                <w:b/>
                <w:sz w:val="18"/>
              </w:rPr>
            </w:pPr>
            <w:r>
              <w:rPr>
                <w:rFonts w:ascii="Arial"/>
                <w:b/>
                <w:spacing w:val="-2"/>
                <w:sz w:val="18"/>
              </w:rPr>
              <w:t>8.406</w:t>
            </w:r>
          </w:p>
        </w:tc>
        <w:tc>
          <w:tcPr>
            <w:tcW w:w="1758" w:type="dxa"/>
          </w:tcPr>
          <w:p w14:paraId="2553EF7C" w14:textId="77777777" w:rsidR="002C6574" w:rsidRDefault="00000000">
            <w:pPr>
              <w:pStyle w:val="TableParagraph"/>
              <w:spacing w:before="1"/>
              <w:ind w:right="53"/>
              <w:rPr>
                <w:rFonts w:ascii="Arial"/>
                <w:b/>
                <w:sz w:val="18"/>
              </w:rPr>
            </w:pPr>
            <w:r>
              <w:rPr>
                <w:rFonts w:ascii="Arial"/>
                <w:b/>
                <w:spacing w:val="-2"/>
                <w:sz w:val="18"/>
              </w:rPr>
              <w:t>2.887</w:t>
            </w:r>
          </w:p>
        </w:tc>
      </w:tr>
      <w:tr w:rsidR="002C6574" w14:paraId="35A45956" w14:textId="77777777">
        <w:trPr>
          <w:trHeight w:val="237"/>
        </w:trPr>
        <w:tc>
          <w:tcPr>
            <w:tcW w:w="6254" w:type="dxa"/>
          </w:tcPr>
          <w:p w14:paraId="36393F4B" w14:textId="77777777" w:rsidR="002C6574" w:rsidRDefault="002C6574">
            <w:pPr>
              <w:pStyle w:val="TableParagraph"/>
              <w:jc w:val="left"/>
              <w:rPr>
                <w:rFonts w:ascii="Times New Roman"/>
                <w:sz w:val="16"/>
              </w:rPr>
            </w:pPr>
          </w:p>
        </w:tc>
        <w:tc>
          <w:tcPr>
            <w:tcW w:w="1756" w:type="dxa"/>
          </w:tcPr>
          <w:p w14:paraId="4D3DFD62" w14:textId="77777777" w:rsidR="002C6574" w:rsidRDefault="002C6574">
            <w:pPr>
              <w:pStyle w:val="TableParagraph"/>
              <w:jc w:val="left"/>
              <w:rPr>
                <w:rFonts w:ascii="Times New Roman"/>
                <w:sz w:val="16"/>
              </w:rPr>
            </w:pPr>
          </w:p>
        </w:tc>
        <w:tc>
          <w:tcPr>
            <w:tcW w:w="1758" w:type="dxa"/>
          </w:tcPr>
          <w:p w14:paraId="5E2E69F9" w14:textId="77777777" w:rsidR="002C6574" w:rsidRDefault="002C6574">
            <w:pPr>
              <w:pStyle w:val="TableParagraph"/>
              <w:jc w:val="left"/>
              <w:rPr>
                <w:rFonts w:ascii="Times New Roman"/>
                <w:sz w:val="16"/>
              </w:rPr>
            </w:pPr>
          </w:p>
        </w:tc>
      </w:tr>
      <w:tr w:rsidR="002C6574" w14:paraId="2F143B10" w14:textId="77777777">
        <w:trPr>
          <w:trHeight w:val="237"/>
        </w:trPr>
        <w:tc>
          <w:tcPr>
            <w:tcW w:w="6254" w:type="dxa"/>
          </w:tcPr>
          <w:p w14:paraId="7D0416F3" w14:textId="77777777" w:rsidR="002C6574" w:rsidRDefault="00000000">
            <w:pPr>
              <w:pStyle w:val="TableParagraph"/>
              <w:spacing w:line="206" w:lineRule="exact"/>
              <w:ind w:left="69"/>
              <w:jc w:val="left"/>
              <w:rPr>
                <w:rFonts w:ascii="Arial" w:hAnsi="Arial"/>
                <w:b/>
                <w:sz w:val="18"/>
              </w:rPr>
            </w:pPr>
            <w:r>
              <w:rPr>
                <w:rFonts w:ascii="Arial" w:hAnsi="Arial"/>
                <w:b/>
                <w:spacing w:val="-2"/>
                <w:sz w:val="18"/>
              </w:rPr>
              <w:t>Tributárias</w:t>
            </w:r>
          </w:p>
        </w:tc>
        <w:tc>
          <w:tcPr>
            <w:tcW w:w="1756" w:type="dxa"/>
          </w:tcPr>
          <w:p w14:paraId="20F158E6" w14:textId="77777777" w:rsidR="002C6574" w:rsidRDefault="002C6574">
            <w:pPr>
              <w:pStyle w:val="TableParagraph"/>
              <w:jc w:val="left"/>
              <w:rPr>
                <w:rFonts w:ascii="Times New Roman"/>
                <w:sz w:val="16"/>
              </w:rPr>
            </w:pPr>
          </w:p>
        </w:tc>
        <w:tc>
          <w:tcPr>
            <w:tcW w:w="1758" w:type="dxa"/>
          </w:tcPr>
          <w:p w14:paraId="65EC2354" w14:textId="77777777" w:rsidR="002C6574" w:rsidRDefault="002C6574">
            <w:pPr>
              <w:pStyle w:val="TableParagraph"/>
              <w:jc w:val="left"/>
              <w:rPr>
                <w:rFonts w:ascii="Times New Roman"/>
                <w:sz w:val="16"/>
              </w:rPr>
            </w:pPr>
          </w:p>
        </w:tc>
      </w:tr>
      <w:tr w:rsidR="002C6574" w14:paraId="1BBB4F0A" w14:textId="77777777">
        <w:trPr>
          <w:trHeight w:val="239"/>
        </w:trPr>
        <w:tc>
          <w:tcPr>
            <w:tcW w:w="6254" w:type="dxa"/>
          </w:tcPr>
          <w:p w14:paraId="362A9DB8" w14:textId="77777777" w:rsidR="002C6574" w:rsidRDefault="00000000">
            <w:pPr>
              <w:pStyle w:val="TableParagraph"/>
              <w:spacing w:line="215" w:lineRule="exact"/>
              <w:ind w:left="69"/>
              <w:jc w:val="left"/>
              <w:rPr>
                <w:sz w:val="18"/>
              </w:rPr>
            </w:pPr>
            <w:r>
              <w:rPr>
                <w:sz w:val="18"/>
              </w:rPr>
              <w:t>Isenção de</w:t>
            </w:r>
            <w:r>
              <w:rPr>
                <w:spacing w:val="4"/>
                <w:sz w:val="18"/>
              </w:rPr>
              <w:t xml:space="preserve"> </w:t>
            </w:r>
            <w:r>
              <w:rPr>
                <w:sz w:val="18"/>
              </w:rPr>
              <w:t>Imposto</w:t>
            </w:r>
            <w:r>
              <w:rPr>
                <w:spacing w:val="-1"/>
                <w:sz w:val="18"/>
              </w:rPr>
              <w:t xml:space="preserve"> </w:t>
            </w:r>
            <w:r>
              <w:rPr>
                <w:sz w:val="18"/>
              </w:rPr>
              <w:t>de</w:t>
            </w:r>
            <w:r>
              <w:rPr>
                <w:spacing w:val="2"/>
                <w:sz w:val="18"/>
              </w:rPr>
              <w:t xml:space="preserve"> </w:t>
            </w:r>
            <w:r>
              <w:rPr>
                <w:sz w:val="18"/>
              </w:rPr>
              <w:t>Importação</w:t>
            </w:r>
            <w:r>
              <w:rPr>
                <w:spacing w:val="1"/>
                <w:sz w:val="18"/>
              </w:rPr>
              <w:t xml:space="preserve"> </w:t>
            </w:r>
            <w:r>
              <w:rPr>
                <w:sz w:val="18"/>
              </w:rPr>
              <w:t>e</w:t>
            </w:r>
            <w:r>
              <w:rPr>
                <w:spacing w:val="2"/>
                <w:sz w:val="18"/>
              </w:rPr>
              <w:t xml:space="preserve"> </w:t>
            </w:r>
            <w:r>
              <w:rPr>
                <w:sz w:val="18"/>
              </w:rPr>
              <w:t>IPI</w:t>
            </w:r>
            <w:r>
              <w:rPr>
                <w:spacing w:val="2"/>
                <w:sz w:val="18"/>
              </w:rPr>
              <w:t xml:space="preserve"> </w:t>
            </w:r>
            <w:r>
              <w:rPr>
                <w:spacing w:val="-4"/>
                <w:sz w:val="18"/>
              </w:rPr>
              <w:t>(iii)</w:t>
            </w:r>
          </w:p>
        </w:tc>
        <w:tc>
          <w:tcPr>
            <w:tcW w:w="1756" w:type="dxa"/>
          </w:tcPr>
          <w:p w14:paraId="1BF16B92" w14:textId="77777777" w:rsidR="002C6574" w:rsidRDefault="00000000">
            <w:pPr>
              <w:pStyle w:val="TableParagraph"/>
              <w:spacing w:line="215" w:lineRule="exact"/>
              <w:ind w:right="54"/>
              <w:rPr>
                <w:sz w:val="18"/>
              </w:rPr>
            </w:pPr>
            <w:r>
              <w:rPr>
                <w:spacing w:val="-2"/>
                <w:w w:val="105"/>
                <w:sz w:val="18"/>
              </w:rPr>
              <w:t>24.259</w:t>
            </w:r>
          </w:p>
        </w:tc>
        <w:tc>
          <w:tcPr>
            <w:tcW w:w="1758" w:type="dxa"/>
          </w:tcPr>
          <w:p w14:paraId="17B87DB5" w14:textId="77777777" w:rsidR="002C6574" w:rsidRDefault="00000000">
            <w:pPr>
              <w:pStyle w:val="TableParagraph"/>
              <w:spacing w:line="215" w:lineRule="exact"/>
              <w:ind w:right="53"/>
              <w:rPr>
                <w:sz w:val="18"/>
              </w:rPr>
            </w:pPr>
            <w:r>
              <w:rPr>
                <w:spacing w:val="-2"/>
                <w:w w:val="105"/>
                <w:sz w:val="18"/>
              </w:rPr>
              <w:t>23.591</w:t>
            </w:r>
          </w:p>
        </w:tc>
      </w:tr>
      <w:tr w:rsidR="002C6574" w14:paraId="45FF617C" w14:textId="77777777">
        <w:trPr>
          <w:trHeight w:val="237"/>
        </w:trPr>
        <w:tc>
          <w:tcPr>
            <w:tcW w:w="6254" w:type="dxa"/>
          </w:tcPr>
          <w:p w14:paraId="7BD3F4A4" w14:textId="77777777" w:rsidR="002C6574" w:rsidRDefault="00000000">
            <w:pPr>
              <w:pStyle w:val="TableParagraph"/>
              <w:spacing w:line="213" w:lineRule="exact"/>
              <w:ind w:left="69"/>
              <w:jc w:val="left"/>
              <w:rPr>
                <w:sz w:val="18"/>
              </w:rPr>
            </w:pPr>
            <w:r>
              <w:rPr>
                <w:sz w:val="18"/>
              </w:rPr>
              <w:t>Cobrança</w:t>
            </w:r>
            <w:r>
              <w:rPr>
                <w:spacing w:val="13"/>
                <w:sz w:val="18"/>
              </w:rPr>
              <w:t xml:space="preserve"> </w:t>
            </w:r>
            <w:r>
              <w:rPr>
                <w:sz w:val="18"/>
              </w:rPr>
              <w:t>de</w:t>
            </w:r>
            <w:r>
              <w:rPr>
                <w:spacing w:val="17"/>
                <w:sz w:val="18"/>
              </w:rPr>
              <w:t xml:space="preserve"> </w:t>
            </w:r>
            <w:r>
              <w:rPr>
                <w:sz w:val="18"/>
              </w:rPr>
              <w:t>Tributos</w:t>
            </w:r>
            <w:r>
              <w:rPr>
                <w:spacing w:val="16"/>
                <w:sz w:val="18"/>
              </w:rPr>
              <w:t xml:space="preserve"> </w:t>
            </w:r>
            <w:r>
              <w:rPr>
                <w:sz w:val="18"/>
              </w:rPr>
              <w:t>Receita</w:t>
            </w:r>
            <w:r>
              <w:rPr>
                <w:spacing w:val="13"/>
                <w:sz w:val="18"/>
              </w:rPr>
              <w:t xml:space="preserve"> </w:t>
            </w:r>
            <w:r>
              <w:rPr>
                <w:sz w:val="18"/>
              </w:rPr>
              <w:t>Federal</w:t>
            </w:r>
            <w:r>
              <w:rPr>
                <w:spacing w:val="14"/>
                <w:sz w:val="18"/>
              </w:rPr>
              <w:t xml:space="preserve"> </w:t>
            </w:r>
            <w:r>
              <w:rPr>
                <w:spacing w:val="-4"/>
                <w:sz w:val="18"/>
              </w:rPr>
              <w:t>(RFB)</w:t>
            </w:r>
          </w:p>
        </w:tc>
        <w:tc>
          <w:tcPr>
            <w:tcW w:w="1756" w:type="dxa"/>
          </w:tcPr>
          <w:p w14:paraId="0D5D38C2" w14:textId="77777777" w:rsidR="002C6574" w:rsidRDefault="00000000">
            <w:pPr>
              <w:pStyle w:val="TableParagraph"/>
              <w:spacing w:line="213" w:lineRule="exact"/>
              <w:ind w:right="54"/>
              <w:rPr>
                <w:sz w:val="18"/>
              </w:rPr>
            </w:pPr>
            <w:r>
              <w:rPr>
                <w:spacing w:val="-5"/>
                <w:w w:val="105"/>
                <w:sz w:val="18"/>
              </w:rPr>
              <w:t>49</w:t>
            </w:r>
          </w:p>
        </w:tc>
        <w:tc>
          <w:tcPr>
            <w:tcW w:w="1758" w:type="dxa"/>
          </w:tcPr>
          <w:p w14:paraId="4C5723A5" w14:textId="77777777" w:rsidR="002C6574" w:rsidRDefault="00000000">
            <w:pPr>
              <w:pStyle w:val="TableParagraph"/>
              <w:spacing w:line="213" w:lineRule="exact"/>
              <w:ind w:right="54"/>
              <w:rPr>
                <w:sz w:val="18"/>
              </w:rPr>
            </w:pPr>
            <w:r>
              <w:rPr>
                <w:spacing w:val="-5"/>
                <w:w w:val="105"/>
                <w:sz w:val="18"/>
              </w:rPr>
              <w:t>49</w:t>
            </w:r>
          </w:p>
        </w:tc>
      </w:tr>
      <w:tr w:rsidR="002C6574" w14:paraId="5235BCDC" w14:textId="77777777">
        <w:trPr>
          <w:trHeight w:val="237"/>
        </w:trPr>
        <w:tc>
          <w:tcPr>
            <w:tcW w:w="6254" w:type="dxa"/>
          </w:tcPr>
          <w:p w14:paraId="714BA524" w14:textId="77777777" w:rsidR="002C6574" w:rsidRDefault="00000000">
            <w:pPr>
              <w:pStyle w:val="TableParagraph"/>
              <w:spacing w:line="213" w:lineRule="exact"/>
              <w:ind w:left="69"/>
              <w:jc w:val="left"/>
              <w:rPr>
                <w:sz w:val="18"/>
              </w:rPr>
            </w:pPr>
            <w:r>
              <w:rPr>
                <w:w w:val="105"/>
                <w:sz w:val="18"/>
              </w:rPr>
              <w:t>Diversas</w:t>
            </w:r>
            <w:r>
              <w:rPr>
                <w:spacing w:val="5"/>
                <w:w w:val="105"/>
                <w:sz w:val="18"/>
              </w:rPr>
              <w:t xml:space="preserve"> </w:t>
            </w:r>
            <w:r>
              <w:rPr>
                <w:spacing w:val="-2"/>
                <w:w w:val="105"/>
                <w:sz w:val="18"/>
              </w:rPr>
              <w:t>Origens</w:t>
            </w:r>
          </w:p>
        </w:tc>
        <w:tc>
          <w:tcPr>
            <w:tcW w:w="1756" w:type="dxa"/>
          </w:tcPr>
          <w:p w14:paraId="7E0B40C6" w14:textId="77777777" w:rsidR="002C6574" w:rsidRDefault="00000000">
            <w:pPr>
              <w:pStyle w:val="TableParagraph"/>
              <w:spacing w:line="213" w:lineRule="exact"/>
              <w:ind w:right="55"/>
              <w:rPr>
                <w:sz w:val="18"/>
              </w:rPr>
            </w:pPr>
            <w:r>
              <w:rPr>
                <w:spacing w:val="-2"/>
                <w:w w:val="110"/>
                <w:sz w:val="18"/>
              </w:rPr>
              <w:t>1.828</w:t>
            </w:r>
          </w:p>
        </w:tc>
        <w:tc>
          <w:tcPr>
            <w:tcW w:w="1758" w:type="dxa"/>
          </w:tcPr>
          <w:p w14:paraId="10C0DEF3" w14:textId="77777777" w:rsidR="002C6574" w:rsidRDefault="00000000">
            <w:pPr>
              <w:pStyle w:val="TableParagraph"/>
              <w:spacing w:line="213" w:lineRule="exact"/>
              <w:ind w:right="53"/>
              <w:rPr>
                <w:sz w:val="18"/>
              </w:rPr>
            </w:pPr>
            <w:r>
              <w:rPr>
                <w:spacing w:val="-2"/>
                <w:w w:val="110"/>
                <w:sz w:val="18"/>
              </w:rPr>
              <w:t>2.443</w:t>
            </w:r>
          </w:p>
        </w:tc>
      </w:tr>
      <w:tr w:rsidR="002C6574" w14:paraId="6ED1402F" w14:textId="77777777">
        <w:trPr>
          <w:trHeight w:val="239"/>
        </w:trPr>
        <w:tc>
          <w:tcPr>
            <w:tcW w:w="6254" w:type="dxa"/>
          </w:tcPr>
          <w:p w14:paraId="729B20AE" w14:textId="77777777" w:rsidR="002C6574" w:rsidRDefault="00000000">
            <w:pPr>
              <w:pStyle w:val="TableParagraph"/>
              <w:spacing w:before="1"/>
              <w:ind w:left="69"/>
              <w:jc w:val="left"/>
              <w:rPr>
                <w:rFonts w:ascii="Arial"/>
                <w:b/>
                <w:sz w:val="18"/>
              </w:rPr>
            </w:pPr>
            <w:r>
              <w:rPr>
                <w:rFonts w:ascii="Arial"/>
                <w:b/>
                <w:spacing w:val="-2"/>
                <w:sz w:val="18"/>
              </w:rPr>
              <w:t>Total</w:t>
            </w:r>
          </w:p>
        </w:tc>
        <w:tc>
          <w:tcPr>
            <w:tcW w:w="1756" w:type="dxa"/>
          </w:tcPr>
          <w:p w14:paraId="4441AE78" w14:textId="77777777" w:rsidR="002C6574" w:rsidRDefault="00000000">
            <w:pPr>
              <w:pStyle w:val="TableParagraph"/>
              <w:spacing w:before="1"/>
              <w:ind w:right="54"/>
              <w:rPr>
                <w:rFonts w:ascii="Arial"/>
                <w:b/>
                <w:sz w:val="18"/>
              </w:rPr>
            </w:pPr>
            <w:r>
              <w:rPr>
                <w:rFonts w:ascii="Arial"/>
                <w:b/>
                <w:spacing w:val="-2"/>
                <w:sz w:val="18"/>
              </w:rPr>
              <w:t>26.136</w:t>
            </w:r>
          </w:p>
        </w:tc>
        <w:tc>
          <w:tcPr>
            <w:tcW w:w="1758" w:type="dxa"/>
          </w:tcPr>
          <w:p w14:paraId="26CF03CB" w14:textId="77777777" w:rsidR="002C6574" w:rsidRDefault="00000000">
            <w:pPr>
              <w:pStyle w:val="TableParagraph"/>
              <w:spacing w:before="1"/>
              <w:ind w:right="53"/>
              <w:rPr>
                <w:rFonts w:ascii="Arial"/>
                <w:b/>
                <w:sz w:val="18"/>
              </w:rPr>
            </w:pPr>
            <w:r>
              <w:rPr>
                <w:rFonts w:ascii="Arial"/>
                <w:b/>
                <w:spacing w:val="-2"/>
                <w:sz w:val="18"/>
              </w:rPr>
              <w:t>26.083</w:t>
            </w:r>
          </w:p>
        </w:tc>
      </w:tr>
      <w:tr w:rsidR="002C6574" w14:paraId="616BB012" w14:textId="77777777">
        <w:trPr>
          <w:trHeight w:val="237"/>
        </w:trPr>
        <w:tc>
          <w:tcPr>
            <w:tcW w:w="6254" w:type="dxa"/>
          </w:tcPr>
          <w:p w14:paraId="6C98492D" w14:textId="77777777" w:rsidR="002C6574" w:rsidRDefault="002C6574">
            <w:pPr>
              <w:pStyle w:val="TableParagraph"/>
              <w:jc w:val="left"/>
              <w:rPr>
                <w:rFonts w:ascii="Times New Roman"/>
                <w:sz w:val="16"/>
              </w:rPr>
            </w:pPr>
          </w:p>
        </w:tc>
        <w:tc>
          <w:tcPr>
            <w:tcW w:w="1756" w:type="dxa"/>
          </w:tcPr>
          <w:p w14:paraId="293C382A" w14:textId="77777777" w:rsidR="002C6574" w:rsidRDefault="002C6574">
            <w:pPr>
              <w:pStyle w:val="TableParagraph"/>
              <w:jc w:val="left"/>
              <w:rPr>
                <w:rFonts w:ascii="Times New Roman"/>
                <w:sz w:val="16"/>
              </w:rPr>
            </w:pPr>
          </w:p>
        </w:tc>
        <w:tc>
          <w:tcPr>
            <w:tcW w:w="1758" w:type="dxa"/>
          </w:tcPr>
          <w:p w14:paraId="06435DA1" w14:textId="77777777" w:rsidR="002C6574" w:rsidRDefault="002C6574">
            <w:pPr>
              <w:pStyle w:val="TableParagraph"/>
              <w:jc w:val="left"/>
              <w:rPr>
                <w:rFonts w:ascii="Times New Roman"/>
                <w:sz w:val="16"/>
              </w:rPr>
            </w:pPr>
          </w:p>
        </w:tc>
      </w:tr>
      <w:tr w:rsidR="002C6574" w14:paraId="51ED5C71" w14:textId="77777777">
        <w:trPr>
          <w:trHeight w:val="239"/>
        </w:trPr>
        <w:tc>
          <w:tcPr>
            <w:tcW w:w="6254" w:type="dxa"/>
          </w:tcPr>
          <w:p w14:paraId="7B4E806C" w14:textId="77777777" w:rsidR="002C6574" w:rsidRDefault="00000000">
            <w:pPr>
              <w:pStyle w:val="TableParagraph"/>
              <w:spacing w:line="206" w:lineRule="exact"/>
              <w:ind w:left="69"/>
              <w:jc w:val="left"/>
              <w:rPr>
                <w:rFonts w:ascii="Arial"/>
                <w:b/>
                <w:sz w:val="18"/>
              </w:rPr>
            </w:pPr>
            <w:r>
              <w:rPr>
                <w:rFonts w:ascii="Arial"/>
                <w:b/>
                <w:sz w:val="18"/>
              </w:rPr>
              <w:t>Total</w:t>
            </w:r>
            <w:r>
              <w:rPr>
                <w:rFonts w:ascii="Arial"/>
                <w:b/>
                <w:spacing w:val="1"/>
                <w:sz w:val="18"/>
              </w:rPr>
              <w:t xml:space="preserve"> </w:t>
            </w:r>
            <w:r>
              <w:rPr>
                <w:rFonts w:ascii="Arial"/>
                <w:b/>
                <w:spacing w:val="-2"/>
                <w:sz w:val="18"/>
              </w:rPr>
              <w:t>Geral</w:t>
            </w:r>
          </w:p>
        </w:tc>
        <w:tc>
          <w:tcPr>
            <w:tcW w:w="1756" w:type="dxa"/>
          </w:tcPr>
          <w:p w14:paraId="0DA19FEE" w14:textId="77777777" w:rsidR="002C6574" w:rsidRDefault="00000000">
            <w:pPr>
              <w:pStyle w:val="TableParagraph"/>
              <w:spacing w:line="206" w:lineRule="exact"/>
              <w:ind w:right="55"/>
              <w:rPr>
                <w:rFonts w:ascii="Arial"/>
                <w:b/>
                <w:sz w:val="18"/>
              </w:rPr>
            </w:pPr>
            <w:r>
              <w:rPr>
                <w:rFonts w:ascii="Arial"/>
                <w:b/>
                <w:spacing w:val="-2"/>
                <w:sz w:val="18"/>
              </w:rPr>
              <w:t>136.453</w:t>
            </w:r>
          </w:p>
        </w:tc>
        <w:tc>
          <w:tcPr>
            <w:tcW w:w="1758" w:type="dxa"/>
          </w:tcPr>
          <w:p w14:paraId="0C812822" w14:textId="77777777" w:rsidR="002C6574" w:rsidRDefault="00000000">
            <w:pPr>
              <w:pStyle w:val="TableParagraph"/>
              <w:spacing w:line="206" w:lineRule="exact"/>
              <w:ind w:right="53"/>
              <w:rPr>
                <w:rFonts w:ascii="Arial"/>
                <w:b/>
                <w:sz w:val="18"/>
              </w:rPr>
            </w:pPr>
            <w:r>
              <w:rPr>
                <w:rFonts w:ascii="Arial"/>
                <w:b/>
                <w:spacing w:val="-2"/>
                <w:sz w:val="18"/>
              </w:rPr>
              <w:t>139.948</w:t>
            </w:r>
          </w:p>
        </w:tc>
      </w:tr>
    </w:tbl>
    <w:p w14:paraId="1A004ED1" w14:textId="77777777" w:rsidR="002C6574" w:rsidRDefault="002C6574">
      <w:pPr>
        <w:pStyle w:val="Corpodetexto"/>
        <w:spacing w:before="4"/>
      </w:pPr>
    </w:p>
    <w:p w14:paraId="18DC73C2" w14:textId="77777777" w:rsidR="002C6574" w:rsidRDefault="00000000">
      <w:pPr>
        <w:numPr>
          <w:ilvl w:val="2"/>
          <w:numId w:val="36"/>
        </w:numPr>
        <w:tabs>
          <w:tab w:val="left" w:pos="990"/>
        </w:tabs>
        <w:ind w:left="990" w:hanging="847"/>
        <w:rPr>
          <w:rFonts w:ascii="Arial" w:hAnsi="Arial"/>
          <w:b/>
        </w:rPr>
      </w:pPr>
      <w:r>
        <w:rPr>
          <w:rFonts w:ascii="Arial" w:hAnsi="Arial"/>
          <w:b/>
        </w:rPr>
        <w:t>Situação</w:t>
      </w:r>
      <w:r>
        <w:rPr>
          <w:rFonts w:ascii="Arial" w:hAnsi="Arial"/>
          <w:b/>
          <w:spacing w:val="-4"/>
        </w:rPr>
        <w:t xml:space="preserve"> </w:t>
      </w:r>
      <w:r>
        <w:rPr>
          <w:rFonts w:ascii="Arial" w:hAnsi="Arial"/>
          <w:b/>
        </w:rPr>
        <w:t>dos</w:t>
      </w:r>
      <w:r>
        <w:rPr>
          <w:rFonts w:ascii="Arial" w:hAnsi="Arial"/>
          <w:b/>
          <w:spacing w:val="-5"/>
        </w:rPr>
        <w:t xml:space="preserve"> </w:t>
      </w:r>
      <w:r>
        <w:rPr>
          <w:rFonts w:ascii="Arial" w:hAnsi="Arial"/>
          <w:b/>
        </w:rPr>
        <w:t>principais</w:t>
      </w:r>
      <w:r>
        <w:rPr>
          <w:rFonts w:ascii="Arial" w:hAnsi="Arial"/>
          <w:b/>
          <w:spacing w:val="-5"/>
        </w:rPr>
        <w:t xml:space="preserve"> </w:t>
      </w:r>
      <w:r>
        <w:rPr>
          <w:rFonts w:ascii="Arial" w:hAnsi="Arial"/>
          <w:b/>
          <w:spacing w:val="-2"/>
        </w:rPr>
        <w:t>processos:</w:t>
      </w:r>
    </w:p>
    <w:p w14:paraId="5C51860F" w14:textId="77777777" w:rsidR="002C6574" w:rsidRDefault="002C6574">
      <w:pPr>
        <w:pStyle w:val="Corpodetexto"/>
        <w:spacing w:before="22"/>
        <w:rPr>
          <w:rFonts w:ascii="Arial"/>
          <w:b/>
        </w:rPr>
      </w:pPr>
    </w:p>
    <w:p w14:paraId="3E90CA36" w14:textId="77777777" w:rsidR="002C6574" w:rsidRDefault="00000000">
      <w:pPr>
        <w:pStyle w:val="PargrafodaLista"/>
        <w:numPr>
          <w:ilvl w:val="0"/>
          <w:numId w:val="35"/>
        </w:numPr>
        <w:tabs>
          <w:tab w:val="left" w:pos="339"/>
        </w:tabs>
        <w:ind w:left="339" w:hanging="196"/>
        <w:rPr>
          <w:rFonts w:ascii="Arial" w:hAnsi="Arial"/>
          <w:b/>
        </w:rPr>
      </w:pPr>
      <w:r>
        <w:rPr>
          <w:rFonts w:ascii="Arial" w:hAnsi="Arial"/>
          <w:b/>
        </w:rPr>
        <w:t>Processo</w:t>
      </w:r>
      <w:r>
        <w:rPr>
          <w:rFonts w:ascii="Arial" w:hAnsi="Arial"/>
          <w:b/>
          <w:spacing w:val="-2"/>
        </w:rPr>
        <w:t xml:space="preserve"> </w:t>
      </w:r>
      <w:r>
        <w:rPr>
          <w:rFonts w:ascii="Arial" w:hAnsi="Arial"/>
          <w:b/>
        </w:rPr>
        <w:t>de</w:t>
      </w:r>
      <w:r>
        <w:rPr>
          <w:rFonts w:ascii="Arial" w:hAnsi="Arial"/>
          <w:b/>
          <w:spacing w:val="-5"/>
        </w:rPr>
        <w:t xml:space="preserve"> </w:t>
      </w:r>
      <w:r>
        <w:rPr>
          <w:rFonts w:ascii="Arial" w:hAnsi="Arial"/>
          <w:b/>
        </w:rPr>
        <w:t>cisão</w:t>
      </w:r>
      <w:r>
        <w:rPr>
          <w:rFonts w:ascii="Arial" w:hAnsi="Arial"/>
          <w:b/>
          <w:spacing w:val="-4"/>
        </w:rPr>
        <w:t xml:space="preserve"> </w:t>
      </w:r>
      <w:r>
        <w:rPr>
          <w:rFonts w:ascii="Arial" w:hAnsi="Arial"/>
          <w:b/>
        </w:rPr>
        <w:t>Sistema</w:t>
      </w:r>
      <w:r>
        <w:rPr>
          <w:rFonts w:ascii="Arial" w:hAnsi="Arial"/>
          <w:b/>
          <w:spacing w:val="-4"/>
        </w:rPr>
        <w:t xml:space="preserve"> </w:t>
      </w:r>
      <w:r>
        <w:rPr>
          <w:rFonts w:ascii="Arial" w:hAnsi="Arial"/>
          <w:b/>
          <w:spacing w:val="-2"/>
        </w:rPr>
        <w:t>Telebras</w:t>
      </w:r>
    </w:p>
    <w:p w14:paraId="53AA4E83" w14:textId="77777777" w:rsidR="002C6574" w:rsidRDefault="00000000">
      <w:pPr>
        <w:pStyle w:val="Corpodetexto"/>
        <w:spacing w:before="205" w:line="225" w:lineRule="auto"/>
        <w:ind w:left="143" w:right="703"/>
        <w:jc w:val="both"/>
      </w:pPr>
      <w:r>
        <w:t>A origem desse litígio ocorreu quando do processo de cisão do Sistema Telebras. A Telefônica, sucessora da Telesp, alega que os valores relativos aos depósitos judiciais registrados como ativos foram destinados à Telesp na cisão dos ativos e passivos mediante certas condições. Durante os</w:t>
      </w:r>
      <w:r>
        <w:rPr>
          <w:spacing w:val="40"/>
        </w:rPr>
        <w:t xml:space="preserve"> </w:t>
      </w:r>
      <w:r>
        <w:t>anos de 1998 a 2008 esses depósitos foram revertidos (creditados) em favor da Telebras, devido ao fato de esta ter permanecido com a titularidade das contas. Essa controvérsia, atualmente, é objeto de debate em dois processos distintos, sendo certo que o terceiro processo que havia relacionado</w:t>
      </w:r>
      <w:r>
        <w:rPr>
          <w:spacing w:val="40"/>
        </w:rPr>
        <w:t xml:space="preserve"> </w:t>
      </w:r>
      <w:r>
        <w:t>ao mesmo fato foi encerrado com provimento totalmente favorável à Telebras.</w:t>
      </w:r>
    </w:p>
    <w:p w14:paraId="4792C9B6" w14:textId="77777777" w:rsidR="002C6574" w:rsidRDefault="00000000">
      <w:pPr>
        <w:pStyle w:val="Corpodetexto"/>
        <w:spacing w:before="283" w:line="225" w:lineRule="auto"/>
        <w:ind w:left="143" w:right="702"/>
        <w:jc w:val="both"/>
      </w:pPr>
      <w:r>
        <w:rPr>
          <w:w w:val="105"/>
        </w:rPr>
        <w:t>A</w:t>
      </w:r>
      <w:r>
        <w:rPr>
          <w:spacing w:val="-12"/>
          <w:w w:val="105"/>
        </w:rPr>
        <w:t xml:space="preserve"> </w:t>
      </w:r>
      <w:r>
        <w:rPr>
          <w:w w:val="105"/>
        </w:rPr>
        <w:t>Companhia,</w:t>
      </w:r>
      <w:r>
        <w:rPr>
          <w:spacing w:val="-12"/>
          <w:w w:val="105"/>
        </w:rPr>
        <w:t xml:space="preserve"> </w:t>
      </w:r>
      <w:r>
        <w:rPr>
          <w:w w:val="105"/>
        </w:rPr>
        <w:t>através</w:t>
      </w:r>
      <w:r>
        <w:rPr>
          <w:spacing w:val="-14"/>
          <w:w w:val="105"/>
        </w:rPr>
        <w:t xml:space="preserve"> </w:t>
      </w:r>
      <w:r>
        <w:rPr>
          <w:w w:val="105"/>
        </w:rPr>
        <w:t>da</w:t>
      </w:r>
      <w:r>
        <w:rPr>
          <w:spacing w:val="-11"/>
          <w:w w:val="105"/>
        </w:rPr>
        <w:t xml:space="preserve"> </w:t>
      </w:r>
      <w:r>
        <w:rPr>
          <w:w w:val="105"/>
        </w:rPr>
        <w:t>opinião</w:t>
      </w:r>
      <w:r>
        <w:rPr>
          <w:spacing w:val="-11"/>
          <w:w w:val="105"/>
        </w:rPr>
        <w:t xml:space="preserve"> </w:t>
      </w:r>
      <w:r>
        <w:rPr>
          <w:w w:val="105"/>
        </w:rPr>
        <w:t>dos</w:t>
      </w:r>
      <w:r>
        <w:rPr>
          <w:spacing w:val="-12"/>
          <w:w w:val="105"/>
        </w:rPr>
        <w:t xml:space="preserve"> </w:t>
      </w:r>
      <w:r>
        <w:rPr>
          <w:w w:val="105"/>
        </w:rPr>
        <w:t>seus</w:t>
      </w:r>
      <w:r>
        <w:rPr>
          <w:spacing w:val="-12"/>
          <w:w w:val="105"/>
        </w:rPr>
        <w:t xml:space="preserve"> </w:t>
      </w:r>
      <w:r>
        <w:rPr>
          <w:w w:val="105"/>
        </w:rPr>
        <w:t>advogados,</w:t>
      </w:r>
      <w:r>
        <w:rPr>
          <w:spacing w:val="-12"/>
          <w:w w:val="105"/>
        </w:rPr>
        <w:t xml:space="preserve"> </w:t>
      </w:r>
      <w:r>
        <w:rPr>
          <w:w w:val="105"/>
        </w:rPr>
        <w:t>reconhece</w:t>
      </w:r>
      <w:r>
        <w:rPr>
          <w:spacing w:val="-11"/>
          <w:w w:val="105"/>
        </w:rPr>
        <w:t xml:space="preserve"> </w:t>
      </w:r>
      <w:r>
        <w:rPr>
          <w:w w:val="105"/>
        </w:rPr>
        <w:t>que</w:t>
      </w:r>
      <w:r>
        <w:rPr>
          <w:spacing w:val="-14"/>
          <w:w w:val="105"/>
        </w:rPr>
        <w:t xml:space="preserve"> </w:t>
      </w:r>
      <w:r>
        <w:rPr>
          <w:w w:val="105"/>
        </w:rPr>
        <w:t>o</w:t>
      </w:r>
      <w:r>
        <w:rPr>
          <w:spacing w:val="-15"/>
          <w:w w:val="105"/>
        </w:rPr>
        <w:t xml:space="preserve"> </w:t>
      </w:r>
      <w:r>
        <w:rPr>
          <w:w w:val="105"/>
        </w:rPr>
        <w:t>risco</w:t>
      </w:r>
      <w:r>
        <w:rPr>
          <w:spacing w:val="-11"/>
          <w:w w:val="105"/>
        </w:rPr>
        <w:t xml:space="preserve"> </w:t>
      </w:r>
      <w:r>
        <w:rPr>
          <w:w w:val="105"/>
        </w:rPr>
        <w:t>de</w:t>
      </w:r>
      <w:r>
        <w:rPr>
          <w:spacing w:val="-14"/>
          <w:w w:val="105"/>
        </w:rPr>
        <w:t xml:space="preserve"> </w:t>
      </w:r>
      <w:r>
        <w:rPr>
          <w:w w:val="105"/>
        </w:rPr>
        <w:t>perda</w:t>
      </w:r>
      <w:r>
        <w:rPr>
          <w:spacing w:val="-14"/>
          <w:w w:val="105"/>
        </w:rPr>
        <w:t xml:space="preserve"> </w:t>
      </w:r>
      <w:r>
        <w:rPr>
          <w:w w:val="105"/>
        </w:rPr>
        <w:t>para</w:t>
      </w:r>
      <w:r>
        <w:rPr>
          <w:spacing w:val="-14"/>
          <w:w w:val="105"/>
        </w:rPr>
        <w:t xml:space="preserve"> </w:t>
      </w:r>
      <w:r>
        <w:rPr>
          <w:w w:val="105"/>
        </w:rPr>
        <w:t>esses processos</w:t>
      </w:r>
      <w:r>
        <w:rPr>
          <w:spacing w:val="-16"/>
          <w:w w:val="105"/>
        </w:rPr>
        <w:t xml:space="preserve"> </w:t>
      </w:r>
      <w:r>
        <w:rPr>
          <w:w w:val="105"/>
        </w:rPr>
        <w:t>é</w:t>
      </w:r>
      <w:r>
        <w:rPr>
          <w:spacing w:val="-16"/>
          <w:w w:val="105"/>
        </w:rPr>
        <w:t xml:space="preserve"> </w:t>
      </w:r>
      <w:r>
        <w:rPr>
          <w:w w:val="105"/>
        </w:rPr>
        <w:t>possível,</w:t>
      </w:r>
      <w:r>
        <w:rPr>
          <w:spacing w:val="-16"/>
          <w:w w:val="105"/>
        </w:rPr>
        <w:t xml:space="preserve"> </w:t>
      </w:r>
      <w:r>
        <w:rPr>
          <w:w w:val="105"/>
        </w:rPr>
        <w:t>assim,</w:t>
      </w:r>
      <w:r>
        <w:rPr>
          <w:spacing w:val="-16"/>
          <w:w w:val="105"/>
        </w:rPr>
        <w:t xml:space="preserve"> </w:t>
      </w:r>
      <w:r>
        <w:rPr>
          <w:w w:val="105"/>
        </w:rPr>
        <w:t>tal</w:t>
      </w:r>
      <w:r>
        <w:rPr>
          <w:spacing w:val="-16"/>
          <w:w w:val="105"/>
        </w:rPr>
        <w:t xml:space="preserve"> </w:t>
      </w:r>
      <w:r>
        <w:rPr>
          <w:w w:val="105"/>
        </w:rPr>
        <w:t>valor</w:t>
      </w:r>
      <w:r>
        <w:rPr>
          <w:spacing w:val="-15"/>
          <w:w w:val="105"/>
        </w:rPr>
        <w:t xml:space="preserve"> </w:t>
      </w:r>
      <w:r>
        <w:rPr>
          <w:w w:val="105"/>
        </w:rPr>
        <w:t>não</w:t>
      </w:r>
      <w:r>
        <w:rPr>
          <w:spacing w:val="-16"/>
          <w:w w:val="105"/>
        </w:rPr>
        <w:t xml:space="preserve"> </w:t>
      </w:r>
      <w:r>
        <w:rPr>
          <w:w w:val="105"/>
        </w:rPr>
        <w:t>está</w:t>
      </w:r>
      <w:r>
        <w:rPr>
          <w:spacing w:val="-16"/>
          <w:w w:val="105"/>
        </w:rPr>
        <w:t xml:space="preserve"> </w:t>
      </w:r>
      <w:r>
        <w:rPr>
          <w:w w:val="105"/>
        </w:rPr>
        <w:t>reconhecido</w:t>
      </w:r>
      <w:r>
        <w:rPr>
          <w:spacing w:val="-16"/>
          <w:w w:val="105"/>
        </w:rPr>
        <w:t xml:space="preserve"> </w:t>
      </w:r>
      <w:r>
        <w:rPr>
          <w:w w:val="105"/>
        </w:rPr>
        <w:t>na</w:t>
      </w:r>
      <w:r>
        <w:rPr>
          <w:spacing w:val="-16"/>
          <w:w w:val="105"/>
        </w:rPr>
        <w:t xml:space="preserve"> </w:t>
      </w:r>
      <w:r>
        <w:rPr>
          <w:w w:val="105"/>
        </w:rPr>
        <w:t>contabilidade</w:t>
      </w:r>
      <w:r>
        <w:rPr>
          <w:spacing w:val="-16"/>
          <w:w w:val="105"/>
        </w:rPr>
        <w:t xml:space="preserve"> </w:t>
      </w:r>
      <w:r>
        <w:rPr>
          <w:w w:val="105"/>
        </w:rPr>
        <w:t>da</w:t>
      </w:r>
      <w:r>
        <w:rPr>
          <w:spacing w:val="-15"/>
          <w:w w:val="105"/>
        </w:rPr>
        <w:t xml:space="preserve"> </w:t>
      </w:r>
      <w:r>
        <w:rPr>
          <w:w w:val="105"/>
        </w:rPr>
        <w:t>Telebras.</w:t>
      </w:r>
      <w:r>
        <w:rPr>
          <w:spacing w:val="-16"/>
          <w:w w:val="105"/>
        </w:rPr>
        <w:t xml:space="preserve"> </w:t>
      </w:r>
      <w:r>
        <w:rPr>
          <w:w w:val="105"/>
        </w:rPr>
        <w:t>O</w:t>
      </w:r>
      <w:r>
        <w:rPr>
          <w:spacing w:val="-16"/>
          <w:w w:val="105"/>
        </w:rPr>
        <w:t xml:space="preserve"> </w:t>
      </w:r>
      <w:r>
        <w:rPr>
          <w:w w:val="105"/>
        </w:rPr>
        <w:t>motivo para</w:t>
      </w:r>
      <w:r>
        <w:rPr>
          <w:spacing w:val="-12"/>
          <w:w w:val="105"/>
        </w:rPr>
        <w:t xml:space="preserve"> </w:t>
      </w:r>
      <w:r>
        <w:rPr>
          <w:w w:val="105"/>
        </w:rPr>
        <w:t>a</w:t>
      </w:r>
      <w:r>
        <w:rPr>
          <w:spacing w:val="-10"/>
          <w:w w:val="105"/>
        </w:rPr>
        <w:t xml:space="preserve"> </w:t>
      </w:r>
      <w:r>
        <w:rPr>
          <w:w w:val="105"/>
        </w:rPr>
        <w:t>classificação</w:t>
      </w:r>
      <w:r>
        <w:rPr>
          <w:spacing w:val="-8"/>
          <w:w w:val="105"/>
        </w:rPr>
        <w:t xml:space="preserve"> </w:t>
      </w:r>
      <w:r>
        <w:rPr>
          <w:w w:val="105"/>
        </w:rPr>
        <w:t>como</w:t>
      </w:r>
      <w:r>
        <w:rPr>
          <w:spacing w:val="-6"/>
          <w:w w:val="105"/>
        </w:rPr>
        <w:t xml:space="preserve"> </w:t>
      </w:r>
      <w:r>
        <w:rPr>
          <w:w w:val="105"/>
        </w:rPr>
        <w:t>possível</w:t>
      </w:r>
      <w:r>
        <w:rPr>
          <w:spacing w:val="-8"/>
          <w:w w:val="105"/>
        </w:rPr>
        <w:t xml:space="preserve"> </w:t>
      </w:r>
      <w:r>
        <w:rPr>
          <w:w w:val="105"/>
        </w:rPr>
        <w:t>deve-se</w:t>
      </w:r>
      <w:r>
        <w:rPr>
          <w:spacing w:val="-8"/>
          <w:w w:val="105"/>
        </w:rPr>
        <w:t xml:space="preserve"> </w:t>
      </w:r>
      <w:r>
        <w:rPr>
          <w:w w:val="105"/>
        </w:rPr>
        <w:t>ao</w:t>
      </w:r>
      <w:r>
        <w:rPr>
          <w:spacing w:val="-10"/>
          <w:w w:val="105"/>
        </w:rPr>
        <w:t xml:space="preserve"> </w:t>
      </w:r>
      <w:r>
        <w:rPr>
          <w:w w:val="105"/>
        </w:rPr>
        <w:t>fato</w:t>
      </w:r>
      <w:r>
        <w:rPr>
          <w:spacing w:val="-7"/>
          <w:w w:val="105"/>
        </w:rPr>
        <w:t xml:space="preserve"> </w:t>
      </w:r>
      <w:r>
        <w:rPr>
          <w:w w:val="105"/>
        </w:rPr>
        <w:t>de</w:t>
      </w:r>
      <w:r>
        <w:rPr>
          <w:spacing w:val="-6"/>
          <w:w w:val="105"/>
        </w:rPr>
        <w:t xml:space="preserve"> </w:t>
      </w:r>
      <w:r>
        <w:rPr>
          <w:w w:val="105"/>
        </w:rPr>
        <w:t>que</w:t>
      </w:r>
      <w:r>
        <w:rPr>
          <w:spacing w:val="-6"/>
          <w:w w:val="105"/>
        </w:rPr>
        <w:t xml:space="preserve"> </w:t>
      </w:r>
      <w:r>
        <w:rPr>
          <w:w w:val="105"/>
        </w:rPr>
        <w:t>a</w:t>
      </w:r>
      <w:r>
        <w:rPr>
          <w:spacing w:val="-8"/>
          <w:w w:val="105"/>
        </w:rPr>
        <w:t xml:space="preserve"> </w:t>
      </w:r>
      <w:r>
        <w:rPr>
          <w:w w:val="105"/>
        </w:rPr>
        <w:t>Companhia</w:t>
      </w:r>
      <w:r>
        <w:rPr>
          <w:spacing w:val="-16"/>
          <w:w w:val="105"/>
        </w:rPr>
        <w:t xml:space="preserve"> </w:t>
      </w:r>
      <w:r>
        <w:rPr>
          <w:w w:val="105"/>
        </w:rPr>
        <w:t>obteve</w:t>
      </w:r>
      <w:r>
        <w:rPr>
          <w:spacing w:val="-7"/>
          <w:w w:val="105"/>
        </w:rPr>
        <w:t xml:space="preserve"> </w:t>
      </w:r>
      <w:r>
        <w:rPr>
          <w:w w:val="105"/>
        </w:rPr>
        <w:t>decisão</w:t>
      </w:r>
      <w:r>
        <w:rPr>
          <w:spacing w:val="-7"/>
          <w:w w:val="105"/>
        </w:rPr>
        <w:t xml:space="preserve"> </w:t>
      </w:r>
      <w:r>
        <w:rPr>
          <w:w w:val="105"/>
        </w:rPr>
        <w:t xml:space="preserve">favorável </w:t>
      </w:r>
      <w:r>
        <w:t>em duas</w:t>
      </w:r>
      <w:r>
        <w:rPr>
          <w:spacing w:val="-1"/>
        </w:rPr>
        <w:t xml:space="preserve"> </w:t>
      </w:r>
      <w:r>
        <w:t>instâncias, incluindo</w:t>
      </w:r>
      <w:r>
        <w:rPr>
          <w:spacing w:val="-1"/>
        </w:rPr>
        <w:t xml:space="preserve"> </w:t>
      </w:r>
      <w:r>
        <w:t>sentenças</w:t>
      </w:r>
      <w:r>
        <w:rPr>
          <w:spacing w:val="-1"/>
        </w:rPr>
        <w:t xml:space="preserve"> </w:t>
      </w:r>
      <w:r>
        <w:t>de</w:t>
      </w:r>
      <w:r>
        <w:rPr>
          <w:spacing w:val="-1"/>
        </w:rPr>
        <w:t xml:space="preserve"> </w:t>
      </w:r>
      <w:r>
        <w:t>primeiro</w:t>
      </w:r>
      <w:r>
        <w:rPr>
          <w:spacing w:val="-2"/>
        </w:rPr>
        <w:t xml:space="preserve"> </w:t>
      </w:r>
      <w:r>
        <w:t>grau</w:t>
      </w:r>
      <w:r>
        <w:rPr>
          <w:spacing w:val="-1"/>
        </w:rPr>
        <w:t xml:space="preserve"> </w:t>
      </w:r>
      <w:r>
        <w:t>proferidas</w:t>
      </w:r>
      <w:r>
        <w:rPr>
          <w:spacing w:val="-1"/>
        </w:rPr>
        <w:t xml:space="preserve"> </w:t>
      </w:r>
      <w:r>
        <w:t>por</w:t>
      </w:r>
      <w:r>
        <w:rPr>
          <w:spacing w:val="-1"/>
        </w:rPr>
        <w:t xml:space="preserve"> </w:t>
      </w:r>
      <w:r>
        <w:t>juízos</w:t>
      </w:r>
      <w:r>
        <w:rPr>
          <w:spacing w:val="-1"/>
        </w:rPr>
        <w:t xml:space="preserve"> </w:t>
      </w:r>
      <w:r>
        <w:t>do</w:t>
      </w:r>
      <w:r>
        <w:rPr>
          <w:spacing w:val="-2"/>
        </w:rPr>
        <w:t xml:space="preserve"> </w:t>
      </w:r>
      <w:r>
        <w:t>Tribunal</w:t>
      </w:r>
      <w:r>
        <w:rPr>
          <w:spacing w:val="-3"/>
        </w:rPr>
        <w:t xml:space="preserve"> </w:t>
      </w:r>
      <w:r>
        <w:t>de</w:t>
      </w:r>
      <w:r>
        <w:rPr>
          <w:spacing w:val="-1"/>
        </w:rPr>
        <w:t xml:space="preserve"> </w:t>
      </w:r>
      <w:r>
        <w:t xml:space="preserve">Justiça </w:t>
      </w:r>
      <w:r>
        <w:rPr>
          <w:w w:val="105"/>
        </w:rPr>
        <w:t>do</w:t>
      </w:r>
      <w:r>
        <w:rPr>
          <w:spacing w:val="-3"/>
          <w:w w:val="105"/>
        </w:rPr>
        <w:t xml:space="preserve"> </w:t>
      </w:r>
      <w:r>
        <w:rPr>
          <w:w w:val="105"/>
        </w:rPr>
        <w:t>Estado</w:t>
      </w:r>
      <w:r>
        <w:rPr>
          <w:spacing w:val="-6"/>
          <w:w w:val="105"/>
        </w:rPr>
        <w:t xml:space="preserve"> </w:t>
      </w:r>
      <w:r>
        <w:rPr>
          <w:w w:val="105"/>
        </w:rPr>
        <w:t>de</w:t>
      </w:r>
      <w:r>
        <w:rPr>
          <w:spacing w:val="-4"/>
          <w:w w:val="105"/>
        </w:rPr>
        <w:t xml:space="preserve"> </w:t>
      </w:r>
      <w:r>
        <w:rPr>
          <w:w w:val="105"/>
        </w:rPr>
        <w:t>São</w:t>
      </w:r>
      <w:r>
        <w:rPr>
          <w:spacing w:val="-7"/>
          <w:w w:val="105"/>
        </w:rPr>
        <w:t xml:space="preserve"> </w:t>
      </w:r>
      <w:r>
        <w:rPr>
          <w:w w:val="105"/>
        </w:rPr>
        <w:t>Paulo</w:t>
      </w:r>
      <w:r>
        <w:rPr>
          <w:spacing w:val="-8"/>
          <w:w w:val="105"/>
        </w:rPr>
        <w:t xml:space="preserve"> </w:t>
      </w:r>
      <w:r>
        <w:rPr>
          <w:w w:val="105"/>
        </w:rPr>
        <w:t>e</w:t>
      </w:r>
      <w:r>
        <w:rPr>
          <w:spacing w:val="-5"/>
          <w:w w:val="105"/>
        </w:rPr>
        <w:t xml:space="preserve"> </w:t>
      </w:r>
      <w:r>
        <w:rPr>
          <w:w w:val="105"/>
        </w:rPr>
        <w:t>Tribunal</w:t>
      </w:r>
      <w:r>
        <w:rPr>
          <w:spacing w:val="-5"/>
          <w:w w:val="105"/>
        </w:rPr>
        <w:t xml:space="preserve"> </w:t>
      </w:r>
      <w:r>
        <w:rPr>
          <w:w w:val="105"/>
        </w:rPr>
        <w:t>de</w:t>
      </w:r>
      <w:r>
        <w:rPr>
          <w:spacing w:val="-7"/>
          <w:w w:val="105"/>
        </w:rPr>
        <w:t xml:space="preserve"> </w:t>
      </w:r>
      <w:r>
        <w:rPr>
          <w:w w:val="105"/>
        </w:rPr>
        <w:t>Justiça</w:t>
      </w:r>
      <w:r>
        <w:rPr>
          <w:spacing w:val="-7"/>
          <w:w w:val="105"/>
        </w:rPr>
        <w:t xml:space="preserve"> </w:t>
      </w:r>
      <w:r>
        <w:rPr>
          <w:w w:val="105"/>
        </w:rPr>
        <w:t>do</w:t>
      </w:r>
      <w:r>
        <w:rPr>
          <w:spacing w:val="-8"/>
          <w:w w:val="105"/>
        </w:rPr>
        <w:t xml:space="preserve"> </w:t>
      </w:r>
      <w:r>
        <w:rPr>
          <w:w w:val="105"/>
        </w:rPr>
        <w:t>Distrito</w:t>
      </w:r>
      <w:r>
        <w:rPr>
          <w:spacing w:val="-7"/>
          <w:w w:val="105"/>
        </w:rPr>
        <w:t xml:space="preserve"> </w:t>
      </w:r>
      <w:r>
        <w:rPr>
          <w:w w:val="105"/>
        </w:rPr>
        <w:t>Federal</w:t>
      </w:r>
      <w:r>
        <w:rPr>
          <w:spacing w:val="-5"/>
          <w:w w:val="105"/>
        </w:rPr>
        <w:t xml:space="preserve"> </w:t>
      </w:r>
      <w:r>
        <w:rPr>
          <w:w w:val="105"/>
        </w:rPr>
        <w:t>e</w:t>
      </w:r>
      <w:r>
        <w:rPr>
          <w:spacing w:val="-6"/>
          <w:w w:val="105"/>
        </w:rPr>
        <w:t xml:space="preserve"> </w:t>
      </w:r>
      <w:r>
        <w:rPr>
          <w:w w:val="105"/>
        </w:rPr>
        <w:t>Territórios,</w:t>
      </w:r>
      <w:r>
        <w:rPr>
          <w:spacing w:val="-3"/>
          <w:w w:val="105"/>
        </w:rPr>
        <w:t xml:space="preserve"> </w:t>
      </w:r>
      <w:r>
        <w:rPr>
          <w:w w:val="105"/>
        </w:rPr>
        <w:t>em</w:t>
      </w:r>
      <w:r>
        <w:rPr>
          <w:spacing w:val="-4"/>
          <w:w w:val="105"/>
        </w:rPr>
        <w:t xml:space="preserve"> </w:t>
      </w:r>
      <w:r>
        <w:rPr>
          <w:w w:val="105"/>
        </w:rPr>
        <w:t>2019.</w:t>
      </w:r>
    </w:p>
    <w:p w14:paraId="655127F4" w14:textId="77777777" w:rsidR="002C6574" w:rsidRDefault="00000000">
      <w:pPr>
        <w:pStyle w:val="Corpodetexto"/>
        <w:spacing w:before="281" w:line="225" w:lineRule="auto"/>
        <w:ind w:left="143" w:right="704"/>
        <w:jc w:val="both"/>
      </w:pPr>
      <w:r>
        <w:t>Ainda, no ano de 2019, a sentença proferida pelo</w:t>
      </w:r>
      <w:r>
        <w:rPr>
          <w:spacing w:val="-1"/>
        </w:rPr>
        <w:t xml:space="preserve"> </w:t>
      </w:r>
      <w:r>
        <w:t>Tribunal de Justiça do Distrito Federal e Territórios foi anulada, mas em função de vício de índole processual apenas. A matéria estava sob apreciação</w:t>
      </w:r>
      <w:r>
        <w:rPr>
          <w:spacing w:val="40"/>
        </w:rPr>
        <w:t xml:space="preserve"> </w:t>
      </w:r>
      <w:r>
        <w:t xml:space="preserve">do Superior Tribunal de Justiça, em sede de agravo interno, que teve provimento negado pelo Superior Tribunal de Justiça. O processo retornou ao juízo de origem no ano de 2020 e aguarda </w:t>
      </w:r>
      <w:r>
        <w:rPr>
          <w:spacing w:val="-2"/>
        </w:rPr>
        <w:t>andamento.</w:t>
      </w:r>
    </w:p>
    <w:p w14:paraId="75769780" w14:textId="77777777" w:rsidR="002C6574" w:rsidRDefault="002C6574">
      <w:pPr>
        <w:pStyle w:val="Corpodetexto"/>
        <w:spacing w:line="225" w:lineRule="auto"/>
        <w:jc w:val="both"/>
        <w:sectPr w:rsidR="002C6574">
          <w:pgSz w:w="11910" w:h="16840"/>
          <w:pgMar w:top="1600" w:right="141" w:bottom="1320" w:left="1133" w:header="856" w:footer="1125" w:gutter="0"/>
          <w:cols w:space="720"/>
        </w:sectPr>
      </w:pPr>
    </w:p>
    <w:p w14:paraId="619EFDDD" w14:textId="77777777" w:rsidR="002C6574" w:rsidRDefault="00000000">
      <w:pPr>
        <w:pStyle w:val="Corpodetexto"/>
        <w:spacing w:before="236" w:line="225" w:lineRule="auto"/>
        <w:ind w:left="143" w:right="703" w:firstLine="61"/>
        <w:jc w:val="both"/>
      </w:pPr>
      <w:r>
        <w:lastRenderedPageBreak/>
        <w:t>Quanto ao processo do Tribunal de Justiça do Estado de São Paulo, o Superior Tribunal de Justiça determinou</w:t>
      </w:r>
      <w:r>
        <w:rPr>
          <w:spacing w:val="-3"/>
        </w:rPr>
        <w:t xml:space="preserve"> </w:t>
      </w:r>
      <w:r>
        <w:t>o</w:t>
      </w:r>
      <w:r>
        <w:rPr>
          <w:spacing w:val="-6"/>
        </w:rPr>
        <w:t xml:space="preserve"> </w:t>
      </w:r>
      <w:r>
        <w:t>retorno</w:t>
      </w:r>
      <w:r>
        <w:rPr>
          <w:spacing w:val="-5"/>
        </w:rPr>
        <w:t xml:space="preserve"> </w:t>
      </w:r>
      <w:r>
        <w:t>dos</w:t>
      </w:r>
      <w:r>
        <w:rPr>
          <w:spacing w:val="-2"/>
        </w:rPr>
        <w:t xml:space="preserve"> </w:t>
      </w:r>
      <w:r>
        <w:t>autos</w:t>
      </w:r>
      <w:r>
        <w:rPr>
          <w:spacing w:val="-4"/>
        </w:rPr>
        <w:t xml:space="preserve"> </w:t>
      </w:r>
      <w:r>
        <w:t>ao</w:t>
      </w:r>
      <w:r>
        <w:rPr>
          <w:spacing w:val="-5"/>
        </w:rPr>
        <w:t xml:space="preserve"> </w:t>
      </w:r>
      <w:r>
        <w:t>primeiro</w:t>
      </w:r>
      <w:r>
        <w:rPr>
          <w:spacing w:val="-5"/>
        </w:rPr>
        <w:t xml:space="preserve"> </w:t>
      </w:r>
      <w:r>
        <w:t>grau</w:t>
      </w:r>
      <w:r>
        <w:rPr>
          <w:spacing w:val="-7"/>
        </w:rPr>
        <w:t xml:space="preserve"> </w:t>
      </w:r>
      <w:r>
        <w:t>de</w:t>
      </w:r>
      <w:r>
        <w:rPr>
          <w:spacing w:val="-2"/>
        </w:rPr>
        <w:t xml:space="preserve"> </w:t>
      </w:r>
      <w:r>
        <w:t>jurisdição,</w:t>
      </w:r>
      <w:r>
        <w:rPr>
          <w:spacing w:val="-3"/>
        </w:rPr>
        <w:t xml:space="preserve"> </w:t>
      </w:r>
      <w:r>
        <w:t>a</w:t>
      </w:r>
      <w:r>
        <w:rPr>
          <w:spacing w:val="-7"/>
        </w:rPr>
        <w:t xml:space="preserve"> </w:t>
      </w:r>
      <w:r>
        <w:t>fim</w:t>
      </w:r>
      <w:r>
        <w:rPr>
          <w:spacing w:val="-4"/>
        </w:rPr>
        <w:t xml:space="preserve"> </w:t>
      </w:r>
      <w:r>
        <w:t>de</w:t>
      </w:r>
      <w:r>
        <w:rPr>
          <w:spacing w:val="-5"/>
        </w:rPr>
        <w:t xml:space="preserve"> </w:t>
      </w:r>
      <w:r>
        <w:t>que</w:t>
      </w:r>
      <w:r>
        <w:rPr>
          <w:spacing w:val="-2"/>
        </w:rPr>
        <w:t xml:space="preserve"> </w:t>
      </w:r>
      <w:r>
        <w:t>reaprecie</w:t>
      </w:r>
      <w:r>
        <w:rPr>
          <w:spacing w:val="-3"/>
        </w:rPr>
        <w:t xml:space="preserve"> </w:t>
      </w:r>
      <w:r>
        <w:t>o</w:t>
      </w:r>
      <w:r>
        <w:rPr>
          <w:spacing w:val="-6"/>
        </w:rPr>
        <w:t xml:space="preserve"> </w:t>
      </w:r>
      <w:r>
        <w:t>termo</w:t>
      </w:r>
      <w:r>
        <w:rPr>
          <w:spacing w:val="-5"/>
        </w:rPr>
        <w:t xml:space="preserve"> </w:t>
      </w:r>
      <w:r>
        <w:t>inicial da prescrição, mantendo a incidência do prazo trienal. Haverá novo julgamento apenas para apreciação do termo inicial da contagem.</w:t>
      </w:r>
    </w:p>
    <w:p w14:paraId="2B7DE493" w14:textId="77777777" w:rsidR="002C6574" w:rsidRDefault="00000000">
      <w:pPr>
        <w:numPr>
          <w:ilvl w:val="0"/>
          <w:numId w:val="35"/>
        </w:numPr>
        <w:tabs>
          <w:tab w:val="left" w:pos="401"/>
        </w:tabs>
        <w:spacing w:before="287"/>
        <w:ind w:left="401" w:hanging="258"/>
        <w:rPr>
          <w:rFonts w:ascii="Arial" w:hAnsi="Arial"/>
          <w:b/>
        </w:rPr>
      </w:pPr>
      <w:r>
        <w:rPr>
          <w:rFonts w:ascii="Arial" w:hAnsi="Arial"/>
          <w:b/>
        </w:rPr>
        <w:t>Caixa</w:t>
      </w:r>
      <w:r>
        <w:rPr>
          <w:rFonts w:ascii="Arial" w:hAnsi="Arial"/>
          <w:b/>
          <w:spacing w:val="-7"/>
        </w:rPr>
        <w:t xml:space="preserve"> </w:t>
      </w:r>
      <w:r>
        <w:rPr>
          <w:rFonts w:ascii="Arial" w:hAnsi="Arial"/>
          <w:b/>
        </w:rPr>
        <w:t>de</w:t>
      </w:r>
      <w:r>
        <w:rPr>
          <w:rFonts w:ascii="Arial" w:hAnsi="Arial"/>
          <w:b/>
          <w:spacing w:val="-3"/>
        </w:rPr>
        <w:t xml:space="preserve"> </w:t>
      </w:r>
      <w:r>
        <w:rPr>
          <w:rFonts w:ascii="Arial" w:hAnsi="Arial"/>
          <w:b/>
        </w:rPr>
        <w:t>Previdência</w:t>
      </w:r>
      <w:r>
        <w:rPr>
          <w:rFonts w:ascii="Arial" w:hAnsi="Arial"/>
          <w:b/>
          <w:spacing w:val="-5"/>
        </w:rPr>
        <w:t xml:space="preserve"> </w:t>
      </w:r>
      <w:r>
        <w:rPr>
          <w:rFonts w:ascii="Arial" w:hAnsi="Arial"/>
          <w:b/>
        </w:rPr>
        <w:t>dos</w:t>
      </w:r>
      <w:r>
        <w:rPr>
          <w:rFonts w:ascii="Arial" w:hAnsi="Arial"/>
          <w:b/>
          <w:spacing w:val="-2"/>
        </w:rPr>
        <w:t xml:space="preserve"> </w:t>
      </w:r>
      <w:r>
        <w:rPr>
          <w:rFonts w:ascii="Arial" w:hAnsi="Arial"/>
          <w:b/>
        </w:rPr>
        <w:t>Funcionários</w:t>
      </w:r>
      <w:r>
        <w:rPr>
          <w:rFonts w:ascii="Arial" w:hAnsi="Arial"/>
          <w:b/>
          <w:spacing w:val="-3"/>
        </w:rPr>
        <w:t xml:space="preserve"> </w:t>
      </w:r>
      <w:r>
        <w:rPr>
          <w:rFonts w:ascii="Arial" w:hAnsi="Arial"/>
          <w:b/>
        </w:rPr>
        <w:t>do</w:t>
      </w:r>
      <w:r>
        <w:rPr>
          <w:rFonts w:ascii="Arial" w:hAnsi="Arial"/>
          <w:b/>
          <w:spacing w:val="-9"/>
        </w:rPr>
        <w:t xml:space="preserve"> </w:t>
      </w:r>
      <w:r>
        <w:rPr>
          <w:rFonts w:ascii="Arial" w:hAnsi="Arial"/>
          <w:b/>
        </w:rPr>
        <w:t>Banco</w:t>
      </w:r>
      <w:r>
        <w:rPr>
          <w:rFonts w:ascii="Arial" w:hAnsi="Arial"/>
          <w:b/>
          <w:spacing w:val="-2"/>
        </w:rPr>
        <w:t xml:space="preserve"> </w:t>
      </w:r>
      <w:r>
        <w:rPr>
          <w:rFonts w:ascii="Arial" w:hAnsi="Arial"/>
          <w:b/>
        </w:rPr>
        <w:t>do</w:t>
      </w:r>
      <w:r>
        <w:rPr>
          <w:rFonts w:ascii="Arial" w:hAnsi="Arial"/>
          <w:b/>
          <w:spacing w:val="-3"/>
        </w:rPr>
        <w:t xml:space="preserve"> </w:t>
      </w:r>
      <w:r>
        <w:rPr>
          <w:rFonts w:ascii="Arial" w:hAnsi="Arial"/>
          <w:b/>
        </w:rPr>
        <w:t>Brasil</w:t>
      </w:r>
      <w:r>
        <w:rPr>
          <w:rFonts w:ascii="Arial" w:hAnsi="Arial"/>
          <w:b/>
          <w:spacing w:val="-1"/>
        </w:rPr>
        <w:t xml:space="preserve"> </w:t>
      </w:r>
      <w:r>
        <w:rPr>
          <w:rFonts w:ascii="Arial" w:hAnsi="Arial"/>
          <w:b/>
        </w:rPr>
        <w:t>–</w:t>
      </w:r>
      <w:r>
        <w:rPr>
          <w:rFonts w:ascii="Arial" w:hAnsi="Arial"/>
          <w:b/>
          <w:spacing w:val="-4"/>
        </w:rPr>
        <w:t xml:space="preserve"> </w:t>
      </w:r>
      <w:r>
        <w:rPr>
          <w:rFonts w:ascii="Arial" w:hAnsi="Arial"/>
          <w:b/>
          <w:spacing w:val="-2"/>
        </w:rPr>
        <w:t>PREVI</w:t>
      </w:r>
    </w:p>
    <w:p w14:paraId="17B6945A" w14:textId="77777777" w:rsidR="002C6574" w:rsidRDefault="002C6574">
      <w:pPr>
        <w:pStyle w:val="Corpodetexto"/>
        <w:spacing w:before="48"/>
        <w:rPr>
          <w:rFonts w:ascii="Arial"/>
          <w:b/>
        </w:rPr>
      </w:pPr>
    </w:p>
    <w:p w14:paraId="5265F5F8" w14:textId="77777777" w:rsidR="002C6574" w:rsidRDefault="00000000">
      <w:pPr>
        <w:pStyle w:val="Corpodetexto"/>
        <w:spacing w:before="1" w:line="237" w:lineRule="auto"/>
        <w:ind w:left="143" w:right="703"/>
        <w:jc w:val="both"/>
      </w:pPr>
      <w:r>
        <w:t>Refere-se à anulação da forma de apuração dos dividendos das ações preferenciais determinada na Assembleia Geral Ordinária, de 27 de abril de 1995, para distribuição de acordo com o Parecer CVM Orientação nº 16/88. O valor devido a título de dividendos foi objeto de acordo homologado judicialmente, em que a Telebras impugnou o remanescente. Ratifica-se a classificação da expectativa de êxito do valor controverso como possível, dadas as inconsistências existentes no cálculo apresentado pela Previ. Atualmente, a Telebras busca o reconhecimento pela perícia judicial sobre a metodologia de cálculo por ela utilizada. Em 27 de novembro de 2023, o Juízo determinou nova intimação</w:t>
      </w:r>
      <w:r>
        <w:rPr>
          <w:spacing w:val="-1"/>
        </w:rPr>
        <w:t xml:space="preserve"> </w:t>
      </w:r>
      <w:r>
        <w:t>da</w:t>
      </w:r>
      <w:r>
        <w:rPr>
          <w:spacing w:val="-3"/>
        </w:rPr>
        <w:t xml:space="preserve"> </w:t>
      </w:r>
      <w:r>
        <w:t>perita,</w:t>
      </w:r>
      <w:r>
        <w:rPr>
          <w:spacing w:val="-1"/>
        </w:rPr>
        <w:t xml:space="preserve"> </w:t>
      </w:r>
      <w:r>
        <w:t>Edna</w:t>
      </w:r>
      <w:r>
        <w:rPr>
          <w:spacing w:val="-3"/>
        </w:rPr>
        <w:t xml:space="preserve"> </w:t>
      </w:r>
      <w:r>
        <w:t>Maria</w:t>
      </w:r>
      <w:r>
        <w:rPr>
          <w:spacing w:val="-3"/>
        </w:rPr>
        <w:t xml:space="preserve"> </w:t>
      </w:r>
      <w:r>
        <w:t>de</w:t>
      </w:r>
      <w:r>
        <w:rPr>
          <w:spacing w:val="-1"/>
        </w:rPr>
        <w:t xml:space="preserve"> </w:t>
      </w:r>
      <w:r>
        <w:t>Souza</w:t>
      </w:r>
      <w:r>
        <w:rPr>
          <w:spacing w:val="-1"/>
        </w:rPr>
        <w:t xml:space="preserve"> </w:t>
      </w:r>
      <w:r>
        <w:t>Brito, que</w:t>
      </w:r>
      <w:r>
        <w:rPr>
          <w:spacing w:val="-1"/>
        </w:rPr>
        <w:t xml:space="preserve"> </w:t>
      </w:r>
      <w:r>
        <w:t>informou</w:t>
      </w:r>
      <w:r>
        <w:rPr>
          <w:spacing w:val="-3"/>
        </w:rPr>
        <w:t xml:space="preserve"> </w:t>
      </w:r>
      <w:r>
        <w:t>não</w:t>
      </w:r>
      <w:r>
        <w:rPr>
          <w:spacing w:val="-3"/>
        </w:rPr>
        <w:t xml:space="preserve"> </w:t>
      </w:r>
      <w:r>
        <w:t>haver</w:t>
      </w:r>
      <w:r>
        <w:rPr>
          <w:spacing w:val="-2"/>
        </w:rPr>
        <w:t xml:space="preserve"> </w:t>
      </w:r>
      <w:r>
        <w:t>informações</w:t>
      </w:r>
      <w:r>
        <w:rPr>
          <w:spacing w:val="-2"/>
        </w:rPr>
        <w:t xml:space="preserve"> </w:t>
      </w:r>
      <w:r>
        <w:t>nos</w:t>
      </w:r>
      <w:r>
        <w:rPr>
          <w:spacing w:val="-2"/>
        </w:rPr>
        <w:t xml:space="preserve"> </w:t>
      </w:r>
      <w:r>
        <w:t>autos suficientes para a elaboração do laudo pericial. Requereu, então, autorização para que o laudo pericial seja feito por arbitramento. O Juízo determinou a intimação das partes para manifestação. A Telebras apresentou tempestivamente sua manifestação, requerendo, em síntese, o indeferimento</w:t>
      </w:r>
      <w:r>
        <w:rPr>
          <w:spacing w:val="40"/>
        </w:rPr>
        <w:t xml:space="preserve"> </w:t>
      </w:r>
      <w:r>
        <w:t>do pedido realizado pela perita. A PREVI manifestou-se requerendo a fixação do valor a partir de prova</w:t>
      </w:r>
      <w:r>
        <w:rPr>
          <w:spacing w:val="-9"/>
        </w:rPr>
        <w:t xml:space="preserve"> </w:t>
      </w:r>
      <w:r>
        <w:t>documental</w:t>
      </w:r>
      <w:r>
        <w:rPr>
          <w:spacing w:val="-12"/>
        </w:rPr>
        <w:t xml:space="preserve"> </w:t>
      </w:r>
      <w:r>
        <w:t>constante</w:t>
      </w:r>
      <w:r>
        <w:rPr>
          <w:spacing w:val="-9"/>
        </w:rPr>
        <w:t xml:space="preserve"> </w:t>
      </w:r>
      <w:r>
        <w:t>dos</w:t>
      </w:r>
      <w:r>
        <w:rPr>
          <w:spacing w:val="-8"/>
        </w:rPr>
        <w:t xml:space="preserve"> </w:t>
      </w:r>
      <w:r>
        <w:t>autos.</w:t>
      </w:r>
      <w:r>
        <w:rPr>
          <w:spacing w:val="-10"/>
        </w:rPr>
        <w:t xml:space="preserve"> </w:t>
      </w:r>
      <w:r>
        <w:t>O</w:t>
      </w:r>
      <w:r>
        <w:rPr>
          <w:spacing w:val="-8"/>
        </w:rPr>
        <w:t xml:space="preserve"> </w:t>
      </w:r>
      <w:r>
        <w:t>processo</w:t>
      </w:r>
      <w:r>
        <w:rPr>
          <w:spacing w:val="-8"/>
        </w:rPr>
        <w:t xml:space="preserve"> </w:t>
      </w:r>
      <w:r>
        <w:t>aguarda</w:t>
      </w:r>
      <w:r>
        <w:rPr>
          <w:spacing w:val="-9"/>
        </w:rPr>
        <w:t xml:space="preserve"> </w:t>
      </w:r>
      <w:r>
        <w:t>decisão</w:t>
      </w:r>
      <w:r>
        <w:rPr>
          <w:spacing w:val="-9"/>
        </w:rPr>
        <w:t xml:space="preserve"> </w:t>
      </w:r>
      <w:r>
        <w:t>quanto</w:t>
      </w:r>
      <w:r>
        <w:rPr>
          <w:spacing w:val="-8"/>
        </w:rPr>
        <w:t xml:space="preserve"> </w:t>
      </w:r>
      <w:r>
        <w:t>a</w:t>
      </w:r>
      <w:r>
        <w:rPr>
          <w:spacing w:val="-9"/>
        </w:rPr>
        <w:t xml:space="preserve"> </w:t>
      </w:r>
      <w:r>
        <w:t>fixação</w:t>
      </w:r>
      <w:r>
        <w:rPr>
          <w:spacing w:val="-9"/>
        </w:rPr>
        <w:t xml:space="preserve"> </w:t>
      </w:r>
      <w:r>
        <w:t>do</w:t>
      </w:r>
      <w:r>
        <w:rPr>
          <w:spacing w:val="-9"/>
        </w:rPr>
        <w:t xml:space="preserve"> </w:t>
      </w:r>
      <w:r>
        <w:t>valor</w:t>
      </w:r>
      <w:r>
        <w:rPr>
          <w:spacing w:val="-10"/>
        </w:rPr>
        <w:t xml:space="preserve"> </w:t>
      </w:r>
      <w:r>
        <w:t>devido pela Telebras."</w:t>
      </w:r>
    </w:p>
    <w:p w14:paraId="2C9A0A8E" w14:textId="77777777" w:rsidR="002C6574" w:rsidRDefault="002C6574">
      <w:pPr>
        <w:pStyle w:val="Corpodetexto"/>
        <w:spacing w:before="43"/>
      </w:pPr>
    </w:p>
    <w:p w14:paraId="2C93ACCC" w14:textId="77777777" w:rsidR="002C6574" w:rsidRDefault="00000000">
      <w:pPr>
        <w:numPr>
          <w:ilvl w:val="0"/>
          <w:numId w:val="35"/>
        </w:numPr>
        <w:tabs>
          <w:tab w:val="left" w:pos="461"/>
        </w:tabs>
        <w:ind w:left="461" w:hanging="318"/>
        <w:rPr>
          <w:rFonts w:ascii="Arial" w:hAnsi="Arial"/>
          <w:b/>
        </w:rPr>
      </w:pPr>
      <w:r>
        <w:rPr>
          <w:rFonts w:ascii="Arial" w:hAnsi="Arial"/>
          <w:b/>
        </w:rPr>
        <w:t>Isenção</w:t>
      </w:r>
      <w:r>
        <w:rPr>
          <w:rFonts w:ascii="Arial" w:hAnsi="Arial"/>
          <w:b/>
          <w:spacing w:val="-5"/>
        </w:rPr>
        <w:t xml:space="preserve"> </w:t>
      </w:r>
      <w:r>
        <w:rPr>
          <w:rFonts w:ascii="Arial" w:hAnsi="Arial"/>
          <w:b/>
        </w:rPr>
        <w:t>de</w:t>
      </w:r>
      <w:r>
        <w:rPr>
          <w:rFonts w:ascii="Arial" w:hAnsi="Arial"/>
          <w:b/>
          <w:spacing w:val="-3"/>
        </w:rPr>
        <w:t xml:space="preserve"> </w:t>
      </w:r>
      <w:r>
        <w:rPr>
          <w:rFonts w:ascii="Arial" w:hAnsi="Arial"/>
          <w:b/>
        </w:rPr>
        <w:t>Imposto</w:t>
      </w:r>
      <w:r>
        <w:rPr>
          <w:rFonts w:ascii="Arial" w:hAnsi="Arial"/>
          <w:b/>
          <w:spacing w:val="-4"/>
        </w:rPr>
        <w:t xml:space="preserve"> </w:t>
      </w:r>
      <w:r>
        <w:rPr>
          <w:rFonts w:ascii="Arial" w:hAnsi="Arial"/>
          <w:b/>
        </w:rPr>
        <w:t>de Importação</w:t>
      </w:r>
      <w:r>
        <w:rPr>
          <w:rFonts w:ascii="Arial" w:hAnsi="Arial"/>
          <w:b/>
          <w:spacing w:val="-5"/>
        </w:rPr>
        <w:t xml:space="preserve"> </w:t>
      </w:r>
      <w:r>
        <w:rPr>
          <w:rFonts w:ascii="Arial" w:hAnsi="Arial"/>
          <w:b/>
        </w:rPr>
        <w:t>e</w:t>
      </w:r>
      <w:r>
        <w:rPr>
          <w:rFonts w:ascii="Arial" w:hAnsi="Arial"/>
          <w:b/>
          <w:spacing w:val="-1"/>
        </w:rPr>
        <w:t xml:space="preserve"> </w:t>
      </w:r>
      <w:r>
        <w:rPr>
          <w:rFonts w:ascii="Arial" w:hAnsi="Arial"/>
          <w:b/>
          <w:spacing w:val="-5"/>
        </w:rPr>
        <w:t>IPI</w:t>
      </w:r>
    </w:p>
    <w:p w14:paraId="3858E554" w14:textId="77777777" w:rsidR="002C6574" w:rsidRDefault="002C6574">
      <w:pPr>
        <w:pStyle w:val="Corpodetexto"/>
        <w:spacing w:before="5"/>
        <w:rPr>
          <w:rFonts w:ascii="Arial"/>
          <w:b/>
        </w:rPr>
      </w:pPr>
    </w:p>
    <w:p w14:paraId="45628B7A" w14:textId="77777777" w:rsidR="002C6574" w:rsidRDefault="00000000">
      <w:pPr>
        <w:pStyle w:val="Corpodetexto"/>
        <w:spacing w:before="1" w:line="225" w:lineRule="auto"/>
        <w:ind w:left="143" w:right="702"/>
        <w:jc w:val="both"/>
      </w:pPr>
      <w:r>
        <w:t>Trata-se</w:t>
      </w:r>
      <w:r>
        <w:rPr>
          <w:spacing w:val="-7"/>
        </w:rPr>
        <w:t xml:space="preserve"> </w:t>
      </w:r>
      <w:r>
        <w:t>de</w:t>
      </w:r>
      <w:r>
        <w:rPr>
          <w:spacing w:val="-9"/>
        </w:rPr>
        <w:t xml:space="preserve"> </w:t>
      </w:r>
      <w:r>
        <w:t>autuação</w:t>
      </w:r>
      <w:r>
        <w:rPr>
          <w:spacing w:val="-9"/>
        </w:rPr>
        <w:t xml:space="preserve"> </w:t>
      </w:r>
      <w:r>
        <w:t>fiscal impondo</w:t>
      </w:r>
      <w:r>
        <w:rPr>
          <w:spacing w:val="-7"/>
        </w:rPr>
        <w:t xml:space="preserve"> </w:t>
      </w:r>
      <w:r>
        <w:t>obrigação</w:t>
      </w:r>
      <w:r>
        <w:rPr>
          <w:spacing w:val="-4"/>
        </w:rPr>
        <w:t xml:space="preserve"> </w:t>
      </w:r>
      <w:r>
        <w:t>tributária</w:t>
      </w:r>
      <w:r>
        <w:rPr>
          <w:spacing w:val="-7"/>
        </w:rPr>
        <w:t xml:space="preserve"> </w:t>
      </w:r>
      <w:r>
        <w:t>solidária</w:t>
      </w:r>
      <w:r>
        <w:rPr>
          <w:spacing w:val="-7"/>
        </w:rPr>
        <w:t xml:space="preserve"> </w:t>
      </w:r>
      <w:r>
        <w:t>à</w:t>
      </w:r>
      <w:r>
        <w:rPr>
          <w:spacing w:val="-9"/>
        </w:rPr>
        <w:t xml:space="preserve"> </w:t>
      </w:r>
      <w:r>
        <w:t>Telebras</w:t>
      </w:r>
      <w:r>
        <w:rPr>
          <w:spacing w:val="-4"/>
        </w:rPr>
        <w:t xml:space="preserve"> </w:t>
      </w:r>
      <w:r>
        <w:t>e</w:t>
      </w:r>
      <w:r>
        <w:rPr>
          <w:spacing w:val="-4"/>
        </w:rPr>
        <w:t xml:space="preserve"> </w:t>
      </w:r>
      <w:r>
        <w:t>ao</w:t>
      </w:r>
      <w:r>
        <w:rPr>
          <w:spacing w:val="-9"/>
        </w:rPr>
        <w:t xml:space="preserve"> </w:t>
      </w:r>
      <w:r>
        <w:t>Centro</w:t>
      </w:r>
      <w:r>
        <w:rPr>
          <w:spacing w:val="-7"/>
        </w:rPr>
        <w:t xml:space="preserve"> </w:t>
      </w:r>
      <w:r>
        <w:t>de</w:t>
      </w:r>
      <w:r>
        <w:rPr>
          <w:spacing w:val="-9"/>
        </w:rPr>
        <w:t xml:space="preserve"> </w:t>
      </w:r>
      <w:r>
        <w:t xml:space="preserve">Pesquisa </w:t>
      </w:r>
      <w:r>
        <w:rPr>
          <w:w w:val="105"/>
        </w:rPr>
        <w:t>e Desenvolvimento em Telecomunicações (Fundação CPQD) de pagar tributos (imposto de importação</w:t>
      </w:r>
      <w:r>
        <w:rPr>
          <w:spacing w:val="-9"/>
          <w:w w:val="105"/>
        </w:rPr>
        <w:t xml:space="preserve"> </w:t>
      </w:r>
      <w:r>
        <w:rPr>
          <w:w w:val="105"/>
        </w:rPr>
        <w:t>e</w:t>
      </w:r>
      <w:r>
        <w:rPr>
          <w:spacing w:val="-12"/>
          <w:w w:val="105"/>
        </w:rPr>
        <w:t xml:space="preserve"> </w:t>
      </w:r>
      <w:r>
        <w:rPr>
          <w:w w:val="105"/>
        </w:rPr>
        <w:t>IPI</w:t>
      </w:r>
      <w:r>
        <w:rPr>
          <w:spacing w:val="-9"/>
          <w:w w:val="105"/>
        </w:rPr>
        <w:t xml:space="preserve"> </w:t>
      </w:r>
      <w:r>
        <w:rPr>
          <w:w w:val="105"/>
        </w:rPr>
        <w:t>respectivo)</w:t>
      </w:r>
      <w:r>
        <w:rPr>
          <w:spacing w:val="-7"/>
          <w:w w:val="105"/>
        </w:rPr>
        <w:t xml:space="preserve"> </w:t>
      </w:r>
      <w:r>
        <w:rPr>
          <w:w w:val="105"/>
        </w:rPr>
        <w:t>incidentes</w:t>
      </w:r>
      <w:r>
        <w:rPr>
          <w:spacing w:val="-10"/>
          <w:w w:val="105"/>
        </w:rPr>
        <w:t xml:space="preserve"> </w:t>
      </w:r>
      <w:r>
        <w:rPr>
          <w:w w:val="105"/>
        </w:rPr>
        <w:t>sobre</w:t>
      </w:r>
      <w:r>
        <w:rPr>
          <w:spacing w:val="-10"/>
          <w:w w:val="105"/>
        </w:rPr>
        <w:t xml:space="preserve"> </w:t>
      </w:r>
      <w:r>
        <w:rPr>
          <w:w w:val="105"/>
        </w:rPr>
        <w:t>esses</w:t>
      </w:r>
      <w:r>
        <w:rPr>
          <w:spacing w:val="-8"/>
          <w:w w:val="105"/>
        </w:rPr>
        <w:t xml:space="preserve"> </w:t>
      </w:r>
      <w:r>
        <w:rPr>
          <w:w w:val="105"/>
        </w:rPr>
        <w:t>bens</w:t>
      </w:r>
      <w:r>
        <w:rPr>
          <w:spacing w:val="-10"/>
          <w:w w:val="105"/>
        </w:rPr>
        <w:t xml:space="preserve"> </w:t>
      </w:r>
      <w:r>
        <w:rPr>
          <w:w w:val="105"/>
        </w:rPr>
        <w:t>importados</w:t>
      </w:r>
      <w:r>
        <w:rPr>
          <w:spacing w:val="-8"/>
          <w:w w:val="105"/>
        </w:rPr>
        <w:t xml:space="preserve"> </w:t>
      </w:r>
      <w:r>
        <w:rPr>
          <w:w w:val="105"/>
        </w:rPr>
        <w:t>à</w:t>
      </w:r>
      <w:r>
        <w:rPr>
          <w:spacing w:val="-11"/>
          <w:w w:val="105"/>
        </w:rPr>
        <w:t xml:space="preserve"> </w:t>
      </w:r>
      <w:r>
        <w:rPr>
          <w:w w:val="105"/>
        </w:rPr>
        <w:t>época</w:t>
      </w:r>
      <w:r>
        <w:rPr>
          <w:spacing w:val="-9"/>
          <w:w w:val="105"/>
        </w:rPr>
        <w:t xml:space="preserve"> </w:t>
      </w:r>
      <w:r>
        <w:rPr>
          <w:w w:val="105"/>
        </w:rPr>
        <w:t>em</w:t>
      </w:r>
      <w:r>
        <w:rPr>
          <w:spacing w:val="-8"/>
          <w:w w:val="105"/>
        </w:rPr>
        <w:t xml:space="preserve"> </w:t>
      </w:r>
      <w:r>
        <w:rPr>
          <w:w w:val="105"/>
        </w:rPr>
        <w:t>que</w:t>
      </w:r>
      <w:r>
        <w:rPr>
          <w:spacing w:val="-11"/>
          <w:w w:val="105"/>
        </w:rPr>
        <w:t xml:space="preserve"> </w:t>
      </w:r>
      <w:r>
        <w:rPr>
          <w:w w:val="105"/>
        </w:rPr>
        <w:t>a</w:t>
      </w:r>
      <w:r>
        <w:rPr>
          <w:spacing w:val="-11"/>
          <w:w w:val="105"/>
        </w:rPr>
        <w:t xml:space="preserve"> </w:t>
      </w:r>
      <w:r>
        <w:rPr>
          <w:w w:val="105"/>
        </w:rPr>
        <w:t>Fundação CPQD era órgão interno da Telebras.</w:t>
      </w:r>
    </w:p>
    <w:p w14:paraId="708D977E" w14:textId="77777777" w:rsidR="002C6574" w:rsidRDefault="00000000">
      <w:pPr>
        <w:pStyle w:val="Corpodetexto"/>
        <w:spacing w:before="279" w:line="225" w:lineRule="auto"/>
        <w:ind w:left="143" w:right="702"/>
        <w:jc w:val="both"/>
      </w:pPr>
      <w:r>
        <w:t xml:space="preserve">Situação atual: Há recurso pendente de julgamento no Conselho Administrativo de Recursos Fiscais (CARF) que impede a exigibilidade dos tributos. A autuação fiscal considerou que a Telebras transferiu, em desacordo com a legislação tributária, à Fundação CPQD bens que foram importados com isenção de II e IPI, quando a Fundação deixou de ser órgão interno da </w:t>
      </w:r>
      <w:r>
        <w:rPr>
          <w:rFonts w:ascii="Arial" w:hAnsi="Arial"/>
          <w:i/>
        </w:rPr>
        <w:t xml:space="preserve">holding </w:t>
      </w:r>
      <w:r>
        <w:t>Telebras e foi constituída como pessoa jurídica com personalidade jurídica própria. Para</w:t>
      </w:r>
      <w:r>
        <w:rPr>
          <w:spacing w:val="-2"/>
        </w:rPr>
        <w:t xml:space="preserve"> </w:t>
      </w:r>
      <w:r>
        <w:t>a autoridade fazendária, a transferência desses bens em desacordo com a legislação tributária impõe a exigência de tributos que, no momento da importação, eram acobertados por isenção.</w:t>
      </w:r>
    </w:p>
    <w:p w14:paraId="02F9A441" w14:textId="77777777" w:rsidR="002C6574" w:rsidRDefault="00000000">
      <w:pPr>
        <w:numPr>
          <w:ilvl w:val="1"/>
          <w:numId w:val="36"/>
        </w:numPr>
        <w:tabs>
          <w:tab w:val="left" w:pos="995"/>
        </w:tabs>
        <w:spacing w:before="276"/>
        <w:rPr>
          <w:rFonts w:ascii="Arial" w:hAnsi="Arial"/>
          <w:b/>
        </w:rPr>
      </w:pPr>
      <w:r>
        <w:rPr>
          <w:rFonts w:ascii="Arial" w:hAnsi="Arial"/>
          <w:b/>
        </w:rPr>
        <w:t>DECISÃO</w:t>
      </w:r>
      <w:r>
        <w:rPr>
          <w:rFonts w:ascii="Arial" w:hAnsi="Arial"/>
          <w:b/>
          <w:spacing w:val="-2"/>
        </w:rPr>
        <w:t xml:space="preserve"> </w:t>
      </w:r>
      <w:r>
        <w:rPr>
          <w:rFonts w:ascii="Arial" w:hAnsi="Arial"/>
          <w:b/>
        </w:rPr>
        <w:t>DO</w:t>
      </w:r>
      <w:r>
        <w:rPr>
          <w:rFonts w:ascii="Arial" w:hAnsi="Arial"/>
          <w:b/>
          <w:spacing w:val="-2"/>
        </w:rPr>
        <w:t xml:space="preserve"> </w:t>
      </w:r>
      <w:r>
        <w:rPr>
          <w:rFonts w:ascii="Arial" w:hAnsi="Arial"/>
          <w:b/>
        </w:rPr>
        <w:t>STF</w:t>
      </w:r>
      <w:r>
        <w:rPr>
          <w:rFonts w:ascii="Arial" w:hAnsi="Arial"/>
          <w:b/>
          <w:spacing w:val="-3"/>
        </w:rPr>
        <w:t xml:space="preserve"> </w:t>
      </w:r>
      <w:r>
        <w:rPr>
          <w:rFonts w:ascii="Arial" w:hAnsi="Arial"/>
          <w:b/>
        </w:rPr>
        <w:t>–</w:t>
      </w:r>
      <w:r>
        <w:rPr>
          <w:rFonts w:ascii="Arial" w:hAnsi="Arial"/>
          <w:b/>
          <w:spacing w:val="-4"/>
        </w:rPr>
        <w:t xml:space="preserve"> </w:t>
      </w:r>
      <w:r>
        <w:rPr>
          <w:rFonts w:ascii="Arial" w:hAnsi="Arial"/>
          <w:b/>
        </w:rPr>
        <w:t>Eficácia</w:t>
      </w:r>
      <w:r>
        <w:rPr>
          <w:rFonts w:ascii="Arial" w:hAnsi="Arial"/>
          <w:b/>
          <w:spacing w:val="-4"/>
        </w:rPr>
        <w:t xml:space="preserve"> </w:t>
      </w:r>
      <w:r>
        <w:rPr>
          <w:rFonts w:ascii="Arial" w:hAnsi="Arial"/>
          <w:b/>
        </w:rPr>
        <w:t>da</w:t>
      </w:r>
      <w:r>
        <w:rPr>
          <w:rFonts w:ascii="Arial" w:hAnsi="Arial"/>
          <w:b/>
          <w:spacing w:val="-4"/>
        </w:rPr>
        <w:t xml:space="preserve"> </w:t>
      </w:r>
      <w:r>
        <w:rPr>
          <w:rFonts w:ascii="Arial" w:hAnsi="Arial"/>
          <w:b/>
        </w:rPr>
        <w:t>Coisa</w:t>
      </w:r>
      <w:r>
        <w:rPr>
          <w:rFonts w:ascii="Arial" w:hAnsi="Arial"/>
          <w:b/>
          <w:spacing w:val="-4"/>
        </w:rPr>
        <w:t xml:space="preserve"> </w:t>
      </w:r>
      <w:r>
        <w:rPr>
          <w:rFonts w:ascii="Arial" w:hAnsi="Arial"/>
          <w:b/>
        </w:rPr>
        <w:t>Julgada</w:t>
      </w:r>
      <w:r>
        <w:rPr>
          <w:rFonts w:ascii="Arial" w:hAnsi="Arial"/>
          <w:b/>
          <w:spacing w:val="-6"/>
        </w:rPr>
        <w:t xml:space="preserve"> </w:t>
      </w:r>
      <w:r>
        <w:rPr>
          <w:rFonts w:ascii="Arial" w:hAnsi="Arial"/>
          <w:b/>
        </w:rPr>
        <w:t>em</w:t>
      </w:r>
      <w:r>
        <w:rPr>
          <w:rFonts w:ascii="Arial" w:hAnsi="Arial"/>
          <w:b/>
          <w:spacing w:val="-2"/>
        </w:rPr>
        <w:t xml:space="preserve"> </w:t>
      </w:r>
      <w:r>
        <w:rPr>
          <w:rFonts w:ascii="Arial" w:hAnsi="Arial"/>
          <w:b/>
        </w:rPr>
        <w:t>Matéria</w:t>
      </w:r>
      <w:r>
        <w:rPr>
          <w:rFonts w:ascii="Arial" w:hAnsi="Arial"/>
          <w:b/>
          <w:spacing w:val="-2"/>
        </w:rPr>
        <w:t xml:space="preserve"> Tributária</w:t>
      </w:r>
    </w:p>
    <w:p w14:paraId="3E1EFF3F" w14:textId="77777777" w:rsidR="002C6574" w:rsidRDefault="002C6574">
      <w:pPr>
        <w:pStyle w:val="Corpodetexto"/>
        <w:spacing w:before="7"/>
        <w:rPr>
          <w:rFonts w:ascii="Arial"/>
          <w:b/>
        </w:rPr>
      </w:pPr>
    </w:p>
    <w:p w14:paraId="4632DF1E" w14:textId="77777777" w:rsidR="002C6574" w:rsidRDefault="00000000">
      <w:pPr>
        <w:pStyle w:val="Corpodetexto"/>
        <w:spacing w:line="237" w:lineRule="auto"/>
        <w:ind w:left="143" w:right="702"/>
        <w:jc w:val="both"/>
      </w:pPr>
      <w:r>
        <w:t>Em 08 de fevereiro de 2023, o Supremo Tribunal Federal no Brasil concluiu o julgamento relativos aos Temas 881 e 885, que discutem os efeitos da coisa julgada. Com relação ao tema, a Companhia não é parte</w:t>
      </w:r>
      <w:r>
        <w:rPr>
          <w:spacing w:val="-1"/>
        </w:rPr>
        <w:t xml:space="preserve"> </w:t>
      </w:r>
      <w:r>
        <w:t>em nenhum</w:t>
      </w:r>
      <w:r>
        <w:rPr>
          <w:spacing w:val="-5"/>
        </w:rPr>
        <w:t xml:space="preserve"> </w:t>
      </w:r>
      <w:r>
        <w:t>processo</w:t>
      </w:r>
      <w:r>
        <w:rPr>
          <w:spacing w:val="-1"/>
        </w:rPr>
        <w:t xml:space="preserve"> </w:t>
      </w:r>
      <w:r>
        <w:t>em decorrência do qual</w:t>
      </w:r>
      <w:r>
        <w:rPr>
          <w:spacing w:val="-2"/>
        </w:rPr>
        <w:t xml:space="preserve"> </w:t>
      </w:r>
      <w:r>
        <w:t>um tributo</w:t>
      </w:r>
      <w:r>
        <w:rPr>
          <w:spacing w:val="-1"/>
        </w:rPr>
        <w:t xml:space="preserve"> </w:t>
      </w:r>
      <w:r>
        <w:t>não</w:t>
      </w:r>
      <w:r>
        <w:rPr>
          <w:spacing w:val="-1"/>
        </w:rPr>
        <w:t xml:space="preserve"> </w:t>
      </w:r>
      <w:r>
        <w:t>esteja</w:t>
      </w:r>
      <w:r>
        <w:rPr>
          <w:spacing w:val="-1"/>
        </w:rPr>
        <w:t xml:space="preserve"> </w:t>
      </w:r>
      <w:r>
        <w:t>sendo</w:t>
      </w:r>
      <w:r>
        <w:rPr>
          <w:spacing w:val="-1"/>
        </w:rPr>
        <w:t xml:space="preserve"> </w:t>
      </w:r>
      <w:r>
        <w:t>recolhido em razão de decisão passada transitada em julgado. Portanto, a Companhia não terá nenhum ajuste material de provisão em função das decisões proferidas no dia 08 de fevereiro de 2023.</w:t>
      </w:r>
    </w:p>
    <w:p w14:paraId="28A65A77" w14:textId="77777777" w:rsidR="002C6574" w:rsidRDefault="002C6574">
      <w:pPr>
        <w:pStyle w:val="Corpodetexto"/>
        <w:spacing w:line="237" w:lineRule="auto"/>
        <w:jc w:val="both"/>
        <w:sectPr w:rsidR="002C6574">
          <w:pgSz w:w="11910" w:h="16840"/>
          <w:pgMar w:top="1600" w:right="141" w:bottom="1320" w:left="1133" w:header="856" w:footer="1125" w:gutter="0"/>
          <w:cols w:space="720"/>
        </w:sectPr>
      </w:pPr>
    </w:p>
    <w:p w14:paraId="10E95589" w14:textId="77777777" w:rsidR="002C6574" w:rsidRDefault="00000000">
      <w:pPr>
        <w:numPr>
          <w:ilvl w:val="0"/>
          <w:numId w:val="54"/>
        </w:numPr>
        <w:tabs>
          <w:tab w:val="left" w:pos="995"/>
        </w:tabs>
        <w:spacing w:before="229"/>
        <w:ind w:left="995" w:hanging="852"/>
        <w:rPr>
          <w:rFonts w:ascii="Arial"/>
          <w:b/>
        </w:rPr>
      </w:pPr>
      <w:r>
        <w:rPr>
          <w:rFonts w:ascii="Arial"/>
          <w:b/>
        </w:rPr>
        <w:lastRenderedPageBreak/>
        <w:t>CREDORES</w:t>
      </w:r>
      <w:r>
        <w:rPr>
          <w:rFonts w:ascii="Arial"/>
          <w:b/>
          <w:spacing w:val="-6"/>
        </w:rPr>
        <w:t xml:space="preserve"> </w:t>
      </w:r>
      <w:r>
        <w:rPr>
          <w:rFonts w:ascii="Arial"/>
          <w:b/>
        </w:rPr>
        <w:t>POR</w:t>
      </w:r>
      <w:r>
        <w:rPr>
          <w:rFonts w:ascii="Arial"/>
          <w:b/>
          <w:spacing w:val="-3"/>
        </w:rPr>
        <w:t xml:space="preserve"> </w:t>
      </w:r>
      <w:r>
        <w:rPr>
          <w:rFonts w:ascii="Arial"/>
          <w:b/>
        </w:rPr>
        <w:t>PERDAS</w:t>
      </w:r>
      <w:r>
        <w:rPr>
          <w:rFonts w:ascii="Arial"/>
          <w:b/>
          <w:spacing w:val="-3"/>
        </w:rPr>
        <w:t xml:space="preserve"> </w:t>
      </w:r>
      <w:r>
        <w:rPr>
          <w:rFonts w:ascii="Arial"/>
          <w:b/>
          <w:spacing w:val="-2"/>
        </w:rPr>
        <w:t>JUDICIAIS</w:t>
      </w:r>
    </w:p>
    <w:p w14:paraId="62831520" w14:textId="77777777" w:rsidR="002C6574" w:rsidRDefault="002C6574">
      <w:pPr>
        <w:pStyle w:val="Corpodetexto"/>
        <w:spacing w:before="75"/>
        <w:rPr>
          <w:rFonts w:ascii="Arial"/>
          <w:b/>
        </w:rPr>
      </w:pPr>
    </w:p>
    <w:p w14:paraId="59CE5AD8" w14:textId="77777777" w:rsidR="002C6574" w:rsidRDefault="00000000">
      <w:pPr>
        <w:pStyle w:val="Corpodetexto"/>
        <w:spacing w:line="237" w:lineRule="auto"/>
        <w:ind w:left="143" w:right="703"/>
        <w:jc w:val="both"/>
      </w:pPr>
      <w:r>
        <w:rPr>
          <w:w w:val="105"/>
        </w:rPr>
        <w:t xml:space="preserve">Em dezembro de 2025, a Telebras efetuou a quitação antecipada das dívidas junto à PREVI e à </w:t>
      </w:r>
      <w:r>
        <w:rPr>
          <w:spacing w:val="-2"/>
          <w:w w:val="105"/>
        </w:rPr>
        <w:t>FUNCEF.</w:t>
      </w:r>
      <w:r>
        <w:rPr>
          <w:spacing w:val="-9"/>
          <w:w w:val="105"/>
        </w:rPr>
        <w:t xml:space="preserve"> </w:t>
      </w:r>
      <w:r>
        <w:rPr>
          <w:spacing w:val="-2"/>
          <w:w w:val="105"/>
        </w:rPr>
        <w:t>A</w:t>
      </w:r>
      <w:r>
        <w:rPr>
          <w:spacing w:val="-9"/>
          <w:w w:val="105"/>
        </w:rPr>
        <w:t xml:space="preserve"> </w:t>
      </w:r>
      <w:r>
        <w:rPr>
          <w:spacing w:val="-2"/>
          <w:w w:val="105"/>
        </w:rPr>
        <w:t>operação</w:t>
      </w:r>
      <w:r>
        <w:rPr>
          <w:spacing w:val="-11"/>
          <w:w w:val="105"/>
        </w:rPr>
        <w:t xml:space="preserve"> </w:t>
      </w:r>
      <w:r>
        <w:rPr>
          <w:spacing w:val="-2"/>
          <w:w w:val="105"/>
        </w:rPr>
        <w:t>foi</w:t>
      </w:r>
      <w:r>
        <w:rPr>
          <w:spacing w:val="-9"/>
          <w:w w:val="105"/>
        </w:rPr>
        <w:t xml:space="preserve"> </w:t>
      </w:r>
      <w:r>
        <w:rPr>
          <w:spacing w:val="-2"/>
          <w:w w:val="105"/>
        </w:rPr>
        <w:t>realizada</w:t>
      </w:r>
      <w:r>
        <w:rPr>
          <w:spacing w:val="-8"/>
          <w:w w:val="105"/>
        </w:rPr>
        <w:t xml:space="preserve"> </w:t>
      </w:r>
      <w:r>
        <w:rPr>
          <w:spacing w:val="-2"/>
          <w:w w:val="105"/>
        </w:rPr>
        <w:t>com</w:t>
      </w:r>
      <w:r>
        <w:rPr>
          <w:spacing w:val="-9"/>
          <w:w w:val="105"/>
        </w:rPr>
        <w:t xml:space="preserve"> </w:t>
      </w:r>
      <w:r>
        <w:rPr>
          <w:spacing w:val="-2"/>
          <w:w w:val="105"/>
        </w:rPr>
        <w:t>recursos</w:t>
      </w:r>
      <w:r>
        <w:rPr>
          <w:spacing w:val="-12"/>
          <w:w w:val="105"/>
        </w:rPr>
        <w:t xml:space="preserve"> </w:t>
      </w:r>
      <w:r>
        <w:rPr>
          <w:spacing w:val="-2"/>
          <w:w w:val="105"/>
        </w:rPr>
        <w:t>provenientes</w:t>
      </w:r>
      <w:r>
        <w:rPr>
          <w:spacing w:val="-12"/>
          <w:w w:val="105"/>
        </w:rPr>
        <w:t xml:space="preserve"> </w:t>
      </w:r>
      <w:r>
        <w:rPr>
          <w:spacing w:val="-2"/>
          <w:w w:val="105"/>
        </w:rPr>
        <w:t>do</w:t>
      </w:r>
      <w:r>
        <w:rPr>
          <w:spacing w:val="-9"/>
          <w:w w:val="105"/>
        </w:rPr>
        <w:t xml:space="preserve"> </w:t>
      </w:r>
      <w:r>
        <w:rPr>
          <w:spacing w:val="-2"/>
          <w:w w:val="105"/>
        </w:rPr>
        <w:t>Contrato</w:t>
      </w:r>
      <w:r>
        <w:rPr>
          <w:spacing w:val="-7"/>
          <w:w w:val="105"/>
        </w:rPr>
        <w:t xml:space="preserve"> </w:t>
      </w:r>
      <w:r>
        <w:rPr>
          <w:spacing w:val="-2"/>
          <w:w w:val="105"/>
        </w:rPr>
        <w:t>de</w:t>
      </w:r>
      <w:r>
        <w:rPr>
          <w:spacing w:val="-11"/>
          <w:w w:val="105"/>
        </w:rPr>
        <w:t xml:space="preserve"> </w:t>
      </w:r>
      <w:r>
        <w:rPr>
          <w:spacing w:val="-2"/>
          <w:w w:val="105"/>
        </w:rPr>
        <w:t>Gestão</w:t>
      </w:r>
      <w:r>
        <w:rPr>
          <w:spacing w:val="-9"/>
          <w:w w:val="105"/>
        </w:rPr>
        <w:t xml:space="preserve"> </w:t>
      </w:r>
      <w:r>
        <w:rPr>
          <w:spacing w:val="-2"/>
          <w:w w:val="105"/>
        </w:rPr>
        <w:t>e</w:t>
      </w:r>
      <w:r>
        <w:rPr>
          <w:spacing w:val="-11"/>
          <w:w w:val="105"/>
        </w:rPr>
        <w:t xml:space="preserve"> </w:t>
      </w:r>
      <w:r>
        <w:rPr>
          <w:spacing w:val="-2"/>
          <w:w w:val="105"/>
        </w:rPr>
        <w:t>totalizou</w:t>
      </w:r>
      <w:r>
        <w:rPr>
          <w:spacing w:val="-11"/>
          <w:w w:val="105"/>
        </w:rPr>
        <w:t xml:space="preserve"> </w:t>
      </w:r>
      <w:r>
        <w:rPr>
          <w:spacing w:val="-2"/>
          <w:w w:val="105"/>
        </w:rPr>
        <w:t xml:space="preserve">R$ </w:t>
      </w:r>
      <w:r>
        <w:t>123.183,</w:t>
      </w:r>
      <w:r>
        <w:rPr>
          <w:spacing w:val="2"/>
        </w:rPr>
        <w:t xml:space="preserve"> </w:t>
      </w:r>
      <w:r>
        <w:t>dos</w:t>
      </w:r>
      <w:r>
        <w:rPr>
          <w:spacing w:val="5"/>
        </w:rPr>
        <w:t xml:space="preserve"> </w:t>
      </w:r>
      <w:r>
        <w:t>quais</w:t>
      </w:r>
      <w:r>
        <w:rPr>
          <w:spacing w:val="-1"/>
        </w:rPr>
        <w:t xml:space="preserve"> </w:t>
      </w:r>
      <w:r>
        <w:t>R$</w:t>
      </w:r>
      <w:r>
        <w:rPr>
          <w:spacing w:val="2"/>
        </w:rPr>
        <w:t xml:space="preserve"> </w:t>
      </w:r>
      <w:r>
        <w:t>64.159</w:t>
      </w:r>
      <w:r>
        <w:rPr>
          <w:spacing w:val="2"/>
        </w:rPr>
        <w:t xml:space="preserve"> </w:t>
      </w:r>
      <w:r>
        <w:t>referem-se</w:t>
      </w:r>
      <w:r>
        <w:rPr>
          <w:spacing w:val="3"/>
        </w:rPr>
        <w:t xml:space="preserve"> </w:t>
      </w:r>
      <w:r>
        <w:t>à dívida</w:t>
      </w:r>
      <w:r>
        <w:rPr>
          <w:spacing w:val="-1"/>
        </w:rPr>
        <w:t xml:space="preserve"> </w:t>
      </w:r>
      <w:r>
        <w:t>com</w:t>
      </w:r>
      <w:r>
        <w:rPr>
          <w:spacing w:val="7"/>
        </w:rPr>
        <w:t xml:space="preserve"> </w:t>
      </w:r>
      <w:r>
        <w:t>a PREVI</w:t>
      </w:r>
      <w:r>
        <w:rPr>
          <w:spacing w:val="5"/>
        </w:rPr>
        <w:t xml:space="preserve"> </w:t>
      </w:r>
      <w:r>
        <w:t>e</w:t>
      </w:r>
      <w:r>
        <w:rPr>
          <w:spacing w:val="-1"/>
        </w:rPr>
        <w:t xml:space="preserve"> </w:t>
      </w:r>
      <w:r>
        <w:t>R$</w:t>
      </w:r>
      <w:r>
        <w:rPr>
          <w:spacing w:val="3"/>
        </w:rPr>
        <w:t xml:space="preserve"> </w:t>
      </w:r>
      <w:r>
        <w:t>59.024</w:t>
      </w:r>
      <w:r>
        <w:rPr>
          <w:spacing w:val="5"/>
        </w:rPr>
        <w:t xml:space="preserve"> </w:t>
      </w:r>
      <w:r>
        <w:t>à</w:t>
      </w:r>
      <w:r>
        <w:rPr>
          <w:spacing w:val="3"/>
        </w:rPr>
        <w:t xml:space="preserve"> </w:t>
      </w:r>
      <w:r>
        <w:t>dívida</w:t>
      </w:r>
      <w:r>
        <w:rPr>
          <w:spacing w:val="5"/>
        </w:rPr>
        <w:t xml:space="preserve"> </w:t>
      </w:r>
      <w:r>
        <w:t>com</w:t>
      </w:r>
      <w:r>
        <w:rPr>
          <w:spacing w:val="6"/>
        </w:rPr>
        <w:t xml:space="preserve"> </w:t>
      </w:r>
      <w:r>
        <w:t xml:space="preserve">a </w:t>
      </w:r>
      <w:r>
        <w:rPr>
          <w:spacing w:val="-2"/>
        </w:rPr>
        <w:t>FUNCEF.</w:t>
      </w:r>
    </w:p>
    <w:p w14:paraId="5C7FF1B9" w14:textId="77777777" w:rsidR="002C6574" w:rsidRDefault="002C6574">
      <w:pPr>
        <w:pStyle w:val="Corpodetexto"/>
        <w:spacing w:before="57"/>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5"/>
        <w:gridCol w:w="1313"/>
        <w:gridCol w:w="1313"/>
      </w:tblGrid>
      <w:tr w:rsidR="002C6574" w14:paraId="059BABBA" w14:textId="77777777">
        <w:trPr>
          <w:trHeight w:val="237"/>
        </w:trPr>
        <w:tc>
          <w:tcPr>
            <w:tcW w:w="7145" w:type="dxa"/>
          </w:tcPr>
          <w:p w14:paraId="33693D92" w14:textId="77777777" w:rsidR="002C6574" w:rsidRDefault="00000000">
            <w:pPr>
              <w:pStyle w:val="TableParagraph"/>
              <w:spacing w:before="13" w:line="204" w:lineRule="exact"/>
              <w:ind w:left="69"/>
              <w:jc w:val="left"/>
              <w:rPr>
                <w:rFonts w:ascii="Arial"/>
                <w:b/>
                <w:sz w:val="18"/>
              </w:rPr>
            </w:pPr>
            <w:r>
              <w:rPr>
                <w:rFonts w:ascii="Arial"/>
                <w:b/>
                <w:spacing w:val="-2"/>
                <w:sz w:val="18"/>
              </w:rPr>
              <w:t>Credores:</w:t>
            </w:r>
          </w:p>
        </w:tc>
        <w:tc>
          <w:tcPr>
            <w:tcW w:w="1313" w:type="dxa"/>
          </w:tcPr>
          <w:p w14:paraId="676BCB13" w14:textId="77777777" w:rsidR="002C6574" w:rsidRDefault="00000000">
            <w:pPr>
              <w:pStyle w:val="TableParagraph"/>
              <w:spacing w:before="13" w:line="204" w:lineRule="exact"/>
              <w:ind w:left="205"/>
              <w:jc w:val="left"/>
              <w:rPr>
                <w:rFonts w:ascii="Arial"/>
                <w:b/>
                <w:sz w:val="18"/>
              </w:rPr>
            </w:pPr>
            <w:r>
              <w:rPr>
                <w:rFonts w:ascii="Arial"/>
                <w:b/>
                <w:spacing w:val="-2"/>
                <w:sz w:val="18"/>
              </w:rPr>
              <w:t>31/12/2025</w:t>
            </w:r>
          </w:p>
        </w:tc>
        <w:tc>
          <w:tcPr>
            <w:tcW w:w="1313" w:type="dxa"/>
          </w:tcPr>
          <w:p w14:paraId="2D5A8B38" w14:textId="77777777" w:rsidR="002C6574" w:rsidRDefault="00000000">
            <w:pPr>
              <w:pStyle w:val="TableParagraph"/>
              <w:spacing w:before="13" w:line="204" w:lineRule="exact"/>
              <w:ind w:left="206"/>
              <w:jc w:val="left"/>
              <w:rPr>
                <w:rFonts w:ascii="Arial"/>
                <w:b/>
                <w:sz w:val="18"/>
              </w:rPr>
            </w:pPr>
            <w:r>
              <w:rPr>
                <w:rFonts w:ascii="Arial"/>
                <w:b/>
                <w:spacing w:val="-2"/>
                <w:sz w:val="18"/>
              </w:rPr>
              <w:t>31/12/2024</w:t>
            </w:r>
          </w:p>
        </w:tc>
      </w:tr>
      <w:tr w:rsidR="002C6574" w14:paraId="7A93A617" w14:textId="77777777">
        <w:trPr>
          <w:trHeight w:val="237"/>
        </w:trPr>
        <w:tc>
          <w:tcPr>
            <w:tcW w:w="7145" w:type="dxa"/>
          </w:tcPr>
          <w:p w14:paraId="4017C3E1" w14:textId="77777777" w:rsidR="002C6574" w:rsidRDefault="00000000">
            <w:pPr>
              <w:pStyle w:val="TableParagraph"/>
              <w:spacing w:line="217" w:lineRule="exact"/>
              <w:ind w:left="69"/>
              <w:jc w:val="left"/>
              <w:rPr>
                <w:sz w:val="18"/>
              </w:rPr>
            </w:pPr>
            <w:r>
              <w:rPr>
                <w:sz w:val="18"/>
              </w:rPr>
              <w:t>Acordo</w:t>
            </w:r>
            <w:r>
              <w:rPr>
                <w:spacing w:val="4"/>
                <w:sz w:val="18"/>
              </w:rPr>
              <w:t xml:space="preserve"> </w:t>
            </w:r>
            <w:r>
              <w:rPr>
                <w:sz w:val="18"/>
              </w:rPr>
              <w:t>Judicial</w:t>
            </w:r>
            <w:r>
              <w:rPr>
                <w:spacing w:val="4"/>
                <w:sz w:val="18"/>
              </w:rPr>
              <w:t xml:space="preserve"> </w:t>
            </w:r>
            <w:r>
              <w:rPr>
                <w:sz w:val="18"/>
              </w:rPr>
              <w:t>–</w:t>
            </w:r>
            <w:r>
              <w:rPr>
                <w:spacing w:val="10"/>
                <w:sz w:val="18"/>
              </w:rPr>
              <w:t xml:space="preserve"> </w:t>
            </w:r>
            <w:r>
              <w:rPr>
                <w:spacing w:val="-4"/>
                <w:sz w:val="18"/>
              </w:rPr>
              <w:t>PREVI</w:t>
            </w:r>
          </w:p>
        </w:tc>
        <w:tc>
          <w:tcPr>
            <w:tcW w:w="1313" w:type="dxa"/>
          </w:tcPr>
          <w:p w14:paraId="6AC26940" w14:textId="77777777" w:rsidR="002C6574" w:rsidRDefault="00000000">
            <w:pPr>
              <w:pStyle w:val="TableParagraph"/>
              <w:spacing w:line="217" w:lineRule="exact"/>
              <w:ind w:right="57"/>
              <w:rPr>
                <w:sz w:val="18"/>
              </w:rPr>
            </w:pPr>
            <w:r>
              <w:rPr>
                <w:spacing w:val="-10"/>
                <w:w w:val="95"/>
                <w:sz w:val="18"/>
              </w:rPr>
              <w:t>-</w:t>
            </w:r>
          </w:p>
        </w:tc>
        <w:tc>
          <w:tcPr>
            <w:tcW w:w="1313" w:type="dxa"/>
          </w:tcPr>
          <w:p w14:paraId="3F4CA646" w14:textId="77777777" w:rsidR="002C6574" w:rsidRDefault="00000000">
            <w:pPr>
              <w:pStyle w:val="TableParagraph"/>
              <w:spacing w:line="217" w:lineRule="exact"/>
              <w:ind w:right="56"/>
              <w:rPr>
                <w:sz w:val="18"/>
              </w:rPr>
            </w:pPr>
            <w:r>
              <w:rPr>
                <w:spacing w:val="-2"/>
                <w:w w:val="105"/>
                <w:sz w:val="18"/>
              </w:rPr>
              <w:t>61.665</w:t>
            </w:r>
          </w:p>
        </w:tc>
      </w:tr>
      <w:tr w:rsidR="002C6574" w14:paraId="14ACA9FC" w14:textId="77777777">
        <w:trPr>
          <w:trHeight w:val="239"/>
        </w:trPr>
        <w:tc>
          <w:tcPr>
            <w:tcW w:w="7145" w:type="dxa"/>
          </w:tcPr>
          <w:p w14:paraId="0D57B852" w14:textId="77777777" w:rsidR="002C6574" w:rsidRDefault="00000000">
            <w:pPr>
              <w:pStyle w:val="TableParagraph"/>
              <w:spacing w:line="220" w:lineRule="exact"/>
              <w:ind w:left="69"/>
              <w:jc w:val="left"/>
              <w:rPr>
                <w:sz w:val="18"/>
              </w:rPr>
            </w:pPr>
            <w:r>
              <w:rPr>
                <w:sz w:val="18"/>
              </w:rPr>
              <w:t>Acordo</w:t>
            </w:r>
            <w:r>
              <w:rPr>
                <w:spacing w:val="4"/>
                <w:sz w:val="18"/>
              </w:rPr>
              <w:t xml:space="preserve"> </w:t>
            </w:r>
            <w:r>
              <w:rPr>
                <w:sz w:val="18"/>
              </w:rPr>
              <w:t>Judicial</w:t>
            </w:r>
            <w:r>
              <w:rPr>
                <w:spacing w:val="4"/>
                <w:sz w:val="18"/>
              </w:rPr>
              <w:t xml:space="preserve"> </w:t>
            </w:r>
            <w:r>
              <w:rPr>
                <w:sz w:val="18"/>
              </w:rPr>
              <w:t>–</w:t>
            </w:r>
            <w:r>
              <w:rPr>
                <w:spacing w:val="10"/>
                <w:sz w:val="18"/>
              </w:rPr>
              <w:t xml:space="preserve"> </w:t>
            </w:r>
            <w:r>
              <w:rPr>
                <w:spacing w:val="-2"/>
                <w:sz w:val="18"/>
              </w:rPr>
              <w:t>FUNCEF</w:t>
            </w:r>
          </w:p>
        </w:tc>
        <w:tc>
          <w:tcPr>
            <w:tcW w:w="1313" w:type="dxa"/>
          </w:tcPr>
          <w:p w14:paraId="7946CDEB" w14:textId="77777777" w:rsidR="002C6574" w:rsidRDefault="00000000">
            <w:pPr>
              <w:pStyle w:val="TableParagraph"/>
              <w:spacing w:line="220" w:lineRule="exact"/>
              <w:ind w:right="57"/>
              <w:rPr>
                <w:sz w:val="18"/>
              </w:rPr>
            </w:pPr>
            <w:r>
              <w:rPr>
                <w:spacing w:val="-10"/>
                <w:w w:val="95"/>
                <w:sz w:val="18"/>
              </w:rPr>
              <w:t>-</w:t>
            </w:r>
          </w:p>
        </w:tc>
        <w:tc>
          <w:tcPr>
            <w:tcW w:w="1313" w:type="dxa"/>
          </w:tcPr>
          <w:p w14:paraId="2C56B00D" w14:textId="77777777" w:rsidR="002C6574" w:rsidRDefault="00000000">
            <w:pPr>
              <w:pStyle w:val="TableParagraph"/>
              <w:spacing w:line="220" w:lineRule="exact"/>
              <w:ind w:right="56"/>
              <w:rPr>
                <w:sz w:val="18"/>
              </w:rPr>
            </w:pPr>
            <w:r>
              <w:rPr>
                <w:spacing w:val="-2"/>
                <w:w w:val="105"/>
                <w:sz w:val="18"/>
              </w:rPr>
              <w:t>57.217</w:t>
            </w:r>
          </w:p>
        </w:tc>
      </w:tr>
      <w:tr w:rsidR="002C6574" w14:paraId="6F678CBF" w14:textId="77777777">
        <w:trPr>
          <w:trHeight w:val="237"/>
        </w:trPr>
        <w:tc>
          <w:tcPr>
            <w:tcW w:w="7145" w:type="dxa"/>
          </w:tcPr>
          <w:p w14:paraId="3F01D20F" w14:textId="77777777" w:rsidR="002C6574" w:rsidRDefault="00000000">
            <w:pPr>
              <w:pStyle w:val="TableParagraph"/>
              <w:spacing w:before="13" w:line="204" w:lineRule="exact"/>
              <w:ind w:left="69"/>
              <w:jc w:val="left"/>
              <w:rPr>
                <w:rFonts w:ascii="Arial"/>
                <w:b/>
                <w:sz w:val="18"/>
              </w:rPr>
            </w:pPr>
            <w:r>
              <w:rPr>
                <w:rFonts w:ascii="Arial"/>
                <w:b/>
                <w:spacing w:val="-2"/>
                <w:sz w:val="18"/>
              </w:rPr>
              <w:t>Total</w:t>
            </w:r>
          </w:p>
        </w:tc>
        <w:tc>
          <w:tcPr>
            <w:tcW w:w="1313" w:type="dxa"/>
          </w:tcPr>
          <w:p w14:paraId="43E4550D" w14:textId="77777777" w:rsidR="002C6574" w:rsidRDefault="00000000">
            <w:pPr>
              <w:pStyle w:val="TableParagraph"/>
              <w:spacing w:before="13" w:line="204" w:lineRule="exact"/>
              <w:ind w:right="58"/>
              <w:rPr>
                <w:rFonts w:ascii="Arial"/>
                <w:b/>
                <w:sz w:val="18"/>
              </w:rPr>
            </w:pPr>
            <w:r>
              <w:rPr>
                <w:rFonts w:ascii="Arial"/>
                <w:b/>
                <w:spacing w:val="-10"/>
                <w:sz w:val="18"/>
              </w:rPr>
              <w:t>-</w:t>
            </w:r>
          </w:p>
        </w:tc>
        <w:tc>
          <w:tcPr>
            <w:tcW w:w="1313" w:type="dxa"/>
          </w:tcPr>
          <w:p w14:paraId="299FB821" w14:textId="77777777" w:rsidR="002C6574" w:rsidRDefault="00000000">
            <w:pPr>
              <w:pStyle w:val="TableParagraph"/>
              <w:spacing w:before="13" w:line="204" w:lineRule="exact"/>
              <w:ind w:right="56"/>
              <w:rPr>
                <w:rFonts w:ascii="Arial"/>
                <w:b/>
                <w:sz w:val="18"/>
              </w:rPr>
            </w:pPr>
            <w:r>
              <w:rPr>
                <w:rFonts w:ascii="Arial"/>
                <w:b/>
                <w:spacing w:val="-2"/>
                <w:sz w:val="18"/>
              </w:rPr>
              <w:t>118.882</w:t>
            </w:r>
          </w:p>
        </w:tc>
      </w:tr>
      <w:tr w:rsidR="002C6574" w14:paraId="6E67F0C6" w14:textId="77777777">
        <w:trPr>
          <w:trHeight w:val="237"/>
        </w:trPr>
        <w:tc>
          <w:tcPr>
            <w:tcW w:w="7145" w:type="dxa"/>
          </w:tcPr>
          <w:p w14:paraId="728F7584" w14:textId="77777777" w:rsidR="002C6574" w:rsidRDefault="00000000">
            <w:pPr>
              <w:pStyle w:val="TableParagraph"/>
              <w:spacing w:before="15" w:line="201" w:lineRule="exact"/>
              <w:ind w:left="69"/>
              <w:jc w:val="left"/>
              <w:rPr>
                <w:rFonts w:ascii="Arial"/>
                <w:b/>
                <w:sz w:val="18"/>
              </w:rPr>
            </w:pPr>
            <w:r>
              <w:rPr>
                <w:rFonts w:ascii="Arial"/>
                <w:b/>
                <w:spacing w:val="-2"/>
                <w:sz w:val="18"/>
              </w:rPr>
              <w:t>Circulante</w:t>
            </w:r>
          </w:p>
        </w:tc>
        <w:tc>
          <w:tcPr>
            <w:tcW w:w="1313" w:type="dxa"/>
          </w:tcPr>
          <w:p w14:paraId="049C4C28" w14:textId="77777777" w:rsidR="002C6574" w:rsidRDefault="00000000">
            <w:pPr>
              <w:pStyle w:val="TableParagraph"/>
              <w:spacing w:before="15" w:line="201" w:lineRule="exact"/>
              <w:ind w:right="58"/>
              <w:rPr>
                <w:rFonts w:ascii="Arial"/>
                <w:b/>
                <w:sz w:val="18"/>
              </w:rPr>
            </w:pPr>
            <w:r>
              <w:rPr>
                <w:rFonts w:ascii="Arial"/>
                <w:b/>
                <w:spacing w:val="-10"/>
                <w:sz w:val="18"/>
              </w:rPr>
              <w:t>-</w:t>
            </w:r>
          </w:p>
        </w:tc>
        <w:tc>
          <w:tcPr>
            <w:tcW w:w="1313" w:type="dxa"/>
          </w:tcPr>
          <w:p w14:paraId="7B22501A" w14:textId="77777777" w:rsidR="002C6574" w:rsidRDefault="00000000">
            <w:pPr>
              <w:pStyle w:val="TableParagraph"/>
              <w:spacing w:before="15" w:line="201" w:lineRule="exact"/>
              <w:ind w:right="56"/>
              <w:rPr>
                <w:rFonts w:ascii="Arial"/>
                <w:b/>
                <w:sz w:val="18"/>
              </w:rPr>
            </w:pPr>
            <w:r>
              <w:rPr>
                <w:rFonts w:ascii="Arial"/>
                <w:b/>
                <w:spacing w:val="-2"/>
                <w:sz w:val="18"/>
              </w:rPr>
              <w:t>16.635</w:t>
            </w:r>
          </w:p>
        </w:tc>
      </w:tr>
      <w:tr w:rsidR="002C6574" w14:paraId="74D20088" w14:textId="77777777">
        <w:trPr>
          <w:trHeight w:val="239"/>
        </w:trPr>
        <w:tc>
          <w:tcPr>
            <w:tcW w:w="7145" w:type="dxa"/>
          </w:tcPr>
          <w:p w14:paraId="248CDB89" w14:textId="77777777" w:rsidR="002C6574" w:rsidRDefault="00000000">
            <w:pPr>
              <w:pStyle w:val="TableParagraph"/>
              <w:spacing w:before="15" w:line="204" w:lineRule="exact"/>
              <w:ind w:left="69"/>
              <w:jc w:val="left"/>
              <w:rPr>
                <w:rFonts w:ascii="Arial" w:hAnsi="Arial"/>
                <w:b/>
                <w:sz w:val="18"/>
              </w:rPr>
            </w:pPr>
            <w:r>
              <w:rPr>
                <w:rFonts w:ascii="Arial" w:hAnsi="Arial"/>
                <w:b/>
                <w:sz w:val="18"/>
              </w:rPr>
              <w:t xml:space="preserve">Não </w:t>
            </w:r>
            <w:r>
              <w:rPr>
                <w:rFonts w:ascii="Arial" w:hAnsi="Arial"/>
                <w:b/>
                <w:spacing w:val="-2"/>
                <w:sz w:val="18"/>
              </w:rPr>
              <w:t>Circulante</w:t>
            </w:r>
          </w:p>
        </w:tc>
        <w:tc>
          <w:tcPr>
            <w:tcW w:w="1313" w:type="dxa"/>
          </w:tcPr>
          <w:p w14:paraId="4ACED722" w14:textId="77777777" w:rsidR="002C6574" w:rsidRDefault="00000000">
            <w:pPr>
              <w:pStyle w:val="TableParagraph"/>
              <w:spacing w:before="15" w:line="204" w:lineRule="exact"/>
              <w:ind w:right="57"/>
              <w:rPr>
                <w:rFonts w:ascii="Arial"/>
                <w:b/>
                <w:sz w:val="18"/>
              </w:rPr>
            </w:pPr>
            <w:r>
              <w:rPr>
                <w:rFonts w:ascii="Arial"/>
                <w:b/>
                <w:spacing w:val="-10"/>
                <w:sz w:val="18"/>
              </w:rPr>
              <w:t>-</w:t>
            </w:r>
          </w:p>
        </w:tc>
        <w:tc>
          <w:tcPr>
            <w:tcW w:w="1313" w:type="dxa"/>
          </w:tcPr>
          <w:p w14:paraId="7C200E50" w14:textId="77777777" w:rsidR="002C6574" w:rsidRDefault="00000000">
            <w:pPr>
              <w:pStyle w:val="TableParagraph"/>
              <w:spacing w:before="15" w:line="204" w:lineRule="exact"/>
              <w:ind w:right="56"/>
              <w:rPr>
                <w:rFonts w:ascii="Arial"/>
                <w:b/>
                <w:sz w:val="18"/>
              </w:rPr>
            </w:pPr>
            <w:r>
              <w:rPr>
                <w:rFonts w:ascii="Arial"/>
                <w:b/>
                <w:spacing w:val="-2"/>
                <w:sz w:val="18"/>
              </w:rPr>
              <w:t>102.247</w:t>
            </w:r>
          </w:p>
        </w:tc>
      </w:tr>
    </w:tbl>
    <w:p w14:paraId="376B49C8" w14:textId="77777777" w:rsidR="002C6574" w:rsidRDefault="00000000">
      <w:pPr>
        <w:pStyle w:val="PargrafodaLista"/>
        <w:numPr>
          <w:ilvl w:val="1"/>
          <w:numId w:val="34"/>
        </w:numPr>
        <w:tabs>
          <w:tab w:val="left" w:pos="995"/>
        </w:tabs>
        <w:spacing w:before="292"/>
        <w:rPr>
          <w:rFonts w:ascii="Arial" w:hAnsi="Arial"/>
          <w:b/>
        </w:rPr>
      </w:pPr>
      <w:r>
        <w:rPr>
          <w:rFonts w:ascii="Arial" w:hAnsi="Arial"/>
          <w:b/>
        </w:rPr>
        <w:t>Movimentação</w:t>
      </w:r>
      <w:r>
        <w:rPr>
          <w:rFonts w:ascii="Arial" w:hAnsi="Arial"/>
          <w:b/>
          <w:spacing w:val="-6"/>
        </w:rPr>
        <w:t xml:space="preserve"> </w:t>
      </w:r>
      <w:r>
        <w:rPr>
          <w:rFonts w:ascii="Arial" w:hAnsi="Arial"/>
          <w:b/>
        </w:rPr>
        <w:t>da</w:t>
      </w:r>
      <w:r>
        <w:rPr>
          <w:rFonts w:ascii="Arial" w:hAnsi="Arial"/>
          <w:b/>
          <w:spacing w:val="-1"/>
        </w:rPr>
        <w:t xml:space="preserve"> </w:t>
      </w:r>
      <w:r>
        <w:rPr>
          <w:rFonts w:ascii="Arial" w:hAnsi="Arial"/>
          <w:b/>
        </w:rPr>
        <w:t>dívida</w:t>
      </w:r>
      <w:r>
        <w:rPr>
          <w:rFonts w:ascii="Arial" w:hAnsi="Arial"/>
          <w:b/>
          <w:spacing w:val="-3"/>
        </w:rPr>
        <w:t xml:space="preserve"> </w:t>
      </w:r>
      <w:r>
        <w:rPr>
          <w:rFonts w:ascii="Arial" w:hAnsi="Arial"/>
          <w:b/>
        </w:rPr>
        <w:t>no</w:t>
      </w:r>
      <w:r>
        <w:rPr>
          <w:rFonts w:ascii="Arial" w:hAnsi="Arial"/>
          <w:b/>
          <w:spacing w:val="-2"/>
        </w:rPr>
        <w:t xml:space="preserve"> exercício</w:t>
      </w:r>
    </w:p>
    <w:p w14:paraId="29FA588C" w14:textId="77777777" w:rsidR="002C6574" w:rsidRDefault="002C6574">
      <w:pPr>
        <w:pStyle w:val="Corpodetexto"/>
        <w:spacing w:before="45"/>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1"/>
        <w:gridCol w:w="2539"/>
      </w:tblGrid>
      <w:tr w:rsidR="002C6574" w14:paraId="7C458BEA" w14:textId="77777777">
        <w:trPr>
          <w:trHeight w:val="239"/>
        </w:trPr>
        <w:tc>
          <w:tcPr>
            <w:tcW w:w="7231" w:type="dxa"/>
          </w:tcPr>
          <w:p w14:paraId="0423B301" w14:textId="77777777" w:rsidR="002C6574" w:rsidRDefault="00000000">
            <w:pPr>
              <w:pStyle w:val="TableParagraph"/>
              <w:spacing w:before="15" w:line="204"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2024</w:t>
            </w:r>
          </w:p>
        </w:tc>
        <w:tc>
          <w:tcPr>
            <w:tcW w:w="2539" w:type="dxa"/>
          </w:tcPr>
          <w:p w14:paraId="6896CD0E" w14:textId="77777777" w:rsidR="002C6574" w:rsidRDefault="00000000">
            <w:pPr>
              <w:pStyle w:val="TableParagraph"/>
              <w:spacing w:before="15" w:line="204" w:lineRule="exact"/>
              <w:ind w:right="57"/>
              <w:rPr>
                <w:rFonts w:ascii="Arial"/>
                <w:b/>
                <w:sz w:val="18"/>
              </w:rPr>
            </w:pPr>
            <w:r>
              <w:rPr>
                <w:rFonts w:ascii="Arial"/>
                <w:b/>
                <w:spacing w:val="-2"/>
                <w:sz w:val="18"/>
              </w:rPr>
              <w:t>118.882</w:t>
            </w:r>
          </w:p>
        </w:tc>
      </w:tr>
      <w:tr w:rsidR="002C6574" w14:paraId="107D25AF" w14:textId="77777777">
        <w:trPr>
          <w:trHeight w:val="237"/>
        </w:trPr>
        <w:tc>
          <w:tcPr>
            <w:tcW w:w="7231" w:type="dxa"/>
          </w:tcPr>
          <w:p w14:paraId="13159D8D" w14:textId="77777777" w:rsidR="002C6574" w:rsidRDefault="00000000">
            <w:pPr>
              <w:pStyle w:val="TableParagraph"/>
              <w:spacing w:line="217" w:lineRule="exact"/>
              <w:ind w:left="69"/>
              <w:jc w:val="left"/>
              <w:rPr>
                <w:sz w:val="18"/>
              </w:rPr>
            </w:pPr>
            <w:r>
              <w:rPr>
                <w:w w:val="105"/>
                <w:sz w:val="18"/>
              </w:rPr>
              <w:t>Juros</w:t>
            </w:r>
            <w:r>
              <w:rPr>
                <w:spacing w:val="-5"/>
                <w:w w:val="105"/>
                <w:sz w:val="18"/>
              </w:rPr>
              <w:t xml:space="preserve"> </w:t>
            </w:r>
            <w:r>
              <w:rPr>
                <w:w w:val="105"/>
                <w:sz w:val="18"/>
              </w:rPr>
              <w:t>e</w:t>
            </w:r>
            <w:r>
              <w:rPr>
                <w:spacing w:val="-1"/>
                <w:w w:val="105"/>
                <w:sz w:val="18"/>
              </w:rPr>
              <w:t xml:space="preserve"> </w:t>
            </w:r>
            <w:r>
              <w:rPr>
                <w:w w:val="105"/>
                <w:sz w:val="18"/>
              </w:rPr>
              <w:t>Variação</w:t>
            </w:r>
            <w:r>
              <w:rPr>
                <w:spacing w:val="-6"/>
                <w:w w:val="105"/>
                <w:sz w:val="18"/>
              </w:rPr>
              <w:t xml:space="preserve"> </w:t>
            </w:r>
            <w:r>
              <w:rPr>
                <w:spacing w:val="-2"/>
                <w:w w:val="105"/>
                <w:sz w:val="18"/>
              </w:rPr>
              <w:t>Monetária</w:t>
            </w:r>
          </w:p>
        </w:tc>
        <w:tc>
          <w:tcPr>
            <w:tcW w:w="2539" w:type="dxa"/>
          </w:tcPr>
          <w:p w14:paraId="3F49E258" w14:textId="77777777" w:rsidR="002C6574" w:rsidRDefault="00000000">
            <w:pPr>
              <w:pStyle w:val="TableParagraph"/>
              <w:spacing w:line="217" w:lineRule="exact"/>
              <w:ind w:right="58"/>
              <w:rPr>
                <w:sz w:val="18"/>
              </w:rPr>
            </w:pPr>
            <w:r>
              <w:rPr>
                <w:spacing w:val="-2"/>
                <w:w w:val="105"/>
                <w:sz w:val="18"/>
              </w:rPr>
              <w:t>14.108</w:t>
            </w:r>
          </w:p>
        </w:tc>
      </w:tr>
      <w:tr w:rsidR="002C6574" w14:paraId="76A97BB6" w14:textId="77777777">
        <w:trPr>
          <w:trHeight w:val="237"/>
        </w:trPr>
        <w:tc>
          <w:tcPr>
            <w:tcW w:w="7231" w:type="dxa"/>
          </w:tcPr>
          <w:p w14:paraId="2C1B6AA4" w14:textId="77777777" w:rsidR="002C6574" w:rsidRDefault="00000000">
            <w:pPr>
              <w:pStyle w:val="TableParagraph"/>
              <w:spacing w:line="217" w:lineRule="exact"/>
              <w:ind w:left="69"/>
              <w:jc w:val="left"/>
              <w:rPr>
                <w:sz w:val="18"/>
              </w:rPr>
            </w:pPr>
            <w:r>
              <w:rPr>
                <w:sz w:val="18"/>
              </w:rPr>
              <w:t>Amortização</w:t>
            </w:r>
            <w:r>
              <w:rPr>
                <w:spacing w:val="-4"/>
                <w:sz w:val="18"/>
              </w:rPr>
              <w:t xml:space="preserve"> </w:t>
            </w:r>
            <w:r>
              <w:rPr>
                <w:sz w:val="18"/>
              </w:rPr>
              <w:t xml:space="preserve">de </w:t>
            </w:r>
            <w:r>
              <w:rPr>
                <w:spacing w:val="-2"/>
                <w:sz w:val="18"/>
              </w:rPr>
              <w:t>Principal</w:t>
            </w:r>
          </w:p>
        </w:tc>
        <w:tc>
          <w:tcPr>
            <w:tcW w:w="2539" w:type="dxa"/>
          </w:tcPr>
          <w:p w14:paraId="32D6D4AB" w14:textId="77777777" w:rsidR="002C6574" w:rsidRDefault="00000000">
            <w:pPr>
              <w:pStyle w:val="TableParagraph"/>
              <w:spacing w:line="217" w:lineRule="exact"/>
              <w:ind w:right="55"/>
              <w:rPr>
                <w:sz w:val="18"/>
              </w:rPr>
            </w:pPr>
            <w:r>
              <w:rPr>
                <w:spacing w:val="-2"/>
                <w:w w:val="105"/>
                <w:sz w:val="18"/>
              </w:rPr>
              <w:t>(123.183)</w:t>
            </w:r>
          </w:p>
        </w:tc>
      </w:tr>
      <w:tr w:rsidR="002C6574" w14:paraId="08B57B53" w14:textId="77777777">
        <w:trPr>
          <w:trHeight w:val="239"/>
        </w:trPr>
        <w:tc>
          <w:tcPr>
            <w:tcW w:w="7231" w:type="dxa"/>
          </w:tcPr>
          <w:p w14:paraId="5EFBDBEB" w14:textId="77777777" w:rsidR="002C6574" w:rsidRDefault="00000000">
            <w:pPr>
              <w:pStyle w:val="TableParagraph"/>
              <w:spacing w:line="220" w:lineRule="exact"/>
              <w:ind w:left="69"/>
              <w:jc w:val="left"/>
              <w:rPr>
                <w:sz w:val="18"/>
              </w:rPr>
            </w:pPr>
            <w:r>
              <w:rPr>
                <w:sz w:val="18"/>
              </w:rPr>
              <w:t>Pagamento</w:t>
            </w:r>
            <w:r>
              <w:rPr>
                <w:spacing w:val="3"/>
                <w:sz w:val="18"/>
              </w:rPr>
              <w:t xml:space="preserve"> </w:t>
            </w:r>
            <w:r>
              <w:rPr>
                <w:sz w:val="18"/>
              </w:rPr>
              <w:t>de</w:t>
            </w:r>
            <w:r>
              <w:rPr>
                <w:spacing w:val="4"/>
                <w:sz w:val="18"/>
              </w:rPr>
              <w:t xml:space="preserve"> </w:t>
            </w:r>
            <w:r>
              <w:rPr>
                <w:spacing w:val="-4"/>
                <w:sz w:val="18"/>
              </w:rPr>
              <w:t>Juros</w:t>
            </w:r>
          </w:p>
        </w:tc>
        <w:tc>
          <w:tcPr>
            <w:tcW w:w="2539" w:type="dxa"/>
          </w:tcPr>
          <w:p w14:paraId="7F30A84D" w14:textId="77777777" w:rsidR="002C6574" w:rsidRDefault="00000000">
            <w:pPr>
              <w:pStyle w:val="TableParagraph"/>
              <w:spacing w:line="220" w:lineRule="exact"/>
              <w:ind w:right="54"/>
              <w:rPr>
                <w:sz w:val="18"/>
              </w:rPr>
            </w:pPr>
            <w:r>
              <w:rPr>
                <w:spacing w:val="-2"/>
                <w:w w:val="110"/>
                <w:sz w:val="18"/>
              </w:rPr>
              <w:t>(9.807)</w:t>
            </w:r>
          </w:p>
        </w:tc>
      </w:tr>
      <w:tr w:rsidR="002C6574" w14:paraId="61A4846A" w14:textId="77777777">
        <w:trPr>
          <w:trHeight w:val="237"/>
        </w:trPr>
        <w:tc>
          <w:tcPr>
            <w:tcW w:w="7231" w:type="dxa"/>
          </w:tcPr>
          <w:p w14:paraId="3548E19D" w14:textId="77777777" w:rsidR="002C6574" w:rsidRDefault="00000000">
            <w:pPr>
              <w:pStyle w:val="TableParagraph"/>
              <w:spacing w:before="13" w:line="204"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2025</w:t>
            </w:r>
          </w:p>
        </w:tc>
        <w:tc>
          <w:tcPr>
            <w:tcW w:w="2539" w:type="dxa"/>
          </w:tcPr>
          <w:p w14:paraId="4804224B" w14:textId="77777777" w:rsidR="002C6574" w:rsidRDefault="00000000">
            <w:pPr>
              <w:pStyle w:val="TableParagraph"/>
              <w:spacing w:before="13" w:line="204" w:lineRule="exact"/>
              <w:ind w:right="57"/>
              <w:rPr>
                <w:rFonts w:ascii="Arial"/>
                <w:b/>
                <w:sz w:val="18"/>
              </w:rPr>
            </w:pPr>
            <w:r>
              <w:rPr>
                <w:rFonts w:ascii="Arial"/>
                <w:b/>
                <w:spacing w:val="-10"/>
                <w:sz w:val="18"/>
              </w:rPr>
              <w:t>-</w:t>
            </w:r>
          </w:p>
        </w:tc>
      </w:tr>
    </w:tbl>
    <w:p w14:paraId="7F78C94B" w14:textId="77777777" w:rsidR="002C6574" w:rsidRDefault="002C6574">
      <w:pPr>
        <w:pStyle w:val="Corpodetexto"/>
        <w:spacing w:before="24"/>
        <w:rPr>
          <w:rFonts w:ascii="Arial"/>
          <w:b/>
        </w:rPr>
      </w:pPr>
    </w:p>
    <w:p w14:paraId="57CF4CF0" w14:textId="77777777" w:rsidR="002C6574" w:rsidRDefault="00000000">
      <w:pPr>
        <w:pStyle w:val="PargrafodaLista"/>
        <w:numPr>
          <w:ilvl w:val="1"/>
          <w:numId w:val="34"/>
        </w:numPr>
        <w:tabs>
          <w:tab w:val="left" w:pos="995"/>
        </w:tabs>
        <w:rPr>
          <w:rFonts w:ascii="Arial" w:hAnsi="Arial"/>
          <w:b/>
        </w:rPr>
      </w:pPr>
      <w:r>
        <w:rPr>
          <w:rFonts w:ascii="Arial" w:hAnsi="Arial"/>
          <w:b/>
        </w:rPr>
        <w:t>Descrição</w:t>
      </w:r>
      <w:r>
        <w:rPr>
          <w:rFonts w:ascii="Arial" w:hAnsi="Arial"/>
          <w:b/>
          <w:spacing w:val="-5"/>
        </w:rPr>
        <w:t xml:space="preserve"> </w:t>
      </w:r>
      <w:r>
        <w:rPr>
          <w:rFonts w:ascii="Arial" w:hAnsi="Arial"/>
          <w:b/>
        </w:rPr>
        <w:t>resumida</w:t>
      </w:r>
      <w:r>
        <w:rPr>
          <w:rFonts w:ascii="Arial" w:hAnsi="Arial"/>
          <w:b/>
          <w:spacing w:val="-3"/>
        </w:rPr>
        <w:t xml:space="preserve"> </w:t>
      </w:r>
      <w:r>
        <w:rPr>
          <w:rFonts w:ascii="Arial" w:hAnsi="Arial"/>
          <w:b/>
        </w:rPr>
        <w:t>dos</w:t>
      </w:r>
      <w:r>
        <w:rPr>
          <w:rFonts w:ascii="Arial" w:hAnsi="Arial"/>
          <w:b/>
          <w:spacing w:val="-3"/>
        </w:rPr>
        <w:t xml:space="preserve"> </w:t>
      </w:r>
      <w:r>
        <w:rPr>
          <w:rFonts w:ascii="Arial" w:hAnsi="Arial"/>
          <w:b/>
        </w:rPr>
        <w:t>termos</w:t>
      </w:r>
      <w:r>
        <w:rPr>
          <w:rFonts w:ascii="Arial" w:hAnsi="Arial"/>
          <w:b/>
          <w:spacing w:val="-4"/>
        </w:rPr>
        <w:t xml:space="preserve"> </w:t>
      </w:r>
      <w:r>
        <w:rPr>
          <w:rFonts w:ascii="Arial" w:hAnsi="Arial"/>
          <w:b/>
          <w:spacing w:val="-2"/>
        </w:rPr>
        <w:t>acordados</w:t>
      </w:r>
    </w:p>
    <w:p w14:paraId="46C7756B" w14:textId="77777777" w:rsidR="002C6574" w:rsidRDefault="002C6574">
      <w:pPr>
        <w:pStyle w:val="Corpodetexto"/>
        <w:spacing w:before="60"/>
        <w:rPr>
          <w:rFonts w:ascii="Arial"/>
          <w:b/>
        </w:rPr>
      </w:pPr>
    </w:p>
    <w:p w14:paraId="6CF068BA" w14:textId="77777777" w:rsidR="002C6574" w:rsidRDefault="00000000">
      <w:pPr>
        <w:pStyle w:val="PargrafodaLista"/>
        <w:numPr>
          <w:ilvl w:val="2"/>
          <w:numId w:val="34"/>
        </w:numPr>
        <w:tabs>
          <w:tab w:val="left" w:pos="990"/>
        </w:tabs>
        <w:spacing w:before="1"/>
        <w:ind w:left="990" w:hanging="847"/>
        <w:rPr>
          <w:rFonts w:ascii="Arial" w:hAnsi="Arial"/>
          <w:b/>
        </w:rPr>
      </w:pPr>
      <w:r>
        <w:rPr>
          <w:rFonts w:ascii="Arial" w:hAnsi="Arial"/>
          <w:b/>
        </w:rPr>
        <w:t>Previdência</w:t>
      </w:r>
      <w:r>
        <w:rPr>
          <w:rFonts w:ascii="Arial" w:hAnsi="Arial"/>
          <w:b/>
          <w:spacing w:val="-6"/>
        </w:rPr>
        <w:t xml:space="preserve"> </w:t>
      </w:r>
      <w:r>
        <w:rPr>
          <w:rFonts w:ascii="Arial" w:hAnsi="Arial"/>
          <w:b/>
        </w:rPr>
        <w:t>dos</w:t>
      </w:r>
      <w:r>
        <w:rPr>
          <w:rFonts w:ascii="Arial" w:hAnsi="Arial"/>
          <w:b/>
          <w:spacing w:val="-2"/>
        </w:rPr>
        <w:t xml:space="preserve"> </w:t>
      </w:r>
      <w:r>
        <w:rPr>
          <w:rFonts w:ascii="Arial" w:hAnsi="Arial"/>
          <w:b/>
        </w:rPr>
        <w:t>Funcionários</w:t>
      </w:r>
      <w:r>
        <w:rPr>
          <w:rFonts w:ascii="Arial" w:hAnsi="Arial"/>
          <w:b/>
          <w:spacing w:val="-4"/>
        </w:rPr>
        <w:t xml:space="preserve"> </w:t>
      </w:r>
      <w:r>
        <w:rPr>
          <w:rFonts w:ascii="Arial" w:hAnsi="Arial"/>
          <w:b/>
        </w:rPr>
        <w:t>do</w:t>
      </w:r>
      <w:r>
        <w:rPr>
          <w:rFonts w:ascii="Arial" w:hAnsi="Arial"/>
          <w:b/>
          <w:spacing w:val="-5"/>
        </w:rPr>
        <w:t xml:space="preserve"> </w:t>
      </w:r>
      <w:r>
        <w:rPr>
          <w:rFonts w:ascii="Arial" w:hAnsi="Arial"/>
          <w:b/>
        </w:rPr>
        <w:t>Banco</w:t>
      </w:r>
      <w:r>
        <w:rPr>
          <w:rFonts w:ascii="Arial" w:hAnsi="Arial"/>
          <w:b/>
          <w:spacing w:val="-2"/>
        </w:rPr>
        <w:t xml:space="preserve"> </w:t>
      </w:r>
      <w:r>
        <w:rPr>
          <w:rFonts w:ascii="Arial" w:hAnsi="Arial"/>
          <w:b/>
        </w:rPr>
        <w:t>do</w:t>
      </w:r>
      <w:r>
        <w:rPr>
          <w:rFonts w:ascii="Arial" w:hAnsi="Arial"/>
          <w:b/>
          <w:spacing w:val="-5"/>
        </w:rPr>
        <w:t xml:space="preserve"> </w:t>
      </w:r>
      <w:r>
        <w:rPr>
          <w:rFonts w:ascii="Arial" w:hAnsi="Arial"/>
          <w:b/>
        </w:rPr>
        <w:t>Brasil</w:t>
      </w:r>
      <w:r>
        <w:rPr>
          <w:rFonts w:ascii="Arial" w:hAnsi="Arial"/>
          <w:b/>
          <w:spacing w:val="-3"/>
        </w:rPr>
        <w:t xml:space="preserve"> </w:t>
      </w:r>
      <w:r>
        <w:rPr>
          <w:rFonts w:ascii="Arial" w:hAnsi="Arial"/>
          <w:b/>
          <w:spacing w:val="-2"/>
        </w:rPr>
        <w:t>(PREVI)</w:t>
      </w:r>
    </w:p>
    <w:p w14:paraId="5DEEA61F" w14:textId="77777777" w:rsidR="002C6574" w:rsidRDefault="002C6574">
      <w:pPr>
        <w:pStyle w:val="Corpodetexto"/>
        <w:spacing w:before="72"/>
        <w:rPr>
          <w:rFonts w:ascii="Arial"/>
          <w:b/>
        </w:rPr>
      </w:pPr>
    </w:p>
    <w:p w14:paraId="2767EB86" w14:textId="77777777" w:rsidR="002C6574" w:rsidRDefault="00000000">
      <w:pPr>
        <w:pStyle w:val="Corpodetexto"/>
        <w:ind w:left="143" w:right="703"/>
        <w:jc w:val="both"/>
      </w:pPr>
      <w:r>
        <w:t xml:space="preserve">Em 28 de outubro de 2013, a Telebras firmou Transação Parcial com a PREVI para pagamento do valor da execução (valor incontroverso), decorrente de decisão judicial condenatória transitada em </w:t>
      </w:r>
      <w:r>
        <w:rPr>
          <w:spacing w:val="-2"/>
        </w:rPr>
        <w:t>julgado.</w:t>
      </w:r>
    </w:p>
    <w:p w14:paraId="58C33B9C" w14:textId="77777777" w:rsidR="002C6574" w:rsidRDefault="00000000">
      <w:pPr>
        <w:pStyle w:val="Corpodetexto"/>
        <w:spacing w:before="198" w:line="237" w:lineRule="auto"/>
        <w:ind w:left="143" w:right="702"/>
        <w:jc w:val="both"/>
      </w:pPr>
      <w:r>
        <w:t>O saldo do principal reconhecido em novembro de 2013, no montante de R$ 141.416 (cento e quarenta e um milhões, quatrocentos e dezesseis mil), com carência de 24 (vinte e quatro) meses, está sendo pago em 30 (trinta) parcelas semestrais e sucessivas, sendo atualizado pelo índice de variação</w:t>
      </w:r>
      <w:r>
        <w:rPr>
          <w:spacing w:val="23"/>
        </w:rPr>
        <w:t xml:space="preserve"> </w:t>
      </w:r>
      <w:r>
        <w:t>do INPC, acrescido</w:t>
      </w:r>
      <w:r>
        <w:rPr>
          <w:spacing w:val="23"/>
        </w:rPr>
        <w:t xml:space="preserve"> </w:t>
      </w:r>
      <w:r>
        <w:t>de juros de</w:t>
      </w:r>
      <w:r>
        <w:rPr>
          <w:spacing w:val="24"/>
        </w:rPr>
        <w:t xml:space="preserve"> </w:t>
      </w:r>
      <w:r>
        <w:t>6% (seis por cento)</w:t>
      </w:r>
      <w:r>
        <w:rPr>
          <w:spacing w:val="23"/>
        </w:rPr>
        <w:t xml:space="preserve"> </w:t>
      </w:r>
      <w:r>
        <w:t>ao ano e com</w:t>
      </w:r>
      <w:r>
        <w:rPr>
          <w:spacing w:val="23"/>
        </w:rPr>
        <w:t xml:space="preserve"> </w:t>
      </w:r>
      <w:r>
        <w:t>pagamento semestral.</w:t>
      </w:r>
    </w:p>
    <w:p w14:paraId="54D2B7E5" w14:textId="77777777" w:rsidR="002C6574" w:rsidRDefault="00000000">
      <w:pPr>
        <w:pStyle w:val="Corpodetexto"/>
        <w:spacing w:before="5" w:line="237" w:lineRule="auto"/>
        <w:ind w:left="143" w:right="703"/>
        <w:jc w:val="both"/>
      </w:pPr>
      <w:r>
        <w:t>O objeto da ação movida pela PREVI era: a revisão da forma de apuração dos dividendos das ações preferenciais, seus reflexos nas demonstrações contábeis e a anulação da deliberação havida na Assembleia Geral realizada em 27 de abril de 1995, bem como a condenação da Telebras de efetuar a distribuição dos dividendos com base no saldo credor da conta de correção monetária do capital social, corrigidos monetariamente até o efetivo pagamento. Em dezembro de 2025, a Telebras efetuou a quitação da dívida.</w:t>
      </w:r>
    </w:p>
    <w:p w14:paraId="32E5BF6F" w14:textId="77777777" w:rsidR="002C6574" w:rsidRDefault="002C6574">
      <w:pPr>
        <w:pStyle w:val="Corpodetexto"/>
        <w:spacing w:before="33"/>
      </w:pPr>
    </w:p>
    <w:p w14:paraId="32EDC6BD" w14:textId="77777777" w:rsidR="002C6574" w:rsidRDefault="00000000">
      <w:pPr>
        <w:numPr>
          <w:ilvl w:val="2"/>
          <w:numId w:val="34"/>
        </w:numPr>
        <w:tabs>
          <w:tab w:val="left" w:pos="990"/>
        </w:tabs>
        <w:ind w:left="990" w:hanging="847"/>
        <w:rPr>
          <w:rFonts w:ascii="Arial" w:hAnsi="Arial"/>
          <w:b/>
        </w:rPr>
      </w:pPr>
      <w:r>
        <w:rPr>
          <w:rFonts w:ascii="Arial" w:hAnsi="Arial"/>
          <w:b/>
        </w:rPr>
        <w:t>Fundação</w:t>
      </w:r>
      <w:r>
        <w:rPr>
          <w:rFonts w:ascii="Arial" w:hAnsi="Arial"/>
          <w:b/>
          <w:spacing w:val="-4"/>
        </w:rPr>
        <w:t xml:space="preserve"> </w:t>
      </w:r>
      <w:r>
        <w:rPr>
          <w:rFonts w:ascii="Arial" w:hAnsi="Arial"/>
          <w:b/>
        </w:rPr>
        <w:t>dos</w:t>
      </w:r>
      <w:r>
        <w:rPr>
          <w:rFonts w:ascii="Arial" w:hAnsi="Arial"/>
          <w:b/>
          <w:spacing w:val="-4"/>
        </w:rPr>
        <w:t xml:space="preserve"> </w:t>
      </w:r>
      <w:r>
        <w:rPr>
          <w:rFonts w:ascii="Arial" w:hAnsi="Arial"/>
          <w:b/>
        </w:rPr>
        <w:t>Economiários</w:t>
      </w:r>
      <w:r>
        <w:rPr>
          <w:rFonts w:ascii="Arial" w:hAnsi="Arial"/>
          <w:b/>
          <w:spacing w:val="-5"/>
        </w:rPr>
        <w:t xml:space="preserve"> </w:t>
      </w:r>
      <w:r>
        <w:rPr>
          <w:rFonts w:ascii="Arial" w:hAnsi="Arial"/>
          <w:b/>
        </w:rPr>
        <w:t>Federais</w:t>
      </w:r>
      <w:r>
        <w:rPr>
          <w:rFonts w:ascii="Arial" w:hAnsi="Arial"/>
          <w:b/>
          <w:spacing w:val="-5"/>
        </w:rPr>
        <w:t xml:space="preserve"> </w:t>
      </w:r>
      <w:r>
        <w:rPr>
          <w:rFonts w:ascii="Arial" w:hAnsi="Arial"/>
          <w:b/>
          <w:spacing w:val="-2"/>
        </w:rPr>
        <w:t>(FUNCEF)</w:t>
      </w:r>
    </w:p>
    <w:p w14:paraId="66EE0A16" w14:textId="77777777" w:rsidR="002C6574" w:rsidRDefault="002C6574">
      <w:pPr>
        <w:pStyle w:val="Corpodetexto"/>
        <w:spacing w:before="75"/>
        <w:rPr>
          <w:rFonts w:ascii="Arial"/>
          <w:b/>
        </w:rPr>
      </w:pPr>
    </w:p>
    <w:p w14:paraId="5505EE7E" w14:textId="77777777" w:rsidR="002C6574" w:rsidRDefault="00000000">
      <w:pPr>
        <w:pStyle w:val="Corpodetexto"/>
        <w:spacing w:line="237" w:lineRule="auto"/>
        <w:ind w:left="143" w:right="703"/>
        <w:jc w:val="both"/>
        <w:rPr>
          <w:sz w:val="24"/>
        </w:rPr>
      </w:pPr>
      <w:r>
        <w:t>Em 2 de maio de 2016, a Telebras finalizou acordo e protocolou, perante a 17ª Vara Cível de Brasília/DF, petição solicitando a homologação do acordo extrajudicial tabulado entre a Telebras e a FUNCEF para quitação total do passivo judicial</w:t>
      </w:r>
      <w:r>
        <w:rPr>
          <w:sz w:val="24"/>
        </w:rPr>
        <w:t xml:space="preserve">, </w:t>
      </w:r>
      <w:r>
        <w:t>que condenou a Telebras a incorporar a correção monetária ao capital social antes de realizar a distribuição dos dividendos, devidos à Fundação dos Economiários</w:t>
      </w:r>
      <w:r>
        <w:rPr>
          <w:spacing w:val="40"/>
        </w:rPr>
        <w:t xml:space="preserve"> </w:t>
      </w:r>
      <w:r>
        <w:t>Federais</w:t>
      </w:r>
      <w:r>
        <w:rPr>
          <w:spacing w:val="40"/>
        </w:rPr>
        <w:t xml:space="preserve"> </w:t>
      </w:r>
      <w:r>
        <w:t>–</w:t>
      </w:r>
      <w:r>
        <w:rPr>
          <w:spacing w:val="40"/>
        </w:rPr>
        <w:t xml:space="preserve"> </w:t>
      </w:r>
      <w:r>
        <w:t>FUNCEF,</w:t>
      </w:r>
      <w:r>
        <w:rPr>
          <w:spacing w:val="40"/>
        </w:rPr>
        <w:t xml:space="preserve"> </w:t>
      </w:r>
      <w:r>
        <w:t>relativo</w:t>
      </w:r>
      <w:r>
        <w:rPr>
          <w:spacing w:val="40"/>
        </w:rPr>
        <w:t xml:space="preserve"> </w:t>
      </w:r>
      <w:r>
        <w:t>ao</w:t>
      </w:r>
      <w:r>
        <w:rPr>
          <w:spacing w:val="40"/>
        </w:rPr>
        <w:t xml:space="preserve"> </w:t>
      </w:r>
      <w:r>
        <w:t>exercício</w:t>
      </w:r>
      <w:r>
        <w:rPr>
          <w:spacing w:val="40"/>
        </w:rPr>
        <w:t xml:space="preserve"> </w:t>
      </w:r>
      <w:r>
        <w:t>de</w:t>
      </w:r>
      <w:r>
        <w:rPr>
          <w:spacing w:val="40"/>
        </w:rPr>
        <w:t xml:space="preserve"> </w:t>
      </w:r>
      <w:r>
        <w:t>1994</w:t>
      </w:r>
      <w:r>
        <w:rPr>
          <w:sz w:val="24"/>
        </w:rPr>
        <w:t>.</w:t>
      </w:r>
    </w:p>
    <w:p w14:paraId="5F9B4551" w14:textId="77777777" w:rsidR="002C6574" w:rsidRDefault="002C6574">
      <w:pPr>
        <w:pStyle w:val="Corpodetexto"/>
        <w:spacing w:line="237" w:lineRule="auto"/>
        <w:jc w:val="both"/>
        <w:rPr>
          <w:sz w:val="24"/>
        </w:rPr>
        <w:sectPr w:rsidR="002C6574">
          <w:headerReference w:type="default" r:id="rId83"/>
          <w:footerReference w:type="default" r:id="rId84"/>
          <w:pgSz w:w="11910" w:h="16840"/>
          <w:pgMar w:top="1600" w:right="141" w:bottom="1320" w:left="1133" w:header="856" w:footer="1125" w:gutter="0"/>
          <w:cols w:space="720"/>
        </w:sectPr>
      </w:pPr>
    </w:p>
    <w:p w14:paraId="62BF23B1" w14:textId="77777777" w:rsidR="002C6574" w:rsidRDefault="00000000">
      <w:pPr>
        <w:pStyle w:val="Corpodetexto"/>
        <w:spacing w:before="198"/>
        <w:ind w:left="143" w:right="702"/>
        <w:jc w:val="both"/>
      </w:pPr>
      <w:r>
        <w:lastRenderedPageBreak/>
        <w:t xml:space="preserve">O acordo firmado estabeleceu que o valor acordado para liquidação da obrigação era de R$ 72.688 </w:t>
      </w:r>
      <w:r>
        <w:rPr>
          <w:w w:val="105"/>
        </w:rPr>
        <w:t>(setenta</w:t>
      </w:r>
      <w:r>
        <w:rPr>
          <w:spacing w:val="-14"/>
          <w:w w:val="105"/>
        </w:rPr>
        <w:t xml:space="preserve"> </w:t>
      </w:r>
      <w:r>
        <w:rPr>
          <w:w w:val="105"/>
        </w:rPr>
        <w:t>e</w:t>
      </w:r>
      <w:r>
        <w:rPr>
          <w:spacing w:val="-16"/>
          <w:w w:val="105"/>
        </w:rPr>
        <w:t xml:space="preserve"> </w:t>
      </w:r>
      <w:r>
        <w:rPr>
          <w:w w:val="105"/>
        </w:rPr>
        <w:t>dois</w:t>
      </w:r>
      <w:r>
        <w:rPr>
          <w:spacing w:val="-16"/>
          <w:w w:val="105"/>
        </w:rPr>
        <w:t xml:space="preserve"> </w:t>
      </w:r>
      <w:r>
        <w:rPr>
          <w:w w:val="105"/>
        </w:rPr>
        <w:t>milhões,</w:t>
      </w:r>
      <w:r>
        <w:rPr>
          <w:spacing w:val="-14"/>
          <w:w w:val="105"/>
        </w:rPr>
        <w:t xml:space="preserve"> </w:t>
      </w:r>
      <w:r>
        <w:rPr>
          <w:w w:val="105"/>
        </w:rPr>
        <w:t>seiscentos</w:t>
      </w:r>
      <w:r>
        <w:rPr>
          <w:spacing w:val="-12"/>
          <w:w w:val="105"/>
        </w:rPr>
        <w:t xml:space="preserve"> </w:t>
      </w:r>
      <w:r>
        <w:rPr>
          <w:w w:val="105"/>
        </w:rPr>
        <w:t>e</w:t>
      </w:r>
      <w:r>
        <w:rPr>
          <w:spacing w:val="-15"/>
          <w:w w:val="105"/>
        </w:rPr>
        <w:t xml:space="preserve"> </w:t>
      </w:r>
      <w:r>
        <w:rPr>
          <w:w w:val="105"/>
        </w:rPr>
        <w:t>oitenta</w:t>
      </w:r>
      <w:r>
        <w:rPr>
          <w:spacing w:val="-13"/>
          <w:w w:val="105"/>
        </w:rPr>
        <w:t xml:space="preserve"> </w:t>
      </w:r>
      <w:r>
        <w:rPr>
          <w:w w:val="105"/>
        </w:rPr>
        <w:t>e</w:t>
      </w:r>
      <w:r>
        <w:rPr>
          <w:spacing w:val="-15"/>
          <w:w w:val="105"/>
        </w:rPr>
        <w:t xml:space="preserve"> </w:t>
      </w:r>
      <w:r>
        <w:rPr>
          <w:w w:val="105"/>
        </w:rPr>
        <w:t>oito</w:t>
      </w:r>
      <w:r>
        <w:rPr>
          <w:spacing w:val="-13"/>
          <w:w w:val="105"/>
        </w:rPr>
        <w:t xml:space="preserve"> </w:t>
      </w:r>
      <w:r>
        <w:rPr>
          <w:w w:val="105"/>
        </w:rPr>
        <w:t>mil),</w:t>
      </w:r>
      <w:r>
        <w:rPr>
          <w:spacing w:val="-14"/>
          <w:w w:val="105"/>
        </w:rPr>
        <w:t xml:space="preserve"> </w:t>
      </w:r>
      <w:r>
        <w:rPr>
          <w:w w:val="105"/>
        </w:rPr>
        <w:t>atualizado</w:t>
      </w:r>
      <w:r>
        <w:rPr>
          <w:spacing w:val="-14"/>
          <w:w w:val="105"/>
        </w:rPr>
        <w:t xml:space="preserve"> </w:t>
      </w:r>
      <w:r>
        <w:rPr>
          <w:w w:val="105"/>
        </w:rPr>
        <w:t>até</w:t>
      </w:r>
      <w:r>
        <w:rPr>
          <w:spacing w:val="-12"/>
          <w:w w:val="105"/>
        </w:rPr>
        <w:t xml:space="preserve"> </w:t>
      </w:r>
      <w:r>
        <w:rPr>
          <w:w w:val="105"/>
        </w:rPr>
        <w:t>29</w:t>
      </w:r>
      <w:r>
        <w:rPr>
          <w:spacing w:val="-16"/>
          <w:w w:val="105"/>
        </w:rPr>
        <w:t xml:space="preserve"> </w:t>
      </w:r>
      <w:r>
        <w:rPr>
          <w:w w:val="105"/>
        </w:rPr>
        <w:t>de</w:t>
      </w:r>
      <w:r>
        <w:rPr>
          <w:spacing w:val="-12"/>
          <w:w w:val="105"/>
        </w:rPr>
        <w:t xml:space="preserve"> </w:t>
      </w:r>
      <w:r>
        <w:rPr>
          <w:w w:val="105"/>
        </w:rPr>
        <w:t>fevereiro</w:t>
      </w:r>
      <w:r>
        <w:rPr>
          <w:spacing w:val="-13"/>
          <w:w w:val="105"/>
        </w:rPr>
        <w:t xml:space="preserve"> </w:t>
      </w:r>
      <w:r>
        <w:rPr>
          <w:w w:val="105"/>
        </w:rPr>
        <w:t>de</w:t>
      </w:r>
      <w:r>
        <w:rPr>
          <w:spacing w:val="-15"/>
          <w:w w:val="105"/>
        </w:rPr>
        <w:t xml:space="preserve"> </w:t>
      </w:r>
      <w:r>
        <w:rPr>
          <w:w w:val="105"/>
        </w:rPr>
        <w:t>2016,</w:t>
      </w:r>
      <w:r>
        <w:rPr>
          <w:spacing w:val="-14"/>
          <w:w w:val="105"/>
        </w:rPr>
        <w:t xml:space="preserve"> </w:t>
      </w:r>
      <w:r>
        <w:rPr>
          <w:w w:val="105"/>
        </w:rPr>
        <w:t>e</w:t>
      </w:r>
      <w:r>
        <w:rPr>
          <w:spacing w:val="-14"/>
          <w:w w:val="105"/>
        </w:rPr>
        <w:t xml:space="preserve"> </w:t>
      </w:r>
      <w:r>
        <w:rPr>
          <w:w w:val="105"/>
        </w:rPr>
        <w:t>é composto</w:t>
      </w:r>
      <w:r>
        <w:rPr>
          <w:spacing w:val="-4"/>
          <w:w w:val="105"/>
        </w:rPr>
        <w:t xml:space="preserve"> </w:t>
      </w:r>
      <w:r>
        <w:rPr>
          <w:w w:val="105"/>
        </w:rPr>
        <w:t>das</w:t>
      </w:r>
      <w:r>
        <w:rPr>
          <w:spacing w:val="-4"/>
          <w:w w:val="105"/>
        </w:rPr>
        <w:t xml:space="preserve"> </w:t>
      </w:r>
      <w:r>
        <w:rPr>
          <w:w w:val="105"/>
        </w:rPr>
        <w:t>seguintes</w:t>
      </w:r>
      <w:r>
        <w:rPr>
          <w:spacing w:val="-4"/>
          <w:w w:val="105"/>
        </w:rPr>
        <w:t xml:space="preserve"> </w:t>
      </w:r>
      <w:r>
        <w:rPr>
          <w:w w:val="105"/>
        </w:rPr>
        <w:t>parcelas:</w:t>
      </w:r>
      <w:r>
        <w:rPr>
          <w:spacing w:val="-4"/>
          <w:w w:val="105"/>
        </w:rPr>
        <w:t xml:space="preserve"> </w:t>
      </w:r>
      <w:r>
        <w:rPr>
          <w:w w:val="105"/>
        </w:rPr>
        <w:t>R$</w:t>
      </w:r>
      <w:r>
        <w:rPr>
          <w:spacing w:val="-4"/>
          <w:w w:val="105"/>
        </w:rPr>
        <w:t xml:space="preserve"> </w:t>
      </w:r>
      <w:r>
        <w:rPr>
          <w:w w:val="105"/>
        </w:rPr>
        <w:t>66.080</w:t>
      </w:r>
      <w:r>
        <w:rPr>
          <w:spacing w:val="-4"/>
          <w:w w:val="105"/>
        </w:rPr>
        <w:t xml:space="preserve"> </w:t>
      </w:r>
      <w:r>
        <w:rPr>
          <w:w w:val="105"/>
        </w:rPr>
        <w:t>(sessenta</w:t>
      </w:r>
      <w:r>
        <w:rPr>
          <w:spacing w:val="-4"/>
          <w:w w:val="105"/>
        </w:rPr>
        <w:t xml:space="preserve"> </w:t>
      </w:r>
      <w:r>
        <w:rPr>
          <w:w w:val="105"/>
        </w:rPr>
        <w:t>e</w:t>
      </w:r>
      <w:r>
        <w:rPr>
          <w:spacing w:val="-5"/>
          <w:w w:val="105"/>
        </w:rPr>
        <w:t xml:space="preserve"> </w:t>
      </w:r>
      <w:r>
        <w:rPr>
          <w:w w:val="105"/>
        </w:rPr>
        <w:t>seis</w:t>
      </w:r>
      <w:r>
        <w:rPr>
          <w:spacing w:val="-4"/>
          <w:w w:val="105"/>
        </w:rPr>
        <w:t xml:space="preserve"> </w:t>
      </w:r>
      <w:r>
        <w:rPr>
          <w:w w:val="105"/>
        </w:rPr>
        <w:t>milhões</w:t>
      </w:r>
      <w:r>
        <w:rPr>
          <w:spacing w:val="-2"/>
          <w:w w:val="105"/>
        </w:rPr>
        <w:t xml:space="preserve"> </w:t>
      </w:r>
      <w:r>
        <w:rPr>
          <w:w w:val="105"/>
        </w:rPr>
        <w:t>e</w:t>
      </w:r>
      <w:r>
        <w:rPr>
          <w:spacing w:val="-4"/>
          <w:w w:val="105"/>
        </w:rPr>
        <w:t xml:space="preserve"> </w:t>
      </w:r>
      <w:r>
        <w:rPr>
          <w:w w:val="105"/>
        </w:rPr>
        <w:t>oitenta</w:t>
      </w:r>
      <w:r>
        <w:rPr>
          <w:spacing w:val="-5"/>
          <w:w w:val="105"/>
        </w:rPr>
        <w:t xml:space="preserve"> </w:t>
      </w:r>
      <w:r>
        <w:rPr>
          <w:w w:val="105"/>
        </w:rPr>
        <w:t>mil)</w:t>
      </w:r>
      <w:r>
        <w:rPr>
          <w:spacing w:val="-1"/>
          <w:w w:val="105"/>
        </w:rPr>
        <w:t xml:space="preserve"> </w:t>
      </w:r>
      <w:r>
        <w:rPr>
          <w:w w:val="105"/>
        </w:rPr>
        <w:t>de</w:t>
      </w:r>
      <w:r>
        <w:rPr>
          <w:spacing w:val="-5"/>
          <w:w w:val="105"/>
        </w:rPr>
        <w:t xml:space="preserve"> </w:t>
      </w:r>
      <w:r>
        <w:rPr>
          <w:w w:val="105"/>
        </w:rPr>
        <w:t>principal</w:t>
      </w:r>
      <w:r>
        <w:rPr>
          <w:spacing w:val="-6"/>
          <w:w w:val="105"/>
        </w:rPr>
        <w:t xml:space="preserve"> </w:t>
      </w:r>
      <w:r>
        <w:rPr>
          <w:w w:val="105"/>
        </w:rPr>
        <w:t xml:space="preserve">e </w:t>
      </w:r>
      <w:r>
        <w:t xml:space="preserve">R$ 6.608 (seis mil e seiscentos e oito) de honorários sucumbenciais, que foram pagos em 5 de maio de 2016. Com relação ao valor principal, o acordo previa entrada de 10% (dez por cento) em 90 dias após o protocolo da petição, sendo o saldo remanescente diluído em 30 (trinta) parcelas semestrais </w:t>
      </w:r>
      <w:r>
        <w:rPr>
          <w:w w:val="105"/>
        </w:rPr>
        <w:t>e sucessivas, observado o período de</w:t>
      </w:r>
      <w:r>
        <w:rPr>
          <w:spacing w:val="-1"/>
          <w:w w:val="105"/>
        </w:rPr>
        <w:t xml:space="preserve"> </w:t>
      </w:r>
      <w:r>
        <w:rPr>
          <w:w w:val="105"/>
        </w:rPr>
        <w:t>carência</w:t>
      </w:r>
      <w:r>
        <w:rPr>
          <w:spacing w:val="-2"/>
          <w:w w:val="105"/>
        </w:rPr>
        <w:t xml:space="preserve"> </w:t>
      </w:r>
      <w:r>
        <w:rPr>
          <w:w w:val="105"/>
        </w:rPr>
        <w:t>de 24 (vinte e quatro) meses, contado da</w:t>
      </w:r>
      <w:r>
        <w:rPr>
          <w:spacing w:val="-2"/>
          <w:w w:val="105"/>
        </w:rPr>
        <w:t xml:space="preserve"> </w:t>
      </w:r>
      <w:r>
        <w:rPr>
          <w:w w:val="105"/>
        </w:rPr>
        <w:t>data de referência</w:t>
      </w:r>
      <w:r>
        <w:rPr>
          <w:spacing w:val="-10"/>
          <w:w w:val="105"/>
        </w:rPr>
        <w:t xml:space="preserve"> </w:t>
      </w:r>
      <w:r>
        <w:rPr>
          <w:w w:val="105"/>
        </w:rPr>
        <w:t>(29</w:t>
      </w:r>
      <w:r>
        <w:rPr>
          <w:spacing w:val="-10"/>
          <w:w w:val="105"/>
        </w:rPr>
        <w:t xml:space="preserve"> </w:t>
      </w:r>
      <w:r>
        <w:rPr>
          <w:w w:val="105"/>
        </w:rPr>
        <w:t>de</w:t>
      </w:r>
      <w:r>
        <w:rPr>
          <w:spacing w:val="-11"/>
          <w:w w:val="105"/>
        </w:rPr>
        <w:t xml:space="preserve"> </w:t>
      </w:r>
      <w:r>
        <w:rPr>
          <w:w w:val="105"/>
        </w:rPr>
        <w:t>fevereiro</w:t>
      </w:r>
      <w:r>
        <w:rPr>
          <w:spacing w:val="-10"/>
          <w:w w:val="105"/>
        </w:rPr>
        <w:t xml:space="preserve"> </w:t>
      </w:r>
      <w:r>
        <w:rPr>
          <w:w w:val="105"/>
        </w:rPr>
        <w:t>de</w:t>
      </w:r>
      <w:r>
        <w:rPr>
          <w:spacing w:val="-10"/>
          <w:w w:val="105"/>
        </w:rPr>
        <w:t xml:space="preserve"> </w:t>
      </w:r>
      <w:r>
        <w:rPr>
          <w:w w:val="105"/>
        </w:rPr>
        <w:t>2016),</w:t>
      </w:r>
      <w:r>
        <w:rPr>
          <w:spacing w:val="-10"/>
          <w:w w:val="105"/>
        </w:rPr>
        <w:t xml:space="preserve"> </w:t>
      </w:r>
      <w:r>
        <w:rPr>
          <w:w w:val="105"/>
        </w:rPr>
        <w:t>com</w:t>
      </w:r>
      <w:r>
        <w:rPr>
          <w:spacing w:val="-8"/>
          <w:w w:val="105"/>
        </w:rPr>
        <w:t xml:space="preserve"> </w:t>
      </w:r>
      <w:r>
        <w:rPr>
          <w:w w:val="105"/>
        </w:rPr>
        <w:t>pagamento</w:t>
      </w:r>
      <w:r>
        <w:rPr>
          <w:spacing w:val="-10"/>
          <w:w w:val="105"/>
        </w:rPr>
        <w:t xml:space="preserve"> </w:t>
      </w:r>
      <w:r>
        <w:rPr>
          <w:w w:val="105"/>
        </w:rPr>
        <w:t>apenas</w:t>
      </w:r>
      <w:r>
        <w:rPr>
          <w:spacing w:val="-10"/>
          <w:w w:val="105"/>
        </w:rPr>
        <w:t xml:space="preserve"> </w:t>
      </w:r>
      <w:r>
        <w:rPr>
          <w:w w:val="105"/>
        </w:rPr>
        <w:t>dos</w:t>
      </w:r>
      <w:r>
        <w:rPr>
          <w:spacing w:val="-11"/>
          <w:w w:val="105"/>
        </w:rPr>
        <w:t xml:space="preserve"> </w:t>
      </w:r>
      <w:r>
        <w:rPr>
          <w:w w:val="105"/>
        </w:rPr>
        <w:t>juros.</w:t>
      </w:r>
      <w:r>
        <w:rPr>
          <w:spacing w:val="-13"/>
          <w:w w:val="105"/>
        </w:rPr>
        <w:t xml:space="preserve"> </w:t>
      </w:r>
      <w:r>
        <w:rPr>
          <w:w w:val="105"/>
        </w:rPr>
        <w:t>A</w:t>
      </w:r>
      <w:r>
        <w:rPr>
          <w:spacing w:val="-10"/>
          <w:w w:val="105"/>
        </w:rPr>
        <w:t xml:space="preserve"> </w:t>
      </w:r>
      <w:r>
        <w:rPr>
          <w:w w:val="105"/>
        </w:rPr>
        <w:t>dívida</w:t>
      </w:r>
      <w:r>
        <w:rPr>
          <w:spacing w:val="-10"/>
          <w:w w:val="105"/>
        </w:rPr>
        <w:t xml:space="preserve"> </w:t>
      </w:r>
      <w:r>
        <w:rPr>
          <w:w w:val="105"/>
        </w:rPr>
        <w:t>é</w:t>
      </w:r>
      <w:r>
        <w:rPr>
          <w:spacing w:val="-10"/>
          <w:w w:val="105"/>
        </w:rPr>
        <w:t xml:space="preserve"> </w:t>
      </w:r>
      <w:r>
        <w:rPr>
          <w:w w:val="105"/>
        </w:rPr>
        <w:t>atualizada</w:t>
      </w:r>
      <w:r>
        <w:rPr>
          <w:spacing w:val="-11"/>
          <w:w w:val="105"/>
        </w:rPr>
        <w:t xml:space="preserve"> </w:t>
      </w:r>
      <w:r>
        <w:rPr>
          <w:w w:val="105"/>
        </w:rPr>
        <w:t>pela variação do INPC, mais juros de 5,76842907% a.a.</w:t>
      </w:r>
    </w:p>
    <w:p w14:paraId="59C93363" w14:textId="77777777" w:rsidR="002C6574" w:rsidRDefault="00000000">
      <w:pPr>
        <w:pStyle w:val="Corpodetexto"/>
        <w:spacing w:before="189" w:line="237" w:lineRule="auto"/>
        <w:ind w:left="143" w:right="703"/>
        <w:jc w:val="both"/>
      </w:pPr>
      <w:r>
        <w:rPr>
          <w:w w:val="105"/>
        </w:rPr>
        <w:t>O</w:t>
      </w:r>
      <w:r>
        <w:rPr>
          <w:spacing w:val="-11"/>
          <w:w w:val="105"/>
        </w:rPr>
        <w:t xml:space="preserve"> </w:t>
      </w:r>
      <w:r>
        <w:rPr>
          <w:w w:val="105"/>
        </w:rPr>
        <w:t>acordo</w:t>
      </w:r>
      <w:r>
        <w:rPr>
          <w:spacing w:val="-11"/>
          <w:w w:val="105"/>
        </w:rPr>
        <w:t xml:space="preserve"> </w:t>
      </w:r>
      <w:r>
        <w:rPr>
          <w:w w:val="105"/>
        </w:rPr>
        <w:t>ainda</w:t>
      </w:r>
      <w:r>
        <w:rPr>
          <w:spacing w:val="-12"/>
          <w:w w:val="105"/>
        </w:rPr>
        <w:t xml:space="preserve"> </w:t>
      </w:r>
      <w:r>
        <w:rPr>
          <w:w w:val="105"/>
        </w:rPr>
        <w:t>prevê</w:t>
      </w:r>
      <w:r>
        <w:rPr>
          <w:spacing w:val="-13"/>
          <w:w w:val="105"/>
        </w:rPr>
        <w:t xml:space="preserve"> </w:t>
      </w:r>
      <w:r>
        <w:rPr>
          <w:w w:val="105"/>
        </w:rPr>
        <w:t>que</w:t>
      </w:r>
      <w:r>
        <w:rPr>
          <w:spacing w:val="-12"/>
          <w:w w:val="105"/>
        </w:rPr>
        <w:t xml:space="preserve"> </w:t>
      </w:r>
      <w:r>
        <w:rPr>
          <w:w w:val="105"/>
        </w:rPr>
        <w:t>em</w:t>
      </w:r>
      <w:r>
        <w:rPr>
          <w:spacing w:val="-13"/>
          <w:w w:val="105"/>
        </w:rPr>
        <w:t xml:space="preserve"> </w:t>
      </w:r>
      <w:r>
        <w:rPr>
          <w:w w:val="105"/>
        </w:rPr>
        <w:t>caso</w:t>
      </w:r>
      <w:r>
        <w:rPr>
          <w:spacing w:val="-12"/>
          <w:w w:val="105"/>
        </w:rPr>
        <w:t xml:space="preserve"> </w:t>
      </w:r>
      <w:r>
        <w:rPr>
          <w:w w:val="105"/>
        </w:rPr>
        <w:t>de</w:t>
      </w:r>
      <w:r>
        <w:rPr>
          <w:spacing w:val="-13"/>
          <w:w w:val="105"/>
        </w:rPr>
        <w:t xml:space="preserve"> </w:t>
      </w:r>
      <w:r>
        <w:rPr>
          <w:w w:val="105"/>
        </w:rPr>
        <w:t>atraso</w:t>
      </w:r>
      <w:r>
        <w:rPr>
          <w:spacing w:val="-12"/>
          <w:w w:val="105"/>
        </w:rPr>
        <w:t xml:space="preserve"> </w:t>
      </w:r>
      <w:r>
        <w:rPr>
          <w:w w:val="105"/>
        </w:rPr>
        <w:t>das</w:t>
      </w:r>
      <w:r>
        <w:rPr>
          <w:spacing w:val="-11"/>
          <w:w w:val="105"/>
        </w:rPr>
        <w:t xml:space="preserve"> </w:t>
      </w:r>
      <w:r>
        <w:rPr>
          <w:w w:val="105"/>
        </w:rPr>
        <w:t>parcelas</w:t>
      </w:r>
      <w:r>
        <w:rPr>
          <w:spacing w:val="-14"/>
          <w:w w:val="105"/>
        </w:rPr>
        <w:t xml:space="preserve"> </w:t>
      </w:r>
      <w:r>
        <w:rPr>
          <w:w w:val="105"/>
        </w:rPr>
        <w:t>semestrais</w:t>
      </w:r>
      <w:r>
        <w:rPr>
          <w:spacing w:val="-12"/>
          <w:w w:val="105"/>
        </w:rPr>
        <w:t xml:space="preserve"> </w:t>
      </w:r>
      <w:r>
        <w:rPr>
          <w:w w:val="105"/>
        </w:rPr>
        <w:t>incidirão</w:t>
      </w:r>
      <w:r>
        <w:rPr>
          <w:spacing w:val="-11"/>
          <w:w w:val="105"/>
        </w:rPr>
        <w:t xml:space="preserve"> </w:t>
      </w:r>
      <w:r>
        <w:rPr>
          <w:w w:val="105"/>
        </w:rPr>
        <w:t>juros</w:t>
      </w:r>
      <w:r>
        <w:rPr>
          <w:spacing w:val="-11"/>
          <w:w w:val="105"/>
        </w:rPr>
        <w:t xml:space="preserve"> </w:t>
      </w:r>
      <w:r>
        <w:rPr>
          <w:w w:val="105"/>
        </w:rPr>
        <w:t>por</w:t>
      </w:r>
      <w:r>
        <w:rPr>
          <w:spacing w:val="-10"/>
          <w:w w:val="105"/>
        </w:rPr>
        <w:t xml:space="preserve"> </w:t>
      </w:r>
      <w:r>
        <w:rPr>
          <w:w w:val="105"/>
        </w:rPr>
        <w:t>atraso</w:t>
      </w:r>
      <w:r>
        <w:rPr>
          <w:spacing w:val="-13"/>
          <w:w w:val="105"/>
        </w:rPr>
        <w:t xml:space="preserve"> </w:t>
      </w:r>
      <w:r>
        <w:rPr>
          <w:w w:val="105"/>
        </w:rPr>
        <w:t xml:space="preserve">de </w:t>
      </w:r>
      <w:r>
        <w:t>1%</w:t>
      </w:r>
      <w:r>
        <w:rPr>
          <w:spacing w:val="-3"/>
        </w:rPr>
        <w:t xml:space="preserve"> </w:t>
      </w:r>
      <w:r>
        <w:t>(um</w:t>
      </w:r>
      <w:r>
        <w:rPr>
          <w:spacing w:val="-4"/>
        </w:rPr>
        <w:t xml:space="preserve"> </w:t>
      </w:r>
      <w:r>
        <w:t>por</w:t>
      </w:r>
      <w:r>
        <w:rPr>
          <w:spacing w:val="-4"/>
        </w:rPr>
        <w:t xml:space="preserve"> </w:t>
      </w:r>
      <w:r>
        <w:t>cento)</w:t>
      </w:r>
      <w:r>
        <w:rPr>
          <w:spacing w:val="-8"/>
        </w:rPr>
        <w:t xml:space="preserve"> </w:t>
      </w:r>
      <w:r>
        <w:t>ao</w:t>
      </w:r>
      <w:r>
        <w:rPr>
          <w:spacing w:val="-8"/>
        </w:rPr>
        <w:t xml:space="preserve"> </w:t>
      </w:r>
      <w:r>
        <w:t>mês</w:t>
      </w:r>
      <w:r>
        <w:rPr>
          <w:spacing w:val="-6"/>
        </w:rPr>
        <w:t xml:space="preserve"> </w:t>
      </w:r>
      <w:r>
        <w:rPr>
          <w:rFonts w:ascii="Arial" w:hAnsi="Arial"/>
          <w:i/>
        </w:rPr>
        <w:t>pro</w:t>
      </w:r>
      <w:r>
        <w:rPr>
          <w:rFonts w:ascii="Arial" w:hAnsi="Arial"/>
          <w:i/>
          <w:spacing w:val="-8"/>
        </w:rPr>
        <w:t xml:space="preserve"> </w:t>
      </w:r>
      <w:r>
        <w:rPr>
          <w:rFonts w:ascii="Arial" w:hAnsi="Arial"/>
          <w:i/>
        </w:rPr>
        <w:t>rata</w:t>
      </w:r>
      <w:r>
        <w:rPr>
          <w:rFonts w:ascii="Arial" w:hAnsi="Arial"/>
          <w:i/>
          <w:spacing w:val="-8"/>
        </w:rPr>
        <w:t xml:space="preserve"> </w:t>
      </w:r>
      <w:r>
        <w:rPr>
          <w:rFonts w:ascii="Arial" w:hAnsi="Arial"/>
          <w:i/>
        </w:rPr>
        <w:t>die</w:t>
      </w:r>
      <w:r>
        <w:rPr>
          <w:rFonts w:ascii="Arial" w:hAnsi="Arial"/>
          <w:i/>
          <w:spacing w:val="-7"/>
        </w:rPr>
        <w:t xml:space="preserve"> </w:t>
      </w:r>
      <w:r>
        <w:t>incorridos</w:t>
      </w:r>
      <w:r>
        <w:rPr>
          <w:spacing w:val="-5"/>
        </w:rPr>
        <w:t xml:space="preserve"> </w:t>
      </w:r>
      <w:r>
        <w:t>no</w:t>
      </w:r>
      <w:r>
        <w:rPr>
          <w:spacing w:val="-5"/>
        </w:rPr>
        <w:t xml:space="preserve"> </w:t>
      </w:r>
      <w:r>
        <w:t>período</w:t>
      </w:r>
      <w:r>
        <w:rPr>
          <w:spacing w:val="-4"/>
        </w:rPr>
        <w:t xml:space="preserve"> </w:t>
      </w:r>
      <w:r>
        <w:t>e</w:t>
      </w:r>
      <w:r>
        <w:rPr>
          <w:spacing w:val="-9"/>
        </w:rPr>
        <w:t xml:space="preserve"> </w:t>
      </w:r>
      <w:r>
        <w:t>de</w:t>
      </w:r>
      <w:r>
        <w:rPr>
          <w:spacing w:val="-8"/>
        </w:rPr>
        <w:t xml:space="preserve"> </w:t>
      </w:r>
      <w:r>
        <w:t>multa</w:t>
      </w:r>
      <w:r>
        <w:rPr>
          <w:spacing w:val="-5"/>
        </w:rPr>
        <w:t xml:space="preserve"> </w:t>
      </w:r>
      <w:r>
        <w:t>de</w:t>
      </w:r>
      <w:r>
        <w:rPr>
          <w:spacing w:val="-7"/>
        </w:rPr>
        <w:t xml:space="preserve"> </w:t>
      </w:r>
      <w:r>
        <w:t>2%</w:t>
      </w:r>
      <w:r>
        <w:rPr>
          <w:spacing w:val="-8"/>
        </w:rPr>
        <w:t xml:space="preserve"> </w:t>
      </w:r>
      <w:r>
        <w:t>(dois</w:t>
      </w:r>
      <w:r>
        <w:rPr>
          <w:spacing w:val="-5"/>
        </w:rPr>
        <w:t xml:space="preserve"> </w:t>
      </w:r>
      <w:r>
        <w:t>por</w:t>
      </w:r>
      <w:r>
        <w:rPr>
          <w:spacing w:val="-8"/>
        </w:rPr>
        <w:t xml:space="preserve"> </w:t>
      </w:r>
      <w:r>
        <w:t>cento)</w:t>
      </w:r>
      <w:r>
        <w:rPr>
          <w:spacing w:val="-4"/>
        </w:rPr>
        <w:t xml:space="preserve"> </w:t>
      </w:r>
      <w:r>
        <w:t>sobre o</w:t>
      </w:r>
      <w:r>
        <w:rPr>
          <w:spacing w:val="-13"/>
        </w:rPr>
        <w:t xml:space="preserve"> </w:t>
      </w:r>
      <w:r>
        <w:t>valor</w:t>
      </w:r>
      <w:r>
        <w:rPr>
          <w:spacing w:val="-12"/>
        </w:rPr>
        <w:t xml:space="preserve"> </w:t>
      </w:r>
      <w:r>
        <w:t>em</w:t>
      </w:r>
      <w:r>
        <w:rPr>
          <w:spacing w:val="-11"/>
        </w:rPr>
        <w:t xml:space="preserve"> </w:t>
      </w:r>
      <w:r>
        <w:t>atraso.</w:t>
      </w:r>
      <w:r>
        <w:rPr>
          <w:spacing w:val="-11"/>
        </w:rPr>
        <w:t xml:space="preserve"> </w:t>
      </w:r>
      <w:r>
        <w:t>Havendo</w:t>
      </w:r>
      <w:r>
        <w:rPr>
          <w:spacing w:val="-11"/>
        </w:rPr>
        <w:t xml:space="preserve"> </w:t>
      </w:r>
      <w:r>
        <w:t>atraso</w:t>
      </w:r>
      <w:r>
        <w:rPr>
          <w:spacing w:val="-11"/>
        </w:rPr>
        <w:t xml:space="preserve"> </w:t>
      </w:r>
      <w:r>
        <w:t>no</w:t>
      </w:r>
      <w:r>
        <w:rPr>
          <w:spacing w:val="-11"/>
        </w:rPr>
        <w:t xml:space="preserve"> </w:t>
      </w:r>
      <w:r>
        <w:t>pagamento</w:t>
      </w:r>
      <w:r>
        <w:rPr>
          <w:spacing w:val="-13"/>
        </w:rPr>
        <w:t xml:space="preserve"> </w:t>
      </w:r>
      <w:r>
        <w:t>de</w:t>
      </w:r>
      <w:r>
        <w:rPr>
          <w:spacing w:val="-11"/>
        </w:rPr>
        <w:t xml:space="preserve"> </w:t>
      </w:r>
      <w:r>
        <w:t>uma</w:t>
      </w:r>
      <w:r>
        <w:rPr>
          <w:spacing w:val="-13"/>
        </w:rPr>
        <w:t xml:space="preserve"> </w:t>
      </w:r>
      <w:r>
        <w:t>prestação</w:t>
      </w:r>
      <w:r>
        <w:rPr>
          <w:spacing w:val="-11"/>
        </w:rPr>
        <w:t xml:space="preserve"> </w:t>
      </w:r>
      <w:r>
        <w:t>por</w:t>
      </w:r>
      <w:r>
        <w:rPr>
          <w:spacing w:val="-11"/>
        </w:rPr>
        <w:t xml:space="preserve"> </w:t>
      </w:r>
      <w:r>
        <w:t>prazo</w:t>
      </w:r>
      <w:r>
        <w:rPr>
          <w:spacing w:val="-11"/>
        </w:rPr>
        <w:t xml:space="preserve"> </w:t>
      </w:r>
      <w:r>
        <w:t>superior</w:t>
      </w:r>
      <w:r>
        <w:rPr>
          <w:spacing w:val="-13"/>
        </w:rPr>
        <w:t xml:space="preserve"> </w:t>
      </w:r>
      <w:r>
        <w:t>a</w:t>
      </w:r>
      <w:r>
        <w:rPr>
          <w:spacing w:val="-13"/>
        </w:rPr>
        <w:t xml:space="preserve"> </w:t>
      </w:r>
      <w:r>
        <w:t>45</w:t>
      </w:r>
      <w:r>
        <w:rPr>
          <w:spacing w:val="-15"/>
        </w:rPr>
        <w:t xml:space="preserve"> </w:t>
      </w:r>
      <w:r>
        <w:t xml:space="preserve">(quarenta e cinco) dias, reputar-se-á descumprido o presente acordo, hipótese em que ocorrerá o vencimento </w:t>
      </w:r>
      <w:r>
        <w:rPr>
          <w:w w:val="105"/>
        </w:rPr>
        <w:t xml:space="preserve">antecipado de toda a dívida, podendo a FUNCEF exigir o integral cumprimento da obrigação, acrescidos dos 10% (dez por cento) previstos no artigo 523 do CPC-Código do Processo Civil e </w:t>
      </w:r>
      <w:r>
        <w:t xml:space="preserve">demais despesas que se façam necessárias à cobrança da dívida remanescente, inclusive honorários </w:t>
      </w:r>
      <w:r>
        <w:rPr>
          <w:w w:val="105"/>
        </w:rPr>
        <w:t>advocatícios.</w:t>
      </w:r>
      <w:r>
        <w:rPr>
          <w:spacing w:val="-1"/>
          <w:w w:val="105"/>
        </w:rPr>
        <w:t xml:space="preserve"> </w:t>
      </w:r>
      <w:r>
        <w:rPr>
          <w:w w:val="105"/>
        </w:rPr>
        <w:t>Em</w:t>
      </w:r>
      <w:r>
        <w:rPr>
          <w:spacing w:val="-3"/>
          <w:w w:val="105"/>
        </w:rPr>
        <w:t xml:space="preserve"> </w:t>
      </w:r>
      <w:r>
        <w:rPr>
          <w:w w:val="105"/>
        </w:rPr>
        <w:t>dezembro</w:t>
      </w:r>
      <w:r>
        <w:rPr>
          <w:spacing w:val="-5"/>
          <w:w w:val="105"/>
        </w:rPr>
        <w:t xml:space="preserve"> </w:t>
      </w:r>
      <w:r>
        <w:rPr>
          <w:w w:val="105"/>
        </w:rPr>
        <w:t>de</w:t>
      </w:r>
      <w:r>
        <w:rPr>
          <w:spacing w:val="-5"/>
          <w:w w:val="105"/>
        </w:rPr>
        <w:t xml:space="preserve"> </w:t>
      </w:r>
      <w:r>
        <w:rPr>
          <w:w w:val="105"/>
        </w:rPr>
        <w:t>2025,</w:t>
      </w:r>
      <w:r>
        <w:rPr>
          <w:spacing w:val="-5"/>
          <w:w w:val="105"/>
        </w:rPr>
        <w:t xml:space="preserve"> </w:t>
      </w:r>
      <w:r>
        <w:rPr>
          <w:w w:val="105"/>
        </w:rPr>
        <w:t>a</w:t>
      </w:r>
      <w:r>
        <w:rPr>
          <w:spacing w:val="-1"/>
          <w:w w:val="105"/>
        </w:rPr>
        <w:t xml:space="preserve"> </w:t>
      </w:r>
      <w:r>
        <w:rPr>
          <w:w w:val="105"/>
        </w:rPr>
        <w:t>Telebras</w:t>
      </w:r>
      <w:r>
        <w:rPr>
          <w:spacing w:val="-3"/>
          <w:w w:val="105"/>
        </w:rPr>
        <w:t xml:space="preserve"> </w:t>
      </w:r>
      <w:r>
        <w:rPr>
          <w:w w:val="105"/>
        </w:rPr>
        <w:t>realizou</w:t>
      </w:r>
      <w:r>
        <w:rPr>
          <w:spacing w:val="-3"/>
          <w:w w:val="105"/>
        </w:rPr>
        <w:t xml:space="preserve"> </w:t>
      </w:r>
      <w:r>
        <w:rPr>
          <w:w w:val="105"/>
        </w:rPr>
        <w:t>a</w:t>
      </w:r>
      <w:r>
        <w:rPr>
          <w:spacing w:val="-1"/>
          <w:w w:val="105"/>
        </w:rPr>
        <w:t xml:space="preserve"> </w:t>
      </w:r>
      <w:r>
        <w:rPr>
          <w:w w:val="105"/>
        </w:rPr>
        <w:t>quitação</w:t>
      </w:r>
      <w:r>
        <w:rPr>
          <w:spacing w:val="-5"/>
          <w:w w:val="105"/>
        </w:rPr>
        <w:t xml:space="preserve"> </w:t>
      </w:r>
      <w:r>
        <w:rPr>
          <w:w w:val="105"/>
        </w:rPr>
        <w:t>da</w:t>
      </w:r>
      <w:r>
        <w:rPr>
          <w:spacing w:val="-5"/>
          <w:w w:val="105"/>
        </w:rPr>
        <w:t xml:space="preserve"> </w:t>
      </w:r>
      <w:r>
        <w:rPr>
          <w:w w:val="105"/>
        </w:rPr>
        <w:t>dívida.</w:t>
      </w:r>
    </w:p>
    <w:p w14:paraId="16C540FF" w14:textId="77777777" w:rsidR="002C6574" w:rsidRDefault="00000000">
      <w:pPr>
        <w:numPr>
          <w:ilvl w:val="0"/>
          <w:numId w:val="54"/>
        </w:numPr>
        <w:tabs>
          <w:tab w:val="left" w:pos="995"/>
        </w:tabs>
        <w:spacing w:before="238"/>
        <w:ind w:left="995" w:hanging="852"/>
        <w:rPr>
          <w:rFonts w:ascii="Arial" w:hAnsi="Arial"/>
          <w:b/>
        </w:rPr>
      </w:pPr>
      <w:r>
        <w:rPr>
          <w:rFonts w:ascii="Arial" w:hAnsi="Arial"/>
          <w:b/>
        </w:rPr>
        <w:t>RECURSOS</w:t>
      </w:r>
      <w:r>
        <w:rPr>
          <w:rFonts w:ascii="Arial" w:hAnsi="Arial"/>
          <w:b/>
          <w:spacing w:val="-7"/>
        </w:rPr>
        <w:t xml:space="preserve"> </w:t>
      </w:r>
      <w:r>
        <w:rPr>
          <w:rFonts w:ascii="Arial" w:hAnsi="Arial"/>
          <w:b/>
          <w:spacing w:val="-2"/>
        </w:rPr>
        <w:t>CAPITALIZÁVEIS</w:t>
      </w:r>
    </w:p>
    <w:p w14:paraId="285B3CEC" w14:textId="77777777" w:rsidR="002C6574" w:rsidRDefault="00000000">
      <w:pPr>
        <w:pStyle w:val="Corpodetexto"/>
        <w:spacing w:before="167"/>
        <w:ind w:left="143" w:right="702"/>
        <w:jc w:val="both"/>
      </w:pPr>
      <w:r>
        <w:t>O saldo de R$ 1.951.045 em 31 de dezembro de 2025 (R$ 1.831.921 em 31 de dezembro de 2024), atualizado pela Taxa SELIC e classificado no passivo não circulante, tem como origem os valores aportados pela União na forma de Adiantamento para Futuro Aumento de Capital (AFAC) e será utilizado em futuro aumento de capital da Telebras em favor da União, conforme sua orientação.</w:t>
      </w:r>
    </w:p>
    <w:p w14:paraId="4F3CEBBF" w14:textId="77777777" w:rsidR="002C6574" w:rsidRDefault="002C6574">
      <w:pPr>
        <w:pStyle w:val="Corpodetexto"/>
        <w:spacing w:before="8"/>
      </w:pPr>
    </w:p>
    <w:p w14:paraId="6F2CD932" w14:textId="77777777" w:rsidR="002C6574" w:rsidRDefault="00000000">
      <w:pPr>
        <w:numPr>
          <w:ilvl w:val="1"/>
          <w:numId w:val="33"/>
        </w:numPr>
        <w:tabs>
          <w:tab w:val="left" w:pos="995"/>
        </w:tabs>
        <w:rPr>
          <w:rFonts w:ascii="Arial" w:hAnsi="Arial"/>
          <w:b/>
        </w:rPr>
      </w:pPr>
      <w:r>
        <w:rPr>
          <w:rFonts w:ascii="Arial" w:hAnsi="Arial"/>
          <w:b/>
        </w:rPr>
        <w:t>Composição</w:t>
      </w:r>
      <w:r>
        <w:rPr>
          <w:rFonts w:ascii="Arial" w:hAnsi="Arial"/>
          <w:b/>
          <w:spacing w:val="-2"/>
        </w:rPr>
        <w:t xml:space="preserve"> </w:t>
      </w:r>
      <w:r>
        <w:rPr>
          <w:rFonts w:ascii="Arial" w:hAnsi="Arial"/>
          <w:b/>
        </w:rPr>
        <w:t>do</w:t>
      </w:r>
      <w:r>
        <w:rPr>
          <w:rFonts w:ascii="Arial" w:hAnsi="Arial"/>
          <w:b/>
          <w:spacing w:val="-4"/>
        </w:rPr>
        <w:t xml:space="preserve"> </w:t>
      </w:r>
      <w:r>
        <w:rPr>
          <w:rFonts w:ascii="Arial" w:hAnsi="Arial"/>
          <w:b/>
        </w:rPr>
        <w:t>saldo</w:t>
      </w:r>
      <w:r>
        <w:rPr>
          <w:rFonts w:ascii="Arial" w:hAnsi="Arial"/>
          <w:b/>
          <w:spacing w:val="-5"/>
        </w:rPr>
        <w:t xml:space="preserve"> </w:t>
      </w:r>
      <w:r>
        <w:rPr>
          <w:rFonts w:ascii="Arial" w:hAnsi="Arial"/>
          <w:b/>
        </w:rPr>
        <w:t>dos recursos</w:t>
      </w:r>
      <w:r>
        <w:rPr>
          <w:rFonts w:ascii="Arial" w:hAnsi="Arial"/>
          <w:b/>
          <w:spacing w:val="-5"/>
        </w:rPr>
        <w:t xml:space="preserve"> </w:t>
      </w:r>
      <w:r>
        <w:rPr>
          <w:rFonts w:ascii="Arial" w:hAnsi="Arial"/>
          <w:b/>
          <w:spacing w:val="-2"/>
        </w:rPr>
        <w:t>capitalizáveis</w:t>
      </w:r>
    </w:p>
    <w:p w14:paraId="26955910" w14:textId="77777777" w:rsidR="002C6574" w:rsidRDefault="00000000">
      <w:pPr>
        <w:pStyle w:val="Corpodetexto"/>
        <w:spacing w:before="165"/>
        <w:ind w:left="143" w:right="703"/>
        <w:jc w:val="both"/>
      </w:pPr>
      <w:r>
        <w:t>O</w:t>
      </w:r>
      <w:r>
        <w:rPr>
          <w:spacing w:val="-4"/>
        </w:rPr>
        <w:t xml:space="preserve"> </w:t>
      </w:r>
      <w:r>
        <w:t>quadro</w:t>
      </w:r>
      <w:r>
        <w:rPr>
          <w:spacing w:val="-5"/>
        </w:rPr>
        <w:t xml:space="preserve"> </w:t>
      </w:r>
      <w:r>
        <w:t>a</w:t>
      </w:r>
      <w:r>
        <w:rPr>
          <w:spacing w:val="-4"/>
        </w:rPr>
        <w:t xml:space="preserve"> </w:t>
      </w:r>
      <w:r>
        <w:t>seguir</w:t>
      </w:r>
      <w:r>
        <w:rPr>
          <w:spacing w:val="-2"/>
        </w:rPr>
        <w:t xml:space="preserve"> </w:t>
      </w:r>
      <w:r>
        <w:t>apresenta</w:t>
      </w:r>
      <w:r>
        <w:rPr>
          <w:spacing w:val="-4"/>
        </w:rPr>
        <w:t xml:space="preserve"> </w:t>
      </w:r>
      <w:r>
        <w:t>os</w:t>
      </w:r>
      <w:r>
        <w:rPr>
          <w:spacing w:val="-6"/>
        </w:rPr>
        <w:t xml:space="preserve"> </w:t>
      </w:r>
      <w:r>
        <w:t>valores</w:t>
      </w:r>
      <w:r>
        <w:rPr>
          <w:spacing w:val="-4"/>
        </w:rPr>
        <w:t xml:space="preserve"> </w:t>
      </w:r>
      <w:r>
        <w:t>aportados</w:t>
      </w:r>
      <w:r>
        <w:rPr>
          <w:spacing w:val="-4"/>
        </w:rPr>
        <w:t xml:space="preserve"> </w:t>
      </w:r>
      <w:r>
        <w:t>pelo</w:t>
      </w:r>
      <w:r>
        <w:rPr>
          <w:spacing w:val="-5"/>
        </w:rPr>
        <w:t xml:space="preserve"> </w:t>
      </w:r>
      <w:r>
        <w:t>acionista</w:t>
      </w:r>
      <w:r>
        <w:rPr>
          <w:spacing w:val="-5"/>
        </w:rPr>
        <w:t xml:space="preserve"> </w:t>
      </w:r>
      <w:r>
        <w:t>controlador</w:t>
      </w:r>
      <w:r>
        <w:rPr>
          <w:spacing w:val="-2"/>
        </w:rPr>
        <w:t xml:space="preserve"> </w:t>
      </w:r>
      <w:r>
        <w:t>(a</w:t>
      </w:r>
      <w:r>
        <w:rPr>
          <w:spacing w:val="-7"/>
        </w:rPr>
        <w:t xml:space="preserve"> </w:t>
      </w:r>
      <w:r>
        <w:t>União), bem</w:t>
      </w:r>
      <w:r>
        <w:rPr>
          <w:spacing w:val="-4"/>
        </w:rPr>
        <w:t xml:space="preserve"> </w:t>
      </w:r>
      <w:r>
        <w:t>como</w:t>
      </w:r>
      <w:r>
        <w:rPr>
          <w:spacing w:val="-7"/>
        </w:rPr>
        <w:t xml:space="preserve"> </w:t>
      </w:r>
      <w:r>
        <w:t>os valores recebidos dos acionistas não controladores relativos ao exercício de preferência nos processos de capitalização dos AFAC realizados pela Companhia. Estes valores serão objeto de futuras capitalizações assim que aprovados pelos Órgãos controladores.</w:t>
      </w:r>
    </w:p>
    <w:p w14:paraId="4A868511" w14:textId="77777777" w:rsidR="002C6574" w:rsidRDefault="002C6574">
      <w:pPr>
        <w:pStyle w:val="Corpodetexto"/>
        <w:spacing w:before="44"/>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
        <w:gridCol w:w="2969"/>
        <w:gridCol w:w="2179"/>
        <w:gridCol w:w="1303"/>
        <w:gridCol w:w="2301"/>
      </w:tblGrid>
      <w:tr w:rsidR="002C6574" w14:paraId="19A61C6E" w14:textId="77777777">
        <w:trPr>
          <w:trHeight w:val="227"/>
        </w:trPr>
        <w:tc>
          <w:tcPr>
            <w:tcW w:w="1018" w:type="dxa"/>
            <w:tcBorders>
              <w:bottom w:val="single" w:sz="8" w:space="0" w:color="000000"/>
            </w:tcBorders>
            <w:shd w:val="clear" w:color="auto" w:fill="BFBFBF"/>
          </w:tcPr>
          <w:p w14:paraId="25ABB73E" w14:textId="77777777" w:rsidR="002C6574" w:rsidRDefault="00000000">
            <w:pPr>
              <w:pStyle w:val="TableParagraph"/>
              <w:spacing w:before="20" w:line="187" w:lineRule="exact"/>
              <w:ind w:left="330"/>
              <w:jc w:val="left"/>
              <w:rPr>
                <w:rFonts w:ascii="Arial"/>
                <w:b/>
                <w:sz w:val="18"/>
              </w:rPr>
            </w:pPr>
            <w:r>
              <w:rPr>
                <w:rFonts w:ascii="Arial"/>
                <w:b/>
                <w:spacing w:val="-5"/>
                <w:sz w:val="18"/>
              </w:rPr>
              <w:t>Ano</w:t>
            </w:r>
          </w:p>
        </w:tc>
        <w:tc>
          <w:tcPr>
            <w:tcW w:w="2969" w:type="dxa"/>
            <w:tcBorders>
              <w:bottom w:val="single" w:sz="8" w:space="0" w:color="000000"/>
            </w:tcBorders>
            <w:shd w:val="clear" w:color="auto" w:fill="BFBFBF"/>
          </w:tcPr>
          <w:p w14:paraId="47A185BD" w14:textId="77777777" w:rsidR="002C6574" w:rsidRDefault="00000000">
            <w:pPr>
              <w:pStyle w:val="TableParagraph"/>
              <w:spacing w:before="20" w:line="187" w:lineRule="exact"/>
              <w:ind w:left="587"/>
              <w:jc w:val="left"/>
              <w:rPr>
                <w:rFonts w:ascii="Arial" w:hAnsi="Arial"/>
                <w:b/>
                <w:sz w:val="18"/>
              </w:rPr>
            </w:pPr>
            <w:r>
              <w:rPr>
                <w:rFonts w:ascii="Arial" w:hAnsi="Arial"/>
                <w:b/>
                <w:sz w:val="18"/>
              </w:rPr>
              <w:t>Mês</w:t>
            </w:r>
            <w:r>
              <w:rPr>
                <w:rFonts w:ascii="Arial" w:hAnsi="Arial"/>
                <w:b/>
                <w:spacing w:val="1"/>
                <w:sz w:val="18"/>
              </w:rPr>
              <w:t xml:space="preserve"> </w:t>
            </w:r>
            <w:r>
              <w:rPr>
                <w:rFonts w:ascii="Arial" w:hAnsi="Arial"/>
                <w:b/>
                <w:sz w:val="18"/>
              </w:rPr>
              <w:t xml:space="preserve">de </w:t>
            </w:r>
            <w:r>
              <w:rPr>
                <w:rFonts w:ascii="Arial" w:hAnsi="Arial"/>
                <w:b/>
                <w:spacing w:val="-2"/>
                <w:sz w:val="18"/>
              </w:rPr>
              <w:t>Recebimento</w:t>
            </w:r>
          </w:p>
        </w:tc>
        <w:tc>
          <w:tcPr>
            <w:tcW w:w="2179" w:type="dxa"/>
            <w:tcBorders>
              <w:bottom w:val="single" w:sz="8" w:space="0" w:color="000000"/>
            </w:tcBorders>
            <w:shd w:val="clear" w:color="auto" w:fill="BFBFBF"/>
          </w:tcPr>
          <w:p w14:paraId="1A9470B0" w14:textId="77777777" w:rsidR="002C6574" w:rsidRDefault="00000000">
            <w:pPr>
              <w:pStyle w:val="TableParagraph"/>
              <w:spacing w:before="20" w:line="187" w:lineRule="exact"/>
              <w:ind w:left="431"/>
              <w:jc w:val="left"/>
              <w:rPr>
                <w:rFonts w:ascii="Arial"/>
                <w:b/>
                <w:sz w:val="18"/>
              </w:rPr>
            </w:pPr>
            <w:r>
              <w:rPr>
                <w:rFonts w:ascii="Arial"/>
                <w:b/>
                <w:sz w:val="18"/>
              </w:rPr>
              <w:t>Valor</w:t>
            </w:r>
            <w:r>
              <w:rPr>
                <w:rFonts w:ascii="Arial"/>
                <w:b/>
                <w:spacing w:val="-1"/>
                <w:sz w:val="18"/>
              </w:rPr>
              <w:t xml:space="preserve"> </w:t>
            </w:r>
            <w:r>
              <w:rPr>
                <w:rFonts w:ascii="Arial"/>
                <w:b/>
                <w:spacing w:val="-2"/>
                <w:sz w:val="18"/>
              </w:rPr>
              <w:t>Recebido</w:t>
            </w:r>
          </w:p>
        </w:tc>
        <w:tc>
          <w:tcPr>
            <w:tcW w:w="1303" w:type="dxa"/>
            <w:tcBorders>
              <w:bottom w:val="single" w:sz="8" w:space="0" w:color="000000"/>
            </w:tcBorders>
            <w:shd w:val="clear" w:color="auto" w:fill="BFBFBF"/>
          </w:tcPr>
          <w:p w14:paraId="4BB3DF49" w14:textId="77777777" w:rsidR="002C6574" w:rsidRDefault="00000000">
            <w:pPr>
              <w:pStyle w:val="TableParagraph"/>
              <w:spacing w:before="20" w:line="187" w:lineRule="exact"/>
              <w:ind w:left="294"/>
              <w:jc w:val="left"/>
              <w:rPr>
                <w:rFonts w:ascii="Arial"/>
                <w:b/>
                <w:sz w:val="18"/>
              </w:rPr>
            </w:pPr>
            <w:r>
              <w:rPr>
                <w:rFonts w:ascii="Arial"/>
                <w:b/>
                <w:sz w:val="18"/>
              </w:rPr>
              <w:t xml:space="preserve">Juros </w:t>
            </w:r>
            <w:r>
              <w:rPr>
                <w:rFonts w:ascii="Arial"/>
                <w:b/>
                <w:spacing w:val="-5"/>
                <w:sz w:val="18"/>
              </w:rPr>
              <w:t>(i)</w:t>
            </w:r>
          </w:p>
        </w:tc>
        <w:tc>
          <w:tcPr>
            <w:tcW w:w="2301" w:type="dxa"/>
            <w:tcBorders>
              <w:bottom w:val="single" w:sz="8" w:space="0" w:color="000000"/>
            </w:tcBorders>
            <w:shd w:val="clear" w:color="auto" w:fill="BFBFBF"/>
          </w:tcPr>
          <w:p w14:paraId="4E89DB12" w14:textId="77777777" w:rsidR="002C6574" w:rsidRDefault="00000000">
            <w:pPr>
              <w:pStyle w:val="TableParagraph"/>
              <w:spacing w:before="20" w:line="187" w:lineRule="exact"/>
              <w:ind w:left="443"/>
              <w:jc w:val="left"/>
              <w:rPr>
                <w:rFonts w:ascii="Arial"/>
                <w:b/>
                <w:sz w:val="18"/>
              </w:rPr>
            </w:pPr>
            <w:r>
              <w:rPr>
                <w:rFonts w:ascii="Arial"/>
                <w:b/>
                <w:sz w:val="18"/>
              </w:rPr>
              <w:t>Valor</w:t>
            </w:r>
            <w:r>
              <w:rPr>
                <w:rFonts w:ascii="Arial"/>
                <w:b/>
                <w:spacing w:val="1"/>
                <w:sz w:val="18"/>
              </w:rPr>
              <w:t xml:space="preserve"> </w:t>
            </w:r>
            <w:r>
              <w:rPr>
                <w:rFonts w:ascii="Arial"/>
                <w:b/>
                <w:spacing w:val="-2"/>
                <w:sz w:val="18"/>
              </w:rPr>
              <w:t>Atualizado</w:t>
            </w:r>
          </w:p>
        </w:tc>
      </w:tr>
      <w:tr w:rsidR="002C6574" w14:paraId="11FD3070" w14:textId="77777777">
        <w:trPr>
          <w:trHeight w:val="222"/>
        </w:trPr>
        <w:tc>
          <w:tcPr>
            <w:tcW w:w="1018" w:type="dxa"/>
            <w:vMerge w:val="restart"/>
            <w:tcBorders>
              <w:top w:val="single" w:sz="8" w:space="0" w:color="000000"/>
              <w:bottom w:val="single" w:sz="8" w:space="0" w:color="000000"/>
            </w:tcBorders>
          </w:tcPr>
          <w:p w14:paraId="149D681A" w14:textId="77777777" w:rsidR="002C6574" w:rsidRDefault="002C6574">
            <w:pPr>
              <w:pStyle w:val="TableParagraph"/>
              <w:spacing w:before="16"/>
              <w:jc w:val="left"/>
              <w:rPr>
                <w:sz w:val="18"/>
              </w:rPr>
            </w:pPr>
          </w:p>
          <w:p w14:paraId="75AF7380" w14:textId="77777777" w:rsidR="002C6574" w:rsidRDefault="00000000">
            <w:pPr>
              <w:pStyle w:val="TableParagraph"/>
              <w:ind w:left="307"/>
              <w:jc w:val="left"/>
              <w:rPr>
                <w:rFonts w:ascii="Arial"/>
                <w:b/>
                <w:sz w:val="18"/>
              </w:rPr>
            </w:pPr>
            <w:r>
              <w:rPr>
                <w:rFonts w:ascii="Arial"/>
                <w:b/>
                <w:spacing w:val="-4"/>
                <w:sz w:val="18"/>
              </w:rPr>
              <w:t>2019</w:t>
            </w:r>
          </w:p>
        </w:tc>
        <w:tc>
          <w:tcPr>
            <w:tcW w:w="2969" w:type="dxa"/>
            <w:tcBorders>
              <w:top w:val="single" w:sz="8" w:space="0" w:color="000000"/>
            </w:tcBorders>
          </w:tcPr>
          <w:p w14:paraId="66EEEF55" w14:textId="77777777" w:rsidR="002C6574" w:rsidRDefault="00000000">
            <w:pPr>
              <w:pStyle w:val="TableParagraph"/>
              <w:spacing w:line="202" w:lineRule="exact"/>
              <w:ind w:left="69"/>
              <w:jc w:val="left"/>
              <w:rPr>
                <w:sz w:val="18"/>
              </w:rPr>
            </w:pPr>
            <w:r>
              <w:rPr>
                <w:spacing w:val="-2"/>
                <w:sz w:val="18"/>
              </w:rPr>
              <w:t>Março</w:t>
            </w:r>
          </w:p>
        </w:tc>
        <w:tc>
          <w:tcPr>
            <w:tcW w:w="2179" w:type="dxa"/>
            <w:tcBorders>
              <w:top w:val="single" w:sz="8" w:space="0" w:color="000000"/>
            </w:tcBorders>
          </w:tcPr>
          <w:p w14:paraId="77607734" w14:textId="77777777" w:rsidR="002C6574" w:rsidRDefault="00000000">
            <w:pPr>
              <w:pStyle w:val="TableParagraph"/>
              <w:spacing w:line="202" w:lineRule="exact"/>
              <w:ind w:right="62"/>
              <w:rPr>
                <w:sz w:val="18"/>
              </w:rPr>
            </w:pPr>
            <w:r>
              <w:rPr>
                <w:spacing w:val="-2"/>
                <w:w w:val="105"/>
                <w:sz w:val="18"/>
              </w:rPr>
              <w:t>150.021</w:t>
            </w:r>
          </w:p>
        </w:tc>
        <w:tc>
          <w:tcPr>
            <w:tcW w:w="1303" w:type="dxa"/>
            <w:tcBorders>
              <w:top w:val="single" w:sz="8" w:space="0" w:color="000000"/>
            </w:tcBorders>
          </w:tcPr>
          <w:p w14:paraId="4AC9F23D" w14:textId="77777777" w:rsidR="002C6574" w:rsidRDefault="00000000">
            <w:pPr>
              <w:pStyle w:val="TableParagraph"/>
              <w:spacing w:line="202" w:lineRule="exact"/>
              <w:ind w:right="59"/>
              <w:rPr>
                <w:sz w:val="18"/>
              </w:rPr>
            </w:pPr>
            <w:r>
              <w:rPr>
                <w:spacing w:val="-2"/>
                <w:w w:val="105"/>
                <w:sz w:val="18"/>
              </w:rPr>
              <w:t>121.043</w:t>
            </w:r>
          </w:p>
        </w:tc>
        <w:tc>
          <w:tcPr>
            <w:tcW w:w="2301" w:type="dxa"/>
            <w:tcBorders>
              <w:top w:val="single" w:sz="8" w:space="0" w:color="000000"/>
            </w:tcBorders>
          </w:tcPr>
          <w:p w14:paraId="405EDAD0" w14:textId="77777777" w:rsidR="002C6574" w:rsidRDefault="00000000">
            <w:pPr>
              <w:pStyle w:val="TableParagraph"/>
              <w:spacing w:line="202" w:lineRule="exact"/>
              <w:ind w:right="58"/>
              <w:rPr>
                <w:sz w:val="18"/>
              </w:rPr>
            </w:pPr>
            <w:r>
              <w:rPr>
                <w:spacing w:val="-2"/>
                <w:w w:val="105"/>
                <w:sz w:val="18"/>
              </w:rPr>
              <w:t>271.064</w:t>
            </w:r>
          </w:p>
        </w:tc>
      </w:tr>
      <w:tr w:rsidR="002C6574" w14:paraId="508A52F0" w14:textId="77777777">
        <w:trPr>
          <w:trHeight w:val="227"/>
        </w:trPr>
        <w:tc>
          <w:tcPr>
            <w:tcW w:w="1018" w:type="dxa"/>
            <w:vMerge/>
            <w:tcBorders>
              <w:top w:val="nil"/>
              <w:bottom w:val="single" w:sz="8" w:space="0" w:color="000000"/>
            </w:tcBorders>
          </w:tcPr>
          <w:p w14:paraId="3937E81E" w14:textId="77777777" w:rsidR="002C6574" w:rsidRDefault="002C6574">
            <w:pPr>
              <w:rPr>
                <w:sz w:val="2"/>
                <w:szCs w:val="2"/>
              </w:rPr>
            </w:pPr>
          </w:p>
        </w:tc>
        <w:tc>
          <w:tcPr>
            <w:tcW w:w="2969" w:type="dxa"/>
          </w:tcPr>
          <w:p w14:paraId="30D09FEA" w14:textId="77777777" w:rsidR="002C6574" w:rsidRDefault="00000000">
            <w:pPr>
              <w:pStyle w:val="TableParagraph"/>
              <w:spacing w:line="207" w:lineRule="exact"/>
              <w:ind w:left="69"/>
              <w:jc w:val="left"/>
              <w:rPr>
                <w:sz w:val="18"/>
              </w:rPr>
            </w:pPr>
            <w:r>
              <w:rPr>
                <w:spacing w:val="-2"/>
                <w:sz w:val="18"/>
              </w:rPr>
              <w:t>Novembro</w:t>
            </w:r>
          </w:p>
        </w:tc>
        <w:tc>
          <w:tcPr>
            <w:tcW w:w="2179" w:type="dxa"/>
          </w:tcPr>
          <w:p w14:paraId="4E93A5C1" w14:textId="77777777" w:rsidR="002C6574" w:rsidRDefault="00000000">
            <w:pPr>
              <w:pStyle w:val="TableParagraph"/>
              <w:spacing w:line="207" w:lineRule="exact"/>
              <w:ind w:right="62"/>
              <w:rPr>
                <w:sz w:val="18"/>
              </w:rPr>
            </w:pPr>
            <w:r>
              <w:rPr>
                <w:spacing w:val="-2"/>
                <w:w w:val="105"/>
                <w:sz w:val="18"/>
              </w:rPr>
              <w:t>14.553</w:t>
            </w:r>
          </w:p>
        </w:tc>
        <w:tc>
          <w:tcPr>
            <w:tcW w:w="1303" w:type="dxa"/>
          </w:tcPr>
          <w:p w14:paraId="114ABD79" w14:textId="77777777" w:rsidR="002C6574" w:rsidRDefault="00000000">
            <w:pPr>
              <w:pStyle w:val="TableParagraph"/>
              <w:spacing w:line="207" w:lineRule="exact"/>
              <w:ind w:right="59"/>
              <w:rPr>
                <w:sz w:val="18"/>
              </w:rPr>
            </w:pPr>
            <w:r>
              <w:rPr>
                <w:spacing w:val="-2"/>
                <w:w w:val="105"/>
                <w:sz w:val="18"/>
              </w:rPr>
              <w:t>10.718</w:t>
            </w:r>
          </w:p>
        </w:tc>
        <w:tc>
          <w:tcPr>
            <w:tcW w:w="2301" w:type="dxa"/>
          </w:tcPr>
          <w:p w14:paraId="7B53950F" w14:textId="77777777" w:rsidR="002C6574" w:rsidRDefault="00000000">
            <w:pPr>
              <w:pStyle w:val="TableParagraph"/>
              <w:spacing w:line="207" w:lineRule="exact"/>
              <w:ind w:right="57"/>
              <w:rPr>
                <w:sz w:val="18"/>
              </w:rPr>
            </w:pPr>
            <w:r>
              <w:rPr>
                <w:spacing w:val="-2"/>
                <w:w w:val="105"/>
                <w:sz w:val="18"/>
              </w:rPr>
              <w:t>25.271</w:t>
            </w:r>
          </w:p>
        </w:tc>
      </w:tr>
      <w:tr w:rsidR="002C6574" w14:paraId="46CBCC4A" w14:textId="77777777">
        <w:trPr>
          <w:trHeight w:val="232"/>
        </w:trPr>
        <w:tc>
          <w:tcPr>
            <w:tcW w:w="1018" w:type="dxa"/>
            <w:vMerge/>
            <w:tcBorders>
              <w:top w:val="nil"/>
              <w:bottom w:val="single" w:sz="8" w:space="0" w:color="000000"/>
            </w:tcBorders>
          </w:tcPr>
          <w:p w14:paraId="659CB001" w14:textId="77777777" w:rsidR="002C6574" w:rsidRDefault="002C6574">
            <w:pPr>
              <w:rPr>
                <w:sz w:val="2"/>
                <w:szCs w:val="2"/>
              </w:rPr>
            </w:pPr>
          </w:p>
        </w:tc>
        <w:tc>
          <w:tcPr>
            <w:tcW w:w="2969" w:type="dxa"/>
            <w:tcBorders>
              <w:bottom w:val="single" w:sz="8" w:space="0" w:color="000000"/>
            </w:tcBorders>
          </w:tcPr>
          <w:p w14:paraId="47190901" w14:textId="77777777" w:rsidR="002C6574" w:rsidRDefault="00000000">
            <w:pPr>
              <w:pStyle w:val="TableParagraph"/>
              <w:spacing w:line="212" w:lineRule="exact"/>
              <w:ind w:left="69"/>
              <w:jc w:val="left"/>
              <w:rPr>
                <w:sz w:val="18"/>
              </w:rPr>
            </w:pPr>
            <w:r>
              <w:rPr>
                <w:spacing w:val="-2"/>
                <w:sz w:val="18"/>
              </w:rPr>
              <w:t>Dezembro</w:t>
            </w:r>
          </w:p>
        </w:tc>
        <w:tc>
          <w:tcPr>
            <w:tcW w:w="2179" w:type="dxa"/>
            <w:tcBorders>
              <w:bottom w:val="single" w:sz="8" w:space="0" w:color="000000"/>
            </w:tcBorders>
          </w:tcPr>
          <w:p w14:paraId="267B41C2" w14:textId="77777777" w:rsidR="002C6574" w:rsidRDefault="00000000">
            <w:pPr>
              <w:pStyle w:val="TableParagraph"/>
              <w:spacing w:line="212" w:lineRule="exact"/>
              <w:ind w:right="61"/>
              <w:rPr>
                <w:sz w:val="18"/>
              </w:rPr>
            </w:pPr>
            <w:r>
              <w:rPr>
                <w:spacing w:val="-2"/>
                <w:w w:val="105"/>
                <w:sz w:val="18"/>
              </w:rPr>
              <w:t>818.780</w:t>
            </w:r>
          </w:p>
        </w:tc>
        <w:tc>
          <w:tcPr>
            <w:tcW w:w="1303" w:type="dxa"/>
            <w:tcBorders>
              <w:bottom w:val="single" w:sz="8" w:space="0" w:color="000000"/>
            </w:tcBorders>
          </w:tcPr>
          <w:p w14:paraId="61967382" w14:textId="77777777" w:rsidR="002C6574" w:rsidRDefault="00000000">
            <w:pPr>
              <w:pStyle w:val="TableParagraph"/>
              <w:spacing w:line="212" w:lineRule="exact"/>
              <w:ind w:right="59"/>
              <w:rPr>
                <w:sz w:val="18"/>
              </w:rPr>
            </w:pPr>
            <w:r>
              <w:rPr>
                <w:spacing w:val="-2"/>
                <w:w w:val="105"/>
                <w:sz w:val="18"/>
              </w:rPr>
              <w:t>600.588</w:t>
            </w:r>
          </w:p>
        </w:tc>
        <w:tc>
          <w:tcPr>
            <w:tcW w:w="2301" w:type="dxa"/>
            <w:tcBorders>
              <w:bottom w:val="single" w:sz="8" w:space="0" w:color="000000"/>
            </w:tcBorders>
          </w:tcPr>
          <w:p w14:paraId="63DA3FBB" w14:textId="77777777" w:rsidR="002C6574" w:rsidRDefault="00000000">
            <w:pPr>
              <w:pStyle w:val="TableParagraph"/>
              <w:spacing w:line="212" w:lineRule="exact"/>
              <w:ind w:right="57"/>
              <w:rPr>
                <w:sz w:val="18"/>
              </w:rPr>
            </w:pPr>
            <w:r>
              <w:rPr>
                <w:spacing w:val="-2"/>
                <w:w w:val="110"/>
                <w:sz w:val="18"/>
              </w:rPr>
              <w:t>1.419.368</w:t>
            </w:r>
          </w:p>
        </w:tc>
      </w:tr>
      <w:tr w:rsidR="002C6574" w14:paraId="78C21F31" w14:textId="77777777">
        <w:trPr>
          <w:trHeight w:val="222"/>
        </w:trPr>
        <w:tc>
          <w:tcPr>
            <w:tcW w:w="1018" w:type="dxa"/>
            <w:vMerge w:val="restart"/>
            <w:tcBorders>
              <w:top w:val="single" w:sz="8" w:space="0" w:color="000000"/>
              <w:bottom w:val="single" w:sz="8" w:space="0" w:color="000000"/>
            </w:tcBorders>
          </w:tcPr>
          <w:p w14:paraId="1369072E" w14:textId="77777777" w:rsidR="002C6574" w:rsidRDefault="002C6574">
            <w:pPr>
              <w:pStyle w:val="TableParagraph"/>
              <w:jc w:val="left"/>
              <w:rPr>
                <w:sz w:val="18"/>
              </w:rPr>
            </w:pPr>
          </w:p>
          <w:p w14:paraId="3F453073" w14:textId="77777777" w:rsidR="002C6574" w:rsidRDefault="002C6574">
            <w:pPr>
              <w:pStyle w:val="TableParagraph"/>
              <w:jc w:val="left"/>
              <w:rPr>
                <w:sz w:val="18"/>
              </w:rPr>
            </w:pPr>
          </w:p>
          <w:p w14:paraId="5C608338" w14:textId="77777777" w:rsidR="002C6574" w:rsidRDefault="002C6574">
            <w:pPr>
              <w:pStyle w:val="TableParagraph"/>
              <w:jc w:val="left"/>
              <w:rPr>
                <w:sz w:val="18"/>
              </w:rPr>
            </w:pPr>
          </w:p>
          <w:p w14:paraId="7D96D435" w14:textId="77777777" w:rsidR="002C6574" w:rsidRDefault="002C6574">
            <w:pPr>
              <w:pStyle w:val="TableParagraph"/>
              <w:spacing w:before="161"/>
              <w:jc w:val="left"/>
              <w:rPr>
                <w:sz w:val="18"/>
              </w:rPr>
            </w:pPr>
          </w:p>
          <w:p w14:paraId="1E57DF6E" w14:textId="77777777" w:rsidR="002C6574" w:rsidRDefault="00000000">
            <w:pPr>
              <w:pStyle w:val="TableParagraph"/>
              <w:spacing w:before="1"/>
              <w:ind w:left="307"/>
              <w:jc w:val="left"/>
              <w:rPr>
                <w:rFonts w:ascii="Arial"/>
                <w:b/>
                <w:sz w:val="18"/>
              </w:rPr>
            </w:pPr>
            <w:r>
              <w:rPr>
                <w:rFonts w:ascii="Arial"/>
                <w:b/>
                <w:spacing w:val="-4"/>
                <w:sz w:val="18"/>
              </w:rPr>
              <w:t>2020</w:t>
            </w:r>
          </w:p>
        </w:tc>
        <w:tc>
          <w:tcPr>
            <w:tcW w:w="2969" w:type="dxa"/>
            <w:tcBorders>
              <w:top w:val="single" w:sz="8" w:space="0" w:color="000000"/>
            </w:tcBorders>
          </w:tcPr>
          <w:p w14:paraId="2C234146" w14:textId="77777777" w:rsidR="002C6574" w:rsidRDefault="00000000">
            <w:pPr>
              <w:pStyle w:val="TableParagraph"/>
              <w:spacing w:line="202" w:lineRule="exact"/>
              <w:ind w:left="69"/>
              <w:jc w:val="left"/>
              <w:rPr>
                <w:sz w:val="18"/>
              </w:rPr>
            </w:pPr>
            <w:r>
              <w:rPr>
                <w:spacing w:val="-2"/>
                <w:sz w:val="18"/>
              </w:rPr>
              <w:t>Março</w:t>
            </w:r>
          </w:p>
        </w:tc>
        <w:tc>
          <w:tcPr>
            <w:tcW w:w="2179" w:type="dxa"/>
            <w:tcBorders>
              <w:top w:val="single" w:sz="8" w:space="0" w:color="000000"/>
            </w:tcBorders>
          </w:tcPr>
          <w:p w14:paraId="5F8BEAC0" w14:textId="77777777" w:rsidR="002C6574" w:rsidRDefault="00000000">
            <w:pPr>
              <w:pStyle w:val="TableParagraph"/>
              <w:spacing w:line="202" w:lineRule="exact"/>
              <w:ind w:right="62"/>
              <w:rPr>
                <w:sz w:val="18"/>
              </w:rPr>
            </w:pPr>
            <w:r>
              <w:rPr>
                <w:spacing w:val="-5"/>
                <w:w w:val="105"/>
                <w:sz w:val="18"/>
              </w:rPr>
              <w:t>52</w:t>
            </w:r>
          </w:p>
        </w:tc>
        <w:tc>
          <w:tcPr>
            <w:tcW w:w="1303" w:type="dxa"/>
            <w:tcBorders>
              <w:top w:val="single" w:sz="8" w:space="0" w:color="000000"/>
            </w:tcBorders>
          </w:tcPr>
          <w:p w14:paraId="15B9BD2A" w14:textId="77777777" w:rsidR="002C6574" w:rsidRDefault="00000000">
            <w:pPr>
              <w:pStyle w:val="TableParagraph"/>
              <w:spacing w:line="202" w:lineRule="exact"/>
              <w:ind w:right="60"/>
              <w:rPr>
                <w:sz w:val="18"/>
              </w:rPr>
            </w:pPr>
            <w:r>
              <w:rPr>
                <w:spacing w:val="-5"/>
                <w:w w:val="105"/>
                <w:sz w:val="18"/>
              </w:rPr>
              <w:t>37</w:t>
            </w:r>
          </w:p>
        </w:tc>
        <w:tc>
          <w:tcPr>
            <w:tcW w:w="2301" w:type="dxa"/>
            <w:tcBorders>
              <w:top w:val="single" w:sz="8" w:space="0" w:color="000000"/>
            </w:tcBorders>
          </w:tcPr>
          <w:p w14:paraId="119ABFF0" w14:textId="77777777" w:rsidR="002C6574" w:rsidRDefault="00000000">
            <w:pPr>
              <w:pStyle w:val="TableParagraph"/>
              <w:spacing w:line="202" w:lineRule="exact"/>
              <w:ind w:right="55"/>
              <w:rPr>
                <w:sz w:val="18"/>
              </w:rPr>
            </w:pPr>
            <w:r>
              <w:rPr>
                <w:spacing w:val="-5"/>
                <w:w w:val="105"/>
                <w:sz w:val="18"/>
              </w:rPr>
              <w:t>89</w:t>
            </w:r>
          </w:p>
        </w:tc>
      </w:tr>
      <w:tr w:rsidR="002C6574" w14:paraId="342A21FE" w14:textId="77777777">
        <w:trPr>
          <w:trHeight w:val="227"/>
        </w:trPr>
        <w:tc>
          <w:tcPr>
            <w:tcW w:w="1018" w:type="dxa"/>
            <w:vMerge/>
            <w:tcBorders>
              <w:top w:val="nil"/>
              <w:bottom w:val="single" w:sz="8" w:space="0" w:color="000000"/>
            </w:tcBorders>
          </w:tcPr>
          <w:p w14:paraId="4A33A62B" w14:textId="77777777" w:rsidR="002C6574" w:rsidRDefault="002C6574">
            <w:pPr>
              <w:rPr>
                <w:sz w:val="2"/>
                <w:szCs w:val="2"/>
              </w:rPr>
            </w:pPr>
          </w:p>
        </w:tc>
        <w:tc>
          <w:tcPr>
            <w:tcW w:w="2969" w:type="dxa"/>
          </w:tcPr>
          <w:p w14:paraId="3A7A93C4" w14:textId="77777777" w:rsidR="002C6574" w:rsidRDefault="00000000">
            <w:pPr>
              <w:pStyle w:val="TableParagraph"/>
              <w:spacing w:line="207" w:lineRule="exact"/>
              <w:ind w:left="69"/>
              <w:jc w:val="left"/>
              <w:rPr>
                <w:sz w:val="18"/>
              </w:rPr>
            </w:pPr>
            <w:r>
              <w:rPr>
                <w:spacing w:val="-2"/>
                <w:sz w:val="18"/>
              </w:rPr>
              <w:t>Abril</w:t>
            </w:r>
          </w:p>
        </w:tc>
        <w:tc>
          <w:tcPr>
            <w:tcW w:w="2179" w:type="dxa"/>
          </w:tcPr>
          <w:p w14:paraId="0B839F5F" w14:textId="77777777" w:rsidR="002C6574" w:rsidRDefault="00000000">
            <w:pPr>
              <w:pStyle w:val="TableParagraph"/>
              <w:spacing w:line="207" w:lineRule="exact"/>
              <w:ind w:right="62"/>
              <w:rPr>
                <w:sz w:val="18"/>
              </w:rPr>
            </w:pPr>
            <w:r>
              <w:rPr>
                <w:spacing w:val="-5"/>
                <w:w w:val="105"/>
                <w:sz w:val="18"/>
              </w:rPr>
              <w:t>11</w:t>
            </w:r>
          </w:p>
        </w:tc>
        <w:tc>
          <w:tcPr>
            <w:tcW w:w="1303" w:type="dxa"/>
          </w:tcPr>
          <w:p w14:paraId="5385B8D5" w14:textId="77777777" w:rsidR="002C6574" w:rsidRDefault="00000000">
            <w:pPr>
              <w:pStyle w:val="TableParagraph"/>
              <w:spacing w:line="207" w:lineRule="exact"/>
              <w:ind w:right="57"/>
              <w:rPr>
                <w:sz w:val="18"/>
              </w:rPr>
            </w:pPr>
            <w:r>
              <w:rPr>
                <w:spacing w:val="-10"/>
                <w:w w:val="105"/>
                <w:sz w:val="18"/>
              </w:rPr>
              <w:t>8</w:t>
            </w:r>
          </w:p>
        </w:tc>
        <w:tc>
          <w:tcPr>
            <w:tcW w:w="2301" w:type="dxa"/>
          </w:tcPr>
          <w:p w14:paraId="4C109B7F" w14:textId="77777777" w:rsidR="002C6574" w:rsidRDefault="00000000">
            <w:pPr>
              <w:pStyle w:val="TableParagraph"/>
              <w:spacing w:line="207" w:lineRule="exact"/>
              <w:ind w:right="55"/>
              <w:rPr>
                <w:sz w:val="18"/>
              </w:rPr>
            </w:pPr>
            <w:r>
              <w:rPr>
                <w:spacing w:val="-5"/>
                <w:w w:val="105"/>
                <w:sz w:val="18"/>
              </w:rPr>
              <w:t>19</w:t>
            </w:r>
          </w:p>
        </w:tc>
      </w:tr>
      <w:tr w:rsidR="002C6574" w14:paraId="0D68D1C6" w14:textId="77777777">
        <w:trPr>
          <w:trHeight w:val="224"/>
        </w:trPr>
        <w:tc>
          <w:tcPr>
            <w:tcW w:w="1018" w:type="dxa"/>
            <w:vMerge/>
            <w:tcBorders>
              <w:top w:val="nil"/>
              <w:bottom w:val="single" w:sz="8" w:space="0" w:color="000000"/>
            </w:tcBorders>
          </w:tcPr>
          <w:p w14:paraId="4F66D25B" w14:textId="77777777" w:rsidR="002C6574" w:rsidRDefault="002C6574">
            <w:pPr>
              <w:rPr>
                <w:sz w:val="2"/>
                <w:szCs w:val="2"/>
              </w:rPr>
            </w:pPr>
          </w:p>
        </w:tc>
        <w:tc>
          <w:tcPr>
            <w:tcW w:w="2969" w:type="dxa"/>
          </w:tcPr>
          <w:p w14:paraId="36A0D908" w14:textId="77777777" w:rsidR="002C6574" w:rsidRDefault="00000000">
            <w:pPr>
              <w:pStyle w:val="TableParagraph"/>
              <w:spacing w:line="205" w:lineRule="exact"/>
              <w:ind w:left="69"/>
              <w:jc w:val="left"/>
              <w:rPr>
                <w:sz w:val="18"/>
              </w:rPr>
            </w:pPr>
            <w:r>
              <w:rPr>
                <w:spacing w:val="-4"/>
                <w:sz w:val="18"/>
              </w:rPr>
              <w:t>Maio</w:t>
            </w:r>
          </w:p>
        </w:tc>
        <w:tc>
          <w:tcPr>
            <w:tcW w:w="2179" w:type="dxa"/>
          </w:tcPr>
          <w:p w14:paraId="53B2D7EE" w14:textId="77777777" w:rsidR="002C6574" w:rsidRDefault="00000000">
            <w:pPr>
              <w:pStyle w:val="TableParagraph"/>
              <w:spacing w:line="205" w:lineRule="exact"/>
              <w:ind w:right="62"/>
              <w:rPr>
                <w:sz w:val="18"/>
              </w:rPr>
            </w:pPr>
            <w:r>
              <w:rPr>
                <w:spacing w:val="-2"/>
                <w:w w:val="110"/>
                <w:sz w:val="18"/>
              </w:rPr>
              <w:t>5.154</w:t>
            </w:r>
          </w:p>
        </w:tc>
        <w:tc>
          <w:tcPr>
            <w:tcW w:w="1303" w:type="dxa"/>
          </w:tcPr>
          <w:p w14:paraId="0F129F01" w14:textId="77777777" w:rsidR="002C6574" w:rsidRDefault="00000000">
            <w:pPr>
              <w:pStyle w:val="TableParagraph"/>
              <w:spacing w:line="205" w:lineRule="exact"/>
              <w:ind w:right="59"/>
              <w:rPr>
                <w:sz w:val="18"/>
              </w:rPr>
            </w:pPr>
            <w:r>
              <w:rPr>
                <w:spacing w:val="-2"/>
                <w:w w:val="110"/>
                <w:sz w:val="18"/>
              </w:rPr>
              <w:t>3.634</w:t>
            </w:r>
          </w:p>
        </w:tc>
        <w:tc>
          <w:tcPr>
            <w:tcW w:w="2301" w:type="dxa"/>
          </w:tcPr>
          <w:p w14:paraId="586A9F29" w14:textId="77777777" w:rsidR="002C6574" w:rsidRDefault="00000000">
            <w:pPr>
              <w:pStyle w:val="TableParagraph"/>
              <w:spacing w:line="205" w:lineRule="exact"/>
              <w:ind w:right="55"/>
              <w:rPr>
                <w:sz w:val="18"/>
              </w:rPr>
            </w:pPr>
            <w:r>
              <w:rPr>
                <w:spacing w:val="-4"/>
                <w:w w:val="110"/>
                <w:sz w:val="18"/>
              </w:rPr>
              <w:t>8.788</w:t>
            </w:r>
          </w:p>
        </w:tc>
      </w:tr>
      <w:tr w:rsidR="002C6574" w14:paraId="727B54A8" w14:textId="77777777">
        <w:trPr>
          <w:trHeight w:val="227"/>
        </w:trPr>
        <w:tc>
          <w:tcPr>
            <w:tcW w:w="1018" w:type="dxa"/>
            <w:vMerge/>
            <w:tcBorders>
              <w:top w:val="nil"/>
              <w:bottom w:val="single" w:sz="8" w:space="0" w:color="000000"/>
            </w:tcBorders>
          </w:tcPr>
          <w:p w14:paraId="09443F4C" w14:textId="77777777" w:rsidR="002C6574" w:rsidRDefault="002C6574">
            <w:pPr>
              <w:rPr>
                <w:sz w:val="2"/>
                <w:szCs w:val="2"/>
              </w:rPr>
            </w:pPr>
          </w:p>
        </w:tc>
        <w:tc>
          <w:tcPr>
            <w:tcW w:w="2969" w:type="dxa"/>
          </w:tcPr>
          <w:p w14:paraId="1A3CFA16" w14:textId="77777777" w:rsidR="002C6574" w:rsidRDefault="00000000">
            <w:pPr>
              <w:pStyle w:val="TableParagraph"/>
              <w:spacing w:line="207" w:lineRule="exact"/>
              <w:ind w:left="69"/>
              <w:jc w:val="left"/>
              <w:rPr>
                <w:sz w:val="18"/>
              </w:rPr>
            </w:pPr>
            <w:r>
              <w:rPr>
                <w:spacing w:val="-2"/>
                <w:w w:val="105"/>
                <w:sz w:val="18"/>
              </w:rPr>
              <w:t>Junho</w:t>
            </w:r>
          </w:p>
        </w:tc>
        <w:tc>
          <w:tcPr>
            <w:tcW w:w="2179" w:type="dxa"/>
          </w:tcPr>
          <w:p w14:paraId="3052EFAA" w14:textId="77777777" w:rsidR="002C6574" w:rsidRDefault="00000000">
            <w:pPr>
              <w:pStyle w:val="TableParagraph"/>
              <w:spacing w:line="207" w:lineRule="exact"/>
              <w:ind w:right="61"/>
              <w:rPr>
                <w:sz w:val="18"/>
              </w:rPr>
            </w:pPr>
            <w:r>
              <w:rPr>
                <w:spacing w:val="-2"/>
                <w:w w:val="110"/>
                <w:sz w:val="18"/>
              </w:rPr>
              <w:t>3.335</w:t>
            </w:r>
          </w:p>
        </w:tc>
        <w:tc>
          <w:tcPr>
            <w:tcW w:w="1303" w:type="dxa"/>
          </w:tcPr>
          <w:p w14:paraId="78C12625" w14:textId="77777777" w:rsidR="002C6574" w:rsidRDefault="00000000">
            <w:pPr>
              <w:pStyle w:val="TableParagraph"/>
              <w:spacing w:line="207" w:lineRule="exact"/>
              <w:ind w:right="59"/>
              <w:rPr>
                <w:sz w:val="18"/>
              </w:rPr>
            </w:pPr>
            <w:r>
              <w:rPr>
                <w:spacing w:val="-2"/>
                <w:w w:val="110"/>
                <w:sz w:val="18"/>
              </w:rPr>
              <w:t>2.332</w:t>
            </w:r>
          </w:p>
        </w:tc>
        <w:tc>
          <w:tcPr>
            <w:tcW w:w="2301" w:type="dxa"/>
          </w:tcPr>
          <w:p w14:paraId="24E14E08" w14:textId="77777777" w:rsidR="002C6574" w:rsidRDefault="00000000">
            <w:pPr>
              <w:pStyle w:val="TableParagraph"/>
              <w:spacing w:line="207" w:lineRule="exact"/>
              <w:ind w:right="55"/>
              <w:rPr>
                <w:sz w:val="18"/>
              </w:rPr>
            </w:pPr>
            <w:r>
              <w:rPr>
                <w:spacing w:val="-4"/>
                <w:w w:val="110"/>
                <w:sz w:val="18"/>
              </w:rPr>
              <w:t>5.667</w:t>
            </w:r>
          </w:p>
        </w:tc>
      </w:tr>
      <w:tr w:rsidR="002C6574" w14:paraId="2D6FB7DF" w14:textId="77777777">
        <w:trPr>
          <w:trHeight w:val="227"/>
        </w:trPr>
        <w:tc>
          <w:tcPr>
            <w:tcW w:w="1018" w:type="dxa"/>
            <w:vMerge/>
            <w:tcBorders>
              <w:top w:val="nil"/>
              <w:bottom w:val="single" w:sz="8" w:space="0" w:color="000000"/>
            </w:tcBorders>
          </w:tcPr>
          <w:p w14:paraId="006BA360" w14:textId="77777777" w:rsidR="002C6574" w:rsidRDefault="002C6574">
            <w:pPr>
              <w:rPr>
                <w:sz w:val="2"/>
                <w:szCs w:val="2"/>
              </w:rPr>
            </w:pPr>
          </w:p>
        </w:tc>
        <w:tc>
          <w:tcPr>
            <w:tcW w:w="2969" w:type="dxa"/>
          </w:tcPr>
          <w:p w14:paraId="3C67548B" w14:textId="77777777" w:rsidR="002C6574" w:rsidRDefault="00000000">
            <w:pPr>
              <w:pStyle w:val="TableParagraph"/>
              <w:spacing w:line="207" w:lineRule="exact"/>
              <w:ind w:left="69"/>
              <w:jc w:val="left"/>
              <w:rPr>
                <w:sz w:val="18"/>
              </w:rPr>
            </w:pPr>
            <w:r>
              <w:rPr>
                <w:spacing w:val="-2"/>
                <w:w w:val="105"/>
                <w:sz w:val="18"/>
              </w:rPr>
              <w:t>Julho</w:t>
            </w:r>
          </w:p>
        </w:tc>
        <w:tc>
          <w:tcPr>
            <w:tcW w:w="2179" w:type="dxa"/>
          </w:tcPr>
          <w:p w14:paraId="63233AF4" w14:textId="77777777" w:rsidR="002C6574" w:rsidRDefault="00000000">
            <w:pPr>
              <w:pStyle w:val="TableParagraph"/>
              <w:spacing w:line="207" w:lineRule="exact"/>
              <w:ind w:right="62"/>
              <w:rPr>
                <w:sz w:val="18"/>
              </w:rPr>
            </w:pPr>
            <w:r>
              <w:rPr>
                <w:spacing w:val="-2"/>
                <w:w w:val="110"/>
                <w:sz w:val="18"/>
              </w:rPr>
              <w:t>3.947</w:t>
            </w:r>
          </w:p>
        </w:tc>
        <w:tc>
          <w:tcPr>
            <w:tcW w:w="1303" w:type="dxa"/>
          </w:tcPr>
          <w:p w14:paraId="59997B81" w14:textId="77777777" w:rsidR="002C6574" w:rsidRDefault="00000000">
            <w:pPr>
              <w:pStyle w:val="TableParagraph"/>
              <w:spacing w:line="207" w:lineRule="exact"/>
              <w:ind w:right="59"/>
              <w:rPr>
                <w:sz w:val="18"/>
              </w:rPr>
            </w:pPr>
            <w:r>
              <w:rPr>
                <w:spacing w:val="-2"/>
                <w:w w:val="110"/>
                <w:sz w:val="18"/>
              </w:rPr>
              <w:t>2.753</w:t>
            </w:r>
          </w:p>
        </w:tc>
        <w:tc>
          <w:tcPr>
            <w:tcW w:w="2301" w:type="dxa"/>
          </w:tcPr>
          <w:p w14:paraId="7023EE09" w14:textId="77777777" w:rsidR="002C6574" w:rsidRDefault="00000000">
            <w:pPr>
              <w:pStyle w:val="TableParagraph"/>
              <w:spacing w:line="207" w:lineRule="exact"/>
              <w:ind w:right="55"/>
              <w:rPr>
                <w:sz w:val="18"/>
              </w:rPr>
            </w:pPr>
            <w:r>
              <w:rPr>
                <w:spacing w:val="-4"/>
                <w:w w:val="110"/>
                <w:sz w:val="18"/>
              </w:rPr>
              <w:t>6.700</w:t>
            </w:r>
          </w:p>
        </w:tc>
      </w:tr>
      <w:tr w:rsidR="002C6574" w14:paraId="37A52A69" w14:textId="77777777">
        <w:trPr>
          <w:trHeight w:val="227"/>
        </w:trPr>
        <w:tc>
          <w:tcPr>
            <w:tcW w:w="1018" w:type="dxa"/>
            <w:vMerge/>
            <w:tcBorders>
              <w:top w:val="nil"/>
              <w:bottom w:val="single" w:sz="8" w:space="0" w:color="000000"/>
            </w:tcBorders>
          </w:tcPr>
          <w:p w14:paraId="31EDAF5E" w14:textId="77777777" w:rsidR="002C6574" w:rsidRDefault="002C6574">
            <w:pPr>
              <w:rPr>
                <w:sz w:val="2"/>
                <w:szCs w:val="2"/>
              </w:rPr>
            </w:pPr>
          </w:p>
        </w:tc>
        <w:tc>
          <w:tcPr>
            <w:tcW w:w="2969" w:type="dxa"/>
          </w:tcPr>
          <w:p w14:paraId="066D7C53" w14:textId="77777777" w:rsidR="002C6574" w:rsidRDefault="00000000">
            <w:pPr>
              <w:pStyle w:val="TableParagraph"/>
              <w:spacing w:line="207" w:lineRule="exact"/>
              <w:ind w:left="69"/>
              <w:jc w:val="left"/>
              <w:rPr>
                <w:sz w:val="18"/>
              </w:rPr>
            </w:pPr>
            <w:r>
              <w:rPr>
                <w:spacing w:val="-2"/>
                <w:sz w:val="18"/>
              </w:rPr>
              <w:t>Agosto</w:t>
            </w:r>
          </w:p>
        </w:tc>
        <w:tc>
          <w:tcPr>
            <w:tcW w:w="2179" w:type="dxa"/>
          </w:tcPr>
          <w:p w14:paraId="31472118" w14:textId="77777777" w:rsidR="002C6574" w:rsidRDefault="00000000">
            <w:pPr>
              <w:pStyle w:val="TableParagraph"/>
              <w:spacing w:line="207" w:lineRule="exact"/>
              <w:ind w:right="61"/>
              <w:rPr>
                <w:sz w:val="18"/>
              </w:rPr>
            </w:pPr>
            <w:r>
              <w:rPr>
                <w:spacing w:val="-2"/>
                <w:w w:val="110"/>
                <w:sz w:val="18"/>
              </w:rPr>
              <w:t>3.657</w:t>
            </w:r>
          </w:p>
        </w:tc>
        <w:tc>
          <w:tcPr>
            <w:tcW w:w="1303" w:type="dxa"/>
          </w:tcPr>
          <w:p w14:paraId="10CD5E41" w14:textId="77777777" w:rsidR="002C6574" w:rsidRDefault="00000000">
            <w:pPr>
              <w:pStyle w:val="TableParagraph"/>
              <w:spacing w:line="207" w:lineRule="exact"/>
              <w:ind w:right="59"/>
              <w:rPr>
                <w:sz w:val="18"/>
              </w:rPr>
            </w:pPr>
            <w:r>
              <w:rPr>
                <w:spacing w:val="-2"/>
                <w:w w:val="110"/>
                <w:sz w:val="18"/>
              </w:rPr>
              <w:t>2.537</w:t>
            </w:r>
          </w:p>
        </w:tc>
        <w:tc>
          <w:tcPr>
            <w:tcW w:w="2301" w:type="dxa"/>
          </w:tcPr>
          <w:p w14:paraId="31A5907F" w14:textId="77777777" w:rsidR="002C6574" w:rsidRDefault="00000000">
            <w:pPr>
              <w:pStyle w:val="TableParagraph"/>
              <w:spacing w:line="207" w:lineRule="exact"/>
              <w:ind w:right="55"/>
              <w:rPr>
                <w:sz w:val="18"/>
              </w:rPr>
            </w:pPr>
            <w:r>
              <w:rPr>
                <w:spacing w:val="-4"/>
                <w:w w:val="110"/>
                <w:sz w:val="18"/>
              </w:rPr>
              <w:t>6.194</w:t>
            </w:r>
          </w:p>
        </w:tc>
      </w:tr>
      <w:tr w:rsidR="002C6574" w14:paraId="73423A0F" w14:textId="77777777">
        <w:trPr>
          <w:trHeight w:val="227"/>
        </w:trPr>
        <w:tc>
          <w:tcPr>
            <w:tcW w:w="1018" w:type="dxa"/>
            <w:vMerge/>
            <w:tcBorders>
              <w:top w:val="nil"/>
              <w:bottom w:val="single" w:sz="8" w:space="0" w:color="000000"/>
            </w:tcBorders>
          </w:tcPr>
          <w:p w14:paraId="5658C28E" w14:textId="77777777" w:rsidR="002C6574" w:rsidRDefault="002C6574">
            <w:pPr>
              <w:rPr>
                <w:sz w:val="2"/>
                <w:szCs w:val="2"/>
              </w:rPr>
            </w:pPr>
          </w:p>
        </w:tc>
        <w:tc>
          <w:tcPr>
            <w:tcW w:w="2969" w:type="dxa"/>
          </w:tcPr>
          <w:p w14:paraId="262C9535" w14:textId="77777777" w:rsidR="002C6574" w:rsidRDefault="00000000">
            <w:pPr>
              <w:pStyle w:val="TableParagraph"/>
              <w:spacing w:line="207" w:lineRule="exact"/>
              <w:ind w:left="69"/>
              <w:jc w:val="left"/>
              <w:rPr>
                <w:sz w:val="18"/>
              </w:rPr>
            </w:pPr>
            <w:r>
              <w:rPr>
                <w:spacing w:val="-2"/>
                <w:sz w:val="18"/>
              </w:rPr>
              <w:t>Setembro</w:t>
            </w:r>
          </w:p>
        </w:tc>
        <w:tc>
          <w:tcPr>
            <w:tcW w:w="2179" w:type="dxa"/>
          </w:tcPr>
          <w:p w14:paraId="1764E102" w14:textId="77777777" w:rsidR="002C6574" w:rsidRDefault="00000000">
            <w:pPr>
              <w:pStyle w:val="TableParagraph"/>
              <w:spacing w:line="207" w:lineRule="exact"/>
              <w:ind w:right="62"/>
              <w:rPr>
                <w:sz w:val="18"/>
              </w:rPr>
            </w:pPr>
            <w:r>
              <w:rPr>
                <w:spacing w:val="-2"/>
                <w:w w:val="110"/>
                <w:sz w:val="18"/>
              </w:rPr>
              <w:t>1.575</w:t>
            </w:r>
          </w:p>
        </w:tc>
        <w:tc>
          <w:tcPr>
            <w:tcW w:w="1303" w:type="dxa"/>
          </w:tcPr>
          <w:p w14:paraId="1418B989" w14:textId="77777777" w:rsidR="002C6574" w:rsidRDefault="00000000">
            <w:pPr>
              <w:pStyle w:val="TableParagraph"/>
              <w:spacing w:line="207" w:lineRule="exact"/>
              <w:ind w:right="59"/>
              <w:rPr>
                <w:sz w:val="18"/>
              </w:rPr>
            </w:pPr>
            <w:r>
              <w:rPr>
                <w:spacing w:val="-2"/>
                <w:w w:val="110"/>
                <w:sz w:val="18"/>
              </w:rPr>
              <w:t>1.089</w:t>
            </w:r>
          </w:p>
        </w:tc>
        <w:tc>
          <w:tcPr>
            <w:tcW w:w="2301" w:type="dxa"/>
          </w:tcPr>
          <w:p w14:paraId="13926BE7" w14:textId="77777777" w:rsidR="002C6574" w:rsidRDefault="00000000">
            <w:pPr>
              <w:pStyle w:val="TableParagraph"/>
              <w:spacing w:line="207" w:lineRule="exact"/>
              <w:ind w:right="55"/>
              <w:rPr>
                <w:sz w:val="18"/>
              </w:rPr>
            </w:pPr>
            <w:r>
              <w:rPr>
                <w:spacing w:val="-4"/>
                <w:w w:val="110"/>
                <w:sz w:val="18"/>
              </w:rPr>
              <w:t>2.664</w:t>
            </w:r>
          </w:p>
        </w:tc>
      </w:tr>
      <w:tr w:rsidR="002C6574" w14:paraId="612A7D67" w14:textId="77777777">
        <w:trPr>
          <w:trHeight w:val="227"/>
        </w:trPr>
        <w:tc>
          <w:tcPr>
            <w:tcW w:w="1018" w:type="dxa"/>
            <w:vMerge/>
            <w:tcBorders>
              <w:top w:val="nil"/>
              <w:bottom w:val="single" w:sz="8" w:space="0" w:color="000000"/>
            </w:tcBorders>
          </w:tcPr>
          <w:p w14:paraId="4EBA33AE" w14:textId="77777777" w:rsidR="002C6574" w:rsidRDefault="002C6574">
            <w:pPr>
              <w:rPr>
                <w:sz w:val="2"/>
                <w:szCs w:val="2"/>
              </w:rPr>
            </w:pPr>
          </w:p>
        </w:tc>
        <w:tc>
          <w:tcPr>
            <w:tcW w:w="2969" w:type="dxa"/>
          </w:tcPr>
          <w:p w14:paraId="585D7925" w14:textId="77777777" w:rsidR="002C6574" w:rsidRDefault="00000000">
            <w:pPr>
              <w:pStyle w:val="TableParagraph"/>
              <w:spacing w:line="207" w:lineRule="exact"/>
              <w:ind w:left="69"/>
              <w:jc w:val="left"/>
              <w:rPr>
                <w:sz w:val="18"/>
              </w:rPr>
            </w:pPr>
            <w:r>
              <w:rPr>
                <w:spacing w:val="-2"/>
                <w:sz w:val="18"/>
              </w:rPr>
              <w:t>Outubro</w:t>
            </w:r>
          </w:p>
        </w:tc>
        <w:tc>
          <w:tcPr>
            <w:tcW w:w="2179" w:type="dxa"/>
          </w:tcPr>
          <w:p w14:paraId="14FD5F9A" w14:textId="77777777" w:rsidR="002C6574" w:rsidRDefault="00000000">
            <w:pPr>
              <w:pStyle w:val="TableParagraph"/>
              <w:spacing w:line="207" w:lineRule="exact"/>
              <w:ind w:right="60"/>
              <w:rPr>
                <w:sz w:val="18"/>
              </w:rPr>
            </w:pPr>
            <w:r>
              <w:rPr>
                <w:spacing w:val="-5"/>
                <w:w w:val="105"/>
                <w:sz w:val="18"/>
              </w:rPr>
              <w:t>602</w:t>
            </w:r>
          </w:p>
        </w:tc>
        <w:tc>
          <w:tcPr>
            <w:tcW w:w="1303" w:type="dxa"/>
          </w:tcPr>
          <w:p w14:paraId="574964A5" w14:textId="77777777" w:rsidR="002C6574" w:rsidRDefault="00000000">
            <w:pPr>
              <w:pStyle w:val="TableParagraph"/>
              <w:spacing w:line="207" w:lineRule="exact"/>
              <w:ind w:right="59"/>
              <w:rPr>
                <w:sz w:val="18"/>
              </w:rPr>
            </w:pPr>
            <w:r>
              <w:rPr>
                <w:spacing w:val="-5"/>
                <w:w w:val="105"/>
                <w:sz w:val="18"/>
              </w:rPr>
              <w:t>416</w:t>
            </w:r>
          </w:p>
        </w:tc>
        <w:tc>
          <w:tcPr>
            <w:tcW w:w="2301" w:type="dxa"/>
          </w:tcPr>
          <w:p w14:paraId="35A6F5A5" w14:textId="77777777" w:rsidR="002C6574" w:rsidRDefault="00000000">
            <w:pPr>
              <w:pStyle w:val="TableParagraph"/>
              <w:spacing w:line="207" w:lineRule="exact"/>
              <w:ind w:right="55"/>
              <w:rPr>
                <w:sz w:val="18"/>
              </w:rPr>
            </w:pPr>
            <w:r>
              <w:rPr>
                <w:spacing w:val="-4"/>
                <w:w w:val="110"/>
                <w:sz w:val="18"/>
              </w:rPr>
              <w:t>1.018</w:t>
            </w:r>
          </w:p>
        </w:tc>
      </w:tr>
      <w:tr w:rsidR="002C6574" w14:paraId="6C7EBF74" w14:textId="77777777">
        <w:trPr>
          <w:trHeight w:val="227"/>
        </w:trPr>
        <w:tc>
          <w:tcPr>
            <w:tcW w:w="1018" w:type="dxa"/>
            <w:vMerge/>
            <w:tcBorders>
              <w:top w:val="nil"/>
              <w:bottom w:val="single" w:sz="8" w:space="0" w:color="000000"/>
            </w:tcBorders>
          </w:tcPr>
          <w:p w14:paraId="3619B6AE" w14:textId="77777777" w:rsidR="002C6574" w:rsidRDefault="002C6574">
            <w:pPr>
              <w:rPr>
                <w:sz w:val="2"/>
                <w:szCs w:val="2"/>
              </w:rPr>
            </w:pPr>
          </w:p>
        </w:tc>
        <w:tc>
          <w:tcPr>
            <w:tcW w:w="2969" w:type="dxa"/>
          </w:tcPr>
          <w:p w14:paraId="1381F805" w14:textId="77777777" w:rsidR="002C6574" w:rsidRDefault="00000000">
            <w:pPr>
              <w:pStyle w:val="TableParagraph"/>
              <w:spacing w:line="207" w:lineRule="exact"/>
              <w:ind w:left="69"/>
              <w:jc w:val="left"/>
              <w:rPr>
                <w:sz w:val="18"/>
              </w:rPr>
            </w:pPr>
            <w:r>
              <w:rPr>
                <w:spacing w:val="-2"/>
                <w:sz w:val="18"/>
              </w:rPr>
              <w:t>Novembro</w:t>
            </w:r>
          </w:p>
        </w:tc>
        <w:tc>
          <w:tcPr>
            <w:tcW w:w="2179" w:type="dxa"/>
          </w:tcPr>
          <w:p w14:paraId="7C14A43D" w14:textId="77777777" w:rsidR="002C6574" w:rsidRDefault="00000000">
            <w:pPr>
              <w:pStyle w:val="TableParagraph"/>
              <w:spacing w:line="207" w:lineRule="exact"/>
              <w:ind w:right="62"/>
              <w:rPr>
                <w:sz w:val="18"/>
              </w:rPr>
            </w:pPr>
            <w:r>
              <w:rPr>
                <w:spacing w:val="-2"/>
                <w:w w:val="110"/>
                <w:sz w:val="18"/>
              </w:rPr>
              <w:t>3.966</w:t>
            </w:r>
          </w:p>
        </w:tc>
        <w:tc>
          <w:tcPr>
            <w:tcW w:w="1303" w:type="dxa"/>
          </w:tcPr>
          <w:p w14:paraId="3EEDC2DA" w14:textId="77777777" w:rsidR="002C6574" w:rsidRDefault="00000000">
            <w:pPr>
              <w:pStyle w:val="TableParagraph"/>
              <w:spacing w:line="207" w:lineRule="exact"/>
              <w:ind w:right="59"/>
              <w:rPr>
                <w:sz w:val="18"/>
              </w:rPr>
            </w:pPr>
            <w:r>
              <w:rPr>
                <w:spacing w:val="-2"/>
                <w:w w:val="110"/>
                <w:sz w:val="18"/>
              </w:rPr>
              <w:t>2.721</w:t>
            </w:r>
          </w:p>
        </w:tc>
        <w:tc>
          <w:tcPr>
            <w:tcW w:w="2301" w:type="dxa"/>
          </w:tcPr>
          <w:p w14:paraId="4259076D" w14:textId="77777777" w:rsidR="002C6574" w:rsidRDefault="00000000">
            <w:pPr>
              <w:pStyle w:val="TableParagraph"/>
              <w:spacing w:line="207" w:lineRule="exact"/>
              <w:ind w:right="55"/>
              <w:rPr>
                <w:sz w:val="18"/>
              </w:rPr>
            </w:pPr>
            <w:r>
              <w:rPr>
                <w:spacing w:val="-4"/>
                <w:w w:val="110"/>
                <w:sz w:val="18"/>
              </w:rPr>
              <w:t>6.687</w:t>
            </w:r>
          </w:p>
        </w:tc>
      </w:tr>
      <w:tr w:rsidR="002C6574" w14:paraId="14ED5EE7" w14:textId="77777777">
        <w:trPr>
          <w:trHeight w:val="231"/>
        </w:trPr>
        <w:tc>
          <w:tcPr>
            <w:tcW w:w="1018" w:type="dxa"/>
            <w:vMerge/>
            <w:tcBorders>
              <w:top w:val="nil"/>
              <w:bottom w:val="single" w:sz="8" w:space="0" w:color="000000"/>
            </w:tcBorders>
          </w:tcPr>
          <w:p w14:paraId="5583C3B2" w14:textId="77777777" w:rsidR="002C6574" w:rsidRDefault="002C6574">
            <w:pPr>
              <w:rPr>
                <w:sz w:val="2"/>
                <w:szCs w:val="2"/>
              </w:rPr>
            </w:pPr>
          </w:p>
        </w:tc>
        <w:tc>
          <w:tcPr>
            <w:tcW w:w="2969" w:type="dxa"/>
            <w:tcBorders>
              <w:bottom w:val="single" w:sz="8" w:space="0" w:color="000000"/>
            </w:tcBorders>
          </w:tcPr>
          <w:p w14:paraId="3AF75590" w14:textId="77777777" w:rsidR="002C6574" w:rsidRDefault="00000000">
            <w:pPr>
              <w:pStyle w:val="TableParagraph"/>
              <w:spacing w:line="212" w:lineRule="exact"/>
              <w:ind w:left="69"/>
              <w:jc w:val="left"/>
              <w:rPr>
                <w:sz w:val="18"/>
              </w:rPr>
            </w:pPr>
            <w:r>
              <w:rPr>
                <w:spacing w:val="-2"/>
                <w:sz w:val="18"/>
              </w:rPr>
              <w:t>Dezembro</w:t>
            </w:r>
          </w:p>
        </w:tc>
        <w:tc>
          <w:tcPr>
            <w:tcW w:w="2179" w:type="dxa"/>
            <w:tcBorders>
              <w:bottom w:val="single" w:sz="8" w:space="0" w:color="000000"/>
            </w:tcBorders>
          </w:tcPr>
          <w:p w14:paraId="3D9A3D3E" w14:textId="77777777" w:rsidR="002C6574" w:rsidRDefault="00000000">
            <w:pPr>
              <w:pStyle w:val="TableParagraph"/>
              <w:spacing w:line="212" w:lineRule="exact"/>
              <w:ind w:right="62"/>
              <w:rPr>
                <w:sz w:val="18"/>
              </w:rPr>
            </w:pPr>
            <w:r>
              <w:rPr>
                <w:spacing w:val="-2"/>
                <w:w w:val="110"/>
                <w:sz w:val="18"/>
              </w:rPr>
              <w:t>8.857</w:t>
            </w:r>
          </w:p>
        </w:tc>
        <w:tc>
          <w:tcPr>
            <w:tcW w:w="1303" w:type="dxa"/>
            <w:tcBorders>
              <w:bottom w:val="single" w:sz="8" w:space="0" w:color="000000"/>
            </w:tcBorders>
          </w:tcPr>
          <w:p w14:paraId="612C5BBF" w14:textId="77777777" w:rsidR="002C6574" w:rsidRDefault="00000000">
            <w:pPr>
              <w:pStyle w:val="TableParagraph"/>
              <w:spacing w:line="212" w:lineRule="exact"/>
              <w:ind w:right="59"/>
              <w:rPr>
                <w:sz w:val="18"/>
              </w:rPr>
            </w:pPr>
            <w:r>
              <w:rPr>
                <w:spacing w:val="-2"/>
                <w:w w:val="110"/>
                <w:sz w:val="18"/>
              </w:rPr>
              <w:t>6.045</w:t>
            </w:r>
          </w:p>
        </w:tc>
        <w:tc>
          <w:tcPr>
            <w:tcW w:w="2301" w:type="dxa"/>
            <w:tcBorders>
              <w:bottom w:val="single" w:sz="8" w:space="0" w:color="000000"/>
            </w:tcBorders>
          </w:tcPr>
          <w:p w14:paraId="7DC8A19F" w14:textId="77777777" w:rsidR="002C6574" w:rsidRDefault="00000000">
            <w:pPr>
              <w:pStyle w:val="TableParagraph"/>
              <w:spacing w:line="212" w:lineRule="exact"/>
              <w:ind w:right="57"/>
              <w:rPr>
                <w:sz w:val="18"/>
              </w:rPr>
            </w:pPr>
            <w:r>
              <w:rPr>
                <w:spacing w:val="-2"/>
                <w:w w:val="105"/>
                <w:sz w:val="18"/>
              </w:rPr>
              <w:t>14.902</w:t>
            </w:r>
          </w:p>
        </w:tc>
      </w:tr>
      <w:tr w:rsidR="002C6574" w14:paraId="5C5C6E85" w14:textId="77777777">
        <w:trPr>
          <w:trHeight w:val="222"/>
        </w:trPr>
        <w:tc>
          <w:tcPr>
            <w:tcW w:w="1018" w:type="dxa"/>
            <w:vMerge w:val="restart"/>
            <w:tcBorders>
              <w:top w:val="single" w:sz="8" w:space="0" w:color="000000"/>
              <w:bottom w:val="single" w:sz="8" w:space="0" w:color="000000"/>
            </w:tcBorders>
          </w:tcPr>
          <w:p w14:paraId="715E8D6C" w14:textId="77777777" w:rsidR="002C6574" w:rsidRDefault="002C6574">
            <w:pPr>
              <w:pStyle w:val="TableParagraph"/>
              <w:spacing w:before="140"/>
              <w:jc w:val="left"/>
              <w:rPr>
                <w:sz w:val="18"/>
              </w:rPr>
            </w:pPr>
          </w:p>
          <w:p w14:paraId="53644957" w14:textId="77777777" w:rsidR="002C6574" w:rsidRDefault="00000000">
            <w:pPr>
              <w:pStyle w:val="TableParagraph"/>
              <w:spacing w:before="1"/>
              <w:ind w:left="307"/>
              <w:jc w:val="left"/>
              <w:rPr>
                <w:rFonts w:ascii="Arial"/>
                <w:b/>
                <w:sz w:val="18"/>
              </w:rPr>
            </w:pPr>
            <w:r>
              <w:rPr>
                <w:rFonts w:ascii="Arial"/>
                <w:b/>
                <w:spacing w:val="-4"/>
                <w:sz w:val="18"/>
              </w:rPr>
              <w:t>2021</w:t>
            </w:r>
          </w:p>
        </w:tc>
        <w:tc>
          <w:tcPr>
            <w:tcW w:w="2969" w:type="dxa"/>
            <w:tcBorders>
              <w:top w:val="single" w:sz="8" w:space="0" w:color="000000"/>
            </w:tcBorders>
          </w:tcPr>
          <w:p w14:paraId="495E7808" w14:textId="77777777" w:rsidR="002C6574" w:rsidRDefault="00000000">
            <w:pPr>
              <w:pStyle w:val="TableParagraph"/>
              <w:spacing w:line="202" w:lineRule="exact"/>
              <w:ind w:left="69"/>
              <w:jc w:val="left"/>
              <w:rPr>
                <w:sz w:val="18"/>
              </w:rPr>
            </w:pPr>
            <w:r>
              <w:rPr>
                <w:spacing w:val="-2"/>
                <w:sz w:val="18"/>
              </w:rPr>
              <w:t>Fevereiro</w:t>
            </w:r>
          </w:p>
        </w:tc>
        <w:tc>
          <w:tcPr>
            <w:tcW w:w="2179" w:type="dxa"/>
            <w:tcBorders>
              <w:top w:val="single" w:sz="8" w:space="0" w:color="000000"/>
            </w:tcBorders>
          </w:tcPr>
          <w:p w14:paraId="482F9430" w14:textId="77777777" w:rsidR="002C6574" w:rsidRDefault="00000000">
            <w:pPr>
              <w:pStyle w:val="TableParagraph"/>
              <w:spacing w:line="202" w:lineRule="exact"/>
              <w:ind w:right="61"/>
              <w:rPr>
                <w:sz w:val="18"/>
              </w:rPr>
            </w:pPr>
            <w:r>
              <w:rPr>
                <w:spacing w:val="-2"/>
                <w:w w:val="105"/>
                <w:sz w:val="18"/>
              </w:rPr>
              <w:t>11.667</w:t>
            </w:r>
          </w:p>
        </w:tc>
        <w:tc>
          <w:tcPr>
            <w:tcW w:w="1303" w:type="dxa"/>
            <w:tcBorders>
              <w:top w:val="single" w:sz="8" w:space="0" w:color="000000"/>
            </w:tcBorders>
          </w:tcPr>
          <w:p w14:paraId="6454C1A3" w14:textId="77777777" w:rsidR="002C6574" w:rsidRDefault="00000000">
            <w:pPr>
              <w:pStyle w:val="TableParagraph"/>
              <w:spacing w:line="202" w:lineRule="exact"/>
              <w:ind w:right="59"/>
              <w:rPr>
                <w:sz w:val="18"/>
              </w:rPr>
            </w:pPr>
            <w:r>
              <w:rPr>
                <w:spacing w:val="-2"/>
                <w:w w:val="110"/>
                <w:sz w:val="18"/>
              </w:rPr>
              <w:t>7.917</w:t>
            </w:r>
          </w:p>
        </w:tc>
        <w:tc>
          <w:tcPr>
            <w:tcW w:w="2301" w:type="dxa"/>
            <w:tcBorders>
              <w:top w:val="single" w:sz="8" w:space="0" w:color="000000"/>
            </w:tcBorders>
          </w:tcPr>
          <w:p w14:paraId="22958001" w14:textId="77777777" w:rsidR="002C6574" w:rsidRDefault="00000000">
            <w:pPr>
              <w:pStyle w:val="TableParagraph"/>
              <w:spacing w:line="202" w:lineRule="exact"/>
              <w:ind w:right="57"/>
              <w:rPr>
                <w:sz w:val="18"/>
              </w:rPr>
            </w:pPr>
            <w:r>
              <w:rPr>
                <w:spacing w:val="-2"/>
                <w:w w:val="105"/>
                <w:sz w:val="18"/>
              </w:rPr>
              <w:t>19.584</w:t>
            </w:r>
          </w:p>
        </w:tc>
      </w:tr>
      <w:tr w:rsidR="002C6574" w14:paraId="6CEB88BD" w14:textId="77777777">
        <w:trPr>
          <w:trHeight w:val="227"/>
        </w:trPr>
        <w:tc>
          <w:tcPr>
            <w:tcW w:w="1018" w:type="dxa"/>
            <w:vMerge/>
            <w:tcBorders>
              <w:top w:val="nil"/>
              <w:bottom w:val="single" w:sz="8" w:space="0" w:color="000000"/>
            </w:tcBorders>
          </w:tcPr>
          <w:p w14:paraId="6108BB15" w14:textId="77777777" w:rsidR="002C6574" w:rsidRDefault="002C6574">
            <w:pPr>
              <w:rPr>
                <w:sz w:val="2"/>
                <w:szCs w:val="2"/>
              </w:rPr>
            </w:pPr>
          </w:p>
        </w:tc>
        <w:tc>
          <w:tcPr>
            <w:tcW w:w="2969" w:type="dxa"/>
          </w:tcPr>
          <w:p w14:paraId="26FDFB82" w14:textId="77777777" w:rsidR="002C6574" w:rsidRDefault="00000000">
            <w:pPr>
              <w:pStyle w:val="TableParagraph"/>
              <w:spacing w:line="207" w:lineRule="exact"/>
              <w:ind w:left="69"/>
              <w:jc w:val="left"/>
              <w:rPr>
                <w:sz w:val="18"/>
              </w:rPr>
            </w:pPr>
            <w:r>
              <w:rPr>
                <w:spacing w:val="-2"/>
                <w:sz w:val="18"/>
              </w:rPr>
              <w:t>Março</w:t>
            </w:r>
          </w:p>
        </w:tc>
        <w:tc>
          <w:tcPr>
            <w:tcW w:w="2179" w:type="dxa"/>
          </w:tcPr>
          <w:p w14:paraId="78A66CC2" w14:textId="77777777" w:rsidR="002C6574" w:rsidRDefault="00000000">
            <w:pPr>
              <w:pStyle w:val="TableParagraph"/>
              <w:spacing w:line="207" w:lineRule="exact"/>
              <w:ind w:right="60"/>
              <w:rPr>
                <w:sz w:val="18"/>
              </w:rPr>
            </w:pPr>
            <w:r>
              <w:rPr>
                <w:spacing w:val="-5"/>
                <w:w w:val="105"/>
                <w:sz w:val="18"/>
              </w:rPr>
              <w:t>887</w:t>
            </w:r>
          </w:p>
        </w:tc>
        <w:tc>
          <w:tcPr>
            <w:tcW w:w="1303" w:type="dxa"/>
          </w:tcPr>
          <w:p w14:paraId="23A75A12" w14:textId="77777777" w:rsidR="002C6574" w:rsidRDefault="00000000">
            <w:pPr>
              <w:pStyle w:val="TableParagraph"/>
              <w:spacing w:line="207" w:lineRule="exact"/>
              <w:ind w:right="59"/>
              <w:rPr>
                <w:sz w:val="18"/>
              </w:rPr>
            </w:pPr>
            <w:r>
              <w:rPr>
                <w:spacing w:val="-5"/>
                <w:w w:val="105"/>
                <w:sz w:val="18"/>
              </w:rPr>
              <w:t>599</w:t>
            </w:r>
          </w:p>
        </w:tc>
        <w:tc>
          <w:tcPr>
            <w:tcW w:w="2301" w:type="dxa"/>
          </w:tcPr>
          <w:p w14:paraId="6637274C" w14:textId="77777777" w:rsidR="002C6574" w:rsidRDefault="00000000">
            <w:pPr>
              <w:pStyle w:val="TableParagraph"/>
              <w:spacing w:line="207" w:lineRule="exact"/>
              <w:ind w:right="55"/>
              <w:rPr>
                <w:sz w:val="18"/>
              </w:rPr>
            </w:pPr>
            <w:r>
              <w:rPr>
                <w:spacing w:val="-4"/>
                <w:w w:val="110"/>
                <w:sz w:val="18"/>
              </w:rPr>
              <w:t>1.486</w:t>
            </w:r>
          </w:p>
        </w:tc>
      </w:tr>
      <w:tr w:rsidR="002C6574" w14:paraId="39FD056B" w14:textId="77777777">
        <w:trPr>
          <w:trHeight w:val="227"/>
        </w:trPr>
        <w:tc>
          <w:tcPr>
            <w:tcW w:w="1018" w:type="dxa"/>
            <w:vMerge/>
            <w:tcBorders>
              <w:top w:val="nil"/>
              <w:bottom w:val="single" w:sz="8" w:space="0" w:color="000000"/>
            </w:tcBorders>
          </w:tcPr>
          <w:p w14:paraId="22E9BDB6" w14:textId="77777777" w:rsidR="002C6574" w:rsidRDefault="002C6574">
            <w:pPr>
              <w:rPr>
                <w:sz w:val="2"/>
                <w:szCs w:val="2"/>
              </w:rPr>
            </w:pPr>
          </w:p>
        </w:tc>
        <w:tc>
          <w:tcPr>
            <w:tcW w:w="2969" w:type="dxa"/>
          </w:tcPr>
          <w:p w14:paraId="7C1FBD1D" w14:textId="77777777" w:rsidR="002C6574" w:rsidRDefault="00000000">
            <w:pPr>
              <w:pStyle w:val="TableParagraph"/>
              <w:spacing w:line="207" w:lineRule="exact"/>
              <w:ind w:left="69"/>
              <w:jc w:val="left"/>
              <w:rPr>
                <w:sz w:val="18"/>
              </w:rPr>
            </w:pPr>
            <w:r>
              <w:rPr>
                <w:spacing w:val="-2"/>
                <w:sz w:val="18"/>
              </w:rPr>
              <w:t>Abril</w:t>
            </w:r>
          </w:p>
        </w:tc>
        <w:tc>
          <w:tcPr>
            <w:tcW w:w="2179" w:type="dxa"/>
          </w:tcPr>
          <w:p w14:paraId="68A7051B" w14:textId="77777777" w:rsidR="002C6574" w:rsidRDefault="00000000">
            <w:pPr>
              <w:pStyle w:val="TableParagraph"/>
              <w:spacing w:line="207" w:lineRule="exact"/>
              <w:ind w:right="62"/>
              <w:rPr>
                <w:sz w:val="18"/>
              </w:rPr>
            </w:pPr>
            <w:r>
              <w:rPr>
                <w:spacing w:val="-2"/>
                <w:w w:val="110"/>
                <w:sz w:val="18"/>
              </w:rPr>
              <w:t>1.386</w:t>
            </w:r>
          </w:p>
        </w:tc>
        <w:tc>
          <w:tcPr>
            <w:tcW w:w="1303" w:type="dxa"/>
          </w:tcPr>
          <w:p w14:paraId="6A7BDB83" w14:textId="77777777" w:rsidR="002C6574" w:rsidRDefault="00000000">
            <w:pPr>
              <w:pStyle w:val="TableParagraph"/>
              <w:spacing w:line="207" w:lineRule="exact"/>
              <w:ind w:right="59"/>
              <w:rPr>
                <w:sz w:val="18"/>
              </w:rPr>
            </w:pPr>
            <w:r>
              <w:rPr>
                <w:spacing w:val="-5"/>
                <w:w w:val="105"/>
                <w:sz w:val="18"/>
              </w:rPr>
              <w:t>931</w:t>
            </w:r>
          </w:p>
        </w:tc>
        <w:tc>
          <w:tcPr>
            <w:tcW w:w="2301" w:type="dxa"/>
          </w:tcPr>
          <w:p w14:paraId="2CA1105A" w14:textId="77777777" w:rsidR="002C6574" w:rsidRDefault="00000000">
            <w:pPr>
              <w:pStyle w:val="TableParagraph"/>
              <w:spacing w:line="207" w:lineRule="exact"/>
              <w:ind w:right="55"/>
              <w:rPr>
                <w:sz w:val="18"/>
              </w:rPr>
            </w:pPr>
            <w:r>
              <w:rPr>
                <w:spacing w:val="-4"/>
                <w:w w:val="110"/>
                <w:sz w:val="18"/>
              </w:rPr>
              <w:t>2.317</w:t>
            </w:r>
          </w:p>
        </w:tc>
      </w:tr>
      <w:tr w:rsidR="002C6574" w14:paraId="3434575B" w14:textId="77777777">
        <w:trPr>
          <w:trHeight w:val="227"/>
        </w:trPr>
        <w:tc>
          <w:tcPr>
            <w:tcW w:w="1018" w:type="dxa"/>
            <w:vMerge/>
            <w:tcBorders>
              <w:top w:val="nil"/>
              <w:bottom w:val="single" w:sz="8" w:space="0" w:color="000000"/>
            </w:tcBorders>
          </w:tcPr>
          <w:p w14:paraId="3AC5A09B" w14:textId="77777777" w:rsidR="002C6574" w:rsidRDefault="002C6574">
            <w:pPr>
              <w:rPr>
                <w:sz w:val="2"/>
                <w:szCs w:val="2"/>
              </w:rPr>
            </w:pPr>
          </w:p>
        </w:tc>
        <w:tc>
          <w:tcPr>
            <w:tcW w:w="2969" w:type="dxa"/>
          </w:tcPr>
          <w:p w14:paraId="4AAF1FC4" w14:textId="77777777" w:rsidR="002C6574" w:rsidRDefault="00000000">
            <w:pPr>
              <w:pStyle w:val="TableParagraph"/>
              <w:spacing w:line="207" w:lineRule="exact"/>
              <w:ind w:left="69"/>
              <w:jc w:val="left"/>
              <w:rPr>
                <w:sz w:val="18"/>
              </w:rPr>
            </w:pPr>
            <w:r>
              <w:rPr>
                <w:spacing w:val="-4"/>
                <w:sz w:val="18"/>
              </w:rPr>
              <w:t>Maio</w:t>
            </w:r>
          </w:p>
        </w:tc>
        <w:tc>
          <w:tcPr>
            <w:tcW w:w="2179" w:type="dxa"/>
          </w:tcPr>
          <w:p w14:paraId="3B628AA7" w14:textId="77777777" w:rsidR="002C6574" w:rsidRDefault="00000000">
            <w:pPr>
              <w:pStyle w:val="TableParagraph"/>
              <w:spacing w:line="207" w:lineRule="exact"/>
              <w:ind w:right="62"/>
              <w:rPr>
                <w:sz w:val="18"/>
              </w:rPr>
            </w:pPr>
            <w:r>
              <w:rPr>
                <w:spacing w:val="-2"/>
                <w:w w:val="110"/>
                <w:sz w:val="18"/>
              </w:rPr>
              <w:t>1.742</w:t>
            </w:r>
          </w:p>
        </w:tc>
        <w:tc>
          <w:tcPr>
            <w:tcW w:w="1303" w:type="dxa"/>
          </w:tcPr>
          <w:p w14:paraId="4E6E0A73" w14:textId="77777777" w:rsidR="002C6574" w:rsidRDefault="00000000">
            <w:pPr>
              <w:pStyle w:val="TableParagraph"/>
              <w:spacing w:line="207" w:lineRule="exact"/>
              <w:ind w:right="59"/>
              <w:rPr>
                <w:sz w:val="18"/>
              </w:rPr>
            </w:pPr>
            <w:r>
              <w:rPr>
                <w:spacing w:val="-2"/>
                <w:w w:val="110"/>
                <w:sz w:val="18"/>
              </w:rPr>
              <w:t>1.164</w:t>
            </w:r>
          </w:p>
        </w:tc>
        <w:tc>
          <w:tcPr>
            <w:tcW w:w="2301" w:type="dxa"/>
          </w:tcPr>
          <w:p w14:paraId="6E93B930" w14:textId="77777777" w:rsidR="002C6574" w:rsidRDefault="00000000">
            <w:pPr>
              <w:pStyle w:val="TableParagraph"/>
              <w:spacing w:line="207" w:lineRule="exact"/>
              <w:ind w:right="55"/>
              <w:rPr>
                <w:sz w:val="18"/>
              </w:rPr>
            </w:pPr>
            <w:r>
              <w:rPr>
                <w:spacing w:val="-4"/>
                <w:w w:val="110"/>
                <w:sz w:val="18"/>
              </w:rPr>
              <w:t>2.906</w:t>
            </w:r>
          </w:p>
        </w:tc>
      </w:tr>
    </w:tbl>
    <w:p w14:paraId="57080DB5" w14:textId="77777777" w:rsidR="002C6574" w:rsidRDefault="002C6574">
      <w:pPr>
        <w:pStyle w:val="TableParagraph"/>
        <w:spacing w:line="207" w:lineRule="exact"/>
        <w:rPr>
          <w:sz w:val="18"/>
        </w:rPr>
        <w:sectPr w:rsidR="002C6574">
          <w:headerReference w:type="default" r:id="rId85"/>
          <w:footerReference w:type="default" r:id="rId86"/>
          <w:pgSz w:w="11910" w:h="16840"/>
          <w:pgMar w:top="1600" w:right="141" w:bottom="1320" w:left="1133" w:header="856" w:footer="1125" w:gutter="0"/>
          <w:pgNumType w:start="1"/>
          <w:cols w:space="720"/>
        </w:sectPr>
      </w:pPr>
    </w:p>
    <w:p w14:paraId="6B02B5D0" w14:textId="77777777" w:rsidR="002C6574" w:rsidRDefault="002C6574">
      <w:pPr>
        <w:pStyle w:val="Corpodetexto"/>
        <w:spacing w:before="11"/>
        <w:rPr>
          <w:sz w:val="16"/>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
        <w:gridCol w:w="2969"/>
        <w:gridCol w:w="2179"/>
        <w:gridCol w:w="1303"/>
        <w:gridCol w:w="2301"/>
      </w:tblGrid>
      <w:tr w:rsidR="002C6574" w14:paraId="6C47173F" w14:textId="77777777">
        <w:trPr>
          <w:trHeight w:val="227"/>
        </w:trPr>
        <w:tc>
          <w:tcPr>
            <w:tcW w:w="1018" w:type="dxa"/>
            <w:shd w:val="clear" w:color="auto" w:fill="BFBFBF"/>
          </w:tcPr>
          <w:p w14:paraId="6205DD54" w14:textId="77777777" w:rsidR="002C6574" w:rsidRDefault="00000000">
            <w:pPr>
              <w:pStyle w:val="TableParagraph"/>
              <w:spacing w:before="20" w:line="187" w:lineRule="exact"/>
              <w:ind w:left="335"/>
              <w:jc w:val="left"/>
              <w:rPr>
                <w:rFonts w:ascii="Arial"/>
                <w:b/>
                <w:sz w:val="18"/>
              </w:rPr>
            </w:pPr>
            <w:r>
              <w:rPr>
                <w:rFonts w:ascii="Arial"/>
                <w:b/>
                <w:spacing w:val="-5"/>
                <w:sz w:val="18"/>
              </w:rPr>
              <w:t>Ano</w:t>
            </w:r>
          </w:p>
        </w:tc>
        <w:tc>
          <w:tcPr>
            <w:tcW w:w="2969" w:type="dxa"/>
            <w:shd w:val="clear" w:color="auto" w:fill="BFBFBF"/>
          </w:tcPr>
          <w:p w14:paraId="1608C798" w14:textId="77777777" w:rsidR="002C6574" w:rsidRDefault="00000000">
            <w:pPr>
              <w:pStyle w:val="TableParagraph"/>
              <w:spacing w:before="20" w:line="187" w:lineRule="exact"/>
              <w:ind w:left="592"/>
              <w:jc w:val="left"/>
              <w:rPr>
                <w:rFonts w:ascii="Arial" w:hAnsi="Arial"/>
                <w:b/>
                <w:sz w:val="18"/>
              </w:rPr>
            </w:pPr>
            <w:r>
              <w:rPr>
                <w:rFonts w:ascii="Arial" w:hAnsi="Arial"/>
                <w:b/>
                <w:sz w:val="18"/>
              </w:rPr>
              <w:t>Mês</w:t>
            </w:r>
            <w:r>
              <w:rPr>
                <w:rFonts w:ascii="Arial" w:hAnsi="Arial"/>
                <w:b/>
                <w:spacing w:val="1"/>
                <w:sz w:val="18"/>
              </w:rPr>
              <w:t xml:space="preserve"> </w:t>
            </w:r>
            <w:r>
              <w:rPr>
                <w:rFonts w:ascii="Arial" w:hAnsi="Arial"/>
                <w:b/>
                <w:sz w:val="18"/>
              </w:rPr>
              <w:t xml:space="preserve">de </w:t>
            </w:r>
            <w:r>
              <w:rPr>
                <w:rFonts w:ascii="Arial" w:hAnsi="Arial"/>
                <w:b/>
                <w:spacing w:val="-2"/>
                <w:sz w:val="18"/>
              </w:rPr>
              <w:t>Recebimento</w:t>
            </w:r>
          </w:p>
        </w:tc>
        <w:tc>
          <w:tcPr>
            <w:tcW w:w="2179" w:type="dxa"/>
            <w:shd w:val="clear" w:color="auto" w:fill="BFBFBF"/>
          </w:tcPr>
          <w:p w14:paraId="69DDD128" w14:textId="77777777" w:rsidR="002C6574" w:rsidRDefault="00000000">
            <w:pPr>
              <w:pStyle w:val="TableParagraph"/>
              <w:spacing w:before="20" w:line="187" w:lineRule="exact"/>
              <w:ind w:left="436"/>
              <w:jc w:val="left"/>
              <w:rPr>
                <w:rFonts w:ascii="Arial"/>
                <w:b/>
                <w:sz w:val="18"/>
              </w:rPr>
            </w:pPr>
            <w:r>
              <w:rPr>
                <w:rFonts w:ascii="Arial"/>
                <w:b/>
                <w:sz w:val="18"/>
              </w:rPr>
              <w:t>Valor</w:t>
            </w:r>
            <w:r>
              <w:rPr>
                <w:rFonts w:ascii="Arial"/>
                <w:b/>
                <w:spacing w:val="-1"/>
                <w:sz w:val="18"/>
              </w:rPr>
              <w:t xml:space="preserve"> </w:t>
            </w:r>
            <w:r>
              <w:rPr>
                <w:rFonts w:ascii="Arial"/>
                <w:b/>
                <w:spacing w:val="-2"/>
                <w:sz w:val="18"/>
              </w:rPr>
              <w:t>Recebido</w:t>
            </w:r>
          </w:p>
        </w:tc>
        <w:tc>
          <w:tcPr>
            <w:tcW w:w="1303" w:type="dxa"/>
            <w:shd w:val="clear" w:color="auto" w:fill="BFBFBF"/>
          </w:tcPr>
          <w:p w14:paraId="7DADDB8C" w14:textId="77777777" w:rsidR="002C6574" w:rsidRDefault="00000000">
            <w:pPr>
              <w:pStyle w:val="TableParagraph"/>
              <w:spacing w:before="20" w:line="187" w:lineRule="exact"/>
              <w:ind w:left="299"/>
              <w:jc w:val="left"/>
              <w:rPr>
                <w:rFonts w:ascii="Arial"/>
                <w:b/>
                <w:sz w:val="18"/>
              </w:rPr>
            </w:pPr>
            <w:r>
              <w:rPr>
                <w:rFonts w:ascii="Arial"/>
                <w:b/>
                <w:sz w:val="18"/>
              </w:rPr>
              <w:t xml:space="preserve">Juros </w:t>
            </w:r>
            <w:r>
              <w:rPr>
                <w:rFonts w:ascii="Arial"/>
                <w:b/>
                <w:spacing w:val="-5"/>
                <w:sz w:val="18"/>
              </w:rPr>
              <w:t>(i)</w:t>
            </w:r>
          </w:p>
        </w:tc>
        <w:tc>
          <w:tcPr>
            <w:tcW w:w="2301" w:type="dxa"/>
            <w:shd w:val="clear" w:color="auto" w:fill="BFBFBF"/>
          </w:tcPr>
          <w:p w14:paraId="11CC78E8" w14:textId="77777777" w:rsidR="002C6574" w:rsidRDefault="00000000">
            <w:pPr>
              <w:pStyle w:val="TableParagraph"/>
              <w:spacing w:before="20" w:line="187" w:lineRule="exact"/>
              <w:ind w:left="448"/>
              <w:jc w:val="left"/>
              <w:rPr>
                <w:rFonts w:ascii="Arial"/>
                <w:b/>
                <w:sz w:val="18"/>
              </w:rPr>
            </w:pPr>
            <w:r>
              <w:rPr>
                <w:rFonts w:ascii="Arial"/>
                <w:b/>
                <w:sz w:val="18"/>
              </w:rPr>
              <w:t>Valor</w:t>
            </w:r>
            <w:r>
              <w:rPr>
                <w:rFonts w:ascii="Arial"/>
                <w:b/>
                <w:spacing w:val="1"/>
                <w:sz w:val="18"/>
              </w:rPr>
              <w:t xml:space="preserve"> </w:t>
            </w:r>
            <w:r>
              <w:rPr>
                <w:rFonts w:ascii="Arial"/>
                <w:b/>
                <w:spacing w:val="-2"/>
                <w:sz w:val="18"/>
              </w:rPr>
              <w:t>Atualizado</w:t>
            </w:r>
          </w:p>
        </w:tc>
      </w:tr>
      <w:tr w:rsidR="002C6574" w14:paraId="564AAA78" w14:textId="77777777">
        <w:trPr>
          <w:trHeight w:val="232"/>
        </w:trPr>
        <w:tc>
          <w:tcPr>
            <w:tcW w:w="1018" w:type="dxa"/>
            <w:vMerge w:val="restart"/>
            <w:tcBorders>
              <w:bottom w:val="single" w:sz="8" w:space="0" w:color="000000"/>
            </w:tcBorders>
          </w:tcPr>
          <w:p w14:paraId="7E53CA36" w14:textId="77777777" w:rsidR="002C6574" w:rsidRDefault="002C6574">
            <w:pPr>
              <w:pStyle w:val="TableParagraph"/>
              <w:jc w:val="left"/>
              <w:rPr>
                <w:rFonts w:ascii="Times New Roman"/>
                <w:sz w:val="18"/>
              </w:rPr>
            </w:pPr>
          </w:p>
        </w:tc>
        <w:tc>
          <w:tcPr>
            <w:tcW w:w="2969" w:type="dxa"/>
          </w:tcPr>
          <w:p w14:paraId="6F818368" w14:textId="77777777" w:rsidR="002C6574" w:rsidRDefault="00000000">
            <w:pPr>
              <w:pStyle w:val="TableParagraph"/>
              <w:spacing w:before="4" w:line="207" w:lineRule="exact"/>
              <w:ind w:left="73"/>
              <w:jc w:val="left"/>
              <w:rPr>
                <w:sz w:val="18"/>
              </w:rPr>
            </w:pPr>
            <w:r>
              <w:rPr>
                <w:spacing w:val="-2"/>
                <w:w w:val="105"/>
                <w:sz w:val="18"/>
              </w:rPr>
              <w:t>Junho</w:t>
            </w:r>
          </w:p>
        </w:tc>
        <w:tc>
          <w:tcPr>
            <w:tcW w:w="2179" w:type="dxa"/>
          </w:tcPr>
          <w:p w14:paraId="569B2E7B" w14:textId="77777777" w:rsidR="002C6574" w:rsidRDefault="00000000">
            <w:pPr>
              <w:pStyle w:val="TableParagraph"/>
              <w:spacing w:before="4" w:line="207" w:lineRule="exact"/>
              <w:ind w:right="56"/>
              <w:rPr>
                <w:sz w:val="18"/>
              </w:rPr>
            </w:pPr>
            <w:r>
              <w:rPr>
                <w:spacing w:val="-2"/>
                <w:w w:val="110"/>
                <w:sz w:val="18"/>
              </w:rPr>
              <w:t>4.930</w:t>
            </w:r>
          </w:p>
        </w:tc>
        <w:tc>
          <w:tcPr>
            <w:tcW w:w="1303" w:type="dxa"/>
          </w:tcPr>
          <w:p w14:paraId="1A530EB6" w14:textId="77777777" w:rsidR="002C6574" w:rsidRDefault="00000000">
            <w:pPr>
              <w:pStyle w:val="TableParagraph"/>
              <w:spacing w:before="4" w:line="207" w:lineRule="exact"/>
              <w:ind w:right="55"/>
              <w:rPr>
                <w:sz w:val="18"/>
              </w:rPr>
            </w:pPr>
            <w:r>
              <w:rPr>
                <w:spacing w:val="-2"/>
                <w:w w:val="110"/>
                <w:sz w:val="18"/>
              </w:rPr>
              <w:t>3.268</w:t>
            </w:r>
          </w:p>
        </w:tc>
        <w:tc>
          <w:tcPr>
            <w:tcW w:w="2301" w:type="dxa"/>
          </w:tcPr>
          <w:p w14:paraId="7F68106A" w14:textId="77777777" w:rsidR="002C6574" w:rsidRDefault="00000000">
            <w:pPr>
              <w:pStyle w:val="TableParagraph"/>
              <w:spacing w:before="4" w:line="207" w:lineRule="exact"/>
              <w:ind w:right="50"/>
              <w:rPr>
                <w:sz w:val="18"/>
              </w:rPr>
            </w:pPr>
            <w:r>
              <w:rPr>
                <w:spacing w:val="-4"/>
                <w:w w:val="110"/>
                <w:sz w:val="18"/>
              </w:rPr>
              <w:t>8.198</w:t>
            </w:r>
          </w:p>
        </w:tc>
      </w:tr>
      <w:tr w:rsidR="002C6574" w14:paraId="105C0DF0" w14:textId="77777777">
        <w:trPr>
          <w:trHeight w:val="227"/>
        </w:trPr>
        <w:tc>
          <w:tcPr>
            <w:tcW w:w="1018" w:type="dxa"/>
            <w:vMerge/>
            <w:tcBorders>
              <w:top w:val="nil"/>
              <w:bottom w:val="single" w:sz="8" w:space="0" w:color="000000"/>
            </w:tcBorders>
          </w:tcPr>
          <w:p w14:paraId="097A9018" w14:textId="77777777" w:rsidR="002C6574" w:rsidRDefault="002C6574">
            <w:pPr>
              <w:rPr>
                <w:sz w:val="2"/>
                <w:szCs w:val="2"/>
              </w:rPr>
            </w:pPr>
          </w:p>
        </w:tc>
        <w:tc>
          <w:tcPr>
            <w:tcW w:w="2969" w:type="dxa"/>
          </w:tcPr>
          <w:p w14:paraId="3DF69BAC" w14:textId="77777777" w:rsidR="002C6574" w:rsidRDefault="00000000">
            <w:pPr>
              <w:pStyle w:val="TableParagraph"/>
              <w:spacing w:line="207" w:lineRule="exact"/>
              <w:ind w:left="73"/>
              <w:jc w:val="left"/>
              <w:rPr>
                <w:sz w:val="18"/>
              </w:rPr>
            </w:pPr>
            <w:r>
              <w:rPr>
                <w:spacing w:val="-2"/>
                <w:w w:val="105"/>
                <w:sz w:val="18"/>
              </w:rPr>
              <w:t>Julho</w:t>
            </w:r>
          </w:p>
        </w:tc>
        <w:tc>
          <w:tcPr>
            <w:tcW w:w="2179" w:type="dxa"/>
          </w:tcPr>
          <w:p w14:paraId="38BEDCBE" w14:textId="77777777" w:rsidR="002C6574" w:rsidRDefault="00000000">
            <w:pPr>
              <w:pStyle w:val="TableParagraph"/>
              <w:spacing w:line="207" w:lineRule="exact"/>
              <w:ind w:right="57"/>
              <w:rPr>
                <w:sz w:val="18"/>
              </w:rPr>
            </w:pPr>
            <w:r>
              <w:rPr>
                <w:spacing w:val="-2"/>
                <w:w w:val="110"/>
                <w:sz w:val="18"/>
              </w:rPr>
              <w:t>1.757</w:t>
            </w:r>
          </w:p>
        </w:tc>
        <w:tc>
          <w:tcPr>
            <w:tcW w:w="1303" w:type="dxa"/>
          </w:tcPr>
          <w:p w14:paraId="0D2734E7" w14:textId="77777777" w:rsidR="002C6574" w:rsidRDefault="00000000">
            <w:pPr>
              <w:pStyle w:val="TableParagraph"/>
              <w:spacing w:line="207" w:lineRule="exact"/>
              <w:ind w:right="55"/>
              <w:rPr>
                <w:sz w:val="18"/>
              </w:rPr>
            </w:pPr>
            <w:r>
              <w:rPr>
                <w:spacing w:val="-2"/>
                <w:w w:val="110"/>
                <w:sz w:val="18"/>
              </w:rPr>
              <w:t>1.153</w:t>
            </w:r>
          </w:p>
        </w:tc>
        <w:tc>
          <w:tcPr>
            <w:tcW w:w="2301" w:type="dxa"/>
          </w:tcPr>
          <w:p w14:paraId="34252729" w14:textId="77777777" w:rsidR="002C6574" w:rsidRDefault="00000000">
            <w:pPr>
              <w:pStyle w:val="TableParagraph"/>
              <w:spacing w:line="207" w:lineRule="exact"/>
              <w:ind w:right="50"/>
              <w:rPr>
                <w:sz w:val="18"/>
              </w:rPr>
            </w:pPr>
            <w:r>
              <w:rPr>
                <w:spacing w:val="-4"/>
                <w:w w:val="110"/>
                <w:sz w:val="18"/>
              </w:rPr>
              <w:t>2.910</w:t>
            </w:r>
          </w:p>
        </w:tc>
      </w:tr>
      <w:tr w:rsidR="002C6574" w14:paraId="4655624D" w14:textId="77777777">
        <w:trPr>
          <w:trHeight w:val="227"/>
        </w:trPr>
        <w:tc>
          <w:tcPr>
            <w:tcW w:w="1018" w:type="dxa"/>
            <w:vMerge/>
            <w:tcBorders>
              <w:top w:val="nil"/>
              <w:bottom w:val="single" w:sz="8" w:space="0" w:color="000000"/>
            </w:tcBorders>
          </w:tcPr>
          <w:p w14:paraId="368F72F3" w14:textId="77777777" w:rsidR="002C6574" w:rsidRDefault="002C6574">
            <w:pPr>
              <w:rPr>
                <w:sz w:val="2"/>
                <w:szCs w:val="2"/>
              </w:rPr>
            </w:pPr>
          </w:p>
        </w:tc>
        <w:tc>
          <w:tcPr>
            <w:tcW w:w="2969" w:type="dxa"/>
          </w:tcPr>
          <w:p w14:paraId="3839A80C" w14:textId="77777777" w:rsidR="002C6574" w:rsidRDefault="00000000">
            <w:pPr>
              <w:pStyle w:val="TableParagraph"/>
              <w:spacing w:line="207" w:lineRule="exact"/>
              <w:ind w:left="73"/>
              <w:jc w:val="left"/>
              <w:rPr>
                <w:sz w:val="18"/>
              </w:rPr>
            </w:pPr>
            <w:r>
              <w:rPr>
                <w:spacing w:val="-2"/>
                <w:sz w:val="18"/>
              </w:rPr>
              <w:t>Agosto</w:t>
            </w:r>
          </w:p>
        </w:tc>
        <w:tc>
          <w:tcPr>
            <w:tcW w:w="2179" w:type="dxa"/>
          </w:tcPr>
          <w:p w14:paraId="16F0B10C" w14:textId="77777777" w:rsidR="002C6574" w:rsidRDefault="00000000">
            <w:pPr>
              <w:pStyle w:val="TableParagraph"/>
              <w:spacing w:line="207" w:lineRule="exact"/>
              <w:ind w:right="57"/>
              <w:rPr>
                <w:sz w:val="18"/>
              </w:rPr>
            </w:pPr>
            <w:r>
              <w:rPr>
                <w:spacing w:val="-2"/>
                <w:w w:val="110"/>
                <w:sz w:val="18"/>
              </w:rPr>
              <w:t>2.478</w:t>
            </w:r>
          </w:p>
        </w:tc>
        <w:tc>
          <w:tcPr>
            <w:tcW w:w="1303" w:type="dxa"/>
          </w:tcPr>
          <w:p w14:paraId="2AC4E749" w14:textId="77777777" w:rsidR="002C6574" w:rsidRDefault="00000000">
            <w:pPr>
              <w:pStyle w:val="TableParagraph"/>
              <w:spacing w:line="207" w:lineRule="exact"/>
              <w:ind w:right="55"/>
              <w:rPr>
                <w:sz w:val="18"/>
              </w:rPr>
            </w:pPr>
            <w:r>
              <w:rPr>
                <w:spacing w:val="-2"/>
                <w:w w:val="110"/>
                <w:sz w:val="18"/>
              </w:rPr>
              <w:t>1.618</w:t>
            </w:r>
          </w:p>
        </w:tc>
        <w:tc>
          <w:tcPr>
            <w:tcW w:w="2301" w:type="dxa"/>
          </w:tcPr>
          <w:p w14:paraId="5EE9B1C3" w14:textId="77777777" w:rsidR="002C6574" w:rsidRDefault="00000000">
            <w:pPr>
              <w:pStyle w:val="TableParagraph"/>
              <w:spacing w:line="207" w:lineRule="exact"/>
              <w:ind w:right="50"/>
              <w:rPr>
                <w:sz w:val="18"/>
              </w:rPr>
            </w:pPr>
            <w:r>
              <w:rPr>
                <w:spacing w:val="-4"/>
                <w:w w:val="110"/>
                <w:sz w:val="18"/>
              </w:rPr>
              <w:t>4.096</w:t>
            </w:r>
          </w:p>
        </w:tc>
      </w:tr>
      <w:tr w:rsidR="002C6574" w14:paraId="07696F8A" w14:textId="77777777">
        <w:trPr>
          <w:trHeight w:val="227"/>
        </w:trPr>
        <w:tc>
          <w:tcPr>
            <w:tcW w:w="1018" w:type="dxa"/>
            <w:vMerge/>
            <w:tcBorders>
              <w:top w:val="nil"/>
              <w:bottom w:val="single" w:sz="8" w:space="0" w:color="000000"/>
            </w:tcBorders>
          </w:tcPr>
          <w:p w14:paraId="54A9035B" w14:textId="77777777" w:rsidR="002C6574" w:rsidRDefault="002C6574">
            <w:pPr>
              <w:rPr>
                <w:sz w:val="2"/>
                <w:szCs w:val="2"/>
              </w:rPr>
            </w:pPr>
          </w:p>
        </w:tc>
        <w:tc>
          <w:tcPr>
            <w:tcW w:w="2969" w:type="dxa"/>
          </w:tcPr>
          <w:p w14:paraId="72F29CA9" w14:textId="77777777" w:rsidR="002C6574" w:rsidRDefault="00000000">
            <w:pPr>
              <w:pStyle w:val="TableParagraph"/>
              <w:spacing w:line="207" w:lineRule="exact"/>
              <w:ind w:left="73"/>
              <w:jc w:val="left"/>
              <w:rPr>
                <w:sz w:val="18"/>
              </w:rPr>
            </w:pPr>
            <w:r>
              <w:rPr>
                <w:spacing w:val="-2"/>
                <w:sz w:val="18"/>
              </w:rPr>
              <w:t>Setembro</w:t>
            </w:r>
          </w:p>
        </w:tc>
        <w:tc>
          <w:tcPr>
            <w:tcW w:w="2179" w:type="dxa"/>
          </w:tcPr>
          <w:p w14:paraId="60710118" w14:textId="77777777" w:rsidR="002C6574" w:rsidRDefault="00000000">
            <w:pPr>
              <w:pStyle w:val="TableParagraph"/>
              <w:spacing w:line="207" w:lineRule="exact"/>
              <w:ind w:right="57"/>
              <w:rPr>
                <w:sz w:val="18"/>
              </w:rPr>
            </w:pPr>
            <w:r>
              <w:rPr>
                <w:spacing w:val="-2"/>
                <w:w w:val="110"/>
                <w:sz w:val="18"/>
              </w:rPr>
              <w:t>1.509</w:t>
            </w:r>
          </w:p>
        </w:tc>
        <w:tc>
          <w:tcPr>
            <w:tcW w:w="1303" w:type="dxa"/>
          </w:tcPr>
          <w:p w14:paraId="6A43DFBD" w14:textId="77777777" w:rsidR="002C6574" w:rsidRDefault="00000000">
            <w:pPr>
              <w:pStyle w:val="TableParagraph"/>
              <w:spacing w:line="207" w:lineRule="exact"/>
              <w:ind w:right="55"/>
              <w:rPr>
                <w:sz w:val="18"/>
              </w:rPr>
            </w:pPr>
            <w:r>
              <w:rPr>
                <w:spacing w:val="-5"/>
                <w:w w:val="105"/>
                <w:sz w:val="18"/>
              </w:rPr>
              <w:t>974</w:t>
            </w:r>
          </w:p>
        </w:tc>
        <w:tc>
          <w:tcPr>
            <w:tcW w:w="2301" w:type="dxa"/>
          </w:tcPr>
          <w:p w14:paraId="48EB56B0" w14:textId="77777777" w:rsidR="002C6574" w:rsidRDefault="00000000">
            <w:pPr>
              <w:pStyle w:val="TableParagraph"/>
              <w:spacing w:line="207" w:lineRule="exact"/>
              <w:ind w:right="50"/>
              <w:rPr>
                <w:sz w:val="18"/>
              </w:rPr>
            </w:pPr>
            <w:r>
              <w:rPr>
                <w:spacing w:val="-4"/>
                <w:w w:val="110"/>
                <w:sz w:val="18"/>
              </w:rPr>
              <w:t>2.483</w:t>
            </w:r>
          </w:p>
        </w:tc>
      </w:tr>
      <w:tr w:rsidR="002C6574" w14:paraId="053640E6" w14:textId="77777777">
        <w:trPr>
          <w:trHeight w:val="227"/>
        </w:trPr>
        <w:tc>
          <w:tcPr>
            <w:tcW w:w="1018" w:type="dxa"/>
            <w:vMerge/>
            <w:tcBorders>
              <w:top w:val="nil"/>
              <w:bottom w:val="single" w:sz="8" w:space="0" w:color="000000"/>
            </w:tcBorders>
          </w:tcPr>
          <w:p w14:paraId="72E8AD30" w14:textId="77777777" w:rsidR="002C6574" w:rsidRDefault="002C6574">
            <w:pPr>
              <w:rPr>
                <w:sz w:val="2"/>
                <w:szCs w:val="2"/>
              </w:rPr>
            </w:pPr>
          </w:p>
        </w:tc>
        <w:tc>
          <w:tcPr>
            <w:tcW w:w="2969" w:type="dxa"/>
          </w:tcPr>
          <w:p w14:paraId="63490325" w14:textId="77777777" w:rsidR="002C6574" w:rsidRDefault="00000000">
            <w:pPr>
              <w:pStyle w:val="TableParagraph"/>
              <w:spacing w:line="207" w:lineRule="exact"/>
              <w:ind w:left="73"/>
              <w:jc w:val="left"/>
              <w:rPr>
                <w:sz w:val="18"/>
              </w:rPr>
            </w:pPr>
            <w:r>
              <w:rPr>
                <w:spacing w:val="-2"/>
                <w:sz w:val="18"/>
              </w:rPr>
              <w:t>Outubro</w:t>
            </w:r>
          </w:p>
        </w:tc>
        <w:tc>
          <w:tcPr>
            <w:tcW w:w="2179" w:type="dxa"/>
          </w:tcPr>
          <w:p w14:paraId="030A9443" w14:textId="77777777" w:rsidR="002C6574" w:rsidRDefault="00000000">
            <w:pPr>
              <w:pStyle w:val="TableParagraph"/>
              <w:spacing w:line="207" w:lineRule="exact"/>
              <w:ind w:right="57"/>
              <w:rPr>
                <w:sz w:val="18"/>
              </w:rPr>
            </w:pPr>
            <w:r>
              <w:rPr>
                <w:spacing w:val="-2"/>
                <w:w w:val="110"/>
                <w:sz w:val="18"/>
              </w:rPr>
              <w:t>1.537</w:t>
            </w:r>
          </w:p>
        </w:tc>
        <w:tc>
          <w:tcPr>
            <w:tcW w:w="1303" w:type="dxa"/>
          </w:tcPr>
          <w:p w14:paraId="47E67E72" w14:textId="77777777" w:rsidR="002C6574" w:rsidRDefault="00000000">
            <w:pPr>
              <w:pStyle w:val="TableParagraph"/>
              <w:spacing w:line="207" w:lineRule="exact"/>
              <w:ind w:right="55"/>
              <w:rPr>
                <w:sz w:val="18"/>
              </w:rPr>
            </w:pPr>
            <w:r>
              <w:rPr>
                <w:spacing w:val="-5"/>
                <w:w w:val="105"/>
                <w:sz w:val="18"/>
              </w:rPr>
              <w:t>981</w:t>
            </w:r>
          </w:p>
        </w:tc>
        <w:tc>
          <w:tcPr>
            <w:tcW w:w="2301" w:type="dxa"/>
          </w:tcPr>
          <w:p w14:paraId="708DA66B" w14:textId="77777777" w:rsidR="002C6574" w:rsidRDefault="00000000">
            <w:pPr>
              <w:pStyle w:val="TableParagraph"/>
              <w:spacing w:line="207" w:lineRule="exact"/>
              <w:ind w:right="50"/>
              <w:rPr>
                <w:sz w:val="18"/>
              </w:rPr>
            </w:pPr>
            <w:r>
              <w:rPr>
                <w:spacing w:val="-4"/>
                <w:w w:val="110"/>
                <w:sz w:val="18"/>
              </w:rPr>
              <w:t>2.518</w:t>
            </w:r>
          </w:p>
        </w:tc>
      </w:tr>
      <w:tr w:rsidR="002C6574" w14:paraId="2E280E4A" w14:textId="77777777">
        <w:trPr>
          <w:trHeight w:val="224"/>
        </w:trPr>
        <w:tc>
          <w:tcPr>
            <w:tcW w:w="1018" w:type="dxa"/>
            <w:vMerge/>
            <w:tcBorders>
              <w:top w:val="nil"/>
              <w:bottom w:val="single" w:sz="8" w:space="0" w:color="000000"/>
            </w:tcBorders>
          </w:tcPr>
          <w:p w14:paraId="0D646BEF" w14:textId="77777777" w:rsidR="002C6574" w:rsidRDefault="002C6574">
            <w:pPr>
              <w:rPr>
                <w:sz w:val="2"/>
                <w:szCs w:val="2"/>
              </w:rPr>
            </w:pPr>
          </w:p>
        </w:tc>
        <w:tc>
          <w:tcPr>
            <w:tcW w:w="2969" w:type="dxa"/>
          </w:tcPr>
          <w:p w14:paraId="608D6206" w14:textId="77777777" w:rsidR="002C6574" w:rsidRDefault="00000000">
            <w:pPr>
              <w:pStyle w:val="TableParagraph"/>
              <w:spacing w:line="205" w:lineRule="exact"/>
              <w:ind w:left="73"/>
              <w:jc w:val="left"/>
              <w:rPr>
                <w:sz w:val="18"/>
              </w:rPr>
            </w:pPr>
            <w:r>
              <w:rPr>
                <w:spacing w:val="-2"/>
                <w:sz w:val="18"/>
              </w:rPr>
              <w:t>Novembro</w:t>
            </w:r>
          </w:p>
        </w:tc>
        <w:tc>
          <w:tcPr>
            <w:tcW w:w="2179" w:type="dxa"/>
          </w:tcPr>
          <w:p w14:paraId="2AF674D8" w14:textId="77777777" w:rsidR="002C6574" w:rsidRDefault="00000000">
            <w:pPr>
              <w:pStyle w:val="TableParagraph"/>
              <w:spacing w:line="205" w:lineRule="exact"/>
              <w:ind w:right="57"/>
              <w:rPr>
                <w:sz w:val="18"/>
              </w:rPr>
            </w:pPr>
            <w:r>
              <w:rPr>
                <w:spacing w:val="-2"/>
                <w:w w:val="110"/>
                <w:sz w:val="18"/>
              </w:rPr>
              <w:t>1.293</w:t>
            </w:r>
          </w:p>
        </w:tc>
        <w:tc>
          <w:tcPr>
            <w:tcW w:w="1303" w:type="dxa"/>
          </w:tcPr>
          <w:p w14:paraId="4BED5530" w14:textId="77777777" w:rsidR="002C6574" w:rsidRDefault="00000000">
            <w:pPr>
              <w:pStyle w:val="TableParagraph"/>
              <w:spacing w:line="205" w:lineRule="exact"/>
              <w:ind w:right="55"/>
              <w:rPr>
                <w:sz w:val="18"/>
              </w:rPr>
            </w:pPr>
            <w:r>
              <w:rPr>
                <w:spacing w:val="-5"/>
                <w:w w:val="105"/>
                <w:sz w:val="18"/>
              </w:rPr>
              <w:t>814</w:t>
            </w:r>
          </w:p>
        </w:tc>
        <w:tc>
          <w:tcPr>
            <w:tcW w:w="2301" w:type="dxa"/>
          </w:tcPr>
          <w:p w14:paraId="6AEA00A8" w14:textId="77777777" w:rsidR="002C6574" w:rsidRDefault="00000000">
            <w:pPr>
              <w:pStyle w:val="TableParagraph"/>
              <w:spacing w:line="205" w:lineRule="exact"/>
              <w:ind w:right="50"/>
              <w:rPr>
                <w:sz w:val="18"/>
              </w:rPr>
            </w:pPr>
            <w:r>
              <w:rPr>
                <w:spacing w:val="-4"/>
                <w:w w:val="110"/>
                <w:sz w:val="18"/>
              </w:rPr>
              <w:t>2.107</w:t>
            </w:r>
          </w:p>
        </w:tc>
      </w:tr>
      <w:tr w:rsidR="002C6574" w14:paraId="22FEB921" w14:textId="77777777">
        <w:trPr>
          <w:trHeight w:val="232"/>
        </w:trPr>
        <w:tc>
          <w:tcPr>
            <w:tcW w:w="1018" w:type="dxa"/>
            <w:vMerge/>
            <w:tcBorders>
              <w:top w:val="nil"/>
              <w:bottom w:val="single" w:sz="8" w:space="0" w:color="000000"/>
            </w:tcBorders>
          </w:tcPr>
          <w:p w14:paraId="51B8FE08" w14:textId="77777777" w:rsidR="002C6574" w:rsidRDefault="002C6574">
            <w:pPr>
              <w:rPr>
                <w:sz w:val="2"/>
                <w:szCs w:val="2"/>
              </w:rPr>
            </w:pPr>
          </w:p>
        </w:tc>
        <w:tc>
          <w:tcPr>
            <w:tcW w:w="2969" w:type="dxa"/>
            <w:tcBorders>
              <w:bottom w:val="single" w:sz="8" w:space="0" w:color="000000"/>
            </w:tcBorders>
          </w:tcPr>
          <w:p w14:paraId="40F647E2" w14:textId="77777777" w:rsidR="002C6574" w:rsidRDefault="00000000">
            <w:pPr>
              <w:pStyle w:val="TableParagraph"/>
              <w:spacing w:line="212" w:lineRule="exact"/>
              <w:ind w:left="73"/>
              <w:jc w:val="left"/>
              <w:rPr>
                <w:sz w:val="18"/>
              </w:rPr>
            </w:pPr>
            <w:r>
              <w:rPr>
                <w:spacing w:val="-2"/>
                <w:sz w:val="18"/>
              </w:rPr>
              <w:t>Dezembro</w:t>
            </w:r>
          </w:p>
        </w:tc>
        <w:tc>
          <w:tcPr>
            <w:tcW w:w="2179" w:type="dxa"/>
            <w:tcBorders>
              <w:bottom w:val="single" w:sz="8" w:space="0" w:color="000000"/>
            </w:tcBorders>
          </w:tcPr>
          <w:p w14:paraId="43306DD0" w14:textId="77777777" w:rsidR="002C6574" w:rsidRDefault="00000000">
            <w:pPr>
              <w:pStyle w:val="TableParagraph"/>
              <w:spacing w:line="212" w:lineRule="exact"/>
              <w:ind w:right="57"/>
              <w:rPr>
                <w:sz w:val="18"/>
              </w:rPr>
            </w:pPr>
            <w:r>
              <w:rPr>
                <w:spacing w:val="-2"/>
                <w:w w:val="110"/>
                <w:sz w:val="18"/>
              </w:rPr>
              <w:t>4.615</w:t>
            </w:r>
          </w:p>
        </w:tc>
        <w:tc>
          <w:tcPr>
            <w:tcW w:w="1303" w:type="dxa"/>
            <w:tcBorders>
              <w:bottom w:val="single" w:sz="8" w:space="0" w:color="000000"/>
            </w:tcBorders>
          </w:tcPr>
          <w:p w14:paraId="33F18DB2" w14:textId="77777777" w:rsidR="002C6574" w:rsidRDefault="00000000">
            <w:pPr>
              <w:pStyle w:val="TableParagraph"/>
              <w:spacing w:line="212" w:lineRule="exact"/>
              <w:ind w:right="55"/>
              <w:rPr>
                <w:sz w:val="18"/>
              </w:rPr>
            </w:pPr>
            <w:r>
              <w:rPr>
                <w:spacing w:val="-2"/>
                <w:w w:val="110"/>
                <w:sz w:val="18"/>
              </w:rPr>
              <w:t>2.832</w:t>
            </w:r>
          </w:p>
        </w:tc>
        <w:tc>
          <w:tcPr>
            <w:tcW w:w="2301" w:type="dxa"/>
            <w:tcBorders>
              <w:bottom w:val="single" w:sz="8" w:space="0" w:color="000000"/>
            </w:tcBorders>
          </w:tcPr>
          <w:p w14:paraId="54D5A3EE" w14:textId="77777777" w:rsidR="002C6574" w:rsidRDefault="00000000">
            <w:pPr>
              <w:pStyle w:val="TableParagraph"/>
              <w:spacing w:line="212" w:lineRule="exact"/>
              <w:ind w:right="50"/>
              <w:rPr>
                <w:sz w:val="18"/>
              </w:rPr>
            </w:pPr>
            <w:r>
              <w:rPr>
                <w:spacing w:val="-4"/>
                <w:w w:val="110"/>
                <w:sz w:val="18"/>
              </w:rPr>
              <w:t>7.447</w:t>
            </w:r>
          </w:p>
        </w:tc>
      </w:tr>
      <w:tr w:rsidR="002C6574" w14:paraId="6EEE5647" w14:textId="77777777">
        <w:trPr>
          <w:trHeight w:val="222"/>
        </w:trPr>
        <w:tc>
          <w:tcPr>
            <w:tcW w:w="1018" w:type="dxa"/>
            <w:vMerge w:val="restart"/>
            <w:tcBorders>
              <w:top w:val="single" w:sz="8" w:space="0" w:color="000000"/>
              <w:bottom w:val="single" w:sz="8" w:space="0" w:color="000000"/>
            </w:tcBorders>
          </w:tcPr>
          <w:p w14:paraId="2110EE66" w14:textId="77777777" w:rsidR="002C6574" w:rsidRDefault="002C6574">
            <w:pPr>
              <w:pStyle w:val="TableParagraph"/>
              <w:jc w:val="left"/>
              <w:rPr>
                <w:sz w:val="18"/>
              </w:rPr>
            </w:pPr>
          </w:p>
          <w:p w14:paraId="21967681" w14:textId="77777777" w:rsidR="002C6574" w:rsidRDefault="002C6574">
            <w:pPr>
              <w:pStyle w:val="TableParagraph"/>
              <w:jc w:val="left"/>
              <w:rPr>
                <w:sz w:val="18"/>
              </w:rPr>
            </w:pPr>
          </w:p>
          <w:p w14:paraId="244CF63A" w14:textId="77777777" w:rsidR="002C6574" w:rsidRDefault="002C6574">
            <w:pPr>
              <w:pStyle w:val="TableParagraph"/>
              <w:jc w:val="left"/>
              <w:rPr>
                <w:sz w:val="18"/>
              </w:rPr>
            </w:pPr>
          </w:p>
          <w:p w14:paraId="378ECDDC" w14:textId="77777777" w:rsidR="002C6574" w:rsidRDefault="002C6574">
            <w:pPr>
              <w:pStyle w:val="TableParagraph"/>
              <w:jc w:val="left"/>
              <w:rPr>
                <w:sz w:val="18"/>
              </w:rPr>
            </w:pPr>
          </w:p>
          <w:p w14:paraId="7C7C5300" w14:textId="77777777" w:rsidR="002C6574" w:rsidRDefault="002C6574">
            <w:pPr>
              <w:pStyle w:val="TableParagraph"/>
              <w:spacing w:before="172"/>
              <w:jc w:val="left"/>
              <w:rPr>
                <w:sz w:val="18"/>
              </w:rPr>
            </w:pPr>
          </w:p>
          <w:p w14:paraId="48891E49" w14:textId="77777777" w:rsidR="002C6574" w:rsidRDefault="00000000">
            <w:pPr>
              <w:pStyle w:val="TableParagraph"/>
              <w:ind w:left="311"/>
              <w:jc w:val="left"/>
              <w:rPr>
                <w:rFonts w:ascii="Arial"/>
                <w:b/>
                <w:sz w:val="18"/>
              </w:rPr>
            </w:pPr>
            <w:r>
              <w:rPr>
                <w:rFonts w:ascii="Arial"/>
                <w:b/>
                <w:spacing w:val="-4"/>
                <w:sz w:val="18"/>
              </w:rPr>
              <w:t>2022</w:t>
            </w:r>
          </w:p>
        </w:tc>
        <w:tc>
          <w:tcPr>
            <w:tcW w:w="2969" w:type="dxa"/>
            <w:tcBorders>
              <w:top w:val="single" w:sz="8" w:space="0" w:color="000000"/>
            </w:tcBorders>
          </w:tcPr>
          <w:p w14:paraId="4F5BB6F4" w14:textId="77777777" w:rsidR="002C6574" w:rsidRDefault="00000000">
            <w:pPr>
              <w:pStyle w:val="TableParagraph"/>
              <w:spacing w:line="202" w:lineRule="exact"/>
              <w:ind w:left="73"/>
              <w:jc w:val="left"/>
              <w:rPr>
                <w:sz w:val="18"/>
              </w:rPr>
            </w:pPr>
            <w:r>
              <w:rPr>
                <w:spacing w:val="-2"/>
                <w:w w:val="105"/>
                <w:sz w:val="18"/>
              </w:rPr>
              <w:t>Janeiro</w:t>
            </w:r>
          </w:p>
        </w:tc>
        <w:tc>
          <w:tcPr>
            <w:tcW w:w="2179" w:type="dxa"/>
            <w:tcBorders>
              <w:top w:val="single" w:sz="8" w:space="0" w:color="000000"/>
            </w:tcBorders>
          </w:tcPr>
          <w:p w14:paraId="0C867FB7" w14:textId="77777777" w:rsidR="002C6574" w:rsidRDefault="00000000">
            <w:pPr>
              <w:pStyle w:val="TableParagraph"/>
              <w:spacing w:line="202" w:lineRule="exact"/>
              <w:ind w:right="57"/>
              <w:rPr>
                <w:sz w:val="18"/>
              </w:rPr>
            </w:pPr>
            <w:r>
              <w:rPr>
                <w:spacing w:val="-2"/>
                <w:w w:val="110"/>
                <w:sz w:val="18"/>
              </w:rPr>
              <w:t>1.403</w:t>
            </w:r>
          </w:p>
        </w:tc>
        <w:tc>
          <w:tcPr>
            <w:tcW w:w="1303" w:type="dxa"/>
            <w:tcBorders>
              <w:top w:val="single" w:sz="8" w:space="0" w:color="000000"/>
            </w:tcBorders>
          </w:tcPr>
          <w:p w14:paraId="1EDE577D" w14:textId="77777777" w:rsidR="002C6574" w:rsidRDefault="00000000">
            <w:pPr>
              <w:pStyle w:val="TableParagraph"/>
              <w:spacing w:line="202" w:lineRule="exact"/>
              <w:ind w:right="55"/>
              <w:rPr>
                <w:sz w:val="18"/>
              </w:rPr>
            </w:pPr>
            <w:r>
              <w:rPr>
                <w:spacing w:val="-5"/>
                <w:w w:val="105"/>
                <w:sz w:val="18"/>
              </w:rPr>
              <w:t>846</w:t>
            </w:r>
          </w:p>
        </w:tc>
        <w:tc>
          <w:tcPr>
            <w:tcW w:w="2301" w:type="dxa"/>
            <w:tcBorders>
              <w:top w:val="single" w:sz="8" w:space="0" w:color="000000"/>
            </w:tcBorders>
          </w:tcPr>
          <w:p w14:paraId="52CF1F3D" w14:textId="77777777" w:rsidR="002C6574" w:rsidRDefault="00000000">
            <w:pPr>
              <w:pStyle w:val="TableParagraph"/>
              <w:spacing w:line="202" w:lineRule="exact"/>
              <w:ind w:right="50"/>
              <w:rPr>
                <w:sz w:val="18"/>
              </w:rPr>
            </w:pPr>
            <w:r>
              <w:rPr>
                <w:spacing w:val="-4"/>
                <w:w w:val="110"/>
                <w:sz w:val="18"/>
              </w:rPr>
              <w:t>2.249</w:t>
            </w:r>
          </w:p>
        </w:tc>
      </w:tr>
      <w:tr w:rsidR="002C6574" w14:paraId="732E3BD9" w14:textId="77777777">
        <w:trPr>
          <w:trHeight w:val="227"/>
        </w:trPr>
        <w:tc>
          <w:tcPr>
            <w:tcW w:w="1018" w:type="dxa"/>
            <w:vMerge/>
            <w:tcBorders>
              <w:top w:val="nil"/>
              <w:bottom w:val="single" w:sz="8" w:space="0" w:color="000000"/>
            </w:tcBorders>
          </w:tcPr>
          <w:p w14:paraId="4870C9F1" w14:textId="77777777" w:rsidR="002C6574" w:rsidRDefault="002C6574">
            <w:pPr>
              <w:rPr>
                <w:sz w:val="2"/>
                <w:szCs w:val="2"/>
              </w:rPr>
            </w:pPr>
          </w:p>
        </w:tc>
        <w:tc>
          <w:tcPr>
            <w:tcW w:w="2969" w:type="dxa"/>
          </w:tcPr>
          <w:p w14:paraId="2A000EF9" w14:textId="77777777" w:rsidR="002C6574" w:rsidRDefault="00000000">
            <w:pPr>
              <w:pStyle w:val="TableParagraph"/>
              <w:spacing w:line="207" w:lineRule="exact"/>
              <w:ind w:left="73"/>
              <w:jc w:val="left"/>
              <w:rPr>
                <w:sz w:val="18"/>
              </w:rPr>
            </w:pPr>
            <w:r>
              <w:rPr>
                <w:spacing w:val="-2"/>
                <w:sz w:val="18"/>
              </w:rPr>
              <w:t>Fevereiro</w:t>
            </w:r>
          </w:p>
        </w:tc>
        <w:tc>
          <w:tcPr>
            <w:tcW w:w="2179" w:type="dxa"/>
          </w:tcPr>
          <w:p w14:paraId="5F4B39ED" w14:textId="77777777" w:rsidR="002C6574" w:rsidRDefault="00000000">
            <w:pPr>
              <w:pStyle w:val="TableParagraph"/>
              <w:spacing w:line="207" w:lineRule="exact"/>
              <w:ind w:right="57"/>
              <w:rPr>
                <w:sz w:val="18"/>
              </w:rPr>
            </w:pPr>
            <w:r>
              <w:rPr>
                <w:spacing w:val="-5"/>
                <w:w w:val="105"/>
                <w:sz w:val="18"/>
              </w:rPr>
              <w:t>452</w:t>
            </w:r>
          </w:p>
        </w:tc>
        <w:tc>
          <w:tcPr>
            <w:tcW w:w="1303" w:type="dxa"/>
          </w:tcPr>
          <w:p w14:paraId="63FA2046" w14:textId="77777777" w:rsidR="002C6574" w:rsidRDefault="00000000">
            <w:pPr>
              <w:pStyle w:val="TableParagraph"/>
              <w:spacing w:line="207" w:lineRule="exact"/>
              <w:ind w:right="55"/>
              <w:rPr>
                <w:sz w:val="18"/>
              </w:rPr>
            </w:pPr>
            <w:r>
              <w:rPr>
                <w:spacing w:val="-5"/>
                <w:w w:val="105"/>
                <w:sz w:val="18"/>
              </w:rPr>
              <w:t>268</w:t>
            </w:r>
          </w:p>
        </w:tc>
        <w:tc>
          <w:tcPr>
            <w:tcW w:w="2301" w:type="dxa"/>
          </w:tcPr>
          <w:p w14:paraId="0DB4FBD8" w14:textId="77777777" w:rsidR="002C6574" w:rsidRDefault="00000000">
            <w:pPr>
              <w:pStyle w:val="TableParagraph"/>
              <w:spacing w:line="207" w:lineRule="exact"/>
              <w:ind w:right="50"/>
              <w:rPr>
                <w:sz w:val="18"/>
              </w:rPr>
            </w:pPr>
            <w:r>
              <w:rPr>
                <w:spacing w:val="-5"/>
                <w:w w:val="105"/>
                <w:sz w:val="18"/>
              </w:rPr>
              <w:t>720</w:t>
            </w:r>
          </w:p>
        </w:tc>
      </w:tr>
      <w:tr w:rsidR="002C6574" w14:paraId="7194A41C" w14:textId="77777777">
        <w:trPr>
          <w:trHeight w:val="227"/>
        </w:trPr>
        <w:tc>
          <w:tcPr>
            <w:tcW w:w="1018" w:type="dxa"/>
            <w:vMerge/>
            <w:tcBorders>
              <w:top w:val="nil"/>
              <w:bottom w:val="single" w:sz="8" w:space="0" w:color="000000"/>
            </w:tcBorders>
          </w:tcPr>
          <w:p w14:paraId="4FBADE61" w14:textId="77777777" w:rsidR="002C6574" w:rsidRDefault="002C6574">
            <w:pPr>
              <w:rPr>
                <w:sz w:val="2"/>
                <w:szCs w:val="2"/>
              </w:rPr>
            </w:pPr>
          </w:p>
        </w:tc>
        <w:tc>
          <w:tcPr>
            <w:tcW w:w="2969" w:type="dxa"/>
          </w:tcPr>
          <w:p w14:paraId="4EF21477" w14:textId="77777777" w:rsidR="002C6574" w:rsidRDefault="00000000">
            <w:pPr>
              <w:pStyle w:val="TableParagraph"/>
              <w:spacing w:line="207" w:lineRule="exact"/>
              <w:ind w:left="73"/>
              <w:jc w:val="left"/>
              <w:rPr>
                <w:sz w:val="18"/>
              </w:rPr>
            </w:pPr>
            <w:r>
              <w:rPr>
                <w:spacing w:val="-2"/>
                <w:sz w:val="18"/>
              </w:rPr>
              <w:t>Março</w:t>
            </w:r>
          </w:p>
        </w:tc>
        <w:tc>
          <w:tcPr>
            <w:tcW w:w="2179" w:type="dxa"/>
          </w:tcPr>
          <w:p w14:paraId="38080248" w14:textId="77777777" w:rsidR="002C6574" w:rsidRDefault="00000000">
            <w:pPr>
              <w:pStyle w:val="TableParagraph"/>
              <w:spacing w:line="207" w:lineRule="exact"/>
              <w:ind w:right="57"/>
              <w:rPr>
                <w:sz w:val="18"/>
              </w:rPr>
            </w:pPr>
            <w:r>
              <w:rPr>
                <w:spacing w:val="-2"/>
                <w:w w:val="110"/>
                <w:sz w:val="18"/>
              </w:rPr>
              <w:t>1.496</w:t>
            </w:r>
          </w:p>
        </w:tc>
        <w:tc>
          <w:tcPr>
            <w:tcW w:w="1303" w:type="dxa"/>
          </w:tcPr>
          <w:p w14:paraId="264C50F6" w14:textId="77777777" w:rsidR="002C6574" w:rsidRDefault="00000000">
            <w:pPr>
              <w:pStyle w:val="TableParagraph"/>
              <w:spacing w:line="207" w:lineRule="exact"/>
              <w:ind w:right="55"/>
              <w:rPr>
                <w:sz w:val="18"/>
              </w:rPr>
            </w:pPr>
            <w:r>
              <w:rPr>
                <w:spacing w:val="-5"/>
                <w:w w:val="105"/>
                <w:sz w:val="18"/>
              </w:rPr>
              <w:t>872</w:t>
            </w:r>
          </w:p>
        </w:tc>
        <w:tc>
          <w:tcPr>
            <w:tcW w:w="2301" w:type="dxa"/>
          </w:tcPr>
          <w:p w14:paraId="58CAA7CF" w14:textId="77777777" w:rsidR="002C6574" w:rsidRDefault="00000000">
            <w:pPr>
              <w:pStyle w:val="TableParagraph"/>
              <w:spacing w:line="207" w:lineRule="exact"/>
              <w:ind w:right="50"/>
              <w:rPr>
                <w:sz w:val="18"/>
              </w:rPr>
            </w:pPr>
            <w:r>
              <w:rPr>
                <w:spacing w:val="-4"/>
                <w:w w:val="110"/>
                <w:sz w:val="18"/>
              </w:rPr>
              <w:t>2.368</w:t>
            </w:r>
          </w:p>
        </w:tc>
      </w:tr>
      <w:tr w:rsidR="002C6574" w14:paraId="0371D7EB" w14:textId="77777777">
        <w:trPr>
          <w:trHeight w:val="227"/>
        </w:trPr>
        <w:tc>
          <w:tcPr>
            <w:tcW w:w="1018" w:type="dxa"/>
            <w:vMerge/>
            <w:tcBorders>
              <w:top w:val="nil"/>
              <w:bottom w:val="single" w:sz="8" w:space="0" w:color="000000"/>
            </w:tcBorders>
          </w:tcPr>
          <w:p w14:paraId="6E68C64C" w14:textId="77777777" w:rsidR="002C6574" w:rsidRDefault="002C6574">
            <w:pPr>
              <w:rPr>
                <w:sz w:val="2"/>
                <w:szCs w:val="2"/>
              </w:rPr>
            </w:pPr>
          </w:p>
        </w:tc>
        <w:tc>
          <w:tcPr>
            <w:tcW w:w="2969" w:type="dxa"/>
          </w:tcPr>
          <w:p w14:paraId="448C42D3" w14:textId="77777777" w:rsidR="002C6574" w:rsidRDefault="00000000">
            <w:pPr>
              <w:pStyle w:val="TableParagraph"/>
              <w:spacing w:line="207" w:lineRule="exact"/>
              <w:ind w:left="73"/>
              <w:jc w:val="left"/>
              <w:rPr>
                <w:sz w:val="18"/>
              </w:rPr>
            </w:pPr>
            <w:r>
              <w:rPr>
                <w:spacing w:val="-2"/>
                <w:sz w:val="18"/>
              </w:rPr>
              <w:t>Abril</w:t>
            </w:r>
          </w:p>
        </w:tc>
        <w:tc>
          <w:tcPr>
            <w:tcW w:w="2179" w:type="dxa"/>
          </w:tcPr>
          <w:p w14:paraId="53EC842C" w14:textId="77777777" w:rsidR="002C6574" w:rsidRDefault="00000000">
            <w:pPr>
              <w:pStyle w:val="TableParagraph"/>
              <w:spacing w:line="207" w:lineRule="exact"/>
              <w:ind w:right="57"/>
              <w:rPr>
                <w:sz w:val="18"/>
              </w:rPr>
            </w:pPr>
            <w:r>
              <w:rPr>
                <w:spacing w:val="-2"/>
                <w:w w:val="110"/>
                <w:sz w:val="18"/>
              </w:rPr>
              <w:t>1.253</w:t>
            </w:r>
          </w:p>
        </w:tc>
        <w:tc>
          <w:tcPr>
            <w:tcW w:w="1303" w:type="dxa"/>
          </w:tcPr>
          <w:p w14:paraId="33977EED" w14:textId="77777777" w:rsidR="002C6574" w:rsidRDefault="00000000">
            <w:pPr>
              <w:pStyle w:val="TableParagraph"/>
              <w:spacing w:line="207" w:lineRule="exact"/>
              <w:ind w:right="55"/>
              <w:rPr>
                <w:sz w:val="18"/>
              </w:rPr>
            </w:pPr>
            <w:r>
              <w:rPr>
                <w:spacing w:val="-5"/>
                <w:w w:val="105"/>
                <w:sz w:val="18"/>
              </w:rPr>
              <w:t>708</w:t>
            </w:r>
          </w:p>
        </w:tc>
        <w:tc>
          <w:tcPr>
            <w:tcW w:w="2301" w:type="dxa"/>
          </w:tcPr>
          <w:p w14:paraId="55ED1600" w14:textId="77777777" w:rsidR="002C6574" w:rsidRDefault="00000000">
            <w:pPr>
              <w:pStyle w:val="TableParagraph"/>
              <w:spacing w:line="207" w:lineRule="exact"/>
              <w:ind w:right="50"/>
              <w:rPr>
                <w:sz w:val="18"/>
              </w:rPr>
            </w:pPr>
            <w:r>
              <w:rPr>
                <w:spacing w:val="-4"/>
                <w:w w:val="110"/>
                <w:sz w:val="18"/>
              </w:rPr>
              <w:t>1.961</w:t>
            </w:r>
          </w:p>
        </w:tc>
      </w:tr>
      <w:tr w:rsidR="002C6574" w14:paraId="73178C65" w14:textId="77777777">
        <w:trPr>
          <w:trHeight w:val="227"/>
        </w:trPr>
        <w:tc>
          <w:tcPr>
            <w:tcW w:w="1018" w:type="dxa"/>
            <w:vMerge/>
            <w:tcBorders>
              <w:top w:val="nil"/>
              <w:bottom w:val="single" w:sz="8" w:space="0" w:color="000000"/>
            </w:tcBorders>
          </w:tcPr>
          <w:p w14:paraId="417504A6" w14:textId="77777777" w:rsidR="002C6574" w:rsidRDefault="002C6574">
            <w:pPr>
              <w:rPr>
                <w:sz w:val="2"/>
                <w:szCs w:val="2"/>
              </w:rPr>
            </w:pPr>
          </w:p>
        </w:tc>
        <w:tc>
          <w:tcPr>
            <w:tcW w:w="2969" w:type="dxa"/>
          </w:tcPr>
          <w:p w14:paraId="41402993" w14:textId="77777777" w:rsidR="002C6574" w:rsidRDefault="00000000">
            <w:pPr>
              <w:pStyle w:val="TableParagraph"/>
              <w:spacing w:line="207" w:lineRule="exact"/>
              <w:ind w:left="73"/>
              <w:jc w:val="left"/>
              <w:rPr>
                <w:sz w:val="18"/>
              </w:rPr>
            </w:pPr>
            <w:r>
              <w:rPr>
                <w:spacing w:val="-4"/>
                <w:sz w:val="18"/>
              </w:rPr>
              <w:t>Maio</w:t>
            </w:r>
          </w:p>
        </w:tc>
        <w:tc>
          <w:tcPr>
            <w:tcW w:w="2179" w:type="dxa"/>
          </w:tcPr>
          <w:p w14:paraId="5587BB00" w14:textId="77777777" w:rsidR="002C6574" w:rsidRDefault="00000000">
            <w:pPr>
              <w:pStyle w:val="TableParagraph"/>
              <w:spacing w:line="207" w:lineRule="exact"/>
              <w:ind w:right="57"/>
              <w:rPr>
                <w:sz w:val="18"/>
              </w:rPr>
            </w:pPr>
            <w:r>
              <w:rPr>
                <w:spacing w:val="-2"/>
                <w:w w:val="110"/>
                <w:sz w:val="18"/>
              </w:rPr>
              <w:t>3.276</w:t>
            </w:r>
          </w:p>
        </w:tc>
        <w:tc>
          <w:tcPr>
            <w:tcW w:w="1303" w:type="dxa"/>
          </w:tcPr>
          <w:p w14:paraId="531DDD98" w14:textId="77777777" w:rsidR="002C6574" w:rsidRDefault="00000000">
            <w:pPr>
              <w:pStyle w:val="TableParagraph"/>
              <w:spacing w:line="207" w:lineRule="exact"/>
              <w:ind w:right="55"/>
              <w:rPr>
                <w:sz w:val="18"/>
              </w:rPr>
            </w:pPr>
            <w:r>
              <w:rPr>
                <w:spacing w:val="-2"/>
                <w:w w:val="110"/>
                <w:sz w:val="18"/>
              </w:rPr>
              <w:t>1.809</w:t>
            </w:r>
          </w:p>
        </w:tc>
        <w:tc>
          <w:tcPr>
            <w:tcW w:w="2301" w:type="dxa"/>
          </w:tcPr>
          <w:p w14:paraId="3BCAEDF4" w14:textId="77777777" w:rsidR="002C6574" w:rsidRDefault="00000000">
            <w:pPr>
              <w:pStyle w:val="TableParagraph"/>
              <w:spacing w:line="207" w:lineRule="exact"/>
              <w:ind w:right="50"/>
              <w:rPr>
                <w:sz w:val="18"/>
              </w:rPr>
            </w:pPr>
            <w:r>
              <w:rPr>
                <w:spacing w:val="-4"/>
                <w:w w:val="110"/>
                <w:sz w:val="18"/>
              </w:rPr>
              <w:t>5.085</w:t>
            </w:r>
          </w:p>
        </w:tc>
      </w:tr>
      <w:tr w:rsidR="002C6574" w14:paraId="141FF902" w14:textId="77777777">
        <w:trPr>
          <w:trHeight w:val="227"/>
        </w:trPr>
        <w:tc>
          <w:tcPr>
            <w:tcW w:w="1018" w:type="dxa"/>
            <w:vMerge/>
            <w:tcBorders>
              <w:top w:val="nil"/>
              <w:bottom w:val="single" w:sz="8" w:space="0" w:color="000000"/>
            </w:tcBorders>
          </w:tcPr>
          <w:p w14:paraId="6971E7F7" w14:textId="77777777" w:rsidR="002C6574" w:rsidRDefault="002C6574">
            <w:pPr>
              <w:rPr>
                <w:sz w:val="2"/>
                <w:szCs w:val="2"/>
              </w:rPr>
            </w:pPr>
          </w:p>
        </w:tc>
        <w:tc>
          <w:tcPr>
            <w:tcW w:w="2969" w:type="dxa"/>
          </w:tcPr>
          <w:p w14:paraId="51DCD083" w14:textId="77777777" w:rsidR="002C6574" w:rsidRDefault="00000000">
            <w:pPr>
              <w:pStyle w:val="TableParagraph"/>
              <w:spacing w:line="207" w:lineRule="exact"/>
              <w:ind w:left="73"/>
              <w:jc w:val="left"/>
              <w:rPr>
                <w:sz w:val="18"/>
              </w:rPr>
            </w:pPr>
            <w:r>
              <w:rPr>
                <w:spacing w:val="-2"/>
                <w:w w:val="105"/>
                <w:sz w:val="18"/>
              </w:rPr>
              <w:t>Junho</w:t>
            </w:r>
          </w:p>
        </w:tc>
        <w:tc>
          <w:tcPr>
            <w:tcW w:w="2179" w:type="dxa"/>
          </w:tcPr>
          <w:p w14:paraId="1F380D01" w14:textId="77777777" w:rsidR="002C6574" w:rsidRDefault="00000000">
            <w:pPr>
              <w:pStyle w:val="TableParagraph"/>
              <w:spacing w:line="207" w:lineRule="exact"/>
              <w:ind w:right="56"/>
              <w:rPr>
                <w:sz w:val="18"/>
              </w:rPr>
            </w:pPr>
            <w:r>
              <w:rPr>
                <w:spacing w:val="-2"/>
                <w:w w:val="110"/>
                <w:sz w:val="18"/>
              </w:rPr>
              <w:t>3.288</w:t>
            </w:r>
          </w:p>
        </w:tc>
        <w:tc>
          <w:tcPr>
            <w:tcW w:w="1303" w:type="dxa"/>
          </w:tcPr>
          <w:p w14:paraId="4457A9EB" w14:textId="77777777" w:rsidR="002C6574" w:rsidRDefault="00000000">
            <w:pPr>
              <w:pStyle w:val="TableParagraph"/>
              <w:spacing w:line="207" w:lineRule="exact"/>
              <w:ind w:right="55"/>
              <w:rPr>
                <w:sz w:val="18"/>
              </w:rPr>
            </w:pPr>
            <w:r>
              <w:rPr>
                <w:spacing w:val="-2"/>
                <w:w w:val="110"/>
                <w:sz w:val="18"/>
              </w:rPr>
              <w:t>1.772</w:t>
            </w:r>
          </w:p>
        </w:tc>
        <w:tc>
          <w:tcPr>
            <w:tcW w:w="2301" w:type="dxa"/>
          </w:tcPr>
          <w:p w14:paraId="721E6BF1" w14:textId="77777777" w:rsidR="002C6574" w:rsidRDefault="00000000">
            <w:pPr>
              <w:pStyle w:val="TableParagraph"/>
              <w:spacing w:line="207" w:lineRule="exact"/>
              <w:ind w:right="50"/>
              <w:rPr>
                <w:sz w:val="18"/>
              </w:rPr>
            </w:pPr>
            <w:r>
              <w:rPr>
                <w:spacing w:val="-4"/>
                <w:w w:val="110"/>
                <w:sz w:val="18"/>
              </w:rPr>
              <w:t>5.060</w:t>
            </w:r>
          </w:p>
        </w:tc>
      </w:tr>
      <w:tr w:rsidR="002C6574" w14:paraId="7AED4246" w14:textId="77777777">
        <w:trPr>
          <w:trHeight w:val="227"/>
        </w:trPr>
        <w:tc>
          <w:tcPr>
            <w:tcW w:w="1018" w:type="dxa"/>
            <w:vMerge/>
            <w:tcBorders>
              <w:top w:val="nil"/>
              <w:bottom w:val="single" w:sz="8" w:space="0" w:color="000000"/>
            </w:tcBorders>
          </w:tcPr>
          <w:p w14:paraId="29A09054" w14:textId="77777777" w:rsidR="002C6574" w:rsidRDefault="002C6574">
            <w:pPr>
              <w:rPr>
                <w:sz w:val="2"/>
                <w:szCs w:val="2"/>
              </w:rPr>
            </w:pPr>
          </w:p>
        </w:tc>
        <w:tc>
          <w:tcPr>
            <w:tcW w:w="2969" w:type="dxa"/>
          </w:tcPr>
          <w:p w14:paraId="0FCDAEC0" w14:textId="77777777" w:rsidR="002C6574" w:rsidRDefault="00000000">
            <w:pPr>
              <w:pStyle w:val="TableParagraph"/>
              <w:spacing w:line="207" w:lineRule="exact"/>
              <w:ind w:left="73"/>
              <w:jc w:val="left"/>
              <w:rPr>
                <w:sz w:val="18"/>
              </w:rPr>
            </w:pPr>
            <w:r>
              <w:rPr>
                <w:spacing w:val="-2"/>
                <w:w w:val="105"/>
                <w:sz w:val="18"/>
              </w:rPr>
              <w:t>Julho</w:t>
            </w:r>
          </w:p>
        </w:tc>
        <w:tc>
          <w:tcPr>
            <w:tcW w:w="2179" w:type="dxa"/>
          </w:tcPr>
          <w:p w14:paraId="60B5B31F" w14:textId="77777777" w:rsidR="002C6574" w:rsidRDefault="00000000">
            <w:pPr>
              <w:pStyle w:val="TableParagraph"/>
              <w:spacing w:line="207" w:lineRule="exact"/>
              <w:ind w:right="57"/>
              <w:rPr>
                <w:sz w:val="18"/>
              </w:rPr>
            </w:pPr>
            <w:r>
              <w:rPr>
                <w:spacing w:val="-2"/>
                <w:w w:val="110"/>
                <w:sz w:val="18"/>
              </w:rPr>
              <w:t>6.112</w:t>
            </w:r>
          </w:p>
        </w:tc>
        <w:tc>
          <w:tcPr>
            <w:tcW w:w="1303" w:type="dxa"/>
          </w:tcPr>
          <w:p w14:paraId="35A58F05" w14:textId="77777777" w:rsidR="002C6574" w:rsidRDefault="00000000">
            <w:pPr>
              <w:pStyle w:val="TableParagraph"/>
              <w:spacing w:line="207" w:lineRule="exact"/>
              <w:ind w:right="55"/>
              <w:rPr>
                <w:sz w:val="18"/>
              </w:rPr>
            </w:pPr>
            <w:r>
              <w:rPr>
                <w:spacing w:val="-2"/>
                <w:w w:val="110"/>
                <w:sz w:val="18"/>
              </w:rPr>
              <w:t>3.189</w:t>
            </w:r>
          </w:p>
        </w:tc>
        <w:tc>
          <w:tcPr>
            <w:tcW w:w="2301" w:type="dxa"/>
          </w:tcPr>
          <w:p w14:paraId="2B6C75BB" w14:textId="77777777" w:rsidR="002C6574" w:rsidRDefault="00000000">
            <w:pPr>
              <w:pStyle w:val="TableParagraph"/>
              <w:spacing w:line="207" w:lineRule="exact"/>
              <w:ind w:right="50"/>
              <w:rPr>
                <w:sz w:val="18"/>
              </w:rPr>
            </w:pPr>
            <w:r>
              <w:rPr>
                <w:spacing w:val="-4"/>
                <w:w w:val="110"/>
                <w:sz w:val="18"/>
              </w:rPr>
              <w:t>9.301</w:t>
            </w:r>
          </w:p>
        </w:tc>
      </w:tr>
      <w:tr w:rsidR="002C6574" w14:paraId="7675C41A" w14:textId="77777777">
        <w:trPr>
          <w:trHeight w:val="227"/>
        </w:trPr>
        <w:tc>
          <w:tcPr>
            <w:tcW w:w="1018" w:type="dxa"/>
            <w:vMerge/>
            <w:tcBorders>
              <w:top w:val="nil"/>
              <w:bottom w:val="single" w:sz="8" w:space="0" w:color="000000"/>
            </w:tcBorders>
          </w:tcPr>
          <w:p w14:paraId="7B14723C" w14:textId="77777777" w:rsidR="002C6574" w:rsidRDefault="002C6574">
            <w:pPr>
              <w:rPr>
                <w:sz w:val="2"/>
                <w:szCs w:val="2"/>
              </w:rPr>
            </w:pPr>
          </w:p>
        </w:tc>
        <w:tc>
          <w:tcPr>
            <w:tcW w:w="2969" w:type="dxa"/>
          </w:tcPr>
          <w:p w14:paraId="5A6F5CE9" w14:textId="77777777" w:rsidR="002C6574" w:rsidRDefault="00000000">
            <w:pPr>
              <w:pStyle w:val="TableParagraph"/>
              <w:spacing w:line="207" w:lineRule="exact"/>
              <w:ind w:left="73"/>
              <w:jc w:val="left"/>
              <w:rPr>
                <w:sz w:val="18"/>
              </w:rPr>
            </w:pPr>
            <w:r>
              <w:rPr>
                <w:spacing w:val="-2"/>
                <w:sz w:val="18"/>
              </w:rPr>
              <w:t>Agosto</w:t>
            </w:r>
          </w:p>
        </w:tc>
        <w:tc>
          <w:tcPr>
            <w:tcW w:w="2179" w:type="dxa"/>
          </w:tcPr>
          <w:p w14:paraId="7D4C2CE2" w14:textId="77777777" w:rsidR="002C6574" w:rsidRDefault="00000000">
            <w:pPr>
              <w:pStyle w:val="TableParagraph"/>
              <w:spacing w:line="207" w:lineRule="exact"/>
              <w:ind w:right="57"/>
              <w:rPr>
                <w:sz w:val="18"/>
              </w:rPr>
            </w:pPr>
            <w:r>
              <w:rPr>
                <w:spacing w:val="-2"/>
                <w:w w:val="110"/>
                <w:sz w:val="18"/>
              </w:rPr>
              <w:t>3.069</w:t>
            </w:r>
          </w:p>
        </w:tc>
        <w:tc>
          <w:tcPr>
            <w:tcW w:w="1303" w:type="dxa"/>
          </w:tcPr>
          <w:p w14:paraId="6E62DCED" w14:textId="77777777" w:rsidR="002C6574" w:rsidRDefault="00000000">
            <w:pPr>
              <w:pStyle w:val="TableParagraph"/>
              <w:spacing w:line="207" w:lineRule="exact"/>
              <w:ind w:right="55"/>
              <w:rPr>
                <w:sz w:val="18"/>
              </w:rPr>
            </w:pPr>
            <w:r>
              <w:rPr>
                <w:spacing w:val="-2"/>
                <w:w w:val="110"/>
                <w:sz w:val="18"/>
              </w:rPr>
              <w:t>1.563</w:t>
            </w:r>
          </w:p>
        </w:tc>
        <w:tc>
          <w:tcPr>
            <w:tcW w:w="2301" w:type="dxa"/>
          </w:tcPr>
          <w:p w14:paraId="61C24FA1" w14:textId="77777777" w:rsidR="002C6574" w:rsidRDefault="00000000">
            <w:pPr>
              <w:pStyle w:val="TableParagraph"/>
              <w:spacing w:line="207" w:lineRule="exact"/>
              <w:ind w:right="50"/>
              <w:rPr>
                <w:sz w:val="18"/>
              </w:rPr>
            </w:pPr>
            <w:r>
              <w:rPr>
                <w:spacing w:val="-4"/>
                <w:w w:val="110"/>
                <w:sz w:val="18"/>
              </w:rPr>
              <w:t>4.632</w:t>
            </w:r>
          </w:p>
        </w:tc>
      </w:tr>
      <w:tr w:rsidR="002C6574" w14:paraId="0CAF1325" w14:textId="77777777">
        <w:trPr>
          <w:trHeight w:val="227"/>
        </w:trPr>
        <w:tc>
          <w:tcPr>
            <w:tcW w:w="1018" w:type="dxa"/>
            <w:vMerge/>
            <w:tcBorders>
              <w:top w:val="nil"/>
              <w:bottom w:val="single" w:sz="8" w:space="0" w:color="000000"/>
            </w:tcBorders>
          </w:tcPr>
          <w:p w14:paraId="1EF119E0" w14:textId="77777777" w:rsidR="002C6574" w:rsidRDefault="002C6574">
            <w:pPr>
              <w:rPr>
                <w:sz w:val="2"/>
                <w:szCs w:val="2"/>
              </w:rPr>
            </w:pPr>
          </w:p>
        </w:tc>
        <w:tc>
          <w:tcPr>
            <w:tcW w:w="2969" w:type="dxa"/>
          </w:tcPr>
          <w:p w14:paraId="227A66BE" w14:textId="77777777" w:rsidR="002C6574" w:rsidRDefault="00000000">
            <w:pPr>
              <w:pStyle w:val="TableParagraph"/>
              <w:spacing w:line="207" w:lineRule="exact"/>
              <w:ind w:left="73"/>
              <w:jc w:val="left"/>
              <w:rPr>
                <w:sz w:val="18"/>
              </w:rPr>
            </w:pPr>
            <w:r>
              <w:rPr>
                <w:spacing w:val="-2"/>
                <w:sz w:val="18"/>
              </w:rPr>
              <w:t>Outubro</w:t>
            </w:r>
          </w:p>
        </w:tc>
        <w:tc>
          <w:tcPr>
            <w:tcW w:w="2179" w:type="dxa"/>
          </w:tcPr>
          <w:p w14:paraId="4CC43B9F" w14:textId="77777777" w:rsidR="002C6574" w:rsidRDefault="00000000">
            <w:pPr>
              <w:pStyle w:val="TableParagraph"/>
              <w:spacing w:line="207" w:lineRule="exact"/>
              <w:ind w:right="57"/>
              <w:rPr>
                <w:sz w:val="18"/>
              </w:rPr>
            </w:pPr>
            <w:r>
              <w:rPr>
                <w:spacing w:val="-2"/>
                <w:w w:val="110"/>
                <w:sz w:val="18"/>
              </w:rPr>
              <w:t>1.181</w:t>
            </w:r>
          </w:p>
        </w:tc>
        <w:tc>
          <w:tcPr>
            <w:tcW w:w="1303" w:type="dxa"/>
          </w:tcPr>
          <w:p w14:paraId="1F30303C" w14:textId="77777777" w:rsidR="002C6574" w:rsidRDefault="00000000">
            <w:pPr>
              <w:pStyle w:val="TableParagraph"/>
              <w:spacing w:line="207" w:lineRule="exact"/>
              <w:ind w:right="55"/>
              <w:rPr>
                <w:sz w:val="18"/>
              </w:rPr>
            </w:pPr>
            <w:r>
              <w:rPr>
                <w:spacing w:val="-5"/>
                <w:w w:val="105"/>
                <w:sz w:val="18"/>
              </w:rPr>
              <w:t>563</w:t>
            </w:r>
          </w:p>
        </w:tc>
        <w:tc>
          <w:tcPr>
            <w:tcW w:w="2301" w:type="dxa"/>
          </w:tcPr>
          <w:p w14:paraId="16B72FBD" w14:textId="77777777" w:rsidR="002C6574" w:rsidRDefault="00000000">
            <w:pPr>
              <w:pStyle w:val="TableParagraph"/>
              <w:spacing w:line="207" w:lineRule="exact"/>
              <w:ind w:right="50"/>
              <w:rPr>
                <w:sz w:val="18"/>
              </w:rPr>
            </w:pPr>
            <w:r>
              <w:rPr>
                <w:spacing w:val="-4"/>
                <w:w w:val="110"/>
                <w:sz w:val="18"/>
              </w:rPr>
              <w:t>1.744</w:t>
            </w:r>
          </w:p>
        </w:tc>
      </w:tr>
      <w:tr w:rsidR="002C6574" w14:paraId="2A0BE04F" w14:textId="77777777">
        <w:trPr>
          <w:trHeight w:val="227"/>
        </w:trPr>
        <w:tc>
          <w:tcPr>
            <w:tcW w:w="1018" w:type="dxa"/>
            <w:vMerge/>
            <w:tcBorders>
              <w:top w:val="nil"/>
              <w:bottom w:val="single" w:sz="8" w:space="0" w:color="000000"/>
            </w:tcBorders>
          </w:tcPr>
          <w:p w14:paraId="337E2FBC" w14:textId="77777777" w:rsidR="002C6574" w:rsidRDefault="002C6574">
            <w:pPr>
              <w:rPr>
                <w:sz w:val="2"/>
                <w:szCs w:val="2"/>
              </w:rPr>
            </w:pPr>
          </w:p>
        </w:tc>
        <w:tc>
          <w:tcPr>
            <w:tcW w:w="2969" w:type="dxa"/>
          </w:tcPr>
          <w:p w14:paraId="0AFA091B" w14:textId="77777777" w:rsidR="002C6574" w:rsidRDefault="00000000">
            <w:pPr>
              <w:pStyle w:val="TableParagraph"/>
              <w:spacing w:line="207" w:lineRule="exact"/>
              <w:ind w:left="73"/>
              <w:jc w:val="left"/>
              <w:rPr>
                <w:sz w:val="18"/>
              </w:rPr>
            </w:pPr>
            <w:r>
              <w:rPr>
                <w:spacing w:val="-2"/>
                <w:sz w:val="18"/>
              </w:rPr>
              <w:t>Setembro</w:t>
            </w:r>
          </w:p>
        </w:tc>
        <w:tc>
          <w:tcPr>
            <w:tcW w:w="2179" w:type="dxa"/>
          </w:tcPr>
          <w:p w14:paraId="353C0110" w14:textId="77777777" w:rsidR="002C6574" w:rsidRDefault="00000000">
            <w:pPr>
              <w:pStyle w:val="TableParagraph"/>
              <w:spacing w:line="207" w:lineRule="exact"/>
              <w:ind w:right="57"/>
              <w:rPr>
                <w:sz w:val="18"/>
              </w:rPr>
            </w:pPr>
            <w:r>
              <w:rPr>
                <w:spacing w:val="-2"/>
                <w:w w:val="110"/>
                <w:sz w:val="18"/>
              </w:rPr>
              <w:t>4.920</w:t>
            </w:r>
          </w:p>
        </w:tc>
        <w:tc>
          <w:tcPr>
            <w:tcW w:w="1303" w:type="dxa"/>
          </w:tcPr>
          <w:p w14:paraId="5A019BC0" w14:textId="77777777" w:rsidR="002C6574" w:rsidRDefault="00000000">
            <w:pPr>
              <w:pStyle w:val="TableParagraph"/>
              <w:spacing w:line="207" w:lineRule="exact"/>
              <w:ind w:right="55"/>
              <w:rPr>
                <w:sz w:val="18"/>
              </w:rPr>
            </w:pPr>
            <w:r>
              <w:rPr>
                <w:spacing w:val="-2"/>
                <w:w w:val="110"/>
                <w:sz w:val="18"/>
              </w:rPr>
              <w:t>1.988</w:t>
            </w:r>
          </w:p>
        </w:tc>
        <w:tc>
          <w:tcPr>
            <w:tcW w:w="2301" w:type="dxa"/>
          </w:tcPr>
          <w:p w14:paraId="0AC105E5" w14:textId="77777777" w:rsidR="002C6574" w:rsidRDefault="00000000">
            <w:pPr>
              <w:pStyle w:val="TableParagraph"/>
              <w:spacing w:line="207" w:lineRule="exact"/>
              <w:ind w:right="50"/>
              <w:rPr>
                <w:sz w:val="18"/>
              </w:rPr>
            </w:pPr>
            <w:r>
              <w:rPr>
                <w:spacing w:val="-4"/>
                <w:w w:val="110"/>
                <w:sz w:val="18"/>
              </w:rPr>
              <w:t>6.908</w:t>
            </w:r>
          </w:p>
        </w:tc>
      </w:tr>
      <w:tr w:rsidR="002C6574" w14:paraId="7361E43F" w14:textId="77777777">
        <w:trPr>
          <w:trHeight w:val="224"/>
        </w:trPr>
        <w:tc>
          <w:tcPr>
            <w:tcW w:w="1018" w:type="dxa"/>
            <w:vMerge/>
            <w:tcBorders>
              <w:top w:val="nil"/>
              <w:bottom w:val="single" w:sz="8" w:space="0" w:color="000000"/>
            </w:tcBorders>
          </w:tcPr>
          <w:p w14:paraId="24A9006E" w14:textId="77777777" w:rsidR="002C6574" w:rsidRDefault="002C6574">
            <w:pPr>
              <w:rPr>
                <w:sz w:val="2"/>
                <w:szCs w:val="2"/>
              </w:rPr>
            </w:pPr>
          </w:p>
        </w:tc>
        <w:tc>
          <w:tcPr>
            <w:tcW w:w="2969" w:type="dxa"/>
          </w:tcPr>
          <w:p w14:paraId="02824B9D" w14:textId="77777777" w:rsidR="002C6574" w:rsidRDefault="00000000">
            <w:pPr>
              <w:pStyle w:val="TableParagraph"/>
              <w:spacing w:line="205" w:lineRule="exact"/>
              <w:ind w:left="73"/>
              <w:jc w:val="left"/>
              <w:rPr>
                <w:sz w:val="18"/>
              </w:rPr>
            </w:pPr>
            <w:r>
              <w:rPr>
                <w:spacing w:val="-2"/>
                <w:sz w:val="18"/>
              </w:rPr>
              <w:t>Novembro</w:t>
            </w:r>
          </w:p>
        </w:tc>
        <w:tc>
          <w:tcPr>
            <w:tcW w:w="2179" w:type="dxa"/>
          </w:tcPr>
          <w:p w14:paraId="5B9B7CBB" w14:textId="77777777" w:rsidR="002C6574" w:rsidRDefault="00000000">
            <w:pPr>
              <w:pStyle w:val="TableParagraph"/>
              <w:spacing w:line="205" w:lineRule="exact"/>
              <w:ind w:right="55"/>
              <w:rPr>
                <w:sz w:val="18"/>
              </w:rPr>
            </w:pPr>
            <w:r>
              <w:rPr>
                <w:spacing w:val="-5"/>
                <w:w w:val="105"/>
                <w:sz w:val="18"/>
              </w:rPr>
              <w:t>616</w:t>
            </w:r>
          </w:p>
        </w:tc>
        <w:tc>
          <w:tcPr>
            <w:tcW w:w="1303" w:type="dxa"/>
          </w:tcPr>
          <w:p w14:paraId="770D02B3" w14:textId="77777777" w:rsidR="002C6574" w:rsidRDefault="00000000">
            <w:pPr>
              <w:pStyle w:val="TableParagraph"/>
              <w:spacing w:line="205" w:lineRule="exact"/>
              <w:ind w:right="55"/>
              <w:rPr>
                <w:sz w:val="18"/>
              </w:rPr>
            </w:pPr>
            <w:r>
              <w:rPr>
                <w:spacing w:val="-5"/>
                <w:w w:val="105"/>
                <w:sz w:val="18"/>
              </w:rPr>
              <w:t>282</w:t>
            </w:r>
          </w:p>
        </w:tc>
        <w:tc>
          <w:tcPr>
            <w:tcW w:w="2301" w:type="dxa"/>
          </w:tcPr>
          <w:p w14:paraId="492D8C08" w14:textId="77777777" w:rsidR="002C6574" w:rsidRDefault="00000000">
            <w:pPr>
              <w:pStyle w:val="TableParagraph"/>
              <w:spacing w:line="205" w:lineRule="exact"/>
              <w:ind w:right="50"/>
              <w:rPr>
                <w:sz w:val="18"/>
              </w:rPr>
            </w:pPr>
            <w:r>
              <w:rPr>
                <w:spacing w:val="-5"/>
                <w:w w:val="105"/>
                <w:sz w:val="18"/>
              </w:rPr>
              <w:t>898</w:t>
            </w:r>
          </w:p>
        </w:tc>
      </w:tr>
      <w:tr w:rsidR="002C6574" w14:paraId="511D985E" w14:textId="77777777">
        <w:trPr>
          <w:trHeight w:val="232"/>
        </w:trPr>
        <w:tc>
          <w:tcPr>
            <w:tcW w:w="1018" w:type="dxa"/>
            <w:vMerge/>
            <w:tcBorders>
              <w:top w:val="nil"/>
              <w:bottom w:val="single" w:sz="8" w:space="0" w:color="000000"/>
            </w:tcBorders>
          </w:tcPr>
          <w:p w14:paraId="0D7E40D2" w14:textId="77777777" w:rsidR="002C6574" w:rsidRDefault="002C6574">
            <w:pPr>
              <w:rPr>
                <w:sz w:val="2"/>
                <w:szCs w:val="2"/>
              </w:rPr>
            </w:pPr>
          </w:p>
        </w:tc>
        <w:tc>
          <w:tcPr>
            <w:tcW w:w="2969" w:type="dxa"/>
            <w:tcBorders>
              <w:bottom w:val="single" w:sz="8" w:space="0" w:color="000000"/>
            </w:tcBorders>
          </w:tcPr>
          <w:p w14:paraId="3F897C8D" w14:textId="77777777" w:rsidR="002C6574" w:rsidRDefault="00000000">
            <w:pPr>
              <w:pStyle w:val="TableParagraph"/>
              <w:spacing w:line="212" w:lineRule="exact"/>
              <w:ind w:left="73"/>
              <w:jc w:val="left"/>
              <w:rPr>
                <w:sz w:val="18"/>
              </w:rPr>
            </w:pPr>
            <w:r>
              <w:rPr>
                <w:spacing w:val="-2"/>
                <w:sz w:val="18"/>
              </w:rPr>
              <w:t>Dezembro</w:t>
            </w:r>
          </w:p>
        </w:tc>
        <w:tc>
          <w:tcPr>
            <w:tcW w:w="2179" w:type="dxa"/>
            <w:tcBorders>
              <w:bottom w:val="single" w:sz="8" w:space="0" w:color="000000"/>
            </w:tcBorders>
          </w:tcPr>
          <w:p w14:paraId="187BF2E9" w14:textId="77777777" w:rsidR="002C6574" w:rsidRDefault="00000000">
            <w:pPr>
              <w:pStyle w:val="TableParagraph"/>
              <w:spacing w:line="212" w:lineRule="exact"/>
              <w:ind w:right="57"/>
              <w:rPr>
                <w:sz w:val="18"/>
              </w:rPr>
            </w:pPr>
            <w:r>
              <w:rPr>
                <w:spacing w:val="-2"/>
                <w:w w:val="110"/>
                <w:sz w:val="18"/>
              </w:rPr>
              <w:t>3.796</w:t>
            </w:r>
          </w:p>
        </w:tc>
        <w:tc>
          <w:tcPr>
            <w:tcW w:w="1303" w:type="dxa"/>
            <w:tcBorders>
              <w:bottom w:val="single" w:sz="8" w:space="0" w:color="000000"/>
            </w:tcBorders>
          </w:tcPr>
          <w:p w14:paraId="66228545" w14:textId="77777777" w:rsidR="002C6574" w:rsidRDefault="00000000">
            <w:pPr>
              <w:pStyle w:val="TableParagraph"/>
              <w:spacing w:line="212" w:lineRule="exact"/>
              <w:ind w:right="55"/>
              <w:rPr>
                <w:sz w:val="18"/>
              </w:rPr>
            </w:pPr>
            <w:r>
              <w:rPr>
                <w:spacing w:val="-2"/>
                <w:w w:val="110"/>
                <w:sz w:val="18"/>
              </w:rPr>
              <w:t>1.669</w:t>
            </w:r>
          </w:p>
        </w:tc>
        <w:tc>
          <w:tcPr>
            <w:tcW w:w="2301" w:type="dxa"/>
            <w:tcBorders>
              <w:bottom w:val="single" w:sz="8" w:space="0" w:color="000000"/>
            </w:tcBorders>
          </w:tcPr>
          <w:p w14:paraId="555FA3D9" w14:textId="77777777" w:rsidR="002C6574" w:rsidRDefault="00000000">
            <w:pPr>
              <w:pStyle w:val="TableParagraph"/>
              <w:spacing w:line="212" w:lineRule="exact"/>
              <w:ind w:right="50"/>
              <w:rPr>
                <w:sz w:val="18"/>
              </w:rPr>
            </w:pPr>
            <w:r>
              <w:rPr>
                <w:spacing w:val="-4"/>
                <w:w w:val="110"/>
                <w:sz w:val="18"/>
              </w:rPr>
              <w:t>5.465</w:t>
            </w:r>
          </w:p>
        </w:tc>
      </w:tr>
      <w:tr w:rsidR="002C6574" w14:paraId="52A2AE4D" w14:textId="77777777">
        <w:trPr>
          <w:trHeight w:val="222"/>
        </w:trPr>
        <w:tc>
          <w:tcPr>
            <w:tcW w:w="1018" w:type="dxa"/>
            <w:vMerge w:val="restart"/>
            <w:tcBorders>
              <w:top w:val="single" w:sz="8" w:space="0" w:color="000000"/>
              <w:bottom w:val="single" w:sz="8" w:space="0" w:color="000000"/>
            </w:tcBorders>
          </w:tcPr>
          <w:p w14:paraId="776B347F" w14:textId="77777777" w:rsidR="002C6574" w:rsidRDefault="002C6574">
            <w:pPr>
              <w:pStyle w:val="TableParagraph"/>
              <w:jc w:val="left"/>
              <w:rPr>
                <w:sz w:val="18"/>
              </w:rPr>
            </w:pPr>
          </w:p>
          <w:p w14:paraId="66C9F0FC" w14:textId="77777777" w:rsidR="002C6574" w:rsidRDefault="002C6574">
            <w:pPr>
              <w:pStyle w:val="TableParagraph"/>
              <w:jc w:val="left"/>
              <w:rPr>
                <w:sz w:val="18"/>
              </w:rPr>
            </w:pPr>
          </w:p>
          <w:p w14:paraId="6C2ECF55" w14:textId="77777777" w:rsidR="002C6574" w:rsidRDefault="002C6574">
            <w:pPr>
              <w:pStyle w:val="TableParagraph"/>
              <w:jc w:val="left"/>
              <w:rPr>
                <w:sz w:val="18"/>
              </w:rPr>
            </w:pPr>
          </w:p>
          <w:p w14:paraId="5AD4DD46" w14:textId="77777777" w:rsidR="002C6574" w:rsidRDefault="002C6574">
            <w:pPr>
              <w:pStyle w:val="TableParagraph"/>
              <w:jc w:val="left"/>
              <w:rPr>
                <w:sz w:val="18"/>
              </w:rPr>
            </w:pPr>
          </w:p>
          <w:p w14:paraId="3339A7C3" w14:textId="77777777" w:rsidR="002C6574" w:rsidRDefault="002C6574">
            <w:pPr>
              <w:pStyle w:val="TableParagraph"/>
              <w:spacing w:before="172"/>
              <w:jc w:val="left"/>
              <w:rPr>
                <w:sz w:val="18"/>
              </w:rPr>
            </w:pPr>
          </w:p>
          <w:p w14:paraId="45E5BBCE" w14:textId="77777777" w:rsidR="002C6574" w:rsidRDefault="00000000">
            <w:pPr>
              <w:pStyle w:val="TableParagraph"/>
              <w:ind w:left="311"/>
              <w:jc w:val="left"/>
              <w:rPr>
                <w:rFonts w:ascii="Arial"/>
                <w:b/>
                <w:sz w:val="18"/>
              </w:rPr>
            </w:pPr>
            <w:r>
              <w:rPr>
                <w:rFonts w:ascii="Arial"/>
                <w:b/>
                <w:spacing w:val="-4"/>
                <w:sz w:val="18"/>
              </w:rPr>
              <w:t>2023</w:t>
            </w:r>
          </w:p>
        </w:tc>
        <w:tc>
          <w:tcPr>
            <w:tcW w:w="2969" w:type="dxa"/>
            <w:tcBorders>
              <w:top w:val="single" w:sz="8" w:space="0" w:color="000000"/>
            </w:tcBorders>
          </w:tcPr>
          <w:p w14:paraId="1962B11E" w14:textId="77777777" w:rsidR="002C6574" w:rsidRDefault="00000000">
            <w:pPr>
              <w:pStyle w:val="TableParagraph"/>
              <w:spacing w:line="202" w:lineRule="exact"/>
              <w:ind w:left="73"/>
              <w:jc w:val="left"/>
              <w:rPr>
                <w:sz w:val="18"/>
              </w:rPr>
            </w:pPr>
            <w:r>
              <w:rPr>
                <w:spacing w:val="-2"/>
                <w:w w:val="105"/>
                <w:sz w:val="18"/>
              </w:rPr>
              <w:t>Janeiro</w:t>
            </w:r>
          </w:p>
        </w:tc>
        <w:tc>
          <w:tcPr>
            <w:tcW w:w="2179" w:type="dxa"/>
            <w:tcBorders>
              <w:top w:val="single" w:sz="8" w:space="0" w:color="000000"/>
            </w:tcBorders>
          </w:tcPr>
          <w:p w14:paraId="7A319939" w14:textId="77777777" w:rsidR="002C6574" w:rsidRDefault="00000000">
            <w:pPr>
              <w:pStyle w:val="TableParagraph"/>
              <w:spacing w:line="202" w:lineRule="exact"/>
              <w:ind w:right="57"/>
              <w:rPr>
                <w:sz w:val="18"/>
              </w:rPr>
            </w:pPr>
            <w:r>
              <w:rPr>
                <w:spacing w:val="-2"/>
                <w:w w:val="110"/>
                <w:sz w:val="18"/>
              </w:rPr>
              <w:t>4.134</w:t>
            </w:r>
          </w:p>
        </w:tc>
        <w:tc>
          <w:tcPr>
            <w:tcW w:w="1303" w:type="dxa"/>
            <w:tcBorders>
              <w:top w:val="single" w:sz="8" w:space="0" w:color="000000"/>
            </w:tcBorders>
          </w:tcPr>
          <w:p w14:paraId="5BD00AEE" w14:textId="77777777" w:rsidR="002C6574" w:rsidRDefault="00000000">
            <w:pPr>
              <w:pStyle w:val="TableParagraph"/>
              <w:spacing w:line="202" w:lineRule="exact"/>
              <w:ind w:right="55"/>
              <w:rPr>
                <w:sz w:val="18"/>
              </w:rPr>
            </w:pPr>
            <w:r>
              <w:rPr>
                <w:spacing w:val="-2"/>
                <w:w w:val="110"/>
                <w:sz w:val="18"/>
              </w:rPr>
              <w:t>1.789</w:t>
            </w:r>
          </w:p>
        </w:tc>
        <w:tc>
          <w:tcPr>
            <w:tcW w:w="2301" w:type="dxa"/>
            <w:tcBorders>
              <w:top w:val="single" w:sz="8" w:space="0" w:color="000000"/>
            </w:tcBorders>
          </w:tcPr>
          <w:p w14:paraId="5740239A" w14:textId="77777777" w:rsidR="002C6574" w:rsidRDefault="00000000">
            <w:pPr>
              <w:pStyle w:val="TableParagraph"/>
              <w:spacing w:line="202" w:lineRule="exact"/>
              <w:ind w:right="50"/>
              <w:rPr>
                <w:sz w:val="18"/>
              </w:rPr>
            </w:pPr>
            <w:r>
              <w:rPr>
                <w:spacing w:val="-4"/>
                <w:w w:val="110"/>
                <w:sz w:val="18"/>
              </w:rPr>
              <w:t>5.923</w:t>
            </w:r>
          </w:p>
        </w:tc>
      </w:tr>
      <w:tr w:rsidR="002C6574" w14:paraId="3B50C37E" w14:textId="77777777">
        <w:trPr>
          <w:trHeight w:val="227"/>
        </w:trPr>
        <w:tc>
          <w:tcPr>
            <w:tcW w:w="1018" w:type="dxa"/>
            <w:vMerge/>
            <w:tcBorders>
              <w:top w:val="nil"/>
              <w:bottom w:val="single" w:sz="8" w:space="0" w:color="000000"/>
            </w:tcBorders>
          </w:tcPr>
          <w:p w14:paraId="46059444" w14:textId="77777777" w:rsidR="002C6574" w:rsidRDefault="002C6574">
            <w:pPr>
              <w:rPr>
                <w:sz w:val="2"/>
                <w:szCs w:val="2"/>
              </w:rPr>
            </w:pPr>
          </w:p>
        </w:tc>
        <w:tc>
          <w:tcPr>
            <w:tcW w:w="2969" w:type="dxa"/>
          </w:tcPr>
          <w:p w14:paraId="5F15DBCE" w14:textId="77777777" w:rsidR="002C6574" w:rsidRDefault="00000000">
            <w:pPr>
              <w:pStyle w:val="TableParagraph"/>
              <w:spacing w:line="207" w:lineRule="exact"/>
              <w:ind w:left="73"/>
              <w:jc w:val="left"/>
              <w:rPr>
                <w:sz w:val="18"/>
              </w:rPr>
            </w:pPr>
            <w:r>
              <w:rPr>
                <w:spacing w:val="-2"/>
                <w:sz w:val="18"/>
              </w:rPr>
              <w:t>Fevereiro</w:t>
            </w:r>
          </w:p>
        </w:tc>
        <w:tc>
          <w:tcPr>
            <w:tcW w:w="2179" w:type="dxa"/>
          </w:tcPr>
          <w:p w14:paraId="649E4546" w14:textId="77777777" w:rsidR="002C6574" w:rsidRDefault="00000000">
            <w:pPr>
              <w:pStyle w:val="TableParagraph"/>
              <w:spacing w:line="207" w:lineRule="exact"/>
              <w:ind w:right="57"/>
              <w:rPr>
                <w:sz w:val="18"/>
              </w:rPr>
            </w:pPr>
            <w:r>
              <w:rPr>
                <w:spacing w:val="-5"/>
                <w:w w:val="105"/>
                <w:sz w:val="18"/>
              </w:rPr>
              <w:t>754</w:t>
            </w:r>
          </w:p>
        </w:tc>
        <w:tc>
          <w:tcPr>
            <w:tcW w:w="1303" w:type="dxa"/>
          </w:tcPr>
          <w:p w14:paraId="26D48DA9" w14:textId="77777777" w:rsidR="002C6574" w:rsidRDefault="00000000">
            <w:pPr>
              <w:pStyle w:val="TableParagraph"/>
              <w:spacing w:line="207" w:lineRule="exact"/>
              <w:ind w:right="55"/>
              <w:rPr>
                <w:sz w:val="18"/>
              </w:rPr>
            </w:pPr>
            <w:r>
              <w:rPr>
                <w:spacing w:val="-5"/>
                <w:w w:val="105"/>
                <w:sz w:val="18"/>
              </w:rPr>
              <w:t>312</w:t>
            </w:r>
          </w:p>
        </w:tc>
        <w:tc>
          <w:tcPr>
            <w:tcW w:w="2301" w:type="dxa"/>
          </w:tcPr>
          <w:p w14:paraId="434B5034" w14:textId="77777777" w:rsidR="002C6574" w:rsidRDefault="00000000">
            <w:pPr>
              <w:pStyle w:val="TableParagraph"/>
              <w:spacing w:line="207" w:lineRule="exact"/>
              <w:ind w:right="50"/>
              <w:rPr>
                <w:sz w:val="18"/>
              </w:rPr>
            </w:pPr>
            <w:r>
              <w:rPr>
                <w:spacing w:val="-4"/>
                <w:w w:val="110"/>
                <w:sz w:val="18"/>
              </w:rPr>
              <w:t>1.066</w:t>
            </w:r>
          </w:p>
        </w:tc>
      </w:tr>
      <w:tr w:rsidR="002C6574" w14:paraId="29AB7CF0" w14:textId="77777777">
        <w:trPr>
          <w:trHeight w:val="227"/>
        </w:trPr>
        <w:tc>
          <w:tcPr>
            <w:tcW w:w="1018" w:type="dxa"/>
            <w:vMerge/>
            <w:tcBorders>
              <w:top w:val="nil"/>
              <w:bottom w:val="single" w:sz="8" w:space="0" w:color="000000"/>
            </w:tcBorders>
          </w:tcPr>
          <w:p w14:paraId="24688221" w14:textId="77777777" w:rsidR="002C6574" w:rsidRDefault="002C6574">
            <w:pPr>
              <w:rPr>
                <w:sz w:val="2"/>
                <w:szCs w:val="2"/>
              </w:rPr>
            </w:pPr>
          </w:p>
        </w:tc>
        <w:tc>
          <w:tcPr>
            <w:tcW w:w="2969" w:type="dxa"/>
          </w:tcPr>
          <w:p w14:paraId="5854FF28" w14:textId="77777777" w:rsidR="002C6574" w:rsidRDefault="00000000">
            <w:pPr>
              <w:pStyle w:val="TableParagraph"/>
              <w:spacing w:line="207" w:lineRule="exact"/>
              <w:ind w:left="73"/>
              <w:jc w:val="left"/>
              <w:rPr>
                <w:sz w:val="18"/>
              </w:rPr>
            </w:pPr>
            <w:r>
              <w:rPr>
                <w:spacing w:val="-2"/>
                <w:sz w:val="18"/>
              </w:rPr>
              <w:t>Março</w:t>
            </w:r>
          </w:p>
        </w:tc>
        <w:tc>
          <w:tcPr>
            <w:tcW w:w="2179" w:type="dxa"/>
          </w:tcPr>
          <w:p w14:paraId="4FCD9332" w14:textId="77777777" w:rsidR="002C6574" w:rsidRDefault="00000000">
            <w:pPr>
              <w:pStyle w:val="TableParagraph"/>
              <w:spacing w:line="207" w:lineRule="exact"/>
              <w:ind w:right="57"/>
              <w:rPr>
                <w:sz w:val="18"/>
              </w:rPr>
            </w:pPr>
            <w:r>
              <w:rPr>
                <w:spacing w:val="-2"/>
                <w:w w:val="110"/>
                <w:sz w:val="18"/>
              </w:rPr>
              <w:t>9.271</w:t>
            </w:r>
          </w:p>
        </w:tc>
        <w:tc>
          <w:tcPr>
            <w:tcW w:w="1303" w:type="dxa"/>
          </w:tcPr>
          <w:p w14:paraId="1C94D40F" w14:textId="77777777" w:rsidR="002C6574" w:rsidRDefault="00000000">
            <w:pPr>
              <w:pStyle w:val="TableParagraph"/>
              <w:spacing w:line="207" w:lineRule="exact"/>
              <w:ind w:right="55"/>
              <w:rPr>
                <w:sz w:val="18"/>
              </w:rPr>
            </w:pPr>
            <w:r>
              <w:rPr>
                <w:spacing w:val="-2"/>
                <w:w w:val="110"/>
                <w:sz w:val="18"/>
              </w:rPr>
              <w:t>3.629</w:t>
            </w:r>
          </w:p>
        </w:tc>
        <w:tc>
          <w:tcPr>
            <w:tcW w:w="2301" w:type="dxa"/>
          </w:tcPr>
          <w:p w14:paraId="149816B3" w14:textId="77777777" w:rsidR="002C6574" w:rsidRDefault="00000000">
            <w:pPr>
              <w:pStyle w:val="TableParagraph"/>
              <w:spacing w:line="207" w:lineRule="exact"/>
              <w:ind w:right="52"/>
              <w:rPr>
                <w:sz w:val="18"/>
              </w:rPr>
            </w:pPr>
            <w:r>
              <w:rPr>
                <w:spacing w:val="-2"/>
                <w:w w:val="105"/>
                <w:sz w:val="18"/>
              </w:rPr>
              <w:t>12.900</w:t>
            </w:r>
          </w:p>
        </w:tc>
      </w:tr>
      <w:tr w:rsidR="002C6574" w14:paraId="2D10F952" w14:textId="77777777">
        <w:trPr>
          <w:trHeight w:val="227"/>
        </w:trPr>
        <w:tc>
          <w:tcPr>
            <w:tcW w:w="1018" w:type="dxa"/>
            <w:vMerge/>
            <w:tcBorders>
              <w:top w:val="nil"/>
              <w:bottom w:val="single" w:sz="8" w:space="0" w:color="000000"/>
            </w:tcBorders>
          </w:tcPr>
          <w:p w14:paraId="32E4C799" w14:textId="77777777" w:rsidR="002C6574" w:rsidRDefault="002C6574">
            <w:pPr>
              <w:rPr>
                <w:sz w:val="2"/>
                <w:szCs w:val="2"/>
              </w:rPr>
            </w:pPr>
          </w:p>
        </w:tc>
        <w:tc>
          <w:tcPr>
            <w:tcW w:w="2969" w:type="dxa"/>
          </w:tcPr>
          <w:p w14:paraId="0DCA0C35" w14:textId="77777777" w:rsidR="002C6574" w:rsidRDefault="00000000">
            <w:pPr>
              <w:pStyle w:val="TableParagraph"/>
              <w:spacing w:line="207" w:lineRule="exact"/>
              <w:ind w:left="73"/>
              <w:jc w:val="left"/>
              <w:rPr>
                <w:sz w:val="18"/>
              </w:rPr>
            </w:pPr>
            <w:r>
              <w:rPr>
                <w:spacing w:val="-2"/>
                <w:sz w:val="18"/>
              </w:rPr>
              <w:t>Abril</w:t>
            </w:r>
          </w:p>
        </w:tc>
        <w:tc>
          <w:tcPr>
            <w:tcW w:w="2179" w:type="dxa"/>
          </w:tcPr>
          <w:p w14:paraId="1B42F5A5" w14:textId="77777777" w:rsidR="002C6574" w:rsidRDefault="00000000">
            <w:pPr>
              <w:pStyle w:val="TableParagraph"/>
              <w:spacing w:line="207" w:lineRule="exact"/>
              <w:ind w:right="57"/>
              <w:rPr>
                <w:sz w:val="18"/>
              </w:rPr>
            </w:pPr>
            <w:r>
              <w:rPr>
                <w:spacing w:val="-2"/>
                <w:w w:val="110"/>
                <w:sz w:val="18"/>
              </w:rPr>
              <w:t>2.328</w:t>
            </w:r>
          </w:p>
        </w:tc>
        <w:tc>
          <w:tcPr>
            <w:tcW w:w="1303" w:type="dxa"/>
          </w:tcPr>
          <w:p w14:paraId="72D66ABE" w14:textId="77777777" w:rsidR="002C6574" w:rsidRDefault="00000000">
            <w:pPr>
              <w:pStyle w:val="TableParagraph"/>
              <w:spacing w:line="207" w:lineRule="exact"/>
              <w:ind w:right="55"/>
              <w:rPr>
                <w:sz w:val="18"/>
              </w:rPr>
            </w:pPr>
            <w:r>
              <w:rPr>
                <w:spacing w:val="-5"/>
                <w:w w:val="105"/>
                <w:sz w:val="18"/>
              </w:rPr>
              <w:t>890</w:t>
            </w:r>
          </w:p>
        </w:tc>
        <w:tc>
          <w:tcPr>
            <w:tcW w:w="2301" w:type="dxa"/>
          </w:tcPr>
          <w:p w14:paraId="26C9F6E2" w14:textId="77777777" w:rsidR="002C6574" w:rsidRDefault="00000000">
            <w:pPr>
              <w:pStyle w:val="TableParagraph"/>
              <w:spacing w:line="207" w:lineRule="exact"/>
              <w:ind w:right="50"/>
              <w:rPr>
                <w:sz w:val="18"/>
              </w:rPr>
            </w:pPr>
            <w:r>
              <w:rPr>
                <w:spacing w:val="-4"/>
                <w:w w:val="110"/>
                <w:sz w:val="18"/>
              </w:rPr>
              <w:t>3.218</w:t>
            </w:r>
          </w:p>
        </w:tc>
      </w:tr>
      <w:tr w:rsidR="002C6574" w14:paraId="40DC91FB" w14:textId="77777777">
        <w:trPr>
          <w:trHeight w:val="227"/>
        </w:trPr>
        <w:tc>
          <w:tcPr>
            <w:tcW w:w="1018" w:type="dxa"/>
            <w:vMerge/>
            <w:tcBorders>
              <w:top w:val="nil"/>
              <w:bottom w:val="single" w:sz="8" w:space="0" w:color="000000"/>
            </w:tcBorders>
          </w:tcPr>
          <w:p w14:paraId="7F39819F" w14:textId="77777777" w:rsidR="002C6574" w:rsidRDefault="002C6574">
            <w:pPr>
              <w:rPr>
                <w:sz w:val="2"/>
                <w:szCs w:val="2"/>
              </w:rPr>
            </w:pPr>
          </w:p>
        </w:tc>
        <w:tc>
          <w:tcPr>
            <w:tcW w:w="2969" w:type="dxa"/>
          </w:tcPr>
          <w:p w14:paraId="5C2EB1DD" w14:textId="77777777" w:rsidR="002C6574" w:rsidRDefault="00000000">
            <w:pPr>
              <w:pStyle w:val="TableParagraph"/>
              <w:spacing w:line="207" w:lineRule="exact"/>
              <w:ind w:left="73"/>
              <w:jc w:val="left"/>
              <w:rPr>
                <w:sz w:val="18"/>
              </w:rPr>
            </w:pPr>
            <w:r>
              <w:rPr>
                <w:spacing w:val="-4"/>
                <w:sz w:val="18"/>
              </w:rPr>
              <w:t>Maio</w:t>
            </w:r>
          </w:p>
        </w:tc>
        <w:tc>
          <w:tcPr>
            <w:tcW w:w="2179" w:type="dxa"/>
          </w:tcPr>
          <w:p w14:paraId="066A43EE" w14:textId="77777777" w:rsidR="002C6574" w:rsidRDefault="00000000">
            <w:pPr>
              <w:pStyle w:val="TableParagraph"/>
              <w:spacing w:line="207" w:lineRule="exact"/>
              <w:ind w:right="57"/>
              <w:rPr>
                <w:sz w:val="18"/>
              </w:rPr>
            </w:pPr>
            <w:r>
              <w:rPr>
                <w:spacing w:val="-2"/>
                <w:w w:val="110"/>
                <w:sz w:val="18"/>
              </w:rPr>
              <w:t>8.726</w:t>
            </w:r>
          </w:p>
        </w:tc>
        <w:tc>
          <w:tcPr>
            <w:tcW w:w="1303" w:type="dxa"/>
          </w:tcPr>
          <w:p w14:paraId="35BCB05E" w14:textId="77777777" w:rsidR="002C6574" w:rsidRDefault="00000000">
            <w:pPr>
              <w:pStyle w:val="TableParagraph"/>
              <w:spacing w:line="207" w:lineRule="exact"/>
              <w:ind w:right="55"/>
              <w:rPr>
                <w:sz w:val="18"/>
              </w:rPr>
            </w:pPr>
            <w:r>
              <w:rPr>
                <w:spacing w:val="-2"/>
                <w:w w:val="110"/>
                <w:sz w:val="18"/>
              </w:rPr>
              <w:t>3.208</w:t>
            </w:r>
          </w:p>
        </w:tc>
        <w:tc>
          <w:tcPr>
            <w:tcW w:w="2301" w:type="dxa"/>
          </w:tcPr>
          <w:p w14:paraId="22C6D4C0" w14:textId="77777777" w:rsidR="002C6574" w:rsidRDefault="00000000">
            <w:pPr>
              <w:pStyle w:val="TableParagraph"/>
              <w:spacing w:line="207" w:lineRule="exact"/>
              <w:ind w:right="52"/>
              <w:rPr>
                <w:sz w:val="18"/>
              </w:rPr>
            </w:pPr>
            <w:r>
              <w:rPr>
                <w:spacing w:val="-2"/>
                <w:w w:val="105"/>
                <w:sz w:val="18"/>
              </w:rPr>
              <w:t>11.934</w:t>
            </w:r>
          </w:p>
        </w:tc>
      </w:tr>
      <w:tr w:rsidR="002C6574" w14:paraId="09F6B797" w14:textId="77777777">
        <w:trPr>
          <w:trHeight w:val="227"/>
        </w:trPr>
        <w:tc>
          <w:tcPr>
            <w:tcW w:w="1018" w:type="dxa"/>
            <w:vMerge/>
            <w:tcBorders>
              <w:top w:val="nil"/>
              <w:bottom w:val="single" w:sz="8" w:space="0" w:color="000000"/>
            </w:tcBorders>
          </w:tcPr>
          <w:p w14:paraId="68D927EB" w14:textId="77777777" w:rsidR="002C6574" w:rsidRDefault="002C6574">
            <w:pPr>
              <w:rPr>
                <w:sz w:val="2"/>
                <w:szCs w:val="2"/>
              </w:rPr>
            </w:pPr>
          </w:p>
        </w:tc>
        <w:tc>
          <w:tcPr>
            <w:tcW w:w="2969" w:type="dxa"/>
          </w:tcPr>
          <w:p w14:paraId="6DDD4520" w14:textId="77777777" w:rsidR="002C6574" w:rsidRDefault="00000000">
            <w:pPr>
              <w:pStyle w:val="TableParagraph"/>
              <w:spacing w:line="207" w:lineRule="exact"/>
              <w:ind w:left="73"/>
              <w:jc w:val="left"/>
              <w:rPr>
                <w:sz w:val="18"/>
              </w:rPr>
            </w:pPr>
            <w:r>
              <w:rPr>
                <w:spacing w:val="-2"/>
                <w:w w:val="105"/>
                <w:sz w:val="18"/>
              </w:rPr>
              <w:t>Junho</w:t>
            </w:r>
          </w:p>
        </w:tc>
        <w:tc>
          <w:tcPr>
            <w:tcW w:w="2179" w:type="dxa"/>
          </w:tcPr>
          <w:p w14:paraId="5CB1C5E6" w14:textId="77777777" w:rsidR="002C6574" w:rsidRDefault="00000000">
            <w:pPr>
              <w:pStyle w:val="TableParagraph"/>
              <w:spacing w:line="207" w:lineRule="exact"/>
              <w:ind w:right="56"/>
              <w:rPr>
                <w:sz w:val="18"/>
              </w:rPr>
            </w:pPr>
            <w:r>
              <w:rPr>
                <w:spacing w:val="-2"/>
                <w:w w:val="110"/>
                <w:sz w:val="18"/>
              </w:rPr>
              <w:t>7.759</w:t>
            </w:r>
          </w:p>
        </w:tc>
        <w:tc>
          <w:tcPr>
            <w:tcW w:w="1303" w:type="dxa"/>
          </w:tcPr>
          <w:p w14:paraId="2B01EA56" w14:textId="77777777" w:rsidR="002C6574" w:rsidRDefault="00000000">
            <w:pPr>
              <w:pStyle w:val="TableParagraph"/>
              <w:spacing w:line="207" w:lineRule="exact"/>
              <w:ind w:right="55"/>
              <w:rPr>
                <w:sz w:val="18"/>
              </w:rPr>
            </w:pPr>
            <w:r>
              <w:rPr>
                <w:spacing w:val="-2"/>
                <w:w w:val="110"/>
                <w:sz w:val="18"/>
              </w:rPr>
              <w:t>2.726</w:t>
            </w:r>
          </w:p>
        </w:tc>
        <w:tc>
          <w:tcPr>
            <w:tcW w:w="2301" w:type="dxa"/>
          </w:tcPr>
          <w:p w14:paraId="0387C0A9" w14:textId="77777777" w:rsidR="002C6574" w:rsidRDefault="00000000">
            <w:pPr>
              <w:pStyle w:val="TableParagraph"/>
              <w:spacing w:line="207" w:lineRule="exact"/>
              <w:ind w:right="52"/>
              <w:rPr>
                <w:sz w:val="18"/>
              </w:rPr>
            </w:pPr>
            <w:r>
              <w:rPr>
                <w:spacing w:val="-2"/>
                <w:w w:val="105"/>
                <w:sz w:val="18"/>
              </w:rPr>
              <w:t>10.485</w:t>
            </w:r>
          </w:p>
        </w:tc>
      </w:tr>
      <w:tr w:rsidR="002C6574" w14:paraId="17D384AB" w14:textId="77777777">
        <w:trPr>
          <w:trHeight w:val="227"/>
        </w:trPr>
        <w:tc>
          <w:tcPr>
            <w:tcW w:w="1018" w:type="dxa"/>
            <w:vMerge/>
            <w:tcBorders>
              <w:top w:val="nil"/>
              <w:bottom w:val="single" w:sz="8" w:space="0" w:color="000000"/>
            </w:tcBorders>
          </w:tcPr>
          <w:p w14:paraId="58EDC511" w14:textId="77777777" w:rsidR="002C6574" w:rsidRDefault="002C6574">
            <w:pPr>
              <w:rPr>
                <w:sz w:val="2"/>
                <w:szCs w:val="2"/>
              </w:rPr>
            </w:pPr>
          </w:p>
        </w:tc>
        <w:tc>
          <w:tcPr>
            <w:tcW w:w="2969" w:type="dxa"/>
          </w:tcPr>
          <w:p w14:paraId="34ADF345" w14:textId="77777777" w:rsidR="002C6574" w:rsidRDefault="00000000">
            <w:pPr>
              <w:pStyle w:val="TableParagraph"/>
              <w:spacing w:line="207" w:lineRule="exact"/>
              <w:ind w:left="73"/>
              <w:jc w:val="left"/>
              <w:rPr>
                <w:sz w:val="18"/>
              </w:rPr>
            </w:pPr>
            <w:r>
              <w:rPr>
                <w:spacing w:val="-2"/>
                <w:w w:val="105"/>
                <w:sz w:val="18"/>
              </w:rPr>
              <w:t>Julho</w:t>
            </w:r>
          </w:p>
        </w:tc>
        <w:tc>
          <w:tcPr>
            <w:tcW w:w="2179" w:type="dxa"/>
          </w:tcPr>
          <w:p w14:paraId="105A6C98" w14:textId="77777777" w:rsidR="002C6574" w:rsidRDefault="00000000">
            <w:pPr>
              <w:pStyle w:val="TableParagraph"/>
              <w:spacing w:line="207" w:lineRule="exact"/>
              <w:ind w:right="55"/>
              <w:rPr>
                <w:sz w:val="18"/>
              </w:rPr>
            </w:pPr>
            <w:r>
              <w:rPr>
                <w:spacing w:val="-5"/>
                <w:w w:val="105"/>
                <w:sz w:val="18"/>
              </w:rPr>
              <w:t>123</w:t>
            </w:r>
          </w:p>
        </w:tc>
        <w:tc>
          <w:tcPr>
            <w:tcW w:w="1303" w:type="dxa"/>
          </w:tcPr>
          <w:p w14:paraId="7804C47A" w14:textId="77777777" w:rsidR="002C6574" w:rsidRDefault="00000000">
            <w:pPr>
              <w:pStyle w:val="TableParagraph"/>
              <w:spacing w:line="207" w:lineRule="exact"/>
              <w:ind w:right="55"/>
              <w:rPr>
                <w:sz w:val="18"/>
              </w:rPr>
            </w:pPr>
            <w:r>
              <w:rPr>
                <w:spacing w:val="-5"/>
                <w:w w:val="105"/>
                <w:sz w:val="18"/>
              </w:rPr>
              <w:t>41</w:t>
            </w:r>
          </w:p>
        </w:tc>
        <w:tc>
          <w:tcPr>
            <w:tcW w:w="2301" w:type="dxa"/>
          </w:tcPr>
          <w:p w14:paraId="69F2848A" w14:textId="77777777" w:rsidR="002C6574" w:rsidRDefault="00000000">
            <w:pPr>
              <w:pStyle w:val="TableParagraph"/>
              <w:spacing w:line="207" w:lineRule="exact"/>
              <w:ind w:right="50"/>
              <w:rPr>
                <w:sz w:val="18"/>
              </w:rPr>
            </w:pPr>
            <w:r>
              <w:rPr>
                <w:spacing w:val="-5"/>
                <w:w w:val="105"/>
                <w:sz w:val="18"/>
              </w:rPr>
              <w:t>164</w:t>
            </w:r>
          </w:p>
        </w:tc>
      </w:tr>
      <w:tr w:rsidR="002C6574" w14:paraId="6FB051C4" w14:textId="77777777">
        <w:trPr>
          <w:trHeight w:val="227"/>
        </w:trPr>
        <w:tc>
          <w:tcPr>
            <w:tcW w:w="1018" w:type="dxa"/>
            <w:vMerge/>
            <w:tcBorders>
              <w:top w:val="nil"/>
              <w:bottom w:val="single" w:sz="8" w:space="0" w:color="000000"/>
            </w:tcBorders>
          </w:tcPr>
          <w:p w14:paraId="28954221" w14:textId="77777777" w:rsidR="002C6574" w:rsidRDefault="002C6574">
            <w:pPr>
              <w:rPr>
                <w:sz w:val="2"/>
                <w:szCs w:val="2"/>
              </w:rPr>
            </w:pPr>
          </w:p>
        </w:tc>
        <w:tc>
          <w:tcPr>
            <w:tcW w:w="2969" w:type="dxa"/>
          </w:tcPr>
          <w:p w14:paraId="0116B3B3" w14:textId="77777777" w:rsidR="002C6574" w:rsidRDefault="00000000">
            <w:pPr>
              <w:pStyle w:val="TableParagraph"/>
              <w:spacing w:line="207" w:lineRule="exact"/>
              <w:ind w:left="73"/>
              <w:jc w:val="left"/>
              <w:rPr>
                <w:sz w:val="18"/>
              </w:rPr>
            </w:pPr>
            <w:r>
              <w:rPr>
                <w:spacing w:val="-2"/>
                <w:sz w:val="18"/>
              </w:rPr>
              <w:t>Agosto</w:t>
            </w:r>
          </w:p>
        </w:tc>
        <w:tc>
          <w:tcPr>
            <w:tcW w:w="2179" w:type="dxa"/>
          </w:tcPr>
          <w:p w14:paraId="5EF886FC" w14:textId="77777777" w:rsidR="002C6574" w:rsidRDefault="00000000">
            <w:pPr>
              <w:pStyle w:val="TableParagraph"/>
              <w:spacing w:line="207" w:lineRule="exact"/>
              <w:ind w:right="57"/>
              <w:rPr>
                <w:sz w:val="18"/>
              </w:rPr>
            </w:pPr>
            <w:r>
              <w:rPr>
                <w:spacing w:val="-2"/>
                <w:w w:val="110"/>
                <w:sz w:val="18"/>
              </w:rPr>
              <w:t>1.991</w:t>
            </w:r>
          </w:p>
        </w:tc>
        <w:tc>
          <w:tcPr>
            <w:tcW w:w="1303" w:type="dxa"/>
          </w:tcPr>
          <w:p w14:paraId="7F5F4AC9" w14:textId="77777777" w:rsidR="002C6574" w:rsidRDefault="00000000">
            <w:pPr>
              <w:pStyle w:val="TableParagraph"/>
              <w:spacing w:line="207" w:lineRule="exact"/>
              <w:ind w:right="55"/>
              <w:rPr>
                <w:sz w:val="18"/>
              </w:rPr>
            </w:pPr>
            <w:r>
              <w:rPr>
                <w:spacing w:val="-5"/>
                <w:w w:val="105"/>
                <w:sz w:val="18"/>
              </w:rPr>
              <w:t>638</w:t>
            </w:r>
          </w:p>
        </w:tc>
        <w:tc>
          <w:tcPr>
            <w:tcW w:w="2301" w:type="dxa"/>
          </w:tcPr>
          <w:p w14:paraId="05C4F324" w14:textId="77777777" w:rsidR="002C6574" w:rsidRDefault="00000000">
            <w:pPr>
              <w:pStyle w:val="TableParagraph"/>
              <w:spacing w:line="207" w:lineRule="exact"/>
              <w:ind w:right="50"/>
              <w:rPr>
                <w:sz w:val="18"/>
              </w:rPr>
            </w:pPr>
            <w:r>
              <w:rPr>
                <w:spacing w:val="-4"/>
                <w:w w:val="110"/>
                <w:sz w:val="18"/>
              </w:rPr>
              <w:t>2.629</w:t>
            </w:r>
          </w:p>
        </w:tc>
      </w:tr>
      <w:tr w:rsidR="002C6574" w14:paraId="44CD4F6E" w14:textId="77777777">
        <w:trPr>
          <w:trHeight w:val="227"/>
        </w:trPr>
        <w:tc>
          <w:tcPr>
            <w:tcW w:w="1018" w:type="dxa"/>
            <w:vMerge/>
            <w:tcBorders>
              <w:top w:val="nil"/>
              <w:bottom w:val="single" w:sz="8" w:space="0" w:color="000000"/>
            </w:tcBorders>
          </w:tcPr>
          <w:p w14:paraId="5A3DB40D" w14:textId="77777777" w:rsidR="002C6574" w:rsidRDefault="002C6574">
            <w:pPr>
              <w:rPr>
                <w:sz w:val="2"/>
                <w:szCs w:val="2"/>
              </w:rPr>
            </w:pPr>
          </w:p>
        </w:tc>
        <w:tc>
          <w:tcPr>
            <w:tcW w:w="2969" w:type="dxa"/>
          </w:tcPr>
          <w:p w14:paraId="0C314DA3" w14:textId="77777777" w:rsidR="002C6574" w:rsidRDefault="00000000">
            <w:pPr>
              <w:pStyle w:val="TableParagraph"/>
              <w:spacing w:line="207" w:lineRule="exact"/>
              <w:ind w:left="73"/>
              <w:jc w:val="left"/>
              <w:rPr>
                <w:sz w:val="18"/>
              </w:rPr>
            </w:pPr>
            <w:r>
              <w:rPr>
                <w:spacing w:val="-2"/>
                <w:sz w:val="18"/>
              </w:rPr>
              <w:t>Setembro</w:t>
            </w:r>
          </w:p>
        </w:tc>
        <w:tc>
          <w:tcPr>
            <w:tcW w:w="2179" w:type="dxa"/>
          </w:tcPr>
          <w:p w14:paraId="5A7C23CE" w14:textId="77777777" w:rsidR="002C6574" w:rsidRDefault="00000000">
            <w:pPr>
              <w:pStyle w:val="TableParagraph"/>
              <w:spacing w:line="207" w:lineRule="exact"/>
              <w:ind w:right="57"/>
              <w:rPr>
                <w:sz w:val="18"/>
              </w:rPr>
            </w:pPr>
            <w:r>
              <w:rPr>
                <w:spacing w:val="-2"/>
                <w:w w:val="110"/>
                <w:sz w:val="18"/>
              </w:rPr>
              <w:t>2.469</w:t>
            </w:r>
          </w:p>
        </w:tc>
        <w:tc>
          <w:tcPr>
            <w:tcW w:w="1303" w:type="dxa"/>
          </w:tcPr>
          <w:p w14:paraId="67767B83" w14:textId="77777777" w:rsidR="002C6574" w:rsidRDefault="00000000">
            <w:pPr>
              <w:pStyle w:val="TableParagraph"/>
              <w:spacing w:line="207" w:lineRule="exact"/>
              <w:ind w:right="55"/>
              <w:rPr>
                <w:sz w:val="18"/>
              </w:rPr>
            </w:pPr>
            <w:r>
              <w:rPr>
                <w:spacing w:val="-5"/>
                <w:w w:val="105"/>
                <w:sz w:val="18"/>
              </w:rPr>
              <w:t>774</w:t>
            </w:r>
          </w:p>
        </w:tc>
        <w:tc>
          <w:tcPr>
            <w:tcW w:w="2301" w:type="dxa"/>
          </w:tcPr>
          <w:p w14:paraId="476D3D16" w14:textId="77777777" w:rsidR="002C6574" w:rsidRDefault="00000000">
            <w:pPr>
              <w:pStyle w:val="TableParagraph"/>
              <w:spacing w:line="207" w:lineRule="exact"/>
              <w:ind w:right="50"/>
              <w:rPr>
                <w:sz w:val="18"/>
              </w:rPr>
            </w:pPr>
            <w:r>
              <w:rPr>
                <w:spacing w:val="-4"/>
                <w:w w:val="110"/>
                <w:sz w:val="18"/>
              </w:rPr>
              <w:t>3.243</w:t>
            </w:r>
          </w:p>
        </w:tc>
      </w:tr>
      <w:tr w:rsidR="002C6574" w14:paraId="3D3BCC48" w14:textId="77777777">
        <w:trPr>
          <w:trHeight w:val="227"/>
        </w:trPr>
        <w:tc>
          <w:tcPr>
            <w:tcW w:w="1018" w:type="dxa"/>
            <w:vMerge/>
            <w:tcBorders>
              <w:top w:val="nil"/>
              <w:bottom w:val="single" w:sz="8" w:space="0" w:color="000000"/>
            </w:tcBorders>
          </w:tcPr>
          <w:p w14:paraId="136D1205" w14:textId="77777777" w:rsidR="002C6574" w:rsidRDefault="002C6574">
            <w:pPr>
              <w:rPr>
                <w:sz w:val="2"/>
                <w:szCs w:val="2"/>
              </w:rPr>
            </w:pPr>
          </w:p>
        </w:tc>
        <w:tc>
          <w:tcPr>
            <w:tcW w:w="2969" w:type="dxa"/>
          </w:tcPr>
          <w:p w14:paraId="5A59023C" w14:textId="77777777" w:rsidR="002C6574" w:rsidRDefault="00000000">
            <w:pPr>
              <w:pStyle w:val="TableParagraph"/>
              <w:spacing w:line="207" w:lineRule="exact"/>
              <w:ind w:left="73"/>
              <w:jc w:val="left"/>
              <w:rPr>
                <w:sz w:val="18"/>
              </w:rPr>
            </w:pPr>
            <w:r>
              <w:rPr>
                <w:spacing w:val="-2"/>
                <w:sz w:val="18"/>
              </w:rPr>
              <w:t>Outubro</w:t>
            </w:r>
          </w:p>
        </w:tc>
        <w:tc>
          <w:tcPr>
            <w:tcW w:w="2179" w:type="dxa"/>
          </w:tcPr>
          <w:p w14:paraId="23B7AF62" w14:textId="77777777" w:rsidR="002C6574" w:rsidRDefault="00000000">
            <w:pPr>
              <w:pStyle w:val="TableParagraph"/>
              <w:spacing w:line="207" w:lineRule="exact"/>
              <w:ind w:right="55"/>
              <w:rPr>
                <w:sz w:val="18"/>
              </w:rPr>
            </w:pPr>
            <w:r>
              <w:rPr>
                <w:spacing w:val="-5"/>
                <w:w w:val="105"/>
                <w:sz w:val="18"/>
              </w:rPr>
              <w:t>384</w:t>
            </w:r>
          </w:p>
        </w:tc>
        <w:tc>
          <w:tcPr>
            <w:tcW w:w="1303" w:type="dxa"/>
          </w:tcPr>
          <w:p w14:paraId="58D0188B" w14:textId="77777777" w:rsidR="002C6574" w:rsidRDefault="00000000">
            <w:pPr>
              <w:pStyle w:val="TableParagraph"/>
              <w:spacing w:line="207" w:lineRule="exact"/>
              <w:ind w:right="55"/>
              <w:rPr>
                <w:sz w:val="18"/>
              </w:rPr>
            </w:pPr>
            <w:r>
              <w:rPr>
                <w:spacing w:val="-5"/>
                <w:w w:val="105"/>
                <w:sz w:val="18"/>
              </w:rPr>
              <w:t>116</w:t>
            </w:r>
          </w:p>
        </w:tc>
        <w:tc>
          <w:tcPr>
            <w:tcW w:w="2301" w:type="dxa"/>
          </w:tcPr>
          <w:p w14:paraId="424A7373" w14:textId="77777777" w:rsidR="002C6574" w:rsidRDefault="00000000">
            <w:pPr>
              <w:pStyle w:val="TableParagraph"/>
              <w:spacing w:line="207" w:lineRule="exact"/>
              <w:ind w:right="50"/>
              <w:rPr>
                <w:sz w:val="18"/>
              </w:rPr>
            </w:pPr>
            <w:r>
              <w:rPr>
                <w:spacing w:val="-5"/>
                <w:w w:val="105"/>
                <w:sz w:val="18"/>
              </w:rPr>
              <w:t>500</w:t>
            </w:r>
          </w:p>
        </w:tc>
      </w:tr>
      <w:tr w:rsidR="002C6574" w14:paraId="00565202" w14:textId="77777777">
        <w:trPr>
          <w:trHeight w:val="224"/>
        </w:trPr>
        <w:tc>
          <w:tcPr>
            <w:tcW w:w="1018" w:type="dxa"/>
            <w:vMerge/>
            <w:tcBorders>
              <w:top w:val="nil"/>
              <w:bottom w:val="single" w:sz="8" w:space="0" w:color="000000"/>
            </w:tcBorders>
          </w:tcPr>
          <w:p w14:paraId="3A18C744" w14:textId="77777777" w:rsidR="002C6574" w:rsidRDefault="002C6574">
            <w:pPr>
              <w:rPr>
                <w:sz w:val="2"/>
                <w:szCs w:val="2"/>
              </w:rPr>
            </w:pPr>
          </w:p>
        </w:tc>
        <w:tc>
          <w:tcPr>
            <w:tcW w:w="2969" w:type="dxa"/>
          </w:tcPr>
          <w:p w14:paraId="63A13EC3" w14:textId="77777777" w:rsidR="002C6574" w:rsidRDefault="00000000">
            <w:pPr>
              <w:pStyle w:val="TableParagraph"/>
              <w:spacing w:line="205" w:lineRule="exact"/>
              <w:ind w:left="73"/>
              <w:jc w:val="left"/>
              <w:rPr>
                <w:sz w:val="18"/>
              </w:rPr>
            </w:pPr>
            <w:r>
              <w:rPr>
                <w:spacing w:val="-2"/>
                <w:sz w:val="18"/>
              </w:rPr>
              <w:t>Novembro</w:t>
            </w:r>
          </w:p>
        </w:tc>
        <w:tc>
          <w:tcPr>
            <w:tcW w:w="2179" w:type="dxa"/>
          </w:tcPr>
          <w:p w14:paraId="3BF1AE7C" w14:textId="77777777" w:rsidR="002C6574" w:rsidRDefault="00000000">
            <w:pPr>
              <w:pStyle w:val="TableParagraph"/>
              <w:spacing w:line="205" w:lineRule="exact"/>
              <w:ind w:right="55"/>
              <w:rPr>
                <w:sz w:val="18"/>
              </w:rPr>
            </w:pPr>
            <w:r>
              <w:rPr>
                <w:spacing w:val="-5"/>
                <w:w w:val="105"/>
                <w:sz w:val="18"/>
              </w:rPr>
              <w:t>241</w:t>
            </w:r>
          </w:p>
        </w:tc>
        <w:tc>
          <w:tcPr>
            <w:tcW w:w="1303" w:type="dxa"/>
          </w:tcPr>
          <w:p w14:paraId="41BF9740" w14:textId="77777777" w:rsidR="002C6574" w:rsidRDefault="00000000">
            <w:pPr>
              <w:pStyle w:val="TableParagraph"/>
              <w:spacing w:line="205" w:lineRule="exact"/>
              <w:ind w:right="55"/>
              <w:rPr>
                <w:sz w:val="18"/>
              </w:rPr>
            </w:pPr>
            <w:r>
              <w:rPr>
                <w:spacing w:val="-5"/>
                <w:w w:val="105"/>
                <w:sz w:val="18"/>
              </w:rPr>
              <w:t>69</w:t>
            </w:r>
          </w:p>
        </w:tc>
        <w:tc>
          <w:tcPr>
            <w:tcW w:w="2301" w:type="dxa"/>
          </w:tcPr>
          <w:p w14:paraId="6E1A41AC" w14:textId="77777777" w:rsidR="002C6574" w:rsidRDefault="00000000">
            <w:pPr>
              <w:pStyle w:val="TableParagraph"/>
              <w:spacing w:line="205" w:lineRule="exact"/>
              <w:ind w:right="50"/>
              <w:rPr>
                <w:sz w:val="18"/>
              </w:rPr>
            </w:pPr>
            <w:r>
              <w:rPr>
                <w:spacing w:val="-5"/>
                <w:w w:val="105"/>
                <w:sz w:val="18"/>
              </w:rPr>
              <w:t>310</w:t>
            </w:r>
          </w:p>
        </w:tc>
      </w:tr>
      <w:tr w:rsidR="002C6574" w14:paraId="69C9DBC6" w14:textId="77777777">
        <w:trPr>
          <w:trHeight w:val="231"/>
        </w:trPr>
        <w:tc>
          <w:tcPr>
            <w:tcW w:w="1018" w:type="dxa"/>
            <w:vMerge/>
            <w:tcBorders>
              <w:top w:val="nil"/>
              <w:bottom w:val="single" w:sz="8" w:space="0" w:color="000000"/>
            </w:tcBorders>
          </w:tcPr>
          <w:p w14:paraId="0A94C735" w14:textId="77777777" w:rsidR="002C6574" w:rsidRDefault="002C6574">
            <w:pPr>
              <w:rPr>
                <w:sz w:val="2"/>
                <w:szCs w:val="2"/>
              </w:rPr>
            </w:pPr>
          </w:p>
        </w:tc>
        <w:tc>
          <w:tcPr>
            <w:tcW w:w="2969" w:type="dxa"/>
            <w:tcBorders>
              <w:bottom w:val="single" w:sz="8" w:space="0" w:color="000000"/>
            </w:tcBorders>
          </w:tcPr>
          <w:p w14:paraId="08AB03BE" w14:textId="77777777" w:rsidR="002C6574" w:rsidRDefault="00000000">
            <w:pPr>
              <w:pStyle w:val="TableParagraph"/>
              <w:spacing w:line="212" w:lineRule="exact"/>
              <w:ind w:left="73"/>
              <w:jc w:val="left"/>
              <w:rPr>
                <w:sz w:val="18"/>
              </w:rPr>
            </w:pPr>
            <w:r>
              <w:rPr>
                <w:spacing w:val="-2"/>
                <w:sz w:val="18"/>
              </w:rPr>
              <w:t>Dezembro</w:t>
            </w:r>
          </w:p>
        </w:tc>
        <w:tc>
          <w:tcPr>
            <w:tcW w:w="2179" w:type="dxa"/>
            <w:tcBorders>
              <w:bottom w:val="single" w:sz="8" w:space="0" w:color="000000"/>
            </w:tcBorders>
          </w:tcPr>
          <w:p w14:paraId="23BB3674" w14:textId="77777777" w:rsidR="002C6574" w:rsidRDefault="00000000">
            <w:pPr>
              <w:pStyle w:val="TableParagraph"/>
              <w:spacing w:line="212" w:lineRule="exact"/>
              <w:ind w:right="57"/>
              <w:rPr>
                <w:sz w:val="18"/>
              </w:rPr>
            </w:pPr>
            <w:r>
              <w:rPr>
                <w:spacing w:val="-2"/>
                <w:w w:val="110"/>
                <w:sz w:val="18"/>
              </w:rPr>
              <w:t>6.228</w:t>
            </w:r>
          </w:p>
        </w:tc>
        <w:tc>
          <w:tcPr>
            <w:tcW w:w="1303" w:type="dxa"/>
            <w:tcBorders>
              <w:bottom w:val="single" w:sz="8" w:space="0" w:color="000000"/>
            </w:tcBorders>
          </w:tcPr>
          <w:p w14:paraId="6024D1B0" w14:textId="77777777" w:rsidR="002C6574" w:rsidRDefault="00000000">
            <w:pPr>
              <w:pStyle w:val="TableParagraph"/>
              <w:spacing w:line="212" w:lineRule="exact"/>
              <w:ind w:right="55"/>
              <w:rPr>
                <w:sz w:val="18"/>
              </w:rPr>
            </w:pPr>
            <w:r>
              <w:rPr>
                <w:spacing w:val="-2"/>
                <w:w w:val="110"/>
                <w:sz w:val="18"/>
              </w:rPr>
              <w:t>1.681</w:t>
            </w:r>
          </w:p>
        </w:tc>
        <w:tc>
          <w:tcPr>
            <w:tcW w:w="2301" w:type="dxa"/>
            <w:tcBorders>
              <w:bottom w:val="single" w:sz="8" w:space="0" w:color="000000"/>
            </w:tcBorders>
          </w:tcPr>
          <w:p w14:paraId="7F8D462B" w14:textId="77777777" w:rsidR="002C6574" w:rsidRDefault="00000000">
            <w:pPr>
              <w:pStyle w:val="TableParagraph"/>
              <w:spacing w:line="212" w:lineRule="exact"/>
              <w:ind w:right="50"/>
              <w:rPr>
                <w:sz w:val="18"/>
              </w:rPr>
            </w:pPr>
            <w:r>
              <w:rPr>
                <w:spacing w:val="-4"/>
                <w:w w:val="110"/>
                <w:sz w:val="18"/>
              </w:rPr>
              <w:t>7.909</w:t>
            </w:r>
          </w:p>
        </w:tc>
      </w:tr>
      <w:tr w:rsidR="002C6574" w14:paraId="5FB6974D" w14:textId="77777777">
        <w:trPr>
          <w:trHeight w:val="222"/>
        </w:trPr>
        <w:tc>
          <w:tcPr>
            <w:tcW w:w="1018" w:type="dxa"/>
            <w:vMerge w:val="restart"/>
            <w:tcBorders>
              <w:top w:val="single" w:sz="8" w:space="0" w:color="000000"/>
              <w:bottom w:val="single" w:sz="8" w:space="0" w:color="000000"/>
            </w:tcBorders>
          </w:tcPr>
          <w:p w14:paraId="00013A63" w14:textId="77777777" w:rsidR="002C6574" w:rsidRDefault="002C6574">
            <w:pPr>
              <w:pStyle w:val="TableParagraph"/>
              <w:jc w:val="left"/>
              <w:rPr>
                <w:sz w:val="18"/>
              </w:rPr>
            </w:pPr>
          </w:p>
          <w:p w14:paraId="4A299A51" w14:textId="77777777" w:rsidR="002C6574" w:rsidRDefault="002C6574">
            <w:pPr>
              <w:pStyle w:val="TableParagraph"/>
              <w:jc w:val="left"/>
              <w:rPr>
                <w:sz w:val="18"/>
              </w:rPr>
            </w:pPr>
          </w:p>
          <w:p w14:paraId="3911F1AA" w14:textId="77777777" w:rsidR="002C6574" w:rsidRDefault="002C6574">
            <w:pPr>
              <w:pStyle w:val="TableParagraph"/>
              <w:jc w:val="left"/>
              <w:rPr>
                <w:sz w:val="18"/>
              </w:rPr>
            </w:pPr>
          </w:p>
          <w:p w14:paraId="0070DF1A" w14:textId="77777777" w:rsidR="002C6574" w:rsidRDefault="002C6574">
            <w:pPr>
              <w:pStyle w:val="TableParagraph"/>
              <w:spacing w:before="238"/>
              <w:jc w:val="left"/>
              <w:rPr>
                <w:sz w:val="18"/>
              </w:rPr>
            </w:pPr>
          </w:p>
          <w:p w14:paraId="052BA1D8" w14:textId="77777777" w:rsidR="002C6574" w:rsidRDefault="00000000">
            <w:pPr>
              <w:pStyle w:val="TableParagraph"/>
              <w:ind w:left="311"/>
              <w:jc w:val="left"/>
              <w:rPr>
                <w:rFonts w:ascii="Arial"/>
                <w:b/>
                <w:sz w:val="18"/>
              </w:rPr>
            </w:pPr>
            <w:r>
              <w:rPr>
                <w:rFonts w:ascii="Arial"/>
                <w:b/>
                <w:spacing w:val="-4"/>
                <w:sz w:val="18"/>
              </w:rPr>
              <w:t>2024</w:t>
            </w:r>
          </w:p>
        </w:tc>
        <w:tc>
          <w:tcPr>
            <w:tcW w:w="2969" w:type="dxa"/>
            <w:tcBorders>
              <w:top w:val="single" w:sz="8" w:space="0" w:color="000000"/>
            </w:tcBorders>
          </w:tcPr>
          <w:p w14:paraId="75EC9430" w14:textId="77777777" w:rsidR="002C6574" w:rsidRDefault="00000000">
            <w:pPr>
              <w:pStyle w:val="TableParagraph"/>
              <w:spacing w:line="202" w:lineRule="exact"/>
              <w:ind w:left="73"/>
              <w:jc w:val="left"/>
              <w:rPr>
                <w:sz w:val="18"/>
              </w:rPr>
            </w:pPr>
            <w:r>
              <w:rPr>
                <w:spacing w:val="-2"/>
                <w:w w:val="105"/>
                <w:sz w:val="18"/>
              </w:rPr>
              <w:t>Janeiro</w:t>
            </w:r>
          </w:p>
        </w:tc>
        <w:tc>
          <w:tcPr>
            <w:tcW w:w="2179" w:type="dxa"/>
            <w:tcBorders>
              <w:top w:val="single" w:sz="8" w:space="0" w:color="000000"/>
            </w:tcBorders>
          </w:tcPr>
          <w:p w14:paraId="0FFDEE08" w14:textId="77777777" w:rsidR="002C6574" w:rsidRDefault="00000000">
            <w:pPr>
              <w:pStyle w:val="TableParagraph"/>
              <w:spacing w:line="202" w:lineRule="exact"/>
              <w:ind w:right="55"/>
              <w:rPr>
                <w:sz w:val="18"/>
              </w:rPr>
            </w:pPr>
            <w:r>
              <w:rPr>
                <w:spacing w:val="-5"/>
                <w:w w:val="105"/>
                <w:sz w:val="18"/>
              </w:rPr>
              <w:t>256</w:t>
            </w:r>
          </w:p>
        </w:tc>
        <w:tc>
          <w:tcPr>
            <w:tcW w:w="1303" w:type="dxa"/>
            <w:tcBorders>
              <w:top w:val="single" w:sz="8" w:space="0" w:color="000000"/>
            </w:tcBorders>
          </w:tcPr>
          <w:p w14:paraId="1BA17569" w14:textId="77777777" w:rsidR="002C6574" w:rsidRDefault="00000000">
            <w:pPr>
              <w:pStyle w:val="TableParagraph"/>
              <w:spacing w:line="202" w:lineRule="exact"/>
              <w:ind w:right="55"/>
              <w:rPr>
                <w:sz w:val="18"/>
              </w:rPr>
            </w:pPr>
            <w:r>
              <w:rPr>
                <w:spacing w:val="-5"/>
                <w:w w:val="105"/>
                <w:sz w:val="18"/>
              </w:rPr>
              <w:t>67</w:t>
            </w:r>
          </w:p>
        </w:tc>
        <w:tc>
          <w:tcPr>
            <w:tcW w:w="2301" w:type="dxa"/>
            <w:tcBorders>
              <w:top w:val="single" w:sz="8" w:space="0" w:color="000000"/>
            </w:tcBorders>
          </w:tcPr>
          <w:p w14:paraId="1C220215" w14:textId="77777777" w:rsidR="002C6574" w:rsidRDefault="00000000">
            <w:pPr>
              <w:pStyle w:val="TableParagraph"/>
              <w:spacing w:line="202" w:lineRule="exact"/>
              <w:ind w:right="50"/>
              <w:rPr>
                <w:sz w:val="18"/>
              </w:rPr>
            </w:pPr>
            <w:r>
              <w:rPr>
                <w:spacing w:val="-5"/>
                <w:w w:val="105"/>
                <w:sz w:val="18"/>
              </w:rPr>
              <w:t>323</w:t>
            </w:r>
          </w:p>
        </w:tc>
      </w:tr>
      <w:tr w:rsidR="002C6574" w14:paraId="3D0AAEBC" w14:textId="77777777">
        <w:trPr>
          <w:trHeight w:val="217"/>
        </w:trPr>
        <w:tc>
          <w:tcPr>
            <w:tcW w:w="1018" w:type="dxa"/>
            <w:vMerge/>
            <w:tcBorders>
              <w:top w:val="nil"/>
              <w:bottom w:val="single" w:sz="8" w:space="0" w:color="000000"/>
            </w:tcBorders>
          </w:tcPr>
          <w:p w14:paraId="7AD73D3C" w14:textId="77777777" w:rsidR="002C6574" w:rsidRDefault="002C6574">
            <w:pPr>
              <w:rPr>
                <w:sz w:val="2"/>
                <w:szCs w:val="2"/>
              </w:rPr>
            </w:pPr>
          </w:p>
        </w:tc>
        <w:tc>
          <w:tcPr>
            <w:tcW w:w="2969" w:type="dxa"/>
          </w:tcPr>
          <w:p w14:paraId="2E5525F4" w14:textId="77777777" w:rsidR="002C6574" w:rsidRDefault="00000000">
            <w:pPr>
              <w:pStyle w:val="TableParagraph"/>
              <w:spacing w:line="198" w:lineRule="exact"/>
              <w:ind w:left="73"/>
              <w:jc w:val="left"/>
              <w:rPr>
                <w:sz w:val="18"/>
              </w:rPr>
            </w:pPr>
            <w:r>
              <w:rPr>
                <w:spacing w:val="-2"/>
                <w:sz w:val="18"/>
              </w:rPr>
              <w:t>Fevereiro</w:t>
            </w:r>
          </w:p>
        </w:tc>
        <w:tc>
          <w:tcPr>
            <w:tcW w:w="2179" w:type="dxa"/>
          </w:tcPr>
          <w:p w14:paraId="139DBE8F" w14:textId="77777777" w:rsidR="002C6574" w:rsidRDefault="00000000">
            <w:pPr>
              <w:pStyle w:val="TableParagraph"/>
              <w:spacing w:line="198" w:lineRule="exact"/>
              <w:ind w:right="57"/>
              <w:rPr>
                <w:sz w:val="18"/>
              </w:rPr>
            </w:pPr>
            <w:r>
              <w:rPr>
                <w:spacing w:val="-5"/>
                <w:w w:val="105"/>
                <w:sz w:val="18"/>
              </w:rPr>
              <w:t>484</w:t>
            </w:r>
          </w:p>
        </w:tc>
        <w:tc>
          <w:tcPr>
            <w:tcW w:w="1303" w:type="dxa"/>
          </w:tcPr>
          <w:p w14:paraId="25A44147" w14:textId="77777777" w:rsidR="002C6574" w:rsidRDefault="00000000">
            <w:pPr>
              <w:pStyle w:val="TableParagraph"/>
              <w:spacing w:line="198" w:lineRule="exact"/>
              <w:ind w:right="55"/>
              <w:rPr>
                <w:sz w:val="18"/>
              </w:rPr>
            </w:pPr>
            <w:r>
              <w:rPr>
                <w:spacing w:val="-5"/>
                <w:w w:val="105"/>
                <w:sz w:val="18"/>
              </w:rPr>
              <w:t>121</w:t>
            </w:r>
          </w:p>
        </w:tc>
        <w:tc>
          <w:tcPr>
            <w:tcW w:w="2301" w:type="dxa"/>
          </w:tcPr>
          <w:p w14:paraId="296905A7" w14:textId="77777777" w:rsidR="002C6574" w:rsidRDefault="00000000">
            <w:pPr>
              <w:pStyle w:val="TableParagraph"/>
              <w:spacing w:line="198" w:lineRule="exact"/>
              <w:ind w:right="50"/>
              <w:rPr>
                <w:sz w:val="18"/>
              </w:rPr>
            </w:pPr>
            <w:r>
              <w:rPr>
                <w:spacing w:val="-5"/>
                <w:w w:val="105"/>
                <w:sz w:val="18"/>
              </w:rPr>
              <w:t>605</w:t>
            </w:r>
          </w:p>
        </w:tc>
      </w:tr>
      <w:tr w:rsidR="002C6574" w14:paraId="58A2384D" w14:textId="77777777">
        <w:trPr>
          <w:trHeight w:val="217"/>
        </w:trPr>
        <w:tc>
          <w:tcPr>
            <w:tcW w:w="1018" w:type="dxa"/>
            <w:vMerge/>
            <w:tcBorders>
              <w:top w:val="nil"/>
              <w:bottom w:val="single" w:sz="8" w:space="0" w:color="000000"/>
            </w:tcBorders>
          </w:tcPr>
          <w:p w14:paraId="5DDE3EAF" w14:textId="77777777" w:rsidR="002C6574" w:rsidRDefault="002C6574">
            <w:pPr>
              <w:rPr>
                <w:sz w:val="2"/>
                <w:szCs w:val="2"/>
              </w:rPr>
            </w:pPr>
          </w:p>
        </w:tc>
        <w:tc>
          <w:tcPr>
            <w:tcW w:w="2969" w:type="dxa"/>
          </w:tcPr>
          <w:p w14:paraId="321797FE" w14:textId="77777777" w:rsidR="002C6574" w:rsidRDefault="00000000">
            <w:pPr>
              <w:pStyle w:val="TableParagraph"/>
              <w:spacing w:line="198" w:lineRule="exact"/>
              <w:ind w:left="73"/>
              <w:jc w:val="left"/>
              <w:rPr>
                <w:sz w:val="18"/>
              </w:rPr>
            </w:pPr>
            <w:r>
              <w:rPr>
                <w:spacing w:val="-2"/>
                <w:sz w:val="18"/>
              </w:rPr>
              <w:t>Março</w:t>
            </w:r>
          </w:p>
        </w:tc>
        <w:tc>
          <w:tcPr>
            <w:tcW w:w="2179" w:type="dxa"/>
          </w:tcPr>
          <w:p w14:paraId="4E2EABA3" w14:textId="77777777" w:rsidR="002C6574" w:rsidRDefault="00000000">
            <w:pPr>
              <w:pStyle w:val="TableParagraph"/>
              <w:spacing w:line="198" w:lineRule="exact"/>
              <w:ind w:right="57"/>
              <w:rPr>
                <w:sz w:val="18"/>
              </w:rPr>
            </w:pPr>
            <w:r>
              <w:rPr>
                <w:spacing w:val="-2"/>
                <w:w w:val="110"/>
                <w:sz w:val="18"/>
              </w:rPr>
              <w:t>2.174</w:t>
            </w:r>
          </w:p>
        </w:tc>
        <w:tc>
          <w:tcPr>
            <w:tcW w:w="1303" w:type="dxa"/>
          </w:tcPr>
          <w:p w14:paraId="6F7B672D" w14:textId="77777777" w:rsidR="002C6574" w:rsidRDefault="00000000">
            <w:pPr>
              <w:pStyle w:val="TableParagraph"/>
              <w:spacing w:line="198" w:lineRule="exact"/>
              <w:ind w:right="55"/>
              <w:rPr>
                <w:sz w:val="18"/>
              </w:rPr>
            </w:pPr>
            <w:r>
              <w:rPr>
                <w:spacing w:val="-5"/>
                <w:w w:val="105"/>
                <w:sz w:val="18"/>
              </w:rPr>
              <w:t>517</w:t>
            </w:r>
          </w:p>
        </w:tc>
        <w:tc>
          <w:tcPr>
            <w:tcW w:w="2301" w:type="dxa"/>
          </w:tcPr>
          <w:p w14:paraId="6C3216D1" w14:textId="77777777" w:rsidR="002C6574" w:rsidRDefault="00000000">
            <w:pPr>
              <w:pStyle w:val="TableParagraph"/>
              <w:spacing w:line="198" w:lineRule="exact"/>
              <w:ind w:right="50"/>
              <w:rPr>
                <w:sz w:val="18"/>
              </w:rPr>
            </w:pPr>
            <w:r>
              <w:rPr>
                <w:spacing w:val="-4"/>
                <w:w w:val="110"/>
                <w:sz w:val="18"/>
              </w:rPr>
              <w:t>2.691</w:t>
            </w:r>
          </w:p>
        </w:tc>
      </w:tr>
      <w:tr w:rsidR="002C6574" w14:paraId="068C3D43" w14:textId="77777777">
        <w:trPr>
          <w:trHeight w:val="217"/>
        </w:trPr>
        <w:tc>
          <w:tcPr>
            <w:tcW w:w="1018" w:type="dxa"/>
            <w:vMerge/>
            <w:tcBorders>
              <w:top w:val="nil"/>
              <w:bottom w:val="single" w:sz="8" w:space="0" w:color="000000"/>
            </w:tcBorders>
          </w:tcPr>
          <w:p w14:paraId="6256BCDC" w14:textId="77777777" w:rsidR="002C6574" w:rsidRDefault="002C6574">
            <w:pPr>
              <w:rPr>
                <w:sz w:val="2"/>
                <w:szCs w:val="2"/>
              </w:rPr>
            </w:pPr>
          </w:p>
        </w:tc>
        <w:tc>
          <w:tcPr>
            <w:tcW w:w="2969" w:type="dxa"/>
          </w:tcPr>
          <w:p w14:paraId="34982A6D" w14:textId="77777777" w:rsidR="002C6574" w:rsidRDefault="00000000">
            <w:pPr>
              <w:pStyle w:val="TableParagraph"/>
              <w:spacing w:line="198" w:lineRule="exact"/>
              <w:ind w:left="73"/>
              <w:jc w:val="left"/>
              <w:rPr>
                <w:sz w:val="18"/>
              </w:rPr>
            </w:pPr>
            <w:r>
              <w:rPr>
                <w:spacing w:val="-2"/>
                <w:sz w:val="18"/>
              </w:rPr>
              <w:t>Abril</w:t>
            </w:r>
          </w:p>
        </w:tc>
        <w:tc>
          <w:tcPr>
            <w:tcW w:w="2179" w:type="dxa"/>
          </w:tcPr>
          <w:p w14:paraId="4CA05DA8" w14:textId="77777777" w:rsidR="002C6574" w:rsidRDefault="00000000">
            <w:pPr>
              <w:pStyle w:val="TableParagraph"/>
              <w:spacing w:line="198" w:lineRule="exact"/>
              <w:ind w:right="57"/>
              <w:rPr>
                <w:sz w:val="18"/>
              </w:rPr>
            </w:pPr>
            <w:r>
              <w:rPr>
                <w:spacing w:val="-2"/>
                <w:w w:val="110"/>
                <w:sz w:val="18"/>
              </w:rPr>
              <w:t>5.858</w:t>
            </w:r>
          </w:p>
        </w:tc>
        <w:tc>
          <w:tcPr>
            <w:tcW w:w="1303" w:type="dxa"/>
          </w:tcPr>
          <w:p w14:paraId="3F35C980" w14:textId="77777777" w:rsidR="002C6574" w:rsidRDefault="00000000">
            <w:pPr>
              <w:pStyle w:val="TableParagraph"/>
              <w:spacing w:line="198" w:lineRule="exact"/>
              <w:ind w:right="55"/>
              <w:rPr>
                <w:sz w:val="18"/>
              </w:rPr>
            </w:pPr>
            <w:r>
              <w:rPr>
                <w:spacing w:val="-2"/>
                <w:w w:val="110"/>
                <w:sz w:val="18"/>
              </w:rPr>
              <w:t>1.362</w:t>
            </w:r>
          </w:p>
        </w:tc>
        <w:tc>
          <w:tcPr>
            <w:tcW w:w="2301" w:type="dxa"/>
          </w:tcPr>
          <w:p w14:paraId="0D801AAE" w14:textId="77777777" w:rsidR="002C6574" w:rsidRDefault="00000000">
            <w:pPr>
              <w:pStyle w:val="TableParagraph"/>
              <w:spacing w:line="198" w:lineRule="exact"/>
              <w:ind w:right="50"/>
              <w:rPr>
                <w:sz w:val="18"/>
              </w:rPr>
            </w:pPr>
            <w:r>
              <w:rPr>
                <w:spacing w:val="-4"/>
                <w:w w:val="110"/>
                <w:sz w:val="18"/>
              </w:rPr>
              <w:t>7.220</w:t>
            </w:r>
          </w:p>
        </w:tc>
      </w:tr>
      <w:tr w:rsidR="002C6574" w14:paraId="4867D327" w14:textId="77777777">
        <w:trPr>
          <w:trHeight w:val="215"/>
        </w:trPr>
        <w:tc>
          <w:tcPr>
            <w:tcW w:w="1018" w:type="dxa"/>
            <w:vMerge/>
            <w:tcBorders>
              <w:top w:val="nil"/>
              <w:bottom w:val="single" w:sz="8" w:space="0" w:color="000000"/>
            </w:tcBorders>
          </w:tcPr>
          <w:p w14:paraId="4D16E1B8" w14:textId="77777777" w:rsidR="002C6574" w:rsidRDefault="002C6574">
            <w:pPr>
              <w:rPr>
                <w:sz w:val="2"/>
                <w:szCs w:val="2"/>
              </w:rPr>
            </w:pPr>
          </w:p>
        </w:tc>
        <w:tc>
          <w:tcPr>
            <w:tcW w:w="2969" w:type="dxa"/>
          </w:tcPr>
          <w:p w14:paraId="01DE3A65" w14:textId="77777777" w:rsidR="002C6574" w:rsidRDefault="00000000">
            <w:pPr>
              <w:pStyle w:val="TableParagraph"/>
              <w:spacing w:line="195" w:lineRule="exact"/>
              <w:ind w:left="73"/>
              <w:jc w:val="left"/>
              <w:rPr>
                <w:sz w:val="18"/>
              </w:rPr>
            </w:pPr>
            <w:r>
              <w:rPr>
                <w:spacing w:val="-4"/>
                <w:sz w:val="18"/>
              </w:rPr>
              <w:t>Maio</w:t>
            </w:r>
          </w:p>
        </w:tc>
        <w:tc>
          <w:tcPr>
            <w:tcW w:w="2179" w:type="dxa"/>
          </w:tcPr>
          <w:p w14:paraId="4572F368" w14:textId="77777777" w:rsidR="002C6574" w:rsidRDefault="00000000">
            <w:pPr>
              <w:pStyle w:val="TableParagraph"/>
              <w:spacing w:line="195" w:lineRule="exact"/>
              <w:ind w:right="57"/>
              <w:rPr>
                <w:sz w:val="18"/>
              </w:rPr>
            </w:pPr>
            <w:r>
              <w:rPr>
                <w:spacing w:val="-2"/>
                <w:w w:val="110"/>
                <w:sz w:val="18"/>
              </w:rPr>
              <w:t>1.267</w:t>
            </w:r>
          </w:p>
        </w:tc>
        <w:tc>
          <w:tcPr>
            <w:tcW w:w="1303" w:type="dxa"/>
          </w:tcPr>
          <w:p w14:paraId="65F0B7E5" w14:textId="77777777" w:rsidR="002C6574" w:rsidRDefault="00000000">
            <w:pPr>
              <w:pStyle w:val="TableParagraph"/>
              <w:spacing w:line="195" w:lineRule="exact"/>
              <w:ind w:right="55"/>
              <w:rPr>
                <w:sz w:val="18"/>
              </w:rPr>
            </w:pPr>
            <w:r>
              <w:rPr>
                <w:spacing w:val="-5"/>
                <w:w w:val="105"/>
                <w:sz w:val="18"/>
              </w:rPr>
              <w:t>281</w:t>
            </w:r>
          </w:p>
        </w:tc>
        <w:tc>
          <w:tcPr>
            <w:tcW w:w="2301" w:type="dxa"/>
          </w:tcPr>
          <w:p w14:paraId="5ECBB83D" w14:textId="77777777" w:rsidR="002C6574" w:rsidRDefault="00000000">
            <w:pPr>
              <w:pStyle w:val="TableParagraph"/>
              <w:spacing w:line="195" w:lineRule="exact"/>
              <w:ind w:right="50"/>
              <w:rPr>
                <w:sz w:val="18"/>
              </w:rPr>
            </w:pPr>
            <w:r>
              <w:rPr>
                <w:spacing w:val="-4"/>
                <w:w w:val="110"/>
                <w:sz w:val="18"/>
              </w:rPr>
              <w:t>1.548</w:t>
            </w:r>
          </w:p>
        </w:tc>
      </w:tr>
      <w:tr w:rsidR="002C6574" w14:paraId="04C26861" w14:textId="77777777">
        <w:trPr>
          <w:trHeight w:val="217"/>
        </w:trPr>
        <w:tc>
          <w:tcPr>
            <w:tcW w:w="1018" w:type="dxa"/>
            <w:vMerge/>
            <w:tcBorders>
              <w:top w:val="nil"/>
              <w:bottom w:val="single" w:sz="8" w:space="0" w:color="000000"/>
            </w:tcBorders>
          </w:tcPr>
          <w:p w14:paraId="521C5496" w14:textId="77777777" w:rsidR="002C6574" w:rsidRDefault="002C6574">
            <w:pPr>
              <w:rPr>
                <w:sz w:val="2"/>
                <w:szCs w:val="2"/>
              </w:rPr>
            </w:pPr>
          </w:p>
        </w:tc>
        <w:tc>
          <w:tcPr>
            <w:tcW w:w="2969" w:type="dxa"/>
          </w:tcPr>
          <w:p w14:paraId="23E5DB08" w14:textId="77777777" w:rsidR="002C6574" w:rsidRDefault="00000000">
            <w:pPr>
              <w:pStyle w:val="TableParagraph"/>
              <w:spacing w:line="198" w:lineRule="exact"/>
              <w:ind w:left="73"/>
              <w:jc w:val="left"/>
              <w:rPr>
                <w:sz w:val="18"/>
              </w:rPr>
            </w:pPr>
            <w:r>
              <w:rPr>
                <w:spacing w:val="-2"/>
                <w:w w:val="105"/>
                <w:sz w:val="18"/>
              </w:rPr>
              <w:t>Junho</w:t>
            </w:r>
          </w:p>
        </w:tc>
        <w:tc>
          <w:tcPr>
            <w:tcW w:w="2179" w:type="dxa"/>
          </w:tcPr>
          <w:p w14:paraId="441081E5" w14:textId="77777777" w:rsidR="002C6574" w:rsidRDefault="00000000">
            <w:pPr>
              <w:pStyle w:val="TableParagraph"/>
              <w:spacing w:line="198" w:lineRule="exact"/>
              <w:ind w:right="57"/>
              <w:rPr>
                <w:sz w:val="18"/>
              </w:rPr>
            </w:pPr>
            <w:r>
              <w:rPr>
                <w:spacing w:val="-5"/>
                <w:w w:val="105"/>
                <w:sz w:val="18"/>
              </w:rPr>
              <w:t>496</w:t>
            </w:r>
          </w:p>
        </w:tc>
        <w:tc>
          <w:tcPr>
            <w:tcW w:w="1303" w:type="dxa"/>
          </w:tcPr>
          <w:p w14:paraId="48540CAD" w14:textId="77777777" w:rsidR="002C6574" w:rsidRDefault="00000000">
            <w:pPr>
              <w:pStyle w:val="TableParagraph"/>
              <w:spacing w:line="198" w:lineRule="exact"/>
              <w:ind w:right="55"/>
              <w:rPr>
                <w:sz w:val="18"/>
              </w:rPr>
            </w:pPr>
            <w:r>
              <w:rPr>
                <w:spacing w:val="-5"/>
                <w:w w:val="105"/>
                <w:sz w:val="18"/>
              </w:rPr>
              <w:t>104</w:t>
            </w:r>
          </w:p>
        </w:tc>
        <w:tc>
          <w:tcPr>
            <w:tcW w:w="2301" w:type="dxa"/>
          </w:tcPr>
          <w:p w14:paraId="5B77248F" w14:textId="77777777" w:rsidR="002C6574" w:rsidRDefault="00000000">
            <w:pPr>
              <w:pStyle w:val="TableParagraph"/>
              <w:spacing w:line="198" w:lineRule="exact"/>
              <w:ind w:right="50"/>
              <w:rPr>
                <w:sz w:val="18"/>
              </w:rPr>
            </w:pPr>
            <w:r>
              <w:rPr>
                <w:spacing w:val="-5"/>
                <w:w w:val="105"/>
                <w:sz w:val="18"/>
              </w:rPr>
              <w:t>600</w:t>
            </w:r>
          </w:p>
        </w:tc>
      </w:tr>
      <w:tr w:rsidR="002C6574" w14:paraId="7AF238EB" w14:textId="77777777">
        <w:trPr>
          <w:trHeight w:val="217"/>
        </w:trPr>
        <w:tc>
          <w:tcPr>
            <w:tcW w:w="1018" w:type="dxa"/>
            <w:vMerge/>
            <w:tcBorders>
              <w:top w:val="nil"/>
              <w:bottom w:val="single" w:sz="8" w:space="0" w:color="000000"/>
            </w:tcBorders>
          </w:tcPr>
          <w:p w14:paraId="312B1054" w14:textId="77777777" w:rsidR="002C6574" w:rsidRDefault="002C6574">
            <w:pPr>
              <w:rPr>
                <w:sz w:val="2"/>
                <w:szCs w:val="2"/>
              </w:rPr>
            </w:pPr>
          </w:p>
        </w:tc>
        <w:tc>
          <w:tcPr>
            <w:tcW w:w="2969" w:type="dxa"/>
          </w:tcPr>
          <w:p w14:paraId="5C1E3E1B" w14:textId="77777777" w:rsidR="002C6574" w:rsidRDefault="00000000">
            <w:pPr>
              <w:pStyle w:val="TableParagraph"/>
              <w:spacing w:line="198" w:lineRule="exact"/>
              <w:ind w:left="73"/>
              <w:jc w:val="left"/>
              <w:rPr>
                <w:sz w:val="18"/>
              </w:rPr>
            </w:pPr>
            <w:r>
              <w:rPr>
                <w:spacing w:val="-2"/>
                <w:w w:val="105"/>
                <w:sz w:val="18"/>
              </w:rPr>
              <w:t>Julho</w:t>
            </w:r>
          </w:p>
        </w:tc>
        <w:tc>
          <w:tcPr>
            <w:tcW w:w="2179" w:type="dxa"/>
          </w:tcPr>
          <w:p w14:paraId="0F41789D" w14:textId="77777777" w:rsidR="002C6574" w:rsidRDefault="00000000">
            <w:pPr>
              <w:pStyle w:val="TableParagraph"/>
              <w:spacing w:line="198" w:lineRule="exact"/>
              <w:ind w:right="57"/>
              <w:rPr>
                <w:sz w:val="18"/>
              </w:rPr>
            </w:pPr>
            <w:r>
              <w:rPr>
                <w:spacing w:val="-2"/>
                <w:w w:val="110"/>
                <w:sz w:val="18"/>
              </w:rPr>
              <w:t>2.326</w:t>
            </w:r>
          </w:p>
        </w:tc>
        <w:tc>
          <w:tcPr>
            <w:tcW w:w="1303" w:type="dxa"/>
          </w:tcPr>
          <w:p w14:paraId="5DBCDA9A" w14:textId="77777777" w:rsidR="002C6574" w:rsidRDefault="00000000">
            <w:pPr>
              <w:pStyle w:val="TableParagraph"/>
              <w:spacing w:line="198" w:lineRule="exact"/>
              <w:ind w:right="55"/>
              <w:rPr>
                <w:sz w:val="18"/>
              </w:rPr>
            </w:pPr>
            <w:r>
              <w:rPr>
                <w:spacing w:val="-5"/>
                <w:w w:val="105"/>
                <w:sz w:val="18"/>
              </w:rPr>
              <w:t>469</w:t>
            </w:r>
          </w:p>
        </w:tc>
        <w:tc>
          <w:tcPr>
            <w:tcW w:w="2301" w:type="dxa"/>
          </w:tcPr>
          <w:p w14:paraId="311B2F4C" w14:textId="77777777" w:rsidR="002C6574" w:rsidRDefault="00000000">
            <w:pPr>
              <w:pStyle w:val="TableParagraph"/>
              <w:spacing w:line="198" w:lineRule="exact"/>
              <w:ind w:right="50"/>
              <w:rPr>
                <w:sz w:val="18"/>
              </w:rPr>
            </w:pPr>
            <w:r>
              <w:rPr>
                <w:spacing w:val="-4"/>
                <w:w w:val="110"/>
                <w:sz w:val="18"/>
              </w:rPr>
              <w:t>2.795</w:t>
            </w:r>
          </w:p>
        </w:tc>
      </w:tr>
      <w:tr w:rsidR="002C6574" w14:paraId="0725A2FB" w14:textId="77777777">
        <w:trPr>
          <w:trHeight w:val="217"/>
        </w:trPr>
        <w:tc>
          <w:tcPr>
            <w:tcW w:w="1018" w:type="dxa"/>
            <w:vMerge/>
            <w:tcBorders>
              <w:top w:val="nil"/>
              <w:bottom w:val="single" w:sz="8" w:space="0" w:color="000000"/>
            </w:tcBorders>
          </w:tcPr>
          <w:p w14:paraId="397E860F" w14:textId="77777777" w:rsidR="002C6574" w:rsidRDefault="002C6574">
            <w:pPr>
              <w:rPr>
                <w:sz w:val="2"/>
                <w:szCs w:val="2"/>
              </w:rPr>
            </w:pPr>
          </w:p>
        </w:tc>
        <w:tc>
          <w:tcPr>
            <w:tcW w:w="2969" w:type="dxa"/>
          </w:tcPr>
          <w:p w14:paraId="45E9BC80" w14:textId="77777777" w:rsidR="002C6574" w:rsidRDefault="00000000">
            <w:pPr>
              <w:pStyle w:val="TableParagraph"/>
              <w:spacing w:line="198" w:lineRule="exact"/>
              <w:ind w:left="73"/>
              <w:jc w:val="left"/>
              <w:rPr>
                <w:sz w:val="18"/>
              </w:rPr>
            </w:pPr>
            <w:r>
              <w:rPr>
                <w:spacing w:val="-2"/>
                <w:sz w:val="18"/>
              </w:rPr>
              <w:t>Agosto</w:t>
            </w:r>
          </w:p>
        </w:tc>
        <w:tc>
          <w:tcPr>
            <w:tcW w:w="2179" w:type="dxa"/>
          </w:tcPr>
          <w:p w14:paraId="32F1462E" w14:textId="77777777" w:rsidR="002C6574" w:rsidRDefault="00000000">
            <w:pPr>
              <w:pStyle w:val="TableParagraph"/>
              <w:spacing w:line="198" w:lineRule="exact"/>
              <w:ind w:right="57"/>
              <w:rPr>
                <w:sz w:val="18"/>
              </w:rPr>
            </w:pPr>
            <w:r>
              <w:rPr>
                <w:spacing w:val="-5"/>
                <w:w w:val="105"/>
                <w:sz w:val="18"/>
              </w:rPr>
              <w:t>461</w:t>
            </w:r>
          </w:p>
        </w:tc>
        <w:tc>
          <w:tcPr>
            <w:tcW w:w="1303" w:type="dxa"/>
          </w:tcPr>
          <w:p w14:paraId="6D1E17B8" w14:textId="77777777" w:rsidR="002C6574" w:rsidRDefault="00000000">
            <w:pPr>
              <w:pStyle w:val="TableParagraph"/>
              <w:spacing w:line="198" w:lineRule="exact"/>
              <w:ind w:right="55"/>
              <w:rPr>
                <w:sz w:val="18"/>
              </w:rPr>
            </w:pPr>
            <w:r>
              <w:rPr>
                <w:spacing w:val="-5"/>
                <w:w w:val="105"/>
                <w:sz w:val="18"/>
              </w:rPr>
              <w:t>88</w:t>
            </w:r>
          </w:p>
        </w:tc>
        <w:tc>
          <w:tcPr>
            <w:tcW w:w="2301" w:type="dxa"/>
          </w:tcPr>
          <w:p w14:paraId="3680D2D9" w14:textId="77777777" w:rsidR="002C6574" w:rsidRDefault="00000000">
            <w:pPr>
              <w:pStyle w:val="TableParagraph"/>
              <w:spacing w:line="198" w:lineRule="exact"/>
              <w:ind w:right="50"/>
              <w:rPr>
                <w:sz w:val="18"/>
              </w:rPr>
            </w:pPr>
            <w:r>
              <w:rPr>
                <w:spacing w:val="-5"/>
                <w:w w:val="105"/>
                <w:sz w:val="18"/>
              </w:rPr>
              <w:t>549</w:t>
            </w:r>
          </w:p>
        </w:tc>
      </w:tr>
      <w:tr w:rsidR="002C6574" w14:paraId="1EBF40CF" w14:textId="77777777">
        <w:trPr>
          <w:trHeight w:val="215"/>
        </w:trPr>
        <w:tc>
          <w:tcPr>
            <w:tcW w:w="1018" w:type="dxa"/>
            <w:vMerge/>
            <w:tcBorders>
              <w:top w:val="nil"/>
              <w:bottom w:val="single" w:sz="8" w:space="0" w:color="000000"/>
            </w:tcBorders>
          </w:tcPr>
          <w:p w14:paraId="49EA29FC" w14:textId="77777777" w:rsidR="002C6574" w:rsidRDefault="002C6574">
            <w:pPr>
              <w:rPr>
                <w:sz w:val="2"/>
                <w:szCs w:val="2"/>
              </w:rPr>
            </w:pPr>
          </w:p>
        </w:tc>
        <w:tc>
          <w:tcPr>
            <w:tcW w:w="2969" w:type="dxa"/>
          </w:tcPr>
          <w:p w14:paraId="3759883B" w14:textId="77777777" w:rsidR="002C6574" w:rsidRDefault="00000000">
            <w:pPr>
              <w:pStyle w:val="TableParagraph"/>
              <w:spacing w:line="195" w:lineRule="exact"/>
              <w:ind w:left="73"/>
              <w:jc w:val="left"/>
              <w:rPr>
                <w:sz w:val="18"/>
              </w:rPr>
            </w:pPr>
            <w:r>
              <w:rPr>
                <w:spacing w:val="-2"/>
                <w:sz w:val="18"/>
              </w:rPr>
              <w:t>Setembro</w:t>
            </w:r>
          </w:p>
        </w:tc>
        <w:tc>
          <w:tcPr>
            <w:tcW w:w="2179" w:type="dxa"/>
          </w:tcPr>
          <w:p w14:paraId="00CC178E" w14:textId="77777777" w:rsidR="002C6574" w:rsidRDefault="00000000">
            <w:pPr>
              <w:pStyle w:val="TableParagraph"/>
              <w:spacing w:line="195" w:lineRule="exact"/>
              <w:ind w:right="55"/>
              <w:rPr>
                <w:sz w:val="18"/>
              </w:rPr>
            </w:pPr>
            <w:r>
              <w:rPr>
                <w:spacing w:val="-5"/>
                <w:w w:val="105"/>
                <w:sz w:val="18"/>
              </w:rPr>
              <w:t>638</w:t>
            </w:r>
          </w:p>
        </w:tc>
        <w:tc>
          <w:tcPr>
            <w:tcW w:w="1303" w:type="dxa"/>
          </w:tcPr>
          <w:p w14:paraId="30B04714" w14:textId="77777777" w:rsidR="002C6574" w:rsidRDefault="00000000">
            <w:pPr>
              <w:pStyle w:val="TableParagraph"/>
              <w:spacing w:line="195" w:lineRule="exact"/>
              <w:ind w:right="55"/>
              <w:rPr>
                <w:sz w:val="18"/>
              </w:rPr>
            </w:pPr>
            <w:r>
              <w:rPr>
                <w:spacing w:val="-5"/>
                <w:w w:val="105"/>
                <w:sz w:val="18"/>
              </w:rPr>
              <w:t>114</w:t>
            </w:r>
          </w:p>
        </w:tc>
        <w:tc>
          <w:tcPr>
            <w:tcW w:w="2301" w:type="dxa"/>
          </w:tcPr>
          <w:p w14:paraId="75A38F59" w14:textId="77777777" w:rsidR="002C6574" w:rsidRDefault="00000000">
            <w:pPr>
              <w:pStyle w:val="TableParagraph"/>
              <w:spacing w:line="195" w:lineRule="exact"/>
              <w:ind w:right="50"/>
              <w:rPr>
                <w:sz w:val="18"/>
              </w:rPr>
            </w:pPr>
            <w:r>
              <w:rPr>
                <w:spacing w:val="-5"/>
                <w:w w:val="105"/>
                <w:sz w:val="18"/>
              </w:rPr>
              <w:t>752</w:t>
            </w:r>
          </w:p>
        </w:tc>
      </w:tr>
      <w:tr w:rsidR="002C6574" w14:paraId="621578FD" w14:textId="77777777">
        <w:trPr>
          <w:trHeight w:val="217"/>
        </w:trPr>
        <w:tc>
          <w:tcPr>
            <w:tcW w:w="1018" w:type="dxa"/>
            <w:vMerge/>
            <w:tcBorders>
              <w:top w:val="nil"/>
              <w:bottom w:val="single" w:sz="8" w:space="0" w:color="000000"/>
            </w:tcBorders>
          </w:tcPr>
          <w:p w14:paraId="2A25FD9F" w14:textId="77777777" w:rsidR="002C6574" w:rsidRDefault="002C6574">
            <w:pPr>
              <w:rPr>
                <w:sz w:val="2"/>
                <w:szCs w:val="2"/>
              </w:rPr>
            </w:pPr>
          </w:p>
        </w:tc>
        <w:tc>
          <w:tcPr>
            <w:tcW w:w="2969" w:type="dxa"/>
          </w:tcPr>
          <w:p w14:paraId="0E7F8DFD" w14:textId="77777777" w:rsidR="002C6574" w:rsidRDefault="00000000">
            <w:pPr>
              <w:pStyle w:val="TableParagraph"/>
              <w:spacing w:line="198" w:lineRule="exact"/>
              <w:ind w:left="73"/>
              <w:jc w:val="left"/>
              <w:rPr>
                <w:sz w:val="18"/>
              </w:rPr>
            </w:pPr>
            <w:r>
              <w:rPr>
                <w:spacing w:val="-2"/>
                <w:sz w:val="18"/>
              </w:rPr>
              <w:t>Outubro</w:t>
            </w:r>
          </w:p>
        </w:tc>
        <w:tc>
          <w:tcPr>
            <w:tcW w:w="2179" w:type="dxa"/>
          </w:tcPr>
          <w:p w14:paraId="4E76D27D" w14:textId="77777777" w:rsidR="002C6574" w:rsidRDefault="00000000">
            <w:pPr>
              <w:pStyle w:val="TableParagraph"/>
              <w:spacing w:line="198" w:lineRule="exact"/>
              <w:ind w:right="55"/>
              <w:rPr>
                <w:sz w:val="18"/>
              </w:rPr>
            </w:pPr>
            <w:r>
              <w:rPr>
                <w:spacing w:val="-5"/>
                <w:w w:val="105"/>
                <w:sz w:val="18"/>
              </w:rPr>
              <w:t>403</w:t>
            </w:r>
          </w:p>
        </w:tc>
        <w:tc>
          <w:tcPr>
            <w:tcW w:w="1303" w:type="dxa"/>
          </w:tcPr>
          <w:p w14:paraId="3F75EC5D" w14:textId="77777777" w:rsidR="002C6574" w:rsidRDefault="00000000">
            <w:pPr>
              <w:pStyle w:val="TableParagraph"/>
              <w:spacing w:line="198" w:lineRule="exact"/>
              <w:ind w:right="55"/>
              <w:rPr>
                <w:sz w:val="18"/>
              </w:rPr>
            </w:pPr>
            <w:r>
              <w:rPr>
                <w:spacing w:val="-5"/>
                <w:w w:val="105"/>
                <w:sz w:val="18"/>
              </w:rPr>
              <w:t>69</w:t>
            </w:r>
          </w:p>
        </w:tc>
        <w:tc>
          <w:tcPr>
            <w:tcW w:w="2301" w:type="dxa"/>
          </w:tcPr>
          <w:p w14:paraId="29F9754B" w14:textId="77777777" w:rsidR="002C6574" w:rsidRDefault="00000000">
            <w:pPr>
              <w:pStyle w:val="TableParagraph"/>
              <w:spacing w:line="198" w:lineRule="exact"/>
              <w:ind w:right="50"/>
              <w:rPr>
                <w:sz w:val="18"/>
              </w:rPr>
            </w:pPr>
            <w:r>
              <w:rPr>
                <w:spacing w:val="-5"/>
                <w:w w:val="105"/>
                <w:sz w:val="18"/>
              </w:rPr>
              <w:t>472</w:t>
            </w:r>
          </w:p>
        </w:tc>
      </w:tr>
      <w:tr w:rsidR="002C6574" w14:paraId="452A4C97" w14:textId="77777777">
        <w:trPr>
          <w:trHeight w:val="222"/>
        </w:trPr>
        <w:tc>
          <w:tcPr>
            <w:tcW w:w="1018" w:type="dxa"/>
            <w:vMerge/>
            <w:tcBorders>
              <w:top w:val="nil"/>
              <w:bottom w:val="single" w:sz="8" w:space="0" w:color="000000"/>
            </w:tcBorders>
          </w:tcPr>
          <w:p w14:paraId="6CCF6B55" w14:textId="77777777" w:rsidR="002C6574" w:rsidRDefault="002C6574">
            <w:pPr>
              <w:rPr>
                <w:sz w:val="2"/>
                <w:szCs w:val="2"/>
              </w:rPr>
            </w:pPr>
          </w:p>
        </w:tc>
        <w:tc>
          <w:tcPr>
            <w:tcW w:w="2969" w:type="dxa"/>
            <w:tcBorders>
              <w:bottom w:val="single" w:sz="8" w:space="0" w:color="000000"/>
            </w:tcBorders>
          </w:tcPr>
          <w:p w14:paraId="6C558B85" w14:textId="77777777" w:rsidR="002C6574" w:rsidRDefault="00000000">
            <w:pPr>
              <w:pStyle w:val="TableParagraph"/>
              <w:spacing w:line="202" w:lineRule="exact"/>
              <w:ind w:left="73"/>
              <w:jc w:val="left"/>
              <w:rPr>
                <w:sz w:val="18"/>
              </w:rPr>
            </w:pPr>
            <w:r>
              <w:rPr>
                <w:spacing w:val="-2"/>
                <w:sz w:val="18"/>
              </w:rPr>
              <w:t>Novembro</w:t>
            </w:r>
          </w:p>
        </w:tc>
        <w:tc>
          <w:tcPr>
            <w:tcW w:w="2179" w:type="dxa"/>
            <w:tcBorders>
              <w:bottom w:val="single" w:sz="8" w:space="0" w:color="000000"/>
            </w:tcBorders>
          </w:tcPr>
          <w:p w14:paraId="28D66009" w14:textId="77777777" w:rsidR="002C6574" w:rsidRDefault="00000000">
            <w:pPr>
              <w:pStyle w:val="TableParagraph"/>
              <w:spacing w:line="202" w:lineRule="exact"/>
              <w:ind w:right="55"/>
              <w:rPr>
                <w:sz w:val="18"/>
              </w:rPr>
            </w:pPr>
            <w:r>
              <w:rPr>
                <w:spacing w:val="-5"/>
                <w:w w:val="105"/>
                <w:sz w:val="18"/>
              </w:rPr>
              <w:t>129</w:t>
            </w:r>
          </w:p>
        </w:tc>
        <w:tc>
          <w:tcPr>
            <w:tcW w:w="1303" w:type="dxa"/>
            <w:tcBorders>
              <w:bottom w:val="single" w:sz="8" w:space="0" w:color="000000"/>
            </w:tcBorders>
          </w:tcPr>
          <w:p w14:paraId="432EF058" w14:textId="77777777" w:rsidR="002C6574" w:rsidRDefault="00000000">
            <w:pPr>
              <w:pStyle w:val="TableParagraph"/>
              <w:spacing w:line="202" w:lineRule="exact"/>
              <w:ind w:right="55"/>
              <w:rPr>
                <w:sz w:val="18"/>
              </w:rPr>
            </w:pPr>
            <w:r>
              <w:rPr>
                <w:spacing w:val="-5"/>
                <w:w w:val="105"/>
                <w:sz w:val="18"/>
              </w:rPr>
              <w:t>20</w:t>
            </w:r>
          </w:p>
        </w:tc>
        <w:tc>
          <w:tcPr>
            <w:tcW w:w="2301" w:type="dxa"/>
            <w:tcBorders>
              <w:bottom w:val="single" w:sz="8" w:space="0" w:color="000000"/>
            </w:tcBorders>
          </w:tcPr>
          <w:p w14:paraId="7AC726D9" w14:textId="77777777" w:rsidR="002C6574" w:rsidRDefault="00000000">
            <w:pPr>
              <w:pStyle w:val="TableParagraph"/>
              <w:spacing w:line="202" w:lineRule="exact"/>
              <w:ind w:right="50"/>
              <w:rPr>
                <w:sz w:val="18"/>
              </w:rPr>
            </w:pPr>
            <w:r>
              <w:rPr>
                <w:spacing w:val="-5"/>
                <w:w w:val="105"/>
                <w:sz w:val="18"/>
              </w:rPr>
              <w:t>149</w:t>
            </w:r>
          </w:p>
        </w:tc>
      </w:tr>
      <w:tr w:rsidR="002C6574" w14:paraId="2AE2A5E1" w14:textId="77777777">
        <w:trPr>
          <w:trHeight w:val="222"/>
        </w:trPr>
        <w:tc>
          <w:tcPr>
            <w:tcW w:w="1018" w:type="dxa"/>
            <w:vMerge w:val="restart"/>
            <w:tcBorders>
              <w:top w:val="single" w:sz="8" w:space="0" w:color="000000"/>
              <w:bottom w:val="single" w:sz="8" w:space="0" w:color="000000"/>
            </w:tcBorders>
          </w:tcPr>
          <w:p w14:paraId="02C91D24" w14:textId="77777777" w:rsidR="002C6574" w:rsidRDefault="002C6574">
            <w:pPr>
              <w:pStyle w:val="TableParagraph"/>
              <w:jc w:val="left"/>
              <w:rPr>
                <w:sz w:val="18"/>
              </w:rPr>
            </w:pPr>
          </w:p>
          <w:p w14:paraId="786FB136" w14:textId="77777777" w:rsidR="002C6574" w:rsidRDefault="002C6574">
            <w:pPr>
              <w:pStyle w:val="TableParagraph"/>
              <w:spacing w:before="148"/>
              <w:jc w:val="left"/>
              <w:rPr>
                <w:sz w:val="18"/>
              </w:rPr>
            </w:pPr>
          </w:p>
          <w:p w14:paraId="6FEE5B3A" w14:textId="77777777" w:rsidR="002C6574" w:rsidRDefault="00000000">
            <w:pPr>
              <w:pStyle w:val="TableParagraph"/>
              <w:ind w:left="311"/>
              <w:jc w:val="left"/>
              <w:rPr>
                <w:rFonts w:ascii="Arial"/>
                <w:b/>
                <w:sz w:val="18"/>
              </w:rPr>
            </w:pPr>
            <w:r>
              <w:rPr>
                <w:rFonts w:ascii="Arial"/>
                <w:b/>
                <w:spacing w:val="-4"/>
                <w:sz w:val="18"/>
              </w:rPr>
              <w:t>2025</w:t>
            </w:r>
          </w:p>
        </w:tc>
        <w:tc>
          <w:tcPr>
            <w:tcW w:w="2969" w:type="dxa"/>
            <w:tcBorders>
              <w:top w:val="single" w:sz="8" w:space="0" w:color="000000"/>
            </w:tcBorders>
          </w:tcPr>
          <w:p w14:paraId="262EC585" w14:textId="77777777" w:rsidR="002C6574" w:rsidRDefault="00000000">
            <w:pPr>
              <w:pStyle w:val="TableParagraph"/>
              <w:spacing w:line="202" w:lineRule="exact"/>
              <w:ind w:left="73"/>
              <w:jc w:val="left"/>
              <w:rPr>
                <w:sz w:val="18"/>
              </w:rPr>
            </w:pPr>
            <w:r>
              <w:rPr>
                <w:spacing w:val="-2"/>
                <w:w w:val="105"/>
                <w:sz w:val="18"/>
              </w:rPr>
              <w:t>Janeiro</w:t>
            </w:r>
          </w:p>
        </w:tc>
        <w:tc>
          <w:tcPr>
            <w:tcW w:w="2179" w:type="dxa"/>
            <w:tcBorders>
              <w:top w:val="single" w:sz="8" w:space="0" w:color="000000"/>
            </w:tcBorders>
          </w:tcPr>
          <w:p w14:paraId="6B5C461F" w14:textId="77777777" w:rsidR="002C6574" w:rsidRDefault="00000000">
            <w:pPr>
              <w:pStyle w:val="TableParagraph"/>
              <w:spacing w:line="202" w:lineRule="exact"/>
              <w:ind w:right="57"/>
              <w:rPr>
                <w:sz w:val="18"/>
              </w:rPr>
            </w:pPr>
            <w:r>
              <w:rPr>
                <w:spacing w:val="-2"/>
                <w:w w:val="110"/>
                <w:sz w:val="18"/>
              </w:rPr>
              <w:t>1.356</w:t>
            </w:r>
          </w:p>
        </w:tc>
        <w:tc>
          <w:tcPr>
            <w:tcW w:w="1303" w:type="dxa"/>
            <w:tcBorders>
              <w:top w:val="single" w:sz="8" w:space="0" w:color="000000"/>
            </w:tcBorders>
          </w:tcPr>
          <w:p w14:paraId="4DFB060D" w14:textId="77777777" w:rsidR="002C6574" w:rsidRDefault="00000000">
            <w:pPr>
              <w:pStyle w:val="TableParagraph"/>
              <w:spacing w:line="202" w:lineRule="exact"/>
              <w:ind w:right="55"/>
              <w:rPr>
                <w:sz w:val="18"/>
              </w:rPr>
            </w:pPr>
            <w:r>
              <w:rPr>
                <w:spacing w:val="-5"/>
                <w:w w:val="105"/>
                <w:sz w:val="18"/>
              </w:rPr>
              <w:t>190</w:t>
            </w:r>
          </w:p>
        </w:tc>
        <w:tc>
          <w:tcPr>
            <w:tcW w:w="2301" w:type="dxa"/>
            <w:tcBorders>
              <w:top w:val="single" w:sz="8" w:space="0" w:color="000000"/>
            </w:tcBorders>
          </w:tcPr>
          <w:p w14:paraId="3224050E" w14:textId="77777777" w:rsidR="002C6574" w:rsidRDefault="00000000">
            <w:pPr>
              <w:pStyle w:val="TableParagraph"/>
              <w:spacing w:line="202" w:lineRule="exact"/>
              <w:ind w:right="50"/>
              <w:rPr>
                <w:sz w:val="18"/>
              </w:rPr>
            </w:pPr>
            <w:r>
              <w:rPr>
                <w:spacing w:val="-4"/>
                <w:w w:val="110"/>
                <w:sz w:val="18"/>
              </w:rPr>
              <w:t>1.546</w:t>
            </w:r>
          </w:p>
        </w:tc>
      </w:tr>
      <w:tr w:rsidR="002C6574" w14:paraId="640F2657" w14:textId="77777777">
        <w:trPr>
          <w:trHeight w:val="227"/>
        </w:trPr>
        <w:tc>
          <w:tcPr>
            <w:tcW w:w="1018" w:type="dxa"/>
            <w:vMerge/>
            <w:tcBorders>
              <w:top w:val="nil"/>
              <w:bottom w:val="single" w:sz="8" w:space="0" w:color="000000"/>
            </w:tcBorders>
          </w:tcPr>
          <w:p w14:paraId="540280A1" w14:textId="77777777" w:rsidR="002C6574" w:rsidRDefault="002C6574">
            <w:pPr>
              <w:rPr>
                <w:sz w:val="2"/>
                <w:szCs w:val="2"/>
              </w:rPr>
            </w:pPr>
          </w:p>
        </w:tc>
        <w:tc>
          <w:tcPr>
            <w:tcW w:w="2969" w:type="dxa"/>
          </w:tcPr>
          <w:p w14:paraId="7F0D7CCC" w14:textId="77777777" w:rsidR="002C6574" w:rsidRDefault="00000000">
            <w:pPr>
              <w:pStyle w:val="TableParagraph"/>
              <w:spacing w:line="207" w:lineRule="exact"/>
              <w:ind w:left="73"/>
              <w:jc w:val="left"/>
              <w:rPr>
                <w:sz w:val="18"/>
              </w:rPr>
            </w:pPr>
            <w:r>
              <w:rPr>
                <w:spacing w:val="-2"/>
                <w:sz w:val="18"/>
              </w:rPr>
              <w:t>Fevereiro</w:t>
            </w:r>
          </w:p>
        </w:tc>
        <w:tc>
          <w:tcPr>
            <w:tcW w:w="2179" w:type="dxa"/>
          </w:tcPr>
          <w:p w14:paraId="437995EB" w14:textId="77777777" w:rsidR="002C6574" w:rsidRDefault="00000000">
            <w:pPr>
              <w:pStyle w:val="TableParagraph"/>
              <w:spacing w:line="207" w:lineRule="exact"/>
              <w:ind w:right="57"/>
              <w:rPr>
                <w:sz w:val="18"/>
              </w:rPr>
            </w:pPr>
            <w:r>
              <w:rPr>
                <w:spacing w:val="-5"/>
                <w:w w:val="105"/>
                <w:sz w:val="18"/>
              </w:rPr>
              <w:t>364</w:t>
            </w:r>
          </w:p>
        </w:tc>
        <w:tc>
          <w:tcPr>
            <w:tcW w:w="1303" w:type="dxa"/>
          </w:tcPr>
          <w:p w14:paraId="2A79434C" w14:textId="77777777" w:rsidR="002C6574" w:rsidRDefault="00000000">
            <w:pPr>
              <w:pStyle w:val="TableParagraph"/>
              <w:spacing w:line="207" w:lineRule="exact"/>
              <w:ind w:right="55"/>
              <w:rPr>
                <w:sz w:val="18"/>
              </w:rPr>
            </w:pPr>
            <w:r>
              <w:rPr>
                <w:spacing w:val="-5"/>
                <w:w w:val="105"/>
                <w:sz w:val="18"/>
              </w:rPr>
              <w:t>47</w:t>
            </w:r>
          </w:p>
        </w:tc>
        <w:tc>
          <w:tcPr>
            <w:tcW w:w="2301" w:type="dxa"/>
          </w:tcPr>
          <w:p w14:paraId="091775CE" w14:textId="77777777" w:rsidR="002C6574" w:rsidRDefault="00000000">
            <w:pPr>
              <w:pStyle w:val="TableParagraph"/>
              <w:spacing w:line="207" w:lineRule="exact"/>
              <w:ind w:right="50"/>
              <w:rPr>
                <w:sz w:val="18"/>
              </w:rPr>
            </w:pPr>
            <w:r>
              <w:rPr>
                <w:spacing w:val="-5"/>
                <w:w w:val="105"/>
                <w:sz w:val="18"/>
              </w:rPr>
              <w:t>411</w:t>
            </w:r>
          </w:p>
        </w:tc>
      </w:tr>
      <w:tr w:rsidR="002C6574" w14:paraId="1823A949" w14:textId="77777777">
        <w:trPr>
          <w:trHeight w:val="227"/>
        </w:trPr>
        <w:tc>
          <w:tcPr>
            <w:tcW w:w="1018" w:type="dxa"/>
            <w:vMerge/>
            <w:tcBorders>
              <w:top w:val="nil"/>
              <w:bottom w:val="single" w:sz="8" w:space="0" w:color="000000"/>
            </w:tcBorders>
          </w:tcPr>
          <w:p w14:paraId="343ED4E3" w14:textId="77777777" w:rsidR="002C6574" w:rsidRDefault="002C6574">
            <w:pPr>
              <w:rPr>
                <w:sz w:val="2"/>
                <w:szCs w:val="2"/>
              </w:rPr>
            </w:pPr>
          </w:p>
        </w:tc>
        <w:tc>
          <w:tcPr>
            <w:tcW w:w="2969" w:type="dxa"/>
          </w:tcPr>
          <w:p w14:paraId="6979D6EA" w14:textId="77777777" w:rsidR="002C6574" w:rsidRDefault="00000000">
            <w:pPr>
              <w:pStyle w:val="TableParagraph"/>
              <w:spacing w:line="207" w:lineRule="exact"/>
              <w:ind w:left="73"/>
              <w:jc w:val="left"/>
              <w:rPr>
                <w:sz w:val="18"/>
              </w:rPr>
            </w:pPr>
            <w:r>
              <w:rPr>
                <w:spacing w:val="-2"/>
                <w:sz w:val="18"/>
              </w:rPr>
              <w:t>Março</w:t>
            </w:r>
          </w:p>
        </w:tc>
        <w:tc>
          <w:tcPr>
            <w:tcW w:w="2179" w:type="dxa"/>
          </w:tcPr>
          <w:p w14:paraId="0236AFAB" w14:textId="77777777" w:rsidR="002C6574" w:rsidRDefault="00000000">
            <w:pPr>
              <w:pStyle w:val="TableParagraph"/>
              <w:spacing w:line="207" w:lineRule="exact"/>
              <w:ind w:right="55"/>
              <w:rPr>
                <w:sz w:val="18"/>
              </w:rPr>
            </w:pPr>
            <w:r>
              <w:rPr>
                <w:spacing w:val="-5"/>
                <w:w w:val="105"/>
                <w:sz w:val="18"/>
              </w:rPr>
              <w:t>127</w:t>
            </w:r>
          </w:p>
        </w:tc>
        <w:tc>
          <w:tcPr>
            <w:tcW w:w="1303" w:type="dxa"/>
          </w:tcPr>
          <w:p w14:paraId="06FDF2BD" w14:textId="77777777" w:rsidR="002C6574" w:rsidRDefault="00000000">
            <w:pPr>
              <w:pStyle w:val="TableParagraph"/>
              <w:spacing w:line="207" w:lineRule="exact"/>
              <w:ind w:right="55"/>
              <w:rPr>
                <w:sz w:val="18"/>
              </w:rPr>
            </w:pPr>
            <w:r>
              <w:rPr>
                <w:spacing w:val="-5"/>
                <w:w w:val="105"/>
                <w:sz w:val="18"/>
              </w:rPr>
              <w:t>14</w:t>
            </w:r>
          </w:p>
        </w:tc>
        <w:tc>
          <w:tcPr>
            <w:tcW w:w="2301" w:type="dxa"/>
          </w:tcPr>
          <w:p w14:paraId="5755F84E" w14:textId="77777777" w:rsidR="002C6574" w:rsidRDefault="00000000">
            <w:pPr>
              <w:pStyle w:val="TableParagraph"/>
              <w:spacing w:line="207" w:lineRule="exact"/>
              <w:ind w:right="50"/>
              <w:rPr>
                <w:sz w:val="18"/>
              </w:rPr>
            </w:pPr>
            <w:r>
              <w:rPr>
                <w:spacing w:val="-5"/>
                <w:w w:val="105"/>
                <w:sz w:val="18"/>
              </w:rPr>
              <w:t>141</w:t>
            </w:r>
          </w:p>
        </w:tc>
      </w:tr>
      <w:tr w:rsidR="002C6574" w14:paraId="7A9DCC33" w14:textId="77777777">
        <w:trPr>
          <w:trHeight w:val="227"/>
        </w:trPr>
        <w:tc>
          <w:tcPr>
            <w:tcW w:w="1018" w:type="dxa"/>
            <w:vMerge/>
            <w:tcBorders>
              <w:top w:val="nil"/>
              <w:bottom w:val="single" w:sz="8" w:space="0" w:color="000000"/>
            </w:tcBorders>
          </w:tcPr>
          <w:p w14:paraId="2B2221B9" w14:textId="77777777" w:rsidR="002C6574" w:rsidRDefault="002C6574">
            <w:pPr>
              <w:rPr>
                <w:sz w:val="2"/>
                <w:szCs w:val="2"/>
              </w:rPr>
            </w:pPr>
          </w:p>
        </w:tc>
        <w:tc>
          <w:tcPr>
            <w:tcW w:w="2969" w:type="dxa"/>
          </w:tcPr>
          <w:p w14:paraId="577485A1" w14:textId="77777777" w:rsidR="002C6574" w:rsidRDefault="00000000">
            <w:pPr>
              <w:pStyle w:val="TableParagraph"/>
              <w:spacing w:line="207" w:lineRule="exact"/>
              <w:ind w:left="73"/>
              <w:jc w:val="left"/>
              <w:rPr>
                <w:sz w:val="18"/>
              </w:rPr>
            </w:pPr>
            <w:r>
              <w:rPr>
                <w:spacing w:val="-4"/>
                <w:sz w:val="18"/>
              </w:rPr>
              <w:t>Maio</w:t>
            </w:r>
          </w:p>
        </w:tc>
        <w:tc>
          <w:tcPr>
            <w:tcW w:w="2179" w:type="dxa"/>
          </w:tcPr>
          <w:p w14:paraId="2C376002" w14:textId="77777777" w:rsidR="002C6574" w:rsidRDefault="00000000">
            <w:pPr>
              <w:pStyle w:val="TableParagraph"/>
              <w:spacing w:line="207" w:lineRule="exact"/>
              <w:ind w:right="57"/>
              <w:rPr>
                <w:sz w:val="18"/>
              </w:rPr>
            </w:pPr>
            <w:r>
              <w:rPr>
                <w:spacing w:val="-10"/>
                <w:w w:val="105"/>
                <w:sz w:val="18"/>
              </w:rPr>
              <w:t>2</w:t>
            </w:r>
          </w:p>
        </w:tc>
        <w:tc>
          <w:tcPr>
            <w:tcW w:w="1303" w:type="dxa"/>
          </w:tcPr>
          <w:p w14:paraId="636B037E" w14:textId="77777777" w:rsidR="002C6574" w:rsidRDefault="00000000">
            <w:pPr>
              <w:pStyle w:val="TableParagraph"/>
              <w:spacing w:line="207" w:lineRule="exact"/>
              <w:ind w:right="53"/>
              <w:rPr>
                <w:sz w:val="18"/>
              </w:rPr>
            </w:pPr>
            <w:r>
              <w:rPr>
                <w:spacing w:val="-10"/>
                <w:w w:val="105"/>
                <w:sz w:val="18"/>
              </w:rPr>
              <w:t>1</w:t>
            </w:r>
          </w:p>
        </w:tc>
        <w:tc>
          <w:tcPr>
            <w:tcW w:w="2301" w:type="dxa"/>
          </w:tcPr>
          <w:p w14:paraId="1B71DFA7" w14:textId="77777777" w:rsidR="002C6574" w:rsidRDefault="00000000">
            <w:pPr>
              <w:pStyle w:val="TableParagraph"/>
              <w:spacing w:line="207" w:lineRule="exact"/>
              <w:ind w:right="51"/>
              <w:rPr>
                <w:sz w:val="18"/>
              </w:rPr>
            </w:pPr>
            <w:r>
              <w:rPr>
                <w:spacing w:val="-10"/>
                <w:w w:val="105"/>
                <w:sz w:val="18"/>
              </w:rPr>
              <w:t>3</w:t>
            </w:r>
          </w:p>
        </w:tc>
      </w:tr>
      <w:tr w:rsidR="002C6574" w14:paraId="159A1B0F" w14:textId="77777777">
        <w:trPr>
          <w:trHeight w:val="224"/>
        </w:trPr>
        <w:tc>
          <w:tcPr>
            <w:tcW w:w="1018" w:type="dxa"/>
            <w:vMerge/>
            <w:tcBorders>
              <w:top w:val="nil"/>
              <w:bottom w:val="single" w:sz="8" w:space="0" w:color="000000"/>
            </w:tcBorders>
          </w:tcPr>
          <w:p w14:paraId="12AFCC1F" w14:textId="77777777" w:rsidR="002C6574" w:rsidRDefault="002C6574">
            <w:pPr>
              <w:rPr>
                <w:sz w:val="2"/>
                <w:szCs w:val="2"/>
              </w:rPr>
            </w:pPr>
          </w:p>
        </w:tc>
        <w:tc>
          <w:tcPr>
            <w:tcW w:w="2969" w:type="dxa"/>
          </w:tcPr>
          <w:p w14:paraId="7D368405" w14:textId="77777777" w:rsidR="002C6574" w:rsidRDefault="00000000">
            <w:pPr>
              <w:pStyle w:val="TableParagraph"/>
              <w:spacing w:line="205" w:lineRule="exact"/>
              <w:ind w:left="73"/>
              <w:jc w:val="left"/>
              <w:rPr>
                <w:sz w:val="18"/>
              </w:rPr>
            </w:pPr>
            <w:r>
              <w:rPr>
                <w:spacing w:val="-2"/>
                <w:w w:val="105"/>
                <w:sz w:val="18"/>
              </w:rPr>
              <w:t>Junho</w:t>
            </w:r>
          </w:p>
        </w:tc>
        <w:tc>
          <w:tcPr>
            <w:tcW w:w="2179" w:type="dxa"/>
          </w:tcPr>
          <w:p w14:paraId="2F73ADF3" w14:textId="77777777" w:rsidR="002C6574" w:rsidRDefault="00000000">
            <w:pPr>
              <w:pStyle w:val="TableParagraph"/>
              <w:spacing w:line="205" w:lineRule="exact"/>
              <w:ind w:right="57"/>
              <w:rPr>
                <w:sz w:val="18"/>
              </w:rPr>
            </w:pPr>
            <w:r>
              <w:rPr>
                <w:spacing w:val="-5"/>
                <w:w w:val="105"/>
                <w:sz w:val="18"/>
              </w:rPr>
              <w:t>10</w:t>
            </w:r>
          </w:p>
        </w:tc>
        <w:tc>
          <w:tcPr>
            <w:tcW w:w="1303" w:type="dxa"/>
          </w:tcPr>
          <w:p w14:paraId="03E5201E" w14:textId="77777777" w:rsidR="002C6574" w:rsidRDefault="00000000">
            <w:pPr>
              <w:pStyle w:val="TableParagraph"/>
              <w:spacing w:line="205" w:lineRule="exact"/>
              <w:ind w:right="53"/>
              <w:rPr>
                <w:sz w:val="18"/>
              </w:rPr>
            </w:pPr>
            <w:r>
              <w:rPr>
                <w:spacing w:val="-10"/>
                <w:w w:val="105"/>
                <w:sz w:val="18"/>
              </w:rPr>
              <w:t>1</w:t>
            </w:r>
          </w:p>
        </w:tc>
        <w:tc>
          <w:tcPr>
            <w:tcW w:w="2301" w:type="dxa"/>
          </w:tcPr>
          <w:p w14:paraId="080DD467" w14:textId="77777777" w:rsidR="002C6574" w:rsidRDefault="00000000">
            <w:pPr>
              <w:pStyle w:val="TableParagraph"/>
              <w:spacing w:line="205" w:lineRule="exact"/>
              <w:ind w:right="50"/>
              <w:rPr>
                <w:sz w:val="18"/>
              </w:rPr>
            </w:pPr>
            <w:r>
              <w:rPr>
                <w:spacing w:val="-5"/>
                <w:w w:val="105"/>
                <w:sz w:val="18"/>
              </w:rPr>
              <w:t>11</w:t>
            </w:r>
          </w:p>
        </w:tc>
      </w:tr>
      <w:tr w:rsidR="002C6574" w14:paraId="41A82C27" w14:textId="77777777">
        <w:trPr>
          <w:trHeight w:val="232"/>
        </w:trPr>
        <w:tc>
          <w:tcPr>
            <w:tcW w:w="1018" w:type="dxa"/>
            <w:vMerge/>
            <w:tcBorders>
              <w:top w:val="nil"/>
              <w:bottom w:val="single" w:sz="8" w:space="0" w:color="000000"/>
            </w:tcBorders>
          </w:tcPr>
          <w:p w14:paraId="540CC54C" w14:textId="77777777" w:rsidR="002C6574" w:rsidRDefault="002C6574">
            <w:pPr>
              <w:rPr>
                <w:sz w:val="2"/>
                <w:szCs w:val="2"/>
              </w:rPr>
            </w:pPr>
          </w:p>
        </w:tc>
        <w:tc>
          <w:tcPr>
            <w:tcW w:w="2969" w:type="dxa"/>
            <w:tcBorders>
              <w:bottom w:val="single" w:sz="8" w:space="0" w:color="000000"/>
            </w:tcBorders>
          </w:tcPr>
          <w:p w14:paraId="08F9CCF4" w14:textId="77777777" w:rsidR="002C6574" w:rsidRDefault="00000000">
            <w:pPr>
              <w:pStyle w:val="TableParagraph"/>
              <w:spacing w:line="212" w:lineRule="exact"/>
              <w:ind w:left="73"/>
              <w:jc w:val="left"/>
              <w:rPr>
                <w:sz w:val="18"/>
              </w:rPr>
            </w:pPr>
            <w:r>
              <w:rPr>
                <w:spacing w:val="-2"/>
                <w:w w:val="105"/>
                <w:sz w:val="18"/>
              </w:rPr>
              <w:t>Julho</w:t>
            </w:r>
          </w:p>
        </w:tc>
        <w:tc>
          <w:tcPr>
            <w:tcW w:w="2179" w:type="dxa"/>
            <w:tcBorders>
              <w:bottom w:val="single" w:sz="8" w:space="0" w:color="000000"/>
            </w:tcBorders>
          </w:tcPr>
          <w:p w14:paraId="72386608" w14:textId="77777777" w:rsidR="002C6574" w:rsidRDefault="00000000">
            <w:pPr>
              <w:pStyle w:val="TableParagraph"/>
              <w:spacing w:line="212" w:lineRule="exact"/>
              <w:ind w:right="58"/>
              <w:rPr>
                <w:sz w:val="18"/>
              </w:rPr>
            </w:pPr>
            <w:r>
              <w:rPr>
                <w:spacing w:val="-5"/>
                <w:w w:val="105"/>
                <w:sz w:val="18"/>
              </w:rPr>
              <w:t>68</w:t>
            </w:r>
          </w:p>
        </w:tc>
        <w:tc>
          <w:tcPr>
            <w:tcW w:w="1303" w:type="dxa"/>
            <w:tcBorders>
              <w:bottom w:val="single" w:sz="8" w:space="0" w:color="000000"/>
            </w:tcBorders>
          </w:tcPr>
          <w:p w14:paraId="78AF465A" w14:textId="77777777" w:rsidR="002C6574" w:rsidRDefault="00000000">
            <w:pPr>
              <w:pStyle w:val="TableParagraph"/>
              <w:spacing w:line="212" w:lineRule="exact"/>
              <w:ind w:right="53"/>
              <w:rPr>
                <w:sz w:val="18"/>
              </w:rPr>
            </w:pPr>
            <w:r>
              <w:rPr>
                <w:spacing w:val="-10"/>
                <w:w w:val="105"/>
                <w:sz w:val="18"/>
              </w:rPr>
              <w:t>4</w:t>
            </w:r>
          </w:p>
        </w:tc>
        <w:tc>
          <w:tcPr>
            <w:tcW w:w="2301" w:type="dxa"/>
            <w:tcBorders>
              <w:bottom w:val="single" w:sz="8" w:space="0" w:color="000000"/>
            </w:tcBorders>
          </w:tcPr>
          <w:p w14:paraId="772AD7DD" w14:textId="77777777" w:rsidR="002C6574" w:rsidRDefault="00000000">
            <w:pPr>
              <w:pStyle w:val="TableParagraph"/>
              <w:spacing w:line="212" w:lineRule="exact"/>
              <w:ind w:right="50"/>
              <w:rPr>
                <w:sz w:val="18"/>
              </w:rPr>
            </w:pPr>
            <w:r>
              <w:rPr>
                <w:spacing w:val="-5"/>
                <w:w w:val="105"/>
                <w:sz w:val="18"/>
              </w:rPr>
              <w:t>72</w:t>
            </w:r>
          </w:p>
        </w:tc>
      </w:tr>
      <w:tr w:rsidR="002C6574" w14:paraId="71E59CAE" w14:textId="77777777">
        <w:trPr>
          <w:trHeight w:val="229"/>
        </w:trPr>
        <w:tc>
          <w:tcPr>
            <w:tcW w:w="1018" w:type="dxa"/>
            <w:tcBorders>
              <w:top w:val="single" w:sz="8" w:space="0" w:color="000000"/>
              <w:left w:val="single" w:sz="8" w:space="0" w:color="000000"/>
              <w:bottom w:val="single" w:sz="8" w:space="0" w:color="000000"/>
            </w:tcBorders>
          </w:tcPr>
          <w:p w14:paraId="6BB2992D" w14:textId="77777777" w:rsidR="002C6574" w:rsidRDefault="00000000">
            <w:pPr>
              <w:pStyle w:val="TableParagraph"/>
              <w:spacing w:before="20" w:line="189" w:lineRule="exact"/>
              <w:ind w:left="69"/>
              <w:jc w:val="left"/>
              <w:rPr>
                <w:rFonts w:ascii="Arial"/>
                <w:b/>
                <w:sz w:val="18"/>
              </w:rPr>
            </w:pPr>
            <w:r>
              <w:rPr>
                <w:rFonts w:ascii="Arial"/>
                <w:b/>
                <w:spacing w:val="-2"/>
                <w:sz w:val="18"/>
              </w:rPr>
              <w:t>Totais</w:t>
            </w:r>
          </w:p>
        </w:tc>
        <w:tc>
          <w:tcPr>
            <w:tcW w:w="2969" w:type="dxa"/>
            <w:tcBorders>
              <w:top w:val="single" w:sz="8" w:space="0" w:color="000000"/>
              <w:bottom w:val="single" w:sz="8" w:space="0" w:color="000000"/>
            </w:tcBorders>
            <w:shd w:val="clear" w:color="auto" w:fill="D8D8D8"/>
          </w:tcPr>
          <w:p w14:paraId="3DAB385A" w14:textId="77777777" w:rsidR="002C6574" w:rsidRDefault="002C6574">
            <w:pPr>
              <w:pStyle w:val="TableParagraph"/>
              <w:jc w:val="left"/>
              <w:rPr>
                <w:rFonts w:ascii="Times New Roman"/>
                <w:sz w:val="16"/>
              </w:rPr>
            </w:pPr>
          </w:p>
        </w:tc>
        <w:tc>
          <w:tcPr>
            <w:tcW w:w="2179" w:type="dxa"/>
            <w:tcBorders>
              <w:top w:val="single" w:sz="8" w:space="0" w:color="000000"/>
              <w:bottom w:val="single" w:sz="8" w:space="0" w:color="000000"/>
            </w:tcBorders>
          </w:tcPr>
          <w:p w14:paraId="6C9DA8D6" w14:textId="77777777" w:rsidR="002C6574" w:rsidRDefault="00000000">
            <w:pPr>
              <w:pStyle w:val="TableParagraph"/>
              <w:spacing w:before="20" w:line="189" w:lineRule="exact"/>
              <w:ind w:right="56"/>
              <w:rPr>
                <w:rFonts w:ascii="Arial"/>
                <w:b/>
                <w:sz w:val="18"/>
              </w:rPr>
            </w:pPr>
            <w:r>
              <w:rPr>
                <w:rFonts w:ascii="Arial"/>
                <w:b/>
                <w:spacing w:val="-2"/>
                <w:sz w:val="18"/>
              </w:rPr>
              <w:t>1.140.000</w:t>
            </w:r>
          </w:p>
        </w:tc>
        <w:tc>
          <w:tcPr>
            <w:tcW w:w="1303" w:type="dxa"/>
            <w:tcBorders>
              <w:top w:val="single" w:sz="8" w:space="0" w:color="000000"/>
              <w:bottom w:val="single" w:sz="8" w:space="0" w:color="000000"/>
            </w:tcBorders>
          </w:tcPr>
          <w:p w14:paraId="77631944" w14:textId="77777777" w:rsidR="002C6574" w:rsidRDefault="00000000">
            <w:pPr>
              <w:pStyle w:val="TableParagraph"/>
              <w:spacing w:before="20" w:line="189" w:lineRule="exact"/>
              <w:ind w:right="53"/>
              <w:rPr>
                <w:rFonts w:ascii="Arial"/>
                <w:b/>
                <w:sz w:val="18"/>
              </w:rPr>
            </w:pPr>
            <w:r>
              <w:rPr>
                <w:rFonts w:ascii="Arial"/>
                <w:b/>
                <w:spacing w:val="-2"/>
                <w:sz w:val="18"/>
              </w:rPr>
              <w:t>811.045</w:t>
            </w:r>
          </w:p>
        </w:tc>
        <w:tc>
          <w:tcPr>
            <w:tcW w:w="2301" w:type="dxa"/>
            <w:tcBorders>
              <w:top w:val="single" w:sz="8" w:space="0" w:color="000000"/>
              <w:bottom w:val="single" w:sz="8" w:space="0" w:color="000000"/>
              <w:right w:val="single" w:sz="8" w:space="0" w:color="000000"/>
            </w:tcBorders>
          </w:tcPr>
          <w:p w14:paraId="2FCD4BE7" w14:textId="77777777" w:rsidR="002C6574" w:rsidRDefault="00000000">
            <w:pPr>
              <w:pStyle w:val="TableParagraph"/>
              <w:spacing w:before="20" w:line="189" w:lineRule="exact"/>
              <w:ind w:right="48"/>
              <w:rPr>
                <w:rFonts w:ascii="Arial"/>
                <w:b/>
                <w:sz w:val="18"/>
              </w:rPr>
            </w:pPr>
            <w:r>
              <w:rPr>
                <w:rFonts w:ascii="Arial"/>
                <w:b/>
                <w:spacing w:val="-2"/>
                <w:sz w:val="18"/>
              </w:rPr>
              <w:t>1.951.045</w:t>
            </w:r>
          </w:p>
        </w:tc>
      </w:tr>
    </w:tbl>
    <w:p w14:paraId="10B8AF28" w14:textId="77777777" w:rsidR="002C6574" w:rsidRDefault="00000000">
      <w:pPr>
        <w:pStyle w:val="Corpodetexto"/>
        <w:spacing w:before="283" w:line="237" w:lineRule="auto"/>
        <w:ind w:left="143"/>
      </w:pPr>
      <w:r>
        <w:t>i) Juros apurados a partir do dia útil subsequente ao aporte dos valores e calculados até a data das demonstrações contábeis em referência.</w:t>
      </w:r>
    </w:p>
    <w:p w14:paraId="18245365" w14:textId="77777777" w:rsidR="002C6574" w:rsidRDefault="002C6574">
      <w:pPr>
        <w:pStyle w:val="Corpodetexto"/>
        <w:spacing w:line="237" w:lineRule="auto"/>
        <w:sectPr w:rsidR="002C6574">
          <w:pgSz w:w="11910" w:h="16840"/>
          <w:pgMar w:top="1600" w:right="141" w:bottom="1320" w:left="1133" w:header="856" w:footer="1125" w:gutter="0"/>
          <w:cols w:space="720"/>
        </w:sectPr>
      </w:pPr>
    </w:p>
    <w:p w14:paraId="44A01691" w14:textId="77777777" w:rsidR="002C6574" w:rsidRDefault="00000000">
      <w:pPr>
        <w:numPr>
          <w:ilvl w:val="1"/>
          <w:numId w:val="33"/>
        </w:numPr>
        <w:tabs>
          <w:tab w:val="left" w:pos="995"/>
        </w:tabs>
        <w:spacing w:before="229"/>
        <w:rPr>
          <w:rFonts w:ascii="Arial" w:hAnsi="Arial"/>
          <w:b/>
        </w:rPr>
      </w:pPr>
      <w:r>
        <w:rPr>
          <w:rFonts w:ascii="Arial" w:hAnsi="Arial"/>
          <w:b/>
        </w:rPr>
        <w:lastRenderedPageBreak/>
        <w:t>Movimentação</w:t>
      </w:r>
      <w:r>
        <w:rPr>
          <w:rFonts w:ascii="Arial" w:hAnsi="Arial"/>
          <w:b/>
          <w:spacing w:val="-6"/>
        </w:rPr>
        <w:t xml:space="preserve"> </w:t>
      </w:r>
      <w:r>
        <w:rPr>
          <w:rFonts w:ascii="Arial" w:hAnsi="Arial"/>
          <w:b/>
        </w:rPr>
        <w:t>das</w:t>
      </w:r>
      <w:r>
        <w:rPr>
          <w:rFonts w:ascii="Arial" w:hAnsi="Arial"/>
          <w:b/>
          <w:spacing w:val="-3"/>
        </w:rPr>
        <w:t xml:space="preserve"> </w:t>
      </w:r>
      <w:r>
        <w:rPr>
          <w:rFonts w:ascii="Arial" w:hAnsi="Arial"/>
          <w:b/>
        </w:rPr>
        <w:t>operações</w:t>
      </w:r>
      <w:r>
        <w:rPr>
          <w:rFonts w:ascii="Arial" w:hAnsi="Arial"/>
          <w:b/>
          <w:spacing w:val="-1"/>
        </w:rPr>
        <w:t xml:space="preserve"> </w:t>
      </w:r>
      <w:r>
        <w:rPr>
          <w:rFonts w:ascii="Arial" w:hAnsi="Arial"/>
          <w:b/>
        </w:rPr>
        <w:t>de</w:t>
      </w:r>
      <w:r>
        <w:rPr>
          <w:rFonts w:ascii="Arial" w:hAnsi="Arial"/>
          <w:b/>
          <w:spacing w:val="-5"/>
        </w:rPr>
        <w:t xml:space="preserve"> </w:t>
      </w:r>
      <w:r>
        <w:rPr>
          <w:rFonts w:ascii="Arial" w:hAnsi="Arial"/>
          <w:b/>
        </w:rPr>
        <w:t>AFAC</w:t>
      </w:r>
      <w:r>
        <w:rPr>
          <w:rFonts w:ascii="Arial" w:hAnsi="Arial"/>
          <w:b/>
          <w:spacing w:val="-3"/>
        </w:rPr>
        <w:t xml:space="preserve"> </w:t>
      </w:r>
      <w:r>
        <w:rPr>
          <w:rFonts w:ascii="Arial" w:hAnsi="Arial"/>
          <w:b/>
        </w:rPr>
        <w:t>no</w:t>
      </w:r>
      <w:r>
        <w:rPr>
          <w:rFonts w:ascii="Arial" w:hAnsi="Arial"/>
          <w:b/>
          <w:spacing w:val="-4"/>
        </w:rPr>
        <w:t xml:space="preserve"> </w:t>
      </w:r>
      <w:r>
        <w:rPr>
          <w:rFonts w:ascii="Arial" w:hAnsi="Arial"/>
          <w:b/>
          <w:spacing w:val="-2"/>
        </w:rPr>
        <w:t>exercício</w:t>
      </w:r>
    </w:p>
    <w:p w14:paraId="4C8EA073" w14:textId="77777777" w:rsidR="002C6574" w:rsidRDefault="00000000">
      <w:pPr>
        <w:pStyle w:val="Corpodetexto"/>
        <w:spacing w:before="196" w:line="237" w:lineRule="auto"/>
        <w:ind w:left="143" w:right="708"/>
        <w:jc w:val="both"/>
      </w:pPr>
      <w:r>
        <w:t>O quadro a seguir apresenta a movimentação dos Adiantamentos para Futuro Aumento de Capital (AFAC) no exercício de 2025,</w:t>
      </w:r>
      <w:r>
        <w:rPr>
          <w:spacing w:val="38"/>
        </w:rPr>
        <w:t xml:space="preserve"> </w:t>
      </w:r>
      <w:r>
        <w:t>de acordo com a sua destinação.</w:t>
      </w:r>
    </w:p>
    <w:p w14:paraId="16AE4B93" w14:textId="77777777" w:rsidR="002C6574" w:rsidRDefault="002C6574">
      <w:pPr>
        <w:pStyle w:val="Corpodetexto"/>
        <w:spacing w:before="54"/>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3"/>
        <w:gridCol w:w="2458"/>
      </w:tblGrid>
      <w:tr w:rsidR="002C6574" w14:paraId="41098319" w14:textId="77777777">
        <w:trPr>
          <w:trHeight w:val="230"/>
        </w:trPr>
        <w:tc>
          <w:tcPr>
            <w:tcW w:w="7313" w:type="dxa"/>
          </w:tcPr>
          <w:p w14:paraId="3795FA2E" w14:textId="77777777" w:rsidR="002C6574" w:rsidRDefault="00000000">
            <w:pPr>
              <w:pStyle w:val="TableParagraph"/>
              <w:spacing w:before="23" w:line="187"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2024</w:t>
            </w:r>
          </w:p>
        </w:tc>
        <w:tc>
          <w:tcPr>
            <w:tcW w:w="2458" w:type="dxa"/>
          </w:tcPr>
          <w:p w14:paraId="0FAB7DE5" w14:textId="77777777" w:rsidR="002C6574" w:rsidRDefault="00000000">
            <w:pPr>
              <w:pStyle w:val="TableParagraph"/>
              <w:spacing w:before="23" w:line="187" w:lineRule="exact"/>
              <w:ind w:right="58"/>
              <w:rPr>
                <w:rFonts w:ascii="Arial"/>
                <w:b/>
                <w:sz w:val="18"/>
              </w:rPr>
            </w:pPr>
            <w:r>
              <w:rPr>
                <w:rFonts w:ascii="Arial"/>
                <w:b/>
                <w:spacing w:val="-2"/>
                <w:sz w:val="18"/>
              </w:rPr>
              <w:t>1.831.921</w:t>
            </w:r>
          </w:p>
        </w:tc>
      </w:tr>
      <w:tr w:rsidR="002C6574" w14:paraId="103C91EF" w14:textId="77777777">
        <w:trPr>
          <w:trHeight w:val="230"/>
        </w:trPr>
        <w:tc>
          <w:tcPr>
            <w:tcW w:w="7313" w:type="dxa"/>
          </w:tcPr>
          <w:p w14:paraId="24F725CF" w14:textId="77777777" w:rsidR="002C6574" w:rsidRDefault="00000000">
            <w:pPr>
              <w:pStyle w:val="TableParagraph"/>
              <w:spacing w:line="210" w:lineRule="exact"/>
              <w:ind w:left="69"/>
              <w:jc w:val="left"/>
              <w:rPr>
                <w:sz w:val="18"/>
              </w:rPr>
            </w:pPr>
            <w:r>
              <w:rPr>
                <w:w w:val="105"/>
                <w:sz w:val="18"/>
              </w:rPr>
              <w:t>AFAC</w:t>
            </w:r>
            <w:r>
              <w:rPr>
                <w:spacing w:val="22"/>
                <w:w w:val="105"/>
                <w:sz w:val="18"/>
              </w:rPr>
              <w:t xml:space="preserve"> </w:t>
            </w:r>
            <w:r>
              <w:rPr>
                <w:spacing w:val="-2"/>
                <w:w w:val="105"/>
                <w:sz w:val="18"/>
              </w:rPr>
              <w:t>Recebidos</w:t>
            </w:r>
          </w:p>
        </w:tc>
        <w:tc>
          <w:tcPr>
            <w:tcW w:w="2458" w:type="dxa"/>
          </w:tcPr>
          <w:p w14:paraId="387233DE" w14:textId="77777777" w:rsidR="002C6574" w:rsidRDefault="00000000">
            <w:pPr>
              <w:pStyle w:val="TableParagraph"/>
              <w:spacing w:line="210" w:lineRule="exact"/>
              <w:ind w:right="58"/>
              <w:rPr>
                <w:sz w:val="18"/>
              </w:rPr>
            </w:pPr>
            <w:r>
              <w:rPr>
                <w:spacing w:val="-4"/>
                <w:w w:val="110"/>
                <w:sz w:val="18"/>
              </w:rPr>
              <w:t>1.924</w:t>
            </w:r>
          </w:p>
        </w:tc>
      </w:tr>
      <w:tr w:rsidR="002C6574" w14:paraId="6DDF5A1E" w14:textId="77777777">
        <w:trPr>
          <w:trHeight w:val="230"/>
        </w:trPr>
        <w:tc>
          <w:tcPr>
            <w:tcW w:w="7313" w:type="dxa"/>
          </w:tcPr>
          <w:p w14:paraId="7EB73FD5" w14:textId="77777777" w:rsidR="002C6574" w:rsidRDefault="00000000">
            <w:pPr>
              <w:pStyle w:val="TableParagraph"/>
              <w:spacing w:line="210" w:lineRule="exact"/>
              <w:ind w:left="69"/>
              <w:jc w:val="left"/>
              <w:rPr>
                <w:sz w:val="18"/>
              </w:rPr>
            </w:pPr>
            <w:r>
              <w:rPr>
                <w:sz w:val="18"/>
              </w:rPr>
              <w:t>Juros</w:t>
            </w:r>
            <w:r>
              <w:rPr>
                <w:spacing w:val="6"/>
                <w:sz w:val="18"/>
              </w:rPr>
              <w:t xml:space="preserve"> </w:t>
            </w:r>
            <w:r>
              <w:rPr>
                <w:sz w:val="18"/>
              </w:rPr>
              <w:t>sobre</w:t>
            </w:r>
            <w:r>
              <w:rPr>
                <w:spacing w:val="7"/>
                <w:sz w:val="18"/>
              </w:rPr>
              <w:t xml:space="preserve"> </w:t>
            </w:r>
            <w:r>
              <w:rPr>
                <w:sz w:val="18"/>
              </w:rPr>
              <w:t>Afac</w:t>
            </w:r>
            <w:r>
              <w:rPr>
                <w:spacing w:val="9"/>
                <w:sz w:val="18"/>
              </w:rPr>
              <w:t xml:space="preserve"> </w:t>
            </w:r>
            <w:r>
              <w:rPr>
                <w:sz w:val="18"/>
              </w:rPr>
              <w:t>-</w:t>
            </w:r>
            <w:r>
              <w:rPr>
                <w:spacing w:val="6"/>
                <w:sz w:val="18"/>
              </w:rPr>
              <w:t xml:space="preserve"> </w:t>
            </w:r>
            <w:r>
              <w:rPr>
                <w:spacing w:val="-4"/>
                <w:sz w:val="18"/>
              </w:rPr>
              <w:t>Selic</w:t>
            </w:r>
          </w:p>
        </w:tc>
        <w:tc>
          <w:tcPr>
            <w:tcW w:w="2458" w:type="dxa"/>
          </w:tcPr>
          <w:p w14:paraId="5718CF8E" w14:textId="77777777" w:rsidR="002C6574" w:rsidRDefault="00000000">
            <w:pPr>
              <w:pStyle w:val="TableParagraph"/>
              <w:spacing w:line="210" w:lineRule="exact"/>
              <w:ind w:right="58"/>
              <w:rPr>
                <w:sz w:val="18"/>
              </w:rPr>
            </w:pPr>
            <w:r>
              <w:rPr>
                <w:spacing w:val="-2"/>
                <w:w w:val="105"/>
                <w:sz w:val="18"/>
              </w:rPr>
              <w:t>249.981</w:t>
            </w:r>
          </w:p>
        </w:tc>
      </w:tr>
      <w:tr w:rsidR="002C6574" w14:paraId="220398E2" w14:textId="77777777">
        <w:trPr>
          <w:trHeight w:val="230"/>
        </w:trPr>
        <w:tc>
          <w:tcPr>
            <w:tcW w:w="7313" w:type="dxa"/>
          </w:tcPr>
          <w:p w14:paraId="2C912171" w14:textId="77777777" w:rsidR="002C6574" w:rsidRDefault="00000000">
            <w:pPr>
              <w:pStyle w:val="TableParagraph"/>
              <w:spacing w:line="210" w:lineRule="exact"/>
              <w:ind w:left="69"/>
              <w:jc w:val="left"/>
              <w:rPr>
                <w:sz w:val="18"/>
              </w:rPr>
            </w:pPr>
            <w:r>
              <w:rPr>
                <w:sz w:val="18"/>
              </w:rPr>
              <w:t>Transferência</w:t>
            </w:r>
            <w:r>
              <w:rPr>
                <w:spacing w:val="2"/>
                <w:sz w:val="18"/>
              </w:rPr>
              <w:t xml:space="preserve"> </w:t>
            </w:r>
            <w:r>
              <w:rPr>
                <w:sz w:val="18"/>
              </w:rPr>
              <w:t>para Patrimônio</w:t>
            </w:r>
            <w:r>
              <w:rPr>
                <w:spacing w:val="2"/>
                <w:sz w:val="18"/>
              </w:rPr>
              <w:t xml:space="preserve"> </w:t>
            </w:r>
            <w:r>
              <w:rPr>
                <w:sz w:val="18"/>
              </w:rPr>
              <w:t>Líquido</w:t>
            </w:r>
            <w:r>
              <w:rPr>
                <w:spacing w:val="5"/>
                <w:sz w:val="18"/>
              </w:rPr>
              <w:t xml:space="preserve"> </w:t>
            </w:r>
            <w:r>
              <w:rPr>
                <w:sz w:val="18"/>
              </w:rPr>
              <w:t>-</w:t>
            </w:r>
            <w:r>
              <w:rPr>
                <w:spacing w:val="3"/>
                <w:sz w:val="18"/>
              </w:rPr>
              <w:t xml:space="preserve"> </w:t>
            </w:r>
            <w:r>
              <w:rPr>
                <w:spacing w:val="-2"/>
                <w:sz w:val="18"/>
              </w:rPr>
              <w:t>Capitalização</w:t>
            </w:r>
          </w:p>
        </w:tc>
        <w:tc>
          <w:tcPr>
            <w:tcW w:w="2458" w:type="dxa"/>
          </w:tcPr>
          <w:p w14:paraId="56BCBF4C" w14:textId="77777777" w:rsidR="002C6574" w:rsidRDefault="00000000">
            <w:pPr>
              <w:pStyle w:val="TableParagraph"/>
              <w:spacing w:line="210" w:lineRule="exact"/>
              <w:ind w:right="56"/>
              <w:rPr>
                <w:sz w:val="18"/>
              </w:rPr>
            </w:pPr>
            <w:r>
              <w:rPr>
                <w:spacing w:val="-2"/>
                <w:w w:val="105"/>
                <w:sz w:val="18"/>
              </w:rPr>
              <w:t>(132.781)</w:t>
            </w:r>
          </w:p>
        </w:tc>
      </w:tr>
      <w:tr w:rsidR="002C6574" w14:paraId="2B46915E" w14:textId="77777777">
        <w:trPr>
          <w:trHeight w:val="230"/>
        </w:trPr>
        <w:tc>
          <w:tcPr>
            <w:tcW w:w="7313" w:type="dxa"/>
          </w:tcPr>
          <w:p w14:paraId="7F0CDA82" w14:textId="77777777" w:rsidR="002C6574" w:rsidRDefault="00000000">
            <w:pPr>
              <w:pStyle w:val="TableParagraph"/>
              <w:spacing w:before="23" w:line="187"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2025</w:t>
            </w:r>
          </w:p>
        </w:tc>
        <w:tc>
          <w:tcPr>
            <w:tcW w:w="2458" w:type="dxa"/>
          </w:tcPr>
          <w:p w14:paraId="2B27A736" w14:textId="77777777" w:rsidR="002C6574" w:rsidRDefault="00000000">
            <w:pPr>
              <w:pStyle w:val="TableParagraph"/>
              <w:spacing w:before="23" w:line="187" w:lineRule="exact"/>
              <w:ind w:right="58"/>
              <w:rPr>
                <w:rFonts w:ascii="Arial"/>
                <w:b/>
                <w:sz w:val="18"/>
              </w:rPr>
            </w:pPr>
            <w:r>
              <w:rPr>
                <w:rFonts w:ascii="Arial"/>
                <w:b/>
                <w:spacing w:val="-2"/>
                <w:sz w:val="18"/>
              </w:rPr>
              <w:t>1.951.045</w:t>
            </w:r>
          </w:p>
        </w:tc>
      </w:tr>
    </w:tbl>
    <w:p w14:paraId="4D439951" w14:textId="77777777" w:rsidR="002C6574" w:rsidRDefault="00000000">
      <w:pPr>
        <w:numPr>
          <w:ilvl w:val="0"/>
          <w:numId w:val="54"/>
        </w:numPr>
        <w:tabs>
          <w:tab w:val="left" w:pos="995"/>
        </w:tabs>
        <w:spacing w:before="292"/>
        <w:ind w:left="995" w:hanging="852"/>
        <w:rPr>
          <w:rFonts w:ascii="Arial" w:hAnsi="Arial"/>
          <w:b/>
        </w:rPr>
      </w:pPr>
      <w:r>
        <w:rPr>
          <w:rFonts w:ascii="Arial" w:hAnsi="Arial"/>
          <w:b/>
        </w:rPr>
        <w:t>EMPRÉSTIMOS</w:t>
      </w:r>
      <w:r>
        <w:rPr>
          <w:rFonts w:ascii="Arial" w:hAnsi="Arial"/>
          <w:b/>
          <w:spacing w:val="-10"/>
        </w:rPr>
        <w:t xml:space="preserve"> </w:t>
      </w:r>
      <w:r>
        <w:rPr>
          <w:rFonts w:ascii="Arial" w:hAnsi="Arial"/>
          <w:b/>
        </w:rPr>
        <w:t>E</w:t>
      </w:r>
      <w:r>
        <w:rPr>
          <w:rFonts w:ascii="Arial" w:hAnsi="Arial"/>
          <w:b/>
          <w:spacing w:val="-3"/>
        </w:rPr>
        <w:t xml:space="preserve"> </w:t>
      </w:r>
      <w:r>
        <w:rPr>
          <w:rFonts w:ascii="Arial" w:hAnsi="Arial"/>
          <w:b/>
        </w:rPr>
        <w:t>FINANCIAMENTOS</w:t>
      </w:r>
      <w:r>
        <w:rPr>
          <w:rFonts w:ascii="Arial" w:hAnsi="Arial"/>
          <w:b/>
          <w:spacing w:val="-8"/>
        </w:rPr>
        <w:t xml:space="preserve"> </w:t>
      </w:r>
      <w:r>
        <w:rPr>
          <w:rFonts w:ascii="Arial" w:hAnsi="Arial"/>
          <w:b/>
        </w:rPr>
        <w:t>E</w:t>
      </w:r>
      <w:r>
        <w:rPr>
          <w:rFonts w:ascii="Arial" w:hAnsi="Arial"/>
          <w:b/>
          <w:spacing w:val="-7"/>
        </w:rPr>
        <w:t xml:space="preserve"> </w:t>
      </w:r>
      <w:r>
        <w:rPr>
          <w:rFonts w:ascii="Arial" w:hAnsi="Arial"/>
          <w:b/>
        </w:rPr>
        <w:t>ARRENDAMENTO</w:t>
      </w:r>
      <w:r>
        <w:rPr>
          <w:rFonts w:ascii="Arial" w:hAnsi="Arial"/>
          <w:b/>
          <w:spacing w:val="-9"/>
        </w:rPr>
        <w:t xml:space="preserve"> </w:t>
      </w:r>
      <w:r>
        <w:rPr>
          <w:rFonts w:ascii="Arial" w:hAnsi="Arial"/>
          <w:b/>
        </w:rPr>
        <w:t>MERCANTIL</w:t>
      </w:r>
      <w:r>
        <w:rPr>
          <w:rFonts w:ascii="Arial" w:hAnsi="Arial"/>
          <w:b/>
          <w:spacing w:val="-5"/>
        </w:rPr>
        <w:t xml:space="preserve"> </w:t>
      </w:r>
      <w:r>
        <w:rPr>
          <w:rFonts w:ascii="Arial" w:hAnsi="Arial"/>
          <w:b/>
          <w:spacing w:val="-2"/>
        </w:rPr>
        <w:t>FINANCEIRO</w:t>
      </w:r>
    </w:p>
    <w:p w14:paraId="355D8DEC" w14:textId="77777777" w:rsidR="002C6574" w:rsidRDefault="00000000">
      <w:pPr>
        <w:numPr>
          <w:ilvl w:val="1"/>
          <w:numId w:val="32"/>
        </w:numPr>
        <w:tabs>
          <w:tab w:val="left" w:pos="995"/>
        </w:tabs>
        <w:spacing w:before="184"/>
        <w:rPr>
          <w:rFonts w:ascii="Arial" w:hAnsi="Arial"/>
          <w:b/>
        </w:rPr>
      </w:pPr>
      <w:r>
        <w:rPr>
          <w:rFonts w:ascii="Arial" w:hAnsi="Arial"/>
          <w:b/>
        </w:rPr>
        <w:t>Empréstimos</w:t>
      </w:r>
      <w:r>
        <w:rPr>
          <w:rFonts w:ascii="Arial" w:hAnsi="Arial"/>
          <w:b/>
          <w:spacing w:val="-3"/>
        </w:rPr>
        <w:t xml:space="preserve"> </w:t>
      </w:r>
      <w:r>
        <w:rPr>
          <w:rFonts w:ascii="Arial" w:hAnsi="Arial"/>
          <w:b/>
        </w:rPr>
        <w:t>e</w:t>
      </w:r>
      <w:r>
        <w:rPr>
          <w:rFonts w:ascii="Arial" w:hAnsi="Arial"/>
          <w:b/>
          <w:spacing w:val="-4"/>
        </w:rPr>
        <w:t xml:space="preserve"> </w:t>
      </w:r>
      <w:r>
        <w:rPr>
          <w:rFonts w:ascii="Arial" w:hAnsi="Arial"/>
          <w:b/>
        </w:rPr>
        <w:t>financiamentos</w:t>
      </w:r>
      <w:r>
        <w:rPr>
          <w:rFonts w:ascii="Arial" w:hAnsi="Arial"/>
          <w:b/>
          <w:spacing w:val="-6"/>
        </w:rPr>
        <w:t xml:space="preserve"> </w:t>
      </w:r>
      <w:r>
        <w:rPr>
          <w:rFonts w:ascii="Arial" w:hAnsi="Arial"/>
          <w:b/>
        </w:rPr>
        <w:t>–</w:t>
      </w:r>
      <w:r>
        <w:rPr>
          <w:rFonts w:ascii="Arial" w:hAnsi="Arial"/>
          <w:b/>
          <w:spacing w:val="-1"/>
        </w:rPr>
        <w:t xml:space="preserve"> </w:t>
      </w:r>
      <w:r>
        <w:rPr>
          <w:rFonts w:ascii="Arial" w:hAnsi="Arial"/>
          <w:b/>
          <w:spacing w:val="-4"/>
        </w:rPr>
        <w:t>FINEP</w:t>
      </w:r>
    </w:p>
    <w:p w14:paraId="611A53E0" w14:textId="77777777" w:rsidR="002C6574" w:rsidRDefault="002C6574">
      <w:pPr>
        <w:pStyle w:val="Corpodetexto"/>
        <w:spacing w:before="26"/>
        <w:rPr>
          <w:rFonts w:ascii="Arial"/>
          <w:b/>
        </w:rPr>
      </w:pPr>
    </w:p>
    <w:p w14:paraId="4A109A9B" w14:textId="77777777" w:rsidR="002C6574" w:rsidRDefault="00000000">
      <w:pPr>
        <w:pStyle w:val="Corpodetexto"/>
        <w:spacing w:before="1" w:line="206" w:lineRule="auto"/>
        <w:ind w:left="143" w:right="820"/>
        <w:jc w:val="both"/>
      </w:pPr>
      <w:r>
        <w:t>No</w:t>
      </w:r>
      <w:r>
        <w:rPr>
          <w:spacing w:val="-4"/>
        </w:rPr>
        <w:t xml:space="preserve"> </w:t>
      </w:r>
      <w:r>
        <w:t>primeiro</w:t>
      </w:r>
      <w:r>
        <w:rPr>
          <w:spacing w:val="-6"/>
        </w:rPr>
        <w:t xml:space="preserve"> </w:t>
      </w:r>
      <w:r>
        <w:t>trimestre</w:t>
      </w:r>
      <w:r>
        <w:rPr>
          <w:spacing w:val="-3"/>
        </w:rPr>
        <w:t xml:space="preserve"> </w:t>
      </w:r>
      <w:r>
        <w:t>de</w:t>
      </w:r>
      <w:r>
        <w:rPr>
          <w:spacing w:val="-4"/>
        </w:rPr>
        <w:t xml:space="preserve"> </w:t>
      </w:r>
      <w:r>
        <w:t>2025, a</w:t>
      </w:r>
      <w:r>
        <w:rPr>
          <w:spacing w:val="-6"/>
        </w:rPr>
        <w:t xml:space="preserve"> </w:t>
      </w:r>
      <w:r>
        <w:t>Companhia</w:t>
      </w:r>
      <w:r>
        <w:rPr>
          <w:spacing w:val="-5"/>
        </w:rPr>
        <w:t xml:space="preserve"> </w:t>
      </w:r>
      <w:r>
        <w:t>realizou</w:t>
      </w:r>
      <w:r>
        <w:rPr>
          <w:spacing w:val="-2"/>
        </w:rPr>
        <w:t xml:space="preserve"> </w:t>
      </w:r>
      <w:r>
        <w:t>a quitação</w:t>
      </w:r>
      <w:r>
        <w:rPr>
          <w:spacing w:val="-2"/>
        </w:rPr>
        <w:t xml:space="preserve"> </w:t>
      </w:r>
      <w:r>
        <w:t>antecipada</w:t>
      </w:r>
      <w:r>
        <w:rPr>
          <w:spacing w:val="-4"/>
        </w:rPr>
        <w:t xml:space="preserve"> </w:t>
      </w:r>
      <w:r>
        <w:t>do</w:t>
      </w:r>
      <w:r>
        <w:rPr>
          <w:spacing w:val="-4"/>
        </w:rPr>
        <w:t xml:space="preserve"> </w:t>
      </w:r>
      <w:r>
        <w:t>financiamento</w:t>
      </w:r>
      <w:r>
        <w:rPr>
          <w:spacing w:val="-8"/>
        </w:rPr>
        <w:t xml:space="preserve"> </w:t>
      </w:r>
      <w:r>
        <w:t>junto à Finep.</w:t>
      </w:r>
    </w:p>
    <w:p w14:paraId="7A080B2A" w14:textId="77777777" w:rsidR="002C6574" w:rsidRDefault="00000000">
      <w:pPr>
        <w:pStyle w:val="Corpodetexto"/>
        <w:spacing w:before="262" w:line="237" w:lineRule="auto"/>
        <w:ind w:left="143" w:right="703"/>
        <w:jc w:val="both"/>
      </w:pPr>
      <w:r>
        <w:t>A movimentação dos empréstimos e financiamentos, líquido dos custos, no exercício de 2025 é apresentada a seguir:</w:t>
      </w:r>
    </w:p>
    <w:p w14:paraId="21A148D0" w14:textId="77777777" w:rsidR="002C6574" w:rsidRDefault="002C6574">
      <w:pPr>
        <w:pStyle w:val="Corpodetexto"/>
        <w:spacing w:before="2"/>
        <w:rPr>
          <w:sz w:val="16"/>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74"/>
        <w:gridCol w:w="2297"/>
      </w:tblGrid>
      <w:tr w:rsidR="002C6574" w14:paraId="0D796557" w14:textId="77777777">
        <w:trPr>
          <w:trHeight w:val="239"/>
        </w:trPr>
        <w:tc>
          <w:tcPr>
            <w:tcW w:w="7474" w:type="dxa"/>
          </w:tcPr>
          <w:p w14:paraId="43732576" w14:textId="77777777" w:rsidR="002C6574" w:rsidRDefault="00000000">
            <w:pPr>
              <w:pStyle w:val="TableParagraph"/>
              <w:spacing w:before="15" w:line="204"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2024</w:t>
            </w:r>
          </w:p>
        </w:tc>
        <w:tc>
          <w:tcPr>
            <w:tcW w:w="2297" w:type="dxa"/>
          </w:tcPr>
          <w:p w14:paraId="3370E7CD" w14:textId="77777777" w:rsidR="002C6574" w:rsidRDefault="00000000">
            <w:pPr>
              <w:pStyle w:val="TableParagraph"/>
              <w:spacing w:before="15" w:line="204" w:lineRule="exact"/>
              <w:ind w:right="56"/>
              <w:rPr>
                <w:rFonts w:ascii="Arial"/>
                <w:b/>
                <w:sz w:val="18"/>
              </w:rPr>
            </w:pPr>
            <w:r>
              <w:rPr>
                <w:rFonts w:ascii="Arial"/>
                <w:b/>
                <w:spacing w:val="-2"/>
                <w:sz w:val="18"/>
              </w:rPr>
              <w:t>46.210</w:t>
            </w:r>
          </w:p>
        </w:tc>
      </w:tr>
      <w:tr w:rsidR="002C6574" w14:paraId="6CFEED46" w14:textId="77777777">
        <w:trPr>
          <w:trHeight w:val="237"/>
        </w:trPr>
        <w:tc>
          <w:tcPr>
            <w:tcW w:w="7474" w:type="dxa"/>
          </w:tcPr>
          <w:p w14:paraId="0531611F" w14:textId="77777777" w:rsidR="002C6574" w:rsidRDefault="00000000">
            <w:pPr>
              <w:pStyle w:val="TableParagraph"/>
              <w:spacing w:line="217" w:lineRule="exact"/>
              <w:ind w:left="69"/>
              <w:jc w:val="left"/>
              <w:rPr>
                <w:sz w:val="18"/>
              </w:rPr>
            </w:pPr>
            <w:r>
              <w:rPr>
                <w:w w:val="105"/>
                <w:sz w:val="18"/>
              </w:rPr>
              <w:t>Reversão</w:t>
            </w:r>
            <w:r>
              <w:rPr>
                <w:spacing w:val="-2"/>
                <w:w w:val="105"/>
                <w:sz w:val="18"/>
              </w:rPr>
              <w:t xml:space="preserve"> </w:t>
            </w:r>
            <w:r>
              <w:rPr>
                <w:w w:val="105"/>
                <w:sz w:val="18"/>
              </w:rPr>
              <w:t>de</w:t>
            </w:r>
            <w:r>
              <w:rPr>
                <w:spacing w:val="-1"/>
                <w:w w:val="105"/>
                <w:sz w:val="18"/>
              </w:rPr>
              <w:t xml:space="preserve"> </w:t>
            </w:r>
            <w:r>
              <w:rPr>
                <w:spacing w:val="-4"/>
                <w:w w:val="105"/>
                <w:sz w:val="18"/>
              </w:rPr>
              <w:t>Juros</w:t>
            </w:r>
          </w:p>
        </w:tc>
        <w:tc>
          <w:tcPr>
            <w:tcW w:w="2297" w:type="dxa"/>
          </w:tcPr>
          <w:p w14:paraId="5267A3AC" w14:textId="77777777" w:rsidR="002C6574" w:rsidRDefault="00000000">
            <w:pPr>
              <w:pStyle w:val="TableParagraph"/>
              <w:spacing w:line="217" w:lineRule="exact"/>
              <w:ind w:right="55"/>
              <w:rPr>
                <w:sz w:val="18"/>
              </w:rPr>
            </w:pPr>
            <w:r>
              <w:rPr>
                <w:spacing w:val="-2"/>
                <w:w w:val="105"/>
                <w:sz w:val="18"/>
              </w:rPr>
              <w:t>(209)</w:t>
            </w:r>
          </w:p>
        </w:tc>
      </w:tr>
      <w:tr w:rsidR="002C6574" w14:paraId="3323F381" w14:textId="77777777">
        <w:trPr>
          <w:trHeight w:val="237"/>
        </w:trPr>
        <w:tc>
          <w:tcPr>
            <w:tcW w:w="7474" w:type="dxa"/>
          </w:tcPr>
          <w:p w14:paraId="0AE196EF" w14:textId="77777777" w:rsidR="002C6574" w:rsidRDefault="00000000">
            <w:pPr>
              <w:pStyle w:val="TableParagraph"/>
              <w:spacing w:line="217" w:lineRule="exact"/>
              <w:ind w:left="69"/>
              <w:jc w:val="left"/>
              <w:rPr>
                <w:sz w:val="18"/>
              </w:rPr>
            </w:pPr>
            <w:r>
              <w:rPr>
                <w:w w:val="105"/>
                <w:sz w:val="18"/>
              </w:rPr>
              <w:t>Juros</w:t>
            </w:r>
            <w:r>
              <w:rPr>
                <w:w w:val="110"/>
                <w:sz w:val="18"/>
              </w:rPr>
              <w:t xml:space="preserve"> </w:t>
            </w:r>
            <w:r>
              <w:rPr>
                <w:spacing w:val="-4"/>
                <w:w w:val="110"/>
                <w:sz w:val="18"/>
              </w:rPr>
              <w:t>Pagos</w:t>
            </w:r>
          </w:p>
        </w:tc>
        <w:tc>
          <w:tcPr>
            <w:tcW w:w="2297" w:type="dxa"/>
          </w:tcPr>
          <w:p w14:paraId="0B681616" w14:textId="77777777" w:rsidR="002C6574" w:rsidRDefault="00000000">
            <w:pPr>
              <w:pStyle w:val="TableParagraph"/>
              <w:spacing w:line="217" w:lineRule="exact"/>
              <w:ind w:right="55"/>
              <w:rPr>
                <w:sz w:val="18"/>
              </w:rPr>
            </w:pPr>
            <w:r>
              <w:rPr>
                <w:spacing w:val="-2"/>
                <w:w w:val="105"/>
                <w:sz w:val="18"/>
              </w:rPr>
              <w:t>(223)</w:t>
            </w:r>
          </w:p>
        </w:tc>
      </w:tr>
      <w:tr w:rsidR="002C6574" w14:paraId="472943FA" w14:textId="77777777">
        <w:trPr>
          <w:trHeight w:val="239"/>
        </w:trPr>
        <w:tc>
          <w:tcPr>
            <w:tcW w:w="7474" w:type="dxa"/>
          </w:tcPr>
          <w:p w14:paraId="05416778" w14:textId="77777777" w:rsidR="002C6574" w:rsidRDefault="00000000">
            <w:pPr>
              <w:pStyle w:val="TableParagraph"/>
              <w:spacing w:line="220" w:lineRule="exact"/>
              <w:ind w:left="69"/>
              <w:jc w:val="left"/>
              <w:rPr>
                <w:sz w:val="18"/>
              </w:rPr>
            </w:pPr>
            <w:r>
              <w:rPr>
                <w:sz w:val="18"/>
              </w:rPr>
              <w:t>Amortização</w:t>
            </w:r>
            <w:r>
              <w:rPr>
                <w:spacing w:val="-4"/>
                <w:sz w:val="18"/>
              </w:rPr>
              <w:t xml:space="preserve"> </w:t>
            </w:r>
            <w:r>
              <w:rPr>
                <w:sz w:val="18"/>
              </w:rPr>
              <w:t xml:space="preserve">de </w:t>
            </w:r>
            <w:r>
              <w:rPr>
                <w:spacing w:val="-2"/>
                <w:sz w:val="18"/>
              </w:rPr>
              <w:t>Principal</w:t>
            </w:r>
          </w:p>
        </w:tc>
        <w:tc>
          <w:tcPr>
            <w:tcW w:w="2297" w:type="dxa"/>
          </w:tcPr>
          <w:p w14:paraId="392B24A3" w14:textId="77777777" w:rsidR="002C6574" w:rsidRDefault="00000000">
            <w:pPr>
              <w:pStyle w:val="TableParagraph"/>
              <w:spacing w:line="220" w:lineRule="exact"/>
              <w:ind w:right="56"/>
              <w:rPr>
                <w:sz w:val="18"/>
              </w:rPr>
            </w:pPr>
            <w:r>
              <w:rPr>
                <w:spacing w:val="-2"/>
                <w:w w:val="110"/>
                <w:sz w:val="18"/>
              </w:rPr>
              <w:t>(45.778)</w:t>
            </w:r>
          </w:p>
        </w:tc>
      </w:tr>
      <w:tr w:rsidR="002C6574" w14:paraId="45D8746C" w14:textId="77777777">
        <w:trPr>
          <w:trHeight w:val="237"/>
        </w:trPr>
        <w:tc>
          <w:tcPr>
            <w:tcW w:w="7474" w:type="dxa"/>
          </w:tcPr>
          <w:p w14:paraId="1521A198" w14:textId="77777777" w:rsidR="002C6574" w:rsidRDefault="00000000">
            <w:pPr>
              <w:pStyle w:val="TableParagraph"/>
              <w:spacing w:before="13" w:line="204"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2025</w:t>
            </w:r>
          </w:p>
        </w:tc>
        <w:tc>
          <w:tcPr>
            <w:tcW w:w="2297" w:type="dxa"/>
          </w:tcPr>
          <w:p w14:paraId="4640FA8B" w14:textId="77777777" w:rsidR="002C6574" w:rsidRDefault="00000000">
            <w:pPr>
              <w:pStyle w:val="TableParagraph"/>
              <w:spacing w:before="13" w:line="204" w:lineRule="exact"/>
              <w:ind w:right="57"/>
              <w:rPr>
                <w:rFonts w:ascii="Arial"/>
                <w:b/>
                <w:sz w:val="18"/>
              </w:rPr>
            </w:pPr>
            <w:r>
              <w:rPr>
                <w:rFonts w:ascii="Arial"/>
                <w:b/>
                <w:spacing w:val="-10"/>
                <w:sz w:val="18"/>
              </w:rPr>
              <w:t>-</w:t>
            </w:r>
          </w:p>
        </w:tc>
      </w:tr>
    </w:tbl>
    <w:p w14:paraId="1BF7297B" w14:textId="77777777" w:rsidR="002C6574" w:rsidRDefault="00000000">
      <w:pPr>
        <w:numPr>
          <w:ilvl w:val="1"/>
          <w:numId w:val="32"/>
        </w:numPr>
        <w:tabs>
          <w:tab w:val="left" w:pos="995"/>
        </w:tabs>
        <w:spacing w:before="186"/>
        <w:rPr>
          <w:rFonts w:ascii="Arial"/>
          <w:b/>
        </w:rPr>
      </w:pPr>
      <w:r>
        <w:rPr>
          <w:rFonts w:ascii="Arial"/>
          <w:b/>
        </w:rPr>
        <w:t>Arrendamento</w:t>
      </w:r>
      <w:r>
        <w:rPr>
          <w:rFonts w:ascii="Arial"/>
          <w:b/>
          <w:spacing w:val="-7"/>
        </w:rPr>
        <w:t xml:space="preserve"> </w:t>
      </w:r>
      <w:r>
        <w:rPr>
          <w:rFonts w:ascii="Arial"/>
          <w:b/>
        </w:rPr>
        <w:t>mercantil</w:t>
      </w:r>
      <w:r>
        <w:rPr>
          <w:rFonts w:ascii="Arial"/>
          <w:b/>
          <w:spacing w:val="-5"/>
        </w:rPr>
        <w:t xml:space="preserve"> </w:t>
      </w:r>
      <w:r>
        <w:rPr>
          <w:rFonts w:ascii="Arial"/>
          <w:b/>
          <w:spacing w:val="-2"/>
        </w:rPr>
        <w:t>financeiro</w:t>
      </w:r>
    </w:p>
    <w:p w14:paraId="73FF09C7" w14:textId="77777777" w:rsidR="002C6574" w:rsidRDefault="00000000">
      <w:pPr>
        <w:pStyle w:val="Corpodetexto"/>
        <w:spacing w:before="249" w:line="237" w:lineRule="auto"/>
        <w:ind w:left="143" w:right="702"/>
        <w:jc w:val="both"/>
      </w:pPr>
      <w:r>
        <w:t>A Telebras mantém contratos de arrendamento mercantil financeiro relativos à locação de imóveis (sede da Companhia), de terrenos onde estão instalados equipamentos utilizados na prestação de serviços (Estações), bem como de equipamentos de informática e de telecomunicações. Os prazos desses contratos variam entre 5 (cinco) e 15 (quinze) anos, com vencimentos compreendidos entre 2021</w:t>
      </w:r>
      <w:r>
        <w:rPr>
          <w:spacing w:val="6"/>
        </w:rPr>
        <w:t xml:space="preserve"> </w:t>
      </w:r>
      <w:r>
        <w:t>e</w:t>
      </w:r>
      <w:r>
        <w:rPr>
          <w:spacing w:val="6"/>
        </w:rPr>
        <w:t xml:space="preserve"> </w:t>
      </w:r>
      <w:r>
        <w:t>2032.</w:t>
      </w:r>
      <w:r>
        <w:rPr>
          <w:spacing w:val="9"/>
        </w:rPr>
        <w:t xml:space="preserve"> </w:t>
      </w:r>
      <w:r>
        <w:t>A</w:t>
      </w:r>
      <w:r>
        <w:rPr>
          <w:spacing w:val="1"/>
        </w:rPr>
        <w:t xml:space="preserve"> </w:t>
      </w:r>
      <w:r>
        <w:t>taxa</w:t>
      </w:r>
      <w:r>
        <w:rPr>
          <w:spacing w:val="6"/>
        </w:rPr>
        <w:t xml:space="preserve"> </w:t>
      </w:r>
      <w:r>
        <w:t>de</w:t>
      </w:r>
      <w:r>
        <w:rPr>
          <w:spacing w:val="5"/>
        </w:rPr>
        <w:t xml:space="preserve"> </w:t>
      </w:r>
      <w:r>
        <w:t>desconto</w:t>
      </w:r>
      <w:r>
        <w:rPr>
          <w:spacing w:val="6"/>
        </w:rPr>
        <w:t xml:space="preserve"> </w:t>
      </w:r>
      <w:r>
        <w:t>aplicada</w:t>
      </w:r>
      <w:r>
        <w:rPr>
          <w:spacing w:val="6"/>
        </w:rPr>
        <w:t xml:space="preserve"> </w:t>
      </w:r>
      <w:r>
        <w:t>para</w:t>
      </w:r>
      <w:r>
        <w:rPr>
          <w:spacing w:val="4"/>
        </w:rPr>
        <w:t xml:space="preserve"> </w:t>
      </w:r>
      <w:r>
        <w:t>mensuração</w:t>
      </w:r>
      <w:r>
        <w:rPr>
          <w:spacing w:val="6"/>
        </w:rPr>
        <w:t xml:space="preserve"> </w:t>
      </w:r>
      <w:r>
        <w:t>dos</w:t>
      </w:r>
      <w:r>
        <w:rPr>
          <w:spacing w:val="6"/>
        </w:rPr>
        <w:t xml:space="preserve"> </w:t>
      </w:r>
      <w:r>
        <w:t>passivos</w:t>
      </w:r>
      <w:r>
        <w:rPr>
          <w:spacing w:val="4"/>
        </w:rPr>
        <w:t xml:space="preserve"> </w:t>
      </w:r>
      <w:r>
        <w:t>de</w:t>
      </w:r>
      <w:r>
        <w:rPr>
          <w:spacing w:val="6"/>
        </w:rPr>
        <w:t xml:space="preserve"> </w:t>
      </w:r>
      <w:r>
        <w:t>arrendamento</w:t>
      </w:r>
      <w:r>
        <w:rPr>
          <w:spacing w:val="6"/>
        </w:rPr>
        <w:t xml:space="preserve"> </w:t>
      </w:r>
      <w:r>
        <w:t>é</w:t>
      </w:r>
      <w:r>
        <w:rPr>
          <w:spacing w:val="4"/>
        </w:rPr>
        <w:t xml:space="preserve"> </w:t>
      </w:r>
      <w:r>
        <w:t>de</w:t>
      </w:r>
      <w:r>
        <w:rPr>
          <w:spacing w:val="5"/>
        </w:rPr>
        <w:t xml:space="preserve"> </w:t>
      </w:r>
      <w:r>
        <w:rPr>
          <w:spacing w:val="-5"/>
        </w:rPr>
        <w:t>6%</w:t>
      </w:r>
    </w:p>
    <w:p w14:paraId="1A271D0B" w14:textId="77777777" w:rsidR="002C6574" w:rsidRDefault="00000000">
      <w:pPr>
        <w:pStyle w:val="Corpodetexto"/>
        <w:spacing w:before="6" w:line="237" w:lineRule="auto"/>
        <w:ind w:left="143" w:right="705"/>
        <w:jc w:val="both"/>
      </w:pPr>
      <w:r>
        <w:t xml:space="preserve">a.a. para contratos de locação de imóveis, terrenos e equipamentos de informática, e de 12,38% a.a. </w:t>
      </w:r>
      <w:r>
        <w:rPr>
          <w:w w:val="105"/>
        </w:rPr>
        <w:t>para</w:t>
      </w:r>
      <w:r>
        <w:rPr>
          <w:spacing w:val="-1"/>
          <w:w w:val="105"/>
        </w:rPr>
        <w:t xml:space="preserve"> </w:t>
      </w:r>
      <w:r>
        <w:rPr>
          <w:w w:val="105"/>
        </w:rPr>
        <w:t>os</w:t>
      </w:r>
      <w:r>
        <w:rPr>
          <w:spacing w:val="-5"/>
          <w:w w:val="105"/>
        </w:rPr>
        <w:t xml:space="preserve"> </w:t>
      </w:r>
      <w:r>
        <w:rPr>
          <w:w w:val="105"/>
        </w:rPr>
        <w:t>equipamentos</w:t>
      </w:r>
      <w:r>
        <w:rPr>
          <w:spacing w:val="-2"/>
          <w:w w:val="105"/>
        </w:rPr>
        <w:t xml:space="preserve"> </w:t>
      </w:r>
      <w:r>
        <w:rPr>
          <w:w w:val="105"/>
        </w:rPr>
        <w:t>de</w:t>
      </w:r>
      <w:r>
        <w:rPr>
          <w:spacing w:val="-1"/>
          <w:w w:val="105"/>
        </w:rPr>
        <w:t xml:space="preserve"> </w:t>
      </w:r>
      <w:r>
        <w:rPr>
          <w:w w:val="105"/>
        </w:rPr>
        <w:t>telecomunicações.</w:t>
      </w:r>
    </w:p>
    <w:p w14:paraId="6991EB50" w14:textId="77777777" w:rsidR="002C6574" w:rsidRDefault="00000000">
      <w:pPr>
        <w:pStyle w:val="Corpodetexto"/>
        <w:spacing w:before="241" w:line="208" w:lineRule="auto"/>
        <w:ind w:left="143" w:right="705"/>
        <w:jc w:val="both"/>
      </w:pPr>
      <w:r>
        <w:t>Os valores do imobilizado registrados na rubrica</w:t>
      </w:r>
      <w:r>
        <w:rPr>
          <w:spacing w:val="-1"/>
        </w:rPr>
        <w:t xml:space="preserve"> </w:t>
      </w:r>
      <w:r>
        <w:t>de Direito de Uso de Ativo, líquido de depreciação, e do passivo correspondentes a esses ativos estão demonstrados a seguir.</w:t>
      </w:r>
    </w:p>
    <w:p w14:paraId="1DFD3E5F" w14:textId="77777777" w:rsidR="002C6574" w:rsidRDefault="00000000">
      <w:pPr>
        <w:numPr>
          <w:ilvl w:val="2"/>
          <w:numId w:val="32"/>
        </w:numPr>
        <w:tabs>
          <w:tab w:val="left" w:pos="990"/>
        </w:tabs>
        <w:spacing w:before="249"/>
        <w:ind w:left="990" w:hanging="847"/>
        <w:rPr>
          <w:rFonts w:ascii="Arial" w:hAnsi="Arial"/>
          <w:b/>
        </w:rPr>
      </w:pPr>
      <w:r>
        <w:rPr>
          <w:rFonts w:ascii="Arial" w:hAnsi="Arial"/>
          <w:b/>
        </w:rPr>
        <w:t>Direito</w:t>
      </w:r>
      <w:r>
        <w:rPr>
          <w:rFonts w:ascii="Arial" w:hAnsi="Arial"/>
          <w:b/>
          <w:spacing w:val="-1"/>
        </w:rPr>
        <w:t xml:space="preserve"> </w:t>
      </w:r>
      <w:r>
        <w:rPr>
          <w:rFonts w:ascii="Arial" w:hAnsi="Arial"/>
          <w:b/>
        </w:rPr>
        <w:t>de</w:t>
      </w:r>
      <w:r>
        <w:rPr>
          <w:rFonts w:ascii="Arial" w:hAnsi="Arial"/>
          <w:b/>
          <w:spacing w:val="-2"/>
        </w:rPr>
        <w:t xml:space="preserve"> </w:t>
      </w:r>
      <w:r>
        <w:rPr>
          <w:rFonts w:ascii="Arial" w:hAnsi="Arial"/>
          <w:b/>
        </w:rPr>
        <w:t>uso</w:t>
      </w:r>
      <w:r>
        <w:rPr>
          <w:rFonts w:ascii="Arial" w:hAnsi="Arial"/>
          <w:b/>
          <w:spacing w:val="-1"/>
        </w:rPr>
        <w:t xml:space="preserve"> </w:t>
      </w:r>
      <w:r>
        <w:rPr>
          <w:rFonts w:ascii="Arial" w:hAnsi="Arial"/>
          <w:b/>
        </w:rPr>
        <w:t>de</w:t>
      </w:r>
      <w:r>
        <w:rPr>
          <w:rFonts w:ascii="Arial" w:hAnsi="Arial"/>
          <w:b/>
          <w:spacing w:val="-3"/>
        </w:rPr>
        <w:t xml:space="preserve"> </w:t>
      </w:r>
      <w:r>
        <w:rPr>
          <w:rFonts w:ascii="Arial" w:hAnsi="Arial"/>
          <w:b/>
        </w:rPr>
        <w:t>ativo</w:t>
      </w:r>
      <w:r>
        <w:rPr>
          <w:rFonts w:ascii="Arial" w:hAnsi="Arial"/>
          <w:b/>
          <w:spacing w:val="-3"/>
        </w:rPr>
        <w:t xml:space="preserve"> </w:t>
      </w:r>
      <w:r>
        <w:rPr>
          <w:rFonts w:ascii="Arial" w:hAnsi="Arial"/>
          <w:b/>
        </w:rPr>
        <w:t>(valor</w:t>
      </w:r>
      <w:r>
        <w:rPr>
          <w:rFonts w:ascii="Arial" w:hAnsi="Arial"/>
          <w:b/>
          <w:spacing w:val="-2"/>
        </w:rPr>
        <w:t xml:space="preserve"> contábil)</w:t>
      </w:r>
    </w:p>
    <w:p w14:paraId="174E81FB" w14:textId="77777777" w:rsidR="002C6574" w:rsidRDefault="002C6574">
      <w:pPr>
        <w:pStyle w:val="Corpodetexto"/>
        <w:spacing w:before="47" w:after="1"/>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1419"/>
        <w:gridCol w:w="1412"/>
      </w:tblGrid>
      <w:tr w:rsidR="002C6574" w14:paraId="53820849" w14:textId="77777777">
        <w:trPr>
          <w:trHeight w:val="258"/>
        </w:trPr>
        <w:tc>
          <w:tcPr>
            <w:tcW w:w="6941" w:type="dxa"/>
            <w:shd w:val="clear" w:color="auto" w:fill="BFBFBF"/>
          </w:tcPr>
          <w:p w14:paraId="39DD27E4" w14:textId="77777777" w:rsidR="002C6574" w:rsidRDefault="00000000">
            <w:pPr>
              <w:pStyle w:val="TableParagraph"/>
              <w:spacing w:before="25"/>
              <w:ind w:left="119"/>
              <w:jc w:val="left"/>
              <w:rPr>
                <w:rFonts w:ascii="Arial"/>
                <w:b/>
                <w:sz w:val="18"/>
              </w:rPr>
            </w:pPr>
            <w:r>
              <w:rPr>
                <w:rFonts w:ascii="Arial"/>
                <w:b/>
                <w:spacing w:val="-2"/>
                <w:sz w:val="18"/>
              </w:rPr>
              <w:t>Bens/Direitos:</w:t>
            </w:r>
          </w:p>
        </w:tc>
        <w:tc>
          <w:tcPr>
            <w:tcW w:w="1419" w:type="dxa"/>
          </w:tcPr>
          <w:p w14:paraId="74502806" w14:textId="77777777" w:rsidR="002C6574" w:rsidRDefault="00000000">
            <w:pPr>
              <w:pStyle w:val="TableParagraph"/>
              <w:spacing w:before="25"/>
              <w:ind w:left="256"/>
              <w:jc w:val="left"/>
              <w:rPr>
                <w:rFonts w:ascii="Arial"/>
                <w:b/>
                <w:sz w:val="18"/>
              </w:rPr>
            </w:pPr>
            <w:r>
              <w:rPr>
                <w:rFonts w:ascii="Arial"/>
                <w:b/>
                <w:spacing w:val="-2"/>
                <w:sz w:val="18"/>
              </w:rPr>
              <w:t>31/12/2025</w:t>
            </w:r>
          </w:p>
        </w:tc>
        <w:tc>
          <w:tcPr>
            <w:tcW w:w="1412" w:type="dxa"/>
          </w:tcPr>
          <w:p w14:paraId="421C51FC" w14:textId="77777777" w:rsidR="002C6574" w:rsidRDefault="00000000">
            <w:pPr>
              <w:pStyle w:val="TableParagraph"/>
              <w:spacing w:before="25"/>
              <w:ind w:left="250"/>
              <w:jc w:val="left"/>
              <w:rPr>
                <w:rFonts w:ascii="Arial"/>
                <w:b/>
                <w:sz w:val="18"/>
              </w:rPr>
            </w:pPr>
            <w:r>
              <w:rPr>
                <w:rFonts w:ascii="Arial"/>
                <w:b/>
                <w:spacing w:val="-2"/>
                <w:sz w:val="18"/>
              </w:rPr>
              <w:t>31/12/2024</w:t>
            </w:r>
          </w:p>
        </w:tc>
      </w:tr>
      <w:tr w:rsidR="002C6574" w14:paraId="2BF51031" w14:textId="77777777">
        <w:trPr>
          <w:trHeight w:val="261"/>
        </w:trPr>
        <w:tc>
          <w:tcPr>
            <w:tcW w:w="6941" w:type="dxa"/>
          </w:tcPr>
          <w:p w14:paraId="3E84CD42" w14:textId="77777777" w:rsidR="002C6574" w:rsidRDefault="00000000">
            <w:pPr>
              <w:pStyle w:val="TableParagraph"/>
              <w:spacing w:before="2" w:line="239" w:lineRule="exact"/>
              <w:ind w:left="69"/>
              <w:jc w:val="left"/>
              <w:rPr>
                <w:sz w:val="18"/>
              </w:rPr>
            </w:pPr>
            <w:r>
              <w:rPr>
                <w:spacing w:val="-2"/>
                <w:sz w:val="18"/>
              </w:rPr>
              <w:t>Imóveis</w:t>
            </w:r>
          </w:p>
        </w:tc>
        <w:tc>
          <w:tcPr>
            <w:tcW w:w="1419" w:type="dxa"/>
          </w:tcPr>
          <w:p w14:paraId="07C336AB" w14:textId="77777777" w:rsidR="002C6574" w:rsidRDefault="00000000">
            <w:pPr>
              <w:pStyle w:val="TableParagraph"/>
              <w:spacing w:before="2" w:line="239" w:lineRule="exact"/>
              <w:ind w:right="59"/>
              <w:rPr>
                <w:sz w:val="18"/>
              </w:rPr>
            </w:pPr>
            <w:r>
              <w:rPr>
                <w:spacing w:val="-2"/>
                <w:w w:val="105"/>
                <w:sz w:val="18"/>
              </w:rPr>
              <w:t>14.179</w:t>
            </w:r>
          </w:p>
        </w:tc>
        <w:tc>
          <w:tcPr>
            <w:tcW w:w="1412" w:type="dxa"/>
          </w:tcPr>
          <w:p w14:paraId="671501DB" w14:textId="77777777" w:rsidR="002C6574" w:rsidRDefault="00000000">
            <w:pPr>
              <w:pStyle w:val="TableParagraph"/>
              <w:spacing w:before="2" w:line="239" w:lineRule="exact"/>
              <w:ind w:right="60"/>
              <w:rPr>
                <w:sz w:val="18"/>
              </w:rPr>
            </w:pPr>
            <w:r>
              <w:rPr>
                <w:spacing w:val="-2"/>
                <w:w w:val="110"/>
                <w:sz w:val="18"/>
              </w:rPr>
              <w:t>3.124</w:t>
            </w:r>
          </w:p>
        </w:tc>
      </w:tr>
      <w:tr w:rsidR="002C6574" w14:paraId="1ADB9238" w14:textId="77777777">
        <w:trPr>
          <w:trHeight w:val="258"/>
        </w:trPr>
        <w:tc>
          <w:tcPr>
            <w:tcW w:w="6941" w:type="dxa"/>
          </w:tcPr>
          <w:p w14:paraId="737AF546" w14:textId="77777777" w:rsidR="002C6574" w:rsidRDefault="00000000">
            <w:pPr>
              <w:pStyle w:val="TableParagraph"/>
              <w:spacing w:line="239" w:lineRule="exact"/>
              <w:ind w:left="69"/>
              <w:jc w:val="left"/>
              <w:rPr>
                <w:sz w:val="18"/>
              </w:rPr>
            </w:pPr>
            <w:r>
              <w:rPr>
                <w:w w:val="105"/>
                <w:sz w:val="18"/>
              </w:rPr>
              <w:t>Terrenos</w:t>
            </w:r>
            <w:r>
              <w:rPr>
                <w:spacing w:val="-12"/>
                <w:w w:val="105"/>
                <w:sz w:val="18"/>
              </w:rPr>
              <w:t xml:space="preserve"> </w:t>
            </w:r>
            <w:r>
              <w:rPr>
                <w:spacing w:val="-2"/>
                <w:w w:val="105"/>
                <w:sz w:val="18"/>
              </w:rPr>
              <w:t>(Estações)</w:t>
            </w:r>
          </w:p>
        </w:tc>
        <w:tc>
          <w:tcPr>
            <w:tcW w:w="1419" w:type="dxa"/>
          </w:tcPr>
          <w:p w14:paraId="4F207797" w14:textId="77777777" w:rsidR="002C6574" w:rsidRDefault="00000000">
            <w:pPr>
              <w:pStyle w:val="TableParagraph"/>
              <w:spacing w:line="239" w:lineRule="exact"/>
              <w:ind w:right="60"/>
              <w:rPr>
                <w:sz w:val="18"/>
              </w:rPr>
            </w:pPr>
            <w:r>
              <w:rPr>
                <w:spacing w:val="-2"/>
                <w:w w:val="110"/>
                <w:sz w:val="18"/>
              </w:rPr>
              <w:t>3.839</w:t>
            </w:r>
          </w:p>
        </w:tc>
        <w:tc>
          <w:tcPr>
            <w:tcW w:w="1412" w:type="dxa"/>
          </w:tcPr>
          <w:p w14:paraId="2B98AAC2" w14:textId="77777777" w:rsidR="002C6574" w:rsidRDefault="00000000">
            <w:pPr>
              <w:pStyle w:val="TableParagraph"/>
              <w:spacing w:line="239" w:lineRule="exact"/>
              <w:ind w:right="60"/>
              <w:rPr>
                <w:sz w:val="18"/>
              </w:rPr>
            </w:pPr>
            <w:r>
              <w:rPr>
                <w:spacing w:val="-2"/>
                <w:w w:val="110"/>
                <w:sz w:val="18"/>
              </w:rPr>
              <w:t>5.187</w:t>
            </w:r>
          </w:p>
        </w:tc>
      </w:tr>
      <w:tr w:rsidR="002C6574" w14:paraId="45DA7A32" w14:textId="77777777">
        <w:trPr>
          <w:trHeight w:val="261"/>
        </w:trPr>
        <w:tc>
          <w:tcPr>
            <w:tcW w:w="6941" w:type="dxa"/>
          </w:tcPr>
          <w:p w14:paraId="74853B98" w14:textId="77777777" w:rsidR="002C6574" w:rsidRDefault="00000000">
            <w:pPr>
              <w:pStyle w:val="TableParagraph"/>
              <w:spacing w:before="2" w:line="239" w:lineRule="exact"/>
              <w:ind w:left="69"/>
              <w:jc w:val="left"/>
              <w:rPr>
                <w:sz w:val="18"/>
              </w:rPr>
            </w:pPr>
            <w:r>
              <w:rPr>
                <w:sz w:val="18"/>
              </w:rPr>
              <w:t>Equipamentos</w:t>
            </w:r>
            <w:r>
              <w:rPr>
                <w:spacing w:val="2"/>
                <w:sz w:val="18"/>
              </w:rPr>
              <w:t xml:space="preserve"> </w:t>
            </w:r>
            <w:r>
              <w:rPr>
                <w:sz w:val="18"/>
              </w:rPr>
              <w:t>de</w:t>
            </w:r>
            <w:r>
              <w:rPr>
                <w:spacing w:val="4"/>
                <w:sz w:val="18"/>
              </w:rPr>
              <w:t xml:space="preserve"> </w:t>
            </w:r>
            <w:r>
              <w:rPr>
                <w:spacing w:val="-2"/>
                <w:sz w:val="18"/>
              </w:rPr>
              <w:t>Telecomunicações</w:t>
            </w:r>
          </w:p>
        </w:tc>
        <w:tc>
          <w:tcPr>
            <w:tcW w:w="1419" w:type="dxa"/>
          </w:tcPr>
          <w:p w14:paraId="364C1A79" w14:textId="77777777" w:rsidR="002C6574" w:rsidRDefault="00000000">
            <w:pPr>
              <w:pStyle w:val="TableParagraph"/>
              <w:spacing w:before="2" w:line="239" w:lineRule="exact"/>
              <w:ind w:right="60"/>
              <w:rPr>
                <w:sz w:val="18"/>
              </w:rPr>
            </w:pPr>
            <w:r>
              <w:rPr>
                <w:spacing w:val="-4"/>
                <w:w w:val="105"/>
                <w:sz w:val="18"/>
              </w:rPr>
              <w:t>1272</w:t>
            </w:r>
          </w:p>
        </w:tc>
        <w:tc>
          <w:tcPr>
            <w:tcW w:w="1412" w:type="dxa"/>
          </w:tcPr>
          <w:p w14:paraId="20A06F4C" w14:textId="77777777" w:rsidR="002C6574" w:rsidRDefault="00000000">
            <w:pPr>
              <w:pStyle w:val="TableParagraph"/>
              <w:spacing w:before="2" w:line="239" w:lineRule="exact"/>
              <w:ind w:right="61"/>
              <w:rPr>
                <w:sz w:val="18"/>
              </w:rPr>
            </w:pPr>
            <w:r>
              <w:rPr>
                <w:spacing w:val="-5"/>
                <w:w w:val="105"/>
                <w:sz w:val="18"/>
              </w:rPr>
              <w:t>413</w:t>
            </w:r>
          </w:p>
        </w:tc>
      </w:tr>
      <w:tr w:rsidR="002C6574" w14:paraId="7728A4FD" w14:textId="77777777">
        <w:trPr>
          <w:trHeight w:val="261"/>
        </w:trPr>
        <w:tc>
          <w:tcPr>
            <w:tcW w:w="6941" w:type="dxa"/>
          </w:tcPr>
          <w:p w14:paraId="698EA3DB" w14:textId="77777777" w:rsidR="002C6574" w:rsidRDefault="00000000">
            <w:pPr>
              <w:pStyle w:val="TableParagraph"/>
              <w:spacing w:before="25"/>
              <w:ind w:left="69"/>
              <w:jc w:val="left"/>
              <w:rPr>
                <w:rFonts w:ascii="Arial"/>
                <w:b/>
                <w:sz w:val="18"/>
              </w:rPr>
            </w:pPr>
            <w:r>
              <w:rPr>
                <w:rFonts w:ascii="Arial"/>
                <w:b/>
                <w:spacing w:val="-2"/>
                <w:sz w:val="18"/>
              </w:rPr>
              <w:t>Total</w:t>
            </w:r>
          </w:p>
        </w:tc>
        <w:tc>
          <w:tcPr>
            <w:tcW w:w="1419" w:type="dxa"/>
          </w:tcPr>
          <w:p w14:paraId="203104A4" w14:textId="77777777" w:rsidR="002C6574" w:rsidRDefault="00000000">
            <w:pPr>
              <w:pStyle w:val="TableParagraph"/>
              <w:spacing w:before="25"/>
              <w:ind w:right="58"/>
              <w:rPr>
                <w:rFonts w:ascii="Arial"/>
                <w:b/>
                <w:sz w:val="18"/>
              </w:rPr>
            </w:pPr>
            <w:r>
              <w:rPr>
                <w:rFonts w:ascii="Arial"/>
                <w:b/>
                <w:spacing w:val="-2"/>
                <w:sz w:val="18"/>
              </w:rPr>
              <w:t>19.290</w:t>
            </w:r>
          </w:p>
        </w:tc>
        <w:tc>
          <w:tcPr>
            <w:tcW w:w="1412" w:type="dxa"/>
          </w:tcPr>
          <w:p w14:paraId="138BD9A1" w14:textId="77777777" w:rsidR="002C6574" w:rsidRDefault="00000000">
            <w:pPr>
              <w:pStyle w:val="TableParagraph"/>
              <w:spacing w:before="25"/>
              <w:ind w:right="60"/>
              <w:rPr>
                <w:rFonts w:ascii="Arial"/>
                <w:b/>
                <w:sz w:val="18"/>
              </w:rPr>
            </w:pPr>
            <w:r>
              <w:rPr>
                <w:rFonts w:ascii="Arial"/>
                <w:b/>
                <w:spacing w:val="-2"/>
                <w:sz w:val="18"/>
              </w:rPr>
              <w:t>8.724</w:t>
            </w:r>
          </w:p>
        </w:tc>
      </w:tr>
    </w:tbl>
    <w:p w14:paraId="6D4E8441" w14:textId="77777777" w:rsidR="002C6574" w:rsidRDefault="00000000">
      <w:pPr>
        <w:pStyle w:val="PargrafodaLista"/>
        <w:numPr>
          <w:ilvl w:val="2"/>
          <w:numId w:val="32"/>
        </w:numPr>
        <w:tabs>
          <w:tab w:val="left" w:pos="990"/>
        </w:tabs>
        <w:spacing w:before="242"/>
        <w:ind w:left="990" w:hanging="847"/>
        <w:rPr>
          <w:rFonts w:ascii="Arial" w:hAnsi="Arial"/>
          <w:b/>
        </w:rPr>
      </w:pPr>
      <w:r>
        <w:rPr>
          <w:rFonts w:ascii="Arial" w:hAnsi="Arial"/>
          <w:b/>
        </w:rPr>
        <w:t>Obrigações</w:t>
      </w:r>
      <w:r>
        <w:rPr>
          <w:rFonts w:ascii="Arial" w:hAnsi="Arial"/>
          <w:b/>
          <w:spacing w:val="-5"/>
        </w:rPr>
        <w:t xml:space="preserve"> </w:t>
      </w:r>
      <w:r>
        <w:rPr>
          <w:rFonts w:ascii="Arial" w:hAnsi="Arial"/>
          <w:b/>
        </w:rPr>
        <w:t>com</w:t>
      </w:r>
      <w:r>
        <w:rPr>
          <w:rFonts w:ascii="Arial" w:hAnsi="Arial"/>
          <w:b/>
          <w:spacing w:val="-3"/>
        </w:rPr>
        <w:t xml:space="preserve"> </w:t>
      </w:r>
      <w:r>
        <w:rPr>
          <w:rFonts w:ascii="Arial" w:hAnsi="Arial"/>
          <w:b/>
        </w:rPr>
        <w:t>arredamento</w:t>
      </w:r>
      <w:r>
        <w:rPr>
          <w:rFonts w:ascii="Arial" w:hAnsi="Arial"/>
          <w:b/>
          <w:spacing w:val="-7"/>
        </w:rPr>
        <w:t xml:space="preserve"> </w:t>
      </w:r>
      <w:r>
        <w:rPr>
          <w:rFonts w:ascii="Arial" w:hAnsi="Arial"/>
          <w:b/>
        </w:rPr>
        <w:t>mercantil</w:t>
      </w:r>
      <w:r>
        <w:rPr>
          <w:rFonts w:ascii="Arial" w:hAnsi="Arial"/>
          <w:b/>
          <w:spacing w:val="-5"/>
        </w:rPr>
        <w:t xml:space="preserve"> </w:t>
      </w:r>
      <w:r>
        <w:rPr>
          <w:rFonts w:ascii="Arial" w:hAnsi="Arial"/>
          <w:b/>
        </w:rPr>
        <w:t>financeiro</w:t>
      </w:r>
      <w:r>
        <w:rPr>
          <w:rFonts w:ascii="Arial" w:hAnsi="Arial"/>
          <w:b/>
          <w:spacing w:val="-6"/>
        </w:rPr>
        <w:t xml:space="preserve"> </w:t>
      </w:r>
      <w:r>
        <w:rPr>
          <w:rFonts w:ascii="Arial" w:hAnsi="Arial"/>
          <w:b/>
        </w:rPr>
        <w:t>(Direito</w:t>
      </w:r>
      <w:r>
        <w:rPr>
          <w:rFonts w:ascii="Arial" w:hAnsi="Arial"/>
          <w:b/>
          <w:spacing w:val="-5"/>
        </w:rPr>
        <w:t xml:space="preserve"> </w:t>
      </w:r>
      <w:r>
        <w:rPr>
          <w:rFonts w:ascii="Arial" w:hAnsi="Arial"/>
          <w:b/>
        </w:rPr>
        <w:t>de</w:t>
      </w:r>
      <w:r>
        <w:rPr>
          <w:rFonts w:ascii="Arial" w:hAnsi="Arial"/>
          <w:b/>
          <w:spacing w:val="-5"/>
        </w:rPr>
        <w:t xml:space="preserve"> </w:t>
      </w:r>
      <w:r>
        <w:rPr>
          <w:rFonts w:ascii="Arial" w:hAnsi="Arial"/>
          <w:b/>
          <w:spacing w:val="-4"/>
        </w:rPr>
        <w:t>uso)</w:t>
      </w:r>
    </w:p>
    <w:p w14:paraId="7834A5AD" w14:textId="77777777" w:rsidR="002C6574" w:rsidRDefault="002C6574">
      <w:pPr>
        <w:pStyle w:val="Corpodetexto"/>
        <w:spacing w:before="8" w:after="1"/>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1419"/>
        <w:gridCol w:w="1412"/>
      </w:tblGrid>
      <w:tr w:rsidR="002C6574" w14:paraId="714F01A4" w14:textId="77777777">
        <w:trPr>
          <w:trHeight w:val="237"/>
        </w:trPr>
        <w:tc>
          <w:tcPr>
            <w:tcW w:w="6941" w:type="dxa"/>
            <w:shd w:val="clear" w:color="auto" w:fill="BFBFBF"/>
          </w:tcPr>
          <w:p w14:paraId="16C4C5A0" w14:textId="77777777" w:rsidR="002C6574" w:rsidRDefault="00000000">
            <w:pPr>
              <w:pStyle w:val="TableParagraph"/>
              <w:spacing w:before="15" w:line="201" w:lineRule="exact"/>
              <w:ind w:left="69"/>
              <w:jc w:val="left"/>
              <w:rPr>
                <w:rFonts w:ascii="Arial"/>
                <w:b/>
                <w:sz w:val="18"/>
              </w:rPr>
            </w:pPr>
            <w:r>
              <w:rPr>
                <w:rFonts w:ascii="Arial"/>
                <w:b/>
                <w:spacing w:val="-2"/>
                <w:sz w:val="18"/>
              </w:rPr>
              <w:t>Bens/Direitos:</w:t>
            </w:r>
          </w:p>
        </w:tc>
        <w:tc>
          <w:tcPr>
            <w:tcW w:w="1419" w:type="dxa"/>
          </w:tcPr>
          <w:p w14:paraId="15DE54A2" w14:textId="77777777" w:rsidR="002C6574" w:rsidRDefault="00000000">
            <w:pPr>
              <w:pStyle w:val="TableParagraph"/>
              <w:spacing w:before="15" w:line="201" w:lineRule="exact"/>
              <w:ind w:left="255"/>
              <w:jc w:val="left"/>
              <w:rPr>
                <w:rFonts w:ascii="Arial"/>
                <w:b/>
                <w:sz w:val="18"/>
              </w:rPr>
            </w:pPr>
            <w:r>
              <w:rPr>
                <w:rFonts w:ascii="Arial"/>
                <w:b/>
                <w:spacing w:val="-2"/>
                <w:sz w:val="18"/>
              </w:rPr>
              <w:t>31/12/2025</w:t>
            </w:r>
          </w:p>
        </w:tc>
        <w:tc>
          <w:tcPr>
            <w:tcW w:w="1412" w:type="dxa"/>
          </w:tcPr>
          <w:p w14:paraId="0D618599" w14:textId="77777777" w:rsidR="002C6574" w:rsidRDefault="00000000">
            <w:pPr>
              <w:pStyle w:val="TableParagraph"/>
              <w:spacing w:before="15" w:line="201" w:lineRule="exact"/>
              <w:ind w:left="250"/>
              <w:jc w:val="left"/>
              <w:rPr>
                <w:rFonts w:ascii="Arial"/>
                <w:b/>
                <w:sz w:val="18"/>
              </w:rPr>
            </w:pPr>
            <w:r>
              <w:rPr>
                <w:rFonts w:ascii="Arial"/>
                <w:b/>
                <w:spacing w:val="-2"/>
                <w:sz w:val="18"/>
              </w:rPr>
              <w:t>31/12/2024</w:t>
            </w:r>
          </w:p>
        </w:tc>
      </w:tr>
      <w:tr w:rsidR="002C6574" w14:paraId="55CAA659" w14:textId="77777777">
        <w:trPr>
          <w:trHeight w:val="239"/>
        </w:trPr>
        <w:tc>
          <w:tcPr>
            <w:tcW w:w="6941" w:type="dxa"/>
          </w:tcPr>
          <w:p w14:paraId="7EFEE038" w14:textId="77777777" w:rsidR="002C6574" w:rsidRDefault="00000000">
            <w:pPr>
              <w:pStyle w:val="TableParagraph"/>
              <w:spacing w:line="220" w:lineRule="exact"/>
              <w:ind w:left="69"/>
              <w:jc w:val="left"/>
              <w:rPr>
                <w:sz w:val="18"/>
              </w:rPr>
            </w:pPr>
            <w:r>
              <w:rPr>
                <w:w w:val="105"/>
                <w:sz w:val="18"/>
              </w:rPr>
              <w:t>Terrenos</w:t>
            </w:r>
            <w:r>
              <w:rPr>
                <w:spacing w:val="-12"/>
                <w:w w:val="105"/>
                <w:sz w:val="18"/>
              </w:rPr>
              <w:t xml:space="preserve"> </w:t>
            </w:r>
            <w:r>
              <w:rPr>
                <w:spacing w:val="-2"/>
                <w:w w:val="105"/>
                <w:sz w:val="18"/>
              </w:rPr>
              <w:t>(Estações)</w:t>
            </w:r>
          </w:p>
        </w:tc>
        <w:tc>
          <w:tcPr>
            <w:tcW w:w="1419" w:type="dxa"/>
          </w:tcPr>
          <w:p w14:paraId="12ECB710" w14:textId="77777777" w:rsidR="002C6574" w:rsidRDefault="00000000">
            <w:pPr>
              <w:pStyle w:val="TableParagraph"/>
              <w:spacing w:line="220" w:lineRule="exact"/>
              <w:ind w:left="796"/>
              <w:jc w:val="left"/>
              <w:rPr>
                <w:sz w:val="18"/>
              </w:rPr>
            </w:pPr>
            <w:r>
              <w:rPr>
                <w:spacing w:val="-2"/>
                <w:w w:val="105"/>
                <w:sz w:val="18"/>
              </w:rPr>
              <w:t>14.015</w:t>
            </w:r>
          </w:p>
        </w:tc>
        <w:tc>
          <w:tcPr>
            <w:tcW w:w="1412" w:type="dxa"/>
          </w:tcPr>
          <w:p w14:paraId="1E3797E3" w14:textId="77777777" w:rsidR="002C6574" w:rsidRDefault="00000000">
            <w:pPr>
              <w:pStyle w:val="TableParagraph"/>
              <w:spacing w:line="220" w:lineRule="exact"/>
              <w:ind w:left="886"/>
              <w:jc w:val="left"/>
              <w:rPr>
                <w:sz w:val="18"/>
              </w:rPr>
            </w:pPr>
            <w:r>
              <w:rPr>
                <w:spacing w:val="-2"/>
                <w:w w:val="110"/>
                <w:sz w:val="18"/>
              </w:rPr>
              <w:t>3.435</w:t>
            </w:r>
          </w:p>
        </w:tc>
      </w:tr>
    </w:tbl>
    <w:p w14:paraId="5A5C77BA" w14:textId="77777777" w:rsidR="002C6574" w:rsidRDefault="002C6574">
      <w:pPr>
        <w:pStyle w:val="TableParagraph"/>
        <w:spacing w:line="220" w:lineRule="exact"/>
        <w:jc w:val="left"/>
        <w:rPr>
          <w:sz w:val="18"/>
        </w:rPr>
        <w:sectPr w:rsidR="002C6574">
          <w:pgSz w:w="11910" w:h="16840"/>
          <w:pgMar w:top="1600" w:right="141" w:bottom="1320" w:left="1133" w:header="856" w:footer="1125" w:gutter="0"/>
          <w:cols w:space="720"/>
        </w:sectPr>
      </w:pPr>
    </w:p>
    <w:p w14:paraId="2869FAC8" w14:textId="77777777" w:rsidR="002C6574" w:rsidRDefault="002C6574">
      <w:pPr>
        <w:pStyle w:val="Corpodetexto"/>
        <w:spacing w:before="10"/>
        <w:rPr>
          <w:rFonts w:ascii="Arial"/>
          <w:b/>
          <w:sz w:val="19"/>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1"/>
        <w:gridCol w:w="1419"/>
        <w:gridCol w:w="1412"/>
      </w:tblGrid>
      <w:tr w:rsidR="002C6574" w14:paraId="0D3299CA" w14:textId="77777777">
        <w:trPr>
          <w:trHeight w:val="239"/>
        </w:trPr>
        <w:tc>
          <w:tcPr>
            <w:tcW w:w="6941" w:type="dxa"/>
            <w:shd w:val="clear" w:color="auto" w:fill="BFBFBF"/>
          </w:tcPr>
          <w:p w14:paraId="04C686D4" w14:textId="77777777" w:rsidR="002C6574" w:rsidRDefault="00000000">
            <w:pPr>
              <w:pStyle w:val="TableParagraph"/>
              <w:spacing w:before="15" w:line="204" w:lineRule="exact"/>
              <w:ind w:left="69"/>
              <w:jc w:val="left"/>
              <w:rPr>
                <w:rFonts w:ascii="Arial"/>
                <w:b/>
                <w:sz w:val="18"/>
              </w:rPr>
            </w:pPr>
            <w:r>
              <w:rPr>
                <w:rFonts w:ascii="Arial"/>
                <w:b/>
                <w:spacing w:val="-2"/>
                <w:sz w:val="18"/>
              </w:rPr>
              <w:t>Bens/Direitos:</w:t>
            </w:r>
          </w:p>
        </w:tc>
        <w:tc>
          <w:tcPr>
            <w:tcW w:w="1419" w:type="dxa"/>
          </w:tcPr>
          <w:p w14:paraId="4F2F2105" w14:textId="77777777" w:rsidR="002C6574" w:rsidRDefault="00000000">
            <w:pPr>
              <w:pStyle w:val="TableParagraph"/>
              <w:spacing w:before="15" w:line="204" w:lineRule="exact"/>
              <w:ind w:left="255"/>
              <w:jc w:val="left"/>
              <w:rPr>
                <w:rFonts w:ascii="Arial"/>
                <w:b/>
                <w:sz w:val="18"/>
              </w:rPr>
            </w:pPr>
            <w:r>
              <w:rPr>
                <w:rFonts w:ascii="Arial"/>
                <w:b/>
                <w:spacing w:val="-2"/>
                <w:sz w:val="18"/>
              </w:rPr>
              <w:t>31/12/2025</w:t>
            </w:r>
          </w:p>
        </w:tc>
        <w:tc>
          <w:tcPr>
            <w:tcW w:w="1412" w:type="dxa"/>
          </w:tcPr>
          <w:p w14:paraId="5E12AAE2" w14:textId="77777777" w:rsidR="002C6574" w:rsidRDefault="00000000">
            <w:pPr>
              <w:pStyle w:val="TableParagraph"/>
              <w:spacing w:before="15" w:line="204" w:lineRule="exact"/>
              <w:ind w:left="250"/>
              <w:jc w:val="left"/>
              <w:rPr>
                <w:rFonts w:ascii="Arial"/>
                <w:b/>
                <w:sz w:val="18"/>
              </w:rPr>
            </w:pPr>
            <w:r>
              <w:rPr>
                <w:rFonts w:ascii="Arial"/>
                <w:b/>
                <w:spacing w:val="-2"/>
                <w:sz w:val="18"/>
              </w:rPr>
              <w:t>31/12/2024</w:t>
            </w:r>
          </w:p>
        </w:tc>
      </w:tr>
      <w:tr w:rsidR="002C6574" w14:paraId="053F5F47" w14:textId="77777777">
        <w:trPr>
          <w:trHeight w:val="237"/>
        </w:trPr>
        <w:tc>
          <w:tcPr>
            <w:tcW w:w="6941" w:type="dxa"/>
          </w:tcPr>
          <w:p w14:paraId="69428D42" w14:textId="77777777" w:rsidR="002C6574" w:rsidRDefault="00000000">
            <w:pPr>
              <w:pStyle w:val="TableParagraph"/>
              <w:spacing w:line="217" w:lineRule="exact"/>
              <w:ind w:left="69"/>
              <w:jc w:val="left"/>
              <w:rPr>
                <w:sz w:val="18"/>
              </w:rPr>
            </w:pPr>
            <w:r>
              <w:rPr>
                <w:spacing w:val="-2"/>
                <w:sz w:val="18"/>
              </w:rPr>
              <w:t>Imóveis</w:t>
            </w:r>
          </w:p>
        </w:tc>
        <w:tc>
          <w:tcPr>
            <w:tcW w:w="1419" w:type="dxa"/>
          </w:tcPr>
          <w:p w14:paraId="393203A1" w14:textId="77777777" w:rsidR="002C6574" w:rsidRDefault="00000000">
            <w:pPr>
              <w:pStyle w:val="TableParagraph"/>
              <w:spacing w:line="217" w:lineRule="exact"/>
              <w:ind w:right="60"/>
              <w:rPr>
                <w:sz w:val="18"/>
              </w:rPr>
            </w:pPr>
            <w:r>
              <w:rPr>
                <w:spacing w:val="-2"/>
                <w:w w:val="110"/>
                <w:sz w:val="18"/>
              </w:rPr>
              <w:t>4.176</w:t>
            </w:r>
          </w:p>
        </w:tc>
        <w:tc>
          <w:tcPr>
            <w:tcW w:w="1412" w:type="dxa"/>
          </w:tcPr>
          <w:p w14:paraId="4EC20B7B" w14:textId="77777777" w:rsidR="002C6574" w:rsidRDefault="00000000">
            <w:pPr>
              <w:pStyle w:val="TableParagraph"/>
              <w:spacing w:line="217" w:lineRule="exact"/>
              <w:ind w:right="60"/>
              <w:rPr>
                <w:sz w:val="18"/>
              </w:rPr>
            </w:pPr>
            <w:r>
              <w:rPr>
                <w:spacing w:val="-2"/>
                <w:w w:val="110"/>
                <w:sz w:val="18"/>
              </w:rPr>
              <w:t>5.602</w:t>
            </w:r>
          </w:p>
        </w:tc>
      </w:tr>
      <w:tr w:rsidR="002C6574" w14:paraId="57B50CCF" w14:textId="77777777">
        <w:trPr>
          <w:trHeight w:val="237"/>
        </w:trPr>
        <w:tc>
          <w:tcPr>
            <w:tcW w:w="6941" w:type="dxa"/>
          </w:tcPr>
          <w:p w14:paraId="6B36E85A" w14:textId="77777777" w:rsidR="002C6574" w:rsidRDefault="00000000">
            <w:pPr>
              <w:pStyle w:val="TableParagraph"/>
              <w:spacing w:line="217" w:lineRule="exact"/>
              <w:ind w:left="69"/>
              <w:jc w:val="left"/>
              <w:rPr>
                <w:sz w:val="18"/>
              </w:rPr>
            </w:pPr>
            <w:r>
              <w:rPr>
                <w:sz w:val="18"/>
              </w:rPr>
              <w:t>Equipamentos</w:t>
            </w:r>
            <w:r>
              <w:rPr>
                <w:spacing w:val="2"/>
                <w:sz w:val="18"/>
              </w:rPr>
              <w:t xml:space="preserve"> </w:t>
            </w:r>
            <w:r>
              <w:rPr>
                <w:sz w:val="18"/>
              </w:rPr>
              <w:t>de</w:t>
            </w:r>
            <w:r>
              <w:rPr>
                <w:spacing w:val="4"/>
                <w:sz w:val="18"/>
              </w:rPr>
              <w:t xml:space="preserve"> </w:t>
            </w:r>
            <w:r>
              <w:rPr>
                <w:spacing w:val="-2"/>
                <w:sz w:val="18"/>
              </w:rPr>
              <w:t>Telecomunicações</w:t>
            </w:r>
          </w:p>
        </w:tc>
        <w:tc>
          <w:tcPr>
            <w:tcW w:w="1419" w:type="dxa"/>
          </w:tcPr>
          <w:p w14:paraId="347CC26D" w14:textId="77777777" w:rsidR="002C6574" w:rsidRDefault="00000000">
            <w:pPr>
              <w:pStyle w:val="TableParagraph"/>
              <w:spacing w:line="217" w:lineRule="exact"/>
              <w:ind w:right="58"/>
              <w:rPr>
                <w:sz w:val="18"/>
              </w:rPr>
            </w:pPr>
            <w:r>
              <w:rPr>
                <w:spacing w:val="-4"/>
                <w:w w:val="110"/>
                <w:sz w:val="18"/>
              </w:rPr>
              <w:t>1.688</w:t>
            </w:r>
          </w:p>
        </w:tc>
        <w:tc>
          <w:tcPr>
            <w:tcW w:w="1412" w:type="dxa"/>
          </w:tcPr>
          <w:p w14:paraId="313BA1A5" w14:textId="77777777" w:rsidR="002C6574" w:rsidRDefault="00000000">
            <w:pPr>
              <w:pStyle w:val="TableParagraph"/>
              <w:spacing w:line="217" w:lineRule="exact"/>
              <w:ind w:right="61"/>
              <w:rPr>
                <w:sz w:val="18"/>
              </w:rPr>
            </w:pPr>
            <w:r>
              <w:rPr>
                <w:spacing w:val="-5"/>
                <w:w w:val="105"/>
                <w:sz w:val="18"/>
              </w:rPr>
              <w:t>476</w:t>
            </w:r>
          </w:p>
        </w:tc>
      </w:tr>
      <w:tr w:rsidR="002C6574" w14:paraId="729AE37F" w14:textId="77777777">
        <w:trPr>
          <w:trHeight w:val="239"/>
        </w:trPr>
        <w:tc>
          <w:tcPr>
            <w:tcW w:w="6941" w:type="dxa"/>
          </w:tcPr>
          <w:p w14:paraId="57B9412E" w14:textId="77777777" w:rsidR="002C6574" w:rsidRDefault="00000000">
            <w:pPr>
              <w:pStyle w:val="TableParagraph"/>
              <w:spacing w:before="15" w:line="204" w:lineRule="exact"/>
              <w:ind w:left="69"/>
              <w:jc w:val="left"/>
              <w:rPr>
                <w:rFonts w:ascii="Arial"/>
                <w:b/>
                <w:sz w:val="18"/>
              </w:rPr>
            </w:pPr>
            <w:r>
              <w:rPr>
                <w:rFonts w:ascii="Arial"/>
                <w:b/>
                <w:spacing w:val="-2"/>
                <w:sz w:val="18"/>
              </w:rPr>
              <w:t>Total</w:t>
            </w:r>
          </w:p>
        </w:tc>
        <w:tc>
          <w:tcPr>
            <w:tcW w:w="1419" w:type="dxa"/>
          </w:tcPr>
          <w:p w14:paraId="790675B2" w14:textId="77777777" w:rsidR="002C6574" w:rsidRDefault="00000000">
            <w:pPr>
              <w:pStyle w:val="TableParagraph"/>
              <w:spacing w:before="15" w:line="204" w:lineRule="exact"/>
              <w:ind w:right="58"/>
              <w:rPr>
                <w:rFonts w:ascii="Arial"/>
                <w:b/>
                <w:sz w:val="18"/>
              </w:rPr>
            </w:pPr>
            <w:r>
              <w:rPr>
                <w:rFonts w:ascii="Arial"/>
                <w:b/>
                <w:spacing w:val="-2"/>
                <w:sz w:val="18"/>
              </w:rPr>
              <w:t>19.879</w:t>
            </w:r>
          </w:p>
        </w:tc>
        <w:tc>
          <w:tcPr>
            <w:tcW w:w="1412" w:type="dxa"/>
          </w:tcPr>
          <w:p w14:paraId="07DE34C3" w14:textId="77777777" w:rsidR="002C6574" w:rsidRDefault="00000000">
            <w:pPr>
              <w:pStyle w:val="TableParagraph"/>
              <w:spacing w:before="15" w:line="204" w:lineRule="exact"/>
              <w:ind w:right="60"/>
              <w:rPr>
                <w:rFonts w:ascii="Arial"/>
                <w:b/>
                <w:sz w:val="18"/>
              </w:rPr>
            </w:pPr>
            <w:r>
              <w:rPr>
                <w:rFonts w:ascii="Arial"/>
                <w:b/>
                <w:spacing w:val="-2"/>
                <w:sz w:val="18"/>
              </w:rPr>
              <w:t>9.513</w:t>
            </w:r>
          </w:p>
        </w:tc>
      </w:tr>
      <w:tr w:rsidR="002C6574" w14:paraId="428D2A12" w14:textId="77777777">
        <w:trPr>
          <w:trHeight w:val="237"/>
        </w:trPr>
        <w:tc>
          <w:tcPr>
            <w:tcW w:w="6941" w:type="dxa"/>
          </w:tcPr>
          <w:p w14:paraId="3B1663FE" w14:textId="77777777" w:rsidR="002C6574" w:rsidRDefault="00000000">
            <w:pPr>
              <w:pStyle w:val="TableParagraph"/>
              <w:spacing w:before="13" w:line="204" w:lineRule="exact"/>
              <w:ind w:left="69"/>
              <w:jc w:val="left"/>
              <w:rPr>
                <w:rFonts w:ascii="Arial"/>
                <w:b/>
                <w:sz w:val="18"/>
              </w:rPr>
            </w:pPr>
            <w:r>
              <w:rPr>
                <w:rFonts w:ascii="Arial"/>
                <w:b/>
                <w:spacing w:val="-2"/>
                <w:sz w:val="18"/>
              </w:rPr>
              <w:t>Circulante</w:t>
            </w:r>
          </w:p>
        </w:tc>
        <w:tc>
          <w:tcPr>
            <w:tcW w:w="1419" w:type="dxa"/>
          </w:tcPr>
          <w:p w14:paraId="6506CDA1" w14:textId="77777777" w:rsidR="002C6574" w:rsidRDefault="00000000">
            <w:pPr>
              <w:pStyle w:val="TableParagraph"/>
              <w:spacing w:before="13" w:line="204" w:lineRule="exact"/>
              <w:ind w:right="58"/>
              <w:rPr>
                <w:rFonts w:ascii="Arial"/>
                <w:b/>
                <w:sz w:val="18"/>
              </w:rPr>
            </w:pPr>
            <w:r>
              <w:rPr>
                <w:rFonts w:ascii="Arial"/>
                <w:b/>
                <w:spacing w:val="-2"/>
                <w:sz w:val="18"/>
              </w:rPr>
              <w:t>5.093</w:t>
            </w:r>
          </w:p>
        </w:tc>
        <w:tc>
          <w:tcPr>
            <w:tcW w:w="1412" w:type="dxa"/>
          </w:tcPr>
          <w:p w14:paraId="510B88D5" w14:textId="77777777" w:rsidR="002C6574" w:rsidRDefault="00000000">
            <w:pPr>
              <w:pStyle w:val="TableParagraph"/>
              <w:spacing w:before="13" w:line="204" w:lineRule="exact"/>
              <w:ind w:right="60"/>
              <w:rPr>
                <w:rFonts w:ascii="Arial"/>
                <w:b/>
                <w:sz w:val="18"/>
              </w:rPr>
            </w:pPr>
            <w:r>
              <w:rPr>
                <w:rFonts w:ascii="Arial"/>
                <w:b/>
                <w:spacing w:val="-2"/>
                <w:sz w:val="18"/>
              </w:rPr>
              <w:t>5.374</w:t>
            </w:r>
          </w:p>
        </w:tc>
      </w:tr>
      <w:tr w:rsidR="002C6574" w14:paraId="2F646BEC" w14:textId="77777777">
        <w:trPr>
          <w:trHeight w:val="237"/>
        </w:trPr>
        <w:tc>
          <w:tcPr>
            <w:tcW w:w="6941" w:type="dxa"/>
          </w:tcPr>
          <w:p w14:paraId="3C93D473" w14:textId="77777777" w:rsidR="002C6574" w:rsidRDefault="00000000">
            <w:pPr>
              <w:pStyle w:val="TableParagraph"/>
              <w:spacing w:before="15" w:line="201" w:lineRule="exact"/>
              <w:ind w:left="69"/>
              <w:jc w:val="left"/>
              <w:rPr>
                <w:rFonts w:ascii="Arial" w:hAnsi="Arial"/>
                <w:b/>
                <w:sz w:val="18"/>
              </w:rPr>
            </w:pPr>
            <w:r>
              <w:rPr>
                <w:rFonts w:ascii="Arial" w:hAnsi="Arial"/>
                <w:b/>
                <w:sz w:val="18"/>
              </w:rPr>
              <w:t xml:space="preserve">Não </w:t>
            </w:r>
            <w:r>
              <w:rPr>
                <w:rFonts w:ascii="Arial" w:hAnsi="Arial"/>
                <w:b/>
                <w:spacing w:val="-2"/>
                <w:sz w:val="18"/>
              </w:rPr>
              <w:t>Circulante</w:t>
            </w:r>
          </w:p>
        </w:tc>
        <w:tc>
          <w:tcPr>
            <w:tcW w:w="1419" w:type="dxa"/>
          </w:tcPr>
          <w:p w14:paraId="0E4A0670" w14:textId="77777777" w:rsidR="002C6574" w:rsidRDefault="00000000">
            <w:pPr>
              <w:pStyle w:val="TableParagraph"/>
              <w:spacing w:before="15" w:line="201" w:lineRule="exact"/>
              <w:ind w:right="59"/>
              <w:rPr>
                <w:rFonts w:ascii="Arial"/>
                <w:b/>
                <w:sz w:val="18"/>
              </w:rPr>
            </w:pPr>
            <w:r>
              <w:rPr>
                <w:rFonts w:ascii="Arial"/>
                <w:b/>
                <w:spacing w:val="-2"/>
                <w:sz w:val="18"/>
              </w:rPr>
              <w:t>14.786</w:t>
            </w:r>
          </w:p>
        </w:tc>
        <w:tc>
          <w:tcPr>
            <w:tcW w:w="1412" w:type="dxa"/>
          </w:tcPr>
          <w:p w14:paraId="48E5B52D" w14:textId="77777777" w:rsidR="002C6574" w:rsidRDefault="00000000">
            <w:pPr>
              <w:pStyle w:val="TableParagraph"/>
              <w:spacing w:before="15" w:line="201" w:lineRule="exact"/>
              <w:ind w:right="60"/>
              <w:rPr>
                <w:rFonts w:ascii="Arial"/>
                <w:b/>
                <w:sz w:val="18"/>
              </w:rPr>
            </w:pPr>
            <w:r>
              <w:rPr>
                <w:rFonts w:ascii="Arial"/>
                <w:b/>
                <w:spacing w:val="-2"/>
                <w:sz w:val="18"/>
              </w:rPr>
              <w:t>4.139</w:t>
            </w:r>
          </w:p>
        </w:tc>
      </w:tr>
    </w:tbl>
    <w:p w14:paraId="3A8CF7C7" w14:textId="77777777" w:rsidR="002C6574" w:rsidRDefault="002C6574">
      <w:pPr>
        <w:pStyle w:val="Corpodetexto"/>
        <w:spacing w:before="24"/>
        <w:rPr>
          <w:rFonts w:ascii="Arial"/>
          <w:b/>
        </w:rPr>
      </w:pPr>
    </w:p>
    <w:p w14:paraId="4D0A6C3A" w14:textId="77777777" w:rsidR="002C6574" w:rsidRDefault="00000000">
      <w:pPr>
        <w:pStyle w:val="Corpodetexto"/>
        <w:spacing w:line="208" w:lineRule="auto"/>
        <w:ind w:left="143" w:right="704"/>
        <w:jc w:val="both"/>
      </w:pPr>
      <w:r>
        <w:t>Os desembolsos futuros (contraprestações) de longo prazo, assumidos em decorrência desses contratos, estão apresentados abaixo:</w:t>
      </w:r>
    </w:p>
    <w:p w14:paraId="23E6CC3B" w14:textId="77777777" w:rsidR="002C6574" w:rsidRDefault="002C6574">
      <w:pPr>
        <w:pStyle w:val="Corpodetexto"/>
        <w:spacing w:before="12" w:after="1"/>
        <w:rPr>
          <w:sz w:val="18"/>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6"/>
        <w:gridCol w:w="1598"/>
        <w:gridCol w:w="1596"/>
        <w:gridCol w:w="2050"/>
      </w:tblGrid>
      <w:tr w:rsidR="002C6574" w14:paraId="03D2A4F2" w14:textId="77777777">
        <w:trPr>
          <w:trHeight w:val="237"/>
        </w:trPr>
        <w:tc>
          <w:tcPr>
            <w:tcW w:w="4526" w:type="dxa"/>
            <w:shd w:val="clear" w:color="auto" w:fill="BFBFBF"/>
          </w:tcPr>
          <w:p w14:paraId="6835C122" w14:textId="77777777" w:rsidR="002C6574" w:rsidRDefault="00000000">
            <w:pPr>
              <w:pStyle w:val="TableParagraph"/>
              <w:spacing w:before="13" w:line="204" w:lineRule="exact"/>
              <w:ind w:left="69"/>
              <w:jc w:val="left"/>
              <w:rPr>
                <w:rFonts w:ascii="Arial"/>
                <w:b/>
                <w:sz w:val="18"/>
              </w:rPr>
            </w:pPr>
            <w:r>
              <w:rPr>
                <w:rFonts w:ascii="Arial"/>
                <w:b/>
                <w:spacing w:val="-2"/>
                <w:sz w:val="18"/>
              </w:rPr>
              <w:t>Vencimentos:</w:t>
            </w:r>
          </w:p>
        </w:tc>
        <w:tc>
          <w:tcPr>
            <w:tcW w:w="1598" w:type="dxa"/>
          </w:tcPr>
          <w:p w14:paraId="713F1D0D" w14:textId="77777777" w:rsidR="002C6574" w:rsidRDefault="00000000">
            <w:pPr>
              <w:pStyle w:val="TableParagraph"/>
              <w:spacing w:before="13" w:line="204" w:lineRule="exact"/>
              <w:ind w:left="422"/>
              <w:jc w:val="left"/>
              <w:rPr>
                <w:rFonts w:ascii="Arial"/>
                <w:b/>
                <w:sz w:val="18"/>
              </w:rPr>
            </w:pPr>
            <w:r>
              <w:rPr>
                <w:rFonts w:ascii="Arial"/>
                <w:b/>
                <w:spacing w:val="-2"/>
                <w:sz w:val="18"/>
              </w:rPr>
              <w:t>principal</w:t>
            </w:r>
          </w:p>
        </w:tc>
        <w:tc>
          <w:tcPr>
            <w:tcW w:w="1596" w:type="dxa"/>
          </w:tcPr>
          <w:p w14:paraId="1D4A648D" w14:textId="77777777" w:rsidR="002C6574" w:rsidRDefault="00000000">
            <w:pPr>
              <w:pStyle w:val="TableParagraph"/>
              <w:spacing w:before="13" w:line="204" w:lineRule="exact"/>
              <w:ind w:right="98"/>
              <w:rPr>
                <w:rFonts w:ascii="Arial"/>
                <w:b/>
                <w:sz w:val="18"/>
              </w:rPr>
            </w:pPr>
            <w:r>
              <w:rPr>
                <w:rFonts w:ascii="Arial"/>
                <w:b/>
                <w:sz w:val="18"/>
              </w:rPr>
              <w:t>Juros</w:t>
            </w:r>
            <w:r>
              <w:rPr>
                <w:rFonts w:ascii="Arial"/>
                <w:b/>
                <w:spacing w:val="2"/>
                <w:sz w:val="18"/>
              </w:rPr>
              <w:t xml:space="preserve"> </w:t>
            </w:r>
            <w:r>
              <w:rPr>
                <w:rFonts w:ascii="Arial"/>
                <w:b/>
                <w:sz w:val="18"/>
              </w:rPr>
              <w:t>a</w:t>
            </w:r>
            <w:r>
              <w:rPr>
                <w:rFonts w:ascii="Arial"/>
                <w:b/>
                <w:spacing w:val="-2"/>
                <w:sz w:val="18"/>
              </w:rPr>
              <w:t xml:space="preserve"> Incorrer</w:t>
            </w:r>
          </w:p>
        </w:tc>
        <w:tc>
          <w:tcPr>
            <w:tcW w:w="2050" w:type="dxa"/>
          </w:tcPr>
          <w:p w14:paraId="4A002D32" w14:textId="77777777" w:rsidR="002C6574" w:rsidRDefault="00000000">
            <w:pPr>
              <w:pStyle w:val="TableParagraph"/>
              <w:spacing w:before="13" w:line="204" w:lineRule="exact"/>
              <w:ind w:left="10"/>
              <w:jc w:val="center"/>
              <w:rPr>
                <w:rFonts w:ascii="Arial"/>
                <w:b/>
                <w:sz w:val="18"/>
              </w:rPr>
            </w:pPr>
            <w:r>
              <w:rPr>
                <w:rFonts w:ascii="Arial"/>
                <w:b/>
                <w:spacing w:val="-2"/>
                <w:sz w:val="18"/>
              </w:rPr>
              <w:t>Total</w:t>
            </w:r>
          </w:p>
        </w:tc>
      </w:tr>
      <w:tr w:rsidR="002C6574" w14:paraId="28C47AFF" w14:textId="77777777">
        <w:trPr>
          <w:trHeight w:val="237"/>
        </w:trPr>
        <w:tc>
          <w:tcPr>
            <w:tcW w:w="4526" w:type="dxa"/>
          </w:tcPr>
          <w:p w14:paraId="430E79DB" w14:textId="77777777" w:rsidR="002C6574" w:rsidRDefault="00000000">
            <w:pPr>
              <w:pStyle w:val="TableParagraph"/>
              <w:spacing w:line="217" w:lineRule="exact"/>
              <w:ind w:left="69"/>
              <w:jc w:val="left"/>
              <w:rPr>
                <w:sz w:val="18"/>
              </w:rPr>
            </w:pPr>
            <w:r>
              <w:rPr>
                <w:spacing w:val="-4"/>
                <w:w w:val="105"/>
                <w:sz w:val="18"/>
              </w:rPr>
              <w:t>2027</w:t>
            </w:r>
          </w:p>
        </w:tc>
        <w:tc>
          <w:tcPr>
            <w:tcW w:w="1598" w:type="dxa"/>
          </w:tcPr>
          <w:p w14:paraId="1D65AB44" w14:textId="77777777" w:rsidR="002C6574" w:rsidRDefault="00000000">
            <w:pPr>
              <w:pStyle w:val="TableParagraph"/>
              <w:spacing w:line="217" w:lineRule="exact"/>
              <w:ind w:right="61"/>
              <w:rPr>
                <w:sz w:val="18"/>
              </w:rPr>
            </w:pPr>
            <w:r>
              <w:rPr>
                <w:spacing w:val="-2"/>
                <w:w w:val="110"/>
                <w:sz w:val="18"/>
              </w:rPr>
              <w:t>5.307</w:t>
            </w:r>
          </w:p>
        </w:tc>
        <w:tc>
          <w:tcPr>
            <w:tcW w:w="1596" w:type="dxa"/>
          </w:tcPr>
          <w:p w14:paraId="606807F9" w14:textId="77777777" w:rsidR="002C6574" w:rsidRDefault="00000000">
            <w:pPr>
              <w:pStyle w:val="TableParagraph"/>
              <w:spacing w:line="217" w:lineRule="exact"/>
              <w:ind w:right="54"/>
              <w:rPr>
                <w:sz w:val="18"/>
              </w:rPr>
            </w:pPr>
            <w:r>
              <w:rPr>
                <w:spacing w:val="-2"/>
                <w:w w:val="105"/>
                <w:sz w:val="18"/>
              </w:rPr>
              <w:t>(805)</w:t>
            </w:r>
          </w:p>
        </w:tc>
        <w:tc>
          <w:tcPr>
            <w:tcW w:w="2050" w:type="dxa"/>
          </w:tcPr>
          <w:p w14:paraId="1206C51C" w14:textId="77777777" w:rsidR="002C6574" w:rsidRDefault="00000000">
            <w:pPr>
              <w:pStyle w:val="TableParagraph"/>
              <w:spacing w:line="217" w:lineRule="exact"/>
              <w:ind w:right="59"/>
              <w:rPr>
                <w:sz w:val="18"/>
              </w:rPr>
            </w:pPr>
            <w:r>
              <w:rPr>
                <w:spacing w:val="-2"/>
                <w:w w:val="110"/>
                <w:sz w:val="18"/>
              </w:rPr>
              <w:t>4.502</w:t>
            </w:r>
          </w:p>
        </w:tc>
      </w:tr>
      <w:tr w:rsidR="002C6574" w14:paraId="145EDD56" w14:textId="77777777">
        <w:trPr>
          <w:trHeight w:val="239"/>
        </w:trPr>
        <w:tc>
          <w:tcPr>
            <w:tcW w:w="4526" w:type="dxa"/>
          </w:tcPr>
          <w:p w14:paraId="14AF487B" w14:textId="77777777" w:rsidR="002C6574" w:rsidRDefault="00000000">
            <w:pPr>
              <w:pStyle w:val="TableParagraph"/>
              <w:spacing w:line="220" w:lineRule="exact"/>
              <w:ind w:left="69"/>
              <w:jc w:val="left"/>
              <w:rPr>
                <w:sz w:val="18"/>
              </w:rPr>
            </w:pPr>
            <w:r>
              <w:rPr>
                <w:spacing w:val="-4"/>
                <w:w w:val="105"/>
                <w:sz w:val="18"/>
              </w:rPr>
              <w:t>2028</w:t>
            </w:r>
          </w:p>
        </w:tc>
        <w:tc>
          <w:tcPr>
            <w:tcW w:w="1598" w:type="dxa"/>
          </w:tcPr>
          <w:p w14:paraId="237C40DF" w14:textId="77777777" w:rsidR="002C6574" w:rsidRDefault="00000000">
            <w:pPr>
              <w:pStyle w:val="TableParagraph"/>
              <w:spacing w:line="220" w:lineRule="exact"/>
              <w:ind w:right="61"/>
              <w:rPr>
                <w:sz w:val="18"/>
              </w:rPr>
            </w:pPr>
            <w:r>
              <w:rPr>
                <w:spacing w:val="-2"/>
                <w:w w:val="110"/>
                <w:sz w:val="18"/>
              </w:rPr>
              <w:t>4.241</w:t>
            </w:r>
          </w:p>
        </w:tc>
        <w:tc>
          <w:tcPr>
            <w:tcW w:w="1596" w:type="dxa"/>
          </w:tcPr>
          <w:p w14:paraId="70D1689A" w14:textId="77777777" w:rsidR="002C6574" w:rsidRDefault="00000000">
            <w:pPr>
              <w:pStyle w:val="TableParagraph"/>
              <w:spacing w:line="220" w:lineRule="exact"/>
              <w:ind w:right="54"/>
              <w:rPr>
                <w:sz w:val="18"/>
              </w:rPr>
            </w:pPr>
            <w:r>
              <w:rPr>
                <w:spacing w:val="-2"/>
                <w:w w:val="105"/>
                <w:sz w:val="18"/>
              </w:rPr>
              <w:t>(540)</w:t>
            </w:r>
          </w:p>
        </w:tc>
        <w:tc>
          <w:tcPr>
            <w:tcW w:w="2050" w:type="dxa"/>
          </w:tcPr>
          <w:p w14:paraId="2CA6C1A0" w14:textId="77777777" w:rsidR="002C6574" w:rsidRDefault="00000000">
            <w:pPr>
              <w:pStyle w:val="TableParagraph"/>
              <w:spacing w:line="220" w:lineRule="exact"/>
              <w:ind w:right="59"/>
              <w:rPr>
                <w:sz w:val="18"/>
              </w:rPr>
            </w:pPr>
            <w:r>
              <w:rPr>
                <w:spacing w:val="-2"/>
                <w:w w:val="110"/>
                <w:sz w:val="18"/>
              </w:rPr>
              <w:t>3.701</w:t>
            </w:r>
          </w:p>
        </w:tc>
      </w:tr>
      <w:tr w:rsidR="002C6574" w14:paraId="586FF42F" w14:textId="77777777">
        <w:trPr>
          <w:trHeight w:val="237"/>
        </w:trPr>
        <w:tc>
          <w:tcPr>
            <w:tcW w:w="4526" w:type="dxa"/>
          </w:tcPr>
          <w:p w14:paraId="165DE74A" w14:textId="77777777" w:rsidR="002C6574" w:rsidRDefault="00000000">
            <w:pPr>
              <w:pStyle w:val="TableParagraph"/>
              <w:spacing w:line="217" w:lineRule="exact"/>
              <w:ind w:left="69"/>
              <w:jc w:val="left"/>
              <w:rPr>
                <w:sz w:val="18"/>
              </w:rPr>
            </w:pPr>
            <w:r>
              <w:rPr>
                <w:spacing w:val="-4"/>
                <w:w w:val="105"/>
                <w:sz w:val="18"/>
              </w:rPr>
              <w:t>2029</w:t>
            </w:r>
          </w:p>
        </w:tc>
        <w:tc>
          <w:tcPr>
            <w:tcW w:w="1598" w:type="dxa"/>
          </w:tcPr>
          <w:p w14:paraId="2B7EBA75" w14:textId="77777777" w:rsidR="002C6574" w:rsidRDefault="00000000">
            <w:pPr>
              <w:pStyle w:val="TableParagraph"/>
              <w:spacing w:line="217" w:lineRule="exact"/>
              <w:ind w:right="61"/>
              <w:rPr>
                <w:sz w:val="18"/>
              </w:rPr>
            </w:pPr>
            <w:r>
              <w:rPr>
                <w:spacing w:val="-2"/>
                <w:w w:val="110"/>
                <w:sz w:val="18"/>
              </w:rPr>
              <w:t>3.826</w:t>
            </w:r>
          </w:p>
        </w:tc>
        <w:tc>
          <w:tcPr>
            <w:tcW w:w="1596" w:type="dxa"/>
          </w:tcPr>
          <w:p w14:paraId="37C3D34D" w14:textId="77777777" w:rsidR="002C6574" w:rsidRDefault="00000000">
            <w:pPr>
              <w:pStyle w:val="TableParagraph"/>
              <w:spacing w:line="217" w:lineRule="exact"/>
              <w:ind w:right="54"/>
              <w:rPr>
                <w:sz w:val="18"/>
              </w:rPr>
            </w:pPr>
            <w:r>
              <w:rPr>
                <w:spacing w:val="-2"/>
                <w:w w:val="105"/>
                <w:sz w:val="18"/>
              </w:rPr>
              <w:t>(309)</w:t>
            </w:r>
          </w:p>
        </w:tc>
        <w:tc>
          <w:tcPr>
            <w:tcW w:w="2050" w:type="dxa"/>
          </w:tcPr>
          <w:p w14:paraId="6E8DFEAC" w14:textId="77777777" w:rsidR="002C6574" w:rsidRDefault="00000000">
            <w:pPr>
              <w:pStyle w:val="TableParagraph"/>
              <w:spacing w:line="217" w:lineRule="exact"/>
              <w:ind w:right="59"/>
              <w:rPr>
                <w:sz w:val="18"/>
              </w:rPr>
            </w:pPr>
            <w:r>
              <w:rPr>
                <w:spacing w:val="-2"/>
                <w:w w:val="110"/>
                <w:sz w:val="18"/>
              </w:rPr>
              <w:t>3.517</w:t>
            </w:r>
          </w:p>
        </w:tc>
      </w:tr>
      <w:tr w:rsidR="002C6574" w14:paraId="5B697D89" w14:textId="77777777">
        <w:trPr>
          <w:trHeight w:val="237"/>
        </w:trPr>
        <w:tc>
          <w:tcPr>
            <w:tcW w:w="4526" w:type="dxa"/>
          </w:tcPr>
          <w:p w14:paraId="59F797E6" w14:textId="77777777" w:rsidR="002C6574" w:rsidRDefault="00000000">
            <w:pPr>
              <w:pStyle w:val="TableParagraph"/>
              <w:spacing w:line="217" w:lineRule="exact"/>
              <w:ind w:left="69"/>
              <w:jc w:val="left"/>
              <w:rPr>
                <w:sz w:val="18"/>
              </w:rPr>
            </w:pPr>
            <w:r>
              <w:rPr>
                <w:spacing w:val="-4"/>
                <w:w w:val="105"/>
                <w:sz w:val="18"/>
              </w:rPr>
              <w:t>2030</w:t>
            </w:r>
          </w:p>
        </w:tc>
        <w:tc>
          <w:tcPr>
            <w:tcW w:w="1598" w:type="dxa"/>
          </w:tcPr>
          <w:p w14:paraId="0A8B30D1" w14:textId="77777777" w:rsidR="002C6574" w:rsidRDefault="00000000">
            <w:pPr>
              <w:pStyle w:val="TableParagraph"/>
              <w:spacing w:line="217" w:lineRule="exact"/>
              <w:ind w:right="61"/>
              <w:rPr>
                <w:sz w:val="18"/>
              </w:rPr>
            </w:pPr>
            <w:r>
              <w:rPr>
                <w:spacing w:val="-2"/>
                <w:w w:val="110"/>
                <w:sz w:val="18"/>
              </w:rPr>
              <w:t>3.110</w:t>
            </w:r>
          </w:p>
        </w:tc>
        <w:tc>
          <w:tcPr>
            <w:tcW w:w="1596" w:type="dxa"/>
          </w:tcPr>
          <w:p w14:paraId="18DC88BC" w14:textId="77777777" w:rsidR="002C6574" w:rsidRDefault="00000000">
            <w:pPr>
              <w:pStyle w:val="TableParagraph"/>
              <w:spacing w:line="217" w:lineRule="exact"/>
              <w:ind w:right="56"/>
              <w:rPr>
                <w:sz w:val="18"/>
              </w:rPr>
            </w:pPr>
            <w:r>
              <w:rPr>
                <w:spacing w:val="-4"/>
                <w:w w:val="105"/>
                <w:sz w:val="18"/>
              </w:rPr>
              <w:t>(92)</w:t>
            </w:r>
          </w:p>
        </w:tc>
        <w:tc>
          <w:tcPr>
            <w:tcW w:w="2050" w:type="dxa"/>
          </w:tcPr>
          <w:p w14:paraId="5F7660B9" w14:textId="77777777" w:rsidR="002C6574" w:rsidRDefault="00000000">
            <w:pPr>
              <w:pStyle w:val="TableParagraph"/>
              <w:spacing w:line="217" w:lineRule="exact"/>
              <w:ind w:right="59"/>
              <w:rPr>
                <w:sz w:val="18"/>
              </w:rPr>
            </w:pPr>
            <w:r>
              <w:rPr>
                <w:spacing w:val="-2"/>
                <w:w w:val="110"/>
                <w:sz w:val="18"/>
              </w:rPr>
              <w:t>3.018</w:t>
            </w:r>
          </w:p>
        </w:tc>
      </w:tr>
      <w:tr w:rsidR="002C6574" w14:paraId="32D347E8" w14:textId="77777777">
        <w:trPr>
          <w:trHeight w:val="239"/>
        </w:trPr>
        <w:tc>
          <w:tcPr>
            <w:tcW w:w="4526" w:type="dxa"/>
          </w:tcPr>
          <w:p w14:paraId="7901D2EC" w14:textId="77777777" w:rsidR="002C6574" w:rsidRDefault="00000000">
            <w:pPr>
              <w:pStyle w:val="TableParagraph"/>
              <w:spacing w:line="220" w:lineRule="exact"/>
              <w:ind w:left="69"/>
              <w:jc w:val="left"/>
              <w:rPr>
                <w:sz w:val="18"/>
              </w:rPr>
            </w:pPr>
            <w:r>
              <w:rPr>
                <w:sz w:val="18"/>
              </w:rPr>
              <w:t>2031</w:t>
            </w:r>
            <w:r>
              <w:rPr>
                <w:spacing w:val="5"/>
                <w:sz w:val="18"/>
              </w:rPr>
              <w:t xml:space="preserve"> </w:t>
            </w:r>
            <w:r>
              <w:rPr>
                <w:sz w:val="18"/>
              </w:rPr>
              <w:t>em</w:t>
            </w:r>
            <w:r>
              <w:rPr>
                <w:spacing w:val="7"/>
                <w:sz w:val="18"/>
              </w:rPr>
              <w:t xml:space="preserve"> </w:t>
            </w:r>
            <w:r>
              <w:rPr>
                <w:spacing w:val="-2"/>
                <w:sz w:val="18"/>
              </w:rPr>
              <w:t>diante</w:t>
            </w:r>
          </w:p>
        </w:tc>
        <w:tc>
          <w:tcPr>
            <w:tcW w:w="1598" w:type="dxa"/>
          </w:tcPr>
          <w:p w14:paraId="5605A5FD" w14:textId="77777777" w:rsidR="002C6574" w:rsidRDefault="00000000">
            <w:pPr>
              <w:pStyle w:val="TableParagraph"/>
              <w:spacing w:line="220" w:lineRule="exact"/>
              <w:ind w:right="60"/>
              <w:rPr>
                <w:sz w:val="18"/>
              </w:rPr>
            </w:pPr>
            <w:r>
              <w:rPr>
                <w:spacing w:val="-5"/>
                <w:w w:val="105"/>
                <w:sz w:val="18"/>
              </w:rPr>
              <w:t>50</w:t>
            </w:r>
          </w:p>
        </w:tc>
        <w:tc>
          <w:tcPr>
            <w:tcW w:w="1596" w:type="dxa"/>
          </w:tcPr>
          <w:p w14:paraId="31BDB74C" w14:textId="77777777" w:rsidR="002C6574" w:rsidRDefault="00000000">
            <w:pPr>
              <w:pStyle w:val="TableParagraph"/>
              <w:spacing w:line="220" w:lineRule="exact"/>
              <w:ind w:right="55"/>
              <w:rPr>
                <w:sz w:val="18"/>
              </w:rPr>
            </w:pPr>
            <w:r>
              <w:rPr>
                <w:spacing w:val="-5"/>
                <w:w w:val="110"/>
                <w:sz w:val="18"/>
              </w:rPr>
              <w:t>(2)</w:t>
            </w:r>
          </w:p>
        </w:tc>
        <w:tc>
          <w:tcPr>
            <w:tcW w:w="2050" w:type="dxa"/>
          </w:tcPr>
          <w:p w14:paraId="562DB706" w14:textId="77777777" w:rsidR="002C6574" w:rsidRDefault="00000000">
            <w:pPr>
              <w:pStyle w:val="TableParagraph"/>
              <w:spacing w:line="220" w:lineRule="exact"/>
              <w:ind w:right="58"/>
              <w:rPr>
                <w:sz w:val="18"/>
              </w:rPr>
            </w:pPr>
            <w:r>
              <w:rPr>
                <w:spacing w:val="-5"/>
                <w:w w:val="105"/>
                <w:sz w:val="18"/>
              </w:rPr>
              <w:t>48</w:t>
            </w:r>
          </w:p>
        </w:tc>
      </w:tr>
      <w:tr w:rsidR="002C6574" w14:paraId="7FA2A26E" w14:textId="77777777">
        <w:trPr>
          <w:trHeight w:val="237"/>
        </w:trPr>
        <w:tc>
          <w:tcPr>
            <w:tcW w:w="4526" w:type="dxa"/>
          </w:tcPr>
          <w:p w14:paraId="6E7A6A3E" w14:textId="77777777" w:rsidR="002C6574" w:rsidRDefault="00000000">
            <w:pPr>
              <w:pStyle w:val="TableParagraph"/>
              <w:spacing w:before="13" w:line="204" w:lineRule="exact"/>
              <w:ind w:left="69"/>
              <w:jc w:val="left"/>
              <w:rPr>
                <w:rFonts w:ascii="Arial"/>
                <w:b/>
                <w:sz w:val="18"/>
              </w:rPr>
            </w:pPr>
            <w:r>
              <w:rPr>
                <w:rFonts w:ascii="Arial"/>
                <w:b/>
                <w:spacing w:val="-2"/>
                <w:sz w:val="18"/>
              </w:rPr>
              <w:t>Totais</w:t>
            </w:r>
          </w:p>
        </w:tc>
        <w:tc>
          <w:tcPr>
            <w:tcW w:w="1598" w:type="dxa"/>
          </w:tcPr>
          <w:p w14:paraId="694AB9FE" w14:textId="77777777" w:rsidR="002C6574" w:rsidRDefault="00000000">
            <w:pPr>
              <w:pStyle w:val="TableParagraph"/>
              <w:spacing w:before="13" w:line="204" w:lineRule="exact"/>
              <w:ind w:right="61"/>
              <w:rPr>
                <w:rFonts w:ascii="Arial"/>
                <w:b/>
                <w:sz w:val="18"/>
              </w:rPr>
            </w:pPr>
            <w:r>
              <w:rPr>
                <w:rFonts w:ascii="Arial"/>
                <w:b/>
                <w:spacing w:val="-2"/>
                <w:sz w:val="18"/>
              </w:rPr>
              <w:t>16.534</w:t>
            </w:r>
          </w:p>
        </w:tc>
        <w:tc>
          <w:tcPr>
            <w:tcW w:w="1596" w:type="dxa"/>
          </w:tcPr>
          <w:p w14:paraId="72CE2DA5" w14:textId="77777777" w:rsidR="002C6574" w:rsidRDefault="00000000">
            <w:pPr>
              <w:pStyle w:val="TableParagraph"/>
              <w:spacing w:before="13" w:line="204" w:lineRule="exact"/>
              <w:ind w:right="55"/>
              <w:rPr>
                <w:rFonts w:ascii="Arial"/>
                <w:b/>
                <w:sz w:val="18"/>
              </w:rPr>
            </w:pPr>
            <w:r>
              <w:rPr>
                <w:rFonts w:ascii="Arial"/>
                <w:b/>
                <w:spacing w:val="-2"/>
                <w:sz w:val="18"/>
              </w:rPr>
              <w:t>(1.748)</w:t>
            </w:r>
          </w:p>
        </w:tc>
        <w:tc>
          <w:tcPr>
            <w:tcW w:w="2050" w:type="dxa"/>
          </w:tcPr>
          <w:p w14:paraId="6ABA141E" w14:textId="77777777" w:rsidR="002C6574" w:rsidRDefault="00000000">
            <w:pPr>
              <w:pStyle w:val="TableParagraph"/>
              <w:spacing w:before="13" w:line="204" w:lineRule="exact"/>
              <w:ind w:right="59"/>
              <w:rPr>
                <w:rFonts w:ascii="Arial"/>
                <w:b/>
                <w:sz w:val="18"/>
              </w:rPr>
            </w:pPr>
            <w:r>
              <w:rPr>
                <w:rFonts w:ascii="Arial"/>
                <w:b/>
                <w:spacing w:val="-2"/>
                <w:sz w:val="18"/>
              </w:rPr>
              <w:t>14.786</w:t>
            </w:r>
          </w:p>
        </w:tc>
      </w:tr>
    </w:tbl>
    <w:p w14:paraId="1D3E4681" w14:textId="77777777" w:rsidR="002C6574" w:rsidRDefault="00000000">
      <w:pPr>
        <w:pStyle w:val="Corpodetexto"/>
        <w:spacing w:before="253" w:line="208" w:lineRule="auto"/>
        <w:ind w:left="143" w:right="705"/>
        <w:jc w:val="both"/>
      </w:pPr>
      <w:r>
        <w:t>A movimentação dos financiamentos (arrendamento mercantil financeiro) no exercício de 2025 está apresentada a seguir:</w:t>
      </w:r>
    </w:p>
    <w:p w14:paraId="7923961B" w14:textId="77777777" w:rsidR="002C6574" w:rsidRDefault="002C6574">
      <w:pPr>
        <w:pStyle w:val="Corpodetexto"/>
        <w:spacing w:before="13"/>
        <w:rPr>
          <w:sz w:val="18"/>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8"/>
        <w:gridCol w:w="1553"/>
      </w:tblGrid>
      <w:tr w:rsidR="002C6574" w14:paraId="7C721903" w14:textId="77777777">
        <w:trPr>
          <w:trHeight w:val="237"/>
        </w:trPr>
        <w:tc>
          <w:tcPr>
            <w:tcW w:w="8218" w:type="dxa"/>
          </w:tcPr>
          <w:p w14:paraId="65428271" w14:textId="77777777" w:rsidR="002C6574" w:rsidRDefault="00000000">
            <w:pPr>
              <w:pStyle w:val="TableParagraph"/>
              <w:spacing w:before="13" w:line="204"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2024</w:t>
            </w:r>
          </w:p>
        </w:tc>
        <w:tc>
          <w:tcPr>
            <w:tcW w:w="1553" w:type="dxa"/>
          </w:tcPr>
          <w:p w14:paraId="439313F9" w14:textId="77777777" w:rsidR="002C6574" w:rsidRDefault="00000000">
            <w:pPr>
              <w:pStyle w:val="TableParagraph"/>
              <w:spacing w:before="13" w:line="204" w:lineRule="exact"/>
              <w:ind w:right="60"/>
              <w:rPr>
                <w:rFonts w:ascii="Arial"/>
                <w:b/>
                <w:sz w:val="18"/>
              </w:rPr>
            </w:pPr>
            <w:r>
              <w:rPr>
                <w:rFonts w:ascii="Arial"/>
                <w:b/>
                <w:spacing w:val="-2"/>
                <w:sz w:val="18"/>
              </w:rPr>
              <w:t>9.513</w:t>
            </w:r>
          </w:p>
        </w:tc>
      </w:tr>
      <w:tr w:rsidR="002C6574" w14:paraId="074616D8" w14:textId="77777777">
        <w:trPr>
          <w:trHeight w:val="237"/>
        </w:trPr>
        <w:tc>
          <w:tcPr>
            <w:tcW w:w="8218" w:type="dxa"/>
          </w:tcPr>
          <w:p w14:paraId="403674F6" w14:textId="77777777" w:rsidR="002C6574" w:rsidRDefault="00000000">
            <w:pPr>
              <w:pStyle w:val="TableParagraph"/>
              <w:spacing w:line="217" w:lineRule="exact"/>
              <w:ind w:left="119"/>
              <w:jc w:val="left"/>
              <w:rPr>
                <w:sz w:val="18"/>
              </w:rPr>
            </w:pPr>
            <w:r>
              <w:rPr>
                <w:sz w:val="18"/>
              </w:rPr>
              <w:t>Ingressos</w:t>
            </w:r>
            <w:r>
              <w:rPr>
                <w:spacing w:val="5"/>
                <w:sz w:val="18"/>
              </w:rPr>
              <w:t xml:space="preserve"> </w:t>
            </w:r>
            <w:r>
              <w:rPr>
                <w:sz w:val="18"/>
              </w:rPr>
              <w:t>-</w:t>
            </w:r>
            <w:r>
              <w:rPr>
                <w:spacing w:val="8"/>
                <w:sz w:val="18"/>
              </w:rPr>
              <w:t xml:space="preserve"> </w:t>
            </w:r>
            <w:r>
              <w:rPr>
                <w:sz w:val="18"/>
              </w:rPr>
              <w:t>Novos/Renovação</w:t>
            </w:r>
            <w:r>
              <w:rPr>
                <w:spacing w:val="6"/>
                <w:sz w:val="18"/>
              </w:rPr>
              <w:t xml:space="preserve"> </w:t>
            </w:r>
            <w:r>
              <w:rPr>
                <w:sz w:val="18"/>
              </w:rPr>
              <w:t>de</w:t>
            </w:r>
            <w:r>
              <w:rPr>
                <w:spacing w:val="4"/>
                <w:sz w:val="18"/>
              </w:rPr>
              <w:t xml:space="preserve"> </w:t>
            </w:r>
            <w:r>
              <w:rPr>
                <w:spacing w:val="-2"/>
                <w:sz w:val="18"/>
              </w:rPr>
              <w:t>contratos</w:t>
            </w:r>
          </w:p>
        </w:tc>
        <w:tc>
          <w:tcPr>
            <w:tcW w:w="1553" w:type="dxa"/>
          </w:tcPr>
          <w:p w14:paraId="0431D85D" w14:textId="77777777" w:rsidR="002C6574" w:rsidRDefault="00000000">
            <w:pPr>
              <w:pStyle w:val="TableParagraph"/>
              <w:spacing w:line="217" w:lineRule="exact"/>
              <w:ind w:right="60"/>
              <w:rPr>
                <w:sz w:val="18"/>
              </w:rPr>
            </w:pPr>
            <w:r>
              <w:rPr>
                <w:spacing w:val="-2"/>
                <w:w w:val="105"/>
                <w:sz w:val="18"/>
              </w:rPr>
              <w:t>16.545</w:t>
            </w:r>
          </w:p>
        </w:tc>
      </w:tr>
      <w:tr w:rsidR="002C6574" w14:paraId="197A9FF3" w14:textId="77777777">
        <w:trPr>
          <w:trHeight w:val="239"/>
        </w:trPr>
        <w:tc>
          <w:tcPr>
            <w:tcW w:w="8218" w:type="dxa"/>
          </w:tcPr>
          <w:p w14:paraId="26E712A5" w14:textId="77777777" w:rsidR="002C6574" w:rsidRDefault="00000000">
            <w:pPr>
              <w:pStyle w:val="TableParagraph"/>
              <w:spacing w:line="220" w:lineRule="exact"/>
              <w:ind w:left="119"/>
              <w:jc w:val="left"/>
              <w:rPr>
                <w:sz w:val="18"/>
              </w:rPr>
            </w:pPr>
            <w:r>
              <w:rPr>
                <w:sz w:val="18"/>
              </w:rPr>
              <w:t>Pagamento</w:t>
            </w:r>
            <w:r>
              <w:rPr>
                <w:spacing w:val="5"/>
                <w:sz w:val="18"/>
              </w:rPr>
              <w:t xml:space="preserve"> </w:t>
            </w:r>
            <w:r>
              <w:rPr>
                <w:sz w:val="18"/>
              </w:rPr>
              <w:t>de</w:t>
            </w:r>
            <w:r>
              <w:rPr>
                <w:spacing w:val="3"/>
                <w:sz w:val="18"/>
              </w:rPr>
              <w:t xml:space="preserve"> </w:t>
            </w:r>
            <w:r>
              <w:rPr>
                <w:spacing w:val="-2"/>
                <w:sz w:val="18"/>
              </w:rPr>
              <w:t>Principal</w:t>
            </w:r>
          </w:p>
        </w:tc>
        <w:tc>
          <w:tcPr>
            <w:tcW w:w="1553" w:type="dxa"/>
          </w:tcPr>
          <w:p w14:paraId="09C303EF" w14:textId="77777777" w:rsidR="002C6574" w:rsidRDefault="00000000">
            <w:pPr>
              <w:pStyle w:val="TableParagraph"/>
              <w:spacing w:line="220" w:lineRule="exact"/>
              <w:ind w:right="57"/>
              <w:rPr>
                <w:sz w:val="18"/>
              </w:rPr>
            </w:pPr>
            <w:r>
              <w:rPr>
                <w:spacing w:val="-2"/>
                <w:w w:val="110"/>
                <w:sz w:val="18"/>
              </w:rPr>
              <w:t>(6.179)</w:t>
            </w:r>
          </w:p>
        </w:tc>
      </w:tr>
      <w:tr w:rsidR="002C6574" w14:paraId="07D8D8AE" w14:textId="77777777">
        <w:trPr>
          <w:trHeight w:val="237"/>
        </w:trPr>
        <w:tc>
          <w:tcPr>
            <w:tcW w:w="8218" w:type="dxa"/>
          </w:tcPr>
          <w:p w14:paraId="1056E2A1" w14:textId="77777777" w:rsidR="002C6574" w:rsidRDefault="00000000">
            <w:pPr>
              <w:pStyle w:val="TableParagraph"/>
              <w:spacing w:line="217" w:lineRule="exact"/>
              <w:ind w:left="119"/>
              <w:jc w:val="left"/>
              <w:rPr>
                <w:sz w:val="18"/>
              </w:rPr>
            </w:pPr>
            <w:r>
              <w:rPr>
                <w:sz w:val="18"/>
              </w:rPr>
              <w:t>Apropriação</w:t>
            </w:r>
            <w:r>
              <w:rPr>
                <w:spacing w:val="2"/>
                <w:sz w:val="18"/>
              </w:rPr>
              <w:t xml:space="preserve"> </w:t>
            </w:r>
            <w:r>
              <w:rPr>
                <w:sz w:val="18"/>
              </w:rPr>
              <w:t>de</w:t>
            </w:r>
            <w:r>
              <w:rPr>
                <w:spacing w:val="-1"/>
                <w:sz w:val="18"/>
              </w:rPr>
              <w:t xml:space="preserve"> </w:t>
            </w:r>
            <w:r>
              <w:rPr>
                <w:sz w:val="18"/>
              </w:rPr>
              <w:t>Juros</w:t>
            </w:r>
            <w:r>
              <w:rPr>
                <w:spacing w:val="3"/>
                <w:sz w:val="18"/>
              </w:rPr>
              <w:t xml:space="preserve"> </w:t>
            </w:r>
            <w:r>
              <w:rPr>
                <w:sz w:val="18"/>
              </w:rPr>
              <w:t>no</w:t>
            </w:r>
            <w:r>
              <w:rPr>
                <w:spacing w:val="2"/>
                <w:sz w:val="18"/>
              </w:rPr>
              <w:t xml:space="preserve"> </w:t>
            </w:r>
            <w:r>
              <w:rPr>
                <w:spacing w:val="-2"/>
                <w:sz w:val="18"/>
              </w:rPr>
              <w:t>Período</w:t>
            </w:r>
          </w:p>
        </w:tc>
        <w:tc>
          <w:tcPr>
            <w:tcW w:w="1553" w:type="dxa"/>
          </w:tcPr>
          <w:p w14:paraId="7040FA8D" w14:textId="77777777" w:rsidR="002C6574" w:rsidRDefault="00000000">
            <w:pPr>
              <w:pStyle w:val="TableParagraph"/>
              <w:spacing w:line="217" w:lineRule="exact"/>
              <w:ind w:right="60"/>
              <w:rPr>
                <w:sz w:val="18"/>
              </w:rPr>
            </w:pPr>
            <w:r>
              <w:rPr>
                <w:spacing w:val="-5"/>
                <w:w w:val="105"/>
                <w:sz w:val="18"/>
              </w:rPr>
              <w:t>868</w:t>
            </w:r>
          </w:p>
        </w:tc>
      </w:tr>
      <w:tr w:rsidR="002C6574" w14:paraId="7D8F201F" w14:textId="77777777">
        <w:trPr>
          <w:trHeight w:val="237"/>
        </w:trPr>
        <w:tc>
          <w:tcPr>
            <w:tcW w:w="8218" w:type="dxa"/>
          </w:tcPr>
          <w:p w14:paraId="24FD3C97" w14:textId="77777777" w:rsidR="002C6574" w:rsidRDefault="00000000">
            <w:pPr>
              <w:pStyle w:val="TableParagraph"/>
              <w:spacing w:line="217" w:lineRule="exact"/>
              <w:ind w:left="119"/>
              <w:jc w:val="left"/>
              <w:rPr>
                <w:sz w:val="18"/>
              </w:rPr>
            </w:pPr>
            <w:r>
              <w:rPr>
                <w:sz w:val="18"/>
              </w:rPr>
              <w:t>Pagamento</w:t>
            </w:r>
            <w:r>
              <w:rPr>
                <w:spacing w:val="5"/>
                <w:sz w:val="18"/>
              </w:rPr>
              <w:t xml:space="preserve"> </w:t>
            </w:r>
            <w:r>
              <w:rPr>
                <w:sz w:val="18"/>
              </w:rPr>
              <w:t>de</w:t>
            </w:r>
            <w:r>
              <w:rPr>
                <w:spacing w:val="2"/>
                <w:sz w:val="18"/>
              </w:rPr>
              <w:t xml:space="preserve"> </w:t>
            </w:r>
            <w:r>
              <w:rPr>
                <w:spacing w:val="-4"/>
                <w:sz w:val="18"/>
              </w:rPr>
              <w:t>Juros</w:t>
            </w:r>
          </w:p>
        </w:tc>
        <w:tc>
          <w:tcPr>
            <w:tcW w:w="1553" w:type="dxa"/>
          </w:tcPr>
          <w:p w14:paraId="220A3B3C" w14:textId="77777777" w:rsidR="002C6574" w:rsidRDefault="00000000">
            <w:pPr>
              <w:pStyle w:val="TableParagraph"/>
              <w:spacing w:line="217" w:lineRule="exact"/>
              <w:ind w:right="55"/>
              <w:rPr>
                <w:sz w:val="18"/>
              </w:rPr>
            </w:pPr>
            <w:r>
              <w:rPr>
                <w:spacing w:val="-2"/>
                <w:w w:val="105"/>
                <w:sz w:val="18"/>
              </w:rPr>
              <w:t>(868)</w:t>
            </w:r>
          </w:p>
        </w:tc>
      </w:tr>
      <w:tr w:rsidR="002C6574" w14:paraId="7648ECA2" w14:textId="77777777">
        <w:trPr>
          <w:trHeight w:val="239"/>
        </w:trPr>
        <w:tc>
          <w:tcPr>
            <w:tcW w:w="8218" w:type="dxa"/>
          </w:tcPr>
          <w:p w14:paraId="76D02F5B" w14:textId="77777777" w:rsidR="002C6574" w:rsidRDefault="00000000">
            <w:pPr>
              <w:pStyle w:val="TableParagraph"/>
              <w:spacing w:before="15" w:line="204"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2025</w:t>
            </w:r>
          </w:p>
        </w:tc>
        <w:tc>
          <w:tcPr>
            <w:tcW w:w="1553" w:type="dxa"/>
          </w:tcPr>
          <w:p w14:paraId="2BB5BE0E" w14:textId="77777777" w:rsidR="002C6574" w:rsidRDefault="00000000">
            <w:pPr>
              <w:pStyle w:val="TableParagraph"/>
              <w:spacing w:before="15" w:line="204" w:lineRule="exact"/>
              <w:ind w:right="60"/>
              <w:rPr>
                <w:rFonts w:ascii="Arial"/>
                <w:b/>
                <w:sz w:val="18"/>
              </w:rPr>
            </w:pPr>
            <w:r>
              <w:rPr>
                <w:rFonts w:ascii="Arial"/>
                <w:b/>
                <w:spacing w:val="-2"/>
                <w:sz w:val="18"/>
              </w:rPr>
              <w:t>19.879</w:t>
            </w:r>
          </w:p>
        </w:tc>
      </w:tr>
    </w:tbl>
    <w:p w14:paraId="66AB02FA" w14:textId="77777777" w:rsidR="002C6574" w:rsidRDefault="00000000">
      <w:pPr>
        <w:numPr>
          <w:ilvl w:val="0"/>
          <w:numId w:val="54"/>
        </w:numPr>
        <w:tabs>
          <w:tab w:val="left" w:pos="993"/>
        </w:tabs>
        <w:spacing w:before="241"/>
        <w:ind w:left="993" w:hanging="850"/>
        <w:jc w:val="both"/>
        <w:rPr>
          <w:rFonts w:ascii="Arial"/>
          <w:b/>
        </w:rPr>
      </w:pPr>
      <w:r>
        <w:rPr>
          <w:rFonts w:ascii="Arial"/>
          <w:b/>
        </w:rPr>
        <w:t>RECEITAS</w:t>
      </w:r>
      <w:r>
        <w:rPr>
          <w:rFonts w:ascii="Arial"/>
          <w:b/>
          <w:spacing w:val="-2"/>
        </w:rPr>
        <w:t xml:space="preserve"> DIFERIDAS</w:t>
      </w:r>
    </w:p>
    <w:p w14:paraId="499E2209" w14:textId="77777777" w:rsidR="002C6574" w:rsidRDefault="00000000">
      <w:pPr>
        <w:pStyle w:val="Corpodetexto"/>
        <w:spacing w:before="249" w:line="237" w:lineRule="auto"/>
        <w:ind w:left="143" w:right="702"/>
        <w:jc w:val="both"/>
      </w:pPr>
      <w:r>
        <w:rPr>
          <w:spacing w:val="-2"/>
          <w:w w:val="105"/>
        </w:rPr>
        <w:t>Em</w:t>
      </w:r>
      <w:r>
        <w:rPr>
          <w:spacing w:val="-8"/>
          <w:w w:val="105"/>
        </w:rPr>
        <w:t xml:space="preserve"> </w:t>
      </w:r>
      <w:r>
        <w:rPr>
          <w:spacing w:val="-2"/>
          <w:w w:val="105"/>
        </w:rPr>
        <w:t>31</w:t>
      </w:r>
      <w:r>
        <w:rPr>
          <w:spacing w:val="-11"/>
          <w:w w:val="105"/>
        </w:rPr>
        <w:t xml:space="preserve"> </w:t>
      </w:r>
      <w:r>
        <w:rPr>
          <w:spacing w:val="-2"/>
          <w:w w:val="105"/>
        </w:rPr>
        <w:t>de</w:t>
      </w:r>
      <w:r>
        <w:rPr>
          <w:spacing w:val="-10"/>
          <w:w w:val="105"/>
        </w:rPr>
        <w:t xml:space="preserve"> </w:t>
      </w:r>
      <w:r>
        <w:rPr>
          <w:spacing w:val="-2"/>
          <w:w w:val="105"/>
        </w:rPr>
        <w:t>dezembro</w:t>
      </w:r>
      <w:r>
        <w:rPr>
          <w:spacing w:val="-11"/>
          <w:w w:val="105"/>
        </w:rPr>
        <w:t xml:space="preserve"> </w:t>
      </w:r>
      <w:r>
        <w:rPr>
          <w:spacing w:val="-2"/>
          <w:w w:val="105"/>
        </w:rPr>
        <w:t>de</w:t>
      </w:r>
      <w:r>
        <w:rPr>
          <w:spacing w:val="-11"/>
          <w:w w:val="105"/>
        </w:rPr>
        <w:t xml:space="preserve"> </w:t>
      </w:r>
      <w:r>
        <w:rPr>
          <w:spacing w:val="-2"/>
          <w:w w:val="105"/>
        </w:rPr>
        <w:t>2025,</w:t>
      </w:r>
      <w:r>
        <w:rPr>
          <w:spacing w:val="-8"/>
          <w:w w:val="105"/>
        </w:rPr>
        <w:t xml:space="preserve"> </w:t>
      </w:r>
      <w:r>
        <w:rPr>
          <w:spacing w:val="-2"/>
          <w:w w:val="105"/>
        </w:rPr>
        <w:t>a</w:t>
      </w:r>
      <w:r>
        <w:rPr>
          <w:spacing w:val="-11"/>
          <w:w w:val="105"/>
        </w:rPr>
        <w:t xml:space="preserve"> </w:t>
      </w:r>
      <w:r>
        <w:rPr>
          <w:spacing w:val="-2"/>
          <w:w w:val="105"/>
        </w:rPr>
        <w:t>Companhia</w:t>
      </w:r>
      <w:r>
        <w:rPr>
          <w:spacing w:val="-11"/>
          <w:w w:val="105"/>
        </w:rPr>
        <w:t xml:space="preserve"> </w:t>
      </w:r>
      <w:r>
        <w:rPr>
          <w:spacing w:val="-2"/>
          <w:w w:val="105"/>
        </w:rPr>
        <w:t>registrou</w:t>
      </w:r>
      <w:r>
        <w:rPr>
          <w:spacing w:val="-11"/>
          <w:w w:val="105"/>
        </w:rPr>
        <w:t xml:space="preserve"> </w:t>
      </w:r>
      <w:r>
        <w:rPr>
          <w:spacing w:val="-2"/>
          <w:w w:val="105"/>
        </w:rPr>
        <w:t>o</w:t>
      </w:r>
      <w:r>
        <w:rPr>
          <w:spacing w:val="-11"/>
          <w:w w:val="105"/>
        </w:rPr>
        <w:t xml:space="preserve"> </w:t>
      </w:r>
      <w:r>
        <w:rPr>
          <w:spacing w:val="-2"/>
          <w:w w:val="105"/>
        </w:rPr>
        <w:t>montante</w:t>
      </w:r>
      <w:r>
        <w:rPr>
          <w:spacing w:val="-13"/>
          <w:w w:val="105"/>
        </w:rPr>
        <w:t xml:space="preserve"> </w:t>
      </w:r>
      <w:r>
        <w:rPr>
          <w:spacing w:val="-2"/>
          <w:w w:val="105"/>
        </w:rPr>
        <w:t>de</w:t>
      </w:r>
      <w:r>
        <w:rPr>
          <w:spacing w:val="-9"/>
          <w:w w:val="105"/>
        </w:rPr>
        <w:t xml:space="preserve"> </w:t>
      </w:r>
      <w:r>
        <w:rPr>
          <w:spacing w:val="-2"/>
          <w:w w:val="105"/>
        </w:rPr>
        <w:t>R$</w:t>
      </w:r>
      <w:r>
        <w:rPr>
          <w:spacing w:val="-10"/>
          <w:w w:val="105"/>
        </w:rPr>
        <w:t xml:space="preserve"> </w:t>
      </w:r>
      <w:r>
        <w:rPr>
          <w:spacing w:val="-2"/>
          <w:w w:val="105"/>
        </w:rPr>
        <w:t>285.757</w:t>
      </w:r>
      <w:r>
        <w:rPr>
          <w:spacing w:val="-11"/>
          <w:w w:val="105"/>
        </w:rPr>
        <w:t xml:space="preserve"> </w:t>
      </w:r>
      <w:r>
        <w:rPr>
          <w:spacing w:val="-2"/>
          <w:w w:val="105"/>
        </w:rPr>
        <w:t>(R$</w:t>
      </w:r>
      <w:r>
        <w:rPr>
          <w:spacing w:val="-13"/>
          <w:w w:val="105"/>
        </w:rPr>
        <w:t xml:space="preserve"> </w:t>
      </w:r>
      <w:r>
        <w:rPr>
          <w:spacing w:val="-2"/>
          <w:w w:val="105"/>
        </w:rPr>
        <w:t>318.011</w:t>
      </w:r>
      <w:r>
        <w:rPr>
          <w:spacing w:val="-11"/>
          <w:w w:val="105"/>
        </w:rPr>
        <w:t xml:space="preserve"> </w:t>
      </w:r>
      <w:r>
        <w:rPr>
          <w:spacing w:val="-2"/>
          <w:w w:val="105"/>
        </w:rPr>
        <w:t>em</w:t>
      </w:r>
      <w:r>
        <w:rPr>
          <w:spacing w:val="-14"/>
          <w:w w:val="105"/>
        </w:rPr>
        <w:t xml:space="preserve"> </w:t>
      </w:r>
      <w:r>
        <w:rPr>
          <w:spacing w:val="-2"/>
          <w:w w:val="105"/>
        </w:rPr>
        <w:t xml:space="preserve">31 </w:t>
      </w:r>
      <w:r>
        <w:rPr>
          <w:w w:val="105"/>
        </w:rPr>
        <w:t>de</w:t>
      </w:r>
      <w:r>
        <w:rPr>
          <w:spacing w:val="-1"/>
          <w:w w:val="105"/>
        </w:rPr>
        <w:t xml:space="preserve"> </w:t>
      </w:r>
      <w:r>
        <w:rPr>
          <w:w w:val="105"/>
        </w:rPr>
        <w:t>dezembro</w:t>
      </w:r>
      <w:r>
        <w:rPr>
          <w:spacing w:val="-4"/>
          <w:w w:val="105"/>
        </w:rPr>
        <w:t xml:space="preserve"> </w:t>
      </w:r>
      <w:r>
        <w:rPr>
          <w:w w:val="105"/>
        </w:rPr>
        <w:t>de</w:t>
      </w:r>
      <w:r>
        <w:rPr>
          <w:spacing w:val="-2"/>
          <w:w w:val="105"/>
        </w:rPr>
        <w:t xml:space="preserve"> </w:t>
      </w:r>
      <w:r>
        <w:rPr>
          <w:w w:val="105"/>
        </w:rPr>
        <w:t>2024),</w:t>
      </w:r>
      <w:r>
        <w:rPr>
          <w:spacing w:val="-4"/>
          <w:w w:val="105"/>
        </w:rPr>
        <w:t xml:space="preserve"> </w:t>
      </w:r>
      <w:r>
        <w:rPr>
          <w:w w:val="105"/>
        </w:rPr>
        <w:t>composto</w:t>
      </w:r>
      <w:r>
        <w:rPr>
          <w:spacing w:val="-2"/>
          <w:w w:val="105"/>
        </w:rPr>
        <w:t xml:space="preserve"> </w:t>
      </w:r>
      <w:r>
        <w:rPr>
          <w:w w:val="105"/>
        </w:rPr>
        <w:t>pelos</w:t>
      </w:r>
      <w:r>
        <w:rPr>
          <w:spacing w:val="-2"/>
          <w:w w:val="105"/>
        </w:rPr>
        <w:t xml:space="preserve"> </w:t>
      </w:r>
      <w:r>
        <w:rPr>
          <w:w w:val="105"/>
        </w:rPr>
        <w:t>valores</w:t>
      </w:r>
      <w:r>
        <w:rPr>
          <w:spacing w:val="-4"/>
          <w:w w:val="105"/>
        </w:rPr>
        <w:t xml:space="preserve"> </w:t>
      </w:r>
      <w:r>
        <w:rPr>
          <w:w w:val="105"/>
        </w:rPr>
        <w:t>recebidos</w:t>
      </w:r>
      <w:r>
        <w:rPr>
          <w:spacing w:val="-2"/>
          <w:w w:val="105"/>
        </w:rPr>
        <w:t xml:space="preserve"> </w:t>
      </w:r>
      <w:r>
        <w:rPr>
          <w:w w:val="105"/>
        </w:rPr>
        <w:t>do</w:t>
      </w:r>
      <w:r>
        <w:rPr>
          <w:spacing w:val="-2"/>
          <w:w w:val="105"/>
        </w:rPr>
        <w:t xml:space="preserve"> </w:t>
      </w:r>
      <w:r>
        <w:rPr>
          <w:w w:val="105"/>
        </w:rPr>
        <w:t>Ministério</w:t>
      </w:r>
      <w:r>
        <w:rPr>
          <w:spacing w:val="-1"/>
          <w:w w:val="105"/>
        </w:rPr>
        <w:t xml:space="preserve"> </w:t>
      </w:r>
      <w:r>
        <w:rPr>
          <w:w w:val="105"/>
        </w:rPr>
        <w:t>da</w:t>
      </w:r>
      <w:r>
        <w:rPr>
          <w:spacing w:val="-2"/>
          <w:w w:val="105"/>
        </w:rPr>
        <w:t xml:space="preserve"> </w:t>
      </w:r>
      <w:r>
        <w:rPr>
          <w:w w:val="105"/>
        </w:rPr>
        <w:t>Defesa</w:t>
      </w:r>
      <w:r>
        <w:rPr>
          <w:spacing w:val="-2"/>
          <w:w w:val="105"/>
        </w:rPr>
        <w:t xml:space="preserve"> </w:t>
      </w:r>
      <w:r>
        <w:rPr>
          <w:w w:val="105"/>
        </w:rPr>
        <w:t>referentes</w:t>
      </w:r>
      <w:r>
        <w:rPr>
          <w:spacing w:val="-2"/>
          <w:w w:val="105"/>
        </w:rPr>
        <w:t xml:space="preserve"> </w:t>
      </w:r>
      <w:r>
        <w:rPr>
          <w:w w:val="105"/>
        </w:rPr>
        <w:t>ao pagamento</w:t>
      </w:r>
      <w:r>
        <w:rPr>
          <w:spacing w:val="-16"/>
          <w:w w:val="105"/>
        </w:rPr>
        <w:t xml:space="preserve"> </w:t>
      </w:r>
      <w:r>
        <w:rPr>
          <w:w w:val="105"/>
        </w:rPr>
        <w:t>pelo</w:t>
      </w:r>
      <w:r>
        <w:rPr>
          <w:spacing w:val="-13"/>
          <w:w w:val="105"/>
        </w:rPr>
        <w:t xml:space="preserve"> </w:t>
      </w:r>
      <w:r>
        <w:rPr>
          <w:w w:val="105"/>
        </w:rPr>
        <w:t>direito</w:t>
      </w:r>
      <w:r>
        <w:rPr>
          <w:spacing w:val="-14"/>
          <w:w w:val="105"/>
        </w:rPr>
        <w:t xml:space="preserve"> </w:t>
      </w:r>
      <w:r>
        <w:rPr>
          <w:w w:val="105"/>
        </w:rPr>
        <w:t>de</w:t>
      </w:r>
      <w:r>
        <w:rPr>
          <w:spacing w:val="-13"/>
          <w:w w:val="105"/>
        </w:rPr>
        <w:t xml:space="preserve"> </w:t>
      </w:r>
      <w:r>
        <w:rPr>
          <w:w w:val="105"/>
        </w:rPr>
        <w:t>uso</w:t>
      </w:r>
      <w:r>
        <w:rPr>
          <w:spacing w:val="-15"/>
          <w:w w:val="105"/>
        </w:rPr>
        <w:t xml:space="preserve"> </w:t>
      </w:r>
      <w:r>
        <w:rPr>
          <w:w w:val="105"/>
        </w:rPr>
        <w:t>futuro</w:t>
      </w:r>
      <w:r>
        <w:rPr>
          <w:spacing w:val="-15"/>
          <w:w w:val="105"/>
        </w:rPr>
        <w:t xml:space="preserve"> </w:t>
      </w:r>
      <w:r>
        <w:rPr>
          <w:w w:val="105"/>
        </w:rPr>
        <w:t>da</w:t>
      </w:r>
      <w:r>
        <w:rPr>
          <w:spacing w:val="-15"/>
          <w:w w:val="105"/>
        </w:rPr>
        <w:t xml:space="preserve"> </w:t>
      </w:r>
      <w:r>
        <w:rPr>
          <w:w w:val="105"/>
        </w:rPr>
        <w:t>Banda</w:t>
      </w:r>
      <w:r>
        <w:rPr>
          <w:spacing w:val="-12"/>
          <w:w w:val="105"/>
        </w:rPr>
        <w:t xml:space="preserve"> </w:t>
      </w:r>
      <w:r>
        <w:rPr>
          <w:w w:val="105"/>
        </w:rPr>
        <w:t>X</w:t>
      </w:r>
      <w:r>
        <w:rPr>
          <w:spacing w:val="-16"/>
          <w:w w:val="105"/>
        </w:rPr>
        <w:t xml:space="preserve"> </w:t>
      </w:r>
      <w:r>
        <w:rPr>
          <w:w w:val="105"/>
        </w:rPr>
        <w:t>do</w:t>
      </w:r>
      <w:r>
        <w:rPr>
          <w:spacing w:val="-12"/>
          <w:w w:val="105"/>
        </w:rPr>
        <w:t xml:space="preserve"> </w:t>
      </w:r>
      <w:r>
        <w:rPr>
          <w:w w:val="105"/>
        </w:rPr>
        <w:t>Satélite</w:t>
      </w:r>
      <w:r>
        <w:rPr>
          <w:spacing w:val="-16"/>
          <w:w w:val="105"/>
        </w:rPr>
        <w:t xml:space="preserve"> </w:t>
      </w:r>
      <w:r>
        <w:rPr>
          <w:w w:val="105"/>
        </w:rPr>
        <w:t>(IRU</w:t>
      </w:r>
      <w:r>
        <w:rPr>
          <w:spacing w:val="-16"/>
          <w:w w:val="105"/>
        </w:rPr>
        <w:t xml:space="preserve"> </w:t>
      </w:r>
      <w:r>
        <w:rPr>
          <w:w w:val="105"/>
        </w:rPr>
        <w:t>–</w:t>
      </w:r>
      <w:r>
        <w:rPr>
          <w:spacing w:val="-12"/>
          <w:w w:val="105"/>
        </w:rPr>
        <w:t xml:space="preserve"> </w:t>
      </w:r>
      <w:r>
        <w:rPr>
          <w:w w:val="105"/>
        </w:rPr>
        <w:t>Projeto</w:t>
      </w:r>
      <w:r>
        <w:rPr>
          <w:spacing w:val="-12"/>
          <w:w w:val="105"/>
        </w:rPr>
        <w:t xml:space="preserve"> </w:t>
      </w:r>
      <w:r>
        <w:rPr>
          <w:w w:val="105"/>
        </w:rPr>
        <w:t>SGDC),</w:t>
      </w:r>
      <w:r>
        <w:rPr>
          <w:spacing w:val="-14"/>
          <w:w w:val="105"/>
        </w:rPr>
        <w:t xml:space="preserve"> </w:t>
      </w:r>
      <w:r>
        <w:rPr>
          <w:w w:val="105"/>
        </w:rPr>
        <w:t>pelos</w:t>
      </w:r>
      <w:r>
        <w:rPr>
          <w:spacing w:val="-16"/>
          <w:w w:val="105"/>
        </w:rPr>
        <w:t xml:space="preserve"> </w:t>
      </w:r>
      <w:r>
        <w:rPr>
          <w:w w:val="105"/>
        </w:rPr>
        <w:t xml:space="preserve">recursos </w:t>
      </w:r>
      <w:r>
        <w:t xml:space="preserve">repassados pelo Ministério das Comunicações (MCOM) para execução do Programa GESAC, e pela </w:t>
      </w:r>
      <w:r>
        <w:rPr>
          <w:w w:val="105"/>
        </w:rPr>
        <w:t>operação de IRU firmada com a empresa V.tal.</w:t>
      </w:r>
    </w:p>
    <w:p w14:paraId="528C9EB7" w14:textId="77777777" w:rsidR="002C6574" w:rsidRDefault="002C6574">
      <w:pPr>
        <w:pStyle w:val="Corpodetexto"/>
        <w:spacing w:before="1"/>
      </w:pPr>
    </w:p>
    <w:p w14:paraId="77B1BE73" w14:textId="77777777" w:rsidR="002C6574" w:rsidRDefault="00000000">
      <w:pPr>
        <w:pStyle w:val="Corpodetexto"/>
        <w:ind w:left="143" w:right="702"/>
        <w:jc w:val="both"/>
      </w:pPr>
      <w:r>
        <w:t>Desde o terceiro trimestre de 2018, a Companhia passou a reconhecer no resultado a receita correspondente ao serviço de locação de capacidade satelital prestado ao Ministério da Defesa (Banda X). O reconhecimento dessa receita ocorrerá ao longo de 15 anos, conforme estabelecido no contrato</w:t>
      </w:r>
      <w:r>
        <w:rPr>
          <w:spacing w:val="12"/>
        </w:rPr>
        <w:t xml:space="preserve"> </w:t>
      </w:r>
      <w:r>
        <w:t>entre</w:t>
      </w:r>
      <w:r>
        <w:rPr>
          <w:spacing w:val="13"/>
        </w:rPr>
        <w:t xml:space="preserve"> </w:t>
      </w:r>
      <w:r>
        <w:t>as</w:t>
      </w:r>
      <w:r>
        <w:rPr>
          <w:spacing w:val="14"/>
        </w:rPr>
        <w:t xml:space="preserve"> </w:t>
      </w:r>
      <w:r>
        <w:t>partes.</w:t>
      </w:r>
      <w:r>
        <w:rPr>
          <w:spacing w:val="12"/>
        </w:rPr>
        <w:t xml:space="preserve"> </w:t>
      </w:r>
      <w:r>
        <w:t>O</w:t>
      </w:r>
      <w:r>
        <w:rPr>
          <w:spacing w:val="14"/>
        </w:rPr>
        <w:t xml:space="preserve"> </w:t>
      </w:r>
      <w:r>
        <w:t>valor</w:t>
      </w:r>
      <w:r>
        <w:rPr>
          <w:spacing w:val="11"/>
        </w:rPr>
        <w:t xml:space="preserve"> </w:t>
      </w:r>
      <w:r>
        <w:t>mensal</w:t>
      </w:r>
      <w:r>
        <w:rPr>
          <w:spacing w:val="12"/>
        </w:rPr>
        <w:t xml:space="preserve"> </w:t>
      </w:r>
      <w:r>
        <w:t>registrado</w:t>
      </w:r>
      <w:r>
        <w:rPr>
          <w:spacing w:val="13"/>
        </w:rPr>
        <w:t xml:space="preserve"> </w:t>
      </w:r>
      <w:r>
        <w:t>como</w:t>
      </w:r>
      <w:r>
        <w:rPr>
          <w:spacing w:val="9"/>
        </w:rPr>
        <w:t xml:space="preserve"> </w:t>
      </w:r>
      <w:r>
        <w:t>receita</w:t>
      </w:r>
      <w:r>
        <w:rPr>
          <w:spacing w:val="14"/>
        </w:rPr>
        <w:t xml:space="preserve"> </w:t>
      </w:r>
      <w:r>
        <w:t>no</w:t>
      </w:r>
      <w:r>
        <w:rPr>
          <w:spacing w:val="12"/>
        </w:rPr>
        <w:t xml:space="preserve"> </w:t>
      </w:r>
      <w:r>
        <w:t>resultado</w:t>
      </w:r>
      <w:r>
        <w:rPr>
          <w:spacing w:val="13"/>
        </w:rPr>
        <w:t xml:space="preserve"> </w:t>
      </w:r>
      <w:r>
        <w:t>da</w:t>
      </w:r>
      <w:r>
        <w:rPr>
          <w:spacing w:val="14"/>
        </w:rPr>
        <w:t xml:space="preserve"> </w:t>
      </w:r>
      <w:r>
        <w:t>Telebras</w:t>
      </w:r>
      <w:r>
        <w:rPr>
          <w:spacing w:val="14"/>
        </w:rPr>
        <w:t xml:space="preserve"> </w:t>
      </w:r>
      <w:r>
        <w:t>é</w:t>
      </w:r>
      <w:r>
        <w:rPr>
          <w:spacing w:val="13"/>
        </w:rPr>
        <w:t xml:space="preserve"> </w:t>
      </w:r>
      <w:r>
        <w:t>de</w:t>
      </w:r>
      <w:r>
        <w:rPr>
          <w:spacing w:val="11"/>
        </w:rPr>
        <w:t xml:space="preserve"> </w:t>
      </w:r>
      <w:r>
        <w:rPr>
          <w:spacing w:val="-5"/>
        </w:rPr>
        <w:t>R$</w:t>
      </w:r>
    </w:p>
    <w:p w14:paraId="78E43829" w14:textId="77777777" w:rsidR="002C6574" w:rsidRDefault="00000000">
      <w:pPr>
        <w:pStyle w:val="Corpodetexto"/>
        <w:spacing w:line="286" w:lineRule="exact"/>
        <w:ind w:left="143"/>
        <w:jc w:val="both"/>
      </w:pPr>
      <w:r>
        <w:t>3.040</w:t>
      </w:r>
      <w:r>
        <w:rPr>
          <w:spacing w:val="1"/>
        </w:rPr>
        <w:t xml:space="preserve"> </w:t>
      </w:r>
      <w:r>
        <w:t>(três</w:t>
      </w:r>
      <w:r>
        <w:rPr>
          <w:spacing w:val="4"/>
        </w:rPr>
        <w:t xml:space="preserve"> </w:t>
      </w:r>
      <w:r>
        <w:t>milhões</w:t>
      </w:r>
      <w:r>
        <w:rPr>
          <w:spacing w:val="6"/>
        </w:rPr>
        <w:t xml:space="preserve"> </w:t>
      </w:r>
      <w:r>
        <w:t>e</w:t>
      </w:r>
      <w:r>
        <w:rPr>
          <w:spacing w:val="1"/>
        </w:rPr>
        <w:t xml:space="preserve"> </w:t>
      </w:r>
      <w:r>
        <w:t>quarenta</w:t>
      </w:r>
      <w:r>
        <w:rPr>
          <w:spacing w:val="2"/>
        </w:rPr>
        <w:t xml:space="preserve"> </w:t>
      </w:r>
      <w:r>
        <w:t>mil</w:t>
      </w:r>
      <w:r>
        <w:rPr>
          <w:spacing w:val="1"/>
        </w:rPr>
        <w:t xml:space="preserve"> </w:t>
      </w:r>
      <w:r>
        <w:rPr>
          <w:spacing w:val="-2"/>
        </w:rPr>
        <w:t>reais).</w:t>
      </w:r>
    </w:p>
    <w:p w14:paraId="664B7CCC" w14:textId="77777777" w:rsidR="002C6574" w:rsidRDefault="00000000">
      <w:pPr>
        <w:pStyle w:val="Corpodetexto"/>
        <w:spacing w:before="188" w:line="237" w:lineRule="auto"/>
        <w:ind w:left="143" w:right="705"/>
        <w:jc w:val="both"/>
      </w:pPr>
      <w:r>
        <w:t>A movimentação e composição das receitas diferidas no exercício de 2025 é apresentada no quadro a seguir:</w:t>
      </w:r>
    </w:p>
    <w:p w14:paraId="78FF7A58" w14:textId="77777777" w:rsidR="002C6574" w:rsidRDefault="002C6574">
      <w:pPr>
        <w:pStyle w:val="Corpodetexto"/>
        <w:spacing w:before="54"/>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6"/>
        <w:gridCol w:w="1224"/>
        <w:gridCol w:w="1332"/>
        <w:gridCol w:w="1145"/>
        <w:gridCol w:w="1224"/>
      </w:tblGrid>
      <w:tr w:rsidR="002C6574" w14:paraId="64E97C9E" w14:textId="77777777">
        <w:trPr>
          <w:trHeight w:val="414"/>
        </w:trPr>
        <w:tc>
          <w:tcPr>
            <w:tcW w:w="4846" w:type="dxa"/>
            <w:shd w:val="clear" w:color="auto" w:fill="BFBFBF"/>
          </w:tcPr>
          <w:p w14:paraId="7C0572CF" w14:textId="77777777" w:rsidR="002C6574" w:rsidRDefault="00000000">
            <w:pPr>
              <w:pStyle w:val="TableParagraph"/>
              <w:spacing w:before="104"/>
              <w:ind w:left="119"/>
              <w:jc w:val="left"/>
              <w:rPr>
                <w:rFonts w:ascii="Arial" w:hAnsi="Arial"/>
                <w:b/>
                <w:sz w:val="18"/>
              </w:rPr>
            </w:pPr>
            <w:r>
              <w:rPr>
                <w:rFonts w:ascii="Arial" w:hAnsi="Arial"/>
                <w:b/>
                <w:spacing w:val="-2"/>
                <w:sz w:val="18"/>
              </w:rPr>
              <w:t>Movimentação:</w:t>
            </w:r>
          </w:p>
        </w:tc>
        <w:tc>
          <w:tcPr>
            <w:tcW w:w="1224" w:type="dxa"/>
          </w:tcPr>
          <w:p w14:paraId="78125E51" w14:textId="77777777" w:rsidR="002C6574" w:rsidRDefault="00000000">
            <w:pPr>
              <w:pStyle w:val="TableParagraph"/>
              <w:spacing w:line="208" w:lineRule="exact"/>
              <w:ind w:left="186" w:right="167" w:hanging="3"/>
              <w:jc w:val="left"/>
              <w:rPr>
                <w:rFonts w:ascii="Arial" w:hAnsi="Arial"/>
                <w:b/>
                <w:sz w:val="18"/>
              </w:rPr>
            </w:pPr>
            <w:r>
              <w:rPr>
                <w:rFonts w:ascii="Arial" w:hAnsi="Arial"/>
                <w:b/>
                <w:spacing w:val="-2"/>
                <w:sz w:val="18"/>
              </w:rPr>
              <w:t xml:space="preserve">Ministério </w:t>
            </w:r>
            <w:r>
              <w:rPr>
                <w:rFonts w:ascii="Arial" w:hAnsi="Arial"/>
                <w:b/>
                <w:sz w:val="18"/>
              </w:rPr>
              <w:t>da</w:t>
            </w:r>
            <w:r>
              <w:rPr>
                <w:rFonts w:ascii="Arial" w:hAnsi="Arial"/>
                <w:b/>
                <w:spacing w:val="2"/>
                <w:sz w:val="18"/>
              </w:rPr>
              <w:t xml:space="preserve"> </w:t>
            </w:r>
            <w:r>
              <w:rPr>
                <w:rFonts w:ascii="Arial" w:hAnsi="Arial"/>
                <w:b/>
                <w:spacing w:val="-2"/>
                <w:sz w:val="18"/>
              </w:rPr>
              <w:t>Defesa</w:t>
            </w:r>
          </w:p>
        </w:tc>
        <w:tc>
          <w:tcPr>
            <w:tcW w:w="1332" w:type="dxa"/>
          </w:tcPr>
          <w:p w14:paraId="73B931A6" w14:textId="77777777" w:rsidR="002C6574" w:rsidRDefault="00000000">
            <w:pPr>
              <w:pStyle w:val="TableParagraph"/>
              <w:spacing w:before="104"/>
              <w:ind w:left="378"/>
              <w:jc w:val="left"/>
              <w:rPr>
                <w:rFonts w:ascii="Arial"/>
                <w:b/>
                <w:sz w:val="18"/>
              </w:rPr>
            </w:pPr>
            <w:r>
              <w:rPr>
                <w:rFonts w:ascii="Arial"/>
                <w:b/>
                <w:spacing w:val="-4"/>
                <w:sz w:val="18"/>
              </w:rPr>
              <w:t>MCOM</w:t>
            </w:r>
          </w:p>
        </w:tc>
        <w:tc>
          <w:tcPr>
            <w:tcW w:w="1145" w:type="dxa"/>
          </w:tcPr>
          <w:p w14:paraId="22B2A09F" w14:textId="77777777" w:rsidR="002C6574" w:rsidRDefault="00000000">
            <w:pPr>
              <w:pStyle w:val="TableParagraph"/>
              <w:spacing w:before="104"/>
              <w:ind w:left="381"/>
              <w:jc w:val="left"/>
              <w:rPr>
                <w:rFonts w:ascii="Arial"/>
                <w:b/>
                <w:sz w:val="18"/>
              </w:rPr>
            </w:pPr>
            <w:r>
              <w:rPr>
                <w:rFonts w:ascii="Arial"/>
                <w:b/>
                <w:spacing w:val="-2"/>
                <w:sz w:val="18"/>
              </w:rPr>
              <w:t>V.tal</w:t>
            </w:r>
          </w:p>
        </w:tc>
        <w:tc>
          <w:tcPr>
            <w:tcW w:w="1224" w:type="dxa"/>
          </w:tcPr>
          <w:p w14:paraId="39C8BC38" w14:textId="77777777" w:rsidR="002C6574" w:rsidRDefault="00000000">
            <w:pPr>
              <w:pStyle w:val="TableParagraph"/>
              <w:spacing w:before="104"/>
              <w:ind w:left="394"/>
              <w:jc w:val="left"/>
              <w:rPr>
                <w:rFonts w:ascii="Arial"/>
                <w:b/>
                <w:sz w:val="18"/>
              </w:rPr>
            </w:pPr>
            <w:r>
              <w:rPr>
                <w:rFonts w:ascii="Arial"/>
                <w:b/>
                <w:spacing w:val="-2"/>
                <w:sz w:val="18"/>
              </w:rPr>
              <w:t>Total</w:t>
            </w:r>
          </w:p>
        </w:tc>
      </w:tr>
      <w:tr w:rsidR="002C6574" w14:paraId="7FA6DAE0" w14:textId="77777777">
        <w:trPr>
          <w:trHeight w:val="231"/>
        </w:trPr>
        <w:tc>
          <w:tcPr>
            <w:tcW w:w="4846" w:type="dxa"/>
          </w:tcPr>
          <w:p w14:paraId="6C5EB627" w14:textId="77777777" w:rsidR="002C6574" w:rsidRDefault="00000000">
            <w:pPr>
              <w:pStyle w:val="TableParagraph"/>
              <w:spacing w:before="9" w:line="201"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2024</w:t>
            </w:r>
          </w:p>
        </w:tc>
        <w:tc>
          <w:tcPr>
            <w:tcW w:w="1224" w:type="dxa"/>
          </w:tcPr>
          <w:p w14:paraId="087EE092" w14:textId="77777777" w:rsidR="002C6574" w:rsidRDefault="00000000">
            <w:pPr>
              <w:pStyle w:val="TableParagraph"/>
              <w:spacing w:before="9" w:line="201" w:lineRule="exact"/>
              <w:ind w:right="58"/>
              <w:rPr>
                <w:rFonts w:ascii="Arial"/>
                <w:b/>
                <w:sz w:val="18"/>
              </w:rPr>
            </w:pPr>
            <w:r>
              <w:rPr>
                <w:rFonts w:ascii="Arial"/>
                <w:b/>
                <w:spacing w:val="-2"/>
                <w:sz w:val="18"/>
              </w:rPr>
              <w:t>310.085</w:t>
            </w:r>
          </w:p>
        </w:tc>
        <w:tc>
          <w:tcPr>
            <w:tcW w:w="1332" w:type="dxa"/>
          </w:tcPr>
          <w:p w14:paraId="0679F1D2" w14:textId="77777777" w:rsidR="002C6574" w:rsidRDefault="00000000">
            <w:pPr>
              <w:pStyle w:val="TableParagraph"/>
              <w:spacing w:before="9" w:line="201" w:lineRule="exact"/>
              <w:ind w:right="62"/>
              <w:rPr>
                <w:rFonts w:ascii="Arial"/>
                <w:b/>
                <w:sz w:val="18"/>
              </w:rPr>
            </w:pPr>
            <w:r>
              <w:rPr>
                <w:rFonts w:ascii="Arial"/>
                <w:b/>
                <w:spacing w:val="-2"/>
                <w:sz w:val="18"/>
              </w:rPr>
              <w:t>7.926</w:t>
            </w:r>
          </w:p>
        </w:tc>
        <w:tc>
          <w:tcPr>
            <w:tcW w:w="1145" w:type="dxa"/>
          </w:tcPr>
          <w:p w14:paraId="0F3EC249" w14:textId="77777777" w:rsidR="002C6574" w:rsidRDefault="00000000">
            <w:pPr>
              <w:pStyle w:val="TableParagraph"/>
              <w:spacing w:before="9" w:line="201" w:lineRule="exact"/>
              <w:ind w:right="58"/>
              <w:rPr>
                <w:rFonts w:ascii="Arial"/>
                <w:b/>
                <w:sz w:val="18"/>
              </w:rPr>
            </w:pPr>
            <w:r>
              <w:rPr>
                <w:rFonts w:ascii="Arial"/>
                <w:b/>
                <w:spacing w:val="-10"/>
                <w:sz w:val="18"/>
              </w:rPr>
              <w:t>-</w:t>
            </w:r>
          </w:p>
        </w:tc>
        <w:tc>
          <w:tcPr>
            <w:tcW w:w="1224" w:type="dxa"/>
          </w:tcPr>
          <w:p w14:paraId="75B01873" w14:textId="77777777" w:rsidR="002C6574" w:rsidRDefault="00000000">
            <w:pPr>
              <w:pStyle w:val="TableParagraph"/>
              <w:spacing w:before="9" w:line="201" w:lineRule="exact"/>
              <w:ind w:right="60"/>
              <w:rPr>
                <w:rFonts w:ascii="Arial"/>
                <w:b/>
                <w:sz w:val="18"/>
              </w:rPr>
            </w:pPr>
            <w:r>
              <w:rPr>
                <w:rFonts w:ascii="Arial"/>
                <w:b/>
                <w:spacing w:val="-2"/>
                <w:sz w:val="18"/>
              </w:rPr>
              <w:t>318.011</w:t>
            </w:r>
          </w:p>
        </w:tc>
      </w:tr>
      <w:tr w:rsidR="002C6574" w14:paraId="61CA032A" w14:textId="77777777">
        <w:trPr>
          <w:trHeight w:val="232"/>
        </w:trPr>
        <w:tc>
          <w:tcPr>
            <w:tcW w:w="4846" w:type="dxa"/>
          </w:tcPr>
          <w:p w14:paraId="3F27C12E" w14:textId="77777777" w:rsidR="002C6574" w:rsidRDefault="00000000">
            <w:pPr>
              <w:pStyle w:val="TableParagraph"/>
              <w:spacing w:before="11" w:line="201" w:lineRule="exact"/>
              <w:ind w:left="69"/>
              <w:jc w:val="left"/>
              <w:rPr>
                <w:rFonts w:ascii="Arial"/>
                <w:b/>
                <w:sz w:val="18"/>
              </w:rPr>
            </w:pPr>
            <w:r>
              <w:rPr>
                <w:rFonts w:ascii="Arial"/>
                <w:b/>
                <w:spacing w:val="-2"/>
                <w:sz w:val="18"/>
              </w:rPr>
              <w:t>Ingressos</w:t>
            </w:r>
          </w:p>
        </w:tc>
        <w:tc>
          <w:tcPr>
            <w:tcW w:w="1224" w:type="dxa"/>
          </w:tcPr>
          <w:p w14:paraId="732ADAA6" w14:textId="77777777" w:rsidR="002C6574" w:rsidRDefault="00000000">
            <w:pPr>
              <w:pStyle w:val="TableParagraph"/>
              <w:spacing w:before="11" w:line="201" w:lineRule="exact"/>
              <w:ind w:right="57"/>
              <w:rPr>
                <w:rFonts w:ascii="Arial"/>
                <w:b/>
                <w:sz w:val="18"/>
              </w:rPr>
            </w:pPr>
            <w:r>
              <w:rPr>
                <w:rFonts w:ascii="Arial"/>
                <w:b/>
                <w:spacing w:val="-10"/>
                <w:sz w:val="18"/>
              </w:rPr>
              <w:t>-</w:t>
            </w:r>
          </w:p>
        </w:tc>
        <w:tc>
          <w:tcPr>
            <w:tcW w:w="1332" w:type="dxa"/>
          </w:tcPr>
          <w:p w14:paraId="4E130372" w14:textId="77777777" w:rsidR="002C6574" w:rsidRDefault="00000000">
            <w:pPr>
              <w:pStyle w:val="TableParagraph"/>
              <w:spacing w:before="11" w:line="201" w:lineRule="exact"/>
              <w:ind w:right="60"/>
              <w:rPr>
                <w:rFonts w:ascii="Arial"/>
                <w:b/>
                <w:sz w:val="18"/>
              </w:rPr>
            </w:pPr>
            <w:r>
              <w:rPr>
                <w:rFonts w:ascii="Arial"/>
                <w:b/>
                <w:spacing w:val="-10"/>
                <w:sz w:val="18"/>
              </w:rPr>
              <w:t>-</w:t>
            </w:r>
          </w:p>
        </w:tc>
        <w:tc>
          <w:tcPr>
            <w:tcW w:w="1145" w:type="dxa"/>
          </w:tcPr>
          <w:p w14:paraId="4A78110B" w14:textId="77777777" w:rsidR="002C6574" w:rsidRDefault="00000000">
            <w:pPr>
              <w:pStyle w:val="TableParagraph"/>
              <w:spacing w:before="11" w:line="201" w:lineRule="exact"/>
              <w:ind w:right="60"/>
              <w:rPr>
                <w:rFonts w:ascii="Arial"/>
                <w:b/>
                <w:sz w:val="18"/>
              </w:rPr>
            </w:pPr>
            <w:r>
              <w:rPr>
                <w:rFonts w:ascii="Arial"/>
                <w:b/>
                <w:spacing w:val="-2"/>
                <w:sz w:val="18"/>
              </w:rPr>
              <w:t>4.226</w:t>
            </w:r>
          </w:p>
        </w:tc>
        <w:tc>
          <w:tcPr>
            <w:tcW w:w="1224" w:type="dxa"/>
          </w:tcPr>
          <w:p w14:paraId="7B32AAA9" w14:textId="77777777" w:rsidR="002C6574" w:rsidRDefault="00000000">
            <w:pPr>
              <w:pStyle w:val="TableParagraph"/>
              <w:spacing w:before="11" w:line="201" w:lineRule="exact"/>
              <w:ind w:right="60"/>
              <w:rPr>
                <w:rFonts w:ascii="Arial"/>
                <w:b/>
                <w:sz w:val="18"/>
              </w:rPr>
            </w:pPr>
            <w:r>
              <w:rPr>
                <w:rFonts w:ascii="Arial"/>
                <w:b/>
                <w:spacing w:val="-2"/>
                <w:sz w:val="18"/>
              </w:rPr>
              <w:t>4.226</w:t>
            </w:r>
          </w:p>
        </w:tc>
      </w:tr>
      <w:tr w:rsidR="002C6574" w14:paraId="7F547AFC" w14:textId="77777777">
        <w:trPr>
          <w:trHeight w:val="230"/>
        </w:trPr>
        <w:tc>
          <w:tcPr>
            <w:tcW w:w="4846" w:type="dxa"/>
          </w:tcPr>
          <w:p w14:paraId="1DE84025" w14:textId="77777777" w:rsidR="002C6574" w:rsidRDefault="00000000">
            <w:pPr>
              <w:pStyle w:val="TableParagraph"/>
              <w:spacing w:line="210" w:lineRule="exact"/>
              <w:ind w:left="69"/>
              <w:jc w:val="left"/>
              <w:rPr>
                <w:sz w:val="18"/>
              </w:rPr>
            </w:pPr>
            <w:r>
              <w:rPr>
                <w:sz w:val="18"/>
              </w:rPr>
              <w:t>Baixa</w:t>
            </w:r>
            <w:r>
              <w:rPr>
                <w:spacing w:val="11"/>
                <w:sz w:val="18"/>
              </w:rPr>
              <w:t xml:space="preserve"> </w:t>
            </w:r>
            <w:r>
              <w:rPr>
                <w:sz w:val="18"/>
              </w:rPr>
              <w:t>de</w:t>
            </w:r>
            <w:r>
              <w:rPr>
                <w:spacing w:val="16"/>
                <w:sz w:val="18"/>
              </w:rPr>
              <w:t xml:space="preserve"> </w:t>
            </w:r>
            <w:r>
              <w:rPr>
                <w:sz w:val="18"/>
              </w:rPr>
              <w:t>Receita</w:t>
            </w:r>
            <w:r>
              <w:rPr>
                <w:spacing w:val="15"/>
                <w:sz w:val="18"/>
              </w:rPr>
              <w:t xml:space="preserve"> </w:t>
            </w:r>
            <w:r>
              <w:rPr>
                <w:sz w:val="18"/>
              </w:rPr>
              <w:t>por</w:t>
            </w:r>
            <w:r>
              <w:rPr>
                <w:spacing w:val="17"/>
                <w:sz w:val="18"/>
              </w:rPr>
              <w:t xml:space="preserve"> </w:t>
            </w:r>
            <w:r>
              <w:rPr>
                <w:sz w:val="18"/>
              </w:rPr>
              <w:t>Serviços</w:t>
            </w:r>
            <w:r>
              <w:rPr>
                <w:spacing w:val="16"/>
                <w:sz w:val="18"/>
              </w:rPr>
              <w:t xml:space="preserve"> </w:t>
            </w:r>
            <w:r>
              <w:rPr>
                <w:sz w:val="18"/>
              </w:rPr>
              <w:t>Prestados</w:t>
            </w:r>
            <w:r>
              <w:rPr>
                <w:spacing w:val="16"/>
                <w:sz w:val="18"/>
              </w:rPr>
              <w:t xml:space="preserve"> </w:t>
            </w:r>
            <w:r>
              <w:rPr>
                <w:sz w:val="18"/>
              </w:rPr>
              <w:t>-</w:t>
            </w:r>
            <w:r>
              <w:rPr>
                <w:spacing w:val="17"/>
                <w:sz w:val="18"/>
              </w:rPr>
              <w:t xml:space="preserve"> </w:t>
            </w:r>
            <w:r>
              <w:rPr>
                <w:sz w:val="18"/>
              </w:rPr>
              <w:t>Banda</w:t>
            </w:r>
            <w:r>
              <w:rPr>
                <w:spacing w:val="19"/>
                <w:sz w:val="18"/>
              </w:rPr>
              <w:t xml:space="preserve"> </w:t>
            </w:r>
            <w:r>
              <w:rPr>
                <w:spacing w:val="-10"/>
                <w:sz w:val="18"/>
              </w:rPr>
              <w:t>X</w:t>
            </w:r>
          </w:p>
        </w:tc>
        <w:tc>
          <w:tcPr>
            <w:tcW w:w="1224" w:type="dxa"/>
          </w:tcPr>
          <w:p w14:paraId="71F195C4" w14:textId="77777777" w:rsidR="002C6574" w:rsidRDefault="00000000">
            <w:pPr>
              <w:pStyle w:val="TableParagraph"/>
              <w:spacing w:line="210" w:lineRule="exact"/>
              <w:ind w:right="57"/>
              <w:rPr>
                <w:sz w:val="18"/>
              </w:rPr>
            </w:pPr>
            <w:r>
              <w:rPr>
                <w:spacing w:val="-2"/>
                <w:w w:val="110"/>
                <w:sz w:val="18"/>
              </w:rPr>
              <w:t>(36.480)</w:t>
            </w:r>
          </w:p>
        </w:tc>
        <w:tc>
          <w:tcPr>
            <w:tcW w:w="1332" w:type="dxa"/>
          </w:tcPr>
          <w:p w14:paraId="5C0B8799" w14:textId="77777777" w:rsidR="002C6574" w:rsidRDefault="00000000">
            <w:pPr>
              <w:pStyle w:val="TableParagraph"/>
              <w:spacing w:line="210" w:lineRule="exact"/>
              <w:ind w:right="57"/>
              <w:rPr>
                <w:sz w:val="18"/>
              </w:rPr>
            </w:pPr>
            <w:r>
              <w:rPr>
                <w:spacing w:val="-10"/>
                <w:w w:val="95"/>
                <w:sz w:val="18"/>
              </w:rPr>
              <w:t>-</w:t>
            </w:r>
          </w:p>
        </w:tc>
        <w:tc>
          <w:tcPr>
            <w:tcW w:w="1145" w:type="dxa"/>
          </w:tcPr>
          <w:p w14:paraId="415DDB1D" w14:textId="77777777" w:rsidR="002C6574" w:rsidRDefault="00000000">
            <w:pPr>
              <w:pStyle w:val="TableParagraph"/>
              <w:spacing w:line="210" w:lineRule="exact"/>
              <w:ind w:right="58"/>
              <w:rPr>
                <w:sz w:val="18"/>
              </w:rPr>
            </w:pPr>
            <w:r>
              <w:rPr>
                <w:spacing w:val="-10"/>
                <w:w w:val="95"/>
                <w:sz w:val="18"/>
              </w:rPr>
              <w:t>-</w:t>
            </w:r>
          </w:p>
        </w:tc>
        <w:tc>
          <w:tcPr>
            <w:tcW w:w="1224" w:type="dxa"/>
          </w:tcPr>
          <w:p w14:paraId="48ABBBE7" w14:textId="77777777" w:rsidR="002C6574" w:rsidRDefault="00000000">
            <w:pPr>
              <w:pStyle w:val="TableParagraph"/>
              <w:spacing w:before="11" w:line="199" w:lineRule="exact"/>
              <w:ind w:right="56"/>
              <w:rPr>
                <w:rFonts w:ascii="Arial"/>
                <w:b/>
                <w:sz w:val="18"/>
              </w:rPr>
            </w:pPr>
            <w:r>
              <w:rPr>
                <w:rFonts w:ascii="Arial"/>
                <w:b/>
                <w:spacing w:val="-2"/>
                <w:sz w:val="18"/>
              </w:rPr>
              <w:t>(36.480)</w:t>
            </w:r>
          </w:p>
        </w:tc>
      </w:tr>
      <w:tr w:rsidR="002C6574" w14:paraId="793B5AE4" w14:textId="77777777">
        <w:trPr>
          <w:trHeight w:val="232"/>
        </w:trPr>
        <w:tc>
          <w:tcPr>
            <w:tcW w:w="4846" w:type="dxa"/>
          </w:tcPr>
          <w:p w14:paraId="66FF0F3A" w14:textId="77777777" w:rsidR="002C6574" w:rsidRDefault="00000000">
            <w:pPr>
              <w:pStyle w:val="TableParagraph"/>
              <w:spacing w:before="13" w:line="199"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2025</w:t>
            </w:r>
          </w:p>
        </w:tc>
        <w:tc>
          <w:tcPr>
            <w:tcW w:w="1224" w:type="dxa"/>
          </w:tcPr>
          <w:p w14:paraId="61F823AC" w14:textId="77777777" w:rsidR="002C6574" w:rsidRDefault="00000000">
            <w:pPr>
              <w:pStyle w:val="TableParagraph"/>
              <w:spacing w:before="13" w:line="199" w:lineRule="exact"/>
              <w:ind w:right="58"/>
              <w:rPr>
                <w:rFonts w:ascii="Arial"/>
                <w:b/>
                <w:sz w:val="18"/>
              </w:rPr>
            </w:pPr>
            <w:r>
              <w:rPr>
                <w:rFonts w:ascii="Arial"/>
                <w:b/>
                <w:spacing w:val="-2"/>
                <w:sz w:val="18"/>
              </w:rPr>
              <w:t>273.605</w:t>
            </w:r>
          </w:p>
        </w:tc>
        <w:tc>
          <w:tcPr>
            <w:tcW w:w="1332" w:type="dxa"/>
          </w:tcPr>
          <w:p w14:paraId="077D6424" w14:textId="77777777" w:rsidR="002C6574" w:rsidRDefault="00000000">
            <w:pPr>
              <w:pStyle w:val="TableParagraph"/>
              <w:spacing w:before="13" w:line="199" w:lineRule="exact"/>
              <w:ind w:right="62"/>
              <w:rPr>
                <w:rFonts w:ascii="Arial"/>
                <w:b/>
                <w:sz w:val="18"/>
              </w:rPr>
            </w:pPr>
            <w:r>
              <w:rPr>
                <w:rFonts w:ascii="Arial"/>
                <w:b/>
                <w:spacing w:val="-2"/>
                <w:sz w:val="18"/>
              </w:rPr>
              <w:t>7.926</w:t>
            </w:r>
          </w:p>
        </w:tc>
        <w:tc>
          <w:tcPr>
            <w:tcW w:w="1145" w:type="dxa"/>
          </w:tcPr>
          <w:p w14:paraId="707766B5" w14:textId="77777777" w:rsidR="002C6574" w:rsidRDefault="00000000">
            <w:pPr>
              <w:pStyle w:val="TableParagraph"/>
              <w:spacing w:before="13" w:line="199" w:lineRule="exact"/>
              <w:ind w:right="60"/>
              <w:rPr>
                <w:rFonts w:ascii="Arial"/>
                <w:b/>
                <w:sz w:val="18"/>
              </w:rPr>
            </w:pPr>
            <w:r>
              <w:rPr>
                <w:rFonts w:ascii="Arial"/>
                <w:b/>
                <w:spacing w:val="-2"/>
                <w:sz w:val="18"/>
              </w:rPr>
              <w:t>4.226</w:t>
            </w:r>
          </w:p>
        </w:tc>
        <w:tc>
          <w:tcPr>
            <w:tcW w:w="1224" w:type="dxa"/>
          </w:tcPr>
          <w:p w14:paraId="2FAC1F59" w14:textId="77777777" w:rsidR="002C6574" w:rsidRDefault="00000000">
            <w:pPr>
              <w:pStyle w:val="TableParagraph"/>
              <w:spacing w:before="13" w:line="199" w:lineRule="exact"/>
              <w:ind w:right="60"/>
              <w:rPr>
                <w:rFonts w:ascii="Arial"/>
                <w:b/>
                <w:sz w:val="18"/>
              </w:rPr>
            </w:pPr>
            <w:r>
              <w:rPr>
                <w:rFonts w:ascii="Arial"/>
                <w:b/>
                <w:spacing w:val="-2"/>
                <w:sz w:val="18"/>
              </w:rPr>
              <w:t>285.757</w:t>
            </w:r>
          </w:p>
        </w:tc>
      </w:tr>
      <w:tr w:rsidR="002C6574" w14:paraId="0061942F" w14:textId="77777777">
        <w:trPr>
          <w:trHeight w:val="232"/>
        </w:trPr>
        <w:tc>
          <w:tcPr>
            <w:tcW w:w="4846" w:type="dxa"/>
          </w:tcPr>
          <w:p w14:paraId="751ADA8E" w14:textId="77777777" w:rsidR="002C6574" w:rsidRDefault="00000000">
            <w:pPr>
              <w:pStyle w:val="TableParagraph"/>
              <w:spacing w:before="13" w:line="199" w:lineRule="exact"/>
              <w:ind w:left="69"/>
              <w:jc w:val="left"/>
              <w:rPr>
                <w:rFonts w:ascii="Arial"/>
                <w:b/>
                <w:sz w:val="18"/>
              </w:rPr>
            </w:pPr>
            <w:r>
              <w:rPr>
                <w:rFonts w:ascii="Arial"/>
                <w:b/>
                <w:spacing w:val="-2"/>
                <w:sz w:val="18"/>
              </w:rPr>
              <w:t>Circulante</w:t>
            </w:r>
          </w:p>
        </w:tc>
        <w:tc>
          <w:tcPr>
            <w:tcW w:w="1224" w:type="dxa"/>
          </w:tcPr>
          <w:p w14:paraId="223F71FF" w14:textId="77777777" w:rsidR="002C6574" w:rsidRDefault="00000000">
            <w:pPr>
              <w:pStyle w:val="TableParagraph"/>
              <w:spacing w:before="13" w:line="199" w:lineRule="exact"/>
              <w:ind w:right="60"/>
              <w:rPr>
                <w:rFonts w:ascii="Arial"/>
                <w:b/>
                <w:sz w:val="18"/>
              </w:rPr>
            </w:pPr>
            <w:r>
              <w:rPr>
                <w:rFonts w:ascii="Arial"/>
                <w:b/>
                <w:spacing w:val="-2"/>
                <w:sz w:val="18"/>
              </w:rPr>
              <w:t>36.480</w:t>
            </w:r>
          </w:p>
        </w:tc>
        <w:tc>
          <w:tcPr>
            <w:tcW w:w="1332" w:type="dxa"/>
          </w:tcPr>
          <w:p w14:paraId="77051994" w14:textId="77777777" w:rsidR="002C6574" w:rsidRDefault="00000000">
            <w:pPr>
              <w:pStyle w:val="TableParagraph"/>
              <w:spacing w:before="13" w:line="199" w:lineRule="exact"/>
              <w:ind w:right="62"/>
              <w:rPr>
                <w:rFonts w:ascii="Arial"/>
                <w:b/>
                <w:sz w:val="18"/>
              </w:rPr>
            </w:pPr>
            <w:r>
              <w:rPr>
                <w:rFonts w:ascii="Arial"/>
                <w:b/>
                <w:spacing w:val="-2"/>
                <w:sz w:val="18"/>
              </w:rPr>
              <w:t>7.926</w:t>
            </w:r>
          </w:p>
        </w:tc>
        <w:tc>
          <w:tcPr>
            <w:tcW w:w="1145" w:type="dxa"/>
          </w:tcPr>
          <w:p w14:paraId="19B329B8" w14:textId="77777777" w:rsidR="002C6574" w:rsidRDefault="002C6574">
            <w:pPr>
              <w:pStyle w:val="TableParagraph"/>
              <w:jc w:val="left"/>
              <w:rPr>
                <w:rFonts w:ascii="Times New Roman"/>
                <w:sz w:val="16"/>
              </w:rPr>
            </w:pPr>
          </w:p>
        </w:tc>
        <w:tc>
          <w:tcPr>
            <w:tcW w:w="1224" w:type="dxa"/>
          </w:tcPr>
          <w:p w14:paraId="09544180" w14:textId="77777777" w:rsidR="002C6574" w:rsidRDefault="00000000">
            <w:pPr>
              <w:pStyle w:val="TableParagraph"/>
              <w:spacing w:before="13" w:line="199" w:lineRule="exact"/>
              <w:ind w:right="60"/>
              <w:rPr>
                <w:rFonts w:ascii="Arial"/>
                <w:b/>
                <w:sz w:val="18"/>
              </w:rPr>
            </w:pPr>
            <w:r>
              <w:rPr>
                <w:rFonts w:ascii="Arial"/>
                <w:b/>
                <w:spacing w:val="-2"/>
                <w:sz w:val="18"/>
              </w:rPr>
              <w:t>44.406</w:t>
            </w:r>
          </w:p>
        </w:tc>
      </w:tr>
    </w:tbl>
    <w:p w14:paraId="3A7E89E5" w14:textId="77777777" w:rsidR="002C6574" w:rsidRDefault="002C6574">
      <w:pPr>
        <w:pStyle w:val="TableParagraph"/>
        <w:spacing w:line="199" w:lineRule="exact"/>
        <w:rPr>
          <w:rFonts w:ascii="Arial"/>
          <w:b/>
          <w:sz w:val="18"/>
        </w:rPr>
        <w:sectPr w:rsidR="002C6574">
          <w:pgSz w:w="11910" w:h="16840"/>
          <w:pgMar w:top="1600" w:right="141" w:bottom="1320" w:left="1133" w:header="856" w:footer="1125" w:gutter="0"/>
          <w:cols w:space="720"/>
        </w:sectPr>
      </w:pPr>
    </w:p>
    <w:p w14:paraId="237CE039" w14:textId="77777777" w:rsidR="002C6574" w:rsidRDefault="002C6574">
      <w:pPr>
        <w:pStyle w:val="Corpodetexto"/>
        <w:spacing w:before="3"/>
        <w:rPr>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6"/>
        <w:gridCol w:w="1224"/>
        <w:gridCol w:w="1332"/>
        <w:gridCol w:w="1145"/>
        <w:gridCol w:w="1224"/>
      </w:tblGrid>
      <w:tr w:rsidR="002C6574" w14:paraId="14CCC67A" w14:textId="77777777">
        <w:trPr>
          <w:trHeight w:val="414"/>
        </w:trPr>
        <w:tc>
          <w:tcPr>
            <w:tcW w:w="4846" w:type="dxa"/>
            <w:shd w:val="clear" w:color="auto" w:fill="BFBFBF"/>
          </w:tcPr>
          <w:p w14:paraId="08B2BE41" w14:textId="77777777" w:rsidR="002C6574" w:rsidRDefault="00000000">
            <w:pPr>
              <w:pStyle w:val="TableParagraph"/>
              <w:spacing w:before="104"/>
              <w:ind w:left="119"/>
              <w:jc w:val="left"/>
              <w:rPr>
                <w:rFonts w:ascii="Arial" w:hAnsi="Arial"/>
                <w:b/>
                <w:sz w:val="18"/>
              </w:rPr>
            </w:pPr>
            <w:r>
              <w:rPr>
                <w:rFonts w:ascii="Arial" w:hAnsi="Arial"/>
                <w:b/>
                <w:spacing w:val="-2"/>
                <w:sz w:val="18"/>
              </w:rPr>
              <w:t>Movimentação:</w:t>
            </w:r>
          </w:p>
        </w:tc>
        <w:tc>
          <w:tcPr>
            <w:tcW w:w="1224" w:type="dxa"/>
          </w:tcPr>
          <w:p w14:paraId="4C398B65" w14:textId="77777777" w:rsidR="002C6574" w:rsidRDefault="00000000">
            <w:pPr>
              <w:pStyle w:val="TableParagraph"/>
              <w:spacing w:line="208" w:lineRule="exact"/>
              <w:ind w:left="186" w:right="167" w:hanging="3"/>
              <w:jc w:val="left"/>
              <w:rPr>
                <w:rFonts w:ascii="Arial" w:hAnsi="Arial"/>
                <w:b/>
                <w:sz w:val="18"/>
              </w:rPr>
            </w:pPr>
            <w:r>
              <w:rPr>
                <w:rFonts w:ascii="Arial" w:hAnsi="Arial"/>
                <w:b/>
                <w:spacing w:val="-2"/>
                <w:sz w:val="18"/>
              </w:rPr>
              <w:t xml:space="preserve">Ministério </w:t>
            </w:r>
            <w:r>
              <w:rPr>
                <w:rFonts w:ascii="Arial" w:hAnsi="Arial"/>
                <w:b/>
                <w:sz w:val="18"/>
              </w:rPr>
              <w:t>da</w:t>
            </w:r>
            <w:r>
              <w:rPr>
                <w:rFonts w:ascii="Arial" w:hAnsi="Arial"/>
                <w:b/>
                <w:spacing w:val="2"/>
                <w:sz w:val="18"/>
              </w:rPr>
              <w:t xml:space="preserve"> </w:t>
            </w:r>
            <w:r>
              <w:rPr>
                <w:rFonts w:ascii="Arial" w:hAnsi="Arial"/>
                <w:b/>
                <w:spacing w:val="-2"/>
                <w:sz w:val="18"/>
              </w:rPr>
              <w:t>Defesa</w:t>
            </w:r>
          </w:p>
        </w:tc>
        <w:tc>
          <w:tcPr>
            <w:tcW w:w="1332" w:type="dxa"/>
          </w:tcPr>
          <w:p w14:paraId="56A57BFB" w14:textId="77777777" w:rsidR="002C6574" w:rsidRDefault="00000000">
            <w:pPr>
              <w:pStyle w:val="TableParagraph"/>
              <w:spacing w:before="104"/>
              <w:ind w:left="378"/>
              <w:jc w:val="left"/>
              <w:rPr>
                <w:rFonts w:ascii="Arial"/>
                <w:b/>
                <w:sz w:val="18"/>
              </w:rPr>
            </w:pPr>
            <w:r>
              <w:rPr>
                <w:rFonts w:ascii="Arial"/>
                <w:b/>
                <w:spacing w:val="-4"/>
                <w:sz w:val="18"/>
              </w:rPr>
              <w:t>MCOM</w:t>
            </w:r>
          </w:p>
        </w:tc>
        <w:tc>
          <w:tcPr>
            <w:tcW w:w="1145" w:type="dxa"/>
          </w:tcPr>
          <w:p w14:paraId="2592214E" w14:textId="77777777" w:rsidR="002C6574" w:rsidRDefault="00000000">
            <w:pPr>
              <w:pStyle w:val="TableParagraph"/>
              <w:spacing w:before="104"/>
              <w:ind w:left="381"/>
              <w:jc w:val="left"/>
              <w:rPr>
                <w:rFonts w:ascii="Arial"/>
                <w:b/>
                <w:sz w:val="18"/>
              </w:rPr>
            </w:pPr>
            <w:r>
              <w:rPr>
                <w:rFonts w:ascii="Arial"/>
                <w:b/>
                <w:spacing w:val="-2"/>
                <w:sz w:val="18"/>
              </w:rPr>
              <w:t>V.tal</w:t>
            </w:r>
          </w:p>
        </w:tc>
        <w:tc>
          <w:tcPr>
            <w:tcW w:w="1224" w:type="dxa"/>
          </w:tcPr>
          <w:p w14:paraId="72146DFF" w14:textId="77777777" w:rsidR="002C6574" w:rsidRDefault="00000000">
            <w:pPr>
              <w:pStyle w:val="TableParagraph"/>
              <w:spacing w:before="104"/>
              <w:ind w:left="394"/>
              <w:jc w:val="left"/>
              <w:rPr>
                <w:rFonts w:ascii="Arial"/>
                <w:b/>
                <w:sz w:val="18"/>
              </w:rPr>
            </w:pPr>
            <w:r>
              <w:rPr>
                <w:rFonts w:ascii="Arial"/>
                <w:b/>
                <w:spacing w:val="-2"/>
                <w:sz w:val="18"/>
              </w:rPr>
              <w:t>Total</w:t>
            </w:r>
          </w:p>
        </w:tc>
      </w:tr>
      <w:tr w:rsidR="002C6574" w14:paraId="630FB6BF" w14:textId="77777777">
        <w:trPr>
          <w:trHeight w:val="231"/>
        </w:trPr>
        <w:tc>
          <w:tcPr>
            <w:tcW w:w="4846" w:type="dxa"/>
          </w:tcPr>
          <w:p w14:paraId="0EE6ED19" w14:textId="77777777" w:rsidR="002C6574" w:rsidRDefault="00000000">
            <w:pPr>
              <w:pStyle w:val="TableParagraph"/>
              <w:spacing w:before="9" w:line="201" w:lineRule="exact"/>
              <w:ind w:left="69"/>
              <w:jc w:val="left"/>
              <w:rPr>
                <w:rFonts w:ascii="Arial" w:hAnsi="Arial"/>
                <w:b/>
                <w:sz w:val="18"/>
              </w:rPr>
            </w:pPr>
            <w:r>
              <w:rPr>
                <w:rFonts w:ascii="Arial" w:hAnsi="Arial"/>
                <w:b/>
                <w:sz w:val="18"/>
              </w:rPr>
              <w:t xml:space="preserve">Não </w:t>
            </w:r>
            <w:r>
              <w:rPr>
                <w:rFonts w:ascii="Arial" w:hAnsi="Arial"/>
                <w:b/>
                <w:spacing w:val="-2"/>
                <w:sz w:val="18"/>
              </w:rPr>
              <w:t>Circulante</w:t>
            </w:r>
          </w:p>
        </w:tc>
        <w:tc>
          <w:tcPr>
            <w:tcW w:w="1224" w:type="dxa"/>
          </w:tcPr>
          <w:p w14:paraId="4C228317" w14:textId="77777777" w:rsidR="002C6574" w:rsidRDefault="00000000">
            <w:pPr>
              <w:pStyle w:val="TableParagraph"/>
              <w:spacing w:before="9" w:line="201" w:lineRule="exact"/>
              <w:ind w:left="503"/>
              <w:jc w:val="left"/>
              <w:rPr>
                <w:rFonts w:ascii="Arial"/>
                <w:b/>
                <w:sz w:val="18"/>
              </w:rPr>
            </w:pPr>
            <w:r>
              <w:rPr>
                <w:rFonts w:ascii="Arial"/>
                <w:b/>
                <w:spacing w:val="-2"/>
                <w:sz w:val="18"/>
              </w:rPr>
              <w:t>237.125</w:t>
            </w:r>
          </w:p>
        </w:tc>
        <w:tc>
          <w:tcPr>
            <w:tcW w:w="1332" w:type="dxa"/>
          </w:tcPr>
          <w:p w14:paraId="630BED3C" w14:textId="77777777" w:rsidR="002C6574" w:rsidRDefault="00000000">
            <w:pPr>
              <w:pStyle w:val="TableParagraph"/>
              <w:spacing w:line="211" w:lineRule="exact"/>
              <w:ind w:right="61"/>
              <w:rPr>
                <w:sz w:val="18"/>
              </w:rPr>
            </w:pPr>
            <w:r>
              <w:rPr>
                <w:spacing w:val="-10"/>
                <w:w w:val="95"/>
                <w:sz w:val="18"/>
              </w:rPr>
              <w:t>-</w:t>
            </w:r>
          </w:p>
        </w:tc>
        <w:tc>
          <w:tcPr>
            <w:tcW w:w="1145" w:type="dxa"/>
          </w:tcPr>
          <w:p w14:paraId="5B98F581" w14:textId="77777777" w:rsidR="002C6574" w:rsidRDefault="00000000">
            <w:pPr>
              <w:pStyle w:val="TableParagraph"/>
              <w:spacing w:line="211" w:lineRule="exact"/>
              <w:ind w:left="622"/>
              <w:jc w:val="left"/>
              <w:rPr>
                <w:sz w:val="18"/>
              </w:rPr>
            </w:pPr>
            <w:r>
              <w:rPr>
                <w:spacing w:val="-2"/>
                <w:w w:val="110"/>
                <w:sz w:val="18"/>
              </w:rPr>
              <w:t>4.226</w:t>
            </w:r>
          </w:p>
        </w:tc>
        <w:tc>
          <w:tcPr>
            <w:tcW w:w="1224" w:type="dxa"/>
          </w:tcPr>
          <w:p w14:paraId="160F467C" w14:textId="77777777" w:rsidR="002C6574" w:rsidRDefault="00000000">
            <w:pPr>
              <w:pStyle w:val="TableParagraph"/>
              <w:spacing w:before="9" w:line="201" w:lineRule="exact"/>
              <w:ind w:left="503"/>
              <w:jc w:val="left"/>
              <w:rPr>
                <w:rFonts w:ascii="Arial"/>
                <w:b/>
                <w:sz w:val="18"/>
              </w:rPr>
            </w:pPr>
            <w:r>
              <w:rPr>
                <w:rFonts w:ascii="Arial"/>
                <w:b/>
                <w:spacing w:val="-2"/>
                <w:sz w:val="18"/>
              </w:rPr>
              <w:t>241.351</w:t>
            </w:r>
          </w:p>
        </w:tc>
      </w:tr>
    </w:tbl>
    <w:p w14:paraId="6CE2A3F6" w14:textId="77777777" w:rsidR="002C6574" w:rsidRDefault="00000000">
      <w:pPr>
        <w:numPr>
          <w:ilvl w:val="0"/>
          <w:numId w:val="54"/>
        </w:numPr>
        <w:tabs>
          <w:tab w:val="left" w:pos="995"/>
        </w:tabs>
        <w:spacing w:before="291"/>
        <w:ind w:left="995" w:hanging="852"/>
        <w:rPr>
          <w:rFonts w:ascii="Arial" w:hAnsi="Arial"/>
          <w:b/>
        </w:rPr>
      </w:pPr>
      <w:r>
        <w:rPr>
          <w:rFonts w:ascii="Arial" w:hAnsi="Arial"/>
          <w:b/>
        </w:rPr>
        <w:t>SUBVENÇÕES</w:t>
      </w:r>
      <w:r>
        <w:rPr>
          <w:rFonts w:ascii="Arial" w:hAnsi="Arial"/>
          <w:b/>
          <w:spacing w:val="-7"/>
        </w:rPr>
        <w:t xml:space="preserve"> </w:t>
      </w:r>
      <w:r>
        <w:rPr>
          <w:rFonts w:ascii="Arial" w:hAnsi="Arial"/>
          <w:b/>
        </w:rPr>
        <w:t>ORÇAMENTÁRIAS</w:t>
      </w:r>
      <w:r>
        <w:rPr>
          <w:rFonts w:ascii="Arial" w:hAnsi="Arial"/>
          <w:b/>
          <w:spacing w:val="-9"/>
        </w:rPr>
        <w:t xml:space="preserve"> </w:t>
      </w:r>
      <w:r>
        <w:rPr>
          <w:rFonts w:ascii="Arial" w:hAnsi="Arial"/>
          <w:b/>
        </w:rPr>
        <w:t>A</w:t>
      </w:r>
      <w:r>
        <w:rPr>
          <w:rFonts w:ascii="Arial" w:hAnsi="Arial"/>
          <w:b/>
          <w:spacing w:val="-3"/>
        </w:rPr>
        <w:t xml:space="preserve"> </w:t>
      </w:r>
      <w:r>
        <w:rPr>
          <w:rFonts w:ascii="Arial" w:hAnsi="Arial"/>
          <w:b/>
          <w:spacing w:val="-2"/>
        </w:rPr>
        <w:t>REALIZAR</w:t>
      </w:r>
    </w:p>
    <w:p w14:paraId="4DB907C2" w14:textId="77777777" w:rsidR="002C6574" w:rsidRDefault="002C6574">
      <w:pPr>
        <w:pStyle w:val="Corpodetexto"/>
        <w:spacing w:before="99"/>
        <w:rPr>
          <w:rFonts w:ascii="Arial"/>
          <w:b/>
        </w:rPr>
      </w:pPr>
    </w:p>
    <w:p w14:paraId="4E6B6CD3" w14:textId="77777777" w:rsidR="002C6574" w:rsidRDefault="00000000">
      <w:pPr>
        <w:pStyle w:val="Corpodetexto"/>
        <w:ind w:left="143" w:right="704"/>
        <w:jc w:val="both"/>
      </w:pPr>
      <w:r>
        <w:t>Em 31 de dezembro de 2025, o saldo de subvenções a realizar totalizava R$ 52.741, correspondente ao</w:t>
      </w:r>
      <w:r>
        <w:rPr>
          <w:spacing w:val="-11"/>
        </w:rPr>
        <w:t xml:space="preserve"> </w:t>
      </w:r>
      <w:r>
        <w:t>valor</w:t>
      </w:r>
      <w:r>
        <w:rPr>
          <w:spacing w:val="-13"/>
        </w:rPr>
        <w:t xml:space="preserve"> </w:t>
      </w:r>
      <w:r>
        <w:t>remanescente</w:t>
      </w:r>
      <w:r>
        <w:rPr>
          <w:spacing w:val="-11"/>
        </w:rPr>
        <w:t xml:space="preserve"> </w:t>
      </w:r>
      <w:r>
        <w:t>do</w:t>
      </w:r>
      <w:r>
        <w:rPr>
          <w:spacing w:val="-11"/>
        </w:rPr>
        <w:t xml:space="preserve"> </w:t>
      </w:r>
      <w:r>
        <w:t>contrato</w:t>
      </w:r>
      <w:r>
        <w:rPr>
          <w:spacing w:val="-12"/>
        </w:rPr>
        <w:t xml:space="preserve"> </w:t>
      </w:r>
      <w:r>
        <w:t>de</w:t>
      </w:r>
      <w:r>
        <w:rPr>
          <w:spacing w:val="-14"/>
        </w:rPr>
        <w:t xml:space="preserve"> </w:t>
      </w:r>
      <w:r>
        <w:t>gestão</w:t>
      </w:r>
      <w:r>
        <w:rPr>
          <w:spacing w:val="-12"/>
        </w:rPr>
        <w:t xml:space="preserve"> </w:t>
      </w:r>
      <w:r>
        <w:t>firmado</w:t>
      </w:r>
      <w:r>
        <w:rPr>
          <w:spacing w:val="-11"/>
        </w:rPr>
        <w:t xml:space="preserve"> </w:t>
      </w:r>
      <w:r>
        <w:t>com</w:t>
      </w:r>
      <w:r>
        <w:rPr>
          <w:spacing w:val="-11"/>
        </w:rPr>
        <w:t xml:space="preserve"> </w:t>
      </w:r>
      <w:r>
        <w:t>o</w:t>
      </w:r>
      <w:r>
        <w:rPr>
          <w:spacing w:val="-14"/>
        </w:rPr>
        <w:t xml:space="preserve"> </w:t>
      </w:r>
      <w:r>
        <w:t>Ministério</w:t>
      </w:r>
      <w:r>
        <w:rPr>
          <w:spacing w:val="-12"/>
        </w:rPr>
        <w:t xml:space="preserve"> </w:t>
      </w:r>
      <w:r>
        <w:t>das</w:t>
      </w:r>
      <w:r>
        <w:rPr>
          <w:spacing w:val="-13"/>
        </w:rPr>
        <w:t xml:space="preserve"> </w:t>
      </w:r>
      <w:r>
        <w:t>Comunicações</w:t>
      </w:r>
      <w:r>
        <w:rPr>
          <w:spacing w:val="-13"/>
        </w:rPr>
        <w:t xml:space="preserve"> </w:t>
      </w:r>
      <w:r>
        <w:t>no</w:t>
      </w:r>
      <w:r>
        <w:rPr>
          <w:spacing w:val="-13"/>
        </w:rPr>
        <w:t xml:space="preserve"> </w:t>
      </w:r>
      <w:r>
        <w:t>terceiro trimestre</w:t>
      </w:r>
      <w:r>
        <w:rPr>
          <w:spacing w:val="-2"/>
        </w:rPr>
        <w:t xml:space="preserve"> </w:t>
      </w:r>
      <w:r>
        <w:t>de 2025. Esse</w:t>
      </w:r>
      <w:r>
        <w:rPr>
          <w:spacing w:val="-1"/>
        </w:rPr>
        <w:t xml:space="preserve"> </w:t>
      </w:r>
      <w:r>
        <w:t>saldo será</w:t>
      </w:r>
      <w:r>
        <w:rPr>
          <w:spacing w:val="-2"/>
        </w:rPr>
        <w:t xml:space="preserve"> </w:t>
      </w:r>
      <w:r>
        <w:t>reconhecido no resultado</w:t>
      </w:r>
      <w:r>
        <w:rPr>
          <w:spacing w:val="-1"/>
        </w:rPr>
        <w:t xml:space="preserve"> </w:t>
      </w:r>
      <w:r>
        <w:t>à medida que ocorrer o pagamento das obrigações contraídas na operação da Companhia.</w:t>
      </w:r>
    </w:p>
    <w:p w14:paraId="0A3AC235" w14:textId="77777777" w:rsidR="002C6574" w:rsidRDefault="002C6574">
      <w:pPr>
        <w:pStyle w:val="Corpodetexto"/>
        <w:spacing w:before="22"/>
      </w:pPr>
    </w:p>
    <w:p w14:paraId="0B391FC8" w14:textId="77777777" w:rsidR="002C6574" w:rsidRDefault="00000000">
      <w:pPr>
        <w:numPr>
          <w:ilvl w:val="0"/>
          <w:numId w:val="54"/>
        </w:numPr>
        <w:tabs>
          <w:tab w:val="left" w:pos="995"/>
        </w:tabs>
        <w:ind w:left="995" w:hanging="852"/>
        <w:rPr>
          <w:rFonts w:ascii="Arial" w:hAnsi="Arial"/>
          <w:b/>
        </w:rPr>
      </w:pPr>
      <w:r>
        <w:rPr>
          <w:rFonts w:ascii="Arial" w:hAnsi="Arial"/>
          <w:b/>
        </w:rPr>
        <w:t>OUTRAS</w:t>
      </w:r>
      <w:r>
        <w:rPr>
          <w:rFonts w:ascii="Arial" w:hAnsi="Arial"/>
          <w:b/>
          <w:spacing w:val="-4"/>
        </w:rPr>
        <w:t xml:space="preserve"> </w:t>
      </w:r>
      <w:r>
        <w:rPr>
          <w:rFonts w:ascii="Arial" w:hAnsi="Arial"/>
          <w:b/>
          <w:spacing w:val="-2"/>
        </w:rPr>
        <w:t>OBRIGAÇÕES</w:t>
      </w:r>
    </w:p>
    <w:p w14:paraId="2984FBCC" w14:textId="77777777" w:rsidR="002C6574" w:rsidRDefault="002C6574">
      <w:pPr>
        <w:pStyle w:val="Corpodetexto"/>
        <w:rPr>
          <w:rFonts w:ascii="Arial"/>
          <w:b/>
          <w:sz w:val="16"/>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2"/>
        <w:gridCol w:w="1569"/>
        <w:gridCol w:w="1718"/>
      </w:tblGrid>
      <w:tr w:rsidR="002C6574" w14:paraId="078624A3" w14:textId="77777777">
        <w:trPr>
          <w:trHeight w:val="232"/>
        </w:trPr>
        <w:tc>
          <w:tcPr>
            <w:tcW w:w="6482" w:type="dxa"/>
            <w:shd w:val="clear" w:color="auto" w:fill="D8D8D8"/>
          </w:tcPr>
          <w:p w14:paraId="6DBC872A" w14:textId="77777777" w:rsidR="002C6574" w:rsidRDefault="00000000">
            <w:pPr>
              <w:pStyle w:val="TableParagraph"/>
              <w:spacing w:before="13" w:line="199" w:lineRule="exact"/>
              <w:ind w:left="69"/>
              <w:jc w:val="left"/>
              <w:rPr>
                <w:rFonts w:ascii="Arial" w:hAnsi="Arial"/>
                <w:b/>
                <w:sz w:val="18"/>
              </w:rPr>
            </w:pPr>
            <w:r>
              <w:rPr>
                <w:rFonts w:ascii="Arial" w:hAnsi="Arial"/>
                <w:b/>
                <w:spacing w:val="-2"/>
                <w:sz w:val="18"/>
              </w:rPr>
              <w:t>Composição:</w:t>
            </w:r>
          </w:p>
        </w:tc>
        <w:tc>
          <w:tcPr>
            <w:tcW w:w="1569" w:type="dxa"/>
          </w:tcPr>
          <w:p w14:paraId="749A5017" w14:textId="77777777" w:rsidR="002C6574" w:rsidRDefault="00000000">
            <w:pPr>
              <w:pStyle w:val="TableParagraph"/>
              <w:spacing w:before="13" w:line="199" w:lineRule="exact"/>
              <w:ind w:left="333"/>
              <w:jc w:val="left"/>
              <w:rPr>
                <w:rFonts w:ascii="Arial"/>
                <w:b/>
                <w:sz w:val="18"/>
              </w:rPr>
            </w:pPr>
            <w:r>
              <w:rPr>
                <w:rFonts w:ascii="Arial"/>
                <w:b/>
                <w:spacing w:val="-2"/>
                <w:sz w:val="18"/>
              </w:rPr>
              <w:t>31/12/2025</w:t>
            </w:r>
          </w:p>
        </w:tc>
        <w:tc>
          <w:tcPr>
            <w:tcW w:w="1718" w:type="dxa"/>
          </w:tcPr>
          <w:p w14:paraId="5EFF69AE" w14:textId="77777777" w:rsidR="002C6574" w:rsidRDefault="00000000">
            <w:pPr>
              <w:pStyle w:val="TableParagraph"/>
              <w:spacing w:before="13" w:line="199" w:lineRule="exact"/>
              <w:ind w:left="408"/>
              <w:jc w:val="left"/>
              <w:rPr>
                <w:rFonts w:ascii="Arial"/>
                <w:b/>
                <w:sz w:val="18"/>
              </w:rPr>
            </w:pPr>
            <w:r>
              <w:rPr>
                <w:rFonts w:ascii="Arial"/>
                <w:b/>
                <w:spacing w:val="-2"/>
                <w:sz w:val="18"/>
              </w:rPr>
              <w:t>31/12/2024</w:t>
            </w:r>
          </w:p>
        </w:tc>
      </w:tr>
      <w:tr w:rsidR="002C6574" w14:paraId="21FCE9D3" w14:textId="77777777">
        <w:trPr>
          <w:trHeight w:val="232"/>
        </w:trPr>
        <w:tc>
          <w:tcPr>
            <w:tcW w:w="6482" w:type="dxa"/>
          </w:tcPr>
          <w:p w14:paraId="40382E52" w14:textId="77777777" w:rsidR="002C6574" w:rsidRDefault="00000000">
            <w:pPr>
              <w:pStyle w:val="TableParagraph"/>
              <w:spacing w:line="212" w:lineRule="exact"/>
              <w:ind w:left="69"/>
              <w:jc w:val="left"/>
              <w:rPr>
                <w:sz w:val="18"/>
              </w:rPr>
            </w:pPr>
            <w:r>
              <w:rPr>
                <w:w w:val="105"/>
                <w:sz w:val="18"/>
              </w:rPr>
              <w:t>Retenções</w:t>
            </w:r>
            <w:r>
              <w:rPr>
                <w:spacing w:val="17"/>
                <w:w w:val="105"/>
                <w:sz w:val="18"/>
              </w:rPr>
              <w:t xml:space="preserve"> </w:t>
            </w:r>
            <w:r>
              <w:rPr>
                <w:w w:val="105"/>
                <w:sz w:val="18"/>
              </w:rPr>
              <w:t>Passivas</w:t>
            </w:r>
            <w:r>
              <w:rPr>
                <w:spacing w:val="14"/>
                <w:w w:val="105"/>
                <w:sz w:val="18"/>
              </w:rPr>
              <w:t xml:space="preserve"> </w:t>
            </w:r>
            <w:r>
              <w:rPr>
                <w:spacing w:val="-2"/>
                <w:w w:val="105"/>
                <w:sz w:val="18"/>
              </w:rPr>
              <w:t>Tributárias</w:t>
            </w:r>
          </w:p>
        </w:tc>
        <w:tc>
          <w:tcPr>
            <w:tcW w:w="1569" w:type="dxa"/>
          </w:tcPr>
          <w:p w14:paraId="4655E6F7" w14:textId="77777777" w:rsidR="002C6574" w:rsidRDefault="00000000">
            <w:pPr>
              <w:pStyle w:val="TableParagraph"/>
              <w:spacing w:line="212" w:lineRule="exact"/>
              <w:ind w:right="58"/>
              <w:rPr>
                <w:sz w:val="18"/>
              </w:rPr>
            </w:pPr>
            <w:r>
              <w:rPr>
                <w:spacing w:val="-2"/>
                <w:w w:val="105"/>
                <w:sz w:val="18"/>
              </w:rPr>
              <w:t>23.768</w:t>
            </w:r>
          </w:p>
        </w:tc>
        <w:tc>
          <w:tcPr>
            <w:tcW w:w="1718" w:type="dxa"/>
          </w:tcPr>
          <w:p w14:paraId="688A7023" w14:textId="77777777" w:rsidR="002C6574" w:rsidRDefault="00000000">
            <w:pPr>
              <w:pStyle w:val="TableParagraph"/>
              <w:spacing w:line="212" w:lineRule="exact"/>
              <w:ind w:right="57"/>
              <w:rPr>
                <w:sz w:val="18"/>
              </w:rPr>
            </w:pPr>
            <w:r>
              <w:rPr>
                <w:spacing w:val="-4"/>
                <w:w w:val="110"/>
                <w:sz w:val="18"/>
              </w:rPr>
              <w:t>9.707</w:t>
            </w:r>
          </w:p>
        </w:tc>
      </w:tr>
      <w:tr w:rsidR="002C6574" w14:paraId="3C1D9455" w14:textId="77777777">
        <w:trPr>
          <w:trHeight w:val="232"/>
        </w:trPr>
        <w:tc>
          <w:tcPr>
            <w:tcW w:w="6482" w:type="dxa"/>
          </w:tcPr>
          <w:p w14:paraId="7EA307D5" w14:textId="77777777" w:rsidR="002C6574" w:rsidRDefault="00000000">
            <w:pPr>
              <w:pStyle w:val="TableParagraph"/>
              <w:spacing w:line="212" w:lineRule="exact"/>
              <w:ind w:left="69"/>
              <w:jc w:val="left"/>
              <w:rPr>
                <w:sz w:val="18"/>
              </w:rPr>
            </w:pPr>
            <w:r>
              <w:rPr>
                <w:w w:val="105"/>
                <w:sz w:val="18"/>
              </w:rPr>
              <w:t>Retenções</w:t>
            </w:r>
            <w:r>
              <w:rPr>
                <w:spacing w:val="6"/>
                <w:w w:val="105"/>
                <w:sz w:val="18"/>
              </w:rPr>
              <w:t xml:space="preserve"> </w:t>
            </w:r>
            <w:r>
              <w:rPr>
                <w:w w:val="105"/>
                <w:sz w:val="18"/>
              </w:rPr>
              <w:t>Passivas</w:t>
            </w:r>
            <w:r>
              <w:rPr>
                <w:spacing w:val="3"/>
                <w:w w:val="105"/>
                <w:sz w:val="18"/>
              </w:rPr>
              <w:t xml:space="preserve"> </w:t>
            </w:r>
            <w:r>
              <w:rPr>
                <w:w w:val="105"/>
                <w:sz w:val="18"/>
              </w:rPr>
              <w:t>não</w:t>
            </w:r>
            <w:r>
              <w:rPr>
                <w:spacing w:val="5"/>
                <w:w w:val="105"/>
                <w:sz w:val="18"/>
              </w:rPr>
              <w:t xml:space="preserve"> </w:t>
            </w:r>
            <w:r>
              <w:rPr>
                <w:spacing w:val="-2"/>
                <w:w w:val="105"/>
                <w:sz w:val="18"/>
              </w:rPr>
              <w:t>Tributárias</w:t>
            </w:r>
          </w:p>
        </w:tc>
        <w:tc>
          <w:tcPr>
            <w:tcW w:w="1569" w:type="dxa"/>
          </w:tcPr>
          <w:p w14:paraId="4F7081D2" w14:textId="77777777" w:rsidR="002C6574" w:rsidRDefault="00000000">
            <w:pPr>
              <w:pStyle w:val="TableParagraph"/>
              <w:spacing w:line="212" w:lineRule="exact"/>
              <w:ind w:right="58"/>
              <w:rPr>
                <w:sz w:val="18"/>
              </w:rPr>
            </w:pPr>
            <w:r>
              <w:rPr>
                <w:spacing w:val="-5"/>
                <w:w w:val="105"/>
                <w:sz w:val="18"/>
              </w:rPr>
              <w:t>989</w:t>
            </w:r>
          </w:p>
        </w:tc>
        <w:tc>
          <w:tcPr>
            <w:tcW w:w="1718" w:type="dxa"/>
          </w:tcPr>
          <w:p w14:paraId="2A31307A" w14:textId="77777777" w:rsidR="002C6574" w:rsidRDefault="00000000">
            <w:pPr>
              <w:pStyle w:val="TableParagraph"/>
              <w:spacing w:line="212" w:lineRule="exact"/>
              <w:ind w:right="57"/>
              <w:rPr>
                <w:sz w:val="18"/>
              </w:rPr>
            </w:pPr>
            <w:r>
              <w:rPr>
                <w:spacing w:val="-5"/>
                <w:w w:val="105"/>
                <w:sz w:val="18"/>
              </w:rPr>
              <w:t>299</w:t>
            </w:r>
          </w:p>
        </w:tc>
      </w:tr>
      <w:tr w:rsidR="002C6574" w14:paraId="0C1F86E0" w14:textId="77777777">
        <w:trPr>
          <w:trHeight w:val="232"/>
        </w:trPr>
        <w:tc>
          <w:tcPr>
            <w:tcW w:w="6482" w:type="dxa"/>
          </w:tcPr>
          <w:p w14:paraId="55D05CD1" w14:textId="77777777" w:rsidR="002C6574" w:rsidRDefault="00000000">
            <w:pPr>
              <w:pStyle w:val="TableParagraph"/>
              <w:spacing w:line="212" w:lineRule="exact"/>
              <w:ind w:left="69"/>
              <w:jc w:val="left"/>
              <w:rPr>
                <w:sz w:val="18"/>
              </w:rPr>
            </w:pPr>
            <w:r>
              <w:rPr>
                <w:sz w:val="18"/>
              </w:rPr>
              <w:t>Projetos</w:t>
            </w:r>
            <w:r>
              <w:rPr>
                <w:spacing w:val="3"/>
                <w:sz w:val="18"/>
              </w:rPr>
              <w:t xml:space="preserve"> </w:t>
            </w:r>
            <w:r>
              <w:rPr>
                <w:sz w:val="18"/>
              </w:rPr>
              <w:t>em</w:t>
            </w:r>
            <w:r>
              <w:rPr>
                <w:spacing w:val="2"/>
                <w:sz w:val="18"/>
              </w:rPr>
              <w:t xml:space="preserve"> </w:t>
            </w:r>
            <w:r>
              <w:rPr>
                <w:spacing w:val="-2"/>
                <w:sz w:val="18"/>
              </w:rPr>
              <w:t>Andamento</w:t>
            </w:r>
          </w:p>
        </w:tc>
        <w:tc>
          <w:tcPr>
            <w:tcW w:w="1569" w:type="dxa"/>
          </w:tcPr>
          <w:p w14:paraId="358592E5" w14:textId="77777777" w:rsidR="002C6574" w:rsidRDefault="00000000">
            <w:pPr>
              <w:pStyle w:val="TableParagraph"/>
              <w:spacing w:line="212" w:lineRule="exact"/>
              <w:ind w:right="58"/>
              <w:rPr>
                <w:sz w:val="18"/>
              </w:rPr>
            </w:pPr>
            <w:r>
              <w:rPr>
                <w:spacing w:val="-5"/>
                <w:w w:val="105"/>
                <w:sz w:val="18"/>
              </w:rPr>
              <w:t>56</w:t>
            </w:r>
          </w:p>
        </w:tc>
        <w:tc>
          <w:tcPr>
            <w:tcW w:w="1718" w:type="dxa"/>
          </w:tcPr>
          <w:p w14:paraId="60613448" w14:textId="77777777" w:rsidR="002C6574" w:rsidRDefault="00000000">
            <w:pPr>
              <w:pStyle w:val="TableParagraph"/>
              <w:spacing w:line="212" w:lineRule="exact"/>
              <w:ind w:right="53"/>
              <w:rPr>
                <w:sz w:val="18"/>
              </w:rPr>
            </w:pPr>
            <w:r>
              <w:rPr>
                <w:spacing w:val="-10"/>
                <w:w w:val="95"/>
                <w:sz w:val="18"/>
              </w:rPr>
              <w:t>-</w:t>
            </w:r>
          </w:p>
        </w:tc>
      </w:tr>
      <w:tr w:rsidR="002C6574" w14:paraId="39BD5059" w14:textId="77777777">
        <w:trPr>
          <w:trHeight w:val="230"/>
        </w:trPr>
        <w:tc>
          <w:tcPr>
            <w:tcW w:w="6482" w:type="dxa"/>
          </w:tcPr>
          <w:p w14:paraId="3085F540" w14:textId="77777777" w:rsidR="002C6574" w:rsidRDefault="00000000">
            <w:pPr>
              <w:pStyle w:val="TableParagraph"/>
              <w:spacing w:line="210" w:lineRule="exact"/>
              <w:ind w:left="69"/>
              <w:jc w:val="left"/>
              <w:rPr>
                <w:sz w:val="18"/>
              </w:rPr>
            </w:pPr>
            <w:r>
              <w:rPr>
                <w:w w:val="105"/>
                <w:sz w:val="18"/>
              </w:rPr>
              <w:t>Passivo</w:t>
            </w:r>
            <w:r>
              <w:rPr>
                <w:spacing w:val="5"/>
                <w:w w:val="105"/>
                <w:sz w:val="18"/>
              </w:rPr>
              <w:t xml:space="preserve"> </w:t>
            </w:r>
            <w:r>
              <w:rPr>
                <w:w w:val="105"/>
                <w:sz w:val="18"/>
              </w:rPr>
              <w:t>a</w:t>
            </w:r>
            <w:r>
              <w:rPr>
                <w:spacing w:val="13"/>
                <w:w w:val="105"/>
                <w:sz w:val="18"/>
              </w:rPr>
              <w:t xml:space="preserve"> </w:t>
            </w:r>
            <w:r>
              <w:rPr>
                <w:w w:val="105"/>
                <w:sz w:val="18"/>
              </w:rPr>
              <w:t>Repassar</w:t>
            </w:r>
            <w:r>
              <w:rPr>
                <w:spacing w:val="11"/>
                <w:w w:val="105"/>
                <w:sz w:val="18"/>
              </w:rPr>
              <w:t xml:space="preserve"> </w:t>
            </w:r>
            <w:r>
              <w:rPr>
                <w:w w:val="105"/>
                <w:sz w:val="18"/>
              </w:rPr>
              <w:t>a</w:t>
            </w:r>
            <w:r>
              <w:rPr>
                <w:spacing w:val="8"/>
                <w:w w:val="105"/>
                <w:sz w:val="18"/>
              </w:rPr>
              <w:t xml:space="preserve"> </w:t>
            </w:r>
            <w:r>
              <w:rPr>
                <w:spacing w:val="-2"/>
                <w:w w:val="105"/>
                <w:sz w:val="18"/>
              </w:rPr>
              <w:t>Terceiros</w:t>
            </w:r>
          </w:p>
        </w:tc>
        <w:tc>
          <w:tcPr>
            <w:tcW w:w="1569" w:type="dxa"/>
          </w:tcPr>
          <w:p w14:paraId="1E1E62BB" w14:textId="77777777" w:rsidR="002C6574" w:rsidRDefault="00000000">
            <w:pPr>
              <w:pStyle w:val="TableParagraph"/>
              <w:spacing w:line="210" w:lineRule="exact"/>
              <w:ind w:right="58"/>
              <w:rPr>
                <w:sz w:val="18"/>
              </w:rPr>
            </w:pPr>
            <w:r>
              <w:rPr>
                <w:spacing w:val="-10"/>
                <w:w w:val="95"/>
                <w:sz w:val="18"/>
              </w:rPr>
              <w:t>-</w:t>
            </w:r>
          </w:p>
        </w:tc>
        <w:tc>
          <w:tcPr>
            <w:tcW w:w="1718" w:type="dxa"/>
          </w:tcPr>
          <w:p w14:paraId="0EBE688B" w14:textId="77777777" w:rsidR="002C6574" w:rsidRDefault="00000000">
            <w:pPr>
              <w:pStyle w:val="TableParagraph"/>
              <w:spacing w:line="210" w:lineRule="exact"/>
              <w:ind w:right="57"/>
              <w:rPr>
                <w:sz w:val="18"/>
              </w:rPr>
            </w:pPr>
            <w:r>
              <w:rPr>
                <w:spacing w:val="-4"/>
                <w:w w:val="110"/>
                <w:sz w:val="18"/>
              </w:rPr>
              <w:t>3.488</w:t>
            </w:r>
          </w:p>
        </w:tc>
      </w:tr>
      <w:tr w:rsidR="002C6574" w14:paraId="63D3FCD3" w14:textId="77777777">
        <w:trPr>
          <w:trHeight w:val="232"/>
        </w:trPr>
        <w:tc>
          <w:tcPr>
            <w:tcW w:w="6482" w:type="dxa"/>
          </w:tcPr>
          <w:p w14:paraId="2EC0347C" w14:textId="77777777" w:rsidR="002C6574" w:rsidRDefault="00000000">
            <w:pPr>
              <w:pStyle w:val="TableParagraph"/>
              <w:spacing w:line="212" w:lineRule="exact"/>
              <w:ind w:left="69"/>
              <w:jc w:val="left"/>
              <w:rPr>
                <w:sz w:val="18"/>
              </w:rPr>
            </w:pPr>
            <w:r>
              <w:rPr>
                <w:sz w:val="18"/>
              </w:rPr>
              <w:t>Outras</w:t>
            </w:r>
            <w:r>
              <w:rPr>
                <w:spacing w:val="10"/>
                <w:sz w:val="18"/>
              </w:rPr>
              <w:t xml:space="preserve"> </w:t>
            </w:r>
            <w:r>
              <w:rPr>
                <w:spacing w:val="-2"/>
                <w:sz w:val="18"/>
              </w:rPr>
              <w:t>Obrigações</w:t>
            </w:r>
          </w:p>
        </w:tc>
        <w:tc>
          <w:tcPr>
            <w:tcW w:w="1569" w:type="dxa"/>
          </w:tcPr>
          <w:p w14:paraId="1EAA3DD5" w14:textId="77777777" w:rsidR="002C6574" w:rsidRDefault="00000000">
            <w:pPr>
              <w:pStyle w:val="TableParagraph"/>
              <w:spacing w:line="212" w:lineRule="exact"/>
              <w:ind w:right="58"/>
              <w:rPr>
                <w:sz w:val="18"/>
              </w:rPr>
            </w:pPr>
            <w:r>
              <w:rPr>
                <w:spacing w:val="-5"/>
                <w:w w:val="105"/>
                <w:sz w:val="18"/>
              </w:rPr>
              <w:t>324</w:t>
            </w:r>
          </w:p>
        </w:tc>
        <w:tc>
          <w:tcPr>
            <w:tcW w:w="1718" w:type="dxa"/>
          </w:tcPr>
          <w:p w14:paraId="0412E47B" w14:textId="77777777" w:rsidR="002C6574" w:rsidRDefault="00000000">
            <w:pPr>
              <w:pStyle w:val="TableParagraph"/>
              <w:spacing w:line="212" w:lineRule="exact"/>
              <w:ind w:right="57"/>
              <w:rPr>
                <w:sz w:val="18"/>
              </w:rPr>
            </w:pPr>
            <w:r>
              <w:rPr>
                <w:spacing w:val="-5"/>
                <w:w w:val="105"/>
                <w:sz w:val="18"/>
              </w:rPr>
              <w:t>228</w:t>
            </w:r>
          </w:p>
        </w:tc>
      </w:tr>
      <w:tr w:rsidR="002C6574" w14:paraId="67F5A503" w14:textId="77777777">
        <w:trPr>
          <w:trHeight w:val="232"/>
        </w:trPr>
        <w:tc>
          <w:tcPr>
            <w:tcW w:w="6482" w:type="dxa"/>
          </w:tcPr>
          <w:p w14:paraId="5697290E" w14:textId="77777777" w:rsidR="002C6574" w:rsidRDefault="00000000">
            <w:pPr>
              <w:pStyle w:val="TableParagraph"/>
              <w:spacing w:before="13" w:line="199" w:lineRule="exact"/>
              <w:ind w:left="69"/>
              <w:jc w:val="left"/>
              <w:rPr>
                <w:rFonts w:ascii="Arial"/>
                <w:b/>
                <w:sz w:val="18"/>
              </w:rPr>
            </w:pPr>
            <w:r>
              <w:rPr>
                <w:rFonts w:ascii="Arial"/>
                <w:b/>
                <w:spacing w:val="-2"/>
                <w:sz w:val="18"/>
              </w:rPr>
              <w:t>Total</w:t>
            </w:r>
          </w:p>
        </w:tc>
        <w:tc>
          <w:tcPr>
            <w:tcW w:w="1569" w:type="dxa"/>
          </w:tcPr>
          <w:p w14:paraId="000EE857" w14:textId="77777777" w:rsidR="002C6574" w:rsidRDefault="00000000">
            <w:pPr>
              <w:pStyle w:val="TableParagraph"/>
              <w:spacing w:before="13" w:line="199" w:lineRule="exact"/>
              <w:ind w:right="57"/>
              <w:rPr>
                <w:rFonts w:ascii="Arial"/>
                <w:b/>
                <w:sz w:val="18"/>
              </w:rPr>
            </w:pPr>
            <w:r>
              <w:rPr>
                <w:rFonts w:ascii="Arial"/>
                <w:b/>
                <w:spacing w:val="-2"/>
                <w:sz w:val="18"/>
              </w:rPr>
              <w:t>25.137</w:t>
            </w:r>
          </w:p>
        </w:tc>
        <w:tc>
          <w:tcPr>
            <w:tcW w:w="1718" w:type="dxa"/>
          </w:tcPr>
          <w:p w14:paraId="56F3F472" w14:textId="77777777" w:rsidR="002C6574" w:rsidRDefault="00000000">
            <w:pPr>
              <w:pStyle w:val="TableParagraph"/>
              <w:spacing w:before="13" w:line="199" w:lineRule="exact"/>
              <w:ind w:right="57"/>
              <w:rPr>
                <w:rFonts w:ascii="Arial"/>
                <w:b/>
                <w:sz w:val="18"/>
              </w:rPr>
            </w:pPr>
            <w:r>
              <w:rPr>
                <w:rFonts w:ascii="Arial"/>
                <w:b/>
                <w:spacing w:val="-2"/>
                <w:sz w:val="18"/>
              </w:rPr>
              <w:t>13.722</w:t>
            </w:r>
          </w:p>
        </w:tc>
      </w:tr>
      <w:tr w:rsidR="002C6574" w14:paraId="69D91531" w14:textId="77777777">
        <w:trPr>
          <w:trHeight w:val="232"/>
        </w:trPr>
        <w:tc>
          <w:tcPr>
            <w:tcW w:w="6482" w:type="dxa"/>
          </w:tcPr>
          <w:p w14:paraId="55C84545" w14:textId="77777777" w:rsidR="002C6574" w:rsidRDefault="00000000">
            <w:pPr>
              <w:pStyle w:val="TableParagraph"/>
              <w:spacing w:before="11" w:line="201" w:lineRule="exact"/>
              <w:ind w:left="69"/>
              <w:jc w:val="left"/>
              <w:rPr>
                <w:rFonts w:ascii="Arial"/>
                <w:b/>
                <w:sz w:val="18"/>
              </w:rPr>
            </w:pPr>
            <w:r>
              <w:rPr>
                <w:rFonts w:ascii="Arial"/>
                <w:b/>
                <w:spacing w:val="-2"/>
                <w:sz w:val="18"/>
              </w:rPr>
              <w:t>Circulante</w:t>
            </w:r>
          </w:p>
        </w:tc>
        <w:tc>
          <w:tcPr>
            <w:tcW w:w="1569" w:type="dxa"/>
          </w:tcPr>
          <w:p w14:paraId="7F165875" w14:textId="77777777" w:rsidR="002C6574" w:rsidRDefault="00000000">
            <w:pPr>
              <w:pStyle w:val="TableParagraph"/>
              <w:spacing w:before="11" w:line="201" w:lineRule="exact"/>
              <w:ind w:right="57"/>
              <w:rPr>
                <w:rFonts w:ascii="Arial"/>
                <w:b/>
                <w:sz w:val="18"/>
              </w:rPr>
            </w:pPr>
            <w:r>
              <w:rPr>
                <w:rFonts w:ascii="Arial"/>
                <w:b/>
                <w:spacing w:val="-2"/>
                <w:sz w:val="18"/>
              </w:rPr>
              <w:t>25.137</w:t>
            </w:r>
          </w:p>
        </w:tc>
        <w:tc>
          <w:tcPr>
            <w:tcW w:w="1718" w:type="dxa"/>
          </w:tcPr>
          <w:p w14:paraId="174C6C07" w14:textId="77777777" w:rsidR="002C6574" w:rsidRDefault="00000000">
            <w:pPr>
              <w:pStyle w:val="TableParagraph"/>
              <w:spacing w:before="11" w:line="201" w:lineRule="exact"/>
              <w:ind w:right="57"/>
              <w:rPr>
                <w:rFonts w:ascii="Arial"/>
                <w:b/>
                <w:sz w:val="18"/>
              </w:rPr>
            </w:pPr>
            <w:r>
              <w:rPr>
                <w:rFonts w:ascii="Arial"/>
                <w:b/>
                <w:spacing w:val="-2"/>
                <w:sz w:val="18"/>
              </w:rPr>
              <w:t>13.722</w:t>
            </w:r>
          </w:p>
        </w:tc>
      </w:tr>
    </w:tbl>
    <w:p w14:paraId="480EF209" w14:textId="77777777" w:rsidR="002C6574" w:rsidRDefault="002C6574">
      <w:pPr>
        <w:pStyle w:val="Corpodetexto"/>
        <w:spacing w:before="1"/>
        <w:rPr>
          <w:rFonts w:ascii="Arial"/>
          <w:b/>
        </w:rPr>
      </w:pPr>
    </w:p>
    <w:p w14:paraId="00681911" w14:textId="77777777" w:rsidR="002C6574" w:rsidRDefault="00000000">
      <w:pPr>
        <w:pStyle w:val="PargrafodaLista"/>
        <w:numPr>
          <w:ilvl w:val="0"/>
          <w:numId w:val="54"/>
        </w:numPr>
        <w:tabs>
          <w:tab w:val="left" w:pos="995"/>
        </w:tabs>
        <w:ind w:left="995" w:hanging="852"/>
        <w:rPr>
          <w:rFonts w:ascii="Arial" w:hAnsi="Arial"/>
          <w:b/>
        </w:rPr>
      </w:pPr>
      <w:r>
        <w:rPr>
          <w:rFonts w:ascii="Arial" w:hAnsi="Arial"/>
          <w:b/>
        </w:rPr>
        <w:t>PATRIMÔNIO</w:t>
      </w:r>
      <w:r>
        <w:rPr>
          <w:rFonts w:ascii="Arial" w:hAnsi="Arial"/>
          <w:b/>
          <w:spacing w:val="-3"/>
        </w:rPr>
        <w:t xml:space="preserve"> </w:t>
      </w:r>
      <w:r>
        <w:rPr>
          <w:rFonts w:ascii="Arial" w:hAnsi="Arial"/>
          <w:b/>
          <w:spacing w:val="-2"/>
        </w:rPr>
        <w:t>LÍQUIDO</w:t>
      </w:r>
    </w:p>
    <w:p w14:paraId="349653D4" w14:textId="77777777" w:rsidR="002C6574" w:rsidRDefault="00000000">
      <w:pPr>
        <w:numPr>
          <w:ilvl w:val="1"/>
          <w:numId w:val="31"/>
        </w:numPr>
        <w:tabs>
          <w:tab w:val="left" w:pos="995"/>
        </w:tabs>
        <w:spacing w:before="172"/>
        <w:rPr>
          <w:rFonts w:ascii="Arial"/>
          <w:b/>
        </w:rPr>
      </w:pPr>
      <w:r>
        <w:rPr>
          <w:rFonts w:ascii="Arial"/>
          <w:b/>
        </w:rPr>
        <w:t>Capital</w:t>
      </w:r>
      <w:r>
        <w:rPr>
          <w:rFonts w:ascii="Arial"/>
          <w:b/>
          <w:spacing w:val="-3"/>
        </w:rPr>
        <w:t xml:space="preserve"> </w:t>
      </w:r>
      <w:r>
        <w:rPr>
          <w:rFonts w:ascii="Arial"/>
          <w:b/>
          <w:spacing w:val="-2"/>
        </w:rPr>
        <w:t>social</w:t>
      </w:r>
    </w:p>
    <w:p w14:paraId="061ABDC5" w14:textId="77777777" w:rsidR="002C6574" w:rsidRDefault="002C6574">
      <w:pPr>
        <w:pStyle w:val="Corpodetexto"/>
        <w:spacing w:before="32"/>
        <w:rPr>
          <w:rFonts w:ascii="Arial"/>
          <w:b/>
        </w:rPr>
      </w:pPr>
    </w:p>
    <w:p w14:paraId="4AEED095" w14:textId="77777777" w:rsidR="002C6574" w:rsidRDefault="00000000">
      <w:pPr>
        <w:pStyle w:val="Corpodetexto"/>
        <w:spacing w:line="237" w:lineRule="auto"/>
        <w:ind w:left="143" w:right="704"/>
        <w:jc w:val="both"/>
      </w:pPr>
      <w:r>
        <w:t>O capital social subscrito e integralizado em 31 de dezembro de 2025 é de R$ 3.719.535 (R$ 3.474.498 em 31 de dezembro de 2024),</w:t>
      </w:r>
      <w:r>
        <w:rPr>
          <w:spacing w:val="-2"/>
        </w:rPr>
        <w:t xml:space="preserve"> </w:t>
      </w:r>
      <w:r>
        <w:t>representado por ações ordinárias</w:t>
      </w:r>
      <w:r>
        <w:rPr>
          <w:spacing w:val="-4"/>
        </w:rPr>
        <w:t xml:space="preserve"> </w:t>
      </w:r>
      <w:r>
        <w:t xml:space="preserve">e preferenciais sem valor </w:t>
      </w:r>
      <w:r>
        <w:rPr>
          <w:spacing w:val="-2"/>
        </w:rPr>
        <w:t>nominal.</w:t>
      </w:r>
    </w:p>
    <w:p w14:paraId="46C4CFCD" w14:textId="77777777" w:rsidR="002C6574" w:rsidRDefault="002C6574">
      <w:pPr>
        <w:pStyle w:val="Corpodetexto"/>
        <w:spacing w:before="4"/>
      </w:pPr>
    </w:p>
    <w:p w14:paraId="0764C5FD" w14:textId="77777777" w:rsidR="002C6574" w:rsidRDefault="00000000">
      <w:pPr>
        <w:numPr>
          <w:ilvl w:val="2"/>
          <w:numId w:val="31"/>
        </w:numPr>
        <w:tabs>
          <w:tab w:val="left" w:pos="990"/>
        </w:tabs>
        <w:ind w:left="990" w:hanging="847"/>
        <w:rPr>
          <w:rFonts w:ascii="Arial" w:hAnsi="Arial"/>
          <w:b/>
        </w:rPr>
      </w:pPr>
      <w:r>
        <w:rPr>
          <w:rFonts w:ascii="Arial" w:hAnsi="Arial"/>
          <w:b/>
        </w:rPr>
        <w:t>Composição</w:t>
      </w:r>
      <w:r>
        <w:rPr>
          <w:rFonts w:ascii="Arial" w:hAnsi="Arial"/>
          <w:b/>
          <w:spacing w:val="-2"/>
        </w:rPr>
        <w:t xml:space="preserve"> acionária</w:t>
      </w:r>
    </w:p>
    <w:p w14:paraId="400C3E92" w14:textId="77777777" w:rsidR="002C6574" w:rsidRDefault="00000000">
      <w:pPr>
        <w:pStyle w:val="Corpodetexto"/>
        <w:spacing w:before="244"/>
        <w:ind w:left="143"/>
        <w:jc w:val="both"/>
      </w:pPr>
      <w:r>
        <w:t>A</w:t>
      </w:r>
      <w:r>
        <w:rPr>
          <w:spacing w:val="4"/>
        </w:rPr>
        <w:t xml:space="preserve"> </w:t>
      </w:r>
      <w:r>
        <w:t>composição</w:t>
      </w:r>
      <w:r>
        <w:rPr>
          <w:spacing w:val="1"/>
        </w:rPr>
        <w:t xml:space="preserve"> </w:t>
      </w:r>
      <w:r>
        <w:t>acionária</w:t>
      </w:r>
      <w:r>
        <w:rPr>
          <w:spacing w:val="1"/>
        </w:rPr>
        <w:t xml:space="preserve"> </w:t>
      </w:r>
      <w:r>
        <w:t>em</w:t>
      </w:r>
      <w:r>
        <w:rPr>
          <w:spacing w:val="4"/>
        </w:rPr>
        <w:t xml:space="preserve"> </w:t>
      </w:r>
      <w:r>
        <w:t>31</w:t>
      </w:r>
      <w:r>
        <w:rPr>
          <w:spacing w:val="2"/>
        </w:rPr>
        <w:t xml:space="preserve"> </w:t>
      </w:r>
      <w:r>
        <w:t>de</w:t>
      </w:r>
      <w:r>
        <w:rPr>
          <w:spacing w:val="4"/>
        </w:rPr>
        <w:t xml:space="preserve"> </w:t>
      </w:r>
      <w:r>
        <w:t>dezembro</w:t>
      </w:r>
      <w:r>
        <w:rPr>
          <w:spacing w:val="5"/>
        </w:rPr>
        <w:t xml:space="preserve"> </w:t>
      </w:r>
      <w:r>
        <w:t>de</w:t>
      </w:r>
      <w:r>
        <w:rPr>
          <w:spacing w:val="1"/>
        </w:rPr>
        <w:t xml:space="preserve"> </w:t>
      </w:r>
      <w:r>
        <w:t>2025</w:t>
      </w:r>
      <w:r>
        <w:rPr>
          <w:spacing w:val="5"/>
        </w:rPr>
        <w:t xml:space="preserve"> </w:t>
      </w:r>
      <w:r>
        <w:t>está</w:t>
      </w:r>
      <w:r>
        <w:rPr>
          <w:spacing w:val="1"/>
        </w:rPr>
        <w:t xml:space="preserve"> </w:t>
      </w:r>
      <w:r>
        <w:t>apresentada</w:t>
      </w:r>
      <w:r>
        <w:rPr>
          <w:spacing w:val="2"/>
        </w:rPr>
        <w:t xml:space="preserve"> </w:t>
      </w:r>
      <w:r>
        <w:t>no</w:t>
      </w:r>
      <w:r>
        <w:rPr>
          <w:spacing w:val="2"/>
        </w:rPr>
        <w:t xml:space="preserve"> </w:t>
      </w:r>
      <w:r>
        <w:t>quadro</w:t>
      </w:r>
      <w:r>
        <w:rPr>
          <w:spacing w:val="2"/>
        </w:rPr>
        <w:t xml:space="preserve"> </w:t>
      </w:r>
      <w:r>
        <w:t>a</w:t>
      </w:r>
      <w:r>
        <w:rPr>
          <w:spacing w:val="2"/>
        </w:rPr>
        <w:t xml:space="preserve"> </w:t>
      </w:r>
      <w:r>
        <w:rPr>
          <w:spacing w:val="-2"/>
        </w:rPr>
        <w:t>seguir:</w:t>
      </w:r>
    </w:p>
    <w:p w14:paraId="30C941B4" w14:textId="77777777" w:rsidR="002C6574" w:rsidRDefault="002C6574">
      <w:pPr>
        <w:pStyle w:val="Corpodetexto"/>
        <w:spacing w:before="94"/>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980"/>
        <w:gridCol w:w="985"/>
        <w:gridCol w:w="1239"/>
        <w:gridCol w:w="1100"/>
        <w:gridCol w:w="774"/>
        <w:gridCol w:w="1021"/>
        <w:gridCol w:w="944"/>
        <w:gridCol w:w="937"/>
      </w:tblGrid>
      <w:tr w:rsidR="002C6574" w14:paraId="5B460E72" w14:textId="77777777">
        <w:trPr>
          <w:trHeight w:val="232"/>
        </w:trPr>
        <w:tc>
          <w:tcPr>
            <w:tcW w:w="3763" w:type="dxa"/>
            <w:gridSpan w:val="3"/>
            <w:shd w:val="clear" w:color="auto" w:fill="D8D8D8"/>
          </w:tcPr>
          <w:p w14:paraId="33EA67FD" w14:textId="77777777" w:rsidR="002C6574" w:rsidRDefault="00000000">
            <w:pPr>
              <w:pStyle w:val="TableParagraph"/>
              <w:spacing w:before="36"/>
              <w:ind w:left="3"/>
              <w:jc w:val="center"/>
              <w:rPr>
                <w:rFonts w:ascii="Arial" w:hAnsi="Arial"/>
                <w:b/>
                <w:sz w:val="14"/>
              </w:rPr>
            </w:pPr>
            <w:r>
              <w:rPr>
                <w:rFonts w:ascii="Arial" w:hAnsi="Arial"/>
                <w:b/>
                <w:spacing w:val="-2"/>
                <w:sz w:val="14"/>
              </w:rPr>
              <w:t>Ordinárias</w:t>
            </w:r>
          </w:p>
        </w:tc>
        <w:tc>
          <w:tcPr>
            <w:tcW w:w="3113" w:type="dxa"/>
            <w:gridSpan w:val="3"/>
            <w:shd w:val="clear" w:color="auto" w:fill="D8D8D8"/>
          </w:tcPr>
          <w:p w14:paraId="42A42755" w14:textId="77777777" w:rsidR="002C6574" w:rsidRDefault="00000000">
            <w:pPr>
              <w:pStyle w:val="TableParagraph"/>
              <w:spacing w:before="36"/>
              <w:ind w:left="1"/>
              <w:jc w:val="center"/>
              <w:rPr>
                <w:rFonts w:ascii="Arial"/>
                <w:b/>
                <w:sz w:val="14"/>
              </w:rPr>
            </w:pPr>
            <w:r>
              <w:rPr>
                <w:rFonts w:ascii="Arial"/>
                <w:b/>
                <w:spacing w:val="-2"/>
                <w:sz w:val="14"/>
              </w:rPr>
              <w:t>Preferenciais</w:t>
            </w:r>
          </w:p>
        </w:tc>
        <w:tc>
          <w:tcPr>
            <w:tcW w:w="2902" w:type="dxa"/>
            <w:gridSpan w:val="3"/>
            <w:shd w:val="clear" w:color="auto" w:fill="D8D8D8"/>
          </w:tcPr>
          <w:p w14:paraId="2E85BA3A" w14:textId="77777777" w:rsidR="002C6574" w:rsidRDefault="00000000">
            <w:pPr>
              <w:pStyle w:val="TableParagraph"/>
              <w:spacing w:before="36"/>
              <w:ind w:right="5"/>
              <w:jc w:val="center"/>
              <w:rPr>
                <w:rFonts w:ascii="Arial"/>
                <w:b/>
                <w:sz w:val="14"/>
              </w:rPr>
            </w:pPr>
            <w:r>
              <w:rPr>
                <w:rFonts w:ascii="Arial"/>
                <w:b/>
                <w:spacing w:val="-2"/>
                <w:sz w:val="14"/>
              </w:rPr>
              <w:t>Total</w:t>
            </w:r>
          </w:p>
        </w:tc>
      </w:tr>
      <w:tr w:rsidR="002C6574" w14:paraId="73BEA11B" w14:textId="77777777">
        <w:trPr>
          <w:trHeight w:val="321"/>
        </w:trPr>
        <w:tc>
          <w:tcPr>
            <w:tcW w:w="1798" w:type="dxa"/>
            <w:shd w:val="clear" w:color="auto" w:fill="D8D8D8"/>
          </w:tcPr>
          <w:p w14:paraId="29A52147" w14:textId="77777777" w:rsidR="002C6574" w:rsidRDefault="00000000">
            <w:pPr>
              <w:pStyle w:val="TableParagraph"/>
              <w:spacing w:before="82"/>
              <w:ind w:left="583"/>
              <w:jc w:val="left"/>
              <w:rPr>
                <w:rFonts w:ascii="Arial"/>
                <w:b/>
                <w:sz w:val="14"/>
              </w:rPr>
            </w:pPr>
            <w:r>
              <w:rPr>
                <w:rFonts w:ascii="Arial"/>
                <w:b/>
                <w:spacing w:val="-2"/>
                <w:sz w:val="14"/>
              </w:rPr>
              <w:t>Acionista</w:t>
            </w:r>
          </w:p>
        </w:tc>
        <w:tc>
          <w:tcPr>
            <w:tcW w:w="980" w:type="dxa"/>
            <w:shd w:val="clear" w:color="auto" w:fill="D8D8D8"/>
          </w:tcPr>
          <w:p w14:paraId="3EFA6FEB" w14:textId="77777777" w:rsidR="002C6574" w:rsidRDefault="00000000">
            <w:pPr>
              <w:pStyle w:val="TableParagraph"/>
              <w:spacing w:line="160" w:lineRule="atLeast"/>
              <w:ind w:left="277" w:right="219" w:hanging="48"/>
              <w:jc w:val="left"/>
              <w:rPr>
                <w:rFonts w:ascii="Arial" w:hAnsi="Arial"/>
                <w:b/>
                <w:sz w:val="14"/>
              </w:rPr>
            </w:pPr>
            <w:r>
              <w:rPr>
                <w:rFonts w:ascii="Arial" w:hAnsi="Arial"/>
                <w:b/>
                <w:sz w:val="14"/>
              </w:rPr>
              <w:t>Qtde</w:t>
            </w:r>
            <w:r>
              <w:rPr>
                <w:rFonts w:ascii="Arial" w:hAnsi="Arial"/>
                <w:b/>
                <w:spacing w:val="-10"/>
                <w:sz w:val="14"/>
              </w:rPr>
              <w:t xml:space="preserve"> </w:t>
            </w:r>
            <w:r>
              <w:rPr>
                <w:rFonts w:ascii="Arial" w:hAnsi="Arial"/>
                <w:b/>
                <w:sz w:val="14"/>
              </w:rPr>
              <w:t>de</w:t>
            </w:r>
            <w:r>
              <w:rPr>
                <w:rFonts w:ascii="Arial" w:hAnsi="Arial"/>
                <w:b/>
                <w:spacing w:val="40"/>
                <w:sz w:val="14"/>
              </w:rPr>
              <w:t xml:space="preserve"> </w:t>
            </w:r>
            <w:r>
              <w:rPr>
                <w:rFonts w:ascii="Arial" w:hAnsi="Arial"/>
                <w:b/>
                <w:spacing w:val="-4"/>
                <w:sz w:val="14"/>
              </w:rPr>
              <w:t>Ações</w:t>
            </w:r>
          </w:p>
        </w:tc>
        <w:tc>
          <w:tcPr>
            <w:tcW w:w="985" w:type="dxa"/>
            <w:shd w:val="clear" w:color="auto" w:fill="D8D8D8"/>
          </w:tcPr>
          <w:p w14:paraId="28A45D05" w14:textId="77777777" w:rsidR="002C6574" w:rsidRDefault="00000000">
            <w:pPr>
              <w:pStyle w:val="TableParagraph"/>
              <w:spacing w:before="82"/>
              <w:jc w:val="center"/>
              <w:rPr>
                <w:rFonts w:ascii="Arial"/>
                <w:b/>
                <w:sz w:val="14"/>
              </w:rPr>
            </w:pPr>
            <w:r>
              <w:rPr>
                <w:rFonts w:ascii="Arial"/>
                <w:b/>
                <w:spacing w:val="-10"/>
                <w:sz w:val="14"/>
              </w:rPr>
              <w:t>%</w:t>
            </w:r>
          </w:p>
        </w:tc>
        <w:tc>
          <w:tcPr>
            <w:tcW w:w="1239" w:type="dxa"/>
            <w:shd w:val="clear" w:color="auto" w:fill="D8D8D8"/>
          </w:tcPr>
          <w:p w14:paraId="449149B4" w14:textId="77777777" w:rsidR="002C6574" w:rsidRDefault="00000000">
            <w:pPr>
              <w:pStyle w:val="TableParagraph"/>
              <w:spacing w:before="82"/>
              <w:ind w:left="300"/>
              <w:jc w:val="left"/>
              <w:rPr>
                <w:rFonts w:ascii="Arial"/>
                <w:b/>
                <w:sz w:val="14"/>
              </w:rPr>
            </w:pPr>
            <w:r>
              <w:rPr>
                <w:rFonts w:ascii="Arial"/>
                <w:b/>
                <w:spacing w:val="-2"/>
                <w:sz w:val="14"/>
              </w:rPr>
              <w:t>Acionista</w:t>
            </w:r>
          </w:p>
        </w:tc>
        <w:tc>
          <w:tcPr>
            <w:tcW w:w="1100" w:type="dxa"/>
            <w:shd w:val="clear" w:color="auto" w:fill="D8D8D8"/>
          </w:tcPr>
          <w:p w14:paraId="14C563C6" w14:textId="77777777" w:rsidR="002C6574" w:rsidRDefault="00000000">
            <w:pPr>
              <w:pStyle w:val="TableParagraph"/>
              <w:spacing w:line="160" w:lineRule="atLeast"/>
              <w:ind w:left="335" w:right="271" w:hanging="48"/>
              <w:jc w:val="left"/>
              <w:rPr>
                <w:rFonts w:ascii="Arial" w:hAnsi="Arial"/>
                <w:b/>
                <w:sz w:val="14"/>
              </w:rPr>
            </w:pPr>
            <w:r>
              <w:rPr>
                <w:rFonts w:ascii="Arial" w:hAnsi="Arial"/>
                <w:b/>
                <w:sz w:val="14"/>
              </w:rPr>
              <w:t>Qtde</w:t>
            </w:r>
            <w:r>
              <w:rPr>
                <w:rFonts w:ascii="Arial" w:hAnsi="Arial"/>
                <w:b/>
                <w:spacing w:val="-10"/>
                <w:sz w:val="14"/>
              </w:rPr>
              <w:t xml:space="preserve"> </w:t>
            </w:r>
            <w:r>
              <w:rPr>
                <w:rFonts w:ascii="Arial" w:hAnsi="Arial"/>
                <w:b/>
                <w:sz w:val="14"/>
              </w:rPr>
              <w:t>de</w:t>
            </w:r>
            <w:r>
              <w:rPr>
                <w:rFonts w:ascii="Arial" w:hAnsi="Arial"/>
                <w:b/>
                <w:spacing w:val="40"/>
                <w:sz w:val="14"/>
              </w:rPr>
              <w:t xml:space="preserve"> </w:t>
            </w:r>
            <w:r>
              <w:rPr>
                <w:rFonts w:ascii="Arial" w:hAnsi="Arial"/>
                <w:b/>
                <w:spacing w:val="-4"/>
                <w:sz w:val="14"/>
              </w:rPr>
              <w:t>Ações</w:t>
            </w:r>
          </w:p>
        </w:tc>
        <w:tc>
          <w:tcPr>
            <w:tcW w:w="774" w:type="dxa"/>
            <w:shd w:val="clear" w:color="auto" w:fill="D8D8D8"/>
          </w:tcPr>
          <w:p w14:paraId="73914D30" w14:textId="77777777" w:rsidR="002C6574" w:rsidRDefault="00000000">
            <w:pPr>
              <w:pStyle w:val="TableParagraph"/>
              <w:spacing w:before="82"/>
              <w:ind w:right="2"/>
              <w:jc w:val="center"/>
              <w:rPr>
                <w:rFonts w:ascii="Arial"/>
                <w:b/>
                <w:sz w:val="14"/>
              </w:rPr>
            </w:pPr>
            <w:r>
              <w:rPr>
                <w:rFonts w:ascii="Arial"/>
                <w:b/>
                <w:spacing w:val="-10"/>
                <w:sz w:val="14"/>
              </w:rPr>
              <w:t>%</w:t>
            </w:r>
          </w:p>
        </w:tc>
        <w:tc>
          <w:tcPr>
            <w:tcW w:w="1021" w:type="dxa"/>
            <w:shd w:val="clear" w:color="auto" w:fill="D8D8D8"/>
          </w:tcPr>
          <w:p w14:paraId="284B155D" w14:textId="77777777" w:rsidR="002C6574" w:rsidRDefault="00000000">
            <w:pPr>
              <w:pStyle w:val="TableParagraph"/>
              <w:spacing w:before="82"/>
              <w:ind w:left="189"/>
              <w:jc w:val="left"/>
              <w:rPr>
                <w:rFonts w:ascii="Arial"/>
                <w:b/>
                <w:sz w:val="14"/>
              </w:rPr>
            </w:pPr>
            <w:r>
              <w:rPr>
                <w:rFonts w:ascii="Arial"/>
                <w:b/>
                <w:spacing w:val="-2"/>
                <w:sz w:val="14"/>
              </w:rPr>
              <w:t>Acionista</w:t>
            </w:r>
          </w:p>
        </w:tc>
        <w:tc>
          <w:tcPr>
            <w:tcW w:w="944" w:type="dxa"/>
            <w:shd w:val="clear" w:color="auto" w:fill="D8D8D8"/>
          </w:tcPr>
          <w:p w14:paraId="637F4C0D" w14:textId="77777777" w:rsidR="002C6574" w:rsidRDefault="00000000">
            <w:pPr>
              <w:pStyle w:val="TableParagraph"/>
              <w:spacing w:line="160" w:lineRule="atLeast"/>
              <w:ind w:left="253" w:right="197" w:hanging="48"/>
              <w:jc w:val="left"/>
              <w:rPr>
                <w:rFonts w:ascii="Arial" w:hAnsi="Arial"/>
                <w:b/>
                <w:sz w:val="14"/>
              </w:rPr>
            </w:pPr>
            <w:r>
              <w:rPr>
                <w:rFonts w:ascii="Arial" w:hAnsi="Arial"/>
                <w:b/>
                <w:sz w:val="14"/>
              </w:rPr>
              <w:t>Qtde</w:t>
            </w:r>
            <w:r>
              <w:rPr>
                <w:rFonts w:ascii="Arial" w:hAnsi="Arial"/>
                <w:b/>
                <w:spacing w:val="-10"/>
                <w:sz w:val="14"/>
              </w:rPr>
              <w:t xml:space="preserve"> </w:t>
            </w:r>
            <w:r>
              <w:rPr>
                <w:rFonts w:ascii="Arial" w:hAnsi="Arial"/>
                <w:b/>
                <w:sz w:val="14"/>
              </w:rPr>
              <w:t>de</w:t>
            </w:r>
            <w:r>
              <w:rPr>
                <w:rFonts w:ascii="Arial" w:hAnsi="Arial"/>
                <w:b/>
                <w:spacing w:val="40"/>
                <w:sz w:val="14"/>
              </w:rPr>
              <w:t xml:space="preserve"> </w:t>
            </w:r>
            <w:r>
              <w:rPr>
                <w:rFonts w:ascii="Arial" w:hAnsi="Arial"/>
                <w:b/>
                <w:spacing w:val="-4"/>
                <w:sz w:val="14"/>
              </w:rPr>
              <w:t>Ações</w:t>
            </w:r>
          </w:p>
        </w:tc>
        <w:tc>
          <w:tcPr>
            <w:tcW w:w="937" w:type="dxa"/>
            <w:shd w:val="clear" w:color="auto" w:fill="D8D8D8"/>
          </w:tcPr>
          <w:p w14:paraId="25958290" w14:textId="77777777" w:rsidR="002C6574" w:rsidRDefault="00000000">
            <w:pPr>
              <w:pStyle w:val="TableParagraph"/>
              <w:spacing w:before="82"/>
              <w:ind w:right="8"/>
              <w:jc w:val="center"/>
              <w:rPr>
                <w:rFonts w:ascii="Arial"/>
                <w:b/>
                <w:sz w:val="14"/>
              </w:rPr>
            </w:pPr>
            <w:r>
              <w:rPr>
                <w:rFonts w:ascii="Arial"/>
                <w:b/>
                <w:spacing w:val="-10"/>
                <w:sz w:val="14"/>
              </w:rPr>
              <w:t>%</w:t>
            </w:r>
          </w:p>
        </w:tc>
      </w:tr>
      <w:tr w:rsidR="002C6574" w14:paraId="6DD605EB" w14:textId="77777777">
        <w:trPr>
          <w:trHeight w:val="231"/>
        </w:trPr>
        <w:tc>
          <w:tcPr>
            <w:tcW w:w="1798" w:type="dxa"/>
          </w:tcPr>
          <w:p w14:paraId="73377DFE" w14:textId="77777777" w:rsidR="002C6574" w:rsidRDefault="00000000">
            <w:pPr>
              <w:pStyle w:val="TableParagraph"/>
              <w:spacing w:before="16"/>
              <w:ind w:left="69"/>
              <w:jc w:val="left"/>
              <w:rPr>
                <w:sz w:val="14"/>
              </w:rPr>
            </w:pPr>
            <w:r>
              <w:rPr>
                <w:sz w:val="14"/>
              </w:rPr>
              <w:t>União</w:t>
            </w:r>
            <w:r>
              <w:rPr>
                <w:spacing w:val="-1"/>
                <w:sz w:val="14"/>
              </w:rPr>
              <w:t xml:space="preserve"> </w:t>
            </w:r>
            <w:r>
              <w:rPr>
                <w:spacing w:val="-2"/>
                <w:sz w:val="14"/>
              </w:rPr>
              <w:t>Federal</w:t>
            </w:r>
          </w:p>
        </w:tc>
        <w:tc>
          <w:tcPr>
            <w:tcW w:w="980" w:type="dxa"/>
          </w:tcPr>
          <w:p w14:paraId="32E97CC6" w14:textId="77777777" w:rsidR="002C6574" w:rsidRDefault="00000000">
            <w:pPr>
              <w:pStyle w:val="TableParagraph"/>
              <w:spacing w:before="16"/>
              <w:ind w:right="60"/>
              <w:rPr>
                <w:sz w:val="14"/>
              </w:rPr>
            </w:pPr>
            <w:r>
              <w:rPr>
                <w:spacing w:val="-2"/>
                <w:w w:val="105"/>
                <w:sz w:val="14"/>
              </w:rPr>
              <w:t>79.217.555</w:t>
            </w:r>
          </w:p>
        </w:tc>
        <w:tc>
          <w:tcPr>
            <w:tcW w:w="985" w:type="dxa"/>
          </w:tcPr>
          <w:p w14:paraId="42648960" w14:textId="77777777" w:rsidR="002C6574" w:rsidRDefault="00000000">
            <w:pPr>
              <w:pStyle w:val="TableParagraph"/>
              <w:spacing w:before="16"/>
              <w:ind w:right="65"/>
              <w:rPr>
                <w:sz w:val="14"/>
              </w:rPr>
            </w:pPr>
            <w:r>
              <w:rPr>
                <w:spacing w:val="-2"/>
                <w:w w:val="105"/>
                <w:sz w:val="14"/>
              </w:rPr>
              <w:t>94,79%</w:t>
            </w:r>
          </w:p>
        </w:tc>
        <w:tc>
          <w:tcPr>
            <w:tcW w:w="1239" w:type="dxa"/>
          </w:tcPr>
          <w:p w14:paraId="25F712BA" w14:textId="77777777" w:rsidR="002C6574" w:rsidRDefault="00000000">
            <w:pPr>
              <w:pStyle w:val="TableParagraph"/>
              <w:spacing w:before="16"/>
              <w:ind w:left="67"/>
              <w:jc w:val="left"/>
              <w:rPr>
                <w:sz w:val="14"/>
              </w:rPr>
            </w:pPr>
            <w:r>
              <w:rPr>
                <w:sz w:val="14"/>
              </w:rPr>
              <w:t>União</w:t>
            </w:r>
            <w:r>
              <w:rPr>
                <w:spacing w:val="-1"/>
                <w:sz w:val="14"/>
              </w:rPr>
              <w:t xml:space="preserve"> </w:t>
            </w:r>
            <w:r>
              <w:rPr>
                <w:spacing w:val="-2"/>
                <w:sz w:val="14"/>
              </w:rPr>
              <w:t>Federal</w:t>
            </w:r>
          </w:p>
        </w:tc>
        <w:tc>
          <w:tcPr>
            <w:tcW w:w="1100" w:type="dxa"/>
          </w:tcPr>
          <w:p w14:paraId="12961DCC" w14:textId="77777777" w:rsidR="002C6574" w:rsidRDefault="00000000">
            <w:pPr>
              <w:pStyle w:val="TableParagraph"/>
              <w:spacing w:before="16"/>
              <w:ind w:right="62"/>
              <w:rPr>
                <w:sz w:val="14"/>
              </w:rPr>
            </w:pPr>
            <w:r>
              <w:rPr>
                <w:spacing w:val="-2"/>
                <w:w w:val="105"/>
                <w:sz w:val="14"/>
              </w:rPr>
              <w:t>16.153.616</w:t>
            </w:r>
          </w:p>
        </w:tc>
        <w:tc>
          <w:tcPr>
            <w:tcW w:w="774" w:type="dxa"/>
          </w:tcPr>
          <w:p w14:paraId="2401E5BD" w14:textId="77777777" w:rsidR="002C6574" w:rsidRDefault="00000000">
            <w:pPr>
              <w:pStyle w:val="TableParagraph"/>
              <w:spacing w:before="16"/>
              <w:ind w:right="68"/>
              <w:rPr>
                <w:sz w:val="14"/>
              </w:rPr>
            </w:pPr>
            <w:r>
              <w:rPr>
                <w:spacing w:val="-2"/>
                <w:w w:val="105"/>
                <w:sz w:val="14"/>
              </w:rPr>
              <w:t>87,76%</w:t>
            </w:r>
          </w:p>
        </w:tc>
        <w:tc>
          <w:tcPr>
            <w:tcW w:w="1021" w:type="dxa"/>
          </w:tcPr>
          <w:p w14:paraId="77D75A33" w14:textId="77777777" w:rsidR="002C6574" w:rsidRDefault="00000000">
            <w:pPr>
              <w:pStyle w:val="TableParagraph"/>
              <w:spacing w:before="16"/>
              <w:ind w:left="64"/>
              <w:jc w:val="left"/>
              <w:rPr>
                <w:sz w:val="14"/>
              </w:rPr>
            </w:pPr>
            <w:r>
              <w:rPr>
                <w:sz w:val="14"/>
              </w:rPr>
              <w:t>União</w:t>
            </w:r>
            <w:r>
              <w:rPr>
                <w:spacing w:val="-1"/>
                <w:sz w:val="14"/>
              </w:rPr>
              <w:t xml:space="preserve"> </w:t>
            </w:r>
            <w:r>
              <w:rPr>
                <w:spacing w:val="-2"/>
                <w:sz w:val="14"/>
              </w:rPr>
              <w:t>Federal</w:t>
            </w:r>
          </w:p>
        </w:tc>
        <w:tc>
          <w:tcPr>
            <w:tcW w:w="944" w:type="dxa"/>
          </w:tcPr>
          <w:p w14:paraId="1BAC4EDD" w14:textId="77777777" w:rsidR="002C6574" w:rsidRDefault="00000000">
            <w:pPr>
              <w:pStyle w:val="TableParagraph"/>
              <w:spacing w:before="16"/>
              <w:ind w:right="68"/>
              <w:rPr>
                <w:sz w:val="14"/>
              </w:rPr>
            </w:pPr>
            <w:r>
              <w:rPr>
                <w:spacing w:val="-2"/>
                <w:w w:val="105"/>
                <w:sz w:val="14"/>
              </w:rPr>
              <w:t>95.371.171</w:t>
            </w:r>
          </w:p>
        </w:tc>
        <w:tc>
          <w:tcPr>
            <w:tcW w:w="937" w:type="dxa"/>
          </w:tcPr>
          <w:p w14:paraId="3C5A4356" w14:textId="77777777" w:rsidR="002C6574" w:rsidRDefault="00000000">
            <w:pPr>
              <w:pStyle w:val="TableParagraph"/>
              <w:spacing w:before="16"/>
              <w:ind w:right="71"/>
              <w:rPr>
                <w:sz w:val="14"/>
              </w:rPr>
            </w:pPr>
            <w:r>
              <w:rPr>
                <w:spacing w:val="-2"/>
                <w:w w:val="105"/>
                <w:sz w:val="14"/>
              </w:rPr>
              <w:t>93,52%</w:t>
            </w:r>
          </w:p>
        </w:tc>
      </w:tr>
      <w:tr w:rsidR="002C6574" w14:paraId="42AF54D3" w14:textId="77777777">
        <w:trPr>
          <w:trHeight w:val="232"/>
        </w:trPr>
        <w:tc>
          <w:tcPr>
            <w:tcW w:w="1798" w:type="dxa"/>
          </w:tcPr>
          <w:p w14:paraId="46ADF3BE" w14:textId="77777777" w:rsidR="002C6574" w:rsidRDefault="00000000">
            <w:pPr>
              <w:pStyle w:val="TableParagraph"/>
              <w:spacing w:before="16"/>
              <w:ind w:left="69"/>
              <w:jc w:val="left"/>
              <w:rPr>
                <w:sz w:val="14"/>
              </w:rPr>
            </w:pPr>
            <w:r>
              <w:rPr>
                <w:spacing w:val="-4"/>
                <w:w w:val="115"/>
                <w:sz w:val="14"/>
              </w:rPr>
              <w:t>FINEP</w:t>
            </w:r>
          </w:p>
        </w:tc>
        <w:tc>
          <w:tcPr>
            <w:tcW w:w="980" w:type="dxa"/>
          </w:tcPr>
          <w:p w14:paraId="1A6CA51B" w14:textId="77777777" w:rsidR="002C6574" w:rsidRDefault="00000000">
            <w:pPr>
              <w:pStyle w:val="TableParagraph"/>
              <w:spacing w:before="16"/>
              <w:ind w:right="60"/>
              <w:rPr>
                <w:sz w:val="14"/>
              </w:rPr>
            </w:pPr>
            <w:r>
              <w:rPr>
                <w:spacing w:val="-2"/>
                <w:w w:val="110"/>
                <w:sz w:val="14"/>
              </w:rPr>
              <w:t>3.231.600</w:t>
            </w:r>
          </w:p>
        </w:tc>
        <w:tc>
          <w:tcPr>
            <w:tcW w:w="985" w:type="dxa"/>
          </w:tcPr>
          <w:p w14:paraId="5506B18F" w14:textId="77777777" w:rsidR="002C6574" w:rsidRDefault="00000000">
            <w:pPr>
              <w:pStyle w:val="TableParagraph"/>
              <w:spacing w:before="16"/>
              <w:ind w:right="63"/>
              <w:rPr>
                <w:sz w:val="14"/>
              </w:rPr>
            </w:pPr>
            <w:r>
              <w:rPr>
                <w:spacing w:val="-4"/>
                <w:w w:val="110"/>
                <w:sz w:val="14"/>
              </w:rPr>
              <w:t>3,87%</w:t>
            </w:r>
          </w:p>
        </w:tc>
        <w:tc>
          <w:tcPr>
            <w:tcW w:w="1239" w:type="dxa"/>
          </w:tcPr>
          <w:p w14:paraId="7CD68FFD" w14:textId="77777777" w:rsidR="002C6574" w:rsidRDefault="00000000">
            <w:pPr>
              <w:pStyle w:val="TableParagraph"/>
              <w:spacing w:before="16"/>
              <w:ind w:left="67"/>
              <w:jc w:val="left"/>
              <w:rPr>
                <w:sz w:val="14"/>
              </w:rPr>
            </w:pPr>
            <w:r>
              <w:rPr>
                <w:spacing w:val="-4"/>
                <w:w w:val="115"/>
                <w:sz w:val="14"/>
              </w:rPr>
              <w:t>FINEP</w:t>
            </w:r>
          </w:p>
        </w:tc>
        <w:tc>
          <w:tcPr>
            <w:tcW w:w="1100" w:type="dxa"/>
          </w:tcPr>
          <w:p w14:paraId="4E5EE355" w14:textId="77777777" w:rsidR="002C6574" w:rsidRDefault="00000000">
            <w:pPr>
              <w:pStyle w:val="TableParagraph"/>
              <w:spacing w:before="16"/>
              <w:ind w:right="60"/>
              <w:rPr>
                <w:sz w:val="14"/>
              </w:rPr>
            </w:pPr>
            <w:r>
              <w:rPr>
                <w:spacing w:val="-10"/>
                <w:sz w:val="14"/>
              </w:rPr>
              <w:t>0</w:t>
            </w:r>
          </w:p>
        </w:tc>
        <w:tc>
          <w:tcPr>
            <w:tcW w:w="774" w:type="dxa"/>
          </w:tcPr>
          <w:p w14:paraId="294408A0" w14:textId="77777777" w:rsidR="002C6574" w:rsidRDefault="00000000">
            <w:pPr>
              <w:pStyle w:val="TableParagraph"/>
              <w:spacing w:before="16"/>
              <w:ind w:right="66"/>
              <w:rPr>
                <w:sz w:val="14"/>
              </w:rPr>
            </w:pPr>
            <w:r>
              <w:rPr>
                <w:spacing w:val="-4"/>
                <w:w w:val="110"/>
                <w:sz w:val="14"/>
              </w:rPr>
              <w:t>0,00%</w:t>
            </w:r>
          </w:p>
        </w:tc>
        <w:tc>
          <w:tcPr>
            <w:tcW w:w="1021" w:type="dxa"/>
          </w:tcPr>
          <w:p w14:paraId="320BA650" w14:textId="77777777" w:rsidR="002C6574" w:rsidRDefault="00000000">
            <w:pPr>
              <w:pStyle w:val="TableParagraph"/>
              <w:spacing w:before="16"/>
              <w:ind w:left="64"/>
              <w:jc w:val="left"/>
              <w:rPr>
                <w:sz w:val="14"/>
              </w:rPr>
            </w:pPr>
            <w:r>
              <w:rPr>
                <w:spacing w:val="-4"/>
                <w:w w:val="115"/>
                <w:sz w:val="14"/>
              </w:rPr>
              <w:t>FINEP</w:t>
            </w:r>
          </w:p>
        </w:tc>
        <w:tc>
          <w:tcPr>
            <w:tcW w:w="944" w:type="dxa"/>
          </w:tcPr>
          <w:p w14:paraId="03F809C8" w14:textId="77777777" w:rsidR="002C6574" w:rsidRDefault="00000000">
            <w:pPr>
              <w:pStyle w:val="TableParagraph"/>
              <w:spacing w:before="16"/>
              <w:ind w:right="68"/>
              <w:rPr>
                <w:sz w:val="14"/>
              </w:rPr>
            </w:pPr>
            <w:r>
              <w:rPr>
                <w:spacing w:val="-2"/>
                <w:w w:val="110"/>
                <w:sz w:val="14"/>
              </w:rPr>
              <w:t>3.231.600</w:t>
            </w:r>
          </w:p>
        </w:tc>
        <w:tc>
          <w:tcPr>
            <w:tcW w:w="937" w:type="dxa"/>
          </w:tcPr>
          <w:p w14:paraId="5D9BF267" w14:textId="77777777" w:rsidR="002C6574" w:rsidRDefault="00000000">
            <w:pPr>
              <w:pStyle w:val="TableParagraph"/>
              <w:spacing w:before="16"/>
              <w:ind w:right="68"/>
              <w:rPr>
                <w:sz w:val="14"/>
              </w:rPr>
            </w:pPr>
            <w:r>
              <w:rPr>
                <w:spacing w:val="-4"/>
                <w:w w:val="110"/>
                <w:sz w:val="14"/>
              </w:rPr>
              <w:t>3,17%</w:t>
            </w:r>
          </w:p>
        </w:tc>
      </w:tr>
      <w:tr w:rsidR="002C6574" w14:paraId="3B359988" w14:textId="77777777">
        <w:trPr>
          <w:trHeight w:val="232"/>
        </w:trPr>
        <w:tc>
          <w:tcPr>
            <w:tcW w:w="1798" w:type="dxa"/>
          </w:tcPr>
          <w:p w14:paraId="5B5602B6" w14:textId="77777777" w:rsidR="002C6574" w:rsidRDefault="00000000">
            <w:pPr>
              <w:pStyle w:val="TableParagraph"/>
              <w:spacing w:before="16"/>
              <w:ind w:left="69"/>
              <w:jc w:val="left"/>
              <w:rPr>
                <w:sz w:val="14"/>
              </w:rPr>
            </w:pPr>
            <w:r>
              <w:rPr>
                <w:sz w:val="14"/>
              </w:rPr>
              <w:t>Outros</w:t>
            </w:r>
            <w:r>
              <w:rPr>
                <w:spacing w:val="-9"/>
                <w:sz w:val="14"/>
              </w:rPr>
              <w:t xml:space="preserve"> </w:t>
            </w:r>
            <w:r>
              <w:rPr>
                <w:spacing w:val="-2"/>
                <w:sz w:val="14"/>
              </w:rPr>
              <w:t>Acionistas</w:t>
            </w:r>
          </w:p>
        </w:tc>
        <w:tc>
          <w:tcPr>
            <w:tcW w:w="980" w:type="dxa"/>
          </w:tcPr>
          <w:p w14:paraId="0DB2D4B7" w14:textId="77777777" w:rsidR="002C6574" w:rsidRDefault="00000000">
            <w:pPr>
              <w:pStyle w:val="TableParagraph"/>
              <w:spacing w:before="16"/>
              <w:ind w:right="60"/>
              <w:rPr>
                <w:sz w:val="14"/>
              </w:rPr>
            </w:pPr>
            <w:r>
              <w:rPr>
                <w:spacing w:val="-2"/>
                <w:w w:val="110"/>
                <w:sz w:val="14"/>
              </w:rPr>
              <w:t>1.126.564</w:t>
            </w:r>
          </w:p>
        </w:tc>
        <w:tc>
          <w:tcPr>
            <w:tcW w:w="985" w:type="dxa"/>
          </w:tcPr>
          <w:p w14:paraId="209726BB" w14:textId="77777777" w:rsidR="002C6574" w:rsidRDefault="00000000">
            <w:pPr>
              <w:pStyle w:val="TableParagraph"/>
              <w:spacing w:before="16"/>
              <w:ind w:right="63"/>
              <w:rPr>
                <w:sz w:val="14"/>
              </w:rPr>
            </w:pPr>
            <w:r>
              <w:rPr>
                <w:spacing w:val="-4"/>
                <w:w w:val="110"/>
                <w:sz w:val="14"/>
              </w:rPr>
              <w:t>1,35%</w:t>
            </w:r>
          </w:p>
        </w:tc>
        <w:tc>
          <w:tcPr>
            <w:tcW w:w="1239" w:type="dxa"/>
          </w:tcPr>
          <w:p w14:paraId="61B59AE4" w14:textId="77777777" w:rsidR="002C6574" w:rsidRDefault="00000000">
            <w:pPr>
              <w:pStyle w:val="TableParagraph"/>
              <w:spacing w:before="16"/>
              <w:ind w:left="67"/>
              <w:jc w:val="left"/>
              <w:rPr>
                <w:sz w:val="14"/>
              </w:rPr>
            </w:pPr>
            <w:r>
              <w:rPr>
                <w:sz w:val="14"/>
              </w:rPr>
              <w:t>Outros</w:t>
            </w:r>
            <w:r>
              <w:rPr>
                <w:spacing w:val="-9"/>
                <w:sz w:val="14"/>
              </w:rPr>
              <w:t xml:space="preserve"> </w:t>
            </w:r>
            <w:r>
              <w:rPr>
                <w:spacing w:val="-2"/>
                <w:sz w:val="14"/>
              </w:rPr>
              <w:t>Acionistas</w:t>
            </w:r>
          </w:p>
        </w:tc>
        <w:tc>
          <w:tcPr>
            <w:tcW w:w="1100" w:type="dxa"/>
          </w:tcPr>
          <w:p w14:paraId="0F03F732" w14:textId="77777777" w:rsidR="002C6574" w:rsidRDefault="00000000">
            <w:pPr>
              <w:pStyle w:val="TableParagraph"/>
              <w:spacing w:before="16"/>
              <w:ind w:right="62"/>
              <w:rPr>
                <w:sz w:val="14"/>
              </w:rPr>
            </w:pPr>
            <w:r>
              <w:rPr>
                <w:spacing w:val="-2"/>
                <w:w w:val="110"/>
                <w:sz w:val="14"/>
              </w:rPr>
              <w:t>2.253.875</w:t>
            </w:r>
          </w:p>
        </w:tc>
        <w:tc>
          <w:tcPr>
            <w:tcW w:w="774" w:type="dxa"/>
          </w:tcPr>
          <w:p w14:paraId="262EEEE4" w14:textId="77777777" w:rsidR="002C6574" w:rsidRDefault="00000000">
            <w:pPr>
              <w:pStyle w:val="TableParagraph"/>
              <w:spacing w:before="16"/>
              <w:ind w:right="68"/>
              <w:rPr>
                <w:sz w:val="14"/>
              </w:rPr>
            </w:pPr>
            <w:r>
              <w:rPr>
                <w:spacing w:val="-2"/>
                <w:w w:val="105"/>
                <w:sz w:val="14"/>
              </w:rPr>
              <w:t>12,24%</w:t>
            </w:r>
          </w:p>
        </w:tc>
        <w:tc>
          <w:tcPr>
            <w:tcW w:w="1021" w:type="dxa"/>
          </w:tcPr>
          <w:p w14:paraId="718F5D5E" w14:textId="77777777" w:rsidR="002C6574" w:rsidRDefault="00000000">
            <w:pPr>
              <w:pStyle w:val="TableParagraph"/>
              <w:spacing w:before="16"/>
              <w:ind w:left="64"/>
              <w:jc w:val="left"/>
              <w:rPr>
                <w:sz w:val="14"/>
              </w:rPr>
            </w:pPr>
            <w:r>
              <w:rPr>
                <w:spacing w:val="-2"/>
                <w:sz w:val="14"/>
              </w:rPr>
              <w:t>Outros</w:t>
            </w:r>
          </w:p>
        </w:tc>
        <w:tc>
          <w:tcPr>
            <w:tcW w:w="944" w:type="dxa"/>
          </w:tcPr>
          <w:p w14:paraId="23FDD65D" w14:textId="77777777" w:rsidR="002C6574" w:rsidRDefault="00000000">
            <w:pPr>
              <w:pStyle w:val="TableParagraph"/>
              <w:spacing w:before="16"/>
              <w:ind w:right="69"/>
              <w:rPr>
                <w:sz w:val="14"/>
              </w:rPr>
            </w:pPr>
            <w:r>
              <w:rPr>
                <w:spacing w:val="-2"/>
                <w:w w:val="110"/>
                <w:sz w:val="14"/>
              </w:rPr>
              <w:t>3.380.439</w:t>
            </w:r>
          </w:p>
        </w:tc>
        <w:tc>
          <w:tcPr>
            <w:tcW w:w="937" w:type="dxa"/>
          </w:tcPr>
          <w:p w14:paraId="5C1560F6" w14:textId="77777777" w:rsidR="002C6574" w:rsidRDefault="00000000">
            <w:pPr>
              <w:pStyle w:val="TableParagraph"/>
              <w:spacing w:before="16"/>
              <w:ind w:right="68"/>
              <w:rPr>
                <w:sz w:val="14"/>
              </w:rPr>
            </w:pPr>
            <w:r>
              <w:rPr>
                <w:spacing w:val="-4"/>
                <w:w w:val="110"/>
                <w:sz w:val="14"/>
              </w:rPr>
              <w:t>3,31%</w:t>
            </w:r>
          </w:p>
        </w:tc>
      </w:tr>
      <w:tr w:rsidR="002C6574" w14:paraId="6DDB2581" w14:textId="77777777">
        <w:trPr>
          <w:trHeight w:val="230"/>
        </w:trPr>
        <w:tc>
          <w:tcPr>
            <w:tcW w:w="1798" w:type="dxa"/>
          </w:tcPr>
          <w:p w14:paraId="124FB9EB" w14:textId="77777777" w:rsidR="002C6574" w:rsidRDefault="00000000">
            <w:pPr>
              <w:pStyle w:val="TableParagraph"/>
              <w:spacing w:before="16"/>
              <w:ind w:left="69"/>
              <w:jc w:val="left"/>
              <w:rPr>
                <w:sz w:val="14"/>
              </w:rPr>
            </w:pPr>
            <w:r>
              <w:rPr>
                <w:w w:val="105"/>
                <w:sz w:val="14"/>
              </w:rPr>
              <w:t>Ações</w:t>
            </w:r>
            <w:r>
              <w:rPr>
                <w:spacing w:val="-9"/>
                <w:w w:val="105"/>
                <w:sz w:val="14"/>
              </w:rPr>
              <w:t xml:space="preserve"> </w:t>
            </w:r>
            <w:r>
              <w:rPr>
                <w:w w:val="105"/>
                <w:sz w:val="14"/>
              </w:rPr>
              <w:t>em</w:t>
            </w:r>
            <w:r>
              <w:rPr>
                <w:spacing w:val="-8"/>
                <w:w w:val="105"/>
                <w:sz w:val="14"/>
              </w:rPr>
              <w:t xml:space="preserve"> </w:t>
            </w:r>
            <w:r>
              <w:rPr>
                <w:spacing w:val="-2"/>
                <w:w w:val="105"/>
                <w:sz w:val="14"/>
              </w:rPr>
              <w:t>Tesouraria</w:t>
            </w:r>
          </w:p>
        </w:tc>
        <w:tc>
          <w:tcPr>
            <w:tcW w:w="980" w:type="dxa"/>
          </w:tcPr>
          <w:p w14:paraId="179C391A" w14:textId="77777777" w:rsidR="002C6574" w:rsidRDefault="00000000">
            <w:pPr>
              <w:pStyle w:val="TableParagraph"/>
              <w:spacing w:before="16"/>
              <w:ind w:right="61"/>
              <w:rPr>
                <w:sz w:val="14"/>
              </w:rPr>
            </w:pPr>
            <w:r>
              <w:rPr>
                <w:spacing w:val="-5"/>
                <w:sz w:val="14"/>
              </w:rPr>
              <w:t>193</w:t>
            </w:r>
          </w:p>
        </w:tc>
        <w:tc>
          <w:tcPr>
            <w:tcW w:w="985" w:type="dxa"/>
          </w:tcPr>
          <w:p w14:paraId="5F474DEB" w14:textId="77777777" w:rsidR="002C6574" w:rsidRDefault="00000000">
            <w:pPr>
              <w:pStyle w:val="TableParagraph"/>
              <w:spacing w:before="16"/>
              <w:ind w:right="63"/>
              <w:rPr>
                <w:sz w:val="14"/>
              </w:rPr>
            </w:pPr>
            <w:r>
              <w:rPr>
                <w:spacing w:val="-4"/>
                <w:w w:val="110"/>
                <w:sz w:val="14"/>
              </w:rPr>
              <w:t>0,00%</w:t>
            </w:r>
          </w:p>
        </w:tc>
        <w:tc>
          <w:tcPr>
            <w:tcW w:w="1239" w:type="dxa"/>
            <w:shd w:val="clear" w:color="auto" w:fill="BFBFBF"/>
          </w:tcPr>
          <w:p w14:paraId="4D852868" w14:textId="77777777" w:rsidR="002C6574" w:rsidRDefault="002C6574">
            <w:pPr>
              <w:pStyle w:val="TableParagraph"/>
              <w:jc w:val="left"/>
              <w:rPr>
                <w:rFonts w:ascii="Times New Roman"/>
                <w:sz w:val="16"/>
              </w:rPr>
            </w:pPr>
          </w:p>
        </w:tc>
        <w:tc>
          <w:tcPr>
            <w:tcW w:w="1100" w:type="dxa"/>
            <w:shd w:val="clear" w:color="auto" w:fill="BFBFBF"/>
          </w:tcPr>
          <w:p w14:paraId="086BF72D" w14:textId="77777777" w:rsidR="002C6574" w:rsidRDefault="002C6574">
            <w:pPr>
              <w:pStyle w:val="TableParagraph"/>
              <w:jc w:val="left"/>
              <w:rPr>
                <w:rFonts w:ascii="Times New Roman"/>
                <w:sz w:val="16"/>
              </w:rPr>
            </w:pPr>
          </w:p>
        </w:tc>
        <w:tc>
          <w:tcPr>
            <w:tcW w:w="774" w:type="dxa"/>
            <w:shd w:val="clear" w:color="auto" w:fill="BFBFBF"/>
          </w:tcPr>
          <w:p w14:paraId="30F62136" w14:textId="77777777" w:rsidR="002C6574" w:rsidRDefault="002C6574">
            <w:pPr>
              <w:pStyle w:val="TableParagraph"/>
              <w:jc w:val="left"/>
              <w:rPr>
                <w:rFonts w:ascii="Times New Roman"/>
                <w:sz w:val="16"/>
              </w:rPr>
            </w:pPr>
          </w:p>
        </w:tc>
        <w:tc>
          <w:tcPr>
            <w:tcW w:w="1021" w:type="dxa"/>
            <w:shd w:val="clear" w:color="auto" w:fill="BFBFBF"/>
          </w:tcPr>
          <w:p w14:paraId="6D64E05E" w14:textId="77777777" w:rsidR="002C6574" w:rsidRDefault="002C6574">
            <w:pPr>
              <w:pStyle w:val="TableParagraph"/>
              <w:jc w:val="left"/>
              <w:rPr>
                <w:rFonts w:ascii="Times New Roman"/>
                <w:sz w:val="16"/>
              </w:rPr>
            </w:pPr>
          </w:p>
        </w:tc>
        <w:tc>
          <w:tcPr>
            <w:tcW w:w="944" w:type="dxa"/>
          </w:tcPr>
          <w:p w14:paraId="5200687D" w14:textId="77777777" w:rsidR="002C6574" w:rsidRDefault="00000000">
            <w:pPr>
              <w:pStyle w:val="TableParagraph"/>
              <w:spacing w:before="16"/>
              <w:ind w:right="68"/>
              <w:rPr>
                <w:sz w:val="14"/>
              </w:rPr>
            </w:pPr>
            <w:r>
              <w:rPr>
                <w:spacing w:val="-5"/>
                <w:sz w:val="14"/>
              </w:rPr>
              <w:t>193</w:t>
            </w:r>
          </w:p>
        </w:tc>
        <w:tc>
          <w:tcPr>
            <w:tcW w:w="937" w:type="dxa"/>
          </w:tcPr>
          <w:p w14:paraId="74B56470" w14:textId="77777777" w:rsidR="002C6574" w:rsidRDefault="00000000">
            <w:pPr>
              <w:pStyle w:val="TableParagraph"/>
              <w:spacing w:before="16"/>
              <w:ind w:right="68"/>
              <w:rPr>
                <w:sz w:val="14"/>
              </w:rPr>
            </w:pPr>
            <w:r>
              <w:rPr>
                <w:spacing w:val="-4"/>
                <w:w w:val="110"/>
                <w:sz w:val="14"/>
              </w:rPr>
              <w:t>0,00%</w:t>
            </w:r>
          </w:p>
        </w:tc>
      </w:tr>
      <w:tr w:rsidR="002C6574" w14:paraId="7DCBA941" w14:textId="77777777">
        <w:trPr>
          <w:trHeight w:val="232"/>
        </w:trPr>
        <w:tc>
          <w:tcPr>
            <w:tcW w:w="1798" w:type="dxa"/>
          </w:tcPr>
          <w:p w14:paraId="0B3AB9C8" w14:textId="77777777" w:rsidR="002C6574" w:rsidRDefault="00000000">
            <w:pPr>
              <w:pStyle w:val="TableParagraph"/>
              <w:spacing w:before="36"/>
              <w:ind w:left="69"/>
              <w:jc w:val="left"/>
              <w:rPr>
                <w:rFonts w:ascii="Arial"/>
                <w:b/>
                <w:sz w:val="14"/>
              </w:rPr>
            </w:pPr>
            <w:r>
              <w:rPr>
                <w:rFonts w:ascii="Arial"/>
                <w:b/>
                <w:spacing w:val="-2"/>
                <w:sz w:val="14"/>
              </w:rPr>
              <w:t>Total</w:t>
            </w:r>
          </w:p>
        </w:tc>
        <w:tc>
          <w:tcPr>
            <w:tcW w:w="980" w:type="dxa"/>
          </w:tcPr>
          <w:p w14:paraId="66F5E121" w14:textId="77777777" w:rsidR="002C6574" w:rsidRDefault="00000000">
            <w:pPr>
              <w:pStyle w:val="TableParagraph"/>
              <w:spacing w:before="36"/>
              <w:ind w:right="60"/>
              <w:rPr>
                <w:rFonts w:ascii="Arial"/>
                <w:b/>
                <w:sz w:val="14"/>
              </w:rPr>
            </w:pPr>
            <w:r>
              <w:rPr>
                <w:rFonts w:ascii="Arial"/>
                <w:b/>
                <w:spacing w:val="-2"/>
                <w:sz w:val="14"/>
              </w:rPr>
              <w:t>83.575.912</w:t>
            </w:r>
          </w:p>
        </w:tc>
        <w:tc>
          <w:tcPr>
            <w:tcW w:w="985" w:type="dxa"/>
          </w:tcPr>
          <w:p w14:paraId="01CAA707" w14:textId="77777777" w:rsidR="002C6574" w:rsidRDefault="00000000">
            <w:pPr>
              <w:pStyle w:val="TableParagraph"/>
              <w:spacing w:before="36"/>
              <w:ind w:right="63"/>
              <w:rPr>
                <w:rFonts w:ascii="Arial"/>
                <w:b/>
                <w:sz w:val="14"/>
              </w:rPr>
            </w:pPr>
            <w:r>
              <w:rPr>
                <w:rFonts w:ascii="Arial"/>
                <w:b/>
                <w:spacing w:val="-2"/>
                <w:sz w:val="14"/>
              </w:rPr>
              <w:t>100,00%</w:t>
            </w:r>
          </w:p>
        </w:tc>
        <w:tc>
          <w:tcPr>
            <w:tcW w:w="1239" w:type="dxa"/>
          </w:tcPr>
          <w:p w14:paraId="56766A91" w14:textId="77777777" w:rsidR="002C6574" w:rsidRDefault="00000000">
            <w:pPr>
              <w:pStyle w:val="TableParagraph"/>
              <w:spacing w:before="16"/>
              <w:ind w:left="67"/>
              <w:jc w:val="left"/>
              <w:rPr>
                <w:sz w:val="14"/>
              </w:rPr>
            </w:pPr>
            <w:r>
              <w:rPr>
                <w:spacing w:val="-4"/>
                <w:sz w:val="14"/>
              </w:rPr>
              <w:t>Total</w:t>
            </w:r>
          </w:p>
        </w:tc>
        <w:tc>
          <w:tcPr>
            <w:tcW w:w="1100" w:type="dxa"/>
          </w:tcPr>
          <w:p w14:paraId="17E33145" w14:textId="77777777" w:rsidR="002C6574" w:rsidRDefault="00000000">
            <w:pPr>
              <w:pStyle w:val="TableParagraph"/>
              <w:spacing w:before="36"/>
              <w:ind w:right="63"/>
              <w:rPr>
                <w:rFonts w:ascii="Arial"/>
                <w:b/>
                <w:sz w:val="14"/>
              </w:rPr>
            </w:pPr>
            <w:r>
              <w:rPr>
                <w:rFonts w:ascii="Arial"/>
                <w:b/>
                <w:spacing w:val="-2"/>
                <w:sz w:val="14"/>
              </w:rPr>
              <w:t>18.407.491</w:t>
            </w:r>
          </w:p>
        </w:tc>
        <w:tc>
          <w:tcPr>
            <w:tcW w:w="774" w:type="dxa"/>
          </w:tcPr>
          <w:p w14:paraId="01E5E076" w14:textId="77777777" w:rsidR="002C6574" w:rsidRDefault="00000000">
            <w:pPr>
              <w:pStyle w:val="TableParagraph"/>
              <w:spacing w:before="36"/>
              <w:ind w:right="66"/>
              <w:rPr>
                <w:rFonts w:ascii="Arial"/>
                <w:b/>
                <w:sz w:val="14"/>
              </w:rPr>
            </w:pPr>
            <w:r>
              <w:rPr>
                <w:rFonts w:ascii="Arial"/>
                <w:b/>
                <w:spacing w:val="-2"/>
                <w:sz w:val="14"/>
              </w:rPr>
              <w:t>100,00%</w:t>
            </w:r>
          </w:p>
        </w:tc>
        <w:tc>
          <w:tcPr>
            <w:tcW w:w="1021" w:type="dxa"/>
          </w:tcPr>
          <w:p w14:paraId="6AE0D1C7" w14:textId="77777777" w:rsidR="002C6574" w:rsidRDefault="00000000">
            <w:pPr>
              <w:pStyle w:val="TableParagraph"/>
              <w:spacing w:before="36"/>
              <w:ind w:left="64"/>
              <w:jc w:val="left"/>
              <w:rPr>
                <w:rFonts w:ascii="Arial"/>
                <w:b/>
                <w:sz w:val="14"/>
              </w:rPr>
            </w:pPr>
            <w:r>
              <w:rPr>
                <w:rFonts w:ascii="Arial"/>
                <w:b/>
                <w:spacing w:val="-2"/>
                <w:sz w:val="14"/>
              </w:rPr>
              <w:t>Total</w:t>
            </w:r>
          </w:p>
        </w:tc>
        <w:tc>
          <w:tcPr>
            <w:tcW w:w="944" w:type="dxa"/>
          </w:tcPr>
          <w:p w14:paraId="4DDCA100" w14:textId="77777777" w:rsidR="002C6574" w:rsidRDefault="00000000">
            <w:pPr>
              <w:pStyle w:val="TableParagraph"/>
              <w:spacing w:before="36"/>
              <w:ind w:right="68"/>
              <w:rPr>
                <w:rFonts w:ascii="Arial"/>
                <w:b/>
                <w:sz w:val="14"/>
              </w:rPr>
            </w:pPr>
            <w:r>
              <w:rPr>
                <w:rFonts w:ascii="Arial"/>
                <w:b/>
                <w:spacing w:val="-2"/>
                <w:sz w:val="14"/>
              </w:rPr>
              <w:t>101.983.403</w:t>
            </w:r>
          </w:p>
        </w:tc>
        <w:tc>
          <w:tcPr>
            <w:tcW w:w="937" w:type="dxa"/>
          </w:tcPr>
          <w:p w14:paraId="24196886" w14:textId="77777777" w:rsidR="002C6574" w:rsidRDefault="00000000">
            <w:pPr>
              <w:pStyle w:val="TableParagraph"/>
              <w:spacing w:before="36"/>
              <w:ind w:right="68"/>
              <w:rPr>
                <w:rFonts w:ascii="Arial"/>
                <w:b/>
                <w:sz w:val="14"/>
              </w:rPr>
            </w:pPr>
            <w:r>
              <w:rPr>
                <w:rFonts w:ascii="Arial"/>
                <w:b/>
                <w:spacing w:val="-2"/>
                <w:sz w:val="14"/>
              </w:rPr>
              <w:t>100,00%</w:t>
            </w:r>
          </w:p>
        </w:tc>
      </w:tr>
    </w:tbl>
    <w:p w14:paraId="092914E2" w14:textId="77777777" w:rsidR="002C6574" w:rsidRDefault="00000000">
      <w:pPr>
        <w:numPr>
          <w:ilvl w:val="2"/>
          <w:numId w:val="31"/>
        </w:numPr>
        <w:tabs>
          <w:tab w:val="left" w:pos="990"/>
        </w:tabs>
        <w:spacing w:before="186"/>
        <w:ind w:left="990" w:hanging="847"/>
        <w:rPr>
          <w:rFonts w:ascii="Arial" w:hAnsi="Arial"/>
          <w:b/>
        </w:rPr>
      </w:pPr>
      <w:r>
        <w:rPr>
          <w:rFonts w:ascii="Arial" w:hAnsi="Arial"/>
          <w:b/>
        </w:rPr>
        <w:t>Valor</w:t>
      </w:r>
      <w:r>
        <w:rPr>
          <w:rFonts w:ascii="Arial" w:hAnsi="Arial"/>
          <w:b/>
          <w:spacing w:val="-4"/>
        </w:rPr>
        <w:t xml:space="preserve"> </w:t>
      </w:r>
      <w:r>
        <w:rPr>
          <w:rFonts w:ascii="Arial" w:hAnsi="Arial"/>
          <w:b/>
        </w:rPr>
        <w:t>patrimonial</w:t>
      </w:r>
      <w:r>
        <w:rPr>
          <w:rFonts w:ascii="Arial" w:hAnsi="Arial"/>
          <w:b/>
          <w:spacing w:val="-4"/>
        </w:rPr>
        <w:t xml:space="preserve"> </w:t>
      </w:r>
      <w:r>
        <w:rPr>
          <w:rFonts w:ascii="Arial" w:hAnsi="Arial"/>
          <w:b/>
        </w:rPr>
        <w:t>da</w:t>
      </w:r>
      <w:r>
        <w:rPr>
          <w:rFonts w:ascii="Arial" w:hAnsi="Arial"/>
          <w:b/>
          <w:spacing w:val="-3"/>
        </w:rPr>
        <w:t xml:space="preserve"> </w:t>
      </w:r>
      <w:r>
        <w:rPr>
          <w:rFonts w:ascii="Arial" w:hAnsi="Arial"/>
          <w:b/>
          <w:spacing w:val="-4"/>
        </w:rPr>
        <w:t>ação</w:t>
      </w:r>
    </w:p>
    <w:p w14:paraId="0812D5BB" w14:textId="77777777" w:rsidR="002C6574" w:rsidRDefault="002C6574">
      <w:pPr>
        <w:pStyle w:val="Corpodetexto"/>
        <w:spacing w:before="48"/>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9"/>
        <w:gridCol w:w="2021"/>
        <w:gridCol w:w="2021"/>
      </w:tblGrid>
      <w:tr w:rsidR="002C6574" w14:paraId="3564E744" w14:textId="77777777">
        <w:trPr>
          <w:trHeight w:val="237"/>
        </w:trPr>
        <w:tc>
          <w:tcPr>
            <w:tcW w:w="5729" w:type="dxa"/>
            <w:shd w:val="clear" w:color="auto" w:fill="D8D8D8"/>
          </w:tcPr>
          <w:p w14:paraId="559E202E" w14:textId="77777777" w:rsidR="002C6574" w:rsidRDefault="00000000">
            <w:pPr>
              <w:pStyle w:val="TableParagraph"/>
              <w:spacing w:before="13" w:line="204" w:lineRule="exact"/>
              <w:ind w:left="69"/>
              <w:jc w:val="left"/>
              <w:rPr>
                <w:rFonts w:ascii="Arial" w:hAnsi="Arial"/>
                <w:b/>
                <w:sz w:val="18"/>
              </w:rPr>
            </w:pPr>
            <w:r>
              <w:rPr>
                <w:rFonts w:ascii="Arial" w:hAnsi="Arial"/>
                <w:b/>
                <w:sz w:val="18"/>
              </w:rPr>
              <w:t>Componentes</w:t>
            </w:r>
            <w:r>
              <w:rPr>
                <w:rFonts w:ascii="Arial" w:hAnsi="Arial"/>
                <w:b/>
                <w:spacing w:val="1"/>
                <w:sz w:val="18"/>
              </w:rPr>
              <w:t xml:space="preserve"> </w:t>
            </w:r>
            <w:r>
              <w:rPr>
                <w:rFonts w:ascii="Arial" w:hAnsi="Arial"/>
                <w:b/>
                <w:sz w:val="18"/>
              </w:rPr>
              <w:t>do</w:t>
            </w:r>
            <w:r>
              <w:rPr>
                <w:rFonts w:ascii="Arial" w:hAnsi="Arial"/>
                <w:b/>
                <w:spacing w:val="-2"/>
                <w:sz w:val="18"/>
              </w:rPr>
              <w:t xml:space="preserve"> Cálculo:</w:t>
            </w:r>
          </w:p>
        </w:tc>
        <w:tc>
          <w:tcPr>
            <w:tcW w:w="2021" w:type="dxa"/>
          </w:tcPr>
          <w:p w14:paraId="2E4555DC" w14:textId="77777777" w:rsidR="002C6574" w:rsidRDefault="00000000">
            <w:pPr>
              <w:pStyle w:val="TableParagraph"/>
              <w:spacing w:before="13" w:line="204" w:lineRule="exact"/>
              <w:ind w:left="559"/>
              <w:jc w:val="left"/>
              <w:rPr>
                <w:rFonts w:ascii="Arial"/>
                <w:b/>
                <w:sz w:val="18"/>
              </w:rPr>
            </w:pPr>
            <w:r>
              <w:rPr>
                <w:rFonts w:ascii="Arial"/>
                <w:b/>
                <w:spacing w:val="-2"/>
                <w:sz w:val="18"/>
              </w:rPr>
              <w:t>31/12/2025</w:t>
            </w:r>
          </w:p>
        </w:tc>
        <w:tc>
          <w:tcPr>
            <w:tcW w:w="2021" w:type="dxa"/>
          </w:tcPr>
          <w:p w14:paraId="34FBA7E6" w14:textId="77777777" w:rsidR="002C6574" w:rsidRDefault="00000000">
            <w:pPr>
              <w:pStyle w:val="TableParagraph"/>
              <w:spacing w:before="13" w:line="204" w:lineRule="exact"/>
              <w:ind w:left="557"/>
              <w:jc w:val="left"/>
              <w:rPr>
                <w:rFonts w:ascii="Arial"/>
                <w:b/>
                <w:sz w:val="18"/>
              </w:rPr>
            </w:pPr>
            <w:r>
              <w:rPr>
                <w:rFonts w:ascii="Arial"/>
                <w:b/>
                <w:spacing w:val="-2"/>
                <w:sz w:val="18"/>
              </w:rPr>
              <w:t>31/12/2024</w:t>
            </w:r>
          </w:p>
        </w:tc>
      </w:tr>
      <w:tr w:rsidR="002C6574" w14:paraId="4348A1F8" w14:textId="77777777">
        <w:trPr>
          <w:trHeight w:val="237"/>
        </w:trPr>
        <w:tc>
          <w:tcPr>
            <w:tcW w:w="5729" w:type="dxa"/>
          </w:tcPr>
          <w:p w14:paraId="7B08E4D4" w14:textId="77777777" w:rsidR="002C6574" w:rsidRDefault="00000000">
            <w:pPr>
              <w:pStyle w:val="TableParagraph"/>
              <w:spacing w:before="13" w:line="204" w:lineRule="exact"/>
              <w:ind w:left="69"/>
              <w:jc w:val="left"/>
              <w:rPr>
                <w:rFonts w:ascii="Arial" w:hAnsi="Arial"/>
                <w:b/>
                <w:sz w:val="18"/>
              </w:rPr>
            </w:pPr>
            <w:r>
              <w:rPr>
                <w:rFonts w:ascii="Arial" w:hAnsi="Arial"/>
                <w:b/>
                <w:sz w:val="18"/>
              </w:rPr>
              <w:t>Capital total</w:t>
            </w:r>
            <w:r>
              <w:rPr>
                <w:rFonts w:ascii="Arial" w:hAnsi="Arial"/>
                <w:b/>
                <w:spacing w:val="-1"/>
                <w:sz w:val="18"/>
              </w:rPr>
              <w:t xml:space="preserve"> </w:t>
            </w:r>
            <w:r>
              <w:rPr>
                <w:rFonts w:ascii="Arial" w:hAnsi="Arial"/>
                <w:b/>
                <w:sz w:val="18"/>
              </w:rPr>
              <w:t xml:space="preserve">em </w:t>
            </w:r>
            <w:r>
              <w:rPr>
                <w:rFonts w:ascii="Arial" w:hAnsi="Arial"/>
                <w:b/>
                <w:spacing w:val="-2"/>
                <w:sz w:val="18"/>
              </w:rPr>
              <w:t>ações</w:t>
            </w:r>
          </w:p>
        </w:tc>
        <w:tc>
          <w:tcPr>
            <w:tcW w:w="2021" w:type="dxa"/>
          </w:tcPr>
          <w:p w14:paraId="1F3FA403" w14:textId="77777777" w:rsidR="002C6574" w:rsidRDefault="002C6574">
            <w:pPr>
              <w:pStyle w:val="TableParagraph"/>
              <w:jc w:val="left"/>
              <w:rPr>
                <w:rFonts w:ascii="Times New Roman"/>
                <w:sz w:val="16"/>
              </w:rPr>
            </w:pPr>
          </w:p>
        </w:tc>
        <w:tc>
          <w:tcPr>
            <w:tcW w:w="2021" w:type="dxa"/>
          </w:tcPr>
          <w:p w14:paraId="6783B877" w14:textId="77777777" w:rsidR="002C6574" w:rsidRDefault="002C6574">
            <w:pPr>
              <w:pStyle w:val="TableParagraph"/>
              <w:jc w:val="left"/>
              <w:rPr>
                <w:rFonts w:ascii="Times New Roman"/>
                <w:sz w:val="16"/>
              </w:rPr>
            </w:pPr>
          </w:p>
        </w:tc>
      </w:tr>
      <w:tr w:rsidR="002C6574" w14:paraId="23B0D7F1" w14:textId="77777777">
        <w:trPr>
          <w:trHeight w:val="239"/>
        </w:trPr>
        <w:tc>
          <w:tcPr>
            <w:tcW w:w="5729" w:type="dxa"/>
          </w:tcPr>
          <w:p w14:paraId="547A80C8" w14:textId="77777777" w:rsidR="002C6574" w:rsidRDefault="00000000">
            <w:pPr>
              <w:pStyle w:val="TableParagraph"/>
              <w:spacing w:line="220" w:lineRule="exact"/>
              <w:ind w:left="69"/>
              <w:jc w:val="left"/>
              <w:rPr>
                <w:sz w:val="18"/>
              </w:rPr>
            </w:pPr>
            <w:r>
              <w:rPr>
                <w:spacing w:val="-2"/>
                <w:sz w:val="18"/>
              </w:rPr>
              <w:t>Ordinárias</w:t>
            </w:r>
          </w:p>
        </w:tc>
        <w:tc>
          <w:tcPr>
            <w:tcW w:w="2021" w:type="dxa"/>
          </w:tcPr>
          <w:p w14:paraId="7AAB62C0" w14:textId="77777777" w:rsidR="002C6574" w:rsidRDefault="00000000">
            <w:pPr>
              <w:pStyle w:val="TableParagraph"/>
              <w:spacing w:line="220" w:lineRule="exact"/>
              <w:ind w:right="57"/>
              <w:rPr>
                <w:sz w:val="18"/>
              </w:rPr>
            </w:pPr>
            <w:r>
              <w:rPr>
                <w:spacing w:val="-2"/>
                <w:w w:val="110"/>
                <w:sz w:val="18"/>
              </w:rPr>
              <w:t>83.575.912</w:t>
            </w:r>
          </w:p>
        </w:tc>
        <w:tc>
          <w:tcPr>
            <w:tcW w:w="2021" w:type="dxa"/>
          </w:tcPr>
          <w:p w14:paraId="1BF867BF" w14:textId="77777777" w:rsidR="002C6574" w:rsidRDefault="00000000">
            <w:pPr>
              <w:pStyle w:val="TableParagraph"/>
              <w:spacing w:line="220" w:lineRule="exact"/>
              <w:ind w:right="58"/>
              <w:rPr>
                <w:sz w:val="18"/>
              </w:rPr>
            </w:pPr>
            <w:r>
              <w:rPr>
                <w:spacing w:val="-2"/>
                <w:w w:val="110"/>
                <w:sz w:val="18"/>
              </w:rPr>
              <w:t>67.975.599</w:t>
            </w:r>
          </w:p>
        </w:tc>
      </w:tr>
      <w:tr w:rsidR="002C6574" w14:paraId="44C7FF89" w14:textId="77777777">
        <w:trPr>
          <w:trHeight w:val="237"/>
        </w:trPr>
        <w:tc>
          <w:tcPr>
            <w:tcW w:w="5729" w:type="dxa"/>
          </w:tcPr>
          <w:p w14:paraId="5258EBF3" w14:textId="77777777" w:rsidR="002C6574" w:rsidRDefault="00000000">
            <w:pPr>
              <w:pStyle w:val="TableParagraph"/>
              <w:spacing w:line="217" w:lineRule="exact"/>
              <w:ind w:left="69"/>
              <w:jc w:val="left"/>
              <w:rPr>
                <w:sz w:val="18"/>
              </w:rPr>
            </w:pPr>
            <w:r>
              <w:rPr>
                <w:spacing w:val="-2"/>
                <w:sz w:val="18"/>
              </w:rPr>
              <w:t>Preferenciais</w:t>
            </w:r>
          </w:p>
        </w:tc>
        <w:tc>
          <w:tcPr>
            <w:tcW w:w="2021" w:type="dxa"/>
          </w:tcPr>
          <w:p w14:paraId="3860BA58" w14:textId="77777777" w:rsidR="002C6574" w:rsidRDefault="00000000">
            <w:pPr>
              <w:pStyle w:val="TableParagraph"/>
              <w:spacing w:line="217" w:lineRule="exact"/>
              <w:ind w:right="56"/>
              <w:rPr>
                <w:sz w:val="18"/>
              </w:rPr>
            </w:pPr>
            <w:r>
              <w:rPr>
                <w:spacing w:val="-2"/>
                <w:w w:val="110"/>
                <w:sz w:val="18"/>
              </w:rPr>
              <w:t>18.407.491</w:t>
            </w:r>
          </w:p>
        </w:tc>
        <w:tc>
          <w:tcPr>
            <w:tcW w:w="2021" w:type="dxa"/>
          </w:tcPr>
          <w:p w14:paraId="71D99F7A" w14:textId="77777777" w:rsidR="002C6574" w:rsidRDefault="00000000">
            <w:pPr>
              <w:pStyle w:val="TableParagraph"/>
              <w:spacing w:line="217" w:lineRule="exact"/>
              <w:ind w:right="58"/>
              <w:rPr>
                <w:sz w:val="18"/>
              </w:rPr>
            </w:pPr>
            <w:r>
              <w:rPr>
                <w:spacing w:val="-2"/>
                <w:w w:val="110"/>
                <w:sz w:val="18"/>
              </w:rPr>
              <w:t>18.407.491</w:t>
            </w:r>
          </w:p>
        </w:tc>
      </w:tr>
      <w:tr w:rsidR="002C6574" w14:paraId="66CE5642" w14:textId="77777777">
        <w:trPr>
          <w:trHeight w:val="237"/>
        </w:trPr>
        <w:tc>
          <w:tcPr>
            <w:tcW w:w="5729" w:type="dxa"/>
          </w:tcPr>
          <w:p w14:paraId="47A2FA1E" w14:textId="77777777" w:rsidR="002C6574" w:rsidRDefault="00000000">
            <w:pPr>
              <w:pStyle w:val="TableParagraph"/>
              <w:spacing w:before="13" w:line="204" w:lineRule="exact"/>
              <w:ind w:left="249"/>
              <w:jc w:val="left"/>
              <w:rPr>
                <w:rFonts w:ascii="Arial"/>
                <w:b/>
                <w:sz w:val="18"/>
              </w:rPr>
            </w:pPr>
            <w:r>
              <w:rPr>
                <w:rFonts w:ascii="Arial"/>
                <w:b/>
                <w:sz w:val="18"/>
              </w:rPr>
              <w:t>Total</w:t>
            </w:r>
            <w:r>
              <w:rPr>
                <w:rFonts w:ascii="Arial"/>
                <w:b/>
                <w:spacing w:val="1"/>
                <w:sz w:val="18"/>
              </w:rPr>
              <w:t xml:space="preserve"> </w:t>
            </w:r>
            <w:r>
              <w:rPr>
                <w:rFonts w:ascii="Arial"/>
                <w:b/>
                <w:spacing w:val="-5"/>
                <w:sz w:val="18"/>
              </w:rPr>
              <w:t>(A)</w:t>
            </w:r>
          </w:p>
        </w:tc>
        <w:tc>
          <w:tcPr>
            <w:tcW w:w="2021" w:type="dxa"/>
          </w:tcPr>
          <w:p w14:paraId="52623873" w14:textId="77777777" w:rsidR="002C6574" w:rsidRDefault="00000000">
            <w:pPr>
              <w:pStyle w:val="TableParagraph"/>
              <w:spacing w:before="13" w:line="204" w:lineRule="exact"/>
              <w:ind w:right="57"/>
              <w:rPr>
                <w:rFonts w:ascii="Arial"/>
                <w:b/>
                <w:sz w:val="18"/>
              </w:rPr>
            </w:pPr>
            <w:r>
              <w:rPr>
                <w:rFonts w:ascii="Arial"/>
                <w:b/>
                <w:spacing w:val="-2"/>
                <w:sz w:val="18"/>
              </w:rPr>
              <w:t>101.983.403</w:t>
            </w:r>
          </w:p>
        </w:tc>
        <w:tc>
          <w:tcPr>
            <w:tcW w:w="2021" w:type="dxa"/>
          </w:tcPr>
          <w:p w14:paraId="1D1C6EAB" w14:textId="77777777" w:rsidR="002C6574" w:rsidRDefault="00000000">
            <w:pPr>
              <w:pStyle w:val="TableParagraph"/>
              <w:spacing w:before="13" w:line="204" w:lineRule="exact"/>
              <w:ind w:right="58"/>
              <w:rPr>
                <w:rFonts w:ascii="Arial"/>
                <w:b/>
                <w:sz w:val="18"/>
              </w:rPr>
            </w:pPr>
            <w:r>
              <w:rPr>
                <w:rFonts w:ascii="Arial"/>
                <w:b/>
                <w:spacing w:val="-2"/>
                <w:sz w:val="18"/>
              </w:rPr>
              <w:t>86.383.090</w:t>
            </w:r>
          </w:p>
        </w:tc>
      </w:tr>
      <w:tr w:rsidR="002C6574" w14:paraId="462920F8" w14:textId="77777777">
        <w:trPr>
          <w:trHeight w:val="239"/>
        </w:trPr>
        <w:tc>
          <w:tcPr>
            <w:tcW w:w="5729" w:type="dxa"/>
          </w:tcPr>
          <w:p w14:paraId="14D00E67" w14:textId="77777777" w:rsidR="002C6574" w:rsidRDefault="00000000">
            <w:pPr>
              <w:pStyle w:val="TableParagraph"/>
              <w:spacing w:before="15" w:line="204" w:lineRule="exact"/>
              <w:ind w:left="69"/>
              <w:jc w:val="left"/>
              <w:rPr>
                <w:rFonts w:ascii="Arial" w:hAnsi="Arial"/>
                <w:b/>
                <w:sz w:val="18"/>
              </w:rPr>
            </w:pPr>
            <w:r>
              <w:rPr>
                <w:rFonts w:ascii="Arial" w:hAnsi="Arial"/>
                <w:b/>
                <w:sz w:val="18"/>
              </w:rPr>
              <w:t xml:space="preserve">Ações em </w:t>
            </w:r>
            <w:r>
              <w:rPr>
                <w:rFonts w:ascii="Arial" w:hAnsi="Arial"/>
                <w:b/>
                <w:spacing w:val="-2"/>
                <w:sz w:val="18"/>
              </w:rPr>
              <w:t>tesouraria</w:t>
            </w:r>
          </w:p>
        </w:tc>
        <w:tc>
          <w:tcPr>
            <w:tcW w:w="2021" w:type="dxa"/>
          </w:tcPr>
          <w:p w14:paraId="0CC53287" w14:textId="77777777" w:rsidR="002C6574" w:rsidRDefault="002C6574">
            <w:pPr>
              <w:pStyle w:val="TableParagraph"/>
              <w:jc w:val="left"/>
              <w:rPr>
                <w:rFonts w:ascii="Times New Roman"/>
                <w:sz w:val="16"/>
              </w:rPr>
            </w:pPr>
          </w:p>
        </w:tc>
        <w:tc>
          <w:tcPr>
            <w:tcW w:w="2021" w:type="dxa"/>
          </w:tcPr>
          <w:p w14:paraId="043025DC" w14:textId="77777777" w:rsidR="002C6574" w:rsidRDefault="002C6574">
            <w:pPr>
              <w:pStyle w:val="TableParagraph"/>
              <w:jc w:val="left"/>
              <w:rPr>
                <w:rFonts w:ascii="Times New Roman"/>
                <w:sz w:val="16"/>
              </w:rPr>
            </w:pPr>
          </w:p>
        </w:tc>
      </w:tr>
      <w:tr w:rsidR="002C6574" w14:paraId="5664D97B" w14:textId="77777777">
        <w:trPr>
          <w:trHeight w:val="237"/>
        </w:trPr>
        <w:tc>
          <w:tcPr>
            <w:tcW w:w="5729" w:type="dxa"/>
          </w:tcPr>
          <w:p w14:paraId="32E29ED7" w14:textId="77777777" w:rsidR="002C6574" w:rsidRDefault="00000000">
            <w:pPr>
              <w:pStyle w:val="TableParagraph"/>
              <w:spacing w:line="217" w:lineRule="exact"/>
              <w:ind w:left="249"/>
              <w:jc w:val="left"/>
              <w:rPr>
                <w:sz w:val="18"/>
              </w:rPr>
            </w:pPr>
            <w:r>
              <w:rPr>
                <w:spacing w:val="-2"/>
                <w:sz w:val="18"/>
              </w:rPr>
              <w:t>Ordinárias</w:t>
            </w:r>
          </w:p>
        </w:tc>
        <w:tc>
          <w:tcPr>
            <w:tcW w:w="2021" w:type="dxa"/>
          </w:tcPr>
          <w:p w14:paraId="3AF4624A" w14:textId="77777777" w:rsidR="002C6574" w:rsidRDefault="00000000">
            <w:pPr>
              <w:pStyle w:val="TableParagraph"/>
              <w:spacing w:line="217" w:lineRule="exact"/>
              <w:ind w:right="57"/>
              <w:rPr>
                <w:sz w:val="18"/>
              </w:rPr>
            </w:pPr>
            <w:r>
              <w:rPr>
                <w:spacing w:val="-5"/>
                <w:w w:val="105"/>
                <w:sz w:val="18"/>
              </w:rPr>
              <w:t>193</w:t>
            </w:r>
          </w:p>
        </w:tc>
        <w:tc>
          <w:tcPr>
            <w:tcW w:w="2021" w:type="dxa"/>
          </w:tcPr>
          <w:p w14:paraId="4C6B95F6" w14:textId="77777777" w:rsidR="002C6574" w:rsidRDefault="00000000">
            <w:pPr>
              <w:pStyle w:val="TableParagraph"/>
              <w:spacing w:line="217" w:lineRule="exact"/>
              <w:ind w:right="59"/>
              <w:rPr>
                <w:sz w:val="18"/>
              </w:rPr>
            </w:pPr>
            <w:r>
              <w:rPr>
                <w:spacing w:val="-5"/>
                <w:w w:val="105"/>
                <w:sz w:val="18"/>
              </w:rPr>
              <w:t>193</w:t>
            </w:r>
          </w:p>
        </w:tc>
      </w:tr>
      <w:tr w:rsidR="002C6574" w14:paraId="457A31FB" w14:textId="77777777">
        <w:trPr>
          <w:trHeight w:val="237"/>
        </w:trPr>
        <w:tc>
          <w:tcPr>
            <w:tcW w:w="5729" w:type="dxa"/>
          </w:tcPr>
          <w:p w14:paraId="75F818B9" w14:textId="77777777" w:rsidR="002C6574" w:rsidRDefault="00000000">
            <w:pPr>
              <w:pStyle w:val="TableParagraph"/>
              <w:spacing w:before="13" w:line="204" w:lineRule="exact"/>
              <w:ind w:left="249"/>
              <w:jc w:val="left"/>
              <w:rPr>
                <w:rFonts w:ascii="Arial"/>
                <w:b/>
                <w:sz w:val="18"/>
              </w:rPr>
            </w:pPr>
            <w:r>
              <w:rPr>
                <w:rFonts w:ascii="Arial"/>
                <w:b/>
                <w:sz w:val="18"/>
              </w:rPr>
              <w:t>Total</w:t>
            </w:r>
            <w:r>
              <w:rPr>
                <w:rFonts w:ascii="Arial"/>
                <w:b/>
                <w:spacing w:val="1"/>
                <w:sz w:val="18"/>
              </w:rPr>
              <w:t xml:space="preserve"> </w:t>
            </w:r>
            <w:r>
              <w:rPr>
                <w:rFonts w:ascii="Arial"/>
                <w:b/>
                <w:spacing w:val="-5"/>
                <w:sz w:val="18"/>
              </w:rPr>
              <w:t>(B)</w:t>
            </w:r>
          </w:p>
        </w:tc>
        <w:tc>
          <w:tcPr>
            <w:tcW w:w="2021" w:type="dxa"/>
          </w:tcPr>
          <w:p w14:paraId="49D977A1" w14:textId="77777777" w:rsidR="002C6574" w:rsidRDefault="00000000">
            <w:pPr>
              <w:pStyle w:val="TableParagraph"/>
              <w:spacing w:before="13" w:line="204" w:lineRule="exact"/>
              <w:ind w:right="56"/>
              <w:rPr>
                <w:rFonts w:ascii="Arial"/>
                <w:b/>
                <w:sz w:val="18"/>
              </w:rPr>
            </w:pPr>
            <w:r>
              <w:rPr>
                <w:rFonts w:ascii="Arial"/>
                <w:b/>
                <w:spacing w:val="-5"/>
                <w:sz w:val="18"/>
              </w:rPr>
              <w:t>193</w:t>
            </w:r>
          </w:p>
        </w:tc>
        <w:tc>
          <w:tcPr>
            <w:tcW w:w="2021" w:type="dxa"/>
          </w:tcPr>
          <w:p w14:paraId="36CF303C" w14:textId="77777777" w:rsidR="002C6574" w:rsidRDefault="00000000">
            <w:pPr>
              <w:pStyle w:val="TableParagraph"/>
              <w:spacing w:before="13" w:line="204" w:lineRule="exact"/>
              <w:ind w:right="59"/>
              <w:rPr>
                <w:rFonts w:ascii="Arial"/>
                <w:b/>
                <w:sz w:val="18"/>
              </w:rPr>
            </w:pPr>
            <w:r>
              <w:rPr>
                <w:rFonts w:ascii="Arial"/>
                <w:b/>
                <w:spacing w:val="-5"/>
                <w:sz w:val="18"/>
              </w:rPr>
              <w:t>193</w:t>
            </w:r>
          </w:p>
        </w:tc>
      </w:tr>
    </w:tbl>
    <w:p w14:paraId="7BDC4F42" w14:textId="77777777" w:rsidR="002C6574" w:rsidRDefault="002C6574">
      <w:pPr>
        <w:pStyle w:val="TableParagraph"/>
        <w:spacing w:line="204" w:lineRule="exact"/>
        <w:rPr>
          <w:rFonts w:ascii="Arial"/>
          <w:b/>
          <w:sz w:val="18"/>
        </w:rPr>
        <w:sectPr w:rsidR="002C6574">
          <w:pgSz w:w="11910" w:h="16840"/>
          <w:pgMar w:top="1600" w:right="141" w:bottom="1320" w:left="1133" w:header="856" w:footer="1125" w:gutter="0"/>
          <w:cols w:space="720"/>
        </w:sectPr>
      </w:pPr>
    </w:p>
    <w:p w14:paraId="4DD99874" w14:textId="77777777" w:rsidR="002C6574" w:rsidRDefault="002C6574">
      <w:pPr>
        <w:pStyle w:val="Corpodetexto"/>
        <w:spacing w:before="10"/>
        <w:rPr>
          <w:rFonts w:ascii="Arial"/>
          <w:b/>
          <w:sz w:val="19"/>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9"/>
        <w:gridCol w:w="2021"/>
        <w:gridCol w:w="2021"/>
      </w:tblGrid>
      <w:tr w:rsidR="002C6574" w14:paraId="783A8A86" w14:textId="77777777">
        <w:trPr>
          <w:trHeight w:val="239"/>
        </w:trPr>
        <w:tc>
          <w:tcPr>
            <w:tcW w:w="5729" w:type="dxa"/>
            <w:shd w:val="clear" w:color="auto" w:fill="D8D8D8"/>
          </w:tcPr>
          <w:p w14:paraId="2FBA6F30" w14:textId="77777777" w:rsidR="002C6574" w:rsidRDefault="00000000">
            <w:pPr>
              <w:pStyle w:val="TableParagraph"/>
              <w:spacing w:before="15" w:line="204" w:lineRule="exact"/>
              <w:ind w:left="69"/>
              <w:jc w:val="left"/>
              <w:rPr>
                <w:rFonts w:ascii="Arial" w:hAnsi="Arial"/>
                <w:b/>
                <w:sz w:val="18"/>
              </w:rPr>
            </w:pPr>
            <w:r>
              <w:rPr>
                <w:rFonts w:ascii="Arial" w:hAnsi="Arial"/>
                <w:b/>
                <w:sz w:val="18"/>
              </w:rPr>
              <w:t>Componentes</w:t>
            </w:r>
            <w:r>
              <w:rPr>
                <w:rFonts w:ascii="Arial" w:hAnsi="Arial"/>
                <w:b/>
                <w:spacing w:val="1"/>
                <w:sz w:val="18"/>
              </w:rPr>
              <w:t xml:space="preserve"> </w:t>
            </w:r>
            <w:r>
              <w:rPr>
                <w:rFonts w:ascii="Arial" w:hAnsi="Arial"/>
                <w:b/>
                <w:sz w:val="18"/>
              </w:rPr>
              <w:t>do</w:t>
            </w:r>
            <w:r>
              <w:rPr>
                <w:rFonts w:ascii="Arial" w:hAnsi="Arial"/>
                <w:b/>
                <w:spacing w:val="-2"/>
                <w:sz w:val="18"/>
              </w:rPr>
              <w:t xml:space="preserve"> Cálculo:</w:t>
            </w:r>
          </w:p>
        </w:tc>
        <w:tc>
          <w:tcPr>
            <w:tcW w:w="2021" w:type="dxa"/>
          </w:tcPr>
          <w:p w14:paraId="1E483E22" w14:textId="77777777" w:rsidR="002C6574" w:rsidRDefault="00000000">
            <w:pPr>
              <w:pStyle w:val="TableParagraph"/>
              <w:spacing w:before="15" w:line="204" w:lineRule="exact"/>
              <w:ind w:left="559"/>
              <w:jc w:val="left"/>
              <w:rPr>
                <w:rFonts w:ascii="Arial"/>
                <w:b/>
                <w:sz w:val="18"/>
              </w:rPr>
            </w:pPr>
            <w:r>
              <w:rPr>
                <w:rFonts w:ascii="Arial"/>
                <w:b/>
                <w:spacing w:val="-2"/>
                <w:sz w:val="18"/>
              </w:rPr>
              <w:t>31/12/2025</w:t>
            </w:r>
          </w:p>
        </w:tc>
        <w:tc>
          <w:tcPr>
            <w:tcW w:w="2021" w:type="dxa"/>
          </w:tcPr>
          <w:p w14:paraId="548472F2" w14:textId="77777777" w:rsidR="002C6574" w:rsidRDefault="00000000">
            <w:pPr>
              <w:pStyle w:val="TableParagraph"/>
              <w:spacing w:before="15" w:line="204" w:lineRule="exact"/>
              <w:ind w:left="557"/>
              <w:jc w:val="left"/>
              <w:rPr>
                <w:rFonts w:ascii="Arial"/>
                <w:b/>
                <w:sz w:val="18"/>
              </w:rPr>
            </w:pPr>
            <w:r>
              <w:rPr>
                <w:rFonts w:ascii="Arial"/>
                <w:b/>
                <w:spacing w:val="-2"/>
                <w:sz w:val="18"/>
              </w:rPr>
              <w:t>31/12/2024</w:t>
            </w:r>
          </w:p>
        </w:tc>
      </w:tr>
      <w:tr w:rsidR="002C6574" w14:paraId="28E434C1" w14:textId="77777777">
        <w:trPr>
          <w:trHeight w:val="237"/>
        </w:trPr>
        <w:tc>
          <w:tcPr>
            <w:tcW w:w="5729" w:type="dxa"/>
          </w:tcPr>
          <w:p w14:paraId="78E123FF" w14:textId="77777777" w:rsidR="002C6574" w:rsidRDefault="00000000">
            <w:pPr>
              <w:pStyle w:val="TableParagraph"/>
              <w:spacing w:before="13" w:line="204" w:lineRule="exact"/>
              <w:ind w:left="69"/>
              <w:jc w:val="left"/>
              <w:rPr>
                <w:rFonts w:ascii="Arial" w:hAnsi="Arial"/>
                <w:b/>
                <w:sz w:val="18"/>
              </w:rPr>
            </w:pPr>
            <w:r>
              <w:rPr>
                <w:rFonts w:ascii="Arial" w:hAnsi="Arial"/>
                <w:b/>
                <w:sz w:val="18"/>
              </w:rPr>
              <w:t xml:space="preserve">Ações em </w:t>
            </w:r>
            <w:r>
              <w:rPr>
                <w:rFonts w:ascii="Arial" w:hAnsi="Arial"/>
                <w:b/>
                <w:spacing w:val="-2"/>
                <w:sz w:val="18"/>
              </w:rPr>
              <w:t>circulação</w:t>
            </w:r>
          </w:p>
        </w:tc>
        <w:tc>
          <w:tcPr>
            <w:tcW w:w="2021" w:type="dxa"/>
          </w:tcPr>
          <w:p w14:paraId="702EEE70" w14:textId="77777777" w:rsidR="002C6574" w:rsidRDefault="002C6574">
            <w:pPr>
              <w:pStyle w:val="TableParagraph"/>
              <w:jc w:val="left"/>
              <w:rPr>
                <w:rFonts w:ascii="Times New Roman"/>
                <w:sz w:val="16"/>
              </w:rPr>
            </w:pPr>
          </w:p>
        </w:tc>
        <w:tc>
          <w:tcPr>
            <w:tcW w:w="2021" w:type="dxa"/>
          </w:tcPr>
          <w:p w14:paraId="537E21D1" w14:textId="77777777" w:rsidR="002C6574" w:rsidRDefault="002C6574">
            <w:pPr>
              <w:pStyle w:val="TableParagraph"/>
              <w:jc w:val="left"/>
              <w:rPr>
                <w:rFonts w:ascii="Times New Roman"/>
                <w:sz w:val="16"/>
              </w:rPr>
            </w:pPr>
          </w:p>
        </w:tc>
      </w:tr>
      <w:tr w:rsidR="002C6574" w14:paraId="4E070DC1" w14:textId="77777777">
        <w:trPr>
          <w:trHeight w:val="237"/>
        </w:trPr>
        <w:tc>
          <w:tcPr>
            <w:tcW w:w="5729" w:type="dxa"/>
          </w:tcPr>
          <w:p w14:paraId="55C8A42F" w14:textId="77777777" w:rsidR="002C6574" w:rsidRDefault="00000000">
            <w:pPr>
              <w:pStyle w:val="TableParagraph"/>
              <w:spacing w:line="217" w:lineRule="exact"/>
              <w:ind w:left="249"/>
              <w:jc w:val="left"/>
              <w:rPr>
                <w:sz w:val="18"/>
              </w:rPr>
            </w:pPr>
            <w:r>
              <w:rPr>
                <w:spacing w:val="-2"/>
                <w:sz w:val="18"/>
              </w:rPr>
              <w:t>Ordinárias</w:t>
            </w:r>
          </w:p>
        </w:tc>
        <w:tc>
          <w:tcPr>
            <w:tcW w:w="2021" w:type="dxa"/>
          </w:tcPr>
          <w:p w14:paraId="0D4F7146" w14:textId="77777777" w:rsidR="002C6574" w:rsidRDefault="00000000">
            <w:pPr>
              <w:pStyle w:val="TableParagraph"/>
              <w:spacing w:line="217" w:lineRule="exact"/>
              <w:ind w:right="57"/>
              <w:rPr>
                <w:sz w:val="18"/>
              </w:rPr>
            </w:pPr>
            <w:r>
              <w:rPr>
                <w:spacing w:val="-2"/>
                <w:w w:val="110"/>
                <w:sz w:val="18"/>
              </w:rPr>
              <w:t>83.575.719</w:t>
            </w:r>
          </w:p>
        </w:tc>
        <w:tc>
          <w:tcPr>
            <w:tcW w:w="2021" w:type="dxa"/>
          </w:tcPr>
          <w:p w14:paraId="3BB947DF" w14:textId="77777777" w:rsidR="002C6574" w:rsidRDefault="00000000">
            <w:pPr>
              <w:pStyle w:val="TableParagraph"/>
              <w:spacing w:line="217" w:lineRule="exact"/>
              <w:ind w:right="58"/>
              <w:rPr>
                <w:sz w:val="18"/>
              </w:rPr>
            </w:pPr>
            <w:r>
              <w:rPr>
                <w:spacing w:val="-2"/>
                <w:w w:val="110"/>
                <w:sz w:val="18"/>
              </w:rPr>
              <w:t>67.975.406</w:t>
            </w:r>
          </w:p>
        </w:tc>
      </w:tr>
      <w:tr w:rsidR="002C6574" w14:paraId="4A244736" w14:textId="77777777">
        <w:trPr>
          <w:trHeight w:val="239"/>
        </w:trPr>
        <w:tc>
          <w:tcPr>
            <w:tcW w:w="5729" w:type="dxa"/>
          </w:tcPr>
          <w:p w14:paraId="7FA7737C" w14:textId="77777777" w:rsidR="002C6574" w:rsidRDefault="00000000">
            <w:pPr>
              <w:pStyle w:val="TableParagraph"/>
              <w:spacing w:line="220" w:lineRule="exact"/>
              <w:ind w:left="249"/>
              <w:jc w:val="left"/>
              <w:rPr>
                <w:sz w:val="18"/>
              </w:rPr>
            </w:pPr>
            <w:r>
              <w:rPr>
                <w:spacing w:val="-2"/>
                <w:sz w:val="18"/>
              </w:rPr>
              <w:t>Preferenciais</w:t>
            </w:r>
          </w:p>
        </w:tc>
        <w:tc>
          <w:tcPr>
            <w:tcW w:w="2021" w:type="dxa"/>
          </w:tcPr>
          <w:p w14:paraId="56065C19" w14:textId="77777777" w:rsidR="002C6574" w:rsidRDefault="00000000">
            <w:pPr>
              <w:pStyle w:val="TableParagraph"/>
              <w:spacing w:line="220" w:lineRule="exact"/>
              <w:ind w:right="56"/>
              <w:rPr>
                <w:sz w:val="18"/>
              </w:rPr>
            </w:pPr>
            <w:r>
              <w:rPr>
                <w:spacing w:val="-2"/>
                <w:w w:val="110"/>
                <w:sz w:val="18"/>
              </w:rPr>
              <w:t>18.407.491</w:t>
            </w:r>
          </w:p>
        </w:tc>
        <w:tc>
          <w:tcPr>
            <w:tcW w:w="2021" w:type="dxa"/>
          </w:tcPr>
          <w:p w14:paraId="4D081541" w14:textId="77777777" w:rsidR="002C6574" w:rsidRDefault="00000000">
            <w:pPr>
              <w:pStyle w:val="TableParagraph"/>
              <w:spacing w:line="220" w:lineRule="exact"/>
              <w:ind w:right="58"/>
              <w:rPr>
                <w:sz w:val="18"/>
              </w:rPr>
            </w:pPr>
            <w:r>
              <w:rPr>
                <w:spacing w:val="-2"/>
                <w:w w:val="110"/>
                <w:sz w:val="18"/>
              </w:rPr>
              <w:t>18.407.491</w:t>
            </w:r>
          </w:p>
        </w:tc>
      </w:tr>
      <w:tr w:rsidR="002C6574" w14:paraId="7CE88CD5" w14:textId="77777777">
        <w:trPr>
          <w:trHeight w:val="237"/>
        </w:trPr>
        <w:tc>
          <w:tcPr>
            <w:tcW w:w="5729" w:type="dxa"/>
          </w:tcPr>
          <w:p w14:paraId="6CCCD255" w14:textId="77777777" w:rsidR="002C6574" w:rsidRDefault="00000000">
            <w:pPr>
              <w:pStyle w:val="TableParagraph"/>
              <w:spacing w:before="13" w:line="204" w:lineRule="exact"/>
              <w:ind w:left="271"/>
              <w:jc w:val="left"/>
              <w:rPr>
                <w:rFonts w:ascii="Arial"/>
                <w:b/>
                <w:sz w:val="18"/>
              </w:rPr>
            </w:pPr>
            <w:r>
              <w:rPr>
                <w:rFonts w:ascii="Arial"/>
                <w:b/>
                <w:sz w:val="18"/>
              </w:rPr>
              <w:t>Total</w:t>
            </w:r>
            <w:r>
              <w:rPr>
                <w:rFonts w:ascii="Arial"/>
                <w:b/>
                <w:spacing w:val="-1"/>
                <w:sz w:val="18"/>
              </w:rPr>
              <w:t xml:space="preserve"> </w:t>
            </w:r>
            <w:r>
              <w:rPr>
                <w:rFonts w:ascii="Arial"/>
                <w:b/>
                <w:sz w:val="18"/>
              </w:rPr>
              <w:t>(A-</w:t>
            </w:r>
            <w:r>
              <w:rPr>
                <w:rFonts w:ascii="Arial"/>
                <w:b/>
                <w:spacing w:val="-5"/>
                <w:sz w:val="18"/>
              </w:rPr>
              <w:t>B)</w:t>
            </w:r>
          </w:p>
        </w:tc>
        <w:tc>
          <w:tcPr>
            <w:tcW w:w="2021" w:type="dxa"/>
          </w:tcPr>
          <w:p w14:paraId="08AE006B" w14:textId="77777777" w:rsidR="002C6574" w:rsidRDefault="00000000">
            <w:pPr>
              <w:pStyle w:val="TableParagraph"/>
              <w:spacing w:before="13" w:line="204" w:lineRule="exact"/>
              <w:ind w:right="56"/>
              <w:rPr>
                <w:rFonts w:ascii="Arial"/>
                <w:b/>
                <w:sz w:val="18"/>
              </w:rPr>
            </w:pPr>
            <w:r>
              <w:rPr>
                <w:rFonts w:ascii="Arial"/>
                <w:b/>
                <w:spacing w:val="-2"/>
                <w:sz w:val="18"/>
              </w:rPr>
              <w:t>101.983.210</w:t>
            </w:r>
          </w:p>
        </w:tc>
        <w:tc>
          <w:tcPr>
            <w:tcW w:w="2021" w:type="dxa"/>
          </w:tcPr>
          <w:p w14:paraId="1652ADF7" w14:textId="77777777" w:rsidR="002C6574" w:rsidRDefault="00000000">
            <w:pPr>
              <w:pStyle w:val="TableParagraph"/>
              <w:spacing w:before="13" w:line="204" w:lineRule="exact"/>
              <w:ind w:right="58"/>
              <w:rPr>
                <w:rFonts w:ascii="Arial"/>
                <w:b/>
                <w:sz w:val="18"/>
              </w:rPr>
            </w:pPr>
            <w:r>
              <w:rPr>
                <w:rFonts w:ascii="Arial"/>
                <w:b/>
                <w:spacing w:val="-2"/>
                <w:sz w:val="18"/>
              </w:rPr>
              <w:t>86.382.897</w:t>
            </w:r>
          </w:p>
        </w:tc>
      </w:tr>
      <w:tr w:rsidR="002C6574" w14:paraId="0957F6B9" w14:textId="77777777">
        <w:trPr>
          <w:trHeight w:val="237"/>
        </w:trPr>
        <w:tc>
          <w:tcPr>
            <w:tcW w:w="5729" w:type="dxa"/>
          </w:tcPr>
          <w:p w14:paraId="006FB8C0" w14:textId="77777777" w:rsidR="002C6574" w:rsidRDefault="00000000">
            <w:pPr>
              <w:pStyle w:val="TableParagraph"/>
              <w:spacing w:before="15" w:line="201" w:lineRule="exact"/>
              <w:ind w:left="69"/>
              <w:jc w:val="left"/>
              <w:rPr>
                <w:rFonts w:ascii="Arial" w:hAnsi="Arial"/>
                <w:b/>
                <w:sz w:val="18"/>
              </w:rPr>
            </w:pPr>
            <w:r>
              <w:rPr>
                <w:rFonts w:ascii="Arial" w:hAnsi="Arial"/>
                <w:b/>
                <w:sz w:val="18"/>
              </w:rPr>
              <w:t>Patrimônio Líquido (R$</w:t>
            </w:r>
            <w:r>
              <w:rPr>
                <w:rFonts w:ascii="Arial" w:hAnsi="Arial"/>
                <w:b/>
                <w:spacing w:val="-2"/>
                <w:sz w:val="18"/>
              </w:rPr>
              <w:t xml:space="preserve"> </w:t>
            </w:r>
            <w:r>
              <w:rPr>
                <w:rFonts w:ascii="Arial" w:hAnsi="Arial"/>
                <w:b/>
                <w:spacing w:val="-4"/>
                <w:sz w:val="18"/>
              </w:rPr>
              <w:t>mil)</w:t>
            </w:r>
          </w:p>
        </w:tc>
        <w:tc>
          <w:tcPr>
            <w:tcW w:w="2021" w:type="dxa"/>
          </w:tcPr>
          <w:p w14:paraId="590F4A7B" w14:textId="77777777" w:rsidR="002C6574" w:rsidRDefault="00000000">
            <w:pPr>
              <w:pStyle w:val="TableParagraph"/>
              <w:spacing w:before="15" w:line="201" w:lineRule="exact"/>
              <w:ind w:right="55"/>
              <w:rPr>
                <w:rFonts w:ascii="Arial"/>
                <w:b/>
                <w:sz w:val="18"/>
              </w:rPr>
            </w:pPr>
            <w:r>
              <w:rPr>
                <w:rFonts w:ascii="Arial"/>
                <w:b/>
                <w:spacing w:val="-2"/>
                <w:sz w:val="18"/>
              </w:rPr>
              <w:t>1.752.089</w:t>
            </w:r>
          </w:p>
        </w:tc>
        <w:tc>
          <w:tcPr>
            <w:tcW w:w="2021" w:type="dxa"/>
          </w:tcPr>
          <w:p w14:paraId="3AA93B62" w14:textId="77777777" w:rsidR="002C6574" w:rsidRDefault="00000000">
            <w:pPr>
              <w:pStyle w:val="TableParagraph"/>
              <w:spacing w:before="15" w:line="201" w:lineRule="exact"/>
              <w:ind w:right="58"/>
              <w:rPr>
                <w:rFonts w:ascii="Arial"/>
                <w:b/>
                <w:sz w:val="18"/>
              </w:rPr>
            </w:pPr>
            <w:r>
              <w:rPr>
                <w:rFonts w:ascii="Arial"/>
                <w:b/>
                <w:spacing w:val="-2"/>
                <w:sz w:val="18"/>
              </w:rPr>
              <w:t>1.482.012</w:t>
            </w:r>
          </w:p>
        </w:tc>
      </w:tr>
      <w:tr w:rsidR="002C6574" w14:paraId="6C484076" w14:textId="77777777">
        <w:trPr>
          <w:trHeight w:val="239"/>
        </w:trPr>
        <w:tc>
          <w:tcPr>
            <w:tcW w:w="5729" w:type="dxa"/>
          </w:tcPr>
          <w:p w14:paraId="0EA0BBB3" w14:textId="77777777" w:rsidR="002C6574" w:rsidRDefault="00000000">
            <w:pPr>
              <w:pStyle w:val="TableParagraph"/>
              <w:spacing w:before="15" w:line="204" w:lineRule="exact"/>
              <w:ind w:left="69"/>
              <w:jc w:val="left"/>
              <w:rPr>
                <w:rFonts w:ascii="Arial" w:hAnsi="Arial"/>
                <w:b/>
                <w:sz w:val="18"/>
              </w:rPr>
            </w:pPr>
            <w:r>
              <w:rPr>
                <w:rFonts w:ascii="Arial" w:hAnsi="Arial"/>
                <w:b/>
                <w:sz w:val="18"/>
              </w:rPr>
              <w:t>Valor</w:t>
            </w:r>
            <w:r>
              <w:rPr>
                <w:rFonts w:ascii="Arial" w:hAnsi="Arial"/>
                <w:b/>
                <w:spacing w:val="-1"/>
                <w:sz w:val="18"/>
              </w:rPr>
              <w:t xml:space="preserve"> </w:t>
            </w:r>
            <w:r>
              <w:rPr>
                <w:rFonts w:ascii="Arial" w:hAnsi="Arial"/>
                <w:b/>
                <w:sz w:val="18"/>
              </w:rPr>
              <w:t>Patrimonial</w:t>
            </w:r>
            <w:r>
              <w:rPr>
                <w:rFonts w:ascii="Arial" w:hAnsi="Arial"/>
                <w:b/>
                <w:spacing w:val="1"/>
                <w:sz w:val="18"/>
              </w:rPr>
              <w:t xml:space="preserve"> </w:t>
            </w:r>
            <w:r>
              <w:rPr>
                <w:rFonts w:ascii="Arial" w:hAnsi="Arial"/>
                <w:b/>
                <w:sz w:val="18"/>
              </w:rPr>
              <w:t>por</w:t>
            </w:r>
            <w:r>
              <w:rPr>
                <w:rFonts w:ascii="Arial" w:hAnsi="Arial"/>
                <w:b/>
                <w:spacing w:val="-1"/>
                <w:sz w:val="18"/>
              </w:rPr>
              <w:t xml:space="preserve"> </w:t>
            </w:r>
            <w:r>
              <w:rPr>
                <w:rFonts w:ascii="Arial" w:hAnsi="Arial"/>
                <w:b/>
                <w:sz w:val="18"/>
              </w:rPr>
              <w:t>ação em</w:t>
            </w:r>
            <w:r>
              <w:rPr>
                <w:rFonts w:ascii="Arial" w:hAnsi="Arial"/>
                <w:b/>
                <w:spacing w:val="-1"/>
                <w:sz w:val="18"/>
              </w:rPr>
              <w:t xml:space="preserve"> </w:t>
            </w:r>
            <w:r>
              <w:rPr>
                <w:rFonts w:ascii="Arial" w:hAnsi="Arial"/>
                <w:b/>
                <w:sz w:val="18"/>
              </w:rPr>
              <w:t>circulação</w:t>
            </w:r>
            <w:r>
              <w:rPr>
                <w:rFonts w:ascii="Arial" w:hAnsi="Arial"/>
                <w:b/>
                <w:spacing w:val="-3"/>
                <w:sz w:val="18"/>
              </w:rPr>
              <w:t xml:space="preserve"> </w:t>
            </w:r>
            <w:r>
              <w:rPr>
                <w:rFonts w:ascii="Arial" w:hAnsi="Arial"/>
                <w:b/>
                <w:sz w:val="18"/>
              </w:rPr>
              <w:t xml:space="preserve">(R$ </w:t>
            </w:r>
            <w:r>
              <w:rPr>
                <w:rFonts w:ascii="Arial" w:hAnsi="Arial"/>
                <w:b/>
                <w:spacing w:val="-4"/>
                <w:sz w:val="18"/>
              </w:rPr>
              <w:t>1,00)</w:t>
            </w:r>
          </w:p>
        </w:tc>
        <w:tc>
          <w:tcPr>
            <w:tcW w:w="2021" w:type="dxa"/>
          </w:tcPr>
          <w:p w14:paraId="474D871C" w14:textId="77777777" w:rsidR="002C6574" w:rsidRDefault="00000000">
            <w:pPr>
              <w:pStyle w:val="TableParagraph"/>
              <w:spacing w:before="15" w:line="204" w:lineRule="exact"/>
              <w:ind w:right="57"/>
              <w:rPr>
                <w:rFonts w:ascii="Arial"/>
                <w:b/>
                <w:sz w:val="18"/>
              </w:rPr>
            </w:pPr>
            <w:r>
              <w:rPr>
                <w:rFonts w:ascii="Arial"/>
                <w:b/>
                <w:spacing w:val="-2"/>
                <w:sz w:val="18"/>
              </w:rPr>
              <w:t>17,1802</w:t>
            </w:r>
          </w:p>
        </w:tc>
        <w:tc>
          <w:tcPr>
            <w:tcW w:w="2021" w:type="dxa"/>
          </w:tcPr>
          <w:p w14:paraId="04452926" w14:textId="77777777" w:rsidR="002C6574" w:rsidRDefault="00000000">
            <w:pPr>
              <w:pStyle w:val="TableParagraph"/>
              <w:spacing w:before="15" w:line="204" w:lineRule="exact"/>
              <w:ind w:right="58"/>
              <w:rPr>
                <w:rFonts w:ascii="Arial"/>
                <w:b/>
                <w:sz w:val="18"/>
              </w:rPr>
            </w:pPr>
            <w:r>
              <w:rPr>
                <w:rFonts w:ascii="Arial"/>
                <w:b/>
                <w:spacing w:val="-2"/>
                <w:sz w:val="18"/>
              </w:rPr>
              <w:t>17,1563</w:t>
            </w:r>
          </w:p>
        </w:tc>
      </w:tr>
    </w:tbl>
    <w:p w14:paraId="2ADDEEC5" w14:textId="77777777" w:rsidR="002C6574" w:rsidRDefault="002C6574">
      <w:pPr>
        <w:pStyle w:val="Corpodetexto"/>
        <w:spacing w:before="25"/>
        <w:rPr>
          <w:rFonts w:ascii="Arial"/>
          <w:b/>
        </w:rPr>
      </w:pPr>
    </w:p>
    <w:p w14:paraId="1F1DD7CE" w14:textId="77777777" w:rsidR="002C6574" w:rsidRDefault="00000000">
      <w:pPr>
        <w:pStyle w:val="PargrafodaLista"/>
        <w:numPr>
          <w:ilvl w:val="1"/>
          <w:numId w:val="31"/>
        </w:numPr>
        <w:tabs>
          <w:tab w:val="left" w:pos="995"/>
        </w:tabs>
        <w:rPr>
          <w:rFonts w:ascii="Arial" w:hAnsi="Arial"/>
          <w:b/>
        </w:rPr>
      </w:pPr>
      <w:r>
        <w:rPr>
          <w:rFonts w:ascii="Arial" w:hAnsi="Arial"/>
          <w:b/>
        </w:rPr>
        <w:t>Dividendos</w:t>
      </w:r>
      <w:r>
        <w:rPr>
          <w:rFonts w:ascii="Arial" w:hAnsi="Arial"/>
          <w:b/>
          <w:spacing w:val="-4"/>
        </w:rPr>
        <w:t xml:space="preserve"> </w:t>
      </w:r>
      <w:r>
        <w:rPr>
          <w:rFonts w:ascii="Arial" w:hAnsi="Arial"/>
          <w:b/>
        </w:rPr>
        <w:t>e</w:t>
      </w:r>
      <w:r>
        <w:rPr>
          <w:rFonts w:ascii="Arial" w:hAnsi="Arial"/>
          <w:b/>
          <w:spacing w:val="-4"/>
        </w:rPr>
        <w:t xml:space="preserve"> </w:t>
      </w:r>
      <w:r>
        <w:rPr>
          <w:rFonts w:ascii="Arial" w:hAnsi="Arial"/>
          <w:b/>
        </w:rPr>
        <w:t>juros</w:t>
      </w:r>
      <w:r>
        <w:rPr>
          <w:rFonts w:ascii="Arial" w:hAnsi="Arial"/>
          <w:b/>
          <w:spacing w:val="-1"/>
        </w:rPr>
        <w:t xml:space="preserve"> </w:t>
      </w:r>
      <w:r>
        <w:rPr>
          <w:rFonts w:ascii="Arial" w:hAnsi="Arial"/>
          <w:b/>
        </w:rPr>
        <w:t>sobre</w:t>
      </w:r>
      <w:r>
        <w:rPr>
          <w:rFonts w:ascii="Arial" w:hAnsi="Arial"/>
          <w:b/>
          <w:spacing w:val="-1"/>
        </w:rPr>
        <w:t xml:space="preserve"> </w:t>
      </w:r>
      <w:r>
        <w:rPr>
          <w:rFonts w:ascii="Arial" w:hAnsi="Arial"/>
          <w:b/>
        </w:rPr>
        <w:t xml:space="preserve">capital </w:t>
      </w:r>
      <w:r>
        <w:rPr>
          <w:rFonts w:ascii="Arial" w:hAnsi="Arial"/>
          <w:b/>
          <w:spacing w:val="-2"/>
        </w:rPr>
        <w:t>próprio</w:t>
      </w:r>
    </w:p>
    <w:p w14:paraId="56ECC450" w14:textId="77777777" w:rsidR="002C6574" w:rsidRDefault="00000000">
      <w:pPr>
        <w:pStyle w:val="Corpodetexto"/>
        <w:spacing w:before="165"/>
        <w:ind w:left="143" w:right="703"/>
        <w:jc w:val="both"/>
      </w:pPr>
      <w:r>
        <w:t>Os dividendos são</w:t>
      </w:r>
      <w:r>
        <w:rPr>
          <w:spacing w:val="-1"/>
        </w:rPr>
        <w:t xml:space="preserve"> </w:t>
      </w:r>
      <w:r>
        <w:t>calculados ao</w:t>
      </w:r>
      <w:r>
        <w:rPr>
          <w:spacing w:val="-1"/>
        </w:rPr>
        <w:t xml:space="preserve"> </w:t>
      </w:r>
      <w:r>
        <w:t>final do exercício social, de acordo com</w:t>
      </w:r>
      <w:r>
        <w:rPr>
          <w:spacing w:val="-2"/>
        </w:rPr>
        <w:t xml:space="preserve"> </w:t>
      </w:r>
      <w:r>
        <w:t>o estatuto da Companhia</w:t>
      </w:r>
      <w:r>
        <w:rPr>
          <w:spacing w:val="-1"/>
        </w:rPr>
        <w:t xml:space="preserve"> </w:t>
      </w:r>
      <w:r>
        <w:t>e em consonância com a Lei das Sociedades por Ações. Os dividendos mínimos obrigatórios são calculados de acordo com o Artigo 202 da Lei nº 6.404/1976 e os preferenciais ou prioritários em conformidade com o estabelecido no estatuto da Companhia.</w:t>
      </w:r>
    </w:p>
    <w:p w14:paraId="54342008" w14:textId="77777777" w:rsidR="002C6574" w:rsidRDefault="00000000">
      <w:pPr>
        <w:pStyle w:val="Corpodetexto"/>
        <w:spacing w:before="154" w:line="237" w:lineRule="auto"/>
        <w:ind w:left="143" w:right="702"/>
        <w:jc w:val="both"/>
      </w:pPr>
      <w:r>
        <w:t>As ações preferenciais não têm direito a voto, sendo a elas assegurada prioridade no reembolso de capital e no pagamento de dividendos mínimos, não cumulativos, de 6% (seis por cento) ao ano, sobre o valor resultante da divisão do capital subscrito pelo número total de ações da Telebras.</w:t>
      </w:r>
    </w:p>
    <w:p w14:paraId="6EBDAD1E" w14:textId="77777777" w:rsidR="002C6574" w:rsidRDefault="00000000">
      <w:pPr>
        <w:pStyle w:val="Corpodetexto"/>
        <w:spacing w:before="189" w:line="237" w:lineRule="auto"/>
        <w:ind w:left="143" w:right="705"/>
        <w:jc w:val="both"/>
      </w:pPr>
      <w:r>
        <w:t>Os</w:t>
      </w:r>
      <w:r>
        <w:rPr>
          <w:spacing w:val="-1"/>
        </w:rPr>
        <w:t xml:space="preserve"> </w:t>
      </w:r>
      <w:r>
        <w:t>dividendos</w:t>
      </w:r>
      <w:r>
        <w:rPr>
          <w:spacing w:val="-1"/>
        </w:rPr>
        <w:t xml:space="preserve"> </w:t>
      </w:r>
      <w:r>
        <w:t>serão</w:t>
      </w:r>
      <w:r>
        <w:rPr>
          <w:spacing w:val="-5"/>
        </w:rPr>
        <w:t xml:space="preserve"> </w:t>
      </w:r>
      <w:r>
        <w:t>pagos</w:t>
      </w:r>
      <w:r>
        <w:rPr>
          <w:spacing w:val="-1"/>
        </w:rPr>
        <w:t xml:space="preserve"> </w:t>
      </w:r>
      <w:r>
        <w:t>prioritariamente</w:t>
      </w:r>
      <w:r>
        <w:rPr>
          <w:spacing w:val="-5"/>
        </w:rPr>
        <w:t xml:space="preserve"> </w:t>
      </w:r>
      <w:r>
        <w:t>às</w:t>
      </w:r>
      <w:r>
        <w:rPr>
          <w:spacing w:val="-1"/>
        </w:rPr>
        <w:t xml:space="preserve"> </w:t>
      </w:r>
      <w:r>
        <w:t>ações</w:t>
      </w:r>
      <w:r>
        <w:rPr>
          <w:spacing w:val="-1"/>
        </w:rPr>
        <w:t xml:space="preserve"> </w:t>
      </w:r>
      <w:r>
        <w:t>preferenciais</w:t>
      </w:r>
      <w:r>
        <w:rPr>
          <w:spacing w:val="-3"/>
        </w:rPr>
        <w:t xml:space="preserve"> </w:t>
      </w:r>
      <w:r>
        <w:t>até</w:t>
      </w:r>
      <w:r>
        <w:rPr>
          <w:spacing w:val="-1"/>
        </w:rPr>
        <w:t xml:space="preserve"> </w:t>
      </w:r>
      <w:r>
        <w:t>o</w:t>
      </w:r>
      <w:r>
        <w:rPr>
          <w:spacing w:val="-1"/>
        </w:rPr>
        <w:t xml:space="preserve"> </w:t>
      </w:r>
      <w:r>
        <w:t>limite</w:t>
      </w:r>
      <w:r>
        <w:rPr>
          <w:spacing w:val="-2"/>
        </w:rPr>
        <w:t xml:space="preserve"> </w:t>
      </w:r>
      <w:r>
        <w:t>da</w:t>
      </w:r>
      <w:r>
        <w:rPr>
          <w:spacing w:val="-1"/>
        </w:rPr>
        <w:t xml:space="preserve"> </w:t>
      </w:r>
      <w:r>
        <w:t>preferência, sendo, a seguir, pagos aos titulares de ações ordinárias até o mesmo limite das ações preferencias. O saldo, se houver, será rateado por todas as ações, em igualdade de condições.</w:t>
      </w:r>
    </w:p>
    <w:p w14:paraId="7DA74C69" w14:textId="77777777" w:rsidR="002C6574" w:rsidRDefault="00000000">
      <w:pPr>
        <w:pStyle w:val="Corpodetexto"/>
        <w:spacing w:before="142" w:line="237" w:lineRule="auto"/>
        <w:ind w:left="143" w:right="703"/>
        <w:jc w:val="both"/>
      </w:pPr>
      <w:r>
        <w:t>Os valores dos dividendos e dos juros, a título de remuneração sobre o capital próprio, devidos ao Tesouro Nacional e aos demais acionistas, sofrerão incidência de encargos financeiros equivalentes</w:t>
      </w:r>
      <w:r>
        <w:rPr>
          <w:spacing w:val="80"/>
        </w:rPr>
        <w:t xml:space="preserve"> </w:t>
      </w:r>
      <w:r>
        <w:t>à Taxa Selic, a partir do encerramento do exercício social até o dia do efetivo recolhimento ou pagamento,</w:t>
      </w:r>
      <w:r>
        <w:rPr>
          <w:spacing w:val="-11"/>
        </w:rPr>
        <w:t xml:space="preserve"> </w:t>
      </w:r>
      <w:r>
        <w:t>sem</w:t>
      </w:r>
      <w:r>
        <w:rPr>
          <w:spacing w:val="-14"/>
        </w:rPr>
        <w:t xml:space="preserve"> </w:t>
      </w:r>
      <w:r>
        <w:t>prejuízo</w:t>
      </w:r>
      <w:r>
        <w:rPr>
          <w:spacing w:val="-15"/>
        </w:rPr>
        <w:t xml:space="preserve"> </w:t>
      </w:r>
      <w:r>
        <w:t>da</w:t>
      </w:r>
      <w:r>
        <w:rPr>
          <w:spacing w:val="-11"/>
        </w:rPr>
        <w:t xml:space="preserve"> </w:t>
      </w:r>
      <w:r>
        <w:t>incidência</w:t>
      </w:r>
      <w:r>
        <w:rPr>
          <w:spacing w:val="-13"/>
        </w:rPr>
        <w:t xml:space="preserve"> </w:t>
      </w:r>
      <w:r>
        <w:t>de</w:t>
      </w:r>
      <w:r>
        <w:rPr>
          <w:spacing w:val="-15"/>
        </w:rPr>
        <w:t xml:space="preserve"> </w:t>
      </w:r>
      <w:r>
        <w:t>juros</w:t>
      </w:r>
      <w:r>
        <w:rPr>
          <w:spacing w:val="-13"/>
        </w:rPr>
        <w:t xml:space="preserve"> </w:t>
      </w:r>
      <w:r>
        <w:t>moratórios</w:t>
      </w:r>
      <w:r>
        <w:rPr>
          <w:spacing w:val="-11"/>
        </w:rPr>
        <w:t xml:space="preserve"> </w:t>
      </w:r>
      <w:r>
        <w:t>quando</w:t>
      </w:r>
      <w:r>
        <w:rPr>
          <w:spacing w:val="-11"/>
        </w:rPr>
        <w:t xml:space="preserve"> </w:t>
      </w:r>
      <w:r>
        <w:t>esse</w:t>
      </w:r>
      <w:r>
        <w:rPr>
          <w:spacing w:val="-15"/>
        </w:rPr>
        <w:t xml:space="preserve"> </w:t>
      </w:r>
      <w:r>
        <w:t>recolhimento</w:t>
      </w:r>
      <w:r>
        <w:rPr>
          <w:spacing w:val="-11"/>
        </w:rPr>
        <w:t xml:space="preserve"> </w:t>
      </w:r>
      <w:r>
        <w:t>não</w:t>
      </w:r>
      <w:r>
        <w:rPr>
          <w:spacing w:val="-15"/>
        </w:rPr>
        <w:t xml:space="preserve"> </w:t>
      </w:r>
      <w:r>
        <w:t>se</w:t>
      </w:r>
      <w:r>
        <w:rPr>
          <w:spacing w:val="-11"/>
        </w:rPr>
        <w:t xml:space="preserve"> </w:t>
      </w:r>
      <w:r>
        <w:t>verificar na data fixada pela Assembleia Geral.</w:t>
      </w:r>
    </w:p>
    <w:p w14:paraId="162B435F" w14:textId="77777777" w:rsidR="002C6574" w:rsidRDefault="00000000">
      <w:pPr>
        <w:pStyle w:val="Corpodetexto"/>
        <w:spacing w:before="188"/>
        <w:ind w:left="143" w:right="703"/>
        <w:jc w:val="both"/>
      </w:pPr>
      <w:r>
        <w:t>Por deliberação dos órgãos da Administração, a Companhia poderá pagar ou creditar, a título de dividendos,</w:t>
      </w:r>
      <w:r>
        <w:rPr>
          <w:spacing w:val="-1"/>
        </w:rPr>
        <w:t xml:space="preserve"> </w:t>
      </w:r>
      <w:r>
        <w:t>juros</w:t>
      </w:r>
      <w:r>
        <w:rPr>
          <w:spacing w:val="-3"/>
        </w:rPr>
        <w:t xml:space="preserve"> </w:t>
      </w:r>
      <w:r>
        <w:t>sobre</w:t>
      </w:r>
      <w:r>
        <w:rPr>
          <w:spacing w:val="-2"/>
        </w:rPr>
        <w:t xml:space="preserve"> </w:t>
      </w:r>
      <w:r>
        <w:t>o</w:t>
      </w:r>
      <w:r>
        <w:rPr>
          <w:spacing w:val="-4"/>
        </w:rPr>
        <w:t xml:space="preserve"> </w:t>
      </w:r>
      <w:r>
        <w:t>capital</w:t>
      </w:r>
      <w:r>
        <w:rPr>
          <w:spacing w:val="-3"/>
        </w:rPr>
        <w:t xml:space="preserve"> </w:t>
      </w:r>
      <w:r>
        <w:t>próprio</w:t>
      </w:r>
      <w:r>
        <w:rPr>
          <w:spacing w:val="-2"/>
        </w:rPr>
        <w:t xml:space="preserve"> </w:t>
      </w:r>
      <w:r>
        <w:t>nos</w:t>
      </w:r>
      <w:r>
        <w:rPr>
          <w:spacing w:val="-6"/>
        </w:rPr>
        <w:t xml:space="preserve"> </w:t>
      </w:r>
      <w:r>
        <w:t>termos</w:t>
      </w:r>
      <w:r>
        <w:rPr>
          <w:spacing w:val="-1"/>
        </w:rPr>
        <w:t xml:space="preserve"> </w:t>
      </w:r>
      <w:r>
        <w:t>do</w:t>
      </w:r>
      <w:r>
        <w:rPr>
          <w:spacing w:val="-2"/>
        </w:rPr>
        <w:t xml:space="preserve"> </w:t>
      </w:r>
      <w:r>
        <w:t>artigo</w:t>
      </w:r>
      <w:r>
        <w:rPr>
          <w:spacing w:val="-2"/>
        </w:rPr>
        <w:t xml:space="preserve"> </w:t>
      </w:r>
      <w:r>
        <w:t>9º, parágrafo 7º,</w:t>
      </w:r>
      <w:r>
        <w:rPr>
          <w:spacing w:val="-2"/>
        </w:rPr>
        <w:t xml:space="preserve"> </w:t>
      </w:r>
      <w:r>
        <w:t>da</w:t>
      </w:r>
      <w:r>
        <w:rPr>
          <w:spacing w:val="-2"/>
        </w:rPr>
        <w:t xml:space="preserve"> </w:t>
      </w:r>
      <w:r>
        <w:t>Lei</w:t>
      </w:r>
      <w:r>
        <w:rPr>
          <w:spacing w:val="-1"/>
        </w:rPr>
        <w:t xml:space="preserve"> </w:t>
      </w:r>
      <w:r>
        <w:t>nº 9.249/1995. Os</w:t>
      </w:r>
      <w:r>
        <w:rPr>
          <w:spacing w:val="-16"/>
        </w:rPr>
        <w:t xml:space="preserve"> </w:t>
      </w:r>
      <w:r>
        <w:t>juros</w:t>
      </w:r>
      <w:r>
        <w:rPr>
          <w:spacing w:val="-15"/>
        </w:rPr>
        <w:t xml:space="preserve"> </w:t>
      </w:r>
      <w:r>
        <w:t>pagos</w:t>
      </w:r>
      <w:r>
        <w:rPr>
          <w:spacing w:val="-15"/>
        </w:rPr>
        <w:t xml:space="preserve"> </w:t>
      </w:r>
      <w:r>
        <w:t>ou</w:t>
      </w:r>
      <w:r>
        <w:rPr>
          <w:spacing w:val="-15"/>
        </w:rPr>
        <w:t xml:space="preserve"> </w:t>
      </w:r>
      <w:r>
        <w:t>creditados</w:t>
      </w:r>
      <w:r>
        <w:rPr>
          <w:spacing w:val="-15"/>
        </w:rPr>
        <w:t xml:space="preserve"> </w:t>
      </w:r>
      <w:r>
        <w:t>serão</w:t>
      </w:r>
      <w:r>
        <w:rPr>
          <w:spacing w:val="-15"/>
        </w:rPr>
        <w:t xml:space="preserve"> </w:t>
      </w:r>
      <w:r>
        <w:t>compensados</w:t>
      </w:r>
      <w:r>
        <w:rPr>
          <w:spacing w:val="-15"/>
        </w:rPr>
        <w:t xml:space="preserve"> </w:t>
      </w:r>
      <w:r>
        <w:t>com</w:t>
      </w:r>
      <w:r>
        <w:rPr>
          <w:spacing w:val="-15"/>
        </w:rPr>
        <w:t xml:space="preserve"> </w:t>
      </w:r>
      <w:r>
        <w:t>o</w:t>
      </w:r>
      <w:r>
        <w:rPr>
          <w:spacing w:val="-15"/>
        </w:rPr>
        <w:t xml:space="preserve"> </w:t>
      </w:r>
      <w:r>
        <w:t>valor</w:t>
      </w:r>
      <w:r>
        <w:rPr>
          <w:spacing w:val="-15"/>
        </w:rPr>
        <w:t xml:space="preserve"> </w:t>
      </w:r>
      <w:r>
        <w:t>do</w:t>
      </w:r>
      <w:r>
        <w:rPr>
          <w:spacing w:val="-15"/>
        </w:rPr>
        <w:t xml:space="preserve"> </w:t>
      </w:r>
      <w:r>
        <w:t>dividendo</w:t>
      </w:r>
      <w:r>
        <w:rPr>
          <w:spacing w:val="-15"/>
        </w:rPr>
        <w:t xml:space="preserve"> </w:t>
      </w:r>
      <w:r>
        <w:t>anual</w:t>
      </w:r>
      <w:r>
        <w:rPr>
          <w:spacing w:val="-15"/>
        </w:rPr>
        <w:t xml:space="preserve"> </w:t>
      </w:r>
      <w:r>
        <w:t>mínimo</w:t>
      </w:r>
      <w:r>
        <w:rPr>
          <w:spacing w:val="-15"/>
        </w:rPr>
        <w:t xml:space="preserve"> </w:t>
      </w:r>
      <w:r>
        <w:t>obrigatório, de acordo com o artigo 88, §1º do estatuto social.</w:t>
      </w:r>
    </w:p>
    <w:p w14:paraId="14C4444B" w14:textId="77777777" w:rsidR="002C6574" w:rsidRDefault="00000000">
      <w:pPr>
        <w:pStyle w:val="Corpodetexto"/>
        <w:spacing w:before="178"/>
        <w:ind w:left="143" w:right="704"/>
        <w:jc w:val="both"/>
      </w:pPr>
      <w:r>
        <w:rPr>
          <w:w w:val="105"/>
        </w:rPr>
        <w:t>Em decorrência de não</w:t>
      </w:r>
      <w:r>
        <w:rPr>
          <w:spacing w:val="-1"/>
          <w:w w:val="105"/>
        </w:rPr>
        <w:t xml:space="preserve"> </w:t>
      </w:r>
      <w:r>
        <w:rPr>
          <w:w w:val="105"/>
        </w:rPr>
        <w:t xml:space="preserve">haver reservas no patrimônio líquido da Companhia – e da existência de </w:t>
      </w:r>
      <w:r>
        <w:t xml:space="preserve">prejuízos acumulados, não foram efetuados o cálculo, a distribuição de dividendos e a constituição </w:t>
      </w:r>
      <w:r>
        <w:rPr>
          <w:w w:val="105"/>
        </w:rPr>
        <w:t>de reservas.</w:t>
      </w:r>
    </w:p>
    <w:p w14:paraId="487CAE3D" w14:textId="77777777" w:rsidR="002C6574" w:rsidRDefault="002C6574">
      <w:pPr>
        <w:pStyle w:val="Corpodetexto"/>
        <w:spacing w:before="25"/>
      </w:pPr>
    </w:p>
    <w:p w14:paraId="72352E74" w14:textId="77777777" w:rsidR="002C6574" w:rsidRDefault="00000000">
      <w:pPr>
        <w:numPr>
          <w:ilvl w:val="1"/>
          <w:numId w:val="31"/>
        </w:numPr>
        <w:tabs>
          <w:tab w:val="left" w:pos="995"/>
        </w:tabs>
        <w:rPr>
          <w:rFonts w:ascii="Arial" w:hAnsi="Arial"/>
          <w:b/>
        </w:rPr>
      </w:pPr>
      <w:r>
        <w:rPr>
          <w:rFonts w:ascii="Arial" w:hAnsi="Arial"/>
          <w:b/>
        </w:rPr>
        <w:t>Ajuste</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rPr>
        <w:t>avaliação</w:t>
      </w:r>
      <w:r>
        <w:rPr>
          <w:rFonts w:ascii="Arial" w:hAnsi="Arial"/>
          <w:b/>
          <w:spacing w:val="-5"/>
        </w:rPr>
        <w:t xml:space="preserve"> </w:t>
      </w:r>
      <w:r>
        <w:rPr>
          <w:rFonts w:ascii="Arial" w:hAnsi="Arial"/>
          <w:b/>
          <w:spacing w:val="-2"/>
        </w:rPr>
        <w:t>patrimonial</w:t>
      </w:r>
    </w:p>
    <w:p w14:paraId="7D43FF3D" w14:textId="77777777" w:rsidR="002C6574" w:rsidRDefault="00000000">
      <w:pPr>
        <w:pStyle w:val="Corpodetexto"/>
        <w:spacing w:before="222" w:line="237" w:lineRule="auto"/>
        <w:ind w:left="143" w:right="702"/>
        <w:jc w:val="both"/>
      </w:pPr>
      <w:r>
        <w:t>Nesta</w:t>
      </w:r>
      <w:r>
        <w:rPr>
          <w:spacing w:val="25"/>
        </w:rPr>
        <w:t xml:space="preserve"> </w:t>
      </w:r>
      <w:r>
        <w:t>rubrica</w:t>
      </w:r>
      <w:r>
        <w:rPr>
          <w:spacing w:val="25"/>
        </w:rPr>
        <w:t xml:space="preserve"> </w:t>
      </w:r>
      <w:r>
        <w:t>são reconhecidos</w:t>
      </w:r>
      <w:r>
        <w:rPr>
          <w:spacing w:val="25"/>
        </w:rPr>
        <w:t xml:space="preserve"> </w:t>
      </w:r>
      <w:r>
        <w:t>os</w:t>
      </w:r>
      <w:r>
        <w:rPr>
          <w:spacing w:val="25"/>
        </w:rPr>
        <w:t xml:space="preserve"> </w:t>
      </w:r>
      <w:r>
        <w:t>ajustes de</w:t>
      </w:r>
      <w:r>
        <w:rPr>
          <w:spacing w:val="25"/>
        </w:rPr>
        <w:t xml:space="preserve"> </w:t>
      </w:r>
      <w:r>
        <w:t>avaliação</w:t>
      </w:r>
      <w:r>
        <w:rPr>
          <w:spacing w:val="25"/>
        </w:rPr>
        <w:t xml:space="preserve"> </w:t>
      </w:r>
      <w:r>
        <w:t>patrimonial,</w:t>
      </w:r>
      <w:r>
        <w:rPr>
          <w:spacing w:val="25"/>
        </w:rPr>
        <w:t xml:space="preserve"> </w:t>
      </w:r>
      <w:r>
        <w:t>que incluem</w:t>
      </w:r>
      <w:r>
        <w:rPr>
          <w:spacing w:val="26"/>
        </w:rPr>
        <w:t xml:space="preserve"> </w:t>
      </w:r>
      <w:r>
        <w:t>ganhos</w:t>
      </w:r>
      <w:r>
        <w:rPr>
          <w:spacing w:val="25"/>
        </w:rPr>
        <w:t xml:space="preserve"> </w:t>
      </w:r>
      <w:r>
        <w:t>e perdas de instrumentos financeiros avaliados a valor justo por meio de outros resultados abrangentes, representados por investimentos em ações de empresas de telecomunicações e no Fundo de Investimento da Amazônia – Finam, bem como por variações cambiais decorrentes de investimento líquido em coligadas no exterior, cuja origem é o reconhecimento de forma reflexa das variações cambiais</w:t>
      </w:r>
      <w:r>
        <w:rPr>
          <w:spacing w:val="27"/>
        </w:rPr>
        <w:t xml:space="preserve"> </w:t>
      </w:r>
      <w:r>
        <w:t>registradas na coligada</w:t>
      </w:r>
      <w:r>
        <w:rPr>
          <w:spacing w:val="27"/>
        </w:rPr>
        <w:t xml:space="preserve"> </w:t>
      </w:r>
      <w:r>
        <w:t>Visiona,</w:t>
      </w:r>
      <w:r>
        <w:rPr>
          <w:spacing w:val="30"/>
        </w:rPr>
        <w:t xml:space="preserve"> </w:t>
      </w:r>
      <w:r>
        <w:t>na</w:t>
      </w:r>
      <w:r>
        <w:rPr>
          <w:spacing w:val="27"/>
        </w:rPr>
        <w:t xml:space="preserve"> </w:t>
      </w:r>
      <w:r>
        <w:t>qual a</w:t>
      </w:r>
      <w:r>
        <w:rPr>
          <w:spacing w:val="29"/>
        </w:rPr>
        <w:t xml:space="preserve"> </w:t>
      </w:r>
      <w:r>
        <w:t>participação</w:t>
      </w:r>
      <w:r>
        <w:rPr>
          <w:spacing w:val="27"/>
        </w:rPr>
        <w:t xml:space="preserve"> </w:t>
      </w:r>
      <w:r>
        <w:t>societária da</w:t>
      </w:r>
      <w:r>
        <w:rPr>
          <w:spacing w:val="27"/>
        </w:rPr>
        <w:t xml:space="preserve"> </w:t>
      </w:r>
      <w:r>
        <w:t>Telebras é de</w:t>
      </w:r>
      <w:r>
        <w:rPr>
          <w:spacing w:val="27"/>
        </w:rPr>
        <w:t xml:space="preserve"> </w:t>
      </w:r>
      <w:r>
        <w:t>49%.</w:t>
      </w:r>
    </w:p>
    <w:p w14:paraId="34A3C4F7" w14:textId="77777777" w:rsidR="002C6574" w:rsidRDefault="00000000">
      <w:pPr>
        <w:pStyle w:val="Corpodetexto"/>
        <w:spacing w:before="192" w:line="237" w:lineRule="auto"/>
        <w:ind w:left="143" w:right="705"/>
        <w:jc w:val="both"/>
      </w:pPr>
      <w:r>
        <w:t>As movimentações dos ajustes de avaliação patrimonial no Exercício de 2025 estão demonstradas</w:t>
      </w:r>
      <w:r>
        <w:rPr>
          <w:spacing w:val="80"/>
        </w:rPr>
        <w:t xml:space="preserve"> </w:t>
      </w:r>
      <w:r>
        <w:t>no quadro abaixo:</w:t>
      </w:r>
    </w:p>
    <w:p w14:paraId="09C810AD" w14:textId="77777777" w:rsidR="002C6574" w:rsidRDefault="002C6574">
      <w:pPr>
        <w:pStyle w:val="Corpodetexto"/>
        <w:spacing w:line="237" w:lineRule="auto"/>
        <w:jc w:val="both"/>
        <w:sectPr w:rsidR="002C6574">
          <w:pgSz w:w="11910" w:h="16840"/>
          <w:pgMar w:top="1600" w:right="141" w:bottom="1320" w:left="1133" w:header="856" w:footer="1125" w:gutter="0"/>
          <w:cols w:space="720"/>
        </w:sectPr>
      </w:pPr>
    </w:p>
    <w:p w14:paraId="5B346143" w14:textId="77777777" w:rsidR="002C6574" w:rsidRDefault="002C6574">
      <w:pPr>
        <w:pStyle w:val="Corpodetexto"/>
        <w:spacing w:before="3"/>
        <w:rPr>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7"/>
        <w:gridCol w:w="1445"/>
        <w:gridCol w:w="1786"/>
        <w:gridCol w:w="1553"/>
      </w:tblGrid>
      <w:tr w:rsidR="002C6574" w14:paraId="5F76CEB4" w14:textId="77777777">
        <w:trPr>
          <w:trHeight w:val="1043"/>
        </w:trPr>
        <w:tc>
          <w:tcPr>
            <w:tcW w:w="4987" w:type="dxa"/>
            <w:shd w:val="clear" w:color="auto" w:fill="BFBFBF"/>
          </w:tcPr>
          <w:p w14:paraId="03842BD3" w14:textId="77777777" w:rsidR="002C6574" w:rsidRDefault="002C6574">
            <w:pPr>
              <w:pStyle w:val="TableParagraph"/>
              <w:spacing w:before="179"/>
              <w:jc w:val="left"/>
              <w:rPr>
                <w:sz w:val="18"/>
              </w:rPr>
            </w:pPr>
          </w:p>
          <w:p w14:paraId="0091E106" w14:textId="77777777" w:rsidR="002C6574" w:rsidRDefault="00000000">
            <w:pPr>
              <w:pStyle w:val="TableParagraph"/>
              <w:ind w:left="69"/>
              <w:jc w:val="left"/>
              <w:rPr>
                <w:rFonts w:ascii="Arial" w:hAnsi="Arial"/>
                <w:b/>
                <w:sz w:val="18"/>
              </w:rPr>
            </w:pPr>
            <w:r>
              <w:rPr>
                <w:rFonts w:ascii="Arial" w:hAnsi="Arial"/>
                <w:b/>
                <w:spacing w:val="-2"/>
                <w:sz w:val="18"/>
              </w:rPr>
              <w:t>Movimentação:</w:t>
            </w:r>
          </w:p>
        </w:tc>
        <w:tc>
          <w:tcPr>
            <w:tcW w:w="1445" w:type="dxa"/>
          </w:tcPr>
          <w:p w14:paraId="77724C76" w14:textId="77777777" w:rsidR="002C6574" w:rsidRDefault="00000000">
            <w:pPr>
              <w:pStyle w:val="TableParagraph"/>
              <w:spacing w:before="107"/>
              <w:ind w:left="5"/>
              <w:jc w:val="center"/>
              <w:rPr>
                <w:rFonts w:ascii="Arial"/>
                <w:b/>
                <w:position w:val="6"/>
                <w:sz w:val="12"/>
              </w:rPr>
            </w:pPr>
            <w:r>
              <w:rPr>
                <w:rFonts w:ascii="Arial"/>
                <w:b/>
                <w:spacing w:val="-2"/>
                <w:sz w:val="18"/>
              </w:rPr>
              <w:t>Instrumentos Financeiros Avaliados VJORA</w:t>
            </w:r>
            <w:r>
              <w:rPr>
                <w:rFonts w:ascii="Arial"/>
                <w:b/>
                <w:spacing w:val="-2"/>
                <w:position w:val="6"/>
                <w:sz w:val="12"/>
              </w:rPr>
              <w:t>(i)</w:t>
            </w:r>
          </w:p>
        </w:tc>
        <w:tc>
          <w:tcPr>
            <w:tcW w:w="1786" w:type="dxa"/>
          </w:tcPr>
          <w:p w14:paraId="76EC4E4A" w14:textId="77777777" w:rsidR="002C6574" w:rsidRDefault="00000000">
            <w:pPr>
              <w:pStyle w:val="TableParagraph"/>
              <w:spacing w:before="107"/>
              <w:ind w:left="118" w:right="107"/>
              <w:jc w:val="center"/>
              <w:rPr>
                <w:rFonts w:ascii="Arial" w:hAnsi="Arial"/>
                <w:b/>
                <w:sz w:val="18"/>
              </w:rPr>
            </w:pPr>
            <w:r>
              <w:rPr>
                <w:rFonts w:ascii="Arial" w:hAnsi="Arial"/>
                <w:b/>
                <w:sz w:val="18"/>
              </w:rPr>
              <w:t>Variação</w:t>
            </w:r>
            <w:r>
              <w:rPr>
                <w:rFonts w:ascii="Arial" w:hAnsi="Arial"/>
                <w:b/>
                <w:spacing w:val="-13"/>
                <w:sz w:val="18"/>
              </w:rPr>
              <w:t xml:space="preserve"> </w:t>
            </w:r>
            <w:r>
              <w:rPr>
                <w:rFonts w:ascii="Arial" w:hAnsi="Arial"/>
                <w:b/>
                <w:sz w:val="18"/>
              </w:rPr>
              <w:t xml:space="preserve">Cambial </w:t>
            </w:r>
            <w:r>
              <w:rPr>
                <w:rFonts w:ascii="Arial" w:hAnsi="Arial"/>
                <w:b/>
                <w:spacing w:val="-2"/>
                <w:sz w:val="18"/>
              </w:rPr>
              <w:t xml:space="preserve">sobre </w:t>
            </w:r>
            <w:r>
              <w:rPr>
                <w:rFonts w:ascii="Arial" w:hAnsi="Arial"/>
                <w:b/>
                <w:sz w:val="18"/>
              </w:rPr>
              <w:t xml:space="preserve">Investimento no </w:t>
            </w:r>
            <w:r>
              <w:rPr>
                <w:rFonts w:ascii="Arial" w:hAnsi="Arial"/>
                <w:b/>
                <w:spacing w:val="-2"/>
                <w:sz w:val="18"/>
              </w:rPr>
              <w:t>Exterior</w:t>
            </w:r>
          </w:p>
        </w:tc>
        <w:tc>
          <w:tcPr>
            <w:tcW w:w="1553" w:type="dxa"/>
          </w:tcPr>
          <w:p w14:paraId="62846930" w14:textId="77777777" w:rsidR="002C6574" w:rsidRDefault="002C6574">
            <w:pPr>
              <w:pStyle w:val="TableParagraph"/>
              <w:spacing w:before="179"/>
              <w:jc w:val="left"/>
              <w:rPr>
                <w:sz w:val="18"/>
              </w:rPr>
            </w:pPr>
          </w:p>
          <w:p w14:paraId="0CC43D78" w14:textId="77777777" w:rsidR="002C6574" w:rsidRDefault="00000000">
            <w:pPr>
              <w:pStyle w:val="TableParagraph"/>
              <w:ind w:left="10"/>
              <w:jc w:val="center"/>
              <w:rPr>
                <w:rFonts w:ascii="Arial"/>
                <w:b/>
                <w:sz w:val="18"/>
              </w:rPr>
            </w:pPr>
            <w:r>
              <w:rPr>
                <w:rFonts w:ascii="Arial"/>
                <w:b/>
                <w:spacing w:val="-2"/>
                <w:sz w:val="18"/>
              </w:rPr>
              <w:t>Total</w:t>
            </w:r>
          </w:p>
        </w:tc>
      </w:tr>
      <w:tr w:rsidR="002C6574" w14:paraId="195C8A5E" w14:textId="77777777">
        <w:trPr>
          <w:trHeight w:val="239"/>
        </w:trPr>
        <w:tc>
          <w:tcPr>
            <w:tcW w:w="4987" w:type="dxa"/>
          </w:tcPr>
          <w:p w14:paraId="6BE4AC60" w14:textId="77777777" w:rsidR="002C6574" w:rsidRDefault="00000000">
            <w:pPr>
              <w:pStyle w:val="TableParagraph"/>
              <w:spacing w:before="15" w:line="204"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2024</w:t>
            </w:r>
          </w:p>
        </w:tc>
        <w:tc>
          <w:tcPr>
            <w:tcW w:w="1445" w:type="dxa"/>
          </w:tcPr>
          <w:p w14:paraId="3EB5C8AD" w14:textId="77777777" w:rsidR="002C6574" w:rsidRDefault="00000000">
            <w:pPr>
              <w:pStyle w:val="TableParagraph"/>
              <w:spacing w:before="15" w:line="204" w:lineRule="exact"/>
              <w:ind w:right="57"/>
              <w:rPr>
                <w:rFonts w:ascii="Arial"/>
                <w:b/>
                <w:sz w:val="18"/>
              </w:rPr>
            </w:pPr>
            <w:r>
              <w:rPr>
                <w:rFonts w:ascii="Arial"/>
                <w:b/>
                <w:spacing w:val="-5"/>
                <w:sz w:val="18"/>
              </w:rPr>
              <w:t>177</w:t>
            </w:r>
          </w:p>
        </w:tc>
        <w:tc>
          <w:tcPr>
            <w:tcW w:w="1786" w:type="dxa"/>
          </w:tcPr>
          <w:p w14:paraId="5EE05A9B" w14:textId="77777777" w:rsidR="002C6574" w:rsidRDefault="00000000">
            <w:pPr>
              <w:pStyle w:val="TableParagraph"/>
              <w:spacing w:before="15" w:line="204" w:lineRule="exact"/>
              <w:ind w:right="56"/>
              <w:rPr>
                <w:rFonts w:ascii="Arial"/>
                <w:b/>
                <w:sz w:val="18"/>
              </w:rPr>
            </w:pPr>
            <w:r>
              <w:rPr>
                <w:rFonts w:ascii="Arial"/>
                <w:b/>
                <w:spacing w:val="-2"/>
                <w:sz w:val="18"/>
              </w:rPr>
              <w:t>34.976</w:t>
            </w:r>
          </w:p>
        </w:tc>
        <w:tc>
          <w:tcPr>
            <w:tcW w:w="1553" w:type="dxa"/>
          </w:tcPr>
          <w:p w14:paraId="6000CA44" w14:textId="77777777" w:rsidR="002C6574" w:rsidRDefault="00000000">
            <w:pPr>
              <w:pStyle w:val="TableParagraph"/>
              <w:spacing w:before="15" w:line="204" w:lineRule="exact"/>
              <w:ind w:right="56"/>
              <w:rPr>
                <w:rFonts w:ascii="Arial"/>
                <w:b/>
                <w:sz w:val="18"/>
              </w:rPr>
            </w:pPr>
            <w:r>
              <w:rPr>
                <w:rFonts w:ascii="Arial"/>
                <w:b/>
                <w:spacing w:val="-2"/>
                <w:sz w:val="18"/>
              </w:rPr>
              <w:t>35.153</w:t>
            </w:r>
          </w:p>
        </w:tc>
      </w:tr>
      <w:tr w:rsidR="002C6574" w14:paraId="58188A73" w14:textId="77777777">
        <w:trPr>
          <w:trHeight w:val="237"/>
        </w:trPr>
        <w:tc>
          <w:tcPr>
            <w:tcW w:w="4987" w:type="dxa"/>
          </w:tcPr>
          <w:p w14:paraId="0E34EEB3" w14:textId="77777777" w:rsidR="002C6574" w:rsidRDefault="00000000">
            <w:pPr>
              <w:pStyle w:val="TableParagraph"/>
              <w:spacing w:line="217" w:lineRule="exact"/>
              <w:ind w:left="69"/>
              <w:jc w:val="left"/>
              <w:rPr>
                <w:sz w:val="18"/>
              </w:rPr>
            </w:pPr>
            <w:r>
              <w:rPr>
                <w:sz w:val="18"/>
              </w:rPr>
              <w:t>Perda</w:t>
            </w:r>
            <w:r>
              <w:rPr>
                <w:spacing w:val="2"/>
                <w:sz w:val="18"/>
              </w:rPr>
              <w:t xml:space="preserve"> </w:t>
            </w:r>
            <w:r>
              <w:rPr>
                <w:sz w:val="18"/>
              </w:rPr>
              <w:t>com</w:t>
            </w:r>
            <w:r>
              <w:rPr>
                <w:spacing w:val="4"/>
                <w:sz w:val="18"/>
              </w:rPr>
              <w:t xml:space="preserve"> </w:t>
            </w:r>
            <w:r>
              <w:rPr>
                <w:sz w:val="18"/>
              </w:rPr>
              <w:t>Instrumentos</w:t>
            </w:r>
            <w:r>
              <w:rPr>
                <w:spacing w:val="7"/>
                <w:sz w:val="18"/>
              </w:rPr>
              <w:t xml:space="preserve"> </w:t>
            </w:r>
            <w:r>
              <w:rPr>
                <w:sz w:val="18"/>
              </w:rPr>
              <w:t>Patrimoniais</w:t>
            </w:r>
            <w:r>
              <w:rPr>
                <w:spacing w:val="4"/>
                <w:sz w:val="18"/>
              </w:rPr>
              <w:t xml:space="preserve"> </w:t>
            </w:r>
            <w:r>
              <w:rPr>
                <w:sz w:val="18"/>
              </w:rPr>
              <w:t>Mensurados</w:t>
            </w:r>
            <w:r>
              <w:rPr>
                <w:spacing w:val="6"/>
                <w:sz w:val="18"/>
              </w:rPr>
              <w:t xml:space="preserve"> </w:t>
            </w:r>
            <w:r>
              <w:rPr>
                <w:sz w:val="18"/>
              </w:rPr>
              <w:t>a</w:t>
            </w:r>
            <w:r>
              <w:rPr>
                <w:spacing w:val="3"/>
                <w:sz w:val="18"/>
              </w:rPr>
              <w:t xml:space="preserve"> </w:t>
            </w:r>
            <w:r>
              <w:rPr>
                <w:spacing w:val="-4"/>
                <w:sz w:val="18"/>
              </w:rPr>
              <w:t>VJORA</w:t>
            </w:r>
          </w:p>
        </w:tc>
        <w:tc>
          <w:tcPr>
            <w:tcW w:w="1445" w:type="dxa"/>
          </w:tcPr>
          <w:p w14:paraId="1FB6057F" w14:textId="77777777" w:rsidR="002C6574" w:rsidRDefault="00000000">
            <w:pPr>
              <w:pStyle w:val="TableParagraph"/>
              <w:spacing w:line="217" w:lineRule="exact"/>
              <w:ind w:right="59"/>
              <w:rPr>
                <w:sz w:val="18"/>
              </w:rPr>
            </w:pPr>
            <w:r>
              <w:rPr>
                <w:spacing w:val="-5"/>
                <w:w w:val="105"/>
                <w:sz w:val="18"/>
              </w:rPr>
              <w:t>953</w:t>
            </w:r>
          </w:p>
        </w:tc>
        <w:tc>
          <w:tcPr>
            <w:tcW w:w="1786" w:type="dxa"/>
          </w:tcPr>
          <w:p w14:paraId="24FDA305" w14:textId="77777777" w:rsidR="002C6574" w:rsidRDefault="00000000">
            <w:pPr>
              <w:pStyle w:val="TableParagraph"/>
              <w:spacing w:line="217" w:lineRule="exact"/>
              <w:ind w:right="59"/>
              <w:rPr>
                <w:sz w:val="18"/>
              </w:rPr>
            </w:pPr>
            <w:r>
              <w:rPr>
                <w:spacing w:val="-10"/>
                <w:w w:val="95"/>
                <w:sz w:val="18"/>
              </w:rPr>
              <w:t>-</w:t>
            </w:r>
          </w:p>
        </w:tc>
        <w:tc>
          <w:tcPr>
            <w:tcW w:w="1553" w:type="dxa"/>
          </w:tcPr>
          <w:p w14:paraId="3163AE0A" w14:textId="77777777" w:rsidR="002C6574" w:rsidRDefault="00000000">
            <w:pPr>
              <w:pStyle w:val="TableParagraph"/>
              <w:spacing w:line="217" w:lineRule="exact"/>
              <w:ind w:right="58"/>
              <w:rPr>
                <w:sz w:val="18"/>
              </w:rPr>
            </w:pPr>
            <w:r>
              <w:rPr>
                <w:spacing w:val="-5"/>
                <w:w w:val="105"/>
                <w:sz w:val="18"/>
              </w:rPr>
              <w:t>953</w:t>
            </w:r>
          </w:p>
        </w:tc>
      </w:tr>
      <w:tr w:rsidR="002C6574" w14:paraId="3FF0214B" w14:textId="77777777">
        <w:trPr>
          <w:trHeight w:val="237"/>
        </w:trPr>
        <w:tc>
          <w:tcPr>
            <w:tcW w:w="4987" w:type="dxa"/>
          </w:tcPr>
          <w:p w14:paraId="40844F4B" w14:textId="77777777" w:rsidR="002C6574" w:rsidRDefault="00000000">
            <w:pPr>
              <w:pStyle w:val="TableParagraph"/>
              <w:spacing w:line="217" w:lineRule="exact"/>
              <w:ind w:left="69"/>
              <w:jc w:val="left"/>
              <w:rPr>
                <w:sz w:val="18"/>
              </w:rPr>
            </w:pPr>
            <w:r>
              <w:rPr>
                <w:sz w:val="18"/>
              </w:rPr>
              <w:t>Equivalência</w:t>
            </w:r>
            <w:r>
              <w:rPr>
                <w:spacing w:val="18"/>
                <w:sz w:val="18"/>
              </w:rPr>
              <w:t xml:space="preserve"> </w:t>
            </w:r>
            <w:r>
              <w:rPr>
                <w:sz w:val="18"/>
              </w:rPr>
              <w:t>Patrimonial</w:t>
            </w:r>
            <w:r>
              <w:rPr>
                <w:spacing w:val="18"/>
                <w:sz w:val="18"/>
              </w:rPr>
              <w:t xml:space="preserve"> </w:t>
            </w:r>
            <w:r>
              <w:rPr>
                <w:sz w:val="18"/>
              </w:rPr>
              <w:t>Reflexa</w:t>
            </w:r>
            <w:r>
              <w:rPr>
                <w:spacing w:val="19"/>
                <w:sz w:val="18"/>
              </w:rPr>
              <w:t xml:space="preserve"> </w:t>
            </w:r>
            <w:r>
              <w:rPr>
                <w:sz w:val="18"/>
              </w:rPr>
              <w:t>sobre</w:t>
            </w:r>
            <w:r>
              <w:rPr>
                <w:spacing w:val="21"/>
                <w:sz w:val="18"/>
              </w:rPr>
              <w:t xml:space="preserve"> </w:t>
            </w:r>
            <w:r>
              <w:rPr>
                <w:sz w:val="18"/>
              </w:rPr>
              <w:t>AAP</w:t>
            </w:r>
            <w:r>
              <w:rPr>
                <w:spacing w:val="14"/>
                <w:sz w:val="18"/>
              </w:rPr>
              <w:t xml:space="preserve"> </w:t>
            </w:r>
            <w:r>
              <w:rPr>
                <w:spacing w:val="-2"/>
                <w:sz w:val="18"/>
              </w:rPr>
              <w:t>Coligada</w:t>
            </w:r>
          </w:p>
        </w:tc>
        <w:tc>
          <w:tcPr>
            <w:tcW w:w="1445" w:type="dxa"/>
          </w:tcPr>
          <w:p w14:paraId="2EE2D134" w14:textId="77777777" w:rsidR="002C6574" w:rsidRDefault="00000000">
            <w:pPr>
              <w:pStyle w:val="TableParagraph"/>
              <w:spacing w:line="217" w:lineRule="exact"/>
              <w:ind w:right="61"/>
              <w:rPr>
                <w:sz w:val="18"/>
              </w:rPr>
            </w:pPr>
            <w:r>
              <w:rPr>
                <w:spacing w:val="-10"/>
                <w:w w:val="95"/>
                <w:sz w:val="18"/>
              </w:rPr>
              <w:t>-</w:t>
            </w:r>
          </w:p>
        </w:tc>
        <w:tc>
          <w:tcPr>
            <w:tcW w:w="1786" w:type="dxa"/>
          </w:tcPr>
          <w:p w14:paraId="4E809361" w14:textId="77777777" w:rsidR="002C6574" w:rsidRDefault="00000000">
            <w:pPr>
              <w:pStyle w:val="TableParagraph"/>
              <w:spacing w:line="217" w:lineRule="exact"/>
              <w:ind w:right="56"/>
              <w:rPr>
                <w:sz w:val="18"/>
              </w:rPr>
            </w:pPr>
            <w:r>
              <w:rPr>
                <w:spacing w:val="-2"/>
                <w:w w:val="110"/>
                <w:sz w:val="18"/>
              </w:rPr>
              <w:t>(4.161)</w:t>
            </w:r>
          </w:p>
        </w:tc>
        <w:tc>
          <w:tcPr>
            <w:tcW w:w="1553" w:type="dxa"/>
          </w:tcPr>
          <w:p w14:paraId="35A2C1C3" w14:textId="77777777" w:rsidR="002C6574" w:rsidRDefault="00000000">
            <w:pPr>
              <w:pStyle w:val="TableParagraph"/>
              <w:spacing w:line="217" w:lineRule="exact"/>
              <w:ind w:right="56"/>
              <w:rPr>
                <w:sz w:val="18"/>
              </w:rPr>
            </w:pPr>
            <w:r>
              <w:rPr>
                <w:spacing w:val="-2"/>
                <w:w w:val="110"/>
                <w:sz w:val="18"/>
              </w:rPr>
              <w:t>(4.161)</w:t>
            </w:r>
          </w:p>
        </w:tc>
      </w:tr>
      <w:tr w:rsidR="002C6574" w14:paraId="29941CF2" w14:textId="77777777">
        <w:trPr>
          <w:trHeight w:val="239"/>
        </w:trPr>
        <w:tc>
          <w:tcPr>
            <w:tcW w:w="4987" w:type="dxa"/>
          </w:tcPr>
          <w:p w14:paraId="7A3A10B6" w14:textId="77777777" w:rsidR="002C6574" w:rsidRDefault="00000000">
            <w:pPr>
              <w:pStyle w:val="TableParagraph"/>
              <w:spacing w:before="15" w:line="204" w:lineRule="exact"/>
              <w:ind w:left="69"/>
              <w:jc w:val="left"/>
              <w:rPr>
                <w:rFonts w:ascii="Arial"/>
                <w:b/>
                <w:sz w:val="18"/>
              </w:rPr>
            </w:pPr>
            <w:r>
              <w:rPr>
                <w:rFonts w:ascii="Arial"/>
                <w:b/>
                <w:sz w:val="18"/>
              </w:rPr>
              <w:t>Saldo</w:t>
            </w:r>
            <w:r>
              <w:rPr>
                <w:rFonts w:ascii="Arial"/>
                <w:b/>
                <w:spacing w:val="-1"/>
                <w:sz w:val="18"/>
              </w:rPr>
              <w:t xml:space="preserve"> </w:t>
            </w:r>
            <w:r>
              <w:rPr>
                <w:rFonts w:ascii="Arial"/>
                <w:b/>
                <w:sz w:val="18"/>
              </w:rPr>
              <w:t>em</w:t>
            </w:r>
            <w:r>
              <w:rPr>
                <w:rFonts w:ascii="Arial"/>
                <w:b/>
                <w:spacing w:val="-1"/>
                <w:sz w:val="18"/>
              </w:rPr>
              <w:t xml:space="preserve"> </w:t>
            </w:r>
            <w:r>
              <w:rPr>
                <w:rFonts w:ascii="Arial"/>
                <w:b/>
                <w:sz w:val="18"/>
              </w:rPr>
              <w:t>31</w:t>
            </w:r>
            <w:r>
              <w:rPr>
                <w:rFonts w:ascii="Arial"/>
                <w:b/>
                <w:spacing w:val="-3"/>
                <w:sz w:val="18"/>
              </w:rPr>
              <w:t xml:space="preserve"> </w:t>
            </w:r>
            <w:r>
              <w:rPr>
                <w:rFonts w:ascii="Arial"/>
                <w:b/>
                <w:sz w:val="18"/>
              </w:rPr>
              <w:t>de</w:t>
            </w:r>
            <w:r>
              <w:rPr>
                <w:rFonts w:ascii="Arial"/>
                <w:b/>
                <w:spacing w:val="-1"/>
                <w:sz w:val="18"/>
              </w:rPr>
              <w:t xml:space="preserve"> </w:t>
            </w:r>
            <w:r>
              <w:rPr>
                <w:rFonts w:ascii="Arial"/>
                <w:b/>
                <w:sz w:val="18"/>
              </w:rPr>
              <w:t xml:space="preserve">dezembro de </w:t>
            </w:r>
            <w:r>
              <w:rPr>
                <w:rFonts w:ascii="Arial"/>
                <w:b/>
                <w:spacing w:val="-4"/>
                <w:sz w:val="18"/>
              </w:rPr>
              <w:t>2025</w:t>
            </w:r>
          </w:p>
        </w:tc>
        <w:tc>
          <w:tcPr>
            <w:tcW w:w="1445" w:type="dxa"/>
          </w:tcPr>
          <w:p w14:paraId="20A0077C" w14:textId="77777777" w:rsidR="002C6574" w:rsidRDefault="00000000">
            <w:pPr>
              <w:pStyle w:val="TableParagraph"/>
              <w:spacing w:before="15" w:line="204" w:lineRule="exact"/>
              <w:ind w:right="59"/>
              <w:rPr>
                <w:rFonts w:ascii="Arial"/>
                <w:b/>
                <w:sz w:val="18"/>
              </w:rPr>
            </w:pPr>
            <w:r>
              <w:rPr>
                <w:rFonts w:ascii="Arial"/>
                <w:b/>
                <w:spacing w:val="-2"/>
                <w:sz w:val="18"/>
              </w:rPr>
              <w:t>1.130</w:t>
            </w:r>
          </w:p>
        </w:tc>
        <w:tc>
          <w:tcPr>
            <w:tcW w:w="1786" w:type="dxa"/>
          </w:tcPr>
          <w:p w14:paraId="364BF325" w14:textId="77777777" w:rsidR="002C6574" w:rsidRDefault="00000000">
            <w:pPr>
              <w:pStyle w:val="TableParagraph"/>
              <w:spacing w:before="15" w:line="204" w:lineRule="exact"/>
              <w:ind w:right="56"/>
              <w:rPr>
                <w:rFonts w:ascii="Arial"/>
                <w:b/>
                <w:sz w:val="18"/>
              </w:rPr>
            </w:pPr>
            <w:r>
              <w:rPr>
                <w:rFonts w:ascii="Arial"/>
                <w:b/>
                <w:spacing w:val="-2"/>
                <w:sz w:val="18"/>
              </w:rPr>
              <w:t>30.815</w:t>
            </w:r>
          </w:p>
        </w:tc>
        <w:tc>
          <w:tcPr>
            <w:tcW w:w="1553" w:type="dxa"/>
          </w:tcPr>
          <w:p w14:paraId="1ABB96C7" w14:textId="77777777" w:rsidR="002C6574" w:rsidRDefault="00000000">
            <w:pPr>
              <w:pStyle w:val="TableParagraph"/>
              <w:spacing w:before="15" w:line="204" w:lineRule="exact"/>
              <w:ind w:right="56"/>
              <w:rPr>
                <w:rFonts w:ascii="Arial"/>
                <w:b/>
                <w:sz w:val="18"/>
              </w:rPr>
            </w:pPr>
            <w:r>
              <w:rPr>
                <w:rFonts w:ascii="Arial"/>
                <w:b/>
                <w:spacing w:val="-2"/>
                <w:sz w:val="18"/>
              </w:rPr>
              <w:t>31.945</w:t>
            </w:r>
          </w:p>
        </w:tc>
      </w:tr>
    </w:tbl>
    <w:p w14:paraId="322742C9" w14:textId="77777777" w:rsidR="002C6574" w:rsidRDefault="00000000">
      <w:pPr>
        <w:ind w:left="143"/>
        <w:rPr>
          <w:sz w:val="16"/>
        </w:rPr>
      </w:pPr>
      <w:r>
        <w:rPr>
          <w:sz w:val="16"/>
        </w:rPr>
        <w:t>i)</w:t>
      </w:r>
      <w:r>
        <w:rPr>
          <w:spacing w:val="-5"/>
          <w:sz w:val="16"/>
        </w:rPr>
        <w:t xml:space="preserve"> </w:t>
      </w:r>
      <w:r>
        <w:rPr>
          <w:sz w:val="16"/>
        </w:rPr>
        <w:t>Valor</w:t>
      </w:r>
      <w:r>
        <w:rPr>
          <w:spacing w:val="-4"/>
          <w:sz w:val="16"/>
        </w:rPr>
        <w:t xml:space="preserve"> </w:t>
      </w:r>
      <w:r>
        <w:rPr>
          <w:sz w:val="16"/>
        </w:rPr>
        <w:t>justo</w:t>
      </w:r>
      <w:r>
        <w:rPr>
          <w:spacing w:val="-5"/>
          <w:sz w:val="16"/>
        </w:rPr>
        <w:t xml:space="preserve"> </w:t>
      </w:r>
      <w:r>
        <w:rPr>
          <w:sz w:val="16"/>
        </w:rPr>
        <w:t>por</w:t>
      </w:r>
      <w:r>
        <w:rPr>
          <w:spacing w:val="-6"/>
          <w:sz w:val="16"/>
        </w:rPr>
        <w:t xml:space="preserve"> </w:t>
      </w:r>
      <w:r>
        <w:rPr>
          <w:sz w:val="16"/>
        </w:rPr>
        <w:t>meio</w:t>
      </w:r>
      <w:r>
        <w:rPr>
          <w:spacing w:val="-5"/>
          <w:sz w:val="16"/>
        </w:rPr>
        <w:t xml:space="preserve"> </w:t>
      </w:r>
      <w:r>
        <w:rPr>
          <w:sz w:val="16"/>
        </w:rPr>
        <w:t>de</w:t>
      </w:r>
      <w:r>
        <w:rPr>
          <w:spacing w:val="-5"/>
          <w:sz w:val="16"/>
        </w:rPr>
        <w:t xml:space="preserve"> </w:t>
      </w:r>
      <w:r>
        <w:rPr>
          <w:sz w:val="16"/>
        </w:rPr>
        <w:t>outros</w:t>
      </w:r>
      <w:r>
        <w:rPr>
          <w:spacing w:val="-5"/>
          <w:sz w:val="16"/>
        </w:rPr>
        <w:t xml:space="preserve"> </w:t>
      </w:r>
      <w:r>
        <w:rPr>
          <w:sz w:val="16"/>
        </w:rPr>
        <w:t>resultados</w:t>
      </w:r>
      <w:r>
        <w:rPr>
          <w:spacing w:val="-2"/>
          <w:sz w:val="16"/>
        </w:rPr>
        <w:t xml:space="preserve"> abrangentes.</w:t>
      </w:r>
    </w:p>
    <w:p w14:paraId="2739EED0" w14:textId="77777777" w:rsidR="002C6574" w:rsidRDefault="002C6574">
      <w:pPr>
        <w:pStyle w:val="Corpodetexto"/>
        <w:spacing w:before="77"/>
        <w:rPr>
          <w:sz w:val="16"/>
        </w:rPr>
      </w:pPr>
    </w:p>
    <w:p w14:paraId="748B7A93" w14:textId="77777777" w:rsidR="002C6574" w:rsidRDefault="00000000">
      <w:pPr>
        <w:numPr>
          <w:ilvl w:val="1"/>
          <w:numId w:val="31"/>
        </w:numPr>
        <w:tabs>
          <w:tab w:val="left" w:pos="995"/>
        </w:tabs>
        <w:spacing w:before="1"/>
        <w:rPr>
          <w:rFonts w:ascii="Arial" w:hAnsi="Arial"/>
          <w:b/>
        </w:rPr>
      </w:pPr>
      <w:r>
        <w:rPr>
          <w:rFonts w:ascii="Arial" w:hAnsi="Arial"/>
          <w:b/>
        </w:rPr>
        <w:t>Ações</w:t>
      </w:r>
      <w:r>
        <w:rPr>
          <w:rFonts w:ascii="Arial" w:hAnsi="Arial"/>
          <w:b/>
          <w:spacing w:val="-2"/>
        </w:rPr>
        <w:t xml:space="preserve"> </w:t>
      </w:r>
      <w:r>
        <w:rPr>
          <w:rFonts w:ascii="Arial" w:hAnsi="Arial"/>
          <w:b/>
        </w:rPr>
        <w:t>em</w:t>
      </w:r>
      <w:r>
        <w:rPr>
          <w:rFonts w:ascii="Arial" w:hAnsi="Arial"/>
          <w:b/>
          <w:spacing w:val="-3"/>
        </w:rPr>
        <w:t xml:space="preserve"> </w:t>
      </w:r>
      <w:r>
        <w:rPr>
          <w:rFonts w:ascii="Arial" w:hAnsi="Arial"/>
          <w:b/>
          <w:spacing w:val="-2"/>
        </w:rPr>
        <w:t>tesouraria</w:t>
      </w:r>
    </w:p>
    <w:p w14:paraId="25EA5184" w14:textId="77777777" w:rsidR="002C6574" w:rsidRDefault="00000000">
      <w:pPr>
        <w:pStyle w:val="Corpodetexto"/>
        <w:spacing w:before="222" w:line="237" w:lineRule="auto"/>
        <w:ind w:left="143" w:right="703"/>
        <w:jc w:val="both"/>
      </w:pPr>
      <w:r>
        <w:rPr>
          <w:w w:val="105"/>
        </w:rPr>
        <w:t>As Ações em Tesouraria (193</w:t>
      </w:r>
      <w:r>
        <w:rPr>
          <w:spacing w:val="-2"/>
          <w:w w:val="105"/>
        </w:rPr>
        <w:t xml:space="preserve"> </w:t>
      </w:r>
      <w:r>
        <w:rPr>
          <w:w w:val="105"/>
        </w:rPr>
        <w:t>– cento e</w:t>
      </w:r>
      <w:r>
        <w:rPr>
          <w:spacing w:val="-2"/>
          <w:w w:val="105"/>
        </w:rPr>
        <w:t xml:space="preserve"> </w:t>
      </w:r>
      <w:r>
        <w:rPr>
          <w:w w:val="105"/>
        </w:rPr>
        <w:t>noventa e três, ações ordinárias)</w:t>
      </w:r>
      <w:r>
        <w:rPr>
          <w:spacing w:val="-1"/>
          <w:w w:val="105"/>
        </w:rPr>
        <w:t xml:space="preserve"> </w:t>
      </w:r>
      <w:r>
        <w:rPr>
          <w:w w:val="105"/>
        </w:rPr>
        <w:t>correspondem ao saldo remanescente</w:t>
      </w:r>
      <w:r>
        <w:rPr>
          <w:spacing w:val="-7"/>
          <w:w w:val="105"/>
        </w:rPr>
        <w:t xml:space="preserve"> </w:t>
      </w:r>
      <w:r>
        <w:rPr>
          <w:w w:val="105"/>
        </w:rPr>
        <w:t>da</w:t>
      </w:r>
      <w:r>
        <w:rPr>
          <w:spacing w:val="-5"/>
          <w:w w:val="105"/>
        </w:rPr>
        <w:t xml:space="preserve"> </w:t>
      </w:r>
      <w:r>
        <w:rPr>
          <w:w w:val="105"/>
        </w:rPr>
        <w:t>cisão</w:t>
      </w:r>
      <w:r>
        <w:rPr>
          <w:spacing w:val="-8"/>
          <w:w w:val="105"/>
        </w:rPr>
        <w:t xml:space="preserve"> </w:t>
      </w:r>
      <w:r>
        <w:rPr>
          <w:w w:val="105"/>
        </w:rPr>
        <w:t>parcial</w:t>
      </w:r>
      <w:r>
        <w:rPr>
          <w:spacing w:val="-5"/>
          <w:w w:val="105"/>
        </w:rPr>
        <w:t xml:space="preserve"> </w:t>
      </w:r>
      <w:r>
        <w:rPr>
          <w:w w:val="105"/>
        </w:rPr>
        <w:t>da</w:t>
      </w:r>
      <w:r>
        <w:rPr>
          <w:spacing w:val="-5"/>
          <w:w w:val="105"/>
        </w:rPr>
        <w:t xml:space="preserve"> </w:t>
      </w:r>
      <w:r>
        <w:rPr>
          <w:w w:val="105"/>
        </w:rPr>
        <w:t>Telebras,</w:t>
      </w:r>
      <w:r>
        <w:rPr>
          <w:spacing w:val="-3"/>
          <w:w w:val="105"/>
        </w:rPr>
        <w:t xml:space="preserve"> </w:t>
      </w:r>
      <w:r>
        <w:rPr>
          <w:w w:val="105"/>
        </w:rPr>
        <w:t>ocorrida</w:t>
      </w:r>
      <w:r>
        <w:rPr>
          <w:spacing w:val="-5"/>
          <w:w w:val="105"/>
        </w:rPr>
        <w:t xml:space="preserve"> </w:t>
      </w:r>
      <w:r>
        <w:rPr>
          <w:w w:val="105"/>
        </w:rPr>
        <w:t>em</w:t>
      </w:r>
      <w:r>
        <w:rPr>
          <w:spacing w:val="-5"/>
          <w:w w:val="105"/>
        </w:rPr>
        <w:t xml:space="preserve"> </w:t>
      </w:r>
      <w:r>
        <w:rPr>
          <w:w w:val="105"/>
        </w:rPr>
        <w:t>22</w:t>
      </w:r>
      <w:r>
        <w:rPr>
          <w:spacing w:val="-3"/>
          <w:w w:val="105"/>
        </w:rPr>
        <w:t xml:space="preserve"> </w:t>
      </w:r>
      <w:r>
        <w:rPr>
          <w:w w:val="105"/>
        </w:rPr>
        <w:t>de</w:t>
      </w:r>
      <w:r>
        <w:rPr>
          <w:spacing w:val="-9"/>
          <w:w w:val="105"/>
        </w:rPr>
        <w:t xml:space="preserve"> </w:t>
      </w:r>
      <w:r>
        <w:rPr>
          <w:w w:val="105"/>
        </w:rPr>
        <w:t>maio</w:t>
      </w:r>
      <w:r>
        <w:rPr>
          <w:spacing w:val="-7"/>
          <w:w w:val="105"/>
        </w:rPr>
        <w:t xml:space="preserve"> </w:t>
      </w:r>
      <w:r>
        <w:rPr>
          <w:w w:val="105"/>
        </w:rPr>
        <w:t>de</w:t>
      </w:r>
      <w:r>
        <w:rPr>
          <w:spacing w:val="-5"/>
          <w:w w:val="105"/>
        </w:rPr>
        <w:t xml:space="preserve"> </w:t>
      </w:r>
      <w:r>
        <w:rPr>
          <w:w w:val="105"/>
        </w:rPr>
        <w:t>1998.</w:t>
      </w:r>
    </w:p>
    <w:p w14:paraId="2945EF06" w14:textId="77777777" w:rsidR="002C6574" w:rsidRDefault="00000000">
      <w:pPr>
        <w:numPr>
          <w:ilvl w:val="1"/>
          <w:numId w:val="31"/>
        </w:numPr>
        <w:tabs>
          <w:tab w:val="left" w:pos="995"/>
        </w:tabs>
        <w:spacing w:before="282"/>
        <w:rPr>
          <w:rFonts w:ascii="Arial" w:hAnsi="Arial"/>
          <w:b/>
        </w:rPr>
      </w:pPr>
      <w:r>
        <w:rPr>
          <w:rFonts w:ascii="Arial" w:hAnsi="Arial"/>
          <w:b/>
        </w:rPr>
        <w:t>Lucro</w:t>
      </w:r>
      <w:r>
        <w:rPr>
          <w:rFonts w:ascii="Arial" w:hAnsi="Arial"/>
          <w:b/>
          <w:spacing w:val="-2"/>
        </w:rPr>
        <w:t xml:space="preserve"> </w:t>
      </w:r>
      <w:r>
        <w:rPr>
          <w:rFonts w:ascii="Arial" w:hAnsi="Arial"/>
          <w:b/>
        </w:rPr>
        <w:t>(Prejuízo)</w:t>
      </w:r>
      <w:r>
        <w:rPr>
          <w:rFonts w:ascii="Arial" w:hAnsi="Arial"/>
          <w:b/>
          <w:spacing w:val="-5"/>
        </w:rPr>
        <w:t xml:space="preserve"> </w:t>
      </w:r>
      <w:r>
        <w:rPr>
          <w:rFonts w:ascii="Arial" w:hAnsi="Arial"/>
          <w:b/>
        </w:rPr>
        <w:t>por</w:t>
      </w:r>
      <w:r>
        <w:rPr>
          <w:rFonts w:ascii="Arial" w:hAnsi="Arial"/>
          <w:b/>
          <w:spacing w:val="-4"/>
        </w:rPr>
        <w:t xml:space="preserve"> </w:t>
      </w:r>
      <w:r>
        <w:rPr>
          <w:rFonts w:ascii="Arial" w:hAnsi="Arial"/>
          <w:b/>
        </w:rPr>
        <w:t>ação</w:t>
      </w:r>
      <w:r>
        <w:rPr>
          <w:rFonts w:ascii="Arial" w:hAnsi="Arial"/>
          <w:b/>
          <w:spacing w:val="-2"/>
        </w:rPr>
        <w:t xml:space="preserve"> </w:t>
      </w:r>
      <w:r>
        <w:rPr>
          <w:rFonts w:ascii="Arial" w:hAnsi="Arial"/>
          <w:b/>
        </w:rPr>
        <w:t>básico</w:t>
      </w:r>
      <w:r>
        <w:rPr>
          <w:rFonts w:ascii="Arial" w:hAnsi="Arial"/>
          <w:b/>
          <w:spacing w:val="-5"/>
        </w:rPr>
        <w:t xml:space="preserve"> </w:t>
      </w:r>
      <w:r>
        <w:rPr>
          <w:rFonts w:ascii="Arial" w:hAnsi="Arial"/>
          <w:b/>
        </w:rPr>
        <w:t>e</w:t>
      </w:r>
      <w:r>
        <w:rPr>
          <w:rFonts w:ascii="Arial" w:hAnsi="Arial"/>
          <w:b/>
          <w:spacing w:val="1"/>
        </w:rPr>
        <w:t xml:space="preserve"> </w:t>
      </w:r>
      <w:r>
        <w:rPr>
          <w:rFonts w:ascii="Arial" w:hAnsi="Arial"/>
          <w:b/>
          <w:spacing w:val="-2"/>
        </w:rPr>
        <w:t>diluído</w:t>
      </w:r>
    </w:p>
    <w:p w14:paraId="7AEF8A40" w14:textId="77777777" w:rsidR="002C6574" w:rsidRDefault="00000000">
      <w:pPr>
        <w:pStyle w:val="Corpodetexto"/>
        <w:spacing w:before="131" w:line="237" w:lineRule="auto"/>
        <w:ind w:left="143" w:right="704"/>
        <w:jc w:val="both"/>
      </w:pPr>
      <w:r>
        <w:t>Os acionistas ordinários e preferenciais possuem direitos diferentes em relação a dividendos, direito a voto e em caso de liquidação,</w:t>
      </w:r>
      <w:r>
        <w:rPr>
          <w:spacing w:val="14"/>
        </w:rPr>
        <w:t xml:space="preserve"> </w:t>
      </w:r>
      <w:r>
        <w:t>conforme determina o estatuto social da Companhia. Dessa forma,</w:t>
      </w:r>
      <w:r>
        <w:rPr>
          <w:spacing w:val="80"/>
        </w:rPr>
        <w:t xml:space="preserve"> </w:t>
      </w:r>
      <w:r>
        <w:t>o lucro (prejuízo) por ação básico e diluído foi calculado com base no lucro (prejuízo) do exercício disponível para os acionistas ordinários e preferenciais.</w:t>
      </w:r>
    </w:p>
    <w:p w14:paraId="5297A79E" w14:textId="77777777" w:rsidR="002C6574" w:rsidRDefault="00000000">
      <w:pPr>
        <w:spacing w:before="154"/>
        <w:ind w:left="143"/>
        <w:rPr>
          <w:rFonts w:ascii="Arial" w:hAnsi="Arial"/>
          <w:b/>
        </w:rPr>
      </w:pPr>
      <w:r>
        <w:rPr>
          <w:rFonts w:ascii="Arial" w:hAnsi="Arial"/>
          <w:b/>
          <w:spacing w:val="-2"/>
        </w:rPr>
        <w:t>Básico</w:t>
      </w:r>
    </w:p>
    <w:p w14:paraId="1F0647AB" w14:textId="77777777" w:rsidR="002C6574" w:rsidRDefault="00000000">
      <w:pPr>
        <w:pStyle w:val="Corpodetexto"/>
        <w:spacing w:before="129" w:line="237" w:lineRule="auto"/>
        <w:ind w:left="143" w:right="703"/>
        <w:jc w:val="both"/>
      </w:pPr>
      <w:r>
        <w:t>O lucro (prejuízo) básico por ação é calculado mediante a divisão do lucro (prejuízo) atribuível aos acionistas da Companhia, disponível aos portadores de ações ordinárias e preferenciais, pela quantidade média ponderada de ações ordinárias e preferenciais em circulação durante o exercício.</w:t>
      </w:r>
    </w:p>
    <w:p w14:paraId="4EF83AD8" w14:textId="77777777" w:rsidR="002C6574" w:rsidRDefault="00000000">
      <w:pPr>
        <w:spacing w:before="151"/>
        <w:ind w:left="143"/>
        <w:rPr>
          <w:rFonts w:ascii="Arial" w:hAnsi="Arial"/>
          <w:b/>
        </w:rPr>
      </w:pPr>
      <w:r>
        <w:rPr>
          <w:rFonts w:ascii="Arial" w:hAnsi="Arial"/>
          <w:b/>
          <w:spacing w:val="-2"/>
        </w:rPr>
        <w:t>Diluído</w:t>
      </w:r>
    </w:p>
    <w:p w14:paraId="23F65480" w14:textId="77777777" w:rsidR="002C6574" w:rsidRDefault="00000000">
      <w:pPr>
        <w:pStyle w:val="Corpodetexto"/>
        <w:spacing w:before="131" w:line="237" w:lineRule="auto"/>
        <w:ind w:left="143" w:right="706"/>
        <w:jc w:val="both"/>
      </w:pPr>
      <w:r>
        <w:t>O</w:t>
      </w:r>
      <w:r>
        <w:rPr>
          <w:spacing w:val="-6"/>
        </w:rPr>
        <w:t xml:space="preserve"> </w:t>
      </w:r>
      <w:r>
        <w:t>lucro</w:t>
      </w:r>
      <w:r>
        <w:rPr>
          <w:spacing w:val="-6"/>
        </w:rPr>
        <w:t xml:space="preserve"> </w:t>
      </w:r>
      <w:r>
        <w:t>(prejuízo)</w:t>
      </w:r>
      <w:r>
        <w:rPr>
          <w:spacing w:val="-5"/>
        </w:rPr>
        <w:t xml:space="preserve"> </w:t>
      </w:r>
      <w:r>
        <w:t>diluído</w:t>
      </w:r>
      <w:r>
        <w:rPr>
          <w:spacing w:val="-10"/>
        </w:rPr>
        <w:t xml:space="preserve"> </w:t>
      </w:r>
      <w:r>
        <w:t>por</w:t>
      </w:r>
      <w:r>
        <w:rPr>
          <w:spacing w:val="-3"/>
        </w:rPr>
        <w:t xml:space="preserve"> </w:t>
      </w:r>
      <w:r>
        <w:t>ação</w:t>
      </w:r>
      <w:r>
        <w:rPr>
          <w:spacing w:val="-6"/>
        </w:rPr>
        <w:t xml:space="preserve"> </w:t>
      </w:r>
      <w:r>
        <w:t>é</w:t>
      </w:r>
      <w:r>
        <w:rPr>
          <w:spacing w:val="-8"/>
        </w:rPr>
        <w:t xml:space="preserve"> </w:t>
      </w:r>
      <w:r>
        <w:t>calculado</w:t>
      </w:r>
      <w:r>
        <w:rPr>
          <w:spacing w:val="-6"/>
        </w:rPr>
        <w:t xml:space="preserve"> </w:t>
      </w:r>
      <w:r>
        <w:t>mediante</w:t>
      </w:r>
      <w:r>
        <w:rPr>
          <w:spacing w:val="-4"/>
        </w:rPr>
        <w:t xml:space="preserve"> </w:t>
      </w:r>
      <w:r>
        <w:t>o</w:t>
      </w:r>
      <w:r>
        <w:rPr>
          <w:spacing w:val="-5"/>
        </w:rPr>
        <w:t xml:space="preserve"> </w:t>
      </w:r>
      <w:r>
        <w:t>ajuste</w:t>
      </w:r>
      <w:r>
        <w:rPr>
          <w:spacing w:val="-5"/>
        </w:rPr>
        <w:t xml:space="preserve"> </w:t>
      </w:r>
      <w:r>
        <w:t>da</w:t>
      </w:r>
      <w:r>
        <w:rPr>
          <w:spacing w:val="-5"/>
        </w:rPr>
        <w:t xml:space="preserve"> </w:t>
      </w:r>
      <w:r>
        <w:t>quantidade</w:t>
      </w:r>
      <w:r>
        <w:rPr>
          <w:spacing w:val="-6"/>
        </w:rPr>
        <w:t xml:space="preserve"> </w:t>
      </w:r>
      <w:r>
        <w:t>média</w:t>
      </w:r>
      <w:r>
        <w:rPr>
          <w:spacing w:val="-5"/>
        </w:rPr>
        <w:t xml:space="preserve"> </w:t>
      </w:r>
      <w:r>
        <w:t>ponderada</w:t>
      </w:r>
      <w:r>
        <w:rPr>
          <w:spacing w:val="-5"/>
        </w:rPr>
        <w:t xml:space="preserve"> </w:t>
      </w:r>
      <w:r>
        <w:t>de ações ordinárias e preferenciais em circulação, para presumir a conversão de todas as ações potenciais diluídas. A Companhia não possui categoria de ações potenciais diluídas.</w:t>
      </w:r>
    </w:p>
    <w:p w14:paraId="3C1478C9" w14:textId="77777777" w:rsidR="002C6574" w:rsidRDefault="00000000">
      <w:pPr>
        <w:pStyle w:val="Corpodetexto"/>
        <w:spacing w:before="119"/>
        <w:ind w:left="143"/>
        <w:jc w:val="both"/>
      </w:pPr>
      <w:r>
        <w:t>A</w:t>
      </w:r>
      <w:r>
        <w:rPr>
          <w:spacing w:val="7"/>
        </w:rPr>
        <w:t xml:space="preserve"> </w:t>
      </w:r>
      <w:r>
        <w:t>seguir</w:t>
      </w:r>
      <w:r>
        <w:rPr>
          <w:spacing w:val="7"/>
        </w:rPr>
        <w:t xml:space="preserve"> </w:t>
      </w:r>
      <w:r>
        <w:t>são</w:t>
      </w:r>
      <w:r>
        <w:rPr>
          <w:spacing w:val="6"/>
        </w:rPr>
        <w:t xml:space="preserve"> </w:t>
      </w:r>
      <w:r>
        <w:t>apresentados</w:t>
      </w:r>
      <w:r>
        <w:rPr>
          <w:spacing w:val="9"/>
        </w:rPr>
        <w:t xml:space="preserve"> </w:t>
      </w:r>
      <w:r>
        <w:t>os</w:t>
      </w:r>
      <w:r>
        <w:rPr>
          <w:spacing w:val="4"/>
        </w:rPr>
        <w:t xml:space="preserve"> </w:t>
      </w:r>
      <w:r>
        <w:t>cálculos</w:t>
      </w:r>
      <w:r>
        <w:rPr>
          <w:spacing w:val="7"/>
        </w:rPr>
        <w:t xml:space="preserve"> </w:t>
      </w:r>
      <w:r>
        <w:t>do</w:t>
      </w:r>
      <w:r>
        <w:rPr>
          <w:spacing w:val="7"/>
        </w:rPr>
        <w:t xml:space="preserve"> </w:t>
      </w:r>
      <w:r>
        <w:t>lucro</w:t>
      </w:r>
      <w:r>
        <w:rPr>
          <w:spacing w:val="4"/>
        </w:rPr>
        <w:t xml:space="preserve"> </w:t>
      </w:r>
      <w:r>
        <w:t>(prejuízo)</w:t>
      </w:r>
      <w:r>
        <w:rPr>
          <w:spacing w:val="5"/>
        </w:rPr>
        <w:t xml:space="preserve"> </w:t>
      </w:r>
      <w:r>
        <w:t>por</w:t>
      </w:r>
      <w:r>
        <w:rPr>
          <w:spacing w:val="7"/>
        </w:rPr>
        <w:t xml:space="preserve"> </w:t>
      </w:r>
      <w:r>
        <w:t>ação</w:t>
      </w:r>
      <w:r>
        <w:rPr>
          <w:spacing w:val="5"/>
        </w:rPr>
        <w:t xml:space="preserve"> </w:t>
      </w:r>
      <w:r>
        <w:t>básico</w:t>
      </w:r>
      <w:r>
        <w:rPr>
          <w:spacing w:val="9"/>
        </w:rPr>
        <w:t xml:space="preserve"> </w:t>
      </w:r>
      <w:r>
        <w:t>e</w:t>
      </w:r>
      <w:r>
        <w:rPr>
          <w:spacing w:val="5"/>
        </w:rPr>
        <w:t xml:space="preserve"> </w:t>
      </w:r>
      <w:r>
        <w:rPr>
          <w:spacing w:val="-2"/>
        </w:rPr>
        <w:t>diluído:</w:t>
      </w:r>
    </w:p>
    <w:p w14:paraId="786A7907" w14:textId="77777777" w:rsidR="002C6574" w:rsidRDefault="002C6574">
      <w:pPr>
        <w:pStyle w:val="Corpodetexto"/>
        <w:spacing w:before="56"/>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12"/>
        <w:gridCol w:w="1606"/>
        <w:gridCol w:w="1553"/>
      </w:tblGrid>
      <w:tr w:rsidR="002C6574" w14:paraId="3D518F1E" w14:textId="77777777">
        <w:trPr>
          <w:trHeight w:val="232"/>
        </w:trPr>
        <w:tc>
          <w:tcPr>
            <w:tcW w:w="6612" w:type="dxa"/>
            <w:shd w:val="clear" w:color="auto" w:fill="D8D8D8"/>
          </w:tcPr>
          <w:p w14:paraId="27B202B9" w14:textId="77777777" w:rsidR="002C6574" w:rsidRDefault="00000000">
            <w:pPr>
              <w:pStyle w:val="TableParagraph"/>
              <w:spacing w:before="25"/>
              <w:ind w:left="69"/>
              <w:jc w:val="left"/>
              <w:rPr>
                <w:rFonts w:ascii="Arial"/>
                <w:b/>
                <w:sz w:val="16"/>
              </w:rPr>
            </w:pPr>
            <w:r>
              <w:rPr>
                <w:rFonts w:ascii="Arial"/>
                <w:b/>
                <w:spacing w:val="-2"/>
                <w:sz w:val="16"/>
              </w:rPr>
              <w:t>Itens:</w:t>
            </w:r>
          </w:p>
        </w:tc>
        <w:tc>
          <w:tcPr>
            <w:tcW w:w="1606" w:type="dxa"/>
          </w:tcPr>
          <w:p w14:paraId="731F2C60" w14:textId="77777777" w:rsidR="002C6574" w:rsidRDefault="00000000">
            <w:pPr>
              <w:pStyle w:val="TableParagraph"/>
              <w:spacing w:before="25"/>
              <w:ind w:left="400"/>
              <w:jc w:val="left"/>
              <w:rPr>
                <w:rFonts w:ascii="Arial"/>
                <w:b/>
                <w:sz w:val="16"/>
              </w:rPr>
            </w:pPr>
            <w:r>
              <w:rPr>
                <w:rFonts w:ascii="Arial"/>
                <w:b/>
                <w:spacing w:val="-2"/>
                <w:sz w:val="16"/>
              </w:rPr>
              <w:t>31/12/2025</w:t>
            </w:r>
          </w:p>
        </w:tc>
        <w:tc>
          <w:tcPr>
            <w:tcW w:w="1553" w:type="dxa"/>
          </w:tcPr>
          <w:p w14:paraId="0DF64F6C" w14:textId="77777777" w:rsidR="002C6574" w:rsidRDefault="00000000">
            <w:pPr>
              <w:pStyle w:val="TableParagraph"/>
              <w:spacing w:before="25"/>
              <w:ind w:left="374"/>
              <w:jc w:val="left"/>
              <w:rPr>
                <w:rFonts w:ascii="Arial"/>
                <w:b/>
                <w:sz w:val="16"/>
              </w:rPr>
            </w:pPr>
            <w:r>
              <w:rPr>
                <w:rFonts w:ascii="Arial"/>
                <w:b/>
                <w:spacing w:val="-2"/>
                <w:sz w:val="16"/>
              </w:rPr>
              <w:t>31/12/2024</w:t>
            </w:r>
          </w:p>
        </w:tc>
      </w:tr>
      <w:tr w:rsidR="002C6574" w14:paraId="5DA499AE" w14:textId="77777777">
        <w:trPr>
          <w:trHeight w:val="230"/>
        </w:trPr>
        <w:tc>
          <w:tcPr>
            <w:tcW w:w="6612" w:type="dxa"/>
          </w:tcPr>
          <w:p w14:paraId="7CEC442B" w14:textId="77777777" w:rsidR="002C6574" w:rsidRDefault="00000000">
            <w:pPr>
              <w:pStyle w:val="TableParagraph"/>
              <w:spacing w:before="22"/>
              <w:ind w:left="69"/>
              <w:jc w:val="left"/>
              <w:rPr>
                <w:rFonts w:ascii="Arial" w:hAnsi="Arial"/>
                <w:b/>
                <w:sz w:val="16"/>
              </w:rPr>
            </w:pPr>
            <w:r>
              <w:rPr>
                <w:rFonts w:ascii="Arial" w:hAnsi="Arial"/>
                <w:b/>
                <w:sz w:val="16"/>
              </w:rPr>
              <w:t>Lucro/(Prejuízo)</w:t>
            </w:r>
            <w:r>
              <w:rPr>
                <w:rFonts w:ascii="Arial" w:hAnsi="Arial"/>
                <w:b/>
                <w:spacing w:val="-4"/>
                <w:sz w:val="16"/>
              </w:rPr>
              <w:t xml:space="preserve"> </w:t>
            </w:r>
            <w:r>
              <w:rPr>
                <w:rFonts w:ascii="Arial" w:hAnsi="Arial"/>
                <w:b/>
                <w:sz w:val="16"/>
              </w:rPr>
              <w:t>Líquido</w:t>
            </w:r>
            <w:r>
              <w:rPr>
                <w:rFonts w:ascii="Arial" w:hAnsi="Arial"/>
                <w:b/>
                <w:spacing w:val="-6"/>
                <w:sz w:val="16"/>
              </w:rPr>
              <w:t xml:space="preserve"> </w:t>
            </w:r>
            <w:r>
              <w:rPr>
                <w:rFonts w:ascii="Arial" w:hAnsi="Arial"/>
                <w:b/>
                <w:sz w:val="16"/>
              </w:rPr>
              <w:t>do</w:t>
            </w:r>
            <w:r>
              <w:rPr>
                <w:rFonts w:ascii="Arial" w:hAnsi="Arial"/>
                <w:b/>
                <w:spacing w:val="-5"/>
                <w:sz w:val="16"/>
              </w:rPr>
              <w:t xml:space="preserve"> </w:t>
            </w:r>
            <w:r>
              <w:rPr>
                <w:rFonts w:ascii="Arial" w:hAnsi="Arial"/>
                <w:b/>
                <w:spacing w:val="-2"/>
                <w:sz w:val="16"/>
              </w:rPr>
              <w:t>Exercício</w:t>
            </w:r>
          </w:p>
        </w:tc>
        <w:tc>
          <w:tcPr>
            <w:tcW w:w="1606" w:type="dxa"/>
          </w:tcPr>
          <w:p w14:paraId="0F001066" w14:textId="77777777" w:rsidR="002C6574" w:rsidRDefault="00000000">
            <w:pPr>
              <w:pStyle w:val="TableParagraph"/>
              <w:spacing w:before="22"/>
              <w:ind w:right="57"/>
              <w:rPr>
                <w:rFonts w:ascii="Arial"/>
                <w:b/>
                <w:sz w:val="16"/>
              </w:rPr>
            </w:pPr>
            <w:r>
              <w:rPr>
                <w:rFonts w:ascii="Arial"/>
                <w:b/>
                <w:spacing w:val="-2"/>
                <w:sz w:val="16"/>
              </w:rPr>
              <w:t>140.504</w:t>
            </w:r>
          </w:p>
        </w:tc>
        <w:tc>
          <w:tcPr>
            <w:tcW w:w="1553" w:type="dxa"/>
          </w:tcPr>
          <w:p w14:paraId="1081C664" w14:textId="77777777" w:rsidR="002C6574" w:rsidRDefault="00000000">
            <w:pPr>
              <w:pStyle w:val="TableParagraph"/>
              <w:spacing w:before="22"/>
              <w:ind w:right="57"/>
              <w:rPr>
                <w:rFonts w:ascii="Arial"/>
                <w:b/>
                <w:sz w:val="16"/>
              </w:rPr>
            </w:pPr>
            <w:r>
              <w:rPr>
                <w:rFonts w:ascii="Arial"/>
                <w:b/>
                <w:spacing w:val="-2"/>
                <w:sz w:val="16"/>
              </w:rPr>
              <w:t>(66.572)</w:t>
            </w:r>
          </w:p>
        </w:tc>
      </w:tr>
      <w:tr w:rsidR="002C6574" w14:paraId="5368C0A8" w14:textId="77777777">
        <w:trPr>
          <w:trHeight w:val="232"/>
        </w:trPr>
        <w:tc>
          <w:tcPr>
            <w:tcW w:w="6612" w:type="dxa"/>
          </w:tcPr>
          <w:p w14:paraId="0EA8A0A0" w14:textId="77777777" w:rsidR="002C6574" w:rsidRDefault="00000000">
            <w:pPr>
              <w:pStyle w:val="TableParagraph"/>
              <w:spacing w:before="25"/>
              <w:ind w:left="69"/>
              <w:jc w:val="left"/>
              <w:rPr>
                <w:rFonts w:ascii="Arial" w:hAnsi="Arial"/>
                <w:b/>
                <w:sz w:val="16"/>
              </w:rPr>
            </w:pPr>
            <w:r>
              <w:rPr>
                <w:rFonts w:ascii="Arial" w:hAnsi="Arial"/>
                <w:b/>
                <w:sz w:val="16"/>
              </w:rPr>
              <w:t>Distribuição</w:t>
            </w:r>
            <w:r>
              <w:rPr>
                <w:rFonts w:ascii="Arial" w:hAnsi="Arial"/>
                <w:b/>
                <w:spacing w:val="-2"/>
                <w:sz w:val="16"/>
              </w:rPr>
              <w:t xml:space="preserve"> </w:t>
            </w:r>
            <w:r>
              <w:rPr>
                <w:rFonts w:ascii="Arial" w:hAnsi="Arial"/>
                <w:b/>
                <w:sz w:val="16"/>
              </w:rPr>
              <w:t>do</w:t>
            </w:r>
            <w:r>
              <w:rPr>
                <w:rFonts w:ascii="Arial" w:hAnsi="Arial"/>
                <w:b/>
                <w:spacing w:val="-2"/>
                <w:sz w:val="16"/>
              </w:rPr>
              <w:t xml:space="preserve"> </w:t>
            </w:r>
            <w:r>
              <w:rPr>
                <w:rFonts w:ascii="Arial" w:hAnsi="Arial"/>
                <w:b/>
                <w:sz w:val="16"/>
              </w:rPr>
              <w:t>resultado</w:t>
            </w:r>
            <w:r>
              <w:rPr>
                <w:rFonts w:ascii="Arial" w:hAnsi="Arial"/>
                <w:b/>
                <w:spacing w:val="-4"/>
                <w:sz w:val="16"/>
              </w:rPr>
              <w:t xml:space="preserve"> </w:t>
            </w:r>
            <w:r>
              <w:rPr>
                <w:rFonts w:ascii="Arial" w:hAnsi="Arial"/>
                <w:b/>
                <w:sz w:val="16"/>
              </w:rPr>
              <w:t>em</w:t>
            </w:r>
            <w:r>
              <w:rPr>
                <w:rFonts w:ascii="Arial" w:hAnsi="Arial"/>
                <w:b/>
                <w:spacing w:val="-4"/>
                <w:sz w:val="16"/>
              </w:rPr>
              <w:t xml:space="preserve"> </w:t>
            </w:r>
            <w:r>
              <w:rPr>
                <w:rFonts w:ascii="Arial" w:hAnsi="Arial"/>
                <w:b/>
                <w:sz w:val="16"/>
              </w:rPr>
              <w:t>relação</w:t>
            </w:r>
            <w:r>
              <w:rPr>
                <w:rFonts w:ascii="Arial" w:hAnsi="Arial"/>
                <w:b/>
                <w:spacing w:val="-2"/>
                <w:sz w:val="16"/>
              </w:rPr>
              <w:t xml:space="preserve"> </w:t>
            </w:r>
            <w:r>
              <w:rPr>
                <w:rFonts w:ascii="Arial" w:hAnsi="Arial"/>
                <w:b/>
                <w:sz w:val="16"/>
              </w:rPr>
              <w:t>ao</w:t>
            </w:r>
            <w:r>
              <w:rPr>
                <w:rFonts w:ascii="Arial" w:hAnsi="Arial"/>
                <w:b/>
                <w:spacing w:val="-1"/>
                <w:sz w:val="16"/>
              </w:rPr>
              <w:t xml:space="preserve"> </w:t>
            </w:r>
            <w:r>
              <w:rPr>
                <w:rFonts w:ascii="Arial" w:hAnsi="Arial"/>
                <w:b/>
                <w:sz w:val="16"/>
              </w:rPr>
              <w:t>tipo</w:t>
            </w:r>
            <w:r>
              <w:rPr>
                <w:rFonts w:ascii="Arial" w:hAnsi="Arial"/>
                <w:b/>
                <w:spacing w:val="-4"/>
                <w:sz w:val="16"/>
              </w:rPr>
              <w:t xml:space="preserve"> </w:t>
            </w:r>
            <w:r>
              <w:rPr>
                <w:rFonts w:ascii="Arial" w:hAnsi="Arial"/>
                <w:b/>
                <w:sz w:val="16"/>
              </w:rPr>
              <w:t>de</w:t>
            </w:r>
            <w:r>
              <w:rPr>
                <w:rFonts w:ascii="Arial" w:hAnsi="Arial"/>
                <w:b/>
                <w:spacing w:val="-3"/>
                <w:sz w:val="16"/>
              </w:rPr>
              <w:t xml:space="preserve"> </w:t>
            </w:r>
            <w:r>
              <w:rPr>
                <w:rFonts w:ascii="Arial" w:hAnsi="Arial"/>
                <w:b/>
                <w:spacing w:val="-4"/>
                <w:sz w:val="16"/>
              </w:rPr>
              <w:t>Ação:</w:t>
            </w:r>
          </w:p>
        </w:tc>
        <w:tc>
          <w:tcPr>
            <w:tcW w:w="1606" w:type="dxa"/>
          </w:tcPr>
          <w:p w14:paraId="7626C9A0" w14:textId="77777777" w:rsidR="002C6574" w:rsidRDefault="002C6574">
            <w:pPr>
              <w:pStyle w:val="TableParagraph"/>
              <w:jc w:val="left"/>
              <w:rPr>
                <w:rFonts w:ascii="Times New Roman"/>
                <w:sz w:val="16"/>
              </w:rPr>
            </w:pPr>
          </w:p>
        </w:tc>
        <w:tc>
          <w:tcPr>
            <w:tcW w:w="1553" w:type="dxa"/>
          </w:tcPr>
          <w:p w14:paraId="49120579" w14:textId="77777777" w:rsidR="002C6574" w:rsidRDefault="002C6574">
            <w:pPr>
              <w:pStyle w:val="TableParagraph"/>
              <w:jc w:val="left"/>
              <w:rPr>
                <w:rFonts w:ascii="Times New Roman"/>
                <w:sz w:val="16"/>
              </w:rPr>
            </w:pPr>
          </w:p>
        </w:tc>
      </w:tr>
      <w:tr w:rsidR="002C6574" w14:paraId="51042B56" w14:textId="77777777">
        <w:trPr>
          <w:trHeight w:val="232"/>
        </w:trPr>
        <w:tc>
          <w:tcPr>
            <w:tcW w:w="6612" w:type="dxa"/>
          </w:tcPr>
          <w:p w14:paraId="74B3D4BB" w14:textId="77777777" w:rsidR="002C6574" w:rsidRDefault="00000000">
            <w:pPr>
              <w:pStyle w:val="TableParagraph"/>
              <w:spacing w:line="212" w:lineRule="exact"/>
              <w:ind w:left="69"/>
              <w:jc w:val="left"/>
              <w:rPr>
                <w:sz w:val="18"/>
              </w:rPr>
            </w:pPr>
            <w:r>
              <w:rPr>
                <w:w w:val="105"/>
                <w:sz w:val="18"/>
              </w:rPr>
              <w:t>Prejuízo</w:t>
            </w:r>
            <w:r>
              <w:rPr>
                <w:spacing w:val="-9"/>
                <w:w w:val="105"/>
                <w:sz w:val="18"/>
              </w:rPr>
              <w:t xml:space="preserve"> </w:t>
            </w:r>
            <w:r>
              <w:rPr>
                <w:w w:val="105"/>
                <w:sz w:val="18"/>
              </w:rPr>
              <w:t>alocado</w:t>
            </w:r>
            <w:r>
              <w:rPr>
                <w:spacing w:val="-10"/>
                <w:w w:val="105"/>
                <w:sz w:val="18"/>
              </w:rPr>
              <w:t xml:space="preserve"> </w:t>
            </w:r>
            <w:r>
              <w:rPr>
                <w:w w:val="105"/>
                <w:sz w:val="18"/>
              </w:rPr>
              <w:t>às</w:t>
            </w:r>
            <w:r>
              <w:rPr>
                <w:spacing w:val="-8"/>
                <w:w w:val="105"/>
                <w:sz w:val="18"/>
              </w:rPr>
              <w:t xml:space="preserve"> </w:t>
            </w:r>
            <w:r>
              <w:rPr>
                <w:w w:val="105"/>
                <w:sz w:val="18"/>
              </w:rPr>
              <w:t>ações</w:t>
            </w:r>
            <w:r>
              <w:rPr>
                <w:spacing w:val="-8"/>
                <w:w w:val="105"/>
                <w:sz w:val="18"/>
              </w:rPr>
              <w:t xml:space="preserve"> </w:t>
            </w:r>
            <w:r>
              <w:rPr>
                <w:w w:val="105"/>
                <w:sz w:val="18"/>
              </w:rPr>
              <w:t>ordinárias</w:t>
            </w:r>
            <w:r>
              <w:rPr>
                <w:spacing w:val="-5"/>
                <w:w w:val="105"/>
                <w:sz w:val="18"/>
              </w:rPr>
              <w:t xml:space="preserve"> </w:t>
            </w:r>
            <w:r>
              <w:rPr>
                <w:w w:val="105"/>
                <w:sz w:val="18"/>
              </w:rPr>
              <w:t>–</w:t>
            </w:r>
            <w:r>
              <w:rPr>
                <w:spacing w:val="-12"/>
                <w:w w:val="105"/>
                <w:sz w:val="18"/>
              </w:rPr>
              <w:t xml:space="preserve"> </w:t>
            </w:r>
            <w:r>
              <w:rPr>
                <w:w w:val="105"/>
                <w:sz w:val="18"/>
              </w:rPr>
              <w:t>básicas</w:t>
            </w:r>
            <w:r>
              <w:rPr>
                <w:spacing w:val="-8"/>
                <w:w w:val="105"/>
                <w:sz w:val="18"/>
              </w:rPr>
              <w:t xml:space="preserve"> </w:t>
            </w:r>
            <w:r>
              <w:rPr>
                <w:w w:val="105"/>
                <w:sz w:val="18"/>
              </w:rPr>
              <w:t>e</w:t>
            </w:r>
            <w:r>
              <w:rPr>
                <w:spacing w:val="-9"/>
                <w:w w:val="105"/>
                <w:sz w:val="18"/>
              </w:rPr>
              <w:t xml:space="preserve"> </w:t>
            </w:r>
            <w:r>
              <w:rPr>
                <w:spacing w:val="-2"/>
                <w:w w:val="105"/>
                <w:sz w:val="18"/>
              </w:rPr>
              <w:t>diluídas</w:t>
            </w:r>
          </w:p>
        </w:tc>
        <w:tc>
          <w:tcPr>
            <w:tcW w:w="1606" w:type="dxa"/>
          </w:tcPr>
          <w:p w14:paraId="31F4F2C2" w14:textId="77777777" w:rsidR="002C6574" w:rsidRDefault="00000000">
            <w:pPr>
              <w:pStyle w:val="TableParagraph"/>
              <w:spacing w:before="2" w:line="210" w:lineRule="exact"/>
              <w:ind w:right="58"/>
              <w:rPr>
                <w:sz w:val="16"/>
              </w:rPr>
            </w:pPr>
            <w:r>
              <w:rPr>
                <w:spacing w:val="-2"/>
                <w:w w:val="105"/>
                <w:sz w:val="16"/>
              </w:rPr>
              <w:t>111.603</w:t>
            </w:r>
          </w:p>
        </w:tc>
        <w:tc>
          <w:tcPr>
            <w:tcW w:w="1553" w:type="dxa"/>
          </w:tcPr>
          <w:p w14:paraId="1D11DAD0" w14:textId="77777777" w:rsidR="002C6574" w:rsidRDefault="00000000">
            <w:pPr>
              <w:pStyle w:val="TableParagraph"/>
              <w:spacing w:before="2" w:line="210" w:lineRule="exact"/>
              <w:ind w:right="57"/>
              <w:rPr>
                <w:sz w:val="16"/>
              </w:rPr>
            </w:pPr>
            <w:r>
              <w:rPr>
                <w:spacing w:val="-2"/>
                <w:w w:val="110"/>
                <w:sz w:val="16"/>
              </w:rPr>
              <w:t>(52.386)</w:t>
            </w:r>
          </w:p>
        </w:tc>
      </w:tr>
      <w:tr w:rsidR="002C6574" w14:paraId="14488862" w14:textId="77777777">
        <w:trPr>
          <w:trHeight w:val="232"/>
        </w:trPr>
        <w:tc>
          <w:tcPr>
            <w:tcW w:w="6612" w:type="dxa"/>
          </w:tcPr>
          <w:p w14:paraId="27FF70EA" w14:textId="77777777" w:rsidR="002C6574" w:rsidRDefault="00000000">
            <w:pPr>
              <w:pStyle w:val="TableParagraph"/>
              <w:spacing w:line="212" w:lineRule="exact"/>
              <w:ind w:left="69"/>
              <w:jc w:val="left"/>
              <w:rPr>
                <w:sz w:val="18"/>
              </w:rPr>
            </w:pPr>
            <w:r>
              <w:rPr>
                <w:sz w:val="18"/>
              </w:rPr>
              <w:t>Prejuízo</w:t>
            </w:r>
            <w:r>
              <w:rPr>
                <w:spacing w:val="16"/>
                <w:sz w:val="18"/>
              </w:rPr>
              <w:t xml:space="preserve"> </w:t>
            </w:r>
            <w:r>
              <w:rPr>
                <w:sz w:val="18"/>
              </w:rPr>
              <w:t>alocado</w:t>
            </w:r>
            <w:r>
              <w:rPr>
                <w:spacing w:val="16"/>
                <w:sz w:val="18"/>
              </w:rPr>
              <w:t xml:space="preserve"> </w:t>
            </w:r>
            <w:r>
              <w:rPr>
                <w:sz w:val="18"/>
              </w:rPr>
              <w:t>às</w:t>
            </w:r>
            <w:r>
              <w:rPr>
                <w:spacing w:val="18"/>
                <w:sz w:val="18"/>
              </w:rPr>
              <w:t xml:space="preserve"> </w:t>
            </w:r>
            <w:r>
              <w:rPr>
                <w:sz w:val="18"/>
              </w:rPr>
              <w:t>ações</w:t>
            </w:r>
            <w:r>
              <w:rPr>
                <w:spacing w:val="19"/>
                <w:sz w:val="18"/>
              </w:rPr>
              <w:t xml:space="preserve"> </w:t>
            </w:r>
            <w:r>
              <w:rPr>
                <w:sz w:val="18"/>
              </w:rPr>
              <w:t>preferenciais</w:t>
            </w:r>
            <w:r>
              <w:rPr>
                <w:spacing w:val="17"/>
                <w:sz w:val="18"/>
              </w:rPr>
              <w:t xml:space="preserve"> </w:t>
            </w:r>
            <w:r>
              <w:rPr>
                <w:sz w:val="18"/>
              </w:rPr>
              <w:t>–</w:t>
            </w:r>
            <w:r>
              <w:rPr>
                <w:spacing w:val="15"/>
                <w:sz w:val="18"/>
              </w:rPr>
              <w:t xml:space="preserve"> </w:t>
            </w:r>
            <w:r>
              <w:rPr>
                <w:sz w:val="18"/>
              </w:rPr>
              <w:t>básicas</w:t>
            </w:r>
            <w:r>
              <w:rPr>
                <w:spacing w:val="19"/>
                <w:sz w:val="18"/>
              </w:rPr>
              <w:t xml:space="preserve"> </w:t>
            </w:r>
            <w:r>
              <w:rPr>
                <w:sz w:val="18"/>
              </w:rPr>
              <w:t>e</w:t>
            </w:r>
            <w:r>
              <w:rPr>
                <w:spacing w:val="17"/>
                <w:sz w:val="18"/>
              </w:rPr>
              <w:t xml:space="preserve"> </w:t>
            </w:r>
            <w:r>
              <w:rPr>
                <w:spacing w:val="-2"/>
                <w:sz w:val="18"/>
              </w:rPr>
              <w:t>diluídas</w:t>
            </w:r>
          </w:p>
        </w:tc>
        <w:tc>
          <w:tcPr>
            <w:tcW w:w="1606" w:type="dxa"/>
          </w:tcPr>
          <w:p w14:paraId="0D9B7F5A" w14:textId="77777777" w:rsidR="002C6574" w:rsidRDefault="00000000">
            <w:pPr>
              <w:pStyle w:val="TableParagraph"/>
              <w:spacing w:before="2" w:line="210" w:lineRule="exact"/>
              <w:ind w:right="57"/>
              <w:rPr>
                <w:sz w:val="16"/>
              </w:rPr>
            </w:pPr>
            <w:r>
              <w:rPr>
                <w:spacing w:val="-2"/>
                <w:w w:val="105"/>
                <w:sz w:val="16"/>
              </w:rPr>
              <w:t>28.901</w:t>
            </w:r>
          </w:p>
        </w:tc>
        <w:tc>
          <w:tcPr>
            <w:tcW w:w="1553" w:type="dxa"/>
          </w:tcPr>
          <w:p w14:paraId="217157F8" w14:textId="77777777" w:rsidR="002C6574" w:rsidRDefault="00000000">
            <w:pPr>
              <w:pStyle w:val="TableParagraph"/>
              <w:spacing w:before="2" w:line="210" w:lineRule="exact"/>
              <w:ind w:right="57"/>
              <w:rPr>
                <w:sz w:val="16"/>
              </w:rPr>
            </w:pPr>
            <w:r>
              <w:rPr>
                <w:spacing w:val="-2"/>
                <w:w w:val="110"/>
                <w:sz w:val="16"/>
              </w:rPr>
              <w:t>(14.186)</w:t>
            </w:r>
          </w:p>
        </w:tc>
      </w:tr>
      <w:tr w:rsidR="002C6574" w14:paraId="59D2FED3" w14:textId="77777777">
        <w:trPr>
          <w:trHeight w:val="232"/>
        </w:trPr>
        <w:tc>
          <w:tcPr>
            <w:tcW w:w="6612" w:type="dxa"/>
          </w:tcPr>
          <w:p w14:paraId="3DA4CF6C" w14:textId="77777777" w:rsidR="002C6574" w:rsidRDefault="002C6574">
            <w:pPr>
              <w:pStyle w:val="TableParagraph"/>
              <w:jc w:val="left"/>
              <w:rPr>
                <w:rFonts w:ascii="Times New Roman"/>
                <w:sz w:val="16"/>
              </w:rPr>
            </w:pPr>
          </w:p>
        </w:tc>
        <w:tc>
          <w:tcPr>
            <w:tcW w:w="1606" w:type="dxa"/>
          </w:tcPr>
          <w:p w14:paraId="76B6486F" w14:textId="77777777" w:rsidR="002C6574" w:rsidRDefault="002C6574">
            <w:pPr>
              <w:pStyle w:val="TableParagraph"/>
              <w:jc w:val="left"/>
              <w:rPr>
                <w:rFonts w:ascii="Times New Roman"/>
                <w:sz w:val="16"/>
              </w:rPr>
            </w:pPr>
          </w:p>
        </w:tc>
        <w:tc>
          <w:tcPr>
            <w:tcW w:w="1553" w:type="dxa"/>
          </w:tcPr>
          <w:p w14:paraId="4A05C13C" w14:textId="77777777" w:rsidR="002C6574" w:rsidRDefault="002C6574">
            <w:pPr>
              <w:pStyle w:val="TableParagraph"/>
              <w:jc w:val="left"/>
              <w:rPr>
                <w:rFonts w:ascii="Times New Roman"/>
                <w:sz w:val="16"/>
              </w:rPr>
            </w:pPr>
          </w:p>
        </w:tc>
      </w:tr>
      <w:tr w:rsidR="002C6574" w14:paraId="094E06F6" w14:textId="77777777">
        <w:trPr>
          <w:trHeight w:val="232"/>
        </w:trPr>
        <w:tc>
          <w:tcPr>
            <w:tcW w:w="6612" w:type="dxa"/>
          </w:tcPr>
          <w:p w14:paraId="0E86D14D" w14:textId="77777777" w:rsidR="002C6574" w:rsidRDefault="00000000">
            <w:pPr>
              <w:pStyle w:val="TableParagraph"/>
              <w:spacing w:before="25"/>
              <w:ind w:left="69"/>
              <w:jc w:val="left"/>
              <w:rPr>
                <w:rFonts w:ascii="Arial" w:hAnsi="Arial"/>
                <w:b/>
                <w:sz w:val="16"/>
              </w:rPr>
            </w:pPr>
            <w:r>
              <w:rPr>
                <w:rFonts w:ascii="Arial" w:hAnsi="Arial"/>
                <w:b/>
                <w:sz w:val="16"/>
              </w:rPr>
              <w:t>Média</w:t>
            </w:r>
            <w:r>
              <w:rPr>
                <w:rFonts w:ascii="Arial" w:hAnsi="Arial"/>
                <w:b/>
                <w:spacing w:val="-3"/>
                <w:sz w:val="16"/>
              </w:rPr>
              <w:t xml:space="preserve"> </w:t>
            </w:r>
            <w:r>
              <w:rPr>
                <w:rFonts w:ascii="Arial" w:hAnsi="Arial"/>
                <w:b/>
                <w:sz w:val="16"/>
              </w:rPr>
              <w:t>ponderada</w:t>
            </w:r>
            <w:r>
              <w:rPr>
                <w:rFonts w:ascii="Arial" w:hAnsi="Arial"/>
                <w:b/>
                <w:spacing w:val="-1"/>
                <w:sz w:val="16"/>
              </w:rPr>
              <w:t xml:space="preserve"> </w:t>
            </w:r>
            <w:r>
              <w:rPr>
                <w:rFonts w:ascii="Arial" w:hAnsi="Arial"/>
                <w:b/>
                <w:sz w:val="16"/>
              </w:rPr>
              <w:t>das</w:t>
            </w:r>
            <w:r>
              <w:rPr>
                <w:rFonts w:ascii="Arial" w:hAnsi="Arial"/>
                <w:b/>
                <w:spacing w:val="-5"/>
                <w:sz w:val="16"/>
              </w:rPr>
              <w:t xml:space="preserve"> </w:t>
            </w:r>
            <w:r>
              <w:rPr>
                <w:rFonts w:ascii="Arial" w:hAnsi="Arial"/>
                <w:b/>
                <w:sz w:val="16"/>
              </w:rPr>
              <w:t>ações</w:t>
            </w:r>
            <w:r>
              <w:rPr>
                <w:rFonts w:ascii="Arial" w:hAnsi="Arial"/>
                <w:b/>
                <w:spacing w:val="-3"/>
                <w:sz w:val="16"/>
              </w:rPr>
              <w:t xml:space="preserve"> </w:t>
            </w:r>
            <w:r>
              <w:rPr>
                <w:rFonts w:ascii="Arial" w:hAnsi="Arial"/>
                <w:b/>
                <w:sz w:val="16"/>
              </w:rPr>
              <w:t>em</w:t>
            </w:r>
            <w:r>
              <w:rPr>
                <w:rFonts w:ascii="Arial" w:hAnsi="Arial"/>
                <w:b/>
                <w:spacing w:val="-2"/>
                <w:sz w:val="16"/>
              </w:rPr>
              <w:t xml:space="preserve"> </w:t>
            </w:r>
            <w:r>
              <w:rPr>
                <w:rFonts w:ascii="Arial" w:hAnsi="Arial"/>
                <w:b/>
                <w:sz w:val="16"/>
              </w:rPr>
              <w:t>circulação</w:t>
            </w:r>
            <w:r>
              <w:rPr>
                <w:rFonts w:ascii="Arial" w:hAnsi="Arial"/>
                <w:b/>
                <w:spacing w:val="-4"/>
                <w:sz w:val="16"/>
              </w:rPr>
              <w:t xml:space="preserve"> </w:t>
            </w:r>
            <w:r>
              <w:rPr>
                <w:rFonts w:ascii="Arial" w:hAnsi="Arial"/>
                <w:b/>
                <w:sz w:val="16"/>
              </w:rPr>
              <w:t>(Em</w:t>
            </w:r>
            <w:r>
              <w:rPr>
                <w:rFonts w:ascii="Arial" w:hAnsi="Arial"/>
                <w:b/>
                <w:spacing w:val="-4"/>
                <w:sz w:val="16"/>
              </w:rPr>
              <w:t xml:space="preserve"> </w:t>
            </w:r>
            <w:r>
              <w:rPr>
                <w:rFonts w:ascii="Arial" w:hAnsi="Arial"/>
                <w:b/>
                <w:sz w:val="16"/>
              </w:rPr>
              <w:t>milhares</w:t>
            </w:r>
            <w:r>
              <w:rPr>
                <w:rFonts w:ascii="Arial" w:hAnsi="Arial"/>
                <w:b/>
                <w:spacing w:val="-5"/>
                <w:sz w:val="16"/>
              </w:rPr>
              <w:t xml:space="preserve"> </w:t>
            </w:r>
            <w:r>
              <w:rPr>
                <w:rFonts w:ascii="Arial" w:hAnsi="Arial"/>
                <w:b/>
                <w:sz w:val="16"/>
              </w:rPr>
              <w:t xml:space="preserve">de </w:t>
            </w:r>
            <w:r>
              <w:rPr>
                <w:rFonts w:ascii="Arial" w:hAnsi="Arial"/>
                <w:b/>
                <w:spacing w:val="-2"/>
                <w:sz w:val="16"/>
              </w:rPr>
              <w:t>Ações):</w:t>
            </w:r>
          </w:p>
        </w:tc>
        <w:tc>
          <w:tcPr>
            <w:tcW w:w="1606" w:type="dxa"/>
          </w:tcPr>
          <w:p w14:paraId="651838FC" w14:textId="77777777" w:rsidR="002C6574" w:rsidRDefault="002C6574">
            <w:pPr>
              <w:pStyle w:val="TableParagraph"/>
              <w:jc w:val="left"/>
              <w:rPr>
                <w:rFonts w:ascii="Times New Roman"/>
                <w:sz w:val="16"/>
              </w:rPr>
            </w:pPr>
          </w:p>
        </w:tc>
        <w:tc>
          <w:tcPr>
            <w:tcW w:w="1553" w:type="dxa"/>
          </w:tcPr>
          <w:p w14:paraId="6D4EF65C" w14:textId="77777777" w:rsidR="002C6574" w:rsidRDefault="002C6574">
            <w:pPr>
              <w:pStyle w:val="TableParagraph"/>
              <w:jc w:val="left"/>
              <w:rPr>
                <w:rFonts w:ascii="Times New Roman"/>
                <w:sz w:val="16"/>
              </w:rPr>
            </w:pPr>
          </w:p>
        </w:tc>
      </w:tr>
      <w:tr w:rsidR="002C6574" w14:paraId="28718BA5" w14:textId="77777777">
        <w:trPr>
          <w:trHeight w:val="230"/>
        </w:trPr>
        <w:tc>
          <w:tcPr>
            <w:tcW w:w="6612" w:type="dxa"/>
          </w:tcPr>
          <w:p w14:paraId="116DAF43" w14:textId="77777777" w:rsidR="002C6574" w:rsidRDefault="00000000">
            <w:pPr>
              <w:pStyle w:val="TableParagraph"/>
              <w:spacing w:line="210" w:lineRule="exact"/>
              <w:ind w:left="69"/>
              <w:jc w:val="left"/>
              <w:rPr>
                <w:sz w:val="16"/>
              </w:rPr>
            </w:pPr>
            <w:r>
              <w:rPr>
                <w:w w:val="105"/>
                <w:sz w:val="16"/>
              </w:rPr>
              <w:t>Ações</w:t>
            </w:r>
            <w:r>
              <w:rPr>
                <w:spacing w:val="-6"/>
                <w:w w:val="105"/>
                <w:sz w:val="16"/>
              </w:rPr>
              <w:t xml:space="preserve"> </w:t>
            </w:r>
            <w:r>
              <w:rPr>
                <w:w w:val="105"/>
                <w:sz w:val="16"/>
              </w:rPr>
              <w:t>ordinárias</w:t>
            </w:r>
            <w:r>
              <w:rPr>
                <w:spacing w:val="-7"/>
                <w:w w:val="105"/>
                <w:sz w:val="16"/>
              </w:rPr>
              <w:t xml:space="preserve"> </w:t>
            </w:r>
            <w:r>
              <w:rPr>
                <w:w w:val="105"/>
                <w:sz w:val="16"/>
              </w:rPr>
              <w:t>–</w:t>
            </w:r>
            <w:r>
              <w:rPr>
                <w:spacing w:val="-7"/>
                <w:w w:val="105"/>
                <w:sz w:val="16"/>
              </w:rPr>
              <w:t xml:space="preserve"> </w:t>
            </w:r>
            <w:r>
              <w:rPr>
                <w:w w:val="105"/>
                <w:sz w:val="16"/>
              </w:rPr>
              <w:t>básicas</w:t>
            </w:r>
            <w:r>
              <w:rPr>
                <w:spacing w:val="-7"/>
                <w:w w:val="105"/>
                <w:sz w:val="16"/>
              </w:rPr>
              <w:t xml:space="preserve"> </w:t>
            </w:r>
            <w:r>
              <w:rPr>
                <w:w w:val="105"/>
                <w:sz w:val="16"/>
              </w:rPr>
              <w:t>e</w:t>
            </w:r>
            <w:r>
              <w:rPr>
                <w:spacing w:val="-6"/>
                <w:w w:val="105"/>
                <w:sz w:val="16"/>
              </w:rPr>
              <w:t xml:space="preserve"> </w:t>
            </w:r>
            <w:r>
              <w:rPr>
                <w:spacing w:val="-2"/>
                <w:w w:val="105"/>
                <w:sz w:val="16"/>
              </w:rPr>
              <w:t>diluídas</w:t>
            </w:r>
          </w:p>
        </w:tc>
        <w:tc>
          <w:tcPr>
            <w:tcW w:w="1606" w:type="dxa"/>
          </w:tcPr>
          <w:p w14:paraId="37E9510B" w14:textId="77777777" w:rsidR="002C6574" w:rsidRDefault="00000000">
            <w:pPr>
              <w:pStyle w:val="TableParagraph"/>
              <w:spacing w:line="210" w:lineRule="exact"/>
              <w:ind w:right="57"/>
              <w:rPr>
                <w:sz w:val="16"/>
              </w:rPr>
            </w:pPr>
            <w:r>
              <w:rPr>
                <w:spacing w:val="-2"/>
                <w:w w:val="105"/>
                <w:sz w:val="16"/>
              </w:rPr>
              <w:t>73.680</w:t>
            </w:r>
          </w:p>
        </w:tc>
        <w:tc>
          <w:tcPr>
            <w:tcW w:w="1553" w:type="dxa"/>
          </w:tcPr>
          <w:p w14:paraId="0CD6D337" w14:textId="77777777" w:rsidR="002C6574" w:rsidRDefault="00000000">
            <w:pPr>
              <w:pStyle w:val="TableParagraph"/>
              <w:spacing w:line="210" w:lineRule="exact"/>
              <w:ind w:right="58"/>
              <w:rPr>
                <w:sz w:val="16"/>
              </w:rPr>
            </w:pPr>
            <w:r>
              <w:rPr>
                <w:spacing w:val="-2"/>
                <w:w w:val="105"/>
                <w:sz w:val="16"/>
              </w:rPr>
              <w:t>67.976</w:t>
            </w:r>
          </w:p>
        </w:tc>
      </w:tr>
      <w:tr w:rsidR="002C6574" w14:paraId="2D18FD1F" w14:textId="77777777">
        <w:trPr>
          <w:trHeight w:val="232"/>
        </w:trPr>
        <w:tc>
          <w:tcPr>
            <w:tcW w:w="6612" w:type="dxa"/>
          </w:tcPr>
          <w:p w14:paraId="2707084B" w14:textId="77777777" w:rsidR="002C6574" w:rsidRDefault="00000000">
            <w:pPr>
              <w:pStyle w:val="TableParagraph"/>
              <w:spacing w:before="2" w:line="210" w:lineRule="exact"/>
              <w:ind w:left="69"/>
              <w:jc w:val="left"/>
              <w:rPr>
                <w:sz w:val="16"/>
              </w:rPr>
            </w:pPr>
            <w:r>
              <w:rPr>
                <w:w w:val="105"/>
                <w:sz w:val="16"/>
              </w:rPr>
              <w:t>Ações</w:t>
            </w:r>
            <w:r>
              <w:rPr>
                <w:spacing w:val="-5"/>
                <w:w w:val="105"/>
                <w:sz w:val="16"/>
              </w:rPr>
              <w:t xml:space="preserve"> </w:t>
            </w:r>
            <w:r>
              <w:rPr>
                <w:w w:val="105"/>
                <w:sz w:val="16"/>
              </w:rPr>
              <w:t>preferenciais</w:t>
            </w:r>
            <w:r>
              <w:rPr>
                <w:spacing w:val="-6"/>
                <w:w w:val="105"/>
                <w:sz w:val="16"/>
              </w:rPr>
              <w:t xml:space="preserve"> </w:t>
            </w:r>
            <w:r>
              <w:rPr>
                <w:w w:val="105"/>
                <w:sz w:val="16"/>
              </w:rPr>
              <w:t>–</w:t>
            </w:r>
            <w:r>
              <w:rPr>
                <w:spacing w:val="-8"/>
                <w:w w:val="105"/>
                <w:sz w:val="16"/>
              </w:rPr>
              <w:t xml:space="preserve"> </w:t>
            </w:r>
            <w:r>
              <w:rPr>
                <w:w w:val="105"/>
                <w:sz w:val="16"/>
              </w:rPr>
              <w:t>básicas</w:t>
            </w:r>
            <w:r>
              <w:rPr>
                <w:spacing w:val="-7"/>
                <w:w w:val="105"/>
                <w:sz w:val="16"/>
              </w:rPr>
              <w:t xml:space="preserve"> </w:t>
            </w:r>
            <w:r>
              <w:rPr>
                <w:w w:val="105"/>
                <w:sz w:val="16"/>
              </w:rPr>
              <w:t>e</w:t>
            </w:r>
            <w:r>
              <w:rPr>
                <w:spacing w:val="-5"/>
                <w:w w:val="105"/>
                <w:sz w:val="16"/>
              </w:rPr>
              <w:t xml:space="preserve"> </w:t>
            </w:r>
            <w:r>
              <w:rPr>
                <w:spacing w:val="-2"/>
                <w:w w:val="105"/>
                <w:sz w:val="16"/>
              </w:rPr>
              <w:t>diluídas</w:t>
            </w:r>
          </w:p>
        </w:tc>
        <w:tc>
          <w:tcPr>
            <w:tcW w:w="1606" w:type="dxa"/>
          </w:tcPr>
          <w:p w14:paraId="53D5E66F" w14:textId="77777777" w:rsidR="002C6574" w:rsidRDefault="00000000">
            <w:pPr>
              <w:pStyle w:val="TableParagraph"/>
              <w:spacing w:before="2" w:line="210" w:lineRule="exact"/>
              <w:ind w:right="58"/>
              <w:rPr>
                <w:sz w:val="16"/>
              </w:rPr>
            </w:pPr>
            <w:r>
              <w:rPr>
                <w:spacing w:val="-2"/>
                <w:w w:val="105"/>
                <w:sz w:val="16"/>
              </w:rPr>
              <w:t>18.407</w:t>
            </w:r>
          </w:p>
        </w:tc>
        <w:tc>
          <w:tcPr>
            <w:tcW w:w="1553" w:type="dxa"/>
          </w:tcPr>
          <w:p w14:paraId="4FF60B36" w14:textId="77777777" w:rsidR="002C6574" w:rsidRDefault="00000000">
            <w:pPr>
              <w:pStyle w:val="TableParagraph"/>
              <w:spacing w:before="2" w:line="210" w:lineRule="exact"/>
              <w:ind w:right="58"/>
              <w:rPr>
                <w:sz w:val="16"/>
              </w:rPr>
            </w:pPr>
            <w:r>
              <w:rPr>
                <w:spacing w:val="-2"/>
                <w:w w:val="105"/>
                <w:sz w:val="16"/>
              </w:rPr>
              <w:t>18.407</w:t>
            </w:r>
          </w:p>
        </w:tc>
      </w:tr>
      <w:tr w:rsidR="002C6574" w14:paraId="1BBDDE95" w14:textId="77777777">
        <w:trPr>
          <w:trHeight w:val="232"/>
        </w:trPr>
        <w:tc>
          <w:tcPr>
            <w:tcW w:w="6612" w:type="dxa"/>
          </w:tcPr>
          <w:p w14:paraId="32B35452" w14:textId="77777777" w:rsidR="002C6574" w:rsidRDefault="002C6574">
            <w:pPr>
              <w:pStyle w:val="TableParagraph"/>
              <w:jc w:val="left"/>
              <w:rPr>
                <w:rFonts w:ascii="Times New Roman"/>
                <w:sz w:val="16"/>
              </w:rPr>
            </w:pPr>
          </w:p>
        </w:tc>
        <w:tc>
          <w:tcPr>
            <w:tcW w:w="1606" w:type="dxa"/>
          </w:tcPr>
          <w:p w14:paraId="24B6A143" w14:textId="77777777" w:rsidR="002C6574" w:rsidRDefault="002C6574">
            <w:pPr>
              <w:pStyle w:val="TableParagraph"/>
              <w:jc w:val="left"/>
              <w:rPr>
                <w:rFonts w:ascii="Times New Roman"/>
                <w:sz w:val="16"/>
              </w:rPr>
            </w:pPr>
          </w:p>
        </w:tc>
        <w:tc>
          <w:tcPr>
            <w:tcW w:w="1553" w:type="dxa"/>
          </w:tcPr>
          <w:p w14:paraId="0D554828" w14:textId="77777777" w:rsidR="002C6574" w:rsidRDefault="002C6574">
            <w:pPr>
              <w:pStyle w:val="TableParagraph"/>
              <w:jc w:val="left"/>
              <w:rPr>
                <w:rFonts w:ascii="Times New Roman"/>
                <w:sz w:val="16"/>
              </w:rPr>
            </w:pPr>
          </w:p>
        </w:tc>
      </w:tr>
      <w:tr w:rsidR="002C6574" w14:paraId="2E9D69D7" w14:textId="77777777">
        <w:trPr>
          <w:trHeight w:val="232"/>
        </w:trPr>
        <w:tc>
          <w:tcPr>
            <w:tcW w:w="6612" w:type="dxa"/>
          </w:tcPr>
          <w:p w14:paraId="5E10A882" w14:textId="77777777" w:rsidR="002C6574" w:rsidRDefault="00000000">
            <w:pPr>
              <w:pStyle w:val="TableParagraph"/>
              <w:spacing w:before="25"/>
              <w:ind w:left="69"/>
              <w:jc w:val="left"/>
              <w:rPr>
                <w:rFonts w:ascii="Arial" w:hAnsi="Arial"/>
                <w:b/>
                <w:sz w:val="16"/>
              </w:rPr>
            </w:pPr>
            <w:r>
              <w:rPr>
                <w:rFonts w:ascii="Arial" w:hAnsi="Arial"/>
                <w:b/>
                <w:sz w:val="16"/>
              </w:rPr>
              <w:t>Prejuízo</w:t>
            </w:r>
            <w:r>
              <w:rPr>
                <w:rFonts w:ascii="Arial" w:hAnsi="Arial"/>
                <w:b/>
                <w:spacing w:val="-3"/>
                <w:sz w:val="16"/>
              </w:rPr>
              <w:t xml:space="preserve"> </w:t>
            </w:r>
            <w:r>
              <w:rPr>
                <w:rFonts w:ascii="Arial" w:hAnsi="Arial"/>
                <w:b/>
                <w:sz w:val="16"/>
              </w:rPr>
              <w:t>por</w:t>
            </w:r>
            <w:r>
              <w:rPr>
                <w:rFonts w:ascii="Arial" w:hAnsi="Arial"/>
                <w:b/>
                <w:spacing w:val="-1"/>
                <w:sz w:val="16"/>
              </w:rPr>
              <w:t xml:space="preserve"> </w:t>
            </w:r>
            <w:r>
              <w:rPr>
                <w:rFonts w:ascii="Arial" w:hAnsi="Arial"/>
                <w:b/>
                <w:sz w:val="16"/>
              </w:rPr>
              <w:t>ação</w:t>
            </w:r>
            <w:r>
              <w:rPr>
                <w:rFonts w:ascii="Arial" w:hAnsi="Arial"/>
                <w:b/>
                <w:spacing w:val="-4"/>
                <w:sz w:val="16"/>
              </w:rPr>
              <w:t xml:space="preserve"> </w:t>
            </w:r>
            <w:r>
              <w:rPr>
                <w:rFonts w:ascii="Arial" w:hAnsi="Arial"/>
                <w:b/>
                <w:sz w:val="16"/>
              </w:rPr>
              <w:t xml:space="preserve">(Em </w:t>
            </w:r>
            <w:r>
              <w:rPr>
                <w:rFonts w:ascii="Arial" w:hAnsi="Arial"/>
                <w:b/>
                <w:spacing w:val="-2"/>
                <w:sz w:val="16"/>
              </w:rPr>
              <w:t>Reais):</w:t>
            </w:r>
          </w:p>
        </w:tc>
        <w:tc>
          <w:tcPr>
            <w:tcW w:w="1606" w:type="dxa"/>
          </w:tcPr>
          <w:p w14:paraId="401D6DC6" w14:textId="77777777" w:rsidR="002C6574" w:rsidRDefault="002C6574">
            <w:pPr>
              <w:pStyle w:val="TableParagraph"/>
              <w:jc w:val="left"/>
              <w:rPr>
                <w:rFonts w:ascii="Times New Roman"/>
                <w:sz w:val="16"/>
              </w:rPr>
            </w:pPr>
          </w:p>
        </w:tc>
        <w:tc>
          <w:tcPr>
            <w:tcW w:w="1553" w:type="dxa"/>
          </w:tcPr>
          <w:p w14:paraId="44092A02" w14:textId="77777777" w:rsidR="002C6574" w:rsidRDefault="002C6574">
            <w:pPr>
              <w:pStyle w:val="TableParagraph"/>
              <w:jc w:val="left"/>
              <w:rPr>
                <w:rFonts w:ascii="Times New Roman"/>
                <w:sz w:val="16"/>
              </w:rPr>
            </w:pPr>
          </w:p>
        </w:tc>
      </w:tr>
      <w:tr w:rsidR="002C6574" w14:paraId="67375159" w14:textId="77777777">
        <w:trPr>
          <w:trHeight w:val="232"/>
        </w:trPr>
        <w:tc>
          <w:tcPr>
            <w:tcW w:w="6612" w:type="dxa"/>
          </w:tcPr>
          <w:p w14:paraId="67F23226" w14:textId="77777777" w:rsidR="002C6574" w:rsidRDefault="00000000">
            <w:pPr>
              <w:pStyle w:val="TableParagraph"/>
              <w:spacing w:before="2" w:line="210" w:lineRule="exact"/>
              <w:ind w:left="69"/>
              <w:jc w:val="left"/>
              <w:rPr>
                <w:sz w:val="16"/>
              </w:rPr>
            </w:pPr>
            <w:r>
              <w:rPr>
                <w:w w:val="105"/>
                <w:sz w:val="16"/>
              </w:rPr>
              <w:t>Ações</w:t>
            </w:r>
            <w:r>
              <w:rPr>
                <w:spacing w:val="-6"/>
                <w:w w:val="105"/>
                <w:sz w:val="16"/>
              </w:rPr>
              <w:t xml:space="preserve"> </w:t>
            </w:r>
            <w:r>
              <w:rPr>
                <w:w w:val="105"/>
                <w:sz w:val="16"/>
              </w:rPr>
              <w:t>ordinárias</w:t>
            </w:r>
            <w:r>
              <w:rPr>
                <w:spacing w:val="-7"/>
                <w:w w:val="105"/>
                <w:sz w:val="16"/>
              </w:rPr>
              <w:t xml:space="preserve"> </w:t>
            </w:r>
            <w:r>
              <w:rPr>
                <w:w w:val="105"/>
                <w:sz w:val="16"/>
              </w:rPr>
              <w:t>–</w:t>
            </w:r>
            <w:r>
              <w:rPr>
                <w:spacing w:val="-7"/>
                <w:w w:val="105"/>
                <w:sz w:val="16"/>
              </w:rPr>
              <w:t xml:space="preserve"> </w:t>
            </w:r>
            <w:r>
              <w:rPr>
                <w:w w:val="105"/>
                <w:sz w:val="16"/>
              </w:rPr>
              <w:t>básicas</w:t>
            </w:r>
            <w:r>
              <w:rPr>
                <w:spacing w:val="-7"/>
                <w:w w:val="105"/>
                <w:sz w:val="16"/>
              </w:rPr>
              <w:t xml:space="preserve"> </w:t>
            </w:r>
            <w:r>
              <w:rPr>
                <w:w w:val="105"/>
                <w:sz w:val="16"/>
              </w:rPr>
              <w:t>e</w:t>
            </w:r>
            <w:r>
              <w:rPr>
                <w:spacing w:val="-6"/>
                <w:w w:val="105"/>
                <w:sz w:val="16"/>
              </w:rPr>
              <w:t xml:space="preserve"> </w:t>
            </w:r>
            <w:r>
              <w:rPr>
                <w:spacing w:val="-2"/>
                <w:w w:val="105"/>
                <w:sz w:val="16"/>
              </w:rPr>
              <w:t>diluídas</w:t>
            </w:r>
          </w:p>
        </w:tc>
        <w:tc>
          <w:tcPr>
            <w:tcW w:w="1606" w:type="dxa"/>
          </w:tcPr>
          <w:p w14:paraId="517ABBDD" w14:textId="77777777" w:rsidR="002C6574" w:rsidRDefault="00000000">
            <w:pPr>
              <w:pStyle w:val="TableParagraph"/>
              <w:spacing w:before="2" w:line="210" w:lineRule="exact"/>
              <w:ind w:right="57"/>
              <w:rPr>
                <w:sz w:val="16"/>
              </w:rPr>
            </w:pPr>
            <w:r>
              <w:rPr>
                <w:spacing w:val="-2"/>
                <w:w w:val="105"/>
                <w:sz w:val="16"/>
              </w:rPr>
              <w:t>1,5258</w:t>
            </w:r>
          </w:p>
        </w:tc>
        <w:tc>
          <w:tcPr>
            <w:tcW w:w="1553" w:type="dxa"/>
          </w:tcPr>
          <w:p w14:paraId="6C85E1E0" w14:textId="77777777" w:rsidR="002C6574" w:rsidRDefault="00000000">
            <w:pPr>
              <w:pStyle w:val="TableParagraph"/>
              <w:spacing w:before="2" w:line="210" w:lineRule="exact"/>
              <w:ind w:right="57"/>
              <w:rPr>
                <w:sz w:val="16"/>
              </w:rPr>
            </w:pPr>
            <w:r>
              <w:rPr>
                <w:spacing w:val="-2"/>
                <w:w w:val="110"/>
                <w:sz w:val="16"/>
              </w:rPr>
              <w:t>(0,7707)</w:t>
            </w:r>
          </w:p>
        </w:tc>
      </w:tr>
      <w:tr w:rsidR="002C6574" w14:paraId="16D8222E" w14:textId="77777777">
        <w:trPr>
          <w:trHeight w:val="232"/>
        </w:trPr>
        <w:tc>
          <w:tcPr>
            <w:tcW w:w="6612" w:type="dxa"/>
          </w:tcPr>
          <w:p w14:paraId="5038B0A7" w14:textId="77777777" w:rsidR="002C6574" w:rsidRDefault="00000000">
            <w:pPr>
              <w:pStyle w:val="TableParagraph"/>
              <w:spacing w:before="2" w:line="210" w:lineRule="exact"/>
              <w:ind w:left="69"/>
              <w:jc w:val="left"/>
              <w:rPr>
                <w:sz w:val="16"/>
              </w:rPr>
            </w:pPr>
            <w:r>
              <w:rPr>
                <w:w w:val="105"/>
                <w:sz w:val="16"/>
              </w:rPr>
              <w:t>Ações</w:t>
            </w:r>
            <w:r>
              <w:rPr>
                <w:spacing w:val="-5"/>
                <w:w w:val="105"/>
                <w:sz w:val="16"/>
              </w:rPr>
              <w:t xml:space="preserve"> </w:t>
            </w:r>
            <w:r>
              <w:rPr>
                <w:w w:val="105"/>
                <w:sz w:val="16"/>
              </w:rPr>
              <w:t>preferenciais</w:t>
            </w:r>
            <w:r>
              <w:rPr>
                <w:spacing w:val="-6"/>
                <w:w w:val="105"/>
                <w:sz w:val="16"/>
              </w:rPr>
              <w:t xml:space="preserve"> </w:t>
            </w:r>
            <w:r>
              <w:rPr>
                <w:w w:val="105"/>
                <w:sz w:val="16"/>
              </w:rPr>
              <w:t>–</w:t>
            </w:r>
            <w:r>
              <w:rPr>
                <w:spacing w:val="-8"/>
                <w:w w:val="105"/>
                <w:sz w:val="16"/>
              </w:rPr>
              <w:t xml:space="preserve"> </w:t>
            </w:r>
            <w:r>
              <w:rPr>
                <w:w w:val="105"/>
                <w:sz w:val="16"/>
              </w:rPr>
              <w:t>básicas</w:t>
            </w:r>
            <w:r>
              <w:rPr>
                <w:spacing w:val="-7"/>
                <w:w w:val="105"/>
                <w:sz w:val="16"/>
              </w:rPr>
              <w:t xml:space="preserve"> </w:t>
            </w:r>
            <w:r>
              <w:rPr>
                <w:w w:val="105"/>
                <w:sz w:val="16"/>
              </w:rPr>
              <w:t>e</w:t>
            </w:r>
            <w:r>
              <w:rPr>
                <w:spacing w:val="-5"/>
                <w:w w:val="105"/>
                <w:sz w:val="16"/>
              </w:rPr>
              <w:t xml:space="preserve"> </w:t>
            </w:r>
            <w:r>
              <w:rPr>
                <w:spacing w:val="-2"/>
                <w:w w:val="105"/>
                <w:sz w:val="16"/>
              </w:rPr>
              <w:t>diluídas</w:t>
            </w:r>
          </w:p>
        </w:tc>
        <w:tc>
          <w:tcPr>
            <w:tcW w:w="1606" w:type="dxa"/>
          </w:tcPr>
          <w:p w14:paraId="29DDD108" w14:textId="77777777" w:rsidR="002C6574" w:rsidRDefault="00000000">
            <w:pPr>
              <w:pStyle w:val="TableParagraph"/>
              <w:spacing w:before="2" w:line="210" w:lineRule="exact"/>
              <w:ind w:right="58"/>
              <w:rPr>
                <w:sz w:val="16"/>
              </w:rPr>
            </w:pPr>
            <w:r>
              <w:rPr>
                <w:spacing w:val="-2"/>
                <w:w w:val="105"/>
                <w:sz w:val="16"/>
              </w:rPr>
              <w:t>1,5258</w:t>
            </w:r>
          </w:p>
        </w:tc>
        <w:tc>
          <w:tcPr>
            <w:tcW w:w="1553" w:type="dxa"/>
          </w:tcPr>
          <w:p w14:paraId="3DA8FBFE" w14:textId="77777777" w:rsidR="002C6574" w:rsidRDefault="00000000">
            <w:pPr>
              <w:pStyle w:val="TableParagraph"/>
              <w:spacing w:before="2" w:line="210" w:lineRule="exact"/>
              <w:ind w:right="57"/>
              <w:rPr>
                <w:sz w:val="16"/>
              </w:rPr>
            </w:pPr>
            <w:r>
              <w:rPr>
                <w:spacing w:val="-2"/>
                <w:w w:val="110"/>
                <w:sz w:val="16"/>
              </w:rPr>
              <w:t>(0,7707)</w:t>
            </w:r>
          </w:p>
        </w:tc>
      </w:tr>
    </w:tbl>
    <w:p w14:paraId="7CA40F8E" w14:textId="77777777" w:rsidR="002C6574" w:rsidRDefault="002C6574">
      <w:pPr>
        <w:pStyle w:val="TableParagraph"/>
        <w:spacing w:line="210" w:lineRule="exact"/>
        <w:rPr>
          <w:sz w:val="16"/>
        </w:rPr>
        <w:sectPr w:rsidR="002C6574">
          <w:pgSz w:w="11910" w:h="16840"/>
          <w:pgMar w:top="1600" w:right="141" w:bottom="1320" w:left="1133" w:header="856" w:footer="1125" w:gutter="0"/>
          <w:cols w:space="720"/>
        </w:sectPr>
      </w:pPr>
    </w:p>
    <w:p w14:paraId="3CF5BA6A" w14:textId="77777777" w:rsidR="002C6574" w:rsidRDefault="00000000">
      <w:pPr>
        <w:numPr>
          <w:ilvl w:val="0"/>
          <w:numId w:val="54"/>
        </w:numPr>
        <w:tabs>
          <w:tab w:val="left" w:pos="995"/>
        </w:tabs>
        <w:spacing w:before="229"/>
        <w:ind w:left="995" w:hanging="852"/>
        <w:rPr>
          <w:rFonts w:ascii="Arial" w:hAnsi="Arial"/>
          <w:b/>
        </w:rPr>
      </w:pPr>
      <w:r>
        <w:rPr>
          <w:rFonts w:ascii="Arial" w:hAnsi="Arial"/>
          <w:b/>
        </w:rPr>
        <w:lastRenderedPageBreak/>
        <w:t>RECEITA</w:t>
      </w:r>
      <w:r>
        <w:rPr>
          <w:rFonts w:ascii="Arial" w:hAnsi="Arial"/>
          <w:b/>
          <w:spacing w:val="-6"/>
        </w:rPr>
        <w:t xml:space="preserve"> </w:t>
      </w:r>
      <w:r>
        <w:rPr>
          <w:rFonts w:ascii="Arial" w:hAnsi="Arial"/>
          <w:b/>
        </w:rPr>
        <w:t>OPERACIONAL</w:t>
      </w:r>
      <w:r>
        <w:rPr>
          <w:rFonts w:ascii="Arial" w:hAnsi="Arial"/>
          <w:b/>
          <w:spacing w:val="-4"/>
        </w:rPr>
        <w:t xml:space="preserve"> </w:t>
      </w:r>
      <w:r>
        <w:rPr>
          <w:rFonts w:ascii="Arial" w:hAnsi="Arial"/>
          <w:b/>
          <w:spacing w:val="-2"/>
        </w:rPr>
        <w:t>LÍQUIDA</w:t>
      </w:r>
    </w:p>
    <w:p w14:paraId="39FD49DA" w14:textId="77777777" w:rsidR="002C6574" w:rsidRDefault="002C6574">
      <w:pPr>
        <w:pStyle w:val="Corpodetexto"/>
        <w:spacing w:before="47"/>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4"/>
        <w:gridCol w:w="1644"/>
        <w:gridCol w:w="1553"/>
      </w:tblGrid>
      <w:tr w:rsidR="002C6574" w14:paraId="24949A38" w14:textId="77777777">
        <w:trPr>
          <w:trHeight w:val="230"/>
        </w:trPr>
        <w:tc>
          <w:tcPr>
            <w:tcW w:w="6574" w:type="dxa"/>
            <w:shd w:val="clear" w:color="auto" w:fill="D8D8D8"/>
          </w:tcPr>
          <w:p w14:paraId="450705C3" w14:textId="77777777" w:rsidR="002C6574" w:rsidRDefault="00000000">
            <w:pPr>
              <w:pStyle w:val="TableParagraph"/>
              <w:spacing w:before="11" w:line="199" w:lineRule="exact"/>
              <w:ind w:left="69"/>
              <w:jc w:val="left"/>
              <w:rPr>
                <w:rFonts w:ascii="Arial" w:hAnsi="Arial"/>
                <w:b/>
                <w:sz w:val="18"/>
              </w:rPr>
            </w:pPr>
            <w:r>
              <w:rPr>
                <w:rFonts w:ascii="Arial" w:hAnsi="Arial"/>
                <w:b/>
                <w:spacing w:val="-2"/>
                <w:sz w:val="18"/>
              </w:rPr>
              <w:t>Composição:</w:t>
            </w:r>
          </w:p>
        </w:tc>
        <w:tc>
          <w:tcPr>
            <w:tcW w:w="1644" w:type="dxa"/>
          </w:tcPr>
          <w:p w14:paraId="3974F450" w14:textId="77777777" w:rsidR="002C6574" w:rsidRDefault="00000000">
            <w:pPr>
              <w:pStyle w:val="TableParagraph"/>
              <w:spacing w:before="11" w:line="199" w:lineRule="exact"/>
              <w:ind w:left="369"/>
              <w:jc w:val="left"/>
              <w:rPr>
                <w:rFonts w:ascii="Arial"/>
                <w:b/>
                <w:sz w:val="18"/>
              </w:rPr>
            </w:pPr>
            <w:r>
              <w:rPr>
                <w:rFonts w:ascii="Arial"/>
                <w:b/>
                <w:spacing w:val="-2"/>
                <w:sz w:val="18"/>
              </w:rPr>
              <w:t>31/12/2025</w:t>
            </w:r>
          </w:p>
        </w:tc>
        <w:tc>
          <w:tcPr>
            <w:tcW w:w="1553" w:type="dxa"/>
          </w:tcPr>
          <w:p w14:paraId="56CD7F2C" w14:textId="77777777" w:rsidR="002C6574" w:rsidRDefault="00000000">
            <w:pPr>
              <w:pStyle w:val="TableParagraph"/>
              <w:spacing w:before="11" w:line="199" w:lineRule="exact"/>
              <w:ind w:left="325"/>
              <w:jc w:val="left"/>
              <w:rPr>
                <w:rFonts w:ascii="Arial"/>
                <w:b/>
                <w:sz w:val="18"/>
              </w:rPr>
            </w:pPr>
            <w:r>
              <w:rPr>
                <w:rFonts w:ascii="Arial"/>
                <w:b/>
                <w:spacing w:val="-2"/>
                <w:sz w:val="18"/>
              </w:rPr>
              <w:t>31/12/2024</w:t>
            </w:r>
          </w:p>
        </w:tc>
      </w:tr>
      <w:tr w:rsidR="002C6574" w14:paraId="6EA22678" w14:textId="77777777">
        <w:trPr>
          <w:trHeight w:val="232"/>
        </w:trPr>
        <w:tc>
          <w:tcPr>
            <w:tcW w:w="6574" w:type="dxa"/>
          </w:tcPr>
          <w:p w14:paraId="73ED2B03" w14:textId="77777777" w:rsidR="002C6574" w:rsidRDefault="00000000">
            <w:pPr>
              <w:pStyle w:val="TableParagraph"/>
              <w:spacing w:line="212" w:lineRule="exact"/>
              <w:ind w:left="69"/>
              <w:jc w:val="left"/>
              <w:rPr>
                <w:sz w:val="18"/>
              </w:rPr>
            </w:pPr>
            <w:r>
              <w:rPr>
                <w:sz w:val="18"/>
              </w:rPr>
              <w:t>Serviço</w:t>
            </w:r>
            <w:r>
              <w:rPr>
                <w:spacing w:val="14"/>
                <w:sz w:val="18"/>
              </w:rPr>
              <w:t xml:space="preserve"> </w:t>
            </w:r>
            <w:r>
              <w:rPr>
                <w:sz w:val="18"/>
              </w:rPr>
              <w:t>de</w:t>
            </w:r>
            <w:r>
              <w:rPr>
                <w:spacing w:val="14"/>
                <w:sz w:val="18"/>
              </w:rPr>
              <w:t xml:space="preserve"> </w:t>
            </w:r>
            <w:r>
              <w:rPr>
                <w:sz w:val="18"/>
              </w:rPr>
              <w:t>Comunicação</w:t>
            </w:r>
            <w:r>
              <w:rPr>
                <w:spacing w:val="10"/>
                <w:sz w:val="18"/>
              </w:rPr>
              <w:t xml:space="preserve"> </w:t>
            </w:r>
            <w:r>
              <w:rPr>
                <w:sz w:val="18"/>
              </w:rPr>
              <w:t>e</w:t>
            </w:r>
            <w:r>
              <w:rPr>
                <w:spacing w:val="11"/>
                <w:sz w:val="18"/>
              </w:rPr>
              <w:t xml:space="preserve"> </w:t>
            </w:r>
            <w:r>
              <w:rPr>
                <w:spacing w:val="-2"/>
                <w:sz w:val="18"/>
              </w:rPr>
              <w:t>Multimídia</w:t>
            </w:r>
          </w:p>
        </w:tc>
        <w:tc>
          <w:tcPr>
            <w:tcW w:w="1644" w:type="dxa"/>
          </w:tcPr>
          <w:p w14:paraId="6C97F5AB" w14:textId="77777777" w:rsidR="002C6574" w:rsidRDefault="00000000">
            <w:pPr>
              <w:pStyle w:val="TableParagraph"/>
              <w:spacing w:line="212" w:lineRule="exact"/>
              <w:ind w:right="60"/>
              <w:rPr>
                <w:sz w:val="18"/>
              </w:rPr>
            </w:pPr>
            <w:r>
              <w:rPr>
                <w:spacing w:val="-2"/>
                <w:w w:val="105"/>
                <w:sz w:val="18"/>
              </w:rPr>
              <w:t>432.484</w:t>
            </w:r>
          </w:p>
        </w:tc>
        <w:tc>
          <w:tcPr>
            <w:tcW w:w="1553" w:type="dxa"/>
          </w:tcPr>
          <w:p w14:paraId="1CB88A66" w14:textId="77777777" w:rsidR="002C6574" w:rsidRDefault="00000000">
            <w:pPr>
              <w:pStyle w:val="TableParagraph"/>
              <w:spacing w:line="212" w:lineRule="exact"/>
              <w:ind w:right="58"/>
              <w:rPr>
                <w:sz w:val="18"/>
              </w:rPr>
            </w:pPr>
            <w:r>
              <w:rPr>
                <w:spacing w:val="-2"/>
                <w:w w:val="105"/>
                <w:sz w:val="18"/>
              </w:rPr>
              <w:t>355.951</w:t>
            </w:r>
          </w:p>
        </w:tc>
      </w:tr>
      <w:tr w:rsidR="002C6574" w14:paraId="409120FE" w14:textId="77777777">
        <w:trPr>
          <w:trHeight w:val="232"/>
        </w:trPr>
        <w:tc>
          <w:tcPr>
            <w:tcW w:w="6574" w:type="dxa"/>
          </w:tcPr>
          <w:p w14:paraId="5DAACB5E" w14:textId="77777777" w:rsidR="002C6574" w:rsidRDefault="00000000">
            <w:pPr>
              <w:pStyle w:val="TableParagraph"/>
              <w:spacing w:line="212" w:lineRule="exact"/>
              <w:ind w:left="69"/>
              <w:jc w:val="left"/>
              <w:rPr>
                <w:sz w:val="18"/>
              </w:rPr>
            </w:pPr>
            <w:r>
              <w:rPr>
                <w:sz w:val="18"/>
              </w:rPr>
              <w:t>Locação</w:t>
            </w:r>
            <w:r>
              <w:rPr>
                <w:spacing w:val="18"/>
                <w:sz w:val="18"/>
              </w:rPr>
              <w:t xml:space="preserve"> </w:t>
            </w:r>
            <w:r>
              <w:rPr>
                <w:sz w:val="18"/>
              </w:rPr>
              <w:t>de</w:t>
            </w:r>
            <w:r>
              <w:rPr>
                <w:spacing w:val="22"/>
                <w:sz w:val="18"/>
              </w:rPr>
              <w:t xml:space="preserve"> </w:t>
            </w:r>
            <w:r>
              <w:rPr>
                <w:sz w:val="18"/>
              </w:rPr>
              <w:t>Capacidade</w:t>
            </w:r>
            <w:r>
              <w:rPr>
                <w:spacing w:val="20"/>
                <w:sz w:val="18"/>
              </w:rPr>
              <w:t xml:space="preserve"> </w:t>
            </w:r>
            <w:r>
              <w:rPr>
                <w:spacing w:val="-2"/>
                <w:sz w:val="18"/>
              </w:rPr>
              <w:t>Satelital</w:t>
            </w:r>
          </w:p>
        </w:tc>
        <w:tc>
          <w:tcPr>
            <w:tcW w:w="1644" w:type="dxa"/>
          </w:tcPr>
          <w:p w14:paraId="7C48C610" w14:textId="77777777" w:rsidR="002C6574" w:rsidRDefault="00000000">
            <w:pPr>
              <w:pStyle w:val="TableParagraph"/>
              <w:spacing w:line="212" w:lineRule="exact"/>
              <w:ind w:right="61"/>
              <w:rPr>
                <w:sz w:val="18"/>
              </w:rPr>
            </w:pPr>
            <w:r>
              <w:rPr>
                <w:spacing w:val="-2"/>
                <w:w w:val="105"/>
                <w:sz w:val="18"/>
              </w:rPr>
              <w:t>36.480</w:t>
            </w:r>
          </w:p>
        </w:tc>
        <w:tc>
          <w:tcPr>
            <w:tcW w:w="1553" w:type="dxa"/>
          </w:tcPr>
          <w:p w14:paraId="0EE349C1" w14:textId="77777777" w:rsidR="002C6574" w:rsidRDefault="00000000">
            <w:pPr>
              <w:pStyle w:val="TableParagraph"/>
              <w:spacing w:line="212" w:lineRule="exact"/>
              <w:ind w:right="59"/>
              <w:rPr>
                <w:sz w:val="18"/>
              </w:rPr>
            </w:pPr>
            <w:r>
              <w:rPr>
                <w:spacing w:val="-2"/>
                <w:w w:val="105"/>
                <w:sz w:val="18"/>
              </w:rPr>
              <w:t>36.481</w:t>
            </w:r>
          </w:p>
        </w:tc>
      </w:tr>
      <w:tr w:rsidR="002C6574" w14:paraId="04C38D44" w14:textId="77777777">
        <w:trPr>
          <w:trHeight w:val="232"/>
        </w:trPr>
        <w:tc>
          <w:tcPr>
            <w:tcW w:w="6574" w:type="dxa"/>
          </w:tcPr>
          <w:p w14:paraId="1AAB8CBD" w14:textId="77777777" w:rsidR="002C6574" w:rsidRDefault="00000000">
            <w:pPr>
              <w:pStyle w:val="TableParagraph"/>
              <w:spacing w:line="212" w:lineRule="exact"/>
              <w:ind w:left="69"/>
              <w:jc w:val="left"/>
              <w:rPr>
                <w:sz w:val="18"/>
              </w:rPr>
            </w:pPr>
            <w:r>
              <w:rPr>
                <w:sz w:val="18"/>
              </w:rPr>
              <w:t>Aluguéis</w:t>
            </w:r>
            <w:r>
              <w:rPr>
                <w:spacing w:val="3"/>
                <w:sz w:val="18"/>
              </w:rPr>
              <w:t xml:space="preserve"> </w:t>
            </w:r>
            <w:r>
              <w:rPr>
                <w:sz w:val="18"/>
              </w:rPr>
              <w:t>e</w:t>
            </w:r>
            <w:r>
              <w:rPr>
                <w:spacing w:val="7"/>
                <w:sz w:val="18"/>
              </w:rPr>
              <w:t xml:space="preserve"> </w:t>
            </w:r>
            <w:r>
              <w:rPr>
                <w:spacing w:val="-2"/>
                <w:sz w:val="18"/>
              </w:rPr>
              <w:t>Locações</w:t>
            </w:r>
          </w:p>
        </w:tc>
        <w:tc>
          <w:tcPr>
            <w:tcW w:w="1644" w:type="dxa"/>
          </w:tcPr>
          <w:p w14:paraId="4242E7AE" w14:textId="77777777" w:rsidR="002C6574" w:rsidRDefault="00000000">
            <w:pPr>
              <w:pStyle w:val="TableParagraph"/>
              <w:spacing w:line="212" w:lineRule="exact"/>
              <w:ind w:right="61"/>
              <w:rPr>
                <w:sz w:val="18"/>
              </w:rPr>
            </w:pPr>
            <w:r>
              <w:rPr>
                <w:spacing w:val="-2"/>
                <w:w w:val="105"/>
                <w:sz w:val="18"/>
              </w:rPr>
              <w:t>28.382</w:t>
            </w:r>
          </w:p>
        </w:tc>
        <w:tc>
          <w:tcPr>
            <w:tcW w:w="1553" w:type="dxa"/>
          </w:tcPr>
          <w:p w14:paraId="1BBEE0D2" w14:textId="77777777" w:rsidR="002C6574" w:rsidRDefault="00000000">
            <w:pPr>
              <w:pStyle w:val="TableParagraph"/>
              <w:spacing w:line="212" w:lineRule="exact"/>
              <w:ind w:right="59"/>
              <w:rPr>
                <w:sz w:val="18"/>
              </w:rPr>
            </w:pPr>
            <w:r>
              <w:rPr>
                <w:spacing w:val="-2"/>
                <w:w w:val="105"/>
                <w:sz w:val="18"/>
              </w:rPr>
              <w:t>26.918</w:t>
            </w:r>
          </w:p>
        </w:tc>
      </w:tr>
      <w:tr w:rsidR="002C6574" w14:paraId="70461917" w14:textId="77777777">
        <w:trPr>
          <w:trHeight w:val="232"/>
        </w:trPr>
        <w:tc>
          <w:tcPr>
            <w:tcW w:w="6574" w:type="dxa"/>
          </w:tcPr>
          <w:p w14:paraId="5D0F2D49" w14:textId="77777777" w:rsidR="002C6574" w:rsidRDefault="00000000">
            <w:pPr>
              <w:pStyle w:val="TableParagraph"/>
              <w:spacing w:line="212" w:lineRule="exact"/>
              <w:ind w:left="69"/>
              <w:jc w:val="left"/>
              <w:rPr>
                <w:sz w:val="18"/>
              </w:rPr>
            </w:pPr>
            <w:r>
              <w:rPr>
                <w:sz w:val="18"/>
              </w:rPr>
              <w:t>Serviço</w:t>
            </w:r>
            <w:r>
              <w:rPr>
                <w:spacing w:val="10"/>
                <w:sz w:val="18"/>
              </w:rPr>
              <w:t xml:space="preserve"> </w:t>
            </w:r>
            <w:r>
              <w:rPr>
                <w:sz w:val="18"/>
              </w:rPr>
              <w:t>de</w:t>
            </w:r>
            <w:r>
              <w:rPr>
                <w:spacing w:val="10"/>
                <w:sz w:val="18"/>
              </w:rPr>
              <w:t xml:space="preserve"> </w:t>
            </w:r>
            <w:r>
              <w:rPr>
                <w:sz w:val="18"/>
              </w:rPr>
              <w:t>Valor</w:t>
            </w:r>
            <w:r>
              <w:rPr>
                <w:spacing w:val="8"/>
                <w:sz w:val="18"/>
              </w:rPr>
              <w:t xml:space="preserve"> </w:t>
            </w:r>
            <w:r>
              <w:rPr>
                <w:spacing w:val="-2"/>
                <w:sz w:val="18"/>
              </w:rPr>
              <w:t>Adicionado</w:t>
            </w:r>
          </w:p>
        </w:tc>
        <w:tc>
          <w:tcPr>
            <w:tcW w:w="1644" w:type="dxa"/>
          </w:tcPr>
          <w:p w14:paraId="2A494394" w14:textId="77777777" w:rsidR="002C6574" w:rsidRDefault="00000000">
            <w:pPr>
              <w:pStyle w:val="TableParagraph"/>
              <w:spacing w:line="212" w:lineRule="exact"/>
              <w:ind w:right="61"/>
              <w:rPr>
                <w:sz w:val="18"/>
              </w:rPr>
            </w:pPr>
            <w:r>
              <w:rPr>
                <w:spacing w:val="-2"/>
                <w:w w:val="105"/>
                <w:sz w:val="18"/>
              </w:rPr>
              <w:t>26.411</w:t>
            </w:r>
          </w:p>
        </w:tc>
        <w:tc>
          <w:tcPr>
            <w:tcW w:w="1553" w:type="dxa"/>
          </w:tcPr>
          <w:p w14:paraId="57B25A7C" w14:textId="77777777" w:rsidR="002C6574" w:rsidRDefault="00000000">
            <w:pPr>
              <w:pStyle w:val="TableParagraph"/>
              <w:spacing w:line="212" w:lineRule="exact"/>
              <w:ind w:right="59"/>
              <w:rPr>
                <w:sz w:val="18"/>
              </w:rPr>
            </w:pPr>
            <w:r>
              <w:rPr>
                <w:spacing w:val="-2"/>
                <w:w w:val="105"/>
                <w:sz w:val="18"/>
              </w:rPr>
              <w:t>20.029</w:t>
            </w:r>
          </w:p>
        </w:tc>
      </w:tr>
      <w:tr w:rsidR="002C6574" w14:paraId="01E5D295" w14:textId="77777777">
        <w:trPr>
          <w:trHeight w:val="232"/>
        </w:trPr>
        <w:tc>
          <w:tcPr>
            <w:tcW w:w="6574" w:type="dxa"/>
          </w:tcPr>
          <w:p w14:paraId="4C3D8396" w14:textId="77777777" w:rsidR="002C6574" w:rsidRDefault="00000000">
            <w:pPr>
              <w:pStyle w:val="TableParagraph"/>
              <w:spacing w:line="212" w:lineRule="exact"/>
              <w:ind w:left="69"/>
              <w:jc w:val="left"/>
              <w:rPr>
                <w:sz w:val="18"/>
              </w:rPr>
            </w:pPr>
            <w:r>
              <w:rPr>
                <w:spacing w:val="-2"/>
                <w:sz w:val="18"/>
              </w:rPr>
              <w:t>Compartilhamento</w:t>
            </w:r>
            <w:r>
              <w:rPr>
                <w:spacing w:val="1"/>
                <w:sz w:val="18"/>
              </w:rPr>
              <w:t xml:space="preserve"> </w:t>
            </w:r>
            <w:r>
              <w:rPr>
                <w:spacing w:val="-2"/>
                <w:sz w:val="18"/>
              </w:rPr>
              <w:t>de</w:t>
            </w:r>
            <w:r>
              <w:rPr>
                <w:spacing w:val="3"/>
                <w:sz w:val="18"/>
              </w:rPr>
              <w:t xml:space="preserve"> </w:t>
            </w:r>
            <w:r>
              <w:rPr>
                <w:spacing w:val="-2"/>
                <w:sz w:val="18"/>
              </w:rPr>
              <w:t>Receitas</w:t>
            </w:r>
          </w:p>
        </w:tc>
        <w:tc>
          <w:tcPr>
            <w:tcW w:w="1644" w:type="dxa"/>
          </w:tcPr>
          <w:p w14:paraId="6EEDF19F" w14:textId="77777777" w:rsidR="002C6574" w:rsidRDefault="00000000">
            <w:pPr>
              <w:pStyle w:val="TableParagraph"/>
              <w:spacing w:line="212" w:lineRule="exact"/>
              <w:ind w:right="61"/>
              <w:rPr>
                <w:sz w:val="18"/>
              </w:rPr>
            </w:pPr>
            <w:r>
              <w:rPr>
                <w:spacing w:val="-2"/>
                <w:w w:val="105"/>
                <w:sz w:val="18"/>
              </w:rPr>
              <w:t>10.421</w:t>
            </w:r>
          </w:p>
        </w:tc>
        <w:tc>
          <w:tcPr>
            <w:tcW w:w="1553" w:type="dxa"/>
          </w:tcPr>
          <w:p w14:paraId="395B62B0" w14:textId="77777777" w:rsidR="002C6574" w:rsidRDefault="00000000">
            <w:pPr>
              <w:pStyle w:val="TableParagraph"/>
              <w:spacing w:line="212" w:lineRule="exact"/>
              <w:ind w:right="59"/>
              <w:rPr>
                <w:sz w:val="18"/>
              </w:rPr>
            </w:pPr>
            <w:r>
              <w:rPr>
                <w:spacing w:val="-2"/>
                <w:w w:val="105"/>
                <w:sz w:val="18"/>
              </w:rPr>
              <w:t>13.633</w:t>
            </w:r>
          </w:p>
        </w:tc>
      </w:tr>
      <w:tr w:rsidR="002C6574" w14:paraId="42F0478F" w14:textId="77777777">
        <w:trPr>
          <w:trHeight w:val="230"/>
        </w:trPr>
        <w:tc>
          <w:tcPr>
            <w:tcW w:w="6574" w:type="dxa"/>
          </w:tcPr>
          <w:p w14:paraId="68CC4D08" w14:textId="77777777" w:rsidR="002C6574" w:rsidRDefault="00000000">
            <w:pPr>
              <w:pStyle w:val="TableParagraph"/>
              <w:spacing w:line="210" w:lineRule="exact"/>
              <w:ind w:left="69"/>
              <w:jc w:val="left"/>
              <w:rPr>
                <w:sz w:val="18"/>
              </w:rPr>
            </w:pPr>
            <w:r>
              <w:rPr>
                <w:sz w:val="18"/>
              </w:rPr>
              <w:t>Outras</w:t>
            </w:r>
            <w:r>
              <w:rPr>
                <w:spacing w:val="10"/>
                <w:sz w:val="18"/>
              </w:rPr>
              <w:t xml:space="preserve"> </w:t>
            </w:r>
            <w:r>
              <w:rPr>
                <w:spacing w:val="-2"/>
                <w:sz w:val="18"/>
              </w:rPr>
              <w:t>Receitas</w:t>
            </w:r>
          </w:p>
        </w:tc>
        <w:tc>
          <w:tcPr>
            <w:tcW w:w="1644" w:type="dxa"/>
          </w:tcPr>
          <w:p w14:paraId="00B420E0" w14:textId="77777777" w:rsidR="002C6574" w:rsidRDefault="00000000">
            <w:pPr>
              <w:pStyle w:val="TableParagraph"/>
              <w:spacing w:line="210" w:lineRule="exact"/>
              <w:ind w:right="60"/>
              <w:rPr>
                <w:sz w:val="18"/>
              </w:rPr>
            </w:pPr>
            <w:r>
              <w:rPr>
                <w:spacing w:val="-4"/>
                <w:w w:val="110"/>
                <w:sz w:val="18"/>
              </w:rPr>
              <w:t>6.730</w:t>
            </w:r>
          </w:p>
        </w:tc>
        <w:tc>
          <w:tcPr>
            <w:tcW w:w="1553" w:type="dxa"/>
          </w:tcPr>
          <w:p w14:paraId="195DEA40" w14:textId="77777777" w:rsidR="002C6574" w:rsidRDefault="00000000">
            <w:pPr>
              <w:pStyle w:val="TableParagraph"/>
              <w:spacing w:line="210" w:lineRule="exact"/>
              <w:ind w:right="60"/>
              <w:rPr>
                <w:sz w:val="18"/>
              </w:rPr>
            </w:pPr>
            <w:r>
              <w:rPr>
                <w:spacing w:val="-2"/>
                <w:w w:val="110"/>
                <w:sz w:val="18"/>
              </w:rPr>
              <w:t>9.379</w:t>
            </w:r>
          </w:p>
        </w:tc>
      </w:tr>
      <w:tr w:rsidR="002C6574" w14:paraId="01AD083D" w14:textId="77777777">
        <w:trPr>
          <w:trHeight w:val="232"/>
        </w:trPr>
        <w:tc>
          <w:tcPr>
            <w:tcW w:w="6574" w:type="dxa"/>
          </w:tcPr>
          <w:p w14:paraId="16F601AC" w14:textId="77777777" w:rsidR="002C6574" w:rsidRDefault="00000000">
            <w:pPr>
              <w:pStyle w:val="TableParagraph"/>
              <w:spacing w:before="13" w:line="199" w:lineRule="exact"/>
              <w:ind w:left="69"/>
              <w:jc w:val="left"/>
              <w:rPr>
                <w:rFonts w:ascii="Arial"/>
                <w:b/>
                <w:sz w:val="18"/>
              </w:rPr>
            </w:pPr>
            <w:r>
              <w:rPr>
                <w:rFonts w:ascii="Arial"/>
                <w:b/>
                <w:sz w:val="18"/>
              </w:rPr>
              <w:t>Receita</w:t>
            </w:r>
            <w:r>
              <w:rPr>
                <w:rFonts w:ascii="Arial"/>
                <w:b/>
                <w:spacing w:val="-2"/>
                <w:sz w:val="18"/>
              </w:rPr>
              <w:t xml:space="preserve"> </w:t>
            </w:r>
            <w:r>
              <w:rPr>
                <w:rFonts w:ascii="Arial"/>
                <w:b/>
                <w:sz w:val="18"/>
              </w:rPr>
              <w:t>Operacional</w:t>
            </w:r>
            <w:r>
              <w:rPr>
                <w:rFonts w:ascii="Arial"/>
                <w:b/>
                <w:spacing w:val="2"/>
                <w:sz w:val="18"/>
              </w:rPr>
              <w:t xml:space="preserve"> </w:t>
            </w:r>
            <w:r>
              <w:rPr>
                <w:rFonts w:ascii="Arial"/>
                <w:b/>
                <w:spacing w:val="-4"/>
                <w:sz w:val="18"/>
              </w:rPr>
              <w:t>Bruta</w:t>
            </w:r>
          </w:p>
        </w:tc>
        <w:tc>
          <w:tcPr>
            <w:tcW w:w="1644" w:type="dxa"/>
          </w:tcPr>
          <w:p w14:paraId="76AACEA4" w14:textId="77777777" w:rsidR="002C6574" w:rsidRDefault="00000000">
            <w:pPr>
              <w:pStyle w:val="TableParagraph"/>
              <w:spacing w:before="13" w:line="199" w:lineRule="exact"/>
              <w:ind w:right="61"/>
              <w:rPr>
                <w:rFonts w:ascii="Arial"/>
                <w:b/>
                <w:sz w:val="18"/>
              </w:rPr>
            </w:pPr>
            <w:r>
              <w:rPr>
                <w:rFonts w:ascii="Arial"/>
                <w:b/>
                <w:spacing w:val="-2"/>
                <w:sz w:val="18"/>
              </w:rPr>
              <w:t>540.908</w:t>
            </w:r>
          </w:p>
        </w:tc>
        <w:tc>
          <w:tcPr>
            <w:tcW w:w="1553" w:type="dxa"/>
          </w:tcPr>
          <w:p w14:paraId="11C65B66" w14:textId="77777777" w:rsidR="002C6574" w:rsidRDefault="00000000">
            <w:pPr>
              <w:pStyle w:val="TableParagraph"/>
              <w:spacing w:before="13" w:line="199" w:lineRule="exact"/>
              <w:ind w:right="58"/>
              <w:rPr>
                <w:rFonts w:ascii="Arial"/>
                <w:b/>
                <w:sz w:val="18"/>
              </w:rPr>
            </w:pPr>
            <w:r>
              <w:rPr>
                <w:rFonts w:ascii="Arial"/>
                <w:b/>
                <w:spacing w:val="-2"/>
                <w:sz w:val="18"/>
              </w:rPr>
              <w:t>462.391</w:t>
            </w:r>
          </w:p>
        </w:tc>
      </w:tr>
      <w:tr w:rsidR="002C6574" w14:paraId="730BE4CA" w14:textId="77777777">
        <w:trPr>
          <w:trHeight w:val="232"/>
        </w:trPr>
        <w:tc>
          <w:tcPr>
            <w:tcW w:w="6574" w:type="dxa"/>
          </w:tcPr>
          <w:p w14:paraId="6621B7C4" w14:textId="77777777" w:rsidR="002C6574" w:rsidRDefault="00000000">
            <w:pPr>
              <w:pStyle w:val="TableParagraph"/>
              <w:spacing w:line="212" w:lineRule="exact"/>
              <w:ind w:left="69"/>
              <w:jc w:val="left"/>
              <w:rPr>
                <w:sz w:val="18"/>
              </w:rPr>
            </w:pPr>
            <w:r>
              <w:rPr>
                <w:sz w:val="18"/>
              </w:rPr>
              <w:t>Tributos</w:t>
            </w:r>
            <w:r>
              <w:rPr>
                <w:spacing w:val="-1"/>
                <w:sz w:val="18"/>
              </w:rPr>
              <w:t xml:space="preserve"> </w:t>
            </w:r>
            <w:r>
              <w:rPr>
                <w:sz w:val="18"/>
              </w:rPr>
              <w:t>sobre</w:t>
            </w:r>
            <w:r>
              <w:rPr>
                <w:spacing w:val="-2"/>
                <w:sz w:val="18"/>
              </w:rPr>
              <w:t xml:space="preserve"> Receita</w:t>
            </w:r>
          </w:p>
        </w:tc>
        <w:tc>
          <w:tcPr>
            <w:tcW w:w="1644" w:type="dxa"/>
          </w:tcPr>
          <w:p w14:paraId="3693CF78" w14:textId="77777777" w:rsidR="002C6574" w:rsidRDefault="00000000">
            <w:pPr>
              <w:pStyle w:val="TableParagraph"/>
              <w:spacing w:line="212" w:lineRule="exact"/>
              <w:ind w:right="58"/>
              <w:rPr>
                <w:sz w:val="18"/>
              </w:rPr>
            </w:pPr>
            <w:r>
              <w:rPr>
                <w:spacing w:val="-2"/>
                <w:w w:val="110"/>
                <w:sz w:val="18"/>
              </w:rPr>
              <w:t>(49.754)</w:t>
            </w:r>
          </w:p>
        </w:tc>
        <w:tc>
          <w:tcPr>
            <w:tcW w:w="1553" w:type="dxa"/>
          </w:tcPr>
          <w:p w14:paraId="5F8B0356" w14:textId="77777777" w:rsidR="002C6574" w:rsidRDefault="00000000">
            <w:pPr>
              <w:pStyle w:val="TableParagraph"/>
              <w:spacing w:line="212" w:lineRule="exact"/>
              <w:ind w:right="57"/>
              <w:rPr>
                <w:sz w:val="18"/>
              </w:rPr>
            </w:pPr>
            <w:r>
              <w:rPr>
                <w:spacing w:val="-2"/>
                <w:w w:val="110"/>
                <w:sz w:val="18"/>
              </w:rPr>
              <w:t>(46.892)</w:t>
            </w:r>
          </w:p>
        </w:tc>
      </w:tr>
      <w:tr w:rsidR="002C6574" w14:paraId="08D2EC06" w14:textId="77777777">
        <w:trPr>
          <w:trHeight w:val="232"/>
        </w:trPr>
        <w:tc>
          <w:tcPr>
            <w:tcW w:w="6574" w:type="dxa"/>
          </w:tcPr>
          <w:p w14:paraId="2A54FE76" w14:textId="77777777" w:rsidR="002C6574" w:rsidRDefault="00000000">
            <w:pPr>
              <w:pStyle w:val="TableParagraph"/>
              <w:spacing w:line="212" w:lineRule="exact"/>
              <w:ind w:left="69"/>
              <w:jc w:val="left"/>
              <w:rPr>
                <w:sz w:val="18"/>
              </w:rPr>
            </w:pPr>
            <w:r>
              <w:rPr>
                <w:sz w:val="18"/>
              </w:rPr>
              <w:t>Outras</w:t>
            </w:r>
            <w:r>
              <w:rPr>
                <w:spacing w:val="10"/>
                <w:sz w:val="18"/>
              </w:rPr>
              <w:t xml:space="preserve"> </w:t>
            </w:r>
            <w:r>
              <w:rPr>
                <w:spacing w:val="-2"/>
                <w:sz w:val="18"/>
              </w:rPr>
              <w:t>Deduções</w:t>
            </w:r>
          </w:p>
        </w:tc>
        <w:tc>
          <w:tcPr>
            <w:tcW w:w="1644" w:type="dxa"/>
          </w:tcPr>
          <w:p w14:paraId="19B2D00F" w14:textId="77777777" w:rsidR="002C6574" w:rsidRDefault="00000000">
            <w:pPr>
              <w:pStyle w:val="TableParagraph"/>
              <w:spacing w:line="212" w:lineRule="exact"/>
              <w:ind w:right="58"/>
              <w:rPr>
                <w:sz w:val="18"/>
              </w:rPr>
            </w:pPr>
            <w:r>
              <w:rPr>
                <w:spacing w:val="-2"/>
                <w:w w:val="105"/>
                <w:sz w:val="18"/>
              </w:rPr>
              <w:t>(145)</w:t>
            </w:r>
          </w:p>
        </w:tc>
        <w:tc>
          <w:tcPr>
            <w:tcW w:w="1553" w:type="dxa"/>
          </w:tcPr>
          <w:p w14:paraId="7BE48518" w14:textId="77777777" w:rsidR="002C6574" w:rsidRDefault="00000000">
            <w:pPr>
              <w:pStyle w:val="TableParagraph"/>
              <w:spacing w:line="212" w:lineRule="exact"/>
              <w:ind w:right="56"/>
              <w:rPr>
                <w:sz w:val="18"/>
              </w:rPr>
            </w:pPr>
            <w:r>
              <w:rPr>
                <w:spacing w:val="-2"/>
                <w:w w:val="110"/>
                <w:sz w:val="18"/>
              </w:rPr>
              <w:t>(1.184)</w:t>
            </w:r>
          </w:p>
        </w:tc>
      </w:tr>
      <w:tr w:rsidR="002C6574" w14:paraId="41071AE8" w14:textId="77777777">
        <w:trPr>
          <w:trHeight w:val="232"/>
        </w:trPr>
        <w:tc>
          <w:tcPr>
            <w:tcW w:w="6574" w:type="dxa"/>
          </w:tcPr>
          <w:p w14:paraId="1EB550DD" w14:textId="77777777" w:rsidR="002C6574" w:rsidRDefault="00000000">
            <w:pPr>
              <w:pStyle w:val="TableParagraph"/>
              <w:spacing w:before="11" w:line="201" w:lineRule="exact"/>
              <w:ind w:left="69"/>
              <w:jc w:val="left"/>
              <w:rPr>
                <w:rFonts w:ascii="Arial" w:hAnsi="Arial"/>
                <w:b/>
                <w:sz w:val="18"/>
              </w:rPr>
            </w:pPr>
            <w:r>
              <w:rPr>
                <w:rFonts w:ascii="Arial" w:hAnsi="Arial"/>
                <w:b/>
                <w:sz w:val="18"/>
              </w:rPr>
              <w:t>Deduções</w:t>
            </w:r>
            <w:r>
              <w:rPr>
                <w:rFonts w:ascii="Arial" w:hAnsi="Arial"/>
                <w:b/>
                <w:spacing w:val="-1"/>
                <w:sz w:val="18"/>
              </w:rPr>
              <w:t xml:space="preserve"> </w:t>
            </w:r>
            <w:r>
              <w:rPr>
                <w:rFonts w:ascii="Arial" w:hAnsi="Arial"/>
                <w:b/>
                <w:sz w:val="18"/>
              </w:rPr>
              <w:t>da Receita</w:t>
            </w:r>
            <w:r>
              <w:rPr>
                <w:rFonts w:ascii="Arial" w:hAnsi="Arial"/>
                <w:b/>
                <w:spacing w:val="-3"/>
                <w:sz w:val="18"/>
              </w:rPr>
              <w:t xml:space="preserve"> </w:t>
            </w:r>
            <w:r>
              <w:rPr>
                <w:rFonts w:ascii="Arial" w:hAnsi="Arial"/>
                <w:b/>
                <w:sz w:val="18"/>
              </w:rPr>
              <w:t>Operacional</w:t>
            </w:r>
            <w:r>
              <w:rPr>
                <w:rFonts w:ascii="Arial" w:hAnsi="Arial"/>
                <w:b/>
                <w:spacing w:val="2"/>
                <w:sz w:val="18"/>
              </w:rPr>
              <w:t xml:space="preserve"> </w:t>
            </w:r>
            <w:r>
              <w:rPr>
                <w:rFonts w:ascii="Arial" w:hAnsi="Arial"/>
                <w:b/>
                <w:spacing w:val="-4"/>
                <w:sz w:val="18"/>
              </w:rPr>
              <w:t>Bruta</w:t>
            </w:r>
          </w:p>
        </w:tc>
        <w:tc>
          <w:tcPr>
            <w:tcW w:w="1644" w:type="dxa"/>
          </w:tcPr>
          <w:p w14:paraId="2CEBE7FB" w14:textId="77777777" w:rsidR="002C6574" w:rsidRDefault="00000000">
            <w:pPr>
              <w:pStyle w:val="TableParagraph"/>
              <w:spacing w:before="11" w:line="201" w:lineRule="exact"/>
              <w:ind w:right="58"/>
              <w:rPr>
                <w:rFonts w:ascii="Arial"/>
                <w:b/>
                <w:sz w:val="18"/>
              </w:rPr>
            </w:pPr>
            <w:r>
              <w:rPr>
                <w:rFonts w:ascii="Arial"/>
                <w:b/>
                <w:spacing w:val="-2"/>
                <w:sz w:val="18"/>
              </w:rPr>
              <w:t>(49.899)</w:t>
            </w:r>
          </w:p>
        </w:tc>
        <w:tc>
          <w:tcPr>
            <w:tcW w:w="1553" w:type="dxa"/>
          </w:tcPr>
          <w:p w14:paraId="712F5CC6" w14:textId="77777777" w:rsidR="002C6574" w:rsidRDefault="00000000">
            <w:pPr>
              <w:pStyle w:val="TableParagraph"/>
              <w:spacing w:before="11" w:line="201" w:lineRule="exact"/>
              <w:ind w:right="57"/>
              <w:rPr>
                <w:rFonts w:ascii="Arial"/>
                <w:b/>
                <w:sz w:val="18"/>
              </w:rPr>
            </w:pPr>
            <w:r>
              <w:rPr>
                <w:rFonts w:ascii="Arial"/>
                <w:b/>
                <w:spacing w:val="-2"/>
                <w:sz w:val="18"/>
              </w:rPr>
              <w:t>(48.076)</w:t>
            </w:r>
          </w:p>
        </w:tc>
      </w:tr>
      <w:tr w:rsidR="002C6574" w14:paraId="4C53D11C" w14:textId="77777777">
        <w:trPr>
          <w:trHeight w:val="232"/>
        </w:trPr>
        <w:tc>
          <w:tcPr>
            <w:tcW w:w="6574" w:type="dxa"/>
          </w:tcPr>
          <w:p w14:paraId="489FFD3D" w14:textId="77777777" w:rsidR="002C6574" w:rsidRDefault="00000000">
            <w:pPr>
              <w:pStyle w:val="TableParagraph"/>
              <w:spacing w:before="11" w:line="201" w:lineRule="exact"/>
              <w:ind w:left="69"/>
              <w:jc w:val="left"/>
              <w:rPr>
                <w:rFonts w:ascii="Arial" w:hAnsi="Arial"/>
                <w:b/>
                <w:sz w:val="18"/>
              </w:rPr>
            </w:pPr>
            <w:r>
              <w:rPr>
                <w:rFonts w:ascii="Arial" w:hAnsi="Arial"/>
                <w:b/>
                <w:sz w:val="18"/>
              </w:rPr>
              <w:t>Receita Operacional</w:t>
            </w:r>
            <w:r>
              <w:rPr>
                <w:rFonts w:ascii="Arial" w:hAnsi="Arial"/>
                <w:b/>
                <w:spacing w:val="2"/>
                <w:sz w:val="18"/>
              </w:rPr>
              <w:t xml:space="preserve"> </w:t>
            </w:r>
            <w:r>
              <w:rPr>
                <w:rFonts w:ascii="Arial" w:hAnsi="Arial"/>
                <w:b/>
                <w:spacing w:val="-2"/>
                <w:sz w:val="18"/>
              </w:rPr>
              <w:t>Líquida</w:t>
            </w:r>
          </w:p>
        </w:tc>
        <w:tc>
          <w:tcPr>
            <w:tcW w:w="1644" w:type="dxa"/>
          </w:tcPr>
          <w:p w14:paraId="3CC2E786" w14:textId="77777777" w:rsidR="002C6574" w:rsidRDefault="00000000">
            <w:pPr>
              <w:pStyle w:val="TableParagraph"/>
              <w:spacing w:before="11" w:line="201" w:lineRule="exact"/>
              <w:ind w:right="61"/>
              <w:rPr>
                <w:rFonts w:ascii="Arial"/>
                <w:b/>
                <w:sz w:val="18"/>
              </w:rPr>
            </w:pPr>
            <w:r>
              <w:rPr>
                <w:rFonts w:ascii="Arial"/>
                <w:b/>
                <w:spacing w:val="-2"/>
                <w:sz w:val="18"/>
              </w:rPr>
              <w:t>491.009</w:t>
            </w:r>
          </w:p>
        </w:tc>
        <w:tc>
          <w:tcPr>
            <w:tcW w:w="1553" w:type="dxa"/>
          </w:tcPr>
          <w:p w14:paraId="1C38DBC5" w14:textId="77777777" w:rsidR="002C6574" w:rsidRDefault="00000000">
            <w:pPr>
              <w:pStyle w:val="TableParagraph"/>
              <w:spacing w:before="11" w:line="201" w:lineRule="exact"/>
              <w:ind w:right="58"/>
              <w:rPr>
                <w:rFonts w:ascii="Arial"/>
                <w:b/>
                <w:sz w:val="18"/>
              </w:rPr>
            </w:pPr>
            <w:r>
              <w:rPr>
                <w:rFonts w:ascii="Arial"/>
                <w:b/>
                <w:spacing w:val="-2"/>
                <w:sz w:val="18"/>
              </w:rPr>
              <w:t>414.315</w:t>
            </w:r>
          </w:p>
        </w:tc>
      </w:tr>
    </w:tbl>
    <w:p w14:paraId="4689F005" w14:textId="77777777" w:rsidR="002C6574" w:rsidRDefault="002C6574">
      <w:pPr>
        <w:pStyle w:val="Corpodetexto"/>
        <w:spacing w:before="28"/>
        <w:rPr>
          <w:rFonts w:ascii="Arial"/>
          <w:b/>
        </w:rPr>
      </w:pPr>
    </w:p>
    <w:p w14:paraId="34C9C948" w14:textId="77777777" w:rsidR="002C6574" w:rsidRDefault="00000000">
      <w:pPr>
        <w:pStyle w:val="Corpodetexto"/>
        <w:spacing w:before="1" w:line="206" w:lineRule="auto"/>
        <w:ind w:left="143" w:right="709"/>
        <w:jc w:val="both"/>
      </w:pPr>
      <w:r>
        <w:t>No</w:t>
      </w:r>
      <w:r>
        <w:rPr>
          <w:spacing w:val="40"/>
        </w:rPr>
        <w:t xml:space="preserve"> </w:t>
      </w:r>
      <w:r>
        <w:t>exercício</w:t>
      </w:r>
      <w:r>
        <w:rPr>
          <w:spacing w:val="40"/>
        </w:rPr>
        <w:t xml:space="preserve"> </w:t>
      </w:r>
      <w:r>
        <w:t>de</w:t>
      </w:r>
      <w:r>
        <w:rPr>
          <w:spacing w:val="40"/>
        </w:rPr>
        <w:t xml:space="preserve"> </w:t>
      </w:r>
      <w:r>
        <w:t>2025,</w:t>
      </w:r>
      <w:r>
        <w:rPr>
          <w:spacing w:val="40"/>
        </w:rPr>
        <w:t xml:space="preserve"> </w:t>
      </w:r>
      <w:r>
        <w:t>a</w:t>
      </w:r>
      <w:r>
        <w:rPr>
          <w:spacing w:val="40"/>
        </w:rPr>
        <w:t xml:space="preserve"> </w:t>
      </w:r>
      <w:r>
        <w:t>Receita</w:t>
      </w:r>
      <w:r>
        <w:rPr>
          <w:spacing w:val="40"/>
        </w:rPr>
        <w:t xml:space="preserve"> </w:t>
      </w:r>
      <w:r>
        <w:t>Operacional</w:t>
      </w:r>
      <w:r>
        <w:rPr>
          <w:spacing w:val="40"/>
        </w:rPr>
        <w:t xml:space="preserve"> </w:t>
      </w:r>
      <w:r>
        <w:t>Líquida</w:t>
      </w:r>
      <w:r>
        <w:rPr>
          <w:spacing w:val="40"/>
        </w:rPr>
        <w:t xml:space="preserve"> </w:t>
      </w:r>
      <w:r>
        <w:t>atingiu</w:t>
      </w:r>
      <w:r>
        <w:rPr>
          <w:spacing w:val="40"/>
        </w:rPr>
        <w:t xml:space="preserve"> </w:t>
      </w:r>
      <w:r>
        <w:t>o</w:t>
      </w:r>
      <w:r>
        <w:rPr>
          <w:spacing w:val="40"/>
        </w:rPr>
        <w:t xml:space="preserve"> </w:t>
      </w:r>
      <w:r>
        <w:t>montante</w:t>
      </w:r>
      <w:r>
        <w:rPr>
          <w:spacing w:val="40"/>
        </w:rPr>
        <w:t xml:space="preserve"> </w:t>
      </w:r>
      <w:r>
        <w:t>de</w:t>
      </w:r>
      <w:r>
        <w:rPr>
          <w:spacing w:val="40"/>
        </w:rPr>
        <w:t xml:space="preserve"> </w:t>
      </w:r>
      <w:r>
        <w:t>R$</w:t>
      </w:r>
      <w:r>
        <w:rPr>
          <w:spacing w:val="40"/>
        </w:rPr>
        <w:t xml:space="preserve"> </w:t>
      </w:r>
      <w:r>
        <w:t>491.009</w:t>
      </w:r>
      <w:r>
        <w:rPr>
          <w:spacing w:val="40"/>
        </w:rPr>
        <w:t xml:space="preserve"> </w:t>
      </w:r>
      <w:r>
        <w:t>(R$ 414.315</w:t>
      </w:r>
      <w:r>
        <w:rPr>
          <w:spacing w:val="40"/>
        </w:rPr>
        <w:t xml:space="preserve"> </w:t>
      </w:r>
      <w:r>
        <w:t>em</w:t>
      </w:r>
      <w:r>
        <w:rPr>
          <w:spacing w:val="40"/>
        </w:rPr>
        <w:t xml:space="preserve"> </w:t>
      </w:r>
      <w:r>
        <w:t>2024),</w:t>
      </w:r>
      <w:r>
        <w:rPr>
          <w:spacing w:val="40"/>
        </w:rPr>
        <w:t xml:space="preserve"> </w:t>
      </w:r>
      <w:r>
        <w:t>aumento</w:t>
      </w:r>
      <w:r>
        <w:rPr>
          <w:spacing w:val="40"/>
        </w:rPr>
        <w:t xml:space="preserve"> </w:t>
      </w:r>
      <w:r>
        <w:t>de</w:t>
      </w:r>
      <w:r>
        <w:rPr>
          <w:spacing w:val="40"/>
        </w:rPr>
        <w:t xml:space="preserve"> </w:t>
      </w:r>
      <w:r>
        <w:t>18,5%</w:t>
      </w:r>
      <w:r>
        <w:rPr>
          <w:spacing w:val="40"/>
        </w:rPr>
        <w:t xml:space="preserve"> </w:t>
      </w:r>
      <w:r>
        <w:t>na</w:t>
      </w:r>
      <w:r>
        <w:rPr>
          <w:spacing w:val="40"/>
        </w:rPr>
        <w:t xml:space="preserve"> </w:t>
      </w:r>
      <w:r>
        <w:t>comparação</w:t>
      </w:r>
      <w:r>
        <w:rPr>
          <w:spacing w:val="40"/>
        </w:rPr>
        <w:t xml:space="preserve"> </w:t>
      </w:r>
      <w:r>
        <w:t>com</w:t>
      </w:r>
      <w:r>
        <w:rPr>
          <w:spacing w:val="40"/>
        </w:rPr>
        <w:t xml:space="preserve"> </w:t>
      </w:r>
      <w:r>
        <w:t>o</w:t>
      </w:r>
      <w:r>
        <w:rPr>
          <w:spacing w:val="40"/>
        </w:rPr>
        <w:t xml:space="preserve"> </w:t>
      </w:r>
      <w:r>
        <w:t>mesmo</w:t>
      </w:r>
      <w:r>
        <w:rPr>
          <w:spacing w:val="40"/>
        </w:rPr>
        <w:t xml:space="preserve"> </w:t>
      </w:r>
      <w:r>
        <w:t>período</w:t>
      </w:r>
      <w:r>
        <w:rPr>
          <w:spacing w:val="40"/>
        </w:rPr>
        <w:t xml:space="preserve"> </w:t>
      </w:r>
      <w:r>
        <w:t>do</w:t>
      </w:r>
      <w:r>
        <w:rPr>
          <w:spacing w:val="40"/>
        </w:rPr>
        <w:t xml:space="preserve"> </w:t>
      </w:r>
      <w:r>
        <w:t>ano</w:t>
      </w:r>
      <w:r>
        <w:rPr>
          <w:spacing w:val="40"/>
        </w:rPr>
        <w:t xml:space="preserve"> </w:t>
      </w:r>
      <w:r>
        <w:t>anterior.</w:t>
      </w:r>
    </w:p>
    <w:p w14:paraId="3C3BA45A" w14:textId="77777777" w:rsidR="002C6574" w:rsidRDefault="00000000">
      <w:pPr>
        <w:pStyle w:val="Corpodetexto"/>
        <w:spacing w:before="221"/>
        <w:ind w:left="143"/>
        <w:jc w:val="both"/>
      </w:pPr>
      <w:r>
        <w:t>O</w:t>
      </w:r>
      <w:r>
        <w:rPr>
          <w:spacing w:val="33"/>
        </w:rPr>
        <w:t xml:space="preserve"> </w:t>
      </w:r>
      <w:r>
        <w:t>comportamento</w:t>
      </w:r>
      <w:r>
        <w:rPr>
          <w:spacing w:val="31"/>
        </w:rPr>
        <w:t xml:space="preserve"> </w:t>
      </w:r>
      <w:r>
        <w:t>da</w:t>
      </w:r>
      <w:r>
        <w:rPr>
          <w:spacing w:val="29"/>
        </w:rPr>
        <w:t xml:space="preserve"> </w:t>
      </w:r>
      <w:r>
        <w:t>receita</w:t>
      </w:r>
      <w:r>
        <w:rPr>
          <w:spacing w:val="31"/>
        </w:rPr>
        <w:t xml:space="preserve"> </w:t>
      </w:r>
      <w:r>
        <w:t>por</w:t>
      </w:r>
      <w:r>
        <w:rPr>
          <w:spacing w:val="31"/>
        </w:rPr>
        <w:t xml:space="preserve"> </w:t>
      </w:r>
      <w:r>
        <w:t>serviço</w:t>
      </w:r>
      <w:r>
        <w:rPr>
          <w:spacing w:val="31"/>
        </w:rPr>
        <w:t xml:space="preserve"> </w:t>
      </w:r>
      <w:r>
        <w:t>está</w:t>
      </w:r>
      <w:r>
        <w:rPr>
          <w:spacing w:val="33"/>
        </w:rPr>
        <w:t xml:space="preserve"> </w:t>
      </w:r>
      <w:r>
        <w:t>apresentado</w:t>
      </w:r>
      <w:r>
        <w:rPr>
          <w:spacing w:val="32"/>
        </w:rPr>
        <w:t xml:space="preserve"> </w:t>
      </w:r>
      <w:r>
        <w:t>a</w:t>
      </w:r>
      <w:r>
        <w:rPr>
          <w:spacing w:val="31"/>
        </w:rPr>
        <w:t xml:space="preserve"> </w:t>
      </w:r>
      <w:r>
        <w:rPr>
          <w:spacing w:val="-2"/>
        </w:rPr>
        <w:t>seguir:</w:t>
      </w:r>
    </w:p>
    <w:p w14:paraId="571CD853" w14:textId="77777777" w:rsidR="002C6574" w:rsidRDefault="00000000">
      <w:pPr>
        <w:pStyle w:val="Corpodetexto"/>
        <w:spacing w:before="202" w:line="237" w:lineRule="auto"/>
        <w:ind w:left="143" w:right="709"/>
        <w:jc w:val="both"/>
      </w:pPr>
      <w:r>
        <w:rPr>
          <w:rFonts w:ascii="Arial" w:hAnsi="Arial"/>
          <w:b/>
        </w:rPr>
        <w:t>Serviço</w:t>
      </w:r>
      <w:r>
        <w:rPr>
          <w:rFonts w:ascii="Arial" w:hAnsi="Arial"/>
          <w:b/>
          <w:spacing w:val="40"/>
        </w:rPr>
        <w:t xml:space="preserve"> </w:t>
      </w:r>
      <w:r>
        <w:rPr>
          <w:rFonts w:ascii="Arial" w:hAnsi="Arial"/>
          <w:b/>
        </w:rPr>
        <w:t>de</w:t>
      </w:r>
      <w:r>
        <w:rPr>
          <w:rFonts w:ascii="Arial" w:hAnsi="Arial"/>
          <w:b/>
          <w:spacing w:val="40"/>
        </w:rPr>
        <w:t xml:space="preserve"> </w:t>
      </w:r>
      <w:r>
        <w:rPr>
          <w:rFonts w:ascii="Arial" w:hAnsi="Arial"/>
          <w:b/>
        </w:rPr>
        <w:t>Comunicação</w:t>
      </w:r>
      <w:r>
        <w:rPr>
          <w:rFonts w:ascii="Arial" w:hAnsi="Arial"/>
          <w:b/>
          <w:spacing w:val="40"/>
        </w:rPr>
        <w:t xml:space="preserve"> </w:t>
      </w:r>
      <w:r>
        <w:rPr>
          <w:rFonts w:ascii="Arial" w:hAnsi="Arial"/>
          <w:b/>
        </w:rPr>
        <w:t>Multimídia</w:t>
      </w:r>
      <w:r>
        <w:rPr>
          <w:rFonts w:ascii="Arial" w:hAnsi="Arial"/>
          <w:b/>
          <w:spacing w:val="38"/>
        </w:rPr>
        <w:t xml:space="preserve"> </w:t>
      </w:r>
      <w:r>
        <w:rPr>
          <w:rFonts w:ascii="Arial" w:hAnsi="Arial"/>
          <w:b/>
        </w:rPr>
        <w:t>(SCM):</w:t>
      </w:r>
      <w:r>
        <w:rPr>
          <w:rFonts w:ascii="Arial" w:hAnsi="Arial"/>
          <w:b/>
          <w:spacing w:val="40"/>
        </w:rPr>
        <w:t xml:space="preserve"> </w:t>
      </w:r>
      <w:r>
        <w:t>A</w:t>
      </w:r>
      <w:r>
        <w:rPr>
          <w:spacing w:val="40"/>
        </w:rPr>
        <w:t xml:space="preserve"> </w:t>
      </w:r>
      <w:r>
        <w:t>receita</w:t>
      </w:r>
      <w:r>
        <w:rPr>
          <w:spacing w:val="40"/>
        </w:rPr>
        <w:t xml:space="preserve"> </w:t>
      </w:r>
      <w:r>
        <w:t>de</w:t>
      </w:r>
      <w:r>
        <w:rPr>
          <w:spacing w:val="40"/>
        </w:rPr>
        <w:t xml:space="preserve"> </w:t>
      </w:r>
      <w:r>
        <w:t>SCM</w:t>
      </w:r>
      <w:r>
        <w:rPr>
          <w:spacing w:val="40"/>
        </w:rPr>
        <w:t xml:space="preserve"> </w:t>
      </w:r>
      <w:r>
        <w:t>em</w:t>
      </w:r>
      <w:r>
        <w:rPr>
          <w:spacing w:val="37"/>
        </w:rPr>
        <w:t xml:space="preserve"> </w:t>
      </w:r>
      <w:r>
        <w:t>2025</w:t>
      </w:r>
      <w:r>
        <w:rPr>
          <w:spacing w:val="40"/>
        </w:rPr>
        <w:t xml:space="preserve"> </w:t>
      </w:r>
      <w:r>
        <w:t>totalizou</w:t>
      </w:r>
      <w:r>
        <w:rPr>
          <w:spacing w:val="40"/>
        </w:rPr>
        <w:t xml:space="preserve"> </w:t>
      </w:r>
      <w:r>
        <w:t>R$</w:t>
      </w:r>
      <w:r>
        <w:rPr>
          <w:spacing w:val="40"/>
        </w:rPr>
        <w:t xml:space="preserve"> </w:t>
      </w:r>
      <w:r>
        <w:t>432.484 (R$</w:t>
      </w:r>
      <w:r>
        <w:rPr>
          <w:spacing w:val="40"/>
        </w:rPr>
        <w:t xml:space="preserve"> </w:t>
      </w:r>
      <w:r>
        <w:t>355.951</w:t>
      </w:r>
      <w:r>
        <w:rPr>
          <w:spacing w:val="40"/>
        </w:rPr>
        <w:t xml:space="preserve"> </w:t>
      </w:r>
      <w:r>
        <w:t>em</w:t>
      </w:r>
      <w:r>
        <w:rPr>
          <w:spacing w:val="40"/>
        </w:rPr>
        <w:t xml:space="preserve"> </w:t>
      </w:r>
      <w:r>
        <w:t>2024),</w:t>
      </w:r>
      <w:r>
        <w:rPr>
          <w:spacing w:val="40"/>
        </w:rPr>
        <w:t xml:space="preserve"> </w:t>
      </w:r>
      <w:r>
        <w:t>representando</w:t>
      </w:r>
      <w:r>
        <w:rPr>
          <w:spacing w:val="38"/>
        </w:rPr>
        <w:t xml:space="preserve"> </w:t>
      </w:r>
      <w:r>
        <w:t>um</w:t>
      </w:r>
      <w:r>
        <w:rPr>
          <w:spacing w:val="40"/>
        </w:rPr>
        <w:t xml:space="preserve"> </w:t>
      </w:r>
      <w:r>
        <w:t>crescimento</w:t>
      </w:r>
      <w:r>
        <w:rPr>
          <w:spacing w:val="40"/>
        </w:rPr>
        <w:t xml:space="preserve"> </w:t>
      </w:r>
      <w:r>
        <w:t>de</w:t>
      </w:r>
      <w:r>
        <w:rPr>
          <w:spacing w:val="38"/>
        </w:rPr>
        <w:t xml:space="preserve"> </w:t>
      </w:r>
      <w:r>
        <w:t>21,5%</w:t>
      </w:r>
      <w:r>
        <w:rPr>
          <w:spacing w:val="40"/>
        </w:rPr>
        <w:t xml:space="preserve"> </w:t>
      </w:r>
      <w:r>
        <w:t>em</w:t>
      </w:r>
      <w:r>
        <w:rPr>
          <w:spacing w:val="40"/>
        </w:rPr>
        <w:t xml:space="preserve"> </w:t>
      </w:r>
      <w:r>
        <w:t>relação</w:t>
      </w:r>
      <w:r>
        <w:rPr>
          <w:spacing w:val="40"/>
        </w:rPr>
        <w:t xml:space="preserve"> </w:t>
      </w:r>
      <w:r>
        <w:t>ao</w:t>
      </w:r>
      <w:r>
        <w:rPr>
          <w:spacing w:val="40"/>
        </w:rPr>
        <w:t xml:space="preserve"> </w:t>
      </w:r>
      <w:r>
        <w:t>mesmo</w:t>
      </w:r>
      <w:r>
        <w:rPr>
          <w:spacing w:val="38"/>
        </w:rPr>
        <w:t xml:space="preserve"> </w:t>
      </w:r>
      <w:r>
        <w:t>período do</w:t>
      </w:r>
      <w:r>
        <w:rPr>
          <w:spacing w:val="40"/>
        </w:rPr>
        <w:t xml:space="preserve"> </w:t>
      </w:r>
      <w:r>
        <w:t>ano</w:t>
      </w:r>
      <w:r>
        <w:rPr>
          <w:spacing w:val="40"/>
        </w:rPr>
        <w:t xml:space="preserve"> </w:t>
      </w:r>
      <w:r>
        <w:t>anterior.</w:t>
      </w:r>
      <w:r>
        <w:rPr>
          <w:spacing w:val="40"/>
        </w:rPr>
        <w:t xml:space="preserve"> </w:t>
      </w:r>
      <w:r>
        <w:t>Esse</w:t>
      </w:r>
      <w:r>
        <w:rPr>
          <w:spacing w:val="40"/>
        </w:rPr>
        <w:t xml:space="preserve"> </w:t>
      </w:r>
      <w:r>
        <w:t>aumento</w:t>
      </w:r>
      <w:r>
        <w:rPr>
          <w:spacing w:val="40"/>
        </w:rPr>
        <w:t xml:space="preserve"> </w:t>
      </w:r>
      <w:r>
        <w:t>decorre</w:t>
      </w:r>
      <w:r>
        <w:rPr>
          <w:spacing w:val="40"/>
        </w:rPr>
        <w:t xml:space="preserve"> </w:t>
      </w:r>
      <w:r>
        <w:t>principalmente</w:t>
      </w:r>
      <w:r>
        <w:rPr>
          <w:spacing w:val="40"/>
        </w:rPr>
        <w:t xml:space="preserve"> </w:t>
      </w:r>
      <w:r>
        <w:t>de:</w:t>
      </w:r>
      <w:r>
        <w:rPr>
          <w:spacing w:val="40"/>
        </w:rPr>
        <w:t xml:space="preserve"> </w:t>
      </w:r>
      <w:r>
        <w:t>(i)</w:t>
      </w:r>
      <w:r>
        <w:rPr>
          <w:spacing w:val="40"/>
        </w:rPr>
        <w:t xml:space="preserve"> </w:t>
      </w:r>
      <w:r>
        <w:t>início</w:t>
      </w:r>
      <w:r>
        <w:rPr>
          <w:spacing w:val="40"/>
        </w:rPr>
        <w:t xml:space="preserve"> </w:t>
      </w:r>
      <w:r>
        <w:t>da</w:t>
      </w:r>
      <w:r>
        <w:rPr>
          <w:spacing w:val="40"/>
        </w:rPr>
        <w:t xml:space="preserve"> </w:t>
      </w:r>
      <w:r>
        <w:t>prestação</w:t>
      </w:r>
      <w:r>
        <w:rPr>
          <w:spacing w:val="40"/>
        </w:rPr>
        <w:t xml:space="preserve"> </w:t>
      </w:r>
      <w:r>
        <w:t>de</w:t>
      </w:r>
      <w:r>
        <w:rPr>
          <w:spacing w:val="40"/>
        </w:rPr>
        <w:t xml:space="preserve"> </w:t>
      </w:r>
      <w:r>
        <w:t>serviços</w:t>
      </w:r>
      <w:r>
        <w:rPr>
          <w:spacing w:val="40"/>
        </w:rPr>
        <w:t xml:space="preserve"> </w:t>
      </w:r>
      <w:r>
        <w:t>a novos clientes; e (ii) reajustes anuais nos preços dos contratos, especialmente no âmbito do programa GESAC.</w:t>
      </w:r>
    </w:p>
    <w:p w14:paraId="08A3DADF" w14:textId="77777777" w:rsidR="002C6574" w:rsidRDefault="00000000">
      <w:pPr>
        <w:pStyle w:val="Corpodetexto"/>
        <w:spacing w:before="244"/>
        <w:ind w:left="143" w:right="708"/>
        <w:jc w:val="both"/>
      </w:pPr>
      <w:r>
        <w:t>No quarto trimestre de 2025, a Telebras celebrou um contrato de operações de swap com a operadora</w:t>
      </w:r>
      <w:r>
        <w:rPr>
          <w:spacing w:val="40"/>
        </w:rPr>
        <w:t xml:space="preserve"> </w:t>
      </w:r>
      <w:r>
        <w:t>TIM</w:t>
      </w:r>
      <w:r>
        <w:rPr>
          <w:spacing w:val="40"/>
        </w:rPr>
        <w:t xml:space="preserve"> </w:t>
      </w:r>
      <w:r>
        <w:t>e,</w:t>
      </w:r>
      <w:r>
        <w:rPr>
          <w:spacing w:val="40"/>
        </w:rPr>
        <w:t xml:space="preserve"> </w:t>
      </w:r>
      <w:r>
        <w:t>em</w:t>
      </w:r>
      <w:r>
        <w:rPr>
          <w:spacing w:val="40"/>
        </w:rPr>
        <w:t xml:space="preserve"> </w:t>
      </w:r>
      <w:r>
        <w:t>consequência</w:t>
      </w:r>
      <w:r>
        <w:rPr>
          <w:spacing w:val="40"/>
        </w:rPr>
        <w:t xml:space="preserve"> </w:t>
      </w:r>
      <w:r>
        <w:t>desse</w:t>
      </w:r>
      <w:r>
        <w:rPr>
          <w:spacing w:val="40"/>
        </w:rPr>
        <w:t xml:space="preserve"> </w:t>
      </w:r>
      <w:r>
        <w:t>acordo,</w:t>
      </w:r>
      <w:r>
        <w:rPr>
          <w:spacing w:val="40"/>
        </w:rPr>
        <w:t xml:space="preserve"> </w:t>
      </w:r>
      <w:r>
        <w:t>reconheceu</w:t>
      </w:r>
      <w:r>
        <w:rPr>
          <w:spacing w:val="40"/>
        </w:rPr>
        <w:t xml:space="preserve"> </w:t>
      </w:r>
      <w:r>
        <w:t>em</w:t>
      </w:r>
      <w:r>
        <w:rPr>
          <w:spacing w:val="40"/>
        </w:rPr>
        <w:t xml:space="preserve"> </w:t>
      </w:r>
      <w:r>
        <w:t>seu</w:t>
      </w:r>
      <w:r>
        <w:rPr>
          <w:spacing w:val="40"/>
        </w:rPr>
        <w:t xml:space="preserve"> </w:t>
      </w:r>
      <w:r>
        <w:t>resultado</w:t>
      </w:r>
      <w:r>
        <w:rPr>
          <w:spacing w:val="40"/>
        </w:rPr>
        <w:t xml:space="preserve"> </w:t>
      </w:r>
      <w:r>
        <w:t>receita</w:t>
      </w:r>
      <w:r>
        <w:rPr>
          <w:spacing w:val="40"/>
        </w:rPr>
        <w:t xml:space="preserve"> </w:t>
      </w:r>
      <w:r>
        <w:t>de serviço</w:t>
      </w:r>
      <w:r>
        <w:rPr>
          <w:spacing w:val="40"/>
        </w:rPr>
        <w:t xml:space="preserve"> </w:t>
      </w:r>
      <w:r>
        <w:t>de</w:t>
      </w:r>
      <w:r>
        <w:rPr>
          <w:spacing w:val="40"/>
        </w:rPr>
        <w:t xml:space="preserve"> </w:t>
      </w:r>
      <w:r>
        <w:t>instalação</w:t>
      </w:r>
      <w:r>
        <w:rPr>
          <w:spacing w:val="40"/>
        </w:rPr>
        <w:t xml:space="preserve"> </w:t>
      </w:r>
      <w:r>
        <w:t>no</w:t>
      </w:r>
      <w:r>
        <w:rPr>
          <w:spacing w:val="40"/>
        </w:rPr>
        <w:t xml:space="preserve"> </w:t>
      </w:r>
      <w:r>
        <w:t>montante</w:t>
      </w:r>
      <w:r>
        <w:rPr>
          <w:spacing w:val="40"/>
        </w:rPr>
        <w:t xml:space="preserve"> </w:t>
      </w:r>
      <w:r>
        <w:t>de</w:t>
      </w:r>
      <w:r>
        <w:rPr>
          <w:spacing w:val="40"/>
        </w:rPr>
        <w:t xml:space="preserve"> </w:t>
      </w:r>
      <w:r>
        <w:t>R$</w:t>
      </w:r>
      <w:r>
        <w:rPr>
          <w:spacing w:val="40"/>
        </w:rPr>
        <w:t xml:space="preserve"> </w:t>
      </w:r>
      <w:r>
        <w:t>12.803.</w:t>
      </w:r>
    </w:p>
    <w:p w14:paraId="11105403" w14:textId="77777777" w:rsidR="002C6574" w:rsidRDefault="00000000">
      <w:pPr>
        <w:spacing w:before="238" w:line="237" w:lineRule="auto"/>
        <w:ind w:left="143" w:right="707"/>
        <w:jc w:val="both"/>
      </w:pPr>
      <w:r>
        <w:rPr>
          <w:rFonts w:ascii="Arial" w:hAnsi="Arial"/>
          <w:b/>
        </w:rPr>
        <w:t xml:space="preserve">Locação de Capacidade Satelital: </w:t>
      </w:r>
      <w:r>
        <w:t>o serviço de locação de capacidade permaneceu estável na comparação entre os anos 2025 e 2024, totalizando R$ 36.480.</w:t>
      </w:r>
    </w:p>
    <w:p w14:paraId="3A73B701" w14:textId="77777777" w:rsidR="002C6574" w:rsidRDefault="002C6574">
      <w:pPr>
        <w:pStyle w:val="Corpodetexto"/>
        <w:spacing w:before="1"/>
      </w:pPr>
    </w:p>
    <w:p w14:paraId="044078E2" w14:textId="77777777" w:rsidR="002C6574" w:rsidRDefault="00000000">
      <w:pPr>
        <w:pStyle w:val="Corpodetexto"/>
        <w:spacing w:line="237" w:lineRule="auto"/>
        <w:ind w:left="143" w:right="703"/>
        <w:jc w:val="both"/>
      </w:pPr>
      <w:r>
        <w:rPr>
          <w:rFonts w:ascii="Arial" w:hAnsi="Arial"/>
          <w:b/>
        </w:rPr>
        <w:t>Aluguéis e Locações – Outras:</w:t>
      </w:r>
      <w:r>
        <w:rPr>
          <w:rFonts w:ascii="Arial" w:hAnsi="Arial"/>
          <w:b/>
          <w:spacing w:val="40"/>
        </w:rPr>
        <w:t xml:space="preserve"> </w:t>
      </w:r>
      <w:r>
        <w:t>compreende o aluguel de cabos ópticos, locação de roteadores e aluguel</w:t>
      </w:r>
      <w:r>
        <w:rPr>
          <w:spacing w:val="-4"/>
        </w:rPr>
        <w:t xml:space="preserve"> </w:t>
      </w:r>
      <w:r>
        <w:t>de</w:t>
      </w:r>
      <w:r>
        <w:rPr>
          <w:spacing w:val="-4"/>
        </w:rPr>
        <w:t xml:space="preserve"> </w:t>
      </w:r>
      <w:r>
        <w:t>infraestrutura</w:t>
      </w:r>
      <w:r>
        <w:rPr>
          <w:spacing w:val="-11"/>
        </w:rPr>
        <w:t xml:space="preserve"> </w:t>
      </w:r>
      <w:r>
        <w:t>do</w:t>
      </w:r>
      <w:r>
        <w:rPr>
          <w:spacing w:val="-4"/>
        </w:rPr>
        <w:t xml:space="preserve"> </w:t>
      </w:r>
      <w:r>
        <w:t>segmento</w:t>
      </w:r>
      <w:r>
        <w:rPr>
          <w:spacing w:val="-9"/>
        </w:rPr>
        <w:t xml:space="preserve"> </w:t>
      </w:r>
      <w:r>
        <w:t>satelital</w:t>
      </w:r>
      <w:r>
        <w:rPr>
          <w:spacing w:val="-8"/>
        </w:rPr>
        <w:t xml:space="preserve"> </w:t>
      </w:r>
      <w:r>
        <w:t>(contrato</w:t>
      </w:r>
      <w:r>
        <w:rPr>
          <w:spacing w:val="-9"/>
        </w:rPr>
        <w:t xml:space="preserve"> </w:t>
      </w:r>
      <w:r>
        <w:t>de</w:t>
      </w:r>
      <w:r>
        <w:rPr>
          <w:spacing w:val="-9"/>
        </w:rPr>
        <w:t xml:space="preserve"> </w:t>
      </w:r>
      <w:r>
        <w:t>parceria</w:t>
      </w:r>
      <w:r>
        <w:rPr>
          <w:spacing w:val="-11"/>
        </w:rPr>
        <w:t xml:space="preserve"> </w:t>
      </w:r>
      <w:r>
        <w:t>com</w:t>
      </w:r>
      <w:r>
        <w:rPr>
          <w:spacing w:val="-7"/>
        </w:rPr>
        <w:t xml:space="preserve"> </w:t>
      </w:r>
      <w:r>
        <w:t>a</w:t>
      </w:r>
      <w:r>
        <w:rPr>
          <w:spacing w:val="-9"/>
        </w:rPr>
        <w:t xml:space="preserve"> </w:t>
      </w:r>
      <w:r>
        <w:t>Viasat).</w:t>
      </w:r>
      <w:r>
        <w:rPr>
          <w:spacing w:val="-4"/>
        </w:rPr>
        <w:t xml:space="preserve"> </w:t>
      </w:r>
      <w:r>
        <w:t>Em</w:t>
      </w:r>
      <w:r>
        <w:rPr>
          <w:spacing w:val="-8"/>
        </w:rPr>
        <w:t xml:space="preserve"> </w:t>
      </w:r>
      <w:r>
        <w:t>2025,</w:t>
      </w:r>
      <w:r>
        <w:rPr>
          <w:spacing w:val="-7"/>
        </w:rPr>
        <w:t xml:space="preserve"> </w:t>
      </w:r>
      <w:r>
        <w:t>a</w:t>
      </w:r>
      <w:r>
        <w:rPr>
          <w:spacing w:val="-11"/>
        </w:rPr>
        <w:t xml:space="preserve"> </w:t>
      </w:r>
      <w:r>
        <w:t>receita reconhecida</w:t>
      </w:r>
      <w:r>
        <w:rPr>
          <w:spacing w:val="32"/>
        </w:rPr>
        <w:t xml:space="preserve"> </w:t>
      </w:r>
      <w:r>
        <w:t>desta rubrica</w:t>
      </w:r>
      <w:r>
        <w:rPr>
          <w:spacing w:val="30"/>
        </w:rPr>
        <w:t xml:space="preserve"> </w:t>
      </w:r>
      <w:r>
        <w:t>totalizou</w:t>
      </w:r>
      <w:r>
        <w:rPr>
          <w:spacing w:val="32"/>
        </w:rPr>
        <w:t xml:space="preserve"> </w:t>
      </w:r>
      <w:r>
        <w:t>R$</w:t>
      </w:r>
      <w:r>
        <w:rPr>
          <w:spacing w:val="33"/>
        </w:rPr>
        <w:t xml:space="preserve"> </w:t>
      </w:r>
      <w:r>
        <w:t>28.382 (R$ 26.918 em</w:t>
      </w:r>
      <w:r>
        <w:rPr>
          <w:spacing w:val="30"/>
        </w:rPr>
        <w:t xml:space="preserve"> </w:t>
      </w:r>
      <w:r>
        <w:t>2024),</w:t>
      </w:r>
      <w:r>
        <w:rPr>
          <w:spacing w:val="30"/>
        </w:rPr>
        <w:t xml:space="preserve"> </w:t>
      </w:r>
      <w:r>
        <w:t>aumento</w:t>
      </w:r>
      <w:r>
        <w:rPr>
          <w:spacing w:val="30"/>
        </w:rPr>
        <w:t xml:space="preserve"> </w:t>
      </w:r>
      <w:r>
        <w:t>de 5,4%.</w:t>
      </w:r>
    </w:p>
    <w:p w14:paraId="386A2F93" w14:textId="77777777" w:rsidR="002C6574" w:rsidRDefault="00000000">
      <w:pPr>
        <w:pStyle w:val="Corpodetexto"/>
        <w:spacing w:before="137" w:line="237" w:lineRule="auto"/>
        <w:ind w:left="143" w:right="702"/>
        <w:jc w:val="both"/>
      </w:pPr>
      <w:r>
        <w:rPr>
          <w:rFonts w:ascii="Arial" w:hAnsi="Arial"/>
          <w:b/>
        </w:rPr>
        <w:t xml:space="preserve">Compartilhamento de Receitas: </w:t>
      </w:r>
      <w:r>
        <w:t>Em 2025, a Telebras reconheceu R$ 10.421 (R$ 13.633 em 2024) em receitas de</w:t>
      </w:r>
      <w:r>
        <w:rPr>
          <w:spacing w:val="-2"/>
        </w:rPr>
        <w:t xml:space="preserve"> </w:t>
      </w:r>
      <w:r>
        <w:t>compartilhamento, o que representa uma redução de 23,6% no comparativo anual. A queda é explicada, principalmente, pelo menor volume de recursos recebidos da Viasat no período, refletindo a diminuição das atividades vinculadas ao acordo comercial entre as partes.</w:t>
      </w:r>
    </w:p>
    <w:p w14:paraId="5CAFDA17" w14:textId="77777777" w:rsidR="002C6574" w:rsidRDefault="00000000">
      <w:pPr>
        <w:pStyle w:val="Corpodetexto"/>
        <w:spacing w:before="216" w:line="237" w:lineRule="auto"/>
        <w:ind w:left="143" w:right="703"/>
        <w:jc w:val="both"/>
      </w:pPr>
      <w:r>
        <w:rPr>
          <w:rFonts w:ascii="Arial" w:hAnsi="Arial"/>
          <w:b/>
        </w:rPr>
        <w:t xml:space="preserve">Serviço de Valor Adicionado (SVA): </w:t>
      </w:r>
      <w:r>
        <w:t>Em 2025, a receita de SVA totalizou R$ 26.411 (R$ 20.029 em 2024), o que representa um crescimento de 31,9% na comparação anual. O aumento é decorrente</w:t>
      </w:r>
      <w:r>
        <w:rPr>
          <w:spacing w:val="80"/>
        </w:rPr>
        <w:t xml:space="preserve"> </w:t>
      </w:r>
      <w:r>
        <w:t>da expansão do portfólio de serviços de valor adicionado, que impulsionou a demanda e ampliou a participação dessa linha no resultado operacional da companhia.</w:t>
      </w:r>
    </w:p>
    <w:p w14:paraId="614E8D54" w14:textId="77777777" w:rsidR="002C6574" w:rsidRDefault="002C6574">
      <w:pPr>
        <w:pStyle w:val="Corpodetexto"/>
        <w:spacing w:line="237" w:lineRule="auto"/>
        <w:jc w:val="both"/>
        <w:sectPr w:rsidR="002C6574">
          <w:headerReference w:type="default" r:id="rId87"/>
          <w:footerReference w:type="default" r:id="rId88"/>
          <w:pgSz w:w="11910" w:h="16840"/>
          <w:pgMar w:top="2500" w:right="141" w:bottom="1540" w:left="1133" w:header="1763" w:footer="1350" w:gutter="0"/>
          <w:cols w:space="720"/>
        </w:sectPr>
      </w:pPr>
    </w:p>
    <w:p w14:paraId="1D90BBB7" w14:textId="77777777" w:rsidR="002C6574" w:rsidRDefault="00000000">
      <w:pPr>
        <w:pStyle w:val="Corpodetexto"/>
        <w:spacing w:before="198"/>
        <w:ind w:left="143" w:right="702"/>
        <w:jc w:val="both"/>
      </w:pPr>
      <w:r>
        <w:rPr>
          <w:rFonts w:ascii="Arial" w:hAnsi="Arial"/>
          <w:b/>
        </w:rPr>
        <w:lastRenderedPageBreak/>
        <w:t xml:space="preserve">Outras Receitas: </w:t>
      </w:r>
      <w:r>
        <w:t>As Outras Receitas, que totalizaram em 2025 R$ 6.730 (R$ 9.379 em 2024), correspondem aos valores reconhecidos pela prestação de serviços de Wi-Fi, abrangendo os programas Wi-Fi Brasil, Wi-Fi Telebras e Wi-Fi Externo. Em 2025, esse serviço apresentou uma redução de 28,2% em relação ao montante registrado em 2024.</w:t>
      </w:r>
    </w:p>
    <w:p w14:paraId="547E1A0B" w14:textId="77777777" w:rsidR="002C6574" w:rsidRDefault="00000000">
      <w:pPr>
        <w:pStyle w:val="Corpodetexto"/>
        <w:spacing w:before="284"/>
        <w:ind w:left="143" w:right="702"/>
        <w:jc w:val="both"/>
      </w:pPr>
      <w:r>
        <w:t>Embora tenha havido aumento no número de clientes atendidos, a queda no resultado é explicada, principalmente,</w:t>
      </w:r>
      <w:r>
        <w:rPr>
          <w:spacing w:val="-5"/>
        </w:rPr>
        <w:t xml:space="preserve"> </w:t>
      </w:r>
      <w:r>
        <w:t>pela</w:t>
      </w:r>
      <w:r>
        <w:rPr>
          <w:spacing w:val="-7"/>
        </w:rPr>
        <w:t xml:space="preserve"> </w:t>
      </w:r>
      <w:r>
        <w:t>diminuição</w:t>
      </w:r>
      <w:r>
        <w:rPr>
          <w:spacing w:val="-2"/>
        </w:rPr>
        <w:t xml:space="preserve"> </w:t>
      </w:r>
      <w:r>
        <w:t>dos</w:t>
      </w:r>
      <w:r>
        <w:rPr>
          <w:spacing w:val="-5"/>
        </w:rPr>
        <w:t xml:space="preserve"> </w:t>
      </w:r>
      <w:r>
        <w:t>pontos</w:t>
      </w:r>
      <w:r>
        <w:rPr>
          <w:spacing w:val="-5"/>
        </w:rPr>
        <w:t xml:space="preserve"> </w:t>
      </w:r>
      <w:r>
        <w:t>ativos</w:t>
      </w:r>
      <w:r>
        <w:rPr>
          <w:spacing w:val="-7"/>
        </w:rPr>
        <w:t xml:space="preserve"> </w:t>
      </w:r>
      <w:r>
        <w:t>do</w:t>
      </w:r>
      <w:r>
        <w:rPr>
          <w:spacing w:val="-4"/>
        </w:rPr>
        <w:t xml:space="preserve"> </w:t>
      </w:r>
      <w:r>
        <w:t>programa</w:t>
      </w:r>
      <w:r>
        <w:rPr>
          <w:spacing w:val="-7"/>
        </w:rPr>
        <w:t xml:space="preserve"> </w:t>
      </w:r>
      <w:r>
        <w:t>GESAC,</w:t>
      </w:r>
      <w:r>
        <w:rPr>
          <w:spacing w:val="-5"/>
        </w:rPr>
        <w:t xml:space="preserve"> </w:t>
      </w:r>
      <w:r>
        <w:t>ao</w:t>
      </w:r>
      <w:r>
        <w:rPr>
          <w:spacing w:val="-9"/>
        </w:rPr>
        <w:t xml:space="preserve"> </w:t>
      </w:r>
      <w:r>
        <w:t>qual</w:t>
      </w:r>
      <w:r>
        <w:rPr>
          <w:spacing w:val="-2"/>
        </w:rPr>
        <w:t xml:space="preserve"> </w:t>
      </w:r>
      <w:r>
        <w:t>o</w:t>
      </w:r>
      <w:r>
        <w:rPr>
          <w:spacing w:val="-7"/>
        </w:rPr>
        <w:t xml:space="preserve"> </w:t>
      </w:r>
      <w:r>
        <w:t>serviço</w:t>
      </w:r>
      <w:r>
        <w:rPr>
          <w:spacing w:val="-7"/>
        </w:rPr>
        <w:t xml:space="preserve"> </w:t>
      </w:r>
      <w:r>
        <w:t>Wi-Fi</w:t>
      </w:r>
      <w:r>
        <w:rPr>
          <w:spacing w:val="-8"/>
        </w:rPr>
        <w:t xml:space="preserve"> </w:t>
      </w:r>
      <w:r>
        <w:t>Brasil está</w:t>
      </w:r>
      <w:r>
        <w:rPr>
          <w:spacing w:val="-13"/>
        </w:rPr>
        <w:t xml:space="preserve"> </w:t>
      </w:r>
      <w:r>
        <w:t>vinculado.</w:t>
      </w:r>
      <w:r>
        <w:rPr>
          <w:spacing w:val="-14"/>
        </w:rPr>
        <w:t xml:space="preserve"> </w:t>
      </w:r>
      <w:r>
        <w:t>A</w:t>
      </w:r>
      <w:r>
        <w:rPr>
          <w:spacing w:val="-14"/>
        </w:rPr>
        <w:t xml:space="preserve"> </w:t>
      </w:r>
      <w:r>
        <w:t>redução</w:t>
      </w:r>
      <w:r>
        <w:rPr>
          <w:spacing w:val="-13"/>
        </w:rPr>
        <w:t xml:space="preserve"> </w:t>
      </w:r>
      <w:r>
        <w:t>na</w:t>
      </w:r>
      <w:r>
        <w:rPr>
          <w:spacing w:val="-12"/>
        </w:rPr>
        <w:t xml:space="preserve"> </w:t>
      </w:r>
      <w:r>
        <w:t>quantidade</w:t>
      </w:r>
      <w:r>
        <w:rPr>
          <w:spacing w:val="-13"/>
        </w:rPr>
        <w:t xml:space="preserve"> </w:t>
      </w:r>
      <w:r>
        <w:t>de</w:t>
      </w:r>
      <w:r>
        <w:rPr>
          <w:spacing w:val="-16"/>
        </w:rPr>
        <w:t xml:space="preserve"> </w:t>
      </w:r>
      <w:r>
        <w:t>pontos</w:t>
      </w:r>
      <w:r>
        <w:rPr>
          <w:spacing w:val="-11"/>
        </w:rPr>
        <w:t xml:space="preserve"> </w:t>
      </w:r>
      <w:r>
        <w:t>instalados</w:t>
      </w:r>
      <w:r>
        <w:rPr>
          <w:spacing w:val="-12"/>
        </w:rPr>
        <w:t xml:space="preserve"> </w:t>
      </w:r>
      <w:r>
        <w:t>afetou</w:t>
      </w:r>
      <w:r>
        <w:rPr>
          <w:spacing w:val="-13"/>
        </w:rPr>
        <w:t xml:space="preserve"> </w:t>
      </w:r>
      <w:r>
        <w:t>diretamente</w:t>
      </w:r>
      <w:r>
        <w:rPr>
          <w:spacing w:val="-16"/>
        </w:rPr>
        <w:t xml:space="preserve"> </w:t>
      </w:r>
      <w:r>
        <w:t>o</w:t>
      </w:r>
      <w:r>
        <w:rPr>
          <w:spacing w:val="-12"/>
        </w:rPr>
        <w:t xml:space="preserve"> </w:t>
      </w:r>
      <w:r>
        <w:t>volume</w:t>
      </w:r>
      <w:r>
        <w:rPr>
          <w:spacing w:val="-16"/>
        </w:rPr>
        <w:t xml:space="preserve"> </w:t>
      </w:r>
      <w:r>
        <w:t>de</w:t>
      </w:r>
      <w:r>
        <w:rPr>
          <w:spacing w:val="-13"/>
        </w:rPr>
        <w:t xml:space="preserve"> </w:t>
      </w:r>
      <w:r>
        <w:t>receita reconhecida no período, sobrepondo-se ao crescimento da base de usuários.</w:t>
      </w:r>
    </w:p>
    <w:p w14:paraId="04BA0B8A" w14:textId="77777777" w:rsidR="002C6574" w:rsidRDefault="00000000">
      <w:pPr>
        <w:pStyle w:val="Corpodetexto"/>
        <w:spacing w:before="284"/>
        <w:ind w:left="143" w:right="703"/>
        <w:jc w:val="both"/>
      </w:pPr>
      <w:r>
        <w:t>Em 31 de dezembro de 2025 e 2024, a Companhia possuía clientes (Entidades Governamentais representativas do Governo Federal), que contribuíram com mais de 10% (dez por cento) da receita operacional bruta.</w:t>
      </w:r>
    </w:p>
    <w:p w14:paraId="7059640D" w14:textId="77777777" w:rsidR="002C6574" w:rsidRDefault="00000000">
      <w:pPr>
        <w:pStyle w:val="Corpodetexto"/>
        <w:spacing w:line="237" w:lineRule="auto"/>
        <w:ind w:left="143" w:right="706"/>
        <w:jc w:val="both"/>
      </w:pPr>
      <w:r>
        <w:t>Todos os valores que compõem a receita operacional líquida integram a base para o cálculo de Imposto de Renda e Contribuição Social.</w:t>
      </w:r>
    </w:p>
    <w:p w14:paraId="30604C65" w14:textId="77777777" w:rsidR="002C6574" w:rsidRDefault="00000000">
      <w:pPr>
        <w:numPr>
          <w:ilvl w:val="0"/>
          <w:numId w:val="54"/>
        </w:numPr>
        <w:tabs>
          <w:tab w:val="left" w:pos="995"/>
        </w:tabs>
        <w:spacing w:before="242"/>
        <w:ind w:left="995" w:hanging="852"/>
        <w:rPr>
          <w:rFonts w:ascii="Arial"/>
          <w:b/>
        </w:rPr>
      </w:pPr>
      <w:r>
        <w:rPr>
          <w:rFonts w:ascii="Arial"/>
          <w:b/>
        </w:rPr>
        <w:t>CUSTOS/DESPESAS</w:t>
      </w:r>
      <w:r>
        <w:rPr>
          <w:rFonts w:ascii="Arial"/>
          <w:b/>
          <w:spacing w:val="-6"/>
        </w:rPr>
        <w:t xml:space="preserve"> </w:t>
      </w:r>
      <w:r>
        <w:rPr>
          <w:rFonts w:ascii="Arial"/>
          <w:b/>
        </w:rPr>
        <w:t>POR</w:t>
      </w:r>
      <w:r>
        <w:rPr>
          <w:rFonts w:ascii="Arial"/>
          <w:b/>
          <w:spacing w:val="-6"/>
        </w:rPr>
        <w:t xml:space="preserve"> </w:t>
      </w:r>
      <w:r>
        <w:rPr>
          <w:rFonts w:ascii="Arial"/>
          <w:b/>
          <w:spacing w:val="-2"/>
        </w:rPr>
        <w:t>NATUREZA</w:t>
      </w:r>
    </w:p>
    <w:p w14:paraId="795F9A53" w14:textId="77777777" w:rsidR="002C6574" w:rsidRDefault="00000000">
      <w:pPr>
        <w:pStyle w:val="Corpodetexto"/>
        <w:spacing w:before="135" w:line="208" w:lineRule="auto"/>
        <w:ind w:left="143" w:right="705"/>
        <w:jc w:val="both"/>
      </w:pPr>
      <w:r>
        <w:t>Os custos e as despesas operacionais por natureza nos exercícios de 2025 e 2024 estão</w:t>
      </w:r>
      <w:r>
        <w:rPr>
          <w:spacing w:val="40"/>
        </w:rPr>
        <w:t xml:space="preserve"> </w:t>
      </w:r>
      <w:r>
        <w:t>apresentados a seguir:</w:t>
      </w:r>
    </w:p>
    <w:p w14:paraId="63B067F9" w14:textId="77777777" w:rsidR="002C6574" w:rsidRDefault="002C6574">
      <w:pPr>
        <w:pStyle w:val="Corpodetexto"/>
        <w:spacing w:before="12"/>
        <w:rPr>
          <w:sz w:val="11"/>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7"/>
        <w:gridCol w:w="1694"/>
        <w:gridCol w:w="1468"/>
      </w:tblGrid>
      <w:tr w:rsidR="002C6574" w14:paraId="737EFC88" w14:textId="77777777">
        <w:trPr>
          <w:trHeight w:val="232"/>
        </w:trPr>
        <w:tc>
          <w:tcPr>
            <w:tcW w:w="6607" w:type="dxa"/>
            <w:shd w:val="clear" w:color="auto" w:fill="D8D8D8"/>
          </w:tcPr>
          <w:p w14:paraId="0191A52F" w14:textId="77777777" w:rsidR="002C6574" w:rsidRDefault="00000000">
            <w:pPr>
              <w:pStyle w:val="TableParagraph"/>
              <w:spacing w:before="13" w:line="199" w:lineRule="exact"/>
              <w:ind w:left="69"/>
              <w:jc w:val="left"/>
              <w:rPr>
                <w:rFonts w:ascii="Arial" w:hAnsi="Arial"/>
                <w:b/>
                <w:sz w:val="18"/>
              </w:rPr>
            </w:pPr>
            <w:r>
              <w:rPr>
                <w:rFonts w:ascii="Arial" w:hAnsi="Arial"/>
                <w:b/>
                <w:sz w:val="18"/>
              </w:rPr>
              <w:t>Custos</w:t>
            </w:r>
            <w:r>
              <w:rPr>
                <w:rFonts w:ascii="Arial" w:hAnsi="Arial"/>
                <w:b/>
                <w:spacing w:val="-1"/>
                <w:sz w:val="18"/>
              </w:rPr>
              <w:t xml:space="preserve"> </w:t>
            </w:r>
            <w:r>
              <w:rPr>
                <w:rFonts w:ascii="Arial" w:hAnsi="Arial"/>
                <w:b/>
                <w:sz w:val="18"/>
              </w:rPr>
              <w:t>dos Serviços</w:t>
            </w:r>
            <w:r>
              <w:rPr>
                <w:rFonts w:ascii="Arial" w:hAnsi="Arial"/>
                <w:b/>
                <w:spacing w:val="2"/>
                <w:sz w:val="18"/>
              </w:rPr>
              <w:t xml:space="preserve"> </w:t>
            </w:r>
            <w:r>
              <w:rPr>
                <w:rFonts w:ascii="Arial" w:hAnsi="Arial"/>
                <w:b/>
                <w:spacing w:val="-2"/>
                <w:sz w:val="18"/>
              </w:rPr>
              <w:t>Prestados</w:t>
            </w:r>
          </w:p>
        </w:tc>
        <w:tc>
          <w:tcPr>
            <w:tcW w:w="1694" w:type="dxa"/>
          </w:tcPr>
          <w:p w14:paraId="4B7ABADD" w14:textId="77777777" w:rsidR="002C6574" w:rsidRDefault="00000000">
            <w:pPr>
              <w:pStyle w:val="TableParagraph"/>
              <w:spacing w:before="13" w:line="199" w:lineRule="exact"/>
              <w:ind w:left="396"/>
              <w:jc w:val="left"/>
              <w:rPr>
                <w:rFonts w:ascii="Arial"/>
                <w:b/>
                <w:sz w:val="18"/>
              </w:rPr>
            </w:pPr>
            <w:r>
              <w:rPr>
                <w:rFonts w:ascii="Arial"/>
                <w:b/>
                <w:spacing w:val="-2"/>
                <w:sz w:val="18"/>
              </w:rPr>
              <w:t>31/12/2025</w:t>
            </w:r>
          </w:p>
        </w:tc>
        <w:tc>
          <w:tcPr>
            <w:tcW w:w="1468" w:type="dxa"/>
          </w:tcPr>
          <w:p w14:paraId="3E5F925E" w14:textId="77777777" w:rsidR="002C6574" w:rsidRDefault="00000000">
            <w:pPr>
              <w:pStyle w:val="TableParagraph"/>
              <w:spacing w:before="13" w:line="199" w:lineRule="exact"/>
              <w:ind w:left="284"/>
              <w:jc w:val="left"/>
              <w:rPr>
                <w:rFonts w:ascii="Arial"/>
                <w:b/>
                <w:sz w:val="18"/>
              </w:rPr>
            </w:pPr>
            <w:r>
              <w:rPr>
                <w:rFonts w:ascii="Arial"/>
                <w:b/>
                <w:spacing w:val="-2"/>
                <w:sz w:val="18"/>
              </w:rPr>
              <w:t>31/12/2024</w:t>
            </w:r>
          </w:p>
        </w:tc>
      </w:tr>
      <w:tr w:rsidR="002C6574" w14:paraId="590FCBCB" w14:textId="77777777">
        <w:trPr>
          <w:trHeight w:val="232"/>
        </w:trPr>
        <w:tc>
          <w:tcPr>
            <w:tcW w:w="6607" w:type="dxa"/>
          </w:tcPr>
          <w:p w14:paraId="69AAEC2F" w14:textId="77777777" w:rsidR="002C6574" w:rsidRDefault="00000000">
            <w:pPr>
              <w:pStyle w:val="TableParagraph"/>
              <w:spacing w:line="212" w:lineRule="exact"/>
              <w:ind w:left="69"/>
              <w:jc w:val="left"/>
              <w:rPr>
                <w:sz w:val="18"/>
              </w:rPr>
            </w:pPr>
            <w:r>
              <w:rPr>
                <w:sz w:val="18"/>
              </w:rPr>
              <w:t>Depreciação</w:t>
            </w:r>
            <w:r>
              <w:rPr>
                <w:spacing w:val="18"/>
                <w:sz w:val="18"/>
              </w:rPr>
              <w:t xml:space="preserve"> </w:t>
            </w:r>
            <w:r>
              <w:rPr>
                <w:sz w:val="18"/>
              </w:rPr>
              <w:t>e</w:t>
            </w:r>
            <w:r>
              <w:rPr>
                <w:spacing w:val="11"/>
                <w:sz w:val="18"/>
              </w:rPr>
              <w:t xml:space="preserve"> </w:t>
            </w:r>
            <w:r>
              <w:rPr>
                <w:spacing w:val="-2"/>
                <w:sz w:val="18"/>
              </w:rPr>
              <w:t>Amortização</w:t>
            </w:r>
          </w:p>
        </w:tc>
        <w:tc>
          <w:tcPr>
            <w:tcW w:w="1694" w:type="dxa"/>
          </w:tcPr>
          <w:p w14:paraId="5D33ADCD" w14:textId="77777777" w:rsidR="002C6574" w:rsidRDefault="00000000">
            <w:pPr>
              <w:pStyle w:val="TableParagraph"/>
              <w:spacing w:line="212" w:lineRule="exact"/>
              <w:ind w:right="57"/>
              <w:rPr>
                <w:sz w:val="18"/>
              </w:rPr>
            </w:pPr>
            <w:r>
              <w:rPr>
                <w:spacing w:val="-2"/>
                <w:w w:val="105"/>
                <w:sz w:val="18"/>
              </w:rPr>
              <w:t>(259.639)</w:t>
            </w:r>
          </w:p>
        </w:tc>
        <w:tc>
          <w:tcPr>
            <w:tcW w:w="1468" w:type="dxa"/>
          </w:tcPr>
          <w:p w14:paraId="229F6C70" w14:textId="77777777" w:rsidR="002C6574" w:rsidRDefault="00000000">
            <w:pPr>
              <w:pStyle w:val="TableParagraph"/>
              <w:spacing w:line="212" w:lineRule="exact"/>
              <w:ind w:right="54"/>
              <w:rPr>
                <w:sz w:val="18"/>
              </w:rPr>
            </w:pPr>
            <w:r>
              <w:rPr>
                <w:spacing w:val="-2"/>
                <w:w w:val="105"/>
                <w:sz w:val="18"/>
              </w:rPr>
              <w:t>(257.386)</w:t>
            </w:r>
          </w:p>
        </w:tc>
      </w:tr>
      <w:tr w:rsidR="002C6574" w14:paraId="7C1EF9CF" w14:textId="77777777">
        <w:trPr>
          <w:trHeight w:val="232"/>
        </w:trPr>
        <w:tc>
          <w:tcPr>
            <w:tcW w:w="6607" w:type="dxa"/>
          </w:tcPr>
          <w:p w14:paraId="4E0A130C" w14:textId="77777777" w:rsidR="002C6574" w:rsidRDefault="00000000">
            <w:pPr>
              <w:pStyle w:val="TableParagraph"/>
              <w:spacing w:line="212" w:lineRule="exact"/>
              <w:ind w:left="69"/>
              <w:jc w:val="left"/>
              <w:rPr>
                <w:sz w:val="18"/>
              </w:rPr>
            </w:pPr>
            <w:r>
              <w:rPr>
                <w:sz w:val="18"/>
              </w:rPr>
              <w:t>Meios</w:t>
            </w:r>
            <w:r>
              <w:rPr>
                <w:spacing w:val="4"/>
                <w:sz w:val="18"/>
              </w:rPr>
              <w:t xml:space="preserve"> </w:t>
            </w:r>
            <w:r>
              <w:rPr>
                <w:sz w:val="18"/>
              </w:rPr>
              <w:t>de</w:t>
            </w:r>
            <w:r>
              <w:rPr>
                <w:spacing w:val="6"/>
                <w:sz w:val="18"/>
              </w:rPr>
              <w:t xml:space="preserve"> </w:t>
            </w:r>
            <w:r>
              <w:rPr>
                <w:sz w:val="18"/>
              </w:rPr>
              <w:t>Conexão</w:t>
            </w:r>
            <w:r>
              <w:rPr>
                <w:spacing w:val="4"/>
                <w:sz w:val="18"/>
              </w:rPr>
              <w:t xml:space="preserve"> </w:t>
            </w:r>
            <w:r>
              <w:rPr>
                <w:sz w:val="18"/>
              </w:rPr>
              <w:t>e</w:t>
            </w:r>
            <w:r>
              <w:rPr>
                <w:spacing w:val="7"/>
                <w:sz w:val="18"/>
              </w:rPr>
              <w:t xml:space="preserve"> </w:t>
            </w:r>
            <w:r>
              <w:rPr>
                <w:spacing w:val="-2"/>
                <w:sz w:val="18"/>
              </w:rPr>
              <w:t>Transmissão</w:t>
            </w:r>
          </w:p>
        </w:tc>
        <w:tc>
          <w:tcPr>
            <w:tcW w:w="1694" w:type="dxa"/>
          </w:tcPr>
          <w:p w14:paraId="73898734" w14:textId="77777777" w:rsidR="002C6574" w:rsidRDefault="00000000">
            <w:pPr>
              <w:pStyle w:val="TableParagraph"/>
              <w:spacing w:line="212" w:lineRule="exact"/>
              <w:ind w:right="59"/>
              <w:rPr>
                <w:sz w:val="18"/>
              </w:rPr>
            </w:pPr>
            <w:r>
              <w:rPr>
                <w:spacing w:val="-2"/>
                <w:w w:val="105"/>
                <w:sz w:val="18"/>
              </w:rPr>
              <w:t>(170.423)</w:t>
            </w:r>
          </w:p>
        </w:tc>
        <w:tc>
          <w:tcPr>
            <w:tcW w:w="1468" w:type="dxa"/>
          </w:tcPr>
          <w:p w14:paraId="7E14B98B" w14:textId="77777777" w:rsidR="002C6574" w:rsidRDefault="00000000">
            <w:pPr>
              <w:pStyle w:val="TableParagraph"/>
              <w:spacing w:line="212" w:lineRule="exact"/>
              <w:ind w:right="54"/>
              <w:rPr>
                <w:sz w:val="18"/>
              </w:rPr>
            </w:pPr>
            <w:r>
              <w:rPr>
                <w:spacing w:val="-2"/>
                <w:w w:val="105"/>
                <w:sz w:val="18"/>
              </w:rPr>
              <w:t>(135.121)</w:t>
            </w:r>
          </w:p>
        </w:tc>
      </w:tr>
      <w:tr w:rsidR="002C6574" w14:paraId="3ED29EB4" w14:textId="77777777">
        <w:trPr>
          <w:trHeight w:val="232"/>
        </w:trPr>
        <w:tc>
          <w:tcPr>
            <w:tcW w:w="6607" w:type="dxa"/>
          </w:tcPr>
          <w:p w14:paraId="4B628531" w14:textId="77777777" w:rsidR="002C6574" w:rsidRDefault="00000000">
            <w:pPr>
              <w:pStyle w:val="TableParagraph"/>
              <w:spacing w:line="212" w:lineRule="exact"/>
              <w:ind w:left="69"/>
              <w:jc w:val="left"/>
              <w:rPr>
                <w:sz w:val="18"/>
              </w:rPr>
            </w:pPr>
            <w:r>
              <w:rPr>
                <w:w w:val="105"/>
                <w:sz w:val="18"/>
              </w:rPr>
              <w:t>Serviços</w:t>
            </w:r>
            <w:r>
              <w:rPr>
                <w:spacing w:val="-4"/>
                <w:w w:val="105"/>
                <w:sz w:val="18"/>
              </w:rPr>
              <w:t xml:space="preserve"> </w:t>
            </w:r>
            <w:r>
              <w:rPr>
                <w:w w:val="105"/>
                <w:sz w:val="18"/>
              </w:rPr>
              <w:t>de</w:t>
            </w:r>
            <w:r>
              <w:rPr>
                <w:spacing w:val="-2"/>
                <w:w w:val="105"/>
                <w:sz w:val="18"/>
              </w:rPr>
              <w:t xml:space="preserve"> Terceiros</w:t>
            </w:r>
          </w:p>
        </w:tc>
        <w:tc>
          <w:tcPr>
            <w:tcW w:w="1694" w:type="dxa"/>
          </w:tcPr>
          <w:p w14:paraId="1D9C808B" w14:textId="77777777" w:rsidR="002C6574" w:rsidRDefault="00000000">
            <w:pPr>
              <w:pStyle w:val="TableParagraph"/>
              <w:spacing w:line="212" w:lineRule="exact"/>
              <w:ind w:right="56"/>
              <w:rPr>
                <w:sz w:val="18"/>
              </w:rPr>
            </w:pPr>
            <w:r>
              <w:rPr>
                <w:spacing w:val="-2"/>
                <w:w w:val="105"/>
                <w:sz w:val="18"/>
              </w:rPr>
              <w:t>(136.776)</w:t>
            </w:r>
          </w:p>
        </w:tc>
        <w:tc>
          <w:tcPr>
            <w:tcW w:w="1468" w:type="dxa"/>
          </w:tcPr>
          <w:p w14:paraId="17FC22E0" w14:textId="77777777" w:rsidR="002C6574" w:rsidRDefault="00000000">
            <w:pPr>
              <w:pStyle w:val="TableParagraph"/>
              <w:spacing w:line="212" w:lineRule="exact"/>
              <w:ind w:right="54"/>
              <w:rPr>
                <w:sz w:val="18"/>
              </w:rPr>
            </w:pPr>
            <w:r>
              <w:rPr>
                <w:spacing w:val="-2"/>
                <w:w w:val="105"/>
                <w:sz w:val="18"/>
              </w:rPr>
              <w:t>(154.776)</w:t>
            </w:r>
          </w:p>
        </w:tc>
      </w:tr>
      <w:tr w:rsidR="002C6574" w14:paraId="533005EF" w14:textId="77777777">
        <w:trPr>
          <w:trHeight w:val="232"/>
        </w:trPr>
        <w:tc>
          <w:tcPr>
            <w:tcW w:w="6607" w:type="dxa"/>
          </w:tcPr>
          <w:p w14:paraId="311F2321" w14:textId="77777777" w:rsidR="002C6574" w:rsidRDefault="00000000">
            <w:pPr>
              <w:pStyle w:val="TableParagraph"/>
              <w:spacing w:line="212" w:lineRule="exact"/>
              <w:ind w:left="69"/>
              <w:jc w:val="left"/>
              <w:rPr>
                <w:sz w:val="18"/>
              </w:rPr>
            </w:pPr>
            <w:r>
              <w:rPr>
                <w:w w:val="105"/>
                <w:sz w:val="18"/>
              </w:rPr>
              <w:t>Aluguéis,</w:t>
            </w:r>
            <w:r>
              <w:rPr>
                <w:spacing w:val="-11"/>
                <w:w w:val="105"/>
                <w:sz w:val="18"/>
              </w:rPr>
              <w:t xml:space="preserve"> </w:t>
            </w:r>
            <w:r>
              <w:rPr>
                <w:w w:val="105"/>
                <w:sz w:val="18"/>
              </w:rPr>
              <w:t>Locações</w:t>
            </w:r>
            <w:r>
              <w:rPr>
                <w:spacing w:val="-7"/>
                <w:w w:val="105"/>
                <w:sz w:val="18"/>
              </w:rPr>
              <w:t xml:space="preserve"> </w:t>
            </w:r>
            <w:r>
              <w:rPr>
                <w:w w:val="105"/>
                <w:sz w:val="18"/>
              </w:rPr>
              <w:t>e</w:t>
            </w:r>
            <w:r>
              <w:rPr>
                <w:spacing w:val="-5"/>
                <w:w w:val="105"/>
                <w:sz w:val="18"/>
              </w:rPr>
              <w:t xml:space="preserve"> </w:t>
            </w:r>
            <w:r>
              <w:rPr>
                <w:spacing w:val="-2"/>
                <w:w w:val="105"/>
                <w:sz w:val="18"/>
              </w:rPr>
              <w:t>Seguros</w:t>
            </w:r>
          </w:p>
        </w:tc>
        <w:tc>
          <w:tcPr>
            <w:tcW w:w="1694" w:type="dxa"/>
          </w:tcPr>
          <w:p w14:paraId="12936442" w14:textId="77777777" w:rsidR="002C6574" w:rsidRDefault="00000000">
            <w:pPr>
              <w:pStyle w:val="TableParagraph"/>
              <w:spacing w:line="212" w:lineRule="exact"/>
              <w:ind w:right="56"/>
              <w:rPr>
                <w:sz w:val="18"/>
              </w:rPr>
            </w:pPr>
            <w:r>
              <w:rPr>
                <w:spacing w:val="-2"/>
                <w:w w:val="110"/>
                <w:sz w:val="18"/>
              </w:rPr>
              <w:t>(60.113)</w:t>
            </w:r>
          </w:p>
        </w:tc>
        <w:tc>
          <w:tcPr>
            <w:tcW w:w="1468" w:type="dxa"/>
          </w:tcPr>
          <w:p w14:paraId="3B7A0574" w14:textId="77777777" w:rsidR="002C6574" w:rsidRDefault="00000000">
            <w:pPr>
              <w:pStyle w:val="TableParagraph"/>
              <w:spacing w:line="212" w:lineRule="exact"/>
              <w:ind w:right="53"/>
              <w:rPr>
                <w:sz w:val="18"/>
              </w:rPr>
            </w:pPr>
            <w:r>
              <w:rPr>
                <w:spacing w:val="-2"/>
                <w:w w:val="110"/>
                <w:sz w:val="18"/>
              </w:rPr>
              <w:t>(49.717)</w:t>
            </w:r>
          </w:p>
        </w:tc>
      </w:tr>
      <w:tr w:rsidR="002C6574" w14:paraId="159BAFCE" w14:textId="77777777">
        <w:trPr>
          <w:trHeight w:val="230"/>
        </w:trPr>
        <w:tc>
          <w:tcPr>
            <w:tcW w:w="6607" w:type="dxa"/>
          </w:tcPr>
          <w:p w14:paraId="74609702" w14:textId="77777777" w:rsidR="002C6574" w:rsidRDefault="00000000">
            <w:pPr>
              <w:pStyle w:val="TableParagraph"/>
              <w:spacing w:line="210" w:lineRule="exact"/>
              <w:ind w:left="69"/>
              <w:jc w:val="left"/>
              <w:rPr>
                <w:sz w:val="18"/>
              </w:rPr>
            </w:pPr>
            <w:r>
              <w:rPr>
                <w:spacing w:val="-2"/>
                <w:w w:val="110"/>
                <w:sz w:val="18"/>
              </w:rPr>
              <w:t>Pessoal</w:t>
            </w:r>
          </w:p>
        </w:tc>
        <w:tc>
          <w:tcPr>
            <w:tcW w:w="1694" w:type="dxa"/>
          </w:tcPr>
          <w:p w14:paraId="388E2B3A" w14:textId="77777777" w:rsidR="002C6574" w:rsidRDefault="00000000">
            <w:pPr>
              <w:pStyle w:val="TableParagraph"/>
              <w:spacing w:line="210" w:lineRule="exact"/>
              <w:ind w:right="57"/>
              <w:rPr>
                <w:sz w:val="18"/>
              </w:rPr>
            </w:pPr>
            <w:r>
              <w:rPr>
                <w:spacing w:val="-2"/>
                <w:w w:val="110"/>
                <w:sz w:val="18"/>
              </w:rPr>
              <w:t>(25.676)</w:t>
            </w:r>
          </w:p>
        </w:tc>
        <w:tc>
          <w:tcPr>
            <w:tcW w:w="1468" w:type="dxa"/>
          </w:tcPr>
          <w:p w14:paraId="411D2185" w14:textId="77777777" w:rsidR="002C6574" w:rsidRDefault="00000000">
            <w:pPr>
              <w:pStyle w:val="TableParagraph"/>
              <w:spacing w:line="210" w:lineRule="exact"/>
              <w:ind w:right="53"/>
              <w:rPr>
                <w:sz w:val="18"/>
              </w:rPr>
            </w:pPr>
            <w:r>
              <w:rPr>
                <w:spacing w:val="-2"/>
                <w:w w:val="110"/>
                <w:sz w:val="18"/>
              </w:rPr>
              <w:t>(23.562)</w:t>
            </w:r>
          </w:p>
        </w:tc>
      </w:tr>
      <w:tr w:rsidR="002C6574" w14:paraId="08C39832" w14:textId="77777777">
        <w:trPr>
          <w:trHeight w:val="232"/>
        </w:trPr>
        <w:tc>
          <w:tcPr>
            <w:tcW w:w="6607" w:type="dxa"/>
          </w:tcPr>
          <w:p w14:paraId="10B42610" w14:textId="77777777" w:rsidR="002C6574" w:rsidRDefault="00000000">
            <w:pPr>
              <w:pStyle w:val="TableParagraph"/>
              <w:spacing w:line="212" w:lineRule="exact"/>
              <w:ind w:left="69"/>
              <w:jc w:val="left"/>
              <w:rPr>
                <w:sz w:val="18"/>
              </w:rPr>
            </w:pPr>
            <w:r>
              <w:rPr>
                <w:spacing w:val="-2"/>
                <w:sz w:val="18"/>
              </w:rPr>
              <w:t>Tributos</w:t>
            </w:r>
          </w:p>
        </w:tc>
        <w:tc>
          <w:tcPr>
            <w:tcW w:w="1694" w:type="dxa"/>
          </w:tcPr>
          <w:p w14:paraId="6A24FE70" w14:textId="77777777" w:rsidR="002C6574" w:rsidRDefault="00000000">
            <w:pPr>
              <w:pStyle w:val="TableParagraph"/>
              <w:spacing w:line="212" w:lineRule="exact"/>
              <w:ind w:right="58"/>
              <w:rPr>
                <w:sz w:val="18"/>
              </w:rPr>
            </w:pPr>
            <w:r>
              <w:rPr>
                <w:spacing w:val="-2"/>
                <w:w w:val="110"/>
                <w:sz w:val="18"/>
              </w:rPr>
              <w:t>(6.106)</w:t>
            </w:r>
          </w:p>
        </w:tc>
        <w:tc>
          <w:tcPr>
            <w:tcW w:w="1468" w:type="dxa"/>
          </w:tcPr>
          <w:p w14:paraId="28420B98" w14:textId="77777777" w:rsidR="002C6574" w:rsidRDefault="00000000">
            <w:pPr>
              <w:pStyle w:val="TableParagraph"/>
              <w:spacing w:line="212" w:lineRule="exact"/>
              <w:ind w:right="54"/>
              <w:rPr>
                <w:sz w:val="18"/>
              </w:rPr>
            </w:pPr>
            <w:r>
              <w:rPr>
                <w:spacing w:val="-2"/>
                <w:w w:val="110"/>
                <w:sz w:val="18"/>
              </w:rPr>
              <w:t>(5.233)</w:t>
            </w:r>
          </w:p>
        </w:tc>
      </w:tr>
      <w:tr w:rsidR="002C6574" w14:paraId="36D7AE33" w14:textId="77777777">
        <w:trPr>
          <w:trHeight w:val="232"/>
        </w:trPr>
        <w:tc>
          <w:tcPr>
            <w:tcW w:w="6607" w:type="dxa"/>
          </w:tcPr>
          <w:p w14:paraId="52B25EB3" w14:textId="77777777" w:rsidR="002C6574" w:rsidRDefault="00000000">
            <w:pPr>
              <w:pStyle w:val="TableParagraph"/>
              <w:spacing w:line="212" w:lineRule="exact"/>
              <w:ind w:left="69"/>
              <w:jc w:val="left"/>
              <w:rPr>
                <w:sz w:val="18"/>
              </w:rPr>
            </w:pPr>
            <w:r>
              <w:rPr>
                <w:spacing w:val="-2"/>
                <w:sz w:val="18"/>
              </w:rPr>
              <w:t>Compartilhamento</w:t>
            </w:r>
            <w:r>
              <w:rPr>
                <w:spacing w:val="1"/>
                <w:sz w:val="18"/>
              </w:rPr>
              <w:t xml:space="preserve"> </w:t>
            </w:r>
            <w:r>
              <w:rPr>
                <w:spacing w:val="-2"/>
                <w:sz w:val="18"/>
              </w:rPr>
              <w:t>de</w:t>
            </w:r>
            <w:r>
              <w:rPr>
                <w:spacing w:val="3"/>
                <w:sz w:val="18"/>
              </w:rPr>
              <w:t xml:space="preserve"> </w:t>
            </w:r>
            <w:r>
              <w:rPr>
                <w:spacing w:val="-2"/>
                <w:sz w:val="18"/>
              </w:rPr>
              <w:t>Instalações</w:t>
            </w:r>
          </w:p>
        </w:tc>
        <w:tc>
          <w:tcPr>
            <w:tcW w:w="1694" w:type="dxa"/>
          </w:tcPr>
          <w:p w14:paraId="1FE7DD22" w14:textId="77777777" w:rsidR="002C6574" w:rsidRDefault="00000000">
            <w:pPr>
              <w:pStyle w:val="TableParagraph"/>
              <w:spacing w:line="212" w:lineRule="exact"/>
              <w:ind w:right="56"/>
              <w:rPr>
                <w:sz w:val="18"/>
              </w:rPr>
            </w:pPr>
            <w:r>
              <w:rPr>
                <w:spacing w:val="-2"/>
                <w:w w:val="110"/>
                <w:sz w:val="18"/>
              </w:rPr>
              <w:t>(3.877)</w:t>
            </w:r>
          </w:p>
        </w:tc>
        <w:tc>
          <w:tcPr>
            <w:tcW w:w="1468" w:type="dxa"/>
          </w:tcPr>
          <w:p w14:paraId="1D1B2E9B" w14:textId="77777777" w:rsidR="002C6574" w:rsidRDefault="00000000">
            <w:pPr>
              <w:pStyle w:val="TableParagraph"/>
              <w:spacing w:line="212" w:lineRule="exact"/>
              <w:ind w:right="54"/>
              <w:rPr>
                <w:sz w:val="18"/>
              </w:rPr>
            </w:pPr>
            <w:r>
              <w:rPr>
                <w:spacing w:val="-2"/>
                <w:w w:val="110"/>
                <w:sz w:val="18"/>
              </w:rPr>
              <w:t>(3.803)</w:t>
            </w:r>
          </w:p>
        </w:tc>
      </w:tr>
      <w:tr w:rsidR="002C6574" w14:paraId="783BD515" w14:textId="77777777">
        <w:trPr>
          <w:trHeight w:val="232"/>
        </w:trPr>
        <w:tc>
          <w:tcPr>
            <w:tcW w:w="6607" w:type="dxa"/>
          </w:tcPr>
          <w:p w14:paraId="0B42B5B8" w14:textId="77777777" w:rsidR="002C6574" w:rsidRDefault="00000000">
            <w:pPr>
              <w:pStyle w:val="TableParagraph"/>
              <w:spacing w:line="212" w:lineRule="exact"/>
              <w:ind w:left="69"/>
              <w:jc w:val="left"/>
              <w:rPr>
                <w:sz w:val="18"/>
              </w:rPr>
            </w:pPr>
            <w:r>
              <w:rPr>
                <w:sz w:val="18"/>
              </w:rPr>
              <w:t>Programa</w:t>
            </w:r>
            <w:r>
              <w:rPr>
                <w:spacing w:val="9"/>
                <w:sz w:val="18"/>
              </w:rPr>
              <w:t xml:space="preserve"> </w:t>
            </w:r>
            <w:r>
              <w:rPr>
                <w:sz w:val="18"/>
              </w:rPr>
              <w:t>de</w:t>
            </w:r>
            <w:r>
              <w:rPr>
                <w:spacing w:val="9"/>
                <w:sz w:val="18"/>
              </w:rPr>
              <w:t xml:space="preserve"> </w:t>
            </w:r>
            <w:r>
              <w:rPr>
                <w:sz w:val="18"/>
              </w:rPr>
              <w:t>Indenização</w:t>
            </w:r>
            <w:r>
              <w:rPr>
                <w:spacing w:val="11"/>
                <w:sz w:val="18"/>
              </w:rPr>
              <w:t xml:space="preserve"> </w:t>
            </w:r>
            <w:r>
              <w:rPr>
                <w:sz w:val="18"/>
              </w:rPr>
              <w:t>por</w:t>
            </w:r>
            <w:r>
              <w:rPr>
                <w:spacing w:val="7"/>
                <w:sz w:val="18"/>
              </w:rPr>
              <w:t xml:space="preserve"> </w:t>
            </w:r>
            <w:r>
              <w:rPr>
                <w:sz w:val="18"/>
              </w:rPr>
              <w:t>Serviços</w:t>
            </w:r>
            <w:r>
              <w:rPr>
                <w:spacing w:val="7"/>
                <w:sz w:val="18"/>
              </w:rPr>
              <w:t xml:space="preserve"> </w:t>
            </w:r>
            <w:r>
              <w:rPr>
                <w:sz w:val="18"/>
              </w:rPr>
              <w:t>Prestados</w:t>
            </w:r>
            <w:r>
              <w:rPr>
                <w:spacing w:val="12"/>
                <w:sz w:val="18"/>
              </w:rPr>
              <w:t xml:space="preserve"> </w:t>
            </w:r>
            <w:r>
              <w:rPr>
                <w:sz w:val="18"/>
              </w:rPr>
              <w:t>-</w:t>
            </w:r>
            <w:r>
              <w:rPr>
                <w:spacing w:val="9"/>
                <w:sz w:val="18"/>
              </w:rPr>
              <w:t xml:space="preserve"> </w:t>
            </w:r>
            <w:r>
              <w:rPr>
                <w:spacing w:val="-4"/>
                <w:sz w:val="18"/>
              </w:rPr>
              <w:t>PISP</w:t>
            </w:r>
          </w:p>
        </w:tc>
        <w:tc>
          <w:tcPr>
            <w:tcW w:w="1694" w:type="dxa"/>
          </w:tcPr>
          <w:p w14:paraId="1942097F" w14:textId="77777777" w:rsidR="002C6574" w:rsidRDefault="00000000">
            <w:pPr>
              <w:pStyle w:val="TableParagraph"/>
              <w:spacing w:line="212" w:lineRule="exact"/>
              <w:ind w:right="56"/>
              <w:rPr>
                <w:sz w:val="18"/>
              </w:rPr>
            </w:pPr>
            <w:r>
              <w:rPr>
                <w:spacing w:val="-2"/>
                <w:w w:val="105"/>
                <w:sz w:val="18"/>
              </w:rPr>
              <w:t>(379)</w:t>
            </w:r>
          </w:p>
        </w:tc>
        <w:tc>
          <w:tcPr>
            <w:tcW w:w="1468" w:type="dxa"/>
          </w:tcPr>
          <w:p w14:paraId="157302B7" w14:textId="77777777" w:rsidR="002C6574" w:rsidRDefault="00000000">
            <w:pPr>
              <w:pStyle w:val="TableParagraph"/>
              <w:spacing w:line="212" w:lineRule="exact"/>
              <w:ind w:right="55"/>
              <w:rPr>
                <w:sz w:val="18"/>
              </w:rPr>
            </w:pPr>
            <w:r>
              <w:rPr>
                <w:spacing w:val="-4"/>
                <w:w w:val="105"/>
                <w:sz w:val="18"/>
              </w:rPr>
              <w:t>(78)</w:t>
            </w:r>
          </w:p>
        </w:tc>
      </w:tr>
      <w:tr w:rsidR="002C6574" w14:paraId="4E728D9F" w14:textId="77777777">
        <w:trPr>
          <w:trHeight w:val="232"/>
        </w:trPr>
        <w:tc>
          <w:tcPr>
            <w:tcW w:w="6607" w:type="dxa"/>
          </w:tcPr>
          <w:p w14:paraId="2A6A8615" w14:textId="77777777" w:rsidR="002C6574" w:rsidRDefault="00000000">
            <w:pPr>
              <w:pStyle w:val="TableParagraph"/>
              <w:spacing w:line="212" w:lineRule="exact"/>
              <w:ind w:left="69"/>
              <w:jc w:val="left"/>
              <w:rPr>
                <w:sz w:val="18"/>
              </w:rPr>
            </w:pPr>
            <w:r>
              <w:rPr>
                <w:spacing w:val="-2"/>
                <w:sz w:val="18"/>
              </w:rPr>
              <w:t>Material</w:t>
            </w:r>
          </w:p>
        </w:tc>
        <w:tc>
          <w:tcPr>
            <w:tcW w:w="1694" w:type="dxa"/>
          </w:tcPr>
          <w:p w14:paraId="53A6AC6B" w14:textId="77777777" w:rsidR="002C6574" w:rsidRDefault="00000000">
            <w:pPr>
              <w:pStyle w:val="TableParagraph"/>
              <w:spacing w:line="212" w:lineRule="exact"/>
              <w:ind w:right="58"/>
              <w:rPr>
                <w:sz w:val="18"/>
              </w:rPr>
            </w:pPr>
            <w:r>
              <w:rPr>
                <w:spacing w:val="-4"/>
                <w:w w:val="105"/>
                <w:sz w:val="18"/>
              </w:rPr>
              <w:t>(16)</w:t>
            </w:r>
          </w:p>
        </w:tc>
        <w:tc>
          <w:tcPr>
            <w:tcW w:w="1468" w:type="dxa"/>
          </w:tcPr>
          <w:p w14:paraId="3C316814" w14:textId="77777777" w:rsidR="002C6574" w:rsidRDefault="00000000">
            <w:pPr>
              <w:pStyle w:val="TableParagraph"/>
              <w:spacing w:line="212" w:lineRule="exact"/>
              <w:ind w:right="54"/>
              <w:rPr>
                <w:sz w:val="18"/>
              </w:rPr>
            </w:pPr>
            <w:r>
              <w:rPr>
                <w:spacing w:val="-2"/>
                <w:w w:val="105"/>
                <w:sz w:val="18"/>
              </w:rPr>
              <w:t>(739)</w:t>
            </w:r>
          </w:p>
        </w:tc>
      </w:tr>
      <w:tr w:rsidR="002C6574" w14:paraId="4840F6CD" w14:textId="77777777">
        <w:trPr>
          <w:trHeight w:val="232"/>
        </w:trPr>
        <w:tc>
          <w:tcPr>
            <w:tcW w:w="6607" w:type="dxa"/>
          </w:tcPr>
          <w:p w14:paraId="1BAFFC1C" w14:textId="77777777" w:rsidR="002C6574" w:rsidRDefault="00000000">
            <w:pPr>
              <w:pStyle w:val="TableParagraph"/>
              <w:spacing w:before="11" w:line="201" w:lineRule="exact"/>
              <w:ind w:left="69"/>
              <w:jc w:val="left"/>
              <w:rPr>
                <w:rFonts w:ascii="Arial"/>
                <w:b/>
                <w:sz w:val="18"/>
              </w:rPr>
            </w:pPr>
            <w:r>
              <w:rPr>
                <w:rFonts w:ascii="Arial"/>
                <w:b/>
                <w:spacing w:val="-2"/>
                <w:sz w:val="18"/>
              </w:rPr>
              <w:t>Total</w:t>
            </w:r>
          </w:p>
        </w:tc>
        <w:tc>
          <w:tcPr>
            <w:tcW w:w="1694" w:type="dxa"/>
          </w:tcPr>
          <w:p w14:paraId="49676E80" w14:textId="77777777" w:rsidR="002C6574" w:rsidRDefault="00000000">
            <w:pPr>
              <w:pStyle w:val="TableParagraph"/>
              <w:spacing w:before="11" w:line="201" w:lineRule="exact"/>
              <w:ind w:right="56"/>
              <w:rPr>
                <w:rFonts w:ascii="Arial"/>
                <w:b/>
                <w:sz w:val="18"/>
              </w:rPr>
            </w:pPr>
            <w:r>
              <w:rPr>
                <w:rFonts w:ascii="Arial"/>
                <w:b/>
                <w:spacing w:val="-2"/>
                <w:sz w:val="18"/>
              </w:rPr>
              <w:t>(663.005)</w:t>
            </w:r>
          </w:p>
        </w:tc>
        <w:tc>
          <w:tcPr>
            <w:tcW w:w="1468" w:type="dxa"/>
          </w:tcPr>
          <w:p w14:paraId="20070469" w14:textId="77777777" w:rsidR="002C6574" w:rsidRDefault="00000000">
            <w:pPr>
              <w:pStyle w:val="TableParagraph"/>
              <w:spacing w:before="11" w:line="201" w:lineRule="exact"/>
              <w:ind w:right="54"/>
              <w:rPr>
                <w:rFonts w:ascii="Arial"/>
                <w:b/>
                <w:sz w:val="18"/>
              </w:rPr>
            </w:pPr>
            <w:r>
              <w:rPr>
                <w:rFonts w:ascii="Arial"/>
                <w:b/>
                <w:spacing w:val="-2"/>
                <w:sz w:val="18"/>
              </w:rPr>
              <w:t>(630.415)</w:t>
            </w:r>
          </w:p>
        </w:tc>
      </w:tr>
    </w:tbl>
    <w:p w14:paraId="7F48FB53" w14:textId="77777777" w:rsidR="002C6574" w:rsidRDefault="002C6574">
      <w:pPr>
        <w:pStyle w:val="Corpodetexto"/>
        <w:spacing w:before="59"/>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7"/>
        <w:gridCol w:w="1694"/>
        <w:gridCol w:w="1468"/>
      </w:tblGrid>
      <w:tr w:rsidR="002C6574" w14:paraId="5232C524" w14:textId="77777777">
        <w:trPr>
          <w:trHeight w:val="232"/>
        </w:trPr>
        <w:tc>
          <w:tcPr>
            <w:tcW w:w="6607" w:type="dxa"/>
            <w:shd w:val="clear" w:color="auto" w:fill="D8D8D8"/>
          </w:tcPr>
          <w:p w14:paraId="2DDE8BBA" w14:textId="77777777" w:rsidR="002C6574" w:rsidRDefault="00000000">
            <w:pPr>
              <w:pStyle w:val="TableParagraph"/>
              <w:spacing w:before="11" w:line="201" w:lineRule="exact"/>
              <w:ind w:left="69"/>
              <w:jc w:val="left"/>
              <w:rPr>
                <w:rFonts w:ascii="Arial" w:hAnsi="Arial"/>
                <w:b/>
                <w:sz w:val="18"/>
              </w:rPr>
            </w:pPr>
            <w:r>
              <w:rPr>
                <w:rFonts w:ascii="Arial" w:hAnsi="Arial"/>
                <w:b/>
                <w:sz w:val="18"/>
              </w:rPr>
              <w:t>Comercialização</w:t>
            </w:r>
            <w:r>
              <w:rPr>
                <w:rFonts w:ascii="Arial" w:hAnsi="Arial"/>
                <w:b/>
                <w:spacing w:val="-3"/>
                <w:sz w:val="18"/>
              </w:rPr>
              <w:t xml:space="preserve"> </w:t>
            </w:r>
            <w:r>
              <w:rPr>
                <w:rFonts w:ascii="Arial" w:hAnsi="Arial"/>
                <w:b/>
                <w:sz w:val="18"/>
              </w:rPr>
              <w:t xml:space="preserve">dos </w:t>
            </w:r>
            <w:r>
              <w:rPr>
                <w:rFonts w:ascii="Arial" w:hAnsi="Arial"/>
                <w:b/>
                <w:spacing w:val="-2"/>
                <w:sz w:val="18"/>
              </w:rPr>
              <w:t>Serviços</w:t>
            </w:r>
          </w:p>
        </w:tc>
        <w:tc>
          <w:tcPr>
            <w:tcW w:w="1694" w:type="dxa"/>
          </w:tcPr>
          <w:p w14:paraId="4DA319B0" w14:textId="77777777" w:rsidR="002C6574" w:rsidRDefault="00000000">
            <w:pPr>
              <w:pStyle w:val="TableParagraph"/>
              <w:spacing w:before="11" w:line="201" w:lineRule="exact"/>
              <w:ind w:left="396"/>
              <w:jc w:val="left"/>
              <w:rPr>
                <w:rFonts w:ascii="Arial"/>
                <w:b/>
                <w:sz w:val="18"/>
              </w:rPr>
            </w:pPr>
            <w:r>
              <w:rPr>
                <w:rFonts w:ascii="Arial"/>
                <w:b/>
                <w:spacing w:val="-2"/>
                <w:sz w:val="18"/>
              </w:rPr>
              <w:t>31/12/2025</w:t>
            </w:r>
          </w:p>
        </w:tc>
        <w:tc>
          <w:tcPr>
            <w:tcW w:w="1468" w:type="dxa"/>
          </w:tcPr>
          <w:p w14:paraId="051D5AD8" w14:textId="77777777" w:rsidR="002C6574" w:rsidRDefault="00000000">
            <w:pPr>
              <w:pStyle w:val="TableParagraph"/>
              <w:spacing w:before="11" w:line="201" w:lineRule="exact"/>
              <w:ind w:left="283"/>
              <w:jc w:val="left"/>
              <w:rPr>
                <w:rFonts w:ascii="Arial"/>
                <w:b/>
                <w:sz w:val="18"/>
              </w:rPr>
            </w:pPr>
            <w:r>
              <w:rPr>
                <w:rFonts w:ascii="Arial"/>
                <w:b/>
                <w:spacing w:val="-2"/>
                <w:sz w:val="18"/>
              </w:rPr>
              <w:t>31/12/2024</w:t>
            </w:r>
          </w:p>
        </w:tc>
      </w:tr>
      <w:tr w:rsidR="002C6574" w14:paraId="39EA26AD" w14:textId="77777777">
        <w:trPr>
          <w:trHeight w:val="232"/>
        </w:trPr>
        <w:tc>
          <w:tcPr>
            <w:tcW w:w="6607" w:type="dxa"/>
          </w:tcPr>
          <w:p w14:paraId="00C1EA85" w14:textId="77777777" w:rsidR="002C6574" w:rsidRDefault="00000000">
            <w:pPr>
              <w:pStyle w:val="TableParagraph"/>
              <w:spacing w:line="212" w:lineRule="exact"/>
              <w:ind w:left="69"/>
              <w:jc w:val="left"/>
              <w:rPr>
                <w:sz w:val="18"/>
              </w:rPr>
            </w:pPr>
            <w:r>
              <w:rPr>
                <w:spacing w:val="-2"/>
                <w:w w:val="110"/>
                <w:sz w:val="18"/>
              </w:rPr>
              <w:t>Pessoal</w:t>
            </w:r>
          </w:p>
        </w:tc>
        <w:tc>
          <w:tcPr>
            <w:tcW w:w="1694" w:type="dxa"/>
          </w:tcPr>
          <w:p w14:paraId="2A4EAE22" w14:textId="77777777" w:rsidR="002C6574" w:rsidRDefault="00000000">
            <w:pPr>
              <w:pStyle w:val="TableParagraph"/>
              <w:spacing w:line="212" w:lineRule="exact"/>
              <w:ind w:right="57"/>
              <w:rPr>
                <w:sz w:val="18"/>
              </w:rPr>
            </w:pPr>
            <w:r>
              <w:rPr>
                <w:spacing w:val="-2"/>
                <w:w w:val="110"/>
                <w:sz w:val="18"/>
              </w:rPr>
              <w:t>(26.478)</w:t>
            </w:r>
          </w:p>
        </w:tc>
        <w:tc>
          <w:tcPr>
            <w:tcW w:w="1468" w:type="dxa"/>
          </w:tcPr>
          <w:p w14:paraId="277B2293" w14:textId="77777777" w:rsidR="002C6574" w:rsidRDefault="00000000">
            <w:pPr>
              <w:pStyle w:val="TableParagraph"/>
              <w:spacing w:line="212" w:lineRule="exact"/>
              <w:ind w:right="53"/>
              <w:rPr>
                <w:sz w:val="18"/>
              </w:rPr>
            </w:pPr>
            <w:r>
              <w:rPr>
                <w:spacing w:val="-2"/>
                <w:w w:val="110"/>
                <w:sz w:val="18"/>
              </w:rPr>
              <w:t>(24.464)</w:t>
            </w:r>
          </w:p>
        </w:tc>
      </w:tr>
      <w:tr w:rsidR="002C6574" w14:paraId="2A8A7A95" w14:textId="77777777">
        <w:trPr>
          <w:trHeight w:val="230"/>
        </w:trPr>
        <w:tc>
          <w:tcPr>
            <w:tcW w:w="6607" w:type="dxa"/>
          </w:tcPr>
          <w:p w14:paraId="66DA7EB1" w14:textId="77777777" w:rsidR="002C6574" w:rsidRDefault="00000000">
            <w:pPr>
              <w:pStyle w:val="TableParagraph"/>
              <w:spacing w:line="210" w:lineRule="exact"/>
              <w:ind w:left="69"/>
              <w:jc w:val="left"/>
              <w:rPr>
                <w:sz w:val="18"/>
              </w:rPr>
            </w:pPr>
            <w:r>
              <w:rPr>
                <w:sz w:val="18"/>
              </w:rPr>
              <w:t>Perdas</w:t>
            </w:r>
            <w:r>
              <w:rPr>
                <w:spacing w:val="10"/>
                <w:sz w:val="18"/>
              </w:rPr>
              <w:t xml:space="preserve"> </w:t>
            </w:r>
            <w:r>
              <w:rPr>
                <w:sz w:val="18"/>
              </w:rPr>
              <w:t>Estimadas</w:t>
            </w:r>
            <w:r>
              <w:rPr>
                <w:spacing w:val="11"/>
                <w:sz w:val="18"/>
              </w:rPr>
              <w:t xml:space="preserve"> </w:t>
            </w:r>
            <w:r>
              <w:rPr>
                <w:sz w:val="18"/>
              </w:rPr>
              <w:t>com</w:t>
            </w:r>
            <w:r>
              <w:rPr>
                <w:spacing w:val="12"/>
                <w:sz w:val="18"/>
              </w:rPr>
              <w:t xml:space="preserve"> </w:t>
            </w:r>
            <w:r>
              <w:rPr>
                <w:sz w:val="18"/>
              </w:rPr>
              <w:t>Crédito</w:t>
            </w:r>
            <w:r>
              <w:rPr>
                <w:spacing w:val="11"/>
                <w:sz w:val="18"/>
              </w:rPr>
              <w:t xml:space="preserve"> </w:t>
            </w:r>
            <w:r>
              <w:rPr>
                <w:sz w:val="18"/>
              </w:rPr>
              <w:t>de</w:t>
            </w:r>
            <w:r>
              <w:rPr>
                <w:spacing w:val="11"/>
                <w:sz w:val="18"/>
              </w:rPr>
              <w:t xml:space="preserve"> </w:t>
            </w:r>
            <w:r>
              <w:rPr>
                <w:sz w:val="18"/>
              </w:rPr>
              <w:t>Liquidação</w:t>
            </w:r>
            <w:r>
              <w:rPr>
                <w:spacing w:val="10"/>
                <w:sz w:val="18"/>
              </w:rPr>
              <w:t xml:space="preserve"> </w:t>
            </w:r>
            <w:r>
              <w:rPr>
                <w:spacing w:val="-2"/>
                <w:sz w:val="18"/>
              </w:rPr>
              <w:t>Duvidosa</w:t>
            </w:r>
          </w:p>
        </w:tc>
        <w:tc>
          <w:tcPr>
            <w:tcW w:w="1694" w:type="dxa"/>
          </w:tcPr>
          <w:p w14:paraId="673B4B87" w14:textId="77777777" w:rsidR="002C6574" w:rsidRDefault="00000000">
            <w:pPr>
              <w:pStyle w:val="TableParagraph"/>
              <w:spacing w:line="210" w:lineRule="exact"/>
              <w:ind w:right="56"/>
              <w:rPr>
                <w:sz w:val="18"/>
              </w:rPr>
            </w:pPr>
            <w:r>
              <w:rPr>
                <w:spacing w:val="-2"/>
                <w:w w:val="110"/>
                <w:sz w:val="18"/>
              </w:rPr>
              <w:t>(2.807)</w:t>
            </w:r>
          </w:p>
        </w:tc>
        <w:tc>
          <w:tcPr>
            <w:tcW w:w="1468" w:type="dxa"/>
          </w:tcPr>
          <w:p w14:paraId="68CD6437" w14:textId="77777777" w:rsidR="002C6574" w:rsidRDefault="00000000">
            <w:pPr>
              <w:pStyle w:val="TableParagraph"/>
              <w:spacing w:line="210" w:lineRule="exact"/>
              <w:ind w:right="54"/>
              <w:rPr>
                <w:sz w:val="18"/>
              </w:rPr>
            </w:pPr>
            <w:r>
              <w:rPr>
                <w:spacing w:val="-2"/>
                <w:w w:val="110"/>
                <w:sz w:val="18"/>
              </w:rPr>
              <w:t>(2.752)</w:t>
            </w:r>
          </w:p>
        </w:tc>
      </w:tr>
      <w:tr w:rsidR="002C6574" w14:paraId="39BD8ED6" w14:textId="77777777">
        <w:trPr>
          <w:trHeight w:val="232"/>
        </w:trPr>
        <w:tc>
          <w:tcPr>
            <w:tcW w:w="6607" w:type="dxa"/>
          </w:tcPr>
          <w:p w14:paraId="1D8D6F7C" w14:textId="77777777" w:rsidR="002C6574" w:rsidRDefault="00000000">
            <w:pPr>
              <w:pStyle w:val="TableParagraph"/>
              <w:spacing w:line="212" w:lineRule="exact"/>
              <w:ind w:left="69"/>
              <w:jc w:val="left"/>
              <w:rPr>
                <w:sz w:val="18"/>
              </w:rPr>
            </w:pPr>
            <w:r>
              <w:rPr>
                <w:w w:val="105"/>
                <w:sz w:val="18"/>
              </w:rPr>
              <w:t>Serviços</w:t>
            </w:r>
            <w:r>
              <w:rPr>
                <w:spacing w:val="-4"/>
                <w:w w:val="105"/>
                <w:sz w:val="18"/>
              </w:rPr>
              <w:t xml:space="preserve"> </w:t>
            </w:r>
            <w:r>
              <w:rPr>
                <w:w w:val="105"/>
                <w:sz w:val="18"/>
              </w:rPr>
              <w:t>de</w:t>
            </w:r>
            <w:r>
              <w:rPr>
                <w:spacing w:val="-2"/>
                <w:w w:val="105"/>
                <w:sz w:val="18"/>
              </w:rPr>
              <w:t xml:space="preserve"> Terceiros</w:t>
            </w:r>
          </w:p>
        </w:tc>
        <w:tc>
          <w:tcPr>
            <w:tcW w:w="1694" w:type="dxa"/>
          </w:tcPr>
          <w:p w14:paraId="55FABB37" w14:textId="77777777" w:rsidR="002C6574" w:rsidRDefault="00000000">
            <w:pPr>
              <w:pStyle w:val="TableParagraph"/>
              <w:spacing w:line="212" w:lineRule="exact"/>
              <w:ind w:right="56"/>
              <w:rPr>
                <w:sz w:val="18"/>
              </w:rPr>
            </w:pPr>
            <w:r>
              <w:rPr>
                <w:spacing w:val="-2"/>
                <w:w w:val="110"/>
                <w:sz w:val="18"/>
              </w:rPr>
              <w:t>(2.459)</w:t>
            </w:r>
          </w:p>
        </w:tc>
        <w:tc>
          <w:tcPr>
            <w:tcW w:w="1468" w:type="dxa"/>
          </w:tcPr>
          <w:p w14:paraId="0EED1EA6" w14:textId="77777777" w:rsidR="002C6574" w:rsidRDefault="00000000">
            <w:pPr>
              <w:pStyle w:val="TableParagraph"/>
              <w:spacing w:line="212" w:lineRule="exact"/>
              <w:ind w:right="54"/>
              <w:rPr>
                <w:sz w:val="18"/>
              </w:rPr>
            </w:pPr>
            <w:r>
              <w:rPr>
                <w:spacing w:val="-2"/>
                <w:w w:val="110"/>
                <w:sz w:val="18"/>
              </w:rPr>
              <w:t>(2.430)</w:t>
            </w:r>
          </w:p>
        </w:tc>
      </w:tr>
      <w:tr w:rsidR="002C6574" w14:paraId="239099AB" w14:textId="77777777">
        <w:trPr>
          <w:trHeight w:val="232"/>
        </w:trPr>
        <w:tc>
          <w:tcPr>
            <w:tcW w:w="6607" w:type="dxa"/>
          </w:tcPr>
          <w:p w14:paraId="381D7AFD" w14:textId="77777777" w:rsidR="002C6574" w:rsidRDefault="00000000">
            <w:pPr>
              <w:pStyle w:val="TableParagraph"/>
              <w:spacing w:line="212" w:lineRule="exact"/>
              <w:ind w:left="69"/>
              <w:jc w:val="left"/>
              <w:rPr>
                <w:sz w:val="18"/>
              </w:rPr>
            </w:pPr>
            <w:r>
              <w:rPr>
                <w:sz w:val="18"/>
              </w:rPr>
              <w:t>Programa</w:t>
            </w:r>
            <w:r>
              <w:rPr>
                <w:spacing w:val="9"/>
                <w:sz w:val="18"/>
              </w:rPr>
              <w:t xml:space="preserve"> </w:t>
            </w:r>
            <w:r>
              <w:rPr>
                <w:sz w:val="18"/>
              </w:rPr>
              <w:t>de</w:t>
            </w:r>
            <w:r>
              <w:rPr>
                <w:spacing w:val="9"/>
                <w:sz w:val="18"/>
              </w:rPr>
              <w:t xml:space="preserve"> </w:t>
            </w:r>
            <w:r>
              <w:rPr>
                <w:sz w:val="18"/>
              </w:rPr>
              <w:t>Indenização</w:t>
            </w:r>
            <w:r>
              <w:rPr>
                <w:spacing w:val="11"/>
                <w:sz w:val="18"/>
              </w:rPr>
              <w:t xml:space="preserve"> </w:t>
            </w:r>
            <w:r>
              <w:rPr>
                <w:sz w:val="18"/>
              </w:rPr>
              <w:t>por</w:t>
            </w:r>
            <w:r>
              <w:rPr>
                <w:spacing w:val="7"/>
                <w:sz w:val="18"/>
              </w:rPr>
              <w:t xml:space="preserve"> </w:t>
            </w:r>
            <w:r>
              <w:rPr>
                <w:sz w:val="18"/>
              </w:rPr>
              <w:t>Serviços</w:t>
            </w:r>
            <w:r>
              <w:rPr>
                <w:spacing w:val="7"/>
                <w:sz w:val="18"/>
              </w:rPr>
              <w:t xml:space="preserve"> </w:t>
            </w:r>
            <w:r>
              <w:rPr>
                <w:sz w:val="18"/>
              </w:rPr>
              <w:t>Prestados</w:t>
            </w:r>
            <w:r>
              <w:rPr>
                <w:spacing w:val="12"/>
                <w:sz w:val="18"/>
              </w:rPr>
              <w:t xml:space="preserve"> </w:t>
            </w:r>
            <w:r>
              <w:rPr>
                <w:sz w:val="18"/>
              </w:rPr>
              <w:t>-</w:t>
            </w:r>
            <w:r>
              <w:rPr>
                <w:spacing w:val="9"/>
                <w:sz w:val="18"/>
              </w:rPr>
              <w:t xml:space="preserve"> </w:t>
            </w:r>
            <w:r>
              <w:rPr>
                <w:spacing w:val="-4"/>
                <w:sz w:val="18"/>
              </w:rPr>
              <w:t>PISP</w:t>
            </w:r>
          </w:p>
        </w:tc>
        <w:tc>
          <w:tcPr>
            <w:tcW w:w="1694" w:type="dxa"/>
          </w:tcPr>
          <w:p w14:paraId="5E040E2E" w14:textId="77777777" w:rsidR="002C6574" w:rsidRDefault="00000000">
            <w:pPr>
              <w:pStyle w:val="TableParagraph"/>
              <w:spacing w:line="212" w:lineRule="exact"/>
              <w:ind w:right="56"/>
              <w:rPr>
                <w:sz w:val="18"/>
              </w:rPr>
            </w:pPr>
            <w:r>
              <w:rPr>
                <w:spacing w:val="-2"/>
                <w:w w:val="105"/>
                <w:sz w:val="18"/>
              </w:rPr>
              <w:t>(533)</w:t>
            </w:r>
          </w:p>
        </w:tc>
        <w:tc>
          <w:tcPr>
            <w:tcW w:w="1468" w:type="dxa"/>
          </w:tcPr>
          <w:p w14:paraId="5CA0E57B" w14:textId="77777777" w:rsidR="002C6574" w:rsidRDefault="00000000">
            <w:pPr>
              <w:pStyle w:val="TableParagraph"/>
              <w:spacing w:line="212" w:lineRule="exact"/>
              <w:ind w:right="55"/>
              <w:rPr>
                <w:sz w:val="18"/>
              </w:rPr>
            </w:pPr>
            <w:r>
              <w:rPr>
                <w:spacing w:val="-4"/>
                <w:w w:val="105"/>
                <w:sz w:val="18"/>
              </w:rPr>
              <w:t>(40)</w:t>
            </w:r>
          </w:p>
        </w:tc>
      </w:tr>
      <w:tr w:rsidR="002C6574" w14:paraId="697B1823" w14:textId="77777777">
        <w:trPr>
          <w:trHeight w:val="232"/>
        </w:trPr>
        <w:tc>
          <w:tcPr>
            <w:tcW w:w="6607" w:type="dxa"/>
          </w:tcPr>
          <w:p w14:paraId="7D6403DE" w14:textId="77777777" w:rsidR="002C6574" w:rsidRDefault="00000000">
            <w:pPr>
              <w:pStyle w:val="TableParagraph"/>
              <w:spacing w:line="212" w:lineRule="exact"/>
              <w:ind w:left="69"/>
              <w:jc w:val="left"/>
              <w:rPr>
                <w:sz w:val="18"/>
              </w:rPr>
            </w:pPr>
            <w:r>
              <w:rPr>
                <w:sz w:val="18"/>
              </w:rPr>
              <w:t>Depreciação</w:t>
            </w:r>
            <w:r>
              <w:rPr>
                <w:spacing w:val="18"/>
                <w:sz w:val="18"/>
              </w:rPr>
              <w:t xml:space="preserve"> </w:t>
            </w:r>
            <w:r>
              <w:rPr>
                <w:sz w:val="18"/>
              </w:rPr>
              <w:t>e</w:t>
            </w:r>
            <w:r>
              <w:rPr>
                <w:spacing w:val="11"/>
                <w:sz w:val="18"/>
              </w:rPr>
              <w:t xml:space="preserve"> </w:t>
            </w:r>
            <w:r>
              <w:rPr>
                <w:spacing w:val="-2"/>
                <w:sz w:val="18"/>
              </w:rPr>
              <w:t>Amortização</w:t>
            </w:r>
          </w:p>
        </w:tc>
        <w:tc>
          <w:tcPr>
            <w:tcW w:w="1694" w:type="dxa"/>
          </w:tcPr>
          <w:p w14:paraId="00F5582F" w14:textId="77777777" w:rsidR="002C6574" w:rsidRDefault="00000000">
            <w:pPr>
              <w:pStyle w:val="TableParagraph"/>
              <w:spacing w:line="212" w:lineRule="exact"/>
              <w:ind w:right="57"/>
              <w:rPr>
                <w:sz w:val="18"/>
              </w:rPr>
            </w:pPr>
            <w:r>
              <w:rPr>
                <w:spacing w:val="-2"/>
                <w:w w:val="105"/>
                <w:sz w:val="18"/>
              </w:rPr>
              <w:t>(197)</w:t>
            </w:r>
          </w:p>
        </w:tc>
        <w:tc>
          <w:tcPr>
            <w:tcW w:w="1468" w:type="dxa"/>
          </w:tcPr>
          <w:p w14:paraId="5F44B25A" w14:textId="77777777" w:rsidR="002C6574" w:rsidRDefault="00000000">
            <w:pPr>
              <w:pStyle w:val="TableParagraph"/>
              <w:spacing w:line="212" w:lineRule="exact"/>
              <w:ind w:right="54"/>
              <w:rPr>
                <w:sz w:val="18"/>
              </w:rPr>
            </w:pPr>
            <w:r>
              <w:rPr>
                <w:spacing w:val="-2"/>
                <w:w w:val="105"/>
                <w:sz w:val="18"/>
              </w:rPr>
              <w:t>(152)</w:t>
            </w:r>
          </w:p>
        </w:tc>
      </w:tr>
      <w:tr w:rsidR="002C6574" w14:paraId="091BCDCE" w14:textId="77777777">
        <w:trPr>
          <w:trHeight w:val="232"/>
        </w:trPr>
        <w:tc>
          <w:tcPr>
            <w:tcW w:w="6607" w:type="dxa"/>
          </w:tcPr>
          <w:p w14:paraId="3259DC2B" w14:textId="77777777" w:rsidR="002C6574" w:rsidRDefault="00000000">
            <w:pPr>
              <w:pStyle w:val="TableParagraph"/>
              <w:spacing w:line="212" w:lineRule="exact"/>
              <w:ind w:left="69"/>
              <w:jc w:val="left"/>
              <w:rPr>
                <w:sz w:val="18"/>
              </w:rPr>
            </w:pPr>
            <w:r>
              <w:rPr>
                <w:w w:val="105"/>
                <w:sz w:val="18"/>
              </w:rPr>
              <w:t>Aluguéis,</w:t>
            </w:r>
            <w:r>
              <w:rPr>
                <w:spacing w:val="-11"/>
                <w:w w:val="105"/>
                <w:sz w:val="18"/>
              </w:rPr>
              <w:t xml:space="preserve"> </w:t>
            </w:r>
            <w:r>
              <w:rPr>
                <w:w w:val="105"/>
                <w:sz w:val="18"/>
              </w:rPr>
              <w:t>Locações</w:t>
            </w:r>
            <w:r>
              <w:rPr>
                <w:spacing w:val="-7"/>
                <w:w w:val="105"/>
                <w:sz w:val="18"/>
              </w:rPr>
              <w:t xml:space="preserve"> </w:t>
            </w:r>
            <w:r>
              <w:rPr>
                <w:w w:val="105"/>
                <w:sz w:val="18"/>
              </w:rPr>
              <w:t>e</w:t>
            </w:r>
            <w:r>
              <w:rPr>
                <w:spacing w:val="-5"/>
                <w:w w:val="105"/>
                <w:sz w:val="18"/>
              </w:rPr>
              <w:t xml:space="preserve"> </w:t>
            </w:r>
            <w:r>
              <w:rPr>
                <w:spacing w:val="-2"/>
                <w:w w:val="105"/>
                <w:sz w:val="18"/>
              </w:rPr>
              <w:t>Seguros</w:t>
            </w:r>
          </w:p>
        </w:tc>
        <w:tc>
          <w:tcPr>
            <w:tcW w:w="1694" w:type="dxa"/>
          </w:tcPr>
          <w:p w14:paraId="3C603536" w14:textId="77777777" w:rsidR="002C6574" w:rsidRDefault="00000000">
            <w:pPr>
              <w:pStyle w:val="TableParagraph"/>
              <w:spacing w:line="212" w:lineRule="exact"/>
              <w:ind w:right="56"/>
              <w:rPr>
                <w:sz w:val="18"/>
              </w:rPr>
            </w:pPr>
            <w:r>
              <w:rPr>
                <w:spacing w:val="-2"/>
                <w:w w:val="105"/>
                <w:sz w:val="18"/>
              </w:rPr>
              <w:t>(107)</w:t>
            </w:r>
          </w:p>
        </w:tc>
        <w:tc>
          <w:tcPr>
            <w:tcW w:w="1468" w:type="dxa"/>
          </w:tcPr>
          <w:p w14:paraId="51E63F6B" w14:textId="77777777" w:rsidR="002C6574" w:rsidRDefault="00000000">
            <w:pPr>
              <w:pStyle w:val="TableParagraph"/>
              <w:spacing w:line="212" w:lineRule="exact"/>
              <w:ind w:right="54"/>
              <w:rPr>
                <w:sz w:val="18"/>
              </w:rPr>
            </w:pPr>
            <w:r>
              <w:rPr>
                <w:spacing w:val="-2"/>
                <w:w w:val="105"/>
                <w:sz w:val="18"/>
              </w:rPr>
              <w:t>(175)</w:t>
            </w:r>
          </w:p>
        </w:tc>
      </w:tr>
      <w:tr w:rsidR="002C6574" w14:paraId="2A27CE23" w14:textId="77777777">
        <w:trPr>
          <w:trHeight w:val="232"/>
        </w:trPr>
        <w:tc>
          <w:tcPr>
            <w:tcW w:w="6607" w:type="dxa"/>
          </w:tcPr>
          <w:p w14:paraId="0AB31AD3" w14:textId="77777777" w:rsidR="002C6574" w:rsidRDefault="00000000">
            <w:pPr>
              <w:pStyle w:val="TableParagraph"/>
              <w:spacing w:line="212" w:lineRule="exact"/>
              <w:ind w:left="69"/>
              <w:jc w:val="left"/>
              <w:rPr>
                <w:sz w:val="18"/>
              </w:rPr>
            </w:pPr>
            <w:r>
              <w:rPr>
                <w:spacing w:val="-2"/>
                <w:sz w:val="18"/>
              </w:rPr>
              <w:t>Material</w:t>
            </w:r>
          </w:p>
        </w:tc>
        <w:tc>
          <w:tcPr>
            <w:tcW w:w="1694" w:type="dxa"/>
          </w:tcPr>
          <w:p w14:paraId="1418D2F8" w14:textId="77777777" w:rsidR="002C6574" w:rsidRDefault="00000000">
            <w:pPr>
              <w:pStyle w:val="TableParagraph"/>
              <w:spacing w:line="212" w:lineRule="exact"/>
              <w:ind w:right="57"/>
              <w:rPr>
                <w:sz w:val="18"/>
              </w:rPr>
            </w:pPr>
            <w:r>
              <w:rPr>
                <w:spacing w:val="-5"/>
                <w:w w:val="110"/>
                <w:sz w:val="18"/>
              </w:rPr>
              <w:t>(5)</w:t>
            </w:r>
          </w:p>
        </w:tc>
        <w:tc>
          <w:tcPr>
            <w:tcW w:w="1468" w:type="dxa"/>
          </w:tcPr>
          <w:p w14:paraId="17621E0E" w14:textId="77777777" w:rsidR="002C6574" w:rsidRDefault="00000000">
            <w:pPr>
              <w:pStyle w:val="TableParagraph"/>
              <w:spacing w:line="212" w:lineRule="exact"/>
              <w:ind w:right="55"/>
              <w:rPr>
                <w:sz w:val="18"/>
              </w:rPr>
            </w:pPr>
            <w:r>
              <w:rPr>
                <w:spacing w:val="-4"/>
                <w:w w:val="105"/>
                <w:sz w:val="18"/>
              </w:rPr>
              <w:t>(12)</w:t>
            </w:r>
          </w:p>
        </w:tc>
      </w:tr>
      <w:tr w:rsidR="002C6574" w14:paraId="24CA9E0D" w14:textId="77777777">
        <w:trPr>
          <w:trHeight w:val="230"/>
        </w:trPr>
        <w:tc>
          <w:tcPr>
            <w:tcW w:w="6607" w:type="dxa"/>
          </w:tcPr>
          <w:p w14:paraId="541BE064" w14:textId="77777777" w:rsidR="002C6574" w:rsidRDefault="00000000">
            <w:pPr>
              <w:pStyle w:val="TableParagraph"/>
              <w:spacing w:line="210" w:lineRule="exact"/>
              <w:ind w:left="69"/>
              <w:jc w:val="left"/>
              <w:rPr>
                <w:sz w:val="18"/>
              </w:rPr>
            </w:pPr>
            <w:r>
              <w:rPr>
                <w:spacing w:val="-2"/>
                <w:sz w:val="18"/>
              </w:rPr>
              <w:t>Tributos</w:t>
            </w:r>
          </w:p>
        </w:tc>
        <w:tc>
          <w:tcPr>
            <w:tcW w:w="1694" w:type="dxa"/>
          </w:tcPr>
          <w:p w14:paraId="4C7C47B3" w14:textId="77777777" w:rsidR="002C6574" w:rsidRDefault="00000000">
            <w:pPr>
              <w:pStyle w:val="TableParagraph"/>
              <w:spacing w:line="210" w:lineRule="exact"/>
              <w:ind w:right="57"/>
              <w:rPr>
                <w:sz w:val="18"/>
              </w:rPr>
            </w:pPr>
            <w:r>
              <w:rPr>
                <w:spacing w:val="-5"/>
                <w:w w:val="110"/>
                <w:sz w:val="18"/>
              </w:rPr>
              <w:t>(4)</w:t>
            </w:r>
          </w:p>
        </w:tc>
        <w:tc>
          <w:tcPr>
            <w:tcW w:w="1468" w:type="dxa"/>
          </w:tcPr>
          <w:p w14:paraId="56D78308" w14:textId="77777777" w:rsidR="002C6574" w:rsidRDefault="00000000">
            <w:pPr>
              <w:pStyle w:val="TableParagraph"/>
              <w:spacing w:line="210" w:lineRule="exact"/>
              <w:ind w:right="54"/>
              <w:rPr>
                <w:sz w:val="18"/>
              </w:rPr>
            </w:pPr>
            <w:r>
              <w:rPr>
                <w:spacing w:val="-5"/>
                <w:w w:val="110"/>
                <w:sz w:val="18"/>
              </w:rPr>
              <w:t>(4)</w:t>
            </w:r>
          </w:p>
        </w:tc>
      </w:tr>
      <w:tr w:rsidR="002C6574" w14:paraId="7945E696" w14:textId="77777777">
        <w:trPr>
          <w:trHeight w:val="232"/>
        </w:trPr>
        <w:tc>
          <w:tcPr>
            <w:tcW w:w="6607" w:type="dxa"/>
          </w:tcPr>
          <w:p w14:paraId="0C1E31E4" w14:textId="77777777" w:rsidR="002C6574" w:rsidRDefault="00000000">
            <w:pPr>
              <w:pStyle w:val="TableParagraph"/>
              <w:spacing w:before="13" w:line="199" w:lineRule="exact"/>
              <w:ind w:left="69"/>
              <w:jc w:val="left"/>
              <w:rPr>
                <w:rFonts w:ascii="Arial"/>
                <w:b/>
                <w:sz w:val="18"/>
              </w:rPr>
            </w:pPr>
            <w:r>
              <w:rPr>
                <w:rFonts w:ascii="Arial"/>
                <w:b/>
                <w:spacing w:val="-2"/>
                <w:sz w:val="18"/>
              </w:rPr>
              <w:t>Total</w:t>
            </w:r>
          </w:p>
        </w:tc>
        <w:tc>
          <w:tcPr>
            <w:tcW w:w="1694" w:type="dxa"/>
          </w:tcPr>
          <w:p w14:paraId="7D6CB125" w14:textId="77777777" w:rsidR="002C6574" w:rsidRDefault="00000000">
            <w:pPr>
              <w:pStyle w:val="TableParagraph"/>
              <w:spacing w:before="13" w:line="199" w:lineRule="exact"/>
              <w:ind w:right="57"/>
              <w:rPr>
                <w:rFonts w:ascii="Arial"/>
                <w:b/>
                <w:sz w:val="18"/>
              </w:rPr>
            </w:pPr>
            <w:r>
              <w:rPr>
                <w:rFonts w:ascii="Arial"/>
                <w:b/>
                <w:spacing w:val="-2"/>
                <w:sz w:val="18"/>
              </w:rPr>
              <w:t>(32.590)</w:t>
            </w:r>
          </w:p>
        </w:tc>
        <w:tc>
          <w:tcPr>
            <w:tcW w:w="1468" w:type="dxa"/>
          </w:tcPr>
          <w:p w14:paraId="4DD4D6EB" w14:textId="77777777" w:rsidR="002C6574" w:rsidRDefault="00000000">
            <w:pPr>
              <w:pStyle w:val="TableParagraph"/>
              <w:spacing w:before="13" w:line="199" w:lineRule="exact"/>
              <w:ind w:right="53"/>
              <w:rPr>
                <w:rFonts w:ascii="Arial"/>
                <w:b/>
                <w:sz w:val="18"/>
              </w:rPr>
            </w:pPr>
            <w:r>
              <w:rPr>
                <w:rFonts w:ascii="Arial"/>
                <w:b/>
                <w:spacing w:val="-2"/>
                <w:sz w:val="18"/>
              </w:rPr>
              <w:t>(30.029)</w:t>
            </w:r>
          </w:p>
        </w:tc>
      </w:tr>
    </w:tbl>
    <w:p w14:paraId="09ABF3F1" w14:textId="77777777" w:rsidR="002C6574" w:rsidRDefault="002C6574">
      <w:pPr>
        <w:pStyle w:val="Corpodetexto"/>
        <w:spacing w:before="60"/>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7"/>
        <w:gridCol w:w="1694"/>
        <w:gridCol w:w="1468"/>
      </w:tblGrid>
      <w:tr w:rsidR="002C6574" w14:paraId="37169D36" w14:textId="77777777">
        <w:trPr>
          <w:trHeight w:val="230"/>
        </w:trPr>
        <w:tc>
          <w:tcPr>
            <w:tcW w:w="6607" w:type="dxa"/>
            <w:shd w:val="clear" w:color="auto" w:fill="D8D8D8"/>
          </w:tcPr>
          <w:p w14:paraId="24BA2A50" w14:textId="77777777" w:rsidR="002C6574" w:rsidRDefault="00000000">
            <w:pPr>
              <w:pStyle w:val="TableParagraph"/>
              <w:spacing w:before="11" w:line="199" w:lineRule="exact"/>
              <w:ind w:left="69"/>
              <w:jc w:val="left"/>
              <w:rPr>
                <w:rFonts w:ascii="Arial"/>
                <w:b/>
                <w:sz w:val="18"/>
              </w:rPr>
            </w:pPr>
            <w:r>
              <w:rPr>
                <w:rFonts w:ascii="Arial"/>
                <w:b/>
                <w:sz w:val="18"/>
              </w:rPr>
              <w:t>Despesas</w:t>
            </w:r>
            <w:r>
              <w:rPr>
                <w:rFonts w:ascii="Arial"/>
                <w:b/>
                <w:spacing w:val="1"/>
                <w:sz w:val="18"/>
              </w:rPr>
              <w:t xml:space="preserve"> </w:t>
            </w:r>
            <w:r>
              <w:rPr>
                <w:rFonts w:ascii="Arial"/>
                <w:b/>
                <w:sz w:val="18"/>
              </w:rPr>
              <w:t>Gerais</w:t>
            </w:r>
            <w:r>
              <w:rPr>
                <w:rFonts w:ascii="Arial"/>
                <w:b/>
                <w:spacing w:val="-3"/>
                <w:sz w:val="18"/>
              </w:rPr>
              <w:t xml:space="preserve"> </w:t>
            </w:r>
            <w:r>
              <w:rPr>
                <w:rFonts w:ascii="Arial"/>
                <w:b/>
                <w:sz w:val="18"/>
              </w:rPr>
              <w:t>e</w:t>
            </w:r>
            <w:r>
              <w:rPr>
                <w:rFonts w:ascii="Arial"/>
                <w:b/>
                <w:spacing w:val="2"/>
                <w:sz w:val="18"/>
              </w:rPr>
              <w:t xml:space="preserve"> </w:t>
            </w:r>
            <w:r>
              <w:rPr>
                <w:rFonts w:ascii="Arial"/>
                <w:b/>
                <w:spacing w:val="-2"/>
                <w:sz w:val="18"/>
              </w:rPr>
              <w:t>Administrativas</w:t>
            </w:r>
          </w:p>
        </w:tc>
        <w:tc>
          <w:tcPr>
            <w:tcW w:w="1694" w:type="dxa"/>
          </w:tcPr>
          <w:p w14:paraId="14F5F6AA" w14:textId="77777777" w:rsidR="002C6574" w:rsidRDefault="00000000">
            <w:pPr>
              <w:pStyle w:val="TableParagraph"/>
              <w:spacing w:before="11" w:line="199" w:lineRule="exact"/>
              <w:ind w:left="396"/>
              <w:jc w:val="left"/>
              <w:rPr>
                <w:rFonts w:ascii="Arial"/>
                <w:b/>
                <w:sz w:val="18"/>
              </w:rPr>
            </w:pPr>
            <w:r>
              <w:rPr>
                <w:rFonts w:ascii="Arial"/>
                <w:b/>
                <w:spacing w:val="-2"/>
                <w:sz w:val="18"/>
              </w:rPr>
              <w:t>31/12/2025</w:t>
            </w:r>
          </w:p>
        </w:tc>
        <w:tc>
          <w:tcPr>
            <w:tcW w:w="1468" w:type="dxa"/>
          </w:tcPr>
          <w:p w14:paraId="3B0482B1" w14:textId="77777777" w:rsidR="002C6574" w:rsidRDefault="00000000">
            <w:pPr>
              <w:pStyle w:val="TableParagraph"/>
              <w:spacing w:before="11" w:line="199" w:lineRule="exact"/>
              <w:ind w:left="284"/>
              <w:jc w:val="left"/>
              <w:rPr>
                <w:rFonts w:ascii="Arial"/>
                <w:b/>
                <w:sz w:val="18"/>
              </w:rPr>
            </w:pPr>
            <w:r>
              <w:rPr>
                <w:rFonts w:ascii="Arial"/>
                <w:b/>
                <w:spacing w:val="-2"/>
                <w:sz w:val="18"/>
              </w:rPr>
              <w:t>31/12/2024</w:t>
            </w:r>
          </w:p>
        </w:tc>
      </w:tr>
      <w:tr w:rsidR="002C6574" w14:paraId="7814DFF5" w14:textId="77777777">
        <w:trPr>
          <w:trHeight w:val="232"/>
        </w:trPr>
        <w:tc>
          <w:tcPr>
            <w:tcW w:w="6607" w:type="dxa"/>
          </w:tcPr>
          <w:p w14:paraId="799A0372" w14:textId="77777777" w:rsidR="002C6574" w:rsidRDefault="00000000">
            <w:pPr>
              <w:pStyle w:val="TableParagraph"/>
              <w:spacing w:line="212" w:lineRule="exact"/>
              <w:ind w:left="69"/>
              <w:jc w:val="left"/>
              <w:rPr>
                <w:sz w:val="18"/>
              </w:rPr>
            </w:pPr>
            <w:r>
              <w:rPr>
                <w:spacing w:val="-2"/>
                <w:w w:val="110"/>
                <w:sz w:val="18"/>
              </w:rPr>
              <w:t>Pessoal</w:t>
            </w:r>
          </w:p>
        </w:tc>
        <w:tc>
          <w:tcPr>
            <w:tcW w:w="1694" w:type="dxa"/>
          </w:tcPr>
          <w:p w14:paraId="24831CA9" w14:textId="77777777" w:rsidR="002C6574" w:rsidRDefault="00000000">
            <w:pPr>
              <w:pStyle w:val="TableParagraph"/>
              <w:spacing w:line="212" w:lineRule="exact"/>
              <w:ind w:right="57"/>
              <w:rPr>
                <w:sz w:val="18"/>
              </w:rPr>
            </w:pPr>
            <w:r>
              <w:rPr>
                <w:spacing w:val="-2"/>
                <w:w w:val="110"/>
                <w:sz w:val="18"/>
              </w:rPr>
              <w:t>(67.236)</w:t>
            </w:r>
          </w:p>
        </w:tc>
        <w:tc>
          <w:tcPr>
            <w:tcW w:w="1468" w:type="dxa"/>
          </w:tcPr>
          <w:p w14:paraId="54EF36C4" w14:textId="77777777" w:rsidR="002C6574" w:rsidRDefault="00000000">
            <w:pPr>
              <w:pStyle w:val="TableParagraph"/>
              <w:spacing w:line="212" w:lineRule="exact"/>
              <w:ind w:right="53"/>
              <w:rPr>
                <w:sz w:val="18"/>
              </w:rPr>
            </w:pPr>
            <w:r>
              <w:rPr>
                <w:spacing w:val="-2"/>
                <w:w w:val="110"/>
                <w:sz w:val="18"/>
              </w:rPr>
              <w:t>(63.032)</w:t>
            </w:r>
          </w:p>
        </w:tc>
      </w:tr>
      <w:tr w:rsidR="002C6574" w14:paraId="7DC7D27A" w14:textId="77777777">
        <w:trPr>
          <w:trHeight w:val="232"/>
        </w:trPr>
        <w:tc>
          <w:tcPr>
            <w:tcW w:w="6607" w:type="dxa"/>
          </w:tcPr>
          <w:p w14:paraId="53E0A347" w14:textId="77777777" w:rsidR="002C6574" w:rsidRDefault="00000000">
            <w:pPr>
              <w:pStyle w:val="TableParagraph"/>
              <w:spacing w:line="212" w:lineRule="exact"/>
              <w:ind w:left="69"/>
              <w:jc w:val="left"/>
              <w:rPr>
                <w:sz w:val="18"/>
              </w:rPr>
            </w:pPr>
            <w:r>
              <w:rPr>
                <w:sz w:val="18"/>
              </w:rPr>
              <w:t>Depreciação</w:t>
            </w:r>
            <w:r>
              <w:rPr>
                <w:spacing w:val="18"/>
                <w:sz w:val="18"/>
              </w:rPr>
              <w:t xml:space="preserve"> </w:t>
            </w:r>
            <w:r>
              <w:rPr>
                <w:sz w:val="18"/>
              </w:rPr>
              <w:t>e</w:t>
            </w:r>
            <w:r>
              <w:rPr>
                <w:spacing w:val="11"/>
                <w:sz w:val="18"/>
              </w:rPr>
              <w:t xml:space="preserve"> </w:t>
            </w:r>
            <w:r>
              <w:rPr>
                <w:spacing w:val="-2"/>
                <w:sz w:val="18"/>
              </w:rPr>
              <w:t>Amortização</w:t>
            </w:r>
          </w:p>
        </w:tc>
        <w:tc>
          <w:tcPr>
            <w:tcW w:w="1694" w:type="dxa"/>
          </w:tcPr>
          <w:p w14:paraId="6BE4BC92" w14:textId="77777777" w:rsidR="002C6574" w:rsidRDefault="00000000">
            <w:pPr>
              <w:pStyle w:val="TableParagraph"/>
              <w:spacing w:line="212" w:lineRule="exact"/>
              <w:ind w:right="56"/>
              <w:rPr>
                <w:sz w:val="18"/>
              </w:rPr>
            </w:pPr>
            <w:r>
              <w:rPr>
                <w:spacing w:val="-2"/>
                <w:w w:val="110"/>
                <w:sz w:val="18"/>
              </w:rPr>
              <w:t>(14.268)</w:t>
            </w:r>
          </w:p>
        </w:tc>
        <w:tc>
          <w:tcPr>
            <w:tcW w:w="1468" w:type="dxa"/>
          </w:tcPr>
          <w:p w14:paraId="41232ED1" w14:textId="77777777" w:rsidR="002C6574" w:rsidRDefault="00000000">
            <w:pPr>
              <w:pStyle w:val="TableParagraph"/>
              <w:spacing w:line="212" w:lineRule="exact"/>
              <w:ind w:right="53"/>
              <w:rPr>
                <w:sz w:val="18"/>
              </w:rPr>
            </w:pPr>
            <w:r>
              <w:rPr>
                <w:spacing w:val="-2"/>
                <w:w w:val="110"/>
                <w:sz w:val="18"/>
              </w:rPr>
              <w:t>(12.506)</w:t>
            </w:r>
          </w:p>
        </w:tc>
      </w:tr>
      <w:tr w:rsidR="002C6574" w14:paraId="4B3D9017" w14:textId="77777777">
        <w:trPr>
          <w:trHeight w:val="232"/>
        </w:trPr>
        <w:tc>
          <w:tcPr>
            <w:tcW w:w="6607" w:type="dxa"/>
          </w:tcPr>
          <w:p w14:paraId="75E28841" w14:textId="77777777" w:rsidR="002C6574" w:rsidRDefault="00000000">
            <w:pPr>
              <w:pStyle w:val="TableParagraph"/>
              <w:spacing w:line="212" w:lineRule="exact"/>
              <w:ind w:left="69"/>
              <w:jc w:val="left"/>
              <w:rPr>
                <w:sz w:val="18"/>
              </w:rPr>
            </w:pPr>
            <w:r>
              <w:rPr>
                <w:w w:val="105"/>
                <w:sz w:val="18"/>
              </w:rPr>
              <w:t>Serviços</w:t>
            </w:r>
            <w:r>
              <w:rPr>
                <w:spacing w:val="-4"/>
                <w:w w:val="105"/>
                <w:sz w:val="18"/>
              </w:rPr>
              <w:t xml:space="preserve"> </w:t>
            </w:r>
            <w:r>
              <w:rPr>
                <w:w w:val="105"/>
                <w:sz w:val="18"/>
              </w:rPr>
              <w:t>de</w:t>
            </w:r>
            <w:r>
              <w:rPr>
                <w:spacing w:val="-2"/>
                <w:w w:val="105"/>
                <w:sz w:val="18"/>
              </w:rPr>
              <w:t xml:space="preserve"> Terceiros</w:t>
            </w:r>
          </w:p>
        </w:tc>
        <w:tc>
          <w:tcPr>
            <w:tcW w:w="1694" w:type="dxa"/>
          </w:tcPr>
          <w:p w14:paraId="0E922239" w14:textId="77777777" w:rsidR="002C6574" w:rsidRDefault="00000000">
            <w:pPr>
              <w:pStyle w:val="TableParagraph"/>
              <w:spacing w:line="212" w:lineRule="exact"/>
              <w:ind w:right="56"/>
              <w:rPr>
                <w:sz w:val="18"/>
              </w:rPr>
            </w:pPr>
            <w:r>
              <w:rPr>
                <w:spacing w:val="-2"/>
                <w:w w:val="110"/>
                <w:sz w:val="18"/>
              </w:rPr>
              <w:t>(13.892)</w:t>
            </w:r>
          </w:p>
        </w:tc>
        <w:tc>
          <w:tcPr>
            <w:tcW w:w="1468" w:type="dxa"/>
          </w:tcPr>
          <w:p w14:paraId="17379AE2" w14:textId="77777777" w:rsidR="002C6574" w:rsidRDefault="00000000">
            <w:pPr>
              <w:pStyle w:val="TableParagraph"/>
              <w:spacing w:line="212" w:lineRule="exact"/>
              <w:ind w:right="53"/>
              <w:rPr>
                <w:sz w:val="18"/>
              </w:rPr>
            </w:pPr>
            <w:r>
              <w:rPr>
                <w:spacing w:val="-2"/>
                <w:w w:val="110"/>
                <w:sz w:val="18"/>
              </w:rPr>
              <w:t>(16.669)</w:t>
            </w:r>
          </w:p>
        </w:tc>
      </w:tr>
    </w:tbl>
    <w:p w14:paraId="13CDA0D8" w14:textId="77777777" w:rsidR="002C6574" w:rsidRDefault="002C6574">
      <w:pPr>
        <w:pStyle w:val="TableParagraph"/>
        <w:spacing w:line="212" w:lineRule="exact"/>
        <w:rPr>
          <w:sz w:val="18"/>
        </w:rPr>
        <w:sectPr w:rsidR="002C6574">
          <w:pgSz w:w="11910" w:h="16840"/>
          <w:pgMar w:top="2500" w:right="141" w:bottom="1540" w:left="1133" w:header="1763" w:footer="1350" w:gutter="0"/>
          <w:cols w:space="720"/>
        </w:sectPr>
      </w:pPr>
    </w:p>
    <w:p w14:paraId="52A033D1" w14:textId="77777777" w:rsidR="002C6574" w:rsidRDefault="002C6574">
      <w:pPr>
        <w:pStyle w:val="Corpodetexto"/>
        <w:spacing w:before="3"/>
        <w:rPr>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7"/>
        <w:gridCol w:w="1694"/>
        <w:gridCol w:w="1468"/>
      </w:tblGrid>
      <w:tr w:rsidR="002C6574" w14:paraId="162A7B7F" w14:textId="77777777">
        <w:trPr>
          <w:trHeight w:val="232"/>
        </w:trPr>
        <w:tc>
          <w:tcPr>
            <w:tcW w:w="6607" w:type="dxa"/>
            <w:shd w:val="clear" w:color="auto" w:fill="D8D8D8"/>
          </w:tcPr>
          <w:p w14:paraId="66F0BF5A" w14:textId="77777777" w:rsidR="002C6574" w:rsidRDefault="00000000">
            <w:pPr>
              <w:pStyle w:val="TableParagraph"/>
              <w:spacing w:before="13" w:line="199" w:lineRule="exact"/>
              <w:ind w:left="69"/>
              <w:jc w:val="left"/>
              <w:rPr>
                <w:rFonts w:ascii="Arial"/>
                <w:b/>
                <w:sz w:val="18"/>
              </w:rPr>
            </w:pPr>
            <w:r>
              <w:rPr>
                <w:rFonts w:ascii="Arial"/>
                <w:b/>
                <w:sz w:val="18"/>
              </w:rPr>
              <w:t>Despesas</w:t>
            </w:r>
            <w:r>
              <w:rPr>
                <w:rFonts w:ascii="Arial"/>
                <w:b/>
                <w:spacing w:val="1"/>
                <w:sz w:val="18"/>
              </w:rPr>
              <w:t xml:space="preserve"> </w:t>
            </w:r>
            <w:r>
              <w:rPr>
                <w:rFonts w:ascii="Arial"/>
                <w:b/>
                <w:sz w:val="18"/>
              </w:rPr>
              <w:t>Gerais</w:t>
            </w:r>
            <w:r>
              <w:rPr>
                <w:rFonts w:ascii="Arial"/>
                <w:b/>
                <w:spacing w:val="-3"/>
                <w:sz w:val="18"/>
              </w:rPr>
              <w:t xml:space="preserve"> </w:t>
            </w:r>
            <w:r>
              <w:rPr>
                <w:rFonts w:ascii="Arial"/>
                <w:b/>
                <w:sz w:val="18"/>
              </w:rPr>
              <w:t>e</w:t>
            </w:r>
            <w:r>
              <w:rPr>
                <w:rFonts w:ascii="Arial"/>
                <w:b/>
                <w:spacing w:val="2"/>
                <w:sz w:val="18"/>
              </w:rPr>
              <w:t xml:space="preserve"> </w:t>
            </w:r>
            <w:r>
              <w:rPr>
                <w:rFonts w:ascii="Arial"/>
                <w:b/>
                <w:spacing w:val="-2"/>
                <w:sz w:val="18"/>
              </w:rPr>
              <w:t>Administrativas</w:t>
            </w:r>
          </w:p>
        </w:tc>
        <w:tc>
          <w:tcPr>
            <w:tcW w:w="1694" w:type="dxa"/>
          </w:tcPr>
          <w:p w14:paraId="3CE9C526" w14:textId="77777777" w:rsidR="002C6574" w:rsidRDefault="00000000">
            <w:pPr>
              <w:pStyle w:val="TableParagraph"/>
              <w:spacing w:before="13" w:line="199" w:lineRule="exact"/>
              <w:ind w:left="396"/>
              <w:jc w:val="left"/>
              <w:rPr>
                <w:rFonts w:ascii="Arial"/>
                <w:b/>
                <w:sz w:val="18"/>
              </w:rPr>
            </w:pPr>
            <w:r>
              <w:rPr>
                <w:rFonts w:ascii="Arial"/>
                <w:b/>
                <w:spacing w:val="-2"/>
                <w:sz w:val="18"/>
              </w:rPr>
              <w:t>31/12/2025</w:t>
            </w:r>
          </w:p>
        </w:tc>
        <w:tc>
          <w:tcPr>
            <w:tcW w:w="1468" w:type="dxa"/>
          </w:tcPr>
          <w:p w14:paraId="6F3D1A65" w14:textId="77777777" w:rsidR="002C6574" w:rsidRDefault="00000000">
            <w:pPr>
              <w:pStyle w:val="TableParagraph"/>
              <w:spacing w:before="13" w:line="199" w:lineRule="exact"/>
              <w:ind w:left="284"/>
              <w:jc w:val="left"/>
              <w:rPr>
                <w:rFonts w:ascii="Arial"/>
                <w:b/>
                <w:sz w:val="18"/>
              </w:rPr>
            </w:pPr>
            <w:r>
              <w:rPr>
                <w:rFonts w:ascii="Arial"/>
                <w:b/>
                <w:spacing w:val="-2"/>
                <w:sz w:val="18"/>
              </w:rPr>
              <w:t>31/12/2024</w:t>
            </w:r>
          </w:p>
        </w:tc>
      </w:tr>
      <w:tr w:rsidR="002C6574" w14:paraId="1B288E4F" w14:textId="77777777">
        <w:trPr>
          <w:trHeight w:val="232"/>
        </w:trPr>
        <w:tc>
          <w:tcPr>
            <w:tcW w:w="6607" w:type="dxa"/>
          </w:tcPr>
          <w:p w14:paraId="76D072B4" w14:textId="77777777" w:rsidR="002C6574" w:rsidRDefault="00000000">
            <w:pPr>
              <w:pStyle w:val="TableParagraph"/>
              <w:spacing w:line="212" w:lineRule="exact"/>
              <w:ind w:left="69"/>
              <w:jc w:val="left"/>
              <w:rPr>
                <w:sz w:val="18"/>
              </w:rPr>
            </w:pPr>
            <w:r>
              <w:rPr>
                <w:w w:val="105"/>
                <w:sz w:val="18"/>
              </w:rPr>
              <w:t>Aluguéis,</w:t>
            </w:r>
            <w:r>
              <w:rPr>
                <w:spacing w:val="-11"/>
                <w:w w:val="105"/>
                <w:sz w:val="18"/>
              </w:rPr>
              <w:t xml:space="preserve"> </w:t>
            </w:r>
            <w:r>
              <w:rPr>
                <w:w w:val="105"/>
                <w:sz w:val="18"/>
              </w:rPr>
              <w:t>Locações</w:t>
            </w:r>
            <w:r>
              <w:rPr>
                <w:spacing w:val="-7"/>
                <w:w w:val="105"/>
                <w:sz w:val="18"/>
              </w:rPr>
              <w:t xml:space="preserve"> </w:t>
            </w:r>
            <w:r>
              <w:rPr>
                <w:w w:val="105"/>
                <w:sz w:val="18"/>
              </w:rPr>
              <w:t>e</w:t>
            </w:r>
            <w:r>
              <w:rPr>
                <w:spacing w:val="-5"/>
                <w:w w:val="105"/>
                <w:sz w:val="18"/>
              </w:rPr>
              <w:t xml:space="preserve"> </w:t>
            </w:r>
            <w:r>
              <w:rPr>
                <w:spacing w:val="-2"/>
                <w:w w:val="105"/>
                <w:sz w:val="18"/>
              </w:rPr>
              <w:t>Seguros</w:t>
            </w:r>
          </w:p>
        </w:tc>
        <w:tc>
          <w:tcPr>
            <w:tcW w:w="1694" w:type="dxa"/>
          </w:tcPr>
          <w:p w14:paraId="35CD4CBE" w14:textId="77777777" w:rsidR="002C6574" w:rsidRDefault="00000000">
            <w:pPr>
              <w:pStyle w:val="TableParagraph"/>
              <w:spacing w:line="212" w:lineRule="exact"/>
              <w:ind w:right="56"/>
              <w:rPr>
                <w:sz w:val="18"/>
              </w:rPr>
            </w:pPr>
            <w:r>
              <w:rPr>
                <w:spacing w:val="-2"/>
                <w:w w:val="110"/>
                <w:sz w:val="18"/>
              </w:rPr>
              <w:t>(1.829)</w:t>
            </w:r>
          </w:p>
        </w:tc>
        <w:tc>
          <w:tcPr>
            <w:tcW w:w="1468" w:type="dxa"/>
          </w:tcPr>
          <w:p w14:paraId="2005D77D" w14:textId="77777777" w:rsidR="002C6574" w:rsidRDefault="00000000">
            <w:pPr>
              <w:pStyle w:val="TableParagraph"/>
              <w:spacing w:line="212" w:lineRule="exact"/>
              <w:ind w:right="54"/>
              <w:rPr>
                <w:sz w:val="18"/>
              </w:rPr>
            </w:pPr>
            <w:r>
              <w:rPr>
                <w:spacing w:val="-2"/>
                <w:w w:val="105"/>
                <w:sz w:val="18"/>
              </w:rPr>
              <w:t>(575)</w:t>
            </w:r>
          </w:p>
        </w:tc>
      </w:tr>
      <w:tr w:rsidR="002C6574" w14:paraId="18D8D8CC" w14:textId="77777777">
        <w:trPr>
          <w:trHeight w:val="232"/>
        </w:trPr>
        <w:tc>
          <w:tcPr>
            <w:tcW w:w="6607" w:type="dxa"/>
          </w:tcPr>
          <w:p w14:paraId="7DE83381" w14:textId="77777777" w:rsidR="002C6574" w:rsidRDefault="00000000">
            <w:pPr>
              <w:pStyle w:val="TableParagraph"/>
              <w:spacing w:line="212" w:lineRule="exact"/>
              <w:ind w:left="69"/>
              <w:jc w:val="left"/>
              <w:rPr>
                <w:sz w:val="18"/>
              </w:rPr>
            </w:pPr>
            <w:r>
              <w:rPr>
                <w:sz w:val="18"/>
              </w:rPr>
              <w:t>Programa</w:t>
            </w:r>
            <w:r>
              <w:rPr>
                <w:spacing w:val="9"/>
                <w:sz w:val="18"/>
              </w:rPr>
              <w:t xml:space="preserve"> </w:t>
            </w:r>
            <w:r>
              <w:rPr>
                <w:sz w:val="18"/>
              </w:rPr>
              <w:t>de</w:t>
            </w:r>
            <w:r>
              <w:rPr>
                <w:spacing w:val="9"/>
                <w:sz w:val="18"/>
              </w:rPr>
              <w:t xml:space="preserve"> </w:t>
            </w:r>
            <w:r>
              <w:rPr>
                <w:sz w:val="18"/>
              </w:rPr>
              <w:t>Indenização</w:t>
            </w:r>
            <w:r>
              <w:rPr>
                <w:spacing w:val="11"/>
                <w:sz w:val="18"/>
              </w:rPr>
              <w:t xml:space="preserve"> </w:t>
            </w:r>
            <w:r>
              <w:rPr>
                <w:sz w:val="18"/>
              </w:rPr>
              <w:t>por</w:t>
            </w:r>
            <w:r>
              <w:rPr>
                <w:spacing w:val="7"/>
                <w:sz w:val="18"/>
              </w:rPr>
              <w:t xml:space="preserve"> </w:t>
            </w:r>
            <w:r>
              <w:rPr>
                <w:sz w:val="18"/>
              </w:rPr>
              <w:t>Serviços</w:t>
            </w:r>
            <w:r>
              <w:rPr>
                <w:spacing w:val="7"/>
                <w:sz w:val="18"/>
              </w:rPr>
              <w:t xml:space="preserve"> </w:t>
            </w:r>
            <w:r>
              <w:rPr>
                <w:sz w:val="18"/>
              </w:rPr>
              <w:t>Prestados</w:t>
            </w:r>
            <w:r>
              <w:rPr>
                <w:spacing w:val="12"/>
                <w:sz w:val="18"/>
              </w:rPr>
              <w:t xml:space="preserve"> </w:t>
            </w:r>
            <w:r>
              <w:rPr>
                <w:sz w:val="18"/>
              </w:rPr>
              <w:t>-</w:t>
            </w:r>
            <w:r>
              <w:rPr>
                <w:spacing w:val="9"/>
                <w:sz w:val="18"/>
              </w:rPr>
              <w:t xml:space="preserve"> </w:t>
            </w:r>
            <w:r>
              <w:rPr>
                <w:spacing w:val="-4"/>
                <w:sz w:val="18"/>
              </w:rPr>
              <w:t>PISP</w:t>
            </w:r>
          </w:p>
        </w:tc>
        <w:tc>
          <w:tcPr>
            <w:tcW w:w="1694" w:type="dxa"/>
          </w:tcPr>
          <w:p w14:paraId="500CCEA7" w14:textId="77777777" w:rsidR="002C6574" w:rsidRDefault="00000000">
            <w:pPr>
              <w:pStyle w:val="TableParagraph"/>
              <w:spacing w:line="212" w:lineRule="exact"/>
              <w:ind w:right="56"/>
              <w:rPr>
                <w:sz w:val="18"/>
              </w:rPr>
            </w:pPr>
            <w:r>
              <w:rPr>
                <w:spacing w:val="-2"/>
                <w:w w:val="105"/>
                <w:sz w:val="18"/>
              </w:rPr>
              <w:t>(821)</w:t>
            </w:r>
          </w:p>
        </w:tc>
        <w:tc>
          <w:tcPr>
            <w:tcW w:w="1468" w:type="dxa"/>
          </w:tcPr>
          <w:p w14:paraId="1660C100" w14:textId="77777777" w:rsidR="002C6574" w:rsidRDefault="00000000">
            <w:pPr>
              <w:pStyle w:val="TableParagraph"/>
              <w:spacing w:line="212" w:lineRule="exact"/>
              <w:ind w:right="54"/>
              <w:rPr>
                <w:sz w:val="18"/>
              </w:rPr>
            </w:pPr>
            <w:r>
              <w:rPr>
                <w:spacing w:val="-2"/>
                <w:w w:val="105"/>
                <w:sz w:val="18"/>
              </w:rPr>
              <w:t>(293)</w:t>
            </w:r>
          </w:p>
        </w:tc>
      </w:tr>
      <w:tr w:rsidR="002C6574" w14:paraId="4134FA42" w14:textId="77777777">
        <w:trPr>
          <w:trHeight w:val="230"/>
        </w:trPr>
        <w:tc>
          <w:tcPr>
            <w:tcW w:w="6607" w:type="dxa"/>
          </w:tcPr>
          <w:p w14:paraId="5201BBA3" w14:textId="77777777" w:rsidR="002C6574" w:rsidRDefault="00000000">
            <w:pPr>
              <w:pStyle w:val="TableParagraph"/>
              <w:spacing w:line="210" w:lineRule="exact"/>
              <w:ind w:left="69"/>
              <w:jc w:val="left"/>
              <w:rPr>
                <w:sz w:val="18"/>
              </w:rPr>
            </w:pPr>
            <w:r>
              <w:rPr>
                <w:spacing w:val="-2"/>
                <w:sz w:val="18"/>
              </w:rPr>
              <w:t>Tributos</w:t>
            </w:r>
          </w:p>
        </w:tc>
        <w:tc>
          <w:tcPr>
            <w:tcW w:w="1694" w:type="dxa"/>
          </w:tcPr>
          <w:p w14:paraId="27883887" w14:textId="77777777" w:rsidR="002C6574" w:rsidRDefault="00000000">
            <w:pPr>
              <w:pStyle w:val="TableParagraph"/>
              <w:spacing w:line="210" w:lineRule="exact"/>
              <w:ind w:right="57"/>
              <w:rPr>
                <w:sz w:val="18"/>
              </w:rPr>
            </w:pPr>
            <w:r>
              <w:rPr>
                <w:spacing w:val="-2"/>
                <w:w w:val="105"/>
                <w:sz w:val="18"/>
              </w:rPr>
              <w:t>(147)</w:t>
            </w:r>
          </w:p>
        </w:tc>
        <w:tc>
          <w:tcPr>
            <w:tcW w:w="1468" w:type="dxa"/>
          </w:tcPr>
          <w:p w14:paraId="2FED647E" w14:textId="77777777" w:rsidR="002C6574" w:rsidRDefault="00000000">
            <w:pPr>
              <w:pStyle w:val="TableParagraph"/>
              <w:spacing w:line="210" w:lineRule="exact"/>
              <w:ind w:right="54"/>
              <w:rPr>
                <w:sz w:val="18"/>
              </w:rPr>
            </w:pPr>
            <w:r>
              <w:rPr>
                <w:spacing w:val="-2"/>
                <w:w w:val="105"/>
                <w:sz w:val="18"/>
              </w:rPr>
              <w:t>(135)</w:t>
            </w:r>
          </w:p>
        </w:tc>
      </w:tr>
      <w:tr w:rsidR="002C6574" w14:paraId="4EFE74B6" w14:textId="77777777">
        <w:trPr>
          <w:trHeight w:val="232"/>
        </w:trPr>
        <w:tc>
          <w:tcPr>
            <w:tcW w:w="6607" w:type="dxa"/>
          </w:tcPr>
          <w:p w14:paraId="28719091" w14:textId="77777777" w:rsidR="002C6574" w:rsidRDefault="00000000">
            <w:pPr>
              <w:pStyle w:val="TableParagraph"/>
              <w:spacing w:line="212" w:lineRule="exact"/>
              <w:ind w:left="69"/>
              <w:jc w:val="left"/>
              <w:rPr>
                <w:sz w:val="18"/>
              </w:rPr>
            </w:pPr>
            <w:r>
              <w:rPr>
                <w:spacing w:val="-2"/>
                <w:sz w:val="18"/>
              </w:rPr>
              <w:t>Material</w:t>
            </w:r>
          </w:p>
        </w:tc>
        <w:tc>
          <w:tcPr>
            <w:tcW w:w="1694" w:type="dxa"/>
          </w:tcPr>
          <w:p w14:paraId="27C3D54E" w14:textId="77777777" w:rsidR="002C6574" w:rsidRDefault="00000000">
            <w:pPr>
              <w:pStyle w:val="TableParagraph"/>
              <w:spacing w:line="212" w:lineRule="exact"/>
              <w:ind w:right="58"/>
              <w:rPr>
                <w:sz w:val="18"/>
              </w:rPr>
            </w:pPr>
            <w:r>
              <w:rPr>
                <w:spacing w:val="-4"/>
                <w:w w:val="105"/>
                <w:sz w:val="18"/>
              </w:rPr>
              <w:t>(56)</w:t>
            </w:r>
          </w:p>
        </w:tc>
        <w:tc>
          <w:tcPr>
            <w:tcW w:w="1468" w:type="dxa"/>
          </w:tcPr>
          <w:p w14:paraId="1EDAE7E1" w14:textId="77777777" w:rsidR="002C6574" w:rsidRDefault="00000000">
            <w:pPr>
              <w:pStyle w:val="TableParagraph"/>
              <w:spacing w:line="212" w:lineRule="exact"/>
              <w:ind w:right="55"/>
              <w:rPr>
                <w:sz w:val="18"/>
              </w:rPr>
            </w:pPr>
            <w:r>
              <w:rPr>
                <w:spacing w:val="-4"/>
                <w:w w:val="105"/>
                <w:sz w:val="18"/>
              </w:rPr>
              <w:t>(58)</w:t>
            </w:r>
          </w:p>
        </w:tc>
      </w:tr>
      <w:tr w:rsidR="002C6574" w14:paraId="06BF39C9" w14:textId="77777777">
        <w:trPr>
          <w:trHeight w:val="232"/>
        </w:trPr>
        <w:tc>
          <w:tcPr>
            <w:tcW w:w="6607" w:type="dxa"/>
          </w:tcPr>
          <w:p w14:paraId="12D03905" w14:textId="77777777" w:rsidR="002C6574" w:rsidRDefault="00000000">
            <w:pPr>
              <w:pStyle w:val="TableParagraph"/>
              <w:spacing w:before="13" w:line="199" w:lineRule="exact"/>
              <w:ind w:left="69"/>
              <w:jc w:val="left"/>
              <w:rPr>
                <w:rFonts w:ascii="Arial"/>
                <w:b/>
                <w:sz w:val="18"/>
              </w:rPr>
            </w:pPr>
            <w:r>
              <w:rPr>
                <w:rFonts w:ascii="Arial"/>
                <w:b/>
                <w:spacing w:val="-2"/>
                <w:sz w:val="18"/>
              </w:rPr>
              <w:t>Total</w:t>
            </w:r>
          </w:p>
        </w:tc>
        <w:tc>
          <w:tcPr>
            <w:tcW w:w="1694" w:type="dxa"/>
          </w:tcPr>
          <w:p w14:paraId="5928328E" w14:textId="77777777" w:rsidR="002C6574" w:rsidRDefault="00000000">
            <w:pPr>
              <w:pStyle w:val="TableParagraph"/>
              <w:spacing w:before="13" w:line="199" w:lineRule="exact"/>
              <w:ind w:right="57"/>
              <w:rPr>
                <w:rFonts w:ascii="Arial"/>
                <w:b/>
                <w:sz w:val="18"/>
              </w:rPr>
            </w:pPr>
            <w:r>
              <w:rPr>
                <w:rFonts w:ascii="Arial"/>
                <w:b/>
                <w:spacing w:val="-2"/>
                <w:sz w:val="18"/>
              </w:rPr>
              <w:t>(98.249)</w:t>
            </w:r>
          </w:p>
        </w:tc>
        <w:tc>
          <w:tcPr>
            <w:tcW w:w="1468" w:type="dxa"/>
          </w:tcPr>
          <w:p w14:paraId="76286533" w14:textId="77777777" w:rsidR="002C6574" w:rsidRDefault="00000000">
            <w:pPr>
              <w:pStyle w:val="TableParagraph"/>
              <w:spacing w:before="13" w:line="199" w:lineRule="exact"/>
              <w:ind w:right="53"/>
              <w:rPr>
                <w:rFonts w:ascii="Arial"/>
                <w:b/>
                <w:sz w:val="18"/>
              </w:rPr>
            </w:pPr>
            <w:r>
              <w:rPr>
                <w:rFonts w:ascii="Arial"/>
                <w:b/>
                <w:spacing w:val="-2"/>
                <w:sz w:val="18"/>
              </w:rPr>
              <w:t>(93.268)</w:t>
            </w:r>
          </w:p>
        </w:tc>
      </w:tr>
    </w:tbl>
    <w:p w14:paraId="711888FE" w14:textId="77777777" w:rsidR="002C6574" w:rsidRDefault="002C6574">
      <w:pPr>
        <w:pStyle w:val="Corpodetexto"/>
        <w:spacing w:before="57"/>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7"/>
        <w:gridCol w:w="1694"/>
        <w:gridCol w:w="1468"/>
      </w:tblGrid>
      <w:tr w:rsidR="002C6574" w14:paraId="4C5CADB1" w14:textId="77777777">
        <w:trPr>
          <w:trHeight w:val="232"/>
        </w:trPr>
        <w:tc>
          <w:tcPr>
            <w:tcW w:w="6607" w:type="dxa"/>
            <w:shd w:val="clear" w:color="auto" w:fill="D8D8D8"/>
          </w:tcPr>
          <w:p w14:paraId="554C6239" w14:textId="77777777" w:rsidR="002C6574" w:rsidRDefault="00000000">
            <w:pPr>
              <w:pStyle w:val="TableParagraph"/>
              <w:spacing w:before="13" w:line="199" w:lineRule="exact"/>
              <w:ind w:left="69"/>
              <w:jc w:val="left"/>
              <w:rPr>
                <w:rFonts w:ascii="Arial"/>
                <w:b/>
                <w:sz w:val="18"/>
              </w:rPr>
            </w:pPr>
            <w:r>
              <w:rPr>
                <w:rFonts w:ascii="Arial"/>
                <w:b/>
                <w:spacing w:val="-2"/>
                <w:sz w:val="18"/>
              </w:rPr>
              <w:t>Aglutinado</w:t>
            </w:r>
          </w:p>
        </w:tc>
        <w:tc>
          <w:tcPr>
            <w:tcW w:w="1694" w:type="dxa"/>
          </w:tcPr>
          <w:p w14:paraId="6E60F88D" w14:textId="77777777" w:rsidR="002C6574" w:rsidRDefault="00000000">
            <w:pPr>
              <w:pStyle w:val="TableParagraph"/>
              <w:spacing w:before="13" w:line="199" w:lineRule="exact"/>
              <w:ind w:left="396"/>
              <w:jc w:val="left"/>
              <w:rPr>
                <w:rFonts w:ascii="Arial"/>
                <w:b/>
                <w:sz w:val="18"/>
              </w:rPr>
            </w:pPr>
            <w:r>
              <w:rPr>
                <w:rFonts w:ascii="Arial"/>
                <w:b/>
                <w:spacing w:val="-2"/>
                <w:sz w:val="18"/>
              </w:rPr>
              <w:t>31/12/2025</w:t>
            </w:r>
          </w:p>
        </w:tc>
        <w:tc>
          <w:tcPr>
            <w:tcW w:w="1468" w:type="dxa"/>
          </w:tcPr>
          <w:p w14:paraId="192C1CE1" w14:textId="77777777" w:rsidR="002C6574" w:rsidRDefault="00000000">
            <w:pPr>
              <w:pStyle w:val="TableParagraph"/>
              <w:spacing w:before="13" w:line="199" w:lineRule="exact"/>
              <w:ind w:left="284"/>
              <w:jc w:val="left"/>
              <w:rPr>
                <w:rFonts w:ascii="Arial"/>
                <w:b/>
                <w:sz w:val="18"/>
              </w:rPr>
            </w:pPr>
            <w:r>
              <w:rPr>
                <w:rFonts w:ascii="Arial"/>
                <w:b/>
                <w:spacing w:val="-2"/>
                <w:sz w:val="18"/>
              </w:rPr>
              <w:t>31/12/2024</w:t>
            </w:r>
          </w:p>
        </w:tc>
      </w:tr>
      <w:tr w:rsidR="002C6574" w14:paraId="279F464D" w14:textId="77777777">
        <w:trPr>
          <w:trHeight w:val="232"/>
        </w:trPr>
        <w:tc>
          <w:tcPr>
            <w:tcW w:w="6607" w:type="dxa"/>
          </w:tcPr>
          <w:p w14:paraId="1A8043DB" w14:textId="77777777" w:rsidR="002C6574" w:rsidRDefault="00000000">
            <w:pPr>
              <w:pStyle w:val="TableParagraph"/>
              <w:spacing w:line="212" w:lineRule="exact"/>
              <w:ind w:left="69"/>
              <w:jc w:val="left"/>
              <w:rPr>
                <w:sz w:val="18"/>
              </w:rPr>
            </w:pPr>
            <w:r>
              <w:rPr>
                <w:sz w:val="18"/>
              </w:rPr>
              <w:t>Depreciação</w:t>
            </w:r>
            <w:r>
              <w:rPr>
                <w:spacing w:val="10"/>
                <w:sz w:val="18"/>
              </w:rPr>
              <w:t xml:space="preserve"> </w:t>
            </w:r>
            <w:r>
              <w:rPr>
                <w:sz w:val="18"/>
              </w:rPr>
              <w:t>e</w:t>
            </w:r>
            <w:r>
              <w:rPr>
                <w:spacing w:val="5"/>
                <w:sz w:val="18"/>
              </w:rPr>
              <w:t xml:space="preserve"> </w:t>
            </w:r>
            <w:r>
              <w:rPr>
                <w:sz w:val="18"/>
              </w:rPr>
              <w:t>Amortização</w:t>
            </w:r>
            <w:r>
              <w:rPr>
                <w:spacing w:val="11"/>
                <w:sz w:val="18"/>
              </w:rPr>
              <w:t xml:space="preserve"> </w:t>
            </w:r>
            <w:r>
              <w:rPr>
                <w:spacing w:val="-5"/>
                <w:sz w:val="18"/>
              </w:rPr>
              <w:t>(i)</w:t>
            </w:r>
          </w:p>
        </w:tc>
        <w:tc>
          <w:tcPr>
            <w:tcW w:w="1694" w:type="dxa"/>
          </w:tcPr>
          <w:p w14:paraId="45B7F942" w14:textId="77777777" w:rsidR="002C6574" w:rsidRDefault="00000000">
            <w:pPr>
              <w:pStyle w:val="TableParagraph"/>
              <w:spacing w:line="212" w:lineRule="exact"/>
              <w:ind w:right="56"/>
              <w:rPr>
                <w:sz w:val="18"/>
              </w:rPr>
            </w:pPr>
            <w:r>
              <w:rPr>
                <w:spacing w:val="-2"/>
                <w:w w:val="105"/>
                <w:sz w:val="18"/>
              </w:rPr>
              <w:t>(274.104)</w:t>
            </w:r>
          </w:p>
        </w:tc>
        <w:tc>
          <w:tcPr>
            <w:tcW w:w="1468" w:type="dxa"/>
          </w:tcPr>
          <w:p w14:paraId="3DE22481" w14:textId="77777777" w:rsidR="002C6574" w:rsidRDefault="00000000">
            <w:pPr>
              <w:pStyle w:val="TableParagraph"/>
              <w:spacing w:line="212" w:lineRule="exact"/>
              <w:ind w:right="54"/>
              <w:rPr>
                <w:sz w:val="18"/>
              </w:rPr>
            </w:pPr>
            <w:r>
              <w:rPr>
                <w:spacing w:val="-2"/>
                <w:w w:val="105"/>
                <w:sz w:val="18"/>
              </w:rPr>
              <w:t>(270.044)</w:t>
            </w:r>
          </w:p>
        </w:tc>
      </w:tr>
      <w:tr w:rsidR="002C6574" w14:paraId="5BD8915D" w14:textId="77777777">
        <w:trPr>
          <w:trHeight w:val="232"/>
        </w:trPr>
        <w:tc>
          <w:tcPr>
            <w:tcW w:w="6607" w:type="dxa"/>
          </w:tcPr>
          <w:p w14:paraId="2458BEDB" w14:textId="77777777" w:rsidR="002C6574" w:rsidRDefault="00000000">
            <w:pPr>
              <w:pStyle w:val="TableParagraph"/>
              <w:spacing w:line="212" w:lineRule="exact"/>
              <w:ind w:left="69"/>
              <w:jc w:val="left"/>
              <w:rPr>
                <w:sz w:val="18"/>
              </w:rPr>
            </w:pPr>
            <w:r>
              <w:rPr>
                <w:spacing w:val="-2"/>
                <w:w w:val="105"/>
                <w:sz w:val="18"/>
              </w:rPr>
              <w:t>Meios</w:t>
            </w:r>
            <w:r>
              <w:rPr>
                <w:spacing w:val="-5"/>
                <w:w w:val="105"/>
                <w:sz w:val="18"/>
              </w:rPr>
              <w:t xml:space="preserve"> </w:t>
            </w:r>
            <w:r>
              <w:rPr>
                <w:spacing w:val="-2"/>
                <w:w w:val="105"/>
                <w:sz w:val="18"/>
              </w:rPr>
              <w:t>de Conexão</w:t>
            </w:r>
            <w:r>
              <w:rPr>
                <w:spacing w:val="-4"/>
                <w:w w:val="105"/>
                <w:sz w:val="18"/>
              </w:rPr>
              <w:t xml:space="preserve"> </w:t>
            </w:r>
            <w:r>
              <w:rPr>
                <w:spacing w:val="-2"/>
                <w:w w:val="105"/>
                <w:sz w:val="18"/>
              </w:rPr>
              <w:t>e</w:t>
            </w:r>
            <w:r>
              <w:rPr>
                <w:spacing w:val="-3"/>
                <w:w w:val="105"/>
                <w:sz w:val="18"/>
              </w:rPr>
              <w:t xml:space="preserve"> </w:t>
            </w:r>
            <w:r>
              <w:rPr>
                <w:spacing w:val="-2"/>
                <w:w w:val="105"/>
                <w:sz w:val="18"/>
              </w:rPr>
              <w:t>Transmissão</w:t>
            </w:r>
            <w:r>
              <w:rPr>
                <w:spacing w:val="-1"/>
                <w:w w:val="105"/>
                <w:sz w:val="18"/>
              </w:rPr>
              <w:t xml:space="preserve"> </w:t>
            </w:r>
            <w:r>
              <w:rPr>
                <w:spacing w:val="-4"/>
                <w:w w:val="105"/>
                <w:sz w:val="18"/>
              </w:rPr>
              <w:t>(ii)</w:t>
            </w:r>
          </w:p>
        </w:tc>
        <w:tc>
          <w:tcPr>
            <w:tcW w:w="1694" w:type="dxa"/>
          </w:tcPr>
          <w:p w14:paraId="7B9EAAF3" w14:textId="77777777" w:rsidR="002C6574" w:rsidRDefault="00000000">
            <w:pPr>
              <w:pStyle w:val="TableParagraph"/>
              <w:spacing w:line="212" w:lineRule="exact"/>
              <w:ind w:right="56"/>
              <w:rPr>
                <w:sz w:val="18"/>
              </w:rPr>
            </w:pPr>
            <w:r>
              <w:rPr>
                <w:spacing w:val="-2"/>
                <w:w w:val="105"/>
                <w:sz w:val="18"/>
              </w:rPr>
              <w:t>(170.423)</w:t>
            </w:r>
          </w:p>
        </w:tc>
        <w:tc>
          <w:tcPr>
            <w:tcW w:w="1468" w:type="dxa"/>
          </w:tcPr>
          <w:p w14:paraId="111132DA" w14:textId="77777777" w:rsidR="002C6574" w:rsidRDefault="00000000">
            <w:pPr>
              <w:pStyle w:val="TableParagraph"/>
              <w:spacing w:line="212" w:lineRule="exact"/>
              <w:ind w:right="54"/>
              <w:rPr>
                <w:sz w:val="18"/>
              </w:rPr>
            </w:pPr>
            <w:r>
              <w:rPr>
                <w:spacing w:val="-2"/>
                <w:w w:val="105"/>
                <w:sz w:val="18"/>
              </w:rPr>
              <w:t>(135.121)</w:t>
            </w:r>
          </w:p>
        </w:tc>
      </w:tr>
      <w:tr w:rsidR="002C6574" w14:paraId="477AADEC" w14:textId="77777777">
        <w:trPr>
          <w:trHeight w:val="232"/>
        </w:trPr>
        <w:tc>
          <w:tcPr>
            <w:tcW w:w="6607" w:type="dxa"/>
          </w:tcPr>
          <w:p w14:paraId="1E4D7128" w14:textId="77777777" w:rsidR="002C6574" w:rsidRDefault="00000000">
            <w:pPr>
              <w:pStyle w:val="TableParagraph"/>
              <w:spacing w:line="212" w:lineRule="exact"/>
              <w:ind w:left="69"/>
              <w:jc w:val="left"/>
              <w:rPr>
                <w:sz w:val="18"/>
              </w:rPr>
            </w:pPr>
            <w:r>
              <w:rPr>
                <w:sz w:val="18"/>
              </w:rPr>
              <w:t>Serviços</w:t>
            </w:r>
            <w:r>
              <w:rPr>
                <w:spacing w:val="21"/>
                <w:sz w:val="18"/>
              </w:rPr>
              <w:t xml:space="preserve"> </w:t>
            </w:r>
            <w:r>
              <w:rPr>
                <w:sz w:val="18"/>
              </w:rPr>
              <w:t>de</w:t>
            </w:r>
            <w:r>
              <w:rPr>
                <w:spacing w:val="24"/>
                <w:sz w:val="18"/>
              </w:rPr>
              <w:t xml:space="preserve"> </w:t>
            </w:r>
            <w:r>
              <w:rPr>
                <w:sz w:val="18"/>
              </w:rPr>
              <w:t>Terceiros</w:t>
            </w:r>
            <w:r>
              <w:rPr>
                <w:spacing w:val="22"/>
                <w:sz w:val="18"/>
              </w:rPr>
              <w:t xml:space="preserve"> </w:t>
            </w:r>
            <w:r>
              <w:rPr>
                <w:spacing w:val="-4"/>
                <w:sz w:val="18"/>
              </w:rPr>
              <w:t>(iii)</w:t>
            </w:r>
          </w:p>
        </w:tc>
        <w:tc>
          <w:tcPr>
            <w:tcW w:w="1694" w:type="dxa"/>
          </w:tcPr>
          <w:p w14:paraId="1BFAD33D" w14:textId="77777777" w:rsidR="002C6574" w:rsidRDefault="00000000">
            <w:pPr>
              <w:pStyle w:val="TableParagraph"/>
              <w:spacing w:line="212" w:lineRule="exact"/>
              <w:ind w:right="56"/>
              <w:rPr>
                <w:sz w:val="18"/>
              </w:rPr>
            </w:pPr>
            <w:r>
              <w:rPr>
                <w:spacing w:val="-2"/>
                <w:w w:val="105"/>
                <w:sz w:val="18"/>
              </w:rPr>
              <w:t>(153.127)</w:t>
            </w:r>
          </w:p>
        </w:tc>
        <w:tc>
          <w:tcPr>
            <w:tcW w:w="1468" w:type="dxa"/>
          </w:tcPr>
          <w:p w14:paraId="00869E7C" w14:textId="77777777" w:rsidR="002C6574" w:rsidRDefault="00000000">
            <w:pPr>
              <w:pStyle w:val="TableParagraph"/>
              <w:spacing w:line="212" w:lineRule="exact"/>
              <w:ind w:right="54"/>
              <w:rPr>
                <w:sz w:val="18"/>
              </w:rPr>
            </w:pPr>
            <w:r>
              <w:rPr>
                <w:spacing w:val="-2"/>
                <w:w w:val="105"/>
                <w:sz w:val="18"/>
              </w:rPr>
              <w:t>(173.875)</w:t>
            </w:r>
          </w:p>
        </w:tc>
      </w:tr>
      <w:tr w:rsidR="002C6574" w14:paraId="2E83426B" w14:textId="77777777">
        <w:trPr>
          <w:trHeight w:val="232"/>
        </w:trPr>
        <w:tc>
          <w:tcPr>
            <w:tcW w:w="6607" w:type="dxa"/>
          </w:tcPr>
          <w:p w14:paraId="486F1D63" w14:textId="77777777" w:rsidR="002C6574" w:rsidRDefault="00000000">
            <w:pPr>
              <w:pStyle w:val="TableParagraph"/>
              <w:spacing w:line="212" w:lineRule="exact"/>
              <w:ind w:left="69"/>
              <w:jc w:val="left"/>
              <w:rPr>
                <w:sz w:val="18"/>
              </w:rPr>
            </w:pPr>
            <w:r>
              <w:rPr>
                <w:w w:val="105"/>
                <w:sz w:val="18"/>
              </w:rPr>
              <w:t>Pessoal</w:t>
            </w:r>
            <w:r>
              <w:rPr>
                <w:spacing w:val="17"/>
                <w:w w:val="105"/>
                <w:sz w:val="18"/>
              </w:rPr>
              <w:t xml:space="preserve"> </w:t>
            </w:r>
            <w:r>
              <w:rPr>
                <w:spacing w:val="-4"/>
                <w:w w:val="105"/>
                <w:sz w:val="18"/>
              </w:rPr>
              <w:t>(iv)</w:t>
            </w:r>
          </w:p>
        </w:tc>
        <w:tc>
          <w:tcPr>
            <w:tcW w:w="1694" w:type="dxa"/>
          </w:tcPr>
          <w:p w14:paraId="69C73E6C" w14:textId="77777777" w:rsidR="002C6574" w:rsidRDefault="00000000">
            <w:pPr>
              <w:pStyle w:val="TableParagraph"/>
              <w:spacing w:line="212" w:lineRule="exact"/>
              <w:ind w:right="56"/>
              <w:rPr>
                <w:sz w:val="18"/>
              </w:rPr>
            </w:pPr>
            <w:r>
              <w:rPr>
                <w:spacing w:val="-2"/>
                <w:w w:val="105"/>
                <w:sz w:val="18"/>
              </w:rPr>
              <w:t>(119.390)</w:t>
            </w:r>
          </w:p>
        </w:tc>
        <w:tc>
          <w:tcPr>
            <w:tcW w:w="1468" w:type="dxa"/>
          </w:tcPr>
          <w:p w14:paraId="1BB29ED0" w14:textId="77777777" w:rsidR="002C6574" w:rsidRDefault="00000000">
            <w:pPr>
              <w:pStyle w:val="TableParagraph"/>
              <w:spacing w:line="212" w:lineRule="exact"/>
              <w:ind w:right="54"/>
              <w:rPr>
                <w:sz w:val="18"/>
              </w:rPr>
            </w:pPr>
            <w:r>
              <w:rPr>
                <w:spacing w:val="-2"/>
                <w:w w:val="105"/>
                <w:sz w:val="18"/>
              </w:rPr>
              <w:t>(111.058)</w:t>
            </w:r>
          </w:p>
        </w:tc>
      </w:tr>
      <w:tr w:rsidR="002C6574" w14:paraId="188EFFB1" w14:textId="77777777">
        <w:trPr>
          <w:trHeight w:val="230"/>
        </w:trPr>
        <w:tc>
          <w:tcPr>
            <w:tcW w:w="6607" w:type="dxa"/>
          </w:tcPr>
          <w:p w14:paraId="7C97C6D4" w14:textId="77777777" w:rsidR="002C6574" w:rsidRDefault="00000000">
            <w:pPr>
              <w:pStyle w:val="TableParagraph"/>
              <w:spacing w:line="210" w:lineRule="exact"/>
              <w:ind w:left="69"/>
              <w:jc w:val="left"/>
              <w:rPr>
                <w:sz w:val="18"/>
              </w:rPr>
            </w:pPr>
            <w:r>
              <w:rPr>
                <w:w w:val="105"/>
                <w:sz w:val="18"/>
              </w:rPr>
              <w:t>Aluguéis,</w:t>
            </w:r>
            <w:r>
              <w:rPr>
                <w:spacing w:val="-12"/>
                <w:w w:val="105"/>
                <w:sz w:val="18"/>
              </w:rPr>
              <w:t xml:space="preserve"> </w:t>
            </w:r>
            <w:r>
              <w:rPr>
                <w:w w:val="105"/>
                <w:sz w:val="18"/>
              </w:rPr>
              <w:t>Locações</w:t>
            </w:r>
            <w:r>
              <w:rPr>
                <w:spacing w:val="-9"/>
                <w:w w:val="105"/>
                <w:sz w:val="18"/>
              </w:rPr>
              <w:t xml:space="preserve"> </w:t>
            </w:r>
            <w:r>
              <w:rPr>
                <w:w w:val="105"/>
                <w:sz w:val="18"/>
              </w:rPr>
              <w:t>e</w:t>
            </w:r>
            <w:r>
              <w:rPr>
                <w:spacing w:val="-6"/>
                <w:w w:val="105"/>
                <w:sz w:val="18"/>
              </w:rPr>
              <w:t xml:space="preserve"> </w:t>
            </w:r>
            <w:r>
              <w:rPr>
                <w:w w:val="105"/>
                <w:sz w:val="18"/>
              </w:rPr>
              <w:t>Seguros</w:t>
            </w:r>
            <w:r>
              <w:rPr>
                <w:spacing w:val="-11"/>
                <w:w w:val="105"/>
                <w:sz w:val="18"/>
              </w:rPr>
              <w:t xml:space="preserve"> </w:t>
            </w:r>
            <w:r>
              <w:rPr>
                <w:spacing w:val="-5"/>
                <w:w w:val="105"/>
                <w:sz w:val="18"/>
              </w:rPr>
              <w:t>(v)</w:t>
            </w:r>
          </w:p>
        </w:tc>
        <w:tc>
          <w:tcPr>
            <w:tcW w:w="1694" w:type="dxa"/>
          </w:tcPr>
          <w:p w14:paraId="65B3A98D" w14:textId="77777777" w:rsidR="002C6574" w:rsidRDefault="00000000">
            <w:pPr>
              <w:pStyle w:val="TableParagraph"/>
              <w:spacing w:line="210" w:lineRule="exact"/>
              <w:ind w:right="56"/>
              <w:rPr>
                <w:sz w:val="18"/>
              </w:rPr>
            </w:pPr>
            <w:r>
              <w:rPr>
                <w:spacing w:val="-2"/>
                <w:w w:val="110"/>
                <w:sz w:val="18"/>
              </w:rPr>
              <w:t>(62.049)</w:t>
            </w:r>
          </w:p>
        </w:tc>
        <w:tc>
          <w:tcPr>
            <w:tcW w:w="1468" w:type="dxa"/>
          </w:tcPr>
          <w:p w14:paraId="387C6DD9" w14:textId="77777777" w:rsidR="002C6574" w:rsidRDefault="00000000">
            <w:pPr>
              <w:pStyle w:val="TableParagraph"/>
              <w:spacing w:line="210" w:lineRule="exact"/>
              <w:ind w:right="53"/>
              <w:rPr>
                <w:sz w:val="18"/>
              </w:rPr>
            </w:pPr>
            <w:r>
              <w:rPr>
                <w:spacing w:val="-2"/>
                <w:w w:val="110"/>
                <w:sz w:val="18"/>
              </w:rPr>
              <w:t>(50.467)</w:t>
            </w:r>
          </w:p>
        </w:tc>
      </w:tr>
      <w:tr w:rsidR="002C6574" w14:paraId="636CBA9A" w14:textId="77777777">
        <w:trPr>
          <w:trHeight w:val="232"/>
        </w:trPr>
        <w:tc>
          <w:tcPr>
            <w:tcW w:w="6607" w:type="dxa"/>
          </w:tcPr>
          <w:p w14:paraId="40F3E552" w14:textId="77777777" w:rsidR="002C6574" w:rsidRDefault="00000000">
            <w:pPr>
              <w:pStyle w:val="TableParagraph"/>
              <w:spacing w:line="212" w:lineRule="exact"/>
              <w:ind w:left="69"/>
              <w:jc w:val="left"/>
              <w:rPr>
                <w:sz w:val="18"/>
              </w:rPr>
            </w:pPr>
            <w:r>
              <w:rPr>
                <w:spacing w:val="-2"/>
                <w:sz w:val="18"/>
              </w:rPr>
              <w:t>Tributos</w:t>
            </w:r>
          </w:p>
        </w:tc>
        <w:tc>
          <w:tcPr>
            <w:tcW w:w="1694" w:type="dxa"/>
          </w:tcPr>
          <w:p w14:paraId="67B14138" w14:textId="77777777" w:rsidR="002C6574" w:rsidRDefault="00000000">
            <w:pPr>
              <w:pStyle w:val="TableParagraph"/>
              <w:spacing w:line="212" w:lineRule="exact"/>
              <w:ind w:right="58"/>
              <w:rPr>
                <w:sz w:val="18"/>
              </w:rPr>
            </w:pPr>
            <w:r>
              <w:rPr>
                <w:spacing w:val="-2"/>
                <w:w w:val="110"/>
                <w:sz w:val="18"/>
              </w:rPr>
              <w:t>(6.257)</w:t>
            </w:r>
          </w:p>
        </w:tc>
        <w:tc>
          <w:tcPr>
            <w:tcW w:w="1468" w:type="dxa"/>
          </w:tcPr>
          <w:p w14:paraId="161FF7A9" w14:textId="77777777" w:rsidR="002C6574" w:rsidRDefault="00000000">
            <w:pPr>
              <w:pStyle w:val="TableParagraph"/>
              <w:spacing w:line="212" w:lineRule="exact"/>
              <w:ind w:right="54"/>
              <w:rPr>
                <w:sz w:val="18"/>
              </w:rPr>
            </w:pPr>
            <w:r>
              <w:rPr>
                <w:spacing w:val="-2"/>
                <w:w w:val="110"/>
                <w:sz w:val="18"/>
              </w:rPr>
              <w:t>(5.372)</w:t>
            </w:r>
          </w:p>
        </w:tc>
      </w:tr>
      <w:tr w:rsidR="002C6574" w14:paraId="1E8DB3F7" w14:textId="77777777">
        <w:trPr>
          <w:trHeight w:val="232"/>
        </w:trPr>
        <w:tc>
          <w:tcPr>
            <w:tcW w:w="6607" w:type="dxa"/>
          </w:tcPr>
          <w:p w14:paraId="5D3F863A" w14:textId="77777777" w:rsidR="002C6574" w:rsidRDefault="00000000">
            <w:pPr>
              <w:pStyle w:val="TableParagraph"/>
              <w:spacing w:line="212" w:lineRule="exact"/>
              <w:ind w:left="69"/>
              <w:jc w:val="left"/>
              <w:rPr>
                <w:sz w:val="18"/>
              </w:rPr>
            </w:pPr>
            <w:r>
              <w:rPr>
                <w:spacing w:val="-2"/>
                <w:sz w:val="18"/>
              </w:rPr>
              <w:t>Compartilhamento</w:t>
            </w:r>
            <w:r>
              <w:rPr>
                <w:spacing w:val="1"/>
                <w:sz w:val="18"/>
              </w:rPr>
              <w:t xml:space="preserve"> </w:t>
            </w:r>
            <w:r>
              <w:rPr>
                <w:spacing w:val="-2"/>
                <w:sz w:val="18"/>
              </w:rPr>
              <w:t>de</w:t>
            </w:r>
            <w:r>
              <w:rPr>
                <w:spacing w:val="3"/>
                <w:sz w:val="18"/>
              </w:rPr>
              <w:t xml:space="preserve"> </w:t>
            </w:r>
            <w:r>
              <w:rPr>
                <w:spacing w:val="-2"/>
                <w:sz w:val="18"/>
              </w:rPr>
              <w:t>Instalações</w:t>
            </w:r>
          </w:p>
        </w:tc>
        <w:tc>
          <w:tcPr>
            <w:tcW w:w="1694" w:type="dxa"/>
          </w:tcPr>
          <w:p w14:paraId="690D4891" w14:textId="77777777" w:rsidR="002C6574" w:rsidRDefault="00000000">
            <w:pPr>
              <w:pStyle w:val="TableParagraph"/>
              <w:spacing w:line="212" w:lineRule="exact"/>
              <w:ind w:right="56"/>
              <w:rPr>
                <w:sz w:val="18"/>
              </w:rPr>
            </w:pPr>
            <w:r>
              <w:rPr>
                <w:spacing w:val="-2"/>
                <w:w w:val="110"/>
                <w:sz w:val="18"/>
              </w:rPr>
              <w:t>(3.877)</w:t>
            </w:r>
          </w:p>
        </w:tc>
        <w:tc>
          <w:tcPr>
            <w:tcW w:w="1468" w:type="dxa"/>
          </w:tcPr>
          <w:p w14:paraId="3DA5D94A" w14:textId="77777777" w:rsidR="002C6574" w:rsidRDefault="00000000">
            <w:pPr>
              <w:pStyle w:val="TableParagraph"/>
              <w:spacing w:line="212" w:lineRule="exact"/>
              <w:ind w:right="54"/>
              <w:rPr>
                <w:sz w:val="18"/>
              </w:rPr>
            </w:pPr>
            <w:r>
              <w:rPr>
                <w:spacing w:val="-2"/>
                <w:w w:val="110"/>
                <w:sz w:val="18"/>
              </w:rPr>
              <w:t>(3.803)</w:t>
            </w:r>
          </w:p>
        </w:tc>
      </w:tr>
      <w:tr w:rsidR="002C6574" w14:paraId="6558C747" w14:textId="77777777">
        <w:trPr>
          <w:trHeight w:val="232"/>
        </w:trPr>
        <w:tc>
          <w:tcPr>
            <w:tcW w:w="6607" w:type="dxa"/>
          </w:tcPr>
          <w:p w14:paraId="3D3DDA88" w14:textId="77777777" w:rsidR="002C6574" w:rsidRDefault="00000000">
            <w:pPr>
              <w:pStyle w:val="TableParagraph"/>
              <w:spacing w:line="212" w:lineRule="exact"/>
              <w:ind w:left="69"/>
              <w:jc w:val="left"/>
              <w:rPr>
                <w:sz w:val="18"/>
              </w:rPr>
            </w:pPr>
            <w:r>
              <w:rPr>
                <w:sz w:val="18"/>
              </w:rPr>
              <w:t>Perdas</w:t>
            </w:r>
            <w:r>
              <w:rPr>
                <w:spacing w:val="10"/>
                <w:sz w:val="18"/>
              </w:rPr>
              <w:t xml:space="preserve"> </w:t>
            </w:r>
            <w:r>
              <w:rPr>
                <w:sz w:val="18"/>
              </w:rPr>
              <w:t>Estimadas</w:t>
            </w:r>
            <w:r>
              <w:rPr>
                <w:spacing w:val="11"/>
                <w:sz w:val="18"/>
              </w:rPr>
              <w:t xml:space="preserve"> </w:t>
            </w:r>
            <w:r>
              <w:rPr>
                <w:sz w:val="18"/>
              </w:rPr>
              <w:t>com</w:t>
            </w:r>
            <w:r>
              <w:rPr>
                <w:spacing w:val="12"/>
                <w:sz w:val="18"/>
              </w:rPr>
              <w:t xml:space="preserve"> </w:t>
            </w:r>
            <w:r>
              <w:rPr>
                <w:sz w:val="18"/>
              </w:rPr>
              <w:t>Crédito</w:t>
            </w:r>
            <w:r>
              <w:rPr>
                <w:spacing w:val="11"/>
                <w:sz w:val="18"/>
              </w:rPr>
              <w:t xml:space="preserve"> </w:t>
            </w:r>
            <w:r>
              <w:rPr>
                <w:sz w:val="18"/>
              </w:rPr>
              <w:t>de</w:t>
            </w:r>
            <w:r>
              <w:rPr>
                <w:spacing w:val="11"/>
                <w:sz w:val="18"/>
              </w:rPr>
              <w:t xml:space="preserve"> </w:t>
            </w:r>
            <w:r>
              <w:rPr>
                <w:sz w:val="18"/>
              </w:rPr>
              <w:t>Liquidação</w:t>
            </w:r>
            <w:r>
              <w:rPr>
                <w:spacing w:val="10"/>
                <w:sz w:val="18"/>
              </w:rPr>
              <w:t xml:space="preserve"> </w:t>
            </w:r>
            <w:r>
              <w:rPr>
                <w:spacing w:val="-2"/>
                <w:sz w:val="18"/>
              </w:rPr>
              <w:t>Duvidosa</w:t>
            </w:r>
          </w:p>
        </w:tc>
        <w:tc>
          <w:tcPr>
            <w:tcW w:w="1694" w:type="dxa"/>
          </w:tcPr>
          <w:p w14:paraId="08F5580B" w14:textId="77777777" w:rsidR="002C6574" w:rsidRDefault="00000000">
            <w:pPr>
              <w:pStyle w:val="TableParagraph"/>
              <w:spacing w:line="212" w:lineRule="exact"/>
              <w:ind w:right="56"/>
              <w:rPr>
                <w:sz w:val="18"/>
              </w:rPr>
            </w:pPr>
            <w:r>
              <w:rPr>
                <w:spacing w:val="-2"/>
                <w:w w:val="110"/>
                <w:sz w:val="18"/>
              </w:rPr>
              <w:t>(2.807)</w:t>
            </w:r>
          </w:p>
        </w:tc>
        <w:tc>
          <w:tcPr>
            <w:tcW w:w="1468" w:type="dxa"/>
          </w:tcPr>
          <w:p w14:paraId="473F6028" w14:textId="77777777" w:rsidR="002C6574" w:rsidRDefault="00000000">
            <w:pPr>
              <w:pStyle w:val="TableParagraph"/>
              <w:spacing w:line="212" w:lineRule="exact"/>
              <w:ind w:right="54"/>
              <w:rPr>
                <w:sz w:val="18"/>
              </w:rPr>
            </w:pPr>
            <w:r>
              <w:rPr>
                <w:spacing w:val="-2"/>
                <w:w w:val="110"/>
                <w:sz w:val="18"/>
              </w:rPr>
              <w:t>(2.752)</w:t>
            </w:r>
          </w:p>
        </w:tc>
      </w:tr>
      <w:tr w:rsidR="002C6574" w14:paraId="5A5877AF" w14:textId="77777777">
        <w:trPr>
          <w:trHeight w:val="232"/>
        </w:trPr>
        <w:tc>
          <w:tcPr>
            <w:tcW w:w="6607" w:type="dxa"/>
          </w:tcPr>
          <w:p w14:paraId="19E1EC73" w14:textId="77777777" w:rsidR="002C6574" w:rsidRDefault="00000000">
            <w:pPr>
              <w:pStyle w:val="TableParagraph"/>
              <w:spacing w:line="212" w:lineRule="exact"/>
              <w:ind w:left="69"/>
              <w:jc w:val="left"/>
              <w:rPr>
                <w:sz w:val="18"/>
              </w:rPr>
            </w:pPr>
            <w:r>
              <w:rPr>
                <w:sz w:val="18"/>
              </w:rPr>
              <w:t>Programa</w:t>
            </w:r>
            <w:r>
              <w:rPr>
                <w:spacing w:val="9"/>
                <w:sz w:val="18"/>
              </w:rPr>
              <w:t xml:space="preserve"> </w:t>
            </w:r>
            <w:r>
              <w:rPr>
                <w:sz w:val="18"/>
              </w:rPr>
              <w:t>de</w:t>
            </w:r>
            <w:r>
              <w:rPr>
                <w:spacing w:val="9"/>
                <w:sz w:val="18"/>
              </w:rPr>
              <w:t xml:space="preserve"> </w:t>
            </w:r>
            <w:r>
              <w:rPr>
                <w:sz w:val="18"/>
              </w:rPr>
              <w:t>Indenização</w:t>
            </w:r>
            <w:r>
              <w:rPr>
                <w:spacing w:val="11"/>
                <w:sz w:val="18"/>
              </w:rPr>
              <w:t xml:space="preserve"> </w:t>
            </w:r>
            <w:r>
              <w:rPr>
                <w:sz w:val="18"/>
              </w:rPr>
              <w:t>por</w:t>
            </w:r>
            <w:r>
              <w:rPr>
                <w:spacing w:val="7"/>
                <w:sz w:val="18"/>
              </w:rPr>
              <w:t xml:space="preserve"> </w:t>
            </w:r>
            <w:r>
              <w:rPr>
                <w:sz w:val="18"/>
              </w:rPr>
              <w:t>Serviços</w:t>
            </w:r>
            <w:r>
              <w:rPr>
                <w:spacing w:val="7"/>
                <w:sz w:val="18"/>
              </w:rPr>
              <w:t xml:space="preserve"> </w:t>
            </w:r>
            <w:r>
              <w:rPr>
                <w:sz w:val="18"/>
              </w:rPr>
              <w:t>Prestados</w:t>
            </w:r>
            <w:r>
              <w:rPr>
                <w:spacing w:val="12"/>
                <w:sz w:val="18"/>
              </w:rPr>
              <w:t xml:space="preserve"> </w:t>
            </w:r>
            <w:r>
              <w:rPr>
                <w:sz w:val="18"/>
              </w:rPr>
              <w:t>-</w:t>
            </w:r>
            <w:r>
              <w:rPr>
                <w:spacing w:val="9"/>
                <w:sz w:val="18"/>
              </w:rPr>
              <w:t xml:space="preserve"> </w:t>
            </w:r>
            <w:r>
              <w:rPr>
                <w:spacing w:val="-4"/>
                <w:sz w:val="18"/>
              </w:rPr>
              <w:t>PISP</w:t>
            </w:r>
          </w:p>
        </w:tc>
        <w:tc>
          <w:tcPr>
            <w:tcW w:w="1694" w:type="dxa"/>
          </w:tcPr>
          <w:p w14:paraId="0B38C2B6" w14:textId="77777777" w:rsidR="002C6574" w:rsidRDefault="00000000">
            <w:pPr>
              <w:pStyle w:val="TableParagraph"/>
              <w:spacing w:line="212" w:lineRule="exact"/>
              <w:ind w:right="56"/>
              <w:rPr>
                <w:sz w:val="18"/>
              </w:rPr>
            </w:pPr>
            <w:r>
              <w:rPr>
                <w:spacing w:val="-2"/>
                <w:w w:val="110"/>
                <w:sz w:val="18"/>
              </w:rPr>
              <w:t>(1.733)</w:t>
            </w:r>
          </w:p>
        </w:tc>
        <w:tc>
          <w:tcPr>
            <w:tcW w:w="1468" w:type="dxa"/>
          </w:tcPr>
          <w:p w14:paraId="1B9265CF" w14:textId="77777777" w:rsidR="002C6574" w:rsidRDefault="00000000">
            <w:pPr>
              <w:pStyle w:val="TableParagraph"/>
              <w:spacing w:line="212" w:lineRule="exact"/>
              <w:ind w:right="54"/>
              <w:rPr>
                <w:sz w:val="18"/>
              </w:rPr>
            </w:pPr>
            <w:r>
              <w:rPr>
                <w:spacing w:val="-2"/>
                <w:w w:val="105"/>
                <w:sz w:val="18"/>
              </w:rPr>
              <w:t>(411)</w:t>
            </w:r>
          </w:p>
        </w:tc>
      </w:tr>
      <w:tr w:rsidR="002C6574" w14:paraId="10A481F1" w14:textId="77777777">
        <w:trPr>
          <w:trHeight w:val="232"/>
        </w:trPr>
        <w:tc>
          <w:tcPr>
            <w:tcW w:w="6607" w:type="dxa"/>
          </w:tcPr>
          <w:p w14:paraId="0EF46B57" w14:textId="77777777" w:rsidR="002C6574" w:rsidRDefault="00000000">
            <w:pPr>
              <w:pStyle w:val="TableParagraph"/>
              <w:spacing w:line="212" w:lineRule="exact"/>
              <w:ind w:left="69"/>
              <w:jc w:val="left"/>
              <w:rPr>
                <w:sz w:val="18"/>
              </w:rPr>
            </w:pPr>
            <w:r>
              <w:rPr>
                <w:spacing w:val="-2"/>
                <w:sz w:val="18"/>
              </w:rPr>
              <w:t>Material</w:t>
            </w:r>
          </w:p>
        </w:tc>
        <w:tc>
          <w:tcPr>
            <w:tcW w:w="1694" w:type="dxa"/>
          </w:tcPr>
          <w:p w14:paraId="51C69842" w14:textId="77777777" w:rsidR="002C6574" w:rsidRDefault="00000000">
            <w:pPr>
              <w:pStyle w:val="TableParagraph"/>
              <w:spacing w:line="212" w:lineRule="exact"/>
              <w:ind w:right="58"/>
              <w:rPr>
                <w:sz w:val="18"/>
              </w:rPr>
            </w:pPr>
            <w:r>
              <w:rPr>
                <w:spacing w:val="-4"/>
                <w:w w:val="105"/>
                <w:sz w:val="18"/>
              </w:rPr>
              <w:t>(77)</w:t>
            </w:r>
          </w:p>
        </w:tc>
        <w:tc>
          <w:tcPr>
            <w:tcW w:w="1468" w:type="dxa"/>
          </w:tcPr>
          <w:p w14:paraId="4ACC09E5" w14:textId="77777777" w:rsidR="002C6574" w:rsidRDefault="00000000">
            <w:pPr>
              <w:pStyle w:val="TableParagraph"/>
              <w:spacing w:line="212" w:lineRule="exact"/>
              <w:ind w:right="54"/>
              <w:rPr>
                <w:sz w:val="18"/>
              </w:rPr>
            </w:pPr>
            <w:r>
              <w:rPr>
                <w:spacing w:val="-2"/>
                <w:w w:val="105"/>
                <w:sz w:val="18"/>
              </w:rPr>
              <w:t>(809)</w:t>
            </w:r>
          </w:p>
        </w:tc>
      </w:tr>
      <w:tr w:rsidR="002C6574" w14:paraId="54D00E7E" w14:textId="77777777">
        <w:trPr>
          <w:trHeight w:val="232"/>
        </w:trPr>
        <w:tc>
          <w:tcPr>
            <w:tcW w:w="6607" w:type="dxa"/>
          </w:tcPr>
          <w:p w14:paraId="1219B5AC" w14:textId="77777777" w:rsidR="002C6574" w:rsidRDefault="00000000">
            <w:pPr>
              <w:pStyle w:val="TableParagraph"/>
              <w:spacing w:before="11" w:line="201" w:lineRule="exact"/>
              <w:ind w:left="69"/>
              <w:jc w:val="left"/>
              <w:rPr>
                <w:rFonts w:ascii="Arial"/>
                <w:b/>
                <w:sz w:val="18"/>
              </w:rPr>
            </w:pPr>
            <w:r>
              <w:rPr>
                <w:rFonts w:ascii="Arial"/>
                <w:b/>
                <w:spacing w:val="-2"/>
                <w:sz w:val="18"/>
              </w:rPr>
              <w:t>Total</w:t>
            </w:r>
          </w:p>
        </w:tc>
        <w:tc>
          <w:tcPr>
            <w:tcW w:w="1694" w:type="dxa"/>
          </w:tcPr>
          <w:p w14:paraId="7F5B4705" w14:textId="77777777" w:rsidR="002C6574" w:rsidRDefault="00000000">
            <w:pPr>
              <w:pStyle w:val="TableParagraph"/>
              <w:spacing w:before="11" w:line="201" w:lineRule="exact"/>
              <w:ind w:right="56"/>
              <w:rPr>
                <w:rFonts w:ascii="Arial"/>
                <w:b/>
                <w:sz w:val="18"/>
              </w:rPr>
            </w:pPr>
            <w:r>
              <w:rPr>
                <w:rFonts w:ascii="Arial"/>
                <w:b/>
                <w:spacing w:val="-2"/>
                <w:sz w:val="18"/>
              </w:rPr>
              <w:t>(793.844)</w:t>
            </w:r>
          </w:p>
        </w:tc>
        <w:tc>
          <w:tcPr>
            <w:tcW w:w="1468" w:type="dxa"/>
          </w:tcPr>
          <w:p w14:paraId="6BC08C37" w14:textId="77777777" w:rsidR="002C6574" w:rsidRDefault="00000000">
            <w:pPr>
              <w:pStyle w:val="TableParagraph"/>
              <w:spacing w:before="11" w:line="201" w:lineRule="exact"/>
              <w:ind w:right="54"/>
              <w:rPr>
                <w:rFonts w:ascii="Arial"/>
                <w:b/>
                <w:sz w:val="18"/>
              </w:rPr>
            </w:pPr>
            <w:r>
              <w:rPr>
                <w:rFonts w:ascii="Arial"/>
                <w:b/>
                <w:spacing w:val="-2"/>
                <w:sz w:val="18"/>
              </w:rPr>
              <w:t>(753.712)</w:t>
            </w:r>
          </w:p>
        </w:tc>
      </w:tr>
    </w:tbl>
    <w:p w14:paraId="4CC8E2FF" w14:textId="77777777" w:rsidR="002C6574" w:rsidRDefault="002C6574">
      <w:pPr>
        <w:pStyle w:val="Corpodetexto"/>
        <w:spacing w:before="4"/>
      </w:pPr>
    </w:p>
    <w:p w14:paraId="51B927B4" w14:textId="77777777" w:rsidR="002C6574" w:rsidRDefault="00000000">
      <w:pPr>
        <w:pStyle w:val="Corpodetexto"/>
        <w:spacing w:line="237" w:lineRule="auto"/>
        <w:ind w:left="143" w:right="703"/>
        <w:jc w:val="both"/>
      </w:pPr>
      <w:r>
        <w:t xml:space="preserve">Os custos e despesas operacionais apresentaram um crescimento de 5,3% na comparação entre os exercícios de 2025 e 2024. Esse aumento resulta, principalmente, do comportamento das seguintes </w:t>
      </w:r>
      <w:r>
        <w:rPr>
          <w:spacing w:val="-2"/>
        </w:rPr>
        <w:t>rubricas:</w:t>
      </w:r>
    </w:p>
    <w:p w14:paraId="473500C7" w14:textId="77777777" w:rsidR="002C6574" w:rsidRDefault="002C6574">
      <w:pPr>
        <w:pStyle w:val="Corpodetexto"/>
        <w:spacing w:before="2"/>
      </w:pPr>
    </w:p>
    <w:p w14:paraId="576BAAB5" w14:textId="77777777" w:rsidR="002C6574" w:rsidRDefault="00000000">
      <w:pPr>
        <w:pStyle w:val="PargrafodaLista"/>
        <w:numPr>
          <w:ilvl w:val="0"/>
          <w:numId w:val="30"/>
        </w:numPr>
        <w:tabs>
          <w:tab w:val="left" w:pos="356"/>
        </w:tabs>
        <w:spacing w:line="237" w:lineRule="auto"/>
        <w:ind w:right="703" w:firstLine="0"/>
        <w:jc w:val="both"/>
        <w:rPr>
          <w:rFonts w:ascii="Segoe UI Symbol" w:hAnsi="Segoe UI Symbol"/>
        </w:rPr>
      </w:pPr>
      <w:r>
        <w:rPr>
          <w:rFonts w:ascii="Arial" w:hAnsi="Arial"/>
          <w:b/>
        </w:rPr>
        <w:t xml:space="preserve">Depreciação e Amortização: </w:t>
      </w:r>
      <w:r>
        <w:rPr>
          <w:rFonts w:ascii="Segoe UI Symbol" w:hAnsi="Segoe UI Symbol"/>
        </w:rPr>
        <w:t>A rubrica de Depreciação e Amortização apresentou um aumento de 1,5% na comparação entre os exercícios de 2025 e 2024. Esse crescimento decorre, principalmente, das transferências de bens que estavam classificados na condição de “em andamento” e passaram</w:t>
      </w:r>
      <w:r>
        <w:rPr>
          <w:rFonts w:ascii="Segoe UI Symbol" w:hAnsi="Segoe UI Symbol"/>
          <w:spacing w:val="-1"/>
        </w:rPr>
        <w:t xml:space="preserve"> </w:t>
      </w:r>
      <w:r>
        <w:rPr>
          <w:rFonts w:ascii="Segoe UI Symbol" w:hAnsi="Segoe UI Symbol"/>
        </w:rPr>
        <w:t>para a condição de “em</w:t>
      </w:r>
      <w:r>
        <w:rPr>
          <w:rFonts w:ascii="Segoe UI Symbol" w:hAnsi="Segoe UI Symbol"/>
          <w:spacing w:val="-1"/>
        </w:rPr>
        <w:t xml:space="preserve"> </w:t>
      </w:r>
      <w:r>
        <w:rPr>
          <w:rFonts w:ascii="Segoe UI Symbol" w:hAnsi="Segoe UI Symbol"/>
        </w:rPr>
        <w:t>Serviço” ao longo desses períodos, passando assim a compor a base depreciável. Esse efeito foi parcialmente compensado pelo incremento do número de ativos que atingiram a condição de totalmente depreciados, reduzindo o impacto líquido da despesa no exercício.</w:t>
      </w:r>
    </w:p>
    <w:p w14:paraId="5880C87B" w14:textId="77777777" w:rsidR="002C6574" w:rsidRDefault="002C6574">
      <w:pPr>
        <w:pStyle w:val="Corpodetexto"/>
        <w:spacing w:before="3"/>
      </w:pPr>
    </w:p>
    <w:p w14:paraId="5F97F1A5" w14:textId="77777777" w:rsidR="002C6574" w:rsidRDefault="00000000">
      <w:pPr>
        <w:pStyle w:val="PargrafodaLista"/>
        <w:numPr>
          <w:ilvl w:val="0"/>
          <w:numId w:val="30"/>
        </w:numPr>
        <w:tabs>
          <w:tab w:val="left" w:pos="391"/>
        </w:tabs>
        <w:ind w:right="702" w:firstLine="0"/>
        <w:jc w:val="both"/>
        <w:rPr>
          <w:rFonts w:ascii="Segoe UI Symbol" w:hAnsi="Segoe UI Symbol"/>
        </w:rPr>
      </w:pPr>
      <w:r>
        <w:rPr>
          <w:rFonts w:ascii="Arial" w:hAnsi="Arial"/>
          <w:b/>
        </w:rPr>
        <w:t>Meios de</w:t>
      </w:r>
      <w:r>
        <w:rPr>
          <w:rFonts w:ascii="Arial" w:hAnsi="Arial"/>
          <w:b/>
          <w:spacing w:val="-1"/>
        </w:rPr>
        <w:t xml:space="preserve"> </w:t>
      </w:r>
      <w:r>
        <w:rPr>
          <w:rFonts w:ascii="Arial" w:hAnsi="Arial"/>
          <w:b/>
        </w:rPr>
        <w:t xml:space="preserve">Transmissão e Conexão: </w:t>
      </w:r>
      <w:r>
        <w:rPr>
          <w:rFonts w:ascii="Segoe UI Symbol" w:hAnsi="Segoe UI Symbol"/>
        </w:rPr>
        <w:t>Em 2025, os custos de conexão e transmissão apresentaram um aumento de 26,1%, totalizando R$ 170.423 (R$ 135.121 em 2024). Os principais componentes dessa</w:t>
      </w:r>
      <w:r>
        <w:rPr>
          <w:rFonts w:ascii="Segoe UI Symbol" w:hAnsi="Segoe UI Symbol"/>
          <w:spacing w:val="33"/>
        </w:rPr>
        <w:t xml:space="preserve"> </w:t>
      </w:r>
      <w:r>
        <w:rPr>
          <w:rFonts w:ascii="Segoe UI Symbol" w:hAnsi="Segoe UI Symbol"/>
        </w:rPr>
        <w:t>rubrica são</w:t>
      </w:r>
      <w:r>
        <w:rPr>
          <w:rFonts w:ascii="Segoe UI Symbol" w:hAnsi="Segoe UI Symbol"/>
          <w:spacing w:val="33"/>
        </w:rPr>
        <w:t xml:space="preserve"> </w:t>
      </w:r>
      <w:r>
        <w:rPr>
          <w:rFonts w:ascii="Segoe UI Symbol" w:hAnsi="Segoe UI Symbol"/>
        </w:rPr>
        <w:t>os</w:t>
      </w:r>
      <w:r>
        <w:rPr>
          <w:rFonts w:ascii="Segoe UI Symbol" w:hAnsi="Segoe UI Symbol"/>
          <w:spacing w:val="33"/>
        </w:rPr>
        <w:t xml:space="preserve"> </w:t>
      </w:r>
      <w:r>
        <w:rPr>
          <w:rFonts w:ascii="Segoe UI Symbol" w:hAnsi="Segoe UI Symbol"/>
        </w:rPr>
        <w:t>custos</w:t>
      </w:r>
      <w:r>
        <w:rPr>
          <w:rFonts w:ascii="Segoe UI Symbol" w:hAnsi="Segoe UI Symbol"/>
          <w:spacing w:val="33"/>
        </w:rPr>
        <w:t xml:space="preserve"> </w:t>
      </w:r>
      <w:r>
        <w:rPr>
          <w:rFonts w:ascii="Segoe UI Symbol" w:hAnsi="Segoe UI Symbol"/>
        </w:rPr>
        <w:t>com</w:t>
      </w:r>
      <w:r>
        <w:rPr>
          <w:rFonts w:ascii="Segoe UI Symbol" w:hAnsi="Segoe UI Symbol"/>
          <w:spacing w:val="35"/>
        </w:rPr>
        <w:t xml:space="preserve"> </w:t>
      </w:r>
      <w:r>
        <w:rPr>
          <w:rFonts w:ascii="Segoe UI Symbol" w:hAnsi="Segoe UI Symbol"/>
        </w:rPr>
        <w:t>Exploração Industrial</w:t>
      </w:r>
      <w:r>
        <w:rPr>
          <w:rFonts w:ascii="Segoe UI Symbol" w:hAnsi="Segoe UI Symbol"/>
          <w:spacing w:val="33"/>
        </w:rPr>
        <w:t xml:space="preserve"> </w:t>
      </w:r>
      <w:r>
        <w:rPr>
          <w:rFonts w:ascii="Segoe UI Symbol" w:hAnsi="Segoe UI Symbol"/>
        </w:rPr>
        <w:t>de Linha Dedicada</w:t>
      </w:r>
      <w:r>
        <w:rPr>
          <w:rFonts w:ascii="Segoe UI Symbol" w:hAnsi="Segoe UI Symbol"/>
          <w:spacing w:val="33"/>
        </w:rPr>
        <w:t xml:space="preserve"> </w:t>
      </w:r>
      <w:r>
        <w:rPr>
          <w:rFonts w:ascii="Segoe UI Symbol" w:hAnsi="Segoe UI Symbol"/>
        </w:rPr>
        <w:t>(EILD</w:t>
      </w:r>
      <w:r>
        <w:rPr>
          <w:rFonts w:ascii="Segoe UI Symbol" w:hAnsi="Segoe UI Symbol"/>
          <w:spacing w:val="33"/>
        </w:rPr>
        <w:t xml:space="preserve"> </w:t>
      </w:r>
      <w:r>
        <w:rPr>
          <w:rFonts w:ascii="Segoe UI Symbol" w:hAnsi="Segoe UI Symbol"/>
        </w:rPr>
        <w:t>– última milha) e com Backbone, que registraram elevações de 35,8% e 0,5%, respectivamente, na comparação anual. A elevação de 35,8% reflete o aumento dos custos decorrente da contratação de empresas do segmento satelital para atendimento às demandas de serviços da Telebras.</w:t>
      </w:r>
    </w:p>
    <w:p w14:paraId="631E3469" w14:textId="77777777" w:rsidR="002C6574" w:rsidRDefault="00000000">
      <w:pPr>
        <w:pStyle w:val="Corpodetexto"/>
        <w:spacing w:before="284" w:line="237" w:lineRule="auto"/>
        <w:ind w:left="143" w:right="705"/>
        <w:jc w:val="both"/>
      </w:pPr>
      <w:r>
        <w:t>Também contribuiu para o aumento desta rubrica, o reconhecimento de custo de taxa de instalação de meios de conexão relativo ao contrato de swap com a operadora TIM no valor de R$ 12.803.</w:t>
      </w:r>
    </w:p>
    <w:p w14:paraId="18CD8873" w14:textId="77777777" w:rsidR="002C6574" w:rsidRDefault="002C6574">
      <w:pPr>
        <w:pStyle w:val="Corpodetexto"/>
        <w:spacing w:before="2"/>
      </w:pPr>
    </w:p>
    <w:p w14:paraId="1FF85143" w14:textId="77777777" w:rsidR="002C6574" w:rsidRDefault="00000000">
      <w:pPr>
        <w:pStyle w:val="PargrafodaLista"/>
        <w:numPr>
          <w:ilvl w:val="0"/>
          <w:numId w:val="30"/>
        </w:numPr>
        <w:tabs>
          <w:tab w:val="left" w:pos="457"/>
        </w:tabs>
        <w:spacing w:line="237" w:lineRule="auto"/>
        <w:ind w:right="704" w:firstLine="0"/>
        <w:jc w:val="both"/>
        <w:rPr>
          <w:rFonts w:ascii="Segoe UI Symbol" w:hAnsi="Segoe UI Symbol"/>
        </w:rPr>
      </w:pPr>
      <w:r>
        <w:rPr>
          <w:rFonts w:ascii="Arial" w:hAnsi="Arial"/>
          <w:b/>
        </w:rPr>
        <w:t xml:space="preserve">Serviços de Terceiros: </w:t>
      </w:r>
      <w:r>
        <w:rPr>
          <w:rFonts w:ascii="Segoe UI Symbol" w:hAnsi="Segoe UI Symbol"/>
        </w:rPr>
        <w:t>Os custos e despesas com Serviços de Terceiros apresentaram redução de 11,9% em 2025, quando comparados ao mesmo período de 2024. Essa diminuição decorre, principalmente,</w:t>
      </w:r>
      <w:r>
        <w:rPr>
          <w:rFonts w:ascii="Segoe UI Symbol" w:hAnsi="Segoe UI Symbol"/>
          <w:spacing w:val="-12"/>
        </w:rPr>
        <w:t xml:space="preserve"> </w:t>
      </w:r>
      <w:r>
        <w:rPr>
          <w:rFonts w:ascii="Segoe UI Symbol" w:hAnsi="Segoe UI Symbol"/>
        </w:rPr>
        <w:t>da</w:t>
      </w:r>
      <w:r>
        <w:rPr>
          <w:rFonts w:ascii="Segoe UI Symbol" w:hAnsi="Segoe UI Symbol"/>
          <w:spacing w:val="-10"/>
        </w:rPr>
        <w:t xml:space="preserve"> </w:t>
      </w:r>
      <w:r>
        <w:rPr>
          <w:rFonts w:ascii="Segoe UI Symbol" w:hAnsi="Segoe UI Symbol"/>
        </w:rPr>
        <w:t>redução</w:t>
      </w:r>
      <w:r>
        <w:rPr>
          <w:rFonts w:ascii="Segoe UI Symbol" w:hAnsi="Segoe UI Symbol"/>
          <w:spacing w:val="-9"/>
        </w:rPr>
        <w:t xml:space="preserve"> </w:t>
      </w:r>
      <w:r>
        <w:rPr>
          <w:rFonts w:ascii="Segoe UI Symbol" w:hAnsi="Segoe UI Symbol"/>
        </w:rPr>
        <w:t>dos</w:t>
      </w:r>
      <w:r>
        <w:rPr>
          <w:rFonts w:ascii="Segoe UI Symbol" w:hAnsi="Segoe UI Symbol"/>
          <w:spacing w:val="-9"/>
        </w:rPr>
        <w:t xml:space="preserve"> </w:t>
      </w:r>
      <w:r>
        <w:rPr>
          <w:rFonts w:ascii="Segoe UI Symbol" w:hAnsi="Segoe UI Symbol"/>
        </w:rPr>
        <w:t>gastos</w:t>
      </w:r>
      <w:r>
        <w:rPr>
          <w:rFonts w:ascii="Segoe UI Symbol" w:hAnsi="Segoe UI Symbol"/>
          <w:spacing w:val="-11"/>
        </w:rPr>
        <w:t xml:space="preserve"> </w:t>
      </w:r>
      <w:r>
        <w:rPr>
          <w:rFonts w:ascii="Segoe UI Symbol" w:hAnsi="Segoe UI Symbol"/>
        </w:rPr>
        <w:t>relacionados</w:t>
      </w:r>
      <w:r>
        <w:rPr>
          <w:rFonts w:ascii="Segoe UI Symbol" w:hAnsi="Segoe UI Symbol"/>
          <w:spacing w:val="-9"/>
        </w:rPr>
        <w:t xml:space="preserve"> </w:t>
      </w:r>
      <w:r>
        <w:rPr>
          <w:rFonts w:ascii="Segoe UI Symbol" w:hAnsi="Segoe UI Symbol"/>
        </w:rPr>
        <w:t>à</w:t>
      </w:r>
      <w:r>
        <w:rPr>
          <w:rFonts w:ascii="Segoe UI Symbol" w:hAnsi="Segoe UI Symbol"/>
          <w:spacing w:val="-10"/>
        </w:rPr>
        <w:t xml:space="preserve"> </w:t>
      </w:r>
      <w:r>
        <w:rPr>
          <w:rFonts w:ascii="Segoe UI Symbol" w:hAnsi="Segoe UI Symbol"/>
        </w:rPr>
        <w:t>manutenção</w:t>
      </w:r>
      <w:r>
        <w:rPr>
          <w:rFonts w:ascii="Segoe UI Symbol" w:hAnsi="Segoe UI Symbol"/>
          <w:spacing w:val="-13"/>
        </w:rPr>
        <w:t xml:space="preserve"> </w:t>
      </w:r>
      <w:r>
        <w:rPr>
          <w:rFonts w:ascii="Segoe UI Symbol" w:hAnsi="Segoe UI Symbol"/>
        </w:rPr>
        <w:t>da</w:t>
      </w:r>
      <w:r>
        <w:rPr>
          <w:rFonts w:ascii="Segoe UI Symbol" w:hAnsi="Segoe UI Symbol"/>
          <w:spacing w:val="-9"/>
        </w:rPr>
        <w:t xml:space="preserve"> </w:t>
      </w:r>
      <w:r>
        <w:rPr>
          <w:rFonts w:ascii="Segoe UI Symbol" w:hAnsi="Segoe UI Symbol"/>
        </w:rPr>
        <w:t>planta</w:t>
      </w:r>
      <w:r>
        <w:rPr>
          <w:rFonts w:ascii="Segoe UI Symbol" w:hAnsi="Segoe UI Symbol"/>
          <w:spacing w:val="-10"/>
        </w:rPr>
        <w:t xml:space="preserve"> </w:t>
      </w:r>
      <w:r>
        <w:rPr>
          <w:rFonts w:ascii="Segoe UI Symbol" w:hAnsi="Segoe UI Symbol"/>
        </w:rPr>
        <w:t>terrestre</w:t>
      </w:r>
      <w:r>
        <w:rPr>
          <w:rFonts w:ascii="Segoe UI Symbol" w:hAnsi="Segoe UI Symbol"/>
          <w:spacing w:val="-9"/>
        </w:rPr>
        <w:t xml:space="preserve"> </w:t>
      </w:r>
      <w:r>
        <w:rPr>
          <w:rFonts w:ascii="Segoe UI Symbol" w:hAnsi="Segoe UI Symbol"/>
        </w:rPr>
        <w:t>e</w:t>
      </w:r>
      <w:r>
        <w:rPr>
          <w:rFonts w:ascii="Segoe UI Symbol" w:hAnsi="Segoe UI Symbol"/>
          <w:spacing w:val="-10"/>
        </w:rPr>
        <w:t xml:space="preserve"> </w:t>
      </w:r>
      <w:r>
        <w:rPr>
          <w:rFonts w:ascii="Segoe UI Symbol" w:hAnsi="Segoe UI Symbol"/>
        </w:rPr>
        <w:t>satelital,</w:t>
      </w:r>
      <w:r>
        <w:rPr>
          <w:rFonts w:ascii="Segoe UI Symbol" w:hAnsi="Segoe UI Symbol"/>
          <w:spacing w:val="-9"/>
        </w:rPr>
        <w:t xml:space="preserve"> </w:t>
      </w:r>
      <w:r>
        <w:rPr>
          <w:rFonts w:ascii="Segoe UI Symbol" w:hAnsi="Segoe UI Symbol"/>
          <w:spacing w:val="-5"/>
        </w:rPr>
        <w:t>bem</w:t>
      </w:r>
    </w:p>
    <w:p w14:paraId="145234A2" w14:textId="77777777" w:rsidR="002C6574" w:rsidRDefault="002C6574">
      <w:pPr>
        <w:pStyle w:val="PargrafodaLista"/>
        <w:spacing w:line="237" w:lineRule="auto"/>
        <w:jc w:val="both"/>
        <w:rPr>
          <w:rFonts w:ascii="Segoe UI Symbol" w:hAnsi="Segoe UI Symbol"/>
        </w:rPr>
        <w:sectPr w:rsidR="002C6574">
          <w:headerReference w:type="default" r:id="rId89"/>
          <w:footerReference w:type="default" r:id="rId90"/>
          <w:pgSz w:w="11910" w:h="16840"/>
          <w:pgMar w:top="2500" w:right="141" w:bottom="1540" w:left="1133" w:header="1763" w:footer="1350" w:gutter="0"/>
          <w:cols w:space="720"/>
        </w:sectPr>
      </w:pPr>
    </w:p>
    <w:p w14:paraId="30B9F4A8" w14:textId="77777777" w:rsidR="002C6574" w:rsidRDefault="00000000">
      <w:pPr>
        <w:pStyle w:val="Corpodetexto"/>
        <w:spacing w:before="198"/>
        <w:ind w:left="143" w:right="701"/>
        <w:jc w:val="both"/>
      </w:pPr>
      <w:r>
        <w:lastRenderedPageBreak/>
        <w:t>como da queda nos custos e despesas com manutenção de hardware e softwares vinculados às</w:t>
      </w:r>
      <w:r>
        <w:rPr>
          <w:spacing w:val="40"/>
        </w:rPr>
        <w:t xml:space="preserve"> </w:t>
      </w:r>
      <w:r>
        <w:t>áreas de operação e administração. Tal movimento reflete, sobretudo, os efeitos do reconhecimento/reversão de provisões e do encerramento de contratos ao longo do exercício.</w:t>
      </w:r>
    </w:p>
    <w:p w14:paraId="68EBA7A5" w14:textId="77777777" w:rsidR="002C6574" w:rsidRDefault="00000000">
      <w:pPr>
        <w:pStyle w:val="PargrafodaLista"/>
        <w:numPr>
          <w:ilvl w:val="0"/>
          <w:numId w:val="30"/>
        </w:numPr>
        <w:tabs>
          <w:tab w:val="left" w:pos="468"/>
        </w:tabs>
        <w:spacing w:before="250" w:line="237" w:lineRule="auto"/>
        <w:ind w:right="703" w:firstLine="0"/>
        <w:jc w:val="both"/>
        <w:rPr>
          <w:rFonts w:ascii="Segoe UI Symbol" w:hAnsi="Segoe UI Symbol"/>
        </w:rPr>
      </w:pPr>
      <w:r>
        <w:rPr>
          <w:rFonts w:ascii="Arial" w:hAnsi="Arial"/>
          <w:b/>
        </w:rPr>
        <w:t xml:space="preserve">Pessoal: </w:t>
      </w:r>
      <w:r>
        <w:rPr>
          <w:rFonts w:ascii="Segoe UI Symbol" w:hAnsi="Segoe UI Symbol"/>
        </w:rPr>
        <w:t>Os custos e despesas com Pessoal apresentaram um aumento de 7,5% em 2025, em relação ao mesmo período do ano anterior. Esse acréscimo resulta, principalmente, os seguintes fatores: i) a concessão de promoções decorrentes do processo anual de avaliação de desempenho dos colaboradores; ii) a reposição de perdas salariais estabelecida pelo acordo coletivo vigente; e iii) aumento do quadro de colaboradores.</w:t>
      </w:r>
    </w:p>
    <w:p w14:paraId="338B643F" w14:textId="77777777" w:rsidR="002C6574" w:rsidRDefault="00000000">
      <w:pPr>
        <w:pStyle w:val="PargrafodaLista"/>
        <w:numPr>
          <w:ilvl w:val="0"/>
          <w:numId w:val="30"/>
        </w:numPr>
        <w:tabs>
          <w:tab w:val="left" w:pos="422"/>
        </w:tabs>
        <w:spacing w:before="260" w:line="237" w:lineRule="auto"/>
        <w:ind w:right="702" w:firstLine="0"/>
        <w:jc w:val="both"/>
        <w:rPr>
          <w:rFonts w:ascii="Segoe UI Symbol" w:hAnsi="Segoe UI Symbol"/>
        </w:rPr>
      </w:pPr>
      <w:r>
        <w:rPr>
          <w:rFonts w:ascii="Arial" w:hAnsi="Arial"/>
          <w:b/>
        </w:rPr>
        <w:t xml:space="preserve">Aluguéis, Locações e Seguros: </w:t>
      </w:r>
      <w:r>
        <w:rPr>
          <w:rFonts w:ascii="Segoe UI Symbol" w:hAnsi="Segoe UI Symbol"/>
        </w:rPr>
        <w:t xml:space="preserve">A rubrica apresentou um aumento de 22,9% na comparação com o exercício de 2024. Esse crescimento decorre, principalmente da elevação dos custos de locação dos equipamentos para conexão e operação satelital registrados no período, em razão da contratação de outras operadoras de satélite para atendimento às demandas de serviços, além da </w:t>
      </w:r>
      <w:r>
        <w:rPr>
          <w:rFonts w:ascii="Segoe UI Symbol" w:hAnsi="Segoe UI Symbol"/>
          <w:spacing w:val="-2"/>
        </w:rPr>
        <w:t>Viasat.</w:t>
      </w:r>
    </w:p>
    <w:p w14:paraId="05918FAB" w14:textId="77777777" w:rsidR="002C6574" w:rsidRDefault="00000000">
      <w:pPr>
        <w:numPr>
          <w:ilvl w:val="0"/>
          <w:numId w:val="54"/>
        </w:numPr>
        <w:tabs>
          <w:tab w:val="left" w:pos="993"/>
        </w:tabs>
        <w:spacing w:before="193"/>
        <w:ind w:left="993" w:hanging="850"/>
        <w:jc w:val="both"/>
        <w:rPr>
          <w:rFonts w:ascii="Arial"/>
          <w:b/>
        </w:rPr>
      </w:pPr>
      <w:r>
        <w:rPr>
          <w:rFonts w:ascii="Arial"/>
          <w:b/>
        </w:rPr>
        <w:t>OUTRAS</w:t>
      </w:r>
      <w:r>
        <w:rPr>
          <w:rFonts w:ascii="Arial"/>
          <w:b/>
          <w:spacing w:val="-11"/>
        </w:rPr>
        <w:t xml:space="preserve"> </w:t>
      </w:r>
      <w:r>
        <w:rPr>
          <w:rFonts w:ascii="Arial"/>
          <w:b/>
        </w:rPr>
        <w:t>RECEITAS/(DESPESAS)</w:t>
      </w:r>
      <w:r>
        <w:rPr>
          <w:rFonts w:ascii="Arial"/>
          <w:b/>
          <w:spacing w:val="-9"/>
        </w:rPr>
        <w:t xml:space="preserve"> </w:t>
      </w:r>
      <w:r>
        <w:rPr>
          <w:rFonts w:ascii="Arial"/>
          <w:b/>
          <w:spacing w:val="-2"/>
        </w:rPr>
        <w:t>OPERACIONAIS</w:t>
      </w:r>
    </w:p>
    <w:p w14:paraId="3C41513D" w14:textId="77777777" w:rsidR="002C6574" w:rsidRDefault="002C6574">
      <w:pPr>
        <w:pStyle w:val="Corpodetexto"/>
        <w:spacing w:before="139"/>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4"/>
        <w:gridCol w:w="1366"/>
        <w:gridCol w:w="1832"/>
      </w:tblGrid>
      <w:tr w:rsidR="002C6574" w14:paraId="39DDF702" w14:textId="77777777">
        <w:trPr>
          <w:trHeight w:val="230"/>
        </w:trPr>
        <w:tc>
          <w:tcPr>
            <w:tcW w:w="6574" w:type="dxa"/>
            <w:shd w:val="clear" w:color="auto" w:fill="D8D8D8"/>
          </w:tcPr>
          <w:p w14:paraId="30D65AE4" w14:textId="77777777" w:rsidR="002C6574" w:rsidRDefault="00000000">
            <w:pPr>
              <w:pStyle w:val="TableParagraph"/>
              <w:spacing w:before="11" w:line="199" w:lineRule="exact"/>
              <w:ind w:left="69"/>
              <w:jc w:val="left"/>
              <w:rPr>
                <w:rFonts w:ascii="Arial" w:hAnsi="Arial"/>
                <w:b/>
                <w:sz w:val="18"/>
              </w:rPr>
            </w:pPr>
            <w:r>
              <w:rPr>
                <w:rFonts w:ascii="Arial" w:hAnsi="Arial"/>
                <w:b/>
                <w:spacing w:val="-2"/>
                <w:sz w:val="18"/>
              </w:rPr>
              <w:t>Composição:</w:t>
            </w:r>
          </w:p>
        </w:tc>
        <w:tc>
          <w:tcPr>
            <w:tcW w:w="1366" w:type="dxa"/>
          </w:tcPr>
          <w:p w14:paraId="2A69AC7B" w14:textId="77777777" w:rsidR="002C6574" w:rsidRDefault="00000000">
            <w:pPr>
              <w:pStyle w:val="TableParagraph"/>
              <w:spacing w:before="11" w:line="199" w:lineRule="exact"/>
              <w:ind w:right="59"/>
              <w:rPr>
                <w:rFonts w:ascii="Arial"/>
                <w:b/>
                <w:sz w:val="18"/>
              </w:rPr>
            </w:pPr>
            <w:r>
              <w:rPr>
                <w:rFonts w:ascii="Arial"/>
                <w:b/>
                <w:spacing w:val="-2"/>
                <w:sz w:val="18"/>
              </w:rPr>
              <w:t>31/12/2025</w:t>
            </w:r>
          </w:p>
        </w:tc>
        <w:tc>
          <w:tcPr>
            <w:tcW w:w="1832" w:type="dxa"/>
          </w:tcPr>
          <w:p w14:paraId="330AA162" w14:textId="77777777" w:rsidR="002C6574" w:rsidRDefault="00000000">
            <w:pPr>
              <w:pStyle w:val="TableParagraph"/>
              <w:spacing w:before="11" w:line="199" w:lineRule="exact"/>
              <w:ind w:right="60"/>
              <w:rPr>
                <w:rFonts w:ascii="Arial"/>
                <w:b/>
                <w:sz w:val="18"/>
              </w:rPr>
            </w:pPr>
            <w:r>
              <w:rPr>
                <w:rFonts w:ascii="Arial"/>
                <w:b/>
                <w:spacing w:val="-2"/>
                <w:sz w:val="18"/>
              </w:rPr>
              <w:t>31/12/2024</w:t>
            </w:r>
          </w:p>
        </w:tc>
      </w:tr>
      <w:tr w:rsidR="002C6574" w14:paraId="7C61BA16" w14:textId="77777777">
        <w:trPr>
          <w:trHeight w:val="232"/>
        </w:trPr>
        <w:tc>
          <w:tcPr>
            <w:tcW w:w="6574" w:type="dxa"/>
          </w:tcPr>
          <w:p w14:paraId="1359C95E" w14:textId="77777777" w:rsidR="002C6574" w:rsidRDefault="00000000">
            <w:pPr>
              <w:pStyle w:val="TableParagraph"/>
              <w:spacing w:before="13" w:line="199" w:lineRule="exact"/>
              <w:ind w:left="69"/>
              <w:jc w:val="left"/>
              <w:rPr>
                <w:rFonts w:ascii="Arial"/>
                <w:b/>
                <w:sz w:val="18"/>
              </w:rPr>
            </w:pPr>
            <w:r>
              <w:rPr>
                <w:rFonts w:ascii="Arial"/>
                <w:b/>
                <w:sz w:val="18"/>
              </w:rPr>
              <w:t>Outras</w:t>
            </w:r>
            <w:r>
              <w:rPr>
                <w:rFonts w:ascii="Arial"/>
                <w:b/>
                <w:spacing w:val="-1"/>
                <w:sz w:val="18"/>
              </w:rPr>
              <w:t xml:space="preserve"> </w:t>
            </w:r>
            <w:r>
              <w:rPr>
                <w:rFonts w:ascii="Arial"/>
                <w:b/>
                <w:sz w:val="18"/>
              </w:rPr>
              <w:t>Receitas</w:t>
            </w:r>
            <w:r>
              <w:rPr>
                <w:rFonts w:ascii="Arial"/>
                <w:b/>
                <w:spacing w:val="-1"/>
                <w:sz w:val="18"/>
              </w:rPr>
              <w:t xml:space="preserve"> </w:t>
            </w:r>
            <w:r>
              <w:rPr>
                <w:rFonts w:ascii="Arial"/>
                <w:b/>
                <w:spacing w:val="-2"/>
                <w:sz w:val="18"/>
              </w:rPr>
              <w:t>Operacionais</w:t>
            </w:r>
          </w:p>
        </w:tc>
        <w:tc>
          <w:tcPr>
            <w:tcW w:w="1366" w:type="dxa"/>
          </w:tcPr>
          <w:p w14:paraId="768ED31E" w14:textId="77777777" w:rsidR="002C6574" w:rsidRDefault="002C6574">
            <w:pPr>
              <w:pStyle w:val="TableParagraph"/>
              <w:jc w:val="left"/>
              <w:rPr>
                <w:rFonts w:ascii="Times New Roman"/>
                <w:sz w:val="16"/>
              </w:rPr>
            </w:pPr>
          </w:p>
        </w:tc>
        <w:tc>
          <w:tcPr>
            <w:tcW w:w="1832" w:type="dxa"/>
          </w:tcPr>
          <w:p w14:paraId="60461A09" w14:textId="77777777" w:rsidR="002C6574" w:rsidRDefault="002C6574">
            <w:pPr>
              <w:pStyle w:val="TableParagraph"/>
              <w:jc w:val="left"/>
              <w:rPr>
                <w:rFonts w:ascii="Times New Roman"/>
                <w:sz w:val="16"/>
              </w:rPr>
            </w:pPr>
          </w:p>
        </w:tc>
      </w:tr>
      <w:tr w:rsidR="002C6574" w14:paraId="6372C1CE" w14:textId="77777777">
        <w:trPr>
          <w:trHeight w:val="232"/>
        </w:trPr>
        <w:tc>
          <w:tcPr>
            <w:tcW w:w="6574" w:type="dxa"/>
          </w:tcPr>
          <w:p w14:paraId="4C2CD0A2" w14:textId="77777777" w:rsidR="002C6574" w:rsidRDefault="00000000">
            <w:pPr>
              <w:pStyle w:val="TableParagraph"/>
              <w:spacing w:line="212" w:lineRule="exact"/>
              <w:ind w:left="69"/>
              <w:jc w:val="left"/>
              <w:rPr>
                <w:sz w:val="18"/>
              </w:rPr>
            </w:pPr>
            <w:r>
              <w:rPr>
                <w:sz w:val="18"/>
              </w:rPr>
              <w:t>Subvenções</w:t>
            </w:r>
            <w:r>
              <w:rPr>
                <w:spacing w:val="36"/>
                <w:sz w:val="18"/>
              </w:rPr>
              <w:t xml:space="preserve"> </w:t>
            </w:r>
            <w:r>
              <w:rPr>
                <w:sz w:val="18"/>
              </w:rPr>
              <w:t>Orçamentárias</w:t>
            </w:r>
            <w:r>
              <w:rPr>
                <w:spacing w:val="30"/>
                <w:sz w:val="18"/>
              </w:rPr>
              <w:t xml:space="preserve"> </w:t>
            </w:r>
            <w:r>
              <w:rPr>
                <w:sz w:val="18"/>
              </w:rPr>
              <w:t>Recebidas</w:t>
            </w:r>
            <w:r>
              <w:rPr>
                <w:spacing w:val="37"/>
                <w:sz w:val="18"/>
              </w:rPr>
              <w:t xml:space="preserve"> </w:t>
            </w:r>
            <w:r>
              <w:rPr>
                <w:spacing w:val="-5"/>
                <w:sz w:val="18"/>
              </w:rPr>
              <w:t>(i)</w:t>
            </w:r>
          </w:p>
        </w:tc>
        <w:tc>
          <w:tcPr>
            <w:tcW w:w="1366" w:type="dxa"/>
          </w:tcPr>
          <w:p w14:paraId="6E4CAD64" w14:textId="77777777" w:rsidR="002C6574" w:rsidRDefault="00000000">
            <w:pPr>
              <w:pStyle w:val="TableParagraph"/>
              <w:spacing w:line="212" w:lineRule="exact"/>
              <w:ind w:right="62"/>
              <w:rPr>
                <w:sz w:val="18"/>
              </w:rPr>
            </w:pPr>
            <w:r>
              <w:rPr>
                <w:spacing w:val="-2"/>
                <w:w w:val="105"/>
                <w:sz w:val="18"/>
              </w:rPr>
              <w:t>406.942</w:t>
            </w:r>
          </w:p>
        </w:tc>
        <w:tc>
          <w:tcPr>
            <w:tcW w:w="1832" w:type="dxa"/>
          </w:tcPr>
          <w:p w14:paraId="0EA4CDAB" w14:textId="77777777" w:rsidR="002C6574" w:rsidRDefault="00000000">
            <w:pPr>
              <w:pStyle w:val="TableParagraph"/>
              <w:spacing w:line="212" w:lineRule="exact"/>
              <w:ind w:right="62"/>
              <w:rPr>
                <w:sz w:val="18"/>
              </w:rPr>
            </w:pPr>
            <w:r>
              <w:rPr>
                <w:spacing w:val="-2"/>
                <w:w w:val="105"/>
                <w:sz w:val="18"/>
              </w:rPr>
              <w:t>158.402</w:t>
            </w:r>
          </w:p>
        </w:tc>
      </w:tr>
      <w:tr w:rsidR="002C6574" w14:paraId="7E85C178" w14:textId="77777777">
        <w:trPr>
          <w:trHeight w:val="232"/>
        </w:trPr>
        <w:tc>
          <w:tcPr>
            <w:tcW w:w="6574" w:type="dxa"/>
          </w:tcPr>
          <w:p w14:paraId="4481EDE0" w14:textId="77777777" w:rsidR="002C6574" w:rsidRDefault="00000000">
            <w:pPr>
              <w:pStyle w:val="TableParagraph"/>
              <w:spacing w:line="212" w:lineRule="exact"/>
              <w:ind w:left="69"/>
              <w:jc w:val="left"/>
              <w:rPr>
                <w:sz w:val="18"/>
              </w:rPr>
            </w:pPr>
            <w:r>
              <w:rPr>
                <w:sz w:val="18"/>
              </w:rPr>
              <w:t>Superávit</w:t>
            </w:r>
            <w:r>
              <w:rPr>
                <w:spacing w:val="14"/>
                <w:sz w:val="18"/>
              </w:rPr>
              <w:t xml:space="preserve"> </w:t>
            </w:r>
            <w:r>
              <w:rPr>
                <w:sz w:val="18"/>
              </w:rPr>
              <w:t>de</w:t>
            </w:r>
            <w:r>
              <w:rPr>
                <w:spacing w:val="16"/>
                <w:sz w:val="18"/>
              </w:rPr>
              <w:t xml:space="preserve"> </w:t>
            </w:r>
            <w:r>
              <w:rPr>
                <w:sz w:val="18"/>
              </w:rPr>
              <w:t>Previdência</w:t>
            </w:r>
            <w:r>
              <w:rPr>
                <w:spacing w:val="18"/>
                <w:sz w:val="18"/>
              </w:rPr>
              <w:t xml:space="preserve"> </w:t>
            </w:r>
            <w:r>
              <w:rPr>
                <w:sz w:val="18"/>
              </w:rPr>
              <w:t>Privada</w:t>
            </w:r>
            <w:r>
              <w:rPr>
                <w:spacing w:val="16"/>
                <w:sz w:val="18"/>
              </w:rPr>
              <w:t xml:space="preserve"> </w:t>
            </w:r>
            <w:r>
              <w:rPr>
                <w:spacing w:val="-4"/>
                <w:sz w:val="18"/>
              </w:rPr>
              <w:t>(ii)</w:t>
            </w:r>
          </w:p>
        </w:tc>
        <w:tc>
          <w:tcPr>
            <w:tcW w:w="1366" w:type="dxa"/>
          </w:tcPr>
          <w:p w14:paraId="478F95BF" w14:textId="77777777" w:rsidR="002C6574" w:rsidRDefault="00000000">
            <w:pPr>
              <w:pStyle w:val="TableParagraph"/>
              <w:spacing w:line="212" w:lineRule="exact"/>
              <w:ind w:right="61"/>
              <w:rPr>
                <w:sz w:val="18"/>
              </w:rPr>
            </w:pPr>
            <w:r>
              <w:rPr>
                <w:spacing w:val="-2"/>
                <w:w w:val="105"/>
                <w:sz w:val="18"/>
              </w:rPr>
              <w:t>134.727</w:t>
            </w:r>
          </w:p>
        </w:tc>
        <w:tc>
          <w:tcPr>
            <w:tcW w:w="1832" w:type="dxa"/>
          </w:tcPr>
          <w:p w14:paraId="6A70A563" w14:textId="77777777" w:rsidR="002C6574" w:rsidRDefault="00000000">
            <w:pPr>
              <w:pStyle w:val="TableParagraph"/>
              <w:spacing w:line="212" w:lineRule="exact"/>
              <w:ind w:right="62"/>
              <w:rPr>
                <w:sz w:val="18"/>
              </w:rPr>
            </w:pPr>
            <w:r>
              <w:rPr>
                <w:spacing w:val="-2"/>
                <w:w w:val="105"/>
                <w:sz w:val="18"/>
              </w:rPr>
              <w:t>212.038</w:t>
            </w:r>
          </w:p>
        </w:tc>
      </w:tr>
      <w:tr w:rsidR="002C6574" w14:paraId="265DF96A" w14:textId="77777777">
        <w:trPr>
          <w:trHeight w:val="232"/>
        </w:trPr>
        <w:tc>
          <w:tcPr>
            <w:tcW w:w="6574" w:type="dxa"/>
          </w:tcPr>
          <w:p w14:paraId="6C5C181F" w14:textId="77777777" w:rsidR="002C6574" w:rsidRDefault="00000000">
            <w:pPr>
              <w:pStyle w:val="TableParagraph"/>
              <w:spacing w:line="212" w:lineRule="exact"/>
              <w:ind w:left="69"/>
              <w:jc w:val="left"/>
              <w:rPr>
                <w:sz w:val="18"/>
              </w:rPr>
            </w:pPr>
            <w:r>
              <w:rPr>
                <w:sz w:val="18"/>
              </w:rPr>
              <w:t>Recuperação</w:t>
            </w:r>
            <w:r>
              <w:rPr>
                <w:spacing w:val="8"/>
                <w:sz w:val="18"/>
              </w:rPr>
              <w:t xml:space="preserve"> </w:t>
            </w:r>
            <w:r>
              <w:rPr>
                <w:sz w:val="18"/>
              </w:rPr>
              <w:t>de</w:t>
            </w:r>
            <w:r>
              <w:rPr>
                <w:spacing w:val="5"/>
                <w:sz w:val="18"/>
              </w:rPr>
              <w:t xml:space="preserve"> </w:t>
            </w:r>
            <w:r>
              <w:rPr>
                <w:sz w:val="18"/>
              </w:rPr>
              <w:t>Tributos</w:t>
            </w:r>
            <w:r>
              <w:rPr>
                <w:spacing w:val="7"/>
                <w:sz w:val="18"/>
              </w:rPr>
              <w:t xml:space="preserve"> </w:t>
            </w:r>
            <w:r>
              <w:rPr>
                <w:sz w:val="18"/>
              </w:rPr>
              <w:t>-Créditos</w:t>
            </w:r>
            <w:r>
              <w:rPr>
                <w:spacing w:val="7"/>
                <w:sz w:val="18"/>
              </w:rPr>
              <w:t xml:space="preserve"> </w:t>
            </w:r>
            <w:r>
              <w:rPr>
                <w:sz w:val="18"/>
              </w:rPr>
              <w:t>sobre</w:t>
            </w:r>
            <w:r>
              <w:rPr>
                <w:spacing w:val="5"/>
                <w:sz w:val="18"/>
              </w:rPr>
              <w:t xml:space="preserve"> </w:t>
            </w:r>
            <w:r>
              <w:rPr>
                <w:sz w:val="18"/>
              </w:rPr>
              <w:t>Insumos</w:t>
            </w:r>
            <w:r>
              <w:rPr>
                <w:spacing w:val="7"/>
                <w:sz w:val="18"/>
              </w:rPr>
              <w:t xml:space="preserve"> </w:t>
            </w:r>
            <w:r>
              <w:rPr>
                <w:spacing w:val="-4"/>
                <w:sz w:val="18"/>
              </w:rPr>
              <w:t>(iii)</w:t>
            </w:r>
          </w:p>
        </w:tc>
        <w:tc>
          <w:tcPr>
            <w:tcW w:w="1366" w:type="dxa"/>
          </w:tcPr>
          <w:p w14:paraId="24163D19" w14:textId="77777777" w:rsidR="002C6574" w:rsidRDefault="00000000">
            <w:pPr>
              <w:pStyle w:val="TableParagraph"/>
              <w:spacing w:line="212" w:lineRule="exact"/>
              <w:ind w:right="62"/>
              <w:rPr>
                <w:sz w:val="18"/>
              </w:rPr>
            </w:pPr>
            <w:r>
              <w:rPr>
                <w:spacing w:val="-2"/>
                <w:w w:val="105"/>
                <w:sz w:val="18"/>
              </w:rPr>
              <w:t>17.575</w:t>
            </w:r>
          </w:p>
        </w:tc>
        <w:tc>
          <w:tcPr>
            <w:tcW w:w="1832" w:type="dxa"/>
          </w:tcPr>
          <w:p w14:paraId="0432A7DA" w14:textId="77777777" w:rsidR="002C6574" w:rsidRDefault="00000000">
            <w:pPr>
              <w:pStyle w:val="TableParagraph"/>
              <w:spacing w:line="212" w:lineRule="exact"/>
              <w:ind w:right="62"/>
              <w:rPr>
                <w:sz w:val="18"/>
              </w:rPr>
            </w:pPr>
            <w:r>
              <w:rPr>
                <w:spacing w:val="-2"/>
                <w:w w:val="105"/>
                <w:sz w:val="18"/>
              </w:rPr>
              <w:t>20.538</w:t>
            </w:r>
          </w:p>
        </w:tc>
      </w:tr>
      <w:tr w:rsidR="002C6574" w14:paraId="5627D91F" w14:textId="77777777">
        <w:trPr>
          <w:trHeight w:val="232"/>
        </w:trPr>
        <w:tc>
          <w:tcPr>
            <w:tcW w:w="6574" w:type="dxa"/>
          </w:tcPr>
          <w:p w14:paraId="7E361937" w14:textId="77777777" w:rsidR="002C6574" w:rsidRDefault="00000000">
            <w:pPr>
              <w:pStyle w:val="TableParagraph"/>
              <w:spacing w:line="212" w:lineRule="exact"/>
              <w:ind w:left="69"/>
              <w:jc w:val="left"/>
              <w:rPr>
                <w:sz w:val="18"/>
              </w:rPr>
            </w:pPr>
            <w:r>
              <w:rPr>
                <w:sz w:val="18"/>
              </w:rPr>
              <w:t>Ativos</w:t>
            </w:r>
            <w:r>
              <w:rPr>
                <w:spacing w:val="-4"/>
                <w:sz w:val="18"/>
              </w:rPr>
              <w:t xml:space="preserve"> </w:t>
            </w:r>
            <w:r>
              <w:rPr>
                <w:sz w:val="18"/>
              </w:rPr>
              <w:t>Contingentes</w:t>
            </w:r>
            <w:r>
              <w:rPr>
                <w:spacing w:val="-3"/>
                <w:sz w:val="18"/>
              </w:rPr>
              <w:t xml:space="preserve"> </w:t>
            </w:r>
            <w:r>
              <w:rPr>
                <w:spacing w:val="-4"/>
                <w:sz w:val="18"/>
              </w:rPr>
              <w:t>(iv)</w:t>
            </w:r>
          </w:p>
        </w:tc>
        <w:tc>
          <w:tcPr>
            <w:tcW w:w="1366" w:type="dxa"/>
          </w:tcPr>
          <w:p w14:paraId="7C725EA5" w14:textId="77777777" w:rsidR="002C6574" w:rsidRDefault="00000000">
            <w:pPr>
              <w:pStyle w:val="TableParagraph"/>
              <w:spacing w:line="212" w:lineRule="exact"/>
              <w:ind w:right="61"/>
              <w:rPr>
                <w:sz w:val="18"/>
              </w:rPr>
            </w:pPr>
            <w:r>
              <w:rPr>
                <w:spacing w:val="-2"/>
                <w:w w:val="105"/>
                <w:sz w:val="18"/>
              </w:rPr>
              <w:t>14.960</w:t>
            </w:r>
          </w:p>
        </w:tc>
        <w:tc>
          <w:tcPr>
            <w:tcW w:w="1832" w:type="dxa"/>
          </w:tcPr>
          <w:p w14:paraId="4AA5CFF5" w14:textId="77777777" w:rsidR="002C6574" w:rsidRDefault="00000000">
            <w:pPr>
              <w:pStyle w:val="TableParagraph"/>
              <w:spacing w:line="212" w:lineRule="exact"/>
              <w:ind w:right="63"/>
              <w:rPr>
                <w:sz w:val="18"/>
              </w:rPr>
            </w:pPr>
            <w:r>
              <w:rPr>
                <w:spacing w:val="-5"/>
                <w:w w:val="105"/>
                <w:sz w:val="18"/>
              </w:rPr>
              <w:t>924</w:t>
            </w:r>
          </w:p>
        </w:tc>
      </w:tr>
      <w:tr w:rsidR="002C6574" w14:paraId="780606D6" w14:textId="77777777">
        <w:trPr>
          <w:trHeight w:val="230"/>
        </w:trPr>
        <w:tc>
          <w:tcPr>
            <w:tcW w:w="6574" w:type="dxa"/>
          </w:tcPr>
          <w:p w14:paraId="51C16269" w14:textId="77777777" w:rsidR="002C6574" w:rsidRDefault="00000000">
            <w:pPr>
              <w:pStyle w:val="TableParagraph"/>
              <w:spacing w:line="210" w:lineRule="exact"/>
              <w:ind w:left="69"/>
              <w:jc w:val="left"/>
              <w:rPr>
                <w:sz w:val="18"/>
              </w:rPr>
            </w:pPr>
            <w:r>
              <w:rPr>
                <w:w w:val="105"/>
                <w:sz w:val="18"/>
              </w:rPr>
              <w:t>Reversão</w:t>
            </w:r>
            <w:r>
              <w:rPr>
                <w:spacing w:val="1"/>
                <w:w w:val="105"/>
                <w:sz w:val="18"/>
              </w:rPr>
              <w:t xml:space="preserve"> </w:t>
            </w:r>
            <w:r>
              <w:rPr>
                <w:w w:val="105"/>
                <w:sz w:val="18"/>
              </w:rPr>
              <w:t>de</w:t>
            </w:r>
            <w:r>
              <w:rPr>
                <w:spacing w:val="1"/>
                <w:w w:val="105"/>
                <w:sz w:val="18"/>
              </w:rPr>
              <w:t xml:space="preserve"> </w:t>
            </w:r>
            <w:r>
              <w:rPr>
                <w:w w:val="105"/>
                <w:sz w:val="18"/>
              </w:rPr>
              <w:t>Prov.</w:t>
            </w:r>
            <w:r>
              <w:rPr>
                <w:spacing w:val="-1"/>
                <w:w w:val="105"/>
                <w:sz w:val="18"/>
              </w:rPr>
              <w:t xml:space="preserve"> </w:t>
            </w:r>
            <w:r>
              <w:rPr>
                <w:w w:val="105"/>
                <w:sz w:val="18"/>
              </w:rPr>
              <w:t>para</w:t>
            </w:r>
            <w:r>
              <w:rPr>
                <w:spacing w:val="-1"/>
                <w:w w:val="105"/>
                <w:sz w:val="18"/>
              </w:rPr>
              <w:t xml:space="preserve"> </w:t>
            </w:r>
            <w:r>
              <w:rPr>
                <w:w w:val="105"/>
                <w:sz w:val="18"/>
              </w:rPr>
              <w:t>Riscos</w:t>
            </w:r>
            <w:r>
              <w:rPr>
                <w:spacing w:val="2"/>
                <w:w w:val="105"/>
                <w:sz w:val="18"/>
              </w:rPr>
              <w:t xml:space="preserve"> </w:t>
            </w:r>
            <w:r>
              <w:rPr>
                <w:w w:val="105"/>
                <w:sz w:val="18"/>
              </w:rPr>
              <w:t>Trabalhistas,</w:t>
            </w:r>
            <w:r>
              <w:rPr>
                <w:spacing w:val="1"/>
                <w:w w:val="105"/>
                <w:sz w:val="18"/>
              </w:rPr>
              <w:t xml:space="preserve"> </w:t>
            </w:r>
            <w:r>
              <w:rPr>
                <w:w w:val="105"/>
                <w:sz w:val="18"/>
              </w:rPr>
              <w:t>Cíveis</w:t>
            </w:r>
            <w:r>
              <w:rPr>
                <w:spacing w:val="1"/>
                <w:w w:val="105"/>
                <w:sz w:val="18"/>
              </w:rPr>
              <w:t xml:space="preserve"> </w:t>
            </w:r>
            <w:r>
              <w:rPr>
                <w:w w:val="105"/>
                <w:sz w:val="18"/>
              </w:rPr>
              <w:t>e</w:t>
            </w:r>
            <w:r>
              <w:rPr>
                <w:spacing w:val="-2"/>
                <w:w w:val="105"/>
                <w:sz w:val="18"/>
              </w:rPr>
              <w:t xml:space="preserve"> Fiscais</w:t>
            </w:r>
          </w:p>
        </w:tc>
        <w:tc>
          <w:tcPr>
            <w:tcW w:w="1366" w:type="dxa"/>
          </w:tcPr>
          <w:p w14:paraId="02E9426C" w14:textId="77777777" w:rsidR="002C6574" w:rsidRDefault="00000000">
            <w:pPr>
              <w:pStyle w:val="TableParagraph"/>
              <w:spacing w:line="210" w:lineRule="exact"/>
              <w:ind w:right="60"/>
              <w:rPr>
                <w:sz w:val="18"/>
              </w:rPr>
            </w:pPr>
            <w:r>
              <w:rPr>
                <w:spacing w:val="-4"/>
                <w:w w:val="110"/>
                <w:sz w:val="18"/>
              </w:rPr>
              <w:t>1.421</w:t>
            </w:r>
          </w:p>
        </w:tc>
        <w:tc>
          <w:tcPr>
            <w:tcW w:w="1832" w:type="dxa"/>
          </w:tcPr>
          <w:p w14:paraId="49A5C867" w14:textId="77777777" w:rsidR="002C6574" w:rsidRDefault="00000000">
            <w:pPr>
              <w:pStyle w:val="TableParagraph"/>
              <w:spacing w:line="210" w:lineRule="exact"/>
              <w:ind w:right="63"/>
              <w:rPr>
                <w:sz w:val="18"/>
              </w:rPr>
            </w:pPr>
            <w:r>
              <w:rPr>
                <w:spacing w:val="-5"/>
                <w:w w:val="105"/>
                <w:sz w:val="18"/>
              </w:rPr>
              <w:t>574</w:t>
            </w:r>
          </w:p>
        </w:tc>
      </w:tr>
      <w:tr w:rsidR="002C6574" w14:paraId="523CB5FE" w14:textId="77777777">
        <w:trPr>
          <w:trHeight w:val="232"/>
        </w:trPr>
        <w:tc>
          <w:tcPr>
            <w:tcW w:w="6574" w:type="dxa"/>
          </w:tcPr>
          <w:p w14:paraId="1A413468" w14:textId="77777777" w:rsidR="002C6574" w:rsidRDefault="00000000">
            <w:pPr>
              <w:pStyle w:val="TableParagraph"/>
              <w:spacing w:line="212" w:lineRule="exact"/>
              <w:ind w:left="69"/>
              <w:jc w:val="left"/>
              <w:rPr>
                <w:sz w:val="18"/>
              </w:rPr>
            </w:pPr>
            <w:r>
              <w:rPr>
                <w:w w:val="105"/>
                <w:sz w:val="18"/>
              </w:rPr>
              <w:t>Recuperação</w:t>
            </w:r>
            <w:r>
              <w:rPr>
                <w:spacing w:val="-9"/>
                <w:w w:val="105"/>
                <w:sz w:val="18"/>
              </w:rPr>
              <w:t xml:space="preserve"> </w:t>
            </w:r>
            <w:r>
              <w:rPr>
                <w:w w:val="105"/>
                <w:sz w:val="18"/>
              </w:rPr>
              <w:t>de</w:t>
            </w:r>
            <w:r>
              <w:rPr>
                <w:spacing w:val="-11"/>
                <w:w w:val="105"/>
                <w:sz w:val="18"/>
              </w:rPr>
              <w:t xml:space="preserve"> </w:t>
            </w:r>
            <w:r>
              <w:rPr>
                <w:w w:val="105"/>
                <w:sz w:val="18"/>
              </w:rPr>
              <w:t>Despesas</w:t>
            </w:r>
            <w:r>
              <w:rPr>
                <w:spacing w:val="-9"/>
                <w:w w:val="105"/>
                <w:sz w:val="18"/>
              </w:rPr>
              <w:t xml:space="preserve"> </w:t>
            </w:r>
            <w:r>
              <w:rPr>
                <w:w w:val="105"/>
                <w:sz w:val="18"/>
              </w:rPr>
              <w:t>(Reembolso</w:t>
            </w:r>
            <w:r>
              <w:rPr>
                <w:spacing w:val="-11"/>
                <w:w w:val="105"/>
                <w:sz w:val="18"/>
              </w:rPr>
              <w:t xml:space="preserve"> </w:t>
            </w:r>
            <w:r>
              <w:rPr>
                <w:w w:val="105"/>
                <w:sz w:val="18"/>
              </w:rPr>
              <w:t>de</w:t>
            </w:r>
            <w:r>
              <w:rPr>
                <w:spacing w:val="-11"/>
                <w:w w:val="105"/>
                <w:sz w:val="18"/>
              </w:rPr>
              <w:t xml:space="preserve"> </w:t>
            </w:r>
            <w:r>
              <w:rPr>
                <w:spacing w:val="-2"/>
                <w:w w:val="105"/>
                <w:sz w:val="18"/>
              </w:rPr>
              <w:t>Seguro)</w:t>
            </w:r>
          </w:p>
        </w:tc>
        <w:tc>
          <w:tcPr>
            <w:tcW w:w="1366" w:type="dxa"/>
          </w:tcPr>
          <w:p w14:paraId="52844C94" w14:textId="77777777" w:rsidR="002C6574" w:rsidRDefault="00000000">
            <w:pPr>
              <w:pStyle w:val="TableParagraph"/>
              <w:spacing w:line="212" w:lineRule="exact"/>
              <w:ind w:right="62"/>
              <w:rPr>
                <w:sz w:val="18"/>
              </w:rPr>
            </w:pPr>
            <w:r>
              <w:rPr>
                <w:spacing w:val="-5"/>
                <w:w w:val="105"/>
                <w:sz w:val="18"/>
              </w:rPr>
              <w:t>425</w:t>
            </w:r>
          </w:p>
        </w:tc>
        <w:tc>
          <w:tcPr>
            <w:tcW w:w="1832" w:type="dxa"/>
          </w:tcPr>
          <w:p w14:paraId="387A9897" w14:textId="77777777" w:rsidR="002C6574" w:rsidRDefault="00000000">
            <w:pPr>
              <w:pStyle w:val="TableParagraph"/>
              <w:spacing w:line="212" w:lineRule="exact"/>
              <w:ind w:right="63"/>
              <w:rPr>
                <w:sz w:val="18"/>
              </w:rPr>
            </w:pPr>
            <w:r>
              <w:rPr>
                <w:spacing w:val="-5"/>
                <w:w w:val="105"/>
                <w:sz w:val="18"/>
              </w:rPr>
              <w:t>957</w:t>
            </w:r>
          </w:p>
        </w:tc>
      </w:tr>
      <w:tr w:rsidR="002C6574" w14:paraId="32AFB433" w14:textId="77777777">
        <w:trPr>
          <w:trHeight w:val="232"/>
        </w:trPr>
        <w:tc>
          <w:tcPr>
            <w:tcW w:w="6574" w:type="dxa"/>
          </w:tcPr>
          <w:p w14:paraId="7E1EA2A4" w14:textId="77777777" w:rsidR="002C6574" w:rsidRDefault="00000000">
            <w:pPr>
              <w:pStyle w:val="TableParagraph"/>
              <w:spacing w:line="212" w:lineRule="exact"/>
              <w:ind w:left="69"/>
              <w:jc w:val="left"/>
              <w:rPr>
                <w:sz w:val="18"/>
              </w:rPr>
            </w:pPr>
            <w:r>
              <w:rPr>
                <w:w w:val="105"/>
                <w:sz w:val="18"/>
              </w:rPr>
              <w:t>Recuperação</w:t>
            </w:r>
            <w:r>
              <w:rPr>
                <w:spacing w:val="-7"/>
                <w:w w:val="105"/>
                <w:sz w:val="18"/>
              </w:rPr>
              <w:t xml:space="preserve"> </w:t>
            </w:r>
            <w:r>
              <w:rPr>
                <w:w w:val="105"/>
                <w:sz w:val="18"/>
              </w:rPr>
              <w:t>de</w:t>
            </w:r>
            <w:r>
              <w:rPr>
                <w:spacing w:val="-10"/>
                <w:w w:val="105"/>
                <w:sz w:val="18"/>
              </w:rPr>
              <w:t xml:space="preserve"> </w:t>
            </w:r>
            <w:r>
              <w:rPr>
                <w:w w:val="105"/>
                <w:sz w:val="18"/>
              </w:rPr>
              <w:t>Baixa</w:t>
            </w:r>
            <w:r>
              <w:rPr>
                <w:spacing w:val="-10"/>
                <w:w w:val="105"/>
                <w:sz w:val="18"/>
              </w:rPr>
              <w:t xml:space="preserve"> </w:t>
            </w:r>
            <w:r>
              <w:rPr>
                <w:w w:val="105"/>
                <w:sz w:val="18"/>
              </w:rPr>
              <w:t>de</w:t>
            </w:r>
            <w:r>
              <w:rPr>
                <w:spacing w:val="-7"/>
                <w:w w:val="105"/>
                <w:sz w:val="18"/>
              </w:rPr>
              <w:t xml:space="preserve"> </w:t>
            </w:r>
            <w:r>
              <w:rPr>
                <w:w w:val="105"/>
                <w:sz w:val="18"/>
              </w:rPr>
              <w:t>Ativos</w:t>
            </w:r>
            <w:r>
              <w:rPr>
                <w:spacing w:val="-8"/>
                <w:w w:val="105"/>
                <w:sz w:val="18"/>
              </w:rPr>
              <w:t xml:space="preserve"> </w:t>
            </w:r>
            <w:r>
              <w:rPr>
                <w:w w:val="105"/>
                <w:sz w:val="18"/>
              </w:rPr>
              <w:t>(Contas</w:t>
            </w:r>
            <w:r>
              <w:rPr>
                <w:spacing w:val="-8"/>
                <w:w w:val="105"/>
                <w:sz w:val="18"/>
              </w:rPr>
              <w:t xml:space="preserve"> </w:t>
            </w:r>
            <w:r>
              <w:rPr>
                <w:w w:val="105"/>
                <w:sz w:val="18"/>
              </w:rPr>
              <w:t>a</w:t>
            </w:r>
            <w:r>
              <w:rPr>
                <w:spacing w:val="-10"/>
                <w:w w:val="105"/>
                <w:sz w:val="18"/>
              </w:rPr>
              <w:t xml:space="preserve"> </w:t>
            </w:r>
            <w:r>
              <w:rPr>
                <w:spacing w:val="-2"/>
                <w:w w:val="105"/>
                <w:sz w:val="18"/>
              </w:rPr>
              <w:t>Receber)</w:t>
            </w:r>
          </w:p>
        </w:tc>
        <w:tc>
          <w:tcPr>
            <w:tcW w:w="1366" w:type="dxa"/>
          </w:tcPr>
          <w:p w14:paraId="785277D1" w14:textId="77777777" w:rsidR="002C6574" w:rsidRDefault="00000000">
            <w:pPr>
              <w:pStyle w:val="TableParagraph"/>
              <w:spacing w:line="212" w:lineRule="exact"/>
              <w:ind w:right="62"/>
              <w:rPr>
                <w:sz w:val="18"/>
              </w:rPr>
            </w:pPr>
            <w:r>
              <w:rPr>
                <w:spacing w:val="-5"/>
                <w:w w:val="105"/>
                <w:sz w:val="18"/>
              </w:rPr>
              <w:t>419</w:t>
            </w:r>
          </w:p>
        </w:tc>
        <w:tc>
          <w:tcPr>
            <w:tcW w:w="1832" w:type="dxa"/>
          </w:tcPr>
          <w:p w14:paraId="0ECB9214" w14:textId="77777777" w:rsidR="002C6574" w:rsidRDefault="00000000">
            <w:pPr>
              <w:pStyle w:val="TableParagraph"/>
              <w:spacing w:line="212" w:lineRule="exact"/>
              <w:ind w:right="63"/>
              <w:rPr>
                <w:sz w:val="18"/>
              </w:rPr>
            </w:pPr>
            <w:r>
              <w:rPr>
                <w:spacing w:val="-5"/>
                <w:w w:val="105"/>
                <w:sz w:val="18"/>
              </w:rPr>
              <w:t>556</w:t>
            </w:r>
          </w:p>
        </w:tc>
      </w:tr>
      <w:tr w:rsidR="002C6574" w14:paraId="09DDEFC1" w14:textId="77777777">
        <w:trPr>
          <w:trHeight w:val="232"/>
        </w:trPr>
        <w:tc>
          <w:tcPr>
            <w:tcW w:w="6574" w:type="dxa"/>
          </w:tcPr>
          <w:p w14:paraId="19A0E571" w14:textId="77777777" w:rsidR="002C6574" w:rsidRDefault="00000000">
            <w:pPr>
              <w:pStyle w:val="TableParagraph"/>
              <w:spacing w:line="212" w:lineRule="exact"/>
              <w:ind w:left="69"/>
              <w:jc w:val="left"/>
              <w:rPr>
                <w:sz w:val="18"/>
              </w:rPr>
            </w:pPr>
            <w:r>
              <w:rPr>
                <w:sz w:val="18"/>
              </w:rPr>
              <w:t>Ganho</w:t>
            </w:r>
            <w:r>
              <w:rPr>
                <w:spacing w:val="8"/>
                <w:sz w:val="18"/>
              </w:rPr>
              <w:t xml:space="preserve"> </w:t>
            </w:r>
            <w:r>
              <w:rPr>
                <w:sz w:val="18"/>
              </w:rPr>
              <w:t>sobre</w:t>
            </w:r>
            <w:r>
              <w:rPr>
                <w:spacing w:val="11"/>
                <w:sz w:val="18"/>
              </w:rPr>
              <w:t xml:space="preserve"> </w:t>
            </w:r>
            <w:r>
              <w:rPr>
                <w:spacing w:val="-2"/>
                <w:sz w:val="18"/>
              </w:rPr>
              <w:t>Passivo</w:t>
            </w:r>
          </w:p>
        </w:tc>
        <w:tc>
          <w:tcPr>
            <w:tcW w:w="1366" w:type="dxa"/>
          </w:tcPr>
          <w:p w14:paraId="4C8EDC84" w14:textId="77777777" w:rsidR="002C6574" w:rsidRDefault="00000000">
            <w:pPr>
              <w:pStyle w:val="TableParagraph"/>
              <w:spacing w:line="212" w:lineRule="exact"/>
              <w:ind w:right="62"/>
              <w:rPr>
                <w:sz w:val="18"/>
              </w:rPr>
            </w:pPr>
            <w:r>
              <w:rPr>
                <w:spacing w:val="-5"/>
                <w:w w:val="105"/>
                <w:sz w:val="18"/>
              </w:rPr>
              <w:t>76</w:t>
            </w:r>
          </w:p>
        </w:tc>
        <w:tc>
          <w:tcPr>
            <w:tcW w:w="1832" w:type="dxa"/>
          </w:tcPr>
          <w:p w14:paraId="1FAEA433" w14:textId="77777777" w:rsidR="002C6574" w:rsidRDefault="00000000">
            <w:pPr>
              <w:pStyle w:val="TableParagraph"/>
              <w:spacing w:line="212" w:lineRule="exact"/>
              <w:ind w:right="63"/>
              <w:rPr>
                <w:sz w:val="18"/>
              </w:rPr>
            </w:pPr>
            <w:r>
              <w:rPr>
                <w:spacing w:val="-2"/>
                <w:w w:val="110"/>
                <w:sz w:val="18"/>
              </w:rPr>
              <w:t>2.297</w:t>
            </w:r>
          </w:p>
        </w:tc>
      </w:tr>
      <w:tr w:rsidR="002C6574" w14:paraId="5C8072F6" w14:textId="77777777">
        <w:trPr>
          <w:trHeight w:val="232"/>
        </w:trPr>
        <w:tc>
          <w:tcPr>
            <w:tcW w:w="6574" w:type="dxa"/>
          </w:tcPr>
          <w:p w14:paraId="22436D92" w14:textId="77777777" w:rsidR="002C6574" w:rsidRDefault="00000000">
            <w:pPr>
              <w:pStyle w:val="TableParagraph"/>
              <w:spacing w:line="212" w:lineRule="exact"/>
              <w:ind w:left="69"/>
              <w:jc w:val="left"/>
              <w:rPr>
                <w:sz w:val="18"/>
              </w:rPr>
            </w:pPr>
            <w:r>
              <w:rPr>
                <w:sz w:val="18"/>
              </w:rPr>
              <w:t>Outras</w:t>
            </w:r>
            <w:r>
              <w:rPr>
                <w:spacing w:val="27"/>
                <w:sz w:val="18"/>
              </w:rPr>
              <w:t xml:space="preserve"> </w:t>
            </w:r>
            <w:r>
              <w:rPr>
                <w:sz w:val="18"/>
              </w:rPr>
              <w:t>Receitas</w:t>
            </w:r>
            <w:r>
              <w:rPr>
                <w:spacing w:val="27"/>
                <w:sz w:val="18"/>
              </w:rPr>
              <w:t xml:space="preserve"> </w:t>
            </w:r>
            <w:r>
              <w:rPr>
                <w:spacing w:val="-2"/>
                <w:sz w:val="18"/>
              </w:rPr>
              <w:t>Operacionais</w:t>
            </w:r>
          </w:p>
        </w:tc>
        <w:tc>
          <w:tcPr>
            <w:tcW w:w="1366" w:type="dxa"/>
          </w:tcPr>
          <w:p w14:paraId="0FCF4532" w14:textId="77777777" w:rsidR="002C6574" w:rsidRDefault="00000000">
            <w:pPr>
              <w:pStyle w:val="TableParagraph"/>
              <w:spacing w:line="212" w:lineRule="exact"/>
              <w:ind w:right="61"/>
              <w:rPr>
                <w:sz w:val="18"/>
              </w:rPr>
            </w:pPr>
            <w:r>
              <w:rPr>
                <w:spacing w:val="-5"/>
                <w:w w:val="105"/>
                <w:sz w:val="18"/>
              </w:rPr>
              <w:t>377</w:t>
            </w:r>
          </w:p>
        </w:tc>
        <w:tc>
          <w:tcPr>
            <w:tcW w:w="1832" w:type="dxa"/>
          </w:tcPr>
          <w:p w14:paraId="1D9E49C3" w14:textId="77777777" w:rsidR="002C6574" w:rsidRDefault="00000000">
            <w:pPr>
              <w:pStyle w:val="TableParagraph"/>
              <w:spacing w:line="212" w:lineRule="exact"/>
              <w:ind w:right="63"/>
              <w:rPr>
                <w:sz w:val="18"/>
              </w:rPr>
            </w:pPr>
            <w:r>
              <w:rPr>
                <w:spacing w:val="-5"/>
                <w:w w:val="105"/>
                <w:sz w:val="18"/>
              </w:rPr>
              <w:t>260</w:t>
            </w:r>
          </w:p>
        </w:tc>
      </w:tr>
      <w:tr w:rsidR="002C6574" w14:paraId="4F3AEAF2" w14:textId="77777777">
        <w:trPr>
          <w:trHeight w:val="232"/>
        </w:trPr>
        <w:tc>
          <w:tcPr>
            <w:tcW w:w="6574" w:type="dxa"/>
          </w:tcPr>
          <w:p w14:paraId="46C73F41" w14:textId="77777777" w:rsidR="002C6574" w:rsidRDefault="00000000">
            <w:pPr>
              <w:pStyle w:val="TableParagraph"/>
              <w:spacing w:line="212" w:lineRule="exact"/>
              <w:ind w:left="69"/>
              <w:jc w:val="left"/>
              <w:rPr>
                <w:sz w:val="18"/>
              </w:rPr>
            </w:pPr>
            <w:r>
              <w:rPr>
                <w:sz w:val="18"/>
              </w:rPr>
              <w:t>Tributos</w:t>
            </w:r>
            <w:r>
              <w:rPr>
                <w:spacing w:val="12"/>
                <w:sz w:val="18"/>
              </w:rPr>
              <w:t xml:space="preserve"> </w:t>
            </w:r>
            <w:r>
              <w:rPr>
                <w:sz w:val="18"/>
              </w:rPr>
              <w:t>sobre</w:t>
            </w:r>
            <w:r>
              <w:rPr>
                <w:spacing w:val="11"/>
                <w:sz w:val="18"/>
              </w:rPr>
              <w:t xml:space="preserve"> </w:t>
            </w:r>
            <w:r>
              <w:rPr>
                <w:sz w:val="18"/>
              </w:rPr>
              <w:t>Outras</w:t>
            </w:r>
            <w:r>
              <w:rPr>
                <w:spacing w:val="11"/>
                <w:sz w:val="18"/>
              </w:rPr>
              <w:t xml:space="preserve"> </w:t>
            </w:r>
            <w:r>
              <w:rPr>
                <w:sz w:val="18"/>
              </w:rPr>
              <w:t>Receitas</w:t>
            </w:r>
            <w:r>
              <w:rPr>
                <w:spacing w:val="12"/>
                <w:sz w:val="18"/>
              </w:rPr>
              <w:t xml:space="preserve"> </w:t>
            </w:r>
            <w:r>
              <w:rPr>
                <w:spacing w:val="-2"/>
                <w:sz w:val="18"/>
              </w:rPr>
              <w:t>Operacionais</w:t>
            </w:r>
          </w:p>
        </w:tc>
        <w:tc>
          <w:tcPr>
            <w:tcW w:w="1366" w:type="dxa"/>
          </w:tcPr>
          <w:p w14:paraId="64D26C10" w14:textId="77777777" w:rsidR="002C6574" w:rsidRDefault="00000000">
            <w:pPr>
              <w:pStyle w:val="TableParagraph"/>
              <w:spacing w:line="212" w:lineRule="exact"/>
              <w:ind w:right="58"/>
              <w:rPr>
                <w:sz w:val="18"/>
              </w:rPr>
            </w:pPr>
            <w:r>
              <w:rPr>
                <w:spacing w:val="-2"/>
                <w:w w:val="110"/>
                <w:sz w:val="18"/>
              </w:rPr>
              <w:t>(13.870)</w:t>
            </w:r>
          </w:p>
        </w:tc>
        <w:tc>
          <w:tcPr>
            <w:tcW w:w="1832" w:type="dxa"/>
          </w:tcPr>
          <w:p w14:paraId="77889EA4" w14:textId="77777777" w:rsidR="002C6574" w:rsidRDefault="00000000">
            <w:pPr>
              <w:pStyle w:val="TableParagraph"/>
              <w:spacing w:line="212" w:lineRule="exact"/>
              <w:ind w:right="60"/>
              <w:rPr>
                <w:sz w:val="18"/>
              </w:rPr>
            </w:pPr>
            <w:r>
              <w:rPr>
                <w:spacing w:val="-2"/>
                <w:w w:val="110"/>
                <w:sz w:val="18"/>
              </w:rPr>
              <w:t>(22.848)</w:t>
            </w:r>
          </w:p>
        </w:tc>
      </w:tr>
      <w:tr w:rsidR="002C6574" w14:paraId="49DF701F" w14:textId="77777777">
        <w:trPr>
          <w:trHeight w:val="230"/>
        </w:trPr>
        <w:tc>
          <w:tcPr>
            <w:tcW w:w="6574" w:type="dxa"/>
          </w:tcPr>
          <w:p w14:paraId="22541903" w14:textId="77777777" w:rsidR="002C6574" w:rsidRDefault="00000000">
            <w:pPr>
              <w:pStyle w:val="TableParagraph"/>
              <w:spacing w:before="11" w:line="199" w:lineRule="exact"/>
              <w:ind w:left="119"/>
              <w:jc w:val="left"/>
              <w:rPr>
                <w:rFonts w:ascii="Arial"/>
                <w:b/>
                <w:sz w:val="18"/>
              </w:rPr>
            </w:pPr>
            <w:r>
              <w:rPr>
                <w:rFonts w:ascii="Arial"/>
                <w:b/>
                <w:spacing w:val="-2"/>
                <w:sz w:val="18"/>
              </w:rPr>
              <w:t>Total</w:t>
            </w:r>
          </w:p>
        </w:tc>
        <w:tc>
          <w:tcPr>
            <w:tcW w:w="1366" w:type="dxa"/>
          </w:tcPr>
          <w:p w14:paraId="0F504C6E" w14:textId="77777777" w:rsidR="002C6574" w:rsidRDefault="00000000">
            <w:pPr>
              <w:pStyle w:val="TableParagraph"/>
              <w:spacing w:before="11" w:line="199" w:lineRule="exact"/>
              <w:ind w:right="62"/>
              <w:rPr>
                <w:rFonts w:ascii="Arial"/>
                <w:b/>
                <w:sz w:val="18"/>
              </w:rPr>
            </w:pPr>
            <w:r>
              <w:rPr>
                <w:rFonts w:ascii="Arial"/>
                <w:b/>
                <w:spacing w:val="-2"/>
                <w:sz w:val="18"/>
              </w:rPr>
              <w:t>563.052</w:t>
            </w:r>
          </w:p>
        </w:tc>
        <w:tc>
          <w:tcPr>
            <w:tcW w:w="1832" w:type="dxa"/>
          </w:tcPr>
          <w:p w14:paraId="1690BE41" w14:textId="77777777" w:rsidR="002C6574" w:rsidRDefault="00000000">
            <w:pPr>
              <w:pStyle w:val="TableParagraph"/>
              <w:spacing w:before="11" w:line="199" w:lineRule="exact"/>
              <w:ind w:right="62"/>
              <w:rPr>
                <w:rFonts w:ascii="Arial"/>
                <w:b/>
                <w:sz w:val="18"/>
              </w:rPr>
            </w:pPr>
            <w:r>
              <w:rPr>
                <w:rFonts w:ascii="Arial"/>
                <w:b/>
                <w:spacing w:val="-2"/>
                <w:sz w:val="18"/>
              </w:rPr>
              <w:t>373.698</w:t>
            </w:r>
          </w:p>
        </w:tc>
      </w:tr>
      <w:tr w:rsidR="002C6574" w14:paraId="06A08C2A" w14:textId="77777777">
        <w:trPr>
          <w:trHeight w:val="232"/>
        </w:trPr>
        <w:tc>
          <w:tcPr>
            <w:tcW w:w="6574" w:type="dxa"/>
          </w:tcPr>
          <w:p w14:paraId="1BDD2B0F" w14:textId="77777777" w:rsidR="002C6574" w:rsidRDefault="00000000">
            <w:pPr>
              <w:pStyle w:val="TableParagraph"/>
              <w:spacing w:before="13" w:line="199" w:lineRule="exact"/>
              <w:ind w:left="69"/>
              <w:jc w:val="left"/>
              <w:rPr>
                <w:rFonts w:ascii="Arial"/>
                <w:b/>
                <w:sz w:val="18"/>
              </w:rPr>
            </w:pPr>
            <w:r>
              <w:rPr>
                <w:rFonts w:ascii="Arial"/>
                <w:b/>
                <w:sz w:val="18"/>
              </w:rPr>
              <w:t xml:space="preserve">Outras Despesas </w:t>
            </w:r>
            <w:r>
              <w:rPr>
                <w:rFonts w:ascii="Arial"/>
                <w:b/>
                <w:spacing w:val="-2"/>
                <w:sz w:val="18"/>
              </w:rPr>
              <w:t>Operacionais</w:t>
            </w:r>
          </w:p>
        </w:tc>
        <w:tc>
          <w:tcPr>
            <w:tcW w:w="1366" w:type="dxa"/>
          </w:tcPr>
          <w:p w14:paraId="0EC9911B" w14:textId="77777777" w:rsidR="002C6574" w:rsidRDefault="002C6574">
            <w:pPr>
              <w:pStyle w:val="TableParagraph"/>
              <w:jc w:val="left"/>
              <w:rPr>
                <w:rFonts w:ascii="Times New Roman"/>
                <w:sz w:val="16"/>
              </w:rPr>
            </w:pPr>
          </w:p>
        </w:tc>
        <w:tc>
          <w:tcPr>
            <w:tcW w:w="1832" w:type="dxa"/>
          </w:tcPr>
          <w:p w14:paraId="65D06431" w14:textId="77777777" w:rsidR="002C6574" w:rsidRDefault="002C6574">
            <w:pPr>
              <w:pStyle w:val="TableParagraph"/>
              <w:jc w:val="left"/>
              <w:rPr>
                <w:rFonts w:ascii="Times New Roman"/>
                <w:sz w:val="16"/>
              </w:rPr>
            </w:pPr>
          </w:p>
        </w:tc>
      </w:tr>
      <w:tr w:rsidR="002C6574" w14:paraId="464F96C4" w14:textId="77777777">
        <w:trPr>
          <w:trHeight w:val="232"/>
        </w:trPr>
        <w:tc>
          <w:tcPr>
            <w:tcW w:w="6574" w:type="dxa"/>
          </w:tcPr>
          <w:p w14:paraId="582DCAFF" w14:textId="77777777" w:rsidR="002C6574" w:rsidRDefault="00000000">
            <w:pPr>
              <w:pStyle w:val="TableParagraph"/>
              <w:spacing w:line="212" w:lineRule="exact"/>
              <w:ind w:left="69"/>
              <w:jc w:val="left"/>
              <w:rPr>
                <w:sz w:val="18"/>
              </w:rPr>
            </w:pPr>
            <w:r>
              <w:rPr>
                <w:spacing w:val="-2"/>
                <w:sz w:val="18"/>
              </w:rPr>
              <w:t>Tributos</w:t>
            </w:r>
          </w:p>
        </w:tc>
        <w:tc>
          <w:tcPr>
            <w:tcW w:w="1366" w:type="dxa"/>
          </w:tcPr>
          <w:p w14:paraId="6FD18B20" w14:textId="77777777" w:rsidR="002C6574" w:rsidRDefault="00000000">
            <w:pPr>
              <w:pStyle w:val="TableParagraph"/>
              <w:spacing w:line="212" w:lineRule="exact"/>
              <w:ind w:right="58"/>
              <w:rPr>
                <w:sz w:val="18"/>
              </w:rPr>
            </w:pPr>
            <w:r>
              <w:rPr>
                <w:spacing w:val="-2"/>
                <w:w w:val="110"/>
                <w:sz w:val="18"/>
              </w:rPr>
              <w:t>(7.911)</w:t>
            </w:r>
          </w:p>
        </w:tc>
        <w:tc>
          <w:tcPr>
            <w:tcW w:w="1832" w:type="dxa"/>
          </w:tcPr>
          <w:p w14:paraId="54D33971" w14:textId="77777777" w:rsidR="002C6574" w:rsidRDefault="00000000">
            <w:pPr>
              <w:pStyle w:val="TableParagraph"/>
              <w:spacing w:line="212" w:lineRule="exact"/>
              <w:ind w:right="59"/>
              <w:rPr>
                <w:sz w:val="18"/>
              </w:rPr>
            </w:pPr>
            <w:r>
              <w:rPr>
                <w:spacing w:val="-2"/>
                <w:w w:val="110"/>
                <w:sz w:val="18"/>
              </w:rPr>
              <w:t>(6.116)</w:t>
            </w:r>
          </w:p>
        </w:tc>
      </w:tr>
      <w:tr w:rsidR="002C6574" w14:paraId="29FB0038" w14:textId="77777777">
        <w:trPr>
          <w:trHeight w:val="232"/>
        </w:trPr>
        <w:tc>
          <w:tcPr>
            <w:tcW w:w="6574" w:type="dxa"/>
          </w:tcPr>
          <w:p w14:paraId="7657BA90" w14:textId="77777777" w:rsidR="002C6574" w:rsidRDefault="00000000">
            <w:pPr>
              <w:pStyle w:val="TableParagraph"/>
              <w:spacing w:line="212" w:lineRule="exact"/>
              <w:ind w:left="69"/>
              <w:jc w:val="left"/>
              <w:rPr>
                <w:sz w:val="18"/>
              </w:rPr>
            </w:pPr>
            <w:r>
              <w:rPr>
                <w:w w:val="105"/>
                <w:sz w:val="18"/>
              </w:rPr>
              <w:t>Provisão</w:t>
            </w:r>
            <w:r>
              <w:rPr>
                <w:spacing w:val="-3"/>
                <w:w w:val="105"/>
                <w:sz w:val="18"/>
              </w:rPr>
              <w:t xml:space="preserve"> </w:t>
            </w:r>
            <w:r>
              <w:rPr>
                <w:w w:val="105"/>
                <w:sz w:val="18"/>
              </w:rPr>
              <w:t>para</w:t>
            </w:r>
            <w:r>
              <w:rPr>
                <w:spacing w:val="-1"/>
                <w:w w:val="105"/>
                <w:sz w:val="18"/>
              </w:rPr>
              <w:t xml:space="preserve"> </w:t>
            </w:r>
            <w:r>
              <w:rPr>
                <w:w w:val="105"/>
                <w:sz w:val="18"/>
              </w:rPr>
              <w:t>Riscos Trabalhistas,</w:t>
            </w:r>
            <w:r>
              <w:rPr>
                <w:spacing w:val="-1"/>
                <w:w w:val="105"/>
                <w:sz w:val="18"/>
              </w:rPr>
              <w:t xml:space="preserve"> </w:t>
            </w:r>
            <w:r>
              <w:rPr>
                <w:w w:val="105"/>
                <w:sz w:val="18"/>
              </w:rPr>
              <w:t>Cíveis</w:t>
            </w:r>
            <w:r>
              <w:rPr>
                <w:spacing w:val="-1"/>
                <w:w w:val="105"/>
                <w:sz w:val="18"/>
              </w:rPr>
              <w:t xml:space="preserve"> </w:t>
            </w:r>
            <w:r>
              <w:rPr>
                <w:w w:val="105"/>
                <w:sz w:val="18"/>
              </w:rPr>
              <w:t>e</w:t>
            </w:r>
            <w:r>
              <w:rPr>
                <w:spacing w:val="-1"/>
                <w:w w:val="105"/>
                <w:sz w:val="18"/>
              </w:rPr>
              <w:t xml:space="preserve"> </w:t>
            </w:r>
            <w:r>
              <w:rPr>
                <w:spacing w:val="-2"/>
                <w:w w:val="105"/>
                <w:sz w:val="18"/>
              </w:rPr>
              <w:t>Fiscais</w:t>
            </w:r>
          </w:p>
        </w:tc>
        <w:tc>
          <w:tcPr>
            <w:tcW w:w="1366" w:type="dxa"/>
          </w:tcPr>
          <w:p w14:paraId="1E9D0C98" w14:textId="77777777" w:rsidR="002C6574" w:rsidRDefault="00000000">
            <w:pPr>
              <w:pStyle w:val="TableParagraph"/>
              <w:spacing w:line="212" w:lineRule="exact"/>
              <w:ind w:right="58"/>
              <w:rPr>
                <w:sz w:val="18"/>
              </w:rPr>
            </w:pPr>
            <w:r>
              <w:rPr>
                <w:spacing w:val="-2"/>
                <w:w w:val="110"/>
                <w:sz w:val="18"/>
              </w:rPr>
              <w:t>(5.196)</w:t>
            </w:r>
          </w:p>
        </w:tc>
        <w:tc>
          <w:tcPr>
            <w:tcW w:w="1832" w:type="dxa"/>
          </w:tcPr>
          <w:p w14:paraId="09F8D473" w14:textId="77777777" w:rsidR="002C6574" w:rsidRDefault="00000000">
            <w:pPr>
              <w:pStyle w:val="TableParagraph"/>
              <w:spacing w:line="212" w:lineRule="exact"/>
              <w:ind w:right="59"/>
              <w:rPr>
                <w:sz w:val="18"/>
              </w:rPr>
            </w:pPr>
            <w:r>
              <w:rPr>
                <w:spacing w:val="-2"/>
                <w:w w:val="105"/>
                <w:sz w:val="18"/>
              </w:rPr>
              <w:t>(498)</w:t>
            </w:r>
          </w:p>
        </w:tc>
      </w:tr>
      <w:tr w:rsidR="002C6574" w14:paraId="79659899" w14:textId="77777777">
        <w:trPr>
          <w:trHeight w:val="232"/>
        </w:trPr>
        <w:tc>
          <w:tcPr>
            <w:tcW w:w="6574" w:type="dxa"/>
          </w:tcPr>
          <w:p w14:paraId="1D441FEA" w14:textId="77777777" w:rsidR="002C6574" w:rsidRDefault="00000000">
            <w:pPr>
              <w:pStyle w:val="TableParagraph"/>
              <w:spacing w:line="212" w:lineRule="exact"/>
              <w:ind w:left="69"/>
              <w:jc w:val="left"/>
              <w:rPr>
                <w:sz w:val="18"/>
              </w:rPr>
            </w:pPr>
            <w:r>
              <w:rPr>
                <w:w w:val="105"/>
                <w:sz w:val="18"/>
              </w:rPr>
              <w:t>Multas</w:t>
            </w:r>
            <w:r>
              <w:rPr>
                <w:spacing w:val="-13"/>
                <w:w w:val="105"/>
                <w:sz w:val="18"/>
              </w:rPr>
              <w:t xml:space="preserve"> </w:t>
            </w:r>
            <w:r>
              <w:rPr>
                <w:w w:val="105"/>
                <w:sz w:val="18"/>
              </w:rPr>
              <w:t>sobre</w:t>
            </w:r>
            <w:r>
              <w:rPr>
                <w:spacing w:val="-11"/>
                <w:w w:val="105"/>
                <w:sz w:val="18"/>
              </w:rPr>
              <w:t xml:space="preserve"> </w:t>
            </w:r>
            <w:r>
              <w:rPr>
                <w:w w:val="105"/>
                <w:sz w:val="18"/>
              </w:rPr>
              <w:t>Contas</w:t>
            </w:r>
            <w:r>
              <w:rPr>
                <w:spacing w:val="-11"/>
                <w:w w:val="105"/>
                <w:sz w:val="18"/>
              </w:rPr>
              <w:t xml:space="preserve"> </w:t>
            </w:r>
            <w:r>
              <w:rPr>
                <w:w w:val="105"/>
                <w:sz w:val="18"/>
              </w:rPr>
              <w:t>a</w:t>
            </w:r>
            <w:r>
              <w:rPr>
                <w:spacing w:val="-12"/>
                <w:w w:val="105"/>
                <w:sz w:val="18"/>
              </w:rPr>
              <w:t xml:space="preserve"> </w:t>
            </w:r>
            <w:r>
              <w:rPr>
                <w:w w:val="105"/>
                <w:sz w:val="18"/>
              </w:rPr>
              <w:t>Receber</w:t>
            </w:r>
            <w:r>
              <w:rPr>
                <w:spacing w:val="-10"/>
                <w:w w:val="105"/>
                <w:sz w:val="18"/>
              </w:rPr>
              <w:t xml:space="preserve"> </w:t>
            </w:r>
            <w:r>
              <w:rPr>
                <w:w w:val="105"/>
                <w:sz w:val="18"/>
              </w:rPr>
              <w:t>–</w:t>
            </w:r>
            <w:r>
              <w:rPr>
                <w:spacing w:val="-10"/>
                <w:w w:val="105"/>
                <w:sz w:val="18"/>
              </w:rPr>
              <w:t xml:space="preserve"> </w:t>
            </w:r>
            <w:r>
              <w:rPr>
                <w:spacing w:val="-2"/>
                <w:w w:val="105"/>
                <w:sz w:val="18"/>
              </w:rPr>
              <w:t>Contratos</w:t>
            </w:r>
          </w:p>
        </w:tc>
        <w:tc>
          <w:tcPr>
            <w:tcW w:w="1366" w:type="dxa"/>
          </w:tcPr>
          <w:p w14:paraId="598916FE" w14:textId="77777777" w:rsidR="002C6574" w:rsidRDefault="00000000">
            <w:pPr>
              <w:pStyle w:val="TableParagraph"/>
              <w:spacing w:line="212" w:lineRule="exact"/>
              <w:ind w:right="58"/>
              <w:rPr>
                <w:sz w:val="18"/>
              </w:rPr>
            </w:pPr>
            <w:r>
              <w:rPr>
                <w:spacing w:val="-2"/>
                <w:w w:val="110"/>
                <w:sz w:val="18"/>
              </w:rPr>
              <w:t>(4.874)</w:t>
            </w:r>
          </w:p>
        </w:tc>
        <w:tc>
          <w:tcPr>
            <w:tcW w:w="1832" w:type="dxa"/>
          </w:tcPr>
          <w:p w14:paraId="7B43F6F2" w14:textId="77777777" w:rsidR="002C6574" w:rsidRDefault="00000000">
            <w:pPr>
              <w:pStyle w:val="TableParagraph"/>
              <w:spacing w:line="212" w:lineRule="exact"/>
              <w:ind w:right="59"/>
              <w:rPr>
                <w:sz w:val="18"/>
              </w:rPr>
            </w:pPr>
            <w:r>
              <w:rPr>
                <w:spacing w:val="-2"/>
                <w:w w:val="110"/>
                <w:sz w:val="18"/>
              </w:rPr>
              <w:t>(3.568)</w:t>
            </w:r>
          </w:p>
        </w:tc>
      </w:tr>
      <w:tr w:rsidR="002C6574" w14:paraId="67C34D37" w14:textId="77777777">
        <w:trPr>
          <w:trHeight w:val="232"/>
        </w:trPr>
        <w:tc>
          <w:tcPr>
            <w:tcW w:w="6574" w:type="dxa"/>
          </w:tcPr>
          <w:p w14:paraId="499C1AFF" w14:textId="77777777" w:rsidR="002C6574" w:rsidRDefault="00000000">
            <w:pPr>
              <w:pStyle w:val="TableParagraph"/>
              <w:spacing w:line="212" w:lineRule="exact"/>
              <w:ind w:left="69"/>
              <w:jc w:val="left"/>
              <w:rPr>
                <w:sz w:val="18"/>
              </w:rPr>
            </w:pPr>
            <w:r>
              <w:rPr>
                <w:sz w:val="18"/>
              </w:rPr>
              <w:t>Multas</w:t>
            </w:r>
            <w:r>
              <w:rPr>
                <w:spacing w:val="-4"/>
                <w:sz w:val="18"/>
              </w:rPr>
              <w:t xml:space="preserve"> </w:t>
            </w:r>
            <w:r>
              <w:rPr>
                <w:sz w:val="18"/>
              </w:rPr>
              <w:t>sobre</w:t>
            </w:r>
            <w:r>
              <w:rPr>
                <w:spacing w:val="-3"/>
                <w:sz w:val="18"/>
              </w:rPr>
              <w:t xml:space="preserve"> </w:t>
            </w:r>
            <w:r>
              <w:rPr>
                <w:spacing w:val="-2"/>
                <w:sz w:val="18"/>
              </w:rPr>
              <w:t>Passivos</w:t>
            </w:r>
          </w:p>
        </w:tc>
        <w:tc>
          <w:tcPr>
            <w:tcW w:w="1366" w:type="dxa"/>
          </w:tcPr>
          <w:p w14:paraId="04C47465" w14:textId="77777777" w:rsidR="002C6574" w:rsidRDefault="00000000">
            <w:pPr>
              <w:pStyle w:val="TableParagraph"/>
              <w:spacing w:line="212" w:lineRule="exact"/>
              <w:ind w:right="59"/>
              <w:rPr>
                <w:sz w:val="18"/>
              </w:rPr>
            </w:pPr>
            <w:r>
              <w:rPr>
                <w:spacing w:val="-2"/>
                <w:w w:val="110"/>
                <w:sz w:val="18"/>
              </w:rPr>
              <w:t>(3.056)</w:t>
            </w:r>
          </w:p>
        </w:tc>
        <w:tc>
          <w:tcPr>
            <w:tcW w:w="1832" w:type="dxa"/>
          </w:tcPr>
          <w:p w14:paraId="7FB1EC4D" w14:textId="77777777" w:rsidR="002C6574" w:rsidRDefault="00000000">
            <w:pPr>
              <w:pStyle w:val="TableParagraph"/>
              <w:spacing w:line="212" w:lineRule="exact"/>
              <w:ind w:right="59"/>
              <w:rPr>
                <w:sz w:val="18"/>
              </w:rPr>
            </w:pPr>
            <w:r>
              <w:rPr>
                <w:spacing w:val="-2"/>
                <w:w w:val="110"/>
                <w:sz w:val="18"/>
              </w:rPr>
              <w:t>(1.215)</w:t>
            </w:r>
          </w:p>
        </w:tc>
      </w:tr>
      <w:tr w:rsidR="002C6574" w14:paraId="6E781952" w14:textId="77777777">
        <w:trPr>
          <w:trHeight w:val="232"/>
        </w:trPr>
        <w:tc>
          <w:tcPr>
            <w:tcW w:w="6574" w:type="dxa"/>
          </w:tcPr>
          <w:p w14:paraId="4A7631F0" w14:textId="77777777" w:rsidR="002C6574" w:rsidRDefault="00000000">
            <w:pPr>
              <w:pStyle w:val="TableParagraph"/>
              <w:spacing w:line="212" w:lineRule="exact"/>
              <w:ind w:left="69"/>
              <w:jc w:val="left"/>
              <w:rPr>
                <w:sz w:val="18"/>
              </w:rPr>
            </w:pPr>
            <w:r>
              <w:rPr>
                <w:spacing w:val="-2"/>
                <w:w w:val="110"/>
                <w:sz w:val="18"/>
              </w:rPr>
              <w:t>Pessoal</w:t>
            </w:r>
          </w:p>
        </w:tc>
        <w:tc>
          <w:tcPr>
            <w:tcW w:w="1366" w:type="dxa"/>
          </w:tcPr>
          <w:p w14:paraId="3366A0CD" w14:textId="77777777" w:rsidR="002C6574" w:rsidRDefault="00000000">
            <w:pPr>
              <w:pStyle w:val="TableParagraph"/>
              <w:spacing w:line="212" w:lineRule="exact"/>
              <w:ind w:right="58"/>
              <w:rPr>
                <w:sz w:val="18"/>
              </w:rPr>
            </w:pPr>
            <w:r>
              <w:rPr>
                <w:spacing w:val="-2"/>
                <w:w w:val="110"/>
                <w:sz w:val="18"/>
              </w:rPr>
              <w:t>(1.801)</w:t>
            </w:r>
          </w:p>
        </w:tc>
        <w:tc>
          <w:tcPr>
            <w:tcW w:w="1832" w:type="dxa"/>
          </w:tcPr>
          <w:p w14:paraId="03339F6F" w14:textId="77777777" w:rsidR="002C6574" w:rsidRDefault="00000000">
            <w:pPr>
              <w:pStyle w:val="TableParagraph"/>
              <w:spacing w:line="212" w:lineRule="exact"/>
              <w:ind w:right="59"/>
              <w:rPr>
                <w:sz w:val="18"/>
              </w:rPr>
            </w:pPr>
            <w:r>
              <w:rPr>
                <w:spacing w:val="-2"/>
                <w:w w:val="105"/>
                <w:sz w:val="18"/>
              </w:rPr>
              <w:t>(214)</w:t>
            </w:r>
          </w:p>
        </w:tc>
      </w:tr>
      <w:tr w:rsidR="002C6574" w14:paraId="4751E914" w14:textId="77777777">
        <w:trPr>
          <w:trHeight w:val="230"/>
        </w:trPr>
        <w:tc>
          <w:tcPr>
            <w:tcW w:w="6574" w:type="dxa"/>
          </w:tcPr>
          <w:p w14:paraId="1070613F" w14:textId="77777777" w:rsidR="002C6574" w:rsidRDefault="00000000">
            <w:pPr>
              <w:pStyle w:val="TableParagraph"/>
              <w:spacing w:line="210" w:lineRule="exact"/>
              <w:ind w:left="69"/>
              <w:jc w:val="left"/>
              <w:rPr>
                <w:sz w:val="18"/>
              </w:rPr>
            </w:pPr>
            <w:r>
              <w:rPr>
                <w:sz w:val="18"/>
              </w:rPr>
              <w:t>Multas</w:t>
            </w:r>
            <w:r>
              <w:rPr>
                <w:spacing w:val="-4"/>
                <w:sz w:val="18"/>
              </w:rPr>
              <w:t xml:space="preserve"> </w:t>
            </w:r>
            <w:r>
              <w:rPr>
                <w:sz w:val="18"/>
              </w:rPr>
              <w:t>sobre</w:t>
            </w:r>
            <w:r>
              <w:rPr>
                <w:spacing w:val="-3"/>
                <w:sz w:val="18"/>
              </w:rPr>
              <w:t xml:space="preserve"> </w:t>
            </w:r>
            <w:r>
              <w:rPr>
                <w:spacing w:val="-2"/>
                <w:sz w:val="18"/>
              </w:rPr>
              <w:t>Tributos</w:t>
            </w:r>
          </w:p>
        </w:tc>
        <w:tc>
          <w:tcPr>
            <w:tcW w:w="1366" w:type="dxa"/>
          </w:tcPr>
          <w:p w14:paraId="424F5B12" w14:textId="77777777" w:rsidR="002C6574" w:rsidRDefault="00000000">
            <w:pPr>
              <w:pStyle w:val="TableParagraph"/>
              <w:spacing w:line="210" w:lineRule="exact"/>
              <w:ind w:right="58"/>
              <w:rPr>
                <w:sz w:val="18"/>
              </w:rPr>
            </w:pPr>
            <w:r>
              <w:rPr>
                <w:spacing w:val="-2"/>
                <w:w w:val="105"/>
                <w:sz w:val="18"/>
              </w:rPr>
              <w:t>(811)</w:t>
            </w:r>
          </w:p>
        </w:tc>
        <w:tc>
          <w:tcPr>
            <w:tcW w:w="1832" w:type="dxa"/>
          </w:tcPr>
          <w:p w14:paraId="79658951" w14:textId="77777777" w:rsidR="002C6574" w:rsidRDefault="00000000">
            <w:pPr>
              <w:pStyle w:val="TableParagraph"/>
              <w:spacing w:line="210" w:lineRule="exact"/>
              <w:ind w:right="59"/>
              <w:rPr>
                <w:sz w:val="18"/>
              </w:rPr>
            </w:pPr>
            <w:r>
              <w:rPr>
                <w:spacing w:val="-2"/>
                <w:w w:val="105"/>
                <w:sz w:val="18"/>
              </w:rPr>
              <w:t>(429)</w:t>
            </w:r>
          </w:p>
        </w:tc>
      </w:tr>
      <w:tr w:rsidR="002C6574" w14:paraId="767D5D8E" w14:textId="77777777">
        <w:trPr>
          <w:trHeight w:val="232"/>
        </w:trPr>
        <w:tc>
          <w:tcPr>
            <w:tcW w:w="6574" w:type="dxa"/>
          </w:tcPr>
          <w:p w14:paraId="2C677976" w14:textId="77777777" w:rsidR="002C6574" w:rsidRDefault="00000000">
            <w:pPr>
              <w:pStyle w:val="TableParagraph"/>
              <w:spacing w:line="212" w:lineRule="exact"/>
              <w:ind w:left="69"/>
              <w:jc w:val="left"/>
              <w:rPr>
                <w:sz w:val="18"/>
              </w:rPr>
            </w:pPr>
            <w:r>
              <w:rPr>
                <w:sz w:val="18"/>
              </w:rPr>
              <w:t>Baixa</w:t>
            </w:r>
            <w:r>
              <w:rPr>
                <w:spacing w:val="2"/>
                <w:sz w:val="18"/>
              </w:rPr>
              <w:t xml:space="preserve"> </w:t>
            </w:r>
            <w:r>
              <w:rPr>
                <w:sz w:val="18"/>
              </w:rPr>
              <w:t>do</w:t>
            </w:r>
            <w:r>
              <w:rPr>
                <w:spacing w:val="5"/>
                <w:sz w:val="18"/>
              </w:rPr>
              <w:t xml:space="preserve"> </w:t>
            </w:r>
            <w:r>
              <w:rPr>
                <w:sz w:val="18"/>
              </w:rPr>
              <w:t>ativo</w:t>
            </w:r>
            <w:r>
              <w:rPr>
                <w:spacing w:val="5"/>
                <w:sz w:val="18"/>
              </w:rPr>
              <w:t xml:space="preserve"> </w:t>
            </w:r>
            <w:r>
              <w:rPr>
                <w:spacing w:val="-2"/>
                <w:sz w:val="18"/>
              </w:rPr>
              <w:t>Imobilizado</w:t>
            </w:r>
          </w:p>
        </w:tc>
        <w:tc>
          <w:tcPr>
            <w:tcW w:w="1366" w:type="dxa"/>
          </w:tcPr>
          <w:p w14:paraId="18AB6B80" w14:textId="77777777" w:rsidR="002C6574" w:rsidRDefault="00000000">
            <w:pPr>
              <w:pStyle w:val="TableParagraph"/>
              <w:spacing w:line="212" w:lineRule="exact"/>
              <w:ind w:right="60"/>
              <w:rPr>
                <w:sz w:val="18"/>
              </w:rPr>
            </w:pPr>
            <w:r>
              <w:rPr>
                <w:spacing w:val="-10"/>
                <w:w w:val="95"/>
                <w:sz w:val="18"/>
              </w:rPr>
              <w:t>-</w:t>
            </w:r>
          </w:p>
        </w:tc>
        <w:tc>
          <w:tcPr>
            <w:tcW w:w="1832" w:type="dxa"/>
          </w:tcPr>
          <w:p w14:paraId="0347D9DB" w14:textId="77777777" w:rsidR="002C6574" w:rsidRDefault="00000000">
            <w:pPr>
              <w:pStyle w:val="TableParagraph"/>
              <w:spacing w:line="212" w:lineRule="exact"/>
              <w:ind w:right="59"/>
              <w:rPr>
                <w:sz w:val="18"/>
              </w:rPr>
            </w:pPr>
            <w:r>
              <w:rPr>
                <w:spacing w:val="-2"/>
                <w:w w:val="110"/>
                <w:sz w:val="18"/>
              </w:rPr>
              <w:t>(2.666)</w:t>
            </w:r>
          </w:p>
        </w:tc>
      </w:tr>
      <w:tr w:rsidR="002C6574" w14:paraId="5F7CF5D3" w14:textId="77777777">
        <w:trPr>
          <w:trHeight w:val="232"/>
        </w:trPr>
        <w:tc>
          <w:tcPr>
            <w:tcW w:w="6574" w:type="dxa"/>
          </w:tcPr>
          <w:p w14:paraId="427AF6DE" w14:textId="77777777" w:rsidR="002C6574" w:rsidRDefault="00000000">
            <w:pPr>
              <w:pStyle w:val="TableParagraph"/>
              <w:spacing w:line="212" w:lineRule="exact"/>
              <w:ind w:left="69"/>
              <w:jc w:val="left"/>
              <w:rPr>
                <w:sz w:val="18"/>
              </w:rPr>
            </w:pPr>
            <w:r>
              <w:rPr>
                <w:w w:val="105"/>
                <w:sz w:val="18"/>
              </w:rPr>
              <w:t>Outras</w:t>
            </w:r>
            <w:r>
              <w:rPr>
                <w:spacing w:val="-4"/>
                <w:w w:val="105"/>
                <w:sz w:val="18"/>
              </w:rPr>
              <w:t xml:space="preserve"> </w:t>
            </w:r>
            <w:r>
              <w:rPr>
                <w:w w:val="105"/>
                <w:sz w:val="18"/>
              </w:rPr>
              <w:t>Despesas</w:t>
            </w:r>
            <w:r>
              <w:rPr>
                <w:spacing w:val="-5"/>
                <w:w w:val="105"/>
                <w:sz w:val="18"/>
              </w:rPr>
              <w:t xml:space="preserve"> </w:t>
            </w:r>
            <w:r>
              <w:rPr>
                <w:spacing w:val="-2"/>
                <w:w w:val="105"/>
                <w:sz w:val="18"/>
              </w:rPr>
              <w:t>Operacionais</w:t>
            </w:r>
          </w:p>
        </w:tc>
        <w:tc>
          <w:tcPr>
            <w:tcW w:w="1366" w:type="dxa"/>
          </w:tcPr>
          <w:p w14:paraId="025D6ACF" w14:textId="77777777" w:rsidR="002C6574" w:rsidRDefault="00000000">
            <w:pPr>
              <w:pStyle w:val="TableParagraph"/>
              <w:spacing w:line="212" w:lineRule="exact"/>
              <w:ind w:right="58"/>
              <w:rPr>
                <w:sz w:val="18"/>
              </w:rPr>
            </w:pPr>
            <w:r>
              <w:rPr>
                <w:spacing w:val="-2"/>
                <w:w w:val="105"/>
                <w:sz w:val="18"/>
              </w:rPr>
              <w:t>(237)</w:t>
            </w:r>
          </w:p>
        </w:tc>
        <w:tc>
          <w:tcPr>
            <w:tcW w:w="1832" w:type="dxa"/>
          </w:tcPr>
          <w:p w14:paraId="54D7379A" w14:textId="77777777" w:rsidR="002C6574" w:rsidRDefault="00000000">
            <w:pPr>
              <w:pStyle w:val="TableParagraph"/>
              <w:spacing w:line="212" w:lineRule="exact"/>
              <w:ind w:right="60"/>
              <w:rPr>
                <w:sz w:val="18"/>
              </w:rPr>
            </w:pPr>
            <w:r>
              <w:rPr>
                <w:spacing w:val="-4"/>
                <w:w w:val="105"/>
                <w:sz w:val="18"/>
              </w:rPr>
              <w:t>(86)</w:t>
            </w:r>
          </w:p>
        </w:tc>
      </w:tr>
      <w:tr w:rsidR="002C6574" w14:paraId="226DCA41" w14:textId="77777777">
        <w:trPr>
          <w:trHeight w:val="232"/>
        </w:trPr>
        <w:tc>
          <w:tcPr>
            <w:tcW w:w="6574" w:type="dxa"/>
          </w:tcPr>
          <w:p w14:paraId="57EF7931" w14:textId="77777777" w:rsidR="002C6574" w:rsidRDefault="00000000">
            <w:pPr>
              <w:pStyle w:val="TableParagraph"/>
              <w:spacing w:before="11" w:line="201" w:lineRule="exact"/>
              <w:ind w:left="119"/>
              <w:jc w:val="left"/>
              <w:rPr>
                <w:rFonts w:ascii="Arial"/>
                <w:b/>
                <w:sz w:val="18"/>
              </w:rPr>
            </w:pPr>
            <w:r>
              <w:rPr>
                <w:rFonts w:ascii="Arial"/>
                <w:b/>
                <w:spacing w:val="-2"/>
                <w:sz w:val="18"/>
              </w:rPr>
              <w:t>Total</w:t>
            </w:r>
          </w:p>
        </w:tc>
        <w:tc>
          <w:tcPr>
            <w:tcW w:w="1366" w:type="dxa"/>
          </w:tcPr>
          <w:p w14:paraId="190928F7" w14:textId="77777777" w:rsidR="002C6574" w:rsidRDefault="00000000">
            <w:pPr>
              <w:pStyle w:val="TableParagraph"/>
              <w:spacing w:before="11" w:line="201" w:lineRule="exact"/>
              <w:ind w:right="59"/>
              <w:rPr>
                <w:rFonts w:ascii="Arial"/>
                <w:b/>
                <w:sz w:val="18"/>
              </w:rPr>
            </w:pPr>
            <w:r>
              <w:rPr>
                <w:rFonts w:ascii="Arial"/>
                <w:b/>
                <w:spacing w:val="-2"/>
                <w:sz w:val="18"/>
              </w:rPr>
              <w:t>(23.886)</w:t>
            </w:r>
          </w:p>
        </w:tc>
        <w:tc>
          <w:tcPr>
            <w:tcW w:w="1832" w:type="dxa"/>
          </w:tcPr>
          <w:p w14:paraId="0F754F3F" w14:textId="77777777" w:rsidR="002C6574" w:rsidRDefault="00000000">
            <w:pPr>
              <w:pStyle w:val="TableParagraph"/>
              <w:spacing w:before="11" w:line="201" w:lineRule="exact"/>
              <w:ind w:right="60"/>
              <w:rPr>
                <w:rFonts w:ascii="Arial"/>
                <w:b/>
                <w:sz w:val="18"/>
              </w:rPr>
            </w:pPr>
            <w:r>
              <w:rPr>
                <w:rFonts w:ascii="Arial"/>
                <w:b/>
                <w:spacing w:val="-2"/>
                <w:sz w:val="18"/>
              </w:rPr>
              <w:t>(14.792)</w:t>
            </w:r>
          </w:p>
        </w:tc>
      </w:tr>
      <w:tr w:rsidR="002C6574" w14:paraId="37D4530D" w14:textId="77777777">
        <w:trPr>
          <w:trHeight w:val="232"/>
        </w:trPr>
        <w:tc>
          <w:tcPr>
            <w:tcW w:w="6574" w:type="dxa"/>
          </w:tcPr>
          <w:p w14:paraId="68F4D316" w14:textId="77777777" w:rsidR="002C6574" w:rsidRDefault="00000000">
            <w:pPr>
              <w:pStyle w:val="TableParagraph"/>
              <w:spacing w:before="11" w:line="201" w:lineRule="exact"/>
              <w:ind w:left="69"/>
              <w:jc w:val="left"/>
              <w:rPr>
                <w:rFonts w:ascii="Arial" w:hAnsi="Arial"/>
                <w:b/>
                <w:sz w:val="18"/>
              </w:rPr>
            </w:pPr>
            <w:r>
              <w:rPr>
                <w:rFonts w:ascii="Arial" w:hAnsi="Arial"/>
                <w:b/>
                <w:sz w:val="18"/>
              </w:rPr>
              <w:t>Outras Receita/(Despesas)</w:t>
            </w:r>
            <w:r>
              <w:rPr>
                <w:rFonts w:ascii="Arial" w:hAnsi="Arial"/>
                <w:b/>
                <w:spacing w:val="-6"/>
                <w:sz w:val="18"/>
              </w:rPr>
              <w:t xml:space="preserve"> </w:t>
            </w:r>
            <w:r>
              <w:rPr>
                <w:rFonts w:ascii="Arial" w:hAnsi="Arial"/>
                <w:b/>
                <w:sz w:val="18"/>
              </w:rPr>
              <w:t>Operacionais,</w:t>
            </w:r>
            <w:r>
              <w:rPr>
                <w:rFonts w:ascii="Arial" w:hAnsi="Arial"/>
                <w:b/>
                <w:spacing w:val="1"/>
                <w:sz w:val="18"/>
              </w:rPr>
              <w:t xml:space="preserve"> </w:t>
            </w:r>
            <w:r>
              <w:rPr>
                <w:rFonts w:ascii="Arial" w:hAnsi="Arial"/>
                <w:b/>
                <w:spacing w:val="-2"/>
                <w:sz w:val="18"/>
              </w:rPr>
              <w:t>Líquida</w:t>
            </w:r>
          </w:p>
        </w:tc>
        <w:tc>
          <w:tcPr>
            <w:tcW w:w="1366" w:type="dxa"/>
          </w:tcPr>
          <w:p w14:paraId="1352EB08" w14:textId="77777777" w:rsidR="002C6574" w:rsidRDefault="00000000">
            <w:pPr>
              <w:pStyle w:val="TableParagraph"/>
              <w:spacing w:before="11" w:line="201" w:lineRule="exact"/>
              <w:ind w:right="61"/>
              <w:rPr>
                <w:rFonts w:ascii="Arial"/>
                <w:b/>
                <w:sz w:val="18"/>
              </w:rPr>
            </w:pPr>
            <w:r>
              <w:rPr>
                <w:rFonts w:ascii="Arial"/>
                <w:b/>
                <w:spacing w:val="-2"/>
                <w:sz w:val="18"/>
              </w:rPr>
              <w:t>539.166</w:t>
            </w:r>
          </w:p>
        </w:tc>
        <w:tc>
          <w:tcPr>
            <w:tcW w:w="1832" w:type="dxa"/>
          </w:tcPr>
          <w:p w14:paraId="6F0F44EE" w14:textId="77777777" w:rsidR="002C6574" w:rsidRDefault="00000000">
            <w:pPr>
              <w:pStyle w:val="TableParagraph"/>
              <w:spacing w:before="11" w:line="201" w:lineRule="exact"/>
              <w:ind w:right="62"/>
              <w:rPr>
                <w:rFonts w:ascii="Arial"/>
                <w:b/>
                <w:sz w:val="18"/>
              </w:rPr>
            </w:pPr>
            <w:r>
              <w:rPr>
                <w:rFonts w:ascii="Arial"/>
                <w:b/>
                <w:spacing w:val="-2"/>
                <w:sz w:val="18"/>
              </w:rPr>
              <w:t>358.906</w:t>
            </w:r>
          </w:p>
        </w:tc>
      </w:tr>
    </w:tbl>
    <w:p w14:paraId="6782E579" w14:textId="77777777" w:rsidR="002C6574" w:rsidRDefault="00000000">
      <w:pPr>
        <w:pStyle w:val="PargrafodaLista"/>
        <w:numPr>
          <w:ilvl w:val="0"/>
          <w:numId w:val="29"/>
        </w:numPr>
        <w:tabs>
          <w:tab w:val="left" w:pos="350"/>
        </w:tabs>
        <w:spacing w:before="163" w:line="237" w:lineRule="auto"/>
        <w:ind w:right="703" w:firstLine="0"/>
        <w:jc w:val="both"/>
        <w:rPr>
          <w:rFonts w:ascii="Segoe UI Symbol" w:hAnsi="Segoe UI Symbol"/>
        </w:rPr>
      </w:pPr>
      <w:r>
        <w:rPr>
          <w:rFonts w:ascii="Arial" w:hAnsi="Arial"/>
          <w:b/>
        </w:rPr>
        <w:t xml:space="preserve">Subvenções Orçamentárias Recebidas: </w:t>
      </w:r>
      <w:r>
        <w:rPr>
          <w:rFonts w:ascii="Segoe UI Symbol" w:hAnsi="Segoe UI Symbol"/>
        </w:rPr>
        <w:t>A partir de 1º de janeiro de 2020, a Telebras passou a ser classificada como Empresa Estatal Dependente. Em decorrência dessa condição, a Companhia passou</w:t>
      </w:r>
      <w:r>
        <w:rPr>
          <w:rFonts w:ascii="Segoe UI Symbol" w:hAnsi="Segoe UI Symbol"/>
          <w:spacing w:val="-2"/>
        </w:rPr>
        <w:t xml:space="preserve"> </w:t>
      </w:r>
      <w:r>
        <w:rPr>
          <w:rFonts w:ascii="Segoe UI Symbol" w:hAnsi="Segoe UI Symbol"/>
        </w:rPr>
        <w:t>a</w:t>
      </w:r>
      <w:r>
        <w:rPr>
          <w:rFonts w:ascii="Segoe UI Symbol" w:hAnsi="Segoe UI Symbol"/>
          <w:spacing w:val="-7"/>
        </w:rPr>
        <w:t xml:space="preserve"> </w:t>
      </w:r>
      <w:r>
        <w:rPr>
          <w:rFonts w:ascii="Segoe UI Symbol" w:hAnsi="Segoe UI Symbol"/>
        </w:rPr>
        <w:t>receber</w:t>
      </w:r>
      <w:r>
        <w:rPr>
          <w:rFonts w:ascii="Segoe UI Symbol" w:hAnsi="Segoe UI Symbol"/>
          <w:spacing w:val="-4"/>
        </w:rPr>
        <w:t xml:space="preserve"> </w:t>
      </w:r>
      <w:r>
        <w:rPr>
          <w:rFonts w:ascii="Segoe UI Symbol" w:hAnsi="Segoe UI Symbol"/>
        </w:rPr>
        <w:t>recursos</w:t>
      </w:r>
      <w:r>
        <w:rPr>
          <w:rFonts w:ascii="Segoe UI Symbol" w:hAnsi="Segoe UI Symbol"/>
          <w:spacing w:val="-2"/>
        </w:rPr>
        <w:t xml:space="preserve"> </w:t>
      </w:r>
      <w:r>
        <w:rPr>
          <w:rFonts w:ascii="Segoe UI Symbol" w:hAnsi="Segoe UI Symbol"/>
        </w:rPr>
        <w:t>orçamentários</w:t>
      </w:r>
      <w:r>
        <w:rPr>
          <w:rFonts w:ascii="Segoe UI Symbol" w:hAnsi="Segoe UI Symbol"/>
          <w:spacing w:val="-2"/>
        </w:rPr>
        <w:t xml:space="preserve"> </w:t>
      </w:r>
      <w:r>
        <w:rPr>
          <w:rFonts w:ascii="Segoe UI Symbol" w:hAnsi="Segoe UI Symbol"/>
        </w:rPr>
        <w:t>da</w:t>
      </w:r>
      <w:r>
        <w:rPr>
          <w:rFonts w:ascii="Segoe UI Symbol" w:hAnsi="Segoe UI Symbol"/>
          <w:spacing w:val="-4"/>
        </w:rPr>
        <w:t xml:space="preserve"> </w:t>
      </w:r>
      <w:r>
        <w:rPr>
          <w:rFonts w:ascii="Segoe UI Symbol" w:hAnsi="Segoe UI Symbol"/>
        </w:rPr>
        <w:t>União</w:t>
      </w:r>
      <w:r>
        <w:rPr>
          <w:rFonts w:ascii="Segoe UI Symbol" w:hAnsi="Segoe UI Symbol"/>
          <w:spacing w:val="-4"/>
        </w:rPr>
        <w:t xml:space="preserve"> </w:t>
      </w:r>
      <w:r>
        <w:rPr>
          <w:rFonts w:ascii="Segoe UI Symbol" w:hAnsi="Segoe UI Symbol"/>
        </w:rPr>
        <w:t>destinados</w:t>
      </w:r>
      <w:r>
        <w:rPr>
          <w:rFonts w:ascii="Segoe UI Symbol" w:hAnsi="Segoe UI Symbol"/>
          <w:spacing w:val="-4"/>
        </w:rPr>
        <w:t xml:space="preserve"> </w:t>
      </w:r>
      <w:r>
        <w:rPr>
          <w:rFonts w:ascii="Segoe UI Symbol" w:hAnsi="Segoe UI Symbol"/>
        </w:rPr>
        <w:t>ao</w:t>
      </w:r>
      <w:r>
        <w:rPr>
          <w:rFonts w:ascii="Segoe UI Symbol" w:hAnsi="Segoe UI Symbol"/>
          <w:spacing w:val="-2"/>
        </w:rPr>
        <w:t xml:space="preserve"> </w:t>
      </w:r>
      <w:r>
        <w:rPr>
          <w:rFonts w:ascii="Segoe UI Symbol" w:hAnsi="Segoe UI Symbol"/>
        </w:rPr>
        <w:t>pagamento</w:t>
      </w:r>
      <w:r>
        <w:rPr>
          <w:rFonts w:ascii="Segoe UI Symbol" w:hAnsi="Segoe UI Symbol"/>
          <w:spacing w:val="-4"/>
        </w:rPr>
        <w:t xml:space="preserve"> </w:t>
      </w:r>
      <w:r>
        <w:rPr>
          <w:rFonts w:ascii="Segoe UI Symbol" w:hAnsi="Segoe UI Symbol"/>
        </w:rPr>
        <w:t>de</w:t>
      </w:r>
      <w:r>
        <w:rPr>
          <w:rFonts w:ascii="Segoe UI Symbol" w:hAnsi="Segoe UI Symbol"/>
          <w:spacing w:val="-7"/>
        </w:rPr>
        <w:t xml:space="preserve"> </w:t>
      </w:r>
      <w:r>
        <w:rPr>
          <w:rFonts w:ascii="Segoe UI Symbol" w:hAnsi="Segoe UI Symbol"/>
        </w:rPr>
        <w:t>gastos</w:t>
      </w:r>
      <w:r>
        <w:rPr>
          <w:rFonts w:ascii="Segoe UI Symbol" w:hAnsi="Segoe UI Symbol"/>
          <w:spacing w:val="-4"/>
        </w:rPr>
        <w:t xml:space="preserve"> </w:t>
      </w:r>
      <w:r>
        <w:rPr>
          <w:rFonts w:ascii="Segoe UI Symbol" w:hAnsi="Segoe UI Symbol"/>
        </w:rPr>
        <w:t>com</w:t>
      </w:r>
      <w:r>
        <w:rPr>
          <w:rFonts w:ascii="Segoe UI Symbol" w:hAnsi="Segoe UI Symbol"/>
          <w:spacing w:val="-1"/>
        </w:rPr>
        <w:t xml:space="preserve"> </w:t>
      </w:r>
      <w:r>
        <w:rPr>
          <w:rFonts w:ascii="Segoe UI Symbol" w:hAnsi="Segoe UI Symbol"/>
        </w:rPr>
        <w:t>pessoal, demais custeios e investimentos.</w:t>
      </w:r>
    </w:p>
    <w:p w14:paraId="23AA454D" w14:textId="77777777" w:rsidR="002C6574" w:rsidRDefault="002C6574">
      <w:pPr>
        <w:pStyle w:val="PargrafodaLista"/>
        <w:spacing w:line="237" w:lineRule="auto"/>
        <w:jc w:val="both"/>
        <w:rPr>
          <w:rFonts w:ascii="Segoe UI Symbol" w:hAnsi="Segoe UI Symbol"/>
        </w:rPr>
        <w:sectPr w:rsidR="002C6574">
          <w:headerReference w:type="default" r:id="rId91"/>
          <w:footerReference w:type="default" r:id="rId92"/>
          <w:pgSz w:w="11910" w:h="16840"/>
          <w:pgMar w:top="2500" w:right="141" w:bottom="1500" w:left="1133" w:header="1763" w:footer="1310" w:gutter="0"/>
          <w:pgNumType w:start="1"/>
          <w:cols w:space="720"/>
        </w:sectPr>
      </w:pPr>
    </w:p>
    <w:p w14:paraId="5631557E" w14:textId="77777777" w:rsidR="002C6574" w:rsidRDefault="00000000">
      <w:pPr>
        <w:pStyle w:val="Corpodetexto"/>
        <w:spacing w:before="198"/>
        <w:ind w:left="143" w:right="703"/>
        <w:jc w:val="both"/>
      </w:pPr>
      <w:r>
        <w:lastRenderedPageBreak/>
        <w:t>Os recursos recebidos para pessoal e outros custeios são reconhecidos conforme as diretrizes do CPC</w:t>
      </w:r>
      <w:r>
        <w:rPr>
          <w:spacing w:val="40"/>
        </w:rPr>
        <w:t xml:space="preserve"> </w:t>
      </w:r>
      <w:r>
        <w:t>07</w:t>
      </w:r>
      <w:r>
        <w:rPr>
          <w:spacing w:val="40"/>
        </w:rPr>
        <w:t xml:space="preserve"> </w:t>
      </w:r>
      <w:r>
        <w:t>–</w:t>
      </w:r>
      <w:r>
        <w:rPr>
          <w:spacing w:val="40"/>
        </w:rPr>
        <w:t xml:space="preserve"> </w:t>
      </w:r>
      <w:r>
        <w:t>Subvenções</w:t>
      </w:r>
      <w:r>
        <w:rPr>
          <w:spacing w:val="40"/>
        </w:rPr>
        <w:t xml:space="preserve"> </w:t>
      </w:r>
      <w:r>
        <w:t>e</w:t>
      </w:r>
      <w:r>
        <w:rPr>
          <w:spacing w:val="40"/>
        </w:rPr>
        <w:t xml:space="preserve"> </w:t>
      </w:r>
      <w:r>
        <w:t>Assistência Governamentais,</w:t>
      </w:r>
      <w:r>
        <w:rPr>
          <w:spacing w:val="40"/>
        </w:rPr>
        <w:t xml:space="preserve"> </w:t>
      </w:r>
      <w:r>
        <w:t>sendo</w:t>
      </w:r>
      <w:r>
        <w:rPr>
          <w:spacing w:val="40"/>
        </w:rPr>
        <w:t xml:space="preserve"> </w:t>
      </w:r>
      <w:r>
        <w:t>apropriados</w:t>
      </w:r>
      <w:r>
        <w:rPr>
          <w:spacing w:val="40"/>
        </w:rPr>
        <w:t xml:space="preserve"> </w:t>
      </w:r>
      <w:r>
        <w:t>ao</w:t>
      </w:r>
      <w:r>
        <w:rPr>
          <w:spacing w:val="40"/>
        </w:rPr>
        <w:t xml:space="preserve"> </w:t>
      </w:r>
      <w:r>
        <w:t>resultado</w:t>
      </w:r>
      <w:r>
        <w:rPr>
          <w:spacing w:val="40"/>
        </w:rPr>
        <w:t xml:space="preserve"> </w:t>
      </w:r>
      <w:r>
        <w:t>de</w:t>
      </w:r>
      <w:r>
        <w:rPr>
          <w:spacing w:val="40"/>
        </w:rPr>
        <w:t xml:space="preserve"> </w:t>
      </w:r>
      <w:r>
        <w:t>acordo com a realização das despesas correspondentes.</w:t>
      </w:r>
    </w:p>
    <w:p w14:paraId="3DA9974B" w14:textId="77777777" w:rsidR="002C6574" w:rsidRDefault="00000000">
      <w:pPr>
        <w:pStyle w:val="Corpodetexto"/>
        <w:spacing w:before="288" w:line="237" w:lineRule="auto"/>
        <w:ind w:left="143" w:right="704"/>
        <w:jc w:val="both"/>
      </w:pPr>
      <w:r>
        <w:t>Já os recursos destinados a investimentos — aplicados em Ativo Imobilizado e Ativo Intangível — são registrados contabilmente como Adiantamento para Futuro Aumento</w:t>
      </w:r>
      <w:r>
        <w:rPr>
          <w:spacing w:val="-1"/>
        </w:rPr>
        <w:t xml:space="preserve"> </w:t>
      </w:r>
      <w:r>
        <w:t>de Capital (AFAC), até sua efetiva integralização.</w:t>
      </w:r>
    </w:p>
    <w:p w14:paraId="2E1DEDE4" w14:textId="77777777" w:rsidR="002C6574" w:rsidRDefault="002C6574">
      <w:pPr>
        <w:pStyle w:val="Corpodetexto"/>
        <w:spacing w:before="3"/>
      </w:pPr>
    </w:p>
    <w:p w14:paraId="4D3C0EE8" w14:textId="77777777" w:rsidR="002C6574" w:rsidRDefault="00000000">
      <w:pPr>
        <w:pStyle w:val="Corpodetexto"/>
        <w:spacing w:line="237" w:lineRule="auto"/>
        <w:ind w:left="143" w:right="704"/>
        <w:jc w:val="both"/>
      </w:pPr>
      <w:r>
        <w:t>Os montantes reconhecidos no resultado da Companhia nos exercícios de 2025 e 2024 foram destinados conforme apresentado no quadro a seguir:</w:t>
      </w:r>
    </w:p>
    <w:p w14:paraId="1414B446" w14:textId="77777777" w:rsidR="002C6574" w:rsidRDefault="002C6574">
      <w:pPr>
        <w:pStyle w:val="Corpodetexto"/>
        <w:spacing w:before="136"/>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4"/>
        <w:gridCol w:w="1366"/>
        <w:gridCol w:w="1832"/>
      </w:tblGrid>
      <w:tr w:rsidR="002C6574" w14:paraId="6258639D" w14:textId="77777777">
        <w:trPr>
          <w:trHeight w:val="230"/>
        </w:trPr>
        <w:tc>
          <w:tcPr>
            <w:tcW w:w="6574" w:type="dxa"/>
            <w:shd w:val="clear" w:color="auto" w:fill="D8D8D8"/>
          </w:tcPr>
          <w:p w14:paraId="79549AAC" w14:textId="77777777" w:rsidR="002C6574" w:rsidRDefault="00000000">
            <w:pPr>
              <w:pStyle w:val="TableParagraph"/>
              <w:spacing w:before="11" w:line="199" w:lineRule="exact"/>
              <w:ind w:left="69"/>
              <w:jc w:val="left"/>
              <w:rPr>
                <w:rFonts w:ascii="Arial" w:hAnsi="Arial"/>
                <w:b/>
                <w:sz w:val="18"/>
              </w:rPr>
            </w:pPr>
            <w:r>
              <w:rPr>
                <w:rFonts w:ascii="Arial" w:hAnsi="Arial"/>
                <w:b/>
                <w:spacing w:val="-2"/>
                <w:sz w:val="18"/>
              </w:rPr>
              <w:t>Destinação:</w:t>
            </w:r>
          </w:p>
        </w:tc>
        <w:tc>
          <w:tcPr>
            <w:tcW w:w="1366" w:type="dxa"/>
          </w:tcPr>
          <w:p w14:paraId="3DBEAFFF" w14:textId="77777777" w:rsidR="002C6574" w:rsidRDefault="00000000">
            <w:pPr>
              <w:pStyle w:val="TableParagraph"/>
              <w:spacing w:before="11" w:line="199" w:lineRule="exact"/>
              <w:ind w:left="230"/>
              <w:jc w:val="left"/>
              <w:rPr>
                <w:rFonts w:ascii="Arial"/>
                <w:b/>
                <w:sz w:val="18"/>
              </w:rPr>
            </w:pPr>
            <w:r>
              <w:rPr>
                <w:rFonts w:ascii="Arial"/>
                <w:b/>
                <w:spacing w:val="-2"/>
                <w:sz w:val="18"/>
              </w:rPr>
              <w:t>31/12/2025</w:t>
            </w:r>
          </w:p>
        </w:tc>
        <w:tc>
          <w:tcPr>
            <w:tcW w:w="1832" w:type="dxa"/>
          </w:tcPr>
          <w:p w14:paraId="577298AF" w14:textId="77777777" w:rsidR="002C6574" w:rsidRDefault="00000000">
            <w:pPr>
              <w:pStyle w:val="TableParagraph"/>
              <w:spacing w:before="11" w:line="199" w:lineRule="exact"/>
              <w:ind w:left="462"/>
              <w:jc w:val="left"/>
              <w:rPr>
                <w:rFonts w:ascii="Arial"/>
                <w:b/>
                <w:sz w:val="18"/>
              </w:rPr>
            </w:pPr>
            <w:r>
              <w:rPr>
                <w:rFonts w:ascii="Arial"/>
                <w:b/>
                <w:spacing w:val="-2"/>
                <w:sz w:val="18"/>
              </w:rPr>
              <w:t>31/12/2024</w:t>
            </w:r>
          </w:p>
        </w:tc>
      </w:tr>
      <w:tr w:rsidR="002C6574" w14:paraId="5FF1426C" w14:textId="77777777">
        <w:trPr>
          <w:trHeight w:val="232"/>
        </w:trPr>
        <w:tc>
          <w:tcPr>
            <w:tcW w:w="6574" w:type="dxa"/>
          </w:tcPr>
          <w:p w14:paraId="73F26968" w14:textId="77777777" w:rsidR="002C6574" w:rsidRDefault="00000000">
            <w:pPr>
              <w:pStyle w:val="TableParagraph"/>
              <w:spacing w:line="212" w:lineRule="exact"/>
              <w:ind w:left="69"/>
              <w:jc w:val="left"/>
              <w:rPr>
                <w:sz w:val="18"/>
              </w:rPr>
            </w:pPr>
            <w:r>
              <w:rPr>
                <w:spacing w:val="-2"/>
                <w:w w:val="110"/>
                <w:sz w:val="18"/>
              </w:rPr>
              <w:t>Pessoal</w:t>
            </w:r>
          </w:p>
        </w:tc>
        <w:tc>
          <w:tcPr>
            <w:tcW w:w="1366" w:type="dxa"/>
          </w:tcPr>
          <w:p w14:paraId="35C29FC9" w14:textId="77777777" w:rsidR="002C6574" w:rsidRDefault="00000000">
            <w:pPr>
              <w:pStyle w:val="TableParagraph"/>
              <w:spacing w:line="212" w:lineRule="exact"/>
              <w:ind w:right="61"/>
              <w:rPr>
                <w:sz w:val="18"/>
              </w:rPr>
            </w:pPr>
            <w:r>
              <w:rPr>
                <w:spacing w:val="-2"/>
                <w:w w:val="105"/>
                <w:sz w:val="18"/>
              </w:rPr>
              <w:t>88.963</w:t>
            </w:r>
          </w:p>
        </w:tc>
        <w:tc>
          <w:tcPr>
            <w:tcW w:w="1832" w:type="dxa"/>
          </w:tcPr>
          <w:p w14:paraId="0678B62B" w14:textId="77777777" w:rsidR="002C6574" w:rsidRDefault="00000000">
            <w:pPr>
              <w:pStyle w:val="TableParagraph"/>
              <w:spacing w:line="212" w:lineRule="exact"/>
              <w:ind w:right="62"/>
              <w:rPr>
                <w:sz w:val="18"/>
              </w:rPr>
            </w:pPr>
            <w:r>
              <w:rPr>
                <w:spacing w:val="-2"/>
                <w:w w:val="105"/>
                <w:sz w:val="18"/>
              </w:rPr>
              <w:t>82.110</w:t>
            </w:r>
          </w:p>
        </w:tc>
      </w:tr>
      <w:tr w:rsidR="002C6574" w14:paraId="124392DD" w14:textId="77777777">
        <w:trPr>
          <w:trHeight w:val="232"/>
        </w:trPr>
        <w:tc>
          <w:tcPr>
            <w:tcW w:w="6574" w:type="dxa"/>
          </w:tcPr>
          <w:p w14:paraId="458E08EB" w14:textId="77777777" w:rsidR="002C6574" w:rsidRDefault="00000000">
            <w:pPr>
              <w:pStyle w:val="TableParagraph"/>
              <w:spacing w:line="212" w:lineRule="exact"/>
              <w:ind w:left="69"/>
              <w:jc w:val="left"/>
              <w:rPr>
                <w:sz w:val="18"/>
              </w:rPr>
            </w:pPr>
            <w:r>
              <w:rPr>
                <w:sz w:val="18"/>
              </w:rPr>
              <w:t>Outros</w:t>
            </w:r>
            <w:r>
              <w:rPr>
                <w:spacing w:val="-5"/>
                <w:sz w:val="18"/>
              </w:rPr>
              <w:t xml:space="preserve"> </w:t>
            </w:r>
            <w:r>
              <w:rPr>
                <w:spacing w:val="-2"/>
                <w:sz w:val="18"/>
              </w:rPr>
              <w:t>Custeios</w:t>
            </w:r>
          </w:p>
        </w:tc>
        <w:tc>
          <w:tcPr>
            <w:tcW w:w="1366" w:type="dxa"/>
          </w:tcPr>
          <w:p w14:paraId="74F8F77C" w14:textId="77777777" w:rsidR="002C6574" w:rsidRDefault="00000000">
            <w:pPr>
              <w:pStyle w:val="TableParagraph"/>
              <w:spacing w:line="212" w:lineRule="exact"/>
              <w:ind w:right="61"/>
              <w:rPr>
                <w:sz w:val="18"/>
              </w:rPr>
            </w:pPr>
            <w:r>
              <w:rPr>
                <w:spacing w:val="-2"/>
                <w:w w:val="105"/>
                <w:sz w:val="18"/>
              </w:rPr>
              <w:t>83.533</w:t>
            </w:r>
          </w:p>
        </w:tc>
        <w:tc>
          <w:tcPr>
            <w:tcW w:w="1832" w:type="dxa"/>
          </w:tcPr>
          <w:p w14:paraId="0E3B4144" w14:textId="77777777" w:rsidR="002C6574" w:rsidRDefault="00000000">
            <w:pPr>
              <w:pStyle w:val="TableParagraph"/>
              <w:spacing w:line="212" w:lineRule="exact"/>
              <w:ind w:right="62"/>
              <w:rPr>
                <w:sz w:val="18"/>
              </w:rPr>
            </w:pPr>
            <w:r>
              <w:rPr>
                <w:spacing w:val="-2"/>
                <w:w w:val="105"/>
                <w:sz w:val="18"/>
              </w:rPr>
              <w:t>76.292</w:t>
            </w:r>
          </w:p>
        </w:tc>
      </w:tr>
      <w:tr w:rsidR="002C6574" w14:paraId="5B70D256" w14:textId="77777777">
        <w:trPr>
          <w:trHeight w:val="232"/>
        </w:trPr>
        <w:tc>
          <w:tcPr>
            <w:tcW w:w="6574" w:type="dxa"/>
          </w:tcPr>
          <w:p w14:paraId="4565F4DD" w14:textId="77777777" w:rsidR="002C6574" w:rsidRDefault="00000000">
            <w:pPr>
              <w:pStyle w:val="TableParagraph"/>
              <w:spacing w:line="212" w:lineRule="exact"/>
              <w:ind w:left="69"/>
              <w:jc w:val="left"/>
              <w:rPr>
                <w:sz w:val="18"/>
              </w:rPr>
            </w:pPr>
            <w:r>
              <w:rPr>
                <w:sz w:val="18"/>
              </w:rPr>
              <w:t>Contrato</w:t>
            </w:r>
            <w:r>
              <w:rPr>
                <w:spacing w:val="-8"/>
                <w:sz w:val="18"/>
              </w:rPr>
              <w:t xml:space="preserve"> </w:t>
            </w:r>
            <w:r>
              <w:rPr>
                <w:sz w:val="18"/>
              </w:rPr>
              <w:t>de</w:t>
            </w:r>
            <w:r>
              <w:rPr>
                <w:spacing w:val="-4"/>
                <w:sz w:val="18"/>
              </w:rPr>
              <w:t xml:space="preserve"> </w:t>
            </w:r>
            <w:r>
              <w:rPr>
                <w:spacing w:val="-2"/>
                <w:sz w:val="18"/>
              </w:rPr>
              <w:t>Gestão</w:t>
            </w:r>
          </w:p>
        </w:tc>
        <w:tc>
          <w:tcPr>
            <w:tcW w:w="1366" w:type="dxa"/>
          </w:tcPr>
          <w:p w14:paraId="736F8E2F" w14:textId="77777777" w:rsidR="002C6574" w:rsidRDefault="00000000">
            <w:pPr>
              <w:pStyle w:val="TableParagraph"/>
              <w:spacing w:line="212" w:lineRule="exact"/>
              <w:ind w:right="61"/>
              <w:rPr>
                <w:sz w:val="18"/>
              </w:rPr>
            </w:pPr>
            <w:r>
              <w:rPr>
                <w:spacing w:val="-2"/>
                <w:w w:val="105"/>
                <w:sz w:val="18"/>
              </w:rPr>
              <w:t>234.446</w:t>
            </w:r>
          </w:p>
        </w:tc>
        <w:tc>
          <w:tcPr>
            <w:tcW w:w="1832" w:type="dxa"/>
          </w:tcPr>
          <w:p w14:paraId="19AEA15B" w14:textId="77777777" w:rsidR="002C6574" w:rsidRDefault="00000000">
            <w:pPr>
              <w:pStyle w:val="TableParagraph"/>
              <w:spacing w:line="212" w:lineRule="exact"/>
              <w:ind w:right="62"/>
              <w:rPr>
                <w:sz w:val="18"/>
              </w:rPr>
            </w:pPr>
            <w:r>
              <w:rPr>
                <w:spacing w:val="-10"/>
                <w:w w:val="95"/>
                <w:sz w:val="18"/>
              </w:rPr>
              <w:t>-</w:t>
            </w:r>
          </w:p>
        </w:tc>
      </w:tr>
      <w:tr w:rsidR="002C6574" w14:paraId="501FAAA4" w14:textId="77777777">
        <w:trPr>
          <w:trHeight w:val="232"/>
        </w:trPr>
        <w:tc>
          <w:tcPr>
            <w:tcW w:w="6574" w:type="dxa"/>
          </w:tcPr>
          <w:p w14:paraId="12420284" w14:textId="77777777" w:rsidR="002C6574" w:rsidRDefault="00000000">
            <w:pPr>
              <w:pStyle w:val="TableParagraph"/>
              <w:spacing w:before="11" w:line="201" w:lineRule="exact"/>
              <w:ind w:left="69"/>
              <w:jc w:val="left"/>
              <w:rPr>
                <w:rFonts w:ascii="Arial"/>
                <w:b/>
                <w:sz w:val="18"/>
              </w:rPr>
            </w:pPr>
            <w:r>
              <w:rPr>
                <w:rFonts w:ascii="Arial"/>
                <w:b/>
                <w:spacing w:val="-2"/>
                <w:sz w:val="18"/>
              </w:rPr>
              <w:t>Total</w:t>
            </w:r>
          </w:p>
        </w:tc>
        <w:tc>
          <w:tcPr>
            <w:tcW w:w="1366" w:type="dxa"/>
          </w:tcPr>
          <w:p w14:paraId="09672A31" w14:textId="77777777" w:rsidR="002C6574" w:rsidRDefault="00000000">
            <w:pPr>
              <w:pStyle w:val="TableParagraph"/>
              <w:spacing w:before="11" w:line="201" w:lineRule="exact"/>
              <w:ind w:right="62"/>
              <w:rPr>
                <w:rFonts w:ascii="Arial"/>
                <w:b/>
                <w:sz w:val="18"/>
              </w:rPr>
            </w:pPr>
            <w:r>
              <w:rPr>
                <w:rFonts w:ascii="Arial"/>
                <w:b/>
                <w:spacing w:val="-2"/>
                <w:sz w:val="18"/>
              </w:rPr>
              <w:t>406.942</w:t>
            </w:r>
          </w:p>
        </w:tc>
        <w:tc>
          <w:tcPr>
            <w:tcW w:w="1832" w:type="dxa"/>
          </w:tcPr>
          <w:p w14:paraId="55CA6208" w14:textId="77777777" w:rsidR="002C6574" w:rsidRDefault="00000000">
            <w:pPr>
              <w:pStyle w:val="TableParagraph"/>
              <w:spacing w:before="11" w:line="201" w:lineRule="exact"/>
              <w:ind w:right="62"/>
              <w:rPr>
                <w:rFonts w:ascii="Arial"/>
                <w:b/>
                <w:sz w:val="18"/>
              </w:rPr>
            </w:pPr>
            <w:r>
              <w:rPr>
                <w:rFonts w:ascii="Arial"/>
                <w:b/>
                <w:spacing w:val="-2"/>
                <w:sz w:val="18"/>
              </w:rPr>
              <w:t>158.402</w:t>
            </w:r>
          </w:p>
        </w:tc>
      </w:tr>
    </w:tbl>
    <w:p w14:paraId="69E23855" w14:textId="77777777" w:rsidR="002C6574" w:rsidRDefault="00000000">
      <w:pPr>
        <w:pStyle w:val="Corpodetexto"/>
        <w:spacing w:before="155"/>
        <w:ind w:left="143" w:right="702"/>
        <w:jc w:val="both"/>
      </w:pPr>
      <w:r>
        <w:t>O aumento de 156,9% na comparação entre os exercícios de 2025 e 2024 decorre, principalmente, do maior volume de repasses orçamentários recebidos para o pagamento de gastos com pessoal e custeio, incluindo a quitação do financiamento junto à FINEP e o atendimento das obrigações estabelecidas no Contrato de Gestão.</w:t>
      </w:r>
    </w:p>
    <w:p w14:paraId="2697FE28" w14:textId="77777777" w:rsidR="002C6574" w:rsidRDefault="00000000">
      <w:pPr>
        <w:pStyle w:val="PargrafodaLista"/>
        <w:numPr>
          <w:ilvl w:val="0"/>
          <w:numId w:val="29"/>
        </w:numPr>
        <w:tabs>
          <w:tab w:val="left" w:pos="415"/>
        </w:tabs>
        <w:spacing w:before="286" w:line="237" w:lineRule="auto"/>
        <w:ind w:right="703" w:firstLine="0"/>
        <w:jc w:val="both"/>
        <w:rPr>
          <w:rFonts w:ascii="Segoe UI Symbol" w:hAnsi="Segoe UI Symbol"/>
        </w:rPr>
      </w:pPr>
      <w:r>
        <w:rPr>
          <w:rFonts w:ascii="Arial" w:hAnsi="Arial"/>
          <w:b/>
          <w:w w:val="105"/>
        </w:rPr>
        <w:t>Superávit</w:t>
      </w:r>
      <w:r>
        <w:rPr>
          <w:rFonts w:ascii="Arial" w:hAnsi="Arial"/>
          <w:b/>
          <w:spacing w:val="-7"/>
          <w:w w:val="105"/>
        </w:rPr>
        <w:t xml:space="preserve"> </w:t>
      </w:r>
      <w:r>
        <w:rPr>
          <w:rFonts w:ascii="Arial" w:hAnsi="Arial"/>
          <w:b/>
          <w:w w:val="105"/>
        </w:rPr>
        <w:t>de</w:t>
      </w:r>
      <w:r>
        <w:rPr>
          <w:rFonts w:ascii="Arial" w:hAnsi="Arial"/>
          <w:b/>
          <w:spacing w:val="-7"/>
          <w:w w:val="105"/>
        </w:rPr>
        <w:t xml:space="preserve"> </w:t>
      </w:r>
      <w:r>
        <w:rPr>
          <w:rFonts w:ascii="Arial" w:hAnsi="Arial"/>
          <w:b/>
          <w:w w:val="105"/>
        </w:rPr>
        <w:t>Previdência</w:t>
      </w:r>
      <w:r>
        <w:rPr>
          <w:rFonts w:ascii="Arial" w:hAnsi="Arial"/>
          <w:b/>
          <w:spacing w:val="-8"/>
          <w:w w:val="105"/>
        </w:rPr>
        <w:t xml:space="preserve"> </w:t>
      </w:r>
      <w:r>
        <w:rPr>
          <w:rFonts w:ascii="Arial" w:hAnsi="Arial"/>
          <w:b/>
          <w:w w:val="105"/>
        </w:rPr>
        <w:t>Privada:</w:t>
      </w:r>
      <w:r>
        <w:rPr>
          <w:rFonts w:ascii="Arial" w:hAnsi="Arial"/>
          <w:b/>
          <w:spacing w:val="-6"/>
          <w:w w:val="105"/>
        </w:rPr>
        <w:t xml:space="preserve"> </w:t>
      </w:r>
      <w:r>
        <w:rPr>
          <w:rFonts w:ascii="Segoe UI Symbol" w:hAnsi="Segoe UI Symbol"/>
          <w:w w:val="105"/>
        </w:rPr>
        <w:t>Nos</w:t>
      </w:r>
      <w:r>
        <w:rPr>
          <w:rFonts w:ascii="Segoe UI Symbol" w:hAnsi="Segoe UI Symbol"/>
          <w:spacing w:val="-6"/>
          <w:w w:val="105"/>
        </w:rPr>
        <w:t xml:space="preserve"> </w:t>
      </w:r>
      <w:r>
        <w:rPr>
          <w:rFonts w:ascii="Segoe UI Symbol" w:hAnsi="Segoe UI Symbol"/>
          <w:w w:val="105"/>
        </w:rPr>
        <w:t>exercícios</w:t>
      </w:r>
      <w:r>
        <w:rPr>
          <w:rFonts w:ascii="Segoe UI Symbol" w:hAnsi="Segoe UI Symbol"/>
          <w:spacing w:val="-6"/>
          <w:w w:val="105"/>
        </w:rPr>
        <w:t xml:space="preserve"> </w:t>
      </w:r>
      <w:r>
        <w:rPr>
          <w:rFonts w:ascii="Segoe UI Symbol" w:hAnsi="Segoe UI Symbol"/>
          <w:w w:val="105"/>
        </w:rPr>
        <w:t>de</w:t>
      </w:r>
      <w:r>
        <w:rPr>
          <w:rFonts w:ascii="Segoe UI Symbol" w:hAnsi="Segoe UI Symbol"/>
          <w:spacing w:val="-7"/>
          <w:w w:val="105"/>
        </w:rPr>
        <w:t xml:space="preserve"> </w:t>
      </w:r>
      <w:r>
        <w:rPr>
          <w:rFonts w:ascii="Segoe UI Symbol" w:hAnsi="Segoe UI Symbol"/>
          <w:w w:val="105"/>
        </w:rPr>
        <w:t>2025</w:t>
      </w:r>
      <w:r>
        <w:rPr>
          <w:rFonts w:ascii="Segoe UI Symbol" w:hAnsi="Segoe UI Symbol"/>
          <w:spacing w:val="-6"/>
          <w:w w:val="105"/>
        </w:rPr>
        <w:t xml:space="preserve"> </w:t>
      </w:r>
      <w:r>
        <w:rPr>
          <w:rFonts w:ascii="Segoe UI Symbol" w:hAnsi="Segoe UI Symbol"/>
          <w:w w:val="105"/>
        </w:rPr>
        <w:t>e</w:t>
      </w:r>
      <w:r>
        <w:rPr>
          <w:rFonts w:ascii="Segoe UI Symbol" w:hAnsi="Segoe UI Symbol"/>
          <w:spacing w:val="-7"/>
          <w:w w:val="105"/>
        </w:rPr>
        <w:t xml:space="preserve"> </w:t>
      </w:r>
      <w:r>
        <w:rPr>
          <w:rFonts w:ascii="Segoe UI Symbol" w:hAnsi="Segoe UI Symbol"/>
          <w:w w:val="105"/>
        </w:rPr>
        <w:t>2024,</w:t>
      </w:r>
      <w:r>
        <w:rPr>
          <w:rFonts w:ascii="Segoe UI Symbol" w:hAnsi="Segoe UI Symbol"/>
          <w:spacing w:val="-8"/>
          <w:w w:val="105"/>
        </w:rPr>
        <w:t xml:space="preserve"> </w:t>
      </w:r>
      <w:r>
        <w:rPr>
          <w:rFonts w:ascii="Segoe UI Symbol" w:hAnsi="Segoe UI Symbol"/>
          <w:w w:val="105"/>
        </w:rPr>
        <w:t>a</w:t>
      </w:r>
      <w:r>
        <w:rPr>
          <w:rFonts w:ascii="Segoe UI Symbol" w:hAnsi="Segoe UI Symbol"/>
          <w:spacing w:val="-7"/>
          <w:w w:val="105"/>
        </w:rPr>
        <w:t xml:space="preserve"> </w:t>
      </w:r>
      <w:r>
        <w:rPr>
          <w:rFonts w:ascii="Segoe UI Symbol" w:hAnsi="Segoe UI Symbol"/>
          <w:w w:val="105"/>
        </w:rPr>
        <w:t>Telebras</w:t>
      </w:r>
      <w:r>
        <w:rPr>
          <w:rFonts w:ascii="Segoe UI Symbol" w:hAnsi="Segoe UI Symbol"/>
          <w:spacing w:val="-6"/>
          <w:w w:val="105"/>
        </w:rPr>
        <w:t xml:space="preserve"> </w:t>
      </w:r>
      <w:r>
        <w:rPr>
          <w:rFonts w:ascii="Segoe UI Symbol" w:hAnsi="Segoe UI Symbol"/>
          <w:w w:val="105"/>
        </w:rPr>
        <w:t>reconheceu</w:t>
      </w:r>
      <w:r>
        <w:rPr>
          <w:rFonts w:ascii="Segoe UI Symbol" w:hAnsi="Segoe UI Symbol"/>
          <w:spacing w:val="-8"/>
          <w:w w:val="105"/>
        </w:rPr>
        <w:t xml:space="preserve"> </w:t>
      </w:r>
      <w:r>
        <w:rPr>
          <w:rFonts w:ascii="Segoe UI Symbol" w:hAnsi="Segoe UI Symbol"/>
          <w:w w:val="105"/>
        </w:rPr>
        <w:t xml:space="preserve">os </w:t>
      </w:r>
      <w:r>
        <w:rPr>
          <w:rFonts w:ascii="Segoe UI Symbol" w:hAnsi="Segoe UI Symbol"/>
        </w:rPr>
        <w:t xml:space="preserve">montantes de R$ 134.727 e R$ 212.038, respectivamente, referentes aos superávits dos planos PBS- </w:t>
      </w:r>
      <w:r>
        <w:rPr>
          <w:rFonts w:ascii="Segoe UI Symbol" w:hAnsi="Segoe UI Symbol"/>
          <w:w w:val="105"/>
        </w:rPr>
        <w:t>A (anos-base 2022 e 2023) e Telebrasprev (anos-base 2016, 2017, 2023 e 2024). Os valores a receber</w:t>
      </w:r>
      <w:r>
        <w:rPr>
          <w:rFonts w:ascii="Segoe UI Symbol" w:hAnsi="Segoe UI Symbol"/>
          <w:spacing w:val="-13"/>
          <w:w w:val="105"/>
        </w:rPr>
        <w:t xml:space="preserve"> </w:t>
      </w:r>
      <w:r>
        <w:rPr>
          <w:rFonts w:ascii="Segoe UI Symbol" w:hAnsi="Segoe UI Symbol"/>
          <w:w w:val="105"/>
        </w:rPr>
        <w:t>serão</w:t>
      </w:r>
      <w:r>
        <w:rPr>
          <w:rFonts w:ascii="Segoe UI Symbol" w:hAnsi="Segoe UI Symbol"/>
          <w:spacing w:val="-13"/>
          <w:w w:val="105"/>
        </w:rPr>
        <w:t xml:space="preserve"> </w:t>
      </w:r>
      <w:r>
        <w:rPr>
          <w:rFonts w:ascii="Segoe UI Symbol" w:hAnsi="Segoe UI Symbol"/>
          <w:w w:val="105"/>
        </w:rPr>
        <w:t>repassados</w:t>
      </w:r>
      <w:r>
        <w:rPr>
          <w:rFonts w:ascii="Segoe UI Symbol" w:hAnsi="Segoe UI Symbol"/>
          <w:spacing w:val="-13"/>
          <w:w w:val="105"/>
        </w:rPr>
        <w:t xml:space="preserve"> </w:t>
      </w:r>
      <w:r>
        <w:rPr>
          <w:rFonts w:ascii="Segoe UI Symbol" w:hAnsi="Segoe UI Symbol"/>
          <w:w w:val="105"/>
        </w:rPr>
        <w:t>em</w:t>
      </w:r>
      <w:r>
        <w:rPr>
          <w:rFonts w:ascii="Segoe UI Symbol" w:hAnsi="Segoe UI Symbol"/>
          <w:spacing w:val="-13"/>
          <w:w w:val="105"/>
        </w:rPr>
        <w:t xml:space="preserve"> </w:t>
      </w:r>
      <w:r>
        <w:rPr>
          <w:rFonts w:ascii="Segoe UI Symbol" w:hAnsi="Segoe UI Symbol"/>
          <w:w w:val="105"/>
        </w:rPr>
        <w:t>36</w:t>
      </w:r>
      <w:r>
        <w:rPr>
          <w:rFonts w:ascii="Segoe UI Symbol" w:hAnsi="Segoe UI Symbol"/>
          <w:spacing w:val="-12"/>
          <w:w w:val="105"/>
        </w:rPr>
        <w:t xml:space="preserve"> </w:t>
      </w:r>
      <w:r>
        <w:rPr>
          <w:rFonts w:ascii="Segoe UI Symbol" w:hAnsi="Segoe UI Symbol"/>
          <w:w w:val="105"/>
        </w:rPr>
        <w:t>parcelas</w:t>
      </w:r>
      <w:r>
        <w:rPr>
          <w:rFonts w:ascii="Segoe UI Symbol" w:hAnsi="Segoe UI Symbol"/>
          <w:spacing w:val="-13"/>
          <w:w w:val="105"/>
        </w:rPr>
        <w:t xml:space="preserve"> </w:t>
      </w:r>
      <w:r>
        <w:rPr>
          <w:rFonts w:ascii="Segoe UI Symbol" w:hAnsi="Segoe UI Symbol"/>
          <w:w w:val="105"/>
        </w:rPr>
        <w:t>mensais.</w:t>
      </w:r>
      <w:r>
        <w:rPr>
          <w:rFonts w:ascii="Segoe UI Symbol" w:hAnsi="Segoe UI Symbol"/>
          <w:spacing w:val="-10"/>
          <w:w w:val="105"/>
        </w:rPr>
        <w:t xml:space="preserve"> </w:t>
      </w:r>
      <w:r>
        <w:rPr>
          <w:rFonts w:ascii="Segoe UI Symbol" w:hAnsi="Segoe UI Symbol"/>
          <w:w w:val="105"/>
        </w:rPr>
        <w:t>Com</w:t>
      </w:r>
      <w:r>
        <w:rPr>
          <w:rFonts w:ascii="Segoe UI Symbol" w:hAnsi="Segoe UI Symbol"/>
          <w:spacing w:val="-13"/>
          <w:w w:val="105"/>
        </w:rPr>
        <w:t xml:space="preserve"> </w:t>
      </w:r>
      <w:r>
        <w:rPr>
          <w:rFonts w:ascii="Segoe UI Symbol" w:hAnsi="Segoe UI Symbol"/>
          <w:w w:val="105"/>
        </w:rPr>
        <w:t>exceção</w:t>
      </w:r>
      <w:r>
        <w:rPr>
          <w:rFonts w:ascii="Segoe UI Symbol" w:hAnsi="Segoe UI Symbol"/>
          <w:spacing w:val="-13"/>
          <w:w w:val="105"/>
        </w:rPr>
        <w:t xml:space="preserve"> </w:t>
      </w:r>
      <w:r>
        <w:rPr>
          <w:rFonts w:ascii="Segoe UI Symbol" w:hAnsi="Segoe UI Symbol"/>
          <w:w w:val="105"/>
        </w:rPr>
        <w:t>do</w:t>
      </w:r>
      <w:r>
        <w:rPr>
          <w:rFonts w:ascii="Segoe UI Symbol" w:hAnsi="Segoe UI Symbol"/>
          <w:spacing w:val="-13"/>
          <w:w w:val="105"/>
        </w:rPr>
        <w:t xml:space="preserve"> </w:t>
      </w:r>
      <w:r>
        <w:rPr>
          <w:rFonts w:ascii="Segoe UI Symbol" w:hAnsi="Segoe UI Symbol"/>
          <w:w w:val="105"/>
        </w:rPr>
        <w:t>superávit</w:t>
      </w:r>
      <w:r>
        <w:rPr>
          <w:rFonts w:ascii="Segoe UI Symbol" w:hAnsi="Segoe UI Symbol"/>
          <w:spacing w:val="-14"/>
          <w:w w:val="105"/>
        </w:rPr>
        <w:t xml:space="preserve"> </w:t>
      </w:r>
      <w:r>
        <w:rPr>
          <w:rFonts w:ascii="Segoe UI Symbol" w:hAnsi="Segoe UI Symbol"/>
          <w:w w:val="105"/>
        </w:rPr>
        <w:t>referente</w:t>
      </w:r>
      <w:r>
        <w:rPr>
          <w:rFonts w:ascii="Segoe UI Symbol" w:hAnsi="Segoe UI Symbol"/>
          <w:spacing w:val="-15"/>
          <w:w w:val="105"/>
        </w:rPr>
        <w:t xml:space="preserve"> </w:t>
      </w:r>
      <w:r>
        <w:rPr>
          <w:rFonts w:ascii="Segoe UI Symbol" w:hAnsi="Segoe UI Symbol"/>
          <w:w w:val="105"/>
        </w:rPr>
        <w:t>ao</w:t>
      </w:r>
      <w:r>
        <w:rPr>
          <w:rFonts w:ascii="Segoe UI Symbol" w:hAnsi="Segoe UI Symbol"/>
          <w:spacing w:val="-13"/>
          <w:w w:val="105"/>
        </w:rPr>
        <w:t xml:space="preserve"> </w:t>
      </w:r>
      <w:r>
        <w:rPr>
          <w:rFonts w:ascii="Segoe UI Symbol" w:hAnsi="Segoe UI Symbol"/>
          <w:w w:val="105"/>
        </w:rPr>
        <w:t>ano</w:t>
      </w:r>
      <w:r>
        <w:rPr>
          <w:rFonts w:ascii="Segoe UI Symbol" w:hAnsi="Segoe UI Symbol"/>
          <w:spacing w:val="-13"/>
          <w:w w:val="105"/>
        </w:rPr>
        <w:t xml:space="preserve"> </w:t>
      </w:r>
      <w:r>
        <w:rPr>
          <w:rFonts w:ascii="Segoe UI Symbol" w:hAnsi="Segoe UI Symbol"/>
          <w:w w:val="105"/>
        </w:rPr>
        <w:t>de 2016, que será atualizado pela rentabilidade do respectivo plano, os demais montantes serão repassados em parcelas fixas, sem atualização.</w:t>
      </w:r>
    </w:p>
    <w:p w14:paraId="2FFDFFE0" w14:textId="77777777" w:rsidR="002C6574" w:rsidRDefault="002C6574">
      <w:pPr>
        <w:pStyle w:val="Corpodetexto"/>
        <w:spacing w:before="7"/>
      </w:pPr>
    </w:p>
    <w:p w14:paraId="3E4E08D2" w14:textId="77777777" w:rsidR="002C6574" w:rsidRDefault="00000000">
      <w:pPr>
        <w:pStyle w:val="PargrafodaLista"/>
        <w:numPr>
          <w:ilvl w:val="0"/>
          <w:numId w:val="29"/>
        </w:numPr>
        <w:tabs>
          <w:tab w:val="left" w:pos="459"/>
        </w:tabs>
        <w:spacing w:line="237" w:lineRule="auto"/>
        <w:ind w:right="702" w:firstLine="0"/>
        <w:jc w:val="both"/>
        <w:rPr>
          <w:rFonts w:ascii="Segoe UI Symbol" w:hAnsi="Segoe UI Symbol"/>
        </w:rPr>
      </w:pPr>
      <w:r>
        <w:rPr>
          <w:rFonts w:ascii="Arial" w:hAnsi="Arial"/>
          <w:b/>
        </w:rPr>
        <w:t>Recuperação</w:t>
      </w:r>
      <w:r>
        <w:rPr>
          <w:rFonts w:ascii="Arial" w:hAnsi="Arial"/>
          <w:b/>
          <w:spacing w:val="-3"/>
        </w:rPr>
        <w:t xml:space="preserve"> </w:t>
      </w:r>
      <w:r>
        <w:rPr>
          <w:rFonts w:ascii="Arial" w:hAnsi="Arial"/>
          <w:b/>
        </w:rPr>
        <w:t>de</w:t>
      </w:r>
      <w:r>
        <w:rPr>
          <w:rFonts w:ascii="Arial" w:hAnsi="Arial"/>
          <w:b/>
          <w:spacing w:val="-5"/>
        </w:rPr>
        <w:t xml:space="preserve"> </w:t>
      </w:r>
      <w:r>
        <w:rPr>
          <w:rFonts w:ascii="Arial" w:hAnsi="Arial"/>
          <w:b/>
        </w:rPr>
        <w:t>Tributos</w:t>
      </w:r>
      <w:r>
        <w:rPr>
          <w:rFonts w:ascii="Arial" w:hAnsi="Arial"/>
          <w:b/>
          <w:spacing w:val="-3"/>
        </w:rPr>
        <w:t xml:space="preserve"> </w:t>
      </w:r>
      <w:r>
        <w:rPr>
          <w:rFonts w:ascii="Arial" w:hAnsi="Arial"/>
          <w:b/>
        </w:rPr>
        <w:t>- Créditos</w:t>
      </w:r>
      <w:r>
        <w:rPr>
          <w:rFonts w:ascii="Arial" w:hAnsi="Arial"/>
          <w:b/>
          <w:spacing w:val="-2"/>
        </w:rPr>
        <w:t xml:space="preserve"> </w:t>
      </w:r>
      <w:r>
        <w:rPr>
          <w:rFonts w:ascii="Arial" w:hAnsi="Arial"/>
          <w:b/>
        </w:rPr>
        <w:t>sobre</w:t>
      </w:r>
      <w:r>
        <w:rPr>
          <w:rFonts w:ascii="Arial" w:hAnsi="Arial"/>
          <w:b/>
          <w:spacing w:val="-5"/>
        </w:rPr>
        <w:t xml:space="preserve"> </w:t>
      </w:r>
      <w:r>
        <w:rPr>
          <w:rFonts w:ascii="Arial" w:hAnsi="Arial"/>
          <w:b/>
        </w:rPr>
        <w:t xml:space="preserve">insumos: </w:t>
      </w:r>
      <w:r>
        <w:rPr>
          <w:rFonts w:ascii="Segoe UI Symbol" w:hAnsi="Segoe UI Symbol"/>
        </w:rPr>
        <w:t>Representam</w:t>
      </w:r>
      <w:r>
        <w:rPr>
          <w:rFonts w:ascii="Segoe UI Symbol" w:hAnsi="Segoe UI Symbol"/>
          <w:spacing w:val="-5"/>
        </w:rPr>
        <w:t xml:space="preserve"> </w:t>
      </w:r>
      <w:r>
        <w:rPr>
          <w:rFonts w:ascii="Segoe UI Symbol" w:hAnsi="Segoe UI Symbol"/>
        </w:rPr>
        <w:t>os créditos</w:t>
      </w:r>
      <w:r>
        <w:rPr>
          <w:rFonts w:ascii="Segoe UI Symbol" w:hAnsi="Segoe UI Symbol"/>
          <w:spacing w:val="-2"/>
        </w:rPr>
        <w:t xml:space="preserve"> </w:t>
      </w:r>
      <w:r>
        <w:rPr>
          <w:rFonts w:ascii="Segoe UI Symbol" w:hAnsi="Segoe UI Symbol"/>
        </w:rPr>
        <w:t>obtidos</w:t>
      </w:r>
      <w:r>
        <w:rPr>
          <w:rFonts w:ascii="Segoe UI Symbol" w:hAnsi="Segoe UI Symbol"/>
          <w:spacing w:val="-2"/>
        </w:rPr>
        <w:t xml:space="preserve"> </w:t>
      </w:r>
      <w:r>
        <w:rPr>
          <w:rFonts w:ascii="Segoe UI Symbol" w:hAnsi="Segoe UI Symbol"/>
        </w:rPr>
        <w:t>sobre</w:t>
      </w:r>
      <w:r>
        <w:rPr>
          <w:rFonts w:ascii="Segoe UI Symbol" w:hAnsi="Segoe UI Symbol"/>
          <w:spacing w:val="-4"/>
        </w:rPr>
        <w:t xml:space="preserve"> </w:t>
      </w:r>
      <w:r>
        <w:rPr>
          <w:rFonts w:ascii="Segoe UI Symbol" w:hAnsi="Segoe UI Symbol"/>
        </w:rPr>
        <w:t xml:space="preserve">a </w:t>
      </w:r>
      <w:r>
        <w:rPr>
          <w:rFonts w:ascii="Segoe UI Symbol" w:hAnsi="Segoe UI Symbol"/>
          <w:w w:val="105"/>
        </w:rPr>
        <w:t>compra</w:t>
      </w:r>
      <w:r>
        <w:rPr>
          <w:rFonts w:ascii="Segoe UI Symbol" w:hAnsi="Segoe UI Symbol"/>
          <w:spacing w:val="-16"/>
          <w:w w:val="105"/>
        </w:rPr>
        <w:t xml:space="preserve"> </w:t>
      </w:r>
      <w:r>
        <w:rPr>
          <w:rFonts w:ascii="Segoe UI Symbol" w:hAnsi="Segoe UI Symbol"/>
          <w:w w:val="105"/>
        </w:rPr>
        <w:t>de</w:t>
      </w:r>
      <w:r>
        <w:rPr>
          <w:rFonts w:ascii="Segoe UI Symbol" w:hAnsi="Segoe UI Symbol"/>
          <w:spacing w:val="-16"/>
          <w:w w:val="105"/>
        </w:rPr>
        <w:t xml:space="preserve"> </w:t>
      </w:r>
      <w:r>
        <w:rPr>
          <w:rFonts w:ascii="Segoe UI Symbol" w:hAnsi="Segoe UI Symbol"/>
          <w:w w:val="105"/>
        </w:rPr>
        <w:t>insumos</w:t>
      </w:r>
      <w:r>
        <w:rPr>
          <w:rFonts w:ascii="Segoe UI Symbol" w:hAnsi="Segoe UI Symbol"/>
          <w:spacing w:val="-16"/>
          <w:w w:val="105"/>
        </w:rPr>
        <w:t xml:space="preserve"> </w:t>
      </w:r>
      <w:r>
        <w:rPr>
          <w:rFonts w:ascii="Segoe UI Symbol" w:hAnsi="Segoe UI Symbol"/>
          <w:w w:val="105"/>
        </w:rPr>
        <w:t>vinculados</w:t>
      </w:r>
      <w:r>
        <w:rPr>
          <w:rFonts w:ascii="Segoe UI Symbol" w:hAnsi="Segoe UI Symbol"/>
          <w:spacing w:val="-16"/>
          <w:w w:val="105"/>
        </w:rPr>
        <w:t xml:space="preserve"> </w:t>
      </w:r>
      <w:r>
        <w:rPr>
          <w:rFonts w:ascii="Segoe UI Symbol" w:hAnsi="Segoe UI Symbol"/>
          <w:w w:val="105"/>
        </w:rPr>
        <w:t>à</w:t>
      </w:r>
      <w:r>
        <w:rPr>
          <w:rFonts w:ascii="Segoe UI Symbol" w:hAnsi="Segoe UI Symbol"/>
          <w:spacing w:val="-16"/>
          <w:w w:val="105"/>
        </w:rPr>
        <w:t xml:space="preserve"> </w:t>
      </w:r>
      <w:r>
        <w:rPr>
          <w:rFonts w:ascii="Segoe UI Symbol" w:hAnsi="Segoe UI Symbol"/>
          <w:w w:val="105"/>
        </w:rPr>
        <w:t>prestação</w:t>
      </w:r>
      <w:r>
        <w:rPr>
          <w:rFonts w:ascii="Segoe UI Symbol" w:hAnsi="Segoe UI Symbol"/>
          <w:spacing w:val="-15"/>
          <w:w w:val="105"/>
        </w:rPr>
        <w:t xml:space="preserve"> </w:t>
      </w:r>
      <w:r>
        <w:rPr>
          <w:rFonts w:ascii="Segoe UI Symbol" w:hAnsi="Segoe UI Symbol"/>
          <w:w w:val="105"/>
        </w:rPr>
        <w:t>de</w:t>
      </w:r>
      <w:r>
        <w:rPr>
          <w:rFonts w:ascii="Segoe UI Symbol" w:hAnsi="Segoe UI Symbol"/>
          <w:spacing w:val="-16"/>
          <w:w w:val="105"/>
        </w:rPr>
        <w:t xml:space="preserve"> </w:t>
      </w:r>
      <w:r>
        <w:rPr>
          <w:rFonts w:ascii="Segoe UI Symbol" w:hAnsi="Segoe UI Symbol"/>
          <w:w w:val="105"/>
        </w:rPr>
        <w:t>serviços,</w:t>
      </w:r>
      <w:r>
        <w:rPr>
          <w:rFonts w:ascii="Segoe UI Symbol" w:hAnsi="Segoe UI Symbol"/>
          <w:spacing w:val="-16"/>
          <w:w w:val="105"/>
        </w:rPr>
        <w:t xml:space="preserve"> </w:t>
      </w:r>
      <w:r>
        <w:rPr>
          <w:rFonts w:ascii="Segoe UI Symbol" w:hAnsi="Segoe UI Symbol"/>
          <w:w w:val="105"/>
        </w:rPr>
        <w:t>os</w:t>
      </w:r>
      <w:r>
        <w:rPr>
          <w:rFonts w:ascii="Segoe UI Symbol" w:hAnsi="Segoe UI Symbol"/>
          <w:spacing w:val="-16"/>
          <w:w w:val="105"/>
        </w:rPr>
        <w:t xml:space="preserve"> </w:t>
      </w:r>
      <w:r>
        <w:rPr>
          <w:rFonts w:ascii="Segoe UI Symbol" w:hAnsi="Segoe UI Symbol"/>
          <w:w w:val="105"/>
        </w:rPr>
        <w:t>quais</w:t>
      </w:r>
      <w:r>
        <w:rPr>
          <w:rFonts w:ascii="Segoe UI Symbol" w:hAnsi="Segoe UI Symbol"/>
          <w:spacing w:val="-16"/>
          <w:w w:val="105"/>
        </w:rPr>
        <w:t xml:space="preserve"> </w:t>
      </w:r>
      <w:r>
        <w:rPr>
          <w:rFonts w:ascii="Segoe UI Symbol" w:hAnsi="Segoe UI Symbol"/>
          <w:w w:val="105"/>
        </w:rPr>
        <w:t>são</w:t>
      </w:r>
      <w:r>
        <w:rPr>
          <w:rFonts w:ascii="Segoe UI Symbol" w:hAnsi="Segoe UI Symbol"/>
          <w:spacing w:val="-16"/>
          <w:w w:val="105"/>
        </w:rPr>
        <w:t xml:space="preserve"> </w:t>
      </w:r>
      <w:r>
        <w:rPr>
          <w:rFonts w:ascii="Segoe UI Symbol" w:hAnsi="Segoe UI Symbol"/>
          <w:w w:val="105"/>
        </w:rPr>
        <w:t>compensados</w:t>
      </w:r>
      <w:r>
        <w:rPr>
          <w:rFonts w:ascii="Segoe UI Symbol" w:hAnsi="Segoe UI Symbol"/>
          <w:spacing w:val="-15"/>
          <w:w w:val="105"/>
        </w:rPr>
        <w:t xml:space="preserve"> </w:t>
      </w:r>
      <w:r>
        <w:rPr>
          <w:rFonts w:ascii="Segoe UI Symbol" w:hAnsi="Segoe UI Symbol"/>
          <w:w w:val="105"/>
        </w:rPr>
        <w:t>no</w:t>
      </w:r>
      <w:r>
        <w:rPr>
          <w:rFonts w:ascii="Segoe UI Symbol" w:hAnsi="Segoe UI Symbol"/>
          <w:spacing w:val="-16"/>
          <w:w w:val="105"/>
        </w:rPr>
        <w:t xml:space="preserve"> </w:t>
      </w:r>
      <w:r>
        <w:rPr>
          <w:rFonts w:ascii="Segoe UI Symbol" w:hAnsi="Segoe UI Symbol"/>
          <w:w w:val="105"/>
        </w:rPr>
        <w:t xml:space="preserve">pagamento </w:t>
      </w:r>
      <w:r>
        <w:rPr>
          <w:rFonts w:ascii="Segoe UI Symbol" w:hAnsi="Segoe UI Symbol"/>
          <w:spacing w:val="-2"/>
          <w:w w:val="105"/>
        </w:rPr>
        <w:t>das</w:t>
      </w:r>
      <w:r>
        <w:rPr>
          <w:rFonts w:ascii="Segoe UI Symbol" w:hAnsi="Segoe UI Symbol"/>
          <w:spacing w:val="-8"/>
          <w:w w:val="105"/>
        </w:rPr>
        <w:t xml:space="preserve"> </w:t>
      </w:r>
      <w:r>
        <w:rPr>
          <w:rFonts w:ascii="Segoe UI Symbol" w:hAnsi="Segoe UI Symbol"/>
          <w:spacing w:val="-2"/>
          <w:w w:val="105"/>
        </w:rPr>
        <w:t>contribuições</w:t>
      </w:r>
      <w:r>
        <w:rPr>
          <w:rFonts w:ascii="Segoe UI Symbol" w:hAnsi="Segoe UI Symbol"/>
          <w:spacing w:val="-8"/>
          <w:w w:val="105"/>
        </w:rPr>
        <w:t xml:space="preserve"> </w:t>
      </w:r>
      <w:r>
        <w:rPr>
          <w:rFonts w:ascii="Segoe UI Symbol" w:hAnsi="Segoe UI Symbol"/>
          <w:spacing w:val="-2"/>
          <w:w w:val="105"/>
        </w:rPr>
        <w:t>de</w:t>
      </w:r>
      <w:r>
        <w:rPr>
          <w:rFonts w:ascii="Segoe UI Symbol" w:hAnsi="Segoe UI Symbol"/>
          <w:spacing w:val="-8"/>
          <w:w w:val="105"/>
        </w:rPr>
        <w:t xml:space="preserve"> </w:t>
      </w:r>
      <w:r>
        <w:rPr>
          <w:rFonts w:ascii="Segoe UI Symbol" w:hAnsi="Segoe UI Symbol"/>
          <w:spacing w:val="-2"/>
          <w:w w:val="105"/>
        </w:rPr>
        <w:t>PIS</w:t>
      </w:r>
      <w:r>
        <w:rPr>
          <w:rFonts w:ascii="Segoe UI Symbol" w:hAnsi="Segoe UI Symbol"/>
          <w:spacing w:val="-12"/>
          <w:w w:val="105"/>
        </w:rPr>
        <w:t xml:space="preserve"> </w:t>
      </w:r>
      <w:r>
        <w:rPr>
          <w:rFonts w:ascii="Segoe UI Symbol" w:hAnsi="Segoe UI Symbol"/>
          <w:spacing w:val="-2"/>
          <w:w w:val="105"/>
        </w:rPr>
        <w:t>e</w:t>
      </w:r>
      <w:r>
        <w:rPr>
          <w:rFonts w:ascii="Segoe UI Symbol" w:hAnsi="Segoe UI Symbol"/>
          <w:spacing w:val="-8"/>
          <w:w w:val="105"/>
        </w:rPr>
        <w:t xml:space="preserve"> </w:t>
      </w:r>
      <w:r>
        <w:rPr>
          <w:rFonts w:ascii="Segoe UI Symbol" w:hAnsi="Segoe UI Symbol"/>
          <w:spacing w:val="-2"/>
          <w:w w:val="105"/>
        </w:rPr>
        <w:t>Cofins.</w:t>
      </w:r>
      <w:r>
        <w:rPr>
          <w:rFonts w:ascii="Segoe UI Symbol" w:hAnsi="Segoe UI Symbol"/>
          <w:spacing w:val="-6"/>
          <w:w w:val="105"/>
        </w:rPr>
        <w:t xml:space="preserve"> </w:t>
      </w:r>
      <w:r>
        <w:rPr>
          <w:rFonts w:ascii="Segoe UI Symbol" w:hAnsi="Segoe UI Symbol"/>
          <w:spacing w:val="-2"/>
          <w:w w:val="105"/>
        </w:rPr>
        <w:t>Em</w:t>
      </w:r>
      <w:r>
        <w:rPr>
          <w:rFonts w:ascii="Segoe UI Symbol" w:hAnsi="Segoe UI Symbol"/>
          <w:spacing w:val="-7"/>
          <w:w w:val="105"/>
        </w:rPr>
        <w:t xml:space="preserve"> </w:t>
      </w:r>
      <w:r>
        <w:rPr>
          <w:rFonts w:ascii="Segoe UI Symbol" w:hAnsi="Segoe UI Symbol"/>
          <w:spacing w:val="-2"/>
          <w:w w:val="105"/>
        </w:rPr>
        <w:t>2025,</w:t>
      </w:r>
      <w:r>
        <w:rPr>
          <w:rFonts w:ascii="Segoe UI Symbol" w:hAnsi="Segoe UI Symbol"/>
          <w:spacing w:val="-8"/>
          <w:w w:val="105"/>
        </w:rPr>
        <w:t xml:space="preserve"> </w:t>
      </w:r>
      <w:r>
        <w:rPr>
          <w:rFonts w:ascii="Segoe UI Symbol" w:hAnsi="Segoe UI Symbol"/>
          <w:spacing w:val="-2"/>
          <w:w w:val="105"/>
        </w:rPr>
        <w:t>registrou-se</w:t>
      </w:r>
      <w:r>
        <w:rPr>
          <w:rFonts w:ascii="Segoe UI Symbol" w:hAnsi="Segoe UI Symbol"/>
          <w:spacing w:val="-8"/>
          <w:w w:val="105"/>
        </w:rPr>
        <w:t xml:space="preserve"> </w:t>
      </w:r>
      <w:r>
        <w:rPr>
          <w:rFonts w:ascii="Segoe UI Symbol" w:hAnsi="Segoe UI Symbol"/>
          <w:spacing w:val="-2"/>
          <w:w w:val="105"/>
        </w:rPr>
        <w:t>uma</w:t>
      </w:r>
      <w:r>
        <w:rPr>
          <w:rFonts w:ascii="Segoe UI Symbol" w:hAnsi="Segoe UI Symbol"/>
          <w:spacing w:val="-8"/>
          <w:w w:val="105"/>
        </w:rPr>
        <w:t xml:space="preserve"> </w:t>
      </w:r>
      <w:r>
        <w:rPr>
          <w:rFonts w:ascii="Segoe UI Symbol" w:hAnsi="Segoe UI Symbol"/>
          <w:spacing w:val="-2"/>
          <w:w w:val="105"/>
        </w:rPr>
        <w:t>redução</w:t>
      </w:r>
      <w:r>
        <w:rPr>
          <w:rFonts w:ascii="Segoe UI Symbol" w:hAnsi="Segoe UI Symbol"/>
          <w:spacing w:val="-8"/>
          <w:w w:val="105"/>
        </w:rPr>
        <w:t xml:space="preserve"> </w:t>
      </w:r>
      <w:r>
        <w:rPr>
          <w:rFonts w:ascii="Segoe UI Symbol" w:hAnsi="Segoe UI Symbol"/>
          <w:spacing w:val="-2"/>
          <w:w w:val="105"/>
        </w:rPr>
        <w:t>de</w:t>
      </w:r>
      <w:r>
        <w:rPr>
          <w:rFonts w:ascii="Segoe UI Symbol" w:hAnsi="Segoe UI Symbol"/>
          <w:spacing w:val="-10"/>
          <w:w w:val="105"/>
        </w:rPr>
        <w:t xml:space="preserve"> </w:t>
      </w:r>
      <w:r>
        <w:rPr>
          <w:rFonts w:ascii="Segoe UI Symbol" w:hAnsi="Segoe UI Symbol"/>
          <w:spacing w:val="-2"/>
          <w:w w:val="105"/>
        </w:rPr>
        <w:t>14,4%</w:t>
      </w:r>
      <w:r>
        <w:rPr>
          <w:rFonts w:ascii="Segoe UI Symbol" w:hAnsi="Segoe UI Symbol"/>
          <w:spacing w:val="-10"/>
          <w:w w:val="105"/>
        </w:rPr>
        <w:t xml:space="preserve"> </w:t>
      </w:r>
      <w:r>
        <w:rPr>
          <w:rFonts w:ascii="Segoe UI Symbol" w:hAnsi="Segoe UI Symbol"/>
          <w:spacing w:val="-2"/>
          <w:w w:val="105"/>
        </w:rPr>
        <w:t>em</w:t>
      </w:r>
      <w:r>
        <w:rPr>
          <w:rFonts w:ascii="Segoe UI Symbol" w:hAnsi="Segoe UI Symbol"/>
          <w:spacing w:val="-9"/>
          <w:w w:val="105"/>
        </w:rPr>
        <w:t xml:space="preserve"> </w:t>
      </w:r>
      <w:r>
        <w:rPr>
          <w:rFonts w:ascii="Segoe UI Symbol" w:hAnsi="Segoe UI Symbol"/>
          <w:spacing w:val="-2"/>
          <w:w w:val="105"/>
        </w:rPr>
        <w:t>relação</w:t>
      </w:r>
      <w:r>
        <w:rPr>
          <w:rFonts w:ascii="Segoe UI Symbol" w:hAnsi="Segoe UI Symbol"/>
          <w:spacing w:val="-8"/>
          <w:w w:val="105"/>
        </w:rPr>
        <w:t xml:space="preserve"> </w:t>
      </w:r>
      <w:r>
        <w:rPr>
          <w:rFonts w:ascii="Segoe UI Symbol" w:hAnsi="Segoe UI Symbol"/>
          <w:spacing w:val="-2"/>
          <w:w w:val="105"/>
        </w:rPr>
        <w:t>ao</w:t>
      </w:r>
      <w:r>
        <w:rPr>
          <w:rFonts w:ascii="Segoe UI Symbol" w:hAnsi="Segoe UI Symbol"/>
          <w:spacing w:val="-8"/>
          <w:w w:val="105"/>
        </w:rPr>
        <w:t xml:space="preserve"> </w:t>
      </w:r>
      <w:r>
        <w:rPr>
          <w:rFonts w:ascii="Segoe UI Symbol" w:hAnsi="Segoe UI Symbol"/>
          <w:spacing w:val="-2"/>
          <w:w w:val="105"/>
        </w:rPr>
        <w:t xml:space="preserve">ano </w:t>
      </w:r>
      <w:r>
        <w:rPr>
          <w:rFonts w:ascii="Segoe UI Symbol" w:hAnsi="Segoe UI Symbol"/>
          <w:w w:val="105"/>
        </w:rPr>
        <w:t>de 2024.</w:t>
      </w:r>
    </w:p>
    <w:p w14:paraId="52B52EF7" w14:textId="77777777" w:rsidR="002C6574" w:rsidRDefault="002C6574">
      <w:pPr>
        <w:pStyle w:val="Corpodetexto"/>
        <w:spacing w:before="3"/>
      </w:pPr>
    </w:p>
    <w:p w14:paraId="0BD788EF" w14:textId="77777777" w:rsidR="002C6574" w:rsidRDefault="00000000">
      <w:pPr>
        <w:pStyle w:val="PargrafodaLista"/>
        <w:numPr>
          <w:ilvl w:val="0"/>
          <w:numId w:val="29"/>
        </w:numPr>
        <w:tabs>
          <w:tab w:val="left" w:pos="466"/>
        </w:tabs>
        <w:spacing w:line="237" w:lineRule="auto"/>
        <w:ind w:right="703" w:firstLine="0"/>
        <w:jc w:val="both"/>
        <w:rPr>
          <w:rFonts w:ascii="Segoe UI Symbol" w:hAnsi="Segoe UI Symbol"/>
        </w:rPr>
      </w:pPr>
      <w:r>
        <w:rPr>
          <w:rFonts w:ascii="Arial" w:hAnsi="Arial"/>
          <w:b/>
        </w:rPr>
        <w:t xml:space="preserve">Ativos Contingentes: </w:t>
      </w:r>
      <w:r>
        <w:rPr>
          <w:rFonts w:ascii="Segoe UI Symbol" w:hAnsi="Segoe UI Symbol"/>
        </w:rPr>
        <w:t>O saldo refere-se ao ganho decorrente de decisões judiciais favoráveis à Telebras. No exercício de 2025, a Companhia obteve êxito em ação movida contra a Federação Internacional de Futebol (FIFA), relativa a pendências contratuais originadas durante a realização da Copa do Mundo de 2014.</w:t>
      </w:r>
    </w:p>
    <w:p w14:paraId="66ACEC13" w14:textId="77777777" w:rsidR="002C6574" w:rsidRDefault="002C6574">
      <w:pPr>
        <w:pStyle w:val="Corpodetexto"/>
        <w:spacing w:before="3"/>
      </w:pPr>
    </w:p>
    <w:p w14:paraId="12E97809" w14:textId="77777777" w:rsidR="002C6574" w:rsidRDefault="00000000">
      <w:pPr>
        <w:pStyle w:val="Corpodetexto"/>
        <w:spacing w:line="237" w:lineRule="auto"/>
        <w:ind w:left="143" w:right="705"/>
        <w:jc w:val="both"/>
      </w:pPr>
      <w:r>
        <w:t>Após</w:t>
      </w:r>
      <w:r>
        <w:rPr>
          <w:spacing w:val="32"/>
        </w:rPr>
        <w:t xml:space="preserve"> </w:t>
      </w:r>
      <w:r>
        <w:t>a sentença</w:t>
      </w:r>
      <w:r>
        <w:rPr>
          <w:spacing w:val="32"/>
        </w:rPr>
        <w:t xml:space="preserve"> </w:t>
      </w:r>
      <w:r>
        <w:t>favorável,</w:t>
      </w:r>
      <w:r>
        <w:rPr>
          <w:spacing w:val="32"/>
        </w:rPr>
        <w:t xml:space="preserve"> </w:t>
      </w:r>
      <w:r>
        <w:t>as</w:t>
      </w:r>
      <w:r>
        <w:rPr>
          <w:spacing w:val="32"/>
        </w:rPr>
        <w:t xml:space="preserve"> </w:t>
      </w:r>
      <w:r>
        <w:t>partes formalizaram</w:t>
      </w:r>
      <w:r>
        <w:rPr>
          <w:spacing w:val="33"/>
        </w:rPr>
        <w:t xml:space="preserve"> </w:t>
      </w:r>
      <w:r>
        <w:t>acordo</w:t>
      </w:r>
      <w:r>
        <w:rPr>
          <w:spacing w:val="32"/>
        </w:rPr>
        <w:t xml:space="preserve"> </w:t>
      </w:r>
      <w:r>
        <w:t>no qual</w:t>
      </w:r>
      <w:r>
        <w:rPr>
          <w:spacing w:val="32"/>
        </w:rPr>
        <w:t xml:space="preserve"> </w:t>
      </w:r>
      <w:r>
        <w:t>a FIFA renunciou aos recursos que ainda poderia interpor e reconheceu a obrigação de quitar o valor devido, acrescido de atualização monetária. Em decorrência desse acordo, a Telebras recebeu o montante de R$ 14.922, valor</w:t>
      </w:r>
      <w:r>
        <w:rPr>
          <w:spacing w:val="-5"/>
        </w:rPr>
        <w:t xml:space="preserve"> </w:t>
      </w:r>
      <w:r>
        <w:t>que</w:t>
      </w:r>
      <w:r>
        <w:rPr>
          <w:spacing w:val="-10"/>
        </w:rPr>
        <w:t xml:space="preserve"> </w:t>
      </w:r>
      <w:r>
        <w:t>foi</w:t>
      </w:r>
      <w:r>
        <w:rPr>
          <w:spacing w:val="-6"/>
        </w:rPr>
        <w:t xml:space="preserve"> </w:t>
      </w:r>
      <w:r>
        <w:t>contabilizado</w:t>
      </w:r>
      <w:r>
        <w:rPr>
          <w:spacing w:val="-6"/>
        </w:rPr>
        <w:t xml:space="preserve"> </w:t>
      </w:r>
      <w:r>
        <w:t>como</w:t>
      </w:r>
      <w:r>
        <w:rPr>
          <w:spacing w:val="-10"/>
        </w:rPr>
        <w:t xml:space="preserve"> </w:t>
      </w:r>
      <w:r>
        <w:t>ingresso</w:t>
      </w:r>
      <w:r>
        <w:rPr>
          <w:spacing w:val="-7"/>
        </w:rPr>
        <w:t xml:space="preserve"> </w:t>
      </w:r>
      <w:r>
        <w:t>extraordinário</w:t>
      </w:r>
      <w:r>
        <w:rPr>
          <w:spacing w:val="-7"/>
        </w:rPr>
        <w:t xml:space="preserve"> </w:t>
      </w:r>
      <w:r>
        <w:t>decorrente</w:t>
      </w:r>
      <w:r>
        <w:rPr>
          <w:spacing w:val="-6"/>
        </w:rPr>
        <w:t xml:space="preserve"> </w:t>
      </w:r>
      <w:r>
        <w:t>de</w:t>
      </w:r>
      <w:r>
        <w:rPr>
          <w:spacing w:val="-7"/>
        </w:rPr>
        <w:t xml:space="preserve"> </w:t>
      </w:r>
      <w:r>
        <w:t>decisão</w:t>
      </w:r>
      <w:r>
        <w:rPr>
          <w:spacing w:val="-6"/>
        </w:rPr>
        <w:t xml:space="preserve"> </w:t>
      </w:r>
      <w:r>
        <w:t>judicial</w:t>
      </w:r>
      <w:r>
        <w:rPr>
          <w:spacing w:val="-6"/>
        </w:rPr>
        <w:t xml:space="preserve"> </w:t>
      </w:r>
      <w:r>
        <w:t>transitada</w:t>
      </w:r>
      <w:r>
        <w:rPr>
          <w:spacing w:val="-7"/>
        </w:rPr>
        <w:t xml:space="preserve"> </w:t>
      </w:r>
      <w:r>
        <w:t xml:space="preserve">em </w:t>
      </w:r>
      <w:r>
        <w:rPr>
          <w:spacing w:val="-2"/>
        </w:rPr>
        <w:t>julgado.</w:t>
      </w:r>
    </w:p>
    <w:p w14:paraId="21AEB0A9" w14:textId="77777777" w:rsidR="002C6574" w:rsidRDefault="002C6574">
      <w:pPr>
        <w:pStyle w:val="Corpodetexto"/>
        <w:spacing w:line="237" w:lineRule="auto"/>
        <w:jc w:val="both"/>
        <w:sectPr w:rsidR="002C6574">
          <w:pgSz w:w="11910" w:h="16840"/>
          <w:pgMar w:top="2500" w:right="141" w:bottom="1500" w:left="1133" w:header="1763" w:footer="1310" w:gutter="0"/>
          <w:cols w:space="720"/>
        </w:sectPr>
      </w:pPr>
    </w:p>
    <w:p w14:paraId="45BC107F" w14:textId="77777777" w:rsidR="002C6574" w:rsidRDefault="00000000">
      <w:pPr>
        <w:numPr>
          <w:ilvl w:val="0"/>
          <w:numId w:val="54"/>
        </w:numPr>
        <w:tabs>
          <w:tab w:val="left" w:pos="993"/>
        </w:tabs>
        <w:spacing w:before="229"/>
        <w:ind w:left="993" w:hanging="850"/>
        <w:jc w:val="both"/>
        <w:rPr>
          <w:rFonts w:ascii="Arial"/>
          <w:b/>
        </w:rPr>
      </w:pPr>
      <w:r>
        <w:rPr>
          <w:rFonts w:ascii="Arial"/>
          <w:b/>
        </w:rPr>
        <w:lastRenderedPageBreak/>
        <w:t>RESULTADO</w:t>
      </w:r>
      <w:r>
        <w:rPr>
          <w:rFonts w:ascii="Arial"/>
          <w:b/>
          <w:spacing w:val="-3"/>
        </w:rPr>
        <w:t xml:space="preserve"> </w:t>
      </w:r>
      <w:r>
        <w:rPr>
          <w:rFonts w:ascii="Arial"/>
          <w:b/>
          <w:spacing w:val="-2"/>
        </w:rPr>
        <w:t>FINANCEIRO</w:t>
      </w:r>
    </w:p>
    <w:p w14:paraId="5AD1AE74" w14:textId="77777777" w:rsidR="002C6574" w:rsidRDefault="002C6574">
      <w:pPr>
        <w:pStyle w:val="Corpodetexto"/>
        <w:spacing w:before="47"/>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4"/>
        <w:gridCol w:w="1366"/>
        <w:gridCol w:w="1832"/>
      </w:tblGrid>
      <w:tr w:rsidR="002C6574" w14:paraId="18DAA776" w14:textId="77777777">
        <w:trPr>
          <w:trHeight w:val="230"/>
        </w:trPr>
        <w:tc>
          <w:tcPr>
            <w:tcW w:w="6574" w:type="dxa"/>
            <w:shd w:val="clear" w:color="auto" w:fill="D8D8D8"/>
          </w:tcPr>
          <w:p w14:paraId="391E7B92" w14:textId="77777777" w:rsidR="002C6574" w:rsidRDefault="00000000">
            <w:pPr>
              <w:pStyle w:val="TableParagraph"/>
              <w:spacing w:before="11" w:line="199" w:lineRule="exact"/>
              <w:ind w:left="69"/>
              <w:jc w:val="left"/>
              <w:rPr>
                <w:rFonts w:ascii="Arial" w:hAnsi="Arial"/>
                <w:b/>
                <w:sz w:val="18"/>
              </w:rPr>
            </w:pPr>
            <w:r>
              <w:rPr>
                <w:rFonts w:ascii="Arial" w:hAnsi="Arial"/>
                <w:b/>
                <w:spacing w:val="-2"/>
                <w:sz w:val="18"/>
              </w:rPr>
              <w:t>Composição:</w:t>
            </w:r>
          </w:p>
        </w:tc>
        <w:tc>
          <w:tcPr>
            <w:tcW w:w="1366" w:type="dxa"/>
          </w:tcPr>
          <w:p w14:paraId="61776B4D" w14:textId="77777777" w:rsidR="002C6574" w:rsidRDefault="00000000">
            <w:pPr>
              <w:pStyle w:val="TableParagraph"/>
              <w:spacing w:before="11" w:line="199" w:lineRule="exact"/>
              <w:ind w:right="59"/>
              <w:rPr>
                <w:rFonts w:ascii="Arial"/>
                <w:b/>
                <w:sz w:val="18"/>
              </w:rPr>
            </w:pPr>
            <w:r>
              <w:rPr>
                <w:rFonts w:ascii="Arial"/>
                <w:b/>
                <w:spacing w:val="-2"/>
                <w:sz w:val="18"/>
              </w:rPr>
              <w:t>31/12/2025</w:t>
            </w:r>
          </w:p>
        </w:tc>
        <w:tc>
          <w:tcPr>
            <w:tcW w:w="1832" w:type="dxa"/>
          </w:tcPr>
          <w:p w14:paraId="3D5C4BF4" w14:textId="77777777" w:rsidR="002C6574" w:rsidRDefault="00000000">
            <w:pPr>
              <w:pStyle w:val="TableParagraph"/>
              <w:spacing w:before="11" w:line="199" w:lineRule="exact"/>
              <w:ind w:right="60"/>
              <w:rPr>
                <w:rFonts w:ascii="Arial"/>
                <w:b/>
                <w:sz w:val="18"/>
              </w:rPr>
            </w:pPr>
            <w:r>
              <w:rPr>
                <w:rFonts w:ascii="Arial"/>
                <w:b/>
                <w:spacing w:val="-2"/>
                <w:sz w:val="18"/>
              </w:rPr>
              <w:t>31/12/2024</w:t>
            </w:r>
          </w:p>
        </w:tc>
      </w:tr>
      <w:tr w:rsidR="002C6574" w14:paraId="26F27228" w14:textId="77777777">
        <w:trPr>
          <w:trHeight w:val="232"/>
        </w:trPr>
        <w:tc>
          <w:tcPr>
            <w:tcW w:w="6574" w:type="dxa"/>
          </w:tcPr>
          <w:p w14:paraId="175708DA" w14:textId="77777777" w:rsidR="002C6574" w:rsidRDefault="00000000">
            <w:pPr>
              <w:pStyle w:val="TableParagraph"/>
              <w:spacing w:before="13" w:line="199" w:lineRule="exact"/>
              <w:ind w:left="69"/>
              <w:jc w:val="left"/>
              <w:rPr>
                <w:rFonts w:ascii="Arial"/>
                <w:b/>
                <w:sz w:val="18"/>
              </w:rPr>
            </w:pPr>
            <w:r>
              <w:rPr>
                <w:rFonts w:ascii="Arial"/>
                <w:b/>
                <w:sz w:val="18"/>
              </w:rPr>
              <w:t xml:space="preserve">Receitas </w:t>
            </w:r>
            <w:r>
              <w:rPr>
                <w:rFonts w:ascii="Arial"/>
                <w:b/>
                <w:spacing w:val="-2"/>
                <w:sz w:val="18"/>
              </w:rPr>
              <w:t>Financeiras</w:t>
            </w:r>
          </w:p>
        </w:tc>
        <w:tc>
          <w:tcPr>
            <w:tcW w:w="1366" w:type="dxa"/>
          </w:tcPr>
          <w:p w14:paraId="00FB4268" w14:textId="77777777" w:rsidR="002C6574" w:rsidRDefault="002C6574">
            <w:pPr>
              <w:pStyle w:val="TableParagraph"/>
              <w:jc w:val="left"/>
              <w:rPr>
                <w:rFonts w:ascii="Times New Roman"/>
                <w:sz w:val="16"/>
              </w:rPr>
            </w:pPr>
          </w:p>
        </w:tc>
        <w:tc>
          <w:tcPr>
            <w:tcW w:w="1832" w:type="dxa"/>
          </w:tcPr>
          <w:p w14:paraId="422F2D87" w14:textId="77777777" w:rsidR="002C6574" w:rsidRDefault="002C6574">
            <w:pPr>
              <w:pStyle w:val="TableParagraph"/>
              <w:jc w:val="left"/>
              <w:rPr>
                <w:rFonts w:ascii="Times New Roman"/>
                <w:sz w:val="16"/>
              </w:rPr>
            </w:pPr>
          </w:p>
        </w:tc>
      </w:tr>
      <w:tr w:rsidR="002C6574" w14:paraId="4621D543" w14:textId="77777777">
        <w:trPr>
          <w:trHeight w:val="232"/>
        </w:trPr>
        <w:tc>
          <w:tcPr>
            <w:tcW w:w="6574" w:type="dxa"/>
          </w:tcPr>
          <w:p w14:paraId="3E122CDE" w14:textId="77777777" w:rsidR="002C6574" w:rsidRDefault="00000000">
            <w:pPr>
              <w:pStyle w:val="TableParagraph"/>
              <w:spacing w:line="212" w:lineRule="exact"/>
              <w:ind w:left="69"/>
              <w:jc w:val="left"/>
              <w:rPr>
                <w:sz w:val="18"/>
              </w:rPr>
            </w:pPr>
            <w:r>
              <w:rPr>
                <w:sz w:val="18"/>
              </w:rPr>
              <w:t>Juros</w:t>
            </w:r>
            <w:r>
              <w:rPr>
                <w:spacing w:val="1"/>
                <w:sz w:val="18"/>
              </w:rPr>
              <w:t xml:space="preserve"> </w:t>
            </w:r>
            <w:r>
              <w:rPr>
                <w:sz w:val="18"/>
              </w:rPr>
              <w:t>sobre</w:t>
            </w:r>
            <w:r>
              <w:rPr>
                <w:spacing w:val="4"/>
                <w:sz w:val="18"/>
              </w:rPr>
              <w:t xml:space="preserve"> </w:t>
            </w:r>
            <w:r>
              <w:rPr>
                <w:sz w:val="18"/>
              </w:rPr>
              <w:t>Disponibilidades</w:t>
            </w:r>
            <w:r>
              <w:rPr>
                <w:spacing w:val="7"/>
                <w:sz w:val="18"/>
              </w:rPr>
              <w:t xml:space="preserve"> </w:t>
            </w:r>
            <w:r>
              <w:rPr>
                <w:spacing w:val="-5"/>
                <w:sz w:val="18"/>
              </w:rPr>
              <w:t>(i)</w:t>
            </w:r>
          </w:p>
        </w:tc>
        <w:tc>
          <w:tcPr>
            <w:tcW w:w="1366" w:type="dxa"/>
          </w:tcPr>
          <w:p w14:paraId="5A500D4C" w14:textId="77777777" w:rsidR="002C6574" w:rsidRDefault="00000000">
            <w:pPr>
              <w:pStyle w:val="TableParagraph"/>
              <w:spacing w:line="212" w:lineRule="exact"/>
              <w:ind w:right="62"/>
              <w:rPr>
                <w:sz w:val="18"/>
              </w:rPr>
            </w:pPr>
            <w:r>
              <w:rPr>
                <w:spacing w:val="-2"/>
                <w:w w:val="105"/>
                <w:sz w:val="18"/>
              </w:rPr>
              <w:t>186.886</w:t>
            </w:r>
          </w:p>
        </w:tc>
        <w:tc>
          <w:tcPr>
            <w:tcW w:w="1832" w:type="dxa"/>
          </w:tcPr>
          <w:p w14:paraId="4C1B15D8" w14:textId="77777777" w:rsidR="002C6574" w:rsidRDefault="00000000">
            <w:pPr>
              <w:pStyle w:val="TableParagraph"/>
              <w:spacing w:line="212" w:lineRule="exact"/>
              <w:ind w:right="62"/>
              <w:rPr>
                <w:sz w:val="18"/>
              </w:rPr>
            </w:pPr>
            <w:r>
              <w:rPr>
                <w:spacing w:val="-2"/>
                <w:w w:val="105"/>
                <w:sz w:val="18"/>
              </w:rPr>
              <w:t>108.758</w:t>
            </w:r>
          </w:p>
        </w:tc>
      </w:tr>
      <w:tr w:rsidR="002C6574" w14:paraId="53D81344" w14:textId="77777777">
        <w:trPr>
          <w:trHeight w:val="232"/>
        </w:trPr>
        <w:tc>
          <w:tcPr>
            <w:tcW w:w="6574" w:type="dxa"/>
          </w:tcPr>
          <w:p w14:paraId="1AFF445B" w14:textId="77777777" w:rsidR="002C6574" w:rsidRDefault="00000000">
            <w:pPr>
              <w:pStyle w:val="TableParagraph"/>
              <w:spacing w:line="212" w:lineRule="exact"/>
              <w:ind w:left="69"/>
              <w:jc w:val="left"/>
              <w:rPr>
                <w:sz w:val="18"/>
              </w:rPr>
            </w:pPr>
            <w:r>
              <w:rPr>
                <w:sz w:val="18"/>
              </w:rPr>
              <w:t>Juros</w:t>
            </w:r>
            <w:r>
              <w:rPr>
                <w:spacing w:val="15"/>
                <w:sz w:val="18"/>
              </w:rPr>
              <w:t xml:space="preserve"> </w:t>
            </w:r>
            <w:r>
              <w:rPr>
                <w:sz w:val="18"/>
              </w:rPr>
              <w:t>sobre</w:t>
            </w:r>
            <w:r>
              <w:rPr>
                <w:spacing w:val="15"/>
                <w:sz w:val="18"/>
              </w:rPr>
              <w:t xml:space="preserve"> </w:t>
            </w:r>
            <w:r>
              <w:rPr>
                <w:sz w:val="18"/>
              </w:rPr>
              <w:t>Superávit</w:t>
            </w:r>
            <w:r>
              <w:rPr>
                <w:spacing w:val="12"/>
                <w:sz w:val="18"/>
              </w:rPr>
              <w:t xml:space="preserve"> </w:t>
            </w:r>
            <w:r>
              <w:rPr>
                <w:sz w:val="18"/>
              </w:rPr>
              <w:t>de</w:t>
            </w:r>
            <w:r>
              <w:rPr>
                <w:spacing w:val="16"/>
                <w:sz w:val="18"/>
              </w:rPr>
              <w:t xml:space="preserve"> </w:t>
            </w:r>
            <w:r>
              <w:rPr>
                <w:sz w:val="18"/>
              </w:rPr>
              <w:t>Previdência</w:t>
            </w:r>
            <w:r>
              <w:rPr>
                <w:spacing w:val="18"/>
                <w:sz w:val="18"/>
              </w:rPr>
              <w:t xml:space="preserve"> </w:t>
            </w:r>
            <w:r>
              <w:rPr>
                <w:sz w:val="18"/>
              </w:rPr>
              <w:t>Privada</w:t>
            </w:r>
            <w:r>
              <w:rPr>
                <w:spacing w:val="15"/>
                <w:sz w:val="18"/>
              </w:rPr>
              <w:t xml:space="preserve"> </w:t>
            </w:r>
            <w:r>
              <w:rPr>
                <w:spacing w:val="-4"/>
                <w:sz w:val="18"/>
              </w:rPr>
              <w:t>(ii)</w:t>
            </w:r>
          </w:p>
        </w:tc>
        <w:tc>
          <w:tcPr>
            <w:tcW w:w="1366" w:type="dxa"/>
          </w:tcPr>
          <w:p w14:paraId="4DEE28CE" w14:textId="77777777" w:rsidR="002C6574" w:rsidRDefault="00000000">
            <w:pPr>
              <w:pStyle w:val="TableParagraph"/>
              <w:spacing w:line="212" w:lineRule="exact"/>
              <w:ind w:right="61"/>
              <w:rPr>
                <w:sz w:val="18"/>
              </w:rPr>
            </w:pPr>
            <w:r>
              <w:rPr>
                <w:spacing w:val="-2"/>
                <w:w w:val="105"/>
                <w:sz w:val="18"/>
              </w:rPr>
              <w:t>18.867</w:t>
            </w:r>
          </w:p>
        </w:tc>
        <w:tc>
          <w:tcPr>
            <w:tcW w:w="1832" w:type="dxa"/>
          </w:tcPr>
          <w:p w14:paraId="44A04732" w14:textId="77777777" w:rsidR="002C6574" w:rsidRDefault="00000000">
            <w:pPr>
              <w:pStyle w:val="TableParagraph"/>
              <w:spacing w:line="212" w:lineRule="exact"/>
              <w:ind w:right="63"/>
              <w:rPr>
                <w:sz w:val="18"/>
              </w:rPr>
            </w:pPr>
            <w:r>
              <w:rPr>
                <w:spacing w:val="-2"/>
                <w:w w:val="110"/>
                <w:sz w:val="18"/>
              </w:rPr>
              <w:t>2.610</w:t>
            </w:r>
          </w:p>
        </w:tc>
      </w:tr>
      <w:tr w:rsidR="002C6574" w14:paraId="128D9E07" w14:textId="77777777">
        <w:trPr>
          <w:trHeight w:val="232"/>
        </w:trPr>
        <w:tc>
          <w:tcPr>
            <w:tcW w:w="6574" w:type="dxa"/>
          </w:tcPr>
          <w:p w14:paraId="23680A32" w14:textId="77777777" w:rsidR="002C6574" w:rsidRDefault="00000000">
            <w:pPr>
              <w:pStyle w:val="TableParagraph"/>
              <w:spacing w:line="212" w:lineRule="exact"/>
              <w:ind w:left="69"/>
              <w:jc w:val="left"/>
              <w:rPr>
                <w:sz w:val="18"/>
              </w:rPr>
            </w:pPr>
            <w:r>
              <w:rPr>
                <w:sz w:val="18"/>
              </w:rPr>
              <w:t>Juros/Variação</w:t>
            </w:r>
            <w:r>
              <w:rPr>
                <w:spacing w:val="3"/>
                <w:sz w:val="18"/>
              </w:rPr>
              <w:t xml:space="preserve"> </w:t>
            </w:r>
            <w:r>
              <w:rPr>
                <w:sz w:val="18"/>
              </w:rPr>
              <w:t>Monetária</w:t>
            </w:r>
            <w:r>
              <w:rPr>
                <w:spacing w:val="2"/>
                <w:sz w:val="18"/>
              </w:rPr>
              <w:t xml:space="preserve"> </w:t>
            </w:r>
            <w:r>
              <w:rPr>
                <w:sz w:val="18"/>
              </w:rPr>
              <w:t>sobre</w:t>
            </w:r>
            <w:r>
              <w:rPr>
                <w:spacing w:val="5"/>
                <w:sz w:val="18"/>
              </w:rPr>
              <w:t xml:space="preserve"> </w:t>
            </w:r>
            <w:r>
              <w:rPr>
                <w:spacing w:val="-2"/>
                <w:sz w:val="18"/>
              </w:rPr>
              <w:t>Tributos</w:t>
            </w:r>
          </w:p>
        </w:tc>
        <w:tc>
          <w:tcPr>
            <w:tcW w:w="1366" w:type="dxa"/>
          </w:tcPr>
          <w:p w14:paraId="695BE89E" w14:textId="77777777" w:rsidR="002C6574" w:rsidRDefault="00000000">
            <w:pPr>
              <w:pStyle w:val="TableParagraph"/>
              <w:spacing w:line="212" w:lineRule="exact"/>
              <w:ind w:right="62"/>
              <w:rPr>
                <w:sz w:val="18"/>
              </w:rPr>
            </w:pPr>
            <w:r>
              <w:rPr>
                <w:spacing w:val="-2"/>
                <w:w w:val="105"/>
                <w:sz w:val="18"/>
              </w:rPr>
              <w:t>12.724</w:t>
            </w:r>
          </w:p>
        </w:tc>
        <w:tc>
          <w:tcPr>
            <w:tcW w:w="1832" w:type="dxa"/>
          </w:tcPr>
          <w:p w14:paraId="05F7E80B" w14:textId="77777777" w:rsidR="002C6574" w:rsidRDefault="00000000">
            <w:pPr>
              <w:pStyle w:val="TableParagraph"/>
              <w:spacing w:line="212" w:lineRule="exact"/>
              <w:ind w:right="62"/>
              <w:rPr>
                <w:sz w:val="18"/>
              </w:rPr>
            </w:pPr>
            <w:r>
              <w:rPr>
                <w:spacing w:val="-2"/>
                <w:w w:val="105"/>
                <w:sz w:val="18"/>
              </w:rPr>
              <w:t>10.871</w:t>
            </w:r>
          </w:p>
        </w:tc>
      </w:tr>
      <w:tr w:rsidR="002C6574" w14:paraId="54A61EA8" w14:textId="77777777">
        <w:trPr>
          <w:trHeight w:val="232"/>
        </w:trPr>
        <w:tc>
          <w:tcPr>
            <w:tcW w:w="6574" w:type="dxa"/>
          </w:tcPr>
          <w:p w14:paraId="5DF43694" w14:textId="77777777" w:rsidR="002C6574" w:rsidRDefault="00000000">
            <w:pPr>
              <w:pStyle w:val="TableParagraph"/>
              <w:spacing w:line="212" w:lineRule="exact"/>
              <w:ind w:left="69"/>
              <w:jc w:val="left"/>
              <w:rPr>
                <w:sz w:val="18"/>
              </w:rPr>
            </w:pPr>
            <w:r>
              <w:rPr>
                <w:w w:val="105"/>
                <w:sz w:val="18"/>
              </w:rPr>
              <w:t>Juros</w:t>
            </w:r>
            <w:r>
              <w:rPr>
                <w:spacing w:val="-9"/>
                <w:w w:val="105"/>
                <w:sz w:val="18"/>
              </w:rPr>
              <w:t xml:space="preserve"> </w:t>
            </w:r>
            <w:r>
              <w:rPr>
                <w:w w:val="105"/>
                <w:sz w:val="18"/>
              </w:rPr>
              <w:t>sobre</w:t>
            </w:r>
            <w:r>
              <w:rPr>
                <w:spacing w:val="-8"/>
                <w:w w:val="105"/>
                <w:sz w:val="18"/>
              </w:rPr>
              <w:t xml:space="preserve"> </w:t>
            </w:r>
            <w:r>
              <w:rPr>
                <w:w w:val="105"/>
                <w:sz w:val="18"/>
              </w:rPr>
              <w:t>Aplicações</w:t>
            </w:r>
            <w:r>
              <w:rPr>
                <w:spacing w:val="-8"/>
                <w:w w:val="105"/>
                <w:sz w:val="18"/>
              </w:rPr>
              <w:t xml:space="preserve"> </w:t>
            </w:r>
            <w:r>
              <w:rPr>
                <w:w w:val="105"/>
                <w:sz w:val="18"/>
              </w:rPr>
              <w:t>Financeiras</w:t>
            </w:r>
            <w:r>
              <w:rPr>
                <w:spacing w:val="-8"/>
                <w:w w:val="105"/>
                <w:sz w:val="18"/>
              </w:rPr>
              <w:t xml:space="preserve"> </w:t>
            </w:r>
            <w:r>
              <w:rPr>
                <w:w w:val="105"/>
                <w:sz w:val="18"/>
              </w:rPr>
              <w:t>–</w:t>
            </w:r>
            <w:r>
              <w:rPr>
                <w:spacing w:val="-8"/>
                <w:w w:val="105"/>
                <w:sz w:val="18"/>
              </w:rPr>
              <w:t xml:space="preserve"> </w:t>
            </w:r>
            <w:r>
              <w:rPr>
                <w:spacing w:val="-2"/>
                <w:w w:val="105"/>
                <w:sz w:val="18"/>
              </w:rPr>
              <w:t>Garantias</w:t>
            </w:r>
          </w:p>
        </w:tc>
        <w:tc>
          <w:tcPr>
            <w:tcW w:w="1366" w:type="dxa"/>
          </w:tcPr>
          <w:p w14:paraId="7CDEA2E7" w14:textId="77777777" w:rsidR="002C6574" w:rsidRDefault="00000000">
            <w:pPr>
              <w:pStyle w:val="TableParagraph"/>
              <w:spacing w:line="212" w:lineRule="exact"/>
              <w:ind w:right="62"/>
              <w:rPr>
                <w:sz w:val="18"/>
              </w:rPr>
            </w:pPr>
            <w:r>
              <w:rPr>
                <w:spacing w:val="-4"/>
                <w:w w:val="110"/>
                <w:sz w:val="18"/>
              </w:rPr>
              <w:t>7.457</w:t>
            </w:r>
          </w:p>
        </w:tc>
        <w:tc>
          <w:tcPr>
            <w:tcW w:w="1832" w:type="dxa"/>
          </w:tcPr>
          <w:p w14:paraId="041C81A4" w14:textId="77777777" w:rsidR="002C6574" w:rsidRDefault="00000000">
            <w:pPr>
              <w:pStyle w:val="TableParagraph"/>
              <w:spacing w:line="212" w:lineRule="exact"/>
              <w:ind w:right="63"/>
              <w:rPr>
                <w:sz w:val="18"/>
              </w:rPr>
            </w:pPr>
            <w:r>
              <w:rPr>
                <w:spacing w:val="-2"/>
                <w:w w:val="110"/>
                <w:sz w:val="18"/>
              </w:rPr>
              <w:t>7.701</w:t>
            </w:r>
          </w:p>
        </w:tc>
      </w:tr>
      <w:tr w:rsidR="002C6574" w14:paraId="0FFCCD90" w14:textId="77777777">
        <w:trPr>
          <w:trHeight w:val="230"/>
        </w:trPr>
        <w:tc>
          <w:tcPr>
            <w:tcW w:w="6574" w:type="dxa"/>
          </w:tcPr>
          <w:p w14:paraId="03F30813" w14:textId="77777777" w:rsidR="002C6574" w:rsidRDefault="00000000">
            <w:pPr>
              <w:pStyle w:val="TableParagraph"/>
              <w:spacing w:line="210" w:lineRule="exact"/>
              <w:ind w:left="69"/>
              <w:jc w:val="left"/>
              <w:rPr>
                <w:sz w:val="18"/>
              </w:rPr>
            </w:pPr>
            <w:r>
              <w:rPr>
                <w:sz w:val="18"/>
              </w:rPr>
              <w:t>Juros</w:t>
            </w:r>
            <w:r>
              <w:rPr>
                <w:spacing w:val="8"/>
                <w:sz w:val="18"/>
              </w:rPr>
              <w:t xml:space="preserve"> </w:t>
            </w:r>
            <w:r>
              <w:rPr>
                <w:sz w:val="18"/>
              </w:rPr>
              <w:t>sobre</w:t>
            </w:r>
            <w:r>
              <w:rPr>
                <w:spacing w:val="9"/>
                <w:sz w:val="18"/>
              </w:rPr>
              <w:t xml:space="preserve"> </w:t>
            </w:r>
            <w:r>
              <w:rPr>
                <w:sz w:val="18"/>
              </w:rPr>
              <w:t>Depósitos</w:t>
            </w:r>
            <w:r>
              <w:rPr>
                <w:spacing w:val="9"/>
                <w:sz w:val="18"/>
              </w:rPr>
              <w:t xml:space="preserve"> </w:t>
            </w:r>
            <w:r>
              <w:rPr>
                <w:spacing w:val="-2"/>
                <w:sz w:val="18"/>
              </w:rPr>
              <w:t>Judiciais</w:t>
            </w:r>
          </w:p>
        </w:tc>
        <w:tc>
          <w:tcPr>
            <w:tcW w:w="1366" w:type="dxa"/>
          </w:tcPr>
          <w:p w14:paraId="1D8969BE" w14:textId="77777777" w:rsidR="002C6574" w:rsidRDefault="00000000">
            <w:pPr>
              <w:pStyle w:val="TableParagraph"/>
              <w:spacing w:line="210" w:lineRule="exact"/>
              <w:ind w:right="61"/>
              <w:rPr>
                <w:sz w:val="18"/>
              </w:rPr>
            </w:pPr>
            <w:r>
              <w:rPr>
                <w:spacing w:val="-4"/>
                <w:w w:val="110"/>
                <w:sz w:val="18"/>
              </w:rPr>
              <w:t>4.534</w:t>
            </w:r>
          </w:p>
        </w:tc>
        <w:tc>
          <w:tcPr>
            <w:tcW w:w="1832" w:type="dxa"/>
          </w:tcPr>
          <w:p w14:paraId="3BAA5146" w14:textId="77777777" w:rsidR="002C6574" w:rsidRDefault="00000000">
            <w:pPr>
              <w:pStyle w:val="TableParagraph"/>
              <w:spacing w:line="210" w:lineRule="exact"/>
              <w:ind w:right="63"/>
              <w:rPr>
                <w:sz w:val="18"/>
              </w:rPr>
            </w:pPr>
            <w:r>
              <w:rPr>
                <w:spacing w:val="-2"/>
                <w:w w:val="110"/>
                <w:sz w:val="18"/>
              </w:rPr>
              <w:t>3.644</w:t>
            </w:r>
          </w:p>
        </w:tc>
      </w:tr>
      <w:tr w:rsidR="002C6574" w14:paraId="39B37FA8" w14:textId="77777777">
        <w:trPr>
          <w:trHeight w:val="232"/>
        </w:trPr>
        <w:tc>
          <w:tcPr>
            <w:tcW w:w="6574" w:type="dxa"/>
          </w:tcPr>
          <w:p w14:paraId="7066CCB3" w14:textId="77777777" w:rsidR="002C6574" w:rsidRDefault="00000000">
            <w:pPr>
              <w:pStyle w:val="TableParagraph"/>
              <w:spacing w:line="212" w:lineRule="exact"/>
              <w:ind w:left="69"/>
              <w:jc w:val="left"/>
              <w:rPr>
                <w:sz w:val="18"/>
              </w:rPr>
            </w:pPr>
            <w:r>
              <w:rPr>
                <w:sz w:val="18"/>
              </w:rPr>
              <w:t>Descontos</w:t>
            </w:r>
            <w:r>
              <w:rPr>
                <w:spacing w:val="18"/>
                <w:sz w:val="18"/>
              </w:rPr>
              <w:t xml:space="preserve"> </w:t>
            </w:r>
            <w:r>
              <w:rPr>
                <w:sz w:val="18"/>
              </w:rPr>
              <w:t>Financeiros</w:t>
            </w:r>
            <w:r>
              <w:rPr>
                <w:spacing w:val="15"/>
                <w:sz w:val="18"/>
              </w:rPr>
              <w:t xml:space="preserve"> </w:t>
            </w:r>
            <w:r>
              <w:rPr>
                <w:sz w:val="18"/>
              </w:rPr>
              <w:t>sobre</w:t>
            </w:r>
            <w:r>
              <w:rPr>
                <w:spacing w:val="13"/>
                <w:sz w:val="18"/>
              </w:rPr>
              <w:t xml:space="preserve"> </w:t>
            </w:r>
            <w:r>
              <w:rPr>
                <w:spacing w:val="-2"/>
                <w:sz w:val="18"/>
              </w:rPr>
              <w:t>Passivos</w:t>
            </w:r>
          </w:p>
        </w:tc>
        <w:tc>
          <w:tcPr>
            <w:tcW w:w="1366" w:type="dxa"/>
          </w:tcPr>
          <w:p w14:paraId="32C7E27E" w14:textId="77777777" w:rsidR="002C6574" w:rsidRDefault="00000000">
            <w:pPr>
              <w:pStyle w:val="TableParagraph"/>
              <w:spacing w:line="212" w:lineRule="exact"/>
              <w:ind w:right="62"/>
              <w:rPr>
                <w:sz w:val="18"/>
              </w:rPr>
            </w:pPr>
            <w:r>
              <w:rPr>
                <w:spacing w:val="-4"/>
                <w:w w:val="110"/>
                <w:sz w:val="18"/>
              </w:rPr>
              <w:t>2.808</w:t>
            </w:r>
          </w:p>
        </w:tc>
        <w:tc>
          <w:tcPr>
            <w:tcW w:w="1832" w:type="dxa"/>
          </w:tcPr>
          <w:p w14:paraId="3948D22B" w14:textId="77777777" w:rsidR="002C6574" w:rsidRDefault="00000000">
            <w:pPr>
              <w:pStyle w:val="TableParagraph"/>
              <w:spacing w:line="212" w:lineRule="exact"/>
              <w:ind w:right="62"/>
              <w:rPr>
                <w:sz w:val="18"/>
              </w:rPr>
            </w:pPr>
            <w:r>
              <w:rPr>
                <w:spacing w:val="-10"/>
                <w:w w:val="95"/>
                <w:sz w:val="18"/>
              </w:rPr>
              <w:t>-</w:t>
            </w:r>
          </w:p>
        </w:tc>
      </w:tr>
      <w:tr w:rsidR="002C6574" w14:paraId="6DFEFDA7" w14:textId="77777777">
        <w:trPr>
          <w:trHeight w:val="232"/>
        </w:trPr>
        <w:tc>
          <w:tcPr>
            <w:tcW w:w="6574" w:type="dxa"/>
          </w:tcPr>
          <w:p w14:paraId="3635272C" w14:textId="77777777" w:rsidR="002C6574" w:rsidRDefault="00000000">
            <w:pPr>
              <w:pStyle w:val="TableParagraph"/>
              <w:spacing w:line="212" w:lineRule="exact"/>
              <w:ind w:left="69"/>
              <w:jc w:val="left"/>
              <w:rPr>
                <w:sz w:val="18"/>
              </w:rPr>
            </w:pPr>
            <w:r>
              <w:rPr>
                <w:w w:val="105"/>
                <w:sz w:val="18"/>
              </w:rPr>
              <w:t>Juros</w:t>
            </w:r>
            <w:r>
              <w:rPr>
                <w:spacing w:val="-8"/>
                <w:w w:val="105"/>
                <w:sz w:val="18"/>
              </w:rPr>
              <w:t xml:space="preserve"> </w:t>
            </w:r>
            <w:r>
              <w:rPr>
                <w:w w:val="105"/>
                <w:sz w:val="18"/>
              </w:rPr>
              <w:t>sobre</w:t>
            </w:r>
            <w:r>
              <w:rPr>
                <w:spacing w:val="-7"/>
                <w:w w:val="105"/>
                <w:sz w:val="18"/>
              </w:rPr>
              <w:t xml:space="preserve"> </w:t>
            </w:r>
            <w:r>
              <w:rPr>
                <w:w w:val="105"/>
                <w:sz w:val="18"/>
              </w:rPr>
              <w:t>Contas</w:t>
            </w:r>
            <w:r>
              <w:rPr>
                <w:spacing w:val="-6"/>
                <w:w w:val="105"/>
                <w:sz w:val="18"/>
              </w:rPr>
              <w:t xml:space="preserve"> </w:t>
            </w:r>
            <w:r>
              <w:rPr>
                <w:w w:val="105"/>
                <w:sz w:val="18"/>
              </w:rPr>
              <w:t>a</w:t>
            </w:r>
            <w:r>
              <w:rPr>
                <w:spacing w:val="-6"/>
                <w:w w:val="105"/>
                <w:sz w:val="18"/>
              </w:rPr>
              <w:t xml:space="preserve"> </w:t>
            </w:r>
            <w:r>
              <w:rPr>
                <w:spacing w:val="-2"/>
                <w:w w:val="105"/>
                <w:sz w:val="18"/>
              </w:rPr>
              <w:t>Receber</w:t>
            </w:r>
          </w:p>
        </w:tc>
        <w:tc>
          <w:tcPr>
            <w:tcW w:w="1366" w:type="dxa"/>
          </w:tcPr>
          <w:p w14:paraId="302CA657" w14:textId="77777777" w:rsidR="002C6574" w:rsidRDefault="00000000">
            <w:pPr>
              <w:pStyle w:val="TableParagraph"/>
              <w:spacing w:line="212" w:lineRule="exact"/>
              <w:ind w:right="62"/>
              <w:rPr>
                <w:sz w:val="18"/>
              </w:rPr>
            </w:pPr>
            <w:r>
              <w:rPr>
                <w:spacing w:val="-5"/>
                <w:w w:val="105"/>
                <w:sz w:val="18"/>
              </w:rPr>
              <w:t>251</w:t>
            </w:r>
          </w:p>
        </w:tc>
        <w:tc>
          <w:tcPr>
            <w:tcW w:w="1832" w:type="dxa"/>
          </w:tcPr>
          <w:p w14:paraId="3BF62BE6" w14:textId="77777777" w:rsidR="002C6574" w:rsidRDefault="00000000">
            <w:pPr>
              <w:pStyle w:val="TableParagraph"/>
              <w:spacing w:line="212" w:lineRule="exact"/>
              <w:ind w:right="63"/>
              <w:rPr>
                <w:sz w:val="18"/>
              </w:rPr>
            </w:pPr>
            <w:r>
              <w:rPr>
                <w:spacing w:val="-5"/>
                <w:w w:val="105"/>
                <w:sz w:val="18"/>
              </w:rPr>
              <w:t>777</w:t>
            </w:r>
          </w:p>
        </w:tc>
      </w:tr>
      <w:tr w:rsidR="002C6574" w14:paraId="3ACA8682" w14:textId="77777777">
        <w:trPr>
          <w:trHeight w:val="232"/>
        </w:trPr>
        <w:tc>
          <w:tcPr>
            <w:tcW w:w="6574" w:type="dxa"/>
          </w:tcPr>
          <w:p w14:paraId="6A55ED78" w14:textId="77777777" w:rsidR="002C6574" w:rsidRDefault="00000000">
            <w:pPr>
              <w:pStyle w:val="TableParagraph"/>
              <w:spacing w:line="212" w:lineRule="exact"/>
              <w:ind w:left="69"/>
              <w:jc w:val="left"/>
              <w:rPr>
                <w:sz w:val="18"/>
              </w:rPr>
            </w:pPr>
            <w:r>
              <w:rPr>
                <w:w w:val="105"/>
                <w:sz w:val="18"/>
              </w:rPr>
              <w:t>Outras</w:t>
            </w:r>
            <w:r>
              <w:rPr>
                <w:spacing w:val="-5"/>
                <w:w w:val="105"/>
                <w:sz w:val="18"/>
              </w:rPr>
              <w:t xml:space="preserve"> </w:t>
            </w:r>
            <w:r>
              <w:rPr>
                <w:w w:val="105"/>
                <w:sz w:val="18"/>
              </w:rPr>
              <w:t>Receitas</w:t>
            </w:r>
            <w:r>
              <w:rPr>
                <w:spacing w:val="-6"/>
                <w:w w:val="105"/>
                <w:sz w:val="18"/>
              </w:rPr>
              <w:t xml:space="preserve"> </w:t>
            </w:r>
            <w:r>
              <w:rPr>
                <w:spacing w:val="-2"/>
                <w:w w:val="105"/>
                <w:sz w:val="18"/>
              </w:rPr>
              <w:t>Financeiras</w:t>
            </w:r>
          </w:p>
        </w:tc>
        <w:tc>
          <w:tcPr>
            <w:tcW w:w="1366" w:type="dxa"/>
          </w:tcPr>
          <w:p w14:paraId="7D8413E5" w14:textId="77777777" w:rsidR="002C6574" w:rsidRDefault="00000000">
            <w:pPr>
              <w:pStyle w:val="TableParagraph"/>
              <w:spacing w:line="212" w:lineRule="exact"/>
              <w:ind w:right="61"/>
              <w:rPr>
                <w:sz w:val="18"/>
              </w:rPr>
            </w:pPr>
            <w:r>
              <w:rPr>
                <w:spacing w:val="-10"/>
                <w:w w:val="105"/>
                <w:sz w:val="18"/>
              </w:rPr>
              <w:t>3</w:t>
            </w:r>
          </w:p>
        </w:tc>
        <w:tc>
          <w:tcPr>
            <w:tcW w:w="1832" w:type="dxa"/>
          </w:tcPr>
          <w:p w14:paraId="4EFC2955" w14:textId="77777777" w:rsidR="002C6574" w:rsidRDefault="00000000">
            <w:pPr>
              <w:pStyle w:val="TableParagraph"/>
              <w:spacing w:line="212" w:lineRule="exact"/>
              <w:ind w:right="63"/>
              <w:rPr>
                <w:sz w:val="18"/>
              </w:rPr>
            </w:pPr>
            <w:r>
              <w:rPr>
                <w:spacing w:val="-5"/>
                <w:w w:val="105"/>
                <w:sz w:val="18"/>
              </w:rPr>
              <w:t>90</w:t>
            </w:r>
          </w:p>
        </w:tc>
      </w:tr>
      <w:tr w:rsidR="002C6574" w14:paraId="64E37D0D" w14:textId="77777777">
        <w:trPr>
          <w:trHeight w:val="232"/>
        </w:trPr>
        <w:tc>
          <w:tcPr>
            <w:tcW w:w="6574" w:type="dxa"/>
          </w:tcPr>
          <w:p w14:paraId="069700E6" w14:textId="77777777" w:rsidR="002C6574" w:rsidRDefault="00000000">
            <w:pPr>
              <w:pStyle w:val="TableParagraph"/>
              <w:spacing w:line="212" w:lineRule="exact"/>
              <w:ind w:left="69"/>
              <w:jc w:val="left"/>
              <w:rPr>
                <w:sz w:val="18"/>
              </w:rPr>
            </w:pPr>
            <w:r>
              <w:rPr>
                <w:sz w:val="18"/>
              </w:rPr>
              <w:t>Tributos</w:t>
            </w:r>
            <w:r>
              <w:rPr>
                <w:spacing w:val="14"/>
                <w:sz w:val="18"/>
              </w:rPr>
              <w:t xml:space="preserve"> </w:t>
            </w:r>
            <w:r>
              <w:rPr>
                <w:sz w:val="18"/>
              </w:rPr>
              <w:t>sobre</w:t>
            </w:r>
            <w:r>
              <w:rPr>
                <w:spacing w:val="12"/>
                <w:sz w:val="18"/>
              </w:rPr>
              <w:t xml:space="preserve"> </w:t>
            </w:r>
            <w:r>
              <w:rPr>
                <w:sz w:val="18"/>
              </w:rPr>
              <w:t>Receitas</w:t>
            </w:r>
            <w:r>
              <w:rPr>
                <w:spacing w:val="16"/>
                <w:sz w:val="18"/>
              </w:rPr>
              <w:t xml:space="preserve"> </w:t>
            </w:r>
            <w:r>
              <w:rPr>
                <w:spacing w:val="-2"/>
                <w:sz w:val="18"/>
              </w:rPr>
              <w:t>Financeiras</w:t>
            </w:r>
          </w:p>
        </w:tc>
        <w:tc>
          <w:tcPr>
            <w:tcW w:w="1366" w:type="dxa"/>
          </w:tcPr>
          <w:p w14:paraId="6A0A1899" w14:textId="77777777" w:rsidR="002C6574" w:rsidRDefault="00000000">
            <w:pPr>
              <w:pStyle w:val="TableParagraph"/>
              <w:spacing w:line="212" w:lineRule="exact"/>
              <w:ind w:right="58"/>
              <w:rPr>
                <w:sz w:val="18"/>
              </w:rPr>
            </w:pPr>
            <w:r>
              <w:rPr>
                <w:spacing w:val="-2"/>
                <w:w w:val="110"/>
                <w:sz w:val="18"/>
              </w:rPr>
              <w:t>(10.649)</w:t>
            </w:r>
          </w:p>
        </w:tc>
        <w:tc>
          <w:tcPr>
            <w:tcW w:w="1832" w:type="dxa"/>
          </w:tcPr>
          <w:p w14:paraId="205E8365" w14:textId="77777777" w:rsidR="002C6574" w:rsidRDefault="00000000">
            <w:pPr>
              <w:pStyle w:val="TableParagraph"/>
              <w:spacing w:line="212" w:lineRule="exact"/>
              <w:ind w:right="59"/>
              <w:rPr>
                <w:sz w:val="18"/>
              </w:rPr>
            </w:pPr>
            <w:r>
              <w:rPr>
                <w:spacing w:val="-2"/>
                <w:w w:val="110"/>
                <w:sz w:val="18"/>
              </w:rPr>
              <w:t>(6.107)</w:t>
            </w:r>
          </w:p>
        </w:tc>
      </w:tr>
      <w:tr w:rsidR="002C6574" w14:paraId="3EFF1608" w14:textId="77777777">
        <w:trPr>
          <w:trHeight w:val="232"/>
        </w:trPr>
        <w:tc>
          <w:tcPr>
            <w:tcW w:w="6574" w:type="dxa"/>
          </w:tcPr>
          <w:p w14:paraId="064140E1" w14:textId="77777777" w:rsidR="002C6574" w:rsidRDefault="00000000">
            <w:pPr>
              <w:pStyle w:val="TableParagraph"/>
              <w:spacing w:before="11" w:line="201" w:lineRule="exact"/>
              <w:ind w:left="69"/>
              <w:jc w:val="left"/>
              <w:rPr>
                <w:rFonts w:ascii="Arial"/>
                <w:b/>
                <w:sz w:val="18"/>
              </w:rPr>
            </w:pPr>
            <w:r>
              <w:rPr>
                <w:rFonts w:ascii="Arial"/>
                <w:b/>
                <w:spacing w:val="-2"/>
                <w:sz w:val="18"/>
              </w:rPr>
              <w:t>Total</w:t>
            </w:r>
          </w:p>
        </w:tc>
        <w:tc>
          <w:tcPr>
            <w:tcW w:w="1366" w:type="dxa"/>
          </w:tcPr>
          <w:p w14:paraId="1062B376" w14:textId="77777777" w:rsidR="002C6574" w:rsidRDefault="00000000">
            <w:pPr>
              <w:pStyle w:val="TableParagraph"/>
              <w:spacing w:before="11" w:line="201" w:lineRule="exact"/>
              <w:ind w:right="62"/>
              <w:rPr>
                <w:rFonts w:ascii="Arial"/>
                <w:b/>
                <w:sz w:val="18"/>
              </w:rPr>
            </w:pPr>
            <w:r>
              <w:rPr>
                <w:rFonts w:ascii="Arial"/>
                <w:b/>
                <w:spacing w:val="-2"/>
                <w:sz w:val="18"/>
              </w:rPr>
              <w:t>222.881</w:t>
            </w:r>
          </w:p>
        </w:tc>
        <w:tc>
          <w:tcPr>
            <w:tcW w:w="1832" w:type="dxa"/>
          </w:tcPr>
          <w:p w14:paraId="358B606D" w14:textId="77777777" w:rsidR="002C6574" w:rsidRDefault="00000000">
            <w:pPr>
              <w:pStyle w:val="TableParagraph"/>
              <w:spacing w:before="11" w:line="201" w:lineRule="exact"/>
              <w:ind w:right="62"/>
              <w:rPr>
                <w:rFonts w:ascii="Arial"/>
                <w:b/>
                <w:sz w:val="18"/>
              </w:rPr>
            </w:pPr>
            <w:r>
              <w:rPr>
                <w:rFonts w:ascii="Arial"/>
                <w:b/>
                <w:spacing w:val="-2"/>
                <w:sz w:val="18"/>
              </w:rPr>
              <w:t>128.344</w:t>
            </w:r>
          </w:p>
        </w:tc>
      </w:tr>
      <w:tr w:rsidR="002C6574" w14:paraId="1B10019C" w14:textId="77777777">
        <w:trPr>
          <w:trHeight w:val="230"/>
        </w:trPr>
        <w:tc>
          <w:tcPr>
            <w:tcW w:w="6574" w:type="dxa"/>
          </w:tcPr>
          <w:p w14:paraId="5AFD01FA" w14:textId="77777777" w:rsidR="002C6574" w:rsidRDefault="00000000">
            <w:pPr>
              <w:pStyle w:val="TableParagraph"/>
              <w:spacing w:before="11" w:line="199" w:lineRule="exact"/>
              <w:ind w:left="69"/>
              <w:jc w:val="left"/>
              <w:rPr>
                <w:rFonts w:ascii="Arial"/>
                <w:b/>
                <w:sz w:val="18"/>
              </w:rPr>
            </w:pPr>
            <w:r>
              <w:rPr>
                <w:rFonts w:ascii="Arial"/>
                <w:b/>
                <w:sz w:val="18"/>
              </w:rPr>
              <w:t>Despesas</w:t>
            </w:r>
            <w:r>
              <w:rPr>
                <w:rFonts w:ascii="Arial"/>
                <w:b/>
                <w:spacing w:val="1"/>
                <w:sz w:val="18"/>
              </w:rPr>
              <w:t xml:space="preserve"> </w:t>
            </w:r>
            <w:r>
              <w:rPr>
                <w:rFonts w:ascii="Arial"/>
                <w:b/>
                <w:spacing w:val="-2"/>
                <w:sz w:val="18"/>
              </w:rPr>
              <w:t>Financeiras</w:t>
            </w:r>
          </w:p>
        </w:tc>
        <w:tc>
          <w:tcPr>
            <w:tcW w:w="1366" w:type="dxa"/>
          </w:tcPr>
          <w:p w14:paraId="3741C231" w14:textId="77777777" w:rsidR="002C6574" w:rsidRDefault="002C6574">
            <w:pPr>
              <w:pStyle w:val="TableParagraph"/>
              <w:jc w:val="left"/>
              <w:rPr>
                <w:rFonts w:ascii="Times New Roman"/>
                <w:sz w:val="16"/>
              </w:rPr>
            </w:pPr>
          </w:p>
        </w:tc>
        <w:tc>
          <w:tcPr>
            <w:tcW w:w="1832" w:type="dxa"/>
          </w:tcPr>
          <w:p w14:paraId="70C39AA1" w14:textId="77777777" w:rsidR="002C6574" w:rsidRDefault="002C6574">
            <w:pPr>
              <w:pStyle w:val="TableParagraph"/>
              <w:jc w:val="left"/>
              <w:rPr>
                <w:rFonts w:ascii="Times New Roman"/>
                <w:sz w:val="16"/>
              </w:rPr>
            </w:pPr>
          </w:p>
        </w:tc>
      </w:tr>
      <w:tr w:rsidR="002C6574" w14:paraId="12A54847" w14:textId="77777777">
        <w:trPr>
          <w:trHeight w:val="232"/>
        </w:trPr>
        <w:tc>
          <w:tcPr>
            <w:tcW w:w="6574" w:type="dxa"/>
          </w:tcPr>
          <w:p w14:paraId="501A7F88" w14:textId="77777777" w:rsidR="002C6574" w:rsidRDefault="00000000">
            <w:pPr>
              <w:pStyle w:val="TableParagraph"/>
              <w:spacing w:line="212" w:lineRule="exact"/>
              <w:ind w:left="69"/>
              <w:jc w:val="left"/>
              <w:rPr>
                <w:sz w:val="18"/>
              </w:rPr>
            </w:pPr>
            <w:r>
              <w:rPr>
                <w:sz w:val="18"/>
              </w:rPr>
              <w:t>Juros</w:t>
            </w:r>
            <w:r>
              <w:rPr>
                <w:spacing w:val="-1"/>
                <w:sz w:val="18"/>
              </w:rPr>
              <w:t xml:space="preserve"> </w:t>
            </w:r>
            <w:r>
              <w:rPr>
                <w:sz w:val="18"/>
              </w:rPr>
              <w:t>sobre</w:t>
            </w:r>
            <w:r>
              <w:rPr>
                <w:spacing w:val="-1"/>
                <w:sz w:val="18"/>
              </w:rPr>
              <w:t xml:space="preserve"> </w:t>
            </w:r>
            <w:r>
              <w:rPr>
                <w:sz w:val="18"/>
              </w:rPr>
              <w:t>Adiantamento</w:t>
            </w:r>
            <w:r>
              <w:rPr>
                <w:spacing w:val="-4"/>
                <w:sz w:val="18"/>
              </w:rPr>
              <w:t xml:space="preserve"> </w:t>
            </w:r>
            <w:r>
              <w:rPr>
                <w:sz w:val="18"/>
              </w:rPr>
              <w:t>para</w:t>
            </w:r>
            <w:r>
              <w:rPr>
                <w:spacing w:val="-1"/>
                <w:sz w:val="18"/>
              </w:rPr>
              <w:t xml:space="preserve"> </w:t>
            </w:r>
            <w:r>
              <w:rPr>
                <w:sz w:val="18"/>
              </w:rPr>
              <w:t>Futuro</w:t>
            </w:r>
            <w:r>
              <w:rPr>
                <w:spacing w:val="-1"/>
                <w:sz w:val="18"/>
              </w:rPr>
              <w:t xml:space="preserve"> </w:t>
            </w:r>
            <w:r>
              <w:rPr>
                <w:sz w:val="18"/>
              </w:rPr>
              <w:t>Aumento</w:t>
            </w:r>
            <w:r>
              <w:rPr>
                <w:spacing w:val="1"/>
                <w:sz w:val="18"/>
              </w:rPr>
              <w:t xml:space="preserve"> </w:t>
            </w:r>
            <w:r>
              <w:rPr>
                <w:sz w:val="18"/>
              </w:rPr>
              <w:t>de</w:t>
            </w:r>
            <w:r>
              <w:rPr>
                <w:spacing w:val="-2"/>
                <w:sz w:val="18"/>
              </w:rPr>
              <w:t xml:space="preserve"> </w:t>
            </w:r>
            <w:r>
              <w:rPr>
                <w:sz w:val="18"/>
              </w:rPr>
              <w:t>Capital</w:t>
            </w:r>
            <w:r>
              <w:rPr>
                <w:spacing w:val="1"/>
                <w:sz w:val="18"/>
              </w:rPr>
              <w:t xml:space="preserve"> </w:t>
            </w:r>
            <w:r>
              <w:rPr>
                <w:spacing w:val="-4"/>
                <w:sz w:val="18"/>
              </w:rPr>
              <w:t>(iii)</w:t>
            </w:r>
          </w:p>
        </w:tc>
        <w:tc>
          <w:tcPr>
            <w:tcW w:w="1366" w:type="dxa"/>
          </w:tcPr>
          <w:p w14:paraId="239B77A6" w14:textId="77777777" w:rsidR="002C6574" w:rsidRDefault="00000000">
            <w:pPr>
              <w:pStyle w:val="TableParagraph"/>
              <w:spacing w:line="212" w:lineRule="exact"/>
              <w:ind w:right="59"/>
              <w:rPr>
                <w:sz w:val="18"/>
              </w:rPr>
            </w:pPr>
            <w:r>
              <w:rPr>
                <w:spacing w:val="-2"/>
                <w:w w:val="105"/>
                <w:sz w:val="18"/>
              </w:rPr>
              <w:t>(249.981)</w:t>
            </w:r>
          </w:p>
        </w:tc>
        <w:tc>
          <w:tcPr>
            <w:tcW w:w="1832" w:type="dxa"/>
          </w:tcPr>
          <w:p w14:paraId="1E49DCB8" w14:textId="77777777" w:rsidR="002C6574" w:rsidRDefault="00000000">
            <w:pPr>
              <w:pStyle w:val="TableParagraph"/>
              <w:spacing w:line="212" w:lineRule="exact"/>
              <w:ind w:right="60"/>
              <w:rPr>
                <w:sz w:val="18"/>
              </w:rPr>
            </w:pPr>
            <w:r>
              <w:rPr>
                <w:spacing w:val="-2"/>
                <w:w w:val="105"/>
                <w:sz w:val="18"/>
              </w:rPr>
              <w:t>(189.369)</w:t>
            </w:r>
          </w:p>
        </w:tc>
      </w:tr>
      <w:tr w:rsidR="002C6574" w14:paraId="09C7E0C3" w14:textId="77777777">
        <w:trPr>
          <w:trHeight w:val="232"/>
        </w:trPr>
        <w:tc>
          <w:tcPr>
            <w:tcW w:w="6574" w:type="dxa"/>
          </w:tcPr>
          <w:p w14:paraId="69D27F91" w14:textId="77777777" w:rsidR="002C6574" w:rsidRDefault="00000000">
            <w:pPr>
              <w:pStyle w:val="TableParagraph"/>
              <w:spacing w:line="212" w:lineRule="exact"/>
              <w:ind w:left="69"/>
              <w:jc w:val="left"/>
              <w:rPr>
                <w:sz w:val="18"/>
              </w:rPr>
            </w:pPr>
            <w:r>
              <w:rPr>
                <w:sz w:val="18"/>
              </w:rPr>
              <w:t>Juros</w:t>
            </w:r>
            <w:r>
              <w:rPr>
                <w:spacing w:val="8"/>
                <w:sz w:val="18"/>
              </w:rPr>
              <w:t xml:space="preserve"> </w:t>
            </w:r>
            <w:r>
              <w:rPr>
                <w:sz w:val="18"/>
              </w:rPr>
              <w:t>e</w:t>
            </w:r>
            <w:r>
              <w:rPr>
                <w:spacing w:val="13"/>
                <w:sz w:val="18"/>
              </w:rPr>
              <w:t xml:space="preserve"> </w:t>
            </w:r>
            <w:r>
              <w:rPr>
                <w:sz w:val="18"/>
              </w:rPr>
              <w:t>Variação</w:t>
            </w:r>
            <w:r>
              <w:rPr>
                <w:spacing w:val="8"/>
                <w:sz w:val="18"/>
              </w:rPr>
              <w:t xml:space="preserve"> </w:t>
            </w:r>
            <w:r>
              <w:rPr>
                <w:sz w:val="18"/>
              </w:rPr>
              <w:t>Monetária</w:t>
            </w:r>
            <w:r>
              <w:rPr>
                <w:spacing w:val="8"/>
                <w:sz w:val="18"/>
              </w:rPr>
              <w:t xml:space="preserve"> </w:t>
            </w:r>
            <w:r>
              <w:rPr>
                <w:sz w:val="18"/>
              </w:rPr>
              <w:t>de</w:t>
            </w:r>
            <w:r>
              <w:rPr>
                <w:spacing w:val="8"/>
                <w:sz w:val="18"/>
              </w:rPr>
              <w:t xml:space="preserve"> </w:t>
            </w:r>
            <w:r>
              <w:rPr>
                <w:sz w:val="18"/>
              </w:rPr>
              <w:t>Acordos</w:t>
            </w:r>
            <w:r>
              <w:rPr>
                <w:spacing w:val="10"/>
                <w:sz w:val="18"/>
              </w:rPr>
              <w:t xml:space="preserve"> </w:t>
            </w:r>
            <w:r>
              <w:rPr>
                <w:sz w:val="18"/>
              </w:rPr>
              <w:t>Judiciais</w:t>
            </w:r>
            <w:r>
              <w:rPr>
                <w:spacing w:val="9"/>
                <w:sz w:val="18"/>
              </w:rPr>
              <w:t xml:space="preserve"> </w:t>
            </w:r>
            <w:r>
              <w:rPr>
                <w:spacing w:val="-4"/>
                <w:sz w:val="18"/>
              </w:rPr>
              <w:t>(iii)</w:t>
            </w:r>
          </w:p>
        </w:tc>
        <w:tc>
          <w:tcPr>
            <w:tcW w:w="1366" w:type="dxa"/>
          </w:tcPr>
          <w:p w14:paraId="4B74CB38" w14:textId="77777777" w:rsidR="002C6574" w:rsidRDefault="00000000">
            <w:pPr>
              <w:pStyle w:val="TableParagraph"/>
              <w:spacing w:line="212" w:lineRule="exact"/>
              <w:ind w:right="58"/>
              <w:rPr>
                <w:sz w:val="18"/>
              </w:rPr>
            </w:pPr>
            <w:r>
              <w:rPr>
                <w:spacing w:val="-2"/>
                <w:w w:val="110"/>
                <w:sz w:val="18"/>
              </w:rPr>
              <w:t>(14.247)</w:t>
            </w:r>
          </w:p>
        </w:tc>
        <w:tc>
          <w:tcPr>
            <w:tcW w:w="1832" w:type="dxa"/>
          </w:tcPr>
          <w:p w14:paraId="5AA5129C" w14:textId="77777777" w:rsidR="002C6574" w:rsidRDefault="00000000">
            <w:pPr>
              <w:pStyle w:val="TableParagraph"/>
              <w:spacing w:line="212" w:lineRule="exact"/>
              <w:ind w:right="60"/>
              <w:rPr>
                <w:sz w:val="18"/>
              </w:rPr>
            </w:pPr>
            <w:r>
              <w:rPr>
                <w:spacing w:val="-2"/>
                <w:w w:val="110"/>
                <w:sz w:val="18"/>
              </w:rPr>
              <w:t>(12.998)</w:t>
            </w:r>
          </w:p>
        </w:tc>
      </w:tr>
      <w:tr w:rsidR="002C6574" w14:paraId="59399CC2" w14:textId="77777777">
        <w:trPr>
          <w:trHeight w:val="232"/>
        </w:trPr>
        <w:tc>
          <w:tcPr>
            <w:tcW w:w="6574" w:type="dxa"/>
          </w:tcPr>
          <w:p w14:paraId="54065681" w14:textId="77777777" w:rsidR="002C6574" w:rsidRDefault="00000000">
            <w:pPr>
              <w:pStyle w:val="TableParagraph"/>
              <w:spacing w:line="212" w:lineRule="exact"/>
              <w:ind w:left="69"/>
              <w:jc w:val="left"/>
              <w:rPr>
                <w:sz w:val="18"/>
              </w:rPr>
            </w:pPr>
            <w:r>
              <w:rPr>
                <w:sz w:val="18"/>
              </w:rPr>
              <w:t>Juros</w:t>
            </w:r>
            <w:r>
              <w:rPr>
                <w:spacing w:val="17"/>
                <w:sz w:val="18"/>
              </w:rPr>
              <w:t xml:space="preserve"> </w:t>
            </w:r>
            <w:r>
              <w:rPr>
                <w:sz w:val="18"/>
              </w:rPr>
              <w:t>s/</w:t>
            </w:r>
            <w:r>
              <w:rPr>
                <w:spacing w:val="17"/>
                <w:sz w:val="18"/>
              </w:rPr>
              <w:t xml:space="preserve"> </w:t>
            </w:r>
            <w:r>
              <w:rPr>
                <w:sz w:val="18"/>
              </w:rPr>
              <w:t>Prov.</w:t>
            </w:r>
            <w:r>
              <w:rPr>
                <w:spacing w:val="18"/>
                <w:sz w:val="18"/>
              </w:rPr>
              <w:t xml:space="preserve"> </w:t>
            </w:r>
            <w:r>
              <w:rPr>
                <w:sz w:val="18"/>
              </w:rPr>
              <w:t>p/</w:t>
            </w:r>
            <w:r>
              <w:rPr>
                <w:spacing w:val="21"/>
                <w:sz w:val="18"/>
              </w:rPr>
              <w:t xml:space="preserve"> </w:t>
            </w:r>
            <w:r>
              <w:rPr>
                <w:sz w:val="18"/>
              </w:rPr>
              <w:t>Riscos</w:t>
            </w:r>
            <w:r>
              <w:rPr>
                <w:spacing w:val="19"/>
                <w:sz w:val="18"/>
              </w:rPr>
              <w:t xml:space="preserve"> </w:t>
            </w:r>
            <w:r>
              <w:rPr>
                <w:sz w:val="18"/>
              </w:rPr>
              <w:t>Trabalhistas,</w:t>
            </w:r>
            <w:r>
              <w:rPr>
                <w:spacing w:val="18"/>
                <w:sz w:val="18"/>
              </w:rPr>
              <w:t xml:space="preserve"> </w:t>
            </w:r>
            <w:r>
              <w:rPr>
                <w:sz w:val="18"/>
              </w:rPr>
              <w:t>Cíveis</w:t>
            </w:r>
            <w:r>
              <w:rPr>
                <w:spacing w:val="21"/>
                <w:sz w:val="18"/>
              </w:rPr>
              <w:t xml:space="preserve"> </w:t>
            </w:r>
            <w:r>
              <w:rPr>
                <w:sz w:val="18"/>
              </w:rPr>
              <w:t>e</w:t>
            </w:r>
            <w:r>
              <w:rPr>
                <w:spacing w:val="16"/>
                <w:sz w:val="18"/>
              </w:rPr>
              <w:t xml:space="preserve"> </w:t>
            </w:r>
            <w:r>
              <w:rPr>
                <w:spacing w:val="-2"/>
                <w:sz w:val="18"/>
              </w:rPr>
              <w:t>Fiscais</w:t>
            </w:r>
          </w:p>
        </w:tc>
        <w:tc>
          <w:tcPr>
            <w:tcW w:w="1366" w:type="dxa"/>
          </w:tcPr>
          <w:p w14:paraId="12317F83" w14:textId="77777777" w:rsidR="002C6574" w:rsidRDefault="00000000">
            <w:pPr>
              <w:pStyle w:val="TableParagraph"/>
              <w:spacing w:line="212" w:lineRule="exact"/>
              <w:ind w:right="57"/>
              <w:rPr>
                <w:sz w:val="18"/>
              </w:rPr>
            </w:pPr>
            <w:r>
              <w:rPr>
                <w:spacing w:val="-2"/>
                <w:w w:val="110"/>
                <w:sz w:val="18"/>
              </w:rPr>
              <w:t>(4.760)</w:t>
            </w:r>
          </w:p>
        </w:tc>
        <w:tc>
          <w:tcPr>
            <w:tcW w:w="1832" w:type="dxa"/>
          </w:tcPr>
          <w:p w14:paraId="0FF5869B" w14:textId="77777777" w:rsidR="002C6574" w:rsidRDefault="00000000">
            <w:pPr>
              <w:pStyle w:val="TableParagraph"/>
              <w:spacing w:line="212" w:lineRule="exact"/>
              <w:ind w:right="59"/>
              <w:rPr>
                <w:sz w:val="18"/>
              </w:rPr>
            </w:pPr>
            <w:r>
              <w:rPr>
                <w:spacing w:val="-2"/>
                <w:w w:val="110"/>
                <w:sz w:val="18"/>
              </w:rPr>
              <w:t>(4.463)</w:t>
            </w:r>
          </w:p>
        </w:tc>
      </w:tr>
      <w:tr w:rsidR="002C6574" w14:paraId="31D54C98" w14:textId="77777777">
        <w:trPr>
          <w:trHeight w:val="232"/>
        </w:trPr>
        <w:tc>
          <w:tcPr>
            <w:tcW w:w="6574" w:type="dxa"/>
          </w:tcPr>
          <w:p w14:paraId="123F9E03" w14:textId="77777777" w:rsidR="002C6574" w:rsidRDefault="00000000">
            <w:pPr>
              <w:pStyle w:val="TableParagraph"/>
              <w:spacing w:line="212" w:lineRule="exact"/>
              <w:ind w:left="69"/>
              <w:jc w:val="left"/>
              <w:rPr>
                <w:sz w:val="18"/>
              </w:rPr>
            </w:pPr>
            <w:r>
              <w:rPr>
                <w:sz w:val="18"/>
              </w:rPr>
              <w:t>Juros</w:t>
            </w:r>
            <w:r>
              <w:rPr>
                <w:spacing w:val="7"/>
                <w:sz w:val="18"/>
              </w:rPr>
              <w:t xml:space="preserve"> </w:t>
            </w:r>
            <w:r>
              <w:rPr>
                <w:sz w:val="18"/>
              </w:rPr>
              <w:t>sobre</w:t>
            </w:r>
            <w:r>
              <w:rPr>
                <w:spacing w:val="8"/>
                <w:sz w:val="18"/>
              </w:rPr>
              <w:t xml:space="preserve"> </w:t>
            </w:r>
            <w:r>
              <w:rPr>
                <w:sz w:val="18"/>
              </w:rPr>
              <w:t>Obrigações</w:t>
            </w:r>
            <w:r>
              <w:rPr>
                <w:spacing w:val="10"/>
                <w:sz w:val="18"/>
              </w:rPr>
              <w:t xml:space="preserve"> </w:t>
            </w:r>
            <w:r>
              <w:rPr>
                <w:sz w:val="18"/>
              </w:rPr>
              <w:t>com</w:t>
            </w:r>
            <w:r>
              <w:rPr>
                <w:spacing w:val="8"/>
                <w:sz w:val="18"/>
              </w:rPr>
              <w:t xml:space="preserve"> </w:t>
            </w:r>
            <w:r>
              <w:rPr>
                <w:spacing w:val="-2"/>
                <w:sz w:val="18"/>
              </w:rPr>
              <w:t>Fornecedores</w:t>
            </w:r>
          </w:p>
        </w:tc>
        <w:tc>
          <w:tcPr>
            <w:tcW w:w="1366" w:type="dxa"/>
          </w:tcPr>
          <w:p w14:paraId="2D9DA345" w14:textId="77777777" w:rsidR="002C6574" w:rsidRDefault="00000000">
            <w:pPr>
              <w:pStyle w:val="TableParagraph"/>
              <w:spacing w:line="212" w:lineRule="exact"/>
              <w:ind w:right="57"/>
              <w:rPr>
                <w:sz w:val="18"/>
              </w:rPr>
            </w:pPr>
            <w:r>
              <w:rPr>
                <w:spacing w:val="-2"/>
                <w:w w:val="110"/>
                <w:sz w:val="18"/>
              </w:rPr>
              <w:t>(2.568)</w:t>
            </w:r>
          </w:p>
        </w:tc>
        <w:tc>
          <w:tcPr>
            <w:tcW w:w="1832" w:type="dxa"/>
          </w:tcPr>
          <w:p w14:paraId="138D612A" w14:textId="77777777" w:rsidR="002C6574" w:rsidRDefault="00000000">
            <w:pPr>
              <w:pStyle w:val="TableParagraph"/>
              <w:spacing w:line="212" w:lineRule="exact"/>
              <w:ind w:right="62"/>
              <w:rPr>
                <w:sz w:val="18"/>
              </w:rPr>
            </w:pPr>
            <w:r>
              <w:rPr>
                <w:spacing w:val="-10"/>
                <w:w w:val="95"/>
                <w:sz w:val="18"/>
              </w:rPr>
              <w:t>-</w:t>
            </w:r>
          </w:p>
        </w:tc>
      </w:tr>
      <w:tr w:rsidR="002C6574" w14:paraId="63500134" w14:textId="77777777">
        <w:trPr>
          <w:trHeight w:val="232"/>
        </w:trPr>
        <w:tc>
          <w:tcPr>
            <w:tcW w:w="6574" w:type="dxa"/>
          </w:tcPr>
          <w:p w14:paraId="5EE82FDE" w14:textId="77777777" w:rsidR="002C6574" w:rsidRDefault="00000000">
            <w:pPr>
              <w:pStyle w:val="TableParagraph"/>
              <w:spacing w:line="212" w:lineRule="exact"/>
              <w:ind w:left="69"/>
              <w:jc w:val="left"/>
              <w:rPr>
                <w:sz w:val="18"/>
              </w:rPr>
            </w:pPr>
            <w:r>
              <w:rPr>
                <w:sz w:val="18"/>
              </w:rPr>
              <w:t>Variação</w:t>
            </w:r>
            <w:r>
              <w:rPr>
                <w:spacing w:val="11"/>
                <w:sz w:val="18"/>
              </w:rPr>
              <w:t xml:space="preserve"> </w:t>
            </w:r>
            <w:r>
              <w:rPr>
                <w:sz w:val="18"/>
              </w:rPr>
              <w:t>Cambial</w:t>
            </w:r>
            <w:r>
              <w:rPr>
                <w:spacing w:val="7"/>
                <w:sz w:val="18"/>
              </w:rPr>
              <w:t xml:space="preserve"> </w:t>
            </w:r>
            <w:r>
              <w:rPr>
                <w:sz w:val="18"/>
              </w:rPr>
              <w:t>sobre</w:t>
            </w:r>
            <w:r>
              <w:rPr>
                <w:spacing w:val="8"/>
                <w:sz w:val="18"/>
              </w:rPr>
              <w:t xml:space="preserve"> </w:t>
            </w:r>
            <w:r>
              <w:rPr>
                <w:sz w:val="18"/>
              </w:rPr>
              <w:t>Obrigações</w:t>
            </w:r>
            <w:r>
              <w:rPr>
                <w:spacing w:val="10"/>
                <w:sz w:val="18"/>
              </w:rPr>
              <w:t xml:space="preserve"> </w:t>
            </w:r>
            <w:r>
              <w:rPr>
                <w:sz w:val="18"/>
              </w:rPr>
              <w:t>com</w:t>
            </w:r>
            <w:r>
              <w:rPr>
                <w:spacing w:val="10"/>
                <w:sz w:val="18"/>
              </w:rPr>
              <w:t xml:space="preserve"> </w:t>
            </w:r>
            <w:r>
              <w:rPr>
                <w:spacing w:val="-2"/>
                <w:sz w:val="18"/>
              </w:rPr>
              <w:t>Fornecedores</w:t>
            </w:r>
          </w:p>
        </w:tc>
        <w:tc>
          <w:tcPr>
            <w:tcW w:w="1366" w:type="dxa"/>
          </w:tcPr>
          <w:p w14:paraId="0C8150E3" w14:textId="77777777" w:rsidR="002C6574" w:rsidRDefault="00000000">
            <w:pPr>
              <w:pStyle w:val="TableParagraph"/>
              <w:spacing w:line="212" w:lineRule="exact"/>
              <w:ind w:right="58"/>
              <w:rPr>
                <w:sz w:val="18"/>
              </w:rPr>
            </w:pPr>
            <w:r>
              <w:rPr>
                <w:spacing w:val="-2"/>
                <w:w w:val="110"/>
                <w:sz w:val="18"/>
              </w:rPr>
              <w:t>(2.511)</w:t>
            </w:r>
          </w:p>
        </w:tc>
        <w:tc>
          <w:tcPr>
            <w:tcW w:w="1832" w:type="dxa"/>
          </w:tcPr>
          <w:p w14:paraId="5808C3E5" w14:textId="77777777" w:rsidR="002C6574" w:rsidRDefault="00000000">
            <w:pPr>
              <w:pStyle w:val="TableParagraph"/>
              <w:spacing w:line="212" w:lineRule="exact"/>
              <w:ind w:right="62"/>
              <w:rPr>
                <w:sz w:val="18"/>
              </w:rPr>
            </w:pPr>
            <w:r>
              <w:rPr>
                <w:spacing w:val="-10"/>
                <w:w w:val="95"/>
                <w:sz w:val="18"/>
              </w:rPr>
              <w:t>-</w:t>
            </w:r>
          </w:p>
        </w:tc>
      </w:tr>
      <w:tr w:rsidR="002C6574" w14:paraId="218DEE2C" w14:textId="77777777">
        <w:trPr>
          <w:trHeight w:val="230"/>
        </w:trPr>
        <w:tc>
          <w:tcPr>
            <w:tcW w:w="6574" w:type="dxa"/>
          </w:tcPr>
          <w:p w14:paraId="0F4B2001" w14:textId="77777777" w:rsidR="002C6574" w:rsidRDefault="00000000">
            <w:pPr>
              <w:pStyle w:val="TableParagraph"/>
              <w:spacing w:line="210" w:lineRule="exact"/>
              <w:ind w:left="69"/>
              <w:jc w:val="left"/>
              <w:rPr>
                <w:sz w:val="18"/>
              </w:rPr>
            </w:pPr>
            <w:r>
              <w:rPr>
                <w:w w:val="105"/>
                <w:sz w:val="18"/>
              </w:rPr>
              <w:t>V.</w:t>
            </w:r>
            <w:r>
              <w:rPr>
                <w:spacing w:val="-1"/>
                <w:w w:val="105"/>
                <w:sz w:val="18"/>
              </w:rPr>
              <w:t xml:space="preserve"> </w:t>
            </w:r>
            <w:r>
              <w:rPr>
                <w:w w:val="105"/>
                <w:sz w:val="18"/>
              </w:rPr>
              <w:t>M.</w:t>
            </w:r>
            <w:r>
              <w:rPr>
                <w:spacing w:val="-2"/>
                <w:w w:val="105"/>
                <w:sz w:val="18"/>
              </w:rPr>
              <w:t xml:space="preserve"> </w:t>
            </w:r>
            <w:r>
              <w:rPr>
                <w:w w:val="105"/>
                <w:sz w:val="18"/>
              </w:rPr>
              <w:t>sobre</w:t>
            </w:r>
            <w:r>
              <w:rPr>
                <w:spacing w:val="-2"/>
                <w:w w:val="105"/>
                <w:sz w:val="18"/>
              </w:rPr>
              <w:t xml:space="preserve"> </w:t>
            </w:r>
            <w:r>
              <w:rPr>
                <w:w w:val="105"/>
                <w:sz w:val="18"/>
              </w:rPr>
              <w:t>Riscos Trabalhistas,</w:t>
            </w:r>
            <w:r>
              <w:rPr>
                <w:spacing w:val="-1"/>
                <w:w w:val="105"/>
                <w:sz w:val="18"/>
              </w:rPr>
              <w:t xml:space="preserve"> </w:t>
            </w:r>
            <w:r>
              <w:rPr>
                <w:w w:val="105"/>
                <w:sz w:val="18"/>
              </w:rPr>
              <w:t>Cíveis</w:t>
            </w:r>
            <w:r>
              <w:rPr>
                <w:spacing w:val="-3"/>
                <w:w w:val="105"/>
                <w:sz w:val="18"/>
              </w:rPr>
              <w:t xml:space="preserve"> </w:t>
            </w:r>
            <w:r>
              <w:rPr>
                <w:w w:val="105"/>
                <w:sz w:val="18"/>
              </w:rPr>
              <w:t>e</w:t>
            </w:r>
            <w:r>
              <w:rPr>
                <w:spacing w:val="1"/>
                <w:w w:val="105"/>
                <w:sz w:val="18"/>
              </w:rPr>
              <w:t xml:space="preserve"> </w:t>
            </w:r>
            <w:r>
              <w:rPr>
                <w:spacing w:val="-2"/>
                <w:w w:val="105"/>
                <w:sz w:val="18"/>
              </w:rPr>
              <w:t>Fiscais</w:t>
            </w:r>
          </w:p>
        </w:tc>
        <w:tc>
          <w:tcPr>
            <w:tcW w:w="1366" w:type="dxa"/>
          </w:tcPr>
          <w:p w14:paraId="5017805B" w14:textId="77777777" w:rsidR="002C6574" w:rsidRDefault="00000000">
            <w:pPr>
              <w:pStyle w:val="TableParagraph"/>
              <w:spacing w:line="210" w:lineRule="exact"/>
              <w:ind w:right="59"/>
              <w:rPr>
                <w:sz w:val="18"/>
              </w:rPr>
            </w:pPr>
            <w:r>
              <w:rPr>
                <w:spacing w:val="-2"/>
                <w:w w:val="110"/>
                <w:sz w:val="18"/>
              </w:rPr>
              <w:t>(1.724)</w:t>
            </w:r>
          </w:p>
        </w:tc>
        <w:tc>
          <w:tcPr>
            <w:tcW w:w="1832" w:type="dxa"/>
          </w:tcPr>
          <w:p w14:paraId="30A41387" w14:textId="77777777" w:rsidR="002C6574" w:rsidRDefault="00000000">
            <w:pPr>
              <w:pStyle w:val="TableParagraph"/>
              <w:spacing w:line="210" w:lineRule="exact"/>
              <w:ind w:right="59"/>
              <w:rPr>
                <w:sz w:val="18"/>
              </w:rPr>
            </w:pPr>
            <w:r>
              <w:rPr>
                <w:spacing w:val="-2"/>
                <w:w w:val="110"/>
                <w:sz w:val="18"/>
              </w:rPr>
              <w:t>(1.835)</w:t>
            </w:r>
          </w:p>
        </w:tc>
      </w:tr>
      <w:tr w:rsidR="002C6574" w14:paraId="05DCEBAF" w14:textId="77777777">
        <w:trPr>
          <w:trHeight w:val="232"/>
        </w:trPr>
        <w:tc>
          <w:tcPr>
            <w:tcW w:w="6574" w:type="dxa"/>
          </w:tcPr>
          <w:p w14:paraId="5CF6D670" w14:textId="77777777" w:rsidR="002C6574" w:rsidRDefault="00000000">
            <w:pPr>
              <w:pStyle w:val="TableParagraph"/>
              <w:spacing w:line="212" w:lineRule="exact"/>
              <w:ind w:left="69"/>
              <w:jc w:val="left"/>
              <w:rPr>
                <w:sz w:val="18"/>
              </w:rPr>
            </w:pPr>
            <w:r>
              <w:rPr>
                <w:sz w:val="18"/>
              </w:rPr>
              <w:t>Juros</w:t>
            </w:r>
            <w:r>
              <w:rPr>
                <w:spacing w:val="6"/>
                <w:sz w:val="18"/>
              </w:rPr>
              <w:t xml:space="preserve"> </w:t>
            </w:r>
            <w:r>
              <w:rPr>
                <w:sz w:val="18"/>
              </w:rPr>
              <w:t>sobre</w:t>
            </w:r>
            <w:r>
              <w:rPr>
                <w:spacing w:val="7"/>
                <w:sz w:val="18"/>
              </w:rPr>
              <w:t xml:space="preserve"> </w:t>
            </w:r>
            <w:r>
              <w:rPr>
                <w:sz w:val="18"/>
              </w:rPr>
              <w:t>Operações</w:t>
            </w:r>
            <w:r>
              <w:rPr>
                <w:spacing w:val="4"/>
                <w:sz w:val="18"/>
              </w:rPr>
              <w:t xml:space="preserve"> </w:t>
            </w:r>
            <w:r>
              <w:rPr>
                <w:sz w:val="18"/>
              </w:rPr>
              <w:t>de</w:t>
            </w:r>
            <w:r>
              <w:rPr>
                <w:spacing w:val="10"/>
                <w:sz w:val="18"/>
              </w:rPr>
              <w:t xml:space="preserve"> </w:t>
            </w:r>
            <w:r>
              <w:rPr>
                <w:sz w:val="18"/>
              </w:rPr>
              <w:t>Arrendamento</w:t>
            </w:r>
            <w:r>
              <w:rPr>
                <w:spacing w:val="8"/>
                <w:sz w:val="18"/>
              </w:rPr>
              <w:t xml:space="preserve"> </w:t>
            </w:r>
            <w:r>
              <w:rPr>
                <w:spacing w:val="-2"/>
                <w:sz w:val="18"/>
              </w:rPr>
              <w:t>Mercantil</w:t>
            </w:r>
          </w:p>
        </w:tc>
        <w:tc>
          <w:tcPr>
            <w:tcW w:w="1366" w:type="dxa"/>
          </w:tcPr>
          <w:p w14:paraId="048D7955" w14:textId="77777777" w:rsidR="002C6574" w:rsidRDefault="00000000">
            <w:pPr>
              <w:pStyle w:val="TableParagraph"/>
              <w:spacing w:line="212" w:lineRule="exact"/>
              <w:ind w:right="59"/>
              <w:rPr>
                <w:sz w:val="18"/>
              </w:rPr>
            </w:pPr>
            <w:r>
              <w:rPr>
                <w:spacing w:val="-2"/>
                <w:w w:val="105"/>
                <w:sz w:val="18"/>
              </w:rPr>
              <w:t>(868)</w:t>
            </w:r>
          </w:p>
        </w:tc>
        <w:tc>
          <w:tcPr>
            <w:tcW w:w="1832" w:type="dxa"/>
          </w:tcPr>
          <w:p w14:paraId="427461E8" w14:textId="77777777" w:rsidR="002C6574" w:rsidRDefault="00000000">
            <w:pPr>
              <w:pStyle w:val="TableParagraph"/>
              <w:spacing w:line="212" w:lineRule="exact"/>
              <w:ind w:right="59"/>
              <w:rPr>
                <w:sz w:val="18"/>
              </w:rPr>
            </w:pPr>
            <w:r>
              <w:rPr>
                <w:spacing w:val="-2"/>
                <w:w w:val="105"/>
                <w:sz w:val="18"/>
              </w:rPr>
              <w:t>(741)</w:t>
            </w:r>
          </w:p>
        </w:tc>
      </w:tr>
      <w:tr w:rsidR="002C6574" w14:paraId="5A06988E" w14:textId="77777777">
        <w:trPr>
          <w:trHeight w:val="232"/>
        </w:trPr>
        <w:tc>
          <w:tcPr>
            <w:tcW w:w="6574" w:type="dxa"/>
          </w:tcPr>
          <w:p w14:paraId="074A495B" w14:textId="77777777" w:rsidR="002C6574" w:rsidRDefault="00000000">
            <w:pPr>
              <w:pStyle w:val="TableParagraph"/>
              <w:spacing w:line="212" w:lineRule="exact"/>
              <w:ind w:left="69"/>
              <w:jc w:val="left"/>
              <w:rPr>
                <w:sz w:val="18"/>
              </w:rPr>
            </w:pPr>
            <w:r>
              <w:rPr>
                <w:sz w:val="18"/>
              </w:rPr>
              <w:t>Juros</w:t>
            </w:r>
            <w:r>
              <w:rPr>
                <w:spacing w:val="15"/>
                <w:sz w:val="18"/>
              </w:rPr>
              <w:t xml:space="preserve"> </w:t>
            </w:r>
            <w:r>
              <w:rPr>
                <w:sz w:val="18"/>
              </w:rPr>
              <w:t>sobre</w:t>
            </w:r>
            <w:r>
              <w:rPr>
                <w:spacing w:val="15"/>
                <w:sz w:val="18"/>
              </w:rPr>
              <w:t xml:space="preserve"> </w:t>
            </w:r>
            <w:r>
              <w:rPr>
                <w:spacing w:val="-2"/>
                <w:sz w:val="18"/>
              </w:rPr>
              <w:t>Tributos</w:t>
            </w:r>
          </w:p>
        </w:tc>
        <w:tc>
          <w:tcPr>
            <w:tcW w:w="1366" w:type="dxa"/>
          </w:tcPr>
          <w:p w14:paraId="47ECE50D" w14:textId="77777777" w:rsidR="002C6574" w:rsidRDefault="00000000">
            <w:pPr>
              <w:pStyle w:val="TableParagraph"/>
              <w:spacing w:line="212" w:lineRule="exact"/>
              <w:ind w:right="58"/>
              <w:rPr>
                <w:sz w:val="18"/>
              </w:rPr>
            </w:pPr>
            <w:r>
              <w:rPr>
                <w:spacing w:val="-2"/>
                <w:w w:val="105"/>
                <w:sz w:val="18"/>
              </w:rPr>
              <w:t>(486)</w:t>
            </w:r>
          </w:p>
        </w:tc>
        <w:tc>
          <w:tcPr>
            <w:tcW w:w="1832" w:type="dxa"/>
          </w:tcPr>
          <w:p w14:paraId="661BF804" w14:textId="77777777" w:rsidR="002C6574" w:rsidRDefault="00000000">
            <w:pPr>
              <w:pStyle w:val="TableParagraph"/>
              <w:spacing w:line="212" w:lineRule="exact"/>
              <w:ind w:right="59"/>
              <w:rPr>
                <w:sz w:val="18"/>
              </w:rPr>
            </w:pPr>
            <w:r>
              <w:rPr>
                <w:spacing w:val="-2"/>
                <w:w w:val="105"/>
                <w:sz w:val="18"/>
              </w:rPr>
              <w:t>(355)</w:t>
            </w:r>
          </w:p>
        </w:tc>
      </w:tr>
      <w:tr w:rsidR="002C6574" w14:paraId="6DCC1C50" w14:textId="77777777">
        <w:trPr>
          <w:trHeight w:val="232"/>
        </w:trPr>
        <w:tc>
          <w:tcPr>
            <w:tcW w:w="6574" w:type="dxa"/>
          </w:tcPr>
          <w:p w14:paraId="4A175707" w14:textId="77777777" w:rsidR="002C6574" w:rsidRDefault="00000000">
            <w:pPr>
              <w:pStyle w:val="TableParagraph"/>
              <w:spacing w:line="212" w:lineRule="exact"/>
              <w:ind w:left="69"/>
              <w:jc w:val="left"/>
              <w:rPr>
                <w:sz w:val="18"/>
              </w:rPr>
            </w:pPr>
            <w:r>
              <w:rPr>
                <w:sz w:val="18"/>
              </w:rPr>
              <w:t>Juros/V.M</w:t>
            </w:r>
            <w:r>
              <w:rPr>
                <w:spacing w:val="9"/>
                <w:sz w:val="18"/>
              </w:rPr>
              <w:t xml:space="preserve"> </w:t>
            </w:r>
            <w:r>
              <w:rPr>
                <w:sz w:val="18"/>
              </w:rPr>
              <w:t>sobre</w:t>
            </w:r>
            <w:r>
              <w:rPr>
                <w:spacing w:val="12"/>
                <w:sz w:val="18"/>
              </w:rPr>
              <w:t xml:space="preserve"> </w:t>
            </w:r>
            <w:r>
              <w:rPr>
                <w:sz w:val="18"/>
              </w:rPr>
              <w:t>Empréstimos</w:t>
            </w:r>
            <w:r>
              <w:rPr>
                <w:spacing w:val="11"/>
                <w:sz w:val="18"/>
              </w:rPr>
              <w:t xml:space="preserve"> </w:t>
            </w:r>
            <w:r>
              <w:rPr>
                <w:sz w:val="18"/>
              </w:rPr>
              <w:t>e</w:t>
            </w:r>
            <w:r>
              <w:rPr>
                <w:spacing w:val="12"/>
                <w:sz w:val="18"/>
              </w:rPr>
              <w:t xml:space="preserve"> </w:t>
            </w:r>
            <w:r>
              <w:rPr>
                <w:sz w:val="18"/>
              </w:rPr>
              <w:t>Financiamentos</w:t>
            </w:r>
            <w:r>
              <w:rPr>
                <w:spacing w:val="13"/>
                <w:sz w:val="18"/>
              </w:rPr>
              <w:t xml:space="preserve"> </w:t>
            </w:r>
            <w:r>
              <w:rPr>
                <w:sz w:val="18"/>
              </w:rPr>
              <w:t>–</w:t>
            </w:r>
            <w:r>
              <w:rPr>
                <w:spacing w:val="12"/>
                <w:sz w:val="18"/>
              </w:rPr>
              <w:t xml:space="preserve"> </w:t>
            </w:r>
            <w:r>
              <w:rPr>
                <w:sz w:val="18"/>
              </w:rPr>
              <w:t>Finep</w:t>
            </w:r>
            <w:r>
              <w:rPr>
                <w:spacing w:val="12"/>
                <w:sz w:val="18"/>
              </w:rPr>
              <w:t xml:space="preserve"> </w:t>
            </w:r>
            <w:r>
              <w:rPr>
                <w:spacing w:val="-4"/>
                <w:sz w:val="18"/>
              </w:rPr>
              <w:t>(iv)</w:t>
            </w:r>
          </w:p>
        </w:tc>
        <w:tc>
          <w:tcPr>
            <w:tcW w:w="1366" w:type="dxa"/>
          </w:tcPr>
          <w:p w14:paraId="7C728068" w14:textId="77777777" w:rsidR="002C6574" w:rsidRDefault="00000000">
            <w:pPr>
              <w:pStyle w:val="TableParagraph"/>
              <w:spacing w:line="212" w:lineRule="exact"/>
              <w:ind w:right="61"/>
              <w:rPr>
                <w:sz w:val="18"/>
              </w:rPr>
            </w:pPr>
            <w:r>
              <w:rPr>
                <w:spacing w:val="-10"/>
                <w:w w:val="95"/>
                <w:sz w:val="18"/>
              </w:rPr>
              <w:t>-</w:t>
            </w:r>
          </w:p>
        </w:tc>
        <w:tc>
          <w:tcPr>
            <w:tcW w:w="1832" w:type="dxa"/>
          </w:tcPr>
          <w:p w14:paraId="4FB4FFF4" w14:textId="77777777" w:rsidR="002C6574" w:rsidRDefault="00000000">
            <w:pPr>
              <w:pStyle w:val="TableParagraph"/>
              <w:spacing w:line="212" w:lineRule="exact"/>
              <w:ind w:right="59"/>
              <w:rPr>
                <w:sz w:val="18"/>
              </w:rPr>
            </w:pPr>
            <w:r>
              <w:rPr>
                <w:spacing w:val="-2"/>
                <w:w w:val="110"/>
                <w:sz w:val="18"/>
              </w:rPr>
              <w:t>(3.651)</w:t>
            </w:r>
          </w:p>
        </w:tc>
      </w:tr>
      <w:tr w:rsidR="002C6574" w14:paraId="729E6053" w14:textId="77777777">
        <w:trPr>
          <w:trHeight w:val="232"/>
        </w:trPr>
        <w:tc>
          <w:tcPr>
            <w:tcW w:w="6574" w:type="dxa"/>
          </w:tcPr>
          <w:p w14:paraId="4A671FC0" w14:textId="77777777" w:rsidR="002C6574" w:rsidRDefault="00000000">
            <w:pPr>
              <w:pStyle w:val="TableParagraph"/>
              <w:spacing w:before="11" w:line="201" w:lineRule="exact"/>
              <w:ind w:left="69"/>
              <w:jc w:val="left"/>
              <w:rPr>
                <w:rFonts w:ascii="Arial"/>
                <w:b/>
                <w:sz w:val="18"/>
              </w:rPr>
            </w:pPr>
            <w:r>
              <w:rPr>
                <w:rFonts w:ascii="Arial"/>
                <w:b/>
                <w:spacing w:val="-2"/>
                <w:sz w:val="18"/>
              </w:rPr>
              <w:t>Total</w:t>
            </w:r>
          </w:p>
        </w:tc>
        <w:tc>
          <w:tcPr>
            <w:tcW w:w="1366" w:type="dxa"/>
          </w:tcPr>
          <w:p w14:paraId="7139D7CC" w14:textId="77777777" w:rsidR="002C6574" w:rsidRDefault="00000000">
            <w:pPr>
              <w:pStyle w:val="TableParagraph"/>
              <w:spacing w:before="11" w:line="201" w:lineRule="exact"/>
              <w:ind w:right="59"/>
              <w:rPr>
                <w:rFonts w:ascii="Arial"/>
                <w:b/>
                <w:sz w:val="18"/>
              </w:rPr>
            </w:pPr>
            <w:r>
              <w:rPr>
                <w:rFonts w:ascii="Arial"/>
                <w:b/>
                <w:spacing w:val="-2"/>
                <w:sz w:val="18"/>
              </w:rPr>
              <w:t>(277.145)</w:t>
            </w:r>
          </w:p>
        </w:tc>
        <w:tc>
          <w:tcPr>
            <w:tcW w:w="1832" w:type="dxa"/>
          </w:tcPr>
          <w:p w14:paraId="53189F26" w14:textId="77777777" w:rsidR="002C6574" w:rsidRDefault="00000000">
            <w:pPr>
              <w:pStyle w:val="TableParagraph"/>
              <w:spacing w:before="11" w:line="201" w:lineRule="exact"/>
              <w:ind w:right="60"/>
              <w:rPr>
                <w:rFonts w:ascii="Arial"/>
                <w:b/>
                <w:sz w:val="18"/>
              </w:rPr>
            </w:pPr>
            <w:r>
              <w:rPr>
                <w:rFonts w:ascii="Arial"/>
                <w:b/>
                <w:spacing w:val="-2"/>
                <w:sz w:val="18"/>
              </w:rPr>
              <w:t>(213.412)</w:t>
            </w:r>
          </w:p>
        </w:tc>
      </w:tr>
      <w:tr w:rsidR="002C6574" w14:paraId="7D2A4544" w14:textId="77777777">
        <w:trPr>
          <w:trHeight w:val="232"/>
        </w:trPr>
        <w:tc>
          <w:tcPr>
            <w:tcW w:w="6574" w:type="dxa"/>
          </w:tcPr>
          <w:p w14:paraId="40E24318" w14:textId="77777777" w:rsidR="002C6574" w:rsidRDefault="00000000">
            <w:pPr>
              <w:pStyle w:val="TableParagraph"/>
              <w:spacing w:before="11" w:line="201" w:lineRule="exact"/>
              <w:ind w:left="69"/>
              <w:jc w:val="left"/>
              <w:rPr>
                <w:rFonts w:ascii="Arial" w:hAnsi="Arial"/>
                <w:b/>
                <w:sz w:val="18"/>
              </w:rPr>
            </w:pPr>
            <w:r>
              <w:rPr>
                <w:rFonts w:ascii="Arial" w:hAnsi="Arial"/>
                <w:b/>
                <w:sz w:val="18"/>
              </w:rPr>
              <w:t>Resultado</w:t>
            </w:r>
            <w:r>
              <w:rPr>
                <w:rFonts w:ascii="Arial" w:hAnsi="Arial"/>
                <w:b/>
                <w:spacing w:val="-2"/>
                <w:sz w:val="18"/>
              </w:rPr>
              <w:t xml:space="preserve"> </w:t>
            </w:r>
            <w:r>
              <w:rPr>
                <w:rFonts w:ascii="Arial" w:hAnsi="Arial"/>
                <w:b/>
                <w:sz w:val="18"/>
              </w:rPr>
              <w:t>Financeiro</w:t>
            </w:r>
            <w:r>
              <w:rPr>
                <w:rFonts w:ascii="Arial" w:hAnsi="Arial"/>
                <w:b/>
                <w:spacing w:val="-1"/>
                <w:sz w:val="18"/>
              </w:rPr>
              <w:t xml:space="preserve"> </w:t>
            </w:r>
            <w:r>
              <w:rPr>
                <w:rFonts w:ascii="Arial" w:hAnsi="Arial"/>
                <w:b/>
                <w:spacing w:val="-2"/>
                <w:sz w:val="18"/>
              </w:rPr>
              <w:t>Líquido</w:t>
            </w:r>
          </w:p>
        </w:tc>
        <w:tc>
          <w:tcPr>
            <w:tcW w:w="1366" w:type="dxa"/>
          </w:tcPr>
          <w:p w14:paraId="4334BBC5" w14:textId="77777777" w:rsidR="002C6574" w:rsidRDefault="00000000">
            <w:pPr>
              <w:pStyle w:val="TableParagraph"/>
              <w:spacing w:before="11" w:line="201" w:lineRule="exact"/>
              <w:ind w:right="57"/>
              <w:rPr>
                <w:rFonts w:ascii="Arial"/>
                <w:b/>
                <w:sz w:val="18"/>
              </w:rPr>
            </w:pPr>
            <w:r>
              <w:rPr>
                <w:rFonts w:ascii="Arial"/>
                <w:b/>
                <w:spacing w:val="-2"/>
                <w:sz w:val="18"/>
              </w:rPr>
              <w:t>(54.264)</w:t>
            </w:r>
          </w:p>
        </w:tc>
        <w:tc>
          <w:tcPr>
            <w:tcW w:w="1832" w:type="dxa"/>
          </w:tcPr>
          <w:p w14:paraId="59145C6A" w14:textId="77777777" w:rsidR="002C6574" w:rsidRDefault="00000000">
            <w:pPr>
              <w:pStyle w:val="TableParagraph"/>
              <w:spacing w:before="11" w:line="201" w:lineRule="exact"/>
              <w:ind w:right="60"/>
              <w:rPr>
                <w:rFonts w:ascii="Arial"/>
                <w:b/>
                <w:sz w:val="18"/>
              </w:rPr>
            </w:pPr>
            <w:r>
              <w:rPr>
                <w:rFonts w:ascii="Arial"/>
                <w:b/>
                <w:spacing w:val="-2"/>
                <w:sz w:val="18"/>
              </w:rPr>
              <w:t>(85.068)</w:t>
            </w:r>
          </w:p>
        </w:tc>
      </w:tr>
    </w:tbl>
    <w:p w14:paraId="59B03E15" w14:textId="77777777" w:rsidR="002C6574" w:rsidRDefault="002C6574">
      <w:pPr>
        <w:pStyle w:val="Corpodetexto"/>
        <w:spacing w:before="2"/>
        <w:rPr>
          <w:rFonts w:ascii="Arial"/>
          <w:b/>
        </w:rPr>
      </w:pPr>
    </w:p>
    <w:p w14:paraId="594A998C" w14:textId="77777777" w:rsidR="002C6574" w:rsidRDefault="00000000">
      <w:pPr>
        <w:pStyle w:val="Corpodetexto"/>
        <w:spacing w:line="237" w:lineRule="auto"/>
        <w:ind w:left="143" w:right="701"/>
        <w:jc w:val="both"/>
      </w:pPr>
      <w:r>
        <w:t>O resultado financeiro líquido do exercício de 2025 foi negativo em R$ 54.264 (R$ 85.068 em 2024), representando uma melhora de 36,2% em relação ao mesmo período do ano anterior. As principais variações que contribuíram para esse desempenho foram as seguintes:</w:t>
      </w:r>
    </w:p>
    <w:p w14:paraId="1DF17B9C" w14:textId="77777777" w:rsidR="002C6574" w:rsidRDefault="002C6574">
      <w:pPr>
        <w:pStyle w:val="Corpodetexto"/>
        <w:spacing w:before="2"/>
      </w:pPr>
    </w:p>
    <w:p w14:paraId="541FCACA" w14:textId="77777777" w:rsidR="002C6574" w:rsidRDefault="00000000">
      <w:pPr>
        <w:pStyle w:val="PargrafodaLista"/>
        <w:numPr>
          <w:ilvl w:val="0"/>
          <w:numId w:val="28"/>
        </w:numPr>
        <w:tabs>
          <w:tab w:val="left" w:pos="347"/>
        </w:tabs>
        <w:spacing w:line="237" w:lineRule="auto"/>
        <w:ind w:right="703" w:firstLine="0"/>
        <w:jc w:val="both"/>
        <w:rPr>
          <w:rFonts w:ascii="Segoe UI Symbol" w:hAnsi="Segoe UI Symbol"/>
        </w:rPr>
      </w:pPr>
      <w:r>
        <w:rPr>
          <w:rFonts w:ascii="Arial" w:hAnsi="Arial"/>
          <w:b/>
        </w:rPr>
        <w:t xml:space="preserve">Juros sobre Disponibilidades: </w:t>
      </w:r>
      <w:r>
        <w:rPr>
          <w:rFonts w:ascii="Segoe UI Symbol" w:hAnsi="Segoe UI Symbol"/>
        </w:rPr>
        <w:t>O rendimento de aplicações financeiras apresentou um aumento de 71,8% na comparação entre os exercícios de 2025 e 2024. Esse crescimento é decorrente do</w:t>
      </w:r>
      <w:r>
        <w:rPr>
          <w:rFonts w:ascii="Segoe UI Symbol" w:hAnsi="Segoe UI Symbol"/>
          <w:spacing w:val="40"/>
        </w:rPr>
        <w:t xml:space="preserve"> </w:t>
      </w:r>
      <w:r>
        <w:rPr>
          <w:rFonts w:ascii="Segoe UI Symbol" w:hAnsi="Segoe UI Symbol"/>
        </w:rPr>
        <w:t xml:space="preserve">maior volume de recursos financeiros aplicados no período, aliado à melhora na rentabilidade dos </w:t>
      </w:r>
      <w:r>
        <w:rPr>
          <w:rFonts w:ascii="Segoe UI Symbol" w:hAnsi="Segoe UI Symbol"/>
          <w:spacing w:val="-2"/>
        </w:rPr>
        <w:t>fundos.</w:t>
      </w:r>
    </w:p>
    <w:p w14:paraId="62B38D49" w14:textId="77777777" w:rsidR="002C6574" w:rsidRDefault="002C6574">
      <w:pPr>
        <w:pStyle w:val="Corpodetexto"/>
        <w:spacing w:before="3"/>
      </w:pPr>
    </w:p>
    <w:p w14:paraId="1D40048F" w14:textId="77777777" w:rsidR="002C6574" w:rsidRDefault="00000000">
      <w:pPr>
        <w:pStyle w:val="PargrafodaLista"/>
        <w:numPr>
          <w:ilvl w:val="0"/>
          <w:numId w:val="28"/>
        </w:numPr>
        <w:tabs>
          <w:tab w:val="left" w:pos="424"/>
        </w:tabs>
        <w:spacing w:line="237" w:lineRule="auto"/>
        <w:ind w:right="703" w:firstLine="0"/>
        <w:jc w:val="both"/>
        <w:rPr>
          <w:rFonts w:ascii="Segoe UI Symbol" w:hAnsi="Segoe UI Symbol"/>
        </w:rPr>
      </w:pPr>
      <w:r>
        <w:rPr>
          <w:rFonts w:ascii="Arial" w:hAnsi="Arial"/>
          <w:b/>
        </w:rPr>
        <w:t xml:space="preserve">Juros sobre Superávit de Previdência Privada: </w:t>
      </w:r>
      <w:r>
        <w:rPr>
          <w:rFonts w:ascii="Segoe UI Symbol" w:hAnsi="Segoe UI Symbol"/>
        </w:rPr>
        <w:t>A variação positiva reflete o reconhecimento dos superávits dos planos de previdência, aprovados pela PREVIC, os quais são atualizados pela variação das cotas de cada plano.</w:t>
      </w:r>
    </w:p>
    <w:p w14:paraId="3BFBB006" w14:textId="77777777" w:rsidR="002C6574" w:rsidRDefault="002C6574">
      <w:pPr>
        <w:pStyle w:val="Corpodetexto"/>
        <w:spacing w:before="2"/>
      </w:pPr>
    </w:p>
    <w:p w14:paraId="419CBA5C" w14:textId="77777777" w:rsidR="002C6574" w:rsidRDefault="00000000">
      <w:pPr>
        <w:pStyle w:val="PargrafodaLista"/>
        <w:numPr>
          <w:ilvl w:val="0"/>
          <w:numId w:val="28"/>
        </w:numPr>
        <w:tabs>
          <w:tab w:val="left" w:pos="455"/>
        </w:tabs>
        <w:spacing w:line="237" w:lineRule="auto"/>
        <w:ind w:right="704" w:firstLine="0"/>
        <w:jc w:val="both"/>
        <w:rPr>
          <w:rFonts w:ascii="Segoe UI Symbol" w:hAnsi="Segoe UI Symbol"/>
        </w:rPr>
      </w:pPr>
      <w:r>
        <w:rPr>
          <w:rFonts w:ascii="Arial" w:hAnsi="Arial"/>
          <w:b/>
        </w:rPr>
        <w:t>Juros</w:t>
      </w:r>
      <w:r>
        <w:rPr>
          <w:rFonts w:ascii="Arial" w:hAnsi="Arial"/>
          <w:b/>
          <w:spacing w:val="-10"/>
        </w:rPr>
        <w:t xml:space="preserve"> </w:t>
      </w:r>
      <w:r>
        <w:rPr>
          <w:rFonts w:ascii="Arial" w:hAnsi="Arial"/>
          <w:b/>
        </w:rPr>
        <w:t>sobre</w:t>
      </w:r>
      <w:r>
        <w:rPr>
          <w:rFonts w:ascii="Arial" w:hAnsi="Arial"/>
          <w:b/>
          <w:spacing w:val="-10"/>
        </w:rPr>
        <w:t xml:space="preserve"> </w:t>
      </w:r>
      <w:r>
        <w:rPr>
          <w:rFonts w:ascii="Arial" w:hAnsi="Arial"/>
          <w:b/>
        </w:rPr>
        <w:t>Adiantamento</w:t>
      </w:r>
      <w:r>
        <w:rPr>
          <w:rFonts w:ascii="Arial" w:hAnsi="Arial"/>
          <w:b/>
          <w:spacing w:val="-9"/>
        </w:rPr>
        <w:t xml:space="preserve"> </w:t>
      </w:r>
      <w:r>
        <w:rPr>
          <w:rFonts w:ascii="Arial" w:hAnsi="Arial"/>
          <w:b/>
        </w:rPr>
        <w:t>para</w:t>
      </w:r>
      <w:r>
        <w:rPr>
          <w:rFonts w:ascii="Arial" w:hAnsi="Arial"/>
          <w:b/>
          <w:spacing w:val="-8"/>
        </w:rPr>
        <w:t xml:space="preserve"> </w:t>
      </w:r>
      <w:r>
        <w:rPr>
          <w:rFonts w:ascii="Arial" w:hAnsi="Arial"/>
          <w:b/>
        </w:rPr>
        <w:t>Futuro</w:t>
      </w:r>
      <w:r>
        <w:rPr>
          <w:rFonts w:ascii="Arial" w:hAnsi="Arial"/>
          <w:b/>
          <w:spacing w:val="-11"/>
        </w:rPr>
        <w:t xml:space="preserve"> </w:t>
      </w:r>
      <w:r>
        <w:rPr>
          <w:rFonts w:ascii="Arial" w:hAnsi="Arial"/>
          <w:b/>
        </w:rPr>
        <w:t>Aumento</w:t>
      </w:r>
      <w:r>
        <w:rPr>
          <w:rFonts w:ascii="Arial" w:hAnsi="Arial"/>
          <w:b/>
          <w:spacing w:val="-9"/>
        </w:rPr>
        <w:t xml:space="preserve"> </w:t>
      </w:r>
      <w:r>
        <w:rPr>
          <w:rFonts w:ascii="Arial" w:hAnsi="Arial"/>
          <w:b/>
        </w:rPr>
        <w:t>de</w:t>
      </w:r>
      <w:r>
        <w:rPr>
          <w:rFonts w:ascii="Arial" w:hAnsi="Arial"/>
          <w:b/>
          <w:spacing w:val="-6"/>
        </w:rPr>
        <w:t xml:space="preserve"> </w:t>
      </w:r>
      <w:r>
        <w:rPr>
          <w:rFonts w:ascii="Arial" w:hAnsi="Arial"/>
          <w:b/>
        </w:rPr>
        <w:t>Capital</w:t>
      </w:r>
      <w:r>
        <w:rPr>
          <w:rFonts w:ascii="Arial" w:hAnsi="Arial"/>
          <w:b/>
          <w:spacing w:val="-9"/>
        </w:rPr>
        <w:t xml:space="preserve"> </w:t>
      </w:r>
      <w:r>
        <w:rPr>
          <w:rFonts w:ascii="Arial" w:hAnsi="Arial"/>
          <w:b/>
        </w:rPr>
        <w:t>(AFAC):</w:t>
      </w:r>
      <w:r>
        <w:rPr>
          <w:rFonts w:ascii="Arial" w:hAnsi="Arial"/>
          <w:b/>
          <w:spacing w:val="-8"/>
        </w:rPr>
        <w:t xml:space="preserve"> </w:t>
      </w:r>
      <w:r>
        <w:rPr>
          <w:rFonts w:ascii="Segoe UI Symbol" w:hAnsi="Segoe UI Symbol"/>
        </w:rPr>
        <w:t>O</w:t>
      </w:r>
      <w:r>
        <w:rPr>
          <w:rFonts w:ascii="Segoe UI Symbol" w:hAnsi="Segoe UI Symbol"/>
          <w:spacing w:val="-7"/>
        </w:rPr>
        <w:t xml:space="preserve"> </w:t>
      </w:r>
      <w:r>
        <w:rPr>
          <w:rFonts w:ascii="Segoe UI Symbol" w:hAnsi="Segoe UI Symbol"/>
        </w:rPr>
        <w:t>crescimento</w:t>
      </w:r>
      <w:r>
        <w:rPr>
          <w:rFonts w:ascii="Segoe UI Symbol" w:hAnsi="Segoe UI Symbol"/>
          <w:spacing w:val="-9"/>
        </w:rPr>
        <w:t xml:space="preserve"> </w:t>
      </w:r>
      <w:r>
        <w:rPr>
          <w:rFonts w:ascii="Segoe UI Symbol" w:hAnsi="Segoe UI Symbol"/>
        </w:rPr>
        <w:t>de</w:t>
      </w:r>
      <w:r>
        <w:rPr>
          <w:rFonts w:ascii="Segoe UI Symbol" w:hAnsi="Segoe UI Symbol"/>
          <w:spacing w:val="-8"/>
        </w:rPr>
        <w:t xml:space="preserve"> </w:t>
      </w:r>
      <w:r>
        <w:rPr>
          <w:rFonts w:ascii="Arial" w:hAnsi="Arial"/>
          <w:b/>
        </w:rPr>
        <w:t xml:space="preserve">32,0% </w:t>
      </w:r>
      <w:r>
        <w:rPr>
          <w:rFonts w:ascii="Segoe UI Symbol" w:hAnsi="Segoe UI Symbol"/>
        </w:rPr>
        <w:t>apresentado nessa rubrica é justificado pela elevação da taxa Selic, indexador utilizado para a atualização do saldo de AFAC, e pela entrada de novos recursos aportados ao longo do período.</w:t>
      </w:r>
    </w:p>
    <w:p w14:paraId="34A62FA4" w14:textId="77777777" w:rsidR="002C6574" w:rsidRDefault="002C6574">
      <w:pPr>
        <w:pStyle w:val="PargrafodaLista"/>
        <w:spacing w:line="237" w:lineRule="auto"/>
        <w:jc w:val="both"/>
        <w:rPr>
          <w:rFonts w:ascii="Segoe UI Symbol" w:hAnsi="Segoe UI Symbol"/>
        </w:rPr>
        <w:sectPr w:rsidR="002C6574">
          <w:pgSz w:w="11910" w:h="16840"/>
          <w:pgMar w:top="2500" w:right="141" w:bottom="1540" w:left="1133" w:header="1763" w:footer="1310" w:gutter="0"/>
          <w:cols w:space="720"/>
        </w:sectPr>
      </w:pPr>
    </w:p>
    <w:p w14:paraId="667E86B6" w14:textId="77777777" w:rsidR="002C6574" w:rsidRDefault="00000000">
      <w:pPr>
        <w:numPr>
          <w:ilvl w:val="0"/>
          <w:numId w:val="54"/>
        </w:numPr>
        <w:tabs>
          <w:tab w:val="left" w:pos="995"/>
        </w:tabs>
        <w:spacing w:before="229"/>
        <w:ind w:left="995" w:hanging="852"/>
        <w:rPr>
          <w:rFonts w:ascii="Arial" w:hAnsi="Arial"/>
          <w:b/>
        </w:rPr>
      </w:pPr>
      <w:r>
        <w:rPr>
          <w:rFonts w:ascii="Arial" w:hAnsi="Arial"/>
          <w:b/>
        </w:rPr>
        <w:lastRenderedPageBreak/>
        <w:t>BENEFÍCIOS</w:t>
      </w:r>
      <w:r>
        <w:rPr>
          <w:rFonts w:ascii="Arial" w:hAnsi="Arial"/>
          <w:b/>
          <w:spacing w:val="-5"/>
        </w:rPr>
        <w:t xml:space="preserve"> </w:t>
      </w:r>
      <w:r>
        <w:rPr>
          <w:rFonts w:ascii="Arial" w:hAnsi="Arial"/>
          <w:b/>
        </w:rPr>
        <w:t>PÓS-</w:t>
      </w:r>
      <w:r>
        <w:rPr>
          <w:rFonts w:ascii="Arial" w:hAnsi="Arial"/>
          <w:b/>
          <w:spacing w:val="-2"/>
        </w:rPr>
        <w:t>EMPREGO</w:t>
      </w:r>
    </w:p>
    <w:p w14:paraId="1F02CFAF" w14:textId="77777777" w:rsidR="002C6574" w:rsidRDefault="002C6574">
      <w:pPr>
        <w:pStyle w:val="Corpodetexto"/>
        <w:spacing w:before="24"/>
        <w:rPr>
          <w:rFonts w:ascii="Arial"/>
          <w:b/>
        </w:rPr>
      </w:pPr>
    </w:p>
    <w:p w14:paraId="49E61EB3" w14:textId="77777777" w:rsidR="002C6574" w:rsidRDefault="00000000">
      <w:pPr>
        <w:numPr>
          <w:ilvl w:val="1"/>
          <w:numId w:val="27"/>
        </w:numPr>
        <w:tabs>
          <w:tab w:val="left" w:pos="995"/>
        </w:tabs>
        <w:rPr>
          <w:rFonts w:ascii="Arial" w:hAnsi="Arial"/>
          <w:b/>
        </w:rPr>
      </w:pPr>
      <w:r>
        <w:rPr>
          <w:rFonts w:ascii="Arial" w:hAnsi="Arial"/>
          <w:b/>
        </w:rPr>
        <w:t>Fundação</w:t>
      </w:r>
      <w:r>
        <w:rPr>
          <w:rFonts w:ascii="Arial" w:hAnsi="Arial"/>
          <w:b/>
          <w:spacing w:val="-4"/>
        </w:rPr>
        <w:t xml:space="preserve"> </w:t>
      </w:r>
      <w:r>
        <w:rPr>
          <w:rFonts w:ascii="Arial" w:hAnsi="Arial"/>
          <w:b/>
        </w:rPr>
        <w:t>Sistel</w:t>
      </w:r>
      <w:r>
        <w:rPr>
          <w:rFonts w:ascii="Arial" w:hAnsi="Arial"/>
          <w:b/>
          <w:spacing w:val="-3"/>
        </w:rPr>
        <w:t xml:space="preserve"> </w:t>
      </w:r>
      <w:r>
        <w:rPr>
          <w:rFonts w:ascii="Arial" w:hAnsi="Arial"/>
          <w:b/>
        </w:rPr>
        <w:t>de</w:t>
      </w:r>
      <w:r>
        <w:rPr>
          <w:rFonts w:ascii="Arial" w:hAnsi="Arial"/>
          <w:b/>
          <w:spacing w:val="-5"/>
        </w:rPr>
        <w:t xml:space="preserve"> </w:t>
      </w:r>
      <w:r>
        <w:rPr>
          <w:rFonts w:ascii="Arial" w:hAnsi="Arial"/>
          <w:b/>
        </w:rPr>
        <w:t>Seguridade</w:t>
      </w:r>
      <w:r>
        <w:rPr>
          <w:rFonts w:ascii="Arial" w:hAnsi="Arial"/>
          <w:b/>
          <w:spacing w:val="-3"/>
        </w:rPr>
        <w:t xml:space="preserve"> </w:t>
      </w:r>
      <w:r>
        <w:rPr>
          <w:rFonts w:ascii="Arial" w:hAnsi="Arial"/>
          <w:b/>
        </w:rPr>
        <w:t>Social</w:t>
      </w:r>
      <w:r>
        <w:rPr>
          <w:rFonts w:ascii="Arial" w:hAnsi="Arial"/>
          <w:b/>
          <w:spacing w:val="-3"/>
        </w:rPr>
        <w:t xml:space="preserve"> </w:t>
      </w:r>
      <w:r>
        <w:rPr>
          <w:rFonts w:ascii="Arial" w:hAnsi="Arial"/>
          <w:b/>
          <w:spacing w:val="-2"/>
        </w:rPr>
        <w:t>(SISTEL)</w:t>
      </w:r>
    </w:p>
    <w:p w14:paraId="1C34A6BA" w14:textId="77777777" w:rsidR="002C6574" w:rsidRDefault="002C6574">
      <w:pPr>
        <w:pStyle w:val="Corpodetexto"/>
        <w:spacing w:before="73"/>
        <w:rPr>
          <w:rFonts w:ascii="Arial"/>
          <w:b/>
        </w:rPr>
      </w:pPr>
    </w:p>
    <w:p w14:paraId="2AECDE0D" w14:textId="77777777" w:rsidR="002C6574" w:rsidRDefault="00000000">
      <w:pPr>
        <w:pStyle w:val="Corpodetexto"/>
        <w:spacing w:line="237" w:lineRule="auto"/>
        <w:ind w:left="143" w:right="702"/>
        <w:jc w:val="both"/>
      </w:pPr>
      <w:r>
        <w:t>A Telebras e outras empresas do antigo Sistema Telebras patrocinavam planos de previdência privada</w:t>
      </w:r>
      <w:r>
        <w:rPr>
          <w:spacing w:val="40"/>
        </w:rPr>
        <w:t xml:space="preserve"> </w:t>
      </w:r>
      <w:r>
        <w:t>e</w:t>
      </w:r>
      <w:r>
        <w:rPr>
          <w:spacing w:val="40"/>
        </w:rPr>
        <w:t xml:space="preserve"> </w:t>
      </w:r>
      <w:r>
        <w:t>de</w:t>
      </w:r>
      <w:r>
        <w:rPr>
          <w:spacing w:val="40"/>
        </w:rPr>
        <w:t xml:space="preserve"> </w:t>
      </w:r>
      <w:r>
        <w:t>assistência</w:t>
      </w:r>
      <w:r>
        <w:rPr>
          <w:spacing w:val="40"/>
        </w:rPr>
        <w:t xml:space="preserve"> </w:t>
      </w:r>
      <w:r>
        <w:t>médica</w:t>
      </w:r>
      <w:r>
        <w:rPr>
          <w:spacing w:val="40"/>
        </w:rPr>
        <w:t xml:space="preserve"> </w:t>
      </w:r>
      <w:r>
        <w:t>aos</w:t>
      </w:r>
      <w:r>
        <w:rPr>
          <w:spacing w:val="40"/>
        </w:rPr>
        <w:t xml:space="preserve"> </w:t>
      </w:r>
      <w:r>
        <w:t>aposentados,</w:t>
      </w:r>
      <w:r>
        <w:rPr>
          <w:spacing w:val="40"/>
        </w:rPr>
        <w:t xml:space="preserve"> </w:t>
      </w:r>
      <w:r>
        <w:t>administrados</w:t>
      </w:r>
      <w:r>
        <w:rPr>
          <w:spacing w:val="40"/>
        </w:rPr>
        <w:t xml:space="preserve"> </w:t>
      </w:r>
      <w:r>
        <w:t>pela</w:t>
      </w:r>
      <w:r>
        <w:rPr>
          <w:spacing w:val="40"/>
        </w:rPr>
        <w:t xml:space="preserve"> </w:t>
      </w:r>
      <w:r>
        <w:t>Fundação</w:t>
      </w:r>
      <w:r>
        <w:rPr>
          <w:spacing w:val="40"/>
        </w:rPr>
        <w:t xml:space="preserve"> </w:t>
      </w:r>
      <w:r>
        <w:t>Sistel de Seguridade</w:t>
      </w:r>
      <w:r>
        <w:rPr>
          <w:spacing w:val="40"/>
        </w:rPr>
        <w:t xml:space="preserve"> </w:t>
      </w:r>
      <w:r>
        <w:t>Social</w:t>
      </w:r>
      <w:r>
        <w:rPr>
          <w:spacing w:val="40"/>
        </w:rPr>
        <w:t xml:space="preserve"> </w:t>
      </w:r>
      <w:r>
        <w:t>(SISTEL).</w:t>
      </w:r>
    </w:p>
    <w:p w14:paraId="5C0F6034" w14:textId="77777777" w:rsidR="002C6574" w:rsidRDefault="002C6574">
      <w:pPr>
        <w:pStyle w:val="Corpodetexto"/>
      </w:pPr>
    </w:p>
    <w:p w14:paraId="54EA8FAB" w14:textId="77777777" w:rsidR="002C6574" w:rsidRDefault="00000000">
      <w:pPr>
        <w:pStyle w:val="Corpodetexto"/>
        <w:ind w:left="143" w:right="704"/>
        <w:jc w:val="both"/>
      </w:pPr>
      <w:r>
        <w:t>Em 28 de dezembro de 1999, as patrocinadoras dos referidos planos negociaram condições para a criação</w:t>
      </w:r>
      <w:r>
        <w:rPr>
          <w:spacing w:val="-5"/>
        </w:rPr>
        <w:t xml:space="preserve"> </w:t>
      </w:r>
      <w:r>
        <w:t>de</w:t>
      </w:r>
      <w:r>
        <w:rPr>
          <w:spacing w:val="-6"/>
        </w:rPr>
        <w:t xml:space="preserve"> </w:t>
      </w:r>
      <w:r>
        <w:t>planos</w:t>
      </w:r>
      <w:r>
        <w:rPr>
          <w:spacing w:val="-5"/>
        </w:rPr>
        <w:t xml:space="preserve"> </w:t>
      </w:r>
      <w:r>
        <w:t>individualizados</w:t>
      </w:r>
      <w:r>
        <w:rPr>
          <w:spacing w:val="-3"/>
        </w:rPr>
        <w:t xml:space="preserve"> </w:t>
      </w:r>
      <w:r>
        <w:t>de</w:t>
      </w:r>
      <w:r>
        <w:rPr>
          <w:spacing w:val="-5"/>
        </w:rPr>
        <w:t xml:space="preserve"> </w:t>
      </w:r>
      <w:r>
        <w:t>aposentadoria</w:t>
      </w:r>
      <w:r>
        <w:rPr>
          <w:spacing w:val="-6"/>
        </w:rPr>
        <w:t xml:space="preserve"> </w:t>
      </w:r>
      <w:r>
        <w:t>por</w:t>
      </w:r>
      <w:r>
        <w:rPr>
          <w:spacing w:val="-5"/>
        </w:rPr>
        <w:t xml:space="preserve"> </w:t>
      </w:r>
      <w:r>
        <w:t>patrocinadora,</w:t>
      </w:r>
      <w:r>
        <w:rPr>
          <w:spacing w:val="-7"/>
        </w:rPr>
        <w:t xml:space="preserve"> </w:t>
      </w:r>
      <w:r>
        <w:t>resultando</w:t>
      </w:r>
      <w:r>
        <w:rPr>
          <w:spacing w:val="-5"/>
        </w:rPr>
        <w:t xml:space="preserve"> </w:t>
      </w:r>
      <w:r>
        <w:t>em</w:t>
      </w:r>
      <w:r>
        <w:rPr>
          <w:spacing w:val="-5"/>
        </w:rPr>
        <w:t xml:space="preserve"> </w:t>
      </w:r>
      <w:r>
        <w:t>uma</w:t>
      </w:r>
      <w:r>
        <w:rPr>
          <w:spacing w:val="-6"/>
        </w:rPr>
        <w:t xml:space="preserve"> </w:t>
      </w:r>
      <w:r>
        <w:t>proposta de reestruturação do Estatuto e Regulamento da SISTEL, que foi aprovada pela Secretaria de Previdência Complementar, em 13 de janeiro de 2000.</w:t>
      </w:r>
    </w:p>
    <w:p w14:paraId="459678B9" w14:textId="77777777" w:rsidR="002C6574" w:rsidRDefault="00000000">
      <w:pPr>
        <w:pStyle w:val="Corpodetexto"/>
        <w:spacing w:before="286" w:line="237" w:lineRule="auto"/>
        <w:ind w:left="143" w:right="702"/>
        <w:jc w:val="both"/>
      </w:pPr>
      <w:r>
        <w:t>As modificações efetuadas no Estatuto da SISTEL visaram adequá-lo à administração de outros planos de benefícios, decorrentes da sua nova condição de entidade multipatrocinada, haja vista a realidade surgida com a desestatização do Sistema Telebras.</w:t>
      </w:r>
    </w:p>
    <w:p w14:paraId="38A236BC" w14:textId="77777777" w:rsidR="002C6574" w:rsidRDefault="002C6574">
      <w:pPr>
        <w:pStyle w:val="Corpodetexto"/>
        <w:spacing w:before="2"/>
      </w:pPr>
    </w:p>
    <w:p w14:paraId="421AA8DB" w14:textId="77777777" w:rsidR="002C6574" w:rsidRDefault="00000000">
      <w:pPr>
        <w:pStyle w:val="Corpodetexto"/>
        <w:spacing w:before="1" w:line="237" w:lineRule="auto"/>
        <w:ind w:left="143" w:right="703"/>
        <w:jc w:val="both"/>
      </w:pPr>
      <w:r>
        <w:t>Tal versão estatutária contempla a reestruturação do Plano de Benefícios da SISTEL (PBS) em</w:t>
      </w:r>
      <w:r>
        <w:rPr>
          <w:spacing w:val="40"/>
        </w:rPr>
        <w:t xml:space="preserve"> </w:t>
      </w:r>
      <w:r>
        <w:t>diversos planos, com a distribuição escritural dos encargos e a correspondente parcela patrimonial que compõe o patrimônio da SISTEL entre diversos planos de benefícios previdenciários, divididos em “Plano PBS-A” e “Planos de Patrocinadoras”. A segregação contábil dos referidos planos foi implementada pela SISTEL, a partir de 1º de fevereiro de 2000.</w:t>
      </w:r>
    </w:p>
    <w:p w14:paraId="13CCBC3E" w14:textId="77777777" w:rsidR="002C6574" w:rsidRDefault="002C6574">
      <w:pPr>
        <w:pStyle w:val="Corpodetexto"/>
        <w:spacing w:before="17"/>
      </w:pPr>
    </w:p>
    <w:p w14:paraId="305E5278" w14:textId="77777777" w:rsidR="002C6574" w:rsidRDefault="00000000">
      <w:pPr>
        <w:numPr>
          <w:ilvl w:val="1"/>
          <w:numId w:val="27"/>
        </w:numPr>
        <w:tabs>
          <w:tab w:val="left" w:pos="995"/>
        </w:tabs>
        <w:spacing w:before="1"/>
        <w:rPr>
          <w:rFonts w:ascii="Arial" w:hAnsi="Arial"/>
          <w:b/>
        </w:rPr>
      </w:pPr>
      <w:r>
        <w:rPr>
          <w:rFonts w:ascii="Arial" w:hAnsi="Arial"/>
          <w:b/>
        </w:rPr>
        <w:t>Planos</w:t>
      </w:r>
      <w:r>
        <w:rPr>
          <w:rFonts w:ascii="Arial" w:hAnsi="Arial"/>
          <w:b/>
          <w:spacing w:val="-4"/>
        </w:rPr>
        <w:t xml:space="preserve"> </w:t>
      </w:r>
      <w:r>
        <w:rPr>
          <w:rFonts w:ascii="Arial" w:hAnsi="Arial"/>
          <w:b/>
        </w:rPr>
        <w:t>de</w:t>
      </w:r>
      <w:r>
        <w:rPr>
          <w:rFonts w:ascii="Arial" w:hAnsi="Arial"/>
          <w:b/>
          <w:spacing w:val="-2"/>
        </w:rPr>
        <w:t xml:space="preserve"> </w:t>
      </w:r>
      <w:r>
        <w:rPr>
          <w:rFonts w:ascii="Arial" w:hAnsi="Arial"/>
          <w:b/>
        </w:rPr>
        <w:t>Benefícios</w:t>
      </w:r>
      <w:r>
        <w:rPr>
          <w:rFonts w:ascii="Arial" w:hAnsi="Arial"/>
          <w:b/>
          <w:spacing w:val="-3"/>
        </w:rPr>
        <w:t xml:space="preserve"> </w:t>
      </w:r>
      <w:r>
        <w:rPr>
          <w:rFonts w:ascii="Arial" w:hAnsi="Arial"/>
          <w:b/>
          <w:spacing w:val="-2"/>
        </w:rPr>
        <w:t>Telebras</w:t>
      </w:r>
    </w:p>
    <w:p w14:paraId="2D8E850F" w14:textId="77777777" w:rsidR="002C6574" w:rsidRDefault="002C6574">
      <w:pPr>
        <w:pStyle w:val="Corpodetexto"/>
        <w:spacing w:before="60"/>
        <w:rPr>
          <w:rFonts w:ascii="Arial"/>
          <w:b/>
        </w:rPr>
      </w:pPr>
    </w:p>
    <w:p w14:paraId="4F936485" w14:textId="77777777" w:rsidR="002C6574" w:rsidRDefault="00000000">
      <w:pPr>
        <w:pStyle w:val="PargrafodaLista"/>
        <w:numPr>
          <w:ilvl w:val="2"/>
          <w:numId w:val="27"/>
        </w:numPr>
        <w:tabs>
          <w:tab w:val="left" w:pos="990"/>
        </w:tabs>
        <w:ind w:left="990" w:hanging="847"/>
        <w:rPr>
          <w:rFonts w:ascii="Arial" w:hAnsi="Arial"/>
          <w:b/>
        </w:rPr>
      </w:pPr>
      <w:r>
        <w:rPr>
          <w:rFonts w:ascii="Arial" w:hAnsi="Arial"/>
          <w:b/>
        </w:rPr>
        <w:t>Plano</w:t>
      </w:r>
      <w:r>
        <w:rPr>
          <w:rFonts w:ascii="Arial" w:hAnsi="Arial"/>
          <w:b/>
          <w:spacing w:val="-1"/>
        </w:rPr>
        <w:t xml:space="preserve"> </w:t>
      </w:r>
      <w:r>
        <w:rPr>
          <w:rFonts w:ascii="Arial" w:hAnsi="Arial"/>
          <w:b/>
        </w:rPr>
        <w:t>Benefícios</w:t>
      </w:r>
      <w:r>
        <w:rPr>
          <w:rFonts w:ascii="Arial" w:hAnsi="Arial"/>
          <w:b/>
          <w:spacing w:val="-4"/>
        </w:rPr>
        <w:t xml:space="preserve"> </w:t>
      </w:r>
      <w:r>
        <w:rPr>
          <w:rFonts w:ascii="Arial" w:hAnsi="Arial"/>
          <w:b/>
        </w:rPr>
        <w:t>PBS</w:t>
      </w:r>
      <w:r>
        <w:rPr>
          <w:rFonts w:ascii="Arial" w:hAnsi="Arial"/>
          <w:b/>
          <w:spacing w:val="-3"/>
        </w:rPr>
        <w:t xml:space="preserve"> </w:t>
      </w:r>
      <w:r>
        <w:rPr>
          <w:rFonts w:ascii="Arial" w:hAnsi="Arial"/>
          <w:b/>
        </w:rPr>
        <w:t xml:space="preserve">- </w:t>
      </w:r>
      <w:r>
        <w:rPr>
          <w:rFonts w:ascii="Arial" w:hAnsi="Arial"/>
          <w:b/>
          <w:spacing w:val="-10"/>
        </w:rPr>
        <w:t>A</w:t>
      </w:r>
    </w:p>
    <w:p w14:paraId="64841483" w14:textId="77777777" w:rsidR="002C6574" w:rsidRDefault="00000000">
      <w:pPr>
        <w:pStyle w:val="Corpodetexto"/>
        <w:spacing w:before="129" w:line="237" w:lineRule="auto"/>
        <w:ind w:left="143" w:right="704"/>
        <w:jc w:val="both"/>
      </w:pPr>
      <w:r>
        <w:t>O plano de Benefícios PBS-A (CNPB nº 19.910.010-29) é estruturado na modalidade de benefício definido, sendo patrocinado, dentre outras empresas, pela Telebrás, nos termos dos convênios de adesão,</w:t>
      </w:r>
      <w:r>
        <w:rPr>
          <w:spacing w:val="-1"/>
        </w:rPr>
        <w:t xml:space="preserve"> </w:t>
      </w:r>
      <w:r>
        <w:t>regulamentos</w:t>
      </w:r>
      <w:r>
        <w:rPr>
          <w:spacing w:val="-2"/>
        </w:rPr>
        <w:t xml:space="preserve"> </w:t>
      </w:r>
      <w:r>
        <w:t>e</w:t>
      </w:r>
      <w:r>
        <w:rPr>
          <w:spacing w:val="-6"/>
        </w:rPr>
        <w:t xml:space="preserve"> </w:t>
      </w:r>
      <w:r>
        <w:t>estatuto</w:t>
      </w:r>
      <w:r>
        <w:rPr>
          <w:spacing w:val="-1"/>
        </w:rPr>
        <w:t xml:space="preserve"> </w:t>
      </w:r>
      <w:r>
        <w:t>relativos</w:t>
      </w:r>
      <w:r>
        <w:rPr>
          <w:spacing w:val="-2"/>
        </w:rPr>
        <w:t xml:space="preserve"> </w:t>
      </w:r>
      <w:r>
        <w:t>ao</w:t>
      </w:r>
      <w:r>
        <w:rPr>
          <w:spacing w:val="-3"/>
        </w:rPr>
        <w:t xml:space="preserve"> </w:t>
      </w:r>
      <w:r>
        <w:t>mencionado plano. O</w:t>
      </w:r>
      <w:r>
        <w:rPr>
          <w:spacing w:val="-1"/>
        </w:rPr>
        <w:t xml:space="preserve"> </w:t>
      </w:r>
      <w:r>
        <w:t>plano</w:t>
      </w:r>
      <w:r>
        <w:rPr>
          <w:spacing w:val="-3"/>
        </w:rPr>
        <w:t xml:space="preserve"> </w:t>
      </w:r>
      <w:r>
        <w:t>oferece</w:t>
      </w:r>
      <w:r>
        <w:rPr>
          <w:spacing w:val="-1"/>
        </w:rPr>
        <w:t xml:space="preserve"> </w:t>
      </w:r>
      <w:r>
        <w:t>rendas</w:t>
      </w:r>
      <w:r>
        <w:rPr>
          <w:spacing w:val="-2"/>
        </w:rPr>
        <w:t xml:space="preserve"> </w:t>
      </w:r>
      <w:r>
        <w:t>vitalícias</w:t>
      </w:r>
      <w:r>
        <w:rPr>
          <w:spacing w:val="-2"/>
        </w:rPr>
        <w:t xml:space="preserve"> </w:t>
      </w:r>
      <w:r>
        <w:t>de aposentadoria e pensão, bem como pagamentos únicos de pecúlios por morte, auxílio-doença, auxílio-reclusão e abono anual conforme discriminados no regulamento do plano de benefícios. Em resumo, o PBS-A oferece aos seus participantes:</w:t>
      </w:r>
    </w:p>
    <w:p w14:paraId="3A13C965" w14:textId="77777777" w:rsidR="002C6574" w:rsidRDefault="00000000">
      <w:pPr>
        <w:pStyle w:val="PargrafodaLista"/>
        <w:numPr>
          <w:ilvl w:val="0"/>
          <w:numId w:val="19"/>
        </w:numPr>
        <w:tabs>
          <w:tab w:val="left" w:pos="1572"/>
        </w:tabs>
        <w:spacing w:before="126"/>
        <w:jc w:val="left"/>
        <w:rPr>
          <w:rFonts w:ascii="Segoe UI Symbol"/>
        </w:rPr>
      </w:pPr>
      <w:r>
        <w:rPr>
          <w:rFonts w:ascii="Segoe UI Symbol"/>
        </w:rPr>
        <w:t>Aposentadoria</w:t>
      </w:r>
      <w:r>
        <w:rPr>
          <w:rFonts w:ascii="Segoe UI Symbol"/>
          <w:spacing w:val="-14"/>
        </w:rPr>
        <w:t xml:space="preserve"> </w:t>
      </w:r>
      <w:r>
        <w:rPr>
          <w:rFonts w:ascii="Segoe UI Symbol"/>
        </w:rPr>
        <w:t>por</w:t>
      </w:r>
      <w:r>
        <w:rPr>
          <w:rFonts w:ascii="Segoe UI Symbol"/>
          <w:spacing w:val="-14"/>
        </w:rPr>
        <w:t xml:space="preserve"> </w:t>
      </w:r>
      <w:r>
        <w:rPr>
          <w:rFonts w:ascii="Segoe UI Symbol"/>
          <w:spacing w:val="-2"/>
        </w:rPr>
        <w:t>invalidez</w:t>
      </w:r>
    </w:p>
    <w:p w14:paraId="2421FF6F" w14:textId="77777777" w:rsidR="002C6574" w:rsidRDefault="00000000">
      <w:pPr>
        <w:pStyle w:val="PargrafodaLista"/>
        <w:numPr>
          <w:ilvl w:val="0"/>
          <w:numId w:val="19"/>
        </w:numPr>
        <w:tabs>
          <w:tab w:val="left" w:pos="1571"/>
        </w:tabs>
        <w:spacing w:before="118"/>
        <w:ind w:left="1571" w:hanging="530"/>
        <w:jc w:val="left"/>
        <w:rPr>
          <w:rFonts w:ascii="Segoe UI Symbol"/>
        </w:rPr>
      </w:pPr>
      <w:r>
        <w:rPr>
          <w:rFonts w:ascii="Segoe UI Symbol"/>
        </w:rPr>
        <w:t>Aposentadoria</w:t>
      </w:r>
      <w:r>
        <w:rPr>
          <w:rFonts w:ascii="Segoe UI Symbol"/>
          <w:spacing w:val="-8"/>
        </w:rPr>
        <w:t xml:space="preserve"> </w:t>
      </w:r>
      <w:r>
        <w:rPr>
          <w:rFonts w:ascii="Segoe UI Symbol"/>
          <w:spacing w:val="-4"/>
        </w:rPr>
        <w:t>idade</w:t>
      </w:r>
    </w:p>
    <w:p w14:paraId="475113B3" w14:textId="77777777" w:rsidR="002C6574" w:rsidRDefault="00000000">
      <w:pPr>
        <w:pStyle w:val="PargrafodaLista"/>
        <w:numPr>
          <w:ilvl w:val="0"/>
          <w:numId w:val="19"/>
        </w:numPr>
        <w:tabs>
          <w:tab w:val="left" w:pos="1572"/>
        </w:tabs>
        <w:spacing w:before="118"/>
        <w:ind w:hanging="579"/>
        <w:jc w:val="left"/>
        <w:rPr>
          <w:rFonts w:ascii="Segoe UI Symbol" w:hAnsi="Segoe UI Symbol"/>
        </w:rPr>
      </w:pPr>
      <w:r>
        <w:rPr>
          <w:rFonts w:ascii="Segoe UI Symbol" w:hAnsi="Segoe UI Symbol"/>
          <w:spacing w:val="-2"/>
        </w:rPr>
        <w:t>Aposentadoria</w:t>
      </w:r>
      <w:r>
        <w:rPr>
          <w:rFonts w:ascii="Segoe UI Symbol" w:hAnsi="Segoe UI Symbol"/>
          <w:spacing w:val="-6"/>
        </w:rPr>
        <w:t xml:space="preserve"> </w:t>
      </w:r>
      <w:r>
        <w:rPr>
          <w:rFonts w:ascii="Segoe UI Symbol" w:hAnsi="Segoe UI Symbol"/>
          <w:spacing w:val="-2"/>
        </w:rPr>
        <w:t>por</w:t>
      </w:r>
      <w:r>
        <w:rPr>
          <w:rFonts w:ascii="Segoe UI Symbol" w:hAnsi="Segoe UI Symbol"/>
          <w:spacing w:val="-5"/>
        </w:rPr>
        <w:t xml:space="preserve"> </w:t>
      </w:r>
      <w:r>
        <w:rPr>
          <w:rFonts w:ascii="Segoe UI Symbol" w:hAnsi="Segoe UI Symbol"/>
          <w:spacing w:val="-2"/>
        </w:rPr>
        <w:t>tempo</w:t>
      </w:r>
      <w:r>
        <w:rPr>
          <w:rFonts w:ascii="Segoe UI Symbol" w:hAnsi="Segoe UI Symbol"/>
          <w:spacing w:val="-3"/>
        </w:rPr>
        <w:t xml:space="preserve"> </w:t>
      </w:r>
      <w:r>
        <w:rPr>
          <w:rFonts w:ascii="Segoe UI Symbol" w:hAnsi="Segoe UI Symbol"/>
          <w:spacing w:val="-2"/>
        </w:rPr>
        <w:t>de</w:t>
      </w:r>
      <w:r>
        <w:rPr>
          <w:rFonts w:ascii="Segoe UI Symbol" w:hAnsi="Segoe UI Symbol"/>
          <w:spacing w:val="-4"/>
        </w:rPr>
        <w:t xml:space="preserve"> </w:t>
      </w:r>
      <w:r>
        <w:rPr>
          <w:rFonts w:ascii="Segoe UI Symbol" w:hAnsi="Segoe UI Symbol"/>
          <w:spacing w:val="-2"/>
        </w:rPr>
        <w:t>serviço</w:t>
      </w:r>
    </w:p>
    <w:p w14:paraId="0C6D93B8" w14:textId="77777777" w:rsidR="002C6574" w:rsidRDefault="00000000">
      <w:pPr>
        <w:pStyle w:val="PargrafodaLista"/>
        <w:numPr>
          <w:ilvl w:val="0"/>
          <w:numId w:val="19"/>
        </w:numPr>
        <w:tabs>
          <w:tab w:val="left" w:pos="1572"/>
        </w:tabs>
        <w:spacing w:before="118"/>
        <w:ind w:hanging="591"/>
        <w:jc w:val="left"/>
        <w:rPr>
          <w:rFonts w:ascii="Segoe UI Symbol"/>
        </w:rPr>
      </w:pPr>
      <w:r>
        <w:rPr>
          <w:rFonts w:ascii="Segoe UI Symbol"/>
        </w:rPr>
        <w:t>Aposentadoria</w:t>
      </w:r>
      <w:r>
        <w:rPr>
          <w:rFonts w:ascii="Segoe UI Symbol"/>
          <w:spacing w:val="-7"/>
        </w:rPr>
        <w:t xml:space="preserve"> </w:t>
      </w:r>
      <w:r>
        <w:rPr>
          <w:rFonts w:ascii="Segoe UI Symbol"/>
          <w:spacing w:val="-2"/>
        </w:rPr>
        <w:t>especial</w:t>
      </w:r>
    </w:p>
    <w:p w14:paraId="62C8BD94" w14:textId="77777777" w:rsidR="002C6574" w:rsidRDefault="00000000">
      <w:pPr>
        <w:pStyle w:val="PargrafodaLista"/>
        <w:numPr>
          <w:ilvl w:val="0"/>
          <w:numId w:val="19"/>
        </w:numPr>
        <w:tabs>
          <w:tab w:val="left" w:pos="1570"/>
        </w:tabs>
        <w:spacing w:before="120"/>
        <w:ind w:left="1570" w:hanging="541"/>
        <w:jc w:val="left"/>
        <w:rPr>
          <w:rFonts w:ascii="Segoe UI Symbol" w:hAnsi="Segoe UI Symbol"/>
        </w:rPr>
      </w:pPr>
      <w:r>
        <w:rPr>
          <w:rFonts w:ascii="Segoe UI Symbol" w:hAnsi="Segoe UI Symbol"/>
          <w:spacing w:val="-2"/>
        </w:rPr>
        <w:t>Auxílio-doença</w:t>
      </w:r>
    </w:p>
    <w:p w14:paraId="4A1DB866" w14:textId="77777777" w:rsidR="002C6574" w:rsidRDefault="00000000">
      <w:pPr>
        <w:pStyle w:val="PargrafodaLista"/>
        <w:numPr>
          <w:ilvl w:val="0"/>
          <w:numId w:val="19"/>
        </w:numPr>
        <w:tabs>
          <w:tab w:val="left" w:pos="1572"/>
        </w:tabs>
        <w:spacing w:before="118"/>
        <w:ind w:hanging="591"/>
        <w:jc w:val="left"/>
        <w:rPr>
          <w:rFonts w:ascii="Segoe UI Symbol" w:hAnsi="Segoe UI Symbol"/>
        </w:rPr>
      </w:pPr>
      <w:r>
        <w:rPr>
          <w:rFonts w:ascii="Segoe UI Symbol" w:hAnsi="Segoe UI Symbol"/>
          <w:spacing w:val="-2"/>
        </w:rPr>
        <w:t>Auxílio-reclusão</w:t>
      </w:r>
    </w:p>
    <w:p w14:paraId="7137EE87" w14:textId="77777777" w:rsidR="002C6574" w:rsidRDefault="00000000">
      <w:pPr>
        <w:pStyle w:val="PargrafodaLista"/>
        <w:numPr>
          <w:ilvl w:val="0"/>
          <w:numId w:val="19"/>
        </w:numPr>
        <w:tabs>
          <w:tab w:val="left" w:pos="1571"/>
        </w:tabs>
        <w:spacing w:before="117"/>
        <w:ind w:left="1571" w:hanging="640"/>
        <w:jc w:val="left"/>
        <w:rPr>
          <w:rFonts w:ascii="Segoe UI Symbol"/>
        </w:rPr>
      </w:pPr>
      <w:r>
        <w:rPr>
          <w:rFonts w:ascii="Segoe UI Symbol"/>
          <w:spacing w:val="-2"/>
        </w:rPr>
        <w:t>Abono</w:t>
      </w:r>
      <w:r>
        <w:rPr>
          <w:rFonts w:ascii="Segoe UI Symbol"/>
          <w:spacing w:val="-12"/>
        </w:rPr>
        <w:t xml:space="preserve"> </w:t>
      </w:r>
      <w:r>
        <w:rPr>
          <w:rFonts w:ascii="Segoe UI Symbol"/>
          <w:spacing w:val="-2"/>
        </w:rPr>
        <w:t>anual</w:t>
      </w:r>
    </w:p>
    <w:p w14:paraId="09C6AA35" w14:textId="77777777" w:rsidR="002C6574" w:rsidRDefault="002C6574">
      <w:pPr>
        <w:pStyle w:val="PargrafodaLista"/>
        <w:rPr>
          <w:rFonts w:ascii="Segoe UI Symbol"/>
        </w:rPr>
        <w:sectPr w:rsidR="002C6574">
          <w:pgSz w:w="11910" w:h="16840"/>
          <w:pgMar w:top="2500" w:right="141" w:bottom="1540" w:left="1133" w:header="1763" w:footer="1310" w:gutter="0"/>
          <w:cols w:space="720"/>
        </w:sectPr>
      </w:pPr>
    </w:p>
    <w:p w14:paraId="257C5BCB" w14:textId="77777777" w:rsidR="002C6574" w:rsidRDefault="00000000">
      <w:pPr>
        <w:pStyle w:val="PargrafodaLista"/>
        <w:numPr>
          <w:ilvl w:val="0"/>
          <w:numId w:val="19"/>
        </w:numPr>
        <w:tabs>
          <w:tab w:val="left" w:pos="1569"/>
        </w:tabs>
        <w:spacing w:before="198"/>
        <w:ind w:left="1569" w:hanging="687"/>
        <w:jc w:val="both"/>
        <w:rPr>
          <w:rFonts w:ascii="Segoe UI Symbol" w:hAnsi="Segoe UI Symbol"/>
        </w:rPr>
      </w:pPr>
      <w:r>
        <w:rPr>
          <w:rFonts w:ascii="Segoe UI Symbol" w:hAnsi="Segoe UI Symbol"/>
        </w:rPr>
        <w:lastRenderedPageBreak/>
        <w:t>Pensão</w:t>
      </w:r>
      <w:r>
        <w:rPr>
          <w:rFonts w:ascii="Segoe UI Symbol" w:hAnsi="Segoe UI Symbol"/>
          <w:spacing w:val="12"/>
        </w:rPr>
        <w:t xml:space="preserve"> </w:t>
      </w:r>
      <w:r>
        <w:rPr>
          <w:rFonts w:ascii="Segoe UI Symbol" w:hAnsi="Segoe UI Symbol"/>
        </w:rPr>
        <w:t>por</w:t>
      </w:r>
      <w:r>
        <w:rPr>
          <w:rFonts w:ascii="Segoe UI Symbol" w:hAnsi="Segoe UI Symbol"/>
          <w:spacing w:val="14"/>
        </w:rPr>
        <w:t xml:space="preserve"> </w:t>
      </w:r>
      <w:r>
        <w:rPr>
          <w:rFonts w:ascii="Segoe UI Symbol" w:hAnsi="Segoe UI Symbol"/>
          <w:spacing w:val="-4"/>
        </w:rPr>
        <w:t>morte</w:t>
      </w:r>
    </w:p>
    <w:p w14:paraId="2EDA387D" w14:textId="77777777" w:rsidR="002C6574" w:rsidRDefault="00000000">
      <w:pPr>
        <w:pStyle w:val="PargrafodaLista"/>
        <w:numPr>
          <w:ilvl w:val="0"/>
          <w:numId w:val="19"/>
        </w:numPr>
        <w:tabs>
          <w:tab w:val="left" w:pos="1571"/>
        </w:tabs>
        <w:spacing w:before="118"/>
        <w:ind w:left="1571" w:hanging="590"/>
        <w:jc w:val="both"/>
        <w:rPr>
          <w:rFonts w:ascii="Segoe UI Symbol" w:hAnsi="Segoe UI Symbol"/>
        </w:rPr>
      </w:pPr>
      <w:r>
        <w:rPr>
          <w:rFonts w:ascii="Segoe UI Symbol" w:hAnsi="Segoe UI Symbol"/>
        </w:rPr>
        <w:t>Pecúlio</w:t>
      </w:r>
      <w:r>
        <w:rPr>
          <w:rFonts w:ascii="Segoe UI Symbol" w:hAnsi="Segoe UI Symbol"/>
          <w:spacing w:val="-2"/>
        </w:rPr>
        <w:t xml:space="preserve"> </w:t>
      </w:r>
      <w:r>
        <w:rPr>
          <w:rFonts w:ascii="Segoe UI Symbol" w:hAnsi="Segoe UI Symbol"/>
        </w:rPr>
        <w:t xml:space="preserve">por </w:t>
      </w:r>
      <w:r>
        <w:rPr>
          <w:rFonts w:ascii="Segoe UI Symbol" w:hAnsi="Segoe UI Symbol"/>
          <w:spacing w:val="-4"/>
        </w:rPr>
        <w:t>morte</w:t>
      </w:r>
    </w:p>
    <w:p w14:paraId="04B5E0AA" w14:textId="77777777" w:rsidR="002C6574" w:rsidRDefault="00000000">
      <w:pPr>
        <w:pStyle w:val="Corpodetexto"/>
        <w:spacing w:before="117"/>
        <w:ind w:left="143" w:right="706"/>
        <w:jc w:val="both"/>
      </w:pPr>
      <w:r>
        <w:t>As regras de elegibilidade e de cálculo dos benefícios estão expressas no respectivo regulamento, cuja versão que deu suporte a este trabalho é denominada de Regulamento do PBS-A, estando vigente</w:t>
      </w:r>
      <w:r>
        <w:rPr>
          <w:spacing w:val="33"/>
        </w:rPr>
        <w:t xml:space="preserve"> </w:t>
      </w:r>
      <w:r>
        <w:t>desde</w:t>
      </w:r>
      <w:r>
        <w:rPr>
          <w:spacing w:val="33"/>
        </w:rPr>
        <w:t xml:space="preserve"> </w:t>
      </w:r>
      <w:r>
        <w:t>2009,</w:t>
      </w:r>
      <w:r>
        <w:rPr>
          <w:spacing w:val="33"/>
        </w:rPr>
        <w:t xml:space="preserve"> </w:t>
      </w:r>
      <w:r>
        <w:t>cuja</w:t>
      </w:r>
      <w:r>
        <w:rPr>
          <w:spacing w:val="28"/>
        </w:rPr>
        <w:t xml:space="preserve"> </w:t>
      </w:r>
      <w:r>
        <w:t>aprovação</w:t>
      </w:r>
      <w:r>
        <w:rPr>
          <w:spacing w:val="30"/>
        </w:rPr>
        <w:t xml:space="preserve"> </w:t>
      </w:r>
      <w:r>
        <w:t>pela</w:t>
      </w:r>
      <w:r>
        <w:rPr>
          <w:spacing w:val="30"/>
        </w:rPr>
        <w:t xml:space="preserve"> </w:t>
      </w:r>
      <w:r>
        <w:t>Secretaria</w:t>
      </w:r>
      <w:r>
        <w:rPr>
          <w:spacing w:val="30"/>
        </w:rPr>
        <w:t xml:space="preserve"> </w:t>
      </w:r>
      <w:r>
        <w:t>de</w:t>
      </w:r>
      <w:r>
        <w:rPr>
          <w:spacing w:val="33"/>
        </w:rPr>
        <w:t xml:space="preserve"> </w:t>
      </w:r>
      <w:r>
        <w:t>Previdência</w:t>
      </w:r>
      <w:r>
        <w:rPr>
          <w:spacing w:val="30"/>
        </w:rPr>
        <w:t xml:space="preserve"> </w:t>
      </w:r>
      <w:r>
        <w:t>Complementar</w:t>
      </w:r>
      <w:r>
        <w:rPr>
          <w:spacing w:val="29"/>
        </w:rPr>
        <w:t xml:space="preserve"> </w:t>
      </w:r>
      <w:r>
        <w:t>se</w:t>
      </w:r>
      <w:r>
        <w:rPr>
          <w:spacing w:val="33"/>
        </w:rPr>
        <w:t xml:space="preserve"> </w:t>
      </w:r>
      <w:r>
        <w:t>deu</w:t>
      </w:r>
      <w:r>
        <w:rPr>
          <w:spacing w:val="30"/>
        </w:rPr>
        <w:t xml:space="preserve"> </w:t>
      </w:r>
      <w:r>
        <w:t>através da Portaria nº 3.188, de 23 de novembro de 2009.</w:t>
      </w:r>
    </w:p>
    <w:p w14:paraId="507897A6" w14:textId="77777777" w:rsidR="002C6574" w:rsidRDefault="00000000">
      <w:pPr>
        <w:pStyle w:val="Corpodetexto"/>
        <w:spacing w:before="114"/>
        <w:ind w:left="143"/>
        <w:jc w:val="both"/>
      </w:pPr>
      <w:r>
        <w:t>O</w:t>
      </w:r>
      <w:r>
        <w:rPr>
          <w:spacing w:val="-1"/>
        </w:rPr>
        <w:t xml:space="preserve"> </w:t>
      </w:r>
      <w:r>
        <w:t>plano</w:t>
      </w:r>
      <w:r>
        <w:rPr>
          <w:spacing w:val="-2"/>
        </w:rPr>
        <w:t xml:space="preserve"> </w:t>
      </w:r>
      <w:r>
        <w:t>de</w:t>
      </w:r>
      <w:r>
        <w:rPr>
          <w:spacing w:val="-4"/>
        </w:rPr>
        <w:t xml:space="preserve"> </w:t>
      </w:r>
      <w:r>
        <w:t>custeio</w:t>
      </w:r>
      <w:r>
        <w:rPr>
          <w:spacing w:val="-2"/>
        </w:rPr>
        <w:t xml:space="preserve"> </w:t>
      </w:r>
      <w:r>
        <w:t>previsto</w:t>
      </w:r>
      <w:r>
        <w:rPr>
          <w:spacing w:val="-1"/>
        </w:rPr>
        <w:t xml:space="preserve"> </w:t>
      </w:r>
      <w:r>
        <w:t>em</w:t>
      </w:r>
      <w:r>
        <w:rPr>
          <w:spacing w:val="-4"/>
        </w:rPr>
        <w:t xml:space="preserve"> </w:t>
      </w:r>
      <w:r>
        <w:t>regulamento</w:t>
      </w:r>
      <w:r>
        <w:rPr>
          <w:spacing w:val="-3"/>
        </w:rPr>
        <w:t xml:space="preserve"> </w:t>
      </w:r>
      <w:r>
        <w:t>é</w:t>
      </w:r>
      <w:r>
        <w:rPr>
          <w:spacing w:val="-4"/>
        </w:rPr>
        <w:t xml:space="preserve"> </w:t>
      </w:r>
      <w:r>
        <w:t>composto</w:t>
      </w:r>
      <w:r>
        <w:rPr>
          <w:spacing w:val="-7"/>
        </w:rPr>
        <w:t xml:space="preserve"> </w:t>
      </w:r>
      <w:r>
        <w:t>pelas</w:t>
      </w:r>
      <w:r>
        <w:rPr>
          <w:spacing w:val="-3"/>
        </w:rPr>
        <w:t xml:space="preserve"> </w:t>
      </w:r>
      <w:r>
        <w:t>seguintes</w:t>
      </w:r>
      <w:r>
        <w:rPr>
          <w:spacing w:val="-4"/>
        </w:rPr>
        <w:t xml:space="preserve"> </w:t>
      </w:r>
      <w:r>
        <w:rPr>
          <w:spacing w:val="-2"/>
        </w:rPr>
        <w:t>fontes:</w:t>
      </w:r>
    </w:p>
    <w:p w14:paraId="3D5E967E" w14:textId="77777777" w:rsidR="002C6574" w:rsidRDefault="00000000">
      <w:pPr>
        <w:pStyle w:val="PargrafodaLista"/>
        <w:numPr>
          <w:ilvl w:val="0"/>
          <w:numId w:val="26"/>
        </w:numPr>
        <w:tabs>
          <w:tab w:val="left" w:pos="1211"/>
        </w:tabs>
        <w:spacing w:before="118"/>
        <w:ind w:hanging="482"/>
        <w:jc w:val="both"/>
        <w:rPr>
          <w:rFonts w:ascii="Segoe UI Symbol" w:hAnsi="Segoe UI Symbol"/>
        </w:rPr>
      </w:pPr>
      <w:r>
        <w:rPr>
          <w:rFonts w:ascii="Segoe UI Symbol" w:hAnsi="Segoe UI Symbol"/>
        </w:rPr>
        <w:t>Contribuição</w:t>
      </w:r>
      <w:r>
        <w:rPr>
          <w:rFonts w:ascii="Segoe UI Symbol" w:hAnsi="Segoe UI Symbol"/>
          <w:spacing w:val="-3"/>
        </w:rPr>
        <w:t xml:space="preserve"> </w:t>
      </w:r>
      <w:r>
        <w:rPr>
          <w:rFonts w:ascii="Segoe UI Symbol" w:hAnsi="Segoe UI Symbol"/>
        </w:rPr>
        <w:t>mensal</w:t>
      </w:r>
      <w:r>
        <w:rPr>
          <w:rFonts w:ascii="Segoe UI Symbol" w:hAnsi="Segoe UI Symbol"/>
          <w:spacing w:val="-3"/>
        </w:rPr>
        <w:t xml:space="preserve"> </w:t>
      </w:r>
      <w:r>
        <w:rPr>
          <w:rFonts w:ascii="Segoe UI Symbol" w:hAnsi="Segoe UI Symbol"/>
        </w:rPr>
        <w:t>de</w:t>
      </w:r>
      <w:r>
        <w:rPr>
          <w:rFonts w:ascii="Segoe UI Symbol" w:hAnsi="Segoe UI Symbol"/>
          <w:spacing w:val="-5"/>
        </w:rPr>
        <w:t xml:space="preserve"> </w:t>
      </w:r>
      <w:r>
        <w:rPr>
          <w:rFonts w:ascii="Segoe UI Symbol" w:hAnsi="Segoe UI Symbol"/>
        </w:rPr>
        <w:t>participantes</w:t>
      </w:r>
      <w:r>
        <w:rPr>
          <w:rFonts w:ascii="Segoe UI Symbol" w:hAnsi="Segoe UI Symbol"/>
          <w:spacing w:val="-5"/>
        </w:rPr>
        <w:t xml:space="preserve"> </w:t>
      </w:r>
      <w:r>
        <w:rPr>
          <w:rFonts w:ascii="Segoe UI Symbol" w:hAnsi="Segoe UI Symbol"/>
        </w:rPr>
        <w:t>ativos</w:t>
      </w:r>
      <w:r>
        <w:rPr>
          <w:rFonts w:ascii="Segoe UI Symbol" w:hAnsi="Segoe UI Symbol"/>
          <w:spacing w:val="-6"/>
        </w:rPr>
        <w:t xml:space="preserve"> </w:t>
      </w:r>
      <w:r>
        <w:rPr>
          <w:rFonts w:ascii="Segoe UI Symbol" w:hAnsi="Segoe UI Symbol"/>
        </w:rPr>
        <w:t>sobre</w:t>
      </w:r>
      <w:r>
        <w:rPr>
          <w:rFonts w:ascii="Segoe UI Symbol" w:hAnsi="Segoe UI Symbol"/>
          <w:spacing w:val="-5"/>
        </w:rPr>
        <w:t xml:space="preserve"> </w:t>
      </w:r>
      <w:r>
        <w:rPr>
          <w:rFonts w:ascii="Segoe UI Symbol" w:hAnsi="Segoe UI Symbol"/>
        </w:rPr>
        <w:t>o</w:t>
      </w:r>
      <w:r>
        <w:rPr>
          <w:rFonts w:ascii="Segoe UI Symbol" w:hAnsi="Segoe UI Symbol"/>
          <w:spacing w:val="-1"/>
        </w:rPr>
        <w:t xml:space="preserve"> </w:t>
      </w:r>
      <w:r>
        <w:rPr>
          <w:rFonts w:ascii="Segoe UI Symbol" w:hAnsi="Segoe UI Symbol"/>
        </w:rPr>
        <w:t>salário-de-</w:t>
      </w:r>
      <w:r>
        <w:rPr>
          <w:rFonts w:ascii="Segoe UI Symbol" w:hAnsi="Segoe UI Symbol"/>
          <w:spacing w:val="-2"/>
        </w:rPr>
        <w:t>participação;</w:t>
      </w:r>
    </w:p>
    <w:p w14:paraId="70C03BC8" w14:textId="77777777" w:rsidR="002C6574" w:rsidRDefault="00000000">
      <w:pPr>
        <w:pStyle w:val="PargrafodaLista"/>
        <w:numPr>
          <w:ilvl w:val="0"/>
          <w:numId w:val="26"/>
        </w:numPr>
        <w:tabs>
          <w:tab w:val="left" w:pos="1209"/>
          <w:tab w:val="left" w:pos="1211"/>
        </w:tabs>
        <w:spacing w:before="122" w:line="237" w:lineRule="auto"/>
        <w:ind w:right="702" w:hanging="531"/>
        <w:jc w:val="both"/>
        <w:rPr>
          <w:rFonts w:ascii="Segoe UI Symbol" w:hAnsi="Segoe UI Symbol"/>
        </w:rPr>
      </w:pPr>
      <w:r>
        <w:rPr>
          <w:rFonts w:ascii="Segoe UI Symbol" w:hAnsi="Segoe UI Symbol"/>
        </w:rPr>
        <w:t>Contribuição mensal de participantes assistidos que recebem abono de aposentadoria (mais de 30 anos de vinculação ao INSS), contribuem com 10% sobre o benefício global pago pela SISTEL, limitado ao valor do abono;</w:t>
      </w:r>
    </w:p>
    <w:p w14:paraId="19C269F6" w14:textId="77777777" w:rsidR="002C6574" w:rsidRDefault="00000000">
      <w:pPr>
        <w:pStyle w:val="PargrafodaLista"/>
        <w:numPr>
          <w:ilvl w:val="0"/>
          <w:numId w:val="26"/>
        </w:numPr>
        <w:tabs>
          <w:tab w:val="left" w:pos="1211"/>
        </w:tabs>
        <w:spacing w:before="122" w:line="237" w:lineRule="auto"/>
        <w:ind w:right="702" w:hanging="581"/>
        <w:jc w:val="both"/>
        <w:rPr>
          <w:rFonts w:ascii="Segoe UI Symbol" w:hAnsi="Segoe UI Symbol"/>
        </w:rPr>
      </w:pPr>
      <w:r>
        <w:rPr>
          <w:rFonts w:ascii="Segoe UI Symbol" w:hAnsi="Segoe UI Symbol"/>
        </w:rPr>
        <w:t>Contribuição mensal das patrocinadoras com percentual sobre a folha mensal de salário de todos os participantes definidos anualmente;</w:t>
      </w:r>
    </w:p>
    <w:p w14:paraId="5267B10C" w14:textId="77777777" w:rsidR="002C6574" w:rsidRDefault="00000000">
      <w:pPr>
        <w:pStyle w:val="PargrafodaLista"/>
        <w:numPr>
          <w:ilvl w:val="0"/>
          <w:numId w:val="26"/>
        </w:numPr>
        <w:tabs>
          <w:tab w:val="left" w:pos="1211"/>
        </w:tabs>
        <w:spacing w:before="122"/>
        <w:ind w:hanging="592"/>
        <w:jc w:val="left"/>
        <w:rPr>
          <w:rFonts w:ascii="Segoe UI Symbol" w:hAnsi="Segoe UI Symbol"/>
        </w:rPr>
      </w:pPr>
      <w:r>
        <w:rPr>
          <w:rFonts w:ascii="Segoe UI Symbol" w:hAnsi="Segoe UI Symbol"/>
        </w:rPr>
        <w:t>Jóia</w:t>
      </w:r>
      <w:r>
        <w:rPr>
          <w:rFonts w:ascii="Segoe UI Symbol" w:hAnsi="Segoe UI Symbol"/>
          <w:spacing w:val="3"/>
        </w:rPr>
        <w:t xml:space="preserve"> </w:t>
      </w:r>
      <w:r>
        <w:rPr>
          <w:rFonts w:ascii="Segoe UI Symbol" w:hAnsi="Segoe UI Symbol"/>
        </w:rPr>
        <w:t>de</w:t>
      </w:r>
      <w:r>
        <w:rPr>
          <w:rFonts w:ascii="Segoe UI Symbol" w:hAnsi="Segoe UI Symbol"/>
          <w:spacing w:val="4"/>
        </w:rPr>
        <w:t xml:space="preserve"> </w:t>
      </w:r>
      <w:r>
        <w:rPr>
          <w:rFonts w:ascii="Segoe UI Symbol" w:hAnsi="Segoe UI Symbol"/>
        </w:rPr>
        <w:t>participantes ativos,</w:t>
      </w:r>
      <w:r>
        <w:rPr>
          <w:rFonts w:ascii="Segoe UI Symbol" w:hAnsi="Segoe UI Symbol"/>
          <w:spacing w:val="5"/>
        </w:rPr>
        <w:t xml:space="preserve"> </w:t>
      </w:r>
      <w:r>
        <w:rPr>
          <w:rFonts w:ascii="Segoe UI Symbol" w:hAnsi="Segoe UI Symbol"/>
        </w:rPr>
        <w:t>determinada</w:t>
      </w:r>
      <w:r>
        <w:rPr>
          <w:rFonts w:ascii="Segoe UI Symbol" w:hAnsi="Segoe UI Symbol"/>
          <w:spacing w:val="5"/>
        </w:rPr>
        <w:t xml:space="preserve"> </w:t>
      </w:r>
      <w:r>
        <w:rPr>
          <w:rFonts w:ascii="Segoe UI Symbol" w:hAnsi="Segoe UI Symbol"/>
          <w:spacing w:val="-2"/>
        </w:rPr>
        <w:t>atuarialmente;</w:t>
      </w:r>
    </w:p>
    <w:p w14:paraId="6EFFF96A" w14:textId="77777777" w:rsidR="002C6574" w:rsidRDefault="00000000">
      <w:pPr>
        <w:pStyle w:val="PargrafodaLista"/>
        <w:numPr>
          <w:ilvl w:val="0"/>
          <w:numId w:val="26"/>
        </w:numPr>
        <w:tabs>
          <w:tab w:val="left" w:pos="1210"/>
        </w:tabs>
        <w:spacing w:before="118"/>
        <w:ind w:left="1210" w:hanging="541"/>
        <w:jc w:val="left"/>
        <w:rPr>
          <w:rFonts w:ascii="Segoe UI Symbol" w:hAnsi="Segoe UI Symbol"/>
        </w:rPr>
      </w:pPr>
      <w:r>
        <w:rPr>
          <w:rFonts w:ascii="Segoe UI Symbol" w:hAnsi="Segoe UI Symbol"/>
        </w:rPr>
        <w:t>Dotações</w:t>
      </w:r>
      <w:r>
        <w:rPr>
          <w:rFonts w:ascii="Segoe UI Symbol" w:hAnsi="Segoe UI Symbol"/>
          <w:spacing w:val="13"/>
        </w:rPr>
        <w:t xml:space="preserve"> </w:t>
      </w:r>
      <w:r>
        <w:rPr>
          <w:rFonts w:ascii="Segoe UI Symbol" w:hAnsi="Segoe UI Symbol"/>
        </w:rPr>
        <w:t>das</w:t>
      </w:r>
      <w:r>
        <w:rPr>
          <w:rFonts w:ascii="Segoe UI Symbol" w:hAnsi="Segoe UI Symbol"/>
          <w:spacing w:val="12"/>
        </w:rPr>
        <w:t xml:space="preserve"> </w:t>
      </w:r>
      <w:r>
        <w:rPr>
          <w:rFonts w:ascii="Segoe UI Symbol" w:hAnsi="Segoe UI Symbol"/>
        </w:rPr>
        <w:t>patrocinadoras;</w:t>
      </w:r>
      <w:r>
        <w:rPr>
          <w:rFonts w:ascii="Segoe UI Symbol" w:hAnsi="Segoe UI Symbol"/>
          <w:spacing w:val="13"/>
        </w:rPr>
        <w:t xml:space="preserve"> </w:t>
      </w:r>
      <w:r>
        <w:rPr>
          <w:rFonts w:ascii="Segoe UI Symbol" w:hAnsi="Segoe UI Symbol"/>
          <w:spacing w:val="-10"/>
        </w:rPr>
        <w:t>e</w:t>
      </w:r>
    </w:p>
    <w:p w14:paraId="6D105276" w14:textId="77777777" w:rsidR="002C6574" w:rsidRDefault="00000000">
      <w:pPr>
        <w:pStyle w:val="PargrafodaLista"/>
        <w:numPr>
          <w:ilvl w:val="0"/>
          <w:numId w:val="26"/>
        </w:numPr>
        <w:tabs>
          <w:tab w:val="left" w:pos="1211"/>
        </w:tabs>
        <w:spacing w:before="117"/>
        <w:ind w:hanging="592"/>
        <w:jc w:val="left"/>
        <w:rPr>
          <w:rFonts w:ascii="Segoe UI Symbol" w:hAnsi="Segoe UI Symbol"/>
        </w:rPr>
      </w:pPr>
      <w:r>
        <w:rPr>
          <w:rFonts w:ascii="Segoe UI Symbol" w:hAnsi="Segoe UI Symbol"/>
        </w:rPr>
        <w:t>Receitas</w:t>
      </w:r>
      <w:r>
        <w:rPr>
          <w:rFonts w:ascii="Segoe UI Symbol" w:hAnsi="Segoe UI Symbol"/>
          <w:spacing w:val="14"/>
        </w:rPr>
        <w:t xml:space="preserve"> </w:t>
      </w:r>
      <w:r>
        <w:rPr>
          <w:rFonts w:ascii="Segoe UI Symbol" w:hAnsi="Segoe UI Symbol"/>
        </w:rPr>
        <w:t>de</w:t>
      </w:r>
      <w:r>
        <w:rPr>
          <w:rFonts w:ascii="Segoe UI Symbol" w:hAnsi="Segoe UI Symbol"/>
          <w:spacing w:val="16"/>
        </w:rPr>
        <w:t xml:space="preserve"> </w:t>
      </w:r>
      <w:r>
        <w:rPr>
          <w:rFonts w:ascii="Segoe UI Symbol" w:hAnsi="Segoe UI Symbol"/>
        </w:rPr>
        <w:t>aplicação</w:t>
      </w:r>
      <w:r>
        <w:rPr>
          <w:rFonts w:ascii="Segoe UI Symbol" w:hAnsi="Segoe UI Symbol"/>
          <w:spacing w:val="13"/>
        </w:rPr>
        <w:t xml:space="preserve"> </w:t>
      </w:r>
      <w:r>
        <w:rPr>
          <w:rFonts w:ascii="Segoe UI Symbol" w:hAnsi="Segoe UI Symbol"/>
        </w:rPr>
        <w:t>do</w:t>
      </w:r>
      <w:r>
        <w:rPr>
          <w:rFonts w:ascii="Segoe UI Symbol" w:hAnsi="Segoe UI Symbol"/>
          <w:spacing w:val="15"/>
        </w:rPr>
        <w:t xml:space="preserve"> </w:t>
      </w:r>
      <w:r>
        <w:rPr>
          <w:rFonts w:ascii="Segoe UI Symbol" w:hAnsi="Segoe UI Symbol"/>
          <w:spacing w:val="-2"/>
        </w:rPr>
        <w:t>patrimônio.</w:t>
      </w:r>
    </w:p>
    <w:p w14:paraId="26387BEB" w14:textId="77777777" w:rsidR="002C6574" w:rsidRDefault="00000000">
      <w:pPr>
        <w:pStyle w:val="Corpodetexto"/>
        <w:spacing w:before="118"/>
        <w:ind w:left="143"/>
      </w:pPr>
      <w:r>
        <w:t>O</w:t>
      </w:r>
      <w:r>
        <w:rPr>
          <w:spacing w:val="40"/>
        </w:rPr>
        <w:t xml:space="preserve"> </w:t>
      </w:r>
      <w:r>
        <w:t>plano</w:t>
      </w:r>
      <w:r>
        <w:rPr>
          <w:spacing w:val="40"/>
        </w:rPr>
        <w:t xml:space="preserve"> </w:t>
      </w:r>
      <w:r>
        <w:t>de</w:t>
      </w:r>
      <w:r>
        <w:rPr>
          <w:spacing w:val="40"/>
        </w:rPr>
        <w:t xml:space="preserve"> </w:t>
      </w:r>
      <w:r>
        <w:t>benefícios</w:t>
      </w:r>
      <w:r>
        <w:rPr>
          <w:spacing w:val="38"/>
        </w:rPr>
        <w:t xml:space="preserve"> </w:t>
      </w:r>
      <w:r>
        <w:t>PBS-A</w:t>
      </w:r>
      <w:r>
        <w:rPr>
          <w:spacing w:val="40"/>
        </w:rPr>
        <w:t xml:space="preserve"> </w:t>
      </w:r>
      <w:r>
        <w:t>contava,</w:t>
      </w:r>
      <w:r>
        <w:rPr>
          <w:spacing w:val="40"/>
        </w:rPr>
        <w:t xml:space="preserve"> </w:t>
      </w:r>
      <w:r>
        <w:t>em</w:t>
      </w:r>
      <w:r>
        <w:rPr>
          <w:spacing w:val="40"/>
        </w:rPr>
        <w:t xml:space="preserve"> </w:t>
      </w:r>
      <w:r>
        <w:t>31</w:t>
      </w:r>
      <w:r>
        <w:rPr>
          <w:spacing w:val="40"/>
        </w:rPr>
        <w:t xml:space="preserve"> </w:t>
      </w:r>
      <w:r>
        <w:t>dezembro</w:t>
      </w:r>
      <w:r>
        <w:rPr>
          <w:spacing w:val="38"/>
        </w:rPr>
        <w:t xml:space="preserve"> </w:t>
      </w:r>
      <w:r>
        <w:t>de</w:t>
      </w:r>
      <w:r>
        <w:rPr>
          <w:spacing w:val="40"/>
        </w:rPr>
        <w:t xml:space="preserve"> </w:t>
      </w:r>
      <w:r>
        <w:t>2025,</w:t>
      </w:r>
      <w:r>
        <w:rPr>
          <w:spacing w:val="40"/>
        </w:rPr>
        <w:t xml:space="preserve"> </w:t>
      </w:r>
      <w:r>
        <w:t>com</w:t>
      </w:r>
      <w:r>
        <w:rPr>
          <w:spacing w:val="40"/>
        </w:rPr>
        <w:t xml:space="preserve"> </w:t>
      </w:r>
      <w:r>
        <w:t>407</w:t>
      </w:r>
      <w:r>
        <w:rPr>
          <w:spacing w:val="40"/>
        </w:rPr>
        <w:t xml:space="preserve"> </w:t>
      </w:r>
      <w:r>
        <w:t>assistidos,</w:t>
      </w:r>
      <w:r>
        <w:rPr>
          <w:spacing w:val="40"/>
        </w:rPr>
        <w:t xml:space="preserve"> </w:t>
      </w:r>
      <w:r>
        <w:t>conforme apresentado abaixo.</w:t>
      </w:r>
    </w:p>
    <w:p w14:paraId="5FF6B45F" w14:textId="77777777" w:rsidR="002C6574" w:rsidRDefault="002C6574">
      <w:pPr>
        <w:pStyle w:val="Corpodetexto"/>
        <w:spacing w:before="3"/>
        <w:rPr>
          <w:sz w:val="11"/>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0"/>
        <w:gridCol w:w="2182"/>
        <w:gridCol w:w="2129"/>
      </w:tblGrid>
      <w:tr w:rsidR="002C6574" w14:paraId="5A98087B" w14:textId="77777777">
        <w:trPr>
          <w:trHeight w:val="237"/>
        </w:trPr>
        <w:tc>
          <w:tcPr>
            <w:tcW w:w="5460" w:type="dxa"/>
            <w:shd w:val="clear" w:color="auto" w:fill="BFBFBF"/>
          </w:tcPr>
          <w:p w14:paraId="16727DBA" w14:textId="77777777" w:rsidR="002C6574" w:rsidRDefault="00000000">
            <w:pPr>
              <w:pStyle w:val="TableParagraph"/>
              <w:spacing w:before="13" w:line="204" w:lineRule="exact"/>
              <w:ind w:left="69"/>
              <w:jc w:val="left"/>
              <w:rPr>
                <w:rFonts w:ascii="Arial"/>
                <w:b/>
                <w:sz w:val="18"/>
              </w:rPr>
            </w:pPr>
            <w:r>
              <w:rPr>
                <w:rFonts w:ascii="Arial"/>
                <w:b/>
                <w:spacing w:val="-2"/>
                <w:sz w:val="18"/>
              </w:rPr>
              <w:t>Assistidos:</w:t>
            </w:r>
          </w:p>
        </w:tc>
        <w:tc>
          <w:tcPr>
            <w:tcW w:w="2182" w:type="dxa"/>
          </w:tcPr>
          <w:p w14:paraId="414DFA8C" w14:textId="77777777" w:rsidR="002C6574" w:rsidRDefault="00000000">
            <w:pPr>
              <w:pStyle w:val="TableParagraph"/>
              <w:spacing w:before="13" w:line="204" w:lineRule="exact"/>
              <w:ind w:left="518"/>
              <w:jc w:val="left"/>
              <w:rPr>
                <w:rFonts w:ascii="Arial"/>
                <w:b/>
                <w:sz w:val="18"/>
              </w:rPr>
            </w:pPr>
            <w:r>
              <w:rPr>
                <w:rFonts w:ascii="Arial"/>
                <w:b/>
                <w:spacing w:val="-2"/>
                <w:sz w:val="18"/>
              </w:rPr>
              <w:t>Aposentados</w:t>
            </w:r>
          </w:p>
        </w:tc>
        <w:tc>
          <w:tcPr>
            <w:tcW w:w="2129" w:type="dxa"/>
          </w:tcPr>
          <w:p w14:paraId="6791AC9E" w14:textId="77777777" w:rsidR="002C6574" w:rsidRDefault="00000000">
            <w:pPr>
              <w:pStyle w:val="TableParagraph"/>
              <w:spacing w:before="13" w:line="204" w:lineRule="exact"/>
              <w:ind w:left="508"/>
              <w:jc w:val="left"/>
              <w:rPr>
                <w:rFonts w:ascii="Arial"/>
                <w:b/>
                <w:sz w:val="18"/>
              </w:rPr>
            </w:pPr>
            <w:r>
              <w:rPr>
                <w:rFonts w:ascii="Arial"/>
                <w:b/>
                <w:spacing w:val="-2"/>
                <w:sz w:val="18"/>
              </w:rPr>
              <w:t>Pensionistas</w:t>
            </w:r>
          </w:p>
        </w:tc>
      </w:tr>
      <w:tr w:rsidR="002C6574" w14:paraId="4DD7627A" w14:textId="77777777">
        <w:trPr>
          <w:trHeight w:val="237"/>
        </w:trPr>
        <w:tc>
          <w:tcPr>
            <w:tcW w:w="5460" w:type="dxa"/>
          </w:tcPr>
          <w:p w14:paraId="158A43C8" w14:textId="77777777" w:rsidR="002C6574" w:rsidRDefault="00000000">
            <w:pPr>
              <w:pStyle w:val="TableParagraph"/>
              <w:spacing w:line="217" w:lineRule="exact"/>
              <w:ind w:left="69"/>
              <w:jc w:val="left"/>
              <w:rPr>
                <w:sz w:val="18"/>
              </w:rPr>
            </w:pPr>
            <w:r>
              <w:rPr>
                <w:spacing w:val="-2"/>
                <w:sz w:val="18"/>
              </w:rPr>
              <w:t>Quantidade</w:t>
            </w:r>
          </w:p>
        </w:tc>
        <w:tc>
          <w:tcPr>
            <w:tcW w:w="2182" w:type="dxa"/>
          </w:tcPr>
          <w:p w14:paraId="7457151D" w14:textId="77777777" w:rsidR="002C6574" w:rsidRDefault="00000000">
            <w:pPr>
              <w:pStyle w:val="TableParagraph"/>
              <w:spacing w:line="217" w:lineRule="exact"/>
              <w:ind w:right="59"/>
              <w:rPr>
                <w:sz w:val="18"/>
              </w:rPr>
            </w:pPr>
            <w:r>
              <w:rPr>
                <w:spacing w:val="-5"/>
                <w:w w:val="105"/>
                <w:sz w:val="18"/>
              </w:rPr>
              <w:t>269</w:t>
            </w:r>
          </w:p>
        </w:tc>
        <w:tc>
          <w:tcPr>
            <w:tcW w:w="2129" w:type="dxa"/>
          </w:tcPr>
          <w:p w14:paraId="4BD1E1FC" w14:textId="77777777" w:rsidR="002C6574" w:rsidRDefault="00000000">
            <w:pPr>
              <w:pStyle w:val="TableParagraph"/>
              <w:spacing w:line="217" w:lineRule="exact"/>
              <w:ind w:right="58"/>
              <w:rPr>
                <w:sz w:val="18"/>
              </w:rPr>
            </w:pPr>
            <w:r>
              <w:rPr>
                <w:spacing w:val="-5"/>
                <w:w w:val="105"/>
                <w:sz w:val="18"/>
              </w:rPr>
              <w:t>138</w:t>
            </w:r>
          </w:p>
        </w:tc>
      </w:tr>
      <w:tr w:rsidR="002C6574" w14:paraId="643DCA5F" w14:textId="77777777">
        <w:trPr>
          <w:trHeight w:val="239"/>
        </w:trPr>
        <w:tc>
          <w:tcPr>
            <w:tcW w:w="5460" w:type="dxa"/>
          </w:tcPr>
          <w:p w14:paraId="5AE9CBAB" w14:textId="77777777" w:rsidR="002C6574" w:rsidRDefault="00000000">
            <w:pPr>
              <w:pStyle w:val="TableParagraph"/>
              <w:spacing w:line="220" w:lineRule="exact"/>
              <w:ind w:left="69"/>
              <w:jc w:val="left"/>
              <w:rPr>
                <w:sz w:val="18"/>
              </w:rPr>
            </w:pPr>
            <w:r>
              <w:rPr>
                <w:sz w:val="18"/>
              </w:rPr>
              <w:t>Idade média</w:t>
            </w:r>
            <w:r>
              <w:rPr>
                <w:spacing w:val="1"/>
                <w:sz w:val="18"/>
              </w:rPr>
              <w:t xml:space="preserve"> </w:t>
            </w:r>
            <w:r>
              <w:rPr>
                <w:spacing w:val="-2"/>
                <w:sz w:val="18"/>
              </w:rPr>
              <w:t>(anos)</w:t>
            </w:r>
          </w:p>
        </w:tc>
        <w:tc>
          <w:tcPr>
            <w:tcW w:w="2182" w:type="dxa"/>
          </w:tcPr>
          <w:p w14:paraId="563747CB" w14:textId="77777777" w:rsidR="002C6574" w:rsidRDefault="00000000">
            <w:pPr>
              <w:pStyle w:val="TableParagraph"/>
              <w:spacing w:line="220" w:lineRule="exact"/>
              <w:ind w:right="58"/>
              <w:rPr>
                <w:sz w:val="18"/>
              </w:rPr>
            </w:pPr>
            <w:r>
              <w:rPr>
                <w:spacing w:val="-4"/>
                <w:w w:val="110"/>
                <w:sz w:val="18"/>
              </w:rPr>
              <w:t>80,97</w:t>
            </w:r>
          </w:p>
        </w:tc>
        <w:tc>
          <w:tcPr>
            <w:tcW w:w="2129" w:type="dxa"/>
          </w:tcPr>
          <w:p w14:paraId="21CA2D6F" w14:textId="77777777" w:rsidR="002C6574" w:rsidRDefault="00000000">
            <w:pPr>
              <w:pStyle w:val="TableParagraph"/>
              <w:spacing w:line="220" w:lineRule="exact"/>
              <w:ind w:right="56"/>
              <w:rPr>
                <w:sz w:val="18"/>
              </w:rPr>
            </w:pPr>
            <w:r>
              <w:rPr>
                <w:spacing w:val="-2"/>
                <w:w w:val="110"/>
                <w:sz w:val="18"/>
              </w:rPr>
              <w:t>76,53</w:t>
            </w:r>
          </w:p>
        </w:tc>
      </w:tr>
      <w:tr w:rsidR="002C6574" w14:paraId="475A16DA" w14:textId="77777777">
        <w:trPr>
          <w:trHeight w:val="237"/>
        </w:trPr>
        <w:tc>
          <w:tcPr>
            <w:tcW w:w="5460" w:type="dxa"/>
          </w:tcPr>
          <w:p w14:paraId="3189908E" w14:textId="77777777" w:rsidR="002C6574" w:rsidRDefault="00000000">
            <w:pPr>
              <w:pStyle w:val="TableParagraph"/>
              <w:spacing w:line="217" w:lineRule="exact"/>
              <w:ind w:left="69"/>
              <w:jc w:val="left"/>
              <w:rPr>
                <w:sz w:val="18"/>
              </w:rPr>
            </w:pPr>
            <w:r>
              <w:rPr>
                <w:sz w:val="18"/>
              </w:rPr>
              <w:t>Benefício</w:t>
            </w:r>
            <w:r>
              <w:rPr>
                <w:spacing w:val="1"/>
                <w:sz w:val="18"/>
              </w:rPr>
              <w:t xml:space="preserve"> </w:t>
            </w:r>
            <w:r>
              <w:rPr>
                <w:sz w:val="18"/>
              </w:rPr>
              <w:t>médio</w:t>
            </w:r>
            <w:r>
              <w:rPr>
                <w:spacing w:val="3"/>
                <w:sz w:val="18"/>
              </w:rPr>
              <w:t xml:space="preserve"> </w:t>
            </w:r>
            <w:r>
              <w:rPr>
                <w:spacing w:val="-4"/>
                <w:sz w:val="18"/>
              </w:rPr>
              <w:t>(R$)</w:t>
            </w:r>
          </w:p>
        </w:tc>
        <w:tc>
          <w:tcPr>
            <w:tcW w:w="2182" w:type="dxa"/>
          </w:tcPr>
          <w:p w14:paraId="057B5C99" w14:textId="77777777" w:rsidR="002C6574" w:rsidRDefault="00000000">
            <w:pPr>
              <w:pStyle w:val="TableParagraph"/>
              <w:spacing w:line="217" w:lineRule="exact"/>
              <w:ind w:right="58"/>
              <w:rPr>
                <w:sz w:val="18"/>
              </w:rPr>
            </w:pPr>
            <w:r>
              <w:rPr>
                <w:spacing w:val="-2"/>
                <w:w w:val="110"/>
                <w:sz w:val="18"/>
              </w:rPr>
              <w:t>11.511,81</w:t>
            </w:r>
          </w:p>
        </w:tc>
        <w:tc>
          <w:tcPr>
            <w:tcW w:w="2129" w:type="dxa"/>
          </w:tcPr>
          <w:p w14:paraId="689C1838" w14:textId="77777777" w:rsidR="002C6574" w:rsidRDefault="00000000">
            <w:pPr>
              <w:pStyle w:val="TableParagraph"/>
              <w:spacing w:line="217" w:lineRule="exact"/>
              <w:ind w:right="57"/>
              <w:rPr>
                <w:sz w:val="18"/>
              </w:rPr>
            </w:pPr>
            <w:r>
              <w:rPr>
                <w:spacing w:val="-2"/>
                <w:w w:val="110"/>
                <w:sz w:val="18"/>
              </w:rPr>
              <w:t>9.586,73</w:t>
            </w:r>
          </w:p>
        </w:tc>
      </w:tr>
    </w:tbl>
    <w:p w14:paraId="662B825C" w14:textId="77777777" w:rsidR="002C6574" w:rsidRDefault="00000000">
      <w:pPr>
        <w:numPr>
          <w:ilvl w:val="2"/>
          <w:numId w:val="27"/>
        </w:numPr>
        <w:tabs>
          <w:tab w:val="left" w:pos="990"/>
        </w:tabs>
        <w:spacing w:before="241"/>
        <w:ind w:left="990" w:hanging="847"/>
        <w:rPr>
          <w:rFonts w:ascii="Arial" w:hAnsi="Arial"/>
          <w:b/>
        </w:rPr>
      </w:pPr>
      <w:r>
        <w:rPr>
          <w:rFonts w:ascii="Arial" w:hAnsi="Arial"/>
          <w:b/>
        </w:rPr>
        <w:t>Plano</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Benefícios</w:t>
      </w:r>
      <w:r>
        <w:rPr>
          <w:rFonts w:ascii="Arial" w:hAnsi="Arial"/>
          <w:b/>
          <w:spacing w:val="-1"/>
        </w:rPr>
        <w:t xml:space="preserve"> </w:t>
      </w:r>
      <w:r>
        <w:rPr>
          <w:rFonts w:ascii="Arial" w:hAnsi="Arial"/>
          <w:b/>
        </w:rPr>
        <w:t>PBS</w:t>
      </w:r>
      <w:r>
        <w:rPr>
          <w:rFonts w:ascii="Arial" w:hAnsi="Arial"/>
          <w:b/>
          <w:spacing w:val="-3"/>
        </w:rPr>
        <w:t xml:space="preserve"> </w:t>
      </w:r>
      <w:r>
        <w:rPr>
          <w:rFonts w:ascii="Arial" w:hAnsi="Arial"/>
          <w:b/>
        </w:rPr>
        <w:t>-</w:t>
      </w:r>
      <w:r>
        <w:rPr>
          <w:rFonts w:ascii="Arial" w:hAnsi="Arial"/>
          <w:b/>
          <w:spacing w:val="-2"/>
        </w:rPr>
        <w:t xml:space="preserve"> Telebras</w:t>
      </w:r>
    </w:p>
    <w:p w14:paraId="2E34E31B" w14:textId="77777777" w:rsidR="002C6574" w:rsidRDefault="002C6574">
      <w:pPr>
        <w:pStyle w:val="Corpodetexto"/>
        <w:spacing w:before="74"/>
        <w:rPr>
          <w:rFonts w:ascii="Arial"/>
          <w:b/>
        </w:rPr>
      </w:pPr>
    </w:p>
    <w:p w14:paraId="3DF95AED" w14:textId="77777777" w:rsidR="002C6574" w:rsidRDefault="00000000">
      <w:pPr>
        <w:pStyle w:val="Corpodetexto"/>
        <w:spacing w:before="1" w:line="237" w:lineRule="auto"/>
        <w:ind w:left="143" w:right="703"/>
        <w:jc w:val="both"/>
      </w:pPr>
      <w:r>
        <w:t>O plano de Benefícios PBS Telebrás (CNPB nº 20.000.019-47) é estruturado na modalidade de benefício definido, sendo patrocinado pela Telebrás, nos termos dos convênios de adesão, regulamentos e estatuto relativos ao mencionado plano. O plano oferece rendas vitalícias de aposentadoria, auxílio-doença, auxílio-reclusão, bem como pagamentos únicos de pecúlios por morte, conforme discriminados no regulamento do plano de benefícios. Em resumo, o PBS Telebrás oferece aos seus participantes:</w:t>
      </w:r>
    </w:p>
    <w:p w14:paraId="222200F4" w14:textId="77777777" w:rsidR="002C6574" w:rsidRDefault="00000000">
      <w:pPr>
        <w:pStyle w:val="PargrafodaLista"/>
        <w:numPr>
          <w:ilvl w:val="0"/>
          <w:numId w:val="18"/>
        </w:numPr>
        <w:tabs>
          <w:tab w:val="left" w:pos="1224"/>
        </w:tabs>
        <w:spacing w:before="124"/>
        <w:rPr>
          <w:rFonts w:ascii="Segoe UI Symbol"/>
        </w:rPr>
      </w:pPr>
      <w:r>
        <w:rPr>
          <w:rFonts w:ascii="Segoe UI Symbol"/>
        </w:rPr>
        <w:t>Aposentadoria</w:t>
      </w:r>
      <w:r>
        <w:rPr>
          <w:rFonts w:ascii="Segoe UI Symbol"/>
          <w:spacing w:val="-16"/>
        </w:rPr>
        <w:t xml:space="preserve"> </w:t>
      </w:r>
      <w:r>
        <w:rPr>
          <w:rFonts w:ascii="Segoe UI Symbol"/>
        </w:rPr>
        <w:t>por</w:t>
      </w:r>
      <w:r>
        <w:rPr>
          <w:rFonts w:ascii="Segoe UI Symbol"/>
          <w:spacing w:val="-14"/>
        </w:rPr>
        <w:t xml:space="preserve"> </w:t>
      </w:r>
      <w:r>
        <w:rPr>
          <w:rFonts w:ascii="Segoe UI Symbol"/>
          <w:spacing w:val="-4"/>
        </w:rPr>
        <w:t>idade</w:t>
      </w:r>
    </w:p>
    <w:p w14:paraId="0D8B55BA" w14:textId="77777777" w:rsidR="002C6574" w:rsidRDefault="00000000">
      <w:pPr>
        <w:pStyle w:val="PargrafodaLista"/>
        <w:numPr>
          <w:ilvl w:val="0"/>
          <w:numId w:val="18"/>
        </w:numPr>
        <w:tabs>
          <w:tab w:val="left" w:pos="1224"/>
        </w:tabs>
        <w:spacing w:before="118"/>
        <w:rPr>
          <w:rFonts w:ascii="Segoe UI Symbol" w:hAnsi="Segoe UI Symbol"/>
        </w:rPr>
      </w:pPr>
      <w:r>
        <w:rPr>
          <w:rFonts w:ascii="Segoe UI Symbol" w:hAnsi="Segoe UI Symbol"/>
        </w:rPr>
        <w:t>Aposentadoria</w:t>
      </w:r>
      <w:r>
        <w:rPr>
          <w:rFonts w:ascii="Segoe UI Symbol" w:hAnsi="Segoe UI Symbol"/>
          <w:spacing w:val="-15"/>
        </w:rPr>
        <w:t xml:space="preserve"> </w:t>
      </w:r>
      <w:r>
        <w:rPr>
          <w:rFonts w:ascii="Segoe UI Symbol" w:hAnsi="Segoe UI Symbol"/>
        </w:rPr>
        <w:t>por</w:t>
      </w:r>
      <w:r>
        <w:rPr>
          <w:rFonts w:ascii="Segoe UI Symbol" w:hAnsi="Segoe UI Symbol"/>
          <w:spacing w:val="-15"/>
        </w:rPr>
        <w:t xml:space="preserve"> </w:t>
      </w:r>
      <w:r>
        <w:rPr>
          <w:rFonts w:ascii="Segoe UI Symbol" w:hAnsi="Segoe UI Symbol"/>
        </w:rPr>
        <w:t>tempo</w:t>
      </w:r>
      <w:r>
        <w:rPr>
          <w:rFonts w:ascii="Segoe UI Symbol" w:hAnsi="Segoe UI Symbol"/>
          <w:spacing w:val="-15"/>
        </w:rPr>
        <w:t xml:space="preserve"> </w:t>
      </w:r>
      <w:r>
        <w:rPr>
          <w:rFonts w:ascii="Segoe UI Symbol" w:hAnsi="Segoe UI Symbol"/>
        </w:rPr>
        <w:t>de</w:t>
      </w:r>
      <w:r>
        <w:rPr>
          <w:rFonts w:ascii="Segoe UI Symbol" w:hAnsi="Segoe UI Symbol"/>
          <w:spacing w:val="-13"/>
        </w:rPr>
        <w:t xml:space="preserve"> </w:t>
      </w:r>
      <w:r>
        <w:rPr>
          <w:rFonts w:ascii="Segoe UI Symbol" w:hAnsi="Segoe UI Symbol"/>
          <w:spacing w:val="-2"/>
        </w:rPr>
        <w:t>serviço</w:t>
      </w:r>
    </w:p>
    <w:p w14:paraId="3564862E" w14:textId="77777777" w:rsidR="002C6574" w:rsidRDefault="00000000">
      <w:pPr>
        <w:pStyle w:val="PargrafodaLista"/>
        <w:numPr>
          <w:ilvl w:val="0"/>
          <w:numId w:val="18"/>
        </w:numPr>
        <w:tabs>
          <w:tab w:val="left" w:pos="1224"/>
        </w:tabs>
        <w:spacing w:before="117"/>
        <w:rPr>
          <w:rFonts w:ascii="Segoe UI Symbol"/>
        </w:rPr>
      </w:pPr>
      <w:r>
        <w:rPr>
          <w:rFonts w:ascii="Segoe UI Symbol"/>
        </w:rPr>
        <w:t>Aposentadoria</w:t>
      </w:r>
      <w:r>
        <w:rPr>
          <w:rFonts w:ascii="Segoe UI Symbol"/>
          <w:spacing w:val="-16"/>
        </w:rPr>
        <w:t xml:space="preserve"> </w:t>
      </w:r>
      <w:r>
        <w:rPr>
          <w:rFonts w:ascii="Segoe UI Symbol"/>
        </w:rPr>
        <w:t>por</w:t>
      </w:r>
      <w:r>
        <w:rPr>
          <w:rFonts w:ascii="Segoe UI Symbol"/>
          <w:spacing w:val="-14"/>
        </w:rPr>
        <w:t xml:space="preserve"> </w:t>
      </w:r>
      <w:r>
        <w:rPr>
          <w:rFonts w:ascii="Segoe UI Symbol"/>
          <w:spacing w:val="-2"/>
        </w:rPr>
        <w:t>invalidez</w:t>
      </w:r>
    </w:p>
    <w:p w14:paraId="6C7C62BB" w14:textId="77777777" w:rsidR="002C6574" w:rsidRDefault="00000000">
      <w:pPr>
        <w:pStyle w:val="PargrafodaLista"/>
        <w:numPr>
          <w:ilvl w:val="0"/>
          <w:numId w:val="18"/>
        </w:numPr>
        <w:tabs>
          <w:tab w:val="left" w:pos="1224"/>
        </w:tabs>
        <w:spacing w:before="121"/>
        <w:rPr>
          <w:rFonts w:ascii="Segoe UI Symbol"/>
        </w:rPr>
      </w:pPr>
      <w:r>
        <w:rPr>
          <w:rFonts w:ascii="Segoe UI Symbol"/>
        </w:rPr>
        <w:t>Aposentadoria</w:t>
      </w:r>
      <w:r>
        <w:rPr>
          <w:rFonts w:ascii="Segoe UI Symbol"/>
          <w:spacing w:val="-12"/>
        </w:rPr>
        <w:t xml:space="preserve"> </w:t>
      </w:r>
      <w:r>
        <w:rPr>
          <w:rFonts w:ascii="Segoe UI Symbol"/>
          <w:spacing w:val="-2"/>
        </w:rPr>
        <w:t>especial</w:t>
      </w:r>
    </w:p>
    <w:p w14:paraId="7AE49FD5" w14:textId="77777777" w:rsidR="002C6574" w:rsidRDefault="00000000">
      <w:pPr>
        <w:pStyle w:val="PargrafodaLista"/>
        <w:numPr>
          <w:ilvl w:val="0"/>
          <w:numId w:val="18"/>
        </w:numPr>
        <w:tabs>
          <w:tab w:val="left" w:pos="1224"/>
        </w:tabs>
        <w:spacing w:before="117"/>
        <w:rPr>
          <w:rFonts w:ascii="Segoe UI Symbol" w:hAnsi="Segoe UI Symbol"/>
        </w:rPr>
      </w:pPr>
      <w:r>
        <w:rPr>
          <w:rFonts w:ascii="Segoe UI Symbol" w:hAnsi="Segoe UI Symbol"/>
          <w:spacing w:val="-2"/>
        </w:rPr>
        <w:t>Auxílio-doença</w:t>
      </w:r>
    </w:p>
    <w:p w14:paraId="2FD4B0FB" w14:textId="77777777" w:rsidR="002C6574" w:rsidRDefault="00000000">
      <w:pPr>
        <w:pStyle w:val="PargrafodaLista"/>
        <w:numPr>
          <w:ilvl w:val="0"/>
          <w:numId w:val="18"/>
        </w:numPr>
        <w:tabs>
          <w:tab w:val="left" w:pos="1224"/>
        </w:tabs>
        <w:spacing w:before="118"/>
        <w:rPr>
          <w:rFonts w:ascii="Segoe UI Symbol" w:hAnsi="Segoe UI Symbol"/>
        </w:rPr>
      </w:pPr>
      <w:r>
        <w:rPr>
          <w:rFonts w:ascii="Segoe UI Symbol" w:hAnsi="Segoe UI Symbol"/>
          <w:spacing w:val="-4"/>
        </w:rPr>
        <w:t>Auxílio-</w:t>
      </w:r>
      <w:r>
        <w:rPr>
          <w:rFonts w:ascii="Segoe UI Symbol" w:hAnsi="Segoe UI Symbol"/>
          <w:spacing w:val="-2"/>
        </w:rPr>
        <w:t>reclusão</w:t>
      </w:r>
    </w:p>
    <w:p w14:paraId="0D9657BE" w14:textId="77777777" w:rsidR="002C6574" w:rsidRDefault="00000000">
      <w:pPr>
        <w:pStyle w:val="PargrafodaLista"/>
        <w:numPr>
          <w:ilvl w:val="0"/>
          <w:numId w:val="18"/>
        </w:numPr>
        <w:tabs>
          <w:tab w:val="left" w:pos="1224"/>
        </w:tabs>
        <w:spacing w:before="118"/>
        <w:rPr>
          <w:rFonts w:ascii="Segoe UI Symbol"/>
        </w:rPr>
      </w:pPr>
      <w:r>
        <w:rPr>
          <w:rFonts w:ascii="Segoe UI Symbol"/>
          <w:spacing w:val="-2"/>
        </w:rPr>
        <w:t>Abono</w:t>
      </w:r>
      <w:r>
        <w:rPr>
          <w:rFonts w:ascii="Segoe UI Symbol"/>
          <w:spacing w:val="-12"/>
        </w:rPr>
        <w:t xml:space="preserve"> </w:t>
      </w:r>
      <w:r>
        <w:rPr>
          <w:rFonts w:ascii="Segoe UI Symbol"/>
          <w:spacing w:val="-2"/>
        </w:rPr>
        <w:t>anual</w:t>
      </w:r>
    </w:p>
    <w:p w14:paraId="5BB0BD3C" w14:textId="77777777" w:rsidR="002C6574" w:rsidRDefault="00000000">
      <w:pPr>
        <w:pStyle w:val="PargrafodaLista"/>
        <w:numPr>
          <w:ilvl w:val="0"/>
          <w:numId w:val="18"/>
        </w:numPr>
        <w:tabs>
          <w:tab w:val="left" w:pos="1222"/>
        </w:tabs>
        <w:spacing w:before="120"/>
        <w:ind w:left="1222" w:hanging="719"/>
        <w:rPr>
          <w:rFonts w:ascii="Segoe UI Symbol" w:hAnsi="Segoe UI Symbol"/>
        </w:rPr>
      </w:pPr>
      <w:r>
        <w:rPr>
          <w:rFonts w:ascii="Segoe UI Symbol" w:hAnsi="Segoe UI Symbol"/>
        </w:rPr>
        <w:t>Pensão</w:t>
      </w:r>
      <w:r>
        <w:rPr>
          <w:rFonts w:ascii="Segoe UI Symbol" w:hAnsi="Segoe UI Symbol"/>
          <w:spacing w:val="13"/>
        </w:rPr>
        <w:t xml:space="preserve"> </w:t>
      </w:r>
      <w:r>
        <w:rPr>
          <w:rFonts w:ascii="Segoe UI Symbol" w:hAnsi="Segoe UI Symbol"/>
        </w:rPr>
        <w:t>por</w:t>
      </w:r>
      <w:r>
        <w:rPr>
          <w:rFonts w:ascii="Segoe UI Symbol" w:hAnsi="Segoe UI Symbol"/>
          <w:spacing w:val="15"/>
        </w:rPr>
        <w:t xml:space="preserve"> </w:t>
      </w:r>
      <w:r>
        <w:rPr>
          <w:rFonts w:ascii="Segoe UI Symbol" w:hAnsi="Segoe UI Symbol"/>
          <w:spacing w:val="-4"/>
        </w:rPr>
        <w:t>morte</w:t>
      </w:r>
    </w:p>
    <w:p w14:paraId="26587CE4" w14:textId="77777777" w:rsidR="002C6574" w:rsidRDefault="002C6574">
      <w:pPr>
        <w:pStyle w:val="PargrafodaLista"/>
        <w:rPr>
          <w:rFonts w:ascii="Segoe UI Symbol" w:hAnsi="Segoe UI Symbol"/>
        </w:rPr>
        <w:sectPr w:rsidR="002C6574">
          <w:headerReference w:type="default" r:id="rId93"/>
          <w:footerReference w:type="default" r:id="rId94"/>
          <w:pgSz w:w="11910" w:h="16840"/>
          <w:pgMar w:top="1820" w:right="141" w:bottom="1280" w:left="1133" w:header="1084" w:footer="1089" w:gutter="0"/>
          <w:cols w:space="720"/>
        </w:sectPr>
      </w:pPr>
    </w:p>
    <w:p w14:paraId="2BBC055B" w14:textId="77777777" w:rsidR="002C6574" w:rsidRDefault="00000000">
      <w:pPr>
        <w:pStyle w:val="PargrafodaLista"/>
        <w:numPr>
          <w:ilvl w:val="0"/>
          <w:numId w:val="18"/>
        </w:numPr>
        <w:tabs>
          <w:tab w:val="left" w:pos="1223"/>
        </w:tabs>
        <w:spacing w:before="198"/>
        <w:ind w:left="1223" w:hanging="720"/>
        <w:jc w:val="both"/>
        <w:rPr>
          <w:rFonts w:ascii="Segoe UI Symbol" w:hAnsi="Segoe UI Symbol"/>
        </w:rPr>
      </w:pPr>
      <w:r>
        <w:rPr>
          <w:rFonts w:ascii="Segoe UI Symbol" w:hAnsi="Segoe UI Symbol"/>
        </w:rPr>
        <w:lastRenderedPageBreak/>
        <w:t>Pecúlio</w:t>
      </w:r>
      <w:r>
        <w:rPr>
          <w:rFonts w:ascii="Segoe UI Symbol" w:hAnsi="Segoe UI Symbol"/>
          <w:spacing w:val="-1"/>
        </w:rPr>
        <w:t xml:space="preserve"> </w:t>
      </w:r>
      <w:r>
        <w:rPr>
          <w:rFonts w:ascii="Segoe UI Symbol" w:hAnsi="Segoe UI Symbol"/>
        </w:rPr>
        <w:t>por</w:t>
      </w:r>
      <w:r>
        <w:rPr>
          <w:rFonts w:ascii="Segoe UI Symbol" w:hAnsi="Segoe UI Symbol"/>
          <w:spacing w:val="-2"/>
        </w:rPr>
        <w:t xml:space="preserve"> </w:t>
      </w:r>
      <w:r>
        <w:rPr>
          <w:rFonts w:ascii="Segoe UI Symbol" w:hAnsi="Segoe UI Symbol"/>
          <w:spacing w:val="-4"/>
        </w:rPr>
        <w:t>morte</w:t>
      </w:r>
    </w:p>
    <w:p w14:paraId="67263552" w14:textId="77777777" w:rsidR="002C6574" w:rsidRDefault="00000000">
      <w:pPr>
        <w:pStyle w:val="Corpodetexto"/>
        <w:spacing w:before="118"/>
        <w:ind w:left="143" w:right="703"/>
        <w:jc w:val="both"/>
      </w:pPr>
      <w:r>
        <w:t>As regras de elegibilidade e de cálculo dos benefícios estão expressas no respectivo regulamento, cuja versão que deu suporte a este trabalho é denominada de Regulamento do Plano de Benefícios PBS-Telebrás, estando vigente desde 2008, cuja aprovação pela Secretaria de Previdência Complementar se deu através da Portaria nº 2.537, de 25 de setembro de 2008.</w:t>
      </w:r>
    </w:p>
    <w:p w14:paraId="3FD86CA5" w14:textId="77777777" w:rsidR="002C6574" w:rsidRDefault="00000000">
      <w:pPr>
        <w:pStyle w:val="Corpodetexto"/>
        <w:spacing w:before="113"/>
        <w:ind w:left="143"/>
        <w:jc w:val="both"/>
      </w:pPr>
      <w:r>
        <w:t>O</w:t>
      </w:r>
      <w:r>
        <w:rPr>
          <w:spacing w:val="-1"/>
        </w:rPr>
        <w:t xml:space="preserve"> </w:t>
      </w:r>
      <w:r>
        <w:t>plano</w:t>
      </w:r>
      <w:r>
        <w:rPr>
          <w:spacing w:val="-2"/>
        </w:rPr>
        <w:t xml:space="preserve"> </w:t>
      </w:r>
      <w:r>
        <w:t>de</w:t>
      </w:r>
      <w:r>
        <w:rPr>
          <w:spacing w:val="-4"/>
        </w:rPr>
        <w:t xml:space="preserve"> </w:t>
      </w:r>
      <w:r>
        <w:t>custeio</w:t>
      </w:r>
      <w:r>
        <w:rPr>
          <w:spacing w:val="-2"/>
        </w:rPr>
        <w:t xml:space="preserve"> </w:t>
      </w:r>
      <w:r>
        <w:t>previsto</w:t>
      </w:r>
      <w:r>
        <w:rPr>
          <w:spacing w:val="-1"/>
        </w:rPr>
        <w:t xml:space="preserve"> </w:t>
      </w:r>
      <w:r>
        <w:t>em</w:t>
      </w:r>
      <w:r>
        <w:rPr>
          <w:spacing w:val="-4"/>
        </w:rPr>
        <w:t xml:space="preserve"> </w:t>
      </w:r>
      <w:r>
        <w:t>regulamento</w:t>
      </w:r>
      <w:r>
        <w:rPr>
          <w:spacing w:val="-3"/>
        </w:rPr>
        <w:t xml:space="preserve"> </w:t>
      </w:r>
      <w:r>
        <w:t>é</w:t>
      </w:r>
      <w:r>
        <w:rPr>
          <w:spacing w:val="-4"/>
        </w:rPr>
        <w:t xml:space="preserve"> </w:t>
      </w:r>
      <w:r>
        <w:t>composto</w:t>
      </w:r>
      <w:r>
        <w:rPr>
          <w:spacing w:val="-7"/>
        </w:rPr>
        <w:t xml:space="preserve"> </w:t>
      </w:r>
      <w:r>
        <w:t>pelas</w:t>
      </w:r>
      <w:r>
        <w:rPr>
          <w:spacing w:val="-3"/>
        </w:rPr>
        <w:t xml:space="preserve"> </w:t>
      </w:r>
      <w:r>
        <w:t>seguintes</w:t>
      </w:r>
      <w:r>
        <w:rPr>
          <w:spacing w:val="-4"/>
        </w:rPr>
        <w:t xml:space="preserve"> </w:t>
      </w:r>
      <w:r>
        <w:rPr>
          <w:spacing w:val="-2"/>
        </w:rPr>
        <w:t>fontes:</w:t>
      </w:r>
    </w:p>
    <w:p w14:paraId="6CCCD852" w14:textId="77777777" w:rsidR="002C6574" w:rsidRDefault="00000000">
      <w:pPr>
        <w:pStyle w:val="PargrafodaLista"/>
        <w:numPr>
          <w:ilvl w:val="0"/>
          <w:numId w:val="25"/>
        </w:numPr>
        <w:tabs>
          <w:tab w:val="left" w:pos="1147"/>
        </w:tabs>
        <w:spacing w:before="118"/>
        <w:ind w:hanging="720"/>
        <w:jc w:val="both"/>
        <w:rPr>
          <w:rFonts w:ascii="Segoe UI Symbol" w:hAnsi="Segoe UI Symbol"/>
        </w:rPr>
      </w:pPr>
      <w:r>
        <w:rPr>
          <w:rFonts w:ascii="Segoe UI Symbol" w:hAnsi="Segoe UI Symbol"/>
        </w:rPr>
        <w:t>Contribuições</w:t>
      </w:r>
      <w:r>
        <w:rPr>
          <w:rFonts w:ascii="Segoe UI Symbol" w:hAnsi="Segoe UI Symbol"/>
          <w:spacing w:val="1"/>
        </w:rPr>
        <w:t xml:space="preserve"> </w:t>
      </w:r>
      <w:r>
        <w:rPr>
          <w:rFonts w:ascii="Segoe UI Symbol" w:hAnsi="Segoe UI Symbol"/>
        </w:rPr>
        <w:t>mensais,</w:t>
      </w:r>
      <w:r>
        <w:rPr>
          <w:rFonts w:ascii="Segoe UI Symbol" w:hAnsi="Segoe UI Symbol"/>
          <w:spacing w:val="-1"/>
        </w:rPr>
        <w:t xml:space="preserve"> </w:t>
      </w:r>
      <w:r>
        <w:rPr>
          <w:rFonts w:ascii="Segoe UI Symbol" w:hAnsi="Segoe UI Symbol"/>
        </w:rPr>
        <w:t>de</w:t>
      </w:r>
      <w:r>
        <w:rPr>
          <w:rFonts w:ascii="Segoe UI Symbol" w:hAnsi="Segoe UI Symbol"/>
          <w:spacing w:val="4"/>
        </w:rPr>
        <w:t xml:space="preserve"> </w:t>
      </w:r>
      <w:r>
        <w:rPr>
          <w:rFonts w:ascii="Segoe UI Symbol" w:hAnsi="Segoe UI Symbol"/>
        </w:rPr>
        <w:t>participantes</w:t>
      </w:r>
      <w:r>
        <w:rPr>
          <w:rFonts w:ascii="Segoe UI Symbol" w:hAnsi="Segoe UI Symbol"/>
          <w:spacing w:val="5"/>
        </w:rPr>
        <w:t xml:space="preserve"> </w:t>
      </w:r>
      <w:r>
        <w:rPr>
          <w:rFonts w:ascii="Segoe UI Symbol" w:hAnsi="Segoe UI Symbol"/>
        </w:rPr>
        <w:t>ativos</w:t>
      </w:r>
      <w:r>
        <w:rPr>
          <w:rFonts w:ascii="Segoe UI Symbol" w:hAnsi="Segoe UI Symbol"/>
          <w:spacing w:val="1"/>
        </w:rPr>
        <w:t xml:space="preserve"> </w:t>
      </w:r>
      <w:r>
        <w:rPr>
          <w:rFonts w:ascii="Segoe UI Symbol" w:hAnsi="Segoe UI Symbol"/>
        </w:rPr>
        <w:t>sobre</w:t>
      </w:r>
      <w:r>
        <w:rPr>
          <w:rFonts w:ascii="Segoe UI Symbol" w:hAnsi="Segoe UI Symbol"/>
          <w:spacing w:val="1"/>
        </w:rPr>
        <w:t xml:space="preserve"> </w:t>
      </w:r>
      <w:r>
        <w:rPr>
          <w:rFonts w:ascii="Segoe UI Symbol" w:hAnsi="Segoe UI Symbol"/>
        </w:rPr>
        <w:t>o</w:t>
      </w:r>
      <w:r>
        <w:rPr>
          <w:rFonts w:ascii="Segoe UI Symbol" w:hAnsi="Segoe UI Symbol"/>
          <w:spacing w:val="1"/>
        </w:rPr>
        <w:t xml:space="preserve"> </w:t>
      </w:r>
      <w:r>
        <w:rPr>
          <w:rFonts w:ascii="Segoe UI Symbol" w:hAnsi="Segoe UI Symbol"/>
        </w:rPr>
        <w:t>salário-de-</w:t>
      </w:r>
      <w:r>
        <w:rPr>
          <w:rFonts w:ascii="Segoe UI Symbol" w:hAnsi="Segoe UI Symbol"/>
          <w:spacing w:val="-2"/>
        </w:rPr>
        <w:t>participação;</w:t>
      </w:r>
    </w:p>
    <w:p w14:paraId="0993AE97" w14:textId="77777777" w:rsidR="002C6574" w:rsidRDefault="00000000">
      <w:pPr>
        <w:pStyle w:val="PargrafodaLista"/>
        <w:numPr>
          <w:ilvl w:val="0"/>
          <w:numId w:val="25"/>
        </w:numPr>
        <w:tabs>
          <w:tab w:val="left" w:pos="1147"/>
        </w:tabs>
        <w:spacing w:before="118"/>
        <w:ind w:right="703" w:hanging="720"/>
        <w:jc w:val="both"/>
        <w:rPr>
          <w:rFonts w:ascii="Segoe UI Symbol" w:hAnsi="Segoe UI Symbol"/>
        </w:rPr>
      </w:pPr>
      <w:r>
        <w:rPr>
          <w:rFonts w:ascii="Segoe UI Symbol" w:hAnsi="Segoe UI Symbol"/>
        </w:rPr>
        <w:t>Contribuição mensal de participantes assistidos que recebem abono de aposentadoria (mais de 30 anos de vinculação ao INSS), contribuem com percentual a ser fixado anualmente no plano de custeio, incidente sobre o benefício global pago pela SISTEL, limitado ao valor do abono;</w:t>
      </w:r>
    </w:p>
    <w:p w14:paraId="019D8072" w14:textId="77777777" w:rsidR="002C6574" w:rsidRDefault="00000000">
      <w:pPr>
        <w:pStyle w:val="PargrafodaLista"/>
        <w:numPr>
          <w:ilvl w:val="0"/>
          <w:numId w:val="25"/>
        </w:numPr>
        <w:tabs>
          <w:tab w:val="left" w:pos="1147"/>
        </w:tabs>
        <w:spacing w:before="116" w:line="237" w:lineRule="auto"/>
        <w:ind w:right="702" w:hanging="720"/>
        <w:jc w:val="both"/>
        <w:rPr>
          <w:rFonts w:ascii="Segoe UI Symbol" w:hAnsi="Segoe UI Symbol"/>
        </w:rPr>
      </w:pPr>
      <w:r>
        <w:rPr>
          <w:rFonts w:ascii="Segoe UI Symbol" w:hAnsi="Segoe UI Symbol"/>
        </w:rPr>
        <w:t>Contribuição mensal das patrocinadoras com percentual sobre a folha mensal de salário de todos os participantes definidos anualmente;</w:t>
      </w:r>
    </w:p>
    <w:p w14:paraId="125541A0" w14:textId="77777777" w:rsidR="002C6574" w:rsidRDefault="00000000">
      <w:pPr>
        <w:pStyle w:val="PargrafodaLista"/>
        <w:numPr>
          <w:ilvl w:val="0"/>
          <w:numId w:val="25"/>
        </w:numPr>
        <w:tabs>
          <w:tab w:val="left" w:pos="1147"/>
        </w:tabs>
        <w:spacing w:before="124" w:line="237" w:lineRule="auto"/>
        <w:ind w:right="704" w:hanging="720"/>
        <w:jc w:val="both"/>
        <w:rPr>
          <w:rFonts w:ascii="Segoe UI Symbol" w:hAnsi="Segoe UI Symbol"/>
        </w:rPr>
      </w:pPr>
      <w:r>
        <w:rPr>
          <w:rFonts w:ascii="Segoe UI Symbol" w:hAnsi="Segoe UI Symbol"/>
        </w:rPr>
        <w:t>Contribuições extraordinárias destinadas ao custeio de déficits, serviço passado e outras finalidades não incluídas nas contribuições normais;</w:t>
      </w:r>
    </w:p>
    <w:p w14:paraId="6BC3510B" w14:textId="77777777" w:rsidR="002C6574" w:rsidRDefault="00000000">
      <w:pPr>
        <w:pStyle w:val="PargrafodaLista"/>
        <w:numPr>
          <w:ilvl w:val="0"/>
          <w:numId w:val="25"/>
        </w:numPr>
        <w:tabs>
          <w:tab w:val="left" w:pos="1147"/>
        </w:tabs>
        <w:spacing w:before="119"/>
        <w:ind w:hanging="720"/>
        <w:rPr>
          <w:rFonts w:ascii="Segoe UI Symbol" w:hAnsi="Segoe UI Symbol"/>
        </w:rPr>
      </w:pPr>
      <w:r>
        <w:rPr>
          <w:rFonts w:ascii="Segoe UI Symbol" w:hAnsi="Segoe UI Symbol"/>
        </w:rPr>
        <w:t>Jóia</w:t>
      </w:r>
      <w:r>
        <w:rPr>
          <w:rFonts w:ascii="Segoe UI Symbol" w:hAnsi="Segoe UI Symbol"/>
          <w:spacing w:val="1"/>
        </w:rPr>
        <w:t xml:space="preserve"> </w:t>
      </w:r>
      <w:r>
        <w:rPr>
          <w:rFonts w:ascii="Segoe UI Symbol" w:hAnsi="Segoe UI Symbol"/>
        </w:rPr>
        <w:t>de</w:t>
      </w:r>
      <w:r>
        <w:rPr>
          <w:rFonts w:ascii="Segoe UI Symbol" w:hAnsi="Segoe UI Symbol"/>
          <w:spacing w:val="6"/>
        </w:rPr>
        <w:t xml:space="preserve"> </w:t>
      </w:r>
      <w:r>
        <w:rPr>
          <w:rFonts w:ascii="Segoe UI Symbol" w:hAnsi="Segoe UI Symbol"/>
        </w:rPr>
        <w:t>participantes ativos,</w:t>
      </w:r>
      <w:r>
        <w:rPr>
          <w:rFonts w:ascii="Segoe UI Symbol" w:hAnsi="Segoe UI Symbol"/>
          <w:spacing w:val="6"/>
        </w:rPr>
        <w:t xml:space="preserve"> </w:t>
      </w:r>
      <w:r>
        <w:rPr>
          <w:rFonts w:ascii="Segoe UI Symbol" w:hAnsi="Segoe UI Symbol"/>
        </w:rPr>
        <w:t>determinada</w:t>
      </w:r>
      <w:r>
        <w:rPr>
          <w:rFonts w:ascii="Segoe UI Symbol" w:hAnsi="Segoe UI Symbol"/>
          <w:spacing w:val="6"/>
        </w:rPr>
        <w:t xml:space="preserve"> </w:t>
      </w:r>
      <w:r>
        <w:rPr>
          <w:rFonts w:ascii="Segoe UI Symbol" w:hAnsi="Segoe UI Symbol"/>
          <w:spacing w:val="-2"/>
        </w:rPr>
        <w:t>atuarialmente;</w:t>
      </w:r>
    </w:p>
    <w:p w14:paraId="3F0907FF" w14:textId="77777777" w:rsidR="002C6574" w:rsidRDefault="00000000">
      <w:pPr>
        <w:pStyle w:val="PargrafodaLista"/>
        <w:numPr>
          <w:ilvl w:val="0"/>
          <w:numId w:val="25"/>
        </w:numPr>
        <w:tabs>
          <w:tab w:val="left" w:pos="1147"/>
        </w:tabs>
        <w:spacing w:before="117"/>
        <w:ind w:hanging="720"/>
        <w:rPr>
          <w:rFonts w:ascii="Segoe UI Symbol" w:hAnsi="Segoe UI Symbol"/>
        </w:rPr>
      </w:pPr>
      <w:r>
        <w:rPr>
          <w:rFonts w:ascii="Segoe UI Symbol" w:hAnsi="Segoe UI Symbol"/>
        </w:rPr>
        <w:t>Dotação</w:t>
      </w:r>
      <w:r>
        <w:rPr>
          <w:rFonts w:ascii="Segoe UI Symbol" w:hAnsi="Segoe UI Symbol"/>
          <w:spacing w:val="-2"/>
        </w:rPr>
        <w:t xml:space="preserve"> </w:t>
      </w:r>
      <w:r>
        <w:rPr>
          <w:rFonts w:ascii="Segoe UI Symbol" w:hAnsi="Segoe UI Symbol"/>
        </w:rPr>
        <w:t>da</w:t>
      </w:r>
      <w:r>
        <w:rPr>
          <w:rFonts w:ascii="Segoe UI Symbol" w:hAnsi="Segoe UI Symbol"/>
          <w:spacing w:val="-3"/>
        </w:rPr>
        <w:t xml:space="preserve"> </w:t>
      </w:r>
      <w:r>
        <w:rPr>
          <w:rFonts w:ascii="Segoe UI Symbol" w:hAnsi="Segoe UI Symbol"/>
        </w:rPr>
        <w:t>patrocinadora;</w:t>
      </w:r>
      <w:r>
        <w:rPr>
          <w:rFonts w:ascii="Segoe UI Symbol" w:hAnsi="Segoe UI Symbol"/>
          <w:spacing w:val="-1"/>
        </w:rPr>
        <w:t xml:space="preserve"> </w:t>
      </w:r>
      <w:r>
        <w:rPr>
          <w:rFonts w:ascii="Segoe UI Symbol" w:hAnsi="Segoe UI Symbol"/>
          <w:spacing w:val="-10"/>
        </w:rPr>
        <w:t>e</w:t>
      </w:r>
    </w:p>
    <w:p w14:paraId="5884A092" w14:textId="77777777" w:rsidR="002C6574" w:rsidRDefault="00000000">
      <w:pPr>
        <w:pStyle w:val="PargrafodaLista"/>
        <w:numPr>
          <w:ilvl w:val="0"/>
          <w:numId w:val="25"/>
        </w:numPr>
        <w:tabs>
          <w:tab w:val="left" w:pos="1147"/>
        </w:tabs>
        <w:spacing w:before="121"/>
        <w:ind w:hanging="720"/>
        <w:rPr>
          <w:rFonts w:ascii="Segoe UI Symbol" w:hAnsi="Segoe UI Symbol"/>
        </w:rPr>
      </w:pPr>
      <w:r>
        <w:rPr>
          <w:rFonts w:ascii="Segoe UI Symbol" w:hAnsi="Segoe UI Symbol"/>
        </w:rPr>
        <w:t>Receitas</w:t>
      </w:r>
      <w:r>
        <w:rPr>
          <w:rFonts w:ascii="Segoe UI Symbol" w:hAnsi="Segoe UI Symbol"/>
          <w:spacing w:val="15"/>
        </w:rPr>
        <w:t xml:space="preserve"> </w:t>
      </w:r>
      <w:r>
        <w:rPr>
          <w:rFonts w:ascii="Segoe UI Symbol" w:hAnsi="Segoe UI Symbol"/>
        </w:rPr>
        <w:t>de</w:t>
      </w:r>
      <w:r>
        <w:rPr>
          <w:rFonts w:ascii="Segoe UI Symbol" w:hAnsi="Segoe UI Symbol"/>
          <w:spacing w:val="15"/>
        </w:rPr>
        <w:t xml:space="preserve"> </w:t>
      </w:r>
      <w:r>
        <w:rPr>
          <w:rFonts w:ascii="Segoe UI Symbol" w:hAnsi="Segoe UI Symbol"/>
        </w:rPr>
        <w:t>aplicação</w:t>
      </w:r>
      <w:r>
        <w:rPr>
          <w:rFonts w:ascii="Segoe UI Symbol" w:hAnsi="Segoe UI Symbol"/>
          <w:spacing w:val="14"/>
        </w:rPr>
        <w:t xml:space="preserve"> </w:t>
      </w:r>
      <w:r>
        <w:rPr>
          <w:rFonts w:ascii="Segoe UI Symbol" w:hAnsi="Segoe UI Symbol"/>
        </w:rPr>
        <w:t>do</w:t>
      </w:r>
      <w:r>
        <w:rPr>
          <w:rFonts w:ascii="Segoe UI Symbol" w:hAnsi="Segoe UI Symbol"/>
          <w:spacing w:val="16"/>
        </w:rPr>
        <w:t xml:space="preserve"> </w:t>
      </w:r>
      <w:r>
        <w:rPr>
          <w:rFonts w:ascii="Segoe UI Symbol" w:hAnsi="Segoe UI Symbol"/>
          <w:spacing w:val="-2"/>
        </w:rPr>
        <w:t>patrimônio.</w:t>
      </w:r>
    </w:p>
    <w:p w14:paraId="7310E032" w14:textId="77777777" w:rsidR="002C6574" w:rsidRDefault="00000000">
      <w:pPr>
        <w:pStyle w:val="Corpodetexto"/>
        <w:spacing w:before="120" w:line="237" w:lineRule="auto"/>
        <w:ind w:left="143" w:right="671"/>
      </w:pPr>
      <w:r>
        <w:t>O plano de</w:t>
      </w:r>
      <w:r>
        <w:rPr>
          <w:spacing w:val="-2"/>
        </w:rPr>
        <w:t xml:space="preserve"> </w:t>
      </w:r>
      <w:r>
        <w:t>benefícios PBS Telebrás contava, em 31 de dezembro de</w:t>
      </w:r>
      <w:r>
        <w:rPr>
          <w:spacing w:val="-2"/>
        </w:rPr>
        <w:t xml:space="preserve"> </w:t>
      </w:r>
      <w:r>
        <w:t>2025 com</w:t>
      </w:r>
      <w:r>
        <w:rPr>
          <w:spacing w:val="-1"/>
        </w:rPr>
        <w:t xml:space="preserve"> </w:t>
      </w:r>
      <w:r>
        <w:t>5 participantes</w:t>
      </w:r>
      <w:r>
        <w:rPr>
          <w:spacing w:val="-1"/>
        </w:rPr>
        <w:t xml:space="preserve"> </w:t>
      </w:r>
      <w:r>
        <w:t>ativos e 112 assistidos, conforme apresentado abaixo.</w:t>
      </w:r>
    </w:p>
    <w:p w14:paraId="6975D23A" w14:textId="77777777" w:rsidR="002C6574" w:rsidRDefault="002C6574">
      <w:pPr>
        <w:pStyle w:val="Corpodetexto"/>
        <w:spacing w:before="3"/>
        <w:rPr>
          <w:sz w:val="11"/>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5"/>
        <w:gridCol w:w="1817"/>
        <w:gridCol w:w="1817"/>
        <w:gridCol w:w="1812"/>
      </w:tblGrid>
      <w:tr w:rsidR="002C6574" w14:paraId="46965A8E" w14:textId="77777777">
        <w:trPr>
          <w:trHeight w:val="414"/>
        </w:trPr>
        <w:tc>
          <w:tcPr>
            <w:tcW w:w="4325" w:type="dxa"/>
            <w:shd w:val="clear" w:color="auto" w:fill="BFBFBF"/>
          </w:tcPr>
          <w:p w14:paraId="680EE2D8" w14:textId="77777777" w:rsidR="002C6574" w:rsidRDefault="00000000">
            <w:pPr>
              <w:pStyle w:val="TableParagraph"/>
              <w:spacing w:before="102"/>
              <w:ind w:left="69"/>
              <w:jc w:val="left"/>
              <w:rPr>
                <w:rFonts w:ascii="Arial"/>
                <w:b/>
                <w:sz w:val="18"/>
              </w:rPr>
            </w:pPr>
            <w:r>
              <w:rPr>
                <w:rFonts w:ascii="Arial"/>
                <w:b/>
                <w:spacing w:val="-2"/>
                <w:sz w:val="18"/>
              </w:rPr>
              <w:t>Assistidos:</w:t>
            </w:r>
          </w:p>
        </w:tc>
        <w:tc>
          <w:tcPr>
            <w:tcW w:w="1817" w:type="dxa"/>
          </w:tcPr>
          <w:p w14:paraId="1E216844" w14:textId="77777777" w:rsidR="002C6574" w:rsidRDefault="00000000">
            <w:pPr>
              <w:pStyle w:val="TableParagraph"/>
              <w:spacing w:line="208" w:lineRule="exact"/>
              <w:ind w:left="633" w:hanging="293"/>
              <w:jc w:val="left"/>
              <w:rPr>
                <w:rFonts w:ascii="Arial"/>
                <w:b/>
                <w:sz w:val="18"/>
              </w:rPr>
            </w:pPr>
            <w:r>
              <w:rPr>
                <w:rFonts w:ascii="Arial"/>
                <w:b/>
                <w:spacing w:val="-2"/>
                <w:sz w:val="18"/>
              </w:rPr>
              <w:t>Participantes Ativos</w:t>
            </w:r>
          </w:p>
        </w:tc>
        <w:tc>
          <w:tcPr>
            <w:tcW w:w="1817" w:type="dxa"/>
          </w:tcPr>
          <w:p w14:paraId="02A9AC7C" w14:textId="77777777" w:rsidR="002C6574" w:rsidRDefault="00000000">
            <w:pPr>
              <w:pStyle w:val="TableParagraph"/>
              <w:spacing w:before="102"/>
              <w:ind w:left="337"/>
              <w:jc w:val="left"/>
              <w:rPr>
                <w:rFonts w:ascii="Arial"/>
                <w:b/>
                <w:sz w:val="18"/>
              </w:rPr>
            </w:pPr>
            <w:r>
              <w:rPr>
                <w:rFonts w:ascii="Arial"/>
                <w:b/>
                <w:spacing w:val="-2"/>
                <w:sz w:val="18"/>
              </w:rPr>
              <w:t>Aposentados</w:t>
            </w:r>
          </w:p>
        </w:tc>
        <w:tc>
          <w:tcPr>
            <w:tcW w:w="1812" w:type="dxa"/>
          </w:tcPr>
          <w:p w14:paraId="424AB1DE" w14:textId="77777777" w:rsidR="002C6574" w:rsidRDefault="00000000">
            <w:pPr>
              <w:pStyle w:val="TableParagraph"/>
              <w:spacing w:before="102"/>
              <w:ind w:left="349"/>
              <w:jc w:val="left"/>
              <w:rPr>
                <w:rFonts w:ascii="Arial"/>
                <w:b/>
                <w:sz w:val="18"/>
              </w:rPr>
            </w:pPr>
            <w:r>
              <w:rPr>
                <w:rFonts w:ascii="Arial"/>
                <w:b/>
                <w:spacing w:val="-2"/>
                <w:sz w:val="18"/>
              </w:rPr>
              <w:t>Pensionistas</w:t>
            </w:r>
          </w:p>
        </w:tc>
      </w:tr>
      <w:tr w:rsidR="002C6574" w14:paraId="021E7928" w14:textId="77777777">
        <w:trPr>
          <w:trHeight w:val="236"/>
        </w:trPr>
        <w:tc>
          <w:tcPr>
            <w:tcW w:w="4325" w:type="dxa"/>
          </w:tcPr>
          <w:p w14:paraId="111CE051" w14:textId="77777777" w:rsidR="002C6574" w:rsidRDefault="00000000">
            <w:pPr>
              <w:pStyle w:val="TableParagraph"/>
              <w:spacing w:line="216" w:lineRule="exact"/>
              <w:ind w:left="69"/>
              <w:jc w:val="left"/>
              <w:rPr>
                <w:sz w:val="18"/>
              </w:rPr>
            </w:pPr>
            <w:r>
              <w:rPr>
                <w:spacing w:val="-2"/>
                <w:sz w:val="18"/>
              </w:rPr>
              <w:t>Quantidade</w:t>
            </w:r>
          </w:p>
        </w:tc>
        <w:tc>
          <w:tcPr>
            <w:tcW w:w="1817" w:type="dxa"/>
          </w:tcPr>
          <w:p w14:paraId="1BD63807" w14:textId="77777777" w:rsidR="002C6574" w:rsidRDefault="00000000">
            <w:pPr>
              <w:pStyle w:val="TableParagraph"/>
              <w:spacing w:line="216" w:lineRule="exact"/>
              <w:ind w:right="59"/>
              <w:rPr>
                <w:sz w:val="18"/>
              </w:rPr>
            </w:pPr>
            <w:r>
              <w:rPr>
                <w:spacing w:val="-10"/>
                <w:w w:val="105"/>
                <w:sz w:val="18"/>
              </w:rPr>
              <w:t>5</w:t>
            </w:r>
          </w:p>
        </w:tc>
        <w:tc>
          <w:tcPr>
            <w:tcW w:w="1817" w:type="dxa"/>
          </w:tcPr>
          <w:p w14:paraId="04302BA7" w14:textId="77777777" w:rsidR="002C6574" w:rsidRDefault="00000000">
            <w:pPr>
              <w:pStyle w:val="TableParagraph"/>
              <w:spacing w:line="216" w:lineRule="exact"/>
              <w:ind w:right="57"/>
              <w:rPr>
                <w:sz w:val="18"/>
              </w:rPr>
            </w:pPr>
            <w:r>
              <w:rPr>
                <w:spacing w:val="-5"/>
                <w:w w:val="105"/>
                <w:sz w:val="18"/>
              </w:rPr>
              <w:t>94</w:t>
            </w:r>
          </w:p>
        </w:tc>
        <w:tc>
          <w:tcPr>
            <w:tcW w:w="1812" w:type="dxa"/>
          </w:tcPr>
          <w:p w14:paraId="4707679B" w14:textId="77777777" w:rsidR="002C6574" w:rsidRDefault="00000000">
            <w:pPr>
              <w:pStyle w:val="TableParagraph"/>
              <w:spacing w:line="216" w:lineRule="exact"/>
              <w:ind w:right="57"/>
              <w:rPr>
                <w:sz w:val="18"/>
              </w:rPr>
            </w:pPr>
            <w:r>
              <w:rPr>
                <w:spacing w:val="-5"/>
                <w:w w:val="105"/>
                <w:sz w:val="18"/>
              </w:rPr>
              <w:t>18</w:t>
            </w:r>
          </w:p>
        </w:tc>
      </w:tr>
      <w:tr w:rsidR="002C6574" w14:paraId="6947A71A" w14:textId="77777777">
        <w:trPr>
          <w:trHeight w:val="239"/>
        </w:trPr>
        <w:tc>
          <w:tcPr>
            <w:tcW w:w="4325" w:type="dxa"/>
          </w:tcPr>
          <w:p w14:paraId="661AB0D2" w14:textId="77777777" w:rsidR="002C6574" w:rsidRDefault="00000000">
            <w:pPr>
              <w:pStyle w:val="TableParagraph"/>
              <w:spacing w:line="220" w:lineRule="exact"/>
              <w:ind w:left="69"/>
              <w:jc w:val="left"/>
              <w:rPr>
                <w:sz w:val="18"/>
              </w:rPr>
            </w:pPr>
            <w:r>
              <w:rPr>
                <w:sz w:val="18"/>
              </w:rPr>
              <w:t>Idade média</w:t>
            </w:r>
            <w:r>
              <w:rPr>
                <w:spacing w:val="1"/>
                <w:sz w:val="18"/>
              </w:rPr>
              <w:t xml:space="preserve"> </w:t>
            </w:r>
            <w:r>
              <w:rPr>
                <w:spacing w:val="-2"/>
                <w:sz w:val="18"/>
              </w:rPr>
              <w:t>(anos)</w:t>
            </w:r>
          </w:p>
        </w:tc>
        <w:tc>
          <w:tcPr>
            <w:tcW w:w="1817" w:type="dxa"/>
          </w:tcPr>
          <w:p w14:paraId="28FE5876" w14:textId="77777777" w:rsidR="002C6574" w:rsidRDefault="00000000">
            <w:pPr>
              <w:pStyle w:val="TableParagraph"/>
              <w:spacing w:line="220" w:lineRule="exact"/>
              <w:ind w:right="55"/>
              <w:rPr>
                <w:sz w:val="18"/>
              </w:rPr>
            </w:pPr>
            <w:r>
              <w:rPr>
                <w:spacing w:val="-4"/>
                <w:w w:val="110"/>
                <w:sz w:val="18"/>
              </w:rPr>
              <w:t>69,56</w:t>
            </w:r>
          </w:p>
        </w:tc>
        <w:tc>
          <w:tcPr>
            <w:tcW w:w="1817" w:type="dxa"/>
          </w:tcPr>
          <w:p w14:paraId="40946E20" w14:textId="77777777" w:rsidR="002C6574" w:rsidRDefault="00000000">
            <w:pPr>
              <w:pStyle w:val="TableParagraph"/>
              <w:spacing w:line="220" w:lineRule="exact"/>
              <w:ind w:right="56"/>
              <w:rPr>
                <w:sz w:val="18"/>
              </w:rPr>
            </w:pPr>
            <w:r>
              <w:rPr>
                <w:spacing w:val="-4"/>
                <w:w w:val="110"/>
                <w:sz w:val="18"/>
              </w:rPr>
              <w:t>75,3</w:t>
            </w:r>
          </w:p>
        </w:tc>
        <w:tc>
          <w:tcPr>
            <w:tcW w:w="1812" w:type="dxa"/>
          </w:tcPr>
          <w:p w14:paraId="19519180" w14:textId="77777777" w:rsidR="002C6574" w:rsidRDefault="00000000">
            <w:pPr>
              <w:pStyle w:val="TableParagraph"/>
              <w:spacing w:line="220" w:lineRule="exact"/>
              <w:ind w:right="56"/>
              <w:rPr>
                <w:sz w:val="18"/>
              </w:rPr>
            </w:pPr>
            <w:r>
              <w:rPr>
                <w:spacing w:val="-2"/>
                <w:w w:val="110"/>
                <w:sz w:val="18"/>
              </w:rPr>
              <w:t>68,48</w:t>
            </w:r>
          </w:p>
        </w:tc>
      </w:tr>
      <w:tr w:rsidR="002C6574" w14:paraId="086D7C38" w14:textId="77777777">
        <w:trPr>
          <w:trHeight w:val="237"/>
        </w:trPr>
        <w:tc>
          <w:tcPr>
            <w:tcW w:w="4325" w:type="dxa"/>
          </w:tcPr>
          <w:p w14:paraId="7CE274D9" w14:textId="77777777" w:rsidR="002C6574" w:rsidRDefault="00000000">
            <w:pPr>
              <w:pStyle w:val="TableParagraph"/>
              <w:spacing w:line="217" w:lineRule="exact"/>
              <w:ind w:left="69"/>
              <w:jc w:val="left"/>
              <w:rPr>
                <w:sz w:val="18"/>
              </w:rPr>
            </w:pPr>
            <w:r>
              <w:rPr>
                <w:sz w:val="18"/>
              </w:rPr>
              <w:t>Tempo</w:t>
            </w:r>
            <w:r>
              <w:rPr>
                <w:spacing w:val="1"/>
                <w:sz w:val="18"/>
              </w:rPr>
              <w:t xml:space="preserve"> </w:t>
            </w:r>
            <w:r>
              <w:rPr>
                <w:sz w:val="18"/>
              </w:rPr>
              <w:t>de</w:t>
            </w:r>
            <w:r>
              <w:rPr>
                <w:spacing w:val="-2"/>
                <w:sz w:val="18"/>
              </w:rPr>
              <w:t xml:space="preserve"> </w:t>
            </w:r>
            <w:r>
              <w:rPr>
                <w:sz w:val="18"/>
              </w:rPr>
              <w:t>serviço</w:t>
            </w:r>
            <w:r>
              <w:rPr>
                <w:spacing w:val="-1"/>
                <w:sz w:val="18"/>
              </w:rPr>
              <w:t xml:space="preserve"> </w:t>
            </w:r>
            <w:r>
              <w:rPr>
                <w:sz w:val="18"/>
              </w:rPr>
              <w:t>médio</w:t>
            </w:r>
            <w:r>
              <w:rPr>
                <w:spacing w:val="-1"/>
                <w:sz w:val="18"/>
              </w:rPr>
              <w:t xml:space="preserve"> </w:t>
            </w:r>
            <w:r>
              <w:rPr>
                <w:spacing w:val="-2"/>
                <w:sz w:val="18"/>
              </w:rPr>
              <w:t>(anos)</w:t>
            </w:r>
          </w:p>
        </w:tc>
        <w:tc>
          <w:tcPr>
            <w:tcW w:w="1817" w:type="dxa"/>
          </w:tcPr>
          <w:p w14:paraId="16A991F6" w14:textId="77777777" w:rsidR="002C6574" w:rsidRDefault="00000000">
            <w:pPr>
              <w:pStyle w:val="TableParagraph"/>
              <w:spacing w:line="217" w:lineRule="exact"/>
              <w:ind w:right="55"/>
              <w:rPr>
                <w:sz w:val="18"/>
              </w:rPr>
            </w:pPr>
            <w:r>
              <w:rPr>
                <w:spacing w:val="-4"/>
                <w:w w:val="110"/>
                <w:sz w:val="18"/>
              </w:rPr>
              <w:t>47,47</w:t>
            </w:r>
          </w:p>
        </w:tc>
        <w:tc>
          <w:tcPr>
            <w:tcW w:w="1817" w:type="dxa"/>
          </w:tcPr>
          <w:p w14:paraId="025137DA" w14:textId="77777777" w:rsidR="002C6574" w:rsidRDefault="00000000">
            <w:pPr>
              <w:pStyle w:val="TableParagraph"/>
              <w:spacing w:line="217" w:lineRule="exact"/>
              <w:ind w:right="59"/>
              <w:rPr>
                <w:sz w:val="18"/>
              </w:rPr>
            </w:pPr>
            <w:r>
              <w:rPr>
                <w:spacing w:val="-10"/>
                <w:w w:val="95"/>
                <w:sz w:val="18"/>
              </w:rPr>
              <w:t>-</w:t>
            </w:r>
          </w:p>
        </w:tc>
        <w:tc>
          <w:tcPr>
            <w:tcW w:w="1812" w:type="dxa"/>
          </w:tcPr>
          <w:p w14:paraId="00D8637E" w14:textId="77777777" w:rsidR="002C6574" w:rsidRDefault="00000000">
            <w:pPr>
              <w:pStyle w:val="TableParagraph"/>
              <w:spacing w:line="217" w:lineRule="exact"/>
              <w:ind w:right="58"/>
              <w:rPr>
                <w:sz w:val="18"/>
              </w:rPr>
            </w:pPr>
            <w:r>
              <w:rPr>
                <w:spacing w:val="-10"/>
                <w:w w:val="95"/>
                <w:sz w:val="18"/>
              </w:rPr>
              <w:t>-</w:t>
            </w:r>
          </w:p>
        </w:tc>
      </w:tr>
      <w:tr w:rsidR="002C6574" w14:paraId="37C65F75" w14:textId="77777777">
        <w:trPr>
          <w:trHeight w:val="237"/>
        </w:trPr>
        <w:tc>
          <w:tcPr>
            <w:tcW w:w="4325" w:type="dxa"/>
          </w:tcPr>
          <w:p w14:paraId="6B433798" w14:textId="77777777" w:rsidR="002C6574" w:rsidRDefault="00000000">
            <w:pPr>
              <w:pStyle w:val="TableParagraph"/>
              <w:spacing w:line="217" w:lineRule="exact"/>
              <w:ind w:left="69"/>
              <w:jc w:val="left"/>
              <w:rPr>
                <w:sz w:val="18"/>
              </w:rPr>
            </w:pPr>
            <w:r>
              <w:rPr>
                <w:sz w:val="18"/>
              </w:rPr>
              <w:t>Benefício</w:t>
            </w:r>
            <w:r>
              <w:rPr>
                <w:spacing w:val="1"/>
                <w:sz w:val="18"/>
              </w:rPr>
              <w:t xml:space="preserve"> </w:t>
            </w:r>
            <w:r>
              <w:rPr>
                <w:sz w:val="18"/>
              </w:rPr>
              <w:t>médio</w:t>
            </w:r>
            <w:r>
              <w:rPr>
                <w:spacing w:val="3"/>
                <w:sz w:val="18"/>
              </w:rPr>
              <w:t xml:space="preserve"> </w:t>
            </w:r>
            <w:r>
              <w:rPr>
                <w:spacing w:val="-4"/>
                <w:sz w:val="18"/>
              </w:rPr>
              <w:t>(R$)</w:t>
            </w:r>
          </w:p>
        </w:tc>
        <w:tc>
          <w:tcPr>
            <w:tcW w:w="1817" w:type="dxa"/>
          </w:tcPr>
          <w:p w14:paraId="0CB8A555" w14:textId="77777777" w:rsidR="002C6574" w:rsidRDefault="00000000">
            <w:pPr>
              <w:pStyle w:val="TableParagraph"/>
              <w:spacing w:line="217" w:lineRule="exact"/>
              <w:ind w:right="56"/>
              <w:rPr>
                <w:sz w:val="18"/>
              </w:rPr>
            </w:pPr>
            <w:r>
              <w:rPr>
                <w:spacing w:val="-2"/>
                <w:w w:val="110"/>
                <w:sz w:val="18"/>
              </w:rPr>
              <w:t>9.689,56</w:t>
            </w:r>
          </w:p>
        </w:tc>
        <w:tc>
          <w:tcPr>
            <w:tcW w:w="1817" w:type="dxa"/>
          </w:tcPr>
          <w:p w14:paraId="22AB7523" w14:textId="77777777" w:rsidR="002C6574" w:rsidRDefault="00000000">
            <w:pPr>
              <w:pStyle w:val="TableParagraph"/>
              <w:spacing w:line="217" w:lineRule="exact"/>
              <w:ind w:right="58"/>
              <w:rPr>
                <w:sz w:val="18"/>
              </w:rPr>
            </w:pPr>
            <w:r>
              <w:rPr>
                <w:spacing w:val="-2"/>
                <w:w w:val="110"/>
                <w:sz w:val="18"/>
              </w:rPr>
              <w:t>12.963,11</w:t>
            </w:r>
          </w:p>
        </w:tc>
        <w:tc>
          <w:tcPr>
            <w:tcW w:w="1812" w:type="dxa"/>
          </w:tcPr>
          <w:p w14:paraId="26B98F97" w14:textId="77777777" w:rsidR="002C6574" w:rsidRDefault="00000000">
            <w:pPr>
              <w:pStyle w:val="TableParagraph"/>
              <w:spacing w:line="217" w:lineRule="exact"/>
              <w:ind w:right="57"/>
              <w:rPr>
                <w:sz w:val="18"/>
              </w:rPr>
            </w:pPr>
            <w:r>
              <w:rPr>
                <w:spacing w:val="-2"/>
                <w:w w:val="110"/>
                <w:sz w:val="18"/>
              </w:rPr>
              <w:t>7.555,47</w:t>
            </w:r>
          </w:p>
        </w:tc>
      </w:tr>
    </w:tbl>
    <w:p w14:paraId="5048EFE8" w14:textId="77777777" w:rsidR="002C6574" w:rsidRDefault="00000000">
      <w:pPr>
        <w:numPr>
          <w:ilvl w:val="2"/>
          <w:numId w:val="27"/>
        </w:numPr>
        <w:tabs>
          <w:tab w:val="left" w:pos="990"/>
        </w:tabs>
        <w:spacing w:before="241"/>
        <w:ind w:left="990" w:hanging="847"/>
        <w:rPr>
          <w:rFonts w:ascii="Arial" w:hAnsi="Arial"/>
          <w:b/>
        </w:rPr>
      </w:pPr>
      <w:r>
        <w:rPr>
          <w:rFonts w:ascii="Arial" w:hAnsi="Arial"/>
          <w:b/>
        </w:rPr>
        <w:t>Plano</w:t>
      </w:r>
      <w:r>
        <w:rPr>
          <w:rFonts w:ascii="Arial" w:hAnsi="Arial"/>
          <w:b/>
          <w:spacing w:val="-3"/>
        </w:rPr>
        <w:t xml:space="preserve"> </w:t>
      </w:r>
      <w:r>
        <w:rPr>
          <w:rFonts w:ascii="Arial" w:hAnsi="Arial"/>
          <w:b/>
        </w:rPr>
        <w:t>de</w:t>
      </w:r>
      <w:r>
        <w:rPr>
          <w:rFonts w:ascii="Arial" w:hAnsi="Arial"/>
          <w:b/>
          <w:spacing w:val="-2"/>
        </w:rPr>
        <w:t xml:space="preserve"> </w:t>
      </w:r>
      <w:r>
        <w:rPr>
          <w:rFonts w:ascii="Arial" w:hAnsi="Arial"/>
          <w:b/>
        </w:rPr>
        <w:t>Benefícios</w:t>
      </w:r>
      <w:r>
        <w:rPr>
          <w:rFonts w:ascii="Arial" w:hAnsi="Arial"/>
          <w:b/>
          <w:spacing w:val="-3"/>
        </w:rPr>
        <w:t xml:space="preserve"> </w:t>
      </w:r>
      <w:r>
        <w:rPr>
          <w:rFonts w:ascii="Arial" w:hAnsi="Arial"/>
          <w:b/>
        </w:rPr>
        <w:t>Telebras</w:t>
      </w:r>
      <w:r>
        <w:rPr>
          <w:rFonts w:ascii="Arial" w:hAnsi="Arial"/>
          <w:b/>
          <w:spacing w:val="-2"/>
        </w:rPr>
        <w:t xml:space="preserve"> </w:t>
      </w:r>
      <w:r>
        <w:rPr>
          <w:rFonts w:ascii="Arial" w:hAnsi="Arial"/>
          <w:b/>
          <w:spacing w:val="-4"/>
        </w:rPr>
        <w:t>PREV</w:t>
      </w:r>
    </w:p>
    <w:p w14:paraId="19288069" w14:textId="77777777" w:rsidR="002C6574" w:rsidRDefault="00000000">
      <w:pPr>
        <w:pStyle w:val="Corpodetexto"/>
        <w:spacing w:before="131" w:line="237" w:lineRule="auto"/>
        <w:ind w:left="143" w:right="704"/>
        <w:jc w:val="both"/>
      </w:pPr>
      <w:r>
        <w:t>O plano de Benefícios Telebrás PREV é estruturado na modalidade de contribuição variável, sendo patrocinado pela Telebrás, nos termos dos convênios de adesão, regulamentos e estatuto relativos ao mencionado plano.</w:t>
      </w:r>
    </w:p>
    <w:p w14:paraId="41D2E98D" w14:textId="77777777" w:rsidR="002C6574" w:rsidRDefault="00000000">
      <w:pPr>
        <w:pStyle w:val="Corpodetexto"/>
        <w:spacing w:before="120"/>
        <w:ind w:left="143" w:right="705"/>
        <w:jc w:val="both"/>
      </w:pPr>
      <w:r>
        <w:t>O</w:t>
      </w:r>
      <w:r>
        <w:rPr>
          <w:spacing w:val="31"/>
        </w:rPr>
        <w:t xml:space="preserve"> </w:t>
      </w:r>
      <w:r>
        <w:t>plano</w:t>
      </w:r>
      <w:r>
        <w:rPr>
          <w:spacing w:val="29"/>
        </w:rPr>
        <w:t xml:space="preserve"> </w:t>
      </w:r>
      <w:r>
        <w:t>oferece</w:t>
      </w:r>
      <w:r>
        <w:rPr>
          <w:spacing w:val="26"/>
        </w:rPr>
        <w:t xml:space="preserve"> </w:t>
      </w:r>
      <w:r>
        <w:t>benefícios</w:t>
      </w:r>
      <w:r>
        <w:rPr>
          <w:spacing w:val="31"/>
        </w:rPr>
        <w:t xml:space="preserve"> </w:t>
      </w:r>
      <w:r>
        <w:t>classificados</w:t>
      </w:r>
      <w:r>
        <w:rPr>
          <w:spacing w:val="27"/>
        </w:rPr>
        <w:t xml:space="preserve"> </w:t>
      </w:r>
      <w:r>
        <w:t>nas</w:t>
      </w:r>
      <w:r>
        <w:rPr>
          <w:spacing w:val="27"/>
        </w:rPr>
        <w:t xml:space="preserve"> </w:t>
      </w:r>
      <w:r>
        <w:t>categorias</w:t>
      </w:r>
      <w:r>
        <w:rPr>
          <w:spacing w:val="31"/>
        </w:rPr>
        <w:t xml:space="preserve"> </w:t>
      </w:r>
      <w:r>
        <w:t>de</w:t>
      </w:r>
      <w:r>
        <w:rPr>
          <w:spacing w:val="26"/>
        </w:rPr>
        <w:t xml:space="preserve"> </w:t>
      </w:r>
      <w:r>
        <w:t>benefícios</w:t>
      </w:r>
      <w:r>
        <w:rPr>
          <w:spacing w:val="27"/>
        </w:rPr>
        <w:t xml:space="preserve"> </w:t>
      </w:r>
      <w:r>
        <w:t>de</w:t>
      </w:r>
      <w:r>
        <w:rPr>
          <w:spacing w:val="26"/>
        </w:rPr>
        <w:t xml:space="preserve"> </w:t>
      </w:r>
      <w:r>
        <w:t>risco,</w:t>
      </w:r>
      <w:r>
        <w:rPr>
          <w:spacing w:val="31"/>
        </w:rPr>
        <w:t xml:space="preserve"> </w:t>
      </w:r>
      <w:r>
        <w:t>que</w:t>
      </w:r>
      <w:r>
        <w:rPr>
          <w:spacing w:val="26"/>
        </w:rPr>
        <w:t xml:space="preserve"> </w:t>
      </w:r>
      <w:r>
        <w:t>são</w:t>
      </w:r>
      <w:r>
        <w:rPr>
          <w:spacing w:val="29"/>
        </w:rPr>
        <w:t xml:space="preserve"> </w:t>
      </w:r>
      <w:r>
        <w:t>custeados na modalidade de benefício definido, e benefícios programados, que são custeados pelo regime de contribuição definida.</w:t>
      </w:r>
    </w:p>
    <w:p w14:paraId="5356A2E8" w14:textId="77777777" w:rsidR="002C6574" w:rsidRDefault="00000000">
      <w:pPr>
        <w:pStyle w:val="Corpodetexto"/>
        <w:spacing w:before="116"/>
        <w:ind w:left="143"/>
        <w:jc w:val="both"/>
      </w:pPr>
      <w:r>
        <w:rPr>
          <w:spacing w:val="-2"/>
          <w:w w:val="105"/>
        </w:rPr>
        <w:t>Os</w:t>
      </w:r>
      <w:r>
        <w:rPr>
          <w:spacing w:val="-6"/>
          <w:w w:val="105"/>
        </w:rPr>
        <w:t xml:space="preserve"> </w:t>
      </w:r>
      <w:r>
        <w:rPr>
          <w:spacing w:val="-2"/>
          <w:w w:val="105"/>
        </w:rPr>
        <w:t>benefícios</w:t>
      </w:r>
      <w:r>
        <w:rPr>
          <w:spacing w:val="-6"/>
          <w:w w:val="105"/>
        </w:rPr>
        <w:t xml:space="preserve"> </w:t>
      </w:r>
      <w:r>
        <w:rPr>
          <w:spacing w:val="-2"/>
          <w:w w:val="105"/>
        </w:rPr>
        <w:t>de</w:t>
      </w:r>
      <w:r>
        <w:rPr>
          <w:spacing w:val="-8"/>
          <w:w w:val="105"/>
        </w:rPr>
        <w:t xml:space="preserve"> </w:t>
      </w:r>
      <w:r>
        <w:rPr>
          <w:spacing w:val="-2"/>
          <w:w w:val="105"/>
        </w:rPr>
        <w:t>risco</w:t>
      </w:r>
      <w:r>
        <w:rPr>
          <w:spacing w:val="-11"/>
          <w:w w:val="105"/>
        </w:rPr>
        <w:t xml:space="preserve"> </w:t>
      </w:r>
      <w:r>
        <w:rPr>
          <w:spacing w:val="-2"/>
          <w:w w:val="105"/>
        </w:rPr>
        <w:t>se</w:t>
      </w:r>
      <w:r>
        <w:rPr>
          <w:spacing w:val="-8"/>
          <w:w w:val="105"/>
        </w:rPr>
        <w:t xml:space="preserve"> </w:t>
      </w:r>
      <w:r>
        <w:rPr>
          <w:spacing w:val="-2"/>
          <w:w w:val="105"/>
        </w:rPr>
        <w:t>referem</w:t>
      </w:r>
      <w:r>
        <w:rPr>
          <w:spacing w:val="-7"/>
          <w:w w:val="105"/>
        </w:rPr>
        <w:t xml:space="preserve"> </w:t>
      </w:r>
      <w:r>
        <w:rPr>
          <w:spacing w:val="-5"/>
          <w:w w:val="105"/>
        </w:rPr>
        <w:t>a:</w:t>
      </w:r>
    </w:p>
    <w:p w14:paraId="3DB49292" w14:textId="77777777" w:rsidR="002C6574" w:rsidRDefault="00000000">
      <w:pPr>
        <w:pStyle w:val="PargrafodaLista"/>
        <w:numPr>
          <w:ilvl w:val="0"/>
          <w:numId w:val="17"/>
        </w:numPr>
        <w:tabs>
          <w:tab w:val="left" w:pos="1223"/>
        </w:tabs>
        <w:spacing w:before="118"/>
        <w:ind w:left="1223" w:hanging="720"/>
        <w:jc w:val="both"/>
        <w:rPr>
          <w:rFonts w:ascii="Segoe UI Symbol" w:hAnsi="Segoe UI Symbol"/>
        </w:rPr>
      </w:pPr>
      <w:r>
        <w:rPr>
          <w:rFonts w:ascii="Segoe UI Symbol" w:hAnsi="Segoe UI Symbol"/>
          <w:spacing w:val="-4"/>
        </w:rPr>
        <w:t>Auxílio-</w:t>
      </w:r>
      <w:r>
        <w:rPr>
          <w:rFonts w:ascii="Segoe UI Symbol" w:hAnsi="Segoe UI Symbol"/>
          <w:spacing w:val="-2"/>
        </w:rPr>
        <w:t>doença</w:t>
      </w:r>
    </w:p>
    <w:p w14:paraId="5367C148" w14:textId="77777777" w:rsidR="002C6574" w:rsidRDefault="00000000">
      <w:pPr>
        <w:pStyle w:val="PargrafodaLista"/>
        <w:numPr>
          <w:ilvl w:val="0"/>
          <w:numId w:val="17"/>
        </w:numPr>
        <w:tabs>
          <w:tab w:val="left" w:pos="1222"/>
        </w:tabs>
        <w:spacing w:before="118"/>
        <w:ind w:left="1222" w:hanging="719"/>
        <w:jc w:val="both"/>
        <w:rPr>
          <w:rFonts w:ascii="Segoe UI Symbol" w:hAnsi="Segoe UI Symbol"/>
        </w:rPr>
      </w:pPr>
      <w:r>
        <w:rPr>
          <w:rFonts w:ascii="Segoe UI Symbol" w:hAnsi="Segoe UI Symbol"/>
        </w:rPr>
        <w:t>Aposentadoria</w:t>
      </w:r>
      <w:r>
        <w:rPr>
          <w:rFonts w:ascii="Segoe UI Symbol" w:hAnsi="Segoe UI Symbol"/>
          <w:spacing w:val="7"/>
        </w:rPr>
        <w:t xml:space="preserve"> </w:t>
      </w:r>
      <w:r>
        <w:rPr>
          <w:rFonts w:ascii="Segoe UI Symbol" w:hAnsi="Segoe UI Symbol"/>
        </w:rPr>
        <w:t>por</w:t>
      </w:r>
      <w:r>
        <w:rPr>
          <w:rFonts w:ascii="Segoe UI Symbol" w:hAnsi="Segoe UI Symbol"/>
          <w:spacing w:val="6"/>
        </w:rPr>
        <w:t xml:space="preserve"> </w:t>
      </w:r>
      <w:r>
        <w:rPr>
          <w:rFonts w:ascii="Segoe UI Symbol" w:hAnsi="Segoe UI Symbol"/>
        </w:rPr>
        <w:t>Invalidez,</w:t>
      </w:r>
      <w:r>
        <w:rPr>
          <w:rFonts w:ascii="Segoe UI Symbol" w:hAnsi="Segoe UI Symbol"/>
          <w:spacing w:val="8"/>
        </w:rPr>
        <w:t xml:space="preserve"> </w:t>
      </w:r>
      <w:r>
        <w:rPr>
          <w:rFonts w:ascii="Segoe UI Symbol" w:hAnsi="Segoe UI Symbol"/>
        </w:rPr>
        <w:t>reversível</w:t>
      </w:r>
      <w:r>
        <w:rPr>
          <w:rFonts w:ascii="Segoe UI Symbol" w:hAnsi="Segoe UI Symbol"/>
          <w:spacing w:val="7"/>
        </w:rPr>
        <w:t xml:space="preserve"> </w:t>
      </w:r>
      <w:r>
        <w:rPr>
          <w:rFonts w:ascii="Segoe UI Symbol" w:hAnsi="Segoe UI Symbol"/>
        </w:rPr>
        <w:t>em</w:t>
      </w:r>
      <w:r>
        <w:rPr>
          <w:rFonts w:ascii="Segoe UI Symbol" w:hAnsi="Segoe UI Symbol"/>
          <w:spacing w:val="8"/>
        </w:rPr>
        <w:t xml:space="preserve"> </w:t>
      </w:r>
      <w:r>
        <w:rPr>
          <w:rFonts w:ascii="Segoe UI Symbol" w:hAnsi="Segoe UI Symbol"/>
          <w:spacing w:val="-2"/>
        </w:rPr>
        <w:t>pensão</w:t>
      </w:r>
    </w:p>
    <w:p w14:paraId="4E6EC39E" w14:textId="77777777" w:rsidR="002C6574" w:rsidRDefault="00000000">
      <w:pPr>
        <w:pStyle w:val="PargrafodaLista"/>
        <w:numPr>
          <w:ilvl w:val="0"/>
          <w:numId w:val="17"/>
        </w:numPr>
        <w:tabs>
          <w:tab w:val="left" w:pos="1222"/>
        </w:tabs>
        <w:spacing w:before="120" w:line="336" w:lineRule="auto"/>
        <w:ind w:left="143" w:right="6152" w:firstLine="360"/>
        <w:jc w:val="both"/>
        <w:rPr>
          <w:rFonts w:ascii="Segoe UI Symbol" w:hAnsi="Segoe UI Symbol"/>
        </w:rPr>
      </w:pPr>
      <w:r>
        <w:rPr>
          <w:rFonts w:ascii="Segoe UI Symbol" w:hAnsi="Segoe UI Symbol"/>
        </w:rPr>
        <w:t>Pensão</w:t>
      </w:r>
      <w:r>
        <w:rPr>
          <w:rFonts w:ascii="Segoe UI Symbol" w:hAnsi="Segoe UI Symbol"/>
          <w:spacing w:val="-8"/>
        </w:rPr>
        <w:t xml:space="preserve"> </w:t>
      </w:r>
      <w:r>
        <w:rPr>
          <w:rFonts w:ascii="Segoe UI Symbol" w:hAnsi="Segoe UI Symbol"/>
        </w:rPr>
        <w:t>por</w:t>
      </w:r>
      <w:r>
        <w:rPr>
          <w:rFonts w:ascii="Segoe UI Symbol" w:hAnsi="Segoe UI Symbol"/>
          <w:spacing w:val="-9"/>
        </w:rPr>
        <w:t xml:space="preserve"> </w:t>
      </w:r>
      <w:r>
        <w:rPr>
          <w:rFonts w:ascii="Segoe UI Symbol" w:hAnsi="Segoe UI Symbol"/>
        </w:rPr>
        <w:t>morte</w:t>
      </w:r>
      <w:r>
        <w:rPr>
          <w:rFonts w:ascii="Segoe UI Symbol" w:hAnsi="Segoe UI Symbol"/>
          <w:spacing w:val="-11"/>
        </w:rPr>
        <w:t xml:space="preserve"> </w:t>
      </w:r>
      <w:r>
        <w:rPr>
          <w:rFonts w:ascii="Segoe UI Symbol" w:hAnsi="Segoe UI Symbol"/>
        </w:rPr>
        <w:t>de</w:t>
      </w:r>
      <w:r>
        <w:rPr>
          <w:rFonts w:ascii="Segoe UI Symbol" w:hAnsi="Segoe UI Symbol"/>
          <w:spacing w:val="-9"/>
        </w:rPr>
        <w:t xml:space="preserve"> </w:t>
      </w:r>
      <w:r>
        <w:rPr>
          <w:rFonts w:ascii="Segoe UI Symbol" w:hAnsi="Segoe UI Symbol"/>
        </w:rPr>
        <w:t xml:space="preserve">participante </w:t>
      </w:r>
      <w:r>
        <w:rPr>
          <w:rFonts w:ascii="Segoe UI Symbol" w:hAnsi="Segoe UI Symbol"/>
          <w:w w:val="105"/>
        </w:rPr>
        <w:t>Os benefícios programados se referem a:</w:t>
      </w:r>
    </w:p>
    <w:p w14:paraId="0A5363C9" w14:textId="77777777" w:rsidR="002C6574" w:rsidRDefault="002C6574">
      <w:pPr>
        <w:pStyle w:val="PargrafodaLista"/>
        <w:spacing w:line="336" w:lineRule="auto"/>
        <w:jc w:val="both"/>
        <w:rPr>
          <w:rFonts w:ascii="Segoe UI Symbol" w:hAnsi="Segoe UI Symbol"/>
        </w:rPr>
        <w:sectPr w:rsidR="002C6574">
          <w:pgSz w:w="11910" w:h="16840"/>
          <w:pgMar w:top="1820" w:right="141" w:bottom="1320" w:left="1133" w:header="1084" w:footer="1089" w:gutter="0"/>
          <w:cols w:space="720"/>
        </w:sectPr>
      </w:pPr>
    </w:p>
    <w:p w14:paraId="3C27D243" w14:textId="77777777" w:rsidR="002C6574" w:rsidRDefault="00000000">
      <w:pPr>
        <w:pStyle w:val="PargrafodaLista"/>
        <w:numPr>
          <w:ilvl w:val="0"/>
          <w:numId w:val="24"/>
        </w:numPr>
        <w:tabs>
          <w:tab w:val="left" w:pos="1223"/>
        </w:tabs>
        <w:spacing w:before="198"/>
        <w:ind w:left="1223" w:hanging="720"/>
        <w:jc w:val="both"/>
        <w:rPr>
          <w:rFonts w:ascii="Segoe UI Symbol" w:hAnsi="Segoe UI Symbol"/>
        </w:rPr>
      </w:pPr>
      <w:r>
        <w:rPr>
          <w:rFonts w:ascii="Segoe UI Symbol" w:hAnsi="Segoe UI Symbol"/>
        </w:rPr>
        <w:lastRenderedPageBreak/>
        <w:t>Aposentadoria</w:t>
      </w:r>
      <w:r>
        <w:rPr>
          <w:rFonts w:ascii="Segoe UI Symbol" w:hAnsi="Segoe UI Symbol"/>
          <w:spacing w:val="5"/>
        </w:rPr>
        <w:t xml:space="preserve"> </w:t>
      </w:r>
      <w:r>
        <w:rPr>
          <w:rFonts w:ascii="Segoe UI Symbol" w:hAnsi="Segoe UI Symbol"/>
        </w:rPr>
        <w:t>ordinária,</w:t>
      </w:r>
      <w:r>
        <w:rPr>
          <w:rFonts w:ascii="Segoe UI Symbol" w:hAnsi="Segoe UI Symbol"/>
          <w:spacing w:val="4"/>
        </w:rPr>
        <w:t xml:space="preserve"> </w:t>
      </w:r>
      <w:r>
        <w:rPr>
          <w:rFonts w:ascii="Segoe UI Symbol" w:hAnsi="Segoe UI Symbol"/>
        </w:rPr>
        <w:t>reversível</w:t>
      </w:r>
      <w:r>
        <w:rPr>
          <w:rFonts w:ascii="Segoe UI Symbol" w:hAnsi="Segoe UI Symbol"/>
          <w:spacing w:val="8"/>
        </w:rPr>
        <w:t xml:space="preserve"> </w:t>
      </w:r>
      <w:r>
        <w:rPr>
          <w:rFonts w:ascii="Segoe UI Symbol" w:hAnsi="Segoe UI Symbol"/>
        </w:rPr>
        <w:t>em</w:t>
      </w:r>
      <w:r>
        <w:rPr>
          <w:rFonts w:ascii="Segoe UI Symbol" w:hAnsi="Segoe UI Symbol"/>
          <w:spacing w:val="7"/>
        </w:rPr>
        <w:t xml:space="preserve"> </w:t>
      </w:r>
      <w:r>
        <w:rPr>
          <w:rFonts w:ascii="Segoe UI Symbol" w:hAnsi="Segoe UI Symbol"/>
          <w:spacing w:val="-2"/>
        </w:rPr>
        <w:t>pensão</w:t>
      </w:r>
    </w:p>
    <w:p w14:paraId="5EBA2FAD" w14:textId="77777777" w:rsidR="002C6574" w:rsidRDefault="00000000">
      <w:pPr>
        <w:pStyle w:val="PargrafodaLista"/>
        <w:numPr>
          <w:ilvl w:val="0"/>
          <w:numId w:val="24"/>
        </w:numPr>
        <w:tabs>
          <w:tab w:val="left" w:pos="1222"/>
        </w:tabs>
        <w:spacing w:before="118"/>
        <w:ind w:left="1222" w:hanging="719"/>
        <w:jc w:val="both"/>
        <w:rPr>
          <w:rFonts w:ascii="Segoe UI Symbol" w:hAnsi="Segoe UI Symbol"/>
        </w:rPr>
      </w:pPr>
      <w:r>
        <w:rPr>
          <w:rFonts w:ascii="Segoe UI Symbol" w:hAnsi="Segoe UI Symbol"/>
        </w:rPr>
        <w:t>Aposentadoria</w:t>
      </w:r>
      <w:r>
        <w:rPr>
          <w:rFonts w:ascii="Segoe UI Symbol" w:hAnsi="Segoe UI Symbol"/>
          <w:spacing w:val="11"/>
        </w:rPr>
        <w:t xml:space="preserve"> </w:t>
      </w:r>
      <w:r>
        <w:rPr>
          <w:rFonts w:ascii="Segoe UI Symbol" w:hAnsi="Segoe UI Symbol"/>
        </w:rPr>
        <w:t>antecipada,</w:t>
      </w:r>
      <w:r>
        <w:rPr>
          <w:rFonts w:ascii="Segoe UI Symbol" w:hAnsi="Segoe UI Symbol"/>
          <w:spacing w:val="12"/>
        </w:rPr>
        <w:t xml:space="preserve"> </w:t>
      </w:r>
      <w:r>
        <w:rPr>
          <w:rFonts w:ascii="Segoe UI Symbol" w:hAnsi="Segoe UI Symbol"/>
        </w:rPr>
        <w:t>reversível</w:t>
      </w:r>
      <w:r>
        <w:rPr>
          <w:rFonts w:ascii="Segoe UI Symbol" w:hAnsi="Segoe UI Symbol"/>
          <w:spacing w:val="12"/>
        </w:rPr>
        <w:t xml:space="preserve"> </w:t>
      </w:r>
      <w:r>
        <w:rPr>
          <w:rFonts w:ascii="Segoe UI Symbol" w:hAnsi="Segoe UI Symbol"/>
        </w:rPr>
        <w:t>em</w:t>
      </w:r>
      <w:r>
        <w:rPr>
          <w:rFonts w:ascii="Segoe UI Symbol" w:hAnsi="Segoe UI Symbol"/>
          <w:spacing w:val="12"/>
        </w:rPr>
        <w:t xml:space="preserve"> </w:t>
      </w:r>
      <w:r>
        <w:rPr>
          <w:rFonts w:ascii="Segoe UI Symbol" w:hAnsi="Segoe UI Symbol"/>
          <w:spacing w:val="-2"/>
        </w:rPr>
        <w:t>pensão</w:t>
      </w:r>
    </w:p>
    <w:p w14:paraId="27C3E9CC" w14:textId="77777777" w:rsidR="002C6574" w:rsidRDefault="00000000">
      <w:pPr>
        <w:pStyle w:val="Corpodetexto"/>
        <w:spacing w:before="117"/>
        <w:ind w:left="143" w:right="704"/>
        <w:jc w:val="both"/>
      </w:pPr>
      <w:r>
        <w:t>As regras de elegibilidade e de cálculo dos benefícios estão expressas no respectivo regulamento, cuja versão que deu suporte a este trabalho é denominada de Regulamento do Plano de Benefícios Previdenciais Telebrás PREV, estando vigente desde 2007, cuja aprovação pela Secretaria de Previdência Complementar se deu através da Portaria nº 1.722, de 22 de outubro de 2007.</w:t>
      </w:r>
    </w:p>
    <w:p w14:paraId="21ED0ACE" w14:textId="77777777" w:rsidR="002C6574" w:rsidRDefault="00000000">
      <w:pPr>
        <w:pStyle w:val="Corpodetexto"/>
        <w:spacing w:before="114"/>
        <w:ind w:left="143"/>
        <w:jc w:val="both"/>
      </w:pPr>
      <w:r>
        <w:t>O</w:t>
      </w:r>
      <w:r>
        <w:rPr>
          <w:spacing w:val="-1"/>
        </w:rPr>
        <w:t xml:space="preserve"> </w:t>
      </w:r>
      <w:r>
        <w:t>plano</w:t>
      </w:r>
      <w:r>
        <w:rPr>
          <w:spacing w:val="-2"/>
        </w:rPr>
        <w:t xml:space="preserve"> </w:t>
      </w:r>
      <w:r>
        <w:t>de</w:t>
      </w:r>
      <w:r>
        <w:rPr>
          <w:spacing w:val="-4"/>
        </w:rPr>
        <w:t xml:space="preserve"> </w:t>
      </w:r>
      <w:r>
        <w:t>custeio</w:t>
      </w:r>
      <w:r>
        <w:rPr>
          <w:spacing w:val="-2"/>
        </w:rPr>
        <w:t xml:space="preserve"> </w:t>
      </w:r>
      <w:r>
        <w:t>previsto</w:t>
      </w:r>
      <w:r>
        <w:rPr>
          <w:spacing w:val="-1"/>
        </w:rPr>
        <w:t xml:space="preserve"> </w:t>
      </w:r>
      <w:r>
        <w:t>em</w:t>
      </w:r>
      <w:r>
        <w:rPr>
          <w:spacing w:val="-4"/>
        </w:rPr>
        <w:t xml:space="preserve"> </w:t>
      </w:r>
      <w:r>
        <w:t>regulamento</w:t>
      </w:r>
      <w:r>
        <w:rPr>
          <w:spacing w:val="-3"/>
        </w:rPr>
        <w:t xml:space="preserve"> </w:t>
      </w:r>
      <w:r>
        <w:t>é</w:t>
      </w:r>
      <w:r>
        <w:rPr>
          <w:spacing w:val="-4"/>
        </w:rPr>
        <w:t xml:space="preserve"> </w:t>
      </w:r>
      <w:r>
        <w:t>composto</w:t>
      </w:r>
      <w:r>
        <w:rPr>
          <w:spacing w:val="-7"/>
        </w:rPr>
        <w:t xml:space="preserve"> </w:t>
      </w:r>
      <w:r>
        <w:t>pelas</w:t>
      </w:r>
      <w:r>
        <w:rPr>
          <w:spacing w:val="-3"/>
        </w:rPr>
        <w:t xml:space="preserve"> </w:t>
      </w:r>
      <w:r>
        <w:t>seguintes</w:t>
      </w:r>
      <w:r>
        <w:rPr>
          <w:spacing w:val="-4"/>
        </w:rPr>
        <w:t xml:space="preserve"> </w:t>
      </w:r>
      <w:r>
        <w:rPr>
          <w:spacing w:val="-2"/>
        </w:rPr>
        <w:t>fontes:</w:t>
      </w:r>
    </w:p>
    <w:p w14:paraId="1DC4568E" w14:textId="77777777" w:rsidR="002C6574" w:rsidRDefault="00000000">
      <w:pPr>
        <w:pStyle w:val="PargrafodaLista"/>
        <w:numPr>
          <w:ilvl w:val="0"/>
          <w:numId w:val="24"/>
        </w:numPr>
        <w:tabs>
          <w:tab w:val="left" w:pos="1222"/>
        </w:tabs>
        <w:spacing w:before="118"/>
        <w:ind w:left="1222" w:hanging="719"/>
        <w:jc w:val="both"/>
        <w:rPr>
          <w:rFonts w:ascii="Segoe UI Symbol" w:hAnsi="Segoe UI Symbol"/>
        </w:rPr>
      </w:pPr>
      <w:r>
        <w:rPr>
          <w:rFonts w:ascii="Segoe UI Symbol" w:hAnsi="Segoe UI Symbol"/>
        </w:rPr>
        <w:t>Contribuições</w:t>
      </w:r>
      <w:r>
        <w:rPr>
          <w:rFonts w:ascii="Segoe UI Symbol" w:hAnsi="Segoe UI Symbol"/>
          <w:spacing w:val="-1"/>
        </w:rPr>
        <w:t xml:space="preserve"> </w:t>
      </w:r>
      <w:r>
        <w:rPr>
          <w:rFonts w:ascii="Segoe UI Symbol" w:hAnsi="Segoe UI Symbol"/>
        </w:rPr>
        <w:t>de</w:t>
      </w:r>
      <w:r>
        <w:rPr>
          <w:rFonts w:ascii="Segoe UI Symbol" w:hAnsi="Segoe UI Symbol"/>
          <w:spacing w:val="-3"/>
        </w:rPr>
        <w:t xml:space="preserve"> </w:t>
      </w:r>
      <w:r>
        <w:rPr>
          <w:rFonts w:ascii="Segoe UI Symbol" w:hAnsi="Segoe UI Symbol"/>
          <w:spacing w:val="-2"/>
        </w:rPr>
        <w:t>Participante:</w:t>
      </w:r>
    </w:p>
    <w:p w14:paraId="103957A3" w14:textId="77777777" w:rsidR="002C6574" w:rsidRDefault="00000000">
      <w:pPr>
        <w:pStyle w:val="PargrafodaLista"/>
        <w:numPr>
          <w:ilvl w:val="1"/>
          <w:numId w:val="24"/>
        </w:numPr>
        <w:tabs>
          <w:tab w:val="left" w:pos="1571"/>
        </w:tabs>
        <w:spacing w:before="122" w:line="237" w:lineRule="auto"/>
        <w:ind w:right="703"/>
        <w:jc w:val="both"/>
        <w:rPr>
          <w:rFonts w:ascii="Segoe UI Symbol" w:hAnsi="Segoe UI Symbol"/>
        </w:rPr>
      </w:pPr>
      <w:r>
        <w:rPr>
          <w:rFonts w:ascii="Segoe UI Symbol" w:hAnsi="Segoe UI Symbol"/>
        </w:rPr>
        <w:t>Ordinária: mensal e obrigatória aos participantes vinculados, autopatrocinados e em gozo de</w:t>
      </w:r>
      <w:r>
        <w:rPr>
          <w:rFonts w:ascii="Segoe UI Symbol" w:hAnsi="Segoe UI Symbol"/>
          <w:spacing w:val="-2"/>
        </w:rPr>
        <w:t xml:space="preserve"> </w:t>
      </w:r>
      <w:r>
        <w:rPr>
          <w:rFonts w:ascii="Segoe UI Symbol" w:hAnsi="Segoe UI Symbol"/>
        </w:rPr>
        <w:t>auxílio-doença</w:t>
      </w:r>
      <w:r>
        <w:rPr>
          <w:rFonts w:ascii="Segoe UI Symbol" w:hAnsi="Segoe UI Symbol"/>
          <w:spacing w:val="-2"/>
        </w:rPr>
        <w:t xml:space="preserve"> </w:t>
      </w:r>
      <w:r>
        <w:rPr>
          <w:rFonts w:ascii="Segoe UI Symbol" w:hAnsi="Segoe UI Symbol"/>
        </w:rPr>
        <w:t>ou aposentadoria por</w:t>
      </w:r>
      <w:r>
        <w:rPr>
          <w:rFonts w:ascii="Segoe UI Symbol" w:hAnsi="Segoe UI Symbol"/>
          <w:spacing w:val="-1"/>
        </w:rPr>
        <w:t xml:space="preserve"> </w:t>
      </w:r>
      <w:r>
        <w:rPr>
          <w:rFonts w:ascii="Segoe UI Symbol" w:hAnsi="Segoe UI Symbol"/>
        </w:rPr>
        <w:t>invalidez equivalente a</w:t>
      </w:r>
      <w:r>
        <w:rPr>
          <w:rFonts w:ascii="Segoe UI Symbol" w:hAnsi="Segoe UI Symbol"/>
          <w:spacing w:val="-2"/>
        </w:rPr>
        <w:t xml:space="preserve"> </w:t>
      </w:r>
      <w:r>
        <w:rPr>
          <w:rFonts w:ascii="Segoe UI Symbol" w:hAnsi="Segoe UI Symbol"/>
        </w:rPr>
        <w:t>2%SP +</w:t>
      </w:r>
      <w:r>
        <w:rPr>
          <w:rFonts w:ascii="Segoe UI Symbol" w:hAnsi="Segoe UI Symbol"/>
          <w:spacing w:val="-1"/>
        </w:rPr>
        <w:t xml:space="preserve"> </w:t>
      </w:r>
      <w:r>
        <w:rPr>
          <w:rFonts w:ascii="Segoe UI Symbol" w:hAnsi="Segoe UI Symbol"/>
        </w:rPr>
        <w:t>3%</w:t>
      </w:r>
      <w:r>
        <w:rPr>
          <w:rFonts w:ascii="Segoe UI Symbol" w:hAnsi="Segoe UI Symbol"/>
          <w:spacing w:val="-3"/>
        </w:rPr>
        <w:t xml:space="preserve"> </w:t>
      </w:r>
      <w:r>
        <w:rPr>
          <w:rFonts w:ascii="Segoe UI Symbol" w:hAnsi="Segoe UI Symbol"/>
        </w:rPr>
        <w:t xml:space="preserve">(SP- </w:t>
      </w:r>
      <w:r>
        <w:rPr>
          <w:rFonts w:ascii="Segoe UI Symbol" w:hAnsi="Segoe UI Symbol"/>
          <w:spacing w:val="-4"/>
        </w:rPr>
        <w:t>PP)</w:t>
      </w:r>
    </w:p>
    <w:p w14:paraId="02E3B7B9" w14:textId="77777777" w:rsidR="002C6574" w:rsidRDefault="00000000">
      <w:pPr>
        <w:pStyle w:val="PargrafodaLista"/>
        <w:numPr>
          <w:ilvl w:val="1"/>
          <w:numId w:val="24"/>
        </w:numPr>
        <w:tabs>
          <w:tab w:val="left" w:pos="1571"/>
        </w:tabs>
        <w:spacing w:before="120"/>
        <w:ind w:right="704"/>
        <w:jc w:val="both"/>
        <w:rPr>
          <w:rFonts w:ascii="Segoe UI Symbol" w:hAnsi="Segoe UI Symbol"/>
        </w:rPr>
      </w:pPr>
      <w:r>
        <w:rPr>
          <w:rFonts w:ascii="Segoe UI Symbol" w:hAnsi="Segoe UI Symbol"/>
        </w:rPr>
        <w:t>Adicional:</w:t>
      </w:r>
      <w:r>
        <w:rPr>
          <w:rFonts w:ascii="Segoe UI Symbol" w:hAnsi="Segoe UI Symbol"/>
          <w:spacing w:val="-9"/>
        </w:rPr>
        <w:t xml:space="preserve"> </w:t>
      </w:r>
      <w:r>
        <w:rPr>
          <w:rFonts w:ascii="Segoe UI Symbol" w:hAnsi="Segoe UI Symbol"/>
        </w:rPr>
        <w:t>de</w:t>
      </w:r>
      <w:r>
        <w:rPr>
          <w:rFonts w:ascii="Segoe UI Symbol" w:hAnsi="Segoe UI Symbol"/>
          <w:spacing w:val="-10"/>
        </w:rPr>
        <w:t xml:space="preserve"> </w:t>
      </w:r>
      <w:r>
        <w:rPr>
          <w:rFonts w:ascii="Segoe UI Symbol" w:hAnsi="Segoe UI Symbol"/>
        </w:rPr>
        <w:t>caráter</w:t>
      </w:r>
      <w:r>
        <w:rPr>
          <w:rFonts w:ascii="Segoe UI Symbol" w:hAnsi="Segoe UI Symbol"/>
          <w:spacing w:val="-11"/>
        </w:rPr>
        <w:t xml:space="preserve"> </w:t>
      </w:r>
      <w:r>
        <w:rPr>
          <w:rFonts w:ascii="Segoe UI Symbol" w:hAnsi="Segoe UI Symbol"/>
        </w:rPr>
        <w:t>facultativo</w:t>
      </w:r>
      <w:r>
        <w:rPr>
          <w:rFonts w:ascii="Segoe UI Symbol" w:hAnsi="Segoe UI Symbol"/>
          <w:spacing w:val="-10"/>
        </w:rPr>
        <w:t xml:space="preserve"> </w:t>
      </w:r>
      <w:r>
        <w:rPr>
          <w:rFonts w:ascii="Segoe UI Symbol" w:hAnsi="Segoe UI Symbol"/>
        </w:rPr>
        <w:t>ao</w:t>
      </w:r>
      <w:r>
        <w:rPr>
          <w:rFonts w:ascii="Segoe UI Symbol" w:hAnsi="Segoe UI Symbol"/>
          <w:spacing w:val="-15"/>
        </w:rPr>
        <w:t xml:space="preserve"> </w:t>
      </w:r>
      <w:r>
        <w:rPr>
          <w:rFonts w:ascii="Segoe UI Symbol" w:hAnsi="Segoe UI Symbol"/>
        </w:rPr>
        <w:t>participante</w:t>
      </w:r>
      <w:r>
        <w:rPr>
          <w:rFonts w:ascii="Segoe UI Symbol" w:hAnsi="Segoe UI Symbol"/>
          <w:spacing w:val="-11"/>
        </w:rPr>
        <w:t xml:space="preserve"> </w:t>
      </w:r>
      <w:r>
        <w:rPr>
          <w:rFonts w:ascii="Segoe UI Symbol" w:hAnsi="Segoe UI Symbol"/>
        </w:rPr>
        <w:t>Vinculado,</w:t>
      </w:r>
      <w:r>
        <w:rPr>
          <w:rFonts w:ascii="Segoe UI Symbol" w:hAnsi="Segoe UI Symbol"/>
          <w:spacing w:val="-9"/>
        </w:rPr>
        <w:t xml:space="preserve"> </w:t>
      </w:r>
      <w:r>
        <w:rPr>
          <w:rFonts w:ascii="Segoe UI Symbol" w:hAnsi="Segoe UI Symbol"/>
        </w:rPr>
        <w:t>Autopatrocinado</w:t>
      </w:r>
      <w:r>
        <w:rPr>
          <w:rFonts w:ascii="Segoe UI Symbol" w:hAnsi="Segoe UI Symbol"/>
          <w:spacing w:val="-11"/>
        </w:rPr>
        <w:t xml:space="preserve"> </w:t>
      </w:r>
      <w:r>
        <w:rPr>
          <w:rFonts w:ascii="Segoe UI Symbol" w:hAnsi="Segoe UI Symbol"/>
        </w:rPr>
        <w:t>e</w:t>
      </w:r>
      <w:r>
        <w:rPr>
          <w:rFonts w:ascii="Segoe UI Symbol" w:hAnsi="Segoe UI Symbol"/>
          <w:spacing w:val="-11"/>
        </w:rPr>
        <w:t xml:space="preserve"> </w:t>
      </w:r>
      <w:r>
        <w:rPr>
          <w:rFonts w:ascii="Segoe UI Symbol" w:hAnsi="Segoe UI Symbol"/>
        </w:rPr>
        <w:t>em</w:t>
      </w:r>
      <w:r>
        <w:rPr>
          <w:rFonts w:ascii="Segoe UI Symbol" w:hAnsi="Segoe UI Symbol"/>
          <w:spacing w:val="-11"/>
        </w:rPr>
        <w:t xml:space="preserve"> </w:t>
      </w:r>
      <w:r>
        <w:rPr>
          <w:rFonts w:ascii="Segoe UI Symbol" w:hAnsi="Segoe UI Symbol"/>
        </w:rPr>
        <w:t>gozo de</w:t>
      </w:r>
      <w:r>
        <w:rPr>
          <w:rFonts w:ascii="Segoe UI Symbol" w:hAnsi="Segoe UI Symbol"/>
          <w:spacing w:val="-4"/>
        </w:rPr>
        <w:t xml:space="preserve"> </w:t>
      </w:r>
      <w:r>
        <w:rPr>
          <w:rFonts w:ascii="Segoe UI Symbol" w:hAnsi="Segoe UI Symbol"/>
        </w:rPr>
        <w:t>Auxílio</w:t>
      </w:r>
      <w:r>
        <w:rPr>
          <w:rFonts w:ascii="Segoe UI Symbol" w:hAnsi="Segoe UI Symbol"/>
          <w:spacing w:val="-4"/>
        </w:rPr>
        <w:t xml:space="preserve"> </w:t>
      </w:r>
      <w:r>
        <w:rPr>
          <w:rFonts w:ascii="Segoe UI Symbol" w:hAnsi="Segoe UI Symbol"/>
        </w:rPr>
        <w:t>Doença</w:t>
      </w:r>
      <w:r>
        <w:rPr>
          <w:rFonts w:ascii="Segoe UI Symbol" w:hAnsi="Segoe UI Symbol"/>
          <w:spacing w:val="-6"/>
        </w:rPr>
        <w:t xml:space="preserve"> </w:t>
      </w:r>
      <w:r>
        <w:rPr>
          <w:rFonts w:ascii="Segoe UI Symbol" w:hAnsi="Segoe UI Symbol"/>
        </w:rPr>
        <w:t>ou</w:t>
      </w:r>
      <w:r>
        <w:rPr>
          <w:rFonts w:ascii="Segoe UI Symbol" w:hAnsi="Segoe UI Symbol"/>
          <w:spacing w:val="-5"/>
        </w:rPr>
        <w:t xml:space="preserve"> </w:t>
      </w:r>
      <w:r>
        <w:rPr>
          <w:rFonts w:ascii="Segoe UI Symbol" w:hAnsi="Segoe UI Symbol"/>
        </w:rPr>
        <w:t>Aposentadoria</w:t>
      </w:r>
      <w:r>
        <w:rPr>
          <w:rFonts w:ascii="Segoe UI Symbol" w:hAnsi="Segoe UI Symbol"/>
          <w:spacing w:val="-7"/>
        </w:rPr>
        <w:t xml:space="preserve"> </w:t>
      </w:r>
      <w:r>
        <w:rPr>
          <w:rFonts w:ascii="Segoe UI Symbol" w:hAnsi="Segoe UI Symbol"/>
        </w:rPr>
        <w:t>por</w:t>
      </w:r>
      <w:r>
        <w:rPr>
          <w:rFonts w:ascii="Segoe UI Symbol" w:hAnsi="Segoe UI Symbol"/>
          <w:spacing w:val="-6"/>
        </w:rPr>
        <w:t xml:space="preserve"> </w:t>
      </w:r>
      <w:r>
        <w:rPr>
          <w:rFonts w:ascii="Segoe UI Symbol" w:hAnsi="Segoe UI Symbol"/>
        </w:rPr>
        <w:t>Invalidez,</w:t>
      </w:r>
      <w:r>
        <w:rPr>
          <w:rFonts w:ascii="Segoe UI Symbol" w:hAnsi="Segoe UI Symbol"/>
          <w:spacing w:val="-1"/>
        </w:rPr>
        <w:t xml:space="preserve"> </w:t>
      </w:r>
      <w:r>
        <w:rPr>
          <w:rFonts w:ascii="Segoe UI Symbol" w:hAnsi="Segoe UI Symbol"/>
        </w:rPr>
        <w:t>em</w:t>
      </w:r>
      <w:r>
        <w:rPr>
          <w:rFonts w:ascii="Segoe UI Symbol" w:hAnsi="Segoe UI Symbol"/>
          <w:spacing w:val="-4"/>
        </w:rPr>
        <w:t xml:space="preserve"> </w:t>
      </w:r>
      <w:r>
        <w:rPr>
          <w:rFonts w:ascii="Segoe UI Symbol" w:hAnsi="Segoe UI Symbol"/>
        </w:rPr>
        <w:t>percentual</w:t>
      </w:r>
      <w:r>
        <w:rPr>
          <w:rFonts w:ascii="Segoe UI Symbol" w:hAnsi="Segoe UI Symbol"/>
          <w:spacing w:val="-6"/>
        </w:rPr>
        <w:t xml:space="preserve"> </w:t>
      </w:r>
      <w:r>
        <w:rPr>
          <w:rFonts w:ascii="Segoe UI Symbol" w:hAnsi="Segoe UI Symbol"/>
        </w:rPr>
        <w:t>múltiplo</w:t>
      </w:r>
      <w:r>
        <w:rPr>
          <w:rFonts w:ascii="Segoe UI Symbol" w:hAnsi="Segoe UI Symbol"/>
          <w:spacing w:val="-7"/>
        </w:rPr>
        <w:t xml:space="preserve"> </w:t>
      </w:r>
      <w:r>
        <w:rPr>
          <w:rFonts w:ascii="Segoe UI Symbol" w:hAnsi="Segoe UI Symbol"/>
        </w:rPr>
        <w:t>de</w:t>
      </w:r>
      <w:r>
        <w:rPr>
          <w:rFonts w:ascii="Segoe UI Symbol" w:hAnsi="Segoe UI Symbol"/>
          <w:spacing w:val="-4"/>
        </w:rPr>
        <w:t xml:space="preserve"> </w:t>
      </w:r>
      <w:r>
        <w:rPr>
          <w:rFonts w:ascii="Segoe UI Symbol" w:hAnsi="Segoe UI Symbol"/>
        </w:rPr>
        <w:t>0,5%</w:t>
      </w:r>
      <w:r>
        <w:rPr>
          <w:rFonts w:ascii="Segoe UI Symbol" w:hAnsi="Segoe UI Symbol"/>
          <w:spacing w:val="-6"/>
        </w:rPr>
        <w:t xml:space="preserve"> </w:t>
      </w:r>
      <w:r>
        <w:rPr>
          <w:rFonts w:ascii="Segoe UI Symbol" w:hAnsi="Segoe UI Symbol"/>
        </w:rPr>
        <w:t>do Salário de Participação, e por prazo não inferior a 12 meses.</w:t>
      </w:r>
    </w:p>
    <w:p w14:paraId="750BEDD3" w14:textId="77777777" w:rsidR="002C6574" w:rsidRDefault="00000000">
      <w:pPr>
        <w:pStyle w:val="PargrafodaLista"/>
        <w:numPr>
          <w:ilvl w:val="1"/>
          <w:numId w:val="24"/>
        </w:numPr>
        <w:tabs>
          <w:tab w:val="left" w:pos="1571"/>
        </w:tabs>
        <w:spacing w:before="118" w:line="237" w:lineRule="auto"/>
        <w:ind w:right="702"/>
        <w:jc w:val="both"/>
        <w:rPr>
          <w:rFonts w:ascii="Segoe UI Symbol" w:hAnsi="Segoe UI Symbol"/>
        </w:rPr>
      </w:pPr>
      <w:r>
        <w:rPr>
          <w:rFonts w:ascii="Segoe UI Symbol" w:hAnsi="Segoe UI Symbol"/>
        </w:rPr>
        <w:t>Eventual: de caráter facultativo ao participante Vinculado, optante pelo Benefício Proporcional Diferido, Autopatrocinado e em gozo de Auxílio-Doença ou Aposentadoria</w:t>
      </w:r>
      <w:r>
        <w:rPr>
          <w:rFonts w:ascii="Segoe UI Symbol" w:hAnsi="Segoe UI Symbol"/>
          <w:spacing w:val="-13"/>
        </w:rPr>
        <w:t xml:space="preserve"> </w:t>
      </w:r>
      <w:r>
        <w:rPr>
          <w:rFonts w:ascii="Segoe UI Symbol" w:hAnsi="Segoe UI Symbol"/>
        </w:rPr>
        <w:t>por</w:t>
      </w:r>
      <w:r>
        <w:rPr>
          <w:rFonts w:ascii="Segoe UI Symbol" w:hAnsi="Segoe UI Symbol"/>
          <w:spacing w:val="-13"/>
        </w:rPr>
        <w:t xml:space="preserve"> </w:t>
      </w:r>
      <w:r>
        <w:rPr>
          <w:rFonts w:ascii="Segoe UI Symbol" w:hAnsi="Segoe UI Symbol"/>
        </w:rPr>
        <w:t>Invalidez,</w:t>
      </w:r>
      <w:r>
        <w:rPr>
          <w:rFonts w:ascii="Segoe UI Symbol" w:hAnsi="Segoe UI Symbol"/>
          <w:spacing w:val="-9"/>
        </w:rPr>
        <w:t xml:space="preserve"> </w:t>
      </w:r>
      <w:r>
        <w:rPr>
          <w:rFonts w:ascii="Segoe UI Symbol" w:hAnsi="Segoe UI Symbol"/>
        </w:rPr>
        <w:t>no</w:t>
      </w:r>
      <w:r>
        <w:rPr>
          <w:rFonts w:ascii="Segoe UI Symbol" w:hAnsi="Segoe UI Symbol"/>
          <w:spacing w:val="-13"/>
        </w:rPr>
        <w:t xml:space="preserve"> </w:t>
      </w:r>
      <w:r>
        <w:rPr>
          <w:rFonts w:ascii="Segoe UI Symbol" w:hAnsi="Segoe UI Symbol"/>
        </w:rPr>
        <w:t>valor</w:t>
      </w:r>
      <w:r>
        <w:rPr>
          <w:rFonts w:ascii="Segoe UI Symbol" w:hAnsi="Segoe UI Symbol"/>
          <w:spacing w:val="-13"/>
        </w:rPr>
        <w:t xml:space="preserve"> </w:t>
      </w:r>
      <w:r>
        <w:rPr>
          <w:rFonts w:ascii="Segoe UI Symbol" w:hAnsi="Segoe UI Symbol"/>
        </w:rPr>
        <w:t>mínimo</w:t>
      </w:r>
      <w:r>
        <w:rPr>
          <w:rFonts w:ascii="Segoe UI Symbol" w:hAnsi="Segoe UI Symbol"/>
          <w:spacing w:val="-13"/>
        </w:rPr>
        <w:t xml:space="preserve"> </w:t>
      </w:r>
      <w:r>
        <w:rPr>
          <w:rFonts w:ascii="Segoe UI Symbol" w:hAnsi="Segoe UI Symbol"/>
        </w:rPr>
        <w:t>de</w:t>
      </w:r>
      <w:r>
        <w:rPr>
          <w:rFonts w:ascii="Segoe UI Symbol" w:hAnsi="Segoe UI Symbol"/>
          <w:spacing w:val="-15"/>
        </w:rPr>
        <w:t xml:space="preserve"> </w:t>
      </w:r>
      <w:r>
        <w:rPr>
          <w:rFonts w:ascii="Segoe UI Symbol" w:hAnsi="Segoe UI Symbol"/>
        </w:rPr>
        <w:t>5%</w:t>
      </w:r>
      <w:r>
        <w:rPr>
          <w:rFonts w:ascii="Segoe UI Symbol" w:hAnsi="Segoe UI Symbol"/>
          <w:spacing w:val="-11"/>
        </w:rPr>
        <w:t xml:space="preserve"> </w:t>
      </w:r>
      <w:r>
        <w:rPr>
          <w:rFonts w:ascii="Segoe UI Symbol" w:hAnsi="Segoe UI Symbol"/>
        </w:rPr>
        <w:t>do</w:t>
      </w:r>
      <w:r>
        <w:rPr>
          <w:rFonts w:ascii="Segoe UI Symbol" w:hAnsi="Segoe UI Symbol"/>
          <w:spacing w:val="-13"/>
        </w:rPr>
        <w:t xml:space="preserve"> </w:t>
      </w:r>
      <w:r>
        <w:rPr>
          <w:rFonts w:ascii="Segoe UI Symbol" w:hAnsi="Segoe UI Symbol"/>
        </w:rPr>
        <w:t>teto</w:t>
      </w:r>
      <w:r>
        <w:rPr>
          <w:rFonts w:ascii="Segoe UI Symbol" w:hAnsi="Segoe UI Symbol"/>
          <w:spacing w:val="-10"/>
        </w:rPr>
        <w:t xml:space="preserve"> </w:t>
      </w:r>
      <w:r>
        <w:rPr>
          <w:rFonts w:ascii="Segoe UI Symbol" w:hAnsi="Segoe UI Symbol"/>
        </w:rPr>
        <w:t>do</w:t>
      </w:r>
      <w:r>
        <w:rPr>
          <w:rFonts w:ascii="Segoe UI Symbol" w:hAnsi="Segoe UI Symbol"/>
          <w:spacing w:val="-13"/>
        </w:rPr>
        <w:t xml:space="preserve"> </w:t>
      </w:r>
      <w:r>
        <w:rPr>
          <w:rFonts w:ascii="Segoe UI Symbol" w:hAnsi="Segoe UI Symbol"/>
        </w:rPr>
        <w:t>Salário</w:t>
      </w:r>
      <w:r>
        <w:rPr>
          <w:rFonts w:ascii="Segoe UI Symbol" w:hAnsi="Segoe UI Symbol"/>
          <w:spacing w:val="-10"/>
        </w:rPr>
        <w:t xml:space="preserve"> </w:t>
      </w:r>
      <w:r>
        <w:rPr>
          <w:rFonts w:ascii="Segoe UI Symbol" w:hAnsi="Segoe UI Symbol"/>
        </w:rPr>
        <w:t>de</w:t>
      </w:r>
      <w:r>
        <w:rPr>
          <w:rFonts w:ascii="Segoe UI Symbol" w:hAnsi="Segoe UI Symbol"/>
          <w:spacing w:val="-15"/>
        </w:rPr>
        <w:t xml:space="preserve"> </w:t>
      </w:r>
      <w:r>
        <w:rPr>
          <w:rFonts w:ascii="Segoe UI Symbol" w:hAnsi="Segoe UI Symbol"/>
        </w:rPr>
        <w:t>Participação.</w:t>
      </w:r>
    </w:p>
    <w:p w14:paraId="65AFABA4" w14:textId="77777777" w:rsidR="002C6574" w:rsidRDefault="00000000">
      <w:pPr>
        <w:pStyle w:val="PargrafodaLista"/>
        <w:numPr>
          <w:ilvl w:val="1"/>
          <w:numId w:val="24"/>
        </w:numPr>
        <w:tabs>
          <w:tab w:val="left" w:pos="1570"/>
        </w:tabs>
        <w:spacing w:before="122"/>
        <w:ind w:left="1570" w:hanging="359"/>
        <w:jc w:val="both"/>
        <w:rPr>
          <w:rFonts w:ascii="Segoe UI Symbol" w:hAnsi="Segoe UI Symbol"/>
        </w:rPr>
      </w:pPr>
      <w:r>
        <w:rPr>
          <w:rFonts w:ascii="Segoe UI Symbol" w:hAnsi="Segoe UI Symbol"/>
        </w:rPr>
        <w:t>Contribuições</w:t>
      </w:r>
      <w:r>
        <w:rPr>
          <w:rFonts w:ascii="Segoe UI Symbol" w:hAnsi="Segoe UI Symbol"/>
          <w:spacing w:val="7"/>
        </w:rPr>
        <w:t xml:space="preserve"> </w:t>
      </w:r>
      <w:r>
        <w:rPr>
          <w:rFonts w:ascii="Segoe UI Symbol" w:hAnsi="Segoe UI Symbol"/>
        </w:rPr>
        <w:t>para</w:t>
      </w:r>
      <w:r>
        <w:rPr>
          <w:rFonts w:ascii="Segoe UI Symbol" w:hAnsi="Segoe UI Symbol"/>
          <w:spacing w:val="6"/>
        </w:rPr>
        <w:t xml:space="preserve"> </w:t>
      </w:r>
      <w:r>
        <w:rPr>
          <w:rFonts w:ascii="Segoe UI Symbol" w:hAnsi="Segoe UI Symbol"/>
        </w:rPr>
        <w:t>os</w:t>
      </w:r>
      <w:r>
        <w:rPr>
          <w:rFonts w:ascii="Segoe UI Symbol" w:hAnsi="Segoe UI Symbol"/>
          <w:spacing w:val="3"/>
        </w:rPr>
        <w:t xml:space="preserve"> </w:t>
      </w:r>
      <w:r>
        <w:rPr>
          <w:rFonts w:ascii="Segoe UI Symbol" w:hAnsi="Segoe UI Symbol"/>
        </w:rPr>
        <w:t>benefícios</w:t>
      </w:r>
      <w:r>
        <w:rPr>
          <w:rFonts w:ascii="Segoe UI Symbol" w:hAnsi="Segoe UI Symbol"/>
          <w:spacing w:val="2"/>
        </w:rPr>
        <w:t xml:space="preserve"> </w:t>
      </w:r>
      <w:r>
        <w:rPr>
          <w:rFonts w:ascii="Segoe UI Symbol" w:hAnsi="Segoe UI Symbol"/>
        </w:rPr>
        <w:t>de</w:t>
      </w:r>
      <w:r>
        <w:rPr>
          <w:rFonts w:ascii="Segoe UI Symbol" w:hAnsi="Segoe UI Symbol"/>
          <w:spacing w:val="3"/>
        </w:rPr>
        <w:t xml:space="preserve"> </w:t>
      </w:r>
      <w:r>
        <w:rPr>
          <w:rFonts w:ascii="Segoe UI Symbol" w:hAnsi="Segoe UI Symbol"/>
          <w:spacing w:val="-2"/>
        </w:rPr>
        <w:t>risco.</w:t>
      </w:r>
    </w:p>
    <w:p w14:paraId="1F58AA64" w14:textId="77777777" w:rsidR="002C6574" w:rsidRDefault="00000000">
      <w:pPr>
        <w:pStyle w:val="PargrafodaLista"/>
        <w:numPr>
          <w:ilvl w:val="0"/>
          <w:numId w:val="24"/>
        </w:numPr>
        <w:tabs>
          <w:tab w:val="left" w:pos="1223"/>
        </w:tabs>
        <w:spacing w:before="121" w:line="237" w:lineRule="auto"/>
        <w:ind w:left="1223" w:right="700" w:hanging="720"/>
        <w:jc w:val="both"/>
        <w:rPr>
          <w:rFonts w:ascii="Segoe UI Symbol" w:hAnsi="Segoe UI Symbol"/>
        </w:rPr>
      </w:pPr>
      <w:r>
        <w:rPr>
          <w:rFonts w:ascii="Segoe UI Symbol" w:hAnsi="Segoe UI Symbol"/>
        </w:rPr>
        <w:t>Contribuições de Patrocinador: mensalmente, contribuições no valor equivalente ao total das</w:t>
      </w:r>
      <w:r>
        <w:rPr>
          <w:rFonts w:ascii="Segoe UI Symbol" w:hAnsi="Segoe UI Symbol"/>
          <w:spacing w:val="-6"/>
        </w:rPr>
        <w:t xml:space="preserve"> </w:t>
      </w:r>
      <w:r>
        <w:rPr>
          <w:rFonts w:ascii="Segoe UI Symbol" w:hAnsi="Segoe UI Symbol"/>
        </w:rPr>
        <w:t>contribuições</w:t>
      </w:r>
      <w:r>
        <w:rPr>
          <w:rFonts w:ascii="Segoe UI Symbol" w:hAnsi="Segoe UI Symbol"/>
          <w:spacing w:val="-6"/>
        </w:rPr>
        <w:t xml:space="preserve"> </w:t>
      </w:r>
      <w:r>
        <w:rPr>
          <w:rFonts w:ascii="Segoe UI Symbol" w:hAnsi="Segoe UI Symbol"/>
        </w:rPr>
        <w:t>do</w:t>
      </w:r>
      <w:r>
        <w:rPr>
          <w:rFonts w:ascii="Segoe UI Symbol" w:hAnsi="Segoe UI Symbol"/>
          <w:spacing w:val="-6"/>
        </w:rPr>
        <w:t xml:space="preserve"> </w:t>
      </w:r>
      <w:r>
        <w:rPr>
          <w:rFonts w:ascii="Segoe UI Symbol" w:hAnsi="Segoe UI Symbol"/>
        </w:rPr>
        <w:t>participante</w:t>
      </w:r>
      <w:r>
        <w:rPr>
          <w:rFonts w:ascii="Segoe UI Symbol" w:hAnsi="Segoe UI Symbol"/>
          <w:spacing w:val="-6"/>
        </w:rPr>
        <w:t xml:space="preserve"> </w:t>
      </w:r>
      <w:r>
        <w:rPr>
          <w:rFonts w:ascii="Segoe UI Symbol" w:hAnsi="Segoe UI Symbol"/>
        </w:rPr>
        <w:t>Vinculado,</w:t>
      </w:r>
      <w:r>
        <w:rPr>
          <w:rFonts w:ascii="Segoe UI Symbol" w:hAnsi="Segoe UI Symbol"/>
          <w:spacing w:val="-3"/>
        </w:rPr>
        <w:t xml:space="preserve"> </w:t>
      </w:r>
      <w:r>
        <w:rPr>
          <w:rFonts w:ascii="Segoe UI Symbol" w:hAnsi="Segoe UI Symbol"/>
        </w:rPr>
        <w:t>limitadas</w:t>
      </w:r>
      <w:r>
        <w:rPr>
          <w:rFonts w:ascii="Segoe UI Symbol" w:hAnsi="Segoe UI Symbol"/>
          <w:spacing w:val="-6"/>
        </w:rPr>
        <w:t xml:space="preserve"> </w:t>
      </w:r>
      <w:r>
        <w:rPr>
          <w:rFonts w:ascii="Segoe UI Symbol" w:hAnsi="Segoe UI Symbol"/>
        </w:rPr>
        <w:t>a</w:t>
      </w:r>
      <w:r>
        <w:rPr>
          <w:rFonts w:ascii="Segoe UI Symbol" w:hAnsi="Segoe UI Symbol"/>
          <w:spacing w:val="-6"/>
        </w:rPr>
        <w:t xml:space="preserve"> </w:t>
      </w:r>
      <w:r>
        <w:rPr>
          <w:rFonts w:ascii="Segoe UI Symbol" w:hAnsi="Segoe UI Symbol"/>
        </w:rPr>
        <w:t>8%</w:t>
      </w:r>
      <w:r>
        <w:rPr>
          <w:rFonts w:ascii="Segoe UI Symbol" w:hAnsi="Segoe UI Symbol"/>
          <w:spacing w:val="-6"/>
        </w:rPr>
        <w:t xml:space="preserve"> </w:t>
      </w:r>
      <w:r>
        <w:rPr>
          <w:rFonts w:ascii="Segoe UI Symbol" w:hAnsi="Segoe UI Symbol"/>
        </w:rPr>
        <w:t>do</w:t>
      </w:r>
      <w:r>
        <w:rPr>
          <w:rFonts w:ascii="Segoe UI Symbol" w:hAnsi="Segoe UI Symbol"/>
          <w:spacing w:val="-7"/>
        </w:rPr>
        <w:t xml:space="preserve"> </w:t>
      </w:r>
      <w:r>
        <w:rPr>
          <w:rFonts w:ascii="Segoe UI Symbol" w:hAnsi="Segoe UI Symbol"/>
        </w:rPr>
        <w:t>SP,</w:t>
      </w:r>
      <w:r>
        <w:rPr>
          <w:rFonts w:ascii="Segoe UI Symbol" w:hAnsi="Segoe UI Symbol"/>
          <w:spacing w:val="-6"/>
        </w:rPr>
        <w:t xml:space="preserve"> </w:t>
      </w:r>
      <w:r>
        <w:rPr>
          <w:rFonts w:ascii="Segoe UI Symbol" w:hAnsi="Segoe UI Symbol"/>
        </w:rPr>
        <w:t>sendo</w:t>
      </w:r>
      <w:r>
        <w:rPr>
          <w:rFonts w:ascii="Segoe UI Symbol" w:hAnsi="Segoe UI Symbol"/>
          <w:spacing w:val="-10"/>
        </w:rPr>
        <w:t xml:space="preserve"> </w:t>
      </w:r>
      <w:r>
        <w:rPr>
          <w:rFonts w:ascii="Segoe UI Symbol" w:hAnsi="Segoe UI Symbol"/>
        </w:rPr>
        <w:t>deduzido</w:t>
      </w:r>
      <w:r>
        <w:rPr>
          <w:rFonts w:ascii="Segoe UI Symbol" w:hAnsi="Segoe UI Symbol"/>
          <w:spacing w:val="-6"/>
        </w:rPr>
        <w:t xml:space="preserve"> </w:t>
      </w:r>
      <w:r>
        <w:rPr>
          <w:rFonts w:ascii="Segoe UI Symbol" w:hAnsi="Segoe UI Symbol"/>
        </w:rPr>
        <w:t>destes montantes os valores necessários à cobertura dos benefícios de risco e das despesas administrativas. A dedução relativa ao custeio dos benefícios de risco somente será praticada após a extinção dos recursos recolhidos, na data de vigência do Telebrás PREV, para a cobertura desses benefícios.</w:t>
      </w:r>
    </w:p>
    <w:p w14:paraId="278D82D0" w14:textId="77777777" w:rsidR="002C6574" w:rsidRDefault="00000000">
      <w:pPr>
        <w:pStyle w:val="Corpodetexto"/>
        <w:spacing w:before="126" w:line="237" w:lineRule="auto"/>
        <w:ind w:left="143" w:right="704"/>
        <w:jc w:val="both"/>
      </w:pPr>
      <w:r>
        <w:t>O plano de benefícios Telebrás PREV contava, em 31 de dezembro de 2025, com 229 participantes ativos e 315 assistidos.</w:t>
      </w:r>
    </w:p>
    <w:p w14:paraId="7AE04026" w14:textId="77777777" w:rsidR="002C6574" w:rsidRDefault="002C6574">
      <w:pPr>
        <w:pStyle w:val="Corpodetexto"/>
        <w:spacing w:before="6"/>
        <w:rPr>
          <w:sz w:val="11"/>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5"/>
        <w:gridCol w:w="1817"/>
        <w:gridCol w:w="1817"/>
        <w:gridCol w:w="1812"/>
      </w:tblGrid>
      <w:tr w:rsidR="002C6574" w14:paraId="608CA82A" w14:textId="77777777">
        <w:trPr>
          <w:trHeight w:val="412"/>
        </w:trPr>
        <w:tc>
          <w:tcPr>
            <w:tcW w:w="4325" w:type="dxa"/>
            <w:shd w:val="clear" w:color="auto" w:fill="BFBFBF"/>
          </w:tcPr>
          <w:p w14:paraId="0809E2CD" w14:textId="77777777" w:rsidR="002C6574" w:rsidRDefault="00000000">
            <w:pPr>
              <w:pStyle w:val="TableParagraph"/>
              <w:spacing w:before="102"/>
              <w:ind w:left="69"/>
              <w:jc w:val="left"/>
              <w:rPr>
                <w:rFonts w:ascii="Arial"/>
                <w:b/>
                <w:sz w:val="18"/>
              </w:rPr>
            </w:pPr>
            <w:r>
              <w:rPr>
                <w:rFonts w:ascii="Arial"/>
                <w:b/>
                <w:spacing w:val="-2"/>
                <w:sz w:val="18"/>
              </w:rPr>
              <w:t>Assistidos:</w:t>
            </w:r>
          </w:p>
        </w:tc>
        <w:tc>
          <w:tcPr>
            <w:tcW w:w="1817" w:type="dxa"/>
          </w:tcPr>
          <w:p w14:paraId="7E4E82A6" w14:textId="77777777" w:rsidR="002C6574" w:rsidRDefault="00000000">
            <w:pPr>
              <w:pStyle w:val="TableParagraph"/>
              <w:spacing w:line="206" w:lineRule="exact"/>
              <w:ind w:left="633" w:hanging="293"/>
              <w:jc w:val="left"/>
              <w:rPr>
                <w:rFonts w:ascii="Arial"/>
                <w:b/>
                <w:sz w:val="18"/>
              </w:rPr>
            </w:pPr>
            <w:r>
              <w:rPr>
                <w:rFonts w:ascii="Arial"/>
                <w:b/>
                <w:spacing w:val="-2"/>
                <w:sz w:val="18"/>
              </w:rPr>
              <w:t>Participantes Ativos</w:t>
            </w:r>
          </w:p>
        </w:tc>
        <w:tc>
          <w:tcPr>
            <w:tcW w:w="1817" w:type="dxa"/>
          </w:tcPr>
          <w:p w14:paraId="24F712A4" w14:textId="77777777" w:rsidR="002C6574" w:rsidRDefault="00000000">
            <w:pPr>
              <w:pStyle w:val="TableParagraph"/>
              <w:spacing w:before="102"/>
              <w:ind w:left="337"/>
              <w:jc w:val="left"/>
              <w:rPr>
                <w:rFonts w:ascii="Arial"/>
                <w:b/>
                <w:sz w:val="18"/>
              </w:rPr>
            </w:pPr>
            <w:r>
              <w:rPr>
                <w:rFonts w:ascii="Arial"/>
                <w:b/>
                <w:spacing w:val="-2"/>
                <w:sz w:val="18"/>
              </w:rPr>
              <w:t>Aposentados</w:t>
            </w:r>
          </w:p>
        </w:tc>
        <w:tc>
          <w:tcPr>
            <w:tcW w:w="1812" w:type="dxa"/>
          </w:tcPr>
          <w:p w14:paraId="3592ECA1" w14:textId="77777777" w:rsidR="002C6574" w:rsidRDefault="00000000">
            <w:pPr>
              <w:pStyle w:val="TableParagraph"/>
              <w:spacing w:before="102"/>
              <w:ind w:left="349"/>
              <w:jc w:val="left"/>
              <w:rPr>
                <w:rFonts w:ascii="Arial"/>
                <w:b/>
                <w:sz w:val="18"/>
              </w:rPr>
            </w:pPr>
            <w:r>
              <w:rPr>
                <w:rFonts w:ascii="Arial"/>
                <w:b/>
                <w:spacing w:val="-2"/>
                <w:sz w:val="18"/>
              </w:rPr>
              <w:t>Pensionistas</w:t>
            </w:r>
          </w:p>
        </w:tc>
      </w:tr>
      <w:tr w:rsidR="002C6574" w14:paraId="631F0B9A" w14:textId="77777777">
        <w:trPr>
          <w:trHeight w:val="239"/>
        </w:trPr>
        <w:tc>
          <w:tcPr>
            <w:tcW w:w="4325" w:type="dxa"/>
          </w:tcPr>
          <w:p w14:paraId="0F1C3EA2" w14:textId="77777777" w:rsidR="002C6574" w:rsidRDefault="00000000">
            <w:pPr>
              <w:pStyle w:val="TableParagraph"/>
              <w:spacing w:line="220" w:lineRule="exact"/>
              <w:ind w:left="69"/>
              <w:jc w:val="left"/>
              <w:rPr>
                <w:sz w:val="18"/>
              </w:rPr>
            </w:pPr>
            <w:r>
              <w:rPr>
                <w:spacing w:val="-2"/>
                <w:sz w:val="18"/>
              </w:rPr>
              <w:t>Quantidade</w:t>
            </w:r>
          </w:p>
        </w:tc>
        <w:tc>
          <w:tcPr>
            <w:tcW w:w="1817" w:type="dxa"/>
          </w:tcPr>
          <w:p w14:paraId="499B8B7E" w14:textId="77777777" w:rsidR="002C6574" w:rsidRDefault="00000000">
            <w:pPr>
              <w:pStyle w:val="TableParagraph"/>
              <w:spacing w:line="220" w:lineRule="exact"/>
              <w:ind w:right="57"/>
              <w:rPr>
                <w:sz w:val="18"/>
              </w:rPr>
            </w:pPr>
            <w:r>
              <w:rPr>
                <w:spacing w:val="-5"/>
                <w:w w:val="105"/>
                <w:sz w:val="18"/>
              </w:rPr>
              <w:t>229</w:t>
            </w:r>
          </w:p>
        </w:tc>
        <w:tc>
          <w:tcPr>
            <w:tcW w:w="1817" w:type="dxa"/>
          </w:tcPr>
          <w:p w14:paraId="6F4334EA" w14:textId="77777777" w:rsidR="002C6574" w:rsidRDefault="00000000">
            <w:pPr>
              <w:pStyle w:val="TableParagraph"/>
              <w:spacing w:line="220" w:lineRule="exact"/>
              <w:ind w:right="58"/>
              <w:rPr>
                <w:sz w:val="18"/>
              </w:rPr>
            </w:pPr>
            <w:r>
              <w:rPr>
                <w:spacing w:val="-5"/>
                <w:w w:val="105"/>
                <w:sz w:val="18"/>
              </w:rPr>
              <w:t>281</w:t>
            </w:r>
          </w:p>
        </w:tc>
        <w:tc>
          <w:tcPr>
            <w:tcW w:w="1812" w:type="dxa"/>
          </w:tcPr>
          <w:p w14:paraId="0051F48A" w14:textId="77777777" w:rsidR="002C6574" w:rsidRDefault="00000000">
            <w:pPr>
              <w:pStyle w:val="TableParagraph"/>
              <w:spacing w:line="220" w:lineRule="exact"/>
              <w:ind w:right="57"/>
              <w:rPr>
                <w:sz w:val="18"/>
              </w:rPr>
            </w:pPr>
            <w:r>
              <w:rPr>
                <w:spacing w:val="-5"/>
                <w:w w:val="105"/>
                <w:sz w:val="18"/>
              </w:rPr>
              <w:t>41</w:t>
            </w:r>
          </w:p>
        </w:tc>
      </w:tr>
      <w:tr w:rsidR="002C6574" w14:paraId="6E6BC5F2" w14:textId="77777777">
        <w:trPr>
          <w:trHeight w:val="237"/>
        </w:trPr>
        <w:tc>
          <w:tcPr>
            <w:tcW w:w="4325" w:type="dxa"/>
          </w:tcPr>
          <w:p w14:paraId="390CF900" w14:textId="77777777" w:rsidR="002C6574" w:rsidRDefault="00000000">
            <w:pPr>
              <w:pStyle w:val="TableParagraph"/>
              <w:spacing w:line="217" w:lineRule="exact"/>
              <w:ind w:left="69"/>
              <w:jc w:val="left"/>
              <w:rPr>
                <w:sz w:val="18"/>
              </w:rPr>
            </w:pPr>
            <w:r>
              <w:rPr>
                <w:sz w:val="18"/>
              </w:rPr>
              <w:t>Idade média</w:t>
            </w:r>
            <w:r>
              <w:rPr>
                <w:spacing w:val="1"/>
                <w:sz w:val="18"/>
              </w:rPr>
              <w:t xml:space="preserve"> </w:t>
            </w:r>
            <w:r>
              <w:rPr>
                <w:spacing w:val="-2"/>
                <w:sz w:val="18"/>
              </w:rPr>
              <w:t>(anos)</w:t>
            </w:r>
          </w:p>
        </w:tc>
        <w:tc>
          <w:tcPr>
            <w:tcW w:w="1817" w:type="dxa"/>
          </w:tcPr>
          <w:p w14:paraId="41B945FF" w14:textId="77777777" w:rsidR="002C6574" w:rsidRDefault="00000000">
            <w:pPr>
              <w:pStyle w:val="TableParagraph"/>
              <w:spacing w:line="217" w:lineRule="exact"/>
              <w:ind w:right="55"/>
              <w:rPr>
                <w:sz w:val="18"/>
              </w:rPr>
            </w:pPr>
            <w:r>
              <w:rPr>
                <w:spacing w:val="-4"/>
                <w:w w:val="110"/>
                <w:sz w:val="18"/>
              </w:rPr>
              <w:t>50,89</w:t>
            </w:r>
          </w:p>
        </w:tc>
        <w:tc>
          <w:tcPr>
            <w:tcW w:w="1817" w:type="dxa"/>
          </w:tcPr>
          <w:p w14:paraId="7BBF2F09" w14:textId="77777777" w:rsidR="002C6574" w:rsidRDefault="00000000">
            <w:pPr>
              <w:pStyle w:val="TableParagraph"/>
              <w:spacing w:line="217" w:lineRule="exact"/>
              <w:ind w:right="56"/>
              <w:rPr>
                <w:sz w:val="18"/>
              </w:rPr>
            </w:pPr>
            <w:r>
              <w:rPr>
                <w:spacing w:val="-2"/>
                <w:w w:val="110"/>
                <w:sz w:val="18"/>
              </w:rPr>
              <w:t>72,02</w:t>
            </w:r>
          </w:p>
        </w:tc>
        <w:tc>
          <w:tcPr>
            <w:tcW w:w="1812" w:type="dxa"/>
          </w:tcPr>
          <w:p w14:paraId="707C5F95" w14:textId="77777777" w:rsidR="002C6574" w:rsidRDefault="00000000">
            <w:pPr>
              <w:pStyle w:val="TableParagraph"/>
              <w:spacing w:line="217" w:lineRule="exact"/>
              <w:ind w:right="56"/>
              <w:rPr>
                <w:sz w:val="18"/>
              </w:rPr>
            </w:pPr>
            <w:r>
              <w:rPr>
                <w:spacing w:val="-2"/>
                <w:w w:val="110"/>
                <w:sz w:val="18"/>
              </w:rPr>
              <w:t>64,52</w:t>
            </w:r>
          </w:p>
        </w:tc>
      </w:tr>
      <w:tr w:rsidR="002C6574" w14:paraId="275B3FFA" w14:textId="77777777">
        <w:trPr>
          <w:trHeight w:val="237"/>
        </w:trPr>
        <w:tc>
          <w:tcPr>
            <w:tcW w:w="4325" w:type="dxa"/>
          </w:tcPr>
          <w:p w14:paraId="3795C7A1" w14:textId="77777777" w:rsidR="002C6574" w:rsidRDefault="00000000">
            <w:pPr>
              <w:pStyle w:val="TableParagraph"/>
              <w:spacing w:line="217" w:lineRule="exact"/>
              <w:ind w:left="69"/>
              <w:jc w:val="left"/>
              <w:rPr>
                <w:sz w:val="18"/>
              </w:rPr>
            </w:pPr>
            <w:r>
              <w:rPr>
                <w:sz w:val="18"/>
              </w:rPr>
              <w:t>Tempo</w:t>
            </w:r>
            <w:r>
              <w:rPr>
                <w:spacing w:val="1"/>
                <w:sz w:val="18"/>
              </w:rPr>
              <w:t xml:space="preserve"> </w:t>
            </w:r>
            <w:r>
              <w:rPr>
                <w:sz w:val="18"/>
              </w:rPr>
              <w:t>de</w:t>
            </w:r>
            <w:r>
              <w:rPr>
                <w:spacing w:val="-2"/>
                <w:sz w:val="18"/>
              </w:rPr>
              <w:t xml:space="preserve"> </w:t>
            </w:r>
            <w:r>
              <w:rPr>
                <w:sz w:val="18"/>
              </w:rPr>
              <w:t>serviço</w:t>
            </w:r>
            <w:r>
              <w:rPr>
                <w:spacing w:val="-1"/>
                <w:sz w:val="18"/>
              </w:rPr>
              <w:t xml:space="preserve"> </w:t>
            </w:r>
            <w:r>
              <w:rPr>
                <w:sz w:val="18"/>
              </w:rPr>
              <w:t>médio</w:t>
            </w:r>
            <w:r>
              <w:rPr>
                <w:spacing w:val="-1"/>
                <w:sz w:val="18"/>
              </w:rPr>
              <w:t xml:space="preserve"> </w:t>
            </w:r>
            <w:r>
              <w:rPr>
                <w:spacing w:val="-2"/>
                <w:sz w:val="18"/>
              </w:rPr>
              <w:t>(anos)</w:t>
            </w:r>
          </w:p>
        </w:tc>
        <w:tc>
          <w:tcPr>
            <w:tcW w:w="1817" w:type="dxa"/>
          </w:tcPr>
          <w:p w14:paraId="081848ED" w14:textId="77777777" w:rsidR="002C6574" w:rsidRDefault="00000000">
            <w:pPr>
              <w:pStyle w:val="TableParagraph"/>
              <w:spacing w:line="217" w:lineRule="exact"/>
              <w:ind w:right="55"/>
              <w:rPr>
                <w:sz w:val="18"/>
              </w:rPr>
            </w:pPr>
            <w:r>
              <w:rPr>
                <w:spacing w:val="-4"/>
                <w:w w:val="110"/>
                <w:sz w:val="18"/>
              </w:rPr>
              <w:t>20,09</w:t>
            </w:r>
          </w:p>
        </w:tc>
        <w:tc>
          <w:tcPr>
            <w:tcW w:w="1817" w:type="dxa"/>
          </w:tcPr>
          <w:p w14:paraId="26B272FB" w14:textId="77777777" w:rsidR="002C6574" w:rsidRDefault="00000000">
            <w:pPr>
              <w:pStyle w:val="TableParagraph"/>
              <w:spacing w:line="217" w:lineRule="exact"/>
              <w:ind w:right="59"/>
              <w:rPr>
                <w:sz w:val="18"/>
              </w:rPr>
            </w:pPr>
            <w:r>
              <w:rPr>
                <w:spacing w:val="-10"/>
                <w:w w:val="95"/>
                <w:sz w:val="18"/>
              </w:rPr>
              <w:t>-</w:t>
            </w:r>
          </w:p>
        </w:tc>
        <w:tc>
          <w:tcPr>
            <w:tcW w:w="1812" w:type="dxa"/>
          </w:tcPr>
          <w:p w14:paraId="26F1DA95" w14:textId="77777777" w:rsidR="002C6574" w:rsidRDefault="00000000">
            <w:pPr>
              <w:pStyle w:val="TableParagraph"/>
              <w:spacing w:line="217" w:lineRule="exact"/>
              <w:ind w:right="59"/>
              <w:rPr>
                <w:sz w:val="18"/>
              </w:rPr>
            </w:pPr>
            <w:r>
              <w:rPr>
                <w:spacing w:val="-10"/>
                <w:w w:val="95"/>
                <w:sz w:val="18"/>
              </w:rPr>
              <w:t>-</w:t>
            </w:r>
          </w:p>
        </w:tc>
      </w:tr>
      <w:tr w:rsidR="002C6574" w14:paraId="33F92855" w14:textId="77777777">
        <w:trPr>
          <w:trHeight w:val="239"/>
        </w:trPr>
        <w:tc>
          <w:tcPr>
            <w:tcW w:w="4325" w:type="dxa"/>
          </w:tcPr>
          <w:p w14:paraId="72B215FC" w14:textId="77777777" w:rsidR="002C6574" w:rsidRDefault="00000000">
            <w:pPr>
              <w:pStyle w:val="TableParagraph"/>
              <w:spacing w:line="220" w:lineRule="exact"/>
              <w:ind w:left="69"/>
              <w:jc w:val="left"/>
              <w:rPr>
                <w:sz w:val="18"/>
              </w:rPr>
            </w:pPr>
            <w:r>
              <w:rPr>
                <w:sz w:val="18"/>
              </w:rPr>
              <w:t>Benefício</w:t>
            </w:r>
            <w:r>
              <w:rPr>
                <w:spacing w:val="1"/>
                <w:sz w:val="18"/>
              </w:rPr>
              <w:t xml:space="preserve"> </w:t>
            </w:r>
            <w:r>
              <w:rPr>
                <w:sz w:val="18"/>
              </w:rPr>
              <w:t>médio</w:t>
            </w:r>
            <w:r>
              <w:rPr>
                <w:spacing w:val="3"/>
                <w:sz w:val="18"/>
              </w:rPr>
              <w:t xml:space="preserve"> </w:t>
            </w:r>
            <w:r>
              <w:rPr>
                <w:spacing w:val="-4"/>
                <w:sz w:val="18"/>
              </w:rPr>
              <w:t>(R$)</w:t>
            </w:r>
          </w:p>
        </w:tc>
        <w:tc>
          <w:tcPr>
            <w:tcW w:w="1817" w:type="dxa"/>
          </w:tcPr>
          <w:p w14:paraId="35025F48" w14:textId="77777777" w:rsidR="002C6574" w:rsidRDefault="00000000">
            <w:pPr>
              <w:pStyle w:val="TableParagraph"/>
              <w:spacing w:line="220" w:lineRule="exact"/>
              <w:ind w:right="56"/>
              <w:rPr>
                <w:sz w:val="18"/>
              </w:rPr>
            </w:pPr>
            <w:r>
              <w:rPr>
                <w:spacing w:val="-2"/>
                <w:w w:val="110"/>
                <w:sz w:val="18"/>
              </w:rPr>
              <w:t>14.578,78</w:t>
            </w:r>
          </w:p>
        </w:tc>
        <w:tc>
          <w:tcPr>
            <w:tcW w:w="1817" w:type="dxa"/>
          </w:tcPr>
          <w:p w14:paraId="370E1503" w14:textId="77777777" w:rsidR="002C6574" w:rsidRDefault="00000000">
            <w:pPr>
              <w:pStyle w:val="TableParagraph"/>
              <w:spacing w:line="220" w:lineRule="exact"/>
              <w:ind w:right="57"/>
              <w:rPr>
                <w:sz w:val="18"/>
              </w:rPr>
            </w:pPr>
            <w:r>
              <w:rPr>
                <w:spacing w:val="-2"/>
                <w:w w:val="110"/>
                <w:sz w:val="18"/>
              </w:rPr>
              <w:t>8.222,27</w:t>
            </w:r>
          </w:p>
        </w:tc>
        <w:tc>
          <w:tcPr>
            <w:tcW w:w="1812" w:type="dxa"/>
          </w:tcPr>
          <w:p w14:paraId="3248F559" w14:textId="77777777" w:rsidR="002C6574" w:rsidRDefault="00000000">
            <w:pPr>
              <w:pStyle w:val="TableParagraph"/>
              <w:spacing w:line="220" w:lineRule="exact"/>
              <w:ind w:right="57"/>
              <w:rPr>
                <w:sz w:val="18"/>
              </w:rPr>
            </w:pPr>
            <w:r>
              <w:rPr>
                <w:spacing w:val="-2"/>
                <w:w w:val="110"/>
                <w:sz w:val="18"/>
              </w:rPr>
              <w:t>7.663,32</w:t>
            </w:r>
          </w:p>
        </w:tc>
      </w:tr>
    </w:tbl>
    <w:p w14:paraId="788D05EA" w14:textId="77777777" w:rsidR="002C6574" w:rsidRDefault="00000000">
      <w:pPr>
        <w:numPr>
          <w:ilvl w:val="1"/>
          <w:numId w:val="27"/>
        </w:numPr>
        <w:tabs>
          <w:tab w:val="left" w:pos="995"/>
        </w:tabs>
        <w:spacing w:before="277"/>
        <w:rPr>
          <w:rFonts w:ascii="Arial" w:hAnsi="Arial"/>
          <w:b/>
        </w:rPr>
      </w:pPr>
      <w:r>
        <w:rPr>
          <w:rFonts w:ascii="Arial" w:hAnsi="Arial"/>
          <w:b/>
        </w:rPr>
        <w:t>Método</w:t>
      </w:r>
      <w:r>
        <w:rPr>
          <w:rFonts w:ascii="Arial" w:hAnsi="Arial"/>
          <w:b/>
          <w:spacing w:val="-4"/>
        </w:rPr>
        <w:t xml:space="preserve"> </w:t>
      </w:r>
      <w:r>
        <w:rPr>
          <w:rFonts w:ascii="Arial" w:hAnsi="Arial"/>
          <w:b/>
        </w:rPr>
        <w:t>de</w:t>
      </w:r>
      <w:r>
        <w:rPr>
          <w:rFonts w:ascii="Arial" w:hAnsi="Arial"/>
          <w:b/>
          <w:spacing w:val="-3"/>
        </w:rPr>
        <w:t xml:space="preserve"> </w:t>
      </w:r>
      <w:r>
        <w:rPr>
          <w:rFonts w:ascii="Arial" w:hAnsi="Arial"/>
          <w:b/>
        </w:rPr>
        <w:t>Avaliação</w:t>
      </w:r>
      <w:r>
        <w:rPr>
          <w:rFonts w:ascii="Arial" w:hAnsi="Arial"/>
          <w:b/>
          <w:spacing w:val="-4"/>
        </w:rPr>
        <w:t xml:space="preserve"> </w:t>
      </w:r>
      <w:r>
        <w:rPr>
          <w:rFonts w:ascii="Arial" w:hAnsi="Arial"/>
          <w:b/>
          <w:spacing w:val="-2"/>
        </w:rPr>
        <w:t>Atuarial</w:t>
      </w:r>
    </w:p>
    <w:p w14:paraId="5528D552" w14:textId="77777777" w:rsidR="002C6574" w:rsidRDefault="002C6574">
      <w:pPr>
        <w:pStyle w:val="Corpodetexto"/>
        <w:spacing w:before="114"/>
        <w:rPr>
          <w:rFonts w:ascii="Arial"/>
          <w:b/>
        </w:rPr>
      </w:pPr>
    </w:p>
    <w:p w14:paraId="1A8C999C" w14:textId="77777777" w:rsidR="002C6574" w:rsidRDefault="00000000">
      <w:pPr>
        <w:pStyle w:val="Corpodetexto"/>
        <w:ind w:left="143" w:right="703"/>
        <w:jc w:val="both"/>
      </w:pPr>
      <w:r>
        <w:t>Conforme</w:t>
      </w:r>
      <w:r>
        <w:rPr>
          <w:spacing w:val="-16"/>
        </w:rPr>
        <w:t xml:space="preserve"> </w:t>
      </w:r>
      <w:r>
        <w:t>determinação</w:t>
      </w:r>
      <w:r>
        <w:rPr>
          <w:spacing w:val="-15"/>
        </w:rPr>
        <w:t xml:space="preserve"> </w:t>
      </w:r>
      <w:r>
        <w:t>do</w:t>
      </w:r>
      <w:r>
        <w:rPr>
          <w:spacing w:val="-15"/>
        </w:rPr>
        <w:t xml:space="preserve"> </w:t>
      </w:r>
      <w:r>
        <w:t>item</w:t>
      </w:r>
      <w:r>
        <w:rPr>
          <w:spacing w:val="-15"/>
        </w:rPr>
        <w:t xml:space="preserve"> </w:t>
      </w:r>
      <w:r>
        <w:t>67</w:t>
      </w:r>
      <w:r>
        <w:rPr>
          <w:spacing w:val="-14"/>
        </w:rPr>
        <w:t xml:space="preserve"> </w:t>
      </w:r>
      <w:r>
        <w:t>do</w:t>
      </w:r>
      <w:r>
        <w:rPr>
          <w:spacing w:val="-12"/>
        </w:rPr>
        <w:t xml:space="preserve"> </w:t>
      </w:r>
      <w:r>
        <w:t>pronunciamento</w:t>
      </w:r>
      <w:r>
        <w:rPr>
          <w:spacing w:val="-16"/>
        </w:rPr>
        <w:t xml:space="preserve"> </w:t>
      </w:r>
      <w:r>
        <w:t>CPC</w:t>
      </w:r>
      <w:r>
        <w:rPr>
          <w:spacing w:val="-15"/>
        </w:rPr>
        <w:t xml:space="preserve"> </w:t>
      </w:r>
      <w:r>
        <w:t>33(R1),</w:t>
      </w:r>
      <w:r>
        <w:rPr>
          <w:spacing w:val="-12"/>
        </w:rPr>
        <w:t xml:space="preserve"> </w:t>
      </w:r>
      <w:r>
        <w:t>foi</w:t>
      </w:r>
      <w:r>
        <w:rPr>
          <w:spacing w:val="-15"/>
        </w:rPr>
        <w:t xml:space="preserve"> </w:t>
      </w:r>
      <w:r>
        <w:t>aplicado</w:t>
      </w:r>
      <w:r>
        <w:rPr>
          <w:spacing w:val="-14"/>
        </w:rPr>
        <w:t xml:space="preserve"> </w:t>
      </w:r>
      <w:r>
        <w:t>o</w:t>
      </w:r>
      <w:r>
        <w:rPr>
          <w:spacing w:val="-13"/>
        </w:rPr>
        <w:t xml:space="preserve"> </w:t>
      </w:r>
      <w:r>
        <w:t>Método</w:t>
      </w:r>
      <w:r>
        <w:rPr>
          <w:spacing w:val="-16"/>
        </w:rPr>
        <w:t xml:space="preserve"> </w:t>
      </w:r>
      <w:r>
        <w:t>do</w:t>
      </w:r>
      <w:r>
        <w:rPr>
          <w:spacing w:val="-12"/>
        </w:rPr>
        <w:t xml:space="preserve"> </w:t>
      </w:r>
      <w:r>
        <w:t>Crédito Unitário Projetado - PUC para a obtenção do Valor Presente da Obrigação Atuarial. Este método considera cada período de serviço como fato gerador de uma unidade adicional de benefício e mensura cada unidade separadamente para se quantificar a obrigação final.</w:t>
      </w:r>
    </w:p>
    <w:p w14:paraId="1EEDC1F4" w14:textId="77777777" w:rsidR="002C6574" w:rsidRDefault="002C6574">
      <w:pPr>
        <w:pStyle w:val="Corpodetexto"/>
        <w:jc w:val="both"/>
        <w:sectPr w:rsidR="002C6574">
          <w:pgSz w:w="11910" w:h="16840"/>
          <w:pgMar w:top="1820" w:right="141" w:bottom="1320" w:left="1133" w:header="1084" w:footer="1089" w:gutter="0"/>
          <w:cols w:space="720"/>
        </w:sectPr>
      </w:pPr>
    </w:p>
    <w:p w14:paraId="22365DAC" w14:textId="77777777" w:rsidR="002C6574" w:rsidRDefault="00000000">
      <w:pPr>
        <w:numPr>
          <w:ilvl w:val="1"/>
          <w:numId w:val="27"/>
        </w:numPr>
        <w:tabs>
          <w:tab w:val="left" w:pos="995"/>
        </w:tabs>
        <w:spacing w:before="229"/>
        <w:rPr>
          <w:rFonts w:ascii="Arial"/>
          <w:b/>
        </w:rPr>
      </w:pPr>
      <w:r>
        <w:rPr>
          <w:rFonts w:ascii="Arial"/>
          <w:b/>
        </w:rPr>
        <w:lastRenderedPageBreak/>
        <w:t>Premissas</w:t>
      </w:r>
      <w:r>
        <w:rPr>
          <w:rFonts w:ascii="Arial"/>
          <w:b/>
          <w:spacing w:val="-5"/>
        </w:rPr>
        <w:t xml:space="preserve"> </w:t>
      </w:r>
      <w:r>
        <w:rPr>
          <w:rFonts w:ascii="Arial"/>
          <w:b/>
          <w:spacing w:val="-2"/>
        </w:rPr>
        <w:t>Atuariais</w:t>
      </w:r>
    </w:p>
    <w:p w14:paraId="1AB45386" w14:textId="77777777" w:rsidR="002C6574" w:rsidRDefault="00000000">
      <w:pPr>
        <w:pStyle w:val="Corpodetexto"/>
        <w:spacing w:before="246"/>
        <w:ind w:left="143" w:right="704"/>
        <w:jc w:val="both"/>
      </w:pPr>
      <w:r>
        <w:t>Todas as premissas utilizadas neste estudo atuarial foram discutidas com a Telebrás e definidas em conjunto com este, de forma a cumprir as determinações do Pronunciamento Técnico CPC 33(R1) e obter</w:t>
      </w:r>
      <w:r>
        <w:rPr>
          <w:spacing w:val="-2"/>
        </w:rPr>
        <w:t xml:space="preserve"> </w:t>
      </w:r>
      <w:r>
        <w:t>um</w:t>
      </w:r>
      <w:r>
        <w:rPr>
          <w:spacing w:val="-2"/>
        </w:rPr>
        <w:t xml:space="preserve"> </w:t>
      </w:r>
      <w:r>
        <w:t>cálculo</w:t>
      </w:r>
      <w:r>
        <w:rPr>
          <w:spacing w:val="-1"/>
        </w:rPr>
        <w:t xml:space="preserve"> </w:t>
      </w:r>
      <w:r>
        <w:t>de</w:t>
      </w:r>
      <w:r>
        <w:rPr>
          <w:spacing w:val="-1"/>
        </w:rPr>
        <w:t xml:space="preserve"> </w:t>
      </w:r>
      <w:r>
        <w:t>passivo</w:t>
      </w:r>
      <w:r>
        <w:rPr>
          <w:spacing w:val="-1"/>
        </w:rPr>
        <w:t xml:space="preserve"> </w:t>
      </w:r>
      <w:r>
        <w:t>atuarial que</w:t>
      </w:r>
      <w:r>
        <w:rPr>
          <w:spacing w:val="-3"/>
        </w:rPr>
        <w:t xml:space="preserve"> </w:t>
      </w:r>
      <w:r>
        <w:t>expresse</w:t>
      </w:r>
      <w:r>
        <w:rPr>
          <w:spacing w:val="-3"/>
        </w:rPr>
        <w:t xml:space="preserve"> </w:t>
      </w:r>
      <w:r>
        <w:t>a</w:t>
      </w:r>
      <w:r>
        <w:rPr>
          <w:spacing w:val="-1"/>
        </w:rPr>
        <w:t xml:space="preserve"> </w:t>
      </w:r>
      <w:r>
        <w:t>real</w:t>
      </w:r>
      <w:r>
        <w:rPr>
          <w:spacing w:val="-2"/>
        </w:rPr>
        <w:t xml:space="preserve"> </w:t>
      </w:r>
      <w:r>
        <w:t>obrigação</w:t>
      </w:r>
      <w:r>
        <w:rPr>
          <w:spacing w:val="-1"/>
        </w:rPr>
        <w:t xml:space="preserve"> </w:t>
      </w:r>
      <w:r>
        <w:t>do</w:t>
      </w:r>
      <w:r>
        <w:rPr>
          <w:spacing w:val="-1"/>
        </w:rPr>
        <w:t xml:space="preserve"> </w:t>
      </w:r>
      <w:r>
        <w:t>patrocinador em</w:t>
      </w:r>
      <w:r>
        <w:rPr>
          <w:spacing w:val="-2"/>
        </w:rPr>
        <w:t xml:space="preserve"> </w:t>
      </w:r>
      <w:r>
        <w:t>relação</w:t>
      </w:r>
      <w:r>
        <w:rPr>
          <w:spacing w:val="-1"/>
        </w:rPr>
        <w:t xml:space="preserve"> </w:t>
      </w:r>
      <w:r>
        <w:t>à</w:t>
      </w:r>
      <w:r>
        <w:rPr>
          <w:spacing w:val="-3"/>
        </w:rPr>
        <w:t xml:space="preserve"> </w:t>
      </w:r>
      <w:r>
        <w:t>sua entidade de previdência complementar.</w:t>
      </w:r>
    </w:p>
    <w:p w14:paraId="12F4EC76" w14:textId="77777777" w:rsidR="002C6574" w:rsidRDefault="00000000">
      <w:pPr>
        <w:numPr>
          <w:ilvl w:val="2"/>
          <w:numId w:val="27"/>
        </w:numPr>
        <w:tabs>
          <w:tab w:val="left" w:pos="993"/>
        </w:tabs>
        <w:spacing w:before="145"/>
        <w:ind w:left="993" w:hanging="850"/>
        <w:rPr>
          <w:rFonts w:ascii="Arial" w:hAnsi="Arial"/>
          <w:b/>
          <w:sz w:val="24"/>
        </w:rPr>
      </w:pPr>
      <w:r>
        <w:rPr>
          <w:rFonts w:ascii="Arial" w:hAnsi="Arial"/>
          <w:b/>
        </w:rPr>
        <w:t>Plano</w:t>
      </w:r>
      <w:r>
        <w:rPr>
          <w:rFonts w:ascii="Arial" w:hAnsi="Arial"/>
          <w:b/>
          <w:spacing w:val="-5"/>
        </w:rPr>
        <w:t xml:space="preserve"> </w:t>
      </w:r>
      <w:r>
        <w:rPr>
          <w:rFonts w:ascii="Arial" w:hAnsi="Arial"/>
          <w:b/>
        </w:rPr>
        <w:t>de</w:t>
      </w:r>
      <w:r>
        <w:rPr>
          <w:rFonts w:ascii="Arial" w:hAnsi="Arial"/>
          <w:b/>
          <w:spacing w:val="-2"/>
        </w:rPr>
        <w:t xml:space="preserve"> </w:t>
      </w:r>
      <w:r>
        <w:rPr>
          <w:rFonts w:ascii="Arial" w:hAnsi="Arial"/>
          <w:b/>
        </w:rPr>
        <w:t>Benefícios</w:t>
      </w:r>
      <w:r>
        <w:rPr>
          <w:rFonts w:ascii="Arial" w:hAnsi="Arial"/>
          <w:b/>
          <w:spacing w:val="-2"/>
        </w:rPr>
        <w:t xml:space="preserve"> </w:t>
      </w:r>
      <w:r>
        <w:rPr>
          <w:rFonts w:ascii="Arial" w:hAnsi="Arial"/>
          <w:b/>
        </w:rPr>
        <w:t>PBS</w:t>
      </w:r>
      <w:r>
        <w:rPr>
          <w:rFonts w:ascii="Arial" w:hAnsi="Arial"/>
          <w:b/>
          <w:spacing w:val="-5"/>
        </w:rPr>
        <w:t xml:space="preserve"> </w:t>
      </w:r>
      <w:r>
        <w:rPr>
          <w:rFonts w:ascii="Arial" w:hAnsi="Arial"/>
          <w:b/>
        </w:rPr>
        <w:t>-</w:t>
      </w:r>
      <w:r>
        <w:rPr>
          <w:rFonts w:ascii="Arial" w:hAnsi="Arial"/>
          <w:b/>
          <w:spacing w:val="-2"/>
        </w:rPr>
        <w:t xml:space="preserve"> </w:t>
      </w:r>
      <w:r>
        <w:rPr>
          <w:rFonts w:ascii="Arial" w:hAnsi="Arial"/>
          <w:b/>
          <w:spacing w:val="-10"/>
        </w:rPr>
        <w:t>A</w:t>
      </w:r>
    </w:p>
    <w:p w14:paraId="592027DC" w14:textId="77777777" w:rsidR="002C6574" w:rsidRDefault="002C6574">
      <w:pPr>
        <w:pStyle w:val="Corpodetexto"/>
        <w:spacing w:before="56"/>
        <w:rPr>
          <w:rFonts w:ascii="Arial"/>
          <w:b/>
        </w:rPr>
      </w:pPr>
    </w:p>
    <w:p w14:paraId="41A5F737" w14:textId="77777777" w:rsidR="002C6574" w:rsidRDefault="00000000">
      <w:pPr>
        <w:pStyle w:val="PargrafodaLista"/>
        <w:numPr>
          <w:ilvl w:val="0"/>
          <w:numId w:val="23"/>
        </w:numPr>
        <w:tabs>
          <w:tab w:val="left" w:pos="339"/>
        </w:tabs>
        <w:spacing w:before="1"/>
        <w:ind w:left="339" w:hanging="196"/>
        <w:rPr>
          <w:rFonts w:ascii="Arial" w:hAnsi="Arial"/>
          <w:b/>
        </w:rPr>
      </w:pPr>
      <w:r>
        <w:rPr>
          <w:rFonts w:ascii="Arial" w:hAnsi="Arial"/>
          <w:b/>
        </w:rPr>
        <w:t>Premissas</w:t>
      </w:r>
      <w:r>
        <w:rPr>
          <w:rFonts w:ascii="Arial" w:hAnsi="Arial"/>
          <w:b/>
          <w:spacing w:val="-3"/>
        </w:rPr>
        <w:t xml:space="preserve"> </w:t>
      </w:r>
      <w:r>
        <w:rPr>
          <w:rFonts w:ascii="Arial" w:hAnsi="Arial"/>
          <w:b/>
          <w:spacing w:val="-2"/>
        </w:rPr>
        <w:t>Biométricas:</w:t>
      </w:r>
    </w:p>
    <w:p w14:paraId="1709E016" w14:textId="77777777" w:rsidR="002C6574" w:rsidRDefault="00000000">
      <w:pPr>
        <w:pStyle w:val="PargrafodaLista"/>
        <w:numPr>
          <w:ilvl w:val="1"/>
          <w:numId w:val="23"/>
        </w:numPr>
        <w:tabs>
          <w:tab w:val="left" w:pos="398"/>
        </w:tabs>
        <w:spacing w:before="222"/>
        <w:ind w:left="398" w:hanging="255"/>
        <w:jc w:val="both"/>
        <w:rPr>
          <w:rFonts w:ascii="Segoe UI Symbol" w:hAnsi="Segoe UI Symbol"/>
        </w:rPr>
      </w:pPr>
      <w:r>
        <w:rPr>
          <w:rFonts w:ascii="Arial" w:hAnsi="Arial"/>
          <w:b/>
        </w:rPr>
        <w:t>Tábua</w:t>
      </w:r>
      <w:r>
        <w:rPr>
          <w:rFonts w:ascii="Arial" w:hAnsi="Arial"/>
          <w:b/>
          <w:spacing w:val="2"/>
        </w:rPr>
        <w:t xml:space="preserve"> </w:t>
      </w:r>
      <w:r>
        <w:rPr>
          <w:rFonts w:ascii="Arial" w:hAnsi="Arial"/>
          <w:b/>
        </w:rPr>
        <w:t>de</w:t>
      </w:r>
      <w:r>
        <w:rPr>
          <w:rFonts w:ascii="Arial" w:hAnsi="Arial"/>
          <w:b/>
          <w:spacing w:val="4"/>
        </w:rPr>
        <w:t xml:space="preserve"> </w:t>
      </w:r>
      <w:r>
        <w:rPr>
          <w:rFonts w:ascii="Arial" w:hAnsi="Arial"/>
          <w:b/>
        </w:rPr>
        <w:t>mortalidade</w:t>
      </w:r>
      <w:r>
        <w:rPr>
          <w:rFonts w:ascii="Arial" w:hAnsi="Arial"/>
          <w:b/>
          <w:spacing w:val="8"/>
        </w:rPr>
        <w:t xml:space="preserve"> </w:t>
      </w:r>
      <w:r>
        <w:rPr>
          <w:rFonts w:ascii="Arial" w:hAnsi="Arial"/>
          <w:b/>
        </w:rPr>
        <w:t>geral:</w:t>
      </w:r>
      <w:r>
        <w:rPr>
          <w:rFonts w:ascii="Arial" w:hAnsi="Arial"/>
          <w:b/>
          <w:spacing w:val="10"/>
        </w:rPr>
        <w:t xml:space="preserve"> </w:t>
      </w:r>
      <w:r>
        <w:rPr>
          <w:rFonts w:ascii="Segoe UI Symbol" w:hAnsi="Segoe UI Symbol"/>
        </w:rPr>
        <w:t>AT-2000</w:t>
      </w:r>
      <w:r>
        <w:rPr>
          <w:rFonts w:ascii="Segoe UI Symbol" w:hAnsi="Segoe UI Symbol"/>
          <w:spacing w:val="9"/>
        </w:rPr>
        <w:t xml:space="preserve"> </w:t>
      </w:r>
      <w:r>
        <w:rPr>
          <w:rFonts w:ascii="Segoe UI Symbol" w:hAnsi="Segoe UI Symbol"/>
        </w:rPr>
        <w:t>Basic</w:t>
      </w:r>
      <w:r>
        <w:rPr>
          <w:rFonts w:ascii="Segoe UI Symbol" w:hAnsi="Segoe UI Symbol"/>
          <w:spacing w:val="4"/>
        </w:rPr>
        <w:t xml:space="preserve"> </w:t>
      </w:r>
      <w:r>
        <w:rPr>
          <w:rFonts w:ascii="Segoe UI Symbol" w:hAnsi="Segoe UI Symbol"/>
        </w:rPr>
        <w:t>segregada</w:t>
      </w:r>
      <w:r>
        <w:rPr>
          <w:rFonts w:ascii="Segoe UI Symbol" w:hAnsi="Segoe UI Symbol"/>
          <w:spacing w:val="7"/>
        </w:rPr>
        <w:t xml:space="preserve"> </w:t>
      </w:r>
      <w:r>
        <w:rPr>
          <w:rFonts w:ascii="Segoe UI Symbol" w:hAnsi="Segoe UI Symbol"/>
        </w:rPr>
        <w:t>por</w:t>
      </w:r>
      <w:r>
        <w:rPr>
          <w:rFonts w:ascii="Segoe UI Symbol" w:hAnsi="Segoe UI Symbol"/>
          <w:spacing w:val="8"/>
        </w:rPr>
        <w:t xml:space="preserve"> </w:t>
      </w:r>
      <w:r>
        <w:rPr>
          <w:rFonts w:ascii="Segoe UI Symbol" w:hAnsi="Segoe UI Symbol"/>
          <w:spacing w:val="-2"/>
        </w:rPr>
        <w:t>sexo;</w:t>
      </w:r>
    </w:p>
    <w:p w14:paraId="70E65D11" w14:textId="77777777" w:rsidR="002C6574" w:rsidRDefault="00000000">
      <w:pPr>
        <w:pStyle w:val="PargrafodaLista"/>
        <w:numPr>
          <w:ilvl w:val="1"/>
          <w:numId w:val="23"/>
        </w:numPr>
        <w:tabs>
          <w:tab w:val="left" w:pos="410"/>
        </w:tabs>
        <w:spacing w:before="87"/>
        <w:ind w:left="410" w:hanging="267"/>
        <w:rPr>
          <w:rFonts w:ascii="Segoe UI Symbol" w:hAnsi="Segoe UI Symbol"/>
        </w:rPr>
      </w:pPr>
      <w:r>
        <w:rPr>
          <w:rFonts w:ascii="Arial" w:hAnsi="Arial"/>
          <w:b/>
        </w:rPr>
        <w:t>Tábua</w:t>
      </w:r>
      <w:r>
        <w:rPr>
          <w:rFonts w:ascii="Arial" w:hAnsi="Arial"/>
          <w:b/>
          <w:spacing w:val="-6"/>
        </w:rPr>
        <w:t xml:space="preserve"> </w:t>
      </w:r>
      <w:r>
        <w:rPr>
          <w:rFonts w:ascii="Arial" w:hAnsi="Arial"/>
          <w:b/>
        </w:rPr>
        <w:t>de</w:t>
      </w:r>
      <w:r>
        <w:rPr>
          <w:rFonts w:ascii="Arial" w:hAnsi="Arial"/>
          <w:b/>
          <w:spacing w:val="-1"/>
        </w:rPr>
        <w:t xml:space="preserve"> </w:t>
      </w:r>
      <w:r>
        <w:rPr>
          <w:rFonts w:ascii="Arial" w:hAnsi="Arial"/>
          <w:b/>
        </w:rPr>
        <w:t>entrada</w:t>
      </w:r>
      <w:r>
        <w:rPr>
          <w:rFonts w:ascii="Arial" w:hAnsi="Arial"/>
          <w:b/>
          <w:spacing w:val="-5"/>
        </w:rPr>
        <w:t xml:space="preserve"> </w:t>
      </w:r>
      <w:r>
        <w:rPr>
          <w:rFonts w:ascii="Arial" w:hAnsi="Arial"/>
          <w:b/>
        </w:rPr>
        <w:t>em</w:t>
      </w:r>
      <w:r>
        <w:rPr>
          <w:rFonts w:ascii="Arial" w:hAnsi="Arial"/>
          <w:b/>
          <w:spacing w:val="-3"/>
        </w:rPr>
        <w:t xml:space="preserve"> </w:t>
      </w:r>
      <w:r>
        <w:rPr>
          <w:rFonts w:ascii="Arial" w:hAnsi="Arial"/>
          <w:b/>
        </w:rPr>
        <w:t>invalidez:</w:t>
      </w:r>
      <w:r>
        <w:rPr>
          <w:rFonts w:ascii="Arial" w:hAnsi="Arial"/>
          <w:b/>
          <w:spacing w:val="-2"/>
        </w:rPr>
        <w:t xml:space="preserve"> </w:t>
      </w:r>
      <w:r>
        <w:rPr>
          <w:rFonts w:ascii="Segoe UI Symbol" w:hAnsi="Segoe UI Symbol"/>
        </w:rPr>
        <w:t>Não</w:t>
      </w:r>
      <w:r>
        <w:rPr>
          <w:rFonts w:ascii="Segoe UI Symbol" w:hAnsi="Segoe UI Symbol"/>
          <w:spacing w:val="1"/>
        </w:rPr>
        <w:t xml:space="preserve"> </w:t>
      </w:r>
      <w:r>
        <w:rPr>
          <w:rFonts w:ascii="Segoe UI Symbol" w:hAnsi="Segoe UI Symbol"/>
          <w:spacing w:val="-2"/>
        </w:rPr>
        <w:t>aplicável;</w:t>
      </w:r>
    </w:p>
    <w:p w14:paraId="508D5467" w14:textId="77777777" w:rsidR="002C6574" w:rsidRDefault="00000000">
      <w:pPr>
        <w:pStyle w:val="PargrafodaLista"/>
        <w:numPr>
          <w:ilvl w:val="1"/>
          <w:numId w:val="23"/>
        </w:numPr>
        <w:tabs>
          <w:tab w:val="left" w:pos="398"/>
        </w:tabs>
        <w:spacing w:before="86"/>
        <w:ind w:left="398" w:hanging="255"/>
        <w:rPr>
          <w:rFonts w:ascii="Segoe UI Symbol" w:hAnsi="Segoe UI Symbol"/>
        </w:rPr>
      </w:pPr>
      <w:r>
        <w:rPr>
          <w:rFonts w:ascii="Arial" w:hAnsi="Arial"/>
          <w:b/>
        </w:rPr>
        <w:t>Tábua</w:t>
      </w:r>
      <w:r>
        <w:rPr>
          <w:rFonts w:ascii="Arial" w:hAnsi="Arial"/>
          <w:b/>
          <w:spacing w:val="1"/>
        </w:rPr>
        <w:t xml:space="preserve"> </w:t>
      </w:r>
      <w:r>
        <w:rPr>
          <w:rFonts w:ascii="Arial" w:hAnsi="Arial"/>
          <w:b/>
        </w:rPr>
        <w:t>de</w:t>
      </w:r>
      <w:r>
        <w:rPr>
          <w:rFonts w:ascii="Arial" w:hAnsi="Arial"/>
          <w:b/>
          <w:spacing w:val="4"/>
        </w:rPr>
        <w:t xml:space="preserve"> </w:t>
      </w:r>
      <w:r>
        <w:rPr>
          <w:rFonts w:ascii="Arial" w:hAnsi="Arial"/>
          <w:b/>
        </w:rPr>
        <w:t>mortalidade</w:t>
      </w:r>
      <w:r>
        <w:rPr>
          <w:rFonts w:ascii="Arial" w:hAnsi="Arial"/>
          <w:b/>
          <w:spacing w:val="8"/>
        </w:rPr>
        <w:t xml:space="preserve"> </w:t>
      </w:r>
      <w:r>
        <w:rPr>
          <w:rFonts w:ascii="Arial" w:hAnsi="Arial"/>
          <w:b/>
        </w:rPr>
        <w:t>de</w:t>
      </w:r>
      <w:r>
        <w:rPr>
          <w:rFonts w:ascii="Arial" w:hAnsi="Arial"/>
          <w:b/>
          <w:spacing w:val="4"/>
        </w:rPr>
        <w:t xml:space="preserve"> </w:t>
      </w:r>
      <w:r>
        <w:rPr>
          <w:rFonts w:ascii="Arial" w:hAnsi="Arial"/>
          <w:b/>
        </w:rPr>
        <w:t>inválidos:</w:t>
      </w:r>
      <w:r>
        <w:rPr>
          <w:rFonts w:ascii="Arial" w:hAnsi="Arial"/>
          <w:b/>
          <w:spacing w:val="6"/>
        </w:rPr>
        <w:t xml:space="preserve"> </w:t>
      </w:r>
      <w:r>
        <w:rPr>
          <w:rFonts w:ascii="Segoe UI Symbol" w:hAnsi="Segoe UI Symbol"/>
        </w:rPr>
        <w:t>AT-49</w:t>
      </w:r>
      <w:r>
        <w:rPr>
          <w:rFonts w:ascii="Segoe UI Symbol" w:hAnsi="Segoe UI Symbol"/>
          <w:spacing w:val="5"/>
        </w:rPr>
        <w:t xml:space="preserve"> </w:t>
      </w:r>
      <w:r>
        <w:rPr>
          <w:rFonts w:ascii="Segoe UI Symbol" w:hAnsi="Segoe UI Symbol"/>
        </w:rPr>
        <w:t>(Segregada)</w:t>
      </w:r>
      <w:r>
        <w:rPr>
          <w:rFonts w:ascii="Segoe UI Symbol" w:hAnsi="Segoe UI Symbol"/>
          <w:spacing w:val="9"/>
        </w:rPr>
        <w:t xml:space="preserve"> </w:t>
      </w:r>
      <w:r>
        <w:rPr>
          <w:rFonts w:ascii="Segoe UI Symbol" w:hAnsi="Segoe UI Symbol"/>
        </w:rPr>
        <w:t>Agravada</w:t>
      </w:r>
      <w:r>
        <w:rPr>
          <w:rFonts w:ascii="Segoe UI Symbol" w:hAnsi="Segoe UI Symbol"/>
          <w:spacing w:val="5"/>
        </w:rPr>
        <w:t xml:space="preserve"> </w:t>
      </w:r>
      <w:r>
        <w:rPr>
          <w:rFonts w:ascii="Segoe UI Symbol" w:hAnsi="Segoe UI Symbol"/>
        </w:rPr>
        <w:t>em</w:t>
      </w:r>
      <w:r>
        <w:rPr>
          <w:rFonts w:ascii="Segoe UI Symbol" w:hAnsi="Segoe UI Symbol"/>
          <w:spacing w:val="8"/>
        </w:rPr>
        <w:t xml:space="preserve"> </w:t>
      </w:r>
      <w:r>
        <w:rPr>
          <w:rFonts w:ascii="Segoe UI Symbol" w:hAnsi="Segoe UI Symbol"/>
          <w:spacing w:val="-4"/>
        </w:rPr>
        <w:t>15%;</w:t>
      </w:r>
    </w:p>
    <w:p w14:paraId="58EBDDBD" w14:textId="77777777" w:rsidR="002C6574" w:rsidRDefault="00000000">
      <w:pPr>
        <w:pStyle w:val="PargrafodaLista"/>
        <w:numPr>
          <w:ilvl w:val="1"/>
          <w:numId w:val="23"/>
        </w:numPr>
        <w:tabs>
          <w:tab w:val="left" w:pos="419"/>
        </w:tabs>
        <w:spacing w:before="89" w:line="237" w:lineRule="auto"/>
        <w:ind w:left="143" w:right="706" w:firstLine="0"/>
        <w:jc w:val="both"/>
        <w:rPr>
          <w:rFonts w:ascii="Segoe UI Symbol" w:hAnsi="Segoe UI Symbol"/>
        </w:rPr>
      </w:pPr>
      <w:r>
        <w:rPr>
          <w:rFonts w:ascii="Arial" w:hAnsi="Arial"/>
          <w:b/>
        </w:rPr>
        <w:t xml:space="preserve">Tábua de serviço - </w:t>
      </w:r>
      <w:r>
        <w:rPr>
          <w:rFonts w:ascii="Segoe UI Symbol" w:hAnsi="Segoe UI Symbol"/>
        </w:rPr>
        <w:t>Combinação das tábuas de mortalidade geral e de mortalidade de invalidez, utilizando-se o Método dos Multidecrementos.</w:t>
      </w:r>
    </w:p>
    <w:p w14:paraId="6BA69232" w14:textId="77777777" w:rsidR="002C6574" w:rsidRDefault="00000000">
      <w:pPr>
        <w:numPr>
          <w:ilvl w:val="0"/>
          <w:numId w:val="23"/>
        </w:numPr>
        <w:tabs>
          <w:tab w:val="left" w:pos="401"/>
        </w:tabs>
        <w:spacing w:before="33"/>
        <w:ind w:left="401" w:hanging="258"/>
        <w:rPr>
          <w:rFonts w:ascii="Arial" w:hAnsi="Arial"/>
          <w:b/>
        </w:rPr>
      </w:pPr>
      <w:r>
        <w:rPr>
          <w:rFonts w:ascii="Arial" w:hAnsi="Arial"/>
          <w:b/>
        </w:rPr>
        <w:t>Premissas</w:t>
      </w:r>
      <w:r>
        <w:rPr>
          <w:rFonts w:ascii="Arial" w:hAnsi="Arial"/>
          <w:b/>
          <w:spacing w:val="-5"/>
        </w:rPr>
        <w:t xml:space="preserve"> </w:t>
      </w:r>
      <w:r>
        <w:rPr>
          <w:rFonts w:ascii="Arial" w:hAnsi="Arial"/>
          <w:b/>
          <w:spacing w:val="-2"/>
        </w:rPr>
        <w:t>Econômicas:</w:t>
      </w:r>
    </w:p>
    <w:p w14:paraId="70436FA3" w14:textId="77777777" w:rsidR="002C6574" w:rsidRDefault="00000000">
      <w:pPr>
        <w:pStyle w:val="PargrafodaLista"/>
        <w:numPr>
          <w:ilvl w:val="1"/>
          <w:numId w:val="23"/>
        </w:numPr>
        <w:tabs>
          <w:tab w:val="left" w:pos="399"/>
        </w:tabs>
        <w:spacing w:before="220"/>
        <w:ind w:left="143" w:right="704" w:firstLine="0"/>
        <w:jc w:val="both"/>
        <w:rPr>
          <w:rFonts w:ascii="Segoe UI Symbol" w:hAnsi="Segoe UI Symbol"/>
        </w:rPr>
      </w:pPr>
      <w:r>
        <w:rPr>
          <w:rFonts w:ascii="Arial" w:hAnsi="Arial"/>
          <w:b/>
          <w:spacing w:val="-2"/>
          <w:w w:val="105"/>
        </w:rPr>
        <w:t>Taxa</w:t>
      </w:r>
      <w:r>
        <w:rPr>
          <w:rFonts w:ascii="Arial" w:hAnsi="Arial"/>
          <w:b/>
          <w:spacing w:val="-11"/>
          <w:w w:val="105"/>
        </w:rPr>
        <w:t xml:space="preserve"> </w:t>
      </w:r>
      <w:r>
        <w:rPr>
          <w:rFonts w:ascii="Arial" w:hAnsi="Arial"/>
          <w:b/>
          <w:spacing w:val="-2"/>
          <w:w w:val="105"/>
        </w:rPr>
        <w:t>real</w:t>
      </w:r>
      <w:r>
        <w:rPr>
          <w:rFonts w:ascii="Arial" w:hAnsi="Arial"/>
          <w:b/>
          <w:spacing w:val="-7"/>
          <w:w w:val="105"/>
        </w:rPr>
        <w:t xml:space="preserve"> </w:t>
      </w:r>
      <w:r>
        <w:rPr>
          <w:rFonts w:ascii="Arial" w:hAnsi="Arial"/>
          <w:b/>
          <w:spacing w:val="-2"/>
          <w:w w:val="105"/>
        </w:rPr>
        <w:t>de</w:t>
      </w:r>
      <w:r>
        <w:rPr>
          <w:rFonts w:ascii="Arial" w:hAnsi="Arial"/>
          <w:b/>
          <w:spacing w:val="-11"/>
          <w:w w:val="105"/>
        </w:rPr>
        <w:t xml:space="preserve"> </w:t>
      </w:r>
      <w:r>
        <w:rPr>
          <w:rFonts w:ascii="Arial" w:hAnsi="Arial"/>
          <w:b/>
          <w:spacing w:val="-2"/>
          <w:w w:val="105"/>
        </w:rPr>
        <w:t>desconto</w:t>
      </w:r>
      <w:r>
        <w:rPr>
          <w:rFonts w:ascii="Arial" w:hAnsi="Arial"/>
          <w:b/>
          <w:spacing w:val="-10"/>
          <w:w w:val="105"/>
        </w:rPr>
        <w:t xml:space="preserve"> </w:t>
      </w:r>
      <w:r>
        <w:rPr>
          <w:rFonts w:ascii="Arial" w:hAnsi="Arial"/>
          <w:b/>
          <w:spacing w:val="-2"/>
          <w:w w:val="105"/>
        </w:rPr>
        <w:t>atuarial</w:t>
      </w:r>
      <w:r>
        <w:rPr>
          <w:rFonts w:ascii="Arial" w:hAnsi="Arial"/>
          <w:b/>
          <w:spacing w:val="-7"/>
          <w:w w:val="105"/>
        </w:rPr>
        <w:t xml:space="preserve"> </w:t>
      </w:r>
      <w:r>
        <w:rPr>
          <w:rFonts w:ascii="Arial" w:hAnsi="Arial"/>
          <w:b/>
          <w:spacing w:val="-2"/>
          <w:w w:val="105"/>
        </w:rPr>
        <w:t>de</w:t>
      </w:r>
      <w:r>
        <w:rPr>
          <w:rFonts w:ascii="Arial" w:hAnsi="Arial"/>
          <w:b/>
          <w:spacing w:val="-12"/>
          <w:w w:val="105"/>
        </w:rPr>
        <w:t xml:space="preserve"> </w:t>
      </w:r>
      <w:r>
        <w:rPr>
          <w:rFonts w:ascii="Arial" w:hAnsi="Arial"/>
          <w:b/>
          <w:spacing w:val="-2"/>
          <w:w w:val="105"/>
        </w:rPr>
        <w:t>longo</w:t>
      </w:r>
      <w:r>
        <w:rPr>
          <w:rFonts w:ascii="Arial" w:hAnsi="Arial"/>
          <w:b/>
          <w:spacing w:val="-11"/>
          <w:w w:val="105"/>
        </w:rPr>
        <w:t xml:space="preserve"> </w:t>
      </w:r>
      <w:r>
        <w:rPr>
          <w:rFonts w:ascii="Arial" w:hAnsi="Arial"/>
          <w:b/>
          <w:spacing w:val="-2"/>
          <w:w w:val="105"/>
        </w:rPr>
        <w:t>prazo:</w:t>
      </w:r>
      <w:r>
        <w:rPr>
          <w:rFonts w:ascii="Arial" w:hAnsi="Arial"/>
          <w:b/>
          <w:spacing w:val="-8"/>
          <w:w w:val="105"/>
        </w:rPr>
        <w:t xml:space="preserve"> </w:t>
      </w:r>
      <w:r>
        <w:rPr>
          <w:rFonts w:ascii="Segoe UI Symbol" w:hAnsi="Segoe UI Symbol"/>
          <w:spacing w:val="-2"/>
          <w:w w:val="105"/>
        </w:rPr>
        <w:t>7,50%,</w:t>
      </w:r>
      <w:r>
        <w:rPr>
          <w:rFonts w:ascii="Segoe UI Symbol" w:hAnsi="Segoe UI Symbol"/>
          <w:spacing w:val="-9"/>
          <w:w w:val="105"/>
        </w:rPr>
        <w:t xml:space="preserve"> </w:t>
      </w:r>
      <w:r>
        <w:rPr>
          <w:rFonts w:ascii="Segoe UI Symbol" w:hAnsi="Segoe UI Symbol"/>
          <w:spacing w:val="-2"/>
          <w:w w:val="105"/>
        </w:rPr>
        <w:t>obtida</w:t>
      </w:r>
      <w:r>
        <w:rPr>
          <w:rFonts w:ascii="Segoe UI Symbol" w:hAnsi="Segoe UI Symbol"/>
          <w:spacing w:val="-9"/>
          <w:w w:val="105"/>
        </w:rPr>
        <w:t xml:space="preserve"> </w:t>
      </w:r>
      <w:r>
        <w:rPr>
          <w:rFonts w:ascii="Segoe UI Symbol" w:hAnsi="Segoe UI Symbol"/>
          <w:spacing w:val="-2"/>
          <w:w w:val="105"/>
        </w:rPr>
        <w:t>a</w:t>
      </w:r>
      <w:r>
        <w:rPr>
          <w:rFonts w:ascii="Segoe UI Symbol" w:hAnsi="Segoe UI Symbol"/>
          <w:spacing w:val="-10"/>
          <w:w w:val="105"/>
        </w:rPr>
        <w:t xml:space="preserve"> </w:t>
      </w:r>
      <w:r>
        <w:rPr>
          <w:rFonts w:ascii="Segoe UI Symbol" w:hAnsi="Segoe UI Symbol"/>
          <w:spacing w:val="-2"/>
          <w:w w:val="105"/>
        </w:rPr>
        <w:t>partir</w:t>
      </w:r>
      <w:r>
        <w:rPr>
          <w:rFonts w:ascii="Segoe UI Symbol" w:hAnsi="Segoe UI Symbol"/>
          <w:spacing w:val="-7"/>
          <w:w w:val="105"/>
        </w:rPr>
        <w:t xml:space="preserve"> </w:t>
      </w:r>
      <w:r>
        <w:rPr>
          <w:rFonts w:ascii="Segoe UI Symbol" w:hAnsi="Segoe UI Symbol"/>
          <w:spacing w:val="-2"/>
          <w:w w:val="105"/>
        </w:rPr>
        <w:t>da</w:t>
      </w:r>
      <w:r>
        <w:rPr>
          <w:rFonts w:ascii="Segoe UI Symbol" w:hAnsi="Segoe UI Symbol"/>
          <w:spacing w:val="-10"/>
          <w:w w:val="105"/>
        </w:rPr>
        <w:t xml:space="preserve"> </w:t>
      </w:r>
      <w:r>
        <w:rPr>
          <w:rFonts w:ascii="Segoe UI Symbol" w:hAnsi="Segoe UI Symbol"/>
          <w:spacing w:val="-2"/>
          <w:w w:val="105"/>
        </w:rPr>
        <w:t>curva</w:t>
      </w:r>
      <w:r>
        <w:rPr>
          <w:rFonts w:ascii="Segoe UI Symbol" w:hAnsi="Segoe UI Symbol"/>
          <w:spacing w:val="-8"/>
          <w:w w:val="105"/>
        </w:rPr>
        <w:t xml:space="preserve"> </w:t>
      </w:r>
      <w:r>
        <w:rPr>
          <w:rFonts w:ascii="Segoe UI Symbol" w:hAnsi="Segoe UI Symbol"/>
          <w:spacing w:val="-2"/>
          <w:w w:val="105"/>
        </w:rPr>
        <w:t>de</w:t>
      </w:r>
      <w:r>
        <w:rPr>
          <w:rFonts w:ascii="Segoe UI Symbol" w:hAnsi="Segoe UI Symbol"/>
          <w:spacing w:val="-11"/>
          <w:w w:val="105"/>
        </w:rPr>
        <w:t xml:space="preserve"> </w:t>
      </w:r>
      <w:r>
        <w:rPr>
          <w:rFonts w:ascii="Segoe UI Symbol" w:hAnsi="Segoe UI Symbol"/>
          <w:spacing w:val="-2"/>
          <w:w w:val="105"/>
        </w:rPr>
        <w:t>juros</w:t>
      </w:r>
      <w:r>
        <w:rPr>
          <w:rFonts w:ascii="Segoe UI Symbol" w:hAnsi="Segoe UI Symbol"/>
          <w:spacing w:val="-10"/>
          <w:w w:val="105"/>
        </w:rPr>
        <w:t xml:space="preserve"> </w:t>
      </w:r>
      <w:r>
        <w:rPr>
          <w:rFonts w:ascii="Segoe UI Symbol" w:hAnsi="Segoe UI Symbol"/>
          <w:spacing w:val="-2"/>
          <w:w w:val="105"/>
        </w:rPr>
        <w:t xml:space="preserve">(ETTJ) </w:t>
      </w:r>
      <w:r>
        <w:rPr>
          <w:rFonts w:ascii="Segoe UI Symbol" w:hAnsi="Segoe UI Symbol"/>
        </w:rPr>
        <w:t>da ANBIMA, fechamento de 30 de dezembro de 2025, de prazo compatível com o prazo de duração do passivo</w:t>
      </w:r>
      <w:r>
        <w:rPr>
          <w:rFonts w:ascii="Segoe UI Symbol" w:hAnsi="Segoe UI Symbol"/>
          <w:spacing w:val="-3"/>
        </w:rPr>
        <w:t xml:space="preserve"> </w:t>
      </w:r>
      <w:r>
        <w:rPr>
          <w:rFonts w:ascii="Segoe UI Symbol" w:hAnsi="Segoe UI Symbol"/>
        </w:rPr>
        <w:t>calculado</w:t>
      </w:r>
      <w:r>
        <w:rPr>
          <w:rFonts w:ascii="Segoe UI Symbol" w:hAnsi="Segoe UI Symbol"/>
          <w:spacing w:val="-1"/>
        </w:rPr>
        <w:t xml:space="preserve"> </w:t>
      </w:r>
      <w:r>
        <w:rPr>
          <w:rFonts w:ascii="Segoe UI Symbol" w:hAnsi="Segoe UI Symbol"/>
        </w:rPr>
        <w:t>pelo atuário</w:t>
      </w:r>
      <w:r>
        <w:rPr>
          <w:rFonts w:ascii="Segoe UI Symbol" w:hAnsi="Segoe UI Symbol"/>
          <w:spacing w:val="-3"/>
        </w:rPr>
        <w:t xml:space="preserve"> </w:t>
      </w:r>
      <w:r>
        <w:rPr>
          <w:rFonts w:ascii="Segoe UI Symbol" w:hAnsi="Segoe UI Symbol"/>
        </w:rPr>
        <w:t>responsável no</w:t>
      </w:r>
      <w:r>
        <w:rPr>
          <w:rFonts w:ascii="Segoe UI Symbol" w:hAnsi="Segoe UI Symbol"/>
          <w:spacing w:val="-1"/>
        </w:rPr>
        <w:t xml:space="preserve"> </w:t>
      </w:r>
      <w:r>
        <w:rPr>
          <w:rFonts w:ascii="Segoe UI Symbol" w:hAnsi="Segoe UI Symbol"/>
        </w:rPr>
        <w:t>plano</w:t>
      </w:r>
      <w:r>
        <w:rPr>
          <w:rFonts w:ascii="Segoe UI Symbol" w:hAnsi="Segoe UI Symbol"/>
          <w:spacing w:val="-1"/>
        </w:rPr>
        <w:t xml:space="preserve"> </w:t>
      </w:r>
      <w:r>
        <w:rPr>
          <w:rFonts w:ascii="Segoe UI Symbol" w:hAnsi="Segoe UI Symbol"/>
        </w:rPr>
        <w:t>de previdência</w:t>
      </w:r>
      <w:r>
        <w:rPr>
          <w:rFonts w:ascii="Segoe UI Symbol" w:hAnsi="Segoe UI Symbol"/>
          <w:spacing w:val="-1"/>
        </w:rPr>
        <w:t xml:space="preserve"> </w:t>
      </w:r>
      <w:r>
        <w:rPr>
          <w:rFonts w:ascii="Segoe UI Symbol" w:hAnsi="Segoe UI Symbol"/>
        </w:rPr>
        <w:t>em 31</w:t>
      </w:r>
      <w:r>
        <w:rPr>
          <w:rFonts w:ascii="Segoe UI Symbol" w:hAnsi="Segoe UI Symbol"/>
          <w:spacing w:val="-1"/>
        </w:rPr>
        <w:t xml:space="preserve"> </w:t>
      </w:r>
      <w:r>
        <w:rPr>
          <w:rFonts w:ascii="Segoe UI Symbol" w:hAnsi="Segoe UI Symbol"/>
        </w:rPr>
        <w:t>de dezembro de</w:t>
      </w:r>
      <w:r>
        <w:rPr>
          <w:rFonts w:ascii="Segoe UI Symbol" w:hAnsi="Segoe UI Symbol"/>
          <w:spacing w:val="-1"/>
        </w:rPr>
        <w:t xml:space="preserve"> </w:t>
      </w:r>
      <w:r>
        <w:rPr>
          <w:rFonts w:ascii="Segoe UI Symbol" w:hAnsi="Segoe UI Symbol"/>
        </w:rPr>
        <w:t xml:space="preserve">2024, </w:t>
      </w:r>
      <w:r>
        <w:rPr>
          <w:rFonts w:ascii="Segoe UI Symbol" w:hAnsi="Segoe UI Symbol"/>
          <w:w w:val="105"/>
        </w:rPr>
        <w:t>de 7,74 anos;</w:t>
      </w:r>
    </w:p>
    <w:p w14:paraId="661EBA92" w14:textId="77777777" w:rsidR="002C6574" w:rsidRDefault="002C6574">
      <w:pPr>
        <w:pStyle w:val="Corpodetexto"/>
        <w:spacing w:before="22"/>
      </w:pPr>
    </w:p>
    <w:p w14:paraId="43E864B5" w14:textId="77777777" w:rsidR="002C6574" w:rsidRDefault="00000000">
      <w:pPr>
        <w:pStyle w:val="PargrafodaLista"/>
        <w:numPr>
          <w:ilvl w:val="1"/>
          <w:numId w:val="23"/>
        </w:numPr>
        <w:tabs>
          <w:tab w:val="left" w:pos="410"/>
        </w:tabs>
        <w:spacing w:line="242" w:lineRule="auto"/>
        <w:ind w:left="143" w:right="703" w:firstLine="0"/>
        <w:jc w:val="both"/>
        <w:rPr>
          <w:rFonts w:ascii="Segoe UI Symbol" w:hAnsi="Segoe UI Symbol"/>
        </w:rPr>
      </w:pPr>
      <w:r>
        <w:rPr>
          <w:rFonts w:ascii="Arial" w:hAnsi="Arial"/>
          <w:b/>
        </w:rPr>
        <w:t>Taxa</w:t>
      </w:r>
      <w:r>
        <w:rPr>
          <w:rFonts w:ascii="Arial" w:hAnsi="Arial"/>
          <w:b/>
          <w:spacing w:val="-2"/>
        </w:rPr>
        <w:t xml:space="preserve"> </w:t>
      </w:r>
      <w:r>
        <w:rPr>
          <w:rFonts w:ascii="Arial" w:hAnsi="Arial"/>
          <w:b/>
        </w:rPr>
        <w:t>nominal</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rPr>
        <w:t>rendimento</w:t>
      </w:r>
      <w:r>
        <w:rPr>
          <w:rFonts w:ascii="Arial" w:hAnsi="Arial"/>
          <w:b/>
          <w:spacing w:val="-1"/>
        </w:rPr>
        <w:t xml:space="preserve"> </w:t>
      </w:r>
      <w:r>
        <w:rPr>
          <w:rFonts w:ascii="Arial" w:hAnsi="Arial"/>
          <w:b/>
        </w:rPr>
        <w:t>esperado</w:t>
      </w:r>
      <w:r>
        <w:rPr>
          <w:rFonts w:ascii="Arial" w:hAnsi="Arial"/>
          <w:b/>
          <w:spacing w:val="-4"/>
        </w:rPr>
        <w:t xml:space="preserve"> </w:t>
      </w:r>
      <w:r>
        <w:rPr>
          <w:rFonts w:ascii="Arial" w:hAnsi="Arial"/>
          <w:b/>
        </w:rPr>
        <w:t>para</w:t>
      </w:r>
      <w:r>
        <w:rPr>
          <w:rFonts w:ascii="Arial" w:hAnsi="Arial"/>
          <w:b/>
          <w:spacing w:val="-3"/>
        </w:rPr>
        <w:t xml:space="preserve"> </w:t>
      </w:r>
      <w:r>
        <w:rPr>
          <w:rFonts w:ascii="Arial" w:hAnsi="Arial"/>
          <w:b/>
        </w:rPr>
        <w:t>os</w:t>
      </w:r>
      <w:r>
        <w:rPr>
          <w:rFonts w:ascii="Arial" w:hAnsi="Arial"/>
          <w:b/>
          <w:spacing w:val="-2"/>
        </w:rPr>
        <w:t xml:space="preserve"> </w:t>
      </w:r>
      <w:r>
        <w:rPr>
          <w:rFonts w:ascii="Arial" w:hAnsi="Arial"/>
          <w:b/>
        </w:rPr>
        <w:t>ativos</w:t>
      </w:r>
      <w:r>
        <w:rPr>
          <w:rFonts w:ascii="Arial" w:hAnsi="Arial"/>
          <w:b/>
          <w:spacing w:val="-1"/>
        </w:rPr>
        <w:t xml:space="preserve"> </w:t>
      </w:r>
      <w:r>
        <w:rPr>
          <w:rFonts w:ascii="Arial" w:hAnsi="Arial"/>
          <w:b/>
        </w:rPr>
        <w:t>do</w:t>
      </w:r>
      <w:r>
        <w:rPr>
          <w:rFonts w:ascii="Arial" w:hAnsi="Arial"/>
          <w:b/>
          <w:spacing w:val="-4"/>
        </w:rPr>
        <w:t xml:space="preserve"> </w:t>
      </w:r>
      <w:r>
        <w:rPr>
          <w:rFonts w:ascii="Arial" w:hAnsi="Arial"/>
          <w:b/>
        </w:rPr>
        <w:t>plano</w:t>
      </w:r>
      <w:r>
        <w:rPr>
          <w:rFonts w:ascii="Arial" w:hAnsi="Arial"/>
          <w:b/>
          <w:spacing w:val="-4"/>
        </w:rPr>
        <w:t xml:space="preserve"> </w:t>
      </w:r>
      <w:r>
        <w:rPr>
          <w:rFonts w:ascii="Arial" w:hAnsi="Arial"/>
          <w:b/>
        </w:rPr>
        <w:t>e para o</w:t>
      </w:r>
      <w:r>
        <w:rPr>
          <w:rFonts w:ascii="Arial" w:hAnsi="Arial"/>
          <w:b/>
          <w:spacing w:val="-3"/>
        </w:rPr>
        <w:t xml:space="preserve"> </w:t>
      </w:r>
      <w:r>
        <w:rPr>
          <w:rFonts w:ascii="Arial" w:hAnsi="Arial"/>
          <w:b/>
        </w:rPr>
        <w:t>custo</w:t>
      </w:r>
      <w:r>
        <w:rPr>
          <w:rFonts w:ascii="Arial" w:hAnsi="Arial"/>
          <w:b/>
          <w:spacing w:val="-4"/>
        </w:rPr>
        <w:t xml:space="preserve"> </w:t>
      </w:r>
      <w:r>
        <w:rPr>
          <w:rFonts w:ascii="Arial" w:hAnsi="Arial"/>
          <w:b/>
        </w:rPr>
        <w:t>dos</w:t>
      </w:r>
      <w:r>
        <w:rPr>
          <w:rFonts w:ascii="Arial" w:hAnsi="Arial"/>
          <w:b/>
          <w:spacing w:val="-7"/>
        </w:rPr>
        <w:t xml:space="preserve"> </w:t>
      </w:r>
      <w:r>
        <w:rPr>
          <w:rFonts w:ascii="Arial" w:hAnsi="Arial"/>
          <w:b/>
        </w:rPr>
        <w:t>juros</w:t>
      </w:r>
      <w:r>
        <w:rPr>
          <w:rFonts w:ascii="Arial" w:hAnsi="Arial"/>
          <w:b/>
          <w:spacing w:val="-3"/>
        </w:rPr>
        <w:t xml:space="preserve"> </w:t>
      </w:r>
      <w:r>
        <w:rPr>
          <w:rFonts w:ascii="Arial" w:hAnsi="Arial"/>
          <w:b/>
        </w:rPr>
        <w:t xml:space="preserve">em 2024: </w:t>
      </w:r>
      <w:r>
        <w:rPr>
          <w:rFonts w:ascii="Segoe UI Symbol" w:hAnsi="Segoe UI Symbol"/>
        </w:rPr>
        <w:t>12,90% composta pela estimativa de inflação (4,90%) mais juros reais de 7,63% ao ano. Essa taxa foi definida na avaliação de 2024, como expectativa para 2025, e foi usada para o cálculo das perdas e ganhos de passivo e ativo no referido exercício;</w:t>
      </w:r>
    </w:p>
    <w:p w14:paraId="456C3C49" w14:textId="77777777" w:rsidR="002C6574" w:rsidRDefault="00000000">
      <w:pPr>
        <w:pStyle w:val="PargrafodaLista"/>
        <w:numPr>
          <w:ilvl w:val="1"/>
          <w:numId w:val="23"/>
        </w:numPr>
        <w:tabs>
          <w:tab w:val="left" w:pos="398"/>
        </w:tabs>
        <w:spacing w:before="283"/>
        <w:ind w:left="398" w:hanging="255"/>
        <w:rPr>
          <w:rFonts w:ascii="Segoe UI Symbol"/>
        </w:rPr>
      </w:pPr>
      <w:r>
        <w:rPr>
          <w:rFonts w:ascii="Arial"/>
          <w:b/>
        </w:rPr>
        <w:t>Taxa</w:t>
      </w:r>
      <w:r>
        <w:rPr>
          <w:rFonts w:ascii="Arial"/>
          <w:b/>
          <w:spacing w:val="-6"/>
        </w:rPr>
        <w:t xml:space="preserve"> </w:t>
      </w:r>
      <w:r>
        <w:rPr>
          <w:rFonts w:ascii="Arial"/>
          <w:b/>
        </w:rPr>
        <w:t>de</w:t>
      </w:r>
      <w:r>
        <w:rPr>
          <w:rFonts w:ascii="Arial"/>
          <w:b/>
          <w:spacing w:val="-4"/>
        </w:rPr>
        <w:t xml:space="preserve"> </w:t>
      </w:r>
      <w:r>
        <w:rPr>
          <w:rFonts w:ascii="Arial"/>
          <w:b/>
        </w:rPr>
        <w:t xml:space="preserve">Rotatividade: </w:t>
      </w:r>
      <w:r>
        <w:rPr>
          <w:rFonts w:ascii="Segoe UI Symbol"/>
          <w:spacing w:val="-4"/>
        </w:rPr>
        <w:t>0,00;</w:t>
      </w:r>
    </w:p>
    <w:p w14:paraId="64518FC3" w14:textId="77777777" w:rsidR="002C6574" w:rsidRDefault="00000000">
      <w:pPr>
        <w:pStyle w:val="PargrafodaLista"/>
        <w:numPr>
          <w:ilvl w:val="1"/>
          <w:numId w:val="23"/>
        </w:numPr>
        <w:tabs>
          <w:tab w:val="left" w:pos="410"/>
        </w:tabs>
        <w:spacing w:before="87"/>
        <w:ind w:left="410" w:hanging="267"/>
        <w:rPr>
          <w:rFonts w:ascii="Segoe UI Symbol"/>
        </w:rPr>
      </w:pPr>
      <w:r>
        <w:rPr>
          <w:rFonts w:ascii="Arial"/>
          <w:b/>
        </w:rPr>
        <w:t>Taxa</w:t>
      </w:r>
      <w:r>
        <w:rPr>
          <w:rFonts w:ascii="Arial"/>
          <w:b/>
          <w:spacing w:val="-3"/>
        </w:rPr>
        <w:t xml:space="preserve"> </w:t>
      </w:r>
      <w:r>
        <w:rPr>
          <w:rFonts w:ascii="Arial"/>
          <w:b/>
        </w:rPr>
        <w:t>real</w:t>
      </w:r>
      <w:r>
        <w:rPr>
          <w:rFonts w:ascii="Arial"/>
          <w:b/>
          <w:spacing w:val="-4"/>
        </w:rPr>
        <w:t xml:space="preserve"> </w:t>
      </w:r>
      <w:r>
        <w:rPr>
          <w:rFonts w:ascii="Arial"/>
          <w:b/>
        </w:rPr>
        <w:t>de</w:t>
      </w:r>
      <w:r>
        <w:rPr>
          <w:rFonts w:ascii="Arial"/>
          <w:b/>
          <w:spacing w:val="-5"/>
        </w:rPr>
        <w:t xml:space="preserve"> </w:t>
      </w:r>
      <w:r>
        <w:rPr>
          <w:rFonts w:ascii="Arial"/>
          <w:b/>
        </w:rPr>
        <w:t>crescimento</w:t>
      </w:r>
      <w:r>
        <w:rPr>
          <w:rFonts w:ascii="Arial"/>
          <w:b/>
          <w:spacing w:val="-2"/>
        </w:rPr>
        <w:t xml:space="preserve"> </w:t>
      </w:r>
      <w:r>
        <w:rPr>
          <w:rFonts w:ascii="Arial"/>
          <w:b/>
        </w:rPr>
        <w:t>salarial:</w:t>
      </w:r>
      <w:r>
        <w:rPr>
          <w:rFonts w:ascii="Arial"/>
          <w:b/>
          <w:spacing w:val="-3"/>
        </w:rPr>
        <w:t xml:space="preserve"> </w:t>
      </w:r>
      <w:r>
        <w:rPr>
          <w:rFonts w:ascii="Segoe UI Symbol"/>
          <w:spacing w:val="-2"/>
        </w:rPr>
        <w:t>0,00%;</w:t>
      </w:r>
    </w:p>
    <w:p w14:paraId="2805247A" w14:textId="77777777" w:rsidR="002C6574" w:rsidRDefault="00000000">
      <w:pPr>
        <w:pStyle w:val="PargrafodaLista"/>
        <w:numPr>
          <w:ilvl w:val="1"/>
          <w:numId w:val="23"/>
        </w:numPr>
        <w:tabs>
          <w:tab w:val="left" w:pos="398"/>
        </w:tabs>
        <w:spacing w:before="87"/>
        <w:ind w:left="398" w:hanging="255"/>
        <w:rPr>
          <w:rFonts w:ascii="Segoe UI Symbol" w:hAnsi="Segoe UI Symbol"/>
        </w:rPr>
      </w:pPr>
      <w:r>
        <w:rPr>
          <w:rFonts w:ascii="Arial" w:hAnsi="Arial"/>
          <w:b/>
        </w:rPr>
        <w:t>Taxa</w:t>
      </w:r>
      <w:r>
        <w:rPr>
          <w:rFonts w:ascii="Arial" w:hAnsi="Arial"/>
          <w:b/>
          <w:spacing w:val="-6"/>
        </w:rPr>
        <w:t xml:space="preserve"> </w:t>
      </w:r>
      <w:r>
        <w:rPr>
          <w:rFonts w:ascii="Arial" w:hAnsi="Arial"/>
          <w:b/>
        </w:rPr>
        <w:t>real</w:t>
      </w:r>
      <w:r>
        <w:rPr>
          <w:rFonts w:ascii="Arial" w:hAnsi="Arial"/>
          <w:b/>
          <w:spacing w:val="-1"/>
        </w:rPr>
        <w:t xml:space="preserve"> </w:t>
      </w:r>
      <w:r>
        <w:rPr>
          <w:rFonts w:ascii="Arial" w:hAnsi="Arial"/>
          <w:b/>
        </w:rPr>
        <w:t>de</w:t>
      </w:r>
      <w:r>
        <w:rPr>
          <w:rFonts w:ascii="Arial" w:hAnsi="Arial"/>
          <w:b/>
          <w:spacing w:val="-3"/>
        </w:rPr>
        <w:t xml:space="preserve"> </w:t>
      </w:r>
      <w:r>
        <w:rPr>
          <w:rFonts w:ascii="Arial" w:hAnsi="Arial"/>
          <w:b/>
        </w:rPr>
        <w:t>reajuste</w:t>
      </w:r>
      <w:r>
        <w:rPr>
          <w:rFonts w:ascii="Arial" w:hAnsi="Arial"/>
          <w:b/>
          <w:spacing w:val="-3"/>
        </w:rPr>
        <w:t xml:space="preserve"> </w:t>
      </w:r>
      <w:r>
        <w:rPr>
          <w:rFonts w:ascii="Arial" w:hAnsi="Arial"/>
          <w:b/>
        </w:rPr>
        <w:t>de</w:t>
      </w:r>
      <w:r>
        <w:rPr>
          <w:rFonts w:ascii="Arial" w:hAnsi="Arial"/>
          <w:b/>
          <w:spacing w:val="-4"/>
        </w:rPr>
        <w:t xml:space="preserve"> </w:t>
      </w:r>
      <w:r>
        <w:rPr>
          <w:rFonts w:ascii="Arial" w:hAnsi="Arial"/>
          <w:b/>
        </w:rPr>
        <w:t>benefícios:</w:t>
      </w:r>
      <w:r>
        <w:rPr>
          <w:rFonts w:ascii="Arial" w:hAnsi="Arial"/>
          <w:b/>
          <w:spacing w:val="-1"/>
        </w:rPr>
        <w:t xml:space="preserve"> </w:t>
      </w:r>
      <w:r>
        <w:rPr>
          <w:rFonts w:ascii="Segoe UI Symbol" w:hAnsi="Segoe UI Symbol"/>
          <w:spacing w:val="-2"/>
        </w:rPr>
        <w:t>0,00%;</w:t>
      </w:r>
    </w:p>
    <w:p w14:paraId="685520BA" w14:textId="77777777" w:rsidR="002C6574" w:rsidRDefault="00000000">
      <w:pPr>
        <w:pStyle w:val="PargrafodaLista"/>
        <w:numPr>
          <w:ilvl w:val="1"/>
          <w:numId w:val="23"/>
        </w:numPr>
        <w:tabs>
          <w:tab w:val="left" w:pos="350"/>
        </w:tabs>
        <w:spacing w:before="86"/>
        <w:ind w:left="350" w:hanging="207"/>
        <w:rPr>
          <w:rFonts w:ascii="Segoe UI Symbol" w:hAnsi="Segoe UI Symbol"/>
        </w:rPr>
      </w:pPr>
      <w:r>
        <w:rPr>
          <w:rFonts w:ascii="Arial" w:hAnsi="Arial"/>
          <w:b/>
        </w:rPr>
        <w:t>Taxa</w:t>
      </w:r>
      <w:r>
        <w:rPr>
          <w:rFonts w:ascii="Arial" w:hAnsi="Arial"/>
          <w:b/>
          <w:spacing w:val="-4"/>
        </w:rPr>
        <w:t xml:space="preserve"> </w:t>
      </w:r>
      <w:r>
        <w:rPr>
          <w:rFonts w:ascii="Arial" w:hAnsi="Arial"/>
          <w:b/>
        </w:rPr>
        <w:t>real</w:t>
      </w:r>
      <w:r>
        <w:rPr>
          <w:rFonts w:ascii="Arial" w:hAnsi="Arial"/>
          <w:b/>
          <w:spacing w:val="-3"/>
        </w:rPr>
        <w:t xml:space="preserve"> </w:t>
      </w:r>
      <w:r>
        <w:rPr>
          <w:rFonts w:ascii="Arial" w:hAnsi="Arial"/>
          <w:b/>
        </w:rPr>
        <w:t>de</w:t>
      </w:r>
      <w:r>
        <w:rPr>
          <w:rFonts w:ascii="Arial" w:hAnsi="Arial"/>
          <w:b/>
          <w:spacing w:val="-7"/>
        </w:rPr>
        <w:t xml:space="preserve"> </w:t>
      </w:r>
      <w:r>
        <w:rPr>
          <w:rFonts w:ascii="Arial" w:hAnsi="Arial"/>
          <w:b/>
        </w:rPr>
        <w:t>reajuste</w:t>
      </w:r>
      <w:r>
        <w:rPr>
          <w:rFonts w:ascii="Arial" w:hAnsi="Arial"/>
          <w:b/>
          <w:spacing w:val="-7"/>
        </w:rPr>
        <w:t xml:space="preserve"> </w:t>
      </w:r>
      <w:r>
        <w:rPr>
          <w:rFonts w:ascii="Arial" w:hAnsi="Arial"/>
          <w:b/>
        </w:rPr>
        <w:t>dos</w:t>
      </w:r>
      <w:r>
        <w:rPr>
          <w:rFonts w:ascii="Arial" w:hAnsi="Arial"/>
          <w:b/>
          <w:spacing w:val="-1"/>
        </w:rPr>
        <w:t xml:space="preserve"> </w:t>
      </w:r>
      <w:r>
        <w:rPr>
          <w:rFonts w:ascii="Arial" w:hAnsi="Arial"/>
          <w:b/>
        </w:rPr>
        <w:t>benefícios</w:t>
      </w:r>
      <w:r>
        <w:rPr>
          <w:rFonts w:ascii="Arial" w:hAnsi="Arial"/>
          <w:b/>
          <w:spacing w:val="-5"/>
        </w:rPr>
        <w:t xml:space="preserve"> </w:t>
      </w:r>
      <w:r>
        <w:rPr>
          <w:rFonts w:ascii="Arial" w:hAnsi="Arial"/>
          <w:b/>
        </w:rPr>
        <w:t>da</w:t>
      </w:r>
      <w:r>
        <w:rPr>
          <w:rFonts w:ascii="Arial" w:hAnsi="Arial"/>
          <w:b/>
          <w:spacing w:val="-2"/>
        </w:rPr>
        <w:t xml:space="preserve"> </w:t>
      </w:r>
      <w:r>
        <w:rPr>
          <w:rFonts w:ascii="Arial" w:hAnsi="Arial"/>
          <w:b/>
        </w:rPr>
        <w:t>Previdência</w:t>
      </w:r>
      <w:r>
        <w:rPr>
          <w:rFonts w:ascii="Arial" w:hAnsi="Arial"/>
          <w:b/>
          <w:spacing w:val="-7"/>
        </w:rPr>
        <w:t xml:space="preserve"> </w:t>
      </w:r>
      <w:r>
        <w:rPr>
          <w:rFonts w:ascii="Arial" w:hAnsi="Arial"/>
          <w:b/>
        </w:rPr>
        <w:t>Social:</w:t>
      </w:r>
      <w:r>
        <w:rPr>
          <w:rFonts w:ascii="Arial" w:hAnsi="Arial"/>
          <w:b/>
          <w:spacing w:val="-3"/>
        </w:rPr>
        <w:t xml:space="preserve"> </w:t>
      </w:r>
      <w:r>
        <w:rPr>
          <w:rFonts w:ascii="Segoe UI Symbol" w:hAnsi="Segoe UI Symbol"/>
          <w:spacing w:val="-2"/>
        </w:rPr>
        <w:t>0,00%;</w:t>
      </w:r>
    </w:p>
    <w:p w14:paraId="24D5798E" w14:textId="77777777" w:rsidR="002C6574" w:rsidRDefault="00000000">
      <w:pPr>
        <w:pStyle w:val="PargrafodaLista"/>
        <w:numPr>
          <w:ilvl w:val="1"/>
          <w:numId w:val="23"/>
        </w:numPr>
        <w:tabs>
          <w:tab w:val="left" w:pos="412"/>
        </w:tabs>
        <w:spacing w:before="87"/>
        <w:ind w:left="412" w:hanging="269"/>
        <w:rPr>
          <w:rFonts w:ascii="Segoe UI Symbol" w:hAnsi="Segoe UI Symbol"/>
        </w:rPr>
      </w:pPr>
      <w:r>
        <w:rPr>
          <w:rFonts w:ascii="Arial" w:hAnsi="Arial"/>
          <w:b/>
        </w:rPr>
        <w:t>Fator</w:t>
      </w:r>
      <w:r>
        <w:rPr>
          <w:rFonts w:ascii="Arial" w:hAnsi="Arial"/>
          <w:b/>
          <w:spacing w:val="-1"/>
        </w:rPr>
        <w:t xml:space="preserve"> </w:t>
      </w:r>
      <w:r>
        <w:rPr>
          <w:rFonts w:ascii="Arial" w:hAnsi="Arial"/>
          <w:b/>
        </w:rPr>
        <w:t>de</w:t>
      </w:r>
      <w:r>
        <w:rPr>
          <w:rFonts w:ascii="Arial" w:hAnsi="Arial"/>
          <w:b/>
          <w:spacing w:val="-7"/>
        </w:rPr>
        <w:t xml:space="preserve"> </w:t>
      </w:r>
      <w:r>
        <w:rPr>
          <w:rFonts w:ascii="Arial" w:hAnsi="Arial"/>
          <w:b/>
        </w:rPr>
        <w:t>Capacidade</w:t>
      </w:r>
      <w:r>
        <w:rPr>
          <w:rFonts w:ascii="Arial" w:hAnsi="Arial"/>
          <w:b/>
          <w:spacing w:val="-4"/>
        </w:rPr>
        <w:t xml:space="preserve"> </w:t>
      </w:r>
      <w:r>
        <w:rPr>
          <w:rFonts w:ascii="Arial" w:hAnsi="Arial"/>
          <w:b/>
        </w:rPr>
        <w:t>para</w:t>
      </w:r>
      <w:r>
        <w:rPr>
          <w:rFonts w:ascii="Arial" w:hAnsi="Arial"/>
          <w:b/>
          <w:spacing w:val="-3"/>
        </w:rPr>
        <w:t xml:space="preserve"> </w:t>
      </w:r>
      <w:r>
        <w:rPr>
          <w:rFonts w:ascii="Arial" w:hAnsi="Arial"/>
          <w:b/>
        </w:rPr>
        <w:t>salários:</w:t>
      </w:r>
      <w:r>
        <w:rPr>
          <w:rFonts w:ascii="Arial" w:hAnsi="Arial"/>
          <w:b/>
          <w:spacing w:val="-4"/>
        </w:rPr>
        <w:t xml:space="preserve"> </w:t>
      </w:r>
      <w:r>
        <w:rPr>
          <w:rFonts w:ascii="Segoe UI Symbol" w:hAnsi="Segoe UI Symbol"/>
          <w:spacing w:val="-4"/>
        </w:rPr>
        <w:t>98%;</w:t>
      </w:r>
    </w:p>
    <w:p w14:paraId="2CA50B56" w14:textId="77777777" w:rsidR="002C6574" w:rsidRDefault="00000000">
      <w:pPr>
        <w:pStyle w:val="PargrafodaLista"/>
        <w:numPr>
          <w:ilvl w:val="1"/>
          <w:numId w:val="23"/>
        </w:numPr>
        <w:tabs>
          <w:tab w:val="left" w:pos="412"/>
        </w:tabs>
        <w:spacing w:before="86"/>
        <w:ind w:left="412" w:hanging="269"/>
        <w:rPr>
          <w:rFonts w:ascii="Segoe UI Symbol" w:hAnsi="Segoe UI Symbol"/>
        </w:rPr>
      </w:pPr>
      <w:r>
        <w:rPr>
          <w:rFonts w:ascii="Arial" w:hAnsi="Arial"/>
          <w:b/>
        </w:rPr>
        <w:t>Fator</w:t>
      </w:r>
      <w:r>
        <w:rPr>
          <w:rFonts w:ascii="Arial" w:hAnsi="Arial"/>
          <w:b/>
          <w:spacing w:val="-2"/>
        </w:rPr>
        <w:t xml:space="preserve"> </w:t>
      </w:r>
      <w:r>
        <w:rPr>
          <w:rFonts w:ascii="Arial" w:hAnsi="Arial"/>
          <w:b/>
        </w:rPr>
        <w:t>de</w:t>
      </w:r>
      <w:r>
        <w:rPr>
          <w:rFonts w:ascii="Arial" w:hAnsi="Arial"/>
          <w:b/>
          <w:spacing w:val="-7"/>
        </w:rPr>
        <w:t xml:space="preserve"> </w:t>
      </w:r>
      <w:r>
        <w:rPr>
          <w:rFonts w:ascii="Arial" w:hAnsi="Arial"/>
          <w:b/>
        </w:rPr>
        <w:t>Capacidade</w:t>
      </w:r>
      <w:r>
        <w:rPr>
          <w:rFonts w:ascii="Arial" w:hAnsi="Arial"/>
          <w:b/>
          <w:spacing w:val="-4"/>
        </w:rPr>
        <w:t xml:space="preserve"> </w:t>
      </w:r>
      <w:r>
        <w:rPr>
          <w:rFonts w:ascii="Arial" w:hAnsi="Arial"/>
          <w:b/>
        </w:rPr>
        <w:t>para</w:t>
      </w:r>
      <w:r>
        <w:rPr>
          <w:rFonts w:ascii="Arial" w:hAnsi="Arial"/>
          <w:b/>
          <w:spacing w:val="-3"/>
        </w:rPr>
        <w:t xml:space="preserve"> </w:t>
      </w:r>
      <w:r>
        <w:rPr>
          <w:rFonts w:ascii="Arial" w:hAnsi="Arial"/>
          <w:b/>
        </w:rPr>
        <w:t>benefícios:</w:t>
      </w:r>
      <w:r>
        <w:rPr>
          <w:rFonts w:ascii="Arial" w:hAnsi="Arial"/>
          <w:b/>
          <w:spacing w:val="-4"/>
        </w:rPr>
        <w:t xml:space="preserve"> </w:t>
      </w:r>
      <w:r>
        <w:rPr>
          <w:rFonts w:ascii="Segoe UI Symbol" w:hAnsi="Segoe UI Symbol"/>
          <w:spacing w:val="-4"/>
        </w:rPr>
        <w:t>98%;</w:t>
      </w:r>
    </w:p>
    <w:p w14:paraId="52B0B869" w14:textId="77777777" w:rsidR="002C6574" w:rsidRDefault="00000000">
      <w:pPr>
        <w:pStyle w:val="PargrafodaLista"/>
        <w:numPr>
          <w:ilvl w:val="1"/>
          <w:numId w:val="23"/>
        </w:numPr>
        <w:tabs>
          <w:tab w:val="left" w:pos="383"/>
        </w:tabs>
        <w:spacing w:before="89" w:line="237" w:lineRule="auto"/>
        <w:ind w:left="143" w:right="703" w:firstLine="0"/>
        <w:jc w:val="both"/>
        <w:rPr>
          <w:rFonts w:ascii="Segoe UI Symbol" w:hAnsi="Segoe UI Symbol"/>
        </w:rPr>
      </w:pPr>
      <w:r>
        <w:rPr>
          <w:rFonts w:ascii="Arial" w:hAnsi="Arial"/>
          <w:b/>
        </w:rPr>
        <w:t xml:space="preserve">Estimativa da inflação para o período seguinte: </w:t>
      </w:r>
      <w:r>
        <w:rPr>
          <w:rFonts w:ascii="Segoe UI Symbol" w:hAnsi="Segoe UI Symbol"/>
        </w:rPr>
        <w:t>4,05%, obtida do relatório Focus/Bacen e representa a expectativa de inflação para 2026.</w:t>
      </w:r>
    </w:p>
    <w:p w14:paraId="609F69A3" w14:textId="77777777" w:rsidR="002C6574" w:rsidRDefault="00000000">
      <w:pPr>
        <w:pStyle w:val="PargrafodaLista"/>
        <w:numPr>
          <w:ilvl w:val="0"/>
          <w:numId w:val="23"/>
        </w:numPr>
        <w:tabs>
          <w:tab w:val="left" w:pos="461"/>
        </w:tabs>
        <w:spacing w:before="170"/>
        <w:ind w:left="461" w:hanging="318"/>
        <w:rPr>
          <w:rFonts w:ascii="Arial"/>
          <w:b/>
        </w:rPr>
      </w:pPr>
      <w:r>
        <w:rPr>
          <w:rFonts w:ascii="Arial"/>
          <w:b/>
        </w:rPr>
        <w:t>Outras</w:t>
      </w:r>
      <w:r>
        <w:rPr>
          <w:rFonts w:ascii="Arial"/>
          <w:b/>
          <w:spacing w:val="-3"/>
        </w:rPr>
        <w:t xml:space="preserve"> </w:t>
      </w:r>
      <w:r>
        <w:rPr>
          <w:rFonts w:ascii="Arial"/>
          <w:b/>
          <w:spacing w:val="-2"/>
        </w:rPr>
        <w:t>Premissas:</w:t>
      </w:r>
    </w:p>
    <w:p w14:paraId="5EA475B8" w14:textId="77777777" w:rsidR="002C6574" w:rsidRDefault="00000000">
      <w:pPr>
        <w:pStyle w:val="PargrafodaLista"/>
        <w:numPr>
          <w:ilvl w:val="1"/>
          <w:numId w:val="23"/>
        </w:numPr>
        <w:tabs>
          <w:tab w:val="left" w:pos="399"/>
        </w:tabs>
        <w:spacing w:before="95"/>
        <w:ind w:hanging="256"/>
        <w:rPr>
          <w:rFonts w:ascii="Segoe UI Symbol" w:hAnsi="Segoe UI Symbol"/>
        </w:rPr>
      </w:pPr>
      <w:r>
        <w:rPr>
          <w:rFonts w:ascii="Arial" w:hAnsi="Arial"/>
          <w:b/>
        </w:rPr>
        <w:t>Hipótese</w:t>
      </w:r>
      <w:r>
        <w:rPr>
          <w:rFonts w:ascii="Arial" w:hAnsi="Arial"/>
          <w:b/>
          <w:spacing w:val="-4"/>
        </w:rPr>
        <w:t xml:space="preserve"> </w:t>
      </w:r>
      <w:r>
        <w:rPr>
          <w:rFonts w:ascii="Arial" w:hAnsi="Arial"/>
          <w:b/>
        </w:rPr>
        <w:t>sobre</w:t>
      </w:r>
      <w:r>
        <w:rPr>
          <w:rFonts w:ascii="Arial" w:hAnsi="Arial"/>
          <w:b/>
          <w:spacing w:val="-5"/>
        </w:rPr>
        <w:t xml:space="preserve"> </w:t>
      </w:r>
      <w:r>
        <w:rPr>
          <w:rFonts w:ascii="Arial" w:hAnsi="Arial"/>
          <w:b/>
        </w:rPr>
        <w:t>Gerações</w:t>
      </w:r>
      <w:r>
        <w:rPr>
          <w:rFonts w:ascii="Arial" w:hAnsi="Arial"/>
          <w:b/>
          <w:spacing w:val="-3"/>
        </w:rPr>
        <w:t xml:space="preserve"> </w:t>
      </w:r>
      <w:r>
        <w:rPr>
          <w:rFonts w:ascii="Arial" w:hAnsi="Arial"/>
          <w:b/>
        </w:rPr>
        <w:t>Futuras</w:t>
      </w:r>
      <w:r>
        <w:rPr>
          <w:rFonts w:ascii="Arial" w:hAnsi="Arial"/>
          <w:b/>
          <w:spacing w:val="-6"/>
        </w:rPr>
        <w:t xml:space="preserve"> </w:t>
      </w:r>
      <w:r>
        <w:rPr>
          <w:rFonts w:ascii="Arial" w:hAnsi="Arial"/>
          <w:b/>
        </w:rPr>
        <w:t>de</w:t>
      </w:r>
      <w:r>
        <w:rPr>
          <w:rFonts w:ascii="Arial" w:hAnsi="Arial"/>
          <w:b/>
          <w:spacing w:val="-5"/>
        </w:rPr>
        <w:t xml:space="preserve"> </w:t>
      </w:r>
      <w:r>
        <w:rPr>
          <w:rFonts w:ascii="Arial" w:hAnsi="Arial"/>
          <w:b/>
        </w:rPr>
        <w:t>Novos</w:t>
      </w:r>
      <w:r>
        <w:rPr>
          <w:rFonts w:ascii="Arial" w:hAnsi="Arial"/>
          <w:b/>
          <w:spacing w:val="-4"/>
        </w:rPr>
        <w:t xml:space="preserve"> </w:t>
      </w:r>
      <w:r>
        <w:rPr>
          <w:rFonts w:ascii="Arial" w:hAnsi="Arial"/>
          <w:b/>
        </w:rPr>
        <w:t>Entrados:</w:t>
      </w:r>
      <w:r>
        <w:rPr>
          <w:rFonts w:ascii="Arial" w:hAnsi="Arial"/>
          <w:b/>
          <w:spacing w:val="-2"/>
        </w:rPr>
        <w:t xml:space="preserve"> </w:t>
      </w:r>
      <w:r>
        <w:rPr>
          <w:rFonts w:ascii="Segoe UI Symbol" w:hAnsi="Segoe UI Symbol"/>
        </w:rPr>
        <w:t>Não</w:t>
      </w:r>
      <w:r>
        <w:rPr>
          <w:rFonts w:ascii="Segoe UI Symbol" w:hAnsi="Segoe UI Symbol"/>
          <w:spacing w:val="-4"/>
        </w:rPr>
        <w:t xml:space="preserve"> </w:t>
      </w:r>
      <w:r>
        <w:rPr>
          <w:rFonts w:ascii="Segoe UI Symbol" w:hAnsi="Segoe UI Symbol"/>
          <w:spacing w:val="-2"/>
        </w:rPr>
        <w:t>usada;</w:t>
      </w:r>
    </w:p>
    <w:p w14:paraId="6644F613" w14:textId="77777777" w:rsidR="002C6574" w:rsidRDefault="00000000">
      <w:pPr>
        <w:pStyle w:val="PargrafodaLista"/>
        <w:numPr>
          <w:ilvl w:val="1"/>
          <w:numId w:val="23"/>
        </w:numPr>
        <w:tabs>
          <w:tab w:val="left" w:pos="412"/>
        </w:tabs>
        <w:spacing w:before="86"/>
        <w:ind w:left="412" w:hanging="269"/>
        <w:rPr>
          <w:rFonts w:ascii="Segoe UI Symbol" w:hAnsi="Segoe UI Symbol"/>
        </w:rPr>
      </w:pPr>
      <w:r>
        <w:rPr>
          <w:rFonts w:ascii="Arial" w:hAnsi="Arial"/>
          <w:b/>
        </w:rPr>
        <w:t>Hipótese</w:t>
      </w:r>
      <w:r>
        <w:rPr>
          <w:rFonts w:ascii="Arial" w:hAnsi="Arial"/>
          <w:b/>
          <w:spacing w:val="-3"/>
        </w:rPr>
        <w:t xml:space="preserve"> </w:t>
      </w:r>
      <w:r>
        <w:rPr>
          <w:rFonts w:ascii="Arial" w:hAnsi="Arial"/>
          <w:b/>
        </w:rPr>
        <w:t>sobre</w:t>
      </w:r>
      <w:r>
        <w:rPr>
          <w:rFonts w:ascii="Arial" w:hAnsi="Arial"/>
          <w:b/>
          <w:spacing w:val="-2"/>
        </w:rPr>
        <w:t xml:space="preserve"> </w:t>
      </w:r>
      <w:r>
        <w:rPr>
          <w:rFonts w:ascii="Arial" w:hAnsi="Arial"/>
          <w:b/>
        </w:rPr>
        <w:t>a</w:t>
      </w:r>
      <w:r>
        <w:rPr>
          <w:rFonts w:ascii="Arial" w:hAnsi="Arial"/>
          <w:b/>
          <w:spacing w:val="-3"/>
        </w:rPr>
        <w:t xml:space="preserve"> </w:t>
      </w:r>
      <w:r>
        <w:rPr>
          <w:rFonts w:ascii="Arial" w:hAnsi="Arial"/>
          <w:b/>
        </w:rPr>
        <w:t>Composição</w:t>
      </w:r>
      <w:r>
        <w:rPr>
          <w:rFonts w:ascii="Arial" w:hAnsi="Arial"/>
          <w:b/>
          <w:spacing w:val="-5"/>
        </w:rPr>
        <w:t xml:space="preserve"> </w:t>
      </w:r>
      <w:r>
        <w:rPr>
          <w:rFonts w:ascii="Arial" w:hAnsi="Arial"/>
          <w:b/>
        </w:rPr>
        <w:t>da</w:t>
      </w:r>
      <w:r>
        <w:rPr>
          <w:rFonts w:ascii="Arial" w:hAnsi="Arial"/>
          <w:b/>
          <w:spacing w:val="-4"/>
        </w:rPr>
        <w:t xml:space="preserve"> </w:t>
      </w:r>
      <w:r>
        <w:rPr>
          <w:rFonts w:ascii="Arial" w:hAnsi="Arial"/>
          <w:b/>
        </w:rPr>
        <w:t>Família</w:t>
      </w:r>
      <w:r>
        <w:rPr>
          <w:rFonts w:ascii="Arial" w:hAnsi="Arial"/>
          <w:b/>
          <w:spacing w:val="-6"/>
        </w:rPr>
        <w:t xml:space="preserve"> </w:t>
      </w:r>
      <w:r>
        <w:rPr>
          <w:rFonts w:ascii="Arial" w:hAnsi="Arial"/>
          <w:b/>
        </w:rPr>
        <w:t>de</w:t>
      </w:r>
      <w:r>
        <w:rPr>
          <w:rFonts w:ascii="Arial" w:hAnsi="Arial"/>
          <w:b/>
          <w:spacing w:val="-2"/>
        </w:rPr>
        <w:t xml:space="preserve"> </w:t>
      </w:r>
      <w:r>
        <w:rPr>
          <w:rFonts w:ascii="Arial" w:hAnsi="Arial"/>
          <w:b/>
        </w:rPr>
        <w:t>Pensionistas:</w:t>
      </w:r>
      <w:r>
        <w:rPr>
          <w:rFonts w:ascii="Arial" w:hAnsi="Arial"/>
          <w:b/>
          <w:spacing w:val="-5"/>
        </w:rPr>
        <w:t xml:space="preserve"> </w:t>
      </w:r>
      <w:r>
        <w:rPr>
          <w:rFonts w:ascii="Segoe UI Symbol" w:hAnsi="Segoe UI Symbol"/>
        </w:rPr>
        <w:t>família</w:t>
      </w:r>
      <w:r>
        <w:rPr>
          <w:rFonts w:ascii="Segoe UI Symbol" w:hAnsi="Segoe UI Symbol"/>
          <w:spacing w:val="-4"/>
        </w:rPr>
        <w:t xml:space="preserve"> </w:t>
      </w:r>
      <w:r>
        <w:rPr>
          <w:rFonts w:ascii="Segoe UI Symbol" w:hAnsi="Segoe UI Symbol"/>
          <w:spacing w:val="-2"/>
        </w:rPr>
        <w:t>real.</w:t>
      </w:r>
    </w:p>
    <w:p w14:paraId="7EA115C2" w14:textId="77777777" w:rsidR="002C6574" w:rsidRDefault="002C6574">
      <w:pPr>
        <w:pStyle w:val="Corpodetexto"/>
        <w:spacing w:before="29"/>
      </w:pPr>
    </w:p>
    <w:p w14:paraId="04CCB209" w14:textId="77777777" w:rsidR="002C6574" w:rsidRDefault="00000000">
      <w:pPr>
        <w:pStyle w:val="PargrafodaLista"/>
        <w:numPr>
          <w:ilvl w:val="2"/>
          <w:numId w:val="27"/>
        </w:numPr>
        <w:tabs>
          <w:tab w:val="left" w:pos="990"/>
        </w:tabs>
        <w:ind w:left="990" w:hanging="847"/>
        <w:rPr>
          <w:rFonts w:ascii="Arial" w:hAnsi="Arial"/>
          <w:b/>
        </w:rPr>
      </w:pPr>
      <w:r>
        <w:rPr>
          <w:rFonts w:ascii="Arial" w:hAnsi="Arial"/>
          <w:b/>
        </w:rPr>
        <w:t>Plano</w:t>
      </w:r>
      <w:r>
        <w:rPr>
          <w:rFonts w:ascii="Arial" w:hAnsi="Arial"/>
          <w:b/>
          <w:spacing w:val="-2"/>
        </w:rPr>
        <w:t xml:space="preserve"> </w:t>
      </w:r>
      <w:r>
        <w:rPr>
          <w:rFonts w:ascii="Arial" w:hAnsi="Arial"/>
          <w:b/>
        </w:rPr>
        <w:t>de</w:t>
      </w:r>
      <w:r>
        <w:rPr>
          <w:rFonts w:ascii="Arial" w:hAnsi="Arial"/>
          <w:b/>
          <w:spacing w:val="-3"/>
        </w:rPr>
        <w:t xml:space="preserve"> </w:t>
      </w:r>
      <w:r>
        <w:rPr>
          <w:rFonts w:ascii="Arial" w:hAnsi="Arial"/>
          <w:b/>
        </w:rPr>
        <w:t>Benefícios</w:t>
      </w:r>
      <w:r>
        <w:rPr>
          <w:rFonts w:ascii="Arial" w:hAnsi="Arial"/>
          <w:b/>
          <w:spacing w:val="-1"/>
        </w:rPr>
        <w:t xml:space="preserve"> </w:t>
      </w:r>
      <w:r>
        <w:rPr>
          <w:rFonts w:ascii="Arial" w:hAnsi="Arial"/>
          <w:b/>
        </w:rPr>
        <w:t>PBS</w:t>
      </w:r>
      <w:r>
        <w:rPr>
          <w:rFonts w:ascii="Arial" w:hAnsi="Arial"/>
          <w:b/>
          <w:spacing w:val="-3"/>
        </w:rPr>
        <w:t xml:space="preserve"> </w:t>
      </w:r>
      <w:r>
        <w:rPr>
          <w:rFonts w:ascii="Arial" w:hAnsi="Arial"/>
          <w:b/>
        </w:rPr>
        <w:t>-</w:t>
      </w:r>
      <w:r>
        <w:rPr>
          <w:rFonts w:ascii="Arial" w:hAnsi="Arial"/>
          <w:b/>
          <w:spacing w:val="-2"/>
        </w:rPr>
        <w:t xml:space="preserve"> Telebras</w:t>
      </w:r>
    </w:p>
    <w:p w14:paraId="3BD6AECE" w14:textId="77777777" w:rsidR="002C6574" w:rsidRDefault="002C6574">
      <w:pPr>
        <w:pStyle w:val="Corpodetexto"/>
        <w:spacing w:before="37"/>
        <w:rPr>
          <w:rFonts w:ascii="Arial"/>
          <w:b/>
        </w:rPr>
      </w:pPr>
    </w:p>
    <w:p w14:paraId="35FCDCC5" w14:textId="77777777" w:rsidR="002C6574" w:rsidRDefault="00000000">
      <w:pPr>
        <w:pStyle w:val="PargrafodaLista"/>
        <w:numPr>
          <w:ilvl w:val="0"/>
          <w:numId w:val="22"/>
        </w:numPr>
        <w:tabs>
          <w:tab w:val="left" w:pos="339"/>
        </w:tabs>
        <w:ind w:left="339" w:hanging="196"/>
        <w:rPr>
          <w:rFonts w:ascii="Arial" w:hAnsi="Arial"/>
          <w:b/>
        </w:rPr>
      </w:pPr>
      <w:r>
        <w:rPr>
          <w:rFonts w:ascii="Arial" w:hAnsi="Arial"/>
          <w:b/>
        </w:rPr>
        <w:t>Premissas</w:t>
      </w:r>
      <w:r>
        <w:rPr>
          <w:rFonts w:ascii="Arial" w:hAnsi="Arial"/>
          <w:b/>
          <w:spacing w:val="-3"/>
        </w:rPr>
        <w:t xml:space="preserve"> </w:t>
      </w:r>
      <w:r>
        <w:rPr>
          <w:rFonts w:ascii="Arial" w:hAnsi="Arial"/>
          <w:b/>
          <w:spacing w:val="-2"/>
        </w:rPr>
        <w:t>Biométricas:</w:t>
      </w:r>
    </w:p>
    <w:p w14:paraId="40AE336E" w14:textId="77777777" w:rsidR="002C6574" w:rsidRDefault="002C6574">
      <w:pPr>
        <w:pStyle w:val="PargrafodaLista"/>
        <w:rPr>
          <w:rFonts w:ascii="Arial" w:hAnsi="Arial"/>
          <w:b/>
        </w:rPr>
        <w:sectPr w:rsidR="002C6574">
          <w:pgSz w:w="11910" w:h="16840"/>
          <w:pgMar w:top="1820" w:right="141" w:bottom="1320" w:left="1133" w:header="1084" w:footer="1089" w:gutter="0"/>
          <w:cols w:space="720"/>
        </w:sectPr>
      </w:pPr>
    </w:p>
    <w:p w14:paraId="75F7CFD6" w14:textId="77777777" w:rsidR="002C6574" w:rsidRDefault="00000000">
      <w:pPr>
        <w:pStyle w:val="PargrafodaLista"/>
        <w:numPr>
          <w:ilvl w:val="1"/>
          <w:numId w:val="22"/>
        </w:numPr>
        <w:tabs>
          <w:tab w:val="left" w:pos="398"/>
        </w:tabs>
        <w:spacing w:before="198"/>
        <w:ind w:left="398" w:hanging="255"/>
        <w:jc w:val="both"/>
        <w:rPr>
          <w:rFonts w:ascii="Segoe UI Symbol" w:hAnsi="Segoe UI Symbol"/>
        </w:rPr>
      </w:pPr>
      <w:r>
        <w:rPr>
          <w:rFonts w:ascii="Arial" w:hAnsi="Arial"/>
          <w:b/>
        </w:rPr>
        <w:lastRenderedPageBreak/>
        <w:t>Tábua</w:t>
      </w:r>
      <w:r>
        <w:rPr>
          <w:rFonts w:ascii="Arial" w:hAnsi="Arial"/>
          <w:b/>
          <w:spacing w:val="2"/>
        </w:rPr>
        <w:t xml:space="preserve"> </w:t>
      </w:r>
      <w:r>
        <w:rPr>
          <w:rFonts w:ascii="Arial" w:hAnsi="Arial"/>
          <w:b/>
        </w:rPr>
        <w:t>de</w:t>
      </w:r>
      <w:r>
        <w:rPr>
          <w:rFonts w:ascii="Arial" w:hAnsi="Arial"/>
          <w:b/>
          <w:spacing w:val="4"/>
        </w:rPr>
        <w:t xml:space="preserve"> </w:t>
      </w:r>
      <w:r>
        <w:rPr>
          <w:rFonts w:ascii="Arial" w:hAnsi="Arial"/>
          <w:b/>
        </w:rPr>
        <w:t>mortalidade</w:t>
      </w:r>
      <w:r>
        <w:rPr>
          <w:rFonts w:ascii="Arial" w:hAnsi="Arial"/>
          <w:b/>
          <w:spacing w:val="8"/>
        </w:rPr>
        <w:t xml:space="preserve"> </w:t>
      </w:r>
      <w:r>
        <w:rPr>
          <w:rFonts w:ascii="Arial" w:hAnsi="Arial"/>
          <w:b/>
        </w:rPr>
        <w:t>geral:</w:t>
      </w:r>
      <w:r>
        <w:rPr>
          <w:rFonts w:ascii="Arial" w:hAnsi="Arial"/>
          <w:b/>
          <w:spacing w:val="10"/>
        </w:rPr>
        <w:t xml:space="preserve"> </w:t>
      </w:r>
      <w:r>
        <w:rPr>
          <w:rFonts w:ascii="Segoe UI Symbol" w:hAnsi="Segoe UI Symbol"/>
        </w:rPr>
        <w:t>AT</w:t>
      </w:r>
      <w:r>
        <w:rPr>
          <w:rFonts w:ascii="Segoe UI Symbol" w:hAnsi="Segoe UI Symbol"/>
          <w:spacing w:val="4"/>
        </w:rPr>
        <w:t xml:space="preserve"> </w:t>
      </w:r>
      <w:r>
        <w:rPr>
          <w:rFonts w:ascii="Segoe UI Symbol" w:hAnsi="Segoe UI Symbol"/>
        </w:rPr>
        <w:t>2012</w:t>
      </w:r>
      <w:r>
        <w:rPr>
          <w:rFonts w:ascii="Segoe UI Symbol" w:hAnsi="Segoe UI Symbol"/>
          <w:spacing w:val="6"/>
        </w:rPr>
        <w:t xml:space="preserve"> </w:t>
      </w:r>
      <w:r>
        <w:rPr>
          <w:rFonts w:ascii="Segoe UI Symbol" w:hAnsi="Segoe UI Symbol"/>
        </w:rPr>
        <w:t>IAM</w:t>
      </w:r>
      <w:r>
        <w:rPr>
          <w:rFonts w:ascii="Segoe UI Symbol" w:hAnsi="Segoe UI Symbol"/>
          <w:spacing w:val="5"/>
        </w:rPr>
        <w:t xml:space="preserve"> </w:t>
      </w:r>
      <w:r>
        <w:rPr>
          <w:rFonts w:ascii="Segoe UI Symbol" w:hAnsi="Segoe UI Symbol"/>
        </w:rPr>
        <w:t>Basic</w:t>
      </w:r>
      <w:r>
        <w:rPr>
          <w:rFonts w:ascii="Segoe UI Symbol" w:hAnsi="Segoe UI Symbol"/>
          <w:spacing w:val="8"/>
        </w:rPr>
        <w:t xml:space="preserve"> </w:t>
      </w:r>
      <w:r>
        <w:rPr>
          <w:rFonts w:ascii="Segoe UI Symbol" w:hAnsi="Segoe UI Symbol"/>
        </w:rPr>
        <w:t>segregada</w:t>
      </w:r>
      <w:r>
        <w:rPr>
          <w:rFonts w:ascii="Segoe UI Symbol" w:hAnsi="Segoe UI Symbol"/>
          <w:spacing w:val="7"/>
        </w:rPr>
        <w:t xml:space="preserve"> </w:t>
      </w:r>
      <w:r>
        <w:rPr>
          <w:rFonts w:ascii="Segoe UI Symbol" w:hAnsi="Segoe UI Symbol"/>
        </w:rPr>
        <w:t>por</w:t>
      </w:r>
      <w:r>
        <w:rPr>
          <w:rFonts w:ascii="Segoe UI Symbol" w:hAnsi="Segoe UI Symbol"/>
          <w:spacing w:val="7"/>
        </w:rPr>
        <w:t xml:space="preserve"> </w:t>
      </w:r>
      <w:r>
        <w:rPr>
          <w:rFonts w:ascii="Segoe UI Symbol" w:hAnsi="Segoe UI Symbol"/>
          <w:spacing w:val="-2"/>
        </w:rPr>
        <w:t>sexo;</w:t>
      </w:r>
    </w:p>
    <w:p w14:paraId="3EED2C85" w14:textId="77777777" w:rsidR="002C6574" w:rsidRDefault="00000000">
      <w:pPr>
        <w:pStyle w:val="PargrafodaLista"/>
        <w:numPr>
          <w:ilvl w:val="1"/>
          <w:numId w:val="22"/>
        </w:numPr>
        <w:tabs>
          <w:tab w:val="left" w:pos="410"/>
        </w:tabs>
        <w:spacing w:before="86"/>
        <w:ind w:left="410" w:hanging="267"/>
        <w:rPr>
          <w:rFonts w:ascii="Segoe UI Symbol" w:hAnsi="Segoe UI Symbol"/>
        </w:rPr>
      </w:pPr>
      <w:r>
        <w:rPr>
          <w:rFonts w:ascii="Arial" w:hAnsi="Arial"/>
          <w:b/>
        </w:rPr>
        <w:t>Tábua</w:t>
      </w:r>
      <w:r>
        <w:rPr>
          <w:rFonts w:ascii="Arial" w:hAnsi="Arial"/>
          <w:b/>
          <w:spacing w:val="-5"/>
        </w:rPr>
        <w:t xml:space="preserve"> </w:t>
      </w:r>
      <w:r>
        <w:rPr>
          <w:rFonts w:ascii="Arial" w:hAnsi="Arial"/>
          <w:b/>
        </w:rPr>
        <w:t>de</w:t>
      </w:r>
      <w:r>
        <w:rPr>
          <w:rFonts w:ascii="Arial" w:hAnsi="Arial"/>
          <w:b/>
          <w:spacing w:val="-1"/>
        </w:rPr>
        <w:t xml:space="preserve"> </w:t>
      </w:r>
      <w:r>
        <w:rPr>
          <w:rFonts w:ascii="Arial" w:hAnsi="Arial"/>
          <w:b/>
        </w:rPr>
        <w:t>entrada</w:t>
      </w:r>
      <w:r>
        <w:rPr>
          <w:rFonts w:ascii="Arial" w:hAnsi="Arial"/>
          <w:b/>
          <w:spacing w:val="-4"/>
        </w:rPr>
        <w:t xml:space="preserve"> </w:t>
      </w:r>
      <w:r>
        <w:rPr>
          <w:rFonts w:ascii="Arial" w:hAnsi="Arial"/>
          <w:b/>
        </w:rPr>
        <w:t>em</w:t>
      </w:r>
      <w:r>
        <w:rPr>
          <w:rFonts w:ascii="Arial" w:hAnsi="Arial"/>
          <w:b/>
          <w:spacing w:val="-3"/>
        </w:rPr>
        <w:t xml:space="preserve"> </w:t>
      </w:r>
      <w:r>
        <w:rPr>
          <w:rFonts w:ascii="Arial" w:hAnsi="Arial"/>
          <w:b/>
        </w:rPr>
        <w:t>invalidez:</w:t>
      </w:r>
      <w:r>
        <w:rPr>
          <w:rFonts w:ascii="Arial" w:hAnsi="Arial"/>
          <w:b/>
          <w:spacing w:val="-1"/>
        </w:rPr>
        <w:t xml:space="preserve"> </w:t>
      </w:r>
      <w:r>
        <w:rPr>
          <w:rFonts w:ascii="Segoe UI Symbol" w:hAnsi="Segoe UI Symbol"/>
        </w:rPr>
        <w:t>não</w:t>
      </w:r>
      <w:r>
        <w:rPr>
          <w:rFonts w:ascii="Segoe UI Symbol" w:hAnsi="Segoe UI Symbol"/>
          <w:spacing w:val="1"/>
        </w:rPr>
        <w:t xml:space="preserve"> </w:t>
      </w:r>
      <w:r>
        <w:rPr>
          <w:rFonts w:ascii="Segoe UI Symbol" w:hAnsi="Segoe UI Symbol"/>
          <w:spacing w:val="-2"/>
        </w:rPr>
        <w:t>aplicado;</w:t>
      </w:r>
    </w:p>
    <w:p w14:paraId="2BD1B3D3" w14:textId="77777777" w:rsidR="002C6574" w:rsidRDefault="00000000">
      <w:pPr>
        <w:pStyle w:val="PargrafodaLista"/>
        <w:numPr>
          <w:ilvl w:val="1"/>
          <w:numId w:val="22"/>
        </w:numPr>
        <w:tabs>
          <w:tab w:val="left" w:pos="398"/>
        </w:tabs>
        <w:spacing w:before="87"/>
        <w:ind w:left="398" w:hanging="255"/>
        <w:rPr>
          <w:rFonts w:ascii="Segoe UI Symbol" w:hAnsi="Segoe UI Symbol"/>
        </w:rPr>
      </w:pPr>
      <w:r>
        <w:rPr>
          <w:rFonts w:ascii="Arial" w:hAnsi="Arial"/>
          <w:b/>
        </w:rPr>
        <w:t>Tábua de</w:t>
      </w:r>
      <w:r>
        <w:rPr>
          <w:rFonts w:ascii="Arial" w:hAnsi="Arial"/>
          <w:b/>
          <w:spacing w:val="3"/>
        </w:rPr>
        <w:t xml:space="preserve"> </w:t>
      </w:r>
      <w:r>
        <w:rPr>
          <w:rFonts w:ascii="Arial" w:hAnsi="Arial"/>
          <w:b/>
        </w:rPr>
        <w:t>mortalidade</w:t>
      </w:r>
      <w:r>
        <w:rPr>
          <w:rFonts w:ascii="Arial" w:hAnsi="Arial"/>
          <w:b/>
          <w:spacing w:val="7"/>
        </w:rPr>
        <w:t xml:space="preserve"> </w:t>
      </w:r>
      <w:r>
        <w:rPr>
          <w:rFonts w:ascii="Arial" w:hAnsi="Arial"/>
          <w:b/>
        </w:rPr>
        <w:t>de</w:t>
      </w:r>
      <w:r>
        <w:rPr>
          <w:rFonts w:ascii="Arial" w:hAnsi="Arial"/>
          <w:b/>
          <w:spacing w:val="3"/>
        </w:rPr>
        <w:t xml:space="preserve"> </w:t>
      </w:r>
      <w:r>
        <w:rPr>
          <w:rFonts w:ascii="Arial" w:hAnsi="Arial"/>
          <w:b/>
        </w:rPr>
        <w:t>inválidos:</w:t>
      </w:r>
      <w:r>
        <w:rPr>
          <w:rFonts w:ascii="Arial" w:hAnsi="Arial"/>
          <w:b/>
          <w:spacing w:val="5"/>
        </w:rPr>
        <w:t xml:space="preserve"> </w:t>
      </w:r>
      <w:r>
        <w:rPr>
          <w:rFonts w:ascii="Segoe UI Symbol" w:hAnsi="Segoe UI Symbol"/>
        </w:rPr>
        <w:t>RP-2000</w:t>
      </w:r>
      <w:r>
        <w:rPr>
          <w:rFonts w:ascii="Segoe UI Symbol" w:hAnsi="Segoe UI Symbol"/>
          <w:spacing w:val="4"/>
        </w:rPr>
        <w:t xml:space="preserve"> </w:t>
      </w:r>
      <w:r>
        <w:rPr>
          <w:rFonts w:ascii="Segoe UI Symbol" w:hAnsi="Segoe UI Symbol"/>
          <w:spacing w:val="-2"/>
        </w:rPr>
        <w:t>Feminina;</w:t>
      </w:r>
    </w:p>
    <w:p w14:paraId="26EC6066" w14:textId="77777777" w:rsidR="002C6574" w:rsidRDefault="00000000">
      <w:pPr>
        <w:pStyle w:val="PargrafodaLista"/>
        <w:numPr>
          <w:ilvl w:val="1"/>
          <w:numId w:val="22"/>
        </w:numPr>
        <w:tabs>
          <w:tab w:val="left" w:pos="419"/>
        </w:tabs>
        <w:spacing w:before="87" w:line="312" w:lineRule="auto"/>
        <w:ind w:left="143" w:right="706" w:firstLine="0"/>
        <w:jc w:val="both"/>
        <w:rPr>
          <w:rFonts w:ascii="Segoe UI Symbol" w:hAnsi="Segoe UI Symbol"/>
        </w:rPr>
      </w:pPr>
      <w:r>
        <w:rPr>
          <w:rFonts w:ascii="Arial" w:hAnsi="Arial"/>
          <w:b/>
        </w:rPr>
        <w:t xml:space="preserve">Tábua de serviço - </w:t>
      </w:r>
      <w:r>
        <w:rPr>
          <w:rFonts w:ascii="Segoe UI Symbol" w:hAnsi="Segoe UI Symbol"/>
        </w:rPr>
        <w:t>Combinação das tábuas de mortalidade geral e de mortalidade de inválidos, utilizando-se o Método dos Multidecrementos.</w:t>
      </w:r>
    </w:p>
    <w:p w14:paraId="553AEC1D" w14:textId="77777777" w:rsidR="002C6574" w:rsidRDefault="00000000">
      <w:pPr>
        <w:numPr>
          <w:ilvl w:val="0"/>
          <w:numId w:val="22"/>
        </w:numPr>
        <w:tabs>
          <w:tab w:val="left" w:pos="401"/>
        </w:tabs>
        <w:spacing w:before="189"/>
        <w:ind w:left="401" w:hanging="258"/>
        <w:rPr>
          <w:rFonts w:ascii="Arial" w:hAnsi="Arial"/>
          <w:b/>
        </w:rPr>
      </w:pPr>
      <w:r>
        <w:rPr>
          <w:rFonts w:ascii="Arial" w:hAnsi="Arial"/>
          <w:b/>
        </w:rPr>
        <w:t>Premissas</w:t>
      </w:r>
      <w:r>
        <w:rPr>
          <w:rFonts w:ascii="Arial" w:hAnsi="Arial"/>
          <w:b/>
          <w:spacing w:val="-5"/>
        </w:rPr>
        <w:t xml:space="preserve"> </w:t>
      </w:r>
      <w:r>
        <w:rPr>
          <w:rFonts w:ascii="Arial" w:hAnsi="Arial"/>
          <w:b/>
          <w:spacing w:val="-2"/>
        </w:rPr>
        <w:t>Econômicas:</w:t>
      </w:r>
    </w:p>
    <w:p w14:paraId="5081042D" w14:textId="77777777" w:rsidR="002C6574" w:rsidRDefault="00000000">
      <w:pPr>
        <w:pStyle w:val="PargrafodaLista"/>
        <w:numPr>
          <w:ilvl w:val="1"/>
          <w:numId w:val="22"/>
        </w:numPr>
        <w:tabs>
          <w:tab w:val="left" w:pos="399"/>
        </w:tabs>
        <w:spacing w:before="249" w:line="237" w:lineRule="auto"/>
        <w:ind w:left="143" w:right="704" w:firstLine="0"/>
        <w:jc w:val="both"/>
        <w:rPr>
          <w:rFonts w:ascii="Segoe UI Symbol" w:hAnsi="Segoe UI Symbol"/>
        </w:rPr>
      </w:pPr>
      <w:r>
        <w:rPr>
          <w:rFonts w:ascii="Arial" w:hAnsi="Arial"/>
          <w:b/>
          <w:spacing w:val="-2"/>
          <w:w w:val="105"/>
        </w:rPr>
        <w:t>Taxa</w:t>
      </w:r>
      <w:r>
        <w:rPr>
          <w:rFonts w:ascii="Arial" w:hAnsi="Arial"/>
          <w:b/>
          <w:spacing w:val="-11"/>
          <w:w w:val="105"/>
        </w:rPr>
        <w:t xml:space="preserve"> </w:t>
      </w:r>
      <w:r>
        <w:rPr>
          <w:rFonts w:ascii="Arial" w:hAnsi="Arial"/>
          <w:b/>
          <w:spacing w:val="-2"/>
          <w:w w:val="105"/>
        </w:rPr>
        <w:t>real</w:t>
      </w:r>
      <w:r>
        <w:rPr>
          <w:rFonts w:ascii="Arial" w:hAnsi="Arial"/>
          <w:b/>
          <w:spacing w:val="-7"/>
          <w:w w:val="105"/>
        </w:rPr>
        <w:t xml:space="preserve"> </w:t>
      </w:r>
      <w:r>
        <w:rPr>
          <w:rFonts w:ascii="Arial" w:hAnsi="Arial"/>
          <w:b/>
          <w:spacing w:val="-2"/>
          <w:w w:val="105"/>
        </w:rPr>
        <w:t>de</w:t>
      </w:r>
      <w:r>
        <w:rPr>
          <w:rFonts w:ascii="Arial" w:hAnsi="Arial"/>
          <w:b/>
          <w:spacing w:val="-11"/>
          <w:w w:val="105"/>
        </w:rPr>
        <w:t xml:space="preserve"> </w:t>
      </w:r>
      <w:r>
        <w:rPr>
          <w:rFonts w:ascii="Arial" w:hAnsi="Arial"/>
          <w:b/>
          <w:spacing w:val="-2"/>
          <w:w w:val="105"/>
        </w:rPr>
        <w:t>desconto</w:t>
      </w:r>
      <w:r>
        <w:rPr>
          <w:rFonts w:ascii="Arial" w:hAnsi="Arial"/>
          <w:b/>
          <w:spacing w:val="-10"/>
          <w:w w:val="105"/>
        </w:rPr>
        <w:t xml:space="preserve"> </w:t>
      </w:r>
      <w:r>
        <w:rPr>
          <w:rFonts w:ascii="Arial" w:hAnsi="Arial"/>
          <w:b/>
          <w:spacing w:val="-2"/>
          <w:w w:val="105"/>
        </w:rPr>
        <w:t>atuarial</w:t>
      </w:r>
      <w:r>
        <w:rPr>
          <w:rFonts w:ascii="Arial" w:hAnsi="Arial"/>
          <w:b/>
          <w:spacing w:val="-7"/>
          <w:w w:val="105"/>
        </w:rPr>
        <w:t xml:space="preserve"> </w:t>
      </w:r>
      <w:r>
        <w:rPr>
          <w:rFonts w:ascii="Arial" w:hAnsi="Arial"/>
          <w:b/>
          <w:spacing w:val="-2"/>
          <w:w w:val="105"/>
        </w:rPr>
        <w:t>de</w:t>
      </w:r>
      <w:r>
        <w:rPr>
          <w:rFonts w:ascii="Arial" w:hAnsi="Arial"/>
          <w:b/>
          <w:spacing w:val="-12"/>
          <w:w w:val="105"/>
        </w:rPr>
        <w:t xml:space="preserve"> </w:t>
      </w:r>
      <w:r>
        <w:rPr>
          <w:rFonts w:ascii="Arial" w:hAnsi="Arial"/>
          <w:b/>
          <w:spacing w:val="-2"/>
          <w:w w:val="105"/>
        </w:rPr>
        <w:t>longo</w:t>
      </w:r>
      <w:r>
        <w:rPr>
          <w:rFonts w:ascii="Arial" w:hAnsi="Arial"/>
          <w:b/>
          <w:spacing w:val="-11"/>
          <w:w w:val="105"/>
        </w:rPr>
        <w:t xml:space="preserve"> </w:t>
      </w:r>
      <w:r>
        <w:rPr>
          <w:rFonts w:ascii="Arial" w:hAnsi="Arial"/>
          <w:b/>
          <w:spacing w:val="-2"/>
          <w:w w:val="105"/>
        </w:rPr>
        <w:t>prazo:</w:t>
      </w:r>
      <w:r>
        <w:rPr>
          <w:rFonts w:ascii="Arial" w:hAnsi="Arial"/>
          <w:b/>
          <w:spacing w:val="-8"/>
          <w:w w:val="105"/>
        </w:rPr>
        <w:t xml:space="preserve"> </w:t>
      </w:r>
      <w:r>
        <w:rPr>
          <w:rFonts w:ascii="Segoe UI Symbol" w:hAnsi="Segoe UI Symbol"/>
          <w:spacing w:val="-2"/>
          <w:w w:val="105"/>
        </w:rPr>
        <w:t>7,37%,</w:t>
      </w:r>
      <w:r>
        <w:rPr>
          <w:rFonts w:ascii="Segoe UI Symbol" w:hAnsi="Segoe UI Symbol"/>
          <w:spacing w:val="-9"/>
          <w:w w:val="105"/>
        </w:rPr>
        <w:t xml:space="preserve"> </w:t>
      </w:r>
      <w:r>
        <w:rPr>
          <w:rFonts w:ascii="Segoe UI Symbol" w:hAnsi="Segoe UI Symbol"/>
          <w:spacing w:val="-2"/>
          <w:w w:val="105"/>
        </w:rPr>
        <w:t>obtida</w:t>
      </w:r>
      <w:r>
        <w:rPr>
          <w:rFonts w:ascii="Segoe UI Symbol" w:hAnsi="Segoe UI Symbol"/>
          <w:spacing w:val="-9"/>
          <w:w w:val="105"/>
        </w:rPr>
        <w:t xml:space="preserve"> </w:t>
      </w:r>
      <w:r>
        <w:rPr>
          <w:rFonts w:ascii="Segoe UI Symbol" w:hAnsi="Segoe UI Symbol"/>
          <w:spacing w:val="-2"/>
          <w:w w:val="105"/>
        </w:rPr>
        <w:t>a</w:t>
      </w:r>
      <w:r>
        <w:rPr>
          <w:rFonts w:ascii="Segoe UI Symbol" w:hAnsi="Segoe UI Symbol"/>
          <w:spacing w:val="-10"/>
          <w:w w:val="105"/>
        </w:rPr>
        <w:t xml:space="preserve"> </w:t>
      </w:r>
      <w:r>
        <w:rPr>
          <w:rFonts w:ascii="Segoe UI Symbol" w:hAnsi="Segoe UI Symbol"/>
          <w:spacing w:val="-2"/>
          <w:w w:val="105"/>
        </w:rPr>
        <w:t>partir</w:t>
      </w:r>
      <w:r>
        <w:rPr>
          <w:rFonts w:ascii="Segoe UI Symbol" w:hAnsi="Segoe UI Symbol"/>
          <w:spacing w:val="-7"/>
          <w:w w:val="105"/>
        </w:rPr>
        <w:t xml:space="preserve"> </w:t>
      </w:r>
      <w:r>
        <w:rPr>
          <w:rFonts w:ascii="Segoe UI Symbol" w:hAnsi="Segoe UI Symbol"/>
          <w:spacing w:val="-2"/>
          <w:w w:val="105"/>
        </w:rPr>
        <w:t>da</w:t>
      </w:r>
      <w:r>
        <w:rPr>
          <w:rFonts w:ascii="Segoe UI Symbol" w:hAnsi="Segoe UI Symbol"/>
          <w:spacing w:val="-10"/>
          <w:w w:val="105"/>
        </w:rPr>
        <w:t xml:space="preserve"> </w:t>
      </w:r>
      <w:r>
        <w:rPr>
          <w:rFonts w:ascii="Segoe UI Symbol" w:hAnsi="Segoe UI Symbol"/>
          <w:spacing w:val="-2"/>
          <w:w w:val="105"/>
        </w:rPr>
        <w:t>curva</w:t>
      </w:r>
      <w:r>
        <w:rPr>
          <w:rFonts w:ascii="Segoe UI Symbol" w:hAnsi="Segoe UI Symbol"/>
          <w:spacing w:val="-8"/>
          <w:w w:val="105"/>
        </w:rPr>
        <w:t xml:space="preserve"> </w:t>
      </w:r>
      <w:r>
        <w:rPr>
          <w:rFonts w:ascii="Segoe UI Symbol" w:hAnsi="Segoe UI Symbol"/>
          <w:spacing w:val="-2"/>
          <w:w w:val="105"/>
        </w:rPr>
        <w:t>de</w:t>
      </w:r>
      <w:r>
        <w:rPr>
          <w:rFonts w:ascii="Segoe UI Symbol" w:hAnsi="Segoe UI Symbol"/>
          <w:spacing w:val="-11"/>
          <w:w w:val="105"/>
        </w:rPr>
        <w:t xml:space="preserve"> </w:t>
      </w:r>
      <w:r>
        <w:rPr>
          <w:rFonts w:ascii="Segoe UI Symbol" w:hAnsi="Segoe UI Symbol"/>
          <w:spacing w:val="-2"/>
          <w:w w:val="105"/>
        </w:rPr>
        <w:t>juros</w:t>
      </w:r>
      <w:r>
        <w:rPr>
          <w:rFonts w:ascii="Segoe UI Symbol" w:hAnsi="Segoe UI Symbol"/>
          <w:spacing w:val="-10"/>
          <w:w w:val="105"/>
        </w:rPr>
        <w:t xml:space="preserve"> </w:t>
      </w:r>
      <w:r>
        <w:rPr>
          <w:rFonts w:ascii="Segoe UI Symbol" w:hAnsi="Segoe UI Symbol"/>
          <w:spacing w:val="-2"/>
          <w:w w:val="105"/>
        </w:rPr>
        <w:t xml:space="preserve">(ETTJ) </w:t>
      </w:r>
      <w:r>
        <w:rPr>
          <w:rFonts w:ascii="Segoe UI Symbol" w:hAnsi="Segoe UI Symbol"/>
        </w:rPr>
        <w:t>da ANBIMA, fechamento de 30 de dezembro de 2025, de prazo compatível com o prazo de duração do passivo</w:t>
      </w:r>
      <w:r>
        <w:rPr>
          <w:rFonts w:ascii="Segoe UI Symbol" w:hAnsi="Segoe UI Symbol"/>
          <w:spacing w:val="-3"/>
        </w:rPr>
        <w:t xml:space="preserve"> </w:t>
      </w:r>
      <w:r>
        <w:rPr>
          <w:rFonts w:ascii="Segoe UI Symbol" w:hAnsi="Segoe UI Symbol"/>
        </w:rPr>
        <w:t>calculado</w:t>
      </w:r>
      <w:r>
        <w:rPr>
          <w:rFonts w:ascii="Segoe UI Symbol" w:hAnsi="Segoe UI Symbol"/>
          <w:spacing w:val="-1"/>
        </w:rPr>
        <w:t xml:space="preserve"> </w:t>
      </w:r>
      <w:r>
        <w:rPr>
          <w:rFonts w:ascii="Segoe UI Symbol" w:hAnsi="Segoe UI Symbol"/>
        </w:rPr>
        <w:t>pelo atuário</w:t>
      </w:r>
      <w:r>
        <w:rPr>
          <w:rFonts w:ascii="Segoe UI Symbol" w:hAnsi="Segoe UI Symbol"/>
          <w:spacing w:val="-3"/>
        </w:rPr>
        <w:t xml:space="preserve"> </w:t>
      </w:r>
      <w:r>
        <w:rPr>
          <w:rFonts w:ascii="Segoe UI Symbol" w:hAnsi="Segoe UI Symbol"/>
        </w:rPr>
        <w:t>responsável no</w:t>
      </w:r>
      <w:r>
        <w:rPr>
          <w:rFonts w:ascii="Segoe UI Symbol" w:hAnsi="Segoe UI Symbol"/>
          <w:spacing w:val="-1"/>
        </w:rPr>
        <w:t xml:space="preserve"> </w:t>
      </w:r>
      <w:r>
        <w:rPr>
          <w:rFonts w:ascii="Segoe UI Symbol" w:hAnsi="Segoe UI Symbol"/>
        </w:rPr>
        <w:t>plano</w:t>
      </w:r>
      <w:r>
        <w:rPr>
          <w:rFonts w:ascii="Segoe UI Symbol" w:hAnsi="Segoe UI Symbol"/>
          <w:spacing w:val="-1"/>
        </w:rPr>
        <w:t xml:space="preserve"> </w:t>
      </w:r>
      <w:r>
        <w:rPr>
          <w:rFonts w:ascii="Segoe UI Symbol" w:hAnsi="Segoe UI Symbol"/>
        </w:rPr>
        <w:t>de previdência</w:t>
      </w:r>
      <w:r>
        <w:rPr>
          <w:rFonts w:ascii="Segoe UI Symbol" w:hAnsi="Segoe UI Symbol"/>
          <w:spacing w:val="-1"/>
        </w:rPr>
        <w:t xml:space="preserve"> </w:t>
      </w:r>
      <w:r>
        <w:rPr>
          <w:rFonts w:ascii="Segoe UI Symbol" w:hAnsi="Segoe UI Symbol"/>
        </w:rPr>
        <w:t>em 31</w:t>
      </w:r>
      <w:r>
        <w:rPr>
          <w:rFonts w:ascii="Segoe UI Symbol" w:hAnsi="Segoe UI Symbol"/>
          <w:spacing w:val="-1"/>
        </w:rPr>
        <w:t xml:space="preserve"> </w:t>
      </w:r>
      <w:r>
        <w:rPr>
          <w:rFonts w:ascii="Segoe UI Symbol" w:hAnsi="Segoe UI Symbol"/>
        </w:rPr>
        <w:t>de dezembro de</w:t>
      </w:r>
      <w:r>
        <w:rPr>
          <w:rFonts w:ascii="Segoe UI Symbol" w:hAnsi="Segoe UI Symbol"/>
          <w:spacing w:val="-1"/>
        </w:rPr>
        <w:t xml:space="preserve"> </w:t>
      </w:r>
      <w:r>
        <w:rPr>
          <w:rFonts w:ascii="Segoe UI Symbol" w:hAnsi="Segoe UI Symbol"/>
        </w:rPr>
        <w:t xml:space="preserve">2024, </w:t>
      </w:r>
      <w:r>
        <w:rPr>
          <w:rFonts w:ascii="Segoe UI Symbol" w:hAnsi="Segoe UI Symbol"/>
          <w:w w:val="105"/>
        </w:rPr>
        <w:t>de 9,65 anos;</w:t>
      </w:r>
    </w:p>
    <w:p w14:paraId="008A24EB" w14:textId="77777777" w:rsidR="002C6574" w:rsidRDefault="00000000">
      <w:pPr>
        <w:pStyle w:val="PargrafodaLista"/>
        <w:numPr>
          <w:ilvl w:val="1"/>
          <w:numId w:val="22"/>
        </w:numPr>
        <w:tabs>
          <w:tab w:val="left" w:pos="410"/>
        </w:tabs>
        <w:spacing w:before="240" w:line="242" w:lineRule="auto"/>
        <w:ind w:left="143" w:right="703" w:firstLine="0"/>
        <w:jc w:val="both"/>
        <w:rPr>
          <w:rFonts w:ascii="Segoe UI Symbol" w:hAnsi="Segoe UI Symbol"/>
        </w:rPr>
      </w:pPr>
      <w:r>
        <w:rPr>
          <w:rFonts w:ascii="Arial" w:hAnsi="Arial"/>
          <w:b/>
        </w:rPr>
        <w:t>Taxa</w:t>
      </w:r>
      <w:r>
        <w:rPr>
          <w:rFonts w:ascii="Arial" w:hAnsi="Arial"/>
          <w:b/>
          <w:spacing w:val="-2"/>
        </w:rPr>
        <w:t xml:space="preserve"> </w:t>
      </w:r>
      <w:r>
        <w:rPr>
          <w:rFonts w:ascii="Arial" w:hAnsi="Arial"/>
          <w:b/>
        </w:rPr>
        <w:t>nominal</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rPr>
        <w:t>rendimento</w:t>
      </w:r>
      <w:r>
        <w:rPr>
          <w:rFonts w:ascii="Arial" w:hAnsi="Arial"/>
          <w:b/>
          <w:spacing w:val="-1"/>
        </w:rPr>
        <w:t xml:space="preserve"> </w:t>
      </w:r>
      <w:r>
        <w:rPr>
          <w:rFonts w:ascii="Arial" w:hAnsi="Arial"/>
          <w:b/>
        </w:rPr>
        <w:t>esperado</w:t>
      </w:r>
      <w:r>
        <w:rPr>
          <w:rFonts w:ascii="Arial" w:hAnsi="Arial"/>
          <w:b/>
          <w:spacing w:val="-4"/>
        </w:rPr>
        <w:t xml:space="preserve"> </w:t>
      </w:r>
      <w:r>
        <w:rPr>
          <w:rFonts w:ascii="Arial" w:hAnsi="Arial"/>
          <w:b/>
        </w:rPr>
        <w:t>para</w:t>
      </w:r>
      <w:r>
        <w:rPr>
          <w:rFonts w:ascii="Arial" w:hAnsi="Arial"/>
          <w:b/>
          <w:spacing w:val="-3"/>
        </w:rPr>
        <w:t xml:space="preserve"> </w:t>
      </w:r>
      <w:r>
        <w:rPr>
          <w:rFonts w:ascii="Arial" w:hAnsi="Arial"/>
          <w:b/>
        </w:rPr>
        <w:t>os</w:t>
      </w:r>
      <w:r>
        <w:rPr>
          <w:rFonts w:ascii="Arial" w:hAnsi="Arial"/>
          <w:b/>
          <w:spacing w:val="-2"/>
        </w:rPr>
        <w:t xml:space="preserve"> </w:t>
      </w:r>
      <w:r>
        <w:rPr>
          <w:rFonts w:ascii="Arial" w:hAnsi="Arial"/>
          <w:b/>
        </w:rPr>
        <w:t>ativos</w:t>
      </w:r>
      <w:r>
        <w:rPr>
          <w:rFonts w:ascii="Arial" w:hAnsi="Arial"/>
          <w:b/>
          <w:spacing w:val="-1"/>
        </w:rPr>
        <w:t xml:space="preserve"> </w:t>
      </w:r>
      <w:r>
        <w:rPr>
          <w:rFonts w:ascii="Arial" w:hAnsi="Arial"/>
          <w:b/>
        </w:rPr>
        <w:t>do</w:t>
      </w:r>
      <w:r>
        <w:rPr>
          <w:rFonts w:ascii="Arial" w:hAnsi="Arial"/>
          <w:b/>
          <w:spacing w:val="-4"/>
        </w:rPr>
        <w:t xml:space="preserve"> </w:t>
      </w:r>
      <w:r>
        <w:rPr>
          <w:rFonts w:ascii="Arial" w:hAnsi="Arial"/>
          <w:b/>
        </w:rPr>
        <w:t>plano</w:t>
      </w:r>
      <w:r>
        <w:rPr>
          <w:rFonts w:ascii="Arial" w:hAnsi="Arial"/>
          <w:b/>
          <w:spacing w:val="-4"/>
        </w:rPr>
        <w:t xml:space="preserve"> </w:t>
      </w:r>
      <w:r>
        <w:rPr>
          <w:rFonts w:ascii="Arial" w:hAnsi="Arial"/>
          <w:b/>
        </w:rPr>
        <w:t>e para o</w:t>
      </w:r>
      <w:r>
        <w:rPr>
          <w:rFonts w:ascii="Arial" w:hAnsi="Arial"/>
          <w:b/>
          <w:spacing w:val="-3"/>
        </w:rPr>
        <w:t xml:space="preserve"> </w:t>
      </w:r>
      <w:r>
        <w:rPr>
          <w:rFonts w:ascii="Arial" w:hAnsi="Arial"/>
          <w:b/>
        </w:rPr>
        <w:t>custo</w:t>
      </w:r>
      <w:r>
        <w:rPr>
          <w:rFonts w:ascii="Arial" w:hAnsi="Arial"/>
          <w:b/>
          <w:spacing w:val="-4"/>
        </w:rPr>
        <w:t xml:space="preserve"> </w:t>
      </w:r>
      <w:r>
        <w:rPr>
          <w:rFonts w:ascii="Arial" w:hAnsi="Arial"/>
          <w:b/>
        </w:rPr>
        <w:t>dos</w:t>
      </w:r>
      <w:r>
        <w:rPr>
          <w:rFonts w:ascii="Arial" w:hAnsi="Arial"/>
          <w:b/>
          <w:spacing w:val="-7"/>
        </w:rPr>
        <w:t xml:space="preserve"> </w:t>
      </w:r>
      <w:r>
        <w:rPr>
          <w:rFonts w:ascii="Arial" w:hAnsi="Arial"/>
          <w:b/>
        </w:rPr>
        <w:t>juros</w:t>
      </w:r>
      <w:r>
        <w:rPr>
          <w:rFonts w:ascii="Arial" w:hAnsi="Arial"/>
          <w:b/>
          <w:spacing w:val="-3"/>
        </w:rPr>
        <w:t xml:space="preserve"> </w:t>
      </w:r>
      <w:r>
        <w:rPr>
          <w:rFonts w:ascii="Arial" w:hAnsi="Arial"/>
          <w:b/>
        </w:rPr>
        <w:t xml:space="preserve">em 2024: </w:t>
      </w:r>
      <w:r>
        <w:rPr>
          <w:rFonts w:ascii="Segoe UI Symbol" w:hAnsi="Segoe UI Symbol"/>
        </w:rPr>
        <w:t>12,81% composta pela estimativa de inflação (4,90%) mais juros reais de 7,54% ao ano. Essa taxa foi definida na avaliação de 2024, como expectativa para 2025, e foi usada para o cálculo das perdas e ganhos de passivo e ativo no referido exercício;</w:t>
      </w:r>
    </w:p>
    <w:p w14:paraId="4EB6F46E" w14:textId="77777777" w:rsidR="002C6574" w:rsidRDefault="00000000">
      <w:pPr>
        <w:pStyle w:val="PargrafodaLista"/>
        <w:numPr>
          <w:ilvl w:val="1"/>
          <w:numId w:val="22"/>
        </w:numPr>
        <w:tabs>
          <w:tab w:val="left" w:pos="398"/>
        </w:tabs>
        <w:spacing w:before="149"/>
        <w:ind w:left="398" w:hanging="255"/>
        <w:rPr>
          <w:rFonts w:ascii="Segoe UI Symbol"/>
        </w:rPr>
      </w:pPr>
      <w:r>
        <w:rPr>
          <w:rFonts w:ascii="Arial"/>
          <w:b/>
        </w:rPr>
        <w:t>Taxa</w:t>
      </w:r>
      <w:r>
        <w:rPr>
          <w:rFonts w:ascii="Arial"/>
          <w:b/>
          <w:spacing w:val="-6"/>
        </w:rPr>
        <w:t xml:space="preserve"> </w:t>
      </w:r>
      <w:r>
        <w:rPr>
          <w:rFonts w:ascii="Arial"/>
          <w:b/>
        </w:rPr>
        <w:t>de</w:t>
      </w:r>
      <w:r>
        <w:rPr>
          <w:rFonts w:ascii="Arial"/>
          <w:b/>
          <w:spacing w:val="-4"/>
        </w:rPr>
        <w:t xml:space="preserve"> </w:t>
      </w:r>
      <w:r>
        <w:rPr>
          <w:rFonts w:ascii="Arial"/>
          <w:b/>
        </w:rPr>
        <w:t xml:space="preserve">Rotatividade: </w:t>
      </w:r>
      <w:r>
        <w:rPr>
          <w:rFonts w:ascii="Segoe UI Symbol"/>
          <w:spacing w:val="-2"/>
        </w:rPr>
        <w:t>0,00%;</w:t>
      </w:r>
    </w:p>
    <w:p w14:paraId="5BCC0E7B" w14:textId="77777777" w:rsidR="002C6574" w:rsidRDefault="00000000">
      <w:pPr>
        <w:pStyle w:val="PargrafodaLista"/>
        <w:numPr>
          <w:ilvl w:val="1"/>
          <w:numId w:val="22"/>
        </w:numPr>
        <w:tabs>
          <w:tab w:val="left" w:pos="410"/>
        </w:tabs>
        <w:spacing w:before="87"/>
        <w:ind w:left="410" w:hanging="267"/>
        <w:rPr>
          <w:rFonts w:ascii="Segoe UI Symbol" w:hAnsi="Segoe UI Symbol"/>
        </w:rPr>
      </w:pPr>
      <w:r>
        <w:rPr>
          <w:rFonts w:ascii="Arial" w:hAnsi="Arial"/>
          <w:b/>
        </w:rPr>
        <w:t>Taxa</w:t>
      </w:r>
      <w:r>
        <w:rPr>
          <w:rFonts w:ascii="Arial" w:hAnsi="Arial"/>
          <w:b/>
          <w:spacing w:val="-3"/>
        </w:rPr>
        <w:t xml:space="preserve"> </w:t>
      </w:r>
      <w:r>
        <w:rPr>
          <w:rFonts w:ascii="Arial" w:hAnsi="Arial"/>
          <w:b/>
        </w:rPr>
        <w:t>real</w:t>
      </w:r>
      <w:r>
        <w:rPr>
          <w:rFonts w:ascii="Arial" w:hAnsi="Arial"/>
          <w:b/>
          <w:spacing w:val="-3"/>
        </w:rPr>
        <w:t xml:space="preserve"> </w:t>
      </w:r>
      <w:r>
        <w:rPr>
          <w:rFonts w:ascii="Arial" w:hAnsi="Arial"/>
          <w:b/>
        </w:rPr>
        <w:t>de</w:t>
      </w:r>
      <w:r>
        <w:rPr>
          <w:rFonts w:ascii="Arial" w:hAnsi="Arial"/>
          <w:b/>
          <w:spacing w:val="-5"/>
        </w:rPr>
        <w:t xml:space="preserve"> </w:t>
      </w:r>
      <w:r>
        <w:rPr>
          <w:rFonts w:ascii="Arial" w:hAnsi="Arial"/>
          <w:b/>
        </w:rPr>
        <w:t>crescimento</w:t>
      </w:r>
      <w:r>
        <w:rPr>
          <w:rFonts w:ascii="Arial" w:hAnsi="Arial"/>
          <w:b/>
          <w:spacing w:val="-1"/>
        </w:rPr>
        <w:t xml:space="preserve"> </w:t>
      </w:r>
      <w:r>
        <w:rPr>
          <w:rFonts w:ascii="Arial" w:hAnsi="Arial"/>
          <w:b/>
        </w:rPr>
        <w:t>salarial:</w:t>
      </w:r>
      <w:r>
        <w:rPr>
          <w:rFonts w:ascii="Arial" w:hAnsi="Arial"/>
          <w:b/>
          <w:spacing w:val="-3"/>
        </w:rPr>
        <w:t xml:space="preserve"> </w:t>
      </w:r>
      <w:r>
        <w:rPr>
          <w:rFonts w:ascii="Segoe UI Symbol" w:hAnsi="Segoe UI Symbol"/>
        </w:rPr>
        <w:t>não</w:t>
      </w:r>
      <w:r>
        <w:rPr>
          <w:rFonts w:ascii="Segoe UI Symbol" w:hAnsi="Segoe UI Symbol"/>
          <w:spacing w:val="-1"/>
        </w:rPr>
        <w:t xml:space="preserve"> </w:t>
      </w:r>
      <w:r>
        <w:rPr>
          <w:rFonts w:ascii="Segoe UI Symbol" w:hAnsi="Segoe UI Symbol"/>
          <w:spacing w:val="-2"/>
        </w:rPr>
        <w:t>aplicado;</w:t>
      </w:r>
    </w:p>
    <w:p w14:paraId="3E5466EA" w14:textId="77777777" w:rsidR="002C6574" w:rsidRDefault="00000000">
      <w:pPr>
        <w:pStyle w:val="PargrafodaLista"/>
        <w:numPr>
          <w:ilvl w:val="1"/>
          <w:numId w:val="22"/>
        </w:numPr>
        <w:tabs>
          <w:tab w:val="left" w:pos="398"/>
        </w:tabs>
        <w:spacing w:before="87"/>
        <w:ind w:left="398" w:hanging="255"/>
        <w:rPr>
          <w:rFonts w:ascii="Segoe UI Symbol" w:hAnsi="Segoe UI Symbol"/>
        </w:rPr>
      </w:pPr>
      <w:r>
        <w:rPr>
          <w:rFonts w:ascii="Arial" w:hAnsi="Arial"/>
          <w:b/>
        </w:rPr>
        <w:t>Taxa</w:t>
      </w:r>
      <w:r>
        <w:rPr>
          <w:rFonts w:ascii="Arial" w:hAnsi="Arial"/>
          <w:b/>
          <w:spacing w:val="-6"/>
        </w:rPr>
        <w:t xml:space="preserve"> </w:t>
      </w:r>
      <w:r>
        <w:rPr>
          <w:rFonts w:ascii="Arial" w:hAnsi="Arial"/>
          <w:b/>
        </w:rPr>
        <w:t>real</w:t>
      </w:r>
      <w:r>
        <w:rPr>
          <w:rFonts w:ascii="Arial" w:hAnsi="Arial"/>
          <w:b/>
          <w:spacing w:val="-1"/>
        </w:rPr>
        <w:t xml:space="preserve"> </w:t>
      </w:r>
      <w:r>
        <w:rPr>
          <w:rFonts w:ascii="Arial" w:hAnsi="Arial"/>
          <w:b/>
        </w:rPr>
        <w:t>de</w:t>
      </w:r>
      <w:r>
        <w:rPr>
          <w:rFonts w:ascii="Arial" w:hAnsi="Arial"/>
          <w:b/>
          <w:spacing w:val="-3"/>
        </w:rPr>
        <w:t xml:space="preserve"> </w:t>
      </w:r>
      <w:r>
        <w:rPr>
          <w:rFonts w:ascii="Arial" w:hAnsi="Arial"/>
          <w:b/>
        </w:rPr>
        <w:t>reajuste</w:t>
      </w:r>
      <w:r>
        <w:rPr>
          <w:rFonts w:ascii="Arial" w:hAnsi="Arial"/>
          <w:b/>
          <w:spacing w:val="-3"/>
        </w:rPr>
        <w:t xml:space="preserve"> </w:t>
      </w:r>
      <w:r>
        <w:rPr>
          <w:rFonts w:ascii="Arial" w:hAnsi="Arial"/>
          <w:b/>
        </w:rPr>
        <w:t>de</w:t>
      </w:r>
      <w:r>
        <w:rPr>
          <w:rFonts w:ascii="Arial" w:hAnsi="Arial"/>
          <w:b/>
          <w:spacing w:val="-4"/>
        </w:rPr>
        <w:t xml:space="preserve"> </w:t>
      </w:r>
      <w:r>
        <w:rPr>
          <w:rFonts w:ascii="Arial" w:hAnsi="Arial"/>
          <w:b/>
        </w:rPr>
        <w:t>benefícios:</w:t>
      </w:r>
      <w:r>
        <w:rPr>
          <w:rFonts w:ascii="Arial" w:hAnsi="Arial"/>
          <w:b/>
          <w:spacing w:val="-1"/>
        </w:rPr>
        <w:t xml:space="preserve"> </w:t>
      </w:r>
      <w:r>
        <w:rPr>
          <w:rFonts w:ascii="Segoe UI Symbol" w:hAnsi="Segoe UI Symbol"/>
          <w:spacing w:val="-2"/>
        </w:rPr>
        <w:t>0,00%;</w:t>
      </w:r>
    </w:p>
    <w:p w14:paraId="46FCFDDE" w14:textId="77777777" w:rsidR="002C6574" w:rsidRDefault="00000000">
      <w:pPr>
        <w:pStyle w:val="PargrafodaLista"/>
        <w:numPr>
          <w:ilvl w:val="1"/>
          <w:numId w:val="22"/>
        </w:numPr>
        <w:tabs>
          <w:tab w:val="left" w:pos="350"/>
        </w:tabs>
        <w:spacing w:before="86"/>
        <w:ind w:left="350" w:hanging="207"/>
        <w:rPr>
          <w:rFonts w:ascii="Segoe UI Symbol" w:hAnsi="Segoe UI Symbol"/>
        </w:rPr>
      </w:pPr>
      <w:r>
        <w:rPr>
          <w:rFonts w:ascii="Arial" w:hAnsi="Arial"/>
          <w:b/>
        </w:rPr>
        <w:t>Taxa</w:t>
      </w:r>
      <w:r>
        <w:rPr>
          <w:rFonts w:ascii="Arial" w:hAnsi="Arial"/>
          <w:b/>
          <w:spacing w:val="-4"/>
        </w:rPr>
        <w:t xml:space="preserve"> </w:t>
      </w:r>
      <w:r>
        <w:rPr>
          <w:rFonts w:ascii="Arial" w:hAnsi="Arial"/>
          <w:b/>
        </w:rPr>
        <w:t>real</w:t>
      </w:r>
      <w:r>
        <w:rPr>
          <w:rFonts w:ascii="Arial" w:hAnsi="Arial"/>
          <w:b/>
          <w:spacing w:val="-3"/>
        </w:rPr>
        <w:t xml:space="preserve"> </w:t>
      </w:r>
      <w:r>
        <w:rPr>
          <w:rFonts w:ascii="Arial" w:hAnsi="Arial"/>
          <w:b/>
        </w:rPr>
        <w:t>de</w:t>
      </w:r>
      <w:r>
        <w:rPr>
          <w:rFonts w:ascii="Arial" w:hAnsi="Arial"/>
          <w:b/>
          <w:spacing w:val="-7"/>
        </w:rPr>
        <w:t xml:space="preserve"> </w:t>
      </w:r>
      <w:r>
        <w:rPr>
          <w:rFonts w:ascii="Arial" w:hAnsi="Arial"/>
          <w:b/>
        </w:rPr>
        <w:t>reajuste</w:t>
      </w:r>
      <w:r>
        <w:rPr>
          <w:rFonts w:ascii="Arial" w:hAnsi="Arial"/>
          <w:b/>
          <w:spacing w:val="-7"/>
        </w:rPr>
        <w:t xml:space="preserve"> </w:t>
      </w:r>
      <w:r>
        <w:rPr>
          <w:rFonts w:ascii="Arial" w:hAnsi="Arial"/>
          <w:b/>
        </w:rPr>
        <w:t>dos</w:t>
      </w:r>
      <w:r>
        <w:rPr>
          <w:rFonts w:ascii="Arial" w:hAnsi="Arial"/>
          <w:b/>
          <w:spacing w:val="-1"/>
        </w:rPr>
        <w:t xml:space="preserve"> </w:t>
      </w:r>
      <w:r>
        <w:rPr>
          <w:rFonts w:ascii="Arial" w:hAnsi="Arial"/>
          <w:b/>
        </w:rPr>
        <w:t>benefícios</w:t>
      </w:r>
      <w:r>
        <w:rPr>
          <w:rFonts w:ascii="Arial" w:hAnsi="Arial"/>
          <w:b/>
          <w:spacing w:val="-5"/>
        </w:rPr>
        <w:t xml:space="preserve"> </w:t>
      </w:r>
      <w:r>
        <w:rPr>
          <w:rFonts w:ascii="Arial" w:hAnsi="Arial"/>
          <w:b/>
        </w:rPr>
        <w:t>da</w:t>
      </w:r>
      <w:r>
        <w:rPr>
          <w:rFonts w:ascii="Arial" w:hAnsi="Arial"/>
          <w:b/>
          <w:spacing w:val="-2"/>
        </w:rPr>
        <w:t xml:space="preserve"> </w:t>
      </w:r>
      <w:r>
        <w:rPr>
          <w:rFonts w:ascii="Arial" w:hAnsi="Arial"/>
          <w:b/>
        </w:rPr>
        <w:t>Previdência</w:t>
      </w:r>
      <w:r>
        <w:rPr>
          <w:rFonts w:ascii="Arial" w:hAnsi="Arial"/>
          <w:b/>
          <w:spacing w:val="-7"/>
        </w:rPr>
        <w:t xml:space="preserve"> </w:t>
      </w:r>
      <w:r>
        <w:rPr>
          <w:rFonts w:ascii="Arial" w:hAnsi="Arial"/>
          <w:b/>
        </w:rPr>
        <w:t>Social:</w:t>
      </w:r>
      <w:r>
        <w:rPr>
          <w:rFonts w:ascii="Arial" w:hAnsi="Arial"/>
          <w:b/>
          <w:spacing w:val="-3"/>
        </w:rPr>
        <w:t xml:space="preserve"> </w:t>
      </w:r>
      <w:r>
        <w:rPr>
          <w:rFonts w:ascii="Segoe UI Symbol" w:hAnsi="Segoe UI Symbol"/>
          <w:spacing w:val="-2"/>
        </w:rPr>
        <w:t>0,00;</w:t>
      </w:r>
    </w:p>
    <w:p w14:paraId="72A405D6" w14:textId="77777777" w:rsidR="002C6574" w:rsidRDefault="00000000">
      <w:pPr>
        <w:pStyle w:val="PargrafodaLista"/>
        <w:numPr>
          <w:ilvl w:val="1"/>
          <w:numId w:val="22"/>
        </w:numPr>
        <w:tabs>
          <w:tab w:val="left" w:pos="412"/>
        </w:tabs>
        <w:spacing w:before="87"/>
        <w:ind w:left="412" w:hanging="269"/>
        <w:rPr>
          <w:rFonts w:ascii="Segoe UI Symbol" w:hAnsi="Segoe UI Symbol"/>
        </w:rPr>
      </w:pPr>
      <w:r>
        <w:rPr>
          <w:rFonts w:ascii="Arial" w:hAnsi="Arial"/>
          <w:b/>
        </w:rPr>
        <w:t>Fator</w:t>
      </w:r>
      <w:r>
        <w:rPr>
          <w:rFonts w:ascii="Arial" w:hAnsi="Arial"/>
          <w:b/>
          <w:spacing w:val="-1"/>
        </w:rPr>
        <w:t xml:space="preserve"> </w:t>
      </w:r>
      <w:r>
        <w:rPr>
          <w:rFonts w:ascii="Arial" w:hAnsi="Arial"/>
          <w:b/>
        </w:rPr>
        <w:t>de</w:t>
      </w:r>
      <w:r>
        <w:rPr>
          <w:rFonts w:ascii="Arial" w:hAnsi="Arial"/>
          <w:b/>
          <w:spacing w:val="-7"/>
        </w:rPr>
        <w:t xml:space="preserve"> </w:t>
      </w:r>
      <w:r>
        <w:rPr>
          <w:rFonts w:ascii="Arial" w:hAnsi="Arial"/>
          <w:b/>
        </w:rPr>
        <w:t>Capacidade</w:t>
      </w:r>
      <w:r>
        <w:rPr>
          <w:rFonts w:ascii="Arial" w:hAnsi="Arial"/>
          <w:b/>
          <w:spacing w:val="-4"/>
        </w:rPr>
        <w:t xml:space="preserve"> </w:t>
      </w:r>
      <w:r>
        <w:rPr>
          <w:rFonts w:ascii="Arial" w:hAnsi="Arial"/>
          <w:b/>
        </w:rPr>
        <w:t>para</w:t>
      </w:r>
      <w:r>
        <w:rPr>
          <w:rFonts w:ascii="Arial" w:hAnsi="Arial"/>
          <w:b/>
          <w:spacing w:val="-3"/>
        </w:rPr>
        <w:t xml:space="preserve"> </w:t>
      </w:r>
      <w:r>
        <w:rPr>
          <w:rFonts w:ascii="Arial" w:hAnsi="Arial"/>
          <w:b/>
        </w:rPr>
        <w:t>salários:</w:t>
      </w:r>
      <w:r>
        <w:rPr>
          <w:rFonts w:ascii="Arial" w:hAnsi="Arial"/>
          <w:b/>
          <w:spacing w:val="-4"/>
        </w:rPr>
        <w:t xml:space="preserve"> </w:t>
      </w:r>
      <w:r>
        <w:rPr>
          <w:rFonts w:ascii="Segoe UI Symbol" w:hAnsi="Segoe UI Symbol"/>
          <w:spacing w:val="-4"/>
        </w:rPr>
        <w:t>98%;</w:t>
      </w:r>
    </w:p>
    <w:p w14:paraId="1980DAEE" w14:textId="77777777" w:rsidR="002C6574" w:rsidRDefault="00000000">
      <w:pPr>
        <w:pStyle w:val="PargrafodaLista"/>
        <w:numPr>
          <w:ilvl w:val="1"/>
          <w:numId w:val="22"/>
        </w:numPr>
        <w:tabs>
          <w:tab w:val="left" w:pos="412"/>
        </w:tabs>
        <w:spacing w:before="89"/>
        <w:ind w:left="412" w:hanging="269"/>
        <w:rPr>
          <w:rFonts w:ascii="Segoe UI Symbol" w:hAnsi="Segoe UI Symbol"/>
        </w:rPr>
      </w:pPr>
      <w:r>
        <w:rPr>
          <w:rFonts w:ascii="Arial" w:hAnsi="Arial"/>
          <w:b/>
        </w:rPr>
        <w:t>Fator</w:t>
      </w:r>
      <w:r>
        <w:rPr>
          <w:rFonts w:ascii="Arial" w:hAnsi="Arial"/>
          <w:b/>
          <w:spacing w:val="-2"/>
        </w:rPr>
        <w:t xml:space="preserve"> </w:t>
      </w:r>
      <w:r>
        <w:rPr>
          <w:rFonts w:ascii="Arial" w:hAnsi="Arial"/>
          <w:b/>
        </w:rPr>
        <w:t>de</w:t>
      </w:r>
      <w:r>
        <w:rPr>
          <w:rFonts w:ascii="Arial" w:hAnsi="Arial"/>
          <w:b/>
          <w:spacing w:val="-7"/>
        </w:rPr>
        <w:t xml:space="preserve"> </w:t>
      </w:r>
      <w:r>
        <w:rPr>
          <w:rFonts w:ascii="Arial" w:hAnsi="Arial"/>
          <w:b/>
        </w:rPr>
        <w:t>Capacidade</w:t>
      </w:r>
      <w:r>
        <w:rPr>
          <w:rFonts w:ascii="Arial" w:hAnsi="Arial"/>
          <w:b/>
          <w:spacing w:val="-4"/>
        </w:rPr>
        <w:t xml:space="preserve"> </w:t>
      </w:r>
      <w:r>
        <w:rPr>
          <w:rFonts w:ascii="Arial" w:hAnsi="Arial"/>
          <w:b/>
        </w:rPr>
        <w:t>para</w:t>
      </w:r>
      <w:r>
        <w:rPr>
          <w:rFonts w:ascii="Arial" w:hAnsi="Arial"/>
          <w:b/>
          <w:spacing w:val="-3"/>
        </w:rPr>
        <w:t xml:space="preserve"> </w:t>
      </w:r>
      <w:r>
        <w:rPr>
          <w:rFonts w:ascii="Arial" w:hAnsi="Arial"/>
          <w:b/>
        </w:rPr>
        <w:t>benefícios:</w:t>
      </w:r>
      <w:r>
        <w:rPr>
          <w:rFonts w:ascii="Arial" w:hAnsi="Arial"/>
          <w:b/>
          <w:spacing w:val="-4"/>
        </w:rPr>
        <w:t xml:space="preserve"> </w:t>
      </w:r>
      <w:r>
        <w:rPr>
          <w:rFonts w:ascii="Segoe UI Symbol" w:hAnsi="Segoe UI Symbol"/>
          <w:spacing w:val="-4"/>
        </w:rPr>
        <w:t>98%;</w:t>
      </w:r>
    </w:p>
    <w:p w14:paraId="7F5B9D6C" w14:textId="77777777" w:rsidR="002C6574" w:rsidRDefault="00000000">
      <w:pPr>
        <w:pStyle w:val="PargrafodaLista"/>
        <w:numPr>
          <w:ilvl w:val="1"/>
          <w:numId w:val="22"/>
        </w:numPr>
        <w:tabs>
          <w:tab w:val="left" w:pos="333"/>
        </w:tabs>
        <w:spacing w:before="89" w:line="237" w:lineRule="auto"/>
        <w:ind w:left="143" w:right="703" w:firstLine="0"/>
        <w:jc w:val="both"/>
        <w:rPr>
          <w:rFonts w:ascii="Segoe UI Symbol" w:hAnsi="Segoe UI Symbol"/>
        </w:rPr>
      </w:pPr>
      <w:r>
        <w:rPr>
          <w:rFonts w:ascii="Arial" w:hAnsi="Arial"/>
          <w:b/>
        </w:rPr>
        <w:t>Taxa</w:t>
      </w:r>
      <w:r>
        <w:rPr>
          <w:rFonts w:ascii="Arial" w:hAnsi="Arial"/>
          <w:b/>
          <w:spacing w:val="-4"/>
        </w:rPr>
        <w:t xml:space="preserve"> </w:t>
      </w:r>
      <w:r>
        <w:rPr>
          <w:rFonts w:ascii="Arial" w:hAnsi="Arial"/>
          <w:b/>
        </w:rPr>
        <w:t>esperada</w:t>
      </w:r>
      <w:r>
        <w:rPr>
          <w:rFonts w:ascii="Arial" w:hAnsi="Arial"/>
          <w:b/>
          <w:spacing w:val="-2"/>
        </w:rPr>
        <w:t xml:space="preserve"> </w:t>
      </w:r>
      <w:r>
        <w:rPr>
          <w:rFonts w:ascii="Arial" w:hAnsi="Arial"/>
          <w:b/>
        </w:rPr>
        <w:t>de</w:t>
      </w:r>
      <w:r>
        <w:rPr>
          <w:rFonts w:ascii="Arial" w:hAnsi="Arial"/>
          <w:b/>
          <w:spacing w:val="-2"/>
        </w:rPr>
        <w:t xml:space="preserve"> </w:t>
      </w:r>
      <w:r>
        <w:rPr>
          <w:rFonts w:ascii="Arial" w:hAnsi="Arial"/>
          <w:b/>
        </w:rPr>
        <w:t>inflação no</w:t>
      </w:r>
      <w:r>
        <w:rPr>
          <w:rFonts w:ascii="Arial" w:hAnsi="Arial"/>
          <w:b/>
          <w:spacing w:val="-3"/>
        </w:rPr>
        <w:t xml:space="preserve"> </w:t>
      </w:r>
      <w:r>
        <w:rPr>
          <w:rFonts w:ascii="Arial" w:hAnsi="Arial"/>
          <w:b/>
        </w:rPr>
        <w:t>longo</w:t>
      </w:r>
      <w:r>
        <w:rPr>
          <w:rFonts w:ascii="Arial" w:hAnsi="Arial"/>
          <w:b/>
          <w:spacing w:val="-3"/>
        </w:rPr>
        <w:t xml:space="preserve"> </w:t>
      </w:r>
      <w:r>
        <w:rPr>
          <w:rFonts w:ascii="Arial" w:hAnsi="Arial"/>
          <w:b/>
        </w:rPr>
        <w:t>prazo:</w:t>
      </w:r>
      <w:r>
        <w:rPr>
          <w:rFonts w:ascii="Arial" w:hAnsi="Arial"/>
          <w:b/>
          <w:spacing w:val="-2"/>
        </w:rPr>
        <w:t xml:space="preserve"> </w:t>
      </w:r>
      <w:r>
        <w:rPr>
          <w:rFonts w:ascii="Segoe UI Symbol" w:hAnsi="Segoe UI Symbol"/>
        </w:rPr>
        <w:t>4,05%, obtida</w:t>
      </w:r>
      <w:r>
        <w:rPr>
          <w:rFonts w:ascii="Segoe UI Symbol" w:hAnsi="Segoe UI Symbol"/>
          <w:spacing w:val="-1"/>
        </w:rPr>
        <w:t xml:space="preserve"> </w:t>
      </w:r>
      <w:r>
        <w:rPr>
          <w:rFonts w:ascii="Segoe UI Symbol" w:hAnsi="Segoe UI Symbol"/>
        </w:rPr>
        <w:t>do</w:t>
      </w:r>
      <w:r>
        <w:rPr>
          <w:rFonts w:ascii="Segoe UI Symbol" w:hAnsi="Segoe UI Symbol"/>
          <w:spacing w:val="-3"/>
        </w:rPr>
        <w:t xml:space="preserve"> </w:t>
      </w:r>
      <w:r>
        <w:rPr>
          <w:rFonts w:ascii="Segoe UI Symbol" w:hAnsi="Segoe UI Symbol"/>
        </w:rPr>
        <w:t>relatório</w:t>
      </w:r>
      <w:r>
        <w:rPr>
          <w:rFonts w:ascii="Segoe UI Symbol" w:hAnsi="Segoe UI Symbol"/>
          <w:spacing w:val="-3"/>
        </w:rPr>
        <w:t xml:space="preserve"> </w:t>
      </w:r>
      <w:r>
        <w:rPr>
          <w:rFonts w:ascii="Segoe UI Symbol" w:hAnsi="Segoe UI Symbol"/>
        </w:rPr>
        <w:t>Focus/Bacen</w:t>
      </w:r>
      <w:r>
        <w:rPr>
          <w:rFonts w:ascii="Segoe UI Symbol" w:hAnsi="Segoe UI Symbol"/>
          <w:spacing w:val="-1"/>
        </w:rPr>
        <w:t xml:space="preserve"> </w:t>
      </w:r>
      <w:r>
        <w:rPr>
          <w:rFonts w:ascii="Segoe UI Symbol" w:hAnsi="Segoe UI Symbol"/>
        </w:rPr>
        <w:t>e</w:t>
      </w:r>
      <w:r>
        <w:rPr>
          <w:rFonts w:ascii="Segoe UI Symbol" w:hAnsi="Segoe UI Symbol"/>
          <w:spacing w:val="-3"/>
        </w:rPr>
        <w:t xml:space="preserve"> </w:t>
      </w:r>
      <w:r>
        <w:rPr>
          <w:rFonts w:ascii="Segoe UI Symbol" w:hAnsi="Segoe UI Symbol"/>
        </w:rPr>
        <w:t>representa a expectativa de inflação para 2026.</w:t>
      </w:r>
    </w:p>
    <w:p w14:paraId="78B32494" w14:textId="77777777" w:rsidR="002C6574" w:rsidRDefault="00000000">
      <w:pPr>
        <w:pStyle w:val="PargrafodaLista"/>
        <w:numPr>
          <w:ilvl w:val="0"/>
          <w:numId w:val="22"/>
        </w:numPr>
        <w:tabs>
          <w:tab w:val="left" w:pos="461"/>
        </w:tabs>
        <w:spacing w:before="282"/>
        <w:ind w:left="461" w:hanging="318"/>
        <w:rPr>
          <w:rFonts w:ascii="Arial"/>
          <w:b/>
        </w:rPr>
      </w:pPr>
      <w:r>
        <w:rPr>
          <w:rFonts w:ascii="Arial"/>
          <w:b/>
        </w:rPr>
        <w:t>Outras</w:t>
      </w:r>
      <w:r>
        <w:rPr>
          <w:rFonts w:ascii="Arial"/>
          <w:b/>
          <w:spacing w:val="-3"/>
        </w:rPr>
        <w:t xml:space="preserve"> </w:t>
      </w:r>
      <w:r>
        <w:rPr>
          <w:rFonts w:ascii="Arial"/>
          <w:b/>
          <w:spacing w:val="-2"/>
        </w:rPr>
        <w:t>Premissas:</w:t>
      </w:r>
    </w:p>
    <w:p w14:paraId="0B8F34C9" w14:textId="77777777" w:rsidR="002C6574" w:rsidRDefault="00000000">
      <w:pPr>
        <w:pStyle w:val="PargrafodaLista"/>
        <w:numPr>
          <w:ilvl w:val="1"/>
          <w:numId w:val="22"/>
        </w:numPr>
        <w:tabs>
          <w:tab w:val="left" w:pos="399"/>
        </w:tabs>
        <w:spacing w:before="222"/>
        <w:ind w:hanging="256"/>
        <w:rPr>
          <w:rFonts w:ascii="Segoe UI Symbol" w:hAnsi="Segoe UI Symbol"/>
        </w:rPr>
      </w:pPr>
      <w:r>
        <w:rPr>
          <w:rFonts w:ascii="Arial" w:hAnsi="Arial"/>
          <w:b/>
        </w:rPr>
        <w:t>Hipótese</w:t>
      </w:r>
      <w:r>
        <w:rPr>
          <w:rFonts w:ascii="Arial" w:hAnsi="Arial"/>
          <w:b/>
          <w:spacing w:val="-4"/>
        </w:rPr>
        <w:t xml:space="preserve"> </w:t>
      </w:r>
      <w:r>
        <w:rPr>
          <w:rFonts w:ascii="Arial" w:hAnsi="Arial"/>
          <w:b/>
        </w:rPr>
        <w:t>sobre</w:t>
      </w:r>
      <w:r>
        <w:rPr>
          <w:rFonts w:ascii="Arial" w:hAnsi="Arial"/>
          <w:b/>
          <w:spacing w:val="-5"/>
        </w:rPr>
        <w:t xml:space="preserve"> </w:t>
      </w:r>
      <w:r>
        <w:rPr>
          <w:rFonts w:ascii="Arial" w:hAnsi="Arial"/>
          <w:b/>
        </w:rPr>
        <w:t>Gerações</w:t>
      </w:r>
      <w:r>
        <w:rPr>
          <w:rFonts w:ascii="Arial" w:hAnsi="Arial"/>
          <w:b/>
          <w:spacing w:val="-3"/>
        </w:rPr>
        <w:t xml:space="preserve"> </w:t>
      </w:r>
      <w:r>
        <w:rPr>
          <w:rFonts w:ascii="Arial" w:hAnsi="Arial"/>
          <w:b/>
        </w:rPr>
        <w:t>Futuras</w:t>
      </w:r>
      <w:r>
        <w:rPr>
          <w:rFonts w:ascii="Arial" w:hAnsi="Arial"/>
          <w:b/>
          <w:spacing w:val="-6"/>
        </w:rPr>
        <w:t xml:space="preserve"> </w:t>
      </w:r>
      <w:r>
        <w:rPr>
          <w:rFonts w:ascii="Arial" w:hAnsi="Arial"/>
          <w:b/>
        </w:rPr>
        <w:t>de</w:t>
      </w:r>
      <w:r>
        <w:rPr>
          <w:rFonts w:ascii="Arial" w:hAnsi="Arial"/>
          <w:b/>
          <w:spacing w:val="-5"/>
        </w:rPr>
        <w:t xml:space="preserve"> </w:t>
      </w:r>
      <w:r>
        <w:rPr>
          <w:rFonts w:ascii="Arial" w:hAnsi="Arial"/>
          <w:b/>
        </w:rPr>
        <w:t>Novos</w:t>
      </w:r>
      <w:r>
        <w:rPr>
          <w:rFonts w:ascii="Arial" w:hAnsi="Arial"/>
          <w:b/>
          <w:spacing w:val="-4"/>
        </w:rPr>
        <w:t xml:space="preserve"> </w:t>
      </w:r>
      <w:r>
        <w:rPr>
          <w:rFonts w:ascii="Arial" w:hAnsi="Arial"/>
          <w:b/>
        </w:rPr>
        <w:t>Entrados:</w:t>
      </w:r>
      <w:r>
        <w:rPr>
          <w:rFonts w:ascii="Arial" w:hAnsi="Arial"/>
          <w:b/>
          <w:spacing w:val="-2"/>
        </w:rPr>
        <w:t xml:space="preserve"> </w:t>
      </w:r>
      <w:r>
        <w:rPr>
          <w:rFonts w:ascii="Segoe UI Symbol" w:hAnsi="Segoe UI Symbol"/>
        </w:rPr>
        <w:t>Não</w:t>
      </w:r>
      <w:r>
        <w:rPr>
          <w:rFonts w:ascii="Segoe UI Symbol" w:hAnsi="Segoe UI Symbol"/>
          <w:spacing w:val="-4"/>
        </w:rPr>
        <w:t xml:space="preserve"> </w:t>
      </w:r>
      <w:r>
        <w:rPr>
          <w:rFonts w:ascii="Segoe UI Symbol" w:hAnsi="Segoe UI Symbol"/>
          <w:spacing w:val="-2"/>
        </w:rPr>
        <w:t>usada;</w:t>
      </w:r>
    </w:p>
    <w:p w14:paraId="0FE8AF9B" w14:textId="77777777" w:rsidR="002C6574" w:rsidRDefault="00000000">
      <w:pPr>
        <w:pStyle w:val="PargrafodaLista"/>
        <w:numPr>
          <w:ilvl w:val="1"/>
          <w:numId w:val="22"/>
        </w:numPr>
        <w:tabs>
          <w:tab w:val="left" w:pos="412"/>
        </w:tabs>
        <w:spacing w:before="87"/>
        <w:ind w:left="412" w:hanging="269"/>
        <w:rPr>
          <w:rFonts w:ascii="Segoe UI Symbol" w:hAnsi="Segoe UI Symbol"/>
        </w:rPr>
      </w:pPr>
      <w:r>
        <w:rPr>
          <w:rFonts w:ascii="Arial" w:hAnsi="Arial"/>
          <w:b/>
        </w:rPr>
        <w:t>Hipótese</w:t>
      </w:r>
      <w:r>
        <w:rPr>
          <w:rFonts w:ascii="Arial" w:hAnsi="Arial"/>
          <w:b/>
          <w:spacing w:val="-3"/>
        </w:rPr>
        <w:t xml:space="preserve"> </w:t>
      </w:r>
      <w:r>
        <w:rPr>
          <w:rFonts w:ascii="Arial" w:hAnsi="Arial"/>
          <w:b/>
        </w:rPr>
        <w:t>sobre</w:t>
      </w:r>
      <w:r>
        <w:rPr>
          <w:rFonts w:ascii="Arial" w:hAnsi="Arial"/>
          <w:b/>
          <w:spacing w:val="-2"/>
        </w:rPr>
        <w:t xml:space="preserve"> </w:t>
      </w:r>
      <w:r>
        <w:rPr>
          <w:rFonts w:ascii="Arial" w:hAnsi="Arial"/>
          <w:b/>
        </w:rPr>
        <w:t>a</w:t>
      </w:r>
      <w:r>
        <w:rPr>
          <w:rFonts w:ascii="Arial" w:hAnsi="Arial"/>
          <w:b/>
          <w:spacing w:val="-3"/>
        </w:rPr>
        <w:t xml:space="preserve"> </w:t>
      </w:r>
      <w:r>
        <w:rPr>
          <w:rFonts w:ascii="Arial" w:hAnsi="Arial"/>
          <w:b/>
        </w:rPr>
        <w:t>Composição</w:t>
      </w:r>
      <w:r>
        <w:rPr>
          <w:rFonts w:ascii="Arial" w:hAnsi="Arial"/>
          <w:b/>
          <w:spacing w:val="-5"/>
        </w:rPr>
        <w:t xml:space="preserve"> </w:t>
      </w:r>
      <w:r>
        <w:rPr>
          <w:rFonts w:ascii="Arial" w:hAnsi="Arial"/>
          <w:b/>
        </w:rPr>
        <w:t>da</w:t>
      </w:r>
      <w:r>
        <w:rPr>
          <w:rFonts w:ascii="Arial" w:hAnsi="Arial"/>
          <w:b/>
          <w:spacing w:val="-4"/>
        </w:rPr>
        <w:t xml:space="preserve"> </w:t>
      </w:r>
      <w:r>
        <w:rPr>
          <w:rFonts w:ascii="Arial" w:hAnsi="Arial"/>
          <w:b/>
        </w:rPr>
        <w:t>Família</w:t>
      </w:r>
      <w:r>
        <w:rPr>
          <w:rFonts w:ascii="Arial" w:hAnsi="Arial"/>
          <w:b/>
          <w:spacing w:val="-6"/>
        </w:rPr>
        <w:t xml:space="preserve"> </w:t>
      </w:r>
      <w:r>
        <w:rPr>
          <w:rFonts w:ascii="Arial" w:hAnsi="Arial"/>
          <w:b/>
        </w:rPr>
        <w:t>de</w:t>
      </w:r>
      <w:r>
        <w:rPr>
          <w:rFonts w:ascii="Arial" w:hAnsi="Arial"/>
          <w:b/>
          <w:spacing w:val="-2"/>
        </w:rPr>
        <w:t xml:space="preserve"> </w:t>
      </w:r>
      <w:r>
        <w:rPr>
          <w:rFonts w:ascii="Arial" w:hAnsi="Arial"/>
          <w:b/>
        </w:rPr>
        <w:t>Pensionistas:</w:t>
      </w:r>
      <w:r>
        <w:rPr>
          <w:rFonts w:ascii="Arial" w:hAnsi="Arial"/>
          <w:b/>
          <w:spacing w:val="-5"/>
        </w:rPr>
        <w:t xml:space="preserve"> </w:t>
      </w:r>
      <w:r>
        <w:rPr>
          <w:rFonts w:ascii="Segoe UI Symbol" w:hAnsi="Segoe UI Symbol"/>
        </w:rPr>
        <w:t>família</w:t>
      </w:r>
      <w:r>
        <w:rPr>
          <w:rFonts w:ascii="Segoe UI Symbol" w:hAnsi="Segoe UI Symbol"/>
          <w:spacing w:val="-4"/>
        </w:rPr>
        <w:t xml:space="preserve"> </w:t>
      </w:r>
      <w:r>
        <w:rPr>
          <w:rFonts w:ascii="Segoe UI Symbol" w:hAnsi="Segoe UI Symbol"/>
          <w:spacing w:val="-2"/>
        </w:rPr>
        <w:t>real.</w:t>
      </w:r>
    </w:p>
    <w:p w14:paraId="6CA583B4" w14:textId="77777777" w:rsidR="002C6574" w:rsidRDefault="002C6574">
      <w:pPr>
        <w:pStyle w:val="Corpodetexto"/>
        <w:spacing w:before="29"/>
      </w:pPr>
    </w:p>
    <w:p w14:paraId="24BA8BA6" w14:textId="77777777" w:rsidR="002C6574" w:rsidRDefault="00000000">
      <w:pPr>
        <w:pStyle w:val="PargrafodaLista"/>
        <w:numPr>
          <w:ilvl w:val="2"/>
          <w:numId w:val="27"/>
        </w:numPr>
        <w:tabs>
          <w:tab w:val="left" w:pos="990"/>
        </w:tabs>
        <w:ind w:left="990" w:hanging="847"/>
        <w:rPr>
          <w:rFonts w:ascii="Arial" w:hAnsi="Arial"/>
          <w:b/>
        </w:rPr>
      </w:pPr>
      <w:r>
        <w:rPr>
          <w:rFonts w:ascii="Arial" w:hAnsi="Arial"/>
          <w:b/>
        </w:rPr>
        <w:t>Plano</w:t>
      </w:r>
      <w:r>
        <w:rPr>
          <w:rFonts w:ascii="Arial" w:hAnsi="Arial"/>
          <w:b/>
          <w:spacing w:val="-3"/>
        </w:rPr>
        <w:t xml:space="preserve"> </w:t>
      </w:r>
      <w:r>
        <w:rPr>
          <w:rFonts w:ascii="Arial" w:hAnsi="Arial"/>
          <w:b/>
        </w:rPr>
        <w:t>de</w:t>
      </w:r>
      <w:r>
        <w:rPr>
          <w:rFonts w:ascii="Arial" w:hAnsi="Arial"/>
          <w:b/>
          <w:spacing w:val="-2"/>
        </w:rPr>
        <w:t xml:space="preserve"> </w:t>
      </w:r>
      <w:r>
        <w:rPr>
          <w:rFonts w:ascii="Arial" w:hAnsi="Arial"/>
          <w:b/>
        </w:rPr>
        <w:t>Benefícios</w:t>
      </w:r>
      <w:r>
        <w:rPr>
          <w:rFonts w:ascii="Arial" w:hAnsi="Arial"/>
          <w:b/>
          <w:spacing w:val="-3"/>
        </w:rPr>
        <w:t xml:space="preserve"> </w:t>
      </w:r>
      <w:r>
        <w:rPr>
          <w:rFonts w:ascii="Arial" w:hAnsi="Arial"/>
          <w:b/>
        </w:rPr>
        <w:t>Telebras</w:t>
      </w:r>
      <w:r>
        <w:rPr>
          <w:rFonts w:ascii="Arial" w:hAnsi="Arial"/>
          <w:b/>
          <w:spacing w:val="-2"/>
        </w:rPr>
        <w:t xml:space="preserve"> </w:t>
      </w:r>
      <w:r>
        <w:rPr>
          <w:rFonts w:ascii="Arial" w:hAnsi="Arial"/>
          <w:b/>
          <w:spacing w:val="-4"/>
        </w:rPr>
        <w:t>PREV</w:t>
      </w:r>
    </w:p>
    <w:p w14:paraId="238C3181" w14:textId="77777777" w:rsidR="002C6574" w:rsidRDefault="002C6574">
      <w:pPr>
        <w:pStyle w:val="Corpodetexto"/>
        <w:spacing w:before="36"/>
        <w:rPr>
          <w:rFonts w:ascii="Arial"/>
          <w:b/>
        </w:rPr>
      </w:pPr>
    </w:p>
    <w:p w14:paraId="5453DF4E" w14:textId="77777777" w:rsidR="002C6574" w:rsidRDefault="00000000">
      <w:pPr>
        <w:pStyle w:val="PargrafodaLista"/>
        <w:numPr>
          <w:ilvl w:val="0"/>
          <w:numId w:val="21"/>
        </w:numPr>
        <w:tabs>
          <w:tab w:val="left" w:pos="339"/>
        </w:tabs>
        <w:ind w:left="339" w:hanging="196"/>
        <w:rPr>
          <w:rFonts w:ascii="Arial" w:hAnsi="Arial"/>
          <w:b/>
        </w:rPr>
      </w:pPr>
      <w:r>
        <w:rPr>
          <w:rFonts w:ascii="Arial" w:hAnsi="Arial"/>
          <w:b/>
        </w:rPr>
        <w:t>Premissas</w:t>
      </w:r>
      <w:r>
        <w:rPr>
          <w:rFonts w:ascii="Arial" w:hAnsi="Arial"/>
          <w:b/>
          <w:spacing w:val="-3"/>
        </w:rPr>
        <w:t xml:space="preserve"> </w:t>
      </w:r>
      <w:r>
        <w:rPr>
          <w:rFonts w:ascii="Arial" w:hAnsi="Arial"/>
          <w:b/>
          <w:spacing w:val="-2"/>
        </w:rPr>
        <w:t>Biométricas:</w:t>
      </w:r>
    </w:p>
    <w:p w14:paraId="30AA8B14" w14:textId="77777777" w:rsidR="002C6574" w:rsidRDefault="00000000">
      <w:pPr>
        <w:pStyle w:val="PargrafodaLista"/>
        <w:numPr>
          <w:ilvl w:val="1"/>
          <w:numId w:val="21"/>
        </w:numPr>
        <w:tabs>
          <w:tab w:val="left" w:pos="398"/>
        </w:tabs>
        <w:spacing w:before="223"/>
        <w:ind w:left="398" w:hanging="255"/>
        <w:jc w:val="both"/>
        <w:rPr>
          <w:rFonts w:ascii="Segoe UI Symbol" w:hAnsi="Segoe UI Symbol"/>
        </w:rPr>
      </w:pPr>
      <w:r>
        <w:rPr>
          <w:rFonts w:ascii="Arial" w:hAnsi="Arial"/>
          <w:b/>
        </w:rPr>
        <w:t>Tábua</w:t>
      </w:r>
      <w:r>
        <w:rPr>
          <w:rFonts w:ascii="Arial" w:hAnsi="Arial"/>
          <w:b/>
          <w:spacing w:val="2"/>
        </w:rPr>
        <w:t xml:space="preserve"> </w:t>
      </w:r>
      <w:r>
        <w:rPr>
          <w:rFonts w:ascii="Arial" w:hAnsi="Arial"/>
          <w:b/>
        </w:rPr>
        <w:t>de</w:t>
      </w:r>
      <w:r>
        <w:rPr>
          <w:rFonts w:ascii="Arial" w:hAnsi="Arial"/>
          <w:b/>
          <w:spacing w:val="4"/>
        </w:rPr>
        <w:t xml:space="preserve"> </w:t>
      </w:r>
      <w:r>
        <w:rPr>
          <w:rFonts w:ascii="Arial" w:hAnsi="Arial"/>
          <w:b/>
        </w:rPr>
        <w:t>mortalidade</w:t>
      </w:r>
      <w:r>
        <w:rPr>
          <w:rFonts w:ascii="Arial" w:hAnsi="Arial"/>
          <w:b/>
          <w:spacing w:val="8"/>
        </w:rPr>
        <w:t xml:space="preserve"> </w:t>
      </w:r>
      <w:r>
        <w:rPr>
          <w:rFonts w:ascii="Arial" w:hAnsi="Arial"/>
          <w:b/>
        </w:rPr>
        <w:t>geral:</w:t>
      </w:r>
      <w:r>
        <w:rPr>
          <w:rFonts w:ascii="Arial" w:hAnsi="Arial"/>
          <w:b/>
          <w:spacing w:val="10"/>
        </w:rPr>
        <w:t xml:space="preserve"> </w:t>
      </w:r>
      <w:r>
        <w:rPr>
          <w:rFonts w:ascii="Segoe UI Symbol" w:hAnsi="Segoe UI Symbol"/>
        </w:rPr>
        <w:t>AT</w:t>
      </w:r>
      <w:r>
        <w:rPr>
          <w:rFonts w:ascii="Segoe UI Symbol" w:hAnsi="Segoe UI Symbol"/>
          <w:spacing w:val="4"/>
        </w:rPr>
        <w:t xml:space="preserve"> </w:t>
      </w:r>
      <w:r>
        <w:rPr>
          <w:rFonts w:ascii="Segoe UI Symbol" w:hAnsi="Segoe UI Symbol"/>
        </w:rPr>
        <w:t>2012</w:t>
      </w:r>
      <w:r>
        <w:rPr>
          <w:rFonts w:ascii="Segoe UI Symbol" w:hAnsi="Segoe UI Symbol"/>
          <w:spacing w:val="6"/>
        </w:rPr>
        <w:t xml:space="preserve"> </w:t>
      </w:r>
      <w:r>
        <w:rPr>
          <w:rFonts w:ascii="Segoe UI Symbol" w:hAnsi="Segoe UI Symbol"/>
        </w:rPr>
        <w:t>IAM</w:t>
      </w:r>
      <w:r>
        <w:rPr>
          <w:rFonts w:ascii="Segoe UI Symbol" w:hAnsi="Segoe UI Symbol"/>
          <w:spacing w:val="5"/>
        </w:rPr>
        <w:t xml:space="preserve"> </w:t>
      </w:r>
      <w:r>
        <w:rPr>
          <w:rFonts w:ascii="Segoe UI Symbol" w:hAnsi="Segoe UI Symbol"/>
        </w:rPr>
        <w:t>Basic</w:t>
      </w:r>
      <w:r>
        <w:rPr>
          <w:rFonts w:ascii="Segoe UI Symbol" w:hAnsi="Segoe UI Symbol"/>
          <w:spacing w:val="8"/>
        </w:rPr>
        <w:t xml:space="preserve"> </w:t>
      </w:r>
      <w:r>
        <w:rPr>
          <w:rFonts w:ascii="Segoe UI Symbol" w:hAnsi="Segoe UI Symbol"/>
        </w:rPr>
        <w:t>segregada</w:t>
      </w:r>
      <w:r>
        <w:rPr>
          <w:rFonts w:ascii="Segoe UI Symbol" w:hAnsi="Segoe UI Symbol"/>
          <w:spacing w:val="7"/>
        </w:rPr>
        <w:t xml:space="preserve"> </w:t>
      </w:r>
      <w:r>
        <w:rPr>
          <w:rFonts w:ascii="Segoe UI Symbol" w:hAnsi="Segoe UI Symbol"/>
        </w:rPr>
        <w:t>por</w:t>
      </w:r>
      <w:r>
        <w:rPr>
          <w:rFonts w:ascii="Segoe UI Symbol" w:hAnsi="Segoe UI Symbol"/>
          <w:spacing w:val="7"/>
        </w:rPr>
        <w:t xml:space="preserve"> </w:t>
      </w:r>
      <w:r>
        <w:rPr>
          <w:rFonts w:ascii="Segoe UI Symbol" w:hAnsi="Segoe UI Symbol"/>
          <w:spacing w:val="-2"/>
        </w:rPr>
        <w:t>sexo;</w:t>
      </w:r>
    </w:p>
    <w:p w14:paraId="19A64CA5" w14:textId="77777777" w:rsidR="002C6574" w:rsidRDefault="00000000">
      <w:pPr>
        <w:pStyle w:val="PargrafodaLista"/>
        <w:numPr>
          <w:ilvl w:val="1"/>
          <w:numId w:val="21"/>
        </w:numPr>
        <w:tabs>
          <w:tab w:val="left" w:pos="410"/>
        </w:tabs>
        <w:spacing w:before="86"/>
        <w:ind w:left="410" w:hanging="267"/>
        <w:rPr>
          <w:rFonts w:ascii="Segoe UI Symbol" w:hAnsi="Segoe UI Symbol"/>
        </w:rPr>
      </w:pPr>
      <w:r>
        <w:rPr>
          <w:rFonts w:ascii="Arial" w:hAnsi="Arial"/>
          <w:b/>
        </w:rPr>
        <w:t>Tábua</w:t>
      </w:r>
      <w:r>
        <w:rPr>
          <w:rFonts w:ascii="Arial" w:hAnsi="Arial"/>
          <w:b/>
          <w:spacing w:val="-5"/>
        </w:rPr>
        <w:t xml:space="preserve"> </w:t>
      </w:r>
      <w:r>
        <w:rPr>
          <w:rFonts w:ascii="Arial" w:hAnsi="Arial"/>
          <w:b/>
        </w:rPr>
        <w:t>de</w:t>
      </w:r>
      <w:r>
        <w:rPr>
          <w:rFonts w:ascii="Arial" w:hAnsi="Arial"/>
          <w:b/>
          <w:spacing w:val="-1"/>
        </w:rPr>
        <w:t xml:space="preserve"> </w:t>
      </w:r>
      <w:r>
        <w:rPr>
          <w:rFonts w:ascii="Arial" w:hAnsi="Arial"/>
          <w:b/>
        </w:rPr>
        <w:t>entrada</w:t>
      </w:r>
      <w:r>
        <w:rPr>
          <w:rFonts w:ascii="Arial" w:hAnsi="Arial"/>
          <w:b/>
          <w:spacing w:val="-4"/>
        </w:rPr>
        <w:t xml:space="preserve"> </w:t>
      </w:r>
      <w:r>
        <w:rPr>
          <w:rFonts w:ascii="Arial" w:hAnsi="Arial"/>
          <w:b/>
        </w:rPr>
        <w:t>em</w:t>
      </w:r>
      <w:r>
        <w:rPr>
          <w:rFonts w:ascii="Arial" w:hAnsi="Arial"/>
          <w:b/>
          <w:spacing w:val="-3"/>
        </w:rPr>
        <w:t xml:space="preserve"> </w:t>
      </w:r>
      <w:r>
        <w:rPr>
          <w:rFonts w:ascii="Arial" w:hAnsi="Arial"/>
          <w:b/>
        </w:rPr>
        <w:t>invalidez:</w:t>
      </w:r>
      <w:r>
        <w:rPr>
          <w:rFonts w:ascii="Arial" w:hAnsi="Arial"/>
          <w:b/>
          <w:spacing w:val="-4"/>
        </w:rPr>
        <w:t xml:space="preserve"> </w:t>
      </w:r>
      <w:r>
        <w:rPr>
          <w:rFonts w:ascii="Segoe UI Symbol" w:hAnsi="Segoe UI Symbol"/>
        </w:rPr>
        <w:t>Grupo</w:t>
      </w:r>
      <w:r>
        <w:rPr>
          <w:rFonts w:ascii="Segoe UI Symbol" w:hAnsi="Segoe UI Symbol"/>
          <w:spacing w:val="-2"/>
        </w:rPr>
        <w:t xml:space="preserve"> Americana;</w:t>
      </w:r>
    </w:p>
    <w:p w14:paraId="1BD70945" w14:textId="77777777" w:rsidR="002C6574" w:rsidRDefault="00000000">
      <w:pPr>
        <w:pStyle w:val="PargrafodaLista"/>
        <w:numPr>
          <w:ilvl w:val="1"/>
          <w:numId w:val="21"/>
        </w:numPr>
        <w:tabs>
          <w:tab w:val="left" w:pos="398"/>
        </w:tabs>
        <w:spacing w:before="89"/>
        <w:ind w:left="398" w:hanging="255"/>
        <w:rPr>
          <w:rFonts w:ascii="Segoe UI Symbol" w:hAnsi="Segoe UI Symbol"/>
        </w:rPr>
      </w:pPr>
      <w:r>
        <w:rPr>
          <w:rFonts w:ascii="Arial" w:hAnsi="Arial"/>
          <w:b/>
        </w:rPr>
        <w:t>Tábua de</w:t>
      </w:r>
      <w:r>
        <w:rPr>
          <w:rFonts w:ascii="Arial" w:hAnsi="Arial"/>
          <w:b/>
          <w:spacing w:val="3"/>
        </w:rPr>
        <w:t xml:space="preserve"> </w:t>
      </w:r>
      <w:r>
        <w:rPr>
          <w:rFonts w:ascii="Arial" w:hAnsi="Arial"/>
          <w:b/>
        </w:rPr>
        <w:t>mortalidade</w:t>
      </w:r>
      <w:r>
        <w:rPr>
          <w:rFonts w:ascii="Arial" w:hAnsi="Arial"/>
          <w:b/>
          <w:spacing w:val="7"/>
        </w:rPr>
        <w:t xml:space="preserve"> </w:t>
      </w:r>
      <w:r>
        <w:rPr>
          <w:rFonts w:ascii="Arial" w:hAnsi="Arial"/>
          <w:b/>
        </w:rPr>
        <w:t>de</w:t>
      </w:r>
      <w:r>
        <w:rPr>
          <w:rFonts w:ascii="Arial" w:hAnsi="Arial"/>
          <w:b/>
          <w:spacing w:val="3"/>
        </w:rPr>
        <w:t xml:space="preserve"> </w:t>
      </w:r>
      <w:r>
        <w:rPr>
          <w:rFonts w:ascii="Arial" w:hAnsi="Arial"/>
          <w:b/>
        </w:rPr>
        <w:t>inválidos:</w:t>
      </w:r>
      <w:r>
        <w:rPr>
          <w:rFonts w:ascii="Arial" w:hAnsi="Arial"/>
          <w:b/>
          <w:spacing w:val="5"/>
        </w:rPr>
        <w:t xml:space="preserve"> </w:t>
      </w:r>
      <w:r>
        <w:rPr>
          <w:rFonts w:ascii="Segoe UI Symbol" w:hAnsi="Segoe UI Symbol"/>
        </w:rPr>
        <w:t>RP-2000</w:t>
      </w:r>
      <w:r>
        <w:rPr>
          <w:rFonts w:ascii="Segoe UI Symbol" w:hAnsi="Segoe UI Symbol"/>
          <w:spacing w:val="4"/>
        </w:rPr>
        <w:t xml:space="preserve"> </w:t>
      </w:r>
      <w:r>
        <w:rPr>
          <w:rFonts w:ascii="Segoe UI Symbol" w:hAnsi="Segoe UI Symbol"/>
          <w:spacing w:val="-2"/>
        </w:rPr>
        <w:t>Feminina;</w:t>
      </w:r>
    </w:p>
    <w:p w14:paraId="238B5FCE" w14:textId="77777777" w:rsidR="002C6574" w:rsidRDefault="00000000">
      <w:pPr>
        <w:pStyle w:val="PargrafodaLista"/>
        <w:numPr>
          <w:ilvl w:val="1"/>
          <w:numId w:val="21"/>
        </w:numPr>
        <w:tabs>
          <w:tab w:val="left" w:pos="419"/>
        </w:tabs>
        <w:spacing w:before="89" w:line="237" w:lineRule="auto"/>
        <w:ind w:left="143" w:right="703" w:firstLine="0"/>
        <w:jc w:val="both"/>
        <w:rPr>
          <w:rFonts w:ascii="Segoe UI Symbol" w:hAnsi="Segoe UI Symbol"/>
        </w:rPr>
      </w:pPr>
      <w:r>
        <w:rPr>
          <w:rFonts w:ascii="Arial" w:hAnsi="Arial"/>
          <w:b/>
        </w:rPr>
        <w:t xml:space="preserve">Tábua de serviço - </w:t>
      </w:r>
      <w:r>
        <w:rPr>
          <w:rFonts w:ascii="Segoe UI Symbol" w:hAnsi="Segoe UI Symbol"/>
        </w:rPr>
        <w:t>Combinação das tábuas de mortalidade geral, de entrada em invalidez e de mortalidade de inválidos, utilizando-se o Método dos Multidecrementos.</w:t>
      </w:r>
    </w:p>
    <w:p w14:paraId="34E71D1B" w14:textId="77777777" w:rsidR="002C6574" w:rsidRDefault="002C6574">
      <w:pPr>
        <w:pStyle w:val="PargrafodaLista"/>
        <w:spacing w:line="237" w:lineRule="auto"/>
        <w:jc w:val="both"/>
        <w:rPr>
          <w:rFonts w:ascii="Segoe UI Symbol" w:hAnsi="Segoe UI Symbol"/>
        </w:rPr>
        <w:sectPr w:rsidR="002C6574">
          <w:pgSz w:w="11910" w:h="16840"/>
          <w:pgMar w:top="1820" w:right="141" w:bottom="1320" w:left="1133" w:header="1084" w:footer="1089" w:gutter="0"/>
          <w:cols w:space="720"/>
        </w:sectPr>
      </w:pPr>
    </w:p>
    <w:p w14:paraId="21546249" w14:textId="77777777" w:rsidR="002C6574" w:rsidRDefault="00000000">
      <w:pPr>
        <w:numPr>
          <w:ilvl w:val="0"/>
          <w:numId w:val="21"/>
        </w:numPr>
        <w:tabs>
          <w:tab w:val="left" w:pos="401"/>
        </w:tabs>
        <w:spacing w:before="229"/>
        <w:ind w:left="401" w:hanging="258"/>
        <w:rPr>
          <w:rFonts w:ascii="Arial" w:hAnsi="Arial"/>
          <w:b/>
        </w:rPr>
      </w:pPr>
      <w:r>
        <w:rPr>
          <w:rFonts w:ascii="Arial" w:hAnsi="Arial"/>
          <w:b/>
        </w:rPr>
        <w:lastRenderedPageBreak/>
        <w:t>Premissas</w:t>
      </w:r>
      <w:r>
        <w:rPr>
          <w:rFonts w:ascii="Arial" w:hAnsi="Arial"/>
          <w:b/>
          <w:spacing w:val="-5"/>
        </w:rPr>
        <w:t xml:space="preserve"> </w:t>
      </w:r>
      <w:r>
        <w:rPr>
          <w:rFonts w:ascii="Arial" w:hAnsi="Arial"/>
          <w:b/>
          <w:spacing w:val="-2"/>
        </w:rPr>
        <w:t>Econômicas:</w:t>
      </w:r>
    </w:p>
    <w:p w14:paraId="3D4B5D51" w14:textId="77777777" w:rsidR="002C6574" w:rsidRDefault="00000000">
      <w:pPr>
        <w:pStyle w:val="PargrafodaLista"/>
        <w:numPr>
          <w:ilvl w:val="1"/>
          <w:numId w:val="21"/>
        </w:numPr>
        <w:tabs>
          <w:tab w:val="left" w:pos="399"/>
        </w:tabs>
        <w:spacing w:before="225" w:line="237" w:lineRule="auto"/>
        <w:ind w:left="143" w:right="704" w:firstLine="0"/>
        <w:jc w:val="both"/>
        <w:rPr>
          <w:rFonts w:ascii="Segoe UI Symbol" w:hAnsi="Segoe UI Symbol"/>
        </w:rPr>
      </w:pPr>
      <w:r>
        <w:rPr>
          <w:rFonts w:ascii="Arial" w:hAnsi="Arial"/>
          <w:b/>
          <w:spacing w:val="-2"/>
          <w:w w:val="105"/>
        </w:rPr>
        <w:t>Taxa</w:t>
      </w:r>
      <w:r>
        <w:rPr>
          <w:rFonts w:ascii="Arial" w:hAnsi="Arial"/>
          <w:b/>
          <w:spacing w:val="-11"/>
          <w:w w:val="105"/>
        </w:rPr>
        <w:t xml:space="preserve"> </w:t>
      </w:r>
      <w:r>
        <w:rPr>
          <w:rFonts w:ascii="Arial" w:hAnsi="Arial"/>
          <w:b/>
          <w:spacing w:val="-2"/>
          <w:w w:val="105"/>
        </w:rPr>
        <w:t>real</w:t>
      </w:r>
      <w:r>
        <w:rPr>
          <w:rFonts w:ascii="Arial" w:hAnsi="Arial"/>
          <w:b/>
          <w:spacing w:val="-7"/>
          <w:w w:val="105"/>
        </w:rPr>
        <w:t xml:space="preserve"> </w:t>
      </w:r>
      <w:r>
        <w:rPr>
          <w:rFonts w:ascii="Arial" w:hAnsi="Arial"/>
          <w:b/>
          <w:spacing w:val="-2"/>
          <w:w w:val="105"/>
        </w:rPr>
        <w:t>de</w:t>
      </w:r>
      <w:r>
        <w:rPr>
          <w:rFonts w:ascii="Arial" w:hAnsi="Arial"/>
          <w:b/>
          <w:spacing w:val="-11"/>
          <w:w w:val="105"/>
        </w:rPr>
        <w:t xml:space="preserve"> </w:t>
      </w:r>
      <w:r>
        <w:rPr>
          <w:rFonts w:ascii="Arial" w:hAnsi="Arial"/>
          <w:b/>
          <w:spacing w:val="-2"/>
          <w:w w:val="105"/>
        </w:rPr>
        <w:t>desconto</w:t>
      </w:r>
      <w:r>
        <w:rPr>
          <w:rFonts w:ascii="Arial" w:hAnsi="Arial"/>
          <w:b/>
          <w:spacing w:val="-10"/>
          <w:w w:val="105"/>
        </w:rPr>
        <w:t xml:space="preserve"> </w:t>
      </w:r>
      <w:r>
        <w:rPr>
          <w:rFonts w:ascii="Arial" w:hAnsi="Arial"/>
          <w:b/>
          <w:spacing w:val="-2"/>
          <w:w w:val="105"/>
        </w:rPr>
        <w:t>atuarial</w:t>
      </w:r>
      <w:r>
        <w:rPr>
          <w:rFonts w:ascii="Arial" w:hAnsi="Arial"/>
          <w:b/>
          <w:spacing w:val="-7"/>
          <w:w w:val="105"/>
        </w:rPr>
        <w:t xml:space="preserve"> </w:t>
      </w:r>
      <w:r>
        <w:rPr>
          <w:rFonts w:ascii="Arial" w:hAnsi="Arial"/>
          <w:b/>
          <w:spacing w:val="-2"/>
          <w:w w:val="105"/>
        </w:rPr>
        <w:t>de</w:t>
      </w:r>
      <w:r>
        <w:rPr>
          <w:rFonts w:ascii="Arial" w:hAnsi="Arial"/>
          <w:b/>
          <w:spacing w:val="-12"/>
          <w:w w:val="105"/>
        </w:rPr>
        <w:t xml:space="preserve"> </w:t>
      </w:r>
      <w:r>
        <w:rPr>
          <w:rFonts w:ascii="Arial" w:hAnsi="Arial"/>
          <w:b/>
          <w:spacing w:val="-2"/>
          <w:w w:val="105"/>
        </w:rPr>
        <w:t>longo</w:t>
      </w:r>
      <w:r>
        <w:rPr>
          <w:rFonts w:ascii="Arial" w:hAnsi="Arial"/>
          <w:b/>
          <w:spacing w:val="-11"/>
          <w:w w:val="105"/>
        </w:rPr>
        <w:t xml:space="preserve"> </w:t>
      </w:r>
      <w:r>
        <w:rPr>
          <w:rFonts w:ascii="Arial" w:hAnsi="Arial"/>
          <w:b/>
          <w:spacing w:val="-2"/>
          <w:w w:val="105"/>
        </w:rPr>
        <w:t>prazo:</w:t>
      </w:r>
      <w:r>
        <w:rPr>
          <w:rFonts w:ascii="Arial" w:hAnsi="Arial"/>
          <w:b/>
          <w:spacing w:val="-8"/>
          <w:w w:val="105"/>
        </w:rPr>
        <w:t xml:space="preserve"> </w:t>
      </w:r>
      <w:r>
        <w:rPr>
          <w:rFonts w:ascii="Segoe UI Symbol" w:hAnsi="Segoe UI Symbol"/>
          <w:spacing w:val="-2"/>
          <w:w w:val="105"/>
        </w:rPr>
        <w:t>7,37%,</w:t>
      </w:r>
      <w:r>
        <w:rPr>
          <w:rFonts w:ascii="Segoe UI Symbol" w:hAnsi="Segoe UI Symbol"/>
          <w:spacing w:val="-9"/>
          <w:w w:val="105"/>
        </w:rPr>
        <w:t xml:space="preserve"> </w:t>
      </w:r>
      <w:r>
        <w:rPr>
          <w:rFonts w:ascii="Segoe UI Symbol" w:hAnsi="Segoe UI Symbol"/>
          <w:spacing w:val="-2"/>
          <w:w w:val="105"/>
        </w:rPr>
        <w:t>obtida</w:t>
      </w:r>
      <w:r>
        <w:rPr>
          <w:rFonts w:ascii="Segoe UI Symbol" w:hAnsi="Segoe UI Symbol"/>
          <w:spacing w:val="-9"/>
          <w:w w:val="105"/>
        </w:rPr>
        <w:t xml:space="preserve"> </w:t>
      </w:r>
      <w:r>
        <w:rPr>
          <w:rFonts w:ascii="Segoe UI Symbol" w:hAnsi="Segoe UI Symbol"/>
          <w:spacing w:val="-2"/>
          <w:w w:val="105"/>
        </w:rPr>
        <w:t>a</w:t>
      </w:r>
      <w:r>
        <w:rPr>
          <w:rFonts w:ascii="Segoe UI Symbol" w:hAnsi="Segoe UI Symbol"/>
          <w:spacing w:val="-10"/>
          <w:w w:val="105"/>
        </w:rPr>
        <w:t xml:space="preserve"> </w:t>
      </w:r>
      <w:r>
        <w:rPr>
          <w:rFonts w:ascii="Segoe UI Symbol" w:hAnsi="Segoe UI Symbol"/>
          <w:spacing w:val="-2"/>
          <w:w w:val="105"/>
        </w:rPr>
        <w:t>partir</w:t>
      </w:r>
      <w:r>
        <w:rPr>
          <w:rFonts w:ascii="Segoe UI Symbol" w:hAnsi="Segoe UI Symbol"/>
          <w:spacing w:val="-7"/>
          <w:w w:val="105"/>
        </w:rPr>
        <w:t xml:space="preserve"> </w:t>
      </w:r>
      <w:r>
        <w:rPr>
          <w:rFonts w:ascii="Segoe UI Symbol" w:hAnsi="Segoe UI Symbol"/>
          <w:spacing w:val="-2"/>
          <w:w w:val="105"/>
        </w:rPr>
        <w:t>da</w:t>
      </w:r>
      <w:r>
        <w:rPr>
          <w:rFonts w:ascii="Segoe UI Symbol" w:hAnsi="Segoe UI Symbol"/>
          <w:spacing w:val="-10"/>
          <w:w w:val="105"/>
        </w:rPr>
        <w:t xml:space="preserve"> </w:t>
      </w:r>
      <w:r>
        <w:rPr>
          <w:rFonts w:ascii="Segoe UI Symbol" w:hAnsi="Segoe UI Symbol"/>
          <w:spacing w:val="-2"/>
          <w:w w:val="105"/>
        </w:rPr>
        <w:t>curva</w:t>
      </w:r>
      <w:r>
        <w:rPr>
          <w:rFonts w:ascii="Segoe UI Symbol" w:hAnsi="Segoe UI Symbol"/>
          <w:spacing w:val="-8"/>
          <w:w w:val="105"/>
        </w:rPr>
        <w:t xml:space="preserve"> </w:t>
      </w:r>
      <w:r>
        <w:rPr>
          <w:rFonts w:ascii="Segoe UI Symbol" w:hAnsi="Segoe UI Symbol"/>
          <w:spacing w:val="-2"/>
          <w:w w:val="105"/>
        </w:rPr>
        <w:t>de</w:t>
      </w:r>
      <w:r>
        <w:rPr>
          <w:rFonts w:ascii="Segoe UI Symbol" w:hAnsi="Segoe UI Symbol"/>
          <w:spacing w:val="-11"/>
          <w:w w:val="105"/>
        </w:rPr>
        <w:t xml:space="preserve"> </w:t>
      </w:r>
      <w:r>
        <w:rPr>
          <w:rFonts w:ascii="Segoe UI Symbol" w:hAnsi="Segoe UI Symbol"/>
          <w:spacing w:val="-2"/>
          <w:w w:val="105"/>
        </w:rPr>
        <w:t>juros</w:t>
      </w:r>
      <w:r>
        <w:rPr>
          <w:rFonts w:ascii="Segoe UI Symbol" w:hAnsi="Segoe UI Symbol"/>
          <w:spacing w:val="-10"/>
          <w:w w:val="105"/>
        </w:rPr>
        <w:t xml:space="preserve"> </w:t>
      </w:r>
      <w:r>
        <w:rPr>
          <w:rFonts w:ascii="Segoe UI Symbol" w:hAnsi="Segoe UI Symbol"/>
          <w:spacing w:val="-2"/>
          <w:w w:val="105"/>
        </w:rPr>
        <w:t xml:space="preserve">(ETTJ) </w:t>
      </w:r>
      <w:r>
        <w:rPr>
          <w:rFonts w:ascii="Segoe UI Symbol" w:hAnsi="Segoe UI Symbol"/>
        </w:rPr>
        <w:t>da ANBIMA, fechamento de 30 de dezembro de 2025, de prazo compatível com o prazo de duração do passivo</w:t>
      </w:r>
      <w:r>
        <w:rPr>
          <w:rFonts w:ascii="Segoe UI Symbol" w:hAnsi="Segoe UI Symbol"/>
          <w:spacing w:val="-3"/>
        </w:rPr>
        <w:t xml:space="preserve"> </w:t>
      </w:r>
      <w:r>
        <w:rPr>
          <w:rFonts w:ascii="Segoe UI Symbol" w:hAnsi="Segoe UI Symbol"/>
        </w:rPr>
        <w:t>calculado</w:t>
      </w:r>
      <w:r>
        <w:rPr>
          <w:rFonts w:ascii="Segoe UI Symbol" w:hAnsi="Segoe UI Symbol"/>
          <w:spacing w:val="-1"/>
        </w:rPr>
        <w:t xml:space="preserve"> </w:t>
      </w:r>
      <w:r>
        <w:rPr>
          <w:rFonts w:ascii="Segoe UI Symbol" w:hAnsi="Segoe UI Symbol"/>
        </w:rPr>
        <w:t>pelo atuário</w:t>
      </w:r>
      <w:r>
        <w:rPr>
          <w:rFonts w:ascii="Segoe UI Symbol" w:hAnsi="Segoe UI Symbol"/>
          <w:spacing w:val="-3"/>
        </w:rPr>
        <w:t xml:space="preserve"> </w:t>
      </w:r>
      <w:r>
        <w:rPr>
          <w:rFonts w:ascii="Segoe UI Symbol" w:hAnsi="Segoe UI Symbol"/>
        </w:rPr>
        <w:t>responsável no</w:t>
      </w:r>
      <w:r>
        <w:rPr>
          <w:rFonts w:ascii="Segoe UI Symbol" w:hAnsi="Segoe UI Symbol"/>
          <w:spacing w:val="-1"/>
        </w:rPr>
        <w:t xml:space="preserve"> </w:t>
      </w:r>
      <w:r>
        <w:rPr>
          <w:rFonts w:ascii="Segoe UI Symbol" w:hAnsi="Segoe UI Symbol"/>
        </w:rPr>
        <w:t>plano</w:t>
      </w:r>
      <w:r>
        <w:rPr>
          <w:rFonts w:ascii="Segoe UI Symbol" w:hAnsi="Segoe UI Symbol"/>
          <w:spacing w:val="-1"/>
        </w:rPr>
        <w:t xml:space="preserve"> </w:t>
      </w:r>
      <w:r>
        <w:rPr>
          <w:rFonts w:ascii="Segoe UI Symbol" w:hAnsi="Segoe UI Symbol"/>
        </w:rPr>
        <w:t>de previdência</w:t>
      </w:r>
      <w:r>
        <w:rPr>
          <w:rFonts w:ascii="Segoe UI Symbol" w:hAnsi="Segoe UI Symbol"/>
          <w:spacing w:val="-1"/>
        </w:rPr>
        <w:t xml:space="preserve"> </w:t>
      </w:r>
      <w:r>
        <w:rPr>
          <w:rFonts w:ascii="Segoe UI Symbol" w:hAnsi="Segoe UI Symbol"/>
        </w:rPr>
        <w:t>em 31</w:t>
      </w:r>
      <w:r>
        <w:rPr>
          <w:rFonts w:ascii="Segoe UI Symbol" w:hAnsi="Segoe UI Symbol"/>
          <w:spacing w:val="-1"/>
        </w:rPr>
        <w:t xml:space="preserve"> </w:t>
      </w:r>
      <w:r>
        <w:rPr>
          <w:rFonts w:ascii="Segoe UI Symbol" w:hAnsi="Segoe UI Symbol"/>
        </w:rPr>
        <w:t>de dezembro de</w:t>
      </w:r>
      <w:r>
        <w:rPr>
          <w:rFonts w:ascii="Segoe UI Symbol" w:hAnsi="Segoe UI Symbol"/>
          <w:spacing w:val="-1"/>
        </w:rPr>
        <w:t xml:space="preserve"> </w:t>
      </w:r>
      <w:r>
        <w:rPr>
          <w:rFonts w:ascii="Segoe UI Symbol" w:hAnsi="Segoe UI Symbol"/>
        </w:rPr>
        <w:t xml:space="preserve">2024, </w:t>
      </w:r>
      <w:r>
        <w:rPr>
          <w:rFonts w:ascii="Segoe UI Symbol" w:hAnsi="Segoe UI Symbol"/>
          <w:w w:val="105"/>
        </w:rPr>
        <w:t>de 9,70 anos;</w:t>
      </w:r>
    </w:p>
    <w:p w14:paraId="0F47BB41" w14:textId="77777777" w:rsidR="002C6574" w:rsidRDefault="002C6574">
      <w:pPr>
        <w:pStyle w:val="Corpodetexto"/>
        <w:spacing w:before="31"/>
      </w:pPr>
    </w:p>
    <w:p w14:paraId="4DE76363" w14:textId="77777777" w:rsidR="002C6574" w:rsidRDefault="00000000">
      <w:pPr>
        <w:pStyle w:val="PargrafodaLista"/>
        <w:numPr>
          <w:ilvl w:val="1"/>
          <w:numId w:val="21"/>
        </w:numPr>
        <w:tabs>
          <w:tab w:val="left" w:pos="410"/>
        </w:tabs>
        <w:ind w:left="143" w:right="703" w:firstLine="0"/>
        <w:jc w:val="both"/>
        <w:rPr>
          <w:rFonts w:ascii="Segoe UI Symbol" w:hAnsi="Segoe UI Symbol"/>
        </w:rPr>
      </w:pPr>
      <w:r>
        <w:rPr>
          <w:rFonts w:ascii="Arial" w:hAnsi="Arial"/>
          <w:b/>
        </w:rPr>
        <w:t>Taxa</w:t>
      </w:r>
      <w:r>
        <w:rPr>
          <w:rFonts w:ascii="Arial" w:hAnsi="Arial"/>
          <w:b/>
          <w:spacing w:val="-2"/>
        </w:rPr>
        <w:t xml:space="preserve"> </w:t>
      </w:r>
      <w:r>
        <w:rPr>
          <w:rFonts w:ascii="Arial" w:hAnsi="Arial"/>
          <w:b/>
        </w:rPr>
        <w:t>nominal</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rPr>
        <w:t>rendimento</w:t>
      </w:r>
      <w:r>
        <w:rPr>
          <w:rFonts w:ascii="Arial" w:hAnsi="Arial"/>
          <w:b/>
          <w:spacing w:val="-1"/>
        </w:rPr>
        <w:t xml:space="preserve"> </w:t>
      </w:r>
      <w:r>
        <w:rPr>
          <w:rFonts w:ascii="Arial" w:hAnsi="Arial"/>
          <w:b/>
        </w:rPr>
        <w:t>esperado</w:t>
      </w:r>
      <w:r>
        <w:rPr>
          <w:rFonts w:ascii="Arial" w:hAnsi="Arial"/>
          <w:b/>
          <w:spacing w:val="-4"/>
        </w:rPr>
        <w:t xml:space="preserve"> </w:t>
      </w:r>
      <w:r>
        <w:rPr>
          <w:rFonts w:ascii="Arial" w:hAnsi="Arial"/>
          <w:b/>
        </w:rPr>
        <w:t>para</w:t>
      </w:r>
      <w:r>
        <w:rPr>
          <w:rFonts w:ascii="Arial" w:hAnsi="Arial"/>
          <w:b/>
          <w:spacing w:val="-3"/>
        </w:rPr>
        <w:t xml:space="preserve"> </w:t>
      </w:r>
      <w:r>
        <w:rPr>
          <w:rFonts w:ascii="Arial" w:hAnsi="Arial"/>
          <w:b/>
        </w:rPr>
        <w:t>os</w:t>
      </w:r>
      <w:r>
        <w:rPr>
          <w:rFonts w:ascii="Arial" w:hAnsi="Arial"/>
          <w:b/>
          <w:spacing w:val="-2"/>
        </w:rPr>
        <w:t xml:space="preserve"> </w:t>
      </w:r>
      <w:r>
        <w:rPr>
          <w:rFonts w:ascii="Arial" w:hAnsi="Arial"/>
          <w:b/>
        </w:rPr>
        <w:t>ativos</w:t>
      </w:r>
      <w:r>
        <w:rPr>
          <w:rFonts w:ascii="Arial" w:hAnsi="Arial"/>
          <w:b/>
          <w:spacing w:val="-1"/>
        </w:rPr>
        <w:t xml:space="preserve"> </w:t>
      </w:r>
      <w:r>
        <w:rPr>
          <w:rFonts w:ascii="Arial" w:hAnsi="Arial"/>
          <w:b/>
        </w:rPr>
        <w:t>do</w:t>
      </w:r>
      <w:r>
        <w:rPr>
          <w:rFonts w:ascii="Arial" w:hAnsi="Arial"/>
          <w:b/>
          <w:spacing w:val="-4"/>
        </w:rPr>
        <w:t xml:space="preserve"> </w:t>
      </w:r>
      <w:r>
        <w:rPr>
          <w:rFonts w:ascii="Arial" w:hAnsi="Arial"/>
          <w:b/>
        </w:rPr>
        <w:t>plano</w:t>
      </w:r>
      <w:r>
        <w:rPr>
          <w:rFonts w:ascii="Arial" w:hAnsi="Arial"/>
          <w:b/>
          <w:spacing w:val="-4"/>
        </w:rPr>
        <w:t xml:space="preserve"> </w:t>
      </w:r>
      <w:r>
        <w:rPr>
          <w:rFonts w:ascii="Arial" w:hAnsi="Arial"/>
          <w:b/>
        </w:rPr>
        <w:t>e para o</w:t>
      </w:r>
      <w:r>
        <w:rPr>
          <w:rFonts w:ascii="Arial" w:hAnsi="Arial"/>
          <w:b/>
          <w:spacing w:val="-3"/>
        </w:rPr>
        <w:t xml:space="preserve"> </w:t>
      </w:r>
      <w:r>
        <w:rPr>
          <w:rFonts w:ascii="Arial" w:hAnsi="Arial"/>
          <w:b/>
        </w:rPr>
        <w:t>custo</w:t>
      </w:r>
      <w:r>
        <w:rPr>
          <w:rFonts w:ascii="Arial" w:hAnsi="Arial"/>
          <w:b/>
          <w:spacing w:val="-4"/>
        </w:rPr>
        <w:t xml:space="preserve"> </w:t>
      </w:r>
      <w:r>
        <w:rPr>
          <w:rFonts w:ascii="Arial" w:hAnsi="Arial"/>
          <w:b/>
        </w:rPr>
        <w:t>dos</w:t>
      </w:r>
      <w:r>
        <w:rPr>
          <w:rFonts w:ascii="Arial" w:hAnsi="Arial"/>
          <w:b/>
          <w:spacing w:val="-7"/>
        </w:rPr>
        <w:t xml:space="preserve"> </w:t>
      </w:r>
      <w:r>
        <w:rPr>
          <w:rFonts w:ascii="Arial" w:hAnsi="Arial"/>
          <w:b/>
        </w:rPr>
        <w:t>juros</w:t>
      </w:r>
      <w:r>
        <w:rPr>
          <w:rFonts w:ascii="Arial" w:hAnsi="Arial"/>
          <w:b/>
          <w:spacing w:val="-3"/>
        </w:rPr>
        <w:t xml:space="preserve"> </w:t>
      </w:r>
      <w:r>
        <w:rPr>
          <w:rFonts w:ascii="Arial" w:hAnsi="Arial"/>
          <w:b/>
        </w:rPr>
        <w:t xml:space="preserve">em 2024: </w:t>
      </w:r>
      <w:r>
        <w:rPr>
          <w:rFonts w:ascii="Segoe UI Symbol" w:hAnsi="Segoe UI Symbol"/>
        </w:rPr>
        <w:t>12,81% composta pela estimativa de inflação (4,90%) mais juros reais de 7,54% ao ano. Essa taxa foi definida na avaliação de 2024, como expectativa para 2025, e foi usada para o cálculo das perdas e ganhos de passivo e ativo no referido exercício;</w:t>
      </w:r>
    </w:p>
    <w:p w14:paraId="40DC9E56" w14:textId="77777777" w:rsidR="002C6574" w:rsidRDefault="002C6574">
      <w:pPr>
        <w:pStyle w:val="Corpodetexto"/>
        <w:spacing w:before="89"/>
      </w:pPr>
    </w:p>
    <w:p w14:paraId="6AB32D1F" w14:textId="77777777" w:rsidR="002C6574" w:rsidRDefault="00000000">
      <w:pPr>
        <w:pStyle w:val="PargrafodaLista"/>
        <w:numPr>
          <w:ilvl w:val="1"/>
          <w:numId w:val="21"/>
        </w:numPr>
        <w:tabs>
          <w:tab w:val="left" w:pos="398"/>
        </w:tabs>
        <w:ind w:left="398" w:hanging="255"/>
        <w:rPr>
          <w:rFonts w:ascii="Segoe UI Symbol"/>
        </w:rPr>
      </w:pPr>
      <w:r>
        <w:rPr>
          <w:rFonts w:ascii="Arial"/>
          <w:b/>
        </w:rPr>
        <w:t>Taxa</w:t>
      </w:r>
      <w:r>
        <w:rPr>
          <w:rFonts w:ascii="Arial"/>
          <w:b/>
          <w:spacing w:val="3"/>
        </w:rPr>
        <w:t xml:space="preserve"> </w:t>
      </w:r>
      <w:r>
        <w:rPr>
          <w:rFonts w:ascii="Arial"/>
          <w:b/>
        </w:rPr>
        <w:t>de</w:t>
      </w:r>
      <w:r>
        <w:rPr>
          <w:rFonts w:ascii="Arial"/>
          <w:b/>
          <w:spacing w:val="7"/>
        </w:rPr>
        <w:t xml:space="preserve"> </w:t>
      </w:r>
      <w:r>
        <w:rPr>
          <w:rFonts w:ascii="Arial"/>
          <w:b/>
        </w:rPr>
        <w:t>Rotatividade:</w:t>
      </w:r>
      <w:r>
        <w:rPr>
          <w:rFonts w:ascii="Arial"/>
          <w:b/>
          <w:spacing w:val="9"/>
        </w:rPr>
        <w:t xml:space="preserve"> </w:t>
      </w:r>
      <w:r>
        <w:rPr>
          <w:rFonts w:ascii="Segoe UI Symbol"/>
        </w:rPr>
        <w:t>4,41%</w:t>
      </w:r>
      <w:r>
        <w:rPr>
          <w:rFonts w:ascii="Segoe UI Symbol"/>
          <w:spacing w:val="8"/>
        </w:rPr>
        <w:t xml:space="preserve"> </w:t>
      </w:r>
      <w:r>
        <w:rPr>
          <w:rFonts w:ascii="Segoe UI Symbol"/>
          <w:spacing w:val="-4"/>
        </w:rPr>
        <w:t>a.a.;</w:t>
      </w:r>
    </w:p>
    <w:p w14:paraId="76D6DCF8" w14:textId="77777777" w:rsidR="002C6574" w:rsidRDefault="00000000">
      <w:pPr>
        <w:pStyle w:val="PargrafodaLista"/>
        <w:numPr>
          <w:ilvl w:val="1"/>
          <w:numId w:val="21"/>
        </w:numPr>
        <w:tabs>
          <w:tab w:val="left" w:pos="410"/>
        </w:tabs>
        <w:spacing w:before="87"/>
        <w:ind w:left="410" w:hanging="267"/>
        <w:rPr>
          <w:rFonts w:ascii="Segoe UI Symbol"/>
        </w:rPr>
      </w:pPr>
      <w:r>
        <w:rPr>
          <w:rFonts w:ascii="Arial"/>
          <w:b/>
        </w:rPr>
        <w:t>Taxa</w:t>
      </w:r>
      <w:r>
        <w:rPr>
          <w:rFonts w:ascii="Arial"/>
          <w:b/>
          <w:spacing w:val="4"/>
        </w:rPr>
        <w:t xml:space="preserve"> </w:t>
      </w:r>
      <w:r>
        <w:rPr>
          <w:rFonts w:ascii="Arial"/>
          <w:b/>
        </w:rPr>
        <w:t>real</w:t>
      </w:r>
      <w:r>
        <w:rPr>
          <w:rFonts w:ascii="Arial"/>
          <w:b/>
          <w:spacing w:val="3"/>
        </w:rPr>
        <w:t xml:space="preserve"> </w:t>
      </w:r>
      <w:r>
        <w:rPr>
          <w:rFonts w:ascii="Arial"/>
          <w:b/>
        </w:rPr>
        <w:t>de crescimento</w:t>
      </w:r>
      <w:r>
        <w:rPr>
          <w:rFonts w:ascii="Arial"/>
          <w:b/>
          <w:spacing w:val="6"/>
        </w:rPr>
        <w:t xml:space="preserve"> </w:t>
      </w:r>
      <w:r>
        <w:rPr>
          <w:rFonts w:ascii="Arial"/>
          <w:b/>
        </w:rPr>
        <w:t>salarial:</w:t>
      </w:r>
      <w:r>
        <w:rPr>
          <w:rFonts w:ascii="Arial"/>
          <w:b/>
          <w:spacing w:val="3"/>
        </w:rPr>
        <w:t xml:space="preserve"> </w:t>
      </w:r>
      <w:r>
        <w:rPr>
          <w:rFonts w:ascii="Segoe UI Symbol"/>
        </w:rPr>
        <w:t>1,00%</w:t>
      </w:r>
      <w:r>
        <w:rPr>
          <w:rFonts w:ascii="Segoe UI Symbol"/>
          <w:spacing w:val="4"/>
        </w:rPr>
        <w:t xml:space="preserve"> </w:t>
      </w:r>
      <w:r>
        <w:rPr>
          <w:rFonts w:ascii="Segoe UI Symbol"/>
          <w:spacing w:val="-4"/>
        </w:rPr>
        <w:t>a.a.;</w:t>
      </w:r>
    </w:p>
    <w:p w14:paraId="2BE806B6" w14:textId="77777777" w:rsidR="002C6574" w:rsidRDefault="00000000">
      <w:pPr>
        <w:pStyle w:val="PargrafodaLista"/>
        <w:numPr>
          <w:ilvl w:val="1"/>
          <w:numId w:val="21"/>
        </w:numPr>
        <w:tabs>
          <w:tab w:val="left" w:pos="398"/>
        </w:tabs>
        <w:spacing w:before="86"/>
        <w:ind w:left="398" w:hanging="255"/>
        <w:rPr>
          <w:rFonts w:ascii="Segoe UI Symbol" w:hAnsi="Segoe UI Symbol"/>
        </w:rPr>
      </w:pPr>
      <w:r>
        <w:rPr>
          <w:rFonts w:ascii="Arial" w:hAnsi="Arial"/>
          <w:b/>
        </w:rPr>
        <w:t>Taxa</w:t>
      </w:r>
      <w:r>
        <w:rPr>
          <w:rFonts w:ascii="Arial" w:hAnsi="Arial"/>
          <w:b/>
          <w:spacing w:val="-6"/>
        </w:rPr>
        <w:t xml:space="preserve"> </w:t>
      </w:r>
      <w:r>
        <w:rPr>
          <w:rFonts w:ascii="Arial" w:hAnsi="Arial"/>
          <w:b/>
        </w:rPr>
        <w:t>real</w:t>
      </w:r>
      <w:r>
        <w:rPr>
          <w:rFonts w:ascii="Arial" w:hAnsi="Arial"/>
          <w:b/>
          <w:spacing w:val="-1"/>
        </w:rPr>
        <w:t xml:space="preserve"> </w:t>
      </w:r>
      <w:r>
        <w:rPr>
          <w:rFonts w:ascii="Arial" w:hAnsi="Arial"/>
          <w:b/>
        </w:rPr>
        <w:t>de</w:t>
      </w:r>
      <w:r>
        <w:rPr>
          <w:rFonts w:ascii="Arial" w:hAnsi="Arial"/>
          <w:b/>
          <w:spacing w:val="-3"/>
        </w:rPr>
        <w:t xml:space="preserve"> </w:t>
      </w:r>
      <w:r>
        <w:rPr>
          <w:rFonts w:ascii="Arial" w:hAnsi="Arial"/>
          <w:b/>
        </w:rPr>
        <w:t>reajuste</w:t>
      </w:r>
      <w:r>
        <w:rPr>
          <w:rFonts w:ascii="Arial" w:hAnsi="Arial"/>
          <w:b/>
          <w:spacing w:val="-3"/>
        </w:rPr>
        <w:t xml:space="preserve"> </w:t>
      </w:r>
      <w:r>
        <w:rPr>
          <w:rFonts w:ascii="Arial" w:hAnsi="Arial"/>
          <w:b/>
        </w:rPr>
        <w:t>de</w:t>
      </w:r>
      <w:r>
        <w:rPr>
          <w:rFonts w:ascii="Arial" w:hAnsi="Arial"/>
          <w:b/>
          <w:spacing w:val="-4"/>
        </w:rPr>
        <w:t xml:space="preserve"> </w:t>
      </w:r>
      <w:r>
        <w:rPr>
          <w:rFonts w:ascii="Arial" w:hAnsi="Arial"/>
          <w:b/>
        </w:rPr>
        <w:t>benefícios:</w:t>
      </w:r>
      <w:r>
        <w:rPr>
          <w:rFonts w:ascii="Arial" w:hAnsi="Arial"/>
          <w:b/>
          <w:spacing w:val="-1"/>
        </w:rPr>
        <w:t xml:space="preserve"> </w:t>
      </w:r>
      <w:r>
        <w:rPr>
          <w:rFonts w:ascii="Segoe UI Symbol" w:hAnsi="Segoe UI Symbol"/>
          <w:spacing w:val="-2"/>
        </w:rPr>
        <w:t>0,00%;</w:t>
      </w:r>
    </w:p>
    <w:p w14:paraId="7F564E41" w14:textId="77777777" w:rsidR="002C6574" w:rsidRDefault="00000000">
      <w:pPr>
        <w:pStyle w:val="PargrafodaLista"/>
        <w:numPr>
          <w:ilvl w:val="1"/>
          <w:numId w:val="21"/>
        </w:numPr>
        <w:tabs>
          <w:tab w:val="left" w:pos="350"/>
        </w:tabs>
        <w:spacing w:before="87"/>
        <w:ind w:left="350" w:hanging="207"/>
        <w:rPr>
          <w:rFonts w:ascii="Segoe UI Symbol" w:hAnsi="Segoe UI Symbol"/>
        </w:rPr>
      </w:pPr>
      <w:r>
        <w:rPr>
          <w:rFonts w:ascii="Arial" w:hAnsi="Arial"/>
          <w:b/>
        </w:rPr>
        <w:t>Taxa</w:t>
      </w:r>
      <w:r>
        <w:rPr>
          <w:rFonts w:ascii="Arial" w:hAnsi="Arial"/>
          <w:b/>
          <w:spacing w:val="-4"/>
        </w:rPr>
        <w:t xml:space="preserve"> </w:t>
      </w:r>
      <w:r>
        <w:rPr>
          <w:rFonts w:ascii="Arial" w:hAnsi="Arial"/>
          <w:b/>
        </w:rPr>
        <w:t>real</w:t>
      </w:r>
      <w:r>
        <w:rPr>
          <w:rFonts w:ascii="Arial" w:hAnsi="Arial"/>
          <w:b/>
          <w:spacing w:val="-3"/>
        </w:rPr>
        <w:t xml:space="preserve"> </w:t>
      </w:r>
      <w:r>
        <w:rPr>
          <w:rFonts w:ascii="Arial" w:hAnsi="Arial"/>
          <w:b/>
        </w:rPr>
        <w:t>de</w:t>
      </w:r>
      <w:r>
        <w:rPr>
          <w:rFonts w:ascii="Arial" w:hAnsi="Arial"/>
          <w:b/>
          <w:spacing w:val="-7"/>
        </w:rPr>
        <w:t xml:space="preserve"> </w:t>
      </w:r>
      <w:r>
        <w:rPr>
          <w:rFonts w:ascii="Arial" w:hAnsi="Arial"/>
          <w:b/>
        </w:rPr>
        <w:t>reajuste</w:t>
      </w:r>
      <w:r>
        <w:rPr>
          <w:rFonts w:ascii="Arial" w:hAnsi="Arial"/>
          <w:b/>
          <w:spacing w:val="-7"/>
        </w:rPr>
        <w:t xml:space="preserve"> </w:t>
      </w:r>
      <w:r>
        <w:rPr>
          <w:rFonts w:ascii="Arial" w:hAnsi="Arial"/>
          <w:b/>
        </w:rPr>
        <w:t>dos</w:t>
      </w:r>
      <w:r>
        <w:rPr>
          <w:rFonts w:ascii="Arial" w:hAnsi="Arial"/>
          <w:b/>
          <w:spacing w:val="-1"/>
        </w:rPr>
        <w:t xml:space="preserve"> </w:t>
      </w:r>
      <w:r>
        <w:rPr>
          <w:rFonts w:ascii="Arial" w:hAnsi="Arial"/>
          <w:b/>
        </w:rPr>
        <w:t>benefícios</w:t>
      </w:r>
      <w:r>
        <w:rPr>
          <w:rFonts w:ascii="Arial" w:hAnsi="Arial"/>
          <w:b/>
          <w:spacing w:val="-5"/>
        </w:rPr>
        <w:t xml:space="preserve"> </w:t>
      </w:r>
      <w:r>
        <w:rPr>
          <w:rFonts w:ascii="Arial" w:hAnsi="Arial"/>
          <w:b/>
        </w:rPr>
        <w:t>da</w:t>
      </w:r>
      <w:r>
        <w:rPr>
          <w:rFonts w:ascii="Arial" w:hAnsi="Arial"/>
          <w:b/>
          <w:spacing w:val="-2"/>
        </w:rPr>
        <w:t xml:space="preserve"> </w:t>
      </w:r>
      <w:r>
        <w:rPr>
          <w:rFonts w:ascii="Arial" w:hAnsi="Arial"/>
          <w:b/>
        </w:rPr>
        <w:t>Previdência</w:t>
      </w:r>
      <w:r>
        <w:rPr>
          <w:rFonts w:ascii="Arial" w:hAnsi="Arial"/>
          <w:b/>
          <w:spacing w:val="-7"/>
        </w:rPr>
        <w:t xml:space="preserve"> </w:t>
      </w:r>
      <w:r>
        <w:rPr>
          <w:rFonts w:ascii="Arial" w:hAnsi="Arial"/>
          <w:b/>
        </w:rPr>
        <w:t>Social:</w:t>
      </w:r>
      <w:r>
        <w:rPr>
          <w:rFonts w:ascii="Arial" w:hAnsi="Arial"/>
          <w:b/>
          <w:spacing w:val="-3"/>
        </w:rPr>
        <w:t xml:space="preserve"> </w:t>
      </w:r>
      <w:r>
        <w:rPr>
          <w:rFonts w:ascii="Segoe UI Symbol" w:hAnsi="Segoe UI Symbol"/>
          <w:spacing w:val="-2"/>
        </w:rPr>
        <w:t>0,00%;</w:t>
      </w:r>
    </w:p>
    <w:p w14:paraId="2D050129" w14:textId="77777777" w:rsidR="002C6574" w:rsidRDefault="00000000">
      <w:pPr>
        <w:pStyle w:val="PargrafodaLista"/>
        <w:numPr>
          <w:ilvl w:val="1"/>
          <w:numId w:val="21"/>
        </w:numPr>
        <w:tabs>
          <w:tab w:val="left" w:pos="412"/>
        </w:tabs>
        <w:spacing w:before="86"/>
        <w:ind w:left="412" w:hanging="269"/>
        <w:rPr>
          <w:rFonts w:ascii="Segoe UI Symbol" w:hAnsi="Segoe UI Symbol"/>
        </w:rPr>
      </w:pPr>
      <w:r>
        <w:rPr>
          <w:rFonts w:ascii="Arial" w:hAnsi="Arial"/>
          <w:b/>
        </w:rPr>
        <w:t>Fator</w:t>
      </w:r>
      <w:r>
        <w:rPr>
          <w:rFonts w:ascii="Arial" w:hAnsi="Arial"/>
          <w:b/>
          <w:spacing w:val="-1"/>
        </w:rPr>
        <w:t xml:space="preserve"> </w:t>
      </w:r>
      <w:r>
        <w:rPr>
          <w:rFonts w:ascii="Arial" w:hAnsi="Arial"/>
          <w:b/>
        </w:rPr>
        <w:t>de</w:t>
      </w:r>
      <w:r>
        <w:rPr>
          <w:rFonts w:ascii="Arial" w:hAnsi="Arial"/>
          <w:b/>
          <w:spacing w:val="-7"/>
        </w:rPr>
        <w:t xml:space="preserve"> </w:t>
      </w:r>
      <w:r>
        <w:rPr>
          <w:rFonts w:ascii="Arial" w:hAnsi="Arial"/>
          <w:b/>
        </w:rPr>
        <w:t>Capacidade</w:t>
      </w:r>
      <w:r>
        <w:rPr>
          <w:rFonts w:ascii="Arial" w:hAnsi="Arial"/>
          <w:b/>
          <w:spacing w:val="-4"/>
        </w:rPr>
        <w:t xml:space="preserve"> </w:t>
      </w:r>
      <w:r>
        <w:rPr>
          <w:rFonts w:ascii="Arial" w:hAnsi="Arial"/>
          <w:b/>
        </w:rPr>
        <w:t>para</w:t>
      </w:r>
      <w:r>
        <w:rPr>
          <w:rFonts w:ascii="Arial" w:hAnsi="Arial"/>
          <w:b/>
          <w:spacing w:val="-3"/>
        </w:rPr>
        <w:t xml:space="preserve"> </w:t>
      </w:r>
      <w:r>
        <w:rPr>
          <w:rFonts w:ascii="Arial" w:hAnsi="Arial"/>
          <w:b/>
        </w:rPr>
        <w:t>salários:</w:t>
      </w:r>
      <w:r>
        <w:rPr>
          <w:rFonts w:ascii="Arial" w:hAnsi="Arial"/>
          <w:b/>
          <w:spacing w:val="-4"/>
        </w:rPr>
        <w:t xml:space="preserve"> </w:t>
      </w:r>
      <w:r>
        <w:rPr>
          <w:rFonts w:ascii="Segoe UI Symbol" w:hAnsi="Segoe UI Symbol"/>
          <w:spacing w:val="-4"/>
        </w:rPr>
        <w:t>98%;</w:t>
      </w:r>
    </w:p>
    <w:p w14:paraId="340A4AF3" w14:textId="77777777" w:rsidR="002C6574" w:rsidRDefault="00000000">
      <w:pPr>
        <w:pStyle w:val="PargrafodaLista"/>
        <w:numPr>
          <w:ilvl w:val="1"/>
          <w:numId w:val="21"/>
        </w:numPr>
        <w:tabs>
          <w:tab w:val="left" w:pos="412"/>
        </w:tabs>
        <w:spacing w:before="87"/>
        <w:ind w:left="412" w:hanging="269"/>
        <w:rPr>
          <w:rFonts w:ascii="Segoe UI Symbol" w:hAnsi="Segoe UI Symbol"/>
        </w:rPr>
      </w:pPr>
      <w:r>
        <w:rPr>
          <w:rFonts w:ascii="Arial" w:hAnsi="Arial"/>
          <w:b/>
        </w:rPr>
        <w:t>Fator</w:t>
      </w:r>
      <w:r>
        <w:rPr>
          <w:rFonts w:ascii="Arial" w:hAnsi="Arial"/>
          <w:b/>
          <w:spacing w:val="-2"/>
        </w:rPr>
        <w:t xml:space="preserve"> </w:t>
      </w:r>
      <w:r>
        <w:rPr>
          <w:rFonts w:ascii="Arial" w:hAnsi="Arial"/>
          <w:b/>
        </w:rPr>
        <w:t>de</w:t>
      </w:r>
      <w:r>
        <w:rPr>
          <w:rFonts w:ascii="Arial" w:hAnsi="Arial"/>
          <w:b/>
          <w:spacing w:val="-7"/>
        </w:rPr>
        <w:t xml:space="preserve"> </w:t>
      </w:r>
      <w:r>
        <w:rPr>
          <w:rFonts w:ascii="Arial" w:hAnsi="Arial"/>
          <w:b/>
        </w:rPr>
        <w:t>Capacidade</w:t>
      </w:r>
      <w:r>
        <w:rPr>
          <w:rFonts w:ascii="Arial" w:hAnsi="Arial"/>
          <w:b/>
          <w:spacing w:val="-4"/>
        </w:rPr>
        <w:t xml:space="preserve"> </w:t>
      </w:r>
      <w:r>
        <w:rPr>
          <w:rFonts w:ascii="Arial" w:hAnsi="Arial"/>
          <w:b/>
        </w:rPr>
        <w:t>para</w:t>
      </w:r>
      <w:r>
        <w:rPr>
          <w:rFonts w:ascii="Arial" w:hAnsi="Arial"/>
          <w:b/>
          <w:spacing w:val="-3"/>
        </w:rPr>
        <w:t xml:space="preserve"> </w:t>
      </w:r>
      <w:r>
        <w:rPr>
          <w:rFonts w:ascii="Arial" w:hAnsi="Arial"/>
          <w:b/>
        </w:rPr>
        <w:t>benefícios:</w:t>
      </w:r>
      <w:r>
        <w:rPr>
          <w:rFonts w:ascii="Arial" w:hAnsi="Arial"/>
          <w:b/>
          <w:spacing w:val="-4"/>
        </w:rPr>
        <w:t xml:space="preserve"> </w:t>
      </w:r>
      <w:r>
        <w:rPr>
          <w:rFonts w:ascii="Segoe UI Symbol" w:hAnsi="Segoe UI Symbol"/>
          <w:spacing w:val="-4"/>
        </w:rPr>
        <w:t>98%;</w:t>
      </w:r>
    </w:p>
    <w:p w14:paraId="09EA29F1" w14:textId="77777777" w:rsidR="002C6574" w:rsidRDefault="00000000">
      <w:pPr>
        <w:pStyle w:val="PargrafodaLista"/>
        <w:numPr>
          <w:ilvl w:val="1"/>
          <w:numId w:val="21"/>
        </w:numPr>
        <w:tabs>
          <w:tab w:val="left" w:pos="389"/>
        </w:tabs>
        <w:spacing w:before="84"/>
        <w:ind w:left="143" w:right="704" w:firstLine="0"/>
        <w:jc w:val="both"/>
        <w:rPr>
          <w:rFonts w:ascii="Segoe UI Symbol" w:hAnsi="Segoe UI Symbol"/>
          <w:sz w:val="24"/>
        </w:rPr>
      </w:pPr>
      <w:r>
        <w:rPr>
          <w:rFonts w:ascii="Arial" w:hAnsi="Arial"/>
          <w:b/>
        </w:rPr>
        <w:t xml:space="preserve">Taxa esperada de inflação no longo prazo: </w:t>
      </w:r>
      <w:r>
        <w:rPr>
          <w:rFonts w:ascii="Segoe UI Symbol" w:hAnsi="Segoe UI Symbol"/>
          <w:sz w:val="24"/>
        </w:rPr>
        <w:t>4,05%, obtida do relatório Focus/Bacen e representa a expectativa de inflação para 2026.</w:t>
      </w:r>
    </w:p>
    <w:p w14:paraId="7757B7F9" w14:textId="77777777" w:rsidR="002C6574" w:rsidRDefault="00000000">
      <w:pPr>
        <w:numPr>
          <w:ilvl w:val="0"/>
          <w:numId w:val="21"/>
        </w:numPr>
        <w:tabs>
          <w:tab w:val="left" w:pos="461"/>
        </w:tabs>
        <w:spacing w:before="283"/>
        <w:ind w:left="461" w:hanging="318"/>
        <w:rPr>
          <w:rFonts w:ascii="Arial"/>
          <w:b/>
        </w:rPr>
      </w:pPr>
      <w:r>
        <w:rPr>
          <w:rFonts w:ascii="Arial"/>
          <w:b/>
        </w:rPr>
        <w:t>Outras</w:t>
      </w:r>
      <w:r>
        <w:rPr>
          <w:rFonts w:ascii="Arial"/>
          <w:b/>
          <w:spacing w:val="-3"/>
        </w:rPr>
        <w:t xml:space="preserve"> </w:t>
      </w:r>
      <w:r>
        <w:rPr>
          <w:rFonts w:ascii="Arial"/>
          <w:b/>
          <w:spacing w:val="-2"/>
        </w:rPr>
        <w:t>Premissas:</w:t>
      </w:r>
    </w:p>
    <w:p w14:paraId="7B39B8D9" w14:textId="77777777" w:rsidR="002C6574" w:rsidRDefault="00000000">
      <w:pPr>
        <w:pStyle w:val="PargrafodaLista"/>
        <w:numPr>
          <w:ilvl w:val="1"/>
          <w:numId w:val="21"/>
        </w:numPr>
        <w:tabs>
          <w:tab w:val="left" w:pos="399"/>
        </w:tabs>
        <w:spacing w:before="223"/>
        <w:ind w:hanging="256"/>
        <w:rPr>
          <w:rFonts w:ascii="Segoe UI Symbol" w:hAnsi="Segoe UI Symbol"/>
        </w:rPr>
      </w:pPr>
      <w:r>
        <w:rPr>
          <w:rFonts w:ascii="Arial" w:hAnsi="Arial"/>
          <w:b/>
        </w:rPr>
        <w:t>Hipótese</w:t>
      </w:r>
      <w:r>
        <w:rPr>
          <w:rFonts w:ascii="Arial" w:hAnsi="Arial"/>
          <w:b/>
          <w:spacing w:val="-4"/>
        </w:rPr>
        <w:t xml:space="preserve"> </w:t>
      </w:r>
      <w:r>
        <w:rPr>
          <w:rFonts w:ascii="Arial" w:hAnsi="Arial"/>
          <w:b/>
        </w:rPr>
        <w:t>sobre</w:t>
      </w:r>
      <w:r>
        <w:rPr>
          <w:rFonts w:ascii="Arial" w:hAnsi="Arial"/>
          <w:b/>
          <w:spacing w:val="-5"/>
        </w:rPr>
        <w:t xml:space="preserve"> </w:t>
      </w:r>
      <w:r>
        <w:rPr>
          <w:rFonts w:ascii="Arial" w:hAnsi="Arial"/>
          <w:b/>
        </w:rPr>
        <w:t>Gerações</w:t>
      </w:r>
      <w:r>
        <w:rPr>
          <w:rFonts w:ascii="Arial" w:hAnsi="Arial"/>
          <w:b/>
          <w:spacing w:val="-3"/>
        </w:rPr>
        <w:t xml:space="preserve"> </w:t>
      </w:r>
      <w:r>
        <w:rPr>
          <w:rFonts w:ascii="Arial" w:hAnsi="Arial"/>
          <w:b/>
        </w:rPr>
        <w:t>Futuras</w:t>
      </w:r>
      <w:r>
        <w:rPr>
          <w:rFonts w:ascii="Arial" w:hAnsi="Arial"/>
          <w:b/>
          <w:spacing w:val="-6"/>
        </w:rPr>
        <w:t xml:space="preserve"> </w:t>
      </w:r>
      <w:r>
        <w:rPr>
          <w:rFonts w:ascii="Arial" w:hAnsi="Arial"/>
          <w:b/>
        </w:rPr>
        <w:t>de</w:t>
      </w:r>
      <w:r>
        <w:rPr>
          <w:rFonts w:ascii="Arial" w:hAnsi="Arial"/>
          <w:b/>
          <w:spacing w:val="-5"/>
        </w:rPr>
        <w:t xml:space="preserve"> </w:t>
      </w:r>
      <w:r>
        <w:rPr>
          <w:rFonts w:ascii="Arial" w:hAnsi="Arial"/>
          <w:b/>
        </w:rPr>
        <w:t>Novos</w:t>
      </w:r>
      <w:r>
        <w:rPr>
          <w:rFonts w:ascii="Arial" w:hAnsi="Arial"/>
          <w:b/>
          <w:spacing w:val="-4"/>
        </w:rPr>
        <w:t xml:space="preserve"> </w:t>
      </w:r>
      <w:r>
        <w:rPr>
          <w:rFonts w:ascii="Arial" w:hAnsi="Arial"/>
          <w:b/>
        </w:rPr>
        <w:t>Entrados:</w:t>
      </w:r>
      <w:r>
        <w:rPr>
          <w:rFonts w:ascii="Arial" w:hAnsi="Arial"/>
          <w:b/>
          <w:spacing w:val="-2"/>
        </w:rPr>
        <w:t xml:space="preserve"> </w:t>
      </w:r>
      <w:r>
        <w:rPr>
          <w:rFonts w:ascii="Segoe UI Symbol" w:hAnsi="Segoe UI Symbol"/>
        </w:rPr>
        <w:t>Não</w:t>
      </w:r>
      <w:r>
        <w:rPr>
          <w:rFonts w:ascii="Segoe UI Symbol" w:hAnsi="Segoe UI Symbol"/>
          <w:spacing w:val="-4"/>
        </w:rPr>
        <w:t xml:space="preserve"> </w:t>
      </w:r>
      <w:r>
        <w:rPr>
          <w:rFonts w:ascii="Segoe UI Symbol" w:hAnsi="Segoe UI Symbol"/>
          <w:spacing w:val="-2"/>
        </w:rPr>
        <w:t>usada;</w:t>
      </w:r>
    </w:p>
    <w:p w14:paraId="70756486" w14:textId="77777777" w:rsidR="002C6574" w:rsidRDefault="00000000">
      <w:pPr>
        <w:pStyle w:val="PargrafodaLista"/>
        <w:numPr>
          <w:ilvl w:val="1"/>
          <w:numId w:val="21"/>
        </w:numPr>
        <w:tabs>
          <w:tab w:val="left" w:pos="507"/>
        </w:tabs>
        <w:spacing w:before="86"/>
        <w:ind w:left="143" w:right="703" w:firstLine="0"/>
        <w:jc w:val="both"/>
        <w:rPr>
          <w:rFonts w:ascii="Segoe UI Symbol" w:hAnsi="Segoe UI Symbol"/>
        </w:rPr>
      </w:pPr>
      <w:r>
        <w:rPr>
          <w:rFonts w:ascii="Arial" w:hAnsi="Arial"/>
          <w:b/>
        </w:rPr>
        <w:t xml:space="preserve">Hipótese sobre a Composição da Família de Ativos: </w:t>
      </w:r>
      <w:r>
        <w:rPr>
          <w:rFonts w:ascii="Segoe UI Symbol" w:hAnsi="Segoe UI Symbol"/>
        </w:rPr>
        <w:t>76,90% dos participantes têm dependentes, as esposas são 5 anos mais jovens e o dependente temporário mais novo perde essa condição quando o participante atinge 66 anos de idade;</w:t>
      </w:r>
    </w:p>
    <w:p w14:paraId="629E6715" w14:textId="77777777" w:rsidR="002C6574" w:rsidRDefault="00000000">
      <w:pPr>
        <w:spacing w:before="286"/>
        <w:ind w:left="143"/>
        <w:jc w:val="both"/>
      </w:pPr>
      <w:r>
        <w:rPr>
          <w:rFonts w:ascii="Arial" w:hAnsi="Arial"/>
          <w:b/>
        </w:rPr>
        <w:t>Hipótese</w:t>
      </w:r>
      <w:r>
        <w:rPr>
          <w:rFonts w:ascii="Arial" w:hAnsi="Arial"/>
          <w:b/>
          <w:spacing w:val="-3"/>
        </w:rPr>
        <w:t xml:space="preserve"> </w:t>
      </w:r>
      <w:r>
        <w:rPr>
          <w:rFonts w:ascii="Arial" w:hAnsi="Arial"/>
          <w:b/>
        </w:rPr>
        <w:t>sobre</w:t>
      </w:r>
      <w:r>
        <w:rPr>
          <w:rFonts w:ascii="Arial" w:hAnsi="Arial"/>
          <w:b/>
          <w:spacing w:val="-2"/>
        </w:rPr>
        <w:t xml:space="preserve"> </w:t>
      </w:r>
      <w:r>
        <w:rPr>
          <w:rFonts w:ascii="Arial" w:hAnsi="Arial"/>
          <w:b/>
        </w:rPr>
        <w:t>a</w:t>
      </w:r>
      <w:r>
        <w:rPr>
          <w:rFonts w:ascii="Arial" w:hAnsi="Arial"/>
          <w:b/>
          <w:spacing w:val="-4"/>
        </w:rPr>
        <w:t xml:space="preserve"> </w:t>
      </w:r>
      <w:r>
        <w:rPr>
          <w:rFonts w:ascii="Arial" w:hAnsi="Arial"/>
          <w:b/>
        </w:rPr>
        <w:t>Composição</w:t>
      </w:r>
      <w:r>
        <w:rPr>
          <w:rFonts w:ascii="Arial" w:hAnsi="Arial"/>
          <w:b/>
          <w:spacing w:val="-3"/>
        </w:rPr>
        <w:t xml:space="preserve"> </w:t>
      </w:r>
      <w:r>
        <w:rPr>
          <w:rFonts w:ascii="Arial" w:hAnsi="Arial"/>
          <w:b/>
        </w:rPr>
        <w:t>da</w:t>
      </w:r>
      <w:r>
        <w:rPr>
          <w:rFonts w:ascii="Arial" w:hAnsi="Arial"/>
          <w:b/>
          <w:spacing w:val="-4"/>
        </w:rPr>
        <w:t xml:space="preserve"> </w:t>
      </w:r>
      <w:r>
        <w:rPr>
          <w:rFonts w:ascii="Arial" w:hAnsi="Arial"/>
          <w:b/>
        </w:rPr>
        <w:t>Família</w:t>
      </w:r>
      <w:r>
        <w:rPr>
          <w:rFonts w:ascii="Arial" w:hAnsi="Arial"/>
          <w:b/>
          <w:spacing w:val="-2"/>
        </w:rPr>
        <w:t xml:space="preserve"> </w:t>
      </w:r>
      <w:r>
        <w:rPr>
          <w:rFonts w:ascii="Arial" w:hAnsi="Arial"/>
          <w:b/>
        </w:rPr>
        <w:t>de</w:t>
      </w:r>
      <w:r>
        <w:rPr>
          <w:rFonts w:ascii="Arial" w:hAnsi="Arial"/>
          <w:b/>
          <w:spacing w:val="-5"/>
        </w:rPr>
        <w:t xml:space="preserve"> </w:t>
      </w:r>
      <w:r>
        <w:rPr>
          <w:rFonts w:ascii="Arial" w:hAnsi="Arial"/>
          <w:b/>
        </w:rPr>
        <w:t>Pensionistas:</w:t>
      </w:r>
      <w:r>
        <w:rPr>
          <w:rFonts w:ascii="Arial" w:hAnsi="Arial"/>
          <w:b/>
          <w:spacing w:val="-4"/>
        </w:rPr>
        <w:t xml:space="preserve"> </w:t>
      </w:r>
      <w:r>
        <w:t>família</w:t>
      </w:r>
      <w:r>
        <w:rPr>
          <w:spacing w:val="1"/>
        </w:rPr>
        <w:t xml:space="preserve"> </w:t>
      </w:r>
      <w:r>
        <w:rPr>
          <w:spacing w:val="-2"/>
        </w:rPr>
        <w:t>real.</w:t>
      </w:r>
    </w:p>
    <w:p w14:paraId="71E57AF3" w14:textId="77777777" w:rsidR="002C6574" w:rsidRDefault="002C6574">
      <w:pPr>
        <w:pStyle w:val="Corpodetexto"/>
        <w:spacing w:before="142"/>
      </w:pPr>
    </w:p>
    <w:p w14:paraId="0BAAB2D1" w14:textId="77777777" w:rsidR="002C6574" w:rsidRDefault="00000000">
      <w:pPr>
        <w:pStyle w:val="PargrafodaLista"/>
        <w:numPr>
          <w:ilvl w:val="1"/>
          <w:numId w:val="27"/>
        </w:numPr>
        <w:tabs>
          <w:tab w:val="left" w:pos="995"/>
        </w:tabs>
        <w:rPr>
          <w:rFonts w:ascii="Arial"/>
          <w:b/>
        </w:rPr>
      </w:pPr>
      <w:r>
        <w:rPr>
          <w:rFonts w:ascii="Arial"/>
          <w:b/>
        </w:rPr>
        <w:t>Resultados</w:t>
      </w:r>
      <w:r>
        <w:rPr>
          <w:rFonts w:ascii="Arial"/>
          <w:b/>
          <w:spacing w:val="-3"/>
        </w:rPr>
        <w:t xml:space="preserve"> </w:t>
      </w:r>
      <w:r>
        <w:rPr>
          <w:rFonts w:ascii="Arial"/>
          <w:b/>
        </w:rPr>
        <w:t>dos</w:t>
      </w:r>
      <w:r>
        <w:rPr>
          <w:rFonts w:ascii="Arial"/>
          <w:b/>
          <w:spacing w:val="-4"/>
        </w:rPr>
        <w:t xml:space="preserve"> </w:t>
      </w:r>
      <w:r>
        <w:rPr>
          <w:rFonts w:ascii="Arial"/>
          <w:b/>
          <w:spacing w:val="-2"/>
        </w:rPr>
        <w:t>Planos</w:t>
      </w:r>
    </w:p>
    <w:p w14:paraId="2E9ABD31" w14:textId="77777777" w:rsidR="002C6574" w:rsidRDefault="002C6574">
      <w:pPr>
        <w:pStyle w:val="Corpodetexto"/>
        <w:spacing w:before="49"/>
        <w:rPr>
          <w:rFonts w:ascii="Arial"/>
          <w:b/>
        </w:rPr>
      </w:pPr>
    </w:p>
    <w:p w14:paraId="0158BC4C" w14:textId="77777777" w:rsidR="002C6574" w:rsidRDefault="00000000">
      <w:pPr>
        <w:pStyle w:val="Corpodetexto"/>
        <w:spacing w:line="237" w:lineRule="auto"/>
        <w:ind w:left="143" w:right="704"/>
        <w:jc w:val="both"/>
      </w:pPr>
      <w:r>
        <w:t xml:space="preserve">As especificações das informações e os resultados encontram-se detalhados nos quadros seguintes, </w:t>
      </w:r>
      <w:r>
        <w:rPr>
          <w:w w:val="105"/>
        </w:rPr>
        <w:t>com</w:t>
      </w:r>
      <w:r>
        <w:rPr>
          <w:spacing w:val="-9"/>
          <w:w w:val="105"/>
        </w:rPr>
        <w:t xml:space="preserve"> </w:t>
      </w:r>
      <w:r>
        <w:rPr>
          <w:w w:val="105"/>
        </w:rPr>
        <w:t>base</w:t>
      </w:r>
      <w:r>
        <w:rPr>
          <w:spacing w:val="-12"/>
          <w:w w:val="105"/>
        </w:rPr>
        <w:t xml:space="preserve"> </w:t>
      </w:r>
      <w:r>
        <w:rPr>
          <w:w w:val="105"/>
        </w:rPr>
        <w:t>nos</w:t>
      </w:r>
      <w:r>
        <w:rPr>
          <w:spacing w:val="-11"/>
          <w:w w:val="105"/>
        </w:rPr>
        <w:t xml:space="preserve"> </w:t>
      </w:r>
      <w:r>
        <w:rPr>
          <w:w w:val="105"/>
        </w:rPr>
        <w:t>dados</w:t>
      </w:r>
      <w:r>
        <w:rPr>
          <w:spacing w:val="-9"/>
          <w:w w:val="105"/>
        </w:rPr>
        <w:t xml:space="preserve"> </w:t>
      </w:r>
      <w:r>
        <w:rPr>
          <w:w w:val="105"/>
        </w:rPr>
        <w:t>extraídos</w:t>
      </w:r>
      <w:r>
        <w:rPr>
          <w:spacing w:val="-12"/>
          <w:w w:val="105"/>
        </w:rPr>
        <w:t xml:space="preserve"> </w:t>
      </w:r>
      <w:r>
        <w:rPr>
          <w:w w:val="105"/>
        </w:rPr>
        <w:t>dos</w:t>
      </w:r>
      <w:r>
        <w:rPr>
          <w:spacing w:val="-9"/>
          <w:w w:val="105"/>
        </w:rPr>
        <w:t xml:space="preserve"> </w:t>
      </w:r>
      <w:r>
        <w:rPr>
          <w:w w:val="105"/>
        </w:rPr>
        <w:t>balancetes</w:t>
      </w:r>
      <w:r>
        <w:rPr>
          <w:spacing w:val="-11"/>
          <w:w w:val="105"/>
        </w:rPr>
        <w:t xml:space="preserve"> </w:t>
      </w:r>
      <w:r>
        <w:rPr>
          <w:w w:val="105"/>
        </w:rPr>
        <w:t>da</w:t>
      </w:r>
      <w:r>
        <w:rPr>
          <w:spacing w:val="-10"/>
          <w:w w:val="105"/>
        </w:rPr>
        <w:t xml:space="preserve"> </w:t>
      </w:r>
      <w:r>
        <w:rPr>
          <w:w w:val="105"/>
        </w:rPr>
        <w:t>SISTEL</w:t>
      </w:r>
      <w:r>
        <w:rPr>
          <w:spacing w:val="-10"/>
          <w:w w:val="105"/>
        </w:rPr>
        <w:t xml:space="preserve"> </w:t>
      </w:r>
      <w:r>
        <w:rPr>
          <w:w w:val="105"/>
        </w:rPr>
        <w:t>de</w:t>
      </w:r>
      <w:r>
        <w:rPr>
          <w:spacing w:val="-11"/>
          <w:w w:val="105"/>
        </w:rPr>
        <w:t xml:space="preserve"> </w:t>
      </w:r>
      <w:r>
        <w:rPr>
          <w:w w:val="105"/>
        </w:rPr>
        <w:t>31</w:t>
      </w:r>
      <w:r>
        <w:rPr>
          <w:spacing w:val="-12"/>
          <w:w w:val="105"/>
        </w:rPr>
        <w:t xml:space="preserve"> </w:t>
      </w:r>
      <w:r>
        <w:rPr>
          <w:w w:val="105"/>
        </w:rPr>
        <w:t>de</w:t>
      </w:r>
      <w:r>
        <w:rPr>
          <w:spacing w:val="-9"/>
          <w:w w:val="105"/>
        </w:rPr>
        <w:t xml:space="preserve"> </w:t>
      </w:r>
      <w:r>
        <w:rPr>
          <w:w w:val="105"/>
        </w:rPr>
        <w:t>dezembro</w:t>
      </w:r>
      <w:r>
        <w:rPr>
          <w:spacing w:val="-13"/>
          <w:w w:val="105"/>
        </w:rPr>
        <w:t xml:space="preserve"> </w:t>
      </w:r>
      <w:r>
        <w:rPr>
          <w:w w:val="105"/>
        </w:rPr>
        <w:t>de</w:t>
      </w:r>
      <w:r>
        <w:rPr>
          <w:spacing w:val="-11"/>
          <w:w w:val="105"/>
        </w:rPr>
        <w:t xml:space="preserve"> </w:t>
      </w:r>
      <w:r>
        <w:rPr>
          <w:w w:val="105"/>
        </w:rPr>
        <w:t>2025</w:t>
      </w:r>
      <w:r>
        <w:rPr>
          <w:spacing w:val="-9"/>
          <w:w w:val="105"/>
        </w:rPr>
        <w:t xml:space="preserve"> </w:t>
      </w:r>
      <w:r>
        <w:rPr>
          <w:w w:val="105"/>
        </w:rPr>
        <w:t>e</w:t>
      </w:r>
      <w:r>
        <w:rPr>
          <w:spacing w:val="-13"/>
          <w:w w:val="105"/>
        </w:rPr>
        <w:t xml:space="preserve"> </w:t>
      </w:r>
      <w:r>
        <w:rPr>
          <w:w w:val="105"/>
        </w:rPr>
        <w:t>nos</w:t>
      </w:r>
      <w:r>
        <w:rPr>
          <w:spacing w:val="-11"/>
          <w:w w:val="105"/>
        </w:rPr>
        <w:t xml:space="preserve"> </w:t>
      </w:r>
      <w:r>
        <w:rPr>
          <w:w w:val="105"/>
        </w:rPr>
        <w:t xml:space="preserve">dados </w:t>
      </w:r>
      <w:r>
        <w:t>dos</w:t>
      </w:r>
      <w:r>
        <w:rPr>
          <w:spacing w:val="-12"/>
        </w:rPr>
        <w:t xml:space="preserve"> </w:t>
      </w:r>
      <w:r>
        <w:t>cadastros</w:t>
      </w:r>
      <w:r>
        <w:rPr>
          <w:spacing w:val="-12"/>
        </w:rPr>
        <w:t xml:space="preserve"> </w:t>
      </w:r>
      <w:r>
        <w:t>de</w:t>
      </w:r>
      <w:r>
        <w:rPr>
          <w:spacing w:val="-15"/>
        </w:rPr>
        <w:t xml:space="preserve"> </w:t>
      </w:r>
      <w:r>
        <w:t>participantes</w:t>
      </w:r>
      <w:r>
        <w:rPr>
          <w:spacing w:val="-11"/>
        </w:rPr>
        <w:t xml:space="preserve"> </w:t>
      </w:r>
      <w:r>
        <w:t>e</w:t>
      </w:r>
      <w:r>
        <w:rPr>
          <w:spacing w:val="-11"/>
        </w:rPr>
        <w:t xml:space="preserve"> </w:t>
      </w:r>
      <w:r>
        <w:t>dependentes</w:t>
      </w:r>
      <w:r>
        <w:rPr>
          <w:spacing w:val="-14"/>
        </w:rPr>
        <w:t xml:space="preserve"> </w:t>
      </w:r>
      <w:r>
        <w:t>daquela</w:t>
      </w:r>
      <w:r>
        <w:rPr>
          <w:spacing w:val="-12"/>
        </w:rPr>
        <w:t xml:space="preserve"> </w:t>
      </w:r>
      <w:r>
        <w:t>entidade</w:t>
      </w:r>
      <w:r>
        <w:rPr>
          <w:spacing w:val="-11"/>
        </w:rPr>
        <w:t xml:space="preserve"> </w:t>
      </w:r>
      <w:r>
        <w:t>posicionados</w:t>
      </w:r>
      <w:r>
        <w:rPr>
          <w:spacing w:val="-12"/>
        </w:rPr>
        <w:t xml:space="preserve"> </w:t>
      </w:r>
      <w:r>
        <w:t>em</w:t>
      </w:r>
      <w:r>
        <w:rPr>
          <w:spacing w:val="-14"/>
        </w:rPr>
        <w:t xml:space="preserve"> </w:t>
      </w:r>
      <w:r>
        <w:t>dezembro</w:t>
      </w:r>
      <w:r>
        <w:rPr>
          <w:spacing w:val="-12"/>
        </w:rPr>
        <w:t xml:space="preserve"> </w:t>
      </w:r>
      <w:r>
        <w:t>de</w:t>
      </w:r>
      <w:r>
        <w:rPr>
          <w:spacing w:val="-15"/>
        </w:rPr>
        <w:t xml:space="preserve"> </w:t>
      </w:r>
      <w:r>
        <w:rPr>
          <w:spacing w:val="-2"/>
        </w:rPr>
        <w:t>2025.</w:t>
      </w:r>
    </w:p>
    <w:p w14:paraId="443C6BA1" w14:textId="77777777" w:rsidR="002C6574" w:rsidRDefault="002C6574">
      <w:pPr>
        <w:pStyle w:val="Corpodetexto"/>
        <w:spacing w:before="30"/>
      </w:pPr>
    </w:p>
    <w:p w14:paraId="5CF9C5EC" w14:textId="77777777" w:rsidR="002C6574" w:rsidRDefault="00000000">
      <w:pPr>
        <w:numPr>
          <w:ilvl w:val="2"/>
          <w:numId w:val="27"/>
        </w:numPr>
        <w:tabs>
          <w:tab w:val="left" w:pos="990"/>
        </w:tabs>
        <w:spacing w:before="1"/>
        <w:ind w:left="990" w:hanging="847"/>
        <w:rPr>
          <w:rFonts w:ascii="Arial"/>
          <w:b/>
        </w:rPr>
      </w:pPr>
      <w:r>
        <w:rPr>
          <w:rFonts w:ascii="Arial"/>
          <w:b/>
        </w:rPr>
        <w:t>Valor</w:t>
      </w:r>
      <w:r>
        <w:rPr>
          <w:rFonts w:ascii="Arial"/>
          <w:b/>
          <w:spacing w:val="-2"/>
        </w:rPr>
        <w:t xml:space="preserve"> </w:t>
      </w:r>
      <w:r>
        <w:rPr>
          <w:rFonts w:ascii="Arial"/>
          <w:b/>
        </w:rPr>
        <w:t>Justo</w:t>
      </w:r>
      <w:r>
        <w:rPr>
          <w:rFonts w:ascii="Arial"/>
          <w:b/>
          <w:spacing w:val="-1"/>
        </w:rPr>
        <w:t xml:space="preserve"> </w:t>
      </w:r>
      <w:r>
        <w:rPr>
          <w:rFonts w:ascii="Arial"/>
          <w:b/>
        </w:rPr>
        <w:t>dos</w:t>
      </w:r>
      <w:r>
        <w:rPr>
          <w:rFonts w:ascii="Arial"/>
          <w:b/>
          <w:spacing w:val="-7"/>
        </w:rPr>
        <w:t xml:space="preserve"> </w:t>
      </w:r>
      <w:r>
        <w:rPr>
          <w:rFonts w:ascii="Arial"/>
          <w:b/>
        </w:rPr>
        <w:t>Ativos</w:t>
      </w:r>
      <w:r>
        <w:rPr>
          <w:rFonts w:ascii="Arial"/>
          <w:b/>
          <w:spacing w:val="-3"/>
        </w:rPr>
        <w:t xml:space="preserve"> </w:t>
      </w:r>
      <w:r>
        <w:rPr>
          <w:rFonts w:ascii="Arial"/>
          <w:b/>
        </w:rPr>
        <w:t>dos</w:t>
      </w:r>
      <w:r>
        <w:rPr>
          <w:rFonts w:ascii="Arial"/>
          <w:b/>
          <w:spacing w:val="-4"/>
        </w:rPr>
        <w:t xml:space="preserve"> </w:t>
      </w:r>
      <w:r>
        <w:rPr>
          <w:rFonts w:ascii="Arial"/>
          <w:b/>
        </w:rPr>
        <w:t>Planos</w:t>
      </w:r>
      <w:r>
        <w:rPr>
          <w:rFonts w:ascii="Arial"/>
          <w:b/>
          <w:spacing w:val="-4"/>
        </w:rPr>
        <w:t xml:space="preserve"> </w:t>
      </w:r>
      <w:r>
        <w:rPr>
          <w:rFonts w:ascii="Arial"/>
          <w:b/>
        </w:rPr>
        <w:t>em</w:t>
      </w:r>
      <w:r>
        <w:rPr>
          <w:rFonts w:ascii="Arial"/>
          <w:b/>
          <w:spacing w:val="-1"/>
        </w:rPr>
        <w:t xml:space="preserve"> </w:t>
      </w:r>
      <w:r>
        <w:rPr>
          <w:rFonts w:ascii="Arial"/>
          <w:b/>
        </w:rPr>
        <w:t>31 de</w:t>
      </w:r>
      <w:r>
        <w:rPr>
          <w:rFonts w:ascii="Arial"/>
          <w:b/>
          <w:spacing w:val="-6"/>
        </w:rPr>
        <w:t xml:space="preserve"> </w:t>
      </w:r>
      <w:r>
        <w:rPr>
          <w:rFonts w:ascii="Arial"/>
          <w:b/>
        </w:rPr>
        <w:t>dezembro</w:t>
      </w:r>
      <w:r>
        <w:rPr>
          <w:rFonts w:ascii="Arial"/>
          <w:b/>
          <w:spacing w:val="-1"/>
        </w:rPr>
        <w:t xml:space="preserve"> </w:t>
      </w:r>
      <w:r>
        <w:rPr>
          <w:rFonts w:ascii="Arial"/>
          <w:b/>
        </w:rPr>
        <w:t>2025</w:t>
      </w:r>
      <w:r>
        <w:rPr>
          <w:rFonts w:ascii="Arial"/>
          <w:b/>
          <w:spacing w:val="-1"/>
        </w:rPr>
        <w:t xml:space="preserve"> </w:t>
      </w:r>
      <w:r>
        <w:rPr>
          <w:rFonts w:ascii="Arial"/>
          <w:b/>
        </w:rPr>
        <w:t>e</w:t>
      </w:r>
      <w:r>
        <w:rPr>
          <w:rFonts w:ascii="Arial"/>
          <w:b/>
          <w:spacing w:val="-3"/>
        </w:rPr>
        <w:t xml:space="preserve"> </w:t>
      </w:r>
      <w:r>
        <w:rPr>
          <w:rFonts w:ascii="Arial"/>
          <w:b/>
          <w:spacing w:val="-4"/>
        </w:rPr>
        <w:t>2024</w:t>
      </w:r>
    </w:p>
    <w:p w14:paraId="752ACA25" w14:textId="77777777" w:rsidR="002C6574" w:rsidRDefault="002C6574">
      <w:pPr>
        <w:pStyle w:val="Corpodetexto"/>
        <w:spacing w:before="83"/>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4"/>
        <w:gridCol w:w="1123"/>
        <w:gridCol w:w="1121"/>
        <w:gridCol w:w="1195"/>
        <w:gridCol w:w="1193"/>
        <w:gridCol w:w="1123"/>
        <w:gridCol w:w="1121"/>
      </w:tblGrid>
      <w:tr w:rsidR="002C6574" w14:paraId="5BE32613" w14:textId="77777777">
        <w:trPr>
          <w:trHeight w:val="232"/>
        </w:trPr>
        <w:tc>
          <w:tcPr>
            <w:tcW w:w="2894" w:type="dxa"/>
            <w:vMerge w:val="restart"/>
            <w:shd w:val="clear" w:color="auto" w:fill="BFBFBF"/>
          </w:tcPr>
          <w:p w14:paraId="0599DE5D" w14:textId="77777777" w:rsidR="002C6574" w:rsidRDefault="00000000">
            <w:pPr>
              <w:pStyle w:val="TableParagraph"/>
              <w:spacing w:before="152"/>
              <w:ind w:left="69"/>
              <w:jc w:val="left"/>
              <w:rPr>
                <w:rFonts w:ascii="Arial" w:hAnsi="Arial"/>
                <w:b/>
                <w:sz w:val="15"/>
              </w:rPr>
            </w:pPr>
            <w:r>
              <w:rPr>
                <w:rFonts w:ascii="Arial" w:hAnsi="Arial"/>
                <w:b/>
                <w:spacing w:val="-2"/>
                <w:sz w:val="15"/>
              </w:rPr>
              <w:t>Composição:</w:t>
            </w:r>
          </w:p>
        </w:tc>
        <w:tc>
          <w:tcPr>
            <w:tcW w:w="2244" w:type="dxa"/>
            <w:gridSpan w:val="2"/>
          </w:tcPr>
          <w:p w14:paraId="7AF43F11" w14:textId="77777777" w:rsidR="002C6574" w:rsidRDefault="00000000">
            <w:pPr>
              <w:pStyle w:val="TableParagraph"/>
              <w:spacing w:before="29"/>
              <w:ind w:left="9"/>
              <w:jc w:val="center"/>
              <w:rPr>
                <w:rFonts w:ascii="Arial"/>
                <w:b/>
                <w:sz w:val="15"/>
              </w:rPr>
            </w:pPr>
            <w:r>
              <w:rPr>
                <w:rFonts w:ascii="Arial"/>
                <w:b/>
                <w:spacing w:val="-2"/>
                <w:sz w:val="15"/>
              </w:rPr>
              <w:t>PBS-</w:t>
            </w:r>
            <w:r>
              <w:rPr>
                <w:rFonts w:ascii="Arial"/>
                <w:b/>
                <w:spacing w:val="-10"/>
                <w:sz w:val="15"/>
              </w:rPr>
              <w:t>A</w:t>
            </w:r>
          </w:p>
        </w:tc>
        <w:tc>
          <w:tcPr>
            <w:tcW w:w="2388" w:type="dxa"/>
            <w:gridSpan w:val="2"/>
          </w:tcPr>
          <w:p w14:paraId="0724729B" w14:textId="77777777" w:rsidR="002C6574" w:rsidRDefault="00000000">
            <w:pPr>
              <w:pStyle w:val="TableParagraph"/>
              <w:spacing w:before="29"/>
              <w:ind w:left="706"/>
              <w:jc w:val="left"/>
              <w:rPr>
                <w:rFonts w:ascii="Arial"/>
                <w:b/>
                <w:sz w:val="15"/>
              </w:rPr>
            </w:pPr>
            <w:r>
              <w:rPr>
                <w:rFonts w:ascii="Arial"/>
                <w:b/>
                <w:spacing w:val="-2"/>
                <w:sz w:val="15"/>
              </w:rPr>
              <w:t>PBS-Telebras</w:t>
            </w:r>
          </w:p>
        </w:tc>
        <w:tc>
          <w:tcPr>
            <w:tcW w:w="2244" w:type="dxa"/>
            <w:gridSpan w:val="2"/>
          </w:tcPr>
          <w:p w14:paraId="1C4D4880" w14:textId="77777777" w:rsidR="002C6574" w:rsidRDefault="00000000">
            <w:pPr>
              <w:pStyle w:val="TableParagraph"/>
              <w:spacing w:before="29"/>
              <w:ind w:left="588"/>
              <w:jc w:val="left"/>
              <w:rPr>
                <w:rFonts w:ascii="Arial"/>
                <w:b/>
                <w:sz w:val="15"/>
              </w:rPr>
            </w:pPr>
            <w:r>
              <w:rPr>
                <w:rFonts w:ascii="Arial"/>
                <w:b/>
                <w:sz w:val="15"/>
              </w:rPr>
              <w:t>Telebras</w:t>
            </w:r>
            <w:r>
              <w:rPr>
                <w:rFonts w:ascii="Arial"/>
                <w:b/>
                <w:spacing w:val="-8"/>
                <w:sz w:val="15"/>
              </w:rPr>
              <w:t xml:space="preserve"> </w:t>
            </w:r>
            <w:r>
              <w:rPr>
                <w:rFonts w:ascii="Arial"/>
                <w:b/>
                <w:spacing w:val="-4"/>
                <w:sz w:val="15"/>
              </w:rPr>
              <w:t>PREV</w:t>
            </w:r>
          </w:p>
        </w:tc>
      </w:tr>
      <w:tr w:rsidR="002C6574" w14:paraId="3CE15014" w14:textId="77777777">
        <w:trPr>
          <w:trHeight w:val="232"/>
        </w:trPr>
        <w:tc>
          <w:tcPr>
            <w:tcW w:w="2894" w:type="dxa"/>
            <w:vMerge/>
            <w:tcBorders>
              <w:top w:val="nil"/>
            </w:tcBorders>
            <w:shd w:val="clear" w:color="auto" w:fill="BFBFBF"/>
          </w:tcPr>
          <w:p w14:paraId="34387CFF" w14:textId="77777777" w:rsidR="002C6574" w:rsidRDefault="002C6574">
            <w:pPr>
              <w:rPr>
                <w:sz w:val="2"/>
                <w:szCs w:val="2"/>
              </w:rPr>
            </w:pPr>
          </w:p>
        </w:tc>
        <w:tc>
          <w:tcPr>
            <w:tcW w:w="1123" w:type="dxa"/>
          </w:tcPr>
          <w:p w14:paraId="76201129" w14:textId="77777777" w:rsidR="002C6574" w:rsidRDefault="00000000">
            <w:pPr>
              <w:pStyle w:val="TableParagraph"/>
              <w:spacing w:before="29"/>
              <w:ind w:left="185"/>
              <w:jc w:val="left"/>
              <w:rPr>
                <w:rFonts w:ascii="Arial"/>
                <w:b/>
                <w:sz w:val="15"/>
              </w:rPr>
            </w:pPr>
            <w:r>
              <w:rPr>
                <w:rFonts w:ascii="Arial"/>
                <w:b/>
                <w:spacing w:val="-2"/>
                <w:sz w:val="15"/>
              </w:rPr>
              <w:t>31/12/2025</w:t>
            </w:r>
          </w:p>
        </w:tc>
        <w:tc>
          <w:tcPr>
            <w:tcW w:w="1121" w:type="dxa"/>
          </w:tcPr>
          <w:p w14:paraId="473F3985" w14:textId="77777777" w:rsidR="002C6574" w:rsidRDefault="00000000">
            <w:pPr>
              <w:pStyle w:val="TableParagraph"/>
              <w:spacing w:before="29"/>
              <w:ind w:left="185"/>
              <w:jc w:val="left"/>
              <w:rPr>
                <w:rFonts w:ascii="Arial"/>
                <w:b/>
                <w:sz w:val="15"/>
              </w:rPr>
            </w:pPr>
            <w:r>
              <w:rPr>
                <w:rFonts w:ascii="Arial"/>
                <w:b/>
                <w:spacing w:val="-2"/>
                <w:sz w:val="15"/>
              </w:rPr>
              <w:t>31/12/2024</w:t>
            </w:r>
          </w:p>
        </w:tc>
        <w:tc>
          <w:tcPr>
            <w:tcW w:w="1195" w:type="dxa"/>
          </w:tcPr>
          <w:p w14:paraId="5F8E853F" w14:textId="77777777" w:rsidR="002C6574" w:rsidRDefault="00000000">
            <w:pPr>
              <w:pStyle w:val="TableParagraph"/>
              <w:spacing w:before="29"/>
              <w:ind w:left="221"/>
              <w:jc w:val="left"/>
              <w:rPr>
                <w:rFonts w:ascii="Arial"/>
                <w:b/>
                <w:sz w:val="15"/>
              </w:rPr>
            </w:pPr>
            <w:r>
              <w:rPr>
                <w:rFonts w:ascii="Arial"/>
                <w:b/>
                <w:spacing w:val="-2"/>
                <w:sz w:val="15"/>
              </w:rPr>
              <w:t>31/12/2025</w:t>
            </w:r>
          </w:p>
        </w:tc>
        <w:tc>
          <w:tcPr>
            <w:tcW w:w="1193" w:type="dxa"/>
          </w:tcPr>
          <w:p w14:paraId="799AAB3C" w14:textId="77777777" w:rsidR="002C6574" w:rsidRDefault="00000000">
            <w:pPr>
              <w:pStyle w:val="TableParagraph"/>
              <w:spacing w:before="29"/>
              <w:ind w:left="221"/>
              <w:jc w:val="left"/>
              <w:rPr>
                <w:rFonts w:ascii="Arial"/>
                <w:b/>
                <w:sz w:val="15"/>
              </w:rPr>
            </w:pPr>
            <w:r>
              <w:rPr>
                <w:rFonts w:ascii="Arial"/>
                <w:b/>
                <w:spacing w:val="-2"/>
                <w:sz w:val="15"/>
              </w:rPr>
              <w:t>31/12/2024</w:t>
            </w:r>
          </w:p>
        </w:tc>
        <w:tc>
          <w:tcPr>
            <w:tcW w:w="1123" w:type="dxa"/>
          </w:tcPr>
          <w:p w14:paraId="3DA80579" w14:textId="77777777" w:rsidR="002C6574" w:rsidRDefault="00000000">
            <w:pPr>
              <w:pStyle w:val="TableParagraph"/>
              <w:spacing w:before="29"/>
              <w:ind w:left="185"/>
              <w:jc w:val="left"/>
              <w:rPr>
                <w:rFonts w:ascii="Arial"/>
                <w:b/>
                <w:sz w:val="15"/>
              </w:rPr>
            </w:pPr>
            <w:r>
              <w:rPr>
                <w:rFonts w:ascii="Arial"/>
                <w:b/>
                <w:spacing w:val="-2"/>
                <w:sz w:val="15"/>
              </w:rPr>
              <w:t>31/12/2025</w:t>
            </w:r>
          </w:p>
        </w:tc>
        <w:tc>
          <w:tcPr>
            <w:tcW w:w="1121" w:type="dxa"/>
          </w:tcPr>
          <w:p w14:paraId="71E6C35A" w14:textId="77777777" w:rsidR="002C6574" w:rsidRDefault="00000000">
            <w:pPr>
              <w:pStyle w:val="TableParagraph"/>
              <w:spacing w:before="29"/>
              <w:ind w:left="184"/>
              <w:jc w:val="left"/>
              <w:rPr>
                <w:rFonts w:ascii="Arial"/>
                <w:b/>
                <w:sz w:val="15"/>
              </w:rPr>
            </w:pPr>
            <w:r>
              <w:rPr>
                <w:rFonts w:ascii="Arial"/>
                <w:b/>
                <w:spacing w:val="-2"/>
                <w:sz w:val="15"/>
              </w:rPr>
              <w:t>31/12/2024</w:t>
            </w:r>
          </w:p>
        </w:tc>
      </w:tr>
      <w:tr w:rsidR="002C6574" w14:paraId="00FED063" w14:textId="77777777">
        <w:trPr>
          <w:trHeight w:val="230"/>
        </w:trPr>
        <w:tc>
          <w:tcPr>
            <w:tcW w:w="2894" w:type="dxa"/>
          </w:tcPr>
          <w:p w14:paraId="2AC9D6D3" w14:textId="77777777" w:rsidR="002C6574" w:rsidRDefault="00000000">
            <w:pPr>
              <w:pStyle w:val="TableParagraph"/>
              <w:spacing w:before="8"/>
              <w:ind w:left="69"/>
              <w:jc w:val="left"/>
              <w:rPr>
                <w:sz w:val="15"/>
              </w:rPr>
            </w:pPr>
            <w:r>
              <w:rPr>
                <w:spacing w:val="-2"/>
                <w:w w:val="105"/>
                <w:sz w:val="15"/>
              </w:rPr>
              <w:t>1.</w:t>
            </w:r>
            <w:r>
              <w:rPr>
                <w:spacing w:val="-6"/>
                <w:w w:val="105"/>
                <w:sz w:val="15"/>
              </w:rPr>
              <w:t xml:space="preserve"> </w:t>
            </w:r>
            <w:r>
              <w:rPr>
                <w:spacing w:val="-2"/>
                <w:w w:val="105"/>
                <w:sz w:val="15"/>
              </w:rPr>
              <w:t>Valor</w:t>
            </w:r>
            <w:r>
              <w:rPr>
                <w:spacing w:val="-4"/>
                <w:w w:val="105"/>
                <w:sz w:val="15"/>
              </w:rPr>
              <w:t xml:space="preserve"> </w:t>
            </w:r>
            <w:r>
              <w:rPr>
                <w:spacing w:val="-2"/>
                <w:w w:val="105"/>
                <w:sz w:val="15"/>
              </w:rPr>
              <w:t>dos</w:t>
            </w:r>
            <w:r>
              <w:rPr>
                <w:spacing w:val="-4"/>
                <w:w w:val="105"/>
                <w:sz w:val="15"/>
              </w:rPr>
              <w:t xml:space="preserve"> </w:t>
            </w:r>
            <w:r>
              <w:rPr>
                <w:spacing w:val="-2"/>
                <w:w w:val="105"/>
                <w:sz w:val="15"/>
              </w:rPr>
              <w:t>ativos</w:t>
            </w:r>
            <w:r>
              <w:rPr>
                <w:spacing w:val="-4"/>
                <w:w w:val="105"/>
                <w:sz w:val="15"/>
              </w:rPr>
              <w:t xml:space="preserve"> </w:t>
            </w:r>
            <w:r>
              <w:rPr>
                <w:spacing w:val="-2"/>
                <w:w w:val="105"/>
                <w:sz w:val="15"/>
              </w:rPr>
              <w:t>a</w:t>
            </w:r>
            <w:r>
              <w:rPr>
                <w:spacing w:val="-6"/>
                <w:w w:val="105"/>
                <w:sz w:val="15"/>
              </w:rPr>
              <w:t xml:space="preserve"> </w:t>
            </w:r>
            <w:r>
              <w:rPr>
                <w:spacing w:val="-2"/>
                <w:w w:val="105"/>
                <w:sz w:val="15"/>
              </w:rPr>
              <w:t>mercado</w:t>
            </w:r>
            <w:r>
              <w:rPr>
                <w:spacing w:val="-5"/>
                <w:w w:val="105"/>
                <w:sz w:val="15"/>
              </w:rPr>
              <w:t xml:space="preserve"> (i)</w:t>
            </w:r>
          </w:p>
        </w:tc>
        <w:tc>
          <w:tcPr>
            <w:tcW w:w="1123" w:type="dxa"/>
          </w:tcPr>
          <w:p w14:paraId="1C43220A" w14:textId="77777777" w:rsidR="002C6574" w:rsidRDefault="00000000">
            <w:pPr>
              <w:pStyle w:val="TableParagraph"/>
              <w:spacing w:before="8"/>
              <w:ind w:right="59"/>
              <w:rPr>
                <w:sz w:val="15"/>
              </w:rPr>
            </w:pPr>
            <w:r>
              <w:rPr>
                <w:spacing w:val="-2"/>
                <w:w w:val="110"/>
                <w:sz w:val="15"/>
              </w:rPr>
              <w:t>13.158.320</w:t>
            </w:r>
          </w:p>
        </w:tc>
        <w:tc>
          <w:tcPr>
            <w:tcW w:w="1121" w:type="dxa"/>
          </w:tcPr>
          <w:p w14:paraId="567D94C0" w14:textId="77777777" w:rsidR="002C6574" w:rsidRDefault="00000000">
            <w:pPr>
              <w:pStyle w:val="TableParagraph"/>
              <w:spacing w:before="8"/>
              <w:ind w:right="57"/>
              <w:rPr>
                <w:sz w:val="15"/>
              </w:rPr>
            </w:pPr>
            <w:r>
              <w:rPr>
                <w:spacing w:val="-2"/>
                <w:w w:val="110"/>
                <w:sz w:val="15"/>
              </w:rPr>
              <w:t>13.372.961</w:t>
            </w:r>
          </w:p>
        </w:tc>
        <w:tc>
          <w:tcPr>
            <w:tcW w:w="1195" w:type="dxa"/>
          </w:tcPr>
          <w:p w14:paraId="2AC06FA7" w14:textId="77777777" w:rsidR="002C6574" w:rsidRDefault="00000000">
            <w:pPr>
              <w:pStyle w:val="TableParagraph"/>
              <w:spacing w:before="8"/>
              <w:ind w:right="57"/>
              <w:rPr>
                <w:sz w:val="15"/>
              </w:rPr>
            </w:pPr>
            <w:r>
              <w:rPr>
                <w:spacing w:val="-2"/>
                <w:w w:val="110"/>
                <w:sz w:val="15"/>
              </w:rPr>
              <w:t>502.011</w:t>
            </w:r>
          </w:p>
        </w:tc>
        <w:tc>
          <w:tcPr>
            <w:tcW w:w="1193" w:type="dxa"/>
          </w:tcPr>
          <w:p w14:paraId="338834B5" w14:textId="77777777" w:rsidR="002C6574" w:rsidRDefault="00000000">
            <w:pPr>
              <w:pStyle w:val="TableParagraph"/>
              <w:spacing w:before="8"/>
              <w:ind w:right="54"/>
              <w:rPr>
                <w:sz w:val="15"/>
              </w:rPr>
            </w:pPr>
            <w:r>
              <w:rPr>
                <w:spacing w:val="-2"/>
                <w:w w:val="110"/>
                <w:sz w:val="15"/>
              </w:rPr>
              <w:t>464.833</w:t>
            </w:r>
          </w:p>
        </w:tc>
        <w:tc>
          <w:tcPr>
            <w:tcW w:w="1123" w:type="dxa"/>
          </w:tcPr>
          <w:p w14:paraId="0B5AD1D5" w14:textId="77777777" w:rsidR="002C6574" w:rsidRDefault="00000000">
            <w:pPr>
              <w:pStyle w:val="TableParagraph"/>
              <w:spacing w:before="8"/>
              <w:ind w:right="59"/>
              <w:rPr>
                <w:sz w:val="15"/>
              </w:rPr>
            </w:pPr>
            <w:r>
              <w:rPr>
                <w:spacing w:val="-2"/>
                <w:w w:val="110"/>
                <w:sz w:val="15"/>
              </w:rPr>
              <w:t>1.380.244</w:t>
            </w:r>
          </w:p>
        </w:tc>
        <w:tc>
          <w:tcPr>
            <w:tcW w:w="1121" w:type="dxa"/>
          </w:tcPr>
          <w:p w14:paraId="36309632" w14:textId="77777777" w:rsidR="002C6574" w:rsidRDefault="00000000">
            <w:pPr>
              <w:pStyle w:val="TableParagraph"/>
              <w:spacing w:before="8"/>
              <w:ind w:right="57"/>
              <w:rPr>
                <w:sz w:val="15"/>
              </w:rPr>
            </w:pPr>
            <w:r>
              <w:rPr>
                <w:spacing w:val="-2"/>
                <w:w w:val="110"/>
                <w:sz w:val="15"/>
              </w:rPr>
              <w:t>1.352.148</w:t>
            </w:r>
          </w:p>
        </w:tc>
      </w:tr>
      <w:tr w:rsidR="002C6574" w14:paraId="3A1FDCE7" w14:textId="77777777">
        <w:trPr>
          <w:trHeight w:val="232"/>
        </w:trPr>
        <w:tc>
          <w:tcPr>
            <w:tcW w:w="2894" w:type="dxa"/>
          </w:tcPr>
          <w:p w14:paraId="4A8D1FBC" w14:textId="77777777" w:rsidR="002C6574" w:rsidRDefault="00000000">
            <w:pPr>
              <w:pStyle w:val="TableParagraph"/>
              <w:spacing w:before="10"/>
              <w:ind w:left="69"/>
              <w:jc w:val="left"/>
              <w:rPr>
                <w:sz w:val="15"/>
              </w:rPr>
            </w:pPr>
            <w:r>
              <w:rPr>
                <w:spacing w:val="-2"/>
                <w:w w:val="105"/>
                <w:sz w:val="15"/>
              </w:rPr>
              <w:t>2.</w:t>
            </w:r>
            <w:r>
              <w:rPr>
                <w:spacing w:val="1"/>
                <w:w w:val="105"/>
                <w:sz w:val="15"/>
              </w:rPr>
              <w:t xml:space="preserve"> </w:t>
            </w:r>
            <w:r>
              <w:rPr>
                <w:spacing w:val="-2"/>
                <w:w w:val="105"/>
                <w:sz w:val="15"/>
              </w:rPr>
              <w:t>Exigível</w:t>
            </w:r>
            <w:r>
              <w:rPr>
                <w:spacing w:val="2"/>
                <w:w w:val="105"/>
                <w:sz w:val="15"/>
              </w:rPr>
              <w:t xml:space="preserve"> </w:t>
            </w:r>
            <w:r>
              <w:rPr>
                <w:spacing w:val="-2"/>
                <w:w w:val="105"/>
                <w:sz w:val="15"/>
              </w:rPr>
              <w:t>operacional</w:t>
            </w:r>
            <w:r>
              <w:rPr>
                <w:spacing w:val="2"/>
                <w:w w:val="105"/>
                <w:sz w:val="15"/>
              </w:rPr>
              <w:t xml:space="preserve"> </w:t>
            </w:r>
            <w:r>
              <w:rPr>
                <w:spacing w:val="-4"/>
                <w:w w:val="105"/>
                <w:sz w:val="15"/>
              </w:rPr>
              <w:t>(ii)</w:t>
            </w:r>
          </w:p>
        </w:tc>
        <w:tc>
          <w:tcPr>
            <w:tcW w:w="1123" w:type="dxa"/>
          </w:tcPr>
          <w:p w14:paraId="23074ADD" w14:textId="77777777" w:rsidR="002C6574" w:rsidRDefault="00000000">
            <w:pPr>
              <w:pStyle w:val="TableParagraph"/>
              <w:spacing w:before="10"/>
              <w:ind w:right="57"/>
              <w:rPr>
                <w:sz w:val="15"/>
              </w:rPr>
            </w:pPr>
            <w:r>
              <w:rPr>
                <w:spacing w:val="-2"/>
                <w:w w:val="110"/>
                <w:sz w:val="15"/>
              </w:rPr>
              <w:t>(155.265)</w:t>
            </w:r>
          </w:p>
        </w:tc>
        <w:tc>
          <w:tcPr>
            <w:tcW w:w="1121" w:type="dxa"/>
          </w:tcPr>
          <w:p w14:paraId="69CFBDE0" w14:textId="77777777" w:rsidR="002C6574" w:rsidRDefault="00000000">
            <w:pPr>
              <w:pStyle w:val="TableParagraph"/>
              <w:spacing w:before="10"/>
              <w:ind w:right="55"/>
              <w:rPr>
                <w:sz w:val="15"/>
              </w:rPr>
            </w:pPr>
            <w:r>
              <w:rPr>
                <w:spacing w:val="-2"/>
                <w:w w:val="110"/>
                <w:sz w:val="15"/>
              </w:rPr>
              <w:t>(130.708)</w:t>
            </w:r>
          </w:p>
        </w:tc>
        <w:tc>
          <w:tcPr>
            <w:tcW w:w="1195" w:type="dxa"/>
          </w:tcPr>
          <w:p w14:paraId="61B4200D" w14:textId="77777777" w:rsidR="002C6574" w:rsidRDefault="00000000">
            <w:pPr>
              <w:pStyle w:val="TableParagraph"/>
              <w:spacing w:before="10"/>
              <w:ind w:right="57"/>
              <w:rPr>
                <w:sz w:val="15"/>
              </w:rPr>
            </w:pPr>
            <w:r>
              <w:rPr>
                <w:spacing w:val="-2"/>
                <w:w w:val="105"/>
                <w:sz w:val="15"/>
              </w:rPr>
              <w:t>(717)</w:t>
            </w:r>
          </w:p>
        </w:tc>
        <w:tc>
          <w:tcPr>
            <w:tcW w:w="1193" w:type="dxa"/>
          </w:tcPr>
          <w:p w14:paraId="563E7F38" w14:textId="77777777" w:rsidR="002C6574" w:rsidRDefault="00000000">
            <w:pPr>
              <w:pStyle w:val="TableParagraph"/>
              <w:spacing w:before="10"/>
              <w:ind w:right="55"/>
              <w:rPr>
                <w:sz w:val="15"/>
              </w:rPr>
            </w:pPr>
            <w:r>
              <w:rPr>
                <w:spacing w:val="-2"/>
                <w:w w:val="105"/>
                <w:sz w:val="15"/>
              </w:rPr>
              <w:t>(491)</w:t>
            </w:r>
          </w:p>
        </w:tc>
        <w:tc>
          <w:tcPr>
            <w:tcW w:w="1123" w:type="dxa"/>
          </w:tcPr>
          <w:p w14:paraId="36A361C8" w14:textId="77777777" w:rsidR="002C6574" w:rsidRDefault="00000000">
            <w:pPr>
              <w:pStyle w:val="TableParagraph"/>
              <w:spacing w:before="10"/>
              <w:ind w:right="57"/>
              <w:rPr>
                <w:sz w:val="15"/>
              </w:rPr>
            </w:pPr>
            <w:r>
              <w:rPr>
                <w:spacing w:val="-2"/>
                <w:w w:val="110"/>
                <w:sz w:val="15"/>
              </w:rPr>
              <w:t>(10.351)</w:t>
            </w:r>
          </w:p>
        </w:tc>
        <w:tc>
          <w:tcPr>
            <w:tcW w:w="1121" w:type="dxa"/>
          </w:tcPr>
          <w:p w14:paraId="34EB18B6" w14:textId="77777777" w:rsidR="002C6574" w:rsidRDefault="00000000">
            <w:pPr>
              <w:pStyle w:val="TableParagraph"/>
              <w:spacing w:before="10"/>
              <w:ind w:right="55"/>
              <w:rPr>
                <w:sz w:val="15"/>
              </w:rPr>
            </w:pPr>
            <w:r>
              <w:rPr>
                <w:spacing w:val="-2"/>
                <w:w w:val="110"/>
                <w:sz w:val="15"/>
              </w:rPr>
              <w:t>(1.011)</w:t>
            </w:r>
          </w:p>
        </w:tc>
      </w:tr>
      <w:tr w:rsidR="002C6574" w14:paraId="29CECF12" w14:textId="77777777">
        <w:trPr>
          <w:trHeight w:val="232"/>
        </w:trPr>
        <w:tc>
          <w:tcPr>
            <w:tcW w:w="2894" w:type="dxa"/>
          </w:tcPr>
          <w:p w14:paraId="736A5B23" w14:textId="77777777" w:rsidR="002C6574" w:rsidRDefault="00000000">
            <w:pPr>
              <w:pStyle w:val="TableParagraph"/>
              <w:spacing w:before="10"/>
              <w:ind w:left="69"/>
              <w:jc w:val="left"/>
              <w:rPr>
                <w:sz w:val="15"/>
              </w:rPr>
            </w:pPr>
            <w:r>
              <w:rPr>
                <w:sz w:val="15"/>
              </w:rPr>
              <w:t>3.</w:t>
            </w:r>
            <w:r>
              <w:rPr>
                <w:spacing w:val="9"/>
                <w:sz w:val="15"/>
              </w:rPr>
              <w:t xml:space="preserve"> </w:t>
            </w:r>
            <w:r>
              <w:rPr>
                <w:sz w:val="15"/>
              </w:rPr>
              <w:t>Exigível</w:t>
            </w:r>
            <w:r>
              <w:rPr>
                <w:spacing w:val="9"/>
                <w:sz w:val="15"/>
              </w:rPr>
              <w:t xml:space="preserve"> </w:t>
            </w:r>
            <w:r>
              <w:rPr>
                <w:sz w:val="15"/>
              </w:rPr>
              <w:t>contingencial</w:t>
            </w:r>
            <w:r>
              <w:rPr>
                <w:spacing w:val="9"/>
                <w:sz w:val="15"/>
              </w:rPr>
              <w:t xml:space="preserve"> </w:t>
            </w:r>
            <w:r>
              <w:rPr>
                <w:spacing w:val="-4"/>
                <w:sz w:val="15"/>
              </w:rPr>
              <w:t>(ii)</w:t>
            </w:r>
          </w:p>
        </w:tc>
        <w:tc>
          <w:tcPr>
            <w:tcW w:w="1123" w:type="dxa"/>
          </w:tcPr>
          <w:p w14:paraId="52374A05" w14:textId="77777777" w:rsidR="002C6574" w:rsidRDefault="00000000">
            <w:pPr>
              <w:pStyle w:val="TableParagraph"/>
              <w:spacing w:before="10"/>
              <w:ind w:right="57"/>
              <w:rPr>
                <w:sz w:val="15"/>
              </w:rPr>
            </w:pPr>
            <w:r>
              <w:rPr>
                <w:spacing w:val="-2"/>
                <w:w w:val="110"/>
                <w:sz w:val="15"/>
              </w:rPr>
              <w:t>(880.980)</w:t>
            </w:r>
          </w:p>
        </w:tc>
        <w:tc>
          <w:tcPr>
            <w:tcW w:w="1121" w:type="dxa"/>
          </w:tcPr>
          <w:p w14:paraId="2E1F88D8" w14:textId="77777777" w:rsidR="002C6574" w:rsidRDefault="00000000">
            <w:pPr>
              <w:pStyle w:val="TableParagraph"/>
              <w:spacing w:before="10"/>
              <w:ind w:right="55"/>
              <w:rPr>
                <w:sz w:val="15"/>
              </w:rPr>
            </w:pPr>
            <w:r>
              <w:rPr>
                <w:spacing w:val="-2"/>
                <w:w w:val="110"/>
                <w:sz w:val="15"/>
              </w:rPr>
              <w:t>(843.285)</w:t>
            </w:r>
          </w:p>
        </w:tc>
        <w:tc>
          <w:tcPr>
            <w:tcW w:w="1195" w:type="dxa"/>
          </w:tcPr>
          <w:p w14:paraId="0AD196F2" w14:textId="77777777" w:rsidR="002C6574" w:rsidRDefault="00000000">
            <w:pPr>
              <w:pStyle w:val="TableParagraph"/>
              <w:spacing w:before="10"/>
              <w:ind w:right="57"/>
              <w:rPr>
                <w:sz w:val="15"/>
              </w:rPr>
            </w:pPr>
            <w:r>
              <w:rPr>
                <w:spacing w:val="-2"/>
                <w:w w:val="110"/>
                <w:sz w:val="15"/>
              </w:rPr>
              <w:t>(14.245)</w:t>
            </w:r>
          </w:p>
        </w:tc>
        <w:tc>
          <w:tcPr>
            <w:tcW w:w="1193" w:type="dxa"/>
          </w:tcPr>
          <w:p w14:paraId="2598788A" w14:textId="77777777" w:rsidR="002C6574" w:rsidRDefault="00000000">
            <w:pPr>
              <w:pStyle w:val="TableParagraph"/>
              <w:spacing w:before="10"/>
              <w:ind w:right="55"/>
              <w:rPr>
                <w:sz w:val="15"/>
              </w:rPr>
            </w:pPr>
            <w:r>
              <w:rPr>
                <w:spacing w:val="-2"/>
                <w:w w:val="110"/>
                <w:sz w:val="15"/>
              </w:rPr>
              <w:t>(12.984)</w:t>
            </w:r>
          </w:p>
        </w:tc>
        <w:tc>
          <w:tcPr>
            <w:tcW w:w="1123" w:type="dxa"/>
          </w:tcPr>
          <w:p w14:paraId="65550991" w14:textId="77777777" w:rsidR="002C6574" w:rsidRDefault="00000000">
            <w:pPr>
              <w:pStyle w:val="TableParagraph"/>
              <w:spacing w:before="10"/>
              <w:ind w:right="57"/>
              <w:rPr>
                <w:sz w:val="15"/>
              </w:rPr>
            </w:pPr>
            <w:r>
              <w:rPr>
                <w:spacing w:val="-2"/>
                <w:w w:val="110"/>
                <w:sz w:val="15"/>
              </w:rPr>
              <w:t>(3.971)</w:t>
            </w:r>
          </w:p>
        </w:tc>
        <w:tc>
          <w:tcPr>
            <w:tcW w:w="1121" w:type="dxa"/>
          </w:tcPr>
          <w:p w14:paraId="0A5CEBCD" w14:textId="77777777" w:rsidR="002C6574" w:rsidRDefault="00000000">
            <w:pPr>
              <w:pStyle w:val="TableParagraph"/>
              <w:spacing w:before="10"/>
              <w:ind w:right="55"/>
              <w:rPr>
                <w:sz w:val="15"/>
              </w:rPr>
            </w:pPr>
            <w:r>
              <w:rPr>
                <w:spacing w:val="-2"/>
                <w:w w:val="110"/>
                <w:sz w:val="15"/>
              </w:rPr>
              <w:t>(3.493)</w:t>
            </w:r>
          </w:p>
        </w:tc>
      </w:tr>
      <w:tr w:rsidR="002C6574" w14:paraId="6F38466C" w14:textId="77777777">
        <w:trPr>
          <w:trHeight w:val="232"/>
        </w:trPr>
        <w:tc>
          <w:tcPr>
            <w:tcW w:w="2894" w:type="dxa"/>
          </w:tcPr>
          <w:p w14:paraId="7DEAB6D5" w14:textId="77777777" w:rsidR="002C6574" w:rsidRDefault="00000000">
            <w:pPr>
              <w:pStyle w:val="TableParagraph"/>
              <w:spacing w:before="10"/>
              <w:ind w:left="69"/>
              <w:jc w:val="left"/>
              <w:rPr>
                <w:sz w:val="15"/>
              </w:rPr>
            </w:pPr>
            <w:r>
              <w:rPr>
                <w:w w:val="105"/>
                <w:sz w:val="15"/>
              </w:rPr>
              <w:t>4.</w:t>
            </w:r>
            <w:r>
              <w:rPr>
                <w:spacing w:val="-4"/>
                <w:w w:val="105"/>
                <w:sz w:val="15"/>
              </w:rPr>
              <w:t xml:space="preserve"> </w:t>
            </w:r>
            <w:r>
              <w:rPr>
                <w:w w:val="105"/>
                <w:sz w:val="15"/>
              </w:rPr>
              <w:t>Fundos</w:t>
            </w:r>
            <w:r>
              <w:rPr>
                <w:spacing w:val="-3"/>
                <w:w w:val="105"/>
                <w:sz w:val="15"/>
              </w:rPr>
              <w:t xml:space="preserve"> </w:t>
            </w:r>
            <w:r>
              <w:rPr>
                <w:spacing w:val="-4"/>
                <w:w w:val="105"/>
                <w:sz w:val="15"/>
              </w:rPr>
              <w:t>(ii)</w:t>
            </w:r>
          </w:p>
        </w:tc>
        <w:tc>
          <w:tcPr>
            <w:tcW w:w="1123" w:type="dxa"/>
          </w:tcPr>
          <w:p w14:paraId="30750CA8" w14:textId="77777777" w:rsidR="002C6574" w:rsidRDefault="00000000">
            <w:pPr>
              <w:pStyle w:val="TableParagraph"/>
              <w:spacing w:before="10"/>
              <w:ind w:right="57"/>
              <w:rPr>
                <w:sz w:val="15"/>
              </w:rPr>
            </w:pPr>
            <w:r>
              <w:rPr>
                <w:spacing w:val="-2"/>
                <w:w w:val="110"/>
                <w:sz w:val="15"/>
              </w:rPr>
              <w:t>(3.311.360)</w:t>
            </w:r>
          </w:p>
        </w:tc>
        <w:tc>
          <w:tcPr>
            <w:tcW w:w="1121" w:type="dxa"/>
          </w:tcPr>
          <w:p w14:paraId="15734580" w14:textId="77777777" w:rsidR="002C6574" w:rsidRDefault="00000000">
            <w:pPr>
              <w:pStyle w:val="TableParagraph"/>
              <w:spacing w:before="10"/>
              <w:ind w:right="54"/>
              <w:rPr>
                <w:sz w:val="15"/>
              </w:rPr>
            </w:pPr>
            <w:r>
              <w:rPr>
                <w:spacing w:val="-2"/>
                <w:w w:val="110"/>
                <w:sz w:val="15"/>
              </w:rPr>
              <w:t>(4.039.439)</w:t>
            </w:r>
          </w:p>
        </w:tc>
        <w:tc>
          <w:tcPr>
            <w:tcW w:w="1195" w:type="dxa"/>
          </w:tcPr>
          <w:p w14:paraId="023E0962" w14:textId="77777777" w:rsidR="002C6574" w:rsidRDefault="00000000">
            <w:pPr>
              <w:pStyle w:val="TableParagraph"/>
              <w:spacing w:before="10"/>
              <w:ind w:right="57"/>
              <w:rPr>
                <w:sz w:val="15"/>
              </w:rPr>
            </w:pPr>
            <w:r>
              <w:rPr>
                <w:spacing w:val="-2"/>
                <w:w w:val="110"/>
                <w:sz w:val="15"/>
              </w:rPr>
              <w:t>(222.683)</w:t>
            </w:r>
          </w:p>
        </w:tc>
        <w:tc>
          <w:tcPr>
            <w:tcW w:w="1193" w:type="dxa"/>
          </w:tcPr>
          <w:p w14:paraId="20FAABD3" w14:textId="77777777" w:rsidR="002C6574" w:rsidRDefault="00000000">
            <w:pPr>
              <w:pStyle w:val="TableParagraph"/>
              <w:spacing w:before="10"/>
              <w:ind w:right="55"/>
              <w:rPr>
                <w:sz w:val="15"/>
              </w:rPr>
            </w:pPr>
            <w:r>
              <w:rPr>
                <w:spacing w:val="-2"/>
                <w:w w:val="110"/>
                <w:sz w:val="15"/>
              </w:rPr>
              <w:t>(215.149)</w:t>
            </w:r>
          </w:p>
        </w:tc>
        <w:tc>
          <w:tcPr>
            <w:tcW w:w="1123" w:type="dxa"/>
          </w:tcPr>
          <w:p w14:paraId="4B9E9279" w14:textId="77777777" w:rsidR="002C6574" w:rsidRDefault="00000000">
            <w:pPr>
              <w:pStyle w:val="TableParagraph"/>
              <w:spacing w:before="10"/>
              <w:ind w:right="57"/>
              <w:rPr>
                <w:sz w:val="15"/>
              </w:rPr>
            </w:pPr>
            <w:r>
              <w:rPr>
                <w:spacing w:val="-2"/>
                <w:w w:val="110"/>
                <w:sz w:val="15"/>
              </w:rPr>
              <w:t>(789.269)</w:t>
            </w:r>
          </w:p>
        </w:tc>
        <w:tc>
          <w:tcPr>
            <w:tcW w:w="1121" w:type="dxa"/>
          </w:tcPr>
          <w:p w14:paraId="1D660E1E" w14:textId="77777777" w:rsidR="002C6574" w:rsidRDefault="00000000">
            <w:pPr>
              <w:pStyle w:val="TableParagraph"/>
              <w:spacing w:before="10"/>
              <w:ind w:right="54"/>
              <w:rPr>
                <w:sz w:val="15"/>
              </w:rPr>
            </w:pPr>
            <w:r>
              <w:rPr>
                <w:spacing w:val="-2"/>
                <w:w w:val="110"/>
                <w:sz w:val="15"/>
              </w:rPr>
              <w:t>(845.812)</w:t>
            </w:r>
          </w:p>
        </w:tc>
      </w:tr>
      <w:tr w:rsidR="002C6574" w14:paraId="2D71F20F" w14:textId="77777777">
        <w:trPr>
          <w:trHeight w:val="232"/>
        </w:trPr>
        <w:tc>
          <w:tcPr>
            <w:tcW w:w="2894" w:type="dxa"/>
          </w:tcPr>
          <w:p w14:paraId="5CF29FE8" w14:textId="77777777" w:rsidR="002C6574" w:rsidRDefault="00000000">
            <w:pPr>
              <w:pStyle w:val="TableParagraph"/>
              <w:spacing w:before="8"/>
              <w:ind w:left="69"/>
              <w:jc w:val="left"/>
              <w:rPr>
                <w:sz w:val="15"/>
              </w:rPr>
            </w:pPr>
            <w:r>
              <w:rPr>
                <w:sz w:val="15"/>
              </w:rPr>
              <w:t>5.</w:t>
            </w:r>
            <w:r>
              <w:rPr>
                <w:spacing w:val="4"/>
                <w:sz w:val="15"/>
              </w:rPr>
              <w:t xml:space="preserve"> </w:t>
            </w:r>
            <w:r>
              <w:rPr>
                <w:sz w:val="15"/>
              </w:rPr>
              <w:t>Saldos</w:t>
            </w:r>
            <w:r>
              <w:rPr>
                <w:spacing w:val="5"/>
                <w:sz w:val="15"/>
              </w:rPr>
              <w:t xml:space="preserve"> </w:t>
            </w:r>
            <w:r>
              <w:rPr>
                <w:sz w:val="15"/>
              </w:rPr>
              <w:t>de</w:t>
            </w:r>
            <w:r>
              <w:rPr>
                <w:spacing w:val="1"/>
                <w:sz w:val="15"/>
              </w:rPr>
              <w:t xml:space="preserve"> </w:t>
            </w:r>
            <w:r>
              <w:rPr>
                <w:sz w:val="15"/>
              </w:rPr>
              <w:t>contribuição</w:t>
            </w:r>
            <w:r>
              <w:rPr>
                <w:spacing w:val="5"/>
                <w:sz w:val="15"/>
              </w:rPr>
              <w:t xml:space="preserve"> </w:t>
            </w:r>
            <w:r>
              <w:rPr>
                <w:spacing w:val="-2"/>
                <w:sz w:val="15"/>
              </w:rPr>
              <w:t>definida</w:t>
            </w:r>
          </w:p>
        </w:tc>
        <w:tc>
          <w:tcPr>
            <w:tcW w:w="1123" w:type="dxa"/>
          </w:tcPr>
          <w:p w14:paraId="62ED7F17" w14:textId="77777777" w:rsidR="002C6574" w:rsidRDefault="00000000">
            <w:pPr>
              <w:pStyle w:val="TableParagraph"/>
              <w:spacing w:before="8"/>
              <w:ind w:right="59"/>
              <w:rPr>
                <w:sz w:val="15"/>
              </w:rPr>
            </w:pPr>
            <w:r>
              <w:rPr>
                <w:spacing w:val="-10"/>
                <w:w w:val="95"/>
                <w:sz w:val="15"/>
              </w:rPr>
              <w:t>-</w:t>
            </w:r>
          </w:p>
        </w:tc>
        <w:tc>
          <w:tcPr>
            <w:tcW w:w="1121" w:type="dxa"/>
          </w:tcPr>
          <w:p w14:paraId="4C318034" w14:textId="77777777" w:rsidR="002C6574" w:rsidRDefault="00000000">
            <w:pPr>
              <w:pStyle w:val="TableParagraph"/>
              <w:spacing w:before="8"/>
              <w:ind w:right="55"/>
              <w:rPr>
                <w:sz w:val="15"/>
              </w:rPr>
            </w:pPr>
            <w:r>
              <w:rPr>
                <w:spacing w:val="-10"/>
                <w:w w:val="95"/>
                <w:sz w:val="15"/>
              </w:rPr>
              <w:t>-</w:t>
            </w:r>
          </w:p>
        </w:tc>
        <w:tc>
          <w:tcPr>
            <w:tcW w:w="1195" w:type="dxa"/>
          </w:tcPr>
          <w:p w14:paraId="2210257B" w14:textId="77777777" w:rsidR="002C6574" w:rsidRDefault="00000000">
            <w:pPr>
              <w:pStyle w:val="TableParagraph"/>
              <w:spacing w:before="8"/>
              <w:ind w:right="60"/>
              <w:rPr>
                <w:sz w:val="15"/>
              </w:rPr>
            </w:pPr>
            <w:r>
              <w:rPr>
                <w:spacing w:val="-10"/>
                <w:w w:val="95"/>
                <w:sz w:val="15"/>
              </w:rPr>
              <w:t>-</w:t>
            </w:r>
          </w:p>
        </w:tc>
        <w:tc>
          <w:tcPr>
            <w:tcW w:w="1193" w:type="dxa"/>
          </w:tcPr>
          <w:p w14:paraId="607AAA4F" w14:textId="77777777" w:rsidR="002C6574" w:rsidRDefault="00000000">
            <w:pPr>
              <w:pStyle w:val="TableParagraph"/>
              <w:spacing w:before="8"/>
              <w:ind w:right="58"/>
              <w:rPr>
                <w:sz w:val="15"/>
              </w:rPr>
            </w:pPr>
            <w:r>
              <w:rPr>
                <w:spacing w:val="-10"/>
                <w:w w:val="95"/>
                <w:sz w:val="15"/>
              </w:rPr>
              <w:t>-</w:t>
            </w:r>
          </w:p>
        </w:tc>
        <w:tc>
          <w:tcPr>
            <w:tcW w:w="1123" w:type="dxa"/>
          </w:tcPr>
          <w:p w14:paraId="5CE4959A" w14:textId="77777777" w:rsidR="002C6574" w:rsidRDefault="00000000">
            <w:pPr>
              <w:pStyle w:val="TableParagraph"/>
              <w:spacing w:before="8"/>
              <w:ind w:right="57"/>
              <w:rPr>
                <w:sz w:val="15"/>
              </w:rPr>
            </w:pPr>
            <w:r>
              <w:rPr>
                <w:spacing w:val="-2"/>
                <w:w w:val="110"/>
                <w:sz w:val="15"/>
              </w:rPr>
              <w:t>(85.643)</w:t>
            </w:r>
          </w:p>
        </w:tc>
        <w:tc>
          <w:tcPr>
            <w:tcW w:w="1121" w:type="dxa"/>
          </w:tcPr>
          <w:p w14:paraId="484C2D48" w14:textId="77777777" w:rsidR="002C6574" w:rsidRDefault="00000000">
            <w:pPr>
              <w:pStyle w:val="TableParagraph"/>
              <w:spacing w:before="8"/>
              <w:ind w:right="54"/>
              <w:rPr>
                <w:sz w:val="15"/>
              </w:rPr>
            </w:pPr>
            <w:r>
              <w:rPr>
                <w:spacing w:val="-2"/>
                <w:w w:val="110"/>
                <w:sz w:val="15"/>
              </w:rPr>
              <w:t>(85.995)</w:t>
            </w:r>
          </w:p>
        </w:tc>
      </w:tr>
    </w:tbl>
    <w:p w14:paraId="075FE732" w14:textId="77777777" w:rsidR="002C6574" w:rsidRDefault="002C6574">
      <w:pPr>
        <w:pStyle w:val="TableParagraph"/>
        <w:rPr>
          <w:sz w:val="15"/>
        </w:rPr>
        <w:sectPr w:rsidR="002C6574">
          <w:headerReference w:type="default" r:id="rId95"/>
          <w:footerReference w:type="default" r:id="rId96"/>
          <w:pgSz w:w="11910" w:h="16840"/>
          <w:pgMar w:top="1820" w:right="141" w:bottom="1260" w:left="1133" w:header="1084" w:footer="1066" w:gutter="0"/>
          <w:cols w:space="720"/>
        </w:sectPr>
      </w:pPr>
    </w:p>
    <w:p w14:paraId="0535100E" w14:textId="77777777" w:rsidR="002C6574" w:rsidRDefault="002C6574">
      <w:pPr>
        <w:pStyle w:val="Corpodetexto"/>
        <w:spacing w:before="10"/>
        <w:rPr>
          <w:rFonts w:ascii="Arial"/>
          <w:b/>
          <w:sz w:val="19"/>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4"/>
        <w:gridCol w:w="1123"/>
        <w:gridCol w:w="1121"/>
        <w:gridCol w:w="1195"/>
        <w:gridCol w:w="1193"/>
        <w:gridCol w:w="1123"/>
        <w:gridCol w:w="1121"/>
      </w:tblGrid>
      <w:tr w:rsidR="002C6574" w14:paraId="48EC008D" w14:textId="77777777">
        <w:trPr>
          <w:trHeight w:val="232"/>
        </w:trPr>
        <w:tc>
          <w:tcPr>
            <w:tcW w:w="2894" w:type="dxa"/>
            <w:vMerge w:val="restart"/>
            <w:shd w:val="clear" w:color="auto" w:fill="BFBFBF"/>
          </w:tcPr>
          <w:p w14:paraId="5FB5A6FA" w14:textId="77777777" w:rsidR="002C6574" w:rsidRDefault="00000000">
            <w:pPr>
              <w:pStyle w:val="TableParagraph"/>
              <w:spacing w:before="152"/>
              <w:ind w:left="69"/>
              <w:jc w:val="left"/>
              <w:rPr>
                <w:rFonts w:ascii="Arial" w:hAnsi="Arial"/>
                <w:b/>
                <w:sz w:val="15"/>
              </w:rPr>
            </w:pPr>
            <w:r>
              <w:rPr>
                <w:rFonts w:ascii="Arial" w:hAnsi="Arial"/>
                <w:b/>
                <w:spacing w:val="-2"/>
                <w:sz w:val="15"/>
              </w:rPr>
              <w:t>Composição:</w:t>
            </w:r>
          </w:p>
        </w:tc>
        <w:tc>
          <w:tcPr>
            <w:tcW w:w="2244" w:type="dxa"/>
            <w:gridSpan w:val="2"/>
          </w:tcPr>
          <w:p w14:paraId="56D3A002" w14:textId="77777777" w:rsidR="002C6574" w:rsidRDefault="00000000">
            <w:pPr>
              <w:pStyle w:val="TableParagraph"/>
              <w:spacing w:before="29"/>
              <w:ind w:left="9"/>
              <w:jc w:val="center"/>
              <w:rPr>
                <w:rFonts w:ascii="Arial"/>
                <w:b/>
                <w:sz w:val="15"/>
              </w:rPr>
            </w:pPr>
            <w:r>
              <w:rPr>
                <w:rFonts w:ascii="Arial"/>
                <w:b/>
                <w:spacing w:val="-2"/>
                <w:sz w:val="15"/>
              </w:rPr>
              <w:t>PBS-</w:t>
            </w:r>
            <w:r>
              <w:rPr>
                <w:rFonts w:ascii="Arial"/>
                <w:b/>
                <w:spacing w:val="-10"/>
                <w:sz w:val="15"/>
              </w:rPr>
              <w:t>A</w:t>
            </w:r>
          </w:p>
        </w:tc>
        <w:tc>
          <w:tcPr>
            <w:tcW w:w="2388" w:type="dxa"/>
            <w:gridSpan w:val="2"/>
          </w:tcPr>
          <w:p w14:paraId="0FAE48BE" w14:textId="77777777" w:rsidR="002C6574" w:rsidRDefault="00000000">
            <w:pPr>
              <w:pStyle w:val="TableParagraph"/>
              <w:spacing w:before="29"/>
              <w:ind w:left="706"/>
              <w:jc w:val="left"/>
              <w:rPr>
                <w:rFonts w:ascii="Arial"/>
                <w:b/>
                <w:sz w:val="15"/>
              </w:rPr>
            </w:pPr>
            <w:r>
              <w:rPr>
                <w:rFonts w:ascii="Arial"/>
                <w:b/>
                <w:spacing w:val="-2"/>
                <w:sz w:val="15"/>
              </w:rPr>
              <w:t>PBS-Telebras</w:t>
            </w:r>
          </w:p>
        </w:tc>
        <w:tc>
          <w:tcPr>
            <w:tcW w:w="2244" w:type="dxa"/>
            <w:gridSpan w:val="2"/>
          </w:tcPr>
          <w:p w14:paraId="2C295699" w14:textId="77777777" w:rsidR="002C6574" w:rsidRDefault="00000000">
            <w:pPr>
              <w:pStyle w:val="TableParagraph"/>
              <w:spacing w:before="29"/>
              <w:ind w:left="588"/>
              <w:jc w:val="left"/>
              <w:rPr>
                <w:rFonts w:ascii="Arial"/>
                <w:b/>
                <w:sz w:val="15"/>
              </w:rPr>
            </w:pPr>
            <w:r>
              <w:rPr>
                <w:rFonts w:ascii="Arial"/>
                <w:b/>
                <w:sz w:val="15"/>
              </w:rPr>
              <w:t>Telebras</w:t>
            </w:r>
            <w:r>
              <w:rPr>
                <w:rFonts w:ascii="Arial"/>
                <w:b/>
                <w:spacing w:val="-8"/>
                <w:sz w:val="15"/>
              </w:rPr>
              <w:t xml:space="preserve"> </w:t>
            </w:r>
            <w:r>
              <w:rPr>
                <w:rFonts w:ascii="Arial"/>
                <w:b/>
                <w:spacing w:val="-4"/>
                <w:sz w:val="15"/>
              </w:rPr>
              <w:t>PREV</w:t>
            </w:r>
          </w:p>
        </w:tc>
      </w:tr>
      <w:tr w:rsidR="002C6574" w14:paraId="19337F83" w14:textId="77777777">
        <w:trPr>
          <w:trHeight w:val="230"/>
        </w:trPr>
        <w:tc>
          <w:tcPr>
            <w:tcW w:w="2894" w:type="dxa"/>
            <w:vMerge/>
            <w:tcBorders>
              <w:top w:val="nil"/>
            </w:tcBorders>
            <w:shd w:val="clear" w:color="auto" w:fill="BFBFBF"/>
          </w:tcPr>
          <w:p w14:paraId="20DDFA51" w14:textId="77777777" w:rsidR="002C6574" w:rsidRDefault="002C6574">
            <w:pPr>
              <w:rPr>
                <w:sz w:val="2"/>
                <w:szCs w:val="2"/>
              </w:rPr>
            </w:pPr>
          </w:p>
        </w:tc>
        <w:tc>
          <w:tcPr>
            <w:tcW w:w="1123" w:type="dxa"/>
          </w:tcPr>
          <w:p w14:paraId="7ED8A7C6" w14:textId="77777777" w:rsidR="002C6574" w:rsidRDefault="00000000">
            <w:pPr>
              <w:pStyle w:val="TableParagraph"/>
              <w:spacing w:before="29"/>
              <w:ind w:left="185"/>
              <w:jc w:val="left"/>
              <w:rPr>
                <w:rFonts w:ascii="Arial"/>
                <w:b/>
                <w:sz w:val="15"/>
              </w:rPr>
            </w:pPr>
            <w:r>
              <w:rPr>
                <w:rFonts w:ascii="Arial"/>
                <w:b/>
                <w:spacing w:val="-2"/>
                <w:sz w:val="15"/>
              </w:rPr>
              <w:t>31/12/2025</w:t>
            </w:r>
          </w:p>
        </w:tc>
        <w:tc>
          <w:tcPr>
            <w:tcW w:w="1121" w:type="dxa"/>
          </w:tcPr>
          <w:p w14:paraId="58A95987" w14:textId="77777777" w:rsidR="002C6574" w:rsidRDefault="00000000">
            <w:pPr>
              <w:pStyle w:val="TableParagraph"/>
              <w:spacing w:before="29"/>
              <w:ind w:left="185"/>
              <w:jc w:val="left"/>
              <w:rPr>
                <w:rFonts w:ascii="Arial"/>
                <w:b/>
                <w:sz w:val="15"/>
              </w:rPr>
            </w:pPr>
            <w:r>
              <w:rPr>
                <w:rFonts w:ascii="Arial"/>
                <w:b/>
                <w:spacing w:val="-2"/>
                <w:sz w:val="15"/>
              </w:rPr>
              <w:t>31/12/2024</w:t>
            </w:r>
          </w:p>
        </w:tc>
        <w:tc>
          <w:tcPr>
            <w:tcW w:w="1195" w:type="dxa"/>
          </w:tcPr>
          <w:p w14:paraId="73DC80F5" w14:textId="77777777" w:rsidR="002C6574" w:rsidRDefault="00000000">
            <w:pPr>
              <w:pStyle w:val="TableParagraph"/>
              <w:spacing w:before="29"/>
              <w:ind w:left="221"/>
              <w:jc w:val="left"/>
              <w:rPr>
                <w:rFonts w:ascii="Arial"/>
                <w:b/>
                <w:sz w:val="15"/>
              </w:rPr>
            </w:pPr>
            <w:r>
              <w:rPr>
                <w:rFonts w:ascii="Arial"/>
                <w:b/>
                <w:spacing w:val="-2"/>
                <w:sz w:val="15"/>
              </w:rPr>
              <w:t>31/12/2025</w:t>
            </w:r>
          </w:p>
        </w:tc>
        <w:tc>
          <w:tcPr>
            <w:tcW w:w="1193" w:type="dxa"/>
          </w:tcPr>
          <w:p w14:paraId="6D4C2CF0" w14:textId="77777777" w:rsidR="002C6574" w:rsidRDefault="00000000">
            <w:pPr>
              <w:pStyle w:val="TableParagraph"/>
              <w:spacing w:before="29"/>
              <w:ind w:left="221"/>
              <w:jc w:val="left"/>
              <w:rPr>
                <w:rFonts w:ascii="Arial"/>
                <w:b/>
                <w:sz w:val="15"/>
              </w:rPr>
            </w:pPr>
            <w:r>
              <w:rPr>
                <w:rFonts w:ascii="Arial"/>
                <w:b/>
                <w:spacing w:val="-2"/>
                <w:sz w:val="15"/>
              </w:rPr>
              <w:t>31/12/2024</w:t>
            </w:r>
          </w:p>
        </w:tc>
        <w:tc>
          <w:tcPr>
            <w:tcW w:w="1123" w:type="dxa"/>
          </w:tcPr>
          <w:p w14:paraId="1E64EFCC" w14:textId="77777777" w:rsidR="002C6574" w:rsidRDefault="00000000">
            <w:pPr>
              <w:pStyle w:val="TableParagraph"/>
              <w:spacing w:before="29"/>
              <w:ind w:left="185"/>
              <w:jc w:val="left"/>
              <w:rPr>
                <w:rFonts w:ascii="Arial"/>
                <w:b/>
                <w:sz w:val="15"/>
              </w:rPr>
            </w:pPr>
            <w:r>
              <w:rPr>
                <w:rFonts w:ascii="Arial"/>
                <w:b/>
                <w:spacing w:val="-2"/>
                <w:sz w:val="15"/>
              </w:rPr>
              <w:t>31/12/2025</w:t>
            </w:r>
          </w:p>
        </w:tc>
        <w:tc>
          <w:tcPr>
            <w:tcW w:w="1121" w:type="dxa"/>
          </w:tcPr>
          <w:p w14:paraId="21501B49" w14:textId="77777777" w:rsidR="002C6574" w:rsidRDefault="00000000">
            <w:pPr>
              <w:pStyle w:val="TableParagraph"/>
              <w:spacing w:before="29"/>
              <w:ind w:left="184"/>
              <w:jc w:val="left"/>
              <w:rPr>
                <w:rFonts w:ascii="Arial"/>
                <w:b/>
                <w:sz w:val="15"/>
              </w:rPr>
            </w:pPr>
            <w:r>
              <w:rPr>
                <w:rFonts w:ascii="Arial"/>
                <w:b/>
                <w:spacing w:val="-2"/>
                <w:sz w:val="15"/>
              </w:rPr>
              <w:t>31/12/2024</w:t>
            </w:r>
          </w:p>
        </w:tc>
      </w:tr>
      <w:tr w:rsidR="002C6574" w14:paraId="7267632E" w14:textId="77777777">
        <w:trPr>
          <w:trHeight w:val="232"/>
        </w:trPr>
        <w:tc>
          <w:tcPr>
            <w:tcW w:w="2894" w:type="dxa"/>
          </w:tcPr>
          <w:p w14:paraId="67AF7CB6" w14:textId="77777777" w:rsidR="002C6574" w:rsidRDefault="00000000">
            <w:pPr>
              <w:pStyle w:val="TableParagraph"/>
              <w:spacing w:before="32"/>
              <w:ind w:left="69"/>
              <w:jc w:val="left"/>
              <w:rPr>
                <w:rFonts w:ascii="Arial"/>
                <w:b/>
                <w:sz w:val="15"/>
              </w:rPr>
            </w:pPr>
            <w:r>
              <w:rPr>
                <w:rFonts w:ascii="Arial"/>
                <w:b/>
                <w:sz w:val="15"/>
              </w:rPr>
              <w:t>5.</w:t>
            </w:r>
            <w:r>
              <w:rPr>
                <w:rFonts w:ascii="Arial"/>
                <w:b/>
                <w:spacing w:val="-4"/>
                <w:sz w:val="15"/>
              </w:rPr>
              <w:t xml:space="preserve"> </w:t>
            </w:r>
            <w:r>
              <w:rPr>
                <w:rFonts w:ascii="Arial"/>
                <w:b/>
                <w:sz w:val="15"/>
              </w:rPr>
              <w:t>Valor</w:t>
            </w:r>
            <w:r>
              <w:rPr>
                <w:rFonts w:ascii="Arial"/>
                <w:b/>
                <w:spacing w:val="-4"/>
                <w:sz w:val="15"/>
              </w:rPr>
              <w:t xml:space="preserve"> </w:t>
            </w:r>
            <w:r>
              <w:rPr>
                <w:rFonts w:ascii="Arial"/>
                <w:b/>
                <w:sz w:val="15"/>
              </w:rPr>
              <w:t>justo</w:t>
            </w:r>
            <w:r>
              <w:rPr>
                <w:rFonts w:ascii="Arial"/>
                <w:b/>
                <w:spacing w:val="-2"/>
                <w:sz w:val="15"/>
              </w:rPr>
              <w:t xml:space="preserve"> </w:t>
            </w:r>
            <w:r>
              <w:rPr>
                <w:rFonts w:ascii="Arial"/>
                <w:b/>
                <w:sz w:val="15"/>
              </w:rPr>
              <w:t>dos</w:t>
            </w:r>
            <w:r>
              <w:rPr>
                <w:rFonts w:ascii="Arial"/>
                <w:b/>
                <w:spacing w:val="-3"/>
                <w:sz w:val="15"/>
              </w:rPr>
              <w:t xml:space="preserve"> </w:t>
            </w:r>
            <w:r>
              <w:rPr>
                <w:rFonts w:ascii="Arial"/>
                <w:b/>
                <w:sz w:val="15"/>
              </w:rPr>
              <w:t>ativos</w:t>
            </w:r>
            <w:r>
              <w:rPr>
                <w:rFonts w:ascii="Arial"/>
                <w:b/>
                <w:spacing w:val="-4"/>
                <w:sz w:val="15"/>
              </w:rPr>
              <w:t xml:space="preserve"> </w:t>
            </w:r>
            <w:r>
              <w:rPr>
                <w:rFonts w:ascii="Arial"/>
                <w:b/>
                <w:sz w:val="15"/>
              </w:rPr>
              <w:t>do</w:t>
            </w:r>
            <w:r>
              <w:rPr>
                <w:rFonts w:ascii="Arial"/>
                <w:b/>
                <w:spacing w:val="-3"/>
                <w:sz w:val="15"/>
              </w:rPr>
              <w:t xml:space="preserve"> </w:t>
            </w:r>
            <w:r>
              <w:rPr>
                <w:rFonts w:ascii="Arial"/>
                <w:b/>
                <w:spacing w:val="-2"/>
                <w:sz w:val="15"/>
              </w:rPr>
              <w:t>plano</w:t>
            </w:r>
          </w:p>
        </w:tc>
        <w:tc>
          <w:tcPr>
            <w:tcW w:w="1123" w:type="dxa"/>
          </w:tcPr>
          <w:p w14:paraId="52502DD4" w14:textId="77777777" w:rsidR="002C6574" w:rsidRDefault="00000000">
            <w:pPr>
              <w:pStyle w:val="TableParagraph"/>
              <w:spacing w:before="32"/>
              <w:ind w:left="384"/>
              <w:jc w:val="left"/>
              <w:rPr>
                <w:rFonts w:ascii="Arial"/>
                <w:b/>
                <w:sz w:val="15"/>
              </w:rPr>
            </w:pPr>
            <w:r>
              <w:rPr>
                <w:rFonts w:ascii="Arial"/>
                <w:b/>
                <w:spacing w:val="-2"/>
                <w:sz w:val="15"/>
              </w:rPr>
              <w:t>8.810.715</w:t>
            </w:r>
          </w:p>
        </w:tc>
        <w:tc>
          <w:tcPr>
            <w:tcW w:w="1121" w:type="dxa"/>
          </w:tcPr>
          <w:p w14:paraId="68FB0471" w14:textId="77777777" w:rsidR="002C6574" w:rsidRDefault="00000000">
            <w:pPr>
              <w:pStyle w:val="TableParagraph"/>
              <w:spacing w:before="32"/>
              <w:ind w:left="383"/>
              <w:jc w:val="left"/>
              <w:rPr>
                <w:rFonts w:ascii="Arial"/>
                <w:b/>
                <w:sz w:val="15"/>
              </w:rPr>
            </w:pPr>
            <w:r>
              <w:rPr>
                <w:rFonts w:ascii="Arial"/>
                <w:b/>
                <w:spacing w:val="-2"/>
                <w:sz w:val="15"/>
              </w:rPr>
              <w:t>8.359.529</w:t>
            </w:r>
          </w:p>
        </w:tc>
        <w:tc>
          <w:tcPr>
            <w:tcW w:w="1195" w:type="dxa"/>
          </w:tcPr>
          <w:p w14:paraId="00E64882" w14:textId="77777777" w:rsidR="002C6574" w:rsidRDefault="00000000">
            <w:pPr>
              <w:pStyle w:val="TableParagraph"/>
              <w:spacing w:before="32"/>
              <w:ind w:left="582"/>
              <w:jc w:val="left"/>
              <w:rPr>
                <w:rFonts w:ascii="Arial"/>
                <w:b/>
                <w:sz w:val="15"/>
              </w:rPr>
            </w:pPr>
            <w:r>
              <w:rPr>
                <w:rFonts w:ascii="Arial"/>
                <w:b/>
                <w:spacing w:val="-2"/>
                <w:sz w:val="15"/>
              </w:rPr>
              <w:t>264.366</w:t>
            </w:r>
          </w:p>
        </w:tc>
        <w:tc>
          <w:tcPr>
            <w:tcW w:w="1193" w:type="dxa"/>
          </w:tcPr>
          <w:p w14:paraId="1D785475" w14:textId="77777777" w:rsidR="002C6574" w:rsidRDefault="00000000">
            <w:pPr>
              <w:pStyle w:val="TableParagraph"/>
              <w:spacing w:before="32"/>
              <w:ind w:left="582"/>
              <w:jc w:val="left"/>
              <w:rPr>
                <w:rFonts w:ascii="Arial"/>
                <w:b/>
                <w:sz w:val="15"/>
              </w:rPr>
            </w:pPr>
            <w:r>
              <w:rPr>
                <w:rFonts w:ascii="Arial"/>
                <w:b/>
                <w:spacing w:val="-2"/>
                <w:sz w:val="15"/>
              </w:rPr>
              <w:t>236.209</w:t>
            </w:r>
          </w:p>
        </w:tc>
        <w:tc>
          <w:tcPr>
            <w:tcW w:w="1123" w:type="dxa"/>
          </w:tcPr>
          <w:p w14:paraId="2C4CCCF2" w14:textId="77777777" w:rsidR="002C6574" w:rsidRDefault="00000000">
            <w:pPr>
              <w:pStyle w:val="TableParagraph"/>
              <w:spacing w:before="32"/>
              <w:ind w:left="508"/>
              <w:jc w:val="left"/>
              <w:rPr>
                <w:rFonts w:ascii="Arial"/>
                <w:b/>
                <w:sz w:val="15"/>
              </w:rPr>
            </w:pPr>
            <w:r>
              <w:rPr>
                <w:rFonts w:ascii="Arial"/>
                <w:b/>
                <w:spacing w:val="-2"/>
                <w:sz w:val="15"/>
              </w:rPr>
              <w:t>491.010</w:t>
            </w:r>
          </w:p>
        </w:tc>
        <w:tc>
          <w:tcPr>
            <w:tcW w:w="1121" w:type="dxa"/>
          </w:tcPr>
          <w:p w14:paraId="195F26FC" w14:textId="77777777" w:rsidR="002C6574" w:rsidRDefault="00000000">
            <w:pPr>
              <w:pStyle w:val="TableParagraph"/>
              <w:spacing w:before="32"/>
              <w:ind w:left="508"/>
              <w:jc w:val="left"/>
              <w:rPr>
                <w:rFonts w:ascii="Arial"/>
                <w:b/>
                <w:sz w:val="15"/>
              </w:rPr>
            </w:pPr>
            <w:r>
              <w:rPr>
                <w:rFonts w:ascii="Arial"/>
                <w:b/>
                <w:spacing w:val="-2"/>
                <w:sz w:val="15"/>
              </w:rPr>
              <w:t>415.837</w:t>
            </w:r>
          </w:p>
        </w:tc>
      </w:tr>
    </w:tbl>
    <w:p w14:paraId="0354C4CD" w14:textId="77777777" w:rsidR="002C6574" w:rsidRDefault="00000000">
      <w:pPr>
        <w:pStyle w:val="PargrafodaLista"/>
        <w:numPr>
          <w:ilvl w:val="0"/>
          <w:numId w:val="20"/>
        </w:numPr>
        <w:tabs>
          <w:tab w:val="left" w:pos="369"/>
        </w:tabs>
        <w:spacing w:line="312" w:lineRule="auto"/>
        <w:ind w:right="896" w:firstLine="44"/>
        <w:rPr>
          <w:rFonts w:ascii="Segoe UI Symbol" w:hAnsi="Segoe UI Symbol"/>
          <w:sz w:val="16"/>
        </w:rPr>
      </w:pPr>
      <w:r>
        <w:rPr>
          <w:rFonts w:ascii="Segoe UI Symbol" w:hAnsi="Segoe UI Symbol"/>
          <w:sz w:val="16"/>
        </w:rPr>
        <w:t>Valor</w:t>
      </w:r>
      <w:r>
        <w:rPr>
          <w:rFonts w:ascii="Segoe UI Symbol" w:hAnsi="Segoe UI Symbol"/>
          <w:spacing w:val="-1"/>
          <w:sz w:val="16"/>
        </w:rPr>
        <w:t xml:space="preserve"> </w:t>
      </w:r>
      <w:r>
        <w:rPr>
          <w:rFonts w:ascii="Segoe UI Symbol" w:hAnsi="Segoe UI Symbol"/>
          <w:sz w:val="16"/>
        </w:rPr>
        <w:t>informado pela</w:t>
      </w:r>
      <w:r>
        <w:rPr>
          <w:rFonts w:ascii="Segoe UI Symbol" w:hAnsi="Segoe UI Symbol"/>
          <w:spacing w:val="-4"/>
          <w:sz w:val="16"/>
        </w:rPr>
        <w:t xml:space="preserve"> </w:t>
      </w:r>
      <w:r>
        <w:rPr>
          <w:rFonts w:ascii="Segoe UI Symbol" w:hAnsi="Segoe UI Symbol"/>
          <w:sz w:val="16"/>
        </w:rPr>
        <w:t>Telebrás,</w:t>
      </w:r>
      <w:r>
        <w:rPr>
          <w:rFonts w:ascii="Segoe UI Symbol" w:hAnsi="Segoe UI Symbol"/>
          <w:spacing w:val="-4"/>
          <w:sz w:val="16"/>
        </w:rPr>
        <w:t xml:space="preserve"> </w:t>
      </w:r>
      <w:r>
        <w:rPr>
          <w:rFonts w:ascii="Segoe UI Symbol" w:hAnsi="Segoe UI Symbol"/>
          <w:sz w:val="16"/>
        </w:rPr>
        <w:t>o</w:t>
      </w:r>
      <w:r>
        <w:rPr>
          <w:rFonts w:ascii="Segoe UI Symbol" w:hAnsi="Segoe UI Symbol"/>
          <w:spacing w:val="-2"/>
          <w:sz w:val="16"/>
        </w:rPr>
        <w:t xml:space="preserve"> </w:t>
      </w:r>
      <w:r>
        <w:rPr>
          <w:rFonts w:ascii="Segoe UI Symbol" w:hAnsi="Segoe UI Symbol"/>
          <w:sz w:val="16"/>
        </w:rPr>
        <w:t>qual</w:t>
      </w:r>
      <w:r>
        <w:rPr>
          <w:rFonts w:ascii="Segoe UI Symbol" w:hAnsi="Segoe UI Symbol"/>
          <w:spacing w:val="-1"/>
          <w:sz w:val="16"/>
        </w:rPr>
        <w:t xml:space="preserve"> </w:t>
      </w:r>
      <w:r>
        <w:rPr>
          <w:rFonts w:ascii="Segoe UI Symbol" w:hAnsi="Segoe UI Symbol"/>
          <w:sz w:val="16"/>
        </w:rPr>
        <w:t>não</w:t>
      </w:r>
      <w:r>
        <w:rPr>
          <w:rFonts w:ascii="Segoe UI Symbol" w:hAnsi="Segoe UI Symbol"/>
          <w:spacing w:val="-4"/>
          <w:sz w:val="16"/>
        </w:rPr>
        <w:t xml:space="preserve"> </w:t>
      </w:r>
      <w:r>
        <w:rPr>
          <w:rFonts w:ascii="Segoe UI Symbol" w:hAnsi="Segoe UI Symbol"/>
          <w:sz w:val="16"/>
        </w:rPr>
        <w:t>foi</w:t>
      </w:r>
      <w:r>
        <w:rPr>
          <w:rFonts w:ascii="Segoe UI Symbol" w:hAnsi="Segoe UI Symbol"/>
          <w:spacing w:val="-3"/>
          <w:sz w:val="16"/>
        </w:rPr>
        <w:t xml:space="preserve"> </w:t>
      </w:r>
      <w:r>
        <w:rPr>
          <w:rFonts w:ascii="Segoe UI Symbol" w:hAnsi="Segoe UI Symbol"/>
          <w:sz w:val="16"/>
        </w:rPr>
        <w:t>objeto</w:t>
      </w:r>
      <w:r>
        <w:rPr>
          <w:rFonts w:ascii="Segoe UI Symbol" w:hAnsi="Segoe UI Symbol"/>
          <w:spacing w:val="-4"/>
          <w:sz w:val="16"/>
        </w:rPr>
        <w:t xml:space="preserve"> </w:t>
      </w:r>
      <w:r>
        <w:rPr>
          <w:rFonts w:ascii="Segoe UI Symbol" w:hAnsi="Segoe UI Symbol"/>
          <w:sz w:val="16"/>
        </w:rPr>
        <w:t>de</w:t>
      </w:r>
      <w:r>
        <w:rPr>
          <w:rFonts w:ascii="Segoe UI Symbol" w:hAnsi="Segoe UI Symbol"/>
          <w:spacing w:val="-4"/>
          <w:sz w:val="16"/>
        </w:rPr>
        <w:t xml:space="preserve"> </w:t>
      </w:r>
      <w:r>
        <w:rPr>
          <w:rFonts w:ascii="Segoe UI Symbol" w:hAnsi="Segoe UI Symbol"/>
          <w:sz w:val="16"/>
        </w:rPr>
        <w:t>avaliações</w:t>
      </w:r>
      <w:r>
        <w:rPr>
          <w:rFonts w:ascii="Segoe UI Symbol" w:hAnsi="Segoe UI Symbol"/>
          <w:spacing w:val="-3"/>
          <w:sz w:val="16"/>
        </w:rPr>
        <w:t xml:space="preserve"> </w:t>
      </w:r>
      <w:r>
        <w:rPr>
          <w:rFonts w:ascii="Segoe UI Symbol" w:hAnsi="Segoe UI Symbol"/>
          <w:sz w:val="16"/>
        </w:rPr>
        <w:t>por</w:t>
      </w:r>
      <w:r>
        <w:rPr>
          <w:rFonts w:ascii="Segoe UI Symbol" w:hAnsi="Segoe UI Symbol"/>
          <w:spacing w:val="-1"/>
          <w:sz w:val="16"/>
        </w:rPr>
        <w:t xml:space="preserve"> </w:t>
      </w:r>
      <w:r>
        <w:rPr>
          <w:rFonts w:ascii="Segoe UI Symbol" w:hAnsi="Segoe UI Symbol"/>
          <w:sz w:val="16"/>
        </w:rPr>
        <w:t>parte</w:t>
      </w:r>
      <w:r>
        <w:rPr>
          <w:rFonts w:ascii="Segoe UI Symbol" w:hAnsi="Segoe UI Symbol"/>
          <w:spacing w:val="-4"/>
          <w:sz w:val="16"/>
        </w:rPr>
        <w:t xml:space="preserve"> </w:t>
      </w:r>
      <w:r>
        <w:rPr>
          <w:rFonts w:ascii="Segoe UI Symbol" w:hAnsi="Segoe UI Symbol"/>
          <w:sz w:val="16"/>
        </w:rPr>
        <w:t>deste</w:t>
      </w:r>
      <w:r>
        <w:rPr>
          <w:rFonts w:ascii="Segoe UI Symbol" w:hAnsi="Segoe UI Symbol"/>
          <w:spacing w:val="-2"/>
          <w:sz w:val="16"/>
        </w:rPr>
        <w:t xml:space="preserve"> </w:t>
      </w:r>
      <w:r>
        <w:rPr>
          <w:rFonts w:ascii="Segoe UI Symbol" w:hAnsi="Segoe UI Symbol"/>
          <w:sz w:val="16"/>
        </w:rPr>
        <w:t>relatório.</w:t>
      </w:r>
      <w:r>
        <w:rPr>
          <w:rFonts w:ascii="Segoe UI Symbol" w:hAnsi="Segoe UI Symbol"/>
          <w:spacing w:val="-2"/>
          <w:sz w:val="16"/>
        </w:rPr>
        <w:t xml:space="preserve"> </w:t>
      </w:r>
      <w:r>
        <w:rPr>
          <w:rFonts w:ascii="Segoe UI Symbol" w:hAnsi="Segoe UI Symbol"/>
          <w:sz w:val="16"/>
        </w:rPr>
        <w:t>A</w:t>
      </w:r>
      <w:r>
        <w:rPr>
          <w:rFonts w:ascii="Segoe UI Symbol" w:hAnsi="Segoe UI Symbol"/>
          <w:spacing w:val="-2"/>
          <w:sz w:val="16"/>
        </w:rPr>
        <w:t xml:space="preserve"> </w:t>
      </w:r>
      <w:r>
        <w:rPr>
          <w:rFonts w:ascii="Segoe UI Symbol" w:hAnsi="Segoe UI Symbol"/>
          <w:sz w:val="16"/>
        </w:rPr>
        <w:t>parte</w:t>
      </w:r>
      <w:r>
        <w:rPr>
          <w:rFonts w:ascii="Segoe UI Symbol" w:hAnsi="Segoe UI Symbol"/>
          <w:spacing w:val="-4"/>
          <w:sz w:val="16"/>
        </w:rPr>
        <w:t xml:space="preserve"> </w:t>
      </w:r>
      <w:r>
        <w:rPr>
          <w:rFonts w:ascii="Segoe UI Symbol" w:hAnsi="Segoe UI Symbol"/>
          <w:sz w:val="16"/>
        </w:rPr>
        <w:t>relativa</w:t>
      </w:r>
      <w:r>
        <w:rPr>
          <w:rFonts w:ascii="Segoe UI Symbol" w:hAnsi="Segoe UI Symbol"/>
          <w:spacing w:val="-4"/>
          <w:sz w:val="16"/>
        </w:rPr>
        <w:t xml:space="preserve"> </w:t>
      </w:r>
      <w:r>
        <w:rPr>
          <w:rFonts w:ascii="Segoe UI Symbol" w:hAnsi="Segoe UI Symbol"/>
          <w:sz w:val="16"/>
        </w:rPr>
        <w:t>à</w:t>
      </w:r>
      <w:r>
        <w:rPr>
          <w:rFonts w:ascii="Segoe UI Symbol" w:hAnsi="Segoe UI Symbol"/>
          <w:spacing w:val="-4"/>
          <w:sz w:val="16"/>
        </w:rPr>
        <w:t xml:space="preserve"> </w:t>
      </w:r>
      <w:r>
        <w:rPr>
          <w:rFonts w:ascii="Segoe UI Symbol" w:hAnsi="Segoe UI Symbol"/>
          <w:sz w:val="16"/>
        </w:rPr>
        <w:t>Telebrás</w:t>
      </w:r>
      <w:r>
        <w:rPr>
          <w:rFonts w:ascii="Segoe UI Symbol" w:hAnsi="Segoe UI Symbol"/>
          <w:spacing w:val="-3"/>
          <w:sz w:val="16"/>
        </w:rPr>
        <w:t xml:space="preserve"> </w:t>
      </w:r>
      <w:r>
        <w:rPr>
          <w:rFonts w:ascii="Segoe UI Symbol" w:hAnsi="Segoe UI Symbol"/>
          <w:sz w:val="16"/>
        </w:rPr>
        <w:t>no plano PBS- A é de 6,79%.</w:t>
      </w:r>
    </w:p>
    <w:p w14:paraId="660EA9B0" w14:textId="77777777" w:rsidR="002C6574" w:rsidRDefault="00000000">
      <w:pPr>
        <w:pStyle w:val="PargrafodaLista"/>
        <w:numPr>
          <w:ilvl w:val="0"/>
          <w:numId w:val="20"/>
        </w:numPr>
        <w:tabs>
          <w:tab w:val="left" w:pos="365"/>
        </w:tabs>
        <w:spacing w:line="212" w:lineRule="exact"/>
        <w:ind w:left="365" w:hanging="222"/>
        <w:rPr>
          <w:rFonts w:ascii="Segoe UI Symbol" w:hAnsi="Segoe UI Symbol"/>
          <w:sz w:val="16"/>
        </w:rPr>
      </w:pPr>
      <w:r>
        <w:rPr>
          <w:rFonts w:ascii="Segoe UI Symbol" w:hAnsi="Segoe UI Symbol"/>
          <w:sz w:val="16"/>
        </w:rPr>
        <w:t>Valores</w:t>
      </w:r>
      <w:r>
        <w:rPr>
          <w:rFonts w:ascii="Segoe UI Symbol" w:hAnsi="Segoe UI Symbol"/>
          <w:spacing w:val="9"/>
          <w:sz w:val="16"/>
        </w:rPr>
        <w:t xml:space="preserve"> </w:t>
      </w:r>
      <w:r>
        <w:rPr>
          <w:rFonts w:ascii="Segoe UI Symbol" w:hAnsi="Segoe UI Symbol"/>
          <w:sz w:val="16"/>
        </w:rPr>
        <w:t>extraídos</w:t>
      </w:r>
      <w:r>
        <w:rPr>
          <w:rFonts w:ascii="Segoe UI Symbol" w:hAnsi="Segoe UI Symbol"/>
          <w:spacing w:val="11"/>
          <w:sz w:val="16"/>
        </w:rPr>
        <w:t xml:space="preserve"> </w:t>
      </w:r>
      <w:r>
        <w:rPr>
          <w:rFonts w:ascii="Segoe UI Symbol" w:hAnsi="Segoe UI Symbol"/>
          <w:sz w:val="16"/>
        </w:rPr>
        <w:t>dos</w:t>
      </w:r>
      <w:r>
        <w:rPr>
          <w:rFonts w:ascii="Segoe UI Symbol" w:hAnsi="Segoe UI Symbol"/>
          <w:spacing w:val="10"/>
          <w:sz w:val="16"/>
        </w:rPr>
        <w:t xml:space="preserve"> </w:t>
      </w:r>
      <w:r>
        <w:rPr>
          <w:rFonts w:ascii="Segoe UI Symbol" w:hAnsi="Segoe UI Symbol"/>
          <w:sz w:val="16"/>
        </w:rPr>
        <w:t>balancetes</w:t>
      </w:r>
      <w:r>
        <w:rPr>
          <w:rFonts w:ascii="Segoe UI Symbol" w:hAnsi="Segoe UI Symbol"/>
          <w:spacing w:val="11"/>
          <w:sz w:val="16"/>
        </w:rPr>
        <w:t xml:space="preserve"> </w:t>
      </w:r>
      <w:r>
        <w:rPr>
          <w:rFonts w:ascii="Segoe UI Symbol" w:hAnsi="Segoe UI Symbol"/>
          <w:sz w:val="16"/>
        </w:rPr>
        <w:t>da</w:t>
      </w:r>
      <w:r>
        <w:rPr>
          <w:rFonts w:ascii="Segoe UI Symbol" w:hAnsi="Segoe UI Symbol"/>
          <w:spacing w:val="6"/>
          <w:sz w:val="16"/>
        </w:rPr>
        <w:t xml:space="preserve"> </w:t>
      </w:r>
      <w:r>
        <w:rPr>
          <w:rFonts w:ascii="Segoe UI Symbol" w:hAnsi="Segoe UI Symbol"/>
          <w:spacing w:val="-2"/>
          <w:sz w:val="16"/>
        </w:rPr>
        <w:t>SISTEL.</w:t>
      </w:r>
    </w:p>
    <w:p w14:paraId="5B90AE23" w14:textId="77777777" w:rsidR="002C6574" w:rsidRDefault="002C6574">
      <w:pPr>
        <w:pStyle w:val="Corpodetexto"/>
        <w:spacing w:before="105"/>
        <w:rPr>
          <w:sz w:val="16"/>
        </w:rPr>
      </w:pPr>
    </w:p>
    <w:p w14:paraId="58756674" w14:textId="77777777" w:rsidR="002C6574" w:rsidRDefault="00000000">
      <w:pPr>
        <w:pStyle w:val="PargrafodaLista"/>
        <w:numPr>
          <w:ilvl w:val="2"/>
          <w:numId w:val="27"/>
        </w:numPr>
        <w:tabs>
          <w:tab w:val="left" w:pos="990"/>
        </w:tabs>
        <w:ind w:left="990" w:hanging="847"/>
        <w:rPr>
          <w:rFonts w:ascii="Arial" w:hAnsi="Arial"/>
          <w:b/>
        </w:rPr>
      </w:pPr>
      <w:r>
        <w:rPr>
          <w:rFonts w:ascii="Arial" w:hAnsi="Arial"/>
          <w:b/>
        </w:rPr>
        <w:t>Composição</w:t>
      </w:r>
      <w:r>
        <w:rPr>
          <w:rFonts w:ascii="Arial" w:hAnsi="Arial"/>
          <w:b/>
          <w:spacing w:val="-2"/>
        </w:rPr>
        <w:t xml:space="preserve"> </w:t>
      </w:r>
      <w:r>
        <w:rPr>
          <w:rFonts w:ascii="Arial" w:hAnsi="Arial"/>
          <w:b/>
        </w:rPr>
        <w:t>do</w:t>
      </w:r>
      <w:r>
        <w:rPr>
          <w:rFonts w:ascii="Arial" w:hAnsi="Arial"/>
          <w:b/>
          <w:spacing w:val="-5"/>
        </w:rPr>
        <w:t xml:space="preserve"> </w:t>
      </w:r>
      <w:r>
        <w:rPr>
          <w:rFonts w:ascii="Arial" w:hAnsi="Arial"/>
          <w:b/>
        </w:rPr>
        <w:t>Valor Justo</w:t>
      </w:r>
      <w:r>
        <w:rPr>
          <w:rFonts w:ascii="Arial" w:hAnsi="Arial"/>
          <w:b/>
          <w:spacing w:val="-2"/>
        </w:rPr>
        <w:t xml:space="preserve"> </w:t>
      </w:r>
      <w:r>
        <w:rPr>
          <w:rFonts w:ascii="Arial" w:hAnsi="Arial"/>
          <w:b/>
        </w:rPr>
        <w:t>dos</w:t>
      </w:r>
      <w:r>
        <w:rPr>
          <w:rFonts w:ascii="Arial" w:hAnsi="Arial"/>
          <w:b/>
          <w:spacing w:val="-6"/>
        </w:rPr>
        <w:t xml:space="preserve"> </w:t>
      </w:r>
      <w:r>
        <w:rPr>
          <w:rFonts w:ascii="Arial" w:hAnsi="Arial"/>
          <w:b/>
        </w:rPr>
        <w:t>Ativos</w:t>
      </w:r>
      <w:r>
        <w:rPr>
          <w:rFonts w:ascii="Arial" w:hAnsi="Arial"/>
          <w:b/>
          <w:spacing w:val="-6"/>
        </w:rPr>
        <w:t xml:space="preserve"> </w:t>
      </w:r>
      <w:r>
        <w:rPr>
          <w:rFonts w:ascii="Arial" w:hAnsi="Arial"/>
          <w:b/>
        </w:rPr>
        <w:t>dos</w:t>
      </w:r>
      <w:r>
        <w:rPr>
          <w:rFonts w:ascii="Arial" w:hAnsi="Arial"/>
          <w:b/>
          <w:spacing w:val="-2"/>
        </w:rPr>
        <w:t xml:space="preserve"> </w:t>
      </w:r>
      <w:r>
        <w:rPr>
          <w:rFonts w:ascii="Arial" w:hAnsi="Arial"/>
          <w:b/>
        </w:rPr>
        <w:t>Planos</w:t>
      </w:r>
      <w:r>
        <w:rPr>
          <w:rFonts w:ascii="Arial" w:hAnsi="Arial"/>
          <w:b/>
          <w:spacing w:val="-4"/>
        </w:rPr>
        <w:t xml:space="preserve"> </w:t>
      </w:r>
      <w:r>
        <w:rPr>
          <w:rFonts w:ascii="Arial" w:hAnsi="Arial"/>
          <w:b/>
        </w:rPr>
        <w:t>em</w:t>
      </w:r>
      <w:r>
        <w:rPr>
          <w:rFonts w:ascii="Arial" w:hAnsi="Arial"/>
          <w:b/>
          <w:spacing w:val="-2"/>
        </w:rPr>
        <w:t xml:space="preserve"> </w:t>
      </w:r>
      <w:r>
        <w:rPr>
          <w:rFonts w:ascii="Arial" w:hAnsi="Arial"/>
          <w:b/>
        </w:rPr>
        <w:t>31</w:t>
      </w:r>
      <w:r>
        <w:rPr>
          <w:rFonts w:ascii="Arial" w:hAnsi="Arial"/>
          <w:b/>
          <w:spacing w:val="-1"/>
        </w:rPr>
        <w:t xml:space="preserve"> </w:t>
      </w:r>
      <w:r>
        <w:rPr>
          <w:rFonts w:ascii="Arial" w:hAnsi="Arial"/>
          <w:b/>
        </w:rPr>
        <w:t>de</w:t>
      </w:r>
      <w:r>
        <w:rPr>
          <w:rFonts w:ascii="Arial" w:hAnsi="Arial"/>
          <w:b/>
          <w:spacing w:val="-4"/>
        </w:rPr>
        <w:t xml:space="preserve"> </w:t>
      </w:r>
      <w:r>
        <w:rPr>
          <w:rFonts w:ascii="Arial" w:hAnsi="Arial"/>
          <w:b/>
        </w:rPr>
        <w:t>dezembro 2025</w:t>
      </w:r>
      <w:r>
        <w:rPr>
          <w:rFonts w:ascii="Arial" w:hAnsi="Arial"/>
          <w:b/>
          <w:spacing w:val="-2"/>
        </w:rPr>
        <w:t xml:space="preserve"> </w:t>
      </w:r>
      <w:r>
        <w:rPr>
          <w:rFonts w:ascii="Arial" w:hAnsi="Arial"/>
          <w:b/>
        </w:rPr>
        <w:t>e</w:t>
      </w:r>
      <w:r>
        <w:rPr>
          <w:rFonts w:ascii="Arial" w:hAnsi="Arial"/>
          <w:b/>
          <w:spacing w:val="-3"/>
        </w:rPr>
        <w:t xml:space="preserve"> </w:t>
      </w:r>
      <w:r>
        <w:rPr>
          <w:rFonts w:ascii="Arial" w:hAnsi="Arial"/>
          <w:b/>
          <w:spacing w:val="-4"/>
        </w:rPr>
        <w:t>2024</w:t>
      </w:r>
    </w:p>
    <w:p w14:paraId="2AE86601" w14:textId="77777777" w:rsidR="002C6574" w:rsidRDefault="002C6574">
      <w:pPr>
        <w:pStyle w:val="Corpodetexto"/>
        <w:spacing w:before="59"/>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4"/>
        <w:gridCol w:w="1130"/>
        <w:gridCol w:w="1135"/>
        <w:gridCol w:w="1173"/>
        <w:gridCol w:w="1173"/>
        <w:gridCol w:w="1130"/>
        <w:gridCol w:w="1132"/>
      </w:tblGrid>
      <w:tr w:rsidR="002C6574" w14:paraId="75BC8562" w14:textId="77777777">
        <w:trPr>
          <w:trHeight w:val="232"/>
        </w:trPr>
        <w:tc>
          <w:tcPr>
            <w:tcW w:w="2894" w:type="dxa"/>
            <w:vMerge w:val="restart"/>
            <w:shd w:val="clear" w:color="auto" w:fill="BFBFBF"/>
          </w:tcPr>
          <w:p w14:paraId="309E037D" w14:textId="77777777" w:rsidR="002C6574" w:rsidRDefault="00000000">
            <w:pPr>
              <w:pStyle w:val="TableParagraph"/>
              <w:spacing w:before="147"/>
              <w:ind w:left="69"/>
              <w:jc w:val="left"/>
              <w:rPr>
                <w:rFonts w:ascii="Arial" w:hAnsi="Arial"/>
                <w:b/>
                <w:sz w:val="16"/>
              </w:rPr>
            </w:pPr>
            <w:r>
              <w:rPr>
                <w:rFonts w:ascii="Arial" w:hAnsi="Arial"/>
                <w:b/>
                <w:spacing w:val="-2"/>
                <w:sz w:val="16"/>
              </w:rPr>
              <w:t>Composição:</w:t>
            </w:r>
          </w:p>
        </w:tc>
        <w:tc>
          <w:tcPr>
            <w:tcW w:w="2265" w:type="dxa"/>
            <w:gridSpan w:val="2"/>
          </w:tcPr>
          <w:p w14:paraId="38F8A50F" w14:textId="77777777" w:rsidR="002C6574" w:rsidRDefault="00000000">
            <w:pPr>
              <w:pStyle w:val="TableParagraph"/>
              <w:spacing w:before="25"/>
              <w:ind w:left="7"/>
              <w:jc w:val="center"/>
              <w:rPr>
                <w:rFonts w:ascii="Arial"/>
                <w:b/>
                <w:sz w:val="16"/>
              </w:rPr>
            </w:pPr>
            <w:r>
              <w:rPr>
                <w:rFonts w:ascii="Arial"/>
                <w:b/>
                <w:sz w:val="16"/>
              </w:rPr>
              <w:t>PBS-</w:t>
            </w:r>
            <w:r>
              <w:rPr>
                <w:rFonts w:ascii="Arial"/>
                <w:b/>
                <w:spacing w:val="-10"/>
                <w:sz w:val="16"/>
              </w:rPr>
              <w:t>A</w:t>
            </w:r>
          </w:p>
        </w:tc>
        <w:tc>
          <w:tcPr>
            <w:tcW w:w="2346" w:type="dxa"/>
            <w:gridSpan w:val="2"/>
          </w:tcPr>
          <w:p w14:paraId="35E0F157" w14:textId="77777777" w:rsidR="002C6574" w:rsidRDefault="00000000">
            <w:pPr>
              <w:pStyle w:val="TableParagraph"/>
              <w:spacing w:before="25"/>
              <w:ind w:left="653"/>
              <w:jc w:val="left"/>
              <w:rPr>
                <w:rFonts w:ascii="Arial"/>
                <w:b/>
                <w:sz w:val="16"/>
              </w:rPr>
            </w:pPr>
            <w:r>
              <w:rPr>
                <w:rFonts w:ascii="Arial"/>
                <w:b/>
                <w:spacing w:val="-2"/>
                <w:sz w:val="16"/>
              </w:rPr>
              <w:t>PBS-Telebras</w:t>
            </w:r>
          </w:p>
        </w:tc>
        <w:tc>
          <w:tcPr>
            <w:tcW w:w="2262" w:type="dxa"/>
            <w:gridSpan w:val="2"/>
          </w:tcPr>
          <w:p w14:paraId="119755A0" w14:textId="77777777" w:rsidR="002C6574" w:rsidRDefault="00000000">
            <w:pPr>
              <w:pStyle w:val="TableParagraph"/>
              <w:spacing w:before="25"/>
              <w:ind w:left="563"/>
              <w:jc w:val="left"/>
              <w:rPr>
                <w:rFonts w:ascii="Arial"/>
                <w:b/>
                <w:sz w:val="16"/>
              </w:rPr>
            </w:pPr>
            <w:r>
              <w:rPr>
                <w:rFonts w:ascii="Arial"/>
                <w:b/>
                <w:sz w:val="16"/>
              </w:rPr>
              <w:t>Telebras</w:t>
            </w:r>
            <w:r>
              <w:rPr>
                <w:rFonts w:ascii="Arial"/>
                <w:b/>
                <w:spacing w:val="-7"/>
                <w:sz w:val="16"/>
              </w:rPr>
              <w:t xml:space="preserve"> </w:t>
            </w:r>
            <w:r>
              <w:rPr>
                <w:rFonts w:ascii="Arial"/>
                <w:b/>
                <w:spacing w:val="-4"/>
                <w:sz w:val="16"/>
              </w:rPr>
              <w:t>PREV</w:t>
            </w:r>
          </w:p>
        </w:tc>
      </w:tr>
      <w:tr w:rsidR="002C6574" w14:paraId="11EEBA4D" w14:textId="77777777">
        <w:trPr>
          <w:trHeight w:val="232"/>
        </w:trPr>
        <w:tc>
          <w:tcPr>
            <w:tcW w:w="2894" w:type="dxa"/>
            <w:vMerge/>
            <w:tcBorders>
              <w:top w:val="nil"/>
            </w:tcBorders>
            <w:shd w:val="clear" w:color="auto" w:fill="BFBFBF"/>
          </w:tcPr>
          <w:p w14:paraId="5C55EB86" w14:textId="77777777" w:rsidR="002C6574" w:rsidRDefault="002C6574">
            <w:pPr>
              <w:rPr>
                <w:sz w:val="2"/>
                <w:szCs w:val="2"/>
              </w:rPr>
            </w:pPr>
          </w:p>
        </w:tc>
        <w:tc>
          <w:tcPr>
            <w:tcW w:w="1130" w:type="dxa"/>
          </w:tcPr>
          <w:p w14:paraId="6739554F" w14:textId="77777777" w:rsidR="002C6574" w:rsidRDefault="00000000">
            <w:pPr>
              <w:pStyle w:val="TableParagraph"/>
              <w:spacing w:before="25"/>
              <w:ind w:left="160"/>
              <w:jc w:val="left"/>
              <w:rPr>
                <w:rFonts w:ascii="Arial"/>
                <w:b/>
                <w:sz w:val="16"/>
              </w:rPr>
            </w:pPr>
            <w:r>
              <w:rPr>
                <w:rFonts w:ascii="Arial"/>
                <w:b/>
                <w:spacing w:val="-2"/>
                <w:sz w:val="16"/>
              </w:rPr>
              <w:t>31/12/2025</w:t>
            </w:r>
          </w:p>
        </w:tc>
        <w:tc>
          <w:tcPr>
            <w:tcW w:w="1135" w:type="dxa"/>
          </w:tcPr>
          <w:p w14:paraId="1D8AAB8A" w14:textId="77777777" w:rsidR="002C6574" w:rsidRDefault="00000000">
            <w:pPr>
              <w:pStyle w:val="TableParagraph"/>
              <w:spacing w:before="25"/>
              <w:ind w:left="166"/>
              <w:jc w:val="left"/>
              <w:rPr>
                <w:rFonts w:ascii="Arial"/>
                <w:b/>
                <w:sz w:val="16"/>
              </w:rPr>
            </w:pPr>
            <w:r>
              <w:rPr>
                <w:rFonts w:ascii="Arial"/>
                <w:b/>
                <w:spacing w:val="-2"/>
                <w:sz w:val="16"/>
              </w:rPr>
              <w:t>31/12/2024</w:t>
            </w:r>
          </w:p>
        </w:tc>
        <w:tc>
          <w:tcPr>
            <w:tcW w:w="1173" w:type="dxa"/>
          </w:tcPr>
          <w:p w14:paraId="6BE39FED" w14:textId="77777777" w:rsidR="002C6574" w:rsidRDefault="00000000">
            <w:pPr>
              <w:pStyle w:val="TableParagraph"/>
              <w:spacing w:before="25"/>
              <w:ind w:left="185"/>
              <w:jc w:val="left"/>
              <w:rPr>
                <w:rFonts w:ascii="Arial"/>
                <w:b/>
                <w:sz w:val="16"/>
              </w:rPr>
            </w:pPr>
            <w:r>
              <w:rPr>
                <w:rFonts w:ascii="Arial"/>
                <w:b/>
                <w:spacing w:val="-2"/>
                <w:sz w:val="16"/>
              </w:rPr>
              <w:t>31/12/2025</w:t>
            </w:r>
          </w:p>
        </w:tc>
        <w:tc>
          <w:tcPr>
            <w:tcW w:w="1173" w:type="dxa"/>
          </w:tcPr>
          <w:p w14:paraId="167B3C4A" w14:textId="77777777" w:rsidR="002C6574" w:rsidRDefault="00000000">
            <w:pPr>
              <w:pStyle w:val="TableParagraph"/>
              <w:spacing w:before="25"/>
              <w:ind w:left="186"/>
              <w:jc w:val="left"/>
              <w:rPr>
                <w:rFonts w:ascii="Arial"/>
                <w:b/>
                <w:sz w:val="16"/>
              </w:rPr>
            </w:pPr>
            <w:r>
              <w:rPr>
                <w:rFonts w:ascii="Arial"/>
                <w:b/>
                <w:spacing w:val="-2"/>
                <w:sz w:val="16"/>
              </w:rPr>
              <w:t>31/12/2024</w:t>
            </w:r>
          </w:p>
        </w:tc>
        <w:tc>
          <w:tcPr>
            <w:tcW w:w="1130" w:type="dxa"/>
          </w:tcPr>
          <w:p w14:paraId="10C499A9" w14:textId="77777777" w:rsidR="002C6574" w:rsidRDefault="00000000">
            <w:pPr>
              <w:pStyle w:val="TableParagraph"/>
              <w:spacing w:before="25"/>
              <w:ind w:left="165"/>
              <w:jc w:val="left"/>
              <w:rPr>
                <w:rFonts w:ascii="Arial"/>
                <w:b/>
                <w:sz w:val="16"/>
              </w:rPr>
            </w:pPr>
            <w:r>
              <w:rPr>
                <w:rFonts w:ascii="Arial"/>
                <w:b/>
                <w:spacing w:val="-2"/>
                <w:sz w:val="16"/>
              </w:rPr>
              <w:t>31/12/2025</w:t>
            </w:r>
          </w:p>
        </w:tc>
        <w:tc>
          <w:tcPr>
            <w:tcW w:w="1132" w:type="dxa"/>
          </w:tcPr>
          <w:p w14:paraId="61479367" w14:textId="77777777" w:rsidR="002C6574" w:rsidRDefault="00000000">
            <w:pPr>
              <w:pStyle w:val="TableParagraph"/>
              <w:spacing w:before="25"/>
              <w:ind w:left="168"/>
              <w:jc w:val="left"/>
              <w:rPr>
                <w:rFonts w:ascii="Arial"/>
                <w:b/>
                <w:sz w:val="16"/>
              </w:rPr>
            </w:pPr>
            <w:r>
              <w:rPr>
                <w:rFonts w:ascii="Arial"/>
                <w:b/>
                <w:spacing w:val="-2"/>
                <w:sz w:val="16"/>
              </w:rPr>
              <w:t>31/12/2024</w:t>
            </w:r>
          </w:p>
        </w:tc>
      </w:tr>
      <w:tr w:rsidR="002C6574" w14:paraId="1F7196FE" w14:textId="77777777">
        <w:trPr>
          <w:trHeight w:val="232"/>
        </w:trPr>
        <w:tc>
          <w:tcPr>
            <w:tcW w:w="2894" w:type="dxa"/>
          </w:tcPr>
          <w:p w14:paraId="0E6DD452" w14:textId="77777777" w:rsidR="002C6574" w:rsidRDefault="00000000">
            <w:pPr>
              <w:pStyle w:val="TableParagraph"/>
              <w:spacing w:before="2" w:line="210" w:lineRule="exact"/>
              <w:ind w:left="69"/>
              <w:jc w:val="left"/>
              <w:rPr>
                <w:sz w:val="16"/>
              </w:rPr>
            </w:pPr>
            <w:r>
              <w:rPr>
                <w:sz w:val="16"/>
              </w:rPr>
              <w:t>1.</w:t>
            </w:r>
            <w:r>
              <w:rPr>
                <w:spacing w:val="18"/>
                <w:sz w:val="16"/>
              </w:rPr>
              <w:t xml:space="preserve"> </w:t>
            </w:r>
            <w:r>
              <w:rPr>
                <w:sz w:val="16"/>
              </w:rPr>
              <w:t>Renda</w:t>
            </w:r>
            <w:r>
              <w:rPr>
                <w:spacing w:val="18"/>
                <w:sz w:val="16"/>
              </w:rPr>
              <w:t xml:space="preserve"> </w:t>
            </w:r>
            <w:r>
              <w:rPr>
                <w:spacing w:val="-4"/>
                <w:sz w:val="16"/>
              </w:rPr>
              <w:t>Fixa</w:t>
            </w:r>
          </w:p>
        </w:tc>
        <w:tc>
          <w:tcPr>
            <w:tcW w:w="1130" w:type="dxa"/>
          </w:tcPr>
          <w:p w14:paraId="2677180B" w14:textId="77777777" w:rsidR="002C6574" w:rsidRDefault="00000000">
            <w:pPr>
              <w:pStyle w:val="TableParagraph"/>
              <w:spacing w:before="2" w:line="210" w:lineRule="exact"/>
              <w:ind w:right="58"/>
              <w:rPr>
                <w:sz w:val="16"/>
              </w:rPr>
            </w:pPr>
            <w:r>
              <w:rPr>
                <w:spacing w:val="-2"/>
                <w:w w:val="110"/>
                <w:sz w:val="16"/>
              </w:rPr>
              <w:t>96,43%</w:t>
            </w:r>
          </w:p>
        </w:tc>
        <w:tc>
          <w:tcPr>
            <w:tcW w:w="1135" w:type="dxa"/>
          </w:tcPr>
          <w:p w14:paraId="41E2380F" w14:textId="77777777" w:rsidR="002C6574" w:rsidRDefault="00000000">
            <w:pPr>
              <w:pStyle w:val="TableParagraph"/>
              <w:spacing w:before="2" w:line="210" w:lineRule="exact"/>
              <w:ind w:right="58"/>
              <w:rPr>
                <w:sz w:val="16"/>
              </w:rPr>
            </w:pPr>
            <w:r>
              <w:rPr>
                <w:spacing w:val="-2"/>
                <w:w w:val="110"/>
                <w:sz w:val="16"/>
              </w:rPr>
              <w:t>96,48%</w:t>
            </w:r>
          </w:p>
        </w:tc>
        <w:tc>
          <w:tcPr>
            <w:tcW w:w="1173" w:type="dxa"/>
          </w:tcPr>
          <w:p w14:paraId="1E8D7E07" w14:textId="77777777" w:rsidR="002C6574" w:rsidRDefault="00000000">
            <w:pPr>
              <w:pStyle w:val="TableParagraph"/>
              <w:spacing w:before="2" w:line="210" w:lineRule="exact"/>
              <w:ind w:right="55"/>
              <w:rPr>
                <w:sz w:val="16"/>
              </w:rPr>
            </w:pPr>
            <w:r>
              <w:rPr>
                <w:spacing w:val="-2"/>
                <w:w w:val="110"/>
                <w:sz w:val="16"/>
              </w:rPr>
              <w:t>99,23%</w:t>
            </w:r>
          </w:p>
        </w:tc>
        <w:tc>
          <w:tcPr>
            <w:tcW w:w="1173" w:type="dxa"/>
          </w:tcPr>
          <w:p w14:paraId="35289F92" w14:textId="77777777" w:rsidR="002C6574" w:rsidRDefault="00000000">
            <w:pPr>
              <w:pStyle w:val="TableParagraph"/>
              <w:spacing w:before="2" w:line="210" w:lineRule="exact"/>
              <w:ind w:right="54"/>
              <w:rPr>
                <w:sz w:val="16"/>
              </w:rPr>
            </w:pPr>
            <w:r>
              <w:rPr>
                <w:spacing w:val="-2"/>
                <w:w w:val="110"/>
                <w:sz w:val="16"/>
              </w:rPr>
              <w:t>99,05%</w:t>
            </w:r>
          </w:p>
        </w:tc>
        <w:tc>
          <w:tcPr>
            <w:tcW w:w="1130" w:type="dxa"/>
          </w:tcPr>
          <w:p w14:paraId="727E7363" w14:textId="77777777" w:rsidR="002C6574" w:rsidRDefault="00000000">
            <w:pPr>
              <w:pStyle w:val="TableParagraph"/>
              <w:spacing w:before="2" w:line="210" w:lineRule="exact"/>
              <w:ind w:right="54"/>
              <w:rPr>
                <w:sz w:val="16"/>
              </w:rPr>
            </w:pPr>
            <w:r>
              <w:rPr>
                <w:spacing w:val="-2"/>
                <w:w w:val="110"/>
                <w:sz w:val="16"/>
              </w:rPr>
              <w:t>99,47%</w:t>
            </w:r>
          </w:p>
        </w:tc>
        <w:tc>
          <w:tcPr>
            <w:tcW w:w="1132" w:type="dxa"/>
          </w:tcPr>
          <w:p w14:paraId="781D8483" w14:textId="77777777" w:rsidR="002C6574" w:rsidRDefault="00000000">
            <w:pPr>
              <w:pStyle w:val="TableParagraph"/>
              <w:spacing w:before="2" w:line="210" w:lineRule="exact"/>
              <w:ind w:right="53"/>
              <w:rPr>
                <w:sz w:val="16"/>
              </w:rPr>
            </w:pPr>
            <w:r>
              <w:rPr>
                <w:spacing w:val="-2"/>
                <w:w w:val="110"/>
                <w:sz w:val="16"/>
              </w:rPr>
              <w:t>99,40%</w:t>
            </w:r>
          </w:p>
        </w:tc>
      </w:tr>
      <w:tr w:rsidR="002C6574" w14:paraId="0AEF2227" w14:textId="77777777">
        <w:trPr>
          <w:trHeight w:val="232"/>
        </w:trPr>
        <w:tc>
          <w:tcPr>
            <w:tcW w:w="2894" w:type="dxa"/>
          </w:tcPr>
          <w:p w14:paraId="63BA5C6C" w14:textId="77777777" w:rsidR="002C6574" w:rsidRDefault="00000000">
            <w:pPr>
              <w:pStyle w:val="TableParagraph"/>
              <w:spacing w:before="2" w:line="210" w:lineRule="exact"/>
              <w:ind w:left="69"/>
              <w:jc w:val="left"/>
              <w:rPr>
                <w:sz w:val="16"/>
              </w:rPr>
            </w:pPr>
            <w:r>
              <w:rPr>
                <w:w w:val="105"/>
                <w:sz w:val="16"/>
              </w:rPr>
              <w:t>2.</w:t>
            </w:r>
            <w:r>
              <w:rPr>
                <w:spacing w:val="2"/>
                <w:w w:val="105"/>
                <w:sz w:val="16"/>
              </w:rPr>
              <w:t xml:space="preserve"> </w:t>
            </w:r>
            <w:r>
              <w:rPr>
                <w:w w:val="105"/>
                <w:sz w:val="16"/>
              </w:rPr>
              <w:t>Renda</w:t>
            </w:r>
            <w:r>
              <w:rPr>
                <w:spacing w:val="1"/>
                <w:w w:val="105"/>
                <w:sz w:val="16"/>
              </w:rPr>
              <w:t xml:space="preserve"> </w:t>
            </w:r>
            <w:r>
              <w:rPr>
                <w:spacing w:val="-2"/>
                <w:w w:val="105"/>
                <w:sz w:val="16"/>
              </w:rPr>
              <w:t>Variável</w:t>
            </w:r>
          </w:p>
        </w:tc>
        <w:tc>
          <w:tcPr>
            <w:tcW w:w="1130" w:type="dxa"/>
          </w:tcPr>
          <w:p w14:paraId="7F788661" w14:textId="77777777" w:rsidR="002C6574" w:rsidRDefault="00000000">
            <w:pPr>
              <w:pStyle w:val="TableParagraph"/>
              <w:spacing w:before="2" w:line="210" w:lineRule="exact"/>
              <w:ind w:right="57"/>
              <w:rPr>
                <w:sz w:val="16"/>
              </w:rPr>
            </w:pPr>
            <w:r>
              <w:rPr>
                <w:spacing w:val="-2"/>
                <w:w w:val="110"/>
                <w:sz w:val="16"/>
              </w:rPr>
              <w:t>0,01%</w:t>
            </w:r>
          </w:p>
        </w:tc>
        <w:tc>
          <w:tcPr>
            <w:tcW w:w="1135" w:type="dxa"/>
          </w:tcPr>
          <w:p w14:paraId="4DC82DB3" w14:textId="77777777" w:rsidR="002C6574" w:rsidRDefault="00000000">
            <w:pPr>
              <w:pStyle w:val="TableParagraph"/>
              <w:spacing w:before="2" w:line="210" w:lineRule="exact"/>
              <w:ind w:right="57"/>
              <w:rPr>
                <w:sz w:val="16"/>
              </w:rPr>
            </w:pPr>
            <w:r>
              <w:rPr>
                <w:spacing w:val="-2"/>
                <w:w w:val="110"/>
                <w:sz w:val="16"/>
              </w:rPr>
              <w:t>0,02%</w:t>
            </w:r>
          </w:p>
        </w:tc>
        <w:tc>
          <w:tcPr>
            <w:tcW w:w="1173" w:type="dxa"/>
          </w:tcPr>
          <w:p w14:paraId="138E0C9D" w14:textId="77777777" w:rsidR="002C6574" w:rsidRDefault="00000000">
            <w:pPr>
              <w:pStyle w:val="TableParagraph"/>
              <w:spacing w:before="2" w:line="210" w:lineRule="exact"/>
              <w:ind w:right="54"/>
              <w:rPr>
                <w:sz w:val="16"/>
              </w:rPr>
            </w:pPr>
            <w:r>
              <w:rPr>
                <w:spacing w:val="-2"/>
                <w:w w:val="110"/>
                <w:sz w:val="16"/>
              </w:rPr>
              <w:t>0,00%</w:t>
            </w:r>
          </w:p>
        </w:tc>
        <w:tc>
          <w:tcPr>
            <w:tcW w:w="1173" w:type="dxa"/>
          </w:tcPr>
          <w:p w14:paraId="4B869BAE" w14:textId="77777777" w:rsidR="002C6574" w:rsidRDefault="00000000">
            <w:pPr>
              <w:pStyle w:val="TableParagraph"/>
              <w:spacing w:before="2" w:line="210" w:lineRule="exact"/>
              <w:ind w:right="54"/>
              <w:rPr>
                <w:sz w:val="16"/>
              </w:rPr>
            </w:pPr>
            <w:r>
              <w:rPr>
                <w:spacing w:val="-2"/>
                <w:w w:val="110"/>
                <w:sz w:val="16"/>
              </w:rPr>
              <w:t>0,00%</w:t>
            </w:r>
          </w:p>
        </w:tc>
        <w:tc>
          <w:tcPr>
            <w:tcW w:w="1130" w:type="dxa"/>
          </w:tcPr>
          <w:p w14:paraId="060F4858" w14:textId="77777777" w:rsidR="002C6574" w:rsidRDefault="00000000">
            <w:pPr>
              <w:pStyle w:val="TableParagraph"/>
              <w:spacing w:before="2" w:line="210" w:lineRule="exact"/>
              <w:ind w:right="53"/>
              <w:rPr>
                <w:sz w:val="16"/>
              </w:rPr>
            </w:pPr>
            <w:r>
              <w:rPr>
                <w:spacing w:val="-2"/>
                <w:w w:val="110"/>
                <w:sz w:val="16"/>
              </w:rPr>
              <w:t>0,00%</w:t>
            </w:r>
          </w:p>
        </w:tc>
        <w:tc>
          <w:tcPr>
            <w:tcW w:w="1132" w:type="dxa"/>
          </w:tcPr>
          <w:p w14:paraId="1356FB30" w14:textId="77777777" w:rsidR="002C6574" w:rsidRDefault="00000000">
            <w:pPr>
              <w:pStyle w:val="TableParagraph"/>
              <w:spacing w:before="2" w:line="210" w:lineRule="exact"/>
              <w:ind w:right="53"/>
              <w:rPr>
                <w:sz w:val="16"/>
              </w:rPr>
            </w:pPr>
            <w:r>
              <w:rPr>
                <w:spacing w:val="-2"/>
                <w:w w:val="110"/>
                <w:sz w:val="16"/>
              </w:rPr>
              <w:t>0,00%</w:t>
            </w:r>
          </w:p>
        </w:tc>
      </w:tr>
      <w:tr w:rsidR="002C6574" w14:paraId="5E80482D" w14:textId="77777777">
        <w:trPr>
          <w:trHeight w:val="232"/>
        </w:trPr>
        <w:tc>
          <w:tcPr>
            <w:tcW w:w="2894" w:type="dxa"/>
          </w:tcPr>
          <w:p w14:paraId="12FDF11C" w14:textId="77777777" w:rsidR="002C6574" w:rsidRDefault="00000000">
            <w:pPr>
              <w:pStyle w:val="TableParagraph"/>
              <w:spacing w:before="2" w:line="210" w:lineRule="exact"/>
              <w:ind w:left="69"/>
              <w:jc w:val="left"/>
              <w:rPr>
                <w:sz w:val="16"/>
              </w:rPr>
            </w:pPr>
            <w:r>
              <w:rPr>
                <w:sz w:val="16"/>
              </w:rPr>
              <w:t>3.</w:t>
            </w:r>
            <w:r>
              <w:rPr>
                <w:spacing w:val="4"/>
                <w:sz w:val="16"/>
              </w:rPr>
              <w:t xml:space="preserve"> </w:t>
            </w:r>
            <w:r>
              <w:rPr>
                <w:sz w:val="16"/>
              </w:rPr>
              <w:t>Investimentos</w:t>
            </w:r>
            <w:r>
              <w:rPr>
                <w:spacing w:val="1"/>
                <w:sz w:val="16"/>
              </w:rPr>
              <w:t xml:space="preserve"> </w:t>
            </w:r>
            <w:r>
              <w:rPr>
                <w:spacing w:val="-2"/>
                <w:sz w:val="16"/>
              </w:rPr>
              <w:t>Estruturados</w:t>
            </w:r>
          </w:p>
        </w:tc>
        <w:tc>
          <w:tcPr>
            <w:tcW w:w="1130" w:type="dxa"/>
          </w:tcPr>
          <w:p w14:paraId="331788D4" w14:textId="77777777" w:rsidR="002C6574" w:rsidRDefault="00000000">
            <w:pPr>
              <w:pStyle w:val="TableParagraph"/>
              <w:spacing w:before="2" w:line="210" w:lineRule="exact"/>
              <w:ind w:right="58"/>
              <w:rPr>
                <w:sz w:val="16"/>
              </w:rPr>
            </w:pPr>
            <w:r>
              <w:rPr>
                <w:spacing w:val="-2"/>
                <w:w w:val="110"/>
                <w:sz w:val="16"/>
              </w:rPr>
              <w:t>0,00%</w:t>
            </w:r>
          </w:p>
        </w:tc>
        <w:tc>
          <w:tcPr>
            <w:tcW w:w="1135" w:type="dxa"/>
          </w:tcPr>
          <w:p w14:paraId="28E8F5B3" w14:textId="77777777" w:rsidR="002C6574" w:rsidRDefault="00000000">
            <w:pPr>
              <w:pStyle w:val="TableParagraph"/>
              <w:spacing w:before="2" w:line="210" w:lineRule="exact"/>
              <w:ind w:right="57"/>
              <w:rPr>
                <w:sz w:val="16"/>
              </w:rPr>
            </w:pPr>
            <w:r>
              <w:rPr>
                <w:spacing w:val="-2"/>
                <w:w w:val="110"/>
                <w:sz w:val="16"/>
              </w:rPr>
              <w:t>0,00%</w:t>
            </w:r>
          </w:p>
        </w:tc>
        <w:tc>
          <w:tcPr>
            <w:tcW w:w="1173" w:type="dxa"/>
          </w:tcPr>
          <w:p w14:paraId="0C268ED9" w14:textId="77777777" w:rsidR="002C6574" w:rsidRDefault="00000000">
            <w:pPr>
              <w:pStyle w:val="TableParagraph"/>
              <w:spacing w:before="2" w:line="210" w:lineRule="exact"/>
              <w:ind w:right="54"/>
              <w:rPr>
                <w:sz w:val="16"/>
              </w:rPr>
            </w:pPr>
            <w:r>
              <w:rPr>
                <w:spacing w:val="-2"/>
                <w:w w:val="110"/>
                <w:sz w:val="16"/>
              </w:rPr>
              <w:t>0,68%</w:t>
            </w:r>
          </w:p>
        </w:tc>
        <w:tc>
          <w:tcPr>
            <w:tcW w:w="1173" w:type="dxa"/>
          </w:tcPr>
          <w:p w14:paraId="3E42E4DD" w14:textId="77777777" w:rsidR="002C6574" w:rsidRDefault="00000000">
            <w:pPr>
              <w:pStyle w:val="TableParagraph"/>
              <w:spacing w:before="2" w:line="210" w:lineRule="exact"/>
              <w:ind w:right="54"/>
              <w:rPr>
                <w:sz w:val="16"/>
              </w:rPr>
            </w:pPr>
            <w:r>
              <w:rPr>
                <w:spacing w:val="-2"/>
                <w:w w:val="110"/>
                <w:sz w:val="16"/>
              </w:rPr>
              <w:t>0,83%</w:t>
            </w:r>
          </w:p>
        </w:tc>
        <w:tc>
          <w:tcPr>
            <w:tcW w:w="1130" w:type="dxa"/>
          </w:tcPr>
          <w:p w14:paraId="2752B772" w14:textId="77777777" w:rsidR="002C6574" w:rsidRDefault="00000000">
            <w:pPr>
              <w:pStyle w:val="TableParagraph"/>
              <w:spacing w:before="2" w:line="210" w:lineRule="exact"/>
              <w:ind w:right="53"/>
              <w:rPr>
                <w:sz w:val="16"/>
              </w:rPr>
            </w:pPr>
            <w:r>
              <w:rPr>
                <w:spacing w:val="-2"/>
                <w:w w:val="110"/>
                <w:sz w:val="16"/>
              </w:rPr>
              <w:t>0,36%</w:t>
            </w:r>
          </w:p>
        </w:tc>
        <w:tc>
          <w:tcPr>
            <w:tcW w:w="1132" w:type="dxa"/>
          </w:tcPr>
          <w:p w14:paraId="2B545CFE" w14:textId="77777777" w:rsidR="002C6574" w:rsidRDefault="00000000">
            <w:pPr>
              <w:pStyle w:val="TableParagraph"/>
              <w:spacing w:before="2" w:line="210" w:lineRule="exact"/>
              <w:ind w:right="53"/>
              <w:rPr>
                <w:sz w:val="16"/>
              </w:rPr>
            </w:pPr>
            <w:r>
              <w:rPr>
                <w:spacing w:val="-2"/>
                <w:w w:val="110"/>
                <w:sz w:val="16"/>
              </w:rPr>
              <w:t>0,41%</w:t>
            </w:r>
          </w:p>
        </w:tc>
      </w:tr>
      <w:tr w:rsidR="002C6574" w14:paraId="3406888B" w14:textId="77777777">
        <w:trPr>
          <w:trHeight w:val="230"/>
        </w:trPr>
        <w:tc>
          <w:tcPr>
            <w:tcW w:w="2894" w:type="dxa"/>
          </w:tcPr>
          <w:p w14:paraId="7A5DC042" w14:textId="77777777" w:rsidR="002C6574" w:rsidRDefault="00000000">
            <w:pPr>
              <w:pStyle w:val="TableParagraph"/>
              <w:spacing w:line="210" w:lineRule="exact"/>
              <w:ind w:left="69"/>
              <w:jc w:val="left"/>
              <w:rPr>
                <w:sz w:val="16"/>
              </w:rPr>
            </w:pPr>
            <w:r>
              <w:rPr>
                <w:sz w:val="16"/>
              </w:rPr>
              <w:t>4.</w:t>
            </w:r>
            <w:r>
              <w:rPr>
                <w:spacing w:val="3"/>
                <w:sz w:val="16"/>
              </w:rPr>
              <w:t xml:space="preserve"> </w:t>
            </w:r>
            <w:r>
              <w:rPr>
                <w:sz w:val="16"/>
              </w:rPr>
              <w:t>Investimentos</w:t>
            </w:r>
            <w:r>
              <w:rPr>
                <w:spacing w:val="4"/>
                <w:sz w:val="16"/>
              </w:rPr>
              <w:t xml:space="preserve"> </w:t>
            </w:r>
            <w:r>
              <w:rPr>
                <w:sz w:val="16"/>
              </w:rPr>
              <w:t>em</w:t>
            </w:r>
            <w:r>
              <w:rPr>
                <w:spacing w:val="-1"/>
                <w:sz w:val="16"/>
              </w:rPr>
              <w:t xml:space="preserve"> </w:t>
            </w:r>
            <w:r>
              <w:rPr>
                <w:spacing w:val="-2"/>
                <w:sz w:val="16"/>
              </w:rPr>
              <w:t>imóveis</w:t>
            </w:r>
          </w:p>
        </w:tc>
        <w:tc>
          <w:tcPr>
            <w:tcW w:w="1130" w:type="dxa"/>
          </w:tcPr>
          <w:p w14:paraId="79A5A2FA" w14:textId="77777777" w:rsidR="002C6574" w:rsidRDefault="00000000">
            <w:pPr>
              <w:pStyle w:val="TableParagraph"/>
              <w:spacing w:line="210" w:lineRule="exact"/>
              <w:ind w:right="57"/>
              <w:rPr>
                <w:sz w:val="16"/>
              </w:rPr>
            </w:pPr>
            <w:r>
              <w:rPr>
                <w:spacing w:val="-2"/>
                <w:w w:val="110"/>
                <w:sz w:val="16"/>
              </w:rPr>
              <w:t>2,98%</w:t>
            </w:r>
          </w:p>
        </w:tc>
        <w:tc>
          <w:tcPr>
            <w:tcW w:w="1135" w:type="dxa"/>
          </w:tcPr>
          <w:p w14:paraId="626A4C86" w14:textId="77777777" w:rsidR="002C6574" w:rsidRDefault="00000000">
            <w:pPr>
              <w:pStyle w:val="TableParagraph"/>
              <w:spacing w:line="210" w:lineRule="exact"/>
              <w:ind w:right="57"/>
              <w:rPr>
                <w:sz w:val="16"/>
              </w:rPr>
            </w:pPr>
            <w:r>
              <w:rPr>
                <w:spacing w:val="-2"/>
                <w:w w:val="110"/>
                <w:sz w:val="16"/>
              </w:rPr>
              <w:t>2,88%</w:t>
            </w:r>
          </w:p>
        </w:tc>
        <w:tc>
          <w:tcPr>
            <w:tcW w:w="1173" w:type="dxa"/>
          </w:tcPr>
          <w:p w14:paraId="2306ACB0" w14:textId="77777777" w:rsidR="002C6574" w:rsidRDefault="00000000">
            <w:pPr>
              <w:pStyle w:val="TableParagraph"/>
              <w:spacing w:line="210" w:lineRule="exact"/>
              <w:ind w:right="54"/>
              <w:rPr>
                <w:sz w:val="16"/>
              </w:rPr>
            </w:pPr>
            <w:r>
              <w:rPr>
                <w:spacing w:val="-2"/>
                <w:w w:val="110"/>
                <w:sz w:val="16"/>
              </w:rPr>
              <w:t>0,00%</w:t>
            </w:r>
          </w:p>
        </w:tc>
        <w:tc>
          <w:tcPr>
            <w:tcW w:w="1173" w:type="dxa"/>
          </w:tcPr>
          <w:p w14:paraId="521BA704" w14:textId="77777777" w:rsidR="002C6574" w:rsidRDefault="00000000">
            <w:pPr>
              <w:pStyle w:val="TableParagraph"/>
              <w:spacing w:line="210" w:lineRule="exact"/>
              <w:ind w:right="54"/>
              <w:rPr>
                <w:sz w:val="16"/>
              </w:rPr>
            </w:pPr>
            <w:r>
              <w:rPr>
                <w:spacing w:val="-2"/>
                <w:w w:val="110"/>
                <w:sz w:val="16"/>
              </w:rPr>
              <w:t>0,00%</w:t>
            </w:r>
          </w:p>
        </w:tc>
        <w:tc>
          <w:tcPr>
            <w:tcW w:w="1130" w:type="dxa"/>
          </w:tcPr>
          <w:p w14:paraId="09E31E72" w14:textId="77777777" w:rsidR="002C6574" w:rsidRDefault="00000000">
            <w:pPr>
              <w:pStyle w:val="TableParagraph"/>
              <w:spacing w:line="210" w:lineRule="exact"/>
              <w:ind w:right="53"/>
              <w:rPr>
                <w:sz w:val="16"/>
              </w:rPr>
            </w:pPr>
            <w:r>
              <w:rPr>
                <w:spacing w:val="-2"/>
                <w:w w:val="110"/>
                <w:sz w:val="16"/>
              </w:rPr>
              <w:t>0,00%</w:t>
            </w:r>
          </w:p>
        </w:tc>
        <w:tc>
          <w:tcPr>
            <w:tcW w:w="1132" w:type="dxa"/>
          </w:tcPr>
          <w:p w14:paraId="6913B4A8" w14:textId="77777777" w:rsidR="002C6574" w:rsidRDefault="00000000">
            <w:pPr>
              <w:pStyle w:val="TableParagraph"/>
              <w:spacing w:line="210" w:lineRule="exact"/>
              <w:ind w:right="53"/>
              <w:rPr>
                <w:sz w:val="16"/>
              </w:rPr>
            </w:pPr>
            <w:r>
              <w:rPr>
                <w:spacing w:val="-2"/>
                <w:w w:val="110"/>
                <w:sz w:val="16"/>
              </w:rPr>
              <w:t>0,00%</w:t>
            </w:r>
          </w:p>
        </w:tc>
      </w:tr>
      <w:tr w:rsidR="002C6574" w14:paraId="501ACBAB" w14:textId="77777777">
        <w:trPr>
          <w:trHeight w:val="232"/>
        </w:trPr>
        <w:tc>
          <w:tcPr>
            <w:tcW w:w="2894" w:type="dxa"/>
          </w:tcPr>
          <w:p w14:paraId="79B10B78" w14:textId="77777777" w:rsidR="002C6574" w:rsidRDefault="00000000">
            <w:pPr>
              <w:pStyle w:val="TableParagraph"/>
              <w:spacing w:before="2" w:line="210" w:lineRule="exact"/>
              <w:ind w:left="69"/>
              <w:jc w:val="left"/>
              <w:rPr>
                <w:sz w:val="16"/>
              </w:rPr>
            </w:pPr>
            <w:r>
              <w:rPr>
                <w:w w:val="105"/>
                <w:sz w:val="16"/>
              </w:rPr>
              <w:t>5.</w:t>
            </w:r>
            <w:r>
              <w:rPr>
                <w:spacing w:val="-8"/>
                <w:w w:val="105"/>
                <w:sz w:val="16"/>
              </w:rPr>
              <w:t xml:space="preserve"> </w:t>
            </w:r>
            <w:r>
              <w:rPr>
                <w:w w:val="105"/>
                <w:sz w:val="16"/>
              </w:rPr>
              <w:t>Empréstimos</w:t>
            </w:r>
            <w:r>
              <w:rPr>
                <w:spacing w:val="-8"/>
                <w:w w:val="105"/>
                <w:sz w:val="16"/>
              </w:rPr>
              <w:t xml:space="preserve"> </w:t>
            </w:r>
            <w:r>
              <w:rPr>
                <w:w w:val="105"/>
                <w:sz w:val="16"/>
              </w:rPr>
              <w:t>a</w:t>
            </w:r>
            <w:r>
              <w:rPr>
                <w:spacing w:val="-12"/>
                <w:w w:val="105"/>
                <w:sz w:val="16"/>
              </w:rPr>
              <w:t xml:space="preserve"> </w:t>
            </w:r>
            <w:r>
              <w:rPr>
                <w:spacing w:val="-2"/>
                <w:w w:val="105"/>
                <w:sz w:val="16"/>
              </w:rPr>
              <w:t>participantes</w:t>
            </w:r>
          </w:p>
        </w:tc>
        <w:tc>
          <w:tcPr>
            <w:tcW w:w="1130" w:type="dxa"/>
          </w:tcPr>
          <w:p w14:paraId="1811E5AB" w14:textId="77777777" w:rsidR="002C6574" w:rsidRDefault="00000000">
            <w:pPr>
              <w:pStyle w:val="TableParagraph"/>
              <w:spacing w:before="2" w:line="210" w:lineRule="exact"/>
              <w:ind w:right="58"/>
              <w:rPr>
                <w:sz w:val="16"/>
              </w:rPr>
            </w:pPr>
            <w:r>
              <w:rPr>
                <w:spacing w:val="-2"/>
                <w:w w:val="110"/>
                <w:sz w:val="16"/>
              </w:rPr>
              <w:t>0,58%</w:t>
            </w:r>
          </w:p>
        </w:tc>
        <w:tc>
          <w:tcPr>
            <w:tcW w:w="1135" w:type="dxa"/>
          </w:tcPr>
          <w:p w14:paraId="01A49A55" w14:textId="77777777" w:rsidR="002C6574" w:rsidRDefault="00000000">
            <w:pPr>
              <w:pStyle w:val="TableParagraph"/>
              <w:spacing w:before="2" w:line="210" w:lineRule="exact"/>
              <w:ind w:right="57"/>
              <w:rPr>
                <w:sz w:val="16"/>
              </w:rPr>
            </w:pPr>
            <w:r>
              <w:rPr>
                <w:spacing w:val="-2"/>
                <w:w w:val="110"/>
                <w:sz w:val="16"/>
              </w:rPr>
              <w:t>0,62%</w:t>
            </w:r>
          </w:p>
        </w:tc>
        <w:tc>
          <w:tcPr>
            <w:tcW w:w="1173" w:type="dxa"/>
          </w:tcPr>
          <w:p w14:paraId="22C14DC0" w14:textId="77777777" w:rsidR="002C6574" w:rsidRDefault="00000000">
            <w:pPr>
              <w:pStyle w:val="TableParagraph"/>
              <w:spacing w:before="2" w:line="210" w:lineRule="exact"/>
              <w:ind w:right="54"/>
              <w:rPr>
                <w:sz w:val="16"/>
              </w:rPr>
            </w:pPr>
            <w:r>
              <w:rPr>
                <w:spacing w:val="-2"/>
                <w:w w:val="110"/>
                <w:sz w:val="16"/>
              </w:rPr>
              <w:t>0,09%</w:t>
            </w:r>
          </w:p>
        </w:tc>
        <w:tc>
          <w:tcPr>
            <w:tcW w:w="1173" w:type="dxa"/>
          </w:tcPr>
          <w:p w14:paraId="6CD0924B" w14:textId="77777777" w:rsidR="002C6574" w:rsidRDefault="00000000">
            <w:pPr>
              <w:pStyle w:val="TableParagraph"/>
              <w:spacing w:before="2" w:line="210" w:lineRule="exact"/>
              <w:ind w:right="54"/>
              <w:rPr>
                <w:sz w:val="16"/>
              </w:rPr>
            </w:pPr>
            <w:r>
              <w:rPr>
                <w:spacing w:val="-2"/>
                <w:w w:val="110"/>
                <w:sz w:val="16"/>
              </w:rPr>
              <w:t>0,12%</w:t>
            </w:r>
          </w:p>
        </w:tc>
        <w:tc>
          <w:tcPr>
            <w:tcW w:w="1130" w:type="dxa"/>
          </w:tcPr>
          <w:p w14:paraId="188940E5" w14:textId="77777777" w:rsidR="002C6574" w:rsidRDefault="00000000">
            <w:pPr>
              <w:pStyle w:val="TableParagraph"/>
              <w:spacing w:before="2" w:line="210" w:lineRule="exact"/>
              <w:ind w:right="53"/>
              <w:rPr>
                <w:sz w:val="16"/>
              </w:rPr>
            </w:pPr>
            <w:r>
              <w:rPr>
                <w:spacing w:val="-2"/>
                <w:w w:val="110"/>
                <w:sz w:val="16"/>
              </w:rPr>
              <w:t>0,17%</w:t>
            </w:r>
          </w:p>
        </w:tc>
        <w:tc>
          <w:tcPr>
            <w:tcW w:w="1132" w:type="dxa"/>
          </w:tcPr>
          <w:p w14:paraId="648B53CD" w14:textId="77777777" w:rsidR="002C6574" w:rsidRDefault="00000000">
            <w:pPr>
              <w:pStyle w:val="TableParagraph"/>
              <w:spacing w:before="2" w:line="210" w:lineRule="exact"/>
              <w:ind w:right="53"/>
              <w:rPr>
                <w:sz w:val="16"/>
              </w:rPr>
            </w:pPr>
            <w:r>
              <w:rPr>
                <w:spacing w:val="-2"/>
                <w:w w:val="110"/>
                <w:sz w:val="16"/>
              </w:rPr>
              <w:t>0,19%</w:t>
            </w:r>
          </w:p>
        </w:tc>
      </w:tr>
    </w:tbl>
    <w:p w14:paraId="2F04440D" w14:textId="77777777" w:rsidR="002C6574" w:rsidRDefault="002C6574">
      <w:pPr>
        <w:pStyle w:val="Corpodetexto"/>
        <w:spacing w:before="3"/>
        <w:rPr>
          <w:rFonts w:ascii="Arial"/>
          <w:b/>
        </w:rPr>
      </w:pPr>
    </w:p>
    <w:p w14:paraId="51B373E6" w14:textId="77777777" w:rsidR="002C6574" w:rsidRDefault="00000000">
      <w:pPr>
        <w:pStyle w:val="PargrafodaLista"/>
        <w:numPr>
          <w:ilvl w:val="2"/>
          <w:numId w:val="27"/>
        </w:numPr>
        <w:tabs>
          <w:tab w:val="left" w:pos="990"/>
        </w:tabs>
        <w:ind w:left="990" w:hanging="847"/>
        <w:rPr>
          <w:rFonts w:ascii="Arial"/>
          <w:b/>
        </w:rPr>
      </w:pPr>
      <w:r>
        <w:rPr>
          <w:rFonts w:ascii="Arial"/>
          <w:b/>
        </w:rPr>
        <w:t>Dados</w:t>
      </w:r>
      <w:r>
        <w:rPr>
          <w:rFonts w:ascii="Arial"/>
          <w:b/>
          <w:spacing w:val="-1"/>
        </w:rPr>
        <w:t xml:space="preserve"> </w:t>
      </w:r>
      <w:r>
        <w:rPr>
          <w:rFonts w:ascii="Arial"/>
          <w:b/>
        </w:rPr>
        <w:t>de</w:t>
      </w:r>
      <w:r>
        <w:rPr>
          <w:rFonts w:ascii="Arial"/>
          <w:b/>
          <w:spacing w:val="-2"/>
        </w:rPr>
        <w:t xml:space="preserve"> Entrada</w:t>
      </w:r>
    </w:p>
    <w:p w14:paraId="6C721BD7" w14:textId="77777777" w:rsidR="002C6574" w:rsidRDefault="002C6574">
      <w:pPr>
        <w:pStyle w:val="Corpodetexto"/>
        <w:spacing w:before="62"/>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6"/>
        <w:gridCol w:w="941"/>
        <w:gridCol w:w="941"/>
        <w:gridCol w:w="941"/>
        <w:gridCol w:w="941"/>
        <w:gridCol w:w="941"/>
        <w:gridCol w:w="941"/>
      </w:tblGrid>
      <w:tr w:rsidR="002C6574" w14:paraId="37332619" w14:textId="77777777">
        <w:trPr>
          <w:trHeight w:val="213"/>
        </w:trPr>
        <w:tc>
          <w:tcPr>
            <w:tcW w:w="4126" w:type="dxa"/>
            <w:vMerge w:val="restart"/>
            <w:shd w:val="clear" w:color="auto" w:fill="BFBFBF"/>
          </w:tcPr>
          <w:p w14:paraId="70A2E669" w14:textId="77777777" w:rsidR="002C6574" w:rsidRDefault="00000000">
            <w:pPr>
              <w:pStyle w:val="TableParagraph"/>
              <w:spacing w:before="128"/>
              <w:ind w:left="69"/>
              <w:jc w:val="left"/>
              <w:rPr>
                <w:rFonts w:ascii="Arial" w:hAnsi="Arial"/>
                <w:b/>
                <w:sz w:val="16"/>
              </w:rPr>
            </w:pPr>
            <w:r>
              <w:rPr>
                <w:rFonts w:ascii="Arial" w:hAnsi="Arial"/>
                <w:b/>
                <w:spacing w:val="-2"/>
                <w:sz w:val="16"/>
              </w:rPr>
              <w:t>Composição:</w:t>
            </w:r>
          </w:p>
        </w:tc>
        <w:tc>
          <w:tcPr>
            <w:tcW w:w="1882" w:type="dxa"/>
            <w:gridSpan w:val="2"/>
          </w:tcPr>
          <w:p w14:paraId="346E4C25" w14:textId="77777777" w:rsidR="002C6574" w:rsidRDefault="00000000">
            <w:pPr>
              <w:pStyle w:val="TableParagraph"/>
              <w:spacing w:before="15" w:line="178" w:lineRule="exact"/>
              <w:ind w:left="9"/>
              <w:jc w:val="center"/>
              <w:rPr>
                <w:rFonts w:ascii="Arial"/>
                <w:b/>
                <w:sz w:val="16"/>
              </w:rPr>
            </w:pPr>
            <w:r>
              <w:rPr>
                <w:rFonts w:ascii="Arial"/>
                <w:b/>
                <w:sz w:val="16"/>
              </w:rPr>
              <w:t>PBS-</w:t>
            </w:r>
            <w:r>
              <w:rPr>
                <w:rFonts w:ascii="Arial"/>
                <w:b/>
                <w:spacing w:val="-10"/>
                <w:sz w:val="16"/>
              </w:rPr>
              <w:t>A</w:t>
            </w:r>
          </w:p>
        </w:tc>
        <w:tc>
          <w:tcPr>
            <w:tcW w:w="1882" w:type="dxa"/>
            <w:gridSpan w:val="2"/>
          </w:tcPr>
          <w:p w14:paraId="066C06FB" w14:textId="77777777" w:rsidR="002C6574" w:rsidRDefault="00000000">
            <w:pPr>
              <w:pStyle w:val="TableParagraph"/>
              <w:spacing w:before="15" w:line="178" w:lineRule="exact"/>
              <w:ind w:left="419"/>
              <w:jc w:val="left"/>
              <w:rPr>
                <w:rFonts w:ascii="Arial" w:hAnsi="Arial"/>
                <w:b/>
                <w:sz w:val="16"/>
              </w:rPr>
            </w:pPr>
            <w:r>
              <w:rPr>
                <w:rFonts w:ascii="Arial" w:hAnsi="Arial"/>
                <w:b/>
                <w:spacing w:val="-2"/>
                <w:sz w:val="16"/>
              </w:rPr>
              <w:t>PBS-Telebrás</w:t>
            </w:r>
          </w:p>
        </w:tc>
        <w:tc>
          <w:tcPr>
            <w:tcW w:w="1882" w:type="dxa"/>
            <w:gridSpan w:val="2"/>
          </w:tcPr>
          <w:p w14:paraId="79546EFF" w14:textId="77777777" w:rsidR="002C6574" w:rsidRDefault="00000000">
            <w:pPr>
              <w:pStyle w:val="TableParagraph"/>
              <w:spacing w:before="15" w:line="178" w:lineRule="exact"/>
              <w:ind w:left="371"/>
              <w:jc w:val="left"/>
              <w:rPr>
                <w:rFonts w:ascii="Arial"/>
                <w:b/>
                <w:sz w:val="16"/>
              </w:rPr>
            </w:pPr>
            <w:r>
              <w:rPr>
                <w:rFonts w:ascii="Arial"/>
                <w:b/>
                <w:sz w:val="16"/>
              </w:rPr>
              <w:t>Telebras</w:t>
            </w:r>
            <w:r>
              <w:rPr>
                <w:rFonts w:ascii="Arial"/>
                <w:b/>
                <w:spacing w:val="-7"/>
                <w:sz w:val="16"/>
              </w:rPr>
              <w:t xml:space="preserve"> </w:t>
            </w:r>
            <w:r>
              <w:rPr>
                <w:rFonts w:ascii="Arial"/>
                <w:b/>
                <w:spacing w:val="-4"/>
                <w:sz w:val="16"/>
              </w:rPr>
              <w:t>PREV</w:t>
            </w:r>
          </w:p>
        </w:tc>
      </w:tr>
      <w:tr w:rsidR="002C6574" w14:paraId="2D3542C2" w14:textId="77777777">
        <w:trPr>
          <w:trHeight w:val="215"/>
        </w:trPr>
        <w:tc>
          <w:tcPr>
            <w:tcW w:w="4126" w:type="dxa"/>
            <w:vMerge/>
            <w:tcBorders>
              <w:top w:val="nil"/>
            </w:tcBorders>
            <w:shd w:val="clear" w:color="auto" w:fill="BFBFBF"/>
          </w:tcPr>
          <w:p w14:paraId="4049517E" w14:textId="77777777" w:rsidR="002C6574" w:rsidRDefault="002C6574">
            <w:pPr>
              <w:rPr>
                <w:sz w:val="2"/>
                <w:szCs w:val="2"/>
              </w:rPr>
            </w:pPr>
          </w:p>
        </w:tc>
        <w:tc>
          <w:tcPr>
            <w:tcW w:w="941" w:type="dxa"/>
          </w:tcPr>
          <w:p w14:paraId="57C82264" w14:textId="77777777" w:rsidR="002C6574" w:rsidRDefault="00000000">
            <w:pPr>
              <w:pStyle w:val="TableParagraph"/>
              <w:spacing w:before="17" w:line="178" w:lineRule="exact"/>
              <w:ind w:right="58"/>
              <w:rPr>
                <w:rFonts w:ascii="Arial"/>
                <w:b/>
                <w:sz w:val="16"/>
              </w:rPr>
            </w:pPr>
            <w:r>
              <w:rPr>
                <w:rFonts w:ascii="Arial"/>
                <w:b/>
                <w:spacing w:val="-2"/>
                <w:sz w:val="16"/>
              </w:rPr>
              <w:t>31/12/2025</w:t>
            </w:r>
          </w:p>
        </w:tc>
        <w:tc>
          <w:tcPr>
            <w:tcW w:w="941" w:type="dxa"/>
          </w:tcPr>
          <w:p w14:paraId="33DC4B71" w14:textId="77777777" w:rsidR="002C6574" w:rsidRDefault="00000000">
            <w:pPr>
              <w:pStyle w:val="TableParagraph"/>
              <w:spacing w:before="17" w:line="178" w:lineRule="exact"/>
              <w:ind w:right="58"/>
              <w:rPr>
                <w:rFonts w:ascii="Arial"/>
                <w:b/>
                <w:sz w:val="16"/>
              </w:rPr>
            </w:pPr>
            <w:r>
              <w:rPr>
                <w:rFonts w:ascii="Arial"/>
                <w:b/>
                <w:spacing w:val="-2"/>
                <w:sz w:val="16"/>
              </w:rPr>
              <w:t>31/12/2024</w:t>
            </w:r>
          </w:p>
        </w:tc>
        <w:tc>
          <w:tcPr>
            <w:tcW w:w="941" w:type="dxa"/>
          </w:tcPr>
          <w:p w14:paraId="25470438" w14:textId="77777777" w:rsidR="002C6574" w:rsidRDefault="00000000">
            <w:pPr>
              <w:pStyle w:val="TableParagraph"/>
              <w:spacing w:before="17" w:line="178" w:lineRule="exact"/>
              <w:ind w:right="58"/>
              <w:rPr>
                <w:rFonts w:ascii="Arial"/>
                <w:b/>
                <w:sz w:val="16"/>
              </w:rPr>
            </w:pPr>
            <w:r>
              <w:rPr>
                <w:rFonts w:ascii="Arial"/>
                <w:b/>
                <w:spacing w:val="-2"/>
                <w:sz w:val="16"/>
              </w:rPr>
              <w:t>31/12/2025</w:t>
            </w:r>
          </w:p>
        </w:tc>
        <w:tc>
          <w:tcPr>
            <w:tcW w:w="941" w:type="dxa"/>
          </w:tcPr>
          <w:p w14:paraId="3079ADD7" w14:textId="77777777" w:rsidR="002C6574" w:rsidRDefault="00000000">
            <w:pPr>
              <w:pStyle w:val="TableParagraph"/>
              <w:spacing w:before="17" w:line="178" w:lineRule="exact"/>
              <w:ind w:right="58"/>
              <w:rPr>
                <w:rFonts w:ascii="Arial"/>
                <w:b/>
                <w:sz w:val="16"/>
              </w:rPr>
            </w:pPr>
            <w:r>
              <w:rPr>
                <w:rFonts w:ascii="Arial"/>
                <w:b/>
                <w:spacing w:val="-2"/>
                <w:sz w:val="16"/>
              </w:rPr>
              <w:t>31/12/2024</w:t>
            </w:r>
          </w:p>
        </w:tc>
        <w:tc>
          <w:tcPr>
            <w:tcW w:w="941" w:type="dxa"/>
          </w:tcPr>
          <w:p w14:paraId="470ECE3F" w14:textId="77777777" w:rsidR="002C6574" w:rsidRDefault="00000000">
            <w:pPr>
              <w:pStyle w:val="TableParagraph"/>
              <w:spacing w:before="17" w:line="178" w:lineRule="exact"/>
              <w:ind w:right="60"/>
              <w:rPr>
                <w:rFonts w:ascii="Arial"/>
                <w:b/>
                <w:sz w:val="16"/>
              </w:rPr>
            </w:pPr>
            <w:r>
              <w:rPr>
                <w:rFonts w:ascii="Arial"/>
                <w:b/>
                <w:spacing w:val="-2"/>
                <w:sz w:val="16"/>
              </w:rPr>
              <w:t>31/12/2025</w:t>
            </w:r>
          </w:p>
        </w:tc>
        <w:tc>
          <w:tcPr>
            <w:tcW w:w="941" w:type="dxa"/>
          </w:tcPr>
          <w:p w14:paraId="1E0B291F" w14:textId="77777777" w:rsidR="002C6574" w:rsidRDefault="00000000">
            <w:pPr>
              <w:pStyle w:val="TableParagraph"/>
              <w:spacing w:before="17" w:line="178" w:lineRule="exact"/>
              <w:ind w:right="59"/>
              <w:rPr>
                <w:rFonts w:ascii="Arial"/>
                <w:b/>
                <w:sz w:val="16"/>
              </w:rPr>
            </w:pPr>
            <w:r>
              <w:rPr>
                <w:rFonts w:ascii="Arial"/>
                <w:b/>
                <w:spacing w:val="-2"/>
                <w:sz w:val="16"/>
              </w:rPr>
              <w:t>31/12/2024</w:t>
            </w:r>
          </w:p>
        </w:tc>
      </w:tr>
      <w:tr w:rsidR="002C6574" w14:paraId="77823F09" w14:textId="77777777">
        <w:trPr>
          <w:trHeight w:val="369"/>
        </w:trPr>
        <w:tc>
          <w:tcPr>
            <w:tcW w:w="4126" w:type="dxa"/>
          </w:tcPr>
          <w:p w14:paraId="6F4EE4AA" w14:textId="77777777" w:rsidR="002C6574" w:rsidRDefault="00000000">
            <w:pPr>
              <w:pStyle w:val="TableParagraph"/>
              <w:spacing w:line="184" w:lineRule="exact"/>
              <w:ind w:left="69"/>
              <w:jc w:val="left"/>
              <w:rPr>
                <w:sz w:val="16"/>
              </w:rPr>
            </w:pPr>
            <w:r>
              <w:rPr>
                <w:spacing w:val="-2"/>
                <w:w w:val="105"/>
                <w:sz w:val="16"/>
              </w:rPr>
              <w:t>1.</w:t>
            </w:r>
            <w:r>
              <w:rPr>
                <w:spacing w:val="-6"/>
                <w:w w:val="105"/>
                <w:sz w:val="16"/>
              </w:rPr>
              <w:t xml:space="preserve"> </w:t>
            </w:r>
            <w:r>
              <w:rPr>
                <w:spacing w:val="-2"/>
                <w:w w:val="105"/>
                <w:sz w:val="16"/>
              </w:rPr>
              <w:t>Taxa</w:t>
            </w:r>
            <w:r>
              <w:rPr>
                <w:spacing w:val="-8"/>
                <w:w w:val="105"/>
                <w:sz w:val="16"/>
              </w:rPr>
              <w:t xml:space="preserve"> </w:t>
            </w:r>
            <w:r>
              <w:rPr>
                <w:spacing w:val="-2"/>
                <w:w w:val="105"/>
                <w:sz w:val="16"/>
              </w:rPr>
              <w:t>de</w:t>
            </w:r>
            <w:r>
              <w:rPr>
                <w:spacing w:val="-6"/>
                <w:w w:val="105"/>
                <w:sz w:val="16"/>
              </w:rPr>
              <w:t xml:space="preserve"> </w:t>
            </w:r>
            <w:r>
              <w:rPr>
                <w:spacing w:val="-2"/>
                <w:w w:val="105"/>
                <w:sz w:val="16"/>
              </w:rPr>
              <w:t>desconto</w:t>
            </w:r>
            <w:r>
              <w:rPr>
                <w:spacing w:val="-6"/>
                <w:w w:val="105"/>
                <w:sz w:val="16"/>
              </w:rPr>
              <w:t xml:space="preserve"> </w:t>
            </w:r>
            <w:r>
              <w:rPr>
                <w:spacing w:val="-2"/>
                <w:w w:val="105"/>
                <w:sz w:val="16"/>
              </w:rPr>
              <w:t>no</w:t>
            </w:r>
            <w:r>
              <w:rPr>
                <w:spacing w:val="-9"/>
                <w:w w:val="105"/>
                <w:sz w:val="16"/>
              </w:rPr>
              <w:t xml:space="preserve"> </w:t>
            </w:r>
            <w:r>
              <w:rPr>
                <w:spacing w:val="-2"/>
                <w:w w:val="105"/>
                <w:sz w:val="16"/>
              </w:rPr>
              <w:t>início</w:t>
            </w:r>
            <w:r>
              <w:rPr>
                <w:spacing w:val="-8"/>
                <w:w w:val="105"/>
                <w:sz w:val="16"/>
              </w:rPr>
              <w:t xml:space="preserve"> </w:t>
            </w:r>
            <w:r>
              <w:rPr>
                <w:spacing w:val="-2"/>
                <w:w w:val="105"/>
                <w:sz w:val="16"/>
              </w:rPr>
              <w:t>do</w:t>
            </w:r>
            <w:r>
              <w:rPr>
                <w:spacing w:val="-9"/>
                <w:w w:val="105"/>
                <w:sz w:val="16"/>
              </w:rPr>
              <w:t xml:space="preserve"> </w:t>
            </w:r>
            <w:r>
              <w:rPr>
                <w:spacing w:val="-2"/>
                <w:w w:val="105"/>
                <w:sz w:val="16"/>
              </w:rPr>
              <w:t>exercício</w:t>
            </w:r>
            <w:r>
              <w:rPr>
                <w:spacing w:val="-9"/>
                <w:w w:val="105"/>
                <w:sz w:val="16"/>
              </w:rPr>
              <w:t xml:space="preserve"> </w:t>
            </w:r>
            <w:r>
              <w:rPr>
                <w:spacing w:val="-2"/>
                <w:w w:val="105"/>
                <w:sz w:val="16"/>
              </w:rPr>
              <w:t>(custo</w:t>
            </w:r>
            <w:r>
              <w:rPr>
                <w:spacing w:val="-9"/>
                <w:w w:val="105"/>
                <w:sz w:val="16"/>
              </w:rPr>
              <w:t xml:space="preserve"> </w:t>
            </w:r>
            <w:r>
              <w:rPr>
                <w:spacing w:val="-2"/>
                <w:w w:val="105"/>
                <w:sz w:val="16"/>
              </w:rPr>
              <w:t>dos juros)</w:t>
            </w:r>
          </w:p>
        </w:tc>
        <w:tc>
          <w:tcPr>
            <w:tcW w:w="941" w:type="dxa"/>
          </w:tcPr>
          <w:p w14:paraId="40A745F1" w14:textId="77777777" w:rsidR="002C6574" w:rsidRDefault="00000000">
            <w:pPr>
              <w:pStyle w:val="TableParagraph"/>
              <w:spacing w:before="163" w:line="186" w:lineRule="exact"/>
              <w:ind w:right="57"/>
              <w:rPr>
                <w:sz w:val="16"/>
              </w:rPr>
            </w:pPr>
            <w:r>
              <w:rPr>
                <w:spacing w:val="-2"/>
                <w:w w:val="110"/>
                <w:sz w:val="16"/>
              </w:rPr>
              <w:t>7,63%</w:t>
            </w:r>
          </w:p>
        </w:tc>
        <w:tc>
          <w:tcPr>
            <w:tcW w:w="941" w:type="dxa"/>
          </w:tcPr>
          <w:p w14:paraId="6C3315E0" w14:textId="77777777" w:rsidR="002C6574" w:rsidRDefault="00000000">
            <w:pPr>
              <w:pStyle w:val="TableParagraph"/>
              <w:spacing w:before="163" w:line="186" w:lineRule="exact"/>
              <w:ind w:right="57"/>
              <w:rPr>
                <w:sz w:val="16"/>
              </w:rPr>
            </w:pPr>
            <w:r>
              <w:rPr>
                <w:spacing w:val="-2"/>
                <w:w w:val="110"/>
                <w:sz w:val="16"/>
              </w:rPr>
              <w:t>5,22%</w:t>
            </w:r>
          </w:p>
        </w:tc>
        <w:tc>
          <w:tcPr>
            <w:tcW w:w="941" w:type="dxa"/>
          </w:tcPr>
          <w:p w14:paraId="7EDB1EB8" w14:textId="77777777" w:rsidR="002C6574" w:rsidRDefault="00000000">
            <w:pPr>
              <w:pStyle w:val="TableParagraph"/>
              <w:spacing w:before="163" w:line="186" w:lineRule="exact"/>
              <w:ind w:right="57"/>
              <w:rPr>
                <w:sz w:val="16"/>
              </w:rPr>
            </w:pPr>
            <w:r>
              <w:rPr>
                <w:spacing w:val="-2"/>
                <w:w w:val="110"/>
                <w:sz w:val="16"/>
              </w:rPr>
              <w:t>7,54%</w:t>
            </w:r>
          </w:p>
        </w:tc>
        <w:tc>
          <w:tcPr>
            <w:tcW w:w="941" w:type="dxa"/>
          </w:tcPr>
          <w:p w14:paraId="37366BDC" w14:textId="77777777" w:rsidR="002C6574" w:rsidRDefault="00000000">
            <w:pPr>
              <w:pStyle w:val="TableParagraph"/>
              <w:spacing w:before="163" w:line="186" w:lineRule="exact"/>
              <w:ind w:right="57"/>
              <w:rPr>
                <w:sz w:val="16"/>
              </w:rPr>
            </w:pPr>
            <w:r>
              <w:rPr>
                <w:spacing w:val="-2"/>
                <w:w w:val="110"/>
                <w:sz w:val="16"/>
              </w:rPr>
              <w:t>5,32%</w:t>
            </w:r>
          </w:p>
        </w:tc>
        <w:tc>
          <w:tcPr>
            <w:tcW w:w="941" w:type="dxa"/>
          </w:tcPr>
          <w:p w14:paraId="3DD4A9DE" w14:textId="77777777" w:rsidR="002C6574" w:rsidRDefault="00000000">
            <w:pPr>
              <w:pStyle w:val="TableParagraph"/>
              <w:spacing w:before="163" w:line="186" w:lineRule="exact"/>
              <w:ind w:right="57"/>
              <w:rPr>
                <w:sz w:val="16"/>
              </w:rPr>
            </w:pPr>
            <w:r>
              <w:rPr>
                <w:spacing w:val="-2"/>
                <w:w w:val="110"/>
                <w:sz w:val="16"/>
              </w:rPr>
              <w:t>7,54%</w:t>
            </w:r>
          </w:p>
        </w:tc>
        <w:tc>
          <w:tcPr>
            <w:tcW w:w="941" w:type="dxa"/>
          </w:tcPr>
          <w:p w14:paraId="22858669" w14:textId="77777777" w:rsidR="002C6574" w:rsidRDefault="00000000">
            <w:pPr>
              <w:pStyle w:val="TableParagraph"/>
              <w:spacing w:before="163" w:line="186" w:lineRule="exact"/>
              <w:ind w:right="58"/>
              <w:rPr>
                <w:sz w:val="16"/>
              </w:rPr>
            </w:pPr>
            <w:r>
              <w:rPr>
                <w:spacing w:val="-2"/>
                <w:w w:val="110"/>
                <w:sz w:val="16"/>
              </w:rPr>
              <w:t>5,32%</w:t>
            </w:r>
          </w:p>
        </w:tc>
      </w:tr>
      <w:tr w:rsidR="002C6574" w14:paraId="65BBAFC0" w14:textId="77777777">
        <w:trPr>
          <w:trHeight w:val="366"/>
        </w:trPr>
        <w:tc>
          <w:tcPr>
            <w:tcW w:w="4126" w:type="dxa"/>
          </w:tcPr>
          <w:p w14:paraId="5AB934C1" w14:textId="77777777" w:rsidR="002C6574" w:rsidRDefault="00000000">
            <w:pPr>
              <w:pStyle w:val="TableParagraph"/>
              <w:spacing w:line="184" w:lineRule="exact"/>
              <w:ind w:left="69" w:right="76"/>
              <w:jc w:val="left"/>
              <w:rPr>
                <w:sz w:val="16"/>
              </w:rPr>
            </w:pPr>
            <w:r>
              <w:rPr>
                <w:sz w:val="16"/>
              </w:rPr>
              <w:t>2. Taxa de rendimento esperada sobre os ativos do plano no início do exercício</w:t>
            </w:r>
          </w:p>
        </w:tc>
        <w:tc>
          <w:tcPr>
            <w:tcW w:w="941" w:type="dxa"/>
          </w:tcPr>
          <w:p w14:paraId="0E29ACF4" w14:textId="77777777" w:rsidR="002C6574" w:rsidRDefault="00000000">
            <w:pPr>
              <w:pStyle w:val="TableParagraph"/>
              <w:spacing w:before="160" w:line="186" w:lineRule="exact"/>
              <w:ind w:right="57"/>
              <w:rPr>
                <w:sz w:val="16"/>
              </w:rPr>
            </w:pPr>
            <w:r>
              <w:rPr>
                <w:spacing w:val="-2"/>
                <w:w w:val="110"/>
                <w:sz w:val="16"/>
              </w:rPr>
              <w:t>12,90%</w:t>
            </w:r>
          </w:p>
        </w:tc>
        <w:tc>
          <w:tcPr>
            <w:tcW w:w="941" w:type="dxa"/>
          </w:tcPr>
          <w:p w14:paraId="6FDCC223" w14:textId="77777777" w:rsidR="002C6574" w:rsidRDefault="00000000">
            <w:pPr>
              <w:pStyle w:val="TableParagraph"/>
              <w:spacing w:before="160" w:line="186" w:lineRule="exact"/>
              <w:ind w:right="57"/>
              <w:rPr>
                <w:sz w:val="16"/>
              </w:rPr>
            </w:pPr>
            <w:r>
              <w:rPr>
                <w:spacing w:val="-2"/>
                <w:w w:val="110"/>
                <w:sz w:val="16"/>
              </w:rPr>
              <w:t>9,32%</w:t>
            </w:r>
          </w:p>
        </w:tc>
        <w:tc>
          <w:tcPr>
            <w:tcW w:w="941" w:type="dxa"/>
          </w:tcPr>
          <w:p w14:paraId="0310AD15" w14:textId="77777777" w:rsidR="002C6574" w:rsidRDefault="00000000">
            <w:pPr>
              <w:pStyle w:val="TableParagraph"/>
              <w:spacing w:before="160" w:line="186" w:lineRule="exact"/>
              <w:ind w:right="57"/>
              <w:rPr>
                <w:sz w:val="16"/>
              </w:rPr>
            </w:pPr>
            <w:r>
              <w:rPr>
                <w:spacing w:val="-2"/>
                <w:w w:val="110"/>
                <w:sz w:val="16"/>
              </w:rPr>
              <w:t>12,81%</w:t>
            </w:r>
          </w:p>
        </w:tc>
        <w:tc>
          <w:tcPr>
            <w:tcW w:w="941" w:type="dxa"/>
          </w:tcPr>
          <w:p w14:paraId="31CCB58D" w14:textId="77777777" w:rsidR="002C6574" w:rsidRDefault="00000000">
            <w:pPr>
              <w:pStyle w:val="TableParagraph"/>
              <w:spacing w:before="160" w:line="186" w:lineRule="exact"/>
              <w:ind w:right="57"/>
              <w:rPr>
                <w:sz w:val="16"/>
              </w:rPr>
            </w:pPr>
            <w:r>
              <w:rPr>
                <w:spacing w:val="-2"/>
                <w:w w:val="110"/>
                <w:sz w:val="16"/>
              </w:rPr>
              <w:t>9,43%</w:t>
            </w:r>
          </w:p>
        </w:tc>
        <w:tc>
          <w:tcPr>
            <w:tcW w:w="941" w:type="dxa"/>
          </w:tcPr>
          <w:p w14:paraId="155DC189" w14:textId="77777777" w:rsidR="002C6574" w:rsidRDefault="00000000">
            <w:pPr>
              <w:pStyle w:val="TableParagraph"/>
              <w:spacing w:before="160" w:line="186" w:lineRule="exact"/>
              <w:ind w:right="58"/>
              <w:rPr>
                <w:sz w:val="16"/>
              </w:rPr>
            </w:pPr>
            <w:r>
              <w:rPr>
                <w:spacing w:val="-2"/>
                <w:w w:val="110"/>
                <w:sz w:val="16"/>
              </w:rPr>
              <w:t>12,81%</w:t>
            </w:r>
          </w:p>
        </w:tc>
        <w:tc>
          <w:tcPr>
            <w:tcW w:w="941" w:type="dxa"/>
          </w:tcPr>
          <w:p w14:paraId="48D6710C" w14:textId="77777777" w:rsidR="002C6574" w:rsidRDefault="00000000">
            <w:pPr>
              <w:pStyle w:val="TableParagraph"/>
              <w:spacing w:before="160" w:line="186" w:lineRule="exact"/>
              <w:ind w:right="58"/>
              <w:rPr>
                <w:sz w:val="16"/>
              </w:rPr>
            </w:pPr>
            <w:r>
              <w:rPr>
                <w:spacing w:val="-2"/>
                <w:w w:val="110"/>
                <w:sz w:val="16"/>
              </w:rPr>
              <w:t>9,43%</w:t>
            </w:r>
          </w:p>
        </w:tc>
      </w:tr>
      <w:tr w:rsidR="002C6574" w14:paraId="3052181D" w14:textId="77777777">
        <w:trPr>
          <w:trHeight w:val="365"/>
        </w:trPr>
        <w:tc>
          <w:tcPr>
            <w:tcW w:w="4126" w:type="dxa"/>
          </w:tcPr>
          <w:p w14:paraId="6C524325" w14:textId="77777777" w:rsidR="002C6574" w:rsidRDefault="00000000">
            <w:pPr>
              <w:pStyle w:val="TableParagraph"/>
              <w:spacing w:before="159" w:line="186" w:lineRule="exact"/>
              <w:ind w:left="69"/>
              <w:jc w:val="left"/>
              <w:rPr>
                <w:sz w:val="16"/>
              </w:rPr>
            </w:pPr>
            <w:r>
              <w:rPr>
                <w:w w:val="105"/>
                <w:sz w:val="16"/>
              </w:rPr>
              <w:t>3.</w:t>
            </w:r>
            <w:r>
              <w:rPr>
                <w:spacing w:val="-12"/>
                <w:w w:val="105"/>
                <w:sz w:val="16"/>
              </w:rPr>
              <w:t xml:space="preserve"> </w:t>
            </w:r>
            <w:r>
              <w:rPr>
                <w:w w:val="105"/>
                <w:sz w:val="16"/>
              </w:rPr>
              <w:t>Custo</w:t>
            </w:r>
            <w:r>
              <w:rPr>
                <w:spacing w:val="-11"/>
                <w:w w:val="105"/>
                <w:sz w:val="16"/>
              </w:rPr>
              <w:t xml:space="preserve"> </w:t>
            </w:r>
            <w:r>
              <w:rPr>
                <w:w w:val="105"/>
                <w:sz w:val="16"/>
              </w:rPr>
              <w:t>do</w:t>
            </w:r>
            <w:r>
              <w:rPr>
                <w:spacing w:val="-11"/>
                <w:w w:val="105"/>
                <w:sz w:val="16"/>
              </w:rPr>
              <w:t xml:space="preserve"> </w:t>
            </w:r>
            <w:r>
              <w:rPr>
                <w:w w:val="105"/>
                <w:sz w:val="16"/>
              </w:rPr>
              <w:t>serviço</w:t>
            </w:r>
            <w:r>
              <w:rPr>
                <w:spacing w:val="-12"/>
                <w:w w:val="105"/>
                <w:sz w:val="16"/>
              </w:rPr>
              <w:t xml:space="preserve"> </w:t>
            </w:r>
            <w:r>
              <w:rPr>
                <w:spacing w:val="-2"/>
                <w:w w:val="105"/>
                <w:sz w:val="16"/>
              </w:rPr>
              <w:t>corrente</w:t>
            </w:r>
          </w:p>
        </w:tc>
        <w:tc>
          <w:tcPr>
            <w:tcW w:w="941" w:type="dxa"/>
          </w:tcPr>
          <w:p w14:paraId="2AE6DFF3" w14:textId="77777777" w:rsidR="002C6574" w:rsidRDefault="00000000">
            <w:pPr>
              <w:pStyle w:val="TableParagraph"/>
              <w:spacing w:before="159" w:line="186" w:lineRule="exact"/>
              <w:ind w:right="57"/>
              <w:rPr>
                <w:sz w:val="16"/>
              </w:rPr>
            </w:pPr>
            <w:r>
              <w:rPr>
                <w:spacing w:val="-10"/>
                <w:w w:val="95"/>
                <w:sz w:val="16"/>
              </w:rPr>
              <w:t>-</w:t>
            </w:r>
          </w:p>
        </w:tc>
        <w:tc>
          <w:tcPr>
            <w:tcW w:w="941" w:type="dxa"/>
          </w:tcPr>
          <w:p w14:paraId="762A2A57" w14:textId="77777777" w:rsidR="002C6574" w:rsidRDefault="00000000">
            <w:pPr>
              <w:pStyle w:val="TableParagraph"/>
              <w:spacing w:before="159" w:line="186" w:lineRule="exact"/>
              <w:ind w:right="57"/>
              <w:rPr>
                <w:sz w:val="16"/>
              </w:rPr>
            </w:pPr>
            <w:r>
              <w:rPr>
                <w:spacing w:val="-10"/>
                <w:w w:val="95"/>
                <w:sz w:val="16"/>
              </w:rPr>
              <w:t>-</w:t>
            </w:r>
          </w:p>
        </w:tc>
        <w:tc>
          <w:tcPr>
            <w:tcW w:w="941" w:type="dxa"/>
          </w:tcPr>
          <w:p w14:paraId="4AA74D3B" w14:textId="77777777" w:rsidR="002C6574" w:rsidRDefault="00000000">
            <w:pPr>
              <w:pStyle w:val="TableParagraph"/>
              <w:spacing w:before="159" w:line="186" w:lineRule="exact"/>
              <w:ind w:right="58"/>
              <w:rPr>
                <w:sz w:val="16"/>
              </w:rPr>
            </w:pPr>
            <w:r>
              <w:rPr>
                <w:spacing w:val="-10"/>
                <w:w w:val="95"/>
                <w:sz w:val="16"/>
              </w:rPr>
              <w:t>-</w:t>
            </w:r>
          </w:p>
        </w:tc>
        <w:tc>
          <w:tcPr>
            <w:tcW w:w="941" w:type="dxa"/>
          </w:tcPr>
          <w:p w14:paraId="0F4AB391" w14:textId="77777777" w:rsidR="002C6574" w:rsidRDefault="00000000">
            <w:pPr>
              <w:pStyle w:val="TableParagraph"/>
              <w:spacing w:before="159" w:line="186" w:lineRule="exact"/>
              <w:ind w:right="58"/>
              <w:rPr>
                <w:sz w:val="16"/>
              </w:rPr>
            </w:pPr>
            <w:r>
              <w:rPr>
                <w:spacing w:val="-10"/>
                <w:w w:val="95"/>
                <w:sz w:val="16"/>
              </w:rPr>
              <w:t>-</w:t>
            </w:r>
          </w:p>
        </w:tc>
        <w:tc>
          <w:tcPr>
            <w:tcW w:w="941" w:type="dxa"/>
          </w:tcPr>
          <w:p w14:paraId="3FD78111" w14:textId="77777777" w:rsidR="002C6574" w:rsidRDefault="00000000">
            <w:pPr>
              <w:pStyle w:val="TableParagraph"/>
              <w:spacing w:before="159" w:line="186" w:lineRule="exact"/>
              <w:ind w:right="59"/>
              <w:rPr>
                <w:sz w:val="16"/>
              </w:rPr>
            </w:pPr>
            <w:r>
              <w:rPr>
                <w:spacing w:val="-5"/>
                <w:w w:val="105"/>
                <w:sz w:val="16"/>
              </w:rPr>
              <w:t>489</w:t>
            </w:r>
          </w:p>
        </w:tc>
        <w:tc>
          <w:tcPr>
            <w:tcW w:w="941" w:type="dxa"/>
          </w:tcPr>
          <w:p w14:paraId="497F3647" w14:textId="77777777" w:rsidR="002C6574" w:rsidRDefault="00000000">
            <w:pPr>
              <w:pStyle w:val="TableParagraph"/>
              <w:spacing w:before="159" w:line="186" w:lineRule="exact"/>
              <w:ind w:right="59"/>
              <w:rPr>
                <w:sz w:val="16"/>
              </w:rPr>
            </w:pPr>
            <w:r>
              <w:rPr>
                <w:spacing w:val="-5"/>
                <w:w w:val="105"/>
                <w:sz w:val="16"/>
              </w:rPr>
              <w:t>514</w:t>
            </w:r>
          </w:p>
        </w:tc>
      </w:tr>
      <w:tr w:rsidR="002C6574" w14:paraId="5FE37C2D" w14:textId="77777777">
        <w:trPr>
          <w:trHeight w:val="369"/>
        </w:trPr>
        <w:tc>
          <w:tcPr>
            <w:tcW w:w="4126" w:type="dxa"/>
          </w:tcPr>
          <w:p w14:paraId="5873CD9A" w14:textId="77777777" w:rsidR="002C6574" w:rsidRDefault="00000000">
            <w:pPr>
              <w:pStyle w:val="TableParagraph"/>
              <w:spacing w:before="163" w:line="186" w:lineRule="exact"/>
              <w:ind w:left="69"/>
              <w:jc w:val="left"/>
              <w:rPr>
                <w:sz w:val="16"/>
              </w:rPr>
            </w:pPr>
            <w:r>
              <w:rPr>
                <w:w w:val="105"/>
                <w:sz w:val="16"/>
              </w:rPr>
              <w:t>4.</w:t>
            </w:r>
            <w:r>
              <w:rPr>
                <w:spacing w:val="-4"/>
                <w:w w:val="105"/>
                <w:sz w:val="16"/>
              </w:rPr>
              <w:t xml:space="preserve"> </w:t>
            </w:r>
            <w:r>
              <w:rPr>
                <w:w w:val="105"/>
                <w:sz w:val="16"/>
              </w:rPr>
              <w:t>Benefícios</w:t>
            </w:r>
            <w:r>
              <w:rPr>
                <w:spacing w:val="-3"/>
                <w:w w:val="105"/>
                <w:sz w:val="16"/>
              </w:rPr>
              <w:t xml:space="preserve"> </w:t>
            </w:r>
            <w:r>
              <w:rPr>
                <w:spacing w:val="-2"/>
                <w:w w:val="105"/>
                <w:sz w:val="16"/>
              </w:rPr>
              <w:t>pagos</w:t>
            </w:r>
          </w:p>
        </w:tc>
        <w:tc>
          <w:tcPr>
            <w:tcW w:w="941" w:type="dxa"/>
          </w:tcPr>
          <w:p w14:paraId="6DA36835" w14:textId="77777777" w:rsidR="002C6574" w:rsidRDefault="00000000">
            <w:pPr>
              <w:pStyle w:val="TableParagraph"/>
              <w:spacing w:before="163" w:line="186" w:lineRule="exact"/>
              <w:ind w:right="58"/>
              <w:rPr>
                <w:sz w:val="16"/>
              </w:rPr>
            </w:pPr>
            <w:r>
              <w:rPr>
                <w:spacing w:val="-2"/>
                <w:w w:val="105"/>
                <w:sz w:val="16"/>
              </w:rPr>
              <w:t>56.458</w:t>
            </w:r>
          </w:p>
        </w:tc>
        <w:tc>
          <w:tcPr>
            <w:tcW w:w="941" w:type="dxa"/>
          </w:tcPr>
          <w:p w14:paraId="30E19C3C" w14:textId="77777777" w:rsidR="002C6574" w:rsidRDefault="00000000">
            <w:pPr>
              <w:pStyle w:val="TableParagraph"/>
              <w:spacing w:before="163" w:line="186" w:lineRule="exact"/>
              <w:ind w:right="58"/>
              <w:rPr>
                <w:sz w:val="16"/>
              </w:rPr>
            </w:pPr>
            <w:r>
              <w:rPr>
                <w:spacing w:val="-2"/>
                <w:w w:val="105"/>
                <w:sz w:val="16"/>
              </w:rPr>
              <w:t>55.905</w:t>
            </w:r>
          </w:p>
        </w:tc>
        <w:tc>
          <w:tcPr>
            <w:tcW w:w="941" w:type="dxa"/>
          </w:tcPr>
          <w:p w14:paraId="5A3381B0" w14:textId="77777777" w:rsidR="002C6574" w:rsidRDefault="00000000">
            <w:pPr>
              <w:pStyle w:val="TableParagraph"/>
              <w:spacing w:before="163" w:line="186" w:lineRule="exact"/>
              <w:ind w:right="58"/>
              <w:rPr>
                <w:sz w:val="16"/>
              </w:rPr>
            </w:pPr>
            <w:r>
              <w:rPr>
                <w:spacing w:val="-2"/>
                <w:w w:val="105"/>
                <w:sz w:val="16"/>
              </w:rPr>
              <w:t>17.412</w:t>
            </w:r>
          </w:p>
        </w:tc>
        <w:tc>
          <w:tcPr>
            <w:tcW w:w="941" w:type="dxa"/>
          </w:tcPr>
          <w:p w14:paraId="05031941" w14:textId="77777777" w:rsidR="002C6574" w:rsidRDefault="00000000">
            <w:pPr>
              <w:pStyle w:val="TableParagraph"/>
              <w:spacing w:before="163" w:line="186" w:lineRule="exact"/>
              <w:ind w:right="58"/>
              <w:rPr>
                <w:sz w:val="16"/>
              </w:rPr>
            </w:pPr>
            <w:r>
              <w:rPr>
                <w:spacing w:val="-2"/>
                <w:w w:val="105"/>
                <w:sz w:val="16"/>
              </w:rPr>
              <w:t>16.307</w:t>
            </w:r>
          </w:p>
        </w:tc>
        <w:tc>
          <w:tcPr>
            <w:tcW w:w="941" w:type="dxa"/>
          </w:tcPr>
          <w:p w14:paraId="62EC7DB2" w14:textId="77777777" w:rsidR="002C6574" w:rsidRDefault="00000000">
            <w:pPr>
              <w:pStyle w:val="TableParagraph"/>
              <w:spacing w:before="163" w:line="186" w:lineRule="exact"/>
              <w:ind w:right="58"/>
              <w:rPr>
                <w:sz w:val="16"/>
              </w:rPr>
            </w:pPr>
            <w:r>
              <w:rPr>
                <w:spacing w:val="-2"/>
                <w:w w:val="105"/>
                <w:sz w:val="16"/>
              </w:rPr>
              <w:t>33.822</w:t>
            </w:r>
          </w:p>
        </w:tc>
        <w:tc>
          <w:tcPr>
            <w:tcW w:w="941" w:type="dxa"/>
          </w:tcPr>
          <w:p w14:paraId="259F0084" w14:textId="77777777" w:rsidR="002C6574" w:rsidRDefault="00000000">
            <w:pPr>
              <w:pStyle w:val="TableParagraph"/>
              <w:spacing w:before="163" w:line="186" w:lineRule="exact"/>
              <w:ind w:right="59"/>
              <w:rPr>
                <w:sz w:val="16"/>
              </w:rPr>
            </w:pPr>
            <w:r>
              <w:rPr>
                <w:spacing w:val="-2"/>
                <w:w w:val="105"/>
                <w:sz w:val="16"/>
              </w:rPr>
              <w:t>36.460</w:t>
            </w:r>
          </w:p>
        </w:tc>
      </w:tr>
      <w:tr w:rsidR="002C6574" w14:paraId="5E6B7EDC" w14:textId="77777777">
        <w:trPr>
          <w:trHeight w:val="366"/>
        </w:trPr>
        <w:tc>
          <w:tcPr>
            <w:tcW w:w="4126" w:type="dxa"/>
          </w:tcPr>
          <w:p w14:paraId="351FBB57" w14:textId="77777777" w:rsidR="002C6574" w:rsidRDefault="00000000">
            <w:pPr>
              <w:pStyle w:val="TableParagraph"/>
              <w:spacing w:before="160" w:line="186" w:lineRule="exact"/>
              <w:ind w:left="69"/>
              <w:jc w:val="left"/>
              <w:rPr>
                <w:sz w:val="16"/>
              </w:rPr>
            </w:pPr>
            <w:r>
              <w:rPr>
                <w:sz w:val="16"/>
              </w:rPr>
              <w:t>5.</w:t>
            </w:r>
            <w:r>
              <w:rPr>
                <w:spacing w:val="5"/>
                <w:sz w:val="16"/>
              </w:rPr>
              <w:t xml:space="preserve"> </w:t>
            </w:r>
            <w:r>
              <w:rPr>
                <w:sz w:val="16"/>
              </w:rPr>
              <w:t>Contribuições</w:t>
            </w:r>
            <w:r>
              <w:rPr>
                <w:spacing w:val="5"/>
                <w:sz w:val="16"/>
              </w:rPr>
              <w:t xml:space="preserve"> </w:t>
            </w:r>
            <w:r>
              <w:rPr>
                <w:sz w:val="16"/>
              </w:rPr>
              <w:t>recebidas</w:t>
            </w:r>
            <w:r>
              <w:rPr>
                <w:spacing w:val="5"/>
                <w:sz w:val="16"/>
              </w:rPr>
              <w:t xml:space="preserve"> </w:t>
            </w:r>
            <w:r>
              <w:rPr>
                <w:sz w:val="16"/>
              </w:rPr>
              <w:t>pelo</w:t>
            </w:r>
            <w:r>
              <w:rPr>
                <w:spacing w:val="1"/>
                <w:sz w:val="16"/>
              </w:rPr>
              <w:t xml:space="preserve"> </w:t>
            </w:r>
            <w:r>
              <w:rPr>
                <w:spacing w:val="-2"/>
                <w:sz w:val="16"/>
              </w:rPr>
              <w:t>fundo</w:t>
            </w:r>
          </w:p>
        </w:tc>
        <w:tc>
          <w:tcPr>
            <w:tcW w:w="941" w:type="dxa"/>
          </w:tcPr>
          <w:p w14:paraId="1D62CF26" w14:textId="77777777" w:rsidR="002C6574" w:rsidRDefault="00000000">
            <w:pPr>
              <w:pStyle w:val="TableParagraph"/>
              <w:spacing w:before="160" w:line="186" w:lineRule="exact"/>
              <w:ind w:right="57"/>
              <w:rPr>
                <w:sz w:val="16"/>
              </w:rPr>
            </w:pPr>
            <w:r>
              <w:rPr>
                <w:spacing w:val="-10"/>
                <w:w w:val="95"/>
                <w:sz w:val="16"/>
              </w:rPr>
              <w:t>-</w:t>
            </w:r>
          </w:p>
        </w:tc>
        <w:tc>
          <w:tcPr>
            <w:tcW w:w="941" w:type="dxa"/>
          </w:tcPr>
          <w:p w14:paraId="72B1B6C6" w14:textId="77777777" w:rsidR="002C6574" w:rsidRDefault="00000000">
            <w:pPr>
              <w:pStyle w:val="TableParagraph"/>
              <w:spacing w:before="160" w:line="186" w:lineRule="exact"/>
              <w:ind w:right="57"/>
              <w:rPr>
                <w:sz w:val="16"/>
              </w:rPr>
            </w:pPr>
            <w:r>
              <w:rPr>
                <w:spacing w:val="-10"/>
                <w:w w:val="95"/>
                <w:sz w:val="16"/>
              </w:rPr>
              <w:t>-</w:t>
            </w:r>
          </w:p>
        </w:tc>
        <w:tc>
          <w:tcPr>
            <w:tcW w:w="941" w:type="dxa"/>
          </w:tcPr>
          <w:p w14:paraId="26BDBF32" w14:textId="77777777" w:rsidR="002C6574" w:rsidRDefault="00000000">
            <w:pPr>
              <w:pStyle w:val="TableParagraph"/>
              <w:spacing w:before="160" w:line="186" w:lineRule="exact"/>
              <w:ind w:right="58"/>
              <w:rPr>
                <w:sz w:val="16"/>
              </w:rPr>
            </w:pPr>
            <w:r>
              <w:rPr>
                <w:spacing w:val="-10"/>
                <w:w w:val="95"/>
                <w:sz w:val="16"/>
              </w:rPr>
              <w:t>-</w:t>
            </w:r>
          </w:p>
        </w:tc>
        <w:tc>
          <w:tcPr>
            <w:tcW w:w="941" w:type="dxa"/>
          </w:tcPr>
          <w:p w14:paraId="585C9EFB" w14:textId="77777777" w:rsidR="002C6574" w:rsidRDefault="00000000">
            <w:pPr>
              <w:pStyle w:val="TableParagraph"/>
              <w:spacing w:before="160" w:line="186" w:lineRule="exact"/>
              <w:ind w:right="58"/>
              <w:rPr>
                <w:sz w:val="16"/>
              </w:rPr>
            </w:pPr>
            <w:r>
              <w:rPr>
                <w:spacing w:val="-10"/>
                <w:w w:val="95"/>
                <w:sz w:val="16"/>
              </w:rPr>
              <w:t>-</w:t>
            </w:r>
          </w:p>
        </w:tc>
        <w:tc>
          <w:tcPr>
            <w:tcW w:w="941" w:type="dxa"/>
          </w:tcPr>
          <w:p w14:paraId="744BD766" w14:textId="77777777" w:rsidR="002C6574" w:rsidRDefault="00000000">
            <w:pPr>
              <w:pStyle w:val="TableParagraph"/>
              <w:spacing w:before="160" w:line="186" w:lineRule="exact"/>
              <w:ind w:right="58"/>
              <w:rPr>
                <w:sz w:val="16"/>
              </w:rPr>
            </w:pPr>
            <w:r>
              <w:rPr>
                <w:spacing w:val="-4"/>
                <w:w w:val="110"/>
                <w:sz w:val="16"/>
              </w:rPr>
              <w:t>5.310</w:t>
            </w:r>
          </w:p>
        </w:tc>
        <w:tc>
          <w:tcPr>
            <w:tcW w:w="941" w:type="dxa"/>
          </w:tcPr>
          <w:p w14:paraId="1C936A8E" w14:textId="77777777" w:rsidR="002C6574" w:rsidRDefault="00000000">
            <w:pPr>
              <w:pStyle w:val="TableParagraph"/>
              <w:spacing w:before="160" w:line="186" w:lineRule="exact"/>
              <w:ind w:right="58"/>
              <w:rPr>
                <w:sz w:val="16"/>
              </w:rPr>
            </w:pPr>
            <w:r>
              <w:rPr>
                <w:spacing w:val="-4"/>
                <w:w w:val="110"/>
                <w:sz w:val="16"/>
              </w:rPr>
              <w:t>5.079</w:t>
            </w:r>
          </w:p>
        </w:tc>
      </w:tr>
      <w:tr w:rsidR="002C6574" w14:paraId="346F76A3" w14:textId="77777777">
        <w:trPr>
          <w:trHeight w:val="369"/>
        </w:trPr>
        <w:tc>
          <w:tcPr>
            <w:tcW w:w="4126" w:type="dxa"/>
          </w:tcPr>
          <w:p w14:paraId="5CEE9D61" w14:textId="77777777" w:rsidR="002C6574" w:rsidRDefault="00000000">
            <w:pPr>
              <w:pStyle w:val="TableParagraph"/>
              <w:spacing w:before="163" w:line="186" w:lineRule="exact"/>
              <w:ind w:left="69"/>
              <w:jc w:val="left"/>
              <w:rPr>
                <w:sz w:val="16"/>
              </w:rPr>
            </w:pPr>
            <w:r>
              <w:rPr>
                <w:sz w:val="16"/>
              </w:rPr>
              <w:t>6.</w:t>
            </w:r>
            <w:r>
              <w:rPr>
                <w:spacing w:val="7"/>
                <w:sz w:val="16"/>
              </w:rPr>
              <w:t xml:space="preserve"> </w:t>
            </w:r>
            <w:r>
              <w:rPr>
                <w:sz w:val="16"/>
              </w:rPr>
              <w:t>Valor</w:t>
            </w:r>
            <w:r>
              <w:rPr>
                <w:spacing w:val="5"/>
                <w:sz w:val="16"/>
              </w:rPr>
              <w:t xml:space="preserve"> </w:t>
            </w:r>
            <w:r>
              <w:rPr>
                <w:sz w:val="16"/>
              </w:rPr>
              <w:t>presente</w:t>
            </w:r>
            <w:r>
              <w:rPr>
                <w:spacing w:val="3"/>
                <w:sz w:val="16"/>
              </w:rPr>
              <w:t xml:space="preserve"> </w:t>
            </w:r>
            <w:r>
              <w:rPr>
                <w:sz w:val="16"/>
              </w:rPr>
              <w:t>da</w:t>
            </w:r>
            <w:r>
              <w:rPr>
                <w:spacing w:val="4"/>
                <w:sz w:val="16"/>
              </w:rPr>
              <w:t xml:space="preserve"> </w:t>
            </w:r>
            <w:r>
              <w:rPr>
                <w:spacing w:val="-2"/>
                <w:sz w:val="16"/>
              </w:rPr>
              <w:t>obrigação</w:t>
            </w:r>
          </w:p>
        </w:tc>
        <w:tc>
          <w:tcPr>
            <w:tcW w:w="941" w:type="dxa"/>
          </w:tcPr>
          <w:p w14:paraId="49187BD0" w14:textId="77777777" w:rsidR="002C6574" w:rsidRDefault="00000000">
            <w:pPr>
              <w:pStyle w:val="TableParagraph"/>
              <w:spacing w:before="163" w:line="186" w:lineRule="exact"/>
              <w:ind w:right="58"/>
              <w:rPr>
                <w:sz w:val="16"/>
              </w:rPr>
            </w:pPr>
            <w:r>
              <w:rPr>
                <w:spacing w:val="-2"/>
                <w:w w:val="105"/>
                <w:sz w:val="16"/>
              </w:rPr>
              <w:t>504.164</w:t>
            </w:r>
          </w:p>
        </w:tc>
        <w:tc>
          <w:tcPr>
            <w:tcW w:w="941" w:type="dxa"/>
          </w:tcPr>
          <w:p w14:paraId="4B52B1C7" w14:textId="77777777" w:rsidR="002C6574" w:rsidRDefault="00000000">
            <w:pPr>
              <w:pStyle w:val="TableParagraph"/>
              <w:spacing w:before="163" w:line="186" w:lineRule="exact"/>
              <w:ind w:right="58"/>
              <w:rPr>
                <w:sz w:val="16"/>
              </w:rPr>
            </w:pPr>
            <w:r>
              <w:rPr>
                <w:spacing w:val="-2"/>
                <w:w w:val="105"/>
                <w:sz w:val="16"/>
              </w:rPr>
              <w:t>508.486</w:t>
            </w:r>
          </w:p>
        </w:tc>
        <w:tc>
          <w:tcPr>
            <w:tcW w:w="941" w:type="dxa"/>
          </w:tcPr>
          <w:p w14:paraId="3E7B099E" w14:textId="77777777" w:rsidR="002C6574" w:rsidRDefault="00000000">
            <w:pPr>
              <w:pStyle w:val="TableParagraph"/>
              <w:spacing w:before="163" w:line="186" w:lineRule="exact"/>
              <w:ind w:right="58"/>
              <w:rPr>
                <w:sz w:val="16"/>
              </w:rPr>
            </w:pPr>
            <w:r>
              <w:rPr>
                <w:spacing w:val="-2"/>
                <w:w w:val="105"/>
                <w:sz w:val="16"/>
              </w:rPr>
              <w:t>195.150</w:t>
            </w:r>
          </w:p>
        </w:tc>
        <w:tc>
          <w:tcPr>
            <w:tcW w:w="941" w:type="dxa"/>
          </w:tcPr>
          <w:p w14:paraId="112CC293" w14:textId="77777777" w:rsidR="002C6574" w:rsidRDefault="00000000">
            <w:pPr>
              <w:pStyle w:val="TableParagraph"/>
              <w:spacing w:before="163" w:line="186" w:lineRule="exact"/>
              <w:ind w:right="59"/>
              <w:rPr>
                <w:sz w:val="16"/>
              </w:rPr>
            </w:pPr>
            <w:r>
              <w:rPr>
                <w:spacing w:val="-2"/>
                <w:w w:val="105"/>
                <w:sz w:val="16"/>
              </w:rPr>
              <w:t>194.180</w:t>
            </w:r>
          </w:p>
        </w:tc>
        <w:tc>
          <w:tcPr>
            <w:tcW w:w="941" w:type="dxa"/>
          </w:tcPr>
          <w:p w14:paraId="7D314283" w14:textId="77777777" w:rsidR="002C6574" w:rsidRDefault="00000000">
            <w:pPr>
              <w:pStyle w:val="TableParagraph"/>
              <w:spacing w:before="163" w:line="186" w:lineRule="exact"/>
              <w:ind w:right="59"/>
              <w:rPr>
                <w:sz w:val="16"/>
              </w:rPr>
            </w:pPr>
            <w:r>
              <w:rPr>
                <w:spacing w:val="-2"/>
                <w:w w:val="105"/>
                <w:sz w:val="16"/>
              </w:rPr>
              <w:t>370.759</w:t>
            </w:r>
          </w:p>
        </w:tc>
        <w:tc>
          <w:tcPr>
            <w:tcW w:w="941" w:type="dxa"/>
          </w:tcPr>
          <w:p w14:paraId="65D195DF" w14:textId="77777777" w:rsidR="002C6574" w:rsidRDefault="00000000">
            <w:pPr>
              <w:pStyle w:val="TableParagraph"/>
              <w:spacing w:before="163" w:line="186" w:lineRule="exact"/>
              <w:ind w:right="59"/>
              <w:rPr>
                <w:sz w:val="16"/>
              </w:rPr>
            </w:pPr>
            <w:r>
              <w:rPr>
                <w:spacing w:val="-2"/>
                <w:w w:val="105"/>
                <w:sz w:val="16"/>
              </w:rPr>
              <w:t>346.585</w:t>
            </w:r>
          </w:p>
        </w:tc>
      </w:tr>
      <w:tr w:rsidR="002C6574" w14:paraId="09692572" w14:textId="77777777">
        <w:trPr>
          <w:trHeight w:val="369"/>
        </w:trPr>
        <w:tc>
          <w:tcPr>
            <w:tcW w:w="4126" w:type="dxa"/>
          </w:tcPr>
          <w:p w14:paraId="332710E6" w14:textId="77777777" w:rsidR="002C6574" w:rsidRDefault="00000000">
            <w:pPr>
              <w:pStyle w:val="TableParagraph"/>
              <w:spacing w:before="160" w:line="188" w:lineRule="exact"/>
              <w:ind w:left="69"/>
              <w:jc w:val="left"/>
              <w:rPr>
                <w:sz w:val="16"/>
              </w:rPr>
            </w:pPr>
            <w:r>
              <w:rPr>
                <w:sz w:val="16"/>
              </w:rPr>
              <w:t>7. Valor</w:t>
            </w:r>
            <w:r>
              <w:rPr>
                <w:spacing w:val="-1"/>
                <w:sz w:val="16"/>
              </w:rPr>
              <w:t xml:space="preserve"> </w:t>
            </w:r>
            <w:r>
              <w:rPr>
                <w:sz w:val="16"/>
              </w:rPr>
              <w:t>justo</w:t>
            </w:r>
            <w:r>
              <w:rPr>
                <w:spacing w:val="-1"/>
                <w:sz w:val="16"/>
              </w:rPr>
              <w:t xml:space="preserve"> </w:t>
            </w:r>
            <w:r>
              <w:rPr>
                <w:sz w:val="16"/>
              </w:rPr>
              <w:t>dos ativos</w:t>
            </w:r>
            <w:r>
              <w:rPr>
                <w:spacing w:val="-1"/>
                <w:sz w:val="16"/>
              </w:rPr>
              <w:t xml:space="preserve"> </w:t>
            </w:r>
            <w:r>
              <w:rPr>
                <w:sz w:val="16"/>
              </w:rPr>
              <w:t>do</w:t>
            </w:r>
            <w:r>
              <w:rPr>
                <w:spacing w:val="-1"/>
                <w:sz w:val="16"/>
              </w:rPr>
              <w:t xml:space="preserve"> </w:t>
            </w:r>
            <w:r>
              <w:rPr>
                <w:spacing w:val="-4"/>
                <w:sz w:val="16"/>
              </w:rPr>
              <w:t>plano</w:t>
            </w:r>
          </w:p>
        </w:tc>
        <w:tc>
          <w:tcPr>
            <w:tcW w:w="941" w:type="dxa"/>
          </w:tcPr>
          <w:p w14:paraId="7CC01E8B" w14:textId="77777777" w:rsidR="002C6574" w:rsidRDefault="00000000">
            <w:pPr>
              <w:pStyle w:val="TableParagraph"/>
              <w:spacing w:before="160" w:line="188" w:lineRule="exact"/>
              <w:ind w:right="58"/>
              <w:rPr>
                <w:sz w:val="16"/>
              </w:rPr>
            </w:pPr>
            <w:r>
              <w:rPr>
                <w:spacing w:val="-2"/>
                <w:w w:val="105"/>
                <w:sz w:val="16"/>
              </w:rPr>
              <w:t>598.248</w:t>
            </w:r>
          </w:p>
        </w:tc>
        <w:tc>
          <w:tcPr>
            <w:tcW w:w="941" w:type="dxa"/>
          </w:tcPr>
          <w:p w14:paraId="7160B646" w14:textId="77777777" w:rsidR="002C6574" w:rsidRDefault="00000000">
            <w:pPr>
              <w:pStyle w:val="TableParagraph"/>
              <w:spacing w:before="160" w:line="188" w:lineRule="exact"/>
              <w:ind w:right="58"/>
              <w:rPr>
                <w:sz w:val="16"/>
              </w:rPr>
            </w:pPr>
            <w:r>
              <w:rPr>
                <w:spacing w:val="-2"/>
                <w:w w:val="105"/>
                <w:sz w:val="16"/>
              </w:rPr>
              <w:t>568.448</w:t>
            </w:r>
          </w:p>
        </w:tc>
        <w:tc>
          <w:tcPr>
            <w:tcW w:w="941" w:type="dxa"/>
          </w:tcPr>
          <w:p w14:paraId="263D9E55" w14:textId="77777777" w:rsidR="002C6574" w:rsidRDefault="00000000">
            <w:pPr>
              <w:pStyle w:val="TableParagraph"/>
              <w:spacing w:before="160" w:line="188" w:lineRule="exact"/>
              <w:ind w:right="58"/>
              <w:rPr>
                <w:sz w:val="16"/>
              </w:rPr>
            </w:pPr>
            <w:r>
              <w:rPr>
                <w:spacing w:val="-2"/>
                <w:w w:val="105"/>
                <w:sz w:val="16"/>
              </w:rPr>
              <w:t>264.365</w:t>
            </w:r>
          </w:p>
        </w:tc>
        <w:tc>
          <w:tcPr>
            <w:tcW w:w="941" w:type="dxa"/>
          </w:tcPr>
          <w:p w14:paraId="24EFE2F2" w14:textId="77777777" w:rsidR="002C6574" w:rsidRDefault="00000000">
            <w:pPr>
              <w:pStyle w:val="TableParagraph"/>
              <w:spacing w:before="160" w:line="188" w:lineRule="exact"/>
              <w:ind w:right="59"/>
              <w:rPr>
                <w:sz w:val="16"/>
              </w:rPr>
            </w:pPr>
            <w:r>
              <w:rPr>
                <w:spacing w:val="-2"/>
                <w:w w:val="105"/>
                <w:sz w:val="16"/>
              </w:rPr>
              <w:t>236.209</w:t>
            </w:r>
          </w:p>
        </w:tc>
        <w:tc>
          <w:tcPr>
            <w:tcW w:w="941" w:type="dxa"/>
          </w:tcPr>
          <w:p w14:paraId="21E21D01" w14:textId="77777777" w:rsidR="002C6574" w:rsidRDefault="00000000">
            <w:pPr>
              <w:pStyle w:val="TableParagraph"/>
              <w:spacing w:before="160" w:line="188" w:lineRule="exact"/>
              <w:ind w:right="59"/>
              <w:rPr>
                <w:sz w:val="16"/>
              </w:rPr>
            </w:pPr>
            <w:r>
              <w:rPr>
                <w:spacing w:val="-2"/>
                <w:w w:val="105"/>
                <w:sz w:val="16"/>
              </w:rPr>
              <w:t>491.010</w:t>
            </w:r>
          </w:p>
        </w:tc>
        <w:tc>
          <w:tcPr>
            <w:tcW w:w="941" w:type="dxa"/>
          </w:tcPr>
          <w:p w14:paraId="7A7F86F4" w14:textId="77777777" w:rsidR="002C6574" w:rsidRDefault="00000000">
            <w:pPr>
              <w:pStyle w:val="TableParagraph"/>
              <w:spacing w:before="160" w:line="188" w:lineRule="exact"/>
              <w:ind w:right="59"/>
              <w:rPr>
                <w:sz w:val="16"/>
              </w:rPr>
            </w:pPr>
            <w:r>
              <w:rPr>
                <w:spacing w:val="-2"/>
                <w:w w:val="105"/>
                <w:sz w:val="16"/>
              </w:rPr>
              <w:t>415.837</w:t>
            </w:r>
          </w:p>
        </w:tc>
      </w:tr>
    </w:tbl>
    <w:p w14:paraId="21CE41FC" w14:textId="77777777" w:rsidR="002C6574" w:rsidRDefault="002C6574">
      <w:pPr>
        <w:pStyle w:val="Corpodetexto"/>
        <w:spacing w:before="41"/>
        <w:rPr>
          <w:rFonts w:ascii="Arial"/>
          <w:b/>
        </w:rPr>
      </w:pPr>
    </w:p>
    <w:p w14:paraId="00C62389" w14:textId="77777777" w:rsidR="002C6574" w:rsidRDefault="00000000">
      <w:pPr>
        <w:pStyle w:val="PargrafodaLista"/>
        <w:numPr>
          <w:ilvl w:val="2"/>
          <w:numId w:val="27"/>
        </w:numPr>
        <w:tabs>
          <w:tab w:val="left" w:pos="990"/>
        </w:tabs>
        <w:ind w:left="990" w:hanging="847"/>
        <w:rPr>
          <w:rFonts w:ascii="Arial" w:hAnsi="Arial"/>
          <w:b/>
        </w:rPr>
      </w:pPr>
      <w:r>
        <w:rPr>
          <w:rFonts w:ascii="Arial" w:hAnsi="Arial"/>
          <w:b/>
        </w:rPr>
        <w:t>Conciliação</w:t>
      </w:r>
      <w:r>
        <w:rPr>
          <w:rFonts w:ascii="Arial" w:hAnsi="Arial"/>
          <w:b/>
          <w:spacing w:val="-6"/>
        </w:rPr>
        <w:t xml:space="preserve"> </w:t>
      </w:r>
      <w:r>
        <w:rPr>
          <w:rFonts w:ascii="Arial" w:hAnsi="Arial"/>
          <w:b/>
        </w:rPr>
        <w:t>da</w:t>
      </w:r>
      <w:r>
        <w:rPr>
          <w:rFonts w:ascii="Arial" w:hAnsi="Arial"/>
          <w:b/>
          <w:spacing w:val="-5"/>
        </w:rPr>
        <w:t xml:space="preserve"> </w:t>
      </w:r>
      <w:r>
        <w:rPr>
          <w:rFonts w:ascii="Arial" w:hAnsi="Arial"/>
          <w:b/>
        </w:rPr>
        <w:t>Obrigação</w:t>
      </w:r>
      <w:r>
        <w:rPr>
          <w:rFonts w:ascii="Arial" w:hAnsi="Arial"/>
          <w:b/>
          <w:spacing w:val="-3"/>
        </w:rPr>
        <w:t xml:space="preserve"> </w:t>
      </w:r>
      <w:r>
        <w:rPr>
          <w:rFonts w:ascii="Arial" w:hAnsi="Arial"/>
          <w:b/>
          <w:spacing w:val="-2"/>
        </w:rPr>
        <w:t>Atuarial</w:t>
      </w:r>
    </w:p>
    <w:p w14:paraId="4C4E0115" w14:textId="77777777" w:rsidR="002C6574" w:rsidRDefault="002C6574">
      <w:pPr>
        <w:pStyle w:val="Corpodetexto"/>
        <w:spacing w:before="59"/>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2"/>
        <w:gridCol w:w="1092"/>
        <w:gridCol w:w="1092"/>
        <w:gridCol w:w="1092"/>
        <w:gridCol w:w="1092"/>
        <w:gridCol w:w="1003"/>
        <w:gridCol w:w="957"/>
      </w:tblGrid>
      <w:tr w:rsidR="002C6574" w14:paraId="2B2B3670" w14:textId="77777777">
        <w:trPr>
          <w:trHeight w:val="302"/>
        </w:trPr>
        <w:tc>
          <w:tcPr>
            <w:tcW w:w="3442" w:type="dxa"/>
            <w:vMerge w:val="restart"/>
            <w:shd w:val="clear" w:color="auto" w:fill="BFBFBF"/>
          </w:tcPr>
          <w:p w14:paraId="678C52F3" w14:textId="77777777" w:rsidR="002C6574" w:rsidRDefault="002C6574">
            <w:pPr>
              <w:pStyle w:val="TableParagraph"/>
              <w:spacing w:before="90"/>
              <w:jc w:val="left"/>
              <w:rPr>
                <w:rFonts w:ascii="Arial"/>
                <w:b/>
                <w:sz w:val="16"/>
              </w:rPr>
            </w:pPr>
          </w:p>
          <w:p w14:paraId="0D573528" w14:textId="77777777" w:rsidR="002C6574" w:rsidRDefault="00000000">
            <w:pPr>
              <w:pStyle w:val="TableParagraph"/>
              <w:ind w:left="69"/>
              <w:jc w:val="left"/>
              <w:rPr>
                <w:rFonts w:ascii="Arial" w:hAnsi="Arial"/>
                <w:b/>
                <w:sz w:val="16"/>
              </w:rPr>
            </w:pPr>
            <w:r>
              <w:rPr>
                <w:rFonts w:ascii="Arial" w:hAnsi="Arial"/>
                <w:b/>
                <w:spacing w:val="-2"/>
                <w:sz w:val="16"/>
              </w:rPr>
              <w:t>Composição:</w:t>
            </w:r>
          </w:p>
        </w:tc>
        <w:tc>
          <w:tcPr>
            <w:tcW w:w="2184" w:type="dxa"/>
            <w:gridSpan w:val="2"/>
          </w:tcPr>
          <w:p w14:paraId="659F0331" w14:textId="77777777" w:rsidR="002C6574" w:rsidRDefault="00000000">
            <w:pPr>
              <w:pStyle w:val="TableParagraph"/>
              <w:spacing w:before="58"/>
              <w:ind w:left="56"/>
              <w:jc w:val="center"/>
              <w:rPr>
                <w:rFonts w:ascii="Arial"/>
                <w:b/>
                <w:sz w:val="16"/>
              </w:rPr>
            </w:pPr>
            <w:r>
              <w:rPr>
                <w:rFonts w:ascii="Arial"/>
                <w:b/>
                <w:spacing w:val="-2"/>
                <w:sz w:val="16"/>
              </w:rPr>
              <w:t>PBS-</w:t>
            </w:r>
            <w:r>
              <w:rPr>
                <w:rFonts w:ascii="Arial"/>
                <w:b/>
                <w:spacing w:val="-10"/>
                <w:sz w:val="16"/>
              </w:rPr>
              <w:t>A</w:t>
            </w:r>
          </w:p>
        </w:tc>
        <w:tc>
          <w:tcPr>
            <w:tcW w:w="2184" w:type="dxa"/>
            <w:gridSpan w:val="2"/>
          </w:tcPr>
          <w:p w14:paraId="204A4977" w14:textId="77777777" w:rsidR="002C6574" w:rsidRDefault="00000000">
            <w:pPr>
              <w:pStyle w:val="TableParagraph"/>
              <w:spacing w:before="58"/>
              <w:ind w:left="592"/>
              <w:jc w:val="left"/>
              <w:rPr>
                <w:rFonts w:ascii="Arial"/>
                <w:b/>
                <w:sz w:val="16"/>
              </w:rPr>
            </w:pPr>
            <w:r>
              <w:rPr>
                <w:rFonts w:ascii="Arial"/>
                <w:b/>
                <w:spacing w:val="-2"/>
                <w:sz w:val="16"/>
              </w:rPr>
              <w:t>PBS-Telebras</w:t>
            </w:r>
          </w:p>
        </w:tc>
        <w:tc>
          <w:tcPr>
            <w:tcW w:w="1960" w:type="dxa"/>
            <w:gridSpan w:val="2"/>
          </w:tcPr>
          <w:p w14:paraId="5CF12BD3" w14:textId="77777777" w:rsidR="002C6574" w:rsidRDefault="00000000">
            <w:pPr>
              <w:pStyle w:val="TableParagraph"/>
              <w:spacing w:before="58"/>
              <w:ind w:left="431"/>
              <w:jc w:val="left"/>
              <w:rPr>
                <w:rFonts w:ascii="Arial"/>
                <w:b/>
                <w:sz w:val="16"/>
              </w:rPr>
            </w:pPr>
            <w:r>
              <w:rPr>
                <w:rFonts w:ascii="Arial"/>
                <w:b/>
                <w:sz w:val="16"/>
              </w:rPr>
              <w:t>Telebras</w:t>
            </w:r>
            <w:r>
              <w:rPr>
                <w:rFonts w:ascii="Arial"/>
                <w:b/>
                <w:spacing w:val="-3"/>
                <w:sz w:val="16"/>
              </w:rPr>
              <w:t xml:space="preserve"> </w:t>
            </w:r>
            <w:r>
              <w:rPr>
                <w:rFonts w:ascii="Arial"/>
                <w:b/>
                <w:spacing w:val="-4"/>
                <w:sz w:val="16"/>
              </w:rPr>
              <w:t>PREV</w:t>
            </w:r>
          </w:p>
        </w:tc>
      </w:tr>
      <w:tr w:rsidR="002C6574" w14:paraId="3490BCBE" w14:textId="77777777">
        <w:trPr>
          <w:trHeight w:val="419"/>
        </w:trPr>
        <w:tc>
          <w:tcPr>
            <w:tcW w:w="3442" w:type="dxa"/>
            <w:vMerge/>
            <w:tcBorders>
              <w:top w:val="nil"/>
            </w:tcBorders>
            <w:shd w:val="clear" w:color="auto" w:fill="BFBFBF"/>
          </w:tcPr>
          <w:p w14:paraId="33D43909" w14:textId="77777777" w:rsidR="002C6574" w:rsidRDefault="002C6574">
            <w:pPr>
              <w:rPr>
                <w:sz w:val="2"/>
                <w:szCs w:val="2"/>
              </w:rPr>
            </w:pPr>
          </w:p>
        </w:tc>
        <w:tc>
          <w:tcPr>
            <w:tcW w:w="1092" w:type="dxa"/>
          </w:tcPr>
          <w:p w14:paraId="6F9CD9A5" w14:textId="77777777" w:rsidR="002C6574" w:rsidRDefault="00000000">
            <w:pPr>
              <w:pStyle w:val="TableParagraph"/>
              <w:spacing w:before="118"/>
              <w:ind w:left="143"/>
              <w:jc w:val="left"/>
              <w:rPr>
                <w:rFonts w:ascii="Arial"/>
                <w:b/>
                <w:sz w:val="16"/>
              </w:rPr>
            </w:pPr>
            <w:r>
              <w:rPr>
                <w:rFonts w:ascii="Arial"/>
                <w:b/>
                <w:spacing w:val="-2"/>
                <w:sz w:val="16"/>
              </w:rPr>
              <w:t>31/12/2025</w:t>
            </w:r>
          </w:p>
        </w:tc>
        <w:tc>
          <w:tcPr>
            <w:tcW w:w="1092" w:type="dxa"/>
          </w:tcPr>
          <w:p w14:paraId="6F5684CD" w14:textId="77777777" w:rsidR="002C6574" w:rsidRDefault="00000000">
            <w:pPr>
              <w:pStyle w:val="TableParagraph"/>
              <w:spacing w:before="118"/>
              <w:ind w:right="134"/>
              <w:rPr>
                <w:rFonts w:ascii="Arial"/>
                <w:b/>
                <w:sz w:val="16"/>
              </w:rPr>
            </w:pPr>
            <w:r>
              <w:rPr>
                <w:rFonts w:ascii="Arial"/>
                <w:b/>
                <w:spacing w:val="-2"/>
                <w:sz w:val="16"/>
              </w:rPr>
              <w:t>31/12/2024</w:t>
            </w:r>
          </w:p>
        </w:tc>
        <w:tc>
          <w:tcPr>
            <w:tcW w:w="1092" w:type="dxa"/>
          </w:tcPr>
          <w:p w14:paraId="6531A209" w14:textId="77777777" w:rsidR="002C6574" w:rsidRDefault="00000000">
            <w:pPr>
              <w:pStyle w:val="TableParagraph"/>
              <w:spacing w:before="118"/>
              <w:ind w:left="144"/>
              <w:jc w:val="left"/>
              <w:rPr>
                <w:rFonts w:ascii="Arial"/>
                <w:b/>
                <w:sz w:val="16"/>
              </w:rPr>
            </w:pPr>
            <w:r>
              <w:rPr>
                <w:rFonts w:ascii="Arial"/>
                <w:b/>
                <w:spacing w:val="-2"/>
                <w:sz w:val="16"/>
              </w:rPr>
              <w:t>31/12/2025</w:t>
            </w:r>
          </w:p>
        </w:tc>
        <w:tc>
          <w:tcPr>
            <w:tcW w:w="1092" w:type="dxa"/>
          </w:tcPr>
          <w:p w14:paraId="3C220CF6" w14:textId="77777777" w:rsidR="002C6574" w:rsidRDefault="00000000">
            <w:pPr>
              <w:pStyle w:val="TableParagraph"/>
              <w:spacing w:before="118"/>
              <w:ind w:left="144"/>
              <w:jc w:val="left"/>
              <w:rPr>
                <w:rFonts w:ascii="Arial"/>
                <w:b/>
                <w:sz w:val="16"/>
              </w:rPr>
            </w:pPr>
            <w:r>
              <w:rPr>
                <w:rFonts w:ascii="Arial"/>
                <w:b/>
                <w:spacing w:val="-2"/>
                <w:sz w:val="16"/>
              </w:rPr>
              <w:t>31/12/2024</w:t>
            </w:r>
          </w:p>
        </w:tc>
        <w:tc>
          <w:tcPr>
            <w:tcW w:w="1003" w:type="dxa"/>
          </w:tcPr>
          <w:p w14:paraId="0157FD1B" w14:textId="77777777" w:rsidR="002C6574" w:rsidRDefault="00000000">
            <w:pPr>
              <w:pStyle w:val="TableParagraph"/>
              <w:spacing w:before="118"/>
              <w:ind w:right="88"/>
              <w:rPr>
                <w:rFonts w:ascii="Arial"/>
                <w:b/>
                <w:sz w:val="16"/>
              </w:rPr>
            </w:pPr>
            <w:r>
              <w:rPr>
                <w:rFonts w:ascii="Arial"/>
                <w:b/>
                <w:spacing w:val="-2"/>
                <w:sz w:val="16"/>
              </w:rPr>
              <w:t>31/12/2025</w:t>
            </w:r>
          </w:p>
        </w:tc>
        <w:tc>
          <w:tcPr>
            <w:tcW w:w="957" w:type="dxa"/>
          </w:tcPr>
          <w:p w14:paraId="2795B014" w14:textId="77777777" w:rsidR="002C6574" w:rsidRDefault="00000000">
            <w:pPr>
              <w:pStyle w:val="TableParagraph"/>
              <w:spacing w:before="118"/>
              <w:ind w:right="66"/>
              <w:rPr>
                <w:rFonts w:ascii="Arial"/>
                <w:b/>
                <w:sz w:val="16"/>
              </w:rPr>
            </w:pPr>
            <w:r>
              <w:rPr>
                <w:rFonts w:ascii="Arial"/>
                <w:b/>
                <w:spacing w:val="-2"/>
                <w:sz w:val="16"/>
              </w:rPr>
              <w:t>31/12/2024</w:t>
            </w:r>
          </w:p>
        </w:tc>
      </w:tr>
      <w:tr w:rsidR="002C6574" w14:paraId="1005EAAE" w14:textId="77777777">
        <w:trPr>
          <w:trHeight w:val="290"/>
        </w:trPr>
        <w:tc>
          <w:tcPr>
            <w:tcW w:w="3442" w:type="dxa"/>
          </w:tcPr>
          <w:p w14:paraId="2FA5A352" w14:textId="77777777" w:rsidR="002C6574" w:rsidRDefault="00000000">
            <w:pPr>
              <w:pStyle w:val="TableParagraph"/>
              <w:spacing w:before="53"/>
              <w:ind w:left="114"/>
              <w:jc w:val="left"/>
              <w:rPr>
                <w:rFonts w:ascii="Arial" w:hAnsi="Arial"/>
                <w:b/>
                <w:sz w:val="16"/>
              </w:rPr>
            </w:pPr>
            <w:r>
              <w:rPr>
                <w:rFonts w:ascii="Arial" w:hAnsi="Arial"/>
                <w:b/>
                <w:sz w:val="16"/>
              </w:rPr>
              <w:t>1.</w:t>
            </w:r>
            <w:r>
              <w:rPr>
                <w:rFonts w:ascii="Arial" w:hAnsi="Arial"/>
                <w:b/>
                <w:spacing w:val="-3"/>
                <w:sz w:val="16"/>
              </w:rPr>
              <w:t xml:space="preserve"> </w:t>
            </w:r>
            <w:r>
              <w:rPr>
                <w:rFonts w:ascii="Arial" w:hAnsi="Arial"/>
                <w:b/>
                <w:sz w:val="16"/>
              </w:rPr>
              <w:t>Valor</w:t>
            </w:r>
            <w:r>
              <w:rPr>
                <w:rFonts w:ascii="Arial" w:hAnsi="Arial"/>
                <w:b/>
                <w:spacing w:val="-1"/>
                <w:sz w:val="16"/>
              </w:rPr>
              <w:t xml:space="preserve"> </w:t>
            </w:r>
            <w:r>
              <w:rPr>
                <w:rFonts w:ascii="Arial" w:hAnsi="Arial"/>
                <w:b/>
                <w:sz w:val="16"/>
              </w:rPr>
              <w:t>presente</w:t>
            </w:r>
            <w:r>
              <w:rPr>
                <w:rFonts w:ascii="Arial" w:hAnsi="Arial"/>
                <w:b/>
                <w:spacing w:val="-5"/>
                <w:sz w:val="16"/>
              </w:rPr>
              <w:t xml:space="preserve"> </w:t>
            </w:r>
            <w:r>
              <w:rPr>
                <w:rFonts w:ascii="Arial" w:hAnsi="Arial"/>
                <w:b/>
                <w:sz w:val="16"/>
              </w:rPr>
              <w:t>da</w:t>
            </w:r>
            <w:r>
              <w:rPr>
                <w:rFonts w:ascii="Arial" w:hAnsi="Arial"/>
                <w:b/>
                <w:spacing w:val="-3"/>
                <w:sz w:val="16"/>
              </w:rPr>
              <w:t xml:space="preserve"> </w:t>
            </w:r>
            <w:r>
              <w:rPr>
                <w:rFonts w:ascii="Arial" w:hAnsi="Arial"/>
                <w:b/>
                <w:sz w:val="16"/>
              </w:rPr>
              <w:t>obrigação</w:t>
            </w:r>
            <w:r>
              <w:rPr>
                <w:rFonts w:ascii="Arial" w:hAnsi="Arial"/>
                <w:b/>
                <w:spacing w:val="-3"/>
                <w:sz w:val="16"/>
              </w:rPr>
              <w:t xml:space="preserve"> </w:t>
            </w:r>
            <w:r>
              <w:rPr>
                <w:rFonts w:ascii="Arial" w:hAnsi="Arial"/>
                <w:b/>
                <w:spacing w:val="-2"/>
                <w:sz w:val="16"/>
              </w:rPr>
              <w:t>atuarial</w:t>
            </w:r>
          </w:p>
        </w:tc>
        <w:tc>
          <w:tcPr>
            <w:tcW w:w="1092" w:type="dxa"/>
          </w:tcPr>
          <w:p w14:paraId="00775E44" w14:textId="77777777" w:rsidR="002C6574" w:rsidRDefault="00000000">
            <w:pPr>
              <w:pStyle w:val="TableParagraph"/>
              <w:spacing w:before="53"/>
              <w:ind w:right="57"/>
              <w:rPr>
                <w:rFonts w:ascii="Arial"/>
                <w:b/>
                <w:sz w:val="16"/>
              </w:rPr>
            </w:pPr>
            <w:r>
              <w:rPr>
                <w:rFonts w:ascii="Arial"/>
                <w:b/>
                <w:spacing w:val="-2"/>
                <w:sz w:val="16"/>
              </w:rPr>
              <w:t>508.486</w:t>
            </w:r>
          </w:p>
        </w:tc>
        <w:tc>
          <w:tcPr>
            <w:tcW w:w="1092" w:type="dxa"/>
          </w:tcPr>
          <w:p w14:paraId="7E680DE2" w14:textId="77777777" w:rsidR="002C6574" w:rsidRDefault="00000000">
            <w:pPr>
              <w:pStyle w:val="TableParagraph"/>
              <w:spacing w:before="53"/>
              <w:ind w:right="57"/>
              <w:rPr>
                <w:rFonts w:ascii="Arial"/>
                <w:b/>
                <w:sz w:val="16"/>
              </w:rPr>
            </w:pPr>
            <w:r>
              <w:rPr>
                <w:rFonts w:ascii="Arial"/>
                <w:b/>
                <w:spacing w:val="-2"/>
                <w:sz w:val="16"/>
              </w:rPr>
              <w:t>592.165</w:t>
            </w:r>
          </w:p>
        </w:tc>
        <w:tc>
          <w:tcPr>
            <w:tcW w:w="1092" w:type="dxa"/>
          </w:tcPr>
          <w:p w14:paraId="78E9A1FB" w14:textId="77777777" w:rsidR="002C6574" w:rsidRDefault="00000000">
            <w:pPr>
              <w:pStyle w:val="TableParagraph"/>
              <w:spacing w:before="53"/>
              <w:ind w:right="57"/>
              <w:rPr>
                <w:rFonts w:ascii="Arial"/>
                <w:b/>
                <w:sz w:val="16"/>
              </w:rPr>
            </w:pPr>
            <w:r>
              <w:rPr>
                <w:rFonts w:ascii="Arial"/>
                <w:b/>
                <w:spacing w:val="-2"/>
                <w:sz w:val="16"/>
              </w:rPr>
              <w:t>194.180</w:t>
            </w:r>
          </w:p>
        </w:tc>
        <w:tc>
          <w:tcPr>
            <w:tcW w:w="1092" w:type="dxa"/>
          </w:tcPr>
          <w:p w14:paraId="35F80628" w14:textId="77777777" w:rsidR="002C6574" w:rsidRDefault="00000000">
            <w:pPr>
              <w:pStyle w:val="TableParagraph"/>
              <w:spacing w:before="53"/>
              <w:ind w:right="57"/>
              <w:rPr>
                <w:rFonts w:ascii="Arial"/>
                <w:b/>
                <w:sz w:val="16"/>
              </w:rPr>
            </w:pPr>
            <w:r>
              <w:rPr>
                <w:rFonts w:ascii="Arial"/>
                <w:b/>
                <w:spacing w:val="-2"/>
                <w:sz w:val="16"/>
              </w:rPr>
              <w:t>218.276</w:t>
            </w:r>
          </w:p>
        </w:tc>
        <w:tc>
          <w:tcPr>
            <w:tcW w:w="1003" w:type="dxa"/>
          </w:tcPr>
          <w:p w14:paraId="0710FCA2" w14:textId="77777777" w:rsidR="002C6574" w:rsidRDefault="00000000">
            <w:pPr>
              <w:pStyle w:val="TableParagraph"/>
              <w:spacing w:before="53"/>
              <w:ind w:right="57"/>
              <w:rPr>
                <w:rFonts w:ascii="Arial"/>
                <w:b/>
                <w:sz w:val="16"/>
              </w:rPr>
            </w:pPr>
            <w:r>
              <w:rPr>
                <w:rFonts w:ascii="Arial"/>
                <w:b/>
                <w:spacing w:val="-2"/>
                <w:sz w:val="16"/>
              </w:rPr>
              <w:t>346.585</w:t>
            </w:r>
          </w:p>
        </w:tc>
        <w:tc>
          <w:tcPr>
            <w:tcW w:w="957" w:type="dxa"/>
          </w:tcPr>
          <w:p w14:paraId="31B88CFF" w14:textId="77777777" w:rsidR="002C6574" w:rsidRDefault="00000000">
            <w:pPr>
              <w:pStyle w:val="TableParagraph"/>
              <w:spacing w:before="53"/>
              <w:ind w:right="57"/>
              <w:rPr>
                <w:rFonts w:ascii="Arial"/>
                <w:b/>
                <w:sz w:val="16"/>
              </w:rPr>
            </w:pPr>
            <w:r>
              <w:rPr>
                <w:rFonts w:ascii="Arial"/>
                <w:b/>
                <w:spacing w:val="-2"/>
                <w:sz w:val="16"/>
              </w:rPr>
              <w:t>384.260</w:t>
            </w:r>
          </w:p>
        </w:tc>
      </w:tr>
      <w:tr w:rsidR="002C6574" w14:paraId="3502C1E0" w14:textId="77777777">
        <w:trPr>
          <w:trHeight w:val="290"/>
        </w:trPr>
        <w:tc>
          <w:tcPr>
            <w:tcW w:w="3442" w:type="dxa"/>
          </w:tcPr>
          <w:p w14:paraId="4E08D918" w14:textId="77777777" w:rsidR="002C6574" w:rsidRDefault="00000000">
            <w:pPr>
              <w:pStyle w:val="TableParagraph"/>
              <w:spacing w:before="31"/>
              <w:ind w:left="114"/>
              <w:jc w:val="left"/>
              <w:rPr>
                <w:sz w:val="16"/>
              </w:rPr>
            </w:pPr>
            <w:r>
              <w:rPr>
                <w:w w:val="105"/>
                <w:sz w:val="16"/>
              </w:rPr>
              <w:t>2.</w:t>
            </w:r>
            <w:r>
              <w:rPr>
                <w:spacing w:val="-7"/>
                <w:w w:val="105"/>
                <w:sz w:val="16"/>
              </w:rPr>
              <w:t xml:space="preserve"> </w:t>
            </w:r>
            <w:r>
              <w:rPr>
                <w:w w:val="105"/>
                <w:sz w:val="16"/>
              </w:rPr>
              <w:t>Custo</w:t>
            </w:r>
            <w:r>
              <w:rPr>
                <w:spacing w:val="-8"/>
                <w:w w:val="105"/>
                <w:sz w:val="16"/>
              </w:rPr>
              <w:t xml:space="preserve"> </w:t>
            </w:r>
            <w:r>
              <w:rPr>
                <w:w w:val="105"/>
                <w:sz w:val="16"/>
              </w:rPr>
              <w:t>dos</w:t>
            </w:r>
            <w:r>
              <w:rPr>
                <w:spacing w:val="-7"/>
                <w:w w:val="105"/>
                <w:sz w:val="16"/>
              </w:rPr>
              <w:t xml:space="preserve"> </w:t>
            </w:r>
            <w:r>
              <w:rPr>
                <w:spacing w:val="-2"/>
                <w:w w:val="105"/>
                <w:sz w:val="16"/>
              </w:rPr>
              <w:t>juros</w:t>
            </w:r>
          </w:p>
        </w:tc>
        <w:tc>
          <w:tcPr>
            <w:tcW w:w="1092" w:type="dxa"/>
          </w:tcPr>
          <w:p w14:paraId="447D5D49" w14:textId="77777777" w:rsidR="002C6574" w:rsidRDefault="00000000">
            <w:pPr>
              <w:pStyle w:val="TableParagraph"/>
              <w:spacing w:before="31"/>
              <w:ind w:right="57"/>
              <w:rPr>
                <w:sz w:val="16"/>
              </w:rPr>
            </w:pPr>
            <w:r>
              <w:rPr>
                <w:spacing w:val="-2"/>
                <w:w w:val="105"/>
                <w:sz w:val="16"/>
              </w:rPr>
              <w:t>65.595</w:t>
            </w:r>
          </w:p>
        </w:tc>
        <w:tc>
          <w:tcPr>
            <w:tcW w:w="1092" w:type="dxa"/>
          </w:tcPr>
          <w:p w14:paraId="1870A51F" w14:textId="77777777" w:rsidR="002C6574" w:rsidRDefault="00000000">
            <w:pPr>
              <w:pStyle w:val="TableParagraph"/>
              <w:spacing w:before="31"/>
              <w:ind w:right="57"/>
              <w:rPr>
                <w:sz w:val="16"/>
              </w:rPr>
            </w:pPr>
            <w:r>
              <w:rPr>
                <w:spacing w:val="-2"/>
                <w:w w:val="105"/>
                <w:sz w:val="16"/>
              </w:rPr>
              <w:t>55.190</w:t>
            </w:r>
          </w:p>
        </w:tc>
        <w:tc>
          <w:tcPr>
            <w:tcW w:w="1092" w:type="dxa"/>
          </w:tcPr>
          <w:p w14:paraId="347B4372" w14:textId="77777777" w:rsidR="002C6574" w:rsidRDefault="00000000">
            <w:pPr>
              <w:pStyle w:val="TableParagraph"/>
              <w:spacing w:before="31"/>
              <w:ind w:right="57"/>
              <w:rPr>
                <w:sz w:val="16"/>
              </w:rPr>
            </w:pPr>
            <w:r>
              <w:rPr>
                <w:spacing w:val="-2"/>
                <w:w w:val="105"/>
                <w:sz w:val="16"/>
              </w:rPr>
              <w:t>24.873</w:t>
            </w:r>
          </w:p>
        </w:tc>
        <w:tc>
          <w:tcPr>
            <w:tcW w:w="1092" w:type="dxa"/>
          </w:tcPr>
          <w:p w14:paraId="77D73431" w14:textId="77777777" w:rsidR="002C6574" w:rsidRDefault="00000000">
            <w:pPr>
              <w:pStyle w:val="TableParagraph"/>
              <w:spacing w:before="31"/>
              <w:ind w:right="57"/>
              <w:rPr>
                <w:sz w:val="16"/>
              </w:rPr>
            </w:pPr>
            <w:r>
              <w:rPr>
                <w:spacing w:val="-2"/>
                <w:w w:val="105"/>
                <w:sz w:val="16"/>
              </w:rPr>
              <w:t>20.578</w:t>
            </w:r>
          </w:p>
        </w:tc>
        <w:tc>
          <w:tcPr>
            <w:tcW w:w="1003" w:type="dxa"/>
          </w:tcPr>
          <w:p w14:paraId="15FA3C75" w14:textId="77777777" w:rsidR="002C6574" w:rsidRDefault="00000000">
            <w:pPr>
              <w:pStyle w:val="TableParagraph"/>
              <w:spacing w:before="31"/>
              <w:ind w:right="57"/>
              <w:rPr>
                <w:sz w:val="16"/>
              </w:rPr>
            </w:pPr>
            <w:r>
              <w:rPr>
                <w:spacing w:val="-2"/>
                <w:w w:val="105"/>
                <w:sz w:val="16"/>
              </w:rPr>
              <w:t>44.396</w:t>
            </w:r>
          </w:p>
        </w:tc>
        <w:tc>
          <w:tcPr>
            <w:tcW w:w="957" w:type="dxa"/>
          </w:tcPr>
          <w:p w14:paraId="3BEE0356" w14:textId="77777777" w:rsidR="002C6574" w:rsidRDefault="00000000">
            <w:pPr>
              <w:pStyle w:val="TableParagraph"/>
              <w:spacing w:before="31"/>
              <w:ind w:right="57"/>
              <w:rPr>
                <w:sz w:val="16"/>
              </w:rPr>
            </w:pPr>
            <w:r>
              <w:rPr>
                <w:spacing w:val="-2"/>
                <w:w w:val="105"/>
                <w:sz w:val="16"/>
              </w:rPr>
              <w:t>36.226</w:t>
            </w:r>
          </w:p>
        </w:tc>
      </w:tr>
      <w:tr w:rsidR="002C6574" w14:paraId="4DE2BCC2" w14:textId="77777777">
        <w:trPr>
          <w:trHeight w:val="290"/>
        </w:trPr>
        <w:tc>
          <w:tcPr>
            <w:tcW w:w="3442" w:type="dxa"/>
          </w:tcPr>
          <w:p w14:paraId="45D47ABA" w14:textId="77777777" w:rsidR="002C6574" w:rsidRDefault="00000000">
            <w:pPr>
              <w:pStyle w:val="TableParagraph"/>
              <w:spacing w:before="31"/>
              <w:ind w:left="114"/>
              <w:jc w:val="left"/>
              <w:rPr>
                <w:sz w:val="16"/>
              </w:rPr>
            </w:pPr>
            <w:r>
              <w:rPr>
                <w:spacing w:val="-2"/>
                <w:w w:val="105"/>
                <w:sz w:val="16"/>
              </w:rPr>
              <w:t>3. Custo</w:t>
            </w:r>
            <w:r>
              <w:rPr>
                <w:spacing w:val="-3"/>
                <w:w w:val="105"/>
                <w:sz w:val="16"/>
              </w:rPr>
              <w:t xml:space="preserve"> </w:t>
            </w:r>
            <w:r>
              <w:rPr>
                <w:spacing w:val="-2"/>
                <w:w w:val="105"/>
                <w:sz w:val="16"/>
              </w:rPr>
              <w:t>do</w:t>
            </w:r>
            <w:r>
              <w:rPr>
                <w:spacing w:val="-5"/>
                <w:w w:val="105"/>
                <w:sz w:val="16"/>
              </w:rPr>
              <w:t xml:space="preserve"> </w:t>
            </w:r>
            <w:r>
              <w:rPr>
                <w:spacing w:val="-2"/>
                <w:w w:val="105"/>
                <w:sz w:val="16"/>
              </w:rPr>
              <w:t>serviço</w:t>
            </w:r>
            <w:r>
              <w:rPr>
                <w:spacing w:val="-5"/>
                <w:w w:val="105"/>
                <w:sz w:val="16"/>
              </w:rPr>
              <w:t xml:space="preserve"> </w:t>
            </w:r>
            <w:r>
              <w:rPr>
                <w:spacing w:val="-2"/>
                <w:w w:val="105"/>
                <w:sz w:val="16"/>
              </w:rPr>
              <w:t>corrente</w:t>
            </w:r>
          </w:p>
        </w:tc>
        <w:tc>
          <w:tcPr>
            <w:tcW w:w="1092" w:type="dxa"/>
          </w:tcPr>
          <w:p w14:paraId="03750EEF" w14:textId="77777777" w:rsidR="002C6574" w:rsidRDefault="00000000">
            <w:pPr>
              <w:pStyle w:val="TableParagraph"/>
              <w:spacing w:before="31"/>
              <w:ind w:right="58"/>
              <w:rPr>
                <w:sz w:val="16"/>
              </w:rPr>
            </w:pPr>
            <w:r>
              <w:rPr>
                <w:spacing w:val="-10"/>
                <w:w w:val="95"/>
                <w:sz w:val="16"/>
              </w:rPr>
              <w:t>-</w:t>
            </w:r>
          </w:p>
        </w:tc>
        <w:tc>
          <w:tcPr>
            <w:tcW w:w="1092" w:type="dxa"/>
          </w:tcPr>
          <w:p w14:paraId="3CCAA6BD" w14:textId="77777777" w:rsidR="002C6574" w:rsidRDefault="00000000">
            <w:pPr>
              <w:pStyle w:val="TableParagraph"/>
              <w:spacing w:before="31"/>
              <w:ind w:right="56"/>
              <w:rPr>
                <w:sz w:val="16"/>
              </w:rPr>
            </w:pPr>
            <w:r>
              <w:rPr>
                <w:spacing w:val="-10"/>
                <w:w w:val="95"/>
                <w:sz w:val="16"/>
              </w:rPr>
              <w:t>-</w:t>
            </w:r>
          </w:p>
        </w:tc>
        <w:tc>
          <w:tcPr>
            <w:tcW w:w="1092" w:type="dxa"/>
          </w:tcPr>
          <w:p w14:paraId="456B782D" w14:textId="77777777" w:rsidR="002C6574" w:rsidRDefault="00000000">
            <w:pPr>
              <w:pStyle w:val="TableParagraph"/>
              <w:spacing w:before="31"/>
              <w:ind w:right="56"/>
              <w:rPr>
                <w:sz w:val="16"/>
              </w:rPr>
            </w:pPr>
            <w:r>
              <w:rPr>
                <w:spacing w:val="-10"/>
                <w:w w:val="95"/>
                <w:sz w:val="16"/>
              </w:rPr>
              <w:t>-</w:t>
            </w:r>
          </w:p>
        </w:tc>
        <w:tc>
          <w:tcPr>
            <w:tcW w:w="1092" w:type="dxa"/>
          </w:tcPr>
          <w:p w14:paraId="46EE362E" w14:textId="77777777" w:rsidR="002C6574" w:rsidRDefault="00000000">
            <w:pPr>
              <w:pStyle w:val="TableParagraph"/>
              <w:spacing w:before="31"/>
              <w:ind w:right="56"/>
              <w:rPr>
                <w:sz w:val="16"/>
              </w:rPr>
            </w:pPr>
            <w:r>
              <w:rPr>
                <w:spacing w:val="-10"/>
                <w:w w:val="95"/>
                <w:sz w:val="16"/>
              </w:rPr>
              <w:t>-</w:t>
            </w:r>
          </w:p>
        </w:tc>
        <w:tc>
          <w:tcPr>
            <w:tcW w:w="1003" w:type="dxa"/>
          </w:tcPr>
          <w:p w14:paraId="3BA168C4" w14:textId="77777777" w:rsidR="002C6574" w:rsidRDefault="00000000">
            <w:pPr>
              <w:pStyle w:val="TableParagraph"/>
              <w:spacing w:before="31"/>
              <w:ind w:right="57"/>
              <w:rPr>
                <w:sz w:val="16"/>
              </w:rPr>
            </w:pPr>
            <w:r>
              <w:rPr>
                <w:spacing w:val="-5"/>
                <w:w w:val="105"/>
                <w:sz w:val="16"/>
              </w:rPr>
              <w:t>523</w:t>
            </w:r>
          </w:p>
        </w:tc>
        <w:tc>
          <w:tcPr>
            <w:tcW w:w="957" w:type="dxa"/>
          </w:tcPr>
          <w:p w14:paraId="3A3CE9D1" w14:textId="77777777" w:rsidR="002C6574" w:rsidRDefault="00000000">
            <w:pPr>
              <w:pStyle w:val="TableParagraph"/>
              <w:spacing w:before="31"/>
              <w:ind w:right="56"/>
              <w:rPr>
                <w:sz w:val="16"/>
              </w:rPr>
            </w:pPr>
            <w:r>
              <w:rPr>
                <w:spacing w:val="-5"/>
                <w:w w:val="105"/>
                <w:sz w:val="16"/>
              </w:rPr>
              <w:t>514</w:t>
            </w:r>
          </w:p>
        </w:tc>
      </w:tr>
      <w:tr w:rsidR="002C6574" w14:paraId="3115C3AC" w14:textId="77777777">
        <w:trPr>
          <w:trHeight w:val="290"/>
        </w:trPr>
        <w:tc>
          <w:tcPr>
            <w:tcW w:w="3442" w:type="dxa"/>
          </w:tcPr>
          <w:p w14:paraId="0E704369" w14:textId="77777777" w:rsidR="002C6574" w:rsidRDefault="00000000">
            <w:pPr>
              <w:pStyle w:val="TableParagraph"/>
              <w:spacing w:before="31"/>
              <w:ind w:left="114"/>
              <w:jc w:val="left"/>
              <w:rPr>
                <w:sz w:val="16"/>
              </w:rPr>
            </w:pPr>
            <w:r>
              <w:rPr>
                <w:sz w:val="16"/>
              </w:rPr>
              <w:t>4.</w:t>
            </w:r>
            <w:r>
              <w:rPr>
                <w:spacing w:val="8"/>
                <w:sz w:val="16"/>
              </w:rPr>
              <w:t xml:space="preserve"> </w:t>
            </w:r>
            <w:r>
              <w:rPr>
                <w:sz w:val="16"/>
              </w:rPr>
              <w:t>Benefícios</w:t>
            </w:r>
            <w:r>
              <w:rPr>
                <w:spacing w:val="8"/>
                <w:sz w:val="16"/>
              </w:rPr>
              <w:t xml:space="preserve"> </w:t>
            </w:r>
            <w:r>
              <w:rPr>
                <w:sz w:val="16"/>
              </w:rPr>
              <w:t>pagos</w:t>
            </w:r>
            <w:r>
              <w:rPr>
                <w:spacing w:val="11"/>
                <w:sz w:val="16"/>
              </w:rPr>
              <w:t xml:space="preserve"> </w:t>
            </w:r>
            <w:r>
              <w:rPr>
                <w:sz w:val="16"/>
              </w:rPr>
              <w:t>pelo</w:t>
            </w:r>
            <w:r>
              <w:rPr>
                <w:spacing w:val="7"/>
                <w:sz w:val="16"/>
              </w:rPr>
              <w:t xml:space="preserve"> </w:t>
            </w:r>
            <w:r>
              <w:rPr>
                <w:spacing w:val="-4"/>
                <w:sz w:val="16"/>
              </w:rPr>
              <w:t>fundo</w:t>
            </w:r>
          </w:p>
        </w:tc>
        <w:tc>
          <w:tcPr>
            <w:tcW w:w="1092" w:type="dxa"/>
          </w:tcPr>
          <w:p w14:paraId="03D6B9F6" w14:textId="77777777" w:rsidR="002C6574" w:rsidRDefault="00000000">
            <w:pPr>
              <w:pStyle w:val="TableParagraph"/>
              <w:spacing w:before="31"/>
              <w:ind w:right="57"/>
              <w:rPr>
                <w:sz w:val="16"/>
              </w:rPr>
            </w:pPr>
            <w:r>
              <w:rPr>
                <w:spacing w:val="-2"/>
                <w:w w:val="110"/>
                <w:sz w:val="16"/>
              </w:rPr>
              <w:t>(56.458)</w:t>
            </w:r>
          </w:p>
        </w:tc>
        <w:tc>
          <w:tcPr>
            <w:tcW w:w="1092" w:type="dxa"/>
          </w:tcPr>
          <w:p w14:paraId="5FA8C94A" w14:textId="77777777" w:rsidR="002C6574" w:rsidRDefault="00000000">
            <w:pPr>
              <w:pStyle w:val="TableParagraph"/>
              <w:spacing w:before="31"/>
              <w:ind w:right="58"/>
              <w:rPr>
                <w:sz w:val="16"/>
              </w:rPr>
            </w:pPr>
            <w:r>
              <w:rPr>
                <w:spacing w:val="-2"/>
                <w:w w:val="110"/>
                <w:sz w:val="16"/>
              </w:rPr>
              <w:t>(55.905)</w:t>
            </w:r>
          </w:p>
        </w:tc>
        <w:tc>
          <w:tcPr>
            <w:tcW w:w="1092" w:type="dxa"/>
          </w:tcPr>
          <w:p w14:paraId="693EFB30" w14:textId="77777777" w:rsidR="002C6574" w:rsidRDefault="00000000">
            <w:pPr>
              <w:pStyle w:val="TableParagraph"/>
              <w:spacing w:before="31"/>
              <w:ind w:right="58"/>
              <w:rPr>
                <w:sz w:val="16"/>
              </w:rPr>
            </w:pPr>
            <w:r>
              <w:rPr>
                <w:spacing w:val="-2"/>
                <w:w w:val="110"/>
                <w:sz w:val="16"/>
              </w:rPr>
              <w:t>(17.412)</w:t>
            </w:r>
          </w:p>
        </w:tc>
        <w:tc>
          <w:tcPr>
            <w:tcW w:w="1092" w:type="dxa"/>
          </w:tcPr>
          <w:p w14:paraId="30376270" w14:textId="77777777" w:rsidR="002C6574" w:rsidRDefault="00000000">
            <w:pPr>
              <w:pStyle w:val="TableParagraph"/>
              <w:spacing w:before="31"/>
              <w:ind w:right="58"/>
              <w:rPr>
                <w:sz w:val="16"/>
              </w:rPr>
            </w:pPr>
            <w:r>
              <w:rPr>
                <w:spacing w:val="-2"/>
                <w:w w:val="110"/>
                <w:sz w:val="16"/>
              </w:rPr>
              <w:t>(16.307)</w:t>
            </w:r>
          </w:p>
        </w:tc>
        <w:tc>
          <w:tcPr>
            <w:tcW w:w="1003" w:type="dxa"/>
          </w:tcPr>
          <w:p w14:paraId="57C84225" w14:textId="77777777" w:rsidR="002C6574" w:rsidRDefault="00000000">
            <w:pPr>
              <w:pStyle w:val="TableParagraph"/>
              <w:spacing w:before="31"/>
              <w:ind w:right="55"/>
              <w:rPr>
                <w:sz w:val="16"/>
              </w:rPr>
            </w:pPr>
            <w:r>
              <w:rPr>
                <w:spacing w:val="-2"/>
                <w:w w:val="110"/>
                <w:sz w:val="16"/>
              </w:rPr>
              <w:t>(33.822)</w:t>
            </w:r>
          </w:p>
        </w:tc>
        <w:tc>
          <w:tcPr>
            <w:tcW w:w="957" w:type="dxa"/>
          </w:tcPr>
          <w:p w14:paraId="389E6F04" w14:textId="77777777" w:rsidR="002C6574" w:rsidRDefault="00000000">
            <w:pPr>
              <w:pStyle w:val="TableParagraph"/>
              <w:spacing w:before="31"/>
              <w:ind w:right="54"/>
              <w:rPr>
                <w:sz w:val="16"/>
              </w:rPr>
            </w:pPr>
            <w:r>
              <w:rPr>
                <w:spacing w:val="-2"/>
                <w:w w:val="110"/>
                <w:sz w:val="16"/>
              </w:rPr>
              <w:t>(36.460)</w:t>
            </w:r>
          </w:p>
        </w:tc>
      </w:tr>
      <w:tr w:rsidR="002C6574" w14:paraId="5C6B56AB" w14:textId="77777777">
        <w:trPr>
          <w:trHeight w:val="366"/>
        </w:trPr>
        <w:tc>
          <w:tcPr>
            <w:tcW w:w="3442" w:type="dxa"/>
          </w:tcPr>
          <w:p w14:paraId="2B006172" w14:textId="77777777" w:rsidR="002C6574" w:rsidRDefault="00000000">
            <w:pPr>
              <w:pStyle w:val="TableParagraph"/>
              <w:spacing w:line="182" w:lineRule="exact"/>
              <w:ind w:left="69" w:right="27" w:firstLine="44"/>
              <w:jc w:val="left"/>
              <w:rPr>
                <w:sz w:val="16"/>
              </w:rPr>
            </w:pPr>
            <w:r>
              <w:rPr>
                <w:spacing w:val="-2"/>
                <w:w w:val="105"/>
                <w:sz w:val="16"/>
              </w:rPr>
              <w:t>5.</w:t>
            </w:r>
            <w:r>
              <w:rPr>
                <w:spacing w:val="-5"/>
                <w:w w:val="105"/>
                <w:sz w:val="16"/>
              </w:rPr>
              <w:t xml:space="preserve"> </w:t>
            </w:r>
            <w:r>
              <w:rPr>
                <w:spacing w:val="-2"/>
                <w:w w:val="105"/>
                <w:sz w:val="16"/>
              </w:rPr>
              <w:t>(Ganhos)/perdas</w:t>
            </w:r>
            <w:r>
              <w:rPr>
                <w:spacing w:val="-7"/>
                <w:w w:val="105"/>
                <w:sz w:val="16"/>
              </w:rPr>
              <w:t xml:space="preserve"> </w:t>
            </w:r>
            <w:r>
              <w:rPr>
                <w:spacing w:val="-2"/>
                <w:w w:val="105"/>
                <w:sz w:val="16"/>
              </w:rPr>
              <w:t>atuariais</w:t>
            </w:r>
            <w:r>
              <w:rPr>
                <w:spacing w:val="-6"/>
                <w:w w:val="105"/>
                <w:sz w:val="16"/>
              </w:rPr>
              <w:t xml:space="preserve"> </w:t>
            </w:r>
            <w:r>
              <w:rPr>
                <w:spacing w:val="-2"/>
                <w:w w:val="105"/>
                <w:sz w:val="16"/>
              </w:rPr>
              <w:t>sobre</w:t>
            </w:r>
            <w:r>
              <w:rPr>
                <w:spacing w:val="-8"/>
                <w:w w:val="105"/>
                <w:sz w:val="16"/>
              </w:rPr>
              <w:t xml:space="preserve"> </w:t>
            </w:r>
            <w:r>
              <w:rPr>
                <w:spacing w:val="-2"/>
                <w:w w:val="105"/>
                <w:sz w:val="16"/>
              </w:rPr>
              <w:t xml:space="preserve">a </w:t>
            </w:r>
            <w:r>
              <w:rPr>
                <w:w w:val="105"/>
                <w:sz w:val="16"/>
              </w:rPr>
              <w:t>obrigação atuarial</w:t>
            </w:r>
          </w:p>
        </w:tc>
        <w:tc>
          <w:tcPr>
            <w:tcW w:w="1092" w:type="dxa"/>
          </w:tcPr>
          <w:p w14:paraId="48A72296" w14:textId="77777777" w:rsidR="002C6574" w:rsidRDefault="00000000">
            <w:pPr>
              <w:pStyle w:val="TableParagraph"/>
              <w:spacing w:before="69"/>
              <w:ind w:right="58"/>
              <w:rPr>
                <w:sz w:val="16"/>
              </w:rPr>
            </w:pPr>
            <w:r>
              <w:rPr>
                <w:spacing w:val="-2"/>
                <w:w w:val="110"/>
                <w:sz w:val="16"/>
              </w:rPr>
              <w:t>(13.458)</w:t>
            </w:r>
          </w:p>
        </w:tc>
        <w:tc>
          <w:tcPr>
            <w:tcW w:w="1092" w:type="dxa"/>
          </w:tcPr>
          <w:p w14:paraId="4EE6BBF8" w14:textId="77777777" w:rsidR="002C6574" w:rsidRDefault="00000000">
            <w:pPr>
              <w:pStyle w:val="TableParagraph"/>
              <w:spacing w:before="69"/>
              <w:ind w:right="58"/>
              <w:rPr>
                <w:sz w:val="16"/>
              </w:rPr>
            </w:pPr>
            <w:r>
              <w:rPr>
                <w:spacing w:val="-2"/>
                <w:w w:val="110"/>
                <w:sz w:val="16"/>
              </w:rPr>
              <w:t>(82.964)</w:t>
            </w:r>
          </w:p>
        </w:tc>
        <w:tc>
          <w:tcPr>
            <w:tcW w:w="1092" w:type="dxa"/>
          </w:tcPr>
          <w:p w14:paraId="04C5ED04" w14:textId="77777777" w:rsidR="002C6574" w:rsidRDefault="00000000">
            <w:pPr>
              <w:pStyle w:val="TableParagraph"/>
              <w:spacing w:before="69"/>
              <w:ind w:right="55"/>
              <w:rPr>
                <w:sz w:val="16"/>
              </w:rPr>
            </w:pPr>
            <w:r>
              <w:rPr>
                <w:spacing w:val="-2"/>
                <w:w w:val="110"/>
                <w:sz w:val="16"/>
              </w:rPr>
              <w:t>(6.491)</w:t>
            </w:r>
          </w:p>
        </w:tc>
        <w:tc>
          <w:tcPr>
            <w:tcW w:w="1092" w:type="dxa"/>
          </w:tcPr>
          <w:p w14:paraId="382276B7" w14:textId="77777777" w:rsidR="002C6574" w:rsidRDefault="00000000">
            <w:pPr>
              <w:pStyle w:val="TableParagraph"/>
              <w:spacing w:before="69"/>
              <w:ind w:right="58"/>
              <w:rPr>
                <w:sz w:val="16"/>
              </w:rPr>
            </w:pPr>
            <w:r>
              <w:rPr>
                <w:spacing w:val="-2"/>
                <w:w w:val="110"/>
                <w:sz w:val="16"/>
              </w:rPr>
              <w:t>(28.367)</w:t>
            </w:r>
          </w:p>
        </w:tc>
        <w:tc>
          <w:tcPr>
            <w:tcW w:w="1003" w:type="dxa"/>
          </w:tcPr>
          <w:p w14:paraId="1D31102B" w14:textId="77777777" w:rsidR="002C6574" w:rsidRDefault="00000000">
            <w:pPr>
              <w:pStyle w:val="TableParagraph"/>
              <w:spacing w:before="69"/>
              <w:ind w:right="57"/>
              <w:rPr>
                <w:sz w:val="16"/>
              </w:rPr>
            </w:pPr>
            <w:r>
              <w:rPr>
                <w:spacing w:val="-2"/>
                <w:w w:val="105"/>
                <w:sz w:val="16"/>
              </w:rPr>
              <w:t>13.078</w:t>
            </w:r>
          </w:p>
        </w:tc>
        <w:tc>
          <w:tcPr>
            <w:tcW w:w="957" w:type="dxa"/>
          </w:tcPr>
          <w:p w14:paraId="7E45F23F" w14:textId="77777777" w:rsidR="002C6574" w:rsidRDefault="00000000">
            <w:pPr>
              <w:pStyle w:val="TableParagraph"/>
              <w:spacing w:before="69"/>
              <w:ind w:right="54"/>
              <w:rPr>
                <w:sz w:val="16"/>
              </w:rPr>
            </w:pPr>
            <w:r>
              <w:rPr>
                <w:spacing w:val="-2"/>
                <w:w w:val="110"/>
                <w:sz w:val="16"/>
              </w:rPr>
              <w:t>(37.955)</w:t>
            </w:r>
          </w:p>
        </w:tc>
      </w:tr>
      <w:tr w:rsidR="002C6574" w14:paraId="79007FD0" w14:textId="77777777">
        <w:trPr>
          <w:trHeight w:val="290"/>
        </w:trPr>
        <w:tc>
          <w:tcPr>
            <w:tcW w:w="3442" w:type="dxa"/>
          </w:tcPr>
          <w:p w14:paraId="1CE8BAA9" w14:textId="77777777" w:rsidR="002C6574" w:rsidRDefault="00000000">
            <w:pPr>
              <w:pStyle w:val="TableParagraph"/>
              <w:spacing w:before="53"/>
              <w:ind w:left="114"/>
              <w:jc w:val="left"/>
              <w:rPr>
                <w:rFonts w:ascii="Arial" w:hAnsi="Arial"/>
                <w:b/>
                <w:sz w:val="16"/>
              </w:rPr>
            </w:pPr>
            <w:r>
              <w:rPr>
                <w:rFonts w:ascii="Arial" w:hAnsi="Arial"/>
                <w:b/>
                <w:sz w:val="16"/>
              </w:rPr>
              <w:t>6.</w:t>
            </w:r>
            <w:r>
              <w:rPr>
                <w:rFonts w:ascii="Arial" w:hAnsi="Arial"/>
                <w:b/>
                <w:spacing w:val="-2"/>
                <w:sz w:val="16"/>
              </w:rPr>
              <w:t xml:space="preserve"> </w:t>
            </w:r>
            <w:r>
              <w:rPr>
                <w:rFonts w:ascii="Arial" w:hAnsi="Arial"/>
                <w:b/>
                <w:sz w:val="16"/>
              </w:rPr>
              <w:t>Valor</w:t>
            </w:r>
            <w:r>
              <w:rPr>
                <w:rFonts w:ascii="Arial" w:hAnsi="Arial"/>
                <w:b/>
                <w:spacing w:val="-1"/>
                <w:sz w:val="16"/>
              </w:rPr>
              <w:t xml:space="preserve"> </w:t>
            </w:r>
            <w:r>
              <w:rPr>
                <w:rFonts w:ascii="Arial" w:hAnsi="Arial"/>
                <w:b/>
                <w:sz w:val="16"/>
              </w:rPr>
              <w:t>presente</w:t>
            </w:r>
            <w:r>
              <w:rPr>
                <w:rFonts w:ascii="Arial" w:hAnsi="Arial"/>
                <w:b/>
                <w:spacing w:val="-4"/>
                <w:sz w:val="16"/>
              </w:rPr>
              <w:t xml:space="preserve"> </w:t>
            </w:r>
            <w:r>
              <w:rPr>
                <w:rFonts w:ascii="Arial" w:hAnsi="Arial"/>
                <w:b/>
                <w:sz w:val="16"/>
              </w:rPr>
              <w:t>da</w:t>
            </w:r>
            <w:r>
              <w:rPr>
                <w:rFonts w:ascii="Arial" w:hAnsi="Arial"/>
                <w:b/>
                <w:spacing w:val="-2"/>
                <w:sz w:val="16"/>
              </w:rPr>
              <w:t xml:space="preserve"> obrigação</w:t>
            </w:r>
          </w:p>
        </w:tc>
        <w:tc>
          <w:tcPr>
            <w:tcW w:w="1092" w:type="dxa"/>
          </w:tcPr>
          <w:p w14:paraId="274DA563" w14:textId="77777777" w:rsidR="002C6574" w:rsidRDefault="00000000">
            <w:pPr>
              <w:pStyle w:val="TableParagraph"/>
              <w:spacing w:before="53"/>
              <w:ind w:right="57"/>
              <w:rPr>
                <w:rFonts w:ascii="Arial"/>
                <w:b/>
                <w:sz w:val="16"/>
              </w:rPr>
            </w:pPr>
            <w:r>
              <w:rPr>
                <w:rFonts w:ascii="Arial"/>
                <w:b/>
                <w:spacing w:val="-2"/>
                <w:sz w:val="16"/>
              </w:rPr>
              <w:t>504.165</w:t>
            </w:r>
          </w:p>
        </w:tc>
        <w:tc>
          <w:tcPr>
            <w:tcW w:w="1092" w:type="dxa"/>
          </w:tcPr>
          <w:p w14:paraId="68CE7F15" w14:textId="77777777" w:rsidR="002C6574" w:rsidRDefault="00000000">
            <w:pPr>
              <w:pStyle w:val="TableParagraph"/>
              <w:spacing w:before="53"/>
              <w:ind w:right="57"/>
              <w:rPr>
                <w:rFonts w:ascii="Arial"/>
                <w:b/>
                <w:sz w:val="16"/>
              </w:rPr>
            </w:pPr>
            <w:r>
              <w:rPr>
                <w:rFonts w:ascii="Arial"/>
                <w:b/>
                <w:spacing w:val="-2"/>
                <w:sz w:val="16"/>
              </w:rPr>
              <w:t>508.486</w:t>
            </w:r>
          </w:p>
        </w:tc>
        <w:tc>
          <w:tcPr>
            <w:tcW w:w="1092" w:type="dxa"/>
          </w:tcPr>
          <w:p w14:paraId="54EE4AB4" w14:textId="77777777" w:rsidR="002C6574" w:rsidRDefault="00000000">
            <w:pPr>
              <w:pStyle w:val="TableParagraph"/>
              <w:spacing w:before="53"/>
              <w:ind w:right="57"/>
              <w:rPr>
                <w:rFonts w:ascii="Arial"/>
                <w:b/>
                <w:sz w:val="16"/>
              </w:rPr>
            </w:pPr>
            <w:r>
              <w:rPr>
                <w:rFonts w:ascii="Arial"/>
                <w:b/>
                <w:spacing w:val="-2"/>
                <w:sz w:val="16"/>
              </w:rPr>
              <w:t>195.150</w:t>
            </w:r>
          </w:p>
        </w:tc>
        <w:tc>
          <w:tcPr>
            <w:tcW w:w="1092" w:type="dxa"/>
          </w:tcPr>
          <w:p w14:paraId="54B4C1D1" w14:textId="77777777" w:rsidR="002C6574" w:rsidRDefault="00000000">
            <w:pPr>
              <w:pStyle w:val="TableParagraph"/>
              <w:spacing w:before="53"/>
              <w:ind w:right="57"/>
              <w:rPr>
                <w:rFonts w:ascii="Arial"/>
                <w:b/>
                <w:sz w:val="16"/>
              </w:rPr>
            </w:pPr>
            <w:r>
              <w:rPr>
                <w:rFonts w:ascii="Arial"/>
                <w:b/>
                <w:spacing w:val="-2"/>
                <w:sz w:val="16"/>
              </w:rPr>
              <w:t>194.180</w:t>
            </w:r>
          </w:p>
        </w:tc>
        <w:tc>
          <w:tcPr>
            <w:tcW w:w="1003" w:type="dxa"/>
          </w:tcPr>
          <w:p w14:paraId="357C5461" w14:textId="77777777" w:rsidR="002C6574" w:rsidRDefault="00000000">
            <w:pPr>
              <w:pStyle w:val="TableParagraph"/>
              <w:spacing w:before="53"/>
              <w:ind w:right="57"/>
              <w:rPr>
                <w:rFonts w:ascii="Arial"/>
                <w:b/>
                <w:sz w:val="16"/>
              </w:rPr>
            </w:pPr>
            <w:r>
              <w:rPr>
                <w:rFonts w:ascii="Arial"/>
                <w:b/>
                <w:spacing w:val="-2"/>
                <w:sz w:val="16"/>
              </w:rPr>
              <w:t>370.760</w:t>
            </w:r>
          </w:p>
        </w:tc>
        <w:tc>
          <w:tcPr>
            <w:tcW w:w="957" w:type="dxa"/>
          </w:tcPr>
          <w:p w14:paraId="7DBDE4D3" w14:textId="77777777" w:rsidR="002C6574" w:rsidRDefault="00000000">
            <w:pPr>
              <w:pStyle w:val="TableParagraph"/>
              <w:spacing w:before="53"/>
              <w:ind w:right="57"/>
              <w:rPr>
                <w:rFonts w:ascii="Arial"/>
                <w:b/>
                <w:sz w:val="16"/>
              </w:rPr>
            </w:pPr>
            <w:r>
              <w:rPr>
                <w:rFonts w:ascii="Arial"/>
                <w:b/>
                <w:spacing w:val="-2"/>
                <w:sz w:val="16"/>
              </w:rPr>
              <w:t>346.585</w:t>
            </w:r>
          </w:p>
        </w:tc>
      </w:tr>
    </w:tbl>
    <w:p w14:paraId="233456DC" w14:textId="77777777" w:rsidR="002C6574" w:rsidRDefault="002C6574">
      <w:pPr>
        <w:pStyle w:val="TableParagraph"/>
        <w:rPr>
          <w:rFonts w:ascii="Arial"/>
          <w:b/>
          <w:sz w:val="16"/>
        </w:rPr>
        <w:sectPr w:rsidR="002C6574">
          <w:headerReference w:type="default" r:id="rId97"/>
          <w:footerReference w:type="default" r:id="rId98"/>
          <w:pgSz w:w="11910" w:h="16840"/>
          <w:pgMar w:top="1820" w:right="141" w:bottom="1300" w:left="1133" w:header="1084" w:footer="1100" w:gutter="0"/>
          <w:pgNumType w:start="1"/>
          <w:cols w:space="720"/>
        </w:sectPr>
      </w:pPr>
    </w:p>
    <w:p w14:paraId="29F4F8FC" w14:textId="77777777" w:rsidR="002C6574" w:rsidRDefault="00000000">
      <w:pPr>
        <w:pStyle w:val="PargrafodaLista"/>
        <w:numPr>
          <w:ilvl w:val="2"/>
          <w:numId w:val="27"/>
        </w:numPr>
        <w:tabs>
          <w:tab w:val="left" w:pos="990"/>
        </w:tabs>
        <w:spacing w:before="229"/>
        <w:ind w:left="990" w:hanging="847"/>
        <w:rPr>
          <w:rFonts w:ascii="Arial" w:hAnsi="Arial"/>
          <w:b/>
        </w:rPr>
      </w:pPr>
      <w:r>
        <w:rPr>
          <w:rFonts w:ascii="Arial" w:hAnsi="Arial"/>
          <w:b/>
        </w:rPr>
        <w:lastRenderedPageBreak/>
        <w:t>Conciliação</w:t>
      </w:r>
      <w:r>
        <w:rPr>
          <w:rFonts w:ascii="Arial" w:hAnsi="Arial"/>
          <w:b/>
          <w:spacing w:val="-4"/>
        </w:rPr>
        <w:t xml:space="preserve"> </w:t>
      </w:r>
      <w:r>
        <w:rPr>
          <w:rFonts w:ascii="Arial" w:hAnsi="Arial"/>
          <w:b/>
        </w:rPr>
        <w:t>dos</w:t>
      </w:r>
      <w:r>
        <w:rPr>
          <w:rFonts w:ascii="Arial" w:hAnsi="Arial"/>
          <w:b/>
          <w:spacing w:val="-2"/>
        </w:rPr>
        <w:t xml:space="preserve"> </w:t>
      </w:r>
      <w:r>
        <w:rPr>
          <w:rFonts w:ascii="Arial" w:hAnsi="Arial"/>
          <w:b/>
        </w:rPr>
        <w:t>Ativos</w:t>
      </w:r>
      <w:r>
        <w:rPr>
          <w:rFonts w:ascii="Arial" w:hAnsi="Arial"/>
          <w:b/>
          <w:spacing w:val="-3"/>
        </w:rPr>
        <w:t xml:space="preserve"> </w:t>
      </w:r>
      <w:r>
        <w:rPr>
          <w:rFonts w:ascii="Arial" w:hAnsi="Arial"/>
          <w:b/>
        </w:rPr>
        <w:t>dos</w:t>
      </w:r>
      <w:r>
        <w:rPr>
          <w:rFonts w:ascii="Arial" w:hAnsi="Arial"/>
          <w:b/>
          <w:spacing w:val="-3"/>
        </w:rPr>
        <w:t xml:space="preserve"> </w:t>
      </w:r>
      <w:r>
        <w:rPr>
          <w:rFonts w:ascii="Arial" w:hAnsi="Arial"/>
          <w:b/>
          <w:spacing w:val="-2"/>
        </w:rPr>
        <w:t>Planos</w:t>
      </w:r>
    </w:p>
    <w:p w14:paraId="3600A4D4" w14:textId="77777777" w:rsidR="002C6574" w:rsidRDefault="002C6574">
      <w:pPr>
        <w:pStyle w:val="Corpodetexto"/>
        <w:spacing w:before="59"/>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4"/>
        <w:gridCol w:w="1004"/>
        <w:gridCol w:w="1004"/>
        <w:gridCol w:w="1004"/>
        <w:gridCol w:w="1004"/>
        <w:gridCol w:w="1002"/>
        <w:gridCol w:w="1004"/>
      </w:tblGrid>
      <w:tr w:rsidR="002C6574" w14:paraId="64CA4CDA" w14:textId="77777777">
        <w:trPr>
          <w:trHeight w:val="302"/>
        </w:trPr>
        <w:tc>
          <w:tcPr>
            <w:tcW w:w="3754" w:type="dxa"/>
            <w:vMerge w:val="restart"/>
            <w:shd w:val="clear" w:color="auto" w:fill="BFBFBF"/>
          </w:tcPr>
          <w:p w14:paraId="51C02538" w14:textId="77777777" w:rsidR="002C6574" w:rsidRDefault="002C6574">
            <w:pPr>
              <w:pStyle w:val="TableParagraph"/>
              <w:spacing w:before="25"/>
              <w:jc w:val="left"/>
              <w:rPr>
                <w:rFonts w:ascii="Arial"/>
                <w:b/>
                <w:sz w:val="16"/>
              </w:rPr>
            </w:pPr>
          </w:p>
          <w:p w14:paraId="5360A4C4" w14:textId="77777777" w:rsidR="002C6574" w:rsidRDefault="00000000">
            <w:pPr>
              <w:pStyle w:val="TableParagraph"/>
              <w:ind w:left="69"/>
              <w:jc w:val="left"/>
              <w:rPr>
                <w:rFonts w:ascii="Arial" w:hAnsi="Arial"/>
                <w:b/>
                <w:sz w:val="16"/>
              </w:rPr>
            </w:pPr>
            <w:r>
              <w:rPr>
                <w:rFonts w:ascii="Arial" w:hAnsi="Arial"/>
                <w:b/>
                <w:spacing w:val="-2"/>
                <w:sz w:val="16"/>
              </w:rPr>
              <w:t>Composição:</w:t>
            </w:r>
          </w:p>
        </w:tc>
        <w:tc>
          <w:tcPr>
            <w:tcW w:w="2008" w:type="dxa"/>
            <w:gridSpan w:val="2"/>
          </w:tcPr>
          <w:p w14:paraId="3D9DE1B9" w14:textId="77777777" w:rsidR="002C6574" w:rsidRDefault="00000000">
            <w:pPr>
              <w:pStyle w:val="TableParagraph"/>
              <w:spacing w:before="58"/>
              <w:ind w:left="8"/>
              <w:jc w:val="center"/>
              <w:rPr>
                <w:rFonts w:ascii="Arial"/>
                <w:b/>
                <w:sz w:val="16"/>
              </w:rPr>
            </w:pPr>
            <w:r>
              <w:rPr>
                <w:rFonts w:ascii="Arial"/>
                <w:b/>
                <w:sz w:val="16"/>
              </w:rPr>
              <w:t>PBS-</w:t>
            </w:r>
            <w:r>
              <w:rPr>
                <w:rFonts w:ascii="Arial"/>
                <w:b/>
                <w:spacing w:val="-10"/>
                <w:sz w:val="16"/>
              </w:rPr>
              <w:t>A</w:t>
            </w:r>
          </w:p>
        </w:tc>
        <w:tc>
          <w:tcPr>
            <w:tcW w:w="2008" w:type="dxa"/>
            <w:gridSpan w:val="2"/>
          </w:tcPr>
          <w:p w14:paraId="6CE94CF9" w14:textId="77777777" w:rsidR="002C6574" w:rsidRDefault="00000000">
            <w:pPr>
              <w:pStyle w:val="TableParagraph"/>
              <w:spacing w:before="58"/>
              <w:ind w:left="479"/>
              <w:jc w:val="left"/>
              <w:rPr>
                <w:rFonts w:ascii="Arial"/>
                <w:b/>
                <w:sz w:val="16"/>
              </w:rPr>
            </w:pPr>
            <w:r>
              <w:rPr>
                <w:rFonts w:ascii="Arial"/>
                <w:b/>
                <w:spacing w:val="-2"/>
                <w:sz w:val="16"/>
              </w:rPr>
              <w:t>PBS-Telebras</w:t>
            </w:r>
          </w:p>
        </w:tc>
        <w:tc>
          <w:tcPr>
            <w:tcW w:w="2006" w:type="dxa"/>
            <w:gridSpan w:val="2"/>
          </w:tcPr>
          <w:p w14:paraId="4D3AD355" w14:textId="77777777" w:rsidR="002C6574" w:rsidRDefault="00000000">
            <w:pPr>
              <w:pStyle w:val="TableParagraph"/>
              <w:spacing w:before="58"/>
              <w:ind w:left="428"/>
              <w:jc w:val="left"/>
              <w:rPr>
                <w:rFonts w:ascii="Arial"/>
                <w:b/>
                <w:sz w:val="16"/>
              </w:rPr>
            </w:pPr>
            <w:r>
              <w:rPr>
                <w:rFonts w:ascii="Arial"/>
                <w:b/>
                <w:sz w:val="16"/>
              </w:rPr>
              <w:t>Telebras</w:t>
            </w:r>
            <w:r>
              <w:rPr>
                <w:rFonts w:ascii="Arial"/>
                <w:b/>
                <w:spacing w:val="-7"/>
                <w:sz w:val="16"/>
              </w:rPr>
              <w:t xml:space="preserve"> </w:t>
            </w:r>
            <w:r>
              <w:rPr>
                <w:rFonts w:ascii="Arial"/>
                <w:b/>
                <w:spacing w:val="-4"/>
                <w:sz w:val="16"/>
              </w:rPr>
              <w:t>PREV</w:t>
            </w:r>
          </w:p>
        </w:tc>
      </w:tr>
      <w:tr w:rsidR="002C6574" w14:paraId="78D8B6E9" w14:textId="77777777">
        <w:trPr>
          <w:trHeight w:val="290"/>
        </w:trPr>
        <w:tc>
          <w:tcPr>
            <w:tcW w:w="3754" w:type="dxa"/>
            <w:vMerge/>
            <w:tcBorders>
              <w:top w:val="nil"/>
            </w:tcBorders>
            <w:shd w:val="clear" w:color="auto" w:fill="BFBFBF"/>
          </w:tcPr>
          <w:p w14:paraId="3FF33364" w14:textId="77777777" w:rsidR="002C6574" w:rsidRDefault="002C6574">
            <w:pPr>
              <w:rPr>
                <w:sz w:val="2"/>
                <w:szCs w:val="2"/>
              </w:rPr>
            </w:pPr>
          </w:p>
        </w:tc>
        <w:tc>
          <w:tcPr>
            <w:tcW w:w="1004" w:type="dxa"/>
          </w:tcPr>
          <w:p w14:paraId="70076841" w14:textId="77777777" w:rsidR="002C6574" w:rsidRDefault="00000000">
            <w:pPr>
              <w:pStyle w:val="TableParagraph"/>
              <w:spacing w:before="53"/>
              <w:ind w:right="91"/>
              <w:rPr>
                <w:rFonts w:ascii="Arial"/>
                <w:b/>
                <w:sz w:val="16"/>
              </w:rPr>
            </w:pPr>
            <w:r>
              <w:rPr>
                <w:rFonts w:ascii="Arial"/>
                <w:b/>
                <w:spacing w:val="-2"/>
                <w:sz w:val="16"/>
              </w:rPr>
              <w:t>31/12/2025</w:t>
            </w:r>
          </w:p>
        </w:tc>
        <w:tc>
          <w:tcPr>
            <w:tcW w:w="1004" w:type="dxa"/>
          </w:tcPr>
          <w:p w14:paraId="67377927" w14:textId="77777777" w:rsidR="002C6574" w:rsidRDefault="00000000">
            <w:pPr>
              <w:pStyle w:val="TableParagraph"/>
              <w:spacing w:before="53"/>
              <w:ind w:right="90"/>
              <w:rPr>
                <w:rFonts w:ascii="Arial"/>
                <w:b/>
                <w:sz w:val="16"/>
              </w:rPr>
            </w:pPr>
            <w:r>
              <w:rPr>
                <w:rFonts w:ascii="Arial"/>
                <w:b/>
                <w:spacing w:val="-2"/>
                <w:sz w:val="16"/>
              </w:rPr>
              <w:t>31/12/2024</w:t>
            </w:r>
          </w:p>
        </w:tc>
        <w:tc>
          <w:tcPr>
            <w:tcW w:w="1004" w:type="dxa"/>
          </w:tcPr>
          <w:p w14:paraId="562FAA9A" w14:textId="77777777" w:rsidR="002C6574" w:rsidRDefault="00000000">
            <w:pPr>
              <w:pStyle w:val="TableParagraph"/>
              <w:spacing w:before="53"/>
              <w:ind w:right="91"/>
              <w:rPr>
                <w:rFonts w:ascii="Arial"/>
                <w:b/>
                <w:sz w:val="16"/>
              </w:rPr>
            </w:pPr>
            <w:r>
              <w:rPr>
                <w:rFonts w:ascii="Arial"/>
                <w:b/>
                <w:spacing w:val="-2"/>
                <w:sz w:val="16"/>
              </w:rPr>
              <w:t>31/12/2025</w:t>
            </w:r>
          </w:p>
        </w:tc>
        <w:tc>
          <w:tcPr>
            <w:tcW w:w="1004" w:type="dxa"/>
          </w:tcPr>
          <w:p w14:paraId="7DB0C330" w14:textId="77777777" w:rsidR="002C6574" w:rsidRDefault="00000000">
            <w:pPr>
              <w:pStyle w:val="TableParagraph"/>
              <w:spacing w:before="53"/>
              <w:ind w:right="94"/>
              <w:rPr>
                <w:rFonts w:ascii="Arial"/>
                <w:b/>
                <w:sz w:val="16"/>
              </w:rPr>
            </w:pPr>
            <w:r>
              <w:rPr>
                <w:rFonts w:ascii="Arial"/>
                <w:b/>
                <w:spacing w:val="-2"/>
                <w:sz w:val="16"/>
              </w:rPr>
              <w:t>31/12/2024</w:t>
            </w:r>
          </w:p>
        </w:tc>
        <w:tc>
          <w:tcPr>
            <w:tcW w:w="1002" w:type="dxa"/>
          </w:tcPr>
          <w:p w14:paraId="013D0233" w14:textId="77777777" w:rsidR="002C6574" w:rsidRDefault="00000000">
            <w:pPr>
              <w:pStyle w:val="TableParagraph"/>
              <w:spacing w:before="53"/>
              <w:ind w:right="93"/>
              <w:rPr>
                <w:rFonts w:ascii="Arial"/>
                <w:b/>
                <w:sz w:val="16"/>
              </w:rPr>
            </w:pPr>
            <w:r>
              <w:rPr>
                <w:rFonts w:ascii="Arial"/>
                <w:b/>
                <w:spacing w:val="-2"/>
                <w:sz w:val="16"/>
              </w:rPr>
              <w:t>31/12/2025</w:t>
            </w:r>
          </w:p>
        </w:tc>
        <w:tc>
          <w:tcPr>
            <w:tcW w:w="1004" w:type="dxa"/>
          </w:tcPr>
          <w:p w14:paraId="1C8A1873" w14:textId="77777777" w:rsidR="002C6574" w:rsidRDefault="00000000">
            <w:pPr>
              <w:pStyle w:val="TableParagraph"/>
              <w:spacing w:before="53"/>
              <w:ind w:right="94"/>
              <w:rPr>
                <w:rFonts w:ascii="Arial"/>
                <w:b/>
                <w:sz w:val="16"/>
              </w:rPr>
            </w:pPr>
            <w:r>
              <w:rPr>
                <w:rFonts w:ascii="Arial"/>
                <w:b/>
                <w:spacing w:val="-2"/>
                <w:sz w:val="16"/>
              </w:rPr>
              <w:t>31/12/2024</w:t>
            </w:r>
          </w:p>
        </w:tc>
      </w:tr>
      <w:tr w:rsidR="002C6574" w14:paraId="1E60B7FB" w14:textId="77777777">
        <w:trPr>
          <w:trHeight w:val="290"/>
        </w:trPr>
        <w:tc>
          <w:tcPr>
            <w:tcW w:w="3754" w:type="dxa"/>
          </w:tcPr>
          <w:p w14:paraId="2CEE0AC2" w14:textId="77777777" w:rsidR="002C6574" w:rsidRDefault="00000000">
            <w:pPr>
              <w:pStyle w:val="TableParagraph"/>
              <w:spacing w:before="31"/>
              <w:ind w:left="69"/>
              <w:jc w:val="left"/>
              <w:rPr>
                <w:sz w:val="16"/>
              </w:rPr>
            </w:pPr>
            <w:r>
              <w:rPr>
                <w:sz w:val="16"/>
              </w:rPr>
              <w:t>1. Valor</w:t>
            </w:r>
            <w:r>
              <w:rPr>
                <w:spacing w:val="-1"/>
                <w:sz w:val="16"/>
              </w:rPr>
              <w:t xml:space="preserve"> </w:t>
            </w:r>
            <w:r>
              <w:rPr>
                <w:sz w:val="16"/>
              </w:rPr>
              <w:t>justo</w:t>
            </w:r>
            <w:r>
              <w:rPr>
                <w:spacing w:val="-1"/>
                <w:sz w:val="16"/>
              </w:rPr>
              <w:t xml:space="preserve"> </w:t>
            </w:r>
            <w:r>
              <w:rPr>
                <w:sz w:val="16"/>
              </w:rPr>
              <w:t>dos ativos</w:t>
            </w:r>
            <w:r>
              <w:rPr>
                <w:spacing w:val="-1"/>
                <w:sz w:val="16"/>
              </w:rPr>
              <w:t xml:space="preserve"> </w:t>
            </w:r>
            <w:r>
              <w:rPr>
                <w:sz w:val="16"/>
              </w:rPr>
              <w:t>do</w:t>
            </w:r>
            <w:r>
              <w:rPr>
                <w:spacing w:val="-1"/>
                <w:sz w:val="16"/>
              </w:rPr>
              <w:t xml:space="preserve"> </w:t>
            </w:r>
            <w:r>
              <w:rPr>
                <w:spacing w:val="-4"/>
                <w:sz w:val="16"/>
              </w:rPr>
              <w:t>plano</w:t>
            </w:r>
          </w:p>
        </w:tc>
        <w:tc>
          <w:tcPr>
            <w:tcW w:w="1004" w:type="dxa"/>
          </w:tcPr>
          <w:p w14:paraId="431F8B52" w14:textId="77777777" w:rsidR="002C6574" w:rsidRDefault="00000000">
            <w:pPr>
              <w:pStyle w:val="TableParagraph"/>
              <w:spacing w:before="53"/>
              <w:ind w:right="58"/>
              <w:rPr>
                <w:rFonts w:ascii="Arial"/>
                <w:b/>
                <w:sz w:val="16"/>
              </w:rPr>
            </w:pPr>
            <w:r>
              <w:rPr>
                <w:rFonts w:ascii="Arial"/>
                <w:b/>
                <w:spacing w:val="-2"/>
                <w:sz w:val="16"/>
              </w:rPr>
              <w:t>568.448</w:t>
            </w:r>
          </w:p>
        </w:tc>
        <w:tc>
          <w:tcPr>
            <w:tcW w:w="1004" w:type="dxa"/>
          </w:tcPr>
          <w:p w14:paraId="2C309046" w14:textId="77777777" w:rsidR="002C6574" w:rsidRDefault="00000000">
            <w:pPr>
              <w:pStyle w:val="TableParagraph"/>
              <w:spacing w:before="53"/>
              <w:ind w:right="59"/>
              <w:rPr>
                <w:rFonts w:ascii="Arial"/>
                <w:b/>
                <w:sz w:val="16"/>
              </w:rPr>
            </w:pPr>
            <w:r>
              <w:rPr>
                <w:rFonts w:ascii="Arial"/>
                <w:b/>
                <w:spacing w:val="-2"/>
                <w:sz w:val="16"/>
              </w:rPr>
              <w:t>690.510</w:t>
            </w:r>
          </w:p>
        </w:tc>
        <w:tc>
          <w:tcPr>
            <w:tcW w:w="1004" w:type="dxa"/>
          </w:tcPr>
          <w:p w14:paraId="5E1B8BD8" w14:textId="77777777" w:rsidR="002C6574" w:rsidRDefault="00000000">
            <w:pPr>
              <w:pStyle w:val="TableParagraph"/>
              <w:spacing w:before="53"/>
              <w:ind w:right="60"/>
              <w:rPr>
                <w:rFonts w:ascii="Arial"/>
                <w:b/>
                <w:sz w:val="16"/>
              </w:rPr>
            </w:pPr>
            <w:r>
              <w:rPr>
                <w:rFonts w:ascii="Arial"/>
                <w:b/>
                <w:spacing w:val="-2"/>
                <w:sz w:val="16"/>
              </w:rPr>
              <w:t>236.209</w:t>
            </w:r>
          </w:p>
        </w:tc>
        <w:tc>
          <w:tcPr>
            <w:tcW w:w="1004" w:type="dxa"/>
          </w:tcPr>
          <w:p w14:paraId="61D0C312" w14:textId="77777777" w:rsidR="002C6574" w:rsidRDefault="00000000">
            <w:pPr>
              <w:pStyle w:val="TableParagraph"/>
              <w:spacing w:before="53"/>
              <w:ind w:right="63"/>
              <w:rPr>
                <w:rFonts w:ascii="Arial"/>
                <w:b/>
                <w:sz w:val="16"/>
              </w:rPr>
            </w:pPr>
            <w:r>
              <w:rPr>
                <w:rFonts w:ascii="Arial"/>
                <w:b/>
                <w:spacing w:val="-2"/>
                <w:sz w:val="16"/>
              </w:rPr>
              <w:t>324.895</w:t>
            </w:r>
          </w:p>
        </w:tc>
        <w:tc>
          <w:tcPr>
            <w:tcW w:w="1002" w:type="dxa"/>
          </w:tcPr>
          <w:p w14:paraId="20D86F12" w14:textId="77777777" w:rsidR="002C6574" w:rsidRDefault="00000000">
            <w:pPr>
              <w:pStyle w:val="TableParagraph"/>
              <w:spacing w:before="53"/>
              <w:ind w:right="62"/>
              <w:rPr>
                <w:rFonts w:ascii="Arial"/>
                <w:b/>
                <w:sz w:val="16"/>
              </w:rPr>
            </w:pPr>
            <w:r>
              <w:rPr>
                <w:rFonts w:ascii="Arial"/>
                <w:b/>
                <w:spacing w:val="-2"/>
                <w:sz w:val="16"/>
              </w:rPr>
              <w:t>415.837</w:t>
            </w:r>
          </w:p>
        </w:tc>
        <w:tc>
          <w:tcPr>
            <w:tcW w:w="1004" w:type="dxa"/>
          </w:tcPr>
          <w:p w14:paraId="2A29BDBD" w14:textId="77777777" w:rsidR="002C6574" w:rsidRDefault="00000000">
            <w:pPr>
              <w:pStyle w:val="TableParagraph"/>
              <w:spacing w:before="53"/>
              <w:ind w:right="63"/>
              <w:rPr>
                <w:rFonts w:ascii="Arial"/>
                <w:b/>
                <w:sz w:val="16"/>
              </w:rPr>
            </w:pPr>
            <w:r>
              <w:rPr>
                <w:rFonts w:ascii="Arial"/>
                <w:b/>
                <w:spacing w:val="-2"/>
                <w:sz w:val="16"/>
              </w:rPr>
              <w:t>577.609</w:t>
            </w:r>
          </w:p>
        </w:tc>
      </w:tr>
      <w:tr w:rsidR="002C6574" w14:paraId="469A40E4" w14:textId="77777777">
        <w:trPr>
          <w:trHeight w:val="290"/>
        </w:trPr>
        <w:tc>
          <w:tcPr>
            <w:tcW w:w="3754" w:type="dxa"/>
          </w:tcPr>
          <w:p w14:paraId="7F7ED41F" w14:textId="77777777" w:rsidR="002C6574" w:rsidRDefault="00000000">
            <w:pPr>
              <w:pStyle w:val="TableParagraph"/>
              <w:spacing w:before="31"/>
              <w:ind w:left="69"/>
              <w:jc w:val="left"/>
              <w:rPr>
                <w:sz w:val="16"/>
              </w:rPr>
            </w:pPr>
            <w:r>
              <w:rPr>
                <w:sz w:val="16"/>
              </w:rPr>
              <w:t>2.</w:t>
            </w:r>
            <w:r>
              <w:rPr>
                <w:spacing w:val="2"/>
                <w:sz w:val="16"/>
              </w:rPr>
              <w:t xml:space="preserve"> </w:t>
            </w:r>
            <w:r>
              <w:rPr>
                <w:sz w:val="16"/>
              </w:rPr>
              <w:t>Rendimento</w:t>
            </w:r>
            <w:r>
              <w:rPr>
                <w:spacing w:val="-1"/>
                <w:sz w:val="16"/>
              </w:rPr>
              <w:t xml:space="preserve"> </w:t>
            </w:r>
            <w:r>
              <w:rPr>
                <w:sz w:val="16"/>
              </w:rPr>
              <w:t>esperado</w:t>
            </w:r>
            <w:r>
              <w:rPr>
                <w:spacing w:val="1"/>
                <w:sz w:val="16"/>
              </w:rPr>
              <w:t xml:space="preserve"> </w:t>
            </w:r>
            <w:r>
              <w:rPr>
                <w:sz w:val="16"/>
              </w:rPr>
              <w:t>dos</w:t>
            </w:r>
            <w:r>
              <w:rPr>
                <w:spacing w:val="3"/>
                <w:sz w:val="16"/>
              </w:rPr>
              <w:t xml:space="preserve"> </w:t>
            </w:r>
            <w:r>
              <w:rPr>
                <w:sz w:val="16"/>
              </w:rPr>
              <w:t>ativos</w:t>
            </w:r>
            <w:r>
              <w:rPr>
                <w:spacing w:val="2"/>
                <w:sz w:val="16"/>
              </w:rPr>
              <w:t xml:space="preserve"> </w:t>
            </w:r>
            <w:r>
              <w:rPr>
                <w:sz w:val="16"/>
              </w:rPr>
              <w:t xml:space="preserve">do </w:t>
            </w:r>
            <w:r>
              <w:rPr>
                <w:spacing w:val="-4"/>
                <w:sz w:val="16"/>
              </w:rPr>
              <w:t>plano</w:t>
            </w:r>
          </w:p>
        </w:tc>
        <w:tc>
          <w:tcPr>
            <w:tcW w:w="1004" w:type="dxa"/>
          </w:tcPr>
          <w:p w14:paraId="3F9CB574" w14:textId="77777777" w:rsidR="002C6574" w:rsidRDefault="00000000">
            <w:pPr>
              <w:pStyle w:val="TableParagraph"/>
              <w:spacing w:before="31"/>
              <w:ind w:right="58"/>
              <w:rPr>
                <w:sz w:val="16"/>
              </w:rPr>
            </w:pPr>
            <w:r>
              <w:rPr>
                <w:spacing w:val="-2"/>
                <w:w w:val="105"/>
                <w:sz w:val="16"/>
              </w:rPr>
              <w:t>73.330</w:t>
            </w:r>
          </w:p>
        </w:tc>
        <w:tc>
          <w:tcPr>
            <w:tcW w:w="1004" w:type="dxa"/>
          </w:tcPr>
          <w:p w14:paraId="79E9F748" w14:textId="77777777" w:rsidR="002C6574" w:rsidRDefault="00000000">
            <w:pPr>
              <w:pStyle w:val="TableParagraph"/>
              <w:spacing w:before="31"/>
              <w:ind w:right="59"/>
              <w:rPr>
                <w:sz w:val="16"/>
              </w:rPr>
            </w:pPr>
            <w:r>
              <w:rPr>
                <w:spacing w:val="-2"/>
                <w:w w:val="105"/>
                <w:sz w:val="16"/>
              </w:rPr>
              <w:t>64.356</w:t>
            </w:r>
          </w:p>
        </w:tc>
        <w:tc>
          <w:tcPr>
            <w:tcW w:w="1004" w:type="dxa"/>
          </w:tcPr>
          <w:p w14:paraId="1FC084B0" w14:textId="77777777" w:rsidR="002C6574" w:rsidRDefault="00000000">
            <w:pPr>
              <w:pStyle w:val="TableParagraph"/>
              <w:spacing w:before="31"/>
              <w:ind w:right="59"/>
              <w:rPr>
                <w:sz w:val="16"/>
              </w:rPr>
            </w:pPr>
            <w:r>
              <w:rPr>
                <w:spacing w:val="-2"/>
                <w:w w:val="105"/>
                <w:sz w:val="16"/>
              </w:rPr>
              <w:t>30.257</w:t>
            </w:r>
          </w:p>
        </w:tc>
        <w:tc>
          <w:tcPr>
            <w:tcW w:w="1004" w:type="dxa"/>
          </w:tcPr>
          <w:p w14:paraId="37AF0D69" w14:textId="77777777" w:rsidR="002C6574" w:rsidRDefault="00000000">
            <w:pPr>
              <w:pStyle w:val="TableParagraph"/>
              <w:spacing w:before="31"/>
              <w:ind w:right="63"/>
              <w:rPr>
                <w:sz w:val="16"/>
              </w:rPr>
            </w:pPr>
            <w:r>
              <w:rPr>
                <w:spacing w:val="-2"/>
                <w:w w:val="105"/>
                <w:sz w:val="16"/>
              </w:rPr>
              <w:t>30.629</w:t>
            </w:r>
          </w:p>
        </w:tc>
        <w:tc>
          <w:tcPr>
            <w:tcW w:w="1002" w:type="dxa"/>
          </w:tcPr>
          <w:p w14:paraId="51A234D5" w14:textId="77777777" w:rsidR="002C6574" w:rsidRDefault="00000000">
            <w:pPr>
              <w:pStyle w:val="TableParagraph"/>
              <w:spacing w:before="31"/>
              <w:ind w:right="61"/>
              <w:rPr>
                <w:sz w:val="16"/>
              </w:rPr>
            </w:pPr>
            <w:r>
              <w:rPr>
                <w:spacing w:val="-2"/>
                <w:w w:val="105"/>
                <w:sz w:val="16"/>
              </w:rPr>
              <w:t>53.266</w:t>
            </w:r>
          </w:p>
        </w:tc>
        <w:tc>
          <w:tcPr>
            <w:tcW w:w="1004" w:type="dxa"/>
          </w:tcPr>
          <w:p w14:paraId="56D1B85A" w14:textId="77777777" w:rsidR="002C6574" w:rsidRDefault="00000000">
            <w:pPr>
              <w:pStyle w:val="TableParagraph"/>
              <w:spacing w:before="31"/>
              <w:ind w:right="62"/>
              <w:rPr>
                <w:sz w:val="16"/>
              </w:rPr>
            </w:pPr>
            <w:r>
              <w:rPr>
                <w:spacing w:val="-2"/>
                <w:w w:val="105"/>
                <w:sz w:val="16"/>
              </w:rPr>
              <w:t>54.454</w:t>
            </w:r>
          </w:p>
        </w:tc>
      </w:tr>
      <w:tr w:rsidR="002C6574" w14:paraId="01CE8D22" w14:textId="77777777">
        <w:trPr>
          <w:trHeight w:val="289"/>
        </w:trPr>
        <w:tc>
          <w:tcPr>
            <w:tcW w:w="3754" w:type="dxa"/>
          </w:tcPr>
          <w:p w14:paraId="26B84FC2" w14:textId="77777777" w:rsidR="002C6574" w:rsidRDefault="00000000">
            <w:pPr>
              <w:pStyle w:val="TableParagraph"/>
              <w:spacing w:before="31"/>
              <w:ind w:left="69"/>
              <w:jc w:val="left"/>
              <w:rPr>
                <w:sz w:val="16"/>
              </w:rPr>
            </w:pPr>
            <w:r>
              <w:rPr>
                <w:sz w:val="16"/>
              </w:rPr>
              <w:t>3.</w:t>
            </w:r>
            <w:r>
              <w:rPr>
                <w:spacing w:val="5"/>
                <w:sz w:val="16"/>
              </w:rPr>
              <w:t xml:space="preserve"> </w:t>
            </w:r>
            <w:r>
              <w:rPr>
                <w:sz w:val="16"/>
              </w:rPr>
              <w:t>Contribuições</w:t>
            </w:r>
            <w:r>
              <w:rPr>
                <w:spacing w:val="5"/>
                <w:sz w:val="16"/>
              </w:rPr>
              <w:t xml:space="preserve"> </w:t>
            </w:r>
            <w:r>
              <w:rPr>
                <w:sz w:val="16"/>
              </w:rPr>
              <w:t>recebidas</w:t>
            </w:r>
            <w:r>
              <w:rPr>
                <w:spacing w:val="5"/>
                <w:sz w:val="16"/>
              </w:rPr>
              <w:t xml:space="preserve"> </w:t>
            </w:r>
            <w:r>
              <w:rPr>
                <w:sz w:val="16"/>
              </w:rPr>
              <w:t>pelo</w:t>
            </w:r>
            <w:r>
              <w:rPr>
                <w:spacing w:val="1"/>
                <w:sz w:val="16"/>
              </w:rPr>
              <w:t xml:space="preserve"> </w:t>
            </w:r>
            <w:r>
              <w:rPr>
                <w:spacing w:val="-2"/>
                <w:sz w:val="16"/>
              </w:rPr>
              <w:t>fundo</w:t>
            </w:r>
          </w:p>
        </w:tc>
        <w:tc>
          <w:tcPr>
            <w:tcW w:w="1004" w:type="dxa"/>
          </w:tcPr>
          <w:p w14:paraId="07D892A8" w14:textId="77777777" w:rsidR="002C6574" w:rsidRDefault="00000000">
            <w:pPr>
              <w:pStyle w:val="TableParagraph"/>
              <w:spacing w:before="31"/>
              <w:ind w:right="58"/>
              <w:rPr>
                <w:sz w:val="16"/>
              </w:rPr>
            </w:pPr>
            <w:r>
              <w:rPr>
                <w:spacing w:val="-10"/>
                <w:w w:val="95"/>
                <w:sz w:val="16"/>
              </w:rPr>
              <w:t>-</w:t>
            </w:r>
          </w:p>
        </w:tc>
        <w:tc>
          <w:tcPr>
            <w:tcW w:w="1004" w:type="dxa"/>
          </w:tcPr>
          <w:p w14:paraId="1A7EEDF5" w14:textId="77777777" w:rsidR="002C6574" w:rsidRDefault="00000000">
            <w:pPr>
              <w:pStyle w:val="TableParagraph"/>
              <w:spacing w:before="31"/>
              <w:ind w:right="58"/>
              <w:rPr>
                <w:sz w:val="16"/>
              </w:rPr>
            </w:pPr>
            <w:r>
              <w:rPr>
                <w:spacing w:val="-10"/>
                <w:w w:val="95"/>
                <w:sz w:val="16"/>
              </w:rPr>
              <w:t>-</w:t>
            </w:r>
          </w:p>
        </w:tc>
        <w:tc>
          <w:tcPr>
            <w:tcW w:w="1004" w:type="dxa"/>
          </w:tcPr>
          <w:p w14:paraId="127B88F4" w14:textId="77777777" w:rsidR="002C6574" w:rsidRDefault="00000000">
            <w:pPr>
              <w:pStyle w:val="TableParagraph"/>
              <w:spacing w:before="31"/>
              <w:ind w:right="59"/>
              <w:rPr>
                <w:sz w:val="16"/>
              </w:rPr>
            </w:pPr>
            <w:r>
              <w:rPr>
                <w:spacing w:val="-10"/>
                <w:w w:val="95"/>
                <w:sz w:val="16"/>
              </w:rPr>
              <w:t>-</w:t>
            </w:r>
          </w:p>
        </w:tc>
        <w:tc>
          <w:tcPr>
            <w:tcW w:w="1004" w:type="dxa"/>
          </w:tcPr>
          <w:p w14:paraId="2841ADEB" w14:textId="77777777" w:rsidR="002C6574" w:rsidRDefault="00000000">
            <w:pPr>
              <w:pStyle w:val="TableParagraph"/>
              <w:spacing w:before="31"/>
              <w:ind w:right="62"/>
              <w:rPr>
                <w:sz w:val="16"/>
              </w:rPr>
            </w:pPr>
            <w:r>
              <w:rPr>
                <w:spacing w:val="-10"/>
                <w:w w:val="95"/>
                <w:sz w:val="16"/>
              </w:rPr>
              <w:t>-</w:t>
            </w:r>
          </w:p>
        </w:tc>
        <w:tc>
          <w:tcPr>
            <w:tcW w:w="1002" w:type="dxa"/>
          </w:tcPr>
          <w:p w14:paraId="7AB9C977" w14:textId="77777777" w:rsidR="002C6574" w:rsidRDefault="00000000">
            <w:pPr>
              <w:pStyle w:val="TableParagraph"/>
              <w:spacing w:before="31"/>
              <w:ind w:right="61"/>
              <w:rPr>
                <w:sz w:val="16"/>
              </w:rPr>
            </w:pPr>
            <w:r>
              <w:rPr>
                <w:spacing w:val="-4"/>
                <w:w w:val="110"/>
                <w:sz w:val="16"/>
              </w:rPr>
              <w:t>5.310</w:t>
            </w:r>
          </w:p>
        </w:tc>
        <w:tc>
          <w:tcPr>
            <w:tcW w:w="1004" w:type="dxa"/>
          </w:tcPr>
          <w:p w14:paraId="4472C3CE" w14:textId="77777777" w:rsidR="002C6574" w:rsidRDefault="00000000">
            <w:pPr>
              <w:pStyle w:val="TableParagraph"/>
              <w:spacing w:before="31"/>
              <w:ind w:right="62"/>
              <w:rPr>
                <w:sz w:val="16"/>
              </w:rPr>
            </w:pPr>
            <w:r>
              <w:rPr>
                <w:spacing w:val="-4"/>
                <w:w w:val="110"/>
                <w:sz w:val="16"/>
              </w:rPr>
              <w:t>5.079</w:t>
            </w:r>
          </w:p>
        </w:tc>
      </w:tr>
      <w:tr w:rsidR="002C6574" w14:paraId="56A38F1E" w14:textId="77777777">
        <w:trPr>
          <w:trHeight w:val="290"/>
        </w:trPr>
        <w:tc>
          <w:tcPr>
            <w:tcW w:w="3754" w:type="dxa"/>
          </w:tcPr>
          <w:p w14:paraId="6C08F5EA" w14:textId="77777777" w:rsidR="002C6574" w:rsidRDefault="00000000">
            <w:pPr>
              <w:pStyle w:val="TableParagraph"/>
              <w:spacing w:before="31"/>
              <w:ind w:left="69"/>
              <w:jc w:val="left"/>
              <w:rPr>
                <w:sz w:val="16"/>
              </w:rPr>
            </w:pPr>
            <w:r>
              <w:rPr>
                <w:spacing w:val="-2"/>
                <w:w w:val="105"/>
                <w:sz w:val="16"/>
              </w:rPr>
              <w:t>4. Benefícios pagos</w:t>
            </w:r>
            <w:r>
              <w:rPr>
                <w:spacing w:val="-3"/>
                <w:w w:val="105"/>
                <w:sz w:val="16"/>
              </w:rPr>
              <w:t xml:space="preserve"> </w:t>
            </w:r>
            <w:r>
              <w:rPr>
                <w:spacing w:val="-2"/>
                <w:w w:val="105"/>
                <w:sz w:val="16"/>
              </w:rPr>
              <w:t>pelo</w:t>
            </w:r>
            <w:r>
              <w:rPr>
                <w:spacing w:val="-6"/>
                <w:w w:val="105"/>
                <w:sz w:val="16"/>
              </w:rPr>
              <w:t xml:space="preserve"> </w:t>
            </w:r>
            <w:r>
              <w:rPr>
                <w:spacing w:val="-2"/>
                <w:w w:val="105"/>
                <w:sz w:val="16"/>
              </w:rPr>
              <w:t>fundo</w:t>
            </w:r>
          </w:p>
        </w:tc>
        <w:tc>
          <w:tcPr>
            <w:tcW w:w="1004" w:type="dxa"/>
          </w:tcPr>
          <w:p w14:paraId="2ECF046D" w14:textId="77777777" w:rsidR="002C6574" w:rsidRDefault="00000000">
            <w:pPr>
              <w:pStyle w:val="TableParagraph"/>
              <w:spacing w:before="31"/>
              <w:ind w:right="56"/>
              <w:rPr>
                <w:sz w:val="16"/>
              </w:rPr>
            </w:pPr>
            <w:r>
              <w:rPr>
                <w:spacing w:val="-2"/>
                <w:w w:val="110"/>
                <w:sz w:val="16"/>
              </w:rPr>
              <w:t>(56.458)</w:t>
            </w:r>
          </w:p>
        </w:tc>
        <w:tc>
          <w:tcPr>
            <w:tcW w:w="1004" w:type="dxa"/>
          </w:tcPr>
          <w:p w14:paraId="56E9A216" w14:textId="77777777" w:rsidR="002C6574" w:rsidRDefault="00000000">
            <w:pPr>
              <w:pStyle w:val="TableParagraph"/>
              <w:spacing w:before="31"/>
              <w:ind w:right="57"/>
              <w:rPr>
                <w:sz w:val="16"/>
              </w:rPr>
            </w:pPr>
            <w:r>
              <w:rPr>
                <w:spacing w:val="-2"/>
                <w:w w:val="110"/>
                <w:sz w:val="16"/>
              </w:rPr>
              <w:t>(55.905)</w:t>
            </w:r>
          </w:p>
        </w:tc>
        <w:tc>
          <w:tcPr>
            <w:tcW w:w="1004" w:type="dxa"/>
          </w:tcPr>
          <w:p w14:paraId="5BFC13B0" w14:textId="77777777" w:rsidR="002C6574" w:rsidRDefault="00000000">
            <w:pPr>
              <w:pStyle w:val="TableParagraph"/>
              <w:spacing w:before="31"/>
              <w:ind w:right="57"/>
              <w:rPr>
                <w:sz w:val="16"/>
              </w:rPr>
            </w:pPr>
            <w:r>
              <w:rPr>
                <w:spacing w:val="-2"/>
                <w:w w:val="110"/>
                <w:sz w:val="16"/>
              </w:rPr>
              <w:t>(17.412)</w:t>
            </w:r>
          </w:p>
        </w:tc>
        <w:tc>
          <w:tcPr>
            <w:tcW w:w="1004" w:type="dxa"/>
          </w:tcPr>
          <w:p w14:paraId="708C1DC7" w14:textId="77777777" w:rsidR="002C6574" w:rsidRDefault="00000000">
            <w:pPr>
              <w:pStyle w:val="TableParagraph"/>
              <w:spacing w:before="31"/>
              <w:ind w:right="61"/>
              <w:rPr>
                <w:sz w:val="16"/>
              </w:rPr>
            </w:pPr>
            <w:r>
              <w:rPr>
                <w:spacing w:val="-2"/>
                <w:w w:val="110"/>
                <w:sz w:val="16"/>
              </w:rPr>
              <w:t>(16.307)</w:t>
            </w:r>
          </w:p>
        </w:tc>
        <w:tc>
          <w:tcPr>
            <w:tcW w:w="1002" w:type="dxa"/>
          </w:tcPr>
          <w:p w14:paraId="4A5F4923" w14:textId="77777777" w:rsidR="002C6574" w:rsidRDefault="00000000">
            <w:pPr>
              <w:pStyle w:val="TableParagraph"/>
              <w:spacing w:before="31"/>
              <w:ind w:right="59"/>
              <w:rPr>
                <w:sz w:val="16"/>
              </w:rPr>
            </w:pPr>
            <w:r>
              <w:rPr>
                <w:spacing w:val="-2"/>
                <w:w w:val="110"/>
                <w:sz w:val="16"/>
              </w:rPr>
              <w:t>(33.822)</w:t>
            </w:r>
          </w:p>
        </w:tc>
        <w:tc>
          <w:tcPr>
            <w:tcW w:w="1004" w:type="dxa"/>
          </w:tcPr>
          <w:p w14:paraId="4485A8A5" w14:textId="77777777" w:rsidR="002C6574" w:rsidRDefault="00000000">
            <w:pPr>
              <w:pStyle w:val="TableParagraph"/>
              <w:spacing w:before="31"/>
              <w:ind w:right="60"/>
              <w:rPr>
                <w:sz w:val="16"/>
              </w:rPr>
            </w:pPr>
            <w:r>
              <w:rPr>
                <w:spacing w:val="-2"/>
                <w:w w:val="110"/>
                <w:sz w:val="16"/>
              </w:rPr>
              <w:t>(36.460)</w:t>
            </w:r>
          </w:p>
        </w:tc>
      </w:tr>
      <w:tr w:rsidR="002C6574" w14:paraId="39C85AD6" w14:textId="77777777">
        <w:trPr>
          <w:trHeight w:val="366"/>
        </w:trPr>
        <w:tc>
          <w:tcPr>
            <w:tcW w:w="3754" w:type="dxa"/>
          </w:tcPr>
          <w:p w14:paraId="5BB64F2F" w14:textId="77777777" w:rsidR="002C6574" w:rsidRDefault="00000000">
            <w:pPr>
              <w:pStyle w:val="TableParagraph"/>
              <w:spacing w:line="184" w:lineRule="exact"/>
              <w:ind w:left="69"/>
              <w:jc w:val="left"/>
              <w:rPr>
                <w:sz w:val="16"/>
              </w:rPr>
            </w:pPr>
            <w:r>
              <w:rPr>
                <w:spacing w:val="-2"/>
                <w:w w:val="105"/>
                <w:sz w:val="16"/>
              </w:rPr>
              <w:t>5.</w:t>
            </w:r>
            <w:r>
              <w:rPr>
                <w:spacing w:val="-3"/>
                <w:w w:val="105"/>
                <w:sz w:val="16"/>
              </w:rPr>
              <w:t xml:space="preserve"> </w:t>
            </w:r>
            <w:r>
              <w:rPr>
                <w:spacing w:val="-2"/>
                <w:w w:val="105"/>
                <w:sz w:val="16"/>
              </w:rPr>
              <w:t>Ganhos/(Perdas)</w:t>
            </w:r>
            <w:r>
              <w:rPr>
                <w:spacing w:val="-6"/>
                <w:w w:val="105"/>
                <w:sz w:val="16"/>
              </w:rPr>
              <w:t xml:space="preserve"> </w:t>
            </w:r>
            <w:r>
              <w:rPr>
                <w:spacing w:val="-2"/>
                <w:w w:val="105"/>
                <w:sz w:val="16"/>
              </w:rPr>
              <w:t>atuariais</w:t>
            </w:r>
            <w:r>
              <w:rPr>
                <w:spacing w:val="-4"/>
                <w:w w:val="105"/>
                <w:sz w:val="16"/>
              </w:rPr>
              <w:t xml:space="preserve"> </w:t>
            </w:r>
            <w:r>
              <w:rPr>
                <w:spacing w:val="-2"/>
                <w:w w:val="105"/>
                <w:sz w:val="16"/>
              </w:rPr>
              <w:t>sobre</w:t>
            </w:r>
            <w:r>
              <w:rPr>
                <w:spacing w:val="-6"/>
                <w:w w:val="105"/>
                <w:sz w:val="16"/>
              </w:rPr>
              <w:t xml:space="preserve"> </w:t>
            </w:r>
            <w:r>
              <w:rPr>
                <w:spacing w:val="-2"/>
                <w:w w:val="105"/>
                <w:sz w:val="16"/>
              </w:rPr>
              <w:t>os</w:t>
            </w:r>
            <w:r>
              <w:rPr>
                <w:spacing w:val="-3"/>
                <w:w w:val="105"/>
                <w:sz w:val="16"/>
              </w:rPr>
              <w:t xml:space="preserve"> </w:t>
            </w:r>
            <w:r>
              <w:rPr>
                <w:spacing w:val="-2"/>
                <w:w w:val="105"/>
                <w:sz w:val="16"/>
              </w:rPr>
              <w:t>ativos</w:t>
            </w:r>
            <w:r>
              <w:rPr>
                <w:spacing w:val="-5"/>
                <w:w w:val="105"/>
                <w:sz w:val="16"/>
              </w:rPr>
              <w:t xml:space="preserve"> </w:t>
            </w:r>
            <w:r>
              <w:rPr>
                <w:spacing w:val="-2"/>
                <w:w w:val="105"/>
                <w:sz w:val="16"/>
              </w:rPr>
              <w:t xml:space="preserve">do </w:t>
            </w:r>
            <w:r>
              <w:rPr>
                <w:spacing w:val="-4"/>
                <w:w w:val="105"/>
                <w:sz w:val="16"/>
              </w:rPr>
              <w:t>plano</w:t>
            </w:r>
          </w:p>
        </w:tc>
        <w:tc>
          <w:tcPr>
            <w:tcW w:w="1004" w:type="dxa"/>
          </w:tcPr>
          <w:p w14:paraId="7C089D61" w14:textId="77777777" w:rsidR="002C6574" w:rsidRDefault="00000000">
            <w:pPr>
              <w:pStyle w:val="TableParagraph"/>
              <w:spacing w:before="69"/>
              <w:ind w:right="58"/>
              <w:rPr>
                <w:sz w:val="16"/>
              </w:rPr>
            </w:pPr>
            <w:r>
              <w:rPr>
                <w:spacing w:val="-2"/>
                <w:w w:val="105"/>
                <w:sz w:val="16"/>
              </w:rPr>
              <w:t>12.928</w:t>
            </w:r>
          </w:p>
        </w:tc>
        <w:tc>
          <w:tcPr>
            <w:tcW w:w="1004" w:type="dxa"/>
          </w:tcPr>
          <w:p w14:paraId="718A943C" w14:textId="77777777" w:rsidR="002C6574" w:rsidRDefault="00000000">
            <w:pPr>
              <w:pStyle w:val="TableParagraph"/>
              <w:spacing w:before="69"/>
              <w:ind w:right="60"/>
              <w:rPr>
                <w:sz w:val="16"/>
              </w:rPr>
            </w:pPr>
            <w:r>
              <w:rPr>
                <w:spacing w:val="-2"/>
                <w:w w:val="105"/>
                <w:sz w:val="16"/>
              </w:rPr>
              <w:t>(130.513)</w:t>
            </w:r>
          </w:p>
        </w:tc>
        <w:tc>
          <w:tcPr>
            <w:tcW w:w="1004" w:type="dxa"/>
          </w:tcPr>
          <w:p w14:paraId="6C65C7B1" w14:textId="77777777" w:rsidR="002C6574" w:rsidRDefault="00000000">
            <w:pPr>
              <w:pStyle w:val="TableParagraph"/>
              <w:spacing w:before="69"/>
              <w:ind w:right="59"/>
              <w:rPr>
                <w:sz w:val="16"/>
              </w:rPr>
            </w:pPr>
            <w:r>
              <w:rPr>
                <w:spacing w:val="-2"/>
                <w:w w:val="105"/>
                <w:sz w:val="16"/>
              </w:rPr>
              <w:t>15.312</w:t>
            </w:r>
          </w:p>
        </w:tc>
        <w:tc>
          <w:tcPr>
            <w:tcW w:w="1004" w:type="dxa"/>
          </w:tcPr>
          <w:p w14:paraId="17AAC1EC" w14:textId="77777777" w:rsidR="002C6574" w:rsidRDefault="00000000">
            <w:pPr>
              <w:pStyle w:val="TableParagraph"/>
              <w:spacing w:before="69"/>
              <w:ind w:right="64"/>
              <w:rPr>
                <w:sz w:val="16"/>
              </w:rPr>
            </w:pPr>
            <w:r>
              <w:rPr>
                <w:spacing w:val="-2"/>
                <w:w w:val="105"/>
                <w:sz w:val="16"/>
              </w:rPr>
              <w:t>(103.008)</w:t>
            </w:r>
          </w:p>
        </w:tc>
        <w:tc>
          <w:tcPr>
            <w:tcW w:w="1002" w:type="dxa"/>
          </w:tcPr>
          <w:p w14:paraId="0CDE2E83" w14:textId="77777777" w:rsidR="002C6574" w:rsidRDefault="00000000">
            <w:pPr>
              <w:pStyle w:val="TableParagraph"/>
              <w:spacing w:before="69"/>
              <w:ind w:right="61"/>
              <w:rPr>
                <w:sz w:val="16"/>
              </w:rPr>
            </w:pPr>
            <w:r>
              <w:rPr>
                <w:spacing w:val="-2"/>
                <w:w w:val="105"/>
                <w:sz w:val="16"/>
              </w:rPr>
              <w:t>50.418</w:t>
            </w:r>
          </w:p>
        </w:tc>
        <w:tc>
          <w:tcPr>
            <w:tcW w:w="1004" w:type="dxa"/>
          </w:tcPr>
          <w:p w14:paraId="42AB1EC6" w14:textId="77777777" w:rsidR="002C6574" w:rsidRDefault="00000000">
            <w:pPr>
              <w:pStyle w:val="TableParagraph"/>
              <w:spacing w:before="69"/>
              <w:ind w:right="62"/>
              <w:rPr>
                <w:sz w:val="16"/>
              </w:rPr>
            </w:pPr>
            <w:r>
              <w:rPr>
                <w:spacing w:val="-2"/>
                <w:w w:val="105"/>
                <w:sz w:val="16"/>
              </w:rPr>
              <w:t>(184.845)</w:t>
            </w:r>
          </w:p>
        </w:tc>
      </w:tr>
      <w:tr w:rsidR="002C6574" w14:paraId="307EE529" w14:textId="77777777">
        <w:trPr>
          <w:trHeight w:val="298"/>
        </w:trPr>
        <w:tc>
          <w:tcPr>
            <w:tcW w:w="3754" w:type="dxa"/>
          </w:tcPr>
          <w:p w14:paraId="56519377" w14:textId="77777777" w:rsidR="002C6574" w:rsidRDefault="00000000">
            <w:pPr>
              <w:pStyle w:val="TableParagraph"/>
              <w:spacing w:before="57"/>
              <w:ind w:left="69"/>
              <w:jc w:val="left"/>
              <w:rPr>
                <w:rFonts w:ascii="Arial"/>
                <w:b/>
                <w:sz w:val="16"/>
              </w:rPr>
            </w:pPr>
            <w:r>
              <w:rPr>
                <w:rFonts w:ascii="Arial"/>
                <w:b/>
                <w:sz w:val="16"/>
              </w:rPr>
              <w:t>8.</w:t>
            </w:r>
            <w:r>
              <w:rPr>
                <w:rFonts w:ascii="Arial"/>
                <w:b/>
                <w:spacing w:val="-1"/>
                <w:sz w:val="16"/>
              </w:rPr>
              <w:t xml:space="preserve"> </w:t>
            </w:r>
            <w:r>
              <w:rPr>
                <w:rFonts w:ascii="Arial"/>
                <w:b/>
                <w:sz w:val="16"/>
              </w:rPr>
              <w:t>Valor</w:t>
            </w:r>
            <w:r>
              <w:rPr>
                <w:rFonts w:ascii="Arial"/>
                <w:b/>
                <w:spacing w:val="-4"/>
                <w:sz w:val="16"/>
              </w:rPr>
              <w:t xml:space="preserve"> </w:t>
            </w:r>
            <w:r>
              <w:rPr>
                <w:rFonts w:ascii="Arial"/>
                <w:b/>
                <w:sz w:val="16"/>
              </w:rPr>
              <w:t>justo</w:t>
            </w:r>
            <w:r>
              <w:rPr>
                <w:rFonts w:ascii="Arial"/>
                <w:b/>
                <w:spacing w:val="-2"/>
                <w:sz w:val="16"/>
              </w:rPr>
              <w:t xml:space="preserve"> </w:t>
            </w:r>
            <w:r>
              <w:rPr>
                <w:rFonts w:ascii="Arial"/>
                <w:b/>
                <w:sz w:val="16"/>
              </w:rPr>
              <w:t>dos</w:t>
            </w:r>
            <w:r>
              <w:rPr>
                <w:rFonts w:ascii="Arial"/>
                <w:b/>
                <w:spacing w:val="-4"/>
                <w:sz w:val="16"/>
              </w:rPr>
              <w:t xml:space="preserve"> </w:t>
            </w:r>
            <w:r>
              <w:rPr>
                <w:rFonts w:ascii="Arial"/>
                <w:b/>
                <w:sz w:val="16"/>
              </w:rPr>
              <w:t>ativos</w:t>
            </w:r>
            <w:r>
              <w:rPr>
                <w:rFonts w:ascii="Arial"/>
                <w:b/>
                <w:spacing w:val="-3"/>
                <w:sz w:val="16"/>
              </w:rPr>
              <w:t xml:space="preserve"> </w:t>
            </w:r>
            <w:r>
              <w:rPr>
                <w:rFonts w:ascii="Arial"/>
                <w:b/>
                <w:sz w:val="16"/>
              </w:rPr>
              <w:t>do</w:t>
            </w:r>
            <w:r>
              <w:rPr>
                <w:rFonts w:ascii="Arial"/>
                <w:b/>
                <w:spacing w:val="-2"/>
                <w:sz w:val="16"/>
              </w:rPr>
              <w:t xml:space="preserve"> </w:t>
            </w:r>
            <w:r>
              <w:rPr>
                <w:rFonts w:ascii="Arial"/>
                <w:b/>
                <w:spacing w:val="-4"/>
                <w:sz w:val="16"/>
              </w:rPr>
              <w:t>plano</w:t>
            </w:r>
          </w:p>
        </w:tc>
        <w:tc>
          <w:tcPr>
            <w:tcW w:w="1004" w:type="dxa"/>
          </w:tcPr>
          <w:p w14:paraId="12932043" w14:textId="77777777" w:rsidR="002C6574" w:rsidRDefault="00000000">
            <w:pPr>
              <w:pStyle w:val="TableParagraph"/>
              <w:spacing w:before="57"/>
              <w:ind w:right="58"/>
              <w:rPr>
                <w:rFonts w:ascii="Arial"/>
                <w:b/>
                <w:sz w:val="16"/>
              </w:rPr>
            </w:pPr>
            <w:r>
              <w:rPr>
                <w:rFonts w:ascii="Arial"/>
                <w:b/>
                <w:spacing w:val="-2"/>
                <w:sz w:val="16"/>
              </w:rPr>
              <w:t>598.248</w:t>
            </w:r>
          </w:p>
        </w:tc>
        <w:tc>
          <w:tcPr>
            <w:tcW w:w="1004" w:type="dxa"/>
          </w:tcPr>
          <w:p w14:paraId="314970A0" w14:textId="77777777" w:rsidR="002C6574" w:rsidRDefault="00000000">
            <w:pPr>
              <w:pStyle w:val="TableParagraph"/>
              <w:spacing w:before="57"/>
              <w:ind w:right="59"/>
              <w:rPr>
                <w:rFonts w:ascii="Arial"/>
                <w:b/>
                <w:sz w:val="16"/>
              </w:rPr>
            </w:pPr>
            <w:r>
              <w:rPr>
                <w:rFonts w:ascii="Arial"/>
                <w:b/>
                <w:spacing w:val="-2"/>
                <w:sz w:val="16"/>
              </w:rPr>
              <w:t>568.448</w:t>
            </w:r>
          </w:p>
        </w:tc>
        <w:tc>
          <w:tcPr>
            <w:tcW w:w="1004" w:type="dxa"/>
          </w:tcPr>
          <w:p w14:paraId="69726C22" w14:textId="77777777" w:rsidR="002C6574" w:rsidRDefault="00000000">
            <w:pPr>
              <w:pStyle w:val="TableParagraph"/>
              <w:spacing w:before="57"/>
              <w:ind w:right="60"/>
              <w:rPr>
                <w:rFonts w:ascii="Arial"/>
                <w:b/>
                <w:sz w:val="16"/>
              </w:rPr>
            </w:pPr>
            <w:r>
              <w:rPr>
                <w:rFonts w:ascii="Arial"/>
                <w:b/>
                <w:spacing w:val="-2"/>
                <w:sz w:val="16"/>
              </w:rPr>
              <w:t>264.366</w:t>
            </w:r>
          </w:p>
        </w:tc>
        <w:tc>
          <w:tcPr>
            <w:tcW w:w="1004" w:type="dxa"/>
          </w:tcPr>
          <w:p w14:paraId="65AB5587" w14:textId="77777777" w:rsidR="002C6574" w:rsidRDefault="00000000">
            <w:pPr>
              <w:pStyle w:val="TableParagraph"/>
              <w:spacing w:before="57"/>
              <w:ind w:right="63"/>
              <w:rPr>
                <w:rFonts w:ascii="Arial"/>
                <w:b/>
                <w:sz w:val="16"/>
              </w:rPr>
            </w:pPr>
            <w:r>
              <w:rPr>
                <w:rFonts w:ascii="Arial"/>
                <w:b/>
                <w:spacing w:val="-2"/>
                <w:sz w:val="16"/>
              </w:rPr>
              <w:t>236.209</w:t>
            </w:r>
          </w:p>
        </w:tc>
        <w:tc>
          <w:tcPr>
            <w:tcW w:w="1002" w:type="dxa"/>
          </w:tcPr>
          <w:p w14:paraId="78FCFB93" w14:textId="77777777" w:rsidR="002C6574" w:rsidRDefault="00000000">
            <w:pPr>
              <w:pStyle w:val="TableParagraph"/>
              <w:spacing w:before="57"/>
              <w:ind w:right="62"/>
              <w:rPr>
                <w:rFonts w:ascii="Arial"/>
                <w:b/>
                <w:sz w:val="16"/>
              </w:rPr>
            </w:pPr>
            <w:r>
              <w:rPr>
                <w:rFonts w:ascii="Arial"/>
                <w:b/>
                <w:spacing w:val="-2"/>
                <w:sz w:val="16"/>
              </w:rPr>
              <w:t>491.009</w:t>
            </w:r>
          </w:p>
        </w:tc>
        <w:tc>
          <w:tcPr>
            <w:tcW w:w="1004" w:type="dxa"/>
          </w:tcPr>
          <w:p w14:paraId="1C4C26F2" w14:textId="77777777" w:rsidR="002C6574" w:rsidRDefault="00000000">
            <w:pPr>
              <w:pStyle w:val="TableParagraph"/>
              <w:spacing w:before="57"/>
              <w:ind w:right="63"/>
              <w:rPr>
                <w:rFonts w:ascii="Arial"/>
                <w:b/>
                <w:sz w:val="16"/>
              </w:rPr>
            </w:pPr>
            <w:r>
              <w:rPr>
                <w:rFonts w:ascii="Arial"/>
                <w:b/>
                <w:spacing w:val="-2"/>
                <w:sz w:val="16"/>
              </w:rPr>
              <w:t>415.837</w:t>
            </w:r>
          </w:p>
        </w:tc>
      </w:tr>
    </w:tbl>
    <w:p w14:paraId="0F2A282B" w14:textId="77777777" w:rsidR="002C6574" w:rsidRDefault="002C6574">
      <w:pPr>
        <w:pStyle w:val="Corpodetexto"/>
        <w:spacing w:before="3"/>
        <w:rPr>
          <w:rFonts w:ascii="Arial"/>
          <w:b/>
        </w:rPr>
      </w:pPr>
    </w:p>
    <w:p w14:paraId="5F53BE07" w14:textId="77777777" w:rsidR="002C6574" w:rsidRDefault="00000000">
      <w:pPr>
        <w:pStyle w:val="PargrafodaLista"/>
        <w:numPr>
          <w:ilvl w:val="2"/>
          <w:numId w:val="27"/>
        </w:numPr>
        <w:tabs>
          <w:tab w:val="left" w:pos="990"/>
        </w:tabs>
        <w:ind w:left="990" w:hanging="847"/>
        <w:rPr>
          <w:rFonts w:ascii="Arial"/>
          <w:b/>
        </w:rPr>
      </w:pPr>
      <w:r>
        <w:rPr>
          <w:rFonts w:ascii="Arial"/>
          <w:b/>
        </w:rPr>
        <w:t>Ganhos</w:t>
      </w:r>
      <w:r>
        <w:rPr>
          <w:rFonts w:ascii="Arial"/>
          <w:b/>
          <w:spacing w:val="-3"/>
        </w:rPr>
        <w:t xml:space="preserve"> </w:t>
      </w:r>
      <w:r>
        <w:rPr>
          <w:rFonts w:ascii="Arial"/>
          <w:b/>
        </w:rPr>
        <w:t>e</w:t>
      </w:r>
      <w:r>
        <w:rPr>
          <w:rFonts w:ascii="Arial"/>
          <w:b/>
          <w:spacing w:val="-3"/>
        </w:rPr>
        <w:t xml:space="preserve"> </w:t>
      </w:r>
      <w:r>
        <w:rPr>
          <w:rFonts w:ascii="Arial"/>
          <w:b/>
        </w:rPr>
        <w:t>Perdas</w:t>
      </w:r>
      <w:r>
        <w:rPr>
          <w:rFonts w:ascii="Arial"/>
          <w:b/>
          <w:spacing w:val="-1"/>
        </w:rPr>
        <w:t xml:space="preserve"> </w:t>
      </w:r>
      <w:r>
        <w:rPr>
          <w:rFonts w:ascii="Arial"/>
          <w:b/>
          <w:spacing w:val="-2"/>
        </w:rPr>
        <w:t>Atuariais</w:t>
      </w:r>
    </w:p>
    <w:p w14:paraId="2AAE0C87" w14:textId="77777777" w:rsidR="002C6574" w:rsidRDefault="002C6574">
      <w:pPr>
        <w:pStyle w:val="Corpodetexto"/>
        <w:spacing w:before="59" w:after="1"/>
        <w:rPr>
          <w:rFonts w:ascii="Arial"/>
          <w:b/>
          <w:sz w:val="20"/>
        </w:rPr>
      </w:pPr>
    </w:p>
    <w:tbl>
      <w:tblPr>
        <w:tblStyle w:val="TableNormal"/>
        <w:tblW w:w="0" w:type="auto"/>
        <w:tblInd w:w="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31"/>
        <w:gridCol w:w="1118"/>
        <w:gridCol w:w="1137"/>
        <w:gridCol w:w="1118"/>
        <w:gridCol w:w="1137"/>
        <w:gridCol w:w="959"/>
        <w:gridCol w:w="957"/>
      </w:tblGrid>
      <w:tr w:rsidR="002C6574" w14:paraId="562D204C" w14:textId="77777777">
        <w:trPr>
          <w:trHeight w:val="220"/>
        </w:trPr>
        <w:tc>
          <w:tcPr>
            <w:tcW w:w="3331" w:type="dxa"/>
            <w:vMerge w:val="restart"/>
            <w:shd w:val="clear" w:color="auto" w:fill="BFBFBF"/>
          </w:tcPr>
          <w:p w14:paraId="722365CA" w14:textId="77777777" w:rsidR="002C6574" w:rsidRDefault="002C6574">
            <w:pPr>
              <w:pStyle w:val="TableParagraph"/>
              <w:spacing w:before="61"/>
              <w:jc w:val="left"/>
              <w:rPr>
                <w:rFonts w:ascii="Arial"/>
                <w:b/>
                <w:sz w:val="16"/>
              </w:rPr>
            </w:pPr>
          </w:p>
          <w:p w14:paraId="5304F2EA" w14:textId="77777777" w:rsidR="002C6574" w:rsidRDefault="00000000">
            <w:pPr>
              <w:pStyle w:val="TableParagraph"/>
              <w:ind w:left="69"/>
              <w:jc w:val="left"/>
              <w:rPr>
                <w:rFonts w:ascii="Arial" w:hAnsi="Arial"/>
                <w:b/>
                <w:sz w:val="16"/>
              </w:rPr>
            </w:pPr>
            <w:r>
              <w:rPr>
                <w:rFonts w:ascii="Arial" w:hAnsi="Arial"/>
                <w:b/>
                <w:spacing w:val="-2"/>
                <w:sz w:val="16"/>
              </w:rPr>
              <w:t>Composição:</w:t>
            </w:r>
          </w:p>
        </w:tc>
        <w:tc>
          <w:tcPr>
            <w:tcW w:w="2255" w:type="dxa"/>
            <w:gridSpan w:val="2"/>
          </w:tcPr>
          <w:p w14:paraId="7FE7D0A6" w14:textId="77777777" w:rsidR="002C6574" w:rsidRDefault="00000000">
            <w:pPr>
              <w:pStyle w:val="TableParagraph"/>
              <w:spacing w:before="20" w:line="180" w:lineRule="exact"/>
              <w:ind w:left="68"/>
              <w:jc w:val="center"/>
              <w:rPr>
                <w:rFonts w:ascii="Arial"/>
                <w:b/>
                <w:sz w:val="16"/>
              </w:rPr>
            </w:pPr>
            <w:r>
              <w:rPr>
                <w:rFonts w:ascii="Arial"/>
                <w:b/>
                <w:spacing w:val="-2"/>
                <w:sz w:val="16"/>
              </w:rPr>
              <w:t>PBS-</w:t>
            </w:r>
            <w:r>
              <w:rPr>
                <w:rFonts w:ascii="Arial"/>
                <w:b/>
                <w:spacing w:val="-10"/>
                <w:sz w:val="16"/>
              </w:rPr>
              <w:t>A</w:t>
            </w:r>
          </w:p>
        </w:tc>
        <w:tc>
          <w:tcPr>
            <w:tcW w:w="2255" w:type="dxa"/>
            <w:gridSpan w:val="2"/>
          </w:tcPr>
          <w:p w14:paraId="7B3C61BE" w14:textId="77777777" w:rsidR="002C6574" w:rsidRDefault="00000000">
            <w:pPr>
              <w:pStyle w:val="TableParagraph"/>
              <w:spacing w:before="20" w:line="180" w:lineRule="exact"/>
              <w:ind w:left="628"/>
              <w:jc w:val="left"/>
              <w:rPr>
                <w:rFonts w:ascii="Arial"/>
                <w:b/>
                <w:sz w:val="16"/>
              </w:rPr>
            </w:pPr>
            <w:r>
              <w:rPr>
                <w:rFonts w:ascii="Arial"/>
                <w:b/>
                <w:spacing w:val="-2"/>
                <w:sz w:val="16"/>
              </w:rPr>
              <w:t>PBS-Telebras</w:t>
            </w:r>
          </w:p>
        </w:tc>
        <w:tc>
          <w:tcPr>
            <w:tcW w:w="1916" w:type="dxa"/>
            <w:gridSpan w:val="2"/>
          </w:tcPr>
          <w:p w14:paraId="567EB686" w14:textId="77777777" w:rsidR="002C6574" w:rsidRDefault="00000000">
            <w:pPr>
              <w:pStyle w:val="TableParagraph"/>
              <w:spacing w:before="20" w:line="180" w:lineRule="exact"/>
              <w:ind w:left="412"/>
              <w:jc w:val="left"/>
              <w:rPr>
                <w:rFonts w:ascii="Arial"/>
                <w:b/>
                <w:sz w:val="16"/>
              </w:rPr>
            </w:pPr>
            <w:r>
              <w:rPr>
                <w:rFonts w:ascii="Arial"/>
                <w:b/>
                <w:sz w:val="16"/>
              </w:rPr>
              <w:t>Telebras</w:t>
            </w:r>
            <w:r>
              <w:rPr>
                <w:rFonts w:ascii="Arial"/>
                <w:b/>
                <w:spacing w:val="-3"/>
                <w:sz w:val="16"/>
              </w:rPr>
              <w:t xml:space="preserve"> </w:t>
            </w:r>
            <w:r>
              <w:rPr>
                <w:rFonts w:ascii="Arial"/>
                <w:b/>
                <w:spacing w:val="-4"/>
                <w:sz w:val="16"/>
              </w:rPr>
              <w:t>PREV</w:t>
            </w:r>
          </w:p>
        </w:tc>
      </w:tr>
      <w:tr w:rsidR="002C6574" w14:paraId="37F9D6B2" w14:textId="77777777">
        <w:trPr>
          <w:trHeight w:val="431"/>
        </w:trPr>
        <w:tc>
          <w:tcPr>
            <w:tcW w:w="3331" w:type="dxa"/>
            <w:vMerge/>
            <w:tcBorders>
              <w:top w:val="nil"/>
            </w:tcBorders>
            <w:shd w:val="clear" w:color="auto" w:fill="BFBFBF"/>
          </w:tcPr>
          <w:p w14:paraId="1C3CF9D9" w14:textId="77777777" w:rsidR="002C6574" w:rsidRDefault="002C6574">
            <w:pPr>
              <w:rPr>
                <w:sz w:val="2"/>
                <w:szCs w:val="2"/>
              </w:rPr>
            </w:pPr>
          </w:p>
        </w:tc>
        <w:tc>
          <w:tcPr>
            <w:tcW w:w="1118" w:type="dxa"/>
          </w:tcPr>
          <w:p w14:paraId="6A49C56F" w14:textId="77777777" w:rsidR="002C6574" w:rsidRDefault="00000000">
            <w:pPr>
              <w:pStyle w:val="TableParagraph"/>
              <w:spacing w:before="125"/>
              <w:ind w:left="158"/>
              <w:jc w:val="left"/>
              <w:rPr>
                <w:rFonts w:ascii="Arial"/>
                <w:b/>
                <w:sz w:val="16"/>
              </w:rPr>
            </w:pPr>
            <w:r>
              <w:rPr>
                <w:rFonts w:ascii="Arial"/>
                <w:b/>
                <w:spacing w:val="-2"/>
                <w:sz w:val="16"/>
              </w:rPr>
              <w:t>31/12/2025</w:t>
            </w:r>
          </w:p>
        </w:tc>
        <w:tc>
          <w:tcPr>
            <w:tcW w:w="1137" w:type="dxa"/>
          </w:tcPr>
          <w:p w14:paraId="2B2817BB" w14:textId="77777777" w:rsidR="002C6574" w:rsidRDefault="00000000">
            <w:pPr>
              <w:pStyle w:val="TableParagraph"/>
              <w:spacing w:before="125"/>
              <w:ind w:left="165"/>
              <w:jc w:val="left"/>
              <w:rPr>
                <w:rFonts w:ascii="Arial"/>
                <w:b/>
                <w:sz w:val="16"/>
              </w:rPr>
            </w:pPr>
            <w:r>
              <w:rPr>
                <w:rFonts w:ascii="Arial"/>
                <w:b/>
                <w:spacing w:val="-2"/>
                <w:sz w:val="16"/>
              </w:rPr>
              <w:t>31/12/2024</w:t>
            </w:r>
          </w:p>
        </w:tc>
        <w:tc>
          <w:tcPr>
            <w:tcW w:w="1118" w:type="dxa"/>
          </w:tcPr>
          <w:p w14:paraId="3C2323B2" w14:textId="77777777" w:rsidR="002C6574" w:rsidRDefault="00000000">
            <w:pPr>
              <w:pStyle w:val="TableParagraph"/>
              <w:spacing w:before="125"/>
              <w:ind w:left="159"/>
              <w:jc w:val="left"/>
              <w:rPr>
                <w:rFonts w:ascii="Arial"/>
                <w:b/>
                <w:sz w:val="16"/>
              </w:rPr>
            </w:pPr>
            <w:r>
              <w:rPr>
                <w:rFonts w:ascii="Arial"/>
                <w:b/>
                <w:spacing w:val="-2"/>
                <w:sz w:val="16"/>
              </w:rPr>
              <w:t>31/12/2025</w:t>
            </w:r>
          </w:p>
        </w:tc>
        <w:tc>
          <w:tcPr>
            <w:tcW w:w="1137" w:type="dxa"/>
          </w:tcPr>
          <w:p w14:paraId="2B1D376F" w14:textId="77777777" w:rsidR="002C6574" w:rsidRDefault="00000000">
            <w:pPr>
              <w:pStyle w:val="TableParagraph"/>
              <w:spacing w:before="125"/>
              <w:ind w:left="166"/>
              <w:jc w:val="left"/>
              <w:rPr>
                <w:rFonts w:ascii="Arial"/>
                <w:b/>
                <w:sz w:val="16"/>
              </w:rPr>
            </w:pPr>
            <w:r>
              <w:rPr>
                <w:rFonts w:ascii="Arial"/>
                <w:b/>
                <w:spacing w:val="-2"/>
                <w:sz w:val="16"/>
              </w:rPr>
              <w:t>31/12/2024</w:t>
            </w:r>
          </w:p>
        </w:tc>
        <w:tc>
          <w:tcPr>
            <w:tcW w:w="959" w:type="dxa"/>
          </w:tcPr>
          <w:p w14:paraId="1AE47A03" w14:textId="77777777" w:rsidR="002C6574" w:rsidRDefault="00000000">
            <w:pPr>
              <w:pStyle w:val="TableParagraph"/>
              <w:spacing w:before="125"/>
              <w:ind w:right="56"/>
              <w:rPr>
                <w:rFonts w:ascii="Arial"/>
                <w:b/>
                <w:sz w:val="16"/>
              </w:rPr>
            </w:pPr>
            <w:r>
              <w:rPr>
                <w:rFonts w:ascii="Arial"/>
                <w:b/>
                <w:spacing w:val="-2"/>
                <w:sz w:val="16"/>
              </w:rPr>
              <w:t>31/12/2025</w:t>
            </w:r>
          </w:p>
        </w:tc>
        <w:tc>
          <w:tcPr>
            <w:tcW w:w="957" w:type="dxa"/>
          </w:tcPr>
          <w:p w14:paraId="4A299304" w14:textId="77777777" w:rsidR="002C6574" w:rsidRDefault="00000000">
            <w:pPr>
              <w:pStyle w:val="TableParagraph"/>
              <w:spacing w:before="125"/>
              <w:ind w:right="53"/>
              <w:rPr>
                <w:rFonts w:ascii="Arial"/>
                <w:b/>
                <w:sz w:val="16"/>
              </w:rPr>
            </w:pPr>
            <w:r>
              <w:rPr>
                <w:rFonts w:ascii="Arial"/>
                <w:b/>
                <w:spacing w:val="-2"/>
                <w:sz w:val="16"/>
              </w:rPr>
              <w:t>31/12/2024</w:t>
            </w:r>
          </w:p>
        </w:tc>
      </w:tr>
      <w:tr w:rsidR="002C6574" w14:paraId="5D50A680" w14:textId="77777777">
        <w:trPr>
          <w:trHeight w:val="428"/>
        </w:trPr>
        <w:tc>
          <w:tcPr>
            <w:tcW w:w="3331" w:type="dxa"/>
          </w:tcPr>
          <w:p w14:paraId="06AE4721" w14:textId="77777777" w:rsidR="002C6574" w:rsidRDefault="00000000">
            <w:pPr>
              <w:pStyle w:val="TableParagraph"/>
              <w:spacing w:before="31" w:line="208" w:lineRule="auto"/>
              <w:ind w:left="69" w:right="374"/>
              <w:jc w:val="left"/>
              <w:rPr>
                <w:sz w:val="16"/>
              </w:rPr>
            </w:pPr>
            <w:r>
              <w:rPr>
                <w:w w:val="105"/>
                <w:sz w:val="16"/>
              </w:rPr>
              <w:t>1.</w:t>
            </w:r>
            <w:r>
              <w:rPr>
                <w:spacing w:val="-12"/>
                <w:w w:val="105"/>
                <w:sz w:val="16"/>
              </w:rPr>
              <w:t xml:space="preserve"> </w:t>
            </w:r>
            <w:r>
              <w:rPr>
                <w:w w:val="105"/>
                <w:sz w:val="16"/>
              </w:rPr>
              <w:t>Ganhos/(Perdas)</w:t>
            </w:r>
            <w:r>
              <w:rPr>
                <w:spacing w:val="-11"/>
                <w:w w:val="105"/>
                <w:sz w:val="16"/>
              </w:rPr>
              <w:t xml:space="preserve"> </w:t>
            </w:r>
            <w:r>
              <w:rPr>
                <w:w w:val="105"/>
                <w:sz w:val="16"/>
              </w:rPr>
              <w:t>atuariais</w:t>
            </w:r>
            <w:r>
              <w:rPr>
                <w:spacing w:val="-12"/>
                <w:w w:val="105"/>
                <w:sz w:val="16"/>
              </w:rPr>
              <w:t xml:space="preserve"> </w:t>
            </w:r>
            <w:r>
              <w:rPr>
                <w:w w:val="105"/>
                <w:sz w:val="16"/>
              </w:rPr>
              <w:t>para</w:t>
            </w:r>
            <w:r>
              <w:rPr>
                <w:spacing w:val="-12"/>
                <w:w w:val="105"/>
                <w:sz w:val="16"/>
              </w:rPr>
              <w:t xml:space="preserve"> </w:t>
            </w:r>
            <w:r>
              <w:rPr>
                <w:w w:val="105"/>
                <w:sz w:val="16"/>
              </w:rPr>
              <w:t>o</w:t>
            </w:r>
            <w:r>
              <w:rPr>
                <w:spacing w:val="-11"/>
                <w:w w:val="105"/>
                <w:sz w:val="16"/>
              </w:rPr>
              <w:t xml:space="preserve"> </w:t>
            </w:r>
            <w:r>
              <w:rPr>
                <w:w w:val="105"/>
                <w:sz w:val="16"/>
              </w:rPr>
              <w:t>ano sobre a obrigação</w:t>
            </w:r>
          </w:p>
        </w:tc>
        <w:tc>
          <w:tcPr>
            <w:tcW w:w="1118" w:type="dxa"/>
          </w:tcPr>
          <w:p w14:paraId="66EB7602" w14:textId="77777777" w:rsidR="002C6574" w:rsidRDefault="00000000">
            <w:pPr>
              <w:pStyle w:val="TableParagraph"/>
              <w:spacing w:before="100"/>
              <w:ind w:right="46"/>
              <w:rPr>
                <w:sz w:val="16"/>
              </w:rPr>
            </w:pPr>
            <w:r>
              <w:rPr>
                <w:spacing w:val="-2"/>
                <w:w w:val="105"/>
                <w:sz w:val="16"/>
              </w:rPr>
              <w:t>13.458</w:t>
            </w:r>
          </w:p>
        </w:tc>
        <w:tc>
          <w:tcPr>
            <w:tcW w:w="1137" w:type="dxa"/>
          </w:tcPr>
          <w:p w14:paraId="721B0D54" w14:textId="77777777" w:rsidR="002C6574" w:rsidRDefault="00000000">
            <w:pPr>
              <w:pStyle w:val="TableParagraph"/>
              <w:spacing w:before="100"/>
              <w:ind w:right="48"/>
              <w:rPr>
                <w:sz w:val="16"/>
              </w:rPr>
            </w:pPr>
            <w:r>
              <w:rPr>
                <w:spacing w:val="-2"/>
                <w:w w:val="105"/>
                <w:sz w:val="16"/>
              </w:rPr>
              <w:t>82.964</w:t>
            </w:r>
          </w:p>
        </w:tc>
        <w:tc>
          <w:tcPr>
            <w:tcW w:w="1118" w:type="dxa"/>
          </w:tcPr>
          <w:p w14:paraId="12DB5138" w14:textId="77777777" w:rsidR="002C6574" w:rsidRDefault="00000000">
            <w:pPr>
              <w:pStyle w:val="TableParagraph"/>
              <w:spacing w:before="100"/>
              <w:ind w:right="46"/>
              <w:rPr>
                <w:sz w:val="16"/>
              </w:rPr>
            </w:pPr>
            <w:r>
              <w:rPr>
                <w:spacing w:val="-4"/>
                <w:w w:val="110"/>
                <w:sz w:val="16"/>
              </w:rPr>
              <w:t>6.491</w:t>
            </w:r>
          </w:p>
        </w:tc>
        <w:tc>
          <w:tcPr>
            <w:tcW w:w="1137" w:type="dxa"/>
          </w:tcPr>
          <w:p w14:paraId="02C79502" w14:textId="77777777" w:rsidR="002C6574" w:rsidRDefault="00000000">
            <w:pPr>
              <w:pStyle w:val="TableParagraph"/>
              <w:spacing w:before="100"/>
              <w:ind w:right="47"/>
              <w:rPr>
                <w:sz w:val="16"/>
              </w:rPr>
            </w:pPr>
            <w:r>
              <w:rPr>
                <w:spacing w:val="-2"/>
                <w:w w:val="105"/>
                <w:sz w:val="16"/>
              </w:rPr>
              <w:t>28.366</w:t>
            </w:r>
          </w:p>
        </w:tc>
        <w:tc>
          <w:tcPr>
            <w:tcW w:w="959" w:type="dxa"/>
          </w:tcPr>
          <w:p w14:paraId="3DAC2207" w14:textId="77777777" w:rsidR="002C6574" w:rsidRDefault="00000000">
            <w:pPr>
              <w:pStyle w:val="TableParagraph"/>
              <w:spacing w:before="100"/>
              <w:ind w:right="44"/>
              <w:rPr>
                <w:sz w:val="16"/>
              </w:rPr>
            </w:pPr>
            <w:r>
              <w:rPr>
                <w:spacing w:val="-2"/>
                <w:w w:val="110"/>
                <w:sz w:val="16"/>
              </w:rPr>
              <w:t>(13.078)</w:t>
            </w:r>
          </w:p>
        </w:tc>
        <w:tc>
          <w:tcPr>
            <w:tcW w:w="957" w:type="dxa"/>
          </w:tcPr>
          <w:p w14:paraId="0FA23825" w14:textId="77777777" w:rsidR="002C6574" w:rsidRDefault="00000000">
            <w:pPr>
              <w:pStyle w:val="TableParagraph"/>
              <w:spacing w:before="100"/>
              <w:ind w:right="43"/>
              <w:rPr>
                <w:sz w:val="16"/>
              </w:rPr>
            </w:pPr>
            <w:r>
              <w:rPr>
                <w:spacing w:val="-2"/>
                <w:w w:val="105"/>
                <w:sz w:val="16"/>
              </w:rPr>
              <w:t>37.955</w:t>
            </w:r>
          </w:p>
        </w:tc>
      </w:tr>
      <w:tr w:rsidR="002C6574" w14:paraId="0BED38E9" w14:textId="77777777">
        <w:trPr>
          <w:trHeight w:val="431"/>
        </w:trPr>
        <w:tc>
          <w:tcPr>
            <w:tcW w:w="3331" w:type="dxa"/>
          </w:tcPr>
          <w:p w14:paraId="7A106C24" w14:textId="77777777" w:rsidR="002C6574" w:rsidRDefault="00000000">
            <w:pPr>
              <w:pStyle w:val="TableParagraph"/>
              <w:spacing w:before="31" w:line="208" w:lineRule="auto"/>
              <w:ind w:left="69" w:right="374"/>
              <w:jc w:val="left"/>
              <w:rPr>
                <w:sz w:val="16"/>
              </w:rPr>
            </w:pPr>
            <w:r>
              <w:rPr>
                <w:w w:val="105"/>
                <w:sz w:val="16"/>
              </w:rPr>
              <w:t>2.</w:t>
            </w:r>
            <w:r>
              <w:rPr>
                <w:spacing w:val="-12"/>
                <w:w w:val="105"/>
                <w:sz w:val="16"/>
              </w:rPr>
              <w:t xml:space="preserve"> </w:t>
            </w:r>
            <w:r>
              <w:rPr>
                <w:w w:val="105"/>
                <w:sz w:val="16"/>
              </w:rPr>
              <w:t>Ganhos/(Perdas)</w:t>
            </w:r>
            <w:r>
              <w:rPr>
                <w:spacing w:val="-11"/>
                <w:w w:val="105"/>
                <w:sz w:val="16"/>
              </w:rPr>
              <w:t xml:space="preserve"> </w:t>
            </w:r>
            <w:r>
              <w:rPr>
                <w:w w:val="105"/>
                <w:sz w:val="16"/>
              </w:rPr>
              <w:t>atuariais</w:t>
            </w:r>
            <w:r>
              <w:rPr>
                <w:spacing w:val="-12"/>
                <w:w w:val="105"/>
                <w:sz w:val="16"/>
              </w:rPr>
              <w:t xml:space="preserve"> </w:t>
            </w:r>
            <w:r>
              <w:rPr>
                <w:w w:val="105"/>
                <w:sz w:val="16"/>
              </w:rPr>
              <w:t>para</w:t>
            </w:r>
            <w:r>
              <w:rPr>
                <w:spacing w:val="-12"/>
                <w:w w:val="105"/>
                <w:sz w:val="16"/>
              </w:rPr>
              <w:t xml:space="preserve"> </w:t>
            </w:r>
            <w:r>
              <w:rPr>
                <w:w w:val="105"/>
                <w:sz w:val="16"/>
              </w:rPr>
              <w:t>o</w:t>
            </w:r>
            <w:r>
              <w:rPr>
                <w:spacing w:val="-11"/>
                <w:w w:val="105"/>
                <w:sz w:val="16"/>
              </w:rPr>
              <w:t xml:space="preserve"> </w:t>
            </w:r>
            <w:r>
              <w:rPr>
                <w:w w:val="105"/>
                <w:sz w:val="16"/>
              </w:rPr>
              <w:t>ano sobre os ativos do plano</w:t>
            </w:r>
          </w:p>
        </w:tc>
        <w:tc>
          <w:tcPr>
            <w:tcW w:w="1118" w:type="dxa"/>
          </w:tcPr>
          <w:p w14:paraId="631193A4" w14:textId="77777777" w:rsidR="002C6574" w:rsidRDefault="00000000">
            <w:pPr>
              <w:pStyle w:val="TableParagraph"/>
              <w:spacing w:before="103"/>
              <w:ind w:right="46"/>
              <w:rPr>
                <w:sz w:val="16"/>
              </w:rPr>
            </w:pPr>
            <w:r>
              <w:rPr>
                <w:spacing w:val="-2"/>
                <w:w w:val="105"/>
                <w:sz w:val="16"/>
              </w:rPr>
              <w:t>12.928</w:t>
            </w:r>
          </w:p>
        </w:tc>
        <w:tc>
          <w:tcPr>
            <w:tcW w:w="1137" w:type="dxa"/>
          </w:tcPr>
          <w:p w14:paraId="3459F071" w14:textId="77777777" w:rsidR="002C6574" w:rsidRDefault="00000000">
            <w:pPr>
              <w:pStyle w:val="TableParagraph"/>
              <w:spacing w:before="103"/>
              <w:ind w:right="46"/>
              <w:rPr>
                <w:sz w:val="16"/>
              </w:rPr>
            </w:pPr>
            <w:r>
              <w:rPr>
                <w:spacing w:val="-2"/>
                <w:w w:val="105"/>
                <w:sz w:val="16"/>
              </w:rPr>
              <w:t>(130.513)</w:t>
            </w:r>
          </w:p>
        </w:tc>
        <w:tc>
          <w:tcPr>
            <w:tcW w:w="1118" w:type="dxa"/>
          </w:tcPr>
          <w:p w14:paraId="7969EE2C" w14:textId="77777777" w:rsidR="002C6574" w:rsidRDefault="00000000">
            <w:pPr>
              <w:pStyle w:val="TableParagraph"/>
              <w:spacing w:before="103"/>
              <w:ind w:right="45"/>
              <w:rPr>
                <w:sz w:val="16"/>
              </w:rPr>
            </w:pPr>
            <w:r>
              <w:rPr>
                <w:spacing w:val="-2"/>
                <w:w w:val="105"/>
                <w:sz w:val="16"/>
              </w:rPr>
              <w:t>15.312</w:t>
            </w:r>
          </w:p>
        </w:tc>
        <w:tc>
          <w:tcPr>
            <w:tcW w:w="1137" w:type="dxa"/>
          </w:tcPr>
          <w:p w14:paraId="6FE306FE" w14:textId="77777777" w:rsidR="002C6574" w:rsidRDefault="00000000">
            <w:pPr>
              <w:pStyle w:val="TableParagraph"/>
              <w:spacing w:before="103"/>
              <w:ind w:right="45"/>
              <w:rPr>
                <w:sz w:val="16"/>
              </w:rPr>
            </w:pPr>
            <w:r>
              <w:rPr>
                <w:spacing w:val="-2"/>
                <w:w w:val="105"/>
                <w:sz w:val="16"/>
              </w:rPr>
              <w:t>(103.009)</w:t>
            </w:r>
          </w:p>
        </w:tc>
        <w:tc>
          <w:tcPr>
            <w:tcW w:w="959" w:type="dxa"/>
          </w:tcPr>
          <w:p w14:paraId="73902599" w14:textId="77777777" w:rsidR="002C6574" w:rsidRDefault="00000000">
            <w:pPr>
              <w:pStyle w:val="TableParagraph"/>
              <w:spacing w:before="103"/>
              <w:ind w:right="46"/>
              <w:rPr>
                <w:sz w:val="16"/>
              </w:rPr>
            </w:pPr>
            <w:r>
              <w:rPr>
                <w:spacing w:val="-2"/>
                <w:w w:val="105"/>
                <w:sz w:val="16"/>
              </w:rPr>
              <w:t>50.418</w:t>
            </w:r>
          </w:p>
        </w:tc>
        <w:tc>
          <w:tcPr>
            <w:tcW w:w="957" w:type="dxa"/>
          </w:tcPr>
          <w:p w14:paraId="7BFF4B00" w14:textId="77777777" w:rsidR="002C6574" w:rsidRDefault="00000000">
            <w:pPr>
              <w:pStyle w:val="TableParagraph"/>
              <w:spacing w:before="103"/>
              <w:ind w:right="41"/>
              <w:rPr>
                <w:sz w:val="16"/>
              </w:rPr>
            </w:pPr>
            <w:r>
              <w:rPr>
                <w:spacing w:val="-2"/>
                <w:w w:val="105"/>
                <w:sz w:val="16"/>
              </w:rPr>
              <w:t>(184.845)</w:t>
            </w:r>
          </w:p>
        </w:tc>
      </w:tr>
      <w:tr w:rsidR="002C6574" w14:paraId="2D3BAA09" w14:textId="77777777">
        <w:trPr>
          <w:trHeight w:val="431"/>
        </w:trPr>
        <w:tc>
          <w:tcPr>
            <w:tcW w:w="3331" w:type="dxa"/>
          </w:tcPr>
          <w:p w14:paraId="26AD0A81" w14:textId="77777777" w:rsidR="002C6574" w:rsidRDefault="00000000">
            <w:pPr>
              <w:pStyle w:val="TableParagraph"/>
              <w:spacing w:before="100"/>
              <w:ind w:left="69"/>
              <w:jc w:val="left"/>
              <w:rPr>
                <w:sz w:val="16"/>
              </w:rPr>
            </w:pPr>
            <w:r>
              <w:rPr>
                <w:spacing w:val="-2"/>
                <w:w w:val="105"/>
                <w:sz w:val="16"/>
              </w:rPr>
              <w:t>3.</w:t>
            </w:r>
            <w:r>
              <w:rPr>
                <w:spacing w:val="2"/>
                <w:w w:val="105"/>
                <w:sz w:val="16"/>
              </w:rPr>
              <w:t xml:space="preserve"> </w:t>
            </w:r>
            <w:r>
              <w:rPr>
                <w:spacing w:val="-2"/>
                <w:w w:val="105"/>
                <w:sz w:val="16"/>
              </w:rPr>
              <w:t>Ganhos/(Perdas) atuariais</w:t>
            </w:r>
            <w:r>
              <w:rPr>
                <w:spacing w:val="3"/>
                <w:w w:val="105"/>
                <w:sz w:val="16"/>
              </w:rPr>
              <w:t xml:space="preserve"> </w:t>
            </w:r>
            <w:r>
              <w:rPr>
                <w:spacing w:val="-2"/>
                <w:w w:val="105"/>
                <w:sz w:val="16"/>
              </w:rPr>
              <w:t>do</w:t>
            </w:r>
            <w:r>
              <w:rPr>
                <w:w w:val="105"/>
                <w:sz w:val="16"/>
              </w:rPr>
              <w:t xml:space="preserve"> </w:t>
            </w:r>
            <w:r>
              <w:rPr>
                <w:spacing w:val="-2"/>
                <w:w w:val="105"/>
                <w:sz w:val="16"/>
              </w:rPr>
              <w:t>exercício</w:t>
            </w:r>
          </w:p>
        </w:tc>
        <w:tc>
          <w:tcPr>
            <w:tcW w:w="1118" w:type="dxa"/>
          </w:tcPr>
          <w:p w14:paraId="5778B1C1" w14:textId="77777777" w:rsidR="002C6574" w:rsidRDefault="00000000">
            <w:pPr>
              <w:pStyle w:val="TableParagraph"/>
              <w:spacing w:before="100"/>
              <w:ind w:right="47"/>
              <w:rPr>
                <w:sz w:val="16"/>
              </w:rPr>
            </w:pPr>
            <w:r>
              <w:rPr>
                <w:spacing w:val="-2"/>
                <w:w w:val="105"/>
                <w:sz w:val="16"/>
              </w:rPr>
              <w:t>26.386</w:t>
            </w:r>
          </w:p>
        </w:tc>
        <w:tc>
          <w:tcPr>
            <w:tcW w:w="1137" w:type="dxa"/>
          </w:tcPr>
          <w:p w14:paraId="4C483079" w14:textId="77777777" w:rsidR="002C6574" w:rsidRDefault="00000000">
            <w:pPr>
              <w:pStyle w:val="TableParagraph"/>
              <w:spacing w:before="100"/>
              <w:ind w:right="46"/>
              <w:rPr>
                <w:sz w:val="16"/>
              </w:rPr>
            </w:pPr>
            <w:r>
              <w:rPr>
                <w:spacing w:val="-2"/>
                <w:w w:val="110"/>
                <w:sz w:val="16"/>
              </w:rPr>
              <w:t>(47.549)</w:t>
            </w:r>
          </w:p>
        </w:tc>
        <w:tc>
          <w:tcPr>
            <w:tcW w:w="1118" w:type="dxa"/>
          </w:tcPr>
          <w:p w14:paraId="0878795D" w14:textId="77777777" w:rsidR="002C6574" w:rsidRDefault="00000000">
            <w:pPr>
              <w:pStyle w:val="TableParagraph"/>
              <w:spacing w:before="100"/>
              <w:ind w:right="45"/>
              <w:rPr>
                <w:sz w:val="16"/>
              </w:rPr>
            </w:pPr>
            <w:r>
              <w:rPr>
                <w:spacing w:val="-2"/>
                <w:w w:val="105"/>
                <w:sz w:val="16"/>
              </w:rPr>
              <w:t>21.803</w:t>
            </w:r>
          </w:p>
        </w:tc>
        <w:tc>
          <w:tcPr>
            <w:tcW w:w="1137" w:type="dxa"/>
          </w:tcPr>
          <w:p w14:paraId="10D48B60" w14:textId="77777777" w:rsidR="002C6574" w:rsidRDefault="00000000">
            <w:pPr>
              <w:pStyle w:val="TableParagraph"/>
              <w:spacing w:before="100"/>
              <w:ind w:right="45"/>
              <w:rPr>
                <w:sz w:val="16"/>
              </w:rPr>
            </w:pPr>
            <w:r>
              <w:rPr>
                <w:spacing w:val="-2"/>
                <w:w w:val="110"/>
                <w:sz w:val="16"/>
              </w:rPr>
              <w:t>(74.643)</w:t>
            </w:r>
          </w:p>
        </w:tc>
        <w:tc>
          <w:tcPr>
            <w:tcW w:w="959" w:type="dxa"/>
          </w:tcPr>
          <w:p w14:paraId="44F3AA41" w14:textId="77777777" w:rsidR="002C6574" w:rsidRDefault="00000000">
            <w:pPr>
              <w:pStyle w:val="TableParagraph"/>
              <w:spacing w:before="100"/>
              <w:ind w:right="46"/>
              <w:rPr>
                <w:sz w:val="16"/>
              </w:rPr>
            </w:pPr>
            <w:r>
              <w:rPr>
                <w:spacing w:val="-2"/>
                <w:w w:val="105"/>
                <w:sz w:val="16"/>
              </w:rPr>
              <w:t>37.340</w:t>
            </w:r>
          </w:p>
        </w:tc>
        <w:tc>
          <w:tcPr>
            <w:tcW w:w="957" w:type="dxa"/>
          </w:tcPr>
          <w:p w14:paraId="52D76B49" w14:textId="77777777" w:rsidR="002C6574" w:rsidRDefault="00000000">
            <w:pPr>
              <w:pStyle w:val="TableParagraph"/>
              <w:spacing w:before="100"/>
              <w:ind w:right="41"/>
              <w:rPr>
                <w:sz w:val="16"/>
              </w:rPr>
            </w:pPr>
            <w:r>
              <w:rPr>
                <w:spacing w:val="-2"/>
                <w:w w:val="105"/>
                <w:sz w:val="16"/>
              </w:rPr>
              <w:t>(146.890)</w:t>
            </w:r>
          </w:p>
        </w:tc>
      </w:tr>
    </w:tbl>
    <w:p w14:paraId="64F6DEEE" w14:textId="77777777" w:rsidR="002C6574" w:rsidRDefault="00000000">
      <w:pPr>
        <w:pStyle w:val="PargrafodaLista"/>
        <w:numPr>
          <w:ilvl w:val="2"/>
          <w:numId w:val="27"/>
        </w:numPr>
        <w:tabs>
          <w:tab w:val="left" w:pos="990"/>
        </w:tabs>
        <w:ind w:left="990" w:hanging="847"/>
        <w:rPr>
          <w:rFonts w:ascii="Arial" w:hAnsi="Arial"/>
          <w:b/>
        </w:rPr>
      </w:pPr>
      <w:r>
        <w:rPr>
          <w:rFonts w:ascii="Arial" w:hAnsi="Arial"/>
          <w:b/>
        </w:rPr>
        <w:t>Cálculo</w:t>
      </w:r>
      <w:r>
        <w:rPr>
          <w:rFonts w:ascii="Arial" w:hAnsi="Arial"/>
          <w:b/>
          <w:spacing w:val="-3"/>
        </w:rPr>
        <w:t xml:space="preserve"> </w:t>
      </w:r>
      <w:r>
        <w:rPr>
          <w:rFonts w:ascii="Arial" w:hAnsi="Arial"/>
          <w:b/>
        </w:rPr>
        <w:t>da</w:t>
      </w:r>
      <w:r>
        <w:rPr>
          <w:rFonts w:ascii="Arial" w:hAnsi="Arial"/>
          <w:b/>
          <w:spacing w:val="-8"/>
        </w:rPr>
        <w:t xml:space="preserve"> </w:t>
      </w:r>
      <w:r>
        <w:rPr>
          <w:rFonts w:ascii="Arial" w:hAnsi="Arial"/>
          <w:b/>
        </w:rPr>
        <w:t>Obrigação</w:t>
      </w:r>
      <w:r>
        <w:rPr>
          <w:rFonts w:ascii="Arial" w:hAnsi="Arial"/>
          <w:b/>
          <w:spacing w:val="-4"/>
        </w:rPr>
        <w:t xml:space="preserve"> </w:t>
      </w:r>
      <w:r>
        <w:rPr>
          <w:rFonts w:ascii="Arial" w:hAnsi="Arial"/>
          <w:b/>
        </w:rPr>
        <w:t xml:space="preserve">Atuarial </w:t>
      </w:r>
      <w:r>
        <w:rPr>
          <w:rFonts w:ascii="Arial" w:hAnsi="Arial"/>
          <w:b/>
          <w:spacing w:val="-2"/>
        </w:rPr>
        <w:t>Descoberta</w:t>
      </w:r>
    </w:p>
    <w:p w14:paraId="6DD32B1F" w14:textId="77777777" w:rsidR="002C6574" w:rsidRDefault="002C6574">
      <w:pPr>
        <w:pStyle w:val="Corpodetexto"/>
        <w:spacing w:before="60"/>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9"/>
        <w:gridCol w:w="1039"/>
        <w:gridCol w:w="1039"/>
        <w:gridCol w:w="1041"/>
        <w:gridCol w:w="1039"/>
        <w:gridCol w:w="941"/>
        <w:gridCol w:w="941"/>
      </w:tblGrid>
      <w:tr w:rsidR="002C6574" w14:paraId="09F1DA78" w14:textId="77777777">
        <w:trPr>
          <w:trHeight w:val="232"/>
        </w:trPr>
        <w:tc>
          <w:tcPr>
            <w:tcW w:w="3979" w:type="dxa"/>
            <w:vMerge w:val="restart"/>
            <w:shd w:val="clear" w:color="auto" w:fill="BFBFBF"/>
          </w:tcPr>
          <w:p w14:paraId="592A3C39" w14:textId="77777777" w:rsidR="002C6574" w:rsidRDefault="00000000">
            <w:pPr>
              <w:pStyle w:val="TableParagraph"/>
              <w:spacing w:before="133"/>
              <w:ind w:left="69"/>
              <w:jc w:val="left"/>
              <w:rPr>
                <w:rFonts w:ascii="Arial" w:hAnsi="Arial"/>
                <w:b/>
                <w:sz w:val="18"/>
              </w:rPr>
            </w:pPr>
            <w:r>
              <w:rPr>
                <w:rFonts w:ascii="Arial" w:hAnsi="Arial"/>
                <w:b/>
                <w:spacing w:val="-2"/>
                <w:sz w:val="18"/>
              </w:rPr>
              <w:t>Composição:</w:t>
            </w:r>
          </w:p>
        </w:tc>
        <w:tc>
          <w:tcPr>
            <w:tcW w:w="2078" w:type="dxa"/>
            <w:gridSpan w:val="2"/>
          </w:tcPr>
          <w:p w14:paraId="44552934" w14:textId="77777777" w:rsidR="002C6574" w:rsidRDefault="00000000">
            <w:pPr>
              <w:pStyle w:val="TableParagraph"/>
              <w:spacing w:before="25"/>
              <w:ind w:left="53"/>
              <w:jc w:val="center"/>
              <w:rPr>
                <w:rFonts w:ascii="Arial"/>
                <w:b/>
                <w:sz w:val="16"/>
              </w:rPr>
            </w:pPr>
            <w:r>
              <w:rPr>
                <w:rFonts w:ascii="Arial"/>
                <w:b/>
                <w:spacing w:val="-2"/>
                <w:sz w:val="16"/>
              </w:rPr>
              <w:t>PBS-</w:t>
            </w:r>
            <w:r>
              <w:rPr>
                <w:rFonts w:ascii="Arial"/>
                <w:b/>
                <w:spacing w:val="-10"/>
                <w:sz w:val="16"/>
              </w:rPr>
              <w:t>A</w:t>
            </w:r>
          </w:p>
        </w:tc>
        <w:tc>
          <w:tcPr>
            <w:tcW w:w="2080" w:type="dxa"/>
            <w:gridSpan w:val="2"/>
          </w:tcPr>
          <w:p w14:paraId="121A8935" w14:textId="77777777" w:rsidR="002C6574" w:rsidRDefault="00000000">
            <w:pPr>
              <w:pStyle w:val="TableParagraph"/>
              <w:spacing w:before="25"/>
              <w:ind w:left="539"/>
              <w:jc w:val="left"/>
              <w:rPr>
                <w:rFonts w:ascii="Arial"/>
                <w:b/>
                <w:sz w:val="16"/>
              </w:rPr>
            </w:pPr>
            <w:r>
              <w:rPr>
                <w:rFonts w:ascii="Arial"/>
                <w:b/>
                <w:spacing w:val="-2"/>
                <w:sz w:val="16"/>
              </w:rPr>
              <w:t>PBS-Telebras</w:t>
            </w:r>
          </w:p>
        </w:tc>
        <w:tc>
          <w:tcPr>
            <w:tcW w:w="1882" w:type="dxa"/>
            <w:gridSpan w:val="2"/>
          </w:tcPr>
          <w:p w14:paraId="1F0E7D83" w14:textId="77777777" w:rsidR="002C6574" w:rsidRDefault="00000000">
            <w:pPr>
              <w:pStyle w:val="TableParagraph"/>
              <w:spacing w:before="25"/>
              <w:ind w:left="392"/>
              <w:jc w:val="left"/>
              <w:rPr>
                <w:rFonts w:ascii="Arial"/>
                <w:b/>
                <w:sz w:val="16"/>
              </w:rPr>
            </w:pPr>
            <w:r>
              <w:rPr>
                <w:rFonts w:ascii="Arial"/>
                <w:b/>
                <w:sz w:val="16"/>
              </w:rPr>
              <w:t>Telebras</w:t>
            </w:r>
            <w:r>
              <w:rPr>
                <w:rFonts w:ascii="Arial"/>
                <w:b/>
                <w:spacing w:val="-2"/>
                <w:sz w:val="16"/>
              </w:rPr>
              <w:t xml:space="preserve"> </w:t>
            </w:r>
            <w:r>
              <w:rPr>
                <w:rFonts w:ascii="Arial"/>
                <w:b/>
                <w:spacing w:val="-4"/>
                <w:sz w:val="16"/>
              </w:rPr>
              <w:t>PREV</w:t>
            </w:r>
          </w:p>
        </w:tc>
      </w:tr>
      <w:tr w:rsidR="002C6574" w14:paraId="5BE2DA7E" w14:textId="77777777">
        <w:trPr>
          <w:trHeight w:val="232"/>
        </w:trPr>
        <w:tc>
          <w:tcPr>
            <w:tcW w:w="3979" w:type="dxa"/>
            <w:vMerge/>
            <w:tcBorders>
              <w:top w:val="nil"/>
            </w:tcBorders>
            <w:shd w:val="clear" w:color="auto" w:fill="BFBFBF"/>
          </w:tcPr>
          <w:p w14:paraId="1E56D2D6" w14:textId="77777777" w:rsidR="002C6574" w:rsidRDefault="002C6574">
            <w:pPr>
              <w:rPr>
                <w:sz w:val="2"/>
                <w:szCs w:val="2"/>
              </w:rPr>
            </w:pPr>
          </w:p>
        </w:tc>
        <w:tc>
          <w:tcPr>
            <w:tcW w:w="1039" w:type="dxa"/>
          </w:tcPr>
          <w:p w14:paraId="03E319C9" w14:textId="77777777" w:rsidR="002C6574" w:rsidRDefault="00000000">
            <w:pPr>
              <w:pStyle w:val="TableParagraph"/>
              <w:spacing w:before="25"/>
              <w:ind w:right="111"/>
              <w:rPr>
                <w:rFonts w:ascii="Arial"/>
                <w:b/>
                <w:sz w:val="16"/>
              </w:rPr>
            </w:pPr>
            <w:r>
              <w:rPr>
                <w:rFonts w:ascii="Arial"/>
                <w:b/>
                <w:spacing w:val="-2"/>
                <w:sz w:val="16"/>
              </w:rPr>
              <w:t>31/12/2025</w:t>
            </w:r>
          </w:p>
        </w:tc>
        <w:tc>
          <w:tcPr>
            <w:tcW w:w="1039" w:type="dxa"/>
          </w:tcPr>
          <w:p w14:paraId="3A60F6C8" w14:textId="77777777" w:rsidR="002C6574" w:rsidRDefault="00000000">
            <w:pPr>
              <w:pStyle w:val="TableParagraph"/>
              <w:spacing w:before="25"/>
              <w:ind w:right="106"/>
              <w:rPr>
                <w:rFonts w:ascii="Arial"/>
                <w:b/>
                <w:sz w:val="16"/>
              </w:rPr>
            </w:pPr>
            <w:r>
              <w:rPr>
                <w:rFonts w:ascii="Arial"/>
                <w:b/>
                <w:spacing w:val="-2"/>
                <w:sz w:val="16"/>
              </w:rPr>
              <w:t>31/12/2024</w:t>
            </w:r>
          </w:p>
        </w:tc>
        <w:tc>
          <w:tcPr>
            <w:tcW w:w="1041" w:type="dxa"/>
          </w:tcPr>
          <w:p w14:paraId="34E82A6D" w14:textId="77777777" w:rsidR="002C6574" w:rsidRDefault="00000000">
            <w:pPr>
              <w:pStyle w:val="TableParagraph"/>
              <w:spacing w:before="25"/>
              <w:ind w:right="109"/>
              <w:rPr>
                <w:rFonts w:ascii="Arial"/>
                <w:b/>
                <w:sz w:val="16"/>
              </w:rPr>
            </w:pPr>
            <w:r>
              <w:rPr>
                <w:rFonts w:ascii="Arial"/>
                <w:b/>
                <w:spacing w:val="-2"/>
                <w:sz w:val="16"/>
              </w:rPr>
              <w:t>31/12/2025</w:t>
            </w:r>
          </w:p>
        </w:tc>
        <w:tc>
          <w:tcPr>
            <w:tcW w:w="1039" w:type="dxa"/>
          </w:tcPr>
          <w:p w14:paraId="49B07449" w14:textId="77777777" w:rsidR="002C6574" w:rsidRDefault="00000000">
            <w:pPr>
              <w:pStyle w:val="TableParagraph"/>
              <w:spacing w:before="25"/>
              <w:ind w:right="109"/>
              <w:rPr>
                <w:rFonts w:ascii="Arial"/>
                <w:b/>
                <w:sz w:val="16"/>
              </w:rPr>
            </w:pPr>
            <w:r>
              <w:rPr>
                <w:rFonts w:ascii="Arial"/>
                <w:b/>
                <w:spacing w:val="-2"/>
                <w:sz w:val="16"/>
              </w:rPr>
              <w:t>31/12/2024</w:t>
            </w:r>
          </w:p>
        </w:tc>
        <w:tc>
          <w:tcPr>
            <w:tcW w:w="941" w:type="dxa"/>
          </w:tcPr>
          <w:p w14:paraId="1169E273" w14:textId="77777777" w:rsidR="002C6574" w:rsidRDefault="00000000">
            <w:pPr>
              <w:pStyle w:val="TableParagraph"/>
              <w:spacing w:before="25"/>
              <w:ind w:right="56"/>
              <w:rPr>
                <w:rFonts w:ascii="Arial"/>
                <w:b/>
                <w:sz w:val="16"/>
              </w:rPr>
            </w:pPr>
            <w:r>
              <w:rPr>
                <w:rFonts w:ascii="Arial"/>
                <w:b/>
                <w:spacing w:val="-2"/>
                <w:sz w:val="16"/>
              </w:rPr>
              <w:t>31/12/2025</w:t>
            </w:r>
          </w:p>
        </w:tc>
        <w:tc>
          <w:tcPr>
            <w:tcW w:w="941" w:type="dxa"/>
          </w:tcPr>
          <w:p w14:paraId="262105A9" w14:textId="77777777" w:rsidR="002C6574" w:rsidRDefault="00000000">
            <w:pPr>
              <w:pStyle w:val="TableParagraph"/>
              <w:spacing w:before="25"/>
              <w:ind w:right="56"/>
              <w:rPr>
                <w:rFonts w:ascii="Arial"/>
                <w:b/>
                <w:sz w:val="16"/>
              </w:rPr>
            </w:pPr>
            <w:r>
              <w:rPr>
                <w:rFonts w:ascii="Arial"/>
                <w:b/>
                <w:spacing w:val="-2"/>
                <w:sz w:val="16"/>
              </w:rPr>
              <w:t>31/12/2024</w:t>
            </w:r>
          </w:p>
        </w:tc>
      </w:tr>
      <w:tr w:rsidR="002C6574" w14:paraId="06B3F1F8" w14:textId="77777777">
        <w:trPr>
          <w:trHeight w:val="232"/>
        </w:trPr>
        <w:tc>
          <w:tcPr>
            <w:tcW w:w="3979" w:type="dxa"/>
          </w:tcPr>
          <w:p w14:paraId="28E4F329" w14:textId="77777777" w:rsidR="002C6574" w:rsidRDefault="00000000">
            <w:pPr>
              <w:pStyle w:val="TableParagraph"/>
              <w:spacing w:line="212" w:lineRule="exact"/>
              <w:ind w:left="69"/>
              <w:jc w:val="left"/>
              <w:rPr>
                <w:sz w:val="18"/>
              </w:rPr>
            </w:pPr>
            <w:r>
              <w:rPr>
                <w:sz w:val="18"/>
              </w:rPr>
              <w:t>1.</w:t>
            </w:r>
            <w:r>
              <w:rPr>
                <w:spacing w:val="6"/>
                <w:sz w:val="18"/>
              </w:rPr>
              <w:t xml:space="preserve"> </w:t>
            </w:r>
            <w:r>
              <w:rPr>
                <w:sz w:val="18"/>
              </w:rPr>
              <w:t>Valor</w:t>
            </w:r>
            <w:r>
              <w:rPr>
                <w:spacing w:val="4"/>
                <w:sz w:val="18"/>
              </w:rPr>
              <w:t xml:space="preserve"> </w:t>
            </w:r>
            <w:r>
              <w:rPr>
                <w:sz w:val="18"/>
              </w:rPr>
              <w:t>presente</w:t>
            </w:r>
            <w:r>
              <w:rPr>
                <w:spacing w:val="6"/>
                <w:sz w:val="18"/>
              </w:rPr>
              <w:t xml:space="preserve"> </w:t>
            </w:r>
            <w:r>
              <w:rPr>
                <w:sz w:val="18"/>
              </w:rPr>
              <w:t>da</w:t>
            </w:r>
            <w:r>
              <w:rPr>
                <w:spacing w:val="6"/>
                <w:sz w:val="18"/>
              </w:rPr>
              <w:t xml:space="preserve"> </w:t>
            </w:r>
            <w:r>
              <w:rPr>
                <w:spacing w:val="-2"/>
                <w:sz w:val="18"/>
              </w:rPr>
              <w:t>obrigação</w:t>
            </w:r>
          </w:p>
        </w:tc>
        <w:tc>
          <w:tcPr>
            <w:tcW w:w="1039" w:type="dxa"/>
          </w:tcPr>
          <w:p w14:paraId="72512822" w14:textId="77777777" w:rsidR="002C6574" w:rsidRDefault="00000000">
            <w:pPr>
              <w:pStyle w:val="TableParagraph"/>
              <w:spacing w:before="2" w:line="210" w:lineRule="exact"/>
              <w:ind w:right="59"/>
              <w:rPr>
                <w:sz w:val="16"/>
              </w:rPr>
            </w:pPr>
            <w:r>
              <w:rPr>
                <w:spacing w:val="-2"/>
                <w:w w:val="105"/>
                <w:sz w:val="16"/>
              </w:rPr>
              <w:t>504.164</w:t>
            </w:r>
          </w:p>
        </w:tc>
        <w:tc>
          <w:tcPr>
            <w:tcW w:w="1039" w:type="dxa"/>
          </w:tcPr>
          <w:p w14:paraId="2E7DA20E" w14:textId="77777777" w:rsidR="002C6574" w:rsidRDefault="00000000">
            <w:pPr>
              <w:pStyle w:val="TableParagraph"/>
              <w:spacing w:line="212" w:lineRule="exact"/>
              <w:ind w:right="58"/>
              <w:rPr>
                <w:sz w:val="18"/>
              </w:rPr>
            </w:pPr>
            <w:r>
              <w:rPr>
                <w:spacing w:val="-2"/>
                <w:w w:val="105"/>
                <w:sz w:val="18"/>
              </w:rPr>
              <w:t>508.486</w:t>
            </w:r>
          </w:p>
        </w:tc>
        <w:tc>
          <w:tcPr>
            <w:tcW w:w="1041" w:type="dxa"/>
          </w:tcPr>
          <w:p w14:paraId="24BEB6C0" w14:textId="77777777" w:rsidR="002C6574" w:rsidRDefault="00000000">
            <w:pPr>
              <w:pStyle w:val="TableParagraph"/>
              <w:spacing w:before="2" w:line="210" w:lineRule="exact"/>
              <w:ind w:right="58"/>
              <w:rPr>
                <w:sz w:val="16"/>
              </w:rPr>
            </w:pPr>
            <w:r>
              <w:rPr>
                <w:spacing w:val="-2"/>
                <w:w w:val="105"/>
                <w:sz w:val="16"/>
              </w:rPr>
              <w:t>195.150</w:t>
            </w:r>
          </w:p>
        </w:tc>
        <w:tc>
          <w:tcPr>
            <w:tcW w:w="1039" w:type="dxa"/>
          </w:tcPr>
          <w:p w14:paraId="4375980D" w14:textId="77777777" w:rsidR="002C6574" w:rsidRDefault="00000000">
            <w:pPr>
              <w:pStyle w:val="TableParagraph"/>
              <w:spacing w:line="212" w:lineRule="exact"/>
              <w:ind w:right="60"/>
              <w:rPr>
                <w:sz w:val="18"/>
              </w:rPr>
            </w:pPr>
            <w:r>
              <w:rPr>
                <w:spacing w:val="-2"/>
                <w:w w:val="105"/>
                <w:sz w:val="18"/>
              </w:rPr>
              <w:t>194.180</w:t>
            </w:r>
          </w:p>
        </w:tc>
        <w:tc>
          <w:tcPr>
            <w:tcW w:w="941" w:type="dxa"/>
          </w:tcPr>
          <w:p w14:paraId="1156FC53" w14:textId="77777777" w:rsidR="002C6574" w:rsidRDefault="00000000">
            <w:pPr>
              <w:pStyle w:val="TableParagraph"/>
              <w:spacing w:before="2" w:line="210" w:lineRule="exact"/>
              <w:ind w:right="56"/>
              <w:rPr>
                <w:sz w:val="16"/>
              </w:rPr>
            </w:pPr>
            <w:r>
              <w:rPr>
                <w:spacing w:val="-2"/>
                <w:w w:val="105"/>
                <w:sz w:val="16"/>
              </w:rPr>
              <w:t>370.759</w:t>
            </w:r>
          </w:p>
        </w:tc>
        <w:tc>
          <w:tcPr>
            <w:tcW w:w="941" w:type="dxa"/>
          </w:tcPr>
          <w:p w14:paraId="511AA836" w14:textId="77777777" w:rsidR="002C6574" w:rsidRDefault="00000000">
            <w:pPr>
              <w:pStyle w:val="TableParagraph"/>
              <w:spacing w:line="212" w:lineRule="exact"/>
              <w:ind w:right="56"/>
              <w:rPr>
                <w:sz w:val="18"/>
              </w:rPr>
            </w:pPr>
            <w:r>
              <w:rPr>
                <w:spacing w:val="-2"/>
                <w:w w:val="105"/>
                <w:sz w:val="18"/>
              </w:rPr>
              <w:t>346.585</w:t>
            </w:r>
          </w:p>
        </w:tc>
      </w:tr>
      <w:tr w:rsidR="002C6574" w14:paraId="60189B39" w14:textId="77777777">
        <w:trPr>
          <w:trHeight w:val="232"/>
        </w:trPr>
        <w:tc>
          <w:tcPr>
            <w:tcW w:w="3979" w:type="dxa"/>
          </w:tcPr>
          <w:p w14:paraId="40565C1C" w14:textId="77777777" w:rsidR="002C6574" w:rsidRDefault="00000000">
            <w:pPr>
              <w:pStyle w:val="TableParagraph"/>
              <w:spacing w:line="212" w:lineRule="exact"/>
              <w:ind w:left="69"/>
              <w:jc w:val="left"/>
              <w:rPr>
                <w:sz w:val="18"/>
              </w:rPr>
            </w:pPr>
            <w:r>
              <w:rPr>
                <w:sz w:val="18"/>
              </w:rPr>
              <w:t>2. Valor</w:t>
            </w:r>
            <w:r>
              <w:rPr>
                <w:spacing w:val="-2"/>
                <w:sz w:val="18"/>
              </w:rPr>
              <w:t xml:space="preserve"> </w:t>
            </w:r>
            <w:r>
              <w:rPr>
                <w:sz w:val="18"/>
              </w:rPr>
              <w:t>justo</w:t>
            </w:r>
            <w:r>
              <w:rPr>
                <w:spacing w:val="-2"/>
                <w:sz w:val="18"/>
              </w:rPr>
              <w:t xml:space="preserve"> </w:t>
            </w:r>
            <w:r>
              <w:rPr>
                <w:sz w:val="18"/>
              </w:rPr>
              <w:t>dos</w:t>
            </w:r>
            <w:r>
              <w:rPr>
                <w:spacing w:val="-3"/>
                <w:sz w:val="18"/>
              </w:rPr>
              <w:t xml:space="preserve"> </w:t>
            </w:r>
            <w:r>
              <w:rPr>
                <w:sz w:val="18"/>
              </w:rPr>
              <w:t>ativos do</w:t>
            </w:r>
            <w:r>
              <w:rPr>
                <w:spacing w:val="-2"/>
                <w:sz w:val="18"/>
              </w:rPr>
              <w:t xml:space="preserve"> </w:t>
            </w:r>
            <w:r>
              <w:rPr>
                <w:spacing w:val="-4"/>
                <w:sz w:val="18"/>
              </w:rPr>
              <w:t>plano</w:t>
            </w:r>
          </w:p>
        </w:tc>
        <w:tc>
          <w:tcPr>
            <w:tcW w:w="1039" w:type="dxa"/>
          </w:tcPr>
          <w:p w14:paraId="4C186DAC" w14:textId="77777777" w:rsidR="002C6574" w:rsidRDefault="00000000">
            <w:pPr>
              <w:pStyle w:val="TableParagraph"/>
              <w:spacing w:before="2" w:line="210" w:lineRule="exact"/>
              <w:ind w:right="60"/>
              <w:rPr>
                <w:sz w:val="16"/>
              </w:rPr>
            </w:pPr>
            <w:r>
              <w:rPr>
                <w:spacing w:val="-2"/>
                <w:w w:val="105"/>
                <w:sz w:val="16"/>
              </w:rPr>
              <w:t>(598.248)</w:t>
            </w:r>
          </w:p>
        </w:tc>
        <w:tc>
          <w:tcPr>
            <w:tcW w:w="1039" w:type="dxa"/>
          </w:tcPr>
          <w:p w14:paraId="60342E9B" w14:textId="77777777" w:rsidR="002C6574" w:rsidRDefault="00000000">
            <w:pPr>
              <w:pStyle w:val="TableParagraph"/>
              <w:spacing w:line="212" w:lineRule="exact"/>
              <w:ind w:right="54"/>
              <w:rPr>
                <w:sz w:val="18"/>
              </w:rPr>
            </w:pPr>
            <w:r>
              <w:rPr>
                <w:spacing w:val="-2"/>
                <w:w w:val="105"/>
                <w:sz w:val="18"/>
              </w:rPr>
              <w:t>(568.448)</w:t>
            </w:r>
          </w:p>
        </w:tc>
        <w:tc>
          <w:tcPr>
            <w:tcW w:w="1041" w:type="dxa"/>
          </w:tcPr>
          <w:p w14:paraId="4CECE951" w14:textId="77777777" w:rsidR="002C6574" w:rsidRDefault="00000000">
            <w:pPr>
              <w:pStyle w:val="TableParagraph"/>
              <w:spacing w:before="2" w:line="210" w:lineRule="exact"/>
              <w:ind w:right="58"/>
              <w:rPr>
                <w:sz w:val="16"/>
              </w:rPr>
            </w:pPr>
            <w:r>
              <w:rPr>
                <w:spacing w:val="-2"/>
                <w:w w:val="105"/>
                <w:sz w:val="16"/>
              </w:rPr>
              <w:t>(264.365)</w:t>
            </w:r>
          </w:p>
        </w:tc>
        <w:tc>
          <w:tcPr>
            <w:tcW w:w="1039" w:type="dxa"/>
          </w:tcPr>
          <w:p w14:paraId="37BFAFAE" w14:textId="77777777" w:rsidR="002C6574" w:rsidRDefault="00000000">
            <w:pPr>
              <w:pStyle w:val="TableParagraph"/>
              <w:spacing w:line="212" w:lineRule="exact"/>
              <w:ind w:right="56"/>
              <w:rPr>
                <w:sz w:val="18"/>
              </w:rPr>
            </w:pPr>
            <w:r>
              <w:rPr>
                <w:spacing w:val="-2"/>
                <w:w w:val="105"/>
                <w:sz w:val="18"/>
              </w:rPr>
              <w:t>(236.209)</w:t>
            </w:r>
          </w:p>
        </w:tc>
        <w:tc>
          <w:tcPr>
            <w:tcW w:w="941" w:type="dxa"/>
          </w:tcPr>
          <w:p w14:paraId="4FC3653A" w14:textId="77777777" w:rsidR="002C6574" w:rsidRDefault="00000000">
            <w:pPr>
              <w:pStyle w:val="TableParagraph"/>
              <w:spacing w:before="2" w:line="210" w:lineRule="exact"/>
              <w:ind w:right="53"/>
              <w:rPr>
                <w:sz w:val="16"/>
              </w:rPr>
            </w:pPr>
            <w:r>
              <w:rPr>
                <w:spacing w:val="-2"/>
                <w:w w:val="105"/>
                <w:sz w:val="16"/>
              </w:rPr>
              <w:t>(491.010)</w:t>
            </w:r>
          </w:p>
        </w:tc>
        <w:tc>
          <w:tcPr>
            <w:tcW w:w="941" w:type="dxa"/>
          </w:tcPr>
          <w:p w14:paraId="160F32B2" w14:textId="77777777" w:rsidR="002C6574" w:rsidRDefault="00000000">
            <w:pPr>
              <w:pStyle w:val="TableParagraph"/>
              <w:spacing w:line="212" w:lineRule="exact"/>
              <w:ind w:right="55"/>
              <w:rPr>
                <w:sz w:val="18"/>
              </w:rPr>
            </w:pPr>
            <w:r>
              <w:rPr>
                <w:spacing w:val="-2"/>
                <w:w w:val="105"/>
                <w:sz w:val="18"/>
              </w:rPr>
              <w:t>(415.837)</w:t>
            </w:r>
          </w:p>
        </w:tc>
      </w:tr>
      <w:tr w:rsidR="002C6574" w14:paraId="2748AEF9" w14:textId="77777777">
        <w:trPr>
          <w:trHeight w:val="268"/>
        </w:trPr>
        <w:tc>
          <w:tcPr>
            <w:tcW w:w="3979" w:type="dxa"/>
          </w:tcPr>
          <w:p w14:paraId="2B07BB44" w14:textId="77777777" w:rsidR="002C6574" w:rsidRDefault="00000000">
            <w:pPr>
              <w:pStyle w:val="TableParagraph"/>
              <w:spacing w:before="30"/>
              <w:ind w:left="69"/>
              <w:jc w:val="left"/>
              <w:rPr>
                <w:rFonts w:ascii="Arial" w:hAnsi="Arial"/>
                <w:b/>
                <w:sz w:val="18"/>
              </w:rPr>
            </w:pPr>
            <w:r>
              <w:rPr>
                <w:rFonts w:ascii="Arial" w:hAnsi="Arial"/>
                <w:b/>
                <w:sz w:val="18"/>
              </w:rPr>
              <w:t>3. Valor</w:t>
            </w:r>
            <w:r>
              <w:rPr>
                <w:rFonts w:ascii="Arial" w:hAnsi="Arial"/>
                <w:b/>
                <w:spacing w:val="-1"/>
                <w:sz w:val="18"/>
              </w:rPr>
              <w:t xml:space="preserve"> </w:t>
            </w:r>
            <w:r>
              <w:rPr>
                <w:rFonts w:ascii="Arial" w:hAnsi="Arial"/>
                <w:b/>
                <w:sz w:val="18"/>
              </w:rPr>
              <w:t>presente</w:t>
            </w:r>
            <w:r>
              <w:rPr>
                <w:rFonts w:ascii="Arial" w:hAnsi="Arial"/>
                <w:b/>
                <w:spacing w:val="-1"/>
                <w:sz w:val="18"/>
              </w:rPr>
              <w:t xml:space="preserve"> </w:t>
            </w:r>
            <w:r>
              <w:rPr>
                <w:rFonts w:ascii="Arial" w:hAnsi="Arial"/>
                <w:b/>
                <w:sz w:val="18"/>
              </w:rPr>
              <w:t>da</w:t>
            </w:r>
            <w:r>
              <w:rPr>
                <w:rFonts w:ascii="Arial" w:hAnsi="Arial"/>
                <w:b/>
                <w:spacing w:val="-1"/>
                <w:sz w:val="18"/>
              </w:rPr>
              <w:t xml:space="preserve"> </w:t>
            </w:r>
            <w:r>
              <w:rPr>
                <w:rFonts w:ascii="Arial" w:hAnsi="Arial"/>
                <w:b/>
                <w:sz w:val="18"/>
              </w:rPr>
              <w:t>obrigação</w:t>
            </w:r>
            <w:r>
              <w:rPr>
                <w:rFonts w:ascii="Arial" w:hAnsi="Arial"/>
                <w:b/>
                <w:spacing w:val="-1"/>
                <w:sz w:val="18"/>
              </w:rPr>
              <w:t xml:space="preserve"> </w:t>
            </w:r>
            <w:r>
              <w:rPr>
                <w:rFonts w:ascii="Arial" w:hAnsi="Arial"/>
                <w:b/>
                <w:spacing w:val="-2"/>
                <w:sz w:val="18"/>
              </w:rPr>
              <w:t>descoberta</w:t>
            </w:r>
          </w:p>
        </w:tc>
        <w:tc>
          <w:tcPr>
            <w:tcW w:w="1039" w:type="dxa"/>
          </w:tcPr>
          <w:p w14:paraId="62A7E635" w14:textId="77777777" w:rsidR="002C6574" w:rsidRDefault="00000000">
            <w:pPr>
              <w:pStyle w:val="TableParagraph"/>
              <w:spacing w:before="25" w:line="223" w:lineRule="exact"/>
              <w:ind w:right="59"/>
              <w:rPr>
                <w:rFonts w:ascii="Courier New"/>
                <w:b/>
              </w:rPr>
            </w:pPr>
            <w:r>
              <w:rPr>
                <w:rFonts w:ascii="Courier New"/>
                <w:b/>
                <w:spacing w:val="-10"/>
                <w:w w:val="60"/>
              </w:rPr>
              <w:t>-</w:t>
            </w:r>
          </w:p>
        </w:tc>
        <w:tc>
          <w:tcPr>
            <w:tcW w:w="1039" w:type="dxa"/>
          </w:tcPr>
          <w:p w14:paraId="5E377C88" w14:textId="77777777" w:rsidR="002C6574" w:rsidRDefault="00000000">
            <w:pPr>
              <w:pStyle w:val="TableParagraph"/>
              <w:spacing w:before="25" w:line="223" w:lineRule="exact"/>
              <w:ind w:right="56"/>
              <w:rPr>
                <w:rFonts w:ascii="Courier New"/>
                <w:b/>
              </w:rPr>
            </w:pPr>
            <w:r>
              <w:rPr>
                <w:rFonts w:ascii="Courier New"/>
                <w:b/>
                <w:spacing w:val="-10"/>
                <w:w w:val="60"/>
              </w:rPr>
              <w:t>-</w:t>
            </w:r>
          </w:p>
        </w:tc>
        <w:tc>
          <w:tcPr>
            <w:tcW w:w="1041" w:type="dxa"/>
          </w:tcPr>
          <w:p w14:paraId="11B16239" w14:textId="77777777" w:rsidR="002C6574" w:rsidRDefault="00000000">
            <w:pPr>
              <w:pStyle w:val="TableParagraph"/>
              <w:spacing w:before="25" w:line="223" w:lineRule="exact"/>
              <w:ind w:right="58"/>
              <w:rPr>
                <w:rFonts w:ascii="Courier New"/>
                <w:b/>
              </w:rPr>
            </w:pPr>
            <w:r>
              <w:rPr>
                <w:rFonts w:ascii="Courier New"/>
                <w:b/>
                <w:spacing w:val="-10"/>
                <w:w w:val="60"/>
              </w:rPr>
              <w:t>-</w:t>
            </w:r>
          </w:p>
        </w:tc>
        <w:tc>
          <w:tcPr>
            <w:tcW w:w="1039" w:type="dxa"/>
          </w:tcPr>
          <w:p w14:paraId="5D11DF00" w14:textId="77777777" w:rsidR="002C6574" w:rsidRDefault="00000000">
            <w:pPr>
              <w:pStyle w:val="TableParagraph"/>
              <w:spacing w:before="25" w:line="223" w:lineRule="exact"/>
              <w:ind w:right="58"/>
              <w:rPr>
                <w:rFonts w:ascii="Courier New"/>
                <w:b/>
              </w:rPr>
            </w:pPr>
            <w:r>
              <w:rPr>
                <w:rFonts w:ascii="Courier New"/>
                <w:b/>
                <w:spacing w:val="-10"/>
                <w:w w:val="60"/>
              </w:rPr>
              <w:t>-</w:t>
            </w:r>
          </w:p>
        </w:tc>
        <w:tc>
          <w:tcPr>
            <w:tcW w:w="941" w:type="dxa"/>
          </w:tcPr>
          <w:p w14:paraId="11A4E8FB" w14:textId="77777777" w:rsidR="002C6574" w:rsidRDefault="00000000">
            <w:pPr>
              <w:pStyle w:val="TableParagraph"/>
              <w:spacing w:before="25" w:line="223" w:lineRule="exact"/>
              <w:ind w:right="56"/>
              <w:rPr>
                <w:rFonts w:ascii="Courier New"/>
                <w:b/>
              </w:rPr>
            </w:pPr>
            <w:r>
              <w:rPr>
                <w:rFonts w:ascii="Courier New"/>
                <w:b/>
                <w:spacing w:val="-10"/>
                <w:w w:val="60"/>
              </w:rPr>
              <w:t>-</w:t>
            </w:r>
          </w:p>
        </w:tc>
        <w:tc>
          <w:tcPr>
            <w:tcW w:w="941" w:type="dxa"/>
          </w:tcPr>
          <w:p w14:paraId="7E8AA0D3" w14:textId="77777777" w:rsidR="002C6574" w:rsidRDefault="00000000">
            <w:pPr>
              <w:pStyle w:val="TableParagraph"/>
              <w:spacing w:before="25" w:line="223" w:lineRule="exact"/>
              <w:ind w:right="56"/>
              <w:rPr>
                <w:rFonts w:ascii="Courier New"/>
                <w:b/>
              </w:rPr>
            </w:pPr>
            <w:r>
              <w:rPr>
                <w:rFonts w:ascii="Courier New"/>
                <w:b/>
                <w:spacing w:val="-10"/>
                <w:w w:val="60"/>
              </w:rPr>
              <w:t>-</w:t>
            </w:r>
          </w:p>
        </w:tc>
      </w:tr>
    </w:tbl>
    <w:p w14:paraId="2A6D44B9" w14:textId="77777777" w:rsidR="002C6574" w:rsidRDefault="002C6574">
      <w:pPr>
        <w:pStyle w:val="Corpodetexto"/>
        <w:spacing w:before="39"/>
        <w:rPr>
          <w:rFonts w:ascii="Arial"/>
          <w:b/>
        </w:rPr>
      </w:pPr>
    </w:p>
    <w:p w14:paraId="3CF244E0" w14:textId="77777777" w:rsidR="002C6574" w:rsidRDefault="00000000">
      <w:pPr>
        <w:pStyle w:val="PargrafodaLista"/>
        <w:numPr>
          <w:ilvl w:val="2"/>
          <w:numId w:val="27"/>
        </w:numPr>
        <w:tabs>
          <w:tab w:val="left" w:pos="990"/>
        </w:tabs>
        <w:ind w:left="990" w:hanging="847"/>
        <w:rPr>
          <w:rFonts w:ascii="Arial" w:hAnsi="Arial"/>
          <w:b/>
        </w:rPr>
      </w:pPr>
      <w:r>
        <w:rPr>
          <w:rFonts w:ascii="Arial" w:hAnsi="Arial"/>
          <w:b/>
        </w:rPr>
        <w:t>Cálculo</w:t>
      </w:r>
      <w:r>
        <w:rPr>
          <w:rFonts w:ascii="Arial" w:hAnsi="Arial"/>
          <w:b/>
          <w:spacing w:val="-2"/>
        </w:rPr>
        <w:t xml:space="preserve"> </w:t>
      </w:r>
      <w:r>
        <w:rPr>
          <w:rFonts w:ascii="Arial" w:hAnsi="Arial"/>
          <w:b/>
        </w:rPr>
        <w:t>da</w:t>
      </w:r>
      <w:r>
        <w:rPr>
          <w:rFonts w:ascii="Arial" w:hAnsi="Arial"/>
          <w:b/>
          <w:spacing w:val="-4"/>
        </w:rPr>
        <w:t xml:space="preserve"> </w:t>
      </w:r>
      <w:r>
        <w:rPr>
          <w:rFonts w:ascii="Arial" w:hAnsi="Arial"/>
          <w:b/>
        </w:rPr>
        <w:t>Despesa</w:t>
      </w:r>
      <w:r>
        <w:rPr>
          <w:rFonts w:ascii="Arial" w:hAnsi="Arial"/>
          <w:b/>
          <w:spacing w:val="-2"/>
        </w:rPr>
        <w:t xml:space="preserve"> </w:t>
      </w:r>
      <w:r>
        <w:rPr>
          <w:rFonts w:ascii="Arial" w:hAnsi="Arial"/>
          <w:b/>
        </w:rPr>
        <w:t>do</w:t>
      </w:r>
      <w:r>
        <w:rPr>
          <w:rFonts w:ascii="Arial" w:hAnsi="Arial"/>
          <w:b/>
          <w:spacing w:val="-3"/>
        </w:rPr>
        <w:t xml:space="preserve"> </w:t>
      </w:r>
      <w:r>
        <w:rPr>
          <w:rFonts w:ascii="Arial" w:hAnsi="Arial"/>
          <w:b/>
          <w:spacing w:val="-2"/>
        </w:rPr>
        <w:t>Exercício</w:t>
      </w:r>
    </w:p>
    <w:p w14:paraId="35490CC8" w14:textId="77777777" w:rsidR="002C6574" w:rsidRDefault="002C6574">
      <w:pPr>
        <w:pStyle w:val="Corpodetexto"/>
        <w:spacing w:before="61" w:after="1"/>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8"/>
        <w:gridCol w:w="1135"/>
        <w:gridCol w:w="1137"/>
        <w:gridCol w:w="1137"/>
        <w:gridCol w:w="1137"/>
        <w:gridCol w:w="1000"/>
        <w:gridCol w:w="1002"/>
      </w:tblGrid>
      <w:tr w:rsidR="002C6574" w14:paraId="0117F3F1" w14:textId="77777777">
        <w:trPr>
          <w:trHeight w:val="232"/>
        </w:trPr>
        <w:tc>
          <w:tcPr>
            <w:tcW w:w="3218" w:type="dxa"/>
            <w:vMerge w:val="restart"/>
            <w:shd w:val="clear" w:color="auto" w:fill="BFBFBF"/>
          </w:tcPr>
          <w:p w14:paraId="4E7C3277" w14:textId="77777777" w:rsidR="002C6574" w:rsidRDefault="00000000">
            <w:pPr>
              <w:pStyle w:val="TableParagraph"/>
              <w:spacing w:before="145"/>
              <w:ind w:left="69"/>
              <w:jc w:val="left"/>
              <w:rPr>
                <w:rFonts w:ascii="Arial" w:hAnsi="Arial"/>
                <w:b/>
                <w:sz w:val="16"/>
              </w:rPr>
            </w:pPr>
            <w:r>
              <w:rPr>
                <w:rFonts w:ascii="Arial" w:hAnsi="Arial"/>
                <w:b/>
                <w:spacing w:val="-2"/>
                <w:sz w:val="16"/>
              </w:rPr>
              <w:t>Composição:</w:t>
            </w:r>
          </w:p>
        </w:tc>
        <w:tc>
          <w:tcPr>
            <w:tcW w:w="2272" w:type="dxa"/>
            <w:gridSpan w:val="2"/>
          </w:tcPr>
          <w:p w14:paraId="0DA8E8F5" w14:textId="77777777" w:rsidR="002C6574" w:rsidRDefault="00000000">
            <w:pPr>
              <w:pStyle w:val="TableParagraph"/>
              <w:spacing w:before="25"/>
              <w:ind w:left="51"/>
              <w:jc w:val="center"/>
              <w:rPr>
                <w:rFonts w:ascii="Arial"/>
                <w:b/>
                <w:sz w:val="16"/>
              </w:rPr>
            </w:pPr>
            <w:r>
              <w:rPr>
                <w:rFonts w:ascii="Arial"/>
                <w:b/>
                <w:spacing w:val="-2"/>
                <w:sz w:val="16"/>
              </w:rPr>
              <w:t>PBS-</w:t>
            </w:r>
            <w:r>
              <w:rPr>
                <w:rFonts w:ascii="Arial"/>
                <w:b/>
                <w:spacing w:val="-10"/>
                <w:sz w:val="16"/>
              </w:rPr>
              <w:t>A</w:t>
            </w:r>
          </w:p>
        </w:tc>
        <w:tc>
          <w:tcPr>
            <w:tcW w:w="2274" w:type="dxa"/>
            <w:gridSpan w:val="2"/>
          </w:tcPr>
          <w:p w14:paraId="23FDBDCC" w14:textId="77777777" w:rsidR="002C6574" w:rsidRDefault="00000000">
            <w:pPr>
              <w:pStyle w:val="TableParagraph"/>
              <w:spacing w:before="25"/>
              <w:ind w:left="639"/>
              <w:jc w:val="left"/>
              <w:rPr>
                <w:rFonts w:ascii="Arial"/>
                <w:b/>
                <w:sz w:val="16"/>
              </w:rPr>
            </w:pPr>
            <w:r>
              <w:rPr>
                <w:rFonts w:ascii="Arial"/>
                <w:b/>
                <w:spacing w:val="-2"/>
                <w:sz w:val="16"/>
              </w:rPr>
              <w:t>PBS-Telebras</w:t>
            </w:r>
          </w:p>
        </w:tc>
        <w:tc>
          <w:tcPr>
            <w:tcW w:w="2002" w:type="dxa"/>
            <w:gridSpan w:val="2"/>
          </w:tcPr>
          <w:p w14:paraId="5866F6D3" w14:textId="77777777" w:rsidR="002C6574" w:rsidRDefault="00000000">
            <w:pPr>
              <w:pStyle w:val="TableParagraph"/>
              <w:spacing w:before="25"/>
              <w:ind w:left="454"/>
              <w:jc w:val="left"/>
              <w:rPr>
                <w:rFonts w:ascii="Arial"/>
                <w:b/>
                <w:sz w:val="16"/>
              </w:rPr>
            </w:pPr>
            <w:r>
              <w:rPr>
                <w:rFonts w:ascii="Arial"/>
                <w:b/>
                <w:sz w:val="16"/>
              </w:rPr>
              <w:t>Telebras</w:t>
            </w:r>
            <w:r>
              <w:rPr>
                <w:rFonts w:ascii="Arial"/>
                <w:b/>
                <w:spacing w:val="-3"/>
                <w:sz w:val="16"/>
              </w:rPr>
              <w:t xml:space="preserve"> </w:t>
            </w:r>
            <w:r>
              <w:rPr>
                <w:rFonts w:ascii="Arial"/>
                <w:b/>
                <w:spacing w:val="-4"/>
                <w:sz w:val="16"/>
              </w:rPr>
              <w:t>PREV</w:t>
            </w:r>
          </w:p>
        </w:tc>
      </w:tr>
      <w:tr w:rsidR="002C6574" w14:paraId="1D1B9620" w14:textId="77777777">
        <w:trPr>
          <w:trHeight w:val="230"/>
        </w:trPr>
        <w:tc>
          <w:tcPr>
            <w:tcW w:w="3218" w:type="dxa"/>
            <w:vMerge/>
            <w:tcBorders>
              <w:top w:val="nil"/>
            </w:tcBorders>
            <w:shd w:val="clear" w:color="auto" w:fill="BFBFBF"/>
          </w:tcPr>
          <w:p w14:paraId="0EF61EA0" w14:textId="77777777" w:rsidR="002C6574" w:rsidRDefault="002C6574">
            <w:pPr>
              <w:rPr>
                <w:sz w:val="2"/>
                <w:szCs w:val="2"/>
              </w:rPr>
            </w:pPr>
          </w:p>
        </w:tc>
        <w:tc>
          <w:tcPr>
            <w:tcW w:w="1135" w:type="dxa"/>
          </w:tcPr>
          <w:p w14:paraId="13018AD7" w14:textId="77777777" w:rsidR="002C6574" w:rsidRDefault="00000000">
            <w:pPr>
              <w:pStyle w:val="TableParagraph"/>
              <w:spacing w:before="22"/>
              <w:ind w:left="163"/>
              <w:jc w:val="left"/>
              <w:rPr>
                <w:rFonts w:ascii="Arial"/>
                <w:b/>
                <w:sz w:val="16"/>
              </w:rPr>
            </w:pPr>
            <w:r>
              <w:rPr>
                <w:rFonts w:ascii="Arial"/>
                <w:b/>
                <w:spacing w:val="-2"/>
                <w:sz w:val="16"/>
              </w:rPr>
              <w:t>31/12/2025</w:t>
            </w:r>
          </w:p>
        </w:tc>
        <w:tc>
          <w:tcPr>
            <w:tcW w:w="1137" w:type="dxa"/>
          </w:tcPr>
          <w:p w14:paraId="3D380740" w14:textId="77777777" w:rsidR="002C6574" w:rsidRDefault="00000000">
            <w:pPr>
              <w:pStyle w:val="TableParagraph"/>
              <w:spacing w:before="22"/>
              <w:ind w:left="165"/>
              <w:jc w:val="left"/>
              <w:rPr>
                <w:rFonts w:ascii="Arial"/>
                <w:b/>
                <w:sz w:val="16"/>
              </w:rPr>
            </w:pPr>
            <w:r>
              <w:rPr>
                <w:rFonts w:ascii="Arial"/>
                <w:b/>
                <w:spacing w:val="-2"/>
                <w:sz w:val="16"/>
              </w:rPr>
              <w:t>31/12/2024</w:t>
            </w:r>
          </w:p>
        </w:tc>
        <w:tc>
          <w:tcPr>
            <w:tcW w:w="1137" w:type="dxa"/>
          </w:tcPr>
          <w:p w14:paraId="297AF9BB" w14:textId="77777777" w:rsidR="002C6574" w:rsidRDefault="00000000">
            <w:pPr>
              <w:pStyle w:val="TableParagraph"/>
              <w:spacing w:before="22"/>
              <w:ind w:left="166"/>
              <w:jc w:val="left"/>
              <w:rPr>
                <w:rFonts w:ascii="Arial"/>
                <w:b/>
                <w:sz w:val="16"/>
              </w:rPr>
            </w:pPr>
            <w:r>
              <w:rPr>
                <w:rFonts w:ascii="Arial"/>
                <w:b/>
                <w:spacing w:val="-2"/>
                <w:sz w:val="16"/>
              </w:rPr>
              <w:t>31/12/2025</w:t>
            </w:r>
          </w:p>
        </w:tc>
        <w:tc>
          <w:tcPr>
            <w:tcW w:w="1137" w:type="dxa"/>
          </w:tcPr>
          <w:p w14:paraId="6DCB4410" w14:textId="77777777" w:rsidR="002C6574" w:rsidRDefault="00000000">
            <w:pPr>
              <w:pStyle w:val="TableParagraph"/>
              <w:spacing w:before="22"/>
              <w:ind w:left="167"/>
              <w:jc w:val="left"/>
              <w:rPr>
                <w:rFonts w:ascii="Arial"/>
                <w:b/>
                <w:sz w:val="16"/>
              </w:rPr>
            </w:pPr>
            <w:r>
              <w:rPr>
                <w:rFonts w:ascii="Arial"/>
                <w:b/>
                <w:spacing w:val="-2"/>
                <w:sz w:val="16"/>
              </w:rPr>
              <w:t>31/12/2024</w:t>
            </w:r>
          </w:p>
        </w:tc>
        <w:tc>
          <w:tcPr>
            <w:tcW w:w="1000" w:type="dxa"/>
          </w:tcPr>
          <w:p w14:paraId="29FEFE71" w14:textId="77777777" w:rsidR="002C6574" w:rsidRDefault="00000000">
            <w:pPr>
              <w:pStyle w:val="TableParagraph"/>
              <w:spacing w:before="22"/>
              <w:ind w:right="85"/>
              <w:rPr>
                <w:rFonts w:ascii="Arial"/>
                <w:b/>
                <w:sz w:val="16"/>
              </w:rPr>
            </w:pPr>
            <w:r>
              <w:rPr>
                <w:rFonts w:ascii="Arial"/>
                <w:b/>
                <w:spacing w:val="-2"/>
                <w:sz w:val="16"/>
              </w:rPr>
              <w:t>31/12/2025</w:t>
            </w:r>
          </w:p>
        </w:tc>
        <w:tc>
          <w:tcPr>
            <w:tcW w:w="1002" w:type="dxa"/>
          </w:tcPr>
          <w:p w14:paraId="36740CCB" w14:textId="77777777" w:rsidR="002C6574" w:rsidRDefault="00000000">
            <w:pPr>
              <w:pStyle w:val="TableParagraph"/>
              <w:spacing w:before="22"/>
              <w:ind w:right="83"/>
              <w:rPr>
                <w:rFonts w:ascii="Arial"/>
                <w:b/>
                <w:sz w:val="16"/>
              </w:rPr>
            </w:pPr>
            <w:r>
              <w:rPr>
                <w:rFonts w:ascii="Arial"/>
                <w:b/>
                <w:spacing w:val="-2"/>
                <w:sz w:val="16"/>
              </w:rPr>
              <w:t>31/12/2024</w:t>
            </w:r>
          </w:p>
        </w:tc>
      </w:tr>
      <w:tr w:rsidR="002C6574" w14:paraId="54629CB1" w14:textId="77777777">
        <w:trPr>
          <w:trHeight w:val="232"/>
        </w:trPr>
        <w:tc>
          <w:tcPr>
            <w:tcW w:w="3218" w:type="dxa"/>
          </w:tcPr>
          <w:p w14:paraId="465AFCF3" w14:textId="77777777" w:rsidR="002C6574" w:rsidRDefault="00000000">
            <w:pPr>
              <w:pStyle w:val="TableParagraph"/>
              <w:spacing w:before="2" w:line="210" w:lineRule="exact"/>
              <w:ind w:left="69"/>
              <w:jc w:val="left"/>
              <w:rPr>
                <w:sz w:val="16"/>
              </w:rPr>
            </w:pPr>
            <w:r>
              <w:rPr>
                <w:w w:val="105"/>
                <w:sz w:val="16"/>
              </w:rPr>
              <w:t>1.</w:t>
            </w:r>
            <w:r>
              <w:rPr>
                <w:spacing w:val="-12"/>
                <w:w w:val="105"/>
                <w:sz w:val="16"/>
              </w:rPr>
              <w:t xml:space="preserve"> </w:t>
            </w:r>
            <w:r>
              <w:rPr>
                <w:w w:val="105"/>
                <w:sz w:val="16"/>
              </w:rPr>
              <w:t>Custo</w:t>
            </w:r>
            <w:r>
              <w:rPr>
                <w:spacing w:val="-11"/>
                <w:w w:val="105"/>
                <w:sz w:val="16"/>
              </w:rPr>
              <w:t xml:space="preserve"> </w:t>
            </w:r>
            <w:r>
              <w:rPr>
                <w:w w:val="105"/>
                <w:sz w:val="16"/>
              </w:rPr>
              <w:t>do</w:t>
            </w:r>
            <w:r>
              <w:rPr>
                <w:spacing w:val="-11"/>
                <w:w w:val="105"/>
                <w:sz w:val="16"/>
              </w:rPr>
              <w:t xml:space="preserve"> </w:t>
            </w:r>
            <w:r>
              <w:rPr>
                <w:w w:val="105"/>
                <w:sz w:val="16"/>
              </w:rPr>
              <w:t>serviço</w:t>
            </w:r>
            <w:r>
              <w:rPr>
                <w:spacing w:val="-12"/>
                <w:w w:val="105"/>
                <w:sz w:val="16"/>
              </w:rPr>
              <w:t xml:space="preserve"> </w:t>
            </w:r>
            <w:r>
              <w:rPr>
                <w:spacing w:val="-2"/>
                <w:w w:val="105"/>
                <w:sz w:val="16"/>
              </w:rPr>
              <w:t>corrente</w:t>
            </w:r>
          </w:p>
        </w:tc>
        <w:tc>
          <w:tcPr>
            <w:tcW w:w="1135" w:type="dxa"/>
          </w:tcPr>
          <w:p w14:paraId="2BA6E061" w14:textId="77777777" w:rsidR="002C6574" w:rsidRDefault="002C6574">
            <w:pPr>
              <w:pStyle w:val="TableParagraph"/>
              <w:jc w:val="left"/>
              <w:rPr>
                <w:rFonts w:ascii="Times New Roman"/>
                <w:sz w:val="16"/>
              </w:rPr>
            </w:pPr>
          </w:p>
        </w:tc>
        <w:tc>
          <w:tcPr>
            <w:tcW w:w="1137" w:type="dxa"/>
          </w:tcPr>
          <w:p w14:paraId="3BFAA482" w14:textId="77777777" w:rsidR="002C6574" w:rsidRDefault="002C6574">
            <w:pPr>
              <w:pStyle w:val="TableParagraph"/>
              <w:jc w:val="left"/>
              <w:rPr>
                <w:rFonts w:ascii="Times New Roman"/>
                <w:sz w:val="16"/>
              </w:rPr>
            </w:pPr>
          </w:p>
        </w:tc>
        <w:tc>
          <w:tcPr>
            <w:tcW w:w="1137" w:type="dxa"/>
          </w:tcPr>
          <w:p w14:paraId="1985DCB5" w14:textId="77777777" w:rsidR="002C6574" w:rsidRDefault="002C6574">
            <w:pPr>
              <w:pStyle w:val="TableParagraph"/>
              <w:jc w:val="left"/>
              <w:rPr>
                <w:rFonts w:ascii="Times New Roman"/>
                <w:sz w:val="16"/>
              </w:rPr>
            </w:pPr>
          </w:p>
        </w:tc>
        <w:tc>
          <w:tcPr>
            <w:tcW w:w="1137" w:type="dxa"/>
          </w:tcPr>
          <w:p w14:paraId="3F70B830" w14:textId="77777777" w:rsidR="002C6574" w:rsidRDefault="002C6574">
            <w:pPr>
              <w:pStyle w:val="TableParagraph"/>
              <w:jc w:val="left"/>
              <w:rPr>
                <w:rFonts w:ascii="Times New Roman"/>
                <w:sz w:val="16"/>
              </w:rPr>
            </w:pPr>
          </w:p>
        </w:tc>
        <w:tc>
          <w:tcPr>
            <w:tcW w:w="1000" w:type="dxa"/>
          </w:tcPr>
          <w:p w14:paraId="6256D843" w14:textId="77777777" w:rsidR="002C6574" w:rsidRDefault="00000000">
            <w:pPr>
              <w:pStyle w:val="TableParagraph"/>
              <w:spacing w:before="2" w:line="210" w:lineRule="exact"/>
              <w:ind w:right="54"/>
              <w:rPr>
                <w:sz w:val="16"/>
              </w:rPr>
            </w:pPr>
            <w:r>
              <w:rPr>
                <w:spacing w:val="-5"/>
                <w:w w:val="105"/>
                <w:sz w:val="16"/>
              </w:rPr>
              <w:t>523</w:t>
            </w:r>
          </w:p>
        </w:tc>
        <w:tc>
          <w:tcPr>
            <w:tcW w:w="1002" w:type="dxa"/>
          </w:tcPr>
          <w:p w14:paraId="38B35F7A" w14:textId="77777777" w:rsidR="002C6574" w:rsidRDefault="00000000">
            <w:pPr>
              <w:pStyle w:val="TableParagraph"/>
              <w:spacing w:before="2" w:line="210" w:lineRule="exact"/>
              <w:ind w:right="53"/>
              <w:rPr>
                <w:sz w:val="16"/>
              </w:rPr>
            </w:pPr>
            <w:r>
              <w:rPr>
                <w:spacing w:val="-5"/>
                <w:w w:val="105"/>
                <w:sz w:val="16"/>
              </w:rPr>
              <w:t>514</w:t>
            </w:r>
          </w:p>
        </w:tc>
      </w:tr>
      <w:tr w:rsidR="002C6574" w14:paraId="5CAECC0E" w14:textId="77777777">
        <w:trPr>
          <w:trHeight w:val="232"/>
        </w:trPr>
        <w:tc>
          <w:tcPr>
            <w:tcW w:w="3218" w:type="dxa"/>
          </w:tcPr>
          <w:p w14:paraId="6622162E" w14:textId="77777777" w:rsidR="002C6574" w:rsidRDefault="00000000">
            <w:pPr>
              <w:pStyle w:val="TableParagraph"/>
              <w:spacing w:before="2" w:line="210" w:lineRule="exact"/>
              <w:ind w:left="69"/>
              <w:jc w:val="left"/>
              <w:rPr>
                <w:sz w:val="16"/>
              </w:rPr>
            </w:pPr>
            <w:r>
              <w:rPr>
                <w:w w:val="105"/>
                <w:sz w:val="16"/>
              </w:rPr>
              <w:t>2.</w:t>
            </w:r>
            <w:r>
              <w:rPr>
                <w:spacing w:val="-7"/>
                <w:w w:val="105"/>
                <w:sz w:val="16"/>
              </w:rPr>
              <w:t xml:space="preserve"> </w:t>
            </w:r>
            <w:r>
              <w:rPr>
                <w:w w:val="105"/>
                <w:sz w:val="16"/>
              </w:rPr>
              <w:t>Custo</w:t>
            </w:r>
            <w:r>
              <w:rPr>
                <w:spacing w:val="-7"/>
                <w:w w:val="105"/>
                <w:sz w:val="16"/>
              </w:rPr>
              <w:t xml:space="preserve"> </w:t>
            </w:r>
            <w:r>
              <w:rPr>
                <w:w w:val="105"/>
                <w:sz w:val="16"/>
              </w:rPr>
              <w:t>dos</w:t>
            </w:r>
            <w:r>
              <w:rPr>
                <w:spacing w:val="-7"/>
                <w:w w:val="105"/>
                <w:sz w:val="16"/>
              </w:rPr>
              <w:t xml:space="preserve"> </w:t>
            </w:r>
            <w:r>
              <w:rPr>
                <w:spacing w:val="-2"/>
                <w:w w:val="105"/>
                <w:sz w:val="16"/>
              </w:rPr>
              <w:t>juros</w:t>
            </w:r>
          </w:p>
        </w:tc>
        <w:tc>
          <w:tcPr>
            <w:tcW w:w="1135" w:type="dxa"/>
          </w:tcPr>
          <w:p w14:paraId="44B9C16C" w14:textId="77777777" w:rsidR="002C6574" w:rsidRDefault="00000000">
            <w:pPr>
              <w:pStyle w:val="TableParagraph"/>
              <w:spacing w:before="2" w:line="210" w:lineRule="exact"/>
              <w:ind w:right="59"/>
              <w:rPr>
                <w:sz w:val="16"/>
              </w:rPr>
            </w:pPr>
            <w:r>
              <w:rPr>
                <w:spacing w:val="-2"/>
                <w:w w:val="105"/>
                <w:sz w:val="16"/>
              </w:rPr>
              <w:t>65.595</w:t>
            </w:r>
          </w:p>
        </w:tc>
        <w:tc>
          <w:tcPr>
            <w:tcW w:w="1137" w:type="dxa"/>
          </w:tcPr>
          <w:p w14:paraId="253E167E" w14:textId="77777777" w:rsidR="002C6574" w:rsidRDefault="00000000">
            <w:pPr>
              <w:pStyle w:val="TableParagraph"/>
              <w:spacing w:before="2" w:line="210" w:lineRule="exact"/>
              <w:ind w:right="58"/>
              <w:rPr>
                <w:sz w:val="16"/>
              </w:rPr>
            </w:pPr>
            <w:r>
              <w:rPr>
                <w:spacing w:val="-2"/>
                <w:w w:val="105"/>
                <w:sz w:val="16"/>
              </w:rPr>
              <w:t>55.190</w:t>
            </w:r>
          </w:p>
        </w:tc>
        <w:tc>
          <w:tcPr>
            <w:tcW w:w="1137" w:type="dxa"/>
          </w:tcPr>
          <w:p w14:paraId="59F19379" w14:textId="77777777" w:rsidR="002C6574" w:rsidRDefault="00000000">
            <w:pPr>
              <w:pStyle w:val="TableParagraph"/>
              <w:spacing w:before="2" w:line="210" w:lineRule="exact"/>
              <w:ind w:right="57"/>
              <w:rPr>
                <w:sz w:val="16"/>
              </w:rPr>
            </w:pPr>
            <w:r>
              <w:rPr>
                <w:spacing w:val="-2"/>
                <w:w w:val="105"/>
                <w:sz w:val="16"/>
              </w:rPr>
              <w:t>24.873</w:t>
            </w:r>
          </w:p>
        </w:tc>
        <w:tc>
          <w:tcPr>
            <w:tcW w:w="1137" w:type="dxa"/>
          </w:tcPr>
          <w:p w14:paraId="23B36F89" w14:textId="77777777" w:rsidR="002C6574" w:rsidRDefault="00000000">
            <w:pPr>
              <w:pStyle w:val="TableParagraph"/>
              <w:spacing w:before="2" w:line="210" w:lineRule="exact"/>
              <w:ind w:right="57"/>
              <w:rPr>
                <w:sz w:val="16"/>
              </w:rPr>
            </w:pPr>
            <w:r>
              <w:rPr>
                <w:spacing w:val="-2"/>
                <w:w w:val="105"/>
                <w:sz w:val="16"/>
              </w:rPr>
              <w:t>20.578</w:t>
            </w:r>
          </w:p>
        </w:tc>
        <w:tc>
          <w:tcPr>
            <w:tcW w:w="1000" w:type="dxa"/>
          </w:tcPr>
          <w:p w14:paraId="35CAA7CC" w14:textId="77777777" w:rsidR="002C6574" w:rsidRDefault="00000000">
            <w:pPr>
              <w:pStyle w:val="TableParagraph"/>
              <w:spacing w:before="2" w:line="210" w:lineRule="exact"/>
              <w:ind w:right="53"/>
              <w:rPr>
                <w:sz w:val="16"/>
              </w:rPr>
            </w:pPr>
            <w:r>
              <w:rPr>
                <w:spacing w:val="-2"/>
                <w:w w:val="105"/>
                <w:sz w:val="16"/>
              </w:rPr>
              <w:t>44.396</w:t>
            </w:r>
          </w:p>
        </w:tc>
        <w:tc>
          <w:tcPr>
            <w:tcW w:w="1002" w:type="dxa"/>
          </w:tcPr>
          <w:p w14:paraId="3A940C76" w14:textId="77777777" w:rsidR="002C6574" w:rsidRDefault="00000000">
            <w:pPr>
              <w:pStyle w:val="TableParagraph"/>
              <w:spacing w:before="2" w:line="210" w:lineRule="exact"/>
              <w:ind w:right="52"/>
              <w:rPr>
                <w:sz w:val="16"/>
              </w:rPr>
            </w:pPr>
            <w:r>
              <w:rPr>
                <w:spacing w:val="-2"/>
                <w:w w:val="105"/>
                <w:sz w:val="16"/>
              </w:rPr>
              <w:t>36.226</w:t>
            </w:r>
          </w:p>
        </w:tc>
      </w:tr>
      <w:tr w:rsidR="002C6574" w14:paraId="678AFEC5" w14:textId="77777777">
        <w:trPr>
          <w:trHeight w:val="369"/>
        </w:trPr>
        <w:tc>
          <w:tcPr>
            <w:tcW w:w="3218" w:type="dxa"/>
          </w:tcPr>
          <w:p w14:paraId="38D70FFA" w14:textId="77777777" w:rsidR="002C6574" w:rsidRDefault="00000000">
            <w:pPr>
              <w:pStyle w:val="TableParagraph"/>
              <w:spacing w:line="184" w:lineRule="exact"/>
              <w:ind w:left="69" w:right="66"/>
              <w:jc w:val="left"/>
              <w:rPr>
                <w:sz w:val="16"/>
              </w:rPr>
            </w:pPr>
            <w:r>
              <w:rPr>
                <w:sz w:val="16"/>
              </w:rPr>
              <w:t>3.</w:t>
            </w:r>
            <w:r>
              <w:rPr>
                <w:spacing w:val="-1"/>
                <w:sz w:val="16"/>
              </w:rPr>
              <w:t xml:space="preserve"> </w:t>
            </w:r>
            <w:r>
              <w:rPr>
                <w:sz w:val="16"/>
              </w:rPr>
              <w:t>Rendimento</w:t>
            </w:r>
            <w:r>
              <w:rPr>
                <w:spacing w:val="-5"/>
                <w:sz w:val="16"/>
              </w:rPr>
              <w:t xml:space="preserve"> </w:t>
            </w:r>
            <w:r>
              <w:rPr>
                <w:sz w:val="16"/>
              </w:rPr>
              <w:t>esperado</w:t>
            </w:r>
            <w:r>
              <w:rPr>
                <w:spacing w:val="-2"/>
                <w:sz w:val="16"/>
              </w:rPr>
              <w:t xml:space="preserve"> </w:t>
            </w:r>
            <w:r>
              <w:rPr>
                <w:sz w:val="16"/>
              </w:rPr>
              <w:t>dos</w:t>
            </w:r>
            <w:r>
              <w:rPr>
                <w:spacing w:val="-1"/>
                <w:sz w:val="16"/>
              </w:rPr>
              <w:t xml:space="preserve"> </w:t>
            </w:r>
            <w:r>
              <w:rPr>
                <w:sz w:val="16"/>
              </w:rPr>
              <w:t>ativos</w:t>
            </w:r>
            <w:r>
              <w:rPr>
                <w:spacing w:val="-1"/>
                <w:sz w:val="16"/>
              </w:rPr>
              <w:t xml:space="preserve"> </w:t>
            </w:r>
            <w:r>
              <w:rPr>
                <w:sz w:val="16"/>
              </w:rPr>
              <w:t xml:space="preserve">do </w:t>
            </w:r>
            <w:r>
              <w:rPr>
                <w:spacing w:val="-2"/>
                <w:sz w:val="16"/>
              </w:rPr>
              <w:t>plano</w:t>
            </w:r>
          </w:p>
        </w:tc>
        <w:tc>
          <w:tcPr>
            <w:tcW w:w="1135" w:type="dxa"/>
          </w:tcPr>
          <w:p w14:paraId="2D8CA9F6" w14:textId="77777777" w:rsidR="002C6574" w:rsidRDefault="00000000">
            <w:pPr>
              <w:pStyle w:val="TableParagraph"/>
              <w:spacing w:before="69"/>
              <w:ind w:right="57"/>
              <w:rPr>
                <w:sz w:val="16"/>
              </w:rPr>
            </w:pPr>
            <w:r>
              <w:rPr>
                <w:spacing w:val="-2"/>
                <w:w w:val="110"/>
                <w:sz w:val="16"/>
              </w:rPr>
              <w:t>(73.330)</w:t>
            </w:r>
          </w:p>
        </w:tc>
        <w:tc>
          <w:tcPr>
            <w:tcW w:w="1137" w:type="dxa"/>
          </w:tcPr>
          <w:p w14:paraId="0861086E" w14:textId="77777777" w:rsidR="002C6574" w:rsidRDefault="00000000">
            <w:pPr>
              <w:pStyle w:val="TableParagraph"/>
              <w:spacing w:before="69"/>
              <w:ind w:right="56"/>
              <w:rPr>
                <w:sz w:val="16"/>
              </w:rPr>
            </w:pPr>
            <w:r>
              <w:rPr>
                <w:spacing w:val="-2"/>
                <w:w w:val="110"/>
                <w:sz w:val="16"/>
              </w:rPr>
              <w:t>(64.356)</w:t>
            </w:r>
          </w:p>
        </w:tc>
        <w:tc>
          <w:tcPr>
            <w:tcW w:w="1137" w:type="dxa"/>
          </w:tcPr>
          <w:p w14:paraId="0D8D1112" w14:textId="77777777" w:rsidR="002C6574" w:rsidRDefault="00000000">
            <w:pPr>
              <w:pStyle w:val="TableParagraph"/>
              <w:spacing w:before="69"/>
              <w:ind w:right="55"/>
              <w:rPr>
                <w:sz w:val="16"/>
              </w:rPr>
            </w:pPr>
            <w:r>
              <w:rPr>
                <w:spacing w:val="-2"/>
                <w:w w:val="110"/>
                <w:sz w:val="16"/>
              </w:rPr>
              <w:t>(30.257)</w:t>
            </w:r>
          </w:p>
        </w:tc>
        <w:tc>
          <w:tcPr>
            <w:tcW w:w="1137" w:type="dxa"/>
          </w:tcPr>
          <w:p w14:paraId="77D4A059" w14:textId="77777777" w:rsidR="002C6574" w:rsidRDefault="00000000">
            <w:pPr>
              <w:pStyle w:val="TableParagraph"/>
              <w:spacing w:before="69"/>
              <w:ind w:right="55"/>
              <w:rPr>
                <w:sz w:val="16"/>
              </w:rPr>
            </w:pPr>
            <w:r>
              <w:rPr>
                <w:spacing w:val="-2"/>
                <w:w w:val="110"/>
                <w:sz w:val="16"/>
              </w:rPr>
              <w:t>(30.629)</w:t>
            </w:r>
          </w:p>
        </w:tc>
        <w:tc>
          <w:tcPr>
            <w:tcW w:w="1000" w:type="dxa"/>
          </w:tcPr>
          <w:p w14:paraId="33187B1B" w14:textId="77777777" w:rsidR="002C6574" w:rsidRDefault="00000000">
            <w:pPr>
              <w:pStyle w:val="TableParagraph"/>
              <w:spacing w:before="69"/>
              <w:ind w:right="51"/>
              <w:rPr>
                <w:sz w:val="16"/>
              </w:rPr>
            </w:pPr>
            <w:r>
              <w:rPr>
                <w:spacing w:val="-2"/>
                <w:w w:val="110"/>
                <w:sz w:val="16"/>
              </w:rPr>
              <w:t>(53.266)</w:t>
            </w:r>
          </w:p>
        </w:tc>
        <w:tc>
          <w:tcPr>
            <w:tcW w:w="1002" w:type="dxa"/>
          </w:tcPr>
          <w:p w14:paraId="4D378F8D" w14:textId="77777777" w:rsidR="002C6574" w:rsidRDefault="00000000">
            <w:pPr>
              <w:pStyle w:val="TableParagraph"/>
              <w:spacing w:before="69"/>
              <w:ind w:right="50"/>
              <w:rPr>
                <w:sz w:val="16"/>
              </w:rPr>
            </w:pPr>
            <w:r>
              <w:rPr>
                <w:spacing w:val="-2"/>
                <w:w w:val="110"/>
                <w:sz w:val="16"/>
              </w:rPr>
              <w:t>(54.454)</w:t>
            </w:r>
          </w:p>
        </w:tc>
      </w:tr>
      <w:tr w:rsidR="002C6574" w14:paraId="31C42967" w14:textId="77777777">
        <w:trPr>
          <w:trHeight w:val="366"/>
        </w:trPr>
        <w:tc>
          <w:tcPr>
            <w:tcW w:w="3218" w:type="dxa"/>
          </w:tcPr>
          <w:p w14:paraId="5A5CB0A5" w14:textId="77777777" w:rsidR="002C6574" w:rsidRDefault="00000000">
            <w:pPr>
              <w:pStyle w:val="TableParagraph"/>
              <w:spacing w:line="184" w:lineRule="exact"/>
              <w:ind w:left="69" w:right="66"/>
              <w:jc w:val="left"/>
              <w:rPr>
                <w:rFonts w:ascii="Arial" w:hAnsi="Arial"/>
                <w:b/>
                <w:sz w:val="16"/>
              </w:rPr>
            </w:pPr>
            <w:r>
              <w:rPr>
                <w:rFonts w:ascii="Arial" w:hAnsi="Arial"/>
                <w:b/>
                <w:sz w:val="16"/>
              </w:rPr>
              <w:t>4. Despesa reconhecida</w:t>
            </w:r>
            <w:r>
              <w:rPr>
                <w:rFonts w:ascii="Arial" w:hAnsi="Arial"/>
                <w:b/>
                <w:spacing w:val="-1"/>
                <w:sz w:val="16"/>
              </w:rPr>
              <w:t xml:space="preserve"> </w:t>
            </w:r>
            <w:r>
              <w:rPr>
                <w:rFonts w:ascii="Arial" w:hAnsi="Arial"/>
                <w:b/>
                <w:sz w:val="16"/>
              </w:rPr>
              <w:t>na demonstração</w:t>
            </w:r>
            <w:r>
              <w:rPr>
                <w:rFonts w:ascii="Arial" w:hAnsi="Arial"/>
                <w:b/>
                <w:spacing w:val="-4"/>
                <w:sz w:val="16"/>
              </w:rPr>
              <w:t xml:space="preserve"> </w:t>
            </w:r>
            <w:r>
              <w:rPr>
                <w:rFonts w:ascii="Arial" w:hAnsi="Arial"/>
                <w:b/>
                <w:sz w:val="16"/>
              </w:rPr>
              <w:t>do</w:t>
            </w:r>
            <w:r>
              <w:rPr>
                <w:rFonts w:ascii="Arial" w:hAnsi="Arial"/>
                <w:b/>
                <w:spacing w:val="-3"/>
                <w:sz w:val="16"/>
              </w:rPr>
              <w:t xml:space="preserve"> </w:t>
            </w:r>
            <w:r>
              <w:rPr>
                <w:rFonts w:ascii="Arial" w:hAnsi="Arial"/>
                <w:b/>
                <w:spacing w:val="-2"/>
                <w:sz w:val="16"/>
              </w:rPr>
              <w:t>resultado</w:t>
            </w:r>
          </w:p>
        </w:tc>
        <w:tc>
          <w:tcPr>
            <w:tcW w:w="1135" w:type="dxa"/>
          </w:tcPr>
          <w:p w14:paraId="30F1850E" w14:textId="77777777" w:rsidR="002C6574" w:rsidRDefault="00000000">
            <w:pPr>
              <w:pStyle w:val="TableParagraph"/>
              <w:spacing w:before="92"/>
              <w:ind w:right="56"/>
              <w:rPr>
                <w:rFonts w:ascii="Arial"/>
                <w:b/>
                <w:sz w:val="16"/>
              </w:rPr>
            </w:pPr>
            <w:r>
              <w:rPr>
                <w:rFonts w:ascii="Arial"/>
                <w:b/>
                <w:spacing w:val="-2"/>
                <w:sz w:val="16"/>
              </w:rPr>
              <w:t>(7.735)</w:t>
            </w:r>
          </w:p>
        </w:tc>
        <w:tc>
          <w:tcPr>
            <w:tcW w:w="1137" w:type="dxa"/>
          </w:tcPr>
          <w:p w14:paraId="3C8A3F21" w14:textId="77777777" w:rsidR="002C6574" w:rsidRDefault="00000000">
            <w:pPr>
              <w:pStyle w:val="TableParagraph"/>
              <w:spacing w:before="92"/>
              <w:ind w:right="55"/>
              <w:rPr>
                <w:rFonts w:ascii="Arial"/>
                <w:b/>
                <w:sz w:val="16"/>
              </w:rPr>
            </w:pPr>
            <w:r>
              <w:rPr>
                <w:rFonts w:ascii="Arial"/>
                <w:b/>
                <w:spacing w:val="-2"/>
                <w:sz w:val="16"/>
              </w:rPr>
              <w:t>(9.166)</w:t>
            </w:r>
          </w:p>
        </w:tc>
        <w:tc>
          <w:tcPr>
            <w:tcW w:w="1137" w:type="dxa"/>
          </w:tcPr>
          <w:p w14:paraId="1EA4B50C" w14:textId="77777777" w:rsidR="002C6574" w:rsidRDefault="00000000">
            <w:pPr>
              <w:pStyle w:val="TableParagraph"/>
              <w:spacing w:before="92"/>
              <w:ind w:right="55"/>
              <w:rPr>
                <w:rFonts w:ascii="Arial"/>
                <w:b/>
                <w:sz w:val="16"/>
              </w:rPr>
            </w:pPr>
            <w:r>
              <w:rPr>
                <w:rFonts w:ascii="Arial"/>
                <w:b/>
                <w:spacing w:val="-2"/>
                <w:sz w:val="16"/>
              </w:rPr>
              <w:t>(5.384)</w:t>
            </w:r>
          </w:p>
        </w:tc>
        <w:tc>
          <w:tcPr>
            <w:tcW w:w="1137" w:type="dxa"/>
          </w:tcPr>
          <w:p w14:paraId="2FC261F4" w14:textId="77777777" w:rsidR="002C6574" w:rsidRDefault="00000000">
            <w:pPr>
              <w:pStyle w:val="TableParagraph"/>
              <w:spacing w:before="92"/>
              <w:ind w:right="55"/>
              <w:rPr>
                <w:rFonts w:ascii="Arial"/>
                <w:b/>
                <w:sz w:val="16"/>
              </w:rPr>
            </w:pPr>
            <w:r>
              <w:rPr>
                <w:rFonts w:ascii="Arial"/>
                <w:b/>
                <w:spacing w:val="-2"/>
                <w:sz w:val="16"/>
              </w:rPr>
              <w:t>(10.051)</w:t>
            </w:r>
          </w:p>
        </w:tc>
        <w:tc>
          <w:tcPr>
            <w:tcW w:w="1000" w:type="dxa"/>
          </w:tcPr>
          <w:p w14:paraId="4F34AA40" w14:textId="77777777" w:rsidR="002C6574" w:rsidRDefault="00000000">
            <w:pPr>
              <w:pStyle w:val="TableParagraph"/>
              <w:spacing w:before="92"/>
              <w:ind w:right="51"/>
              <w:rPr>
                <w:rFonts w:ascii="Arial"/>
                <w:b/>
                <w:sz w:val="16"/>
              </w:rPr>
            </w:pPr>
            <w:r>
              <w:rPr>
                <w:rFonts w:ascii="Arial"/>
                <w:b/>
                <w:spacing w:val="-2"/>
                <w:sz w:val="16"/>
              </w:rPr>
              <w:t>(8.870)</w:t>
            </w:r>
          </w:p>
        </w:tc>
        <w:tc>
          <w:tcPr>
            <w:tcW w:w="1002" w:type="dxa"/>
          </w:tcPr>
          <w:p w14:paraId="32744692" w14:textId="77777777" w:rsidR="002C6574" w:rsidRDefault="00000000">
            <w:pPr>
              <w:pStyle w:val="TableParagraph"/>
              <w:spacing w:before="92"/>
              <w:ind w:right="50"/>
              <w:rPr>
                <w:rFonts w:ascii="Arial"/>
                <w:b/>
                <w:sz w:val="16"/>
              </w:rPr>
            </w:pPr>
            <w:r>
              <w:rPr>
                <w:rFonts w:ascii="Arial"/>
                <w:b/>
                <w:spacing w:val="-2"/>
                <w:sz w:val="16"/>
              </w:rPr>
              <w:t>(18.228)</w:t>
            </w:r>
          </w:p>
        </w:tc>
      </w:tr>
    </w:tbl>
    <w:p w14:paraId="4D753081" w14:textId="77777777" w:rsidR="002C6574" w:rsidRDefault="002C6574">
      <w:pPr>
        <w:pStyle w:val="Corpodetexto"/>
        <w:spacing w:before="3"/>
        <w:rPr>
          <w:rFonts w:ascii="Arial"/>
          <w:b/>
        </w:rPr>
      </w:pPr>
    </w:p>
    <w:p w14:paraId="23D2A7C5" w14:textId="77777777" w:rsidR="002C6574" w:rsidRDefault="00000000">
      <w:pPr>
        <w:pStyle w:val="PargrafodaLista"/>
        <w:numPr>
          <w:ilvl w:val="2"/>
          <w:numId w:val="27"/>
        </w:numPr>
        <w:tabs>
          <w:tab w:val="left" w:pos="990"/>
        </w:tabs>
        <w:ind w:left="990" w:hanging="847"/>
        <w:rPr>
          <w:rFonts w:ascii="Arial" w:hAnsi="Arial"/>
          <w:b/>
        </w:rPr>
      </w:pPr>
      <w:r>
        <w:rPr>
          <w:rFonts w:ascii="Arial" w:hAnsi="Arial"/>
          <w:b/>
        </w:rPr>
        <w:t>Movimentação</w:t>
      </w:r>
      <w:r>
        <w:rPr>
          <w:rFonts w:ascii="Arial" w:hAnsi="Arial"/>
          <w:b/>
          <w:spacing w:val="-7"/>
        </w:rPr>
        <w:t xml:space="preserve"> </w:t>
      </w:r>
      <w:r>
        <w:rPr>
          <w:rFonts w:ascii="Arial" w:hAnsi="Arial"/>
          <w:b/>
        </w:rPr>
        <w:t>do</w:t>
      </w:r>
      <w:r>
        <w:rPr>
          <w:rFonts w:ascii="Arial" w:hAnsi="Arial"/>
          <w:b/>
          <w:spacing w:val="-3"/>
        </w:rPr>
        <w:t xml:space="preserve"> </w:t>
      </w:r>
      <w:r>
        <w:rPr>
          <w:rFonts w:ascii="Arial" w:hAnsi="Arial"/>
          <w:b/>
        </w:rPr>
        <w:t>Passivo</w:t>
      </w:r>
      <w:r>
        <w:rPr>
          <w:rFonts w:ascii="Arial" w:hAnsi="Arial"/>
          <w:b/>
          <w:spacing w:val="-3"/>
        </w:rPr>
        <w:t xml:space="preserve"> </w:t>
      </w:r>
      <w:r>
        <w:rPr>
          <w:rFonts w:ascii="Arial" w:hAnsi="Arial"/>
          <w:b/>
          <w:spacing w:val="-2"/>
        </w:rPr>
        <w:t>Líquido</w:t>
      </w:r>
    </w:p>
    <w:p w14:paraId="637B016A" w14:textId="77777777" w:rsidR="002C6574" w:rsidRDefault="002C6574">
      <w:pPr>
        <w:pStyle w:val="Corpodetexto"/>
        <w:spacing w:before="59"/>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5"/>
        <w:gridCol w:w="1418"/>
        <w:gridCol w:w="1418"/>
        <w:gridCol w:w="1418"/>
      </w:tblGrid>
      <w:tr w:rsidR="002C6574" w14:paraId="5E6166BA" w14:textId="77777777">
        <w:trPr>
          <w:trHeight w:val="414"/>
        </w:trPr>
        <w:tc>
          <w:tcPr>
            <w:tcW w:w="5515" w:type="dxa"/>
            <w:shd w:val="clear" w:color="auto" w:fill="BFBFBF"/>
          </w:tcPr>
          <w:p w14:paraId="00F218FA" w14:textId="77777777" w:rsidR="002C6574" w:rsidRDefault="00000000">
            <w:pPr>
              <w:pStyle w:val="TableParagraph"/>
              <w:spacing w:before="93"/>
              <w:ind w:left="69"/>
              <w:jc w:val="left"/>
              <w:rPr>
                <w:rFonts w:ascii="Arial" w:hAnsi="Arial"/>
                <w:b/>
                <w:sz w:val="20"/>
              </w:rPr>
            </w:pPr>
            <w:r>
              <w:rPr>
                <w:rFonts w:ascii="Arial" w:hAnsi="Arial"/>
                <w:b/>
                <w:spacing w:val="-2"/>
                <w:sz w:val="20"/>
              </w:rPr>
              <w:t>Composição:</w:t>
            </w:r>
          </w:p>
        </w:tc>
        <w:tc>
          <w:tcPr>
            <w:tcW w:w="1418" w:type="dxa"/>
          </w:tcPr>
          <w:p w14:paraId="62B4DDA6" w14:textId="77777777" w:rsidR="002C6574" w:rsidRDefault="00000000">
            <w:pPr>
              <w:pStyle w:val="TableParagraph"/>
              <w:spacing w:before="104"/>
              <w:ind w:left="427"/>
              <w:jc w:val="left"/>
              <w:rPr>
                <w:rFonts w:ascii="Arial"/>
                <w:b/>
                <w:sz w:val="18"/>
              </w:rPr>
            </w:pPr>
            <w:r>
              <w:rPr>
                <w:rFonts w:ascii="Arial"/>
                <w:b/>
                <w:spacing w:val="-2"/>
                <w:sz w:val="18"/>
              </w:rPr>
              <w:t>PBS-</w:t>
            </w:r>
            <w:r>
              <w:rPr>
                <w:rFonts w:ascii="Arial"/>
                <w:b/>
                <w:spacing w:val="-10"/>
                <w:sz w:val="18"/>
              </w:rPr>
              <w:t>A</w:t>
            </w:r>
          </w:p>
        </w:tc>
        <w:tc>
          <w:tcPr>
            <w:tcW w:w="1418" w:type="dxa"/>
          </w:tcPr>
          <w:p w14:paraId="4FA8174D" w14:textId="77777777" w:rsidR="002C6574" w:rsidRDefault="00000000">
            <w:pPr>
              <w:pStyle w:val="TableParagraph"/>
              <w:spacing w:before="104"/>
              <w:ind w:left="123"/>
              <w:jc w:val="left"/>
              <w:rPr>
                <w:rFonts w:ascii="Arial" w:hAnsi="Arial"/>
                <w:b/>
                <w:sz w:val="18"/>
              </w:rPr>
            </w:pPr>
            <w:r>
              <w:rPr>
                <w:rFonts w:ascii="Arial" w:hAnsi="Arial"/>
                <w:b/>
                <w:spacing w:val="-2"/>
                <w:sz w:val="18"/>
              </w:rPr>
              <w:t>PBS-Telebrás</w:t>
            </w:r>
          </w:p>
        </w:tc>
        <w:tc>
          <w:tcPr>
            <w:tcW w:w="1418" w:type="dxa"/>
          </w:tcPr>
          <w:p w14:paraId="7E92BCC9" w14:textId="77777777" w:rsidR="002C6574" w:rsidRDefault="00000000">
            <w:pPr>
              <w:pStyle w:val="TableParagraph"/>
              <w:spacing w:line="206" w:lineRule="exact"/>
              <w:ind w:left="463" w:hanging="125"/>
              <w:jc w:val="left"/>
              <w:rPr>
                <w:rFonts w:ascii="Arial" w:hAnsi="Arial"/>
                <w:b/>
                <w:sz w:val="18"/>
              </w:rPr>
            </w:pPr>
            <w:r>
              <w:rPr>
                <w:rFonts w:ascii="Arial" w:hAnsi="Arial"/>
                <w:b/>
                <w:spacing w:val="-2"/>
                <w:sz w:val="18"/>
              </w:rPr>
              <w:t xml:space="preserve">Telebrás </w:t>
            </w:r>
            <w:r>
              <w:rPr>
                <w:rFonts w:ascii="Arial" w:hAnsi="Arial"/>
                <w:b/>
                <w:spacing w:val="-4"/>
                <w:sz w:val="18"/>
              </w:rPr>
              <w:t>PREV</w:t>
            </w:r>
          </w:p>
        </w:tc>
      </w:tr>
      <w:tr w:rsidR="002C6574" w14:paraId="30B13DC2" w14:textId="77777777">
        <w:trPr>
          <w:trHeight w:val="232"/>
        </w:trPr>
        <w:tc>
          <w:tcPr>
            <w:tcW w:w="5515" w:type="dxa"/>
          </w:tcPr>
          <w:p w14:paraId="59AEC336" w14:textId="77777777" w:rsidR="002C6574" w:rsidRDefault="00000000">
            <w:pPr>
              <w:pStyle w:val="TableParagraph"/>
              <w:spacing w:before="11" w:line="201" w:lineRule="exact"/>
              <w:ind w:left="69"/>
              <w:jc w:val="left"/>
              <w:rPr>
                <w:rFonts w:ascii="Arial" w:hAnsi="Arial"/>
                <w:b/>
                <w:sz w:val="18"/>
              </w:rPr>
            </w:pPr>
            <w:r>
              <w:rPr>
                <w:rFonts w:ascii="Arial" w:hAnsi="Arial"/>
                <w:b/>
                <w:sz w:val="18"/>
              </w:rPr>
              <w:t>1.</w:t>
            </w:r>
            <w:r>
              <w:rPr>
                <w:rFonts w:ascii="Arial" w:hAnsi="Arial"/>
                <w:b/>
                <w:spacing w:val="1"/>
                <w:sz w:val="18"/>
              </w:rPr>
              <w:t xml:space="preserve"> </w:t>
            </w:r>
            <w:r>
              <w:rPr>
                <w:rFonts w:ascii="Arial" w:hAnsi="Arial"/>
                <w:b/>
                <w:sz w:val="18"/>
              </w:rPr>
              <w:t>Passivo/(ativo)</w:t>
            </w:r>
            <w:r>
              <w:rPr>
                <w:rFonts w:ascii="Arial" w:hAnsi="Arial"/>
                <w:b/>
                <w:spacing w:val="-5"/>
                <w:sz w:val="18"/>
              </w:rPr>
              <w:t xml:space="preserve"> </w:t>
            </w:r>
            <w:r>
              <w:rPr>
                <w:rFonts w:ascii="Arial" w:hAnsi="Arial"/>
                <w:b/>
                <w:sz w:val="18"/>
              </w:rPr>
              <w:t>líquido</w:t>
            </w:r>
            <w:r>
              <w:rPr>
                <w:rFonts w:ascii="Arial" w:hAnsi="Arial"/>
                <w:b/>
                <w:spacing w:val="1"/>
                <w:sz w:val="18"/>
              </w:rPr>
              <w:t xml:space="preserve"> </w:t>
            </w:r>
            <w:r>
              <w:rPr>
                <w:rFonts w:ascii="Arial" w:hAnsi="Arial"/>
                <w:b/>
                <w:sz w:val="18"/>
              </w:rPr>
              <w:t>reconhecido</w:t>
            </w:r>
            <w:r>
              <w:rPr>
                <w:rFonts w:ascii="Arial" w:hAnsi="Arial"/>
                <w:b/>
                <w:spacing w:val="-1"/>
                <w:sz w:val="18"/>
              </w:rPr>
              <w:t xml:space="preserve"> </w:t>
            </w:r>
            <w:r>
              <w:rPr>
                <w:rFonts w:ascii="Arial" w:hAnsi="Arial"/>
                <w:b/>
                <w:sz w:val="18"/>
              </w:rPr>
              <w:t>em</w:t>
            </w:r>
            <w:r>
              <w:rPr>
                <w:rFonts w:ascii="Arial" w:hAnsi="Arial"/>
                <w:b/>
                <w:spacing w:val="-2"/>
                <w:sz w:val="18"/>
              </w:rPr>
              <w:t xml:space="preserve"> 31/12/2024</w:t>
            </w:r>
          </w:p>
        </w:tc>
        <w:tc>
          <w:tcPr>
            <w:tcW w:w="1418" w:type="dxa"/>
          </w:tcPr>
          <w:p w14:paraId="2083E010" w14:textId="77777777" w:rsidR="002C6574" w:rsidRDefault="00000000">
            <w:pPr>
              <w:pStyle w:val="TableParagraph"/>
              <w:spacing w:before="25"/>
              <w:ind w:right="57"/>
              <w:rPr>
                <w:rFonts w:ascii="Arial"/>
                <w:b/>
                <w:sz w:val="16"/>
              </w:rPr>
            </w:pPr>
            <w:r>
              <w:rPr>
                <w:rFonts w:ascii="Arial"/>
                <w:b/>
                <w:spacing w:val="-2"/>
                <w:sz w:val="16"/>
              </w:rPr>
              <w:t>(59.962)</w:t>
            </w:r>
          </w:p>
        </w:tc>
        <w:tc>
          <w:tcPr>
            <w:tcW w:w="1418" w:type="dxa"/>
          </w:tcPr>
          <w:p w14:paraId="7E37796F" w14:textId="77777777" w:rsidR="002C6574" w:rsidRDefault="00000000">
            <w:pPr>
              <w:pStyle w:val="TableParagraph"/>
              <w:spacing w:before="25"/>
              <w:ind w:right="54"/>
              <w:rPr>
                <w:rFonts w:ascii="Arial"/>
                <w:b/>
                <w:sz w:val="16"/>
              </w:rPr>
            </w:pPr>
            <w:r>
              <w:rPr>
                <w:rFonts w:ascii="Arial"/>
                <w:b/>
                <w:spacing w:val="-2"/>
                <w:sz w:val="16"/>
              </w:rPr>
              <w:t>(42.029)</w:t>
            </w:r>
          </w:p>
        </w:tc>
        <w:tc>
          <w:tcPr>
            <w:tcW w:w="1418" w:type="dxa"/>
          </w:tcPr>
          <w:p w14:paraId="313A9D4C" w14:textId="77777777" w:rsidR="002C6574" w:rsidRDefault="00000000">
            <w:pPr>
              <w:pStyle w:val="TableParagraph"/>
              <w:spacing w:before="25"/>
              <w:ind w:right="53"/>
              <w:rPr>
                <w:rFonts w:ascii="Arial"/>
                <w:b/>
                <w:sz w:val="16"/>
              </w:rPr>
            </w:pPr>
            <w:r>
              <w:rPr>
                <w:rFonts w:ascii="Arial"/>
                <w:b/>
                <w:spacing w:val="-2"/>
                <w:sz w:val="16"/>
              </w:rPr>
              <w:t>(69.252)</w:t>
            </w:r>
          </w:p>
        </w:tc>
      </w:tr>
      <w:tr w:rsidR="002C6574" w14:paraId="680A5052" w14:textId="77777777">
        <w:trPr>
          <w:trHeight w:val="232"/>
        </w:trPr>
        <w:tc>
          <w:tcPr>
            <w:tcW w:w="5515" w:type="dxa"/>
          </w:tcPr>
          <w:p w14:paraId="1A9B0A74" w14:textId="77777777" w:rsidR="002C6574" w:rsidRDefault="00000000">
            <w:pPr>
              <w:pStyle w:val="TableParagraph"/>
              <w:spacing w:line="212" w:lineRule="exact"/>
              <w:ind w:left="69"/>
              <w:jc w:val="left"/>
              <w:rPr>
                <w:sz w:val="18"/>
              </w:rPr>
            </w:pPr>
            <w:r>
              <w:rPr>
                <w:w w:val="105"/>
                <w:sz w:val="18"/>
              </w:rPr>
              <w:t>2.</w:t>
            </w:r>
            <w:r>
              <w:rPr>
                <w:spacing w:val="-4"/>
                <w:w w:val="105"/>
                <w:sz w:val="18"/>
              </w:rPr>
              <w:t xml:space="preserve"> </w:t>
            </w:r>
            <w:r>
              <w:rPr>
                <w:w w:val="105"/>
                <w:sz w:val="18"/>
              </w:rPr>
              <w:t>Despesa</w:t>
            </w:r>
            <w:r>
              <w:rPr>
                <w:spacing w:val="-6"/>
                <w:w w:val="105"/>
                <w:sz w:val="18"/>
              </w:rPr>
              <w:t xml:space="preserve"> </w:t>
            </w:r>
            <w:r>
              <w:rPr>
                <w:w w:val="105"/>
                <w:sz w:val="18"/>
              </w:rPr>
              <w:t>do</w:t>
            </w:r>
            <w:r>
              <w:rPr>
                <w:spacing w:val="-7"/>
                <w:w w:val="105"/>
                <w:sz w:val="18"/>
              </w:rPr>
              <w:t xml:space="preserve"> </w:t>
            </w:r>
            <w:r>
              <w:rPr>
                <w:spacing w:val="-5"/>
                <w:w w:val="105"/>
                <w:sz w:val="18"/>
              </w:rPr>
              <w:t>ano</w:t>
            </w:r>
          </w:p>
        </w:tc>
        <w:tc>
          <w:tcPr>
            <w:tcW w:w="1418" w:type="dxa"/>
          </w:tcPr>
          <w:p w14:paraId="48ECC8DA" w14:textId="77777777" w:rsidR="002C6574" w:rsidRDefault="00000000">
            <w:pPr>
              <w:pStyle w:val="TableParagraph"/>
              <w:spacing w:before="2" w:line="210" w:lineRule="exact"/>
              <w:ind w:right="56"/>
              <w:rPr>
                <w:sz w:val="16"/>
              </w:rPr>
            </w:pPr>
            <w:r>
              <w:rPr>
                <w:spacing w:val="-2"/>
                <w:w w:val="110"/>
                <w:sz w:val="16"/>
              </w:rPr>
              <w:t>(7.735)</w:t>
            </w:r>
          </w:p>
        </w:tc>
        <w:tc>
          <w:tcPr>
            <w:tcW w:w="1418" w:type="dxa"/>
          </w:tcPr>
          <w:p w14:paraId="3EE21C53" w14:textId="77777777" w:rsidR="002C6574" w:rsidRDefault="00000000">
            <w:pPr>
              <w:pStyle w:val="TableParagraph"/>
              <w:spacing w:before="2" w:line="210" w:lineRule="exact"/>
              <w:ind w:right="53"/>
              <w:rPr>
                <w:sz w:val="16"/>
              </w:rPr>
            </w:pPr>
            <w:r>
              <w:rPr>
                <w:spacing w:val="-2"/>
                <w:w w:val="110"/>
                <w:sz w:val="16"/>
              </w:rPr>
              <w:t>(5.384)</w:t>
            </w:r>
          </w:p>
        </w:tc>
        <w:tc>
          <w:tcPr>
            <w:tcW w:w="1418" w:type="dxa"/>
          </w:tcPr>
          <w:p w14:paraId="036580C9" w14:textId="77777777" w:rsidR="002C6574" w:rsidRDefault="00000000">
            <w:pPr>
              <w:pStyle w:val="TableParagraph"/>
              <w:spacing w:before="2" w:line="210" w:lineRule="exact"/>
              <w:ind w:right="53"/>
              <w:rPr>
                <w:sz w:val="16"/>
              </w:rPr>
            </w:pPr>
            <w:r>
              <w:rPr>
                <w:spacing w:val="-2"/>
                <w:w w:val="110"/>
                <w:sz w:val="16"/>
              </w:rPr>
              <w:t>(8.348)</w:t>
            </w:r>
          </w:p>
        </w:tc>
      </w:tr>
      <w:tr w:rsidR="002C6574" w14:paraId="613C044B" w14:textId="77777777">
        <w:trPr>
          <w:trHeight w:val="230"/>
        </w:trPr>
        <w:tc>
          <w:tcPr>
            <w:tcW w:w="5515" w:type="dxa"/>
          </w:tcPr>
          <w:p w14:paraId="6EB8478E" w14:textId="77777777" w:rsidR="002C6574" w:rsidRDefault="00000000">
            <w:pPr>
              <w:pStyle w:val="TableParagraph"/>
              <w:spacing w:line="210" w:lineRule="exact"/>
              <w:ind w:left="69"/>
              <w:jc w:val="left"/>
              <w:rPr>
                <w:sz w:val="18"/>
              </w:rPr>
            </w:pPr>
            <w:r>
              <w:rPr>
                <w:sz w:val="18"/>
              </w:rPr>
              <w:t>3.</w:t>
            </w:r>
            <w:r>
              <w:rPr>
                <w:spacing w:val="6"/>
                <w:sz w:val="18"/>
              </w:rPr>
              <w:t xml:space="preserve"> </w:t>
            </w:r>
            <w:r>
              <w:rPr>
                <w:sz w:val="18"/>
              </w:rPr>
              <w:t>Pagamento</w:t>
            </w:r>
            <w:r>
              <w:rPr>
                <w:spacing w:val="8"/>
                <w:sz w:val="18"/>
              </w:rPr>
              <w:t xml:space="preserve"> </w:t>
            </w:r>
            <w:r>
              <w:rPr>
                <w:sz w:val="18"/>
              </w:rPr>
              <w:t>de</w:t>
            </w:r>
            <w:r>
              <w:rPr>
                <w:spacing w:val="7"/>
                <w:sz w:val="18"/>
              </w:rPr>
              <w:t xml:space="preserve"> </w:t>
            </w:r>
            <w:r>
              <w:rPr>
                <w:spacing w:val="-2"/>
                <w:sz w:val="18"/>
              </w:rPr>
              <w:t>contribuições</w:t>
            </w:r>
          </w:p>
        </w:tc>
        <w:tc>
          <w:tcPr>
            <w:tcW w:w="1418" w:type="dxa"/>
          </w:tcPr>
          <w:p w14:paraId="2E9E16C3" w14:textId="77777777" w:rsidR="002C6574" w:rsidRDefault="00000000">
            <w:pPr>
              <w:pStyle w:val="TableParagraph"/>
              <w:spacing w:line="210" w:lineRule="exact"/>
              <w:ind w:right="58"/>
              <w:rPr>
                <w:sz w:val="16"/>
              </w:rPr>
            </w:pPr>
            <w:r>
              <w:rPr>
                <w:spacing w:val="-10"/>
                <w:w w:val="95"/>
                <w:sz w:val="16"/>
              </w:rPr>
              <w:t>-</w:t>
            </w:r>
          </w:p>
        </w:tc>
        <w:tc>
          <w:tcPr>
            <w:tcW w:w="1418" w:type="dxa"/>
          </w:tcPr>
          <w:p w14:paraId="01DBFA34" w14:textId="77777777" w:rsidR="002C6574" w:rsidRDefault="00000000">
            <w:pPr>
              <w:pStyle w:val="TableParagraph"/>
              <w:spacing w:line="210" w:lineRule="exact"/>
              <w:ind w:right="55"/>
              <w:rPr>
                <w:sz w:val="16"/>
              </w:rPr>
            </w:pPr>
            <w:r>
              <w:rPr>
                <w:spacing w:val="-10"/>
                <w:w w:val="95"/>
                <w:sz w:val="16"/>
              </w:rPr>
              <w:t>-</w:t>
            </w:r>
          </w:p>
        </w:tc>
        <w:tc>
          <w:tcPr>
            <w:tcW w:w="1418" w:type="dxa"/>
          </w:tcPr>
          <w:p w14:paraId="6F1A5BAE" w14:textId="77777777" w:rsidR="002C6574" w:rsidRDefault="00000000">
            <w:pPr>
              <w:pStyle w:val="TableParagraph"/>
              <w:spacing w:line="210" w:lineRule="exact"/>
              <w:ind w:right="53"/>
              <w:rPr>
                <w:sz w:val="16"/>
              </w:rPr>
            </w:pPr>
            <w:r>
              <w:rPr>
                <w:spacing w:val="-2"/>
                <w:w w:val="110"/>
                <w:sz w:val="16"/>
              </w:rPr>
              <w:t>(5.310)</w:t>
            </w:r>
          </w:p>
        </w:tc>
      </w:tr>
      <w:tr w:rsidR="002C6574" w14:paraId="1BA6DF08" w14:textId="77777777">
        <w:trPr>
          <w:trHeight w:val="232"/>
        </w:trPr>
        <w:tc>
          <w:tcPr>
            <w:tcW w:w="5515" w:type="dxa"/>
          </w:tcPr>
          <w:p w14:paraId="567D992C" w14:textId="77777777" w:rsidR="002C6574" w:rsidRDefault="00000000">
            <w:pPr>
              <w:pStyle w:val="TableParagraph"/>
              <w:spacing w:line="212" w:lineRule="exact"/>
              <w:ind w:left="69"/>
              <w:jc w:val="left"/>
              <w:rPr>
                <w:sz w:val="18"/>
              </w:rPr>
            </w:pPr>
            <w:r>
              <w:rPr>
                <w:sz w:val="18"/>
              </w:rPr>
              <w:t>4.</w:t>
            </w:r>
            <w:r>
              <w:rPr>
                <w:spacing w:val="11"/>
                <w:sz w:val="18"/>
              </w:rPr>
              <w:t xml:space="preserve"> </w:t>
            </w:r>
            <w:r>
              <w:rPr>
                <w:sz w:val="18"/>
              </w:rPr>
              <w:t>Perdas/(ganhos)</w:t>
            </w:r>
            <w:r>
              <w:rPr>
                <w:spacing w:val="8"/>
                <w:sz w:val="18"/>
              </w:rPr>
              <w:t xml:space="preserve"> </w:t>
            </w:r>
            <w:r>
              <w:rPr>
                <w:sz w:val="18"/>
              </w:rPr>
              <w:t>atuariais</w:t>
            </w:r>
            <w:r>
              <w:rPr>
                <w:spacing w:val="10"/>
                <w:sz w:val="18"/>
              </w:rPr>
              <w:t xml:space="preserve"> </w:t>
            </w:r>
            <w:r>
              <w:rPr>
                <w:sz w:val="18"/>
              </w:rPr>
              <w:t>do</w:t>
            </w:r>
            <w:r>
              <w:rPr>
                <w:spacing w:val="11"/>
                <w:sz w:val="18"/>
              </w:rPr>
              <w:t xml:space="preserve"> </w:t>
            </w:r>
            <w:r>
              <w:rPr>
                <w:spacing w:val="-2"/>
                <w:sz w:val="18"/>
              </w:rPr>
              <w:t>exercício</w:t>
            </w:r>
          </w:p>
        </w:tc>
        <w:tc>
          <w:tcPr>
            <w:tcW w:w="1418" w:type="dxa"/>
          </w:tcPr>
          <w:p w14:paraId="2B6A045A" w14:textId="77777777" w:rsidR="002C6574" w:rsidRDefault="00000000">
            <w:pPr>
              <w:pStyle w:val="TableParagraph"/>
              <w:spacing w:before="2" w:line="210" w:lineRule="exact"/>
              <w:ind w:right="57"/>
              <w:rPr>
                <w:sz w:val="16"/>
              </w:rPr>
            </w:pPr>
            <w:r>
              <w:rPr>
                <w:spacing w:val="-2"/>
                <w:w w:val="110"/>
                <w:sz w:val="16"/>
              </w:rPr>
              <w:t>(26.386)</w:t>
            </w:r>
          </w:p>
        </w:tc>
        <w:tc>
          <w:tcPr>
            <w:tcW w:w="1418" w:type="dxa"/>
          </w:tcPr>
          <w:p w14:paraId="1D35C298" w14:textId="77777777" w:rsidR="002C6574" w:rsidRDefault="00000000">
            <w:pPr>
              <w:pStyle w:val="TableParagraph"/>
              <w:spacing w:before="2" w:line="210" w:lineRule="exact"/>
              <w:ind w:right="54"/>
              <w:rPr>
                <w:sz w:val="16"/>
              </w:rPr>
            </w:pPr>
            <w:r>
              <w:rPr>
                <w:spacing w:val="-2"/>
                <w:w w:val="110"/>
                <w:sz w:val="16"/>
              </w:rPr>
              <w:t>(21.803)</w:t>
            </w:r>
          </w:p>
        </w:tc>
        <w:tc>
          <w:tcPr>
            <w:tcW w:w="1418" w:type="dxa"/>
          </w:tcPr>
          <w:p w14:paraId="32770927" w14:textId="77777777" w:rsidR="002C6574" w:rsidRDefault="00000000">
            <w:pPr>
              <w:pStyle w:val="TableParagraph"/>
              <w:spacing w:before="2" w:line="210" w:lineRule="exact"/>
              <w:ind w:right="53"/>
              <w:rPr>
                <w:sz w:val="16"/>
              </w:rPr>
            </w:pPr>
            <w:r>
              <w:rPr>
                <w:spacing w:val="-2"/>
                <w:w w:val="110"/>
                <w:sz w:val="16"/>
              </w:rPr>
              <w:t>(37.341)</w:t>
            </w:r>
          </w:p>
        </w:tc>
      </w:tr>
      <w:tr w:rsidR="002C6574" w14:paraId="6822E1AF" w14:textId="77777777">
        <w:trPr>
          <w:trHeight w:val="232"/>
        </w:trPr>
        <w:tc>
          <w:tcPr>
            <w:tcW w:w="5515" w:type="dxa"/>
          </w:tcPr>
          <w:p w14:paraId="6BC702C8" w14:textId="77777777" w:rsidR="002C6574" w:rsidRDefault="00000000">
            <w:pPr>
              <w:pStyle w:val="TableParagraph"/>
              <w:spacing w:line="212" w:lineRule="exact"/>
              <w:ind w:left="69"/>
              <w:jc w:val="left"/>
              <w:rPr>
                <w:sz w:val="18"/>
              </w:rPr>
            </w:pPr>
            <w:r>
              <w:rPr>
                <w:sz w:val="18"/>
              </w:rPr>
              <w:t>5.</w:t>
            </w:r>
            <w:r>
              <w:rPr>
                <w:spacing w:val="4"/>
                <w:sz w:val="18"/>
              </w:rPr>
              <w:t xml:space="preserve"> </w:t>
            </w:r>
            <w:r>
              <w:rPr>
                <w:sz w:val="18"/>
              </w:rPr>
              <w:t>Passivo/(ativo)</w:t>
            </w:r>
            <w:r>
              <w:rPr>
                <w:spacing w:val="3"/>
                <w:sz w:val="18"/>
              </w:rPr>
              <w:t xml:space="preserve"> </w:t>
            </w:r>
            <w:r>
              <w:rPr>
                <w:sz w:val="18"/>
              </w:rPr>
              <w:t>líquido</w:t>
            </w:r>
            <w:r>
              <w:rPr>
                <w:spacing w:val="2"/>
                <w:sz w:val="18"/>
              </w:rPr>
              <w:t xml:space="preserve"> </w:t>
            </w:r>
            <w:r>
              <w:rPr>
                <w:sz w:val="18"/>
              </w:rPr>
              <w:t>em</w:t>
            </w:r>
            <w:r>
              <w:rPr>
                <w:spacing w:val="3"/>
                <w:sz w:val="18"/>
              </w:rPr>
              <w:t xml:space="preserve"> </w:t>
            </w:r>
            <w:r>
              <w:rPr>
                <w:spacing w:val="-2"/>
                <w:sz w:val="18"/>
              </w:rPr>
              <w:t>31/12/2025</w:t>
            </w:r>
          </w:p>
        </w:tc>
        <w:tc>
          <w:tcPr>
            <w:tcW w:w="1418" w:type="dxa"/>
          </w:tcPr>
          <w:p w14:paraId="4CC29A6E" w14:textId="77777777" w:rsidR="002C6574" w:rsidRDefault="00000000">
            <w:pPr>
              <w:pStyle w:val="TableParagraph"/>
              <w:spacing w:before="2" w:line="210" w:lineRule="exact"/>
              <w:ind w:right="57"/>
              <w:rPr>
                <w:sz w:val="16"/>
              </w:rPr>
            </w:pPr>
            <w:r>
              <w:rPr>
                <w:spacing w:val="-2"/>
                <w:w w:val="110"/>
                <w:sz w:val="16"/>
              </w:rPr>
              <w:t>(94.084)</w:t>
            </w:r>
          </w:p>
        </w:tc>
        <w:tc>
          <w:tcPr>
            <w:tcW w:w="1418" w:type="dxa"/>
          </w:tcPr>
          <w:p w14:paraId="60AB5DD4" w14:textId="77777777" w:rsidR="002C6574" w:rsidRDefault="00000000">
            <w:pPr>
              <w:pStyle w:val="TableParagraph"/>
              <w:spacing w:before="2" w:line="210" w:lineRule="exact"/>
              <w:ind w:right="54"/>
              <w:rPr>
                <w:sz w:val="16"/>
              </w:rPr>
            </w:pPr>
            <w:r>
              <w:rPr>
                <w:spacing w:val="-2"/>
                <w:w w:val="110"/>
                <w:sz w:val="16"/>
              </w:rPr>
              <w:t>(69.215)</w:t>
            </w:r>
          </w:p>
        </w:tc>
        <w:tc>
          <w:tcPr>
            <w:tcW w:w="1418" w:type="dxa"/>
          </w:tcPr>
          <w:p w14:paraId="293B6F20" w14:textId="77777777" w:rsidR="002C6574" w:rsidRDefault="00000000">
            <w:pPr>
              <w:pStyle w:val="TableParagraph"/>
              <w:spacing w:before="2" w:line="210" w:lineRule="exact"/>
              <w:ind w:right="53"/>
              <w:rPr>
                <w:sz w:val="16"/>
              </w:rPr>
            </w:pPr>
            <w:r>
              <w:rPr>
                <w:spacing w:val="-2"/>
                <w:w w:val="105"/>
                <w:sz w:val="16"/>
              </w:rPr>
              <w:t>(120.251)</w:t>
            </w:r>
          </w:p>
        </w:tc>
      </w:tr>
      <w:tr w:rsidR="002C6574" w14:paraId="12A5EB9E" w14:textId="77777777">
        <w:trPr>
          <w:trHeight w:val="232"/>
        </w:trPr>
        <w:tc>
          <w:tcPr>
            <w:tcW w:w="5515" w:type="dxa"/>
          </w:tcPr>
          <w:p w14:paraId="1D38E638" w14:textId="77777777" w:rsidR="002C6574" w:rsidRDefault="00000000">
            <w:pPr>
              <w:pStyle w:val="TableParagraph"/>
              <w:spacing w:line="212" w:lineRule="exact"/>
              <w:ind w:left="69"/>
              <w:jc w:val="left"/>
              <w:rPr>
                <w:sz w:val="18"/>
              </w:rPr>
            </w:pPr>
            <w:r>
              <w:rPr>
                <w:sz w:val="18"/>
              </w:rPr>
              <w:t>5.</w:t>
            </w:r>
            <w:r>
              <w:rPr>
                <w:spacing w:val="-4"/>
                <w:sz w:val="18"/>
              </w:rPr>
              <w:t xml:space="preserve"> </w:t>
            </w:r>
            <w:r>
              <w:rPr>
                <w:sz w:val="18"/>
              </w:rPr>
              <w:t>Ajuste</w:t>
            </w:r>
            <w:r>
              <w:rPr>
                <w:spacing w:val="-5"/>
                <w:sz w:val="18"/>
              </w:rPr>
              <w:t xml:space="preserve"> </w:t>
            </w:r>
            <w:r>
              <w:rPr>
                <w:sz w:val="18"/>
              </w:rPr>
              <w:t>do</w:t>
            </w:r>
            <w:r>
              <w:rPr>
                <w:spacing w:val="-4"/>
                <w:sz w:val="18"/>
              </w:rPr>
              <w:t xml:space="preserve"> </w:t>
            </w:r>
            <w:r>
              <w:rPr>
                <w:sz w:val="18"/>
              </w:rPr>
              <w:t>teto</w:t>
            </w:r>
            <w:r>
              <w:rPr>
                <w:spacing w:val="-3"/>
                <w:sz w:val="18"/>
              </w:rPr>
              <w:t xml:space="preserve"> </w:t>
            </w:r>
            <w:r>
              <w:rPr>
                <w:sz w:val="18"/>
              </w:rPr>
              <w:t>de</w:t>
            </w:r>
            <w:r>
              <w:rPr>
                <w:spacing w:val="-3"/>
                <w:sz w:val="18"/>
              </w:rPr>
              <w:t xml:space="preserve"> </w:t>
            </w:r>
            <w:r>
              <w:rPr>
                <w:spacing w:val="-4"/>
                <w:sz w:val="18"/>
              </w:rPr>
              <w:t>ativo</w:t>
            </w:r>
          </w:p>
        </w:tc>
        <w:tc>
          <w:tcPr>
            <w:tcW w:w="1418" w:type="dxa"/>
          </w:tcPr>
          <w:p w14:paraId="2AE4BE8C" w14:textId="77777777" w:rsidR="002C6574" w:rsidRDefault="00000000">
            <w:pPr>
              <w:pStyle w:val="TableParagraph"/>
              <w:spacing w:before="2" w:line="210" w:lineRule="exact"/>
              <w:ind w:right="58"/>
              <w:rPr>
                <w:sz w:val="16"/>
              </w:rPr>
            </w:pPr>
            <w:r>
              <w:rPr>
                <w:spacing w:val="-2"/>
                <w:w w:val="105"/>
                <w:sz w:val="16"/>
              </w:rPr>
              <w:t>94.084</w:t>
            </w:r>
          </w:p>
        </w:tc>
        <w:tc>
          <w:tcPr>
            <w:tcW w:w="1418" w:type="dxa"/>
          </w:tcPr>
          <w:p w14:paraId="246ED049" w14:textId="77777777" w:rsidR="002C6574" w:rsidRDefault="00000000">
            <w:pPr>
              <w:pStyle w:val="TableParagraph"/>
              <w:spacing w:before="2" w:line="210" w:lineRule="exact"/>
              <w:ind w:right="56"/>
              <w:rPr>
                <w:sz w:val="16"/>
              </w:rPr>
            </w:pPr>
            <w:r>
              <w:rPr>
                <w:spacing w:val="-2"/>
                <w:w w:val="105"/>
                <w:sz w:val="16"/>
              </w:rPr>
              <w:t>69.215</w:t>
            </w:r>
          </w:p>
        </w:tc>
        <w:tc>
          <w:tcPr>
            <w:tcW w:w="1418" w:type="dxa"/>
          </w:tcPr>
          <w:p w14:paraId="4A3948AD" w14:textId="77777777" w:rsidR="002C6574" w:rsidRDefault="00000000">
            <w:pPr>
              <w:pStyle w:val="TableParagraph"/>
              <w:spacing w:before="2" w:line="210" w:lineRule="exact"/>
              <w:ind w:right="56"/>
              <w:rPr>
                <w:sz w:val="16"/>
              </w:rPr>
            </w:pPr>
            <w:r>
              <w:rPr>
                <w:spacing w:val="-2"/>
                <w:w w:val="105"/>
                <w:sz w:val="16"/>
              </w:rPr>
              <w:t>120.251</w:t>
            </w:r>
          </w:p>
        </w:tc>
      </w:tr>
      <w:tr w:rsidR="002C6574" w14:paraId="52F4EF13" w14:textId="77777777">
        <w:trPr>
          <w:trHeight w:val="232"/>
        </w:trPr>
        <w:tc>
          <w:tcPr>
            <w:tcW w:w="5515" w:type="dxa"/>
          </w:tcPr>
          <w:p w14:paraId="024CCCEA" w14:textId="77777777" w:rsidR="002C6574" w:rsidRDefault="00000000">
            <w:pPr>
              <w:pStyle w:val="TableParagraph"/>
              <w:spacing w:line="212" w:lineRule="exact"/>
              <w:ind w:left="69"/>
              <w:jc w:val="left"/>
              <w:rPr>
                <w:sz w:val="18"/>
              </w:rPr>
            </w:pPr>
            <w:r>
              <w:rPr>
                <w:sz w:val="18"/>
              </w:rPr>
              <w:t>6.</w:t>
            </w:r>
            <w:r>
              <w:rPr>
                <w:spacing w:val="13"/>
                <w:sz w:val="18"/>
              </w:rPr>
              <w:t xml:space="preserve"> </w:t>
            </w:r>
            <w:r>
              <w:rPr>
                <w:sz w:val="18"/>
              </w:rPr>
              <w:t>Passivo/ativo</w:t>
            </w:r>
            <w:r>
              <w:rPr>
                <w:spacing w:val="14"/>
                <w:sz w:val="18"/>
              </w:rPr>
              <w:t xml:space="preserve"> </w:t>
            </w:r>
            <w:r>
              <w:rPr>
                <w:spacing w:val="-2"/>
                <w:sz w:val="18"/>
              </w:rPr>
              <w:t>líquido</w:t>
            </w:r>
          </w:p>
        </w:tc>
        <w:tc>
          <w:tcPr>
            <w:tcW w:w="1418" w:type="dxa"/>
          </w:tcPr>
          <w:p w14:paraId="575DEF8B" w14:textId="77777777" w:rsidR="002C6574" w:rsidRDefault="00000000">
            <w:pPr>
              <w:pStyle w:val="TableParagraph"/>
              <w:spacing w:line="212" w:lineRule="exact"/>
              <w:ind w:right="92"/>
              <w:rPr>
                <w:sz w:val="18"/>
              </w:rPr>
            </w:pPr>
            <w:r>
              <w:rPr>
                <w:spacing w:val="-10"/>
                <w:w w:val="95"/>
                <w:sz w:val="18"/>
              </w:rPr>
              <w:t>-</w:t>
            </w:r>
          </w:p>
        </w:tc>
        <w:tc>
          <w:tcPr>
            <w:tcW w:w="1418" w:type="dxa"/>
          </w:tcPr>
          <w:p w14:paraId="49BB8CBA" w14:textId="77777777" w:rsidR="002C6574" w:rsidRDefault="00000000">
            <w:pPr>
              <w:pStyle w:val="TableParagraph"/>
              <w:spacing w:line="212" w:lineRule="exact"/>
              <w:ind w:right="56"/>
              <w:rPr>
                <w:sz w:val="18"/>
              </w:rPr>
            </w:pPr>
            <w:r>
              <w:rPr>
                <w:spacing w:val="-10"/>
                <w:w w:val="95"/>
                <w:sz w:val="18"/>
              </w:rPr>
              <w:t>-</w:t>
            </w:r>
          </w:p>
        </w:tc>
        <w:tc>
          <w:tcPr>
            <w:tcW w:w="1418" w:type="dxa"/>
          </w:tcPr>
          <w:p w14:paraId="3B129543" w14:textId="77777777" w:rsidR="002C6574" w:rsidRDefault="00000000">
            <w:pPr>
              <w:pStyle w:val="TableParagraph"/>
              <w:spacing w:line="212" w:lineRule="exact"/>
              <w:ind w:right="65"/>
              <w:rPr>
                <w:sz w:val="18"/>
              </w:rPr>
            </w:pPr>
            <w:r>
              <w:rPr>
                <w:spacing w:val="-10"/>
                <w:w w:val="95"/>
                <w:sz w:val="18"/>
              </w:rPr>
              <w:t>-</w:t>
            </w:r>
          </w:p>
        </w:tc>
      </w:tr>
    </w:tbl>
    <w:p w14:paraId="19848D89" w14:textId="77777777" w:rsidR="002C6574" w:rsidRDefault="002C6574">
      <w:pPr>
        <w:pStyle w:val="TableParagraph"/>
        <w:spacing w:line="212" w:lineRule="exact"/>
        <w:rPr>
          <w:sz w:val="18"/>
        </w:rPr>
        <w:sectPr w:rsidR="002C6574">
          <w:pgSz w:w="11910" w:h="16840"/>
          <w:pgMar w:top="1820" w:right="141" w:bottom="1320" w:left="1133" w:header="1084" w:footer="1100" w:gutter="0"/>
          <w:cols w:space="720"/>
        </w:sectPr>
      </w:pPr>
    </w:p>
    <w:p w14:paraId="0D368E40" w14:textId="77777777" w:rsidR="002C6574" w:rsidRDefault="002C6574">
      <w:pPr>
        <w:pStyle w:val="Corpodetexto"/>
        <w:spacing w:before="228"/>
        <w:rPr>
          <w:rFonts w:ascii="Arial"/>
          <w:b/>
        </w:rPr>
      </w:pPr>
    </w:p>
    <w:p w14:paraId="00FBD9B0" w14:textId="77777777" w:rsidR="002C6574" w:rsidRDefault="00000000">
      <w:pPr>
        <w:pStyle w:val="PargrafodaLista"/>
        <w:numPr>
          <w:ilvl w:val="2"/>
          <w:numId w:val="27"/>
        </w:numPr>
        <w:tabs>
          <w:tab w:val="left" w:pos="992"/>
        </w:tabs>
        <w:ind w:left="992" w:hanging="849"/>
        <w:rPr>
          <w:rFonts w:ascii="Arial"/>
          <w:b/>
        </w:rPr>
      </w:pPr>
      <w:r>
        <w:rPr>
          <w:rFonts w:ascii="Arial"/>
          <w:b/>
        </w:rPr>
        <w:t>Despesa</w:t>
      </w:r>
      <w:r>
        <w:rPr>
          <w:rFonts w:ascii="Arial"/>
          <w:b/>
          <w:spacing w:val="-6"/>
        </w:rPr>
        <w:t xml:space="preserve"> </w:t>
      </w:r>
      <w:r>
        <w:rPr>
          <w:rFonts w:ascii="Arial"/>
          <w:b/>
        </w:rPr>
        <w:t>Projetada</w:t>
      </w:r>
      <w:r>
        <w:rPr>
          <w:rFonts w:ascii="Arial"/>
          <w:b/>
          <w:spacing w:val="-5"/>
        </w:rPr>
        <w:t xml:space="preserve"> </w:t>
      </w:r>
      <w:r>
        <w:rPr>
          <w:rFonts w:ascii="Arial"/>
          <w:b/>
        </w:rPr>
        <w:t>para</w:t>
      </w:r>
      <w:r>
        <w:rPr>
          <w:rFonts w:ascii="Arial"/>
          <w:b/>
          <w:spacing w:val="-4"/>
        </w:rPr>
        <w:t xml:space="preserve"> 2025</w:t>
      </w:r>
    </w:p>
    <w:p w14:paraId="58DADD66" w14:textId="77777777" w:rsidR="002C6574" w:rsidRDefault="002C6574">
      <w:pPr>
        <w:pStyle w:val="Corpodetexto"/>
        <w:spacing w:before="62"/>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5"/>
        <w:gridCol w:w="1418"/>
        <w:gridCol w:w="1418"/>
        <w:gridCol w:w="1418"/>
      </w:tblGrid>
      <w:tr w:rsidR="002C6574" w14:paraId="2AA27AEA" w14:textId="77777777">
        <w:trPr>
          <w:trHeight w:val="412"/>
        </w:trPr>
        <w:tc>
          <w:tcPr>
            <w:tcW w:w="5515" w:type="dxa"/>
            <w:shd w:val="clear" w:color="auto" w:fill="BFBFBF"/>
          </w:tcPr>
          <w:p w14:paraId="5F6C6F31" w14:textId="77777777" w:rsidR="002C6574" w:rsidRDefault="00000000">
            <w:pPr>
              <w:pStyle w:val="TableParagraph"/>
              <w:spacing w:before="90"/>
              <w:ind w:left="69"/>
              <w:jc w:val="left"/>
              <w:rPr>
                <w:rFonts w:ascii="Arial" w:hAnsi="Arial"/>
                <w:b/>
                <w:sz w:val="20"/>
              </w:rPr>
            </w:pPr>
            <w:r>
              <w:rPr>
                <w:rFonts w:ascii="Arial" w:hAnsi="Arial"/>
                <w:b/>
                <w:spacing w:val="-2"/>
                <w:w w:val="95"/>
                <w:sz w:val="20"/>
              </w:rPr>
              <w:t>Composição:</w:t>
            </w:r>
          </w:p>
        </w:tc>
        <w:tc>
          <w:tcPr>
            <w:tcW w:w="1418" w:type="dxa"/>
          </w:tcPr>
          <w:p w14:paraId="5DF287A3" w14:textId="77777777" w:rsidR="002C6574" w:rsidRDefault="00000000">
            <w:pPr>
              <w:pStyle w:val="TableParagraph"/>
              <w:spacing w:before="102"/>
              <w:ind w:left="427"/>
              <w:jc w:val="left"/>
              <w:rPr>
                <w:rFonts w:ascii="Arial"/>
                <w:b/>
                <w:sz w:val="18"/>
              </w:rPr>
            </w:pPr>
            <w:r>
              <w:rPr>
                <w:rFonts w:ascii="Arial"/>
                <w:b/>
                <w:spacing w:val="-2"/>
                <w:sz w:val="18"/>
              </w:rPr>
              <w:t>PBS-</w:t>
            </w:r>
            <w:r>
              <w:rPr>
                <w:rFonts w:ascii="Arial"/>
                <w:b/>
                <w:spacing w:val="-10"/>
                <w:sz w:val="18"/>
              </w:rPr>
              <w:t>A</w:t>
            </w:r>
          </w:p>
        </w:tc>
        <w:tc>
          <w:tcPr>
            <w:tcW w:w="1418" w:type="dxa"/>
          </w:tcPr>
          <w:p w14:paraId="3C4A5414" w14:textId="77777777" w:rsidR="002C6574" w:rsidRDefault="00000000">
            <w:pPr>
              <w:pStyle w:val="TableParagraph"/>
              <w:spacing w:before="102"/>
              <w:ind w:left="123"/>
              <w:jc w:val="left"/>
              <w:rPr>
                <w:rFonts w:ascii="Arial" w:hAnsi="Arial"/>
                <w:b/>
                <w:sz w:val="18"/>
              </w:rPr>
            </w:pPr>
            <w:r>
              <w:rPr>
                <w:rFonts w:ascii="Arial" w:hAnsi="Arial"/>
                <w:b/>
                <w:spacing w:val="-2"/>
                <w:sz w:val="18"/>
              </w:rPr>
              <w:t>PBS-Telebrás</w:t>
            </w:r>
          </w:p>
        </w:tc>
        <w:tc>
          <w:tcPr>
            <w:tcW w:w="1418" w:type="dxa"/>
          </w:tcPr>
          <w:p w14:paraId="0A885145" w14:textId="77777777" w:rsidR="002C6574" w:rsidRDefault="00000000">
            <w:pPr>
              <w:pStyle w:val="TableParagraph"/>
              <w:spacing w:line="206" w:lineRule="exact"/>
              <w:ind w:left="463" w:hanging="125"/>
              <w:jc w:val="left"/>
              <w:rPr>
                <w:rFonts w:ascii="Arial" w:hAnsi="Arial"/>
                <w:b/>
                <w:sz w:val="18"/>
              </w:rPr>
            </w:pPr>
            <w:r>
              <w:rPr>
                <w:rFonts w:ascii="Arial" w:hAnsi="Arial"/>
                <w:b/>
                <w:spacing w:val="-2"/>
                <w:sz w:val="18"/>
              </w:rPr>
              <w:t xml:space="preserve">Telebrás </w:t>
            </w:r>
            <w:r>
              <w:rPr>
                <w:rFonts w:ascii="Arial" w:hAnsi="Arial"/>
                <w:b/>
                <w:spacing w:val="-4"/>
                <w:sz w:val="18"/>
              </w:rPr>
              <w:t>PREV</w:t>
            </w:r>
          </w:p>
        </w:tc>
      </w:tr>
      <w:tr w:rsidR="002C6574" w14:paraId="6B02777A" w14:textId="77777777">
        <w:trPr>
          <w:trHeight w:val="232"/>
        </w:trPr>
        <w:tc>
          <w:tcPr>
            <w:tcW w:w="5515" w:type="dxa"/>
          </w:tcPr>
          <w:p w14:paraId="36523B59" w14:textId="77777777" w:rsidR="002C6574" w:rsidRDefault="00000000">
            <w:pPr>
              <w:pStyle w:val="TableParagraph"/>
              <w:spacing w:line="212" w:lineRule="exact"/>
              <w:ind w:left="69"/>
              <w:jc w:val="left"/>
              <w:rPr>
                <w:sz w:val="18"/>
              </w:rPr>
            </w:pPr>
            <w:r>
              <w:rPr>
                <w:sz w:val="18"/>
              </w:rPr>
              <w:t>1.</w:t>
            </w:r>
            <w:r>
              <w:rPr>
                <w:spacing w:val="11"/>
                <w:sz w:val="18"/>
              </w:rPr>
              <w:t xml:space="preserve"> </w:t>
            </w:r>
            <w:r>
              <w:rPr>
                <w:sz w:val="18"/>
              </w:rPr>
              <w:t>Juros</w:t>
            </w:r>
            <w:r>
              <w:rPr>
                <w:spacing w:val="11"/>
                <w:sz w:val="18"/>
              </w:rPr>
              <w:t xml:space="preserve"> </w:t>
            </w:r>
            <w:r>
              <w:rPr>
                <w:sz w:val="18"/>
              </w:rPr>
              <w:t>sobre</w:t>
            </w:r>
            <w:r>
              <w:rPr>
                <w:spacing w:val="9"/>
                <w:sz w:val="18"/>
              </w:rPr>
              <w:t xml:space="preserve"> </w:t>
            </w:r>
            <w:r>
              <w:rPr>
                <w:sz w:val="18"/>
              </w:rPr>
              <w:t>obrigações</w:t>
            </w:r>
            <w:r>
              <w:rPr>
                <w:spacing w:val="11"/>
                <w:sz w:val="18"/>
              </w:rPr>
              <w:t xml:space="preserve"> </w:t>
            </w:r>
            <w:r>
              <w:rPr>
                <w:spacing w:val="-2"/>
                <w:sz w:val="18"/>
              </w:rPr>
              <w:t>atuariais</w:t>
            </w:r>
          </w:p>
        </w:tc>
        <w:tc>
          <w:tcPr>
            <w:tcW w:w="1418" w:type="dxa"/>
          </w:tcPr>
          <w:p w14:paraId="0BBBA518" w14:textId="77777777" w:rsidR="002C6574" w:rsidRDefault="00000000">
            <w:pPr>
              <w:pStyle w:val="TableParagraph"/>
              <w:spacing w:before="2" w:line="210" w:lineRule="exact"/>
              <w:ind w:right="58"/>
              <w:rPr>
                <w:sz w:val="16"/>
              </w:rPr>
            </w:pPr>
            <w:r>
              <w:rPr>
                <w:spacing w:val="-2"/>
                <w:w w:val="105"/>
                <w:sz w:val="16"/>
              </w:rPr>
              <w:t>59.743</w:t>
            </w:r>
          </w:p>
        </w:tc>
        <w:tc>
          <w:tcPr>
            <w:tcW w:w="1418" w:type="dxa"/>
          </w:tcPr>
          <w:p w14:paraId="38B94271" w14:textId="77777777" w:rsidR="002C6574" w:rsidRDefault="00000000">
            <w:pPr>
              <w:pStyle w:val="TableParagraph"/>
              <w:spacing w:before="2" w:line="210" w:lineRule="exact"/>
              <w:ind w:right="56"/>
              <w:rPr>
                <w:sz w:val="16"/>
              </w:rPr>
            </w:pPr>
            <w:r>
              <w:rPr>
                <w:spacing w:val="-2"/>
                <w:w w:val="105"/>
                <w:sz w:val="16"/>
              </w:rPr>
              <w:t>22.869</w:t>
            </w:r>
          </w:p>
        </w:tc>
        <w:tc>
          <w:tcPr>
            <w:tcW w:w="1418" w:type="dxa"/>
          </w:tcPr>
          <w:p w14:paraId="3636AFC9" w14:textId="77777777" w:rsidR="002C6574" w:rsidRDefault="00000000">
            <w:pPr>
              <w:pStyle w:val="TableParagraph"/>
              <w:spacing w:before="2" w:line="210" w:lineRule="exact"/>
              <w:ind w:right="55"/>
              <w:rPr>
                <w:sz w:val="16"/>
              </w:rPr>
            </w:pPr>
            <w:r>
              <w:rPr>
                <w:spacing w:val="-2"/>
                <w:w w:val="105"/>
                <w:sz w:val="16"/>
              </w:rPr>
              <w:t>43.447</w:t>
            </w:r>
          </w:p>
        </w:tc>
      </w:tr>
      <w:tr w:rsidR="002C6574" w14:paraId="52E6899B" w14:textId="77777777">
        <w:trPr>
          <w:trHeight w:val="232"/>
        </w:trPr>
        <w:tc>
          <w:tcPr>
            <w:tcW w:w="5515" w:type="dxa"/>
          </w:tcPr>
          <w:p w14:paraId="58AE6BC5" w14:textId="77777777" w:rsidR="002C6574" w:rsidRDefault="00000000">
            <w:pPr>
              <w:pStyle w:val="TableParagraph"/>
              <w:spacing w:line="212" w:lineRule="exact"/>
              <w:ind w:left="69"/>
              <w:jc w:val="left"/>
              <w:rPr>
                <w:sz w:val="18"/>
              </w:rPr>
            </w:pPr>
            <w:r>
              <w:rPr>
                <w:sz w:val="18"/>
              </w:rPr>
              <w:t>2.</w:t>
            </w:r>
            <w:r>
              <w:rPr>
                <w:spacing w:val="5"/>
                <w:sz w:val="18"/>
              </w:rPr>
              <w:t xml:space="preserve"> </w:t>
            </w:r>
            <w:r>
              <w:rPr>
                <w:sz w:val="18"/>
              </w:rPr>
              <w:t>Rendimento</w:t>
            </w:r>
            <w:r>
              <w:rPr>
                <w:spacing w:val="2"/>
                <w:sz w:val="18"/>
              </w:rPr>
              <w:t xml:space="preserve"> </w:t>
            </w:r>
            <w:r>
              <w:rPr>
                <w:sz w:val="18"/>
              </w:rPr>
              <w:t>esperado</w:t>
            </w:r>
            <w:r>
              <w:rPr>
                <w:spacing w:val="3"/>
                <w:sz w:val="18"/>
              </w:rPr>
              <w:t xml:space="preserve"> </w:t>
            </w:r>
            <w:r>
              <w:rPr>
                <w:sz w:val="18"/>
              </w:rPr>
              <w:t>dos</w:t>
            </w:r>
            <w:r>
              <w:rPr>
                <w:spacing w:val="2"/>
                <w:sz w:val="18"/>
              </w:rPr>
              <w:t xml:space="preserve"> </w:t>
            </w:r>
            <w:r>
              <w:rPr>
                <w:spacing w:val="-2"/>
                <w:sz w:val="18"/>
              </w:rPr>
              <w:t>ativos</w:t>
            </w:r>
          </w:p>
        </w:tc>
        <w:tc>
          <w:tcPr>
            <w:tcW w:w="1418" w:type="dxa"/>
          </w:tcPr>
          <w:p w14:paraId="36694680" w14:textId="77777777" w:rsidR="002C6574" w:rsidRDefault="00000000">
            <w:pPr>
              <w:pStyle w:val="TableParagraph"/>
              <w:spacing w:before="2" w:line="210" w:lineRule="exact"/>
              <w:ind w:right="57"/>
              <w:rPr>
                <w:sz w:val="16"/>
              </w:rPr>
            </w:pPr>
            <w:r>
              <w:rPr>
                <w:spacing w:val="-2"/>
                <w:w w:val="110"/>
                <w:sz w:val="16"/>
              </w:rPr>
              <w:t>(70.892)</w:t>
            </w:r>
          </w:p>
        </w:tc>
        <w:tc>
          <w:tcPr>
            <w:tcW w:w="1418" w:type="dxa"/>
          </w:tcPr>
          <w:p w14:paraId="7FC25F7B" w14:textId="77777777" w:rsidR="002C6574" w:rsidRDefault="00000000">
            <w:pPr>
              <w:pStyle w:val="TableParagraph"/>
              <w:spacing w:before="2" w:line="210" w:lineRule="exact"/>
              <w:ind w:right="54"/>
              <w:rPr>
                <w:sz w:val="16"/>
              </w:rPr>
            </w:pPr>
            <w:r>
              <w:rPr>
                <w:spacing w:val="-2"/>
                <w:w w:val="110"/>
                <w:sz w:val="16"/>
              </w:rPr>
              <w:t>(30.980)</w:t>
            </w:r>
          </w:p>
        </w:tc>
        <w:tc>
          <w:tcPr>
            <w:tcW w:w="1418" w:type="dxa"/>
          </w:tcPr>
          <w:p w14:paraId="5ED600B8" w14:textId="77777777" w:rsidR="002C6574" w:rsidRDefault="00000000">
            <w:pPr>
              <w:pStyle w:val="TableParagraph"/>
              <w:spacing w:before="2" w:line="210" w:lineRule="exact"/>
              <w:ind w:right="53"/>
              <w:rPr>
                <w:sz w:val="16"/>
              </w:rPr>
            </w:pPr>
            <w:r>
              <w:rPr>
                <w:spacing w:val="-2"/>
                <w:w w:val="110"/>
                <w:sz w:val="16"/>
              </w:rPr>
              <w:t>(57.539)</w:t>
            </w:r>
          </w:p>
        </w:tc>
      </w:tr>
      <w:tr w:rsidR="002C6574" w14:paraId="3AE862CB" w14:textId="77777777">
        <w:trPr>
          <w:trHeight w:val="232"/>
        </w:trPr>
        <w:tc>
          <w:tcPr>
            <w:tcW w:w="5515" w:type="dxa"/>
          </w:tcPr>
          <w:p w14:paraId="7139D553" w14:textId="77777777" w:rsidR="002C6574" w:rsidRDefault="00000000">
            <w:pPr>
              <w:pStyle w:val="TableParagraph"/>
              <w:spacing w:line="212" w:lineRule="exact"/>
              <w:ind w:left="69"/>
              <w:jc w:val="left"/>
              <w:rPr>
                <w:sz w:val="18"/>
              </w:rPr>
            </w:pPr>
            <w:r>
              <w:rPr>
                <w:sz w:val="18"/>
              </w:rPr>
              <w:t>3.</w:t>
            </w:r>
            <w:r>
              <w:rPr>
                <w:spacing w:val="8"/>
                <w:sz w:val="18"/>
              </w:rPr>
              <w:t xml:space="preserve"> </w:t>
            </w:r>
            <w:r>
              <w:rPr>
                <w:sz w:val="18"/>
              </w:rPr>
              <w:t>Custo</w:t>
            </w:r>
            <w:r>
              <w:rPr>
                <w:spacing w:val="5"/>
                <w:sz w:val="18"/>
              </w:rPr>
              <w:t xml:space="preserve"> </w:t>
            </w:r>
            <w:r>
              <w:rPr>
                <w:sz w:val="18"/>
              </w:rPr>
              <w:t>do</w:t>
            </w:r>
            <w:r>
              <w:rPr>
                <w:spacing w:val="5"/>
                <w:sz w:val="18"/>
              </w:rPr>
              <w:t xml:space="preserve"> </w:t>
            </w:r>
            <w:r>
              <w:rPr>
                <w:sz w:val="18"/>
              </w:rPr>
              <w:t>serviço</w:t>
            </w:r>
            <w:r>
              <w:rPr>
                <w:spacing w:val="5"/>
                <w:sz w:val="18"/>
              </w:rPr>
              <w:t xml:space="preserve"> </w:t>
            </w:r>
            <w:r>
              <w:rPr>
                <w:spacing w:val="-2"/>
                <w:sz w:val="18"/>
              </w:rPr>
              <w:t>corrente</w:t>
            </w:r>
          </w:p>
        </w:tc>
        <w:tc>
          <w:tcPr>
            <w:tcW w:w="1418" w:type="dxa"/>
          </w:tcPr>
          <w:p w14:paraId="52B9BF12" w14:textId="77777777" w:rsidR="002C6574" w:rsidRDefault="00000000">
            <w:pPr>
              <w:pStyle w:val="TableParagraph"/>
              <w:spacing w:line="212" w:lineRule="exact"/>
              <w:ind w:right="268"/>
              <w:rPr>
                <w:sz w:val="18"/>
              </w:rPr>
            </w:pPr>
            <w:r>
              <w:rPr>
                <w:spacing w:val="-10"/>
                <w:w w:val="95"/>
                <w:sz w:val="18"/>
              </w:rPr>
              <w:t>-</w:t>
            </w:r>
          </w:p>
        </w:tc>
        <w:tc>
          <w:tcPr>
            <w:tcW w:w="1418" w:type="dxa"/>
          </w:tcPr>
          <w:p w14:paraId="3AE4015D" w14:textId="77777777" w:rsidR="002C6574" w:rsidRDefault="00000000">
            <w:pPr>
              <w:pStyle w:val="TableParagraph"/>
              <w:spacing w:line="212" w:lineRule="exact"/>
              <w:ind w:right="265"/>
              <w:rPr>
                <w:sz w:val="18"/>
              </w:rPr>
            </w:pPr>
            <w:r>
              <w:rPr>
                <w:spacing w:val="-10"/>
                <w:w w:val="95"/>
                <w:sz w:val="18"/>
              </w:rPr>
              <w:t>-</w:t>
            </w:r>
          </w:p>
        </w:tc>
        <w:tc>
          <w:tcPr>
            <w:tcW w:w="1418" w:type="dxa"/>
          </w:tcPr>
          <w:p w14:paraId="58150EDF" w14:textId="77777777" w:rsidR="002C6574" w:rsidRDefault="00000000">
            <w:pPr>
              <w:pStyle w:val="TableParagraph"/>
              <w:spacing w:before="2" w:line="210" w:lineRule="exact"/>
              <w:ind w:right="55"/>
              <w:rPr>
                <w:sz w:val="16"/>
              </w:rPr>
            </w:pPr>
            <w:r>
              <w:rPr>
                <w:spacing w:val="-5"/>
                <w:w w:val="105"/>
                <w:sz w:val="16"/>
              </w:rPr>
              <w:t>547</w:t>
            </w:r>
          </w:p>
        </w:tc>
      </w:tr>
      <w:tr w:rsidR="002C6574" w14:paraId="1FDBC428" w14:textId="77777777">
        <w:trPr>
          <w:trHeight w:val="232"/>
        </w:trPr>
        <w:tc>
          <w:tcPr>
            <w:tcW w:w="5515" w:type="dxa"/>
          </w:tcPr>
          <w:p w14:paraId="0022E12A" w14:textId="77777777" w:rsidR="002C6574" w:rsidRDefault="00000000">
            <w:pPr>
              <w:pStyle w:val="TableParagraph"/>
              <w:spacing w:line="212" w:lineRule="exact"/>
              <w:ind w:left="69"/>
              <w:jc w:val="left"/>
              <w:rPr>
                <w:sz w:val="18"/>
              </w:rPr>
            </w:pPr>
            <w:r>
              <w:rPr>
                <w:w w:val="105"/>
                <w:sz w:val="18"/>
              </w:rPr>
              <w:t>4.</w:t>
            </w:r>
            <w:r>
              <w:rPr>
                <w:spacing w:val="-9"/>
                <w:w w:val="105"/>
                <w:sz w:val="18"/>
              </w:rPr>
              <w:t xml:space="preserve"> </w:t>
            </w:r>
            <w:r>
              <w:rPr>
                <w:w w:val="105"/>
                <w:sz w:val="18"/>
              </w:rPr>
              <w:t>Total</w:t>
            </w:r>
            <w:r>
              <w:rPr>
                <w:spacing w:val="-8"/>
                <w:w w:val="105"/>
                <w:sz w:val="18"/>
              </w:rPr>
              <w:t xml:space="preserve"> </w:t>
            </w:r>
            <w:r>
              <w:rPr>
                <w:w w:val="105"/>
                <w:sz w:val="18"/>
              </w:rPr>
              <w:t>da</w:t>
            </w:r>
            <w:r>
              <w:rPr>
                <w:spacing w:val="-10"/>
                <w:w w:val="105"/>
                <w:sz w:val="18"/>
              </w:rPr>
              <w:t xml:space="preserve"> </w:t>
            </w:r>
            <w:r>
              <w:rPr>
                <w:spacing w:val="-2"/>
                <w:w w:val="105"/>
                <w:sz w:val="18"/>
              </w:rPr>
              <w:t>despesa</w:t>
            </w:r>
          </w:p>
        </w:tc>
        <w:tc>
          <w:tcPr>
            <w:tcW w:w="1418" w:type="dxa"/>
          </w:tcPr>
          <w:p w14:paraId="5524AC72" w14:textId="77777777" w:rsidR="002C6574" w:rsidRDefault="00000000">
            <w:pPr>
              <w:pStyle w:val="TableParagraph"/>
              <w:spacing w:before="11" w:line="201" w:lineRule="exact"/>
              <w:ind w:right="58"/>
              <w:rPr>
                <w:rFonts w:ascii="Arial"/>
                <w:b/>
                <w:sz w:val="18"/>
              </w:rPr>
            </w:pPr>
            <w:r>
              <w:rPr>
                <w:rFonts w:ascii="Arial"/>
                <w:b/>
                <w:spacing w:val="-2"/>
                <w:sz w:val="18"/>
              </w:rPr>
              <w:t>(11.149)</w:t>
            </w:r>
          </w:p>
        </w:tc>
        <w:tc>
          <w:tcPr>
            <w:tcW w:w="1418" w:type="dxa"/>
          </w:tcPr>
          <w:p w14:paraId="7AF88759" w14:textId="77777777" w:rsidR="002C6574" w:rsidRDefault="00000000">
            <w:pPr>
              <w:pStyle w:val="TableParagraph"/>
              <w:spacing w:before="11" w:line="201" w:lineRule="exact"/>
              <w:ind w:right="55"/>
              <w:rPr>
                <w:rFonts w:ascii="Arial"/>
                <w:b/>
                <w:sz w:val="18"/>
              </w:rPr>
            </w:pPr>
            <w:r>
              <w:rPr>
                <w:rFonts w:ascii="Arial"/>
                <w:b/>
                <w:spacing w:val="-2"/>
                <w:sz w:val="18"/>
              </w:rPr>
              <w:t>(8.111)</w:t>
            </w:r>
          </w:p>
        </w:tc>
        <w:tc>
          <w:tcPr>
            <w:tcW w:w="1418" w:type="dxa"/>
          </w:tcPr>
          <w:p w14:paraId="2B6D6C2D" w14:textId="77777777" w:rsidR="002C6574" w:rsidRDefault="00000000">
            <w:pPr>
              <w:pStyle w:val="TableParagraph"/>
              <w:spacing w:before="11" w:line="201" w:lineRule="exact"/>
              <w:ind w:right="55"/>
              <w:rPr>
                <w:rFonts w:ascii="Arial"/>
                <w:b/>
                <w:sz w:val="18"/>
              </w:rPr>
            </w:pPr>
            <w:r>
              <w:rPr>
                <w:rFonts w:ascii="Arial"/>
                <w:b/>
                <w:spacing w:val="-2"/>
                <w:sz w:val="18"/>
              </w:rPr>
              <w:t>(13.545)</w:t>
            </w:r>
          </w:p>
        </w:tc>
      </w:tr>
    </w:tbl>
    <w:p w14:paraId="4D00E2C9" w14:textId="77777777" w:rsidR="002C6574" w:rsidRDefault="002C6574">
      <w:pPr>
        <w:pStyle w:val="Corpodetexto"/>
        <w:rPr>
          <w:rFonts w:ascii="Arial"/>
          <w:b/>
        </w:rPr>
      </w:pPr>
    </w:p>
    <w:p w14:paraId="360911F6" w14:textId="77777777" w:rsidR="002C6574" w:rsidRDefault="00000000">
      <w:pPr>
        <w:pStyle w:val="PargrafodaLista"/>
        <w:numPr>
          <w:ilvl w:val="2"/>
          <w:numId w:val="27"/>
        </w:numPr>
        <w:tabs>
          <w:tab w:val="left" w:pos="992"/>
        </w:tabs>
        <w:ind w:left="992" w:hanging="849"/>
        <w:rPr>
          <w:rFonts w:ascii="Arial" w:hAnsi="Arial"/>
          <w:b/>
        </w:rPr>
      </w:pPr>
      <w:r>
        <w:rPr>
          <w:rFonts w:ascii="Arial" w:hAnsi="Arial"/>
          <w:b/>
        </w:rPr>
        <w:t>Evolução</w:t>
      </w:r>
      <w:r>
        <w:rPr>
          <w:rFonts w:ascii="Arial" w:hAnsi="Arial"/>
          <w:b/>
          <w:spacing w:val="-6"/>
        </w:rPr>
        <w:t xml:space="preserve"> </w:t>
      </w:r>
      <w:r>
        <w:rPr>
          <w:rFonts w:ascii="Arial" w:hAnsi="Arial"/>
          <w:b/>
        </w:rPr>
        <w:t>da</w:t>
      </w:r>
      <w:r>
        <w:rPr>
          <w:rFonts w:ascii="Arial" w:hAnsi="Arial"/>
          <w:b/>
          <w:spacing w:val="-4"/>
        </w:rPr>
        <w:t xml:space="preserve"> </w:t>
      </w:r>
      <w:r>
        <w:rPr>
          <w:rFonts w:ascii="Arial" w:hAnsi="Arial"/>
          <w:b/>
        </w:rPr>
        <w:t>situação</w:t>
      </w:r>
      <w:r>
        <w:rPr>
          <w:rFonts w:ascii="Arial" w:hAnsi="Arial"/>
          <w:b/>
          <w:spacing w:val="-3"/>
        </w:rPr>
        <w:t xml:space="preserve"> </w:t>
      </w:r>
      <w:r>
        <w:rPr>
          <w:rFonts w:ascii="Arial" w:hAnsi="Arial"/>
          <w:b/>
        </w:rPr>
        <w:t>atuarial</w:t>
      </w:r>
      <w:r>
        <w:rPr>
          <w:rFonts w:ascii="Arial" w:hAnsi="Arial"/>
          <w:b/>
          <w:spacing w:val="-2"/>
        </w:rPr>
        <w:t xml:space="preserve"> </w:t>
      </w:r>
      <w:r>
        <w:rPr>
          <w:rFonts w:ascii="Arial" w:hAnsi="Arial"/>
          <w:b/>
        </w:rPr>
        <w:t>dos</w:t>
      </w:r>
      <w:r>
        <w:rPr>
          <w:rFonts w:ascii="Arial" w:hAnsi="Arial"/>
          <w:b/>
          <w:spacing w:val="-5"/>
        </w:rPr>
        <w:t xml:space="preserve"> </w:t>
      </w:r>
      <w:r>
        <w:rPr>
          <w:rFonts w:ascii="Arial" w:hAnsi="Arial"/>
          <w:b/>
        </w:rPr>
        <w:t>planos</w:t>
      </w:r>
      <w:r>
        <w:rPr>
          <w:rFonts w:ascii="Arial" w:hAnsi="Arial"/>
          <w:b/>
          <w:spacing w:val="-2"/>
        </w:rPr>
        <w:t xml:space="preserve"> </w:t>
      </w:r>
      <w:r>
        <w:rPr>
          <w:rFonts w:ascii="Arial" w:hAnsi="Arial"/>
          <w:b/>
        </w:rPr>
        <w:t>de</w:t>
      </w:r>
      <w:r>
        <w:rPr>
          <w:rFonts w:ascii="Arial" w:hAnsi="Arial"/>
          <w:b/>
          <w:spacing w:val="-6"/>
        </w:rPr>
        <w:t xml:space="preserve"> </w:t>
      </w:r>
      <w:r>
        <w:rPr>
          <w:rFonts w:ascii="Arial" w:hAnsi="Arial"/>
          <w:b/>
          <w:spacing w:val="-2"/>
        </w:rPr>
        <w:t>benefícios</w:t>
      </w:r>
    </w:p>
    <w:p w14:paraId="1502D526" w14:textId="77777777" w:rsidR="002C6574" w:rsidRDefault="002C6574">
      <w:pPr>
        <w:pStyle w:val="Corpodetexto"/>
        <w:spacing w:before="2"/>
        <w:rPr>
          <w:rFonts w:ascii="Arial"/>
          <w:b/>
          <w:sz w:val="11"/>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2"/>
        <w:gridCol w:w="1075"/>
        <w:gridCol w:w="945"/>
        <w:gridCol w:w="1075"/>
        <w:gridCol w:w="950"/>
        <w:gridCol w:w="940"/>
        <w:gridCol w:w="940"/>
      </w:tblGrid>
      <w:tr w:rsidR="002C6574" w14:paraId="295B9E07" w14:textId="77777777">
        <w:trPr>
          <w:trHeight w:val="230"/>
        </w:trPr>
        <w:tc>
          <w:tcPr>
            <w:tcW w:w="3842" w:type="dxa"/>
            <w:vMerge w:val="restart"/>
            <w:shd w:val="clear" w:color="auto" w:fill="BFBFBF"/>
          </w:tcPr>
          <w:p w14:paraId="28B7D0EC" w14:textId="77777777" w:rsidR="002C6574" w:rsidRDefault="00000000">
            <w:pPr>
              <w:pStyle w:val="TableParagraph"/>
              <w:spacing w:before="145"/>
              <w:ind w:left="69"/>
              <w:jc w:val="left"/>
              <w:rPr>
                <w:rFonts w:ascii="Arial" w:hAnsi="Arial"/>
                <w:b/>
                <w:sz w:val="16"/>
              </w:rPr>
            </w:pPr>
            <w:r>
              <w:rPr>
                <w:rFonts w:ascii="Arial" w:hAnsi="Arial"/>
                <w:b/>
                <w:spacing w:val="-2"/>
                <w:sz w:val="16"/>
              </w:rPr>
              <w:t>Composição:</w:t>
            </w:r>
          </w:p>
        </w:tc>
        <w:tc>
          <w:tcPr>
            <w:tcW w:w="2020" w:type="dxa"/>
            <w:gridSpan w:val="2"/>
          </w:tcPr>
          <w:p w14:paraId="2ED6B777" w14:textId="77777777" w:rsidR="002C6574" w:rsidRDefault="00000000">
            <w:pPr>
              <w:pStyle w:val="TableParagraph"/>
              <w:spacing w:before="22"/>
              <w:ind w:left="12"/>
              <w:jc w:val="center"/>
              <w:rPr>
                <w:rFonts w:ascii="Arial"/>
                <w:b/>
                <w:sz w:val="16"/>
              </w:rPr>
            </w:pPr>
            <w:r>
              <w:rPr>
                <w:rFonts w:ascii="Arial"/>
                <w:b/>
                <w:sz w:val="16"/>
              </w:rPr>
              <w:t>PBS-</w:t>
            </w:r>
            <w:r>
              <w:rPr>
                <w:rFonts w:ascii="Arial"/>
                <w:b/>
                <w:spacing w:val="-10"/>
                <w:sz w:val="16"/>
              </w:rPr>
              <w:t>A</w:t>
            </w:r>
          </w:p>
        </w:tc>
        <w:tc>
          <w:tcPr>
            <w:tcW w:w="2025" w:type="dxa"/>
            <w:gridSpan w:val="2"/>
          </w:tcPr>
          <w:p w14:paraId="7E491FE0" w14:textId="77777777" w:rsidR="002C6574" w:rsidRDefault="00000000">
            <w:pPr>
              <w:pStyle w:val="TableParagraph"/>
              <w:spacing w:before="22"/>
              <w:ind w:left="490"/>
              <w:jc w:val="left"/>
              <w:rPr>
                <w:rFonts w:ascii="Arial"/>
                <w:b/>
                <w:sz w:val="16"/>
              </w:rPr>
            </w:pPr>
            <w:r>
              <w:rPr>
                <w:rFonts w:ascii="Arial"/>
                <w:b/>
                <w:spacing w:val="-2"/>
                <w:sz w:val="16"/>
              </w:rPr>
              <w:t>PBS-Telebras</w:t>
            </w:r>
          </w:p>
        </w:tc>
        <w:tc>
          <w:tcPr>
            <w:tcW w:w="1880" w:type="dxa"/>
            <w:gridSpan w:val="2"/>
          </w:tcPr>
          <w:p w14:paraId="5658D7CC" w14:textId="77777777" w:rsidR="002C6574" w:rsidRDefault="00000000">
            <w:pPr>
              <w:pStyle w:val="TableParagraph"/>
              <w:spacing w:before="22"/>
              <w:ind w:left="373"/>
              <w:jc w:val="left"/>
              <w:rPr>
                <w:rFonts w:ascii="Arial"/>
                <w:b/>
                <w:sz w:val="16"/>
              </w:rPr>
            </w:pPr>
            <w:r>
              <w:rPr>
                <w:rFonts w:ascii="Arial"/>
                <w:b/>
                <w:sz w:val="16"/>
              </w:rPr>
              <w:t>Telebras</w:t>
            </w:r>
            <w:r>
              <w:rPr>
                <w:rFonts w:ascii="Arial"/>
                <w:b/>
                <w:spacing w:val="-8"/>
                <w:sz w:val="16"/>
              </w:rPr>
              <w:t xml:space="preserve"> </w:t>
            </w:r>
            <w:r>
              <w:rPr>
                <w:rFonts w:ascii="Arial"/>
                <w:b/>
                <w:spacing w:val="-4"/>
                <w:sz w:val="16"/>
              </w:rPr>
              <w:t>PREV</w:t>
            </w:r>
          </w:p>
        </w:tc>
      </w:tr>
      <w:tr w:rsidR="002C6574" w14:paraId="51B724FB" w14:textId="77777777">
        <w:trPr>
          <w:trHeight w:val="232"/>
        </w:trPr>
        <w:tc>
          <w:tcPr>
            <w:tcW w:w="3842" w:type="dxa"/>
            <w:vMerge/>
            <w:tcBorders>
              <w:top w:val="nil"/>
            </w:tcBorders>
            <w:shd w:val="clear" w:color="auto" w:fill="BFBFBF"/>
          </w:tcPr>
          <w:p w14:paraId="3ACA421E" w14:textId="77777777" w:rsidR="002C6574" w:rsidRDefault="002C6574">
            <w:pPr>
              <w:rPr>
                <w:sz w:val="2"/>
                <w:szCs w:val="2"/>
              </w:rPr>
            </w:pPr>
          </w:p>
        </w:tc>
        <w:tc>
          <w:tcPr>
            <w:tcW w:w="1075" w:type="dxa"/>
          </w:tcPr>
          <w:p w14:paraId="7C574EFD" w14:textId="77777777" w:rsidR="002C6574" w:rsidRDefault="00000000">
            <w:pPr>
              <w:pStyle w:val="TableParagraph"/>
              <w:spacing w:before="25"/>
              <w:ind w:left="134"/>
              <w:jc w:val="left"/>
              <w:rPr>
                <w:rFonts w:ascii="Arial"/>
                <w:b/>
                <w:sz w:val="16"/>
              </w:rPr>
            </w:pPr>
            <w:r>
              <w:rPr>
                <w:rFonts w:ascii="Arial"/>
                <w:b/>
                <w:spacing w:val="-2"/>
                <w:sz w:val="16"/>
              </w:rPr>
              <w:t>31/12/2025</w:t>
            </w:r>
          </w:p>
        </w:tc>
        <w:tc>
          <w:tcPr>
            <w:tcW w:w="945" w:type="dxa"/>
          </w:tcPr>
          <w:p w14:paraId="3C7E34CD" w14:textId="77777777" w:rsidR="002C6574" w:rsidRDefault="00000000">
            <w:pPr>
              <w:pStyle w:val="TableParagraph"/>
              <w:spacing w:before="25"/>
              <w:ind w:right="58"/>
              <w:rPr>
                <w:rFonts w:ascii="Arial"/>
                <w:b/>
                <w:sz w:val="16"/>
              </w:rPr>
            </w:pPr>
            <w:r>
              <w:rPr>
                <w:rFonts w:ascii="Arial"/>
                <w:b/>
                <w:spacing w:val="-2"/>
                <w:sz w:val="16"/>
              </w:rPr>
              <w:t>31/12/2024</w:t>
            </w:r>
          </w:p>
        </w:tc>
        <w:tc>
          <w:tcPr>
            <w:tcW w:w="1075" w:type="dxa"/>
          </w:tcPr>
          <w:p w14:paraId="50BC5DBC" w14:textId="77777777" w:rsidR="002C6574" w:rsidRDefault="00000000">
            <w:pPr>
              <w:pStyle w:val="TableParagraph"/>
              <w:spacing w:before="25"/>
              <w:ind w:right="125"/>
              <w:rPr>
                <w:rFonts w:ascii="Arial"/>
                <w:b/>
                <w:sz w:val="16"/>
              </w:rPr>
            </w:pPr>
            <w:r>
              <w:rPr>
                <w:rFonts w:ascii="Arial"/>
                <w:b/>
                <w:spacing w:val="-2"/>
                <w:sz w:val="16"/>
              </w:rPr>
              <w:t>31/12/2025</w:t>
            </w:r>
          </w:p>
        </w:tc>
        <w:tc>
          <w:tcPr>
            <w:tcW w:w="950" w:type="dxa"/>
          </w:tcPr>
          <w:p w14:paraId="6564D727" w14:textId="77777777" w:rsidR="002C6574" w:rsidRDefault="00000000">
            <w:pPr>
              <w:pStyle w:val="TableParagraph"/>
              <w:spacing w:before="25"/>
              <w:ind w:right="60"/>
              <w:rPr>
                <w:rFonts w:ascii="Arial"/>
                <w:b/>
                <w:sz w:val="16"/>
              </w:rPr>
            </w:pPr>
            <w:r>
              <w:rPr>
                <w:rFonts w:ascii="Arial"/>
                <w:b/>
                <w:spacing w:val="-2"/>
                <w:sz w:val="16"/>
              </w:rPr>
              <w:t>31/12/2024</w:t>
            </w:r>
          </w:p>
        </w:tc>
        <w:tc>
          <w:tcPr>
            <w:tcW w:w="940" w:type="dxa"/>
          </w:tcPr>
          <w:p w14:paraId="689ED58C" w14:textId="77777777" w:rsidR="002C6574" w:rsidRDefault="00000000">
            <w:pPr>
              <w:pStyle w:val="TableParagraph"/>
              <w:spacing w:before="25"/>
              <w:ind w:right="56"/>
              <w:rPr>
                <w:rFonts w:ascii="Arial"/>
                <w:b/>
                <w:sz w:val="16"/>
              </w:rPr>
            </w:pPr>
            <w:r>
              <w:rPr>
                <w:rFonts w:ascii="Arial"/>
                <w:b/>
                <w:spacing w:val="-2"/>
                <w:sz w:val="16"/>
              </w:rPr>
              <w:t>31/12/2025</w:t>
            </w:r>
          </w:p>
        </w:tc>
        <w:tc>
          <w:tcPr>
            <w:tcW w:w="940" w:type="dxa"/>
          </w:tcPr>
          <w:p w14:paraId="307348A8" w14:textId="77777777" w:rsidR="002C6574" w:rsidRDefault="00000000">
            <w:pPr>
              <w:pStyle w:val="TableParagraph"/>
              <w:spacing w:before="25"/>
              <w:ind w:right="54"/>
              <w:rPr>
                <w:rFonts w:ascii="Arial"/>
                <w:b/>
                <w:sz w:val="16"/>
              </w:rPr>
            </w:pPr>
            <w:r>
              <w:rPr>
                <w:rFonts w:ascii="Arial"/>
                <w:b/>
                <w:spacing w:val="-2"/>
                <w:sz w:val="16"/>
              </w:rPr>
              <w:t>31/12/2024</w:t>
            </w:r>
          </w:p>
        </w:tc>
      </w:tr>
      <w:tr w:rsidR="002C6574" w14:paraId="66D22C43" w14:textId="77777777">
        <w:trPr>
          <w:trHeight w:val="232"/>
        </w:trPr>
        <w:tc>
          <w:tcPr>
            <w:tcW w:w="3842" w:type="dxa"/>
          </w:tcPr>
          <w:p w14:paraId="7A1283C0" w14:textId="77777777" w:rsidR="002C6574" w:rsidRDefault="00000000">
            <w:pPr>
              <w:pStyle w:val="TableParagraph"/>
              <w:spacing w:before="2" w:line="210" w:lineRule="exact"/>
              <w:ind w:left="69"/>
              <w:jc w:val="left"/>
              <w:rPr>
                <w:sz w:val="16"/>
              </w:rPr>
            </w:pPr>
            <w:r>
              <w:rPr>
                <w:sz w:val="16"/>
              </w:rPr>
              <w:t xml:space="preserve">Obrigação atuarial </w:t>
            </w:r>
            <w:r>
              <w:rPr>
                <w:spacing w:val="-5"/>
                <w:sz w:val="16"/>
              </w:rPr>
              <w:t>(A)</w:t>
            </w:r>
          </w:p>
        </w:tc>
        <w:tc>
          <w:tcPr>
            <w:tcW w:w="1075" w:type="dxa"/>
          </w:tcPr>
          <w:p w14:paraId="33556366" w14:textId="77777777" w:rsidR="002C6574" w:rsidRDefault="00000000">
            <w:pPr>
              <w:pStyle w:val="TableParagraph"/>
              <w:spacing w:before="2" w:line="210" w:lineRule="exact"/>
              <w:ind w:right="56"/>
              <w:rPr>
                <w:sz w:val="16"/>
              </w:rPr>
            </w:pPr>
            <w:r>
              <w:rPr>
                <w:spacing w:val="-2"/>
                <w:w w:val="105"/>
                <w:sz w:val="16"/>
              </w:rPr>
              <w:t>504.164</w:t>
            </w:r>
          </w:p>
        </w:tc>
        <w:tc>
          <w:tcPr>
            <w:tcW w:w="945" w:type="dxa"/>
          </w:tcPr>
          <w:p w14:paraId="6DD30343" w14:textId="77777777" w:rsidR="002C6574" w:rsidRDefault="00000000">
            <w:pPr>
              <w:pStyle w:val="TableParagraph"/>
              <w:spacing w:before="2" w:line="210" w:lineRule="exact"/>
              <w:ind w:right="56"/>
              <w:rPr>
                <w:sz w:val="16"/>
              </w:rPr>
            </w:pPr>
            <w:r>
              <w:rPr>
                <w:spacing w:val="-2"/>
                <w:w w:val="105"/>
                <w:sz w:val="16"/>
              </w:rPr>
              <w:t>508.486</w:t>
            </w:r>
          </w:p>
        </w:tc>
        <w:tc>
          <w:tcPr>
            <w:tcW w:w="1075" w:type="dxa"/>
          </w:tcPr>
          <w:p w14:paraId="53311EEB" w14:textId="77777777" w:rsidR="002C6574" w:rsidRDefault="00000000">
            <w:pPr>
              <w:pStyle w:val="TableParagraph"/>
              <w:spacing w:before="2" w:line="210" w:lineRule="exact"/>
              <w:ind w:right="56"/>
              <w:rPr>
                <w:sz w:val="16"/>
              </w:rPr>
            </w:pPr>
            <w:r>
              <w:rPr>
                <w:spacing w:val="-2"/>
                <w:w w:val="105"/>
                <w:sz w:val="16"/>
              </w:rPr>
              <w:t>195.150</w:t>
            </w:r>
          </w:p>
        </w:tc>
        <w:tc>
          <w:tcPr>
            <w:tcW w:w="950" w:type="dxa"/>
          </w:tcPr>
          <w:p w14:paraId="1E7C07B2" w14:textId="77777777" w:rsidR="002C6574" w:rsidRDefault="00000000">
            <w:pPr>
              <w:pStyle w:val="TableParagraph"/>
              <w:spacing w:before="2" w:line="210" w:lineRule="exact"/>
              <w:ind w:right="56"/>
              <w:rPr>
                <w:sz w:val="16"/>
              </w:rPr>
            </w:pPr>
            <w:r>
              <w:rPr>
                <w:spacing w:val="-2"/>
                <w:w w:val="105"/>
                <w:sz w:val="16"/>
              </w:rPr>
              <w:t>194.180</w:t>
            </w:r>
          </w:p>
        </w:tc>
        <w:tc>
          <w:tcPr>
            <w:tcW w:w="940" w:type="dxa"/>
          </w:tcPr>
          <w:p w14:paraId="174007D7" w14:textId="77777777" w:rsidR="002C6574" w:rsidRDefault="00000000">
            <w:pPr>
              <w:pStyle w:val="TableParagraph"/>
              <w:spacing w:before="2" w:line="210" w:lineRule="exact"/>
              <w:ind w:right="55"/>
              <w:rPr>
                <w:sz w:val="16"/>
              </w:rPr>
            </w:pPr>
            <w:r>
              <w:rPr>
                <w:spacing w:val="-2"/>
                <w:w w:val="105"/>
                <w:sz w:val="16"/>
              </w:rPr>
              <w:t>370.759</w:t>
            </w:r>
          </w:p>
        </w:tc>
        <w:tc>
          <w:tcPr>
            <w:tcW w:w="940" w:type="dxa"/>
          </w:tcPr>
          <w:p w14:paraId="0E798439" w14:textId="77777777" w:rsidR="002C6574" w:rsidRDefault="00000000">
            <w:pPr>
              <w:pStyle w:val="TableParagraph"/>
              <w:spacing w:before="2" w:line="210" w:lineRule="exact"/>
              <w:ind w:right="54"/>
              <w:rPr>
                <w:sz w:val="16"/>
              </w:rPr>
            </w:pPr>
            <w:r>
              <w:rPr>
                <w:spacing w:val="-2"/>
                <w:w w:val="105"/>
                <w:sz w:val="16"/>
              </w:rPr>
              <w:t>346.585</w:t>
            </w:r>
          </w:p>
        </w:tc>
      </w:tr>
      <w:tr w:rsidR="002C6574" w14:paraId="114011F5" w14:textId="77777777">
        <w:trPr>
          <w:trHeight w:val="232"/>
        </w:trPr>
        <w:tc>
          <w:tcPr>
            <w:tcW w:w="3842" w:type="dxa"/>
          </w:tcPr>
          <w:p w14:paraId="27F8F0F7" w14:textId="77777777" w:rsidR="002C6574" w:rsidRDefault="00000000">
            <w:pPr>
              <w:pStyle w:val="TableParagraph"/>
              <w:spacing w:before="2" w:line="210" w:lineRule="exact"/>
              <w:ind w:left="69"/>
              <w:jc w:val="left"/>
              <w:rPr>
                <w:sz w:val="16"/>
              </w:rPr>
            </w:pPr>
            <w:r>
              <w:rPr>
                <w:sz w:val="16"/>
              </w:rPr>
              <w:t>Valor</w:t>
            </w:r>
            <w:r>
              <w:rPr>
                <w:spacing w:val="-3"/>
                <w:sz w:val="16"/>
              </w:rPr>
              <w:t xml:space="preserve"> </w:t>
            </w:r>
            <w:r>
              <w:rPr>
                <w:sz w:val="16"/>
              </w:rPr>
              <w:t>justo</w:t>
            </w:r>
            <w:r>
              <w:rPr>
                <w:spacing w:val="-3"/>
                <w:sz w:val="16"/>
              </w:rPr>
              <w:t xml:space="preserve"> </w:t>
            </w:r>
            <w:r>
              <w:rPr>
                <w:spacing w:val="-5"/>
                <w:sz w:val="16"/>
              </w:rPr>
              <w:t>(B)</w:t>
            </w:r>
          </w:p>
        </w:tc>
        <w:tc>
          <w:tcPr>
            <w:tcW w:w="1075" w:type="dxa"/>
          </w:tcPr>
          <w:p w14:paraId="1440F96B" w14:textId="77777777" w:rsidR="002C6574" w:rsidRDefault="00000000">
            <w:pPr>
              <w:pStyle w:val="TableParagraph"/>
              <w:spacing w:before="2" w:line="210" w:lineRule="exact"/>
              <w:ind w:right="56"/>
              <w:rPr>
                <w:sz w:val="16"/>
              </w:rPr>
            </w:pPr>
            <w:r>
              <w:rPr>
                <w:spacing w:val="-2"/>
                <w:w w:val="105"/>
                <w:sz w:val="16"/>
              </w:rPr>
              <w:t>598.248</w:t>
            </w:r>
          </w:p>
        </w:tc>
        <w:tc>
          <w:tcPr>
            <w:tcW w:w="945" w:type="dxa"/>
          </w:tcPr>
          <w:p w14:paraId="1BAD2E81" w14:textId="77777777" w:rsidR="002C6574" w:rsidRDefault="00000000">
            <w:pPr>
              <w:pStyle w:val="TableParagraph"/>
              <w:spacing w:before="2" w:line="210" w:lineRule="exact"/>
              <w:ind w:right="56"/>
              <w:rPr>
                <w:sz w:val="16"/>
              </w:rPr>
            </w:pPr>
            <w:r>
              <w:rPr>
                <w:spacing w:val="-2"/>
                <w:w w:val="105"/>
                <w:sz w:val="16"/>
              </w:rPr>
              <w:t>568.448</w:t>
            </w:r>
          </w:p>
        </w:tc>
        <w:tc>
          <w:tcPr>
            <w:tcW w:w="1075" w:type="dxa"/>
          </w:tcPr>
          <w:p w14:paraId="5DDDB9EB" w14:textId="77777777" w:rsidR="002C6574" w:rsidRDefault="00000000">
            <w:pPr>
              <w:pStyle w:val="TableParagraph"/>
              <w:spacing w:before="2" w:line="210" w:lineRule="exact"/>
              <w:ind w:right="56"/>
              <w:rPr>
                <w:sz w:val="16"/>
              </w:rPr>
            </w:pPr>
            <w:r>
              <w:rPr>
                <w:spacing w:val="-2"/>
                <w:w w:val="105"/>
                <w:sz w:val="16"/>
              </w:rPr>
              <w:t>264.365</w:t>
            </w:r>
          </w:p>
        </w:tc>
        <w:tc>
          <w:tcPr>
            <w:tcW w:w="950" w:type="dxa"/>
          </w:tcPr>
          <w:p w14:paraId="1E3248E9" w14:textId="77777777" w:rsidR="002C6574" w:rsidRDefault="00000000">
            <w:pPr>
              <w:pStyle w:val="TableParagraph"/>
              <w:spacing w:before="2" w:line="210" w:lineRule="exact"/>
              <w:ind w:right="56"/>
              <w:rPr>
                <w:sz w:val="16"/>
              </w:rPr>
            </w:pPr>
            <w:r>
              <w:rPr>
                <w:spacing w:val="-2"/>
                <w:w w:val="105"/>
                <w:sz w:val="16"/>
              </w:rPr>
              <w:t>236.209</w:t>
            </w:r>
          </w:p>
        </w:tc>
        <w:tc>
          <w:tcPr>
            <w:tcW w:w="940" w:type="dxa"/>
          </w:tcPr>
          <w:p w14:paraId="0A23D2A3" w14:textId="77777777" w:rsidR="002C6574" w:rsidRDefault="00000000">
            <w:pPr>
              <w:pStyle w:val="TableParagraph"/>
              <w:spacing w:before="2" w:line="210" w:lineRule="exact"/>
              <w:ind w:right="55"/>
              <w:rPr>
                <w:sz w:val="16"/>
              </w:rPr>
            </w:pPr>
            <w:r>
              <w:rPr>
                <w:spacing w:val="-2"/>
                <w:w w:val="105"/>
                <w:sz w:val="16"/>
              </w:rPr>
              <w:t>491.010</w:t>
            </w:r>
          </w:p>
        </w:tc>
        <w:tc>
          <w:tcPr>
            <w:tcW w:w="940" w:type="dxa"/>
          </w:tcPr>
          <w:p w14:paraId="1B546F57" w14:textId="77777777" w:rsidR="002C6574" w:rsidRDefault="00000000">
            <w:pPr>
              <w:pStyle w:val="TableParagraph"/>
              <w:spacing w:before="2" w:line="210" w:lineRule="exact"/>
              <w:ind w:right="54"/>
              <w:rPr>
                <w:sz w:val="16"/>
              </w:rPr>
            </w:pPr>
            <w:r>
              <w:rPr>
                <w:spacing w:val="-2"/>
                <w:w w:val="105"/>
                <w:sz w:val="16"/>
              </w:rPr>
              <w:t>415.837</w:t>
            </w:r>
          </w:p>
        </w:tc>
      </w:tr>
      <w:tr w:rsidR="002C6574" w14:paraId="58460A93" w14:textId="77777777">
        <w:trPr>
          <w:trHeight w:val="232"/>
        </w:trPr>
        <w:tc>
          <w:tcPr>
            <w:tcW w:w="3842" w:type="dxa"/>
          </w:tcPr>
          <w:p w14:paraId="61FDA411" w14:textId="77777777" w:rsidR="002C6574" w:rsidRDefault="00000000">
            <w:pPr>
              <w:pStyle w:val="TableParagraph"/>
              <w:spacing w:before="25"/>
              <w:ind w:left="69"/>
              <w:jc w:val="left"/>
              <w:rPr>
                <w:rFonts w:ascii="Arial" w:hAnsi="Arial"/>
                <w:b/>
                <w:sz w:val="16"/>
              </w:rPr>
            </w:pPr>
            <w:r>
              <w:rPr>
                <w:rFonts w:ascii="Arial" w:hAnsi="Arial"/>
                <w:b/>
                <w:sz w:val="16"/>
              </w:rPr>
              <w:t>Resultado</w:t>
            </w:r>
            <w:r>
              <w:rPr>
                <w:rFonts w:ascii="Arial" w:hAnsi="Arial"/>
                <w:b/>
                <w:spacing w:val="-2"/>
                <w:sz w:val="16"/>
              </w:rPr>
              <w:t xml:space="preserve"> </w:t>
            </w:r>
            <w:r>
              <w:rPr>
                <w:rFonts w:ascii="Arial" w:hAnsi="Arial"/>
                <w:b/>
                <w:sz w:val="16"/>
              </w:rPr>
              <w:t>(B</w:t>
            </w:r>
            <w:r>
              <w:rPr>
                <w:rFonts w:ascii="Arial" w:hAnsi="Arial"/>
                <w:b/>
                <w:spacing w:val="-1"/>
                <w:sz w:val="16"/>
              </w:rPr>
              <w:t xml:space="preserve"> </w:t>
            </w:r>
            <w:r>
              <w:rPr>
                <w:rFonts w:ascii="Arial" w:hAnsi="Arial"/>
                <w:b/>
                <w:sz w:val="16"/>
              </w:rPr>
              <w:t>–</w:t>
            </w:r>
            <w:r>
              <w:rPr>
                <w:rFonts w:ascii="Arial" w:hAnsi="Arial"/>
                <w:b/>
                <w:spacing w:val="-4"/>
                <w:sz w:val="16"/>
              </w:rPr>
              <w:t xml:space="preserve"> </w:t>
            </w:r>
            <w:r>
              <w:rPr>
                <w:rFonts w:ascii="Arial" w:hAnsi="Arial"/>
                <w:b/>
                <w:sz w:val="16"/>
              </w:rPr>
              <w:t>A)</w:t>
            </w:r>
            <w:r>
              <w:rPr>
                <w:rFonts w:ascii="Arial" w:hAnsi="Arial"/>
                <w:b/>
                <w:spacing w:val="-2"/>
                <w:sz w:val="16"/>
              </w:rPr>
              <w:t xml:space="preserve"> </w:t>
            </w:r>
            <w:r>
              <w:rPr>
                <w:rFonts w:ascii="Arial" w:hAnsi="Arial"/>
                <w:b/>
                <w:sz w:val="16"/>
              </w:rPr>
              <w:t>(+)</w:t>
            </w:r>
            <w:r>
              <w:rPr>
                <w:rFonts w:ascii="Arial" w:hAnsi="Arial"/>
                <w:b/>
                <w:spacing w:val="-4"/>
                <w:sz w:val="16"/>
              </w:rPr>
              <w:t xml:space="preserve"> </w:t>
            </w:r>
            <w:r>
              <w:rPr>
                <w:rFonts w:ascii="Arial" w:hAnsi="Arial"/>
                <w:b/>
                <w:sz w:val="16"/>
              </w:rPr>
              <w:t>Superávit/(-)</w:t>
            </w:r>
            <w:r>
              <w:rPr>
                <w:rFonts w:ascii="Arial" w:hAnsi="Arial"/>
                <w:b/>
                <w:spacing w:val="-1"/>
                <w:sz w:val="16"/>
              </w:rPr>
              <w:t xml:space="preserve"> </w:t>
            </w:r>
            <w:r>
              <w:rPr>
                <w:rFonts w:ascii="Arial" w:hAnsi="Arial"/>
                <w:b/>
                <w:spacing w:val="-2"/>
                <w:sz w:val="16"/>
              </w:rPr>
              <w:t>Déficit</w:t>
            </w:r>
          </w:p>
        </w:tc>
        <w:tc>
          <w:tcPr>
            <w:tcW w:w="1075" w:type="dxa"/>
          </w:tcPr>
          <w:p w14:paraId="5A8C05A1" w14:textId="77777777" w:rsidR="002C6574" w:rsidRDefault="00000000">
            <w:pPr>
              <w:pStyle w:val="TableParagraph"/>
              <w:spacing w:before="25"/>
              <w:ind w:right="59"/>
              <w:rPr>
                <w:rFonts w:ascii="Arial"/>
                <w:b/>
                <w:sz w:val="16"/>
              </w:rPr>
            </w:pPr>
            <w:r>
              <w:rPr>
                <w:rFonts w:ascii="Arial"/>
                <w:b/>
                <w:spacing w:val="-2"/>
                <w:sz w:val="16"/>
              </w:rPr>
              <w:t>94.084</w:t>
            </w:r>
          </w:p>
        </w:tc>
        <w:tc>
          <w:tcPr>
            <w:tcW w:w="945" w:type="dxa"/>
          </w:tcPr>
          <w:p w14:paraId="48C0C914" w14:textId="77777777" w:rsidR="002C6574" w:rsidRDefault="00000000">
            <w:pPr>
              <w:pStyle w:val="TableParagraph"/>
              <w:spacing w:before="25"/>
              <w:ind w:right="56"/>
              <w:rPr>
                <w:rFonts w:ascii="Arial"/>
                <w:b/>
                <w:sz w:val="16"/>
              </w:rPr>
            </w:pPr>
            <w:r>
              <w:rPr>
                <w:rFonts w:ascii="Arial"/>
                <w:b/>
                <w:spacing w:val="-2"/>
                <w:sz w:val="16"/>
              </w:rPr>
              <w:t>59.962</w:t>
            </w:r>
          </w:p>
        </w:tc>
        <w:tc>
          <w:tcPr>
            <w:tcW w:w="1075" w:type="dxa"/>
          </w:tcPr>
          <w:p w14:paraId="26EEEB12" w14:textId="77777777" w:rsidR="002C6574" w:rsidRDefault="00000000">
            <w:pPr>
              <w:pStyle w:val="TableParagraph"/>
              <w:spacing w:before="25"/>
              <w:ind w:right="58"/>
              <w:rPr>
                <w:rFonts w:ascii="Arial"/>
                <w:b/>
                <w:sz w:val="16"/>
              </w:rPr>
            </w:pPr>
            <w:r>
              <w:rPr>
                <w:rFonts w:ascii="Arial"/>
                <w:b/>
                <w:spacing w:val="-2"/>
                <w:sz w:val="16"/>
              </w:rPr>
              <w:t>69.215</w:t>
            </w:r>
          </w:p>
        </w:tc>
        <w:tc>
          <w:tcPr>
            <w:tcW w:w="950" w:type="dxa"/>
          </w:tcPr>
          <w:p w14:paraId="36BCCD1C" w14:textId="77777777" w:rsidR="002C6574" w:rsidRDefault="00000000">
            <w:pPr>
              <w:pStyle w:val="TableParagraph"/>
              <w:spacing w:before="25"/>
              <w:ind w:right="55"/>
              <w:rPr>
                <w:rFonts w:ascii="Arial"/>
                <w:b/>
                <w:sz w:val="16"/>
              </w:rPr>
            </w:pPr>
            <w:r>
              <w:rPr>
                <w:rFonts w:ascii="Arial"/>
                <w:b/>
                <w:spacing w:val="-2"/>
                <w:sz w:val="16"/>
              </w:rPr>
              <w:t>42.029</w:t>
            </w:r>
          </w:p>
        </w:tc>
        <w:tc>
          <w:tcPr>
            <w:tcW w:w="940" w:type="dxa"/>
          </w:tcPr>
          <w:p w14:paraId="04156E29" w14:textId="77777777" w:rsidR="002C6574" w:rsidRDefault="00000000">
            <w:pPr>
              <w:pStyle w:val="TableParagraph"/>
              <w:spacing w:before="25"/>
              <w:ind w:right="55"/>
              <w:rPr>
                <w:rFonts w:ascii="Arial"/>
                <w:b/>
                <w:sz w:val="16"/>
              </w:rPr>
            </w:pPr>
            <w:r>
              <w:rPr>
                <w:rFonts w:ascii="Arial"/>
                <w:b/>
                <w:spacing w:val="-2"/>
                <w:sz w:val="16"/>
              </w:rPr>
              <w:t>120.251</w:t>
            </w:r>
          </w:p>
        </w:tc>
        <w:tc>
          <w:tcPr>
            <w:tcW w:w="940" w:type="dxa"/>
          </w:tcPr>
          <w:p w14:paraId="452FDD35" w14:textId="77777777" w:rsidR="002C6574" w:rsidRDefault="00000000">
            <w:pPr>
              <w:pStyle w:val="TableParagraph"/>
              <w:spacing w:before="25"/>
              <w:ind w:right="54"/>
              <w:rPr>
                <w:rFonts w:ascii="Arial"/>
                <w:b/>
                <w:sz w:val="16"/>
              </w:rPr>
            </w:pPr>
            <w:r>
              <w:rPr>
                <w:rFonts w:ascii="Arial"/>
                <w:b/>
                <w:spacing w:val="-2"/>
                <w:sz w:val="16"/>
              </w:rPr>
              <w:t>69.252</w:t>
            </w:r>
          </w:p>
        </w:tc>
      </w:tr>
    </w:tbl>
    <w:p w14:paraId="12109ED1" w14:textId="77777777" w:rsidR="002C6574" w:rsidRDefault="002C6574">
      <w:pPr>
        <w:pStyle w:val="Corpodetexto"/>
        <w:spacing w:before="24"/>
        <w:rPr>
          <w:rFonts w:ascii="Arial"/>
          <w:b/>
        </w:rPr>
      </w:pPr>
    </w:p>
    <w:p w14:paraId="22A9839B" w14:textId="77777777" w:rsidR="002C6574" w:rsidRDefault="00000000">
      <w:pPr>
        <w:pStyle w:val="PargrafodaLista"/>
        <w:numPr>
          <w:ilvl w:val="2"/>
          <w:numId w:val="27"/>
        </w:numPr>
        <w:tabs>
          <w:tab w:val="left" w:pos="992"/>
        </w:tabs>
        <w:ind w:left="992" w:hanging="849"/>
        <w:rPr>
          <w:rFonts w:ascii="Arial" w:hAnsi="Arial"/>
          <w:b/>
        </w:rPr>
      </w:pPr>
      <w:r>
        <w:rPr>
          <w:rFonts w:ascii="Arial" w:hAnsi="Arial"/>
          <w:b/>
        </w:rPr>
        <w:t>Comentários</w:t>
      </w:r>
      <w:r>
        <w:rPr>
          <w:rFonts w:ascii="Arial" w:hAnsi="Arial"/>
          <w:b/>
          <w:spacing w:val="-5"/>
        </w:rPr>
        <w:t xml:space="preserve"> </w:t>
      </w:r>
      <w:r>
        <w:rPr>
          <w:rFonts w:ascii="Arial" w:hAnsi="Arial"/>
          <w:b/>
        </w:rPr>
        <w:t>sobre</w:t>
      </w:r>
      <w:r>
        <w:rPr>
          <w:rFonts w:ascii="Arial" w:hAnsi="Arial"/>
          <w:b/>
          <w:spacing w:val="-2"/>
        </w:rPr>
        <w:t xml:space="preserve"> </w:t>
      </w:r>
      <w:r>
        <w:rPr>
          <w:rFonts w:ascii="Arial" w:hAnsi="Arial"/>
          <w:b/>
        </w:rPr>
        <w:t>os</w:t>
      </w:r>
      <w:r>
        <w:rPr>
          <w:rFonts w:ascii="Arial" w:hAnsi="Arial"/>
          <w:b/>
          <w:spacing w:val="-6"/>
        </w:rPr>
        <w:t xml:space="preserve"> </w:t>
      </w:r>
      <w:r>
        <w:rPr>
          <w:rFonts w:ascii="Arial" w:hAnsi="Arial"/>
          <w:b/>
        </w:rPr>
        <w:t>Resultados</w:t>
      </w:r>
      <w:r>
        <w:rPr>
          <w:rFonts w:ascii="Arial" w:hAnsi="Arial"/>
          <w:b/>
          <w:spacing w:val="-1"/>
        </w:rPr>
        <w:t xml:space="preserve"> </w:t>
      </w:r>
      <w:r>
        <w:rPr>
          <w:rFonts w:ascii="Arial" w:hAnsi="Arial"/>
          <w:b/>
        </w:rPr>
        <w:t>do</w:t>
      </w:r>
      <w:r>
        <w:rPr>
          <w:rFonts w:ascii="Arial" w:hAnsi="Arial"/>
          <w:b/>
          <w:spacing w:val="-4"/>
        </w:rPr>
        <w:t xml:space="preserve"> </w:t>
      </w:r>
      <w:r>
        <w:rPr>
          <w:rFonts w:ascii="Arial" w:hAnsi="Arial"/>
          <w:b/>
          <w:spacing w:val="-2"/>
        </w:rPr>
        <w:t>Planos</w:t>
      </w:r>
    </w:p>
    <w:p w14:paraId="5C2A9651" w14:textId="77777777" w:rsidR="002C6574" w:rsidRDefault="002C6574">
      <w:pPr>
        <w:pStyle w:val="Corpodetexto"/>
        <w:spacing w:before="36"/>
        <w:rPr>
          <w:rFonts w:ascii="Arial"/>
          <w:b/>
        </w:rPr>
      </w:pPr>
    </w:p>
    <w:p w14:paraId="68D5866D" w14:textId="77777777" w:rsidR="002C6574" w:rsidRDefault="00000000">
      <w:pPr>
        <w:pStyle w:val="PargrafodaLista"/>
        <w:numPr>
          <w:ilvl w:val="3"/>
          <w:numId w:val="27"/>
        </w:numPr>
        <w:tabs>
          <w:tab w:val="left" w:pos="1271"/>
        </w:tabs>
        <w:ind w:left="1271" w:hanging="1128"/>
        <w:rPr>
          <w:rFonts w:ascii="Arial" w:hAnsi="Arial"/>
          <w:b/>
        </w:rPr>
      </w:pPr>
      <w:r>
        <w:rPr>
          <w:rFonts w:ascii="Arial" w:hAnsi="Arial"/>
          <w:b/>
        </w:rPr>
        <w:t>Plano</w:t>
      </w:r>
      <w:r>
        <w:rPr>
          <w:rFonts w:ascii="Arial" w:hAnsi="Arial"/>
          <w:b/>
          <w:spacing w:val="-3"/>
        </w:rPr>
        <w:t xml:space="preserve"> </w:t>
      </w:r>
      <w:r>
        <w:rPr>
          <w:rFonts w:ascii="Arial" w:hAnsi="Arial"/>
          <w:b/>
        </w:rPr>
        <w:t>de</w:t>
      </w:r>
      <w:r>
        <w:rPr>
          <w:rFonts w:ascii="Arial" w:hAnsi="Arial"/>
          <w:b/>
          <w:spacing w:val="-2"/>
        </w:rPr>
        <w:t xml:space="preserve"> </w:t>
      </w:r>
      <w:r>
        <w:rPr>
          <w:rFonts w:ascii="Arial" w:hAnsi="Arial"/>
          <w:b/>
        </w:rPr>
        <w:t>Benefício</w:t>
      </w:r>
      <w:r>
        <w:rPr>
          <w:rFonts w:ascii="Arial" w:hAnsi="Arial"/>
          <w:b/>
          <w:spacing w:val="-2"/>
        </w:rPr>
        <w:t xml:space="preserve"> </w:t>
      </w:r>
      <w:r>
        <w:rPr>
          <w:rFonts w:ascii="Arial" w:hAnsi="Arial"/>
          <w:b/>
        </w:rPr>
        <w:t>PBS</w:t>
      </w:r>
      <w:r>
        <w:rPr>
          <w:rFonts w:ascii="Arial" w:hAnsi="Arial"/>
          <w:b/>
          <w:spacing w:val="-4"/>
        </w:rPr>
        <w:t xml:space="preserve"> </w:t>
      </w:r>
      <w:r>
        <w:rPr>
          <w:rFonts w:ascii="Arial" w:hAnsi="Arial"/>
          <w:b/>
        </w:rPr>
        <w:t>-</w:t>
      </w:r>
      <w:r>
        <w:rPr>
          <w:rFonts w:ascii="Arial" w:hAnsi="Arial"/>
          <w:b/>
          <w:spacing w:val="-10"/>
        </w:rPr>
        <w:t>A</w:t>
      </w:r>
    </w:p>
    <w:p w14:paraId="6292FE1B" w14:textId="77777777" w:rsidR="002C6574" w:rsidRDefault="00000000">
      <w:pPr>
        <w:pStyle w:val="Corpodetexto"/>
        <w:spacing w:before="132" w:line="237" w:lineRule="auto"/>
        <w:ind w:left="143" w:right="703"/>
        <w:jc w:val="both"/>
      </w:pPr>
      <w:r>
        <w:t>As</w:t>
      </w:r>
      <w:r>
        <w:rPr>
          <w:spacing w:val="-8"/>
        </w:rPr>
        <w:t xml:space="preserve"> </w:t>
      </w:r>
      <w:r>
        <w:t>obrigações</w:t>
      </w:r>
      <w:r>
        <w:rPr>
          <w:spacing w:val="-8"/>
        </w:rPr>
        <w:t xml:space="preserve"> </w:t>
      </w:r>
      <w:r>
        <w:t>atuariais</w:t>
      </w:r>
      <w:r>
        <w:rPr>
          <w:spacing w:val="-10"/>
        </w:rPr>
        <w:t xml:space="preserve"> </w:t>
      </w:r>
      <w:r>
        <w:t>em</w:t>
      </w:r>
      <w:r>
        <w:rPr>
          <w:spacing w:val="-8"/>
        </w:rPr>
        <w:t xml:space="preserve"> </w:t>
      </w:r>
      <w:r>
        <w:t>relação</w:t>
      </w:r>
      <w:r>
        <w:rPr>
          <w:spacing w:val="-9"/>
        </w:rPr>
        <w:t xml:space="preserve"> </w:t>
      </w:r>
      <w:r>
        <w:t>a</w:t>
      </w:r>
      <w:r>
        <w:rPr>
          <w:spacing w:val="-9"/>
        </w:rPr>
        <w:t xml:space="preserve"> </w:t>
      </w:r>
      <w:r>
        <w:t>este</w:t>
      </w:r>
      <w:r>
        <w:rPr>
          <w:spacing w:val="-9"/>
        </w:rPr>
        <w:t xml:space="preserve"> </w:t>
      </w:r>
      <w:r>
        <w:t>plano</w:t>
      </w:r>
      <w:r>
        <w:rPr>
          <w:spacing w:val="-9"/>
        </w:rPr>
        <w:t xml:space="preserve"> </w:t>
      </w:r>
      <w:r>
        <w:t>encontram-se</w:t>
      </w:r>
      <w:r>
        <w:rPr>
          <w:spacing w:val="-9"/>
        </w:rPr>
        <w:t xml:space="preserve"> </w:t>
      </w:r>
      <w:r>
        <w:t>plenamente</w:t>
      </w:r>
      <w:r>
        <w:rPr>
          <w:spacing w:val="-12"/>
        </w:rPr>
        <w:t xml:space="preserve"> </w:t>
      </w:r>
      <w:r>
        <w:t>cobertas</w:t>
      </w:r>
      <w:r>
        <w:rPr>
          <w:spacing w:val="-8"/>
        </w:rPr>
        <w:t xml:space="preserve"> </w:t>
      </w:r>
      <w:r>
        <w:t>pelo</w:t>
      </w:r>
      <w:r>
        <w:rPr>
          <w:spacing w:val="-9"/>
        </w:rPr>
        <w:t xml:space="preserve"> </w:t>
      </w:r>
      <w:r>
        <w:t>ativo</w:t>
      </w:r>
      <w:r>
        <w:rPr>
          <w:spacing w:val="-8"/>
        </w:rPr>
        <w:t xml:space="preserve"> </w:t>
      </w:r>
      <w:r>
        <w:t>líquido do plano. O plano apresentou obrigações atuariais de R$ 504.164 e ativo líquido de R$ 598.248, tendo como resultado o excedente atuarial de R$ 94.084, o qual não será reconhecido como ativo pela patrocinadora em função das limitações decorrentes da legislação em vigor. Como se trata de plano de benefícios patrocinado por diversas empresas, os números aqui registrados se referem unicamente à Telebrás e foram calculados considerando-se a proporção das reservas matemáticas dessa patrocinadora no montante total das provisões matemáticas.</w:t>
      </w:r>
    </w:p>
    <w:p w14:paraId="3C2B2AF9" w14:textId="77777777" w:rsidR="002C6574" w:rsidRDefault="00000000">
      <w:pPr>
        <w:pStyle w:val="Corpodetexto"/>
        <w:spacing w:before="125"/>
        <w:ind w:left="143" w:right="702"/>
        <w:jc w:val="both"/>
      </w:pPr>
      <w:r>
        <w:t>A propósito do resultado superavitário, importa consignar que o reconhecimento de ativo por parte de patrocinadora TELEBRÁS, dentro do que preconiza o Pronunciamento Técnico CPC 33(R1), somente pode ser realizado quando existem fortes evidências de que mencionado resultado pode ser transformado em benefício econômico para a mencionada patrocinadora. Por outro lado, a distribuição de superávit atuarial de planos de benefícios segue regra própria da legislação de previdência complementar, disciplinada pela Resolução CNPC nº 30/2018, vigente da data da avaliação atuarial.</w:t>
      </w:r>
    </w:p>
    <w:p w14:paraId="5F1C7224" w14:textId="77777777" w:rsidR="002C6574" w:rsidRDefault="00000000">
      <w:pPr>
        <w:numPr>
          <w:ilvl w:val="3"/>
          <w:numId w:val="27"/>
        </w:numPr>
        <w:tabs>
          <w:tab w:val="left" w:pos="1271"/>
        </w:tabs>
        <w:spacing w:before="140"/>
        <w:ind w:left="1271" w:hanging="1128"/>
        <w:rPr>
          <w:rFonts w:ascii="Arial" w:hAnsi="Arial"/>
          <w:b/>
        </w:rPr>
      </w:pPr>
      <w:r>
        <w:rPr>
          <w:rFonts w:ascii="Arial" w:hAnsi="Arial"/>
          <w:b/>
        </w:rPr>
        <w:t>Plano</w:t>
      </w:r>
      <w:r>
        <w:rPr>
          <w:rFonts w:ascii="Arial" w:hAnsi="Arial"/>
          <w:b/>
          <w:spacing w:val="-2"/>
        </w:rPr>
        <w:t xml:space="preserve"> </w:t>
      </w:r>
      <w:r>
        <w:rPr>
          <w:rFonts w:ascii="Arial" w:hAnsi="Arial"/>
          <w:b/>
        </w:rPr>
        <w:t>de</w:t>
      </w:r>
      <w:r>
        <w:rPr>
          <w:rFonts w:ascii="Arial" w:hAnsi="Arial"/>
          <w:b/>
          <w:spacing w:val="-2"/>
        </w:rPr>
        <w:t xml:space="preserve"> </w:t>
      </w:r>
      <w:r>
        <w:rPr>
          <w:rFonts w:ascii="Arial" w:hAnsi="Arial"/>
          <w:b/>
        </w:rPr>
        <w:t>Benefício</w:t>
      </w:r>
      <w:r>
        <w:rPr>
          <w:rFonts w:ascii="Arial" w:hAnsi="Arial"/>
          <w:b/>
          <w:spacing w:val="-2"/>
        </w:rPr>
        <w:t xml:space="preserve"> </w:t>
      </w:r>
      <w:r>
        <w:rPr>
          <w:rFonts w:ascii="Arial" w:hAnsi="Arial"/>
          <w:b/>
        </w:rPr>
        <w:t>PBS</w:t>
      </w:r>
      <w:r>
        <w:rPr>
          <w:rFonts w:ascii="Arial" w:hAnsi="Arial"/>
          <w:b/>
          <w:spacing w:val="-4"/>
        </w:rPr>
        <w:t xml:space="preserve"> </w:t>
      </w:r>
      <w:r>
        <w:rPr>
          <w:rFonts w:ascii="Arial" w:hAnsi="Arial"/>
          <w:b/>
        </w:rPr>
        <w:t>-</w:t>
      </w:r>
      <w:r>
        <w:rPr>
          <w:rFonts w:ascii="Arial" w:hAnsi="Arial"/>
          <w:b/>
          <w:spacing w:val="-1"/>
        </w:rPr>
        <w:t xml:space="preserve"> </w:t>
      </w:r>
      <w:r>
        <w:rPr>
          <w:rFonts w:ascii="Arial" w:hAnsi="Arial"/>
          <w:b/>
          <w:spacing w:val="-2"/>
        </w:rPr>
        <w:t>Telebras</w:t>
      </w:r>
    </w:p>
    <w:p w14:paraId="6153A731" w14:textId="77777777" w:rsidR="002C6574" w:rsidRDefault="00000000">
      <w:pPr>
        <w:pStyle w:val="Corpodetexto"/>
        <w:spacing w:before="126"/>
        <w:ind w:left="143" w:right="703"/>
        <w:jc w:val="both"/>
      </w:pPr>
      <w:r>
        <w:t>As</w:t>
      </w:r>
      <w:r>
        <w:rPr>
          <w:spacing w:val="-8"/>
        </w:rPr>
        <w:t xml:space="preserve"> </w:t>
      </w:r>
      <w:r>
        <w:t>obrigações</w:t>
      </w:r>
      <w:r>
        <w:rPr>
          <w:spacing w:val="-8"/>
        </w:rPr>
        <w:t xml:space="preserve"> </w:t>
      </w:r>
      <w:r>
        <w:t>atuariais</w:t>
      </w:r>
      <w:r>
        <w:rPr>
          <w:spacing w:val="-10"/>
        </w:rPr>
        <w:t xml:space="preserve"> </w:t>
      </w:r>
      <w:r>
        <w:t>em</w:t>
      </w:r>
      <w:r>
        <w:rPr>
          <w:spacing w:val="-8"/>
        </w:rPr>
        <w:t xml:space="preserve"> </w:t>
      </w:r>
      <w:r>
        <w:t>relação</w:t>
      </w:r>
      <w:r>
        <w:rPr>
          <w:spacing w:val="-9"/>
        </w:rPr>
        <w:t xml:space="preserve"> </w:t>
      </w:r>
      <w:r>
        <w:t>a</w:t>
      </w:r>
      <w:r>
        <w:rPr>
          <w:spacing w:val="-9"/>
        </w:rPr>
        <w:t xml:space="preserve"> </w:t>
      </w:r>
      <w:r>
        <w:t>este</w:t>
      </w:r>
      <w:r>
        <w:rPr>
          <w:spacing w:val="-9"/>
        </w:rPr>
        <w:t xml:space="preserve"> </w:t>
      </w:r>
      <w:r>
        <w:t>plano</w:t>
      </w:r>
      <w:r>
        <w:rPr>
          <w:spacing w:val="-9"/>
        </w:rPr>
        <w:t xml:space="preserve"> </w:t>
      </w:r>
      <w:r>
        <w:t>encontram-se</w:t>
      </w:r>
      <w:r>
        <w:rPr>
          <w:spacing w:val="-9"/>
        </w:rPr>
        <w:t xml:space="preserve"> </w:t>
      </w:r>
      <w:r>
        <w:t>plenamente</w:t>
      </w:r>
      <w:r>
        <w:rPr>
          <w:spacing w:val="-12"/>
        </w:rPr>
        <w:t xml:space="preserve"> </w:t>
      </w:r>
      <w:r>
        <w:t>cobertas</w:t>
      </w:r>
      <w:r>
        <w:rPr>
          <w:spacing w:val="-8"/>
        </w:rPr>
        <w:t xml:space="preserve"> </w:t>
      </w:r>
      <w:r>
        <w:t>pelo</w:t>
      </w:r>
      <w:r>
        <w:rPr>
          <w:spacing w:val="-9"/>
        </w:rPr>
        <w:t xml:space="preserve"> </w:t>
      </w:r>
      <w:r>
        <w:t>ativo</w:t>
      </w:r>
      <w:r>
        <w:rPr>
          <w:spacing w:val="-8"/>
        </w:rPr>
        <w:t xml:space="preserve"> </w:t>
      </w:r>
      <w:r>
        <w:t>líquido do plano. O plano apresentou obrigações atuariais de R$ 195.150 e ativo líquido de R$ 264.365, tendo como resultado o excedente atuarial de R$ 69.215, o qual não será reconhecido como ativo pela patrocinadora em função das limitações decorrentes da legislação em vigor.</w:t>
      </w:r>
    </w:p>
    <w:p w14:paraId="6141F404" w14:textId="77777777" w:rsidR="002C6574" w:rsidRDefault="00000000">
      <w:pPr>
        <w:pStyle w:val="Corpodetexto"/>
        <w:spacing w:before="116" w:line="237" w:lineRule="auto"/>
        <w:ind w:left="143" w:right="702"/>
        <w:jc w:val="both"/>
      </w:pPr>
      <w:r>
        <w:t>A propósito do resultado superavitário, importa consignar que o reconhecimento de ativo por parte de patrocinadora TELEBRÁS, dentro do que preconiza o Pronunciamento Técnico CPC 33(R1), soment6e pode ser realizado quando existem fortes evidências de que mencionado resultado pode ser transformado em benefício econômico para a mencionada patrocinadora. Por outro lado, a distribuição de superávit atuarial de planos de benefícios segue regra própria da legislação de previdência complementar, disciplinada pela Resolução CNPC nº 30/2018, vigente da data da avaliação atuarial.</w:t>
      </w:r>
    </w:p>
    <w:p w14:paraId="3A3B28E7" w14:textId="77777777" w:rsidR="002C6574" w:rsidRDefault="002C6574">
      <w:pPr>
        <w:pStyle w:val="Corpodetexto"/>
        <w:spacing w:line="237" w:lineRule="auto"/>
        <w:jc w:val="both"/>
        <w:sectPr w:rsidR="002C6574">
          <w:pgSz w:w="11910" w:h="16840"/>
          <w:pgMar w:top="1820" w:right="141" w:bottom="1320" w:left="1133" w:header="1084" w:footer="1100" w:gutter="0"/>
          <w:cols w:space="720"/>
        </w:sectPr>
      </w:pPr>
    </w:p>
    <w:p w14:paraId="0A9CEB88" w14:textId="77777777" w:rsidR="002C6574" w:rsidRDefault="00000000">
      <w:pPr>
        <w:numPr>
          <w:ilvl w:val="3"/>
          <w:numId w:val="27"/>
        </w:numPr>
        <w:tabs>
          <w:tab w:val="left" w:pos="1271"/>
        </w:tabs>
        <w:spacing w:before="229"/>
        <w:ind w:left="1271" w:hanging="1128"/>
        <w:rPr>
          <w:rFonts w:ascii="Arial" w:hAnsi="Arial"/>
          <w:b/>
        </w:rPr>
      </w:pPr>
      <w:r>
        <w:rPr>
          <w:rFonts w:ascii="Arial" w:hAnsi="Arial"/>
          <w:b/>
        </w:rPr>
        <w:lastRenderedPageBreak/>
        <w:t>Plano</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rPr>
        <w:t>Benefício</w:t>
      </w:r>
      <w:r>
        <w:rPr>
          <w:rFonts w:ascii="Arial" w:hAnsi="Arial"/>
          <w:b/>
          <w:spacing w:val="-4"/>
        </w:rPr>
        <w:t xml:space="preserve"> </w:t>
      </w:r>
      <w:r>
        <w:rPr>
          <w:rFonts w:ascii="Arial" w:hAnsi="Arial"/>
          <w:b/>
        </w:rPr>
        <w:t>Telebras</w:t>
      </w:r>
      <w:r>
        <w:rPr>
          <w:rFonts w:ascii="Arial" w:hAnsi="Arial"/>
          <w:b/>
          <w:spacing w:val="-1"/>
        </w:rPr>
        <w:t xml:space="preserve"> </w:t>
      </w:r>
      <w:r>
        <w:rPr>
          <w:rFonts w:ascii="Arial" w:hAnsi="Arial"/>
          <w:b/>
          <w:spacing w:val="-4"/>
        </w:rPr>
        <w:t>PREV</w:t>
      </w:r>
    </w:p>
    <w:p w14:paraId="41046A11" w14:textId="77777777" w:rsidR="002C6574" w:rsidRDefault="00000000">
      <w:pPr>
        <w:pStyle w:val="Corpodetexto"/>
        <w:spacing w:before="126"/>
        <w:ind w:left="143" w:right="705"/>
        <w:jc w:val="both"/>
      </w:pPr>
      <w:r>
        <w:t>As</w:t>
      </w:r>
      <w:r>
        <w:rPr>
          <w:spacing w:val="-8"/>
        </w:rPr>
        <w:t xml:space="preserve"> </w:t>
      </w:r>
      <w:r>
        <w:t>obrigações</w:t>
      </w:r>
      <w:r>
        <w:rPr>
          <w:spacing w:val="-8"/>
        </w:rPr>
        <w:t xml:space="preserve"> </w:t>
      </w:r>
      <w:r>
        <w:t>atuariais</w:t>
      </w:r>
      <w:r>
        <w:rPr>
          <w:spacing w:val="-10"/>
        </w:rPr>
        <w:t xml:space="preserve"> </w:t>
      </w:r>
      <w:r>
        <w:t>em</w:t>
      </w:r>
      <w:r>
        <w:rPr>
          <w:spacing w:val="-8"/>
        </w:rPr>
        <w:t xml:space="preserve"> </w:t>
      </w:r>
      <w:r>
        <w:t>relação</w:t>
      </w:r>
      <w:r>
        <w:rPr>
          <w:spacing w:val="-9"/>
        </w:rPr>
        <w:t xml:space="preserve"> </w:t>
      </w:r>
      <w:r>
        <w:t>a</w:t>
      </w:r>
      <w:r>
        <w:rPr>
          <w:spacing w:val="-9"/>
        </w:rPr>
        <w:t xml:space="preserve"> </w:t>
      </w:r>
      <w:r>
        <w:t>este</w:t>
      </w:r>
      <w:r>
        <w:rPr>
          <w:spacing w:val="-9"/>
        </w:rPr>
        <w:t xml:space="preserve"> </w:t>
      </w:r>
      <w:r>
        <w:t>plano</w:t>
      </w:r>
      <w:r>
        <w:rPr>
          <w:spacing w:val="-9"/>
        </w:rPr>
        <w:t xml:space="preserve"> </w:t>
      </w:r>
      <w:r>
        <w:t>encontram-se</w:t>
      </w:r>
      <w:r>
        <w:rPr>
          <w:spacing w:val="-9"/>
        </w:rPr>
        <w:t xml:space="preserve"> </w:t>
      </w:r>
      <w:r>
        <w:t>plenamente</w:t>
      </w:r>
      <w:r>
        <w:rPr>
          <w:spacing w:val="-12"/>
        </w:rPr>
        <w:t xml:space="preserve"> </w:t>
      </w:r>
      <w:r>
        <w:t>cobertas</w:t>
      </w:r>
      <w:r>
        <w:rPr>
          <w:spacing w:val="-8"/>
        </w:rPr>
        <w:t xml:space="preserve"> </w:t>
      </w:r>
      <w:r>
        <w:t>pelo</w:t>
      </w:r>
      <w:r>
        <w:rPr>
          <w:spacing w:val="-9"/>
        </w:rPr>
        <w:t xml:space="preserve"> </w:t>
      </w:r>
      <w:r>
        <w:t>ativo</w:t>
      </w:r>
      <w:r>
        <w:rPr>
          <w:spacing w:val="-8"/>
        </w:rPr>
        <w:t xml:space="preserve"> </w:t>
      </w:r>
      <w:r>
        <w:t>líquido do plano. O plano apresentou obrigações atuariais de R$ 370.759 e ativo líquido de R$ 491.010, tendo como resultado o excedente atuarial de R$ 120.251, o qual não será reconhecido como ativo pela patrocinadora em função das limitações decorrentes da legislação em vigor.</w:t>
      </w:r>
    </w:p>
    <w:p w14:paraId="6165E7B7" w14:textId="77777777" w:rsidR="002C6574" w:rsidRDefault="00000000">
      <w:pPr>
        <w:pStyle w:val="Corpodetexto"/>
        <w:spacing w:before="116" w:line="237" w:lineRule="auto"/>
        <w:ind w:left="143" w:right="702"/>
        <w:jc w:val="both"/>
      </w:pPr>
      <w:r>
        <w:t>A propósito do resultado superavitário, importa consignar que o reconhecimento de ativo por parte de patrocinadora TELEBRÁS, dentro do que preconiza o Pronunciamento Técnico CPC 33(R1), soment6e pode ser realizado quando existem fortes evidências de que mencionado resultado pode ser transformado em benefício econômico para a mencionada patrocinadora. Por outro lado, a distribuição de superávit atuarial de planos de benefícios segue regra própria da legislação de previdência complementar, disciplinada pela Resolução CNPC nº 30/2018, vigente da data da avaliação atuarial.</w:t>
      </w:r>
    </w:p>
    <w:p w14:paraId="1D7733A5" w14:textId="77777777" w:rsidR="002C6574" w:rsidRDefault="00000000">
      <w:pPr>
        <w:numPr>
          <w:ilvl w:val="1"/>
          <w:numId w:val="27"/>
        </w:numPr>
        <w:tabs>
          <w:tab w:val="left" w:pos="995"/>
        </w:tabs>
        <w:spacing w:before="156"/>
        <w:rPr>
          <w:rFonts w:ascii="Arial" w:hAnsi="Arial"/>
          <w:b/>
        </w:rPr>
      </w:pPr>
      <w:r>
        <w:rPr>
          <w:rFonts w:ascii="Arial" w:hAnsi="Arial"/>
          <w:b/>
        </w:rPr>
        <w:t>Pano</w:t>
      </w:r>
      <w:r>
        <w:rPr>
          <w:rFonts w:ascii="Arial" w:hAnsi="Arial"/>
          <w:b/>
          <w:spacing w:val="-3"/>
        </w:rPr>
        <w:t xml:space="preserve"> </w:t>
      </w:r>
      <w:r>
        <w:rPr>
          <w:rFonts w:ascii="Arial" w:hAnsi="Arial"/>
          <w:b/>
        </w:rPr>
        <w:t>de</w:t>
      </w:r>
      <w:r>
        <w:rPr>
          <w:rFonts w:ascii="Arial" w:hAnsi="Arial"/>
          <w:b/>
          <w:spacing w:val="-4"/>
        </w:rPr>
        <w:t xml:space="preserve"> </w:t>
      </w:r>
      <w:r>
        <w:rPr>
          <w:rFonts w:ascii="Arial" w:hAnsi="Arial"/>
          <w:b/>
        </w:rPr>
        <w:t>Assistência</w:t>
      </w:r>
      <w:r>
        <w:rPr>
          <w:rFonts w:ascii="Arial" w:hAnsi="Arial"/>
          <w:b/>
          <w:spacing w:val="-8"/>
        </w:rPr>
        <w:t xml:space="preserve"> </w:t>
      </w:r>
      <w:r>
        <w:rPr>
          <w:rFonts w:ascii="Arial" w:hAnsi="Arial"/>
          <w:b/>
        </w:rPr>
        <w:t>Médica</w:t>
      </w:r>
      <w:r>
        <w:rPr>
          <w:rFonts w:ascii="Arial" w:hAnsi="Arial"/>
          <w:b/>
          <w:spacing w:val="-2"/>
        </w:rPr>
        <w:t xml:space="preserve"> </w:t>
      </w:r>
      <w:r>
        <w:rPr>
          <w:rFonts w:ascii="Arial" w:hAnsi="Arial"/>
          <w:b/>
        </w:rPr>
        <w:t>ao</w:t>
      </w:r>
      <w:r>
        <w:rPr>
          <w:rFonts w:ascii="Arial" w:hAnsi="Arial"/>
          <w:b/>
          <w:spacing w:val="-5"/>
        </w:rPr>
        <w:t xml:space="preserve"> </w:t>
      </w:r>
      <w:r>
        <w:rPr>
          <w:rFonts w:ascii="Arial" w:hAnsi="Arial"/>
          <w:b/>
        </w:rPr>
        <w:t>Aposentado</w:t>
      </w:r>
      <w:r>
        <w:rPr>
          <w:rFonts w:ascii="Arial" w:hAnsi="Arial"/>
          <w:b/>
          <w:spacing w:val="-5"/>
        </w:rPr>
        <w:t xml:space="preserve"> </w:t>
      </w:r>
      <w:r>
        <w:rPr>
          <w:rFonts w:ascii="Arial" w:hAnsi="Arial"/>
          <w:b/>
          <w:spacing w:val="-2"/>
        </w:rPr>
        <w:t>(PAMA)</w:t>
      </w:r>
    </w:p>
    <w:p w14:paraId="01050475" w14:textId="77777777" w:rsidR="002C6574" w:rsidRDefault="00000000">
      <w:pPr>
        <w:pStyle w:val="Corpodetexto"/>
        <w:spacing w:before="131" w:line="237" w:lineRule="auto"/>
        <w:ind w:left="143" w:right="703"/>
        <w:jc w:val="both"/>
      </w:pPr>
      <w:r>
        <w:t>A</w:t>
      </w:r>
      <w:r>
        <w:rPr>
          <w:spacing w:val="-5"/>
        </w:rPr>
        <w:t xml:space="preserve"> </w:t>
      </w:r>
      <w:r>
        <w:t>Telebrás</w:t>
      </w:r>
      <w:r>
        <w:rPr>
          <w:spacing w:val="-4"/>
        </w:rPr>
        <w:t xml:space="preserve"> </w:t>
      </w:r>
      <w:r>
        <w:t>é</w:t>
      </w:r>
      <w:r>
        <w:rPr>
          <w:spacing w:val="-5"/>
        </w:rPr>
        <w:t xml:space="preserve"> </w:t>
      </w:r>
      <w:r>
        <w:t>patrocinadora</w:t>
      </w:r>
      <w:r>
        <w:rPr>
          <w:spacing w:val="-4"/>
        </w:rPr>
        <w:t xml:space="preserve"> </w:t>
      </w:r>
      <w:r>
        <w:t>de</w:t>
      </w:r>
      <w:r>
        <w:rPr>
          <w:spacing w:val="-5"/>
        </w:rPr>
        <w:t xml:space="preserve"> </w:t>
      </w:r>
      <w:r>
        <w:t>um</w:t>
      </w:r>
      <w:r>
        <w:rPr>
          <w:spacing w:val="-6"/>
        </w:rPr>
        <w:t xml:space="preserve"> </w:t>
      </w:r>
      <w:r>
        <w:t>plano</w:t>
      </w:r>
      <w:r>
        <w:rPr>
          <w:spacing w:val="-7"/>
        </w:rPr>
        <w:t xml:space="preserve"> </w:t>
      </w:r>
      <w:r>
        <w:t>médico-hospitalar</w:t>
      </w:r>
      <w:r>
        <w:rPr>
          <w:spacing w:val="-2"/>
        </w:rPr>
        <w:t xml:space="preserve"> </w:t>
      </w:r>
      <w:r>
        <w:t>denominado</w:t>
      </w:r>
      <w:r>
        <w:rPr>
          <w:spacing w:val="-4"/>
        </w:rPr>
        <w:t xml:space="preserve"> </w:t>
      </w:r>
      <w:r>
        <w:t>Plano</w:t>
      </w:r>
      <w:r>
        <w:rPr>
          <w:spacing w:val="-4"/>
        </w:rPr>
        <w:t xml:space="preserve"> </w:t>
      </w:r>
      <w:r>
        <w:t>de</w:t>
      </w:r>
      <w:r>
        <w:rPr>
          <w:spacing w:val="-5"/>
        </w:rPr>
        <w:t xml:space="preserve"> </w:t>
      </w:r>
      <w:r>
        <w:t>Assistência</w:t>
      </w:r>
      <w:r>
        <w:rPr>
          <w:spacing w:val="-7"/>
        </w:rPr>
        <w:t xml:space="preserve"> </w:t>
      </w:r>
      <w:r>
        <w:t>Médica ao Aposentado</w:t>
      </w:r>
      <w:r>
        <w:rPr>
          <w:spacing w:val="-1"/>
        </w:rPr>
        <w:t xml:space="preserve"> </w:t>
      </w:r>
      <w:r>
        <w:t>(PAMA), plano de benefícios de caráter assistencial, cujo</w:t>
      </w:r>
      <w:r>
        <w:rPr>
          <w:spacing w:val="-3"/>
        </w:rPr>
        <w:t xml:space="preserve"> </w:t>
      </w:r>
      <w:r>
        <w:t>objetivo é proporcionar aos participantes</w:t>
      </w:r>
      <w:r>
        <w:rPr>
          <w:spacing w:val="-12"/>
        </w:rPr>
        <w:t xml:space="preserve"> </w:t>
      </w:r>
      <w:r>
        <w:t>atendimento</w:t>
      </w:r>
      <w:r>
        <w:rPr>
          <w:spacing w:val="-13"/>
        </w:rPr>
        <w:t xml:space="preserve"> </w:t>
      </w:r>
      <w:r>
        <w:t>médico</w:t>
      </w:r>
      <w:r>
        <w:rPr>
          <w:spacing w:val="-13"/>
        </w:rPr>
        <w:t xml:space="preserve"> </w:t>
      </w:r>
      <w:r>
        <w:t>e</w:t>
      </w:r>
      <w:r>
        <w:rPr>
          <w:spacing w:val="-13"/>
        </w:rPr>
        <w:t xml:space="preserve"> </w:t>
      </w:r>
      <w:r>
        <w:t>hospitalar,</w:t>
      </w:r>
      <w:r>
        <w:rPr>
          <w:spacing w:val="-11"/>
        </w:rPr>
        <w:t xml:space="preserve"> </w:t>
      </w:r>
      <w:r>
        <w:t>com</w:t>
      </w:r>
      <w:r>
        <w:rPr>
          <w:spacing w:val="-12"/>
        </w:rPr>
        <w:t xml:space="preserve"> </w:t>
      </w:r>
      <w:r>
        <w:t>custos</w:t>
      </w:r>
      <w:r>
        <w:rPr>
          <w:spacing w:val="-12"/>
        </w:rPr>
        <w:t xml:space="preserve"> </w:t>
      </w:r>
      <w:r>
        <w:t>compartilhados</w:t>
      </w:r>
      <w:r>
        <w:rPr>
          <w:spacing w:val="-10"/>
        </w:rPr>
        <w:t xml:space="preserve"> </w:t>
      </w:r>
      <w:r>
        <w:t>e</w:t>
      </w:r>
      <w:r>
        <w:rPr>
          <w:spacing w:val="-11"/>
        </w:rPr>
        <w:t xml:space="preserve"> </w:t>
      </w:r>
      <w:r>
        <w:t>de</w:t>
      </w:r>
      <w:r>
        <w:rPr>
          <w:spacing w:val="-15"/>
        </w:rPr>
        <w:t xml:space="preserve"> </w:t>
      </w:r>
      <w:r>
        <w:t>modo</w:t>
      </w:r>
      <w:r>
        <w:rPr>
          <w:spacing w:val="-11"/>
        </w:rPr>
        <w:t xml:space="preserve"> </w:t>
      </w:r>
      <w:r>
        <w:t>semelhante</w:t>
      </w:r>
      <w:r>
        <w:rPr>
          <w:spacing w:val="-13"/>
        </w:rPr>
        <w:t xml:space="preserve"> </w:t>
      </w:r>
      <w:r>
        <w:t>ao proporcionado aos empregados das patrocinadoras, quando em atividade, conforme reza os artigos 1º e 9º do regulamento.</w:t>
      </w:r>
    </w:p>
    <w:p w14:paraId="3888A2DE" w14:textId="77777777" w:rsidR="002C6574" w:rsidRDefault="00000000">
      <w:pPr>
        <w:pStyle w:val="Corpodetexto"/>
        <w:spacing w:before="155" w:line="208" w:lineRule="auto"/>
        <w:ind w:left="143" w:right="702"/>
        <w:jc w:val="both"/>
      </w:pPr>
      <w:r>
        <w:rPr>
          <w:w w:val="105"/>
        </w:rPr>
        <w:t>O</w:t>
      </w:r>
      <w:r>
        <w:rPr>
          <w:spacing w:val="-11"/>
          <w:w w:val="105"/>
        </w:rPr>
        <w:t xml:space="preserve"> </w:t>
      </w:r>
      <w:r>
        <w:rPr>
          <w:w w:val="105"/>
        </w:rPr>
        <w:t>plano</w:t>
      </w:r>
      <w:r>
        <w:rPr>
          <w:spacing w:val="-11"/>
          <w:w w:val="105"/>
        </w:rPr>
        <w:t xml:space="preserve"> </w:t>
      </w:r>
      <w:r>
        <w:rPr>
          <w:w w:val="105"/>
        </w:rPr>
        <w:t>PAMA</w:t>
      </w:r>
      <w:r>
        <w:rPr>
          <w:spacing w:val="-13"/>
          <w:w w:val="105"/>
        </w:rPr>
        <w:t xml:space="preserve"> </w:t>
      </w:r>
      <w:r>
        <w:rPr>
          <w:w w:val="105"/>
        </w:rPr>
        <w:t>contava,</w:t>
      </w:r>
      <w:r>
        <w:rPr>
          <w:spacing w:val="-12"/>
          <w:w w:val="105"/>
        </w:rPr>
        <w:t xml:space="preserve"> </w:t>
      </w:r>
      <w:r>
        <w:rPr>
          <w:w w:val="105"/>
        </w:rPr>
        <w:t>em</w:t>
      </w:r>
      <w:r>
        <w:rPr>
          <w:spacing w:val="-11"/>
          <w:w w:val="105"/>
        </w:rPr>
        <w:t xml:space="preserve"> </w:t>
      </w:r>
      <w:r>
        <w:rPr>
          <w:w w:val="105"/>
        </w:rPr>
        <w:t>31</w:t>
      </w:r>
      <w:r>
        <w:rPr>
          <w:spacing w:val="-11"/>
          <w:w w:val="105"/>
        </w:rPr>
        <w:t xml:space="preserve"> </w:t>
      </w:r>
      <w:r>
        <w:rPr>
          <w:w w:val="105"/>
        </w:rPr>
        <w:t>de</w:t>
      </w:r>
      <w:r>
        <w:rPr>
          <w:spacing w:val="-13"/>
          <w:w w:val="105"/>
        </w:rPr>
        <w:t xml:space="preserve"> </w:t>
      </w:r>
      <w:r>
        <w:rPr>
          <w:w w:val="105"/>
        </w:rPr>
        <w:t>dezembro</w:t>
      </w:r>
      <w:r>
        <w:rPr>
          <w:spacing w:val="-11"/>
          <w:w w:val="105"/>
        </w:rPr>
        <w:t xml:space="preserve"> </w:t>
      </w:r>
      <w:r>
        <w:rPr>
          <w:w w:val="105"/>
        </w:rPr>
        <w:t>de</w:t>
      </w:r>
      <w:r>
        <w:rPr>
          <w:spacing w:val="-14"/>
          <w:w w:val="105"/>
        </w:rPr>
        <w:t xml:space="preserve"> </w:t>
      </w:r>
      <w:r>
        <w:rPr>
          <w:w w:val="105"/>
        </w:rPr>
        <w:t>2025,</w:t>
      </w:r>
      <w:r>
        <w:rPr>
          <w:spacing w:val="-11"/>
          <w:w w:val="105"/>
        </w:rPr>
        <w:t xml:space="preserve"> </w:t>
      </w:r>
      <w:r>
        <w:rPr>
          <w:w w:val="105"/>
        </w:rPr>
        <w:t>com</w:t>
      </w:r>
      <w:r>
        <w:rPr>
          <w:spacing w:val="-12"/>
          <w:w w:val="105"/>
        </w:rPr>
        <w:t xml:space="preserve"> </w:t>
      </w:r>
      <w:r>
        <w:rPr>
          <w:w w:val="105"/>
        </w:rPr>
        <w:t>23.077</w:t>
      </w:r>
      <w:r>
        <w:rPr>
          <w:spacing w:val="-11"/>
          <w:w w:val="105"/>
        </w:rPr>
        <w:t xml:space="preserve"> </w:t>
      </w:r>
      <w:r>
        <w:rPr>
          <w:w w:val="105"/>
        </w:rPr>
        <w:t>beneficiários</w:t>
      </w:r>
      <w:r>
        <w:rPr>
          <w:spacing w:val="-12"/>
          <w:w w:val="105"/>
        </w:rPr>
        <w:t xml:space="preserve"> </w:t>
      </w:r>
      <w:r>
        <w:rPr>
          <w:w w:val="105"/>
        </w:rPr>
        <w:t>(15.772</w:t>
      </w:r>
      <w:r>
        <w:rPr>
          <w:spacing w:val="-13"/>
          <w:w w:val="105"/>
        </w:rPr>
        <w:t xml:space="preserve"> </w:t>
      </w:r>
      <w:r>
        <w:rPr>
          <w:w w:val="105"/>
        </w:rPr>
        <w:t>titulares</w:t>
      </w:r>
      <w:r>
        <w:rPr>
          <w:spacing w:val="-14"/>
          <w:w w:val="105"/>
        </w:rPr>
        <w:t xml:space="preserve"> </w:t>
      </w:r>
      <w:r>
        <w:rPr>
          <w:w w:val="105"/>
        </w:rPr>
        <w:t xml:space="preserve">e 7.305 dependentes), sendo que apenas 5 destes ainda detinham vínculo com a Telebras. Desse </w:t>
      </w:r>
      <w:r>
        <w:t>modo,</w:t>
      </w:r>
      <w:r>
        <w:rPr>
          <w:spacing w:val="-4"/>
        </w:rPr>
        <w:t xml:space="preserve"> </w:t>
      </w:r>
      <w:r>
        <w:t>para</w:t>
      </w:r>
      <w:r>
        <w:rPr>
          <w:spacing w:val="-8"/>
        </w:rPr>
        <w:t xml:space="preserve"> </w:t>
      </w:r>
      <w:r>
        <w:t>o</w:t>
      </w:r>
      <w:r>
        <w:rPr>
          <w:spacing w:val="-8"/>
        </w:rPr>
        <w:t xml:space="preserve"> </w:t>
      </w:r>
      <w:r>
        <w:t>exercício</w:t>
      </w:r>
      <w:r>
        <w:rPr>
          <w:spacing w:val="-4"/>
        </w:rPr>
        <w:t xml:space="preserve"> </w:t>
      </w:r>
      <w:r>
        <w:t>de</w:t>
      </w:r>
      <w:r>
        <w:rPr>
          <w:spacing w:val="-5"/>
        </w:rPr>
        <w:t xml:space="preserve"> </w:t>
      </w:r>
      <w:r>
        <w:t>2025,</w:t>
      </w:r>
      <w:r>
        <w:rPr>
          <w:spacing w:val="-5"/>
        </w:rPr>
        <w:t xml:space="preserve"> </w:t>
      </w:r>
      <w:r>
        <w:t>a</w:t>
      </w:r>
      <w:r>
        <w:rPr>
          <w:spacing w:val="-8"/>
        </w:rPr>
        <w:t xml:space="preserve"> </w:t>
      </w:r>
      <w:r>
        <w:t>estimativa</w:t>
      </w:r>
      <w:r>
        <w:rPr>
          <w:spacing w:val="-4"/>
        </w:rPr>
        <w:t xml:space="preserve"> </w:t>
      </w:r>
      <w:r>
        <w:t>de</w:t>
      </w:r>
      <w:r>
        <w:rPr>
          <w:spacing w:val="-5"/>
        </w:rPr>
        <w:t xml:space="preserve"> </w:t>
      </w:r>
      <w:r>
        <w:t>gasto</w:t>
      </w:r>
      <w:r>
        <w:rPr>
          <w:spacing w:val="-3"/>
        </w:rPr>
        <w:t xml:space="preserve"> </w:t>
      </w:r>
      <w:r>
        <w:t>da</w:t>
      </w:r>
      <w:r>
        <w:rPr>
          <w:spacing w:val="-8"/>
        </w:rPr>
        <w:t xml:space="preserve"> </w:t>
      </w:r>
      <w:r>
        <w:t>Telebras</w:t>
      </w:r>
      <w:r>
        <w:rPr>
          <w:spacing w:val="-6"/>
        </w:rPr>
        <w:t xml:space="preserve"> </w:t>
      </w:r>
      <w:r>
        <w:t>com</w:t>
      </w:r>
      <w:r>
        <w:rPr>
          <w:spacing w:val="-5"/>
        </w:rPr>
        <w:t xml:space="preserve"> </w:t>
      </w:r>
      <w:r>
        <w:t>esse</w:t>
      </w:r>
      <w:r>
        <w:rPr>
          <w:spacing w:val="-4"/>
        </w:rPr>
        <w:t xml:space="preserve"> </w:t>
      </w:r>
      <w:r>
        <w:t>plano</w:t>
      </w:r>
      <w:r>
        <w:rPr>
          <w:spacing w:val="-4"/>
        </w:rPr>
        <w:t xml:space="preserve"> </w:t>
      </w:r>
      <w:r>
        <w:t>é</w:t>
      </w:r>
      <w:r>
        <w:rPr>
          <w:spacing w:val="-8"/>
        </w:rPr>
        <w:t xml:space="preserve"> </w:t>
      </w:r>
      <w:r>
        <w:t>de</w:t>
      </w:r>
      <w:r>
        <w:rPr>
          <w:spacing w:val="-8"/>
        </w:rPr>
        <w:t xml:space="preserve"> </w:t>
      </w:r>
      <w:r>
        <w:rPr>
          <w:spacing w:val="-2"/>
        </w:rPr>
        <w:t>R$12.400,00.</w:t>
      </w:r>
    </w:p>
    <w:p w14:paraId="6CDCF87C" w14:textId="77777777" w:rsidR="002C6574" w:rsidRDefault="00000000">
      <w:pPr>
        <w:pStyle w:val="Corpodetexto"/>
        <w:spacing w:before="247" w:line="208" w:lineRule="auto"/>
        <w:ind w:left="143" w:right="703"/>
        <w:jc w:val="both"/>
      </w:pPr>
      <w:r>
        <w:t>Em 31 de dezembro de 2025, o plano apresentava superávit, apurado conforme laudo atuarial elaborado</w:t>
      </w:r>
      <w:r>
        <w:rPr>
          <w:spacing w:val="-7"/>
        </w:rPr>
        <w:t xml:space="preserve"> </w:t>
      </w:r>
      <w:r>
        <w:t>por</w:t>
      </w:r>
      <w:r>
        <w:rPr>
          <w:spacing w:val="-7"/>
        </w:rPr>
        <w:t xml:space="preserve"> </w:t>
      </w:r>
      <w:r>
        <w:t>atuário</w:t>
      </w:r>
      <w:r>
        <w:rPr>
          <w:spacing w:val="-8"/>
        </w:rPr>
        <w:t xml:space="preserve"> </w:t>
      </w:r>
      <w:r>
        <w:t>contratado</w:t>
      </w:r>
      <w:r>
        <w:rPr>
          <w:spacing w:val="-7"/>
        </w:rPr>
        <w:t xml:space="preserve"> </w:t>
      </w:r>
      <w:r>
        <w:t>pela</w:t>
      </w:r>
      <w:r>
        <w:rPr>
          <w:spacing w:val="-11"/>
        </w:rPr>
        <w:t xml:space="preserve"> </w:t>
      </w:r>
      <w:r>
        <w:t>Companhia.</w:t>
      </w:r>
      <w:r>
        <w:rPr>
          <w:spacing w:val="-7"/>
        </w:rPr>
        <w:t xml:space="preserve"> </w:t>
      </w:r>
      <w:r>
        <w:t>O</w:t>
      </w:r>
      <w:r>
        <w:rPr>
          <w:spacing w:val="-9"/>
        </w:rPr>
        <w:t xml:space="preserve"> </w:t>
      </w:r>
      <w:r>
        <w:t>valor</w:t>
      </w:r>
      <w:r>
        <w:rPr>
          <w:spacing w:val="-7"/>
        </w:rPr>
        <w:t xml:space="preserve"> </w:t>
      </w:r>
      <w:r>
        <w:t>do</w:t>
      </w:r>
      <w:r>
        <w:rPr>
          <w:spacing w:val="-8"/>
        </w:rPr>
        <w:t xml:space="preserve"> </w:t>
      </w:r>
      <w:r>
        <w:t>superávit</w:t>
      </w:r>
      <w:r>
        <w:rPr>
          <w:spacing w:val="-7"/>
        </w:rPr>
        <w:t xml:space="preserve"> </w:t>
      </w:r>
      <w:r>
        <w:t>está</w:t>
      </w:r>
      <w:r>
        <w:rPr>
          <w:spacing w:val="-8"/>
        </w:rPr>
        <w:t xml:space="preserve"> </w:t>
      </w:r>
      <w:r>
        <w:t>demonstrado</w:t>
      </w:r>
      <w:r>
        <w:rPr>
          <w:spacing w:val="-8"/>
        </w:rPr>
        <w:t xml:space="preserve"> </w:t>
      </w:r>
      <w:r>
        <w:t>no</w:t>
      </w:r>
      <w:r>
        <w:rPr>
          <w:spacing w:val="-9"/>
        </w:rPr>
        <w:t xml:space="preserve"> </w:t>
      </w:r>
      <w:r>
        <w:t>quadro a seguir.</w:t>
      </w:r>
    </w:p>
    <w:p w14:paraId="7435B08B" w14:textId="77777777" w:rsidR="002C6574" w:rsidRDefault="002C6574">
      <w:pPr>
        <w:pStyle w:val="Corpodetexto"/>
        <w:spacing w:before="9"/>
        <w:rPr>
          <w:sz w:val="18"/>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9"/>
        <w:gridCol w:w="1661"/>
        <w:gridCol w:w="1661"/>
      </w:tblGrid>
      <w:tr w:rsidR="002C6574" w14:paraId="76133E46" w14:textId="77777777">
        <w:trPr>
          <w:trHeight w:val="239"/>
        </w:trPr>
        <w:tc>
          <w:tcPr>
            <w:tcW w:w="6449" w:type="dxa"/>
            <w:shd w:val="clear" w:color="auto" w:fill="BFBFBF"/>
          </w:tcPr>
          <w:p w14:paraId="4AC2BC4E" w14:textId="77777777" w:rsidR="002C6574" w:rsidRDefault="00000000">
            <w:pPr>
              <w:pStyle w:val="TableParagraph"/>
              <w:spacing w:before="15" w:line="204" w:lineRule="exact"/>
              <w:ind w:left="69"/>
              <w:jc w:val="left"/>
              <w:rPr>
                <w:rFonts w:ascii="Arial" w:hAnsi="Arial"/>
                <w:b/>
                <w:sz w:val="18"/>
              </w:rPr>
            </w:pPr>
            <w:r>
              <w:rPr>
                <w:rFonts w:ascii="Arial" w:hAnsi="Arial"/>
                <w:b/>
                <w:spacing w:val="-2"/>
                <w:sz w:val="18"/>
              </w:rPr>
              <w:t>Composição:</w:t>
            </w:r>
          </w:p>
        </w:tc>
        <w:tc>
          <w:tcPr>
            <w:tcW w:w="1661" w:type="dxa"/>
          </w:tcPr>
          <w:p w14:paraId="2BBEE743" w14:textId="77777777" w:rsidR="002C6574" w:rsidRDefault="00000000">
            <w:pPr>
              <w:pStyle w:val="TableParagraph"/>
              <w:spacing w:before="15" w:line="204" w:lineRule="exact"/>
              <w:ind w:left="378"/>
              <w:jc w:val="left"/>
              <w:rPr>
                <w:rFonts w:ascii="Arial"/>
                <w:b/>
                <w:sz w:val="18"/>
              </w:rPr>
            </w:pPr>
            <w:r>
              <w:rPr>
                <w:rFonts w:ascii="Arial"/>
                <w:b/>
                <w:spacing w:val="-2"/>
                <w:sz w:val="18"/>
              </w:rPr>
              <w:t>31/12/2025</w:t>
            </w:r>
          </w:p>
        </w:tc>
        <w:tc>
          <w:tcPr>
            <w:tcW w:w="1661" w:type="dxa"/>
          </w:tcPr>
          <w:p w14:paraId="55BAB088" w14:textId="77777777" w:rsidR="002C6574" w:rsidRDefault="00000000">
            <w:pPr>
              <w:pStyle w:val="TableParagraph"/>
              <w:spacing w:before="15" w:line="204" w:lineRule="exact"/>
              <w:ind w:left="379"/>
              <w:jc w:val="left"/>
              <w:rPr>
                <w:rFonts w:ascii="Arial"/>
                <w:b/>
                <w:sz w:val="18"/>
              </w:rPr>
            </w:pPr>
            <w:r>
              <w:rPr>
                <w:rFonts w:ascii="Arial"/>
                <w:b/>
                <w:spacing w:val="-2"/>
                <w:sz w:val="18"/>
              </w:rPr>
              <w:t>31/12/2024</w:t>
            </w:r>
          </w:p>
        </w:tc>
      </w:tr>
      <w:tr w:rsidR="002C6574" w14:paraId="3F56A5DB" w14:textId="77777777">
        <w:trPr>
          <w:trHeight w:val="239"/>
        </w:trPr>
        <w:tc>
          <w:tcPr>
            <w:tcW w:w="6449" w:type="dxa"/>
          </w:tcPr>
          <w:p w14:paraId="5B4900B5" w14:textId="77777777" w:rsidR="002C6574" w:rsidRDefault="00000000">
            <w:pPr>
              <w:pStyle w:val="TableParagraph"/>
              <w:spacing w:line="220" w:lineRule="exact"/>
              <w:ind w:left="69"/>
              <w:jc w:val="left"/>
              <w:rPr>
                <w:sz w:val="18"/>
              </w:rPr>
            </w:pPr>
            <w:r>
              <w:rPr>
                <w:sz w:val="18"/>
              </w:rPr>
              <w:t>Obrigação</w:t>
            </w:r>
            <w:r>
              <w:rPr>
                <w:spacing w:val="3"/>
                <w:sz w:val="18"/>
              </w:rPr>
              <w:t xml:space="preserve"> </w:t>
            </w:r>
            <w:r>
              <w:rPr>
                <w:spacing w:val="-2"/>
                <w:sz w:val="18"/>
              </w:rPr>
              <w:t>atuarial</w:t>
            </w:r>
          </w:p>
        </w:tc>
        <w:tc>
          <w:tcPr>
            <w:tcW w:w="1661" w:type="dxa"/>
          </w:tcPr>
          <w:p w14:paraId="1AAD1492" w14:textId="77777777" w:rsidR="002C6574" w:rsidRDefault="00000000">
            <w:pPr>
              <w:pStyle w:val="TableParagraph"/>
              <w:spacing w:line="220" w:lineRule="exact"/>
              <w:ind w:right="57"/>
              <w:rPr>
                <w:sz w:val="18"/>
              </w:rPr>
            </w:pPr>
            <w:r>
              <w:rPr>
                <w:spacing w:val="-2"/>
                <w:w w:val="110"/>
                <w:sz w:val="18"/>
              </w:rPr>
              <w:t>4.761.681</w:t>
            </w:r>
          </w:p>
        </w:tc>
        <w:tc>
          <w:tcPr>
            <w:tcW w:w="1661" w:type="dxa"/>
          </w:tcPr>
          <w:p w14:paraId="7CFADF54" w14:textId="77777777" w:rsidR="002C6574" w:rsidRDefault="00000000">
            <w:pPr>
              <w:pStyle w:val="TableParagraph"/>
              <w:spacing w:line="220" w:lineRule="exact"/>
              <w:ind w:right="58"/>
              <w:rPr>
                <w:sz w:val="18"/>
              </w:rPr>
            </w:pPr>
            <w:r>
              <w:rPr>
                <w:spacing w:val="-2"/>
                <w:w w:val="110"/>
                <w:sz w:val="18"/>
              </w:rPr>
              <w:t>4.758.709</w:t>
            </w:r>
          </w:p>
        </w:tc>
      </w:tr>
      <w:tr w:rsidR="002C6574" w14:paraId="35F56FE6" w14:textId="77777777">
        <w:trPr>
          <w:trHeight w:val="242"/>
        </w:trPr>
        <w:tc>
          <w:tcPr>
            <w:tcW w:w="6449" w:type="dxa"/>
          </w:tcPr>
          <w:p w14:paraId="7A25A4A3" w14:textId="77777777" w:rsidR="002C6574" w:rsidRDefault="00000000">
            <w:pPr>
              <w:pStyle w:val="TableParagraph"/>
              <w:spacing w:line="222" w:lineRule="exact"/>
              <w:ind w:left="69"/>
              <w:jc w:val="left"/>
              <w:rPr>
                <w:sz w:val="18"/>
              </w:rPr>
            </w:pPr>
            <w:r>
              <w:rPr>
                <w:sz w:val="18"/>
              </w:rPr>
              <w:t>Valor</w:t>
            </w:r>
            <w:r>
              <w:rPr>
                <w:spacing w:val="-4"/>
                <w:sz w:val="18"/>
              </w:rPr>
              <w:t xml:space="preserve"> </w:t>
            </w:r>
            <w:r>
              <w:rPr>
                <w:sz w:val="18"/>
              </w:rPr>
              <w:t>justo</w:t>
            </w:r>
            <w:r>
              <w:rPr>
                <w:spacing w:val="-5"/>
                <w:sz w:val="18"/>
              </w:rPr>
              <w:t xml:space="preserve"> </w:t>
            </w:r>
            <w:r>
              <w:rPr>
                <w:sz w:val="18"/>
              </w:rPr>
              <w:t>dos</w:t>
            </w:r>
            <w:r>
              <w:rPr>
                <w:spacing w:val="-3"/>
                <w:sz w:val="18"/>
              </w:rPr>
              <w:t xml:space="preserve"> </w:t>
            </w:r>
            <w:r>
              <w:rPr>
                <w:sz w:val="18"/>
              </w:rPr>
              <w:t>ativos</w:t>
            </w:r>
            <w:r>
              <w:rPr>
                <w:spacing w:val="-4"/>
                <w:sz w:val="18"/>
              </w:rPr>
              <w:t xml:space="preserve"> </w:t>
            </w:r>
            <w:r>
              <w:rPr>
                <w:sz w:val="18"/>
              </w:rPr>
              <w:t>do</w:t>
            </w:r>
            <w:r>
              <w:rPr>
                <w:spacing w:val="-3"/>
                <w:sz w:val="18"/>
              </w:rPr>
              <w:t xml:space="preserve"> </w:t>
            </w:r>
            <w:r>
              <w:rPr>
                <w:spacing w:val="-4"/>
                <w:sz w:val="18"/>
              </w:rPr>
              <w:t>plano</w:t>
            </w:r>
          </w:p>
        </w:tc>
        <w:tc>
          <w:tcPr>
            <w:tcW w:w="1661" w:type="dxa"/>
          </w:tcPr>
          <w:p w14:paraId="1129F881" w14:textId="77777777" w:rsidR="002C6574" w:rsidRDefault="00000000">
            <w:pPr>
              <w:pStyle w:val="TableParagraph"/>
              <w:spacing w:line="222" w:lineRule="exact"/>
              <w:ind w:right="57"/>
              <w:rPr>
                <w:sz w:val="18"/>
              </w:rPr>
            </w:pPr>
            <w:r>
              <w:rPr>
                <w:spacing w:val="-2"/>
                <w:w w:val="110"/>
                <w:sz w:val="18"/>
              </w:rPr>
              <w:t>4.888.740</w:t>
            </w:r>
          </w:p>
        </w:tc>
        <w:tc>
          <w:tcPr>
            <w:tcW w:w="1661" w:type="dxa"/>
          </w:tcPr>
          <w:p w14:paraId="122F26F0" w14:textId="77777777" w:rsidR="002C6574" w:rsidRDefault="00000000">
            <w:pPr>
              <w:pStyle w:val="TableParagraph"/>
              <w:spacing w:line="222" w:lineRule="exact"/>
              <w:ind w:right="58"/>
              <w:rPr>
                <w:sz w:val="18"/>
              </w:rPr>
            </w:pPr>
            <w:r>
              <w:rPr>
                <w:spacing w:val="-2"/>
                <w:w w:val="110"/>
                <w:sz w:val="18"/>
              </w:rPr>
              <w:t>4.780.682</w:t>
            </w:r>
          </w:p>
        </w:tc>
      </w:tr>
      <w:tr w:rsidR="002C6574" w14:paraId="4405C951" w14:textId="77777777">
        <w:trPr>
          <w:trHeight w:val="239"/>
        </w:trPr>
        <w:tc>
          <w:tcPr>
            <w:tcW w:w="6449" w:type="dxa"/>
          </w:tcPr>
          <w:p w14:paraId="23D29290" w14:textId="77777777" w:rsidR="002C6574" w:rsidRDefault="00000000">
            <w:pPr>
              <w:pStyle w:val="TableParagraph"/>
              <w:spacing w:before="15" w:line="204" w:lineRule="exact"/>
              <w:ind w:left="69"/>
              <w:jc w:val="left"/>
              <w:rPr>
                <w:rFonts w:ascii="Arial" w:hAnsi="Arial"/>
                <w:b/>
                <w:sz w:val="18"/>
              </w:rPr>
            </w:pPr>
            <w:r>
              <w:rPr>
                <w:rFonts w:ascii="Arial" w:hAnsi="Arial"/>
                <w:b/>
                <w:spacing w:val="-2"/>
                <w:sz w:val="18"/>
              </w:rPr>
              <w:t>Superávit</w:t>
            </w:r>
          </w:p>
        </w:tc>
        <w:tc>
          <w:tcPr>
            <w:tcW w:w="1661" w:type="dxa"/>
          </w:tcPr>
          <w:p w14:paraId="604D6724" w14:textId="77777777" w:rsidR="002C6574" w:rsidRDefault="00000000">
            <w:pPr>
              <w:pStyle w:val="TableParagraph"/>
              <w:spacing w:before="15" w:line="204" w:lineRule="exact"/>
              <w:ind w:right="56"/>
              <w:rPr>
                <w:rFonts w:ascii="Arial"/>
                <w:b/>
                <w:sz w:val="18"/>
              </w:rPr>
            </w:pPr>
            <w:r>
              <w:rPr>
                <w:rFonts w:ascii="Arial"/>
                <w:b/>
                <w:spacing w:val="-2"/>
                <w:sz w:val="18"/>
              </w:rPr>
              <w:t>127.059</w:t>
            </w:r>
          </w:p>
        </w:tc>
        <w:tc>
          <w:tcPr>
            <w:tcW w:w="1661" w:type="dxa"/>
          </w:tcPr>
          <w:p w14:paraId="147ABF33" w14:textId="77777777" w:rsidR="002C6574" w:rsidRDefault="00000000">
            <w:pPr>
              <w:pStyle w:val="TableParagraph"/>
              <w:spacing w:before="15" w:line="204" w:lineRule="exact"/>
              <w:ind w:right="56"/>
              <w:rPr>
                <w:rFonts w:ascii="Arial"/>
                <w:b/>
                <w:sz w:val="18"/>
              </w:rPr>
            </w:pPr>
            <w:r>
              <w:rPr>
                <w:rFonts w:ascii="Arial"/>
                <w:b/>
                <w:spacing w:val="-2"/>
                <w:sz w:val="18"/>
              </w:rPr>
              <w:t>21.973</w:t>
            </w:r>
          </w:p>
        </w:tc>
      </w:tr>
    </w:tbl>
    <w:p w14:paraId="2D08EE56" w14:textId="77777777" w:rsidR="002C6574" w:rsidRDefault="00000000">
      <w:pPr>
        <w:numPr>
          <w:ilvl w:val="0"/>
          <w:numId w:val="54"/>
        </w:numPr>
        <w:tabs>
          <w:tab w:val="left" w:pos="995"/>
        </w:tabs>
        <w:spacing w:before="186"/>
        <w:ind w:left="995" w:hanging="852"/>
        <w:rPr>
          <w:rFonts w:ascii="Arial"/>
          <w:b/>
        </w:rPr>
      </w:pPr>
      <w:r>
        <w:rPr>
          <w:rFonts w:ascii="Arial"/>
          <w:b/>
        </w:rPr>
        <w:t>PARTES</w:t>
      </w:r>
      <w:r>
        <w:rPr>
          <w:rFonts w:ascii="Arial"/>
          <w:b/>
          <w:spacing w:val="-4"/>
        </w:rPr>
        <w:t xml:space="preserve"> </w:t>
      </w:r>
      <w:r>
        <w:rPr>
          <w:rFonts w:ascii="Arial"/>
          <w:b/>
          <w:spacing w:val="-2"/>
        </w:rPr>
        <w:t>RELACIONADAS</w:t>
      </w:r>
    </w:p>
    <w:p w14:paraId="4AAC1EC6" w14:textId="77777777" w:rsidR="002C6574" w:rsidRDefault="00000000">
      <w:pPr>
        <w:pStyle w:val="Corpodetexto"/>
        <w:spacing w:before="191"/>
        <w:ind w:left="143" w:right="705"/>
        <w:jc w:val="both"/>
      </w:pPr>
      <w:r>
        <w:t>A</w:t>
      </w:r>
      <w:r>
        <w:rPr>
          <w:spacing w:val="-6"/>
        </w:rPr>
        <w:t xml:space="preserve"> </w:t>
      </w:r>
      <w:r>
        <w:t>controladora</w:t>
      </w:r>
      <w:r>
        <w:rPr>
          <w:spacing w:val="-8"/>
        </w:rPr>
        <w:t xml:space="preserve"> </w:t>
      </w:r>
      <w:r>
        <w:t>final</w:t>
      </w:r>
      <w:r>
        <w:rPr>
          <w:spacing w:val="-6"/>
        </w:rPr>
        <w:t xml:space="preserve"> </w:t>
      </w:r>
      <w:r>
        <w:t>da</w:t>
      </w:r>
      <w:r>
        <w:rPr>
          <w:spacing w:val="-8"/>
        </w:rPr>
        <w:t xml:space="preserve"> </w:t>
      </w:r>
      <w:r>
        <w:t>Companhia</w:t>
      </w:r>
      <w:r>
        <w:rPr>
          <w:spacing w:val="-6"/>
        </w:rPr>
        <w:t xml:space="preserve"> </w:t>
      </w:r>
      <w:r>
        <w:t>é</w:t>
      </w:r>
      <w:r>
        <w:rPr>
          <w:spacing w:val="-8"/>
        </w:rPr>
        <w:t xml:space="preserve"> </w:t>
      </w:r>
      <w:r>
        <w:t>a</w:t>
      </w:r>
      <w:r>
        <w:rPr>
          <w:spacing w:val="-8"/>
        </w:rPr>
        <w:t xml:space="preserve"> </w:t>
      </w:r>
      <w:r>
        <w:t>União,</w:t>
      </w:r>
      <w:r>
        <w:rPr>
          <w:spacing w:val="-3"/>
        </w:rPr>
        <w:t xml:space="preserve"> </w:t>
      </w:r>
      <w:r>
        <w:t>que</w:t>
      </w:r>
      <w:r>
        <w:rPr>
          <w:spacing w:val="-10"/>
        </w:rPr>
        <w:t xml:space="preserve"> </w:t>
      </w:r>
      <w:r>
        <w:t>detém</w:t>
      </w:r>
      <w:r>
        <w:rPr>
          <w:spacing w:val="-6"/>
        </w:rPr>
        <w:t xml:space="preserve"> </w:t>
      </w:r>
      <w:r>
        <w:t>93,52%</w:t>
      </w:r>
      <w:r>
        <w:rPr>
          <w:spacing w:val="-6"/>
        </w:rPr>
        <w:t xml:space="preserve"> </w:t>
      </w:r>
      <w:r>
        <w:t>das</w:t>
      </w:r>
      <w:r>
        <w:rPr>
          <w:spacing w:val="-6"/>
        </w:rPr>
        <w:t xml:space="preserve"> </w:t>
      </w:r>
      <w:r>
        <w:t>ações</w:t>
      </w:r>
      <w:r>
        <w:rPr>
          <w:spacing w:val="-6"/>
        </w:rPr>
        <w:t xml:space="preserve"> </w:t>
      </w:r>
      <w:r>
        <w:t>ordinárias</w:t>
      </w:r>
      <w:r>
        <w:rPr>
          <w:spacing w:val="-6"/>
        </w:rPr>
        <w:t xml:space="preserve"> </w:t>
      </w:r>
      <w:r>
        <w:t>da</w:t>
      </w:r>
      <w:r>
        <w:rPr>
          <w:spacing w:val="-8"/>
        </w:rPr>
        <w:t xml:space="preserve"> </w:t>
      </w:r>
      <w:r>
        <w:t xml:space="preserve">Companhia. </w:t>
      </w:r>
      <w:r>
        <w:rPr>
          <w:w w:val="105"/>
        </w:rPr>
        <w:t>(Nota Explicativa 28)</w:t>
      </w:r>
    </w:p>
    <w:p w14:paraId="48258159" w14:textId="77777777" w:rsidR="002C6574" w:rsidRDefault="00000000">
      <w:pPr>
        <w:pStyle w:val="Corpodetexto"/>
        <w:spacing w:before="185" w:line="237" w:lineRule="auto"/>
        <w:ind w:left="143" w:right="703"/>
        <w:jc w:val="both"/>
      </w:pPr>
      <w:r>
        <w:rPr>
          <w:w w:val="105"/>
        </w:rPr>
        <w:t xml:space="preserve">As transações da Companhia com sua controladora e sua coligada são realizadas a preços e </w:t>
      </w:r>
      <w:r>
        <w:rPr>
          <w:spacing w:val="-2"/>
          <w:w w:val="105"/>
        </w:rPr>
        <w:t>condições</w:t>
      </w:r>
      <w:r>
        <w:rPr>
          <w:spacing w:val="-7"/>
          <w:w w:val="105"/>
        </w:rPr>
        <w:t xml:space="preserve"> </w:t>
      </w:r>
      <w:r>
        <w:rPr>
          <w:spacing w:val="-2"/>
          <w:w w:val="105"/>
        </w:rPr>
        <w:t>definidos</w:t>
      </w:r>
      <w:r>
        <w:rPr>
          <w:spacing w:val="-7"/>
          <w:w w:val="105"/>
        </w:rPr>
        <w:t xml:space="preserve"> </w:t>
      </w:r>
      <w:r>
        <w:rPr>
          <w:spacing w:val="-2"/>
          <w:w w:val="105"/>
        </w:rPr>
        <w:t>entre</w:t>
      </w:r>
      <w:r>
        <w:rPr>
          <w:spacing w:val="-7"/>
          <w:w w:val="105"/>
        </w:rPr>
        <w:t xml:space="preserve"> </w:t>
      </w:r>
      <w:r>
        <w:rPr>
          <w:spacing w:val="-2"/>
          <w:w w:val="105"/>
        </w:rPr>
        <w:t>as</w:t>
      </w:r>
      <w:r>
        <w:rPr>
          <w:spacing w:val="-7"/>
          <w:w w:val="105"/>
        </w:rPr>
        <w:t xml:space="preserve"> </w:t>
      </w:r>
      <w:r>
        <w:rPr>
          <w:spacing w:val="-2"/>
          <w:w w:val="105"/>
        </w:rPr>
        <w:t>partes,</w:t>
      </w:r>
      <w:r>
        <w:rPr>
          <w:spacing w:val="-7"/>
          <w:w w:val="105"/>
        </w:rPr>
        <w:t xml:space="preserve"> </w:t>
      </w:r>
      <w:r>
        <w:rPr>
          <w:spacing w:val="-2"/>
          <w:w w:val="105"/>
        </w:rPr>
        <w:t>que</w:t>
      </w:r>
      <w:r>
        <w:rPr>
          <w:spacing w:val="-8"/>
          <w:w w:val="105"/>
        </w:rPr>
        <w:t xml:space="preserve"> </w:t>
      </w:r>
      <w:r>
        <w:rPr>
          <w:spacing w:val="-2"/>
          <w:w w:val="105"/>
        </w:rPr>
        <w:t>consideram</w:t>
      </w:r>
      <w:r>
        <w:rPr>
          <w:spacing w:val="-6"/>
          <w:w w:val="105"/>
        </w:rPr>
        <w:t xml:space="preserve"> </w:t>
      </w:r>
      <w:r>
        <w:rPr>
          <w:spacing w:val="-2"/>
          <w:w w:val="105"/>
        </w:rPr>
        <w:t>as</w:t>
      </w:r>
      <w:r>
        <w:rPr>
          <w:spacing w:val="-7"/>
          <w:w w:val="105"/>
        </w:rPr>
        <w:t xml:space="preserve"> </w:t>
      </w:r>
      <w:r>
        <w:rPr>
          <w:spacing w:val="-2"/>
          <w:w w:val="105"/>
        </w:rPr>
        <w:t>condições</w:t>
      </w:r>
      <w:r>
        <w:rPr>
          <w:spacing w:val="-7"/>
          <w:w w:val="105"/>
        </w:rPr>
        <w:t xml:space="preserve"> </w:t>
      </w:r>
      <w:r>
        <w:rPr>
          <w:spacing w:val="-2"/>
          <w:w w:val="105"/>
        </w:rPr>
        <w:t>que</w:t>
      </w:r>
      <w:r>
        <w:rPr>
          <w:spacing w:val="-10"/>
          <w:w w:val="105"/>
        </w:rPr>
        <w:t xml:space="preserve"> </w:t>
      </w:r>
      <w:r>
        <w:rPr>
          <w:spacing w:val="-2"/>
          <w:w w:val="105"/>
        </w:rPr>
        <w:t>poderiam</w:t>
      </w:r>
      <w:r>
        <w:rPr>
          <w:spacing w:val="-8"/>
          <w:w w:val="105"/>
        </w:rPr>
        <w:t xml:space="preserve"> </w:t>
      </w:r>
      <w:r>
        <w:rPr>
          <w:spacing w:val="-2"/>
          <w:w w:val="105"/>
        </w:rPr>
        <w:t>ser</w:t>
      </w:r>
      <w:r>
        <w:rPr>
          <w:spacing w:val="-7"/>
          <w:w w:val="105"/>
        </w:rPr>
        <w:t xml:space="preserve"> </w:t>
      </w:r>
      <w:r>
        <w:rPr>
          <w:spacing w:val="-2"/>
          <w:w w:val="105"/>
        </w:rPr>
        <w:t>praticadas</w:t>
      </w:r>
      <w:r>
        <w:rPr>
          <w:spacing w:val="-7"/>
          <w:w w:val="105"/>
        </w:rPr>
        <w:t xml:space="preserve"> </w:t>
      </w:r>
      <w:r>
        <w:rPr>
          <w:spacing w:val="-2"/>
          <w:w w:val="105"/>
        </w:rPr>
        <w:t xml:space="preserve">no </w:t>
      </w:r>
      <w:r>
        <w:rPr>
          <w:w w:val="105"/>
        </w:rPr>
        <w:t>mercado</w:t>
      </w:r>
      <w:r>
        <w:rPr>
          <w:spacing w:val="-9"/>
          <w:w w:val="105"/>
        </w:rPr>
        <w:t xml:space="preserve"> </w:t>
      </w:r>
      <w:r>
        <w:rPr>
          <w:w w:val="105"/>
        </w:rPr>
        <w:t>com</w:t>
      </w:r>
      <w:r>
        <w:rPr>
          <w:spacing w:val="-7"/>
          <w:w w:val="105"/>
        </w:rPr>
        <w:t xml:space="preserve"> </w:t>
      </w:r>
      <w:r>
        <w:rPr>
          <w:w w:val="105"/>
        </w:rPr>
        <w:t>partes</w:t>
      </w:r>
      <w:r>
        <w:rPr>
          <w:spacing w:val="-8"/>
          <w:w w:val="105"/>
        </w:rPr>
        <w:t xml:space="preserve"> </w:t>
      </w:r>
      <w:r>
        <w:rPr>
          <w:w w:val="105"/>
        </w:rPr>
        <w:t>não</w:t>
      </w:r>
      <w:r>
        <w:rPr>
          <w:spacing w:val="-9"/>
          <w:w w:val="105"/>
        </w:rPr>
        <w:t xml:space="preserve"> </w:t>
      </w:r>
      <w:r>
        <w:rPr>
          <w:w w:val="105"/>
        </w:rPr>
        <w:t>relacionadas,</w:t>
      </w:r>
      <w:r>
        <w:rPr>
          <w:spacing w:val="-7"/>
          <w:w w:val="105"/>
        </w:rPr>
        <w:t xml:space="preserve"> </w:t>
      </w:r>
      <w:r>
        <w:rPr>
          <w:w w:val="105"/>
        </w:rPr>
        <w:t>quando</w:t>
      </w:r>
      <w:r>
        <w:rPr>
          <w:spacing w:val="-7"/>
          <w:w w:val="105"/>
        </w:rPr>
        <w:t xml:space="preserve"> </w:t>
      </w:r>
      <w:r>
        <w:rPr>
          <w:w w:val="105"/>
        </w:rPr>
        <w:t>aplicável.</w:t>
      </w:r>
    </w:p>
    <w:p w14:paraId="61E010FE" w14:textId="77777777" w:rsidR="002C6574" w:rsidRDefault="00000000">
      <w:pPr>
        <w:pStyle w:val="Corpodetexto"/>
        <w:spacing w:before="190" w:line="237" w:lineRule="auto"/>
        <w:ind w:left="143" w:right="705"/>
        <w:jc w:val="both"/>
      </w:pPr>
      <w:r>
        <w:rPr>
          <w:w w:val="105"/>
        </w:rPr>
        <w:t>As</w:t>
      </w:r>
      <w:r>
        <w:rPr>
          <w:spacing w:val="-1"/>
          <w:w w:val="105"/>
        </w:rPr>
        <w:t xml:space="preserve"> </w:t>
      </w:r>
      <w:r>
        <w:rPr>
          <w:w w:val="105"/>
        </w:rPr>
        <w:t>transações</w:t>
      </w:r>
      <w:r>
        <w:rPr>
          <w:spacing w:val="-3"/>
          <w:w w:val="105"/>
        </w:rPr>
        <w:t xml:space="preserve"> </w:t>
      </w:r>
      <w:r>
        <w:rPr>
          <w:w w:val="105"/>
        </w:rPr>
        <w:t>com</w:t>
      </w:r>
      <w:r>
        <w:rPr>
          <w:spacing w:val="-1"/>
          <w:w w:val="105"/>
        </w:rPr>
        <w:t xml:space="preserve"> </w:t>
      </w:r>
      <w:r>
        <w:rPr>
          <w:w w:val="105"/>
        </w:rPr>
        <w:t>partes</w:t>
      </w:r>
      <w:r>
        <w:rPr>
          <w:spacing w:val="-1"/>
          <w:w w:val="105"/>
        </w:rPr>
        <w:t xml:space="preserve"> </w:t>
      </w:r>
      <w:r>
        <w:rPr>
          <w:w w:val="105"/>
        </w:rPr>
        <w:t>relacionadas</w:t>
      </w:r>
      <w:r>
        <w:rPr>
          <w:spacing w:val="-3"/>
          <w:w w:val="105"/>
        </w:rPr>
        <w:t xml:space="preserve"> </w:t>
      </w:r>
      <w:r>
        <w:rPr>
          <w:w w:val="105"/>
        </w:rPr>
        <w:t>envolvendo</w:t>
      </w:r>
      <w:r>
        <w:rPr>
          <w:spacing w:val="-1"/>
          <w:w w:val="105"/>
        </w:rPr>
        <w:t xml:space="preserve"> </w:t>
      </w:r>
      <w:r>
        <w:rPr>
          <w:w w:val="105"/>
        </w:rPr>
        <w:t>a</w:t>
      </w:r>
      <w:r>
        <w:rPr>
          <w:spacing w:val="-2"/>
          <w:w w:val="105"/>
        </w:rPr>
        <w:t xml:space="preserve"> </w:t>
      </w:r>
      <w:r>
        <w:rPr>
          <w:w w:val="105"/>
        </w:rPr>
        <w:t>União,</w:t>
      </w:r>
      <w:r>
        <w:rPr>
          <w:spacing w:val="-3"/>
          <w:w w:val="105"/>
        </w:rPr>
        <w:t xml:space="preserve"> </w:t>
      </w:r>
      <w:r>
        <w:rPr>
          <w:w w:val="105"/>
        </w:rPr>
        <w:t>suas</w:t>
      </w:r>
      <w:r>
        <w:rPr>
          <w:spacing w:val="-3"/>
          <w:w w:val="105"/>
        </w:rPr>
        <w:t xml:space="preserve"> </w:t>
      </w:r>
      <w:r>
        <w:rPr>
          <w:w w:val="105"/>
        </w:rPr>
        <w:t>empresas</w:t>
      </w:r>
      <w:r>
        <w:rPr>
          <w:spacing w:val="-1"/>
          <w:w w:val="105"/>
        </w:rPr>
        <w:t xml:space="preserve"> </w:t>
      </w:r>
      <w:r>
        <w:rPr>
          <w:w w:val="105"/>
        </w:rPr>
        <w:t>e</w:t>
      </w:r>
      <w:r>
        <w:rPr>
          <w:spacing w:val="-2"/>
          <w:w w:val="105"/>
        </w:rPr>
        <w:t xml:space="preserve"> </w:t>
      </w:r>
      <w:r>
        <w:rPr>
          <w:w w:val="105"/>
        </w:rPr>
        <w:t>entidades</w:t>
      </w:r>
      <w:r>
        <w:rPr>
          <w:spacing w:val="-3"/>
          <w:w w:val="105"/>
        </w:rPr>
        <w:t xml:space="preserve"> </w:t>
      </w:r>
      <w:r>
        <w:rPr>
          <w:w w:val="105"/>
        </w:rPr>
        <w:t>também são apresentadas.</w:t>
      </w:r>
    </w:p>
    <w:p w14:paraId="6BF8BC0F" w14:textId="77777777" w:rsidR="002C6574" w:rsidRDefault="002C6574">
      <w:pPr>
        <w:pStyle w:val="Corpodetexto"/>
        <w:spacing w:before="27"/>
      </w:pPr>
    </w:p>
    <w:p w14:paraId="405378D8" w14:textId="77777777" w:rsidR="002C6574" w:rsidRDefault="00000000">
      <w:pPr>
        <w:numPr>
          <w:ilvl w:val="1"/>
          <w:numId w:val="16"/>
        </w:numPr>
        <w:tabs>
          <w:tab w:val="left" w:pos="995"/>
        </w:tabs>
        <w:rPr>
          <w:rFonts w:ascii="Arial" w:hAnsi="Arial"/>
          <w:b/>
        </w:rPr>
      </w:pPr>
      <w:r>
        <w:rPr>
          <w:rFonts w:ascii="Arial" w:hAnsi="Arial"/>
          <w:b/>
        </w:rPr>
        <w:t>Pessoal</w:t>
      </w:r>
      <w:r>
        <w:rPr>
          <w:rFonts w:ascii="Arial" w:hAnsi="Arial"/>
          <w:b/>
          <w:spacing w:val="-4"/>
        </w:rPr>
        <w:t xml:space="preserve"> </w:t>
      </w:r>
      <w:r>
        <w:rPr>
          <w:rFonts w:ascii="Arial" w:hAnsi="Arial"/>
          <w:b/>
        </w:rPr>
        <w:t>Chave</w:t>
      </w:r>
      <w:r>
        <w:rPr>
          <w:rFonts w:ascii="Arial" w:hAnsi="Arial"/>
          <w:b/>
          <w:spacing w:val="-2"/>
        </w:rPr>
        <w:t xml:space="preserve"> </w:t>
      </w:r>
      <w:r>
        <w:rPr>
          <w:rFonts w:ascii="Arial" w:hAnsi="Arial"/>
          <w:b/>
        </w:rPr>
        <w:t>da</w:t>
      </w:r>
      <w:r>
        <w:rPr>
          <w:rFonts w:ascii="Arial" w:hAnsi="Arial"/>
          <w:b/>
          <w:spacing w:val="-6"/>
        </w:rPr>
        <w:t xml:space="preserve"> </w:t>
      </w:r>
      <w:r>
        <w:rPr>
          <w:rFonts w:ascii="Arial" w:hAnsi="Arial"/>
          <w:b/>
          <w:spacing w:val="-2"/>
        </w:rPr>
        <w:t>Administração</w:t>
      </w:r>
    </w:p>
    <w:p w14:paraId="5D4FD7CD" w14:textId="77777777" w:rsidR="002C6574" w:rsidRDefault="002C6574">
      <w:pPr>
        <w:pStyle w:val="Corpodetexto"/>
        <w:spacing w:before="73"/>
        <w:rPr>
          <w:rFonts w:ascii="Arial"/>
          <w:b/>
        </w:rPr>
      </w:pPr>
    </w:p>
    <w:p w14:paraId="5B16AB70" w14:textId="77777777" w:rsidR="002C6574" w:rsidRDefault="00000000">
      <w:pPr>
        <w:pStyle w:val="Corpodetexto"/>
        <w:ind w:left="143" w:right="705"/>
        <w:jc w:val="both"/>
      </w:pPr>
      <w:r>
        <w:t>A Companhia não possui transações de empréstimos ou outras transações com diretores/conselheiros ou familiares imediatos.</w:t>
      </w:r>
    </w:p>
    <w:p w14:paraId="0FBBCAF9" w14:textId="77777777" w:rsidR="002C6574" w:rsidRDefault="002C6574">
      <w:pPr>
        <w:pStyle w:val="Corpodetexto"/>
        <w:jc w:val="both"/>
        <w:sectPr w:rsidR="002C6574">
          <w:pgSz w:w="11910" w:h="16840"/>
          <w:pgMar w:top="1820" w:right="141" w:bottom="1300" w:left="1133" w:header="1084" w:footer="1100" w:gutter="0"/>
          <w:cols w:space="720"/>
        </w:sectPr>
      </w:pPr>
    </w:p>
    <w:p w14:paraId="3266596C" w14:textId="77777777" w:rsidR="002C6574" w:rsidRDefault="00000000">
      <w:pPr>
        <w:pStyle w:val="Corpodetexto"/>
        <w:spacing w:before="200" w:line="237" w:lineRule="auto"/>
        <w:ind w:left="143" w:right="701"/>
        <w:jc w:val="both"/>
      </w:pPr>
      <w:r>
        <w:lastRenderedPageBreak/>
        <w:t>As remunerações dos administradores, responsáveis pelo planejamento, direção e controle das atividades da Companhia, que incluem os membros do conselho de administração, conselho fiscal e diretores estatutários, estão apresentadas a seguir:</w:t>
      </w:r>
    </w:p>
    <w:p w14:paraId="1B814919" w14:textId="77777777" w:rsidR="002C6574" w:rsidRDefault="002C6574">
      <w:pPr>
        <w:pStyle w:val="Corpodetexto"/>
        <w:spacing w:before="19"/>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74"/>
        <w:gridCol w:w="1366"/>
        <w:gridCol w:w="1832"/>
      </w:tblGrid>
      <w:tr w:rsidR="002C6574" w14:paraId="75C031E3" w14:textId="77777777">
        <w:trPr>
          <w:trHeight w:val="232"/>
        </w:trPr>
        <w:tc>
          <w:tcPr>
            <w:tcW w:w="6574" w:type="dxa"/>
            <w:shd w:val="clear" w:color="auto" w:fill="D8D8D8"/>
          </w:tcPr>
          <w:p w14:paraId="49DDF4C9" w14:textId="77777777" w:rsidR="002C6574" w:rsidRDefault="00000000">
            <w:pPr>
              <w:pStyle w:val="TableParagraph"/>
              <w:spacing w:before="11" w:line="201" w:lineRule="exact"/>
              <w:ind w:left="69"/>
              <w:jc w:val="left"/>
              <w:rPr>
                <w:rFonts w:ascii="Arial" w:hAnsi="Arial"/>
                <w:b/>
                <w:sz w:val="18"/>
              </w:rPr>
            </w:pPr>
            <w:r>
              <w:rPr>
                <w:rFonts w:ascii="Arial" w:hAnsi="Arial"/>
                <w:b/>
                <w:spacing w:val="-2"/>
                <w:sz w:val="18"/>
              </w:rPr>
              <w:t>Remunerações/Benefícios</w:t>
            </w:r>
          </w:p>
        </w:tc>
        <w:tc>
          <w:tcPr>
            <w:tcW w:w="1366" w:type="dxa"/>
          </w:tcPr>
          <w:p w14:paraId="63049F68" w14:textId="77777777" w:rsidR="002C6574" w:rsidRDefault="00000000">
            <w:pPr>
              <w:pStyle w:val="TableParagraph"/>
              <w:spacing w:before="11" w:line="201" w:lineRule="exact"/>
              <w:ind w:left="229"/>
              <w:jc w:val="left"/>
              <w:rPr>
                <w:rFonts w:ascii="Arial"/>
                <w:b/>
                <w:sz w:val="18"/>
              </w:rPr>
            </w:pPr>
            <w:r>
              <w:rPr>
                <w:rFonts w:ascii="Arial"/>
                <w:b/>
                <w:spacing w:val="-2"/>
                <w:sz w:val="18"/>
              </w:rPr>
              <w:t>31/12/2025</w:t>
            </w:r>
          </w:p>
        </w:tc>
        <w:tc>
          <w:tcPr>
            <w:tcW w:w="1832" w:type="dxa"/>
          </w:tcPr>
          <w:p w14:paraId="43643132" w14:textId="77777777" w:rsidR="002C6574" w:rsidRDefault="00000000">
            <w:pPr>
              <w:pStyle w:val="TableParagraph"/>
              <w:spacing w:before="11" w:line="201" w:lineRule="exact"/>
              <w:ind w:left="462"/>
              <w:jc w:val="left"/>
              <w:rPr>
                <w:rFonts w:ascii="Arial"/>
                <w:b/>
                <w:sz w:val="18"/>
              </w:rPr>
            </w:pPr>
            <w:r>
              <w:rPr>
                <w:rFonts w:ascii="Arial"/>
                <w:b/>
                <w:spacing w:val="-2"/>
                <w:sz w:val="18"/>
              </w:rPr>
              <w:t>31/12/2024</w:t>
            </w:r>
          </w:p>
        </w:tc>
      </w:tr>
      <w:tr w:rsidR="002C6574" w14:paraId="1A5372C4" w14:textId="77777777">
        <w:trPr>
          <w:trHeight w:val="232"/>
        </w:trPr>
        <w:tc>
          <w:tcPr>
            <w:tcW w:w="6574" w:type="dxa"/>
          </w:tcPr>
          <w:p w14:paraId="6946D2CA" w14:textId="77777777" w:rsidR="002C6574" w:rsidRDefault="00000000">
            <w:pPr>
              <w:pStyle w:val="TableParagraph"/>
              <w:spacing w:line="212" w:lineRule="exact"/>
              <w:ind w:left="69"/>
              <w:jc w:val="left"/>
              <w:rPr>
                <w:sz w:val="18"/>
              </w:rPr>
            </w:pPr>
            <w:r>
              <w:rPr>
                <w:spacing w:val="-2"/>
                <w:w w:val="105"/>
                <w:sz w:val="18"/>
              </w:rPr>
              <w:t>Remunerações</w:t>
            </w:r>
          </w:p>
        </w:tc>
        <w:tc>
          <w:tcPr>
            <w:tcW w:w="1366" w:type="dxa"/>
          </w:tcPr>
          <w:p w14:paraId="5D117D00" w14:textId="77777777" w:rsidR="002C6574" w:rsidRDefault="00000000">
            <w:pPr>
              <w:pStyle w:val="TableParagraph"/>
              <w:spacing w:line="212" w:lineRule="exact"/>
              <w:ind w:right="60"/>
              <w:rPr>
                <w:sz w:val="18"/>
              </w:rPr>
            </w:pPr>
            <w:r>
              <w:rPr>
                <w:spacing w:val="-2"/>
                <w:w w:val="110"/>
                <w:sz w:val="18"/>
              </w:rPr>
              <w:t>3.423</w:t>
            </w:r>
          </w:p>
        </w:tc>
        <w:tc>
          <w:tcPr>
            <w:tcW w:w="1832" w:type="dxa"/>
          </w:tcPr>
          <w:p w14:paraId="02F55F3E" w14:textId="77777777" w:rsidR="002C6574" w:rsidRDefault="00000000">
            <w:pPr>
              <w:pStyle w:val="TableParagraph"/>
              <w:spacing w:line="212" w:lineRule="exact"/>
              <w:ind w:right="60"/>
              <w:rPr>
                <w:sz w:val="18"/>
              </w:rPr>
            </w:pPr>
            <w:r>
              <w:rPr>
                <w:spacing w:val="-2"/>
                <w:w w:val="110"/>
                <w:sz w:val="18"/>
              </w:rPr>
              <w:t>3.520</w:t>
            </w:r>
          </w:p>
        </w:tc>
      </w:tr>
      <w:tr w:rsidR="002C6574" w14:paraId="2A78C406" w14:textId="77777777">
        <w:trPr>
          <w:trHeight w:val="230"/>
        </w:trPr>
        <w:tc>
          <w:tcPr>
            <w:tcW w:w="6574" w:type="dxa"/>
          </w:tcPr>
          <w:p w14:paraId="0E668740" w14:textId="77777777" w:rsidR="002C6574" w:rsidRDefault="00000000">
            <w:pPr>
              <w:pStyle w:val="TableParagraph"/>
              <w:spacing w:line="210" w:lineRule="exact"/>
              <w:ind w:left="69"/>
              <w:jc w:val="left"/>
              <w:rPr>
                <w:sz w:val="18"/>
              </w:rPr>
            </w:pPr>
            <w:r>
              <w:rPr>
                <w:sz w:val="18"/>
              </w:rPr>
              <w:t>Benefícios</w:t>
            </w:r>
            <w:r>
              <w:rPr>
                <w:spacing w:val="9"/>
                <w:sz w:val="18"/>
              </w:rPr>
              <w:t xml:space="preserve"> </w:t>
            </w:r>
            <w:r>
              <w:rPr>
                <w:sz w:val="18"/>
              </w:rPr>
              <w:t>de</w:t>
            </w:r>
            <w:r>
              <w:rPr>
                <w:spacing w:val="10"/>
                <w:sz w:val="18"/>
              </w:rPr>
              <w:t xml:space="preserve"> </w:t>
            </w:r>
            <w:r>
              <w:rPr>
                <w:sz w:val="18"/>
              </w:rPr>
              <w:t>Curto</w:t>
            </w:r>
            <w:r>
              <w:rPr>
                <w:spacing w:val="9"/>
                <w:sz w:val="18"/>
              </w:rPr>
              <w:t xml:space="preserve"> </w:t>
            </w:r>
            <w:r>
              <w:rPr>
                <w:spacing w:val="-4"/>
                <w:sz w:val="18"/>
              </w:rPr>
              <w:t>Prazo</w:t>
            </w:r>
          </w:p>
        </w:tc>
        <w:tc>
          <w:tcPr>
            <w:tcW w:w="1366" w:type="dxa"/>
          </w:tcPr>
          <w:p w14:paraId="0E5F55A7" w14:textId="77777777" w:rsidR="002C6574" w:rsidRDefault="00000000">
            <w:pPr>
              <w:pStyle w:val="TableParagraph"/>
              <w:spacing w:line="210" w:lineRule="exact"/>
              <w:ind w:right="58"/>
              <w:rPr>
                <w:sz w:val="18"/>
              </w:rPr>
            </w:pPr>
            <w:r>
              <w:rPr>
                <w:spacing w:val="-5"/>
                <w:w w:val="105"/>
                <w:sz w:val="18"/>
              </w:rPr>
              <w:t>923</w:t>
            </w:r>
          </w:p>
        </w:tc>
        <w:tc>
          <w:tcPr>
            <w:tcW w:w="1832" w:type="dxa"/>
          </w:tcPr>
          <w:p w14:paraId="7A65B25E" w14:textId="77777777" w:rsidR="002C6574" w:rsidRDefault="00000000">
            <w:pPr>
              <w:pStyle w:val="TableParagraph"/>
              <w:spacing w:line="210" w:lineRule="exact"/>
              <w:ind w:right="60"/>
              <w:rPr>
                <w:sz w:val="18"/>
              </w:rPr>
            </w:pPr>
            <w:r>
              <w:rPr>
                <w:spacing w:val="-2"/>
                <w:w w:val="110"/>
                <w:sz w:val="18"/>
              </w:rPr>
              <w:t>1.130</w:t>
            </w:r>
          </w:p>
        </w:tc>
      </w:tr>
      <w:tr w:rsidR="002C6574" w14:paraId="4F5C86FF" w14:textId="77777777">
        <w:trPr>
          <w:trHeight w:val="232"/>
        </w:trPr>
        <w:tc>
          <w:tcPr>
            <w:tcW w:w="6574" w:type="dxa"/>
          </w:tcPr>
          <w:p w14:paraId="7604E807" w14:textId="77777777" w:rsidR="002C6574" w:rsidRDefault="00000000">
            <w:pPr>
              <w:pStyle w:val="TableParagraph"/>
              <w:spacing w:before="13" w:line="199" w:lineRule="exact"/>
              <w:ind w:left="69"/>
              <w:jc w:val="left"/>
              <w:rPr>
                <w:rFonts w:ascii="Arial"/>
                <w:b/>
                <w:sz w:val="18"/>
              </w:rPr>
            </w:pPr>
            <w:r>
              <w:rPr>
                <w:rFonts w:ascii="Arial"/>
                <w:b/>
                <w:spacing w:val="-2"/>
                <w:sz w:val="18"/>
              </w:rPr>
              <w:t>Total</w:t>
            </w:r>
          </w:p>
        </w:tc>
        <w:tc>
          <w:tcPr>
            <w:tcW w:w="1366" w:type="dxa"/>
          </w:tcPr>
          <w:p w14:paraId="35464A2E" w14:textId="77777777" w:rsidR="002C6574" w:rsidRDefault="00000000">
            <w:pPr>
              <w:pStyle w:val="TableParagraph"/>
              <w:spacing w:before="13" w:line="199" w:lineRule="exact"/>
              <w:ind w:right="59"/>
              <w:rPr>
                <w:rFonts w:ascii="Arial"/>
                <w:b/>
                <w:sz w:val="18"/>
              </w:rPr>
            </w:pPr>
            <w:r>
              <w:rPr>
                <w:rFonts w:ascii="Arial"/>
                <w:b/>
                <w:spacing w:val="-2"/>
                <w:sz w:val="18"/>
              </w:rPr>
              <w:t>4.346</w:t>
            </w:r>
          </w:p>
        </w:tc>
        <w:tc>
          <w:tcPr>
            <w:tcW w:w="1832" w:type="dxa"/>
          </w:tcPr>
          <w:p w14:paraId="6498A771" w14:textId="77777777" w:rsidR="002C6574" w:rsidRDefault="00000000">
            <w:pPr>
              <w:pStyle w:val="TableParagraph"/>
              <w:spacing w:before="13" w:line="199" w:lineRule="exact"/>
              <w:ind w:right="60"/>
              <w:rPr>
                <w:rFonts w:ascii="Arial"/>
                <w:b/>
                <w:sz w:val="18"/>
              </w:rPr>
            </w:pPr>
            <w:r>
              <w:rPr>
                <w:rFonts w:ascii="Arial"/>
                <w:b/>
                <w:spacing w:val="-2"/>
                <w:sz w:val="18"/>
              </w:rPr>
              <w:t>4.650</w:t>
            </w:r>
          </w:p>
        </w:tc>
      </w:tr>
    </w:tbl>
    <w:p w14:paraId="2BB3C286" w14:textId="77777777" w:rsidR="002C6574" w:rsidRDefault="00000000">
      <w:pPr>
        <w:pStyle w:val="Corpodetexto"/>
        <w:spacing w:before="226" w:line="237" w:lineRule="auto"/>
        <w:ind w:left="143" w:right="704"/>
        <w:jc w:val="both"/>
      </w:pPr>
      <w:r>
        <w:rPr>
          <w:w w:val="105"/>
        </w:rPr>
        <w:t xml:space="preserve">A Companhia concede benefícios pós-emprego aos dirigentes estatuários, mas não aos </w:t>
      </w:r>
      <w:r>
        <w:rPr>
          <w:spacing w:val="-2"/>
          <w:w w:val="105"/>
        </w:rPr>
        <w:t>conselheiros.</w:t>
      </w:r>
    </w:p>
    <w:p w14:paraId="2A3A5903" w14:textId="77777777" w:rsidR="002C6574" w:rsidRDefault="00000000">
      <w:pPr>
        <w:numPr>
          <w:ilvl w:val="1"/>
          <w:numId w:val="16"/>
        </w:numPr>
        <w:tabs>
          <w:tab w:val="left" w:pos="995"/>
        </w:tabs>
        <w:spacing w:before="191"/>
        <w:rPr>
          <w:rFonts w:ascii="Arial" w:hAnsi="Arial"/>
          <w:b/>
        </w:rPr>
      </w:pPr>
      <w:r>
        <w:rPr>
          <w:rFonts w:ascii="Arial" w:hAnsi="Arial"/>
          <w:b/>
        </w:rPr>
        <w:t>Transações</w:t>
      </w:r>
      <w:r>
        <w:rPr>
          <w:rFonts w:ascii="Arial" w:hAnsi="Arial"/>
          <w:b/>
          <w:spacing w:val="-5"/>
        </w:rPr>
        <w:t xml:space="preserve"> </w:t>
      </w:r>
      <w:r>
        <w:rPr>
          <w:rFonts w:ascii="Arial" w:hAnsi="Arial"/>
          <w:b/>
        </w:rPr>
        <w:t>com</w:t>
      </w:r>
      <w:r>
        <w:rPr>
          <w:rFonts w:ascii="Arial" w:hAnsi="Arial"/>
          <w:b/>
          <w:spacing w:val="-5"/>
        </w:rPr>
        <w:t xml:space="preserve"> </w:t>
      </w:r>
      <w:r>
        <w:rPr>
          <w:rFonts w:ascii="Arial" w:hAnsi="Arial"/>
          <w:b/>
        </w:rPr>
        <w:t>partes</w:t>
      </w:r>
      <w:r>
        <w:rPr>
          <w:rFonts w:ascii="Arial" w:hAnsi="Arial"/>
          <w:b/>
          <w:spacing w:val="-2"/>
        </w:rPr>
        <w:t xml:space="preserve"> relacionadas</w:t>
      </w:r>
    </w:p>
    <w:p w14:paraId="1B7582C3" w14:textId="77777777" w:rsidR="002C6574" w:rsidRDefault="002C6574">
      <w:pPr>
        <w:pStyle w:val="Corpodetexto"/>
        <w:spacing w:before="47" w:after="1"/>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6"/>
        <w:gridCol w:w="1300"/>
        <w:gridCol w:w="1302"/>
      </w:tblGrid>
      <w:tr w:rsidR="002C6574" w14:paraId="1EE64A81" w14:textId="77777777">
        <w:trPr>
          <w:trHeight w:val="232"/>
        </w:trPr>
        <w:tc>
          <w:tcPr>
            <w:tcW w:w="7166" w:type="dxa"/>
            <w:shd w:val="clear" w:color="auto" w:fill="D8D8D8"/>
          </w:tcPr>
          <w:p w14:paraId="06262EF0" w14:textId="77777777" w:rsidR="002C6574" w:rsidRDefault="00000000">
            <w:pPr>
              <w:pStyle w:val="TableParagraph"/>
              <w:spacing w:before="11" w:line="201" w:lineRule="exact"/>
              <w:ind w:left="69"/>
              <w:jc w:val="left"/>
              <w:rPr>
                <w:rFonts w:ascii="Arial" w:hAnsi="Arial"/>
                <w:b/>
                <w:sz w:val="18"/>
              </w:rPr>
            </w:pPr>
            <w:r>
              <w:rPr>
                <w:rFonts w:ascii="Arial" w:hAnsi="Arial"/>
                <w:b/>
                <w:sz w:val="18"/>
              </w:rPr>
              <w:t>Balanço</w:t>
            </w:r>
            <w:r>
              <w:rPr>
                <w:rFonts w:ascii="Arial" w:hAnsi="Arial"/>
                <w:b/>
                <w:spacing w:val="2"/>
                <w:sz w:val="18"/>
              </w:rPr>
              <w:t xml:space="preserve"> </w:t>
            </w:r>
            <w:r>
              <w:rPr>
                <w:rFonts w:ascii="Arial" w:hAnsi="Arial"/>
                <w:b/>
                <w:spacing w:val="-2"/>
                <w:sz w:val="18"/>
              </w:rPr>
              <w:t>Patrimonial</w:t>
            </w:r>
          </w:p>
        </w:tc>
        <w:tc>
          <w:tcPr>
            <w:tcW w:w="1300" w:type="dxa"/>
            <w:shd w:val="clear" w:color="auto" w:fill="D8D8D8"/>
          </w:tcPr>
          <w:p w14:paraId="01E3543B" w14:textId="77777777" w:rsidR="002C6574" w:rsidRDefault="00000000">
            <w:pPr>
              <w:pStyle w:val="TableParagraph"/>
              <w:spacing w:before="11" w:line="201" w:lineRule="exact"/>
              <w:ind w:left="199"/>
              <w:jc w:val="left"/>
              <w:rPr>
                <w:rFonts w:ascii="Arial"/>
                <w:b/>
                <w:sz w:val="18"/>
              </w:rPr>
            </w:pPr>
            <w:r>
              <w:rPr>
                <w:rFonts w:ascii="Arial"/>
                <w:b/>
                <w:spacing w:val="-2"/>
                <w:sz w:val="18"/>
              </w:rPr>
              <w:t>31/12/2025</w:t>
            </w:r>
          </w:p>
        </w:tc>
        <w:tc>
          <w:tcPr>
            <w:tcW w:w="1302" w:type="dxa"/>
            <w:shd w:val="clear" w:color="auto" w:fill="D8D8D8"/>
          </w:tcPr>
          <w:p w14:paraId="092300E7" w14:textId="77777777" w:rsidR="002C6574" w:rsidRDefault="00000000">
            <w:pPr>
              <w:pStyle w:val="TableParagraph"/>
              <w:spacing w:before="11" w:line="201" w:lineRule="exact"/>
              <w:ind w:left="202"/>
              <w:jc w:val="left"/>
              <w:rPr>
                <w:rFonts w:ascii="Arial"/>
                <w:b/>
                <w:sz w:val="18"/>
              </w:rPr>
            </w:pPr>
            <w:r>
              <w:rPr>
                <w:rFonts w:ascii="Arial"/>
                <w:b/>
                <w:spacing w:val="-2"/>
                <w:sz w:val="18"/>
              </w:rPr>
              <w:t>31/12/2024</w:t>
            </w:r>
          </w:p>
        </w:tc>
      </w:tr>
      <w:tr w:rsidR="002C6574" w14:paraId="2C5270A2" w14:textId="77777777">
        <w:trPr>
          <w:trHeight w:val="230"/>
        </w:trPr>
        <w:tc>
          <w:tcPr>
            <w:tcW w:w="7166" w:type="dxa"/>
            <w:shd w:val="clear" w:color="auto" w:fill="D8D8D8"/>
          </w:tcPr>
          <w:p w14:paraId="03C50442" w14:textId="77777777" w:rsidR="002C6574" w:rsidRDefault="00000000">
            <w:pPr>
              <w:pStyle w:val="TableParagraph"/>
              <w:spacing w:before="11" w:line="199" w:lineRule="exact"/>
              <w:ind w:left="69"/>
              <w:jc w:val="left"/>
              <w:rPr>
                <w:rFonts w:ascii="Arial"/>
                <w:b/>
                <w:sz w:val="18"/>
              </w:rPr>
            </w:pPr>
            <w:r>
              <w:rPr>
                <w:rFonts w:ascii="Arial"/>
                <w:b/>
                <w:spacing w:val="-2"/>
                <w:sz w:val="18"/>
              </w:rPr>
              <w:t>Ativo</w:t>
            </w:r>
          </w:p>
        </w:tc>
        <w:tc>
          <w:tcPr>
            <w:tcW w:w="1300" w:type="dxa"/>
            <w:shd w:val="clear" w:color="auto" w:fill="D8D8D8"/>
          </w:tcPr>
          <w:p w14:paraId="3841148F" w14:textId="77777777" w:rsidR="002C6574" w:rsidRDefault="00000000">
            <w:pPr>
              <w:pStyle w:val="TableParagraph"/>
              <w:spacing w:before="11" w:line="199" w:lineRule="exact"/>
              <w:ind w:right="57"/>
              <w:rPr>
                <w:rFonts w:ascii="Arial"/>
                <w:b/>
                <w:sz w:val="18"/>
              </w:rPr>
            </w:pPr>
            <w:r>
              <w:rPr>
                <w:rFonts w:ascii="Arial"/>
                <w:b/>
                <w:spacing w:val="-2"/>
                <w:sz w:val="18"/>
              </w:rPr>
              <w:t>388.315</w:t>
            </w:r>
          </w:p>
        </w:tc>
        <w:tc>
          <w:tcPr>
            <w:tcW w:w="1302" w:type="dxa"/>
            <w:shd w:val="clear" w:color="auto" w:fill="D8D8D8"/>
          </w:tcPr>
          <w:p w14:paraId="33BE731A" w14:textId="77777777" w:rsidR="002C6574" w:rsidRDefault="00000000">
            <w:pPr>
              <w:pStyle w:val="TableParagraph"/>
              <w:spacing w:before="11" w:line="199" w:lineRule="exact"/>
              <w:ind w:right="56"/>
              <w:rPr>
                <w:rFonts w:ascii="Arial"/>
                <w:b/>
                <w:sz w:val="18"/>
              </w:rPr>
            </w:pPr>
            <w:r>
              <w:rPr>
                <w:rFonts w:ascii="Arial"/>
                <w:b/>
                <w:spacing w:val="-2"/>
                <w:sz w:val="18"/>
              </w:rPr>
              <w:t>204.661</w:t>
            </w:r>
          </w:p>
        </w:tc>
      </w:tr>
      <w:tr w:rsidR="002C6574" w14:paraId="4DC82DA8" w14:textId="77777777">
        <w:trPr>
          <w:trHeight w:val="232"/>
        </w:trPr>
        <w:tc>
          <w:tcPr>
            <w:tcW w:w="7166" w:type="dxa"/>
          </w:tcPr>
          <w:p w14:paraId="71B7B590" w14:textId="77777777" w:rsidR="002C6574" w:rsidRDefault="00000000">
            <w:pPr>
              <w:pStyle w:val="TableParagraph"/>
              <w:spacing w:before="13" w:line="199" w:lineRule="exact"/>
              <w:ind w:left="69"/>
              <w:jc w:val="left"/>
              <w:rPr>
                <w:rFonts w:ascii="Arial" w:hAnsi="Arial"/>
                <w:b/>
                <w:sz w:val="18"/>
              </w:rPr>
            </w:pPr>
            <w:r>
              <w:rPr>
                <w:rFonts w:ascii="Arial" w:hAnsi="Arial"/>
                <w:b/>
                <w:sz w:val="18"/>
              </w:rPr>
              <w:t>a)</w:t>
            </w:r>
            <w:r>
              <w:rPr>
                <w:rFonts w:ascii="Arial" w:hAnsi="Arial"/>
                <w:b/>
                <w:spacing w:val="1"/>
                <w:sz w:val="18"/>
              </w:rPr>
              <w:t xml:space="preserve"> </w:t>
            </w:r>
            <w:r>
              <w:rPr>
                <w:rFonts w:ascii="Arial" w:hAnsi="Arial"/>
                <w:b/>
                <w:sz w:val="18"/>
              </w:rPr>
              <w:t>Contas</w:t>
            </w:r>
            <w:r>
              <w:rPr>
                <w:rFonts w:ascii="Arial" w:hAnsi="Arial"/>
                <w:b/>
                <w:spacing w:val="-2"/>
                <w:sz w:val="18"/>
              </w:rPr>
              <w:t xml:space="preserve"> </w:t>
            </w:r>
            <w:r>
              <w:rPr>
                <w:rFonts w:ascii="Arial" w:hAnsi="Arial"/>
                <w:b/>
                <w:sz w:val="18"/>
              </w:rPr>
              <w:t>a Receber de</w:t>
            </w:r>
            <w:r>
              <w:rPr>
                <w:rFonts w:ascii="Arial" w:hAnsi="Arial"/>
                <w:b/>
                <w:spacing w:val="-1"/>
                <w:sz w:val="18"/>
              </w:rPr>
              <w:t xml:space="preserve"> </w:t>
            </w:r>
            <w:r>
              <w:rPr>
                <w:rFonts w:ascii="Arial" w:hAnsi="Arial"/>
                <w:b/>
                <w:spacing w:val="-2"/>
                <w:sz w:val="18"/>
              </w:rPr>
              <w:t>Serviços</w:t>
            </w:r>
          </w:p>
        </w:tc>
        <w:tc>
          <w:tcPr>
            <w:tcW w:w="1300" w:type="dxa"/>
          </w:tcPr>
          <w:p w14:paraId="2FBD56CA" w14:textId="77777777" w:rsidR="002C6574" w:rsidRDefault="00000000">
            <w:pPr>
              <w:pStyle w:val="TableParagraph"/>
              <w:spacing w:before="13" w:line="199" w:lineRule="exact"/>
              <w:ind w:right="57"/>
              <w:rPr>
                <w:rFonts w:ascii="Arial"/>
                <w:b/>
                <w:sz w:val="18"/>
              </w:rPr>
            </w:pPr>
            <w:r>
              <w:rPr>
                <w:rFonts w:ascii="Arial"/>
                <w:b/>
                <w:spacing w:val="-2"/>
                <w:sz w:val="18"/>
              </w:rPr>
              <w:t>385.600</w:t>
            </w:r>
          </w:p>
        </w:tc>
        <w:tc>
          <w:tcPr>
            <w:tcW w:w="1302" w:type="dxa"/>
          </w:tcPr>
          <w:p w14:paraId="0DB7586E" w14:textId="77777777" w:rsidR="002C6574" w:rsidRDefault="00000000">
            <w:pPr>
              <w:pStyle w:val="TableParagraph"/>
              <w:spacing w:before="13" w:line="199" w:lineRule="exact"/>
              <w:ind w:right="56"/>
              <w:rPr>
                <w:rFonts w:ascii="Arial"/>
                <w:b/>
                <w:sz w:val="18"/>
              </w:rPr>
            </w:pPr>
            <w:r>
              <w:rPr>
                <w:rFonts w:ascii="Arial"/>
                <w:b/>
                <w:spacing w:val="-2"/>
                <w:sz w:val="18"/>
              </w:rPr>
              <w:t>193.805</w:t>
            </w:r>
          </w:p>
        </w:tc>
      </w:tr>
      <w:tr w:rsidR="002C6574" w14:paraId="74C064C2" w14:textId="77777777">
        <w:trPr>
          <w:trHeight w:val="232"/>
        </w:trPr>
        <w:tc>
          <w:tcPr>
            <w:tcW w:w="7166" w:type="dxa"/>
          </w:tcPr>
          <w:p w14:paraId="138C5AA1" w14:textId="77777777" w:rsidR="002C6574" w:rsidRDefault="00000000">
            <w:pPr>
              <w:pStyle w:val="TableParagraph"/>
              <w:spacing w:line="212" w:lineRule="exact"/>
              <w:ind w:left="169"/>
              <w:jc w:val="left"/>
              <w:rPr>
                <w:sz w:val="18"/>
              </w:rPr>
            </w:pPr>
            <w:r>
              <w:rPr>
                <w:sz w:val="18"/>
              </w:rPr>
              <w:t>Entidades</w:t>
            </w:r>
            <w:r>
              <w:rPr>
                <w:spacing w:val="24"/>
                <w:sz w:val="18"/>
              </w:rPr>
              <w:t xml:space="preserve"> </w:t>
            </w:r>
            <w:r>
              <w:rPr>
                <w:spacing w:val="-2"/>
                <w:sz w:val="18"/>
              </w:rPr>
              <w:t>Governamentais:</w:t>
            </w:r>
          </w:p>
        </w:tc>
        <w:tc>
          <w:tcPr>
            <w:tcW w:w="1300" w:type="dxa"/>
          </w:tcPr>
          <w:p w14:paraId="0A7D88BD" w14:textId="77777777" w:rsidR="002C6574" w:rsidRDefault="00000000">
            <w:pPr>
              <w:pStyle w:val="TableParagraph"/>
              <w:spacing w:line="212" w:lineRule="exact"/>
              <w:ind w:right="57"/>
              <w:rPr>
                <w:sz w:val="18"/>
              </w:rPr>
            </w:pPr>
            <w:r>
              <w:rPr>
                <w:spacing w:val="-2"/>
                <w:w w:val="105"/>
                <w:sz w:val="18"/>
              </w:rPr>
              <w:t>344.281</w:t>
            </w:r>
          </w:p>
        </w:tc>
        <w:tc>
          <w:tcPr>
            <w:tcW w:w="1302" w:type="dxa"/>
          </w:tcPr>
          <w:p w14:paraId="0CF3819F" w14:textId="77777777" w:rsidR="002C6574" w:rsidRDefault="00000000">
            <w:pPr>
              <w:pStyle w:val="TableParagraph"/>
              <w:spacing w:line="212" w:lineRule="exact"/>
              <w:ind w:right="56"/>
              <w:rPr>
                <w:sz w:val="18"/>
              </w:rPr>
            </w:pPr>
            <w:r>
              <w:rPr>
                <w:spacing w:val="-2"/>
                <w:w w:val="105"/>
                <w:sz w:val="18"/>
              </w:rPr>
              <w:t>187.604</w:t>
            </w:r>
          </w:p>
        </w:tc>
      </w:tr>
      <w:tr w:rsidR="002C6574" w14:paraId="5486FCF9" w14:textId="77777777">
        <w:trPr>
          <w:trHeight w:val="232"/>
        </w:trPr>
        <w:tc>
          <w:tcPr>
            <w:tcW w:w="7166" w:type="dxa"/>
          </w:tcPr>
          <w:p w14:paraId="13E668EE" w14:textId="77777777" w:rsidR="002C6574" w:rsidRDefault="00000000">
            <w:pPr>
              <w:pStyle w:val="TableParagraph"/>
              <w:spacing w:line="212" w:lineRule="exact"/>
              <w:ind w:left="429"/>
              <w:jc w:val="left"/>
              <w:rPr>
                <w:sz w:val="18"/>
              </w:rPr>
            </w:pPr>
            <w:r>
              <w:rPr>
                <w:spacing w:val="-2"/>
                <w:sz w:val="18"/>
              </w:rPr>
              <w:t>Ministérios</w:t>
            </w:r>
          </w:p>
        </w:tc>
        <w:tc>
          <w:tcPr>
            <w:tcW w:w="1300" w:type="dxa"/>
          </w:tcPr>
          <w:p w14:paraId="09542F15" w14:textId="77777777" w:rsidR="002C6574" w:rsidRDefault="00000000">
            <w:pPr>
              <w:pStyle w:val="TableParagraph"/>
              <w:spacing w:line="212" w:lineRule="exact"/>
              <w:ind w:right="56"/>
              <w:rPr>
                <w:sz w:val="18"/>
              </w:rPr>
            </w:pPr>
            <w:r>
              <w:rPr>
                <w:spacing w:val="-2"/>
                <w:w w:val="105"/>
                <w:sz w:val="18"/>
              </w:rPr>
              <w:t>336.455</w:t>
            </w:r>
          </w:p>
        </w:tc>
        <w:tc>
          <w:tcPr>
            <w:tcW w:w="1302" w:type="dxa"/>
          </w:tcPr>
          <w:p w14:paraId="7D9EEA14" w14:textId="77777777" w:rsidR="002C6574" w:rsidRDefault="00000000">
            <w:pPr>
              <w:pStyle w:val="TableParagraph"/>
              <w:spacing w:line="212" w:lineRule="exact"/>
              <w:ind w:right="56"/>
              <w:rPr>
                <w:sz w:val="18"/>
              </w:rPr>
            </w:pPr>
            <w:r>
              <w:rPr>
                <w:spacing w:val="-2"/>
                <w:w w:val="105"/>
                <w:sz w:val="18"/>
              </w:rPr>
              <w:t>177.995</w:t>
            </w:r>
          </w:p>
        </w:tc>
      </w:tr>
      <w:tr w:rsidR="002C6574" w14:paraId="14BD9FCF" w14:textId="77777777">
        <w:trPr>
          <w:trHeight w:val="232"/>
        </w:trPr>
        <w:tc>
          <w:tcPr>
            <w:tcW w:w="7166" w:type="dxa"/>
          </w:tcPr>
          <w:p w14:paraId="59A3B219" w14:textId="77777777" w:rsidR="002C6574" w:rsidRDefault="00000000">
            <w:pPr>
              <w:pStyle w:val="TableParagraph"/>
              <w:spacing w:line="212" w:lineRule="exact"/>
              <w:ind w:left="429"/>
              <w:jc w:val="left"/>
              <w:rPr>
                <w:sz w:val="18"/>
              </w:rPr>
            </w:pPr>
            <w:r>
              <w:rPr>
                <w:sz w:val="18"/>
              </w:rPr>
              <w:t>Demais</w:t>
            </w:r>
            <w:r>
              <w:rPr>
                <w:spacing w:val="20"/>
                <w:sz w:val="18"/>
              </w:rPr>
              <w:t xml:space="preserve"> </w:t>
            </w:r>
            <w:r>
              <w:rPr>
                <w:sz w:val="18"/>
              </w:rPr>
              <w:t>Entidades</w:t>
            </w:r>
            <w:r>
              <w:rPr>
                <w:spacing w:val="24"/>
                <w:sz w:val="18"/>
              </w:rPr>
              <w:t xml:space="preserve"> </w:t>
            </w:r>
            <w:r>
              <w:rPr>
                <w:spacing w:val="-5"/>
                <w:sz w:val="18"/>
              </w:rPr>
              <w:t>(i)</w:t>
            </w:r>
          </w:p>
        </w:tc>
        <w:tc>
          <w:tcPr>
            <w:tcW w:w="1300" w:type="dxa"/>
          </w:tcPr>
          <w:p w14:paraId="77F45A85" w14:textId="77777777" w:rsidR="002C6574" w:rsidRDefault="00000000">
            <w:pPr>
              <w:pStyle w:val="TableParagraph"/>
              <w:spacing w:line="212" w:lineRule="exact"/>
              <w:ind w:right="57"/>
              <w:rPr>
                <w:sz w:val="18"/>
              </w:rPr>
            </w:pPr>
            <w:r>
              <w:rPr>
                <w:spacing w:val="-2"/>
                <w:w w:val="110"/>
                <w:sz w:val="18"/>
              </w:rPr>
              <w:t>7.826</w:t>
            </w:r>
          </w:p>
        </w:tc>
        <w:tc>
          <w:tcPr>
            <w:tcW w:w="1302" w:type="dxa"/>
          </w:tcPr>
          <w:p w14:paraId="7441A0AA" w14:textId="77777777" w:rsidR="002C6574" w:rsidRDefault="00000000">
            <w:pPr>
              <w:pStyle w:val="TableParagraph"/>
              <w:spacing w:line="212" w:lineRule="exact"/>
              <w:ind w:right="56"/>
              <w:rPr>
                <w:sz w:val="18"/>
              </w:rPr>
            </w:pPr>
            <w:r>
              <w:rPr>
                <w:spacing w:val="-4"/>
                <w:w w:val="110"/>
                <w:sz w:val="18"/>
              </w:rPr>
              <w:t>9.609</w:t>
            </w:r>
          </w:p>
        </w:tc>
      </w:tr>
      <w:tr w:rsidR="002C6574" w14:paraId="2A1EE985" w14:textId="77777777">
        <w:trPr>
          <w:trHeight w:val="232"/>
        </w:trPr>
        <w:tc>
          <w:tcPr>
            <w:tcW w:w="7166" w:type="dxa"/>
          </w:tcPr>
          <w:p w14:paraId="49A87A07" w14:textId="77777777" w:rsidR="002C6574" w:rsidRDefault="00000000">
            <w:pPr>
              <w:pStyle w:val="TableParagraph"/>
              <w:spacing w:line="212" w:lineRule="exact"/>
              <w:ind w:left="249"/>
              <w:jc w:val="left"/>
              <w:rPr>
                <w:sz w:val="18"/>
              </w:rPr>
            </w:pPr>
            <w:r>
              <w:rPr>
                <w:sz w:val="18"/>
              </w:rPr>
              <w:t>Empresas</w:t>
            </w:r>
            <w:r>
              <w:rPr>
                <w:spacing w:val="10"/>
                <w:sz w:val="18"/>
              </w:rPr>
              <w:t xml:space="preserve"> </w:t>
            </w:r>
            <w:r>
              <w:rPr>
                <w:sz w:val="18"/>
              </w:rPr>
              <w:t>de</w:t>
            </w:r>
            <w:r>
              <w:rPr>
                <w:spacing w:val="12"/>
                <w:sz w:val="18"/>
              </w:rPr>
              <w:t xml:space="preserve"> </w:t>
            </w:r>
            <w:r>
              <w:rPr>
                <w:sz w:val="18"/>
              </w:rPr>
              <w:t>Tecnologia</w:t>
            </w:r>
            <w:r>
              <w:rPr>
                <w:spacing w:val="9"/>
                <w:sz w:val="18"/>
              </w:rPr>
              <w:t xml:space="preserve"> </w:t>
            </w:r>
            <w:r>
              <w:rPr>
                <w:sz w:val="18"/>
              </w:rPr>
              <w:t>da</w:t>
            </w:r>
            <w:r>
              <w:rPr>
                <w:spacing w:val="13"/>
                <w:sz w:val="18"/>
              </w:rPr>
              <w:t xml:space="preserve"> </w:t>
            </w:r>
            <w:r>
              <w:rPr>
                <w:sz w:val="18"/>
              </w:rPr>
              <w:t>Informação</w:t>
            </w:r>
            <w:r>
              <w:rPr>
                <w:spacing w:val="8"/>
                <w:sz w:val="18"/>
              </w:rPr>
              <w:t xml:space="preserve"> </w:t>
            </w:r>
            <w:r>
              <w:rPr>
                <w:sz w:val="18"/>
              </w:rPr>
              <w:t>da</w:t>
            </w:r>
            <w:r>
              <w:rPr>
                <w:spacing w:val="10"/>
                <w:sz w:val="18"/>
              </w:rPr>
              <w:t xml:space="preserve"> </w:t>
            </w:r>
            <w:r>
              <w:rPr>
                <w:sz w:val="18"/>
              </w:rPr>
              <w:t>Prev.</w:t>
            </w:r>
            <w:r>
              <w:rPr>
                <w:spacing w:val="11"/>
                <w:sz w:val="18"/>
              </w:rPr>
              <w:t xml:space="preserve"> </w:t>
            </w:r>
            <w:r>
              <w:rPr>
                <w:sz w:val="18"/>
              </w:rPr>
              <w:t>Social</w:t>
            </w:r>
            <w:r>
              <w:rPr>
                <w:spacing w:val="12"/>
                <w:sz w:val="18"/>
              </w:rPr>
              <w:t xml:space="preserve"> </w:t>
            </w:r>
            <w:r>
              <w:rPr>
                <w:sz w:val="18"/>
              </w:rPr>
              <w:t>-</w:t>
            </w:r>
            <w:r>
              <w:rPr>
                <w:spacing w:val="11"/>
                <w:sz w:val="18"/>
              </w:rPr>
              <w:t xml:space="preserve"> </w:t>
            </w:r>
            <w:r>
              <w:rPr>
                <w:spacing w:val="-2"/>
                <w:sz w:val="18"/>
              </w:rPr>
              <w:t>Dataprev</w:t>
            </w:r>
          </w:p>
        </w:tc>
        <w:tc>
          <w:tcPr>
            <w:tcW w:w="1300" w:type="dxa"/>
          </w:tcPr>
          <w:p w14:paraId="5F5E305D" w14:textId="77777777" w:rsidR="002C6574" w:rsidRDefault="00000000">
            <w:pPr>
              <w:pStyle w:val="TableParagraph"/>
              <w:spacing w:line="212" w:lineRule="exact"/>
              <w:ind w:right="56"/>
              <w:rPr>
                <w:sz w:val="18"/>
              </w:rPr>
            </w:pPr>
            <w:r>
              <w:rPr>
                <w:spacing w:val="-5"/>
                <w:w w:val="105"/>
                <w:sz w:val="18"/>
              </w:rPr>
              <w:t>47</w:t>
            </w:r>
          </w:p>
        </w:tc>
        <w:tc>
          <w:tcPr>
            <w:tcW w:w="1302" w:type="dxa"/>
          </w:tcPr>
          <w:p w14:paraId="3B72471D" w14:textId="77777777" w:rsidR="002C6574" w:rsidRDefault="00000000">
            <w:pPr>
              <w:pStyle w:val="TableParagraph"/>
              <w:spacing w:line="212" w:lineRule="exact"/>
              <w:ind w:right="56"/>
              <w:rPr>
                <w:sz w:val="18"/>
              </w:rPr>
            </w:pPr>
            <w:r>
              <w:rPr>
                <w:spacing w:val="-5"/>
                <w:w w:val="105"/>
                <w:sz w:val="18"/>
              </w:rPr>
              <w:t>28</w:t>
            </w:r>
          </w:p>
        </w:tc>
      </w:tr>
      <w:tr w:rsidR="002C6574" w14:paraId="7B13D949" w14:textId="77777777">
        <w:trPr>
          <w:trHeight w:val="230"/>
        </w:trPr>
        <w:tc>
          <w:tcPr>
            <w:tcW w:w="7166" w:type="dxa"/>
          </w:tcPr>
          <w:p w14:paraId="7EF15FD1" w14:textId="77777777" w:rsidR="002C6574" w:rsidRDefault="00000000">
            <w:pPr>
              <w:pStyle w:val="TableParagraph"/>
              <w:spacing w:line="210" w:lineRule="exact"/>
              <w:ind w:left="249"/>
              <w:jc w:val="left"/>
              <w:rPr>
                <w:sz w:val="18"/>
              </w:rPr>
            </w:pPr>
            <w:r>
              <w:rPr>
                <w:sz w:val="18"/>
              </w:rPr>
              <w:t>Instituto</w:t>
            </w:r>
            <w:r>
              <w:rPr>
                <w:spacing w:val="-4"/>
                <w:sz w:val="18"/>
              </w:rPr>
              <w:t xml:space="preserve"> </w:t>
            </w:r>
            <w:r>
              <w:rPr>
                <w:sz w:val="18"/>
              </w:rPr>
              <w:t>Nacional</w:t>
            </w:r>
            <w:r>
              <w:rPr>
                <w:spacing w:val="-3"/>
                <w:sz w:val="18"/>
              </w:rPr>
              <w:t xml:space="preserve"> </w:t>
            </w:r>
            <w:r>
              <w:rPr>
                <w:sz w:val="18"/>
              </w:rPr>
              <w:t>do</w:t>
            </w:r>
            <w:r>
              <w:rPr>
                <w:spacing w:val="-7"/>
                <w:sz w:val="18"/>
              </w:rPr>
              <w:t xml:space="preserve"> </w:t>
            </w:r>
            <w:r>
              <w:rPr>
                <w:sz w:val="18"/>
              </w:rPr>
              <w:t>Seguro</w:t>
            </w:r>
            <w:r>
              <w:rPr>
                <w:spacing w:val="-3"/>
                <w:sz w:val="18"/>
              </w:rPr>
              <w:t xml:space="preserve"> </w:t>
            </w:r>
            <w:r>
              <w:rPr>
                <w:sz w:val="18"/>
              </w:rPr>
              <w:t>Social</w:t>
            </w:r>
            <w:r>
              <w:rPr>
                <w:spacing w:val="-3"/>
                <w:sz w:val="18"/>
              </w:rPr>
              <w:t xml:space="preserve"> </w:t>
            </w:r>
            <w:r>
              <w:rPr>
                <w:sz w:val="18"/>
              </w:rPr>
              <w:t>-</w:t>
            </w:r>
            <w:r>
              <w:rPr>
                <w:spacing w:val="-6"/>
                <w:sz w:val="18"/>
              </w:rPr>
              <w:t xml:space="preserve"> </w:t>
            </w:r>
            <w:r>
              <w:rPr>
                <w:spacing w:val="-4"/>
                <w:sz w:val="18"/>
              </w:rPr>
              <w:t>INSS</w:t>
            </w:r>
          </w:p>
        </w:tc>
        <w:tc>
          <w:tcPr>
            <w:tcW w:w="1300" w:type="dxa"/>
          </w:tcPr>
          <w:p w14:paraId="0CF5C03A" w14:textId="77777777" w:rsidR="002C6574" w:rsidRDefault="00000000">
            <w:pPr>
              <w:pStyle w:val="TableParagraph"/>
              <w:spacing w:line="210" w:lineRule="exact"/>
              <w:ind w:right="57"/>
              <w:rPr>
                <w:sz w:val="18"/>
              </w:rPr>
            </w:pPr>
            <w:r>
              <w:rPr>
                <w:spacing w:val="-2"/>
                <w:w w:val="105"/>
                <w:sz w:val="18"/>
              </w:rPr>
              <w:t>40.935</w:t>
            </w:r>
          </w:p>
        </w:tc>
        <w:tc>
          <w:tcPr>
            <w:tcW w:w="1302" w:type="dxa"/>
          </w:tcPr>
          <w:p w14:paraId="4ADC28BE" w14:textId="77777777" w:rsidR="002C6574" w:rsidRDefault="00000000">
            <w:pPr>
              <w:pStyle w:val="TableParagraph"/>
              <w:spacing w:line="210" w:lineRule="exact"/>
              <w:ind w:right="56"/>
              <w:rPr>
                <w:sz w:val="18"/>
              </w:rPr>
            </w:pPr>
            <w:r>
              <w:rPr>
                <w:spacing w:val="-4"/>
                <w:w w:val="110"/>
                <w:sz w:val="18"/>
              </w:rPr>
              <w:t>6.173</w:t>
            </w:r>
          </w:p>
        </w:tc>
      </w:tr>
      <w:tr w:rsidR="002C6574" w14:paraId="7DCDA743" w14:textId="77777777">
        <w:trPr>
          <w:trHeight w:val="232"/>
        </w:trPr>
        <w:tc>
          <w:tcPr>
            <w:tcW w:w="7166" w:type="dxa"/>
          </w:tcPr>
          <w:p w14:paraId="4383C4AC" w14:textId="77777777" w:rsidR="002C6574" w:rsidRDefault="00000000">
            <w:pPr>
              <w:pStyle w:val="TableParagraph"/>
              <w:spacing w:line="212" w:lineRule="exact"/>
              <w:ind w:left="249"/>
              <w:jc w:val="left"/>
              <w:rPr>
                <w:sz w:val="18"/>
              </w:rPr>
            </w:pPr>
            <w:r>
              <w:rPr>
                <w:sz w:val="18"/>
              </w:rPr>
              <w:t>Empresa</w:t>
            </w:r>
            <w:r>
              <w:rPr>
                <w:spacing w:val="15"/>
                <w:sz w:val="18"/>
              </w:rPr>
              <w:t xml:space="preserve"> </w:t>
            </w:r>
            <w:r>
              <w:rPr>
                <w:sz w:val="18"/>
              </w:rPr>
              <w:t>Brasileira</w:t>
            </w:r>
            <w:r>
              <w:rPr>
                <w:spacing w:val="12"/>
                <w:sz w:val="18"/>
              </w:rPr>
              <w:t xml:space="preserve"> </w:t>
            </w:r>
            <w:r>
              <w:rPr>
                <w:sz w:val="18"/>
              </w:rPr>
              <w:t>de</w:t>
            </w:r>
            <w:r>
              <w:rPr>
                <w:spacing w:val="15"/>
                <w:sz w:val="18"/>
              </w:rPr>
              <w:t xml:space="preserve"> </w:t>
            </w:r>
            <w:r>
              <w:rPr>
                <w:sz w:val="18"/>
              </w:rPr>
              <w:t>Comunicação</w:t>
            </w:r>
            <w:r>
              <w:rPr>
                <w:spacing w:val="19"/>
                <w:sz w:val="18"/>
              </w:rPr>
              <w:t xml:space="preserve"> </w:t>
            </w:r>
            <w:r>
              <w:rPr>
                <w:sz w:val="18"/>
              </w:rPr>
              <w:t>-</w:t>
            </w:r>
            <w:r>
              <w:rPr>
                <w:spacing w:val="15"/>
                <w:sz w:val="18"/>
              </w:rPr>
              <w:t xml:space="preserve"> </w:t>
            </w:r>
            <w:r>
              <w:rPr>
                <w:spacing w:val="-5"/>
                <w:sz w:val="18"/>
              </w:rPr>
              <w:t>EBC</w:t>
            </w:r>
          </w:p>
        </w:tc>
        <w:tc>
          <w:tcPr>
            <w:tcW w:w="1300" w:type="dxa"/>
          </w:tcPr>
          <w:p w14:paraId="311CDDC4" w14:textId="77777777" w:rsidR="002C6574" w:rsidRDefault="00000000">
            <w:pPr>
              <w:pStyle w:val="TableParagraph"/>
              <w:spacing w:line="212" w:lineRule="exact"/>
              <w:ind w:right="57"/>
              <w:rPr>
                <w:sz w:val="18"/>
              </w:rPr>
            </w:pPr>
            <w:r>
              <w:rPr>
                <w:spacing w:val="-5"/>
                <w:w w:val="105"/>
                <w:sz w:val="18"/>
              </w:rPr>
              <w:t>337</w:t>
            </w:r>
          </w:p>
        </w:tc>
        <w:tc>
          <w:tcPr>
            <w:tcW w:w="1302" w:type="dxa"/>
          </w:tcPr>
          <w:p w14:paraId="3B747588" w14:textId="77777777" w:rsidR="002C6574" w:rsidRDefault="00000000">
            <w:pPr>
              <w:pStyle w:val="TableParagraph"/>
              <w:spacing w:line="212" w:lineRule="exact"/>
              <w:ind w:right="55"/>
              <w:rPr>
                <w:sz w:val="18"/>
              </w:rPr>
            </w:pPr>
            <w:r>
              <w:rPr>
                <w:spacing w:val="-10"/>
                <w:w w:val="95"/>
                <w:sz w:val="18"/>
              </w:rPr>
              <w:t>-</w:t>
            </w:r>
          </w:p>
        </w:tc>
      </w:tr>
      <w:tr w:rsidR="002C6574" w14:paraId="48099B98" w14:textId="77777777">
        <w:trPr>
          <w:trHeight w:val="232"/>
        </w:trPr>
        <w:tc>
          <w:tcPr>
            <w:tcW w:w="7166" w:type="dxa"/>
          </w:tcPr>
          <w:p w14:paraId="5596B2C5" w14:textId="77777777" w:rsidR="002C6574" w:rsidRDefault="00000000">
            <w:pPr>
              <w:pStyle w:val="TableParagraph"/>
              <w:spacing w:before="13" w:line="199" w:lineRule="exact"/>
              <w:ind w:left="69"/>
              <w:jc w:val="left"/>
              <w:rPr>
                <w:rFonts w:ascii="Arial" w:hAnsi="Arial"/>
                <w:b/>
                <w:sz w:val="18"/>
              </w:rPr>
            </w:pPr>
            <w:r>
              <w:rPr>
                <w:rFonts w:ascii="Arial" w:hAnsi="Arial"/>
                <w:b/>
                <w:sz w:val="18"/>
              </w:rPr>
              <w:t>b)</w:t>
            </w:r>
            <w:r>
              <w:rPr>
                <w:rFonts w:ascii="Arial" w:hAnsi="Arial"/>
                <w:b/>
                <w:spacing w:val="1"/>
                <w:sz w:val="18"/>
              </w:rPr>
              <w:t xml:space="preserve"> </w:t>
            </w:r>
            <w:r>
              <w:rPr>
                <w:rFonts w:ascii="Arial" w:hAnsi="Arial"/>
                <w:b/>
                <w:spacing w:val="-2"/>
                <w:sz w:val="18"/>
              </w:rPr>
              <w:t>Cauções</w:t>
            </w:r>
          </w:p>
        </w:tc>
        <w:tc>
          <w:tcPr>
            <w:tcW w:w="1300" w:type="dxa"/>
          </w:tcPr>
          <w:p w14:paraId="11550C1B" w14:textId="77777777" w:rsidR="002C6574" w:rsidRDefault="00000000">
            <w:pPr>
              <w:pStyle w:val="TableParagraph"/>
              <w:spacing w:before="13" w:line="199" w:lineRule="exact"/>
              <w:ind w:right="56"/>
              <w:rPr>
                <w:rFonts w:ascii="Arial"/>
                <w:b/>
                <w:sz w:val="18"/>
              </w:rPr>
            </w:pPr>
            <w:r>
              <w:rPr>
                <w:rFonts w:ascii="Arial"/>
                <w:b/>
                <w:spacing w:val="-2"/>
                <w:sz w:val="18"/>
              </w:rPr>
              <w:t>2.715</w:t>
            </w:r>
          </w:p>
        </w:tc>
        <w:tc>
          <w:tcPr>
            <w:tcW w:w="1302" w:type="dxa"/>
          </w:tcPr>
          <w:p w14:paraId="06BE27CD" w14:textId="77777777" w:rsidR="002C6574" w:rsidRDefault="00000000">
            <w:pPr>
              <w:pStyle w:val="TableParagraph"/>
              <w:spacing w:before="13" w:line="199" w:lineRule="exact"/>
              <w:ind w:right="56"/>
              <w:rPr>
                <w:rFonts w:ascii="Arial"/>
                <w:b/>
                <w:sz w:val="18"/>
              </w:rPr>
            </w:pPr>
            <w:r>
              <w:rPr>
                <w:rFonts w:ascii="Arial"/>
                <w:b/>
                <w:spacing w:val="-5"/>
                <w:sz w:val="18"/>
              </w:rPr>
              <w:t>979</w:t>
            </w:r>
          </w:p>
        </w:tc>
      </w:tr>
      <w:tr w:rsidR="002C6574" w14:paraId="06B878F7" w14:textId="77777777">
        <w:trPr>
          <w:trHeight w:val="232"/>
        </w:trPr>
        <w:tc>
          <w:tcPr>
            <w:tcW w:w="7166" w:type="dxa"/>
          </w:tcPr>
          <w:p w14:paraId="33A2F1EF" w14:textId="77777777" w:rsidR="002C6574" w:rsidRDefault="00000000">
            <w:pPr>
              <w:pStyle w:val="TableParagraph"/>
              <w:spacing w:line="212" w:lineRule="exact"/>
              <w:ind w:left="249"/>
              <w:jc w:val="left"/>
              <w:rPr>
                <w:sz w:val="18"/>
              </w:rPr>
            </w:pPr>
            <w:r>
              <w:rPr>
                <w:sz w:val="18"/>
              </w:rPr>
              <w:t>Ministérios</w:t>
            </w:r>
            <w:r>
              <w:rPr>
                <w:spacing w:val="7"/>
                <w:sz w:val="18"/>
              </w:rPr>
              <w:t xml:space="preserve"> </w:t>
            </w:r>
            <w:r>
              <w:rPr>
                <w:sz w:val="18"/>
              </w:rPr>
              <w:t>e</w:t>
            </w:r>
            <w:r>
              <w:rPr>
                <w:spacing w:val="8"/>
                <w:sz w:val="18"/>
              </w:rPr>
              <w:t xml:space="preserve"> </w:t>
            </w:r>
            <w:r>
              <w:rPr>
                <w:sz w:val="18"/>
              </w:rPr>
              <w:t>Demais</w:t>
            </w:r>
            <w:r>
              <w:rPr>
                <w:spacing w:val="6"/>
                <w:sz w:val="18"/>
              </w:rPr>
              <w:t xml:space="preserve"> </w:t>
            </w:r>
            <w:r>
              <w:rPr>
                <w:sz w:val="18"/>
              </w:rPr>
              <w:t>Entidades</w:t>
            </w:r>
            <w:r>
              <w:rPr>
                <w:spacing w:val="8"/>
                <w:sz w:val="18"/>
              </w:rPr>
              <w:t xml:space="preserve"> </w:t>
            </w:r>
            <w:r>
              <w:rPr>
                <w:spacing w:val="-5"/>
                <w:sz w:val="18"/>
              </w:rPr>
              <w:t>(i)</w:t>
            </w:r>
          </w:p>
        </w:tc>
        <w:tc>
          <w:tcPr>
            <w:tcW w:w="1300" w:type="dxa"/>
          </w:tcPr>
          <w:p w14:paraId="0D281DE4" w14:textId="77777777" w:rsidR="002C6574" w:rsidRDefault="00000000">
            <w:pPr>
              <w:pStyle w:val="TableParagraph"/>
              <w:spacing w:line="212" w:lineRule="exact"/>
              <w:ind w:right="57"/>
              <w:rPr>
                <w:sz w:val="18"/>
              </w:rPr>
            </w:pPr>
            <w:r>
              <w:rPr>
                <w:spacing w:val="-4"/>
                <w:w w:val="110"/>
                <w:sz w:val="18"/>
              </w:rPr>
              <w:t>2.715</w:t>
            </w:r>
          </w:p>
        </w:tc>
        <w:tc>
          <w:tcPr>
            <w:tcW w:w="1302" w:type="dxa"/>
          </w:tcPr>
          <w:p w14:paraId="570F72EB" w14:textId="77777777" w:rsidR="002C6574" w:rsidRDefault="00000000">
            <w:pPr>
              <w:pStyle w:val="TableParagraph"/>
              <w:spacing w:line="212" w:lineRule="exact"/>
              <w:ind w:right="56"/>
              <w:rPr>
                <w:sz w:val="18"/>
              </w:rPr>
            </w:pPr>
            <w:r>
              <w:rPr>
                <w:spacing w:val="-5"/>
                <w:w w:val="105"/>
                <w:sz w:val="18"/>
              </w:rPr>
              <w:t>979</w:t>
            </w:r>
          </w:p>
        </w:tc>
      </w:tr>
      <w:tr w:rsidR="002C6574" w14:paraId="216D4296" w14:textId="77777777">
        <w:trPr>
          <w:trHeight w:val="232"/>
        </w:trPr>
        <w:tc>
          <w:tcPr>
            <w:tcW w:w="7166" w:type="dxa"/>
          </w:tcPr>
          <w:p w14:paraId="6E055C2B" w14:textId="77777777" w:rsidR="002C6574" w:rsidRDefault="00000000">
            <w:pPr>
              <w:pStyle w:val="TableParagraph"/>
              <w:spacing w:before="11" w:line="201" w:lineRule="exact"/>
              <w:ind w:left="69"/>
              <w:jc w:val="left"/>
              <w:rPr>
                <w:rFonts w:ascii="Arial"/>
                <w:b/>
                <w:sz w:val="18"/>
              </w:rPr>
            </w:pPr>
            <w:r>
              <w:rPr>
                <w:rFonts w:ascii="Arial"/>
                <w:b/>
                <w:sz w:val="18"/>
              </w:rPr>
              <w:t>c) Dividendos</w:t>
            </w:r>
            <w:r>
              <w:rPr>
                <w:rFonts w:ascii="Arial"/>
                <w:b/>
                <w:spacing w:val="-2"/>
                <w:sz w:val="18"/>
              </w:rPr>
              <w:t xml:space="preserve"> </w:t>
            </w:r>
            <w:r>
              <w:rPr>
                <w:rFonts w:ascii="Arial"/>
                <w:b/>
                <w:sz w:val="18"/>
              </w:rPr>
              <w:t>a</w:t>
            </w:r>
            <w:r>
              <w:rPr>
                <w:rFonts w:ascii="Arial"/>
                <w:b/>
                <w:spacing w:val="2"/>
                <w:sz w:val="18"/>
              </w:rPr>
              <w:t xml:space="preserve"> </w:t>
            </w:r>
            <w:r>
              <w:rPr>
                <w:rFonts w:ascii="Arial"/>
                <w:b/>
                <w:spacing w:val="-2"/>
                <w:sz w:val="18"/>
              </w:rPr>
              <w:t>Receber</w:t>
            </w:r>
          </w:p>
        </w:tc>
        <w:tc>
          <w:tcPr>
            <w:tcW w:w="1300" w:type="dxa"/>
          </w:tcPr>
          <w:p w14:paraId="5EADBF8D" w14:textId="77777777" w:rsidR="002C6574" w:rsidRDefault="00000000">
            <w:pPr>
              <w:pStyle w:val="TableParagraph"/>
              <w:spacing w:before="11" w:line="201" w:lineRule="exact"/>
              <w:ind w:right="56"/>
              <w:rPr>
                <w:rFonts w:ascii="Arial"/>
                <w:b/>
                <w:sz w:val="18"/>
              </w:rPr>
            </w:pPr>
            <w:r>
              <w:rPr>
                <w:rFonts w:ascii="Arial"/>
                <w:b/>
                <w:spacing w:val="-10"/>
                <w:sz w:val="18"/>
              </w:rPr>
              <w:t>-</w:t>
            </w:r>
          </w:p>
        </w:tc>
        <w:tc>
          <w:tcPr>
            <w:tcW w:w="1302" w:type="dxa"/>
          </w:tcPr>
          <w:p w14:paraId="4A9A6DA5" w14:textId="77777777" w:rsidR="002C6574" w:rsidRDefault="00000000">
            <w:pPr>
              <w:pStyle w:val="TableParagraph"/>
              <w:spacing w:before="11" w:line="201" w:lineRule="exact"/>
              <w:ind w:right="56"/>
              <w:rPr>
                <w:rFonts w:ascii="Arial"/>
                <w:b/>
                <w:sz w:val="18"/>
              </w:rPr>
            </w:pPr>
            <w:r>
              <w:rPr>
                <w:rFonts w:ascii="Arial"/>
                <w:b/>
                <w:spacing w:val="-2"/>
                <w:sz w:val="18"/>
              </w:rPr>
              <w:t>5.456</w:t>
            </w:r>
          </w:p>
        </w:tc>
      </w:tr>
      <w:tr w:rsidR="002C6574" w14:paraId="1D4F265C" w14:textId="77777777">
        <w:trPr>
          <w:trHeight w:val="232"/>
        </w:trPr>
        <w:tc>
          <w:tcPr>
            <w:tcW w:w="7166" w:type="dxa"/>
          </w:tcPr>
          <w:p w14:paraId="77A040B1" w14:textId="77777777" w:rsidR="002C6574" w:rsidRDefault="00000000">
            <w:pPr>
              <w:pStyle w:val="TableParagraph"/>
              <w:spacing w:line="212" w:lineRule="exact"/>
              <w:ind w:left="249"/>
              <w:jc w:val="left"/>
              <w:rPr>
                <w:sz w:val="18"/>
              </w:rPr>
            </w:pPr>
            <w:r>
              <w:rPr>
                <w:sz w:val="18"/>
              </w:rPr>
              <w:t>Visiona</w:t>
            </w:r>
            <w:r>
              <w:rPr>
                <w:spacing w:val="20"/>
                <w:sz w:val="18"/>
              </w:rPr>
              <w:t xml:space="preserve"> </w:t>
            </w:r>
            <w:r>
              <w:rPr>
                <w:sz w:val="18"/>
              </w:rPr>
              <w:t>Tecnologia</w:t>
            </w:r>
            <w:r>
              <w:rPr>
                <w:spacing w:val="21"/>
                <w:sz w:val="18"/>
              </w:rPr>
              <w:t xml:space="preserve"> </w:t>
            </w:r>
            <w:r>
              <w:rPr>
                <w:sz w:val="18"/>
              </w:rPr>
              <w:t>Espacial</w:t>
            </w:r>
            <w:r>
              <w:rPr>
                <w:spacing w:val="23"/>
                <w:sz w:val="18"/>
              </w:rPr>
              <w:t xml:space="preserve"> </w:t>
            </w:r>
            <w:r>
              <w:rPr>
                <w:spacing w:val="-5"/>
                <w:sz w:val="18"/>
              </w:rPr>
              <w:t>S.A</w:t>
            </w:r>
          </w:p>
        </w:tc>
        <w:tc>
          <w:tcPr>
            <w:tcW w:w="1300" w:type="dxa"/>
          </w:tcPr>
          <w:p w14:paraId="59DEBC16" w14:textId="77777777" w:rsidR="002C6574" w:rsidRDefault="00000000">
            <w:pPr>
              <w:pStyle w:val="TableParagraph"/>
              <w:spacing w:line="212" w:lineRule="exact"/>
              <w:ind w:right="57"/>
              <w:rPr>
                <w:sz w:val="18"/>
              </w:rPr>
            </w:pPr>
            <w:r>
              <w:rPr>
                <w:spacing w:val="-10"/>
                <w:w w:val="95"/>
                <w:sz w:val="18"/>
              </w:rPr>
              <w:t>-</w:t>
            </w:r>
          </w:p>
        </w:tc>
        <w:tc>
          <w:tcPr>
            <w:tcW w:w="1302" w:type="dxa"/>
          </w:tcPr>
          <w:p w14:paraId="50E28683" w14:textId="77777777" w:rsidR="002C6574" w:rsidRDefault="00000000">
            <w:pPr>
              <w:pStyle w:val="TableParagraph"/>
              <w:spacing w:line="212" w:lineRule="exact"/>
              <w:ind w:right="56"/>
              <w:rPr>
                <w:sz w:val="18"/>
              </w:rPr>
            </w:pPr>
            <w:r>
              <w:rPr>
                <w:spacing w:val="-4"/>
                <w:w w:val="110"/>
                <w:sz w:val="18"/>
              </w:rPr>
              <w:t>5.456</w:t>
            </w:r>
          </w:p>
        </w:tc>
      </w:tr>
      <w:tr w:rsidR="002C6574" w14:paraId="0C9DF0E1" w14:textId="77777777">
        <w:trPr>
          <w:trHeight w:val="230"/>
        </w:trPr>
        <w:tc>
          <w:tcPr>
            <w:tcW w:w="7166" w:type="dxa"/>
          </w:tcPr>
          <w:p w14:paraId="007F57F0" w14:textId="77777777" w:rsidR="002C6574" w:rsidRDefault="00000000">
            <w:pPr>
              <w:pStyle w:val="TableParagraph"/>
              <w:spacing w:before="11" w:line="199" w:lineRule="exact"/>
              <w:ind w:left="69"/>
              <w:jc w:val="left"/>
              <w:rPr>
                <w:rFonts w:ascii="Arial"/>
                <w:b/>
                <w:sz w:val="18"/>
              </w:rPr>
            </w:pPr>
            <w:r>
              <w:rPr>
                <w:rFonts w:ascii="Arial"/>
                <w:b/>
                <w:sz w:val="18"/>
              </w:rPr>
              <w:t>d) Despesas</w:t>
            </w:r>
            <w:r>
              <w:rPr>
                <w:rFonts w:ascii="Arial"/>
                <w:b/>
                <w:spacing w:val="-1"/>
                <w:sz w:val="18"/>
              </w:rPr>
              <w:t xml:space="preserve"> </w:t>
            </w:r>
            <w:r>
              <w:rPr>
                <w:rFonts w:ascii="Arial"/>
                <w:b/>
                <w:sz w:val="18"/>
              </w:rPr>
              <w:t>Pagas</w:t>
            </w:r>
            <w:r>
              <w:rPr>
                <w:rFonts w:ascii="Arial"/>
                <w:b/>
                <w:spacing w:val="2"/>
                <w:sz w:val="18"/>
              </w:rPr>
              <w:t xml:space="preserve"> </w:t>
            </w:r>
            <w:r>
              <w:rPr>
                <w:rFonts w:ascii="Arial"/>
                <w:b/>
                <w:spacing w:val="-2"/>
                <w:sz w:val="18"/>
              </w:rPr>
              <w:t>Antecipadamente</w:t>
            </w:r>
          </w:p>
        </w:tc>
        <w:tc>
          <w:tcPr>
            <w:tcW w:w="1300" w:type="dxa"/>
          </w:tcPr>
          <w:p w14:paraId="305D54BA" w14:textId="77777777" w:rsidR="002C6574" w:rsidRDefault="00000000">
            <w:pPr>
              <w:pStyle w:val="TableParagraph"/>
              <w:spacing w:before="11" w:line="199" w:lineRule="exact"/>
              <w:ind w:right="57"/>
              <w:rPr>
                <w:rFonts w:ascii="Arial"/>
                <w:b/>
                <w:sz w:val="18"/>
              </w:rPr>
            </w:pPr>
            <w:r>
              <w:rPr>
                <w:rFonts w:ascii="Arial"/>
                <w:b/>
                <w:spacing w:val="-10"/>
                <w:sz w:val="18"/>
              </w:rPr>
              <w:t>-</w:t>
            </w:r>
          </w:p>
        </w:tc>
        <w:tc>
          <w:tcPr>
            <w:tcW w:w="1302" w:type="dxa"/>
          </w:tcPr>
          <w:p w14:paraId="07882271" w14:textId="77777777" w:rsidR="002C6574" w:rsidRDefault="00000000">
            <w:pPr>
              <w:pStyle w:val="TableParagraph"/>
              <w:spacing w:before="11" w:line="199" w:lineRule="exact"/>
              <w:ind w:right="56"/>
              <w:rPr>
                <w:rFonts w:ascii="Arial"/>
                <w:b/>
                <w:sz w:val="18"/>
              </w:rPr>
            </w:pPr>
            <w:r>
              <w:rPr>
                <w:rFonts w:ascii="Arial"/>
                <w:b/>
                <w:spacing w:val="-2"/>
                <w:sz w:val="18"/>
              </w:rPr>
              <w:t>4.421</w:t>
            </w:r>
          </w:p>
        </w:tc>
      </w:tr>
      <w:tr w:rsidR="002C6574" w14:paraId="7396F825" w14:textId="77777777">
        <w:trPr>
          <w:trHeight w:val="232"/>
        </w:trPr>
        <w:tc>
          <w:tcPr>
            <w:tcW w:w="7166" w:type="dxa"/>
          </w:tcPr>
          <w:p w14:paraId="222E9CD4" w14:textId="77777777" w:rsidR="002C6574" w:rsidRDefault="00000000">
            <w:pPr>
              <w:pStyle w:val="TableParagraph"/>
              <w:spacing w:line="212" w:lineRule="exact"/>
              <w:ind w:left="249"/>
              <w:jc w:val="left"/>
              <w:rPr>
                <w:sz w:val="18"/>
              </w:rPr>
            </w:pPr>
            <w:r>
              <w:rPr>
                <w:sz w:val="18"/>
              </w:rPr>
              <w:t>Visiona</w:t>
            </w:r>
            <w:r>
              <w:rPr>
                <w:spacing w:val="1"/>
                <w:sz w:val="18"/>
              </w:rPr>
              <w:t xml:space="preserve"> </w:t>
            </w:r>
            <w:r>
              <w:rPr>
                <w:sz w:val="18"/>
              </w:rPr>
              <w:t>Internacional</w:t>
            </w:r>
            <w:r>
              <w:rPr>
                <w:spacing w:val="4"/>
                <w:sz w:val="18"/>
              </w:rPr>
              <w:t xml:space="preserve"> </w:t>
            </w:r>
            <w:r>
              <w:rPr>
                <w:spacing w:val="-5"/>
                <w:sz w:val="18"/>
              </w:rPr>
              <w:t>BV</w:t>
            </w:r>
          </w:p>
        </w:tc>
        <w:tc>
          <w:tcPr>
            <w:tcW w:w="1300" w:type="dxa"/>
          </w:tcPr>
          <w:p w14:paraId="71432BDE" w14:textId="77777777" w:rsidR="002C6574" w:rsidRDefault="00000000">
            <w:pPr>
              <w:pStyle w:val="TableParagraph"/>
              <w:spacing w:line="212" w:lineRule="exact"/>
              <w:ind w:right="56"/>
              <w:rPr>
                <w:sz w:val="18"/>
              </w:rPr>
            </w:pPr>
            <w:r>
              <w:rPr>
                <w:spacing w:val="-10"/>
                <w:w w:val="95"/>
                <w:sz w:val="18"/>
              </w:rPr>
              <w:t>-</w:t>
            </w:r>
          </w:p>
        </w:tc>
        <w:tc>
          <w:tcPr>
            <w:tcW w:w="1302" w:type="dxa"/>
          </w:tcPr>
          <w:p w14:paraId="38F6EAB5" w14:textId="77777777" w:rsidR="002C6574" w:rsidRDefault="00000000">
            <w:pPr>
              <w:pStyle w:val="TableParagraph"/>
              <w:spacing w:line="212" w:lineRule="exact"/>
              <w:ind w:right="56"/>
              <w:rPr>
                <w:sz w:val="18"/>
              </w:rPr>
            </w:pPr>
            <w:r>
              <w:rPr>
                <w:spacing w:val="-4"/>
                <w:w w:val="110"/>
                <w:sz w:val="18"/>
              </w:rPr>
              <w:t>4.421</w:t>
            </w:r>
          </w:p>
        </w:tc>
      </w:tr>
      <w:tr w:rsidR="002C6574" w14:paraId="0BEB41E6" w14:textId="77777777">
        <w:trPr>
          <w:trHeight w:val="232"/>
        </w:trPr>
        <w:tc>
          <w:tcPr>
            <w:tcW w:w="7166" w:type="dxa"/>
            <w:shd w:val="clear" w:color="auto" w:fill="D8D8D8"/>
          </w:tcPr>
          <w:p w14:paraId="01BA8DD8" w14:textId="77777777" w:rsidR="002C6574" w:rsidRDefault="00000000">
            <w:pPr>
              <w:pStyle w:val="TableParagraph"/>
              <w:spacing w:before="13" w:line="199" w:lineRule="exact"/>
              <w:ind w:left="69"/>
              <w:jc w:val="left"/>
              <w:rPr>
                <w:rFonts w:ascii="Arial"/>
                <w:b/>
                <w:sz w:val="18"/>
              </w:rPr>
            </w:pPr>
            <w:r>
              <w:rPr>
                <w:rFonts w:ascii="Arial"/>
                <w:b/>
                <w:spacing w:val="-2"/>
                <w:sz w:val="18"/>
              </w:rPr>
              <w:t>Passivo</w:t>
            </w:r>
          </w:p>
        </w:tc>
        <w:tc>
          <w:tcPr>
            <w:tcW w:w="1300" w:type="dxa"/>
            <w:shd w:val="clear" w:color="auto" w:fill="D8D8D8"/>
          </w:tcPr>
          <w:p w14:paraId="6CE0483F" w14:textId="77777777" w:rsidR="002C6574" w:rsidRDefault="00000000">
            <w:pPr>
              <w:pStyle w:val="TableParagraph"/>
              <w:spacing w:before="13" w:line="199" w:lineRule="exact"/>
              <w:ind w:right="54"/>
              <w:rPr>
                <w:rFonts w:ascii="Arial"/>
                <w:b/>
                <w:sz w:val="18"/>
              </w:rPr>
            </w:pPr>
            <w:r>
              <w:rPr>
                <w:rFonts w:ascii="Arial"/>
                <w:b/>
                <w:spacing w:val="-2"/>
                <w:sz w:val="18"/>
              </w:rPr>
              <w:t>2.233.802</w:t>
            </w:r>
          </w:p>
        </w:tc>
        <w:tc>
          <w:tcPr>
            <w:tcW w:w="1302" w:type="dxa"/>
            <w:shd w:val="clear" w:color="auto" w:fill="D8D8D8"/>
          </w:tcPr>
          <w:p w14:paraId="73407C3E" w14:textId="77777777" w:rsidR="002C6574" w:rsidRDefault="00000000">
            <w:pPr>
              <w:pStyle w:val="TableParagraph"/>
              <w:spacing w:before="13" w:line="199" w:lineRule="exact"/>
              <w:ind w:right="53"/>
              <w:rPr>
                <w:rFonts w:ascii="Arial"/>
                <w:b/>
                <w:sz w:val="18"/>
              </w:rPr>
            </w:pPr>
            <w:r>
              <w:rPr>
                <w:rFonts w:ascii="Arial"/>
                <w:b/>
                <w:spacing w:val="-2"/>
                <w:sz w:val="18"/>
              </w:rPr>
              <w:t>2.210.343</w:t>
            </w:r>
          </w:p>
        </w:tc>
      </w:tr>
      <w:tr w:rsidR="002C6574" w14:paraId="003D622D" w14:textId="77777777">
        <w:trPr>
          <w:trHeight w:val="232"/>
        </w:trPr>
        <w:tc>
          <w:tcPr>
            <w:tcW w:w="7166" w:type="dxa"/>
          </w:tcPr>
          <w:p w14:paraId="5B4BD345" w14:textId="77777777" w:rsidR="002C6574" w:rsidRDefault="00000000">
            <w:pPr>
              <w:pStyle w:val="TableParagraph"/>
              <w:spacing w:before="11" w:line="201" w:lineRule="exact"/>
              <w:ind w:left="69"/>
              <w:jc w:val="left"/>
              <w:rPr>
                <w:rFonts w:ascii="Arial"/>
                <w:b/>
                <w:sz w:val="18"/>
              </w:rPr>
            </w:pPr>
            <w:r>
              <w:rPr>
                <w:rFonts w:ascii="Arial"/>
                <w:b/>
                <w:sz w:val="18"/>
              </w:rPr>
              <w:t>e)</w:t>
            </w:r>
            <w:r>
              <w:rPr>
                <w:rFonts w:ascii="Arial"/>
                <w:b/>
                <w:spacing w:val="1"/>
                <w:sz w:val="18"/>
              </w:rPr>
              <w:t xml:space="preserve"> </w:t>
            </w:r>
            <w:r>
              <w:rPr>
                <w:rFonts w:ascii="Arial"/>
                <w:b/>
                <w:spacing w:val="-2"/>
                <w:sz w:val="18"/>
              </w:rPr>
              <w:t>Fornecedores</w:t>
            </w:r>
          </w:p>
        </w:tc>
        <w:tc>
          <w:tcPr>
            <w:tcW w:w="1300" w:type="dxa"/>
          </w:tcPr>
          <w:p w14:paraId="06F4D92F" w14:textId="77777777" w:rsidR="002C6574" w:rsidRDefault="00000000">
            <w:pPr>
              <w:pStyle w:val="TableParagraph"/>
              <w:spacing w:before="11" w:line="201" w:lineRule="exact"/>
              <w:ind w:right="57"/>
              <w:rPr>
                <w:rFonts w:ascii="Arial"/>
                <w:b/>
                <w:sz w:val="18"/>
              </w:rPr>
            </w:pPr>
            <w:r>
              <w:rPr>
                <w:rFonts w:ascii="Arial"/>
                <w:b/>
                <w:spacing w:val="-2"/>
                <w:sz w:val="18"/>
              </w:rPr>
              <w:t>1.226</w:t>
            </w:r>
          </w:p>
        </w:tc>
        <w:tc>
          <w:tcPr>
            <w:tcW w:w="1302" w:type="dxa"/>
          </w:tcPr>
          <w:p w14:paraId="7A3C8EC0" w14:textId="77777777" w:rsidR="002C6574" w:rsidRDefault="00000000">
            <w:pPr>
              <w:pStyle w:val="TableParagraph"/>
              <w:spacing w:before="11" w:line="201" w:lineRule="exact"/>
              <w:ind w:right="56"/>
              <w:rPr>
                <w:rFonts w:ascii="Arial"/>
                <w:b/>
                <w:sz w:val="18"/>
              </w:rPr>
            </w:pPr>
            <w:r>
              <w:rPr>
                <w:rFonts w:ascii="Arial"/>
                <w:b/>
                <w:spacing w:val="-2"/>
                <w:sz w:val="18"/>
              </w:rPr>
              <w:t>14.201</w:t>
            </w:r>
          </w:p>
        </w:tc>
      </w:tr>
      <w:tr w:rsidR="002C6574" w14:paraId="09D1E82E" w14:textId="77777777">
        <w:trPr>
          <w:trHeight w:val="232"/>
        </w:trPr>
        <w:tc>
          <w:tcPr>
            <w:tcW w:w="7166" w:type="dxa"/>
          </w:tcPr>
          <w:p w14:paraId="4DEC06BA" w14:textId="77777777" w:rsidR="002C6574" w:rsidRDefault="00000000">
            <w:pPr>
              <w:pStyle w:val="TableParagraph"/>
              <w:spacing w:line="212" w:lineRule="exact"/>
              <w:ind w:left="249"/>
              <w:jc w:val="left"/>
              <w:rPr>
                <w:sz w:val="18"/>
              </w:rPr>
            </w:pPr>
            <w:r>
              <w:rPr>
                <w:sz w:val="18"/>
              </w:rPr>
              <w:t>Fundação</w:t>
            </w:r>
            <w:r>
              <w:rPr>
                <w:spacing w:val="14"/>
                <w:sz w:val="18"/>
              </w:rPr>
              <w:t xml:space="preserve"> </w:t>
            </w:r>
            <w:r>
              <w:rPr>
                <w:sz w:val="18"/>
              </w:rPr>
              <w:t>Sistel</w:t>
            </w:r>
            <w:r>
              <w:rPr>
                <w:spacing w:val="15"/>
                <w:sz w:val="18"/>
              </w:rPr>
              <w:t xml:space="preserve"> </w:t>
            </w:r>
            <w:r>
              <w:rPr>
                <w:sz w:val="18"/>
              </w:rPr>
              <w:t>de</w:t>
            </w:r>
            <w:r>
              <w:rPr>
                <w:spacing w:val="15"/>
                <w:sz w:val="18"/>
              </w:rPr>
              <w:t xml:space="preserve"> </w:t>
            </w:r>
            <w:r>
              <w:rPr>
                <w:sz w:val="18"/>
              </w:rPr>
              <w:t>Seguridade</w:t>
            </w:r>
            <w:r>
              <w:rPr>
                <w:spacing w:val="19"/>
                <w:sz w:val="18"/>
              </w:rPr>
              <w:t xml:space="preserve"> </w:t>
            </w:r>
            <w:r>
              <w:rPr>
                <w:spacing w:val="-2"/>
                <w:sz w:val="18"/>
              </w:rPr>
              <w:t>Social</w:t>
            </w:r>
          </w:p>
        </w:tc>
        <w:tc>
          <w:tcPr>
            <w:tcW w:w="1300" w:type="dxa"/>
          </w:tcPr>
          <w:p w14:paraId="72CAF81E" w14:textId="77777777" w:rsidR="002C6574" w:rsidRDefault="00000000">
            <w:pPr>
              <w:pStyle w:val="TableParagraph"/>
              <w:spacing w:line="212" w:lineRule="exact"/>
              <w:ind w:right="56"/>
              <w:rPr>
                <w:sz w:val="18"/>
              </w:rPr>
            </w:pPr>
            <w:r>
              <w:rPr>
                <w:spacing w:val="-10"/>
                <w:w w:val="95"/>
                <w:sz w:val="18"/>
              </w:rPr>
              <w:t>-</w:t>
            </w:r>
          </w:p>
        </w:tc>
        <w:tc>
          <w:tcPr>
            <w:tcW w:w="1302" w:type="dxa"/>
          </w:tcPr>
          <w:p w14:paraId="6F9D8A5C" w14:textId="77777777" w:rsidR="002C6574" w:rsidRDefault="00000000">
            <w:pPr>
              <w:pStyle w:val="TableParagraph"/>
              <w:spacing w:line="212" w:lineRule="exact"/>
              <w:ind w:right="55"/>
              <w:rPr>
                <w:sz w:val="18"/>
              </w:rPr>
            </w:pPr>
            <w:r>
              <w:rPr>
                <w:spacing w:val="-10"/>
                <w:w w:val="105"/>
                <w:sz w:val="18"/>
              </w:rPr>
              <w:t>1</w:t>
            </w:r>
          </w:p>
        </w:tc>
      </w:tr>
      <w:tr w:rsidR="002C6574" w14:paraId="30E8A98E" w14:textId="77777777">
        <w:trPr>
          <w:trHeight w:val="232"/>
        </w:trPr>
        <w:tc>
          <w:tcPr>
            <w:tcW w:w="7166" w:type="dxa"/>
          </w:tcPr>
          <w:p w14:paraId="54C4F0D2" w14:textId="77777777" w:rsidR="002C6574" w:rsidRDefault="00000000">
            <w:pPr>
              <w:pStyle w:val="TableParagraph"/>
              <w:spacing w:line="212" w:lineRule="exact"/>
              <w:ind w:left="249"/>
              <w:jc w:val="left"/>
              <w:rPr>
                <w:sz w:val="18"/>
              </w:rPr>
            </w:pPr>
            <w:r>
              <w:rPr>
                <w:sz w:val="18"/>
              </w:rPr>
              <w:t>Petróleo</w:t>
            </w:r>
            <w:r>
              <w:rPr>
                <w:spacing w:val="8"/>
                <w:sz w:val="18"/>
              </w:rPr>
              <w:t xml:space="preserve"> </w:t>
            </w:r>
            <w:r>
              <w:rPr>
                <w:sz w:val="18"/>
              </w:rPr>
              <w:t>Brasileiro</w:t>
            </w:r>
            <w:r>
              <w:rPr>
                <w:spacing w:val="8"/>
                <w:sz w:val="18"/>
              </w:rPr>
              <w:t xml:space="preserve"> </w:t>
            </w:r>
            <w:r>
              <w:rPr>
                <w:spacing w:val="-5"/>
                <w:sz w:val="18"/>
              </w:rPr>
              <w:t>S.A</w:t>
            </w:r>
          </w:p>
        </w:tc>
        <w:tc>
          <w:tcPr>
            <w:tcW w:w="1300" w:type="dxa"/>
          </w:tcPr>
          <w:p w14:paraId="22578667" w14:textId="77777777" w:rsidR="002C6574" w:rsidRDefault="00000000">
            <w:pPr>
              <w:pStyle w:val="TableParagraph"/>
              <w:spacing w:line="212" w:lineRule="exact"/>
              <w:ind w:right="57"/>
              <w:rPr>
                <w:sz w:val="18"/>
              </w:rPr>
            </w:pPr>
            <w:r>
              <w:rPr>
                <w:spacing w:val="-4"/>
                <w:w w:val="110"/>
                <w:sz w:val="18"/>
              </w:rPr>
              <w:t>1.048</w:t>
            </w:r>
          </w:p>
        </w:tc>
        <w:tc>
          <w:tcPr>
            <w:tcW w:w="1302" w:type="dxa"/>
          </w:tcPr>
          <w:p w14:paraId="12CBD64B" w14:textId="77777777" w:rsidR="002C6574" w:rsidRDefault="00000000">
            <w:pPr>
              <w:pStyle w:val="TableParagraph"/>
              <w:spacing w:line="212" w:lineRule="exact"/>
              <w:ind w:right="55"/>
              <w:rPr>
                <w:sz w:val="18"/>
              </w:rPr>
            </w:pPr>
            <w:r>
              <w:rPr>
                <w:spacing w:val="-10"/>
                <w:w w:val="95"/>
                <w:sz w:val="18"/>
              </w:rPr>
              <w:t>-</w:t>
            </w:r>
          </w:p>
        </w:tc>
      </w:tr>
      <w:tr w:rsidR="002C6574" w14:paraId="6EDD5645" w14:textId="77777777">
        <w:trPr>
          <w:trHeight w:val="230"/>
        </w:trPr>
        <w:tc>
          <w:tcPr>
            <w:tcW w:w="7166" w:type="dxa"/>
          </w:tcPr>
          <w:p w14:paraId="68BD69CD" w14:textId="77777777" w:rsidR="002C6574" w:rsidRDefault="00000000">
            <w:pPr>
              <w:pStyle w:val="TableParagraph"/>
              <w:spacing w:line="210" w:lineRule="exact"/>
              <w:ind w:left="249"/>
              <w:jc w:val="left"/>
              <w:rPr>
                <w:sz w:val="18"/>
              </w:rPr>
            </w:pPr>
            <w:r>
              <w:rPr>
                <w:w w:val="105"/>
                <w:sz w:val="18"/>
              </w:rPr>
              <w:t>Banco</w:t>
            </w:r>
            <w:r>
              <w:rPr>
                <w:spacing w:val="-10"/>
                <w:w w:val="105"/>
                <w:sz w:val="18"/>
              </w:rPr>
              <w:t xml:space="preserve"> </w:t>
            </w:r>
            <w:r>
              <w:rPr>
                <w:w w:val="105"/>
                <w:sz w:val="18"/>
              </w:rPr>
              <w:t>do</w:t>
            </w:r>
            <w:r>
              <w:rPr>
                <w:spacing w:val="-7"/>
                <w:w w:val="105"/>
                <w:sz w:val="18"/>
              </w:rPr>
              <w:t xml:space="preserve"> </w:t>
            </w:r>
            <w:r>
              <w:rPr>
                <w:w w:val="105"/>
                <w:sz w:val="18"/>
              </w:rPr>
              <w:t>Brasil</w:t>
            </w:r>
            <w:r>
              <w:rPr>
                <w:spacing w:val="-9"/>
                <w:w w:val="105"/>
                <w:sz w:val="18"/>
              </w:rPr>
              <w:t xml:space="preserve"> </w:t>
            </w:r>
            <w:r>
              <w:rPr>
                <w:spacing w:val="-5"/>
                <w:w w:val="105"/>
                <w:sz w:val="18"/>
              </w:rPr>
              <w:t>S.A</w:t>
            </w:r>
          </w:p>
        </w:tc>
        <w:tc>
          <w:tcPr>
            <w:tcW w:w="1300" w:type="dxa"/>
          </w:tcPr>
          <w:p w14:paraId="4590C6AC" w14:textId="77777777" w:rsidR="002C6574" w:rsidRDefault="00000000">
            <w:pPr>
              <w:pStyle w:val="TableParagraph"/>
              <w:spacing w:line="210" w:lineRule="exact"/>
              <w:ind w:right="57"/>
              <w:rPr>
                <w:sz w:val="18"/>
              </w:rPr>
            </w:pPr>
            <w:r>
              <w:rPr>
                <w:spacing w:val="-5"/>
                <w:w w:val="105"/>
                <w:sz w:val="18"/>
              </w:rPr>
              <w:t>178</w:t>
            </w:r>
          </w:p>
        </w:tc>
        <w:tc>
          <w:tcPr>
            <w:tcW w:w="1302" w:type="dxa"/>
          </w:tcPr>
          <w:p w14:paraId="5E228F39" w14:textId="77777777" w:rsidR="002C6574" w:rsidRDefault="00000000">
            <w:pPr>
              <w:pStyle w:val="TableParagraph"/>
              <w:spacing w:line="210" w:lineRule="exact"/>
              <w:ind w:right="56"/>
              <w:rPr>
                <w:sz w:val="18"/>
              </w:rPr>
            </w:pPr>
            <w:r>
              <w:rPr>
                <w:spacing w:val="-5"/>
                <w:w w:val="105"/>
                <w:sz w:val="18"/>
              </w:rPr>
              <w:t>183</w:t>
            </w:r>
          </w:p>
        </w:tc>
      </w:tr>
      <w:tr w:rsidR="002C6574" w14:paraId="065A389E" w14:textId="77777777">
        <w:trPr>
          <w:trHeight w:val="232"/>
        </w:trPr>
        <w:tc>
          <w:tcPr>
            <w:tcW w:w="7166" w:type="dxa"/>
          </w:tcPr>
          <w:p w14:paraId="3C4389BB" w14:textId="77777777" w:rsidR="002C6574" w:rsidRDefault="00000000">
            <w:pPr>
              <w:pStyle w:val="TableParagraph"/>
              <w:spacing w:line="212" w:lineRule="exact"/>
              <w:ind w:left="249"/>
              <w:jc w:val="left"/>
              <w:rPr>
                <w:sz w:val="18"/>
              </w:rPr>
            </w:pPr>
            <w:r>
              <w:rPr>
                <w:sz w:val="18"/>
              </w:rPr>
              <w:t>Visiona</w:t>
            </w:r>
            <w:r>
              <w:rPr>
                <w:spacing w:val="1"/>
                <w:sz w:val="18"/>
              </w:rPr>
              <w:t xml:space="preserve"> </w:t>
            </w:r>
            <w:r>
              <w:rPr>
                <w:sz w:val="18"/>
              </w:rPr>
              <w:t>Internacional</w:t>
            </w:r>
            <w:r>
              <w:rPr>
                <w:spacing w:val="4"/>
                <w:sz w:val="18"/>
              </w:rPr>
              <w:t xml:space="preserve"> </w:t>
            </w:r>
            <w:r>
              <w:rPr>
                <w:spacing w:val="-5"/>
                <w:sz w:val="18"/>
              </w:rPr>
              <w:t>BV</w:t>
            </w:r>
          </w:p>
        </w:tc>
        <w:tc>
          <w:tcPr>
            <w:tcW w:w="1300" w:type="dxa"/>
          </w:tcPr>
          <w:p w14:paraId="06079DBC" w14:textId="77777777" w:rsidR="002C6574" w:rsidRDefault="00000000">
            <w:pPr>
              <w:pStyle w:val="TableParagraph"/>
              <w:spacing w:line="212" w:lineRule="exact"/>
              <w:ind w:right="56"/>
              <w:rPr>
                <w:sz w:val="18"/>
              </w:rPr>
            </w:pPr>
            <w:r>
              <w:rPr>
                <w:spacing w:val="-10"/>
                <w:w w:val="95"/>
                <w:sz w:val="18"/>
              </w:rPr>
              <w:t>-</w:t>
            </w:r>
          </w:p>
        </w:tc>
        <w:tc>
          <w:tcPr>
            <w:tcW w:w="1302" w:type="dxa"/>
          </w:tcPr>
          <w:p w14:paraId="6D3ADDC1" w14:textId="77777777" w:rsidR="002C6574" w:rsidRDefault="00000000">
            <w:pPr>
              <w:pStyle w:val="TableParagraph"/>
              <w:spacing w:line="212" w:lineRule="exact"/>
              <w:ind w:right="56"/>
              <w:rPr>
                <w:sz w:val="18"/>
              </w:rPr>
            </w:pPr>
            <w:r>
              <w:rPr>
                <w:spacing w:val="-2"/>
                <w:w w:val="105"/>
                <w:sz w:val="18"/>
              </w:rPr>
              <w:t>14.017</w:t>
            </w:r>
          </w:p>
        </w:tc>
      </w:tr>
      <w:tr w:rsidR="002C6574" w14:paraId="2CFEC144" w14:textId="77777777">
        <w:trPr>
          <w:trHeight w:val="232"/>
        </w:trPr>
        <w:tc>
          <w:tcPr>
            <w:tcW w:w="7166" w:type="dxa"/>
          </w:tcPr>
          <w:p w14:paraId="4E3AB07B" w14:textId="77777777" w:rsidR="002C6574" w:rsidRDefault="00000000">
            <w:pPr>
              <w:pStyle w:val="TableParagraph"/>
              <w:spacing w:line="212" w:lineRule="exact"/>
              <w:ind w:left="249"/>
              <w:jc w:val="left"/>
              <w:rPr>
                <w:sz w:val="18"/>
              </w:rPr>
            </w:pPr>
            <w:r>
              <w:rPr>
                <w:sz w:val="18"/>
              </w:rPr>
              <w:t>Visiona</w:t>
            </w:r>
            <w:r>
              <w:rPr>
                <w:spacing w:val="20"/>
                <w:sz w:val="18"/>
              </w:rPr>
              <w:t xml:space="preserve"> </w:t>
            </w:r>
            <w:r>
              <w:rPr>
                <w:sz w:val="18"/>
              </w:rPr>
              <w:t>Tecnologia</w:t>
            </w:r>
            <w:r>
              <w:rPr>
                <w:spacing w:val="21"/>
                <w:sz w:val="18"/>
              </w:rPr>
              <w:t xml:space="preserve"> </w:t>
            </w:r>
            <w:r>
              <w:rPr>
                <w:sz w:val="18"/>
              </w:rPr>
              <w:t>Espacial</w:t>
            </w:r>
            <w:r>
              <w:rPr>
                <w:spacing w:val="23"/>
                <w:sz w:val="18"/>
              </w:rPr>
              <w:t xml:space="preserve"> </w:t>
            </w:r>
            <w:r>
              <w:rPr>
                <w:spacing w:val="-5"/>
                <w:sz w:val="18"/>
              </w:rPr>
              <w:t>S.A</w:t>
            </w:r>
          </w:p>
        </w:tc>
        <w:tc>
          <w:tcPr>
            <w:tcW w:w="1300" w:type="dxa"/>
          </w:tcPr>
          <w:p w14:paraId="3C914988" w14:textId="77777777" w:rsidR="002C6574" w:rsidRDefault="00000000">
            <w:pPr>
              <w:pStyle w:val="TableParagraph"/>
              <w:spacing w:line="212" w:lineRule="exact"/>
              <w:ind w:right="57"/>
              <w:rPr>
                <w:sz w:val="18"/>
              </w:rPr>
            </w:pPr>
            <w:r>
              <w:rPr>
                <w:spacing w:val="-4"/>
                <w:w w:val="110"/>
                <w:sz w:val="18"/>
              </w:rPr>
              <w:t>2.155</w:t>
            </w:r>
          </w:p>
        </w:tc>
        <w:tc>
          <w:tcPr>
            <w:tcW w:w="1302" w:type="dxa"/>
          </w:tcPr>
          <w:p w14:paraId="2CBEC0FF" w14:textId="77777777" w:rsidR="002C6574" w:rsidRDefault="00000000">
            <w:pPr>
              <w:pStyle w:val="TableParagraph"/>
              <w:spacing w:line="212" w:lineRule="exact"/>
              <w:ind w:right="55"/>
              <w:rPr>
                <w:sz w:val="18"/>
              </w:rPr>
            </w:pPr>
            <w:r>
              <w:rPr>
                <w:spacing w:val="-10"/>
                <w:w w:val="95"/>
                <w:sz w:val="18"/>
              </w:rPr>
              <w:t>-</w:t>
            </w:r>
          </w:p>
        </w:tc>
      </w:tr>
      <w:tr w:rsidR="002C6574" w14:paraId="5CF2D064" w14:textId="77777777">
        <w:trPr>
          <w:trHeight w:val="232"/>
        </w:trPr>
        <w:tc>
          <w:tcPr>
            <w:tcW w:w="7166" w:type="dxa"/>
          </w:tcPr>
          <w:p w14:paraId="4449243F" w14:textId="77777777" w:rsidR="002C6574" w:rsidRDefault="00000000">
            <w:pPr>
              <w:pStyle w:val="TableParagraph"/>
              <w:spacing w:before="11" w:line="201" w:lineRule="exact"/>
              <w:ind w:left="69"/>
              <w:jc w:val="left"/>
              <w:rPr>
                <w:rFonts w:ascii="Arial" w:hAnsi="Arial"/>
                <w:b/>
                <w:sz w:val="18"/>
              </w:rPr>
            </w:pPr>
            <w:r>
              <w:rPr>
                <w:rFonts w:ascii="Arial" w:hAnsi="Arial"/>
                <w:b/>
                <w:sz w:val="18"/>
              </w:rPr>
              <w:t>f)</w:t>
            </w:r>
            <w:r>
              <w:rPr>
                <w:rFonts w:ascii="Arial" w:hAnsi="Arial"/>
                <w:b/>
                <w:spacing w:val="-1"/>
                <w:sz w:val="18"/>
              </w:rPr>
              <w:t xml:space="preserve"> </w:t>
            </w:r>
            <w:r>
              <w:rPr>
                <w:rFonts w:ascii="Arial" w:hAnsi="Arial"/>
                <w:b/>
                <w:sz w:val="18"/>
              </w:rPr>
              <w:t>Empréstimos</w:t>
            </w:r>
            <w:r>
              <w:rPr>
                <w:rFonts w:ascii="Arial" w:hAnsi="Arial"/>
                <w:b/>
                <w:spacing w:val="2"/>
                <w:sz w:val="18"/>
              </w:rPr>
              <w:t xml:space="preserve"> </w:t>
            </w:r>
            <w:r>
              <w:rPr>
                <w:rFonts w:ascii="Arial" w:hAnsi="Arial"/>
                <w:b/>
                <w:sz w:val="18"/>
              </w:rPr>
              <w:t>e</w:t>
            </w:r>
            <w:r>
              <w:rPr>
                <w:rFonts w:ascii="Arial" w:hAnsi="Arial"/>
                <w:b/>
                <w:spacing w:val="-3"/>
                <w:sz w:val="18"/>
              </w:rPr>
              <w:t xml:space="preserve"> </w:t>
            </w:r>
            <w:r>
              <w:rPr>
                <w:rFonts w:ascii="Arial" w:hAnsi="Arial"/>
                <w:b/>
                <w:spacing w:val="-2"/>
                <w:sz w:val="18"/>
              </w:rPr>
              <w:t>Financiamentos</w:t>
            </w:r>
          </w:p>
        </w:tc>
        <w:tc>
          <w:tcPr>
            <w:tcW w:w="1300" w:type="dxa"/>
          </w:tcPr>
          <w:p w14:paraId="450056DC" w14:textId="77777777" w:rsidR="002C6574" w:rsidRDefault="002C6574">
            <w:pPr>
              <w:pStyle w:val="TableParagraph"/>
              <w:jc w:val="left"/>
              <w:rPr>
                <w:rFonts w:ascii="Times New Roman"/>
                <w:sz w:val="16"/>
              </w:rPr>
            </w:pPr>
          </w:p>
        </w:tc>
        <w:tc>
          <w:tcPr>
            <w:tcW w:w="1302" w:type="dxa"/>
          </w:tcPr>
          <w:p w14:paraId="391104D2" w14:textId="77777777" w:rsidR="002C6574" w:rsidRDefault="00000000">
            <w:pPr>
              <w:pStyle w:val="TableParagraph"/>
              <w:spacing w:before="11" w:line="201" w:lineRule="exact"/>
              <w:ind w:right="56"/>
              <w:rPr>
                <w:rFonts w:ascii="Arial"/>
                <w:b/>
                <w:sz w:val="18"/>
              </w:rPr>
            </w:pPr>
            <w:r>
              <w:rPr>
                <w:rFonts w:ascii="Arial"/>
                <w:b/>
                <w:spacing w:val="-2"/>
                <w:sz w:val="18"/>
              </w:rPr>
              <w:t>46.210</w:t>
            </w:r>
          </w:p>
        </w:tc>
      </w:tr>
      <w:tr w:rsidR="002C6574" w14:paraId="28F29832" w14:textId="77777777">
        <w:trPr>
          <w:trHeight w:val="232"/>
        </w:trPr>
        <w:tc>
          <w:tcPr>
            <w:tcW w:w="7166" w:type="dxa"/>
          </w:tcPr>
          <w:p w14:paraId="6A317FF1" w14:textId="77777777" w:rsidR="002C6574" w:rsidRDefault="00000000">
            <w:pPr>
              <w:pStyle w:val="TableParagraph"/>
              <w:spacing w:line="212" w:lineRule="exact"/>
              <w:ind w:left="249"/>
              <w:jc w:val="left"/>
              <w:rPr>
                <w:sz w:val="18"/>
              </w:rPr>
            </w:pPr>
            <w:r>
              <w:rPr>
                <w:w w:val="105"/>
                <w:sz w:val="18"/>
              </w:rPr>
              <w:t>Financiadora</w:t>
            </w:r>
            <w:r>
              <w:rPr>
                <w:spacing w:val="-13"/>
                <w:w w:val="105"/>
                <w:sz w:val="18"/>
              </w:rPr>
              <w:t xml:space="preserve"> </w:t>
            </w:r>
            <w:r>
              <w:rPr>
                <w:w w:val="105"/>
                <w:sz w:val="18"/>
              </w:rPr>
              <w:t>de</w:t>
            </w:r>
            <w:r>
              <w:rPr>
                <w:spacing w:val="-13"/>
                <w:w w:val="105"/>
                <w:sz w:val="18"/>
              </w:rPr>
              <w:t xml:space="preserve"> </w:t>
            </w:r>
            <w:r>
              <w:rPr>
                <w:w w:val="105"/>
                <w:sz w:val="18"/>
              </w:rPr>
              <w:t>Estudos</w:t>
            </w:r>
            <w:r>
              <w:rPr>
                <w:spacing w:val="-13"/>
                <w:w w:val="105"/>
                <w:sz w:val="18"/>
              </w:rPr>
              <w:t xml:space="preserve"> </w:t>
            </w:r>
            <w:r>
              <w:rPr>
                <w:w w:val="105"/>
                <w:sz w:val="18"/>
              </w:rPr>
              <w:t>e</w:t>
            </w:r>
            <w:r>
              <w:rPr>
                <w:spacing w:val="-13"/>
                <w:w w:val="105"/>
                <w:sz w:val="18"/>
              </w:rPr>
              <w:t xml:space="preserve"> </w:t>
            </w:r>
            <w:r>
              <w:rPr>
                <w:w w:val="105"/>
                <w:sz w:val="18"/>
              </w:rPr>
              <w:t>Projetos</w:t>
            </w:r>
            <w:r>
              <w:rPr>
                <w:spacing w:val="-13"/>
                <w:w w:val="105"/>
                <w:sz w:val="18"/>
              </w:rPr>
              <w:t xml:space="preserve"> </w:t>
            </w:r>
            <w:r>
              <w:rPr>
                <w:w w:val="105"/>
                <w:sz w:val="18"/>
              </w:rPr>
              <w:t>–</w:t>
            </w:r>
            <w:r>
              <w:rPr>
                <w:spacing w:val="-13"/>
                <w:w w:val="105"/>
                <w:sz w:val="18"/>
              </w:rPr>
              <w:t xml:space="preserve"> </w:t>
            </w:r>
            <w:r>
              <w:rPr>
                <w:spacing w:val="-2"/>
                <w:w w:val="105"/>
                <w:sz w:val="18"/>
              </w:rPr>
              <w:t>FINEP</w:t>
            </w:r>
          </w:p>
        </w:tc>
        <w:tc>
          <w:tcPr>
            <w:tcW w:w="1300" w:type="dxa"/>
          </w:tcPr>
          <w:p w14:paraId="080624CF" w14:textId="77777777" w:rsidR="002C6574" w:rsidRDefault="002C6574">
            <w:pPr>
              <w:pStyle w:val="TableParagraph"/>
              <w:jc w:val="left"/>
              <w:rPr>
                <w:rFonts w:ascii="Times New Roman"/>
                <w:sz w:val="16"/>
              </w:rPr>
            </w:pPr>
          </w:p>
        </w:tc>
        <w:tc>
          <w:tcPr>
            <w:tcW w:w="1302" w:type="dxa"/>
          </w:tcPr>
          <w:p w14:paraId="6EBECE05" w14:textId="77777777" w:rsidR="002C6574" w:rsidRDefault="00000000">
            <w:pPr>
              <w:pStyle w:val="TableParagraph"/>
              <w:spacing w:line="212" w:lineRule="exact"/>
              <w:ind w:right="56"/>
              <w:rPr>
                <w:sz w:val="18"/>
              </w:rPr>
            </w:pPr>
            <w:r>
              <w:rPr>
                <w:spacing w:val="-2"/>
                <w:w w:val="105"/>
                <w:sz w:val="18"/>
              </w:rPr>
              <w:t>46.210</w:t>
            </w:r>
          </w:p>
        </w:tc>
      </w:tr>
      <w:tr w:rsidR="002C6574" w14:paraId="241AF139" w14:textId="77777777">
        <w:trPr>
          <w:trHeight w:val="232"/>
        </w:trPr>
        <w:tc>
          <w:tcPr>
            <w:tcW w:w="7166" w:type="dxa"/>
          </w:tcPr>
          <w:p w14:paraId="7DC56BBC" w14:textId="77777777" w:rsidR="002C6574" w:rsidRDefault="00000000">
            <w:pPr>
              <w:pStyle w:val="TableParagraph"/>
              <w:spacing w:before="11" w:line="201" w:lineRule="exact"/>
              <w:ind w:left="69"/>
              <w:jc w:val="left"/>
              <w:rPr>
                <w:rFonts w:ascii="Arial"/>
                <w:b/>
                <w:sz w:val="18"/>
              </w:rPr>
            </w:pPr>
            <w:r>
              <w:rPr>
                <w:rFonts w:ascii="Arial"/>
                <w:b/>
                <w:sz w:val="18"/>
              </w:rPr>
              <w:t>g)</w:t>
            </w:r>
            <w:r>
              <w:rPr>
                <w:rFonts w:ascii="Arial"/>
                <w:b/>
                <w:spacing w:val="-2"/>
                <w:sz w:val="18"/>
              </w:rPr>
              <w:t xml:space="preserve"> </w:t>
            </w:r>
            <w:r>
              <w:rPr>
                <w:rFonts w:ascii="Arial"/>
                <w:b/>
                <w:sz w:val="18"/>
              </w:rPr>
              <w:t>Receitas</w:t>
            </w:r>
            <w:r>
              <w:rPr>
                <w:rFonts w:ascii="Arial"/>
                <w:b/>
                <w:spacing w:val="2"/>
                <w:sz w:val="18"/>
              </w:rPr>
              <w:t xml:space="preserve"> </w:t>
            </w:r>
            <w:r>
              <w:rPr>
                <w:rFonts w:ascii="Arial"/>
                <w:b/>
                <w:spacing w:val="-2"/>
                <w:sz w:val="18"/>
              </w:rPr>
              <w:t>Diferidas</w:t>
            </w:r>
          </w:p>
        </w:tc>
        <w:tc>
          <w:tcPr>
            <w:tcW w:w="1300" w:type="dxa"/>
          </w:tcPr>
          <w:p w14:paraId="19C306A2" w14:textId="77777777" w:rsidR="002C6574" w:rsidRDefault="00000000">
            <w:pPr>
              <w:pStyle w:val="TableParagraph"/>
              <w:spacing w:before="11" w:line="201" w:lineRule="exact"/>
              <w:ind w:right="57"/>
              <w:rPr>
                <w:rFonts w:ascii="Arial"/>
                <w:b/>
                <w:sz w:val="18"/>
              </w:rPr>
            </w:pPr>
            <w:r>
              <w:rPr>
                <w:rFonts w:ascii="Arial"/>
                <w:b/>
                <w:spacing w:val="-2"/>
                <w:sz w:val="18"/>
              </w:rPr>
              <w:t>281.531</w:t>
            </w:r>
          </w:p>
        </w:tc>
        <w:tc>
          <w:tcPr>
            <w:tcW w:w="1302" w:type="dxa"/>
          </w:tcPr>
          <w:p w14:paraId="69E227BA" w14:textId="77777777" w:rsidR="002C6574" w:rsidRDefault="00000000">
            <w:pPr>
              <w:pStyle w:val="TableParagraph"/>
              <w:spacing w:before="11" w:line="201" w:lineRule="exact"/>
              <w:ind w:right="56"/>
              <w:rPr>
                <w:rFonts w:ascii="Arial"/>
                <w:b/>
                <w:sz w:val="18"/>
              </w:rPr>
            </w:pPr>
            <w:r>
              <w:rPr>
                <w:rFonts w:ascii="Arial"/>
                <w:b/>
                <w:spacing w:val="-2"/>
                <w:sz w:val="18"/>
              </w:rPr>
              <w:t>318.011</w:t>
            </w:r>
          </w:p>
        </w:tc>
      </w:tr>
      <w:tr w:rsidR="002C6574" w14:paraId="733EE384" w14:textId="77777777">
        <w:trPr>
          <w:trHeight w:val="230"/>
        </w:trPr>
        <w:tc>
          <w:tcPr>
            <w:tcW w:w="7166" w:type="dxa"/>
          </w:tcPr>
          <w:p w14:paraId="38A4EBB4" w14:textId="77777777" w:rsidR="002C6574" w:rsidRDefault="00000000">
            <w:pPr>
              <w:pStyle w:val="TableParagraph"/>
              <w:spacing w:line="210" w:lineRule="exact"/>
              <w:ind w:left="429"/>
              <w:jc w:val="left"/>
              <w:rPr>
                <w:sz w:val="18"/>
              </w:rPr>
            </w:pPr>
            <w:r>
              <w:rPr>
                <w:spacing w:val="-2"/>
                <w:sz w:val="18"/>
              </w:rPr>
              <w:t>Ministérios</w:t>
            </w:r>
          </w:p>
        </w:tc>
        <w:tc>
          <w:tcPr>
            <w:tcW w:w="1300" w:type="dxa"/>
          </w:tcPr>
          <w:p w14:paraId="29F3239F" w14:textId="77777777" w:rsidR="002C6574" w:rsidRDefault="00000000">
            <w:pPr>
              <w:pStyle w:val="TableParagraph"/>
              <w:spacing w:line="210" w:lineRule="exact"/>
              <w:ind w:right="56"/>
              <w:rPr>
                <w:sz w:val="18"/>
              </w:rPr>
            </w:pPr>
            <w:r>
              <w:rPr>
                <w:spacing w:val="-2"/>
                <w:w w:val="105"/>
                <w:sz w:val="18"/>
              </w:rPr>
              <w:t>281.531</w:t>
            </w:r>
          </w:p>
        </w:tc>
        <w:tc>
          <w:tcPr>
            <w:tcW w:w="1302" w:type="dxa"/>
          </w:tcPr>
          <w:p w14:paraId="6FAA4C52" w14:textId="77777777" w:rsidR="002C6574" w:rsidRDefault="00000000">
            <w:pPr>
              <w:pStyle w:val="TableParagraph"/>
              <w:spacing w:line="210" w:lineRule="exact"/>
              <w:ind w:right="56"/>
              <w:rPr>
                <w:sz w:val="18"/>
              </w:rPr>
            </w:pPr>
            <w:r>
              <w:rPr>
                <w:spacing w:val="-2"/>
                <w:w w:val="105"/>
                <w:sz w:val="18"/>
              </w:rPr>
              <w:t>318.011</w:t>
            </w:r>
          </w:p>
        </w:tc>
      </w:tr>
      <w:tr w:rsidR="002C6574" w14:paraId="2E1A8C30" w14:textId="77777777">
        <w:trPr>
          <w:trHeight w:val="232"/>
        </w:trPr>
        <w:tc>
          <w:tcPr>
            <w:tcW w:w="7166" w:type="dxa"/>
          </w:tcPr>
          <w:p w14:paraId="4EAB375D" w14:textId="77777777" w:rsidR="002C6574" w:rsidRDefault="00000000">
            <w:pPr>
              <w:pStyle w:val="TableParagraph"/>
              <w:spacing w:before="13" w:line="199" w:lineRule="exact"/>
              <w:ind w:left="69"/>
              <w:jc w:val="left"/>
              <w:rPr>
                <w:rFonts w:ascii="Arial" w:hAnsi="Arial"/>
                <w:b/>
                <w:sz w:val="18"/>
              </w:rPr>
            </w:pPr>
            <w:r>
              <w:rPr>
                <w:rFonts w:ascii="Arial" w:hAnsi="Arial"/>
                <w:b/>
                <w:sz w:val="18"/>
              </w:rPr>
              <w:t>h)</w:t>
            </w:r>
            <w:r>
              <w:rPr>
                <w:rFonts w:ascii="Arial" w:hAnsi="Arial"/>
                <w:b/>
                <w:spacing w:val="-3"/>
                <w:sz w:val="18"/>
              </w:rPr>
              <w:t xml:space="preserve"> </w:t>
            </w:r>
            <w:r>
              <w:rPr>
                <w:rFonts w:ascii="Arial" w:hAnsi="Arial"/>
                <w:b/>
                <w:sz w:val="18"/>
              </w:rPr>
              <w:t>Recursos</w:t>
            </w:r>
            <w:r>
              <w:rPr>
                <w:rFonts w:ascii="Arial" w:hAnsi="Arial"/>
                <w:b/>
                <w:spacing w:val="-1"/>
                <w:sz w:val="18"/>
              </w:rPr>
              <w:t xml:space="preserve"> </w:t>
            </w:r>
            <w:r>
              <w:rPr>
                <w:rFonts w:ascii="Arial" w:hAnsi="Arial"/>
                <w:b/>
                <w:sz w:val="18"/>
              </w:rPr>
              <w:t>Capitalizáveis</w:t>
            </w:r>
            <w:r>
              <w:rPr>
                <w:rFonts w:ascii="Arial" w:hAnsi="Arial"/>
                <w:b/>
                <w:spacing w:val="-1"/>
                <w:sz w:val="18"/>
              </w:rPr>
              <w:t xml:space="preserve"> </w:t>
            </w:r>
            <w:r>
              <w:rPr>
                <w:rFonts w:ascii="Arial" w:hAnsi="Arial"/>
                <w:b/>
                <w:sz w:val="18"/>
              </w:rPr>
              <w:t>-</w:t>
            </w:r>
            <w:r>
              <w:rPr>
                <w:rFonts w:ascii="Arial" w:hAnsi="Arial"/>
                <w:b/>
                <w:spacing w:val="-2"/>
                <w:sz w:val="18"/>
              </w:rPr>
              <w:t xml:space="preserve"> </w:t>
            </w:r>
            <w:r>
              <w:rPr>
                <w:rFonts w:ascii="Arial" w:hAnsi="Arial"/>
                <w:b/>
                <w:spacing w:val="-4"/>
                <w:sz w:val="18"/>
              </w:rPr>
              <w:t>AFAC</w:t>
            </w:r>
          </w:p>
        </w:tc>
        <w:tc>
          <w:tcPr>
            <w:tcW w:w="1300" w:type="dxa"/>
          </w:tcPr>
          <w:p w14:paraId="1977C0BB" w14:textId="77777777" w:rsidR="002C6574" w:rsidRDefault="00000000">
            <w:pPr>
              <w:pStyle w:val="TableParagraph"/>
              <w:spacing w:before="13" w:line="199" w:lineRule="exact"/>
              <w:ind w:right="54"/>
              <w:rPr>
                <w:rFonts w:ascii="Arial"/>
                <w:b/>
                <w:sz w:val="18"/>
              </w:rPr>
            </w:pPr>
            <w:r>
              <w:rPr>
                <w:rFonts w:ascii="Arial"/>
                <w:b/>
                <w:spacing w:val="-2"/>
                <w:sz w:val="18"/>
              </w:rPr>
              <w:t>1.951.045</w:t>
            </w:r>
          </w:p>
        </w:tc>
        <w:tc>
          <w:tcPr>
            <w:tcW w:w="1302" w:type="dxa"/>
          </w:tcPr>
          <w:p w14:paraId="22298686" w14:textId="77777777" w:rsidR="002C6574" w:rsidRDefault="00000000">
            <w:pPr>
              <w:pStyle w:val="TableParagraph"/>
              <w:spacing w:before="13" w:line="199" w:lineRule="exact"/>
              <w:ind w:right="53"/>
              <w:rPr>
                <w:rFonts w:ascii="Arial"/>
                <w:b/>
                <w:sz w:val="18"/>
              </w:rPr>
            </w:pPr>
            <w:r>
              <w:rPr>
                <w:rFonts w:ascii="Arial"/>
                <w:b/>
                <w:spacing w:val="-2"/>
                <w:sz w:val="18"/>
              </w:rPr>
              <w:t>1.831.921</w:t>
            </w:r>
          </w:p>
        </w:tc>
      </w:tr>
      <w:tr w:rsidR="002C6574" w14:paraId="1F3033D7" w14:textId="77777777">
        <w:trPr>
          <w:trHeight w:val="232"/>
        </w:trPr>
        <w:tc>
          <w:tcPr>
            <w:tcW w:w="7166" w:type="dxa"/>
          </w:tcPr>
          <w:p w14:paraId="4B80C82E" w14:textId="77777777" w:rsidR="002C6574" w:rsidRDefault="00000000">
            <w:pPr>
              <w:pStyle w:val="TableParagraph"/>
              <w:spacing w:line="212" w:lineRule="exact"/>
              <w:ind w:left="249"/>
              <w:jc w:val="left"/>
              <w:rPr>
                <w:sz w:val="18"/>
              </w:rPr>
            </w:pPr>
            <w:r>
              <w:rPr>
                <w:sz w:val="18"/>
              </w:rPr>
              <w:t>União</w:t>
            </w:r>
            <w:r>
              <w:rPr>
                <w:spacing w:val="5"/>
                <w:sz w:val="18"/>
              </w:rPr>
              <w:t xml:space="preserve"> </w:t>
            </w:r>
            <w:r>
              <w:rPr>
                <w:spacing w:val="-2"/>
                <w:sz w:val="18"/>
              </w:rPr>
              <w:t>Federal</w:t>
            </w:r>
          </w:p>
        </w:tc>
        <w:tc>
          <w:tcPr>
            <w:tcW w:w="1300" w:type="dxa"/>
          </w:tcPr>
          <w:p w14:paraId="268C7623" w14:textId="77777777" w:rsidR="002C6574" w:rsidRDefault="00000000">
            <w:pPr>
              <w:pStyle w:val="TableParagraph"/>
              <w:spacing w:line="212" w:lineRule="exact"/>
              <w:ind w:right="55"/>
              <w:rPr>
                <w:sz w:val="18"/>
              </w:rPr>
            </w:pPr>
            <w:r>
              <w:rPr>
                <w:spacing w:val="-2"/>
                <w:w w:val="110"/>
                <w:sz w:val="18"/>
              </w:rPr>
              <w:t>1.951.045</w:t>
            </w:r>
          </w:p>
        </w:tc>
        <w:tc>
          <w:tcPr>
            <w:tcW w:w="1302" w:type="dxa"/>
          </w:tcPr>
          <w:p w14:paraId="759CE5FE" w14:textId="77777777" w:rsidR="002C6574" w:rsidRDefault="00000000">
            <w:pPr>
              <w:pStyle w:val="TableParagraph"/>
              <w:spacing w:line="212" w:lineRule="exact"/>
              <w:ind w:right="53"/>
              <w:rPr>
                <w:sz w:val="18"/>
              </w:rPr>
            </w:pPr>
            <w:r>
              <w:rPr>
                <w:spacing w:val="-2"/>
                <w:w w:val="110"/>
                <w:sz w:val="18"/>
              </w:rPr>
              <w:t>1.831.921</w:t>
            </w:r>
          </w:p>
        </w:tc>
      </w:tr>
    </w:tbl>
    <w:p w14:paraId="17418E9B" w14:textId="77777777" w:rsidR="002C6574" w:rsidRDefault="002C6574">
      <w:pPr>
        <w:pStyle w:val="Corpodetexto"/>
        <w:rPr>
          <w:rFonts w:ascii="Arial"/>
          <w:b/>
          <w:sz w:val="20"/>
        </w:rPr>
      </w:pPr>
    </w:p>
    <w:p w14:paraId="49089F6F" w14:textId="77777777" w:rsidR="002C6574" w:rsidRDefault="002C6574">
      <w:pPr>
        <w:pStyle w:val="Corpodetexto"/>
        <w:spacing w:before="100" w:after="1"/>
        <w:rPr>
          <w:rFonts w:ascii="Arial"/>
          <w:b/>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3"/>
        <w:gridCol w:w="1262"/>
        <w:gridCol w:w="1564"/>
      </w:tblGrid>
      <w:tr w:rsidR="002C6574" w14:paraId="70C9F3B2" w14:textId="77777777">
        <w:trPr>
          <w:trHeight w:val="232"/>
        </w:trPr>
        <w:tc>
          <w:tcPr>
            <w:tcW w:w="6943" w:type="dxa"/>
            <w:shd w:val="clear" w:color="auto" w:fill="D8D8D8"/>
          </w:tcPr>
          <w:p w14:paraId="6AD937F8" w14:textId="77777777" w:rsidR="002C6574" w:rsidRDefault="00000000">
            <w:pPr>
              <w:pStyle w:val="TableParagraph"/>
              <w:spacing w:before="13" w:line="199" w:lineRule="exact"/>
              <w:ind w:left="69"/>
              <w:jc w:val="left"/>
              <w:rPr>
                <w:rFonts w:ascii="Arial" w:hAnsi="Arial"/>
                <w:b/>
                <w:sz w:val="18"/>
              </w:rPr>
            </w:pPr>
            <w:r>
              <w:rPr>
                <w:rFonts w:ascii="Arial" w:hAnsi="Arial"/>
                <w:b/>
                <w:sz w:val="18"/>
              </w:rPr>
              <w:t>Demonstração do</w:t>
            </w:r>
            <w:r>
              <w:rPr>
                <w:rFonts w:ascii="Arial" w:hAnsi="Arial"/>
                <w:b/>
                <w:spacing w:val="-2"/>
                <w:sz w:val="18"/>
              </w:rPr>
              <w:t xml:space="preserve"> </w:t>
            </w:r>
            <w:r>
              <w:rPr>
                <w:rFonts w:ascii="Arial" w:hAnsi="Arial"/>
                <w:b/>
                <w:sz w:val="18"/>
              </w:rPr>
              <w:t>Resultado</w:t>
            </w:r>
            <w:r>
              <w:rPr>
                <w:rFonts w:ascii="Arial" w:hAnsi="Arial"/>
                <w:b/>
                <w:spacing w:val="-2"/>
                <w:sz w:val="18"/>
              </w:rPr>
              <w:t xml:space="preserve"> </w:t>
            </w:r>
            <w:r>
              <w:rPr>
                <w:rFonts w:ascii="Arial" w:hAnsi="Arial"/>
                <w:b/>
                <w:sz w:val="18"/>
              </w:rPr>
              <w:t>do</w:t>
            </w:r>
            <w:r>
              <w:rPr>
                <w:rFonts w:ascii="Arial" w:hAnsi="Arial"/>
                <w:b/>
                <w:spacing w:val="1"/>
                <w:sz w:val="18"/>
              </w:rPr>
              <w:t xml:space="preserve"> </w:t>
            </w:r>
            <w:r>
              <w:rPr>
                <w:rFonts w:ascii="Arial" w:hAnsi="Arial"/>
                <w:b/>
                <w:sz w:val="18"/>
              </w:rPr>
              <w:t>Exercício -</w:t>
            </w:r>
            <w:r>
              <w:rPr>
                <w:rFonts w:ascii="Arial" w:hAnsi="Arial"/>
                <w:b/>
                <w:spacing w:val="1"/>
                <w:sz w:val="18"/>
              </w:rPr>
              <w:t xml:space="preserve"> </w:t>
            </w:r>
            <w:r>
              <w:rPr>
                <w:rFonts w:ascii="Arial" w:hAnsi="Arial"/>
                <w:b/>
                <w:spacing w:val="-5"/>
                <w:sz w:val="18"/>
              </w:rPr>
              <w:t>DRE</w:t>
            </w:r>
          </w:p>
        </w:tc>
        <w:tc>
          <w:tcPr>
            <w:tcW w:w="1262" w:type="dxa"/>
            <w:shd w:val="clear" w:color="auto" w:fill="D8D8D8"/>
          </w:tcPr>
          <w:p w14:paraId="2A450C59" w14:textId="77777777" w:rsidR="002C6574" w:rsidRDefault="00000000">
            <w:pPr>
              <w:pStyle w:val="TableParagraph"/>
              <w:spacing w:before="13" w:line="199" w:lineRule="exact"/>
              <w:ind w:left="177"/>
              <w:jc w:val="left"/>
              <w:rPr>
                <w:rFonts w:ascii="Arial"/>
                <w:b/>
                <w:sz w:val="18"/>
              </w:rPr>
            </w:pPr>
            <w:r>
              <w:rPr>
                <w:rFonts w:ascii="Arial"/>
                <w:b/>
                <w:spacing w:val="-2"/>
                <w:sz w:val="18"/>
              </w:rPr>
              <w:t>31/12/2025</w:t>
            </w:r>
          </w:p>
        </w:tc>
        <w:tc>
          <w:tcPr>
            <w:tcW w:w="1564" w:type="dxa"/>
            <w:shd w:val="clear" w:color="auto" w:fill="D8D8D8"/>
          </w:tcPr>
          <w:p w14:paraId="35F7717F" w14:textId="77777777" w:rsidR="002C6574" w:rsidRDefault="00000000">
            <w:pPr>
              <w:pStyle w:val="TableParagraph"/>
              <w:spacing w:before="13" w:line="199" w:lineRule="exact"/>
              <w:ind w:left="331"/>
              <w:jc w:val="left"/>
              <w:rPr>
                <w:rFonts w:ascii="Arial"/>
                <w:b/>
                <w:sz w:val="18"/>
              </w:rPr>
            </w:pPr>
            <w:r>
              <w:rPr>
                <w:rFonts w:ascii="Arial"/>
                <w:b/>
                <w:spacing w:val="-2"/>
                <w:sz w:val="18"/>
              </w:rPr>
              <w:t>31/12/2024</w:t>
            </w:r>
          </w:p>
        </w:tc>
      </w:tr>
      <w:tr w:rsidR="002C6574" w14:paraId="507268F0" w14:textId="77777777">
        <w:trPr>
          <w:trHeight w:val="232"/>
        </w:trPr>
        <w:tc>
          <w:tcPr>
            <w:tcW w:w="6943" w:type="dxa"/>
            <w:shd w:val="clear" w:color="auto" w:fill="D8D8D8"/>
          </w:tcPr>
          <w:p w14:paraId="0E96D659" w14:textId="77777777" w:rsidR="002C6574" w:rsidRDefault="00000000">
            <w:pPr>
              <w:pStyle w:val="TableParagraph"/>
              <w:spacing w:before="11" w:line="201" w:lineRule="exact"/>
              <w:ind w:left="69"/>
              <w:jc w:val="left"/>
              <w:rPr>
                <w:rFonts w:ascii="Arial"/>
                <w:b/>
                <w:sz w:val="18"/>
              </w:rPr>
            </w:pPr>
            <w:r>
              <w:rPr>
                <w:rFonts w:ascii="Arial"/>
                <w:b/>
                <w:spacing w:val="-2"/>
                <w:sz w:val="18"/>
              </w:rPr>
              <w:t>Despesas</w:t>
            </w:r>
          </w:p>
        </w:tc>
        <w:tc>
          <w:tcPr>
            <w:tcW w:w="1262" w:type="dxa"/>
            <w:shd w:val="clear" w:color="auto" w:fill="D8D8D8"/>
          </w:tcPr>
          <w:p w14:paraId="4BA9D059" w14:textId="77777777" w:rsidR="002C6574" w:rsidRDefault="00000000">
            <w:pPr>
              <w:pStyle w:val="TableParagraph"/>
              <w:spacing w:before="11" w:line="201" w:lineRule="exact"/>
              <w:ind w:right="57"/>
              <w:rPr>
                <w:rFonts w:ascii="Arial"/>
                <w:b/>
                <w:sz w:val="18"/>
              </w:rPr>
            </w:pPr>
            <w:r>
              <w:rPr>
                <w:rFonts w:ascii="Arial"/>
                <w:b/>
                <w:spacing w:val="-2"/>
                <w:sz w:val="18"/>
              </w:rPr>
              <w:t>(268.687)</w:t>
            </w:r>
          </w:p>
        </w:tc>
        <w:tc>
          <w:tcPr>
            <w:tcW w:w="1564" w:type="dxa"/>
            <w:shd w:val="clear" w:color="auto" w:fill="D8D8D8"/>
          </w:tcPr>
          <w:p w14:paraId="4CAAD321" w14:textId="77777777" w:rsidR="002C6574" w:rsidRDefault="00000000">
            <w:pPr>
              <w:pStyle w:val="TableParagraph"/>
              <w:spacing w:before="11" w:line="201" w:lineRule="exact"/>
              <w:ind w:right="53"/>
              <w:rPr>
                <w:rFonts w:ascii="Arial"/>
                <w:b/>
                <w:sz w:val="18"/>
              </w:rPr>
            </w:pPr>
            <w:r>
              <w:rPr>
                <w:rFonts w:ascii="Arial"/>
                <w:b/>
                <w:spacing w:val="-2"/>
                <w:sz w:val="18"/>
              </w:rPr>
              <w:t>(24.588)</w:t>
            </w:r>
          </w:p>
        </w:tc>
      </w:tr>
      <w:tr w:rsidR="002C6574" w14:paraId="13884D12" w14:textId="77777777">
        <w:trPr>
          <w:trHeight w:val="232"/>
        </w:trPr>
        <w:tc>
          <w:tcPr>
            <w:tcW w:w="6943" w:type="dxa"/>
          </w:tcPr>
          <w:p w14:paraId="503091C2" w14:textId="77777777" w:rsidR="002C6574" w:rsidRDefault="00000000">
            <w:pPr>
              <w:pStyle w:val="TableParagraph"/>
              <w:spacing w:before="11" w:line="201" w:lineRule="exact"/>
              <w:ind w:left="69"/>
              <w:jc w:val="left"/>
              <w:rPr>
                <w:rFonts w:ascii="Arial" w:hAnsi="Arial"/>
                <w:b/>
                <w:sz w:val="18"/>
              </w:rPr>
            </w:pPr>
            <w:r>
              <w:rPr>
                <w:rFonts w:ascii="Arial" w:hAnsi="Arial"/>
                <w:b/>
                <w:sz w:val="18"/>
              </w:rPr>
              <w:t>i) Compartilhamento de</w:t>
            </w:r>
            <w:r>
              <w:rPr>
                <w:rFonts w:ascii="Arial" w:hAnsi="Arial"/>
                <w:b/>
                <w:spacing w:val="-3"/>
                <w:sz w:val="18"/>
              </w:rPr>
              <w:t xml:space="preserve"> </w:t>
            </w:r>
            <w:r>
              <w:rPr>
                <w:rFonts w:ascii="Arial" w:hAnsi="Arial"/>
                <w:b/>
                <w:spacing w:val="-2"/>
                <w:sz w:val="18"/>
              </w:rPr>
              <w:t>Instalações</w:t>
            </w:r>
          </w:p>
        </w:tc>
        <w:tc>
          <w:tcPr>
            <w:tcW w:w="1262" w:type="dxa"/>
          </w:tcPr>
          <w:p w14:paraId="72549FC2" w14:textId="77777777" w:rsidR="002C6574" w:rsidRDefault="00000000">
            <w:pPr>
              <w:pStyle w:val="TableParagraph"/>
              <w:spacing w:before="11" w:line="201" w:lineRule="exact"/>
              <w:ind w:right="57"/>
              <w:rPr>
                <w:rFonts w:ascii="Arial"/>
                <w:b/>
                <w:sz w:val="18"/>
              </w:rPr>
            </w:pPr>
            <w:r>
              <w:rPr>
                <w:rFonts w:ascii="Arial"/>
                <w:b/>
                <w:spacing w:val="-2"/>
                <w:sz w:val="18"/>
              </w:rPr>
              <w:t>(520)</w:t>
            </w:r>
          </w:p>
        </w:tc>
        <w:tc>
          <w:tcPr>
            <w:tcW w:w="1564" w:type="dxa"/>
          </w:tcPr>
          <w:p w14:paraId="3381BEFA" w14:textId="77777777" w:rsidR="002C6574" w:rsidRDefault="00000000">
            <w:pPr>
              <w:pStyle w:val="TableParagraph"/>
              <w:spacing w:before="11" w:line="201" w:lineRule="exact"/>
              <w:ind w:right="54"/>
              <w:rPr>
                <w:rFonts w:ascii="Arial"/>
                <w:b/>
                <w:sz w:val="18"/>
              </w:rPr>
            </w:pPr>
            <w:r>
              <w:rPr>
                <w:rFonts w:ascii="Arial"/>
                <w:b/>
                <w:spacing w:val="-2"/>
                <w:sz w:val="18"/>
              </w:rPr>
              <w:t>(584)</w:t>
            </w:r>
          </w:p>
        </w:tc>
      </w:tr>
      <w:tr w:rsidR="002C6574" w14:paraId="1EB83E50" w14:textId="77777777">
        <w:trPr>
          <w:trHeight w:val="232"/>
        </w:trPr>
        <w:tc>
          <w:tcPr>
            <w:tcW w:w="6943" w:type="dxa"/>
          </w:tcPr>
          <w:p w14:paraId="6F01739E" w14:textId="77777777" w:rsidR="002C6574" w:rsidRDefault="00000000">
            <w:pPr>
              <w:pStyle w:val="TableParagraph"/>
              <w:spacing w:line="212" w:lineRule="exact"/>
              <w:ind w:left="249"/>
              <w:jc w:val="left"/>
              <w:rPr>
                <w:sz w:val="18"/>
              </w:rPr>
            </w:pPr>
            <w:r>
              <w:rPr>
                <w:w w:val="105"/>
                <w:sz w:val="18"/>
              </w:rPr>
              <w:t>Petróleo</w:t>
            </w:r>
            <w:r>
              <w:rPr>
                <w:spacing w:val="-11"/>
                <w:w w:val="105"/>
                <w:sz w:val="18"/>
              </w:rPr>
              <w:t xml:space="preserve"> </w:t>
            </w:r>
            <w:r>
              <w:rPr>
                <w:w w:val="105"/>
                <w:sz w:val="18"/>
              </w:rPr>
              <w:t>Brasileiro</w:t>
            </w:r>
            <w:r>
              <w:rPr>
                <w:spacing w:val="-11"/>
                <w:w w:val="105"/>
                <w:sz w:val="18"/>
              </w:rPr>
              <w:t xml:space="preserve"> </w:t>
            </w:r>
            <w:r>
              <w:rPr>
                <w:w w:val="105"/>
                <w:sz w:val="18"/>
              </w:rPr>
              <w:t>S.</w:t>
            </w:r>
            <w:r>
              <w:rPr>
                <w:spacing w:val="-12"/>
                <w:w w:val="105"/>
                <w:sz w:val="18"/>
              </w:rPr>
              <w:t xml:space="preserve"> </w:t>
            </w:r>
            <w:r>
              <w:rPr>
                <w:spacing w:val="-10"/>
                <w:w w:val="105"/>
                <w:sz w:val="18"/>
              </w:rPr>
              <w:t>A</w:t>
            </w:r>
          </w:p>
        </w:tc>
        <w:tc>
          <w:tcPr>
            <w:tcW w:w="1262" w:type="dxa"/>
          </w:tcPr>
          <w:p w14:paraId="25BD6A90" w14:textId="77777777" w:rsidR="002C6574" w:rsidRDefault="00000000">
            <w:pPr>
              <w:pStyle w:val="TableParagraph"/>
              <w:spacing w:line="212" w:lineRule="exact"/>
              <w:ind w:right="58"/>
              <w:rPr>
                <w:sz w:val="18"/>
              </w:rPr>
            </w:pPr>
            <w:r>
              <w:rPr>
                <w:spacing w:val="-2"/>
                <w:w w:val="105"/>
                <w:sz w:val="18"/>
              </w:rPr>
              <w:t>(520)</w:t>
            </w:r>
          </w:p>
        </w:tc>
        <w:tc>
          <w:tcPr>
            <w:tcW w:w="1564" w:type="dxa"/>
          </w:tcPr>
          <w:p w14:paraId="6EADDB05" w14:textId="77777777" w:rsidR="002C6574" w:rsidRDefault="00000000">
            <w:pPr>
              <w:pStyle w:val="TableParagraph"/>
              <w:spacing w:line="212" w:lineRule="exact"/>
              <w:ind w:right="54"/>
              <w:rPr>
                <w:sz w:val="18"/>
              </w:rPr>
            </w:pPr>
            <w:r>
              <w:rPr>
                <w:spacing w:val="-2"/>
                <w:w w:val="105"/>
                <w:sz w:val="18"/>
              </w:rPr>
              <w:t>(584)</w:t>
            </w:r>
          </w:p>
        </w:tc>
      </w:tr>
      <w:tr w:rsidR="002C6574" w14:paraId="719C397E" w14:textId="77777777">
        <w:trPr>
          <w:trHeight w:val="230"/>
        </w:trPr>
        <w:tc>
          <w:tcPr>
            <w:tcW w:w="6943" w:type="dxa"/>
          </w:tcPr>
          <w:p w14:paraId="1D3B4155" w14:textId="77777777" w:rsidR="002C6574" w:rsidRDefault="00000000">
            <w:pPr>
              <w:pStyle w:val="TableParagraph"/>
              <w:spacing w:before="11" w:line="199" w:lineRule="exact"/>
              <w:ind w:left="69"/>
              <w:jc w:val="left"/>
              <w:rPr>
                <w:rFonts w:ascii="Arial" w:hAnsi="Arial"/>
                <w:b/>
                <w:sz w:val="18"/>
              </w:rPr>
            </w:pPr>
            <w:r>
              <w:rPr>
                <w:rFonts w:ascii="Arial" w:hAnsi="Arial"/>
                <w:b/>
                <w:sz w:val="18"/>
              </w:rPr>
              <w:t>j) Meios</w:t>
            </w:r>
            <w:r>
              <w:rPr>
                <w:rFonts w:ascii="Arial" w:hAnsi="Arial"/>
                <w:b/>
                <w:spacing w:val="2"/>
                <w:sz w:val="18"/>
              </w:rPr>
              <w:t xml:space="preserve"> </w:t>
            </w:r>
            <w:r>
              <w:rPr>
                <w:rFonts w:ascii="Arial" w:hAnsi="Arial"/>
                <w:b/>
                <w:sz w:val="18"/>
              </w:rPr>
              <w:t>de</w:t>
            </w:r>
            <w:r>
              <w:rPr>
                <w:rFonts w:ascii="Arial" w:hAnsi="Arial"/>
                <w:b/>
                <w:spacing w:val="-3"/>
                <w:sz w:val="18"/>
              </w:rPr>
              <w:t xml:space="preserve"> </w:t>
            </w:r>
            <w:r>
              <w:rPr>
                <w:rFonts w:ascii="Arial" w:hAnsi="Arial"/>
                <w:b/>
                <w:sz w:val="18"/>
              </w:rPr>
              <w:t xml:space="preserve">conexão e </w:t>
            </w:r>
            <w:r>
              <w:rPr>
                <w:rFonts w:ascii="Arial" w:hAnsi="Arial"/>
                <w:b/>
                <w:spacing w:val="-2"/>
                <w:sz w:val="18"/>
              </w:rPr>
              <w:t>Transmissão</w:t>
            </w:r>
          </w:p>
        </w:tc>
        <w:tc>
          <w:tcPr>
            <w:tcW w:w="1262" w:type="dxa"/>
          </w:tcPr>
          <w:p w14:paraId="05460B30" w14:textId="77777777" w:rsidR="002C6574" w:rsidRDefault="00000000">
            <w:pPr>
              <w:pStyle w:val="TableParagraph"/>
              <w:spacing w:before="11" w:line="199" w:lineRule="exact"/>
              <w:ind w:right="56"/>
              <w:rPr>
                <w:rFonts w:ascii="Arial"/>
                <w:b/>
                <w:sz w:val="18"/>
              </w:rPr>
            </w:pPr>
            <w:r>
              <w:rPr>
                <w:rFonts w:ascii="Arial"/>
                <w:b/>
                <w:spacing w:val="-2"/>
                <w:sz w:val="18"/>
              </w:rPr>
              <w:t>(13.974)</w:t>
            </w:r>
          </w:p>
        </w:tc>
        <w:tc>
          <w:tcPr>
            <w:tcW w:w="1564" w:type="dxa"/>
          </w:tcPr>
          <w:p w14:paraId="6B27D17B" w14:textId="77777777" w:rsidR="002C6574" w:rsidRDefault="00000000">
            <w:pPr>
              <w:pStyle w:val="TableParagraph"/>
              <w:spacing w:before="11" w:line="199" w:lineRule="exact"/>
              <w:ind w:right="53"/>
              <w:rPr>
                <w:rFonts w:ascii="Arial"/>
                <w:b/>
                <w:sz w:val="18"/>
              </w:rPr>
            </w:pPr>
            <w:r>
              <w:rPr>
                <w:rFonts w:ascii="Arial"/>
                <w:b/>
                <w:spacing w:val="-2"/>
                <w:sz w:val="18"/>
              </w:rPr>
              <w:t>(13.394)</w:t>
            </w:r>
          </w:p>
        </w:tc>
      </w:tr>
      <w:tr w:rsidR="002C6574" w14:paraId="0BB7EB8C" w14:textId="77777777">
        <w:trPr>
          <w:trHeight w:val="232"/>
        </w:trPr>
        <w:tc>
          <w:tcPr>
            <w:tcW w:w="6943" w:type="dxa"/>
          </w:tcPr>
          <w:p w14:paraId="11568080" w14:textId="77777777" w:rsidR="002C6574" w:rsidRDefault="00000000">
            <w:pPr>
              <w:pStyle w:val="TableParagraph"/>
              <w:spacing w:line="212" w:lineRule="exact"/>
              <w:ind w:left="249"/>
              <w:jc w:val="left"/>
              <w:rPr>
                <w:sz w:val="18"/>
              </w:rPr>
            </w:pPr>
            <w:r>
              <w:rPr>
                <w:w w:val="105"/>
                <w:sz w:val="18"/>
              </w:rPr>
              <w:t>Petróleo</w:t>
            </w:r>
            <w:r>
              <w:rPr>
                <w:spacing w:val="-11"/>
                <w:w w:val="105"/>
                <w:sz w:val="18"/>
              </w:rPr>
              <w:t xml:space="preserve"> </w:t>
            </w:r>
            <w:r>
              <w:rPr>
                <w:w w:val="105"/>
                <w:sz w:val="18"/>
              </w:rPr>
              <w:t>Brasileiro</w:t>
            </w:r>
            <w:r>
              <w:rPr>
                <w:spacing w:val="-11"/>
                <w:w w:val="105"/>
                <w:sz w:val="18"/>
              </w:rPr>
              <w:t xml:space="preserve"> </w:t>
            </w:r>
            <w:r>
              <w:rPr>
                <w:w w:val="105"/>
                <w:sz w:val="18"/>
              </w:rPr>
              <w:t>S.</w:t>
            </w:r>
            <w:r>
              <w:rPr>
                <w:spacing w:val="-12"/>
                <w:w w:val="105"/>
                <w:sz w:val="18"/>
              </w:rPr>
              <w:t xml:space="preserve"> </w:t>
            </w:r>
            <w:r>
              <w:rPr>
                <w:spacing w:val="-10"/>
                <w:w w:val="105"/>
                <w:sz w:val="18"/>
              </w:rPr>
              <w:t>A</w:t>
            </w:r>
          </w:p>
        </w:tc>
        <w:tc>
          <w:tcPr>
            <w:tcW w:w="1262" w:type="dxa"/>
          </w:tcPr>
          <w:p w14:paraId="3E8C6D5E" w14:textId="77777777" w:rsidR="002C6574" w:rsidRDefault="00000000">
            <w:pPr>
              <w:pStyle w:val="TableParagraph"/>
              <w:spacing w:line="212" w:lineRule="exact"/>
              <w:ind w:right="57"/>
              <w:rPr>
                <w:sz w:val="18"/>
              </w:rPr>
            </w:pPr>
            <w:r>
              <w:rPr>
                <w:spacing w:val="-2"/>
                <w:w w:val="110"/>
                <w:sz w:val="18"/>
              </w:rPr>
              <w:t>(13.974)</w:t>
            </w:r>
          </w:p>
        </w:tc>
        <w:tc>
          <w:tcPr>
            <w:tcW w:w="1564" w:type="dxa"/>
          </w:tcPr>
          <w:p w14:paraId="2C4C71D6" w14:textId="77777777" w:rsidR="002C6574" w:rsidRDefault="00000000">
            <w:pPr>
              <w:pStyle w:val="TableParagraph"/>
              <w:spacing w:line="212" w:lineRule="exact"/>
              <w:ind w:right="53"/>
              <w:rPr>
                <w:sz w:val="18"/>
              </w:rPr>
            </w:pPr>
            <w:r>
              <w:rPr>
                <w:spacing w:val="-2"/>
                <w:w w:val="110"/>
                <w:sz w:val="18"/>
              </w:rPr>
              <w:t>(13.394)</w:t>
            </w:r>
          </w:p>
        </w:tc>
      </w:tr>
      <w:tr w:rsidR="002C6574" w14:paraId="0A57D124" w14:textId="77777777">
        <w:trPr>
          <w:trHeight w:val="232"/>
        </w:trPr>
        <w:tc>
          <w:tcPr>
            <w:tcW w:w="6943" w:type="dxa"/>
          </w:tcPr>
          <w:p w14:paraId="29D4144E" w14:textId="77777777" w:rsidR="002C6574" w:rsidRDefault="00000000">
            <w:pPr>
              <w:pStyle w:val="TableParagraph"/>
              <w:spacing w:before="13" w:line="199" w:lineRule="exact"/>
              <w:ind w:left="69"/>
              <w:jc w:val="left"/>
              <w:rPr>
                <w:rFonts w:ascii="Arial"/>
                <w:b/>
                <w:sz w:val="18"/>
              </w:rPr>
            </w:pPr>
            <w:r>
              <w:rPr>
                <w:rFonts w:ascii="Arial"/>
                <w:b/>
                <w:sz w:val="18"/>
              </w:rPr>
              <w:t>k) Garantia</w:t>
            </w:r>
            <w:r>
              <w:rPr>
                <w:rFonts w:ascii="Arial"/>
                <w:b/>
                <w:spacing w:val="2"/>
                <w:sz w:val="18"/>
              </w:rPr>
              <w:t xml:space="preserve"> </w:t>
            </w:r>
            <w:r>
              <w:rPr>
                <w:rFonts w:ascii="Arial"/>
                <w:b/>
                <w:spacing w:val="-2"/>
                <w:sz w:val="18"/>
              </w:rPr>
              <w:t>Estendida</w:t>
            </w:r>
          </w:p>
        </w:tc>
        <w:tc>
          <w:tcPr>
            <w:tcW w:w="1262" w:type="dxa"/>
          </w:tcPr>
          <w:p w14:paraId="481BC1E3" w14:textId="77777777" w:rsidR="002C6574" w:rsidRDefault="00000000">
            <w:pPr>
              <w:pStyle w:val="TableParagraph"/>
              <w:spacing w:before="13" w:line="199" w:lineRule="exact"/>
              <w:ind w:right="56"/>
              <w:rPr>
                <w:rFonts w:ascii="Arial"/>
                <w:b/>
                <w:sz w:val="18"/>
              </w:rPr>
            </w:pPr>
            <w:r>
              <w:rPr>
                <w:rFonts w:ascii="Arial"/>
                <w:b/>
                <w:spacing w:val="-2"/>
                <w:sz w:val="18"/>
              </w:rPr>
              <w:t>(4.421)</w:t>
            </w:r>
          </w:p>
        </w:tc>
        <w:tc>
          <w:tcPr>
            <w:tcW w:w="1564" w:type="dxa"/>
          </w:tcPr>
          <w:p w14:paraId="6BE9FB3A" w14:textId="77777777" w:rsidR="002C6574" w:rsidRDefault="00000000">
            <w:pPr>
              <w:pStyle w:val="TableParagraph"/>
              <w:spacing w:before="13" w:line="199" w:lineRule="exact"/>
              <w:ind w:right="53"/>
              <w:rPr>
                <w:rFonts w:ascii="Arial"/>
                <w:b/>
                <w:sz w:val="18"/>
              </w:rPr>
            </w:pPr>
            <w:r>
              <w:rPr>
                <w:rFonts w:ascii="Arial"/>
                <w:b/>
                <w:spacing w:val="-2"/>
                <w:sz w:val="18"/>
              </w:rPr>
              <w:t>(10.610)</w:t>
            </w:r>
          </w:p>
        </w:tc>
      </w:tr>
      <w:tr w:rsidR="002C6574" w14:paraId="7170F182" w14:textId="77777777">
        <w:trPr>
          <w:trHeight w:val="232"/>
        </w:trPr>
        <w:tc>
          <w:tcPr>
            <w:tcW w:w="6943" w:type="dxa"/>
          </w:tcPr>
          <w:p w14:paraId="65FF094C" w14:textId="77777777" w:rsidR="002C6574" w:rsidRDefault="00000000">
            <w:pPr>
              <w:pStyle w:val="TableParagraph"/>
              <w:spacing w:line="212" w:lineRule="exact"/>
              <w:ind w:left="249"/>
              <w:jc w:val="left"/>
              <w:rPr>
                <w:sz w:val="18"/>
              </w:rPr>
            </w:pPr>
            <w:r>
              <w:rPr>
                <w:sz w:val="18"/>
              </w:rPr>
              <w:t>Visiona</w:t>
            </w:r>
            <w:r>
              <w:rPr>
                <w:spacing w:val="1"/>
                <w:sz w:val="18"/>
              </w:rPr>
              <w:t xml:space="preserve"> </w:t>
            </w:r>
            <w:r>
              <w:rPr>
                <w:sz w:val="18"/>
              </w:rPr>
              <w:t>Internacional</w:t>
            </w:r>
            <w:r>
              <w:rPr>
                <w:spacing w:val="4"/>
                <w:sz w:val="18"/>
              </w:rPr>
              <w:t xml:space="preserve"> </w:t>
            </w:r>
            <w:r>
              <w:rPr>
                <w:spacing w:val="-5"/>
                <w:sz w:val="18"/>
              </w:rPr>
              <w:t>BV</w:t>
            </w:r>
          </w:p>
        </w:tc>
        <w:tc>
          <w:tcPr>
            <w:tcW w:w="1262" w:type="dxa"/>
          </w:tcPr>
          <w:p w14:paraId="0414A3CC" w14:textId="77777777" w:rsidR="002C6574" w:rsidRDefault="00000000">
            <w:pPr>
              <w:pStyle w:val="TableParagraph"/>
              <w:spacing w:line="212" w:lineRule="exact"/>
              <w:ind w:right="57"/>
              <w:rPr>
                <w:sz w:val="18"/>
              </w:rPr>
            </w:pPr>
            <w:r>
              <w:rPr>
                <w:spacing w:val="-2"/>
                <w:w w:val="110"/>
                <w:sz w:val="18"/>
              </w:rPr>
              <w:t>(4.421)</w:t>
            </w:r>
          </w:p>
        </w:tc>
        <w:tc>
          <w:tcPr>
            <w:tcW w:w="1564" w:type="dxa"/>
          </w:tcPr>
          <w:p w14:paraId="26DC6DE7" w14:textId="77777777" w:rsidR="002C6574" w:rsidRDefault="00000000">
            <w:pPr>
              <w:pStyle w:val="TableParagraph"/>
              <w:spacing w:line="212" w:lineRule="exact"/>
              <w:ind w:right="53"/>
              <w:rPr>
                <w:sz w:val="18"/>
              </w:rPr>
            </w:pPr>
            <w:r>
              <w:rPr>
                <w:spacing w:val="-2"/>
                <w:w w:val="110"/>
                <w:sz w:val="18"/>
              </w:rPr>
              <w:t>(10.610)</w:t>
            </w:r>
          </w:p>
        </w:tc>
      </w:tr>
      <w:tr w:rsidR="002C6574" w14:paraId="06E8A41B" w14:textId="77777777">
        <w:trPr>
          <w:trHeight w:val="232"/>
        </w:trPr>
        <w:tc>
          <w:tcPr>
            <w:tcW w:w="6943" w:type="dxa"/>
          </w:tcPr>
          <w:p w14:paraId="14EE0A15" w14:textId="77777777" w:rsidR="002C6574" w:rsidRDefault="00000000">
            <w:pPr>
              <w:pStyle w:val="TableParagraph"/>
              <w:spacing w:before="11" w:line="201" w:lineRule="exact"/>
              <w:ind w:left="69"/>
              <w:jc w:val="left"/>
              <w:rPr>
                <w:rFonts w:ascii="Arial"/>
                <w:b/>
                <w:sz w:val="18"/>
              </w:rPr>
            </w:pPr>
            <w:r>
              <w:rPr>
                <w:rFonts w:ascii="Arial"/>
                <w:b/>
                <w:sz w:val="18"/>
              </w:rPr>
              <w:t>l)</w:t>
            </w:r>
            <w:r>
              <w:rPr>
                <w:rFonts w:ascii="Arial"/>
                <w:b/>
                <w:spacing w:val="1"/>
                <w:sz w:val="18"/>
              </w:rPr>
              <w:t xml:space="preserve"> </w:t>
            </w:r>
            <w:r>
              <w:rPr>
                <w:rFonts w:ascii="Arial"/>
                <w:b/>
                <w:sz w:val="18"/>
              </w:rPr>
              <w:t xml:space="preserve">Despesas </w:t>
            </w:r>
            <w:r>
              <w:rPr>
                <w:rFonts w:ascii="Arial"/>
                <w:b/>
                <w:spacing w:val="-2"/>
                <w:sz w:val="18"/>
              </w:rPr>
              <w:t>financeiras</w:t>
            </w:r>
          </w:p>
        </w:tc>
        <w:tc>
          <w:tcPr>
            <w:tcW w:w="1262" w:type="dxa"/>
          </w:tcPr>
          <w:p w14:paraId="0B0572DE" w14:textId="77777777" w:rsidR="002C6574" w:rsidRDefault="00000000">
            <w:pPr>
              <w:pStyle w:val="TableParagraph"/>
              <w:spacing w:before="11" w:line="201" w:lineRule="exact"/>
              <w:ind w:right="57"/>
              <w:rPr>
                <w:rFonts w:ascii="Arial"/>
                <w:b/>
                <w:sz w:val="18"/>
              </w:rPr>
            </w:pPr>
            <w:r>
              <w:rPr>
                <w:rFonts w:ascii="Arial"/>
                <w:b/>
                <w:spacing w:val="-2"/>
                <w:sz w:val="18"/>
              </w:rPr>
              <w:t>(249.772)</w:t>
            </w:r>
          </w:p>
        </w:tc>
        <w:tc>
          <w:tcPr>
            <w:tcW w:w="1564" w:type="dxa"/>
          </w:tcPr>
          <w:p w14:paraId="6B145AB4" w14:textId="77777777" w:rsidR="002C6574" w:rsidRDefault="00000000">
            <w:pPr>
              <w:pStyle w:val="TableParagraph"/>
              <w:spacing w:before="11" w:line="201" w:lineRule="exact"/>
              <w:ind w:right="56"/>
              <w:rPr>
                <w:rFonts w:ascii="Arial"/>
                <w:b/>
                <w:sz w:val="18"/>
              </w:rPr>
            </w:pPr>
            <w:r>
              <w:rPr>
                <w:rFonts w:ascii="Arial"/>
                <w:b/>
                <w:spacing w:val="-10"/>
                <w:sz w:val="18"/>
              </w:rPr>
              <w:t>-</w:t>
            </w:r>
          </w:p>
        </w:tc>
      </w:tr>
      <w:tr w:rsidR="002C6574" w14:paraId="4CCABD2B" w14:textId="77777777">
        <w:trPr>
          <w:trHeight w:val="232"/>
        </w:trPr>
        <w:tc>
          <w:tcPr>
            <w:tcW w:w="6943" w:type="dxa"/>
          </w:tcPr>
          <w:p w14:paraId="25EC44E6" w14:textId="77777777" w:rsidR="002C6574" w:rsidRDefault="00000000">
            <w:pPr>
              <w:pStyle w:val="TableParagraph"/>
              <w:spacing w:line="212" w:lineRule="exact"/>
              <w:ind w:left="249"/>
              <w:jc w:val="left"/>
              <w:rPr>
                <w:sz w:val="18"/>
              </w:rPr>
            </w:pPr>
            <w:r>
              <w:rPr>
                <w:sz w:val="18"/>
              </w:rPr>
              <w:t>União</w:t>
            </w:r>
            <w:r>
              <w:rPr>
                <w:spacing w:val="5"/>
                <w:sz w:val="18"/>
              </w:rPr>
              <w:t xml:space="preserve"> </w:t>
            </w:r>
            <w:r>
              <w:rPr>
                <w:sz w:val="18"/>
              </w:rPr>
              <w:t>Federal</w:t>
            </w:r>
            <w:r>
              <w:rPr>
                <w:spacing w:val="7"/>
                <w:sz w:val="18"/>
              </w:rPr>
              <w:t xml:space="preserve"> </w:t>
            </w:r>
            <w:r>
              <w:rPr>
                <w:sz w:val="18"/>
              </w:rPr>
              <w:t>-</w:t>
            </w:r>
            <w:r>
              <w:rPr>
                <w:spacing w:val="6"/>
                <w:sz w:val="18"/>
              </w:rPr>
              <w:t xml:space="preserve"> </w:t>
            </w:r>
            <w:r>
              <w:rPr>
                <w:spacing w:val="-4"/>
                <w:sz w:val="18"/>
              </w:rPr>
              <w:t>AFAC</w:t>
            </w:r>
          </w:p>
        </w:tc>
        <w:tc>
          <w:tcPr>
            <w:tcW w:w="1262" w:type="dxa"/>
          </w:tcPr>
          <w:p w14:paraId="741C0205" w14:textId="77777777" w:rsidR="002C6574" w:rsidRDefault="00000000">
            <w:pPr>
              <w:pStyle w:val="TableParagraph"/>
              <w:spacing w:line="212" w:lineRule="exact"/>
              <w:ind w:right="57"/>
              <w:rPr>
                <w:sz w:val="18"/>
              </w:rPr>
            </w:pPr>
            <w:r>
              <w:rPr>
                <w:spacing w:val="-2"/>
                <w:w w:val="105"/>
                <w:sz w:val="18"/>
              </w:rPr>
              <w:t>(249.981)</w:t>
            </w:r>
          </w:p>
        </w:tc>
        <w:tc>
          <w:tcPr>
            <w:tcW w:w="1564" w:type="dxa"/>
          </w:tcPr>
          <w:p w14:paraId="71866B2E" w14:textId="77777777" w:rsidR="002C6574" w:rsidRDefault="00000000">
            <w:pPr>
              <w:pStyle w:val="TableParagraph"/>
              <w:spacing w:line="212" w:lineRule="exact"/>
              <w:ind w:right="55"/>
              <w:rPr>
                <w:sz w:val="18"/>
              </w:rPr>
            </w:pPr>
            <w:r>
              <w:rPr>
                <w:spacing w:val="-10"/>
                <w:w w:val="95"/>
                <w:sz w:val="18"/>
              </w:rPr>
              <w:t>-</w:t>
            </w:r>
          </w:p>
        </w:tc>
      </w:tr>
    </w:tbl>
    <w:p w14:paraId="18C80566" w14:textId="77777777" w:rsidR="002C6574" w:rsidRDefault="002C6574">
      <w:pPr>
        <w:pStyle w:val="TableParagraph"/>
        <w:spacing w:line="212" w:lineRule="exact"/>
        <w:rPr>
          <w:sz w:val="18"/>
        </w:rPr>
        <w:sectPr w:rsidR="002C6574">
          <w:pgSz w:w="11910" w:h="16840"/>
          <w:pgMar w:top="1820" w:right="141" w:bottom="1300" w:left="1133" w:header="1084" w:footer="1100" w:gutter="0"/>
          <w:cols w:space="720"/>
        </w:sectPr>
      </w:pPr>
    </w:p>
    <w:p w14:paraId="4C83C750" w14:textId="77777777" w:rsidR="002C6574" w:rsidRDefault="002C6574">
      <w:pPr>
        <w:pStyle w:val="Corpodetexto"/>
        <w:spacing w:before="10"/>
        <w:rPr>
          <w:rFonts w:ascii="Arial"/>
          <w:b/>
          <w:sz w:val="19"/>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3"/>
        <w:gridCol w:w="1262"/>
        <w:gridCol w:w="1564"/>
      </w:tblGrid>
      <w:tr w:rsidR="002C6574" w14:paraId="2E80BEEC" w14:textId="77777777">
        <w:trPr>
          <w:trHeight w:val="232"/>
        </w:trPr>
        <w:tc>
          <w:tcPr>
            <w:tcW w:w="6943" w:type="dxa"/>
          </w:tcPr>
          <w:p w14:paraId="768216CF" w14:textId="77777777" w:rsidR="002C6574" w:rsidRDefault="00000000">
            <w:pPr>
              <w:pStyle w:val="TableParagraph"/>
              <w:spacing w:line="212" w:lineRule="exact"/>
              <w:ind w:left="249"/>
              <w:jc w:val="left"/>
              <w:rPr>
                <w:sz w:val="18"/>
              </w:rPr>
            </w:pPr>
            <w:r>
              <w:rPr>
                <w:w w:val="105"/>
                <w:sz w:val="18"/>
              </w:rPr>
              <w:t>Financiadora</w:t>
            </w:r>
            <w:r>
              <w:rPr>
                <w:spacing w:val="-13"/>
                <w:w w:val="105"/>
                <w:sz w:val="18"/>
              </w:rPr>
              <w:t xml:space="preserve"> </w:t>
            </w:r>
            <w:r>
              <w:rPr>
                <w:w w:val="105"/>
                <w:sz w:val="18"/>
              </w:rPr>
              <w:t>de</w:t>
            </w:r>
            <w:r>
              <w:rPr>
                <w:spacing w:val="-13"/>
                <w:w w:val="105"/>
                <w:sz w:val="18"/>
              </w:rPr>
              <w:t xml:space="preserve"> </w:t>
            </w:r>
            <w:r>
              <w:rPr>
                <w:w w:val="105"/>
                <w:sz w:val="18"/>
              </w:rPr>
              <w:t>Estudos</w:t>
            </w:r>
            <w:r>
              <w:rPr>
                <w:spacing w:val="-13"/>
                <w:w w:val="105"/>
                <w:sz w:val="18"/>
              </w:rPr>
              <w:t xml:space="preserve"> </w:t>
            </w:r>
            <w:r>
              <w:rPr>
                <w:w w:val="105"/>
                <w:sz w:val="18"/>
              </w:rPr>
              <w:t>e</w:t>
            </w:r>
            <w:r>
              <w:rPr>
                <w:spacing w:val="-13"/>
                <w:w w:val="105"/>
                <w:sz w:val="18"/>
              </w:rPr>
              <w:t xml:space="preserve"> </w:t>
            </w:r>
            <w:r>
              <w:rPr>
                <w:w w:val="105"/>
                <w:sz w:val="18"/>
              </w:rPr>
              <w:t>Projetos</w:t>
            </w:r>
            <w:r>
              <w:rPr>
                <w:spacing w:val="-13"/>
                <w:w w:val="105"/>
                <w:sz w:val="18"/>
              </w:rPr>
              <w:t xml:space="preserve"> </w:t>
            </w:r>
            <w:r>
              <w:rPr>
                <w:w w:val="105"/>
                <w:sz w:val="18"/>
              </w:rPr>
              <w:t>–</w:t>
            </w:r>
            <w:r>
              <w:rPr>
                <w:spacing w:val="-13"/>
                <w:w w:val="105"/>
                <w:sz w:val="18"/>
              </w:rPr>
              <w:t xml:space="preserve"> </w:t>
            </w:r>
            <w:r>
              <w:rPr>
                <w:spacing w:val="-2"/>
                <w:w w:val="105"/>
                <w:sz w:val="18"/>
              </w:rPr>
              <w:t>FINEP</w:t>
            </w:r>
          </w:p>
        </w:tc>
        <w:tc>
          <w:tcPr>
            <w:tcW w:w="1262" w:type="dxa"/>
          </w:tcPr>
          <w:p w14:paraId="77B1FFBA" w14:textId="77777777" w:rsidR="002C6574" w:rsidRDefault="00000000">
            <w:pPr>
              <w:pStyle w:val="TableParagraph"/>
              <w:spacing w:line="212" w:lineRule="exact"/>
              <w:ind w:right="60"/>
              <w:rPr>
                <w:sz w:val="18"/>
              </w:rPr>
            </w:pPr>
            <w:r>
              <w:rPr>
                <w:spacing w:val="-5"/>
                <w:w w:val="105"/>
                <w:sz w:val="18"/>
              </w:rPr>
              <w:t>209</w:t>
            </w:r>
          </w:p>
        </w:tc>
        <w:tc>
          <w:tcPr>
            <w:tcW w:w="1564" w:type="dxa"/>
          </w:tcPr>
          <w:p w14:paraId="02AC7E95" w14:textId="77777777" w:rsidR="002C6574" w:rsidRDefault="00000000">
            <w:pPr>
              <w:pStyle w:val="TableParagraph"/>
              <w:spacing w:line="212" w:lineRule="exact"/>
              <w:ind w:right="56"/>
              <w:rPr>
                <w:sz w:val="18"/>
              </w:rPr>
            </w:pPr>
            <w:r>
              <w:rPr>
                <w:spacing w:val="-10"/>
                <w:w w:val="95"/>
                <w:sz w:val="18"/>
              </w:rPr>
              <w:t>-</w:t>
            </w:r>
          </w:p>
        </w:tc>
      </w:tr>
      <w:tr w:rsidR="002C6574" w14:paraId="1E619F6E" w14:textId="77777777">
        <w:trPr>
          <w:trHeight w:val="230"/>
        </w:trPr>
        <w:tc>
          <w:tcPr>
            <w:tcW w:w="6943" w:type="dxa"/>
            <w:shd w:val="clear" w:color="auto" w:fill="D8D8D8"/>
          </w:tcPr>
          <w:p w14:paraId="1C291E55" w14:textId="77777777" w:rsidR="002C6574" w:rsidRDefault="00000000">
            <w:pPr>
              <w:pStyle w:val="TableParagraph"/>
              <w:spacing w:before="11" w:line="199" w:lineRule="exact"/>
              <w:ind w:left="249"/>
              <w:jc w:val="left"/>
              <w:rPr>
                <w:rFonts w:ascii="Arial"/>
                <w:b/>
                <w:sz w:val="18"/>
              </w:rPr>
            </w:pPr>
            <w:r>
              <w:rPr>
                <w:rFonts w:ascii="Arial"/>
                <w:b/>
                <w:spacing w:val="-2"/>
                <w:sz w:val="18"/>
              </w:rPr>
              <w:t>Receitas</w:t>
            </w:r>
          </w:p>
        </w:tc>
        <w:tc>
          <w:tcPr>
            <w:tcW w:w="1262" w:type="dxa"/>
            <w:shd w:val="clear" w:color="auto" w:fill="D8D8D8"/>
          </w:tcPr>
          <w:p w14:paraId="707D6F01" w14:textId="77777777" w:rsidR="002C6574" w:rsidRDefault="00000000">
            <w:pPr>
              <w:pStyle w:val="TableParagraph"/>
              <w:spacing w:before="11" w:line="199" w:lineRule="exact"/>
              <w:ind w:right="60"/>
              <w:rPr>
                <w:rFonts w:ascii="Arial"/>
                <w:b/>
                <w:sz w:val="18"/>
              </w:rPr>
            </w:pPr>
            <w:r>
              <w:rPr>
                <w:rFonts w:ascii="Arial"/>
                <w:b/>
                <w:spacing w:val="-2"/>
                <w:sz w:val="18"/>
              </w:rPr>
              <w:t>403.171</w:t>
            </w:r>
          </w:p>
        </w:tc>
        <w:tc>
          <w:tcPr>
            <w:tcW w:w="1564" w:type="dxa"/>
            <w:shd w:val="clear" w:color="auto" w:fill="D8D8D8"/>
          </w:tcPr>
          <w:p w14:paraId="1718682F" w14:textId="77777777" w:rsidR="002C6574" w:rsidRDefault="00000000">
            <w:pPr>
              <w:pStyle w:val="TableParagraph"/>
              <w:spacing w:before="11" w:line="199" w:lineRule="exact"/>
              <w:ind w:right="57"/>
              <w:rPr>
                <w:rFonts w:ascii="Arial"/>
                <w:b/>
                <w:sz w:val="18"/>
              </w:rPr>
            </w:pPr>
            <w:r>
              <w:rPr>
                <w:rFonts w:ascii="Arial"/>
                <w:b/>
                <w:spacing w:val="-2"/>
                <w:sz w:val="18"/>
              </w:rPr>
              <w:t>360.473</w:t>
            </w:r>
          </w:p>
        </w:tc>
      </w:tr>
      <w:tr w:rsidR="002C6574" w14:paraId="13CD3152" w14:textId="77777777">
        <w:trPr>
          <w:trHeight w:val="232"/>
        </w:trPr>
        <w:tc>
          <w:tcPr>
            <w:tcW w:w="6943" w:type="dxa"/>
          </w:tcPr>
          <w:p w14:paraId="222DF5F6" w14:textId="77777777" w:rsidR="002C6574" w:rsidRDefault="00000000">
            <w:pPr>
              <w:pStyle w:val="TableParagraph"/>
              <w:spacing w:before="13" w:line="199" w:lineRule="exact"/>
              <w:ind w:left="69"/>
              <w:jc w:val="left"/>
              <w:rPr>
                <w:rFonts w:ascii="Arial" w:hAnsi="Arial"/>
                <w:b/>
                <w:sz w:val="18"/>
              </w:rPr>
            </w:pPr>
            <w:r>
              <w:rPr>
                <w:rFonts w:ascii="Arial" w:hAnsi="Arial"/>
                <w:b/>
                <w:sz w:val="18"/>
              </w:rPr>
              <w:t>m)</w:t>
            </w:r>
            <w:r>
              <w:rPr>
                <w:rFonts w:ascii="Arial" w:hAnsi="Arial"/>
                <w:b/>
                <w:spacing w:val="-1"/>
                <w:sz w:val="18"/>
              </w:rPr>
              <w:t xml:space="preserve"> </w:t>
            </w:r>
            <w:r>
              <w:rPr>
                <w:rFonts w:ascii="Arial" w:hAnsi="Arial"/>
                <w:b/>
                <w:sz w:val="18"/>
              </w:rPr>
              <w:t>Receitas</w:t>
            </w:r>
            <w:r>
              <w:rPr>
                <w:rFonts w:ascii="Arial" w:hAnsi="Arial"/>
                <w:b/>
                <w:spacing w:val="1"/>
                <w:sz w:val="18"/>
              </w:rPr>
              <w:t xml:space="preserve"> </w:t>
            </w:r>
            <w:r>
              <w:rPr>
                <w:rFonts w:ascii="Arial" w:hAnsi="Arial"/>
                <w:b/>
                <w:sz w:val="18"/>
              </w:rPr>
              <w:t>de</w:t>
            </w:r>
            <w:r>
              <w:rPr>
                <w:rFonts w:ascii="Arial" w:hAnsi="Arial"/>
                <w:b/>
                <w:spacing w:val="1"/>
                <w:sz w:val="18"/>
              </w:rPr>
              <w:t xml:space="preserve"> </w:t>
            </w:r>
            <w:r>
              <w:rPr>
                <w:rFonts w:ascii="Arial" w:hAnsi="Arial"/>
                <w:b/>
                <w:sz w:val="18"/>
              </w:rPr>
              <w:t>Serviços</w:t>
            </w:r>
            <w:r>
              <w:rPr>
                <w:rFonts w:ascii="Arial" w:hAnsi="Arial"/>
                <w:b/>
                <w:spacing w:val="-1"/>
                <w:sz w:val="18"/>
              </w:rPr>
              <w:t xml:space="preserve"> </w:t>
            </w:r>
            <w:r>
              <w:rPr>
                <w:rFonts w:ascii="Arial" w:hAnsi="Arial"/>
                <w:b/>
                <w:sz w:val="18"/>
              </w:rPr>
              <w:t xml:space="preserve">- </w:t>
            </w:r>
            <w:r>
              <w:rPr>
                <w:rFonts w:ascii="Arial" w:hAnsi="Arial"/>
                <w:b/>
                <w:spacing w:val="-5"/>
                <w:sz w:val="18"/>
              </w:rPr>
              <w:t>SCM</w:t>
            </w:r>
          </w:p>
        </w:tc>
        <w:tc>
          <w:tcPr>
            <w:tcW w:w="1262" w:type="dxa"/>
          </w:tcPr>
          <w:p w14:paraId="58419E48" w14:textId="77777777" w:rsidR="002C6574" w:rsidRDefault="00000000">
            <w:pPr>
              <w:pStyle w:val="TableParagraph"/>
              <w:spacing w:before="13" w:line="199" w:lineRule="exact"/>
              <w:ind w:right="60"/>
              <w:rPr>
                <w:rFonts w:ascii="Arial"/>
                <w:b/>
                <w:sz w:val="18"/>
              </w:rPr>
            </w:pPr>
            <w:r>
              <w:rPr>
                <w:rFonts w:ascii="Arial"/>
                <w:b/>
                <w:spacing w:val="-2"/>
                <w:sz w:val="18"/>
              </w:rPr>
              <w:t>351.910</w:t>
            </w:r>
          </w:p>
        </w:tc>
        <w:tc>
          <w:tcPr>
            <w:tcW w:w="1564" w:type="dxa"/>
          </w:tcPr>
          <w:p w14:paraId="686207AC" w14:textId="77777777" w:rsidR="002C6574" w:rsidRDefault="00000000">
            <w:pPr>
              <w:pStyle w:val="TableParagraph"/>
              <w:spacing w:before="13" w:line="199" w:lineRule="exact"/>
              <w:ind w:right="57"/>
              <w:rPr>
                <w:rFonts w:ascii="Arial"/>
                <w:b/>
                <w:sz w:val="18"/>
              </w:rPr>
            </w:pPr>
            <w:r>
              <w:rPr>
                <w:rFonts w:ascii="Arial"/>
                <w:b/>
                <w:spacing w:val="-2"/>
                <w:sz w:val="18"/>
              </w:rPr>
              <w:t>304.424</w:t>
            </w:r>
          </w:p>
        </w:tc>
      </w:tr>
      <w:tr w:rsidR="002C6574" w14:paraId="45665FFB" w14:textId="77777777">
        <w:trPr>
          <w:trHeight w:val="232"/>
        </w:trPr>
        <w:tc>
          <w:tcPr>
            <w:tcW w:w="6943" w:type="dxa"/>
          </w:tcPr>
          <w:p w14:paraId="41E9D67A" w14:textId="77777777" w:rsidR="002C6574" w:rsidRDefault="00000000">
            <w:pPr>
              <w:pStyle w:val="TableParagraph"/>
              <w:spacing w:line="212" w:lineRule="exact"/>
              <w:ind w:left="169"/>
              <w:jc w:val="left"/>
              <w:rPr>
                <w:sz w:val="18"/>
              </w:rPr>
            </w:pPr>
            <w:r>
              <w:rPr>
                <w:sz w:val="18"/>
              </w:rPr>
              <w:t>Entidades</w:t>
            </w:r>
            <w:r>
              <w:rPr>
                <w:spacing w:val="24"/>
                <w:sz w:val="18"/>
              </w:rPr>
              <w:t xml:space="preserve"> </w:t>
            </w:r>
            <w:r>
              <w:rPr>
                <w:spacing w:val="-2"/>
                <w:sz w:val="18"/>
              </w:rPr>
              <w:t>Governamentais:</w:t>
            </w:r>
          </w:p>
        </w:tc>
        <w:tc>
          <w:tcPr>
            <w:tcW w:w="1262" w:type="dxa"/>
          </w:tcPr>
          <w:p w14:paraId="42D5EF4C" w14:textId="77777777" w:rsidR="002C6574" w:rsidRDefault="00000000">
            <w:pPr>
              <w:pStyle w:val="TableParagraph"/>
              <w:spacing w:line="212" w:lineRule="exact"/>
              <w:ind w:right="60"/>
              <w:rPr>
                <w:sz w:val="18"/>
              </w:rPr>
            </w:pPr>
            <w:r>
              <w:rPr>
                <w:spacing w:val="-2"/>
                <w:w w:val="105"/>
                <w:sz w:val="18"/>
              </w:rPr>
              <w:t>298.040</w:t>
            </w:r>
          </w:p>
        </w:tc>
        <w:tc>
          <w:tcPr>
            <w:tcW w:w="1564" w:type="dxa"/>
          </w:tcPr>
          <w:p w14:paraId="2449FC72" w14:textId="77777777" w:rsidR="002C6574" w:rsidRDefault="00000000">
            <w:pPr>
              <w:pStyle w:val="TableParagraph"/>
              <w:spacing w:line="212" w:lineRule="exact"/>
              <w:ind w:right="57"/>
              <w:rPr>
                <w:sz w:val="18"/>
              </w:rPr>
            </w:pPr>
            <w:r>
              <w:rPr>
                <w:spacing w:val="-2"/>
                <w:w w:val="105"/>
                <w:sz w:val="18"/>
              </w:rPr>
              <w:t>259.381</w:t>
            </w:r>
          </w:p>
        </w:tc>
      </w:tr>
      <w:tr w:rsidR="002C6574" w14:paraId="3883DB73" w14:textId="77777777">
        <w:trPr>
          <w:trHeight w:val="232"/>
        </w:trPr>
        <w:tc>
          <w:tcPr>
            <w:tcW w:w="6943" w:type="dxa"/>
          </w:tcPr>
          <w:p w14:paraId="037CED5D" w14:textId="77777777" w:rsidR="002C6574" w:rsidRDefault="00000000">
            <w:pPr>
              <w:pStyle w:val="TableParagraph"/>
              <w:spacing w:line="212" w:lineRule="exact"/>
              <w:ind w:left="429"/>
              <w:jc w:val="left"/>
              <w:rPr>
                <w:sz w:val="18"/>
              </w:rPr>
            </w:pPr>
            <w:r>
              <w:rPr>
                <w:spacing w:val="-2"/>
                <w:sz w:val="18"/>
              </w:rPr>
              <w:t>Ministérios</w:t>
            </w:r>
          </w:p>
        </w:tc>
        <w:tc>
          <w:tcPr>
            <w:tcW w:w="1262" w:type="dxa"/>
          </w:tcPr>
          <w:p w14:paraId="6AAABFB5" w14:textId="77777777" w:rsidR="002C6574" w:rsidRDefault="00000000">
            <w:pPr>
              <w:pStyle w:val="TableParagraph"/>
              <w:spacing w:line="212" w:lineRule="exact"/>
              <w:ind w:right="60"/>
              <w:rPr>
                <w:sz w:val="18"/>
              </w:rPr>
            </w:pPr>
            <w:r>
              <w:rPr>
                <w:spacing w:val="-2"/>
                <w:w w:val="105"/>
                <w:sz w:val="18"/>
              </w:rPr>
              <w:t>279.425</w:t>
            </w:r>
          </w:p>
        </w:tc>
        <w:tc>
          <w:tcPr>
            <w:tcW w:w="1564" w:type="dxa"/>
          </w:tcPr>
          <w:p w14:paraId="33896210" w14:textId="77777777" w:rsidR="002C6574" w:rsidRDefault="00000000">
            <w:pPr>
              <w:pStyle w:val="TableParagraph"/>
              <w:spacing w:line="212" w:lineRule="exact"/>
              <w:ind w:right="57"/>
              <w:rPr>
                <w:sz w:val="18"/>
              </w:rPr>
            </w:pPr>
            <w:r>
              <w:rPr>
                <w:spacing w:val="-2"/>
                <w:w w:val="105"/>
                <w:sz w:val="18"/>
              </w:rPr>
              <w:t>228.842</w:t>
            </w:r>
          </w:p>
        </w:tc>
      </w:tr>
      <w:tr w:rsidR="002C6574" w14:paraId="1FFF61E5" w14:textId="77777777">
        <w:trPr>
          <w:trHeight w:val="232"/>
        </w:trPr>
        <w:tc>
          <w:tcPr>
            <w:tcW w:w="6943" w:type="dxa"/>
          </w:tcPr>
          <w:p w14:paraId="3586AA3D" w14:textId="77777777" w:rsidR="002C6574" w:rsidRDefault="00000000">
            <w:pPr>
              <w:pStyle w:val="TableParagraph"/>
              <w:spacing w:line="212" w:lineRule="exact"/>
              <w:ind w:left="429"/>
              <w:jc w:val="left"/>
              <w:rPr>
                <w:sz w:val="18"/>
              </w:rPr>
            </w:pPr>
            <w:r>
              <w:rPr>
                <w:sz w:val="18"/>
              </w:rPr>
              <w:t>Demais</w:t>
            </w:r>
            <w:r>
              <w:rPr>
                <w:spacing w:val="20"/>
                <w:sz w:val="18"/>
              </w:rPr>
              <w:t xml:space="preserve"> </w:t>
            </w:r>
            <w:r>
              <w:rPr>
                <w:sz w:val="18"/>
              </w:rPr>
              <w:t>Entidades</w:t>
            </w:r>
            <w:r>
              <w:rPr>
                <w:spacing w:val="24"/>
                <w:sz w:val="18"/>
              </w:rPr>
              <w:t xml:space="preserve"> </w:t>
            </w:r>
            <w:r>
              <w:rPr>
                <w:spacing w:val="-5"/>
                <w:sz w:val="18"/>
              </w:rPr>
              <w:t>(i)</w:t>
            </w:r>
          </w:p>
        </w:tc>
        <w:tc>
          <w:tcPr>
            <w:tcW w:w="1262" w:type="dxa"/>
          </w:tcPr>
          <w:p w14:paraId="0A3DA960" w14:textId="77777777" w:rsidR="002C6574" w:rsidRDefault="00000000">
            <w:pPr>
              <w:pStyle w:val="TableParagraph"/>
              <w:spacing w:line="212" w:lineRule="exact"/>
              <w:ind w:right="60"/>
              <w:rPr>
                <w:sz w:val="18"/>
              </w:rPr>
            </w:pPr>
            <w:r>
              <w:rPr>
                <w:spacing w:val="-2"/>
                <w:w w:val="105"/>
                <w:sz w:val="18"/>
              </w:rPr>
              <w:t>18.615</w:t>
            </w:r>
          </w:p>
        </w:tc>
        <w:tc>
          <w:tcPr>
            <w:tcW w:w="1564" w:type="dxa"/>
          </w:tcPr>
          <w:p w14:paraId="7A9778BA" w14:textId="77777777" w:rsidR="002C6574" w:rsidRDefault="00000000">
            <w:pPr>
              <w:pStyle w:val="TableParagraph"/>
              <w:spacing w:line="212" w:lineRule="exact"/>
              <w:ind w:right="57"/>
              <w:rPr>
                <w:sz w:val="18"/>
              </w:rPr>
            </w:pPr>
            <w:r>
              <w:rPr>
                <w:spacing w:val="-2"/>
                <w:w w:val="105"/>
                <w:sz w:val="18"/>
              </w:rPr>
              <w:t>30.539</w:t>
            </w:r>
          </w:p>
        </w:tc>
      </w:tr>
      <w:tr w:rsidR="002C6574" w14:paraId="68AC69CD" w14:textId="77777777">
        <w:trPr>
          <w:trHeight w:val="232"/>
        </w:trPr>
        <w:tc>
          <w:tcPr>
            <w:tcW w:w="6943" w:type="dxa"/>
          </w:tcPr>
          <w:p w14:paraId="235B5E71" w14:textId="77777777" w:rsidR="002C6574" w:rsidRDefault="00000000">
            <w:pPr>
              <w:pStyle w:val="TableParagraph"/>
              <w:spacing w:line="212" w:lineRule="exact"/>
              <w:ind w:right="1338"/>
              <w:rPr>
                <w:sz w:val="18"/>
              </w:rPr>
            </w:pPr>
            <w:r>
              <w:rPr>
                <w:sz w:val="18"/>
              </w:rPr>
              <w:t>Empresas</w:t>
            </w:r>
            <w:r>
              <w:rPr>
                <w:spacing w:val="10"/>
                <w:sz w:val="18"/>
              </w:rPr>
              <w:t xml:space="preserve"> </w:t>
            </w:r>
            <w:r>
              <w:rPr>
                <w:sz w:val="18"/>
              </w:rPr>
              <w:t>de</w:t>
            </w:r>
            <w:r>
              <w:rPr>
                <w:spacing w:val="12"/>
                <w:sz w:val="18"/>
              </w:rPr>
              <w:t xml:space="preserve"> </w:t>
            </w:r>
            <w:r>
              <w:rPr>
                <w:sz w:val="18"/>
              </w:rPr>
              <w:t>Tecnologia</w:t>
            </w:r>
            <w:r>
              <w:rPr>
                <w:spacing w:val="9"/>
                <w:sz w:val="18"/>
              </w:rPr>
              <w:t xml:space="preserve"> </w:t>
            </w:r>
            <w:r>
              <w:rPr>
                <w:sz w:val="18"/>
              </w:rPr>
              <w:t>da</w:t>
            </w:r>
            <w:r>
              <w:rPr>
                <w:spacing w:val="13"/>
                <w:sz w:val="18"/>
              </w:rPr>
              <w:t xml:space="preserve"> </w:t>
            </w:r>
            <w:r>
              <w:rPr>
                <w:sz w:val="18"/>
              </w:rPr>
              <w:t>Informação</w:t>
            </w:r>
            <w:r>
              <w:rPr>
                <w:spacing w:val="8"/>
                <w:sz w:val="18"/>
              </w:rPr>
              <w:t xml:space="preserve"> </w:t>
            </w:r>
            <w:r>
              <w:rPr>
                <w:sz w:val="18"/>
              </w:rPr>
              <w:t>da</w:t>
            </w:r>
            <w:r>
              <w:rPr>
                <w:spacing w:val="10"/>
                <w:sz w:val="18"/>
              </w:rPr>
              <w:t xml:space="preserve"> </w:t>
            </w:r>
            <w:r>
              <w:rPr>
                <w:sz w:val="18"/>
              </w:rPr>
              <w:t>Prev.</w:t>
            </w:r>
            <w:r>
              <w:rPr>
                <w:spacing w:val="11"/>
                <w:sz w:val="18"/>
              </w:rPr>
              <w:t xml:space="preserve"> </w:t>
            </w:r>
            <w:r>
              <w:rPr>
                <w:sz w:val="18"/>
              </w:rPr>
              <w:t>Social</w:t>
            </w:r>
            <w:r>
              <w:rPr>
                <w:spacing w:val="12"/>
                <w:sz w:val="18"/>
              </w:rPr>
              <w:t xml:space="preserve"> </w:t>
            </w:r>
            <w:r>
              <w:rPr>
                <w:sz w:val="18"/>
              </w:rPr>
              <w:t>-</w:t>
            </w:r>
            <w:r>
              <w:rPr>
                <w:spacing w:val="11"/>
                <w:sz w:val="18"/>
              </w:rPr>
              <w:t xml:space="preserve"> </w:t>
            </w:r>
            <w:r>
              <w:rPr>
                <w:spacing w:val="-2"/>
                <w:sz w:val="18"/>
              </w:rPr>
              <w:t>Dataprev</w:t>
            </w:r>
          </w:p>
        </w:tc>
        <w:tc>
          <w:tcPr>
            <w:tcW w:w="1262" w:type="dxa"/>
          </w:tcPr>
          <w:p w14:paraId="0342DD23" w14:textId="77777777" w:rsidR="002C6574" w:rsidRDefault="00000000">
            <w:pPr>
              <w:pStyle w:val="TableParagraph"/>
              <w:spacing w:line="212" w:lineRule="exact"/>
              <w:ind w:right="59"/>
              <w:rPr>
                <w:sz w:val="18"/>
              </w:rPr>
            </w:pPr>
            <w:r>
              <w:rPr>
                <w:spacing w:val="-5"/>
                <w:w w:val="105"/>
                <w:sz w:val="18"/>
              </w:rPr>
              <w:t>170</w:t>
            </w:r>
          </w:p>
        </w:tc>
        <w:tc>
          <w:tcPr>
            <w:tcW w:w="1564" w:type="dxa"/>
          </w:tcPr>
          <w:p w14:paraId="372A3127" w14:textId="77777777" w:rsidR="002C6574" w:rsidRDefault="00000000">
            <w:pPr>
              <w:pStyle w:val="TableParagraph"/>
              <w:spacing w:line="212" w:lineRule="exact"/>
              <w:ind w:right="57"/>
              <w:rPr>
                <w:sz w:val="18"/>
              </w:rPr>
            </w:pPr>
            <w:r>
              <w:rPr>
                <w:spacing w:val="-4"/>
                <w:w w:val="110"/>
                <w:sz w:val="18"/>
              </w:rPr>
              <w:t>3.575</w:t>
            </w:r>
          </w:p>
        </w:tc>
      </w:tr>
      <w:tr w:rsidR="002C6574" w14:paraId="2E37E628" w14:textId="77777777">
        <w:trPr>
          <w:trHeight w:val="229"/>
        </w:trPr>
        <w:tc>
          <w:tcPr>
            <w:tcW w:w="6943" w:type="dxa"/>
          </w:tcPr>
          <w:p w14:paraId="3963DD00" w14:textId="77777777" w:rsidR="002C6574" w:rsidRDefault="00000000">
            <w:pPr>
              <w:pStyle w:val="TableParagraph"/>
              <w:spacing w:line="210" w:lineRule="exact"/>
              <w:ind w:left="249"/>
              <w:jc w:val="left"/>
              <w:rPr>
                <w:sz w:val="18"/>
              </w:rPr>
            </w:pPr>
            <w:r>
              <w:rPr>
                <w:sz w:val="18"/>
              </w:rPr>
              <w:t>Instituto</w:t>
            </w:r>
            <w:r>
              <w:rPr>
                <w:spacing w:val="-4"/>
                <w:sz w:val="18"/>
              </w:rPr>
              <w:t xml:space="preserve"> </w:t>
            </w:r>
            <w:r>
              <w:rPr>
                <w:sz w:val="18"/>
              </w:rPr>
              <w:t>Nacional</w:t>
            </w:r>
            <w:r>
              <w:rPr>
                <w:spacing w:val="-3"/>
                <w:sz w:val="18"/>
              </w:rPr>
              <w:t xml:space="preserve"> </w:t>
            </w:r>
            <w:r>
              <w:rPr>
                <w:sz w:val="18"/>
              </w:rPr>
              <w:t>do</w:t>
            </w:r>
            <w:r>
              <w:rPr>
                <w:spacing w:val="-7"/>
                <w:sz w:val="18"/>
              </w:rPr>
              <w:t xml:space="preserve"> </w:t>
            </w:r>
            <w:r>
              <w:rPr>
                <w:sz w:val="18"/>
              </w:rPr>
              <w:t>Seguro</w:t>
            </w:r>
            <w:r>
              <w:rPr>
                <w:spacing w:val="-3"/>
                <w:sz w:val="18"/>
              </w:rPr>
              <w:t xml:space="preserve"> </w:t>
            </w:r>
            <w:r>
              <w:rPr>
                <w:sz w:val="18"/>
              </w:rPr>
              <w:t>Social</w:t>
            </w:r>
            <w:r>
              <w:rPr>
                <w:spacing w:val="-3"/>
                <w:sz w:val="18"/>
              </w:rPr>
              <w:t xml:space="preserve"> </w:t>
            </w:r>
            <w:r>
              <w:rPr>
                <w:sz w:val="18"/>
              </w:rPr>
              <w:t>-</w:t>
            </w:r>
            <w:r>
              <w:rPr>
                <w:spacing w:val="-6"/>
                <w:sz w:val="18"/>
              </w:rPr>
              <w:t xml:space="preserve"> </w:t>
            </w:r>
            <w:r>
              <w:rPr>
                <w:spacing w:val="-4"/>
                <w:sz w:val="18"/>
              </w:rPr>
              <w:t>INSS</w:t>
            </w:r>
          </w:p>
        </w:tc>
        <w:tc>
          <w:tcPr>
            <w:tcW w:w="1262" w:type="dxa"/>
          </w:tcPr>
          <w:p w14:paraId="472228AF" w14:textId="77777777" w:rsidR="002C6574" w:rsidRDefault="00000000">
            <w:pPr>
              <w:pStyle w:val="TableParagraph"/>
              <w:spacing w:line="210" w:lineRule="exact"/>
              <w:ind w:right="59"/>
              <w:rPr>
                <w:sz w:val="18"/>
              </w:rPr>
            </w:pPr>
            <w:r>
              <w:rPr>
                <w:spacing w:val="-2"/>
                <w:w w:val="105"/>
                <w:sz w:val="18"/>
              </w:rPr>
              <w:t>51.914</w:t>
            </w:r>
          </w:p>
        </w:tc>
        <w:tc>
          <w:tcPr>
            <w:tcW w:w="1564" w:type="dxa"/>
          </w:tcPr>
          <w:p w14:paraId="047F99B2" w14:textId="77777777" w:rsidR="002C6574" w:rsidRDefault="00000000">
            <w:pPr>
              <w:pStyle w:val="TableParagraph"/>
              <w:spacing w:line="210" w:lineRule="exact"/>
              <w:ind w:right="57"/>
              <w:rPr>
                <w:sz w:val="18"/>
              </w:rPr>
            </w:pPr>
            <w:r>
              <w:rPr>
                <w:spacing w:val="-2"/>
                <w:w w:val="105"/>
                <w:sz w:val="18"/>
              </w:rPr>
              <w:t>41.468</w:t>
            </w:r>
          </w:p>
        </w:tc>
      </w:tr>
      <w:tr w:rsidR="002C6574" w14:paraId="487CAB4A" w14:textId="77777777">
        <w:trPr>
          <w:trHeight w:val="232"/>
        </w:trPr>
        <w:tc>
          <w:tcPr>
            <w:tcW w:w="6943" w:type="dxa"/>
          </w:tcPr>
          <w:p w14:paraId="3185519E" w14:textId="77777777" w:rsidR="002C6574" w:rsidRDefault="00000000">
            <w:pPr>
              <w:pStyle w:val="TableParagraph"/>
              <w:spacing w:line="212" w:lineRule="exact"/>
              <w:ind w:left="249"/>
              <w:jc w:val="left"/>
              <w:rPr>
                <w:sz w:val="18"/>
              </w:rPr>
            </w:pPr>
            <w:r>
              <w:rPr>
                <w:w w:val="105"/>
                <w:sz w:val="18"/>
              </w:rPr>
              <w:t>Empresa</w:t>
            </w:r>
            <w:r>
              <w:rPr>
                <w:spacing w:val="-13"/>
                <w:w w:val="105"/>
                <w:sz w:val="18"/>
              </w:rPr>
              <w:t xml:space="preserve"> </w:t>
            </w:r>
            <w:r>
              <w:rPr>
                <w:w w:val="105"/>
                <w:sz w:val="18"/>
              </w:rPr>
              <w:t>Brasil</w:t>
            </w:r>
            <w:r>
              <w:rPr>
                <w:spacing w:val="-13"/>
                <w:w w:val="105"/>
                <w:sz w:val="18"/>
              </w:rPr>
              <w:t xml:space="preserve"> </w:t>
            </w:r>
            <w:r>
              <w:rPr>
                <w:w w:val="105"/>
                <w:sz w:val="18"/>
              </w:rPr>
              <w:t>de</w:t>
            </w:r>
            <w:r>
              <w:rPr>
                <w:spacing w:val="-13"/>
                <w:w w:val="105"/>
                <w:sz w:val="18"/>
              </w:rPr>
              <w:t xml:space="preserve"> </w:t>
            </w:r>
            <w:r>
              <w:rPr>
                <w:w w:val="105"/>
                <w:sz w:val="18"/>
              </w:rPr>
              <w:t>Comunicação</w:t>
            </w:r>
            <w:r>
              <w:rPr>
                <w:spacing w:val="-10"/>
                <w:w w:val="105"/>
                <w:sz w:val="18"/>
              </w:rPr>
              <w:t xml:space="preserve"> </w:t>
            </w:r>
            <w:r>
              <w:rPr>
                <w:w w:val="105"/>
                <w:sz w:val="18"/>
              </w:rPr>
              <w:t>-</w:t>
            </w:r>
            <w:r>
              <w:rPr>
                <w:spacing w:val="-13"/>
                <w:w w:val="105"/>
                <w:sz w:val="18"/>
              </w:rPr>
              <w:t xml:space="preserve"> </w:t>
            </w:r>
            <w:r>
              <w:rPr>
                <w:spacing w:val="-5"/>
                <w:w w:val="105"/>
                <w:sz w:val="18"/>
              </w:rPr>
              <w:t>EBC</w:t>
            </w:r>
          </w:p>
        </w:tc>
        <w:tc>
          <w:tcPr>
            <w:tcW w:w="1262" w:type="dxa"/>
          </w:tcPr>
          <w:p w14:paraId="6298E001" w14:textId="77777777" w:rsidR="002C6574" w:rsidRDefault="00000000">
            <w:pPr>
              <w:pStyle w:val="TableParagraph"/>
              <w:spacing w:line="212" w:lineRule="exact"/>
              <w:ind w:right="60"/>
              <w:rPr>
                <w:sz w:val="18"/>
              </w:rPr>
            </w:pPr>
            <w:r>
              <w:rPr>
                <w:spacing w:val="-4"/>
                <w:w w:val="110"/>
                <w:sz w:val="18"/>
              </w:rPr>
              <w:t>1.786</w:t>
            </w:r>
          </w:p>
        </w:tc>
        <w:tc>
          <w:tcPr>
            <w:tcW w:w="1564" w:type="dxa"/>
          </w:tcPr>
          <w:p w14:paraId="1DD67CC1" w14:textId="77777777" w:rsidR="002C6574" w:rsidRDefault="00000000">
            <w:pPr>
              <w:pStyle w:val="TableParagraph"/>
              <w:spacing w:line="212" w:lineRule="exact"/>
              <w:ind w:right="56"/>
              <w:rPr>
                <w:sz w:val="18"/>
              </w:rPr>
            </w:pPr>
            <w:r>
              <w:rPr>
                <w:spacing w:val="-10"/>
                <w:w w:val="95"/>
                <w:sz w:val="18"/>
              </w:rPr>
              <w:t>-</w:t>
            </w:r>
          </w:p>
        </w:tc>
      </w:tr>
      <w:tr w:rsidR="002C6574" w14:paraId="4305A85F" w14:textId="77777777">
        <w:trPr>
          <w:trHeight w:val="232"/>
        </w:trPr>
        <w:tc>
          <w:tcPr>
            <w:tcW w:w="6943" w:type="dxa"/>
          </w:tcPr>
          <w:p w14:paraId="71C4120B" w14:textId="77777777" w:rsidR="002C6574" w:rsidRDefault="00000000">
            <w:pPr>
              <w:pStyle w:val="TableParagraph"/>
              <w:spacing w:before="13" w:line="199" w:lineRule="exact"/>
              <w:ind w:left="69"/>
              <w:jc w:val="left"/>
              <w:rPr>
                <w:rFonts w:ascii="Arial" w:hAnsi="Arial"/>
                <w:b/>
                <w:sz w:val="18"/>
              </w:rPr>
            </w:pPr>
            <w:r>
              <w:rPr>
                <w:rFonts w:ascii="Arial" w:hAnsi="Arial"/>
                <w:b/>
                <w:sz w:val="18"/>
              </w:rPr>
              <w:t>n) Aluguéis e</w:t>
            </w:r>
            <w:r>
              <w:rPr>
                <w:rFonts w:ascii="Arial" w:hAnsi="Arial"/>
                <w:b/>
                <w:spacing w:val="2"/>
                <w:sz w:val="18"/>
              </w:rPr>
              <w:t xml:space="preserve"> </w:t>
            </w:r>
            <w:r>
              <w:rPr>
                <w:rFonts w:ascii="Arial" w:hAnsi="Arial"/>
                <w:b/>
                <w:spacing w:val="-2"/>
                <w:sz w:val="18"/>
              </w:rPr>
              <w:t>Locações</w:t>
            </w:r>
          </w:p>
        </w:tc>
        <w:tc>
          <w:tcPr>
            <w:tcW w:w="1262" w:type="dxa"/>
          </w:tcPr>
          <w:p w14:paraId="09F519E0" w14:textId="77777777" w:rsidR="002C6574" w:rsidRDefault="00000000">
            <w:pPr>
              <w:pStyle w:val="TableParagraph"/>
              <w:spacing w:before="13" w:line="199" w:lineRule="exact"/>
              <w:ind w:right="60"/>
              <w:rPr>
                <w:rFonts w:ascii="Arial"/>
                <w:b/>
                <w:sz w:val="18"/>
              </w:rPr>
            </w:pPr>
            <w:r>
              <w:rPr>
                <w:rFonts w:ascii="Arial"/>
                <w:b/>
                <w:spacing w:val="-2"/>
                <w:sz w:val="18"/>
              </w:rPr>
              <w:t>44.991</w:t>
            </w:r>
          </w:p>
        </w:tc>
        <w:tc>
          <w:tcPr>
            <w:tcW w:w="1564" w:type="dxa"/>
          </w:tcPr>
          <w:p w14:paraId="1AEE4CD1" w14:textId="77777777" w:rsidR="002C6574" w:rsidRDefault="00000000">
            <w:pPr>
              <w:pStyle w:val="TableParagraph"/>
              <w:spacing w:before="13" w:line="199" w:lineRule="exact"/>
              <w:ind w:right="57"/>
              <w:rPr>
                <w:rFonts w:ascii="Arial"/>
                <w:b/>
                <w:sz w:val="18"/>
              </w:rPr>
            </w:pPr>
            <w:r>
              <w:rPr>
                <w:rFonts w:ascii="Arial"/>
                <w:b/>
                <w:spacing w:val="-2"/>
                <w:sz w:val="18"/>
              </w:rPr>
              <w:t>46.670</w:t>
            </w:r>
          </w:p>
        </w:tc>
      </w:tr>
      <w:tr w:rsidR="002C6574" w14:paraId="0CABC21C" w14:textId="77777777">
        <w:trPr>
          <w:trHeight w:val="232"/>
        </w:trPr>
        <w:tc>
          <w:tcPr>
            <w:tcW w:w="6943" w:type="dxa"/>
          </w:tcPr>
          <w:p w14:paraId="4B191210" w14:textId="77777777" w:rsidR="002C6574" w:rsidRDefault="00000000">
            <w:pPr>
              <w:pStyle w:val="TableParagraph"/>
              <w:spacing w:line="212" w:lineRule="exact"/>
              <w:ind w:left="169"/>
              <w:jc w:val="left"/>
              <w:rPr>
                <w:sz w:val="18"/>
              </w:rPr>
            </w:pPr>
            <w:r>
              <w:rPr>
                <w:sz w:val="18"/>
              </w:rPr>
              <w:t>Entidades</w:t>
            </w:r>
            <w:r>
              <w:rPr>
                <w:spacing w:val="24"/>
                <w:sz w:val="18"/>
              </w:rPr>
              <w:t xml:space="preserve"> </w:t>
            </w:r>
            <w:r>
              <w:rPr>
                <w:spacing w:val="-2"/>
                <w:sz w:val="18"/>
              </w:rPr>
              <w:t>Governamentais:</w:t>
            </w:r>
          </w:p>
        </w:tc>
        <w:tc>
          <w:tcPr>
            <w:tcW w:w="1262" w:type="dxa"/>
          </w:tcPr>
          <w:p w14:paraId="1BD6C994" w14:textId="77777777" w:rsidR="002C6574" w:rsidRDefault="00000000">
            <w:pPr>
              <w:pStyle w:val="TableParagraph"/>
              <w:spacing w:line="212" w:lineRule="exact"/>
              <w:ind w:right="60"/>
              <w:rPr>
                <w:sz w:val="18"/>
              </w:rPr>
            </w:pPr>
            <w:r>
              <w:rPr>
                <w:spacing w:val="-2"/>
                <w:w w:val="105"/>
                <w:sz w:val="18"/>
              </w:rPr>
              <w:t>31.570</w:t>
            </w:r>
          </w:p>
        </w:tc>
        <w:tc>
          <w:tcPr>
            <w:tcW w:w="1564" w:type="dxa"/>
          </w:tcPr>
          <w:p w14:paraId="19FFFD79" w14:textId="77777777" w:rsidR="002C6574" w:rsidRDefault="00000000">
            <w:pPr>
              <w:pStyle w:val="TableParagraph"/>
              <w:spacing w:line="212" w:lineRule="exact"/>
              <w:ind w:right="57"/>
              <w:rPr>
                <w:sz w:val="18"/>
              </w:rPr>
            </w:pPr>
            <w:r>
              <w:rPr>
                <w:spacing w:val="-2"/>
                <w:w w:val="105"/>
                <w:sz w:val="18"/>
              </w:rPr>
              <w:t>35.131</w:t>
            </w:r>
          </w:p>
        </w:tc>
      </w:tr>
      <w:tr w:rsidR="002C6574" w14:paraId="4452A97A" w14:textId="77777777">
        <w:trPr>
          <w:trHeight w:val="232"/>
        </w:trPr>
        <w:tc>
          <w:tcPr>
            <w:tcW w:w="6943" w:type="dxa"/>
          </w:tcPr>
          <w:p w14:paraId="344253A9" w14:textId="77777777" w:rsidR="002C6574" w:rsidRDefault="00000000">
            <w:pPr>
              <w:pStyle w:val="TableParagraph"/>
              <w:spacing w:line="212" w:lineRule="exact"/>
              <w:ind w:left="429"/>
              <w:jc w:val="left"/>
              <w:rPr>
                <w:sz w:val="18"/>
              </w:rPr>
            </w:pPr>
            <w:r>
              <w:rPr>
                <w:spacing w:val="-2"/>
                <w:sz w:val="18"/>
              </w:rPr>
              <w:t>Ministérios</w:t>
            </w:r>
          </w:p>
        </w:tc>
        <w:tc>
          <w:tcPr>
            <w:tcW w:w="1262" w:type="dxa"/>
          </w:tcPr>
          <w:p w14:paraId="6F9049AB" w14:textId="77777777" w:rsidR="002C6574" w:rsidRDefault="00000000">
            <w:pPr>
              <w:pStyle w:val="TableParagraph"/>
              <w:spacing w:line="212" w:lineRule="exact"/>
              <w:ind w:right="60"/>
              <w:rPr>
                <w:sz w:val="18"/>
              </w:rPr>
            </w:pPr>
            <w:r>
              <w:rPr>
                <w:spacing w:val="-2"/>
                <w:w w:val="105"/>
                <w:sz w:val="18"/>
              </w:rPr>
              <w:t>31.550</w:t>
            </w:r>
          </w:p>
        </w:tc>
        <w:tc>
          <w:tcPr>
            <w:tcW w:w="1564" w:type="dxa"/>
          </w:tcPr>
          <w:p w14:paraId="0D6705B5" w14:textId="77777777" w:rsidR="002C6574" w:rsidRDefault="00000000">
            <w:pPr>
              <w:pStyle w:val="TableParagraph"/>
              <w:spacing w:line="212" w:lineRule="exact"/>
              <w:ind w:right="57"/>
              <w:rPr>
                <w:sz w:val="18"/>
              </w:rPr>
            </w:pPr>
            <w:r>
              <w:rPr>
                <w:spacing w:val="-2"/>
                <w:w w:val="105"/>
                <w:sz w:val="18"/>
              </w:rPr>
              <w:t>33.494</w:t>
            </w:r>
          </w:p>
        </w:tc>
      </w:tr>
      <w:tr w:rsidR="002C6574" w14:paraId="24BB03B3" w14:textId="77777777">
        <w:trPr>
          <w:trHeight w:val="232"/>
        </w:trPr>
        <w:tc>
          <w:tcPr>
            <w:tcW w:w="6943" w:type="dxa"/>
          </w:tcPr>
          <w:p w14:paraId="323C740E" w14:textId="77777777" w:rsidR="002C6574" w:rsidRDefault="00000000">
            <w:pPr>
              <w:pStyle w:val="TableParagraph"/>
              <w:spacing w:line="212" w:lineRule="exact"/>
              <w:ind w:left="429"/>
              <w:jc w:val="left"/>
              <w:rPr>
                <w:sz w:val="18"/>
              </w:rPr>
            </w:pPr>
            <w:r>
              <w:rPr>
                <w:sz w:val="18"/>
              </w:rPr>
              <w:t>Demais</w:t>
            </w:r>
            <w:r>
              <w:rPr>
                <w:spacing w:val="20"/>
                <w:sz w:val="18"/>
              </w:rPr>
              <w:t xml:space="preserve"> </w:t>
            </w:r>
            <w:r>
              <w:rPr>
                <w:sz w:val="18"/>
              </w:rPr>
              <w:t>Entidades</w:t>
            </w:r>
            <w:r>
              <w:rPr>
                <w:spacing w:val="24"/>
                <w:sz w:val="18"/>
              </w:rPr>
              <w:t xml:space="preserve"> </w:t>
            </w:r>
            <w:r>
              <w:rPr>
                <w:spacing w:val="-5"/>
                <w:sz w:val="18"/>
              </w:rPr>
              <w:t>(i)</w:t>
            </w:r>
          </w:p>
        </w:tc>
        <w:tc>
          <w:tcPr>
            <w:tcW w:w="1262" w:type="dxa"/>
          </w:tcPr>
          <w:p w14:paraId="543D028B" w14:textId="77777777" w:rsidR="002C6574" w:rsidRDefault="00000000">
            <w:pPr>
              <w:pStyle w:val="TableParagraph"/>
              <w:spacing w:line="212" w:lineRule="exact"/>
              <w:ind w:right="59"/>
              <w:rPr>
                <w:sz w:val="18"/>
              </w:rPr>
            </w:pPr>
            <w:r>
              <w:rPr>
                <w:spacing w:val="-5"/>
                <w:w w:val="105"/>
                <w:sz w:val="18"/>
              </w:rPr>
              <w:t>20</w:t>
            </w:r>
          </w:p>
        </w:tc>
        <w:tc>
          <w:tcPr>
            <w:tcW w:w="1564" w:type="dxa"/>
          </w:tcPr>
          <w:p w14:paraId="439776F2" w14:textId="77777777" w:rsidR="002C6574" w:rsidRDefault="00000000">
            <w:pPr>
              <w:pStyle w:val="TableParagraph"/>
              <w:spacing w:line="212" w:lineRule="exact"/>
              <w:ind w:right="57"/>
              <w:rPr>
                <w:sz w:val="18"/>
              </w:rPr>
            </w:pPr>
            <w:r>
              <w:rPr>
                <w:spacing w:val="-4"/>
                <w:w w:val="110"/>
                <w:sz w:val="18"/>
              </w:rPr>
              <w:t>1.637</w:t>
            </w:r>
          </w:p>
        </w:tc>
      </w:tr>
      <w:tr w:rsidR="002C6574" w14:paraId="077FAB88" w14:textId="77777777">
        <w:trPr>
          <w:trHeight w:val="230"/>
        </w:trPr>
        <w:tc>
          <w:tcPr>
            <w:tcW w:w="6943" w:type="dxa"/>
          </w:tcPr>
          <w:p w14:paraId="35899F14" w14:textId="77777777" w:rsidR="002C6574" w:rsidRDefault="00000000">
            <w:pPr>
              <w:pStyle w:val="TableParagraph"/>
              <w:spacing w:line="210" w:lineRule="exact"/>
              <w:ind w:right="1338"/>
              <w:rPr>
                <w:sz w:val="18"/>
              </w:rPr>
            </w:pPr>
            <w:r>
              <w:rPr>
                <w:sz w:val="18"/>
              </w:rPr>
              <w:t>Empresas</w:t>
            </w:r>
            <w:r>
              <w:rPr>
                <w:spacing w:val="10"/>
                <w:sz w:val="18"/>
              </w:rPr>
              <w:t xml:space="preserve"> </w:t>
            </w:r>
            <w:r>
              <w:rPr>
                <w:sz w:val="18"/>
              </w:rPr>
              <w:t>de</w:t>
            </w:r>
            <w:r>
              <w:rPr>
                <w:spacing w:val="12"/>
                <w:sz w:val="18"/>
              </w:rPr>
              <w:t xml:space="preserve"> </w:t>
            </w:r>
            <w:r>
              <w:rPr>
                <w:sz w:val="18"/>
              </w:rPr>
              <w:t>Tecnologia</w:t>
            </w:r>
            <w:r>
              <w:rPr>
                <w:spacing w:val="9"/>
                <w:sz w:val="18"/>
              </w:rPr>
              <w:t xml:space="preserve"> </w:t>
            </w:r>
            <w:r>
              <w:rPr>
                <w:sz w:val="18"/>
              </w:rPr>
              <w:t>da</w:t>
            </w:r>
            <w:r>
              <w:rPr>
                <w:spacing w:val="13"/>
                <w:sz w:val="18"/>
              </w:rPr>
              <w:t xml:space="preserve"> </w:t>
            </w:r>
            <w:r>
              <w:rPr>
                <w:sz w:val="18"/>
              </w:rPr>
              <w:t>Informação</w:t>
            </w:r>
            <w:r>
              <w:rPr>
                <w:spacing w:val="8"/>
                <w:sz w:val="18"/>
              </w:rPr>
              <w:t xml:space="preserve"> </w:t>
            </w:r>
            <w:r>
              <w:rPr>
                <w:sz w:val="18"/>
              </w:rPr>
              <w:t>da</w:t>
            </w:r>
            <w:r>
              <w:rPr>
                <w:spacing w:val="10"/>
                <w:sz w:val="18"/>
              </w:rPr>
              <w:t xml:space="preserve"> </w:t>
            </w:r>
            <w:r>
              <w:rPr>
                <w:sz w:val="18"/>
              </w:rPr>
              <w:t>Prev.</w:t>
            </w:r>
            <w:r>
              <w:rPr>
                <w:spacing w:val="11"/>
                <w:sz w:val="18"/>
              </w:rPr>
              <w:t xml:space="preserve"> </w:t>
            </w:r>
            <w:r>
              <w:rPr>
                <w:sz w:val="18"/>
              </w:rPr>
              <w:t>Social</w:t>
            </w:r>
            <w:r>
              <w:rPr>
                <w:spacing w:val="12"/>
                <w:sz w:val="18"/>
              </w:rPr>
              <w:t xml:space="preserve"> </w:t>
            </w:r>
            <w:r>
              <w:rPr>
                <w:sz w:val="18"/>
              </w:rPr>
              <w:t>-</w:t>
            </w:r>
            <w:r>
              <w:rPr>
                <w:spacing w:val="11"/>
                <w:sz w:val="18"/>
              </w:rPr>
              <w:t xml:space="preserve"> </w:t>
            </w:r>
            <w:r>
              <w:rPr>
                <w:spacing w:val="-2"/>
                <w:sz w:val="18"/>
              </w:rPr>
              <w:t>Dataprev</w:t>
            </w:r>
          </w:p>
        </w:tc>
        <w:tc>
          <w:tcPr>
            <w:tcW w:w="1262" w:type="dxa"/>
          </w:tcPr>
          <w:p w14:paraId="7BA88CD1" w14:textId="77777777" w:rsidR="002C6574" w:rsidRDefault="00000000">
            <w:pPr>
              <w:pStyle w:val="TableParagraph"/>
              <w:spacing w:line="210" w:lineRule="exact"/>
              <w:ind w:right="59"/>
              <w:rPr>
                <w:sz w:val="18"/>
              </w:rPr>
            </w:pPr>
            <w:r>
              <w:rPr>
                <w:spacing w:val="-10"/>
                <w:w w:val="95"/>
                <w:sz w:val="18"/>
              </w:rPr>
              <w:t>-</w:t>
            </w:r>
          </w:p>
        </w:tc>
        <w:tc>
          <w:tcPr>
            <w:tcW w:w="1564" w:type="dxa"/>
          </w:tcPr>
          <w:p w14:paraId="0C2F23DE" w14:textId="77777777" w:rsidR="002C6574" w:rsidRDefault="00000000">
            <w:pPr>
              <w:pStyle w:val="TableParagraph"/>
              <w:spacing w:line="210" w:lineRule="exact"/>
              <w:ind w:right="57"/>
              <w:rPr>
                <w:sz w:val="18"/>
              </w:rPr>
            </w:pPr>
            <w:r>
              <w:rPr>
                <w:spacing w:val="-5"/>
                <w:w w:val="105"/>
                <w:sz w:val="18"/>
              </w:rPr>
              <w:t>459</w:t>
            </w:r>
          </w:p>
        </w:tc>
      </w:tr>
      <w:tr w:rsidR="002C6574" w14:paraId="54DFC61C" w14:textId="77777777">
        <w:trPr>
          <w:trHeight w:val="232"/>
        </w:trPr>
        <w:tc>
          <w:tcPr>
            <w:tcW w:w="6943" w:type="dxa"/>
          </w:tcPr>
          <w:p w14:paraId="47E43681" w14:textId="77777777" w:rsidR="002C6574" w:rsidRDefault="00000000">
            <w:pPr>
              <w:pStyle w:val="TableParagraph"/>
              <w:spacing w:line="212" w:lineRule="exact"/>
              <w:ind w:left="249"/>
              <w:jc w:val="left"/>
              <w:rPr>
                <w:sz w:val="18"/>
              </w:rPr>
            </w:pPr>
            <w:r>
              <w:rPr>
                <w:sz w:val="18"/>
              </w:rPr>
              <w:t>Instituto</w:t>
            </w:r>
            <w:r>
              <w:rPr>
                <w:spacing w:val="-4"/>
                <w:sz w:val="18"/>
              </w:rPr>
              <w:t xml:space="preserve"> </w:t>
            </w:r>
            <w:r>
              <w:rPr>
                <w:sz w:val="18"/>
              </w:rPr>
              <w:t>Nacional</w:t>
            </w:r>
            <w:r>
              <w:rPr>
                <w:spacing w:val="-3"/>
                <w:sz w:val="18"/>
              </w:rPr>
              <w:t xml:space="preserve"> </w:t>
            </w:r>
            <w:r>
              <w:rPr>
                <w:sz w:val="18"/>
              </w:rPr>
              <w:t>do</w:t>
            </w:r>
            <w:r>
              <w:rPr>
                <w:spacing w:val="-7"/>
                <w:sz w:val="18"/>
              </w:rPr>
              <w:t xml:space="preserve"> </w:t>
            </w:r>
            <w:r>
              <w:rPr>
                <w:sz w:val="18"/>
              </w:rPr>
              <w:t>Seguro</w:t>
            </w:r>
            <w:r>
              <w:rPr>
                <w:spacing w:val="-3"/>
                <w:sz w:val="18"/>
              </w:rPr>
              <w:t xml:space="preserve"> </w:t>
            </w:r>
            <w:r>
              <w:rPr>
                <w:sz w:val="18"/>
              </w:rPr>
              <w:t>Social</w:t>
            </w:r>
            <w:r>
              <w:rPr>
                <w:spacing w:val="-3"/>
                <w:sz w:val="18"/>
              </w:rPr>
              <w:t xml:space="preserve"> </w:t>
            </w:r>
            <w:r>
              <w:rPr>
                <w:sz w:val="18"/>
              </w:rPr>
              <w:t>-</w:t>
            </w:r>
            <w:r>
              <w:rPr>
                <w:spacing w:val="-6"/>
                <w:sz w:val="18"/>
              </w:rPr>
              <w:t xml:space="preserve"> </w:t>
            </w:r>
            <w:r>
              <w:rPr>
                <w:spacing w:val="-4"/>
                <w:sz w:val="18"/>
              </w:rPr>
              <w:t>INSS</w:t>
            </w:r>
          </w:p>
        </w:tc>
        <w:tc>
          <w:tcPr>
            <w:tcW w:w="1262" w:type="dxa"/>
          </w:tcPr>
          <w:p w14:paraId="190BD240" w14:textId="77777777" w:rsidR="002C6574" w:rsidRDefault="00000000">
            <w:pPr>
              <w:pStyle w:val="TableParagraph"/>
              <w:spacing w:line="212" w:lineRule="exact"/>
              <w:ind w:right="59"/>
              <w:rPr>
                <w:sz w:val="18"/>
              </w:rPr>
            </w:pPr>
            <w:r>
              <w:rPr>
                <w:spacing w:val="-2"/>
                <w:w w:val="105"/>
                <w:sz w:val="18"/>
              </w:rPr>
              <w:t>13.421</w:t>
            </w:r>
          </w:p>
        </w:tc>
        <w:tc>
          <w:tcPr>
            <w:tcW w:w="1564" w:type="dxa"/>
          </w:tcPr>
          <w:p w14:paraId="758D9D7D" w14:textId="77777777" w:rsidR="002C6574" w:rsidRDefault="00000000">
            <w:pPr>
              <w:pStyle w:val="TableParagraph"/>
              <w:spacing w:line="212" w:lineRule="exact"/>
              <w:ind w:right="57"/>
              <w:rPr>
                <w:sz w:val="18"/>
              </w:rPr>
            </w:pPr>
            <w:r>
              <w:rPr>
                <w:spacing w:val="-2"/>
                <w:w w:val="105"/>
                <w:sz w:val="18"/>
              </w:rPr>
              <w:t>11.080</w:t>
            </w:r>
          </w:p>
        </w:tc>
      </w:tr>
      <w:tr w:rsidR="002C6574" w14:paraId="151C2176" w14:textId="77777777">
        <w:trPr>
          <w:trHeight w:val="232"/>
        </w:trPr>
        <w:tc>
          <w:tcPr>
            <w:tcW w:w="6943" w:type="dxa"/>
          </w:tcPr>
          <w:p w14:paraId="27C00A32" w14:textId="77777777" w:rsidR="002C6574" w:rsidRDefault="00000000">
            <w:pPr>
              <w:pStyle w:val="TableParagraph"/>
              <w:spacing w:before="13" w:line="199" w:lineRule="exact"/>
              <w:ind w:left="69"/>
              <w:jc w:val="left"/>
              <w:rPr>
                <w:rFonts w:ascii="Arial"/>
                <w:b/>
                <w:sz w:val="18"/>
              </w:rPr>
            </w:pPr>
            <w:r>
              <w:rPr>
                <w:rFonts w:ascii="Arial"/>
                <w:b/>
                <w:sz w:val="18"/>
              </w:rPr>
              <w:t>o)</w:t>
            </w:r>
            <w:r>
              <w:rPr>
                <w:rFonts w:ascii="Arial"/>
                <w:b/>
                <w:spacing w:val="-1"/>
                <w:sz w:val="18"/>
              </w:rPr>
              <w:t xml:space="preserve"> </w:t>
            </w:r>
            <w:r>
              <w:rPr>
                <w:rFonts w:ascii="Arial"/>
                <w:b/>
                <w:sz w:val="18"/>
              </w:rPr>
              <w:t>Outras</w:t>
            </w:r>
            <w:r>
              <w:rPr>
                <w:rFonts w:ascii="Arial"/>
                <w:b/>
                <w:spacing w:val="1"/>
                <w:sz w:val="18"/>
              </w:rPr>
              <w:t xml:space="preserve"> </w:t>
            </w:r>
            <w:r>
              <w:rPr>
                <w:rFonts w:ascii="Arial"/>
                <w:b/>
                <w:spacing w:val="-2"/>
                <w:sz w:val="18"/>
              </w:rPr>
              <w:t>Receitas</w:t>
            </w:r>
          </w:p>
        </w:tc>
        <w:tc>
          <w:tcPr>
            <w:tcW w:w="1262" w:type="dxa"/>
          </w:tcPr>
          <w:p w14:paraId="0D53FAD5" w14:textId="77777777" w:rsidR="002C6574" w:rsidRDefault="00000000">
            <w:pPr>
              <w:pStyle w:val="TableParagraph"/>
              <w:spacing w:before="13" w:line="199" w:lineRule="exact"/>
              <w:ind w:right="59"/>
              <w:rPr>
                <w:rFonts w:ascii="Arial"/>
                <w:b/>
                <w:sz w:val="18"/>
              </w:rPr>
            </w:pPr>
            <w:r>
              <w:rPr>
                <w:rFonts w:ascii="Arial"/>
                <w:b/>
                <w:spacing w:val="-2"/>
                <w:sz w:val="18"/>
              </w:rPr>
              <w:t>6.270</w:t>
            </w:r>
          </w:p>
        </w:tc>
        <w:tc>
          <w:tcPr>
            <w:tcW w:w="1564" w:type="dxa"/>
          </w:tcPr>
          <w:p w14:paraId="69CA689C" w14:textId="77777777" w:rsidR="002C6574" w:rsidRDefault="00000000">
            <w:pPr>
              <w:pStyle w:val="TableParagraph"/>
              <w:spacing w:before="13" w:line="199" w:lineRule="exact"/>
              <w:ind w:right="57"/>
              <w:rPr>
                <w:rFonts w:ascii="Arial"/>
                <w:b/>
                <w:sz w:val="18"/>
              </w:rPr>
            </w:pPr>
            <w:r>
              <w:rPr>
                <w:rFonts w:ascii="Arial"/>
                <w:b/>
                <w:spacing w:val="-2"/>
                <w:sz w:val="18"/>
              </w:rPr>
              <w:t>9.379</w:t>
            </w:r>
          </w:p>
        </w:tc>
      </w:tr>
      <w:tr w:rsidR="002C6574" w14:paraId="2C9643DC" w14:textId="77777777">
        <w:trPr>
          <w:trHeight w:val="232"/>
        </w:trPr>
        <w:tc>
          <w:tcPr>
            <w:tcW w:w="6943" w:type="dxa"/>
          </w:tcPr>
          <w:p w14:paraId="733C57D9" w14:textId="77777777" w:rsidR="002C6574" w:rsidRDefault="00000000">
            <w:pPr>
              <w:pStyle w:val="TableParagraph"/>
              <w:spacing w:line="212" w:lineRule="exact"/>
              <w:ind w:left="371"/>
              <w:jc w:val="left"/>
              <w:rPr>
                <w:sz w:val="18"/>
              </w:rPr>
            </w:pPr>
            <w:r>
              <w:rPr>
                <w:spacing w:val="-2"/>
                <w:sz w:val="18"/>
              </w:rPr>
              <w:t>Ministérios</w:t>
            </w:r>
          </w:p>
        </w:tc>
        <w:tc>
          <w:tcPr>
            <w:tcW w:w="1262" w:type="dxa"/>
          </w:tcPr>
          <w:p w14:paraId="6D031192" w14:textId="77777777" w:rsidR="002C6574" w:rsidRDefault="00000000">
            <w:pPr>
              <w:pStyle w:val="TableParagraph"/>
              <w:spacing w:line="212" w:lineRule="exact"/>
              <w:ind w:right="59"/>
              <w:rPr>
                <w:sz w:val="18"/>
              </w:rPr>
            </w:pPr>
            <w:r>
              <w:rPr>
                <w:spacing w:val="-4"/>
                <w:w w:val="110"/>
                <w:sz w:val="18"/>
              </w:rPr>
              <w:t>6.270</w:t>
            </w:r>
          </w:p>
        </w:tc>
        <w:tc>
          <w:tcPr>
            <w:tcW w:w="1564" w:type="dxa"/>
          </w:tcPr>
          <w:p w14:paraId="29C6040E" w14:textId="77777777" w:rsidR="002C6574" w:rsidRDefault="00000000">
            <w:pPr>
              <w:pStyle w:val="TableParagraph"/>
              <w:spacing w:line="212" w:lineRule="exact"/>
              <w:ind w:right="57"/>
              <w:rPr>
                <w:sz w:val="18"/>
              </w:rPr>
            </w:pPr>
            <w:r>
              <w:rPr>
                <w:spacing w:val="-4"/>
                <w:w w:val="110"/>
                <w:sz w:val="18"/>
              </w:rPr>
              <w:t>9.379</w:t>
            </w:r>
          </w:p>
        </w:tc>
      </w:tr>
      <w:tr w:rsidR="002C6574" w14:paraId="789DF87E" w14:textId="77777777">
        <w:trPr>
          <w:trHeight w:val="232"/>
        </w:trPr>
        <w:tc>
          <w:tcPr>
            <w:tcW w:w="6943" w:type="dxa"/>
          </w:tcPr>
          <w:p w14:paraId="1BB6204C" w14:textId="77777777" w:rsidR="002C6574" w:rsidRDefault="00000000">
            <w:pPr>
              <w:pStyle w:val="TableParagraph"/>
              <w:spacing w:line="212" w:lineRule="exact"/>
              <w:ind w:left="429"/>
              <w:jc w:val="left"/>
              <w:rPr>
                <w:sz w:val="18"/>
              </w:rPr>
            </w:pPr>
            <w:r>
              <w:rPr>
                <w:sz w:val="18"/>
              </w:rPr>
              <w:t>Demais</w:t>
            </w:r>
            <w:r>
              <w:rPr>
                <w:spacing w:val="20"/>
                <w:sz w:val="18"/>
              </w:rPr>
              <w:t xml:space="preserve"> </w:t>
            </w:r>
            <w:r>
              <w:rPr>
                <w:sz w:val="18"/>
              </w:rPr>
              <w:t>Entidades</w:t>
            </w:r>
            <w:r>
              <w:rPr>
                <w:spacing w:val="24"/>
                <w:sz w:val="18"/>
              </w:rPr>
              <w:t xml:space="preserve"> </w:t>
            </w:r>
            <w:r>
              <w:rPr>
                <w:spacing w:val="-5"/>
                <w:sz w:val="18"/>
              </w:rPr>
              <w:t>(i)</w:t>
            </w:r>
          </w:p>
        </w:tc>
        <w:tc>
          <w:tcPr>
            <w:tcW w:w="1262" w:type="dxa"/>
          </w:tcPr>
          <w:p w14:paraId="3501C120" w14:textId="77777777" w:rsidR="002C6574" w:rsidRDefault="00000000">
            <w:pPr>
              <w:pStyle w:val="TableParagraph"/>
              <w:spacing w:line="212" w:lineRule="exact"/>
              <w:ind w:right="60"/>
              <w:rPr>
                <w:sz w:val="18"/>
              </w:rPr>
            </w:pPr>
            <w:r>
              <w:rPr>
                <w:spacing w:val="-5"/>
                <w:w w:val="105"/>
                <w:sz w:val="18"/>
              </w:rPr>
              <w:t>162</w:t>
            </w:r>
          </w:p>
        </w:tc>
        <w:tc>
          <w:tcPr>
            <w:tcW w:w="1564" w:type="dxa"/>
          </w:tcPr>
          <w:p w14:paraId="1F5AC756" w14:textId="77777777" w:rsidR="002C6574" w:rsidRDefault="00000000">
            <w:pPr>
              <w:pStyle w:val="TableParagraph"/>
              <w:spacing w:line="212" w:lineRule="exact"/>
              <w:ind w:right="56"/>
              <w:rPr>
                <w:sz w:val="18"/>
              </w:rPr>
            </w:pPr>
            <w:r>
              <w:rPr>
                <w:spacing w:val="-10"/>
                <w:w w:val="95"/>
                <w:sz w:val="18"/>
              </w:rPr>
              <w:t>-</w:t>
            </w:r>
          </w:p>
        </w:tc>
      </w:tr>
    </w:tbl>
    <w:p w14:paraId="5F52FA33" w14:textId="77777777" w:rsidR="002C6574" w:rsidRDefault="00000000">
      <w:pPr>
        <w:pStyle w:val="PargrafodaLista"/>
        <w:numPr>
          <w:ilvl w:val="0"/>
          <w:numId w:val="15"/>
        </w:numPr>
        <w:tabs>
          <w:tab w:val="left" w:pos="346"/>
        </w:tabs>
        <w:ind w:right="705" w:firstLine="0"/>
        <w:jc w:val="both"/>
        <w:rPr>
          <w:rFonts w:ascii="Segoe UI Symbol" w:hAnsi="Segoe UI Symbol"/>
          <w:sz w:val="18"/>
        </w:rPr>
      </w:pPr>
      <w:r>
        <w:rPr>
          <w:rFonts w:ascii="Segoe UI Symbol" w:hAnsi="Segoe UI Symbol"/>
          <w:sz w:val="18"/>
        </w:rPr>
        <w:t>Demais Entidades Governamentais incluem: Universidades, Institutos Federais de Educação, Entidades Militares ligadas</w:t>
      </w:r>
      <w:r>
        <w:rPr>
          <w:rFonts w:ascii="Segoe UI Symbol" w:hAnsi="Segoe UI Symbol"/>
          <w:spacing w:val="40"/>
          <w:w w:val="105"/>
          <w:sz w:val="18"/>
        </w:rPr>
        <w:t xml:space="preserve"> </w:t>
      </w:r>
      <w:r>
        <w:rPr>
          <w:rFonts w:ascii="Segoe UI Symbol" w:hAnsi="Segoe UI Symbol"/>
          <w:w w:val="105"/>
          <w:sz w:val="18"/>
        </w:rPr>
        <w:t>às Forças Armadas, Secretarias vinculadas à União Federal e outros.</w:t>
      </w:r>
    </w:p>
    <w:p w14:paraId="0D555D42" w14:textId="77777777" w:rsidR="002C6574" w:rsidRDefault="00000000">
      <w:pPr>
        <w:pStyle w:val="PargrafodaLista"/>
        <w:numPr>
          <w:ilvl w:val="1"/>
          <w:numId w:val="15"/>
        </w:numPr>
        <w:tabs>
          <w:tab w:val="left" w:pos="404"/>
        </w:tabs>
        <w:spacing w:before="214" w:line="237" w:lineRule="auto"/>
        <w:ind w:right="703" w:firstLine="0"/>
        <w:jc w:val="both"/>
        <w:rPr>
          <w:rFonts w:ascii="Segoe UI Symbol" w:hAnsi="Segoe UI Symbol"/>
        </w:rPr>
      </w:pPr>
      <w:r>
        <w:rPr>
          <w:rFonts w:ascii="Segoe UI Symbol" w:hAnsi="Segoe UI Symbol"/>
        </w:rPr>
        <w:t>Representa os valores a receber pela prestação do Serviço de Comunicação Multimídia (SCM) e pelos serviços de aluguéis e locações de equipamentos fornecidos a ministérios, entidades governamentais e empresas sob controle da União. Os preços cobrados são equivalentes aos praticados pelo mercado.</w:t>
      </w:r>
    </w:p>
    <w:p w14:paraId="1EE76194" w14:textId="77777777" w:rsidR="002C6574" w:rsidRDefault="002C6574">
      <w:pPr>
        <w:pStyle w:val="Corpodetexto"/>
        <w:spacing w:before="3"/>
      </w:pPr>
    </w:p>
    <w:p w14:paraId="2D9731E0" w14:textId="77777777" w:rsidR="002C6574" w:rsidRDefault="00000000">
      <w:pPr>
        <w:pStyle w:val="PargrafodaLista"/>
        <w:numPr>
          <w:ilvl w:val="1"/>
          <w:numId w:val="15"/>
        </w:numPr>
        <w:tabs>
          <w:tab w:val="left" w:pos="421"/>
        </w:tabs>
        <w:spacing w:line="237" w:lineRule="auto"/>
        <w:ind w:right="702" w:firstLine="0"/>
        <w:jc w:val="both"/>
        <w:rPr>
          <w:rFonts w:ascii="Segoe UI Symbol" w:hAnsi="Segoe UI Symbol"/>
        </w:rPr>
      </w:pPr>
      <w:r>
        <w:rPr>
          <w:rFonts w:ascii="Segoe UI Symbol" w:hAnsi="Segoe UI Symbol"/>
        </w:rPr>
        <w:t>Refere-se às cauções efetuadas junto a órgãos públicos</w:t>
      </w:r>
      <w:r>
        <w:rPr>
          <w:rFonts w:ascii="Segoe UI Symbol" w:hAnsi="Segoe UI Symbol"/>
          <w:spacing w:val="23"/>
        </w:rPr>
        <w:t xml:space="preserve"> </w:t>
      </w:r>
      <w:r>
        <w:rPr>
          <w:rFonts w:ascii="Segoe UI Symbol" w:hAnsi="Segoe UI Symbol"/>
        </w:rPr>
        <w:t>para</w:t>
      </w:r>
      <w:r>
        <w:rPr>
          <w:rFonts w:ascii="Segoe UI Symbol" w:hAnsi="Segoe UI Symbol"/>
          <w:spacing w:val="23"/>
        </w:rPr>
        <w:t xml:space="preserve"> </w:t>
      </w:r>
      <w:r>
        <w:rPr>
          <w:rFonts w:ascii="Segoe UI Symbol" w:hAnsi="Segoe UI Symbol"/>
        </w:rPr>
        <w:t>a prestação</w:t>
      </w:r>
      <w:r>
        <w:rPr>
          <w:rFonts w:ascii="Segoe UI Symbol" w:hAnsi="Segoe UI Symbol"/>
          <w:spacing w:val="23"/>
        </w:rPr>
        <w:t xml:space="preserve"> </w:t>
      </w:r>
      <w:r>
        <w:rPr>
          <w:rFonts w:ascii="Segoe UI Symbol" w:hAnsi="Segoe UI Symbol"/>
        </w:rPr>
        <w:t>de serviços, conforme os contratos firmados.</w:t>
      </w:r>
    </w:p>
    <w:p w14:paraId="1C612050" w14:textId="77777777" w:rsidR="002C6574" w:rsidRDefault="00000000">
      <w:pPr>
        <w:pStyle w:val="PargrafodaLista"/>
        <w:numPr>
          <w:ilvl w:val="1"/>
          <w:numId w:val="15"/>
        </w:numPr>
        <w:tabs>
          <w:tab w:val="left" w:pos="400"/>
        </w:tabs>
        <w:spacing w:before="290"/>
        <w:ind w:left="400" w:hanging="257"/>
        <w:jc w:val="both"/>
        <w:rPr>
          <w:rFonts w:ascii="Segoe UI Symbol" w:hAnsi="Segoe UI Symbol"/>
        </w:rPr>
      </w:pPr>
      <w:r>
        <w:rPr>
          <w:rFonts w:ascii="Segoe UI Symbol" w:hAnsi="Segoe UI Symbol"/>
        </w:rPr>
        <w:t>Refere-se</w:t>
      </w:r>
      <w:r>
        <w:rPr>
          <w:rFonts w:ascii="Segoe UI Symbol" w:hAnsi="Segoe UI Symbol"/>
          <w:spacing w:val="6"/>
        </w:rPr>
        <w:t xml:space="preserve"> </w:t>
      </w:r>
      <w:r>
        <w:rPr>
          <w:rFonts w:ascii="Segoe UI Symbol" w:hAnsi="Segoe UI Symbol"/>
        </w:rPr>
        <w:t>aos</w:t>
      </w:r>
      <w:r>
        <w:rPr>
          <w:rFonts w:ascii="Segoe UI Symbol" w:hAnsi="Segoe UI Symbol"/>
          <w:spacing w:val="5"/>
        </w:rPr>
        <w:t xml:space="preserve"> </w:t>
      </w:r>
      <w:r>
        <w:rPr>
          <w:rFonts w:ascii="Segoe UI Symbol" w:hAnsi="Segoe UI Symbol"/>
        </w:rPr>
        <w:t>dividendos</w:t>
      </w:r>
      <w:r>
        <w:rPr>
          <w:rFonts w:ascii="Segoe UI Symbol" w:hAnsi="Segoe UI Symbol"/>
          <w:spacing w:val="8"/>
        </w:rPr>
        <w:t xml:space="preserve"> </w:t>
      </w:r>
      <w:r>
        <w:rPr>
          <w:rFonts w:ascii="Segoe UI Symbol" w:hAnsi="Segoe UI Symbol"/>
        </w:rPr>
        <w:t>a</w:t>
      </w:r>
      <w:r>
        <w:rPr>
          <w:rFonts w:ascii="Segoe UI Symbol" w:hAnsi="Segoe UI Symbol"/>
          <w:spacing w:val="6"/>
        </w:rPr>
        <w:t xml:space="preserve"> </w:t>
      </w:r>
      <w:r>
        <w:rPr>
          <w:rFonts w:ascii="Segoe UI Symbol" w:hAnsi="Segoe UI Symbol"/>
        </w:rPr>
        <w:t>receber</w:t>
      </w:r>
      <w:r>
        <w:rPr>
          <w:rFonts w:ascii="Segoe UI Symbol" w:hAnsi="Segoe UI Symbol"/>
          <w:spacing w:val="9"/>
        </w:rPr>
        <w:t xml:space="preserve"> </w:t>
      </w:r>
      <w:r>
        <w:rPr>
          <w:rFonts w:ascii="Segoe UI Symbol" w:hAnsi="Segoe UI Symbol"/>
        </w:rPr>
        <w:t>decorrentes</w:t>
      </w:r>
      <w:r>
        <w:rPr>
          <w:rFonts w:ascii="Segoe UI Symbol" w:hAnsi="Segoe UI Symbol"/>
          <w:spacing w:val="8"/>
        </w:rPr>
        <w:t xml:space="preserve"> </w:t>
      </w:r>
      <w:r>
        <w:rPr>
          <w:rFonts w:ascii="Segoe UI Symbol" w:hAnsi="Segoe UI Symbol"/>
        </w:rPr>
        <w:t>da</w:t>
      </w:r>
      <w:r>
        <w:rPr>
          <w:rFonts w:ascii="Segoe UI Symbol" w:hAnsi="Segoe UI Symbol"/>
          <w:spacing w:val="8"/>
        </w:rPr>
        <w:t xml:space="preserve"> </w:t>
      </w:r>
      <w:r>
        <w:rPr>
          <w:rFonts w:ascii="Segoe UI Symbol" w:hAnsi="Segoe UI Symbol"/>
        </w:rPr>
        <w:t>participação</w:t>
      </w:r>
      <w:r>
        <w:rPr>
          <w:rFonts w:ascii="Segoe UI Symbol" w:hAnsi="Segoe UI Symbol"/>
          <w:spacing w:val="7"/>
        </w:rPr>
        <w:t xml:space="preserve"> </w:t>
      </w:r>
      <w:r>
        <w:rPr>
          <w:rFonts w:ascii="Segoe UI Symbol" w:hAnsi="Segoe UI Symbol"/>
        </w:rPr>
        <w:t>societária</w:t>
      </w:r>
      <w:r>
        <w:rPr>
          <w:rFonts w:ascii="Segoe UI Symbol" w:hAnsi="Segoe UI Symbol"/>
          <w:spacing w:val="6"/>
        </w:rPr>
        <w:t xml:space="preserve"> </w:t>
      </w:r>
      <w:r>
        <w:rPr>
          <w:rFonts w:ascii="Segoe UI Symbol" w:hAnsi="Segoe UI Symbol"/>
        </w:rPr>
        <w:t>na</w:t>
      </w:r>
      <w:r>
        <w:rPr>
          <w:rFonts w:ascii="Segoe UI Symbol" w:hAnsi="Segoe UI Symbol"/>
          <w:spacing w:val="8"/>
        </w:rPr>
        <w:t xml:space="preserve"> </w:t>
      </w:r>
      <w:r>
        <w:rPr>
          <w:rFonts w:ascii="Segoe UI Symbol" w:hAnsi="Segoe UI Symbol"/>
        </w:rPr>
        <w:t>coligada</w:t>
      </w:r>
      <w:r>
        <w:rPr>
          <w:rFonts w:ascii="Segoe UI Symbol" w:hAnsi="Segoe UI Symbol"/>
          <w:spacing w:val="10"/>
        </w:rPr>
        <w:t xml:space="preserve"> </w:t>
      </w:r>
      <w:r>
        <w:rPr>
          <w:rFonts w:ascii="Segoe UI Symbol" w:hAnsi="Segoe UI Symbol"/>
          <w:spacing w:val="-2"/>
        </w:rPr>
        <w:t>VISIONA.</w:t>
      </w:r>
    </w:p>
    <w:p w14:paraId="552170E8" w14:textId="77777777" w:rsidR="002C6574" w:rsidRDefault="002C6574">
      <w:pPr>
        <w:pStyle w:val="Corpodetexto"/>
      </w:pPr>
    </w:p>
    <w:p w14:paraId="7EF557EF" w14:textId="77777777" w:rsidR="002C6574" w:rsidRDefault="00000000">
      <w:pPr>
        <w:pStyle w:val="PargrafodaLista"/>
        <w:numPr>
          <w:ilvl w:val="1"/>
          <w:numId w:val="15"/>
        </w:numPr>
        <w:tabs>
          <w:tab w:val="left" w:pos="432"/>
        </w:tabs>
        <w:spacing w:line="237" w:lineRule="auto"/>
        <w:ind w:right="704" w:firstLine="0"/>
        <w:jc w:val="both"/>
        <w:rPr>
          <w:rFonts w:ascii="Segoe UI Symbol" w:hAnsi="Segoe UI Symbol"/>
        </w:rPr>
      </w:pPr>
      <w:r>
        <w:rPr>
          <w:rFonts w:ascii="Segoe UI Symbol" w:hAnsi="Segoe UI Symbol"/>
        </w:rPr>
        <w:t>Refere-se à contratação de garantia estendida dos equipamentos vinculados ao projeto SGDC.</w:t>
      </w:r>
      <w:r>
        <w:rPr>
          <w:rFonts w:ascii="Segoe UI Symbol" w:hAnsi="Segoe UI Symbol"/>
          <w:spacing w:val="40"/>
        </w:rPr>
        <w:t xml:space="preserve"> </w:t>
      </w:r>
      <w:r>
        <w:rPr>
          <w:rFonts w:ascii="Segoe UI Symbol" w:hAnsi="Segoe UI Symbol"/>
        </w:rPr>
        <w:t>Em dezembro de 2023, a Telebras firmou novo contrato de garantia estendida, com período de cobertura de 09 de dezembro de 2023 a 30 de junho de 2025, no valor contratado de R$ 15.927.</w:t>
      </w:r>
    </w:p>
    <w:p w14:paraId="253B5BFE" w14:textId="77777777" w:rsidR="002C6574" w:rsidRDefault="002C6574">
      <w:pPr>
        <w:pStyle w:val="Corpodetexto"/>
      </w:pPr>
    </w:p>
    <w:p w14:paraId="7144F5F6" w14:textId="77777777" w:rsidR="002C6574" w:rsidRDefault="00000000">
      <w:pPr>
        <w:pStyle w:val="PargrafodaLista"/>
        <w:numPr>
          <w:ilvl w:val="1"/>
          <w:numId w:val="15"/>
        </w:numPr>
        <w:tabs>
          <w:tab w:val="left" w:pos="400"/>
        </w:tabs>
        <w:ind w:left="400" w:hanging="257"/>
        <w:jc w:val="both"/>
        <w:rPr>
          <w:rFonts w:ascii="Segoe UI Symbol" w:hAnsi="Segoe UI Symbol"/>
        </w:rPr>
      </w:pPr>
      <w:r>
        <w:rPr>
          <w:rFonts w:ascii="Segoe UI Symbol" w:hAnsi="Segoe UI Symbol"/>
          <w:spacing w:val="-2"/>
          <w:w w:val="105"/>
        </w:rPr>
        <w:t>Representa</w:t>
      </w:r>
      <w:r>
        <w:rPr>
          <w:rFonts w:ascii="Segoe UI Symbol" w:hAnsi="Segoe UI Symbol"/>
          <w:spacing w:val="-10"/>
          <w:w w:val="105"/>
        </w:rPr>
        <w:t xml:space="preserve"> </w:t>
      </w:r>
      <w:r>
        <w:rPr>
          <w:rFonts w:ascii="Segoe UI Symbol" w:hAnsi="Segoe UI Symbol"/>
          <w:spacing w:val="-2"/>
          <w:w w:val="105"/>
        </w:rPr>
        <w:t>os</w:t>
      </w:r>
      <w:r>
        <w:rPr>
          <w:rFonts w:ascii="Segoe UI Symbol" w:hAnsi="Segoe UI Symbol"/>
          <w:spacing w:val="-7"/>
          <w:w w:val="105"/>
        </w:rPr>
        <w:t xml:space="preserve"> </w:t>
      </w:r>
      <w:r>
        <w:rPr>
          <w:rFonts w:ascii="Segoe UI Symbol" w:hAnsi="Segoe UI Symbol"/>
          <w:spacing w:val="-2"/>
          <w:w w:val="105"/>
        </w:rPr>
        <w:t>valores</w:t>
      </w:r>
      <w:r>
        <w:rPr>
          <w:rFonts w:ascii="Segoe UI Symbol" w:hAnsi="Segoe UI Symbol"/>
          <w:spacing w:val="-7"/>
          <w:w w:val="105"/>
        </w:rPr>
        <w:t xml:space="preserve"> </w:t>
      </w:r>
      <w:r>
        <w:rPr>
          <w:rFonts w:ascii="Segoe UI Symbol" w:hAnsi="Segoe UI Symbol"/>
          <w:spacing w:val="-2"/>
          <w:w w:val="105"/>
        </w:rPr>
        <w:t>a</w:t>
      </w:r>
      <w:r>
        <w:rPr>
          <w:rFonts w:ascii="Segoe UI Symbol" w:hAnsi="Segoe UI Symbol"/>
          <w:spacing w:val="-8"/>
          <w:w w:val="105"/>
        </w:rPr>
        <w:t xml:space="preserve"> </w:t>
      </w:r>
      <w:r>
        <w:rPr>
          <w:rFonts w:ascii="Segoe UI Symbol" w:hAnsi="Segoe UI Symbol"/>
          <w:spacing w:val="-2"/>
          <w:w w:val="105"/>
        </w:rPr>
        <w:t>pagar</w:t>
      </w:r>
      <w:r>
        <w:rPr>
          <w:rFonts w:ascii="Segoe UI Symbol" w:hAnsi="Segoe UI Symbol"/>
          <w:spacing w:val="-6"/>
          <w:w w:val="105"/>
        </w:rPr>
        <w:t xml:space="preserve"> </w:t>
      </w:r>
      <w:r>
        <w:rPr>
          <w:rFonts w:ascii="Segoe UI Symbol" w:hAnsi="Segoe UI Symbol"/>
          <w:spacing w:val="-2"/>
          <w:w w:val="105"/>
        </w:rPr>
        <w:t>a</w:t>
      </w:r>
      <w:r>
        <w:rPr>
          <w:rFonts w:ascii="Segoe UI Symbol" w:hAnsi="Segoe UI Symbol"/>
          <w:spacing w:val="-9"/>
          <w:w w:val="105"/>
        </w:rPr>
        <w:t xml:space="preserve"> </w:t>
      </w:r>
      <w:r>
        <w:rPr>
          <w:rFonts w:ascii="Segoe UI Symbol" w:hAnsi="Segoe UI Symbol"/>
          <w:spacing w:val="-2"/>
          <w:w w:val="105"/>
        </w:rPr>
        <w:t>fornecedores</w:t>
      </w:r>
      <w:r>
        <w:rPr>
          <w:rFonts w:ascii="Segoe UI Symbol" w:hAnsi="Segoe UI Symbol"/>
          <w:spacing w:val="-7"/>
          <w:w w:val="105"/>
        </w:rPr>
        <w:t xml:space="preserve"> </w:t>
      </w:r>
      <w:r>
        <w:rPr>
          <w:rFonts w:ascii="Segoe UI Symbol" w:hAnsi="Segoe UI Symbol"/>
          <w:spacing w:val="-2"/>
          <w:w w:val="105"/>
        </w:rPr>
        <w:t>de</w:t>
      </w:r>
      <w:r>
        <w:rPr>
          <w:rFonts w:ascii="Segoe UI Symbol" w:hAnsi="Segoe UI Symbol"/>
          <w:spacing w:val="-7"/>
          <w:w w:val="105"/>
        </w:rPr>
        <w:t xml:space="preserve"> </w:t>
      </w:r>
      <w:r>
        <w:rPr>
          <w:rFonts w:ascii="Segoe UI Symbol" w:hAnsi="Segoe UI Symbol"/>
          <w:spacing w:val="-2"/>
          <w:w w:val="105"/>
        </w:rPr>
        <w:t>bens</w:t>
      </w:r>
      <w:r>
        <w:rPr>
          <w:rFonts w:ascii="Segoe UI Symbol" w:hAnsi="Segoe UI Symbol"/>
          <w:spacing w:val="-7"/>
          <w:w w:val="105"/>
        </w:rPr>
        <w:t xml:space="preserve"> </w:t>
      </w:r>
      <w:r>
        <w:rPr>
          <w:rFonts w:ascii="Segoe UI Symbol" w:hAnsi="Segoe UI Symbol"/>
          <w:spacing w:val="-2"/>
          <w:w w:val="105"/>
        </w:rPr>
        <w:t>e</w:t>
      </w:r>
      <w:r>
        <w:rPr>
          <w:rFonts w:ascii="Segoe UI Symbol" w:hAnsi="Segoe UI Symbol"/>
          <w:spacing w:val="-10"/>
          <w:w w:val="105"/>
        </w:rPr>
        <w:t xml:space="preserve"> </w:t>
      </w:r>
      <w:r>
        <w:rPr>
          <w:rFonts w:ascii="Segoe UI Symbol" w:hAnsi="Segoe UI Symbol"/>
          <w:spacing w:val="-2"/>
          <w:w w:val="105"/>
        </w:rPr>
        <w:t>serviços.</w:t>
      </w:r>
    </w:p>
    <w:p w14:paraId="7D9CE4A3" w14:textId="77777777" w:rsidR="002C6574" w:rsidRDefault="00000000">
      <w:pPr>
        <w:pStyle w:val="PargrafodaLista"/>
        <w:numPr>
          <w:ilvl w:val="1"/>
          <w:numId w:val="15"/>
        </w:numPr>
        <w:tabs>
          <w:tab w:val="left" w:pos="370"/>
        </w:tabs>
        <w:spacing w:before="290" w:line="237" w:lineRule="auto"/>
        <w:ind w:right="702" w:firstLine="0"/>
        <w:jc w:val="both"/>
        <w:rPr>
          <w:rFonts w:ascii="Segoe UI Symbol" w:hAnsi="Segoe UI Symbol"/>
        </w:rPr>
      </w:pPr>
      <w:r>
        <w:rPr>
          <w:rFonts w:ascii="Segoe UI Symbol" w:hAnsi="Segoe UI Symbol"/>
        </w:rPr>
        <w:t>Refere-se ao financiamento contratado junto à Financiadora de Estudos e Projetos – FINEP, no valor original de R$ 240.380 (R$ 46.210 em 31 de dezembro de 2024). O financiamento teve como objetivo custear, parcialmente, as despesas relativas à elaboração e execução do Plano Estratégico</w:t>
      </w:r>
      <w:r>
        <w:rPr>
          <w:rFonts w:ascii="Segoe UI Symbol" w:hAnsi="Segoe UI Symbol"/>
          <w:spacing w:val="40"/>
        </w:rPr>
        <w:t xml:space="preserve"> </w:t>
      </w:r>
      <w:r>
        <w:rPr>
          <w:rFonts w:ascii="Segoe UI Symbol" w:hAnsi="Segoe UI Symbol"/>
        </w:rPr>
        <w:t>de Inovação — Satélite Geoestacionário de Defesa e Comunicações Estratégicas (SGDC). No</w:t>
      </w:r>
      <w:r>
        <w:rPr>
          <w:rFonts w:ascii="Segoe UI Symbol" w:hAnsi="Segoe UI Symbol"/>
          <w:spacing w:val="80"/>
        </w:rPr>
        <w:t xml:space="preserve"> </w:t>
      </w:r>
      <w:r>
        <w:rPr>
          <w:rFonts w:ascii="Segoe UI Symbol" w:hAnsi="Segoe UI Symbol"/>
        </w:rPr>
        <w:t>primeiro trimestre de 2025, a Companhia efetuou a quitação antecipada desse financiamento. (Nota Explicativa 24.1).</w:t>
      </w:r>
    </w:p>
    <w:p w14:paraId="06FC2E3D" w14:textId="77777777" w:rsidR="002C6574" w:rsidRDefault="002C6574">
      <w:pPr>
        <w:pStyle w:val="Corpodetexto"/>
        <w:spacing w:before="7"/>
      </w:pPr>
    </w:p>
    <w:p w14:paraId="138698BA" w14:textId="77777777" w:rsidR="002C6574" w:rsidRDefault="00000000">
      <w:pPr>
        <w:pStyle w:val="PargrafodaLista"/>
        <w:numPr>
          <w:ilvl w:val="1"/>
          <w:numId w:val="15"/>
        </w:numPr>
        <w:tabs>
          <w:tab w:val="left" w:pos="410"/>
        </w:tabs>
        <w:spacing w:line="237" w:lineRule="auto"/>
        <w:ind w:right="705" w:firstLine="0"/>
        <w:jc w:val="both"/>
        <w:rPr>
          <w:rFonts w:ascii="Segoe UI Symbol" w:hAnsi="Segoe UI Symbol"/>
        </w:rPr>
      </w:pPr>
      <w:r>
        <w:rPr>
          <w:rFonts w:ascii="Segoe UI Symbol" w:hAnsi="Segoe UI Symbol"/>
        </w:rPr>
        <w:t>Representa receitas recebidas antecipadamente de órgãos governamentais (Ministério da Defesa</w:t>
      </w:r>
      <w:r>
        <w:rPr>
          <w:rFonts w:ascii="Segoe UI Symbol" w:hAnsi="Segoe UI Symbol"/>
          <w:spacing w:val="40"/>
        </w:rPr>
        <w:t xml:space="preserve"> </w:t>
      </w:r>
      <w:r>
        <w:rPr>
          <w:rFonts w:ascii="Segoe UI Symbol" w:hAnsi="Segoe UI Symbol"/>
        </w:rPr>
        <w:t xml:space="preserve">e Ministério das Comunicações) por serviços a serem prestados pela Telebras, conforme os acordos </w:t>
      </w:r>
      <w:r>
        <w:rPr>
          <w:rFonts w:ascii="Segoe UI Symbol" w:hAnsi="Segoe UI Symbol"/>
          <w:spacing w:val="-2"/>
        </w:rPr>
        <w:t>contratuais.</w:t>
      </w:r>
    </w:p>
    <w:p w14:paraId="2D9DE4BF" w14:textId="77777777" w:rsidR="002C6574" w:rsidRDefault="002C6574">
      <w:pPr>
        <w:pStyle w:val="PargrafodaLista"/>
        <w:spacing w:line="237" w:lineRule="auto"/>
        <w:jc w:val="both"/>
        <w:rPr>
          <w:rFonts w:ascii="Segoe UI Symbol" w:hAnsi="Segoe UI Symbol"/>
        </w:rPr>
        <w:sectPr w:rsidR="002C6574">
          <w:pgSz w:w="11910" w:h="16840"/>
          <w:pgMar w:top="1820" w:right="141" w:bottom="1320" w:left="1133" w:header="1084" w:footer="1100" w:gutter="0"/>
          <w:cols w:space="720"/>
        </w:sectPr>
      </w:pPr>
    </w:p>
    <w:p w14:paraId="1D5D50AD" w14:textId="77777777" w:rsidR="002C6574" w:rsidRDefault="00000000">
      <w:pPr>
        <w:pStyle w:val="PargrafodaLista"/>
        <w:numPr>
          <w:ilvl w:val="1"/>
          <w:numId w:val="15"/>
        </w:numPr>
        <w:tabs>
          <w:tab w:val="left" w:pos="410"/>
        </w:tabs>
        <w:spacing w:before="200" w:line="237" w:lineRule="auto"/>
        <w:ind w:right="702" w:firstLine="0"/>
        <w:jc w:val="both"/>
        <w:rPr>
          <w:rFonts w:ascii="Segoe UI Symbol" w:hAnsi="Segoe UI Symbol"/>
        </w:rPr>
      </w:pPr>
      <w:r>
        <w:rPr>
          <w:rFonts w:ascii="Segoe UI Symbol" w:hAnsi="Segoe UI Symbol"/>
        </w:rPr>
        <w:lastRenderedPageBreak/>
        <w:t xml:space="preserve">Refere-se aos recursos repassados pela União Federal sob a forma de Adiantamento para Futuro </w:t>
      </w:r>
      <w:r>
        <w:rPr>
          <w:rFonts w:ascii="Segoe UI Symbol" w:hAnsi="Segoe UI Symbol"/>
          <w:w w:val="105"/>
        </w:rPr>
        <w:t>Aumento</w:t>
      </w:r>
      <w:r>
        <w:rPr>
          <w:rFonts w:ascii="Segoe UI Symbol" w:hAnsi="Segoe UI Symbol"/>
          <w:spacing w:val="-6"/>
          <w:w w:val="105"/>
        </w:rPr>
        <w:t xml:space="preserve"> </w:t>
      </w:r>
      <w:r>
        <w:rPr>
          <w:rFonts w:ascii="Segoe UI Symbol" w:hAnsi="Segoe UI Symbol"/>
          <w:w w:val="105"/>
        </w:rPr>
        <w:t>de</w:t>
      </w:r>
      <w:r>
        <w:rPr>
          <w:rFonts w:ascii="Segoe UI Symbol" w:hAnsi="Segoe UI Symbol"/>
          <w:spacing w:val="-3"/>
          <w:w w:val="105"/>
        </w:rPr>
        <w:t xml:space="preserve"> </w:t>
      </w:r>
      <w:r>
        <w:rPr>
          <w:rFonts w:ascii="Segoe UI Symbol" w:hAnsi="Segoe UI Symbol"/>
          <w:w w:val="105"/>
        </w:rPr>
        <w:t>Capital</w:t>
      </w:r>
      <w:r>
        <w:rPr>
          <w:rFonts w:ascii="Segoe UI Symbol" w:hAnsi="Segoe UI Symbol"/>
          <w:spacing w:val="-7"/>
          <w:w w:val="105"/>
        </w:rPr>
        <w:t xml:space="preserve"> </w:t>
      </w:r>
      <w:r>
        <w:rPr>
          <w:rFonts w:ascii="Segoe UI Symbol" w:hAnsi="Segoe UI Symbol"/>
          <w:w w:val="105"/>
        </w:rPr>
        <w:t>(AFAC)</w:t>
      </w:r>
      <w:r>
        <w:rPr>
          <w:rFonts w:ascii="Segoe UI Symbol" w:hAnsi="Segoe UI Symbol"/>
          <w:spacing w:val="-3"/>
          <w:w w:val="105"/>
        </w:rPr>
        <w:t xml:space="preserve"> </w:t>
      </w:r>
      <w:r>
        <w:rPr>
          <w:rFonts w:ascii="Segoe UI Symbol" w:hAnsi="Segoe UI Symbol"/>
          <w:w w:val="105"/>
        </w:rPr>
        <w:t>da</w:t>
      </w:r>
      <w:r>
        <w:rPr>
          <w:rFonts w:ascii="Segoe UI Symbol" w:hAnsi="Segoe UI Symbol"/>
          <w:spacing w:val="-3"/>
          <w:w w:val="105"/>
        </w:rPr>
        <w:t xml:space="preserve"> </w:t>
      </w:r>
      <w:r>
        <w:rPr>
          <w:rFonts w:ascii="Segoe UI Symbol" w:hAnsi="Segoe UI Symbol"/>
          <w:w w:val="105"/>
        </w:rPr>
        <w:t>Companhia.</w:t>
      </w:r>
      <w:r>
        <w:rPr>
          <w:rFonts w:ascii="Segoe UI Symbol" w:hAnsi="Segoe UI Symbol"/>
          <w:spacing w:val="-5"/>
          <w:w w:val="105"/>
        </w:rPr>
        <w:t xml:space="preserve"> </w:t>
      </w:r>
      <w:r>
        <w:rPr>
          <w:rFonts w:ascii="Segoe UI Symbol" w:hAnsi="Segoe UI Symbol"/>
          <w:w w:val="105"/>
        </w:rPr>
        <w:t>Esses</w:t>
      </w:r>
      <w:r>
        <w:rPr>
          <w:rFonts w:ascii="Segoe UI Symbol" w:hAnsi="Segoe UI Symbol"/>
          <w:spacing w:val="-3"/>
          <w:w w:val="105"/>
        </w:rPr>
        <w:t xml:space="preserve"> </w:t>
      </w:r>
      <w:r>
        <w:rPr>
          <w:rFonts w:ascii="Segoe UI Symbol" w:hAnsi="Segoe UI Symbol"/>
          <w:w w:val="105"/>
        </w:rPr>
        <w:t>recursos</w:t>
      </w:r>
      <w:r>
        <w:rPr>
          <w:rFonts w:ascii="Segoe UI Symbol" w:hAnsi="Segoe UI Symbol"/>
          <w:spacing w:val="-5"/>
          <w:w w:val="105"/>
        </w:rPr>
        <w:t xml:space="preserve"> </w:t>
      </w:r>
      <w:r>
        <w:rPr>
          <w:rFonts w:ascii="Segoe UI Symbol" w:hAnsi="Segoe UI Symbol"/>
          <w:w w:val="105"/>
        </w:rPr>
        <w:t>são</w:t>
      </w:r>
      <w:r>
        <w:rPr>
          <w:rFonts w:ascii="Segoe UI Symbol" w:hAnsi="Segoe UI Symbol"/>
          <w:spacing w:val="-6"/>
          <w:w w:val="105"/>
        </w:rPr>
        <w:t xml:space="preserve"> </w:t>
      </w:r>
      <w:r>
        <w:rPr>
          <w:rFonts w:ascii="Segoe UI Symbol" w:hAnsi="Segoe UI Symbol"/>
          <w:w w:val="105"/>
        </w:rPr>
        <w:t>aplicados</w:t>
      </w:r>
      <w:r>
        <w:rPr>
          <w:rFonts w:ascii="Segoe UI Symbol" w:hAnsi="Segoe UI Symbol"/>
          <w:spacing w:val="-3"/>
          <w:w w:val="105"/>
        </w:rPr>
        <w:t xml:space="preserve"> </w:t>
      </w:r>
      <w:r>
        <w:rPr>
          <w:rFonts w:ascii="Segoe UI Symbol" w:hAnsi="Segoe UI Symbol"/>
          <w:w w:val="105"/>
        </w:rPr>
        <w:t>na</w:t>
      </w:r>
      <w:r>
        <w:rPr>
          <w:rFonts w:ascii="Segoe UI Symbol" w:hAnsi="Segoe UI Symbol"/>
          <w:spacing w:val="-6"/>
          <w:w w:val="105"/>
        </w:rPr>
        <w:t xml:space="preserve"> </w:t>
      </w:r>
      <w:r>
        <w:rPr>
          <w:rFonts w:ascii="Segoe UI Symbol" w:hAnsi="Segoe UI Symbol"/>
          <w:w w:val="105"/>
        </w:rPr>
        <w:t>expansão</w:t>
      </w:r>
      <w:r>
        <w:rPr>
          <w:rFonts w:ascii="Segoe UI Symbol" w:hAnsi="Segoe UI Symbol"/>
          <w:spacing w:val="-6"/>
          <w:w w:val="105"/>
        </w:rPr>
        <w:t xml:space="preserve"> </w:t>
      </w:r>
      <w:r>
        <w:rPr>
          <w:rFonts w:ascii="Segoe UI Symbol" w:hAnsi="Segoe UI Symbol"/>
          <w:w w:val="105"/>
        </w:rPr>
        <w:t>e</w:t>
      </w:r>
      <w:r>
        <w:rPr>
          <w:rFonts w:ascii="Segoe UI Symbol" w:hAnsi="Segoe UI Symbol"/>
          <w:spacing w:val="-7"/>
          <w:w w:val="105"/>
        </w:rPr>
        <w:t xml:space="preserve"> </w:t>
      </w:r>
      <w:r>
        <w:rPr>
          <w:rFonts w:ascii="Segoe UI Symbol" w:hAnsi="Segoe UI Symbol"/>
          <w:w w:val="105"/>
        </w:rPr>
        <w:t>melhoria da Rede Terrestre e da Rede Satelital.</w:t>
      </w:r>
    </w:p>
    <w:p w14:paraId="1FECB5CC" w14:textId="77777777" w:rsidR="002C6574" w:rsidRDefault="002C6574">
      <w:pPr>
        <w:pStyle w:val="Corpodetexto"/>
        <w:spacing w:before="2"/>
      </w:pPr>
    </w:p>
    <w:p w14:paraId="57070862" w14:textId="77777777" w:rsidR="002C6574" w:rsidRDefault="00000000">
      <w:pPr>
        <w:pStyle w:val="PargrafodaLista"/>
        <w:numPr>
          <w:ilvl w:val="1"/>
          <w:numId w:val="15"/>
        </w:numPr>
        <w:tabs>
          <w:tab w:val="left" w:pos="356"/>
        </w:tabs>
        <w:spacing w:before="1" w:line="237" w:lineRule="auto"/>
        <w:ind w:right="702" w:firstLine="0"/>
        <w:jc w:val="both"/>
        <w:rPr>
          <w:rFonts w:ascii="Segoe UI Symbol" w:hAnsi="Segoe UI Symbol"/>
        </w:rPr>
      </w:pPr>
      <w:r>
        <w:rPr>
          <w:rFonts w:ascii="Segoe UI Symbol" w:hAnsi="Segoe UI Symbol"/>
          <w:w w:val="105"/>
        </w:rPr>
        <w:t>Representa</w:t>
      </w:r>
      <w:r>
        <w:rPr>
          <w:rFonts w:ascii="Segoe UI Symbol" w:hAnsi="Segoe UI Symbol"/>
          <w:spacing w:val="-4"/>
          <w:w w:val="105"/>
        </w:rPr>
        <w:t xml:space="preserve"> </w:t>
      </w:r>
      <w:r>
        <w:rPr>
          <w:rFonts w:ascii="Segoe UI Symbol" w:hAnsi="Segoe UI Symbol"/>
          <w:w w:val="105"/>
        </w:rPr>
        <w:t>os</w:t>
      </w:r>
      <w:r>
        <w:rPr>
          <w:rFonts w:ascii="Segoe UI Symbol" w:hAnsi="Segoe UI Symbol"/>
          <w:spacing w:val="-4"/>
          <w:w w:val="105"/>
        </w:rPr>
        <w:t xml:space="preserve"> </w:t>
      </w:r>
      <w:r>
        <w:rPr>
          <w:rFonts w:ascii="Segoe UI Symbol" w:hAnsi="Segoe UI Symbol"/>
          <w:w w:val="105"/>
        </w:rPr>
        <w:t>custos</w:t>
      </w:r>
      <w:r>
        <w:rPr>
          <w:rFonts w:ascii="Segoe UI Symbol" w:hAnsi="Segoe UI Symbol"/>
          <w:spacing w:val="-4"/>
          <w:w w:val="105"/>
        </w:rPr>
        <w:t xml:space="preserve"> </w:t>
      </w:r>
      <w:r>
        <w:rPr>
          <w:rFonts w:ascii="Segoe UI Symbol" w:hAnsi="Segoe UI Symbol"/>
          <w:w w:val="105"/>
        </w:rPr>
        <w:t>com</w:t>
      </w:r>
      <w:r>
        <w:rPr>
          <w:rFonts w:ascii="Segoe UI Symbol" w:hAnsi="Segoe UI Symbol"/>
          <w:spacing w:val="-1"/>
          <w:w w:val="105"/>
        </w:rPr>
        <w:t xml:space="preserve"> </w:t>
      </w:r>
      <w:r>
        <w:rPr>
          <w:rFonts w:ascii="Segoe UI Symbol" w:hAnsi="Segoe UI Symbol"/>
          <w:w w:val="105"/>
        </w:rPr>
        <w:t>o</w:t>
      </w:r>
      <w:r>
        <w:rPr>
          <w:rFonts w:ascii="Segoe UI Symbol" w:hAnsi="Segoe UI Symbol"/>
          <w:spacing w:val="-5"/>
          <w:w w:val="105"/>
        </w:rPr>
        <w:t xml:space="preserve"> </w:t>
      </w:r>
      <w:r>
        <w:rPr>
          <w:rFonts w:ascii="Segoe UI Symbol" w:hAnsi="Segoe UI Symbol"/>
          <w:w w:val="105"/>
        </w:rPr>
        <w:t>compartilhamento</w:t>
      </w:r>
      <w:r>
        <w:rPr>
          <w:rFonts w:ascii="Segoe UI Symbol" w:hAnsi="Segoe UI Symbol"/>
          <w:spacing w:val="-5"/>
          <w:w w:val="105"/>
        </w:rPr>
        <w:t xml:space="preserve"> </w:t>
      </w:r>
      <w:r>
        <w:rPr>
          <w:rFonts w:ascii="Segoe UI Symbol" w:hAnsi="Segoe UI Symbol"/>
          <w:w w:val="105"/>
        </w:rPr>
        <w:t>de</w:t>
      </w:r>
      <w:r>
        <w:rPr>
          <w:rFonts w:ascii="Segoe UI Symbol" w:hAnsi="Segoe UI Symbol"/>
          <w:spacing w:val="-2"/>
          <w:w w:val="105"/>
        </w:rPr>
        <w:t xml:space="preserve"> </w:t>
      </w:r>
      <w:r>
        <w:rPr>
          <w:rFonts w:ascii="Segoe UI Symbol" w:hAnsi="Segoe UI Symbol"/>
          <w:w w:val="105"/>
        </w:rPr>
        <w:t>instalações.</w:t>
      </w:r>
      <w:r>
        <w:rPr>
          <w:rFonts w:ascii="Segoe UI Symbol" w:hAnsi="Segoe UI Symbol"/>
          <w:spacing w:val="-2"/>
          <w:w w:val="105"/>
        </w:rPr>
        <w:t xml:space="preserve"> </w:t>
      </w:r>
      <w:r>
        <w:rPr>
          <w:rFonts w:ascii="Segoe UI Symbol" w:hAnsi="Segoe UI Symbol"/>
          <w:w w:val="105"/>
        </w:rPr>
        <w:t>Esses</w:t>
      </w:r>
      <w:r>
        <w:rPr>
          <w:rFonts w:ascii="Segoe UI Symbol" w:hAnsi="Segoe UI Symbol"/>
          <w:spacing w:val="-4"/>
          <w:w w:val="105"/>
        </w:rPr>
        <w:t xml:space="preserve"> </w:t>
      </w:r>
      <w:r>
        <w:rPr>
          <w:rFonts w:ascii="Segoe UI Symbol" w:hAnsi="Segoe UI Symbol"/>
          <w:w w:val="105"/>
        </w:rPr>
        <w:t>custos</w:t>
      </w:r>
      <w:r>
        <w:rPr>
          <w:rFonts w:ascii="Segoe UI Symbol" w:hAnsi="Segoe UI Symbol"/>
          <w:spacing w:val="-2"/>
          <w:w w:val="105"/>
        </w:rPr>
        <w:t xml:space="preserve"> </w:t>
      </w:r>
      <w:r>
        <w:rPr>
          <w:rFonts w:ascii="Segoe UI Symbol" w:hAnsi="Segoe UI Symbol"/>
          <w:w w:val="105"/>
        </w:rPr>
        <w:t>incluem</w:t>
      </w:r>
      <w:r>
        <w:rPr>
          <w:rFonts w:ascii="Segoe UI Symbol" w:hAnsi="Segoe UI Symbol"/>
          <w:spacing w:val="-1"/>
          <w:w w:val="105"/>
        </w:rPr>
        <w:t xml:space="preserve"> </w:t>
      </w:r>
      <w:r>
        <w:rPr>
          <w:rFonts w:ascii="Segoe UI Symbol" w:hAnsi="Segoe UI Symbol"/>
          <w:w w:val="105"/>
        </w:rPr>
        <w:t>cessão</w:t>
      </w:r>
      <w:r>
        <w:rPr>
          <w:rFonts w:ascii="Segoe UI Symbol" w:hAnsi="Segoe UI Symbol"/>
          <w:spacing w:val="-2"/>
          <w:w w:val="105"/>
        </w:rPr>
        <w:t xml:space="preserve"> </w:t>
      </w:r>
      <w:r>
        <w:rPr>
          <w:rFonts w:ascii="Segoe UI Symbol" w:hAnsi="Segoe UI Symbol"/>
          <w:w w:val="105"/>
        </w:rPr>
        <w:t>de fibras, postes e espaços físicos vinculados à prestação dos serviços.</w:t>
      </w:r>
    </w:p>
    <w:p w14:paraId="43D9770F" w14:textId="77777777" w:rsidR="002C6574" w:rsidRDefault="00000000">
      <w:pPr>
        <w:pStyle w:val="PargrafodaLista"/>
        <w:numPr>
          <w:ilvl w:val="1"/>
          <w:numId w:val="15"/>
        </w:numPr>
        <w:tabs>
          <w:tab w:val="left" w:pos="337"/>
        </w:tabs>
        <w:spacing w:before="289"/>
        <w:ind w:right="704" w:firstLine="0"/>
        <w:jc w:val="both"/>
        <w:rPr>
          <w:rFonts w:ascii="Segoe UI Symbol" w:hAnsi="Segoe UI Symbol"/>
        </w:rPr>
      </w:pPr>
      <w:r>
        <w:rPr>
          <w:rFonts w:ascii="Segoe UI Symbol" w:hAnsi="Segoe UI Symbol"/>
          <w:w w:val="105"/>
        </w:rPr>
        <w:t>Refere-se</w:t>
      </w:r>
      <w:r>
        <w:rPr>
          <w:rFonts w:ascii="Segoe UI Symbol" w:hAnsi="Segoe UI Symbol"/>
          <w:spacing w:val="-16"/>
          <w:w w:val="105"/>
        </w:rPr>
        <w:t xml:space="preserve"> </w:t>
      </w:r>
      <w:r>
        <w:rPr>
          <w:rFonts w:ascii="Segoe UI Symbol" w:hAnsi="Segoe UI Symbol"/>
          <w:w w:val="105"/>
        </w:rPr>
        <w:t>aos</w:t>
      </w:r>
      <w:r>
        <w:rPr>
          <w:rFonts w:ascii="Segoe UI Symbol" w:hAnsi="Segoe UI Symbol"/>
          <w:spacing w:val="-16"/>
          <w:w w:val="105"/>
        </w:rPr>
        <w:t xml:space="preserve"> </w:t>
      </w:r>
      <w:r>
        <w:rPr>
          <w:rFonts w:ascii="Segoe UI Symbol" w:hAnsi="Segoe UI Symbol"/>
          <w:w w:val="105"/>
        </w:rPr>
        <w:t>custos</w:t>
      </w:r>
      <w:r>
        <w:rPr>
          <w:rFonts w:ascii="Segoe UI Symbol" w:hAnsi="Segoe UI Symbol"/>
          <w:spacing w:val="-16"/>
          <w:w w:val="105"/>
        </w:rPr>
        <w:t xml:space="preserve"> </w:t>
      </w:r>
      <w:r>
        <w:rPr>
          <w:rFonts w:ascii="Segoe UI Symbol" w:hAnsi="Segoe UI Symbol"/>
          <w:w w:val="105"/>
        </w:rPr>
        <w:t>com</w:t>
      </w:r>
      <w:r>
        <w:rPr>
          <w:rFonts w:ascii="Segoe UI Symbol" w:hAnsi="Segoe UI Symbol"/>
          <w:spacing w:val="-16"/>
          <w:w w:val="105"/>
        </w:rPr>
        <w:t xml:space="preserve"> </w:t>
      </w:r>
      <w:r>
        <w:rPr>
          <w:rFonts w:ascii="Segoe UI Symbol" w:hAnsi="Segoe UI Symbol"/>
          <w:w w:val="105"/>
        </w:rPr>
        <w:t>meios</w:t>
      </w:r>
      <w:r>
        <w:rPr>
          <w:rFonts w:ascii="Segoe UI Symbol" w:hAnsi="Segoe UI Symbol"/>
          <w:spacing w:val="-16"/>
          <w:w w:val="105"/>
        </w:rPr>
        <w:t xml:space="preserve"> </w:t>
      </w:r>
      <w:r>
        <w:rPr>
          <w:rFonts w:ascii="Segoe UI Symbol" w:hAnsi="Segoe UI Symbol"/>
          <w:w w:val="105"/>
        </w:rPr>
        <w:t>de</w:t>
      </w:r>
      <w:r>
        <w:rPr>
          <w:rFonts w:ascii="Segoe UI Symbol" w:hAnsi="Segoe UI Symbol"/>
          <w:spacing w:val="-15"/>
          <w:w w:val="105"/>
        </w:rPr>
        <w:t xml:space="preserve"> </w:t>
      </w:r>
      <w:r>
        <w:rPr>
          <w:rFonts w:ascii="Segoe UI Symbol" w:hAnsi="Segoe UI Symbol"/>
          <w:w w:val="105"/>
        </w:rPr>
        <w:t>conexão</w:t>
      </w:r>
      <w:r>
        <w:rPr>
          <w:rFonts w:ascii="Segoe UI Symbol" w:hAnsi="Segoe UI Symbol"/>
          <w:spacing w:val="-16"/>
          <w:w w:val="105"/>
        </w:rPr>
        <w:t xml:space="preserve"> </w:t>
      </w:r>
      <w:r>
        <w:rPr>
          <w:rFonts w:ascii="Segoe UI Symbol" w:hAnsi="Segoe UI Symbol"/>
          <w:w w:val="105"/>
        </w:rPr>
        <w:t>e</w:t>
      </w:r>
      <w:r>
        <w:rPr>
          <w:rFonts w:ascii="Segoe UI Symbol" w:hAnsi="Segoe UI Symbol"/>
          <w:spacing w:val="-16"/>
          <w:w w:val="105"/>
        </w:rPr>
        <w:t xml:space="preserve"> </w:t>
      </w:r>
      <w:r>
        <w:rPr>
          <w:rFonts w:ascii="Segoe UI Symbol" w:hAnsi="Segoe UI Symbol"/>
          <w:w w:val="105"/>
        </w:rPr>
        <w:t>transmissão</w:t>
      </w:r>
      <w:r>
        <w:rPr>
          <w:rFonts w:ascii="Segoe UI Symbol" w:hAnsi="Segoe UI Symbol"/>
          <w:spacing w:val="-16"/>
          <w:w w:val="105"/>
        </w:rPr>
        <w:t xml:space="preserve"> </w:t>
      </w:r>
      <w:r>
        <w:rPr>
          <w:rFonts w:ascii="Segoe UI Symbol" w:hAnsi="Segoe UI Symbol"/>
          <w:w w:val="105"/>
        </w:rPr>
        <w:t>necessários</w:t>
      </w:r>
      <w:r>
        <w:rPr>
          <w:rFonts w:ascii="Segoe UI Symbol" w:hAnsi="Segoe UI Symbol"/>
          <w:spacing w:val="-16"/>
          <w:w w:val="105"/>
        </w:rPr>
        <w:t xml:space="preserve"> </w:t>
      </w:r>
      <w:r>
        <w:rPr>
          <w:rFonts w:ascii="Segoe UI Symbol" w:hAnsi="Segoe UI Symbol"/>
          <w:w w:val="105"/>
        </w:rPr>
        <w:t>à</w:t>
      </w:r>
      <w:r>
        <w:rPr>
          <w:rFonts w:ascii="Segoe UI Symbol" w:hAnsi="Segoe UI Symbol"/>
          <w:spacing w:val="-16"/>
          <w:w w:val="105"/>
        </w:rPr>
        <w:t xml:space="preserve"> </w:t>
      </w:r>
      <w:r>
        <w:rPr>
          <w:rFonts w:ascii="Segoe UI Symbol" w:hAnsi="Segoe UI Symbol"/>
          <w:w w:val="105"/>
        </w:rPr>
        <w:t>prestação</w:t>
      </w:r>
      <w:r>
        <w:rPr>
          <w:rFonts w:ascii="Segoe UI Symbol" w:hAnsi="Segoe UI Symbol"/>
          <w:spacing w:val="-15"/>
          <w:w w:val="105"/>
        </w:rPr>
        <w:t xml:space="preserve"> </w:t>
      </w:r>
      <w:r>
        <w:rPr>
          <w:rFonts w:ascii="Segoe UI Symbol" w:hAnsi="Segoe UI Symbol"/>
          <w:w w:val="105"/>
        </w:rPr>
        <w:t>dos</w:t>
      </w:r>
      <w:r>
        <w:rPr>
          <w:rFonts w:ascii="Segoe UI Symbol" w:hAnsi="Segoe UI Symbol"/>
          <w:spacing w:val="-16"/>
          <w:w w:val="105"/>
        </w:rPr>
        <w:t xml:space="preserve"> </w:t>
      </w:r>
      <w:r>
        <w:rPr>
          <w:rFonts w:ascii="Segoe UI Symbol" w:hAnsi="Segoe UI Symbol"/>
          <w:w w:val="105"/>
        </w:rPr>
        <w:t>serviços. Incluem Exploração Industrial de Linha Dedicada (EILD), locação de postes, locação de dutos e condutos e backbone.</w:t>
      </w:r>
    </w:p>
    <w:p w14:paraId="08B96407" w14:textId="77777777" w:rsidR="002C6574" w:rsidRDefault="00000000">
      <w:pPr>
        <w:pStyle w:val="PargrafodaLista"/>
        <w:numPr>
          <w:ilvl w:val="1"/>
          <w:numId w:val="15"/>
        </w:numPr>
        <w:tabs>
          <w:tab w:val="left" w:pos="402"/>
        </w:tabs>
        <w:spacing w:before="289" w:line="237" w:lineRule="auto"/>
        <w:ind w:right="705" w:firstLine="0"/>
        <w:jc w:val="both"/>
        <w:rPr>
          <w:rFonts w:ascii="Segoe UI Symbol" w:hAnsi="Segoe UI Symbol"/>
        </w:rPr>
      </w:pPr>
      <w:r>
        <w:rPr>
          <w:rFonts w:ascii="Segoe UI Symbol" w:hAnsi="Segoe UI Symbol"/>
        </w:rPr>
        <w:t>Representa a apropriação mensal dos custos incorridos com a contratação da garantia estendida para cobertura dos equipamentos do projeto SGDC, conforme item “d”.</w:t>
      </w:r>
    </w:p>
    <w:p w14:paraId="4B3F1165" w14:textId="77777777" w:rsidR="002C6574" w:rsidRDefault="002C6574">
      <w:pPr>
        <w:pStyle w:val="Corpodetexto"/>
        <w:spacing w:before="1"/>
      </w:pPr>
    </w:p>
    <w:p w14:paraId="4D8B3A04" w14:textId="77777777" w:rsidR="002C6574" w:rsidRDefault="00000000">
      <w:pPr>
        <w:pStyle w:val="PargrafodaLista"/>
        <w:numPr>
          <w:ilvl w:val="1"/>
          <w:numId w:val="15"/>
        </w:numPr>
        <w:tabs>
          <w:tab w:val="left" w:pos="370"/>
        </w:tabs>
        <w:spacing w:line="237" w:lineRule="auto"/>
        <w:ind w:right="702" w:firstLine="0"/>
        <w:jc w:val="both"/>
        <w:rPr>
          <w:rFonts w:ascii="Segoe UI Symbol" w:hAnsi="Segoe UI Symbol"/>
        </w:rPr>
      </w:pPr>
      <w:r>
        <w:rPr>
          <w:rFonts w:ascii="Segoe UI Symbol" w:hAnsi="Segoe UI Symbol"/>
        </w:rPr>
        <w:t>Refere-se</w:t>
      </w:r>
      <w:r>
        <w:rPr>
          <w:rFonts w:ascii="Segoe UI Symbol" w:hAnsi="Segoe UI Symbol"/>
          <w:spacing w:val="40"/>
        </w:rPr>
        <w:t xml:space="preserve"> </w:t>
      </w:r>
      <w:r>
        <w:rPr>
          <w:rFonts w:ascii="Segoe UI Symbol" w:hAnsi="Segoe UI Symbol"/>
        </w:rPr>
        <w:t>às despesas</w:t>
      </w:r>
      <w:r>
        <w:rPr>
          <w:rFonts w:ascii="Segoe UI Symbol" w:hAnsi="Segoe UI Symbol"/>
          <w:spacing w:val="40"/>
        </w:rPr>
        <w:t xml:space="preserve"> </w:t>
      </w:r>
      <w:r>
        <w:rPr>
          <w:rFonts w:ascii="Segoe UI Symbol" w:hAnsi="Segoe UI Symbol"/>
        </w:rPr>
        <w:t>financeiras</w:t>
      </w:r>
      <w:r>
        <w:rPr>
          <w:rFonts w:ascii="Segoe UI Symbol" w:hAnsi="Segoe UI Symbol"/>
          <w:spacing w:val="40"/>
        </w:rPr>
        <w:t xml:space="preserve"> </w:t>
      </w:r>
      <w:r>
        <w:rPr>
          <w:rFonts w:ascii="Segoe UI Symbol" w:hAnsi="Segoe UI Symbol"/>
        </w:rPr>
        <w:t>incidentes sobre as</w:t>
      </w:r>
      <w:r>
        <w:rPr>
          <w:rFonts w:ascii="Segoe UI Symbol" w:hAnsi="Segoe UI Symbol"/>
          <w:spacing w:val="40"/>
        </w:rPr>
        <w:t xml:space="preserve"> </w:t>
      </w:r>
      <w:r>
        <w:rPr>
          <w:rFonts w:ascii="Segoe UI Symbol" w:hAnsi="Segoe UI Symbol"/>
        </w:rPr>
        <w:t>parcelas</w:t>
      </w:r>
      <w:r>
        <w:rPr>
          <w:rFonts w:ascii="Segoe UI Symbol" w:hAnsi="Segoe UI Symbol"/>
          <w:spacing w:val="40"/>
        </w:rPr>
        <w:t xml:space="preserve"> </w:t>
      </w:r>
      <w:r>
        <w:rPr>
          <w:rFonts w:ascii="Segoe UI Symbol" w:hAnsi="Segoe UI Symbol"/>
        </w:rPr>
        <w:t>dos recursos</w:t>
      </w:r>
      <w:r>
        <w:rPr>
          <w:rFonts w:ascii="Segoe UI Symbol" w:hAnsi="Segoe UI Symbol"/>
          <w:spacing w:val="40"/>
        </w:rPr>
        <w:t xml:space="preserve"> </w:t>
      </w:r>
      <w:r>
        <w:rPr>
          <w:rFonts w:ascii="Segoe UI Symbol" w:hAnsi="Segoe UI Symbol"/>
        </w:rPr>
        <w:t>repassados pela União Federal sob</w:t>
      </w:r>
      <w:r>
        <w:rPr>
          <w:rFonts w:ascii="Segoe UI Symbol" w:hAnsi="Segoe UI Symbol"/>
          <w:spacing w:val="-1"/>
        </w:rPr>
        <w:t xml:space="preserve"> </w:t>
      </w:r>
      <w:r>
        <w:rPr>
          <w:rFonts w:ascii="Segoe UI Symbol" w:hAnsi="Segoe UI Symbol"/>
        </w:rPr>
        <w:t>a forma de AFAC e</w:t>
      </w:r>
      <w:r>
        <w:rPr>
          <w:rFonts w:ascii="Segoe UI Symbol" w:hAnsi="Segoe UI Symbol"/>
          <w:spacing w:val="-1"/>
        </w:rPr>
        <w:t xml:space="preserve"> </w:t>
      </w:r>
      <w:r>
        <w:rPr>
          <w:rFonts w:ascii="Segoe UI Symbol" w:hAnsi="Segoe UI Symbol"/>
        </w:rPr>
        <w:t>sobre</w:t>
      </w:r>
      <w:r>
        <w:rPr>
          <w:rFonts w:ascii="Segoe UI Symbol" w:hAnsi="Segoe UI Symbol"/>
          <w:spacing w:val="-1"/>
        </w:rPr>
        <w:t xml:space="preserve"> </w:t>
      </w:r>
      <w:r>
        <w:rPr>
          <w:rFonts w:ascii="Segoe UI Symbol" w:hAnsi="Segoe UI Symbol"/>
        </w:rPr>
        <w:t>os empréstimos e</w:t>
      </w:r>
      <w:r>
        <w:rPr>
          <w:rFonts w:ascii="Segoe UI Symbol" w:hAnsi="Segoe UI Symbol"/>
          <w:spacing w:val="-5"/>
        </w:rPr>
        <w:t xml:space="preserve"> </w:t>
      </w:r>
      <w:r>
        <w:rPr>
          <w:rFonts w:ascii="Segoe UI Symbol" w:hAnsi="Segoe UI Symbol"/>
        </w:rPr>
        <w:t>financiamentos obtidos</w:t>
      </w:r>
      <w:r>
        <w:rPr>
          <w:rFonts w:ascii="Segoe UI Symbol" w:hAnsi="Segoe UI Symbol"/>
          <w:spacing w:val="-3"/>
        </w:rPr>
        <w:t xml:space="preserve"> </w:t>
      </w:r>
      <w:r>
        <w:rPr>
          <w:rFonts w:ascii="Segoe UI Symbol" w:hAnsi="Segoe UI Symbol"/>
        </w:rPr>
        <w:t>junto</w:t>
      </w:r>
      <w:r>
        <w:rPr>
          <w:rFonts w:ascii="Segoe UI Symbol" w:hAnsi="Segoe UI Symbol"/>
          <w:spacing w:val="-1"/>
        </w:rPr>
        <w:t xml:space="preserve"> </w:t>
      </w:r>
      <w:r>
        <w:rPr>
          <w:rFonts w:ascii="Segoe UI Symbol" w:hAnsi="Segoe UI Symbol"/>
        </w:rPr>
        <w:t>à</w:t>
      </w:r>
      <w:r>
        <w:rPr>
          <w:rFonts w:ascii="Segoe UI Symbol" w:hAnsi="Segoe UI Symbol"/>
          <w:spacing w:val="-1"/>
        </w:rPr>
        <w:t xml:space="preserve"> </w:t>
      </w:r>
      <w:r>
        <w:rPr>
          <w:rFonts w:ascii="Segoe UI Symbol" w:hAnsi="Segoe UI Symbol"/>
        </w:rPr>
        <w:t xml:space="preserve">FINEP, destinados ao projeto SGDC. Sobre o financiamento da FINEP incidem encargos financeiros calculados com base na Taxa Referencial (TR) </w:t>
      </w:r>
      <w:r>
        <w:rPr>
          <w:rFonts w:ascii="Arial" w:hAnsi="Arial"/>
          <w:i/>
        </w:rPr>
        <w:t>pro rata tempore</w:t>
      </w:r>
      <w:r>
        <w:rPr>
          <w:rFonts w:ascii="Segoe UI Symbol" w:hAnsi="Segoe UI Symbol"/>
        </w:rPr>
        <w:t xml:space="preserve">, acrescida de </w:t>
      </w:r>
      <w:r>
        <w:rPr>
          <w:rFonts w:ascii="Arial" w:hAnsi="Arial"/>
          <w:b/>
        </w:rPr>
        <w:t xml:space="preserve">spread </w:t>
      </w:r>
      <w:r>
        <w:rPr>
          <w:rFonts w:ascii="Segoe UI Symbol" w:hAnsi="Segoe UI Symbol"/>
        </w:rPr>
        <w:t>de 5% ao ano, com possibilidade de redução de até 2% ao ano em caso de inexistência de inadimplência. Os recursos</w:t>
      </w:r>
      <w:r>
        <w:rPr>
          <w:rFonts w:ascii="Segoe UI Symbol" w:hAnsi="Segoe UI Symbol"/>
          <w:spacing w:val="40"/>
        </w:rPr>
        <w:t xml:space="preserve"> </w:t>
      </w:r>
      <w:r>
        <w:rPr>
          <w:rFonts w:ascii="Segoe UI Symbol" w:hAnsi="Segoe UI Symbol"/>
        </w:rPr>
        <w:t>de</w:t>
      </w:r>
      <w:r>
        <w:rPr>
          <w:rFonts w:ascii="Segoe UI Symbol" w:hAnsi="Segoe UI Symbol"/>
          <w:spacing w:val="40"/>
        </w:rPr>
        <w:t xml:space="preserve"> </w:t>
      </w:r>
      <w:r>
        <w:rPr>
          <w:rFonts w:ascii="Segoe UI Symbol" w:hAnsi="Segoe UI Symbol"/>
        </w:rPr>
        <w:t>AFAC</w:t>
      </w:r>
      <w:r>
        <w:rPr>
          <w:rFonts w:ascii="Segoe UI Symbol" w:hAnsi="Segoe UI Symbol"/>
          <w:spacing w:val="40"/>
        </w:rPr>
        <w:t xml:space="preserve"> </w:t>
      </w:r>
      <w:r>
        <w:rPr>
          <w:rFonts w:ascii="Segoe UI Symbol" w:hAnsi="Segoe UI Symbol"/>
        </w:rPr>
        <w:t>são</w:t>
      </w:r>
      <w:r>
        <w:rPr>
          <w:rFonts w:ascii="Segoe UI Symbol" w:hAnsi="Segoe UI Symbol"/>
          <w:spacing w:val="40"/>
        </w:rPr>
        <w:t xml:space="preserve"> </w:t>
      </w:r>
      <w:r>
        <w:rPr>
          <w:rFonts w:ascii="Segoe UI Symbol" w:hAnsi="Segoe UI Symbol"/>
        </w:rPr>
        <w:t>atualizados</w:t>
      </w:r>
      <w:r>
        <w:rPr>
          <w:rFonts w:ascii="Segoe UI Symbol" w:hAnsi="Segoe UI Symbol"/>
          <w:spacing w:val="40"/>
        </w:rPr>
        <w:t xml:space="preserve"> </w:t>
      </w:r>
      <w:r>
        <w:rPr>
          <w:rFonts w:ascii="Segoe UI Symbol" w:hAnsi="Segoe UI Symbol"/>
        </w:rPr>
        <w:t>pela</w:t>
      </w:r>
      <w:r>
        <w:rPr>
          <w:rFonts w:ascii="Segoe UI Symbol" w:hAnsi="Segoe UI Symbol"/>
          <w:spacing w:val="40"/>
        </w:rPr>
        <w:t xml:space="preserve"> </w:t>
      </w:r>
      <w:r>
        <w:rPr>
          <w:rFonts w:ascii="Segoe UI Symbol" w:hAnsi="Segoe UI Symbol"/>
        </w:rPr>
        <w:t>taxa</w:t>
      </w:r>
      <w:r>
        <w:rPr>
          <w:rFonts w:ascii="Segoe UI Symbol" w:hAnsi="Segoe UI Symbol"/>
          <w:spacing w:val="40"/>
        </w:rPr>
        <w:t xml:space="preserve"> </w:t>
      </w:r>
      <w:r>
        <w:rPr>
          <w:rFonts w:ascii="Segoe UI Symbol" w:hAnsi="Segoe UI Symbol"/>
        </w:rPr>
        <w:t>SELIC.</w:t>
      </w:r>
    </w:p>
    <w:p w14:paraId="713D7BA0" w14:textId="77777777" w:rsidR="002C6574" w:rsidRDefault="002C6574">
      <w:pPr>
        <w:pStyle w:val="Corpodetexto"/>
        <w:spacing w:before="2"/>
      </w:pPr>
    </w:p>
    <w:p w14:paraId="5EBC9099" w14:textId="77777777" w:rsidR="002C6574" w:rsidRDefault="00000000">
      <w:pPr>
        <w:pStyle w:val="PargrafodaLista"/>
        <w:numPr>
          <w:ilvl w:val="1"/>
          <w:numId w:val="15"/>
        </w:numPr>
        <w:tabs>
          <w:tab w:val="left" w:pos="470"/>
        </w:tabs>
        <w:ind w:right="703" w:firstLine="0"/>
        <w:jc w:val="both"/>
        <w:rPr>
          <w:rFonts w:ascii="Segoe UI Symbol" w:hAnsi="Segoe UI Symbol"/>
        </w:rPr>
      </w:pPr>
      <w:r>
        <w:rPr>
          <w:rFonts w:ascii="Segoe UI Symbol" w:hAnsi="Segoe UI Symbol"/>
        </w:rPr>
        <w:t>Representa a receita obtida com a prestação dos Serviços de Comunicação Multimídia (Internet). Os preços praticados são equivalentes aos de mercado.</w:t>
      </w:r>
    </w:p>
    <w:p w14:paraId="030437F2" w14:textId="77777777" w:rsidR="002C6574" w:rsidRDefault="00000000">
      <w:pPr>
        <w:pStyle w:val="PargrafodaLista"/>
        <w:numPr>
          <w:ilvl w:val="1"/>
          <w:numId w:val="15"/>
        </w:numPr>
        <w:tabs>
          <w:tab w:val="left" w:pos="410"/>
        </w:tabs>
        <w:spacing w:before="291" w:line="237" w:lineRule="auto"/>
        <w:ind w:right="702" w:firstLine="0"/>
        <w:jc w:val="both"/>
        <w:rPr>
          <w:rFonts w:ascii="Segoe UI Symbol" w:hAnsi="Segoe UI Symbol"/>
        </w:rPr>
      </w:pPr>
      <w:r>
        <w:rPr>
          <w:rFonts w:ascii="Segoe UI Symbol" w:hAnsi="Segoe UI Symbol"/>
        </w:rPr>
        <w:t>Refere-se à receita obtida com a prestação dos serviços de aluguéis e locações de equipamentos</w:t>
      </w:r>
      <w:r>
        <w:rPr>
          <w:rFonts w:ascii="Segoe UI Symbol" w:hAnsi="Segoe UI Symbol"/>
          <w:spacing w:val="40"/>
        </w:rPr>
        <w:t xml:space="preserve"> </w:t>
      </w:r>
      <w:r>
        <w:rPr>
          <w:rFonts w:ascii="Segoe UI Symbol" w:hAnsi="Segoe UI Symbol"/>
        </w:rPr>
        <w:t>e de capacidade satelital. Os preços cobrados são equivalentes aos praticados no mercado.</w:t>
      </w:r>
    </w:p>
    <w:p w14:paraId="53E2E3C7" w14:textId="77777777" w:rsidR="002C6574" w:rsidRDefault="002C6574">
      <w:pPr>
        <w:pStyle w:val="Corpodetexto"/>
        <w:spacing w:before="1"/>
      </w:pPr>
    </w:p>
    <w:p w14:paraId="42493139" w14:textId="77777777" w:rsidR="002C6574" w:rsidRDefault="00000000">
      <w:pPr>
        <w:pStyle w:val="PargrafodaLista"/>
        <w:numPr>
          <w:ilvl w:val="1"/>
          <w:numId w:val="15"/>
        </w:numPr>
        <w:tabs>
          <w:tab w:val="left" w:pos="454"/>
        </w:tabs>
        <w:spacing w:before="1" w:line="237" w:lineRule="auto"/>
        <w:ind w:right="703" w:firstLine="0"/>
        <w:jc w:val="both"/>
        <w:rPr>
          <w:rFonts w:ascii="Segoe UI Symbol" w:hAnsi="Segoe UI Symbol"/>
        </w:rPr>
      </w:pPr>
      <w:r>
        <w:rPr>
          <w:rFonts w:ascii="Segoe UI Symbol" w:hAnsi="Segoe UI Symbol"/>
          <w:w w:val="105"/>
        </w:rPr>
        <w:t>Refere-se à receita dos serviços prestados ao Ministério das Comunicações relacionados ao programa Wi-Fi Brasil.</w:t>
      </w:r>
    </w:p>
    <w:p w14:paraId="0CF21FB7" w14:textId="77777777" w:rsidR="002C6574" w:rsidRDefault="002C6574">
      <w:pPr>
        <w:pStyle w:val="Corpodetexto"/>
        <w:spacing w:before="58"/>
      </w:pPr>
    </w:p>
    <w:p w14:paraId="3FB77850" w14:textId="77777777" w:rsidR="002C6574" w:rsidRDefault="00000000">
      <w:pPr>
        <w:numPr>
          <w:ilvl w:val="1"/>
          <w:numId w:val="16"/>
        </w:numPr>
        <w:tabs>
          <w:tab w:val="left" w:pos="1133"/>
        </w:tabs>
        <w:spacing w:before="1"/>
        <w:ind w:left="1133" w:hanging="990"/>
        <w:jc w:val="both"/>
        <w:rPr>
          <w:rFonts w:ascii="Arial" w:hAnsi="Arial"/>
          <w:b/>
        </w:rPr>
      </w:pPr>
      <w:r>
        <w:rPr>
          <w:rFonts w:ascii="Arial" w:hAnsi="Arial"/>
          <w:b/>
        </w:rPr>
        <w:t>Remuneração</w:t>
      </w:r>
      <w:r>
        <w:rPr>
          <w:rFonts w:ascii="Arial" w:hAnsi="Arial"/>
          <w:b/>
          <w:spacing w:val="-3"/>
        </w:rPr>
        <w:t xml:space="preserve"> </w:t>
      </w:r>
      <w:r>
        <w:rPr>
          <w:rFonts w:ascii="Arial" w:hAnsi="Arial"/>
          <w:b/>
        </w:rPr>
        <w:t>de</w:t>
      </w:r>
      <w:r>
        <w:rPr>
          <w:rFonts w:ascii="Arial" w:hAnsi="Arial"/>
          <w:b/>
          <w:spacing w:val="-5"/>
        </w:rPr>
        <w:t xml:space="preserve"> </w:t>
      </w:r>
      <w:r>
        <w:rPr>
          <w:rFonts w:ascii="Arial" w:hAnsi="Arial"/>
          <w:b/>
        </w:rPr>
        <w:t>dirigentes</w:t>
      </w:r>
      <w:r>
        <w:rPr>
          <w:rFonts w:ascii="Arial" w:hAnsi="Arial"/>
          <w:b/>
          <w:spacing w:val="-3"/>
        </w:rPr>
        <w:t xml:space="preserve"> </w:t>
      </w:r>
      <w:r>
        <w:rPr>
          <w:rFonts w:ascii="Arial" w:hAnsi="Arial"/>
          <w:b/>
        </w:rPr>
        <w:t>e</w:t>
      </w:r>
      <w:r>
        <w:rPr>
          <w:rFonts w:ascii="Arial" w:hAnsi="Arial"/>
          <w:b/>
          <w:spacing w:val="-4"/>
        </w:rPr>
        <w:t xml:space="preserve"> </w:t>
      </w:r>
      <w:r>
        <w:rPr>
          <w:rFonts w:ascii="Arial" w:hAnsi="Arial"/>
          <w:b/>
          <w:spacing w:val="-2"/>
        </w:rPr>
        <w:t>empregados</w:t>
      </w:r>
    </w:p>
    <w:p w14:paraId="7C8F5DD1" w14:textId="77777777" w:rsidR="002C6574" w:rsidRDefault="00000000">
      <w:pPr>
        <w:pStyle w:val="Corpodetexto"/>
        <w:spacing w:before="133" w:line="237" w:lineRule="auto"/>
        <w:ind w:left="143" w:right="704"/>
        <w:jc w:val="both"/>
      </w:pPr>
      <w:r>
        <w:t>A remuneração paga a dirigentes e empregados segue os critérios estabelecidos na legislação vigente</w:t>
      </w:r>
      <w:r>
        <w:rPr>
          <w:spacing w:val="35"/>
        </w:rPr>
        <w:t xml:space="preserve"> </w:t>
      </w:r>
      <w:r>
        <w:t>e</w:t>
      </w:r>
      <w:r>
        <w:rPr>
          <w:spacing w:val="34"/>
        </w:rPr>
        <w:t xml:space="preserve"> </w:t>
      </w:r>
      <w:r>
        <w:t>no Plano</w:t>
      </w:r>
      <w:r>
        <w:rPr>
          <w:spacing w:val="34"/>
        </w:rPr>
        <w:t xml:space="preserve"> </w:t>
      </w:r>
      <w:r>
        <w:t>de</w:t>
      </w:r>
      <w:r>
        <w:rPr>
          <w:spacing w:val="34"/>
        </w:rPr>
        <w:t xml:space="preserve"> </w:t>
      </w:r>
      <w:r>
        <w:t>Salários</w:t>
      </w:r>
      <w:r>
        <w:rPr>
          <w:spacing w:val="35"/>
        </w:rPr>
        <w:t xml:space="preserve"> </w:t>
      </w:r>
      <w:r>
        <w:t>e Benefícios,</w:t>
      </w:r>
      <w:r>
        <w:rPr>
          <w:spacing w:val="32"/>
        </w:rPr>
        <w:t xml:space="preserve"> </w:t>
      </w:r>
      <w:r>
        <w:t>aprovado</w:t>
      </w:r>
      <w:r>
        <w:rPr>
          <w:spacing w:val="35"/>
        </w:rPr>
        <w:t xml:space="preserve"> </w:t>
      </w:r>
      <w:r>
        <w:t>pela Telebras,</w:t>
      </w:r>
      <w:r>
        <w:rPr>
          <w:spacing w:val="32"/>
        </w:rPr>
        <w:t xml:space="preserve"> </w:t>
      </w:r>
      <w:r>
        <w:t>em</w:t>
      </w:r>
      <w:r>
        <w:rPr>
          <w:spacing w:val="31"/>
        </w:rPr>
        <w:t xml:space="preserve"> </w:t>
      </w:r>
      <w:r>
        <w:t>rigorosa</w:t>
      </w:r>
      <w:r>
        <w:rPr>
          <w:spacing w:val="34"/>
        </w:rPr>
        <w:t xml:space="preserve"> </w:t>
      </w:r>
      <w:r>
        <w:t>observância ao que determina a Resolução nº 3, de 31 de dezembro de 2010, da Comissão Interministerial de Governança</w:t>
      </w:r>
      <w:r>
        <w:rPr>
          <w:spacing w:val="40"/>
        </w:rPr>
        <w:t xml:space="preserve"> </w:t>
      </w:r>
      <w:r>
        <w:t>Corporativa</w:t>
      </w:r>
      <w:r>
        <w:rPr>
          <w:spacing w:val="38"/>
        </w:rPr>
        <w:t xml:space="preserve"> </w:t>
      </w:r>
      <w:r>
        <w:t>e</w:t>
      </w:r>
      <w:r>
        <w:rPr>
          <w:spacing w:val="40"/>
        </w:rPr>
        <w:t xml:space="preserve"> </w:t>
      </w:r>
      <w:r>
        <w:t>de</w:t>
      </w:r>
      <w:r>
        <w:rPr>
          <w:spacing w:val="38"/>
        </w:rPr>
        <w:t xml:space="preserve"> </w:t>
      </w:r>
      <w:r>
        <w:t>Administração</w:t>
      </w:r>
      <w:r>
        <w:rPr>
          <w:spacing w:val="40"/>
        </w:rPr>
        <w:t xml:space="preserve"> </w:t>
      </w:r>
      <w:r>
        <w:t>de</w:t>
      </w:r>
      <w:r>
        <w:rPr>
          <w:spacing w:val="31"/>
        </w:rPr>
        <w:t xml:space="preserve"> </w:t>
      </w:r>
      <w:r>
        <w:t>Participações</w:t>
      </w:r>
      <w:r>
        <w:rPr>
          <w:spacing w:val="40"/>
        </w:rPr>
        <w:t xml:space="preserve"> </w:t>
      </w:r>
      <w:r>
        <w:t>Societárias</w:t>
      </w:r>
      <w:r>
        <w:rPr>
          <w:spacing w:val="40"/>
        </w:rPr>
        <w:t xml:space="preserve"> </w:t>
      </w:r>
      <w:r>
        <w:t>da</w:t>
      </w:r>
      <w:r>
        <w:rPr>
          <w:spacing w:val="40"/>
        </w:rPr>
        <w:t xml:space="preserve"> </w:t>
      </w:r>
      <w:r>
        <w:t>União</w:t>
      </w:r>
      <w:r>
        <w:rPr>
          <w:spacing w:val="40"/>
        </w:rPr>
        <w:t xml:space="preserve"> </w:t>
      </w:r>
      <w:r>
        <w:t>–</w:t>
      </w:r>
      <w:r>
        <w:rPr>
          <w:spacing w:val="38"/>
        </w:rPr>
        <w:t xml:space="preserve"> </w:t>
      </w:r>
      <w:r>
        <w:t>CGPAR.</w:t>
      </w:r>
    </w:p>
    <w:p w14:paraId="230F0314" w14:textId="77777777" w:rsidR="002C6574" w:rsidRDefault="00000000">
      <w:pPr>
        <w:pStyle w:val="Corpodetexto"/>
        <w:spacing w:before="137" w:line="237" w:lineRule="auto"/>
        <w:ind w:left="143" w:right="706"/>
        <w:jc w:val="both"/>
      </w:pPr>
      <w:r>
        <w:t>A remuneração paga aos Colaboradores, Dirigentes e Conselheiros em 31 de dezembro de 2025 foi</w:t>
      </w:r>
      <w:r>
        <w:rPr>
          <w:spacing w:val="40"/>
          <w:w w:val="105"/>
        </w:rPr>
        <w:t xml:space="preserve"> </w:t>
      </w:r>
      <w:r>
        <w:rPr>
          <w:w w:val="105"/>
        </w:rPr>
        <w:t>a seguinte:</w:t>
      </w:r>
    </w:p>
    <w:p w14:paraId="11F5DC54" w14:textId="77777777" w:rsidR="002C6574" w:rsidRDefault="002C6574">
      <w:pPr>
        <w:pStyle w:val="Corpodetexto"/>
        <w:spacing w:before="2"/>
        <w:rPr>
          <w:sz w:val="18"/>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2"/>
        <w:gridCol w:w="1814"/>
        <w:gridCol w:w="1584"/>
      </w:tblGrid>
      <w:tr w:rsidR="002C6574" w14:paraId="00BA1855" w14:textId="77777777">
        <w:trPr>
          <w:trHeight w:val="232"/>
        </w:trPr>
        <w:tc>
          <w:tcPr>
            <w:tcW w:w="6372" w:type="dxa"/>
            <w:shd w:val="clear" w:color="auto" w:fill="BFBFBF"/>
          </w:tcPr>
          <w:p w14:paraId="20122FA0" w14:textId="77777777" w:rsidR="002C6574" w:rsidRDefault="00000000">
            <w:pPr>
              <w:pStyle w:val="TableParagraph"/>
              <w:spacing w:before="13" w:line="199" w:lineRule="exact"/>
              <w:ind w:left="119"/>
              <w:jc w:val="left"/>
              <w:rPr>
                <w:rFonts w:ascii="Arial" w:hAnsi="Arial"/>
                <w:b/>
                <w:sz w:val="18"/>
              </w:rPr>
            </w:pPr>
            <w:r>
              <w:rPr>
                <w:rFonts w:ascii="Arial" w:hAnsi="Arial"/>
                <w:b/>
                <w:spacing w:val="-2"/>
                <w:sz w:val="18"/>
              </w:rPr>
              <w:t>Remuneração:</w:t>
            </w:r>
          </w:p>
        </w:tc>
        <w:tc>
          <w:tcPr>
            <w:tcW w:w="1814" w:type="dxa"/>
            <w:shd w:val="clear" w:color="auto" w:fill="FDFDFB"/>
          </w:tcPr>
          <w:p w14:paraId="74B9CDEF" w14:textId="77777777" w:rsidR="002C6574" w:rsidRDefault="00000000">
            <w:pPr>
              <w:pStyle w:val="TableParagraph"/>
              <w:spacing w:before="13" w:line="199" w:lineRule="exact"/>
              <w:ind w:left="455"/>
              <w:jc w:val="left"/>
              <w:rPr>
                <w:rFonts w:ascii="Arial"/>
                <w:b/>
                <w:sz w:val="18"/>
              </w:rPr>
            </w:pPr>
            <w:r>
              <w:rPr>
                <w:rFonts w:ascii="Arial"/>
                <w:b/>
                <w:spacing w:val="-2"/>
                <w:sz w:val="18"/>
              </w:rPr>
              <w:t>31/12/2025</w:t>
            </w:r>
          </w:p>
        </w:tc>
        <w:tc>
          <w:tcPr>
            <w:tcW w:w="1584" w:type="dxa"/>
            <w:shd w:val="clear" w:color="auto" w:fill="FDFDFB"/>
          </w:tcPr>
          <w:p w14:paraId="171E4E9A" w14:textId="77777777" w:rsidR="002C6574" w:rsidRDefault="00000000">
            <w:pPr>
              <w:pStyle w:val="TableParagraph"/>
              <w:spacing w:before="13" w:line="199" w:lineRule="exact"/>
              <w:ind w:left="340"/>
              <w:jc w:val="left"/>
              <w:rPr>
                <w:rFonts w:ascii="Arial"/>
                <w:b/>
                <w:sz w:val="18"/>
              </w:rPr>
            </w:pPr>
            <w:r>
              <w:rPr>
                <w:rFonts w:ascii="Arial"/>
                <w:b/>
                <w:spacing w:val="-2"/>
                <w:sz w:val="18"/>
              </w:rPr>
              <w:t>31/12/2024</w:t>
            </w:r>
          </w:p>
        </w:tc>
      </w:tr>
      <w:tr w:rsidR="002C6574" w14:paraId="5CA11EBB" w14:textId="77777777">
        <w:trPr>
          <w:trHeight w:val="232"/>
        </w:trPr>
        <w:tc>
          <w:tcPr>
            <w:tcW w:w="6372" w:type="dxa"/>
            <w:shd w:val="clear" w:color="auto" w:fill="FDFDFB"/>
          </w:tcPr>
          <w:p w14:paraId="7E4412B2" w14:textId="77777777" w:rsidR="002C6574" w:rsidRDefault="00000000">
            <w:pPr>
              <w:pStyle w:val="TableParagraph"/>
              <w:spacing w:line="212" w:lineRule="exact"/>
              <w:ind w:left="69"/>
              <w:jc w:val="left"/>
              <w:rPr>
                <w:sz w:val="18"/>
              </w:rPr>
            </w:pPr>
            <w:r>
              <w:rPr>
                <w:sz w:val="18"/>
              </w:rPr>
              <w:t>Colaboradores</w:t>
            </w:r>
            <w:r>
              <w:rPr>
                <w:spacing w:val="-8"/>
                <w:sz w:val="18"/>
              </w:rPr>
              <w:t xml:space="preserve"> </w:t>
            </w:r>
            <w:r>
              <w:rPr>
                <w:sz w:val="18"/>
              </w:rPr>
              <w:t>-</w:t>
            </w:r>
            <w:r>
              <w:rPr>
                <w:spacing w:val="-7"/>
                <w:sz w:val="18"/>
              </w:rPr>
              <w:t xml:space="preserve"> </w:t>
            </w:r>
            <w:r>
              <w:rPr>
                <w:sz w:val="18"/>
              </w:rPr>
              <w:t>Maior</w:t>
            </w:r>
            <w:r>
              <w:rPr>
                <w:spacing w:val="-7"/>
                <w:sz w:val="18"/>
              </w:rPr>
              <w:t xml:space="preserve"> </w:t>
            </w:r>
            <w:r>
              <w:rPr>
                <w:spacing w:val="-2"/>
                <w:sz w:val="18"/>
              </w:rPr>
              <w:t>Remuneração</w:t>
            </w:r>
          </w:p>
        </w:tc>
        <w:tc>
          <w:tcPr>
            <w:tcW w:w="1814" w:type="dxa"/>
            <w:shd w:val="clear" w:color="auto" w:fill="FDFDFB"/>
          </w:tcPr>
          <w:p w14:paraId="148E421C" w14:textId="77777777" w:rsidR="002C6574" w:rsidRDefault="00000000">
            <w:pPr>
              <w:pStyle w:val="TableParagraph"/>
              <w:spacing w:line="212" w:lineRule="exact"/>
              <w:ind w:right="58"/>
              <w:rPr>
                <w:sz w:val="18"/>
              </w:rPr>
            </w:pPr>
            <w:r>
              <w:rPr>
                <w:spacing w:val="-2"/>
                <w:w w:val="105"/>
                <w:sz w:val="18"/>
              </w:rPr>
              <w:t>33.208</w:t>
            </w:r>
          </w:p>
        </w:tc>
        <w:tc>
          <w:tcPr>
            <w:tcW w:w="1584" w:type="dxa"/>
            <w:shd w:val="clear" w:color="auto" w:fill="FDFDFB"/>
          </w:tcPr>
          <w:p w14:paraId="308AEC89" w14:textId="77777777" w:rsidR="002C6574" w:rsidRDefault="00000000">
            <w:pPr>
              <w:pStyle w:val="TableParagraph"/>
              <w:spacing w:line="212" w:lineRule="exact"/>
              <w:ind w:right="55"/>
              <w:rPr>
                <w:sz w:val="18"/>
              </w:rPr>
            </w:pPr>
            <w:r>
              <w:rPr>
                <w:spacing w:val="-2"/>
                <w:w w:val="105"/>
                <w:sz w:val="18"/>
              </w:rPr>
              <w:t>31.775</w:t>
            </w:r>
          </w:p>
        </w:tc>
      </w:tr>
      <w:tr w:rsidR="002C6574" w14:paraId="17B3DD98" w14:textId="77777777">
        <w:trPr>
          <w:trHeight w:val="232"/>
        </w:trPr>
        <w:tc>
          <w:tcPr>
            <w:tcW w:w="6372" w:type="dxa"/>
            <w:shd w:val="clear" w:color="auto" w:fill="FDFDFB"/>
          </w:tcPr>
          <w:p w14:paraId="2C24D968" w14:textId="77777777" w:rsidR="002C6574" w:rsidRDefault="00000000">
            <w:pPr>
              <w:pStyle w:val="TableParagraph"/>
              <w:spacing w:line="212" w:lineRule="exact"/>
              <w:ind w:left="69"/>
              <w:jc w:val="left"/>
              <w:rPr>
                <w:sz w:val="18"/>
              </w:rPr>
            </w:pPr>
            <w:r>
              <w:rPr>
                <w:sz w:val="18"/>
              </w:rPr>
              <w:t>Colaboradores</w:t>
            </w:r>
            <w:r>
              <w:rPr>
                <w:spacing w:val="-8"/>
                <w:sz w:val="18"/>
              </w:rPr>
              <w:t xml:space="preserve"> </w:t>
            </w:r>
            <w:r>
              <w:rPr>
                <w:sz w:val="18"/>
              </w:rPr>
              <w:t>-</w:t>
            </w:r>
            <w:r>
              <w:rPr>
                <w:spacing w:val="-7"/>
                <w:sz w:val="18"/>
              </w:rPr>
              <w:t xml:space="preserve"> </w:t>
            </w:r>
            <w:r>
              <w:rPr>
                <w:sz w:val="18"/>
              </w:rPr>
              <w:t>Menor</w:t>
            </w:r>
            <w:r>
              <w:rPr>
                <w:spacing w:val="-7"/>
                <w:sz w:val="18"/>
              </w:rPr>
              <w:t xml:space="preserve"> </w:t>
            </w:r>
            <w:r>
              <w:rPr>
                <w:spacing w:val="-2"/>
                <w:sz w:val="18"/>
              </w:rPr>
              <w:t>Remuneração</w:t>
            </w:r>
          </w:p>
        </w:tc>
        <w:tc>
          <w:tcPr>
            <w:tcW w:w="1814" w:type="dxa"/>
            <w:shd w:val="clear" w:color="auto" w:fill="FDFDFB"/>
          </w:tcPr>
          <w:p w14:paraId="1CB52CB8" w14:textId="77777777" w:rsidR="002C6574" w:rsidRDefault="00000000">
            <w:pPr>
              <w:pStyle w:val="TableParagraph"/>
              <w:spacing w:line="212" w:lineRule="exact"/>
              <w:ind w:right="59"/>
              <w:rPr>
                <w:sz w:val="18"/>
              </w:rPr>
            </w:pPr>
            <w:r>
              <w:rPr>
                <w:spacing w:val="-2"/>
                <w:w w:val="110"/>
                <w:sz w:val="18"/>
              </w:rPr>
              <w:t>4.404</w:t>
            </w:r>
          </w:p>
        </w:tc>
        <w:tc>
          <w:tcPr>
            <w:tcW w:w="1584" w:type="dxa"/>
            <w:shd w:val="clear" w:color="auto" w:fill="FDFDFB"/>
          </w:tcPr>
          <w:p w14:paraId="6D8162B0" w14:textId="77777777" w:rsidR="002C6574" w:rsidRDefault="00000000">
            <w:pPr>
              <w:pStyle w:val="TableParagraph"/>
              <w:spacing w:line="212" w:lineRule="exact"/>
              <w:ind w:right="55"/>
              <w:rPr>
                <w:sz w:val="18"/>
              </w:rPr>
            </w:pPr>
            <w:r>
              <w:rPr>
                <w:spacing w:val="-2"/>
                <w:w w:val="110"/>
                <w:sz w:val="18"/>
              </w:rPr>
              <w:t>4.275</w:t>
            </w:r>
          </w:p>
        </w:tc>
      </w:tr>
      <w:tr w:rsidR="002C6574" w14:paraId="43A01AE8" w14:textId="77777777">
        <w:trPr>
          <w:trHeight w:val="232"/>
        </w:trPr>
        <w:tc>
          <w:tcPr>
            <w:tcW w:w="6372" w:type="dxa"/>
            <w:shd w:val="clear" w:color="auto" w:fill="FDFDFB"/>
          </w:tcPr>
          <w:p w14:paraId="6A48DA2C" w14:textId="77777777" w:rsidR="002C6574" w:rsidRDefault="00000000">
            <w:pPr>
              <w:pStyle w:val="TableParagraph"/>
              <w:spacing w:line="212" w:lineRule="exact"/>
              <w:ind w:left="69"/>
              <w:jc w:val="left"/>
              <w:rPr>
                <w:sz w:val="18"/>
              </w:rPr>
            </w:pPr>
            <w:r>
              <w:rPr>
                <w:sz w:val="18"/>
              </w:rPr>
              <w:t>Colaboradores</w:t>
            </w:r>
            <w:r>
              <w:rPr>
                <w:spacing w:val="9"/>
                <w:sz w:val="18"/>
              </w:rPr>
              <w:t xml:space="preserve"> </w:t>
            </w:r>
            <w:r>
              <w:rPr>
                <w:sz w:val="18"/>
              </w:rPr>
              <w:t>-</w:t>
            </w:r>
            <w:r>
              <w:rPr>
                <w:spacing w:val="10"/>
                <w:sz w:val="18"/>
              </w:rPr>
              <w:t xml:space="preserve"> </w:t>
            </w:r>
            <w:r>
              <w:rPr>
                <w:sz w:val="18"/>
              </w:rPr>
              <w:t>Remuneração</w:t>
            </w:r>
            <w:r>
              <w:rPr>
                <w:spacing w:val="10"/>
                <w:sz w:val="18"/>
              </w:rPr>
              <w:t xml:space="preserve"> </w:t>
            </w:r>
            <w:r>
              <w:rPr>
                <w:spacing w:val="-4"/>
                <w:sz w:val="18"/>
              </w:rPr>
              <w:t>Média</w:t>
            </w:r>
          </w:p>
        </w:tc>
        <w:tc>
          <w:tcPr>
            <w:tcW w:w="1814" w:type="dxa"/>
            <w:shd w:val="clear" w:color="auto" w:fill="FDFDFB"/>
          </w:tcPr>
          <w:p w14:paraId="07E6AE8B" w14:textId="77777777" w:rsidR="002C6574" w:rsidRDefault="00000000">
            <w:pPr>
              <w:pStyle w:val="TableParagraph"/>
              <w:spacing w:line="212" w:lineRule="exact"/>
              <w:ind w:right="58"/>
              <w:rPr>
                <w:sz w:val="18"/>
              </w:rPr>
            </w:pPr>
            <w:r>
              <w:rPr>
                <w:spacing w:val="-2"/>
                <w:w w:val="105"/>
                <w:sz w:val="18"/>
              </w:rPr>
              <w:t>15.669</w:t>
            </w:r>
          </w:p>
        </w:tc>
        <w:tc>
          <w:tcPr>
            <w:tcW w:w="1584" w:type="dxa"/>
            <w:shd w:val="clear" w:color="auto" w:fill="FDFDFB"/>
          </w:tcPr>
          <w:p w14:paraId="37C2B4D5" w14:textId="77777777" w:rsidR="002C6574" w:rsidRDefault="00000000">
            <w:pPr>
              <w:pStyle w:val="TableParagraph"/>
              <w:spacing w:line="212" w:lineRule="exact"/>
              <w:ind w:right="55"/>
              <w:rPr>
                <w:sz w:val="18"/>
              </w:rPr>
            </w:pPr>
            <w:r>
              <w:rPr>
                <w:spacing w:val="-2"/>
                <w:w w:val="105"/>
                <w:sz w:val="18"/>
              </w:rPr>
              <w:t>14.641</w:t>
            </w:r>
          </w:p>
        </w:tc>
      </w:tr>
      <w:tr w:rsidR="002C6574" w14:paraId="57B08DAE" w14:textId="77777777">
        <w:trPr>
          <w:trHeight w:val="232"/>
        </w:trPr>
        <w:tc>
          <w:tcPr>
            <w:tcW w:w="6372" w:type="dxa"/>
            <w:shd w:val="clear" w:color="auto" w:fill="FDFDFB"/>
          </w:tcPr>
          <w:p w14:paraId="703513B7" w14:textId="77777777" w:rsidR="002C6574" w:rsidRDefault="00000000">
            <w:pPr>
              <w:pStyle w:val="TableParagraph"/>
              <w:spacing w:line="212" w:lineRule="exact"/>
              <w:ind w:left="69"/>
              <w:jc w:val="left"/>
              <w:rPr>
                <w:sz w:val="18"/>
              </w:rPr>
            </w:pPr>
            <w:r>
              <w:rPr>
                <w:sz w:val="18"/>
              </w:rPr>
              <w:t>Dirigentes</w:t>
            </w:r>
            <w:r>
              <w:rPr>
                <w:spacing w:val="-12"/>
                <w:sz w:val="18"/>
              </w:rPr>
              <w:t xml:space="preserve"> </w:t>
            </w:r>
            <w:r>
              <w:rPr>
                <w:sz w:val="18"/>
              </w:rPr>
              <w:t>-</w:t>
            </w:r>
            <w:r>
              <w:rPr>
                <w:spacing w:val="-12"/>
                <w:sz w:val="18"/>
              </w:rPr>
              <w:t xml:space="preserve"> </w:t>
            </w:r>
            <w:r>
              <w:rPr>
                <w:sz w:val="18"/>
              </w:rPr>
              <w:t>Maior</w:t>
            </w:r>
            <w:r>
              <w:rPr>
                <w:spacing w:val="-11"/>
                <w:sz w:val="18"/>
              </w:rPr>
              <w:t xml:space="preserve"> </w:t>
            </w:r>
            <w:r>
              <w:rPr>
                <w:spacing w:val="-2"/>
                <w:sz w:val="18"/>
              </w:rPr>
              <w:t>Remuneração</w:t>
            </w:r>
          </w:p>
        </w:tc>
        <w:tc>
          <w:tcPr>
            <w:tcW w:w="1814" w:type="dxa"/>
            <w:shd w:val="clear" w:color="auto" w:fill="FDFDFB"/>
          </w:tcPr>
          <w:p w14:paraId="3F4240BA" w14:textId="77777777" w:rsidR="002C6574" w:rsidRDefault="00000000">
            <w:pPr>
              <w:pStyle w:val="TableParagraph"/>
              <w:spacing w:line="212" w:lineRule="exact"/>
              <w:ind w:right="59"/>
              <w:rPr>
                <w:sz w:val="18"/>
              </w:rPr>
            </w:pPr>
            <w:r>
              <w:rPr>
                <w:spacing w:val="-2"/>
                <w:w w:val="105"/>
                <w:sz w:val="18"/>
              </w:rPr>
              <w:t>44.276</w:t>
            </w:r>
          </w:p>
        </w:tc>
        <w:tc>
          <w:tcPr>
            <w:tcW w:w="1584" w:type="dxa"/>
            <w:shd w:val="clear" w:color="auto" w:fill="FDFDFB"/>
          </w:tcPr>
          <w:p w14:paraId="6BB9F31D" w14:textId="77777777" w:rsidR="002C6574" w:rsidRDefault="00000000">
            <w:pPr>
              <w:pStyle w:val="TableParagraph"/>
              <w:spacing w:line="212" w:lineRule="exact"/>
              <w:ind w:right="55"/>
              <w:rPr>
                <w:sz w:val="18"/>
              </w:rPr>
            </w:pPr>
            <w:r>
              <w:rPr>
                <w:spacing w:val="-2"/>
                <w:w w:val="105"/>
                <w:sz w:val="18"/>
              </w:rPr>
              <w:t>42.236</w:t>
            </w:r>
          </w:p>
        </w:tc>
      </w:tr>
      <w:tr w:rsidR="002C6574" w14:paraId="1F19A37A" w14:textId="77777777">
        <w:trPr>
          <w:trHeight w:val="230"/>
        </w:trPr>
        <w:tc>
          <w:tcPr>
            <w:tcW w:w="6372" w:type="dxa"/>
            <w:shd w:val="clear" w:color="auto" w:fill="FDFDFB"/>
          </w:tcPr>
          <w:p w14:paraId="2B3826A7" w14:textId="77777777" w:rsidR="002C6574" w:rsidRDefault="00000000">
            <w:pPr>
              <w:pStyle w:val="TableParagraph"/>
              <w:spacing w:line="210" w:lineRule="exact"/>
              <w:ind w:left="69"/>
              <w:jc w:val="left"/>
              <w:rPr>
                <w:sz w:val="18"/>
              </w:rPr>
            </w:pPr>
            <w:r>
              <w:rPr>
                <w:sz w:val="18"/>
              </w:rPr>
              <w:t>Dirigentes</w:t>
            </w:r>
            <w:r>
              <w:rPr>
                <w:spacing w:val="-13"/>
                <w:sz w:val="18"/>
              </w:rPr>
              <w:t xml:space="preserve"> </w:t>
            </w:r>
            <w:r>
              <w:rPr>
                <w:sz w:val="18"/>
              </w:rPr>
              <w:t>-</w:t>
            </w:r>
            <w:r>
              <w:rPr>
                <w:spacing w:val="-12"/>
                <w:sz w:val="18"/>
              </w:rPr>
              <w:t xml:space="preserve"> </w:t>
            </w:r>
            <w:r>
              <w:rPr>
                <w:sz w:val="18"/>
              </w:rPr>
              <w:t>Menor</w:t>
            </w:r>
            <w:r>
              <w:rPr>
                <w:spacing w:val="-11"/>
                <w:sz w:val="18"/>
              </w:rPr>
              <w:t xml:space="preserve"> </w:t>
            </w:r>
            <w:r>
              <w:rPr>
                <w:spacing w:val="-2"/>
                <w:sz w:val="18"/>
              </w:rPr>
              <w:t>Remuneração</w:t>
            </w:r>
          </w:p>
        </w:tc>
        <w:tc>
          <w:tcPr>
            <w:tcW w:w="1814" w:type="dxa"/>
            <w:shd w:val="clear" w:color="auto" w:fill="FDFDFB"/>
          </w:tcPr>
          <w:p w14:paraId="242F915D" w14:textId="77777777" w:rsidR="002C6574" w:rsidRDefault="00000000">
            <w:pPr>
              <w:pStyle w:val="TableParagraph"/>
              <w:spacing w:line="210" w:lineRule="exact"/>
              <w:ind w:right="59"/>
              <w:rPr>
                <w:sz w:val="18"/>
              </w:rPr>
            </w:pPr>
            <w:r>
              <w:rPr>
                <w:spacing w:val="-2"/>
                <w:w w:val="105"/>
                <w:sz w:val="18"/>
              </w:rPr>
              <w:t>40.251</w:t>
            </w:r>
          </w:p>
        </w:tc>
        <w:tc>
          <w:tcPr>
            <w:tcW w:w="1584" w:type="dxa"/>
            <w:shd w:val="clear" w:color="auto" w:fill="FDFDFB"/>
          </w:tcPr>
          <w:p w14:paraId="4FE85535" w14:textId="77777777" w:rsidR="002C6574" w:rsidRDefault="00000000">
            <w:pPr>
              <w:pStyle w:val="TableParagraph"/>
              <w:spacing w:line="210" w:lineRule="exact"/>
              <w:ind w:right="55"/>
              <w:rPr>
                <w:sz w:val="18"/>
              </w:rPr>
            </w:pPr>
            <w:r>
              <w:rPr>
                <w:spacing w:val="-2"/>
                <w:w w:val="105"/>
                <w:sz w:val="18"/>
              </w:rPr>
              <w:t>38.396</w:t>
            </w:r>
          </w:p>
        </w:tc>
      </w:tr>
      <w:tr w:rsidR="002C6574" w14:paraId="2D46B6DC" w14:textId="77777777">
        <w:trPr>
          <w:trHeight w:val="232"/>
        </w:trPr>
        <w:tc>
          <w:tcPr>
            <w:tcW w:w="6372" w:type="dxa"/>
            <w:shd w:val="clear" w:color="auto" w:fill="FDFDFB"/>
          </w:tcPr>
          <w:p w14:paraId="35A15544" w14:textId="77777777" w:rsidR="002C6574" w:rsidRDefault="00000000">
            <w:pPr>
              <w:pStyle w:val="TableParagraph"/>
              <w:spacing w:line="212" w:lineRule="exact"/>
              <w:ind w:left="69"/>
              <w:jc w:val="left"/>
              <w:rPr>
                <w:sz w:val="18"/>
              </w:rPr>
            </w:pPr>
            <w:r>
              <w:rPr>
                <w:sz w:val="18"/>
              </w:rPr>
              <w:t>Dirigentes</w:t>
            </w:r>
            <w:r>
              <w:rPr>
                <w:spacing w:val="5"/>
                <w:sz w:val="18"/>
              </w:rPr>
              <w:t xml:space="preserve"> </w:t>
            </w:r>
            <w:r>
              <w:rPr>
                <w:sz w:val="18"/>
              </w:rPr>
              <w:t>-</w:t>
            </w:r>
            <w:r>
              <w:rPr>
                <w:spacing w:val="6"/>
                <w:sz w:val="18"/>
              </w:rPr>
              <w:t xml:space="preserve"> </w:t>
            </w:r>
            <w:r>
              <w:rPr>
                <w:sz w:val="18"/>
              </w:rPr>
              <w:t>Remuneração</w:t>
            </w:r>
            <w:r>
              <w:rPr>
                <w:spacing w:val="6"/>
                <w:sz w:val="18"/>
              </w:rPr>
              <w:t xml:space="preserve"> </w:t>
            </w:r>
            <w:r>
              <w:rPr>
                <w:spacing w:val="-4"/>
                <w:sz w:val="18"/>
              </w:rPr>
              <w:t>Média</w:t>
            </w:r>
          </w:p>
        </w:tc>
        <w:tc>
          <w:tcPr>
            <w:tcW w:w="1814" w:type="dxa"/>
            <w:shd w:val="clear" w:color="auto" w:fill="FDFDFB"/>
          </w:tcPr>
          <w:p w14:paraId="0950D24C" w14:textId="77777777" w:rsidR="002C6574" w:rsidRDefault="00000000">
            <w:pPr>
              <w:pStyle w:val="TableParagraph"/>
              <w:spacing w:line="212" w:lineRule="exact"/>
              <w:ind w:right="59"/>
              <w:rPr>
                <w:sz w:val="18"/>
              </w:rPr>
            </w:pPr>
            <w:r>
              <w:rPr>
                <w:spacing w:val="-2"/>
                <w:w w:val="105"/>
                <w:sz w:val="18"/>
              </w:rPr>
              <w:t>41.257</w:t>
            </w:r>
          </w:p>
        </w:tc>
        <w:tc>
          <w:tcPr>
            <w:tcW w:w="1584" w:type="dxa"/>
            <w:shd w:val="clear" w:color="auto" w:fill="FDFDFB"/>
          </w:tcPr>
          <w:p w14:paraId="7CA050BF" w14:textId="77777777" w:rsidR="002C6574" w:rsidRDefault="00000000">
            <w:pPr>
              <w:pStyle w:val="TableParagraph"/>
              <w:spacing w:line="212" w:lineRule="exact"/>
              <w:ind w:right="55"/>
              <w:rPr>
                <w:sz w:val="18"/>
              </w:rPr>
            </w:pPr>
            <w:r>
              <w:rPr>
                <w:spacing w:val="-2"/>
                <w:w w:val="105"/>
                <w:sz w:val="18"/>
              </w:rPr>
              <w:t>39.164</w:t>
            </w:r>
          </w:p>
        </w:tc>
      </w:tr>
      <w:tr w:rsidR="002C6574" w14:paraId="710104C4" w14:textId="77777777">
        <w:trPr>
          <w:trHeight w:val="232"/>
        </w:trPr>
        <w:tc>
          <w:tcPr>
            <w:tcW w:w="6372" w:type="dxa"/>
            <w:shd w:val="clear" w:color="auto" w:fill="FDFDFB"/>
          </w:tcPr>
          <w:p w14:paraId="0CE1D8FC" w14:textId="77777777" w:rsidR="002C6574" w:rsidRDefault="00000000">
            <w:pPr>
              <w:pStyle w:val="TableParagraph"/>
              <w:spacing w:line="212" w:lineRule="exact"/>
              <w:ind w:left="69"/>
              <w:jc w:val="left"/>
              <w:rPr>
                <w:sz w:val="18"/>
              </w:rPr>
            </w:pPr>
            <w:r>
              <w:rPr>
                <w:sz w:val="18"/>
              </w:rPr>
              <w:t>Conselho</w:t>
            </w:r>
            <w:r>
              <w:rPr>
                <w:spacing w:val="-6"/>
                <w:sz w:val="18"/>
              </w:rPr>
              <w:t xml:space="preserve"> </w:t>
            </w:r>
            <w:r>
              <w:rPr>
                <w:sz w:val="18"/>
              </w:rPr>
              <w:t>de</w:t>
            </w:r>
            <w:r>
              <w:rPr>
                <w:spacing w:val="-3"/>
                <w:sz w:val="18"/>
              </w:rPr>
              <w:t xml:space="preserve"> </w:t>
            </w:r>
            <w:r>
              <w:rPr>
                <w:sz w:val="18"/>
              </w:rPr>
              <w:t>Administração</w:t>
            </w:r>
            <w:r>
              <w:rPr>
                <w:spacing w:val="-5"/>
                <w:sz w:val="18"/>
              </w:rPr>
              <w:t xml:space="preserve"> </w:t>
            </w:r>
            <w:r>
              <w:rPr>
                <w:sz w:val="18"/>
              </w:rPr>
              <w:t>-</w:t>
            </w:r>
            <w:r>
              <w:rPr>
                <w:spacing w:val="-7"/>
                <w:sz w:val="18"/>
              </w:rPr>
              <w:t xml:space="preserve"> </w:t>
            </w:r>
            <w:r>
              <w:rPr>
                <w:sz w:val="18"/>
              </w:rPr>
              <w:t>Maior</w:t>
            </w:r>
            <w:r>
              <w:rPr>
                <w:spacing w:val="-6"/>
                <w:sz w:val="18"/>
              </w:rPr>
              <w:t xml:space="preserve"> </w:t>
            </w:r>
            <w:r>
              <w:rPr>
                <w:spacing w:val="-2"/>
                <w:sz w:val="18"/>
              </w:rPr>
              <w:t>Remuneração</w:t>
            </w:r>
          </w:p>
        </w:tc>
        <w:tc>
          <w:tcPr>
            <w:tcW w:w="1814" w:type="dxa"/>
            <w:shd w:val="clear" w:color="auto" w:fill="FDFDFB"/>
          </w:tcPr>
          <w:p w14:paraId="4F4E04D3" w14:textId="77777777" w:rsidR="002C6574" w:rsidRDefault="00000000">
            <w:pPr>
              <w:pStyle w:val="TableParagraph"/>
              <w:spacing w:line="212" w:lineRule="exact"/>
              <w:ind w:right="55"/>
              <w:rPr>
                <w:sz w:val="18"/>
              </w:rPr>
            </w:pPr>
            <w:r>
              <w:rPr>
                <w:spacing w:val="-2"/>
                <w:w w:val="110"/>
                <w:sz w:val="18"/>
              </w:rPr>
              <w:t>4.448</w:t>
            </w:r>
          </w:p>
        </w:tc>
        <w:tc>
          <w:tcPr>
            <w:tcW w:w="1584" w:type="dxa"/>
            <w:shd w:val="clear" w:color="auto" w:fill="FDFDFB"/>
          </w:tcPr>
          <w:p w14:paraId="7F1C0537" w14:textId="77777777" w:rsidR="002C6574" w:rsidRDefault="00000000">
            <w:pPr>
              <w:pStyle w:val="TableParagraph"/>
              <w:spacing w:line="212" w:lineRule="exact"/>
              <w:ind w:right="55"/>
              <w:rPr>
                <w:sz w:val="18"/>
              </w:rPr>
            </w:pPr>
            <w:r>
              <w:rPr>
                <w:spacing w:val="-2"/>
                <w:w w:val="110"/>
                <w:sz w:val="18"/>
              </w:rPr>
              <w:t>4.243</w:t>
            </w:r>
          </w:p>
        </w:tc>
      </w:tr>
    </w:tbl>
    <w:p w14:paraId="4F20C1B9" w14:textId="77777777" w:rsidR="002C6574" w:rsidRDefault="002C6574">
      <w:pPr>
        <w:pStyle w:val="TableParagraph"/>
        <w:spacing w:line="212" w:lineRule="exact"/>
        <w:rPr>
          <w:sz w:val="18"/>
        </w:rPr>
        <w:sectPr w:rsidR="002C6574">
          <w:pgSz w:w="11910" w:h="16840"/>
          <w:pgMar w:top="1820" w:right="141" w:bottom="1320" w:left="1133" w:header="1084" w:footer="1100" w:gutter="0"/>
          <w:cols w:space="720"/>
        </w:sectPr>
      </w:pPr>
    </w:p>
    <w:p w14:paraId="36B4AD0D" w14:textId="77777777" w:rsidR="002C6574" w:rsidRDefault="002C6574">
      <w:pPr>
        <w:pStyle w:val="Corpodetexto"/>
        <w:spacing w:before="3"/>
        <w:rPr>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2"/>
        <w:gridCol w:w="1814"/>
        <w:gridCol w:w="1584"/>
      </w:tblGrid>
      <w:tr w:rsidR="002C6574" w14:paraId="1B0B35BD" w14:textId="77777777">
        <w:trPr>
          <w:trHeight w:val="232"/>
        </w:trPr>
        <w:tc>
          <w:tcPr>
            <w:tcW w:w="6372" w:type="dxa"/>
            <w:shd w:val="clear" w:color="auto" w:fill="BFBFBF"/>
          </w:tcPr>
          <w:p w14:paraId="4C5F9334" w14:textId="77777777" w:rsidR="002C6574" w:rsidRDefault="00000000">
            <w:pPr>
              <w:pStyle w:val="TableParagraph"/>
              <w:spacing w:before="11" w:line="201" w:lineRule="exact"/>
              <w:ind w:left="119"/>
              <w:jc w:val="left"/>
              <w:rPr>
                <w:rFonts w:ascii="Arial" w:hAnsi="Arial"/>
                <w:b/>
                <w:sz w:val="18"/>
              </w:rPr>
            </w:pPr>
            <w:r>
              <w:rPr>
                <w:rFonts w:ascii="Arial" w:hAnsi="Arial"/>
                <w:b/>
                <w:spacing w:val="-2"/>
                <w:sz w:val="18"/>
              </w:rPr>
              <w:t>Remuneração:</w:t>
            </w:r>
          </w:p>
        </w:tc>
        <w:tc>
          <w:tcPr>
            <w:tcW w:w="1814" w:type="dxa"/>
            <w:shd w:val="clear" w:color="auto" w:fill="FDFDFB"/>
          </w:tcPr>
          <w:p w14:paraId="099F16AC" w14:textId="77777777" w:rsidR="002C6574" w:rsidRDefault="00000000">
            <w:pPr>
              <w:pStyle w:val="TableParagraph"/>
              <w:spacing w:before="11" w:line="201" w:lineRule="exact"/>
              <w:ind w:left="455"/>
              <w:jc w:val="left"/>
              <w:rPr>
                <w:rFonts w:ascii="Arial"/>
                <w:b/>
                <w:sz w:val="18"/>
              </w:rPr>
            </w:pPr>
            <w:r>
              <w:rPr>
                <w:rFonts w:ascii="Arial"/>
                <w:b/>
                <w:spacing w:val="-2"/>
                <w:sz w:val="18"/>
              </w:rPr>
              <w:t>31/12/2025</w:t>
            </w:r>
          </w:p>
        </w:tc>
        <w:tc>
          <w:tcPr>
            <w:tcW w:w="1584" w:type="dxa"/>
            <w:shd w:val="clear" w:color="auto" w:fill="FDFDFB"/>
          </w:tcPr>
          <w:p w14:paraId="373583BA" w14:textId="77777777" w:rsidR="002C6574" w:rsidRDefault="00000000">
            <w:pPr>
              <w:pStyle w:val="TableParagraph"/>
              <w:spacing w:before="11" w:line="201" w:lineRule="exact"/>
              <w:ind w:left="340"/>
              <w:jc w:val="left"/>
              <w:rPr>
                <w:rFonts w:ascii="Arial"/>
                <w:b/>
                <w:sz w:val="18"/>
              </w:rPr>
            </w:pPr>
            <w:r>
              <w:rPr>
                <w:rFonts w:ascii="Arial"/>
                <w:b/>
                <w:spacing w:val="-2"/>
                <w:sz w:val="18"/>
              </w:rPr>
              <w:t>31/12/2024</w:t>
            </w:r>
          </w:p>
        </w:tc>
      </w:tr>
      <w:tr w:rsidR="002C6574" w14:paraId="23DFB40F" w14:textId="77777777">
        <w:trPr>
          <w:trHeight w:val="230"/>
        </w:trPr>
        <w:tc>
          <w:tcPr>
            <w:tcW w:w="6372" w:type="dxa"/>
            <w:shd w:val="clear" w:color="auto" w:fill="FDFDFB"/>
          </w:tcPr>
          <w:p w14:paraId="18194BDC" w14:textId="77777777" w:rsidR="002C6574" w:rsidRDefault="00000000">
            <w:pPr>
              <w:pStyle w:val="TableParagraph"/>
              <w:spacing w:line="210" w:lineRule="exact"/>
              <w:ind w:left="69"/>
              <w:jc w:val="left"/>
              <w:rPr>
                <w:sz w:val="18"/>
              </w:rPr>
            </w:pPr>
            <w:r>
              <w:rPr>
                <w:sz w:val="18"/>
              </w:rPr>
              <w:t>Conselho</w:t>
            </w:r>
            <w:r>
              <w:rPr>
                <w:spacing w:val="-6"/>
                <w:sz w:val="18"/>
              </w:rPr>
              <w:t xml:space="preserve"> </w:t>
            </w:r>
            <w:r>
              <w:rPr>
                <w:sz w:val="18"/>
              </w:rPr>
              <w:t>de</w:t>
            </w:r>
            <w:r>
              <w:rPr>
                <w:spacing w:val="-3"/>
                <w:sz w:val="18"/>
              </w:rPr>
              <w:t xml:space="preserve"> </w:t>
            </w:r>
            <w:r>
              <w:rPr>
                <w:sz w:val="18"/>
              </w:rPr>
              <w:t>Administração</w:t>
            </w:r>
            <w:r>
              <w:rPr>
                <w:spacing w:val="-5"/>
                <w:sz w:val="18"/>
              </w:rPr>
              <w:t xml:space="preserve"> </w:t>
            </w:r>
            <w:r>
              <w:rPr>
                <w:sz w:val="18"/>
              </w:rPr>
              <w:t>-</w:t>
            </w:r>
            <w:r>
              <w:rPr>
                <w:spacing w:val="-7"/>
                <w:sz w:val="18"/>
              </w:rPr>
              <w:t xml:space="preserve"> </w:t>
            </w:r>
            <w:r>
              <w:rPr>
                <w:sz w:val="18"/>
              </w:rPr>
              <w:t>Menor</w:t>
            </w:r>
            <w:r>
              <w:rPr>
                <w:spacing w:val="-6"/>
                <w:sz w:val="18"/>
              </w:rPr>
              <w:t xml:space="preserve"> </w:t>
            </w:r>
            <w:r>
              <w:rPr>
                <w:spacing w:val="-2"/>
                <w:sz w:val="18"/>
              </w:rPr>
              <w:t>Remuneração</w:t>
            </w:r>
          </w:p>
        </w:tc>
        <w:tc>
          <w:tcPr>
            <w:tcW w:w="1814" w:type="dxa"/>
            <w:shd w:val="clear" w:color="auto" w:fill="FDFDFB"/>
          </w:tcPr>
          <w:p w14:paraId="1D7FF33E" w14:textId="77777777" w:rsidR="002C6574" w:rsidRDefault="00000000">
            <w:pPr>
              <w:pStyle w:val="TableParagraph"/>
              <w:spacing w:line="210" w:lineRule="exact"/>
              <w:ind w:right="55"/>
              <w:rPr>
                <w:sz w:val="18"/>
              </w:rPr>
            </w:pPr>
            <w:r>
              <w:rPr>
                <w:spacing w:val="-2"/>
                <w:w w:val="110"/>
                <w:sz w:val="18"/>
              </w:rPr>
              <w:t>4.448</w:t>
            </w:r>
          </w:p>
        </w:tc>
        <w:tc>
          <w:tcPr>
            <w:tcW w:w="1584" w:type="dxa"/>
            <w:shd w:val="clear" w:color="auto" w:fill="FDFDFB"/>
          </w:tcPr>
          <w:p w14:paraId="50A34D77" w14:textId="77777777" w:rsidR="002C6574" w:rsidRDefault="00000000">
            <w:pPr>
              <w:pStyle w:val="TableParagraph"/>
              <w:spacing w:line="210" w:lineRule="exact"/>
              <w:ind w:right="55"/>
              <w:rPr>
                <w:sz w:val="18"/>
              </w:rPr>
            </w:pPr>
            <w:r>
              <w:rPr>
                <w:spacing w:val="-2"/>
                <w:w w:val="110"/>
                <w:sz w:val="18"/>
              </w:rPr>
              <w:t>4.243</w:t>
            </w:r>
          </w:p>
        </w:tc>
      </w:tr>
      <w:tr w:rsidR="002C6574" w14:paraId="46525E6F" w14:textId="77777777">
        <w:trPr>
          <w:trHeight w:val="232"/>
        </w:trPr>
        <w:tc>
          <w:tcPr>
            <w:tcW w:w="6372" w:type="dxa"/>
            <w:shd w:val="clear" w:color="auto" w:fill="FDFDFB"/>
          </w:tcPr>
          <w:p w14:paraId="580B7785" w14:textId="77777777" w:rsidR="002C6574" w:rsidRDefault="00000000">
            <w:pPr>
              <w:pStyle w:val="TableParagraph"/>
              <w:spacing w:line="212" w:lineRule="exact"/>
              <w:ind w:left="69"/>
              <w:jc w:val="left"/>
              <w:rPr>
                <w:sz w:val="18"/>
              </w:rPr>
            </w:pPr>
            <w:r>
              <w:rPr>
                <w:sz w:val="18"/>
              </w:rPr>
              <w:t>Conselho</w:t>
            </w:r>
            <w:r>
              <w:rPr>
                <w:spacing w:val="4"/>
                <w:sz w:val="18"/>
              </w:rPr>
              <w:t xml:space="preserve"> </w:t>
            </w:r>
            <w:r>
              <w:rPr>
                <w:sz w:val="18"/>
              </w:rPr>
              <w:t>de</w:t>
            </w:r>
            <w:r>
              <w:rPr>
                <w:spacing w:val="8"/>
                <w:sz w:val="18"/>
              </w:rPr>
              <w:t xml:space="preserve"> </w:t>
            </w:r>
            <w:r>
              <w:rPr>
                <w:sz w:val="18"/>
              </w:rPr>
              <w:t>Administração</w:t>
            </w:r>
            <w:r>
              <w:rPr>
                <w:spacing w:val="6"/>
                <w:sz w:val="18"/>
              </w:rPr>
              <w:t xml:space="preserve"> </w:t>
            </w:r>
            <w:r>
              <w:rPr>
                <w:sz w:val="18"/>
              </w:rPr>
              <w:t>-</w:t>
            </w:r>
            <w:r>
              <w:rPr>
                <w:spacing w:val="4"/>
                <w:sz w:val="18"/>
              </w:rPr>
              <w:t xml:space="preserve"> </w:t>
            </w:r>
            <w:r>
              <w:rPr>
                <w:sz w:val="18"/>
              </w:rPr>
              <w:t>Remuneração</w:t>
            </w:r>
            <w:r>
              <w:rPr>
                <w:spacing w:val="5"/>
                <w:sz w:val="18"/>
              </w:rPr>
              <w:t xml:space="preserve"> </w:t>
            </w:r>
            <w:r>
              <w:rPr>
                <w:spacing w:val="-4"/>
                <w:sz w:val="18"/>
              </w:rPr>
              <w:t>Média</w:t>
            </w:r>
          </w:p>
        </w:tc>
        <w:tc>
          <w:tcPr>
            <w:tcW w:w="1814" w:type="dxa"/>
            <w:shd w:val="clear" w:color="auto" w:fill="FDFDFB"/>
          </w:tcPr>
          <w:p w14:paraId="4AF4FB83" w14:textId="77777777" w:rsidR="002C6574" w:rsidRDefault="00000000">
            <w:pPr>
              <w:pStyle w:val="TableParagraph"/>
              <w:spacing w:line="212" w:lineRule="exact"/>
              <w:ind w:right="55"/>
              <w:rPr>
                <w:sz w:val="18"/>
              </w:rPr>
            </w:pPr>
            <w:r>
              <w:rPr>
                <w:spacing w:val="-2"/>
                <w:w w:val="110"/>
                <w:sz w:val="18"/>
              </w:rPr>
              <w:t>4.448</w:t>
            </w:r>
          </w:p>
        </w:tc>
        <w:tc>
          <w:tcPr>
            <w:tcW w:w="1584" w:type="dxa"/>
            <w:shd w:val="clear" w:color="auto" w:fill="FDFDFB"/>
          </w:tcPr>
          <w:p w14:paraId="3361B465" w14:textId="77777777" w:rsidR="002C6574" w:rsidRDefault="00000000">
            <w:pPr>
              <w:pStyle w:val="TableParagraph"/>
              <w:spacing w:line="212" w:lineRule="exact"/>
              <w:ind w:right="55"/>
              <w:rPr>
                <w:sz w:val="18"/>
              </w:rPr>
            </w:pPr>
            <w:r>
              <w:rPr>
                <w:spacing w:val="-2"/>
                <w:w w:val="110"/>
                <w:sz w:val="18"/>
              </w:rPr>
              <w:t>4.243</w:t>
            </w:r>
          </w:p>
        </w:tc>
      </w:tr>
      <w:tr w:rsidR="002C6574" w14:paraId="09D44767" w14:textId="77777777">
        <w:trPr>
          <w:trHeight w:val="232"/>
        </w:trPr>
        <w:tc>
          <w:tcPr>
            <w:tcW w:w="6372" w:type="dxa"/>
            <w:shd w:val="clear" w:color="auto" w:fill="FDFDFB"/>
          </w:tcPr>
          <w:p w14:paraId="60FD96B3" w14:textId="77777777" w:rsidR="002C6574" w:rsidRDefault="00000000">
            <w:pPr>
              <w:pStyle w:val="TableParagraph"/>
              <w:spacing w:line="212" w:lineRule="exact"/>
              <w:ind w:left="69"/>
              <w:jc w:val="left"/>
              <w:rPr>
                <w:sz w:val="18"/>
              </w:rPr>
            </w:pPr>
            <w:r>
              <w:rPr>
                <w:sz w:val="18"/>
              </w:rPr>
              <w:t>Conselho</w:t>
            </w:r>
            <w:r>
              <w:rPr>
                <w:spacing w:val="6"/>
                <w:sz w:val="18"/>
              </w:rPr>
              <w:t xml:space="preserve"> </w:t>
            </w:r>
            <w:r>
              <w:rPr>
                <w:sz w:val="18"/>
              </w:rPr>
              <w:t>Fiscal</w:t>
            </w:r>
            <w:r>
              <w:rPr>
                <w:spacing w:val="5"/>
                <w:sz w:val="18"/>
              </w:rPr>
              <w:t xml:space="preserve"> </w:t>
            </w:r>
            <w:r>
              <w:rPr>
                <w:sz w:val="18"/>
              </w:rPr>
              <w:t>-</w:t>
            </w:r>
            <w:r>
              <w:rPr>
                <w:spacing w:val="8"/>
                <w:sz w:val="18"/>
              </w:rPr>
              <w:t xml:space="preserve"> </w:t>
            </w:r>
            <w:r>
              <w:rPr>
                <w:sz w:val="18"/>
              </w:rPr>
              <w:t>Maior</w:t>
            </w:r>
            <w:r>
              <w:rPr>
                <w:spacing w:val="7"/>
                <w:sz w:val="18"/>
              </w:rPr>
              <w:t xml:space="preserve"> </w:t>
            </w:r>
            <w:r>
              <w:rPr>
                <w:spacing w:val="-2"/>
                <w:sz w:val="18"/>
              </w:rPr>
              <w:t>Remuneração</w:t>
            </w:r>
          </w:p>
        </w:tc>
        <w:tc>
          <w:tcPr>
            <w:tcW w:w="1814" w:type="dxa"/>
            <w:shd w:val="clear" w:color="auto" w:fill="FDFDFB"/>
          </w:tcPr>
          <w:p w14:paraId="7B8B2AB7" w14:textId="77777777" w:rsidR="002C6574" w:rsidRDefault="00000000">
            <w:pPr>
              <w:pStyle w:val="TableParagraph"/>
              <w:spacing w:line="212" w:lineRule="exact"/>
              <w:ind w:right="55"/>
              <w:rPr>
                <w:sz w:val="18"/>
              </w:rPr>
            </w:pPr>
            <w:r>
              <w:rPr>
                <w:spacing w:val="-2"/>
                <w:w w:val="110"/>
                <w:sz w:val="18"/>
              </w:rPr>
              <w:t>4.448</w:t>
            </w:r>
          </w:p>
        </w:tc>
        <w:tc>
          <w:tcPr>
            <w:tcW w:w="1584" w:type="dxa"/>
            <w:shd w:val="clear" w:color="auto" w:fill="FDFDFB"/>
          </w:tcPr>
          <w:p w14:paraId="24F29895" w14:textId="77777777" w:rsidR="002C6574" w:rsidRDefault="00000000">
            <w:pPr>
              <w:pStyle w:val="TableParagraph"/>
              <w:spacing w:line="212" w:lineRule="exact"/>
              <w:ind w:right="55"/>
              <w:rPr>
                <w:sz w:val="18"/>
              </w:rPr>
            </w:pPr>
            <w:r>
              <w:rPr>
                <w:spacing w:val="-2"/>
                <w:w w:val="110"/>
                <w:sz w:val="18"/>
              </w:rPr>
              <w:t>4.243</w:t>
            </w:r>
          </w:p>
        </w:tc>
      </w:tr>
      <w:tr w:rsidR="002C6574" w14:paraId="066B179F" w14:textId="77777777">
        <w:trPr>
          <w:trHeight w:val="232"/>
        </w:trPr>
        <w:tc>
          <w:tcPr>
            <w:tcW w:w="6372" w:type="dxa"/>
            <w:shd w:val="clear" w:color="auto" w:fill="FDFDFB"/>
          </w:tcPr>
          <w:p w14:paraId="2FC3E188" w14:textId="77777777" w:rsidR="002C6574" w:rsidRDefault="00000000">
            <w:pPr>
              <w:pStyle w:val="TableParagraph"/>
              <w:spacing w:line="212" w:lineRule="exact"/>
              <w:ind w:left="69"/>
              <w:jc w:val="left"/>
              <w:rPr>
                <w:sz w:val="18"/>
              </w:rPr>
            </w:pPr>
            <w:r>
              <w:rPr>
                <w:sz w:val="18"/>
              </w:rPr>
              <w:t>Conselho</w:t>
            </w:r>
            <w:r>
              <w:rPr>
                <w:spacing w:val="6"/>
                <w:sz w:val="18"/>
              </w:rPr>
              <w:t xml:space="preserve"> </w:t>
            </w:r>
            <w:r>
              <w:rPr>
                <w:sz w:val="18"/>
              </w:rPr>
              <w:t>Fiscal</w:t>
            </w:r>
            <w:r>
              <w:rPr>
                <w:spacing w:val="5"/>
                <w:sz w:val="18"/>
              </w:rPr>
              <w:t xml:space="preserve"> </w:t>
            </w:r>
            <w:r>
              <w:rPr>
                <w:sz w:val="18"/>
              </w:rPr>
              <w:t>-</w:t>
            </w:r>
            <w:r>
              <w:rPr>
                <w:spacing w:val="8"/>
                <w:sz w:val="18"/>
              </w:rPr>
              <w:t xml:space="preserve"> </w:t>
            </w:r>
            <w:r>
              <w:rPr>
                <w:sz w:val="18"/>
              </w:rPr>
              <w:t>Menor</w:t>
            </w:r>
            <w:r>
              <w:rPr>
                <w:spacing w:val="6"/>
                <w:sz w:val="18"/>
              </w:rPr>
              <w:t xml:space="preserve"> </w:t>
            </w:r>
            <w:r>
              <w:rPr>
                <w:spacing w:val="-2"/>
                <w:sz w:val="18"/>
              </w:rPr>
              <w:t>Remuneração</w:t>
            </w:r>
          </w:p>
        </w:tc>
        <w:tc>
          <w:tcPr>
            <w:tcW w:w="1814" w:type="dxa"/>
            <w:shd w:val="clear" w:color="auto" w:fill="FDFDFB"/>
          </w:tcPr>
          <w:p w14:paraId="08AFF135" w14:textId="77777777" w:rsidR="002C6574" w:rsidRDefault="00000000">
            <w:pPr>
              <w:pStyle w:val="TableParagraph"/>
              <w:spacing w:line="212" w:lineRule="exact"/>
              <w:ind w:right="55"/>
              <w:rPr>
                <w:sz w:val="18"/>
              </w:rPr>
            </w:pPr>
            <w:r>
              <w:rPr>
                <w:spacing w:val="-2"/>
                <w:w w:val="110"/>
                <w:sz w:val="18"/>
              </w:rPr>
              <w:t>4.448</w:t>
            </w:r>
          </w:p>
        </w:tc>
        <w:tc>
          <w:tcPr>
            <w:tcW w:w="1584" w:type="dxa"/>
            <w:shd w:val="clear" w:color="auto" w:fill="FDFDFB"/>
          </w:tcPr>
          <w:p w14:paraId="60C526B7" w14:textId="77777777" w:rsidR="002C6574" w:rsidRDefault="00000000">
            <w:pPr>
              <w:pStyle w:val="TableParagraph"/>
              <w:spacing w:line="212" w:lineRule="exact"/>
              <w:ind w:right="55"/>
              <w:rPr>
                <w:sz w:val="18"/>
              </w:rPr>
            </w:pPr>
            <w:r>
              <w:rPr>
                <w:spacing w:val="-2"/>
                <w:w w:val="110"/>
                <w:sz w:val="18"/>
              </w:rPr>
              <w:t>4.243</w:t>
            </w:r>
          </w:p>
        </w:tc>
      </w:tr>
      <w:tr w:rsidR="002C6574" w14:paraId="79D1E7E0" w14:textId="77777777">
        <w:trPr>
          <w:trHeight w:val="232"/>
        </w:trPr>
        <w:tc>
          <w:tcPr>
            <w:tcW w:w="6372" w:type="dxa"/>
            <w:shd w:val="clear" w:color="auto" w:fill="FDFDFB"/>
          </w:tcPr>
          <w:p w14:paraId="5575D9C5" w14:textId="77777777" w:rsidR="002C6574" w:rsidRDefault="00000000">
            <w:pPr>
              <w:pStyle w:val="TableParagraph"/>
              <w:spacing w:line="212" w:lineRule="exact"/>
              <w:ind w:left="69"/>
              <w:jc w:val="left"/>
              <w:rPr>
                <w:sz w:val="18"/>
              </w:rPr>
            </w:pPr>
            <w:r>
              <w:rPr>
                <w:sz w:val="18"/>
              </w:rPr>
              <w:t>Conselho</w:t>
            </w:r>
            <w:r>
              <w:rPr>
                <w:spacing w:val="19"/>
                <w:sz w:val="18"/>
              </w:rPr>
              <w:t xml:space="preserve"> </w:t>
            </w:r>
            <w:r>
              <w:rPr>
                <w:sz w:val="18"/>
              </w:rPr>
              <w:t>Fiscal</w:t>
            </w:r>
            <w:r>
              <w:rPr>
                <w:spacing w:val="18"/>
                <w:sz w:val="18"/>
              </w:rPr>
              <w:t xml:space="preserve"> </w:t>
            </w:r>
            <w:r>
              <w:rPr>
                <w:sz w:val="18"/>
              </w:rPr>
              <w:t>-</w:t>
            </w:r>
            <w:r>
              <w:rPr>
                <w:spacing w:val="21"/>
                <w:sz w:val="18"/>
              </w:rPr>
              <w:t xml:space="preserve"> </w:t>
            </w:r>
            <w:r>
              <w:rPr>
                <w:sz w:val="18"/>
              </w:rPr>
              <w:t>Remuneração</w:t>
            </w:r>
            <w:r>
              <w:rPr>
                <w:spacing w:val="19"/>
                <w:sz w:val="18"/>
              </w:rPr>
              <w:t xml:space="preserve"> </w:t>
            </w:r>
            <w:r>
              <w:rPr>
                <w:spacing w:val="-4"/>
                <w:sz w:val="18"/>
              </w:rPr>
              <w:t>Média</w:t>
            </w:r>
          </w:p>
        </w:tc>
        <w:tc>
          <w:tcPr>
            <w:tcW w:w="1814" w:type="dxa"/>
            <w:shd w:val="clear" w:color="auto" w:fill="FDFDFB"/>
          </w:tcPr>
          <w:p w14:paraId="25303E73" w14:textId="77777777" w:rsidR="002C6574" w:rsidRDefault="00000000">
            <w:pPr>
              <w:pStyle w:val="TableParagraph"/>
              <w:spacing w:line="212" w:lineRule="exact"/>
              <w:ind w:right="55"/>
              <w:rPr>
                <w:sz w:val="18"/>
              </w:rPr>
            </w:pPr>
            <w:r>
              <w:rPr>
                <w:spacing w:val="-2"/>
                <w:w w:val="110"/>
                <w:sz w:val="18"/>
              </w:rPr>
              <w:t>4.448</w:t>
            </w:r>
          </w:p>
        </w:tc>
        <w:tc>
          <w:tcPr>
            <w:tcW w:w="1584" w:type="dxa"/>
            <w:shd w:val="clear" w:color="auto" w:fill="FDFDFB"/>
          </w:tcPr>
          <w:p w14:paraId="46D87A20" w14:textId="77777777" w:rsidR="002C6574" w:rsidRDefault="00000000">
            <w:pPr>
              <w:pStyle w:val="TableParagraph"/>
              <w:spacing w:line="212" w:lineRule="exact"/>
              <w:ind w:right="55"/>
              <w:rPr>
                <w:sz w:val="18"/>
              </w:rPr>
            </w:pPr>
            <w:r>
              <w:rPr>
                <w:spacing w:val="-2"/>
                <w:w w:val="110"/>
                <w:sz w:val="18"/>
              </w:rPr>
              <w:t>4.243</w:t>
            </w:r>
          </w:p>
        </w:tc>
      </w:tr>
      <w:tr w:rsidR="002C6574" w14:paraId="5B8E0EE1" w14:textId="77777777">
        <w:trPr>
          <w:trHeight w:val="232"/>
        </w:trPr>
        <w:tc>
          <w:tcPr>
            <w:tcW w:w="6372" w:type="dxa"/>
            <w:shd w:val="clear" w:color="auto" w:fill="FDFDFB"/>
          </w:tcPr>
          <w:p w14:paraId="04B97CCE" w14:textId="77777777" w:rsidR="002C6574" w:rsidRDefault="00000000">
            <w:pPr>
              <w:pStyle w:val="TableParagraph"/>
              <w:spacing w:line="212" w:lineRule="exact"/>
              <w:ind w:left="69"/>
              <w:jc w:val="left"/>
              <w:rPr>
                <w:sz w:val="18"/>
              </w:rPr>
            </w:pPr>
            <w:r>
              <w:rPr>
                <w:spacing w:val="-2"/>
                <w:sz w:val="18"/>
              </w:rPr>
              <w:t>Comitê</w:t>
            </w:r>
            <w:r>
              <w:rPr>
                <w:spacing w:val="-5"/>
                <w:sz w:val="18"/>
              </w:rPr>
              <w:t xml:space="preserve"> </w:t>
            </w:r>
            <w:r>
              <w:rPr>
                <w:spacing w:val="-2"/>
                <w:sz w:val="18"/>
              </w:rPr>
              <w:t>de</w:t>
            </w:r>
            <w:r>
              <w:rPr>
                <w:spacing w:val="-1"/>
                <w:sz w:val="18"/>
              </w:rPr>
              <w:t xml:space="preserve"> </w:t>
            </w:r>
            <w:r>
              <w:rPr>
                <w:spacing w:val="-2"/>
                <w:sz w:val="18"/>
              </w:rPr>
              <w:t>Auditoria</w:t>
            </w:r>
            <w:r>
              <w:rPr>
                <w:spacing w:val="-3"/>
                <w:sz w:val="18"/>
              </w:rPr>
              <w:t xml:space="preserve"> </w:t>
            </w:r>
            <w:r>
              <w:rPr>
                <w:spacing w:val="-2"/>
                <w:sz w:val="18"/>
              </w:rPr>
              <w:t>-</w:t>
            </w:r>
            <w:r>
              <w:rPr>
                <w:spacing w:val="-5"/>
                <w:sz w:val="18"/>
              </w:rPr>
              <w:t xml:space="preserve"> </w:t>
            </w:r>
            <w:r>
              <w:rPr>
                <w:spacing w:val="-2"/>
                <w:sz w:val="18"/>
              </w:rPr>
              <w:t>Maior</w:t>
            </w:r>
            <w:r>
              <w:rPr>
                <w:spacing w:val="-4"/>
                <w:sz w:val="18"/>
              </w:rPr>
              <w:t xml:space="preserve"> </w:t>
            </w:r>
            <w:r>
              <w:rPr>
                <w:spacing w:val="-2"/>
                <w:sz w:val="18"/>
              </w:rPr>
              <w:t>Remuneração</w:t>
            </w:r>
          </w:p>
        </w:tc>
        <w:tc>
          <w:tcPr>
            <w:tcW w:w="1814" w:type="dxa"/>
            <w:shd w:val="clear" w:color="auto" w:fill="FDFDFB"/>
          </w:tcPr>
          <w:p w14:paraId="5AF5AB33" w14:textId="77777777" w:rsidR="002C6574" w:rsidRDefault="00000000">
            <w:pPr>
              <w:pStyle w:val="TableParagraph"/>
              <w:spacing w:line="212" w:lineRule="exact"/>
              <w:ind w:right="55"/>
              <w:rPr>
                <w:sz w:val="18"/>
              </w:rPr>
            </w:pPr>
            <w:r>
              <w:rPr>
                <w:spacing w:val="-2"/>
                <w:w w:val="110"/>
                <w:sz w:val="18"/>
              </w:rPr>
              <w:t>4.448</w:t>
            </w:r>
          </w:p>
        </w:tc>
        <w:tc>
          <w:tcPr>
            <w:tcW w:w="1584" w:type="dxa"/>
            <w:shd w:val="clear" w:color="auto" w:fill="FDFDFB"/>
          </w:tcPr>
          <w:p w14:paraId="1DB59E7E" w14:textId="77777777" w:rsidR="002C6574" w:rsidRDefault="00000000">
            <w:pPr>
              <w:pStyle w:val="TableParagraph"/>
              <w:spacing w:line="212" w:lineRule="exact"/>
              <w:ind w:right="55"/>
              <w:rPr>
                <w:sz w:val="18"/>
              </w:rPr>
            </w:pPr>
            <w:r>
              <w:rPr>
                <w:spacing w:val="-2"/>
                <w:w w:val="110"/>
                <w:sz w:val="18"/>
              </w:rPr>
              <w:t>4.243</w:t>
            </w:r>
          </w:p>
        </w:tc>
      </w:tr>
      <w:tr w:rsidR="002C6574" w14:paraId="4FF4787F" w14:textId="77777777">
        <w:trPr>
          <w:trHeight w:val="229"/>
        </w:trPr>
        <w:tc>
          <w:tcPr>
            <w:tcW w:w="6372" w:type="dxa"/>
            <w:shd w:val="clear" w:color="auto" w:fill="FDFDFB"/>
          </w:tcPr>
          <w:p w14:paraId="73DDB609" w14:textId="77777777" w:rsidR="002C6574" w:rsidRDefault="00000000">
            <w:pPr>
              <w:pStyle w:val="TableParagraph"/>
              <w:spacing w:line="210" w:lineRule="exact"/>
              <w:ind w:left="69"/>
              <w:jc w:val="left"/>
              <w:rPr>
                <w:sz w:val="18"/>
              </w:rPr>
            </w:pPr>
            <w:r>
              <w:rPr>
                <w:spacing w:val="-2"/>
                <w:sz w:val="18"/>
              </w:rPr>
              <w:t>Comitê</w:t>
            </w:r>
            <w:r>
              <w:rPr>
                <w:spacing w:val="-5"/>
                <w:sz w:val="18"/>
              </w:rPr>
              <w:t xml:space="preserve"> </w:t>
            </w:r>
            <w:r>
              <w:rPr>
                <w:spacing w:val="-2"/>
                <w:sz w:val="18"/>
              </w:rPr>
              <w:t>de Auditoria</w:t>
            </w:r>
            <w:r>
              <w:rPr>
                <w:spacing w:val="-3"/>
                <w:sz w:val="18"/>
              </w:rPr>
              <w:t xml:space="preserve"> </w:t>
            </w:r>
            <w:r>
              <w:rPr>
                <w:spacing w:val="-2"/>
                <w:sz w:val="18"/>
              </w:rPr>
              <w:t>-</w:t>
            </w:r>
            <w:r>
              <w:rPr>
                <w:spacing w:val="-6"/>
                <w:sz w:val="18"/>
              </w:rPr>
              <w:t xml:space="preserve"> </w:t>
            </w:r>
            <w:r>
              <w:rPr>
                <w:spacing w:val="-2"/>
                <w:sz w:val="18"/>
              </w:rPr>
              <w:t>Menor Remuneração</w:t>
            </w:r>
          </w:p>
        </w:tc>
        <w:tc>
          <w:tcPr>
            <w:tcW w:w="1814" w:type="dxa"/>
            <w:shd w:val="clear" w:color="auto" w:fill="FDFDFB"/>
          </w:tcPr>
          <w:p w14:paraId="1B9D717B" w14:textId="77777777" w:rsidR="002C6574" w:rsidRDefault="00000000">
            <w:pPr>
              <w:pStyle w:val="TableParagraph"/>
              <w:spacing w:line="210" w:lineRule="exact"/>
              <w:ind w:right="55"/>
              <w:rPr>
                <w:sz w:val="18"/>
              </w:rPr>
            </w:pPr>
            <w:r>
              <w:rPr>
                <w:spacing w:val="-2"/>
                <w:w w:val="110"/>
                <w:sz w:val="18"/>
              </w:rPr>
              <w:t>4.448</w:t>
            </w:r>
          </w:p>
        </w:tc>
        <w:tc>
          <w:tcPr>
            <w:tcW w:w="1584" w:type="dxa"/>
            <w:shd w:val="clear" w:color="auto" w:fill="FDFDFB"/>
          </w:tcPr>
          <w:p w14:paraId="0217390E" w14:textId="77777777" w:rsidR="002C6574" w:rsidRDefault="00000000">
            <w:pPr>
              <w:pStyle w:val="TableParagraph"/>
              <w:spacing w:line="210" w:lineRule="exact"/>
              <w:ind w:right="55"/>
              <w:rPr>
                <w:sz w:val="18"/>
              </w:rPr>
            </w:pPr>
            <w:r>
              <w:rPr>
                <w:spacing w:val="-2"/>
                <w:w w:val="110"/>
                <w:sz w:val="18"/>
              </w:rPr>
              <w:t>4.243</w:t>
            </w:r>
          </w:p>
        </w:tc>
      </w:tr>
      <w:tr w:rsidR="002C6574" w14:paraId="5D8115FD" w14:textId="77777777">
        <w:trPr>
          <w:trHeight w:val="232"/>
        </w:trPr>
        <w:tc>
          <w:tcPr>
            <w:tcW w:w="6372" w:type="dxa"/>
            <w:shd w:val="clear" w:color="auto" w:fill="FDFDFB"/>
          </w:tcPr>
          <w:p w14:paraId="70BF72A2" w14:textId="77777777" w:rsidR="002C6574" w:rsidRDefault="00000000">
            <w:pPr>
              <w:pStyle w:val="TableParagraph"/>
              <w:spacing w:line="212" w:lineRule="exact"/>
              <w:ind w:left="69"/>
              <w:jc w:val="left"/>
              <w:rPr>
                <w:sz w:val="18"/>
              </w:rPr>
            </w:pPr>
            <w:r>
              <w:rPr>
                <w:sz w:val="18"/>
              </w:rPr>
              <w:t>Comitê</w:t>
            </w:r>
            <w:r>
              <w:rPr>
                <w:spacing w:val="-3"/>
                <w:sz w:val="18"/>
              </w:rPr>
              <w:t xml:space="preserve"> </w:t>
            </w:r>
            <w:r>
              <w:rPr>
                <w:sz w:val="18"/>
              </w:rPr>
              <w:t>de Auditoria</w:t>
            </w:r>
            <w:r>
              <w:rPr>
                <w:spacing w:val="-1"/>
                <w:sz w:val="18"/>
              </w:rPr>
              <w:t xml:space="preserve"> </w:t>
            </w:r>
            <w:r>
              <w:rPr>
                <w:sz w:val="18"/>
              </w:rPr>
              <w:t>-</w:t>
            </w:r>
            <w:r>
              <w:rPr>
                <w:spacing w:val="-4"/>
                <w:sz w:val="18"/>
              </w:rPr>
              <w:t xml:space="preserve"> </w:t>
            </w:r>
            <w:r>
              <w:rPr>
                <w:sz w:val="18"/>
              </w:rPr>
              <w:t>Remuneração</w:t>
            </w:r>
            <w:r>
              <w:rPr>
                <w:spacing w:val="-2"/>
                <w:sz w:val="18"/>
              </w:rPr>
              <w:t xml:space="preserve"> </w:t>
            </w:r>
            <w:r>
              <w:rPr>
                <w:spacing w:val="-4"/>
                <w:sz w:val="18"/>
              </w:rPr>
              <w:t>Média</w:t>
            </w:r>
          </w:p>
        </w:tc>
        <w:tc>
          <w:tcPr>
            <w:tcW w:w="1814" w:type="dxa"/>
            <w:shd w:val="clear" w:color="auto" w:fill="FDFDFB"/>
          </w:tcPr>
          <w:p w14:paraId="7B9DA12A" w14:textId="77777777" w:rsidR="002C6574" w:rsidRDefault="00000000">
            <w:pPr>
              <w:pStyle w:val="TableParagraph"/>
              <w:spacing w:line="212" w:lineRule="exact"/>
              <w:ind w:right="55"/>
              <w:rPr>
                <w:sz w:val="18"/>
              </w:rPr>
            </w:pPr>
            <w:r>
              <w:rPr>
                <w:spacing w:val="-2"/>
                <w:w w:val="110"/>
                <w:sz w:val="18"/>
              </w:rPr>
              <w:t>4.448</w:t>
            </w:r>
          </w:p>
        </w:tc>
        <w:tc>
          <w:tcPr>
            <w:tcW w:w="1584" w:type="dxa"/>
            <w:shd w:val="clear" w:color="auto" w:fill="FDFDFB"/>
          </w:tcPr>
          <w:p w14:paraId="693CD33F" w14:textId="77777777" w:rsidR="002C6574" w:rsidRDefault="00000000">
            <w:pPr>
              <w:pStyle w:val="TableParagraph"/>
              <w:spacing w:line="212" w:lineRule="exact"/>
              <w:ind w:right="55"/>
              <w:rPr>
                <w:sz w:val="18"/>
              </w:rPr>
            </w:pPr>
            <w:r>
              <w:rPr>
                <w:spacing w:val="-2"/>
                <w:w w:val="110"/>
                <w:sz w:val="18"/>
              </w:rPr>
              <w:t>4.243</w:t>
            </w:r>
          </w:p>
        </w:tc>
      </w:tr>
    </w:tbl>
    <w:p w14:paraId="3C357FA6" w14:textId="77777777" w:rsidR="002C6574" w:rsidRDefault="00000000">
      <w:pPr>
        <w:pStyle w:val="Corpodetexto"/>
        <w:spacing w:before="188" w:line="237" w:lineRule="auto"/>
        <w:ind w:left="143" w:right="704"/>
        <w:jc w:val="both"/>
      </w:pPr>
      <w:r>
        <w:t>Devido à caracterização como estatal dependente do Orçamento Fiscal e da Seguridade Social e em atendimento à Lei Complementar nº 101/2000 (Lei de Responsabilidade Fiscal), a Telebras aplica a seus</w:t>
      </w:r>
      <w:r>
        <w:rPr>
          <w:spacing w:val="-3"/>
        </w:rPr>
        <w:t xml:space="preserve"> </w:t>
      </w:r>
      <w:r>
        <w:t>empregados</w:t>
      </w:r>
      <w:r>
        <w:rPr>
          <w:spacing w:val="-3"/>
        </w:rPr>
        <w:t xml:space="preserve"> </w:t>
      </w:r>
      <w:r>
        <w:t>e</w:t>
      </w:r>
      <w:r>
        <w:rPr>
          <w:spacing w:val="-5"/>
        </w:rPr>
        <w:t xml:space="preserve"> </w:t>
      </w:r>
      <w:r>
        <w:t>dirigentes</w:t>
      </w:r>
      <w:r>
        <w:rPr>
          <w:spacing w:val="-1"/>
        </w:rPr>
        <w:t xml:space="preserve"> </w:t>
      </w:r>
      <w:r>
        <w:t>o</w:t>
      </w:r>
      <w:r>
        <w:rPr>
          <w:spacing w:val="-7"/>
        </w:rPr>
        <w:t xml:space="preserve"> </w:t>
      </w:r>
      <w:r>
        <w:t>teto</w:t>
      </w:r>
      <w:r>
        <w:rPr>
          <w:spacing w:val="-3"/>
        </w:rPr>
        <w:t xml:space="preserve"> </w:t>
      </w:r>
      <w:r>
        <w:t>remuneratório</w:t>
      </w:r>
      <w:r>
        <w:rPr>
          <w:spacing w:val="-3"/>
        </w:rPr>
        <w:t xml:space="preserve"> </w:t>
      </w:r>
      <w:r>
        <w:t>constitucional</w:t>
      </w:r>
      <w:r>
        <w:rPr>
          <w:spacing w:val="-3"/>
        </w:rPr>
        <w:t xml:space="preserve"> </w:t>
      </w:r>
      <w:r>
        <w:t>previsto</w:t>
      </w:r>
      <w:r>
        <w:rPr>
          <w:spacing w:val="-7"/>
        </w:rPr>
        <w:t xml:space="preserve"> </w:t>
      </w:r>
      <w:r>
        <w:t>no</w:t>
      </w:r>
      <w:r>
        <w:rPr>
          <w:spacing w:val="-5"/>
        </w:rPr>
        <w:t xml:space="preserve"> </w:t>
      </w:r>
      <w:r>
        <w:t>art.</w:t>
      </w:r>
      <w:r>
        <w:rPr>
          <w:spacing w:val="-1"/>
        </w:rPr>
        <w:t xml:space="preserve"> </w:t>
      </w:r>
      <w:r>
        <w:t>37,</w:t>
      </w:r>
      <w:r>
        <w:rPr>
          <w:spacing w:val="-1"/>
        </w:rPr>
        <w:t xml:space="preserve"> </w:t>
      </w:r>
      <w:r>
        <w:t>inciso</w:t>
      </w:r>
      <w:r>
        <w:rPr>
          <w:spacing w:val="-3"/>
        </w:rPr>
        <w:t xml:space="preserve"> </w:t>
      </w:r>
      <w:r>
        <w:t>XI</w:t>
      </w:r>
      <w:r>
        <w:rPr>
          <w:spacing w:val="-1"/>
        </w:rPr>
        <w:t xml:space="preserve"> </w:t>
      </w:r>
      <w:r>
        <w:t>e</w:t>
      </w:r>
      <w:r>
        <w:rPr>
          <w:spacing w:val="-5"/>
        </w:rPr>
        <w:t xml:space="preserve"> </w:t>
      </w:r>
      <w:r>
        <w:t>§</w:t>
      </w:r>
      <w:r>
        <w:rPr>
          <w:spacing w:val="-5"/>
        </w:rPr>
        <w:t xml:space="preserve"> </w:t>
      </w:r>
      <w:r>
        <w:t>9º, da Constituição Federal.</w:t>
      </w:r>
    </w:p>
    <w:p w14:paraId="6B6EDCFE" w14:textId="77777777" w:rsidR="002C6574" w:rsidRDefault="002C6574">
      <w:pPr>
        <w:pStyle w:val="Corpodetexto"/>
        <w:spacing w:before="5"/>
      </w:pPr>
    </w:p>
    <w:p w14:paraId="1720E660" w14:textId="77777777" w:rsidR="002C6574" w:rsidRDefault="00000000">
      <w:pPr>
        <w:numPr>
          <w:ilvl w:val="0"/>
          <w:numId w:val="54"/>
        </w:numPr>
        <w:tabs>
          <w:tab w:val="left" w:pos="995"/>
        </w:tabs>
        <w:ind w:left="995" w:hanging="852"/>
        <w:rPr>
          <w:rFonts w:ascii="Arial" w:hAnsi="Arial"/>
          <w:b/>
        </w:rPr>
      </w:pPr>
      <w:r>
        <w:rPr>
          <w:rFonts w:ascii="Arial" w:hAnsi="Arial"/>
          <w:b/>
        </w:rPr>
        <w:t>TRANSAÇÕES</w:t>
      </w:r>
      <w:r>
        <w:rPr>
          <w:rFonts w:ascii="Arial" w:hAnsi="Arial"/>
          <w:b/>
          <w:spacing w:val="-5"/>
        </w:rPr>
        <w:t xml:space="preserve"> </w:t>
      </w:r>
      <w:r>
        <w:rPr>
          <w:rFonts w:ascii="Arial" w:hAnsi="Arial"/>
          <w:b/>
        </w:rPr>
        <w:t>NÃO</w:t>
      </w:r>
      <w:r>
        <w:rPr>
          <w:rFonts w:ascii="Arial" w:hAnsi="Arial"/>
          <w:b/>
          <w:spacing w:val="-8"/>
        </w:rPr>
        <w:t xml:space="preserve"> </w:t>
      </w:r>
      <w:r>
        <w:rPr>
          <w:rFonts w:ascii="Arial" w:hAnsi="Arial"/>
          <w:b/>
        </w:rPr>
        <w:t>ENVOLVENDO</w:t>
      </w:r>
      <w:r>
        <w:rPr>
          <w:rFonts w:ascii="Arial" w:hAnsi="Arial"/>
          <w:b/>
          <w:spacing w:val="-3"/>
        </w:rPr>
        <w:t xml:space="preserve"> </w:t>
      </w:r>
      <w:r>
        <w:rPr>
          <w:rFonts w:ascii="Arial" w:hAnsi="Arial"/>
          <w:b/>
          <w:spacing w:val="-4"/>
        </w:rPr>
        <w:t>CAIXA</w:t>
      </w:r>
    </w:p>
    <w:p w14:paraId="6432AC24" w14:textId="77777777" w:rsidR="002C6574" w:rsidRDefault="00000000">
      <w:pPr>
        <w:pStyle w:val="Corpodetexto"/>
        <w:spacing w:before="156" w:line="237" w:lineRule="auto"/>
        <w:ind w:left="143" w:right="704"/>
        <w:jc w:val="both"/>
      </w:pPr>
      <w:r>
        <w:t>Nos exercícios de 2025 e 2024, a Companhia realizou as seguintes operações não envolvendo caixa; portanto, estas não estão refletidas na demonstração dos fluxos de caixa:</w:t>
      </w:r>
    </w:p>
    <w:p w14:paraId="0702D4EC" w14:textId="77777777" w:rsidR="002C6574" w:rsidRDefault="002C6574">
      <w:pPr>
        <w:pStyle w:val="Corpodetexto"/>
        <w:spacing w:before="54"/>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0"/>
        <w:gridCol w:w="1042"/>
        <w:gridCol w:w="1042"/>
      </w:tblGrid>
      <w:tr w:rsidR="002C6574" w14:paraId="49A76298" w14:textId="77777777">
        <w:trPr>
          <w:trHeight w:val="232"/>
        </w:trPr>
        <w:tc>
          <w:tcPr>
            <w:tcW w:w="7380" w:type="dxa"/>
            <w:shd w:val="clear" w:color="auto" w:fill="BFBFBF"/>
          </w:tcPr>
          <w:p w14:paraId="12AF0E2C" w14:textId="77777777" w:rsidR="002C6574" w:rsidRDefault="00000000">
            <w:pPr>
              <w:pStyle w:val="TableParagraph"/>
              <w:spacing w:before="13" w:line="199" w:lineRule="exact"/>
              <w:ind w:left="119"/>
              <w:jc w:val="left"/>
              <w:rPr>
                <w:rFonts w:ascii="Arial" w:hAnsi="Arial"/>
                <w:b/>
                <w:sz w:val="18"/>
              </w:rPr>
            </w:pPr>
            <w:r>
              <w:rPr>
                <w:rFonts w:ascii="Arial" w:hAnsi="Arial"/>
                <w:b/>
                <w:spacing w:val="-2"/>
                <w:sz w:val="18"/>
              </w:rPr>
              <w:t>Transações:</w:t>
            </w:r>
          </w:p>
        </w:tc>
        <w:tc>
          <w:tcPr>
            <w:tcW w:w="1042" w:type="dxa"/>
          </w:tcPr>
          <w:p w14:paraId="60BF5672" w14:textId="77777777" w:rsidR="002C6574" w:rsidRDefault="00000000">
            <w:pPr>
              <w:pStyle w:val="TableParagraph"/>
              <w:spacing w:before="13" w:line="199" w:lineRule="exact"/>
              <w:ind w:right="59"/>
              <w:rPr>
                <w:rFonts w:ascii="Arial"/>
                <w:b/>
                <w:sz w:val="18"/>
              </w:rPr>
            </w:pPr>
            <w:r>
              <w:rPr>
                <w:rFonts w:ascii="Arial"/>
                <w:b/>
                <w:spacing w:val="-2"/>
                <w:sz w:val="18"/>
              </w:rPr>
              <w:t>31/12/2025</w:t>
            </w:r>
          </w:p>
        </w:tc>
        <w:tc>
          <w:tcPr>
            <w:tcW w:w="1042" w:type="dxa"/>
          </w:tcPr>
          <w:p w14:paraId="2764308D" w14:textId="77777777" w:rsidR="002C6574" w:rsidRDefault="00000000">
            <w:pPr>
              <w:pStyle w:val="TableParagraph"/>
              <w:spacing w:before="13" w:line="199" w:lineRule="exact"/>
              <w:ind w:right="59"/>
              <w:rPr>
                <w:rFonts w:ascii="Arial"/>
                <w:b/>
                <w:sz w:val="18"/>
              </w:rPr>
            </w:pPr>
            <w:r>
              <w:rPr>
                <w:rFonts w:ascii="Arial"/>
                <w:b/>
                <w:spacing w:val="-2"/>
                <w:sz w:val="18"/>
              </w:rPr>
              <w:t>31/12/2024</w:t>
            </w:r>
          </w:p>
        </w:tc>
      </w:tr>
      <w:tr w:rsidR="002C6574" w14:paraId="1B171611" w14:textId="77777777">
        <w:trPr>
          <w:trHeight w:val="232"/>
        </w:trPr>
        <w:tc>
          <w:tcPr>
            <w:tcW w:w="7380" w:type="dxa"/>
          </w:tcPr>
          <w:p w14:paraId="357E4519" w14:textId="77777777" w:rsidR="002C6574" w:rsidRDefault="00000000">
            <w:pPr>
              <w:pStyle w:val="TableParagraph"/>
              <w:spacing w:line="212" w:lineRule="exact"/>
              <w:ind w:left="69"/>
              <w:jc w:val="left"/>
              <w:rPr>
                <w:sz w:val="18"/>
              </w:rPr>
            </w:pPr>
            <w:r>
              <w:rPr>
                <w:sz w:val="18"/>
              </w:rPr>
              <w:t>Pagamento</w:t>
            </w:r>
            <w:r>
              <w:rPr>
                <w:spacing w:val="12"/>
                <w:sz w:val="18"/>
              </w:rPr>
              <w:t xml:space="preserve"> </w:t>
            </w:r>
            <w:r>
              <w:rPr>
                <w:sz w:val="18"/>
              </w:rPr>
              <w:t>de</w:t>
            </w:r>
            <w:r>
              <w:rPr>
                <w:spacing w:val="16"/>
                <w:sz w:val="18"/>
              </w:rPr>
              <w:t xml:space="preserve"> </w:t>
            </w:r>
            <w:r>
              <w:rPr>
                <w:sz w:val="18"/>
              </w:rPr>
              <w:t>Tributos</w:t>
            </w:r>
            <w:r>
              <w:rPr>
                <w:spacing w:val="14"/>
                <w:sz w:val="18"/>
              </w:rPr>
              <w:t xml:space="preserve"> </w:t>
            </w:r>
            <w:r>
              <w:rPr>
                <w:sz w:val="18"/>
              </w:rPr>
              <w:t>Federais/Estaduais</w:t>
            </w:r>
            <w:r>
              <w:rPr>
                <w:spacing w:val="16"/>
                <w:sz w:val="18"/>
              </w:rPr>
              <w:t xml:space="preserve"> </w:t>
            </w:r>
            <w:r>
              <w:rPr>
                <w:sz w:val="18"/>
              </w:rPr>
              <w:t>através</w:t>
            </w:r>
            <w:r>
              <w:rPr>
                <w:spacing w:val="15"/>
                <w:sz w:val="18"/>
              </w:rPr>
              <w:t xml:space="preserve"> </w:t>
            </w:r>
            <w:r>
              <w:rPr>
                <w:sz w:val="18"/>
              </w:rPr>
              <w:t>de</w:t>
            </w:r>
            <w:r>
              <w:rPr>
                <w:spacing w:val="13"/>
                <w:sz w:val="18"/>
              </w:rPr>
              <w:t xml:space="preserve"> </w:t>
            </w:r>
            <w:r>
              <w:rPr>
                <w:sz w:val="18"/>
              </w:rPr>
              <w:t>Compensação</w:t>
            </w:r>
            <w:r>
              <w:rPr>
                <w:spacing w:val="13"/>
                <w:sz w:val="18"/>
              </w:rPr>
              <w:t xml:space="preserve"> </w:t>
            </w:r>
            <w:r>
              <w:rPr>
                <w:sz w:val="18"/>
              </w:rPr>
              <w:t>de</w:t>
            </w:r>
            <w:r>
              <w:rPr>
                <w:spacing w:val="13"/>
                <w:sz w:val="18"/>
              </w:rPr>
              <w:t xml:space="preserve"> </w:t>
            </w:r>
            <w:r>
              <w:rPr>
                <w:spacing w:val="-2"/>
                <w:sz w:val="18"/>
              </w:rPr>
              <w:t>Créditos</w:t>
            </w:r>
          </w:p>
        </w:tc>
        <w:tc>
          <w:tcPr>
            <w:tcW w:w="1042" w:type="dxa"/>
          </w:tcPr>
          <w:p w14:paraId="482DAECB" w14:textId="77777777" w:rsidR="002C6574" w:rsidRDefault="00000000">
            <w:pPr>
              <w:pStyle w:val="TableParagraph"/>
              <w:spacing w:line="212" w:lineRule="exact"/>
              <w:ind w:right="61"/>
              <w:rPr>
                <w:sz w:val="18"/>
              </w:rPr>
            </w:pPr>
            <w:r>
              <w:rPr>
                <w:spacing w:val="-2"/>
                <w:w w:val="105"/>
                <w:sz w:val="18"/>
              </w:rPr>
              <w:t>72.225</w:t>
            </w:r>
          </w:p>
        </w:tc>
        <w:tc>
          <w:tcPr>
            <w:tcW w:w="1042" w:type="dxa"/>
          </w:tcPr>
          <w:p w14:paraId="1B976C01" w14:textId="77777777" w:rsidR="002C6574" w:rsidRDefault="00000000">
            <w:pPr>
              <w:pStyle w:val="TableParagraph"/>
              <w:spacing w:line="212" w:lineRule="exact"/>
              <w:ind w:right="62"/>
              <w:rPr>
                <w:sz w:val="18"/>
              </w:rPr>
            </w:pPr>
            <w:r>
              <w:rPr>
                <w:spacing w:val="-2"/>
                <w:w w:val="105"/>
                <w:sz w:val="18"/>
              </w:rPr>
              <w:t>36.065</w:t>
            </w:r>
          </w:p>
        </w:tc>
      </w:tr>
      <w:tr w:rsidR="002C6574" w14:paraId="6A392A68" w14:textId="77777777">
        <w:trPr>
          <w:trHeight w:val="232"/>
        </w:trPr>
        <w:tc>
          <w:tcPr>
            <w:tcW w:w="7380" w:type="dxa"/>
          </w:tcPr>
          <w:p w14:paraId="5FB64A63" w14:textId="77777777" w:rsidR="002C6574" w:rsidRDefault="00000000">
            <w:pPr>
              <w:pStyle w:val="TableParagraph"/>
              <w:spacing w:line="212" w:lineRule="exact"/>
              <w:ind w:left="69"/>
              <w:jc w:val="left"/>
              <w:rPr>
                <w:sz w:val="18"/>
              </w:rPr>
            </w:pPr>
            <w:r>
              <w:rPr>
                <w:w w:val="105"/>
                <w:sz w:val="18"/>
              </w:rPr>
              <w:t>Permutas</w:t>
            </w:r>
            <w:r>
              <w:rPr>
                <w:spacing w:val="-13"/>
                <w:w w:val="105"/>
                <w:sz w:val="18"/>
              </w:rPr>
              <w:t xml:space="preserve"> </w:t>
            </w:r>
            <w:r>
              <w:rPr>
                <w:w w:val="105"/>
                <w:sz w:val="18"/>
              </w:rPr>
              <w:t>não</w:t>
            </w:r>
            <w:r>
              <w:rPr>
                <w:spacing w:val="-13"/>
                <w:w w:val="105"/>
                <w:sz w:val="18"/>
              </w:rPr>
              <w:t xml:space="preserve"> </w:t>
            </w:r>
            <w:r>
              <w:rPr>
                <w:w w:val="105"/>
                <w:sz w:val="18"/>
              </w:rPr>
              <w:t>monetárias</w:t>
            </w:r>
            <w:r>
              <w:rPr>
                <w:spacing w:val="-13"/>
                <w:w w:val="105"/>
                <w:sz w:val="18"/>
              </w:rPr>
              <w:t xml:space="preserve"> </w:t>
            </w:r>
            <w:r>
              <w:rPr>
                <w:w w:val="105"/>
                <w:sz w:val="18"/>
              </w:rPr>
              <w:t>entre</w:t>
            </w:r>
            <w:r>
              <w:rPr>
                <w:spacing w:val="-13"/>
                <w:w w:val="105"/>
                <w:sz w:val="18"/>
              </w:rPr>
              <w:t xml:space="preserve"> </w:t>
            </w:r>
            <w:r>
              <w:rPr>
                <w:w w:val="105"/>
                <w:sz w:val="18"/>
              </w:rPr>
              <w:t>a</w:t>
            </w:r>
            <w:r>
              <w:rPr>
                <w:spacing w:val="-12"/>
                <w:w w:val="105"/>
                <w:sz w:val="18"/>
              </w:rPr>
              <w:t xml:space="preserve"> </w:t>
            </w:r>
            <w:r>
              <w:rPr>
                <w:w w:val="105"/>
                <w:sz w:val="18"/>
              </w:rPr>
              <w:t>Telebras</w:t>
            </w:r>
            <w:r>
              <w:rPr>
                <w:spacing w:val="-13"/>
                <w:w w:val="105"/>
                <w:sz w:val="18"/>
              </w:rPr>
              <w:t xml:space="preserve"> </w:t>
            </w:r>
            <w:r>
              <w:rPr>
                <w:w w:val="105"/>
                <w:sz w:val="18"/>
              </w:rPr>
              <w:t>e</w:t>
            </w:r>
            <w:r>
              <w:rPr>
                <w:spacing w:val="-12"/>
                <w:w w:val="105"/>
                <w:sz w:val="18"/>
              </w:rPr>
              <w:t xml:space="preserve"> </w:t>
            </w:r>
            <w:r>
              <w:rPr>
                <w:w w:val="105"/>
                <w:sz w:val="18"/>
              </w:rPr>
              <w:t>Empresas</w:t>
            </w:r>
            <w:r>
              <w:rPr>
                <w:spacing w:val="-11"/>
                <w:w w:val="105"/>
                <w:sz w:val="18"/>
              </w:rPr>
              <w:t xml:space="preserve"> </w:t>
            </w:r>
            <w:r>
              <w:rPr>
                <w:spacing w:val="-2"/>
                <w:w w:val="105"/>
                <w:sz w:val="18"/>
              </w:rPr>
              <w:t>Parceiras</w:t>
            </w:r>
          </w:p>
        </w:tc>
        <w:tc>
          <w:tcPr>
            <w:tcW w:w="1042" w:type="dxa"/>
          </w:tcPr>
          <w:p w14:paraId="6F50AB5A" w14:textId="77777777" w:rsidR="002C6574" w:rsidRDefault="00000000">
            <w:pPr>
              <w:pStyle w:val="TableParagraph"/>
              <w:spacing w:line="212" w:lineRule="exact"/>
              <w:ind w:right="61"/>
              <w:rPr>
                <w:sz w:val="18"/>
              </w:rPr>
            </w:pPr>
            <w:r>
              <w:rPr>
                <w:spacing w:val="-2"/>
                <w:w w:val="105"/>
                <w:sz w:val="18"/>
              </w:rPr>
              <w:t>18.767</w:t>
            </w:r>
          </w:p>
        </w:tc>
        <w:tc>
          <w:tcPr>
            <w:tcW w:w="1042" w:type="dxa"/>
          </w:tcPr>
          <w:p w14:paraId="04CA9169" w14:textId="77777777" w:rsidR="002C6574" w:rsidRDefault="00000000">
            <w:pPr>
              <w:pStyle w:val="TableParagraph"/>
              <w:spacing w:line="212" w:lineRule="exact"/>
              <w:ind w:right="62"/>
              <w:rPr>
                <w:sz w:val="18"/>
              </w:rPr>
            </w:pPr>
            <w:r>
              <w:rPr>
                <w:spacing w:val="-2"/>
                <w:w w:val="105"/>
                <w:sz w:val="18"/>
              </w:rPr>
              <w:t>25.818</w:t>
            </w:r>
          </w:p>
        </w:tc>
      </w:tr>
      <w:tr w:rsidR="002C6574" w14:paraId="62737166" w14:textId="77777777">
        <w:trPr>
          <w:trHeight w:val="232"/>
        </w:trPr>
        <w:tc>
          <w:tcPr>
            <w:tcW w:w="7380" w:type="dxa"/>
          </w:tcPr>
          <w:p w14:paraId="2E1CB9A4" w14:textId="77777777" w:rsidR="002C6574" w:rsidRDefault="00000000">
            <w:pPr>
              <w:pStyle w:val="TableParagraph"/>
              <w:spacing w:line="212" w:lineRule="exact"/>
              <w:ind w:left="69"/>
              <w:jc w:val="left"/>
              <w:rPr>
                <w:sz w:val="18"/>
              </w:rPr>
            </w:pPr>
            <w:r>
              <w:rPr>
                <w:sz w:val="18"/>
              </w:rPr>
              <w:t>Encontro</w:t>
            </w:r>
            <w:r>
              <w:rPr>
                <w:spacing w:val="11"/>
                <w:sz w:val="18"/>
              </w:rPr>
              <w:t xml:space="preserve"> </w:t>
            </w:r>
            <w:r>
              <w:rPr>
                <w:sz w:val="18"/>
              </w:rPr>
              <w:t>de</w:t>
            </w:r>
            <w:r>
              <w:rPr>
                <w:spacing w:val="12"/>
                <w:sz w:val="18"/>
              </w:rPr>
              <w:t xml:space="preserve"> </w:t>
            </w:r>
            <w:r>
              <w:rPr>
                <w:sz w:val="18"/>
              </w:rPr>
              <w:t>Contas</w:t>
            </w:r>
            <w:r>
              <w:rPr>
                <w:spacing w:val="15"/>
                <w:sz w:val="18"/>
              </w:rPr>
              <w:t xml:space="preserve"> </w:t>
            </w:r>
            <w:r>
              <w:rPr>
                <w:sz w:val="18"/>
              </w:rPr>
              <w:t>(Baixa</w:t>
            </w:r>
            <w:r>
              <w:rPr>
                <w:spacing w:val="12"/>
                <w:sz w:val="18"/>
              </w:rPr>
              <w:t xml:space="preserve"> </w:t>
            </w:r>
            <w:r>
              <w:rPr>
                <w:sz w:val="18"/>
              </w:rPr>
              <w:t>de</w:t>
            </w:r>
            <w:r>
              <w:rPr>
                <w:spacing w:val="10"/>
                <w:sz w:val="18"/>
              </w:rPr>
              <w:t xml:space="preserve"> </w:t>
            </w:r>
            <w:r>
              <w:rPr>
                <w:sz w:val="18"/>
              </w:rPr>
              <w:t>Contas</w:t>
            </w:r>
            <w:r>
              <w:rPr>
                <w:spacing w:val="12"/>
                <w:sz w:val="18"/>
              </w:rPr>
              <w:t xml:space="preserve"> </w:t>
            </w:r>
            <w:r>
              <w:rPr>
                <w:sz w:val="18"/>
              </w:rPr>
              <w:t>a</w:t>
            </w:r>
            <w:r>
              <w:rPr>
                <w:spacing w:val="12"/>
                <w:sz w:val="18"/>
              </w:rPr>
              <w:t xml:space="preserve"> </w:t>
            </w:r>
            <w:r>
              <w:rPr>
                <w:sz w:val="18"/>
              </w:rPr>
              <w:t>Receber/Fornecedores)</w:t>
            </w:r>
            <w:r>
              <w:rPr>
                <w:spacing w:val="12"/>
                <w:sz w:val="18"/>
              </w:rPr>
              <w:t xml:space="preserve"> </w:t>
            </w:r>
            <w:r>
              <w:rPr>
                <w:sz w:val="18"/>
              </w:rPr>
              <w:t>sem</w:t>
            </w:r>
            <w:r>
              <w:rPr>
                <w:spacing w:val="12"/>
                <w:sz w:val="18"/>
              </w:rPr>
              <w:t xml:space="preserve"> </w:t>
            </w:r>
            <w:r>
              <w:rPr>
                <w:sz w:val="18"/>
              </w:rPr>
              <w:t>desembolso</w:t>
            </w:r>
            <w:r>
              <w:rPr>
                <w:spacing w:val="12"/>
                <w:sz w:val="18"/>
              </w:rPr>
              <w:t xml:space="preserve"> </w:t>
            </w:r>
            <w:r>
              <w:rPr>
                <w:sz w:val="18"/>
              </w:rPr>
              <w:t>-</w:t>
            </w:r>
            <w:r>
              <w:rPr>
                <w:spacing w:val="13"/>
                <w:sz w:val="18"/>
              </w:rPr>
              <w:t xml:space="preserve"> </w:t>
            </w:r>
            <w:r>
              <w:rPr>
                <w:spacing w:val="-2"/>
                <w:sz w:val="18"/>
              </w:rPr>
              <w:t>Viasat</w:t>
            </w:r>
          </w:p>
        </w:tc>
        <w:tc>
          <w:tcPr>
            <w:tcW w:w="1042" w:type="dxa"/>
          </w:tcPr>
          <w:p w14:paraId="1F0A8499" w14:textId="77777777" w:rsidR="002C6574" w:rsidRDefault="00000000">
            <w:pPr>
              <w:pStyle w:val="TableParagraph"/>
              <w:spacing w:line="212" w:lineRule="exact"/>
              <w:ind w:right="61"/>
              <w:rPr>
                <w:sz w:val="18"/>
              </w:rPr>
            </w:pPr>
            <w:r>
              <w:rPr>
                <w:spacing w:val="-2"/>
                <w:w w:val="105"/>
                <w:sz w:val="18"/>
              </w:rPr>
              <w:t>24.343</w:t>
            </w:r>
          </w:p>
        </w:tc>
        <w:tc>
          <w:tcPr>
            <w:tcW w:w="1042" w:type="dxa"/>
          </w:tcPr>
          <w:p w14:paraId="718DA803" w14:textId="77777777" w:rsidR="002C6574" w:rsidRDefault="00000000">
            <w:pPr>
              <w:pStyle w:val="TableParagraph"/>
              <w:spacing w:line="212" w:lineRule="exact"/>
              <w:ind w:right="62"/>
              <w:rPr>
                <w:sz w:val="18"/>
              </w:rPr>
            </w:pPr>
            <w:r>
              <w:rPr>
                <w:spacing w:val="-2"/>
                <w:w w:val="105"/>
                <w:sz w:val="18"/>
              </w:rPr>
              <w:t>26.218</w:t>
            </w:r>
          </w:p>
        </w:tc>
      </w:tr>
      <w:tr w:rsidR="002C6574" w14:paraId="26747E6E" w14:textId="77777777">
        <w:trPr>
          <w:trHeight w:val="232"/>
        </w:trPr>
        <w:tc>
          <w:tcPr>
            <w:tcW w:w="7380" w:type="dxa"/>
          </w:tcPr>
          <w:p w14:paraId="01D24F11" w14:textId="77777777" w:rsidR="002C6574" w:rsidRDefault="00000000">
            <w:pPr>
              <w:pStyle w:val="TableParagraph"/>
              <w:spacing w:line="212" w:lineRule="exact"/>
              <w:ind w:left="69"/>
              <w:jc w:val="left"/>
              <w:rPr>
                <w:sz w:val="18"/>
              </w:rPr>
            </w:pPr>
            <w:r>
              <w:rPr>
                <w:sz w:val="18"/>
              </w:rPr>
              <w:t>Recebimento</w:t>
            </w:r>
            <w:r>
              <w:rPr>
                <w:spacing w:val="4"/>
                <w:sz w:val="18"/>
              </w:rPr>
              <w:t xml:space="preserve"> </w:t>
            </w:r>
            <w:r>
              <w:rPr>
                <w:sz w:val="18"/>
              </w:rPr>
              <w:t>de</w:t>
            </w:r>
            <w:r>
              <w:rPr>
                <w:spacing w:val="7"/>
                <w:sz w:val="18"/>
              </w:rPr>
              <w:t xml:space="preserve"> </w:t>
            </w:r>
            <w:r>
              <w:rPr>
                <w:sz w:val="18"/>
              </w:rPr>
              <w:t>Dividendos</w:t>
            </w:r>
            <w:r>
              <w:rPr>
                <w:spacing w:val="8"/>
                <w:sz w:val="18"/>
              </w:rPr>
              <w:t xml:space="preserve"> </w:t>
            </w:r>
            <w:r>
              <w:rPr>
                <w:sz w:val="18"/>
              </w:rPr>
              <w:t>–</w:t>
            </w:r>
            <w:r>
              <w:rPr>
                <w:spacing w:val="5"/>
                <w:sz w:val="18"/>
              </w:rPr>
              <w:t xml:space="preserve"> </w:t>
            </w:r>
            <w:r>
              <w:rPr>
                <w:sz w:val="18"/>
              </w:rPr>
              <w:t>Visiona</w:t>
            </w:r>
            <w:r>
              <w:rPr>
                <w:spacing w:val="8"/>
                <w:sz w:val="18"/>
              </w:rPr>
              <w:t xml:space="preserve"> </w:t>
            </w:r>
            <w:r>
              <w:rPr>
                <w:sz w:val="18"/>
              </w:rPr>
              <w:t>Espacial</w:t>
            </w:r>
            <w:r>
              <w:rPr>
                <w:spacing w:val="6"/>
                <w:sz w:val="18"/>
              </w:rPr>
              <w:t xml:space="preserve"> </w:t>
            </w:r>
            <w:r>
              <w:rPr>
                <w:sz w:val="18"/>
              </w:rPr>
              <w:t>através</w:t>
            </w:r>
            <w:r>
              <w:rPr>
                <w:spacing w:val="9"/>
                <w:sz w:val="18"/>
              </w:rPr>
              <w:t xml:space="preserve"> </w:t>
            </w:r>
            <w:r>
              <w:rPr>
                <w:sz w:val="18"/>
              </w:rPr>
              <w:t>de</w:t>
            </w:r>
            <w:r>
              <w:rPr>
                <w:spacing w:val="6"/>
                <w:sz w:val="18"/>
              </w:rPr>
              <w:t xml:space="preserve"> </w:t>
            </w:r>
            <w:r>
              <w:rPr>
                <w:sz w:val="18"/>
              </w:rPr>
              <w:t>encontro</w:t>
            </w:r>
            <w:r>
              <w:rPr>
                <w:spacing w:val="6"/>
                <w:sz w:val="18"/>
              </w:rPr>
              <w:t xml:space="preserve"> </w:t>
            </w:r>
            <w:r>
              <w:rPr>
                <w:sz w:val="18"/>
              </w:rPr>
              <w:t>de</w:t>
            </w:r>
            <w:r>
              <w:rPr>
                <w:spacing w:val="8"/>
                <w:sz w:val="18"/>
              </w:rPr>
              <w:t xml:space="preserve"> </w:t>
            </w:r>
            <w:r>
              <w:rPr>
                <w:spacing w:val="-2"/>
                <w:sz w:val="18"/>
              </w:rPr>
              <w:t>contas</w:t>
            </w:r>
          </w:p>
        </w:tc>
        <w:tc>
          <w:tcPr>
            <w:tcW w:w="1042" w:type="dxa"/>
          </w:tcPr>
          <w:p w14:paraId="7C30000F" w14:textId="77777777" w:rsidR="002C6574" w:rsidRDefault="00000000">
            <w:pPr>
              <w:pStyle w:val="TableParagraph"/>
              <w:spacing w:line="212" w:lineRule="exact"/>
              <w:ind w:right="61"/>
              <w:rPr>
                <w:sz w:val="18"/>
              </w:rPr>
            </w:pPr>
            <w:r>
              <w:rPr>
                <w:spacing w:val="-4"/>
                <w:w w:val="110"/>
                <w:sz w:val="18"/>
              </w:rPr>
              <w:t>5.456</w:t>
            </w:r>
          </w:p>
        </w:tc>
        <w:tc>
          <w:tcPr>
            <w:tcW w:w="1042" w:type="dxa"/>
          </w:tcPr>
          <w:p w14:paraId="587F4B31" w14:textId="77777777" w:rsidR="002C6574" w:rsidRDefault="00000000">
            <w:pPr>
              <w:pStyle w:val="TableParagraph"/>
              <w:spacing w:line="212" w:lineRule="exact"/>
              <w:ind w:right="60"/>
              <w:rPr>
                <w:sz w:val="18"/>
              </w:rPr>
            </w:pPr>
            <w:r>
              <w:rPr>
                <w:spacing w:val="-10"/>
                <w:w w:val="95"/>
                <w:sz w:val="18"/>
              </w:rPr>
              <w:t>-</w:t>
            </w:r>
          </w:p>
        </w:tc>
      </w:tr>
      <w:tr w:rsidR="002C6574" w14:paraId="68D10C7B" w14:textId="77777777">
        <w:trPr>
          <w:trHeight w:val="232"/>
        </w:trPr>
        <w:tc>
          <w:tcPr>
            <w:tcW w:w="7380" w:type="dxa"/>
          </w:tcPr>
          <w:p w14:paraId="5E22FD74" w14:textId="77777777" w:rsidR="002C6574" w:rsidRDefault="00000000">
            <w:pPr>
              <w:pStyle w:val="TableParagraph"/>
              <w:spacing w:line="212" w:lineRule="exact"/>
              <w:ind w:left="69"/>
              <w:jc w:val="left"/>
              <w:rPr>
                <w:sz w:val="18"/>
              </w:rPr>
            </w:pPr>
            <w:r>
              <w:rPr>
                <w:sz w:val="18"/>
              </w:rPr>
              <w:t>Comercialização</w:t>
            </w:r>
            <w:r>
              <w:rPr>
                <w:spacing w:val="2"/>
                <w:sz w:val="18"/>
              </w:rPr>
              <w:t xml:space="preserve"> </w:t>
            </w:r>
            <w:r>
              <w:rPr>
                <w:sz w:val="18"/>
              </w:rPr>
              <w:t>de</w:t>
            </w:r>
            <w:r>
              <w:rPr>
                <w:spacing w:val="4"/>
                <w:sz w:val="18"/>
              </w:rPr>
              <w:t xml:space="preserve"> </w:t>
            </w:r>
            <w:r>
              <w:rPr>
                <w:sz w:val="18"/>
              </w:rPr>
              <w:t>IRU</w:t>
            </w:r>
            <w:r>
              <w:rPr>
                <w:spacing w:val="2"/>
                <w:sz w:val="18"/>
              </w:rPr>
              <w:t xml:space="preserve"> </w:t>
            </w:r>
            <w:r>
              <w:rPr>
                <w:sz w:val="18"/>
              </w:rPr>
              <w:t>com</w:t>
            </w:r>
            <w:r>
              <w:rPr>
                <w:spacing w:val="1"/>
                <w:sz w:val="18"/>
              </w:rPr>
              <w:t xml:space="preserve"> </w:t>
            </w:r>
            <w:r>
              <w:rPr>
                <w:sz w:val="18"/>
              </w:rPr>
              <w:t>a</w:t>
            </w:r>
            <w:r>
              <w:rPr>
                <w:spacing w:val="5"/>
                <w:sz w:val="18"/>
              </w:rPr>
              <w:t xml:space="preserve"> </w:t>
            </w:r>
            <w:r>
              <w:rPr>
                <w:sz w:val="18"/>
              </w:rPr>
              <w:t>empresa</w:t>
            </w:r>
            <w:r>
              <w:rPr>
                <w:spacing w:val="5"/>
                <w:sz w:val="18"/>
              </w:rPr>
              <w:t xml:space="preserve"> </w:t>
            </w:r>
            <w:r>
              <w:rPr>
                <w:sz w:val="18"/>
              </w:rPr>
              <w:t>V.tal</w:t>
            </w:r>
            <w:r>
              <w:rPr>
                <w:spacing w:val="5"/>
                <w:sz w:val="18"/>
              </w:rPr>
              <w:t xml:space="preserve"> </w:t>
            </w:r>
            <w:r>
              <w:rPr>
                <w:sz w:val="18"/>
              </w:rPr>
              <w:t>por</w:t>
            </w:r>
            <w:r>
              <w:rPr>
                <w:spacing w:val="1"/>
                <w:sz w:val="18"/>
              </w:rPr>
              <w:t xml:space="preserve"> </w:t>
            </w:r>
            <w:r>
              <w:rPr>
                <w:sz w:val="18"/>
              </w:rPr>
              <w:t>meio</w:t>
            </w:r>
            <w:r>
              <w:rPr>
                <w:spacing w:val="3"/>
                <w:sz w:val="18"/>
              </w:rPr>
              <w:t xml:space="preserve"> </w:t>
            </w:r>
            <w:r>
              <w:rPr>
                <w:sz w:val="18"/>
              </w:rPr>
              <w:t>de</w:t>
            </w:r>
            <w:r>
              <w:rPr>
                <w:spacing w:val="3"/>
                <w:sz w:val="18"/>
              </w:rPr>
              <w:t xml:space="preserve"> </w:t>
            </w:r>
            <w:r>
              <w:rPr>
                <w:sz w:val="18"/>
              </w:rPr>
              <w:t>encontro</w:t>
            </w:r>
            <w:r>
              <w:rPr>
                <w:spacing w:val="3"/>
                <w:sz w:val="18"/>
              </w:rPr>
              <w:t xml:space="preserve"> </w:t>
            </w:r>
            <w:r>
              <w:rPr>
                <w:sz w:val="18"/>
              </w:rPr>
              <w:t>de</w:t>
            </w:r>
            <w:r>
              <w:rPr>
                <w:spacing w:val="3"/>
                <w:sz w:val="18"/>
              </w:rPr>
              <w:t xml:space="preserve"> </w:t>
            </w:r>
            <w:r>
              <w:rPr>
                <w:spacing w:val="-2"/>
                <w:sz w:val="18"/>
              </w:rPr>
              <w:t>contas</w:t>
            </w:r>
          </w:p>
        </w:tc>
        <w:tc>
          <w:tcPr>
            <w:tcW w:w="1042" w:type="dxa"/>
          </w:tcPr>
          <w:p w14:paraId="7F622D85" w14:textId="77777777" w:rsidR="002C6574" w:rsidRDefault="00000000">
            <w:pPr>
              <w:pStyle w:val="TableParagraph"/>
              <w:spacing w:line="212" w:lineRule="exact"/>
              <w:ind w:right="60"/>
              <w:rPr>
                <w:sz w:val="18"/>
              </w:rPr>
            </w:pPr>
            <w:r>
              <w:rPr>
                <w:spacing w:val="-2"/>
                <w:w w:val="110"/>
                <w:sz w:val="18"/>
              </w:rPr>
              <w:t>4.226</w:t>
            </w:r>
          </w:p>
        </w:tc>
        <w:tc>
          <w:tcPr>
            <w:tcW w:w="1042" w:type="dxa"/>
          </w:tcPr>
          <w:p w14:paraId="7479341C" w14:textId="77777777" w:rsidR="002C6574" w:rsidRDefault="00000000">
            <w:pPr>
              <w:pStyle w:val="TableParagraph"/>
              <w:spacing w:line="212" w:lineRule="exact"/>
              <w:ind w:right="60"/>
              <w:rPr>
                <w:sz w:val="18"/>
              </w:rPr>
            </w:pPr>
            <w:r>
              <w:rPr>
                <w:spacing w:val="-10"/>
                <w:w w:val="95"/>
                <w:sz w:val="18"/>
              </w:rPr>
              <w:t>-</w:t>
            </w:r>
          </w:p>
        </w:tc>
      </w:tr>
    </w:tbl>
    <w:p w14:paraId="36D8C3B2" w14:textId="77777777" w:rsidR="002C6574" w:rsidRDefault="002C6574">
      <w:pPr>
        <w:pStyle w:val="Corpodetexto"/>
      </w:pPr>
    </w:p>
    <w:p w14:paraId="34D8448E" w14:textId="77777777" w:rsidR="002C6574" w:rsidRDefault="002C6574">
      <w:pPr>
        <w:pStyle w:val="Corpodetexto"/>
      </w:pPr>
    </w:p>
    <w:p w14:paraId="67CABA99" w14:textId="77777777" w:rsidR="002C6574" w:rsidRDefault="002C6574">
      <w:pPr>
        <w:pStyle w:val="Corpodetexto"/>
        <w:spacing w:before="197"/>
      </w:pPr>
    </w:p>
    <w:p w14:paraId="67657691" w14:textId="77777777" w:rsidR="002C6574" w:rsidRDefault="00000000">
      <w:pPr>
        <w:ind w:right="562"/>
        <w:jc w:val="center"/>
        <w:rPr>
          <w:rFonts w:ascii="Arial" w:hAnsi="Arial"/>
          <w:b/>
        </w:rPr>
      </w:pPr>
      <w:r>
        <w:rPr>
          <w:rFonts w:ascii="Arial" w:hAnsi="Arial"/>
          <w:b/>
        </w:rPr>
        <w:t>Brasília,</w:t>
      </w:r>
      <w:r>
        <w:rPr>
          <w:rFonts w:ascii="Arial" w:hAnsi="Arial"/>
          <w:b/>
          <w:spacing w:val="-2"/>
        </w:rPr>
        <w:t xml:space="preserve"> </w:t>
      </w:r>
      <w:r>
        <w:rPr>
          <w:rFonts w:ascii="Arial" w:hAnsi="Arial"/>
          <w:b/>
        </w:rPr>
        <w:t>DF,</w:t>
      </w:r>
      <w:r>
        <w:rPr>
          <w:rFonts w:ascii="Arial" w:hAnsi="Arial"/>
          <w:b/>
          <w:spacing w:val="-2"/>
        </w:rPr>
        <w:t xml:space="preserve"> </w:t>
      </w:r>
      <w:r>
        <w:rPr>
          <w:rFonts w:ascii="Arial" w:hAnsi="Arial"/>
          <w:b/>
        </w:rPr>
        <w:t>25</w:t>
      </w:r>
      <w:r>
        <w:rPr>
          <w:rFonts w:ascii="Arial" w:hAnsi="Arial"/>
          <w:b/>
          <w:spacing w:val="-5"/>
        </w:rPr>
        <w:t xml:space="preserve"> </w:t>
      </w:r>
      <w:r>
        <w:rPr>
          <w:rFonts w:ascii="Arial" w:hAnsi="Arial"/>
          <w:b/>
        </w:rPr>
        <w:t>fevereiro</w:t>
      </w:r>
      <w:r>
        <w:rPr>
          <w:rFonts w:ascii="Arial" w:hAnsi="Arial"/>
          <w:b/>
          <w:spacing w:val="-3"/>
        </w:rPr>
        <w:t xml:space="preserve"> </w:t>
      </w:r>
      <w:r>
        <w:rPr>
          <w:rFonts w:ascii="Arial" w:hAnsi="Arial"/>
          <w:b/>
        </w:rPr>
        <w:t>de</w:t>
      </w:r>
      <w:r>
        <w:rPr>
          <w:rFonts w:ascii="Arial" w:hAnsi="Arial"/>
          <w:b/>
          <w:spacing w:val="-2"/>
        </w:rPr>
        <w:t xml:space="preserve"> </w:t>
      </w:r>
      <w:r>
        <w:rPr>
          <w:rFonts w:ascii="Arial" w:hAnsi="Arial"/>
          <w:b/>
          <w:spacing w:val="-4"/>
        </w:rPr>
        <w:t>2026</w:t>
      </w:r>
    </w:p>
    <w:p w14:paraId="3A828399" w14:textId="77777777" w:rsidR="002C6574" w:rsidRDefault="002C6574">
      <w:pPr>
        <w:pStyle w:val="Corpodetexto"/>
        <w:rPr>
          <w:rFonts w:ascii="Arial"/>
          <w:b/>
        </w:rPr>
      </w:pPr>
    </w:p>
    <w:p w14:paraId="3BFF6624" w14:textId="77777777" w:rsidR="002C6574" w:rsidRDefault="002C6574">
      <w:pPr>
        <w:pStyle w:val="Corpodetexto"/>
        <w:rPr>
          <w:rFonts w:ascii="Arial"/>
          <w:b/>
        </w:rPr>
      </w:pPr>
    </w:p>
    <w:p w14:paraId="4FFE3996" w14:textId="77777777" w:rsidR="002C6574" w:rsidRDefault="002C6574">
      <w:pPr>
        <w:pStyle w:val="Corpodetexto"/>
        <w:rPr>
          <w:rFonts w:ascii="Arial"/>
          <w:b/>
        </w:rPr>
      </w:pPr>
    </w:p>
    <w:p w14:paraId="66F40668" w14:textId="77777777" w:rsidR="002C6574" w:rsidRDefault="002C6574">
      <w:pPr>
        <w:pStyle w:val="Corpodetexto"/>
        <w:spacing w:before="21"/>
        <w:rPr>
          <w:rFonts w:ascii="Arial"/>
          <w:b/>
        </w:rPr>
      </w:pPr>
    </w:p>
    <w:p w14:paraId="3AA6B898" w14:textId="77777777" w:rsidR="002C6574" w:rsidRDefault="00000000">
      <w:pPr>
        <w:spacing w:line="238" w:lineRule="exact"/>
        <w:ind w:left="452" w:right="1015"/>
        <w:jc w:val="center"/>
        <w:rPr>
          <w:rFonts w:ascii="Arial"/>
          <w:b/>
        </w:rPr>
      </w:pPr>
      <w:r>
        <w:rPr>
          <w:rFonts w:ascii="Arial"/>
          <w:b/>
        </w:rPr>
        <w:t>HERMANO</w:t>
      </w:r>
      <w:r>
        <w:rPr>
          <w:rFonts w:ascii="Arial"/>
          <w:b/>
          <w:spacing w:val="-3"/>
        </w:rPr>
        <w:t xml:space="preserve"> </w:t>
      </w:r>
      <w:r>
        <w:rPr>
          <w:rFonts w:ascii="Arial"/>
          <w:b/>
        </w:rPr>
        <w:t>STUDART</w:t>
      </w:r>
      <w:r>
        <w:rPr>
          <w:rFonts w:ascii="Arial"/>
          <w:b/>
          <w:spacing w:val="-2"/>
        </w:rPr>
        <w:t xml:space="preserve"> </w:t>
      </w:r>
      <w:r>
        <w:rPr>
          <w:rFonts w:ascii="Arial"/>
          <w:b/>
        </w:rPr>
        <w:t>LINS</w:t>
      </w:r>
      <w:r>
        <w:rPr>
          <w:rFonts w:ascii="Arial"/>
          <w:b/>
          <w:spacing w:val="-5"/>
        </w:rPr>
        <w:t xml:space="preserve"> </w:t>
      </w:r>
      <w:r>
        <w:rPr>
          <w:rFonts w:ascii="Arial"/>
          <w:b/>
        </w:rPr>
        <w:t>DE</w:t>
      </w:r>
      <w:r>
        <w:rPr>
          <w:rFonts w:ascii="Arial"/>
          <w:b/>
          <w:spacing w:val="-5"/>
        </w:rPr>
        <w:t xml:space="preserve"> </w:t>
      </w:r>
      <w:r>
        <w:rPr>
          <w:rFonts w:ascii="Arial"/>
          <w:b/>
          <w:spacing w:val="-2"/>
        </w:rPr>
        <w:t>ALBUQUERQUE</w:t>
      </w:r>
    </w:p>
    <w:p w14:paraId="29047FE1" w14:textId="77777777" w:rsidR="002C6574" w:rsidRDefault="00000000">
      <w:pPr>
        <w:pStyle w:val="Corpodetexto"/>
        <w:spacing w:line="278" w:lineRule="exact"/>
        <w:ind w:right="563"/>
        <w:jc w:val="center"/>
      </w:pPr>
      <w:r>
        <w:rPr>
          <w:spacing w:val="-2"/>
        </w:rPr>
        <w:t>Presidente</w:t>
      </w:r>
    </w:p>
    <w:p w14:paraId="2CAA9A5B" w14:textId="77777777" w:rsidR="002C6574" w:rsidRDefault="002C6574">
      <w:pPr>
        <w:pStyle w:val="Corpodetexto"/>
      </w:pPr>
    </w:p>
    <w:p w14:paraId="27F050B4" w14:textId="77777777" w:rsidR="002C6574" w:rsidRDefault="002C6574">
      <w:pPr>
        <w:pStyle w:val="Corpodetexto"/>
        <w:spacing w:before="257"/>
      </w:pPr>
    </w:p>
    <w:p w14:paraId="4954D358" w14:textId="77777777" w:rsidR="002C6574" w:rsidRDefault="00000000">
      <w:pPr>
        <w:tabs>
          <w:tab w:val="left" w:pos="5692"/>
        </w:tabs>
        <w:spacing w:line="237" w:lineRule="exact"/>
        <w:ind w:left="338"/>
        <w:rPr>
          <w:rFonts w:ascii="Arial" w:hAnsi="Arial"/>
          <w:b/>
        </w:rPr>
      </w:pPr>
      <w:r>
        <w:rPr>
          <w:rFonts w:ascii="Arial" w:hAnsi="Arial"/>
          <w:b/>
        </w:rPr>
        <w:t>ANDRE</w:t>
      </w:r>
      <w:r>
        <w:rPr>
          <w:rFonts w:ascii="Arial" w:hAnsi="Arial"/>
          <w:b/>
          <w:spacing w:val="-3"/>
        </w:rPr>
        <w:t xml:space="preserve"> </w:t>
      </w:r>
      <w:r>
        <w:rPr>
          <w:rFonts w:ascii="Arial" w:hAnsi="Arial"/>
          <w:b/>
        </w:rPr>
        <w:t>CHAGAS</w:t>
      </w:r>
      <w:r>
        <w:rPr>
          <w:rFonts w:ascii="Arial" w:hAnsi="Arial"/>
          <w:b/>
          <w:spacing w:val="-3"/>
        </w:rPr>
        <w:t xml:space="preserve"> </w:t>
      </w:r>
      <w:r>
        <w:rPr>
          <w:rFonts w:ascii="Arial" w:hAnsi="Arial"/>
          <w:b/>
        </w:rPr>
        <w:t>LEITE</w:t>
      </w:r>
      <w:r>
        <w:rPr>
          <w:rFonts w:ascii="Arial" w:hAnsi="Arial"/>
          <w:b/>
          <w:spacing w:val="-4"/>
        </w:rPr>
        <w:t xml:space="preserve"> </w:t>
      </w:r>
      <w:r>
        <w:rPr>
          <w:rFonts w:ascii="Arial" w:hAnsi="Arial"/>
          <w:b/>
        </w:rPr>
        <w:t>DA</w:t>
      </w:r>
      <w:r>
        <w:rPr>
          <w:rFonts w:ascii="Arial" w:hAnsi="Arial"/>
          <w:b/>
          <w:spacing w:val="-2"/>
        </w:rPr>
        <w:t xml:space="preserve"> FONSECA</w:t>
      </w:r>
      <w:r>
        <w:rPr>
          <w:rFonts w:ascii="Arial" w:hAnsi="Arial"/>
          <w:b/>
        </w:rPr>
        <w:tab/>
        <w:t>TATIANA</w:t>
      </w:r>
      <w:r>
        <w:rPr>
          <w:rFonts w:ascii="Arial" w:hAnsi="Arial"/>
          <w:b/>
          <w:spacing w:val="-6"/>
        </w:rPr>
        <w:t xml:space="preserve"> </w:t>
      </w:r>
      <w:r>
        <w:rPr>
          <w:rFonts w:ascii="Arial" w:hAnsi="Arial"/>
          <w:b/>
        </w:rPr>
        <w:t>RÚBIA</w:t>
      </w:r>
      <w:r>
        <w:rPr>
          <w:rFonts w:ascii="Arial" w:hAnsi="Arial"/>
          <w:b/>
          <w:spacing w:val="-4"/>
        </w:rPr>
        <w:t xml:space="preserve"> </w:t>
      </w:r>
      <w:r>
        <w:rPr>
          <w:rFonts w:ascii="Arial" w:hAnsi="Arial"/>
          <w:b/>
        </w:rPr>
        <w:t>MELO</w:t>
      </w:r>
      <w:r>
        <w:rPr>
          <w:rFonts w:ascii="Arial" w:hAnsi="Arial"/>
          <w:b/>
          <w:spacing w:val="-4"/>
        </w:rPr>
        <w:t xml:space="preserve"> </w:t>
      </w:r>
      <w:r>
        <w:rPr>
          <w:rFonts w:ascii="Arial" w:hAnsi="Arial"/>
          <w:b/>
          <w:spacing w:val="-2"/>
        </w:rPr>
        <w:t>MIRANDA</w:t>
      </w:r>
    </w:p>
    <w:p w14:paraId="563CBB86" w14:textId="77777777" w:rsidR="002C6574" w:rsidRDefault="00000000">
      <w:pPr>
        <w:pStyle w:val="Corpodetexto"/>
        <w:tabs>
          <w:tab w:val="left" w:pos="5586"/>
        </w:tabs>
        <w:spacing w:before="18" w:line="206" w:lineRule="auto"/>
        <w:ind w:left="5982" w:right="1176" w:hanging="5100"/>
      </w:pPr>
      <w:r>
        <w:t>Diretoria Técnico-Operacional</w:t>
      </w:r>
      <w:r>
        <w:tab/>
        <w:t>Diretoria</w:t>
      </w:r>
      <w:r>
        <w:rPr>
          <w:spacing w:val="-11"/>
        </w:rPr>
        <w:t xml:space="preserve"> </w:t>
      </w:r>
      <w:r>
        <w:t>Administrativo-Financeira</w:t>
      </w:r>
      <w:r>
        <w:rPr>
          <w:spacing w:val="-11"/>
        </w:rPr>
        <w:t xml:space="preserve"> </w:t>
      </w:r>
      <w:r>
        <w:t>e</w:t>
      </w:r>
      <w:r>
        <w:rPr>
          <w:spacing w:val="-9"/>
        </w:rPr>
        <w:t xml:space="preserve"> </w:t>
      </w:r>
      <w:r>
        <w:t>de Relações com Investidores</w:t>
      </w:r>
    </w:p>
    <w:p w14:paraId="72F2D460" w14:textId="77777777" w:rsidR="002C6574" w:rsidRDefault="002C6574">
      <w:pPr>
        <w:pStyle w:val="Corpodetexto"/>
        <w:spacing w:before="186"/>
        <w:rPr>
          <w:sz w:val="20"/>
        </w:rPr>
      </w:pPr>
    </w:p>
    <w:p w14:paraId="68CA58C4" w14:textId="77777777" w:rsidR="002C6574" w:rsidRDefault="002C6574">
      <w:pPr>
        <w:pStyle w:val="Corpodetexto"/>
        <w:rPr>
          <w:sz w:val="20"/>
        </w:rPr>
        <w:sectPr w:rsidR="002C6574">
          <w:pgSz w:w="11910" w:h="16840"/>
          <w:pgMar w:top="1820" w:right="141" w:bottom="1320" w:left="1133" w:header="1084" w:footer="1100" w:gutter="0"/>
          <w:cols w:space="720"/>
        </w:sectPr>
      </w:pPr>
    </w:p>
    <w:p w14:paraId="35BC34A4" w14:textId="77777777" w:rsidR="002C6574" w:rsidRDefault="00000000">
      <w:pPr>
        <w:spacing w:before="93" w:line="237" w:lineRule="exact"/>
        <w:ind w:left="648"/>
        <w:jc w:val="center"/>
        <w:rPr>
          <w:rFonts w:ascii="Arial"/>
          <w:b/>
        </w:rPr>
      </w:pPr>
      <w:r>
        <w:rPr>
          <w:rFonts w:ascii="Arial"/>
          <w:b/>
        </w:rPr>
        <w:t>LEVI</w:t>
      </w:r>
      <w:r>
        <w:rPr>
          <w:rFonts w:ascii="Arial"/>
          <w:b/>
          <w:spacing w:val="-4"/>
        </w:rPr>
        <w:t xml:space="preserve"> </w:t>
      </w:r>
      <w:r>
        <w:rPr>
          <w:rFonts w:ascii="Arial"/>
          <w:b/>
        </w:rPr>
        <w:t>PEREIRA</w:t>
      </w:r>
      <w:r>
        <w:rPr>
          <w:rFonts w:ascii="Arial"/>
          <w:b/>
          <w:spacing w:val="-5"/>
        </w:rPr>
        <w:t xml:space="preserve"> </w:t>
      </w:r>
      <w:r>
        <w:rPr>
          <w:rFonts w:ascii="Arial"/>
          <w:b/>
        </w:rPr>
        <w:t>FIGUEIREDO</w:t>
      </w:r>
      <w:r>
        <w:rPr>
          <w:rFonts w:ascii="Arial"/>
          <w:b/>
          <w:spacing w:val="-5"/>
        </w:rPr>
        <w:t xml:space="preserve"> </w:t>
      </w:r>
      <w:r>
        <w:rPr>
          <w:rFonts w:ascii="Arial"/>
          <w:b/>
          <w:spacing w:val="-4"/>
        </w:rPr>
        <w:t>NETO</w:t>
      </w:r>
    </w:p>
    <w:p w14:paraId="103C3E77" w14:textId="77777777" w:rsidR="002C6574" w:rsidRDefault="00000000">
      <w:pPr>
        <w:pStyle w:val="Corpodetexto"/>
        <w:spacing w:line="277" w:lineRule="exact"/>
        <w:ind w:left="649"/>
        <w:jc w:val="center"/>
      </w:pPr>
      <w:r>
        <w:rPr>
          <w:spacing w:val="-2"/>
        </w:rPr>
        <w:t>Diretoria</w:t>
      </w:r>
      <w:r>
        <w:rPr>
          <w:spacing w:val="1"/>
        </w:rPr>
        <w:t xml:space="preserve"> </w:t>
      </w:r>
      <w:r>
        <w:rPr>
          <w:spacing w:val="-2"/>
        </w:rPr>
        <w:t>Comercial</w:t>
      </w:r>
    </w:p>
    <w:p w14:paraId="72350842" w14:textId="77777777" w:rsidR="002C6574" w:rsidRDefault="00000000">
      <w:pPr>
        <w:spacing w:before="93" w:line="237" w:lineRule="exact"/>
        <w:ind w:left="688"/>
        <w:rPr>
          <w:rFonts w:ascii="Arial" w:hAnsi="Arial"/>
          <w:b/>
        </w:rPr>
      </w:pPr>
      <w:r>
        <w:br w:type="column"/>
      </w:r>
      <w:r>
        <w:rPr>
          <w:rFonts w:ascii="Arial" w:hAnsi="Arial"/>
          <w:b/>
        </w:rPr>
        <w:t>TATIANA</w:t>
      </w:r>
      <w:r>
        <w:rPr>
          <w:rFonts w:ascii="Arial" w:hAnsi="Arial"/>
          <w:b/>
          <w:spacing w:val="-4"/>
        </w:rPr>
        <w:t xml:space="preserve"> </w:t>
      </w:r>
      <w:r>
        <w:rPr>
          <w:rFonts w:ascii="Arial" w:hAnsi="Arial"/>
          <w:b/>
        </w:rPr>
        <w:t>RÚBIA</w:t>
      </w:r>
      <w:r>
        <w:rPr>
          <w:rFonts w:ascii="Arial" w:hAnsi="Arial"/>
          <w:b/>
          <w:spacing w:val="-4"/>
        </w:rPr>
        <w:t xml:space="preserve"> </w:t>
      </w:r>
      <w:r>
        <w:rPr>
          <w:rFonts w:ascii="Arial" w:hAnsi="Arial"/>
          <w:b/>
        </w:rPr>
        <w:t>MELO</w:t>
      </w:r>
      <w:r>
        <w:rPr>
          <w:rFonts w:ascii="Arial" w:hAnsi="Arial"/>
          <w:b/>
          <w:spacing w:val="-6"/>
        </w:rPr>
        <w:t xml:space="preserve"> </w:t>
      </w:r>
      <w:r>
        <w:rPr>
          <w:rFonts w:ascii="Arial" w:hAnsi="Arial"/>
          <w:b/>
          <w:spacing w:val="-2"/>
        </w:rPr>
        <w:t>MIRANDA</w:t>
      </w:r>
    </w:p>
    <w:p w14:paraId="778AD28B" w14:textId="77777777" w:rsidR="002C6574" w:rsidRDefault="00000000">
      <w:pPr>
        <w:pStyle w:val="Corpodetexto"/>
        <w:spacing w:line="277" w:lineRule="exact"/>
        <w:ind w:left="779"/>
      </w:pPr>
      <w:r>
        <w:t>Diretoria</w:t>
      </w:r>
      <w:r>
        <w:rPr>
          <w:spacing w:val="6"/>
        </w:rPr>
        <w:t xml:space="preserve"> </w:t>
      </w:r>
      <w:r>
        <w:t>de</w:t>
      </w:r>
      <w:r>
        <w:rPr>
          <w:spacing w:val="8"/>
        </w:rPr>
        <w:t xml:space="preserve"> </w:t>
      </w:r>
      <w:r>
        <w:t>Governança</w:t>
      </w:r>
      <w:r>
        <w:rPr>
          <w:spacing w:val="7"/>
        </w:rPr>
        <w:t xml:space="preserve"> </w:t>
      </w:r>
      <w:r>
        <w:rPr>
          <w:spacing w:val="-2"/>
        </w:rPr>
        <w:t>(Interina)</w:t>
      </w:r>
    </w:p>
    <w:p w14:paraId="23BC2764" w14:textId="77777777" w:rsidR="002C6574" w:rsidRDefault="002C6574">
      <w:pPr>
        <w:pStyle w:val="Corpodetexto"/>
        <w:spacing w:line="277" w:lineRule="exact"/>
        <w:sectPr w:rsidR="002C6574">
          <w:type w:val="continuous"/>
          <w:pgSz w:w="11910" w:h="16840"/>
          <w:pgMar w:top="0" w:right="141" w:bottom="0" w:left="1133" w:header="1084" w:footer="1100" w:gutter="0"/>
          <w:cols w:num="2" w:space="720" w:equalWidth="0">
            <w:col w:w="4361" w:space="412"/>
            <w:col w:w="5863"/>
          </w:cols>
        </w:sectPr>
      </w:pPr>
    </w:p>
    <w:p w14:paraId="043FFBC7" w14:textId="77777777" w:rsidR="002C6574" w:rsidRDefault="002C6574">
      <w:pPr>
        <w:pStyle w:val="Corpodetexto"/>
      </w:pPr>
    </w:p>
    <w:p w14:paraId="25AAA99B" w14:textId="77777777" w:rsidR="002C6574" w:rsidRDefault="002C6574">
      <w:pPr>
        <w:pStyle w:val="Corpodetexto"/>
        <w:spacing w:before="118"/>
      </w:pPr>
    </w:p>
    <w:p w14:paraId="1F396E83" w14:textId="77777777" w:rsidR="002C6574" w:rsidRDefault="00000000">
      <w:pPr>
        <w:spacing w:line="237" w:lineRule="exact"/>
        <w:ind w:right="566"/>
        <w:jc w:val="center"/>
        <w:rPr>
          <w:rFonts w:ascii="Arial" w:hAnsi="Arial"/>
          <w:b/>
        </w:rPr>
      </w:pPr>
      <w:r>
        <w:rPr>
          <w:rFonts w:ascii="Arial" w:hAnsi="Arial"/>
          <w:b/>
        </w:rPr>
        <w:t>ARTUR</w:t>
      </w:r>
      <w:r>
        <w:rPr>
          <w:rFonts w:ascii="Arial" w:hAnsi="Arial"/>
          <w:b/>
          <w:spacing w:val="-2"/>
        </w:rPr>
        <w:t xml:space="preserve"> </w:t>
      </w:r>
      <w:r>
        <w:rPr>
          <w:rFonts w:ascii="Arial" w:hAnsi="Arial"/>
          <w:b/>
        </w:rPr>
        <w:t>JOSÉ</w:t>
      </w:r>
      <w:r>
        <w:rPr>
          <w:rFonts w:ascii="Arial" w:hAnsi="Arial"/>
          <w:b/>
          <w:spacing w:val="-6"/>
        </w:rPr>
        <w:t xml:space="preserve"> </w:t>
      </w:r>
      <w:r>
        <w:rPr>
          <w:rFonts w:ascii="Arial" w:hAnsi="Arial"/>
          <w:b/>
        </w:rPr>
        <w:t>SIMÃO</w:t>
      </w:r>
      <w:r>
        <w:rPr>
          <w:rFonts w:ascii="Arial" w:hAnsi="Arial"/>
          <w:b/>
          <w:spacing w:val="-3"/>
        </w:rPr>
        <w:t xml:space="preserve"> </w:t>
      </w:r>
      <w:r>
        <w:rPr>
          <w:rFonts w:ascii="Arial" w:hAnsi="Arial"/>
          <w:b/>
          <w:spacing w:val="-2"/>
        </w:rPr>
        <w:t>PEDREIRA</w:t>
      </w:r>
    </w:p>
    <w:p w14:paraId="79514AD6" w14:textId="77777777" w:rsidR="002C6574" w:rsidRDefault="00000000">
      <w:pPr>
        <w:pStyle w:val="Corpodetexto"/>
        <w:spacing w:line="277" w:lineRule="exact"/>
        <w:ind w:right="562"/>
        <w:jc w:val="center"/>
      </w:pPr>
      <w:r>
        <w:t>Contador</w:t>
      </w:r>
      <w:r>
        <w:rPr>
          <w:spacing w:val="25"/>
        </w:rPr>
        <w:t xml:space="preserve"> </w:t>
      </w:r>
      <w:r>
        <w:t>CRC/DF</w:t>
      </w:r>
      <w:r>
        <w:rPr>
          <w:spacing w:val="21"/>
        </w:rPr>
        <w:t xml:space="preserve"> </w:t>
      </w:r>
      <w:r>
        <w:t>008412/0-</w:t>
      </w:r>
      <w:r>
        <w:rPr>
          <w:spacing w:val="-10"/>
        </w:rPr>
        <w:t>9</w:t>
      </w:r>
    </w:p>
    <w:p w14:paraId="3EB0FD3C" w14:textId="77777777" w:rsidR="002C6574" w:rsidRDefault="002C6574">
      <w:pPr>
        <w:pStyle w:val="Corpodetexto"/>
        <w:spacing w:line="277" w:lineRule="exact"/>
        <w:jc w:val="center"/>
        <w:sectPr w:rsidR="002C6574">
          <w:type w:val="continuous"/>
          <w:pgSz w:w="11910" w:h="16840"/>
          <w:pgMar w:top="0" w:right="141" w:bottom="0" w:left="1133" w:header="1084" w:footer="1100" w:gutter="0"/>
          <w:cols w:space="720"/>
        </w:sectPr>
      </w:pPr>
    </w:p>
    <w:p w14:paraId="26EFCCA0" w14:textId="77777777" w:rsidR="002C6574" w:rsidRDefault="00000000">
      <w:pPr>
        <w:pStyle w:val="Corpodetexto"/>
        <w:ind w:left="3857"/>
        <w:rPr>
          <w:sz w:val="20"/>
        </w:rPr>
      </w:pPr>
      <w:r>
        <w:rPr>
          <w:noProof/>
          <w:sz w:val="20"/>
        </w:rPr>
        <w:lastRenderedPageBreak/>
        <w:drawing>
          <wp:inline distT="0" distB="0" distL="0" distR="0" wp14:anchorId="3FF56840" wp14:editId="44AD453A">
            <wp:extent cx="1302428" cy="368046"/>
            <wp:effectExtent l="0" t="0" r="0" b="0"/>
            <wp:docPr id="173" name="Image 173" descr="Logotipo, nome da empresa  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Logotipo, nome da empresa  O conteúdo gerado por IA pode estar incorreto."/>
                    <pic:cNvPicPr/>
                  </pic:nvPicPr>
                  <pic:blipFill>
                    <a:blip r:embed="rId99" cstate="print"/>
                    <a:stretch>
                      <a:fillRect/>
                    </a:stretch>
                  </pic:blipFill>
                  <pic:spPr>
                    <a:xfrm>
                      <a:off x="0" y="0"/>
                      <a:ext cx="1302428" cy="368046"/>
                    </a:xfrm>
                    <a:prstGeom prst="rect">
                      <a:avLst/>
                    </a:prstGeom>
                  </pic:spPr>
                </pic:pic>
              </a:graphicData>
            </a:graphic>
          </wp:inline>
        </w:drawing>
      </w:r>
    </w:p>
    <w:p w14:paraId="5889EA32" w14:textId="77777777" w:rsidR="002C6574" w:rsidRDefault="00000000">
      <w:pPr>
        <w:spacing w:before="41"/>
        <w:ind w:right="845"/>
        <w:jc w:val="center"/>
        <w:rPr>
          <w:rFonts w:ascii="Trebuchet MS" w:hAnsi="Trebuchet MS"/>
          <w:b/>
          <w:sz w:val="16"/>
        </w:rPr>
      </w:pPr>
      <w:r>
        <w:rPr>
          <w:rFonts w:ascii="Trebuchet MS" w:hAnsi="Trebuchet MS"/>
          <w:b/>
          <w:spacing w:val="2"/>
          <w:sz w:val="16"/>
        </w:rPr>
        <w:t>TELECOMUNICAÇÕES</w:t>
      </w:r>
      <w:r>
        <w:rPr>
          <w:rFonts w:ascii="Trebuchet MS" w:hAnsi="Trebuchet MS"/>
          <w:b/>
          <w:spacing w:val="-3"/>
          <w:sz w:val="16"/>
        </w:rPr>
        <w:t xml:space="preserve"> </w:t>
      </w:r>
      <w:r>
        <w:rPr>
          <w:rFonts w:ascii="Trebuchet MS" w:hAnsi="Trebuchet MS"/>
          <w:b/>
          <w:spacing w:val="2"/>
          <w:sz w:val="16"/>
        </w:rPr>
        <w:t xml:space="preserve">BRASILEIRAS </w:t>
      </w:r>
      <w:r>
        <w:rPr>
          <w:rFonts w:ascii="Trebuchet MS" w:hAnsi="Trebuchet MS"/>
          <w:b/>
          <w:spacing w:val="-4"/>
          <w:sz w:val="16"/>
        </w:rPr>
        <w:t>S.A.</w:t>
      </w:r>
    </w:p>
    <w:p w14:paraId="3DEA525C" w14:textId="77777777" w:rsidR="002C6574" w:rsidRDefault="00000000">
      <w:pPr>
        <w:spacing w:before="11" w:line="292" w:lineRule="auto"/>
        <w:ind w:left="3214" w:right="4057" w:hanging="4"/>
        <w:jc w:val="center"/>
        <w:rPr>
          <w:rFonts w:ascii="Trebuchet MS" w:hAnsi="Trebuchet MS"/>
          <w:b/>
          <w:sz w:val="16"/>
        </w:rPr>
      </w:pPr>
      <w:r>
        <w:rPr>
          <w:rFonts w:ascii="Trebuchet MS" w:hAnsi="Trebuchet MS"/>
          <w:b/>
          <w:sz w:val="16"/>
        </w:rPr>
        <w:t xml:space="preserve">Vinculada ao Ministério das Comunicações </w:t>
      </w:r>
      <w:r>
        <w:rPr>
          <w:rFonts w:ascii="Trebuchet MS" w:hAnsi="Trebuchet MS"/>
          <w:b/>
          <w:w w:val="90"/>
          <w:sz w:val="16"/>
        </w:rPr>
        <w:t xml:space="preserve">CNPJ 00.336.701.0001-04 - NIRE: 5330000223/1 </w:t>
      </w:r>
      <w:r>
        <w:rPr>
          <w:rFonts w:ascii="Trebuchet MS" w:hAnsi="Trebuchet MS"/>
          <w:b/>
          <w:sz w:val="16"/>
        </w:rPr>
        <w:t>CONSELHO</w:t>
      </w:r>
      <w:r>
        <w:rPr>
          <w:rFonts w:ascii="Trebuchet MS" w:hAnsi="Trebuchet MS"/>
          <w:b/>
          <w:spacing w:val="-16"/>
          <w:sz w:val="16"/>
        </w:rPr>
        <w:t xml:space="preserve"> </w:t>
      </w:r>
      <w:r>
        <w:rPr>
          <w:rFonts w:ascii="Trebuchet MS" w:hAnsi="Trebuchet MS"/>
          <w:b/>
          <w:sz w:val="16"/>
        </w:rPr>
        <w:t>FISCAL</w:t>
      </w:r>
    </w:p>
    <w:p w14:paraId="6166773A" w14:textId="77777777" w:rsidR="002C6574" w:rsidRDefault="002C6574">
      <w:pPr>
        <w:pStyle w:val="Corpodetexto"/>
        <w:rPr>
          <w:rFonts w:ascii="Trebuchet MS"/>
          <w:b/>
          <w:sz w:val="16"/>
        </w:rPr>
      </w:pPr>
    </w:p>
    <w:p w14:paraId="32F8C3D0" w14:textId="77777777" w:rsidR="002C6574" w:rsidRDefault="002C6574">
      <w:pPr>
        <w:pStyle w:val="Corpodetexto"/>
        <w:spacing w:before="125"/>
        <w:rPr>
          <w:rFonts w:ascii="Trebuchet MS"/>
          <w:b/>
          <w:sz w:val="16"/>
        </w:rPr>
      </w:pPr>
    </w:p>
    <w:p w14:paraId="0C7CD0F1" w14:textId="77777777" w:rsidR="002C6574" w:rsidRDefault="00000000">
      <w:pPr>
        <w:ind w:right="848"/>
        <w:jc w:val="center"/>
        <w:rPr>
          <w:rFonts w:ascii="Calibri Light"/>
          <w:sz w:val="24"/>
        </w:rPr>
      </w:pPr>
      <w:r>
        <w:rPr>
          <w:rFonts w:ascii="Calibri Light"/>
          <w:sz w:val="24"/>
        </w:rPr>
        <w:t>PARECER</w:t>
      </w:r>
      <w:r>
        <w:rPr>
          <w:rFonts w:ascii="Calibri Light"/>
          <w:spacing w:val="-11"/>
          <w:sz w:val="24"/>
        </w:rPr>
        <w:t xml:space="preserve"> </w:t>
      </w:r>
      <w:r>
        <w:rPr>
          <w:rFonts w:ascii="Calibri Light"/>
          <w:sz w:val="24"/>
        </w:rPr>
        <w:t>DO</w:t>
      </w:r>
      <w:r>
        <w:rPr>
          <w:rFonts w:ascii="Calibri Light"/>
          <w:spacing w:val="-11"/>
          <w:sz w:val="24"/>
        </w:rPr>
        <w:t xml:space="preserve"> </w:t>
      </w:r>
      <w:r>
        <w:rPr>
          <w:rFonts w:ascii="Calibri Light"/>
          <w:sz w:val="24"/>
        </w:rPr>
        <w:t>CONSELHO</w:t>
      </w:r>
      <w:r>
        <w:rPr>
          <w:rFonts w:ascii="Calibri Light"/>
          <w:spacing w:val="-12"/>
          <w:sz w:val="24"/>
        </w:rPr>
        <w:t xml:space="preserve"> </w:t>
      </w:r>
      <w:r>
        <w:rPr>
          <w:rFonts w:ascii="Calibri Light"/>
          <w:spacing w:val="-2"/>
          <w:sz w:val="24"/>
        </w:rPr>
        <w:t>FISCAL</w:t>
      </w:r>
    </w:p>
    <w:p w14:paraId="2B6860E1" w14:textId="77777777" w:rsidR="002C6574" w:rsidRDefault="00000000">
      <w:pPr>
        <w:spacing w:before="207"/>
        <w:ind w:left="144"/>
        <w:jc w:val="both"/>
        <w:rPr>
          <w:rFonts w:ascii="Calibri Light" w:hAnsi="Calibri Light"/>
          <w:sz w:val="24"/>
        </w:rPr>
      </w:pPr>
      <w:r>
        <w:rPr>
          <w:rFonts w:ascii="Calibri Light" w:hAnsi="Calibri Light"/>
          <w:sz w:val="24"/>
        </w:rPr>
        <w:t>Relatório</w:t>
      </w:r>
      <w:r>
        <w:rPr>
          <w:rFonts w:ascii="Calibri Light" w:hAnsi="Calibri Light"/>
          <w:spacing w:val="-10"/>
          <w:sz w:val="24"/>
        </w:rPr>
        <w:t xml:space="preserve"> </w:t>
      </w:r>
      <w:r>
        <w:rPr>
          <w:rFonts w:ascii="Calibri Light" w:hAnsi="Calibri Light"/>
          <w:sz w:val="24"/>
        </w:rPr>
        <w:t>da</w:t>
      </w:r>
      <w:r>
        <w:rPr>
          <w:rFonts w:ascii="Calibri Light" w:hAnsi="Calibri Light"/>
          <w:spacing w:val="-6"/>
          <w:sz w:val="24"/>
        </w:rPr>
        <w:t xml:space="preserve"> </w:t>
      </w:r>
      <w:r>
        <w:rPr>
          <w:rFonts w:ascii="Calibri Light" w:hAnsi="Calibri Light"/>
          <w:sz w:val="24"/>
        </w:rPr>
        <w:t>Administração</w:t>
      </w:r>
      <w:r>
        <w:rPr>
          <w:rFonts w:ascii="Calibri Light" w:hAnsi="Calibri Light"/>
          <w:spacing w:val="-8"/>
          <w:sz w:val="24"/>
        </w:rPr>
        <w:t xml:space="preserve"> </w:t>
      </w:r>
      <w:r>
        <w:rPr>
          <w:rFonts w:ascii="Calibri Light" w:hAnsi="Calibri Light"/>
          <w:sz w:val="24"/>
        </w:rPr>
        <w:t>e</w:t>
      </w:r>
      <w:r>
        <w:rPr>
          <w:rFonts w:ascii="Calibri Light" w:hAnsi="Calibri Light"/>
          <w:spacing w:val="-8"/>
          <w:sz w:val="24"/>
        </w:rPr>
        <w:t xml:space="preserve"> </w:t>
      </w:r>
      <w:r>
        <w:rPr>
          <w:rFonts w:ascii="Calibri Light" w:hAnsi="Calibri Light"/>
          <w:sz w:val="24"/>
        </w:rPr>
        <w:t>Demonstrações</w:t>
      </w:r>
      <w:r>
        <w:rPr>
          <w:rFonts w:ascii="Calibri Light" w:hAnsi="Calibri Light"/>
          <w:spacing w:val="-6"/>
          <w:sz w:val="24"/>
        </w:rPr>
        <w:t xml:space="preserve"> </w:t>
      </w:r>
      <w:r>
        <w:rPr>
          <w:rFonts w:ascii="Calibri Light" w:hAnsi="Calibri Light"/>
          <w:sz w:val="24"/>
        </w:rPr>
        <w:t>Financeiras</w:t>
      </w:r>
      <w:r>
        <w:rPr>
          <w:rFonts w:ascii="Calibri Light" w:hAnsi="Calibri Light"/>
          <w:spacing w:val="-6"/>
          <w:sz w:val="24"/>
        </w:rPr>
        <w:t xml:space="preserve"> </w:t>
      </w:r>
      <w:r>
        <w:rPr>
          <w:rFonts w:ascii="Calibri Light" w:hAnsi="Calibri Light"/>
          <w:sz w:val="24"/>
        </w:rPr>
        <w:t>do</w:t>
      </w:r>
      <w:r>
        <w:rPr>
          <w:rFonts w:ascii="Calibri Light" w:hAnsi="Calibri Light"/>
          <w:spacing w:val="-7"/>
          <w:sz w:val="24"/>
        </w:rPr>
        <w:t xml:space="preserve"> </w:t>
      </w:r>
      <w:r>
        <w:rPr>
          <w:rFonts w:ascii="Calibri Light" w:hAnsi="Calibri Light"/>
          <w:sz w:val="24"/>
        </w:rPr>
        <w:t>Exercício</w:t>
      </w:r>
      <w:r>
        <w:rPr>
          <w:rFonts w:ascii="Calibri Light" w:hAnsi="Calibri Light"/>
          <w:spacing w:val="-8"/>
          <w:sz w:val="24"/>
        </w:rPr>
        <w:t xml:space="preserve"> </w:t>
      </w:r>
      <w:r>
        <w:rPr>
          <w:rFonts w:ascii="Calibri Light" w:hAnsi="Calibri Light"/>
          <w:sz w:val="24"/>
        </w:rPr>
        <w:t>Social</w:t>
      </w:r>
      <w:r>
        <w:rPr>
          <w:rFonts w:ascii="Calibri Light" w:hAnsi="Calibri Light"/>
          <w:spacing w:val="-7"/>
          <w:sz w:val="24"/>
        </w:rPr>
        <w:t xml:space="preserve"> </w:t>
      </w:r>
      <w:r>
        <w:rPr>
          <w:rFonts w:ascii="Calibri Light" w:hAnsi="Calibri Light"/>
          <w:sz w:val="24"/>
        </w:rPr>
        <w:t>de</w:t>
      </w:r>
      <w:r>
        <w:rPr>
          <w:rFonts w:ascii="Calibri Light" w:hAnsi="Calibri Light"/>
          <w:spacing w:val="-6"/>
          <w:sz w:val="24"/>
        </w:rPr>
        <w:t xml:space="preserve"> </w:t>
      </w:r>
      <w:r>
        <w:rPr>
          <w:rFonts w:ascii="Calibri Light" w:hAnsi="Calibri Light"/>
          <w:spacing w:val="-2"/>
          <w:sz w:val="24"/>
        </w:rPr>
        <w:t>2025.</w:t>
      </w:r>
    </w:p>
    <w:p w14:paraId="5E595B79" w14:textId="77777777" w:rsidR="002C6574" w:rsidRDefault="00000000">
      <w:pPr>
        <w:spacing w:before="206" w:line="278" w:lineRule="auto"/>
        <w:ind w:left="144" w:right="988"/>
        <w:jc w:val="both"/>
        <w:rPr>
          <w:rFonts w:ascii="Calibri Light" w:hAnsi="Calibri Light"/>
          <w:sz w:val="24"/>
        </w:rPr>
      </w:pPr>
      <w:r>
        <w:rPr>
          <w:rFonts w:ascii="Calibri Light" w:hAnsi="Calibri Light"/>
          <w:sz w:val="24"/>
        </w:rPr>
        <w:t>O</w:t>
      </w:r>
      <w:r>
        <w:rPr>
          <w:rFonts w:ascii="Calibri Light" w:hAnsi="Calibri Light"/>
          <w:spacing w:val="-14"/>
          <w:sz w:val="24"/>
        </w:rPr>
        <w:t xml:space="preserve"> </w:t>
      </w:r>
      <w:r>
        <w:rPr>
          <w:rFonts w:ascii="Calibri Light" w:hAnsi="Calibri Light"/>
          <w:sz w:val="24"/>
        </w:rPr>
        <w:t>Conselho</w:t>
      </w:r>
      <w:r>
        <w:rPr>
          <w:rFonts w:ascii="Calibri Light" w:hAnsi="Calibri Light"/>
          <w:spacing w:val="-14"/>
          <w:sz w:val="24"/>
        </w:rPr>
        <w:t xml:space="preserve"> </w:t>
      </w:r>
      <w:r>
        <w:rPr>
          <w:rFonts w:ascii="Calibri Light" w:hAnsi="Calibri Light"/>
          <w:sz w:val="24"/>
        </w:rPr>
        <w:t>Fiscal</w:t>
      </w:r>
      <w:r>
        <w:rPr>
          <w:rFonts w:ascii="Calibri Light" w:hAnsi="Calibri Light"/>
          <w:spacing w:val="-3"/>
          <w:sz w:val="24"/>
        </w:rPr>
        <w:t xml:space="preserve"> </w:t>
      </w:r>
      <w:r>
        <w:rPr>
          <w:rFonts w:ascii="Calibri Light" w:hAnsi="Calibri Light"/>
          <w:sz w:val="24"/>
        </w:rPr>
        <w:t>da</w:t>
      </w:r>
      <w:r>
        <w:rPr>
          <w:rFonts w:ascii="Calibri Light" w:hAnsi="Calibri Light"/>
          <w:spacing w:val="-2"/>
          <w:sz w:val="24"/>
        </w:rPr>
        <w:t xml:space="preserve"> </w:t>
      </w:r>
      <w:r>
        <w:rPr>
          <w:rFonts w:ascii="Calibri Light" w:hAnsi="Calibri Light"/>
          <w:sz w:val="24"/>
        </w:rPr>
        <w:t>Telecomunicações</w:t>
      </w:r>
      <w:r>
        <w:rPr>
          <w:rFonts w:ascii="Calibri Light" w:hAnsi="Calibri Light"/>
          <w:spacing w:val="-1"/>
          <w:sz w:val="24"/>
        </w:rPr>
        <w:t xml:space="preserve"> </w:t>
      </w:r>
      <w:r>
        <w:rPr>
          <w:rFonts w:ascii="Calibri Light" w:hAnsi="Calibri Light"/>
          <w:sz w:val="24"/>
        </w:rPr>
        <w:t>Brasileiras</w:t>
      </w:r>
      <w:r>
        <w:rPr>
          <w:rFonts w:ascii="Calibri Light" w:hAnsi="Calibri Light"/>
          <w:spacing w:val="-3"/>
          <w:sz w:val="24"/>
        </w:rPr>
        <w:t xml:space="preserve"> </w:t>
      </w:r>
      <w:r>
        <w:rPr>
          <w:rFonts w:ascii="Calibri Light" w:hAnsi="Calibri Light"/>
          <w:sz w:val="24"/>
        </w:rPr>
        <w:t>S.A.</w:t>
      </w:r>
      <w:r>
        <w:rPr>
          <w:rFonts w:ascii="Calibri Light" w:hAnsi="Calibri Light"/>
          <w:spacing w:val="-14"/>
          <w:sz w:val="24"/>
        </w:rPr>
        <w:t xml:space="preserve"> </w:t>
      </w:r>
      <w:r>
        <w:rPr>
          <w:rFonts w:ascii="Calibri Light" w:hAnsi="Calibri Light"/>
          <w:sz w:val="24"/>
        </w:rPr>
        <w:t>- Telebras,</w:t>
      </w:r>
      <w:r>
        <w:rPr>
          <w:rFonts w:ascii="Calibri Light" w:hAnsi="Calibri Light"/>
          <w:spacing w:val="-2"/>
          <w:sz w:val="24"/>
        </w:rPr>
        <w:t xml:space="preserve"> </w:t>
      </w:r>
      <w:r>
        <w:rPr>
          <w:rFonts w:ascii="Calibri Light" w:hAnsi="Calibri Light"/>
          <w:sz w:val="24"/>
        </w:rPr>
        <w:t>em</w:t>
      </w:r>
      <w:r>
        <w:rPr>
          <w:rFonts w:ascii="Calibri Light" w:hAnsi="Calibri Light"/>
          <w:spacing w:val="-2"/>
          <w:sz w:val="24"/>
        </w:rPr>
        <w:t xml:space="preserve"> </w:t>
      </w:r>
      <w:r>
        <w:rPr>
          <w:rFonts w:ascii="Calibri Light" w:hAnsi="Calibri Light"/>
          <w:sz w:val="24"/>
        </w:rPr>
        <w:t>cumprimento</w:t>
      </w:r>
      <w:r>
        <w:rPr>
          <w:rFonts w:ascii="Calibri Light" w:hAnsi="Calibri Light"/>
          <w:spacing w:val="-2"/>
          <w:sz w:val="24"/>
        </w:rPr>
        <w:t xml:space="preserve"> </w:t>
      </w:r>
      <w:r>
        <w:rPr>
          <w:rFonts w:ascii="Calibri Light" w:hAnsi="Calibri Light"/>
          <w:sz w:val="24"/>
        </w:rPr>
        <w:t>ao</w:t>
      </w:r>
      <w:r>
        <w:rPr>
          <w:rFonts w:ascii="Calibri Light" w:hAnsi="Calibri Light"/>
          <w:spacing w:val="-2"/>
          <w:sz w:val="24"/>
        </w:rPr>
        <w:t xml:space="preserve"> </w:t>
      </w:r>
      <w:r>
        <w:rPr>
          <w:rFonts w:ascii="Calibri Light" w:hAnsi="Calibri Light"/>
          <w:sz w:val="24"/>
        </w:rPr>
        <w:t>disposto</w:t>
      </w:r>
      <w:r>
        <w:rPr>
          <w:rFonts w:ascii="Calibri Light" w:hAnsi="Calibri Light"/>
          <w:spacing w:val="-2"/>
          <w:sz w:val="24"/>
        </w:rPr>
        <w:t xml:space="preserve"> </w:t>
      </w:r>
      <w:r>
        <w:rPr>
          <w:rFonts w:ascii="Calibri Light" w:hAnsi="Calibri Light"/>
          <w:sz w:val="24"/>
        </w:rPr>
        <w:t>no art. 163, incisos II e VII, da Lei nº 6.404, de 1976, e no art. 73, inciso II, do Estatuto Social da Companhia, examinou o Relatório da Administração e as Demonstrações Financeiras do exercício social de 2025, compostas pelos seguintes documentos: Relatório dos auditores independentes sobre as demonstrações contábeis individuais e consolidadas; Parecer do Comitê de Auditoria Estatutário da Telebras (COAUD); Balanços Patrimoniais; Demonstrações dos Resultados; Demonstrações</w:t>
      </w:r>
      <w:r>
        <w:rPr>
          <w:rFonts w:ascii="Calibri Light" w:hAnsi="Calibri Light"/>
          <w:spacing w:val="-11"/>
          <w:sz w:val="24"/>
        </w:rPr>
        <w:t xml:space="preserve"> </w:t>
      </w:r>
      <w:r>
        <w:rPr>
          <w:rFonts w:ascii="Calibri Light" w:hAnsi="Calibri Light"/>
          <w:sz w:val="24"/>
        </w:rPr>
        <w:t>dos</w:t>
      </w:r>
      <w:r>
        <w:rPr>
          <w:rFonts w:ascii="Calibri Light" w:hAnsi="Calibri Light"/>
          <w:spacing w:val="-11"/>
          <w:sz w:val="24"/>
        </w:rPr>
        <w:t xml:space="preserve"> </w:t>
      </w:r>
      <w:r>
        <w:rPr>
          <w:rFonts w:ascii="Calibri Light" w:hAnsi="Calibri Light"/>
          <w:sz w:val="24"/>
        </w:rPr>
        <w:t>Resultados</w:t>
      </w:r>
      <w:r>
        <w:rPr>
          <w:rFonts w:ascii="Calibri Light" w:hAnsi="Calibri Light"/>
          <w:spacing w:val="-12"/>
          <w:sz w:val="24"/>
        </w:rPr>
        <w:t xml:space="preserve"> </w:t>
      </w:r>
      <w:r>
        <w:rPr>
          <w:rFonts w:ascii="Calibri Light" w:hAnsi="Calibri Light"/>
          <w:sz w:val="24"/>
        </w:rPr>
        <w:t>Abrangentes;</w:t>
      </w:r>
      <w:r>
        <w:rPr>
          <w:rFonts w:ascii="Calibri Light" w:hAnsi="Calibri Light"/>
          <w:spacing w:val="-12"/>
          <w:sz w:val="24"/>
        </w:rPr>
        <w:t xml:space="preserve"> </w:t>
      </w:r>
      <w:r>
        <w:rPr>
          <w:rFonts w:ascii="Calibri Light" w:hAnsi="Calibri Light"/>
          <w:sz w:val="24"/>
        </w:rPr>
        <w:t>Demonstrações</w:t>
      </w:r>
      <w:r>
        <w:rPr>
          <w:rFonts w:ascii="Calibri Light" w:hAnsi="Calibri Light"/>
          <w:spacing w:val="-11"/>
          <w:sz w:val="24"/>
        </w:rPr>
        <w:t xml:space="preserve"> </w:t>
      </w:r>
      <w:r>
        <w:rPr>
          <w:rFonts w:ascii="Calibri Light" w:hAnsi="Calibri Light"/>
          <w:sz w:val="24"/>
        </w:rPr>
        <w:t>das</w:t>
      </w:r>
      <w:r>
        <w:rPr>
          <w:rFonts w:ascii="Calibri Light" w:hAnsi="Calibri Light"/>
          <w:spacing w:val="-11"/>
          <w:sz w:val="24"/>
        </w:rPr>
        <w:t xml:space="preserve"> </w:t>
      </w:r>
      <w:r>
        <w:rPr>
          <w:rFonts w:ascii="Calibri Light" w:hAnsi="Calibri Light"/>
          <w:sz w:val="24"/>
        </w:rPr>
        <w:t>Mutações</w:t>
      </w:r>
      <w:r>
        <w:rPr>
          <w:rFonts w:ascii="Calibri Light" w:hAnsi="Calibri Light"/>
          <w:spacing w:val="-11"/>
          <w:sz w:val="24"/>
        </w:rPr>
        <w:t xml:space="preserve"> </w:t>
      </w:r>
      <w:r>
        <w:rPr>
          <w:rFonts w:ascii="Calibri Light" w:hAnsi="Calibri Light"/>
          <w:sz w:val="24"/>
        </w:rPr>
        <w:t>do</w:t>
      </w:r>
      <w:r>
        <w:rPr>
          <w:rFonts w:ascii="Calibri Light" w:hAnsi="Calibri Light"/>
          <w:spacing w:val="-12"/>
          <w:sz w:val="24"/>
        </w:rPr>
        <w:t xml:space="preserve"> </w:t>
      </w:r>
      <w:r>
        <w:rPr>
          <w:rFonts w:ascii="Calibri Light" w:hAnsi="Calibri Light"/>
          <w:sz w:val="24"/>
        </w:rPr>
        <w:t>Patrimônio</w:t>
      </w:r>
      <w:r>
        <w:rPr>
          <w:rFonts w:ascii="Calibri Light" w:hAnsi="Calibri Light"/>
          <w:spacing w:val="-13"/>
          <w:sz w:val="24"/>
        </w:rPr>
        <w:t xml:space="preserve"> </w:t>
      </w:r>
      <w:r>
        <w:rPr>
          <w:rFonts w:ascii="Calibri Light" w:hAnsi="Calibri Light"/>
          <w:sz w:val="24"/>
        </w:rPr>
        <w:t>Líquido; Demonstrações dos Fluxos de Caixa; Demonstrações do Valor Adicionado e Notas Explicativas às Demonstrações Contábeis.</w:t>
      </w:r>
    </w:p>
    <w:p w14:paraId="25171297" w14:textId="77777777" w:rsidR="002C6574" w:rsidRDefault="00000000">
      <w:pPr>
        <w:spacing w:before="158" w:line="278" w:lineRule="auto"/>
        <w:ind w:left="144" w:right="996"/>
        <w:jc w:val="both"/>
        <w:rPr>
          <w:rFonts w:ascii="Calibri Light" w:hAnsi="Calibri Light"/>
          <w:sz w:val="24"/>
        </w:rPr>
      </w:pPr>
      <w:r>
        <w:rPr>
          <w:rFonts w:ascii="Calibri Light" w:hAnsi="Calibri Light"/>
          <w:sz w:val="24"/>
        </w:rPr>
        <w:t>Após análise e esclarecimentos apresentados pela Diretoria da Telebras e pelo representante da Auditoria Independente, e considerando que:</w:t>
      </w:r>
    </w:p>
    <w:p w14:paraId="0130F856" w14:textId="77777777" w:rsidR="002C6574" w:rsidRDefault="00000000">
      <w:pPr>
        <w:pStyle w:val="PargrafodaLista"/>
        <w:numPr>
          <w:ilvl w:val="0"/>
          <w:numId w:val="14"/>
        </w:numPr>
        <w:tabs>
          <w:tab w:val="left" w:pos="443"/>
        </w:tabs>
        <w:spacing w:before="158" w:line="278" w:lineRule="auto"/>
        <w:ind w:right="985" w:firstLine="0"/>
        <w:jc w:val="both"/>
        <w:rPr>
          <w:rFonts w:ascii="Calibri Light" w:hAnsi="Calibri Light"/>
          <w:sz w:val="24"/>
        </w:rPr>
      </w:pPr>
      <w:r>
        <w:rPr>
          <w:rFonts w:ascii="Calibri Light" w:hAnsi="Calibri Light"/>
          <w:sz w:val="24"/>
        </w:rPr>
        <w:t>o relatório dos auditores independentes CONSULT</w:t>
      </w:r>
      <w:r>
        <w:rPr>
          <w:rFonts w:ascii="Calibri Light" w:hAnsi="Calibri Light"/>
          <w:spacing w:val="-9"/>
          <w:sz w:val="24"/>
        </w:rPr>
        <w:t xml:space="preserve"> </w:t>
      </w:r>
      <w:r>
        <w:rPr>
          <w:rFonts w:ascii="Calibri Light" w:hAnsi="Calibri Light"/>
          <w:sz w:val="24"/>
        </w:rPr>
        <w:t xml:space="preserve">- Auditores Independentes opinou, sem ressalvas, que as referidas Demonstrações Financeiras refletem adequadamente, em todos os aspectos relevantes, as posições patrimonial e financeira da Companhia em 31 de dezembro de </w:t>
      </w:r>
      <w:r>
        <w:rPr>
          <w:rFonts w:ascii="Calibri Light" w:hAnsi="Calibri Light"/>
          <w:spacing w:val="-2"/>
          <w:sz w:val="24"/>
        </w:rPr>
        <w:t>2025;</w:t>
      </w:r>
    </w:p>
    <w:p w14:paraId="4EB3A7AD" w14:textId="77777777" w:rsidR="002C6574" w:rsidRDefault="00000000">
      <w:pPr>
        <w:pStyle w:val="PargrafodaLista"/>
        <w:numPr>
          <w:ilvl w:val="0"/>
          <w:numId w:val="14"/>
        </w:numPr>
        <w:tabs>
          <w:tab w:val="left" w:pos="421"/>
        </w:tabs>
        <w:spacing w:before="158" w:line="278" w:lineRule="auto"/>
        <w:ind w:right="989" w:firstLine="0"/>
        <w:jc w:val="both"/>
        <w:rPr>
          <w:rFonts w:ascii="Calibri Light" w:hAnsi="Calibri Light"/>
          <w:sz w:val="24"/>
        </w:rPr>
      </w:pPr>
      <w:r>
        <w:rPr>
          <w:rFonts w:ascii="Calibri Light" w:hAnsi="Calibri Light"/>
          <w:sz w:val="24"/>
        </w:rPr>
        <w:t>o Parecer do COAUD sustenta o relatório da CONSULT- Auditores Independentes e observa a ausência de ocorrências</w:t>
      </w:r>
      <w:r>
        <w:rPr>
          <w:rFonts w:ascii="Calibri Light" w:hAnsi="Calibri Light"/>
          <w:spacing w:val="-2"/>
          <w:sz w:val="24"/>
        </w:rPr>
        <w:t xml:space="preserve"> </w:t>
      </w:r>
      <w:r>
        <w:rPr>
          <w:rFonts w:ascii="Calibri Light" w:hAnsi="Calibri Light"/>
          <w:sz w:val="24"/>
        </w:rPr>
        <w:t>que possam comprometer a qualidade e integridade das informações das Demonstrações Financeiras do Exercício Social de 2025; e</w:t>
      </w:r>
    </w:p>
    <w:p w14:paraId="5D3466AC" w14:textId="77777777" w:rsidR="002C6574" w:rsidRDefault="00000000">
      <w:pPr>
        <w:pStyle w:val="PargrafodaLista"/>
        <w:numPr>
          <w:ilvl w:val="0"/>
          <w:numId w:val="14"/>
        </w:numPr>
        <w:tabs>
          <w:tab w:val="left" w:pos="370"/>
        </w:tabs>
        <w:spacing w:before="159" w:line="278" w:lineRule="auto"/>
        <w:ind w:right="992" w:firstLine="0"/>
        <w:jc w:val="both"/>
        <w:rPr>
          <w:rFonts w:ascii="Calibri Light" w:hAnsi="Calibri Light"/>
          <w:sz w:val="24"/>
        </w:rPr>
      </w:pPr>
      <w:r>
        <w:rPr>
          <w:rFonts w:ascii="Calibri Light" w:hAnsi="Calibri Light"/>
          <w:sz w:val="24"/>
        </w:rPr>
        <w:t>a</w:t>
      </w:r>
      <w:r>
        <w:rPr>
          <w:rFonts w:ascii="Calibri Light" w:hAnsi="Calibri Light"/>
          <w:spacing w:val="-8"/>
          <w:sz w:val="24"/>
        </w:rPr>
        <w:t xml:space="preserve"> </w:t>
      </w:r>
      <w:r>
        <w:rPr>
          <w:rFonts w:ascii="Calibri Light" w:hAnsi="Calibri Light"/>
          <w:sz w:val="24"/>
        </w:rPr>
        <w:t>Proposta</w:t>
      </w:r>
      <w:r>
        <w:rPr>
          <w:rFonts w:ascii="Calibri Light" w:hAnsi="Calibri Light"/>
          <w:spacing w:val="-8"/>
          <w:sz w:val="24"/>
        </w:rPr>
        <w:t xml:space="preserve"> </w:t>
      </w:r>
      <w:r>
        <w:rPr>
          <w:rFonts w:ascii="Calibri Light" w:hAnsi="Calibri Light"/>
          <w:sz w:val="24"/>
        </w:rPr>
        <w:t>para</w:t>
      </w:r>
      <w:r>
        <w:rPr>
          <w:rFonts w:ascii="Calibri Light" w:hAnsi="Calibri Light"/>
          <w:spacing w:val="-8"/>
          <w:sz w:val="24"/>
        </w:rPr>
        <w:t xml:space="preserve"> </w:t>
      </w:r>
      <w:r>
        <w:rPr>
          <w:rFonts w:ascii="Calibri Light" w:hAnsi="Calibri Light"/>
          <w:sz w:val="24"/>
        </w:rPr>
        <w:t>Destinação</w:t>
      </w:r>
      <w:r>
        <w:rPr>
          <w:rFonts w:ascii="Calibri Light" w:hAnsi="Calibri Light"/>
          <w:spacing w:val="-9"/>
          <w:sz w:val="24"/>
        </w:rPr>
        <w:t xml:space="preserve"> </w:t>
      </w:r>
      <w:r>
        <w:rPr>
          <w:rFonts w:ascii="Calibri Light" w:hAnsi="Calibri Light"/>
          <w:sz w:val="24"/>
        </w:rPr>
        <w:t>do</w:t>
      </w:r>
      <w:r>
        <w:rPr>
          <w:rFonts w:ascii="Calibri Light" w:hAnsi="Calibri Light"/>
          <w:spacing w:val="-8"/>
          <w:sz w:val="24"/>
        </w:rPr>
        <w:t xml:space="preserve"> </w:t>
      </w:r>
      <w:r>
        <w:rPr>
          <w:rFonts w:ascii="Calibri Light" w:hAnsi="Calibri Light"/>
          <w:sz w:val="24"/>
        </w:rPr>
        <w:t>Resultado</w:t>
      </w:r>
      <w:r>
        <w:rPr>
          <w:rFonts w:ascii="Calibri Light" w:hAnsi="Calibri Light"/>
          <w:spacing w:val="-9"/>
          <w:sz w:val="24"/>
        </w:rPr>
        <w:t xml:space="preserve"> </w:t>
      </w:r>
      <w:r>
        <w:rPr>
          <w:rFonts w:ascii="Calibri Light" w:hAnsi="Calibri Light"/>
          <w:sz w:val="24"/>
        </w:rPr>
        <w:t>do</w:t>
      </w:r>
      <w:r>
        <w:rPr>
          <w:rFonts w:ascii="Calibri Light" w:hAnsi="Calibri Light"/>
          <w:spacing w:val="-8"/>
          <w:sz w:val="24"/>
        </w:rPr>
        <w:t xml:space="preserve"> </w:t>
      </w:r>
      <w:r>
        <w:rPr>
          <w:rFonts w:ascii="Calibri Light" w:hAnsi="Calibri Light"/>
          <w:sz w:val="24"/>
        </w:rPr>
        <w:t>Exercício</w:t>
      </w:r>
      <w:r>
        <w:rPr>
          <w:rFonts w:ascii="Calibri Light" w:hAnsi="Calibri Light"/>
          <w:spacing w:val="-9"/>
          <w:sz w:val="24"/>
        </w:rPr>
        <w:t xml:space="preserve"> </w:t>
      </w:r>
      <w:r>
        <w:rPr>
          <w:rFonts w:ascii="Calibri Light" w:hAnsi="Calibri Light"/>
          <w:sz w:val="24"/>
        </w:rPr>
        <w:t>Social</w:t>
      </w:r>
      <w:r>
        <w:rPr>
          <w:rFonts w:ascii="Calibri Light" w:hAnsi="Calibri Light"/>
          <w:spacing w:val="-9"/>
          <w:sz w:val="24"/>
        </w:rPr>
        <w:t xml:space="preserve"> </w:t>
      </w:r>
      <w:r>
        <w:rPr>
          <w:rFonts w:ascii="Calibri Light" w:hAnsi="Calibri Light"/>
          <w:sz w:val="24"/>
        </w:rPr>
        <w:t>de</w:t>
      </w:r>
      <w:r>
        <w:rPr>
          <w:rFonts w:ascii="Calibri Light" w:hAnsi="Calibri Light"/>
          <w:spacing w:val="-9"/>
          <w:sz w:val="24"/>
        </w:rPr>
        <w:t xml:space="preserve"> </w:t>
      </w:r>
      <w:r>
        <w:rPr>
          <w:rFonts w:ascii="Calibri Light" w:hAnsi="Calibri Light"/>
          <w:sz w:val="24"/>
        </w:rPr>
        <w:t>2025</w:t>
      </w:r>
      <w:r>
        <w:rPr>
          <w:rFonts w:ascii="Calibri Light" w:hAnsi="Calibri Light"/>
          <w:spacing w:val="-7"/>
          <w:sz w:val="24"/>
        </w:rPr>
        <w:t xml:space="preserve"> </w:t>
      </w:r>
      <w:r>
        <w:rPr>
          <w:rFonts w:ascii="Calibri Light" w:hAnsi="Calibri Light"/>
          <w:sz w:val="24"/>
        </w:rPr>
        <w:t>atende</w:t>
      </w:r>
      <w:r>
        <w:rPr>
          <w:rFonts w:ascii="Calibri Light" w:hAnsi="Calibri Light"/>
          <w:spacing w:val="-9"/>
          <w:sz w:val="24"/>
        </w:rPr>
        <w:t xml:space="preserve"> </w:t>
      </w:r>
      <w:r>
        <w:rPr>
          <w:rFonts w:ascii="Calibri Light" w:hAnsi="Calibri Light"/>
          <w:sz w:val="24"/>
        </w:rPr>
        <w:t>às</w:t>
      </w:r>
      <w:r>
        <w:rPr>
          <w:rFonts w:ascii="Calibri Light" w:hAnsi="Calibri Light"/>
          <w:spacing w:val="-7"/>
          <w:sz w:val="24"/>
        </w:rPr>
        <w:t xml:space="preserve"> </w:t>
      </w:r>
      <w:r>
        <w:rPr>
          <w:rFonts w:ascii="Calibri Light" w:hAnsi="Calibri Light"/>
          <w:sz w:val="24"/>
        </w:rPr>
        <w:t>previsões</w:t>
      </w:r>
      <w:r>
        <w:rPr>
          <w:rFonts w:ascii="Calibri Light" w:hAnsi="Calibri Light"/>
          <w:spacing w:val="-7"/>
          <w:sz w:val="24"/>
        </w:rPr>
        <w:t xml:space="preserve"> </w:t>
      </w:r>
      <w:r>
        <w:rPr>
          <w:rFonts w:ascii="Calibri Light" w:hAnsi="Calibri Light"/>
          <w:sz w:val="24"/>
        </w:rPr>
        <w:t>legais</w:t>
      </w:r>
      <w:r>
        <w:rPr>
          <w:rFonts w:ascii="Calibri Light" w:hAnsi="Calibri Light"/>
          <w:spacing w:val="-8"/>
          <w:sz w:val="24"/>
        </w:rPr>
        <w:t xml:space="preserve"> </w:t>
      </w:r>
      <w:r>
        <w:rPr>
          <w:rFonts w:ascii="Calibri Light" w:hAnsi="Calibri Light"/>
          <w:sz w:val="24"/>
        </w:rPr>
        <w:t xml:space="preserve">e </w:t>
      </w:r>
      <w:r>
        <w:rPr>
          <w:rFonts w:ascii="Calibri Light" w:hAnsi="Calibri Light"/>
          <w:spacing w:val="-2"/>
          <w:sz w:val="24"/>
        </w:rPr>
        <w:t>estatutárias.</w:t>
      </w:r>
    </w:p>
    <w:p w14:paraId="3E53BD16" w14:textId="77777777" w:rsidR="002C6574" w:rsidRDefault="00000000">
      <w:pPr>
        <w:spacing w:before="160" w:line="278" w:lineRule="auto"/>
        <w:ind w:left="144" w:right="989"/>
        <w:jc w:val="both"/>
        <w:rPr>
          <w:rFonts w:ascii="Calibri Light" w:hAnsi="Calibri Light"/>
          <w:sz w:val="24"/>
        </w:rPr>
      </w:pPr>
      <w:r>
        <w:rPr>
          <w:rFonts w:ascii="Calibri Light" w:hAnsi="Calibri Light"/>
          <w:sz w:val="24"/>
        </w:rPr>
        <w:t>O</w:t>
      </w:r>
      <w:r>
        <w:rPr>
          <w:rFonts w:ascii="Calibri Light" w:hAnsi="Calibri Light"/>
          <w:spacing w:val="-3"/>
          <w:sz w:val="24"/>
        </w:rPr>
        <w:t xml:space="preserve"> </w:t>
      </w:r>
      <w:r>
        <w:rPr>
          <w:rFonts w:ascii="Calibri Light" w:hAnsi="Calibri Light"/>
          <w:sz w:val="24"/>
        </w:rPr>
        <w:t>Conselho</w:t>
      </w:r>
      <w:r>
        <w:rPr>
          <w:rFonts w:ascii="Calibri Light" w:hAnsi="Calibri Light"/>
          <w:spacing w:val="-2"/>
          <w:sz w:val="24"/>
        </w:rPr>
        <w:t xml:space="preserve"> </w:t>
      </w:r>
      <w:r>
        <w:rPr>
          <w:rFonts w:ascii="Calibri Light" w:hAnsi="Calibri Light"/>
          <w:sz w:val="24"/>
        </w:rPr>
        <w:t>Fiscal</w:t>
      </w:r>
      <w:r>
        <w:rPr>
          <w:rFonts w:ascii="Calibri Light" w:hAnsi="Calibri Light"/>
          <w:spacing w:val="-2"/>
          <w:sz w:val="24"/>
        </w:rPr>
        <w:t xml:space="preserve"> </w:t>
      </w:r>
      <w:r>
        <w:rPr>
          <w:rFonts w:ascii="Calibri Light" w:hAnsi="Calibri Light"/>
          <w:sz w:val="24"/>
        </w:rPr>
        <w:t>manifesta-se,</w:t>
      </w:r>
      <w:r>
        <w:rPr>
          <w:rFonts w:ascii="Calibri Light" w:hAnsi="Calibri Light"/>
          <w:spacing w:val="-3"/>
          <w:sz w:val="24"/>
        </w:rPr>
        <w:t xml:space="preserve"> </w:t>
      </w:r>
      <w:r>
        <w:rPr>
          <w:rFonts w:ascii="Calibri Light" w:hAnsi="Calibri Light"/>
          <w:sz w:val="24"/>
        </w:rPr>
        <w:t>por</w:t>
      </w:r>
      <w:r>
        <w:rPr>
          <w:rFonts w:ascii="Calibri Light" w:hAnsi="Calibri Light"/>
          <w:spacing w:val="-3"/>
          <w:sz w:val="24"/>
        </w:rPr>
        <w:t xml:space="preserve"> </w:t>
      </w:r>
      <w:r>
        <w:rPr>
          <w:rFonts w:ascii="Calibri Light" w:hAnsi="Calibri Light"/>
          <w:sz w:val="24"/>
        </w:rPr>
        <w:t>unanimidade,</w:t>
      </w:r>
      <w:r>
        <w:rPr>
          <w:rFonts w:ascii="Calibri Light" w:hAnsi="Calibri Light"/>
          <w:spacing w:val="-2"/>
          <w:sz w:val="24"/>
        </w:rPr>
        <w:t xml:space="preserve"> </w:t>
      </w:r>
      <w:r>
        <w:rPr>
          <w:rFonts w:ascii="Calibri Light" w:hAnsi="Calibri Light"/>
          <w:sz w:val="24"/>
        </w:rPr>
        <w:t>favoravelmente</w:t>
      </w:r>
      <w:r>
        <w:rPr>
          <w:rFonts w:ascii="Calibri Light" w:hAnsi="Calibri Light"/>
          <w:spacing w:val="-3"/>
          <w:sz w:val="24"/>
        </w:rPr>
        <w:t xml:space="preserve"> </w:t>
      </w:r>
      <w:r>
        <w:rPr>
          <w:rFonts w:ascii="Calibri Light" w:hAnsi="Calibri Light"/>
          <w:sz w:val="24"/>
        </w:rPr>
        <w:t>à</w:t>
      </w:r>
      <w:r>
        <w:rPr>
          <w:rFonts w:ascii="Calibri Light" w:hAnsi="Calibri Light"/>
          <w:spacing w:val="-2"/>
          <w:sz w:val="24"/>
        </w:rPr>
        <w:t xml:space="preserve"> </w:t>
      </w:r>
      <w:r>
        <w:rPr>
          <w:rFonts w:ascii="Calibri Light" w:hAnsi="Calibri Light"/>
          <w:sz w:val="24"/>
        </w:rPr>
        <w:t>submissão</w:t>
      </w:r>
      <w:r>
        <w:rPr>
          <w:rFonts w:ascii="Calibri Light" w:hAnsi="Calibri Light"/>
          <w:spacing w:val="-2"/>
          <w:sz w:val="24"/>
        </w:rPr>
        <w:t xml:space="preserve"> </w:t>
      </w:r>
      <w:r>
        <w:rPr>
          <w:rFonts w:ascii="Calibri Light" w:hAnsi="Calibri Light"/>
          <w:sz w:val="24"/>
        </w:rPr>
        <w:t>à</w:t>
      </w:r>
      <w:r>
        <w:rPr>
          <w:rFonts w:ascii="Calibri Light" w:hAnsi="Calibri Light"/>
          <w:spacing w:val="-3"/>
          <w:sz w:val="24"/>
        </w:rPr>
        <w:t xml:space="preserve"> </w:t>
      </w:r>
      <w:r>
        <w:rPr>
          <w:rFonts w:ascii="Calibri Light" w:hAnsi="Calibri Light"/>
          <w:sz w:val="24"/>
        </w:rPr>
        <w:t>Assembleia</w:t>
      </w:r>
      <w:r>
        <w:rPr>
          <w:rFonts w:ascii="Calibri Light" w:hAnsi="Calibri Light"/>
          <w:spacing w:val="-2"/>
          <w:sz w:val="24"/>
        </w:rPr>
        <w:t xml:space="preserve"> </w:t>
      </w:r>
      <w:r>
        <w:rPr>
          <w:rFonts w:ascii="Calibri Light" w:hAnsi="Calibri Light"/>
          <w:sz w:val="24"/>
        </w:rPr>
        <w:t>Geral dos</w:t>
      </w:r>
      <w:r>
        <w:rPr>
          <w:rFonts w:ascii="Calibri Light" w:hAnsi="Calibri Light"/>
          <w:spacing w:val="-12"/>
          <w:sz w:val="24"/>
        </w:rPr>
        <w:t xml:space="preserve"> </w:t>
      </w:r>
      <w:r>
        <w:rPr>
          <w:rFonts w:ascii="Calibri Light" w:hAnsi="Calibri Light"/>
          <w:sz w:val="24"/>
        </w:rPr>
        <w:t>Acionistas</w:t>
      </w:r>
      <w:r>
        <w:rPr>
          <w:rFonts w:ascii="Calibri Light" w:hAnsi="Calibri Light"/>
          <w:spacing w:val="-12"/>
          <w:sz w:val="24"/>
        </w:rPr>
        <w:t xml:space="preserve"> </w:t>
      </w:r>
      <w:r>
        <w:rPr>
          <w:rFonts w:ascii="Calibri Light" w:hAnsi="Calibri Light"/>
          <w:sz w:val="24"/>
        </w:rPr>
        <w:t>do</w:t>
      </w:r>
      <w:r>
        <w:rPr>
          <w:rFonts w:ascii="Calibri Light" w:hAnsi="Calibri Light"/>
          <w:spacing w:val="-13"/>
          <w:sz w:val="24"/>
        </w:rPr>
        <w:t xml:space="preserve"> </w:t>
      </w:r>
      <w:r>
        <w:rPr>
          <w:rFonts w:ascii="Calibri Light" w:hAnsi="Calibri Light"/>
          <w:sz w:val="24"/>
        </w:rPr>
        <w:t>Relatório</w:t>
      </w:r>
      <w:r>
        <w:rPr>
          <w:rFonts w:ascii="Calibri Light" w:hAnsi="Calibri Light"/>
          <w:spacing w:val="-13"/>
          <w:sz w:val="24"/>
        </w:rPr>
        <w:t xml:space="preserve"> </w:t>
      </w:r>
      <w:r>
        <w:rPr>
          <w:rFonts w:ascii="Calibri Light" w:hAnsi="Calibri Light"/>
          <w:sz w:val="24"/>
        </w:rPr>
        <w:t>da</w:t>
      </w:r>
      <w:r>
        <w:rPr>
          <w:rFonts w:ascii="Calibri Light" w:hAnsi="Calibri Light"/>
          <w:spacing w:val="-13"/>
          <w:sz w:val="24"/>
        </w:rPr>
        <w:t xml:space="preserve"> </w:t>
      </w:r>
      <w:r>
        <w:rPr>
          <w:rFonts w:ascii="Calibri Light" w:hAnsi="Calibri Light"/>
          <w:sz w:val="24"/>
        </w:rPr>
        <w:t>Administração,</w:t>
      </w:r>
      <w:r>
        <w:rPr>
          <w:rFonts w:ascii="Calibri Light" w:hAnsi="Calibri Light"/>
          <w:spacing w:val="-13"/>
          <w:sz w:val="24"/>
        </w:rPr>
        <w:t xml:space="preserve"> </w:t>
      </w:r>
      <w:r>
        <w:rPr>
          <w:rFonts w:ascii="Calibri Light" w:hAnsi="Calibri Light"/>
          <w:sz w:val="24"/>
        </w:rPr>
        <w:t>das</w:t>
      </w:r>
      <w:r>
        <w:rPr>
          <w:rFonts w:ascii="Calibri Light" w:hAnsi="Calibri Light"/>
          <w:spacing w:val="-12"/>
          <w:sz w:val="24"/>
        </w:rPr>
        <w:t xml:space="preserve"> </w:t>
      </w:r>
      <w:r>
        <w:rPr>
          <w:rFonts w:ascii="Calibri Light" w:hAnsi="Calibri Light"/>
          <w:sz w:val="24"/>
        </w:rPr>
        <w:t>Demonstrações</w:t>
      </w:r>
      <w:r>
        <w:rPr>
          <w:rFonts w:ascii="Calibri Light" w:hAnsi="Calibri Light"/>
          <w:spacing w:val="-12"/>
          <w:sz w:val="24"/>
        </w:rPr>
        <w:t xml:space="preserve"> </w:t>
      </w:r>
      <w:r>
        <w:rPr>
          <w:rFonts w:ascii="Calibri Light" w:hAnsi="Calibri Light"/>
          <w:sz w:val="24"/>
        </w:rPr>
        <w:t>Financeiras</w:t>
      </w:r>
      <w:r>
        <w:rPr>
          <w:rFonts w:ascii="Calibri Light" w:hAnsi="Calibri Light"/>
          <w:spacing w:val="-12"/>
          <w:sz w:val="24"/>
        </w:rPr>
        <w:t xml:space="preserve"> </w:t>
      </w:r>
      <w:r>
        <w:rPr>
          <w:rFonts w:ascii="Calibri Light" w:hAnsi="Calibri Light"/>
          <w:sz w:val="24"/>
        </w:rPr>
        <w:t>do</w:t>
      </w:r>
      <w:r>
        <w:rPr>
          <w:rFonts w:ascii="Calibri Light" w:hAnsi="Calibri Light"/>
          <w:spacing w:val="-13"/>
          <w:sz w:val="24"/>
        </w:rPr>
        <w:t xml:space="preserve"> </w:t>
      </w:r>
      <w:r>
        <w:rPr>
          <w:rFonts w:ascii="Calibri Light" w:hAnsi="Calibri Light"/>
          <w:sz w:val="24"/>
        </w:rPr>
        <w:t>Exercício</w:t>
      </w:r>
      <w:r>
        <w:rPr>
          <w:rFonts w:ascii="Calibri Light" w:hAnsi="Calibri Light"/>
          <w:spacing w:val="-13"/>
          <w:sz w:val="24"/>
        </w:rPr>
        <w:t xml:space="preserve"> </w:t>
      </w:r>
      <w:r>
        <w:rPr>
          <w:rFonts w:ascii="Calibri Light" w:hAnsi="Calibri Light"/>
          <w:sz w:val="24"/>
        </w:rPr>
        <w:t>Social</w:t>
      </w:r>
      <w:r>
        <w:rPr>
          <w:rFonts w:ascii="Calibri Light" w:hAnsi="Calibri Light"/>
          <w:spacing w:val="-13"/>
          <w:sz w:val="24"/>
        </w:rPr>
        <w:t xml:space="preserve"> </w:t>
      </w:r>
      <w:r>
        <w:rPr>
          <w:rFonts w:ascii="Calibri Light" w:hAnsi="Calibri Light"/>
          <w:sz w:val="24"/>
        </w:rPr>
        <w:t>de 2025</w:t>
      </w:r>
      <w:r>
        <w:rPr>
          <w:rFonts w:ascii="Calibri Light" w:hAnsi="Calibri Light"/>
          <w:spacing w:val="-3"/>
          <w:sz w:val="24"/>
        </w:rPr>
        <w:t xml:space="preserve"> </w:t>
      </w:r>
      <w:r>
        <w:rPr>
          <w:rFonts w:ascii="Calibri Light" w:hAnsi="Calibri Light"/>
          <w:sz w:val="24"/>
        </w:rPr>
        <w:t>e</w:t>
      </w:r>
      <w:r>
        <w:rPr>
          <w:rFonts w:ascii="Calibri Light" w:hAnsi="Calibri Light"/>
          <w:spacing w:val="-5"/>
          <w:sz w:val="24"/>
        </w:rPr>
        <w:t xml:space="preserve"> </w:t>
      </w:r>
      <w:r>
        <w:rPr>
          <w:rFonts w:ascii="Calibri Light" w:hAnsi="Calibri Light"/>
          <w:sz w:val="24"/>
        </w:rPr>
        <w:t>da</w:t>
      </w:r>
      <w:r>
        <w:rPr>
          <w:rFonts w:ascii="Calibri Light" w:hAnsi="Calibri Light"/>
          <w:spacing w:val="-5"/>
          <w:sz w:val="24"/>
        </w:rPr>
        <w:t xml:space="preserve"> </w:t>
      </w:r>
      <w:r>
        <w:rPr>
          <w:rFonts w:ascii="Calibri Light" w:hAnsi="Calibri Light"/>
          <w:sz w:val="24"/>
        </w:rPr>
        <w:t>Proposta</w:t>
      </w:r>
      <w:r>
        <w:rPr>
          <w:rFonts w:ascii="Calibri Light" w:hAnsi="Calibri Light"/>
          <w:spacing w:val="-5"/>
          <w:sz w:val="24"/>
        </w:rPr>
        <w:t xml:space="preserve"> </w:t>
      </w:r>
      <w:r>
        <w:rPr>
          <w:rFonts w:ascii="Calibri Light" w:hAnsi="Calibri Light"/>
          <w:sz w:val="24"/>
        </w:rPr>
        <w:t>de</w:t>
      </w:r>
      <w:r>
        <w:rPr>
          <w:rFonts w:ascii="Calibri Light" w:hAnsi="Calibri Light"/>
          <w:spacing w:val="-5"/>
          <w:sz w:val="24"/>
        </w:rPr>
        <w:t xml:space="preserve"> </w:t>
      </w:r>
      <w:r>
        <w:rPr>
          <w:rFonts w:ascii="Calibri Light" w:hAnsi="Calibri Light"/>
          <w:sz w:val="24"/>
        </w:rPr>
        <w:t>Destinação</w:t>
      </w:r>
      <w:r>
        <w:rPr>
          <w:rFonts w:ascii="Calibri Light" w:hAnsi="Calibri Light"/>
          <w:spacing w:val="-5"/>
          <w:sz w:val="24"/>
        </w:rPr>
        <w:t xml:space="preserve"> </w:t>
      </w:r>
      <w:r>
        <w:rPr>
          <w:rFonts w:ascii="Calibri Light" w:hAnsi="Calibri Light"/>
          <w:sz w:val="24"/>
        </w:rPr>
        <w:t>do</w:t>
      </w:r>
      <w:r>
        <w:rPr>
          <w:rFonts w:ascii="Calibri Light" w:hAnsi="Calibri Light"/>
          <w:spacing w:val="-5"/>
          <w:sz w:val="24"/>
        </w:rPr>
        <w:t xml:space="preserve"> </w:t>
      </w:r>
      <w:r>
        <w:rPr>
          <w:rFonts w:ascii="Calibri Light" w:hAnsi="Calibri Light"/>
          <w:sz w:val="24"/>
        </w:rPr>
        <w:t>Resultado,</w:t>
      </w:r>
      <w:r>
        <w:rPr>
          <w:rFonts w:ascii="Calibri Light" w:hAnsi="Calibri Light"/>
          <w:spacing w:val="-5"/>
          <w:sz w:val="24"/>
        </w:rPr>
        <w:t xml:space="preserve"> </w:t>
      </w:r>
      <w:r>
        <w:rPr>
          <w:rFonts w:ascii="Calibri Light" w:hAnsi="Calibri Light"/>
          <w:sz w:val="24"/>
        </w:rPr>
        <w:t>ressaltando,</w:t>
      </w:r>
      <w:r>
        <w:rPr>
          <w:rFonts w:ascii="Calibri Light" w:hAnsi="Calibri Light"/>
          <w:spacing w:val="-5"/>
          <w:sz w:val="24"/>
        </w:rPr>
        <w:t xml:space="preserve"> </w:t>
      </w:r>
      <w:r>
        <w:rPr>
          <w:rFonts w:ascii="Calibri Light" w:hAnsi="Calibri Light"/>
          <w:sz w:val="24"/>
        </w:rPr>
        <w:t>no entanto,</w:t>
      </w:r>
      <w:r>
        <w:rPr>
          <w:rFonts w:ascii="Calibri Light" w:hAnsi="Calibri Light"/>
          <w:spacing w:val="-5"/>
          <w:sz w:val="24"/>
        </w:rPr>
        <w:t xml:space="preserve"> </w:t>
      </w:r>
      <w:r>
        <w:rPr>
          <w:rFonts w:ascii="Calibri Light" w:hAnsi="Calibri Light"/>
          <w:sz w:val="24"/>
        </w:rPr>
        <w:t>os</w:t>
      </w:r>
      <w:r>
        <w:rPr>
          <w:rFonts w:ascii="Calibri Light" w:hAnsi="Calibri Light"/>
          <w:spacing w:val="-4"/>
          <w:sz w:val="24"/>
        </w:rPr>
        <w:t xml:space="preserve"> </w:t>
      </w:r>
      <w:r>
        <w:rPr>
          <w:rFonts w:ascii="Calibri Light" w:hAnsi="Calibri Light"/>
          <w:sz w:val="24"/>
        </w:rPr>
        <w:t>seguintes</w:t>
      </w:r>
      <w:r>
        <w:rPr>
          <w:rFonts w:ascii="Calibri Light" w:hAnsi="Calibri Light"/>
          <w:spacing w:val="-4"/>
          <w:sz w:val="24"/>
        </w:rPr>
        <w:t xml:space="preserve"> </w:t>
      </w:r>
      <w:r>
        <w:rPr>
          <w:rFonts w:ascii="Calibri Light" w:hAnsi="Calibri Light"/>
          <w:sz w:val="24"/>
        </w:rPr>
        <w:t>aspectos</w:t>
      </w:r>
      <w:r>
        <w:rPr>
          <w:rFonts w:ascii="Calibri Light" w:hAnsi="Calibri Light"/>
          <w:spacing w:val="-4"/>
          <w:sz w:val="24"/>
        </w:rPr>
        <w:t xml:space="preserve"> </w:t>
      </w:r>
      <w:r>
        <w:rPr>
          <w:rFonts w:ascii="Calibri Light" w:hAnsi="Calibri Light"/>
          <w:sz w:val="24"/>
        </w:rPr>
        <w:t>de ênfase relacionados à recuperabilidade de ativos e ao fluxo de caixa, sem que estes constituam ressalvas à sua opinião:</w:t>
      </w:r>
    </w:p>
    <w:p w14:paraId="2D89BE59" w14:textId="77777777" w:rsidR="002C6574" w:rsidRDefault="00000000">
      <w:pPr>
        <w:spacing w:before="156" w:line="278" w:lineRule="auto"/>
        <w:ind w:left="144" w:right="992"/>
        <w:jc w:val="both"/>
        <w:rPr>
          <w:rFonts w:ascii="Calibri Light" w:hAnsi="Calibri Light"/>
          <w:sz w:val="24"/>
        </w:rPr>
      </w:pPr>
      <w:r>
        <w:rPr>
          <w:rFonts w:ascii="Calibri Light" w:hAnsi="Calibri Light"/>
          <w:sz w:val="24"/>
        </w:rPr>
        <w:t>Teste de Recuperabilidade (Impairment): o Laudo de Avaliação Patrimonial indica que a recuperabilidade da UGC Rede Satélite apresenta diferença relativamente reduzida, de aproximadamente 4,4%, entre o valor em uso e o valor contábil, o que indica sensibilidade às premissas adotadas.</w:t>
      </w:r>
    </w:p>
    <w:p w14:paraId="18582F81" w14:textId="77777777" w:rsidR="002C6574" w:rsidRDefault="002C6574">
      <w:pPr>
        <w:spacing w:line="278" w:lineRule="auto"/>
        <w:jc w:val="both"/>
        <w:rPr>
          <w:rFonts w:ascii="Calibri Light" w:hAnsi="Calibri Light"/>
          <w:sz w:val="24"/>
        </w:rPr>
        <w:sectPr w:rsidR="002C6574">
          <w:headerReference w:type="default" r:id="rId100"/>
          <w:footerReference w:type="default" r:id="rId101"/>
          <w:pgSz w:w="11910" w:h="16840"/>
          <w:pgMar w:top="1440" w:right="141" w:bottom="280" w:left="1133" w:header="0" w:footer="0" w:gutter="0"/>
          <w:cols w:space="720"/>
        </w:sectPr>
      </w:pPr>
    </w:p>
    <w:p w14:paraId="0A23332B" w14:textId="77777777" w:rsidR="002C6574" w:rsidRDefault="00000000">
      <w:pPr>
        <w:spacing w:before="37" w:line="278" w:lineRule="auto"/>
        <w:ind w:left="144" w:right="986"/>
        <w:jc w:val="both"/>
        <w:rPr>
          <w:rFonts w:ascii="Calibri Light" w:hAnsi="Calibri Light"/>
          <w:sz w:val="24"/>
        </w:rPr>
      </w:pPr>
      <w:r>
        <w:rPr>
          <w:rFonts w:ascii="Calibri Light" w:hAnsi="Calibri Light"/>
          <w:sz w:val="24"/>
        </w:rPr>
        <w:lastRenderedPageBreak/>
        <w:t>Premissas de Crescimento: as conclusões do referido laudo baseiam-se, entre outros fatores, em estimativas de crescimento nominal de receita que exercem influência relevante na determinação do</w:t>
      </w:r>
      <w:r>
        <w:rPr>
          <w:rFonts w:ascii="Calibri Light" w:hAnsi="Calibri Light"/>
          <w:spacing w:val="-7"/>
          <w:sz w:val="24"/>
        </w:rPr>
        <w:t xml:space="preserve"> </w:t>
      </w:r>
      <w:r>
        <w:rPr>
          <w:rFonts w:ascii="Calibri Light" w:hAnsi="Calibri Light"/>
          <w:sz w:val="24"/>
        </w:rPr>
        <w:t>valor</w:t>
      </w:r>
      <w:r>
        <w:rPr>
          <w:rFonts w:ascii="Calibri Light" w:hAnsi="Calibri Light"/>
          <w:spacing w:val="-8"/>
          <w:sz w:val="24"/>
        </w:rPr>
        <w:t xml:space="preserve"> </w:t>
      </w:r>
      <w:r>
        <w:rPr>
          <w:rFonts w:ascii="Calibri Light" w:hAnsi="Calibri Light"/>
          <w:sz w:val="24"/>
        </w:rPr>
        <w:t>em</w:t>
      </w:r>
      <w:r>
        <w:rPr>
          <w:rFonts w:ascii="Calibri Light" w:hAnsi="Calibri Light"/>
          <w:spacing w:val="-7"/>
          <w:sz w:val="24"/>
        </w:rPr>
        <w:t xml:space="preserve"> </w:t>
      </w:r>
      <w:r>
        <w:rPr>
          <w:rFonts w:ascii="Calibri Light" w:hAnsi="Calibri Light"/>
          <w:sz w:val="24"/>
        </w:rPr>
        <w:t>uso,</w:t>
      </w:r>
      <w:r>
        <w:rPr>
          <w:rFonts w:ascii="Calibri Light" w:hAnsi="Calibri Light"/>
          <w:spacing w:val="-8"/>
          <w:sz w:val="24"/>
        </w:rPr>
        <w:t xml:space="preserve"> </w:t>
      </w:r>
      <w:r>
        <w:rPr>
          <w:rFonts w:ascii="Calibri Light" w:hAnsi="Calibri Light"/>
          <w:sz w:val="24"/>
        </w:rPr>
        <w:t>cuja</w:t>
      </w:r>
      <w:r>
        <w:rPr>
          <w:rFonts w:ascii="Calibri Light" w:hAnsi="Calibri Light"/>
          <w:spacing w:val="-7"/>
          <w:sz w:val="24"/>
        </w:rPr>
        <w:t xml:space="preserve"> </w:t>
      </w:r>
      <w:r>
        <w:rPr>
          <w:rFonts w:ascii="Calibri Light" w:hAnsi="Calibri Light"/>
          <w:sz w:val="24"/>
        </w:rPr>
        <w:t>aderência</w:t>
      </w:r>
      <w:r>
        <w:rPr>
          <w:rFonts w:ascii="Calibri Light" w:hAnsi="Calibri Light"/>
          <w:spacing w:val="-7"/>
          <w:sz w:val="24"/>
        </w:rPr>
        <w:t xml:space="preserve"> </w:t>
      </w:r>
      <w:r>
        <w:rPr>
          <w:rFonts w:ascii="Calibri Light" w:hAnsi="Calibri Light"/>
          <w:sz w:val="24"/>
        </w:rPr>
        <w:t>à</w:t>
      </w:r>
      <w:r>
        <w:rPr>
          <w:rFonts w:ascii="Calibri Light" w:hAnsi="Calibri Light"/>
          <w:spacing w:val="-7"/>
          <w:sz w:val="24"/>
        </w:rPr>
        <w:t xml:space="preserve"> </w:t>
      </w:r>
      <w:r>
        <w:rPr>
          <w:rFonts w:ascii="Calibri Light" w:hAnsi="Calibri Light"/>
          <w:sz w:val="24"/>
        </w:rPr>
        <w:t>capacidade</w:t>
      </w:r>
      <w:r>
        <w:rPr>
          <w:rFonts w:ascii="Calibri Light" w:hAnsi="Calibri Light"/>
          <w:spacing w:val="-8"/>
          <w:sz w:val="24"/>
        </w:rPr>
        <w:t xml:space="preserve"> </w:t>
      </w:r>
      <w:r>
        <w:rPr>
          <w:rFonts w:ascii="Calibri Light" w:hAnsi="Calibri Light"/>
          <w:sz w:val="24"/>
        </w:rPr>
        <w:t>efetiva</w:t>
      </w:r>
      <w:r>
        <w:rPr>
          <w:rFonts w:ascii="Calibri Light" w:hAnsi="Calibri Light"/>
          <w:spacing w:val="-7"/>
          <w:sz w:val="24"/>
        </w:rPr>
        <w:t xml:space="preserve"> </w:t>
      </w:r>
      <w:r>
        <w:rPr>
          <w:rFonts w:ascii="Calibri Light" w:hAnsi="Calibri Light"/>
          <w:sz w:val="24"/>
        </w:rPr>
        <w:t>de</w:t>
      </w:r>
      <w:r>
        <w:rPr>
          <w:rFonts w:ascii="Calibri Light" w:hAnsi="Calibri Light"/>
          <w:spacing w:val="-8"/>
          <w:sz w:val="24"/>
        </w:rPr>
        <w:t xml:space="preserve"> </w:t>
      </w:r>
      <w:r>
        <w:rPr>
          <w:rFonts w:ascii="Calibri Light" w:hAnsi="Calibri Light"/>
          <w:sz w:val="24"/>
        </w:rPr>
        <w:t>geração</w:t>
      </w:r>
      <w:r>
        <w:rPr>
          <w:rFonts w:ascii="Calibri Light" w:hAnsi="Calibri Light"/>
          <w:spacing w:val="-8"/>
          <w:sz w:val="24"/>
        </w:rPr>
        <w:t xml:space="preserve"> </w:t>
      </w:r>
      <w:r>
        <w:rPr>
          <w:rFonts w:ascii="Calibri Light" w:hAnsi="Calibri Light"/>
          <w:sz w:val="24"/>
        </w:rPr>
        <w:t>de</w:t>
      </w:r>
      <w:r>
        <w:rPr>
          <w:rFonts w:ascii="Calibri Light" w:hAnsi="Calibri Light"/>
          <w:spacing w:val="-8"/>
          <w:sz w:val="24"/>
        </w:rPr>
        <w:t xml:space="preserve"> </w:t>
      </w:r>
      <w:r>
        <w:rPr>
          <w:rFonts w:ascii="Calibri Light" w:hAnsi="Calibri Light"/>
          <w:sz w:val="24"/>
        </w:rPr>
        <w:t>negócios</w:t>
      </w:r>
      <w:r>
        <w:rPr>
          <w:rFonts w:ascii="Calibri Light" w:hAnsi="Calibri Light"/>
          <w:spacing w:val="-7"/>
          <w:sz w:val="24"/>
        </w:rPr>
        <w:t xml:space="preserve"> </w:t>
      </w:r>
      <w:r>
        <w:rPr>
          <w:rFonts w:ascii="Calibri Light" w:hAnsi="Calibri Light"/>
          <w:sz w:val="24"/>
        </w:rPr>
        <w:t>da</w:t>
      </w:r>
      <w:r>
        <w:rPr>
          <w:rFonts w:ascii="Calibri Light" w:hAnsi="Calibri Light"/>
          <w:spacing w:val="-7"/>
          <w:sz w:val="24"/>
        </w:rPr>
        <w:t xml:space="preserve"> </w:t>
      </w:r>
      <w:r>
        <w:rPr>
          <w:rFonts w:ascii="Calibri Light" w:hAnsi="Calibri Light"/>
          <w:sz w:val="24"/>
        </w:rPr>
        <w:t>Companhia</w:t>
      </w:r>
      <w:r>
        <w:rPr>
          <w:rFonts w:ascii="Calibri Light" w:hAnsi="Calibri Light"/>
          <w:spacing w:val="-7"/>
          <w:sz w:val="24"/>
        </w:rPr>
        <w:t xml:space="preserve"> </w:t>
      </w:r>
      <w:r>
        <w:rPr>
          <w:rFonts w:ascii="Calibri Light" w:hAnsi="Calibri Light"/>
          <w:sz w:val="24"/>
        </w:rPr>
        <w:t>deverá ser acompanhada nos períodos subsequentes.</w:t>
      </w:r>
    </w:p>
    <w:p w14:paraId="036EC128" w14:textId="77777777" w:rsidR="002C6574" w:rsidRDefault="00000000">
      <w:pPr>
        <w:spacing w:before="160" w:line="278" w:lineRule="auto"/>
        <w:ind w:left="144" w:right="990"/>
        <w:jc w:val="both"/>
        <w:rPr>
          <w:rFonts w:ascii="Calibri Light" w:hAnsi="Calibri Light"/>
          <w:sz w:val="24"/>
        </w:rPr>
      </w:pPr>
      <w:r>
        <w:rPr>
          <w:rFonts w:ascii="Calibri Light" w:hAnsi="Calibri Light"/>
          <w:sz w:val="24"/>
        </w:rPr>
        <w:t>UGC</w:t>
      </w:r>
      <w:r>
        <w:rPr>
          <w:rFonts w:ascii="Calibri Light" w:hAnsi="Calibri Light"/>
          <w:spacing w:val="-14"/>
          <w:sz w:val="24"/>
        </w:rPr>
        <w:t xml:space="preserve"> </w:t>
      </w:r>
      <w:r>
        <w:rPr>
          <w:rFonts w:ascii="Calibri Light" w:hAnsi="Calibri Light"/>
          <w:sz w:val="24"/>
        </w:rPr>
        <w:t>Rede</w:t>
      </w:r>
      <w:r>
        <w:rPr>
          <w:rFonts w:ascii="Calibri Light" w:hAnsi="Calibri Light"/>
          <w:spacing w:val="-14"/>
          <w:sz w:val="24"/>
        </w:rPr>
        <w:t xml:space="preserve"> </w:t>
      </w:r>
      <w:r>
        <w:rPr>
          <w:rFonts w:ascii="Calibri Light" w:hAnsi="Calibri Light"/>
          <w:sz w:val="24"/>
        </w:rPr>
        <w:t>Backbone:</w:t>
      </w:r>
      <w:r>
        <w:rPr>
          <w:rFonts w:ascii="Calibri Light" w:hAnsi="Calibri Light"/>
          <w:spacing w:val="-13"/>
          <w:sz w:val="24"/>
        </w:rPr>
        <w:t xml:space="preserve"> </w:t>
      </w:r>
      <w:r>
        <w:rPr>
          <w:rFonts w:ascii="Calibri Light" w:hAnsi="Calibri Light"/>
          <w:sz w:val="24"/>
        </w:rPr>
        <w:t>destaca-se</w:t>
      </w:r>
      <w:r>
        <w:rPr>
          <w:rFonts w:ascii="Calibri Light" w:hAnsi="Calibri Light"/>
          <w:spacing w:val="-14"/>
          <w:sz w:val="24"/>
        </w:rPr>
        <w:t xml:space="preserve"> </w:t>
      </w:r>
      <w:r>
        <w:rPr>
          <w:rFonts w:ascii="Calibri Light" w:hAnsi="Calibri Light"/>
          <w:sz w:val="24"/>
        </w:rPr>
        <w:t>que</w:t>
      </w:r>
      <w:r>
        <w:rPr>
          <w:rFonts w:ascii="Calibri Light" w:hAnsi="Calibri Light"/>
          <w:spacing w:val="-13"/>
          <w:sz w:val="24"/>
        </w:rPr>
        <w:t xml:space="preserve"> </w:t>
      </w:r>
      <w:r>
        <w:rPr>
          <w:rFonts w:ascii="Calibri Light" w:hAnsi="Calibri Light"/>
          <w:sz w:val="24"/>
        </w:rPr>
        <w:t>esta</w:t>
      </w:r>
      <w:r>
        <w:rPr>
          <w:rFonts w:ascii="Calibri Light" w:hAnsi="Calibri Light"/>
          <w:spacing w:val="-14"/>
          <w:sz w:val="24"/>
        </w:rPr>
        <w:t xml:space="preserve"> </w:t>
      </w:r>
      <w:r>
        <w:rPr>
          <w:rFonts w:ascii="Calibri Light" w:hAnsi="Calibri Light"/>
          <w:sz w:val="24"/>
        </w:rPr>
        <w:t>unidade</w:t>
      </w:r>
      <w:r>
        <w:rPr>
          <w:rFonts w:ascii="Calibri Light" w:hAnsi="Calibri Light"/>
          <w:spacing w:val="-13"/>
          <w:sz w:val="24"/>
        </w:rPr>
        <w:t xml:space="preserve"> </w:t>
      </w:r>
      <w:r>
        <w:rPr>
          <w:rFonts w:ascii="Calibri Light" w:hAnsi="Calibri Light"/>
          <w:sz w:val="24"/>
        </w:rPr>
        <w:t>apresentou</w:t>
      </w:r>
      <w:r>
        <w:rPr>
          <w:rFonts w:ascii="Calibri Light" w:hAnsi="Calibri Light"/>
          <w:spacing w:val="-14"/>
          <w:sz w:val="24"/>
        </w:rPr>
        <w:t xml:space="preserve"> </w:t>
      </w:r>
      <w:r>
        <w:rPr>
          <w:rFonts w:ascii="Calibri Light" w:hAnsi="Calibri Light"/>
          <w:sz w:val="24"/>
        </w:rPr>
        <w:t>geração</w:t>
      </w:r>
      <w:r>
        <w:rPr>
          <w:rFonts w:ascii="Calibri Light" w:hAnsi="Calibri Light"/>
          <w:spacing w:val="-14"/>
          <w:sz w:val="24"/>
        </w:rPr>
        <w:t xml:space="preserve"> </w:t>
      </w:r>
      <w:r>
        <w:rPr>
          <w:rFonts w:ascii="Calibri Light" w:hAnsi="Calibri Light"/>
          <w:sz w:val="24"/>
        </w:rPr>
        <w:t>de</w:t>
      </w:r>
      <w:r>
        <w:rPr>
          <w:rFonts w:ascii="Calibri Light" w:hAnsi="Calibri Light"/>
          <w:spacing w:val="-13"/>
          <w:sz w:val="24"/>
        </w:rPr>
        <w:t xml:space="preserve"> </w:t>
      </w:r>
      <w:r>
        <w:rPr>
          <w:rFonts w:ascii="Calibri Light" w:hAnsi="Calibri Light"/>
          <w:sz w:val="24"/>
        </w:rPr>
        <w:t>caixa</w:t>
      </w:r>
      <w:r>
        <w:rPr>
          <w:rFonts w:ascii="Calibri Light" w:hAnsi="Calibri Light"/>
          <w:spacing w:val="-14"/>
          <w:sz w:val="24"/>
        </w:rPr>
        <w:t xml:space="preserve"> </w:t>
      </w:r>
      <w:r>
        <w:rPr>
          <w:rFonts w:ascii="Calibri Light" w:hAnsi="Calibri Light"/>
          <w:sz w:val="24"/>
        </w:rPr>
        <w:t>negativa</w:t>
      </w:r>
      <w:r>
        <w:rPr>
          <w:rFonts w:ascii="Calibri Light" w:hAnsi="Calibri Light"/>
          <w:spacing w:val="-13"/>
          <w:sz w:val="24"/>
        </w:rPr>
        <w:t xml:space="preserve"> </w:t>
      </w:r>
      <w:r>
        <w:rPr>
          <w:rFonts w:ascii="Calibri Light" w:hAnsi="Calibri Light"/>
          <w:sz w:val="24"/>
        </w:rPr>
        <w:t>no</w:t>
      </w:r>
      <w:r>
        <w:rPr>
          <w:rFonts w:ascii="Calibri Light" w:hAnsi="Calibri Light"/>
          <w:spacing w:val="-14"/>
          <w:sz w:val="24"/>
        </w:rPr>
        <w:t xml:space="preserve"> </w:t>
      </w:r>
      <w:r>
        <w:rPr>
          <w:rFonts w:ascii="Calibri Light" w:hAnsi="Calibri Light"/>
          <w:sz w:val="24"/>
        </w:rPr>
        <w:t>método de valor em uso, tendo sua recuperabilidade suportada pelo método de valor justo líquido de despesas de venda, o que demanda acompanhamento quanto à sua sustentabilidade econômica.</w:t>
      </w:r>
    </w:p>
    <w:p w14:paraId="4AF4C86A" w14:textId="77777777" w:rsidR="002C6574" w:rsidRDefault="00000000">
      <w:pPr>
        <w:spacing w:before="159" w:line="278" w:lineRule="auto"/>
        <w:ind w:left="144" w:right="991"/>
        <w:jc w:val="both"/>
        <w:rPr>
          <w:rFonts w:ascii="Calibri Light" w:hAnsi="Calibri Light"/>
          <w:sz w:val="24"/>
        </w:rPr>
      </w:pPr>
      <w:r>
        <w:rPr>
          <w:rFonts w:ascii="Calibri Light" w:hAnsi="Calibri Light"/>
          <w:sz w:val="24"/>
        </w:rPr>
        <w:t>Fluxo de Caixa e Recebíveis: observa-se a relevância dos atrasos nos recebíveis, em especial de natureza governamental, aspecto que pode impactar a realização dos fluxos de caixa projetados utilizados no teste de recuperabilidade.</w:t>
      </w:r>
    </w:p>
    <w:p w14:paraId="2BB95CC8" w14:textId="77777777" w:rsidR="002C6574" w:rsidRDefault="00000000">
      <w:pPr>
        <w:spacing w:before="157" w:line="278" w:lineRule="auto"/>
        <w:ind w:left="144" w:right="991"/>
        <w:jc w:val="both"/>
        <w:rPr>
          <w:rFonts w:ascii="Calibri Light" w:hAnsi="Calibri Light"/>
          <w:sz w:val="24"/>
        </w:rPr>
      </w:pPr>
      <w:r>
        <w:rPr>
          <w:rFonts w:ascii="Calibri Light" w:hAnsi="Calibri Light"/>
          <w:sz w:val="24"/>
        </w:rPr>
        <w:t>Diante do exposto, este Conselho Fiscal recomenda a aprovação das contas, sem prejuízo de recomendar o acompanhamento contínuo das premissas utilizadas no teste de recuperabilidade, especialmente quanto à efetiva conversão de receita em caixa e à execução do plano econômico- financeiro da Companhia. Brasília-DF, 18 de março de 2026.</w:t>
      </w:r>
    </w:p>
    <w:p w14:paraId="01292912" w14:textId="77777777" w:rsidR="002C6574" w:rsidRDefault="002C6574">
      <w:pPr>
        <w:pStyle w:val="Corpodetexto"/>
        <w:rPr>
          <w:rFonts w:ascii="Calibri Light"/>
          <w:sz w:val="24"/>
        </w:rPr>
      </w:pPr>
    </w:p>
    <w:p w14:paraId="231944CC" w14:textId="77777777" w:rsidR="002C6574" w:rsidRDefault="002C6574">
      <w:pPr>
        <w:pStyle w:val="Corpodetexto"/>
        <w:rPr>
          <w:rFonts w:ascii="Calibri Light"/>
          <w:sz w:val="24"/>
        </w:rPr>
      </w:pPr>
    </w:p>
    <w:p w14:paraId="1B7114DD" w14:textId="77777777" w:rsidR="002C6574" w:rsidRDefault="002C6574">
      <w:pPr>
        <w:pStyle w:val="Corpodetexto"/>
        <w:rPr>
          <w:rFonts w:ascii="Calibri Light"/>
          <w:sz w:val="24"/>
        </w:rPr>
      </w:pPr>
    </w:p>
    <w:p w14:paraId="5C3A1D97" w14:textId="77777777" w:rsidR="002C6574" w:rsidRDefault="002C6574">
      <w:pPr>
        <w:pStyle w:val="Corpodetexto"/>
        <w:spacing w:before="145"/>
        <w:rPr>
          <w:rFonts w:ascii="Calibri Light"/>
          <w:sz w:val="24"/>
        </w:rPr>
      </w:pPr>
    </w:p>
    <w:p w14:paraId="3C8E0DFF" w14:textId="77777777" w:rsidR="002C6574" w:rsidRDefault="00000000">
      <w:pPr>
        <w:pStyle w:val="Ttulo9"/>
        <w:ind w:right="845"/>
      </w:pPr>
      <w:r>
        <w:t>Giuliano</w:t>
      </w:r>
      <w:r>
        <w:rPr>
          <w:spacing w:val="-8"/>
        </w:rPr>
        <w:t xml:space="preserve"> </w:t>
      </w:r>
      <w:r>
        <w:t>Passos</w:t>
      </w:r>
      <w:r>
        <w:rPr>
          <w:spacing w:val="-6"/>
        </w:rPr>
        <w:t xml:space="preserve"> </w:t>
      </w:r>
      <w:r>
        <w:rPr>
          <w:spacing w:val="-2"/>
        </w:rPr>
        <w:t>Cardoso</w:t>
      </w:r>
    </w:p>
    <w:p w14:paraId="30BBD398" w14:textId="77777777" w:rsidR="002C6574" w:rsidRDefault="00000000">
      <w:pPr>
        <w:spacing w:before="14"/>
        <w:ind w:right="846"/>
        <w:jc w:val="center"/>
        <w:rPr>
          <w:rFonts w:ascii="Trebuchet MS"/>
          <w:sz w:val="23"/>
        </w:rPr>
      </w:pPr>
      <w:r>
        <w:rPr>
          <w:rFonts w:ascii="Trebuchet MS"/>
          <w:spacing w:val="-6"/>
          <w:sz w:val="23"/>
        </w:rPr>
        <w:t>Presidente</w:t>
      </w:r>
      <w:r>
        <w:rPr>
          <w:rFonts w:ascii="Trebuchet MS"/>
          <w:spacing w:val="-12"/>
          <w:sz w:val="23"/>
        </w:rPr>
        <w:t xml:space="preserve"> </w:t>
      </w:r>
      <w:r>
        <w:rPr>
          <w:rFonts w:ascii="Trebuchet MS"/>
          <w:spacing w:val="-6"/>
          <w:sz w:val="23"/>
        </w:rPr>
        <w:t>Representante</w:t>
      </w:r>
      <w:r>
        <w:rPr>
          <w:rFonts w:ascii="Trebuchet MS"/>
          <w:spacing w:val="-9"/>
          <w:sz w:val="23"/>
        </w:rPr>
        <w:t xml:space="preserve"> </w:t>
      </w:r>
      <w:r>
        <w:rPr>
          <w:rFonts w:ascii="Trebuchet MS"/>
          <w:spacing w:val="-6"/>
          <w:sz w:val="23"/>
        </w:rPr>
        <w:t>do</w:t>
      </w:r>
      <w:r>
        <w:rPr>
          <w:rFonts w:ascii="Trebuchet MS"/>
          <w:spacing w:val="-13"/>
          <w:sz w:val="23"/>
        </w:rPr>
        <w:t xml:space="preserve"> </w:t>
      </w:r>
      <w:r>
        <w:rPr>
          <w:rFonts w:ascii="Trebuchet MS"/>
          <w:spacing w:val="-6"/>
          <w:sz w:val="23"/>
        </w:rPr>
        <w:t>Tesouro</w:t>
      </w:r>
      <w:r>
        <w:rPr>
          <w:rFonts w:ascii="Trebuchet MS"/>
          <w:spacing w:val="-13"/>
          <w:sz w:val="23"/>
        </w:rPr>
        <w:t xml:space="preserve"> </w:t>
      </w:r>
      <w:r>
        <w:rPr>
          <w:rFonts w:ascii="Trebuchet MS"/>
          <w:spacing w:val="-6"/>
          <w:sz w:val="23"/>
        </w:rPr>
        <w:t>Nacional</w:t>
      </w:r>
    </w:p>
    <w:p w14:paraId="30B12D89" w14:textId="77777777" w:rsidR="002C6574" w:rsidRDefault="002C6574">
      <w:pPr>
        <w:pStyle w:val="Corpodetexto"/>
        <w:rPr>
          <w:rFonts w:ascii="Trebuchet MS"/>
          <w:sz w:val="23"/>
        </w:rPr>
      </w:pPr>
    </w:p>
    <w:p w14:paraId="182CA6E8" w14:textId="77777777" w:rsidR="002C6574" w:rsidRDefault="002C6574">
      <w:pPr>
        <w:pStyle w:val="Corpodetexto"/>
        <w:rPr>
          <w:rFonts w:ascii="Trebuchet MS"/>
          <w:sz w:val="23"/>
        </w:rPr>
      </w:pPr>
    </w:p>
    <w:p w14:paraId="040BC65C" w14:textId="77777777" w:rsidR="002C6574" w:rsidRDefault="002C6574">
      <w:pPr>
        <w:pStyle w:val="Corpodetexto"/>
        <w:rPr>
          <w:rFonts w:ascii="Trebuchet MS"/>
          <w:sz w:val="23"/>
        </w:rPr>
      </w:pPr>
    </w:p>
    <w:p w14:paraId="52C5741D" w14:textId="77777777" w:rsidR="002C6574" w:rsidRDefault="002C6574">
      <w:pPr>
        <w:pStyle w:val="Corpodetexto"/>
        <w:spacing w:before="105"/>
        <w:rPr>
          <w:rFonts w:ascii="Trebuchet MS"/>
          <w:sz w:val="23"/>
        </w:rPr>
      </w:pPr>
    </w:p>
    <w:p w14:paraId="7C045B51" w14:textId="77777777" w:rsidR="002C6574" w:rsidRDefault="00000000">
      <w:pPr>
        <w:pStyle w:val="Ttulo9"/>
      </w:pPr>
      <w:r>
        <w:rPr>
          <w:spacing w:val="-4"/>
        </w:rPr>
        <w:t>Ana</w:t>
      </w:r>
      <w:r>
        <w:rPr>
          <w:spacing w:val="-13"/>
        </w:rPr>
        <w:t xml:space="preserve"> </w:t>
      </w:r>
      <w:r>
        <w:rPr>
          <w:spacing w:val="-4"/>
        </w:rPr>
        <w:t>Paula</w:t>
      </w:r>
      <w:r>
        <w:rPr>
          <w:spacing w:val="-15"/>
        </w:rPr>
        <w:t xml:space="preserve"> </w:t>
      </w:r>
      <w:r>
        <w:rPr>
          <w:spacing w:val="-4"/>
        </w:rPr>
        <w:t>Leal</w:t>
      </w:r>
      <w:r>
        <w:rPr>
          <w:spacing w:val="-14"/>
        </w:rPr>
        <w:t xml:space="preserve"> </w:t>
      </w:r>
      <w:r>
        <w:rPr>
          <w:spacing w:val="-4"/>
        </w:rPr>
        <w:t>Aguiar</w:t>
      </w:r>
      <w:r>
        <w:rPr>
          <w:spacing w:val="-17"/>
        </w:rPr>
        <w:t xml:space="preserve"> </w:t>
      </w:r>
      <w:r>
        <w:rPr>
          <w:spacing w:val="-4"/>
        </w:rPr>
        <w:t>Calhau</w:t>
      </w:r>
    </w:p>
    <w:p w14:paraId="4E302A03" w14:textId="77777777" w:rsidR="002C6574" w:rsidRDefault="00000000">
      <w:pPr>
        <w:spacing w:before="59"/>
        <w:ind w:left="202" w:right="1050"/>
        <w:jc w:val="center"/>
        <w:rPr>
          <w:rFonts w:ascii="Trebuchet MS" w:hAnsi="Trebuchet MS"/>
          <w:sz w:val="23"/>
        </w:rPr>
      </w:pPr>
      <w:r>
        <w:rPr>
          <w:rFonts w:ascii="Trebuchet MS" w:hAnsi="Trebuchet MS"/>
          <w:spacing w:val="-4"/>
          <w:sz w:val="23"/>
        </w:rPr>
        <w:t>Conselheira</w:t>
      </w:r>
      <w:r>
        <w:rPr>
          <w:rFonts w:ascii="Trebuchet MS" w:hAnsi="Trebuchet MS"/>
          <w:spacing w:val="-9"/>
          <w:sz w:val="23"/>
        </w:rPr>
        <w:t xml:space="preserve"> </w:t>
      </w:r>
      <w:r>
        <w:rPr>
          <w:rFonts w:ascii="Trebuchet MS" w:hAnsi="Trebuchet MS"/>
          <w:spacing w:val="-4"/>
          <w:sz w:val="23"/>
        </w:rPr>
        <w:t>Representante</w:t>
      </w:r>
      <w:r>
        <w:rPr>
          <w:rFonts w:ascii="Trebuchet MS" w:hAnsi="Trebuchet MS"/>
          <w:spacing w:val="-8"/>
          <w:sz w:val="23"/>
        </w:rPr>
        <w:t xml:space="preserve"> </w:t>
      </w:r>
      <w:r>
        <w:rPr>
          <w:rFonts w:ascii="Trebuchet MS" w:hAnsi="Trebuchet MS"/>
          <w:spacing w:val="-4"/>
          <w:sz w:val="23"/>
        </w:rPr>
        <w:t>do</w:t>
      </w:r>
      <w:r>
        <w:rPr>
          <w:rFonts w:ascii="Trebuchet MS" w:hAnsi="Trebuchet MS"/>
          <w:spacing w:val="-8"/>
          <w:sz w:val="23"/>
        </w:rPr>
        <w:t xml:space="preserve"> </w:t>
      </w:r>
      <w:r>
        <w:rPr>
          <w:rFonts w:ascii="Trebuchet MS" w:hAnsi="Trebuchet MS"/>
          <w:spacing w:val="-4"/>
          <w:sz w:val="23"/>
        </w:rPr>
        <w:t>Ministério</w:t>
      </w:r>
      <w:r>
        <w:rPr>
          <w:rFonts w:ascii="Trebuchet MS" w:hAnsi="Trebuchet MS"/>
          <w:spacing w:val="-9"/>
          <w:sz w:val="23"/>
        </w:rPr>
        <w:t xml:space="preserve"> </w:t>
      </w:r>
      <w:r>
        <w:rPr>
          <w:rFonts w:ascii="Trebuchet MS" w:hAnsi="Trebuchet MS"/>
          <w:spacing w:val="-4"/>
          <w:sz w:val="23"/>
        </w:rPr>
        <w:t>das</w:t>
      </w:r>
      <w:r>
        <w:rPr>
          <w:rFonts w:ascii="Trebuchet MS" w:hAnsi="Trebuchet MS"/>
          <w:spacing w:val="-5"/>
          <w:sz w:val="23"/>
        </w:rPr>
        <w:t xml:space="preserve"> </w:t>
      </w:r>
      <w:r>
        <w:rPr>
          <w:rFonts w:ascii="Trebuchet MS" w:hAnsi="Trebuchet MS"/>
          <w:spacing w:val="-4"/>
          <w:sz w:val="23"/>
        </w:rPr>
        <w:t>Comunicações</w:t>
      </w:r>
    </w:p>
    <w:p w14:paraId="28C88B09" w14:textId="77777777" w:rsidR="002C6574" w:rsidRDefault="002C6574">
      <w:pPr>
        <w:pStyle w:val="Corpodetexto"/>
        <w:rPr>
          <w:rFonts w:ascii="Trebuchet MS"/>
          <w:sz w:val="23"/>
        </w:rPr>
      </w:pPr>
    </w:p>
    <w:p w14:paraId="308A98DC" w14:textId="77777777" w:rsidR="002C6574" w:rsidRDefault="002C6574">
      <w:pPr>
        <w:pStyle w:val="Corpodetexto"/>
        <w:rPr>
          <w:rFonts w:ascii="Trebuchet MS"/>
          <w:sz w:val="23"/>
        </w:rPr>
      </w:pPr>
    </w:p>
    <w:p w14:paraId="5016F96D" w14:textId="77777777" w:rsidR="002C6574" w:rsidRDefault="002C6574">
      <w:pPr>
        <w:pStyle w:val="Corpodetexto"/>
        <w:rPr>
          <w:rFonts w:ascii="Trebuchet MS"/>
          <w:sz w:val="23"/>
        </w:rPr>
      </w:pPr>
    </w:p>
    <w:p w14:paraId="1C6BABB5" w14:textId="77777777" w:rsidR="002C6574" w:rsidRDefault="002C6574">
      <w:pPr>
        <w:pStyle w:val="Corpodetexto"/>
        <w:spacing w:before="103"/>
        <w:rPr>
          <w:rFonts w:ascii="Trebuchet MS"/>
          <w:sz w:val="23"/>
        </w:rPr>
      </w:pPr>
    </w:p>
    <w:p w14:paraId="69A701D0" w14:textId="77777777" w:rsidR="002C6574" w:rsidRDefault="00000000">
      <w:pPr>
        <w:pStyle w:val="Ttulo9"/>
      </w:pPr>
      <w:r>
        <w:rPr>
          <w:spacing w:val="-2"/>
        </w:rPr>
        <w:t>Alano</w:t>
      </w:r>
      <w:r>
        <w:rPr>
          <w:spacing w:val="-21"/>
        </w:rPr>
        <w:t xml:space="preserve"> </w:t>
      </w:r>
      <w:r>
        <w:rPr>
          <w:spacing w:val="-2"/>
        </w:rPr>
        <w:t>Roberto</w:t>
      </w:r>
      <w:r>
        <w:rPr>
          <w:spacing w:val="-19"/>
        </w:rPr>
        <w:t xml:space="preserve"> </w:t>
      </w:r>
      <w:r>
        <w:rPr>
          <w:spacing w:val="-2"/>
        </w:rPr>
        <w:t>Santiago</w:t>
      </w:r>
      <w:r>
        <w:rPr>
          <w:spacing w:val="-21"/>
        </w:rPr>
        <w:t xml:space="preserve"> </w:t>
      </w:r>
      <w:r>
        <w:rPr>
          <w:spacing w:val="-2"/>
        </w:rPr>
        <w:t>Guedes</w:t>
      </w:r>
    </w:p>
    <w:p w14:paraId="46FD7835" w14:textId="77777777" w:rsidR="002C6574" w:rsidRDefault="00000000">
      <w:pPr>
        <w:spacing w:before="13"/>
        <w:ind w:left="202" w:right="1050"/>
        <w:jc w:val="center"/>
        <w:rPr>
          <w:rFonts w:ascii="Trebuchet MS" w:hAnsi="Trebuchet MS"/>
          <w:sz w:val="23"/>
        </w:rPr>
      </w:pPr>
      <w:r>
        <w:rPr>
          <w:rFonts w:ascii="Trebuchet MS" w:hAnsi="Trebuchet MS"/>
          <w:spacing w:val="-2"/>
          <w:sz w:val="23"/>
        </w:rPr>
        <w:t>Conselheiro</w:t>
      </w:r>
      <w:r>
        <w:rPr>
          <w:rFonts w:ascii="Trebuchet MS" w:hAnsi="Trebuchet MS"/>
          <w:spacing w:val="-22"/>
          <w:sz w:val="23"/>
        </w:rPr>
        <w:t xml:space="preserve"> </w:t>
      </w:r>
      <w:r>
        <w:rPr>
          <w:rFonts w:ascii="Trebuchet MS" w:hAnsi="Trebuchet MS"/>
          <w:spacing w:val="-2"/>
          <w:sz w:val="23"/>
        </w:rPr>
        <w:t>Representante</w:t>
      </w:r>
      <w:r>
        <w:rPr>
          <w:rFonts w:ascii="Trebuchet MS" w:hAnsi="Trebuchet MS"/>
          <w:spacing w:val="-23"/>
          <w:sz w:val="23"/>
        </w:rPr>
        <w:t xml:space="preserve"> </w:t>
      </w:r>
      <w:r>
        <w:rPr>
          <w:rFonts w:ascii="Trebuchet MS" w:hAnsi="Trebuchet MS"/>
          <w:spacing w:val="-2"/>
          <w:sz w:val="23"/>
        </w:rPr>
        <w:t>do</w:t>
      </w:r>
      <w:r>
        <w:rPr>
          <w:rFonts w:ascii="Trebuchet MS" w:hAnsi="Trebuchet MS"/>
          <w:spacing w:val="-24"/>
          <w:sz w:val="23"/>
        </w:rPr>
        <w:t xml:space="preserve"> </w:t>
      </w:r>
      <w:r>
        <w:rPr>
          <w:rFonts w:ascii="Trebuchet MS" w:hAnsi="Trebuchet MS"/>
          <w:spacing w:val="-2"/>
          <w:sz w:val="23"/>
        </w:rPr>
        <w:t>Ministério</w:t>
      </w:r>
      <w:r>
        <w:rPr>
          <w:rFonts w:ascii="Trebuchet MS" w:hAnsi="Trebuchet MS"/>
          <w:spacing w:val="-23"/>
          <w:sz w:val="23"/>
        </w:rPr>
        <w:t xml:space="preserve"> </w:t>
      </w:r>
      <w:r>
        <w:rPr>
          <w:rFonts w:ascii="Trebuchet MS" w:hAnsi="Trebuchet MS"/>
          <w:spacing w:val="-2"/>
          <w:sz w:val="23"/>
        </w:rPr>
        <w:t>das</w:t>
      </w:r>
      <w:r>
        <w:rPr>
          <w:rFonts w:ascii="Trebuchet MS" w:hAnsi="Trebuchet MS"/>
          <w:spacing w:val="-21"/>
          <w:sz w:val="23"/>
        </w:rPr>
        <w:t xml:space="preserve"> </w:t>
      </w:r>
      <w:r>
        <w:rPr>
          <w:rFonts w:ascii="Trebuchet MS" w:hAnsi="Trebuchet MS"/>
          <w:spacing w:val="-2"/>
          <w:sz w:val="23"/>
        </w:rPr>
        <w:t>Comunicações</w:t>
      </w:r>
    </w:p>
    <w:p w14:paraId="04F95576" w14:textId="77777777" w:rsidR="002C6574" w:rsidRDefault="002C6574">
      <w:pPr>
        <w:pStyle w:val="Corpodetexto"/>
        <w:rPr>
          <w:rFonts w:ascii="Trebuchet MS"/>
          <w:sz w:val="23"/>
        </w:rPr>
      </w:pPr>
    </w:p>
    <w:p w14:paraId="6C5038ED" w14:textId="77777777" w:rsidR="002C6574" w:rsidRDefault="002C6574">
      <w:pPr>
        <w:pStyle w:val="Corpodetexto"/>
        <w:rPr>
          <w:rFonts w:ascii="Trebuchet MS"/>
          <w:sz w:val="23"/>
        </w:rPr>
      </w:pPr>
    </w:p>
    <w:p w14:paraId="5CA4CA9E" w14:textId="77777777" w:rsidR="002C6574" w:rsidRDefault="002C6574">
      <w:pPr>
        <w:pStyle w:val="Corpodetexto"/>
        <w:rPr>
          <w:rFonts w:ascii="Trebuchet MS"/>
          <w:sz w:val="23"/>
        </w:rPr>
      </w:pPr>
    </w:p>
    <w:p w14:paraId="38FDE63E" w14:textId="77777777" w:rsidR="002C6574" w:rsidRDefault="002C6574">
      <w:pPr>
        <w:pStyle w:val="Corpodetexto"/>
        <w:spacing w:before="31"/>
        <w:rPr>
          <w:rFonts w:ascii="Trebuchet MS"/>
          <w:sz w:val="23"/>
        </w:rPr>
      </w:pPr>
    </w:p>
    <w:p w14:paraId="7F76A000" w14:textId="77777777" w:rsidR="002C6574" w:rsidRDefault="00000000">
      <w:pPr>
        <w:pStyle w:val="Ttulo9"/>
        <w:ind w:right="846"/>
      </w:pPr>
      <w:r>
        <w:rPr>
          <w:spacing w:val="-2"/>
        </w:rPr>
        <w:t>Guilherme</w:t>
      </w:r>
      <w:r>
        <w:rPr>
          <w:spacing w:val="-12"/>
        </w:rPr>
        <w:t xml:space="preserve"> </w:t>
      </w:r>
      <w:r>
        <w:rPr>
          <w:spacing w:val="-2"/>
        </w:rPr>
        <w:t>Canaan</w:t>
      </w:r>
      <w:r>
        <w:rPr>
          <w:spacing w:val="-9"/>
        </w:rPr>
        <w:t xml:space="preserve"> </w:t>
      </w:r>
      <w:r>
        <w:rPr>
          <w:spacing w:val="-2"/>
        </w:rPr>
        <w:t>Bethonico</w:t>
      </w:r>
    </w:p>
    <w:p w14:paraId="04E52B25" w14:textId="77777777" w:rsidR="002C6574" w:rsidRDefault="00000000">
      <w:pPr>
        <w:spacing w:before="14"/>
        <w:ind w:left="202" w:right="1050"/>
        <w:jc w:val="center"/>
        <w:rPr>
          <w:rFonts w:ascii="Trebuchet MS" w:hAnsi="Trebuchet MS"/>
          <w:sz w:val="23"/>
        </w:rPr>
      </w:pPr>
      <w:r>
        <w:rPr>
          <w:rFonts w:ascii="Trebuchet MS" w:hAnsi="Trebuchet MS"/>
          <w:spacing w:val="-4"/>
          <w:sz w:val="23"/>
        </w:rPr>
        <w:t>Conselheiro Representante dos</w:t>
      </w:r>
      <w:r>
        <w:rPr>
          <w:rFonts w:ascii="Trebuchet MS" w:hAnsi="Trebuchet MS"/>
          <w:spacing w:val="-6"/>
          <w:sz w:val="23"/>
        </w:rPr>
        <w:t xml:space="preserve"> </w:t>
      </w:r>
      <w:r>
        <w:rPr>
          <w:rFonts w:ascii="Trebuchet MS" w:hAnsi="Trebuchet MS"/>
          <w:spacing w:val="-4"/>
          <w:sz w:val="23"/>
        </w:rPr>
        <w:t>Acionistas</w:t>
      </w:r>
      <w:r>
        <w:rPr>
          <w:rFonts w:ascii="Trebuchet MS" w:hAnsi="Trebuchet MS"/>
          <w:spacing w:val="-6"/>
          <w:sz w:val="23"/>
        </w:rPr>
        <w:t xml:space="preserve"> </w:t>
      </w:r>
      <w:r>
        <w:rPr>
          <w:rFonts w:ascii="Trebuchet MS" w:hAnsi="Trebuchet MS"/>
          <w:spacing w:val="-4"/>
          <w:sz w:val="23"/>
        </w:rPr>
        <w:t>Minoritário</w:t>
      </w:r>
      <w:r>
        <w:rPr>
          <w:rFonts w:ascii="Trebuchet MS" w:hAnsi="Trebuchet MS"/>
          <w:spacing w:val="-6"/>
          <w:sz w:val="23"/>
        </w:rPr>
        <w:t xml:space="preserve"> </w:t>
      </w:r>
      <w:r>
        <w:rPr>
          <w:rFonts w:ascii="Trebuchet MS" w:hAnsi="Trebuchet MS"/>
          <w:spacing w:val="-4"/>
          <w:sz w:val="23"/>
        </w:rPr>
        <w:t>Preferencialistas</w:t>
      </w:r>
    </w:p>
    <w:p w14:paraId="66B4E9C1" w14:textId="77777777" w:rsidR="002C6574" w:rsidRDefault="002C6574">
      <w:pPr>
        <w:pStyle w:val="Corpodetexto"/>
        <w:rPr>
          <w:rFonts w:ascii="Trebuchet MS"/>
          <w:sz w:val="23"/>
        </w:rPr>
      </w:pPr>
    </w:p>
    <w:p w14:paraId="45787D9C" w14:textId="77777777" w:rsidR="002C6574" w:rsidRDefault="002C6574">
      <w:pPr>
        <w:pStyle w:val="Corpodetexto"/>
        <w:rPr>
          <w:rFonts w:ascii="Trebuchet MS"/>
          <w:sz w:val="23"/>
        </w:rPr>
      </w:pPr>
    </w:p>
    <w:p w14:paraId="3A77A41C" w14:textId="77777777" w:rsidR="002C6574" w:rsidRDefault="002C6574">
      <w:pPr>
        <w:pStyle w:val="Corpodetexto"/>
        <w:rPr>
          <w:rFonts w:ascii="Trebuchet MS"/>
          <w:sz w:val="23"/>
        </w:rPr>
      </w:pPr>
    </w:p>
    <w:p w14:paraId="1ADFA93B" w14:textId="77777777" w:rsidR="002C6574" w:rsidRDefault="002C6574">
      <w:pPr>
        <w:pStyle w:val="Corpodetexto"/>
        <w:spacing w:before="143"/>
        <w:rPr>
          <w:rFonts w:ascii="Trebuchet MS"/>
          <w:sz w:val="23"/>
        </w:rPr>
      </w:pPr>
    </w:p>
    <w:p w14:paraId="116BF4DC" w14:textId="77777777" w:rsidR="002C6574" w:rsidRDefault="00000000">
      <w:pPr>
        <w:pStyle w:val="Ttulo9"/>
        <w:ind w:right="847"/>
      </w:pPr>
      <w:r>
        <w:rPr>
          <w:spacing w:val="-6"/>
        </w:rPr>
        <w:t>Leonardo</w:t>
      </w:r>
      <w:r>
        <w:rPr>
          <w:spacing w:val="-18"/>
        </w:rPr>
        <w:t xml:space="preserve"> </w:t>
      </w:r>
      <w:r>
        <w:rPr>
          <w:spacing w:val="-6"/>
        </w:rPr>
        <w:t>Peixoto</w:t>
      </w:r>
      <w:r>
        <w:rPr>
          <w:spacing w:val="-16"/>
        </w:rPr>
        <w:t xml:space="preserve"> </w:t>
      </w:r>
      <w:r>
        <w:rPr>
          <w:spacing w:val="-6"/>
        </w:rPr>
        <w:t>Estevão</w:t>
      </w:r>
    </w:p>
    <w:p w14:paraId="759D46C7" w14:textId="77777777" w:rsidR="002C6574" w:rsidRDefault="00000000">
      <w:pPr>
        <w:spacing w:before="11"/>
        <w:ind w:left="202" w:right="1048"/>
        <w:jc w:val="center"/>
        <w:rPr>
          <w:rFonts w:ascii="Trebuchet MS" w:hAnsi="Trebuchet MS"/>
          <w:sz w:val="23"/>
        </w:rPr>
      </w:pPr>
      <w:r>
        <w:rPr>
          <w:rFonts w:ascii="Trebuchet MS" w:hAnsi="Trebuchet MS"/>
          <w:spacing w:val="-2"/>
          <w:sz w:val="23"/>
        </w:rPr>
        <w:t>Conselheiro</w:t>
      </w:r>
      <w:r>
        <w:rPr>
          <w:rFonts w:ascii="Trebuchet MS" w:hAnsi="Trebuchet MS"/>
          <w:spacing w:val="-20"/>
          <w:sz w:val="23"/>
        </w:rPr>
        <w:t xml:space="preserve"> </w:t>
      </w:r>
      <w:r>
        <w:rPr>
          <w:rFonts w:ascii="Trebuchet MS" w:hAnsi="Trebuchet MS"/>
          <w:spacing w:val="-2"/>
          <w:sz w:val="23"/>
        </w:rPr>
        <w:t>Representante</w:t>
      </w:r>
      <w:r>
        <w:rPr>
          <w:rFonts w:ascii="Trebuchet MS" w:hAnsi="Trebuchet MS"/>
          <w:spacing w:val="-20"/>
          <w:sz w:val="23"/>
        </w:rPr>
        <w:t xml:space="preserve"> </w:t>
      </w:r>
      <w:r>
        <w:rPr>
          <w:rFonts w:ascii="Trebuchet MS" w:hAnsi="Trebuchet MS"/>
          <w:spacing w:val="-2"/>
          <w:sz w:val="23"/>
        </w:rPr>
        <w:t>dos</w:t>
      </w:r>
      <w:r>
        <w:rPr>
          <w:rFonts w:ascii="Trebuchet MS" w:hAnsi="Trebuchet MS"/>
          <w:spacing w:val="-22"/>
          <w:sz w:val="23"/>
        </w:rPr>
        <w:t xml:space="preserve"> </w:t>
      </w:r>
      <w:r>
        <w:rPr>
          <w:rFonts w:ascii="Trebuchet MS" w:hAnsi="Trebuchet MS"/>
          <w:spacing w:val="-2"/>
          <w:sz w:val="23"/>
        </w:rPr>
        <w:t>Acionistas</w:t>
      </w:r>
      <w:r>
        <w:rPr>
          <w:rFonts w:ascii="Trebuchet MS" w:hAnsi="Trebuchet MS"/>
          <w:spacing w:val="-21"/>
          <w:sz w:val="23"/>
        </w:rPr>
        <w:t xml:space="preserve"> </w:t>
      </w:r>
      <w:r>
        <w:rPr>
          <w:rFonts w:ascii="Trebuchet MS" w:hAnsi="Trebuchet MS"/>
          <w:spacing w:val="-2"/>
          <w:sz w:val="23"/>
        </w:rPr>
        <w:t>Minoritários</w:t>
      </w:r>
      <w:r>
        <w:rPr>
          <w:rFonts w:ascii="Trebuchet MS" w:hAnsi="Trebuchet MS"/>
          <w:spacing w:val="-22"/>
          <w:sz w:val="23"/>
        </w:rPr>
        <w:t xml:space="preserve"> </w:t>
      </w:r>
      <w:r>
        <w:rPr>
          <w:rFonts w:ascii="Trebuchet MS" w:hAnsi="Trebuchet MS"/>
          <w:spacing w:val="-2"/>
          <w:sz w:val="23"/>
        </w:rPr>
        <w:t>Ordinaristas</w:t>
      </w:r>
    </w:p>
    <w:p w14:paraId="2DB13C9A" w14:textId="77777777" w:rsidR="002C6574" w:rsidRDefault="002C6574">
      <w:pPr>
        <w:jc w:val="center"/>
        <w:rPr>
          <w:rFonts w:ascii="Trebuchet MS" w:hAnsi="Trebuchet MS"/>
          <w:sz w:val="23"/>
        </w:rPr>
        <w:sectPr w:rsidR="002C6574">
          <w:headerReference w:type="default" r:id="rId102"/>
          <w:footerReference w:type="default" r:id="rId103"/>
          <w:pgSz w:w="11910" w:h="16840"/>
          <w:pgMar w:top="1360" w:right="141" w:bottom="280" w:left="1133" w:header="0" w:footer="0" w:gutter="0"/>
          <w:cols w:space="720"/>
        </w:sectPr>
      </w:pPr>
    </w:p>
    <w:p w14:paraId="036EA09D" w14:textId="77777777" w:rsidR="002C6574" w:rsidRDefault="00000000">
      <w:pPr>
        <w:spacing w:before="186"/>
        <w:ind w:left="398"/>
        <w:rPr>
          <w:rFonts w:ascii="Calibri"/>
          <w:position w:val="1"/>
          <w:sz w:val="16"/>
        </w:rPr>
      </w:pPr>
      <w:r>
        <w:rPr>
          <w:rFonts w:ascii="Calibri"/>
          <w:color w:val="161616"/>
          <w:position w:val="1"/>
          <w:sz w:val="16"/>
          <w:u w:val="single" w:color="232323"/>
        </w:rPr>
        <w:lastRenderedPageBreak/>
        <w:t>[</w:t>
      </w:r>
      <w:r>
        <w:rPr>
          <w:rFonts w:ascii="Calibri"/>
          <w:color w:val="161616"/>
          <w:spacing w:val="38"/>
          <w:position w:val="1"/>
          <w:sz w:val="16"/>
          <w:u w:val="single" w:color="232323"/>
        </w:rPr>
        <w:t xml:space="preserve"> </w:t>
      </w:r>
      <w:r>
        <w:rPr>
          <w:rFonts w:ascii="Cambria"/>
          <w:i/>
          <w:color w:val="161616"/>
          <w:sz w:val="18"/>
          <w:u w:val="single" w:color="232323"/>
        </w:rPr>
        <w:t>Classi</w:t>
      </w:r>
      <w:r>
        <w:rPr>
          <w:rFonts w:ascii="Cambria"/>
          <w:i/>
          <w:color w:val="161616"/>
          <w:spacing w:val="11"/>
          <w:sz w:val="18"/>
          <w:u w:val="single" w:color="232323"/>
        </w:rPr>
        <w:t xml:space="preserve"> </w:t>
      </w:r>
      <w:r>
        <w:rPr>
          <w:rFonts w:ascii="Cambria"/>
          <w:i/>
          <w:color w:val="161616"/>
          <w:sz w:val="18"/>
          <w:u w:val="single" w:color="232323"/>
        </w:rPr>
        <w:t>f</w:t>
      </w:r>
      <w:r>
        <w:rPr>
          <w:rFonts w:ascii="Cambria"/>
          <w:i/>
          <w:color w:val="161616"/>
          <w:spacing w:val="20"/>
          <w:sz w:val="18"/>
          <w:u w:val="single" w:color="232323"/>
        </w:rPr>
        <w:t xml:space="preserve"> </w:t>
      </w:r>
      <w:r>
        <w:rPr>
          <w:rFonts w:ascii="Cambria"/>
          <w:i/>
          <w:color w:val="161616"/>
          <w:sz w:val="18"/>
          <w:u w:val="single" w:color="232323"/>
        </w:rPr>
        <w:t>.</w:t>
      </w:r>
      <w:r>
        <w:rPr>
          <w:rFonts w:ascii="Cambria"/>
          <w:i/>
          <w:color w:val="161616"/>
          <w:spacing w:val="12"/>
          <w:sz w:val="18"/>
          <w:u w:val="single" w:color="232323"/>
        </w:rPr>
        <w:t xml:space="preserve"> </w:t>
      </w:r>
      <w:r>
        <w:rPr>
          <w:rFonts w:ascii="Cambria"/>
          <w:i/>
          <w:color w:val="161616"/>
          <w:sz w:val="18"/>
          <w:u w:val="single" w:color="232323"/>
        </w:rPr>
        <w:t>documental</w:t>
      </w:r>
      <w:r>
        <w:rPr>
          <w:rFonts w:ascii="Cambria"/>
          <w:i/>
          <w:color w:val="161616"/>
          <w:spacing w:val="17"/>
          <w:sz w:val="18"/>
          <w:u w:val="single" w:color="232323"/>
        </w:rPr>
        <w:t xml:space="preserve"> </w:t>
      </w:r>
      <w:r>
        <w:rPr>
          <w:rFonts w:ascii="Calibri"/>
          <w:color w:val="161616"/>
          <w:position w:val="1"/>
          <w:sz w:val="16"/>
          <w:u w:val="single" w:color="232323"/>
        </w:rPr>
        <w:t>j</w:t>
      </w:r>
      <w:r>
        <w:rPr>
          <w:rFonts w:ascii="Calibri"/>
          <w:color w:val="161616"/>
          <w:spacing w:val="37"/>
          <w:position w:val="1"/>
          <w:sz w:val="16"/>
          <w:u w:val="single" w:color="232323"/>
        </w:rPr>
        <w:t xml:space="preserve"> </w:t>
      </w:r>
      <w:r>
        <w:rPr>
          <w:rFonts w:ascii="Calibri"/>
          <w:color w:val="161616"/>
          <w:sz w:val="16"/>
          <w:u w:val="single" w:color="232323"/>
        </w:rPr>
        <w:t>300.018.000</w:t>
      </w:r>
      <w:r>
        <w:rPr>
          <w:rFonts w:ascii="Calibri"/>
          <w:color w:val="161616"/>
          <w:spacing w:val="20"/>
          <w:sz w:val="16"/>
        </w:rPr>
        <w:t xml:space="preserve"> </w:t>
      </w:r>
      <w:r>
        <w:rPr>
          <w:rFonts w:ascii="Calibri"/>
          <w:color w:val="161616"/>
          <w:spacing w:val="-10"/>
          <w:position w:val="1"/>
          <w:sz w:val="16"/>
        </w:rPr>
        <w:t>1</w:t>
      </w:r>
    </w:p>
    <w:p w14:paraId="46145125" w14:textId="77777777" w:rsidR="002C6574" w:rsidRDefault="00000000">
      <w:pPr>
        <w:spacing w:line="1095" w:lineRule="exact"/>
        <w:ind w:left="398"/>
        <w:rPr>
          <w:rFonts w:ascii="Arial"/>
          <w:b/>
          <w:sz w:val="48"/>
        </w:rPr>
      </w:pPr>
      <w:r>
        <w:br w:type="column"/>
      </w:r>
      <w:r>
        <w:rPr>
          <w:rFonts w:ascii="Calibri"/>
          <w:color w:val="111C5E"/>
          <w:position w:val="29"/>
          <w:sz w:val="46"/>
        </w:rPr>
        <w:t>.</w:t>
      </w:r>
      <w:r w:rsidRPr="00E15B92">
        <w:rPr>
          <w:rFonts w:ascii="Verdana"/>
          <w:color w:val="0E165D"/>
          <w:position w:val="43"/>
          <w:sz w:val="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Verdana"/>
          <w:color w:val="0E165D"/>
          <w:spacing w:val="55"/>
          <w:w w:val="150"/>
          <w:position w:val="43"/>
          <w:sz w:val="60"/>
        </w:rPr>
        <w:t xml:space="preserve"> </w:t>
      </w:r>
      <w:r>
        <w:rPr>
          <w:rFonts w:ascii="Arial"/>
          <w:b/>
          <w:color w:val="0A155D"/>
          <w:spacing w:val="-2"/>
          <w:sz w:val="48"/>
        </w:rPr>
        <w:t>telebras</w:t>
      </w:r>
    </w:p>
    <w:p w14:paraId="1479D56E" w14:textId="77777777" w:rsidR="002C6574" w:rsidRDefault="002C6574">
      <w:pPr>
        <w:spacing w:line="1095" w:lineRule="exact"/>
        <w:rPr>
          <w:rFonts w:ascii="Arial"/>
          <w:b/>
          <w:sz w:val="48"/>
        </w:rPr>
        <w:sectPr w:rsidR="002C6574">
          <w:headerReference w:type="default" r:id="rId104"/>
          <w:footerReference w:type="default" r:id="rId105"/>
          <w:pgSz w:w="11910" w:h="16840"/>
          <w:pgMar w:top="500" w:right="141" w:bottom="0" w:left="1133" w:header="0" w:footer="0" w:gutter="0"/>
          <w:cols w:num="2" w:space="720" w:equalWidth="0">
            <w:col w:w="3267" w:space="57"/>
            <w:col w:w="7312"/>
          </w:cols>
        </w:sectPr>
      </w:pPr>
    </w:p>
    <w:p w14:paraId="20FDA066" w14:textId="77777777" w:rsidR="002C6574" w:rsidRDefault="002C6574">
      <w:pPr>
        <w:pStyle w:val="Corpodetexto"/>
        <w:spacing w:before="230"/>
        <w:rPr>
          <w:rFonts w:ascii="Arial"/>
          <w:b/>
        </w:rPr>
      </w:pPr>
    </w:p>
    <w:p w14:paraId="3CFF2ED0" w14:textId="77777777" w:rsidR="002C6574" w:rsidRDefault="00000000">
      <w:pPr>
        <w:pStyle w:val="Corpodetexto"/>
        <w:ind w:left="2618" w:right="3329"/>
        <w:jc w:val="center"/>
        <w:rPr>
          <w:rFonts w:ascii="Calibri" w:hAnsi="Calibri"/>
        </w:rPr>
      </w:pPr>
      <w:r>
        <w:rPr>
          <w:rFonts w:ascii="Calibri" w:hAnsi="Calibri"/>
          <w:color w:val="1A215D"/>
          <w:spacing w:val="2"/>
        </w:rPr>
        <w:t>TELECOMUNICAÇÕES</w:t>
      </w:r>
      <w:r>
        <w:rPr>
          <w:rFonts w:ascii="Calibri" w:hAnsi="Calibri"/>
          <w:color w:val="1A215D"/>
          <w:spacing w:val="24"/>
        </w:rPr>
        <w:t xml:space="preserve"> </w:t>
      </w:r>
      <w:r>
        <w:rPr>
          <w:rFonts w:ascii="Calibri" w:hAnsi="Calibri"/>
          <w:color w:val="1A215D"/>
          <w:spacing w:val="2"/>
        </w:rPr>
        <w:t>BRASILEIRAS</w:t>
      </w:r>
      <w:r>
        <w:rPr>
          <w:rFonts w:ascii="Calibri" w:hAnsi="Calibri"/>
          <w:color w:val="1A215D"/>
          <w:spacing w:val="13"/>
        </w:rPr>
        <w:t xml:space="preserve"> </w:t>
      </w:r>
      <w:r>
        <w:rPr>
          <w:rFonts w:ascii="Calibri" w:hAnsi="Calibri"/>
          <w:color w:val="1A215D"/>
          <w:spacing w:val="-4"/>
        </w:rPr>
        <w:t>S.A.</w:t>
      </w:r>
    </w:p>
    <w:p w14:paraId="24B3BF86" w14:textId="77777777" w:rsidR="002C6574" w:rsidRDefault="002C6574">
      <w:pPr>
        <w:pStyle w:val="Corpodetexto"/>
        <w:rPr>
          <w:rFonts w:ascii="Calibri"/>
        </w:rPr>
      </w:pPr>
    </w:p>
    <w:p w14:paraId="1EC748FB" w14:textId="77777777" w:rsidR="002C6574" w:rsidRDefault="002C6574">
      <w:pPr>
        <w:pStyle w:val="Corpodetexto"/>
        <w:spacing w:before="176"/>
        <w:rPr>
          <w:rFonts w:ascii="Calibri"/>
        </w:rPr>
      </w:pPr>
    </w:p>
    <w:p w14:paraId="5E477BBB" w14:textId="77777777" w:rsidR="002C6574" w:rsidRDefault="00000000">
      <w:pPr>
        <w:ind w:left="2618" w:right="3328"/>
        <w:jc w:val="center"/>
        <w:rPr>
          <w:rFonts w:ascii="Times New Roman" w:hAnsi="Times New Roman"/>
          <w:b/>
          <w:sz w:val="20"/>
        </w:rPr>
      </w:pPr>
      <w:r>
        <w:rPr>
          <w:rFonts w:ascii="Times New Roman" w:hAnsi="Times New Roman"/>
          <w:b/>
          <w:color w:val="010101"/>
          <w:sz w:val="20"/>
        </w:rPr>
        <w:t>DECLARAÇÃO</w:t>
      </w:r>
      <w:r>
        <w:rPr>
          <w:rFonts w:ascii="Times New Roman" w:hAnsi="Times New Roman"/>
          <w:b/>
          <w:color w:val="010101"/>
          <w:spacing w:val="-8"/>
          <w:sz w:val="20"/>
        </w:rPr>
        <w:t xml:space="preserve"> </w:t>
      </w:r>
      <w:r>
        <w:rPr>
          <w:rFonts w:ascii="Times New Roman" w:hAnsi="Times New Roman"/>
          <w:b/>
          <w:color w:val="010101"/>
          <w:sz w:val="20"/>
        </w:rPr>
        <w:t>o</w:t>
      </w:r>
      <w:r>
        <w:rPr>
          <w:rFonts w:ascii="Arial" w:hAnsi="Arial"/>
          <w:b/>
          <w:color w:val="010101"/>
          <w:sz w:val="20"/>
          <w:vertAlign w:val="superscript"/>
        </w:rPr>
        <w:t>º</w:t>
      </w:r>
      <w:r>
        <w:rPr>
          <w:rFonts w:ascii="Arial" w:hAnsi="Arial"/>
          <w:b/>
          <w:color w:val="010101"/>
          <w:spacing w:val="-20"/>
          <w:sz w:val="20"/>
        </w:rPr>
        <w:t xml:space="preserve"> </w:t>
      </w:r>
      <w:r>
        <w:rPr>
          <w:rFonts w:ascii="Times New Roman" w:hAnsi="Times New Roman"/>
          <w:b/>
          <w:color w:val="010101"/>
          <w:sz w:val="20"/>
        </w:rPr>
        <w:t>TLB-DEC-</w:t>
      </w:r>
      <w:r>
        <w:rPr>
          <w:rFonts w:ascii="Times New Roman" w:hAnsi="Times New Roman"/>
          <w:b/>
          <w:color w:val="010101"/>
          <w:spacing w:val="-2"/>
          <w:sz w:val="20"/>
        </w:rPr>
        <w:t>2026/00078</w:t>
      </w:r>
    </w:p>
    <w:p w14:paraId="776297C3" w14:textId="77777777" w:rsidR="002C6574" w:rsidRDefault="002C6574">
      <w:pPr>
        <w:pStyle w:val="Corpodetexto"/>
        <w:rPr>
          <w:rFonts w:ascii="Times New Roman"/>
          <w:b/>
          <w:sz w:val="20"/>
        </w:rPr>
      </w:pPr>
    </w:p>
    <w:p w14:paraId="1C650416" w14:textId="77777777" w:rsidR="002C6574" w:rsidRDefault="002C6574">
      <w:pPr>
        <w:pStyle w:val="Corpodetexto"/>
        <w:spacing w:before="6"/>
        <w:rPr>
          <w:rFonts w:ascii="Times New Roman"/>
          <w:b/>
          <w:sz w:val="20"/>
        </w:rPr>
      </w:pPr>
    </w:p>
    <w:p w14:paraId="6A5A775D" w14:textId="77777777" w:rsidR="002C6574" w:rsidRDefault="00000000">
      <w:pPr>
        <w:ind w:left="300" w:right="1015"/>
        <w:jc w:val="center"/>
        <w:rPr>
          <w:rFonts w:ascii="Times New Roman" w:hAnsi="Times New Roman"/>
          <w:b/>
          <w:sz w:val="20"/>
        </w:rPr>
      </w:pPr>
      <w:r>
        <w:rPr>
          <w:rFonts w:ascii="Times New Roman" w:hAnsi="Times New Roman"/>
          <w:b/>
          <w:color w:val="010101"/>
          <w:sz w:val="20"/>
        </w:rPr>
        <w:t>DECLARAÇÃO</w:t>
      </w:r>
      <w:r>
        <w:rPr>
          <w:rFonts w:ascii="Times New Roman" w:hAnsi="Times New Roman"/>
          <w:b/>
          <w:color w:val="010101"/>
          <w:spacing w:val="-9"/>
          <w:sz w:val="20"/>
        </w:rPr>
        <w:t xml:space="preserve"> </w:t>
      </w:r>
      <w:r>
        <w:rPr>
          <w:rFonts w:ascii="Times New Roman" w:hAnsi="Times New Roman"/>
          <w:b/>
          <w:color w:val="010101"/>
          <w:sz w:val="20"/>
        </w:rPr>
        <w:t>DOS</w:t>
      </w:r>
      <w:r>
        <w:rPr>
          <w:rFonts w:ascii="Times New Roman" w:hAnsi="Times New Roman"/>
          <w:b/>
          <w:color w:val="010101"/>
          <w:spacing w:val="-4"/>
          <w:sz w:val="20"/>
        </w:rPr>
        <w:t xml:space="preserve"> </w:t>
      </w:r>
      <w:r>
        <w:rPr>
          <w:rFonts w:ascii="Times New Roman" w:hAnsi="Times New Roman"/>
          <w:b/>
          <w:color w:val="010101"/>
          <w:sz w:val="20"/>
        </w:rPr>
        <w:t>DIRETORES</w:t>
      </w:r>
      <w:r>
        <w:rPr>
          <w:rFonts w:ascii="Times New Roman" w:hAnsi="Times New Roman"/>
          <w:b/>
          <w:color w:val="010101"/>
          <w:spacing w:val="-4"/>
          <w:sz w:val="20"/>
        </w:rPr>
        <w:t xml:space="preserve"> </w:t>
      </w:r>
      <w:r>
        <w:rPr>
          <w:rFonts w:ascii="Times New Roman" w:hAnsi="Times New Roman"/>
          <w:b/>
          <w:color w:val="010101"/>
          <w:sz w:val="20"/>
        </w:rPr>
        <w:t>SOBRE</w:t>
      </w:r>
      <w:r>
        <w:rPr>
          <w:rFonts w:ascii="Times New Roman" w:hAnsi="Times New Roman"/>
          <w:b/>
          <w:color w:val="010101"/>
          <w:spacing w:val="-6"/>
          <w:sz w:val="20"/>
        </w:rPr>
        <w:t xml:space="preserve"> </w:t>
      </w:r>
      <w:r>
        <w:rPr>
          <w:rFonts w:ascii="Times New Roman" w:hAnsi="Times New Roman"/>
          <w:b/>
          <w:color w:val="010101"/>
          <w:sz w:val="20"/>
        </w:rPr>
        <w:t>AS</w:t>
      </w:r>
      <w:r>
        <w:rPr>
          <w:rFonts w:ascii="Times New Roman" w:hAnsi="Times New Roman"/>
          <w:b/>
          <w:color w:val="010101"/>
          <w:spacing w:val="-10"/>
          <w:sz w:val="20"/>
        </w:rPr>
        <w:t xml:space="preserve"> </w:t>
      </w:r>
      <w:r>
        <w:rPr>
          <w:rFonts w:ascii="Times New Roman" w:hAnsi="Times New Roman"/>
          <w:b/>
          <w:color w:val="010101"/>
          <w:sz w:val="20"/>
        </w:rPr>
        <w:t>DEMONSTRAÇÕES</w:t>
      </w:r>
      <w:r>
        <w:rPr>
          <w:rFonts w:ascii="Times New Roman" w:hAnsi="Times New Roman"/>
          <w:b/>
          <w:color w:val="010101"/>
          <w:spacing w:val="-3"/>
          <w:sz w:val="20"/>
        </w:rPr>
        <w:t xml:space="preserve"> </w:t>
      </w:r>
      <w:r>
        <w:rPr>
          <w:rFonts w:ascii="Times New Roman" w:hAnsi="Times New Roman"/>
          <w:b/>
          <w:color w:val="010101"/>
          <w:sz w:val="20"/>
        </w:rPr>
        <w:t>CONTÁBEIS</w:t>
      </w:r>
      <w:r>
        <w:rPr>
          <w:rFonts w:ascii="Times New Roman" w:hAnsi="Times New Roman"/>
          <w:b/>
          <w:color w:val="010101"/>
          <w:spacing w:val="-13"/>
          <w:sz w:val="20"/>
        </w:rPr>
        <w:t xml:space="preserve"> </w:t>
      </w:r>
      <w:r>
        <w:rPr>
          <w:rFonts w:ascii="Times New Roman" w:hAnsi="Times New Roman"/>
          <w:b/>
          <w:color w:val="010101"/>
          <w:sz w:val="20"/>
        </w:rPr>
        <w:t>E</w:t>
      </w:r>
      <w:r>
        <w:rPr>
          <w:rFonts w:ascii="Times New Roman" w:hAnsi="Times New Roman"/>
          <w:b/>
          <w:color w:val="010101"/>
          <w:spacing w:val="-2"/>
          <w:sz w:val="20"/>
        </w:rPr>
        <w:t xml:space="preserve"> </w:t>
      </w:r>
      <w:r>
        <w:rPr>
          <w:rFonts w:ascii="Times New Roman" w:hAnsi="Times New Roman"/>
          <w:b/>
          <w:color w:val="010101"/>
          <w:sz w:val="20"/>
        </w:rPr>
        <w:t>SOBRE</w:t>
      </w:r>
      <w:r>
        <w:rPr>
          <w:rFonts w:ascii="Times New Roman" w:hAnsi="Times New Roman"/>
          <w:b/>
          <w:color w:val="010101"/>
          <w:spacing w:val="-12"/>
          <w:sz w:val="20"/>
        </w:rPr>
        <w:t xml:space="preserve"> </w:t>
      </w:r>
      <w:r>
        <w:rPr>
          <w:rFonts w:ascii="Times New Roman" w:hAnsi="Times New Roman"/>
          <w:b/>
          <w:color w:val="010101"/>
          <w:sz w:val="20"/>
        </w:rPr>
        <w:t>O RELATÓRIO DO AUDITOR INDEPENDENTE DO QUARTO TRIMESTRE DE 2025.</w:t>
      </w:r>
    </w:p>
    <w:p w14:paraId="2BA20D8B" w14:textId="77777777" w:rsidR="002C6574" w:rsidRDefault="002C6574">
      <w:pPr>
        <w:pStyle w:val="Corpodetexto"/>
        <w:spacing w:before="221"/>
        <w:rPr>
          <w:rFonts w:ascii="Times New Roman"/>
          <w:b/>
          <w:sz w:val="20"/>
        </w:rPr>
      </w:pPr>
    </w:p>
    <w:p w14:paraId="02EE5069" w14:textId="77777777" w:rsidR="002C6574" w:rsidRDefault="00000000">
      <w:pPr>
        <w:pStyle w:val="Corpodetexto"/>
        <w:spacing w:before="1" w:line="194" w:lineRule="auto"/>
        <w:ind w:left="391" w:right="1101" w:firstLine="7"/>
        <w:jc w:val="both"/>
        <w:rPr>
          <w:rFonts w:ascii="Calibri" w:hAnsi="Calibri"/>
        </w:rPr>
      </w:pPr>
      <w:r>
        <w:rPr>
          <w:rFonts w:ascii="Calibri" w:hAnsi="Calibri"/>
          <w:color w:val="131313"/>
          <w:spacing w:val="-4"/>
        </w:rPr>
        <w:t>Em</w:t>
      </w:r>
      <w:r>
        <w:rPr>
          <w:rFonts w:ascii="Calibri" w:hAnsi="Calibri"/>
          <w:color w:val="131313"/>
          <w:spacing w:val="-9"/>
        </w:rPr>
        <w:t xml:space="preserve"> </w:t>
      </w:r>
      <w:r>
        <w:rPr>
          <w:rFonts w:ascii="Calibri" w:hAnsi="Calibri"/>
          <w:color w:val="131313"/>
          <w:spacing w:val="-4"/>
        </w:rPr>
        <w:t>atendimento</w:t>
      </w:r>
      <w:r>
        <w:rPr>
          <w:rFonts w:ascii="Calibri" w:hAnsi="Calibri"/>
          <w:color w:val="131313"/>
          <w:spacing w:val="-8"/>
        </w:rPr>
        <w:t xml:space="preserve"> </w:t>
      </w:r>
      <w:r>
        <w:rPr>
          <w:rFonts w:ascii="Calibri" w:hAnsi="Calibri"/>
          <w:color w:val="131313"/>
          <w:spacing w:val="-4"/>
        </w:rPr>
        <w:t>ao</w:t>
      </w:r>
      <w:r>
        <w:rPr>
          <w:rFonts w:ascii="Calibri" w:hAnsi="Calibri"/>
          <w:color w:val="131313"/>
          <w:spacing w:val="-9"/>
        </w:rPr>
        <w:t xml:space="preserve"> </w:t>
      </w:r>
      <w:r>
        <w:rPr>
          <w:rFonts w:ascii="Calibri" w:hAnsi="Calibri"/>
          <w:color w:val="131313"/>
          <w:spacing w:val="-4"/>
        </w:rPr>
        <w:t>disposto</w:t>
      </w:r>
      <w:r>
        <w:rPr>
          <w:rFonts w:ascii="Calibri" w:hAnsi="Calibri"/>
          <w:color w:val="131313"/>
          <w:spacing w:val="-8"/>
        </w:rPr>
        <w:t xml:space="preserve"> </w:t>
      </w:r>
      <w:r>
        <w:rPr>
          <w:rFonts w:ascii="Calibri" w:hAnsi="Calibri"/>
          <w:color w:val="131313"/>
          <w:spacing w:val="-4"/>
        </w:rPr>
        <w:t>no</w:t>
      </w:r>
      <w:r>
        <w:rPr>
          <w:rFonts w:ascii="Calibri" w:hAnsi="Calibri"/>
          <w:color w:val="131313"/>
          <w:spacing w:val="-9"/>
        </w:rPr>
        <w:t xml:space="preserve"> </w:t>
      </w:r>
      <w:r>
        <w:rPr>
          <w:rFonts w:ascii="Calibri" w:hAnsi="Calibri"/>
          <w:color w:val="131313"/>
          <w:spacing w:val="-4"/>
        </w:rPr>
        <w:t>art.</w:t>
      </w:r>
      <w:r>
        <w:rPr>
          <w:rFonts w:ascii="Calibri" w:hAnsi="Calibri"/>
          <w:color w:val="131313"/>
          <w:spacing w:val="-8"/>
        </w:rPr>
        <w:t xml:space="preserve"> </w:t>
      </w:r>
      <w:r>
        <w:rPr>
          <w:rFonts w:ascii="Calibri" w:hAnsi="Calibri"/>
          <w:color w:val="131313"/>
          <w:spacing w:val="-4"/>
        </w:rPr>
        <w:t>27,</w:t>
      </w:r>
      <w:r>
        <w:rPr>
          <w:rFonts w:ascii="Calibri" w:hAnsi="Calibri"/>
          <w:color w:val="131313"/>
          <w:spacing w:val="-9"/>
        </w:rPr>
        <w:t xml:space="preserve"> </w:t>
      </w:r>
      <w:r>
        <w:rPr>
          <w:rFonts w:ascii="Calibri" w:hAnsi="Calibri"/>
          <w:color w:val="131313"/>
          <w:spacing w:val="-4"/>
        </w:rPr>
        <w:t>§</w:t>
      </w:r>
      <w:r>
        <w:rPr>
          <w:rFonts w:ascii="Calibri" w:hAnsi="Calibri"/>
          <w:color w:val="131313"/>
          <w:spacing w:val="-8"/>
        </w:rPr>
        <w:t xml:space="preserve"> </w:t>
      </w:r>
      <w:r>
        <w:rPr>
          <w:rFonts w:ascii="Times New Roman" w:hAnsi="Times New Roman"/>
          <w:b/>
          <w:color w:val="131313"/>
          <w:spacing w:val="-4"/>
          <w:sz w:val="20"/>
        </w:rPr>
        <w:t>l</w:t>
      </w:r>
      <w:r>
        <w:rPr>
          <w:rFonts w:ascii="Arial" w:hAnsi="Arial"/>
          <w:b/>
          <w:color w:val="131313"/>
          <w:spacing w:val="-4"/>
          <w:sz w:val="20"/>
          <w:vertAlign w:val="superscript"/>
        </w:rPr>
        <w:t>º</w:t>
      </w:r>
      <w:r>
        <w:rPr>
          <w:rFonts w:ascii="Times New Roman" w:hAnsi="Times New Roman"/>
          <w:b/>
          <w:color w:val="131313"/>
          <w:spacing w:val="-4"/>
          <w:sz w:val="20"/>
        </w:rPr>
        <w:t>,</w:t>
      </w:r>
      <w:r>
        <w:rPr>
          <w:rFonts w:ascii="Times New Roman" w:hAnsi="Times New Roman"/>
          <w:b/>
          <w:color w:val="131313"/>
          <w:spacing w:val="-8"/>
          <w:sz w:val="20"/>
        </w:rPr>
        <w:t xml:space="preserve"> </w:t>
      </w:r>
      <w:r>
        <w:rPr>
          <w:rFonts w:ascii="Calibri" w:hAnsi="Calibri"/>
          <w:color w:val="131313"/>
          <w:spacing w:val="-4"/>
        </w:rPr>
        <w:t>incisos</w:t>
      </w:r>
      <w:r>
        <w:rPr>
          <w:rFonts w:ascii="Calibri" w:hAnsi="Calibri"/>
          <w:color w:val="131313"/>
          <w:spacing w:val="-9"/>
        </w:rPr>
        <w:t xml:space="preserve"> </w:t>
      </w:r>
      <w:r>
        <w:rPr>
          <w:rFonts w:ascii="Calibri" w:hAnsi="Calibri"/>
          <w:color w:val="131313"/>
          <w:spacing w:val="-4"/>
        </w:rPr>
        <w:t>V</w:t>
      </w:r>
      <w:r>
        <w:rPr>
          <w:rFonts w:ascii="Calibri" w:hAnsi="Calibri"/>
          <w:color w:val="131313"/>
          <w:spacing w:val="-8"/>
        </w:rPr>
        <w:t xml:space="preserve"> </w:t>
      </w:r>
      <w:r>
        <w:rPr>
          <w:rFonts w:ascii="Calibri" w:hAnsi="Calibri"/>
          <w:color w:val="131313"/>
          <w:spacing w:val="-4"/>
        </w:rPr>
        <w:t>e</w:t>
      </w:r>
      <w:r>
        <w:rPr>
          <w:rFonts w:ascii="Calibri" w:hAnsi="Calibri"/>
          <w:color w:val="131313"/>
          <w:spacing w:val="-9"/>
        </w:rPr>
        <w:t xml:space="preserve"> </w:t>
      </w:r>
      <w:r>
        <w:rPr>
          <w:rFonts w:ascii="Calibri" w:hAnsi="Calibri"/>
          <w:color w:val="131313"/>
          <w:spacing w:val="-4"/>
        </w:rPr>
        <w:t>VI,</w:t>
      </w:r>
      <w:r>
        <w:rPr>
          <w:rFonts w:ascii="Calibri" w:hAnsi="Calibri"/>
          <w:color w:val="131313"/>
          <w:spacing w:val="-8"/>
        </w:rPr>
        <w:t xml:space="preserve"> </w:t>
      </w:r>
      <w:r>
        <w:rPr>
          <w:rFonts w:ascii="Calibri" w:hAnsi="Calibri"/>
          <w:color w:val="131313"/>
          <w:spacing w:val="-4"/>
        </w:rPr>
        <w:t>da</w:t>
      </w:r>
      <w:r>
        <w:rPr>
          <w:rFonts w:ascii="Calibri" w:hAnsi="Calibri"/>
          <w:color w:val="131313"/>
          <w:spacing w:val="-9"/>
        </w:rPr>
        <w:t xml:space="preserve"> </w:t>
      </w:r>
      <w:r>
        <w:rPr>
          <w:rFonts w:ascii="Calibri" w:hAnsi="Calibri"/>
          <w:color w:val="131313"/>
          <w:spacing w:val="-4"/>
        </w:rPr>
        <w:t>Instrnção</w:t>
      </w:r>
      <w:r>
        <w:rPr>
          <w:rFonts w:ascii="Calibri" w:hAnsi="Calibri"/>
          <w:color w:val="131313"/>
          <w:spacing w:val="-8"/>
        </w:rPr>
        <w:t xml:space="preserve"> </w:t>
      </w:r>
      <w:r>
        <w:rPr>
          <w:rFonts w:ascii="Calibri" w:hAnsi="Calibri"/>
          <w:color w:val="131313"/>
          <w:spacing w:val="-4"/>
        </w:rPr>
        <w:t>CVM</w:t>
      </w:r>
      <w:r>
        <w:rPr>
          <w:rFonts w:ascii="Calibri" w:hAnsi="Calibri"/>
          <w:color w:val="131313"/>
          <w:spacing w:val="-9"/>
        </w:rPr>
        <w:t xml:space="preserve"> </w:t>
      </w:r>
      <w:r>
        <w:rPr>
          <w:rFonts w:ascii="Calibri" w:hAnsi="Calibri"/>
          <w:color w:val="131313"/>
          <w:spacing w:val="-4"/>
        </w:rPr>
        <w:t>n</w:t>
      </w:r>
      <w:r>
        <w:rPr>
          <w:rFonts w:ascii="Tahoma" w:hAnsi="Tahoma"/>
          <w:color w:val="131313"/>
          <w:spacing w:val="-4"/>
          <w:vertAlign w:val="superscript"/>
        </w:rPr>
        <w:t>º</w:t>
      </w:r>
      <w:r>
        <w:rPr>
          <w:rFonts w:ascii="Tahoma" w:hAnsi="Tahoma"/>
          <w:color w:val="131313"/>
          <w:spacing w:val="-13"/>
        </w:rPr>
        <w:t xml:space="preserve"> </w:t>
      </w:r>
      <w:r>
        <w:rPr>
          <w:rFonts w:ascii="Calibri" w:hAnsi="Calibri"/>
          <w:color w:val="131313"/>
          <w:spacing w:val="-4"/>
        </w:rPr>
        <w:t>80,</w:t>
      </w:r>
      <w:r>
        <w:rPr>
          <w:rFonts w:ascii="Calibri" w:hAnsi="Calibri"/>
          <w:color w:val="131313"/>
          <w:spacing w:val="-8"/>
        </w:rPr>
        <w:t xml:space="preserve"> </w:t>
      </w:r>
      <w:r>
        <w:rPr>
          <w:rFonts w:ascii="Calibri" w:hAnsi="Calibri"/>
          <w:color w:val="131313"/>
          <w:spacing w:val="-4"/>
        </w:rPr>
        <w:t>de</w:t>
      </w:r>
      <w:r>
        <w:rPr>
          <w:rFonts w:ascii="Calibri" w:hAnsi="Calibri"/>
          <w:color w:val="131313"/>
          <w:spacing w:val="-9"/>
        </w:rPr>
        <w:t xml:space="preserve"> </w:t>
      </w:r>
      <w:r>
        <w:rPr>
          <w:rFonts w:ascii="Calibri" w:hAnsi="Calibri"/>
          <w:color w:val="131313"/>
          <w:spacing w:val="-4"/>
        </w:rPr>
        <w:t>29</w:t>
      </w:r>
      <w:r>
        <w:rPr>
          <w:rFonts w:ascii="Calibri" w:hAnsi="Calibri"/>
          <w:color w:val="131313"/>
          <w:spacing w:val="-8"/>
        </w:rPr>
        <w:t xml:space="preserve"> </w:t>
      </w:r>
      <w:r>
        <w:rPr>
          <w:rFonts w:ascii="Calibri" w:hAnsi="Calibri"/>
          <w:color w:val="131313"/>
          <w:spacing w:val="-4"/>
        </w:rPr>
        <w:t>de</w:t>
      </w:r>
      <w:r>
        <w:rPr>
          <w:rFonts w:ascii="Calibri" w:hAnsi="Calibri"/>
          <w:color w:val="131313"/>
          <w:spacing w:val="-8"/>
        </w:rPr>
        <w:t xml:space="preserve"> </w:t>
      </w:r>
      <w:r>
        <w:rPr>
          <w:rFonts w:ascii="Calibri" w:hAnsi="Calibri"/>
          <w:color w:val="131313"/>
          <w:spacing w:val="-4"/>
        </w:rPr>
        <w:t>março</w:t>
      </w:r>
      <w:r>
        <w:rPr>
          <w:rFonts w:ascii="Calibri" w:hAnsi="Calibri"/>
          <w:color w:val="131313"/>
          <w:spacing w:val="-9"/>
        </w:rPr>
        <w:t xml:space="preserve"> </w:t>
      </w:r>
      <w:r>
        <w:rPr>
          <w:rFonts w:ascii="Calibri" w:hAnsi="Calibri"/>
          <w:color w:val="131313"/>
          <w:spacing w:val="-4"/>
        </w:rPr>
        <w:t>de</w:t>
      </w:r>
      <w:r>
        <w:rPr>
          <w:rFonts w:ascii="Calibri" w:hAnsi="Calibri"/>
          <w:color w:val="131313"/>
          <w:spacing w:val="-8"/>
        </w:rPr>
        <w:t xml:space="preserve"> </w:t>
      </w:r>
      <w:r>
        <w:rPr>
          <w:rFonts w:ascii="Calibri" w:hAnsi="Calibri"/>
          <w:color w:val="131313"/>
          <w:spacing w:val="-4"/>
        </w:rPr>
        <w:t xml:space="preserve">2022, </w:t>
      </w:r>
      <w:r>
        <w:rPr>
          <w:rFonts w:ascii="Calibri" w:hAnsi="Calibri"/>
          <w:color w:val="131313"/>
        </w:rPr>
        <w:t>os Diretores da Telecomunicações Brasileiras</w:t>
      </w:r>
      <w:r>
        <w:rPr>
          <w:rFonts w:ascii="Calibri" w:hAnsi="Calibri"/>
          <w:color w:val="131313"/>
          <w:spacing w:val="-3"/>
        </w:rPr>
        <w:t xml:space="preserve"> </w:t>
      </w:r>
      <w:r>
        <w:rPr>
          <w:rFonts w:ascii="Calibri" w:hAnsi="Calibri"/>
          <w:color w:val="131313"/>
        </w:rPr>
        <w:t>S.A. - Telebras, inscrita no CNPJ n</w:t>
      </w:r>
      <w:r>
        <w:rPr>
          <w:rFonts w:ascii="Tahoma" w:hAnsi="Tahoma"/>
          <w:color w:val="131313"/>
          <w:vertAlign w:val="superscript"/>
        </w:rPr>
        <w:t>º</w:t>
      </w:r>
      <w:r>
        <w:rPr>
          <w:rFonts w:ascii="Tahoma" w:hAnsi="Tahoma"/>
          <w:color w:val="131313"/>
          <w:spacing w:val="-11"/>
        </w:rPr>
        <w:t xml:space="preserve"> </w:t>
      </w:r>
      <w:r>
        <w:rPr>
          <w:rFonts w:ascii="Calibri" w:hAnsi="Calibri"/>
          <w:color w:val="131313"/>
        </w:rPr>
        <w:t xml:space="preserve">00.336.701/0001-04, </w:t>
      </w:r>
      <w:r>
        <w:rPr>
          <w:rFonts w:ascii="Calibri" w:hAnsi="Calibri"/>
          <w:color w:val="131313"/>
          <w:w w:val="105"/>
        </w:rPr>
        <w:t>declaram que:</w:t>
      </w:r>
    </w:p>
    <w:p w14:paraId="0B8F877E" w14:textId="77777777" w:rsidR="002C6574" w:rsidRDefault="002C6574">
      <w:pPr>
        <w:pStyle w:val="Corpodetexto"/>
        <w:spacing w:before="188"/>
        <w:rPr>
          <w:rFonts w:ascii="Calibri"/>
        </w:rPr>
      </w:pPr>
    </w:p>
    <w:p w14:paraId="1C4D9ADC" w14:textId="77777777" w:rsidR="002C6574" w:rsidRDefault="00000000">
      <w:pPr>
        <w:pStyle w:val="PargrafodaLista"/>
        <w:numPr>
          <w:ilvl w:val="1"/>
          <w:numId w:val="14"/>
        </w:numPr>
        <w:tabs>
          <w:tab w:val="left" w:pos="700"/>
        </w:tabs>
        <w:spacing w:line="194" w:lineRule="auto"/>
        <w:ind w:right="1105" w:firstLine="16"/>
        <w:jc w:val="both"/>
        <w:rPr>
          <w:rFonts w:ascii="Cambria" w:hAnsi="Cambria"/>
          <w:i/>
          <w:color w:val="131313"/>
          <w:sz w:val="20"/>
        </w:rPr>
      </w:pPr>
      <w:r>
        <w:rPr>
          <w:color w:val="131313"/>
          <w:spacing w:val="-4"/>
        </w:rPr>
        <w:t>reviram,</w:t>
      </w:r>
      <w:r>
        <w:rPr>
          <w:color w:val="131313"/>
        </w:rPr>
        <w:t xml:space="preserve"> </w:t>
      </w:r>
      <w:r>
        <w:rPr>
          <w:color w:val="131313"/>
          <w:spacing w:val="-4"/>
        </w:rPr>
        <w:t>discutiram</w:t>
      </w:r>
      <w:r>
        <w:rPr>
          <w:color w:val="131313"/>
          <w:spacing w:val="-7"/>
        </w:rPr>
        <w:t xml:space="preserve"> </w:t>
      </w:r>
      <w:r>
        <w:rPr>
          <w:color w:val="131313"/>
          <w:spacing w:val="-4"/>
        </w:rPr>
        <w:t>e</w:t>
      </w:r>
      <w:r>
        <w:rPr>
          <w:color w:val="131313"/>
        </w:rPr>
        <w:t xml:space="preserve"> </w:t>
      </w:r>
      <w:r>
        <w:rPr>
          <w:color w:val="131313"/>
          <w:spacing w:val="-4"/>
        </w:rPr>
        <w:t>concordam</w:t>
      </w:r>
      <w:r>
        <w:rPr>
          <w:color w:val="131313"/>
          <w:spacing w:val="-7"/>
        </w:rPr>
        <w:t xml:space="preserve"> </w:t>
      </w:r>
      <w:r>
        <w:rPr>
          <w:color w:val="131313"/>
          <w:spacing w:val="-4"/>
        </w:rPr>
        <w:t>com</w:t>
      </w:r>
      <w:r>
        <w:rPr>
          <w:color w:val="131313"/>
          <w:spacing w:val="-7"/>
        </w:rPr>
        <w:t xml:space="preserve"> </w:t>
      </w:r>
      <w:r>
        <w:rPr>
          <w:color w:val="131313"/>
          <w:spacing w:val="-4"/>
        </w:rPr>
        <w:t>as</w:t>
      </w:r>
      <w:r>
        <w:rPr>
          <w:color w:val="131313"/>
          <w:spacing w:val="-9"/>
        </w:rPr>
        <w:t xml:space="preserve"> </w:t>
      </w:r>
      <w:r>
        <w:rPr>
          <w:color w:val="131313"/>
          <w:spacing w:val="-4"/>
        </w:rPr>
        <w:t>opm10es</w:t>
      </w:r>
      <w:r>
        <w:rPr>
          <w:color w:val="131313"/>
          <w:spacing w:val="-6"/>
        </w:rPr>
        <w:t xml:space="preserve"> </w:t>
      </w:r>
      <w:r>
        <w:rPr>
          <w:color w:val="131313"/>
          <w:spacing w:val="-4"/>
        </w:rPr>
        <w:t xml:space="preserve">expressas no parecer dos auditores independentes, </w:t>
      </w:r>
      <w:r>
        <w:rPr>
          <w:color w:val="131313"/>
          <w:spacing w:val="-8"/>
        </w:rPr>
        <w:t>CONSULT</w:t>
      </w:r>
      <w:r>
        <w:rPr>
          <w:color w:val="131313"/>
        </w:rPr>
        <w:t xml:space="preserve"> </w:t>
      </w:r>
      <w:r>
        <w:rPr>
          <w:color w:val="131313"/>
          <w:spacing w:val="-8"/>
        </w:rPr>
        <w:t>-</w:t>
      </w:r>
      <w:r>
        <w:rPr>
          <w:color w:val="131313"/>
        </w:rPr>
        <w:t xml:space="preserve"> </w:t>
      </w:r>
      <w:r>
        <w:rPr>
          <w:color w:val="131313"/>
          <w:spacing w:val="-8"/>
        </w:rPr>
        <w:t>Auditores</w:t>
      </w:r>
      <w:r>
        <w:rPr>
          <w:color w:val="131313"/>
        </w:rPr>
        <w:t xml:space="preserve"> </w:t>
      </w:r>
      <w:r>
        <w:rPr>
          <w:color w:val="131313"/>
          <w:spacing w:val="-8"/>
        </w:rPr>
        <w:t>Independentes,</w:t>
      </w:r>
      <w:r>
        <w:rPr>
          <w:color w:val="131313"/>
        </w:rPr>
        <w:t xml:space="preserve"> </w:t>
      </w:r>
      <w:r>
        <w:rPr>
          <w:color w:val="131313"/>
          <w:spacing w:val="-8"/>
        </w:rPr>
        <w:t>em</w:t>
      </w:r>
      <w:r>
        <w:rPr>
          <w:color w:val="131313"/>
          <w:spacing w:val="-2"/>
        </w:rPr>
        <w:t xml:space="preserve"> </w:t>
      </w:r>
      <w:r>
        <w:rPr>
          <w:color w:val="131313"/>
          <w:spacing w:val="-8"/>
        </w:rPr>
        <w:t>relação</w:t>
      </w:r>
      <w:r>
        <w:rPr>
          <w:color w:val="131313"/>
          <w:spacing w:val="-2"/>
        </w:rPr>
        <w:t xml:space="preserve"> </w:t>
      </w:r>
      <w:r>
        <w:rPr>
          <w:color w:val="131313"/>
          <w:spacing w:val="-8"/>
        </w:rPr>
        <w:t>às</w:t>
      </w:r>
      <w:r>
        <w:rPr>
          <w:color w:val="131313"/>
        </w:rPr>
        <w:t xml:space="preserve"> </w:t>
      </w:r>
      <w:r>
        <w:rPr>
          <w:color w:val="131313"/>
          <w:spacing w:val="-8"/>
        </w:rPr>
        <w:t>demonstrações</w:t>
      </w:r>
      <w:r>
        <w:rPr>
          <w:color w:val="131313"/>
        </w:rPr>
        <w:t xml:space="preserve"> </w:t>
      </w:r>
      <w:r>
        <w:rPr>
          <w:color w:val="131313"/>
          <w:spacing w:val="-8"/>
        </w:rPr>
        <w:t>contábeis</w:t>
      </w:r>
      <w:r>
        <w:rPr>
          <w:color w:val="131313"/>
        </w:rPr>
        <w:t xml:space="preserve"> </w:t>
      </w:r>
      <w:r>
        <w:rPr>
          <w:color w:val="131313"/>
          <w:spacing w:val="-8"/>
        </w:rPr>
        <w:t>do</w:t>
      </w:r>
      <w:r>
        <w:rPr>
          <w:color w:val="131313"/>
        </w:rPr>
        <w:t xml:space="preserve"> </w:t>
      </w:r>
      <w:r>
        <w:rPr>
          <w:color w:val="131313"/>
          <w:spacing w:val="-8"/>
        </w:rPr>
        <w:t>exercício</w:t>
      </w:r>
      <w:r>
        <w:rPr>
          <w:color w:val="131313"/>
        </w:rPr>
        <w:t xml:space="preserve"> </w:t>
      </w:r>
      <w:r>
        <w:rPr>
          <w:color w:val="131313"/>
          <w:spacing w:val="-8"/>
        </w:rPr>
        <w:t>social</w:t>
      </w:r>
      <w:r>
        <w:rPr>
          <w:color w:val="131313"/>
        </w:rPr>
        <w:t xml:space="preserve"> </w:t>
      </w:r>
      <w:r>
        <w:rPr>
          <w:color w:val="131313"/>
          <w:spacing w:val="-8"/>
        </w:rPr>
        <w:t>fmdo</w:t>
      </w:r>
      <w:r>
        <w:rPr>
          <w:color w:val="131313"/>
        </w:rPr>
        <w:t xml:space="preserve"> </w:t>
      </w:r>
      <w:r>
        <w:rPr>
          <w:color w:val="131313"/>
          <w:spacing w:val="-8"/>
        </w:rPr>
        <w:t>em</w:t>
      </w:r>
      <w:r>
        <w:rPr>
          <w:color w:val="131313"/>
        </w:rPr>
        <w:t xml:space="preserve"> </w:t>
      </w:r>
      <w:r>
        <w:rPr>
          <w:color w:val="131313"/>
          <w:spacing w:val="-8"/>
        </w:rPr>
        <w:t xml:space="preserve">31 </w:t>
      </w:r>
      <w:r>
        <w:rPr>
          <w:color w:val="131313"/>
        </w:rPr>
        <w:t>de</w:t>
      </w:r>
      <w:r>
        <w:rPr>
          <w:color w:val="131313"/>
          <w:spacing w:val="-8"/>
        </w:rPr>
        <w:t xml:space="preserve"> </w:t>
      </w:r>
      <w:r>
        <w:rPr>
          <w:color w:val="131313"/>
        </w:rPr>
        <w:t>dezembro</w:t>
      </w:r>
      <w:r>
        <w:rPr>
          <w:color w:val="131313"/>
          <w:spacing w:val="-9"/>
        </w:rPr>
        <w:t xml:space="preserve"> </w:t>
      </w:r>
      <w:r>
        <w:rPr>
          <w:color w:val="131313"/>
        </w:rPr>
        <w:t>de</w:t>
      </w:r>
      <w:r>
        <w:rPr>
          <w:color w:val="131313"/>
          <w:spacing w:val="-10"/>
        </w:rPr>
        <w:t xml:space="preserve"> </w:t>
      </w:r>
      <w:r>
        <w:rPr>
          <w:color w:val="131313"/>
        </w:rPr>
        <w:t>2025</w:t>
      </w:r>
      <w:r>
        <w:rPr>
          <w:color w:val="131313"/>
          <w:spacing w:val="-9"/>
        </w:rPr>
        <w:t xml:space="preserve"> </w:t>
      </w:r>
      <w:r>
        <w:rPr>
          <w:color w:val="131313"/>
        </w:rPr>
        <w:t>da</w:t>
      </w:r>
      <w:r>
        <w:rPr>
          <w:color w:val="131313"/>
          <w:spacing w:val="-3"/>
        </w:rPr>
        <w:t xml:space="preserve"> </w:t>
      </w:r>
      <w:r>
        <w:rPr>
          <w:color w:val="131313"/>
        </w:rPr>
        <w:t>Telebras,</w:t>
      </w:r>
      <w:r>
        <w:rPr>
          <w:color w:val="131313"/>
          <w:spacing w:val="-13"/>
        </w:rPr>
        <w:t xml:space="preserve"> </w:t>
      </w:r>
      <w:r>
        <w:rPr>
          <w:color w:val="131313"/>
        </w:rPr>
        <w:t>e;</w:t>
      </w:r>
    </w:p>
    <w:p w14:paraId="683AA93A" w14:textId="77777777" w:rsidR="002C6574" w:rsidRDefault="002C6574">
      <w:pPr>
        <w:pStyle w:val="Corpodetexto"/>
        <w:spacing w:before="188"/>
        <w:rPr>
          <w:rFonts w:ascii="Calibri"/>
        </w:rPr>
      </w:pPr>
    </w:p>
    <w:p w14:paraId="2D7AF352" w14:textId="77777777" w:rsidR="002C6574" w:rsidRDefault="00000000">
      <w:pPr>
        <w:pStyle w:val="PargrafodaLista"/>
        <w:numPr>
          <w:ilvl w:val="1"/>
          <w:numId w:val="14"/>
        </w:numPr>
        <w:tabs>
          <w:tab w:val="left" w:pos="729"/>
        </w:tabs>
        <w:spacing w:line="194" w:lineRule="auto"/>
        <w:ind w:left="386" w:right="1097" w:firstLine="16"/>
        <w:jc w:val="both"/>
        <w:rPr>
          <w:rFonts w:ascii="Cambria" w:hAnsi="Cambria"/>
          <w:i/>
          <w:color w:val="0F0F0F"/>
          <w:sz w:val="20"/>
        </w:rPr>
      </w:pPr>
      <w:r>
        <w:rPr>
          <w:color w:val="0F0F0F"/>
          <w:spacing w:val="-2"/>
        </w:rPr>
        <w:t>reviram,</w:t>
      </w:r>
      <w:r>
        <w:rPr>
          <w:color w:val="0F0F0F"/>
          <w:spacing w:val="-9"/>
        </w:rPr>
        <w:t xml:space="preserve"> </w:t>
      </w:r>
      <w:r>
        <w:rPr>
          <w:color w:val="0F0F0F"/>
          <w:spacing w:val="-2"/>
        </w:rPr>
        <w:t>discutiram</w:t>
      </w:r>
      <w:r>
        <w:rPr>
          <w:color w:val="0F0F0F"/>
          <w:spacing w:val="-7"/>
        </w:rPr>
        <w:t xml:space="preserve"> </w:t>
      </w:r>
      <w:r>
        <w:rPr>
          <w:color w:val="0F0F0F"/>
          <w:spacing w:val="-2"/>
        </w:rPr>
        <w:t>e</w:t>
      </w:r>
      <w:r>
        <w:rPr>
          <w:color w:val="0F0F0F"/>
          <w:spacing w:val="-9"/>
        </w:rPr>
        <w:t xml:space="preserve"> </w:t>
      </w:r>
      <w:r>
        <w:rPr>
          <w:color w:val="0F0F0F"/>
          <w:spacing w:val="-2"/>
        </w:rPr>
        <w:t>concordam</w:t>
      </w:r>
      <w:r>
        <w:rPr>
          <w:color w:val="0F0F0F"/>
          <w:spacing w:val="-10"/>
        </w:rPr>
        <w:t xml:space="preserve"> </w:t>
      </w:r>
      <w:r>
        <w:rPr>
          <w:color w:val="0F0F0F"/>
          <w:spacing w:val="-2"/>
        </w:rPr>
        <w:t>com</w:t>
      </w:r>
      <w:r>
        <w:rPr>
          <w:color w:val="0F0F0F"/>
          <w:spacing w:val="-10"/>
        </w:rPr>
        <w:t xml:space="preserve"> </w:t>
      </w:r>
      <w:r>
        <w:rPr>
          <w:color w:val="0F0F0F"/>
          <w:spacing w:val="-2"/>
        </w:rPr>
        <w:t>as</w:t>
      </w:r>
      <w:r>
        <w:rPr>
          <w:color w:val="0F0F0F"/>
          <w:spacing w:val="-10"/>
        </w:rPr>
        <w:t xml:space="preserve"> </w:t>
      </w:r>
      <w:r>
        <w:rPr>
          <w:color w:val="0F0F0F"/>
          <w:spacing w:val="-2"/>
        </w:rPr>
        <w:t>demonstrações</w:t>
      </w:r>
      <w:r>
        <w:rPr>
          <w:color w:val="0F0F0F"/>
          <w:spacing w:val="-8"/>
        </w:rPr>
        <w:t xml:space="preserve"> </w:t>
      </w:r>
      <w:r>
        <w:rPr>
          <w:color w:val="0F0F0F"/>
          <w:spacing w:val="-2"/>
        </w:rPr>
        <w:t>contábeis</w:t>
      </w:r>
      <w:r>
        <w:rPr>
          <w:color w:val="0F0F0F"/>
          <w:spacing w:val="-5"/>
        </w:rPr>
        <w:t xml:space="preserve"> </w:t>
      </w:r>
      <w:r>
        <w:rPr>
          <w:color w:val="0F0F0F"/>
          <w:spacing w:val="-2"/>
        </w:rPr>
        <w:t>do</w:t>
      </w:r>
      <w:r>
        <w:rPr>
          <w:color w:val="0F0F0F"/>
          <w:spacing w:val="-9"/>
        </w:rPr>
        <w:t xml:space="preserve"> </w:t>
      </w:r>
      <w:r>
        <w:rPr>
          <w:color w:val="0F0F0F"/>
          <w:spacing w:val="-2"/>
        </w:rPr>
        <w:t>exercício</w:t>
      </w:r>
      <w:r>
        <w:rPr>
          <w:color w:val="0F0F0F"/>
          <w:spacing w:val="-7"/>
        </w:rPr>
        <w:t xml:space="preserve"> </w:t>
      </w:r>
      <w:r>
        <w:rPr>
          <w:color w:val="0F0F0F"/>
          <w:spacing w:val="-2"/>
        </w:rPr>
        <w:t>social</w:t>
      </w:r>
      <w:r>
        <w:rPr>
          <w:color w:val="0F0F0F"/>
          <w:spacing w:val="-10"/>
        </w:rPr>
        <w:t xml:space="preserve"> </w:t>
      </w:r>
      <w:r>
        <w:rPr>
          <w:color w:val="0F0F0F"/>
          <w:spacing w:val="-2"/>
        </w:rPr>
        <w:t>findo</w:t>
      </w:r>
      <w:r>
        <w:rPr>
          <w:color w:val="0F0F0F"/>
          <w:spacing w:val="-10"/>
        </w:rPr>
        <w:t xml:space="preserve"> </w:t>
      </w:r>
      <w:r>
        <w:rPr>
          <w:color w:val="0F0F0F"/>
          <w:spacing w:val="-2"/>
        </w:rPr>
        <w:t>em</w:t>
      </w:r>
      <w:r>
        <w:rPr>
          <w:color w:val="0F0F0F"/>
          <w:spacing w:val="-11"/>
        </w:rPr>
        <w:t xml:space="preserve"> </w:t>
      </w:r>
      <w:r>
        <w:rPr>
          <w:color w:val="0F0F0F"/>
          <w:spacing w:val="-2"/>
        </w:rPr>
        <w:t>31</w:t>
      </w:r>
      <w:r>
        <w:rPr>
          <w:color w:val="0F0F0F"/>
          <w:spacing w:val="-3"/>
        </w:rPr>
        <w:t xml:space="preserve"> </w:t>
      </w:r>
      <w:r>
        <w:rPr>
          <w:color w:val="0F0F0F"/>
          <w:spacing w:val="-2"/>
        </w:rPr>
        <w:t xml:space="preserve">de </w:t>
      </w:r>
      <w:r>
        <w:rPr>
          <w:color w:val="0F0F0F"/>
          <w:w w:val="90"/>
        </w:rPr>
        <w:t>dezembro de 2025 da Telebras, na Reunião Ordinária da Diretoria Executiva 1875</w:t>
      </w:r>
      <w:r>
        <w:rPr>
          <w:rFonts w:ascii="Tahoma" w:hAnsi="Tahoma"/>
          <w:color w:val="0F0F0F"/>
          <w:w w:val="90"/>
          <w:vertAlign w:val="superscript"/>
        </w:rPr>
        <w:t>ª</w:t>
      </w:r>
      <w:r>
        <w:rPr>
          <w:color w:val="0F0F0F"/>
          <w:w w:val="90"/>
        </w:rPr>
        <w:t xml:space="preserve">, realizada em 25 de fevereiro </w:t>
      </w:r>
      <w:r>
        <w:rPr>
          <w:color w:val="0F0F0F"/>
        </w:rPr>
        <w:t>de 2026.</w:t>
      </w:r>
    </w:p>
    <w:p w14:paraId="60D55978" w14:textId="77777777" w:rsidR="002C6574" w:rsidRDefault="002C6574">
      <w:pPr>
        <w:pStyle w:val="Corpodetexto"/>
        <w:spacing w:before="144"/>
        <w:rPr>
          <w:rFonts w:ascii="Calibri"/>
        </w:rPr>
      </w:pPr>
    </w:p>
    <w:p w14:paraId="73D631C6" w14:textId="77777777" w:rsidR="002C6574" w:rsidRDefault="00000000">
      <w:pPr>
        <w:pStyle w:val="Corpodetexto"/>
        <w:spacing w:before="1"/>
        <w:ind w:right="720"/>
        <w:jc w:val="center"/>
        <w:rPr>
          <w:rFonts w:ascii="Calibri" w:hAnsi="Calibri"/>
        </w:rPr>
      </w:pPr>
      <w:r>
        <w:rPr>
          <w:rFonts w:ascii="Calibri" w:hAnsi="Calibri"/>
          <w:color w:val="0E0E0E"/>
          <w:w w:val="90"/>
        </w:rPr>
        <w:t>Brasília,</w:t>
      </w:r>
      <w:r>
        <w:rPr>
          <w:rFonts w:ascii="Calibri" w:hAnsi="Calibri"/>
          <w:color w:val="0E0E0E"/>
          <w:spacing w:val="-3"/>
        </w:rPr>
        <w:t xml:space="preserve"> </w:t>
      </w:r>
      <w:r>
        <w:rPr>
          <w:rFonts w:ascii="Calibri" w:hAnsi="Calibri"/>
          <w:color w:val="0E0E0E"/>
          <w:w w:val="90"/>
        </w:rPr>
        <w:t>26</w:t>
      </w:r>
      <w:r>
        <w:rPr>
          <w:rFonts w:ascii="Calibri" w:hAnsi="Calibri"/>
          <w:color w:val="0E0E0E"/>
          <w:spacing w:val="-7"/>
          <w:w w:val="90"/>
        </w:rPr>
        <w:t xml:space="preserve"> </w:t>
      </w:r>
      <w:r>
        <w:rPr>
          <w:rFonts w:ascii="Calibri" w:hAnsi="Calibri"/>
          <w:color w:val="0E0E0E"/>
          <w:w w:val="90"/>
        </w:rPr>
        <w:t>de</w:t>
      </w:r>
      <w:r>
        <w:rPr>
          <w:rFonts w:ascii="Calibri" w:hAnsi="Calibri"/>
          <w:color w:val="0E0E0E"/>
          <w:spacing w:val="-5"/>
        </w:rPr>
        <w:t xml:space="preserve"> </w:t>
      </w:r>
      <w:r>
        <w:rPr>
          <w:rFonts w:ascii="Calibri" w:hAnsi="Calibri"/>
          <w:color w:val="0E0E0E"/>
          <w:w w:val="90"/>
        </w:rPr>
        <w:t>fevereiro</w:t>
      </w:r>
      <w:r>
        <w:rPr>
          <w:rFonts w:ascii="Calibri" w:hAnsi="Calibri"/>
          <w:color w:val="0E0E0E"/>
          <w:spacing w:val="-1"/>
          <w:w w:val="90"/>
        </w:rPr>
        <w:t xml:space="preserve"> </w:t>
      </w:r>
      <w:r>
        <w:rPr>
          <w:rFonts w:ascii="Calibri" w:hAnsi="Calibri"/>
          <w:color w:val="0E0E0E"/>
          <w:w w:val="90"/>
        </w:rPr>
        <w:t>de</w:t>
      </w:r>
      <w:r>
        <w:rPr>
          <w:rFonts w:ascii="Calibri" w:hAnsi="Calibri"/>
          <w:color w:val="0E0E0E"/>
          <w:spacing w:val="-6"/>
          <w:w w:val="90"/>
        </w:rPr>
        <w:t xml:space="preserve"> </w:t>
      </w:r>
      <w:r>
        <w:rPr>
          <w:rFonts w:ascii="Calibri" w:hAnsi="Calibri"/>
          <w:color w:val="0E0E0E"/>
          <w:spacing w:val="-2"/>
          <w:w w:val="90"/>
        </w:rPr>
        <w:t>2026.</w:t>
      </w:r>
    </w:p>
    <w:p w14:paraId="7B406952" w14:textId="77777777" w:rsidR="002C6574" w:rsidRDefault="002C6574">
      <w:pPr>
        <w:pStyle w:val="Corpodetexto"/>
        <w:spacing w:before="159"/>
        <w:rPr>
          <w:rFonts w:ascii="Calibri"/>
        </w:rPr>
      </w:pPr>
    </w:p>
    <w:p w14:paraId="71155A4F" w14:textId="77777777" w:rsidR="002C6574" w:rsidRDefault="00000000">
      <w:pPr>
        <w:spacing w:before="1" w:line="210" w:lineRule="exact"/>
        <w:ind w:right="769"/>
        <w:jc w:val="center"/>
        <w:rPr>
          <w:rFonts w:ascii="Times New Roman" w:hAnsi="Times New Roman"/>
          <w:b/>
          <w:sz w:val="20"/>
        </w:rPr>
      </w:pPr>
      <w:r>
        <w:rPr>
          <w:rFonts w:ascii="Times New Roman" w:hAnsi="Times New Roman"/>
          <w:b/>
          <w:color w:val="010101"/>
          <w:sz w:val="20"/>
        </w:rPr>
        <w:t>TATIANA</w:t>
      </w:r>
      <w:r>
        <w:rPr>
          <w:rFonts w:ascii="Times New Roman" w:hAnsi="Times New Roman"/>
          <w:b/>
          <w:color w:val="010101"/>
          <w:spacing w:val="-10"/>
          <w:sz w:val="20"/>
        </w:rPr>
        <w:t xml:space="preserve"> </w:t>
      </w:r>
      <w:r>
        <w:rPr>
          <w:rFonts w:ascii="Times New Roman" w:hAnsi="Times New Roman"/>
          <w:b/>
          <w:color w:val="010101"/>
          <w:sz w:val="20"/>
        </w:rPr>
        <w:t>RÚBIA</w:t>
      </w:r>
      <w:r>
        <w:rPr>
          <w:rFonts w:ascii="Times New Roman" w:hAnsi="Times New Roman"/>
          <w:b/>
          <w:color w:val="010101"/>
          <w:spacing w:val="-11"/>
          <w:sz w:val="20"/>
        </w:rPr>
        <w:t xml:space="preserve"> </w:t>
      </w:r>
      <w:r>
        <w:rPr>
          <w:rFonts w:ascii="Times New Roman" w:hAnsi="Times New Roman"/>
          <w:b/>
          <w:color w:val="010101"/>
          <w:sz w:val="20"/>
        </w:rPr>
        <w:t>MELO</w:t>
      </w:r>
      <w:r>
        <w:rPr>
          <w:rFonts w:ascii="Times New Roman" w:hAnsi="Times New Roman"/>
          <w:b/>
          <w:color w:val="010101"/>
          <w:spacing w:val="-8"/>
          <w:sz w:val="20"/>
        </w:rPr>
        <w:t xml:space="preserve"> </w:t>
      </w:r>
      <w:r>
        <w:rPr>
          <w:rFonts w:ascii="Times New Roman" w:hAnsi="Times New Roman"/>
          <w:b/>
          <w:color w:val="010101"/>
          <w:spacing w:val="-2"/>
          <w:sz w:val="20"/>
        </w:rPr>
        <w:t>MIRANDA</w:t>
      </w:r>
    </w:p>
    <w:p w14:paraId="5B367BB6" w14:textId="77777777" w:rsidR="002C6574" w:rsidRDefault="00000000">
      <w:pPr>
        <w:pStyle w:val="Corpodetexto"/>
        <w:spacing w:line="235" w:lineRule="exact"/>
        <w:ind w:right="767"/>
        <w:jc w:val="center"/>
        <w:rPr>
          <w:rFonts w:ascii="Calibri" w:hAnsi="Calibri"/>
        </w:rPr>
      </w:pPr>
      <w:r>
        <w:rPr>
          <w:rFonts w:ascii="Calibri" w:hAnsi="Calibri"/>
          <w:color w:val="0E0E0E"/>
          <w:w w:val="85"/>
        </w:rPr>
        <w:t>Diretora</w:t>
      </w:r>
      <w:r>
        <w:rPr>
          <w:rFonts w:ascii="Calibri" w:hAnsi="Calibri"/>
          <w:color w:val="0E0E0E"/>
          <w:spacing w:val="-3"/>
        </w:rPr>
        <w:t xml:space="preserve"> </w:t>
      </w:r>
      <w:r>
        <w:rPr>
          <w:rFonts w:ascii="Calibri" w:hAnsi="Calibri"/>
          <w:color w:val="0E0E0E"/>
          <w:w w:val="85"/>
        </w:rPr>
        <w:t>substituta</w:t>
      </w:r>
      <w:r>
        <w:rPr>
          <w:rFonts w:ascii="Calibri" w:hAnsi="Calibri"/>
          <w:color w:val="0E0E0E"/>
          <w:spacing w:val="-1"/>
        </w:rPr>
        <w:t xml:space="preserve"> </w:t>
      </w:r>
      <w:r>
        <w:rPr>
          <w:rFonts w:ascii="Calibri" w:hAnsi="Calibri"/>
          <w:color w:val="0E0E0E"/>
          <w:w w:val="85"/>
        </w:rPr>
        <w:t>de</w:t>
      </w:r>
      <w:r>
        <w:rPr>
          <w:rFonts w:ascii="Calibri" w:hAnsi="Calibri"/>
          <w:color w:val="0E0E0E"/>
          <w:spacing w:val="-3"/>
        </w:rPr>
        <w:t xml:space="preserve"> </w:t>
      </w:r>
      <w:r>
        <w:rPr>
          <w:rFonts w:ascii="Calibri" w:hAnsi="Calibri"/>
          <w:color w:val="0E0E0E"/>
          <w:spacing w:val="-2"/>
          <w:w w:val="85"/>
        </w:rPr>
        <w:t>Governança</w:t>
      </w:r>
    </w:p>
    <w:p w14:paraId="5434EE6D" w14:textId="77777777" w:rsidR="002C6574" w:rsidRDefault="00000000">
      <w:pPr>
        <w:pStyle w:val="Corpodetexto"/>
        <w:spacing w:line="254" w:lineRule="exact"/>
        <w:ind w:left="251" w:right="1015"/>
        <w:jc w:val="center"/>
        <w:rPr>
          <w:rFonts w:ascii="Calibri" w:hAnsi="Calibri"/>
        </w:rPr>
      </w:pPr>
      <w:r>
        <w:rPr>
          <w:rFonts w:ascii="Calibri" w:hAnsi="Calibri"/>
          <w:color w:val="0C0C0C"/>
          <w:w w:val="90"/>
        </w:rPr>
        <w:t>Diretoria</w:t>
      </w:r>
      <w:r>
        <w:rPr>
          <w:rFonts w:ascii="Calibri" w:hAnsi="Calibri"/>
          <w:color w:val="0C0C0C"/>
          <w:spacing w:val="-8"/>
          <w:w w:val="90"/>
        </w:rPr>
        <w:t xml:space="preserve"> </w:t>
      </w:r>
      <w:r>
        <w:rPr>
          <w:rFonts w:ascii="Calibri" w:hAnsi="Calibri"/>
          <w:color w:val="0C0C0C"/>
          <w:w w:val="90"/>
        </w:rPr>
        <w:t>Administrativo-financeira</w:t>
      </w:r>
      <w:r>
        <w:rPr>
          <w:rFonts w:ascii="Calibri" w:hAnsi="Calibri"/>
          <w:color w:val="0C0C0C"/>
          <w:spacing w:val="-7"/>
          <w:w w:val="90"/>
        </w:rPr>
        <w:t xml:space="preserve"> </w:t>
      </w:r>
      <w:r>
        <w:rPr>
          <w:rFonts w:ascii="Calibri" w:hAnsi="Calibri"/>
          <w:color w:val="0C0C0C"/>
          <w:w w:val="90"/>
        </w:rPr>
        <w:t>e</w:t>
      </w:r>
      <w:r>
        <w:rPr>
          <w:rFonts w:ascii="Calibri" w:hAnsi="Calibri"/>
          <w:color w:val="0C0C0C"/>
          <w:spacing w:val="-4"/>
          <w:w w:val="90"/>
        </w:rPr>
        <w:t xml:space="preserve"> </w:t>
      </w:r>
      <w:r>
        <w:rPr>
          <w:rFonts w:ascii="Calibri" w:hAnsi="Calibri"/>
          <w:color w:val="0C0C0C"/>
          <w:w w:val="90"/>
        </w:rPr>
        <w:t>Relações</w:t>
      </w:r>
      <w:r>
        <w:rPr>
          <w:rFonts w:ascii="Calibri" w:hAnsi="Calibri"/>
          <w:color w:val="0C0C0C"/>
          <w:spacing w:val="-2"/>
          <w:w w:val="90"/>
        </w:rPr>
        <w:t xml:space="preserve"> </w:t>
      </w:r>
      <w:r>
        <w:rPr>
          <w:rFonts w:ascii="Calibri" w:hAnsi="Calibri"/>
          <w:color w:val="0C0C0C"/>
          <w:w w:val="90"/>
        </w:rPr>
        <w:t>com</w:t>
      </w:r>
      <w:r>
        <w:rPr>
          <w:rFonts w:ascii="Calibri" w:hAnsi="Calibri"/>
          <w:color w:val="0C0C0C"/>
          <w:spacing w:val="-7"/>
          <w:w w:val="90"/>
        </w:rPr>
        <w:t xml:space="preserve"> </w:t>
      </w:r>
      <w:r>
        <w:rPr>
          <w:rFonts w:ascii="Calibri" w:hAnsi="Calibri"/>
          <w:color w:val="0C0C0C"/>
          <w:spacing w:val="-2"/>
          <w:w w:val="90"/>
        </w:rPr>
        <w:t>Investidores</w:t>
      </w:r>
    </w:p>
    <w:p w14:paraId="0DABA85D" w14:textId="77777777" w:rsidR="002C6574" w:rsidRDefault="002C6574">
      <w:pPr>
        <w:pStyle w:val="Corpodetexto"/>
        <w:spacing w:before="140"/>
        <w:rPr>
          <w:rFonts w:ascii="Calibri"/>
        </w:rPr>
      </w:pPr>
    </w:p>
    <w:p w14:paraId="0D66A652" w14:textId="77777777" w:rsidR="002C6574" w:rsidRDefault="00000000">
      <w:pPr>
        <w:spacing w:line="221" w:lineRule="exact"/>
        <w:ind w:right="766"/>
        <w:jc w:val="center"/>
        <w:rPr>
          <w:rFonts w:ascii="Times New Roman"/>
          <w:b/>
          <w:sz w:val="20"/>
        </w:rPr>
      </w:pPr>
      <w:r>
        <w:rPr>
          <w:rFonts w:ascii="Times New Roman"/>
          <w:b/>
          <w:color w:val="010101"/>
          <w:sz w:val="20"/>
        </w:rPr>
        <w:t>LEVI</w:t>
      </w:r>
      <w:r>
        <w:rPr>
          <w:rFonts w:ascii="Times New Roman"/>
          <w:b/>
          <w:color w:val="010101"/>
          <w:spacing w:val="-13"/>
          <w:sz w:val="20"/>
        </w:rPr>
        <w:t xml:space="preserve"> </w:t>
      </w:r>
      <w:r>
        <w:rPr>
          <w:rFonts w:ascii="Times New Roman"/>
          <w:b/>
          <w:color w:val="010101"/>
          <w:sz w:val="20"/>
        </w:rPr>
        <w:t>PEREIRA</w:t>
      </w:r>
      <w:r>
        <w:rPr>
          <w:rFonts w:ascii="Times New Roman"/>
          <w:b/>
          <w:color w:val="010101"/>
          <w:spacing w:val="-12"/>
          <w:sz w:val="20"/>
        </w:rPr>
        <w:t xml:space="preserve"> </w:t>
      </w:r>
      <w:r>
        <w:rPr>
          <w:rFonts w:ascii="Times New Roman"/>
          <w:b/>
          <w:color w:val="010101"/>
          <w:sz w:val="20"/>
        </w:rPr>
        <w:t>FIGUEIREDO</w:t>
      </w:r>
      <w:r>
        <w:rPr>
          <w:rFonts w:ascii="Times New Roman"/>
          <w:b/>
          <w:color w:val="010101"/>
          <w:spacing w:val="-5"/>
          <w:sz w:val="20"/>
        </w:rPr>
        <w:t xml:space="preserve"> </w:t>
      </w:r>
      <w:r>
        <w:rPr>
          <w:rFonts w:ascii="Times New Roman"/>
          <w:b/>
          <w:color w:val="010101"/>
          <w:spacing w:val="-4"/>
          <w:sz w:val="20"/>
        </w:rPr>
        <w:t>NETO</w:t>
      </w:r>
    </w:p>
    <w:p w14:paraId="3607438C" w14:textId="77777777" w:rsidR="002C6574" w:rsidRDefault="00000000">
      <w:pPr>
        <w:pStyle w:val="Corpodetexto"/>
        <w:spacing w:before="29" w:line="196" w:lineRule="auto"/>
        <w:ind w:left="4127" w:right="4678" w:firstLine="511"/>
        <w:rPr>
          <w:rFonts w:ascii="Calibri"/>
        </w:rPr>
      </w:pPr>
      <w:r>
        <w:rPr>
          <w:rFonts w:ascii="Calibri"/>
          <w:color w:val="0C0C0C"/>
          <w:spacing w:val="-2"/>
        </w:rPr>
        <w:t xml:space="preserve">Diretor </w:t>
      </w:r>
      <w:r>
        <w:rPr>
          <w:rFonts w:ascii="Calibri"/>
          <w:color w:val="0F0F0F"/>
          <w:w w:val="90"/>
        </w:rPr>
        <w:t>Diretoria</w:t>
      </w:r>
      <w:r>
        <w:rPr>
          <w:rFonts w:ascii="Calibri"/>
          <w:color w:val="0F0F0F"/>
          <w:spacing w:val="-8"/>
          <w:w w:val="90"/>
        </w:rPr>
        <w:t xml:space="preserve"> </w:t>
      </w:r>
      <w:r>
        <w:rPr>
          <w:rFonts w:ascii="Calibri"/>
          <w:color w:val="0F0F0F"/>
          <w:w w:val="90"/>
        </w:rPr>
        <w:t>Comercial</w:t>
      </w:r>
    </w:p>
    <w:p w14:paraId="4FB72EB2" w14:textId="77777777" w:rsidR="002C6574" w:rsidRDefault="002C6574">
      <w:pPr>
        <w:pStyle w:val="Corpodetexto"/>
        <w:spacing w:before="162"/>
        <w:rPr>
          <w:rFonts w:ascii="Calibri"/>
        </w:rPr>
      </w:pPr>
    </w:p>
    <w:p w14:paraId="41873E87" w14:textId="77777777" w:rsidR="002C6574" w:rsidRDefault="00000000">
      <w:pPr>
        <w:spacing w:line="214" w:lineRule="exact"/>
        <w:ind w:right="761"/>
        <w:jc w:val="center"/>
        <w:rPr>
          <w:rFonts w:ascii="Times New Roman"/>
          <w:b/>
          <w:sz w:val="20"/>
        </w:rPr>
      </w:pPr>
      <w:r>
        <w:rPr>
          <w:rFonts w:ascii="Times New Roman"/>
          <w:b/>
          <w:color w:val="050505"/>
          <w:sz w:val="20"/>
        </w:rPr>
        <w:t>ANDRE</w:t>
      </w:r>
      <w:r>
        <w:rPr>
          <w:rFonts w:ascii="Times New Roman"/>
          <w:b/>
          <w:color w:val="050505"/>
          <w:spacing w:val="-9"/>
          <w:sz w:val="20"/>
        </w:rPr>
        <w:t xml:space="preserve"> </w:t>
      </w:r>
      <w:r>
        <w:rPr>
          <w:rFonts w:ascii="Times New Roman"/>
          <w:b/>
          <w:color w:val="050505"/>
          <w:sz w:val="20"/>
        </w:rPr>
        <w:t>CHAGAS</w:t>
      </w:r>
      <w:r>
        <w:rPr>
          <w:rFonts w:ascii="Times New Roman"/>
          <w:b/>
          <w:color w:val="050505"/>
          <w:spacing w:val="-5"/>
          <w:sz w:val="20"/>
        </w:rPr>
        <w:t xml:space="preserve"> </w:t>
      </w:r>
      <w:r>
        <w:rPr>
          <w:rFonts w:ascii="Times New Roman"/>
          <w:b/>
          <w:color w:val="050505"/>
          <w:sz w:val="20"/>
        </w:rPr>
        <w:t>LEITE</w:t>
      </w:r>
      <w:r>
        <w:rPr>
          <w:rFonts w:ascii="Times New Roman"/>
          <w:b/>
          <w:color w:val="050505"/>
          <w:spacing w:val="-14"/>
          <w:sz w:val="20"/>
        </w:rPr>
        <w:t xml:space="preserve"> </w:t>
      </w:r>
      <w:r>
        <w:rPr>
          <w:rFonts w:ascii="Times New Roman"/>
          <w:b/>
          <w:color w:val="050505"/>
          <w:sz w:val="20"/>
        </w:rPr>
        <w:t>DA</w:t>
      </w:r>
      <w:r>
        <w:rPr>
          <w:rFonts w:ascii="Times New Roman"/>
          <w:b/>
          <w:color w:val="050505"/>
          <w:spacing w:val="-6"/>
          <w:sz w:val="20"/>
        </w:rPr>
        <w:t xml:space="preserve"> </w:t>
      </w:r>
      <w:r>
        <w:rPr>
          <w:rFonts w:ascii="Times New Roman"/>
          <w:b/>
          <w:color w:val="050505"/>
          <w:spacing w:val="-2"/>
          <w:sz w:val="20"/>
        </w:rPr>
        <w:t>FONSECA</w:t>
      </w:r>
    </w:p>
    <w:p w14:paraId="7C768F0A" w14:textId="77777777" w:rsidR="002C6574" w:rsidRDefault="00000000">
      <w:pPr>
        <w:pStyle w:val="Corpodetexto"/>
        <w:spacing w:line="238" w:lineRule="exact"/>
        <w:ind w:right="772"/>
        <w:jc w:val="center"/>
        <w:rPr>
          <w:rFonts w:ascii="Calibri"/>
        </w:rPr>
      </w:pPr>
      <w:r>
        <w:rPr>
          <w:rFonts w:ascii="Calibri"/>
          <w:color w:val="050505"/>
          <w:spacing w:val="-2"/>
        </w:rPr>
        <w:t>Diretor</w:t>
      </w:r>
    </w:p>
    <w:p w14:paraId="6B5A7634" w14:textId="77777777" w:rsidR="002C6574" w:rsidRDefault="00000000">
      <w:pPr>
        <w:pStyle w:val="Corpodetexto"/>
        <w:spacing w:line="254" w:lineRule="exact"/>
        <w:ind w:right="765"/>
        <w:jc w:val="center"/>
        <w:rPr>
          <w:rFonts w:ascii="Calibri" w:hAnsi="Calibri"/>
        </w:rPr>
      </w:pPr>
      <w:r>
        <w:rPr>
          <w:rFonts w:ascii="Calibri" w:hAnsi="Calibri"/>
          <w:color w:val="0E0E0E"/>
          <w:w w:val="90"/>
        </w:rPr>
        <w:t>Diretoria</w:t>
      </w:r>
      <w:r>
        <w:rPr>
          <w:rFonts w:ascii="Calibri" w:hAnsi="Calibri"/>
          <w:color w:val="0E0E0E"/>
          <w:spacing w:val="-1"/>
        </w:rPr>
        <w:t xml:space="preserve"> </w:t>
      </w:r>
      <w:r>
        <w:rPr>
          <w:rFonts w:ascii="Calibri" w:hAnsi="Calibri"/>
          <w:color w:val="0E0E0E"/>
          <w:w w:val="90"/>
        </w:rPr>
        <w:t>Técnico-</w:t>
      </w:r>
      <w:r>
        <w:rPr>
          <w:rFonts w:ascii="Calibri" w:hAnsi="Calibri"/>
          <w:color w:val="0E0E0E"/>
          <w:spacing w:val="-2"/>
          <w:w w:val="90"/>
        </w:rPr>
        <w:t>operacional</w:t>
      </w:r>
    </w:p>
    <w:p w14:paraId="0875A799" w14:textId="77777777" w:rsidR="002C6574" w:rsidRDefault="002C6574">
      <w:pPr>
        <w:pStyle w:val="Corpodetexto"/>
        <w:spacing w:before="84"/>
        <w:rPr>
          <w:rFonts w:ascii="Calibri"/>
          <w:sz w:val="20"/>
        </w:rPr>
      </w:pPr>
    </w:p>
    <w:p w14:paraId="24AB520E" w14:textId="77777777" w:rsidR="002C6574" w:rsidRDefault="002C6574">
      <w:pPr>
        <w:pStyle w:val="Corpodetexto"/>
        <w:rPr>
          <w:rFonts w:ascii="Calibri"/>
          <w:sz w:val="20"/>
        </w:rPr>
        <w:sectPr w:rsidR="002C6574">
          <w:type w:val="continuous"/>
          <w:pgSz w:w="11910" w:h="16840"/>
          <w:pgMar w:top="0" w:right="141" w:bottom="0" w:left="1133" w:header="0" w:footer="0" w:gutter="0"/>
          <w:cols w:space="720"/>
        </w:sectPr>
      </w:pPr>
    </w:p>
    <w:p w14:paraId="5B77A2C6" w14:textId="77777777" w:rsidR="002C6574" w:rsidRDefault="00000000">
      <w:pPr>
        <w:spacing w:before="91" w:line="220" w:lineRule="exact"/>
        <w:ind w:left="1022"/>
        <w:jc w:val="center"/>
        <w:rPr>
          <w:rFonts w:ascii="Times New Roman"/>
          <w:b/>
          <w:sz w:val="20"/>
        </w:rPr>
      </w:pPr>
      <w:r>
        <w:rPr>
          <w:rFonts w:ascii="Times New Roman"/>
          <w:b/>
          <w:noProof/>
          <w:sz w:val="20"/>
        </w:rPr>
        <mc:AlternateContent>
          <mc:Choice Requires="wpg">
            <w:drawing>
              <wp:anchor distT="0" distB="0" distL="0" distR="0" simplePos="0" relativeHeight="472573952" behindDoc="1" locked="0" layoutInCell="1" allowOverlap="1" wp14:anchorId="4645A414" wp14:editId="78B45D37">
                <wp:simplePos x="0" y="0"/>
                <wp:positionH relativeFrom="page">
                  <wp:posOffset>406908</wp:posOffset>
                </wp:positionH>
                <wp:positionV relativeFrom="page">
                  <wp:posOffset>0</wp:posOffset>
                </wp:positionV>
                <wp:extent cx="7149465" cy="1068959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9465" cy="10689590"/>
                          <a:chOff x="0" y="0"/>
                          <a:chExt cx="7149465" cy="10689590"/>
                        </a:xfrm>
                      </wpg:grpSpPr>
                      <pic:pic xmlns:pic="http://schemas.openxmlformats.org/drawingml/2006/picture">
                        <pic:nvPicPr>
                          <pic:cNvPr id="175" name="Image 175"/>
                          <pic:cNvPicPr/>
                        </pic:nvPicPr>
                        <pic:blipFill>
                          <a:blip r:embed="rId106" cstate="print"/>
                          <a:stretch>
                            <a:fillRect/>
                          </a:stretch>
                        </pic:blipFill>
                        <pic:spPr>
                          <a:xfrm>
                            <a:off x="566927" y="0"/>
                            <a:ext cx="6582156" cy="10689335"/>
                          </a:xfrm>
                          <a:prstGeom prst="rect">
                            <a:avLst/>
                          </a:prstGeom>
                        </pic:spPr>
                      </pic:pic>
                      <pic:pic xmlns:pic="http://schemas.openxmlformats.org/drawingml/2006/picture">
                        <pic:nvPicPr>
                          <pic:cNvPr id="176" name="Image 176"/>
                          <pic:cNvPicPr/>
                        </pic:nvPicPr>
                        <pic:blipFill>
                          <a:blip r:embed="rId107" cstate="print"/>
                          <a:stretch>
                            <a:fillRect/>
                          </a:stretch>
                        </pic:blipFill>
                        <pic:spPr>
                          <a:xfrm>
                            <a:off x="0" y="9941052"/>
                            <a:ext cx="544067" cy="544067"/>
                          </a:xfrm>
                          <a:prstGeom prst="rect">
                            <a:avLst/>
                          </a:prstGeom>
                        </pic:spPr>
                      </pic:pic>
                      <wps:wsp>
                        <wps:cNvPr id="177" name="Graphic 177"/>
                        <wps:cNvSpPr/>
                        <wps:spPr>
                          <a:xfrm>
                            <a:off x="6582156" y="8570976"/>
                            <a:ext cx="402590" cy="1270"/>
                          </a:xfrm>
                          <a:custGeom>
                            <a:avLst/>
                            <a:gdLst/>
                            <a:ahLst/>
                            <a:cxnLst/>
                            <a:rect l="l" t="t" r="r" b="b"/>
                            <a:pathLst>
                              <a:path w="402590">
                                <a:moveTo>
                                  <a:pt x="0" y="0"/>
                                </a:moveTo>
                                <a:lnTo>
                                  <a:pt x="402335" y="0"/>
                                </a:lnTo>
                              </a:path>
                            </a:pathLst>
                          </a:custGeom>
                          <a:ln w="12192">
                            <a:solidFill>
                              <a:srgbClr val="010101"/>
                            </a:solidFill>
                            <a:prstDash val="solid"/>
                          </a:ln>
                        </wps:spPr>
                        <wps:bodyPr wrap="square" lIns="0" tIns="0" rIns="0" bIns="0" rtlCol="0">
                          <a:prstTxWarp prst="textNoShape">
                            <a:avLst/>
                          </a:prstTxWarp>
                          <a:noAutofit/>
                        </wps:bodyPr>
                      </wps:wsp>
                      <wps:wsp>
                        <wps:cNvPr id="178" name="Graphic 178"/>
                        <wps:cNvSpPr/>
                        <wps:spPr>
                          <a:xfrm>
                            <a:off x="6582156" y="9287255"/>
                            <a:ext cx="402590" cy="1270"/>
                          </a:xfrm>
                          <a:custGeom>
                            <a:avLst/>
                            <a:gdLst/>
                            <a:ahLst/>
                            <a:cxnLst/>
                            <a:rect l="l" t="t" r="r" b="b"/>
                            <a:pathLst>
                              <a:path w="402590">
                                <a:moveTo>
                                  <a:pt x="0" y="0"/>
                                </a:moveTo>
                                <a:lnTo>
                                  <a:pt x="402335" y="0"/>
                                </a:lnTo>
                              </a:path>
                            </a:pathLst>
                          </a:custGeom>
                          <a:ln w="12192">
                            <a:solidFill>
                              <a:srgbClr val="070707"/>
                            </a:solidFill>
                            <a:prstDash val="solid"/>
                          </a:ln>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108" cstate="print"/>
                          <a:stretch>
                            <a:fillRect/>
                          </a:stretch>
                        </pic:blipFill>
                        <pic:spPr>
                          <a:xfrm>
                            <a:off x="6850379" y="10325100"/>
                            <a:ext cx="89916" cy="83820"/>
                          </a:xfrm>
                          <a:prstGeom prst="rect">
                            <a:avLst/>
                          </a:prstGeom>
                        </pic:spPr>
                      </pic:pic>
                    </wpg:wgp>
                  </a:graphicData>
                </a:graphic>
              </wp:anchor>
            </w:drawing>
          </mc:Choice>
          <mc:Fallback>
            <w:pict>
              <v:group w14:anchorId="26556303" id="Group 174" o:spid="_x0000_s1026" style="position:absolute;margin-left:32.05pt;margin-top:0;width:562.95pt;height:841.7pt;z-index:-30742528;mso-wrap-distance-left:0;mso-wrap-distance-right:0;mso-position-horizontal-relative:page;mso-position-vertical-relative:page" coordsize="71494,1068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5" o:spid="_x0000_s1027" type="#_x0000_t75" style="position:absolute;left:5669;width:65821;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">
                  <v:imagedata r:id="rId109" o:title=""/>
                </v:shape>
                <v:shape id="Image 176" o:spid="_x0000_s1028" type="#_x0000_t75" style="position:absolute;top:99410;width:5440;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">
                  <v:imagedata r:id="rId110" o:title=""/>
                </v:shape>
                <v:shape id="Graphic 177" o:spid="_x0000_s1029" style="position:absolute;left:65821;top:85709;width:4026;height:13;visibility:visible;mso-wrap-style:square;v-text-anchor:top" coordsize="402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" path="m,l402335,e" filled="f" strokecolor="#010101" strokeweight=".96pt">
                  <v:path arrowok="t"/>
                </v:shape>
                <v:shape id="Graphic 178" o:spid="_x0000_s1030" style="position:absolute;left:65821;top:92872;width:4026;height:13;visibility:visible;mso-wrap-style:square;v-text-anchor:top" coordsize="402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" path="m,l402335,e" filled="f" strokecolor="#070707" strokeweight=".96pt">
                  <v:path arrowok="t"/>
                </v:shape>
                <v:shape id="Image 179" o:spid="_x0000_s1031" type="#_x0000_t75" style="position:absolute;left:68503;top:103251;width:899;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">
                  <v:imagedata r:id="rId111" o:title=""/>
                </v:shape>
                <w10:wrap anchorx="page" anchory="page"/>
              </v:group>
            </w:pict>
          </mc:Fallback>
        </mc:AlternateContent>
      </w:r>
      <w:r>
        <w:rPr>
          <w:rFonts w:ascii="Times New Roman"/>
          <w:b/>
          <w:color w:val="010101"/>
          <w:sz w:val="20"/>
        </w:rPr>
        <w:t>HERMANO</w:t>
      </w:r>
      <w:r>
        <w:rPr>
          <w:rFonts w:ascii="Times New Roman"/>
          <w:b/>
          <w:color w:val="010101"/>
          <w:spacing w:val="-13"/>
          <w:sz w:val="20"/>
        </w:rPr>
        <w:t xml:space="preserve"> </w:t>
      </w:r>
      <w:r>
        <w:rPr>
          <w:rFonts w:ascii="Times New Roman"/>
          <w:b/>
          <w:color w:val="010101"/>
          <w:sz w:val="20"/>
        </w:rPr>
        <w:t>STUDART</w:t>
      </w:r>
      <w:r>
        <w:rPr>
          <w:rFonts w:ascii="Times New Roman"/>
          <w:b/>
          <w:color w:val="010101"/>
          <w:spacing w:val="-12"/>
          <w:sz w:val="20"/>
        </w:rPr>
        <w:t xml:space="preserve"> </w:t>
      </w:r>
      <w:r>
        <w:rPr>
          <w:rFonts w:ascii="Times New Roman"/>
          <w:b/>
          <w:color w:val="010101"/>
          <w:sz w:val="20"/>
        </w:rPr>
        <w:t>LINS</w:t>
      </w:r>
      <w:r>
        <w:rPr>
          <w:rFonts w:ascii="Times New Roman"/>
          <w:b/>
          <w:color w:val="010101"/>
          <w:spacing w:val="-13"/>
          <w:sz w:val="20"/>
        </w:rPr>
        <w:t xml:space="preserve"> </w:t>
      </w:r>
      <w:r>
        <w:rPr>
          <w:rFonts w:ascii="Times New Roman"/>
          <w:b/>
          <w:color w:val="010101"/>
          <w:sz w:val="20"/>
        </w:rPr>
        <w:t>DE</w:t>
      </w:r>
      <w:r>
        <w:rPr>
          <w:rFonts w:ascii="Times New Roman"/>
          <w:b/>
          <w:color w:val="010101"/>
          <w:spacing w:val="-12"/>
          <w:sz w:val="20"/>
        </w:rPr>
        <w:t xml:space="preserve"> </w:t>
      </w:r>
      <w:r>
        <w:rPr>
          <w:rFonts w:ascii="Times New Roman"/>
          <w:b/>
          <w:color w:val="010101"/>
          <w:spacing w:val="-2"/>
          <w:sz w:val="20"/>
        </w:rPr>
        <w:t>ALBUQUERQUE</w:t>
      </w:r>
    </w:p>
    <w:p w14:paraId="17AC6EE8" w14:textId="77777777" w:rsidR="002C6574" w:rsidRDefault="00000000">
      <w:pPr>
        <w:pStyle w:val="Corpodetexto"/>
        <w:spacing w:before="19" w:line="206" w:lineRule="auto"/>
        <w:ind w:left="4473" w:right="3429" w:hanging="29"/>
        <w:jc w:val="center"/>
        <w:rPr>
          <w:rFonts w:ascii="Calibri" w:hAnsi="Calibri"/>
        </w:rPr>
      </w:pPr>
      <w:r>
        <w:rPr>
          <w:rFonts w:ascii="Calibri" w:hAnsi="Calibri"/>
          <w:color w:val="131313"/>
          <w:spacing w:val="-2"/>
        </w:rPr>
        <w:t xml:space="preserve">Presidente </w:t>
      </w:r>
      <w:r>
        <w:rPr>
          <w:rFonts w:ascii="Calibri" w:hAnsi="Calibri"/>
          <w:color w:val="161616"/>
          <w:spacing w:val="-2"/>
          <w:w w:val="90"/>
        </w:rPr>
        <w:t>Presidência</w:t>
      </w:r>
    </w:p>
    <w:p w14:paraId="4D27801D" w14:textId="77777777" w:rsidR="002C6574" w:rsidRDefault="002C6574">
      <w:pPr>
        <w:pStyle w:val="Corpodetexto"/>
        <w:rPr>
          <w:rFonts w:ascii="Calibri"/>
        </w:rPr>
      </w:pPr>
    </w:p>
    <w:p w14:paraId="7F6ABD76" w14:textId="77777777" w:rsidR="002C6574" w:rsidRDefault="002C6574">
      <w:pPr>
        <w:pStyle w:val="Corpodetexto"/>
        <w:rPr>
          <w:rFonts w:ascii="Calibri"/>
        </w:rPr>
      </w:pPr>
    </w:p>
    <w:p w14:paraId="3CF34B68" w14:textId="77777777" w:rsidR="002C6574" w:rsidRDefault="002C6574">
      <w:pPr>
        <w:pStyle w:val="Corpodetexto"/>
        <w:rPr>
          <w:rFonts w:ascii="Calibri"/>
        </w:rPr>
      </w:pPr>
    </w:p>
    <w:p w14:paraId="5CA0B237" w14:textId="77777777" w:rsidR="002C6574" w:rsidRDefault="002C6574">
      <w:pPr>
        <w:pStyle w:val="Corpodetexto"/>
        <w:rPr>
          <w:rFonts w:ascii="Calibri"/>
        </w:rPr>
      </w:pPr>
    </w:p>
    <w:p w14:paraId="1BE1D53A" w14:textId="77777777" w:rsidR="002C6574" w:rsidRDefault="002C6574">
      <w:pPr>
        <w:pStyle w:val="Corpodetexto"/>
        <w:rPr>
          <w:rFonts w:ascii="Calibri"/>
        </w:rPr>
      </w:pPr>
    </w:p>
    <w:p w14:paraId="41BDE577" w14:textId="77777777" w:rsidR="002C6574" w:rsidRDefault="002C6574">
      <w:pPr>
        <w:pStyle w:val="Corpodetexto"/>
        <w:rPr>
          <w:rFonts w:ascii="Calibri"/>
        </w:rPr>
      </w:pPr>
    </w:p>
    <w:p w14:paraId="2D18E671" w14:textId="77777777" w:rsidR="002C6574" w:rsidRDefault="002C6574">
      <w:pPr>
        <w:pStyle w:val="Corpodetexto"/>
        <w:rPr>
          <w:rFonts w:ascii="Calibri"/>
        </w:rPr>
      </w:pPr>
    </w:p>
    <w:p w14:paraId="2F4D3938" w14:textId="77777777" w:rsidR="002C6574" w:rsidRDefault="002C6574">
      <w:pPr>
        <w:pStyle w:val="Corpodetexto"/>
        <w:rPr>
          <w:rFonts w:ascii="Calibri"/>
        </w:rPr>
      </w:pPr>
    </w:p>
    <w:p w14:paraId="4098EDB7" w14:textId="77777777" w:rsidR="002C6574" w:rsidRDefault="002C6574">
      <w:pPr>
        <w:pStyle w:val="Corpodetexto"/>
        <w:rPr>
          <w:rFonts w:ascii="Calibri"/>
        </w:rPr>
      </w:pPr>
    </w:p>
    <w:p w14:paraId="45E44D30" w14:textId="77777777" w:rsidR="002C6574" w:rsidRDefault="002C6574">
      <w:pPr>
        <w:pStyle w:val="Corpodetexto"/>
        <w:spacing w:before="223"/>
        <w:rPr>
          <w:rFonts w:ascii="Calibri"/>
        </w:rPr>
      </w:pPr>
    </w:p>
    <w:p w14:paraId="6271FDC2" w14:textId="77777777" w:rsidR="002C6574" w:rsidRDefault="00000000">
      <w:pPr>
        <w:spacing w:line="192" w:lineRule="auto"/>
        <w:ind w:left="602"/>
        <w:rPr>
          <w:rFonts w:ascii="Calibri" w:hAnsi="Calibri"/>
          <w:sz w:val="16"/>
        </w:rPr>
      </w:pPr>
      <w:r>
        <w:rPr>
          <w:rFonts w:ascii="Calibri" w:hAnsi="Calibri"/>
          <w:color w:val="131313"/>
          <w:w w:val="115"/>
          <w:sz w:val="16"/>
        </w:rPr>
        <w:t>Assinado</w:t>
      </w:r>
      <w:r>
        <w:rPr>
          <w:rFonts w:ascii="Calibri" w:hAnsi="Calibri"/>
          <w:color w:val="131313"/>
          <w:spacing w:val="-5"/>
          <w:w w:val="115"/>
          <w:sz w:val="16"/>
        </w:rPr>
        <w:t xml:space="preserve"> </w:t>
      </w:r>
      <w:r>
        <w:rPr>
          <w:rFonts w:ascii="Calibri" w:hAnsi="Calibri"/>
          <w:color w:val="131313"/>
          <w:w w:val="115"/>
          <w:sz w:val="16"/>
        </w:rPr>
        <w:t>com</w:t>
      </w:r>
      <w:r>
        <w:rPr>
          <w:rFonts w:ascii="Calibri" w:hAnsi="Calibri"/>
          <w:color w:val="131313"/>
          <w:spacing w:val="-8"/>
          <w:w w:val="115"/>
          <w:sz w:val="16"/>
        </w:rPr>
        <w:t xml:space="preserve"> </w:t>
      </w:r>
      <w:r>
        <w:rPr>
          <w:rFonts w:ascii="Calibri" w:hAnsi="Calibri"/>
          <w:color w:val="131313"/>
          <w:w w:val="115"/>
          <w:sz w:val="16"/>
        </w:rPr>
        <w:t>senha</w:t>
      </w:r>
      <w:r>
        <w:rPr>
          <w:rFonts w:ascii="Calibri" w:hAnsi="Calibri"/>
          <w:color w:val="131313"/>
          <w:spacing w:val="-6"/>
          <w:w w:val="115"/>
          <w:sz w:val="16"/>
        </w:rPr>
        <w:t xml:space="preserve"> </w:t>
      </w:r>
      <w:r>
        <w:rPr>
          <w:rFonts w:ascii="Calibri" w:hAnsi="Calibri"/>
          <w:color w:val="131313"/>
          <w:w w:val="115"/>
          <w:sz w:val="16"/>
        </w:rPr>
        <w:t>por</w:t>
      </w:r>
      <w:r>
        <w:rPr>
          <w:rFonts w:ascii="Calibri" w:hAnsi="Calibri"/>
          <w:color w:val="131313"/>
          <w:spacing w:val="-5"/>
          <w:w w:val="115"/>
          <w:sz w:val="16"/>
        </w:rPr>
        <w:t xml:space="preserve"> </w:t>
      </w:r>
      <w:r>
        <w:rPr>
          <w:rFonts w:ascii="Calibri" w:hAnsi="Calibri"/>
          <w:color w:val="131313"/>
          <w:w w:val="115"/>
          <w:sz w:val="16"/>
        </w:rPr>
        <w:t>TATIANA</w:t>
      </w:r>
      <w:r>
        <w:rPr>
          <w:rFonts w:ascii="Calibri" w:hAnsi="Calibri"/>
          <w:color w:val="131313"/>
          <w:spacing w:val="-3"/>
          <w:w w:val="115"/>
          <w:sz w:val="16"/>
        </w:rPr>
        <w:t xml:space="preserve"> </w:t>
      </w:r>
      <w:r>
        <w:rPr>
          <w:rFonts w:ascii="Calibri" w:hAnsi="Calibri"/>
          <w:color w:val="131313"/>
          <w:w w:val="115"/>
          <w:sz w:val="16"/>
        </w:rPr>
        <w:t>RÚBIA</w:t>
      </w:r>
      <w:r>
        <w:rPr>
          <w:rFonts w:ascii="Calibri" w:hAnsi="Calibri"/>
          <w:color w:val="131313"/>
          <w:spacing w:val="-5"/>
          <w:w w:val="115"/>
          <w:sz w:val="16"/>
        </w:rPr>
        <w:t xml:space="preserve"> </w:t>
      </w:r>
      <w:r>
        <w:rPr>
          <w:rFonts w:ascii="Calibri" w:hAnsi="Calibri"/>
          <w:color w:val="131313"/>
          <w:w w:val="115"/>
          <w:sz w:val="16"/>
        </w:rPr>
        <w:t>MELO</w:t>
      </w:r>
      <w:r>
        <w:rPr>
          <w:rFonts w:ascii="Calibri" w:hAnsi="Calibri"/>
          <w:color w:val="131313"/>
          <w:spacing w:val="-1"/>
          <w:w w:val="115"/>
          <w:sz w:val="16"/>
        </w:rPr>
        <w:t xml:space="preserve"> </w:t>
      </w:r>
      <w:r>
        <w:rPr>
          <w:rFonts w:ascii="Calibri" w:hAnsi="Calibri"/>
          <w:color w:val="131313"/>
          <w:w w:val="115"/>
          <w:sz w:val="16"/>
        </w:rPr>
        <w:t>MIRANDA</w:t>
      </w:r>
      <w:r>
        <w:rPr>
          <w:rFonts w:ascii="Calibri" w:hAnsi="Calibri"/>
          <w:color w:val="131313"/>
          <w:spacing w:val="-3"/>
          <w:w w:val="115"/>
          <w:sz w:val="16"/>
        </w:rPr>
        <w:t xml:space="preserve"> </w:t>
      </w:r>
      <w:r>
        <w:rPr>
          <w:rFonts w:ascii="Calibri" w:hAnsi="Calibri"/>
          <w:color w:val="131313"/>
          <w:w w:val="115"/>
          <w:sz w:val="16"/>
        </w:rPr>
        <w:t>-</w:t>
      </w:r>
      <w:r>
        <w:rPr>
          <w:rFonts w:ascii="Calibri" w:hAnsi="Calibri"/>
          <w:color w:val="131313"/>
          <w:spacing w:val="-4"/>
          <w:w w:val="115"/>
          <w:sz w:val="16"/>
        </w:rPr>
        <w:t xml:space="preserve"> </w:t>
      </w:r>
      <w:r>
        <w:rPr>
          <w:rFonts w:ascii="Calibri" w:hAnsi="Calibri"/>
          <w:color w:val="131313"/>
          <w:w w:val="115"/>
          <w:sz w:val="16"/>
        </w:rPr>
        <w:t>26/02/2026</w:t>
      </w:r>
      <w:r>
        <w:rPr>
          <w:rFonts w:ascii="Calibri" w:hAnsi="Calibri"/>
          <w:color w:val="131313"/>
          <w:spacing w:val="-8"/>
          <w:w w:val="115"/>
          <w:sz w:val="16"/>
        </w:rPr>
        <w:t xml:space="preserve"> </w:t>
      </w:r>
      <w:r>
        <w:rPr>
          <w:rFonts w:ascii="Calibri" w:hAnsi="Calibri"/>
          <w:color w:val="131313"/>
          <w:w w:val="115"/>
          <w:sz w:val="16"/>
        </w:rPr>
        <w:t>às</w:t>
      </w:r>
      <w:r>
        <w:rPr>
          <w:rFonts w:ascii="Calibri" w:hAnsi="Calibri"/>
          <w:color w:val="131313"/>
          <w:spacing w:val="-2"/>
          <w:w w:val="115"/>
          <w:sz w:val="16"/>
        </w:rPr>
        <w:t xml:space="preserve"> </w:t>
      </w:r>
      <w:r>
        <w:rPr>
          <w:rFonts w:ascii="Calibri" w:hAnsi="Calibri"/>
          <w:color w:val="131313"/>
          <w:w w:val="115"/>
          <w:sz w:val="16"/>
        </w:rPr>
        <w:t>15</w:t>
      </w:r>
      <w:r>
        <w:rPr>
          <w:rFonts w:ascii="Calibri" w:hAnsi="Calibri"/>
          <w:color w:val="131313"/>
          <w:spacing w:val="-11"/>
          <w:w w:val="115"/>
          <w:sz w:val="16"/>
        </w:rPr>
        <w:t xml:space="preserve"> </w:t>
      </w:r>
      <w:r>
        <w:rPr>
          <w:rFonts w:ascii="Calibri" w:hAnsi="Calibri"/>
          <w:color w:val="131313"/>
          <w:w w:val="115"/>
          <w:sz w:val="16"/>
        </w:rPr>
        <w:t>06:59, ANDRE</w:t>
      </w:r>
      <w:r>
        <w:rPr>
          <w:rFonts w:ascii="Calibri" w:hAnsi="Calibri"/>
          <w:color w:val="131313"/>
          <w:spacing w:val="-3"/>
          <w:w w:val="115"/>
          <w:sz w:val="16"/>
        </w:rPr>
        <w:t xml:space="preserve"> </w:t>
      </w:r>
      <w:r>
        <w:rPr>
          <w:rFonts w:ascii="Calibri" w:hAnsi="Calibri"/>
          <w:color w:val="131313"/>
          <w:w w:val="115"/>
          <w:sz w:val="16"/>
        </w:rPr>
        <w:t>CHAGAS</w:t>
      </w:r>
      <w:r>
        <w:rPr>
          <w:rFonts w:ascii="Calibri" w:hAnsi="Calibri"/>
          <w:color w:val="131313"/>
          <w:spacing w:val="-3"/>
          <w:w w:val="115"/>
          <w:sz w:val="16"/>
        </w:rPr>
        <w:t xml:space="preserve"> </w:t>
      </w:r>
      <w:r>
        <w:rPr>
          <w:rFonts w:ascii="Calibri" w:hAnsi="Calibri"/>
          <w:color w:val="131313"/>
          <w:w w:val="115"/>
          <w:sz w:val="16"/>
        </w:rPr>
        <w:t>LEITE</w:t>
      </w:r>
      <w:r>
        <w:rPr>
          <w:rFonts w:ascii="Calibri" w:hAnsi="Calibri"/>
          <w:color w:val="131313"/>
          <w:spacing w:val="-8"/>
          <w:w w:val="115"/>
          <w:sz w:val="16"/>
        </w:rPr>
        <w:t xml:space="preserve"> </w:t>
      </w:r>
      <w:r>
        <w:rPr>
          <w:rFonts w:ascii="Calibri" w:hAnsi="Calibri"/>
          <w:color w:val="131313"/>
          <w:w w:val="115"/>
          <w:sz w:val="16"/>
        </w:rPr>
        <w:t>DA FONSECA - 26/02/2026 às 19:38:48, LEVI PEREIRA FIGUEIREDO NETO - 27/02/2026 às 0926 56 e HERMANO STUDART LINS DE ALBUQUERQUE - 27/02/2026 às 1316:14.</w:t>
      </w:r>
    </w:p>
    <w:p w14:paraId="4A20D4B7" w14:textId="77777777" w:rsidR="002C6574" w:rsidRDefault="00000000">
      <w:pPr>
        <w:spacing w:before="1" w:line="194" w:lineRule="auto"/>
        <w:ind w:left="602" w:right="2922"/>
        <w:rPr>
          <w:rFonts w:ascii="Calibri" w:hAnsi="Calibri"/>
          <w:sz w:val="16"/>
        </w:rPr>
      </w:pPr>
      <w:r>
        <w:rPr>
          <w:rFonts w:ascii="Calibri" w:hAnsi="Calibri"/>
          <w:color w:val="161616"/>
          <w:w w:val="105"/>
          <w:sz w:val="16"/>
        </w:rPr>
        <w:t>Documento N</w:t>
      </w:r>
      <w:r>
        <w:rPr>
          <w:rFonts w:ascii="Verdana" w:hAnsi="Verdana"/>
          <w:color w:val="161616"/>
          <w:w w:val="105"/>
          <w:sz w:val="16"/>
          <w:vertAlign w:val="superscript"/>
        </w:rPr>
        <w:t>º</w:t>
      </w:r>
      <w:r>
        <w:rPr>
          <w:rFonts w:ascii="Calibri" w:hAnsi="Calibri"/>
          <w:color w:val="161616"/>
          <w:w w:val="105"/>
          <w:sz w:val="16"/>
        </w:rPr>
        <w:t>: 890203-4524 - consulta à autenticidade em</w:t>
      </w:r>
      <w:r>
        <w:rPr>
          <w:rFonts w:ascii="Calibri" w:hAnsi="Calibri"/>
          <w:color w:val="161616"/>
          <w:spacing w:val="40"/>
          <w:w w:val="105"/>
          <w:sz w:val="16"/>
        </w:rPr>
        <w:t xml:space="preserve"> </w:t>
      </w:r>
      <w:r>
        <w:rPr>
          <w:rFonts w:ascii="Calibri" w:hAnsi="Calibri"/>
          <w:color w:val="161616"/>
          <w:spacing w:val="-2"/>
          <w:w w:val="105"/>
          <w:sz w:val="16"/>
        </w:rPr>
        <w:t>https://extranet.telebras.com.br/sigaex/public/app/autenticar?n=890203-4524</w:t>
      </w:r>
    </w:p>
    <w:p w14:paraId="688D5721" w14:textId="77777777" w:rsidR="002C6574" w:rsidRDefault="00000000">
      <w:pPr>
        <w:rPr>
          <w:rFonts w:ascii="Calibri"/>
          <w:sz w:val="20"/>
        </w:rPr>
      </w:pPr>
      <w:r>
        <w:br w:type="column"/>
      </w:r>
    </w:p>
    <w:p w14:paraId="11548759" w14:textId="77777777" w:rsidR="002C6574" w:rsidRDefault="002C6574">
      <w:pPr>
        <w:pStyle w:val="Corpodetexto"/>
        <w:rPr>
          <w:rFonts w:ascii="Calibri"/>
          <w:sz w:val="20"/>
        </w:rPr>
      </w:pPr>
    </w:p>
    <w:p w14:paraId="72D92C8F" w14:textId="77777777" w:rsidR="002C6574" w:rsidRDefault="002C6574">
      <w:pPr>
        <w:pStyle w:val="Corpodetexto"/>
        <w:rPr>
          <w:rFonts w:ascii="Calibri"/>
          <w:sz w:val="20"/>
        </w:rPr>
      </w:pPr>
    </w:p>
    <w:p w14:paraId="108F51E1" w14:textId="77777777" w:rsidR="002C6574" w:rsidRDefault="002C6574">
      <w:pPr>
        <w:pStyle w:val="Corpodetexto"/>
        <w:spacing w:before="109"/>
        <w:rPr>
          <w:rFonts w:ascii="Calibri"/>
          <w:sz w:val="20"/>
        </w:rPr>
      </w:pPr>
    </w:p>
    <w:p w14:paraId="6544D5D0" w14:textId="77777777" w:rsidR="002C6574" w:rsidRDefault="00000000">
      <w:pPr>
        <w:spacing w:line="180" w:lineRule="auto"/>
        <w:ind w:left="602"/>
        <w:rPr>
          <w:rFonts w:ascii="Calibri"/>
          <w:sz w:val="16"/>
        </w:rPr>
      </w:pPr>
      <w:r>
        <w:rPr>
          <w:rFonts w:ascii="Calibri"/>
          <w:color w:val="010101"/>
          <w:spacing w:val="2"/>
          <w:w w:val="450"/>
          <w:position w:val="-3"/>
          <w:sz w:val="20"/>
        </w:rPr>
        <w:t>=</w:t>
      </w:r>
      <w:r>
        <w:rPr>
          <w:rFonts w:ascii="Calibri"/>
          <w:color w:val="010101"/>
          <w:spacing w:val="-58"/>
          <w:w w:val="42"/>
          <w:position w:val="-3"/>
          <w:sz w:val="20"/>
        </w:rPr>
        <w:t>c</w:t>
      </w:r>
      <w:r>
        <w:rPr>
          <w:rFonts w:ascii="Calibri"/>
          <w:color w:val="010101"/>
          <w:spacing w:val="-64"/>
          <w:w w:val="36"/>
          <w:position w:val="-3"/>
          <w:sz w:val="20"/>
        </w:rPr>
        <w:t>o</w:t>
      </w:r>
      <w:r>
        <w:rPr>
          <w:rFonts w:ascii="Calibri"/>
          <w:color w:val="010101"/>
          <w:spacing w:val="-41"/>
          <w:w w:val="31"/>
          <w:position w:val="-11"/>
          <w:sz w:val="20"/>
        </w:rPr>
        <w:t>r</w:t>
      </w:r>
      <w:r>
        <w:rPr>
          <w:rFonts w:ascii="Calibri"/>
          <w:color w:val="010101"/>
          <w:spacing w:val="-41"/>
          <w:w w:val="38"/>
          <w:position w:val="-11"/>
          <w:sz w:val="20"/>
        </w:rPr>
        <w:t>-</w:t>
      </w:r>
      <w:r>
        <w:rPr>
          <w:rFonts w:ascii="Calibri"/>
          <w:color w:val="010101"/>
          <w:spacing w:val="-40"/>
          <w:position w:val="-11"/>
          <w:sz w:val="20"/>
        </w:rPr>
        <w:t>-</w:t>
      </w:r>
      <w:r>
        <w:rPr>
          <w:rFonts w:ascii="Calibri"/>
          <w:color w:val="0F0F0F"/>
          <w:spacing w:val="-40"/>
          <w:sz w:val="16"/>
        </w:rPr>
        <w:t>&lt;1'.</w:t>
      </w:r>
    </w:p>
    <w:p w14:paraId="1CCB8BCB" w14:textId="77777777" w:rsidR="002C6574" w:rsidRDefault="00000000">
      <w:pPr>
        <w:spacing w:before="9" w:line="160" w:lineRule="auto"/>
        <w:ind w:left="602"/>
        <w:rPr>
          <w:rFonts w:ascii="Calibri"/>
          <w:sz w:val="23"/>
        </w:rPr>
      </w:pPr>
      <w:r>
        <w:rPr>
          <w:rFonts w:ascii="Calibri"/>
          <w:noProof/>
          <w:sz w:val="23"/>
        </w:rPr>
        <mc:AlternateContent>
          <mc:Choice Requires="wps">
            <w:drawing>
              <wp:anchor distT="0" distB="0" distL="0" distR="0" simplePos="0" relativeHeight="15747584" behindDoc="0" locked="0" layoutInCell="1" allowOverlap="1" wp14:anchorId="3A6911E6" wp14:editId="6BE07566">
                <wp:simplePos x="0" y="0"/>
                <wp:positionH relativeFrom="page">
                  <wp:posOffset>6985975</wp:posOffset>
                </wp:positionH>
                <wp:positionV relativeFrom="paragraph">
                  <wp:posOffset>139098</wp:posOffset>
                </wp:positionV>
                <wp:extent cx="3175" cy="17589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 cy="175895"/>
                        </a:xfrm>
                        <a:prstGeom prst="rect">
                          <a:avLst/>
                        </a:prstGeom>
                      </wps:spPr>
                      <wps:txbx>
                        <w:txbxContent>
                          <w:p w14:paraId="4A16D7FE" w14:textId="77777777" w:rsidR="002C6574" w:rsidRDefault="00000000">
                            <w:pPr>
                              <w:spacing w:line="276" w:lineRule="exact"/>
                              <w:rPr>
                                <w:rFonts w:ascii="Calibri"/>
                                <w:sz w:val="25"/>
                              </w:rPr>
                            </w:pPr>
                            <w:r>
                              <w:rPr>
                                <w:rFonts w:ascii="Calibri"/>
                                <w:color w:val="010101"/>
                                <w:spacing w:val="-499"/>
                                <w:w w:val="400"/>
                                <w:sz w:val="25"/>
                              </w:rPr>
                              <w:t>=</w:t>
                            </w:r>
                          </w:p>
                        </w:txbxContent>
                      </wps:txbx>
                      <wps:bodyPr wrap="square" lIns="0" tIns="0" rIns="0" bIns="0" rtlCol="0">
                        <a:noAutofit/>
                      </wps:bodyPr>
                    </wps:wsp>
                  </a:graphicData>
                </a:graphic>
              </wp:anchor>
            </w:drawing>
          </mc:Choice>
          <mc:Fallback>
            <w:pict>
              <v:shape w14:anchorId="3A6911E6" id="Textbox 180" o:spid="_x0000_s1047" type="#_x0000_t202" style="position:absolute;left:0;text-align:left;margin-left:550.1pt;margin-top:10.95pt;width:.25pt;height:13.8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" filled="f" stroked="f">
                <v:textbox inset="0,0,0,0">
                  <w:txbxContent>
                    <w:p w14:paraId="4A16D7FE" w14:textId="77777777" w:rsidR="002C6574" w:rsidRDefault="00000000">
                      <w:pPr>
                        <w:spacing w:line="276" w:lineRule="exact"/>
                        <w:rPr>
                          <w:rFonts w:ascii="Calibri"/>
                          <w:sz w:val="25"/>
                        </w:rPr>
                      </w:pPr>
                      <w:r>
                        <w:rPr>
                          <w:rFonts w:ascii="Calibri"/>
                          <w:color w:val="010101"/>
                          <w:spacing w:val="-499"/>
                          <w:w w:val="400"/>
                          <w:sz w:val="25"/>
                        </w:rPr>
                        <w:t>=</w:t>
                      </w:r>
                    </w:p>
                  </w:txbxContent>
                </v:textbox>
                <w10:wrap anchorx="page"/>
              </v:shape>
            </w:pict>
          </mc:Fallback>
        </mc:AlternateContent>
      </w:r>
      <w:r>
        <w:rPr>
          <w:rFonts w:ascii="Calibri"/>
          <w:color w:val="050505"/>
          <w:spacing w:val="-294"/>
          <w:w w:val="267"/>
          <w:sz w:val="23"/>
        </w:rPr>
        <w:t>_</w:t>
      </w:r>
      <w:r>
        <w:rPr>
          <w:rFonts w:ascii="Calibri"/>
          <w:color w:val="010101"/>
          <w:spacing w:val="4"/>
          <w:w w:val="352"/>
          <w:position w:val="-6"/>
          <w:sz w:val="20"/>
        </w:rPr>
        <w:t>-</w:t>
      </w:r>
      <w:r>
        <w:rPr>
          <w:rFonts w:ascii="Calibri"/>
          <w:color w:val="010101"/>
          <w:spacing w:val="-155"/>
          <w:w w:val="335"/>
          <w:position w:val="-6"/>
          <w:sz w:val="20"/>
        </w:rPr>
        <w:t>-</w:t>
      </w:r>
      <w:r>
        <w:rPr>
          <w:rFonts w:ascii="Calibri"/>
          <w:color w:val="050505"/>
          <w:spacing w:val="-10"/>
          <w:w w:val="310"/>
          <w:sz w:val="23"/>
        </w:rPr>
        <w:t>g</w:t>
      </w:r>
    </w:p>
    <w:p w14:paraId="47BEAE8E" w14:textId="77777777" w:rsidR="002C6574" w:rsidRDefault="00000000">
      <w:pPr>
        <w:tabs>
          <w:tab w:val="left" w:pos="1240"/>
        </w:tabs>
        <w:spacing w:line="86" w:lineRule="exact"/>
        <w:ind w:left="607"/>
        <w:rPr>
          <w:rFonts w:ascii="Calibri"/>
          <w:sz w:val="12"/>
        </w:rPr>
      </w:pPr>
      <w:r>
        <w:rPr>
          <w:rFonts w:ascii="Calibri"/>
          <w:color w:val="161616"/>
          <w:w w:val="580"/>
          <w:sz w:val="12"/>
          <w:u w:val="single" w:color="1D1D1D"/>
        </w:rPr>
        <w:t>-</w:t>
      </w:r>
      <w:r>
        <w:rPr>
          <w:rFonts w:ascii="Calibri"/>
          <w:color w:val="161616"/>
          <w:spacing w:val="-5"/>
          <w:w w:val="140"/>
          <w:sz w:val="12"/>
          <w:u w:val="single" w:color="1D1D1D"/>
        </w:rPr>
        <w:t>CD</w:t>
      </w:r>
      <w:r>
        <w:rPr>
          <w:rFonts w:ascii="Calibri"/>
          <w:color w:val="161616"/>
          <w:sz w:val="12"/>
          <w:u w:val="single" w:color="1D1D1D"/>
        </w:rPr>
        <w:tab/>
      </w:r>
    </w:p>
    <w:p w14:paraId="793B662F" w14:textId="77777777" w:rsidR="002C6574" w:rsidRDefault="00000000">
      <w:pPr>
        <w:spacing w:before="28" w:line="184" w:lineRule="auto"/>
        <w:ind w:left="602"/>
        <w:rPr>
          <w:rFonts w:ascii="Calibri" w:hAnsi="Calibri"/>
          <w:sz w:val="25"/>
        </w:rPr>
      </w:pPr>
      <w:r>
        <w:rPr>
          <w:rFonts w:ascii="Calibri" w:hAnsi="Calibri"/>
          <w:color w:val="010101"/>
          <w:spacing w:val="-524"/>
          <w:w w:val="401"/>
          <w:sz w:val="25"/>
        </w:rPr>
        <w:t>=</w:t>
      </w:r>
      <w:r>
        <w:rPr>
          <w:rFonts w:ascii="Calibri" w:hAnsi="Calibri"/>
          <w:color w:val="1A1A1A"/>
          <w:spacing w:val="-487"/>
          <w:w w:val="469"/>
          <w:position w:val="9"/>
          <w:sz w:val="20"/>
        </w:rPr>
        <w:t>=</w:t>
      </w:r>
      <w:r>
        <w:rPr>
          <w:rFonts w:ascii="Calibri" w:hAnsi="Calibri"/>
          <w:color w:val="010101"/>
          <w:w w:val="420"/>
          <w:position w:val="-10"/>
          <w:sz w:val="35"/>
        </w:rPr>
        <w:t>-</w:t>
      </w:r>
      <w:r>
        <w:rPr>
          <w:rFonts w:ascii="Calibri" w:hAnsi="Calibri"/>
          <w:color w:val="010101"/>
          <w:spacing w:val="-282"/>
          <w:w w:val="430"/>
          <w:position w:val="-10"/>
          <w:sz w:val="35"/>
        </w:rPr>
        <w:t xml:space="preserve"> </w:t>
      </w:r>
      <w:r>
        <w:rPr>
          <w:rFonts w:ascii="Calibri" w:hAnsi="Calibri"/>
          <w:color w:val="1A1A1A"/>
          <w:spacing w:val="-146"/>
          <w:w w:val="161"/>
          <w:position w:val="8"/>
          <w:sz w:val="20"/>
        </w:rPr>
        <w:t>o</w:t>
      </w:r>
      <w:r>
        <w:rPr>
          <w:rFonts w:ascii="Calibri" w:hAnsi="Calibri"/>
          <w:color w:val="010101"/>
          <w:spacing w:val="-147"/>
          <w:w w:val="113"/>
          <w:position w:val="-10"/>
          <w:sz w:val="35"/>
        </w:rPr>
        <w:t>º</w:t>
      </w:r>
      <w:r>
        <w:rPr>
          <w:rFonts w:ascii="Calibri" w:hAnsi="Calibri"/>
          <w:color w:val="010101"/>
          <w:spacing w:val="-5"/>
          <w:w w:val="115"/>
          <w:sz w:val="25"/>
        </w:rPr>
        <w:t>N</w:t>
      </w:r>
    </w:p>
    <w:p w14:paraId="76CC08CA" w14:textId="77777777" w:rsidR="002C6574" w:rsidRDefault="00000000">
      <w:pPr>
        <w:pStyle w:val="Ttulo3"/>
        <w:spacing w:line="363" w:lineRule="exact"/>
        <w:ind w:left="602"/>
      </w:pPr>
      <w:r>
        <w:rPr>
          <w:noProof/>
        </w:rPr>
        <mc:AlternateContent>
          <mc:Choice Requires="wps">
            <w:drawing>
              <wp:anchor distT="0" distB="0" distL="0" distR="0" simplePos="0" relativeHeight="472574976" behindDoc="1" locked="0" layoutInCell="1" allowOverlap="1" wp14:anchorId="1D04C9E3" wp14:editId="5BC1B872">
                <wp:simplePos x="0" y="0"/>
                <wp:positionH relativeFrom="page">
                  <wp:posOffset>7303062</wp:posOffset>
                </wp:positionH>
                <wp:positionV relativeFrom="paragraph">
                  <wp:posOffset>62276</wp:posOffset>
                </wp:positionV>
                <wp:extent cx="81915" cy="217804"/>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17804"/>
                        </a:xfrm>
                        <a:prstGeom prst="rect">
                          <a:avLst/>
                        </a:prstGeom>
                      </wps:spPr>
                      <wps:txbx>
                        <w:txbxContent>
                          <w:p w14:paraId="7D40B7D7" w14:textId="77777777" w:rsidR="002C6574" w:rsidRDefault="00000000">
                            <w:pPr>
                              <w:spacing w:line="343" w:lineRule="exact"/>
                              <w:rPr>
                                <w:rFonts w:ascii="Calibri"/>
                                <w:sz w:val="31"/>
                              </w:rPr>
                            </w:pPr>
                            <w:r>
                              <w:rPr>
                                <w:rFonts w:ascii="Calibri"/>
                                <w:color w:val="010101"/>
                                <w:spacing w:val="-5"/>
                                <w:w w:val="50"/>
                                <w:sz w:val="31"/>
                              </w:rPr>
                              <w:t>_J</w:t>
                            </w:r>
                          </w:p>
                        </w:txbxContent>
                      </wps:txbx>
                      <wps:bodyPr wrap="square" lIns="0" tIns="0" rIns="0" bIns="0" rtlCol="0">
                        <a:noAutofit/>
                      </wps:bodyPr>
                    </wps:wsp>
                  </a:graphicData>
                </a:graphic>
              </wp:anchor>
            </w:drawing>
          </mc:Choice>
          <mc:Fallback>
            <w:pict>
              <v:shape w14:anchorId="1D04C9E3" id="Textbox 181" o:spid="_x0000_s1048" type="#_x0000_t202" style="position:absolute;left:0;text-align:left;margin-left:575.05pt;margin-top:4.9pt;width:6.45pt;height:17.15pt;z-index:-3074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" filled="f" stroked="f">
                <v:textbox inset="0,0,0,0">
                  <w:txbxContent>
                    <w:p w14:paraId="7D40B7D7" w14:textId="77777777" w:rsidR="002C6574" w:rsidRDefault="00000000">
                      <w:pPr>
                        <w:spacing w:line="343" w:lineRule="exact"/>
                        <w:rPr>
                          <w:rFonts w:ascii="Calibri"/>
                          <w:sz w:val="31"/>
                        </w:rPr>
                      </w:pPr>
                      <w:r>
                        <w:rPr>
                          <w:rFonts w:ascii="Calibri"/>
                          <w:color w:val="010101"/>
                          <w:spacing w:val="-5"/>
                          <w:w w:val="50"/>
                          <w:sz w:val="31"/>
                        </w:rPr>
                        <w:t>_J</w:t>
                      </w:r>
                    </w:p>
                  </w:txbxContent>
                </v:textbox>
                <w10:wrap anchorx="page"/>
              </v:shape>
            </w:pict>
          </mc:Fallback>
        </mc:AlternateContent>
      </w:r>
      <w:r>
        <w:rPr>
          <w:color w:val="010101"/>
          <w:spacing w:val="25"/>
          <w:w w:val="322"/>
        </w:rPr>
        <w:t>=</w:t>
      </w:r>
      <w:r>
        <w:rPr>
          <w:color w:val="010101"/>
          <w:spacing w:val="-14"/>
          <w:w w:val="48"/>
        </w:rPr>
        <w:t>r</w:t>
      </w:r>
      <w:r>
        <w:rPr>
          <w:color w:val="010101"/>
          <w:spacing w:val="-27"/>
          <w:w w:val="48"/>
        </w:rPr>
        <w:t>n</w:t>
      </w:r>
    </w:p>
    <w:p w14:paraId="0C7A26FF" w14:textId="77777777" w:rsidR="002C6574" w:rsidRDefault="00000000">
      <w:pPr>
        <w:spacing w:before="2"/>
        <w:ind w:left="602"/>
        <w:rPr>
          <w:rFonts w:ascii="Calibri"/>
          <w:sz w:val="12"/>
        </w:rPr>
      </w:pPr>
      <w:r>
        <w:rPr>
          <w:rFonts w:ascii="Calibri"/>
          <w:color w:val="010101"/>
          <w:spacing w:val="-4"/>
          <w:w w:val="290"/>
          <w:sz w:val="12"/>
        </w:rPr>
        <w:t>==1-</w:t>
      </w:r>
    </w:p>
    <w:p w14:paraId="4536B09F" w14:textId="77777777" w:rsidR="002C6574" w:rsidRDefault="00000000">
      <w:pPr>
        <w:spacing w:before="61"/>
        <w:ind w:left="602"/>
        <w:rPr>
          <w:rFonts w:ascii="Calibri"/>
          <w:sz w:val="26"/>
        </w:rPr>
      </w:pPr>
      <w:r>
        <w:rPr>
          <w:rFonts w:ascii="Calibri"/>
          <w:spacing w:val="-10"/>
          <w:w w:val="600"/>
          <w:sz w:val="26"/>
        </w:rPr>
        <w:t>-</w:t>
      </w:r>
    </w:p>
    <w:p w14:paraId="5E228F23" w14:textId="77777777" w:rsidR="002C6574" w:rsidRDefault="002C6574">
      <w:pPr>
        <w:pStyle w:val="Corpodetexto"/>
        <w:rPr>
          <w:rFonts w:ascii="Calibri"/>
          <w:sz w:val="26"/>
        </w:rPr>
      </w:pPr>
    </w:p>
    <w:p w14:paraId="6EDA2793" w14:textId="77777777" w:rsidR="002C6574" w:rsidRDefault="002C6574">
      <w:pPr>
        <w:pStyle w:val="Corpodetexto"/>
        <w:rPr>
          <w:rFonts w:ascii="Calibri"/>
          <w:sz w:val="26"/>
        </w:rPr>
      </w:pPr>
    </w:p>
    <w:p w14:paraId="422D27E4" w14:textId="77777777" w:rsidR="002C6574" w:rsidRDefault="002C6574">
      <w:pPr>
        <w:pStyle w:val="Corpodetexto"/>
        <w:spacing w:before="271"/>
        <w:rPr>
          <w:rFonts w:ascii="Calibri"/>
          <w:sz w:val="26"/>
        </w:rPr>
      </w:pPr>
    </w:p>
    <w:p w14:paraId="59602879" w14:textId="77777777" w:rsidR="002C6574" w:rsidRDefault="00000000">
      <w:pPr>
        <w:ind w:left="602"/>
        <w:rPr>
          <w:rFonts w:ascii="Arial"/>
          <w:b/>
          <w:sz w:val="21"/>
        </w:rPr>
      </w:pPr>
      <w:r>
        <w:rPr>
          <w:rFonts w:ascii="Arial"/>
          <w:b/>
          <w:spacing w:val="-5"/>
          <w:w w:val="120"/>
          <w:sz w:val="21"/>
        </w:rPr>
        <w:t>SIG</w:t>
      </w:r>
    </w:p>
    <w:p w14:paraId="58FD9135" w14:textId="77777777" w:rsidR="002C6574" w:rsidRDefault="002C6574">
      <w:pPr>
        <w:rPr>
          <w:rFonts w:ascii="Arial"/>
          <w:b/>
          <w:sz w:val="21"/>
        </w:rPr>
        <w:sectPr w:rsidR="002C6574">
          <w:type w:val="continuous"/>
          <w:pgSz w:w="11910" w:h="16840"/>
          <w:pgMar w:top="0" w:right="141" w:bottom="0" w:left="1133" w:header="0" w:footer="0" w:gutter="0"/>
          <w:cols w:num="2" w:space="720" w:equalWidth="0">
            <w:col w:w="8831" w:space="435"/>
            <w:col w:w="1370"/>
          </w:cols>
        </w:sectPr>
      </w:pPr>
    </w:p>
    <w:p w14:paraId="12B883A3" w14:textId="77777777" w:rsidR="002C6574" w:rsidRDefault="002C6574">
      <w:pPr>
        <w:pStyle w:val="Corpodetexto"/>
        <w:spacing w:before="34"/>
        <w:rPr>
          <w:rFonts w:ascii="Arial"/>
          <w:b/>
          <w:sz w:val="24"/>
        </w:rPr>
      </w:pPr>
    </w:p>
    <w:p w14:paraId="4B9EAE79" w14:textId="77777777" w:rsidR="002C6574" w:rsidRDefault="00000000">
      <w:pPr>
        <w:pStyle w:val="Ttulo7"/>
        <w:ind w:left="341"/>
      </w:pPr>
      <w:r>
        <w:rPr>
          <w:color w:val="001F5F"/>
        </w:rPr>
        <w:t>RELATÓRIO</w:t>
      </w:r>
      <w:r>
        <w:rPr>
          <w:color w:val="001F5F"/>
          <w:spacing w:val="-7"/>
        </w:rPr>
        <w:t xml:space="preserve"> </w:t>
      </w:r>
      <w:r>
        <w:rPr>
          <w:color w:val="001F5F"/>
        </w:rPr>
        <w:t>ANUAL</w:t>
      </w:r>
      <w:r>
        <w:rPr>
          <w:color w:val="001F5F"/>
          <w:spacing w:val="-3"/>
        </w:rPr>
        <w:t xml:space="preserve"> </w:t>
      </w:r>
      <w:r>
        <w:rPr>
          <w:color w:val="001F5F"/>
        </w:rPr>
        <w:t>RESUMIDO</w:t>
      </w:r>
      <w:r>
        <w:rPr>
          <w:color w:val="001F5F"/>
          <w:spacing w:val="-2"/>
        </w:rPr>
        <w:t xml:space="preserve"> </w:t>
      </w:r>
      <w:r>
        <w:rPr>
          <w:color w:val="001F5F"/>
        </w:rPr>
        <w:t>DO</w:t>
      </w:r>
      <w:r>
        <w:rPr>
          <w:color w:val="001F5F"/>
          <w:spacing w:val="-2"/>
        </w:rPr>
        <w:t xml:space="preserve"> </w:t>
      </w:r>
      <w:r>
        <w:rPr>
          <w:color w:val="001F5F"/>
        </w:rPr>
        <w:t>COMITÊ</w:t>
      </w:r>
      <w:r>
        <w:rPr>
          <w:color w:val="001F5F"/>
          <w:spacing w:val="-5"/>
        </w:rPr>
        <w:t xml:space="preserve"> </w:t>
      </w:r>
      <w:r>
        <w:rPr>
          <w:color w:val="001F5F"/>
        </w:rPr>
        <w:t>DE</w:t>
      </w:r>
      <w:r>
        <w:rPr>
          <w:color w:val="001F5F"/>
          <w:spacing w:val="-4"/>
        </w:rPr>
        <w:t xml:space="preserve"> </w:t>
      </w:r>
      <w:r>
        <w:rPr>
          <w:color w:val="001F5F"/>
        </w:rPr>
        <w:t>AUDITORIA</w:t>
      </w:r>
      <w:r>
        <w:rPr>
          <w:color w:val="001F5F"/>
          <w:spacing w:val="-3"/>
        </w:rPr>
        <w:t xml:space="preserve"> </w:t>
      </w:r>
      <w:r>
        <w:rPr>
          <w:color w:val="001F5F"/>
        </w:rPr>
        <w:t>ESTATUTÁRIO</w:t>
      </w:r>
      <w:r>
        <w:rPr>
          <w:color w:val="001F5F"/>
          <w:spacing w:val="6"/>
        </w:rPr>
        <w:t xml:space="preserve"> </w:t>
      </w:r>
      <w:r>
        <w:rPr>
          <w:color w:val="001F5F"/>
        </w:rPr>
        <w:t>–</w:t>
      </w:r>
      <w:r>
        <w:rPr>
          <w:color w:val="001F5F"/>
          <w:spacing w:val="-2"/>
        </w:rPr>
        <w:t xml:space="preserve"> COAUD/2025</w:t>
      </w:r>
    </w:p>
    <w:p w14:paraId="219842E2" w14:textId="77777777" w:rsidR="002C6574" w:rsidRDefault="002C6574">
      <w:pPr>
        <w:pStyle w:val="Corpodetexto"/>
        <w:spacing w:before="16"/>
        <w:rPr>
          <w:rFonts w:ascii="Calibri"/>
          <w:b/>
          <w:sz w:val="24"/>
        </w:rPr>
      </w:pPr>
    </w:p>
    <w:p w14:paraId="694A934B" w14:textId="77777777" w:rsidR="002C6574" w:rsidRDefault="00000000">
      <w:pPr>
        <w:ind w:left="569"/>
        <w:jc w:val="both"/>
        <w:rPr>
          <w:rFonts w:ascii="Calibri" w:hAnsi="Calibri"/>
          <w:sz w:val="24"/>
        </w:rPr>
      </w:pPr>
      <w:r>
        <w:rPr>
          <w:rFonts w:ascii="Calibri" w:hAnsi="Calibri"/>
          <w:color w:val="001F5F"/>
          <w:sz w:val="24"/>
        </w:rPr>
        <w:t>Objeto:</w:t>
      </w:r>
      <w:r>
        <w:rPr>
          <w:rFonts w:ascii="Calibri" w:hAnsi="Calibri"/>
          <w:color w:val="001F5F"/>
          <w:spacing w:val="-3"/>
          <w:sz w:val="24"/>
        </w:rPr>
        <w:t xml:space="preserve"> </w:t>
      </w:r>
      <w:r>
        <w:rPr>
          <w:rFonts w:ascii="Calibri" w:hAnsi="Calibri"/>
          <w:color w:val="001F5F"/>
          <w:sz w:val="24"/>
        </w:rPr>
        <w:t>RELATÓRIO</w:t>
      </w:r>
      <w:r>
        <w:rPr>
          <w:rFonts w:ascii="Calibri" w:hAnsi="Calibri"/>
          <w:color w:val="001F5F"/>
          <w:spacing w:val="-3"/>
          <w:sz w:val="24"/>
        </w:rPr>
        <w:t xml:space="preserve"> </w:t>
      </w:r>
      <w:r>
        <w:rPr>
          <w:rFonts w:ascii="Calibri" w:hAnsi="Calibri"/>
          <w:color w:val="001F5F"/>
          <w:sz w:val="24"/>
        </w:rPr>
        <w:t>ANUAL</w:t>
      </w:r>
      <w:r>
        <w:rPr>
          <w:rFonts w:ascii="Calibri" w:hAnsi="Calibri"/>
          <w:color w:val="001F5F"/>
          <w:spacing w:val="-2"/>
          <w:sz w:val="24"/>
        </w:rPr>
        <w:t xml:space="preserve"> </w:t>
      </w:r>
      <w:r>
        <w:rPr>
          <w:rFonts w:ascii="Calibri" w:hAnsi="Calibri"/>
          <w:color w:val="001F5F"/>
          <w:sz w:val="24"/>
        </w:rPr>
        <w:t>RESUMIDO</w:t>
      </w:r>
      <w:r>
        <w:rPr>
          <w:rFonts w:ascii="Calibri" w:hAnsi="Calibri"/>
          <w:color w:val="001F5F"/>
          <w:spacing w:val="-5"/>
          <w:sz w:val="24"/>
        </w:rPr>
        <w:t xml:space="preserve"> </w:t>
      </w:r>
      <w:r>
        <w:rPr>
          <w:rFonts w:ascii="Calibri" w:hAnsi="Calibri"/>
          <w:color w:val="001F5F"/>
          <w:sz w:val="24"/>
        </w:rPr>
        <w:t>DO</w:t>
      </w:r>
      <w:r>
        <w:rPr>
          <w:rFonts w:ascii="Calibri" w:hAnsi="Calibri"/>
          <w:color w:val="001F5F"/>
          <w:spacing w:val="-4"/>
          <w:sz w:val="24"/>
        </w:rPr>
        <w:t xml:space="preserve"> </w:t>
      </w:r>
      <w:r>
        <w:rPr>
          <w:rFonts w:ascii="Calibri" w:hAnsi="Calibri"/>
          <w:color w:val="001F5F"/>
          <w:sz w:val="24"/>
        </w:rPr>
        <w:t>COMITÊ</w:t>
      </w:r>
      <w:r>
        <w:rPr>
          <w:rFonts w:ascii="Calibri" w:hAnsi="Calibri"/>
          <w:color w:val="001F5F"/>
          <w:spacing w:val="-1"/>
          <w:sz w:val="24"/>
        </w:rPr>
        <w:t xml:space="preserve"> </w:t>
      </w:r>
      <w:r>
        <w:rPr>
          <w:rFonts w:ascii="Calibri" w:hAnsi="Calibri"/>
          <w:color w:val="001F5F"/>
          <w:sz w:val="24"/>
        </w:rPr>
        <w:t>DE</w:t>
      </w:r>
      <w:r>
        <w:rPr>
          <w:rFonts w:ascii="Calibri" w:hAnsi="Calibri"/>
          <w:color w:val="001F5F"/>
          <w:spacing w:val="-5"/>
          <w:sz w:val="24"/>
        </w:rPr>
        <w:t xml:space="preserve"> </w:t>
      </w:r>
      <w:r>
        <w:rPr>
          <w:rFonts w:ascii="Calibri" w:hAnsi="Calibri"/>
          <w:color w:val="001F5F"/>
          <w:sz w:val="24"/>
        </w:rPr>
        <w:t>AUDITORIA</w:t>
      </w:r>
      <w:r>
        <w:rPr>
          <w:rFonts w:ascii="Calibri" w:hAnsi="Calibri"/>
          <w:color w:val="001F5F"/>
          <w:spacing w:val="-2"/>
          <w:sz w:val="24"/>
        </w:rPr>
        <w:t xml:space="preserve"> ESTATUTÁRIO</w:t>
      </w:r>
    </w:p>
    <w:p w14:paraId="6D01911D" w14:textId="77777777" w:rsidR="002C6574" w:rsidRDefault="00000000">
      <w:pPr>
        <w:pStyle w:val="Ttulo7"/>
        <w:numPr>
          <w:ilvl w:val="2"/>
          <w:numId w:val="14"/>
        </w:numPr>
        <w:tabs>
          <w:tab w:val="left" w:pos="1332"/>
        </w:tabs>
        <w:spacing w:before="245"/>
        <w:ind w:hanging="763"/>
      </w:pPr>
      <w:r>
        <w:rPr>
          <w:color w:val="001F5F"/>
          <w:spacing w:val="-2"/>
        </w:rPr>
        <w:t>INTRODUÇÃO</w:t>
      </w:r>
    </w:p>
    <w:p w14:paraId="702902D0" w14:textId="77777777" w:rsidR="002C6574" w:rsidRDefault="00000000">
      <w:pPr>
        <w:spacing w:before="288" w:line="276" w:lineRule="auto"/>
        <w:ind w:left="569" w:right="1565"/>
        <w:jc w:val="both"/>
        <w:rPr>
          <w:rFonts w:ascii="Calibri" w:hAnsi="Calibri"/>
          <w:sz w:val="24"/>
        </w:rPr>
      </w:pPr>
      <w:r>
        <w:rPr>
          <w:rFonts w:ascii="Calibri" w:hAnsi="Calibri"/>
          <w:color w:val="001F5F"/>
          <w:sz w:val="24"/>
        </w:rPr>
        <w:t>O Comitê de Auditoria, órgão estatutário da Telebras, foi instituído pela 435ª Reunião Ordinária</w:t>
      </w:r>
      <w:r>
        <w:rPr>
          <w:rFonts w:ascii="Calibri" w:hAnsi="Calibri"/>
          <w:color w:val="001F5F"/>
          <w:spacing w:val="-1"/>
          <w:sz w:val="24"/>
        </w:rPr>
        <w:t xml:space="preserve"> </w:t>
      </w:r>
      <w:r>
        <w:rPr>
          <w:rFonts w:ascii="Calibri" w:hAnsi="Calibri"/>
          <w:color w:val="001F5F"/>
          <w:sz w:val="24"/>
        </w:rPr>
        <w:t>do Conselho</w:t>
      </w:r>
      <w:r>
        <w:rPr>
          <w:rFonts w:ascii="Calibri" w:hAnsi="Calibri"/>
          <w:color w:val="001F5F"/>
          <w:spacing w:val="-3"/>
          <w:sz w:val="24"/>
        </w:rPr>
        <w:t xml:space="preserve"> </w:t>
      </w:r>
      <w:r>
        <w:rPr>
          <w:rFonts w:ascii="Calibri" w:hAnsi="Calibri"/>
          <w:color w:val="001F5F"/>
          <w:sz w:val="24"/>
        </w:rPr>
        <w:t>de Administração,</w:t>
      </w:r>
      <w:r>
        <w:rPr>
          <w:rFonts w:ascii="Calibri" w:hAnsi="Calibri"/>
          <w:color w:val="001F5F"/>
          <w:spacing w:val="-1"/>
          <w:sz w:val="24"/>
        </w:rPr>
        <w:t xml:space="preserve"> </w:t>
      </w:r>
      <w:r>
        <w:rPr>
          <w:rFonts w:ascii="Calibri" w:hAnsi="Calibri"/>
          <w:color w:val="001F5F"/>
          <w:sz w:val="24"/>
        </w:rPr>
        <w:t>realizada em 28/06/2018,</w:t>
      </w:r>
      <w:r>
        <w:rPr>
          <w:rFonts w:ascii="Calibri" w:hAnsi="Calibri"/>
          <w:color w:val="001F5F"/>
          <w:spacing w:val="-1"/>
          <w:sz w:val="24"/>
        </w:rPr>
        <w:t xml:space="preserve"> </w:t>
      </w:r>
      <w:r>
        <w:rPr>
          <w:rFonts w:ascii="Calibri" w:hAnsi="Calibri"/>
          <w:color w:val="001F5F"/>
          <w:sz w:val="24"/>
        </w:rPr>
        <w:t>em</w:t>
      </w:r>
      <w:r>
        <w:rPr>
          <w:rFonts w:ascii="Calibri" w:hAnsi="Calibri"/>
          <w:color w:val="001F5F"/>
          <w:spacing w:val="-1"/>
          <w:sz w:val="24"/>
        </w:rPr>
        <w:t xml:space="preserve"> </w:t>
      </w:r>
      <w:r>
        <w:rPr>
          <w:rFonts w:ascii="Calibri" w:hAnsi="Calibri"/>
          <w:color w:val="001F5F"/>
          <w:sz w:val="24"/>
        </w:rPr>
        <w:t>observância</w:t>
      </w:r>
      <w:r>
        <w:rPr>
          <w:rFonts w:ascii="Calibri" w:hAnsi="Calibri"/>
          <w:color w:val="001F5F"/>
          <w:spacing w:val="-1"/>
          <w:sz w:val="24"/>
        </w:rPr>
        <w:t xml:space="preserve"> </w:t>
      </w:r>
      <w:r>
        <w:rPr>
          <w:rFonts w:ascii="Calibri" w:hAnsi="Calibri"/>
          <w:color w:val="001F5F"/>
          <w:sz w:val="24"/>
        </w:rPr>
        <w:t>ao artigo 74 do Estatuto Social da Companhia e artigo 24 da Lei 13.303/2016.</w:t>
      </w:r>
    </w:p>
    <w:p w14:paraId="705DDA60" w14:textId="77777777" w:rsidR="002C6574" w:rsidRDefault="002C6574">
      <w:pPr>
        <w:pStyle w:val="Corpodetexto"/>
        <w:spacing w:before="42"/>
        <w:rPr>
          <w:rFonts w:ascii="Calibri"/>
          <w:sz w:val="24"/>
        </w:rPr>
      </w:pPr>
    </w:p>
    <w:p w14:paraId="5B8F759B" w14:textId="77777777" w:rsidR="002C6574" w:rsidRDefault="00000000">
      <w:pPr>
        <w:pStyle w:val="Ttulo7"/>
        <w:numPr>
          <w:ilvl w:val="2"/>
          <w:numId w:val="14"/>
        </w:numPr>
        <w:tabs>
          <w:tab w:val="left" w:pos="1276"/>
        </w:tabs>
        <w:ind w:left="1276" w:hanging="707"/>
      </w:pPr>
      <w:r>
        <w:rPr>
          <w:color w:val="001F5F"/>
        </w:rPr>
        <w:t>FINALIDADE</w:t>
      </w:r>
      <w:r>
        <w:rPr>
          <w:color w:val="001F5F"/>
          <w:spacing w:val="-2"/>
        </w:rPr>
        <w:t xml:space="preserve"> </w:t>
      </w:r>
      <w:r>
        <w:rPr>
          <w:color w:val="001F5F"/>
        </w:rPr>
        <w:t>DO</w:t>
      </w:r>
      <w:r>
        <w:rPr>
          <w:color w:val="001F5F"/>
          <w:spacing w:val="-3"/>
        </w:rPr>
        <w:t xml:space="preserve"> </w:t>
      </w:r>
      <w:r>
        <w:rPr>
          <w:color w:val="001F5F"/>
        </w:rPr>
        <w:t>COMITÊ</w:t>
      </w:r>
      <w:r>
        <w:rPr>
          <w:color w:val="001F5F"/>
          <w:spacing w:val="-4"/>
        </w:rPr>
        <w:t xml:space="preserve"> </w:t>
      </w:r>
      <w:r>
        <w:rPr>
          <w:color w:val="001F5F"/>
        </w:rPr>
        <w:t>DE</w:t>
      </w:r>
      <w:r>
        <w:rPr>
          <w:color w:val="001F5F"/>
          <w:spacing w:val="-1"/>
        </w:rPr>
        <w:t xml:space="preserve"> </w:t>
      </w:r>
      <w:r>
        <w:rPr>
          <w:color w:val="001F5F"/>
          <w:spacing w:val="-2"/>
        </w:rPr>
        <w:t>AUDITORIA</w:t>
      </w:r>
    </w:p>
    <w:p w14:paraId="299FA855" w14:textId="77777777" w:rsidR="002C6574" w:rsidRDefault="002C6574">
      <w:pPr>
        <w:pStyle w:val="Corpodetexto"/>
        <w:spacing w:before="89"/>
        <w:rPr>
          <w:rFonts w:ascii="Calibri"/>
          <w:b/>
          <w:sz w:val="24"/>
        </w:rPr>
      </w:pPr>
    </w:p>
    <w:p w14:paraId="6D09835E" w14:textId="77777777" w:rsidR="002C6574" w:rsidRDefault="00000000">
      <w:pPr>
        <w:ind w:left="569" w:right="1559" w:firstLine="851"/>
        <w:jc w:val="both"/>
        <w:rPr>
          <w:rFonts w:ascii="Calibri" w:hAnsi="Calibri"/>
          <w:sz w:val="24"/>
        </w:rPr>
      </w:pPr>
      <w:r>
        <w:rPr>
          <w:rFonts w:ascii="Calibri" w:hAnsi="Calibri"/>
          <w:color w:val="001F5F"/>
          <w:sz w:val="24"/>
        </w:rPr>
        <w:t>O Comitê de Auditoria, de funcionamento permanente, é o órgão de assessoramento ao Conselho de Administração, auxiliando este, entre outros, no monitoramento</w:t>
      </w:r>
      <w:r>
        <w:rPr>
          <w:rFonts w:ascii="Calibri" w:hAnsi="Calibri"/>
          <w:color w:val="001F5F"/>
          <w:spacing w:val="-7"/>
          <w:sz w:val="24"/>
        </w:rPr>
        <w:t xml:space="preserve"> </w:t>
      </w:r>
      <w:r>
        <w:rPr>
          <w:rFonts w:ascii="Calibri" w:hAnsi="Calibri"/>
          <w:color w:val="001F5F"/>
          <w:sz w:val="24"/>
        </w:rPr>
        <w:t>da</w:t>
      </w:r>
      <w:r>
        <w:rPr>
          <w:rFonts w:ascii="Calibri" w:hAnsi="Calibri"/>
          <w:color w:val="001F5F"/>
          <w:spacing w:val="-5"/>
          <w:sz w:val="24"/>
        </w:rPr>
        <w:t xml:space="preserve"> </w:t>
      </w:r>
      <w:r>
        <w:rPr>
          <w:rFonts w:ascii="Calibri" w:hAnsi="Calibri"/>
          <w:color w:val="001F5F"/>
          <w:sz w:val="24"/>
        </w:rPr>
        <w:t>qualidade</w:t>
      </w:r>
      <w:r>
        <w:rPr>
          <w:rFonts w:ascii="Calibri" w:hAnsi="Calibri"/>
          <w:color w:val="001F5F"/>
          <w:spacing w:val="-7"/>
          <w:sz w:val="24"/>
        </w:rPr>
        <w:t xml:space="preserve"> </w:t>
      </w:r>
      <w:r>
        <w:rPr>
          <w:rFonts w:ascii="Calibri" w:hAnsi="Calibri"/>
          <w:color w:val="001F5F"/>
          <w:sz w:val="24"/>
        </w:rPr>
        <w:t>das</w:t>
      </w:r>
      <w:r>
        <w:rPr>
          <w:rFonts w:ascii="Calibri" w:hAnsi="Calibri"/>
          <w:color w:val="001F5F"/>
          <w:spacing w:val="-5"/>
          <w:sz w:val="24"/>
        </w:rPr>
        <w:t xml:space="preserve"> </w:t>
      </w:r>
      <w:r>
        <w:rPr>
          <w:rFonts w:ascii="Calibri" w:hAnsi="Calibri"/>
          <w:color w:val="001F5F"/>
          <w:sz w:val="24"/>
        </w:rPr>
        <w:t>demonstrações</w:t>
      </w:r>
      <w:r>
        <w:rPr>
          <w:rFonts w:ascii="Calibri" w:hAnsi="Calibri"/>
          <w:color w:val="001F5F"/>
          <w:spacing w:val="-8"/>
          <w:sz w:val="24"/>
        </w:rPr>
        <w:t xml:space="preserve"> </w:t>
      </w:r>
      <w:r>
        <w:rPr>
          <w:rFonts w:ascii="Calibri" w:hAnsi="Calibri"/>
          <w:color w:val="001F5F"/>
          <w:sz w:val="24"/>
        </w:rPr>
        <w:t>financeiras,</w:t>
      </w:r>
      <w:r>
        <w:rPr>
          <w:rFonts w:ascii="Calibri" w:hAnsi="Calibri"/>
          <w:color w:val="001F5F"/>
          <w:spacing w:val="-5"/>
          <w:sz w:val="24"/>
        </w:rPr>
        <w:t xml:space="preserve"> </w:t>
      </w:r>
      <w:r>
        <w:rPr>
          <w:rFonts w:ascii="Calibri" w:hAnsi="Calibri"/>
          <w:color w:val="001F5F"/>
          <w:sz w:val="24"/>
        </w:rPr>
        <w:t>dos</w:t>
      </w:r>
      <w:r>
        <w:rPr>
          <w:rFonts w:ascii="Calibri" w:hAnsi="Calibri"/>
          <w:color w:val="001F5F"/>
          <w:spacing w:val="-5"/>
          <w:sz w:val="24"/>
        </w:rPr>
        <w:t xml:space="preserve"> </w:t>
      </w:r>
      <w:r>
        <w:rPr>
          <w:rFonts w:ascii="Calibri" w:hAnsi="Calibri"/>
          <w:color w:val="001F5F"/>
          <w:sz w:val="24"/>
        </w:rPr>
        <w:t>controles</w:t>
      </w:r>
      <w:r>
        <w:rPr>
          <w:rFonts w:ascii="Calibri" w:hAnsi="Calibri"/>
          <w:color w:val="001F5F"/>
          <w:spacing w:val="-5"/>
          <w:sz w:val="24"/>
        </w:rPr>
        <w:t xml:space="preserve"> </w:t>
      </w:r>
      <w:r>
        <w:rPr>
          <w:rFonts w:ascii="Calibri" w:hAnsi="Calibri"/>
          <w:color w:val="001F5F"/>
          <w:sz w:val="24"/>
        </w:rPr>
        <w:t>internos</w:t>
      </w:r>
      <w:r>
        <w:rPr>
          <w:rFonts w:ascii="Calibri" w:hAnsi="Calibri"/>
          <w:color w:val="001F5F"/>
          <w:spacing w:val="-5"/>
          <w:sz w:val="24"/>
        </w:rPr>
        <w:t xml:space="preserve"> </w:t>
      </w:r>
      <w:r>
        <w:rPr>
          <w:rFonts w:ascii="Calibri" w:hAnsi="Calibri"/>
          <w:color w:val="001F5F"/>
          <w:sz w:val="24"/>
        </w:rPr>
        <w:t>da conformidade, do gerenciamento de riscos e das auditorias interna e independente e, dentre outras atribuições previstas em seu Regimento Interno.</w:t>
      </w:r>
    </w:p>
    <w:p w14:paraId="210199B9" w14:textId="77777777" w:rsidR="002C6574" w:rsidRDefault="002C6574">
      <w:pPr>
        <w:pStyle w:val="Corpodetexto"/>
        <w:spacing w:before="45"/>
        <w:rPr>
          <w:rFonts w:ascii="Calibri"/>
          <w:sz w:val="24"/>
        </w:rPr>
      </w:pPr>
    </w:p>
    <w:p w14:paraId="55730953" w14:textId="77777777" w:rsidR="002C6574" w:rsidRDefault="00000000">
      <w:pPr>
        <w:pStyle w:val="Ttulo7"/>
        <w:numPr>
          <w:ilvl w:val="2"/>
          <w:numId w:val="14"/>
        </w:numPr>
        <w:tabs>
          <w:tab w:val="left" w:pos="1276"/>
        </w:tabs>
        <w:ind w:left="1276" w:hanging="707"/>
      </w:pPr>
      <w:r>
        <w:rPr>
          <w:color w:val="001F5F"/>
        </w:rPr>
        <w:t>COMPOSIÇÃO</w:t>
      </w:r>
      <w:r>
        <w:rPr>
          <w:color w:val="001F5F"/>
          <w:spacing w:val="-3"/>
        </w:rPr>
        <w:t xml:space="preserve"> </w:t>
      </w:r>
      <w:r>
        <w:rPr>
          <w:color w:val="001F5F"/>
        </w:rPr>
        <w:t>DO</w:t>
      </w:r>
      <w:r>
        <w:rPr>
          <w:color w:val="001F5F"/>
          <w:spacing w:val="-3"/>
        </w:rPr>
        <w:t xml:space="preserve"> </w:t>
      </w:r>
      <w:r>
        <w:rPr>
          <w:color w:val="001F5F"/>
        </w:rPr>
        <w:t>COMITÊ</w:t>
      </w:r>
      <w:r>
        <w:rPr>
          <w:color w:val="001F5F"/>
          <w:spacing w:val="-3"/>
        </w:rPr>
        <w:t xml:space="preserve"> </w:t>
      </w:r>
      <w:r>
        <w:rPr>
          <w:color w:val="001F5F"/>
        </w:rPr>
        <w:t>DE</w:t>
      </w:r>
      <w:r>
        <w:rPr>
          <w:color w:val="001F5F"/>
          <w:spacing w:val="-5"/>
        </w:rPr>
        <w:t xml:space="preserve"> </w:t>
      </w:r>
      <w:r>
        <w:rPr>
          <w:color w:val="001F5F"/>
          <w:spacing w:val="-2"/>
        </w:rPr>
        <w:t>AUDITORIA</w:t>
      </w:r>
    </w:p>
    <w:p w14:paraId="39399B0E" w14:textId="77777777" w:rsidR="002C6574" w:rsidRDefault="00000000">
      <w:pPr>
        <w:spacing w:line="276" w:lineRule="auto"/>
        <w:ind w:left="569" w:right="1552"/>
        <w:jc w:val="both"/>
        <w:rPr>
          <w:rFonts w:ascii="Calibri" w:hAnsi="Calibri"/>
          <w:sz w:val="24"/>
        </w:rPr>
      </w:pPr>
      <w:r>
        <w:rPr>
          <w:rFonts w:ascii="Calibri" w:hAnsi="Calibri"/>
          <w:color w:val="001F5F"/>
          <w:sz w:val="24"/>
        </w:rPr>
        <w:t>O</w:t>
      </w:r>
      <w:r>
        <w:rPr>
          <w:rFonts w:ascii="Calibri" w:hAnsi="Calibri"/>
          <w:color w:val="001F5F"/>
          <w:spacing w:val="-9"/>
          <w:sz w:val="24"/>
        </w:rPr>
        <w:t xml:space="preserve"> </w:t>
      </w:r>
      <w:r>
        <w:rPr>
          <w:rFonts w:ascii="Calibri" w:hAnsi="Calibri"/>
          <w:color w:val="001F5F"/>
          <w:sz w:val="24"/>
        </w:rPr>
        <w:t>Comitê</w:t>
      </w:r>
      <w:r>
        <w:rPr>
          <w:rFonts w:ascii="Calibri" w:hAnsi="Calibri"/>
          <w:color w:val="001F5F"/>
          <w:spacing w:val="-11"/>
          <w:sz w:val="24"/>
        </w:rPr>
        <w:t xml:space="preserve"> </w:t>
      </w:r>
      <w:r>
        <w:rPr>
          <w:rFonts w:ascii="Calibri" w:hAnsi="Calibri"/>
          <w:color w:val="001F5F"/>
          <w:sz w:val="24"/>
        </w:rPr>
        <w:t>de</w:t>
      </w:r>
      <w:r>
        <w:rPr>
          <w:rFonts w:ascii="Calibri" w:hAnsi="Calibri"/>
          <w:color w:val="001F5F"/>
          <w:spacing w:val="-8"/>
          <w:sz w:val="24"/>
        </w:rPr>
        <w:t xml:space="preserve"> </w:t>
      </w:r>
      <w:r>
        <w:rPr>
          <w:rFonts w:ascii="Calibri" w:hAnsi="Calibri"/>
          <w:color w:val="001F5F"/>
          <w:sz w:val="24"/>
        </w:rPr>
        <w:t>Auditoria</w:t>
      </w:r>
      <w:r>
        <w:rPr>
          <w:rFonts w:ascii="Calibri" w:hAnsi="Calibri"/>
          <w:color w:val="001F5F"/>
          <w:spacing w:val="-11"/>
          <w:sz w:val="24"/>
        </w:rPr>
        <w:t xml:space="preserve"> </w:t>
      </w:r>
      <w:r>
        <w:rPr>
          <w:rFonts w:ascii="Calibri" w:hAnsi="Calibri"/>
          <w:color w:val="001F5F"/>
          <w:sz w:val="24"/>
        </w:rPr>
        <w:t>Estatutário</w:t>
      </w:r>
      <w:r>
        <w:rPr>
          <w:rFonts w:ascii="Calibri" w:hAnsi="Calibri"/>
          <w:color w:val="001F5F"/>
          <w:spacing w:val="-8"/>
          <w:sz w:val="24"/>
        </w:rPr>
        <w:t xml:space="preserve"> </w:t>
      </w:r>
      <w:r>
        <w:rPr>
          <w:rFonts w:ascii="Calibri" w:hAnsi="Calibri"/>
          <w:color w:val="001F5F"/>
          <w:sz w:val="24"/>
        </w:rPr>
        <w:t>(COAUD),</w:t>
      </w:r>
      <w:r>
        <w:rPr>
          <w:rFonts w:ascii="Calibri" w:hAnsi="Calibri"/>
          <w:color w:val="001F5F"/>
          <w:spacing w:val="-7"/>
          <w:sz w:val="24"/>
        </w:rPr>
        <w:t xml:space="preserve"> </w:t>
      </w:r>
      <w:r>
        <w:rPr>
          <w:rFonts w:ascii="Calibri" w:hAnsi="Calibri"/>
          <w:color w:val="001F5F"/>
          <w:sz w:val="24"/>
        </w:rPr>
        <w:t>em</w:t>
      </w:r>
      <w:r>
        <w:rPr>
          <w:rFonts w:ascii="Calibri" w:hAnsi="Calibri"/>
          <w:color w:val="001F5F"/>
          <w:spacing w:val="-8"/>
          <w:sz w:val="24"/>
        </w:rPr>
        <w:t xml:space="preserve"> </w:t>
      </w:r>
      <w:r>
        <w:rPr>
          <w:rFonts w:ascii="Calibri" w:hAnsi="Calibri"/>
          <w:color w:val="001F5F"/>
          <w:sz w:val="24"/>
        </w:rPr>
        <w:t>31</w:t>
      </w:r>
      <w:r>
        <w:rPr>
          <w:rFonts w:ascii="Calibri" w:hAnsi="Calibri"/>
          <w:color w:val="001F5F"/>
          <w:spacing w:val="-8"/>
          <w:sz w:val="24"/>
        </w:rPr>
        <w:t xml:space="preserve"> </w:t>
      </w:r>
      <w:r>
        <w:rPr>
          <w:rFonts w:ascii="Calibri" w:hAnsi="Calibri"/>
          <w:color w:val="001F5F"/>
          <w:sz w:val="24"/>
        </w:rPr>
        <w:t>de</w:t>
      </w:r>
      <w:r>
        <w:rPr>
          <w:rFonts w:ascii="Calibri" w:hAnsi="Calibri"/>
          <w:color w:val="001F5F"/>
          <w:spacing w:val="-11"/>
          <w:sz w:val="24"/>
        </w:rPr>
        <w:t xml:space="preserve"> </w:t>
      </w:r>
      <w:r>
        <w:rPr>
          <w:rFonts w:ascii="Calibri" w:hAnsi="Calibri"/>
          <w:color w:val="001F5F"/>
          <w:sz w:val="24"/>
        </w:rPr>
        <w:t>dezembro</w:t>
      </w:r>
      <w:r>
        <w:rPr>
          <w:rFonts w:ascii="Calibri" w:hAnsi="Calibri"/>
          <w:color w:val="001F5F"/>
          <w:spacing w:val="-11"/>
          <w:sz w:val="24"/>
        </w:rPr>
        <w:t xml:space="preserve"> </w:t>
      </w:r>
      <w:r>
        <w:rPr>
          <w:rFonts w:ascii="Calibri" w:hAnsi="Calibri"/>
          <w:color w:val="001F5F"/>
          <w:sz w:val="24"/>
        </w:rPr>
        <w:t>de</w:t>
      </w:r>
      <w:r>
        <w:rPr>
          <w:rFonts w:ascii="Calibri" w:hAnsi="Calibri"/>
          <w:color w:val="001F5F"/>
          <w:spacing w:val="-11"/>
          <w:sz w:val="24"/>
        </w:rPr>
        <w:t xml:space="preserve"> </w:t>
      </w:r>
      <w:r>
        <w:rPr>
          <w:rFonts w:ascii="Calibri" w:hAnsi="Calibri"/>
          <w:color w:val="001F5F"/>
          <w:sz w:val="24"/>
        </w:rPr>
        <w:t>2025,</w:t>
      </w:r>
      <w:r>
        <w:rPr>
          <w:rFonts w:ascii="Calibri" w:hAnsi="Calibri"/>
          <w:color w:val="001F5F"/>
          <w:spacing w:val="-11"/>
          <w:sz w:val="24"/>
        </w:rPr>
        <w:t xml:space="preserve"> </w:t>
      </w:r>
      <w:r>
        <w:rPr>
          <w:rFonts w:ascii="Calibri" w:hAnsi="Calibri"/>
          <w:color w:val="001F5F"/>
          <w:sz w:val="24"/>
        </w:rPr>
        <w:t>era</w:t>
      </w:r>
      <w:r>
        <w:rPr>
          <w:rFonts w:ascii="Calibri" w:hAnsi="Calibri"/>
          <w:color w:val="001F5F"/>
          <w:spacing w:val="-8"/>
          <w:sz w:val="24"/>
        </w:rPr>
        <w:t xml:space="preserve"> </w:t>
      </w:r>
      <w:r>
        <w:rPr>
          <w:rFonts w:ascii="Calibri" w:hAnsi="Calibri"/>
          <w:color w:val="001F5F"/>
          <w:sz w:val="24"/>
        </w:rPr>
        <w:t>composto pelos seguintes membros: Jerônimo José Cabral Guedes (Presidente do Comitê e Conselheiro de Administração Independente), Paula Vicente da Silva (Especialista em Contabilidade Societária) e Cleber Santiago.</w:t>
      </w:r>
    </w:p>
    <w:p w14:paraId="71FE431F" w14:textId="77777777" w:rsidR="002C6574" w:rsidRDefault="00000000">
      <w:pPr>
        <w:pStyle w:val="Ttulo7"/>
        <w:numPr>
          <w:ilvl w:val="2"/>
          <w:numId w:val="14"/>
        </w:numPr>
        <w:tabs>
          <w:tab w:val="left" w:pos="1276"/>
        </w:tabs>
        <w:spacing w:before="280"/>
        <w:ind w:left="1276" w:hanging="707"/>
      </w:pPr>
      <w:r>
        <w:rPr>
          <w:color w:val="001F5F"/>
        </w:rPr>
        <w:t>ATIVIDADES</w:t>
      </w:r>
      <w:r>
        <w:rPr>
          <w:color w:val="001F5F"/>
          <w:spacing w:val="-4"/>
        </w:rPr>
        <w:t xml:space="preserve"> </w:t>
      </w:r>
      <w:r>
        <w:rPr>
          <w:color w:val="001F5F"/>
        </w:rPr>
        <w:t>EXERCIDAS</w:t>
      </w:r>
      <w:r>
        <w:rPr>
          <w:color w:val="001F5F"/>
          <w:spacing w:val="-6"/>
        </w:rPr>
        <w:t xml:space="preserve"> </w:t>
      </w:r>
      <w:r>
        <w:rPr>
          <w:color w:val="001F5F"/>
        </w:rPr>
        <w:t>NO</w:t>
      </w:r>
      <w:r>
        <w:rPr>
          <w:color w:val="001F5F"/>
          <w:spacing w:val="-2"/>
        </w:rPr>
        <w:t xml:space="preserve"> </w:t>
      </w:r>
      <w:r>
        <w:rPr>
          <w:color w:val="001F5F"/>
        </w:rPr>
        <w:t>ÂMBITO</w:t>
      </w:r>
      <w:r>
        <w:rPr>
          <w:color w:val="001F5F"/>
          <w:spacing w:val="-3"/>
        </w:rPr>
        <w:t xml:space="preserve"> </w:t>
      </w:r>
      <w:r>
        <w:rPr>
          <w:color w:val="001F5F"/>
        </w:rPr>
        <w:t>DE</w:t>
      </w:r>
      <w:r>
        <w:rPr>
          <w:color w:val="001F5F"/>
          <w:spacing w:val="-2"/>
        </w:rPr>
        <w:t xml:space="preserve"> </w:t>
      </w:r>
      <w:r>
        <w:rPr>
          <w:color w:val="001F5F"/>
        </w:rPr>
        <w:t>SUAS</w:t>
      </w:r>
      <w:r>
        <w:rPr>
          <w:color w:val="001F5F"/>
          <w:spacing w:val="-3"/>
        </w:rPr>
        <w:t xml:space="preserve"> </w:t>
      </w:r>
      <w:r>
        <w:rPr>
          <w:color w:val="001F5F"/>
          <w:spacing w:val="-2"/>
        </w:rPr>
        <w:t>ATRIBUIÇÕES</w:t>
      </w:r>
    </w:p>
    <w:p w14:paraId="4261F0B3" w14:textId="77777777" w:rsidR="002C6574" w:rsidRDefault="00000000">
      <w:pPr>
        <w:spacing w:before="43"/>
        <w:ind w:left="564"/>
        <w:jc w:val="both"/>
        <w:rPr>
          <w:rFonts w:ascii="Calibri" w:hAnsi="Calibri"/>
          <w:sz w:val="24"/>
        </w:rPr>
      </w:pPr>
      <w:r>
        <w:rPr>
          <w:rFonts w:ascii="Calibri" w:hAnsi="Calibri"/>
          <w:color w:val="001F5F"/>
          <w:sz w:val="24"/>
        </w:rPr>
        <w:t>Durante</w:t>
      </w:r>
      <w:r>
        <w:rPr>
          <w:rFonts w:ascii="Calibri" w:hAnsi="Calibri"/>
          <w:color w:val="001F5F"/>
          <w:spacing w:val="-4"/>
          <w:sz w:val="24"/>
        </w:rPr>
        <w:t xml:space="preserve"> </w:t>
      </w:r>
      <w:r>
        <w:rPr>
          <w:rFonts w:ascii="Calibri" w:hAnsi="Calibri"/>
          <w:color w:val="001F5F"/>
          <w:sz w:val="24"/>
        </w:rPr>
        <w:t>o ano</w:t>
      </w:r>
      <w:r>
        <w:rPr>
          <w:rFonts w:ascii="Calibri" w:hAnsi="Calibri"/>
          <w:color w:val="001F5F"/>
          <w:spacing w:val="-3"/>
          <w:sz w:val="24"/>
        </w:rPr>
        <w:t xml:space="preserve"> </w:t>
      </w:r>
      <w:r>
        <w:rPr>
          <w:rFonts w:ascii="Calibri" w:hAnsi="Calibri"/>
          <w:color w:val="001F5F"/>
          <w:sz w:val="24"/>
        </w:rPr>
        <w:t>de</w:t>
      </w:r>
      <w:r>
        <w:rPr>
          <w:rFonts w:ascii="Calibri" w:hAnsi="Calibri"/>
          <w:color w:val="001F5F"/>
          <w:spacing w:val="-3"/>
          <w:sz w:val="24"/>
        </w:rPr>
        <w:t xml:space="preserve"> </w:t>
      </w:r>
      <w:r>
        <w:rPr>
          <w:rFonts w:ascii="Calibri" w:hAnsi="Calibri"/>
          <w:color w:val="001F5F"/>
          <w:sz w:val="24"/>
        </w:rPr>
        <w:t>2025,</w:t>
      </w:r>
      <w:r>
        <w:rPr>
          <w:rFonts w:ascii="Calibri" w:hAnsi="Calibri"/>
          <w:color w:val="001F5F"/>
          <w:spacing w:val="-4"/>
          <w:sz w:val="24"/>
        </w:rPr>
        <w:t xml:space="preserve"> </w:t>
      </w:r>
      <w:r>
        <w:rPr>
          <w:rFonts w:ascii="Calibri" w:hAnsi="Calibri"/>
          <w:color w:val="001F5F"/>
          <w:sz w:val="24"/>
        </w:rPr>
        <w:t>o Comitê</w:t>
      </w:r>
      <w:r>
        <w:rPr>
          <w:rFonts w:ascii="Calibri" w:hAnsi="Calibri"/>
          <w:color w:val="001F5F"/>
          <w:spacing w:val="-3"/>
          <w:sz w:val="24"/>
        </w:rPr>
        <w:t xml:space="preserve"> </w:t>
      </w:r>
      <w:r>
        <w:rPr>
          <w:rFonts w:ascii="Calibri" w:hAnsi="Calibri"/>
          <w:color w:val="001F5F"/>
          <w:sz w:val="24"/>
        </w:rPr>
        <w:t>reuniu-se</w:t>
      </w:r>
      <w:r>
        <w:rPr>
          <w:rFonts w:ascii="Calibri" w:hAnsi="Calibri"/>
          <w:color w:val="001F5F"/>
          <w:spacing w:val="-3"/>
          <w:sz w:val="24"/>
        </w:rPr>
        <w:t xml:space="preserve"> </w:t>
      </w:r>
      <w:r>
        <w:rPr>
          <w:rFonts w:ascii="Calibri" w:hAnsi="Calibri"/>
          <w:color w:val="001F5F"/>
          <w:sz w:val="24"/>
        </w:rPr>
        <w:t>em</w:t>
      </w:r>
      <w:r>
        <w:rPr>
          <w:rFonts w:ascii="Calibri" w:hAnsi="Calibri"/>
          <w:color w:val="001F5F"/>
          <w:spacing w:val="-3"/>
          <w:sz w:val="24"/>
        </w:rPr>
        <w:t xml:space="preserve"> </w:t>
      </w:r>
      <w:r>
        <w:rPr>
          <w:rFonts w:ascii="Calibri" w:hAnsi="Calibri"/>
          <w:color w:val="001F5F"/>
          <w:sz w:val="24"/>
        </w:rPr>
        <w:t>63 (sessenta</w:t>
      </w:r>
      <w:r>
        <w:rPr>
          <w:rFonts w:ascii="Calibri" w:hAnsi="Calibri"/>
          <w:color w:val="001F5F"/>
          <w:spacing w:val="-1"/>
          <w:sz w:val="24"/>
        </w:rPr>
        <w:t xml:space="preserve"> </w:t>
      </w:r>
      <w:r>
        <w:rPr>
          <w:rFonts w:ascii="Calibri" w:hAnsi="Calibri"/>
          <w:color w:val="001F5F"/>
          <w:sz w:val="24"/>
        </w:rPr>
        <w:t>e</w:t>
      </w:r>
      <w:r>
        <w:rPr>
          <w:rFonts w:ascii="Calibri" w:hAnsi="Calibri"/>
          <w:color w:val="001F5F"/>
          <w:spacing w:val="-1"/>
          <w:sz w:val="24"/>
        </w:rPr>
        <w:t xml:space="preserve"> </w:t>
      </w:r>
      <w:r>
        <w:rPr>
          <w:rFonts w:ascii="Calibri" w:hAnsi="Calibri"/>
          <w:color w:val="001F5F"/>
          <w:sz w:val="24"/>
        </w:rPr>
        <w:t>três)</w:t>
      </w:r>
      <w:r>
        <w:rPr>
          <w:rFonts w:ascii="Calibri" w:hAnsi="Calibri"/>
          <w:color w:val="001F5F"/>
          <w:spacing w:val="-4"/>
          <w:sz w:val="24"/>
        </w:rPr>
        <w:t xml:space="preserve"> </w:t>
      </w:r>
      <w:r>
        <w:rPr>
          <w:rFonts w:ascii="Calibri" w:hAnsi="Calibri"/>
          <w:color w:val="001F5F"/>
          <w:spacing w:val="-2"/>
          <w:sz w:val="24"/>
        </w:rPr>
        <w:t>ocasiões.</w:t>
      </w:r>
    </w:p>
    <w:p w14:paraId="425BE75B" w14:textId="77777777" w:rsidR="002C6574" w:rsidRDefault="00000000">
      <w:pPr>
        <w:spacing w:before="45" w:line="276" w:lineRule="auto"/>
        <w:ind w:left="569" w:right="1555"/>
        <w:jc w:val="both"/>
        <w:rPr>
          <w:rFonts w:ascii="Calibri" w:hAnsi="Calibri"/>
          <w:sz w:val="24"/>
        </w:rPr>
      </w:pPr>
      <w:r>
        <w:rPr>
          <w:rFonts w:ascii="Calibri" w:hAnsi="Calibri"/>
          <w:color w:val="001F5F"/>
          <w:sz w:val="24"/>
        </w:rPr>
        <w:t>Em suas reuniões, o COAUD, após análise e debate com as áreas operacionais, emitiu sugestões, solicitações e recomendações para o aperfeiçoamento de processos conforme extratos constantes das atas de reuniões, a seguir.</w:t>
      </w:r>
    </w:p>
    <w:p w14:paraId="5AC77037" w14:textId="77777777" w:rsidR="002C6574" w:rsidRDefault="002C6574">
      <w:pPr>
        <w:pStyle w:val="Corpodetexto"/>
        <w:spacing w:before="43"/>
        <w:rPr>
          <w:rFonts w:ascii="Calibri"/>
          <w:sz w:val="24"/>
        </w:rPr>
      </w:pPr>
    </w:p>
    <w:p w14:paraId="3028C5DF" w14:textId="77777777" w:rsidR="002C6574" w:rsidRDefault="00000000">
      <w:pPr>
        <w:ind w:left="564"/>
        <w:jc w:val="both"/>
        <w:rPr>
          <w:rFonts w:ascii="Calibri" w:hAnsi="Calibri"/>
          <w:sz w:val="24"/>
        </w:rPr>
      </w:pPr>
      <w:r>
        <w:rPr>
          <w:rFonts w:ascii="Calibri" w:hAnsi="Calibri"/>
          <w:color w:val="001F5F"/>
          <w:sz w:val="24"/>
        </w:rPr>
        <w:t>Recomendações,</w:t>
      </w:r>
      <w:r>
        <w:rPr>
          <w:rFonts w:ascii="Calibri" w:hAnsi="Calibri"/>
          <w:color w:val="001F5F"/>
          <w:spacing w:val="-5"/>
          <w:sz w:val="24"/>
        </w:rPr>
        <w:t xml:space="preserve"> </w:t>
      </w:r>
      <w:r>
        <w:rPr>
          <w:rFonts w:ascii="Calibri" w:hAnsi="Calibri"/>
          <w:color w:val="001F5F"/>
          <w:sz w:val="24"/>
        </w:rPr>
        <w:t>Sugestões e</w:t>
      </w:r>
      <w:r>
        <w:rPr>
          <w:rFonts w:ascii="Calibri" w:hAnsi="Calibri"/>
          <w:color w:val="001F5F"/>
          <w:spacing w:val="-1"/>
          <w:sz w:val="24"/>
        </w:rPr>
        <w:t xml:space="preserve"> </w:t>
      </w:r>
      <w:r>
        <w:rPr>
          <w:rFonts w:ascii="Calibri" w:hAnsi="Calibri"/>
          <w:color w:val="001F5F"/>
          <w:spacing w:val="-2"/>
          <w:sz w:val="24"/>
        </w:rPr>
        <w:t>Resultados:</w:t>
      </w:r>
    </w:p>
    <w:p w14:paraId="273BD853" w14:textId="77777777" w:rsidR="002C6574" w:rsidRDefault="002C6574">
      <w:pPr>
        <w:pStyle w:val="Corpodetexto"/>
        <w:spacing w:before="138"/>
        <w:rPr>
          <w:rFonts w:ascii="Calibri"/>
          <w:sz w:val="20"/>
        </w:rPr>
      </w:pPr>
    </w:p>
    <w:tbl>
      <w:tblPr>
        <w:tblStyle w:val="TableNormal"/>
        <w:tblW w:w="0" w:type="auto"/>
        <w:tblInd w:w="5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01"/>
        <w:gridCol w:w="1136"/>
        <w:gridCol w:w="1986"/>
        <w:gridCol w:w="2977"/>
      </w:tblGrid>
      <w:tr w:rsidR="002C6574" w14:paraId="576B0D6E" w14:textId="77777777">
        <w:trPr>
          <w:trHeight w:val="316"/>
        </w:trPr>
        <w:tc>
          <w:tcPr>
            <w:tcW w:w="8500" w:type="dxa"/>
            <w:gridSpan w:val="4"/>
            <w:tcBorders>
              <w:right w:val="nil"/>
            </w:tcBorders>
            <w:shd w:val="clear" w:color="auto" w:fill="001F5F"/>
          </w:tcPr>
          <w:p w14:paraId="3DE6B99A" w14:textId="77777777" w:rsidR="002C6574" w:rsidRDefault="00000000">
            <w:pPr>
              <w:pStyle w:val="TableParagraph"/>
              <w:spacing w:before="11" w:line="285" w:lineRule="exact"/>
              <w:ind w:left="1"/>
              <w:jc w:val="center"/>
              <w:rPr>
                <w:rFonts w:ascii="Calibri" w:hAnsi="Calibri"/>
                <w:b/>
                <w:sz w:val="24"/>
              </w:rPr>
            </w:pPr>
            <w:r>
              <w:rPr>
                <w:rFonts w:ascii="Calibri" w:hAnsi="Calibri"/>
                <w:b/>
                <w:color w:val="FFFFFF"/>
                <w:sz w:val="24"/>
              </w:rPr>
              <w:t>Período:</w:t>
            </w:r>
            <w:r>
              <w:rPr>
                <w:rFonts w:ascii="Calibri" w:hAnsi="Calibri"/>
                <w:b/>
                <w:color w:val="FFFFFF"/>
                <w:spacing w:val="49"/>
                <w:sz w:val="24"/>
              </w:rPr>
              <w:t xml:space="preserve"> </w:t>
            </w:r>
            <w:r>
              <w:rPr>
                <w:rFonts w:ascii="Calibri" w:hAnsi="Calibri"/>
                <w:b/>
                <w:color w:val="FFFFFF"/>
                <w:sz w:val="24"/>
              </w:rPr>
              <w:t>janeiro-dezembro</w:t>
            </w:r>
            <w:r>
              <w:rPr>
                <w:rFonts w:ascii="Calibri" w:hAnsi="Calibri"/>
                <w:b/>
                <w:color w:val="FFFFFF"/>
                <w:spacing w:val="-4"/>
                <w:sz w:val="24"/>
              </w:rPr>
              <w:t xml:space="preserve"> </w:t>
            </w:r>
            <w:r>
              <w:rPr>
                <w:rFonts w:ascii="Calibri" w:hAnsi="Calibri"/>
                <w:b/>
                <w:color w:val="FFFFFF"/>
                <w:sz w:val="24"/>
              </w:rPr>
              <w:t>de</w:t>
            </w:r>
            <w:r>
              <w:rPr>
                <w:rFonts w:ascii="Calibri" w:hAnsi="Calibri"/>
                <w:b/>
                <w:color w:val="FFFFFF"/>
                <w:spacing w:val="-3"/>
                <w:sz w:val="24"/>
              </w:rPr>
              <w:t xml:space="preserve"> </w:t>
            </w:r>
            <w:r>
              <w:rPr>
                <w:rFonts w:ascii="Calibri" w:hAnsi="Calibri"/>
                <w:b/>
                <w:color w:val="FFFFFF"/>
                <w:spacing w:val="-4"/>
                <w:sz w:val="24"/>
              </w:rPr>
              <w:t>2025</w:t>
            </w:r>
          </w:p>
        </w:tc>
      </w:tr>
      <w:tr w:rsidR="002C6574" w14:paraId="0CDC48C1" w14:textId="77777777">
        <w:trPr>
          <w:trHeight w:val="357"/>
        </w:trPr>
        <w:tc>
          <w:tcPr>
            <w:tcW w:w="2401" w:type="dxa"/>
            <w:shd w:val="clear" w:color="auto" w:fill="1F4E78"/>
          </w:tcPr>
          <w:p w14:paraId="40EF0F8D" w14:textId="77777777" w:rsidR="002C6574" w:rsidRDefault="00000000">
            <w:pPr>
              <w:pStyle w:val="TableParagraph"/>
              <w:spacing w:before="31"/>
              <w:ind w:left="717"/>
              <w:jc w:val="left"/>
              <w:rPr>
                <w:rFonts w:ascii="Calibri"/>
                <w:b/>
                <w:sz w:val="24"/>
              </w:rPr>
            </w:pPr>
            <w:r>
              <w:rPr>
                <w:rFonts w:ascii="Calibri"/>
                <w:b/>
                <w:color w:val="FFFFFF"/>
                <w:spacing w:val="-2"/>
                <w:sz w:val="24"/>
              </w:rPr>
              <w:t>Demanda</w:t>
            </w:r>
          </w:p>
        </w:tc>
        <w:tc>
          <w:tcPr>
            <w:tcW w:w="1136" w:type="dxa"/>
            <w:shd w:val="clear" w:color="auto" w:fill="1F4E78"/>
          </w:tcPr>
          <w:p w14:paraId="2E345EDA" w14:textId="77777777" w:rsidR="002C6574" w:rsidRDefault="00000000">
            <w:pPr>
              <w:pStyle w:val="TableParagraph"/>
              <w:spacing w:before="31"/>
              <w:ind w:left="24" w:right="9"/>
              <w:jc w:val="center"/>
              <w:rPr>
                <w:rFonts w:ascii="Calibri"/>
                <w:b/>
                <w:sz w:val="24"/>
              </w:rPr>
            </w:pPr>
            <w:r>
              <w:rPr>
                <w:rFonts w:ascii="Calibri"/>
                <w:b/>
                <w:color w:val="FFFFFF"/>
                <w:spacing w:val="-2"/>
                <w:sz w:val="24"/>
              </w:rPr>
              <w:t>Total</w:t>
            </w:r>
          </w:p>
        </w:tc>
        <w:tc>
          <w:tcPr>
            <w:tcW w:w="1986" w:type="dxa"/>
            <w:shd w:val="clear" w:color="auto" w:fill="1F4E78"/>
          </w:tcPr>
          <w:p w14:paraId="2A27A7BD" w14:textId="77777777" w:rsidR="002C6574" w:rsidRDefault="00000000">
            <w:pPr>
              <w:pStyle w:val="TableParagraph"/>
              <w:spacing w:before="31"/>
              <w:ind w:left="17" w:right="3"/>
              <w:jc w:val="center"/>
              <w:rPr>
                <w:rFonts w:ascii="Calibri"/>
                <w:b/>
                <w:sz w:val="24"/>
              </w:rPr>
            </w:pPr>
            <w:r>
              <w:rPr>
                <w:rFonts w:ascii="Calibri"/>
                <w:b/>
                <w:color w:val="FFFFFF"/>
                <w:spacing w:val="-2"/>
                <w:sz w:val="24"/>
              </w:rPr>
              <w:t>Implementada</w:t>
            </w:r>
          </w:p>
        </w:tc>
        <w:tc>
          <w:tcPr>
            <w:tcW w:w="2977" w:type="dxa"/>
            <w:shd w:val="clear" w:color="auto" w:fill="1F4E78"/>
          </w:tcPr>
          <w:p w14:paraId="4E5ACFA2" w14:textId="77777777" w:rsidR="002C6574" w:rsidRDefault="00000000">
            <w:pPr>
              <w:pStyle w:val="TableParagraph"/>
              <w:spacing w:before="31"/>
              <w:ind w:left="17" w:right="8"/>
              <w:jc w:val="center"/>
              <w:rPr>
                <w:rFonts w:ascii="Calibri"/>
                <w:b/>
                <w:sz w:val="24"/>
              </w:rPr>
            </w:pPr>
            <w:r>
              <w:rPr>
                <w:rFonts w:ascii="Calibri"/>
                <w:b/>
                <w:color w:val="FFFFFF"/>
                <w:sz w:val="24"/>
              </w:rPr>
              <w:t>Em</w:t>
            </w:r>
            <w:r>
              <w:rPr>
                <w:rFonts w:ascii="Calibri"/>
                <w:b/>
                <w:color w:val="FFFFFF"/>
                <w:spacing w:val="-1"/>
                <w:sz w:val="24"/>
              </w:rPr>
              <w:t xml:space="preserve"> </w:t>
            </w:r>
            <w:r>
              <w:rPr>
                <w:rFonts w:ascii="Calibri"/>
                <w:b/>
                <w:color w:val="FFFFFF"/>
                <w:spacing w:val="-2"/>
                <w:sz w:val="24"/>
              </w:rPr>
              <w:t>andamento</w:t>
            </w:r>
          </w:p>
        </w:tc>
      </w:tr>
      <w:tr w:rsidR="002C6574" w14:paraId="0A0DAD6C" w14:textId="77777777">
        <w:trPr>
          <w:trHeight w:val="316"/>
        </w:trPr>
        <w:tc>
          <w:tcPr>
            <w:tcW w:w="2401" w:type="dxa"/>
            <w:vMerge w:val="restart"/>
          </w:tcPr>
          <w:p w14:paraId="79DFD1DA" w14:textId="77777777" w:rsidR="002C6574" w:rsidRDefault="00000000">
            <w:pPr>
              <w:pStyle w:val="TableParagraph"/>
              <w:spacing w:before="179"/>
              <w:ind w:left="400"/>
              <w:jc w:val="left"/>
              <w:rPr>
                <w:rFonts w:ascii="Calibri" w:hAnsi="Calibri"/>
                <w:sz w:val="24"/>
              </w:rPr>
            </w:pPr>
            <w:r>
              <w:rPr>
                <w:rFonts w:ascii="Calibri" w:hAnsi="Calibri"/>
                <w:spacing w:val="-2"/>
                <w:sz w:val="24"/>
              </w:rPr>
              <w:t>Recomendações</w:t>
            </w:r>
          </w:p>
        </w:tc>
        <w:tc>
          <w:tcPr>
            <w:tcW w:w="1136" w:type="dxa"/>
          </w:tcPr>
          <w:p w14:paraId="1A828BD0" w14:textId="77777777" w:rsidR="002C6574" w:rsidRDefault="00000000">
            <w:pPr>
              <w:pStyle w:val="TableParagraph"/>
              <w:spacing w:before="11" w:line="285" w:lineRule="exact"/>
              <w:ind w:left="20" w:right="9"/>
              <w:jc w:val="center"/>
              <w:rPr>
                <w:rFonts w:ascii="Calibri"/>
                <w:b/>
                <w:sz w:val="24"/>
              </w:rPr>
            </w:pPr>
            <w:r>
              <w:rPr>
                <w:rFonts w:ascii="Calibri"/>
                <w:b/>
                <w:spacing w:val="-10"/>
                <w:sz w:val="24"/>
              </w:rPr>
              <w:t>2</w:t>
            </w:r>
          </w:p>
        </w:tc>
        <w:tc>
          <w:tcPr>
            <w:tcW w:w="1986" w:type="dxa"/>
          </w:tcPr>
          <w:p w14:paraId="1D3A6888" w14:textId="77777777" w:rsidR="002C6574" w:rsidRDefault="00000000">
            <w:pPr>
              <w:pStyle w:val="TableParagraph"/>
              <w:spacing w:before="11" w:line="285" w:lineRule="exact"/>
              <w:ind w:left="17" w:right="3"/>
              <w:jc w:val="center"/>
              <w:rPr>
                <w:rFonts w:ascii="Calibri"/>
                <w:sz w:val="24"/>
              </w:rPr>
            </w:pPr>
            <w:r>
              <w:rPr>
                <w:rFonts w:ascii="Calibri"/>
                <w:spacing w:val="-10"/>
                <w:sz w:val="24"/>
              </w:rPr>
              <w:t>2</w:t>
            </w:r>
          </w:p>
        </w:tc>
        <w:tc>
          <w:tcPr>
            <w:tcW w:w="2977" w:type="dxa"/>
          </w:tcPr>
          <w:p w14:paraId="64C8E532" w14:textId="77777777" w:rsidR="002C6574" w:rsidRDefault="00000000">
            <w:pPr>
              <w:pStyle w:val="TableParagraph"/>
              <w:spacing w:before="11" w:line="285" w:lineRule="exact"/>
              <w:ind w:left="17" w:right="7"/>
              <w:jc w:val="center"/>
              <w:rPr>
                <w:rFonts w:ascii="Calibri"/>
                <w:sz w:val="24"/>
              </w:rPr>
            </w:pPr>
            <w:r>
              <w:rPr>
                <w:rFonts w:ascii="Calibri"/>
                <w:spacing w:val="-10"/>
                <w:sz w:val="24"/>
              </w:rPr>
              <w:t>0</w:t>
            </w:r>
          </w:p>
        </w:tc>
      </w:tr>
      <w:tr w:rsidR="002C6574" w14:paraId="6E518B75" w14:textId="77777777">
        <w:trPr>
          <w:trHeight w:val="313"/>
        </w:trPr>
        <w:tc>
          <w:tcPr>
            <w:tcW w:w="2401" w:type="dxa"/>
            <w:vMerge/>
            <w:tcBorders>
              <w:top w:val="nil"/>
            </w:tcBorders>
          </w:tcPr>
          <w:p w14:paraId="49C2BE2F" w14:textId="77777777" w:rsidR="002C6574" w:rsidRDefault="002C6574">
            <w:pPr>
              <w:rPr>
                <w:sz w:val="2"/>
                <w:szCs w:val="2"/>
              </w:rPr>
            </w:pPr>
          </w:p>
        </w:tc>
        <w:tc>
          <w:tcPr>
            <w:tcW w:w="1136" w:type="dxa"/>
          </w:tcPr>
          <w:p w14:paraId="4F06E285" w14:textId="77777777" w:rsidR="002C6574" w:rsidRDefault="00000000">
            <w:pPr>
              <w:pStyle w:val="TableParagraph"/>
              <w:spacing w:before="11" w:line="283" w:lineRule="exact"/>
              <w:ind w:left="24" w:right="9"/>
              <w:jc w:val="center"/>
              <w:rPr>
                <w:rFonts w:ascii="Calibri"/>
                <w:b/>
                <w:sz w:val="24"/>
              </w:rPr>
            </w:pPr>
            <w:r>
              <w:rPr>
                <w:rFonts w:ascii="Calibri"/>
                <w:b/>
                <w:spacing w:val="-4"/>
                <w:sz w:val="24"/>
              </w:rPr>
              <w:t>100%</w:t>
            </w:r>
          </w:p>
        </w:tc>
        <w:tc>
          <w:tcPr>
            <w:tcW w:w="1986" w:type="dxa"/>
          </w:tcPr>
          <w:p w14:paraId="562CF32A" w14:textId="77777777" w:rsidR="002C6574" w:rsidRDefault="00000000">
            <w:pPr>
              <w:pStyle w:val="TableParagraph"/>
              <w:spacing w:before="11" w:line="283" w:lineRule="exact"/>
              <w:ind w:left="17" w:right="3"/>
              <w:jc w:val="center"/>
              <w:rPr>
                <w:rFonts w:ascii="Calibri"/>
                <w:sz w:val="24"/>
              </w:rPr>
            </w:pPr>
            <w:r>
              <w:rPr>
                <w:rFonts w:ascii="Calibri"/>
                <w:spacing w:val="-4"/>
                <w:sz w:val="24"/>
              </w:rPr>
              <w:t>100%</w:t>
            </w:r>
          </w:p>
        </w:tc>
        <w:tc>
          <w:tcPr>
            <w:tcW w:w="2977" w:type="dxa"/>
          </w:tcPr>
          <w:p w14:paraId="15796CD9" w14:textId="77777777" w:rsidR="002C6574" w:rsidRDefault="00000000">
            <w:pPr>
              <w:pStyle w:val="TableParagraph"/>
              <w:spacing w:before="11" w:line="283" w:lineRule="exact"/>
              <w:ind w:left="17" w:right="2"/>
              <w:jc w:val="center"/>
              <w:rPr>
                <w:rFonts w:ascii="Calibri"/>
                <w:sz w:val="24"/>
              </w:rPr>
            </w:pPr>
            <w:r>
              <w:rPr>
                <w:rFonts w:ascii="Calibri"/>
                <w:spacing w:val="-5"/>
                <w:sz w:val="24"/>
              </w:rPr>
              <w:t>0%</w:t>
            </w:r>
          </w:p>
        </w:tc>
      </w:tr>
      <w:tr w:rsidR="002C6574" w14:paraId="539BB86F" w14:textId="77777777">
        <w:trPr>
          <w:trHeight w:val="315"/>
        </w:trPr>
        <w:tc>
          <w:tcPr>
            <w:tcW w:w="2401" w:type="dxa"/>
            <w:vMerge w:val="restart"/>
          </w:tcPr>
          <w:p w14:paraId="49600469" w14:textId="77777777" w:rsidR="002C6574" w:rsidRDefault="00000000">
            <w:pPr>
              <w:pStyle w:val="TableParagraph"/>
              <w:spacing w:before="179"/>
              <w:ind w:left="707"/>
              <w:jc w:val="left"/>
              <w:rPr>
                <w:rFonts w:ascii="Calibri" w:hAnsi="Calibri"/>
                <w:sz w:val="24"/>
              </w:rPr>
            </w:pPr>
            <w:r>
              <w:rPr>
                <w:rFonts w:ascii="Calibri" w:hAnsi="Calibri"/>
                <w:spacing w:val="-2"/>
                <w:sz w:val="24"/>
              </w:rPr>
              <w:t>Sugestões</w:t>
            </w:r>
          </w:p>
        </w:tc>
        <w:tc>
          <w:tcPr>
            <w:tcW w:w="1136" w:type="dxa"/>
          </w:tcPr>
          <w:p w14:paraId="03960232" w14:textId="77777777" w:rsidR="002C6574" w:rsidRDefault="00000000">
            <w:pPr>
              <w:pStyle w:val="TableParagraph"/>
              <w:spacing w:before="11" w:line="285" w:lineRule="exact"/>
              <w:ind w:left="20" w:right="9"/>
              <w:jc w:val="center"/>
              <w:rPr>
                <w:rFonts w:ascii="Calibri"/>
                <w:b/>
                <w:sz w:val="24"/>
              </w:rPr>
            </w:pPr>
            <w:r>
              <w:rPr>
                <w:rFonts w:ascii="Calibri"/>
                <w:b/>
                <w:spacing w:val="-10"/>
                <w:sz w:val="24"/>
              </w:rPr>
              <w:t>1</w:t>
            </w:r>
          </w:p>
        </w:tc>
        <w:tc>
          <w:tcPr>
            <w:tcW w:w="1986" w:type="dxa"/>
          </w:tcPr>
          <w:p w14:paraId="2CDEE7AC" w14:textId="77777777" w:rsidR="002C6574" w:rsidRDefault="00000000">
            <w:pPr>
              <w:pStyle w:val="TableParagraph"/>
              <w:spacing w:before="11" w:line="285" w:lineRule="exact"/>
              <w:ind w:left="17" w:right="3"/>
              <w:jc w:val="center"/>
              <w:rPr>
                <w:rFonts w:ascii="Calibri"/>
                <w:sz w:val="24"/>
              </w:rPr>
            </w:pPr>
            <w:r>
              <w:rPr>
                <w:rFonts w:ascii="Calibri"/>
                <w:spacing w:val="-10"/>
                <w:sz w:val="24"/>
              </w:rPr>
              <w:t>1</w:t>
            </w:r>
          </w:p>
        </w:tc>
        <w:tc>
          <w:tcPr>
            <w:tcW w:w="2977" w:type="dxa"/>
          </w:tcPr>
          <w:p w14:paraId="7E6A6B1A" w14:textId="77777777" w:rsidR="002C6574" w:rsidRDefault="00000000">
            <w:pPr>
              <w:pStyle w:val="TableParagraph"/>
              <w:spacing w:before="11" w:line="285" w:lineRule="exact"/>
              <w:ind w:left="17" w:right="7"/>
              <w:jc w:val="center"/>
              <w:rPr>
                <w:rFonts w:ascii="Calibri"/>
                <w:sz w:val="24"/>
              </w:rPr>
            </w:pPr>
            <w:r>
              <w:rPr>
                <w:rFonts w:ascii="Calibri"/>
                <w:spacing w:val="-10"/>
                <w:sz w:val="24"/>
              </w:rPr>
              <w:t>0</w:t>
            </w:r>
          </w:p>
        </w:tc>
      </w:tr>
      <w:tr w:rsidR="002C6574" w14:paraId="5EB250EF" w14:textId="77777777">
        <w:trPr>
          <w:trHeight w:val="313"/>
        </w:trPr>
        <w:tc>
          <w:tcPr>
            <w:tcW w:w="2401" w:type="dxa"/>
            <w:vMerge/>
            <w:tcBorders>
              <w:top w:val="nil"/>
            </w:tcBorders>
          </w:tcPr>
          <w:p w14:paraId="17FF5B0F" w14:textId="77777777" w:rsidR="002C6574" w:rsidRDefault="002C6574">
            <w:pPr>
              <w:rPr>
                <w:sz w:val="2"/>
                <w:szCs w:val="2"/>
              </w:rPr>
            </w:pPr>
          </w:p>
        </w:tc>
        <w:tc>
          <w:tcPr>
            <w:tcW w:w="1136" w:type="dxa"/>
          </w:tcPr>
          <w:p w14:paraId="3A551508" w14:textId="77777777" w:rsidR="002C6574" w:rsidRDefault="00000000">
            <w:pPr>
              <w:pStyle w:val="TableParagraph"/>
              <w:spacing w:before="11" w:line="283" w:lineRule="exact"/>
              <w:ind w:left="24" w:right="9"/>
              <w:jc w:val="center"/>
              <w:rPr>
                <w:rFonts w:ascii="Calibri"/>
                <w:b/>
                <w:sz w:val="24"/>
              </w:rPr>
            </w:pPr>
            <w:r>
              <w:rPr>
                <w:rFonts w:ascii="Calibri"/>
                <w:b/>
                <w:spacing w:val="-4"/>
                <w:sz w:val="24"/>
              </w:rPr>
              <w:t>100%</w:t>
            </w:r>
          </w:p>
        </w:tc>
        <w:tc>
          <w:tcPr>
            <w:tcW w:w="1986" w:type="dxa"/>
          </w:tcPr>
          <w:p w14:paraId="6D14B1CA" w14:textId="77777777" w:rsidR="002C6574" w:rsidRDefault="00000000">
            <w:pPr>
              <w:pStyle w:val="TableParagraph"/>
              <w:spacing w:before="11" w:line="283" w:lineRule="exact"/>
              <w:ind w:left="17" w:right="3"/>
              <w:jc w:val="center"/>
              <w:rPr>
                <w:rFonts w:ascii="Calibri"/>
                <w:sz w:val="24"/>
              </w:rPr>
            </w:pPr>
            <w:r>
              <w:rPr>
                <w:rFonts w:ascii="Calibri"/>
                <w:spacing w:val="-4"/>
                <w:sz w:val="24"/>
              </w:rPr>
              <w:t>100%</w:t>
            </w:r>
          </w:p>
        </w:tc>
        <w:tc>
          <w:tcPr>
            <w:tcW w:w="2977" w:type="dxa"/>
          </w:tcPr>
          <w:p w14:paraId="4DF58313" w14:textId="77777777" w:rsidR="002C6574" w:rsidRDefault="00000000">
            <w:pPr>
              <w:pStyle w:val="TableParagraph"/>
              <w:spacing w:before="11" w:line="283" w:lineRule="exact"/>
              <w:ind w:left="17" w:right="2"/>
              <w:jc w:val="center"/>
              <w:rPr>
                <w:rFonts w:ascii="Calibri"/>
                <w:sz w:val="24"/>
              </w:rPr>
            </w:pPr>
            <w:r>
              <w:rPr>
                <w:rFonts w:ascii="Calibri"/>
                <w:spacing w:val="-5"/>
                <w:sz w:val="24"/>
              </w:rPr>
              <w:t>0%</w:t>
            </w:r>
          </w:p>
        </w:tc>
      </w:tr>
      <w:tr w:rsidR="002C6574" w14:paraId="685542CF" w14:textId="77777777">
        <w:trPr>
          <w:trHeight w:val="315"/>
        </w:trPr>
        <w:tc>
          <w:tcPr>
            <w:tcW w:w="2401" w:type="dxa"/>
            <w:vMerge w:val="restart"/>
          </w:tcPr>
          <w:p w14:paraId="79D7C347" w14:textId="77777777" w:rsidR="002C6574" w:rsidRDefault="00000000">
            <w:pPr>
              <w:pStyle w:val="TableParagraph"/>
              <w:spacing w:before="179"/>
              <w:ind w:left="676"/>
              <w:jc w:val="left"/>
              <w:rPr>
                <w:rFonts w:ascii="Calibri" w:hAnsi="Calibri"/>
                <w:sz w:val="24"/>
              </w:rPr>
            </w:pPr>
            <w:r>
              <w:rPr>
                <w:rFonts w:ascii="Calibri" w:hAnsi="Calibri"/>
                <w:spacing w:val="-2"/>
                <w:sz w:val="24"/>
              </w:rPr>
              <w:t>Solicitação</w:t>
            </w:r>
          </w:p>
        </w:tc>
        <w:tc>
          <w:tcPr>
            <w:tcW w:w="1136" w:type="dxa"/>
          </w:tcPr>
          <w:p w14:paraId="656B6E8E" w14:textId="77777777" w:rsidR="002C6574" w:rsidRDefault="00000000">
            <w:pPr>
              <w:pStyle w:val="TableParagraph"/>
              <w:spacing w:before="11" w:line="285" w:lineRule="exact"/>
              <w:ind w:left="24" w:right="9"/>
              <w:jc w:val="center"/>
              <w:rPr>
                <w:rFonts w:ascii="Calibri"/>
                <w:b/>
                <w:sz w:val="24"/>
              </w:rPr>
            </w:pPr>
            <w:r>
              <w:rPr>
                <w:rFonts w:ascii="Calibri"/>
                <w:b/>
                <w:spacing w:val="-5"/>
                <w:sz w:val="24"/>
              </w:rPr>
              <w:t>25</w:t>
            </w:r>
          </w:p>
        </w:tc>
        <w:tc>
          <w:tcPr>
            <w:tcW w:w="1986" w:type="dxa"/>
          </w:tcPr>
          <w:p w14:paraId="657D2FDA" w14:textId="77777777" w:rsidR="002C6574" w:rsidRDefault="00000000">
            <w:pPr>
              <w:pStyle w:val="TableParagraph"/>
              <w:spacing w:before="11" w:line="285" w:lineRule="exact"/>
              <w:ind w:left="17"/>
              <w:jc w:val="center"/>
              <w:rPr>
                <w:rFonts w:ascii="Calibri"/>
                <w:sz w:val="24"/>
              </w:rPr>
            </w:pPr>
            <w:r>
              <w:rPr>
                <w:rFonts w:ascii="Calibri"/>
                <w:spacing w:val="-5"/>
                <w:sz w:val="24"/>
              </w:rPr>
              <w:t>22</w:t>
            </w:r>
          </w:p>
        </w:tc>
        <w:tc>
          <w:tcPr>
            <w:tcW w:w="2977" w:type="dxa"/>
          </w:tcPr>
          <w:p w14:paraId="0EA1981D" w14:textId="77777777" w:rsidR="002C6574" w:rsidRDefault="00000000">
            <w:pPr>
              <w:pStyle w:val="TableParagraph"/>
              <w:spacing w:before="11" w:line="285" w:lineRule="exact"/>
              <w:ind w:left="17" w:right="7"/>
              <w:jc w:val="center"/>
              <w:rPr>
                <w:rFonts w:ascii="Calibri"/>
                <w:sz w:val="24"/>
              </w:rPr>
            </w:pPr>
            <w:r>
              <w:rPr>
                <w:rFonts w:ascii="Calibri"/>
                <w:spacing w:val="-10"/>
                <w:sz w:val="24"/>
              </w:rPr>
              <w:t>3</w:t>
            </w:r>
          </w:p>
        </w:tc>
      </w:tr>
      <w:tr w:rsidR="002C6574" w14:paraId="08E3F15C" w14:textId="77777777">
        <w:trPr>
          <w:trHeight w:val="316"/>
        </w:trPr>
        <w:tc>
          <w:tcPr>
            <w:tcW w:w="2401" w:type="dxa"/>
            <w:vMerge/>
            <w:tcBorders>
              <w:top w:val="nil"/>
            </w:tcBorders>
          </w:tcPr>
          <w:p w14:paraId="29F0FAD5" w14:textId="77777777" w:rsidR="002C6574" w:rsidRDefault="002C6574">
            <w:pPr>
              <w:rPr>
                <w:sz w:val="2"/>
                <w:szCs w:val="2"/>
              </w:rPr>
            </w:pPr>
          </w:p>
        </w:tc>
        <w:tc>
          <w:tcPr>
            <w:tcW w:w="1136" w:type="dxa"/>
          </w:tcPr>
          <w:p w14:paraId="1CD38BFB" w14:textId="77777777" w:rsidR="002C6574" w:rsidRDefault="00000000">
            <w:pPr>
              <w:pStyle w:val="TableParagraph"/>
              <w:spacing w:before="11" w:line="285" w:lineRule="exact"/>
              <w:ind w:left="24" w:right="9"/>
              <w:jc w:val="center"/>
              <w:rPr>
                <w:rFonts w:ascii="Calibri"/>
                <w:b/>
                <w:sz w:val="24"/>
              </w:rPr>
            </w:pPr>
            <w:r>
              <w:rPr>
                <w:rFonts w:ascii="Calibri"/>
                <w:b/>
                <w:spacing w:val="-4"/>
                <w:sz w:val="24"/>
              </w:rPr>
              <w:t>100%</w:t>
            </w:r>
          </w:p>
        </w:tc>
        <w:tc>
          <w:tcPr>
            <w:tcW w:w="1986" w:type="dxa"/>
          </w:tcPr>
          <w:p w14:paraId="7AADE469" w14:textId="77777777" w:rsidR="002C6574" w:rsidRDefault="00000000">
            <w:pPr>
              <w:pStyle w:val="TableParagraph"/>
              <w:spacing w:before="11" w:line="285" w:lineRule="exact"/>
              <w:ind w:left="17"/>
              <w:jc w:val="center"/>
              <w:rPr>
                <w:rFonts w:ascii="Calibri"/>
                <w:sz w:val="24"/>
              </w:rPr>
            </w:pPr>
            <w:r>
              <w:rPr>
                <w:rFonts w:ascii="Calibri"/>
                <w:spacing w:val="-5"/>
                <w:sz w:val="24"/>
              </w:rPr>
              <w:t>88%</w:t>
            </w:r>
          </w:p>
        </w:tc>
        <w:tc>
          <w:tcPr>
            <w:tcW w:w="2977" w:type="dxa"/>
          </w:tcPr>
          <w:p w14:paraId="7C20943D" w14:textId="77777777" w:rsidR="002C6574" w:rsidRDefault="00000000">
            <w:pPr>
              <w:pStyle w:val="TableParagraph"/>
              <w:spacing w:before="11" w:line="285" w:lineRule="exact"/>
              <w:ind w:left="17" w:right="4"/>
              <w:jc w:val="center"/>
              <w:rPr>
                <w:rFonts w:ascii="Calibri"/>
                <w:sz w:val="24"/>
              </w:rPr>
            </w:pPr>
            <w:r>
              <w:rPr>
                <w:rFonts w:ascii="Calibri"/>
                <w:spacing w:val="-5"/>
                <w:sz w:val="24"/>
              </w:rPr>
              <w:t>14%</w:t>
            </w:r>
          </w:p>
        </w:tc>
      </w:tr>
      <w:tr w:rsidR="002C6574" w14:paraId="79C77330" w14:textId="77777777">
        <w:trPr>
          <w:trHeight w:val="313"/>
        </w:trPr>
        <w:tc>
          <w:tcPr>
            <w:tcW w:w="2401" w:type="dxa"/>
            <w:vMerge w:val="restart"/>
          </w:tcPr>
          <w:p w14:paraId="2BAEFA04" w14:textId="77777777" w:rsidR="002C6574" w:rsidRDefault="00000000">
            <w:pPr>
              <w:pStyle w:val="TableParagraph"/>
              <w:spacing w:before="176"/>
              <w:ind w:left="340"/>
              <w:jc w:val="left"/>
              <w:rPr>
                <w:rFonts w:ascii="Calibri"/>
                <w:sz w:val="24"/>
              </w:rPr>
            </w:pPr>
            <w:r>
              <w:rPr>
                <w:rFonts w:ascii="Calibri"/>
                <w:spacing w:val="-2"/>
                <w:sz w:val="24"/>
              </w:rPr>
              <w:t>Encaminhamento</w:t>
            </w:r>
          </w:p>
        </w:tc>
        <w:tc>
          <w:tcPr>
            <w:tcW w:w="1136" w:type="dxa"/>
          </w:tcPr>
          <w:p w14:paraId="72BA29A4" w14:textId="77777777" w:rsidR="002C6574" w:rsidRDefault="00000000">
            <w:pPr>
              <w:pStyle w:val="TableParagraph"/>
              <w:spacing w:before="8" w:line="285" w:lineRule="exact"/>
              <w:ind w:left="20" w:right="9"/>
              <w:jc w:val="center"/>
              <w:rPr>
                <w:rFonts w:ascii="Calibri"/>
                <w:b/>
                <w:sz w:val="24"/>
              </w:rPr>
            </w:pPr>
            <w:r>
              <w:rPr>
                <w:rFonts w:ascii="Calibri"/>
                <w:b/>
                <w:spacing w:val="-10"/>
                <w:sz w:val="24"/>
              </w:rPr>
              <w:t>2</w:t>
            </w:r>
          </w:p>
        </w:tc>
        <w:tc>
          <w:tcPr>
            <w:tcW w:w="1986" w:type="dxa"/>
          </w:tcPr>
          <w:p w14:paraId="6ADC6FA3" w14:textId="77777777" w:rsidR="002C6574" w:rsidRDefault="00000000">
            <w:pPr>
              <w:pStyle w:val="TableParagraph"/>
              <w:spacing w:before="8" w:line="285" w:lineRule="exact"/>
              <w:ind w:left="17" w:right="3"/>
              <w:jc w:val="center"/>
              <w:rPr>
                <w:rFonts w:ascii="Calibri"/>
                <w:sz w:val="24"/>
              </w:rPr>
            </w:pPr>
            <w:r>
              <w:rPr>
                <w:rFonts w:ascii="Calibri"/>
                <w:spacing w:val="-10"/>
                <w:sz w:val="24"/>
              </w:rPr>
              <w:t>2</w:t>
            </w:r>
          </w:p>
        </w:tc>
        <w:tc>
          <w:tcPr>
            <w:tcW w:w="2977" w:type="dxa"/>
          </w:tcPr>
          <w:p w14:paraId="25B3B22F" w14:textId="77777777" w:rsidR="002C6574" w:rsidRDefault="00000000">
            <w:pPr>
              <w:pStyle w:val="TableParagraph"/>
              <w:spacing w:before="8" w:line="285" w:lineRule="exact"/>
              <w:ind w:left="17" w:right="7"/>
              <w:jc w:val="center"/>
              <w:rPr>
                <w:rFonts w:ascii="Calibri"/>
                <w:sz w:val="24"/>
              </w:rPr>
            </w:pPr>
            <w:r>
              <w:rPr>
                <w:rFonts w:ascii="Calibri"/>
                <w:spacing w:val="-10"/>
                <w:sz w:val="24"/>
              </w:rPr>
              <w:t>0</w:t>
            </w:r>
          </w:p>
        </w:tc>
      </w:tr>
      <w:tr w:rsidR="002C6574" w14:paraId="7F94D224" w14:textId="77777777">
        <w:trPr>
          <w:trHeight w:val="315"/>
        </w:trPr>
        <w:tc>
          <w:tcPr>
            <w:tcW w:w="2401" w:type="dxa"/>
            <w:vMerge/>
            <w:tcBorders>
              <w:top w:val="nil"/>
            </w:tcBorders>
          </w:tcPr>
          <w:p w14:paraId="739AE887" w14:textId="77777777" w:rsidR="002C6574" w:rsidRDefault="002C6574">
            <w:pPr>
              <w:rPr>
                <w:sz w:val="2"/>
                <w:szCs w:val="2"/>
              </w:rPr>
            </w:pPr>
          </w:p>
        </w:tc>
        <w:tc>
          <w:tcPr>
            <w:tcW w:w="1136" w:type="dxa"/>
          </w:tcPr>
          <w:p w14:paraId="18D7790F" w14:textId="77777777" w:rsidR="002C6574" w:rsidRDefault="00000000">
            <w:pPr>
              <w:pStyle w:val="TableParagraph"/>
              <w:spacing w:before="11" w:line="285" w:lineRule="exact"/>
              <w:ind w:left="24" w:right="9"/>
              <w:jc w:val="center"/>
              <w:rPr>
                <w:rFonts w:ascii="Calibri"/>
                <w:b/>
                <w:sz w:val="24"/>
              </w:rPr>
            </w:pPr>
            <w:r>
              <w:rPr>
                <w:rFonts w:ascii="Calibri"/>
                <w:b/>
                <w:spacing w:val="-4"/>
                <w:sz w:val="24"/>
              </w:rPr>
              <w:t>100%</w:t>
            </w:r>
          </w:p>
        </w:tc>
        <w:tc>
          <w:tcPr>
            <w:tcW w:w="1986" w:type="dxa"/>
          </w:tcPr>
          <w:p w14:paraId="1D4BEB39" w14:textId="77777777" w:rsidR="002C6574" w:rsidRDefault="00000000">
            <w:pPr>
              <w:pStyle w:val="TableParagraph"/>
              <w:spacing w:before="11" w:line="285" w:lineRule="exact"/>
              <w:ind w:left="17" w:right="3"/>
              <w:jc w:val="center"/>
              <w:rPr>
                <w:rFonts w:ascii="Calibri"/>
                <w:sz w:val="24"/>
              </w:rPr>
            </w:pPr>
            <w:r>
              <w:rPr>
                <w:rFonts w:ascii="Calibri"/>
                <w:spacing w:val="-4"/>
                <w:sz w:val="24"/>
              </w:rPr>
              <w:t>100%</w:t>
            </w:r>
          </w:p>
        </w:tc>
        <w:tc>
          <w:tcPr>
            <w:tcW w:w="2977" w:type="dxa"/>
          </w:tcPr>
          <w:p w14:paraId="048BBB15" w14:textId="77777777" w:rsidR="002C6574" w:rsidRDefault="00000000">
            <w:pPr>
              <w:pStyle w:val="TableParagraph"/>
              <w:spacing w:before="11" w:line="285" w:lineRule="exact"/>
              <w:ind w:left="17" w:right="2"/>
              <w:jc w:val="center"/>
              <w:rPr>
                <w:rFonts w:ascii="Calibri"/>
                <w:sz w:val="24"/>
              </w:rPr>
            </w:pPr>
            <w:r>
              <w:rPr>
                <w:rFonts w:ascii="Calibri"/>
                <w:spacing w:val="-5"/>
                <w:sz w:val="24"/>
              </w:rPr>
              <w:t>0%</w:t>
            </w:r>
          </w:p>
        </w:tc>
      </w:tr>
    </w:tbl>
    <w:p w14:paraId="0B4EB428" w14:textId="77777777" w:rsidR="002C6574" w:rsidRDefault="002C6574">
      <w:pPr>
        <w:pStyle w:val="TableParagraph"/>
        <w:spacing w:line="285" w:lineRule="exact"/>
        <w:jc w:val="center"/>
        <w:rPr>
          <w:rFonts w:ascii="Calibri"/>
          <w:sz w:val="24"/>
        </w:rPr>
        <w:sectPr w:rsidR="002C6574">
          <w:headerReference w:type="default" r:id="rId112"/>
          <w:footerReference w:type="default" r:id="rId113"/>
          <w:pgSz w:w="11910" w:h="16840"/>
          <w:pgMar w:top="1520" w:right="141" w:bottom="1240" w:left="1133" w:header="315" w:footer="1049" w:gutter="0"/>
          <w:pgNumType w:start="1"/>
          <w:cols w:space="720"/>
        </w:sectPr>
      </w:pPr>
    </w:p>
    <w:p w14:paraId="6562066C" w14:textId="77777777" w:rsidR="002C6574" w:rsidRDefault="002C6574">
      <w:pPr>
        <w:pStyle w:val="Corpodetexto"/>
        <w:spacing w:before="45"/>
        <w:rPr>
          <w:rFonts w:ascii="Calibri"/>
          <w:sz w:val="24"/>
        </w:rPr>
      </w:pPr>
    </w:p>
    <w:p w14:paraId="7C9D374B" w14:textId="77777777" w:rsidR="002C6574" w:rsidRDefault="00000000">
      <w:pPr>
        <w:pStyle w:val="Ttulo7"/>
        <w:numPr>
          <w:ilvl w:val="2"/>
          <w:numId w:val="14"/>
        </w:numPr>
        <w:tabs>
          <w:tab w:val="left" w:pos="1276"/>
        </w:tabs>
        <w:spacing w:before="1"/>
        <w:ind w:left="1276" w:hanging="707"/>
      </w:pPr>
      <w:r>
        <w:rPr>
          <w:color w:val="001F5F"/>
          <w:spacing w:val="-2"/>
        </w:rPr>
        <w:t>DESTAQUES</w:t>
      </w:r>
    </w:p>
    <w:p w14:paraId="365F4530" w14:textId="77777777" w:rsidR="002C6574" w:rsidRDefault="002C6574">
      <w:pPr>
        <w:pStyle w:val="Corpodetexto"/>
        <w:spacing w:before="88"/>
        <w:rPr>
          <w:rFonts w:ascii="Calibri"/>
          <w:b/>
          <w:sz w:val="24"/>
        </w:rPr>
      </w:pPr>
    </w:p>
    <w:p w14:paraId="7FEE0F89" w14:textId="77777777" w:rsidR="002C6574" w:rsidRDefault="00000000">
      <w:pPr>
        <w:spacing w:line="278" w:lineRule="auto"/>
        <w:ind w:left="564" w:right="1554"/>
        <w:jc w:val="both"/>
        <w:rPr>
          <w:rFonts w:ascii="Calibri"/>
          <w:sz w:val="24"/>
        </w:rPr>
      </w:pPr>
      <w:r>
        <w:rPr>
          <w:rFonts w:ascii="Calibri"/>
          <w:color w:val="001F5F"/>
          <w:sz w:val="24"/>
        </w:rPr>
        <w:t>Dentre os assuntos e trabalhos realizados entre janeiro de 2025 e dezembro de 2025 pelo COAUD destacam-se os seguintes:</w:t>
      </w:r>
    </w:p>
    <w:p w14:paraId="6AD6F773" w14:textId="77777777" w:rsidR="002C6574" w:rsidRDefault="00000000">
      <w:pPr>
        <w:pStyle w:val="Ttulo8"/>
        <w:numPr>
          <w:ilvl w:val="3"/>
          <w:numId w:val="14"/>
        </w:numPr>
        <w:tabs>
          <w:tab w:val="left" w:pos="1276"/>
        </w:tabs>
        <w:spacing w:line="302" w:lineRule="exact"/>
        <w:ind w:left="1276" w:hanging="707"/>
      </w:pPr>
      <w:r>
        <w:rPr>
          <w:color w:val="001F5F"/>
        </w:rPr>
        <w:t>Das</w:t>
      </w:r>
      <w:r>
        <w:rPr>
          <w:color w:val="001F5F"/>
          <w:spacing w:val="-3"/>
        </w:rPr>
        <w:t xml:space="preserve"> </w:t>
      </w:r>
      <w:r>
        <w:rPr>
          <w:color w:val="001F5F"/>
        </w:rPr>
        <w:t xml:space="preserve">Demonstrações </w:t>
      </w:r>
      <w:r>
        <w:rPr>
          <w:color w:val="001F5F"/>
          <w:spacing w:val="-2"/>
        </w:rPr>
        <w:t>Contábeis</w:t>
      </w:r>
    </w:p>
    <w:p w14:paraId="53DFDA35" w14:textId="77777777" w:rsidR="002C6574" w:rsidRDefault="00000000">
      <w:pPr>
        <w:spacing w:before="43" w:line="276" w:lineRule="auto"/>
        <w:ind w:left="564" w:right="1555"/>
        <w:jc w:val="both"/>
        <w:rPr>
          <w:rFonts w:ascii="Calibri" w:hAnsi="Calibri"/>
          <w:sz w:val="24"/>
        </w:rPr>
      </w:pPr>
      <w:r>
        <w:rPr>
          <w:rFonts w:ascii="Calibri" w:hAnsi="Calibri"/>
          <w:color w:val="001F5F"/>
          <w:sz w:val="24"/>
        </w:rPr>
        <w:t>O Comitê acompanhou o processo de elaboração das Demonstrações Financeiras e notas explicativas relativas ao exercício findo em 31/12/2025 e procedeu à apreciação do Relatório da Administração, Relatório dos Auditores Independentes e demais documentos destinados à publicação. Tomou conhecimento das práticas contábeis adotadas</w:t>
      </w:r>
      <w:r>
        <w:rPr>
          <w:rFonts w:ascii="Calibri" w:hAnsi="Calibri"/>
          <w:color w:val="001F5F"/>
          <w:spacing w:val="-5"/>
          <w:sz w:val="24"/>
        </w:rPr>
        <w:t xml:space="preserve"> </w:t>
      </w:r>
      <w:r>
        <w:rPr>
          <w:rFonts w:ascii="Calibri" w:hAnsi="Calibri"/>
          <w:color w:val="001F5F"/>
          <w:sz w:val="24"/>
        </w:rPr>
        <w:t>pela</w:t>
      </w:r>
      <w:r>
        <w:rPr>
          <w:rFonts w:ascii="Calibri" w:hAnsi="Calibri"/>
          <w:color w:val="001F5F"/>
          <w:spacing w:val="-3"/>
          <w:sz w:val="24"/>
        </w:rPr>
        <w:t xml:space="preserve"> </w:t>
      </w:r>
      <w:r>
        <w:rPr>
          <w:rFonts w:ascii="Calibri" w:hAnsi="Calibri"/>
          <w:color w:val="001F5F"/>
          <w:sz w:val="24"/>
        </w:rPr>
        <w:t>Companhia</w:t>
      </w:r>
      <w:r>
        <w:rPr>
          <w:rFonts w:ascii="Calibri" w:hAnsi="Calibri"/>
          <w:color w:val="001F5F"/>
          <w:spacing w:val="-1"/>
          <w:sz w:val="24"/>
        </w:rPr>
        <w:t xml:space="preserve"> </w:t>
      </w:r>
      <w:r>
        <w:rPr>
          <w:rFonts w:ascii="Calibri" w:hAnsi="Calibri"/>
          <w:color w:val="001F5F"/>
          <w:sz w:val="24"/>
        </w:rPr>
        <w:t>durante</w:t>
      </w:r>
      <w:r>
        <w:rPr>
          <w:rFonts w:ascii="Calibri" w:hAnsi="Calibri"/>
          <w:color w:val="001F5F"/>
          <w:spacing w:val="-3"/>
          <w:sz w:val="24"/>
        </w:rPr>
        <w:t xml:space="preserve"> </w:t>
      </w:r>
      <w:r>
        <w:rPr>
          <w:rFonts w:ascii="Calibri" w:hAnsi="Calibri"/>
          <w:color w:val="001F5F"/>
          <w:sz w:val="24"/>
        </w:rPr>
        <w:t>as</w:t>
      </w:r>
      <w:r>
        <w:rPr>
          <w:rFonts w:ascii="Calibri" w:hAnsi="Calibri"/>
          <w:color w:val="001F5F"/>
          <w:spacing w:val="-4"/>
          <w:sz w:val="24"/>
        </w:rPr>
        <w:t xml:space="preserve"> </w:t>
      </w:r>
      <w:r>
        <w:rPr>
          <w:rFonts w:ascii="Calibri" w:hAnsi="Calibri"/>
          <w:color w:val="001F5F"/>
          <w:sz w:val="24"/>
        </w:rPr>
        <w:t>reuniões</w:t>
      </w:r>
      <w:r>
        <w:rPr>
          <w:rFonts w:ascii="Calibri" w:hAnsi="Calibri"/>
          <w:color w:val="001F5F"/>
          <w:spacing w:val="-4"/>
          <w:sz w:val="24"/>
        </w:rPr>
        <w:t xml:space="preserve"> </w:t>
      </w:r>
      <w:r>
        <w:rPr>
          <w:rFonts w:ascii="Calibri" w:hAnsi="Calibri"/>
          <w:color w:val="001F5F"/>
          <w:sz w:val="24"/>
        </w:rPr>
        <w:t>realizadas</w:t>
      </w:r>
      <w:r>
        <w:rPr>
          <w:rFonts w:ascii="Calibri" w:hAnsi="Calibri"/>
          <w:color w:val="001F5F"/>
          <w:spacing w:val="-4"/>
          <w:sz w:val="24"/>
        </w:rPr>
        <w:t xml:space="preserve"> </w:t>
      </w:r>
      <w:r>
        <w:rPr>
          <w:rFonts w:ascii="Calibri" w:hAnsi="Calibri"/>
          <w:color w:val="001F5F"/>
          <w:sz w:val="24"/>
        </w:rPr>
        <w:t>com</w:t>
      </w:r>
      <w:r>
        <w:rPr>
          <w:rFonts w:ascii="Calibri" w:hAnsi="Calibri"/>
          <w:color w:val="001F5F"/>
          <w:spacing w:val="-4"/>
          <w:sz w:val="24"/>
        </w:rPr>
        <w:t xml:space="preserve"> </w:t>
      </w:r>
      <w:r>
        <w:rPr>
          <w:rFonts w:ascii="Calibri" w:hAnsi="Calibri"/>
          <w:color w:val="001F5F"/>
          <w:sz w:val="24"/>
        </w:rPr>
        <w:t>os</w:t>
      </w:r>
      <w:r>
        <w:rPr>
          <w:rFonts w:ascii="Calibri" w:hAnsi="Calibri"/>
          <w:color w:val="001F5F"/>
          <w:spacing w:val="-3"/>
          <w:sz w:val="24"/>
        </w:rPr>
        <w:t xml:space="preserve"> </w:t>
      </w:r>
      <w:r>
        <w:rPr>
          <w:rFonts w:ascii="Calibri" w:hAnsi="Calibri"/>
          <w:color w:val="001F5F"/>
          <w:sz w:val="24"/>
        </w:rPr>
        <w:t>gestores</w:t>
      </w:r>
      <w:r>
        <w:rPr>
          <w:rFonts w:ascii="Calibri" w:hAnsi="Calibri"/>
          <w:color w:val="001F5F"/>
          <w:spacing w:val="-6"/>
          <w:sz w:val="24"/>
        </w:rPr>
        <w:t xml:space="preserve"> </w:t>
      </w:r>
      <w:r>
        <w:rPr>
          <w:rFonts w:ascii="Calibri" w:hAnsi="Calibri"/>
          <w:color w:val="001F5F"/>
          <w:sz w:val="24"/>
        </w:rPr>
        <w:t>responsáveis pela elaboração dos referidos documentos e com os auditores independentes.</w:t>
      </w:r>
    </w:p>
    <w:p w14:paraId="4DC2FE97" w14:textId="77777777" w:rsidR="002C6574" w:rsidRDefault="00000000">
      <w:pPr>
        <w:spacing w:line="276" w:lineRule="auto"/>
        <w:ind w:left="569" w:right="1562"/>
        <w:jc w:val="both"/>
        <w:rPr>
          <w:rFonts w:ascii="Calibri" w:hAnsi="Calibri"/>
          <w:sz w:val="24"/>
        </w:rPr>
      </w:pPr>
      <w:r>
        <w:rPr>
          <w:rFonts w:ascii="Calibri" w:hAnsi="Calibri"/>
          <w:color w:val="001F5F"/>
          <w:sz w:val="24"/>
        </w:rPr>
        <w:t>O Comitê verificou que as práticas contábeis adotadas durante a elaboração das demonstrações financeiras estão alinhadas às normas contábeis adotadas no Brasil, bem como a legislação aplicada pelos órgãos de controle.</w:t>
      </w:r>
    </w:p>
    <w:p w14:paraId="4CADD0CE" w14:textId="77777777" w:rsidR="002C6574" w:rsidRDefault="00000000">
      <w:pPr>
        <w:pStyle w:val="Ttulo8"/>
        <w:numPr>
          <w:ilvl w:val="3"/>
          <w:numId w:val="14"/>
        </w:numPr>
        <w:tabs>
          <w:tab w:val="left" w:pos="1276"/>
        </w:tabs>
        <w:spacing w:before="1"/>
        <w:ind w:left="1276" w:hanging="707"/>
      </w:pPr>
      <w:r>
        <w:rPr>
          <w:color w:val="001F5F"/>
        </w:rPr>
        <w:t>Da</w:t>
      </w:r>
      <w:r>
        <w:rPr>
          <w:color w:val="001F5F"/>
          <w:spacing w:val="-3"/>
        </w:rPr>
        <w:t xml:space="preserve"> </w:t>
      </w:r>
      <w:r>
        <w:rPr>
          <w:color w:val="001F5F"/>
        </w:rPr>
        <w:t>Auditoria</w:t>
      </w:r>
      <w:r>
        <w:rPr>
          <w:color w:val="001F5F"/>
          <w:spacing w:val="-2"/>
        </w:rPr>
        <w:t xml:space="preserve"> Independente</w:t>
      </w:r>
    </w:p>
    <w:p w14:paraId="43304288" w14:textId="77777777" w:rsidR="002C6574" w:rsidRDefault="00000000">
      <w:pPr>
        <w:spacing w:before="43" w:line="276" w:lineRule="auto"/>
        <w:ind w:left="569" w:right="1565"/>
        <w:jc w:val="both"/>
        <w:rPr>
          <w:rFonts w:ascii="Calibri" w:hAnsi="Calibri"/>
          <w:sz w:val="24"/>
        </w:rPr>
      </w:pPr>
      <w:r>
        <w:rPr>
          <w:rFonts w:ascii="Calibri" w:hAnsi="Calibri"/>
          <w:color w:val="001F5F"/>
          <w:sz w:val="24"/>
        </w:rPr>
        <w:t>O</w:t>
      </w:r>
      <w:r>
        <w:rPr>
          <w:rFonts w:ascii="Calibri" w:hAnsi="Calibri"/>
          <w:color w:val="001F5F"/>
          <w:spacing w:val="-1"/>
          <w:sz w:val="24"/>
        </w:rPr>
        <w:t xml:space="preserve"> </w:t>
      </w:r>
      <w:r>
        <w:rPr>
          <w:rFonts w:ascii="Calibri" w:hAnsi="Calibri"/>
          <w:color w:val="001F5F"/>
          <w:sz w:val="24"/>
        </w:rPr>
        <w:t>COAUD considera satisfatório o resultado</w:t>
      </w:r>
      <w:r>
        <w:rPr>
          <w:rFonts w:ascii="Calibri" w:hAnsi="Calibri"/>
          <w:color w:val="001F5F"/>
          <w:spacing w:val="-2"/>
          <w:sz w:val="24"/>
        </w:rPr>
        <w:t xml:space="preserve"> </w:t>
      </w:r>
      <w:r>
        <w:rPr>
          <w:rFonts w:ascii="Calibri" w:hAnsi="Calibri"/>
          <w:color w:val="001F5F"/>
          <w:sz w:val="24"/>
        </w:rPr>
        <w:t>dos trabalhos</w:t>
      </w:r>
      <w:r>
        <w:rPr>
          <w:rFonts w:ascii="Calibri" w:hAnsi="Calibri"/>
          <w:color w:val="001F5F"/>
          <w:spacing w:val="-2"/>
          <w:sz w:val="24"/>
        </w:rPr>
        <w:t xml:space="preserve"> </w:t>
      </w:r>
      <w:r>
        <w:rPr>
          <w:rFonts w:ascii="Calibri" w:hAnsi="Calibri"/>
          <w:color w:val="001F5F"/>
          <w:sz w:val="24"/>
        </w:rPr>
        <w:t>de Auditoria,</w:t>
      </w:r>
      <w:r>
        <w:rPr>
          <w:rFonts w:ascii="Calibri" w:hAnsi="Calibri"/>
          <w:color w:val="001F5F"/>
          <w:spacing w:val="-2"/>
          <w:sz w:val="24"/>
        </w:rPr>
        <w:t xml:space="preserve"> </w:t>
      </w:r>
      <w:r>
        <w:rPr>
          <w:rFonts w:ascii="Calibri" w:hAnsi="Calibri"/>
          <w:color w:val="001F5F"/>
          <w:sz w:val="24"/>
        </w:rPr>
        <w:t>não tendo sido identificadas situações que pudessem afetar a objetividade e a independência dos auditores independentes.</w:t>
      </w:r>
    </w:p>
    <w:p w14:paraId="2D753120" w14:textId="77777777" w:rsidR="002C6574" w:rsidRDefault="00000000">
      <w:pPr>
        <w:pStyle w:val="Ttulo8"/>
        <w:numPr>
          <w:ilvl w:val="3"/>
          <w:numId w:val="14"/>
        </w:numPr>
        <w:tabs>
          <w:tab w:val="left" w:pos="1276"/>
        </w:tabs>
        <w:spacing w:before="2"/>
        <w:ind w:left="1276" w:hanging="707"/>
      </w:pPr>
      <w:r>
        <w:rPr>
          <w:color w:val="001F5F"/>
          <w:spacing w:val="-2"/>
        </w:rPr>
        <w:t>Autoavaliação</w:t>
      </w:r>
    </w:p>
    <w:p w14:paraId="03EA6AAD" w14:textId="77777777" w:rsidR="002C6574" w:rsidRDefault="00000000">
      <w:pPr>
        <w:spacing w:before="43"/>
        <w:ind w:left="564"/>
        <w:jc w:val="both"/>
        <w:rPr>
          <w:rFonts w:ascii="Calibri" w:hAnsi="Calibri"/>
          <w:sz w:val="24"/>
        </w:rPr>
      </w:pPr>
      <w:r>
        <w:rPr>
          <w:rFonts w:ascii="Calibri" w:hAnsi="Calibri"/>
          <w:color w:val="001F5F"/>
          <w:sz w:val="24"/>
        </w:rPr>
        <w:t>O</w:t>
      </w:r>
      <w:r>
        <w:rPr>
          <w:rFonts w:ascii="Calibri" w:hAnsi="Calibri"/>
          <w:color w:val="001F5F"/>
          <w:spacing w:val="-3"/>
          <w:sz w:val="24"/>
        </w:rPr>
        <w:t xml:space="preserve"> </w:t>
      </w:r>
      <w:r>
        <w:rPr>
          <w:rFonts w:ascii="Calibri" w:hAnsi="Calibri"/>
          <w:color w:val="001F5F"/>
          <w:sz w:val="24"/>
        </w:rPr>
        <w:t>Comitê</w:t>
      </w:r>
      <w:r>
        <w:rPr>
          <w:rFonts w:ascii="Calibri" w:hAnsi="Calibri"/>
          <w:color w:val="001F5F"/>
          <w:spacing w:val="-2"/>
          <w:sz w:val="24"/>
        </w:rPr>
        <w:t xml:space="preserve"> </w:t>
      </w:r>
      <w:r>
        <w:rPr>
          <w:rFonts w:ascii="Calibri" w:hAnsi="Calibri"/>
          <w:color w:val="001F5F"/>
          <w:sz w:val="24"/>
        </w:rPr>
        <w:t>procedeu</w:t>
      </w:r>
      <w:r>
        <w:rPr>
          <w:rFonts w:ascii="Calibri" w:hAnsi="Calibri"/>
          <w:color w:val="001F5F"/>
          <w:spacing w:val="-3"/>
          <w:sz w:val="24"/>
        </w:rPr>
        <w:t xml:space="preserve"> </w:t>
      </w:r>
      <w:r>
        <w:rPr>
          <w:rFonts w:ascii="Calibri" w:hAnsi="Calibri"/>
          <w:color w:val="001F5F"/>
          <w:sz w:val="24"/>
        </w:rPr>
        <w:t>com</w:t>
      </w:r>
      <w:r>
        <w:rPr>
          <w:rFonts w:ascii="Calibri" w:hAnsi="Calibri"/>
          <w:color w:val="001F5F"/>
          <w:spacing w:val="-2"/>
          <w:sz w:val="24"/>
        </w:rPr>
        <w:t xml:space="preserve"> </w:t>
      </w:r>
      <w:r>
        <w:rPr>
          <w:rFonts w:ascii="Calibri" w:hAnsi="Calibri"/>
          <w:color w:val="001F5F"/>
          <w:sz w:val="24"/>
        </w:rPr>
        <w:t>sua</w:t>
      </w:r>
      <w:r>
        <w:rPr>
          <w:rFonts w:ascii="Calibri" w:hAnsi="Calibri"/>
          <w:color w:val="001F5F"/>
          <w:spacing w:val="-1"/>
          <w:sz w:val="24"/>
        </w:rPr>
        <w:t xml:space="preserve"> </w:t>
      </w:r>
      <w:r>
        <w:rPr>
          <w:rFonts w:ascii="Calibri" w:hAnsi="Calibri"/>
          <w:color w:val="001F5F"/>
          <w:spacing w:val="-2"/>
          <w:sz w:val="24"/>
        </w:rPr>
        <w:t>autoavaliação.</w:t>
      </w:r>
    </w:p>
    <w:p w14:paraId="530B1E5A" w14:textId="77777777" w:rsidR="002C6574" w:rsidRDefault="00000000">
      <w:pPr>
        <w:pStyle w:val="Ttulo8"/>
        <w:numPr>
          <w:ilvl w:val="3"/>
          <w:numId w:val="14"/>
        </w:numPr>
        <w:tabs>
          <w:tab w:val="left" w:pos="1276"/>
        </w:tabs>
        <w:spacing w:before="45"/>
        <w:ind w:left="1276" w:hanging="707"/>
      </w:pPr>
      <w:r>
        <w:rPr>
          <w:color w:val="001F5F"/>
        </w:rPr>
        <w:t>Partes</w:t>
      </w:r>
      <w:r>
        <w:rPr>
          <w:color w:val="001F5F"/>
          <w:spacing w:val="-2"/>
        </w:rPr>
        <w:t xml:space="preserve"> Relacionadas</w:t>
      </w:r>
    </w:p>
    <w:p w14:paraId="6C9842AD" w14:textId="77777777" w:rsidR="002C6574" w:rsidRDefault="00000000">
      <w:pPr>
        <w:spacing w:before="43"/>
        <w:ind w:left="569" w:right="1561"/>
        <w:jc w:val="both"/>
        <w:rPr>
          <w:rFonts w:ascii="Calibri" w:hAnsi="Calibri"/>
          <w:sz w:val="24"/>
        </w:rPr>
      </w:pPr>
      <w:r>
        <w:rPr>
          <w:rFonts w:ascii="Calibri" w:hAnsi="Calibri"/>
          <w:color w:val="001F5F"/>
          <w:sz w:val="24"/>
        </w:rPr>
        <w:t>O Comitê acompanhou e supervisionou as atividades desenvolvidas pela Auditoria Interna, avaliando e monitorando, em conjunto com a administração, a adequação e o fiel</w:t>
      </w:r>
      <w:r>
        <w:rPr>
          <w:rFonts w:ascii="Calibri" w:hAnsi="Calibri"/>
          <w:color w:val="001F5F"/>
          <w:spacing w:val="-8"/>
          <w:sz w:val="24"/>
        </w:rPr>
        <w:t xml:space="preserve"> </w:t>
      </w:r>
      <w:r>
        <w:rPr>
          <w:rFonts w:ascii="Calibri" w:hAnsi="Calibri"/>
          <w:color w:val="001F5F"/>
          <w:sz w:val="24"/>
        </w:rPr>
        <w:t>cumprimento</w:t>
      </w:r>
      <w:r>
        <w:rPr>
          <w:rFonts w:ascii="Calibri" w:hAnsi="Calibri"/>
          <w:color w:val="001F5F"/>
          <w:spacing w:val="-9"/>
          <w:sz w:val="24"/>
        </w:rPr>
        <w:t xml:space="preserve"> </w:t>
      </w:r>
      <w:r>
        <w:rPr>
          <w:rFonts w:ascii="Calibri" w:hAnsi="Calibri"/>
          <w:color w:val="001F5F"/>
          <w:sz w:val="24"/>
        </w:rPr>
        <w:t>das</w:t>
      </w:r>
      <w:r>
        <w:rPr>
          <w:rFonts w:ascii="Calibri" w:hAnsi="Calibri"/>
          <w:color w:val="001F5F"/>
          <w:spacing w:val="-8"/>
          <w:sz w:val="24"/>
        </w:rPr>
        <w:t xml:space="preserve"> </w:t>
      </w:r>
      <w:r>
        <w:rPr>
          <w:rFonts w:ascii="Calibri" w:hAnsi="Calibri"/>
          <w:color w:val="001F5F"/>
          <w:sz w:val="24"/>
        </w:rPr>
        <w:t>transações</w:t>
      </w:r>
      <w:r>
        <w:rPr>
          <w:rFonts w:ascii="Calibri" w:hAnsi="Calibri"/>
          <w:color w:val="001F5F"/>
          <w:spacing w:val="-9"/>
          <w:sz w:val="24"/>
        </w:rPr>
        <w:t xml:space="preserve"> </w:t>
      </w:r>
      <w:r>
        <w:rPr>
          <w:rFonts w:ascii="Calibri" w:hAnsi="Calibri"/>
          <w:color w:val="001F5F"/>
          <w:sz w:val="24"/>
        </w:rPr>
        <w:t>com</w:t>
      </w:r>
      <w:r>
        <w:rPr>
          <w:rFonts w:ascii="Calibri" w:hAnsi="Calibri"/>
          <w:color w:val="001F5F"/>
          <w:spacing w:val="-8"/>
          <w:sz w:val="24"/>
        </w:rPr>
        <w:t xml:space="preserve"> </w:t>
      </w:r>
      <w:r>
        <w:rPr>
          <w:rFonts w:ascii="Calibri" w:hAnsi="Calibri"/>
          <w:color w:val="001F5F"/>
          <w:sz w:val="24"/>
        </w:rPr>
        <w:t>partes</w:t>
      </w:r>
      <w:r>
        <w:rPr>
          <w:rFonts w:ascii="Calibri" w:hAnsi="Calibri"/>
          <w:color w:val="001F5F"/>
          <w:spacing w:val="-8"/>
          <w:sz w:val="24"/>
        </w:rPr>
        <w:t xml:space="preserve"> </w:t>
      </w:r>
      <w:r>
        <w:rPr>
          <w:rFonts w:ascii="Calibri" w:hAnsi="Calibri"/>
          <w:color w:val="001F5F"/>
          <w:sz w:val="24"/>
        </w:rPr>
        <w:t>relacionadas</w:t>
      </w:r>
      <w:r>
        <w:rPr>
          <w:rFonts w:ascii="Calibri" w:hAnsi="Calibri"/>
          <w:color w:val="001F5F"/>
          <w:spacing w:val="-8"/>
          <w:sz w:val="24"/>
        </w:rPr>
        <w:t xml:space="preserve"> </w:t>
      </w:r>
      <w:r>
        <w:rPr>
          <w:rFonts w:ascii="Calibri" w:hAnsi="Calibri"/>
          <w:color w:val="001F5F"/>
          <w:sz w:val="24"/>
        </w:rPr>
        <w:t>aos</w:t>
      </w:r>
      <w:r>
        <w:rPr>
          <w:rFonts w:ascii="Calibri" w:hAnsi="Calibri"/>
          <w:color w:val="001F5F"/>
          <w:spacing w:val="-8"/>
          <w:sz w:val="24"/>
        </w:rPr>
        <w:t xml:space="preserve"> </w:t>
      </w:r>
      <w:r>
        <w:rPr>
          <w:rFonts w:ascii="Calibri" w:hAnsi="Calibri"/>
          <w:color w:val="001F5F"/>
          <w:sz w:val="24"/>
        </w:rPr>
        <w:t>critérios</w:t>
      </w:r>
      <w:r>
        <w:rPr>
          <w:rFonts w:ascii="Calibri" w:hAnsi="Calibri"/>
          <w:color w:val="001F5F"/>
          <w:spacing w:val="-8"/>
          <w:sz w:val="24"/>
        </w:rPr>
        <w:t xml:space="preserve"> </w:t>
      </w:r>
      <w:r>
        <w:rPr>
          <w:rFonts w:ascii="Calibri" w:hAnsi="Calibri"/>
          <w:color w:val="001F5F"/>
          <w:sz w:val="24"/>
        </w:rPr>
        <w:t>estabelecidos</w:t>
      </w:r>
      <w:r>
        <w:rPr>
          <w:rFonts w:ascii="Calibri" w:hAnsi="Calibri"/>
          <w:color w:val="001F5F"/>
          <w:spacing w:val="-9"/>
          <w:sz w:val="24"/>
        </w:rPr>
        <w:t xml:space="preserve"> </w:t>
      </w:r>
      <w:r>
        <w:rPr>
          <w:rFonts w:ascii="Calibri" w:hAnsi="Calibri"/>
          <w:color w:val="001F5F"/>
          <w:sz w:val="24"/>
        </w:rPr>
        <w:t>na Política de Transações com Partes Relacionadas e sua divulgação.</w:t>
      </w:r>
    </w:p>
    <w:p w14:paraId="2842DAD7" w14:textId="77777777" w:rsidR="002C6574" w:rsidRDefault="00000000">
      <w:pPr>
        <w:pStyle w:val="Ttulo8"/>
        <w:numPr>
          <w:ilvl w:val="3"/>
          <w:numId w:val="14"/>
        </w:numPr>
        <w:tabs>
          <w:tab w:val="left" w:pos="1276"/>
        </w:tabs>
        <w:spacing w:before="1"/>
        <w:ind w:left="1276" w:hanging="707"/>
      </w:pPr>
      <w:r>
        <w:rPr>
          <w:color w:val="001F5F"/>
        </w:rPr>
        <w:t>Auditoria</w:t>
      </w:r>
      <w:r>
        <w:rPr>
          <w:color w:val="001F5F"/>
          <w:spacing w:val="-7"/>
        </w:rPr>
        <w:t xml:space="preserve"> </w:t>
      </w:r>
      <w:r>
        <w:rPr>
          <w:color w:val="001F5F"/>
          <w:spacing w:val="-2"/>
        </w:rPr>
        <w:t>Interna</w:t>
      </w:r>
    </w:p>
    <w:p w14:paraId="27D2247A" w14:textId="77777777" w:rsidR="002C6574" w:rsidRDefault="00000000">
      <w:pPr>
        <w:spacing w:before="43" w:line="276" w:lineRule="auto"/>
        <w:ind w:left="564" w:right="1552"/>
        <w:jc w:val="both"/>
        <w:rPr>
          <w:rFonts w:ascii="Calibri" w:hAnsi="Calibri"/>
          <w:sz w:val="24"/>
        </w:rPr>
      </w:pPr>
      <w:r>
        <w:rPr>
          <w:rFonts w:ascii="Calibri" w:hAnsi="Calibri"/>
          <w:color w:val="001F5F"/>
          <w:sz w:val="24"/>
        </w:rPr>
        <w:t>O Comitê acompanhou e supervisionou as atividades desenvolvidas pela Auditoria Interna, examinou o Plano Anual de Atividades da Auditoria Interna (PAINT-2026) e Relatório Anual de Atividades da Auditoria Interna (RAINT-2025), bem como recebeu, discutiu</w:t>
      </w:r>
      <w:r>
        <w:rPr>
          <w:rFonts w:ascii="Calibri" w:hAnsi="Calibri"/>
          <w:color w:val="001F5F"/>
          <w:spacing w:val="-2"/>
          <w:sz w:val="24"/>
        </w:rPr>
        <w:t xml:space="preserve"> </w:t>
      </w:r>
      <w:r>
        <w:rPr>
          <w:rFonts w:ascii="Calibri" w:hAnsi="Calibri"/>
          <w:color w:val="001F5F"/>
          <w:sz w:val="24"/>
        </w:rPr>
        <w:t>e</w:t>
      </w:r>
      <w:r>
        <w:rPr>
          <w:rFonts w:ascii="Calibri" w:hAnsi="Calibri"/>
          <w:color w:val="001F5F"/>
          <w:spacing w:val="-2"/>
          <w:sz w:val="24"/>
        </w:rPr>
        <w:t xml:space="preserve"> </w:t>
      </w:r>
      <w:r>
        <w:rPr>
          <w:rFonts w:ascii="Calibri" w:hAnsi="Calibri"/>
          <w:color w:val="001F5F"/>
          <w:sz w:val="24"/>
        </w:rPr>
        <w:t>acompanhou</w:t>
      </w:r>
      <w:r>
        <w:rPr>
          <w:rFonts w:ascii="Calibri" w:hAnsi="Calibri"/>
          <w:color w:val="001F5F"/>
          <w:spacing w:val="-2"/>
          <w:sz w:val="24"/>
        </w:rPr>
        <w:t xml:space="preserve"> </w:t>
      </w:r>
      <w:r>
        <w:rPr>
          <w:rFonts w:ascii="Calibri" w:hAnsi="Calibri"/>
          <w:color w:val="001F5F"/>
          <w:sz w:val="24"/>
        </w:rPr>
        <w:t>relatórios</w:t>
      </w:r>
      <w:r>
        <w:rPr>
          <w:rFonts w:ascii="Calibri" w:hAnsi="Calibri"/>
          <w:color w:val="001F5F"/>
          <w:spacing w:val="-2"/>
          <w:sz w:val="24"/>
        </w:rPr>
        <w:t xml:space="preserve"> </w:t>
      </w:r>
      <w:r>
        <w:rPr>
          <w:rFonts w:ascii="Calibri" w:hAnsi="Calibri"/>
          <w:color w:val="001F5F"/>
          <w:sz w:val="24"/>
        </w:rPr>
        <w:t>regulares</w:t>
      </w:r>
      <w:r>
        <w:rPr>
          <w:rFonts w:ascii="Calibri" w:hAnsi="Calibri"/>
          <w:color w:val="001F5F"/>
          <w:spacing w:val="-3"/>
          <w:sz w:val="24"/>
        </w:rPr>
        <w:t xml:space="preserve"> </w:t>
      </w:r>
      <w:r>
        <w:rPr>
          <w:rFonts w:ascii="Calibri" w:hAnsi="Calibri"/>
          <w:color w:val="001F5F"/>
          <w:sz w:val="24"/>
        </w:rPr>
        <w:t>da</w:t>
      </w:r>
      <w:r>
        <w:rPr>
          <w:rFonts w:ascii="Calibri" w:hAnsi="Calibri"/>
          <w:color w:val="001F5F"/>
          <w:spacing w:val="-3"/>
          <w:sz w:val="24"/>
        </w:rPr>
        <w:t xml:space="preserve"> </w:t>
      </w:r>
      <w:r>
        <w:rPr>
          <w:rFonts w:ascii="Calibri" w:hAnsi="Calibri"/>
          <w:color w:val="001F5F"/>
          <w:sz w:val="24"/>
        </w:rPr>
        <w:t>Auditoria</w:t>
      </w:r>
      <w:r>
        <w:rPr>
          <w:rFonts w:ascii="Calibri" w:hAnsi="Calibri"/>
          <w:color w:val="001F5F"/>
          <w:spacing w:val="-3"/>
          <w:sz w:val="24"/>
        </w:rPr>
        <w:t xml:space="preserve"> </w:t>
      </w:r>
      <w:r>
        <w:rPr>
          <w:rFonts w:ascii="Calibri" w:hAnsi="Calibri"/>
          <w:color w:val="001F5F"/>
          <w:sz w:val="24"/>
        </w:rPr>
        <w:t>Interna</w:t>
      </w:r>
      <w:r>
        <w:rPr>
          <w:rFonts w:ascii="Calibri" w:hAnsi="Calibri"/>
          <w:color w:val="001F5F"/>
          <w:spacing w:val="-5"/>
          <w:sz w:val="24"/>
        </w:rPr>
        <w:t xml:space="preserve"> </w:t>
      </w:r>
      <w:r>
        <w:rPr>
          <w:rFonts w:ascii="Calibri" w:hAnsi="Calibri"/>
          <w:color w:val="001F5F"/>
          <w:sz w:val="24"/>
        </w:rPr>
        <w:t>sobre</w:t>
      </w:r>
      <w:r>
        <w:rPr>
          <w:rFonts w:ascii="Calibri" w:hAnsi="Calibri"/>
          <w:color w:val="001F5F"/>
          <w:spacing w:val="-2"/>
          <w:sz w:val="24"/>
        </w:rPr>
        <w:t xml:space="preserve"> </w:t>
      </w:r>
      <w:r>
        <w:rPr>
          <w:rFonts w:ascii="Calibri" w:hAnsi="Calibri"/>
          <w:color w:val="001F5F"/>
          <w:sz w:val="24"/>
        </w:rPr>
        <w:t>os</w:t>
      </w:r>
      <w:r>
        <w:rPr>
          <w:rFonts w:ascii="Calibri" w:hAnsi="Calibri"/>
          <w:color w:val="001F5F"/>
          <w:spacing w:val="-2"/>
          <w:sz w:val="24"/>
        </w:rPr>
        <w:t xml:space="preserve"> </w:t>
      </w:r>
      <w:r>
        <w:rPr>
          <w:rFonts w:ascii="Calibri" w:hAnsi="Calibri"/>
          <w:color w:val="001F5F"/>
          <w:sz w:val="24"/>
        </w:rPr>
        <w:t>resultados</w:t>
      </w:r>
      <w:r>
        <w:rPr>
          <w:rFonts w:ascii="Calibri" w:hAnsi="Calibri"/>
          <w:color w:val="001F5F"/>
          <w:spacing w:val="-2"/>
          <w:sz w:val="24"/>
        </w:rPr>
        <w:t xml:space="preserve"> </w:t>
      </w:r>
      <w:r>
        <w:rPr>
          <w:rFonts w:ascii="Calibri" w:hAnsi="Calibri"/>
          <w:color w:val="001F5F"/>
          <w:sz w:val="24"/>
        </w:rPr>
        <w:t>de suas atividades, incluindo as respostas da Diretoria às recomendações feitas sobre controles e inconformidades.</w:t>
      </w:r>
    </w:p>
    <w:p w14:paraId="43CE22E7" w14:textId="77777777" w:rsidR="002C6574" w:rsidRDefault="00000000">
      <w:pPr>
        <w:pStyle w:val="Ttulo8"/>
        <w:numPr>
          <w:ilvl w:val="3"/>
          <w:numId w:val="14"/>
        </w:numPr>
        <w:tabs>
          <w:tab w:val="left" w:pos="1276"/>
        </w:tabs>
        <w:spacing w:before="1"/>
        <w:ind w:left="1276" w:hanging="707"/>
      </w:pPr>
      <w:r>
        <w:rPr>
          <w:color w:val="001F5F"/>
        </w:rPr>
        <w:t>Gestão</w:t>
      </w:r>
      <w:r>
        <w:rPr>
          <w:color w:val="001F5F"/>
          <w:spacing w:val="-2"/>
        </w:rPr>
        <w:t xml:space="preserve"> </w:t>
      </w:r>
      <w:r>
        <w:rPr>
          <w:color w:val="001F5F"/>
        </w:rPr>
        <w:t>de</w:t>
      </w:r>
      <w:r>
        <w:rPr>
          <w:color w:val="001F5F"/>
          <w:spacing w:val="-3"/>
        </w:rPr>
        <w:t xml:space="preserve"> </w:t>
      </w:r>
      <w:r>
        <w:rPr>
          <w:color w:val="001F5F"/>
        </w:rPr>
        <w:t>Riscos,</w:t>
      </w:r>
      <w:r>
        <w:rPr>
          <w:color w:val="001F5F"/>
          <w:spacing w:val="-2"/>
        </w:rPr>
        <w:t xml:space="preserve"> </w:t>
      </w:r>
      <w:r>
        <w:rPr>
          <w:color w:val="001F5F"/>
        </w:rPr>
        <w:t>Controles</w:t>
      </w:r>
      <w:r>
        <w:rPr>
          <w:color w:val="001F5F"/>
          <w:spacing w:val="-2"/>
        </w:rPr>
        <w:t xml:space="preserve"> </w:t>
      </w:r>
      <w:r>
        <w:rPr>
          <w:color w:val="001F5F"/>
        </w:rPr>
        <w:t>e</w:t>
      </w:r>
      <w:r>
        <w:rPr>
          <w:color w:val="001F5F"/>
          <w:spacing w:val="-3"/>
        </w:rPr>
        <w:t xml:space="preserve"> </w:t>
      </w:r>
      <w:r>
        <w:rPr>
          <w:color w:val="001F5F"/>
          <w:spacing w:val="-2"/>
        </w:rPr>
        <w:t>Conformidade</w:t>
      </w:r>
    </w:p>
    <w:p w14:paraId="561DD5CD" w14:textId="77777777" w:rsidR="002C6574" w:rsidRDefault="00000000">
      <w:pPr>
        <w:spacing w:before="43" w:line="276" w:lineRule="auto"/>
        <w:ind w:left="569" w:right="1552"/>
        <w:jc w:val="both"/>
        <w:rPr>
          <w:rFonts w:ascii="Calibri" w:hAnsi="Calibri"/>
          <w:sz w:val="24"/>
        </w:rPr>
      </w:pPr>
      <w:r>
        <w:rPr>
          <w:rFonts w:ascii="Calibri" w:hAnsi="Calibri"/>
          <w:color w:val="001F5F"/>
          <w:sz w:val="24"/>
        </w:rPr>
        <w:t>O Comitê acompanhou e monitorou a qualidade dos controles internos, da conformidade</w:t>
      </w:r>
      <w:r>
        <w:rPr>
          <w:rFonts w:ascii="Calibri" w:hAnsi="Calibri"/>
          <w:color w:val="001F5F"/>
          <w:spacing w:val="-14"/>
          <w:sz w:val="24"/>
        </w:rPr>
        <w:t xml:space="preserve"> </w:t>
      </w:r>
      <w:r>
        <w:rPr>
          <w:rFonts w:ascii="Calibri" w:hAnsi="Calibri"/>
          <w:color w:val="001F5F"/>
          <w:sz w:val="24"/>
        </w:rPr>
        <w:t>e</w:t>
      </w:r>
      <w:r>
        <w:rPr>
          <w:rFonts w:ascii="Calibri" w:hAnsi="Calibri"/>
          <w:color w:val="001F5F"/>
          <w:spacing w:val="-14"/>
          <w:sz w:val="24"/>
        </w:rPr>
        <w:t xml:space="preserve"> </w:t>
      </w:r>
      <w:r>
        <w:rPr>
          <w:rFonts w:ascii="Calibri" w:hAnsi="Calibri"/>
          <w:color w:val="001F5F"/>
          <w:sz w:val="24"/>
        </w:rPr>
        <w:t>do</w:t>
      </w:r>
      <w:r>
        <w:rPr>
          <w:rFonts w:ascii="Calibri" w:hAnsi="Calibri"/>
          <w:color w:val="001F5F"/>
          <w:spacing w:val="-13"/>
          <w:sz w:val="24"/>
        </w:rPr>
        <w:t xml:space="preserve"> </w:t>
      </w:r>
      <w:r>
        <w:rPr>
          <w:rFonts w:ascii="Calibri" w:hAnsi="Calibri"/>
          <w:color w:val="001F5F"/>
          <w:sz w:val="24"/>
        </w:rPr>
        <w:t>gerenciamento</w:t>
      </w:r>
      <w:r>
        <w:rPr>
          <w:rFonts w:ascii="Calibri" w:hAnsi="Calibri"/>
          <w:color w:val="001F5F"/>
          <w:spacing w:val="-14"/>
          <w:sz w:val="24"/>
        </w:rPr>
        <w:t xml:space="preserve"> </w:t>
      </w:r>
      <w:r>
        <w:rPr>
          <w:rFonts w:ascii="Calibri" w:hAnsi="Calibri"/>
          <w:color w:val="001F5F"/>
          <w:sz w:val="24"/>
        </w:rPr>
        <w:t>de</w:t>
      </w:r>
      <w:r>
        <w:rPr>
          <w:rFonts w:ascii="Calibri" w:hAnsi="Calibri"/>
          <w:color w:val="001F5F"/>
          <w:spacing w:val="-13"/>
          <w:sz w:val="24"/>
        </w:rPr>
        <w:t xml:space="preserve"> </w:t>
      </w:r>
      <w:r>
        <w:rPr>
          <w:rFonts w:ascii="Calibri" w:hAnsi="Calibri"/>
          <w:color w:val="001F5F"/>
          <w:sz w:val="24"/>
        </w:rPr>
        <w:t>riscos,</w:t>
      </w:r>
      <w:r>
        <w:rPr>
          <w:rFonts w:ascii="Calibri" w:hAnsi="Calibri"/>
          <w:color w:val="001F5F"/>
          <w:spacing w:val="-14"/>
          <w:sz w:val="24"/>
        </w:rPr>
        <w:t xml:space="preserve"> </w:t>
      </w:r>
      <w:r>
        <w:rPr>
          <w:rFonts w:ascii="Calibri" w:hAnsi="Calibri"/>
          <w:color w:val="001F5F"/>
          <w:sz w:val="24"/>
        </w:rPr>
        <w:t>recomendando</w:t>
      </w:r>
      <w:r>
        <w:rPr>
          <w:rFonts w:ascii="Calibri" w:hAnsi="Calibri"/>
          <w:color w:val="001F5F"/>
          <w:spacing w:val="-13"/>
          <w:sz w:val="24"/>
        </w:rPr>
        <w:t xml:space="preserve"> </w:t>
      </w:r>
      <w:r>
        <w:rPr>
          <w:rFonts w:ascii="Calibri" w:hAnsi="Calibri"/>
          <w:color w:val="001F5F"/>
          <w:sz w:val="24"/>
        </w:rPr>
        <w:t>ações</w:t>
      </w:r>
      <w:r>
        <w:rPr>
          <w:rFonts w:ascii="Calibri" w:hAnsi="Calibri"/>
          <w:color w:val="001F5F"/>
          <w:spacing w:val="-14"/>
          <w:sz w:val="24"/>
        </w:rPr>
        <w:t xml:space="preserve"> </w:t>
      </w:r>
      <w:r>
        <w:rPr>
          <w:rFonts w:ascii="Calibri" w:hAnsi="Calibri"/>
          <w:color w:val="001F5F"/>
          <w:sz w:val="24"/>
        </w:rPr>
        <w:t>para</w:t>
      </w:r>
      <w:r>
        <w:rPr>
          <w:rFonts w:ascii="Calibri" w:hAnsi="Calibri"/>
          <w:color w:val="001F5F"/>
          <w:spacing w:val="-14"/>
          <w:sz w:val="24"/>
        </w:rPr>
        <w:t xml:space="preserve"> </w:t>
      </w:r>
      <w:r>
        <w:rPr>
          <w:rFonts w:ascii="Calibri" w:hAnsi="Calibri"/>
          <w:color w:val="001F5F"/>
          <w:sz w:val="24"/>
        </w:rPr>
        <w:t>mitigar</w:t>
      </w:r>
      <w:r>
        <w:rPr>
          <w:rFonts w:ascii="Calibri" w:hAnsi="Calibri"/>
          <w:color w:val="001F5F"/>
          <w:spacing w:val="-13"/>
          <w:sz w:val="24"/>
        </w:rPr>
        <w:t xml:space="preserve"> </w:t>
      </w:r>
      <w:r>
        <w:rPr>
          <w:rFonts w:ascii="Calibri" w:hAnsi="Calibri"/>
          <w:color w:val="001F5F"/>
          <w:sz w:val="24"/>
        </w:rPr>
        <w:t>os</w:t>
      </w:r>
      <w:r>
        <w:rPr>
          <w:rFonts w:ascii="Calibri" w:hAnsi="Calibri"/>
          <w:color w:val="001F5F"/>
          <w:spacing w:val="-14"/>
          <w:sz w:val="24"/>
        </w:rPr>
        <w:t xml:space="preserve"> </w:t>
      </w:r>
      <w:r>
        <w:rPr>
          <w:rFonts w:ascii="Calibri" w:hAnsi="Calibri"/>
          <w:color w:val="001F5F"/>
          <w:sz w:val="24"/>
        </w:rPr>
        <w:t>riscos da Companhia e fortalecer os controles internos, quando necessário.</w:t>
      </w:r>
    </w:p>
    <w:p w14:paraId="51A00A2A" w14:textId="77777777" w:rsidR="002C6574" w:rsidRDefault="002C6574">
      <w:pPr>
        <w:pStyle w:val="Corpodetexto"/>
        <w:spacing w:before="44"/>
        <w:rPr>
          <w:rFonts w:ascii="Calibri"/>
          <w:sz w:val="24"/>
        </w:rPr>
      </w:pPr>
    </w:p>
    <w:p w14:paraId="03B2CE4B" w14:textId="77777777" w:rsidR="002C6574" w:rsidRDefault="00000000">
      <w:pPr>
        <w:pStyle w:val="Ttulo8"/>
        <w:numPr>
          <w:ilvl w:val="3"/>
          <w:numId w:val="14"/>
        </w:numPr>
        <w:tabs>
          <w:tab w:val="left" w:pos="1276"/>
        </w:tabs>
        <w:spacing w:before="1"/>
        <w:ind w:left="1276" w:hanging="707"/>
      </w:pPr>
      <w:r>
        <w:rPr>
          <w:color w:val="001F5F"/>
        </w:rPr>
        <w:t>Ouvidoria</w:t>
      </w:r>
      <w:r>
        <w:rPr>
          <w:color w:val="001F5F"/>
          <w:spacing w:val="-2"/>
        </w:rPr>
        <w:t xml:space="preserve"> </w:t>
      </w:r>
      <w:r>
        <w:rPr>
          <w:color w:val="001F5F"/>
        </w:rPr>
        <w:t>e</w:t>
      </w:r>
      <w:r>
        <w:rPr>
          <w:color w:val="001F5F"/>
          <w:spacing w:val="-2"/>
        </w:rPr>
        <w:t xml:space="preserve"> </w:t>
      </w:r>
      <w:r>
        <w:rPr>
          <w:color w:val="001F5F"/>
        </w:rPr>
        <w:t>Canal</w:t>
      </w:r>
      <w:r>
        <w:rPr>
          <w:color w:val="001F5F"/>
          <w:spacing w:val="-2"/>
        </w:rPr>
        <w:t xml:space="preserve"> </w:t>
      </w:r>
      <w:r>
        <w:rPr>
          <w:color w:val="001F5F"/>
        </w:rPr>
        <w:t>de</w:t>
      </w:r>
      <w:r>
        <w:rPr>
          <w:color w:val="001F5F"/>
          <w:spacing w:val="-2"/>
        </w:rPr>
        <w:t xml:space="preserve"> Denúncia</w:t>
      </w:r>
    </w:p>
    <w:p w14:paraId="7DA0CF56" w14:textId="77777777" w:rsidR="002C6574" w:rsidRDefault="00000000">
      <w:pPr>
        <w:spacing w:before="43" w:line="276" w:lineRule="auto"/>
        <w:ind w:left="569" w:right="1561"/>
        <w:jc w:val="both"/>
        <w:rPr>
          <w:rFonts w:ascii="Calibri" w:hAnsi="Calibri"/>
          <w:sz w:val="24"/>
        </w:rPr>
      </w:pPr>
      <w:r>
        <w:rPr>
          <w:rFonts w:ascii="Calibri" w:hAnsi="Calibri"/>
          <w:color w:val="001F5F"/>
          <w:sz w:val="24"/>
        </w:rPr>
        <w:t>Respeitando as legislações vigentes e o Regimento Interno do COAUD, o canal de denúncias</w:t>
      </w:r>
      <w:r>
        <w:rPr>
          <w:rFonts w:ascii="Calibri" w:hAnsi="Calibri"/>
          <w:color w:val="001F5F"/>
          <w:spacing w:val="40"/>
          <w:sz w:val="24"/>
        </w:rPr>
        <w:t xml:space="preserve"> </w:t>
      </w:r>
      <w:r>
        <w:rPr>
          <w:rFonts w:ascii="Calibri" w:hAnsi="Calibri"/>
          <w:color w:val="001F5F"/>
          <w:sz w:val="24"/>
        </w:rPr>
        <w:t>está</w:t>
      </w:r>
      <w:r>
        <w:rPr>
          <w:rFonts w:ascii="Calibri" w:hAnsi="Calibri"/>
          <w:color w:val="001F5F"/>
          <w:spacing w:val="40"/>
          <w:sz w:val="24"/>
        </w:rPr>
        <w:t xml:space="preserve"> </w:t>
      </w:r>
      <w:r>
        <w:rPr>
          <w:rFonts w:ascii="Calibri" w:hAnsi="Calibri"/>
          <w:color w:val="001F5F"/>
          <w:sz w:val="24"/>
        </w:rPr>
        <w:t>sendo</w:t>
      </w:r>
      <w:r>
        <w:rPr>
          <w:rFonts w:ascii="Calibri" w:hAnsi="Calibri"/>
          <w:color w:val="001F5F"/>
          <w:spacing w:val="40"/>
          <w:sz w:val="24"/>
        </w:rPr>
        <w:t xml:space="preserve"> </w:t>
      </w:r>
      <w:r>
        <w:rPr>
          <w:rFonts w:ascii="Calibri" w:hAnsi="Calibri"/>
          <w:color w:val="001F5F"/>
          <w:sz w:val="24"/>
        </w:rPr>
        <w:t>monitorado.</w:t>
      </w:r>
      <w:r>
        <w:rPr>
          <w:rFonts w:ascii="Calibri" w:hAnsi="Calibri"/>
          <w:color w:val="001F5F"/>
          <w:spacing w:val="80"/>
          <w:w w:val="150"/>
          <w:sz w:val="24"/>
        </w:rPr>
        <w:t xml:space="preserve"> </w:t>
      </w:r>
      <w:r>
        <w:rPr>
          <w:rFonts w:ascii="Calibri" w:hAnsi="Calibri"/>
          <w:color w:val="001F5F"/>
          <w:sz w:val="24"/>
        </w:rPr>
        <w:t>Os</w:t>
      </w:r>
      <w:r>
        <w:rPr>
          <w:rFonts w:ascii="Calibri" w:hAnsi="Calibri"/>
          <w:color w:val="001F5F"/>
          <w:spacing w:val="40"/>
          <w:sz w:val="24"/>
        </w:rPr>
        <w:t xml:space="preserve"> </w:t>
      </w:r>
      <w:r>
        <w:rPr>
          <w:rFonts w:ascii="Calibri" w:hAnsi="Calibri"/>
          <w:color w:val="001F5F"/>
          <w:sz w:val="24"/>
        </w:rPr>
        <w:t>interessados</w:t>
      </w:r>
      <w:r>
        <w:rPr>
          <w:rFonts w:ascii="Calibri" w:hAnsi="Calibri"/>
          <w:color w:val="001F5F"/>
          <w:spacing w:val="40"/>
          <w:sz w:val="24"/>
        </w:rPr>
        <w:t xml:space="preserve"> </w:t>
      </w:r>
      <w:r>
        <w:rPr>
          <w:rFonts w:ascii="Calibri" w:hAnsi="Calibri"/>
          <w:color w:val="001F5F"/>
          <w:sz w:val="24"/>
        </w:rPr>
        <w:t>podem</w:t>
      </w:r>
      <w:r>
        <w:rPr>
          <w:rFonts w:ascii="Calibri" w:hAnsi="Calibri"/>
          <w:color w:val="001F5F"/>
          <w:spacing w:val="40"/>
          <w:sz w:val="24"/>
        </w:rPr>
        <w:t xml:space="preserve"> </w:t>
      </w:r>
      <w:r>
        <w:rPr>
          <w:rFonts w:ascii="Calibri" w:hAnsi="Calibri"/>
          <w:color w:val="001F5F"/>
          <w:sz w:val="24"/>
        </w:rPr>
        <w:t>encaminhar</w:t>
      </w:r>
      <w:r>
        <w:rPr>
          <w:rFonts w:ascii="Calibri" w:hAnsi="Calibri"/>
          <w:color w:val="001F5F"/>
          <w:spacing w:val="40"/>
          <w:sz w:val="24"/>
        </w:rPr>
        <w:t xml:space="preserve"> </w:t>
      </w:r>
      <w:r>
        <w:rPr>
          <w:rFonts w:ascii="Calibri" w:hAnsi="Calibri"/>
          <w:color w:val="001F5F"/>
          <w:sz w:val="24"/>
        </w:rPr>
        <w:t>denúncias,</w:t>
      </w:r>
    </w:p>
    <w:p w14:paraId="1D3F0A02" w14:textId="77777777" w:rsidR="002C6574" w:rsidRDefault="002C6574">
      <w:pPr>
        <w:spacing w:line="276" w:lineRule="auto"/>
        <w:jc w:val="both"/>
        <w:rPr>
          <w:rFonts w:ascii="Calibri" w:hAnsi="Calibri"/>
          <w:sz w:val="24"/>
        </w:rPr>
        <w:sectPr w:rsidR="002C6574">
          <w:pgSz w:w="11910" w:h="16840"/>
          <w:pgMar w:top="1520" w:right="141" w:bottom="1240" w:left="1133" w:header="315" w:footer="1049" w:gutter="0"/>
          <w:cols w:space="720"/>
        </w:sectPr>
      </w:pPr>
    </w:p>
    <w:p w14:paraId="166FBAA2" w14:textId="77777777" w:rsidR="002C6574" w:rsidRDefault="00000000">
      <w:pPr>
        <w:spacing w:before="3" w:line="276" w:lineRule="auto"/>
        <w:ind w:left="569" w:right="1562"/>
        <w:jc w:val="both"/>
        <w:rPr>
          <w:rFonts w:ascii="Calibri" w:hAnsi="Calibri"/>
          <w:sz w:val="24"/>
        </w:rPr>
      </w:pPr>
      <w:r>
        <w:rPr>
          <w:rFonts w:ascii="Calibri" w:hAnsi="Calibri"/>
          <w:color w:val="001F5F"/>
          <w:sz w:val="24"/>
        </w:rPr>
        <w:lastRenderedPageBreak/>
        <w:t>inclusive sigilosas, internas e externas à Companhia, em matérias relacionadas ao escopo de suas atividades. Em 2025 o Comitê não recebeu denúncia.</w:t>
      </w:r>
    </w:p>
    <w:p w14:paraId="57578C67" w14:textId="77777777" w:rsidR="002C6574" w:rsidRDefault="002C6574">
      <w:pPr>
        <w:pStyle w:val="Corpodetexto"/>
        <w:spacing w:before="45"/>
        <w:rPr>
          <w:rFonts w:ascii="Calibri"/>
          <w:sz w:val="24"/>
        </w:rPr>
      </w:pPr>
    </w:p>
    <w:p w14:paraId="54B2240F" w14:textId="77777777" w:rsidR="002C6574" w:rsidRDefault="00000000">
      <w:pPr>
        <w:pStyle w:val="Ttulo8"/>
        <w:numPr>
          <w:ilvl w:val="3"/>
          <w:numId w:val="14"/>
        </w:numPr>
        <w:tabs>
          <w:tab w:val="left" w:pos="1276"/>
        </w:tabs>
        <w:ind w:left="1276" w:hanging="707"/>
      </w:pPr>
      <w:r>
        <w:rPr>
          <w:color w:val="001F5F"/>
          <w:spacing w:val="-2"/>
        </w:rPr>
        <w:t>Conclusão</w:t>
      </w:r>
    </w:p>
    <w:p w14:paraId="511E28B8" w14:textId="77777777" w:rsidR="002C6574" w:rsidRDefault="002C6574">
      <w:pPr>
        <w:pStyle w:val="Corpodetexto"/>
        <w:spacing w:before="86"/>
        <w:rPr>
          <w:rFonts w:ascii="Calibri"/>
          <w:b/>
          <w:sz w:val="24"/>
        </w:rPr>
      </w:pPr>
    </w:p>
    <w:p w14:paraId="0D0CE972" w14:textId="77777777" w:rsidR="002C6574" w:rsidRDefault="00000000">
      <w:pPr>
        <w:spacing w:line="276" w:lineRule="auto"/>
        <w:ind w:left="564" w:right="1560"/>
        <w:jc w:val="both"/>
        <w:rPr>
          <w:rFonts w:ascii="Calibri" w:hAnsi="Calibri"/>
          <w:sz w:val="24"/>
        </w:rPr>
      </w:pPr>
      <w:r>
        <w:rPr>
          <w:rFonts w:ascii="Calibri" w:hAnsi="Calibri"/>
          <w:color w:val="001F5F"/>
          <w:sz w:val="24"/>
        </w:rPr>
        <w:t>O Comitê exerceu suas atribuições sem interferências da Administração,</w:t>
      </w:r>
      <w:r>
        <w:rPr>
          <w:rFonts w:ascii="Calibri" w:hAnsi="Calibri"/>
          <w:color w:val="001F5F"/>
          <w:spacing w:val="-1"/>
          <w:sz w:val="24"/>
        </w:rPr>
        <w:t xml:space="preserve"> </w:t>
      </w:r>
      <w:r>
        <w:rPr>
          <w:rFonts w:ascii="Calibri" w:hAnsi="Calibri"/>
          <w:color w:val="001F5F"/>
          <w:sz w:val="24"/>
        </w:rPr>
        <w:t>apresentando recomendações</w:t>
      </w:r>
      <w:r>
        <w:rPr>
          <w:rFonts w:ascii="Calibri" w:hAnsi="Calibri"/>
          <w:color w:val="001F5F"/>
          <w:spacing w:val="-13"/>
          <w:sz w:val="24"/>
        </w:rPr>
        <w:t xml:space="preserve"> </w:t>
      </w:r>
      <w:r>
        <w:rPr>
          <w:rFonts w:ascii="Calibri" w:hAnsi="Calibri"/>
          <w:color w:val="001F5F"/>
          <w:sz w:val="24"/>
        </w:rPr>
        <w:t>para</w:t>
      </w:r>
      <w:r>
        <w:rPr>
          <w:rFonts w:ascii="Calibri" w:hAnsi="Calibri"/>
          <w:color w:val="001F5F"/>
          <w:spacing w:val="-10"/>
          <w:sz w:val="24"/>
        </w:rPr>
        <w:t xml:space="preserve"> </w:t>
      </w:r>
      <w:r>
        <w:rPr>
          <w:rFonts w:ascii="Calibri" w:hAnsi="Calibri"/>
          <w:color w:val="001F5F"/>
          <w:sz w:val="24"/>
        </w:rPr>
        <w:t>o</w:t>
      </w:r>
      <w:r>
        <w:rPr>
          <w:rFonts w:ascii="Calibri" w:hAnsi="Calibri"/>
          <w:color w:val="001F5F"/>
          <w:spacing w:val="-13"/>
          <w:sz w:val="24"/>
        </w:rPr>
        <w:t xml:space="preserve"> </w:t>
      </w:r>
      <w:r>
        <w:rPr>
          <w:rFonts w:ascii="Calibri" w:hAnsi="Calibri"/>
          <w:color w:val="001F5F"/>
          <w:sz w:val="24"/>
        </w:rPr>
        <w:t>aperfeiçoamento</w:t>
      </w:r>
      <w:r>
        <w:rPr>
          <w:rFonts w:ascii="Calibri" w:hAnsi="Calibri"/>
          <w:color w:val="001F5F"/>
          <w:spacing w:val="-13"/>
          <w:sz w:val="24"/>
        </w:rPr>
        <w:t xml:space="preserve"> </w:t>
      </w:r>
      <w:r>
        <w:rPr>
          <w:rFonts w:ascii="Calibri" w:hAnsi="Calibri"/>
          <w:color w:val="001F5F"/>
          <w:sz w:val="24"/>
        </w:rPr>
        <w:t>de</w:t>
      </w:r>
      <w:r>
        <w:rPr>
          <w:rFonts w:ascii="Calibri" w:hAnsi="Calibri"/>
          <w:color w:val="001F5F"/>
          <w:spacing w:val="-13"/>
          <w:sz w:val="24"/>
        </w:rPr>
        <w:t xml:space="preserve"> </w:t>
      </w:r>
      <w:r>
        <w:rPr>
          <w:rFonts w:ascii="Calibri" w:hAnsi="Calibri"/>
          <w:color w:val="001F5F"/>
          <w:sz w:val="24"/>
        </w:rPr>
        <w:t>processos</w:t>
      </w:r>
      <w:r>
        <w:rPr>
          <w:rFonts w:ascii="Calibri" w:hAnsi="Calibri"/>
          <w:color w:val="001F5F"/>
          <w:spacing w:val="-11"/>
          <w:sz w:val="24"/>
        </w:rPr>
        <w:t xml:space="preserve"> </w:t>
      </w:r>
      <w:r>
        <w:rPr>
          <w:rFonts w:ascii="Calibri" w:hAnsi="Calibri"/>
          <w:color w:val="001F5F"/>
          <w:sz w:val="24"/>
        </w:rPr>
        <w:t>e</w:t>
      </w:r>
      <w:r>
        <w:rPr>
          <w:rFonts w:ascii="Calibri" w:hAnsi="Calibri"/>
          <w:color w:val="001F5F"/>
          <w:spacing w:val="-10"/>
          <w:sz w:val="24"/>
        </w:rPr>
        <w:t xml:space="preserve"> </w:t>
      </w:r>
      <w:r>
        <w:rPr>
          <w:rFonts w:ascii="Calibri" w:hAnsi="Calibri"/>
          <w:color w:val="001F5F"/>
          <w:sz w:val="24"/>
        </w:rPr>
        <w:t>procedeu</w:t>
      </w:r>
      <w:r>
        <w:rPr>
          <w:rFonts w:ascii="Calibri" w:hAnsi="Calibri"/>
          <w:color w:val="001F5F"/>
          <w:spacing w:val="-9"/>
          <w:sz w:val="24"/>
        </w:rPr>
        <w:t xml:space="preserve"> </w:t>
      </w:r>
      <w:r>
        <w:rPr>
          <w:rFonts w:ascii="Calibri" w:hAnsi="Calibri"/>
          <w:color w:val="001F5F"/>
          <w:sz w:val="24"/>
        </w:rPr>
        <w:t>ao</w:t>
      </w:r>
      <w:r>
        <w:rPr>
          <w:rFonts w:ascii="Calibri" w:hAnsi="Calibri"/>
          <w:color w:val="001F5F"/>
          <w:spacing w:val="-10"/>
          <w:sz w:val="24"/>
        </w:rPr>
        <w:t xml:space="preserve"> </w:t>
      </w:r>
      <w:r>
        <w:rPr>
          <w:rFonts w:ascii="Calibri" w:hAnsi="Calibri"/>
          <w:color w:val="001F5F"/>
          <w:sz w:val="24"/>
        </w:rPr>
        <w:t xml:space="preserve">acompanhamento das implementações de melhorias recomendadas pelas Auditorias interna e </w:t>
      </w:r>
      <w:r>
        <w:rPr>
          <w:rFonts w:ascii="Calibri" w:hAnsi="Calibri"/>
          <w:color w:val="001F5F"/>
          <w:spacing w:val="-2"/>
          <w:sz w:val="24"/>
        </w:rPr>
        <w:t>independente.</w:t>
      </w:r>
    </w:p>
    <w:p w14:paraId="436482A5" w14:textId="77777777" w:rsidR="002C6574" w:rsidRDefault="002C6574">
      <w:pPr>
        <w:pStyle w:val="Corpodetexto"/>
        <w:spacing w:before="44"/>
        <w:rPr>
          <w:rFonts w:ascii="Calibri"/>
          <w:sz w:val="24"/>
        </w:rPr>
      </w:pPr>
    </w:p>
    <w:p w14:paraId="01F4D1AE" w14:textId="77777777" w:rsidR="002C6574" w:rsidRDefault="00000000">
      <w:pPr>
        <w:ind w:right="984"/>
        <w:jc w:val="center"/>
        <w:rPr>
          <w:rFonts w:ascii="Calibri" w:hAnsi="Calibri"/>
          <w:sz w:val="24"/>
        </w:rPr>
      </w:pPr>
      <w:r>
        <w:rPr>
          <w:rFonts w:ascii="Calibri" w:hAnsi="Calibri"/>
          <w:color w:val="001F5F"/>
          <w:sz w:val="24"/>
        </w:rPr>
        <w:t>Brasília, 12</w:t>
      </w:r>
      <w:r>
        <w:rPr>
          <w:rFonts w:ascii="Calibri" w:hAnsi="Calibri"/>
          <w:color w:val="001F5F"/>
          <w:spacing w:val="-1"/>
          <w:sz w:val="24"/>
        </w:rPr>
        <w:t xml:space="preserve"> </w:t>
      </w:r>
      <w:r>
        <w:rPr>
          <w:rFonts w:ascii="Calibri" w:hAnsi="Calibri"/>
          <w:color w:val="001F5F"/>
          <w:sz w:val="24"/>
        </w:rPr>
        <w:t>de</w:t>
      </w:r>
      <w:r>
        <w:rPr>
          <w:rFonts w:ascii="Calibri" w:hAnsi="Calibri"/>
          <w:color w:val="001F5F"/>
          <w:spacing w:val="-3"/>
          <w:sz w:val="24"/>
        </w:rPr>
        <w:t xml:space="preserve"> </w:t>
      </w:r>
      <w:r>
        <w:rPr>
          <w:rFonts w:ascii="Calibri" w:hAnsi="Calibri"/>
          <w:color w:val="001F5F"/>
          <w:sz w:val="24"/>
        </w:rPr>
        <w:t>março</w:t>
      </w:r>
      <w:r>
        <w:rPr>
          <w:rFonts w:ascii="Calibri" w:hAnsi="Calibri"/>
          <w:color w:val="001F5F"/>
          <w:spacing w:val="-1"/>
          <w:sz w:val="24"/>
        </w:rPr>
        <w:t xml:space="preserve"> </w:t>
      </w:r>
      <w:r>
        <w:rPr>
          <w:rFonts w:ascii="Calibri" w:hAnsi="Calibri"/>
          <w:color w:val="001F5F"/>
          <w:sz w:val="24"/>
        </w:rPr>
        <w:t>de</w:t>
      </w:r>
      <w:r>
        <w:rPr>
          <w:rFonts w:ascii="Calibri" w:hAnsi="Calibri"/>
          <w:color w:val="001F5F"/>
          <w:spacing w:val="-1"/>
          <w:sz w:val="24"/>
        </w:rPr>
        <w:t xml:space="preserve"> </w:t>
      </w:r>
      <w:r>
        <w:rPr>
          <w:rFonts w:ascii="Calibri" w:hAnsi="Calibri"/>
          <w:color w:val="001F5F"/>
          <w:spacing w:val="-4"/>
          <w:sz w:val="24"/>
        </w:rPr>
        <w:t>2026.</w:t>
      </w:r>
    </w:p>
    <w:p w14:paraId="281CBC9B" w14:textId="77777777" w:rsidR="002C6574" w:rsidRDefault="002C6574">
      <w:pPr>
        <w:pStyle w:val="Corpodetexto"/>
        <w:rPr>
          <w:rFonts w:ascii="Calibri"/>
          <w:sz w:val="24"/>
        </w:rPr>
      </w:pPr>
    </w:p>
    <w:p w14:paraId="717C4938" w14:textId="77777777" w:rsidR="002C6574" w:rsidRDefault="002C6574">
      <w:pPr>
        <w:pStyle w:val="Corpodetexto"/>
        <w:rPr>
          <w:rFonts w:ascii="Calibri"/>
          <w:sz w:val="24"/>
        </w:rPr>
      </w:pPr>
    </w:p>
    <w:p w14:paraId="4811E20E" w14:textId="77777777" w:rsidR="002C6574" w:rsidRDefault="002C6574">
      <w:pPr>
        <w:pStyle w:val="Corpodetexto"/>
        <w:spacing w:before="177"/>
        <w:rPr>
          <w:rFonts w:ascii="Calibri"/>
          <w:sz w:val="24"/>
        </w:rPr>
      </w:pPr>
    </w:p>
    <w:p w14:paraId="7119FE89" w14:textId="77777777" w:rsidR="002C6574" w:rsidRDefault="00000000">
      <w:pPr>
        <w:pStyle w:val="Ttulo8"/>
        <w:spacing w:before="1"/>
        <w:ind w:left="0" w:right="1002"/>
        <w:jc w:val="center"/>
      </w:pPr>
      <w:r>
        <w:rPr>
          <w:color w:val="001F5F"/>
        </w:rPr>
        <w:t>Jerônimo</w:t>
      </w:r>
      <w:r>
        <w:rPr>
          <w:color w:val="001F5F"/>
          <w:spacing w:val="-3"/>
        </w:rPr>
        <w:t xml:space="preserve"> </w:t>
      </w:r>
      <w:r>
        <w:rPr>
          <w:color w:val="001F5F"/>
        </w:rPr>
        <w:t>José</w:t>
      </w:r>
      <w:r>
        <w:rPr>
          <w:color w:val="001F5F"/>
          <w:spacing w:val="-4"/>
        </w:rPr>
        <w:t xml:space="preserve"> </w:t>
      </w:r>
      <w:r>
        <w:rPr>
          <w:color w:val="001F5F"/>
        </w:rPr>
        <w:t>Cabral</w:t>
      </w:r>
      <w:r>
        <w:rPr>
          <w:color w:val="001F5F"/>
          <w:spacing w:val="-4"/>
        </w:rPr>
        <w:t xml:space="preserve"> </w:t>
      </w:r>
      <w:r>
        <w:rPr>
          <w:color w:val="001F5F"/>
          <w:spacing w:val="-2"/>
        </w:rPr>
        <w:t>Guedes</w:t>
      </w:r>
    </w:p>
    <w:p w14:paraId="0D46CA9A" w14:textId="77777777" w:rsidR="002C6574" w:rsidRDefault="00000000">
      <w:pPr>
        <w:spacing w:before="43"/>
        <w:ind w:left="202" w:right="1193"/>
        <w:jc w:val="center"/>
        <w:rPr>
          <w:rFonts w:ascii="Calibri" w:hAnsi="Calibri"/>
          <w:sz w:val="24"/>
        </w:rPr>
      </w:pPr>
      <w:r>
        <w:rPr>
          <w:rFonts w:ascii="Calibri" w:hAnsi="Calibri"/>
          <w:color w:val="001F5F"/>
          <w:sz w:val="24"/>
        </w:rPr>
        <w:t>Presidente</w:t>
      </w:r>
      <w:r>
        <w:rPr>
          <w:rFonts w:ascii="Calibri" w:hAnsi="Calibri"/>
          <w:color w:val="001F5F"/>
          <w:spacing w:val="-3"/>
          <w:sz w:val="24"/>
        </w:rPr>
        <w:t xml:space="preserve"> </w:t>
      </w:r>
      <w:r>
        <w:rPr>
          <w:rFonts w:ascii="Calibri" w:hAnsi="Calibri"/>
          <w:color w:val="001F5F"/>
          <w:sz w:val="24"/>
        </w:rPr>
        <w:t>do</w:t>
      </w:r>
      <w:r>
        <w:rPr>
          <w:rFonts w:ascii="Calibri" w:hAnsi="Calibri"/>
          <w:color w:val="001F5F"/>
          <w:spacing w:val="-2"/>
          <w:sz w:val="24"/>
        </w:rPr>
        <w:t xml:space="preserve"> </w:t>
      </w:r>
      <w:r>
        <w:rPr>
          <w:rFonts w:ascii="Calibri" w:hAnsi="Calibri"/>
          <w:color w:val="001F5F"/>
          <w:sz w:val="24"/>
        </w:rPr>
        <w:t>Comitê</w:t>
      </w:r>
      <w:r>
        <w:rPr>
          <w:rFonts w:ascii="Calibri" w:hAnsi="Calibri"/>
          <w:color w:val="001F5F"/>
          <w:spacing w:val="-5"/>
          <w:sz w:val="24"/>
        </w:rPr>
        <w:t xml:space="preserve"> </w:t>
      </w:r>
      <w:r>
        <w:rPr>
          <w:rFonts w:ascii="Calibri" w:hAnsi="Calibri"/>
          <w:color w:val="001F5F"/>
          <w:sz w:val="24"/>
        </w:rPr>
        <w:t>de</w:t>
      </w:r>
      <w:r>
        <w:rPr>
          <w:rFonts w:ascii="Calibri" w:hAnsi="Calibri"/>
          <w:color w:val="001F5F"/>
          <w:spacing w:val="-5"/>
          <w:sz w:val="24"/>
        </w:rPr>
        <w:t xml:space="preserve"> </w:t>
      </w:r>
      <w:r>
        <w:rPr>
          <w:rFonts w:ascii="Calibri" w:hAnsi="Calibri"/>
          <w:color w:val="001F5F"/>
          <w:sz w:val="24"/>
        </w:rPr>
        <w:t>Auditoria</w:t>
      </w:r>
      <w:r>
        <w:rPr>
          <w:rFonts w:ascii="Calibri" w:hAnsi="Calibri"/>
          <w:color w:val="001F5F"/>
          <w:spacing w:val="-3"/>
          <w:sz w:val="24"/>
        </w:rPr>
        <w:t xml:space="preserve"> </w:t>
      </w:r>
      <w:r>
        <w:rPr>
          <w:rFonts w:ascii="Calibri" w:hAnsi="Calibri"/>
          <w:color w:val="001F5F"/>
          <w:sz w:val="24"/>
        </w:rPr>
        <w:t>Estatutário</w:t>
      </w:r>
      <w:r>
        <w:rPr>
          <w:rFonts w:ascii="Calibri" w:hAnsi="Calibri"/>
          <w:color w:val="001F5F"/>
          <w:spacing w:val="2"/>
          <w:sz w:val="24"/>
        </w:rPr>
        <w:t xml:space="preserve"> </w:t>
      </w:r>
      <w:r>
        <w:rPr>
          <w:rFonts w:ascii="Calibri" w:hAnsi="Calibri"/>
          <w:color w:val="001F5F"/>
          <w:sz w:val="24"/>
        </w:rPr>
        <w:t>--</w:t>
      </w:r>
      <w:r>
        <w:rPr>
          <w:rFonts w:ascii="Calibri" w:hAnsi="Calibri"/>
          <w:color w:val="001F5F"/>
          <w:spacing w:val="-4"/>
          <w:sz w:val="24"/>
        </w:rPr>
        <w:t xml:space="preserve"> </w:t>
      </w:r>
      <w:r>
        <w:rPr>
          <w:rFonts w:ascii="Calibri" w:hAnsi="Calibri"/>
          <w:color w:val="001F5F"/>
          <w:spacing w:val="-2"/>
          <w:sz w:val="24"/>
        </w:rPr>
        <w:t>COAUD</w:t>
      </w:r>
    </w:p>
    <w:p w14:paraId="6FD74119" w14:textId="77777777" w:rsidR="002C6574" w:rsidRDefault="002C6574">
      <w:pPr>
        <w:pStyle w:val="Corpodetexto"/>
        <w:rPr>
          <w:rFonts w:ascii="Calibri"/>
          <w:sz w:val="24"/>
        </w:rPr>
      </w:pPr>
    </w:p>
    <w:p w14:paraId="2FE93D0A" w14:textId="77777777" w:rsidR="002C6574" w:rsidRDefault="002C6574">
      <w:pPr>
        <w:pStyle w:val="Corpodetexto"/>
        <w:rPr>
          <w:rFonts w:ascii="Calibri"/>
          <w:sz w:val="24"/>
        </w:rPr>
      </w:pPr>
    </w:p>
    <w:p w14:paraId="21D78446" w14:textId="77777777" w:rsidR="002C6574" w:rsidRDefault="002C6574">
      <w:pPr>
        <w:pStyle w:val="Corpodetexto"/>
        <w:rPr>
          <w:rFonts w:ascii="Calibri"/>
          <w:sz w:val="24"/>
        </w:rPr>
      </w:pPr>
    </w:p>
    <w:p w14:paraId="63FA2A86" w14:textId="77777777" w:rsidR="002C6574" w:rsidRDefault="002C6574">
      <w:pPr>
        <w:pStyle w:val="Corpodetexto"/>
        <w:spacing w:before="164"/>
        <w:rPr>
          <w:rFonts w:ascii="Calibri"/>
          <w:sz w:val="24"/>
        </w:rPr>
      </w:pPr>
    </w:p>
    <w:p w14:paraId="0F3E4042" w14:textId="77777777" w:rsidR="002C6574" w:rsidRDefault="00000000">
      <w:pPr>
        <w:pStyle w:val="Ttulo8"/>
        <w:ind w:left="0" w:right="999"/>
        <w:jc w:val="center"/>
      </w:pPr>
      <w:r>
        <w:rPr>
          <w:color w:val="001F5F"/>
        </w:rPr>
        <w:t xml:space="preserve">Cleber </w:t>
      </w:r>
      <w:r>
        <w:rPr>
          <w:color w:val="001F5F"/>
          <w:spacing w:val="-2"/>
        </w:rPr>
        <w:t>Santiago</w:t>
      </w:r>
    </w:p>
    <w:p w14:paraId="6233D4D4" w14:textId="77777777" w:rsidR="002C6574" w:rsidRDefault="00000000">
      <w:pPr>
        <w:spacing w:before="43"/>
        <w:ind w:left="202" w:right="1217"/>
        <w:jc w:val="center"/>
        <w:rPr>
          <w:rFonts w:ascii="Calibri" w:hAnsi="Calibri"/>
          <w:sz w:val="24"/>
        </w:rPr>
      </w:pPr>
      <w:r>
        <w:rPr>
          <w:rFonts w:ascii="Calibri" w:hAnsi="Calibri"/>
          <w:color w:val="001F5F"/>
          <w:sz w:val="24"/>
        </w:rPr>
        <w:t>Membro</w:t>
      </w:r>
      <w:r>
        <w:rPr>
          <w:rFonts w:ascii="Calibri" w:hAnsi="Calibri"/>
          <w:color w:val="001F5F"/>
          <w:spacing w:val="-4"/>
          <w:sz w:val="24"/>
        </w:rPr>
        <w:t xml:space="preserve"> </w:t>
      </w:r>
      <w:r>
        <w:rPr>
          <w:rFonts w:ascii="Calibri" w:hAnsi="Calibri"/>
          <w:color w:val="001F5F"/>
          <w:sz w:val="24"/>
        </w:rPr>
        <w:t>do</w:t>
      </w:r>
      <w:r>
        <w:rPr>
          <w:rFonts w:ascii="Calibri" w:hAnsi="Calibri"/>
          <w:color w:val="001F5F"/>
          <w:spacing w:val="-2"/>
          <w:sz w:val="24"/>
        </w:rPr>
        <w:t xml:space="preserve"> </w:t>
      </w:r>
      <w:r>
        <w:rPr>
          <w:rFonts w:ascii="Calibri" w:hAnsi="Calibri"/>
          <w:color w:val="001F5F"/>
          <w:sz w:val="24"/>
        </w:rPr>
        <w:t>Comitê</w:t>
      </w:r>
      <w:r>
        <w:rPr>
          <w:rFonts w:ascii="Calibri" w:hAnsi="Calibri"/>
          <w:color w:val="001F5F"/>
          <w:spacing w:val="-4"/>
          <w:sz w:val="24"/>
        </w:rPr>
        <w:t xml:space="preserve"> </w:t>
      </w:r>
      <w:r>
        <w:rPr>
          <w:rFonts w:ascii="Calibri" w:hAnsi="Calibri"/>
          <w:color w:val="001F5F"/>
          <w:sz w:val="24"/>
        </w:rPr>
        <w:t>de</w:t>
      </w:r>
      <w:r>
        <w:rPr>
          <w:rFonts w:ascii="Calibri" w:hAnsi="Calibri"/>
          <w:color w:val="001F5F"/>
          <w:spacing w:val="-5"/>
          <w:sz w:val="24"/>
        </w:rPr>
        <w:t xml:space="preserve"> </w:t>
      </w:r>
      <w:r>
        <w:rPr>
          <w:rFonts w:ascii="Calibri" w:hAnsi="Calibri"/>
          <w:color w:val="001F5F"/>
          <w:sz w:val="24"/>
        </w:rPr>
        <w:t>Auditoria</w:t>
      </w:r>
      <w:r>
        <w:rPr>
          <w:rFonts w:ascii="Calibri" w:hAnsi="Calibri"/>
          <w:color w:val="001F5F"/>
          <w:spacing w:val="-5"/>
          <w:sz w:val="24"/>
        </w:rPr>
        <w:t xml:space="preserve"> </w:t>
      </w:r>
      <w:r>
        <w:rPr>
          <w:rFonts w:ascii="Calibri" w:hAnsi="Calibri"/>
          <w:color w:val="001F5F"/>
          <w:sz w:val="24"/>
        </w:rPr>
        <w:t>Estatutário</w:t>
      </w:r>
      <w:r>
        <w:rPr>
          <w:rFonts w:ascii="Calibri" w:hAnsi="Calibri"/>
          <w:color w:val="001F5F"/>
          <w:spacing w:val="1"/>
          <w:sz w:val="24"/>
        </w:rPr>
        <w:t xml:space="preserve"> </w:t>
      </w:r>
      <w:r>
        <w:rPr>
          <w:rFonts w:ascii="Calibri" w:hAnsi="Calibri"/>
          <w:color w:val="001F5F"/>
          <w:sz w:val="24"/>
        </w:rPr>
        <w:t>-</w:t>
      </w:r>
      <w:r>
        <w:rPr>
          <w:rFonts w:ascii="Calibri" w:hAnsi="Calibri"/>
          <w:color w:val="001F5F"/>
          <w:spacing w:val="-1"/>
          <w:sz w:val="24"/>
        </w:rPr>
        <w:t xml:space="preserve"> </w:t>
      </w:r>
      <w:r>
        <w:rPr>
          <w:rFonts w:ascii="Calibri" w:hAnsi="Calibri"/>
          <w:color w:val="001F5F"/>
          <w:spacing w:val="-2"/>
          <w:sz w:val="24"/>
        </w:rPr>
        <w:t>COAUD</w:t>
      </w:r>
    </w:p>
    <w:p w14:paraId="7978B356" w14:textId="77777777" w:rsidR="002C6574" w:rsidRDefault="002C6574">
      <w:pPr>
        <w:pStyle w:val="Corpodetexto"/>
        <w:rPr>
          <w:rFonts w:ascii="Calibri"/>
          <w:sz w:val="24"/>
        </w:rPr>
      </w:pPr>
    </w:p>
    <w:p w14:paraId="2684E0C8" w14:textId="77777777" w:rsidR="002C6574" w:rsidRDefault="002C6574">
      <w:pPr>
        <w:pStyle w:val="Corpodetexto"/>
        <w:rPr>
          <w:rFonts w:ascii="Calibri"/>
          <w:sz w:val="24"/>
        </w:rPr>
      </w:pPr>
    </w:p>
    <w:p w14:paraId="52B019EB" w14:textId="77777777" w:rsidR="002C6574" w:rsidRDefault="002C6574">
      <w:pPr>
        <w:pStyle w:val="Corpodetexto"/>
        <w:spacing w:before="178"/>
        <w:rPr>
          <w:rFonts w:ascii="Calibri"/>
          <w:sz w:val="24"/>
        </w:rPr>
      </w:pPr>
    </w:p>
    <w:p w14:paraId="48DF2E3A" w14:textId="77777777" w:rsidR="002C6574" w:rsidRDefault="00000000">
      <w:pPr>
        <w:pStyle w:val="Ttulo8"/>
        <w:ind w:left="0" w:right="997"/>
        <w:jc w:val="center"/>
      </w:pPr>
      <w:r>
        <w:rPr>
          <w:color w:val="001F5F"/>
        </w:rPr>
        <w:t>Paula</w:t>
      </w:r>
      <w:r>
        <w:rPr>
          <w:color w:val="001F5F"/>
          <w:spacing w:val="-4"/>
        </w:rPr>
        <w:t xml:space="preserve"> </w:t>
      </w:r>
      <w:r>
        <w:rPr>
          <w:color w:val="001F5F"/>
        </w:rPr>
        <w:t>Vicente</w:t>
      </w:r>
      <w:r>
        <w:rPr>
          <w:color w:val="001F5F"/>
          <w:spacing w:val="-1"/>
        </w:rPr>
        <w:t xml:space="preserve"> </w:t>
      </w:r>
      <w:r>
        <w:rPr>
          <w:color w:val="001F5F"/>
        </w:rPr>
        <w:t>da</w:t>
      </w:r>
      <w:r>
        <w:rPr>
          <w:color w:val="001F5F"/>
          <w:spacing w:val="-1"/>
        </w:rPr>
        <w:t xml:space="preserve"> </w:t>
      </w:r>
      <w:r>
        <w:rPr>
          <w:color w:val="001F5F"/>
          <w:spacing w:val="-2"/>
        </w:rPr>
        <w:t>Silva</w:t>
      </w:r>
    </w:p>
    <w:p w14:paraId="34FD4974" w14:textId="77777777" w:rsidR="002C6574" w:rsidRDefault="00000000">
      <w:pPr>
        <w:spacing w:before="43"/>
        <w:ind w:left="202" w:right="1217"/>
        <w:jc w:val="center"/>
        <w:rPr>
          <w:rFonts w:ascii="Calibri" w:hAnsi="Calibri"/>
          <w:sz w:val="24"/>
        </w:rPr>
      </w:pPr>
      <w:r>
        <w:rPr>
          <w:rFonts w:ascii="Calibri" w:hAnsi="Calibri"/>
          <w:color w:val="001F5F"/>
          <w:sz w:val="24"/>
        </w:rPr>
        <w:t>Membra</w:t>
      </w:r>
      <w:r>
        <w:rPr>
          <w:rFonts w:ascii="Calibri" w:hAnsi="Calibri"/>
          <w:color w:val="001F5F"/>
          <w:spacing w:val="-4"/>
          <w:sz w:val="24"/>
        </w:rPr>
        <w:t xml:space="preserve"> </w:t>
      </w:r>
      <w:r>
        <w:rPr>
          <w:rFonts w:ascii="Calibri" w:hAnsi="Calibri"/>
          <w:color w:val="001F5F"/>
          <w:sz w:val="24"/>
        </w:rPr>
        <w:t>do</w:t>
      </w:r>
      <w:r>
        <w:rPr>
          <w:rFonts w:ascii="Calibri" w:hAnsi="Calibri"/>
          <w:color w:val="001F5F"/>
          <w:spacing w:val="-2"/>
          <w:sz w:val="24"/>
        </w:rPr>
        <w:t xml:space="preserve"> </w:t>
      </w:r>
      <w:r>
        <w:rPr>
          <w:rFonts w:ascii="Calibri" w:hAnsi="Calibri"/>
          <w:color w:val="001F5F"/>
          <w:sz w:val="24"/>
        </w:rPr>
        <w:t>Comitê</w:t>
      </w:r>
      <w:r>
        <w:rPr>
          <w:rFonts w:ascii="Calibri" w:hAnsi="Calibri"/>
          <w:color w:val="001F5F"/>
          <w:spacing w:val="-4"/>
          <w:sz w:val="24"/>
        </w:rPr>
        <w:t xml:space="preserve"> </w:t>
      </w:r>
      <w:r>
        <w:rPr>
          <w:rFonts w:ascii="Calibri" w:hAnsi="Calibri"/>
          <w:color w:val="001F5F"/>
          <w:sz w:val="24"/>
        </w:rPr>
        <w:t>de</w:t>
      </w:r>
      <w:r>
        <w:rPr>
          <w:rFonts w:ascii="Calibri" w:hAnsi="Calibri"/>
          <w:color w:val="001F5F"/>
          <w:spacing w:val="-2"/>
          <w:sz w:val="24"/>
        </w:rPr>
        <w:t xml:space="preserve"> </w:t>
      </w:r>
      <w:r>
        <w:rPr>
          <w:rFonts w:ascii="Calibri" w:hAnsi="Calibri"/>
          <w:color w:val="001F5F"/>
          <w:sz w:val="24"/>
        </w:rPr>
        <w:t>Auditoria</w:t>
      </w:r>
      <w:r>
        <w:rPr>
          <w:rFonts w:ascii="Calibri" w:hAnsi="Calibri"/>
          <w:color w:val="001F5F"/>
          <w:spacing w:val="-5"/>
          <w:sz w:val="24"/>
        </w:rPr>
        <w:t xml:space="preserve"> </w:t>
      </w:r>
      <w:r>
        <w:rPr>
          <w:rFonts w:ascii="Calibri" w:hAnsi="Calibri"/>
          <w:color w:val="001F5F"/>
          <w:sz w:val="24"/>
        </w:rPr>
        <w:t>Estatutário</w:t>
      </w:r>
      <w:r>
        <w:rPr>
          <w:rFonts w:ascii="Calibri" w:hAnsi="Calibri"/>
          <w:color w:val="001F5F"/>
          <w:spacing w:val="1"/>
          <w:sz w:val="24"/>
        </w:rPr>
        <w:t xml:space="preserve"> </w:t>
      </w:r>
      <w:r>
        <w:rPr>
          <w:rFonts w:ascii="Calibri" w:hAnsi="Calibri"/>
          <w:color w:val="001F5F"/>
          <w:sz w:val="24"/>
        </w:rPr>
        <w:t>-</w:t>
      </w:r>
      <w:r>
        <w:rPr>
          <w:rFonts w:ascii="Calibri" w:hAnsi="Calibri"/>
          <w:color w:val="001F5F"/>
          <w:spacing w:val="-2"/>
          <w:sz w:val="24"/>
        </w:rPr>
        <w:t xml:space="preserve"> </w:t>
      </w:r>
      <w:r>
        <w:rPr>
          <w:rFonts w:ascii="Calibri" w:hAnsi="Calibri"/>
          <w:color w:val="001F5F"/>
          <w:spacing w:val="-4"/>
          <w:sz w:val="24"/>
        </w:rPr>
        <w:t>COAUD</w:t>
      </w:r>
    </w:p>
    <w:p w14:paraId="73F7AD92" w14:textId="77777777" w:rsidR="002C6574" w:rsidRDefault="002C6574">
      <w:pPr>
        <w:jc w:val="center"/>
        <w:rPr>
          <w:rFonts w:ascii="Calibri" w:hAnsi="Calibri"/>
          <w:sz w:val="24"/>
        </w:rPr>
        <w:sectPr w:rsidR="002C6574">
          <w:pgSz w:w="11910" w:h="16840"/>
          <w:pgMar w:top="1520" w:right="141" w:bottom="1240" w:left="1133" w:header="315" w:footer="1049" w:gutter="0"/>
          <w:cols w:space="720"/>
        </w:sectPr>
      </w:pPr>
    </w:p>
    <w:p w14:paraId="7FCAB059" w14:textId="77777777" w:rsidR="002C6574" w:rsidRDefault="00000000">
      <w:pPr>
        <w:pStyle w:val="Corpodetexto"/>
        <w:ind w:left="3421"/>
        <w:rPr>
          <w:rFonts w:ascii="Calibri"/>
          <w:sz w:val="20"/>
        </w:rPr>
      </w:pPr>
      <w:r>
        <w:rPr>
          <w:rFonts w:ascii="Calibri"/>
          <w:noProof/>
          <w:sz w:val="20"/>
        </w:rPr>
        <w:lastRenderedPageBreak/>
        <w:drawing>
          <wp:inline distT="0" distB="0" distL="0" distR="0" wp14:anchorId="31CDC2FC" wp14:editId="3DBE01A8">
            <wp:extent cx="1790849" cy="466915"/>
            <wp:effectExtent l="0" t="0" r="0" b="0"/>
            <wp:docPr id="185" name="Image 185" descr="Logotipo, nome da empresa  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Logotipo, nome da empresa  O conteúdo gerado por IA pode estar incorreto."/>
                    <pic:cNvPicPr/>
                  </pic:nvPicPr>
                  <pic:blipFill>
                    <a:blip r:embed="rId114" cstate="print"/>
                    <a:stretch>
                      <a:fillRect/>
                    </a:stretch>
                  </pic:blipFill>
                  <pic:spPr>
                    <a:xfrm>
                      <a:off x="0" y="0"/>
                      <a:ext cx="1790849" cy="466915"/>
                    </a:xfrm>
                    <a:prstGeom prst="rect">
                      <a:avLst/>
                    </a:prstGeom>
                  </pic:spPr>
                </pic:pic>
              </a:graphicData>
            </a:graphic>
          </wp:inline>
        </w:drawing>
      </w:r>
    </w:p>
    <w:p w14:paraId="1DDC3F58" w14:textId="77777777" w:rsidR="002C6574" w:rsidRDefault="00000000">
      <w:pPr>
        <w:spacing w:before="36" w:line="195" w:lineRule="exact"/>
        <w:ind w:right="989"/>
        <w:jc w:val="center"/>
        <w:rPr>
          <w:rFonts w:ascii="Calibri" w:hAnsi="Calibri"/>
          <w:b/>
          <w:sz w:val="16"/>
        </w:rPr>
      </w:pPr>
      <w:r>
        <w:rPr>
          <w:rFonts w:ascii="Calibri" w:hAnsi="Calibri"/>
          <w:b/>
          <w:spacing w:val="-2"/>
          <w:sz w:val="16"/>
        </w:rPr>
        <w:t>TELECOMUNICAÇÕES</w:t>
      </w:r>
      <w:r>
        <w:rPr>
          <w:rFonts w:ascii="Calibri" w:hAnsi="Calibri"/>
          <w:b/>
          <w:spacing w:val="16"/>
          <w:sz w:val="16"/>
        </w:rPr>
        <w:t xml:space="preserve"> </w:t>
      </w:r>
      <w:r>
        <w:rPr>
          <w:rFonts w:ascii="Calibri" w:hAnsi="Calibri"/>
          <w:b/>
          <w:spacing w:val="-2"/>
          <w:sz w:val="16"/>
        </w:rPr>
        <w:t>BRASILEIRAS</w:t>
      </w:r>
      <w:r>
        <w:rPr>
          <w:rFonts w:ascii="Calibri" w:hAnsi="Calibri"/>
          <w:b/>
          <w:spacing w:val="15"/>
          <w:sz w:val="16"/>
        </w:rPr>
        <w:t xml:space="preserve"> </w:t>
      </w:r>
      <w:r>
        <w:rPr>
          <w:rFonts w:ascii="Calibri" w:hAnsi="Calibri"/>
          <w:b/>
          <w:spacing w:val="-4"/>
          <w:sz w:val="16"/>
        </w:rPr>
        <w:t>S.A.</w:t>
      </w:r>
    </w:p>
    <w:p w14:paraId="2576D3EF" w14:textId="77777777" w:rsidR="002C6574" w:rsidRDefault="00000000">
      <w:pPr>
        <w:ind w:left="3029" w:right="4126" w:firstLine="324"/>
        <w:rPr>
          <w:rFonts w:ascii="Calibri" w:hAnsi="Calibri"/>
          <w:b/>
          <w:sz w:val="16"/>
        </w:rPr>
      </w:pPr>
      <w:r>
        <w:rPr>
          <w:rFonts w:ascii="Calibri" w:hAnsi="Calibri"/>
          <w:b/>
          <w:sz w:val="16"/>
        </w:rPr>
        <w:t>Vinculada ao Ministério das Comunicações</w:t>
      </w:r>
      <w:r>
        <w:rPr>
          <w:rFonts w:ascii="Calibri" w:hAnsi="Calibri"/>
          <w:b/>
          <w:spacing w:val="40"/>
          <w:sz w:val="16"/>
        </w:rPr>
        <w:t xml:space="preserve"> </w:t>
      </w:r>
      <w:r>
        <w:rPr>
          <w:rFonts w:ascii="Calibri" w:hAnsi="Calibri"/>
          <w:b/>
          <w:sz w:val="16"/>
        </w:rPr>
        <w:t>CNPJ</w:t>
      </w:r>
      <w:r>
        <w:rPr>
          <w:rFonts w:ascii="Calibri" w:hAnsi="Calibri"/>
          <w:b/>
          <w:spacing w:val="-6"/>
          <w:sz w:val="16"/>
        </w:rPr>
        <w:t xml:space="preserve"> </w:t>
      </w:r>
      <w:r>
        <w:rPr>
          <w:rFonts w:ascii="Calibri" w:hAnsi="Calibri"/>
          <w:b/>
          <w:sz w:val="16"/>
        </w:rPr>
        <w:t>n.º</w:t>
      </w:r>
      <w:r>
        <w:rPr>
          <w:rFonts w:ascii="Calibri" w:hAnsi="Calibri"/>
          <w:b/>
          <w:spacing w:val="-5"/>
          <w:sz w:val="16"/>
        </w:rPr>
        <w:t xml:space="preserve"> </w:t>
      </w:r>
      <w:r>
        <w:rPr>
          <w:rFonts w:ascii="Calibri" w:hAnsi="Calibri"/>
          <w:b/>
          <w:sz w:val="16"/>
        </w:rPr>
        <w:t>00336701/0001-04</w:t>
      </w:r>
      <w:r>
        <w:rPr>
          <w:rFonts w:ascii="Calibri" w:hAnsi="Calibri"/>
          <w:b/>
          <w:spacing w:val="-7"/>
          <w:sz w:val="16"/>
        </w:rPr>
        <w:t xml:space="preserve"> </w:t>
      </w:r>
      <w:r>
        <w:rPr>
          <w:rFonts w:ascii="Calibri" w:hAnsi="Calibri"/>
          <w:b/>
          <w:sz w:val="16"/>
        </w:rPr>
        <w:t>-</w:t>
      </w:r>
      <w:r>
        <w:rPr>
          <w:rFonts w:ascii="Calibri" w:hAnsi="Calibri"/>
          <w:b/>
          <w:spacing w:val="-4"/>
          <w:sz w:val="16"/>
        </w:rPr>
        <w:t xml:space="preserve"> </w:t>
      </w:r>
      <w:r>
        <w:rPr>
          <w:rFonts w:ascii="Calibri" w:hAnsi="Calibri"/>
          <w:b/>
          <w:sz w:val="16"/>
        </w:rPr>
        <w:t>NIRE</w:t>
      </w:r>
      <w:r>
        <w:rPr>
          <w:rFonts w:ascii="Calibri" w:hAnsi="Calibri"/>
          <w:b/>
          <w:spacing w:val="-6"/>
          <w:sz w:val="16"/>
        </w:rPr>
        <w:t xml:space="preserve"> </w:t>
      </w:r>
      <w:r>
        <w:rPr>
          <w:rFonts w:ascii="Calibri" w:hAnsi="Calibri"/>
          <w:b/>
          <w:sz w:val="16"/>
        </w:rPr>
        <w:t>N.º</w:t>
      </w:r>
      <w:r>
        <w:rPr>
          <w:rFonts w:ascii="Calibri" w:hAnsi="Calibri"/>
          <w:b/>
          <w:spacing w:val="-6"/>
          <w:sz w:val="16"/>
        </w:rPr>
        <w:t xml:space="preserve"> </w:t>
      </w:r>
      <w:r>
        <w:rPr>
          <w:rFonts w:ascii="Calibri" w:hAnsi="Calibri"/>
          <w:b/>
          <w:sz w:val="16"/>
        </w:rPr>
        <w:t>53300002231</w:t>
      </w:r>
    </w:p>
    <w:p w14:paraId="5AAD3DCE" w14:textId="77777777" w:rsidR="002C6574" w:rsidRDefault="002C6574">
      <w:pPr>
        <w:pStyle w:val="Corpodetexto"/>
        <w:spacing w:before="2"/>
        <w:rPr>
          <w:rFonts w:ascii="Calibri"/>
          <w:b/>
          <w:sz w:val="16"/>
        </w:rPr>
      </w:pPr>
    </w:p>
    <w:p w14:paraId="4328FAB3" w14:textId="77777777" w:rsidR="002C6574" w:rsidRDefault="00000000">
      <w:pPr>
        <w:pStyle w:val="Ttulo8"/>
        <w:spacing w:before="1"/>
        <w:ind w:left="667" w:right="1658" w:firstLine="2"/>
        <w:jc w:val="center"/>
      </w:pPr>
      <w:r>
        <w:t>Parecer do Comitê de Auditoria Estatutário das Telecomunicações Brasileiras S.A. - Telebras,</w:t>
      </w:r>
      <w:r>
        <w:rPr>
          <w:spacing w:val="-4"/>
        </w:rPr>
        <w:t xml:space="preserve"> </w:t>
      </w:r>
      <w:r>
        <w:t>referente</w:t>
      </w:r>
      <w:r>
        <w:rPr>
          <w:spacing w:val="-1"/>
        </w:rPr>
        <w:t xml:space="preserve"> </w:t>
      </w:r>
      <w:r>
        <w:t>às</w:t>
      </w:r>
      <w:r>
        <w:rPr>
          <w:spacing w:val="-4"/>
        </w:rPr>
        <w:t xml:space="preserve"> </w:t>
      </w:r>
      <w:r>
        <w:t>Demonstrações</w:t>
      </w:r>
      <w:r>
        <w:rPr>
          <w:spacing w:val="-4"/>
        </w:rPr>
        <w:t xml:space="preserve"> </w:t>
      </w:r>
      <w:r>
        <w:t>Contábeis</w:t>
      </w:r>
      <w:r>
        <w:rPr>
          <w:spacing w:val="-5"/>
        </w:rPr>
        <w:t xml:space="preserve"> </w:t>
      </w:r>
      <w:r>
        <w:t>Relativas</w:t>
      </w:r>
      <w:r>
        <w:rPr>
          <w:spacing w:val="-4"/>
        </w:rPr>
        <w:t xml:space="preserve"> </w:t>
      </w:r>
      <w:r>
        <w:t>ao</w:t>
      </w:r>
      <w:r>
        <w:rPr>
          <w:spacing w:val="-3"/>
        </w:rPr>
        <w:t xml:space="preserve"> </w:t>
      </w:r>
      <w:r>
        <w:t>Exercício</w:t>
      </w:r>
      <w:r>
        <w:rPr>
          <w:spacing w:val="-5"/>
        </w:rPr>
        <w:t xml:space="preserve"> </w:t>
      </w:r>
      <w:r>
        <w:t>Findo</w:t>
      </w:r>
      <w:r>
        <w:rPr>
          <w:spacing w:val="-1"/>
        </w:rPr>
        <w:t xml:space="preserve"> </w:t>
      </w:r>
      <w:r>
        <w:t>em</w:t>
      </w:r>
      <w:r>
        <w:rPr>
          <w:spacing w:val="-4"/>
        </w:rPr>
        <w:t xml:space="preserve"> </w:t>
      </w:r>
      <w:r>
        <w:t>31 de dezembro de 2025.</w:t>
      </w:r>
    </w:p>
    <w:p w14:paraId="16269054" w14:textId="77777777" w:rsidR="002C6574" w:rsidRDefault="00000000">
      <w:pPr>
        <w:spacing w:before="193"/>
        <w:ind w:left="569" w:right="1554"/>
        <w:jc w:val="both"/>
        <w:rPr>
          <w:rFonts w:ascii="Calibri" w:hAnsi="Calibri"/>
          <w:sz w:val="24"/>
        </w:rPr>
      </w:pPr>
      <w:r>
        <w:rPr>
          <w:rFonts w:ascii="Calibri" w:hAnsi="Calibri"/>
          <w:sz w:val="24"/>
        </w:rPr>
        <w:t>O Comitê de Auditoria da Telecomunicações Brasileiras S.A - Telebras é órgão assessor estatutário do Conselho de Administração em cumprimento à Lei n</w:t>
      </w:r>
      <w:r>
        <w:rPr>
          <w:rFonts w:ascii="Calibri" w:hAnsi="Calibri"/>
          <w:sz w:val="24"/>
          <w:u w:val="single"/>
          <w:vertAlign w:val="superscript"/>
        </w:rPr>
        <w:t>o</w:t>
      </w:r>
      <w:r>
        <w:rPr>
          <w:rFonts w:ascii="Calibri" w:hAnsi="Calibri"/>
          <w:sz w:val="24"/>
        </w:rPr>
        <w:t xml:space="preserve"> 13.303/2016, Decreto n</w:t>
      </w:r>
      <w:r>
        <w:rPr>
          <w:rFonts w:ascii="Calibri" w:hAnsi="Calibri"/>
          <w:sz w:val="24"/>
          <w:u w:val="single"/>
          <w:vertAlign w:val="superscript"/>
        </w:rPr>
        <w:t>o</w:t>
      </w:r>
      <w:r>
        <w:rPr>
          <w:rFonts w:ascii="Calibri" w:hAnsi="Calibri"/>
          <w:sz w:val="24"/>
        </w:rPr>
        <w:t xml:space="preserve"> 8.945/2016, Estatuto Social e seu Regimento Interno.</w:t>
      </w:r>
    </w:p>
    <w:p w14:paraId="607B9E30" w14:textId="77777777" w:rsidR="002C6574" w:rsidRDefault="00000000">
      <w:pPr>
        <w:spacing w:before="146"/>
        <w:ind w:left="1277" w:right="1554"/>
        <w:jc w:val="both"/>
        <w:rPr>
          <w:rFonts w:ascii="Calibri" w:hAnsi="Calibri"/>
          <w:sz w:val="24"/>
        </w:rPr>
      </w:pPr>
      <w:r>
        <w:rPr>
          <w:rFonts w:ascii="Calibri" w:hAnsi="Calibri"/>
          <w:sz w:val="24"/>
        </w:rPr>
        <w:t>Considerando a execução do Plano de Trabalho Anual para o exercício de 2025, os debates realizados no transcorrer das reuniões e os trabalhos de acompanhamento e supervisão efetuados com a administração, a auditoria interna,</w:t>
      </w:r>
      <w:r>
        <w:rPr>
          <w:rFonts w:ascii="Calibri" w:hAnsi="Calibri"/>
          <w:spacing w:val="-9"/>
          <w:sz w:val="24"/>
        </w:rPr>
        <w:t xml:space="preserve"> </w:t>
      </w:r>
      <w:r>
        <w:rPr>
          <w:rFonts w:ascii="Calibri" w:hAnsi="Calibri"/>
          <w:sz w:val="24"/>
        </w:rPr>
        <w:t>a</w:t>
      </w:r>
      <w:r>
        <w:rPr>
          <w:rFonts w:ascii="Calibri" w:hAnsi="Calibri"/>
          <w:spacing w:val="-10"/>
          <w:sz w:val="24"/>
        </w:rPr>
        <w:t xml:space="preserve"> </w:t>
      </w:r>
      <w:r>
        <w:rPr>
          <w:rFonts w:ascii="Calibri" w:hAnsi="Calibri"/>
          <w:sz w:val="24"/>
        </w:rPr>
        <w:t>auditoria</w:t>
      </w:r>
      <w:r>
        <w:rPr>
          <w:rFonts w:ascii="Calibri" w:hAnsi="Calibri"/>
          <w:spacing w:val="-12"/>
          <w:sz w:val="24"/>
        </w:rPr>
        <w:t xml:space="preserve"> </w:t>
      </w:r>
      <w:r>
        <w:rPr>
          <w:rFonts w:ascii="Calibri" w:hAnsi="Calibri"/>
          <w:sz w:val="24"/>
        </w:rPr>
        <w:t>independente</w:t>
      </w:r>
      <w:r>
        <w:rPr>
          <w:rFonts w:ascii="Calibri" w:hAnsi="Calibri"/>
          <w:spacing w:val="-9"/>
          <w:sz w:val="24"/>
        </w:rPr>
        <w:t xml:space="preserve"> </w:t>
      </w:r>
      <w:r>
        <w:rPr>
          <w:rFonts w:ascii="Calibri" w:hAnsi="Calibri"/>
          <w:sz w:val="24"/>
        </w:rPr>
        <w:t>e</w:t>
      </w:r>
      <w:r>
        <w:rPr>
          <w:rFonts w:ascii="Calibri" w:hAnsi="Calibri"/>
          <w:spacing w:val="-10"/>
          <w:sz w:val="24"/>
        </w:rPr>
        <w:t xml:space="preserve"> </w:t>
      </w:r>
      <w:r>
        <w:rPr>
          <w:rFonts w:ascii="Calibri" w:hAnsi="Calibri"/>
          <w:sz w:val="24"/>
        </w:rPr>
        <w:t>os</w:t>
      </w:r>
      <w:r>
        <w:rPr>
          <w:rFonts w:ascii="Calibri" w:hAnsi="Calibri"/>
          <w:spacing w:val="-9"/>
          <w:sz w:val="24"/>
        </w:rPr>
        <w:t xml:space="preserve"> </w:t>
      </w:r>
      <w:r>
        <w:rPr>
          <w:rFonts w:ascii="Calibri" w:hAnsi="Calibri"/>
          <w:sz w:val="24"/>
        </w:rPr>
        <w:t>gestores</w:t>
      </w:r>
      <w:r>
        <w:rPr>
          <w:rFonts w:ascii="Calibri" w:hAnsi="Calibri"/>
          <w:spacing w:val="-11"/>
          <w:sz w:val="24"/>
        </w:rPr>
        <w:t xml:space="preserve"> </w:t>
      </w:r>
      <w:r>
        <w:rPr>
          <w:rFonts w:ascii="Calibri" w:hAnsi="Calibri"/>
          <w:sz w:val="24"/>
        </w:rPr>
        <w:t>das</w:t>
      </w:r>
      <w:r>
        <w:rPr>
          <w:rFonts w:ascii="Calibri" w:hAnsi="Calibri"/>
          <w:spacing w:val="-10"/>
          <w:sz w:val="24"/>
        </w:rPr>
        <w:t xml:space="preserve"> </w:t>
      </w:r>
      <w:r>
        <w:rPr>
          <w:rFonts w:ascii="Calibri" w:hAnsi="Calibri"/>
          <w:sz w:val="24"/>
        </w:rPr>
        <w:t>diversas</w:t>
      </w:r>
      <w:r>
        <w:rPr>
          <w:rFonts w:ascii="Calibri" w:hAnsi="Calibri"/>
          <w:spacing w:val="-10"/>
          <w:sz w:val="24"/>
        </w:rPr>
        <w:t xml:space="preserve"> </w:t>
      </w:r>
      <w:r>
        <w:rPr>
          <w:rFonts w:ascii="Calibri" w:hAnsi="Calibri"/>
          <w:sz w:val="24"/>
        </w:rPr>
        <w:t>áreas</w:t>
      </w:r>
      <w:r>
        <w:rPr>
          <w:rFonts w:ascii="Calibri" w:hAnsi="Calibri"/>
          <w:spacing w:val="-11"/>
          <w:sz w:val="24"/>
        </w:rPr>
        <w:t xml:space="preserve"> </w:t>
      </w:r>
      <w:r>
        <w:rPr>
          <w:rFonts w:ascii="Calibri" w:hAnsi="Calibri"/>
          <w:sz w:val="24"/>
        </w:rPr>
        <w:t>técnicas,</w:t>
      </w:r>
      <w:r>
        <w:rPr>
          <w:rFonts w:ascii="Calibri" w:hAnsi="Calibri"/>
          <w:spacing w:val="-10"/>
          <w:sz w:val="24"/>
        </w:rPr>
        <w:t xml:space="preserve"> </w:t>
      </w:r>
      <w:r>
        <w:rPr>
          <w:rFonts w:ascii="Calibri" w:hAnsi="Calibri"/>
          <w:sz w:val="24"/>
        </w:rPr>
        <w:t>tudo consubstanciado nos documentos e nas respectivas atas produzidas em poder da Companhia, resumidos no Relatório Anual de Atividades;</w:t>
      </w:r>
    </w:p>
    <w:p w14:paraId="01706FB5" w14:textId="77777777" w:rsidR="002C6574" w:rsidRDefault="00000000">
      <w:pPr>
        <w:spacing w:before="149"/>
        <w:ind w:left="1277" w:right="1554"/>
        <w:jc w:val="both"/>
        <w:rPr>
          <w:rFonts w:ascii="Calibri" w:hAnsi="Calibri"/>
          <w:sz w:val="24"/>
        </w:rPr>
      </w:pPr>
      <w:r>
        <w:rPr>
          <w:rFonts w:ascii="Calibri" w:hAnsi="Calibri"/>
          <w:sz w:val="24"/>
        </w:rPr>
        <w:t>Considerando</w:t>
      </w:r>
      <w:r>
        <w:rPr>
          <w:rFonts w:ascii="Calibri" w:hAnsi="Calibri"/>
          <w:spacing w:val="-9"/>
          <w:sz w:val="24"/>
        </w:rPr>
        <w:t xml:space="preserve"> </w:t>
      </w:r>
      <w:r>
        <w:rPr>
          <w:rFonts w:ascii="Calibri" w:hAnsi="Calibri"/>
          <w:sz w:val="24"/>
        </w:rPr>
        <w:t>o</w:t>
      </w:r>
      <w:r>
        <w:rPr>
          <w:rFonts w:ascii="Calibri" w:hAnsi="Calibri"/>
          <w:spacing w:val="-10"/>
          <w:sz w:val="24"/>
        </w:rPr>
        <w:t xml:space="preserve"> </w:t>
      </w:r>
      <w:r>
        <w:rPr>
          <w:rFonts w:ascii="Calibri" w:hAnsi="Calibri"/>
          <w:sz w:val="24"/>
        </w:rPr>
        <w:t>exercício</w:t>
      </w:r>
      <w:r>
        <w:rPr>
          <w:rFonts w:ascii="Calibri" w:hAnsi="Calibri"/>
          <w:spacing w:val="-9"/>
          <w:sz w:val="24"/>
        </w:rPr>
        <w:t xml:space="preserve"> </w:t>
      </w:r>
      <w:r>
        <w:rPr>
          <w:rFonts w:ascii="Calibri" w:hAnsi="Calibri"/>
          <w:sz w:val="24"/>
        </w:rPr>
        <w:t>de</w:t>
      </w:r>
      <w:r>
        <w:rPr>
          <w:rFonts w:ascii="Calibri" w:hAnsi="Calibri"/>
          <w:spacing w:val="-10"/>
          <w:sz w:val="24"/>
        </w:rPr>
        <w:t xml:space="preserve"> </w:t>
      </w:r>
      <w:r>
        <w:rPr>
          <w:rFonts w:ascii="Calibri" w:hAnsi="Calibri"/>
          <w:sz w:val="24"/>
        </w:rPr>
        <w:t>suas</w:t>
      </w:r>
      <w:r>
        <w:rPr>
          <w:rFonts w:ascii="Calibri" w:hAnsi="Calibri"/>
          <w:spacing w:val="-9"/>
          <w:sz w:val="24"/>
        </w:rPr>
        <w:t xml:space="preserve"> </w:t>
      </w:r>
      <w:r>
        <w:rPr>
          <w:rFonts w:ascii="Calibri" w:hAnsi="Calibri"/>
          <w:sz w:val="24"/>
        </w:rPr>
        <w:t>atividades</w:t>
      </w:r>
      <w:r>
        <w:rPr>
          <w:rFonts w:ascii="Calibri" w:hAnsi="Calibri"/>
          <w:spacing w:val="-11"/>
          <w:sz w:val="24"/>
        </w:rPr>
        <w:t xml:space="preserve"> </w:t>
      </w:r>
      <w:r>
        <w:rPr>
          <w:rFonts w:ascii="Calibri" w:hAnsi="Calibri"/>
          <w:sz w:val="24"/>
        </w:rPr>
        <w:t>de</w:t>
      </w:r>
      <w:r>
        <w:rPr>
          <w:rFonts w:ascii="Calibri" w:hAnsi="Calibri"/>
          <w:spacing w:val="-6"/>
          <w:sz w:val="24"/>
        </w:rPr>
        <w:t xml:space="preserve"> </w:t>
      </w:r>
      <w:r>
        <w:rPr>
          <w:rFonts w:ascii="Calibri" w:hAnsi="Calibri"/>
          <w:sz w:val="24"/>
        </w:rPr>
        <w:t>supervisão</w:t>
      </w:r>
      <w:r>
        <w:rPr>
          <w:rFonts w:ascii="Calibri" w:hAnsi="Calibri"/>
          <w:spacing w:val="-10"/>
          <w:sz w:val="24"/>
        </w:rPr>
        <w:t xml:space="preserve"> </w:t>
      </w:r>
      <w:r>
        <w:rPr>
          <w:rFonts w:ascii="Calibri" w:hAnsi="Calibri"/>
          <w:sz w:val="24"/>
        </w:rPr>
        <w:t>e</w:t>
      </w:r>
      <w:r>
        <w:rPr>
          <w:rFonts w:ascii="Calibri" w:hAnsi="Calibri"/>
          <w:spacing w:val="-10"/>
          <w:sz w:val="24"/>
        </w:rPr>
        <w:t xml:space="preserve"> </w:t>
      </w:r>
      <w:r>
        <w:rPr>
          <w:rFonts w:ascii="Calibri" w:hAnsi="Calibri"/>
          <w:sz w:val="24"/>
        </w:rPr>
        <w:t>monitoramento</w:t>
      </w:r>
      <w:r>
        <w:rPr>
          <w:rFonts w:ascii="Calibri" w:hAnsi="Calibri"/>
          <w:spacing w:val="-10"/>
          <w:sz w:val="24"/>
        </w:rPr>
        <w:t xml:space="preserve"> </w:t>
      </w:r>
      <w:r>
        <w:rPr>
          <w:rFonts w:ascii="Calibri" w:hAnsi="Calibri"/>
          <w:sz w:val="24"/>
        </w:rPr>
        <w:t>das demonstrações</w:t>
      </w:r>
      <w:r>
        <w:rPr>
          <w:rFonts w:ascii="Calibri" w:hAnsi="Calibri"/>
          <w:spacing w:val="-7"/>
          <w:sz w:val="24"/>
        </w:rPr>
        <w:t xml:space="preserve"> </w:t>
      </w:r>
      <w:r>
        <w:rPr>
          <w:rFonts w:ascii="Calibri" w:hAnsi="Calibri"/>
          <w:sz w:val="24"/>
        </w:rPr>
        <w:t>contábeis</w:t>
      </w:r>
      <w:r>
        <w:rPr>
          <w:rFonts w:ascii="Calibri" w:hAnsi="Calibri"/>
          <w:spacing w:val="-8"/>
          <w:sz w:val="24"/>
        </w:rPr>
        <w:t xml:space="preserve"> </w:t>
      </w:r>
      <w:r>
        <w:rPr>
          <w:rFonts w:ascii="Calibri" w:hAnsi="Calibri"/>
          <w:sz w:val="24"/>
        </w:rPr>
        <w:t>e</w:t>
      </w:r>
      <w:r>
        <w:rPr>
          <w:rFonts w:ascii="Calibri" w:hAnsi="Calibri"/>
          <w:spacing w:val="-8"/>
          <w:sz w:val="24"/>
        </w:rPr>
        <w:t xml:space="preserve"> </w:t>
      </w:r>
      <w:r>
        <w:rPr>
          <w:rFonts w:ascii="Calibri" w:hAnsi="Calibri"/>
          <w:sz w:val="24"/>
        </w:rPr>
        <w:t>dos</w:t>
      </w:r>
      <w:r>
        <w:rPr>
          <w:rFonts w:ascii="Calibri" w:hAnsi="Calibri"/>
          <w:spacing w:val="-8"/>
          <w:sz w:val="24"/>
        </w:rPr>
        <w:t xml:space="preserve"> </w:t>
      </w:r>
      <w:r>
        <w:rPr>
          <w:rFonts w:ascii="Calibri" w:hAnsi="Calibri"/>
          <w:sz w:val="24"/>
        </w:rPr>
        <w:t>controles</w:t>
      </w:r>
      <w:r>
        <w:rPr>
          <w:rFonts w:ascii="Calibri" w:hAnsi="Calibri"/>
          <w:spacing w:val="-8"/>
          <w:sz w:val="24"/>
        </w:rPr>
        <w:t xml:space="preserve"> </w:t>
      </w:r>
      <w:r>
        <w:rPr>
          <w:rFonts w:ascii="Calibri" w:hAnsi="Calibri"/>
          <w:sz w:val="24"/>
        </w:rPr>
        <w:t>internos,</w:t>
      </w:r>
      <w:r>
        <w:rPr>
          <w:rFonts w:ascii="Calibri" w:hAnsi="Calibri"/>
          <w:spacing w:val="-6"/>
          <w:sz w:val="24"/>
        </w:rPr>
        <w:t xml:space="preserve"> </w:t>
      </w:r>
      <w:r>
        <w:rPr>
          <w:rFonts w:ascii="Calibri" w:hAnsi="Calibri"/>
          <w:sz w:val="24"/>
        </w:rPr>
        <w:t>tendo</w:t>
      </w:r>
      <w:r>
        <w:rPr>
          <w:rFonts w:ascii="Calibri" w:hAnsi="Calibri"/>
          <w:spacing w:val="-10"/>
          <w:sz w:val="24"/>
        </w:rPr>
        <w:t xml:space="preserve"> </w:t>
      </w:r>
      <w:r>
        <w:rPr>
          <w:rFonts w:ascii="Calibri" w:hAnsi="Calibri"/>
          <w:sz w:val="24"/>
        </w:rPr>
        <w:t>presente</w:t>
      </w:r>
      <w:r>
        <w:rPr>
          <w:rFonts w:ascii="Calibri" w:hAnsi="Calibri"/>
          <w:spacing w:val="-10"/>
          <w:sz w:val="24"/>
        </w:rPr>
        <w:t xml:space="preserve"> </w:t>
      </w:r>
      <w:r>
        <w:rPr>
          <w:rFonts w:ascii="Calibri" w:hAnsi="Calibri"/>
          <w:sz w:val="24"/>
        </w:rPr>
        <w:t>as</w:t>
      </w:r>
      <w:r>
        <w:rPr>
          <w:rFonts w:ascii="Calibri" w:hAnsi="Calibri"/>
          <w:spacing w:val="-8"/>
          <w:sz w:val="24"/>
        </w:rPr>
        <w:t xml:space="preserve"> </w:t>
      </w:r>
      <w:r>
        <w:rPr>
          <w:rFonts w:ascii="Calibri" w:hAnsi="Calibri"/>
          <w:sz w:val="24"/>
        </w:rPr>
        <w:t>limitações inerentes ao escopo de sua atuação;</w:t>
      </w:r>
    </w:p>
    <w:p w14:paraId="517A252E" w14:textId="77777777" w:rsidR="002C6574" w:rsidRDefault="00000000">
      <w:pPr>
        <w:spacing w:before="146"/>
        <w:ind w:left="1277" w:right="1554"/>
        <w:jc w:val="both"/>
        <w:rPr>
          <w:rFonts w:ascii="Calibri" w:hAnsi="Calibri"/>
        </w:rPr>
      </w:pPr>
      <w:r>
        <w:rPr>
          <w:rFonts w:ascii="Calibri" w:hAnsi="Calibri"/>
          <w:sz w:val="24"/>
        </w:rPr>
        <w:t xml:space="preserve">Considerando as Demonstrações Contábeis e respectivas Notas Explicativas relativas ao exercício findo em 31 de dezembro de 2025, o Relatório de Administração, suportadas pelo Relatório da CONSULT - Auditores Independentes, emitido com parágrafo de ênfase e sem ressalvas, em 12 de março de 2026; </w:t>
      </w:r>
      <w:r>
        <w:rPr>
          <w:rFonts w:ascii="Calibri" w:hAnsi="Calibri"/>
        </w:rPr>
        <w:t>e</w:t>
      </w:r>
    </w:p>
    <w:p w14:paraId="55F138EB" w14:textId="77777777" w:rsidR="002C6574" w:rsidRDefault="00000000">
      <w:pPr>
        <w:spacing w:before="146"/>
        <w:ind w:left="1277"/>
        <w:jc w:val="both"/>
        <w:rPr>
          <w:rFonts w:ascii="Calibri" w:hAnsi="Calibri"/>
          <w:sz w:val="24"/>
        </w:rPr>
      </w:pPr>
      <w:r>
        <w:rPr>
          <w:rFonts w:ascii="Calibri" w:hAnsi="Calibri"/>
          <w:sz w:val="24"/>
        </w:rPr>
        <w:t>Considerando</w:t>
      </w:r>
      <w:r>
        <w:rPr>
          <w:rFonts w:ascii="Calibri" w:hAnsi="Calibri"/>
          <w:spacing w:val="-7"/>
          <w:sz w:val="24"/>
        </w:rPr>
        <w:t xml:space="preserve"> </w:t>
      </w:r>
      <w:r>
        <w:rPr>
          <w:rFonts w:ascii="Calibri" w:hAnsi="Calibri"/>
          <w:sz w:val="24"/>
        </w:rPr>
        <w:t>a Instrução da</w:t>
      </w:r>
      <w:r>
        <w:rPr>
          <w:rFonts w:ascii="Calibri" w:hAnsi="Calibri"/>
          <w:spacing w:val="-4"/>
          <w:sz w:val="24"/>
        </w:rPr>
        <w:t xml:space="preserve"> </w:t>
      </w:r>
      <w:r>
        <w:rPr>
          <w:rFonts w:ascii="Calibri" w:hAnsi="Calibri"/>
          <w:sz w:val="24"/>
        </w:rPr>
        <w:t>CVM</w:t>
      </w:r>
      <w:r>
        <w:rPr>
          <w:rFonts w:ascii="Calibri" w:hAnsi="Calibri"/>
          <w:spacing w:val="-3"/>
          <w:sz w:val="24"/>
        </w:rPr>
        <w:t xml:space="preserve"> </w:t>
      </w:r>
      <w:r>
        <w:rPr>
          <w:rFonts w:ascii="Calibri" w:hAnsi="Calibri"/>
          <w:sz w:val="24"/>
        </w:rPr>
        <w:t>nº</w:t>
      </w:r>
      <w:r>
        <w:rPr>
          <w:rFonts w:ascii="Calibri" w:hAnsi="Calibri"/>
          <w:spacing w:val="-3"/>
          <w:sz w:val="24"/>
        </w:rPr>
        <w:t xml:space="preserve"> </w:t>
      </w:r>
      <w:r>
        <w:rPr>
          <w:rFonts w:ascii="Calibri" w:hAnsi="Calibri"/>
          <w:spacing w:val="-2"/>
          <w:sz w:val="24"/>
        </w:rPr>
        <w:t>81/2022,</w:t>
      </w:r>
    </w:p>
    <w:p w14:paraId="22216132" w14:textId="77777777" w:rsidR="002C6574" w:rsidRDefault="00000000">
      <w:pPr>
        <w:spacing w:before="148"/>
        <w:ind w:left="569" w:right="1557"/>
        <w:jc w:val="both"/>
        <w:rPr>
          <w:rFonts w:ascii="Calibri" w:hAnsi="Calibri"/>
          <w:sz w:val="24"/>
        </w:rPr>
      </w:pPr>
      <w:r>
        <w:rPr>
          <w:rFonts w:ascii="Calibri" w:hAnsi="Calibri"/>
          <w:sz w:val="24"/>
        </w:rPr>
        <w:t>O</w:t>
      </w:r>
      <w:r>
        <w:rPr>
          <w:rFonts w:ascii="Calibri" w:hAnsi="Calibri"/>
          <w:spacing w:val="-14"/>
          <w:sz w:val="24"/>
        </w:rPr>
        <w:t xml:space="preserve"> </w:t>
      </w:r>
      <w:r>
        <w:rPr>
          <w:rFonts w:ascii="Calibri" w:hAnsi="Calibri"/>
          <w:sz w:val="24"/>
        </w:rPr>
        <w:t>Comitê</w:t>
      </w:r>
      <w:r>
        <w:rPr>
          <w:rFonts w:ascii="Calibri" w:hAnsi="Calibri"/>
          <w:spacing w:val="-14"/>
          <w:sz w:val="24"/>
        </w:rPr>
        <w:t xml:space="preserve"> </w:t>
      </w:r>
      <w:r>
        <w:rPr>
          <w:rFonts w:ascii="Calibri" w:hAnsi="Calibri"/>
          <w:sz w:val="24"/>
        </w:rPr>
        <w:t>de</w:t>
      </w:r>
      <w:r>
        <w:rPr>
          <w:rFonts w:ascii="Calibri" w:hAnsi="Calibri"/>
          <w:spacing w:val="-13"/>
          <w:sz w:val="24"/>
        </w:rPr>
        <w:t xml:space="preserve"> </w:t>
      </w:r>
      <w:r>
        <w:rPr>
          <w:rFonts w:ascii="Calibri" w:hAnsi="Calibri"/>
          <w:sz w:val="24"/>
        </w:rPr>
        <w:t>Auditoria</w:t>
      </w:r>
      <w:r>
        <w:rPr>
          <w:rFonts w:ascii="Calibri" w:hAnsi="Calibri"/>
          <w:spacing w:val="-14"/>
          <w:sz w:val="24"/>
        </w:rPr>
        <w:t xml:space="preserve"> </w:t>
      </w:r>
      <w:r>
        <w:rPr>
          <w:rFonts w:ascii="Calibri" w:hAnsi="Calibri"/>
          <w:sz w:val="24"/>
        </w:rPr>
        <w:t>conclui</w:t>
      </w:r>
      <w:r>
        <w:rPr>
          <w:rFonts w:ascii="Calibri" w:hAnsi="Calibri"/>
          <w:spacing w:val="-13"/>
          <w:sz w:val="24"/>
        </w:rPr>
        <w:t xml:space="preserve"> </w:t>
      </w:r>
      <w:r>
        <w:rPr>
          <w:rFonts w:ascii="Calibri" w:hAnsi="Calibri"/>
          <w:sz w:val="24"/>
        </w:rPr>
        <w:t>que</w:t>
      </w:r>
      <w:r>
        <w:rPr>
          <w:rFonts w:ascii="Calibri" w:hAnsi="Calibri"/>
          <w:spacing w:val="-14"/>
          <w:sz w:val="24"/>
        </w:rPr>
        <w:t xml:space="preserve"> </w:t>
      </w:r>
      <w:r>
        <w:rPr>
          <w:rFonts w:ascii="Calibri" w:hAnsi="Calibri"/>
          <w:sz w:val="24"/>
        </w:rPr>
        <w:t>as</w:t>
      </w:r>
      <w:r>
        <w:rPr>
          <w:rFonts w:ascii="Calibri" w:hAnsi="Calibri"/>
          <w:spacing w:val="-13"/>
          <w:sz w:val="24"/>
        </w:rPr>
        <w:t xml:space="preserve"> </w:t>
      </w:r>
      <w:r>
        <w:rPr>
          <w:rFonts w:ascii="Calibri" w:hAnsi="Calibri"/>
          <w:sz w:val="24"/>
        </w:rPr>
        <w:t>Demonstrações</w:t>
      </w:r>
      <w:r>
        <w:rPr>
          <w:rFonts w:ascii="Calibri" w:hAnsi="Calibri"/>
          <w:spacing w:val="-14"/>
          <w:sz w:val="24"/>
        </w:rPr>
        <w:t xml:space="preserve"> </w:t>
      </w:r>
      <w:r>
        <w:rPr>
          <w:rFonts w:ascii="Calibri" w:hAnsi="Calibri"/>
          <w:sz w:val="24"/>
        </w:rPr>
        <w:t>Financeiras</w:t>
      </w:r>
      <w:r>
        <w:rPr>
          <w:rFonts w:ascii="Calibri" w:hAnsi="Calibri"/>
          <w:spacing w:val="-14"/>
          <w:sz w:val="24"/>
        </w:rPr>
        <w:t xml:space="preserve"> </w:t>
      </w:r>
      <w:r>
        <w:rPr>
          <w:rFonts w:ascii="Calibri" w:hAnsi="Calibri"/>
          <w:sz w:val="24"/>
        </w:rPr>
        <w:t>referentes</w:t>
      </w:r>
      <w:r>
        <w:rPr>
          <w:rFonts w:ascii="Calibri" w:hAnsi="Calibri"/>
          <w:spacing w:val="-13"/>
          <w:sz w:val="24"/>
        </w:rPr>
        <w:t xml:space="preserve"> </w:t>
      </w:r>
      <w:r>
        <w:rPr>
          <w:rFonts w:ascii="Calibri" w:hAnsi="Calibri"/>
          <w:sz w:val="24"/>
        </w:rPr>
        <w:t>ao</w:t>
      </w:r>
      <w:r>
        <w:rPr>
          <w:rFonts w:ascii="Calibri" w:hAnsi="Calibri"/>
          <w:spacing w:val="-14"/>
          <w:sz w:val="24"/>
        </w:rPr>
        <w:t xml:space="preserve"> </w:t>
      </w:r>
      <w:r>
        <w:rPr>
          <w:rFonts w:ascii="Calibri" w:hAnsi="Calibri"/>
          <w:sz w:val="24"/>
        </w:rPr>
        <w:t>exercício findo em 31 de dezembro de 2025 estão em condições de serem submetidas ao Conselho de Administração para deliberação. Brasília, 12 de março de 2026.</w:t>
      </w:r>
    </w:p>
    <w:p w14:paraId="759A7C20" w14:textId="77777777" w:rsidR="002C6574" w:rsidRDefault="002C6574">
      <w:pPr>
        <w:pStyle w:val="Corpodetexto"/>
        <w:rPr>
          <w:rFonts w:ascii="Calibri"/>
          <w:sz w:val="24"/>
        </w:rPr>
      </w:pPr>
    </w:p>
    <w:p w14:paraId="4298C3F9" w14:textId="77777777" w:rsidR="002C6574" w:rsidRDefault="002C6574">
      <w:pPr>
        <w:pStyle w:val="Corpodetexto"/>
        <w:spacing w:before="292"/>
        <w:rPr>
          <w:rFonts w:ascii="Calibri"/>
          <w:sz w:val="24"/>
        </w:rPr>
      </w:pPr>
    </w:p>
    <w:p w14:paraId="79A2F41B" w14:textId="77777777" w:rsidR="002C6574" w:rsidRDefault="00000000">
      <w:pPr>
        <w:pStyle w:val="Ttulo8"/>
        <w:ind w:left="0" w:right="993"/>
        <w:jc w:val="center"/>
      </w:pPr>
      <w:r>
        <w:t>Jerônimo</w:t>
      </w:r>
      <w:r>
        <w:rPr>
          <w:spacing w:val="-3"/>
        </w:rPr>
        <w:t xml:space="preserve"> </w:t>
      </w:r>
      <w:r>
        <w:t>José</w:t>
      </w:r>
      <w:r>
        <w:rPr>
          <w:spacing w:val="-4"/>
        </w:rPr>
        <w:t xml:space="preserve"> </w:t>
      </w:r>
      <w:r>
        <w:t>Cabral</w:t>
      </w:r>
      <w:r>
        <w:rPr>
          <w:spacing w:val="-4"/>
        </w:rPr>
        <w:t xml:space="preserve"> </w:t>
      </w:r>
      <w:r>
        <w:rPr>
          <w:spacing w:val="-2"/>
        </w:rPr>
        <w:t>Guedes</w:t>
      </w:r>
    </w:p>
    <w:p w14:paraId="7B7BA90A" w14:textId="77777777" w:rsidR="002C6574" w:rsidRDefault="00000000">
      <w:pPr>
        <w:spacing w:before="43"/>
        <w:ind w:left="202" w:right="1193"/>
        <w:jc w:val="center"/>
        <w:rPr>
          <w:rFonts w:ascii="Calibri" w:hAnsi="Calibri"/>
          <w:sz w:val="24"/>
        </w:rPr>
      </w:pPr>
      <w:r>
        <w:rPr>
          <w:rFonts w:ascii="Calibri" w:hAnsi="Calibri"/>
          <w:sz w:val="24"/>
        </w:rPr>
        <w:t>Presidente</w:t>
      </w:r>
      <w:r>
        <w:rPr>
          <w:rFonts w:ascii="Calibri" w:hAnsi="Calibri"/>
          <w:spacing w:val="-3"/>
          <w:sz w:val="24"/>
        </w:rPr>
        <w:t xml:space="preserve"> </w:t>
      </w:r>
      <w:r>
        <w:rPr>
          <w:rFonts w:ascii="Calibri" w:hAnsi="Calibri"/>
          <w:sz w:val="24"/>
        </w:rPr>
        <w:t>do</w:t>
      </w:r>
      <w:r>
        <w:rPr>
          <w:rFonts w:ascii="Calibri" w:hAnsi="Calibri"/>
          <w:spacing w:val="-2"/>
          <w:sz w:val="24"/>
        </w:rPr>
        <w:t xml:space="preserve"> </w:t>
      </w:r>
      <w:r>
        <w:rPr>
          <w:rFonts w:ascii="Calibri" w:hAnsi="Calibri"/>
          <w:sz w:val="24"/>
        </w:rPr>
        <w:t>Comitê</w:t>
      </w:r>
      <w:r>
        <w:rPr>
          <w:rFonts w:ascii="Calibri" w:hAnsi="Calibri"/>
          <w:spacing w:val="-4"/>
          <w:sz w:val="24"/>
        </w:rPr>
        <w:t xml:space="preserve"> </w:t>
      </w:r>
      <w:r>
        <w:rPr>
          <w:rFonts w:ascii="Calibri" w:hAnsi="Calibri"/>
          <w:sz w:val="24"/>
        </w:rPr>
        <w:t>de</w:t>
      </w:r>
      <w:r>
        <w:rPr>
          <w:rFonts w:ascii="Calibri" w:hAnsi="Calibri"/>
          <w:spacing w:val="-5"/>
          <w:sz w:val="24"/>
        </w:rPr>
        <w:t xml:space="preserve"> </w:t>
      </w:r>
      <w:r>
        <w:rPr>
          <w:rFonts w:ascii="Calibri" w:hAnsi="Calibri"/>
          <w:sz w:val="24"/>
        </w:rPr>
        <w:t>Auditoria</w:t>
      </w:r>
      <w:r>
        <w:rPr>
          <w:rFonts w:ascii="Calibri" w:hAnsi="Calibri"/>
          <w:spacing w:val="-3"/>
          <w:sz w:val="24"/>
        </w:rPr>
        <w:t xml:space="preserve"> </w:t>
      </w:r>
      <w:r>
        <w:rPr>
          <w:rFonts w:ascii="Calibri" w:hAnsi="Calibri"/>
          <w:sz w:val="24"/>
        </w:rPr>
        <w:t>Estatutário</w:t>
      </w:r>
      <w:r>
        <w:rPr>
          <w:rFonts w:ascii="Calibri" w:hAnsi="Calibri"/>
          <w:spacing w:val="3"/>
          <w:sz w:val="24"/>
        </w:rPr>
        <w:t xml:space="preserve"> </w:t>
      </w:r>
      <w:r>
        <w:rPr>
          <w:rFonts w:ascii="Calibri" w:hAnsi="Calibri"/>
          <w:sz w:val="24"/>
        </w:rPr>
        <w:t>-</w:t>
      </w:r>
      <w:r>
        <w:rPr>
          <w:rFonts w:ascii="Calibri" w:hAnsi="Calibri"/>
          <w:spacing w:val="-4"/>
          <w:sz w:val="24"/>
        </w:rPr>
        <w:t xml:space="preserve"> COAUD</w:t>
      </w:r>
    </w:p>
    <w:p w14:paraId="5210E0F0" w14:textId="77777777" w:rsidR="002C6574" w:rsidRDefault="002C6574">
      <w:pPr>
        <w:pStyle w:val="Corpodetexto"/>
        <w:rPr>
          <w:rFonts w:ascii="Calibri"/>
          <w:sz w:val="24"/>
        </w:rPr>
      </w:pPr>
    </w:p>
    <w:p w14:paraId="6C923E36" w14:textId="77777777" w:rsidR="002C6574" w:rsidRDefault="002C6574">
      <w:pPr>
        <w:pStyle w:val="Corpodetexto"/>
        <w:rPr>
          <w:rFonts w:ascii="Calibri"/>
          <w:sz w:val="24"/>
        </w:rPr>
      </w:pPr>
    </w:p>
    <w:p w14:paraId="41699474" w14:textId="77777777" w:rsidR="002C6574" w:rsidRDefault="002C6574">
      <w:pPr>
        <w:pStyle w:val="Corpodetexto"/>
        <w:spacing w:before="178"/>
        <w:rPr>
          <w:rFonts w:ascii="Calibri"/>
          <w:sz w:val="24"/>
        </w:rPr>
      </w:pPr>
    </w:p>
    <w:p w14:paraId="0A710348" w14:textId="77777777" w:rsidR="002C6574" w:rsidRDefault="00000000">
      <w:pPr>
        <w:pStyle w:val="Ttulo8"/>
        <w:ind w:left="0" w:right="999"/>
        <w:jc w:val="center"/>
      </w:pPr>
      <w:r>
        <w:t xml:space="preserve">Cleber </w:t>
      </w:r>
      <w:r>
        <w:rPr>
          <w:spacing w:val="-2"/>
        </w:rPr>
        <w:t>Santiago</w:t>
      </w:r>
    </w:p>
    <w:p w14:paraId="2C978C2B" w14:textId="77777777" w:rsidR="002C6574" w:rsidRDefault="00000000">
      <w:pPr>
        <w:spacing w:before="43"/>
        <w:ind w:right="1010"/>
        <w:jc w:val="center"/>
        <w:rPr>
          <w:rFonts w:ascii="Calibri" w:hAnsi="Calibri"/>
          <w:sz w:val="24"/>
        </w:rPr>
      </w:pPr>
      <w:r>
        <w:rPr>
          <w:rFonts w:ascii="Calibri" w:hAnsi="Calibri"/>
          <w:sz w:val="24"/>
        </w:rPr>
        <w:t>Comitê</w:t>
      </w:r>
      <w:r>
        <w:rPr>
          <w:rFonts w:ascii="Calibri" w:hAnsi="Calibri"/>
          <w:spacing w:val="-4"/>
          <w:sz w:val="24"/>
        </w:rPr>
        <w:t xml:space="preserve"> </w:t>
      </w:r>
      <w:r>
        <w:rPr>
          <w:rFonts w:ascii="Calibri" w:hAnsi="Calibri"/>
          <w:sz w:val="24"/>
        </w:rPr>
        <w:t>de</w:t>
      </w:r>
      <w:r>
        <w:rPr>
          <w:rFonts w:ascii="Calibri" w:hAnsi="Calibri"/>
          <w:spacing w:val="-2"/>
          <w:sz w:val="24"/>
        </w:rPr>
        <w:t xml:space="preserve"> </w:t>
      </w:r>
      <w:r>
        <w:rPr>
          <w:rFonts w:ascii="Calibri" w:hAnsi="Calibri"/>
          <w:sz w:val="24"/>
        </w:rPr>
        <w:t>Auditoria</w:t>
      </w:r>
      <w:r>
        <w:rPr>
          <w:rFonts w:ascii="Calibri" w:hAnsi="Calibri"/>
          <w:spacing w:val="-5"/>
          <w:sz w:val="24"/>
        </w:rPr>
        <w:t xml:space="preserve"> </w:t>
      </w:r>
      <w:r>
        <w:rPr>
          <w:rFonts w:ascii="Calibri" w:hAnsi="Calibri"/>
          <w:sz w:val="24"/>
        </w:rPr>
        <w:t>Estatutário -</w:t>
      </w:r>
      <w:r>
        <w:rPr>
          <w:rFonts w:ascii="Calibri" w:hAnsi="Calibri"/>
          <w:spacing w:val="-1"/>
          <w:sz w:val="24"/>
        </w:rPr>
        <w:t xml:space="preserve"> </w:t>
      </w:r>
      <w:r>
        <w:rPr>
          <w:rFonts w:ascii="Calibri" w:hAnsi="Calibri"/>
          <w:spacing w:val="-2"/>
          <w:sz w:val="24"/>
        </w:rPr>
        <w:t>COAUD</w:t>
      </w:r>
    </w:p>
    <w:p w14:paraId="4CE90B23" w14:textId="77777777" w:rsidR="002C6574" w:rsidRDefault="002C6574">
      <w:pPr>
        <w:pStyle w:val="Corpodetexto"/>
        <w:rPr>
          <w:rFonts w:ascii="Calibri"/>
          <w:sz w:val="24"/>
        </w:rPr>
      </w:pPr>
    </w:p>
    <w:p w14:paraId="235D1C6D" w14:textId="77777777" w:rsidR="002C6574" w:rsidRDefault="002C6574">
      <w:pPr>
        <w:pStyle w:val="Corpodetexto"/>
        <w:rPr>
          <w:rFonts w:ascii="Calibri"/>
          <w:sz w:val="24"/>
        </w:rPr>
      </w:pPr>
    </w:p>
    <w:p w14:paraId="46184BDA" w14:textId="77777777" w:rsidR="002C6574" w:rsidRDefault="002C6574">
      <w:pPr>
        <w:pStyle w:val="Corpodetexto"/>
        <w:spacing w:before="177"/>
        <w:rPr>
          <w:rFonts w:ascii="Calibri"/>
          <w:sz w:val="24"/>
        </w:rPr>
      </w:pPr>
    </w:p>
    <w:p w14:paraId="2D22C443" w14:textId="77777777" w:rsidR="002C6574" w:rsidRDefault="00000000">
      <w:pPr>
        <w:pStyle w:val="Ttulo8"/>
        <w:ind w:left="0" w:right="939"/>
        <w:jc w:val="center"/>
      </w:pPr>
      <w:r>
        <w:t>Paula</w:t>
      </w:r>
      <w:r>
        <w:rPr>
          <w:spacing w:val="-4"/>
        </w:rPr>
        <w:t xml:space="preserve"> </w:t>
      </w:r>
      <w:r>
        <w:t>Vicente</w:t>
      </w:r>
      <w:r>
        <w:rPr>
          <w:spacing w:val="-3"/>
        </w:rPr>
        <w:t xml:space="preserve"> </w:t>
      </w:r>
      <w:r>
        <w:t>da</w:t>
      </w:r>
      <w:r>
        <w:rPr>
          <w:spacing w:val="-1"/>
        </w:rPr>
        <w:t xml:space="preserve"> </w:t>
      </w:r>
      <w:r>
        <w:rPr>
          <w:spacing w:val="-2"/>
        </w:rPr>
        <w:t>Silva</w:t>
      </w:r>
    </w:p>
    <w:p w14:paraId="29CFFE8E" w14:textId="77777777" w:rsidR="002C6574" w:rsidRDefault="00000000">
      <w:pPr>
        <w:spacing w:before="43"/>
        <w:ind w:right="1010"/>
        <w:jc w:val="center"/>
        <w:rPr>
          <w:rFonts w:ascii="Calibri" w:hAnsi="Calibri"/>
          <w:sz w:val="24"/>
        </w:rPr>
      </w:pPr>
      <w:r>
        <w:rPr>
          <w:rFonts w:ascii="Calibri" w:hAnsi="Calibri"/>
          <w:sz w:val="24"/>
        </w:rPr>
        <w:t>Comitê</w:t>
      </w:r>
      <w:r>
        <w:rPr>
          <w:rFonts w:ascii="Calibri" w:hAnsi="Calibri"/>
          <w:spacing w:val="-4"/>
          <w:sz w:val="24"/>
        </w:rPr>
        <w:t xml:space="preserve"> </w:t>
      </w:r>
      <w:r>
        <w:rPr>
          <w:rFonts w:ascii="Calibri" w:hAnsi="Calibri"/>
          <w:sz w:val="24"/>
        </w:rPr>
        <w:t>de</w:t>
      </w:r>
      <w:r>
        <w:rPr>
          <w:rFonts w:ascii="Calibri" w:hAnsi="Calibri"/>
          <w:spacing w:val="-2"/>
          <w:sz w:val="24"/>
        </w:rPr>
        <w:t xml:space="preserve"> </w:t>
      </w:r>
      <w:r>
        <w:rPr>
          <w:rFonts w:ascii="Calibri" w:hAnsi="Calibri"/>
          <w:sz w:val="24"/>
        </w:rPr>
        <w:t>Auditoria</w:t>
      </w:r>
      <w:r>
        <w:rPr>
          <w:rFonts w:ascii="Calibri" w:hAnsi="Calibri"/>
          <w:spacing w:val="-5"/>
          <w:sz w:val="24"/>
        </w:rPr>
        <w:t xml:space="preserve"> </w:t>
      </w:r>
      <w:r>
        <w:rPr>
          <w:rFonts w:ascii="Calibri" w:hAnsi="Calibri"/>
          <w:sz w:val="24"/>
        </w:rPr>
        <w:t>Estatutário -</w:t>
      </w:r>
      <w:r>
        <w:rPr>
          <w:rFonts w:ascii="Calibri" w:hAnsi="Calibri"/>
          <w:spacing w:val="-1"/>
          <w:sz w:val="24"/>
        </w:rPr>
        <w:t xml:space="preserve"> </w:t>
      </w:r>
      <w:r>
        <w:rPr>
          <w:rFonts w:ascii="Calibri" w:hAnsi="Calibri"/>
          <w:spacing w:val="-2"/>
          <w:sz w:val="24"/>
        </w:rPr>
        <w:t>COAUD</w:t>
      </w:r>
    </w:p>
    <w:p w14:paraId="2B655A9D" w14:textId="77777777" w:rsidR="002C6574" w:rsidRDefault="002C6574">
      <w:pPr>
        <w:jc w:val="center"/>
        <w:rPr>
          <w:rFonts w:ascii="Calibri" w:hAnsi="Calibri"/>
          <w:sz w:val="24"/>
        </w:rPr>
        <w:sectPr w:rsidR="002C6574">
          <w:headerReference w:type="default" r:id="rId115"/>
          <w:footerReference w:type="default" r:id="rId116"/>
          <w:pgSz w:w="11910" w:h="16840"/>
          <w:pgMar w:top="600" w:right="141" w:bottom="280" w:left="1133" w:header="0" w:footer="0" w:gutter="0"/>
          <w:cols w:space="720"/>
        </w:sectPr>
      </w:pPr>
    </w:p>
    <w:p w14:paraId="6A520862" w14:textId="77777777" w:rsidR="002C6574" w:rsidRDefault="00000000">
      <w:pPr>
        <w:pStyle w:val="Corpodetexto"/>
        <w:rPr>
          <w:rFonts w:ascii="Calibri"/>
          <w:sz w:val="56"/>
        </w:rPr>
      </w:pPr>
      <w:r>
        <w:rPr>
          <w:rFonts w:ascii="Calibri"/>
          <w:noProof/>
          <w:sz w:val="56"/>
        </w:rPr>
        <w:lastRenderedPageBreak/>
        <mc:AlternateContent>
          <mc:Choice Requires="wps">
            <w:drawing>
              <wp:anchor distT="0" distB="0" distL="0" distR="0" simplePos="0" relativeHeight="472575488" behindDoc="1" locked="0" layoutInCell="1" allowOverlap="1" wp14:anchorId="3D526824" wp14:editId="1D720C50">
                <wp:simplePos x="0" y="0"/>
                <wp:positionH relativeFrom="page">
                  <wp:posOffset>0</wp:posOffset>
                </wp:positionH>
                <wp:positionV relativeFrom="page">
                  <wp:posOffset>0</wp:posOffset>
                </wp:positionV>
                <wp:extent cx="7772400" cy="1005840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21488E"/>
                        </a:solidFill>
                      </wps:spPr>
                      <wps:bodyPr wrap="square" lIns="0" tIns="0" rIns="0" bIns="0" rtlCol="0">
                        <a:prstTxWarp prst="textNoShape">
                          <a:avLst/>
                        </a:prstTxWarp>
                        <a:noAutofit/>
                      </wps:bodyPr>
                    </wps:wsp>
                  </a:graphicData>
                </a:graphic>
              </wp:anchor>
            </w:drawing>
          </mc:Choice>
          <mc:Fallback>
            <w:pict>
              <v:shape w14:anchorId="12A25119" id="Graphic 186" o:spid="_x0000_s1026" style="position:absolute;margin-left:0;margin-top:0;width:612pt;height:11in;z-index:-30740992;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" path="m7772400,l,,,10058400r7772400,l7772400,xe" fillcolor="#21488e" stroked="f">
                <v:path arrowok="t"/>
                <w10:wrap anchorx="page" anchory="page"/>
              </v:shape>
            </w:pict>
          </mc:Fallback>
        </mc:AlternateContent>
      </w:r>
      <w:r>
        <w:rPr>
          <w:rFonts w:ascii="Calibri"/>
          <w:noProof/>
          <w:sz w:val="56"/>
        </w:rPr>
        <mc:AlternateContent>
          <mc:Choice Requires="wpg">
            <w:drawing>
              <wp:anchor distT="0" distB="0" distL="0" distR="0" simplePos="0" relativeHeight="472576000" behindDoc="1" locked="0" layoutInCell="1" allowOverlap="1" wp14:anchorId="3B4F2DBB" wp14:editId="679A4283">
                <wp:simplePos x="0" y="0"/>
                <wp:positionH relativeFrom="page">
                  <wp:posOffset>635000</wp:posOffset>
                </wp:positionH>
                <wp:positionV relativeFrom="page">
                  <wp:posOffset>0</wp:posOffset>
                </wp:positionV>
                <wp:extent cx="7137400" cy="871791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7400" cy="8717915"/>
                          <a:chOff x="0" y="0"/>
                          <a:chExt cx="7137400" cy="8717915"/>
                        </a:xfrm>
                      </wpg:grpSpPr>
                      <pic:pic xmlns:pic="http://schemas.openxmlformats.org/drawingml/2006/picture">
                        <pic:nvPicPr>
                          <pic:cNvPr id="188" name="Image 188"/>
                          <pic:cNvPicPr/>
                        </pic:nvPicPr>
                        <pic:blipFill>
                          <a:blip r:embed="rId117" cstate="print"/>
                          <a:stretch>
                            <a:fillRect/>
                          </a:stretch>
                        </pic:blipFill>
                        <pic:spPr>
                          <a:xfrm>
                            <a:off x="1667510" y="0"/>
                            <a:ext cx="5469890" cy="8717661"/>
                          </a:xfrm>
                          <a:prstGeom prst="rect">
                            <a:avLst/>
                          </a:prstGeom>
                        </pic:spPr>
                      </pic:pic>
                      <pic:pic xmlns:pic="http://schemas.openxmlformats.org/drawingml/2006/picture">
                        <pic:nvPicPr>
                          <pic:cNvPr id="189" name="Image 189" descr="Logotipo  O conteúdo gerado por IA pode estar incorreto."/>
                          <pic:cNvPicPr/>
                        </pic:nvPicPr>
                        <pic:blipFill>
                          <a:blip r:embed="rId118" cstate="print"/>
                          <a:stretch>
                            <a:fillRect/>
                          </a:stretch>
                        </pic:blipFill>
                        <pic:spPr>
                          <a:xfrm>
                            <a:off x="0" y="845566"/>
                            <a:ext cx="2503805" cy="774065"/>
                          </a:xfrm>
                          <a:prstGeom prst="rect">
                            <a:avLst/>
                          </a:prstGeom>
                        </pic:spPr>
                      </pic:pic>
                    </wpg:wgp>
                  </a:graphicData>
                </a:graphic>
              </wp:anchor>
            </w:drawing>
          </mc:Choice>
          <mc:Fallback>
            <w:pict>
              <v:group w14:anchorId="2B6452D8" id="Group 187" o:spid="_x0000_s1026" style="position:absolute;margin-left:50pt;margin-top:0;width:562pt;height:686.45pt;z-index:-30740480;mso-wrap-distance-left:0;mso-wrap-distance-right:0;mso-position-horizontal-relative:page;mso-position-vertical-relative:page" coordsize="71374,87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">
                <v:shape id="Image 188" o:spid="_x0000_s1027" type="#_x0000_t75" style="position:absolute;left:16675;width:54699;height:8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">
                  <v:imagedata r:id="rId119" o:title=""/>
                </v:shape>
                <v:shape id="Image 189" o:spid="_x0000_s1028" type="#_x0000_t75" alt="Logotipo  O conteúdo gerado por IA pode estar incorreto." style="position:absolute;top:8455;width:25038;height: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">
                  <v:imagedata r:id="rId120" o:title="Logotipo  O conteúdo gerado por IA pode estar incorreto"/>
                </v:shape>
                <w10:wrap anchorx="page" anchory="page"/>
              </v:group>
            </w:pict>
          </mc:Fallback>
        </mc:AlternateContent>
      </w:r>
    </w:p>
    <w:p w14:paraId="68187F26" w14:textId="77777777" w:rsidR="002C6574" w:rsidRDefault="002C6574">
      <w:pPr>
        <w:pStyle w:val="Corpodetexto"/>
        <w:rPr>
          <w:rFonts w:ascii="Calibri"/>
          <w:sz w:val="56"/>
        </w:rPr>
      </w:pPr>
    </w:p>
    <w:p w14:paraId="0ED2D60F" w14:textId="77777777" w:rsidR="002C6574" w:rsidRDefault="002C6574">
      <w:pPr>
        <w:pStyle w:val="Corpodetexto"/>
        <w:rPr>
          <w:rFonts w:ascii="Calibri"/>
          <w:sz w:val="56"/>
        </w:rPr>
      </w:pPr>
    </w:p>
    <w:p w14:paraId="496ABD96" w14:textId="77777777" w:rsidR="002C6574" w:rsidRDefault="002C6574">
      <w:pPr>
        <w:pStyle w:val="Corpodetexto"/>
        <w:rPr>
          <w:rFonts w:ascii="Calibri"/>
          <w:sz w:val="56"/>
        </w:rPr>
      </w:pPr>
    </w:p>
    <w:p w14:paraId="1EF80FEA" w14:textId="77777777" w:rsidR="002C6574" w:rsidRDefault="002C6574">
      <w:pPr>
        <w:pStyle w:val="Corpodetexto"/>
        <w:rPr>
          <w:rFonts w:ascii="Calibri"/>
          <w:sz w:val="56"/>
        </w:rPr>
      </w:pPr>
    </w:p>
    <w:p w14:paraId="2D87577B" w14:textId="77777777" w:rsidR="002C6574" w:rsidRDefault="002C6574">
      <w:pPr>
        <w:pStyle w:val="Corpodetexto"/>
        <w:rPr>
          <w:rFonts w:ascii="Calibri"/>
          <w:sz w:val="56"/>
        </w:rPr>
      </w:pPr>
    </w:p>
    <w:p w14:paraId="3C33CA7F" w14:textId="77777777" w:rsidR="002C6574" w:rsidRDefault="002C6574">
      <w:pPr>
        <w:pStyle w:val="Corpodetexto"/>
        <w:rPr>
          <w:rFonts w:ascii="Calibri"/>
          <w:sz w:val="56"/>
        </w:rPr>
      </w:pPr>
    </w:p>
    <w:p w14:paraId="29EC488C" w14:textId="77777777" w:rsidR="002C6574" w:rsidRDefault="002C6574">
      <w:pPr>
        <w:pStyle w:val="Corpodetexto"/>
        <w:rPr>
          <w:rFonts w:ascii="Calibri"/>
          <w:sz w:val="56"/>
        </w:rPr>
      </w:pPr>
    </w:p>
    <w:p w14:paraId="68A7F79A" w14:textId="77777777" w:rsidR="002C6574" w:rsidRDefault="002C6574">
      <w:pPr>
        <w:pStyle w:val="Corpodetexto"/>
        <w:rPr>
          <w:rFonts w:ascii="Calibri"/>
          <w:sz w:val="56"/>
        </w:rPr>
      </w:pPr>
    </w:p>
    <w:p w14:paraId="0ED2B97F" w14:textId="77777777" w:rsidR="002C6574" w:rsidRDefault="002C6574">
      <w:pPr>
        <w:pStyle w:val="Corpodetexto"/>
        <w:rPr>
          <w:rFonts w:ascii="Calibri"/>
          <w:sz w:val="56"/>
        </w:rPr>
      </w:pPr>
    </w:p>
    <w:p w14:paraId="4522FBDA" w14:textId="77777777" w:rsidR="002C6574" w:rsidRDefault="002C6574">
      <w:pPr>
        <w:pStyle w:val="Corpodetexto"/>
        <w:rPr>
          <w:rFonts w:ascii="Calibri"/>
          <w:sz w:val="56"/>
        </w:rPr>
      </w:pPr>
    </w:p>
    <w:p w14:paraId="6A24B54E" w14:textId="77777777" w:rsidR="002C6574" w:rsidRDefault="002C6574">
      <w:pPr>
        <w:pStyle w:val="Corpodetexto"/>
        <w:rPr>
          <w:rFonts w:ascii="Calibri"/>
          <w:sz w:val="56"/>
        </w:rPr>
      </w:pPr>
    </w:p>
    <w:p w14:paraId="1D4C6CBF" w14:textId="77777777" w:rsidR="002C6574" w:rsidRDefault="002C6574">
      <w:pPr>
        <w:pStyle w:val="Corpodetexto"/>
        <w:rPr>
          <w:rFonts w:ascii="Calibri"/>
          <w:sz w:val="56"/>
        </w:rPr>
      </w:pPr>
    </w:p>
    <w:p w14:paraId="17F49516" w14:textId="77777777" w:rsidR="002C6574" w:rsidRDefault="002C6574">
      <w:pPr>
        <w:pStyle w:val="Corpodetexto"/>
        <w:rPr>
          <w:rFonts w:ascii="Calibri"/>
          <w:sz w:val="56"/>
        </w:rPr>
      </w:pPr>
    </w:p>
    <w:p w14:paraId="1D081B3A" w14:textId="77777777" w:rsidR="002C6574" w:rsidRDefault="002C6574">
      <w:pPr>
        <w:pStyle w:val="Corpodetexto"/>
        <w:spacing w:before="43"/>
        <w:rPr>
          <w:rFonts w:ascii="Calibri"/>
          <w:sz w:val="56"/>
        </w:rPr>
      </w:pPr>
    </w:p>
    <w:p w14:paraId="5B093651" w14:textId="77777777" w:rsidR="002C6574" w:rsidRDefault="00000000">
      <w:pPr>
        <w:ind w:left="251" w:right="156" w:hanging="3"/>
        <w:jc w:val="center"/>
        <w:rPr>
          <w:rFonts w:ascii="Calibri" w:hAnsi="Calibri"/>
          <w:b/>
          <w:sz w:val="56"/>
        </w:rPr>
      </w:pPr>
      <w:r>
        <w:rPr>
          <w:rFonts w:ascii="Calibri" w:hAnsi="Calibri"/>
          <w:b/>
          <w:color w:val="FFFFFF"/>
          <w:sz w:val="56"/>
        </w:rPr>
        <w:t>RELATÓRIO ANUAL COMPLETO DO COMITÊ DE AUDITORIA</w:t>
      </w:r>
      <w:r>
        <w:rPr>
          <w:rFonts w:ascii="Calibri" w:hAnsi="Calibri"/>
          <w:b/>
          <w:color w:val="FFFFFF"/>
          <w:spacing w:val="-11"/>
          <w:sz w:val="56"/>
        </w:rPr>
        <w:t xml:space="preserve"> </w:t>
      </w:r>
      <w:r>
        <w:rPr>
          <w:rFonts w:ascii="Calibri" w:hAnsi="Calibri"/>
          <w:b/>
          <w:color w:val="FFFFFF"/>
          <w:sz w:val="56"/>
        </w:rPr>
        <w:t>ESTATUTÁRIO</w:t>
      </w:r>
      <w:r>
        <w:rPr>
          <w:rFonts w:ascii="Calibri" w:hAnsi="Calibri"/>
          <w:b/>
          <w:color w:val="FFFFFF"/>
          <w:spacing w:val="-10"/>
          <w:sz w:val="56"/>
        </w:rPr>
        <w:t xml:space="preserve"> </w:t>
      </w:r>
      <w:r>
        <w:rPr>
          <w:rFonts w:ascii="Calibri" w:hAnsi="Calibri"/>
          <w:b/>
          <w:color w:val="FFFFFF"/>
          <w:sz w:val="56"/>
        </w:rPr>
        <w:t>(COAUD)</w:t>
      </w:r>
      <w:r>
        <w:rPr>
          <w:rFonts w:ascii="Calibri" w:hAnsi="Calibri"/>
          <w:b/>
          <w:color w:val="FFFFFF"/>
          <w:spacing w:val="-5"/>
          <w:sz w:val="56"/>
        </w:rPr>
        <w:t xml:space="preserve"> </w:t>
      </w:r>
      <w:r>
        <w:rPr>
          <w:rFonts w:ascii="Calibri" w:hAnsi="Calibri"/>
          <w:b/>
          <w:color w:val="FFFFFF"/>
          <w:sz w:val="56"/>
        </w:rPr>
        <w:t>-</w:t>
      </w:r>
      <w:r>
        <w:rPr>
          <w:rFonts w:ascii="Calibri" w:hAnsi="Calibri"/>
          <w:b/>
          <w:color w:val="FFFFFF"/>
          <w:spacing w:val="-12"/>
          <w:sz w:val="56"/>
        </w:rPr>
        <w:t xml:space="preserve"> </w:t>
      </w:r>
      <w:r>
        <w:rPr>
          <w:rFonts w:ascii="Calibri" w:hAnsi="Calibri"/>
          <w:b/>
          <w:color w:val="FFFFFF"/>
          <w:sz w:val="56"/>
        </w:rPr>
        <w:t>TELEBRAS</w:t>
      </w:r>
    </w:p>
    <w:p w14:paraId="0B75AEC0" w14:textId="77777777" w:rsidR="002C6574" w:rsidRDefault="00000000">
      <w:pPr>
        <w:spacing w:before="162"/>
        <w:ind w:left="528" w:right="435"/>
        <w:jc w:val="center"/>
        <w:rPr>
          <w:rFonts w:ascii="Calibri"/>
          <w:b/>
          <w:sz w:val="56"/>
        </w:rPr>
      </w:pPr>
      <w:r>
        <w:rPr>
          <w:rFonts w:ascii="Calibri"/>
          <w:b/>
          <w:color w:val="FFFFFF"/>
          <w:spacing w:val="-4"/>
          <w:sz w:val="56"/>
        </w:rPr>
        <w:t>2025</w:t>
      </w:r>
    </w:p>
    <w:p w14:paraId="3CBDAFC0" w14:textId="77777777" w:rsidR="002C6574" w:rsidRDefault="002C6574">
      <w:pPr>
        <w:jc w:val="center"/>
        <w:rPr>
          <w:rFonts w:ascii="Calibri"/>
          <w:b/>
          <w:sz w:val="56"/>
        </w:rPr>
        <w:sectPr w:rsidR="002C6574">
          <w:headerReference w:type="default" r:id="rId121"/>
          <w:footerReference w:type="default" r:id="rId122"/>
          <w:pgSz w:w="12240" w:h="15840"/>
          <w:pgMar w:top="0" w:right="425" w:bottom="280" w:left="425" w:header="0" w:footer="0" w:gutter="0"/>
          <w:cols w:space="720"/>
        </w:sectPr>
      </w:pPr>
    </w:p>
    <w:p w14:paraId="540C34D6" w14:textId="77777777" w:rsidR="002C6574" w:rsidRDefault="002C6574">
      <w:pPr>
        <w:pStyle w:val="Corpodetexto"/>
        <w:rPr>
          <w:rFonts w:ascii="Calibri"/>
          <w:b/>
          <w:sz w:val="24"/>
        </w:rPr>
      </w:pPr>
    </w:p>
    <w:p w14:paraId="7353D8A5" w14:textId="77777777" w:rsidR="002C6574" w:rsidRDefault="002C6574">
      <w:pPr>
        <w:pStyle w:val="Corpodetexto"/>
        <w:rPr>
          <w:rFonts w:ascii="Calibri"/>
          <w:b/>
          <w:sz w:val="24"/>
        </w:rPr>
      </w:pPr>
    </w:p>
    <w:p w14:paraId="72AB2926" w14:textId="77777777" w:rsidR="002C6574" w:rsidRDefault="002C6574">
      <w:pPr>
        <w:pStyle w:val="Corpodetexto"/>
        <w:spacing w:before="181"/>
        <w:rPr>
          <w:rFonts w:ascii="Calibri"/>
          <w:b/>
          <w:sz w:val="24"/>
        </w:rPr>
      </w:pPr>
    </w:p>
    <w:p w14:paraId="2B5696B5" w14:textId="77777777" w:rsidR="002C6574" w:rsidRDefault="00000000">
      <w:pPr>
        <w:pStyle w:val="Ttulo7"/>
        <w:ind w:left="1277"/>
      </w:pPr>
      <w:r>
        <w:rPr>
          <w:color w:val="001F5F"/>
        </w:rPr>
        <w:t>PRESIDENTE</w:t>
      </w:r>
      <w:r>
        <w:rPr>
          <w:color w:val="001F5F"/>
          <w:spacing w:val="-2"/>
        </w:rPr>
        <w:t xml:space="preserve"> </w:t>
      </w:r>
      <w:r>
        <w:rPr>
          <w:color w:val="001F5F"/>
        </w:rPr>
        <w:t>DO</w:t>
      </w:r>
      <w:r>
        <w:rPr>
          <w:color w:val="001F5F"/>
          <w:spacing w:val="-4"/>
        </w:rPr>
        <w:t xml:space="preserve"> </w:t>
      </w:r>
      <w:r>
        <w:rPr>
          <w:color w:val="001F5F"/>
        </w:rPr>
        <w:t>COMITÊ</w:t>
      </w:r>
      <w:r>
        <w:rPr>
          <w:color w:val="001F5F"/>
          <w:spacing w:val="-5"/>
        </w:rPr>
        <w:t xml:space="preserve"> </w:t>
      </w:r>
      <w:r>
        <w:rPr>
          <w:color w:val="001F5F"/>
        </w:rPr>
        <w:t>DE</w:t>
      </w:r>
      <w:r>
        <w:rPr>
          <w:color w:val="001F5F"/>
          <w:spacing w:val="-2"/>
        </w:rPr>
        <w:t xml:space="preserve"> </w:t>
      </w:r>
      <w:r>
        <w:rPr>
          <w:color w:val="001F5F"/>
        </w:rPr>
        <w:t>AUDITORIA</w:t>
      </w:r>
      <w:r>
        <w:rPr>
          <w:color w:val="001F5F"/>
          <w:spacing w:val="-1"/>
        </w:rPr>
        <w:t xml:space="preserve"> </w:t>
      </w:r>
      <w:r>
        <w:rPr>
          <w:color w:val="001F5F"/>
          <w:spacing w:val="-2"/>
        </w:rPr>
        <w:t>ESTATUTÁRIO</w:t>
      </w:r>
    </w:p>
    <w:p w14:paraId="33E079FE" w14:textId="77777777" w:rsidR="002C6574" w:rsidRDefault="00000000">
      <w:pPr>
        <w:spacing w:before="68"/>
        <w:ind w:left="1277"/>
        <w:rPr>
          <w:rFonts w:ascii="Calibri" w:hAnsi="Calibri"/>
          <w:sz w:val="24"/>
        </w:rPr>
      </w:pPr>
      <w:r>
        <w:rPr>
          <w:rFonts w:ascii="Calibri" w:hAnsi="Calibri"/>
          <w:color w:val="001F5F"/>
          <w:sz w:val="24"/>
        </w:rPr>
        <w:t>Jerônimo</w:t>
      </w:r>
      <w:r>
        <w:rPr>
          <w:rFonts w:ascii="Calibri" w:hAnsi="Calibri"/>
          <w:color w:val="001F5F"/>
          <w:spacing w:val="-2"/>
          <w:sz w:val="24"/>
        </w:rPr>
        <w:t xml:space="preserve"> </w:t>
      </w:r>
      <w:r>
        <w:rPr>
          <w:rFonts w:ascii="Calibri" w:hAnsi="Calibri"/>
          <w:color w:val="001F5F"/>
          <w:sz w:val="24"/>
        </w:rPr>
        <w:t>José</w:t>
      </w:r>
      <w:r>
        <w:rPr>
          <w:rFonts w:ascii="Calibri" w:hAnsi="Calibri"/>
          <w:color w:val="001F5F"/>
          <w:spacing w:val="-2"/>
          <w:sz w:val="24"/>
        </w:rPr>
        <w:t xml:space="preserve"> </w:t>
      </w:r>
      <w:r>
        <w:rPr>
          <w:rFonts w:ascii="Calibri" w:hAnsi="Calibri"/>
          <w:color w:val="001F5F"/>
          <w:sz w:val="24"/>
        </w:rPr>
        <w:t>Cabral</w:t>
      </w:r>
      <w:r>
        <w:rPr>
          <w:rFonts w:ascii="Calibri" w:hAnsi="Calibri"/>
          <w:color w:val="001F5F"/>
          <w:spacing w:val="-4"/>
          <w:sz w:val="24"/>
        </w:rPr>
        <w:t xml:space="preserve"> </w:t>
      </w:r>
      <w:r>
        <w:rPr>
          <w:rFonts w:ascii="Calibri" w:hAnsi="Calibri"/>
          <w:color w:val="001F5F"/>
          <w:spacing w:val="-2"/>
          <w:sz w:val="24"/>
        </w:rPr>
        <w:t>Guedes</w:t>
      </w:r>
    </w:p>
    <w:p w14:paraId="45B4CFC1" w14:textId="77777777" w:rsidR="002C6574" w:rsidRDefault="002C6574">
      <w:pPr>
        <w:pStyle w:val="Corpodetexto"/>
        <w:spacing w:before="133"/>
        <w:rPr>
          <w:rFonts w:ascii="Calibri"/>
          <w:sz w:val="24"/>
        </w:rPr>
      </w:pPr>
    </w:p>
    <w:p w14:paraId="4492E7B8" w14:textId="77777777" w:rsidR="002C6574" w:rsidRDefault="00000000">
      <w:pPr>
        <w:pStyle w:val="Ttulo7"/>
        <w:spacing w:before="1"/>
        <w:ind w:left="1277"/>
      </w:pPr>
      <w:r>
        <w:rPr>
          <w:color w:val="001F5F"/>
          <w:spacing w:val="-2"/>
        </w:rPr>
        <w:t>MEMBRO</w:t>
      </w:r>
    </w:p>
    <w:p w14:paraId="52D0580E" w14:textId="77777777" w:rsidR="002C6574" w:rsidRDefault="00000000">
      <w:pPr>
        <w:spacing w:before="67"/>
        <w:ind w:left="1277"/>
        <w:rPr>
          <w:rFonts w:ascii="Calibri"/>
          <w:sz w:val="24"/>
        </w:rPr>
      </w:pPr>
      <w:r>
        <w:rPr>
          <w:rFonts w:ascii="Calibri"/>
          <w:color w:val="001F5F"/>
          <w:sz w:val="24"/>
        </w:rPr>
        <w:t>Cleber</w:t>
      </w:r>
      <w:r>
        <w:rPr>
          <w:rFonts w:ascii="Calibri"/>
          <w:color w:val="001F5F"/>
          <w:spacing w:val="-1"/>
          <w:sz w:val="24"/>
        </w:rPr>
        <w:t xml:space="preserve"> </w:t>
      </w:r>
      <w:r>
        <w:rPr>
          <w:rFonts w:ascii="Calibri"/>
          <w:color w:val="001F5F"/>
          <w:spacing w:val="-2"/>
          <w:sz w:val="24"/>
        </w:rPr>
        <w:t>Santiago</w:t>
      </w:r>
    </w:p>
    <w:p w14:paraId="1DCF059A" w14:textId="77777777" w:rsidR="002C6574" w:rsidRDefault="002C6574">
      <w:pPr>
        <w:pStyle w:val="Corpodetexto"/>
        <w:spacing w:before="133"/>
        <w:rPr>
          <w:rFonts w:ascii="Calibri"/>
          <w:sz w:val="24"/>
        </w:rPr>
      </w:pPr>
    </w:p>
    <w:p w14:paraId="2A16A9BB" w14:textId="77777777" w:rsidR="002C6574" w:rsidRDefault="00000000">
      <w:pPr>
        <w:pStyle w:val="Ttulo7"/>
        <w:spacing w:before="1"/>
        <w:ind w:left="1277"/>
      </w:pPr>
      <w:r>
        <w:rPr>
          <w:color w:val="001F5F"/>
          <w:spacing w:val="-2"/>
        </w:rPr>
        <w:t>MEMBRO</w:t>
      </w:r>
    </w:p>
    <w:p w14:paraId="427A3B08" w14:textId="77777777" w:rsidR="002C6574" w:rsidRDefault="00000000">
      <w:pPr>
        <w:spacing w:before="67"/>
        <w:ind w:left="1277"/>
        <w:rPr>
          <w:rFonts w:ascii="Calibri"/>
          <w:sz w:val="24"/>
        </w:rPr>
      </w:pPr>
      <w:r>
        <w:rPr>
          <w:rFonts w:ascii="Calibri"/>
          <w:color w:val="001F5F"/>
          <w:sz w:val="24"/>
        </w:rPr>
        <w:t>Paula</w:t>
      </w:r>
      <w:r>
        <w:rPr>
          <w:rFonts w:ascii="Calibri"/>
          <w:color w:val="001F5F"/>
          <w:spacing w:val="-3"/>
          <w:sz w:val="24"/>
        </w:rPr>
        <w:t xml:space="preserve"> </w:t>
      </w:r>
      <w:r>
        <w:rPr>
          <w:rFonts w:ascii="Calibri"/>
          <w:color w:val="001F5F"/>
          <w:sz w:val="24"/>
        </w:rPr>
        <w:t>Vicente</w:t>
      </w:r>
      <w:r>
        <w:rPr>
          <w:rFonts w:ascii="Calibri"/>
          <w:color w:val="001F5F"/>
          <w:spacing w:val="-2"/>
          <w:sz w:val="24"/>
        </w:rPr>
        <w:t xml:space="preserve"> </w:t>
      </w:r>
      <w:r>
        <w:rPr>
          <w:rFonts w:ascii="Calibri"/>
          <w:color w:val="001F5F"/>
          <w:sz w:val="24"/>
        </w:rPr>
        <w:t>da</w:t>
      </w:r>
      <w:r>
        <w:rPr>
          <w:rFonts w:ascii="Calibri"/>
          <w:color w:val="001F5F"/>
          <w:spacing w:val="-1"/>
          <w:sz w:val="24"/>
        </w:rPr>
        <w:t xml:space="preserve"> </w:t>
      </w:r>
      <w:r>
        <w:rPr>
          <w:rFonts w:ascii="Calibri"/>
          <w:color w:val="001F5F"/>
          <w:spacing w:val="-2"/>
          <w:sz w:val="24"/>
        </w:rPr>
        <w:t>Silva</w:t>
      </w:r>
    </w:p>
    <w:p w14:paraId="66378269" w14:textId="77777777" w:rsidR="002C6574" w:rsidRDefault="002C6574">
      <w:pPr>
        <w:pStyle w:val="Corpodetexto"/>
        <w:spacing w:before="134"/>
        <w:rPr>
          <w:rFonts w:ascii="Calibri"/>
          <w:sz w:val="24"/>
        </w:rPr>
      </w:pPr>
    </w:p>
    <w:p w14:paraId="7A92F48C" w14:textId="77777777" w:rsidR="002C6574" w:rsidRDefault="00000000">
      <w:pPr>
        <w:pStyle w:val="Ttulo7"/>
        <w:ind w:left="1277"/>
      </w:pPr>
      <w:r>
        <w:rPr>
          <w:color w:val="001F5F"/>
          <w:spacing w:val="-2"/>
        </w:rPr>
        <w:t>SECRETÁRIA</w:t>
      </w:r>
    </w:p>
    <w:p w14:paraId="72BC891B" w14:textId="77777777" w:rsidR="002C6574" w:rsidRDefault="00000000">
      <w:pPr>
        <w:spacing w:before="67"/>
        <w:ind w:left="1277"/>
        <w:rPr>
          <w:rFonts w:ascii="Calibri"/>
          <w:sz w:val="24"/>
        </w:rPr>
      </w:pPr>
      <w:r>
        <w:rPr>
          <w:rFonts w:ascii="Calibri"/>
          <w:color w:val="001F5F"/>
          <w:sz w:val="24"/>
        </w:rPr>
        <w:t>Mariza</w:t>
      </w:r>
      <w:r>
        <w:rPr>
          <w:rFonts w:ascii="Calibri"/>
          <w:color w:val="001F5F"/>
          <w:spacing w:val="-4"/>
          <w:sz w:val="24"/>
        </w:rPr>
        <w:t xml:space="preserve"> </w:t>
      </w:r>
      <w:r>
        <w:rPr>
          <w:rFonts w:ascii="Calibri"/>
          <w:color w:val="001F5F"/>
          <w:sz w:val="24"/>
        </w:rPr>
        <w:t>Soares</w:t>
      </w:r>
      <w:r>
        <w:rPr>
          <w:rFonts w:ascii="Calibri"/>
          <w:color w:val="001F5F"/>
          <w:spacing w:val="-1"/>
          <w:sz w:val="24"/>
        </w:rPr>
        <w:t xml:space="preserve"> </w:t>
      </w:r>
      <w:r>
        <w:rPr>
          <w:rFonts w:ascii="Calibri"/>
          <w:color w:val="001F5F"/>
          <w:spacing w:val="-2"/>
          <w:sz w:val="24"/>
        </w:rPr>
        <w:t>Neves</w:t>
      </w:r>
    </w:p>
    <w:p w14:paraId="45E4C087" w14:textId="77777777" w:rsidR="002C6574" w:rsidRDefault="002C6574">
      <w:pPr>
        <w:rPr>
          <w:rFonts w:ascii="Calibri"/>
          <w:sz w:val="24"/>
        </w:rPr>
        <w:sectPr w:rsidR="002C6574">
          <w:headerReference w:type="default" r:id="rId123"/>
          <w:footerReference w:type="default" r:id="rId124"/>
          <w:pgSz w:w="12240" w:h="15840"/>
          <w:pgMar w:top="900" w:right="425" w:bottom="1220" w:left="425" w:header="674" w:footer="1036" w:gutter="0"/>
          <w:pgNumType w:start="2"/>
          <w:cols w:space="720"/>
        </w:sectPr>
      </w:pPr>
    </w:p>
    <w:p w14:paraId="73BACE49" w14:textId="77777777" w:rsidR="002C6574" w:rsidRDefault="00000000">
      <w:pPr>
        <w:pStyle w:val="Ttulo4"/>
        <w:spacing w:before="283"/>
      </w:pPr>
      <w:r>
        <w:rPr>
          <w:color w:val="001F5F"/>
          <w:spacing w:val="-2"/>
        </w:rPr>
        <w:lastRenderedPageBreak/>
        <w:t>SUMÁRIO</w:t>
      </w:r>
    </w:p>
    <w:sdt>
      <w:sdtPr>
        <w:rPr>
          <w:b w:val="0"/>
          <w:bCs w:val="0"/>
        </w:rPr>
        <w:id w:val="-1274940494"/>
        <w:docPartObj>
          <w:docPartGallery w:val="Table of Contents"/>
          <w:docPartUnique/>
        </w:docPartObj>
      </w:sdtPr>
      <w:sdtContent>
        <w:p w14:paraId="6088BF27" w14:textId="77777777" w:rsidR="002C6574" w:rsidRDefault="00000000">
          <w:pPr>
            <w:pStyle w:val="Sumrio1"/>
            <w:numPr>
              <w:ilvl w:val="0"/>
              <w:numId w:val="13"/>
            </w:numPr>
            <w:tabs>
              <w:tab w:val="left" w:pos="1672"/>
              <w:tab w:val="right" w:leader="dot" w:pos="9924"/>
            </w:tabs>
            <w:spacing w:before="289"/>
            <w:ind w:left="1672" w:hanging="395"/>
            <w:rPr>
              <w:color w:val="001F5F"/>
            </w:rPr>
          </w:pPr>
          <w:hyperlink w:anchor="_bookmark0" w:history="1">
            <w:r>
              <w:rPr>
                <w:color w:val="001F5F"/>
                <w:spacing w:val="-2"/>
              </w:rPr>
              <w:t>Introdução</w:t>
            </w:r>
            <w:r>
              <w:rPr>
                <w:color w:val="001F5F"/>
              </w:rPr>
              <w:tab/>
            </w:r>
            <w:r>
              <w:rPr>
                <w:b w:val="0"/>
                <w:color w:val="001F5F"/>
                <w:spacing w:val="-10"/>
              </w:rPr>
              <w:t>4</w:t>
            </w:r>
          </w:hyperlink>
        </w:p>
        <w:p w14:paraId="791A2616" w14:textId="77777777" w:rsidR="002C6574" w:rsidRDefault="00000000">
          <w:pPr>
            <w:pStyle w:val="Sumrio1"/>
            <w:numPr>
              <w:ilvl w:val="0"/>
              <w:numId w:val="13"/>
            </w:numPr>
            <w:tabs>
              <w:tab w:val="left" w:pos="1672"/>
              <w:tab w:val="right" w:leader="dot" w:pos="9924"/>
            </w:tabs>
            <w:ind w:left="1672" w:hanging="395"/>
            <w:rPr>
              <w:color w:val="001F5F"/>
            </w:rPr>
          </w:pPr>
          <w:hyperlink w:anchor="_bookmark1" w:history="1">
            <w:r>
              <w:rPr>
                <w:color w:val="001F5F"/>
              </w:rPr>
              <w:t>Finalidade</w:t>
            </w:r>
            <w:r>
              <w:rPr>
                <w:color w:val="001F5F"/>
                <w:spacing w:val="-3"/>
              </w:rPr>
              <w:t xml:space="preserve"> </w:t>
            </w:r>
            <w:r>
              <w:rPr>
                <w:color w:val="001F5F"/>
              </w:rPr>
              <w:t>do</w:t>
            </w:r>
            <w:r>
              <w:rPr>
                <w:color w:val="001F5F"/>
                <w:spacing w:val="-3"/>
              </w:rPr>
              <w:t xml:space="preserve"> </w:t>
            </w:r>
            <w:r>
              <w:rPr>
                <w:color w:val="001F5F"/>
              </w:rPr>
              <w:t>Comitê</w:t>
            </w:r>
            <w:r>
              <w:rPr>
                <w:color w:val="001F5F"/>
                <w:spacing w:val="-3"/>
              </w:rPr>
              <w:t xml:space="preserve"> </w:t>
            </w:r>
            <w:r>
              <w:rPr>
                <w:color w:val="001F5F"/>
              </w:rPr>
              <w:t>de</w:t>
            </w:r>
            <w:r>
              <w:rPr>
                <w:color w:val="001F5F"/>
                <w:spacing w:val="-2"/>
              </w:rPr>
              <w:t xml:space="preserve"> Auditoria</w:t>
            </w:r>
            <w:r>
              <w:rPr>
                <w:color w:val="001F5F"/>
              </w:rPr>
              <w:tab/>
            </w:r>
            <w:r>
              <w:rPr>
                <w:b w:val="0"/>
                <w:color w:val="001F5F"/>
                <w:spacing w:val="-10"/>
              </w:rPr>
              <w:t>5</w:t>
            </w:r>
          </w:hyperlink>
        </w:p>
        <w:p w14:paraId="7B3421E9" w14:textId="77777777" w:rsidR="002C6574" w:rsidRDefault="00000000">
          <w:pPr>
            <w:pStyle w:val="Sumrio2"/>
            <w:numPr>
              <w:ilvl w:val="0"/>
              <w:numId w:val="13"/>
            </w:numPr>
            <w:tabs>
              <w:tab w:val="left" w:pos="1672"/>
              <w:tab w:val="right" w:leader="dot" w:pos="9924"/>
            </w:tabs>
            <w:ind w:left="1672" w:hanging="395"/>
            <w:rPr>
              <w:color w:val="001F5F"/>
            </w:rPr>
          </w:pPr>
          <w:hyperlink w:anchor="_bookmark2" w:history="1">
            <w:r>
              <w:rPr>
                <w:color w:val="001F5F"/>
              </w:rPr>
              <w:t>Composição</w:t>
            </w:r>
            <w:r>
              <w:rPr>
                <w:color w:val="001F5F"/>
                <w:spacing w:val="-5"/>
              </w:rPr>
              <w:t xml:space="preserve"> </w:t>
            </w:r>
            <w:r>
              <w:rPr>
                <w:color w:val="001F5F"/>
              </w:rPr>
              <w:t>do</w:t>
            </w:r>
            <w:r>
              <w:rPr>
                <w:color w:val="001F5F"/>
                <w:spacing w:val="-2"/>
              </w:rPr>
              <w:t xml:space="preserve"> </w:t>
            </w:r>
            <w:r>
              <w:rPr>
                <w:color w:val="001F5F"/>
              </w:rPr>
              <w:t>Comitê</w:t>
            </w:r>
            <w:r>
              <w:rPr>
                <w:color w:val="001F5F"/>
                <w:spacing w:val="-4"/>
              </w:rPr>
              <w:t xml:space="preserve"> </w:t>
            </w:r>
            <w:r>
              <w:rPr>
                <w:color w:val="001F5F"/>
              </w:rPr>
              <w:t>de</w:t>
            </w:r>
            <w:r>
              <w:rPr>
                <w:color w:val="001F5F"/>
                <w:spacing w:val="-2"/>
              </w:rPr>
              <w:t xml:space="preserve"> Auditoria</w:t>
            </w:r>
            <w:r>
              <w:rPr>
                <w:color w:val="001F5F"/>
              </w:rPr>
              <w:tab/>
            </w:r>
            <w:r>
              <w:rPr>
                <w:color w:val="001F5F"/>
                <w:spacing w:val="-10"/>
              </w:rPr>
              <w:t>6</w:t>
            </w:r>
          </w:hyperlink>
        </w:p>
        <w:p w14:paraId="1A05D4AB" w14:textId="77777777" w:rsidR="002C6574" w:rsidRDefault="00000000">
          <w:pPr>
            <w:pStyle w:val="Sumrio2"/>
            <w:numPr>
              <w:ilvl w:val="0"/>
              <w:numId w:val="13"/>
            </w:numPr>
            <w:tabs>
              <w:tab w:val="left" w:pos="1672"/>
              <w:tab w:val="right" w:leader="dot" w:pos="9928"/>
            </w:tabs>
            <w:ind w:left="1672" w:hanging="395"/>
            <w:rPr>
              <w:color w:val="001F5F"/>
            </w:rPr>
          </w:pPr>
          <w:hyperlink w:anchor="_bookmark3" w:history="1">
            <w:r>
              <w:rPr>
                <w:color w:val="001F5F"/>
                <w:spacing w:val="-2"/>
              </w:rPr>
              <w:t>Destaques</w:t>
            </w:r>
            <w:r>
              <w:rPr>
                <w:color w:val="001F5F"/>
              </w:rPr>
              <w:tab/>
            </w:r>
            <w:r>
              <w:rPr>
                <w:color w:val="001F5F"/>
                <w:spacing w:val="-5"/>
              </w:rPr>
              <w:t>16</w:t>
            </w:r>
          </w:hyperlink>
        </w:p>
        <w:p w14:paraId="6CBC62AF" w14:textId="77777777" w:rsidR="002C6574" w:rsidRDefault="00000000">
          <w:pPr>
            <w:pStyle w:val="Sumrio2"/>
            <w:numPr>
              <w:ilvl w:val="1"/>
              <w:numId w:val="13"/>
            </w:numPr>
            <w:tabs>
              <w:tab w:val="left" w:pos="1876"/>
              <w:tab w:val="right" w:leader="dot" w:pos="9928"/>
            </w:tabs>
            <w:ind w:left="1876" w:hanging="599"/>
          </w:pPr>
          <w:hyperlink w:anchor="_bookmark4" w:history="1">
            <w:r>
              <w:rPr>
                <w:color w:val="001F5F"/>
              </w:rPr>
              <w:t>Das</w:t>
            </w:r>
            <w:r>
              <w:rPr>
                <w:color w:val="001F5F"/>
                <w:spacing w:val="-4"/>
              </w:rPr>
              <w:t xml:space="preserve"> </w:t>
            </w:r>
            <w:r>
              <w:rPr>
                <w:color w:val="001F5F"/>
              </w:rPr>
              <w:t>Demonstrações</w:t>
            </w:r>
            <w:r>
              <w:rPr>
                <w:color w:val="001F5F"/>
                <w:spacing w:val="-3"/>
              </w:rPr>
              <w:t xml:space="preserve"> </w:t>
            </w:r>
            <w:r>
              <w:rPr>
                <w:color w:val="001F5F"/>
                <w:spacing w:val="-2"/>
              </w:rPr>
              <w:t>Contábeis</w:t>
            </w:r>
            <w:r>
              <w:rPr>
                <w:color w:val="001F5F"/>
              </w:rPr>
              <w:tab/>
            </w:r>
            <w:r>
              <w:rPr>
                <w:color w:val="001F5F"/>
                <w:spacing w:val="-5"/>
              </w:rPr>
              <w:t>16</w:t>
            </w:r>
          </w:hyperlink>
        </w:p>
        <w:p w14:paraId="1222C71E" w14:textId="77777777" w:rsidR="002C6574" w:rsidRDefault="00000000">
          <w:pPr>
            <w:pStyle w:val="Sumrio2"/>
            <w:numPr>
              <w:ilvl w:val="1"/>
              <w:numId w:val="13"/>
            </w:numPr>
            <w:tabs>
              <w:tab w:val="left" w:pos="1876"/>
              <w:tab w:val="right" w:leader="dot" w:pos="9928"/>
            </w:tabs>
            <w:spacing w:before="239"/>
            <w:ind w:left="1876" w:hanging="599"/>
          </w:pPr>
          <w:hyperlink w:anchor="_bookmark5" w:history="1">
            <w:r>
              <w:rPr>
                <w:color w:val="001F5F"/>
              </w:rPr>
              <w:t>Da</w:t>
            </w:r>
            <w:r>
              <w:rPr>
                <w:color w:val="001F5F"/>
                <w:spacing w:val="-3"/>
              </w:rPr>
              <w:t xml:space="preserve"> </w:t>
            </w:r>
            <w:r>
              <w:rPr>
                <w:color w:val="001F5F"/>
              </w:rPr>
              <w:t>Auditoria</w:t>
            </w:r>
            <w:r>
              <w:rPr>
                <w:color w:val="001F5F"/>
                <w:spacing w:val="-3"/>
              </w:rPr>
              <w:t xml:space="preserve"> </w:t>
            </w:r>
            <w:r>
              <w:rPr>
                <w:color w:val="001F5F"/>
                <w:spacing w:val="-2"/>
              </w:rPr>
              <w:t>Independente</w:t>
            </w:r>
            <w:r>
              <w:rPr>
                <w:color w:val="001F5F"/>
              </w:rPr>
              <w:tab/>
            </w:r>
            <w:r>
              <w:rPr>
                <w:color w:val="001F5F"/>
                <w:spacing w:val="-5"/>
              </w:rPr>
              <w:t>16</w:t>
            </w:r>
          </w:hyperlink>
        </w:p>
        <w:p w14:paraId="5B3D80F8" w14:textId="77777777" w:rsidR="002C6574" w:rsidRDefault="00000000">
          <w:pPr>
            <w:pStyle w:val="Sumrio2"/>
            <w:numPr>
              <w:ilvl w:val="1"/>
              <w:numId w:val="13"/>
            </w:numPr>
            <w:tabs>
              <w:tab w:val="left" w:pos="1876"/>
              <w:tab w:val="right" w:leader="dot" w:pos="9928"/>
            </w:tabs>
            <w:spacing w:before="241"/>
            <w:ind w:left="1876" w:hanging="599"/>
          </w:pPr>
          <w:hyperlink w:anchor="_bookmark6" w:history="1">
            <w:r>
              <w:rPr>
                <w:color w:val="001F5F"/>
                <w:spacing w:val="-2"/>
              </w:rPr>
              <w:t>Autoavaliação</w:t>
            </w:r>
            <w:r>
              <w:rPr>
                <w:color w:val="001F5F"/>
              </w:rPr>
              <w:tab/>
            </w:r>
            <w:r>
              <w:rPr>
                <w:color w:val="001F5F"/>
                <w:spacing w:val="-5"/>
              </w:rPr>
              <w:t>16</w:t>
            </w:r>
          </w:hyperlink>
        </w:p>
        <w:p w14:paraId="61899756" w14:textId="77777777" w:rsidR="002C6574" w:rsidRDefault="00000000">
          <w:pPr>
            <w:pStyle w:val="Sumrio2"/>
            <w:numPr>
              <w:ilvl w:val="1"/>
              <w:numId w:val="13"/>
            </w:numPr>
            <w:tabs>
              <w:tab w:val="left" w:pos="1876"/>
              <w:tab w:val="right" w:leader="dot" w:pos="9928"/>
            </w:tabs>
            <w:ind w:left="1876" w:hanging="599"/>
          </w:pPr>
          <w:hyperlink w:anchor="_bookmark7" w:history="1">
            <w:r>
              <w:rPr>
                <w:color w:val="001F5F"/>
              </w:rPr>
              <w:t>Partes</w:t>
            </w:r>
            <w:r>
              <w:rPr>
                <w:color w:val="001F5F"/>
                <w:spacing w:val="-2"/>
              </w:rPr>
              <w:t xml:space="preserve"> Relacionadas</w:t>
            </w:r>
            <w:r>
              <w:rPr>
                <w:color w:val="001F5F"/>
              </w:rPr>
              <w:tab/>
            </w:r>
            <w:r>
              <w:rPr>
                <w:color w:val="001F5F"/>
                <w:spacing w:val="-5"/>
              </w:rPr>
              <w:t>17</w:t>
            </w:r>
          </w:hyperlink>
        </w:p>
        <w:p w14:paraId="767FB7FF" w14:textId="77777777" w:rsidR="002C6574" w:rsidRDefault="00000000">
          <w:pPr>
            <w:pStyle w:val="Sumrio2"/>
            <w:numPr>
              <w:ilvl w:val="1"/>
              <w:numId w:val="13"/>
            </w:numPr>
            <w:tabs>
              <w:tab w:val="left" w:pos="1876"/>
              <w:tab w:val="right" w:leader="dot" w:pos="9928"/>
            </w:tabs>
            <w:spacing w:before="239"/>
            <w:ind w:left="1876" w:hanging="599"/>
          </w:pPr>
          <w:hyperlink w:anchor="_bookmark8" w:history="1">
            <w:r>
              <w:rPr>
                <w:color w:val="001F5F"/>
              </w:rPr>
              <w:t>Auditoria</w:t>
            </w:r>
            <w:r>
              <w:rPr>
                <w:color w:val="001F5F"/>
                <w:spacing w:val="-7"/>
              </w:rPr>
              <w:t xml:space="preserve"> </w:t>
            </w:r>
            <w:r>
              <w:rPr>
                <w:color w:val="001F5F"/>
                <w:spacing w:val="-2"/>
              </w:rPr>
              <w:t>Interna</w:t>
            </w:r>
            <w:r>
              <w:rPr>
                <w:color w:val="001F5F"/>
              </w:rPr>
              <w:tab/>
            </w:r>
            <w:r>
              <w:rPr>
                <w:color w:val="001F5F"/>
                <w:spacing w:val="-5"/>
              </w:rPr>
              <w:t>17</w:t>
            </w:r>
          </w:hyperlink>
        </w:p>
        <w:p w14:paraId="1CC2B836" w14:textId="77777777" w:rsidR="002C6574" w:rsidRDefault="00000000">
          <w:pPr>
            <w:pStyle w:val="Sumrio2"/>
            <w:numPr>
              <w:ilvl w:val="1"/>
              <w:numId w:val="13"/>
            </w:numPr>
            <w:tabs>
              <w:tab w:val="left" w:pos="1876"/>
              <w:tab w:val="right" w:leader="dot" w:pos="9928"/>
            </w:tabs>
            <w:spacing w:before="243"/>
            <w:ind w:left="1876" w:hanging="599"/>
          </w:pPr>
          <w:hyperlink w:anchor="_bookmark9" w:history="1">
            <w:r>
              <w:rPr>
                <w:color w:val="001F5F"/>
              </w:rPr>
              <w:t>Gestão</w:t>
            </w:r>
            <w:r>
              <w:rPr>
                <w:color w:val="001F5F"/>
                <w:spacing w:val="-4"/>
              </w:rPr>
              <w:t xml:space="preserve"> </w:t>
            </w:r>
            <w:r>
              <w:rPr>
                <w:color w:val="001F5F"/>
              </w:rPr>
              <w:t>de</w:t>
            </w:r>
            <w:r>
              <w:rPr>
                <w:color w:val="001F5F"/>
                <w:spacing w:val="-2"/>
              </w:rPr>
              <w:t xml:space="preserve"> </w:t>
            </w:r>
            <w:r>
              <w:rPr>
                <w:color w:val="001F5F"/>
              </w:rPr>
              <w:t>Riscos,</w:t>
            </w:r>
            <w:r>
              <w:rPr>
                <w:color w:val="001F5F"/>
                <w:spacing w:val="-2"/>
              </w:rPr>
              <w:t xml:space="preserve"> </w:t>
            </w:r>
            <w:r>
              <w:rPr>
                <w:color w:val="001F5F"/>
              </w:rPr>
              <w:t>Controles</w:t>
            </w:r>
            <w:r>
              <w:rPr>
                <w:color w:val="001F5F"/>
                <w:spacing w:val="-3"/>
              </w:rPr>
              <w:t xml:space="preserve"> </w:t>
            </w:r>
            <w:r>
              <w:rPr>
                <w:color w:val="001F5F"/>
              </w:rPr>
              <w:t>e</w:t>
            </w:r>
            <w:r>
              <w:rPr>
                <w:color w:val="001F5F"/>
                <w:spacing w:val="-2"/>
              </w:rPr>
              <w:t xml:space="preserve"> Conformidade</w:t>
            </w:r>
            <w:r>
              <w:rPr>
                <w:color w:val="001F5F"/>
              </w:rPr>
              <w:tab/>
            </w:r>
            <w:r>
              <w:rPr>
                <w:color w:val="001F5F"/>
                <w:spacing w:val="-5"/>
              </w:rPr>
              <w:t>17</w:t>
            </w:r>
          </w:hyperlink>
        </w:p>
        <w:p w14:paraId="7521ABC8" w14:textId="77777777" w:rsidR="002C6574" w:rsidRDefault="00000000">
          <w:pPr>
            <w:pStyle w:val="Sumrio2"/>
            <w:numPr>
              <w:ilvl w:val="1"/>
              <w:numId w:val="13"/>
            </w:numPr>
            <w:tabs>
              <w:tab w:val="left" w:pos="1876"/>
              <w:tab w:val="right" w:leader="dot" w:pos="9928"/>
            </w:tabs>
            <w:ind w:left="1876" w:hanging="599"/>
          </w:pPr>
          <w:hyperlink w:anchor="_bookmark10" w:history="1">
            <w:r>
              <w:rPr>
                <w:color w:val="001F5F"/>
              </w:rPr>
              <w:t>Canal de</w:t>
            </w:r>
            <w:r>
              <w:rPr>
                <w:color w:val="001F5F"/>
                <w:spacing w:val="-2"/>
              </w:rPr>
              <w:t xml:space="preserve"> Denúncia</w:t>
            </w:r>
            <w:r>
              <w:rPr>
                <w:color w:val="001F5F"/>
              </w:rPr>
              <w:tab/>
            </w:r>
            <w:r>
              <w:rPr>
                <w:color w:val="001F5F"/>
                <w:spacing w:val="-5"/>
              </w:rPr>
              <w:t>17</w:t>
            </w:r>
          </w:hyperlink>
        </w:p>
        <w:p w14:paraId="27C81264" w14:textId="77777777" w:rsidR="002C6574" w:rsidRDefault="00000000">
          <w:pPr>
            <w:pStyle w:val="Sumrio2"/>
            <w:numPr>
              <w:ilvl w:val="0"/>
              <w:numId w:val="13"/>
            </w:numPr>
            <w:tabs>
              <w:tab w:val="left" w:pos="1672"/>
              <w:tab w:val="right" w:leader="dot" w:pos="9928"/>
            </w:tabs>
            <w:spacing w:before="239"/>
            <w:ind w:left="1672" w:hanging="395"/>
            <w:rPr>
              <w:color w:val="001F5F"/>
            </w:rPr>
          </w:pPr>
          <w:hyperlink w:anchor="_bookmark11" w:history="1">
            <w:r>
              <w:rPr>
                <w:color w:val="001F5F"/>
                <w:spacing w:val="-2"/>
              </w:rPr>
              <w:t>Conclusão</w:t>
            </w:r>
            <w:r>
              <w:rPr>
                <w:color w:val="001F5F"/>
              </w:rPr>
              <w:tab/>
            </w:r>
            <w:r>
              <w:rPr>
                <w:color w:val="001F5F"/>
                <w:spacing w:val="-5"/>
              </w:rPr>
              <w:t>18</w:t>
            </w:r>
          </w:hyperlink>
        </w:p>
      </w:sdtContent>
    </w:sdt>
    <w:p w14:paraId="41764E2F" w14:textId="77777777" w:rsidR="002C6574" w:rsidRDefault="002C6574">
      <w:pPr>
        <w:pStyle w:val="Sumrio2"/>
        <w:sectPr w:rsidR="002C6574">
          <w:pgSz w:w="12240" w:h="15840"/>
          <w:pgMar w:top="900" w:right="425" w:bottom="1220" w:left="425" w:header="674" w:footer="1036" w:gutter="0"/>
          <w:cols w:space="720"/>
        </w:sectPr>
      </w:pPr>
    </w:p>
    <w:p w14:paraId="72A24254" w14:textId="77777777" w:rsidR="002C6574" w:rsidRDefault="00000000">
      <w:pPr>
        <w:tabs>
          <w:tab w:val="left" w:pos="1708"/>
        </w:tabs>
        <w:spacing w:before="280"/>
        <w:ind w:left="1277"/>
        <w:rPr>
          <w:rFonts w:ascii="Calibri" w:hAnsi="Calibri"/>
          <w:b/>
          <w:sz w:val="28"/>
        </w:rPr>
      </w:pPr>
      <w:bookmarkStart w:id="0" w:name="_bookmark0"/>
      <w:bookmarkEnd w:id="0"/>
      <w:r>
        <w:rPr>
          <w:rFonts w:ascii="Calibri" w:hAnsi="Calibri"/>
          <w:b/>
          <w:color w:val="001F5F"/>
          <w:spacing w:val="-10"/>
          <w:sz w:val="28"/>
        </w:rPr>
        <w:lastRenderedPageBreak/>
        <w:t>1</w:t>
      </w:r>
      <w:r>
        <w:rPr>
          <w:rFonts w:ascii="Calibri" w:hAnsi="Calibri"/>
          <w:b/>
          <w:color w:val="001F5F"/>
          <w:sz w:val="28"/>
        </w:rPr>
        <w:tab/>
      </w:r>
      <w:r>
        <w:rPr>
          <w:rFonts w:ascii="Calibri" w:hAnsi="Calibri"/>
          <w:b/>
          <w:color w:val="001F5F"/>
          <w:spacing w:val="-2"/>
          <w:sz w:val="28"/>
        </w:rPr>
        <w:t>Introdução</w:t>
      </w:r>
    </w:p>
    <w:p w14:paraId="55D787E0" w14:textId="77777777" w:rsidR="002C6574" w:rsidRDefault="00000000">
      <w:pPr>
        <w:spacing w:before="196"/>
        <w:ind w:left="1277" w:right="1177" w:firstLine="851"/>
        <w:jc w:val="both"/>
        <w:rPr>
          <w:rFonts w:ascii="Calibri" w:hAnsi="Calibri"/>
          <w:sz w:val="24"/>
        </w:rPr>
      </w:pPr>
      <w:r>
        <w:rPr>
          <w:rFonts w:ascii="Calibri" w:hAnsi="Calibri"/>
          <w:color w:val="001F5F"/>
          <w:sz w:val="24"/>
        </w:rPr>
        <w:t>Em</w:t>
      </w:r>
      <w:r>
        <w:rPr>
          <w:rFonts w:ascii="Calibri" w:hAnsi="Calibri"/>
          <w:color w:val="001F5F"/>
          <w:spacing w:val="-3"/>
          <w:sz w:val="24"/>
        </w:rPr>
        <w:t xml:space="preserve"> </w:t>
      </w:r>
      <w:r>
        <w:rPr>
          <w:rFonts w:ascii="Calibri" w:hAnsi="Calibri"/>
          <w:color w:val="001F5F"/>
          <w:sz w:val="24"/>
        </w:rPr>
        <w:t>atendimento</w:t>
      </w:r>
      <w:r>
        <w:rPr>
          <w:rFonts w:ascii="Calibri" w:hAnsi="Calibri"/>
          <w:color w:val="001F5F"/>
          <w:spacing w:val="-3"/>
          <w:sz w:val="24"/>
        </w:rPr>
        <w:t xml:space="preserve"> </w:t>
      </w:r>
      <w:r>
        <w:rPr>
          <w:rFonts w:ascii="Calibri" w:hAnsi="Calibri"/>
          <w:color w:val="001F5F"/>
          <w:sz w:val="24"/>
        </w:rPr>
        <w:t>ao</w:t>
      </w:r>
      <w:r>
        <w:rPr>
          <w:rFonts w:ascii="Calibri" w:hAnsi="Calibri"/>
          <w:color w:val="001F5F"/>
          <w:spacing w:val="-3"/>
          <w:sz w:val="24"/>
        </w:rPr>
        <w:t xml:space="preserve"> </w:t>
      </w:r>
      <w:r>
        <w:rPr>
          <w:rFonts w:ascii="Calibri" w:hAnsi="Calibri"/>
          <w:color w:val="001F5F"/>
          <w:sz w:val="24"/>
        </w:rPr>
        <w:t>inciso</w:t>
      </w:r>
      <w:r>
        <w:rPr>
          <w:rFonts w:ascii="Calibri" w:hAnsi="Calibri"/>
          <w:color w:val="001F5F"/>
          <w:spacing w:val="-4"/>
          <w:sz w:val="24"/>
        </w:rPr>
        <w:t xml:space="preserve"> </w:t>
      </w:r>
      <w:r>
        <w:rPr>
          <w:rFonts w:ascii="Calibri" w:hAnsi="Calibri"/>
          <w:color w:val="001F5F"/>
          <w:sz w:val="24"/>
        </w:rPr>
        <w:t>VII</w:t>
      </w:r>
      <w:r>
        <w:rPr>
          <w:rFonts w:ascii="Calibri" w:hAnsi="Calibri"/>
          <w:color w:val="001F5F"/>
          <w:spacing w:val="-5"/>
          <w:sz w:val="24"/>
        </w:rPr>
        <w:t xml:space="preserve"> </w:t>
      </w:r>
      <w:r>
        <w:rPr>
          <w:rFonts w:ascii="Calibri" w:hAnsi="Calibri"/>
          <w:color w:val="001F5F"/>
          <w:sz w:val="24"/>
        </w:rPr>
        <w:t>do</w:t>
      </w:r>
      <w:r>
        <w:rPr>
          <w:rFonts w:ascii="Calibri" w:hAnsi="Calibri"/>
          <w:color w:val="001F5F"/>
          <w:spacing w:val="-3"/>
          <w:sz w:val="24"/>
        </w:rPr>
        <w:t xml:space="preserve"> </w:t>
      </w:r>
      <w:r>
        <w:rPr>
          <w:rFonts w:ascii="Calibri" w:hAnsi="Calibri"/>
          <w:color w:val="001F5F"/>
          <w:sz w:val="24"/>
        </w:rPr>
        <w:t>artigo</w:t>
      </w:r>
      <w:r>
        <w:rPr>
          <w:rFonts w:ascii="Calibri" w:hAnsi="Calibri"/>
          <w:color w:val="001F5F"/>
          <w:spacing w:val="-4"/>
          <w:sz w:val="24"/>
        </w:rPr>
        <w:t xml:space="preserve"> </w:t>
      </w:r>
      <w:r>
        <w:rPr>
          <w:rFonts w:ascii="Calibri" w:hAnsi="Calibri"/>
          <w:color w:val="001F5F"/>
          <w:sz w:val="24"/>
        </w:rPr>
        <w:t>38</w:t>
      </w:r>
      <w:r>
        <w:rPr>
          <w:rFonts w:ascii="Calibri" w:hAnsi="Calibri"/>
          <w:color w:val="001F5F"/>
          <w:spacing w:val="-3"/>
          <w:sz w:val="24"/>
        </w:rPr>
        <w:t xml:space="preserve"> </w:t>
      </w:r>
      <w:r>
        <w:rPr>
          <w:rFonts w:ascii="Calibri" w:hAnsi="Calibri"/>
          <w:color w:val="001F5F"/>
          <w:sz w:val="24"/>
        </w:rPr>
        <w:t>do</w:t>
      </w:r>
      <w:r>
        <w:rPr>
          <w:rFonts w:ascii="Calibri" w:hAnsi="Calibri"/>
          <w:color w:val="001F5F"/>
          <w:spacing w:val="-6"/>
          <w:sz w:val="24"/>
        </w:rPr>
        <w:t xml:space="preserve"> </w:t>
      </w:r>
      <w:r>
        <w:rPr>
          <w:rFonts w:ascii="Calibri" w:hAnsi="Calibri"/>
          <w:color w:val="001F5F"/>
          <w:sz w:val="24"/>
        </w:rPr>
        <w:t>Decreto</w:t>
      </w:r>
      <w:r>
        <w:rPr>
          <w:rFonts w:ascii="Calibri" w:hAnsi="Calibri"/>
          <w:color w:val="001F5F"/>
          <w:spacing w:val="-6"/>
          <w:sz w:val="24"/>
        </w:rPr>
        <w:t xml:space="preserve"> </w:t>
      </w:r>
      <w:r>
        <w:rPr>
          <w:rFonts w:ascii="Calibri" w:hAnsi="Calibri"/>
          <w:color w:val="001F5F"/>
          <w:sz w:val="24"/>
        </w:rPr>
        <w:t>nº</w:t>
      </w:r>
      <w:r>
        <w:rPr>
          <w:rFonts w:ascii="Calibri" w:hAnsi="Calibri"/>
          <w:color w:val="001F5F"/>
          <w:spacing w:val="-5"/>
          <w:sz w:val="24"/>
        </w:rPr>
        <w:t xml:space="preserve"> </w:t>
      </w:r>
      <w:r>
        <w:rPr>
          <w:rFonts w:ascii="Calibri" w:hAnsi="Calibri"/>
          <w:color w:val="001F5F"/>
          <w:sz w:val="24"/>
        </w:rPr>
        <w:t>8.945,</w:t>
      </w:r>
      <w:r>
        <w:rPr>
          <w:rFonts w:ascii="Calibri" w:hAnsi="Calibri"/>
          <w:color w:val="001F5F"/>
          <w:spacing w:val="-6"/>
          <w:sz w:val="24"/>
        </w:rPr>
        <w:t xml:space="preserve"> </w:t>
      </w:r>
      <w:r>
        <w:rPr>
          <w:rFonts w:ascii="Calibri" w:hAnsi="Calibri"/>
          <w:color w:val="001F5F"/>
          <w:sz w:val="24"/>
        </w:rPr>
        <w:t>de</w:t>
      </w:r>
      <w:r>
        <w:rPr>
          <w:rFonts w:ascii="Calibri" w:hAnsi="Calibri"/>
          <w:color w:val="001F5F"/>
          <w:spacing w:val="-6"/>
          <w:sz w:val="24"/>
        </w:rPr>
        <w:t xml:space="preserve"> </w:t>
      </w:r>
      <w:r>
        <w:rPr>
          <w:rFonts w:ascii="Calibri" w:hAnsi="Calibri"/>
          <w:color w:val="001F5F"/>
          <w:sz w:val="24"/>
        </w:rPr>
        <w:t>27</w:t>
      </w:r>
      <w:r>
        <w:rPr>
          <w:rFonts w:ascii="Calibri" w:hAnsi="Calibri"/>
          <w:color w:val="001F5F"/>
          <w:spacing w:val="-3"/>
          <w:sz w:val="24"/>
        </w:rPr>
        <w:t xml:space="preserve"> </w:t>
      </w:r>
      <w:r>
        <w:rPr>
          <w:rFonts w:ascii="Calibri" w:hAnsi="Calibri"/>
          <w:color w:val="001F5F"/>
          <w:sz w:val="24"/>
        </w:rPr>
        <w:t>de</w:t>
      </w:r>
      <w:r>
        <w:rPr>
          <w:rFonts w:ascii="Calibri" w:hAnsi="Calibri"/>
          <w:color w:val="001F5F"/>
          <w:spacing w:val="-3"/>
          <w:sz w:val="24"/>
        </w:rPr>
        <w:t xml:space="preserve"> </w:t>
      </w:r>
      <w:r>
        <w:rPr>
          <w:rFonts w:ascii="Calibri" w:hAnsi="Calibri"/>
          <w:color w:val="001F5F"/>
          <w:sz w:val="24"/>
        </w:rPr>
        <w:t>dezembro de</w:t>
      </w:r>
      <w:r>
        <w:rPr>
          <w:rFonts w:ascii="Calibri" w:hAnsi="Calibri"/>
          <w:color w:val="001F5F"/>
          <w:spacing w:val="-9"/>
          <w:sz w:val="24"/>
        </w:rPr>
        <w:t xml:space="preserve"> </w:t>
      </w:r>
      <w:r>
        <w:rPr>
          <w:rFonts w:ascii="Calibri" w:hAnsi="Calibri"/>
          <w:color w:val="001F5F"/>
          <w:sz w:val="24"/>
        </w:rPr>
        <w:t>2016</w:t>
      </w:r>
      <w:r>
        <w:rPr>
          <w:rFonts w:ascii="Calibri" w:hAnsi="Calibri"/>
          <w:color w:val="001F5F"/>
          <w:spacing w:val="-8"/>
          <w:sz w:val="24"/>
        </w:rPr>
        <w:t xml:space="preserve"> </w:t>
      </w:r>
      <w:r>
        <w:rPr>
          <w:rFonts w:ascii="Calibri" w:hAnsi="Calibri"/>
          <w:color w:val="001F5F"/>
          <w:sz w:val="24"/>
        </w:rPr>
        <w:t>e</w:t>
      </w:r>
      <w:r>
        <w:rPr>
          <w:rFonts w:ascii="Calibri" w:hAnsi="Calibri"/>
          <w:color w:val="001F5F"/>
          <w:spacing w:val="-9"/>
          <w:sz w:val="24"/>
        </w:rPr>
        <w:t xml:space="preserve"> </w:t>
      </w:r>
      <w:r>
        <w:rPr>
          <w:rFonts w:ascii="Calibri" w:hAnsi="Calibri"/>
          <w:color w:val="001F5F"/>
          <w:sz w:val="24"/>
        </w:rPr>
        <w:t>ao</w:t>
      </w:r>
      <w:r>
        <w:rPr>
          <w:rFonts w:ascii="Calibri" w:hAnsi="Calibri"/>
          <w:color w:val="001F5F"/>
          <w:spacing w:val="-9"/>
          <w:sz w:val="24"/>
        </w:rPr>
        <w:t xml:space="preserve"> </w:t>
      </w:r>
      <w:r>
        <w:rPr>
          <w:rFonts w:ascii="Calibri" w:hAnsi="Calibri"/>
          <w:color w:val="001F5F"/>
          <w:sz w:val="24"/>
        </w:rPr>
        <w:t>inciso</w:t>
      </w:r>
      <w:r>
        <w:rPr>
          <w:rFonts w:ascii="Calibri" w:hAnsi="Calibri"/>
          <w:color w:val="001F5F"/>
          <w:spacing w:val="-9"/>
          <w:sz w:val="24"/>
        </w:rPr>
        <w:t xml:space="preserve"> </w:t>
      </w:r>
      <w:r>
        <w:rPr>
          <w:rFonts w:ascii="Calibri" w:hAnsi="Calibri"/>
          <w:color w:val="001F5F"/>
          <w:sz w:val="24"/>
        </w:rPr>
        <w:t>VII</w:t>
      </w:r>
      <w:r>
        <w:rPr>
          <w:rFonts w:ascii="Calibri" w:hAnsi="Calibri"/>
          <w:color w:val="001F5F"/>
          <w:spacing w:val="-10"/>
          <w:sz w:val="24"/>
        </w:rPr>
        <w:t xml:space="preserve"> </w:t>
      </w:r>
      <w:r>
        <w:rPr>
          <w:rFonts w:ascii="Calibri" w:hAnsi="Calibri"/>
          <w:color w:val="001F5F"/>
          <w:sz w:val="24"/>
        </w:rPr>
        <w:t>do</w:t>
      </w:r>
      <w:r>
        <w:rPr>
          <w:rFonts w:ascii="Calibri" w:hAnsi="Calibri"/>
          <w:color w:val="001F5F"/>
          <w:spacing w:val="-9"/>
          <w:sz w:val="24"/>
        </w:rPr>
        <w:t xml:space="preserve"> </w:t>
      </w:r>
      <w:r>
        <w:rPr>
          <w:rFonts w:ascii="Calibri" w:hAnsi="Calibri"/>
          <w:color w:val="001F5F"/>
          <w:sz w:val="24"/>
        </w:rPr>
        <w:t>artigo</w:t>
      </w:r>
      <w:r>
        <w:rPr>
          <w:rFonts w:ascii="Calibri" w:hAnsi="Calibri"/>
          <w:color w:val="001F5F"/>
          <w:spacing w:val="-7"/>
          <w:sz w:val="24"/>
        </w:rPr>
        <w:t xml:space="preserve"> </w:t>
      </w:r>
      <w:r>
        <w:rPr>
          <w:rFonts w:ascii="Calibri" w:hAnsi="Calibri"/>
          <w:color w:val="001F5F"/>
          <w:sz w:val="24"/>
        </w:rPr>
        <w:t>11º</w:t>
      </w:r>
      <w:r>
        <w:rPr>
          <w:rFonts w:ascii="Calibri" w:hAnsi="Calibri"/>
          <w:color w:val="001F5F"/>
          <w:spacing w:val="-9"/>
          <w:sz w:val="24"/>
        </w:rPr>
        <w:t xml:space="preserve"> </w:t>
      </w:r>
      <w:r>
        <w:rPr>
          <w:rFonts w:ascii="Calibri" w:hAnsi="Calibri"/>
          <w:color w:val="001F5F"/>
          <w:sz w:val="24"/>
        </w:rPr>
        <w:t>do</w:t>
      </w:r>
      <w:r>
        <w:rPr>
          <w:rFonts w:ascii="Calibri" w:hAnsi="Calibri"/>
          <w:color w:val="001F5F"/>
          <w:spacing w:val="-9"/>
          <w:sz w:val="24"/>
        </w:rPr>
        <w:t xml:space="preserve"> </w:t>
      </w:r>
      <w:r>
        <w:rPr>
          <w:rFonts w:ascii="Calibri" w:hAnsi="Calibri"/>
          <w:color w:val="001F5F"/>
          <w:sz w:val="24"/>
        </w:rPr>
        <w:t>Regimento</w:t>
      </w:r>
      <w:r>
        <w:rPr>
          <w:rFonts w:ascii="Calibri" w:hAnsi="Calibri"/>
          <w:color w:val="001F5F"/>
          <w:spacing w:val="-9"/>
          <w:sz w:val="24"/>
        </w:rPr>
        <w:t xml:space="preserve"> </w:t>
      </w:r>
      <w:r>
        <w:rPr>
          <w:rFonts w:ascii="Calibri" w:hAnsi="Calibri"/>
          <w:color w:val="001F5F"/>
          <w:sz w:val="24"/>
        </w:rPr>
        <w:t>Interno</w:t>
      </w:r>
      <w:r>
        <w:rPr>
          <w:rFonts w:ascii="Calibri" w:hAnsi="Calibri"/>
          <w:color w:val="001F5F"/>
          <w:spacing w:val="-9"/>
          <w:sz w:val="24"/>
        </w:rPr>
        <w:t xml:space="preserve"> </w:t>
      </w:r>
      <w:r>
        <w:rPr>
          <w:rFonts w:ascii="Calibri" w:hAnsi="Calibri"/>
          <w:color w:val="001F5F"/>
          <w:sz w:val="24"/>
        </w:rPr>
        <w:t>do</w:t>
      </w:r>
      <w:r>
        <w:rPr>
          <w:rFonts w:ascii="Calibri" w:hAnsi="Calibri"/>
          <w:color w:val="001F5F"/>
          <w:spacing w:val="-9"/>
          <w:sz w:val="24"/>
        </w:rPr>
        <w:t xml:space="preserve"> </w:t>
      </w:r>
      <w:r>
        <w:rPr>
          <w:rFonts w:ascii="Calibri" w:hAnsi="Calibri"/>
          <w:color w:val="001F5F"/>
          <w:sz w:val="24"/>
        </w:rPr>
        <w:t>Comitê</w:t>
      </w:r>
      <w:r>
        <w:rPr>
          <w:rFonts w:ascii="Calibri" w:hAnsi="Calibri"/>
          <w:color w:val="001F5F"/>
          <w:spacing w:val="-9"/>
          <w:sz w:val="24"/>
        </w:rPr>
        <w:t xml:space="preserve"> </w:t>
      </w:r>
      <w:r>
        <w:rPr>
          <w:rFonts w:ascii="Calibri" w:hAnsi="Calibri"/>
          <w:color w:val="001F5F"/>
          <w:sz w:val="24"/>
        </w:rPr>
        <w:t>de</w:t>
      </w:r>
      <w:r>
        <w:rPr>
          <w:rFonts w:ascii="Calibri" w:hAnsi="Calibri"/>
          <w:color w:val="001F5F"/>
          <w:spacing w:val="-9"/>
          <w:sz w:val="24"/>
        </w:rPr>
        <w:t xml:space="preserve"> </w:t>
      </w:r>
      <w:r>
        <w:rPr>
          <w:rFonts w:ascii="Calibri" w:hAnsi="Calibri"/>
          <w:color w:val="001F5F"/>
          <w:sz w:val="24"/>
        </w:rPr>
        <w:t>Auditoria,</w:t>
      </w:r>
      <w:r>
        <w:rPr>
          <w:rFonts w:ascii="Calibri" w:hAnsi="Calibri"/>
          <w:color w:val="001F5F"/>
          <w:spacing w:val="-9"/>
          <w:sz w:val="24"/>
        </w:rPr>
        <w:t xml:space="preserve"> </w:t>
      </w:r>
      <w:r>
        <w:rPr>
          <w:rFonts w:ascii="Calibri" w:hAnsi="Calibri"/>
          <w:color w:val="001F5F"/>
          <w:sz w:val="24"/>
        </w:rPr>
        <w:t>o</w:t>
      </w:r>
      <w:r>
        <w:rPr>
          <w:rFonts w:ascii="Calibri" w:hAnsi="Calibri"/>
          <w:color w:val="001F5F"/>
          <w:spacing w:val="-9"/>
          <w:sz w:val="24"/>
        </w:rPr>
        <w:t xml:space="preserve"> </w:t>
      </w:r>
      <w:r>
        <w:rPr>
          <w:rFonts w:ascii="Calibri" w:hAnsi="Calibri"/>
          <w:color w:val="001F5F"/>
          <w:sz w:val="24"/>
        </w:rPr>
        <w:t>Comitê de Auditoria Estatutário da Telebras (COAUD) apresenta seu Relatório Anual com as informações sobre as atividades, as suas recomendações, solicitações e sugestões, bem como os resultados dessas demandas. Registra também que se pronunciou sobre os Demonstrativos</w:t>
      </w:r>
      <w:r>
        <w:rPr>
          <w:rFonts w:ascii="Calibri" w:hAnsi="Calibri"/>
          <w:color w:val="001F5F"/>
          <w:spacing w:val="-1"/>
          <w:sz w:val="24"/>
        </w:rPr>
        <w:t xml:space="preserve"> </w:t>
      </w:r>
      <w:r>
        <w:rPr>
          <w:rFonts w:ascii="Calibri" w:hAnsi="Calibri"/>
          <w:color w:val="001F5F"/>
          <w:sz w:val="24"/>
        </w:rPr>
        <w:t>trimestrais, assim</w:t>
      </w:r>
      <w:r>
        <w:rPr>
          <w:rFonts w:ascii="Calibri" w:hAnsi="Calibri"/>
          <w:color w:val="001F5F"/>
          <w:spacing w:val="-1"/>
          <w:sz w:val="24"/>
        </w:rPr>
        <w:t xml:space="preserve"> </w:t>
      </w:r>
      <w:r>
        <w:rPr>
          <w:rFonts w:ascii="Calibri" w:hAnsi="Calibri"/>
          <w:color w:val="001F5F"/>
          <w:sz w:val="24"/>
        </w:rPr>
        <w:t>como,</w:t>
      </w:r>
      <w:r>
        <w:rPr>
          <w:rFonts w:ascii="Calibri" w:hAnsi="Calibri"/>
          <w:color w:val="001F5F"/>
          <w:spacing w:val="-1"/>
          <w:sz w:val="24"/>
        </w:rPr>
        <w:t xml:space="preserve"> </w:t>
      </w:r>
      <w:r>
        <w:rPr>
          <w:rFonts w:ascii="Calibri" w:hAnsi="Calibri"/>
          <w:color w:val="001F5F"/>
          <w:sz w:val="24"/>
        </w:rPr>
        <w:t>sobre as Demonstrações</w:t>
      </w:r>
      <w:r>
        <w:rPr>
          <w:rFonts w:ascii="Calibri" w:hAnsi="Calibri"/>
          <w:color w:val="001F5F"/>
          <w:spacing w:val="-2"/>
          <w:sz w:val="24"/>
        </w:rPr>
        <w:t xml:space="preserve"> </w:t>
      </w:r>
      <w:r>
        <w:rPr>
          <w:rFonts w:ascii="Calibri" w:hAnsi="Calibri"/>
          <w:color w:val="001F5F"/>
          <w:sz w:val="24"/>
        </w:rPr>
        <w:t>Contábeis encerradas</w:t>
      </w:r>
      <w:r>
        <w:rPr>
          <w:rFonts w:ascii="Calibri" w:hAnsi="Calibri"/>
          <w:color w:val="001F5F"/>
          <w:spacing w:val="-4"/>
          <w:sz w:val="24"/>
        </w:rPr>
        <w:t xml:space="preserve"> </w:t>
      </w:r>
      <w:r>
        <w:rPr>
          <w:rFonts w:ascii="Calibri" w:hAnsi="Calibri"/>
          <w:color w:val="001F5F"/>
          <w:sz w:val="24"/>
        </w:rPr>
        <w:t>no exercício findo em 31 de dezembro de 2025.</w:t>
      </w:r>
    </w:p>
    <w:p w14:paraId="488483DA" w14:textId="77777777" w:rsidR="002C6574" w:rsidRDefault="00000000">
      <w:pPr>
        <w:spacing w:before="196"/>
        <w:ind w:left="1277" w:right="1179" w:firstLine="851"/>
        <w:jc w:val="both"/>
        <w:rPr>
          <w:rFonts w:ascii="Calibri" w:hAnsi="Calibri"/>
          <w:sz w:val="24"/>
        </w:rPr>
      </w:pPr>
      <w:r>
        <w:rPr>
          <w:rFonts w:ascii="Calibri" w:hAnsi="Calibri"/>
          <w:color w:val="001F5F"/>
          <w:sz w:val="24"/>
        </w:rPr>
        <w:t>O Comitê enfatiza também que analisou as transações com as partes relacionadas e valor superior a 20MM, conforme o Art.80, inciso VI do Estatuto Social da Companhia.</w:t>
      </w:r>
    </w:p>
    <w:p w14:paraId="1EC3161E" w14:textId="77777777" w:rsidR="002C6574" w:rsidRDefault="002C6574">
      <w:pPr>
        <w:pStyle w:val="Corpodetexto"/>
        <w:rPr>
          <w:rFonts w:ascii="Calibri"/>
          <w:sz w:val="24"/>
        </w:rPr>
      </w:pPr>
    </w:p>
    <w:p w14:paraId="3D344129" w14:textId="77777777" w:rsidR="002C6574" w:rsidRDefault="00000000">
      <w:pPr>
        <w:ind w:left="1277" w:right="1178" w:firstLine="907"/>
        <w:jc w:val="both"/>
        <w:rPr>
          <w:rFonts w:ascii="Calibri" w:hAnsi="Calibri"/>
          <w:sz w:val="24"/>
        </w:rPr>
      </w:pPr>
      <w:r>
        <w:rPr>
          <w:rFonts w:ascii="Calibri" w:hAnsi="Calibri"/>
          <w:color w:val="001F5F"/>
          <w:sz w:val="24"/>
        </w:rPr>
        <w:t>Comitê</w:t>
      </w:r>
      <w:r>
        <w:rPr>
          <w:rFonts w:ascii="Calibri" w:hAnsi="Calibri"/>
          <w:color w:val="001F5F"/>
          <w:spacing w:val="-14"/>
          <w:sz w:val="24"/>
        </w:rPr>
        <w:t xml:space="preserve"> </w:t>
      </w:r>
      <w:r>
        <w:rPr>
          <w:rFonts w:ascii="Calibri" w:hAnsi="Calibri"/>
          <w:color w:val="001F5F"/>
          <w:sz w:val="24"/>
        </w:rPr>
        <w:t>de</w:t>
      </w:r>
      <w:r>
        <w:rPr>
          <w:rFonts w:ascii="Calibri" w:hAnsi="Calibri"/>
          <w:color w:val="001F5F"/>
          <w:spacing w:val="-14"/>
          <w:sz w:val="24"/>
        </w:rPr>
        <w:t xml:space="preserve"> </w:t>
      </w:r>
      <w:r>
        <w:rPr>
          <w:rFonts w:ascii="Calibri" w:hAnsi="Calibri"/>
          <w:color w:val="001F5F"/>
          <w:sz w:val="24"/>
        </w:rPr>
        <w:t>Auditoria,</w:t>
      </w:r>
      <w:r>
        <w:rPr>
          <w:rFonts w:ascii="Calibri" w:hAnsi="Calibri"/>
          <w:color w:val="001F5F"/>
          <w:spacing w:val="-13"/>
          <w:sz w:val="24"/>
        </w:rPr>
        <w:t xml:space="preserve"> </w:t>
      </w:r>
      <w:r>
        <w:rPr>
          <w:rFonts w:ascii="Calibri" w:hAnsi="Calibri"/>
          <w:color w:val="001F5F"/>
          <w:sz w:val="24"/>
        </w:rPr>
        <w:t>órgão</w:t>
      </w:r>
      <w:r>
        <w:rPr>
          <w:rFonts w:ascii="Calibri" w:hAnsi="Calibri"/>
          <w:color w:val="001F5F"/>
          <w:spacing w:val="-14"/>
          <w:sz w:val="24"/>
        </w:rPr>
        <w:t xml:space="preserve"> </w:t>
      </w:r>
      <w:r>
        <w:rPr>
          <w:rFonts w:ascii="Calibri" w:hAnsi="Calibri"/>
          <w:color w:val="001F5F"/>
          <w:sz w:val="24"/>
        </w:rPr>
        <w:t>estatutário</w:t>
      </w:r>
      <w:r>
        <w:rPr>
          <w:rFonts w:ascii="Calibri" w:hAnsi="Calibri"/>
          <w:color w:val="001F5F"/>
          <w:spacing w:val="-13"/>
          <w:sz w:val="24"/>
        </w:rPr>
        <w:t xml:space="preserve"> </w:t>
      </w:r>
      <w:r>
        <w:rPr>
          <w:rFonts w:ascii="Calibri" w:hAnsi="Calibri"/>
          <w:color w:val="001F5F"/>
          <w:sz w:val="24"/>
        </w:rPr>
        <w:t>da</w:t>
      </w:r>
      <w:r>
        <w:rPr>
          <w:rFonts w:ascii="Calibri" w:hAnsi="Calibri"/>
          <w:color w:val="001F5F"/>
          <w:spacing w:val="-14"/>
          <w:sz w:val="24"/>
        </w:rPr>
        <w:t xml:space="preserve"> </w:t>
      </w:r>
      <w:r>
        <w:rPr>
          <w:rFonts w:ascii="Calibri" w:hAnsi="Calibri"/>
          <w:color w:val="001F5F"/>
          <w:sz w:val="24"/>
        </w:rPr>
        <w:t>Telebras,</w:t>
      </w:r>
      <w:r>
        <w:rPr>
          <w:rFonts w:ascii="Calibri" w:hAnsi="Calibri"/>
          <w:color w:val="001F5F"/>
          <w:spacing w:val="-13"/>
          <w:sz w:val="24"/>
        </w:rPr>
        <w:t xml:space="preserve"> </w:t>
      </w:r>
      <w:r>
        <w:rPr>
          <w:rFonts w:ascii="Calibri" w:hAnsi="Calibri"/>
          <w:color w:val="001F5F"/>
          <w:sz w:val="24"/>
        </w:rPr>
        <w:t>foi</w:t>
      </w:r>
      <w:r>
        <w:rPr>
          <w:rFonts w:ascii="Calibri" w:hAnsi="Calibri"/>
          <w:color w:val="001F5F"/>
          <w:spacing w:val="-13"/>
          <w:sz w:val="24"/>
        </w:rPr>
        <w:t xml:space="preserve"> </w:t>
      </w:r>
      <w:r>
        <w:rPr>
          <w:rFonts w:ascii="Calibri" w:hAnsi="Calibri"/>
          <w:color w:val="001F5F"/>
          <w:sz w:val="24"/>
        </w:rPr>
        <w:t>instituído</w:t>
      </w:r>
      <w:r>
        <w:rPr>
          <w:rFonts w:ascii="Calibri" w:hAnsi="Calibri"/>
          <w:color w:val="001F5F"/>
          <w:spacing w:val="-14"/>
          <w:sz w:val="24"/>
        </w:rPr>
        <w:t xml:space="preserve"> </w:t>
      </w:r>
      <w:r>
        <w:rPr>
          <w:rFonts w:ascii="Calibri" w:hAnsi="Calibri"/>
          <w:color w:val="001F5F"/>
          <w:sz w:val="24"/>
        </w:rPr>
        <w:t>pela</w:t>
      </w:r>
      <w:r>
        <w:rPr>
          <w:rFonts w:ascii="Calibri" w:hAnsi="Calibri"/>
          <w:color w:val="001F5F"/>
          <w:spacing w:val="-13"/>
          <w:sz w:val="24"/>
        </w:rPr>
        <w:t xml:space="preserve"> </w:t>
      </w:r>
      <w:r>
        <w:rPr>
          <w:rFonts w:ascii="Calibri" w:hAnsi="Calibri"/>
          <w:color w:val="001F5F"/>
          <w:sz w:val="24"/>
        </w:rPr>
        <w:t>435ª</w:t>
      </w:r>
      <w:r>
        <w:rPr>
          <w:rFonts w:ascii="Calibri" w:hAnsi="Calibri"/>
          <w:color w:val="001F5F"/>
          <w:spacing w:val="-14"/>
          <w:sz w:val="24"/>
        </w:rPr>
        <w:t xml:space="preserve"> </w:t>
      </w:r>
      <w:r>
        <w:rPr>
          <w:rFonts w:ascii="Calibri" w:hAnsi="Calibri"/>
          <w:color w:val="001F5F"/>
          <w:sz w:val="24"/>
        </w:rPr>
        <w:t>Reunião Ordinária do Conselho de Administração, realizada em 28/06/2018, em observância ao artigo 74 do Estatuto Social da Companhia e artigo 24 da Lei 13.303/2016. O Conselho de Administração, na 434ª</w:t>
      </w:r>
      <w:r>
        <w:rPr>
          <w:rFonts w:ascii="Calibri" w:hAnsi="Calibri"/>
          <w:color w:val="001F5F"/>
          <w:spacing w:val="-3"/>
          <w:sz w:val="24"/>
        </w:rPr>
        <w:t xml:space="preserve"> </w:t>
      </w:r>
      <w:r>
        <w:rPr>
          <w:rFonts w:ascii="Calibri" w:hAnsi="Calibri"/>
          <w:color w:val="001F5F"/>
          <w:sz w:val="24"/>
        </w:rPr>
        <w:t xml:space="preserve">Reunião Ordinária, realizada em 24/05/2018, aprovou seu primeiro Regimento Interno do Comitê, que tem por finalidade assessorá-lo, auxiliando este, entre outros, no monitoramento da qualidade das demonstrações financeiras, dos controles internos, da conformidade, do gerenciamento de riscos e das auditorias interna e </w:t>
      </w:r>
      <w:r>
        <w:rPr>
          <w:rFonts w:ascii="Calibri" w:hAnsi="Calibri"/>
          <w:color w:val="001F5F"/>
          <w:spacing w:val="-2"/>
          <w:sz w:val="24"/>
        </w:rPr>
        <w:t>independente.</w:t>
      </w:r>
    </w:p>
    <w:p w14:paraId="18B48795" w14:textId="77777777" w:rsidR="002C6574" w:rsidRDefault="00000000">
      <w:pPr>
        <w:spacing w:before="195"/>
        <w:ind w:left="3509"/>
        <w:rPr>
          <w:rFonts w:ascii="Calibri" w:hAnsi="Calibri"/>
          <w:sz w:val="24"/>
        </w:rPr>
      </w:pPr>
      <w:r>
        <w:rPr>
          <w:rFonts w:ascii="Calibri" w:hAnsi="Calibri"/>
          <w:color w:val="001F5F"/>
          <w:sz w:val="24"/>
        </w:rPr>
        <w:t>Histórico</w:t>
      </w:r>
      <w:r>
        <w:rPr>
          <w:rFonts w:ascii="Calibri" w:hAnsi="Calibri"/>
          <w:color w:val="001F5F"/>
          <w:spacing w:val="-2"/>
          <w:sz w:val="24"/>
        </w:rPr>
        <w:t xml:space="preserve"> </w:t>
      </w:r>
      <w:r>
        <w:rPr>
          <w:rFonts w:ascii="Calibri" w:hAnsi="Calibri"/>
          <w:color w:val="001F5F"/>
          <w:sz w:val="24"/>
        </w:rPr>
        <w:t>de</w:t>
      </w:r>
      <w:r>
        <w:rPr>
          <w:rFonts w:ascii="Calibri" w:hAnsi="Calibri"/>
          <w:color w:val="001F5F"/>
          <w:spacing w:val="-2"/>
          <w:sz w:val="24"/>
        </w:rPr>
        <w:t xml:space="preserve"> </w:t>
      </w:r>
      <w:r>
        <w:rPr>
          <w:rFonts w:ascii="Calibri" w:hAnsi="Calibri"/>
          <w:color w:val="001F5F"/>
          <w:sz w:val="24"/>
        </w:rPr>
        <w:t>revisões</w:t>
      </w:r>
      <w:r>
        <w:rPr>
          <w:rFonts w:ascii="Calibri" w:hAnsi="Calibri"/>
          <w:color w:val="001F5F"/>
          <w:spacing w:val="-3"/>
          <w:sz w:val="24"/>
        </w:rPr>
        <w:t xml:space="preserve"> </w:t>
      </w:r>
      <w:r>
        <w:rPr>
          <w:rFonts w:ascii="Calibri" w:hAnsi="Calibri"/>
          <w:color w:val="001F5F"/>
          <w:sz w:val="24"/>
        </w:rPr>
        <w:t>do</w:t>
      </w:r>
      <w:r>
        <w:rPr>
          <w:rFonts w:ascii="Calibri" w:hAnsi="Calibri"/>
          <w:color w:val="001F5F"/>
          <w:spacing w:val="-4"/>
          <w:sz w:val="24"/>
        </w:rPr>
        <w:t xml:space="preserve"> </w:t>
      </w:r>
      <w:r>
        <w:rPr>
          <w:rFonts w:ascii="Calibri" w:hAnsi="Calibri"/>
          <w:color w:val="001F5F"/>
          <w:sz w:val="24"/>
        </w:rPr>
        <w:t>Regimento</w:t>
      </w:r>
      <w:r>
        <w:rPr>
          <w:rFonts w:ascii="Calibri" w:hAnsi="Calibri"/>
          <w:color w:val="001F5F"/>
          <w:spacing w:val="-5"/>
          <w:sz w:val="24"/>
        </w:rPr>
        <w:t xml:space="preserve"> </w:t>
      </w:r>
      <w:r>
        <w:rPr>
          <w:rFonts w:ascii="Calibri" w:hAnsi="Calibri"/>
          <w:color w:val="001F5F"/>
          <w:sz w:val="24"/>
        </w:rPr>
        <w:t>Interno</w:t>
      </w:r>
      <w:r>
        <w:rPr>
          <w:rFonts w:ascii="Calibri" w:hAnsi="Calibri"/>
          <w:color w:val="001F5F"/>
          <w:spacing w:val="-4"/>
          <w:sz w:val="24"/>
        </w:rPr>
        <w:t xml:space="preserve"> </w:t>
      </w:r>
      <w:r>
        <w:rPr>
          <w:rFonts w:ascii="Calibri" w:hAnsi="Calibri"/>
          <w:color w:val="001F5F"/>
          <w:sz w:val="24"/>
        </w:rPr>
        <w:t>do</w:t>
      </w:r>
      <w:r>
        <w:rPr>
          <w:rFonts w:ascii="Calibri" w:hAnsi="Calibri"/>
          <w:color w:val="001F5F"/>
          <w:spacing w:val="-2"/>
          <w:sz w:val="24"/>
        </w:rPr>
        <w:t xml:space="preserve"> COAUD</w:t>
      </w:r>
    </w:p>
    <w:p w14:paraId="60C20FC1" w14:textId="77777777" w:rsidR="002C6574" w:rsidRDefault="002C6574">
      <w:pPr>
        <w:pStyle w:val="Corpodetexto"/>
        <w:spacing w:before="49"/>
        <w:rPr>
          <w:rFonts w:ascii="Calibri"/>
          <w:sz w:val="20"/>
        </w:rPr>
      </w:pPr>
    </w:p>
    <w:tbl>
      <w:tblPr>
        <w:tblStyle w:val="TableNormal"/>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1133"/>
        <w:gridCol w:w="4254"/>
      </w:tblGrid>
      <w:tr w:rsidR="002C6574" w14:paraId="180C47F0" w14:textId="77777777">
        <w:trPr>
          <w:trHeight w:val="614"/>
        </w:trPr>
        <w:tc>
          <w:tcPr>
            <w:tcW w:w="3262" w:type="dxa"/>
            <w:shd w:val="clear" w:color="auto" w:fill="2E5395"/>
          </w:tcPr>
          <w:p w14:paraId="0FE35AE6" w14:textId="77777777" w:rsidR="002C6574" w:rsidRDefault="002C6574">
            <w:pPr>
              <w:pStyle w:val="TableParagraph"/>
              <w:spacing w:before="19"/>
              <w:jc w:val="left"/>
              <w:rPr>
                <w:rFonts w:ascii="Calibri"/>
                <w:sz w:val="18"/>
              </w:rPr>
            </w:pPr>
          </w:p>
          <w:p w14:paraId="2022DFBB" w14:textId="77777777" w:rsidR="002C6574" w:rsidRDefault="00000000">
            <w:pPr>
              <w:pStyle w:val="TableParagraph"/>
              <w:ind w:left="4"/>
              <w:jc w:val="center"/>
              <w:rPr>
                <w:rFonts w:ascii="Calibri" w:hAnsi="Calibri"/>
                <w:b/>
                <w:sz w:val="18"/>
              </w:rPr>
            </w:pPr>
            <w:r>
              <w:rPr>
                <w:rFonts w:ascii="Calibri" w:hAnsi="Calibri"/>
                <w:b/>
                <w:color w:val="FFFFFF"/>
                <w:spacing w:val="-2"/>
                <w:sz w:val="18"/>
              </w:rPr>
              <w:t>Reunião</w:t>
            </w:r>
          </w:p>
        </w:tc>
        <w:tc>
          <w:tcPr>
            <w:tcW w:w="1133" w:type="dxa"/>
            <w:shd w:val="clear" w:color="auto" w:fill="2E5395"/>
          </w:tcPr>
          <w:p w14:paraId="74EDC8EB" w14:textId="77777777" w:rsidR="002C6574" w:rsidRDefault="002C6574">
            <w:pPr>
              <w:pStyle w:val="TableParagraph"/>
              <w:spacing w:before="19"/>
              <w:jc w:val="left"/>
              <w:rPr>
                <w:rFonts w:ascii="Calibri"/>
                <w:sz w:val="18"/>
              </w:rPr>
            </w:pPr>
          </w:p>
          <w:p w14:paraId="6141E438" w14:textId="77777777" w:rsidR="002C6574" w:rsidRDefault="00000000">
            <w:pPr>
              <w:pStyle w:val="TableParagraph"/>
              <w:ind w:left="54" w:right="53"/>
              <w:jc w:val="center"/>
              <w:rPr>
                <w:rFonts w:ascii="Calibri"/>
                <w:b/>
                <w:sz w:val="18"/>
              </w:rPr>
            </w:pPr>
            <w:r>
              <w:rPr>
                <w:rFonts w:ascii="Calibri"/>
                <w:b/>
                <w:color w:val="FFFFFF"/>
                <w:spacing w:val="-4"/>
                <w:sz w:val="18"/>
              </w:rPr>
              <w:t>DATA</w:t>
            </w:r>
          </w:p>
        </w:tc>
        <w:tc>
          <w:tcPr>
            <w:tcW w:w="4254" w:type="dxa"/>
            <w:shd w:val="clear" w:color="auto" w:fill="2E5395"/>
          </w:tcPr>
          <w:p w14:paraId="37DD1422" w14:textId="77777777" w:rsidR="002C6574" w:rsidRDefault="002C6574">
            <w:pPr>
              <w:pStyle w:val="TableParagraph"/>
              <w:spacing w:before="19"/>
              <w:jc w:val="left"/>
              <w:rPr>
                <w:rFonts w:ascii="Calibri"/>
                <w:sz w:val="18"/>
              </w:rPr>
            </w:pPr>
          </w:p>
          <w:p w14:paraId="375A2362" w14:textId="77777777" w:rsidR="002C6574" w:rsidRDefault="00000000">
            <w:pPr>
              <w:pStyle w:val="TableParagraph"/>
              <w:ind w:left="5"/>
              <w:jc w:val="center"/>
              <w:rPr>
                <w:rFonts w:ascii="Calibri"/>
                <w:b/>
                <w:sz w:val="18"/>
              </w:rPr>
            </w:pPr>
            <w:r>
              <w:rPr>
                <w:rFonts w:ascii="Calibri"/>
                <w:b/>
                <w:color w:val="FFFFFF"/>
                <w:spacing w:val="-2"/>
                <w:sz w:val="18"/>
              </w:rPr>
              <w:t>EVENTO</w:t>
            </w:r>
          </w:p>
        </w:tc>
      </w:tr>
      <w:tr w:rsidR="002C6574" w14:paraId="3E73E1FC" w14:textId="77777777">
        <w:trPr>
          <w:trHeight w:val="863"/>
        </w:trPr>
        <w:tc>
          <w:tcPr>
            <w:tcW w:w="3262" w:type="dxa"/>
          </w:tcPr>
          <w:p w14:paraId="2A3073CB" w14:textId="77777777" w:rsidR="002C6574" w:rsidRDefault="002C6574">
            <w:pPr>
              <w:pStyle w:val="TableParagraph"/>
              <w:spacing w:before="19"/>
              <w:jc w:val="left"/>
              <w:rPr>
                <w:rFonts w:ascii="Calibri"/>
                <w:sz w:val="18"/>
              </w:rPr>
            </w:pPr>
          </w:p>
          <w:p w14:paraId="1FD6EFAA" w14:textId="77777777" w:rsidR="002C6574" w:rsidRDefault="00000000">
            <w:pPr>
              <w:pStyle w:val="TableParagraph"/>
              <w:spacing w:line="276" w:lineRule="auto"/>
              <w:ind w:left="107"/>
              <w:jc w:val="left"/>
              <w:rPr>
                <w:rFonts w:ascii="Calibri" w:hAnsi="Calibri"/>
                <w:sz w:val="18"/>
              </w:rPr>
            </w:pPr>
            <w:r>
              <w:rPr>
                <w:rFonts w:ascii="Calibri" w:hAnsi="Calibri"/>
                <w:color w:val="001F5F"/>
                <w:sz w:val="18"/>
              </w:rPr>
              <w:t>434ª</w:t>
            </w:r>
            <w:r>
              <w:rPr>
                <w:rFonts w:ascii="Calibri" w:hAnsi="Calibri"/>
                <w:color w:val="001F5F"/>
                <w:spacing w:val="22"/>
                <w:sz w:val="18"/>
              </w:rPr>
              <w:t xml:space="preserve"> </w:t>
            </w:r>
            <w:r>
              <w:rPr>
                <w:rFonts w:ascii="Calibri" w:hAnsi="Calibri"/>
                <w:color w:val="001F5F"/>
                <w:sz w:val="18"/>
              </w:rPr>
              <w:t>Reunião</w:t>
            </w:r>
            <w:r>
              <w:rPr>
                <w:rFonts w:ascii="Calibri" w:hAnsi="Calibri"/>
                <w:color w:val="001F5F"/>
                <w:spacing w:val="23"/>
                <w:sz w:val="18"/>
              </w:rPr>
              <w:t xml:space="preserve"> </w:t>
            </w:r>
            <w:r>
              <w:rPr>
                <w:rFonts w:ascii="Calibri" w:hAnsi="Calibri"/>
                <w:color w:val="001F5F"/>
                <w:sz w:val="18"/>
              </w:rPr>
              <w:t>Ordinária</w:t>
            </w:r>
            <w:r>
              <w:rPr>
                <w:rFonts w:ascii="Calibri" w:hAnsi="Calibri"/>
                <w:color w:val="001F5F"/>
                <w:spacing w:val="22"/>
                <w:sz w:val="18"/>
              </w:rPr>
              <w:t xml:space="preserve"> </w:t>
            </w:r>
            <w:r>
              <w:rPr>
                <w:rFonts w:ascii="Calibri" w:hAnsi="Calibri"/>
                <w:color w:val="001F5F"/>
                <w:sz w:val="18"/>
              </w:rPr>
              <w:t>do</w:t>
            </w:r>
            <w:r>
              <w:rPr>
                <w:rFonts w:ascii="Calibri" w:hAnsi="Calibri"/>
                <w:color w:val="001F5F"/>
                <w:spacing w:val="23"/>
                <w:sz w:val="18"/>
              </w:rPr>
              <w:t xml:space="preserve"> </w:t>
            </w:r>
            <w:r>
              <w:rPr>
                <w:rFonts w:ascii="Calibri" w:hAnsi="Calibri"/>
                <w:color w:val="001F5F"/>
                <w:sz w:val="18"/>
              </w:rPr>
              <w:t>Conselho</w:t>
            </w:r>
            <w:r>
              <w:rPr>
                <w:rFonts w:ascii="Calibri" w:hAnsi="Calibri"/>
                <w:color w:val="001F5F"/>
                <w:spacing w:val="23"/>
                <w:sz w:val="18"/>
              </w:rPr>
              <w:t xml:space="preserve"> </w:t>
            </w:r>
            <w:r>
              <w:rPr>
                <w:rFonts w:ascii="Calibri" w:hAnsi="Calibri"/>
                <w:color w:val="001F5F"/>
                <w:sz w:val="18"/>
              </w:rPr>
              <w:t xml:space="preserve">de </w:t>
            </w:r>
            <w:r>
              <w:rPr>
                <w:rFonts w:ascii="Calibri" w:hAnsi="Calibri"/>
                <w:color w:val="001F5F"/>
                <w:spacing w:val="-2"/>
                <w:sz w:val="18"/>
              </w:rPr>
              <w:t>administração</w:t>
            </w:r>
          </w:p>
        </w:tc>
        <w:tc>
          <w:tcPr>
            <w:tcW w:w="1133" w:type="dxa"/>
          </w:tcPr>
          <w:p w14:paraId="13B51A16" w14:textId="77777777" w:rsidR="002C6574" w:rsidRDefault="002C6574">
            <w:pPr>
              <w:pStyle w:val="TableParagraph"/>
              <w:spacing w:before="19"/>
              <w:jc w:val="left"/>
              <w:rPr>
                <w:rFonts w:ascii="Calibri"/>
                <w:sz w:val="18"/>
              </w:rPr>
            </w:pPr>
          </w:p>
          <w:p w14:paraId="25B682DA" w14:textId="77777777" w:rsidR="002C6574" w:rsidRDefault="00000000">
            <w:pPr>
              <w:pStyle w:val="TableParagraph"/>
              <w:ind w:right="41"/>
              <w:jc w:val="center"/>
              <w:rPr>
                <w:rFonts w:ascii="Calibri"/>
                <w:sz w:val="18"/>
              </w:rPr>
            </w:pPr>
            <w:r>
              <w:rPr>
                <w:rFonts w:ascii="Calibri"/>
                <w:color w:val="001F5F"/>
                <w:spacing w:val="-2"/>
                <w:sz w:val="18"/>
              </w:rPr>
              <w:t>24/05/2018</w:t>
            </w:r>
          </w:p>
        </w:tc>
        <w:tc>
          <w:tcPr>
            <w:tcW w:w="4254" w:type="dxa"/>
          </w:tcPr>
          <w:p w14:paraId="65C6BC43" w14:textId="77777777" w:rsidR="002C6574" w:rsidRDefault="002C6574">
            <w:pPr>
              <w:pStyle w:val="TableParagraph"/>
              <w:spacing w:before="19"/>
              <w:jc w:val="left"/>
              <w:rPr>
                <w:rFonts w:ascii="Calibri"/>
                <w:sz w:val="18"/>
              </w:rPr>
            </w:pPr>
          </w:p>
          <w:p w14:paraId="143132BB" w14:textId="77777777" w:rsidR="002C6574" w:rsidRDefault="00000000">
            <w:pPr>
              <w:pStyle w:val="TableParagraph"/>
              <w:spacing w:line="276" w:lineRule="auto"/>
              <w:ind w:left="107"/>
              <w:jc w:val="left"/>
              <w:rPr>
                <w:rFonts w:ascii="Calibri" w:hAnsi="Calibri"/>
                <w:sz w:val="18"/>
              </w:rPr>
            </w:pPr>
            <w:r>
              <w:rPr>
                <w:rFonts w:ascii="Calibri" w:hAnsi="Calibri"/>
                <w:color w:val="001F5F"/>
                <w:sz w:val="18"/>
              </w:rPr>
              <w:t>Aprovação</w:t>
            </w:r>
            <w:r>
              <w:rPr>
                <w:rFonts w:ascii="Calibri" w:hAnsi="Calibri"/>
                <w:color w:val="001F5F"/>
                <w:spacing w:val="-11"/>
                <w:sz w:val="18"/>
              </w:rPr>
              <w:t xml:space="preserve"> </w:t>
            </w:r>
            <w:r>
              <w:rPr>
                <w:rFonts w:ascii="Calibri" w:hAnsi="Calibri"/>
                <w:color w:val="001F5F"/>
                <w:sz w:val="18"/>
              </w:rPr>
              <w:t>da</w:t>
            </w:r>
            <w:r>
              <w:rPr>
                <w:rFonts w:ascii="Calibri" w:hAnsi="Calibri"/>
                <w:color w:val="001F5F"/>
                <w:spacing w:val="-10"/>
                <w:sz w:val="18"/>
              </w:rPr>
              <w:t xml:space="preserve"> </w:t>
            </w:r>
            <w:r>
              <w:rPr>
                <w:rFonts w:ascii="Calibri" w:hAnsi="Calibri"/>
                <w:color w:val="001F5F"/>
                <w:sz w:val="18"/>
              </w:rPr>
              <w:t>primeira</w:t>
            </w:r>
            <w:r>
              <w:rPr>
                <w:rFonts w:ascii="Calibri" w:hAnsi="Calibri"/>
                <w:color w:val="001F5F"/>
                <w:spacing w:val="-10"/>
                <w:sz w:val="18"/>
              </w:rPr>
              <w:t xml:space="preserve"> </w:t>
            </w:r>
            <w:r>
              <w:rPr>
                <w:rFonts w:ascii="Calibri" w:hAnsi="Calibri"/>
                <w:color w:val="001F5F"/>
                <w:sz w:val="18"/>
              </w:rPr>
              <w:t>versão</w:t>
            </w:r>
            <w:r>
              <w:rPr>
                <w:rFonts w:ascii="Calibri" w:hAnsi="Calibri"/>
                <w:color w:val="001F5F"/>
                <w:spacing w:val="-10"/>
                <w:sz w:val="18"/>
              </w:rPr>
              <w:t xml:space="preserve"> </w:t>
            </w:r>
            <w:r>
              <w:rPr>
                <w:rFonts w:ascii="Calibri" w:hAnsi="Calibri"/>
                <w:color w:val="001F5F"/>
                <w:sz w:val="18"/>
              </w:rPr>
              <w:t>do</w:t>
            </w:r>
            <w:r>
              <w:rPr>
                <w:rFonts w:ascii="Calibri" w:hAnsi="Calibri"/>
                <w:color w:val="001F5F"/>
                <w:spacing w:val="-10"/>
                <w:sz w:val="18"/>
              </w:rPr>
              <w:t xml:space="preserve"> </w:t>
            </w:r>
            <w:r>
              <w:rPr>
                <w:rFonts w:ascii="Calibri" w:hAnsi="Calibri"/>
                <w:color w:val="001F5F"/>
                <w:sz w:val="18"/>
              </w:rPr>
              <w:t>Regimento</w:t>
            </w:r>
            <w:r>
              <w:rPr>
                <w:rFonts w:ascii="Calibri" w:hAnsi="Calibri"/>
                <w:color w:val="001F5F"/>
                <w:spacing w:val="-11"/>
                <w:sz w:val="18"/>
              </w:rPr>
              <w:t xml:space="preserve"> </w:t>
            </w:r>
            <w:r>
              <w:rPr>
                <w:rFonts w:ascii="Calibri" w:hAnsi="Calibri"/>
                <w:color w:val="001F5F"/>
                <w:sz w:val="18"/>
              </w:rPr>
              <w:t>Interno</w:t>
            </w:r>
            <w:r>
              <w:rPr>
                <w:rFonts w:ascii="Calibri" w:hAnsi="Calibri"/>
                <w:color w:val="001F5F"/>
                <w:spacing w:val="-10"/>
                <w:sz w:val="18"/>
              </w:rPr>
              <w:t xml:space="preserve"> </w:t>
            </w:r>
            <w:r>
              <w:rPr>
                <w:rFonts w:ascii="Calibri" w:hAnsi="Calibri"/>
                <w:color w:val="001F5F"/>
                <w:sz w:val="18"/>
              </w:rPr>
              <w:t>do Comitê de Auditoria da Telebras.</w:t>
            </w:r>
          </w:p>
        </w:tc>
      </w:tr>
      <w:tr w:rsidR="002C6574" w14:paraId="4083656C" w14:textId="77777777">
        <w:trPr>
          <w:trHeight w:val="866"/>
        </w:trPr>
        <w:tc>
          <w:tcPr>
            <w:tcW w:w="3262" w:type="dxa"/>
          </w:tcPr>
          <w:p w14:paraId="7EB16745" w14:textId="77777777" w:rsidR="002C6574" w:rsidRDefault="002C6574">
            <w:pPr>
              <w:pStyle w:val="TableParagraph"/>
              <w:spacing w:before="19"/>
              <w:jc w:val="left"/>
              <w:rPr>
                <w:rFonts w:ascii="Calibri"/>
                <w:sz w:val="18"/>
              </w:rPr>
            </w:pPr>
          </w:p>
          <w:p w14:paraId="76D3C364" w14:textId="77777777" w:rsidR="002C6574" w:rsidRDefault="00000000">
            <w:pPr>
              <w:pStyle w:val="TableParagraph"/>
              <w:spacing w:line="278" w:lineRule="auto"/>
              <w:ind w:left="107"/>
              <w:jc w:val="left"/>
              <w:rPr>
                <w:rFonts w:ascii="Calibri" w:hAnsi="Calibri"/>
                <w:sz w:val="18"/>
              </w:rPr>
            </w:pPr>
            <w:r>
              <w:rPr>
                <w:rFonts w:ascii="Calibri" w:hAnsi="Calibri"/>
                <w:color w:val="001F5F"/>
                <w:sz w:val="18"/>
              </w:rPr>
              <w:t>435ª</w:t>
            </w:r>
            <w:r>
              <w:rPr>
                <w:rFonts w:ascii="Calibri" w:hAnsi="Calibri"/>
                <w:color w:val="001F5F"/>
                <w:spacing w:val="22"/>
                <w:sz w:val="18"/>
              </w:rPr>
              <w:t xml:space="preserve"> </w:t>
            </w:r>
            <w:r>
              <w:rPr>
                <w:rFonts w:ascii="Calibri" w:hAnsi="Calibri"/>
                <w:color w:val="001F5F"/>
                <w:sz w:val="18"/>
              </w:rPr>
              <w:t>Reunião</w:t>
            </w:r>
            <w:r>
              <w:rPr>
                <w:rFonts w:ascii="Calibri" w:hAnsi="Calibri"/>
                <w:color w:val="001F5F"/>
                <w:spacing w:val="24"/>
                <w:sz w:val="18"/>
              </w:rPr>
              <w:t xml:space="preserve"> </w:t>
            </w:r>
            <w:r>
              <w:rPr>
                <w:rFonts w:ascii="Calibri" w:hAnsi="Calibri"/>
                <w:color w:val="001F5F"/>
                <w:sz w:val="18"/>
              </w:rPr>
              <w:t>Ordinária</w:t>
            </w:r>
            <w:r>
              <w:rPr>
                <w:rFonts w:ascii="Calibri" w:hAnsi="Calibri"/>
                <w:color w:val="001F5F"/>
                <w:spacing w:val="23"/>
                <w:sz w:val="18"/>
              </w:rPr>
              <w:t xml:space="preserve"> </w:t>
            </w:r>
            <w:r>
              <w:rPr>
                <w:rFonts w:ascii="Calibri" w:hAnsi="Calibri"/>
                <w:color w:val="001F5F"/>
                <w:sz w:val="18"/>
              </w:rPr>
              <w:t>do</w:t>
            </w:r>
            <w:r>
              <w:rPr>
                <w:rFonts w:ascii="Calibri" w:hAnsi="Calibri"/>
                <w:color w:val="001F5F"/>
                <w:spacing w:val="25"/>
                <w:sz w:val="18"/>
              </w:rPr>
              <w:t xml:space="preserve"> </w:t>
            </w:r>
            <w:r>
              <w:rPr>
                <w:rFonts w:ascii="Calibri" w:hAnsi="Calibri"/>
                <w:color w:val="001F5F"/>
                <w:sz w:val="18"/>
              </w:rPr>
              <w:t>Conselho</w:t>
            </w:r>
            <w:r>
              <w:rPr>
                <w:rFonts w:ascii="Calibri" w:hAnsi="Calibri"/>
                <w:color w:val="001F5F"/>
                <w:spacing w:val="24"/>
                <w:sz w:val="18"/>
              </w:rPr>
              <w:t xml:space="preserve"> </w:t>
            </w:r>
            <w:r>
              <w:rPr>
                <w:rFonts w:ascii="Calibri" w:hAnsi="Calibri"/>
                <w:color w:val="001F5F"/>
                <w:sz w:val="18"/>
              </w:rPr>
              <w:t xml:space="preserve">de </w:t>
            </w:r>
            <w:r>
              <w:rPr>
                <w:rFonts w:ascii="Calibri" w:hAnsi="Calibri"/>
                <w:color w:val="001F5F"/>
                <w:spacing w:val="-2"/>
                <w:sz w:val="18"/>
              </w:rPr>
              <w:t>Administração</w:t>
            </w:r>
          </w:p>
        </w:tc>
        <w:tc>
          <w:tcPr>
            <w:tcW w:w="1133" w:type="dxa"/>
          </w:tcPr>
          <w:p w14:paraId="34FBC0F3" w14:textId="77777777" w:rsidR="002C6574" w:rsidRDefault="002C6574">
            <w:pPr>
              <w:pStyle w:val="TableParagraph"/>
              <w:spacing w:before="19"/>
              <w:jc w:val="left"/>
              <w:rPr>
                <w:rFonts w:ascii="Calibri"/>
                <w:sz w:val="18"/>
              </w:rPr>
            </w:pPr>
          </w:p>
          <w:p w14:paraId="3925FA3A" w14:textId="77777777" w:rsidR="002C6574" w:rsidRDefault="00000000">
            <w:pPr>
              <w:pStyle w:val="TableParagraph"/>
              <w:ind w:right="41"/>
              <w:jc w:val="center"/>
              <w:rPr>
                <w:rFonts w:ascii="Calibri"/>
                <w:sz w:val="18"/>
              </w:rPr>
            </w:pPr>
            <w:r>
              <w:rPr>
                <w:rFonts w:ascii="Calibri"/>
                <w:color w:val="001F5F"/>
                <w:spacing w:val="-2"/>
                <w:sz w:val="18"/>
              </w:rPr>
              <w:t>28/06/2018</w:t>
            </w:r>
          </w:p>
        </w:tc>
        <w:tc>
          <w:tcPr>
            <w:tcW w:w="4254" w:type="dxa"/>
          </w:tcPr>
          <w:p w14:paraId="00FD55A5" w14:textId="77777777" w:rsidR="002C6574" w:rsidRDefault="002C6574">
            <w:pPr>
              <w:pStyle w:val="TableParagraph"/>
              <w:spacing w:before="19"/>
              <w:jc w:val="left"/>
              <w:rPr>
                <w:rFonts w:ascii="Calibri"/>
                <w:sz w:val="18"/>
              </w:rPr>
            </w:pPr>
          </w:p>
          <w:p w14:paraId="11CB54DD" w14:textId="77777777" w:rsidR="002C6574" w:rsidRDefault="00000000">
            <w:pPr>
              <w:pStyle w:val="TableParagraph"/>
              <w:spacing w:line="278" w:lineRule="auto"/>
              <w:ind w:left="107"/>
              <w:jc w:val="left"/>
              <w:rPr>
                <w:rFonts w:ascii="Calibri" w:hAnsi="Calibri"/>
                <w:sz w:val="18"/>
              </w:rPr>
            </w:pPr>
            <w:r>
              <w:rPr>
                <w:rFonts w:ascii="Calibri" w:hAnsi="Calibri"/>
                <w:color w:val="001F5F"/>
                <w:sz w:val="18"/>
              </w:rPr>
              <w:t>Eleição</w:t>
            </w:r>
            <w:r>
              <w:rPr>
                <w:rFonts w:ascii="Calibri" w:hAnsi="Calibri"/>
                <w:color w:val="001F5F"/>
                <w:spacing w:val="40"/>
                <w:sz w:val="18"/>
              </w:rPr>
              <w:t xml:space="preserve"> </w:t>
            </w:r>
            <w:r>
              <w:rPr>
                <w:rFonts w:ascii="Calibri" w:hAnsi="Calibri"/>
                <w:color w:val="001F5F"/>
                <w:sz w:val="18"/>
              </w:rPr>
              <w:t>de</w:t>
            </w:r>
            <w:r>
              <w:rPr>
                <w:rFonts w:ascii="Calibri" w:hAnsi="Calibri"/>
                <w:color w:val="001F5F"/>
                <w:spacing w:val="40"/>
                <w:sz w:val="18"/>
              </w:rPr>
              <w:t xml:space="preserve"> </w:t>
            </w:r>
            <w:r>
              <w:rPr>
                <w:rFonts w:ascii="Calibri" w:hAnsi="Calibri"/>
                <w:color w:val="001F5F"/>
                <w:sz w:val="18"/>
              </w:rPr>
              <w:t>Candidatos</w:t>
            </w:r>
            <w:r>
              <w:rPr>
                <w:rFonts w:ascii="Calibri" w:hAnsi="Calibri"/>
                <w:color w:val="001F5F"/>
                <w:spacing w:val="40"/>
                <w:sz w:val="18"/>
              </w:rPr>
              <w:t xml:space="preserve"> </w:t>
            </w:r>
            <w:r>
              <w:rPr>
                <w:rFonts w:ascii="Calibri" w:hAnsi="Calibri"/>
                <w:color w:val="001F5F"/>
                <w:sz w:val="18"/>
              </w:rPr>
              <w:t>para</w:t>
            </w:r>
            <w:r>
              <w:rPr>
                <w:rFonts w:ascii="Calibri" w:hAnsi="Calibri"/>
                <w:color w:val="001F5F"/>
                <w:spacing w:val="40"/>
                <w:sz w:val="18"/>
              </w:rPr>
              <w:t xml:space="preserve"> </w:t>
            </w:r>
            <w:r>
              <w:rPr>
                <w:rFonts w:ascii="Calibri" w:hAnsi="Calibri"/>
                <w:color w:val="001F5F"/>
                <w:sz w:val="18"/>
              </w:rPr>
              <w:t>Comitê</w:t>
            </w:r>
            <w:r>
              <w:rPr>
                <w:rFonts w:ascii="Calibri" w:hAnsi="Calibri"/>
                <w:color w:val="001F5F"/>
                <w:spacing w:val="40"/>
                <w:sz w:val="18"/>
              </w:rPr>
              <w:t xml:space="preserve"> </w:t>
            </w:r>
            <w:r>
              <w:rPr>
                <w:rFonts w:ascii="Calibri" w:hAnsi="Calibri"/>
                <w:color w:val="001F5F"/>
                <w:sz w:val="18"/>
              </w:rPr>
              <w:t>de</w:t>
            </w:r>
            <w:r>
              <w:rPr>
                <w:rFonts w:ascii="Calibri" w:hAnsi="Calibri"/>
                <w:color w:val="001F5F"/>
                <w:spacing w:val="40"/>
                <w:sz w:val="18"/>
              </w:rPr>
              <w:t xml:space="preserve"> </w:t>
            </w:r>
            <w:r>
              <w:rPr>
                <w:rFonts w:ascii="Calibri" w:hAnsi="Calibri"/>
                <w:color w:val="001F5F"/>
                <w:sz w:val="18"/>
              </w:rPr>
              <w:t>Auditoria</w:t>
            </w:r>
            <w:r>
              <w:rPr>
                <w:rFonts w:ascii="Calibri" w:hAnsi="Calibri"/>
                <w:color w:val="001F5F"/>
                <w:spacing w:val="40"/>
                <w:sz w:val="18"/>
              </w:rPr>
              <w:t xml:space="preserve"> </w:t>
            </w:r>
            <w:r>
              <w:rPr>
                <w:rFonts w:ascii="Calibri" w:hAnsi="Calibri"/>
                <w:color w:val="001F5F"/>
                <w:sz w:val="18"/>
              </w:rPr>
              <w:t xml:space="preserve">da </w:t>
            </w:r>
            <w:r>
              <w:rPr>
                <w:rFonts w:ascii="Calibri" w:hAnsi="Calibri"/>
                <w:color w:val="001F5F"/>
                <w:spacing w:val="-2"/>
                <w:sz w:val="18"/>
              </w:rPr>
              <w:t>Telebras.</w:t>
            </w:r>
          </w:p>
        </w:tc>
      </w:tr>
      <w:tr w:rsidR="002C6574" w14:paraId="019DE97F" w14:textId="77777777">
        <w:trPr>
          <w:trHeight w:val="866"/>
        </w:trPr>
        <w:tc>
          <w:tcPr>
            <w:tcW w:w="3262" w:type="dxa"/>
          </w:tcPr>
          <w:p w14:paraId="0BD6BBFD" w14:textId="77777777" w:rsidR="002C6574" w:rsidRDefault="002C6574">
            <w:pPr>
              <w:pStyle w:val="TableParagraph"/>
              <w:spacing w:before="19"/>
              <w:jc w:val="left"/>
              <w:rPr>
                <w:rFonts w:ascii="Calibri"/>
                <w:sz w:val="18"/>
              </w:rPr>
            </w:pPr>
          </w:p>
          <w:p w14:paraId="47F68950" w14:textId="77777777" w:rsidR="002C6574" w:rsidRDefault="00000000">
            <w:pPr>
              <w:pStyle w:val="TableParagraph"/>
              <w:spacing w:line="276" w:lineRule="auto"/>
              <w:ind w:left="107"/>
              <w:jc w:val="left"/>
              <w:rPr>
                <w:rFonts w:ascii="Calibri" w:hAnsi="Calibri"/>
                <w:sz w:val="18"/>
              </w:rPr>
            </w:pPr>
            <w:r>
              <w:rPr>
                <w:rFonts w:ascii="Calibri" w:hAnsi="Calibri"/>
                <w:color w:val="001F5F"/>
                <w:sz w:val="18"/>
              </w:rPr>
              <w:t>469ª</w:t>
            </w:r>
            <w:r>
              <w:rPr>
                <w:rFonts w:ascii="Calibri" w:hAnsi="Calibri"/>
                <w:color w:val="001F5F"/>
                <w:spacing w:val="22"/>
                <w:sz w:val="18"/>
              </w:rPr>
              <w:t xml:space="preserve"> </w:t>
            </w:r>
            <w:r>
              <w:rPr>
                <w:rFonts w:ascii="Calibri" w:hAnsi="Calibri"/>
                <w:color w:val="001F5F"/>
                <w:sz w:val="18"/>
              </w:rPr>
              <w:t>Reunião</w:t>
            </w:r>
            <w:r>
              <w:rPr>
                <w:rFonts w:ascii="Calibri" w:hAnsi="Calibri"/>
                <w:color w:val="001F5F"/>
                <w:spacing w:val="23"/>
                <w:sz w:val="18"/>
              </w:rPr>
              <w:t xml:space="preserve"> </w:t>
            </w:r>
            <w:r>
              <w:rPr>
                <w:rFonts w:ascii="Calibri" w:hAnsi="Calibri"/>
                <w:color w:val="001F5F"/>
                <w:sz w:val="18"/>
              </w:rPr>
              <w:t>Ordinária</w:t>
            </w:r>
            <w:r>
              <w:rPr>
                <w:rFonts w:ascii="Calibri" w:hAnsi="Calibri"/>
                <w:color w:val="001F5F"/>
                <w:spacing w:val="24"/>
                <w:sz w:val="18"/>
              </w:rPr>
              <w:t xml:space="preserve"> </w:t>
            </w:r>
            <w:r>
              <w:rPr>
                <w:rFonts w:ascii="Calibri" w:hAnsi="Calibri"/>
                <w:color w:val="001F5F"/>
                <w:sz w:val="18"/>
              </w:rPr>
              <w:t>do</w:t>
            </w:r>
            <w:r>
              <w:rPr>
                <w:rFonts w:ascii="Calibri" w:hAnsi="Calibri"/>
                <w:color w:val="001F5F"/>
                <w:spacing w:val="23"/>
                <w:sz w:val="18"/>
              </w:rPr>
              <w:t xml:space="preserve"> </w:t>
            </w:r>
            <w:r>
              <w:rPr>
                <w:rFonts w:ascii="Calibri" w:hAnsi="Calibri"/>
                <w:color w:val="001F5F"/>
                <w:sz w:val="18"/>
              </w:rPr>
              <w:t>Conselho</w:t>
            </w:r>
            <w:r>
              <w:rPr>
                <w:rFonts w:ascii="Calibri" w:hAnsi="Calibri"/>
                <w:color w:val="001F5F"/>
                <w:spacing w:val="23"/>
                <w:sz w:val="18"/>
              </w:rPr>
              <w:t xml:space="preserve"> </w:t>
            </w:r>
            <w:r>
              <w:rPr>
                <w:rFonts w:ascii="Calibri" w:hAnsi="Calibri"/>
                <w:color w:val="001F5F"/>
                <w:sz w:val="18"/>
              </w:rPr>
              <w:t xml:space="preserve">de </w:t>
            </w:r>
            <w:r>
              <w:rPr>
                <w:rFonts w:ascii="Calibri" w:hAnsi="Calibri"/>
                <w:color w:val="001F5F"/>
                <w:spacing w:val="-2"/>
                <w:sz w:val="18"/>
              </w:rPr>
              <w:t>Administração</w:t>
            </w:r>
          </w:p>
        </w:tc>
        <w:tc>
          <w:tcPr>
            <w:tcW w:w="1133" w:type="dxa"/>
          </w:tcPr>
          <w:p w14:paraId="57FEA8F0" w14:textId="77777777" w:rsidR="002C6574" w:rsidRDefault="002C6574">
            <w:pPr>
              <w:pStyle w:val="TableParagraph"/>
              <w:spacing w:before="19"/>
              <w:jc w:val="left"/>
              <w:rPr>
                <w:rFonts w:ascii="Calibri"/>
                <w:sz w:val="18"/>
              </w:rPr>
            </w:pPr>
          </w:p>
          <w:p w14:paraId="5FA3E816" w14:textId="77777777" w:rsidR="002C6574" w:rsidRDefault="00000000">
            <w:pPr>
              <w:pStyle w:val="TableParagraph"/>
              <w:ind w:right="41"/>
              <w:jc w:val="center"/>
              <w:rPr>
                <w:rFonts w:ascii="Calibri"/>
                <w:sz w:val="18"/>
              </w:rPr>
            </w:pPr>
            <w:r>
              <w:rPr>
                <w:rFonts w:ascii="Calibri"/>
                <w:color w:val="001F5F"/>
                <w:spacing w:val="-2"/>
                <w:sz w:val="18"/>
              </w:rPr>
              <w:t>27/04/2021</w:t>
            </w:r>
          </w:p>
        </w:tc>
        <w:tc>
          <w:tcPr>
            <w:tcW w:w="4254" w:type="dxa"/>
          </w:tcPr>
          <w:p w14:paraId="2E0B7939" w14:textId="77777777" w:rsidR="002C6574" w:rsidRDefault="002C6574">
            <w:pPr>
              <w:pStyle w:val="TableParagraph"/>
              <w:spacing w:before="19"/>
              <w:jc w:val="left"/>
              <w:rPr>
                <w:rFonts w:ascii="Calibri"/>
                <w:sz w:val="18"/>
              </w:rPr>
            </w:pPr>
          </w:p>
          <w:p w14:paraId="09364266" w14:textId="77777777" w:rsidR="002C6574" w:rsidRDefault="00000000">
            <w:pPr>
              <w:pStyle w:val="TableParagraph"/>
              <w:spacing w:line="276" w:lineRule="auto"/>
              <w:ind w:left="107"/>
              <w:jc w:val="left"/>
              <w:rPr>
                <w:rFonts w:ascii="Calibri" w:hAnsi="Calibri"/>
                <w:sz w:val="18"/>
              </w:rPr>
            </w:pPr>
            <w:r>
              <w:rPr>
                <w:rFonts w:ascii="Calibri" w:hAnsi="Calibri"/>
                <w:color w:val="001F5F"/>
                <w:sz w:val="18"/>
              </w:rPr>
              <w:t>Aprovação</w:t>
            </w:r>
            <w:r>
              <w:rPr>
                <w:rFonts w:ascii="Calibri" w:hAnsi="Calibri"/>
                <w:color w:val="001F5F"/>
                <w:spacing w:val="-10"/>
                <w:sz w:val="18"/>
              </w:rPr>
              <w:t xml:space="preserve"> </w:t>
            </w:r>
            <w:r>
              <w:rPr>
                <w:rFonts w:ascii="Calibri" w:hAnsi="Calibri"/>
                <w:color w:val="001F5F"/>
                <w:sz w:val="18"/>
              </w:rPr>
              <w:t>da</w:t>
            </w:r>
            <w:r>
              <w:rPr>
                <w:rFonts w:ascii="Calibri" w:hAnsi="Calibri"/>
                <w:color w:val="001F5F"/>
                <w:spacing w:val="-11"/>
                <w:sz w:val="18"/>
              </w:rPr>
              <w:t xml:space="preserve"> </w:t>
            </w:r>
            <w:r>
              <w:rPr>
                <w:rFonts w:ascii="Calibri" w:hAnsi="Calibri"/>
                <w:color w:val="001F5F"/>
                <w:sz w:val="18"/>
              </w:rPr>
              <w:t>segunda</w:t>
            </w:r>
            <w:r>
              <w:rPr>
                <w:rFonts w:ascii="Calibri" w:hAnsi="Calibri"/>
                <w:color w:val="001F5F"/>
                <w:spacing w:val="-10"/>
                <w:sz w:val="18"/>
              </w:rPr>
              <w:t xml:space="preserve"> </w:t>
            </w:r>
            <w:r>
              <w:rPr>
                <w:rFonts w:ascii="Calibri" w:hAnsi="Calibri"/>
                <w:color w:val="001F5F"/>
                <w:sz w:val="18"/>
              </w:rPr>
              <w:t>versão</w:t>
            </w:r>
            <w:r>
              <w:rPr>
                <w:rFonts w:ascii="Calibri" w:hAnsi="Calibri"/>
                <w:color w:val="001F5F"/>
                <w:spacing w:val="-9"/>
                <w:sz w:val="18"/>
              </w:rPr>
              <w:t xml:space="preserve"> </w:t>
            </w:r>
            <w:r>
              <w:rPr>
                <w:rFonts w:ascii="Calibri" w:hAnsi="Calibri"/>
                <w:color w:val="001F5F"/>
                <w:sz w:val="18"/>
              </w:rPr>
              <w:t>do</w:t>
            </w:r>
            <w:r>
              <w:rPr>
                <w:rFonts w:ascii="Calibri" w:hAnsi="Calibri"/>
                <w:color w:val="001F5F"/>
                <w:spacing w:val="-8"/>
                <w:sz w:val="18"/>
              </w:rPr>
              <w:t xml:space="preserve"> </w:t>
            </w:r>
            <w:r>
              <w:rPr>
                <w:rFonts w:ascii="Calibri" w:hAnsi="Calibri"/>
                <w:color w:val="001F5F"/>
                <w:sz w:val="18"/>
              </w:rPr>
              <w:t>Regimento</w:t>
            </w:r>
            <w:r>
              <w:rPr>
                <w:rFonts w:ascii="Calibri" w:hAnsi="Calibri"/>
                <w:color w:val="001F5F"/>
                <w:spacing w:val="-11"/>
                <w:sz w:val="18"/>
              </w:rPr>
              <w:t xml:space="preserve"> </w:t>
            </w:r>
            <w:r>
              <w:rPr>
                <w:rFonts w:ascii="Calibri" w:hAnsi="Calibri"/>
                <w:color w:val="001F5F"/>
                <w:sz w:val="18"/>
              </w:rPr>
              <w:t>Interno</w:t>
            </w:r>
            <w:r>
              <w:rPr>
                <w:rFonts w:ascii="Calibri" w:hAnsi="Calibri"/>
                <w:color w:val="001F5F"/>
                <w:spacing w:val="-9"/>
                <w:sz w:val="18"/>
              </w:rPr>
              <w:t xml:space="preserve"> </w:t>
            </w:r>
            <w:r>
              <w:rPr>
                <w:rFonts w:ascii="Calibri" w:hAnsi="Calibri"/>
                <w:color w:val="001F5F"/>
                <w:sz w:val="18"/>
              </w:rPr>
              <w:t>do Comitê de Auditoria da Telebras.</w:t>
            </w:r>
          </w:p>
        </w:tc>
      </w:tr>
      <w:tr w:rsidR="002C6574" w14:paraId="7A1CD0FA" w14:textId="77777777">
        <w:trPr>
          <w:trHeight w:val="866"/>
        </w:trPr>
        <w:tc>
          <w:tcPr>
            <w:tcW w:w="3262" w:type="dxa"/>
          </w:tcPr>
          <w:p w14:paraId="22136795" w14:textId="77777777" w:rsidR="002C6574" w:rsidRDefault="002C6574">
            <w:pPr>
              <w:pStyle w:val="TableParagraph"/>
              <w:spacing w:before="19"/>
              <w:jc w:val="left"/>
              <w:rPr>
                <w:rFonts w:ascii="Calibri"/>
                <w:sz w:val="18"/>
              </w:rPr>
            </w:pPr>
          </w:p>
          <w:p w14:paraId="5D798CAE" w14:textId="77777777" w:rsidR="002C6574" w:rsidRDefault="00000000">
            <w:pPr>
              <w:pStyle w:val="TableParagraph"/>
              <w:ind w:left="4"/>
              <w:jc w:val="center"/>
              <w:rPr>
                <w:rFonts w:ascii="Calibri"/>
                <w:sz w:val="18"/>
              </w:rPr>
            </w:pPr>
            <w:r>
              <w:rPr>
                <w:rFonts w:ascii="Calibri"/>
                <w:color w:val="001F5F"/>
                <w:spacing w:val="-10"/>
                <w:sz w:val="18"/>
              </w:rPr>
              <w:t>-</w:t>
            </w:r>
          </w:p>
        </w:tc>
        <w:tc>
          <w:tcPr>
            <w:tcW w:w="1133" w:type="dxa"/>
          </w:tcPr>
          <w:p w14:paraId="1B16D47B" w14:textId="77777777" w:rsidR="002C6574" w:rsidRDefault="002C6574">
            <w:pPr>
              <w:pStyle w:val="TableParagraph"/>
              <w:spacing w:before="19"/>
              <w:jc w:val="left"/>
              <w:rPr>
                <w:rFonts w:ascii="Calibri"/>
                <w:sz w:val="18"/>
              </w:rPr>
            </w:pPr>
          </w:p>
          <w:p w14:paraId="55E225A2" w14:textId="77777777" w:rsidR="002C6574" w:rsidRDefault="00000000">
            <w:pPr>
              <w:pStyle w:val="TableParagraph"/>
              <w:ind w:right="41"/>
              <w:jc w:val="center"/>
              <w:rPr>
                <w:rFonts w:ascii="Calibri"/>
                <w:sz w:val="18"/>
              </w:rPr>
            </w:pPr>
            <w:r>
              <w:rPr>
                <w:rFonts w:ascii="Calibri"/>
                <w:color w:val="001F5F"/>
                <w:spacing w:val="-2"/>
                <w:sz w:val="18"/>
              </w:rPr>
              <w:t>30/06/2021</w:t>
            </w:r>
          </w:p>
        </w:tc>
        <w:tc>
          <w:tcPr>
            <w:tcW w:w="4254" w:type="dxa"/>
          </w:tcPr>
          <w:p w14:paraId="5FCAA578" w14:textId="77777777" w:rsidR="002C6574" w:rsidRDefault="002C6574">
            <w:pPr>
              <w:pStyle w:val="TableParagraph"/>
              <w:spacing w:before="19"/>
              <w:jc w:val="left"/>
              <w:rPr>
                <w:rFonts w:ascii="Calibri"/>
                <w:sz w:val="18"/>
              </w:rPr>
            </w:pPr>
          </w:p>
          <w:p w14:paraId="7C3AE2D4" w14:textId="77777777" w:rsidR="002C6574" w:rsidRDefault="00000000">
            <w:pPr>
              <w:pStyle w:val="TableParagraph"/>
              <w:spacing w:line="276" w:lineRule="auto"/>
              <w:ind w:left="107"/>
              <w:jc w:val="left"/>
              <w:rPr>
                <w:rFonts w:ascii="Calibri" w:hAnsi="Calibri"/>
                <w:sz w:val="18"/>
              </w:rPr>
            </w:pPr>
            <w:r>
              <w:rPr>
                <w:rFonts w:ascii="Calibri" w:hAnsi="Calibri"/>
                <w:color w:val="001F5F"/>
                <w:sz w:val="18"/>
              </w:rPr>
              <w:t>Início</w:t>
            </w:r>
            <w:r>
              <w:rPr>
                <w:rFonts w:ascii="Calibri" w:hAnsi="Calibri"/>
                <w:color w:val="001F5F"/>
                <w:spacing w:val="39"/>
                <w:sz w:val="18"/>
              </w:rPr>
              <w:t xml:space="preserve"> </w:t>
            </w:r>
            <w:r>
              <w:rPr>
                <w:rFonts w:ascii="Calibri" w:hAnsi="Calibri"/>
                <w:color w:val="001F5F"/>
                <w:sz w:val="18"/>
              </w:rPr>
              <w:t>da</w:t>
            </w:r>
            <w:r>
              <w:rPr>
                <w:rFonts w:ascii="Calibri" w:hAnsi="Calibri"/>
                <w:color w:val="001F5F"/>
                <w:spacing w:val="39"/>
                <w:sz w:val="18"/>
              </w:rPr>
              <w:t xml:space="preserve"> </w:t>
            </w:r>
            <w:r>
              <w:rPr>
                <w:rFonts w:ascii="Calibri" w:hAnsi="Calibri"/>
                <w:color w:val="001F5F"/>
                <w:sz w:val="18"/>
              </w:rPr>
              <w:t>vigência</w:t>
            </w:r>
            <w:r>
              <w:rPr>
                <w:rFonts w:ascii="Calibri" w:hAnsi="Calibri"/>
                <w:color w:val="001F5F"/>
                <w:spacing w:val="39"/>
                <w:sz w:val="18"/>
              </w:rPr>
              <w:t xml:space="preserve"> </w:t>
            </w:r>
            <w:r>
              <w:rPr>
                <w:rFonts w:ascii="Calibri" w:hAnsi="Calibri"/>
                <w:color w:val="001F5F"/>
                <w:sz w:val="18"/>
              </w:rPr>
              <w:t>da</w:t>
            </w:r>
            <w:r>
              <w:rPr>
                <w:rFonts w:ascii="Calibri" w:hAnsi="Calibri"/>
                <w:color w:val="001F5F"/>
                <w:spacing w:val="39"/>
                <w:sz w:val="18"/>
              </w:rPr>
              <w:t xml:space="preserve"> </w:t>
            </w:r>
            <w:r>
              <w:rPr>
                <w:rFonts w:ascii="Calibri" w:hAnsi="Calibri"/>
                <w:color w:val="001F5F"/>
                <w:sz w:val="18"/>
              </w:rPr>
              <w:t>segunda</w:t>
            </w:r>
            <w:r>
              <w:rPr>
                <w:rFonts w:ascii="Calibri" w:hAnsi="Calibri"/>
                <w:color w:val="001F5F"/>
                <w:spacing w:val="40"/>
                <w:sz w:val="18"/>
              </w:rPr>
              <w:t xml:space="preserve"> </w:t>
            </w:r>
            <w:r>
              <w:rPr>
                <w:rFonts w:ascii="Calibri" w:hAnsi="Calibri"/>
                <w:color w:val="001F5F"/>
                <w:sz w:val="18"/>
              </w:rPr>
              <w:t>versão</w:t>
            </w:r>
            <w:r>
              <w:rPr>
                <w:rFonts w:ascii="Calibri" w:hAnsi="Calibri"/>
                <w:color w:val="001F5F"/>
                <w:spacing w:val="39"/>
                <w:sz w:val="18"/>
              </w:rPr>
              <w:t xml:space="preserve"> </w:t>
            </w:r>
            <w:r>
              <w:rPr>
                <w:rFonts w:ascii="Calibri" w:hAnsi="Calibri"/>
                <w:color w:val="001F5F"/>
                <w:sz w:val="18"/>
              </w:rPr>
              <w:t>do</w:t>
            </w:r>
            <w:r>
              <w:rPr>
                <w:rFonts w:ascii="Calibri" w:hAnsi="Calibri"/>
                <w:color w:val="001F5F"/>
                <w:spacing w:val="39"/>
                <w:sz w:val="18"/>
              </w:rPr>
              <w:t xml:space="preserve"> </w:t>
            </w:r>
            <w:r>
              <w:rPr>
                <w:rFonts w:ascii="Calibri" w:hAnsi="Calibri"/>
                <w:color w:val="001F5F"/>
                <w:sz w:val="18"/>
              </w:rPr>
              <w:t>Regimento Interno do Comitê de Auditoria Estatutário</w:t>
            </w:r>
          </w:p>
        </w:tc>
      </w:tr>
      <w:tr w:rsidR="002C6574" w14:paraId="690970AB" w14:textId="77777777">
        <w:trPr>
          <w:trHeight w:val="863"/>
        </w:trPr>
        <w:tc>
          <w:tcPr>
            <w:tcW w:w="3262" w:type="dxa"/>
          </w:tcPr>
          <w:p w14:paraId="3E8A11AA" w14:textId="77777777" w:rsidR="002C6574" w:rsidRDefault="002C6574">
            <w:pPr>
              <w:pStyle w:val="TableParagraph"/>
              <w:spacing w:before="19"/>
              <w:jc w:val="left"/>
              <w:rPr>
                <w:rFonts w:ascii="Calibri"/>
                <w:sz w:val="18"/>
              </w:rPr>
            </w:pPr>
          </w:p>
          <w:p w14:paraId="51D47090" w14:textId="77777777" w:rsidR="002C6574" w:rsidRDefault="00000000">
            <w:pPr>
              <w:pStyle w:val="TableParagraph"/>
              <w:spacing w:line="276" w:lineRule="auto"/>
              <w:ind w:left="107"/>
              <w:jc w:val="left"/>
              <w:rPr>
                <w:rFonts w:ascii="Calibri" w:hAnsi="Calibri"/>
                <w:sz w:val="18"/>
              </w:rPr>
            </w:pPr>
            <w:r>
              <w:rPr>
                <w:rFonts w:ascii="Calibri" w:hAnsi="Calibri"/>
                <w:color w:val="001F5F"/>
                <w:sz w:val="18"/>
              </w:rPr>
              <w:t>497ª</w:t>
            </w:r>
            <w:r>
              <w:rPr>
                <w:rFonts w:ascii="Calibri" w:hAnsi="Calibri"/>
                <w:color w:val="001F5F"/>
                <w:spacing w:val="22"/>
                <w:sz w:val="18"/>
              </w:rPr>
              <w:t xml:space="preserve"> </w:t>
            </w:r>
            <w:r>
              <w:rPr>
                <w:rFonts w:ascii="Calibri" w:hAnsi="Calibri"/>
                <w:color w:val="001F5F"/>
                <w:sz w:val="18"/>
              </w:rPr>
              <w:t>Reunião</w:t>
            </w:r>
            <w:r>
              <w:rPr>
                <w:rFonts w:ascii="Calibri" w:hAnsi="Calibri"/>
                <w:color w:val="001F5F"/>
                <w:spacing w:val="23"/>
                <w:sz w:val="18"/>
              </w:rPr>
              <w:t xml:space="preserve"> </w:t>
            </w:r>
            <w:r>
              <w:rPr>
                <w:rFonts w:ascii="Calibri" w:hAnsi="Calibri"/>
                <w:color w:val="001F5F"/>
                <w:sz w:val="18"/>
              </w:rPr>
              <w:t>Ordinária</w:t>
            </w:r>
            <w:r>
              <w:rPr>
                <w:rFonts w:ascii="Calibri" w:hAnsi="Calibri"/>
                <w:color w:val="001F5F"/>
                <w:spacing w:val="22"/>
                <w:sz w:val="18"/>
              </w:rPr>
              <w:t xml:space="preserve"> </w:t>
            </w:r>
            <w:r>
              <w:rPr>
                <w:rFonts w:ascii="Calibri" w:hAnsi="Calibri"/>
                <w:color w:val="001F5F"/>
                <w:sz w:val="18"/>
              </w:rPr>
              <w:t>do</w:t>
            </w:r>
            <w:r>
              <w:rPr>
                <w:rFonts w:ascii="Calibri" w:hAnsi="Calibri"/>
                <w:color w:val="001F5F"/>
                <w:spacing w:val="23"/>
                <w:sz w:val="18"/>
              </w:rPr>
              <w:t xml:space="preserve"> </w:t>
            </w:r>
            <w:r>
              <w:rPr>
                <w:rFonts w:ascii="Calibri" w:hAnsi="Calibri"/>
                <w:color w:val="001F5F"/>
                <w:sz w:val="18"/>
              </w:rPr>
              <w:t>Conselho</w:t>
            </w:r>
            <w:r>
              <w:rPr>
                <w:rFonts w:ascii="Calibri" w:hAnsi="Calibri"/>
                <w:color w:val="001F5F"/>
                <w:spacing w:val="23"/>
                <w:sz w:val="18"/>
              </w:rPr>
              <w:t xml:space="preserve"> </w:t>
            </w:r>
            <w:r>
              <w:rPr>
                <w:rFonts w:ascii="Calibri" w:hAnsi="Calibri"/>
                <w:color w:val="001F5F"/>
                <w:sz w:val="18"/>
              </w:rPr>
              <w:t xml:space="preserve">de </w:t>
            </w:r>
            <w:r>
              <w:rPr>
                <w:rFonts w:ascii="Calibri" w:hAnsi="Calibri"/>
                <w:color w:val="001F5F"/>
                <w:spacing w:val="-2"/>
                <w:sz w:val="18"/>
              </w:rPr>
              <w:t>Administração</w:t>
            </w:r>
          </w:p>
        </w:tc>
        <w:tc>
          <w:tcPr>
            <w:tcW w:w="1133" w:type="dxa"/>
          </w:tcPr>
          <w:p w14:paraId="5DEF1AEE" w14:textId="77777777" w:rsidR="002C6574" w:rsidRDefault="002C6574">
            <w:pPr>
              <w:pStyle w:val="TableParagraph"/>
              <w:spacing w:before="19"/>
              <w:jc w:val="left"/>
              <w:rPr>
                <w:rFonts w:ascii="Calibri"/>
                <w:sz w:val="18"/>
              </w:rPr>
            </w:pPr>
          </w:p>
          <w:p w14:paraId="38E8F567" w14:textId="77777777" w:rsidR="002C6574" w:rsidRDefault="00000000">
            <w:pPr>
              <w:pStyle w:val="TableParagraph"/>
              <w:ind w:right="41"/>
              <w:jc w:val="center"/>
              <w:rPr>
                <w:rFonts w:ascii="Calibri"/>
                <w:sz w:val="18"/>
              </w:rPr>
            </w:pPr>
            <w:r>
              <w:rPr>
                <w:rFonts w:ascii="Calibri"/>
                <w:color w:val="001F5F"/>
                <w:spacing w:val="-2"/>
                <w:sz w:val="18"/>
              </w:rPr>
              <w:t>29/08/2023</w:t>
            </w:r>
          </w:p>
        </w:tc>
        <w:tc>
          <w:tcPr>
            <w:tcW w:w="4254" w:type="dxa"/>
          </w:tcPr>
          <w:p w14:paraId="5C1B3B32" w14:textId="77777777" w:rsidR="002C6574" w:rsidRDefault="002C6574">
            <w:pPr>
              <w:pStyle w:val="TableParagraph"/>
              <w:spacing w:before="19"/>
              <w:jc w:val="left"/>
              <w:rPr>
                <w:rFonts w:ascii="Calibri"/>
                <w:sz w:val="18"/>
              </w:rPr>
            </w:pPr>
          </w:p>
          <w:p w14:paraId="1BBAD1A5" w14:textId="77777777" w:rsidR="002C6574" w:rsidRDefault="00000000">
            <w:pPr>
              <w:pStyle w:val="TableParagraph"/>
              <w:spacing w:line="276" w:lineRule="auto"/>
              <w:ind w:left="107"/>
              <w:jc w:val="left"/>
              <w:rPr>
                <w:rFonts w:ascii="Calibri" w:hAnsi="Calibri"/>
                <w:sz w:val="18"/>
              </w:rPr>
            </w:pPr>
            <w:r>
              <w:rPr>
                <w:rFonts w:ascii="Calibri" w:hAnsi="Calibri"/>
                <w:color w:val="001F5F"/>
                <w:sz w:val="18"/>
              </w:rPr>
              <w:t>Aprovação e vigência da terceira versão do Regimento Interno do Comitê de Auditoria da Telebras.</w:t>
            </w:r>
          </w:p>
        </w:tc>
      </w:tr>
    </w:tbl>
    <w:p w14:paraId="2A344623" w14:textId="77777777" w:rsidR="002C6574" w:rsidRDefault="00000000">
      <w:pPr>
        <w:spacing w:before="3" w:line="219" w:lineRule="exact"/>
        <w:ind w:left="1277"/>
        <w:rPr>
          <w:rFonts w:ascii="Calibri" w:hAnsi="Calibri"/>
          <w:b/>
          <w:sz w:val="18"/>
        </w:rPr>
      </w:pPr>
      <w:r>
        <w:rPr>
          <w:rFonts w:ascii="Calibri" w:hAnsi="Calibri"/>
          <w:b/>
          <w:color w:val="001F5F"/>
          <w:sz w:val="18"/>
        </w:rPr>
        <w:t>Regimento</w:t>
      </w:r>
      <w:r>
        <w:rPr>
          <w:rFonts w:ascii="Calibri" w:hAnsi="Calibri"/>
          <w:b/>
          <w:color w:val="001F5F"/>
          <w:spacing w:val="-4"/>
          <w:sz w:val="18"/>
        </w:rPr>
        <w:t xml:space="preserve"> </w:t>
      </w:r>
      <w:r>
        <w:rPr>
          <w:rFonts w:ascii="Calibri" w:hAnsi="Calibri"/>
          <w:b/>
          <w:color w:val="001F5F"/>
          <w:sz w:val="18"/>
        </w:rPr>
        <w:t>Interno</w:t>
      </w:r>
      <w:r>
        <w:rPr>
          <w:rFonts w:ascii="Calibri" w:hAnsi="Calibri"/>
          <w:b/>
          <w:color w:val="001F5F"/>
          <w:spacing w:val="-3"/>
          <w:sz w:val="18"/>
        </w:rPr>
        <w:t xml:space="preserve"> </w:t>
      </w:r>
      <w:r>
        <w:rPr>
          <w:rFonts w:ascii="Calibri" w:hAnsi="Calibri"/>
          <w:b/>
          <w:color w:val="001F5F"/>
          <w:sz w:val="18"/>
        </w:rPr>
        <w:t>do</w:t>
      </w:r>
      <w:r>
        <w:rPr>
          <w:rFonts w:ascii="Calibri" w:hAnsi="Calibri"/>
          <w:b/>
          <w:color w:val="001F5F"/>
          <w:spacing w:val="-4"/>
          <w:sz w:val="18"/>
        </w:rPr>
        <w:t xml:space="preserve"> </w:t>
      </w:r>
      <w:r>
        <w:rPr>
          <w:rFonts w:ascii="Calibri" w:hAnsi="Calibri"/>
          <w:b/>
          <w:color w:val="001F5F"/>
          <w:sz w:val="18"/>
        </w:rPr>
        <w:t>COAUD</w:t>
      </w:r>
      <w:r>
        <w:rPr>
          <w:rFonts w:ascii="Calibri" w:hAnsi="Calibri"/>
          <w:b/>
          <w:color w:val="001F5F"/>
          <w:spacing w:val="-3"/>
          <w:sz w:val="18"/>
        </w:rPr>
        <w:t xml:space="preserve"> </w:t>
      </w:r>
      <w:r>
        <w:rPr>
          <w:rFonts w:ascii="Calibri" w:hAnsi="Calibri"/>
          <w:b/>
          <w:color w:val="001F5F"/>
          <w:sz w:val="18"/>
        </w:rPr>
        <w:t>disponível</w:t>
      </w:r>
      <w:r>
        <w:rPr>
          <w:rFonts w:ascii="Calibri" w:hAnsi="Calibri"/>
          <w:b/>
          <w:color w:val="001F5F"/>
          <w:spacing w:val="-4"/>
          <w:sz w:val="18"/>
        </w:rPr>
        <w:t xml:space="preserve"> </w:t>
      </w:r>
      <w:r>
        <w:rPr>
          <w:rFonts w:ascii="Calibri" w:hAnsi="Calibri"/>
          <w:b/>
          <w:color w:val="001F5F"/>
          <w:spacing w:val="-5"/>
          <w:sz w:val="18"/>
        </w:rPr>
        <w:t>em:</w:t>
      </w:r>
    </w:p>
    <w:p w14:paraId="3273636A" w14:textId="77777777" w:rsidR="002C6574" w:rsidRDefault="00000000">
      <w:pPr>
        <w:ind w:left="1277" w:right="1179"/>
        <w:rPr>
          <w:rFonts w:ascii="Calibri"/>
          <w:b/>
          <w:i/>
          <w:sz w:val="16"/>
        </w:rPr>
      </w:pPr>
      <w:hyperlink r:id="rId125">
        <w:r>
          <w:rPr>
            <w:rFonts w:ascii="Calibri"/>
            <w:b/>
            <w:i/>
            <w:color w:val="0000FF"/>
            <w:spacing w:val="-2"/>
            <w:sz w:val="16"/>
            <w:u w:val="single" w:color="0000FF"/>
          </w:rPr>
          <w:t>https://www.telebras.com.br/wp-content/uploads/2024/01/Regimento_Interno_COAUD_aprovado_na_ROCA_497_29_08_2023-</w:t>
        </w:r>
      </w:hyperlink>
      <w:r>
        <w:rPr>
          <w:rFonts w:ascii="Calibri"/>
          <w:b/>
          <w:i/>
          <w:color w:val="0000FF"/>
          <w:spacing w:val="40"/>
          <w:sz w:val="16"/>
        </w:rPr>
        <w:t xml:space="preserve"> </w:t>
      </w:r>
      <w:hyperlink r:id="rId126">
        <w:r>
          <w:rPr>
            <w:rFonts w:ascii="Calibri"/>
            <w:b/>
            <w:i/>
            <w:color w:val="0000FF"/>
            <w:spacing w:val="-2"/>
            <w:sz w:val="16"/>
            <w:u w:val="single" w:color="0000FF"/>
          </w:rPr>
          <w:t>ASSINADO.pdf</w:t>
        </w:r>
      </w:hyperlink>
    </w:p>
    <w:p w14:paraId="0FB9A3EA" w14:textId="77777777" w:rsidR="002C6574" w:rsidRDefault="002C6574">
      <w:pPr>
        <w:rPr>
          <w:rFonts w:ascii="Calibri"/>
          <w:b/>
          <w:i/>
          <w:sz w:val="16"/>
        </w:rPr>
        <w:sectPr w:rsidR="002C6574">
          <w:pgSz w:w="12240" w:h="15840"/>
          <w:pgMar w:top="900" w:right="425" w:bottom="1220" w:left="425" w:header="674" w:footer="1036" w:gutter="0"/>
          <w:cols w:space="720"/>
        </w:sectPr>
      </w:pPr>
    </w:p>
    <w:p w14:paraId="5FD209A5" w14:textId="77777777" w:rsidR="002C6574" w:rsidRDefault="00000000">
      <w:pPr>
        <w:pStyle w:val="Ttulo4"/>
        <w:tabs>
          <w:tab w:val="left" w:pos="1708"/>
        </w:tabs>
      </w:pPr>
      <w:bookmarkStart w:id="1" w:name="_bookmark1"/>
      <w:bookmarkEnd w:id="1"/>
      <w:r>
        <w:rPr>
          <w:color w:val="001F5F"/>
          <w:spacing w:val="-10"/>
        </w:rPr>
        <w:lastRenderedPageBreak/>
        <w:t>2</w:t>
      </w:r>
      <w:r>
        <w:rPr>
          <w:color w:val="001F5F"/>
        </w:rPr>
        <w:tab/>
        <w:t>Finalidade</w:t>
      </w:r>
      <w:r>
        <w:rPr>
          <w:color w:val="001F5F"/>
          <w:spacing w:val="-4"/>
        </w:rPr>
        <w:t xml:space="preserve"> </w:t>
      </w:r>
      <w:r>
        <w:rPr>
          <w:color w:val="001F5F"/>
        </w:rPr>
        <w:t>do</w:t>
      </w:r>
      <w:r>
        <w:rPr>
          <w:color w:val="001F5F"/>
          <w:spacing w:val="-4"/>
        </w:rPr>
        <w:t xml:space="preserve"> </w:t>
      </w:r>
      <w:r>
        <w:rPr>
          <w:color w:val="001F5F"/>
        </w:rPr>
        <w:t>Comitê</w:t>
      </w:r>
      <w:r>
        <w:rPr>
          <w:color w:val="001F5F"/>
          <w:spacing w:val="-3"/>
        </w:rPr>
        <w:t xml:space="preserve"> </w:t>
      </w:r>
      <w:r>
        <w:rPr>
          <w:color w:val="001F5F"/>
        </w:rPr>
        <w:t>de</w:t>
      </w:r>
      <w:r>
        <w:rPr>
          <w:color w:val="001F5F"/>
          <w:spacing w:val="-5"/>
        </w:rPr>
        <w:t xml:space="preserve"> </w:t>
      </w:r>
      <w:r>
        <w:rPr>
          <w:color w:val="001F5F"/>
          <w:spacing w:val="-2"/>
        </w:rPr>
        <w:t>Auditoria</w:t>
      </w:r>
    </w:p>
    <w:p w14:paraId="17C8DD47" w14:textId="77777777" w:rsidR="002C6574" w:rsidRDefault="002C6574">
      <w:pPr>
        <w:pStyle w:val="Corpodetexto"/>
        <w:spacing w:before="140"/>
        <w:rPr>
          <w:rFonts w:ascii="Calibri"/>
          <w:b/>
          <w:sz w:val="28"/>
        </w:rPr>
      </w:pPr>
    </w:p>
    <w:p w14:paraId="0FDDBA92" w14:textId="77777777" w:rsidR="002C6574" w:rsidRDefault="00000000">
      <w:pPr>
        <w:ind w:left="1277" w:right="1176" w:firstLine="851"/>
        <w:jc w:val="both"/>
        <w:rPr>
          <w:rFonts w:ascii="Calibri" w:hAnsi="Calibri"/>
          <w:sz w:val="24"/>
        </w:rPr>
      </w:pPr>
      <w:r>
        <w:rPr>
          <w:rFonts w:ascii="Calibri" w:hAnsi="Calibri"/>
          <w:color w:val="001F5F"/>
          <w:sz w:val="24"/>
        </w:rPr>
        <w:t>O Comitê de Auditoria, de funcionamento permanente, é o órgão de assessoramento ao Conselho de Administração, auxiliando este, entre outros, no monitoramento da qualidade das demonstrações financeiras, dos controles internos da conformidade,</w:t>
      </w:r>
      <w:r>
        <w:rPr>
          <w:rFonts w:ascii="Calibri" w:hAnsi="Calibri"/>
          <w:color w:val="001F5F"/>
          <w:spacing w:val="-14"/>
          <w:sz w:val="24"/>
        </w:rPr>
        <w:t xml:space="preserve"> </w:t>
      </w:r>
      <w:r>
        <w:rPr>
          <w:rFonts w:ascii="Calibri" w:hAnsi="Calibri"/>
          <w:color w:val="001F5F"/>
          <w:sz w:val="24"/>
        </w:rPr>
        <w:t>do</w:t>
      </w:r>
      <w:r>
        <w:rPr>
          <w:rFonts w:ascii="Calibri" w:hAnsi="Calibri"/>
          <w:color w:val="001F5F"/>
          <w:spacing w:val="-14"/>
          <w:sz w:val="24"/>
        </w:rPr>
        <w:t xml:space="preserve"> </w:t>
      </w:r>
      <w:r>
        <w:rPr>
          <w:rFonts w:ascii="Calibri" w:hAnsi="Calibri"/>
          <w:color w:val="001F5F"/>
          <w:sz w:val="24"/>
        </w:rPr>
        <w:t>gerenciamento</w:t>
      </w:r>
      <w:r>
        <w:rPr>
          <w:rFonts w:ascii="Calibri" w:hAnsi="Calibri"/>
          <w:color w:val="001F5F"/>
          <w:spacing w:val="-13"/>
          <w:sz w:val="24"/>
        </w:rPr>
        <w:t xml:space="preserve"> </w:t>
      </w:r>
      <w:r>
        <w:rPr>
          <w:rFonts w:ascii="Calibri" w:hAnsi="Calibri"/>
          <w:color w:val="001F5F"/>
          <w:sz w:val="24"/>
        </w:rPr>
        <w:t>de</w:t>
      </w:r>
      <w:r>
        <w:rPr>
          <w:rFonts w:ascii="Calibri" w:hAnsi="Calibri"/>
          <w:color w:val="001F5F"/>
          <w:spacing w:val="-14"/>
          <w:sz w:val="24"/>
        </w:rPr>
        <w:t xml:space="preserve"> </w:t>
      </w:r>
      <w:r>
        <w:rPr>
          <w:rFonts w:ascii="Calibri" w:hAnsi="Calibri"/>
          <w:color w:val="001F5F"/>
          <w:sz w:val="24"/>
        </w:rPr>
        <w:t>riscos</w:t>
      </w:r>
      <w:r>
        <w:rPr>
          <w:rFonts w:ascii="Calibri" w:hAnsi="Calibri"/>
          <w:color w:val="001F5F"/>
          <w:spacing w:val="-13"/>
          <w:sz w:val="24"/>
        </w:rPr>
        <w:t xml:space="preserve"> </w:t>
      </w:r>
      <w:r>
        <w:rPr>
          <w:rFonts w:ascii="Calibri" w:hAnsi="Calibri"/>
          <w:color w:val="001F5F"/>
          <w:sz w:val="24"/>
        </w:rPr>
        <w:t>e</w:t>
      </w:r>
      <w:r>
        <w:rPr>
          <w:rFonts w:ascii="Calibri" w:hAnsi="Calibri"/>
          <w:color w:val="001F5F"/>
          <w:spacing w:val="-14"/>
          <w:sz w:val="24"/>
        </w:rPr>
        <w:t xml:space="preserve"> </w:t>
      </w:r>
      <w:r>
        <w:rPr>
          <w:rFonts w:ascii="Calibri" w:hAnsi="Calibri"/>
          <w:color w:val="001F5F"/>
          <w:sz w:val="24"/>
        </w:rPr>
        <w:t>das</w:t>
      </w:r>
      <w:r>
        <w:rPr>
          <w:rFonts w:ascii="Calibri" w:hAnsi="Calibri"/>
          <w:color w:val="001F5F"/>
          <w:spacing w:val="-13"/>
          <w:sz w:val="24"/>
        </w:rPr>
        <w:t xml:space="preserve"> </w:t>
      </w:r>
      <w:r>
        <w:rPr>
          <w:rFonts w:ascii="Calibri" w:hAnsi="Calibri"/>
          <w:color w:val="001F5F"/>
          <w:sz w:val="24"/>
        </w:rPr>
        <w:t>auditorias</w:t>
      </w:r>
      <w:r>
        <w:rPr>
          <w:rFonts w:ascii="Calibri" w:hAnsi="Calibri"/>
          <w:color w:val="001F5F"/>
          <w:spacing w:val="-14"/>
          <w:sz w:val="24"/>
        </w:rPr>
        <w:t xml:space="preserve"> </w:t>
      </w:r>
      <w:r>
        <w:rPr>
          <w:rFonts w:ascii="Calibri" w:hAnsi="Calibri"/>
          <w:color w:val="001F5F"/>
          <w:sz w:val="24"/>
        </w:rPr>
        <w:t>interna</w:t>
      </w:r>
      <w:r>
        <w:rPr>
          <w:rFonts w:ascii="Calibri" w:hAnsi="Calibri"/>
          <w:color w:val="001F5F"/>
          <w:spacing w:val="-14"/>
          <w:sz w:val="24"/>
        </w:rPr>
        <w:t xml:space="preserve"> </w:t>
      </w:r>
      <w:r>
        <w:rPr>
          <w:rFonts w:ascii="Calibri" w:hAnsi="Calibri"/>
          <w:color w:val="001F5F"/>
          <w:sz w:val="24"/>
        </w:rPr>
        <w:t>e</w:t>
      </w:r>
      <w:r>
        <w:rPr>
          <w:rFonts w:ascii="Calibri" w:hAnsi="Calibri"/>
          <w:color w:val="001F5F"/>
          <w:spacing w:val="-13"/>
          <w:sz w:val="24"/>
        </w:rPr>
        <w:t xml:space="preserve"> </w:t>
      </w:r>
      <w:r>
        <w:rPr>
          <w:rFonts w:ascii="Calibri" w:hAnsi="Calibri"/>
          <w:color w:val="001F5F"/>
          <w:sz w:val="24"/>
        </w:rPr>
        <w:t>independente</w:t>
      </w:r>
      <w:r>
        <w:rPr>
          <w:rFonts w:ascii="Calibri" w:hAnsi="Calibri"/>
          <w:color w:val="001F5F"/>
          <w:spacing w:val="-14"/>
          <w:sz w:val="24"/>
        </w:rPr>
        <w:t xml:space="preserve"> </w:t>
      </w:r>
      <w:r>
        <w:rPr>
          <w:rFonts w:ascii="Calibri" w:hAnsi="Calibri"/>
          <w:color w:val="001F5F"/>
          <w:sz w:val="24"/>
        </w:rPr>
        <w:t>e,</w:t>
      </w:r>
      <w:r>
        <w:rPr>
          <w:rFonts w:ascii="Calibri" w:hAnsi="Calibri"/>
          <w:color w:val="001F5F"/>
          <w:spacing w:val="-13"/>
          <w:sz w:val="24"/>
        </w:rPr>
        <w:t xml:space="preserve"> </w:t>
      </w:r>
      <w:r>
        <w:rPr>
          <w:rFonts w:ascii="Calibri" w:hAnsi="Calibri"/>
          <w:color w:val="001F5F"/>
          <w:sz w:val="24"/>
        </w:rPr>
        <w:t>dentre outras atribuições previstas em seu Regimento Interno.</w:t>
      </w:r>
    </w:p>
    <w:p w14:paraId="484B3B58" w14:textId="77777777" w:rsidR="002C6574" w:rsidRDefault="00000000">
      <w:pPr>
        <w:spacing w:before="292"/>
        <w:ind w:left="1277" w:right="1181" w:firstLine="851"/>
        <w:jc w:val="both"/>
        <w:rPr>
          <w:rFonts w:ascii="Calibri" w:hAnsi="Calibri"/>
          <w:sz w:val="24"/>
        </w:rPr>
      </w:pPr>
      <w:r>
        <w:rPr>
          <w:rFonts w:ascii="Calibri" w:hAnsi="Calibri"/>
          <w:color w:val="001F5F"/>
          <w:sz w:val="24"/>
        </w:rPr>
        <w:t>As avaliações do Comitê baseiam-se nas informações recebidas da Administração, dos</w:t>
      </w:r>
      <w:r>
        <w:rPr>
          <w:rFonts w:ascii="Calibri" w:hAnsi="Calibri"/>
          <w:color w:val="001F5F"/>
          <w:spacing w:val="-8"/>
          <w:sz w:val="24"/>
        </w:rPr>
        <w:t xml:space="preserve"> </w:t>
      </w:r>
      <w:r>
        <w:rPr>
          <w:rFonts w:ascii="Calibri" w:hAnsi="Calibri"/>
          <w:color w:val="001F5F"/>
          <w:sz w:val="24"/>
        </w:rPr>
        <w:t>auditores</w:t>
      </w:r>
      <w:r>
        <w:rPr>
          <w:rFonts w:ascii="Calibri" w:hAnsi="Calibri"/>
          <w:color w:val="001F5F"/>
          <w:spacing w:val="-11"/>
          <w:sz w:val="24"/>
        </w:rPr>
        <w:t xml:space="preserve"> </w:t>
      </w:r>
      <w:r>
        <w:rPr>
          <w:rFonts w:ascii="Calibri" w:hAnsi="Calibri"/>
          <w:color w:val="001F5F"/>
          <w:sz w:val="24"/>
        </w:rPr>
        <w:t>externos,</w:t>
      </w:r>
      <w:r>
        <w:rPr>
          <w:rFonts w:ascii="Calibri" w:hAnsi="Calibri"/>
          <w:color w:val="001F5F"/>
          <w:spacing w:val="-10"/>
          <w:sz w:val="24"/>
        </w:rPr>
        <w:t xml:space="preserve"> </w:t>
      </w:r>
      <w:r>
        <w:rPr>
          <w:rFonts w:ascii="Calibri" w:hAnsi="Calibri"/>
          <w:color w:val="001F5F"/>
          <w:sz w:val="24"/>
        </w:rPr>
        <w:t>da</w:t>
      </w:r>
      <w:r>
        <w:rPr>
          <w:rFonts w:ascii="Calibri" w:hAnsi="Calibri"/>
          <w:color w:val="001F5F"/>
          <w:spacing w:val="-8"/>
          <w:sz w:val="24"/>
        </w:rPr>
        <w:t xml:space="preserve"> </w:t>
      </w:r>
      <w:r>
        <w:rPr>
          <w:rFonts w:ascii="Calibri" w:hAnsi="Calibri"/>
          <w:color w:val="001F5F"/>
          <w:sz w:val="24"/>
        </w:rPr>
        <w:t>auditoria</w:t>
      </w:r>
      <w:r>
        <w:rPr>
          <w:rFonts w:ascii="Calibri" w:hAnsi="Calibri"/>
          <w:color w:val="001F5F"/>
          <w:spacing w:val="-11"/>
          <w:sz w:val="24"/>
        </w:rPr>
        <w:t xml:space="preserve"> </w:t>
      </w:r>
      <w:r>
        <w:rPr>
          <w:rFonts w:ascii="Calibri" w:hAnsi="Calibri"/>
          <w:color w:val="001F5F"/>
          <w:sz w:val="24"/>
        </w:rPr>
        <w:t>interna,</w:t>
      </w:r>
      <w:r>
        <w:rPr>
          <w:rFonts w:ascii="Calibri" w:hAnsi="Calibri"/>
          <w:color w:val="001F5F"/>
          <w:spacing w:val="-10"/>
          <w:sz w:val="24"/>
        </w:rPr>
        <w:t xml:space="preserve"> </w:t>
      </w:r>
      <w:r>
        <w:rPr>
          <w:rFonts w:ascii="Calibri" w:hAnsi="Calibri"/>
          <w:color w:val="001F5F"/>
          <w:sz w:val="24"/>
        </w:rPr>
        <w:t>dos</w:t>
      </w:r>
      <w:r>
        <w:rPr>
          <w:rFonts w:ascii="Calibri" w:hAnsi="Calibri"/>
          <w:color w:val="001F5F"/>
          <w:spacing w:val="-10"/>
          <w:sz w:val="24"/>
        </w:rPr>
        <w:t xml:space="preserve"> </w:t>
      </w:r>
      <w:r>
        <w:rPr>
          <w:rFonts w:ascii="Calibri" w:hAnsi="Calibri"/>
          <w:color w:val="001F5F"/>
          <w:sz w:val="24"/>
        </w:rPr>
        <w:t>responsáveis</w:t>
      </w:r>
      <w:r>
        <w:rPr>
          <w:rFonts w:ascii="Calibri" w:hAnsi="Calibri"/>
          <w:color w:val="001F5F"/>
          <w:spacing w:val="-9"/>
          <w:sz w:val="24"/>
        </w:rPr>
        <w:t xml:space="preserve"> </w:t>
      </w:r>
      <w:r>
        <w:rPr>
          <w:rFonts w:ascii="Calibri" w:hAnsi="Calibri"/>
          <w:color w:val="001F5F"/>
          <w:sz w:val="24"/>
        </w:rPr>
        <w:t>pelo</w:t>
      </w:r>
      <w:r>
        <w:rPr>
          <w:rFonts w:ascii="Calibri" w:hAnsi="Calibri"/>
          <w:color w:val="001F5F"/>
          <w:spacing w:val="-7"/>
          <w:sz w:val="24"/>
        </w:rPr>
        <w:t xml:space="preserve"> </w:t>
      </w:r>
      <w:r>
        <w:rPr>
          <w:rFonts w:ascii="Calibri" w:hAnsi="Calibri"/>
          <w:color w:val="001F5F"/>
          <w:sz w:val="24"/>
        </w:rPr>
        <w:t>gerenciamento</w:t>
      </w:r>
      <w:r>
        <w:rPr>
          <w:rFonts w:ascii="Calibri" w:hAnsi="Calibri"/>
          <w:color w:val="001F5F"/>
          <w:spacing w:val="-10"/>
          <w:sz w:val="24"/>
        </w:rPr>
        <w:t xml:space="preserve"> </w:t>
      </w:r>
      <w:r>
        <w:rPr>
          <w:rFonts w:ascii="Calibri" w:hAnsi="Calibri"/>
          <w:color w:val="001F5F"/>
          <w:sz w:val="24"/>
        </w:rPr>
        <w:t>de</w:t>
      </w:r>
      <w:r>
        <w:rPr>
          <w:rFonts w:ascii="Calibri" w:hAnsi="Calibri"/>
          <w:color w:val="001F5F"/>
          <w:spacing w:val="-8"/>
          <w:sz w:val="24"/>
        </w:rPr>
        <w:t xml:space="preserve"> </w:t>
      </w:r>
      <w:r>
        <w:rPr>
          <w:rFonts w:ascii="Calibri" w:hAnsi="Calibri"/>
          <w:color w:val="001F5F"/>
          <w:sz w:val="24"/>
        </w:rPr>
        <w:t>riscos e de controles internos e nas suas próprias análises decorrentes de observação direta.</w:t>
      </w:r>
    </w:p>
    <w:p w14:paraId="093083AD" w14:textId="77777777" w:rsidR="002C6574" w:rsidRDefault="00000000">
      <w:pPr>
        <w:pStyle w:val="Corpodetexto"/>
        <w:spacing w:before="183"/>
        <w:rPr>
          <w:rFonts w:ascii="Calibri"/>
          <w:sz w:val="20"/>
        </w:rPr>
      </w:pPr>
      <w:r>
        <w:rPr>
          <w:rFonts w:ascii="Calibri"/>
          <w:noProof/>
          <w:sz w:val="20"/>
        </w:rPr>
        <mc:AlternateContent>
          <mc:Choice Requires="wpg">
            <w:drawing>
              <wp:anchor distT="0" distB="0" distL="0" distR="0" simplePos="0" relativeHeight="487608832" behindDoc="1" locked="0" layoutInCell="1" allowOverlap="1" wp14:anchorId="23F684CB" wp14:editId="4351141F">
                <wp:simplePos x="0" y="0"/>
                <wp:positionH relativeFrom="page">
                  <wp:posOffset>1982470</wp:posOffset>
                </wp:positionH>
                <wp:positionV relativeFrom="paragraph">
                  <wp:posOffset>286700</wp:posOffset>
                </wp:positionV>
                <wp:extent cx="3681729" cy="3199130"/>
                <wp:effectExtent l="0" t="0" r="0" b="0"/>
                <wp:wrapTopAndBottom/>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1729" cy="3199130"/>
                          <a:chOff x="0" y="0"/>
                          <a:chExt cx="3681729" cy="3199130"/>
                        </a:xfrm>
                      </wpg:grpSpPr>
                      <wps:wsp>
                        <wps:cNvPr id="193" name="Graphic 193"/>
                        <wps:cNvSpPr/>
                        <wps:spPr>
                          <a:xfrm>
                            <a:off x="832992" y="832967"/>
                            <a:ext cx="2016125" cy="1532890"/>
                          </a:xfrm>
                          <a:custGeom>
                            <a:avLst/>
                            <a:gdLst/>
                            <a:ahLst/>
                            <a:cxnLst/>
                            <a:rect l="l" t="t" r="r" b="b"/>
                            <a:pathLst>
                              <a:path w="2016125" h="1532890">
                                <a:moveTo>
                                  <a:pt x="1007872" y="0"/>
                                </a:moveTo>
                                <a:lnTo>
                                  <a:pt x="1007872" y="766317"/>
                                </a:lnTo>
                                <a:lnTo>
                                  <a:pt x="1182751" y="766317"/>
                                </a:lnTo>
                              </a:path>
                              <a:path w="2016125" h="1532890">
                                <a:moveTo>
                                  <a:pt x="1007872" y="0"/>
                                </a:moveTo>
                                <a:lnTo>
                                  <a:pt x="1007872" y="766317"/>
                                </a:lnTo>
                                <a:lnTo>
                                  <a:pt x="832992" y="766317"/>
                                </a:lnTo>
                              </a:path>
                              <a:path w="2016125" h="1532890">
                                <a:moveTo>
                                  <a:pt x="1007872" y="0"/>
                                </a:moveTo>
                                <a:lnTo>
                                  <a:pt x="1007872" y="1357756"/>
                                </a:lnTo>
                                <a:lnTo>
                                  <a:pt x="2015744" y="1357756"/>
                                </a:lnTo>
                                <a:lnTo>
                                  <a:pt x="2015744" y="1532763"/>
                                </a:lnTo>
                              </a:path>
                              <a:path w="2016125" h="1532890">
                                <a:moveTo>
                                  <a:pt x="1007872" y="0"/>
                                </a:moveTo>
                                <a:lnTo>
                                  <a:pt x="1007872" y="1357756"/>
                                </a:lnTo>
                                <a:lnTo>
                                  <a:pt x="0" y="1357756"/>
                                </a:lnTo>
                                <a:lnTo>
                                  <a:pt x="0" y="1532763"/>
                                </a:lnTo>
                              </a:path>
                            </a:pathLst>
                          </a:custGeom>
                          <a:ln w="6350">
                            <a:solidFill>
                              <a:srgbClr val="467AA9"/>
                            </a:solidFill>
                            <a:prstDash val="solid"/>
                          </a:ln>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127" cstate="print"/>
                          <a:stretch>
                            <a:fillRect/>
                          </a:stretch>
                        </pic:blipFill>
                        <pic:spPr>
                          <a:xfrm>
                            <a:off x="1007872" y="0"/>
                            <a:ext cx="1665985" cy="832967"/>
                          </a:xfrm>
                          <a:prstGeom prst="rect">
                            <a:avLst/>
                          </a:prstGeom>
                        </pic:spPr>
                      </pic:pic>
                      <pic:pic xmlns:pic="http://schemas.openxmlformats.org/drawingml/2006/picture">
                        <pic:nvPicPr>
                          <pic:cNvPr id="195" name="Image 195"/>
                          <pic:cNvPicPr/>
                        </pic:nvPicPr>
                        <pic:blipFill>
                          <a:blip r:embed="rId128" cstate="print"/>
                          <a:stretch>
                            <a:fillRect/>
                          </a:stretch>
                        </pic:blipFill>
                        <pic:spPr>
                          <a:xfrm>
                            <a:off x="0" y="2365629"/>
                            <a:ext cx="1665985" cy="832967"/>
                          </a:xfrm>
                          <a:prstGeom prst="rect">
                            <a:avLst/>
                          </a:prstGeom>
                        </pic:spPr>
                      </pic:pic>
                      <pic:pic xmlns:pic="http://schemas.openxmlformats.org/drawingml/2006/picture">
                        <pic:nvPicPr>
                          <pic:cNvPr id="196" name="Image 196"/>
                          <pic:cNvPicPr/>
                        </pic:nvPicPr>
                        <pic:blipFill>
                          <a:blip r:embed="rId129" cstate="print"/>
                          <a:stretch>
                            <a:fillRect/>
                          </a:stretch>
                        </pic:blipFill>
                        <pic:spPr>
                          <a:xfrm>
                            <a:off x="2015744" y="2365629"/>
                            <a:ext cx="1665986" cy="832967"/>
                          </a:xfrm>
                          <a:prstGeom prst="rect">
                            <a:avLst/>
                          </a:prstGeom>
                        </pic:spPr>
                      </pic:pic>
                      <pic:pic xmlns:pic="http://schemas.openxmlformats.org/drawingml/2006/picture">
                        <pic:nvPicPr>
                          <pic:cNvPr id="197" name="Image 197"/>
                          <pic:cNvPicPr/>
                        </pic:nvPicPr>
                        <pic:blipFill>
                          <a:blip r:embed="rId127" cstate="print"/>
                          <a:stretch>
                            <a:fillRect/>
                          </a:stretch>
                        </pic:blipFill>
                        <pic:spPr>
                          <a:xfrm>
                            <a:off x="0" y="1182877"/>
                            <a:ext cx="1665985" cy="832967"/>
                          </a:xfrm>
                          <a:prstGeom prst="rect">
                            <a:avLst/>
                          </a:prstGeom>
                        </pic:spPr>
                      </pic:pic>
                      <pic:pic xmlns:pic="http://schemas.openxmlformats.org/drawingml/2006/picture">
                        <pic:nvPicPr>
                          <pic:cNvPr id="198" name="Image 198"/>
                          <pic:cNvPicPr/>
                        </pic:nvPicPr>
                        <pic:blipFill>
                          <a:blip r:embed="rId130" cstate="print"/>
                          <a:stretch>
                            <a:fillRect/>
                          </a:stretch>
                        </pic:blipFill>
                        <pic:spPr>
                          <a:xfrm>
                            <a:off x="2015744" y="1182877"/>
                            <a:ext cx="1665986" cy="832967"/>
                          </a:xfrm>
                          <a:prstGeom prst="rect">
                            <a:avLst/>
                          </a:prstGeom>
                        </pic:spPr>
                      </pic:pic>
                      <wps:wsp>
                        <wps:cNvPr id="199" name="Textbox 199"/>
                        <wps:cNvSpPr txBox="1"/>
                        <wps:spPr>
                          <a:xfrm>
                            <a:off x="1305433" y="235686"/>
                            <a:ext cx="1082040" cy="373380"/>
                          </a:xfrm>
                          <a:prstGeom prst="rect">
                            <a:avLst/>
                          </a:prstGeom>
                        </wps:spPr>
                        <wps:txbx>
                          <w:txbxContent>
                            <w:p w14:paraId="59E02283" w14:textId="77777777" w:rsidR="002C6574" w:rsidRDefault="00000000">
                              <w:pPr>
                                <w:spacing w:line="268" w:lineRule="exact"/>
                                <w:ind w:left="129"/>
                                <w:rPr>
                                  <w:rFonts w:ascii="Calibri"/>
                                  <w:b/>
                                  <w:sz w:val="28"/>
                                </w:rPr>
                              </w:pPr>
                              <w:r>
                                <w:rPr>
                                  <w:rFonts w:ascii="Calibri"/>
                                  <w:b/>
                                  <w:color w:val="FFFFFF"/>
                                  <w:sz w:val="28"/>
                                </w:rPr>
                                <w:t>Conselho</w:t>
                              </w:r>
                              <w:r>
                                <w:rPr>
                                  <w:rFonts w:ascii="Calibri"/>
                                  <w:b/>
                                  <w:color w:val="FFFFFF"/>
                                  <w:spacing w:val="-5"/>
                                  <w:sz w:val="28"/>
                                </w:rPr>
                                <w:t xml:space="preserve"> de</w:t>
                              </w:r>
                            </w:p>
                            <w:p w14:paraId="0698E5D8" w14:textId="77777777" w:rsidR="002C6574" w:rsidRDefault="00000000">
                              <w:pPr>
                                <w:spacing w:line="320" w:lineRule="exact"/>
                                <w:rPr>
                                  <w:rFonts w:ascii="Calibri" w:hAnsi="Calibri"/>
                                  <w:b/>
                                  <w:sz w:val="28"/>
                                </w:rPr>
                              </w:pPr>
                              <w:r>
                                <w:rPr>
                                  <w:rFonts w:ascii="Calibri" w:hAnsi="Calibri"/>
                                  <w:b/>
                                  <w:color w:val="FFFFFF"/>
                                  <w:spacing w:val="-2"/>
                                  <w:sz w:val="28"/>
                                </w:rPr>
                                <w:t>Administração</w:t>
                              </w:r>
                            </w:p>
                          </w:txbxContent>
                        </wps:txbx>
                        <wps:bodyPr wrap="square" lIns="0" tIns="0" rIns="0" bIns="0" rtlCol="0">
                          <a:noAutofit/>
                        </wps:bodyPr>
                      </wps:wsp>
                      <wps:wsp>
                        <wps:cNvPr id="200" name="Textbox 200"/>
                        <wps:cNvSpPr txBox="1"/>
                        <wps:spPr>
                          <a:xfrm>
                            <a:off x="106934" y="1418945"/>
                            <a:ext cx="1464945" cy="373380"/>
                          </a:xfrm>
                          <a:prstGeom prst="rect">
                            <a:avLst/>
                          </a:prstGeom>
                        </wps:spPr>
                        <wps:txbx>
                          <w:txbxContent>
                            <w:p w14:paraId="12B4EC4D" w14:textId="77777777" w:rsidR="002C6574" w:rsidRDefault="00000000">
                              <w:pPr>
                                <w:spacing w:line="268" w:lineRule="exact"/>
                                <w:ind w:right="18"/>
                                <w:jc w:val="center"/>
                                <w:rPr>
                                  <w:rFonts w:ascii="Calibri" w:hAnsi="Calibri"/>
                                  <w:sz w:val="28"/>
                                </w:rPr>
                              </w:pPr>
                              <w:r>
                                <w:rPr>
                                  <w:rFonts w:ascii="Calibri" w:hAnsi="Calibri"/>
                                  <w:color w:val="FFFFFF"/>
                                  <w:sz w:val="28"/>
                                </w:rPr>
                                <w:t>Comitê</w:t>
                              </w:r>
                              <w:r>
                                <w:rPr>
                                  <w:rFonts w:ascii="Calibri" w:hAnsi="Calibri"/>
                                  <w:color w:val="FFFFFF"/>
                                  <w:spacing w:val="-6"/>
                                  <w:sz w:val="28"/>
                                </w:rPr>
                                <w:t xml:space="preserve"> </w:t>
                              </w:r>
                              <w:r>
                                <w:rPr>
                                  <w:rFonts w:ascii="Calibri" w:hAnsi="Calibri"/>
                                  <w:color w:val="FFFFFF"/>
                                  <w:sz w:val="28"/>
                                </w:rPr>
                                <w:t>de</w:t>
                              </w:r>
                              <w:r>
                                <w:rPr>
                                  <w:rFonts w:ascii="Calibri" w:hAnsi="Calibri"/>
                                  <w:color w:val="FFFFFF"/>
                                  <w:spacing w:val="-3"/>
                                  <w:sz w:val="28"/>
                                </w:rPr>
                                <w:t xml:space="preserve"> </w:t>
                              </w:r>
                              <w:r>
                                <w:rPr>
                                  <w:rFonts w:ascii="Calibri" w:hAnsi="Calibri"/>
                                  <w:color w:val="FFFFFF"/>
                                  <w:spacing w:val="-2"/>
                                  <w:sz w:val="28"/>
                                </w:rPr>
                                <w:t>Auditoria</w:t>
                              </w:r>
                            </w:p>
                            <w:p w14:paraId="41D9F328" w14:textId="77777777" w:rsidR="002C6574" w:rsidRDefault="00000000">
                              <w:pPr>
                                <w:spacing w:line="320" w:lineRule="exact"/>
                                <w:ind w:right="18"/>
                                <w:jc w:val="center"/>
                                <w:rPr>
                                  <w:rFonts w:ascii="Calibri" w:hAnsi="Calibri"/>
                                  <w:sz w:val="28"/>
                                </w:rPr>
                              </w:pPr>
                              <w:r>
                                <w:rPr>
                                  <w:rFonts w:ascii="Calibri" w:hAnsi="Calibri"/>
                                  <w:color w:val="FFFFFF"/>
                                  <w:spacing w:val="-2"/>
                                  <w:sz w:val="28"/>
                                </w:rPr>
                                <w:t>Estatutário</w:t>
                              </w:r>
                            </w:p>
                          </w:txbxContent>
                        </wps:txbx>
                        <wps:bodyPr wrap="square" lIns="0" tIns="0" rIns="0" bIns="0" rtlCol="0">
                          <a:noAutofit/>
                        </wps:bodyPr>
                      </wps:wsp>
                      <wps:wsp>
                        <wps:cNvPr id="201" name="Textbox 201"/>
                        <wps:cNvSpPr txBox="1"/>
                        <wps:spPr>
                          <a:xfrm>
                            <a:off x="2153666" y="1223619"/>
                            <a:ext cx="1403985" cy="763905"/>
                          </a:xfrm>
                          <a:prstGeom prst="rect">
                            <a:avLst/>
                          </a:prstGeom>
                        </wps:spPr>
                        <wps:txbx>
                          <w:txbxContent>
                            <w:p w14:paraId="23D5905A" w14:textId="77777777" w:rsidR="002C6574" w:rsidRDefault="00000000">
                              <w:pPr>
                                <w:spacing w:line="268" w:lineRule="exact"/>
                                <w:ind w:right="18"/>
                                <w:jc w:val="center"/>
                                <w:rPr>
                                  <w:rFonts w:ascii="Calibri" w:hAnsi="Calibri"/>
                                  <w:sz w:val="28"/>
                                </w:rPr>
                              </w:pPr>
                              <w:r>
                                <w:rPr>
                                  <w:rFonts w:ascii="Calibri" w:hAnsi="Calibri"/>
                                  <w:color w:val="F1F1F1"/>
                                  <w:sz w:val="28"/>
                                </w:rPr>
                                <w:t>Comitê</w:t>
                              </w:r>
                              <w:r>
                                <w:rPr>
                                  <w:rFonts w:ascii="Calibri" w:hAnsi="Calibri"/>
                                  <w:color w:val="F1F1F1"/>
                                  <w:spacing w:val="-6"/>
                                  <w:sz w:val="28"/>
                                </w:rPr>
                                <w:t xml:space="preserve"> </w:t>
                              </w:r>
                              <w:r>
                                <w:rPr>
                                  <w:rFonts w:ascii="Calibri" w:hAnsi="Calibri"/>
                                  <w:color w:val="F1F1F1"/>
                                  <w:sz w:val="28"/>
                                </w:rPr>
                                <w:t>de</w:t>
                              </w:r>
                              <w:r>
                                <w:rPr>
                                  <w:rFonts w:ascii="Calibri" w:hAnsi="Calibri"/>
                                  <w:color w:val="F1F1F1"/>
                                  <w:spacing w:val="-3"/>
                                  <w:sz w:val="28"/>
                                </w:rPr>
                                <w:t xml:space="preserve"> </w:t>
                              </w:r>
                              <w:r>
                                <w:rPr>
                                  <w:rFonts w:ascii="Calibri" w:hAnsi="Calibri"/>
                                  <w:color w:val="F1F1F1"/>
                                  <w:spacing w:val="-2"/>
                                  <w:sz w:val="28"/>
                                </w:rPr>
                                <w:t>Pessoas,</w:t>
                              </w:r>
                            </w:p>
                            <w:p w14:paraId="530FA1D0" w14:textId="77777777" w:rsidR="002C6574" w:rsidRDefault="00000000">
                              <w:pPr>
                                <w:spacing w:before="9" w:line="216" w:lineRule="auto"/>
                                <w:ind w:left="309" w:right="330" w:firstLine="3"/>
                                <w:jc w:val="center"/>
                                <w:rPr>
                                  <w:rFonts w:ascii="Calibri" w:hAnsi="Calibri"/>
                                  <w:sz w:val="28"/>
                                </w:rPr>
                              </w:pPr>
                              <w:r>
                                <w:rPr>
                                  <w:rFonts w:ascii="Calibri" w:hAnsi="Calibri"/>
                                  <w:color w:val="F1F1F1"/>
                                  <w:spacing w:val="-2"/>
                                  <w:sz w:val="28"/>
                                </w:rPr>
                                <w:t xml:space="preserve">Elegibilidade, </w:t>
                              </w:r>
                              <w:r>
                                <w:rPr>
                                  <w:rFonts w:ascii="Calibri" w:hAnsi="Calibri"/>
                                  <w:color w:val="F1F1F1"/>
                                  <w:sz w:val="28"/>
                                </w:rPr>
                                <w:t xml:space="preserve">Sucessão e </w:t>
                              </w:r>
                              <w:r>
                                <w:rPr>
                                  <w:rFonts w:ascii="Calibri" w:hAnsi="Calibri"/>
                                  <w:color w:val="F1F1F1"/>
                                  <w:spacing w:val="-2"/>
                                  <w:sz w:val="28"/>
                                </w:rPr>
                                <w:t>Remuneração</w:t>
                              </w:r>
                            </w:p>
                          </w:txbxContent>
                        </wps:txbx>
                        <wps:bodyPr wrap="square" lIns="0" tIns="0" rIns="0" bIns="0" rtlCol="0">
                          <a:noAutofit/>
                        </wps:bodyPr>
                      </wps:wsp>
                      <wps:wsp>
                        <wps:cNvPr id="202" name="Textbox 202"/>
                        <wps:cNvSpPr txBox="1"/>
                        <wps:spPr>
                          <a:xfrm>
                            <a:off x="216661" y="2699359"/>
                            <a:ext cx="1245235" cy="178435"/>
                          </a:xfrm>
                          <a:prstGeom prst="rect">
                            <a:avLst/>
                          </a:prstGeom>
                        </wps:spPr>
                        <wps:txbx>
                          <w:txbxContent>
                            <w:p w14:paraId="64F46454" w14:textId="77777777" w:rsidR="002C6574" w:rsidRDefault="00000000">
                              <w:pPr>
                                <w:spacing w:line="281" w:lineRule="exact"/>
                                <w:rPr>
                                  <w:rFonts w:ascii="Calibri"/>
                                  <w:sz w:val="28"/>
                                </w:rPr>
                              </w:pPr>
                              <w:r>
                                <w:rPr>
                                  <w:rFonts w:ascii="Calibri"/>
                                  <w:color w:val="F1F1F1"/>
                                  <w:sz w:val="28"/>
                                </w:rPr>
                                <w:t>Auditoria</w:t>
                              </w:r>
                              <w:r>
                                <w:rPr>
                                  <w:rFonts w:ascii="Calibri"/>
                                  <w:color w:val="F1F1F1"/>
                                  <w:spacing w:val="-11"/>
                                  <w:sz w:val="28"/>
                                </w:rPr>
                                <w:t xml:space="preserve"> </w:t>
                              </w:r>
                              <w:r>
                                <w:rPr>
                                  <w:rFonts w:ascii="Calibri"/>
                                  <w:color w:val="F1F1F1"/>
                                  <w:spacing w:val="-2"/>
                                  <w:sz w:val="28"/>
                                </w:rPr>
                                <w:t>Interna</w:t>
                              </w:r>
                            </w:p>
                          </w:txbxContent>
                        </wps:txbx>
                        <wps:bodyPr wrap="square" lIns="0" tIns="0" rIns="0" bIns="0" rtlCol="0">
                          <a:noAutofit/>
                        </wps:bodyPr>
                      </wps:wsp>
                      <wps:wsp>
                        <wps:cNvPr id="203" name="Textbox 203"/>
                        <wps:cNvSpPr txBox="1"/>
                        <wps:spPr>
                          <a:xfrm>
                            <a:off x="2495042" y="2699359"/>
                            <a:ext cx="721995" cy="178435"/>
                          </a:xfrm>
                          <a:prstGeom prst="rect">
                            <a:avLst/>
                          </a:prstGeom>
                        </wps:spPr>
                        <wps:txbx>
                          <w:txbxContent>
                            <w:p w14:paraId="0827634D" w14:textId="77777777" w:rsidR="002C6574" w:rsidRDefault="00000000">
                              <w:pPr>
                                <w:spacing w:line="281" w:lineRule="exact"/>
                                <w:rPr>
                                  <w:rFonts w:ascii="Calibri"/>
                                  <w:sz w:val="28"/>
                                </w:rPr>
                              </w:pPr>
                              <w:r>
                                <w:rPr>
                                  <w:rFonts w:ascii="Calibri"/>
                                  <w:color w:val="F1F1F1"/>
                                  <w:spacing w:val="-2"/>
                                  <w:sz w:val="28"/>
                                </w:rPr>
                                <w:t>Ouvidoria</w:t>
                              </w:r>
                            </w:p>
                          </w:txbxContent>
                        </wps:txbx>
                        <wps:bodyPr wrap="square" lIns="0" tIns="0" rIns="0" bIns="0" rtlCol="0">
                          <a:noAutofit/>
                        </wps:bodyPr>
                      </wps:wsp>
                    </wpg:wgp>
                  </a:graphicData>
                </a:graphic>
              </wp:anchor>
            </w:drawing>
          </mc:Choice>
          <mc:Fallback>
            <w:pict>
              <v:group w14:anchorId="23F684CB" id="Group 192" o:spid="_x0000_s1049" style="position:absolute;margin-left:156.1pt;margin-top:22.55pt;width:289.9pt;height:251.9pt;z-index:-15707648;mso-wrap-distance-left:0;mso-wrap-distance-right:0;mso-position-horizontal-relative:page;mso-position-vertical-relative:text" coordsize="36817,31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">
                <v:shape id="Graphic 193" o:spid="_x0000_s1050" style="position:absolute;left:8329;top:8329;width:20162;height:15329;visibility:visible;mso-wrap-style:square;v-text-anchor:top" coordsize="2016125,153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" path="m1007872,r,766317l1182751,766317em1007872,r,766317l832992,766317em1007872,r,1357756l2015744,1357756r,175007em1007872,r,1357756l,1357756r,175007e" filled="f" strokecolor="#467aa9" strokeweight=".5pt">
                  <v:path arrowok="t"/>
                </v:shape>
                <v:shape id="Image 194" o:spid="_x0000_s1051" type="#_x0000_t75" style="position:absolute;left:10078;width:16660;height:8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">
                  <v:imagedata r:id="rId131" o:title=""/>
                </v:shape>
                <v:shape id="Image 195" o:spid="_x0000_s1052" type="#_x0000_t75" style="position:absolute;top:23656;width:16659;height:8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">
                  <v:imagedata r:id="rId132" o:title=""/>
                </v:shape>
                <v:shape id="Image 196" o:spid="_x0000_s1053" type="#_x0000_t75" style="position:absolute;left:20157;top:23656;width:16660;height:8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">
                  <v:imagedata r:id="rId133" o:title=""/>
                </v:shape>
                <v:shape id="Image 197" o:spid="_x0000_s1054" type="#_x0000_t75" style="position:absolute;top:11828;width:16659;height:8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">
                  <v:imagedata r:id="rId131" o:title=""/>
                </v:shape>
                <v:shape id="Image 198" o:spid="_x0000_s1055" type="#_x0000_t75" style="position:absolute;left:20157;top:11828;width:16660;height:8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">
                  <v:imagedata r:id="rId134" o:title=""/>
                </v:shape>
                <v:shape id="Textbox 199" o:spid="_x0000_s1056" type="#_x0000_t202" style="position:absolute;left:13054;top:2356;width:1082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59E02283" w14:textId="77777777" w:rsidR="002C6574" w:rsidRDefault="00000000">
                        <w:pPr>
                          <w:spacing w:line="268" w:lineRule="exact"/>
                          <w:ind w:left="129"/>
                          <w:rPr>
                            <w:rFonts w:ascii="Calibri"/>
                            <w:b/>
                            <w:sz w:val="28"/>
                          </w:rPr>
                        </w:pPr>
                        <w:r>
                          <w:rPr>
                            <w:rFonts w:ascii="Calibri"/>
                            <w:b/>
                            <w:color w:val="FFFFFF"/>
                            <w:sz w:val="28"/>
                          </w:rPr>
                          <w:t>Conselho</w:t>
                        </w:r>
                        <w:r>
                          <w:rPr>
                            <w:rFonts w:ascii="Calibri"/>
                            <w:b/>
                            <w:color w:val="FFFFFF"/>
                            <w:spacing w:val="-5"/>
                            <w:sz w:val="28"/>
                          </w:rPr>
                          <w:t xml:space="preserve"> de</w:t>
                        </w:r>
                      </w:p>
                      <w:p w14:paraId="0698E5D8" w14:textId="77777777" w:rsidR="002C6574" w:rsidRDefault="00000000">
                        <w:pPr>
                          <w:spacing w:line="320" w:lineRule="exact"/>
                          <w:rPr>
                            <w:rFonts w:ascii="Calibri" w:hAnsi="Calibri"/>
                            <w:b/>
                            <w:sz w:val="28"/>
                          </w:rPr>
                        </w:pPr>
                        <w:r>
                          <w:rPr>
                            <w:rFonts w:ascii="Calibri" w:hAnsi="Calibri"/>
                            <w:b/>
                            <w:color w:val="FFFFFF"/>
                            <w:spacing w:val="-2"/>
                            <w:sz w:val="28"/>
                          </w:rPr>
                          <w:t>Administração</w:t>
                        </w:r>
                      </w:p>
                    </w:txbxContent>
                  </v:textbox>
                </v:shape>
                <v:shape id="Textbox 200" o:spid="_x0000_s1057" type="#_x0000_t202" style="position:absolute;left:1069;top:14189;width:14649;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12B4EC4D" w14:textId="77777777" w:rsidR="002C6574" w:rsidRDefault="00000000">
                        <w:pPr>
                          <w:spacing w:line="268" w:lineRule="exact"/>
                          <w:ind w:right="18"/>
                          <w:jc w:val="center"/>
                          <w:rPr>
                            <w:rFonts w:ascii="Calibri" w:hAnsi="Calibri"/>
                            <w:sz w:val="28"/>
                          </w:rPr>
                        </w:pPr>
                        <w:r>
                          <w:rPr>
                            <w:rFonts w:ascii="Calibri" w:hAnsi="Calibri"/>
                            <w:color w:val="FFFFFF"/>
                            <w:sz w:val="28"/>
                          </w:rPr>
                          <w:t>Comitê</w:t>
                        </w:r>
                        <w:r>
                          <w:rPr>
                            <w:rFonts w:ascii="Calibri" w:hAnsi="Calibri"/>
                            <w:color w:val="FFFFFF"/>
                            <w:spacing w:val="-6"/>
                            <w:sz w:val="28"/>
                          </w:rPr>
                          <w:t xml:space="preserve"> </w:t>
                        </w:r>
                        <w:r>
                          <w:rPr>
                            <w:rFonts w:ascii="Calibri" w:hAnsi="Calibri"/>
                            <w:color w:val="FFFFFF"/>
                            <w:sz w:val="28"/>
                          </w:rPr>
                          <w:t>de</w:t>
                        </w:r>
                        <w:r>
                          <w:rPr>
                            <w:rFonts w:ascii="Calibri" w:hAnsi="Calibri"/>
                            <w:color w:val="FFFFFF"/>
                            <w:spacing w:val="-3"/>
                            <w:sz w:val="28"/>
                          </w:rPr>
                          <w:t xml:space="preserve"> </w:t>
                        </w:r>
                        <w:r>
                          <w:rPr>
                            <w:rFonts w:ascii="Calibri" w:hAnsi="Calibri"/>
                            <w:color w:val="FFFFFF"/>
                            <w:spacing w:val="-2"/>
                            <w:sz w:val="28"/>
                          </w:rPr>
                          <w:t>Auditoria</w:t>
                        </w:r>
                      </w:p>
                      <w:p w14:paraId="41D9F328" w14:textId="77777777" w:rsidR="002C6574" w:rsidRDefault="00000000">
                        <w:pPr>
                          <w:spacing w:line="320" w:lineRule="exact"/>
                          <w:ind w:right="18"/>
                          <w:jc w:val="center"/>
                          <w:rPr>
                            <w:rFonts w:ascii="Calibri" w:hAnsi="Calibri"/>
                            <w:sz w:val="28"/>
                          </w:rPr>
                        </w:pPr>
                        <w:r>
                          <w:rPr>
                            <w:rFonts w:ascii="Calibri" w:hAnsi="Calibri"/>
                            <w:color w:val="FFFFFF"/>
                            <w:spacing w:val="-2"/>
                            <w:sz w:val="28"/>
                          </w:rPr>
                          <w:t>Estatutário</w:t>
                        </w:r>
                      </w:p>
                    </w:txbxContent>
                  </v:textbox>
                </v:shape>
                <v:shape id="Textbox 201" o:spid="_x0000_s1058" type="#_x0000_t202" style="position:absolute;left:21536;top:12236;width:14040;height:7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23D5905A" w14:textId="77777777" w:rsidR="002C6574" w:rsidRDefault="00000000">
                        <w:pPr>
                          <w:spacing w:line="268" w:lineRule="exact"/>
                          <w:ind w:right="18"/>
                          <w:jc w:val="center"/>
                          <w:rPr>
                            <w:rFonts w:ascii="Calibri" w:hAnsi="Calibri"/>
                            <w:sz w:val="28"/>
                          </w:rPr>
                        </w:pPr>
                        <w:r>
                          <w:rPr>
                            <w:rFonts w:ascii="Calibri" w:hAnsi="Calibri"/>
                            <w:color w:val="F1F1F1"/>
                            <w:sz w:val="28"/>
                          </w:rPr>
                          <w:t>Comitê</w:t>
                        </w:r>
                        <w:r>
                          <w:rPr>
                            <w:rFonts w:ascii="Calibri" w:hAnsi="Calibri"/>
                            <w:color w:val="F1F1F1"/>
                            <w:spacing w:val="-6"/>
                            <w:sz w:val="28"/>
                          </w:rPr>
                          <w:t xml:space="preserve"> </w:t>
                        </w:r>
                        <w:r>
                          <w:rPr>
                            <w:rFonts w:ascii="Calibri" w:hAnsi="Calibri"/>
                            <w:color w:val="F1F1F1"/>
                            <w:sz w:val="28"/>
                          </w:rPr>
                          <w:t>de</w:t>
                        </w:r>
                        <w:r>
                          <w:rPr>
                            <w:rFonts w:ascii="Calibri" w:hAnsi="Calibri"/>
                            <w:color w:val="F1F1F1"/>
                            <w:spacing w:val="-3"/>
                            <w:sz w:val="28"/>
                          </w:rPr>
                          <w:t xml:space="preserve"> </w:t>
                        </w:r>
                        <w:r>
                          <w:rPr>
                            <w:rFonts w:ascii="Calibri" w:hAnsi="Calibri"/>
                            <w:color w:val="F1F1F1"/>
                            <w:spacing w:val="-2"/>
                            <w:sz w:val="28"/>
                          </w:rPr>
                          <w:t>Pessoas,</w:t>
                        </w:r>
                      </w:p>
                      <w:p w14:paraId="530FA1D0" w14:textId="77777777" w:rsidR="002C6574" w:rsidRDefault="00000000">
                        <w:pPr>
                          <w:spacing w:before="9" w:line="216" w:lineRule="auto"/>
                          <w:ind w:left="309" w:right="330" w:firstLine="3"/>
                          <w:jc w:val="center"/>
                          <w:rPr>
                            <w:rFonts w:ascii="Calibri" w:hAnsi="Calibri"/>
                            <w:sz w:val="28"/>
                          </w:rPr>
                        </w:pPr>
                        <w:r>
                          <w:rPr>
                            <w:rFonts w:ascii="Calibri" w:hAnsi="Calibri"/>
                            <w:color w:val="F1F1F1"/>
                            <w:spacing w:val="-2"/>
                            <w:sz w:val="28"/>
                          </w:rPr>
                          <w:t xml:space="preserve">Elegibilidade, </w:t>
                        </w:r>
                        <w:r>
                          <w:rPr>
                            <w:rFonts w:ascii="Calibri" w:hAnsi="Calibri"/>
                            <w:color w:val="F1F1F1"/>
                            <w:sz w:val="28"/>
                          </w:rPr>
                          <w:t xml:space="preserve">Sucessão e </w:t>
                        </w:r>
                        <w:r>
                          <w:rPr>
                            <w:rFonts w:ascii="Calibri" w:hAnsi="Calibri"/>
                            <w:color w:val="F1F1F1"/>
                            <w:spacing w:val="-2"/>
                            <w:sz w:val="28"/>
                          </w:rPr>
                          <w:t>Remuneração</w:t>
                        </w:r>
                      </w:p>
                    </w:txbxContent>
                  </v:textbox>
                </v:shape>
                <v:shape id="Textbox 202" o:spid="_x0000_s1059" type="#_x0000_t202" style="position:absolute;left:2166;top:26993;width:1245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64F46454" w14:textId="77777777" w:rsidR="002C6574" w:rsidRDefault="00000000">
                        <w:pPr>
                          <w:spacing w:line="281" w:lineRule="exact"/>
                          <w:rPr>
                            <w:rFonts w:ascii="Calibri"/>
                            <w:sz w:val="28"/>
                          </w:rPr>
                        </w:pPr>
                        <w:r>
                          <w:rPr>
                            <w:rFonts w:ascii="Calibri"/>
                            <w:color w:val="F1F1F1"/>
                            <w:sz w:val="28"/>
                          </w:rPr>
                          <w:t>Auditoria</w:t>
                        </w:r>
                        <w:r>
                          <w:rPr>
                            <w:rFonts w:ascii="Calibri"/>
                            <w:color w:val="F1F1F1"/>
                            <w:spacing w:val="-11"/>
                            <w:sz w:val="28"/>
                          </w:rPr>
                          <w:t xml:space="preserve"> </w:t>
                        </w:r>
                        <w:r>
                          <w:rPr>
                            <w:rFonts w:ascii="Calibri"/>
                            <w:color w:val="F1F1F1"/>
                            <w:spacing w:val="-2"/>
                            <w:sz w:val="28"/>
                          </w:rPr>
                          <w:t>Interna</w:t>
                        </w:r>
                      </w:p>
                    </w:txbxContent>
                  </v:textbox>
                </v:shape>
                <v:shape id="Textbox 203" o:spid="_x0000_s1060" type="#_x0000_t202" style="position:absolute;left:24950;top:26993;width:722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0827634D" w14:textId="77777777" w:rsidR="002C6574" w:rsidRDefault="00000000">
                        <w:pPr>
                          <w:spacing w:line="281" w:lineRule="exact"/>
                          <w:rPr>
                            <w:rFonts w:ascii="Calibri"/>
                            <w:sz w:val="28"/>
                          </w:rPr>
                        </w:pPr>
                        <w:r>
                          <w:rPr>
                            <w:rFonts w:ascii="Calibri"/>
                            <w:color w:val="F1F1F1"/>
                            <w:spacing w:val="-2"/>
                            <w:sz w:val="28"/>
                          </w:rPr>
                          <w:t>Ouvidoria</w:t>
                        </w:r>
                      </w:p>
                    </w:txbxContent>
                  </v:textbox>
                </v:shape>
                <w10:wrap type="topAndBottom" anchorx="page"/>
              </v:group>
            </w:pict>
          </mc:Fallback>
        </mc:AlternateContent>
      </w:r>
    </w:p>
    <w:p w14:paraId="25383C1F" w14:textId="77777777" w:rsidR="002C6574" w:rsidRDefault="002C6574">
      <w:pPr>
        <w:pStyle w:val="Corpodetexto"/>
        <w:rPr>
          <w:rFonts w:ascii="Calibri"/>
          <w:sz w:val="24"/>
        </w:rPr>
      </w:pPr>
    </w:p>
    <w:p w14:paraId="7967348B" w14:textId="77777777" w:rsidR="002C6574" w:rsidRDefault="002C6574">
      <w:pPr>
        <w:pStyle w:val="Corpodetexto"/>
        <w:spacing w:before="45"/>
        <w:rPr>
          <w:rFonts w:ascii="Calibri"/>
          <w:sz w:val="24"/>
        </w:rPr>
      </w:pPr>
    </w:p>
    <w:p w14:paraId="0757BD0C" w14:textId="77777777" w:rsidR="002C6574" w:rsidRDefault="00000000">
      <w:pPr>
        <w:spacing w:before="1"/>
        <w:ind w:left="1277"/>
        <w:rPr>
          <w:rFonts w:ascii="Calibri" w:hAnsi="Calibri"/>
          <w:b/>
        </w:rPr>
      </w:pPr>
      <w:r>
        <w:rPr>
          <w:rFonts w:ascii="Calibri" w:hAnsi="Calibri"/>
          <w:b/>
          <w:color w:val="001F5F"/>
        </w:rPr>
        <w:t>Organograma</w:t>
      </w:r>
      <w:r>
        <w:rPr>
          <w:rFonts w:ascii="Calibri" w:hAnsi="Calibri"/>
          <w:b/>
          <w:color w:val="001F5F"/>
          <w:spacing w:val="-9"/>
        </w:rPr>
        <w:t xml:space="preserve"> </w:t>
      </w:r>
      <w:r>
        <w:rPr>
          <w:rFonts w:ascii="Calibri" w:hAnsi="Calibri"/>
          <w:b/>
          <w:color w:val="001F5F"/>
        </w:rPr>
        <w:t>e</w:t>
      </w:r>
      <w:r>
        <w:rPr>
          <w:rFonts w:ascii="Calibri" w:hAnsi="Calibri"/>
          <w:b/>
          <w:color w:val="001F5F"/>
          <w:spacing w:val="-10"/>
        </w:rPr>
        <w:t xml:space="preserve"> </w:t>
      </w:r>
      <w:r>
        <w:rPr>
          <w:rFonts w:ascii="Calibri" w:hAnsi="Calibri"/>
          <w:b/>
          <w:color w:val="001F5F"/>
        </w:rPr>
        <w:t>Competências</w:t>
      </w:r>
      <w:r>
        <w:rPr>
          <w:rFonts w:ascii="Calibri" w:hAnsi="Calibri"/>
          <w:b/>
          <w:color w:val="001F5F"/>
          <w:spacing w:val="-7"/>
        </w:rPr>
        <w:t xml:space="preserve"> </w:t>
      </w:r>
      <w:r>
        <w:rPr>
          <w:rFonts w:ascii="Calibri" w:hAnsi="Calibri"/>
          <w:b/>
          <w:color w:val="001F5F"/>
        </w:rPr>
        <w:t>disponíveis</w:t>
      </w:r>
      <w:r>
        <w:rPr>
          <w:rFonts w:ascii="Calibri" w:hAnsi="Calibri"/>
          <w:b/>
          <w:color w:val="001F5F"/>
          <w:spacing w:val="-7"/>
        </w:rPr>
        <w:t xml:space="preserve"> </w:t>
      </w:r>
      <w:r>
        <w:rPr>
          <w:rFonts w:ascii="Calibri" w:hAnsi="Calibri"/>
          <w:b/>
          <w:color w:val="001F5F"/>
          <w:spacing w:val="-5"/>
        </w:rPr>
        <w:t>em:</w:t>
      </w:r>
    </w:p>
    <w:p w14:paraId="4BFC3546" w14:textId="77777777" w:rsidR="002C6574" w:rsidRDefault="00000000">
      <w:pPr>
        <w:ind w:left="1327"/>
        <w:rPr>
          <w:rFonts w:ascii="Calibri"/>
          <w:i/>
        </w:rPr>
      </w:pPr>
      <w:r>
        <w:rPr>
          <w:rFonts w:ascii="Calibri"/>
          <w:i/>
          <w:color w:val="001F5F"/>
          <w:spacing w:val="-2"/>
        </w:rPr>
        <w:t>https://</w:t>
      </w:r>
      <w:hyperlink r:id="rId135">
        <w:r>
          <w:rPr>
            <w:rFonts w:ascii="Calibri"/>
            <w:i/>
            <w:color w:val="001F5F"/>
            <w:spacing w:val="-2"/>
          </w:rPr>
          <w:t>www.telebras.com.br/organograma/</w:t>
        </w:r>
      </w:hyperlink>
    </w:p>
    <w:p w14:paraId="259495F3" w14:textId="77777777" w:rsidR="002C6574" w:rsidRDefault="002C6574">
      <w:pPr>
        <w:rPr>
          <w:rFonts w:ascii="Calibri"/>
          <w:i/>
        </w:rPr>
        <w:sectPr w:rsidR="002C6574">
          <w:pgSz w:w="12240" w:h="15840"/>
          <w:pgMar w:top="900" w:right="425" w:bottom="1220" w:left="425" w:header="674" w:footer="1036" w:gutter="0"/>
          <w:cols w:space="720"/>
        </w:sectPr>
      </w:pPr>
    </w:p>
    <w:p w14:paraId="504944BF" w14:textId="77777777" w:rsidR="002C6574" w:rsidRDefault="00000000">
      <w:pPr>
        <w:pStyle w:val="Ttulo4"/>
        <w:tabs>
          <w:tab w:val="left" w:pos="1708"/>
        </w:tabs>
      </w:pPr>
      <w:bookmarkStart w:id="2" w:name="_bookmark2"/>
      <w:bookmarkEnd w:id="2"/>
      <w:r>
        <w:rPr>
          <w:color w:val="001F5F"/>
          <w:spacing w:val="-10"/>
        </w:rPr>
        <w:lastRenderedPageBreak/>
        <w:t>3</w:t>
      </w:r>
      <w:r>
        <w:rPr>
          <w:color w:val="001F5F"/>
        </w:rPr>
        <w:tab/>
        <w:t>Composição</w:t>
      </w:r>
      <w:r>
        <w:rPr>
          <w:color w:val="001F5F"/>
          <w:spacing w:val="-4"/>
        </w:rPr>
        <w:t xml:space="preserve"> </w:t>
      </w:r>
      <w:r>
        <w:rPr>
          <w:color w:val="001F5F"/>
        </w:rPr>
        <w:t>do</w:t>
      </w:r>
      <w:r>
        <w:rPr>
          <w:color w:val="001F5F"/>
          <w:spacing w:val="-4"/>
        </w:rPr>
        <w:t xml:space="preserve"> </w:t>
      </w:r>
      <w:r>
        <w:rPr>
          <w:color w:val="001F5F"/>
        </w:rPr>
        <w:t>Comitê</w:t>
      </w:r>
      <w:r>
        <w:rPr>
          <w:color w:val="001F5F"/>
          <w:spacing w:val="-3"/>
        </w:rPr>
        <w:t xml:space="preserve"> </w:t>
      </w:r>
      <w:r>
        <w:rPr>
          <w:color w:val="001F5F"/>
        </w:rPr>
        <w:t>de</w:t>
      </w:r>
      <w:r>
        <w:rPr>
          <w:color w:val="001F5F"/>
          <w:spacing w:val="-4"/>
        </w:rPr>
        <w:t xml:space="preserve"> </w:t>
      </w:r>
      <w:r>
        <w:rPr>
          <w:color w:val="001F5F"/>
          <w:spacing w:val="-2"/>
        </w:rPr>
        <w:t>Auditoria</w:t>
      </w:r>
    </w:p>
    <w:p w14:paraId="25DF3971" w14:textId="77777777" w:rsidR="002C6574" w:rsidRDefault="00000000">
      <w:pPr>
        <w:spacing w:before="295"/>
        <w:ind w:left="1277" w:right="1179" w:firstLine="851"/>
        <w:jc w:val="both"/>
        <w:rPr>
          <w:rFonts w:ascii="Calibri" w:hAnsi="Calibri"/>
          <w:sz w:val="24"/>
        </w:rPr>
      </w:pPr>
      <w:r>
        <w:rPr>
          <w:rFonts w:ascii="Calibri" w:hAnsi="Calibri"/>
          <w:color w:val="001F5F"/>
          <w:sz w:val="24"/>
        </w:rPr>
        <w:t>O Conselho de Administração em sua 520ª Reunião Ordinária de 29 de julho de 2025, efetivou a renúncia de mandato do senhor Jorge Ricardo Bittar e elegeu para a vaga de Presidente do Comitê de Auditoria, o senhor Jerônimo José Cabral Guedes, em complementação de mandato com término em 10 de julho de 2027.</w:t>
      </w:r>
    </w:p>
    <w:p w14:paraId="7FAB66A9" w14:textId="77777777" w:rsidR="002C6574" w:rsidRDefault="00000000">
      <w:pPr>
        <w:spacing w:before="292"/>
        <w:ind w:left="1277" w:right="1176" w:firstLine="851"/>
        <w:jc w:val="both"/>
        <w:rPr>
          <w:rFonts w:ascii="Calibri" w:hAnsi="Calibri"/>
          <w:sz w:val="24"/>
        </w:rPr>
      </w:pPr>
      <w:r>
        <w:rPr>
          <w:rFonts w:ascii="Calibri" w:hAnsi="Calibri"/>
          <w:color w:val="001F5F"/>
          <w:sz w:val="24"/>
        </w:rPr>
        <w:t>O</w:t>
      </w:r>
      <w:r>
        <w:rPr>
          <w:rFonts w:ascii="Calibri" w:hAnsi="Calibri"/>
          <w:color w:val="001F5F"/>
          <w:spacing w:val="-14"/>
          <w:sz w:val="24"/>
        </w:rPr>
        <w:t xml:space="preserve"> </w:t>
      </w:r>
      <w:r>
        <w:rPr>
          <w:rFonts w:ascii="Calibri" w:hAnsi="Calibri"/>
          <w:color w:val="001F5F"/>
          <w:sz w:val="24"/>
        </w:rPr>
        <w:t>Conselho</w:t>
      </w:r>
      <w:r>
        <w:rPr>
          <w:rFonts w:ascii="Calibri" w:hAnsi="Calibri"/>
          <w:color w:val="001F5F"/>
          <w:spacing w:val="-14"/>
          <w:sz w:val="24"/>
        </w:rPr>
        <w:t xml:space="preserve"> </w:t>
      </w:r>
      <w:r>
        <w:rPr>
          <w:rFonts w:ascii="Calibri" w:hAnsi="Calibri"/>
          <w:color w:val="001F5F"/>
          <w:sz w:val="24"/>
        </w:rPr>
        <w:t>de</w:t>
      </w:r>
      <w:r>
        <w:rPr>
          <w:rFonts w:ascii="Calibri" w:hAnsi="Calibri"/>
          <w:color w:val="001F5F"/>
          <w:spacing w:val="-13"/>
          <w:sz w:val="24"/>
        </w:rPr>
        <w:t xml:space="preserve"> </w:t>
      </w:r>
      <w:r>
        <w:rPr>
          <w:rFonts w:ascii="Calibri" w:hAnsi="Calibri"/>
          <w:color w:val="001F5F"/>
          <w:sz w:val="24"/>
        </w:rPr>
        <w:t>Administração</w:t>
      </w:r>
      <w:r>
        <w:rPr>
          <w:rFonts w:ascii="Calibri" w:hAnsi="Calibri"/>
          <w:color w:val="001F5F"/>
          <w:spacing w:val="-14"/>
          <w:sz w:val="24"/>
        </w:rPr>
        <w:t xml:space="preserve"> </w:t>
      </w:r>
      <w:r>
        <w:rPr>
          <w:rFonts w:ascii="Calibri" w:hAnsi="Calibri"/>
          <w:color w:val="001F5F"/>
          <w:sz w:val="24"/>
        </w:rPr>
        <w:t>elegeu,</w:t>
      </w:r>
      <w:r>
        <w:rPr>
          <w:rFonts w:ascii="Calibri" w:hAnsi="Calibri"/>
          <w:color w:val="001F5F"/>
          <w:spacing w:val="-13"/>
          <w:sz w:val="24"/>
        </w:rPr>
        <w:t xml:space="preserve"> </w:t>
      </w:r>
      <w:r>
        <w:rPr>
          <w:rFonts w:ascii="Calibri" w:hAnsi="Calibri"/>
          <w:color w:val="001F5F"/>
          <w:sz w:val="24"/>
        </w:rPr>
        <w:t>em</w:t>
      </w:r>
      <w:r>
        <w:rPr>
          <w:rFonts w:ascii="Calibri" w:hAnsi="Calibri"/>
          <w:color w:val="001F5F"/>
          <w:spacing w:val="-14"/>
          <w:sz w:val="24"/>
        </w:rPr>
        <w:t xml:space="preserve"> </w:t>
      </w:r>
      <w:r>
        <w:rPr>
          <w:rFonts w:ascii="Calibri" w:hAnsi="Calibri"/>
          <w:color w:val="001F5F"/>
          <w:sz w:val="24"/>
        </w:rPr>
        <w:t>sua</w:t>
      </w:r>
      <w:r>
        <w:rPr>
          <w:rFonts w:ascii="Calibri" w:hAnsi="Calibri"/>
          <w:color w:val="001F5F"/>
          <w:spacing w:val="-13"/>
          <w:sz w:val="24"/>
        </w:rPr>
        <w:t xml:space="preserve"> </w:t>
      </w:r>
      <w:r>
        <w:rPr>
          <w:rFonts w:ascii="Calibri" w:hAnsi="Calibri"/>
          <w:color w:val="001F5F"/>
          <w:sz w:val="24"/>
        </w:rPr>
        <w:t>494ª</w:t>
      </w:r>
      <w:r>
        <w:rPr>
          <w:rFonts w:ascii="Calibri" w:hAnsi="Calibri"/>
          <w:color w:val="001F5F"/>
          <w:spacing w:val="-14"/>
          <w:sz w:val="24"/>
        </w:rPr>
        <w:t xml:space="preserve"> </w:t>
      </w:r>
      <w:r>
        <w:rPr>
          <w:rFonts w:ascii="Calibri" w:hAnsi="Calibri"/>
          <w:color w:val="001F5F"/>
          <w:sz w:val="24"/>
        </w:rPr>
        <w:t>Reunião</w:t>
      </w:r>
      <w:r>
        <w:rPr>
          <w:rFonts w:ascii="Calibri" w:hAnsi="Calibri"/>
          <w:color w:val="001F5F"/>
          <w:spacing w:val="-14"/>
          <w:sz w:val="24"/>
        </w:rPr>
        <w:t xml:space="preserve"> </w:t>
      </w:r>
      <w:r>
        <w:rPr>
          <w:rFonts w:ascii="Calibri" w:hAnsi="Calibri"/>
          <w:color w:val="001F5F"/>
          <w:sz w:val="24"/>
        </w:rPr>
        <w:t>Ordinária,</w:t>
      </w:r>
      <w:r>
        <w:rPr>
          <w:rFonts w:ascii="Calibri" w:hAnsi="Calibri"/>
          <w:color w:val="001F5F"/>
          <w:spacing w:val="-13"/>
          <w:sz w:val="24"/>
        </w:rPr>
        <w:t xml:space="preserve"> </w:t>
      </w:r>
      <w:r>
        <w:rPr>
          <w:rFonts w:ascii="Calibri" w:hAnsi="Calibri"/>
          <w:color w:val="001F5F"/>
          <w:sz w:val="24"/>
        </w:rPr>
        <w:t>de</w:t>
      </w:r>
      <w:r>
        <w:rPr>
          <w:rFonts w:ascii="Calibri" w:hAnsi="Calibri"/>
          <w:color w:val="001F5F"/>
          <w:spacing w:val="-14"/>
          <w:sz w:val="24"/>
        </w:rPr>
        <w:t xml:space="preserve"> </w:t>
      </w:r>
      <w:r>
        <w:rPr>
          <w:rFonts w:ascii="Calibri" w:hAnsi="Calibri"/>
          <w:color w:val="001F5F"/>
          <w:sz w:val="24"/>
        </w:rPr>
        <w:t>29</w:t>
      </w:r>
      <w:r>
        <w:rPr>
          <w:rFonts w:ascii="Calibri" w:hAnsi="Calibri"/>
          <w:color w:val="001F5F"/>
          <w:spacing w:val="-13"/>
          <w:sz w:val="24"/>
        </w:rPr>
        <w:t xml:space="preserve"> </w:t>
      </w:r>
      <w:r>
        <w:rPr>
          <w:rFonts w:ascii="Calibri" w:hAnsi="Calibri"/>
          <w:color w:val="001F5F"/>
          <w:sz w:val="24"/>
        </w:rPr>
        <w:t>de</w:t>
      </w:r>
      <w:r>
        <w:rPr>
          <w:rFonts w:ascii="Calibri" w:hAnsi="Calibri"/>
          <w:color w:val="001F5F"/>
          <w:spacing w:val="-14"/>
          <w:sz w:val="24"/>
        </w:rPr>
        <w:t xml:space="preserve"> </w:t>
      </w:r>
      <w:r>
        <w:rPr>
          <w:rFonts w:ascii="Calibri" w:hAnsi="Calibri"/>
          <w:color w:val="001F5F"/>
          <w:sz w:val="24"/>
        </w:rPr>
        <w:t>maio de 2023, a senhora Paula Vicente</w:t>
      </w:r>
      <w:r>
        <w:rPr>
          <w:rFonts w:ascii="Calibri" w:hAnsi="Calibri"/>
          <w:color w:val="001F5F"/>
          <w:spacing w:val="-1"/>
          <w:sz w:val="24"/>
        </w:rPr>
        <w:t xml:space="preserve"> </w:t>
      </w:r>
      <w:r>
        <w:rPr>
          <w:rFonts w:ascii="Calibri" w:hAnsi="Calibri"/>
          <w:color w:val="001F5F"/>
          <w:sz w:val="24"/>
        </w:rPr>
        <w:t>da Silva, para</w:t>
      </w:r>
      <w:r>
        <w:rPr>
          <w:rFonts w:ascii="Calibri" w:hAnsi="Calibri"/>
          <w:color w:val="001F5F"/>
          <w:spacing w:val="-1"/>
          <w:sz w:val="24"/>
        </w:rPr>
        <w:t xml:space="preserve"> </w:t>
      </w:r>
      <w:r>
        <w:rPr>
          <w:rFonts w:ascii="Calibri" w:hAnsi="Calibri"/>
          <w:color w:val="001F5F"/>
          <w:sz w:val="24"/>
        </w:rPr>
        <w:t>mandato de</w:t>
      </w:r>
      <w:r>
        <w:rPr>
          <w:rFonts w:ascii="Calibri" w:hAnsi="Calibri"/>
          <w:color w:val="001F5F"/>
          <w:spacing w:val="-1"/>
          <w:sz w:val="24"/>
        </w:rPr>
        <w:t xml:space="preserve"> </w:t>
      </w:r>
      <w:r>
        <w:rPr>
          <w:rFonts w:ascii="Calibri" w:hAnsi="Calibri"/>
          <w:color w:val="001F5F"/>
          <w:sz w:val="24"/>
        </w:rPr>
        <w:t>2 (dois) anos. Na 518ª Reunião Ordinária</w:t>
      </w:r>
      <w:r>
        <w:rPr>
          <w:rFonts w:ascii="Calibri" w:hAnsi="Calibri"/>
          <w:color w:val="001F5F"/>
          <w:spacing w:val="-12"/>
          <w:sz w:val="24"/>
        </w:rPr>
        <w:t xml:space="preserve"> </w:t>
      </w:r>
      <w:r>
        <w:rPr>
          <w:rFonts w:ascii="Calibri" w:hAnsi="Calibri"/>
          <w:color w:val="001F5F"/>
          <w:sz w:val="24"/>
        </w:rPr>
        <w:t>do</w:t>
      </w:r>
      <w:r>
        <w:rPr>
          <w:rFonts w:ascii="Calibri" w:hAnsi="Calibri"/>
          <w:color w:val="001F5F"/>
          <w:spacing w:val="-9"/>
          <w:sz w:val="24"/>
        </w:rPr>
        <w:t xml:space="preserve"> </w:t>
      </w:r>
      <w:r>
        <w:rPr>
          <w:rFonts w:ascii="Calibri" w:hAnsi="Calibri"/>
          <w:color w:val="001F5F"/>
          <w:sz w:val="24"/>
        </w:rPr>
        <w:t>Conselho</w:t>
      </w:r>
      <w:r>
        <w:rPr>
          <w:rFonts w:ascii="Calibri" w:hAnsi="Calibri"/>
          <w:color w:val="001F5F"/>
          <w:spacing w:val="-9"/>
          <w:sz w:val="24"/>
        </w:rPr>
        <w:t xml:space="preserve"> </w:t>
      </w:r>
      <w:r>
        <w:rPr>
          <w:rFonts w:ascii="Calibri" w:hAnsi="Calibri"/>
          <w:color w:val="001F5F"/>
          <w:sz w:val="24"/>
        </w:rPr>
        <w:t>de</w:t>
      </w:r>
      <w:r>
        <w:rPr>
          <w:rFonts w:ascii="Calibri" w:hAnsi="Calibri"/>
          <w:color w:val="001F5F"/>
          <w:spacing w:val="-9"/>
          <w:sz w:val="24"/>
        </w:rPr>
        <w:t xml:space="preserve"> </w:t>
      </w:r>
      <w:r>
        <w:rPr>
          <w:rFonts w:ascii="Calibri" w:hAnsi="Calibri"/>
          <w:color w:val="001F5F"/>
          <w:sz w:val="24"/>
        </w:rPr>
        <w:t>Administração,</w:t>
      </w:r>
      <w:r>
        <w:rPr>
          <w:rFonts w:ascii="Calibri" w:hAnsi="Calibri"/>
          <w:color w:val="001F5F"/>
          <w:spacing w:val="-12"/>
          <w:sz w:val="24"/>
        </w:rPr>
        <w:t xml:space="preserve"> </w:t>
      </w:r>
      <w:r>
        <w:rPr>
          <w:rFonts w:ascii="Calibri" w:hAnsi="Calibri"/>
          <w:color w:val="001F5F"/>
          <w:sz w:val="24"/>
        </w:rPr>
        <w:t>o</w:t>
      </w:r>
      <w:r>
        <w:rPr>
          <w:rFonts w:ascii="Calibri" w:hAnsi="Calibri"/>
          <w:color w:val="001F5F"/>
          <w:spacing w:val="-9"/>
          <w:sz w:val="24"/>
        </w:rPr>
        <w:t xml:space="preserve"> </w:t>
      </w:r>
      <w:r>
        <w:rPr>
          <w:rFonts w:ascii="Calibri" w:hAnsi="Calibri"/>
          <w:color w:val="001F5F"/>
          <w:sz w:val="24"/>
        </w:rPr>
        <w:t>mandato</w:t>
      </w:r>
      <w:r>
        <w:rPr>
          <w:rFonts w:ascii="Calibri" w:hAnsi="Calibri"/>
          <w:color w:val="001F5F"/>
          <w:spacing w:val="-12"/>
          <w:sz w:val="24"/>
        </w:rPr>
        <w:t xml:space="preserve"> </w:t>
      </w:r>
      <w:r>
        <w:rPr>
          <w:rFonts w:ascii="Calibri" w:hAnsi="Calibri"/>
          <w:color w:val="001F5F"/>
          <w:sz w:val="24"/>
        </w:rPr>
        <w:t>foi</w:t>
      </w:r>
      <w:r>
        <w:rPr>
          <w:rFonts w:ascii="Calibri" w:hAnsi="Calibri"/>
          <w:color w:val="001F5F"/>
          <w:spacing w:val="-11"/>
          <w:sz w:val="24"/>
        </w:rPr>
        <w:t xml:space="preserve"> </w:t>
      </w:r>
      <w:r>
        <w:rPr>
          <w:rFonts w:ascii="Calibri" w:hAnsi="Calibri"/>
          <w:color w:val="001F5F"/>
          <w:sz w:val="24"/>
        </w:rPr>
        <w:t>prorrogado</w:t>
      </w:r>
      <w:r>
        <w:rPr>
          <w:rFonts w:ascii="Calibri" w:hAnsi="Calibri"/>
          <w:color w:val="001F5F"/>
          <w:spacing w:val="-12"/>
          <w:sz w:val="24"/>
        </w:rPr>
        <w:t xml:space="preserve"> </w:t>
      </w:r>
      <w:r>
        <w:rPr>
          <w:rFonts w:ascii="Calibri" w:hAnsi="Calibri"/>
          <w:color w:val="001F5F"/>
          <w:sz w:val="24"/>
        </w:rPr>
        <w:t>por</w:t>
      </w:r>
      <w:r>
        <w:rPr>
          <w:rFonts w:ascii="Calibri" w:hAnsi="Calibri"/>
          <w:color w:val="001F5F"/>
          <w:spacing w:val="-11"/>
          <w:sz w:val="24"/>
        </w:rPr>
        <w:t xml:space="preserve"> </w:t>
      </w:r>
      <w:r>
        <w:rPr>
          <w:rFonts w:ascii="Calibri" w:hAnsi="Calibri"/>
          <w:color w:val="001F5F"/>
          <w:sz w:val="24"/>
        </w:rPr>
        <w:t>mais</w:t>
      </w:r>
      <w:r>
        <w:rPr>
          <w:rFonts w:ascii="Calibri" w:hAnsi="Calibri"/>
          <w:color w:val="001F5F"/>
          <w:spacing w:val="-10"/>
          <w:sz w:val="24"/>
        </w:rPr>
        <w:t xml:space="preserve"> </w:t>
      </w:r>
      <w:r>
        <w:rPr>
          <w:rFonts w:ascii="Calibri" w:hAnsi="Calibri"/>
          <w:color w:val="001F5F"/>
          <w:sz w:val="24"/>
        </w:rPr>
        <w:t>dois</w:t>
      </w:r>
      <w:r>
        <w:rPr>
          <w:rFonts w:ascii="Calibri" w:hAnsi="Calibri"/>
          <w:color w:val="001F5F"/>
          <w:spacing w:val="-9"/>
          <w:sz w:val="24"/>
        </w:rPr>
        <w:t xml:space="preserve"> </w:t>
      </w:r>
      <w:r>
        <w:rPr>
          <w:rFonts w:ascii="Calibri" w:hAnsi="Calibri"/>
          <w:color w:val="001F5F"/>
          <w:sz w:val="24"/>
        </w:rPr>
        <w:t>anos,</w:t>
      </w:r>
      <w:r>
        <w:rPr>
          <w:rFonts w:ascii="Calibri" w:hAnsi="Calibri"/>
          <w:color w:val="001F5F"/>
          <w:spacing w:val="-4"/>
          <w:sz w:val="24"/>
        </w:rPr>
        <w:t xml:space="preserve"> </w:t>
      </w:r>
      <w:r>
        <w:rPr>
          <w:rFonts w:ascii="Calibri" w:hAnsi="Calibri"/>
          <w:color w:val="001F5F"/>
          <w:sz w:val="24"/>
        </w:rPr>
        <w:t>para o período de 10 de julho de 2025 a 09 de julho de 2027.</w:t>
      </w:r>
    </w:p>
    <w:p w14:paraId="6D8E4D97" w14:textId="77777777" w:rsidR="002C6574" w:rsidRDefault="00000000">
      <w:pPr>
        <w:spacing w:before="292"/>
        <w:ind w:left="1277" w:right="1174" w:firstLine="851"/>
        <w:jc w:val="both"/>
        <w:rPr>
          <w:rFonts w:ascii="Calibri" w:hAnsi="Calibri"/>
          <w:sz w:val="24"/>
        </w:rPr>
      </w:pPr>
      <w:r>
        <w:rPr>
          <w:rFonts w:ascii="Calibri" w:hAnsi="Calibri"/>
          <w:color w:val="001F5F"/>
          <w:sz w:val="24"/>
        </w:rPr>
        <w:t>O</w:t>
      </w:r>
      <w:r>
        <w:rPr>
          <w:rFonts w:ascii="Calibri" w:hAnsi="Calibri"/>
          <w:color w:val="001F5F"/>
          <w:spacing w:val="-11"/>
          <w:sz w:val="24"/>
        </w:rPr>
        <w:t xml:space="preserve"> </w:t>
      </w:r>
      <w:r>
        <w:rPr>
          <w:rFonts w:ascii="Calibri" w:hAnsi="Calibri"/>
          <w:color w:val="001F5F"/>
          <w:sz w:val="24"/>
        </w:rPr>
        <w:t>Conselho</w:t>
      </w:r>
      <w:r>
        <w:rPr>
          <w:rFonts w:ascii="Calibri" w:hAnsi="Calibri"/>
          <w:color w:val="001F5F"/>
          <w:spacing w:val="-12"/>
          <w:sz w:val="24"/>
        </w:rPr>
        <w:t xml:space="preserve"> </w:t>
      </w:r>
      <w:r>
        <w:rPr>
          <w:rFonts w:ascii="Calibri" w:hAnsi="Calibri"/>
          <w:color w:val="001F5F"/>
          <w:sz w:val="24"/>
        </w:rPr>
        <w:t>de</w:t>
      </w:r>
      <w:r>
        <w:rPr>
          <w:rFonts w:ascii="Calibri" w:hAnsi="Calibri"/>
          <w:color w:val="001F5F"/>
          <w:spacing w:val="-12"/>
          <w:sz w:val="24"/>
        </w:rPr>
        <w:t xml:space="preserve"> </w:t>
      </w:r>
      <w:r>
        <w:rPr>
          <w:rFonts w:ascii="Calibri" w:hAnsi="Calibri"/>
          <w:color w:val="001F5F"/>
          <w:sz w:val="24"/>
        </w:rPr>
        <w:t>Administração</w:t>
      </w:r>
      <w:r>
        <w:rPr>
          <w:rFonts w:ascii="Calibri" w:hAnsi="Calibri"/>
          <w:color w:val="001F5F"/>
          <w:spacing w:val="-9"/>
          <w:sz w:val="24"/>
        </w:rPr>
        <w:t xml:space="preserve"> </w:t>
      </w:r>
      <w:r>
        <w:rPr>
          <w:rFonts w:ascii="Calibri" w:hAnsi="Calibri"/>
          <w:color w:val="001F5F"/>
          <w:sz w:val="24"/>
        </w:rPr>
        <w:t>elegeu,</w:t>
      </w:r>
      <w:r>
        <w:rPr>
          <w:rFonts w:ascii="Calibri" w:hAnsi="Calibri"/>
          <w:color w:val="001F5F"/>
          <w:spacing w:val="-12"/>
          <w:sz w:val="24"/>
        </w:rPr>
        <w:t xml:space="preserve"> </w:t>
      </w:r>
      <w:r>
        <w:rPr>
          <w:rFonts w:ascii="Calibri" w:hAnsi="Calibri"/>
          <w:color w:val="001F5F"/>
          <w:sz w:val="24"/>
        </w:rPr>
        <w:t>em</w:t>
      </w:r>
      <w:r>
        <w:rPr>
          <w:rFonts w:ascii="Calibri" w:hAnsi="Calibri"/>
          <w:color w:val="001F5F"/>
          <w:spacing w:val="-11"/>
          <w:sz w:val="24"/>
        </w:rPr>
        <w:t xml:space="preserve"> </w:t>
      </w:r>
      <w:r>
        <w:rPr>
          <w:rFonts w:ascii="Calibri" w:hAnsi="Calibri"/>
          <w:color w:val="001F5F"/>
          <w:sz w:val="24"/>
        </w:rPr>
        <w:t>sua</w:t>
      </w:r>
      <w:r>
        <w:rPr>
          <w:rFonts w:ascii="Calibri" w:hAnsi="Calibri"/>
          <w:color w:val="001F5F"/>
          <w:spacing w:val="-9"/>
          <w:sz w:val="24"/>
        </w:rPr>
        <w:t xml:space="preserve"> </w:t>
      </w:r>
      <w:r>
        <w:rPr>
          <w:rFonts w:ascii="Calibri" w:hAnsi="Calibri"/>
          <w:color w:val="001F5F"/>
          <w:sz w:val="24"/>
        </w:rPr>
        <w:t>517ª</w:t>
      </w:r>
      <w:r>
        <w:rPr>
          <w:rFonts w:ascii="Calibri" w:hAnsi="Calibri"/>
          <w:color w:val="001F5F"/>
          <w:spacing w:val="-10"/>
          <w:sz w:val="24"/>
        </w:rPr>
        <w:t xml:space="preserve"> </w:t>
      </w:r>
      <w:r>
        <w:rPr>
          <w:rFonts w:ascii="Calibri" w:hAnsi="Calibri"/>
          <w:color w:val="001F5F"/>
          <w:sz w:val="24"/>
        </w:rPr>
        <w:t>Reunião</w:t>
      </w:r>
      <w:r>
        <w:rPr>
          <w:rFonts w:ascii="Calibri" w:hAnsi="Calibri"/>
          <w:color w:val="001F5F"/>
          <w:spacing w:val="-10"/>
          <w:sz w:val="24"/>
        </w:rPr>
        <w:t xml:space="preserve"> </w:t>
      </w:r>
      <w:r>
        <w:rPr>
          <w:rFonts w:ascii="Calibri" w:hAnsi="Calibri"/>
          <w:color w:val="001F5F"/>
          <w:sz w:val="24"/>
        </w:rPr>
        <w:t>Ordinária,</w:t>
      </w:r>
      <w:r>
        <w:rPr>
          <w:rFonts w:ascii="Calibri" w:hAnsi="Calibri"/>
          <w:color w:val="001F5F"/>
          <w:spacing w:val="-10"/>
          <w:sz w:val="24"/>
        </w:rPr>
        <w:t xml:space="preserve"> </w:t>
      </w:r>
      <w:r>
        <w:rPr>
          <w:rFonts w:ascii="Calibri" w:hAnsi="Calibri"/>
          <w:color w:val="001F5F"/>
          <w:sz w:val="24"/>
        </w:rPr>
        <w:t>de</w:t>
      </w:r>
      <w:r>
        <w:rPr>
          <w:rFonts w:ascii="Calibri" w:hAnsi="Calibri"/>
          <w:color w:val="001F5F"/>
          <w:spacing w:val="-14"/>
          <w:sz w:val="24"/>
        </w:rPr>
        <w:t xml:space="preserve"> </w:t>
      </w:r>
      <w:r>
        <w:rPr>
          <w:rFonts w:ascii="Calibri" w:hAnsi="Calibri"/>
          <w:color w:val="001F5F"/>
          <w:sz w:val="24"/>
        </w:rPr>
        <w:t>29</w:t>
      </w:r>
      <w:r>
        <w:rPr>
          <w:rFonts w:ascii="Calibri" w:hAnsi="Calibri"/>
          <w:color w:val="001F5F"/>
          <w:spacing w:val="-11"/>
          <w:sz w:val="24"/>
        </w:rPr>
        <w:t xml:space="preserve"> </w:t>
      </w:r>
      <w:r>
        <w:rPr>
          <w:rFonts w:ascii="Calibri" w:hAnsi="Calibri"/>
          <w:color w:val="001F5F"/>
          <w:sz w:val="24"/>
        </w:rPr>
        <w:t>de</w:t>
      </w:r>
      <w:r>
        <w:rPr>
          <w:rFonts w:ascii="Calibri" w:hAnsi="Calibri"/>
          <w:color w:val="001F5F"/>
          <w:spacing w:val="-11"/>
          <w:sz w:val="24"/>
        </w:rPr>
        <w:t xml:space="preserve"> </w:t>
      </w:r>
      <w:r>
        <w:rPr>
          <w:rFonts w:ascii="Calibri" w:hAnsi="Calibri"/>
          <w:color w:val="001F5F"/>
          <w:sz w:val="24"/>
        </w:rPr>
        <w:t>abril de</w:t>
      </w:r>
      <w:r>
        <w:rPr>
          <w:rFonts w:ascii="Calibri" w:hAnsi="Calibri"/>
          <w:color w:val="001F5F"/>
          <w:spacing w:val="-3"/>
          <w:sz w:val="24"/>
        </w:rPr>
        <w:t xml:space="preserve"> </w:t>
      </w:r>
      <w:r>
        <w:rPr>
          <w:rFonts w:ascii="Calibri" w:hAnsi="Calibri"/>
          <w:color w:val="001F5F"/>
          <w:sz w:val="24"/>
        </w:rPr>
        <w:t>2025,</w:t>
      </w:r>
      <w:r>
        <w:rPr>
          <w:rFonts w:ascii="Calibri" w:hAnsi="Calibri"/>
          <w:color w:val="001F5F"/>
          <w:spacing w:val="-6"/>
          <w:sz w:val="24"/>
        </w:rPr>
        <w:t xml:space="preserve"> </w:t>
      </w:r>
      <w:r>
        <w:rPr>
          <w:rFonts w:ascii="Calibri" w:hAnsi="Calibri"/>
          <w:color w:val="001F5F"/>
          <w:sz w:val="24"/>
        </w:rPr>
        <w:t>o</w:t>
      </w:r>
      <w:r>
        <w:rPr>
          <w:rFonts w:ascii="Calibri" w:hAnsi="Calibri"/>
          <w:color w:val="001F5F"/>
          <w:spacing w:val="-3"/>
          <w:sz w:val="24"/>
        </w:rPr>
        <w:t xml:space="preserve"> </w:t>
      </w:r>
      <w:r>
        <w:rPr>
          <w:rFonts w:ascii="Calibri" w:hAnsi="Calibri"/>
          <w:color w:val="001F5F"/>
          <w:sz w:val="24"/>
        </w:rPr>
        <w:t>senhor</w:t>
      </w:r>
      <w:r>
        <w:rPr>
          <w:rFonts w:ascii="Calibri" w:hAnsi="Calibri"/>
          <w:color w:val="001F5F"/>
          <w:spacing w:val="-3"/>
          <w:sz w:val="24"/>
        </w:rPr>
        <w:t xml:space="preserve"> </w:t>
      </w:r>
      <w:r>
        <w:rPr>
          <w:rFonts w:ascii="Calibri" w:hAnsi="Calibri"/>
          <w:color w:val="001F5F"/>
          <w:sz w:val="24"/>
        </w:rPr>
        <w:t>Cleber</w:t>
      </w:r>
      <w:r>
        <w:rPr>
          <w:rFonts w:ascii="Calibri" w:hAnsi="Calibri"/>
          <w:color w:val="001F5F"/>
          <w:spacing w:val="-6"/>
          <w:sz w:val="24"/>
        </w:rPr>
        <w:t xml:space="preserve"> </w:t>
      </w:r>
      <w:r>
        <w:rPr>
          <w:rFonts w:ascii="Calibri" w:hAnsi="Calibri"/>
          <w:color w:val="001F5F"/>
          <w:sz w:val="24"/>
        </w:rPr>
        <w:t>Santiago,</w:t>
      </w:r>
      <w:r>
        <w:rPr>
          <w:rFonts w:ascii="Calibri" w:hAnsi="Calibri"/>
          <w:color w:val="001F5F"/>
          <w:spacing w:val="-4"/>
          <w:sz w:val="24"/>
        </w:rPr>
        <w:t xml:space="preserve"> </w:t>
      </w:r>
      <w:r>
        <w:rPr>
          <w:rFonts w:ascii="Calibri" w:hAnsi="Calibri"/>
          <w:color w:val="001F5F"/>
          <w:sz w:val="24"/>
        </w:rPr>
        <w:t>para</w:t>
      </w:r>
      <w:r>
        <w:rPr>
          <w:rFonts w:ascii="Calibri" w:hAnsi="Calibri"/>
          <w:color w:val="001F5F"/>
          <w:spacing w:val="-4"/>
          <w:sz w:val="24"/>
        </w:rPr>
        <w:t xml:space="preserve"> </w:t>
      </w:r>
      <w:r>
        <w:rPr>
          <w:rFonts w:ascii="Calibri" w:hAnsi="Calibri"/>
          <w:color w:val="001F5F"/>
          <w:sz w:val="24"/>
        </w:rPr>
        <w:t>mandato</w:t>
      </w:r>
      <w:r>
        <w:rPr>
          <w:rFonts w:ascii="Calibri" w:hAnsi="Calibri"/>
          <w:color w:val="001F5F"/>
          <w:spacing w:val="-5"/>
          <w:sz w:val="24"/>
        </w:rPr>
        <w:t xml:space="preserve"> </w:t>
      </w:r>
      <w:r>
        <w:rPr>
          <w:rFonts w:ascii="Calibri" w:hAnsi="Calibri"/>
          <w:color w:val="001F5F"/>
          <w:sz w:val="24"/>
        </w:rPr>
        <w:t>de</w:t>
      </w:r>
      <w:r>
        <w:rPr>
          <w:rFonts w:ascii="Calibri" w:hAnsi="Calibri"/>
          <w:color w:val="001F5F"/>
          <w:spacing w:val="-3"/>
          <w:sz w:val="24"/>
        </w:rPr>
        <w:t xml:space="preserve"> </w:t>
      </w:r>
      <w:r>
        <w:rPr>
          <w:rFonts w:ascii="Calibri" w:hAnsi="Calibri"/>
          <w:color w:val="001F5F"/>
          <w:sz w:val="24"/>
        </w:rPr>
        <w:t>2</w:t>
      </w:r>
      <w:r>
        <w:rPr>
          <w:rFonts w:ascii="Calibri" w:hAnsi="Calibri"/>
          <w:color w:val="001F5F"/>
          <w:spacing w:val="-3"/>
          <w:sz w:val="24"/>
        </w:rPr>
        <w:t xml:space="preserve"> </w:t>
      </w:r>
      <w:r>
        <w:rPr>
          <w:rFonts w:ascii="Calibri" w:hAnsi="Calibri"/>
          <w:color w:val="001F5F"/>
          <w:sz w:val="24"/>
        </w:rPr>
        <w:t>(dois)</w:t>
      </w:r>
      <w:r>
        <w:rPr>
          <w:rFonts w:ascii="Calibri" w:hAnsi="Calibri"/>
          <w:color w:val="001F5F"/>
          <w:spacing w:val="-4"/>
          <w:sz w:val="24"/>
        </w:rPr>
        <w:t xml:space="preserve"> </w:t>
      </w:r>
      <w:r>
        <w:rPr>
          <w:rFonts w:ascii="Calibri" w:hAnsi="Calibri"/>
          <w:color w:val="001F5F"/>
          <w:sz w:val="24"/>
        </w:rPr>
        <w:t>anos</w:t>
      </w:r>
      <w:r>
        <w:rPr>
          <w:rFonts w:ascii="Calibri" w:hAnsi="Calibri"/>
          <w:color w:val="001F5F"/>
          <w:spacing w:val="-3"/>
          <w:sz w:val="24"/>
        </w:rPr>
        <w:t xml:space="preserve"> </w:t>
      </w:r>
      <w:r>
        <w:rPr>
          <w:rFonts w:ascii="Calibri" w:hAnsi="Calibri"/>
          <w:color w:val="001F5F"/>
          <w:sz w:val="24"/>
        </w:rPr>
        <w:t>a</w:t>
      </w:r>
      <w:r>
        <w:rPr>
          <w:rFonts w:ascii="Calibri" w:hAnsi="Calibri"/>
          <w:color w:val="001F5F"/>
          <w:spacing w:val="-4"/>
          <w:sz w:val="24"/>
        </w:rPr>
        <w:t xml:space="preserve"> </w:t>
      </w:r>
      <w:r>
        <w:rPr>
          <w:rFonts w:ascii="Calibri" w:hAnsi="Calibri"/>
          <w:color w:val="001F5F"/>
          <w:sz w:val="24"/>
        </w:rPr>
        <w:t>contar</w:t>
      </w:r>
      <w:r>
        <w:rPr>
          <w:rFonts w:ascii="Calibri" w:hAnsi="Calibri"/>
          <w:color w:val="001F5F"/>
          <w:spacing w:val="-4"/>
          <w:sz w:val="24"/>
        </w:rPr>
        <w:t xml:space="preserve"> </w:t>
      </w:r>
      <w:r>
        <w:rPr>
          <w:rFonts w:ascii="Calibri" w:hAnsi="Calibri"/>
          <w:color w:val="001F5F"/>
          <w:sz w:val="24"/>
        </w:rPr>
        <w:t>de</w:t>
      </w:r>
      <w:r>
        <w:rPr>
          <w:rFonts w:ascii="Calibri" w:hAnsi="Calibri"/>
          <w:color w:val="001F5F"/>
          <w:spacing w:val="-3"/>
          <w:sz w:val="24"/>
        </w:rPr>
        <w:t xml:space="preserve"> </w:t>
      </w:r>
      <w:r>
        <w:rPr>
          <w:rFonts w:ascii="Calibri" w:hAnsi="Calibri"/>
          <w:color w:val="001F5F"/>
          <w:sz w:val="24"/>
        </w:rPr>
        <w:t>30</w:t>
      </w:r>
      <w:r>
        <w:rPr>
          <w:rFonts w:ascii="Calibri" w:hAnsi="Calibri"/>
          <w:color w:val="001F5F"/>
          <w:spacing w:val="-5"/>
          <w:sz w:val="24"/>
        </w:rPr>
        <w:t xml:space="preserve"> </w:t>
      </w:r>
      <w:r>
        <w:rPr>
          <w:rFonts w:ascii="Calibri" w:hAnsi="Calibri"/>
          <w:color w:val="001F5F"/>
          <w:sz w:val="24"/>
        </w:rPr>
        <w:t>de</w:t>
      </w:r>
      <w:r>
        <w:rPr>
          <w:rFonts w:ascii="Calibri" w:hAnsi="Calibri"/>
          <w:color w:val="001F5F"/>
          <w:spacing w:val="-3"/>
          <w:sz w:val="24"/>
        </w:rPr>
        <w:t xml:space="preserve"> </w:t>
      </w:r>
      <w:r>
        <w:rPr>
          <w:rFonts w:ascii="Calibri" w:hAnsi="Calibri"/>
          <w:color w:val="001F5F"/>
          <w:sz w:val="24"/>
        </w:rPr>
        <w:t>abril</w:t>
      </w:r>
      <w:r>
        <w:rPr>
          <w:rFonts w:ascii="Calibri" w:hAnsi="Calibri"/>
          <w:color w:val="001F5F"/>
          <w:spacing w:val="-6"/>
          <w:sz w:val="24"/>
        </w:rPr>
        <w:t xml:space="preserve"> </w:t>
      </w:r>
      <w:r>
        <w:rPr>
          <w:rFonts w:ascii="Calibri" w:hAnsi="Calibri"/>
          <w:color w:val="001F5F"/>
          <w:sz w:val="24"/>
        </w:rPr>
        <w:t>de 2025 a 29 de abril de 2027.</w:t>
      </w:r>
    </w:p>
    <w:p w14:paraId="07437ECA" w14:textId="77777777" w:rsidR="002C6574" w:rsidRDefault="002C6574">
      <w:pPr>
        <w:pStyle w:val="Corpodetexto"/>
        <w:rPr>
          <w:rFonts w:ascii="Calibri"/>
          <w:sz w:val="20"/>
        </w:rPr>
      </w:pPr>
    </w:p>
    <w:p w14:paraId="4363B245" w14:textId="77777777" w:rsidR="002C6574" w:rsidRDefault="002C6574">
      <w:pPr>
        <w:pStyle w:val="Corpodetexto"/>
        <w:rPr>
          <w:rFonts w:ascii="Calibri"/>
          <w:sz w:val="20"/>
        </w:rPr>
      </w:pPr>
    </w:p>
    <w:p w14:paraId="62BAE552" w14:textId="77777777" w:rsidR="002C6574" w:rsidRDefault="002C6574">
      <w:pPr>
        <w:pStyle w:val="Corpodetexto"/>
        <w:spacing w:before="149"/>
        <w:rPr>
          <w:rFonts w:ascii="Calibri"/>
          <w:sz w:val="20"/>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1"/>
        <w:gridCol w:w="3119"/>
        <w:gridCol w:w="2269"/>
        <w:gridCol w:w="1275"/>
        <w:gridCol w:w="1419"/>
      </w:tblGrid>
      <w:tr w:rsidR="002C6574" w14:paraId="097B33D6" w14:textId="77777777">
        <w:trPr>
          <w:trHeight w:val="414"/>
        </w:trPr>
        <w:tc>
          <w:tcPr>
            <w:tcW w:w="11193" w:type="dxa"/>
            <w:gridSpan w:val="5"/>
            <w:tcBorders>
              <w:bottom w:val="single" w:sz="4" w:space="0" w:color="000000"/>
            </w:tcBorders>
            <w:shd w:val="clear" w:color="auto" w:fill="2E5395"/>
          </w:tcPr>
          <w:p w14:paraId="36FC55FA" w14:textId="77777777" w:rsidR="002C6574" w:rsidRDefault="00000000">
            <w:pPr>
              <w:pStyle w:val="TableParagraph"/>
              <w:spacing w:before="123"/>
              <w:ind w:left="17"/>
              <w:jc w:val="center"/>
              <w:rPr>
                <w:rFonts w:ascii="Calibri" w:hAnsi="Calibri"/>
                <w:b/>
                <w:sz w:val="20"/>
              </w:rPr>
            </w:pPr>
            <w:r>
              <w:rPr>
                <w:rFonts w:ascii="Calibri" w:hAnsi="Calibri"/>
                <w:b/>
                <w:color w:val="FFFFFF"/>
                <w:sz w:val="20"/>
                <w:shd w:val="clear" w:color="auto" w:fill="4471C4"/>
              </w:rPr>
              <w:t>COMPOSIÇÃO</w:t>
            </w:r>
            <w:r>
              <w:rPr>
                <w:rFonts w:ascii="Calibri" w:hAnsi="Calibri"/>
                <w:b/>
                <w:color w:val="FFFFFF"/>
                <w:spacing w:val="-9"/>
                <w:sz w:val="20"/>
                <w:shd w:val="clear" w:color="auto" w:fill="4471C4"/>
              </w:rPr>
              <w:t xml:space="preserve"> </w:t>
            </w:r>
            <w:r>
              <w:rPr>
                <w:rFonts w:ascii="Calibri" w:hAnsi="Calibri"/>
                <w:b/>
                <w:color w:val="FFFFFF"/>
                <w:sz w:val="20"/>
                <w:shd w:val="clear" w:color="auto" w:fill="4471C4"/>
              </w:rPr>
              <w:t>DO</w:t>
            </w:r>
            <w:r>
              <w:rPr>
                <w:rFonts w:ascii="Calibri" w:hAnsi="Calibri"/>
                <w:b/>
                <w:color w:val="FFFFFF"/>
                <w:spacing w:val="-9"/>
                <w:sz w:val="20"/>
                <w:shd w:val="clear" w:color="auto" w:fill="4471C4"/>
              </w:rPr>
              <w:t xml:space="preserve"> </w:t>
            </w:r>
            <w:r>
              <w:rPr>
                <w:rFonts w:ascii="Calibri" w:hAnsi="Calibri"/>
                <w:b/>
                <w:color w:val="FFFFFF"/>
                <w:spacing w:val="-4"/>
                <w:sz w:val="20"/>
                <w:shd w:val="clear" w:color="auto" w:fill="4471C4"/>
              </w:rPr>
              <w:t>COAUD</w:t>
            </w:r>
          </w:p>
        </w:tc>
      </w:tr>
      <w:tr w:rsidR="002C6574" w14:paraId="1B5AF63B" w14:textId="77777777">
        <w:trPr>
          <w:trHeight w:val="244"/>
        </w:trPr>
        <w:tc>
          <w:tcPr>
            <w:tcW w:w="3111" w:type="dxa"/>
            <w:vMerge w:val="restart"/>
            <w:tcBorders>
              <w:top w:val="single" w:sz="4" w:space="0" w:color="000000"/>
              <w:left w:val="single" w:sz="4" w:space="0" w:color="000000"/>
              <w:bottom w:val="single" w:sz="4" w:space="0" w:color="000000"/>
              <w:right w:val="single" w:sz="4" w:space="0" w:color="000000"/>
            </w:tcBorders>
            <w:shd w:val="clear" w:color="auto" w:fill="2D74B5"/>
          </w:tcPr>
          <w:p w14:paraId="56804E51" w14:textId="77777777" w:rsidR="002C6574" w:rsidRDefault="00000000">
            <w:pPr>
              <w:pStyle w:val="TableParagraph"/>
              <w:spacing w:before="128"/>
              <w:ind w:left="22" w:right="2"/>
              <w:jc w:val="center"/>
              <w:rPr>
                <w:rFonts w:ascii="Calibri"/>
                <w:b/>
                <w:sz w:val="20"/>
              </w:rPr>
            </w:pPr>
            <w:r>
              <w:rPr>
                <w:rFonts w:ascii="Calibri"/>
                <w:b/>
                <w:color w:val="FFFFFF"/>
                <w:spacing w:val="-4"/>
                <w:sz w:val="20"/>
              </w:rPr>
              <w:t>NOME</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2D74B5"/>
          </w:tcPr>
          <w:p w14:paraId="13494E66" w14:textId="77777777" w:rsidR="002C6574" w:rsidRDefault="002C6574">
            <w:pPr>
              <w:pStyle w:val="TableParagraph"/>
              <w:spacing w:before="11"/>
              <w:jc w:val="left"/>
              <w:rPr>
                <w:rFonts w:ascii="Calibri"/>
                <w:sz w:val="20"/>
              </w:rPr>
            </w:pPr>
          </w:p>
          <w:p w14:paraId="7E5151C7" w14:textId="77777777" w:rsidR="002C6574" w:rsidRDefault="00000000">
            <w:pPr>
              <w:pStyle w:val="TableParagraph"/>
              <w:spacing w:line="223" w:lineRule="exact"/>
              <w:ind w:left="19" w:right="7"/>
              <w:jc w:val="center"/>
              <w:rPr>
                <w:rFonts w:ascii="Calibri"/>
                <w:b/>
                <w:sz w:val="20"/>
              </w:rPr>
            </w:pPr>
            <w:r>
              <w:rPr>
                <w:rFonts w:ascii="Calibri"/>
                <w:b/>
                <w:color w:val="FFFFFF"/>
                <w:spacing w:val="-2"/>
                <w:sz w:val="20"/>
              </w:rPr>
              <w:t>QUALIDADE</w:t>
            </w:r>
          </w:p>
        </w:tc>
        <w:tc>
          <w:tcPr>
            <w:tcW w:w="2269" w:type="dxa"/>
            <w:tcBorders>
              <w:top w:val="single" w:sz="4" w:space="0" w:color="000000"/>
              <w:left w:val="single" w:sz="4" w:space="0" w:color="000000"/>
              <w:bottom w:val="single" w:sz="4" w:space="0" w:color="000000"/>
              <w:right w:val="single" w:sz="4" w:space="0" w:color="000000"/>
            </w:tcBorders>
            <w:shd w:val="clear" w:color="auto" w:fill="2D74B5"/>
          </w:tcPr>
          <w:p w14:paraId="10BB3E60" w14:textId="77777777" w:rsidR="002C6574" w:rsidRDefault="00000000">
            <w:pPr>
              <w:pStyle w:val="TableParagraph"/>
              <w:spacing w:before="1" w:line="223" w:lineRule="exact"/>
              <w:ind w:left="14"/>
              <w:jc w:val="center"/>
              <w:rPr>
                <w:rFonts w:ascii="Calibri" w:hAnsi="Calibri"/>
                <w:b/>
                <w:sz w:val="20"/>
              </w:rPr>
            </w:pPr>
            <w:r>
              <w:rPr>
                <w:rFonts w:ascii="Calibri" w:hAnsi="Calibri"/>
                <w:b/>
                <w:color w:val="FFFFFF"/>
                <w:spacing w:val="-2"/>
                <w:sz w:val="20"/>
              </w:rPr>
              <w:t>DESIGNAÇÃO:</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2D74B5"/>
          </w:tcPr>
          <w:p w14:paraId="7A549EBF" w14:textId="77777777" w:rsidR="002C6574" w:rsidRDefault="00000000">
            <w:pPr>
              <w:pStyle w:val="TableParagraph"/>
              <w:spacing w:before="1" w:line="223" w:lineRule="exact"/>
              <w:ind w:left="442"/>
              <w:jc w:val="left"/>
              <w:rPr>
                <w:rFonts w:ascii="Calibri" w:hAnsi="Calibri"/>
                <w:b/>
                <w:sz w:val="20"/>
              </w:rPr>
            </w:pPr>
            <w:r>
              <w:rPr>
                <w:rFonts w:ascii="Calibri" w:hAnsi="Calibri"/>
                <w:b/>
                <w:color w:val="FFFFFF"/>
                <w:sz w:val="20"/>
              </w:rPr>
              <w:t>PERÍODO</w:t>
            </w:r>
            <w:r>
              <w:rPr>
                <w:rFonts w:ascii="Calibri" w:hAnsi="Calibri"/>
                <w:b/>
                <w:color w:val="FFFFFF"/>
                <w:spacing w:val="-6"/>
                <w:sz w:val="20"/>
              </w:rPr>
              <w:t xml:space="preserve"> </w:t>
            </w:r>
            <w:r>
              <w:rPr>
                <w:rFonts w:ascii="Calibri" w:hAnsi="Calibri"/>
                <w:b/>
                <w:color w:val="FFFFFF"/>
                <w:sz w:val="20"/>
              </w:rPr>
              <w:t>DE</w:t>
            </w:r>
            <w:r>
              <w:rPr>
                <w:rFonts w:ascii="Calibri" w:hAnsi="Calibri"/>
                <w:b/>
                <w:color w:val="FFFFFF"/>
                <w:spacing w:val="-6"/>
                <w:sz w:val="20"/>
              </w:rPr>
              <w:t xml:space="preserve"> </w:t>
            </w:r>
            <w:r>
              <w:rPr>
                <w:rFonts w:ascii="Calibri" w:hAnsi="Calibri"/>
                <w:b/>
                <w:color w:val="FFFFFF"/>
                <w:spacing w:val="-2"/>
                <w:sz w:val="20"/>
              </w:rPr>
              <w:t>GESTÃO:</w:t>
            </w:r>
          </w:p>
        </w:tc>
      </w:tr>
      <w:tr w:rsidR="002C6574" w14:paraId="08E2EA38" w14:textId="77777777">
        <w:trPr>
          <w:trHeight w:val="244"/>
        </w:trPr>
        <w:tc>
          <w:tcPr>
            <w:tcW w:w="3111" w:type="dxa"/>
            <w:vMerge/>
            <w:tcBorders>
              <w:top w:val="nil"/>
              <w:left w:val="single" w:sz="4" w:space="0" w:color="000000"/>
              <w:bottom w:val="single" w:sz="4" w:space="0" w:color="000000"/>
              <w:right w:val="single" w:sz="4" w:space="0" w:color="000000"/>
            </w:tcBorders>
            <w:shd w:val="clear" w:color="auto" w:fill="2D74B5"/>
          </w:tcPr>
          <w:p w14:paraId="0BA4FE31" w14:textId="77777777" w:rsidR="002C6574" w:rsidRDefault="002C6574">
            <w:pPr>
              <w:rPr>
                <w:sz w:val="2"/>
                <w:szCs w:val="2"/>
              </w:rPr>
            </w:pPr>
          </w:p>
        </w:tc>
        <w:tc>
          <w:tcPr>
            <w:tcW w:w="3119" w:type="dxa"/>
            <w:vMerge/>
            <w:tcBorders>
              <w:top w:val="nil"/>
              <w:left w:val="single" w:sz="4" w:space="0" w:color="000000"/>
              <w:bottom w:val="single" w:sz="4" w:space="0" w:color="000000"/>
              <w:right w:val="single" w:sz="4" w:space="0" w:color="000000"/>
            </w:tcBorders>
            <w:shd w:val="clear" w:color="auto" w:fill="2D74B5"/>
          </w:tcPr>
          <w:p w14:paraId="53B85F96" w14:textId="77777777" w:rsidR="002C6574" w:rsidRDefault="002C6574">
            <w:pPr>
              <w:rPr>
                <w:sz w:val="2"/>
                <w:szCs w:val="2"/>
              </w:rPr>
            </w:pPr>
          </w:p>
        </w:tc>
        <w:tc>
          <w:tcPr>
            <w:tcW w:w="2269" w:type="dxa"/>
            <w:tcBorders>
              <w:top w:val="single" w:sz="4" w:space="0" w:color="000000"/>
              <w:left w:val="single" w:sz="4" w:space="0" w:color="000000"/>
              <w:bottom w:val="single" w:sz="4" w:space="0" w:color="000000"/>
              <w:right w:val="single" w:sz="4" w:space="0" w:color="000000"/>
            </w:tcBorders>
            <w:shd w:val="clear" w:color="auto" w:fill="2D74B5"/>
          </w:tcPr>
          <w:p w14:paraId="6337E9C3" w14:textId="77777777" w:rsidR="002C6574" w:rsidRDefault="00000000">
            <w:pPr>
              <w:pStyle w:val="TableParagraph"/>
              <w:spacing w:before="1" w:line="223" w:lineRule="exact"/>
              <w:ind w:left="14" w:right="2"/>
              <w:jc w:val="center"/>
              <w:rPr>
                <w:rFonts w:ascii="Calibri"/>
                <w:sz w:val="20"/>
              </w:rPr>
            </w:pPr>
            <w:r>
              <w:rPr>
                <w:rFonts w:ascii="Calibri"/>
                <w:b/>
                <w:color w:val="FFFFFF"/>
                <w:spacing w:val="-2"/>
                <w:sz w:val="20"/>
              </w:rPr>
              <w:t>Data</w:t>
            </w:r>
            <w:r>
              <w:rPr>
                <w:rFonts w:ascii="Calibri"/>
                <w:color w:val="FFFFFF"/>
                <w:spacing w:val="-2"/>
                <w:sz w:val="2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2D74B5"/>
          </w:tcPr>
          <w:p w14:paraId="730FC9BC" w14:textId="77777777" w:rsidR="002C6574" w:rsidRDefault="00000000">
            <w:pPr>
              <w:pStyle w:val="TableParagraph"/>
              <w:spacing w:before="1" w:line="223" w:lineRule="exact"/>
              <w:ind w:left="17" w:right="4"/>
              <w:jc w:val="center"/>
              <w:rPr>
                <w:rFonts w:ascii="Calibri" w:hAnsi="Calibri"/>
                <w:b/>
                <w:sz w:val="20"/>
              </w:rPr>
            </w:pPr>
            <w:r>
              <w:rPr>
                <w:rFonts w:ascii="Calibri" w:hAnsi="Calibri"/>
                <w:b/>
                <w:color w:val="FFFFFF"/>
                <w:spacing w:val="-2"/>
                <w:sz w:val="20"/>
              </w:rPr>
              <w:t>Início:</w:t>
            </w:r>
          </w:p>
        </w:tc>
        <w:tc>
          <w:tcPr>
            <w:tcW w:w="1419" w:type="dxa"/>
            <w:tcBorders>
              <w:top w:val="single" w:sz="4" w:space="0" w:color="000000"/>
              <w:left w:val="single" w:sz="4" w:space="0" w:color="000000"/>
              <w:bottom w:val="single" w:sz="4" w:space="0" w:color="000000"/>
              <w:right w:val="single" w:sz="4" w:space="0" w:color="000000"/>
            </w:tcBorders>
            <w:shd w:val="clear" w:color="auto" w:fill="2D74B5"/>
          </w:tcPr>
          <w:p w14:paraId="3FBB20B7" w14:textId="77777777" w:rsidR="002C6574" w:rsidRDefault="00000000">
            <w:pPr>
              <w:pStyle w:val="TableParagraph"/>
              <w:spacing w:before="1" w:line="223" w:lineRule="exact"/>
              <w:ind w:left="16" w:right="1"/>
              <w:jc w:val="center"/>
              <w:rPr>
                <w:rFonts w:ascii="Calibri"/>
                <w:b/>
                <w:sz w:val="20"/>
              </w:rPr>
            </w:pPr>
            <w:r>
              <w:rPr>
                <w:rFonts w:ascii="Calibri"/>
                <w:b/>
                <w:color w:val="FFFFFF"/>
                <w:spacing w:val="-4"/>
                <w:sz w:val="20"/>
              </w:rPr>
              <w:t>Fim:</w:t>
            </w:r>
          </w:p>
        </w:tc>
      </w:tr>
      <w:tr w:rsidR="002C6574" w14:paraId="65EF2E48" w14:textId="77777777">
        <w:trPr>
          <w:trHeight w:val="652"/>
        </w:trPr>
        <w:tc>
          <w:tcPr>
            <w:tcW w:w="3111" w:type="dxa"/>
            <w:tcBorders>
              <w:top w:val="single" w:sz="4" w:space="0" w:color="000000"/>
              <w:left w:val="single" w:sz="4" w:space="0" w:color="000000"/>
              <w:bottom w:val="single" w:sz="4" w:space="0" w:color="000000"/>
              <w:right w:val="single" w:sz="4" w:space="0" w:color="000000"/>
            </w:tcBorders>
          </w:tcPr>
          <w:p w14:paraId="044022BD" w14:textId="77777777" w:rsidR="002C6574" w:rsidRDefault="00000000">
            <w:pPr>
              <w:pStyle w:val="TableParagraph"/>
              <w:spacing w:before="102"/>
              <w:ind w:left="22" w:right="3"/>
              <w:jc w:val="center"/>
              <w:rPr>
                <w:rFonts w:ascii="Calibri" w:hAnsi="Calibri"/>
              </w:rPr>
            </w:pPr>
            <w:r>
              <w:rPr>
                <w:rFonts w:ascii="Calibri" w:hAnsi="Calibri"/>
              </w:rPr>
              <w:t>Jerônimo</w:t>
            </w:r>
            <w:r>
              <w:rPr>
                <w:rFonts w:ascii="Calibri" w:hAnsi="Calibri"/>
                <w:spacing w:val="-4"/>
              </w:rPr>
              <w:t xml:space="preserve"> </w:t>
            </w:r>
            <w:r>
              <w:rPr>
                <w:rFonts w:ascii="Calibri" w:hAnsi="Calibri"/>
              </w:rPr>
              <w:t>José</w:t>
            </w:r>
            <w:r>
              <w:rPr>
                <w:rFonts w:ascii="Calibri" w:hAnsi="Calibri"/>
                <w:spacing w:val="-5"/>
              </w:rPr>
              <w:t xml:space="preserve"> </w:t>
            </w:r>
            <w:r>
              <w:rPr>
                <w:rFonts w:ascii="Calibri" w:hAnsi="Calibri"/>
              </w:rPr>
              <w:t>Cabral</w:t>
            </w:r>
            <w:r>
              <w:rPr>
                <w:rFonts w:ascii="Calibri" w:hAnsi="Calibri"/>
                <w:spacing w:val="-2"/>
              </w:rPr>
              <w:t xml:space="preserve"> Guedes</w:t>
            </w:r>
          </w:p>
        </w:tc>
        <w:tc>
          <w:tcPr>
            <w:tcW w:w="3119" w:type="dxa"/>
            <w:tcBorders>
              <w:top w:val="single" w:sz="4" w:space="0" w:color="000000"/>
              <w:left w:val="single" w:sz="4" w:space="0" w:color="000000"/>
              <w:bottom w:val="single" w:sz="4" w:space="0" w:color="000000"/>
              <w:right w:val="single" w:sz="4" w:space="0" w:color="000000"/>
            </w:tcBorders>
          </w:tcPr>
          <w:p w14:paraId="2B816F93" w14:textId="77777777" w:rsidR="002C6574" w:rsidRDefault="00000000">
            <w:pPr>
              <w:pStyle w:val="TableParagraph"/>
              <w:ind w:left="1147" w:hanging="689"/>
              <w:jc w:val="left"/>
              <w:rPr>
                <w:rFonts w:ascii="Calibri" w:hAnsi="Calibri"/>
              </w:rPr>
            </w:pPr>
            <w:r>
              <w:rPr>
                <w:rFonts w:ascii="Calibri" w:hAnsi="Calibri"/>
              </w:rPr>
              <w:t>Presidente</w:t>
            </w:r>
            <w:r>
              <w:rPr>
                <w:rFonts w:ascii="Calibri" w:hAnsi="Calibri"/>
                <w:spacing w:val="-13"/>
              </w:rPr>
              <w:t xml:space="preserve"> </w:t>
            </w:r>
            <w:r>
              <w:rPr>
                <w:rFonts w:ascii="Calibri" w:hAnsi="Calibri"/>
              </w:rPr>
              <w:t>do</w:t>
            </w:r>
            <w:r>
              <w:rPr>
                <w:rFonts w:ascii="Calibri" w:hAnsi="Calibri"/>
                <w:spacing w:val="-12"/>
              </w:rPr>
              <w:t xml:space="preserve"> </w:t>
            </w:r>
            <w:r>
              <w:rPr>
                <w:rFonts w:ascii="Calibri" w:hAnsi="Calibri"/>
              </w:rPr>
              <w:t>Comitê</w:t>
            </w:r>
            <w:r>
              <w:rPr>
                <w:rFonts w:ascii="Calibri" w:hAnsi="Calibri"/>
                <w:spacing w:val="-13"/>
              </w:rPr>
              <w:t xml:space="preserve"> </w:t>
            </w:r>
            <w:r>
              <w:rPr>
                <w:rFonts w:ascii="Calibri" w:hAnsi="Calibri"/>
              </w:rPr>
              <w:t xml:space="preserve">de </w:t>
            </w:r>
            <w:r>
              <w:rPr>
                <w:rFonts w:ascii="Calibri" w:hAnsi="Calibri"/>
                <w:spacing w:val="-2"/>
              </w:rPr>
              <w:t>Auditoria</w:t>
            </w:r>
          </w:p>
        </w:tc>
        <w:tc>
          <w:tcPr>
            <w:tcW w:w="2269" w:type="dxa"/>
            <w:tcBorders>
              <w:top w:val="single" w:sz="4" w:space="0" w:color="000000"/>
              <w:left w:val="single" w:sz="4" w:space="0" w:color="000000"/>
              <w:bottom w:val="single" w:sz="4" w:space="0" w:color="000000"/>
              <w:right w:val="single" w:sz="4" w:space="0" w:color="000000"/>
            </w:tcBorders>
          </w:tcPr>
          <w:p w14:paraId="1FA215BF" w14:textId="77777777" w:rsidR="002C6574" w:rsidRDefault="00000000">
            <w:pPr>
              <w:pStyle w:val="TableParagraph"/>
              <w:spacing w:before="56"/>
              <w:ind w:left="579" w:right="55" w:firstLine="26"/>
              <w:jc w:val="left"/>
              <w:rPr>
                <w:rFonts w:ascii="Calibri" w:hAnsi="Calibri"/>
              </w:rPr>
            </w:pPr>
            <w:r>
              <w:rPr>
                <w:rFonts w:ascii="Calibri" w:hAnsi="Calibri"/>
                <w:spacing w:val="-2"/>
              </w:rPr>
              <w:t xml:space="preserve">29/07/2025 </w:t>
            </w:r>
            <w:r>
              <w:rPr>
                <w:rFonts w:ascii="Calibri" w:hAnsi="Calibri"/>
              </w:rPr>
              <w:t>(ROCA</w:t>
            </w:r>
            <w:r>
              <w:rPr>
                <w:rFonts w:ascii="Calibri" w:hAnsi="Calibri"/>
                <w:spacing w:val="-4"/>
              </w:rPr>
              <w:t xml:space="preserve"> </w:t>
            </w:r>
            <w:r>
              <w:rPr>
                <w:rFonts w:ascii="Calibri" w:hAnsi="Calibri"/>
                <w:spacing w:val="-2"/>
              </w:rPr>
              <w:t>520ª)</w:t>
            </w:r>
          </w:p>
        </w:tc>
        <w:tc>
          <w:tcPr>
            <w:tcW w:w="1275" w:type="dxa"/>
            <w:tcBorders>
              <w:top w:val="single" w:sz="4" w:space="0" w:color="000000"/>
              <w:left w:val="single" w:sz="4" w:space="0" w:color="000000"/>
              <w:bottom w:val="single" w:sz="4" w:space="0" w:color="000000"/>
              <w:right w:val="single" w:sz="4" w:space="0" w:color="000000"/>
            </w:tcBorders>
          </w:tcPr>
          <w:p w14:paraId="282914D5" w14:textId="77777777" w:rsidR="002C6574" w:rsidRDefault="00000000">
            <w:pPr>
              <w:pStyle w:val="TableParagraph"/>
              <w:spacing w:before="191"/>
              <w:ind w:left="17" w:right="1"/>
              <w:jc w:val="center"/>
              <w:rPr>
                <w:rFonts w:ascii="Calibri"/>
              </w:rPr>
            </w:pPr>
            <w:r>
              <w:rPr>
                <w:rFonts w:ascii="Calibri"/>
                <w:spacing w:val="-2"/>
              </w:rPr>
              <w:t>29/07/2025</w:t>
            </w:r>
          </w:p>
        </w:tc>
        <w:tc>
          <w:tcPr>
            <w:tcW w:w="1419" w:type="dxa"/>
            <w:tcBorders>
              <w:top w:val="single" w:sz="4" w:space="0" w:color="000000"/>
              <w:left w:val="single" w:sz="4" w:space="0" w:color="000000"/>
              <w:bottom w:val="single" w:sz="4" w:space="0" w:color="000000"/>
              <w:right w:val="single" w:sz="4" w:space="0" w:color="000000"/>
            </w:tcBorders>
          </w:tcPr>
          <w:p w14:paraId="4B10FE0E" w14:textId="77777777" w:rsidR="002C6574" w:rsidRDefault="00000000">
            <w:pPr>
              <w:pStyle w:val="TableParagraph"/>
              <w:spacing w:before="191"/>
              <w:ind w:left="16" w:right="1"/>
              <w:jc w:val="center"/>
              <w:rPr>
                <w:rFonts w:ascii="Calibri"/>
              </w:rPr>
            </w:pPr>
            <w:r>
              <w:rPr>
                <w:rFonts w:ascii="Calibri"/>
                <w:spacing w:val="-2"/>
              </w:rPr>
              <w:t>10/07/2027</w:t>
            </w:r>
          </w:p>
        </w:tc>
      </w:tr>
      <w:tr w:rsidR="002C6574" w14:paraId="40357AA8" w14:textId="77777777">
        <w:trPr>
          <w:trHeight w:val="537"/>
        </w:trPr>
        <w:tc>
          <w:tcPr>
            <w:tcW w:w="3111" w:type="dxa"/>
            <w:tcBorders>
              <w:top w:val="single" w:sz="4" w:space="0" w:color="000000"/>
              <w:left w:val="single" w:sz="4" w:space="0" w:color="000000"/>
              <w:bottom w:val="single" w:sz="4" w:space="0" w:color="000000"/>
              <w:right w:val="single" w:sz="4" w:space="0" w:color="000000"/>
            </w:tcBorders>
          </w:tcPr>
          <w:p w14:paraId="23CF8023" w14:textId="77777777" w:rsidR="002C6574" w:rsidRDefault="00000000">
            <w:pPr>
              <w:pStyle w:val="TableParagraph"/>
              <w:spacing w:before="45"/>
              <w:ind w:left="22"/>
              <w:jc w:val="center"/>
              <w:rPr>
                <w:rFonts w:ascii="Calibri"/>
              </w:rPr>
            </w:pPr>
            <w:r>
              <w:rPr>
                <w:rFonts w:ascii="Calibri"/>
              </w:rPr>
              <w:t>Cleber</w:t>
            </w:r>
            <w:r>
              <w:rPr>
                <w:rFonts w:ascii="Calibri"/>
                <w:spacing w:val="-4"/>
              </w:rPr>
              <w:t xml:space="preserve"> </w:t>
            </w:r>
            <w:r>
              <w:rPr>
                <w:rFonts w:ascii="Calibri"/>
                <w:spacing w:val="-2"/>
              </w:rPr>
              <w:t>Santiago</w:t>
            </w:r>
          </w:p>
        </w:tc>
        <w:tc>
          <w:tcPr>
            <w:tcW w:w="3119" w:type="dxa"/>
            <w:tcBorders>
              <w:top w:val="single" w:sz="4" w:space="0" w:color="000000"/>
              <w:left w:val="single" w:sz="4" w:space="0" w:color="000000"/>
              <w:bottom w:val="single" w:sz="4" w:space="0" w:color="000000"/>
              <w:right w:val="single" w:sz="4" w:space="0" w:color="000000"/>
            </w:tcBorders>
          </w:tcPr>
          <w:p w14:paraId="6A737B7B" w14:textId="77777777" w:rsidR="002C6574" w:rsidRDefault="00000000">
            <w:pPr>
              <w:pStyle w:val="TableParagraph"/>
              <w:spacing w:before="2"/>
              <w:ind w:left="19" w:right="1"/>
              <w:jc w:val="center"/>
              <w:rPr>
                <w:rFonts w:ascii="Calibri" w:hAnsi="Calibri"/>
              </w:rPr>
            </w:pPr>
            <w:r>
              <w:rPr>
                <w:rFonts w:ascii="Calibri" w:hAnsi="Calibri"/>
              </w:rPr>
              <w:t>Membro</w:t>
            </w:r>
            <w:r>
              <w:rPr>
                <w:rFonts w:ascii="Calibri" w:hAnsi="Calibri"/>
                <w:spacing w:val="-6"/>
              </w:rPr>
              <w:t xml:space="preserve"> </w:t>
            </w:r>
            <w:r>
              <w:rPr>
                <w:rFonts w:ascii="Calibri" w:hAnsi="Calibri"/>
              </w:rPr>
              <w:t>do</w:t>
            </w:r>
            <w:r>
              <w:rPr>
                <w:rFonts w:ascii="Calibri" w:hAnsi="Calibri"/>
                <w:spacing w:val="-3"/>
              </w:rPr>
              <w:t xml:space="preserve"> </w:t>
            </w:r>
            <w:r>
              <w:rPr>
                <w:rFonts w:ascii="Calibri" w:hAnsi="Calibri"/>
              </w:rPr>
              <w:t>Comitê</w:t>
            </w:r>
            <w:r>
              <w:rPr>
                <w:rFonts w:ascii="Calibri" w:hAnsi="Calibri"/>
                <w:spacing w:val="-4"/>
              </w:rPr>
              <w:t xml:space="preserve"> </w:t>
            </w:r>
            <w:r>
              <w:rPr>
                <w:rFonts w:ascii="Calibri" w:hAnsi="Calibri"/>
              </w:rPr>
              <w:t>de</w:t>
            </w:r>
            <w:r>
              <w:rPr>
                <w:rFonts w:ascii="Calibri" w:hAnsi="Calibri"/>
                <w:spacing w:val="-3"/>
              </w:rPr>
              <w:t xml:space="preserve"> </w:t>
            </w:r>
            <w:r>
              <w:rPr>
                <w:rFonts w:ascii="Calibri" w:hAnsi="Calibri"/>
                <w:spacing w:val="-2"/>
              </w:rPr>
              <w:t>Auditoria</w:t>
            </w:r>
          </w:p>
        </w:tc>
        <w:tc>
          <w:tcPr>
            <w:tcW w:w="2269" w:type="dxa"/>
            <w:tcBorders>
              <w:top w:val="single" w:sz="4" w:space="0" w:color="000000"/>
              <w:left w:val="single" w:sz="4" w:space="0" w:color="000000"/>
              <w:bottom w:val="single" w:sz="4" w:space="0" w:color="000000"/>
              <w:right w:val="single" w:sz="4" w:space="0" w:color="000000"/>
            </w:tcBorders>
          </w:tcPr>
          <w:p w14:paraId="6B55036F" w14:textId="77777777" w:rsidR="002C6574" w:rsidRDefault="00000000">
            <w:pPr>
              <w:pStyle w:val="TableParagraph"/>
              <w:spacing w:before="2" w:line="267" w:lineRule="exact"/>
              <w:ind w:left="606"/>
              <w:jc w:val="left"/>
              <w:rPr>
                <w:rFonts w:ascii="Calibri"/>
              </w:rPr>
            </w:pPr>
            <w:r>
              <w:rPr>
                <w:rFonts w:ascii="Calibri"/>
                <w:spacing w:val="-2"/>
              </w:rPr>
              <w:t>29/04/2025</w:t>
            </w:r>
          </w:p>
          <w:p w14:paraId="3771ACCA" w14:textId="77777777" w:rsidR="002C6574" w:rsidRDefault="00000000">
            <w:pPr>
              <w:pStyle w:val="TableParagraph"/>
              <w:spacing w:line="248" w:lineRule="exact"/>
              <w:ind w:left="579"/>
              <w:jc w:val="left"/>
              <w:rPr>
                <w:rFonts w:ascii="Calibri" w:hAnsi="Calibri"/>
              </w:rPr>
            </w:pPr>
            <w:r>
              <w:rPr>
                <w:rFonts w:ascii="Calibri" w:hAnsi="Calibri"/>
              </w:rPr>
              <w:t>(ROCA</w:t>
            </w:r>
            <w:r>
              <w:rPr>
                <w:rFonts w:ascii="Calibri" w:hAnsi="Calibri"/>
                <w:spacing w:val="-4"/>
              </w:rPr>
              <w:t xml:space="preserve"> </w:t>
            </w:r>
            <w:r>
              <w:rPr>
                <w:rFonts w:ascii="Calibri" w:hAnsi="Calibri"/>
                <w:spacing w:val="-2"/>
              </w:rPr>
              <w:t>517ª)</w:t>
            </w:r>
          </w:p>
        </w:tc>
        <w:tc>
          <w:tcPr>
            <w:tcW w:w="1275" w:type="dxa"/>
            <w:tcBorders>
              <w:top w:val="single" w:sz="4" w:space="0" w:color="000000"/>
              <w:left w:val="single" w:sz="4" w:space="0" w:color="000000"/>
              <w:bottom w:val="single" w:sz="4" w:space="0" w:color="000000"/>
              <w:right w:val="single" w:sz="4" w:space="0" w:color="000000"/>
            </w:tcBorders>
          </w:tcPr>
          <w:p w14:paraId="1EFE97C7" w14:textId="77777777" w:rsidR="002C6574" w:rsidRDefault="00000000">
            <w:pPr>
              <w:pStyle w:val="TableParagraph"/>
              <w:spacing w:before="134"/>
              <w:ind w:left="17" w:right="1"/>
              <w:jc w:val="center"/>
              <w:rPr>
                <w:rFonts w:ascii="Calibri"/>
              </w:rPr>
            </w:pPr>
            <w:r>
              <w:rPr>
                <w:rFonts w:ascii="Calibri"/>
                <w:spacing w:val="-2"/>
              </w:rPr>
              <w:t>30/04/2025</w:t>
            </w:r>
          </w:p>
        </w:tc>
        <w:tc>
          <w:tcPr>
            <w:tcW w:w="1419" w:type="dxa"/>
            <w:tcBorders>
              <w:top w:val="single" w:sz="4" w:space="0" w:color="000000"/>
              <w:left w:val="single" w:sz="4" w:space="0" w:color="000000"/>
              <w:bottom w:val="single" w:sz="4" w:space="0" w:color="000000"/>
              <w:right w:val="single" w:sz="4" w:space="0" w:color="000000"/>
            </w:tcBorders>
          </w:tcPr>
          <w:p w14:paraId="28117154" w14:textId="77777777" w:rsidR="002C6574" w:rsidRDefault="00000000">
            <w:pPr>
              <w:pStyle w:val="TableParagraph"/>
              <w:spacing w:before="134"/>
              <w:ind w:left="16" w:right="1"/>
              <w:jc w:val="center"/>
              <w:rPr>
                <w:rFonts w:ascii="Calibri"/>
              </w:rPr>
            </w:pPr>
            <w:r>
              <w:rPr>
                <w:rFonts w:ascii="Calibri"/>
                <w:spacing w:val="-2"/>
              </w:rPr>
              <w:t>29/04/2027</w:t>
            </w:r>
          </w:p>
        </w:tc>
      </w:tr>
      <w:tr w:rsidR="002C6574" w14:paraId="540747D1" w14:textId="77777777">
        <w:trPr>
          <w:trHeight w:val="539"/>
        </w:trPr>
        <w:tc>
          <w:tcPr>
            <w:tcW w:w="3111" w:type="dxa"/>
            <w:tcBorders>
              <w:top w:val="single" w:sz="4" w:space="0" w:color="000000"/>
              <w:left w:val="single" w:sz="4" w:space="0" w:color="000000"/>
              <w:bottom w:val="single" w:sz="4" w:space="0" w:color="000000"/>
              <w:right w:val="single" w:sz="4" w:space="0" w:color="000000"/>
            </w:tcBorders>
          </w:tcPr>
          <w:p w14:paraId="5EAF6262" w14:textId="77777777" w:rsidR="002C6574" w:rsidRDefault="00000000">
            <w:pPr>
              <w:pStyle w:val="TableParagraph"/>
              <w:spacing w:before="44"/>
              <w:ind w:left="22" w:right="2"/>
              <w:jc w:val="center"/>
              <w:rPr>
                <w:rFonts w:ascii="Calibri"/>
              </w:rPr>
            </w:pPr>
            <w:r>
              <w:rPr>
                <w:rFonts w:ascii="Calibri"/>
              </w:rPr>
              <w:t>Paula</w:t>
            </w:r>
            <w:r>
              <w:rPr>
                <w:rFonts w:ascii="Calibri"/>
                <w:spacing w:val="-5"/>
              </w:rPr>
              <w:t xml:space="preserve"> </w:t>
            </w:r>
            <w:r>
              <w:rPr>
                <w:rFonts w:ascii="Calibri"/>
              </w:rPr>
              <w:t>Vicente</w:t>
            </w:r>
            <w:r>
              <w:rPr>
                <w:rFonts w:ascii="Calibri"/>
                <w:spacing w:val="-3"/>
              </w:rPr>
              <w:t xml:space="preserve"> </w:t>
            </w:r>
            <w:r>
              <w:rPr>
                <w:rFonts w:ascii="Calibri"/>
              </w:rPr>
              <w:t>da</w:t>
            </w:r>
            <w:r>
              <w:rPr>
                <w:rFonts w:ascii="Calibri"/>
                <w:spacing w:val="-2"/>
              </w:rPr>
              <w:t xml:space="preserve"> </w:t>
            </w:r>
            <w:r>
              <w:rPr>
                <w:rFonts w:ascii="Calibri"/>
                <w:spacing w:val="-4"/>
              </w:rPr>
              <w:t>Silva</w:t>
            </w:r>
          </w:p>
        </w:tc>
        <w:tc>
          <w:tcPr>
            <w:tcW w:w="3119" w:type="dxa"/>
            <w:tcBorders>
              <w:top w:val="single" w:sz="4" w:space="0" w:color="000000"/>
              <w:left w:val="single" w:sz="4" w:space="0" w:color="000000"/>
              <w:bottom w:val="single" w:sz="4" w:space="0" w:color="000000"/>
              <w:right w:val="single" w:sz="4" w:space="0" w:color="000000"/>
            </w:tcBorders>
          </w:tcPr>
          <w:p w14:paraId="095E4443" w14:textId="77777777" w:rsidR="002C6574" w:rsidRDefault="00000000">
            <w:pPr>
              <w:pStyle w:val="TableParagraph"/>
              <w:spacing w:line="268" w:lineRule="exact"/>
              <w:ind w:left="19"/>
              <w:jc w:val="center"/>
              <w:rPr>
                <w:rFonts w:ascii="Calibri" w:hAnsi="Calibri"/>
              </w:rPr>
            </w:pPr>
            <w:r>
              <w:rPr>
                <w:rFonts w:ascii="Calibri" w:hAnsi="Calibri"/>
              </w:rPr>
              <w:t>Membro</w:t>
            </w:r>
            <w:r>
              <w:rPr>
                <w:rFonts w:ascii="Calibri" w:hAnsi="Calibri"/>
                <w:spacing w:val="-5"/>
              </w:rPr>
              <w:t xml:space="preserve"> </w:t>
            </w:r>
            <w:r>
              <w:rPr>
                <w:rFonts w:ascii="Calibri" w:hAnsi="Calibri"/>
              </w:rPr>
              <w:t>do</w:t>
            </w:r>
            <w:r>
              <w:rPr>
                <w:rFonts w:ascii="Calibri" w:hAnsi="Calibri"/>
                <w:spacing w:val="-2"/>
              </w:rPr>
              <w:t xml:space="preserve"> </w:t>
            </w:r>
            <w:r>
              <w:rPr>
                <w:rFonts w:ascii="Calibri" w:hAnsi="Calibri"/>
              </w:rPr>
              <w:t>Comitê</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spacing w:val="-2"/>
              </w:rPr>
              <w:t>Auditoria</w:t>
            </w:r>
          </w:p>
        </w:tc>
        <w:tc>
          <w:tcPr>
            <w:tcW w:w="2269" w:type="dxa"/>
            <w:tcBorders>
              <w:top w:val="single" w:sz="4" w:space="0" w:color="000000"/>
              <w:left w:val="single" w:sz="4" w:space="0" w:color="000000"/>
              <w:bottom w:val="single" w:sz="4" w:space="0" w:color="000000"/>
              <w:right w:val="single" w:sz="4" w:space="0" w:color="000000"/>
            </w:tcBorders>
          </w:tcPr>
          <w:p w14:paraId="006D7F15" w14:textId="77777777" w:rsidR="002C6574" w:rsidRDefault="00000000">
            <w:pPr>
              <w:pStyle w:val="TableParagraph"/>
              <w:spacing w:line="268" w:lineRule="exact"/>
              <w:ind w:left="606"/>
              <w:jc w:val="left"/>
              <w:rPr>
                <w:rFonts w:ascii="Calibri"/>
              </w:rPr>
            </w:pPr>
            <w:r>
              <w:rPr>
                <w:rFonts w:ascii="Calibri"/>
                <w:spacing w:val="-2"/>
              </w:rPr>
              <w:t>29/05/2023</w:t>
            </w:r>
          </w:p>
          <w:p w14:paraId="03B0F9B6" w14:textId="77777777" w:rsidR="002C6574" w:rsidRDefault="00000000">
            <w:pPr>
              <w:pStyle w:val="TableParagraph"/>
              <w:spacing w:line="252" w:lineRule="exact"/>
              <w:ind w:left="599"/>
              <w:jc w:val="left"/>
              <w:rPr>
                <w:rFonts w:ascii="Calibri" w:hAnsi="Calibri"/>
              </w:rPr>
            </w:pPr>
            <w:r>
              <w:rPr>
                <w:rFonts w:ascii="Calibri" w:hAnsi="Calibri"/>
              </w:rPr>
              <w:t>(RECA</w:t>
            </w:r>
            <w:r>
              <w:rPr>
                <w:rFonts w:ascii="Calibri" w:hAnsi="Calibri"/>
                <w:spacing w:val="-5"/>
              </w:rPr>
              <w:t xml:space="preserve"> </w:t>
            </w:r>
            <w:r>
              <w:rPr>
                <w:rFonts w:ascii="Calibri" w:hAnsi="Calibri"/>
                <w:spacing w:val="-2"/>
              </w:rPr>
              <w:t>494ª)</w:t>
            </w:r>
          </w:p>
        </w:tc>
        <w:tc>
          <w:tcPr>
            <w:tcW w:w="1275" w:type="dxa"/>
            <w:tcBorders>
              <w:top w:val="single" w:sz="4" w:space="0" w:color="000000"/>
              <w:left w:val="single" w:sz="4" w:space="0" w:color="000000"/>
              <w:bottom w:val="single" w:sz="4" w:space="0" w:color="000000"/>
              <w:right w:val="single" w:sz="4" w:space="0" w:color="000000"/>
            </w:tcBorders>
          </w:tcPr>
          <w:p w14:paraId="37686D9F" w14:textId="77777777" w:rsidR="002C6574" w:rsidRDefault="00000000">
            <w:pPr>
              <w:pStyle w:val="TableParagraph"/>
              <w:spacing w:before="133"/>
              <w:ind w:left="17"/>
              <w:jc w:val="center"/>
              <w:rPr>
                <w:rFonts w:ascii="Calibri"/>
              </w:rPr>
            </w:pPr>
            <w:r>
              <w:rPr>
                <w:rFonts w:ascii="Calibri"/>
                <w:spacing w:val="-2"/>
              </w:rPr>
              <w:t>29/06/2023</w:t>
            </w:r>
          </w:p>
        </w:tc>
        <w:tc>
          <w:tcPr>
            <w:tcW w:w="1419" w:type="dxa"/>
            <w:tcBorders>
              <w:top w:val="single" w:sz="4" w:space="0" w:color="000000"/>
              <w:left w:val="single" w:sz="4" w:space="0" w:color="000000"/>
              <w:bottom w:val="single" w:sz="4" w:space="0" w:color="000000"/>
              <w:right w:val="single" w:sz="4" w:space="0" w:color="000000"/>
            </w:tcBorders>
          </w:tcPr>
          <w:p w14:paraId="3C423C12" w14:textId="77777777" w:rsidR="002C6574" w:rsidRDefault="00000000">
            <w:pPr>
              <w:pStyle w:val="TableParagraph"/>
              <w:spacing w:before="133"/>
              <w:ind w:left="16"/>
              <w:jc w:val="center"/>
              <w:rPr>
                <w:rFonts w:ascii="Calibri"/>
              </w:rPr>
            </w:pPr>
            <w:r>
              <w:rPr>
                <w:rFonts w:ascii="Calibri"/>
                <w:spacing w:val="-2"/>
              </w:rPr>
              <w:t>09/07/2027</w:t>
            </w:r>
          </w:p>
        </w:tc>
      </w:tr>
    </w:tbl>
    <w:p w14:paraId="365B0F7E" w14:textId="77777777" w:rsidR="002C6574" w:rsidRDefault="00000000">
      <w:pPr>
        <w:spacing w:before="1" w:line="195" w:lineRule="exact"/>
        <w:ind w:left="1135"/>
        <w:rPr>
          <w:rFonts w:ascii="Calibri" w:hAnsi="Calibri"/>
          <w:b/>
          <w:sz w:val="16"/>
        </w:rPr>
      </w:pPr>
      <w:r>
        <w:rPr>
          <w:rFonts w:ascii="Calibri" w:hAnsi="Calibri"/>
          <w:b/>
          <w:color w:val="001F5F"/>
          <w:sz w:val="16"/>
        </w:rPr>
        <w:t>Atas</w:t>
      </w:r>
      <w:r>
        <w:rPr>
          <w:rFonts w:ascii="Calibri" w:hAnsi="Calibri"/>
          <w:b/>
          <w:color w:val="001F5F"/>
          <w:spacing w:val="-4"/>
          <w:sz w:val="16"/>
        </w:rPr>
        <w:t xml:space="preserve"> </w:t>
      </w:r>
      <w:r>
        <w:rPr>
          <w:rFonts w:ascii="Calibri" w:hAnsi="Calibri"/>
          <w:b/>
          <w:color w:val="001F5F"/>
          <w:sz w:val="16"/>
        </w:rPr>
        <w:t>do</w:t>
      </w:r>
      <w:r>
        <w:rPr>
          <w:rFonts w:ascii="Calibri" w:hAnsi="Calibri"/>
          <w:b/>
          <w:color w:val="001F5F"/>
          <w:spacing w:val="-7"/>
          <w:sz w:val="16"/>
        </w:rPr>
        <w:t xml:space="preserve"> </w:t>
      </w:r>
      <w:r>
        <w:rPr>
          <w:rFonts w:ascii="Calibri" w:hAnsi="Calibri"/>
          <w:b/>
          <w:color w:val="001F5F"/>
          <w:sz w:val="16"/>
        </w:rPr>
        <w:t>Conselho</w:t>
      </w:r>
      <w:r>
        <w:rPr>
          <w:rFonts w:ascii="Calibri" w:hAnsi="Calibri"/>
          <w:b/>
          <w:color w:val="001F5F"/>
          <w:spacing w:val="-4"/>
          <w:sz w:val="16"/>
        </w:rPr>
        <w:t xml:space="preserve"> </w:t>
      </w:r>
      <w:r>
        <w:rPr>
          <w:rFonts w:ascii="Calibri" w:hAnsi="Calibri"/>
          <w:b/>
          <w:color w:val="001F5F"/>
          <w:sz w:val="16"/>
        </w:rPr>
        <w:t>de</w:t>
      </w:r>
      <w:r>
        <w:rPr>
          <w:rFonts w:ascii="Calibri" w:hAnsi="Calibri"/>
          <w:b/>
          <w:color w:val="001F5F"/>
          <w:spacing w:val="-4"/>
          <w:sz w:val="16"/>
        </w:rPr>
        <w:t xml:space="preserve"> </w:t>
      </w:r>
      <w:r>
        <w:rPr>
          <w:rFonts w:ascii="Calibri" w:hAnsi="Calibri"/>
          <w:b/>
          <w:color w:val="001F5F"/>
          <w:sz w:val="16"/>
        </w:rPr>
        <w:t>Administração</w:t>
      </w:r>
      <w:r>
        <w:rPr>
          <w:rFonts w:ascii="Calibri" w:hAnsi="Calibri"/>
          <w:b/>
          <w:color w:val="001F5F"/>
          <w:spacing w:val="-7"/>
          <w:sz w:val="16"/>
        </w:rPr>
        <w:t xml:space="preserve"> </w:t>
      </w:r>
      <w:r>
        <w:rPr>
          <w:rFonts w:ascii="Calibri" w:hAnsi="Calibri"/>
          <w:b/>
          <w:color w:val="001F5F"/>
          <w:sz w:val="16"/>
        </w:rPr>
        <w:t>disponível</w:t>
      </w:r>
      <w:r>
        <w:rPr>
          <w:rFonts w:ascii="Calibri" w:hAnsi="Calibri"/>
          <w:b/>
          <w:color w:val="001F5F"/>
          <w:spacing w:val="-4"/>
          <w:sz w:val="16"/>
        </w:rPr>
        <w:t xml:space="preserve"> </w:t>
      </w:r>
      <w:r>
        <w:rPr>
          <w:rFonts w:ascii="Calibri" w:hAnsi="Calibri"/>
          <w:b/>
          <w:color w:val="001F5F"/>
          <w:spacing w:val="-5"/>
          <w:sz w:val="16"/>
        </w:rPr>
        <w:t>em:</w:t>
      </w:r>
    </w:p>
    <w:p w14:paraId="5E6E2432" w14:textId="77777777" w:rsidR="002C6574" w:rsidRDefault="00000000">
      <w:pPr>
        <w:spacing w:line="195" w:lineRule="exact"/>
        <w:ind w:left="1135"/>
        <w:rPr>
          <w:rFonts w:ascii="Calibri"/>
          <w:i/>
          <w:sz w:val="16"/>
        </w:rPr>
      </w:pPr>
      <w:hyperlink r:id="rId136">
        <w:r>
          <w:rPr>
            <w:rFonts w:ascii="Calibri"/>
            <w:i/>
            <w:color w:val="0000FF"/>
            <w:spacing w:val="-2"/>
            <w:sz w:val="16"/>
            <w:u w:val="single" w:color="0000FF"/>
          </w:rPr>
          <w:t>https://www.telebras.com.br/transparencia-e-prestacao-de-contas/conselho-de-administracao/</w:t>
        </w:r>
      </w:hyperlink>
    </w:p>
    <w:p w14:paraId="426F80AF" w14:textId="77777777" w:rsidR="002C6574" w:rsidRDefault="002C6574">
      <w:pPr>
        <w:spacing w:line="195" w:lineRule="exact"/>
        <w:rPr>
          <w:rFonts w:ascii="Calibri"/>
          <w:i/>
          <w:sz w:val="16"/>
        </w:rPr>
        <w:sectPr w:rsidR="002C6574">
          <w:pgSz w:w="12240" w:h="15840"/>
          <w:pgMar w:top="900" w:right="425" w:bottom="1220" w:left="425" w:header="674" w:footer="1036" w:gutter="0"/>
          <w:cols w:space="720"/>
        </w:sectPr>
      </w:pPr>
    </w:p>
    <w:p w14:paraId="4AA89057" w14:textId="77777777" w:rsidR="002C6574" w:rsidRDefault="002C6574">
      <w:pPr>
        <w:pStyle w:val="Corpodetexto"/>
        <w:rPr>
          <w:rFonts w:ascii="Calibri"/>
          <w:i/>
          <w:sz w:val="24"/>
        </w:rPr>
      </w:pPr>
    </w:p>
    <w:p w14:paraId="3FB6407B" w14:textId="77777777" w:rsidR="002C6574" w:rsidRDefault="002C6574">
      <w:pPr>
        <w:pStyle w:val="Corpodetexto"/>
        <w:rPr>
          <w:rFonts w:ascii="Calibri"/>
          <w:i/>
          <w:sz w:val="24"/>
        </w:rPr>
      </w:pPr>
    </w:p>
    <w:p w14:paraId="4DD49795" w14:textId="77777777" w:rsidR="002C6574" w:rsidRDefault="002C6574">
      <w:pPr>
        <w:pStyle w:val="Corpodetexto"/>
        <w:rPr>
          <w:rFonts w:ascii="Calibri"/>
          <w:i/>
          <w:sz w:val="24"/>
        </w:rPr>
      </w:pPr>
    </w:p>
    <w:p w14:paraId="6FC8145B" w14:textId="77777777" w:rsidR="002C6574" w:rsidRDefault="002C6574">
      <w:pPr>
        <w:pStyle w:val="Corpodetexto"/>
        <w:spacing w:before="133"/>
        <w:rPr>
          <w:rFonts w:ascii="Calibri"/>
          <w:i/>
          <w:sz w:val="24"/>
        </w:rPr>
      </w:pPr>
    </w:p>
    <w:p w14:paraId="69C1D01B" w14:textId="77777777" w:rsidR="002C6574" w:rsidRDefault="00000000">
      <w:pPr>
        <w:ind w:left="1135"/>
        <w:rPr>
          <w:rFonts w:ascii="Calibri" w:hAnsi="Calibri"/>
          <w:sz w:val="24"/>
        </w:rPr>
      </w:pPr>
      <w:r>
        <w:rPr>
          <w:rFonts w:ascii="Calibri" w:hAnsi="Calibri"/>
          <w:color w:val="001F5F"/>
          <w:sz w:val="24"/>
        </w:rPr>
        <w:t>Atividades</w:t>
      </w:r>
      <w:r>
        <w:rPr>
          <w:rFonts w:ascii="Calibri" w:hAnsi="Calibri"/>
          <w:color w:val="001F5F"/>
          <w:spacing w:val="-3"/>
          <w:sz w:val="24"/>
        </w:rPr>
        <w:t xml:space="preserve"> </w:t>
      </w:r>
      <w:r>
        <w:rPr>
          <w:rFonts w:ascii="Calibri" w:hAnsi="Calibri"/>
          <w:color w:val="001F5F"/>
          <w:sz w:val="24"/>
        </w:rPr>
        <w:t>exercidas</w:t>
      </w:r>
      <w:r>
        <w:rPr>
          <w:rFonts w:ascii="Calibri" w:hAnsi="Calibri"/>
          <w:color w:val="001F5F"/>
          <w:spacing w:val="-3"/>
          <w:sz w:val="24"/>
        </w:rPr>
        <w:t xml:space="preserve"> </w:t>
      </w:r>
      <w:r>
        <w:rPr>
          <w:rFonts w:ascii="Calibri" w:hAnsi="Calibri"/>
          <w:color w:val="001F5F"/>
          <w:sz w:val="24"/>
        </w:rPr>
        <w:t>no</w:t>
      </w:r>
      <w:r>
        <w:rPr>
          <w:rFonts w:ascii="Calibri" w:hAnsi="Calibri"/>
          <w:color w:val="001F5F"/>
          <w:spacing w:val="-4"/>
          <w:sz w:val="24"/>
        </w:rPr>
        <w:t xml:space="preserve"> </w:t>
      </w:r>
      <w:r>
        <w:rPr>
          <w:rFonts w:ascii="Calibri" w:hAnsi="Calibri"/>
          <w:color w:val="001F5F"/>
          <w:sz w:val="24"/>
        </w:rPr>
        <w:t>âmbito</w:t>
      </w:r>
      <w:r>
        <w:rPr>
          <w:rFonts w:ascii="Calibri" w:hAnsi="Calibri"/>
          <w:color w:val="001F5F"/>
          <w:spacing w:val="-5"/>
          <w:sz w:val="24"/>
        </w:rPr>
        <w:t xml:space="preserve"> </w:t>
      </w:r>
      <w:r>
        <w:rPr>
          <w:rFonts w:ascii="Calibri" w:hAnsi="Calibri"/>
          <w:color w:val="001F5F"/>
          <w:sz w:val="24"/>
        </w:rPr>
        <w:t>de</w:t>
      </w:r>
      <w:r>
        <w:rPr>
          <w:rFonts w:ascii="Calibri" w:hAnsi="Calibri"/>
          <w:color w:val="001F5F"/>
          <w:spacing w:val="-2"/>
          <w:sz w:val="24"/>
        </w:rPr>
        <w:t xml:space="preserve"> </w:t>
      </w:r>
      <w:r>
        <w:rPr>
          <w:rFonts w:ascii="Calibri" w:hAnsi="Calibri"/>
          <w:color w:val="001F5F"/>
          <w:sz w:val="24"/>
        </w:rPr>
        <w:t>suas</w:t>
      </w:r>
      <w:r>
        <w:rPr>
          <w:rFonts w:ascii="Calibri" w:hAnsi="Calibri"/>
          <w:color w:val="001F5F"/>
          <w:spacing w:val="-4"/>
          <w:sz w:val="24"/>
        </w:rPr>
        <w:t xml:space="preserve"> </w:t>
      </w:r>
      <w:r>
        <w:rPr>
          <w:rFonts w:ascii="Calibri" w:hAnsi="Calibri"/>
          <w:color w:val="001F5F"/>
          <w:spacing w:val="-2"/>
          <w:sz w:val="24"/>
        </w:rPr>
        <w:t>atribuições</w:t>
      </w:r>
    </w:p>
    <w:p w14:paraId="4B598F1F" w14:textId="77777777" w:rsidR="002C6574" w:rsidRDefault="002C6574">
      <w:pPr>
        <w:pStyle w:val="Corpodetexto"/>
        <w:spacing w:before="158"/>
        <w:rPr>
          <w:rFonts w:ascii="Calibri"/>
          <w:sz w:val="24"/>
        </w:rPr>
      </w:pPr>
    </w:p>
    <w:p w14:paraId="45D48701" w14:textId="77777777" w:rsidR="002C6574" w:rsidRDefault="00000000">
      <w:pPr>
        <w:ind w:left="775" w:right="435"/>
        <w:jc w:val="center"/>
        <w:rPr>
          <w:rFonts w:ascii="Calibri" w:hAnsi="Calibri"/>
          <w:sz w:val="24"/>
        </w:rPr>
      </w:pPr>
      <w:r>
        <w:rPr>
          <w:rFonts w:ascii="Calibri" w:hAnsi="Calibri"/>
          <w:color w:val="001F5F"/>
          <w:sz w:val="24"/>
        </w:rPr>
        <w:t>Durante</w:t>
      </w:r>
      <w:r>
        <w:rPr>
          <w:rFonts w:ascii="Calibri" w:hAnsi="Calibri"/>
          <w:color w:val="001F5F"/>
          <w:spacing w:val="-4"/>
          <w:sz w:val="24"/>
        </w:rPr>
        <w:t xml:space="preserve"> </w:t>
      </w:r>
      <w:r>
        <w:rPr>
          <w:rFonts w:ascii="Calibri" w:hAnsi="Calibri"/>
          <w:color w:val="001F5F"/>
          <w:sz w:val="24"/>
        </w:rPr>
        <w:t>o ano</w:t>
      </w:r>
      <w:r>
        <w:rPr>
          <w:rFonts w:ascii="Calibri" w:hAnsi="Calibri"/>
          <w:color w:val="001F5F"/>
          <w:spacing w:val="-3"/>
          <w:sz w:val="24"/>
        </w:rPr>
        <w:t xml:space="preserve"> </w:t>
      </w:r>
      <w:r>
        <w:rPr>
          <w:rFonts w:ascii="Calibri" w:hAnsi="Calibri"/>
          <w:color w:val="001F5F"/>
          <w:sz w:val="24"/>
        </w:rPr>
        <w:t>de</w:t>
      </w:r>
      <w:r>
        <w:rPr>
          <w:rFonts w:ascii="Calibri" w:hAnsi="Calibri"/>
          <w:color w:val="001F5F"/>
          <w:spacing w:val="-3"/>
          <w:sz w:val="24"/>
        </w:rPr>
        <w:t xml:space="preserve"> </w:t>
      </w:r>
      <w:r>
        <w:rPr>
          <w:rFonts w:ascii="Calibri" w:hAnsi="Calibri"/>
          <w:color w:val="001F5F"/>
          <w:sz w:val="24"/>
        </w:rPr>
        <w:t>2025,</w:t>
      </w:r>
      <w:r>
        <w:rPr>
          <w:rFonts w:ascii="Calibri" w:hAnsi="Calibri"/>
          <w:color w:val="001F5F"/>
          <w:spacing w:val="-4"/>
          <w:sz w:val="24"/>
        </w:rPr>
        <w:t xml:space="preserve"> </w:t>
      </w:r>
      <w:r>
        <w:rPr>
          <w:rFonts w:ascii="Calibri" w:hAnsi="Calibri"/>
          <w:color w:val="001F5F"/>
          <w:sz w:val="24"/>
        </w:rPr>
        <w:t>o Comitê</w:t>
      </w:r>
      <w:r>
        <w:rPr>
          <w:rFonts w:ascii="Calibri" w:hAnsi="Calibri"/>
          <w:color w:val="001F5F"/>
          <w:spacing w:val="-3"/>
          <w:sz w:val="24"/>
        </w:rPr>
        <w:t xml:space="preserve"> </w:t>
      </w:r>
      <w:r>
        <w:rPr>
          <w:rFonts w:ascii="Calibri" w:hAnsi="Calibri"/>
          <w:color w:val="001F5F"/>
          <w:sz w:val="24"/>
        </w:rPr>
        <w:t>reuniu-se</w:t>
      </w:r>
      <w:r>
        <w:rPr>
          <w:rFonts w:ascii="Calibri" w:hAnsi="Calibri"/>
          <w:color w:val="001F5F"/>
          <w:spacing w:val="-3"/>
          <w:sz w:val="24"/>
        </w:rPr>
        <w:t xml:space="preserve"> </w:t>
      </w:r>
      <w:r>
        <w:rPr>
          <w:rFonts w:ascii="Calibri" w:hAnsi="Calibri"/>
          <w:color w:val="001F5F"/>
          <w:sz w:val="24"/>
        </w:rPr>
        <w:t>em</w:t>
      </w:r>
      <w:r>
        <w:rPr>
          <w:rFonts w:ascii="Calibri" w:hAnsi="Calibri"/>
          <w:color w:val="001F5F"/>
          <w:spacing w:val="-3"/>
          <w:sz w:val="24"/>
        </w:rPr>
        <w:t xml:space="preserve"> </w:t>
      </w:r>
      <w:r>
        <w:rPr>
          <w:rFonts w:ascii="Calibri" w:hAnsi="Calibri"/>
          <w:color w:val="001F5F"/>
          <w:sz w:val="24"/>
        </w:rPr>
        <w:t>63 (sessenta</w:t>
      </w:r>
      <w:r>
        <w:rPr>
          <w:rFonts w:ascii="Calibri" w:hAnsi="Calibri"/>
          <w:color w:val="001F5F"/>
          <w:spacing w:val="-1"/>
          <w:sz w:val="24"/>
        </w:rPr>
        <w:t xml:space="preserve"> </w:t>
      </w:r>
      <w:r>
        <w:rPr>
          <w:rFonts w:ascii="Calibri" w:hAnsi="Calibri"/>
          <w:color w:val="001F5F"/>
          <w:sz w:val="24"/>
        </w:rPr>
        <w:t>e</w:t>
      </w:r>
      <w:r>
        <w:rPr>
          <w:rFonts w:ascii="Calibri" w:hAnsi="Calibri"/>
          <w:color w:val="001F5F"/>
          <w:spacing w:val="-1"/>
          <w:sz w:val="24"/>
        </w:rPr>
        <w:t xml:space="preserve"> </w:t>
      </w:r>
      <w:r>
        <w:rPr>
          <w:rFonts w:ascii="Calibri" w:hAnsi="Calibri"/>
          <w:color w:val="001F5F"/>
          <w:sz w:val="24"/>
        </w:rPr>
        <w:t>três)</w:t>
      </w:r>
      <w:r>
        <w:rPr>
          <w:rFonts w:ascii="Calibri" w:hAnsi="Calibri"/>
          <w:color w:val="001F5F"/>
          <w:spacing w:val="-4"/>
          <w:sz w:val="24"/>
        </w:rPr>
        <w:t xml:space="preserve"> </w:t>
      </w:r>
      <w:r>
        <w:rPr>
          <w:rFonts w:ascii="Calibri" w:hAnsi="Calibri"/>
          <w:color w:val="001F5F"/>
          <w:spacing w:val="-2"/>
          <w:sz w:val="24"/>
        </w:rPr>
        <w:t>ocasiões.</w:t>
      </w:r>
    </w:p>
    <w:p w14:paraId="054C1D0A" w14:textId="77777777" w:rsidR="002C6574" w:rsidRDefault="00000000">
      <w:pPr>
        <w:pStyle w:val="Corpodetexto"/>
        <w:spacing w:before="17"/>
        <w:rPr>
          <w:rFonts w:ascii="Calibri"/>
          <w:sz w:val="20"/>
        </w:rPr>
      </w:pPr>
      <w:r>
        <w:rPr>
          <w:rFonts w:ascii="Calibri"/>
          <w:noProof/>
          <w:sz w:val="20"/>
        </w:rPr>
        <mc:AlternateContent>
          <mc:Choice Requires="wpg">
            <w:drawing>
              <wp:anchor distT="0" distB="0" distL="0" distR="0" simplePos="0" relativeHeight="487609344" behindDoc="1" locked="0" layoutInCell="1" allowOverlap="1" wp14:anchorId="187DC1D4" wp14:editId="2B81B051">
                <wp:simplePos x="0" y="0"/>
                <wp:positionH relativeFrom="page">
                  <wp:posOffset>1795462</wp:posOffset>
                </wp:positionH>
                <wp:positionV relativeFrom="paragraph">
                  <wp:posOffset>181558</wp:posOffset>
                </wp:positionV>
                <wp:extent cx="5095875" cy="2752725"/>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5875" cy="2752725"/>
                          <a:chOff x="0" y="0"/>
                          <a:chExt cx="5095875" cy="2752725"/>
                        </a:xfrm>
                      </wpg:grpSpPr>
                      <wps:wsp>
                        <wps:cNvPr id="205" name="Graphic 205"/>
                        <wps:cNvSpPr/>
                        <wps:spPr>
                          <a:xfrm>
                            <a:off x="1424749" y="468693"/>
                            <a:ext cx="3549650" cy="1946910"/>
                          </a:xfrm>
                          <a:custGeom>
                            <a:avLst/>
                            <a:gdLst/>
                            <a:ahLst/>
                            <a:cxnLst/>
                            <a:rect l="l" t="t" r="r" b="b"/>
                            <a:pathLst>
                              <a:path w="3549650" h="1946910">
                                <a:moveTo>
                                  <a:pt x="0" y="0"/>
                                </a:moveTo>
                                <a:lnTo>
                                  <a:pt x="0" y="1946656"/>
                                </a:lnTo>
                              </a:path>
                              <a:path w="3549650" h="1946910">
                                <a:moveTo>
                                  <a:pt x="505967" y="0"/>
                                </a:moveTo>
                                <a:lnTo>
                                  <a:pt x="505967" y="1946656"/>
                                </a:lnTo>
                              </a:path>
                              <a:path w="3549650" h="1946910">
                                <a:moveTo>
                                  <a:pt x="1013460" y="0"/>
                                </a:moveTo>
                                <a:lnTo>
                                  <a:pt x="1013460" y="1946656"/>
                                </a:lnTo>
                              </a:path>
                              <a:path w="3549650" h="1946910">
                                <a:moveTo>
                                  <a:pt x="1520952" y="0"/>
                                </a:moveTo>
                                <a:lnTo>
                                  <a:pt x="1520952" y="1946656"/>
                                </a:lnTo>
                              </a:path>
                              <a:path w="3549650" h="1946910">
                                <a:moveTo>
                                  <a:pt x="2028443" y="0"/>
                                </a:moveTo>
                                <a:lnTo>
                                  <a:pt x="2028443" y="1946656"/>
                                </a:lnTo>
                              </a:path>
                              <a:path w="3549650" h="1946910">
                                <a:moveTo>
                                  <a:pt x="2534412" y="0"/>
                                </a:moveTo>
                                <a:lnTo>
                                  <a:pt x="2534412" y="1946656"/>
                                </a:lnTo>
                              </a:path>
                              <a:path w="3549650" h="1946910">
                                <a:moveTo>
                                  <a:pt x="3041904" y="0"/>
                                </a:moveTo>
                                <a:lnTo>
                                  <a:pt x="3041904" y="1946656"/>
                                </a:lnTo>
                              </a:path>
                              <a:path w="3549650" h="1946910">
                                <a:moveTo>
                                  <a:pt x="3549395" y="0"/>
                                </a:moveTo>
                                <a:lnTo>
                                  <a:pt x="3549395" y="1946656"/>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137" cstate="print"/>
                          <a:stretch>
                            <a:fillRect/>
                          </a:stretch>
                        </pic:blipFill>
                        <pic:spPr>
                          <a:xfrm>
                            <a:off x="915733" y="2255659"/>
                            <a:ext cx="3098292" cy="167690"/>
                          </a:xfrm>
                          <a:prstGeom prst="rect">
                            <a:avLst/>
                          </a:prstGeom>
                        </pic:spPr>
                      </pic:pic>
                      <pic:pic xmlns:pic="http://schemas.openxmlformats.org/drawingml/2006/picture">
                        <pic:nvPicPr>
                          <pic:cNvPr id="207" name="Image 207"/>
                          <pic:cNvPicPr/>
                        </pic:nvPicPr>
                        <pic:blipFill>
                          <a:blip r:embed="rId138" cstate="print"/>
                          <a:stretch>
                            <a:fillRect/>
                          </a:stretch>
                        </pic:blipFill>
                        <pic:spPr>
                          <a:xfrm>
                            <a:off x="915733" y="2094204"/>
                            <a:ext cx="2592324" cy="188937"/>
                          </a:xfrm>
                          <a:prstGeom prst="rect">
                            <a:avLst/>
                          </a:prstGeom>
                        </pic:spPr>
                      </pic:pic>
                      <pic:pic xmlns:pic="http://schemas.openxmlformats.org/drawingml/2006/picture">
                        <pic:nvPicPr>
                          <pic:cNvPr id="208" name="Image 208"/>
                          <pic:cNvPicPr/>
                        </pic:nvPicPr>
                        <pic:blipFill>
                          <a:blip r:embed="rId139" cstate="print"/>
                          <a:stretch>
                            <a:fillRect/>
                          </a:stretch>
                        </pic:blipFill>
                        <pic:spPr>
                          <a:xfrm>
                            <a:off x="915733" y="1931047"/>
                            <a:ext cx="2084832" cy="190423"/>
                          </a:xfrm>
                          <a:prstGeom prst="rect">
                            <a:avLst/>
                          </a:prstGeom>
                        </pic:spPr>
                      </pic:pic>
                      <pic:pic xmlns:pic="http://schemas.openxmlformats.org/drawingml/2006/picture">
                        <pic:nvPicPr>
                          <pic:cNvPr id="209" name="Image 209"/>
                          <pic:cNvPicPr/>
                        </pic:nvPicPr>
                        <pic:blipFill>
                          <a:blip r:embed="rId140" cstate="print"/>
                          <a:stretch>
                            <a:fillRect/>
                          </a:stretch>
                        </pic:blipFill>
                        <pic:spPr>
                          <a:xfrm>
                            <a:off x="915733" y="1606435"/>
                            <a:ext cx="2592324" cy="352094"/>
                          </a:xfrm>
                          <a:prstGeom prst="rect">
                            <a:avLst/>
                          </a:prstGeom>
                        </pic:spPr>
                      </pic:pic>
                      <pic:pic xmlns:pic="http://schemas.openxmlformats.org/drawingml/2006/picture">
                        <pic:nvPicPr>
                          <pic:cNvPr id="210" name="Image 210"/>
                          <pic:cNvPicPr/>
                        </pic:nvPicPr>
                        <pic:blipFill>
                          <a:blip r:embed="rId139" cstate="print"/>
                          <a:stretch>
                            <a:fillRect/>
                          </a:stretch>
                        </pic:blipFill>
                        <pic:spPr>
                          <a:xfrm>
                            <a:off x="915733" y="1444891"/>
                            <a:ext cx="2084832" cy="190423"/>
                          </a:xfrm>
                          <a:prstGeom prst="rect">
                            <a:avLst/>
                          </a:prstGeom>
                        </pic:spPr>
                      </pic:pic>
                      <pic:pic xmlns:pic="http://schemas.openxmlformats.org/drawingml/2006/picture">
                        <pic:nvPicPr>
                          <pic:cNvPr id="211" name="Image 211"/>
                          <pic:cNvPicPr/>
                        </pic:nvPicPr>
                        <pic:blipFill>
                          <a:blip r:embed="rId141" cstate="print"/>
                          <a:stretch>
                            <a:fillRect/>
                          </a:stretch>
                        </pic:blipFill>
                        <pic:spPr>
                          <a:xfrm>
                            <a:off x="915733" y="1120279"/>
                            <a:ext cx="3605783" cy="352094"/>
                          </a:xfrm>
                          <a:prstGeom prst="rect">
                            <a:avLst/>
                          </a:prstGeom>
                        </pic:spPr>
                      </pic:pic>
                      <pic:pic xmlns:pic="http://schemas.openxmlformats.org/drawingml/2006/picture">
                        <pic:nvPicPr>
                          <pic:cNvPr id="212" name="Image 212"/>
                          <pic:cNvPicPr/>
                        </pic:nvPicPr>
                        <pic:blipFill>
                          <a:blip r:embed="rId138" cstate="print"/>
                          <a:stretch>
                            <a:fillRect/>
                          </a:stretch>
                        </pic:blipFill>
                        <pic:spPr>
                          <a:xfrm>
                            <a:off x="915733" y="958824"/>
                            <a:ext cx="2592324" cy="188937"/>
                          </a:xfrm>
                          <a:prstGeom prst="rect">
                            <a:avLst/>
                          </a:prstGeom>
                        </pic:spPr>
                      </pic:pic>
                      <pic:pic xmlns:pic="http://schemas.openxmlformats.org/drawingml/2006/picture">
                        <pic:nvPicPr>
                          <pic:cNvPr id="213" name="Image 213"/>
                          <pic:cNvPicPr/>
                        </pic:nvPicPr>
                        <pic:blipFill>
                          <a:blip r:embed="rId142" cstate="print"/>
                          <a:stretch>
                            <a:fillRect/>
                          </a:stretch>
                        </pic:blipFill>
                        <pic:spPr>
                          <a:xfrm>
                            <a:off x="915733" y="795667"/>
                            <a:ext cx="3605783" cy="190423"/>
                          </a:xfrm>
                          <a:prstGeom prst="rect">
                            <a:avLst/>
                          </a:prstGeom>
                        </pic:spPr>
                      </pic:pic>
                      <pic:pic xmlns:pic="http://schemas.openxmlformats.org/drawingml/2006/picture">
                        <pic:nvPicPr>
                          <pic:cNvPr id="214" name="Image 214"/>
                          <pic:cNvPicPr/>
                        </pic:nvPicPr>
                        <pic:blipFill>
                          <a:blip r:embed="rId143" cstate="print"/>
                          <a:stretch>
                            <a:fillRect/>
                          </a:stretch>
                        </pic:blipFill>
                        <pic:spPr>
                          <a:xfrm>
                            <a:off x="915733" y="471055"/>
                            <a:ext cx="2084832" cy="352094"/>
                          </a:xfrm>
                          <a:prstGeom prst="rect">
                            <a:avLst/>
                          </a:prstGeom>
                        </pic:spPr>
                      </pic:pic>
                      <pic:pic xmlns:pic="http://schemas.openxmlformats.org/drawingml/2006/picture">
                        <pic:nvPicPr>
                          <pic:cNvPr id="215" name="Image 215"/>
                          <pic:cNvPicPr/>
                        </pic:nvPicPr>
                        <pic:blipFill>
                          <a:blip r:embed="rId144" cstate="print"/>
                          <a:stretch>
                            <a:fillRect/>
                          </a:stretch>
                        </pic:blipFill>
                        <pic:spPr>
                          <a:xfrm>
                            <a:off x="916876" y="2296467"/>
                            <a:ext cx="3042919" cy="75448"/>
                          </a:xfrm>
                          <a:prstGeom prst="rect">
                            <a:avLst/>
                          </a:prstGeom>
                        </pic:spPr>
                      </pic:pic>
                      <pic:pic xmlns:pic="http://schemas.openxmlformats.org/drawingml/2006/picture">
                        <pic:nvPicPr>
                          <pic:cNvPr id="216" name="Image 216"/>
                          <pic:cNvPicPr/>
                        </pic:nvPicPr>
                        <pic:blipFill>
                          <a:blip r:embed="rId145" cstate="print"/>
                          <a:stretch>
                            <a:fillRect/>
                          </a:stretch>
                        </pic:blipFill>
                        <pic:spPr>
                          <a:xfrm>
                            <a:off x="916876" y="2134288"/>
                            <a:ext cx="2535809" cy="75448"/>
                          </a:xfrm>
                          <a:prstGeom prst="rect">
                            <a:avLst/>
                          </a:prstGeom>
                        </pic:spPr>
                      </pic:pic>
                      <pic:pic xmlns:pic="http://schemas.openxmlformats.org/drawingml/2006/picture">
                        <pic:nvPicPr>
                          <pic:cNvPr id="217" name="Image 217"/>
                          <pic:cNvPicPr/>
                        </pic:nvPicPr>
                        <pic:blipFill>
                          <a:blip r:embed="rId146" cstate="print"/>
                          <a:stretch>
                            <a:fillRect/>
                          </a:stretch>
                        </pic:blipFill>
                        <pic:spPr>
                          <a:xfrm>
                            <a:off x="916876" y="1971983"/>
                            <a:ext cx="2028698" cy="75446"/>
                          </a:xfrm>
                          <a:prstGeom prst="rect">
                            <a:avLst/>
                          </a:prstGeom>
                        </pic:spPr>
                      </pic:pic>
                      <pic:pic xmlns:pic="http://schemas.openxmlformats.org/drawingml/2006/picture">
                        <pic:nvPicPr>
                          <pic:cNvPr id="218" name="Image 218"/>
                          <pic:cNvPicPr/>
                        </pic:nvPicPr>
                        <pic:blipFill>
                          <a:blip r:embed="rId147" cstate="print"/>
                          <a:stretch>
                            <a:fillRect/>
                          </a:stretch>
                        </pic:blipFill>
                        <pic:spPr>
                          <a:xfrm>
                            <a:off x="916876" y="1809803"/>
                            <a:ext cx="2535809" cy="75448"/>
                          </a:xfrm>
                          <a:prstGeom prst="rect">
                            <a:avLst/>
                          </a:prstGeom>
                        </pic:spPr>
                      </pic:pic>
                      <pic:pic xmlns:pic="http://schemas.openxmlformats.org/drawingml/2006/picture">
                        <pic:nvPicPr>
                          <pic:cNvPr id="219" name="Image 219"/>
                          <pic:cNvPicPr/>
                        </pic:nvPicPr>
                        <pic:blipFill>
                          <a:blip r:embed="rId147" cstate="print"/>
                          <a:stretch>
                            <a:fillRect/>
                          </a:stretch>
                        </pic:blipFill>
                        <pic:spPr>
                          <a:xfrm>
                            <a:off x="916876" y="1647625"/>
                            <a:ext cx="2535809" cy="75446"/>
                          </a:xfrm>
                          <a:prstGeom prst="rect">
                            <a:avLst/>
                          </a:prstGeom>
                        </pic:spPr>
                      </pic:pic>
                      <pic:pic xmlns:pic="http://schemas.openxmlformats.org/drawingml/2006/picture">
                        <pic:nvPicPr>
                          <pic:cNvPr id="220" name="Image 220"/>
                          <pic:cNvPicPr/>
                        </pic:nvPicPr>
                        <pic:blipFill>
                          <a:blip r:embed="rId148" cstate="print"/>
                          <a:stretch>
                            <a:fillRect/>
                          </a:stretch>
                        </pic:blipFill>
                        <pic:spPr>
                          <a:xfrm>
                            <a:off x="916876" y="1485445"/>
                            <a:ext cx="2028698" cy="75448"/>
                          </a:xfrm>
                          <a:prstGeom prst="rect">
                            <a:avLst/>
                          </a:prstGeom>
                        </pic:spPr>
                      </pic:pic>
                      <pic:pic xmlns:pic="http://schemas.openxmlformats.org/drawingml/2006/picture">
                        <pic:nvPicPr>
                          <pic:cNvPr id="221" name="Image 221"/>
                          <pic:cNvPicPr/>
                        </pic:nvPicPr>
                        <pic:blipFill>
                          <a:blip r:embed="rId149" cstate="print"/>
                          <a:stretch>
                            <a:fillRect/>
                          </a:stretch>
                        </pic:blipFill>
                        <pic:spPr>
                          <a:xfrm>
                            <a:off x="916876" y="1323139"/>
                            <a:ext cx="3550158" cy="75448"/>
                          </a:xfrm>
                          <a:prstGeom prst="rect">
                            <a:avLst/>
                          </a:prstGeom>
                        </pic:spPr>
                      </pic:pic>
                      <pic:pic xmlns:pic="http://schemas.openxmlformats.org/drawingml/2006/picture">
                        <pic:nvPicPr>
                          <pic:cNvPr id="222" name="Image 222"/>
                          <pic:cNvPicPr/>
                        </pic:nvPicPr>
                        <pic:blipFill>
                          <a:blip r:embed="rId147" cstate="print"/>
                          <a:stretch>
                            <a:fillRect/>
                          </a:stretch>
                        </pic:blipFill>
                        <pic:spPr>
                          <a:xfrm>
                            <a:off x="916876" y="998781"/>
                            <a:ext cx="2535809" cy="75448"/>
                          </a:xfrm>
                          <a:prstGeom prst="rect">
                            <a:avLst/>
                          </a:prstGeom>
                        </pic:spPr>
                      </pic:pic>
                      <pic:pic xmlns:pic="http://schemas.openxmlformats.org/drawingml/2006/picture">
                        <pic:nvPicPr>
                          <pic:cNvPr id="223" name="Image 223"/>
                          <pic:cNvPicPr/>
                        </pic:nvPicPr>
                        <pic:blipFill>
                          <a:blip r:embed="rId150" cstate="print"/>
                          <a:stretch>
                            <a:fillRect/>
                          </a:stretch>
                        </pic:blipFill>
                        <pic:spPr>
                          <a:xfrm>
                            <a:off x="916876" y="1160961"/>
                            <a:ext cx="3550158" cy="75446"/>
                          </a:xfrm>
                          <a:prstGeom prst="rect">
                            <a:avLst/>
                          </a:prstGeom>
                        </pic:spPr>
                      </pic:pic>
                      <pic:pic xmlns:pic="http://schemas.openxmlformats.org/drawingml/2006/picture">
                        <pic:nvPicPr>
                          <pic:cNvPr id="224" name="Image 224"/>
                          <pic:cNvPicPr/>
                        </pic:nvPicPr>
                        <pic:blipFill>
                          <a:blip r:embed="rId151" cstate="print"/>
                          <a:stretch>
                            <a:fillRect/>
                          </a:stretch>
                        </pic:blipFill>
                        <pic:spPr>
                          <a:xfrm>
                            <a:off x="916876" y="836603"/>
                            <a:ext cx="3550158" cy="75446"/>
                          </a:xfrm>
                          <a:prstGeom prst="rect">
                            <a:avLst/>
                          </a:prstGeom>
                        </pic:spPr>
                      </pic:pic>
                      <pic:pic xmlns:pic="http://schemas.openxmlformats.org/drawingml/2006/picture">
                        <pic:nvPicPr>
                          <pic:cNvPr id="225" name="Image 225"/>
                          <pic:cNvPicPr/>
                        </pic:nvPicPr>
                        <pic:blipFill>
                          <a:blip r:embed="rId146" cstate="print"/>
                          <a:stretch>
                            <a:fillRect/>
                          </a:stretch>
                        </pic:blipFill>
                        <pic:spPr>
                          <a:xfrm>
                            <a:off x="916876" y="674296"/>
                            <a:ext cx="2028698" cy="75448"/>
                          </a:xfrm>
                          <a:prstGeom prst="rect">
                            <a:avLst/>
                          </a:prstGeom>
                        </pic:spPr>
                      </pic:pic>
                      <pic:pic xmlns:pic="http://schemas.openxmlformats.org/drawingml/2006/picture">
                        <pic:nvPicPr>
                          <pic:cNvPr id="226" name="Image 226"/>
                          <pic:cNvPicPr/>
                        </pic:nvPicPr>
                        <pic:blipFill>
                          <a:blip r:embed="rId146" cstate="print"/>
                          <a:stretch>
                            <a:fillRect/>
                          </a:stretch>
                        </pic:blipFill>
                        <pic:spPr>
                          <a:xfrm>
                            <a:off x="916876" y="512117"/>
                            <a:ext cx="2028698" cy="75448"/>
                          </a:xfrm>
                          <a:prstGeom prst="rect">
                            <a:avLst/>
                          </a:prstGeom>
                        </pic:spPr>
                      </pic:pic>
                      <wps:wsp>
                        <wps:cNvPr id="227" name="Graphic 227"/>
                        <wps:cNvSpPr/>
                        <wps:spPr>
                          <a:xfrm>
                            <a:off x="916876" y="468693"/>
                            <a:ext cx="1270" cy="1946910"/>
                          </a:xfrm>
                          <a:custGeom>
                            <a:avLst/>
                            <a:gdLst/>
                            <a:ahLst/>
                            <a:cxnLst/>
                            <a:rect l="l" t="t" r="r" b="b"/>
                            <a:pathLst>
                              <a:path h="1946910">
                                <a:moveTo>
                                  <a:pt x="0" y="1946656"/>
                                </a:moveTo>
                                <a:lnTo>
                                  <a:pt x="0" y="0"/>
                                </a:lnTo>
                              </a:path>
                            </a:pathLst>
                          </a:custGeom>
                          <a:ln w="12700">
                            <a:solidFill>
                              <a:srgbClr val="D9D9D9"/>
                            </a:solidFill>
                            <a:prstDash val="solid"/>
                          </a:ln>
                        </wps:spPr>
                        <wps:bodyPr wrap="square" lIns="0" tIns="0" rIns="0" bIns="0" rtlCol="0">
                          <a:prstTxWarp prst="textNoShape">
                            <a:avLst/>
                          </a:prstTxWarp>
                          <a:noAutofit/>
                        </wps:bodyPr>
                      </wps:wsp>
                      <wps:wsp>
                        <wps:cNvPr id="228" name="Graphic 228"/>
                        <wps:cNvSpPr/>
                        <wps:spPr>
                          <a:xfrm>
                            <a:off x="4762" y="4762"/>
                            <a:ext cx="5086350" cy="2743200"/>
                          </a:xfrm>
                          <a:custGeom>
                            <a:avLst/>
                            <a:gdLst/>
                            <a:ahLst/>
                            <a:cxnLst/>
                            <a:rect l="l" t="t" r="r" b="b"/>
                            <a:pathLst>
                              <a:path w="5086350" h="2743200">
                                <a:moveTo>
                                  <a:pt x="0" y="2743200"/>
                                </a:moveTo>
                                <a:lnTo>
                                  <a:pt x="5086350" y="2743200"/>
                                </a:lnTo>
                                <a:lnTo>
                                  <a:pt x="5086350"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229" name="Textbox 229"/>
                        <wps:cNvSpPr txBox="1"/>
                        <wps:spPr>
                          <a:xfrm>
                            <a:off x="4946459" y="2511107"/>
                            <a:ext cx="71120" cy="114300"/>
                          </a:xfrm>
                          <a:prstGeom prst="rect">
                            <a:avLst/>
                          </a:prstGeom>
                        </wps:spPr>
                        <wps:txbx>
                          <w:txbxContent>
                            <w:p w14:paraId="66BB51E4" w14:textId="77777777" w:rsidR="002C6574" w:rsidRDefault="00000000">
                              <w:pPr>
                                <w:spacing w:line="180" w:lineRule="exact"/>
                                <w:rPr>
                                  <w:rFonts w:ascii="Calibri"/>
                                  <w:sz w:val="18"/>
                                </w:rPr>
                              </w:pPr>
                              <w:r>
                                <w:rPr>
                                  <w:rFonts w:ascii="Calibri"/>
                                  <w:color w:val="585858"/>
                                  <w:spacing w:val="-10"/>
                                  <w:sz w:val="18"/>
                                </w:rPr>
                                <w:t>8</w:t>
                              </w:r>
                            </w:p>
                          </w:txbxContent>
                        </wps:txbx>
                        <wps:bodyPr wrap="square" lIns="0" tIns="0" rIns="0" bIns="0" rtlCol="0">
                          <a:noAutofit/>
                        </wps:bodyPr>
                      </wps:wsp>
                      <wps:wsp>
                        <wps:cNvPr id="230" name="Textbox 230"/>
                        <wps:cNvSpPr txBox="1"/>
                        <wps:spPr>
                          <a:xfrm>
                            <a:off x="4439221" y="2511107"/>
                            <a:ext cx="71120" cy="114300"/>
                          </a:xfrm>
                          <a:prstGeom prst="rect">
                            <a:avLst/>
                          </a:prstGeom>
                        </wps:spPr>
                        <wps:txbx>
                          <w:txbxContent>
                            <w:p w14:paraId="5D2A8B52" w14:textId="77777777" w:rsidR="002C6574" w:rsidRDefault="00000000">
                              <w:pPr>
                                <w:spacing w:line="180" w:lineRule="exact"/>
                                <w:rPr>
                                  <w:rFonts w:ascii="Calibri"/>
                                  <w:sz w:val="18"/>
                                </w:rPr>
                              </w:pPr>
                              <w:r>
                                <w:rPr>
                                  <w:rFonts w:ascii="Calibri"/>
                                  <w:color w:val="585858"/>
                                  <w:spacing w:val="-10"/>
                                  <w:sz w:val="18"/>
                                </w:rPr>
                                <w:t>7</w:t>
                              </w:r>
                            </w:p>
                          </w:txbxContent>
                        </wps:txbx>
                        <wps:bodyPr wrap="square" lIns="0" tIns="0" rIns="0" bIns="0" rtlCol="0">
                          <a:noAutofit/>
                        </wps:bodyPr>
                      </wps:wsp>
                      <wps:wsp>
                        <wps:cNvPr id="231" name="Textbox 231"/>
                        <wps:cNvSpPr txBox="1"/>
                        <wps:spPr>
                          <a:xfrm>
                            <a:off x="3931983" y="2511107"/>
                            <a:ext cx="71120" cy="114300"/>
                          </a:xfrm>
                          <a:prstGeom prst="rect">
                            <a:avLst/>
                          </a:prstGeom>
                        </wps:spPr>
                        <wps:txbx>
                          <w:txbxContent>
                            <w:p w14:paraId="73D7BCA3" w14:textId="77777777" w:rsidR="002C6574" w:rsidRDefault="00000000">
                              <w:pPr>
                                <w:spacing w:line="180" w:lineRule="exact"/>
                                <w:rPr>
                                  <w:rFonts w:ascii="Calibri"/>
                                  <w:sz w:val="18"/>
                                </w:rPr>
                              </w:pPr>
                              <w:r>
                                <w:rPr>
                                  <w:rFonts w:ascii="Calibri"/>
                                  <w:color w:val="585858"/>
                                  <w:spacing w:val="-10"/>
                                  <w:sz w:val="18"/>
                                </w:rPr>
                                <w:t>6</w:t>
                              </w:r>
                            </w:p>
                          </w:txbxContent>
                        </wps:txbx>
                        <wps:bodyPr wrap="square" lIns="0" tIns="0" rIns="0" bIns="0" rtlCol="0">
                          <a:noAutofit/>
                        </wps:bodyPr>
                      </wps:wsp>
                      <wps:wsp>
                        <wps:cNvPr id="232" name="Textbox 232"/>
                        <wps:cNvSpPr txBox="1"/>
                        <wps:spPr>
                          <a:xfrm>
                            <a:off x="3424491" y="2511107"/>
                            <a:ext cx="71120" cy="114300"/>
                          </a:xfrm>
                          <a:prstGeom prst="rect">
                            <a:avLst/>
                          </a:prstGeom>
                        </wps:spPr>
                        <wps:txbx>
                          <w:txbxContent>
                            <w:p w14:paraId="04A1C928" w14:textId="77777777" w:rsidR="002C6574" w:rsidRDefault="00000000">
                              <w:pPr>
                                <w:spacing w:line="180" w:lineRule="exact"/>
                                <w:rPr>
                                  <w:rFonts w:ascii="Calibri"/>
                                  <w:sz w:val="18"/>
                                </w:rPr>
                              </w:pPr>
                              <w:r>
                                <w:rPr>
                                  <w:rFonts w:ascii="Calibri"/>
                                  <w:color w:val="585858"/>
                                  <w:spacing w:val="-10"/>
                                  <w:sz w:val="18"/>
                                </w:rPr>
                                <w:t>5</w:t>
                              </w:r>
                            </w:p>
                          </w:txbxContent>
                        </wps:txbx>
                        <wps:bodyPr wrap="square" lIns="0" tIns="0" rIns="0" bIns="0" rtlCol="0">
                          <a:noAutofit/>
                        </wps:bodyPr>
                      </wps:wsp>
                      <wps:wsp>
                        <wps:cNvPr id="233" name="Textbox 233"/>
                        <wps:cNvSpPr txBox="1"/>
                        <wps:spPr>
                          <a:xfrm>
                            <a:off x="2917380" y="2511107"/>
                            <a:ext cx="71120" cy="114300"/>
                          </a:xfrm>
                          <a:prstGeom prst="rect">
                            <a:avLst/>
                          </a:prstGeom>
                        </wps:spPr>
                        <wps:txbx>
                          <w:txbxContent>
                            <w:p w14:paraId="418786B8" w14:textId="77777777" w:rsidR="002C6574" w:rsidRDefault="00000000">
                              <w:pPr>
                                <w:spacing w:line="180" w:lineRule="exact"/>
                                <w:rPr>
                                  <w:rFonts w:ascii="Calibri"/>
                                  <w:sz w:val="18"/>
                                </w:rPr>
                              </w:pPr>
                              <w:r>
                                <w:rPr>
                                  <w:rFonts w:ascii="Calibri"/>
                                  <w:color w:val="585858"/>
                                  <w:spacing w:val="-10"/>
                                  <w:sz w:val="18"/>
                                </w:rPr>
                                <w:t>4</w:t>
                              </w:r>
                            </w:p>
                          </w:txbxContent>
                        </wps:txbx>
                        <wps:bodyPr wrap="square" lIns="0" tIns="0" rIns="0" bIns="0" rtlCol="0">
                          <a:noAutofit/>
                        </wps:bodyPr>
                      </wps:wsp>
                      <wps:wsp>
                        <wps:cNvPr id="234" name="Textbox 234"/>
                        <wps:cNvSpPr txBox="1"/>
                        <wps:spPr>
                          <a:xfrm>
                            <a:off x="2410142" y="2511107"/>
                            <a:ext cx="71120" cy="114300"/>
                          </a:xfrm>
                          <a:prstGeom prst="rect">
                            <a:avLst/>
                          </a:prstGeom>
                        </wps:spPr>
                        <wps:txbx>
                          <w:txbxContent>
                            <w:p w14:paraId="748219C0" w14:textId="77777777" w:rsidR="002C6574" w:rsidRDefault="00000000">
                              <w:pPr>
                                <w:spacing w:line="180" w:lineRule="exact"/>
                                <w:rPr>
                                  <w:rFonts w:ascii="Calibri"/>
                                  <w:sz w:val="18"/>
                                </w:rPr>
                              </w:pPr>
                              <w:r>
                                <w:rPr>
                                  <w:rFonts w:ascii="Calibri"/>
                                  <w:color w:val="585858"/>
                                  <w:spacing w:val="-10"/>
                                  <w:sz w:val="18"/>
                                </w:rPr>
                                <w:t>3</w:t>
                              </w:r>
                            </w:p>
                          </w:txbxContent>
                        </wps:txbx>
                        <wps:bodyPr wrap="square" lIns="0" tIns="0" rIns="0" bIns="0" rtlCol="0">
                          <a:noAutofit/>
                        </wps:bodyPr>
                      </wps:wsp>
                      <wps:wsp>
                        <wps:cNvPr id="235" name="Textbox 235"/>
                        <wps:cNvSpPr txBox="1"/>
                        <wps:spPr>
                          <a:xfrm>
                            <a:off x="1903031" y="2511107"/>
                            <a:ext cx="71120" cy="114300"/>
                          </a:xfrm>
                          <a:prstGeom prst="rect">
                            <a:avLst/>
                          </a:prstGeom>
                        </wps:spPr>
                        <wps:txbx>
                          <w:txbxContent>
                            <w:p w14:paraId="5AB7EE7E" w14:textId="77777777" w:rsidR="002C6574" w:rsidRDefault="00000000">
                              <w:pPr>
                                <w:spacing w:line="180" w:lineRule="exact"/>
                                <w:rPr>
                                  <w:rFonts w:ascii="Calibri"/>
                                  <w:sz w:val="18"/>
                                </w:rPr>
                              </w:pPr>
                              <w:r>
                                <w:rPr>
                                  <w:rFonts w:ascii="Calibri"/>
                                  <w:color w:val="585858"/>
                                  <w:spacing w:val="-10"/>
                                  <w:sz w:val="18"/>
                                </w:rPr>
                                <w:t>2</w:t>
                              </w:r>
                            </w:p>
                          </w:txbxContent>
                        </wps:txbx>
                        <wps:bodyPr wrap="square" lIns="0" tIns="0" rIns="0" bIns="0" rtlCol="0">
                          <a:noAutofit/>
                        </wps:bodyPr>
                      </wps:wsp>
                      <wps:wsp>
                        <wps:cNvPr id="236" name="Textbox 236"/>
                        <wps:cNvSpPr txBox="1"/>
                        <wps:spPr>
                          <a:xfrm>
                            <a:off x="1395793" y="2511107"/>
                            <a:ext cx="71120" cy="114300"/>
                          </a:xfrm>
                          <a:prstGeom prst="rect">
                            <a:avLst/>
                          </a:prstGeom>
                        </wps:spPr>
                        <wps:txbx>
                          <w:txbxContent>
                            <w:p w14:paraId="43703B7E" w14:textId="77777777" w:rsidR="002C6574" w:rsidRDefault="00000000">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237" name="Textbox 237"/>
                        <wps:cNvSpPr txBox="1"/>
                        <wps:spPr>
                          <a:xfrm>
                            <a:off x="888301" y="2511107"/>
                            <a:ext cx="71120" cy="114300"/>
                          </a:xfrm>
                          <a:prstGeom prst="rect">
                            <a:avLst/>
                          </a:prstGeom>
                        </wps:spPr>
                        <wps:txbx>
                          <w:txbxContent>
                            <w:p w14:paraId="7C3D9BAF" w14:textId="77777777" w:rsidR="002C6574" w:rsidRDefault="00000000">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238" name="Textbox 238"/>
                        <wps:cNvSpPr txBox="1"/>
                        <wps:spPr>
                          <a:xfrm>
                            <a:off x="243395" y="496633"/>
                            <a:ext cx="580390" cy="1899285"/>
                          </a:xfrm>
                          <a:prstGeom prst="rect">
                            <a:avLst/>
                          </a:prstGeom>
                        </wps:spPr>
                        <wps:txbx>
                          <w:txbxContent>
                            <w:p w14:paraId="741ED51C" w14:textId="77777777" w:rsidR="002C6574" w:rsidRDefault="00000000">
                              <w:pPr>
                                <w:spacing w:line="183" w:lineRule="exact"/>
                                <w:ind w:right="18"/>
                                <w:jc w:val="right"/>
                                <w:rPr>
                                  <w:rFonts w:ascii="Calibri"/>
                                  <w:sz w:val="18"/>
                                </w:rPr>
                              </w:pPr>
                              <w:r>
                                <w:rPr>
                                  <w:rFonts w:ascii="Calibri"/>
                                  <w:color w:val="585858"/>
                                  <w:spacing w:val="-2"/>
                                  <w:sz w:val="18"/>
                                </w:rPr>
                                <w:t>DEZEMBRO</w:t>
                              </w:r>
                            </w:p>
                            <w:p w14:paraId="5DE27C85" w14:textId="77777777" w:rsidR="002C6574" w:rsidRDefault="00000000">
                              <w:pPr>
                                <w:spacing w:before="35" w:line="278" w:lineRule="auto"/>
                                <w:ind w:left="79" w:right="18" w:hanging="80"/>
                                <w:jc w:val="right"/>
                                <w:rPr>
                                  <w:rFonts w:ascii="Calibri" w:hAnsi="Calibri"/>
                                  <w:sz w:val="18"/>
                                </w:rPr>
                              </w:pPr>
                              <w:r>
                                <w:rPr>
                                  <w:rFonts w:ascii="Calibri" w:hAnsi="Calibri"/>
                                  <w:color w:val="585858"/>
                                  <w:spacing w:val="-2"/>
                                  <w:sz w:val="18"/>
                                </w:rPr>
                                <w:t>NOVEMBRO</w:t>
                              </w:r>
                              <w:r>
                                <w:rPr>
                                  <w:rFonts w:ascii="Calibri" w:hAnsi="Calibri"/>
                                  <w:color w:val="585858"/>
                                  <w:sz w:val="18"/>
                                </w:rPr>
                                <w:t xml:space="preserve"> </w:t>
                              </w:r>
                              <w:r>
                                <w:rPr>
                                  <w:rFonts w:ascii="Calibri" w:hAnsi="Calibri"/>
                                  <w:color w:val="585858"/>
                                  <w:spacing w:val="-2"/>
                                  <w:sz w:val="18"/>
                                </w:rPr>
                                <w:t>OUTUBRO</w:t>
                              </w:r>
                              <w:r>
                                <w:rPr>
                                  <w:rFonts w:ascii="Calibri" w:hAnsi="Calibri"/>
                                  <w:color w:val="585858"/>
                                  <w:sz w:val="18"/>
                                </w:rPr>
                                <w:t xml:space="preserve"> </w:t>
                              </w:r>
                              <w:r>
                                <w:rPr>
                                  <w:rFonts w:ascii="Calibri" w:hAnsi="Calibri"/>
                                  <w:color w:val="585858"/>
                                  <w:spacing w:val="-2"/>
                                  <w:sz w:val="18"/>
                                </w:rPr>
                                <w:t>SETEMBRO</w:t>
                              </w:r>
                              <w:r>
                                <w:rPr>
                                  <w:rFonts w:ascii="Calibri" w:hAnsi="Calibri"/>
                                  <w:color w:val="585858"/>
                                  <w:sz w:val="18"/>
                                </w:rPr>
                                <w:t xml:space="preserve"> </w:t>
                              </w:r>
                              <w:r>
                                <w:rPr>
                                  <w:rFonts w:ascii="Calibri" w:hAnsi="Calibri"/>
                                  <w:color w:val="585858"/>
                                  <w:spacing w:val="-2"/>
                                  <w:sz w:val="18"/>
                                </w:rPr>
                                <w:t>AGOSTO</w:t>
                              </w:r>
                              <w:r>
                                <w:rPr>
                                  <w:rFonts w:ascii="Calibri" w:hAnsi="Calibri"/>
                                  <w:color w:val="585858"/>
                                  <w:sz w:val="18"/>
                                </w:rPr>
                                <w:t xml:space="preserve"> </w:t>
                              </w:r>
                              <w:r>
                                <w:rPr>
                                  <w:rFonts w:ascii="Calibri" w:hAnsi="Calibri"/>
                                  <w:color w:val="585858"/>
                                  <w:spacing w:val="-2"/>
                                  <w:sz w:val="18"/>
                                </w:rPr>
                                <w:t>JULHO</w:t>
                              </w:r>
                              <w:r>
                                <w:rPr>
                                  <w:rFonts w:ascii="Calibri" w:hAnsi="Calibri"/>
                                  <w:color w:val="585858"/>
                                  <w:sz w:val="18"/>
                                </w:rPr>
                                <w:t xml:space="preserve"> </w:t>
                              </w:r>
                              <w:r>
                                <w:rPr>
                                  <w:rFonts w:ascii="Calibri" w:hAnsi="Calibri"/>
                                  <w:color w:val="585858"/>
                                  <w:spacing w:val="-4"/>
                                  <w:sz w:val="18"/>
                                </w:rPr>
                                <w:t>JUNHO</w:t>
                              </w:r>
                              <w:r>
                                <w:rPr>
                                  <w:rFonts w:ascii="Calibri" w:hAnsi="Calibri"/>
                                  <w:color w:val="585858"/>
                                  <w:sz w:val="18"/>
                                </w:rPr>
                                <w:t xml:space="preserve"> </w:t>
                              </w:r>
                              <w:r>
                                <w:rPr>
                                  <w:rFonts w:ascii="Calibri" w:hAnsi="Calibri"/>
                                  <w:color w:val="585858"/>
                                  <w:spacing w:val="-4"/>
                                  <w:sz w:val="18"/>
                                </w:rPr>
                                <w:t>MAIO</w:t>
                              </w:r>
                              <w:r>
                                <w:rPr>
                                  <w:rFonts w:ascii="Calibri" w:hAnsi="Calibri"/>
                                  <w:color w:val="585858"/>
                                  <w:spacing w:val="40"/>
                                  <w:sz w:val="18"/>
                                </w:rPr>
                                <w:t xml:space="preserve"> </w:t>
                              </w:r>
                              <w:r>
                                <w:rPr>
                                  <w:rFonts w:ascii="Calibri" w:hAnsi="Calibri"/>
                                  <w:color w:val="585858"/>
                                  <w:spacing w:val="-4"/>
                                  <w:sz w:val="18"/>
                                </w:rPr>
                                <w:t>ABRIL</w:t>
                              </w:r>
                              <w:r>
                                <w:rPr>
                                  <w:rFonts w:ascii="Calibri" w:hAnsi="Calibri"/>
                                  <w:color w:val="585858"/>
                                  <w:sz w:val="18"/>
                                </w:rPr>
                                <w:t xml:space="preserve"> </w:t>
                              </w:r>
                              <w:r>
                                <w:rPr>
                                  <w:rFonts w:ascii="Calibri" w:hAnsi="Calibri"/>
                                  <w:color w:val="585858"/>
                                  <w:spacing w:val="-2"/>
                                  <w:sz w:val="18"/>
                                </w:rPr>
                                <w:t>MARÇO</w:t>
                              </w:r>
                              <w:r>
                                <w:rPr>
                                  <w:rFonts w:ascii="Calibri" w:hAnsi="Calibri"/>
                                  <w:color w:val="585858"/>
                                  <w:sz w:val="18"/>
                                </w:rPr>
                                <w:t xml:space="preserve"> </w:t>
                              </w:r>
                              <w:r>
                                <w:rPr>
                                  <w:rFonts w:ascii="Calibri" w:hAnsi="Calibri"/>
                                  <w:color w:val="585858"/>
                                  <w:spacing w:val="-2"/>
                                  <w:sz w:val="18"/>
                                </w:rPr>
                                <w:t>FEVEREIRO</w:t>
                              </w:r>
                            </w:p>
                            <w:p w14:paraId="54CFE324" w14:textId="77777777" w:rsidR="002C6574" w:rsidRDefault="00000000">
                              <w:pPr>
                                <w:spacing w:before="7" w:line="216" w:lineRule="exact"/>
                                <w:ind w:right="18"/>
                                <w:jc w:val="right"/>
                                <w:rPr>
                                  <w:rFonts w:ascii="Calibri"/>
                                  <w:sz w:val="18"/>
                                </w:rPr>
                              </w:pPr>
                              <w:r>
                                <w:rPr>
                                  <w:rFonts w:ascii="Calibri"/>
                                  <w:color w:val="585858"/>
                                  <w:spacing w:val="-2"/>
                                  <w:sz w:val="18"/>
                                </w:rPr>
                                <w:t>JANEIRO</w:t>
                              </w:r>
                            </w:p>
                          </w:txbxContent>
                        </wps:txbx>
                        <wps:bodyPr wrap="square" lIns="0" tIns="0" rIns="0" bIns="0" rtlCol="0">
                          <a:noAutofit/>
                        </wps:bodyPr>
                      </wps:wsp>
                      <wps:wsp>
                        <wps:cNvPr id="239" name="Textbox 239"/>
                        <wps:cNvSpPr txBox="1"/>
                        <wps:spPr>
                          <a:xfrm>
                            <a:off x="1300416" y="142049"/>
                            <a:ext cx="2508250" cy="203200"/>
                          </a:xfrm>
                          <a:prstGeom prst="rect">
                            <a:avLst/>
                          </a:prstGeom>
                        </wps:spPr>
                        <wps:txbx>
                          <w:txbxContent>
                            <w:p w14:paraId="157E626A" w14:textId="77777777" w:rsidR="002C6574" w:rsidRDefault="00000000">
                              <w:pPr>
                                <w:spacing w:line="319" w:lineRule="exact"/>
                                <w:rPr>
                                  <w:rFonts w:ascii="Calibri" w:hAnsi="Calibri"/>
                                  <w:b/>
                                  <w:sz w:val="32"/>
                                </w:rPr>
                              </w:pPr>
                              <w:r>
                                <w:rPr>
                                  <w:rFonts w:ascii="Calibri" w:hAnsi="Calibri"/>
                                  <w:b/>
                                  <w:color w:val="585858"/>
                                  <w:sz w:val="32"/>
                                </w:rPr>
                                <w:t>Número</w:t>
                              </w:r>
                              <w:r>
                                <w:rPr>
                                  <w:rFonts w:ascii="Calibri" w:hAnsi="Calibri"/>
                                  <w:b/>
                                  <w:color w:val="585858"/>
                                  <w:spacing w:val="-8"/>
                                  <w:sz w:val="32"/>
                                </w:rPr>
                                <w:t xml:space="preserve"> </w:t>
                              </w:r>
                              <w:r>
                                <w:rPr>
                                  <w:rFonts w:ascii="Calibri" w:hAnsi="Calibri"/>
                                  <w:b/>
                                  <w:color w:val="585858"/>
                                  <w:sz w:val="32"/>
                                </w:rPr>
                                <w:t>de</w:t>
                              </w:r>
                              <w:r>
                                <w:rPr>
                                  <w:rFonts w:ascii="Calibri" w:hAnsi="Calibri"/>
                                  <w:b/>
                                  <w:color w:val="585858"/>
                                  <w:spacing w:val="-13"/>
                                  <w:sz w:val="32"/>
                                </w:rPr>
                                <w:t xml:space="preserve"> </w:t>
                              </w:r>
                              <w:r>
                                <w:rPr>
                                  <w:rFonts w:ascii="Calibri" w:hAnsi="Calibri"/>
                                  <w:b/>
                                  <w:color w:val="585858"/>
                                  <w:sz w:val="32"/>
                                </w:rPr>
                                <w:t>Reuniões</w:t>
                              </w:r>
                              <w:r>
                                <w:rPr>
                                  <w:rFonts w:ascii="Calibri" w:hAnsi="Calibri"/>
                                  <w:b/>
                                  <w:color w:val="585858"/>
                                  <w:spacing w:val="-9"/>
                                  <w:sz w:val="32"/>
                                </w:rPr>
                                <w:t xml:space="preserve"> </w:t>
                              </w:r>
                              <w:r>
                                <w:rPr>
                                  <w:rFonts w:ascii="Calibri" w:hAnsi="Calibri"/>
                                  <w:b/>
                                  <w:color w:val="585858"/>
                                  <w:sz w:val="32"/>
                                </w:rPr>
                                <w:t>por</w:t>
                              </w:r>
                              <w:r>
                                <w:rPr>
                                  <w:rFonts w:ascii="Calibri" w:hAnsi="Calibri"/>
                                  <w:b/>
                                  <w:color w:val="585858"/>
                                  <w:spacing w:val="-13"/>
                                  <w:sz w:val="32"/>
                                </w:rPr>
                                <w:t xml:space="preserve"> </w:t>
                              </w:r>
                              <w:r>
                                <w:rPr>
                                  <w:rFonts w:ascii="Calibri" w:hAnsi="Calibri"/>
                                  <w:b/>
                                  <w:color w:val="585858"/>
                                  <w:spacing w:val="-5"/>
                                  <w:sz w:val="32"/>
                                </w:rPr>
                                <w:t>mês</w:t>
                              </w:r>
                            </w:p>
                          </w:txbxContent>
                        </wps:txbx>
                        <wps:bodyPr wrap="square" lIns="0" tIns="0" rIns="0" bIns="0" rtlCol="0">
                          <a:noAutofit/>
                        </wps:bodyPr>
                      </wps:wsp>
                    </wpg:wgp>
                  </a:graphicData>
                </a:graphic>
              </wp:anchor>
            </w:drawing>
          </mc:Choice>
          <mc:Fallback>
            <w:pict>
              <v:group w14:anchorId="187DC1D4" id="Group 204" o:spid="_x0000_s1061" style="position:absolute;margin-left:141.35pt;margin-top:14.3pt;width:401.25pt;height:216.75pt;z-index:-15707136;mso-wrap-distance-left:0;mso-wrap-distance-right:0;mso-position-horizontal-relative:page;mso-position-vertical-relative:text" coordsize="50958,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">
                <v:shape id="Graphic 205" o:spid="_x0000_s1062" style="position:absolute;left:14247;top:4686;width:35496;height:19470;visibility:visible;mso-wrap-style:square;v-text-anchor:top" coordsize="3549650,194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" path="m,l,1946656em505967,r,1946656em1013460,r,1946656em1520952,r,1946656em2028443,r,1946656em2534412,r,1946656em3041904,r,1946656em3549395,r,1946656e" filled="f" strokecolor="#d9d9d9">
                  <v:path arrowok="t"/>
                </v:shape>
                <v:shape id="Image 206" o:spid="_x0000_s1063" type="#_x0000_t75" style="position:absolute;left:9157;top:22556;width:30983;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">
                  <v:imagedata r:id="rId152" o:title=""/>
                </v:shape>
                <v:shape id="Image 207" o:spid="_x0000_s1064" type="#_x0000_t75" style="position:absolute;left:9157;top:20942;width:25923;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">
                  <v:imagedata r:id="rId153" o:title=""/>
                </v:shape>
                <v:shape id="Image 208" o:spid="_x0000_s1065" type="#_x0000_t75" style="position:absolute;left:9157;top:19310;width:20848;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">
                  <v:imagedata r:id="rId154" o:title=""/>
                </v:shape>
                <v:shape id="Image 209" o:spid="_x0000_s1066" type="#_x0000_t75" style="position:absolute;left:9157;top:16064;width:25923;height: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">
                  <v:imagedata r:id="rId155" o:title=""/>
                </v:shape>
                <v:shape id="Image 210" o:spid="_x0000_s1067" type="#_x0000_t75" style="position:absolute;left:9157;top:14448;width:208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">
                  <v:imagedata r:id="rId154" o:title=""/>
                </v:shape>
                <v:shape id="Image 211" o:spid="_x0000_s1068" type="#_x0000_t75" style="position:absolute;left:9157;top:11202;width:36058;height: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">
                  <v:imagedata r:id="rId156" o:title=""/>
                </v:shape>
                <v:shape id="Image 212" o:spid="_x0000_s1069" type="#_x0000_t75" style="position:absolute;left:9157;top:9588;width:25923;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">
                  <v:imagedata r:id="rId153" o:title=""/>
                </v:shape>
                <v:shape id="Image 213" o:spid="_x0000_s1070" type="#_x0000_t75" style="position:absolute;left:9157;top:7956;width:36058;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">
                  <v:imagedata r:id="rId157" o:title=""/>
                </v:shape>
                <v:shape id="Image 214" o:spid="_x0000_s1071" type="#_x0000_t75" style="position:absolute;left:9157;top:4710;width:20848;height: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">
                  <v:imagedata r:id="rId158" o:title=""/>
                </v:shape>
                <v:shape id="Image 215" o:spid="_x0000_s1072" type="#_x0000_t75" style="position:absolute;left:9168;top:22964;width:30429;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">
                  <v:imagedata r:id="rId159" o:title=""/>
                </v:shape>
                <v:shape id="Image 216" o:spid="_x0000_s1073" type="#_x0000_t75" style="position:absolute;left:9168;top:21342;width:25358;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">
                  <v:imagedata r:id="rId160" o:title=""/>
                </v:shape>
                <v:shape id="Image 217" o:spid="_x0000_s1074" type="#_x0000_t75" style="position:absolute;left:9168;top:19719;width:20287;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">
                  <v:imagedata r:id="rId161" o:title=""/>
                </v:shape>
                <v:shape id="Image 218" o:spid="_x0000_s1075" type="#_x0000_t75" style="position:absolute;left:9168;top:18098;width:25358;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">
                  <v:imagedata r:id="rId162" o:title=""/>
                </v:shape>
                <v:shape id="Image 219" o:spid="_x0000_s1076" type="#_x0000_t75" style="position:absolute;left:9168;top:16476;width:25358;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">
                  <v:imagedata r:id="rId162" o:title=""/>
                </v:shape>
                <v:shape id="Image 220" o:spid="_x0000_s1077" type="#_x0000_t75" style="position:absolute;left:9168;top:14854;width:20287;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">
                  <v:imagedata r:id="rId163" o:title=""/>
                </v:shape>
                <v:shape id="Image 221" o:spid="_x0000_s1078" type="#_x0000_t75" style="position:absolute;left:9168;top:13231;width:35502;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">
                  <v:imagedata r:id="rId164" o:title=""/>
                </v:shape>
                <v:shape id="Image 222" o:spid="_x0000_s1079" type="#_x0000_t75" style="position:absolute;left:9168;top:9987;width:25358;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">
                  <v:imagedata r:id="rId162" o:title=""/>
                </v:shape>
                <v:shape id="Image 223" o:spid="_x0000_s1080" type="#_x0000_t75" style="position:absolute;left:9168;top:11609;width:35502;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">
                  <v:imagedata r:id="rId165" o:title=""/>
                </v:shape>
                <v:shape id="Image 224" o:spid="_x0000_s1081" type="#_x0000_t75" style="position:absolute;left:9168;top:8366;width:35502;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">
                  <v:imagedata r:id="rId166" o:title=""/>
                </v:shape>
                <v:shape id="Image 225" o:spid="_x0000_s1082" type="#_x0000_t75" style="position:absolute;left:9168;top:6742;width:20287;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">
                  <v:imagedata r:id="rId161" o:title=""/>
                </v:shape>
                <v:shape id="Image 226" o:spid="_x0000_s1083" type="#_x0000_t75" style="position:absolute;left:9168;top:5121;width:20287;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">
                  <v:imagedata r:id="rId161" o:title=""/>
                </v:shape>
                <v:shape id="Graphic 227" o:spid="_x0000_s1084" style="position:absolute;left:9168;top:4686;width:13;height:19470;visibility:visible;mso-wrap-style:square;v-text-anchor:top" coordsize="1270,194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" path="m,1946656l,e" filled="f" strokecolor="#d9d9d9" strokeweight="1pt">
                  <v:path arrowok="t"/>
                </v:shape>
                <v:shape id="Graphic 228" o:spid="_x0000_s1085" style="position:absolute;left:47;top:47;width:50864;height:27432;visibility:visible;mso-wrap-style:square;v-text-anchor:top" coordsize="508635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" path="m,2743200r5086350,l5086350,,,,,2743200xe" filled="f" strokecolor="#d9d9d9">
                  <v:path arrowok="t"/>
                </v:shape>
                <v:shape id="Textbox 229" o:spid="_x0000_s1086" type="#_x0000_t202" style="position:absolute;left:49464;top:2511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66BB51E4" w14:textId="77777777" w:rsidR="002C6574" w:rsidRDefault="00000000">
                        <w:pPr>
                          <w:spacing w:line="180" w:lineRule="exact"/>
                          <w:rPr>
                            <w:rFonts w:ascii="Calibri"/>
                            <w:sz w:val="18"/>
                          </w:rPr>
                        </w:pPr>
                        <w:r>
                          <w:rPr>
                            <w:rFonts w:ascii="Calibri"/>
                            <w:color w:val="585858"/>
                            <w:spacing w:val="-10"/>
                            <w:sz w:val="18"/>
                          </w:rPr>
                          <w:t>8</w:t>
                        </w:r>
                      </w:p>
                    </w:txbxContent>
                  </v:textbox>
                </v:shape>
                <v:shape id="Textbox 230" o:spid="_x0000_s1087" type="#_x0000_t202" style="position:absolute;left:44392;top:2511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5D2A8B52" w14:textId="77777777" w:rsidR="002C6574" w:rsidRDefault="00000000">
                        <w:pPr>
                          <w:spacing w:line="180" w:lineRule="exact"/>
                          <w:rPr>
                            <w:rFonts w:ascii="Calibri"/>
                            <w:sz w:val="18"/>
                          </w:rPr>
                        </w:pPr>
                        <w:r>
                          <w:rPr>
                            <w:rFonts w:ascii="Calibri"/>
                            <w:color w:val="585858"/>
                            <w:spacing w:val="-10"/>
                            <w:sz w:val="18"/>
                          </w:rPr>
                          <w:t>7</w:t>
                        </w:r>
                      </w:p>
                    </w:txbxContent>
                  </v:textbox>
                </v:shape>
                <v:shape id="Textbox 231" o:spid="_x0000_s1088" type="#_x0000_t202" style="position:absolute;left:39319;top:25111;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73D7BCA3" w14:textId="77777777" w:rsidR="002C6574" w:rsidRDefault="00000000">
                        <w:pPr>
                          <w:spacing w:line="180" w:lineRule="exact"/>
                          <w:rPr>
                            <w:rFonts w:ascii="Calibri"/>
                            <w:sz w:val="18"/>
                          </w:rPr>
                        </w:pPr>
                        <w:r>
                          <w:rPr>
                            <w:rFonts w:ascii="Calibri"/>
                            <w:color w:val="585858"/>
                            <w:spacing w:val="-10"/>
                            <w:sz w:val="18"/>
                          </w:rPr>
                          <w:t>6</w:t>
                        </w:r>
                      </w:p>
                    </w:txbxContent>
                  </v:textbox>
                </v:shape>
                <v:shape id="Textbox 232" o:spid="_x0000_s1089" type="#_x0000_t202" style="position:absolute;left:34244;top:25111;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04A1C928" w14:textId="77777777" w:rsidR="002C6574" w:rsidRDefault="00000000">
                        <w:pPr>
                          <w:spacing w:line="180" w:lineRule="exact"/>
                          <w:rPr>
                            <w:rFonts w:ascii="Calibri"/>
                            <w:sz w:val="18"/>
                          </w:rPr>
                        </w:pPr>
                        <w:r>
                          <w:rPr>
                            <w:rFonts w:ascii="Calibri"/>
                            <w:color w:val="585858"/>
                            <w:spacing w:val="-10"/>
                            <w:sz w:val="18"/>
                          </w:rPr>
                          <w:t>5</w:t>
                        </w:r>
                      </w:p>
                    </w:txbxContent>
                  </v:textbox>
                </v:shape>
                <v:shape id="Textbox 233" o:spid="_x0000_s1090" type="#_x0000_t202" style="position:absolute;left:29173;top:25111;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418786B8" w14:textId="77777777" w:rsidR="002C6574" w:rsidRDefault="00000000">
                        <w:pPr>
                          <w:spacing w:line="180" w:lineRule="exact"/>
                          <w:rPr>
                            <w:rFonts w:ascii="Calibri"/>
                            <w:sz w:val="18"/>
                          </w:rPr>
                        </w:pPr>
                        <w:r>
                          <w:rPr>
                            <w:rFonts w:ascii="Calibri"/>
                            <w:color w:val="585858"/>
                            <w:spacing w:val="-10"/>
                            <w:sz w:val="18"/>
                          </w:rPr>
                          <w:t>4</w:t>
                        </w:r>
                      </w:p>
                    </w:txbxContent>
                  </v:textbox>
                </v:shape>
                <v:shape id="Textbox 234" o:spid="_x0000_s1091" type="#_x0000_t202" style="position:absolute;left:24101;top:2511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748219C0" w14:textId="77777777" w:rsidR="002C6574" w:rsidRDefault="00000000">
                        <w:pPr>
                          <w:spacing w:line="180" w:lineRule="exact"/>
                          <w:rPr>
                            <w:rFonts w:ascii="Calibri"/>
                            <w:sz w:val="18"/>
                          </w:rPr>
                        </w:pPr>
                        <w:r>
                          <w:rPr>
                            <w:rFonts w:ascii="Calibri"/>
                            <w:color w:val="585858"/>
                            <w:spacing w:val="-10"/>
                            <w:sz w:val="18"/>
                          </w:rPr>
                          <w:t>3</w:t>
                        </w:r>
                      </w:p>
                    </w:txbxContent>
                  </v:textbox>
                </v:shape>
                <v:shape id="Textbox 235" o:spid="_x0000_s1092" type="#_x0000_t202" style="position:absolute;left:19030;top:2511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5AB7EE7E" w14:textId="77777777" w:rsidR="002C6574" w:rsidRDefault="00000000">
                        <w:pPr>
                          <w:spacing w:line="180" w:lineRule="exact"/>
                          <w:rPr>
                            <w:rFonts w:ascii="Calibri"/>
                            <w:sz w:val="18"/>
                          </w:rPr>
                        </w:pPr>
                        <w:r>
                          <w:rPr>
                            <w:rFonts w:ascii="Calibri"/>
                            <w:color w:val="585858"/>
                            <w:spacing w:val="-10"/>
                            <w:sz w:val="18"/>
                          </w:rPr>
                          <w:t>2</w:t>
                        </w:r>
                      </w:p>
                    </w:txbxContent>
                  </v:textbox>
                </v:shape>
                <v:shape id="Textbox 236" o:spid="_x0000_s1093" type="#_x0000_t202" style="position:absolute;left:13957;top:25111;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43703B7E" w14:textId="77777777" w:rsidR="002C6574" w:rsidRDefault="00000000">
                        <w:pPr>
                          <w:spacing w:line="180" w:lineRule="exact"/>
                          <w:rPr>
                            <w:rFonts w:ascii="Calibri"/>
                            <w:sz w:val="18"/>
                          </w:rPr>
                        </w:pPr>
                        <w:r>
                          <w:rPr>
                            <w:rFonts w:ascii="Calibri"/>
                            <w:color w:val="585858"/>
                            <w:spacing w:val="-10"/>
                            <w:sz w:val="18"/>
                          </w:rPr>
                          <w:t>1</w:t>
                        </w:r>
                      </w:p>
                    </w:txbxContent>
                  </v:textbox>
                </v:shape>
                <v:shape id="Textbox 237" o:spid="_x0000_s1094" type="#_x0000_t202" style="position:absolute;left:8883;top:2511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7C3D9BAF" w14:textId="77777777" w:rsidR="002C6574" w:rsidRDefault="00000000">
                        <w:pPr>
                          <w:spacing w:line="180" w:lineRule="exact"/>
                          <w:rPr>
                            <w:rFonts w:ascii="Calibri"/>
                            <w:sz w:val="18"/>
                          </w:rPr>
                        </w:pPr>
                        <w:r>
                          <w:rPr>
                            <w:rFonts w:ascii="Calibri"/>
                            <w:color w:val="585858"/>
                            <w:spacing w:val="-10"/>
                            <w:sz w:val="18"/>
                          </w:rPr>
                          <w:t>0</w:t>
                        </w:r>
                      </w:p>
                    </w:txbxContent>
                  </v:textbox>
                </v:shape>
                <v:shape id="Textbox 238" o:spid="_x0000_s1095" type="#_x0000_t202" style="position:absolute;left:2433;top:4966;width:5804;height:18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741ED51C" w14:textId="77777777" w:rsidR="002C6574" w:rsidRDefault="00000000">
                        <w:pPr>
                          <w:spacing w:line="183" w:lineRule="exact"/>
                          <w:ind w:right="18"/>
                          <w:jc w:val="right"/>
                          <w:rPr>
                            <w:rFonts w:ascii="Calibri"/>
                            <w:sz w:val="18"/>
                          </w:rPr>
                        </w:pPr>
                        <w:r>
                          <w:rPr>
                            <w:rFonts w:ascii="Calibri"/>
                            <w:color w:val="585858"/>
                            <w:spacing w:val="-2"/>
                            <w:sz w:val="18"/>
                          </w:rPr>
                          <w:t>DEZEMBRO</w:t>
                        </w:r>
                      </w:p>
                      <w:p w14:paraId="5DE27C85" w14:textId="77777777" w:rsidR="002C6574" w:rsidRDefault="00000000">
                        <w:pPr>
                          <w:spacing w:before="35" w:line="278" w:lineRule="auto"/>
                          <w:ind w:left="79" w:right="18" w:hanging="80"/>
                          <w:jc w:val="right"/>
                          <w:rPr>
                            <w:rFonts w:ascii="Calibri" w:hAnsi="Calibri"/>
                            <w:sz w:val="18"/>
                          </w:rPr>
                        </w:pPr>
                        <w:r>
                          <w:rPr>
                            <w:rFonts w:ascii="Calibri" w:hAnsi="Calibri"/>
                            <w:color w:val="585858"/>
                            <w:spacing w:val="-2"/>
                            <w:sz w:val="18"/>
                          </w:rPr>
                          <w:t>NOVEMBRO</w:t>
                        </w:r>
                        <w:r>
                          <w:rPr>
                            <w:rFonts w:ascii="Calibri" w:hAnsi="Calibri"/>
                            <w:color w:val="585858"/>
                            <w:sz w:val="18"/>
                          </w:rPr>
                          <w:t xml:space="preserve"> </w:t>
                        </w:r>
                        <w:r>
                          <w:rPr>
                            <w:rFonts w:ascii="Calibri" w:hAnsi="Calibri"/>
                            <w:color w:val="585858"/>
                            <w:spacing w:val="-2"/>
                            <w:sz w:val="18"/>
                          </w:rPr>
                          <w:t>OUTUBRO</w:t>
                        </w:r>
                        <w:r>
                          <w:rPr>
                            <w:rFonts w:ascii="Calibri" w:hAnsi="Calibri"/>
                            <w:color w:val="585858"/>
                            <w:sz w:val="18"/>
                          </w:rPr>
                          <w:t xml:space="preserve"> </w:t>
                        </w:r>
                        <w:r>
                          <w:rPr>
                            <w:rFonts w:ascii="Calibri" w:hAnsi="Calibri"/>
                            <w:color w:val="585858"/>
                            <w:spacing w:val="-2"/>
                            <w:sz w:val="18"/>
                          </w:rPr>
                          <w:t>SETEMBRO</w:t>
                        </w:r>
                        <w:r>
                          <w:rPr>
                            <w:rFonts w:ascii="Calibri" w:hAnsi="Calibri"/>
                            <w:color w:val="585858"/>
                            <w:sz w:val="18"/>
                          </w:rPr>
                          <w:t xml:space="preserve"> </w:t>
                        </w:r>
                        <w:r>
                          <w:rPr>
                            <w:rFonts w:ascii="Calibri" w:hAnsi="Calibri"/>
                            <w:color w:val="585858"/>
                            <w:spacing w:val="-2"/>
                            <w:sz w:val="18"/>
                          </w:rPr>
                          <w:t>AGOSTO</w:t>
                        </w:r>
                        <w:r>
                          <w:rPr>
                            <w:rFonts w:ascii="Calibri" w:hAnsi="Calibri"/>
                            <w:color w:val="585858"/>
                            <w:sz w:val="18"/>
                          </w:rPr>
                          <w:t xml:space="preserve"> </w:t>
                        </w:r>
                        <w:r>
                          <w:rPr>
                            <w:rFonts w:ascii="Calibri" w:hAnsi="Calibri"/>
                            <w:color w:val="585858"/>
                            <w:spacing w:val="-2"/>
                            <w:sz w:val="18"/>
                          </w:rPr>
                          <w:t>JULHO</w:t>
                        </w:r>
                        <w:r>
                          <w:rPr>
                            <w:rFonts w:ascii="Calibri" w:hAnsi="Calibri"/>
                            <w:color w:val="585858"/>
                            <w:sz w:val="18"/>
                          </w:rPr>
                          <w:t xml:space="preserve"> </w:t>
                        </w:r>
                        <w:r>
                          <w:rPr>
                            <w:rFonts w:ascii="Calibri" w:hAnsi="Calibri"/>
                            <w:color w:val="585858"/>
                            <w:spacing w:val="-4"/>
                            <w:sz w:val="18"/>
                          </w:rPr>
                          <w:t>JUNHO</w:t>
                        </w:r>
                        <w:r>
                          <w:rPr>
                            <w:rFonts w:ascii="Calibri" w:hAnsi="Calibri"/>
                            <w:color w:val="585858"/>
                            <w:sz w:val="18"/>
                          </w:rPr>
                          <w:t xml:space="preserve"> </w:t>
                        </w:r>
                        <w:r>
                          <w:rPr>
                            <w:rFonts w:ascii="Calibri" w:hAnsi="Calibri"/>
                            <w:color w:val="585858"/>
                            <w:spacing w:val="-4"/>
                            <w:sz w:val="18"/>
                          </w:rPr>
                          <w:t>MAIO</w:t>
                        </w:r>
                        <w:r>
                          <w:rPr>
                            <w:rFonts w:ascii="Calibri" w:hAnsi="Calibri"/>
                            <w:color w:val="585858"/>
                            <w:spacing w:val="40"/>
                            <w:sz w:val="18"/>
                          </w:rPr>
                          <w:t xml:space="preserve"> </w:t>
                        </w:r>
                        <w:r>
                          <w:rPr>
                            <w:rFonts w:ascii="Calibri" w:hAnsi="Calibri"/>
                            <w:color w:val="585858"/>
                            <w:spacing w:val="-4"/>
                            <w:sz w:val="18"/>
                          </w:rPr>
                          <w:t>ABRIL</w:t>
                        </w:r>
                        <w:r>
                          <w:rPr>
                            <w:rFonts w:ascii="Calibri" w:hAnsi="Calibri"/>
                            <w:color w:val="585858"/>
                            <w:sz w:val="18"/>
                          </w:rPr>
                          <w:t xml:space="preserve"> </w:t>
                        </w:r>
                        <w:r>
                          <w:rPr>
                            <w:rFonts w:ascii="Calibri" w:hAnsi="Calibri"/>
                            <w:color w:val="585858"/>
                            <w:spacing w:val="-2"/>
                            <w:sz w:val="18"/>
                          </w:rPr>
                          <w:t>MARÇO</w:t>
                        </w:r>
                        <w:r>
                          <w:rPr>
                            <w:rFonts w:ascii="Calibri" w:hAnsi="Calibri"/>
                            <w:color w:val="585858"/>
                            <w:sz w:val="18"/>
                          </w:rPr>
                          <w:t xml:space="preserve"> </w:t>
                        </w:r>
                        <w:r>
                          <w:rPr>
                            <w:rFonts w:ascii="Calibri" w:hAnsi="Calibri"/>
                            <w:color w:val="585858"/>
                            <w:spacing w:val="-2"/>
                            <w:sz w:val="18"/>
                          </w:rPr>
                          <w:t>FEVEREIRO</w:t>
                        </w:r>
                      </w:p>
                      <w:p w14:paraId="54CFE324" w14:textId="77777777" w:rsidR="002C6574" w:rsidRDefault="00000000">
                        <w:pPr>
                          <w:spacing w:before="7" w:line="216" w:lineRule="exact"/>
                          <w:ind w:right="18"/>
                          <w:jc w:val="right"/>
                          <w:rPr>
                            <w:rFonts w:ascii="Calibri"/>
                            <w:sz w:val="18"/>
                          </w:rPr>
                        </w:pPr>
                        <w:r>
                          <w:rPr>
                            <w:rFonts w:ascii="Calibri"/>
                            <w:color w:val="585858"/>
                            <w:spacing w:val="-2"/>
                            <w:sz w:val="18"/>
                          </w:rPr>
                          <w:t>JANEIRO</w:t>
                        </w:r>
                      </w:p>
                    </w:txbxContent>
                  </v:textbox>
                </v:shape>
                <v:shape id="Textbox 239" o:spid="_x0000_s1096" type="#_x0000_t202" style="position:absolute;left:13004;top:1420;width:2508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157E626A" w14:textId="77777777" w:rsidR="002C6574" w:rsidRDefault="00000000">
                        <w:pPr>
                          <w:spacing w:line="319" w:lineRule="exact"/>
                          <w:rPr>
                            <w:rFonts w:ascii="Calibri" w:hAnsi="Calibri"/>
                            <w:b/>
                            <w:sz w:val="32"/>
                          </w:rPr>
                        </w:pPr>
                        <w:r>
                          <w:rPr>
                            <w:rFonts w:ascii="Calibri" w:hAnsi="Calibri"/>
                            <w:b/>
                            <w:color w:val="585858"/>
                            <w:sz w:val="32"/>
                          </w:rPr>
                          <w:t>Número</w:t>
                        </w:r>
                        <w:r>
                          <w:rPr>
                            <w:rFonts w:ascii="Calibri" w:hAnsi="Calibri"/>
                            <w:b/>
                            <w:color w:val="585858"/>
                            <w:spacing w:val="-8"/>
                            <w:sz w:val="32"/>
                          </w:rPr>
                          <w:t xml:space="preserve"> </w:t>
                        </w:r>
                        <w:r>
                          <w:rPr>
                            <w:rFonts w:ascii="Calibri" w:hAnsi="Calibri"/>
                            <w:b/>
                            <w:color w:val="585858"/>
                            <w:sz w:val="32"/>
                          </w:rPr>
                          <w:t>de</w:t>
                        </w:r>
                        <w:r>
                          <w:rPr>
                            <w:rFonts w:ascii="Calibri" w:hAnsi="Calibri"/>
                            <w:b/>
                            <w:color w:val="585858"/>
                            <w:spacing w:val="-13"/>
                            <w:sz w:val="32"/>
                          </w:rPr>
                          <w:t xml:space="preserve"> </w:t>
                        </w:r>
                        <w:r>
                          <w:rPr>
                            <w:rFonts w:ascii="Calibri" w:hAnsi="Calibri"/>
                            <w:b/>
                            <w:color w:val="585858"/>
                            <w:sz w:val="32"/>
                          </w:rPr>
                          <w:t>Reuniões</w:t>
                        </w:r>
                        <w:r>
                          <w:rPr>
                            <w:rFonts w:ascii="Calibri" w:hAnsi="Calibri"/>
                            <w:b/>
                            <w:color w:val="585858"/>
                            <w:spacing w:val="-9"/>
                            <w:sz w:val="32"/>
                          </w:rPr>
                          <w:t xml:space="preserve"> </w:t>
                        </w:r>
                        <w:r>
                          <w:rPr>
                            <w:rFonts w:ascii="Calibri" w:hAnsi="Calibri"/>
                            <w:b/>
                            <w:color w:val="585858"/>
                            <w:sz w:val="32"/>
                          </w:rPr>
                          <w:t>por</w:t>
                        </w:r>
                        <w:r>
                          <w:rPr>
                            <w:rFonts w:ascii="Calibri" w:hAnsi="Calibri"/>
                            <w:b/>
                            <w:color w:val="585858"/>
                            <w:spacing w:val="-13"/>
                            <w:sz w:val="32"/>
                          </w:rPr>
                          <w:t xml:space="preserve"> </w:t>
                        </w:r>
                        <w:r>
                          <w:rPr>
                            <w:rFonts w:ascii="Calibri" w:hAnsi="Calibri"/>
                            <w:b/>
                            <w:color w:val="585858"/>
                            <w:spacing w:val="-5"/>
                            <w:sz w:val="32"/>
                          </w:rPr>
                          <w:t>mês</w:t>
                        </w:r>
                      </w:p>
                    </w:txbxContent>
                  </v:textbox>
                </v:shape>
                <w10:wrap type="topAndBottom" anchorx="page"/>
              </v:group>
            </w:pict>
          </mc:Fallback>
        </mc:AlternateContent>
      </w:r>
    </w:p>
    <w:p w14:paraId="5402BCC8" w14:textId="77777777" w:rsidR="002C6574" w:rsidRDefault="002C6574">
      <w:pPr>
        <w:pStyle w:val="Corpodetexto"/>
        <w:spacing w:before="175"/>
        <w:rPr>
          <w:rFonts w:ascii="Calibri"/>
          <w:sz w:val="24"/>
        </w:rPr>
      </w:pPr>
    </w:p>
    <w:p w14:paraId="08112EAF" w14:textId="77777777" w:rsidR="002C6574" w:rsidRDefault="00000000">
      <w:pPr>
        <w:ind w:left="1277" w:right="1176" w:firstLine="851"/>
        <w:jc w:val="both"/>
        <w:rPr>
          <w:rFonts w:ascii="Calibri" w:hAnsi="Calibri"/>
          <w:sz w:val="24"/>
        </w:rPr>
      </w:pPr>
      <w:r>
        <w:rPr>
          <w:rFonts w:ascii="Calibri" w:hAnsi="Calibri"/>
          <w:color w:val="001F5F"/>
          <w:sz w:val="24"/>
        </w:rPr>
        <w:t>O</w:t>
      </w:r>
      <w:r>
        <w:rPr>
          <w:rFonts w:ascii="Calibri" w:hAnsi="Calibri"/>
          <w:color w:val="001F5F"/>
          <w:spacing w:val="-5"/>
          <w:sz w:val="24"/>
        </w:rPr>
        <w:t xml:space="preserve"> </w:t>
      </w:r>
      <w:r>
        <w:rPr>
          <w:rFonts w:ascii="Calibri" w:hAnsi="Calibri"/>
          <w:color w:val="001F5F"/>
          <w:sz w:val="24"/>
        </w:rPr>
        <w:t>Comitê</w:t>
      </w:r>
      <w:r>
        <w:rPr>
          <w:rFonts w:ascii="Calibri" w:hAnsi="Calibri"/>
          <w:color w:val="001F5F"/>
          <w:spacing w:val="-4"/>
          <w:sz w:val="24"/>
        </w:rPr>
        <w:t xml:space="preserve"> </w:t>
      </w:r>
      <w:r>
        <w:rPr>
          <w:rFonts w:ascii="Calibri" w:hAnsi="Calibri"/>
          <w:color w:val="001F5F"/>
          <w:sz w:val="24"/>
        </w:rPr>
        <w:t>manteve</w:t>
      </w:r>
      <w:r>
        <w:rPr>
          <w:rFonts w:ascii="Calibri" w:hAnsi="Calibri"/>
          <w:color w:val="001F5F"/>
          <w:spacing w:val="-4"/>
          <w:sz w:val="24"/>
        </w:rPr>
        <w:t xml:space="preserve"> </w:t>
      </w:r>
      <w:r>
        <w:rPr>
          <w:rFonts w:ascii="Calibri" w:hAnsi="Calibri"/>
          <w:color w:val="001F5F"/>
          <w:sz w:val="24"/>
        </w:rPr>
        <w:t>contato</w:t>
      </w:r>
      <w:r>
        <w:rPr>
          <w:rFonts w:ascii="Calibri" w:hAnsi="Calibri"/>
          <w:color w:val="001F5F"/>
          <w:spacing w:val="-4"/>
          <w:sz w:val="24"/>
        </w:rPr>
        <w:t xml:space="preserve"> </w:t>
      </w:r>
      <w:r>
        <w:rPr>
          <w:rFonts w:ascii="Calibri" w:hAnsi="Calibri"/>
          <w:color w:val="001F5F"/>
          <w:sz w:val="24"/>
        </w:rPr>
        <w:t>permanente</w:t>
      </w:r>
      <w:r>
        <w:rPr>
          <w:rFonts w:ascii="Calibri" w:hAnsi="Calibri"/>
          <w:color w:val="001F5F"/>
          <w:spacing w:val="-4"/>
          <w:sz w:val="24"/>
        </w:rPr>
        <w:t xml:space="preserve"> </w:t>
      </w:r>
      <w:r>
        <w:rPr>
          <w:rFonts w:ascii="Calibri" w:hAnsi="Calibri"/>
          <w:color w:val="001F5F"/>
          <w:sz w:val="24"/>
        </w:rPr>
        <w:t>com</w:t>
      </w:r>
      <w:r>
        <w:rPr>
          <w:rFonts w:ascii="Calibri" w:hAnsi="Calibri"/>
          <w:color w:val="001F5F"/>
          <w:spacing w:val="-4"/>
          <w:sz w:val="24"/>
        </w:rPr>
        <w:t xml:space="preserve"> </w:t>
      </w:r>
      <w:r>
        <w:rPr>
          <w:rFonts w:ascii="Calibri" w:hAnsi="Calibri"/>
          <w:color w:val="001F5F"/>
          <w:sz w:val="24"/>
        </w:rPr>
        <w:t>os</w:t>
      </w:r>
      <w:r>
        <w:rPr>
          <w:rFonts w:ascii="Calibri" w:hAnsi="Calibri"/>
          <w:color w:val="001F5F"/>
          <w:spacing w:val="-4"/>
          <w:sz w:val="24"/>
        </w:rPr>
        <w:t xml:space="preserve"> </w:t>
      </w:r>
      <w:r>
        <w:rPr>
          <w:rFonts w:ascii="Calibri" w:hAnsi="Calibri"/>
          <w:color w:val="001F5F"/>
          <w:sz w:val="24"/>
        </w:rPr>
        <w:t>gestores</w:t>
      </w:r>
      <w:r>
        <w:rPr>
          <w:rFonts w:ascii="Calibri" w:hAnsi="Calibri"/>
          <w:color w:val="001F5F"/>
          <w:spacing w:val="-7"/>
          <w:sz w:val="24"/>
        </w:rPr>
        <w:t xml:space="preserve"> </w:t>
      </w:r>
      <w:r>
        <w:rPr>
          <w:rFonts w:ascii="Calibri" w:hAnsi="Calibri"/>
          <w:color w:val="001F5F"/>
          <w:sz w:val="24"/>
        </w:rPr>
        <w:t>das</w:t>
      </w:r>
      <w:r>
        <w:rPr>
          <w:rFonts w:ascii="Calibri" w:hAnsi="Calibri"/>
          <w:color w:val="001F5F"/>
          <w:spacing w:val="-5"/>
          <w:sz w:val="24"/>
        </w:rPr>
        <w:t xml:space="preserve"> </w:t>
      </w:r>
      <w:r>
        <w:rPr>
          <w:rFonts w:ascii="Calibri" w:hAnsi="Calibri"/>
          <w:color w:val="001F5F"/>
          <w:sz w:val="24"/>
        </w:rPr>
        <w:t>áreas</w:t>
      </w:r>
      <w:r>
        <w:rPr>
          <w:rFonts w:ascii="Calibri" w:hAnsi="Calibri"/>
          <w:color w:val="001F5F"/>
          <w:spacing w:val="-7"/>
          <w:sz w:val="24"/>
        </w:rPr>
        <w:t xml:space="preserve"> </w:t>
      </w:r>
      <w:r>
        <w:rPr>
          <w:rFonts w:ascii="Calibri" w:hAnsi="Calibri"/>
          <w:color w:val="001F5F"/>
          <w:sz w:val="24"/>
        </w:rPr>
        <w:t>operacionais</w:t>
      </w:r>
      <w:r>
        <w:rPr>
          <w:rFonts w:ascii="Calibri" w:hAnsi="Calibri"/>
          <w:color w:val="001F5F"/>
          <w:spacing w:val="-5"/>
          <w:sz w:val="24"/>
        </w:rPr>
        <w:t xml:space="preserve"> </w:t>
      </w:r>
      <w:r>
        <w:rPr>
          <w:rFonts w:ascii="Calibri" w:hAnsi="Calibri"/>
          <w:color w:val="001F5F"/>
          <w:sz w:val="24"/>
        </w:rPr>
        <w:t>da Empresa, visando acompanhar os trabalhos desenvolvidos e obter subsídios para fundamentar as suas avaliações. Foram discutidos temas relacionados à elaboração das demonstrações financeiras, às transações com partes relacionadas, à gestão de riscos, aos controles</w:t>
      </w:r>
      <w:r>
        <w:rPr>
          <w:rFonts w:ascii="Calibri" w:hAnsi="Calibri"/>
          <w:color w:val="001F5F"/>
          <w:spacing w:val="-13"/>
          <w:sz w:val="24"/>
        </w:rPr>
        <w:t xml:space="preserve"> </w:t>
      </w:r>
      <w:r>
        <w:rPr>
          <w:rFonts w:ascii="Calibri" w:hAnsi="Calibri"/>
          <w:color w:val="001F5F"/>
          <w:sz w:val="24"/>
        </w:rPr>
        <w:t>internos,</w:t>
      </w:r>
      <w:r>
        <w:rPr>
          <w:rFonts w:ascii="Calibri" w:hAnsi="Calibri"/>
          <w:color w:val="001F5F"/>
          <w:spacing w:val="-12"/>
          <w:sz w:val="24"/>
        </w:rPr>
        <w:t xml:space="preserve"> </w:t>
      </w:r>
      <w:r>
        <w:rPr>
          <w:rFonts w:ascii="Calibri" w:hAnsi="Calibri"/>
          <w:color w:val="001F5F"/>
          <w:sz w:val="24"/>
        </w:rPr>
        <w:t>às</w:t>
      </w:r>
      <w:r>
        <w:rPr>
          <w:rFonts w:ascii="Calibri" w:hAnsi="Calibri"/>
          <w:color w:val="001F5F"/>
          <w:spacing w:val="-14"/>
          <w:sz w:val="24"/>
        </w:rPr>
        <w:t xml:space="preserve"> </w:t>
      </w:r>
      <w:r>
        <w:rPr>
          <w:rFonts w:ascii="Calibri" w:hAnsi="Calibri"/>
          <w:color w:val="001F5F"/>
          <w:sz w:val="24"/>
        </w:rPr>
        <w:t>auditorias</w:t>
      </w:r>
      <w:r>
        <w:rPr>
          <w:rFonts w:ascii="Calibri" w:hAnsi="Calibri"/>
          <w:color w:val="001F5F"/>
          <w:spacing w:val="-12"/>
          <w:sz w:val="24"/>
        </w:rPr>
        <w:t xml:space="preserve"> </w:t>
      </w:r>
      <w:r>
        <w:rPr>
          <w:rFonts w:ascii="Calibri" w:hAnsi="Calibri"/>
          <w:color w:val="001F5F"/>
          <w:sz w:val="24"/>
        </w:rPr>
        <w:t>interna</w:t>
      </w:r>
      <w:r>
        <w:rPr>
          <w:rFonts w:ascii="Calibri" w:hAnsi="Calibri"/>
          <w:color w:val="001F5F"/>
          <w:spacing w:val="-12"/>
          <w:sz w:val="24"/>
        </w:rPr>
        <w:t xml:space="preserve"> </w:t>
      </w:r>
      <w:r>
        <w:rPr>
          <w:rFonts w:ascii="Calibri" w:hAnsi="Calibri"/>
          <w:color w:val="001F5F"/>
          <w:sz w:val="24"/>
        </w:rPr>
        <w:t>e</w:t>
      </w:r>
      <w:r>
        <w:rPr>
          <w:rFonts w:ascii="Calibri" w:hAnsi="Calibri"/>
          <w:color w:val="001F5F"/>
          <w:spacing w:val="-14"/>
          <w:sz w:val="24"/>
        </w:rPr>
        <w:t xml:space="preserve"> </w:t>
      </w:r>
      <w:r>
        <w:rPr>
          <w:rFonts w:ascii="Calibri" w:hAnsi="Calibri"/>
          <w:color w:val="001F5F"/>
          <w:sz w:val="24"/>
        </w:rPr>
        <w:t>independente,</w:t>
      </w:r>
      <w:r>
        <w:rPr>
          <w:rFonts w:ascii="Calibri" w:hAnsi="Calibri"/>
          <w:color w:val="001F5F"/>
          <w:spacing w:val="-13"/>
          <w:sz w:val="24"/>
        </w:rPr>
        <w:t xml:space="preserve"> </w:t>
      </w:r>
      <w:r>
        <w:rPr>
          <w:rFonts w:ascii="Calibri" w:hAnsi="Calibri"/>
          <w:color w:val="001F5F"/>
          <w:sz w:val="24"/>
        </w:rPr>
        <w:t>à</w:t>
      </w:r>
      <w:r>
        <w:rPr>
          <w:rFonts w:ascii="Calibri" w:hAnsi="Calibri"/>
          <w:color w:val="001F5F"/>
          <w:spacing w:val="-12"/>
          <w:sz w:val="24"/>
        </w:rPr>
        <w:t xml:space="preserve"> </w:t>
      </w:r>
      <w:r>
        <w:rPr>
          <w:rFonts w:ascii="Calibri" w:hAnsi="Calibri"/>
          <w:color w:val="001F5F"/>
          <w:sz w:val="24"/>
        </w:rPr>
        <w:t>corregedoria,</w:t>
      </w:r>
      <w:r>
        <w:rPr>
          <w:rFonts w:ascii="Calibri" w:hAnsi="Calibri"/>
          <w:color w:val="001F5F"/>
          <w:spacing w:val="-14"/>
          <w:sz w:val="24"/>
        </w:rPr>
        <w:t xml:space="preserve"> </w:t>
      </w:r>
      <w:r>
        <w:rPr>
          <w:rFonts w:ascii="Calibri" w:hAnsi="Calibri"/>
          <w:color w:val="001F5F"/>
          <w:sz w:val="24"/>
        </w:rPr>
        <w:t>à</w:t>
      </w:r>
      <w:r>
        <w:rPr>
          <w:rFonts w:ascii="Calibri" w:hAnsi="Calibri"/>
          <w:color w:val="001F5F"/>
          <w:spacing w:val="-13"/>
          <w:sz w:val="24"/>
        </w:rPr>
        <w:t xml:space="preserve"> </w:t>
      </w:r>
      <w:r>
        <w:rPr>
          <w:rFonts w:ascii="Calibri" w:hAnsi="Calibri"/>
          <w:color w:val="001F5F"/>
          <w:sz w:val="24"/>
        </w:rPr>
        <w:t>ouvidoria,</w:t>
      </w:r>
      <w:r>
        <w:rPr>
          <w:rFonts w:ascii="Calibri" w:hAnsi="Calibri"/>
          <w:color w:val="001F5F"/>
          <w:spacing w:val="-14"/>
          <w:sz w:val="24"/>
        </w:rPr>
        <w:t xml:space="preserve"> </w:t>
      </w:r>
      <w:r>
        <w:rPr>
          <w:rFonts w:ascii="Calibri" w:hAnsi="Calibri"/>
          <w:color w:val="001F5F"/>
          <w:sz w:val="24"/>
        </w:rPr>
        <w:t>à</w:t>
      </w:r>
      <w:r>
        <w:rPr>
          <w:rFonts w:ascii="Calibri" w:hAnsi="Calibri"/>
          <w:color w:val="001F5F"/>
          <w:spacing w:val="-12"/>
          <w:sz w:val="24"/>
        </w:rPr>
        <w:t xml:space="preserve"> </w:t>
      </w:r>
      <w:r>
        <w:rPr>
          <w:rFonts w:ascii="Calibri" w:hAnsi="Calibri"/>
          <w:color w:val="001F5F"/>
          <w:sz w:val="24"/>
        </w:rPr>
        <w:t>ética, integridade e conformidade, Lei Geral de Proteção de Dados Pessoais - LGPD e temas relacionado</w:t>
      </w:r>
      <w:r>
        <w:rPr>
          <w:rFonts w:ascii="Calibri" w:hAnsi="Calibri"/>
          <w:color w:val="001F5F"/>
          <w:spacing w:val="-8"/>
          <w:sz w:val="24"/>
        </w:rPr>
        <w:t xml:space="preserve"> </w:t>
      </w:r>
      <w:r>
        <w:rPr>
          <w:rFonts w:ascii="Calibri" w:hAnsi="Calibri"/>
          <w:color w:val="001F5F"/>
          <w:sz w:val="24"/>
        </w:rPr>
        <w:t>Ambiental,</w:t>
      </w:r>
      <w:r>
        <w:rPr>
          <w:rFonts w:ascii="Calibri" w:hAnsi="Calibri"/>
          <w:color w:val="001F5F"/>
          <w:spacing w:val="-5"/>
          <w:sz w:val="24"/>
        </w:rPr>
        <w:t xml:space="preserve"> </w:t>
      </w:r>
      <w:r>
        <w:rPr>
          <w:rFonts w:ascii="Calibri" w:hAnsi="Calibri"/>
          <w:color w:val="001F5F"/>
          <w:sz w:val="24"/>
        </w:rPr>
        <w:t>Social</w:t>
      </w:r>
      <w:r>
        <w:rPr>
          <w:rFonts w:ascii="Calibri" w:hAnsi="Calibri"/>
          <w:color w:val="001F5F"/>
          <w:spacing w:val="-8"/>
          <w:sz w:val="24"/>
        </w:rPr>
        <w:t xml:space="preserve"> </w:t>
      </w:r>
      <w:r>
        <w:rPr>
          <w:rFonts w:ascii="Calibri" w:hAnsi="Calibri"/>
          <w:color w:val="001F5F"/>
          <w:sz w:val="24"/>
        </w:rPr>
        <w:t>e</w:t>
      </w:r>
      <w:r>
        <w:rPr>
          <w:rFonts w:ascii="Calibri" w:hAnsi="Calibri"/>
          <w:color w:val="001F5F"/>
          <w:spacing w:val="-8"/>
          <w:sz w:val="24"/>
        </w:rPr>
        <w:t xml:space="preserve"> </w:t>
      </w:r>
      <w:r>
        <w:rPr>
          <w:rFonts w:ascii="Calibri" w:hAnsi="Calibri"/>
          <w:color w:val="001F5F"/>
          <w:sz w:val="24"/>
        </w:rPr>
        <w:t>Governança</w:t>
      </w:r>
      <w:r>
        <w:rPr>
          <w:rFonts w:ascii="Calibri" w:hAnsi="Calibri"/>
          <w:color w:val="001F5F"/>
          <w:spacing w:val="-8"/>
          <w:sz w:val="24"/>
        </w:rPr>
        <w:t xml:space="preserve"> </w:t>
      </w:r>
      <w:r>
        <w:rPr>
          <w:rFonts w:ascii="Calibri" w:hAnsi="Calibri"/>
          <w:color w:val="001F5F"/>
          <w:sz w:val="24"/>
        </w:rPr>
        <w:t>-</w:t>
      </w:r>
      <w:r>
        <w:rPr>
          <w:rFonts w:ascii="Calibri" w:hAnsi="Calibri"/>
          <w:color w:val="001F5F"/>
          <w:spacing w:val="-7"/>
          <w:sz w:val="24"/>
        </w:rPr>
        <w:t xml:space="preserve"> </w:t>
      </w:r>
      <w:r>
        <w:rPr>
          <w:rFonts w:ascii="Calibri" w:hAnsi="Calibri"/>
          <w:color w:val="001F5F"/>
          <w:sz w:val="24"/>
        </w:rPr>
        <w:t>ASG.</w:t>
      </w:r>
      <w:r>
        <w:rPr>
          <w:rFonts w:ascii="Calibri" w:hAnsi="Calibri"/>
          <w:color w:val="001F5F"/>
          <w:spacing w:val="-9"/>
          <w:sz w:val="24"/>
        </w:rPr>
        <w:t xml:space="preserve"> </w:t>
      </w:r>
      <w:r>
        <w:rPr>
          <w:rFonts w:ascii="Calibri" w:hAnsi="Calibri"/>
          <w:color w:val="001F5F"/>
          <w:sz w:val="24"/>
        </w:rPr>
        <w:t>Adicionalmente,</w:t>
      </w:r>
      <w:r>
        <w:rPr>
          <w:rFonts w:ascii="Calibri" w:hAnsi="Calibri"/>
          <w:color w:val="001F5F"/>
          <w:spacing w:val="-8"/>
          <w:sz w:val="24"/>
        </w:rPr>
        <w:t xml:space="preserve"> </w:t>
      </w:r>
      <w:r>
        <w:rPr>
          <w:rFonts w:ascii="Calibri" w:hAnsi="Calibri"/>
          <w:color w:val="001F5F"/>
          <w:sz w:val="24"/>
        </w:rPr>
        <w:t>o</w:t>
      </w:r>
      <w:r>
        <w:rPr>
          <w:rFonts w:ascii="Calibri" w:hAnsi="Calibri"/>
          <w:color w:val="001F5F"/>
          <w:spacing w:val="-8"/>
          <w:sz w:val="24"/>
        </w:rPr>
        <w:t xml:space="preserve"> </w:t>
      </w:r>
      <w:r>
        <w:rPr>
          <w:rFonts w:ascii="Calibri" w:hAnsi="Calibri"/>
          <w:color w:val="001F5F"/>
          <w:sz w:val="24"/>
        </w:rPr>
        <w:t>COAUD</w:t>
      </w:r>
      <w:r>
        <w:rPr>
          <w:rFonts w:ascii="Calibri" w:hAnsi="Calibri"/>
          <w:color w:val="001F5F"/>
          <w:spacing w:val="-8"/>
          <w:sz w:val="24"/>
        </w:rPr>
        <w:t xml:space="preserve"> </w:t>
      </w:r>
      <w:r>
        <w:rPr>
          <w:rFonts w:ascii="Calibri" w:hAnsi="Calibri"/>
          <w:color w:val="001F5F"/>
          <w:sz w:val="24"/>
        </w:rPr>
        <w:t>se</w:t>
      </w:r>
      <w:r>
        <w:rPr>
          <w:rFonts w:ascii="Calibri" w:hAnsi="Calibri"/>
          <w:color w:val="001F5F"/>
          <w:spacing w:val="-8"/>
          <w:sz w:val="24"/>
        </w:rPr>
        <w:t xml:space="preserve"> </w:t>
      </w:r>
      <w:r>
        <w:rPr>
          <w:rFonts w:ascii="Calibri" w:hAnsi="Calibri"/>
          <w:color w:val="001F5F"/>
          <w:sz w:val="24"/>
        </w:rPr>
        <w:t>reuniu</w:t>
      </w:r>
      <w:r>
        <w:rPr>
          <w:rFonts w:ascii="Calibri" w:hAnsi="Calibri"/>
          <w:color w:val="001F5F"/>
          <w:spacing w:val="-7"/>
          <w:sz w:val="24"/>
        </w:rPr>
        <w:t xml:space="preserve"> </w:t>
      </w:r>
      <w:r>
        <w:rPr>
          <w:rFonts w:ascii="Calibri" w:hAnsi="Calibri"/>
          <w:color w:val="001F5F"/>
          <w:sz w:val="24"/>
        </w:rPr>
        <w:t>com os Diretores e Presidente para tratar de temas estratégicos da Empresa.</w:t>
      </w:r>
    </w:p>
    <w:p w14:paraId="1638A3E1" w14:textId="77777777" w:rsidR="002C6574" w:rsidRDefault="00000000">
      <w:pPr>
        <w:spacing w:before="292"/>
        <w:ind w:left="1277" w:right="1178" w:firstLine="851"/>
        <w:jc w:val="both"/>
        <w:rPr>
          <w:rFonts w:ascii="Calibri" w:hAnsi="Calibri"/>
          <w:sz w:val="24"/>
        </w:rPr>
      </w:pPr>
      <w:r>
        <w:rPr>
          <w:rFonts w:ascii="Calibri" w:hAnsi="Calibri"/>
          <w:color w:val="001F5F"/>
          <w:sz w:val="24"/>
        </w:rPr>
        <w:t>As atas das reuniões foram encaminhadas ao Conselho de Administração e Conselho Fiscal, por meio da Secretaria dos Órgãos Colegiados, para os devidos trâmites internos regimentais, bem como publicadas no sítio da Telebras.</w:t>
      </w:r>
    </w:p>
    <w:p w14:paraId="15F399FA" w14:textId="77777777" w:rsidR="002C6574" w:rsidRDefault="002C6574">
      <w:pPr>
        <w:pStyle w:val="Corpodetexto"/>
        <w:spacing w:before="2"/>
        <w:rPr>
          <w:rFonts w:ascii="Calibri"/>
          <w:sz w:val="24"/>
        </w:rPr>
      </w:pPr>
    </w:p>
    <w:p w14:paraId="3D66B7E1" w14:textId="77777777" w:rsidR="002C6574" w:rsidRDefault="00000000">
      <w:pPr>
        <w:ind w:left="1277" w:right="1180" w:firstLine="851"/>
        <w:jc w:val="both"/>
        <w:rPr>
          <w:rFonts w:ascii="Calibri" w:hAnsi="Calibri"/>
          <w:sz w:val="24"/>
        </w:rPr>
      </w:pPr>
      <w:r>
        <w:rPr>
          <w:rFonts w:ascii="Calibri" w:hAnsi="Calibri"/>
          <w:color w:val="001F5F"/>
          <w:sz w:val="24"/>
        </w:rPr>
        <w:t>Em</w:t>
      </w:r>
      <w:r>
        <w:rPr>
          <w:rFonts w:ascii="Calibri" w:hAnsi="Calibri"/>
          <w:color w:val="001F5F"/>
          <w:spacing w:val="-14"/>
          <w:sz w:val="24"/>
        </w:rPr>
        <w:t xml:space="preserve"> </w:t>
      </w:r>
      <w:r>
        <w:rPr>
          <w:rFonts w:ascii="Calibri" w:hAnsi="Calibri"/>
          <w:color w:val="001F5F"/>
          <w:sz w:val="24"/>
        </w:rPr>
        <w:t>suas</w:t>
      </w:r>
      <w:r>
        <w:rPr>
          <w:rFonts w:ascii="Calibri" w:hAnsi="Calibri"/>
          <w:color w:val="001F5F"/>
          <w:spacing w:val="-14"/>
          <w:sz w:val="24"/>
        </w:rPr>
        <w:t xml:space="preserve"> </w:t>
      </w:r>
      <w:r>
        <w:rPr>
          <w:rFonts w:ascii="Calibri" w:hAnsi="Calibri"/>
          <w:color w:val="001F5F"/>
          <w:sz w:val="24"/>
        </w:rPr>
        <w:t>reuniões,</w:t>
      </w:r>
      <w:r>
        <w:rPr>
          <w:rFonts w:ascii="Calibri" w:hAnsi="Calibri"/>
          <w:color w:val="001F5F"/>
          <w:spacing w:val="-13"/>
          <w:sz w:val="24"/>
        </w:rPr>
        <w:t xml:space="preserve"> </w:t>
      </w:r>
      <w:r>
        <w:rPr>
          <w:rFonts w:ascii="Calibri" w:hAnsi="Calibri"/>
          <w:color w:val="001F5F"/>
          <w:sz w:val="24"/>
        </w:rPr>
        <w:t>o</w:t>
      </w:r>
      <w:r>
        <w:rPr>
          <w:rFonts w:ascii="Calibri" w:hAnsi="Calibri"/>
          <w:color w:val="001F5F"/>
          <w:spacing w:val="-14"/>
          <w:sz w:val="24"/>
        </w:rPr>
        <w:t xml:space="preserve"> </w:t>
      </w:r>
      <w:r>
        <w:rPr>
          <w:rFonts w:ascii="Calibri" w:hAnsi="Calibri"/>
          <w:color w:val="001F5F"/>
          <w:sz w:val="24"/>
        </w:rPr>
        <w:t>COAUD,</w:t>
      </w:r>
      <w:r>
        <w:rPr>
          <w:rFonts w:ascii="Calibri" w:hAnsi="Calibri"/>
          <w:color w:val="001F5F"/>
          <w:spacing w:val="-13"/>
          <w:sz w:val="24"/>
        </w:rPr>
        <w:t xml:space="preserve"> </w:t>
      </w:r>
      <w:r>
        <w:rPr>
          <w:rFonts w:ascii="Calibri" w:hAnsi="Calibri"/>
          <w:color w:val="001F5F"/>
          <w:sz w:val="24"/>
        </w:rPr>
        <w:t>após</w:t>
      </w:r>
      <w:r>
        <w:rPr>
          <w:rFonts w:ascii="Calibri" w:hAnsi="Calibri"/>
          <w:color w:val="001F5F"/>
          <w:spacing w:val="-14"/>
          <w:sz w:val="24"/>
        </w:rPr>
        <w:t xml:space="preserve"> </w:t>
      </w:r>
      <w:r>
        <w:rPr>
          <w:rFonts w:ascii="Calibri" w:hAnsi="Calibri"/>
          <w:color w:val="001F5F"/>
          <w:sz w:val="24"/>
        </w:rPr>
        <w:t>análise</w:t>
      </w:r>
      <w:r>
        <w:rPr>
          <w:rFonts w:ascii="Calibri" w:hAnsi="Calibri"/>
          <w:color w:val="001F5F"/>
          <w:spacing w:val="-13"/>
          <w:sz w:val="24"/>
        </w:rPr>
        <w:t xml:space="preserve"> </w:t>
      </w:r>
      <w:r>
        <w:rPr>
          <w:rFonts w:ascii="Calibri" w:hAnsi="Calibri"/>
          <w:color w:val="001F5F"/>
          <w:sz w:val="24"/>
        </w:rPr>
        <w:t>e</w:t>
      </w:r>
      <w:r>
        <w:rPr>
          <w:rFonts w:ascii="Calibri" w:hAnsi="Calibri"/>
          <w:color w:val="001F5F"/>
          <w:spacing w:val="-14"/>
          <w:sz w:val="24"/>
        </w:rPr>
        <w:t xml:space="preserve"> </w:t>
      </w:r>
      <w:r>
        <w:rPr>
          <w:rFonts w:ascii="Calibri" w:hAnsi="Calibri"/>
          <w:color w:val="001F5F"/>
          <w:sz w:val="24"/>
        </w:rPr>
        <w:t>debate</w:t>
      </w:r>
      <w:r>
        <w:rPr>
          <w:rFonts w:ascii="Calibri" w:hAnsi="Calibri"/>
          <w:color w:val="001F5F"/>
          <w:spacing w:val="-14"/>
          <w:sz w:val="24"/>
        </w:rPr>
        <w:t xml:space="preserve"> </w:t>
      </w:r>
      <w:r>
        <w:rPr>
          <w:rFonts w:ascii="Calibri" w:hAnsi="Calibri"/>
          <w:color w:val="001F5F"/>
          <w:sz w:val="24"/>
        </w:rPr>
        <w:t>com</w:t>
      </w:r>
      <w:r>
        <w:rPr>
          <w:rFonts w:ascii="Calibri" w:hAnsi="Calibri"/>
          <w:color w:val="001F5F"/>
          <w:spacing w:val="-13"/>
          <w:sz w:val="24"/>
        </w:rPr>
        <w:t xml:space="preserve"> </w:t>
      </w:r>
      <w:r>
        <w:rPr>
          <w:rFonts w:ascii="Calibri" w:hAnsi="Calibri"/>
          <w:color w:val="001F5F"/>
          <w:sz w:val="24"/>
        </w:rPr>
        <w:t>as</w:t>
      </w:r>
      <w:r>
        <w:rPr>
          <w:rFonts w:ascii="Calibri" w:hAnsi="Calibri"/>
          <w:color w:val="001F5F"/>
          <w:spacing w:val="-14"/>
          <w:sz w:val="24"/>
        </w:rPr>
        <w:t xml:space="preserve"> </w:t>
      </w:r>
      <w:r>
        <w:rPr>
          <w:rFonts w:ascii="Calibri" w:hAnsi="Calibri"/>
          <w:color w:val="001F5F"/>
          <w:sz w:val="24"/>
        </w:rPr>
        <w:t>áreas</w:t>
      </w:r>
      <w:r>
        <w:rPr>
          <w:rFonts w:ascii="Calibri" w:hAnsi="Calibri"/>
          <w:color w:val="001F5F"/>
          <w:spacing w:val="-13"/>
          <w:sz w:val="24"/>
        </w:rPr>
        <w:t xml:space="preserve"> </w:t>
      </w:r>
      <w:r>
        <w:rPr>
          <w:rFonts w:ascii="Calibri" w:hAnsi="Calibri"/>
          <w:color w:val="001F5F"/>
          <w:sz w:val="24"/>
        </w:rPr>
        <w:t>operacionais,</w:t>
      </w:r>
      <w:r>
        <w:rPr>
          <w:rFonts w:ascii="Calibri" w:hAnsi="Calibri"/>
          <w:color w:val="001F5F"/>
          <w:spacing w:val="-14"/>
          <w:sz w:val="24"/>
        </w:rPr>
        <w:t xml:space="preserve"> </w:t>
      </w:r>
      <w:r>
        <w:rPr>
          <w:rFonts w:ascii="Calibri" w:hAnsi="Calibri"/>
          <w:color w:val="001F5F"/>
          <w:sz w:val="24"/>
        </w:rPr>
        <w:t>emite opiniões, sugestões, solicitações e recomendações para o aperfeiçoamento de processos conforme extratos constantes das atas de reuniões, a seguir.</w:t>
      </w:r>
    </w:p>
    <w:p w14:paraId="28A90516" w14:textId="77777777" w:rsidR="002C6574" w:rsidRDefault="002C6574">
      <w:pPr>
        <w:jc w:val="both"/>
        <w:rPr>
          <w:rFonts w:ascii="Calibri" w:hAnsi="Calibri"/>
          <w:sz w:val="24"/>
        </w:rPr>
        <w:sectPr w:rsidR="002C6574">
          <w:pgSz w:w="12240" w:h="15840"/>
          <w:pgMar w:top="900" w:right="425" w:bottom="1220" w:left="425" w:header="674" w:footer="1036" w:gutter="0"/>
          <w:cols w:space="720"/>
        </w:sectPr>
      </w:pPr>
    </w:p>
    <w:p w14:paraId="7734E85E" w14:textId="77777777" w:rsidR="002C6574" w:rsidRDefault="00000000">
      <w:pPr>
        <w:pStyle w:val="Ttulo8"/>
        <w:tabs>
          <w:tab w:val="left" w:pos="3004"/>
        </w:tabs>
        <w:spacing w:before="280"/>
        <w:ind w:left="2357"/>
      </w:pPr>
      <w:r>
        <w:rPr>
          <w:color w:val="001F5F"/>
          <w:spacing w:val="-5"/>
        </w:rPr>
        <w:lastRenderedPageBreak/>
        <w:t>4.1</w:t>
      </w:r>
      <w:r>
        <w:rPr>
          <w:color w:val="001F5F"/>
        </w:rPr>
        <w:tab/>
        <w:t>Recomendações,</w:t>
      </w:r>
      <w:r>
        <w:rPr>
          <w:color w:val="001F5F"/>
          <w:spacing w:val="-4"/>
        </w:rPr>
        <w:t xml:space="preserve"> </w:t>
      </w:r>
      <w:r>
        <w:rPr>
          <w:color w:val="001F5F"/>
        </w:rPr>
        <w:t>Solicitações,</w:t>
      </w:r>
      <w:r>
        <w:rPr>
          <w:color w:val="001F5F"/>
          <w:spacing w:val="-4"/>
        </w:rPr>
        <w:t xml:space="preserve"> </w:t>
      </w:r>
      <w:r>
        <w:rPr>
          <w:color w:val="001F5F"/>
          <w:spacing w:val="-2"/>
        </w:rPr>
        <w:t>Sugestões</w:t>
      </w:r>
    </w:p>
    <w:p w14:paraId="43C35403" w14:textId="77777777" w:rsidR="002C6574" w:rsidRDefault="00000000">
      <w:pPr>
        <w:pStyle w:val="PargrafodaLista"/>
        <w:numPr>
          <w:ilvl w:val="0"/>
          <w:numId w:val="12"/>
        </w:numPr>
        <w:tabs>
          <w:tab w:val="left" w:pos="1558"/>
        </w:tabs>
        <w:spacing w:before="235" w:line="292" w:lineRule="exact"/>
        <w:ind w:left="1558" w:hanging="485"/>
        <w:jc w:val="both"/>
        <w:rPr>
          <w:b/>
          <w:sz w:val="24"/>
        </w:rPr>
      </w:pPr>
      <w:r>
        <w:rPr>
          <w:b/>
          <w:color w:val="001F5F"/>
          <w:sz w:val="24"/>
        </w:rPr>
        <w:t>ROCOAUD</w:t>
      </w:r>
      <w:r>
        <w:rPr>
          <w:b/>
          <w:color w:val="001F5F"/>
          <w:spacing w:val="-3"/>
          <w:sz w:val="24"/>
        </w:rPr>
        <w:t xml:space="preserve"> </w:t>
      </w:r>
      <w:r>
        <w:rPr>
          <w:b/>
          <w:color w:val="001F5F"/>
          <w:sz w:val="24"/>
        </w:rPr>
        <w:t>nº</w:t>
      </w:r>
      <w:r>
        <w:rPr>
          <w:b/>
          <w:color w:val="001F5F"/>
          <w:spacing w:val="-2"/>
          <w:sz w:val="24"/>
        </w:rPr>
        <w:t xml:space="preserve"> </w:t>
      </w:r>
      <w:r>
        <w:rPr>
          <w:b/>
          <w:color w:val="001F5F"/>
          <w:sz w:val="24"/>
        </w:rPr>
        <w:t>364ª,</w:t>
      </w:r>
      <w:r>
        <w:rPr>
          <w:b/>
          <w:color w:val="001F5F"/>
          <w:spacing w:val="-1"/>
          <w:sz w:val="24"/>
        </w:rPr>
        <w:t xml:space="preserve"> </w:t>
      </w:r>
      <w:r>
        <w:rPr>
          <w:b/>
          <w:color w:val="001F5F"/>
          <w:sz w:val="24"/>
        </w:rPr>
        <w:t>de</w:t>
      </w:r>
      <w:r>
        <w:rPr>
          <w:b/>
          <w:color w:val="001F5F"/>
          <w:spacing w:val="-4"/>
          <w:sz w:val="24"/>
        </w:rPr>
        <w:t xml:space="preserve"> </w:t>
      </w:r>
      <w:r>
        <w:rPr>
          <w:b/>
          <w:color w:val="001F5F"/>
          <w:spacing w:val="-2"/>
          <w:sz w:val="24"/>
        </w:rPr>
        <w:t>08/02/2025</w:t>
      </w:r>
    </w:p>
    <w:p w14:paraId="377AC64A" w14:textId="77777777" w:rsidR="002C6574" w:rsidRDefault="00000000">
      <w:pPr>
        <w:pStyle w:val="PargrafodaLista"/>
        <w:numPr>
          <w:ilvl w:val="1"/>
          <w:numId w:val="12"/>
        </w:numPr>
        <w:tabs>
          <w:tab w:val="left" w:pos="2280"/>
        </w:tabs>
        <w:ind w:left="2280" w:right="1179"/>
        <w:jc w:val="both"/>
        <w:rPr>
          <w:rFonts w:ascii="Symbol" w:hAnsi="Symbol"/>
          <w:color w:val="001F5F"/>
          <w:sz w:val="24"/>
        </w:rPr>
      </w:pPr>
      <w:r>
        <w:rPr>
          <w:b/>
          <w:color w:val="001F5F"/>
          <w:sz w:val="24"/>
        </w:rPr>
        <w:t>Solicitação</w:t>
      </w:r>
      <w:r>
        <w:rPr>
          <w:b/>
          <w:color w:val="001F5F"/>
          <w:spacing w:val="-10"/>
          <w:sz w:val="24"/>
        </w:rPr>
        <w:t xml:space="preserve"> </w:t>
      </w:r>
      <w:r>
        <w:rPr>
          <w:b/>
          <w:color w:val="001F5F"/>
          <w:sz w:val="24"/>
        </w:rPr>
        <w:t>1</w:t>
      </w:r>
      <w:r>
        <w:rPr>
          <w:color w:val="001F5F"/>
          <w:sz w:val="24"/>
        </w:rPr>
        <w:t>:</w:t>
      </w:r>
      <w:r>
        <w:rPr>
          <w:color w:val="001F5F"/>
          <w:spacing w:val="-9"/>
          <w:sz w:val="24"/>
        </w:rPr>
        <w:t xml:space="preserve"> </w:t>
      </w:r>
      <w:r>
        <w:rPr>
          <w:color w:val="001F5F"/>
          <w:sz w:val="24"/>
        </w:rPr>
        <w:t>Sobre</w:t>
      </w:r>
      <w:r>
        <w:rPr>
          <w:color w:val="001F5F"/>
          <w:spacing w:val="-11"/>
          <w:sz w:val="24"/>
        </w:rPr>
        <w:t xml:space="preserve"> </w:t>
      </w:r>
      <w:r>
        <w:rPr>
          <w:color w:val="001F5F"/>
          <w:sz w:val="24"/>
        </w:rPr>
        <w:t>o</w:t>
      </w:r>
      <w:r>
        <w:rPr>
          <w:color w:val="001F5F"/>
          <w:spacing w:val="-12"/>
          <w:sz w:val="24"/>
        </w:rPr>
        <w:t xml:space="preserve"> </w:t>
      </w:r>
      <w:r>
        <w:rPr>
          <w:color w:val="001F5F"/>
          <w:sz w:val="24"/>
        </w:rPr>
        <w:t>Plano</w:t>
      </w:r>
      <w:r>
        <w:rPr>
          <w:color w:val="001F5F"/>
          <w:spacing w:val="-12"/>
          <w:sz w:val="24"/>
        </w:rPr>
        <w:t xml:space="preserve"> </w:t>
      </w:r>
      <w:r>
        <w:rPr>
          <w:color w:val="001F5F"/>
          <w:sz w:val="24"/>
        </w:rPr>
        <w:t>de</w:t>
      </w:r>
      <w:r>
        <w:rPr>
          <w:color w:val="001F5F"/>
          <w:spacing w:val="-12"/>
          <w:sz w:val="24"/>
        </w:rPr>
        <w:t xml:space="preserve"> </w:t>
      </w:r>
      <w:r>
        <w:rPr>
          <w:color w:val="001F5F"/>
          <w:sz w:val="24"/>
        </w:rPr>
        <w:t>Trabalho</w:t>
      </w:r>
      <w:r>
        <w:rPr>
          <w:color w:val="001F5F"/>
          <w:spacing w:val="-12"/>
          <w:sz w:val="24"/>
        </w:rPr>
        <w:t xml:space="preserve"> </w:t>
      </w:r>
      <w:r>
        <w:rPr>
          <w:color w:val="001F5F"/>
          <w:sz w:val="24"/>
        </w:rPr>
        <w:t>do</w:t>
      </w:r>
      <w:r>
        <w:rPr>
          <w:color w:val="001F5F"/>
          <w:spacing w:val="-12"/>
          <w:sz w:val="24"/>
        </w:rPr>
        <w:t xml:space="preserve"> </w:t>
      </w:r>
      <w:r>
        <w:rPr>
          <w:color w:val="001F5F"/>
          <w:sz w:val="24"/>
        </w:rPr>
        <w:t>COAUD</w:t>
      </w:r>
      <w:r>
        <w:rPr>
          <w:color w:val="001F5F"/>
          <w:spacing w:val="-9"/>
          <w:sz w:val="24"/>
        </w:rPr>
        <w:t xml:space="preserve"> </w:t>
      </w:r>
      <w:r>
        <w:rPr>
          <w:color w:val="001F5F"/>
          <w:sz w:val="24"/>
        </w:rPr>
        <w:t>-</w:t>
      </w:r>
      <w:r>
        <w:rPr>
          <w:color w:val="001F5F"/>
          <w:spacing w:val="-9"/>
          <w:sz w:val="24"/>
        </w:rPr>
        <w:t xml:space="preserve"> </w:t>
      </w:r>
      <w:r>
        <w:rPr>
          <w:color w:val="001F5F"/>
          <w:sz w:val="24"/>
        </w:rPr>
        <w:t>Companhia</w:t>
      </w:r>
      <w:r>
        <w:rPr>
          <w:color w:val="001F5F"/>
          <w:spacing w:val="-12"/>
          <w:sz w:val="24"/>
        </w:rPr>
        <w:t xml:space="preserve"> </w:t>
      </w:r>
      <w:r>
        <w:rPr>
          <w:color w:val="001F5F"/>
          <w:sz w:val="24"/>
        </w:rPr>
        <w:t>apresente</w:t>
      </w:r>
      <w:r>
        <w:rPr>
          <w:color w:val="001F5F"/>
          <w:spacing w:val="-12"/>
          <w:sz w:val="24"/>
        </w:rPr>
        <w:t xml:space="preserve"> </w:t>
      </w:r>
      <w:r>
        <w:rPr>
          <w:color w:val="001F5F"/>
          <w:sz w:val="24"/>
        </w:rPr>
        <w:t>a</w:t>
      </w:r>
      <w:r>
        <w:rPr>
          <w:color w:val="001F5F"/>
          <w:spacing w:val="-10"/>
          <w:sz w:val="24"/>
        </w:rPr>
        <w:t xml:space="preserve"> </w:t>
      </w:r>
      <w:r>
        <w:rPr>
          <w:color w:val="001F5F"/>
          <w:sz w:val="24"/>
        </w:rPr>
        <w:t>cada quatro meses uma atualização sobre o andamento do processo de saída da dependência da Telebras.</w:t>
      </w:r>
    </w:p>
    <w:p w14:paraId="7C15DE7E" w14:textId="77777777" w:rsidR="002C6574" w:rsidRDefault="00000000">
      <w:pPr>
        <w:pStyle w:val="PargrafodaLista"/>
        <w:numPr>
          <w:ilvl w:val="1"/>
          <w:numId w:val="12"/>
        </w:numPr>
        <w:tabs>
          <w:tab w:val="left" w:pos="2280"/>
        </w:tabs>
        <w:spacing w:before="195"/>
        <w:ind w:left="2280" w:right="1178"/>
        <w:jc w:val="both"/>
        <w:rPr>
          <w:rFonts w:ascii="Symbol" w:hAnsi="Symbol"/>
          <w:color w:val="001F5F"/>
          <w:sz w:val="24"/>
        </w:rPr>
      </w:pPr>
      <w:r>
        <w:rPr>
          <w:b/>
          <w:color w:val="001F5F"/>
          <w:sz w:val="24"/>
        </w:rPr>
        <w:t xml:space="preserve">Solicitação 1: </w:t>
      </w:r>
      <w:r>
        <w:rPr>
          <w:color w:val="001F5F"/>
          <w:sz w:val="24"/>
        </w:rPr>
        <w:t>Sobre Plano de Trabalho do COAUD - Diretoria de Governança em parceria com a Auditoria Interna, elabore uma proposta das transações com partes relacionadas da Companhia.</w:t>
      </w:r>
    </w:p>
    <w:p w14:paraId="6E059144" w14:textId="77777777" w:rsidR="002C6574" w:rsidRDefault="002C6574">
      <w:pPr>
        <w:pStyle w:val="Corpodetexto"/>
        <w:spacing w:before="24"/>
        <w:rPr>
          <w:rFonts w:ascii="Calibri"/>
          <w:sz w:val="24"/>
        </w:rPr>
      </w:pPr>
    </w:p>
    <w:p w14:paraId="66A2C387" w14:textId="77777777" w:rsidR="002C6574" w:rsidRPr="00E15B92" w:rsidRDefault="00000000">
      <w:pPr>
        <w:tabs>
          <w:tab w:val="left" w:pos="4905"/>
          <w:tab w:val="left" w:pos="6867"/>
        </w:tabs>
        <w:ind w:left="2280" w:right="1179"/>
        <w:rPr>
          <w:rFonts w:ascii="Calibri" w:hAnsi="Calibri"/>
          <w:sz w:val="24"/>
          <w:lang w:val="en-US"/>
        </w:rPr>
      </w:pPr>
      <w:r w:rsidRPr="00E15B92">
        <w:rPr>
          <w:rFonts w:ascii="Calibri" w:hAnsi="Calibri"/>
          <w:b/>
          <w:color w:val="001F5F"/>
          <w:spacing w:val="-2"/>
          <w:sz w:val="24"/>
          <w:lang w:val="en-US"/>
        </w:rPr>
        <w:t>Disponível</w:t>
      </w:r>
      <w:r w:rsidRPr="00E15B92">
        <w:rPr>
          <w:rFonts w:ascii="Calibri" w:hAnsi="Calibri"/>
          <w:b/>
          <w:color w:val="001F5F"/>
          <w:sz w:val="24"/>
          <w:lang w:val="en-US"/>
        </w:rPr>
        <w:tab/>
      </w:r>
      <w:r w:rsidRPr="00E15B92">
        <w:rPr>
          <w:rFonts w:ascii="Calibri" w:hAnsi="Calibri"/>
          <w:b/>
          <w:color w:val="001F5F"/>
          <w:spacing w:val="-4"/>
          <w:sz w:val="24"/>
          <w:lang w:val="en-US"/>
        </w:rPr>
        <w:t>em</w:t>
      </w:r>
      <w:r w:rsidRPr="00E15B92">
        <w:rPr>
          <w:rFonts w:ascii="Calibri" w:hAnsi="Calibri"/>
          <w:color w:val="001F5F"/>
          <w:spacing w:val="-4"/>
          <w:sz w:val="24"/>
          <w:lang w:val="en-US"/>
        </w:rPr>
        <w:t>:</w:t>
      </w:r>
      <w:r w:rsidRPr="00E15B92">
        <w:rPr>
          <w:rFonts w:ascii="Calibri" w:hAnsi="Calibri"/>
          <w:color w:val="001F5F"/>
          <w:sz w:val="24"/>
          <w:lang w:val="en-US"/>
        </w:rPr>
        <w:tab/>
      </w:r>
      <w:hyperlink r:id="rId167">
        <w:r w:rsidRPr="00E15B92">
          <w:rPr>
            <w:rFonts w:ascii="Calibri" w:hAnsi="Calibri"/>
            <w:color w:val="0000FF"/>
            <w:spacing w:val="-2"/>
            <w:sz w:val="24"/>
            <w:u w:val="single" w:color="0000FF"/>
            <w:lang w:val="en-US"/>
          </w:rPr>
          <w:t>https://www.telebras.com.br/wp-</w:t>
        </w:r>
      </w:hyperlink>
      <w:r w:rsidRPr="00E15B92">
        <w:rPr>
          <w:rFonts w:ascii="Calibri" w:hAnsi="Calibri"/>
          <w:color w:val="0000FF"/>
          <w:spacing w:val="-2"/>
          <w:sz w:val="24"/>
          <w:lang w:val="en-US"/>
        </w:rPr>
        <w:t xml:space="preserve"> </w:t>
      </w:r>
      <w:hyperlink r:id="rId168">
        <w:r w:rsidRPr="00E15B92">
          <w:rPr>
            <w:rFonts w:ascii="Calibri" w:hAnsi="Calibri"/>
            <w:color w:val="0000FF"/>
            <w:spacing w:val="-2"/>
            <w:sz w:val="24"/>
            <w:u w:val="single" w:color="0000FF"/>
            <w:lang w:val="en-US"/>
          </w:rPr>
          <w:t>content/uploads/2025/06/ATA-364-a-COAUD-08.01.2025.docx.pdf</w:t>
        </w:r>
      </w:hyperlink>
    </w:p>
    <w:p w14:paraId="0D340C8E" w14:textId="77777777" w:rsidR="002C6574" w:rsidRPr="00E15B92" w:rsidRDefault="002C6574">
      <w:pPr>
        <w:pStyle w:val="Corpodetexto"/>
        <w:rPr>
          <w:rFonts w:ascii="Calibri"/>
          <w:sz w:val="24"/>
          <w:lang w:val="en-US"/>
        </w:rPr>
      </w:pPr>
    </w:p>
    <w:p w14:paraId="20D25664" w14:textId="77777777" w:rsidR="002C6574" w:rsidRDefault="00000000">
      <w:pPr>
        <w:pStyle w:val="Ttulo8"/>
        <w:numPr>
          <w:ilvl w:val="0"/>
          <w:numId w:val="12"/>
        </w:numPr>
        <w:tabs>
          <w:tab w:val="left" w:pos="1560"/>
        </w:tabs>
        <w:ind w:hanging="552"/>
        <w:jc w:val="left"/>
      </w:pPr>
      <w:r>
        <w:rPr>
          <w:color w:val="001F5F"/>
        </w:rPr>
        <w:t>ROCOAUD</w:t>
      </w:r>
      <w:r>
        <w:rPr>
          <w:color w:val="001F5F"/>
          <w:spacing w:val="-3"/>
        </w:rPr>
        <w:t xml:space="preserve"> </w:t>
      </w:r>
      <w:r>
        <w:rPr>
          <w:color w:val="001F5F"/>
        </w:rPr>
        <w:t>nº</w:t>
      </w:r>
      <w:r>
        <w:rPr>
          <w:color w:val="001F5F"/>
          <w:spacing w:val="-1"/>
        </w:rPr>
        <w:t xml:space="preserve"> </w:t>
      </w:r>
      <w:r>
        <w:rPr>
          <w:color w:val="001F5F"/>
        </w:rPr>
        <w:t>365ª,</w:t>
      </w:r>
      <w:r>
        <w:rPr>
          <w:color w:val="001F5F"/>
          <w:spacing w:val="-2"/>
        </w:rPr>
        <w:t xml:space="preserve"> </w:t>
      </w:r>
      <w:r>
        <w:rPr>
          <w:color w:val="001F5F"/>
        </w:rPr>
        <w:t>de</w:t>
      </w:r>
      <w:r>
        <w:rPr>
          <w:color w:val="001F5F"/>
          <w:spacing w:val="-2"/>
        </w:rPr>
        <w:t xml:space="preserve"> 15/01/2025.</w:t>
      </w:r>
    </w:p>
    <w:p w14:paraId="4048F3A6" w14:textId="77777777" w:rsidR="002C6574" w:rsidRDefault="00000000">
      <w:pPr>
        <w:pStyle w:val="PargrafodaLista"/>
        <w:numPr>
          <w:ilvl w:val="1"/>
          <w:numId w:val="12"/>
        </w:numPr>
        <w:tabs>
          <w:tab w:val="left" w:pos="2280"/>
        </w:tabs>
        <w:spacing w:before="292" w:line="242" w:lineRule="auto"/>
        <w:ind w:left="2280" w:right="1179"/>
        <w:rPr>
          <w:rFonts w:ascii="Symbol" w:hAnsi="Symbol"/>
          <w:color w:val="001F5F"/>
          <w:sz w:val="24"/>
        </w:rPr>
      </w:pPr>
      <w:r>
        <w:rPr>
          <w:b/>
          <w:color w:val="1F3863"/>
          <w:sz w:val="24"/>
        </w:rPr>
        <w:t xml:space="preserve">Solicitação 1: </w:t>
      </w:r>
      <w:r>
        <w:rPr>
          <w:color w:val="1F3863"/>
          <w:sz w:val="24"/>
        </w:rPr>
        <w:t>Lei de Diretrizes Orçamentárias (LDO) – Panorama do Contrat de</w:t>
      </w:r>
      <w:r>
        <w:rPr>
          <w:color w:val="1F3863"/>
          <w:spacing w:val="40"/>
          <w:sz w:val="24"/>
        </w:rPr>
        <w:t xml:space="preserve"> </w:t>
      </w:r>
      <w:r>
        <w:rPr>
          <w:color w:val="1F3863"/>
          <w:sz w:val="24"/>
        </w:rPr>
        <w:t>Gestão e Plano de Sustentabilidade.</w:t>
      </w:r>
    </w:p>
    <w:p w14:paraId="49B7FF6C" w14:textId="77777777" w:rsidR="002C6574" w:rsidRPr="00E15B92" w:rsidRDefault="00000000">
      <w:pPr>
        <w:pStyle w:val="PargrafodaLista"/>
        <w:numPr>
          <w:ilvl w:val="1"/>
          <w:numId w:val="12"/>
        </w:numPr>
        <w:tabs>
          <w:tab w:val="left" w:pos="2280"/>
          <w:tab w:val="left" w:pos="4905"/>
          <w:tab w:val="left" w:pos="6867"/>
        </w:tabs>
        <w:spacing w:before="288"/>
        <w:ind w:left="2280" w:right="1179"/>
        <w:rPr>
          <w:rFonts w:ascii="Symbol" w:hAnsi="Symbol"/>
          <w:color w:val="001F5F"/>
          <w:sz w:val="24"/>
          <w:lang w:val="en-US"/>
        </w:rPr>
      </w:pPr>
      <w:r w:rsidRPr="00E15B92">
        <w:rPr>
          <w:b/>
          <w:color w:val="001F5F"/>
          <w:spacing w:val="-2"/>
          <w:sz w:val="24"/>
          <w:lang w:val="en-US"/>
        </w:rPr>
        <w:t>Disponível</w:t>
      </w:r>
      <w:r w:rsidRPr="00E15B92">
        <w:rPr>
          <w:b/>
          <w:color w:val="001F5F"/>
          <w:sz w:val="24"/>
          <w:lang w:val="en-US"/>
        </w:rPr>
        <w:tab/>
      </w:r>
      <w:r w:rsidRPr="00E15B92">
        <w:rPr>
          <w:b/>
          <w:color w:val="001F5F"/>
          <w:spacing w:val="-4"/>
          <w:sz w:val="24"/>
          <w:lang w:val="en-US"/>
        </w:rPr>
        <w:t>em</w:t>
      </w:r>
      <w:r w:rsidRPr="00E15B92">
        <w:rPr>
          <w:color w:val="001F5F"/>
          <w:spacing w:val="-4"/>
          <w:sz w:val="24"/>
          <w:lang w:val="en-US"/>
        </w:rPr>
        <w:t>:</w:t>
      </w:r>
      <w:r w:rsidRPr="00E15B92">
        <w:rPr>
          <w:color w:val="001F5F"/>
          <w:sz w:val="24"/>
          <w:lang w:val="en-US"/>
        </w:rPr>
        <w:tab/>
      </w:r>
      <w:hyperlink r:id="rId169">
        <w:r w:rsidRPr="00E15B92">
          <w:rPr>
            <w:color w:val="0000FF"/>
            <w:spacing w:val="-2"/>
            <w:sz w:val="24"/>
            <w:u w:val="single" w:color="0000FF"/>
            <w:lang w:val="en-US"/>
          </w:rPr>
          <w:t>https://www.telebras.com.br/wp-</w:t>
        </w:r>
      </w:hyperlink>
      <w:r w:rsidRPr="00E15B92">
        <w:rPr>
          <w:color w:val="0000FF"/>
          <w:spacing w:val="-2"/>
          <w:sz w:val="24"/>
          <w:lang w:val="en-US"/>
        </w:rPr>
        <w:t xml:space="preserve"> </w:t>
      </w:r>
      <w:hyperlink r:id="rId170">
        <w:r w:rsidRPr="00E15B92">
          <w:rPr>
            <w:color w:val="0000FF"/>
            <w:spacing w:val="-2"/>
            <w:sz w:val="24"/>
            <w:u w:val="single" w:color="0000FF"/>
            <w:lang w:val="en-US"/>
          </w:rPr>
          <w:t>content/uploads/2025/06/ATA-365a-COAUD-15.01.2025.pdf</w:t>
        </w:r>
      </w:hyperlink>
    </w:p>
    <w:p w14:paraId="32CE9D17" w14:textId="77777777" w:rsidR="002C6574" w:rsidRPr="00E15B92" w:rsidRDefault="002C6574">
      <w:pPr>
        <w:pStyle w:val="Corpodetexto"/>
        <w:spacing w:before="23"/>
        <w:rPr>
          <w:rFonts w:ascii="Calibri"/>
          <w:sz w:val="24"/>
          <w:lang w:val="en-US"/>
        </w:rPr>
      </w:pPr>
    </w:p>
    <w:p w14:paraId="3B6D4071" w14:textId="77777777" w:rsidR="002C6574" w:rsidRDefault="00000000">
      <w:pPr>
        <w:pStyle w:val="Ttulo8"/>
        <w:numPr>
          <w:ilvl w:val="0"/>
          <w:numId w:val="12"/>
        </w:numPr>
        <w:tabs>
          <w:tab w:val="left" w:pos="1560"/>
        </w:tabs>
        <w:ind w:hanging="615"/>
        <w:jc w:val="left"/>
      </w:pPr>
      <w:r>
        <w:rPr>
          <w:color w:val="001F5F"/>
        </w:rPr>
        <w:t>ROCOAUD</w:t>
      </w:r>
      <w:r>
        <w:rPr>
          <w:color w:val="001F5F"/>
          <w:spacing w:val="-3"/>
        </w:rPr>
        <w:t xml:space="preserve"> </w:t>
      </w:r>
      <w:r>
        <w:rPr>
          <w:color w:val="001F5F"/>
        </w:rPr>
        <w:t>nº</w:t>
      </w:r>
      <w:r>
        <w:rPr>
          <w:color w:val="001F5F"/>
          <w:spacing w:val="-1"/>
        </w:rPr>
        <w:t xml:space="preserve"> </w:t>
      </w:r>
      <w:r>
        <w:rPr>
          <w:color w:val="001F5F"/>
        </w:rPr>
        <w:t>373ª,</w:t>
      </w:r>
      <w:r>
        <w:rPr>
          <w:color w:val="001F5F"/>
          <w:spacing w:val="-2"/>
        </w:rPr>
        <w:t xml:space="preserve"> </w:t>
      </w:r>
      <w:r>
        <w:rPr>
          <w:color w:val="001F5F"/>
        </w:rPr>
        <w:t>de</w:t>
      </w:r>
      <w:r>
        <w:rPr>
          <w:color w:val="001F5F"/>
          <w:spacing w:val="-2"/>
        </w:rPr>
        <w:t xml:space="preserve"> 24/02/2025.</w:t>
      </w:r>
    </w:p>
    <w:p w14:paraId="694DF4A8" w14:textId="77777777" w:rsidR="002C6574" w:rsidRDefault="002C6574">
      <w:pPr>
        <w:pStyle w:val="Corpodetexto"/>
        <w:rPr>
          <w:rFonts w:ascii="Calibri"/>
          <w:b/>
          <w:sz w:val="24"/>
        </w:rPr>
      </w:pPr>
    </w:p>
    <w:p w14:paraId="6EAFC76A" w14:textId="77777777" w:rsidR="002C6574" w:rsidRDefault="00000000">
      <w:pPr>
        <w:spacing w:before="1"/>
        <w:ind w:left="1560" w:right="1179"/>
        <w:rPr>
          <w:rFonts w:ascii="Calibri" w:hAnsi="Calibri"/>
          <w:sz w:val="24"/>
        </w:rPr>
      </w:pPr>
      <w:r>
        <w:rPr>
          <w:rFonts w:ascii="Calibri" w:hAnsi="Calibri"/>
          <w:b/>
          <w:color w:val="1F3863"/>
          <w:sz w:val="24"/>
        </w:rPr>
        <w:t>Sugestão</w:t>
      </w:r>
      <w:r>
        <w:rPr>
          <w:rFonts w:ascii="Calibri" w:hAnsi="Calibri"/>
          <w:b/>
          <w:color w:val="1F3863"/>
          <w:spacing w:val="-14"/>
          <w:sz w:val="24"/>
        </w:rPr>
        <w:t xml:space="preserve"> </w:t>
      </w:r>
      <w:r>
        <w:rPr>
          <w:rFonts w:ascii="Calibri" w:hAnsi="Calibri"/>
          <w:b/>
          <w:color w:val="1F3863"/>
          <w:sz w:val="24"/>
        </w:rPr>
        <w:t>1:</w:t>
      </w:r>
      <w:r>
        <w:rPr>
          <w:rFonts w:ascii="Calibri" w:hAnsi="Calibri"/>
          <w:b/>
          <w:color w:val="1F3863"/>
          <w:spacing w:val="-14"/>
          <w:sz w:val="24"/>
        </w:rPr>
        <w:t xml:space="preserve"> </w:t>
      </w:r>
      <w:r>
        <w:rPr>
          <w:rFonts w:ascii="Calibri" w:hAnsi="Calibri"/>
          <w:color w:val="1F3863"/>
          <w:sz w:val="24"/>
        </w:rPr>
        <w:t>Acordo</w:t>
      </w:r>
      <w:r>
        <w:rPr>
          <w:rFonts w:ascii="Calibri" w:hAnsi="Calibri"/>
          <w:color w:val="1F3863"/>
          <w:spacing w:val="-13"/>
          <w:sz w:val="24"/>
        </w:rPr>
        <w:t xml:space="preserve"> </w:t>
      </w:r>
      <w:r>
        <w:rPr>
          <w:rFonts w:ascii="Calibri" w:hAnsi="Calibri"/>
          <w:color w:val="1F3863"/>
          <w:sz w:val="24"/>
        </w:rPr>
        <w:t>Coletivo</w:t>
      </w:r>
      <w:r>
        <w:rPr>
          <w:rFonts w:ascii="Calibri" w:hAnsi="Calibri"/>
          <w:color w:val="1F3863"/>
          <w:spacing w:val="-14"/>
          <w:sz w:val="24"/>
        </w:rPr>
        <w:t xml:space="preserve"> </w:t>
      </w:r>
      <w:r>
        <w:rPr>
          <w:rFonts w:ascii="Calibri" w:hAnsi="Calibri"/>
          <w:color w:val="1F3863"/>
          <w:sz w:val="24"/>
        </w:rPr>
        <w:t>de</w:t>
      </w:r>
      <w:r>
        <w:rPr>
          <w:rFonts w:ascii="Calibri" w:hAnsi="Calibri"/>
          <w:color w:val="1F3863"/>
          <w:spacing w:val="-13"/>
          <w:sz w:val="24"/>
        </w:rPr>
        <w:t xml:space="preserve"> </w:t>
      </w:r>
      <w:r>
        <w:rPr>
          <w:rFonts w:ascii="Calibri" w:hAnsi="Calibri"/>
          <w:color w:val="1F3863"/>
          <w:sz w:val="24"/>
        </w:rPr>
        <w:t>Trabalho</w:t>
      </w:r>
      <w:r>
        <w:rPr>
          <w:rFonts w:ascii="Calibri" w:hAnsi="Calibri"/>
          <w:color w:val="1F3863"/>
          <w:spacing w:val="-14"/>
          <w:sz w:val="24"/>
        </w:rPr>
        <w:t xml:space="preserve"> </w:t>
      </w:r>
      <w:r>
        <w:rPr>
          <w:rFonts w:ascii="Calibri" w:hAnsi="Calibri"/>
          <w:color w:val="1F3863"/>
          <w:sz w:val="24"/>
        </w:rPr>
        <w:t>–</w:t>
      </w:r>
      <w:r>
        <w:rPr>
          <w:rFonts w:ascii="Calibri" w:hAnsi="Calibri"/>
          <w:color w:val="1F3863"/>
          <w:spacing w:val="-13"/>
          <w:sz w:val="24"/>
        </w:rPr>
        <w:t xml:space="preserve"> </w:t>
      </w:r>
      <w:r>
        <w:rPr>
          <w:rFonts w:ascii="Calibri" w:hAnsi="Calibri"/>
          <w:color w:val="1F3863"/>
          <w:sz w:val="24"/>
        </w:rPr>
        <w:t>Que</w:t>
      </w:r>
      <w:r>
        <w:rPr>
          <w:rFonts w:ascii="Calibri" w:hAnsi="Calibri"/>
          <w:color w:val="1F3863"/>
          <w:spacing w:val="-14"/>
          <w:sz w:val="24"/>
        </w:rPr>
        <w:t xml:space="preserve"> </w:t>
      </w:r>
      <w:r>
        <w:rPr>
          <w:rFonts w:ascii="Calibri" w:hAnsi="Calibri"/>
          <w:color w:val="1F3863"/>
          <w:sz w:val="24"/>
        </w:rPr>
        <w:t>seja</w:t>
      </w:r>
      <w:r>
        <w:rPr>
          <w:rFonts w:ascii="Calibri" w:hAnsi="Calibri"/>
          <w:color w:val="1F3863"/>
          <w:spacing w:val="-14"/>
          <w:sz w:val="24"/>
        </w:rPr>
        <w:t xml:space="preserve"> </w:t>
      </w:r>
      <w:r>
        <w:rPr>
          <w:rFonts w:ascii="Calibri" w:hAnsi="Calibri"/>
          <w:color w:val="1F3863"/>
          <w:sz w:val="24"/>
        </w:rPr>
        <w:t>feito</w:t>
      </w:r>
      <w:r>
        <w:rPr>
          <w:rFonts w:ascii="Calibri" w:hAnsi="Calibri"/>
          <w:color w:val="1F3863"/>
          <w:spacing w:val="-13"/>
          <w:sz w:val="24"/>
        </w:rPr>
        <w:t xml:space="preserve"> </w:t>
      </w:r>
      <w:r>
        <w:rPr>
          <w:rFonts w:ascii="Calibri" w:hAnsi="Calibri"/>
          <w:color w:val="1F3863"/>
          <w:sz w:val="24"/>
        </w:rPr>
        <w:t>um</w:t>
      </w:r>
      <w:r>
        <w:rPr>
          <w:rFonts w:ascii="Calibri" w:hAnsi="Calibri"/>
          <w:color w:val="1F3863"/>
          <w:spacing w:val="-14"/>
          <w:sz w:val="24"/>
        </w:rPr>
        <w:t xml:space="preserve"> </w:t>
      </w:r>
      <w:r>
        <w:rPr>
          <w:rFonts w:ascii="Calibri" w:hAnsi="Calibri"/>
          <w:color w:val="1F3863"/>
          <w:sz w:val="24"/>
        </w:rPr>
        <w:t>informe</w:t>
      </w:r>
      <w:r>
        <w:rPr>
          <w:rFonts w:ascii="Calibri" w:hAnsi="Calibri"/>
          <w:color w:val="1F3863"/>
          <w:spacing w:val="-13"/>
          <w:sz w:val="24"/>
        </w:rPr>
        <w:t xml:space="preserve"> </w:t>
      </w:r>
      <w:r>
        <w:rPr>
          <w:rFonts w:ascii="Calibri" w:hAnsi="Calibri"/>
          <w:color w:val="1F3863"/>
          <w:sz w:val="24"/>
        </w:rPr>
        <w:t>para</w:t>
      </w:r>
      <w:r>
        <w:rPr>
          <w:rFonts w:ascii="Calibri" w:hAnsi="Calibri"/>
          <w:color w:val="1F3863"/>
          <w:spacing w:val="-14"/>
          <w:sz w:val="24"/>
        </w:rPr>
        <w:t xml:space="preserve"> </w:t>
      </w:r>
      <w:r>
        <w:rPr>
          <w:rFonts w:ascii="Calibri" w:hAnsi="Calibri"/>
          <w:color w:val="1F3863"/>
          <w:sz w:val="24"/>
        </w:rPr>
        <w:t>os</w:t>
      </w:r>
      <w:r>
        <w:rPr>
          <w:rFonts w:ascii="Calibri" w:hAnsi="Calibri"/>
          <w:color w:val="1F3863"/>
          <w:spacing w:val="-13"/>
          <w:sz w:val="24"/>
        </w:rPr>
        <w:t xml:space="preserve"> </w:t>
      </w:r>
      <w:r>
        <w:rPr>
          <w:rFonts w:ascii="Calibri" w:hAnsi="Calibri"/>
          <w:color w:val="1F3863"/>
          <w:sz w:val="24"/>
        </w:rPr>
        <w:t>empregados da Telebras após aprovação do Conselho de Administração.</w:t>
      </w:r>
    </w:p>
    <w:p w14:paraId="68822D69" w14:textId="77777777" w:rsidR="002C6574" w:rsidRDefault="00000000">
      <w:pPr>
        <w:spacing w:before="292" w:line="293" w:lineRule="exact"/>
        <w:ind w:left="1560"/>
        <w:rPr>
          <w:rFonts w:ascii="Calibri" w:hAnsi="Calibri"/>
          <w:sz w:val="24"/>
        </w:rPr>
      </w:pPr>
      <w:r>
        <w:rPr>
          <w:rFonts w:ascii="Calibri" w:hAnsi="Calibri"/>
          <w:b/>
          <w:color w:val="001F5F"/>
          <w:spacing w:val="-2"/>
          <w:sz w:val="24"/>
        </w:rPr>
        <w:t>Disponível</w:t>
      </w:r>
      <w:r>
        <w:rPr>
          <w:rFonts w:ascii="Calibri" w:hAnsi="Calibri"/>
          <w:b/>
          <w:color w:val="001F5F"/>
          <w:spacing w:val="52"/>
          <w:sz w:val="24"/>
        </w:rPr>
        <w:t xml:space="preserve"> </w:t>
      </w:r>
      <w:r>
        <w:rPr>
          <w:rFonts w:ascii="Calibri" w:hAnsi="Calibri"/>
          <w:b/>
          <w:color w:val="001F5F"/>
          <w:spacing w:val="-2"/>
          <w:sz w:val="24"/>
        </w:rPr>
        <w:t>em</w:t>
      </w:r>
      <w:r>
        <w:rPr>
          <w:rFonts w:ascii="Calibri" w:hAnsi="Calibri"/>
          <w:color w:val="001F5F"/>
          <w:spacing w:val="-2"/>
          <w:sz w:val="24"/>
        </w:rPr>
        <w:t>:</w:t>
      </w:r>
      <w:r>
        <w:rPr>
          <w:rFonts w:ascii="Calibri" w:hAnsi="Calibri"/>
          <w:color w:val="001F5F"/>
          <w:spacing w:val="55"/>
          <w:sz w:val="24"/>
        </w:rPr>
        <w:t xml:space="preserve"> </w:t>
      </w:r>
      <w:hyperlink r:id="rId171">
        <w:r>
          <w:rPr>
            <w:rFonts w:ascii="Calibri" w:hAnsi="Calibri"/>
            <w:color w:val="0000FF"/>
            <w:spacing w:val="-2"/>
            <w:sz w:val="24"/>
            <w:u w:val="single" w:color="0000FF"/>
          </w:rPr>
          <w:t>https://www.telebras.com.br/wp-content/uploads/2025/03/ATA-373a-</w:t>
        </w:r>
      </w:hyperlink>
    </w:p>
    <w:p w14:paraId="6514F161" w14:textId="77777777" w:rsidR="002C6574" w:rsidRDefault="00000000">
      <w:pPr>
        <w:pStyle w:val="Corpodetexto"/>
        <w:ind w:left="1560"/>
        <w:rPr>
          <w:rFonts w:ascii="Calibri"/>
        </w:rPr>
      </w:pPr>
      <w:r>
        <w:rPr>
          <w:rFonts w:ascii="Calibri"/>
          <w:color w:val="0000FF"/>
          <w:spacing w:val="-2"/>
          <w:u w:val="single" w:color="0000FF"/>
        </w:rPr>
        <w:t>COAUD-24.02.2025.pdf</w:t>
      </w:r>
    </w:p>
    <w:p w14:paraId="6F7D0714" w14:textId="77777777" w:rsidR="002C6574" w:rsidRDefault="002C6574">
      <w:pPr>
        <w:pStyle w:val="Corpodetexto"/>
        <w:rPr>
          <w:rFonts w:ascii="Calibri"/>
          <w:sz w:val="24"/>
        </w:rPr>
      </w:pPr>
    </w:p>
    <w:p w14:paraId="2A85793C" w14:textId="77777777" w:rsidR="002C6574" w:rsidRDefault="00000000">
      <w:pPr>
        <w:pStyle w:val="Ttulo8"/>
        <w:numPr>
          <w:ilvl w:val="0"/>
          <w:numId w:val="12"/>
        </w:numPr>
        <w:tabs>
          <w:tab w:val="left" w:pos="1560"/>
        </w:tabs>
        <w:ind w:hanging="629"/>
        <w:jc w:val="left"/>
        <w:rPr>
          <w:b w:val="0"/>
        </w:rPr>
      </w:pPr>
      <w:r>
        <w:rPr>
          <w:color w:val="001F5F"/>
        </w:rPr>
        <w:t>ROCOAUD</w:t>
      </w:r>
      <w:r>
        <w:rPr>
          <w:color w:val="001F5F"/>
          <w:spacing w:val="-3"/>
        </w:rPr>
        <w:t xml:space="preserve"> </w:t>
      </w:r>
      <w:r>
        <w:rPr>
          <w:color w:val="001F5F"/>
        </w:rPr>
        <w:t>nº 375ª,</w:t>
      </w:r>
      <w:r>
        <w:rPr>
          <w:color w:val="001F5F"/>
          <w:spacing w:val="-1"/>
        </w:rPr>
        <w:t xml:space="preserve"> </w:t>
      </w:r>
      <w:r>
        <w:rPr>
          <w:color w:val="001F5F"/>
        </w:rPr>
        <w:t>de</w:t>
      </w:r>
      <w:r>
        <w:rPr>
          <w:color w:val="001F5F"/>
          <w:spacing w:val="-2"/>
        </w:rPr>
        <w:t xml:space="preserve"> 12/03/2025</w:t>
      </w:r>
      <w:r>
        <w:rPr>
          <w:b w:val="0"/>
          <w:color w:val="001F5F"/>
          <w:spacing w:val="-2"/>
        </w:rPr>
        <w:t>.</w:t>
      </w:r>
    </w:p>
    <w:p w14:paraId="5D88CD16" w14:textId="77777777" w:rsidR="002C6574" w:rsidRDefault="002C6574">
      <w:pPr>
        <w:pStyle w:val="Corpodetexto"/>
        <w:spacing w:before="2"/>
        <w:rPr>
          <w:rFonts w:ascii="Calibri"/>
          <w:sz w:val="24"/>
        </w:rPr>
      </w:pPr>
    </w:p>
    <w:p w14:paraId="64309A1C" w14:textId="77777777" w:rsidR="002C6574" w:rsidRDefault="00000000">
      <w:pPr>
        <w:ind w:left="1560" w:right="1178"/>
        <w:jc w:val="both"/>
        <w:rPr>
          <w:rFonts w:ascii="Calibri" w:hAnsi="Calibri"/>
          <w:sz w:val="24"/>
        </w:rPr>
      </w:pPr>
      <w:r>
        <w:rPr>
          <w:rFonts w:ascii="Calibri" w:hAnsi="Calibri"/>
          <w:b/>
          <w:color w:val="1F3863"/>
          <w:sz w:val="24"/>
        </w:rPr>
        <w:t xml:space="preserve">Encaminhamento 1: </w:t>
      </w:r>
      <w:r>
        <w:rPr>
          <w:rFonts w:ascii="Calibri" w:hAnsi="Calibri"/>
          <w:color w:val="1F3863"/>
          <w:sz w:val="24"/>
        </w:rPr>
        <w:t>Sétimo Termo Aditivo ao Acordo Compartilhamento de Receitas de Capacidade Satelital Celebrado com a Viasat - que seja encaminhado a Gerência de Auditoria minuta do material referente a compra</w:t>
      </w:r>
      <w:r>
        <w:rPr>
          <w:rFonts w:ascii="Calibri" w:hAnsi="Calibri"/>
          <w:color w:val="1F3863"/>
          <w:spacing w:val="-2"/>
          <w:sz w:val="24"/>
        </w:rPr>
        <w:t xml:space="preserve"> </w:t>
      </w:r>
      <w:r>
        <w:rPr>
          <w:rFonts w:ascii="Calibri" w:hAnsi="Calibri"/>
          <w:color w:val="1F3863"/>
          <w:sz w:val="24"/>
        </w:rPr>
        <w:t>de capacidade e Celebração do Sétimo Termo Aditivo ao Acordo Compartilhamento de Receitas de Capacidade Satelital celebrado com a Viasat e seus anexos.</w:t>
      </w:r>
    </w:p>
    <w:p w14:paraId="37950B33" w14:textId="77777777" w:rsidR="002C6574" w:rsidRDefault="002C6574">
      <w:pPr>
        <w:pStyle w:val="Corpodetexto"/>
        <w:rPr>
          <w:rFonts w:ascii="Calibri"/>
          <w:sz w:val="24"/>
        </w:rPr>
      </w:pPr>
    </w:p>
    <w:p w14:paraId="6BDB73FF" w14:textId="77777777" w:rsidR="002C6574" w:rsidRDefault="00000000">
      <w:pPr>
        <w:spacing w:line="293" w:lineRule="exact"/>
        <w:ind w:left="1560"/>
        <w:rPr>
          <w:rFonts w:ascii="Calibri" w:hAnsi="Calibri"/>
          <w:sz w:val="24"/>
        </w:rPr>
      </w:pPr>
      <w:r>
        <w:rPr>
          <w:rFonts w:ascii="Calibri" w:hAnsi="Calibri"/>
          <w:b/>
          <w:color w:val="001F5F"/>
          <w:spacing w:val="-2"/>
          <w:sz w:val="24"/>
        </w:rPr>
        <w:t>Disponível</w:t>
      </w:r>
      <w:r>
        <w:rPr>
          <w:rFonts w:ascii="Calibri" w:hAnsi="Calibri"/>
          <w:b/>
          <w:color w:val="001F5F"/>
          <w:spacing w:val="52"/>
          <w:sz w:val="24"/>
        </w:rPr>
        <w:t xml:space="preserve"> </w:t>
      </w:r>
      <w:r>
        <w:rPr>
          <w:rFonts w:ascii="Calibri" w:hAnsi="Calibri"/>
          <w:b/>
          <w:color w:val="001F5F"/>
          <w:spacing w:val="-2"/>
          <w:sz w:val="24"/>
        </w:rPr>
        <w:t>em</w:t>
      </w:r>
      <w:r>
        <w:rPr>
          <w:rFonts w:ascii="Calibri" w:hAnsi="Calibri"/>
          <w:color w:val="001F5F"/>
          <w:spacing w:val="-2"/>
          <w:sz w:val="24"/>
        </w:rPr>
        <w:t>:</w:t>
      </w:r>
      <w:r>
        <w:rPr>
          <w:rFonts w:ascii="Calibri" w:hAnsi="Calibri"/>
          <w:color w:val="001F5F"/>
          <w:spacing w:val="55"/>
          <w:sz w:val="24"/>
        </w:rPr>
        <w:t xml:space="preserve"> </w:t>
      </w:r>
      <w:hyperlink r:id="rId172">
        <w:r>
          <w:rPr>
            <w:rFonts w:ascii="Calibri" w:hAnsi="Calibri"/>
            <w:color w:val="0000FF"/>
            <w:spacing w:val="-2"/>
            <w:sz w:val="24"/>
            <w:u w:val="single" w:color="0000FF"/>
          </w:rPr>
          <w:t>https://www.telebras.com.br/wp-content/uploads/2025/05/ATA-375a-</w:t>
        </w:r>
      </w:hyperlink>
    </w:p>
    <w:p w14:paraId="5CFE00FC" w14:textId="77777777" w:rsidR="002C6574" w:rsidRDefault="00000000">
      <w:pPr>
        <w:pStyle w:val="Corpodetexto"/>
        <w:ind w:left="1560"/>
        <w:rPr>
          <w:rFonts w:ascii="Calibri"/>
        </w:rPr>
      </w:pPr>
      <w:r>
        <w:rPr>
          <w:rFonts w:ascii="Calibri"/>
          <w:color w:val="0000FF"/>
          <w:spacing w:val="-2"/>
          <w:u w:val="single" w:color="0000FF"/>
        </w:rPr>
        <w:t>COAUD-12.03.2025.pdf</w:t>
      </w:r>
    </w:p>
    <w:p w14:paraId="1778AD6C" w14:textId="77777777" w:rsidR="002C6574" w:rsidRDefault="00000000">
      <w:pPr>
        <w:pStyle w:val="PargrafodaLista"/>
        <w:numPr>
          <w:ilvl w:val="1"/>
          <w:numId w:val="12"/>
        </w:numPr>
        <w:tabs>
          <w:tab w:val="left" w:pos="2280"/>
        </w:tabs>
        <w:spacing w:before="268"/>
        <w:ind w:left="2280" w:right="1178"/>
        <w:jc w:val="both"/>
        <w:rPr>
          <w:rFonts w:ascii="Symbol" w:hAnsi="Symbol"/>
          <w:sz w:val="24"/>
        </w:rPr>
      </w:pPr>
      <w:r>
        <w:rPr>
          <w:b/>
          <w:color w:val="1F3863"/>
          <w:sz w:val="24"/>
        </w:rPr>
        <w:t xml:space="preserve">Solicitação 1: </w:t>
      </w:r>
      <w:r>
        <w:rPr>
          <w:color w:val="1F3863"/>
          <w:sz w:val="24"/>
        </w:rPr>
        <w:t>Relatório Circunstanciado - Esclarecimento informações acerca do contrato de garantia dos equipamentos terrestres ligados ao SGDC, o porque é contratada pela Visiona e não pela Telebras.</w:t>
      </w:r>
    </w:p>
    <w:p w14:paraId="0BA1D4F7" w14:textId="77777777" w:rsidR="002C6574" w:rsidRDefault="002C6574">
      <w:pPr>
        <w:pStyle w:val="PargrafodaLista"/>
        <w:jc w:val="both"/>
        <w:rPr>
          <w:rFonts w:ascii="Symbol" w:hAnsi="Symbol"/>
          <w:sz w:val="24"/>
        </w:rPr>
        <w:sectPr w:rsidR="002C6574">
          <w:pgSz w:w="12240" w:h="15840"/>
          <w:pgMar w:top="900" w:right="425" w:bottom="1220" w:left="425" w:header="674" w:footer="1036" w:gutter="0"/>
          <w:cols w:space="720"/>
        </w:sectPr>
      </w:pPr>
    </w:p>
    <w:p w14:paraId="5A73BB34" w14:textId="77777777" w:rsidR="002C6574" w:rsidRDefault="002C6574">
      <w:pPr>
        <w:pStyle w:val="Corpodetexto"/>
        <w:spacing w:before="11"/>
        <w:rPr>
          <w:rFonts w:ascii="Calibri"/>
        </w:rPr>
      </w:pPr>
    </w:p>
    <w:p w14:paraId="24E1B1ED" w14:textId="77777777" w:rsidR="002C6574" w:rsidRDefault="00000000">
      <w:pPr>
        <w:pStyle w:val="PargrafodaLista"/>
        <w:numPr>
          <w:ilvl w:val="1"/>
          <w:numId w:val="12"/>
        </w:numPr>
        <w:tabs>
          <w:tab w:val="left" w:pos="2280"/>
        </w:tabs>
        <w:ind w:left="2280" w:right="1178"/>
        <w:rPr>
          <w:rFonts w:ascii="Symbol" w:hAnsi="Symbol"/>
        </w:rPr>
      </w:pPr>
      <w:r>
        <w:rPr>
          <w:b/>
          <w:color w:val="001F5F"/>
          <w:sz w:val="24"/>
        </w:rPr>
        <w:t>Disponível</w:t>
      </w:r>
      <w:r>
        <w:rPr>
          <w:b/>
          <w:color w:val="001F5F"/>
          <w:spacing w:val="80"/>
          <w:sz w:val="24"/>
        </w:rPr>
        <w:t xml:space="preserve"> </w:t>
      </w:r>
      <w:r>
        <w:rPr>
          <w:b/>
          <w:color w:val="001F5F"/>
          <w:sz w:val="24"/>
        </w:rPr>
        <w:t>em</w:t>
      </w:r>
      <w:r>
        <w:rPr>
          <w:color w:val="001F5F"/>
          <w:sz w:val="24"/>
        </w:rPr>
        <w:t>:</w:t>
      </w:r>
      <w:r>
        <w:rPr>
          <w:color w:val="001F5F"/>
          <w:spacing w:val="80"/>
          <w:sz w:val="24"/>
        </w:rPr>
        <w:t xml:space="preserve"> </w:t>
      </w:r>
      <w:hyperlink r:id="rId173">
        <w:r>
          <w:rPr>
            <w:color w:val="0000FF"/>
            <w:sz w:val="24"/>
            <w:u w:val="single" w:color="0000FF"/>
          </w:rPr>
          <w:t>https://www.telebras.com.br/wp-</w:t>
        </w:r>
      </w:hyperlink>
      <w:r>
        <w:rPr>
          <w:color w:val="0000FF"/>
          <w:u w:val="single" w:color="0000FF"/>
        </w:rPr>
        <w:t>content/uploads/2025/06/ATA-</w:t>
      </w:r>
      <w:r>
        <w:rPr>
          <w:color w:val="0000FF"/>
        </w:rPr>
        <w:t xml:space="preserve"> </w:t>
      </w:r>
      <w:r>
        <w:rPr>
          <w:color w:val="0000FF"/>
          <w:spacing w:val="-2"/>
          <w:u w:val="single" w:color="0000FF"/>
        </w:rPr>
        <w:t>380a-COAUD-11.04.2025.pdf</w:t>
      </w:r>
    </w:p>
    <w:p w14:paraId="0173AA7E" w14:textId="77777777" w:rsidR="002C6574" w:rsidRDefault="002C6574">
      <w:pPr>
        <w:pStyle w:val="Corpodetexto"/>
        <w:spacing w:before="1"/>
        <w:rPr>
          <w:rFonts w:ascii="Calibri"/>
          <w:sz w:val="24"/>
        </w:rPr>
      </w:pPr>
    </w:p>
    <w:p w14:paraId="4D604BA3" w14:textId="77777777" w:rsidR="002C6574" w:rsidRDefault="00000000">
      <w:pPr>
        <w:pStyle w:val="Ttulo8"/>
        <w:numPr>
          <w:ilvl w:val="0"/>
          <w:numId w:val="12"/>
        </w:numPr>
        <w:tabs>
          <w:tab w:val="left" w:pos="1560"/>
        </w:tabs>
        <w:ind w:hanging="567"/>
        <w:jc w:val="left"/>
        <w:rPr>
          <w:b w:val="0"/>
        </w:rPr>
      </w:pPr>
      <w:r>
        <w:rPr>
          <w:color w:val="001F5F"/>
        </w:rPr>
        <w:t>ROCOAUD</w:t>
      </w:r>
      <w:r>
        <w:rPr>
          <w:color w:val="001F5F"/>
          <w:spacing w:val="-3"/>
        </w:rPr>
        <w:t xml:space="preserve"> </w:t>
      </w:r>
      <w:r>
        <w:rPr>
          <w:color w:val="001F5F"/>
        </w:rPr>
        <w:t>nº</w:t>
      </w:r>
      <w:r>
        <w:rPr>
          <w:color w:val="001F5F"/>
          <w:spacing w:val="-1"/>
        </w:rPr>
        <w:t xml:space="preserve"> </w:t>
      </w:r>
      <w:r>
        <w:rPr>
          <w:color w:val="001F5F"/>
        </w:rPr>
        <w:t>381ª,</w:t>
      </w:r>
      <w:r>
        <w:rPr>
          <w:color w:val="001F5F"/>
          <w:spacing w:val="-2"/>
        </w:rPr>
        <w:t xml:space="preserve"> </w:t>
      </w:r>
      <w:r>
        <w:rPr>
          <w:color w:val="001F5F"/>
        </w:rPr>
        <w:t>de</w:t>
      </w:r>
      <w:r>
        <w:rPr>
          <w:color w:val="001F5F"/>
          <w:spacing w:val="-2"/>
        </w:rPr>
        <w:t xml:space="preserve"> 16/04/2025</w:t>
      </w:r>
      <w:r>
        <w:rPr>
          <w:b w:val="0"/>
          <w:color w:val="001F5F"/>
          <w:spacing w:val="-2"/>
        </w:rPr>
        <w:t>.</w:t>
      </w:r>
    </w:p>
    <w:p w14:paraId="024277F9" w14:textId="77777777" w:rsidR="002C6574" w:rsidRDefault="00000000">
      <w:pPr>
        <w:pStyle w:val="PargrafodaLista"/>
        <w:numPr>
          <w:ilvl w:val="1"/>
          <w:numId w:val="12"/>
        </w:numPr>
        <w:tabs>
          <w:tab w:val="left" w:pos="2565"/>
        </w:tabs>
        <w:spacing w:before="292"/>
        <w:ind w:left="2565" w:right="1178"/>
        <w:jc w:val="both"/>
        <w:rPr>
          <w:rFonts w:ascii="Symbol" w:hAnsi="Symbol"/>
          <w:sz w:val="24"/>
        </w:rPr>
      </w:pPr>
      <w:r>
        <w:rPr>
          <w:b/>
          <w:color w:val="1F3863"/>
          <w:sz w:val="24"/>
        </w:rPr>
        <w:t xml:space="preserve">Solicitação 1: </w:t>
      </w:r>
      <w:r>
        <w:rPr>
          <w:color w:val="1F3863"/>
          <w:sz w:val="24"/>
        </w:rPr>
        <w:t xml:space="preserve">Relatório de Acompanhamento de Gestão (RAG) – Inclusão de assuntos relacionadas à Rede Privativa – abrangendo a situação atual do </w:t>
      </w:r>
      <w:r>
        <w:rPr>
          <w:color w:val="1F3863"/>
          <w:spacing w:val="-2"/>
          <w:sz w:val="24"/>
        </w:rPr>
        <w:t>projeto.</w:t>
      </w:r>
    </w:p>
    <w:p w14:paraId="4B013C89" w14:textId="77777777" w:rsidR="002C6574" w:rsidRDefault="002C6574">
      <w:pPr>
        <w:pStyle w:val="Corpodetexto"/>
        <w:spacing w:before="1"/>
        <w:rPr>
          <w:rFonts w:ascii="Calibri"/>
          <w:sz w:val="24"/>
        </w:rPr>
      </w:pPr>
    </w:p>
    <w:p w14:paraId="097C2CA4" w14:textId="77777777" w:rsidR="002C6574" w:rsidRDefault="00000000">
      <w:pPr>
        <w:pStyle w:val="PargrafodaLista"/>
        <w:numPr>
          <w:ilvl w:val="1"/>
          <w:numId w:val="12"/>
        </w:numPr>
        <w:tabs>
          <w:tab w:val="left" w:pos="2565"/>
          <w:tab w:val="left" w:pos="4571"/>
          <w:tab w:val="left" w:pos="5911"/>
          <w:tab w:val="left" w:pos="10136"/>
        </w:tabs>
        <w:spacing w:line="293" w:lineRule="exact"/>
        <w:ind w:left="2565"/>
        <w:rPr>
          <w:rFonts w:ascii="Symbol" w:hAnsi="Symbol"/>
        </w:rPr>
      </w:pPr>
      <w:r>
        <w:rPr>
          <w:b/>
          <w:color w:val="001F5F"/>
          <w:spacing w:val="-2"/>
          <w:sz w:val="24"/>
        </w:rPr>
        <w:t>Disponível</w:t>
      </w:r>
      <w:r>
        <w:rPr>
          <w:b/>
          <w:color w:val="001F5F"/>
          <w:sz w:val="24"/>
        </w:rPr>
        <w:tab/>
      </w:r>
      <w:r>
        <w:rPr>
          <w:b/>
          <w:color w:val="001F5F"/>
          <w:spacing w:val="-5"/>
          <w:sz w:val="24"/>
        </w:rPr>
        <w:t>em</w:t>
      </w:r>
      <w:r>
        <w:rPr>
          <w:color w:val="001F5F"/>
          <w:spacing w:val="-5"/>
          <w:sz w:val="24"/>
        </w:rPr>
        <w:t>:</w:t>
      </w:r>
      <w:r>
        <w:rPr>
          <w:color w:val="001F5F"/>
          <w:sz w:val="24"/>
        </w:rPr>
        <w:tab/>
      </w:r>
      <w:hyperlink r:id="rId174">
        <w:r>
          <w:rPr>
            <w:color w:val="0000FF"/>
            <w:spacing w:val="-2"/>
            <w:sz w:val="24"/>
            <w:u w:val="single" w:color="0000FF"/>
          </w:rPr>
          <w:t>https://www.telebras.com.br/wp</w:t>
        </w:r>
      </w:hyperlink>
      <w:r>
        <w:rPr>
          <w:color w:val="0000FF"/>
          <w:sz w:val="24"/>
        </w:rPr>
        <w:tab/>
      </w:r>
      <w:r>
        <w:rPr>
          <w:color w:val="001F5F"/>
          <w:spacing w:val="-10"/>
          <w:sz w:val="24"/>
        </w:rPr>
        <w:t>-</w:t>
      </w:r>
    </w:p>
    <w:p w14:paraId="7BC94406" w14:textId="77777777" w:rsidR="002C6574" w:rsidRPr="00E15B92" w:rsidRDefault="00000000">
      <w:pPr>
        <w:pStyle w:val="Corpodetexto"/>
        <w:ind w:left="2565"/>
        <w:rPr>
          <w:rFonts w:ascii="Calibri"/>
          <w:lang w:val="en-US"/>
        </w:rPr>
      </w:pPr>
      <w:r w:rsidRPr="00E15B92">
        <w:rPr>
          <w:rFonts w:ascii="Calibri"/>
          <w:color w:val="0000FF"/>
          <w:spacing w:val="-2"/>
          <w:u w:val="single" w:color="0000FF"/>
          <w:lang w:val="en-US"/>
        </w:rPr>
        <w:t>content/uploads/2025/06/ATA-381a-COAUD-16.04.2025.pdf</w:t>
      </w:r>
    </w:p>
    <w:p w14:paraId="7343A013" w14:textId="77777777" w:rsidR="002C6574" w:rsidRDefault="00000000">
      <w:pPr>
        <w:pStyle w:val="Ttulo8"/>
        <w:numPr>
          <w:ilvl w:val="0"/>
          <w:numId w:val="12"/>
        </w:numPr>
        <w:tabs>
          <w:tab w:val="left" w:pos="1560"/>
        </w:tabs>
        <w:spacing w:before="269"/>
        <w:ind w:hanging="629"/>
        <w:jc w:val="left"/>
        <w:rPr>
          <w:b w:val="0"/>
        </w:rPr>
      </w:pPr>
      <w:r>
        <w:rPr>
          <w:color w:val="001F5F"/>
        </w:rPr>
        <w:t>ROCOAUD</w:t>
      </w:r>
      <w:r>
        <w:rPr>
          <w:color w:val="001F5F"/>
          <w:spacing w:val="-3"/>
        </w:rPr>
        <w:t xml:space="preserve"> </w:t>
      </w:r>
      <w:r>
        <w:rPr>
          <w:color w:val="001F5F"/>
        </w:rPr>
        <w:t>nº</w:t>
      </w:r>
      <w:r>
        <w:rPr>
          <w:color w:val="001F5F"/>
          <w:spacing w:val="-1"/>
        </w:rPr>
        <w:t xml:space="preserve"> </w:t>
      </w:r>
      <w:r>
        <w:rPr>
          <w:color w:val="001F5F"/>
        </w:rPr>
        <w:t>389ª,</w:t>
      </w:r>
      <w:r>
        <w:rPr>
          <w:color w:val="001F5F"/>
          <w:spacing w:val="-2"/>
        </w:rPr>
        <w:t xml:space="preserve"> </w:t>
      </w:r>
      <w:r>
        <w:rPr>
          <w:color w:val="001F5F"/>
        </w:rPr>
        <w:t>de</w:t>
      </w:r>
      <w:r>
        <w:rPr>
          <w:color w:val="001F5F"/>
          <w:spacing w:val="-2"/>
        </w:rPr>
        <w:t xml:space="preserve"> 04/06/2025</w:t>
      </w:r>
      <w:r>
        <w:rPr>
          <w:b w:val="0"/>
          <w:color w:val="001F5F"/>
          <w:spacing w:val="-2"/>
        </w:rPr>
        <w:t>.</w:t>
      </w:r>
    </w:p>
    <w:p w14:paraId="0460E986" w14:textId="77777777" w:rsidR="002C6574" w:rsidRDefault="002C6574">
      <w:pPr>
        <w:pStyle w:val="Corpodetexto"/>
        <w:rPr>
          <w:rFonts w:ascii="Calibri"/>
          <w:sz w:val="24"/>
        </w:rPr>
      </w:pPr>
    </w:p>
    <w:p w14:paraId="14EB6D75" w14:textId="77777777" w:rsidR="002C6574" w:rsidRDefault="00000000">
      <w:pPr>
        <w:pStyle w:val="PargrafodaLista"/>
        <w:numPr>
          <w:ilvl w:val="1"/>
          <w:numId w:val="12"/>
        </w:numPr>
        <w:tabs>
          <w:tab w:val="left" w:pos="2280"/>
        </w:tabs>
        <w:ind w:left="2280" w:right="1175"/>
        <w:jc w:val="both"/>
        <w:rPr>
          <w:rFonts w:ascii="Symbol" w:hAnsi="Symbol"/>
          <w:sz w:val="24"/>
        </w:rPr>
      </w:pPr>
      <w:r>
        <w:rPr>
          <w:b/>
          <w:color w:val="1F3863"/>
          <w:sz w:val="24"/>
        </w:rPr>
        <w:t xml:space="preserve">Solicitação 1: Rede Privativa </w:t>
      </w:r>
      <w:r>
        <w:rPr>
          <w:color w:val="001F5F"/>
          <w:sz w:val="24"/>
        </w:rPr>
        <w:t xml:space="preserve">- </w:t>
      </w:r>
      <w:r>
        <w:rPr>
          <w:color w:val="1F3863"/>
          <w:sz w:val="24"/>
        </w:rPr>
        <w:t>Apresentação de indicador de desempenho para acompanhamento do atingimento da meta de 6.500 pontos ativos; 2) Detalhamento</w:t>
      </w:r>
      <w:r>
        <w:rPr>
          <w:color w:val="1F3863"/>
          <w:spacing w:val="-13"/>
          <w:sz w:val="24"/>
        </w:rPr>
        <w:t xml:space="preserve"> </w:t>
      </w:r>
      <w:r>
        <w:rPr>
          <w:color w:val="1F3863"/>
          <w:sz w:val="24"/>
        </w:rPr>
        <w:t>da</w:t>
      </w:r>
      <w:r>
        <w:rPr>
          <w:color w:val="1F3863"/>
          <w:spacing w:val="-10"/>
          <w:sz w:val="24"/>
        </w:rPr>
        <w:t xml:space="preserve"> </w:t>
      </w:r>
      <w:r>
        <w:rPr>
          <w:color w:val="1F3863"/>
          <w:sz w:val="24"/>
        </w:rPr>
        <w:t>relação</w:t>
      </w:r>
      <w:r>
        <w:rPr>
          <w:color w:val="1F3863"/>
          <w:spacing w:val="-11"/>
          <w:sz w:val="24"/>
        </w:rPr>
        <w:t xml:space="preserve"> </w:t>
      </w:r>
      <w:r>
        <w:rPr>
          <w:color w:val="1F3863"/>
          <w:sz w:val="24"/>
        </w:rPr>
        <w:t>entre</w:t>
      </w:r>
      <w:r>
        <w:rPr>
          <w:color w:val="1F3863"/>
          <w:spacing w:val="-11"/>
          <w:sz w:val="24"/>
        </w:rPr>
        <w:t xml:space="preserve"> </w:t>
      </w:r>
      <w:r>
        <w:rPr>
          <w:color w:val="1F3863"/>
          <w:sz w:val="24"/>
        </w:rPr>
        <w:t>clientes</w:t>
      </w:r>
      <w:r>
        <w:rPr>
          <w:color w:val="1F3863"/>
          <w:spacing w:val="-12"/>
          <w:sz w:val="24"/>
        </w:rPr>
        <w:t xml:space="preserve"> </w:t>
      </w:r>
      <w:r>
        <w:rPr>
          <w:color w:val="1F3863"/>
          <w:sz w:val="24"/>
        </w:rPr>
        <w:t>em</w:t>
      </w:r>
      <w:r>
        <w:rPr>
          <w:color w:val="1F3863"/>
          <w:spacing w:val="-11"/>
          <w:sz w:val="24"/>
        </w:rPr>
        <w:t xml:space="preserve"> </w:t>
      </w:r>
      <w:r>
        <w:rPr>
          <w:color w:val="1F3863"/>
          <w:sz w:val="24"/>
        </w:rPr>
        <w:t>negociação</w:t>
      </w:r>
      <w:r>
        <w:rPr>
          <w:color w:val="1F3863"/>
          <w:spacing w:val="-9"/>
          <w:sz w:val="24"/>
        </w:rPr>
        <w:t xml:space="preserve"> </w:t>
      </w:r>
      <w:r>
        <w:rPr>
          <w:color w:val="1F3863"/>
          <w:sz w:val="24"/>
        </w:rPr>
        <w:t>e</w:t>
      </w:r>
      <w:r>
        <w:rPr>
          <w:color w:val="1F3863"/>
          <w:spacing w:val="-12"/>
          <w:sz w:val="24"/>
        </w:rPr>
        <w:t xml:space="preserve"> </w:t>
      </w:r>
      <w:r>
        <w:rPr>
          <w:color w:val="1F3863"/>
          <w:sz w:val="24"/>
        </w:rPr>
        <w:t>o</w:t>
      </w:r>
      <w:r>
        <w:rPr>
          <w:color w:val="1F3863"/>
          <w:spacing w:val="-12"/>
          <w:sz w:val="24"/>
        </w:rPr>
        <w:t xml:space="preserve"> </w:t>
      </w:r>
      <w:r>
        <w:rPr>
          <w:color w:val="1F3863"/>
          <w:sz w:val="24"/>
        </w:rPr>
        <w:t>quantitativo</w:t>
      </w:r>
      <w:r>
        <w:rPr>
          <w:color w:val="1F3863"/>
          <w:spacing w:val="-12"/>
          <w:sz w:val="24"/>
        </w:rPr>
        <w:t xml:space="preserve"> </w:t>
      </w:r>
      <w:r>
        <w:rPr>
          <w:color w:val="1F3863"/>
          <w:sz w:val="24"/>
        </w:rPr>
        <w:t>de</w:t>
      </w:r>
      <w:r>
        <w:rPr>
          <w:color w:val="1F3863"/>
          <w:spacing w:val="-13"/>
          <w:sz w:val="24"/>
        </w:rPr>
        <w:t xml:space="preserve"> </w:t>
      </w:r>
      <w:r>
        <w:rPr>
          <w:color w:val="1F3863"/>
          <w:sz w:val="24"/>
        </w:rPr>
        <w:t xml:space="preserve">pontos envolvidos; 3) Apresentação contemplando prazo de implantação e </w:t>
      </w:r>
      <w:r>
        <w:rPr>
          <w:i/>
          <w:color w:val="1F3863"/>
          <w:sz w:val="24"/>
        </w:rPr>
        <w:t xml:space="preserve">status </w:t>
      </w:r>
      <w:r>
        <w:rPr>
          <w:color w:val="1F3863"/>
          <w:sz w:val="24"/>
        </w:rPr>
        <w:t>do projeto de criptografia.</w:t>
      </w:r>
    </w:p>
    <w:p w14:paraId="26D2E8B0" w14:textId="77777777" w:rsidR="002C6574" w:rsidRDefault="002C6574">
      <w:pPr>
        <w:pStyle w:val="Corpodetexto"/>
        <w:rPr>
          <w:rFonts w:ascii="Calibri"/>
          <w:sz w:val="24"/>
        </w:rPr>
      </w:pPr>
    </w:p>
    <w:p w14:paraId="043570D9" w14:textId="77777777" w:rsidR="002C6574" w:rsidRDefault="00000000">
      <w:pPr>
        <w:pStyle w:val="PargrafodaLista"/>
        <w:numPr>
          <w:ilvl w:val="1"/>
          <w:numId w:val="12"/>
        </w:numPr>
        <w:tabs>
          <w:tab w:val="left" w:pos="2280"/>
        </w:tabs>
        <w:ind w:left="2280" w:right="1178"/>
        <w:jc w:val="both"/>
        <w:rPr>
          <w:rFonts w:ascii="Symbol" w:hAnsi="Symbol"/>
          <w:sz w:val="24"/>
        </w:rPr>
      </w:pPr>
      <w:r>
        <w:rPr>
          <w:b/>
          <w:color w:val="001F5F"/>
          <w:sz w:val="24"/>
        </w:rPr>
        <w:t>Disponível em</w:t>
      </w:r>
      <w:r>
        <w:rPr>
          <w:color w:val="001F5F"/>
          <w:sz w:val="24"/>
        </w:rPr>
        <w:t xml:space="preserve">: </w:t>
      </w:r>
      <w:hyperlink r:id="rId175">
        <w:r>
          <w:rPr>
            <w:color w:val="0000FF"/>
            <w:sz w:val="24"/>
            <w:u w:val="single" w:color="0000FF"/>
          </w:rPr>
          <w:t>https://www.telebras.com.br/wp-</w:t>
        </w:r>
      </w:hyperlink>
      <w:r>
        <w:rPr>
          <w:color w:val="0000FF"/>
          <w:u w:val="single" w:color="0000FF"/>
        </w:rPr>
        <w:t>content/uploads/2025/11/ATA-</w:t>
      </w:r>
      <w:r>
        <w:rPr>
          <w:color w:val="0000FF"/>
        </w:rPr>
        <w:t xml:space="preserve"> </w:t>
      </w:r>
      <w:r>
        <w:rPr>
          <w:color w:val="0000FF"/>
          <w:spacing w:val="-2"/>
          <w:u w:val="single" w:color="0000FF"/>
        </w:rPr>
        <w:t>389a-COAUD-28.05.2025.pdf</w:t>
      </w:r>
    </w:p>
    <w:p w14:paraId="1136DE32" w14:textId="77777777" w:rsidR="002C6574" w:rsidRDefault="002C6574">
      <w:pPr>
        <w:pStyle w:val="Corpodetexto"/>
        <w:rPr>
          <w:rFonts w:ascii="Calibri"/>
          <w:sz w:val="24"/>
        </w:rPr>
      </w:pPr>
    </w:p>
    <w:p w14:paraId="00F6E1D6" w14:textId="77777777" w:rsidR="002C6574" w:rsidRDefault="00000000">
      <w:pPr>
        <w:pStyle w:val="Ttulo8"/>
        <w:numPr>
          <w:ilvl w:val="0"/>
          <w:numId w:val="12"/>
        </w:numPr>
        <w:tabs>
          <w:tab w:val="left" w:pos="1560"/>
        </w:tabs>
        <w:ind w:hanging="694"/>
        <w:jc w:val="left"/>
        <w:rPr>
          <w:b w:val="0"/>
        </w:rPr>
      </w:pPr>
      <w:r>
        <w:rPr>
          <w:color w:val="001F5F"/>
        </w:rPr>
        <w:t>ROCOAUD</w:t>
      </w:r>
      <w:r>
        <w:rPr>
          <w:color w:val="001F5F"/>
          <w:spacing w:val="-3"/>
        </w:rPr>
        <w:t xml:space="preserve"> </w:t>
      </w:r>
      <w:r>
        <w:rPr>
          <w:color w:val="001F5F"/>
        </w:rPr>
        <w:t>nº</w:t>
      </w:r>
      <w:r>
        <w:rPr>
          <w:color w:val="001F5F"/>
          <w:spacing w:val="-2"/>
        </w:rPr>
        <w:t xml:space="preserve"> </w:t>
      </w:r>
      <w:r>
        <w:rPr>
          <w:color w:val="001F5F"/>
        </w:rPr>
        <w:t>393ª,</w:t>
      </w:r>
      <w:r>
        <w:rPr>
          <w:color w:val="001F5F"/>
          <w:spacing w:val="-1"/>
        </w:rPr>
        <w:t xml:space="preserve"> </w:t>
      </w:r>
      <w:r>
        <w:rPr>
          <w:color w:val="001F5F"/>
        </w:rPr>
        <w:t>de</w:t>
      </w:r>
      <w:r>
        <w:rPr>
          <w:color w:val="001F5F"/>
          <w:spacing w:val="-4"/>
        </w:rPr>
        <w:t xml:space="preserve"> </w:t>
      </w:r>
      <w:r>
        <w:rPr>
          <w:color w:val="001F5F"/>
          <w:spacing w:val="-2"/>
        </w:rPr>
        <w:t>02/07/2025</w:t>
      </w:r>
      <w:r>
        <w:rPr>
          <w:b w:val="0"/>
          <w:color w:val="001F5F"/>
          <w:spacing w:val="-2"/>
        </w:rPr>
        <w:t>.</w:t>
      </w:r>
    </w:p>
    <w:p w14:paraId="1A426EAA" w14:textId="77777777" w:rsidR="002C6574" w:rsidRDefault="00000000">
      <w:pPr>
        <w:pStyle w:val="PargrafodaLista"/>
        <w:numPr>
          <w:ilvl w:val="1"/>
          <w:numId w:val="12"/>
        </w:numPr>
        <w:tabs>
          <w:tab w:val="left" w:pos="1985"/>
        </w:tabs>
        <w:spacing w:before="293"/>
        <w:ind w:left="1985" w:right="1178" w:hanging="425"/>
        <w:jc w:val="both"/>
        <w:rPr>
          <w:rFonts w:ascii="Symbol" w:hAnsi="Symbol"/>
          <w:color w:val="1F3863"/>
          <w:sz w:val="24"/>
        </w:rPr>
      </w:pPr>
      <w:r>
        <w:rPr>
          <w:b/>
          <w:color w:val="1F3863"/>
          <w:sz w:val="24"/>
        </w:rPr>
        <w:t xml:space="preserve">Solicitação 1: Trabalhos Realizados do 2º Trimestre da Ouvidoria - </w:t>
      </w:r>
      <w:r>
        <w:rPr>
          <w:color w:val="1F3863"/>
          <w:sz w:val="24"/>
        </w:rPr>
        <w:t>Na tabela intitulada “Análise qualitativa no trimestre”, solicita-se a inclusão das seguintes informações: a) Uma nova coluna indicando o prazo máximo de resposta para reclamações,</w:t>
      </w:r>
      <w:r>
        <w:rPr>
          <w:color w:val="1F3863"/>
          <w:spacing w:val="-1"/>
          <w:sz w:val="24"/>
        </w:rPr>
        <w:t xml:space="preserve"> </w:t>
      </w:r>
      <w:r>
        <w:rPr>
          <w:color w:val="1F3863"/>
          <w:sz w:val="24"/>
        </w:rPr>
        <w:t>sugestões</w:t>
      </w:r>
      <w:r>
        <w:rPr>
          <w:color w:val="1F3863"/>
          <w:spacing w:val="-5"/>
          <w:sz w:val="24"/>
        </w:rPr>
        <w:t xml:space="preserve"> </w:t>
      </w:r>
      <w:r>
        <w:rPr>
          <w:color w:val="1F3863"/>
          <w:sz w:val="24"/>
        </w:rPr>
        <w:t>e solicitações; b)</w:t>
      </w:r>
      <w:r>
        <w:rPr>
          <w:color w:val="1F3863"/>
          <w:spacing w:val="-4"/>
          <w:sz w:val="24"/>
        </w:rPr>
        <w:t xml:space="preserve"> </w:t>
      </w:r>
      <w:r>
        <w:rPr>
          <w:color w:val="1F3863"/>
          <w:sz w:val="24"/>
        </w:rPr>
        <w:t>Uma coluna</w:t>
      </w:r>
      <w:r>
        <w:rPr>
          <w:color w:val="1F3863"/>
          <w:spacing w:val="-3"/>
          <w:sz w:val="24"/>
        </w:rPr>
        <w:t xml:space="preserve"> </w:t>
      </w:r>
      <w:r>
        <w:rPr>
          <w:color w:val="1F3863"/>
          <w:sz w:val="24"/>
        </w:rPr>
        <w:t>de</w:t>
      </w:r>
      <w:r>
        <w:rPr>
          <w:color w:val="1F3863"/>
          <w:spacing w:val="-2"/>
          <w:sz w:val="24"/>
        </w:rPr>
        <w:t xml:space="preserve"> </w:t>
      </w:r>
      <w:r>
        <w:rPr>
          <w:color w:val="1F3863"/>
          <w:sz w:val="24"/>
        </w:rPr>
        <w:t>classificação, especificando se o registro relacionado às manifestações de ouvidoria trata-se de uma denúncia, reclamação, sugestão ou solicitação, a fim de aprimorar a precisão da análise, c) Melhor detalhamento e descrição dos registros, especialmente no que se refere a denúncias, reclamações e sugestões, de modo a garantir maior clareza e compreensão do conteúdo analisado)</w:t>
      </w:r>
      <w:r>
        <w:rPr>
          <w:b/>
          <w:color w:val="1F3863"/>
        </w:rPr>
        <w:t xml:space="preserve">. </w:t>
      </w:r>
      <w:r>
        <w:rPr>
          <w:color w:val="1F3863"/>
        </w:rPr>
        <w:t>Solicitação atendida.</w:t>
      </w:r>
    </w:p>
    <w:p w14:paraId="019C31C6" w14:textId="77777777" w:rsidR="002C6574" w:rsidRDefault="002C6574">
      <w:pPr>
        <w:pStyle w:val="Corpodetexto"/>
        <w:rPr>
          <w:rFonts w:ascii="Calibri"/>
          <w:sz w:val="24"/>
        </w:rPr>
      </w:pPr>
    </w:p>
    <w:p w14:paraId="602E38E1" w14:textId="77777777" w:rsidR="002C6574" w:rsidRDefault="00000000">
      <w:pPr>
        <w:pStyle w:val="PargrafodaLista"/>
        <w:numPr>
          <w:ilvl w:val="1"/>
          <w:numId w:val="12"/>
        </w:numPr>
        <w:tabs>
          <w:tab w:val="left" w:pos="1985"/>
        </w:tabs>
        <w:spacing w:line="242" w:lineRule="auto"/>
        <w:ind w:left="1985" w:right="1184" w:hanging="425"/>
        <w:jc w:val="both"/>
        <w:rPr>
          <w:rFonts w:ascii="Symbol" w:hAnsi="Symbol"/>
          <w:color w:val="1F3863"/>
          <w:sz w:val="24"/>
        </w:rPr>
      </w:pPr>
      <w:r>
        <w:rPr>
          <w:b/>
          <w:color w:val="1F3863"/>
          <w:sz w:val="24"/>
        </w:rPr>
        <w:t xml:space="preserve">Solicitação 2: </w:t>
      </w:r>
      <w:r>
        <w:rPr>
          <w:color w:val="1F3863"/>
          <w:sz w:val="24"/>
        </w:rPr>
        <w:t>Encaminhar ao Comitê de Auditoria Estatutário (COAUD) a natureza dos recursos registrados na Corregedoria-Geral da União (CGU).</w:t>
      </w:r>
    </w:p>
    <w:p w14:paraId="6848FDEB" w14:textId="77777777" w:rsidR="002C6574" w:rsidRDefault="00000000">
      <w:pPr>
        <w:pStyle w:val="PargrafodaLista"/>
        <w:numPr>
          <w:ilvl w:val="1"/>
          <w:numId w:val="12"/>
        </w:numPr>
        <w:tabs>
          <w:tab w:val="left" w:pos="1985"/>
        </w:tabs>
        <w:spacing w:before="288"/>
        <w:ind w:left="1985" w:right="1185" w:hanging="425"/>
        <w:jc w:val="both"/>
        <w:rPr>
          <w:rFonts w:ascii="Symbol" w:hAnsi="Symbol"/>
          <w:color w:val="1F3863"/>
          <w:sz w:val="24"/>
        </w:rPr>
      </w:pPr>
      <w:r>
        <w:rPr>
          <w:b/>
          <w:color w:val="1F3863"/>
          <w:sz w:val="24"/>
        </w:rPr>
        <w:t xml:space="preserve">Solicitação 3: </w:t>
      </w:r>
      <w:r>
        <w:rPr>
          <w:color w:val="1F3863"/>
          <w:sz w:val="24"/>
        </w:rPr>
        <w:t>Apresentar exposição sobre a Lei Geral de Proteção de Dados (LGPD), abordando os seguintes aspectos: a) Principais obrigações legais previstas na LGPD;</w:t>
      </w:r>
    </w:p>
    <w:p w14:paraId="53421CD3" w14:textId="77777777" w:rsidR="002C6574" w:rsidRDefault="00000000">
      <w:pPr>
        <w:pStyle w:val="PargrafodaLista"/>
        <w:numPr>
          <w:ilvl w:val="0"/>
          <w:numId w:val="11"/>
        </w:numPr>
        <w:tabs>
          <w:tab w:val="left" w:pos="2300"/>
        </w:tabs>
        <w:ind w:right="1182" w:firstLine="0"/>
        <w:jc w:val="both"/>
        <w:rPr>
          <w:sz w:val="24"/>
        </w:rPr>
      </w:pPr>
      <w:r>
        <w:rPr>
          <w:color w:val="1F3863"/>
          <w:sz w:val="24"/>
        </w:rPr>
        <w:t>Legislação aplicável, incluindo regulamentações complementares; c) Grau de maturidade da Companhia em relação à</w:t>
      </w:r>
      <w:r>
        <w:rPr>
          <w:color w:val="1F3863"/>
          <w:spacing w:val="-1"/>
          <w:sz w:val="24"/>
        </w:rPr>
        <w:t xml:space="preserve"> </w:t>
      </w:r>
      <w:r>
        <w:rPr>
          <w:color w:val="1F3863"/>
          <w:sz w:val="24"/>
        </w:rPr>
        <w:t>conformidade</w:t>
      </w:r>
      <w:r>
        <w:rPr>
          <w:color w:val="1F3863"/>
          <w:spacing w:val="-1"/>
          <w:sz w:val="24"/>
        </w:rPr>
        <w:t xml:space="preserve"> </w:t>
      </w:r>
      <w:r>
        <w:rPr>
          <w:color w:val="1F3863"/>
          <w:sz w:val="24"/>
        </w:rPr>
        <w:t>com a</w:t>
      </w:r>
      <w:r>
        <w:rPr>
          <w:color w:val="1F3863"/>
          <w:spacing w:val="-1"/>
          <w:sz w:val="24"/>
        </w:rPr>
        <w:t xml:space="preserve"> </w:t>
      </w:r>
      <w:r>
        <w:rPr>
          <w:color w:val="1F3863"/>
          <w:sz w:val="24"/>
        </w:rPr>
        <w:t>LGPD; d)</w:t>
      </w:r>
      <w:r>
        <w:rPr>
          <w:color w:val="1F3863"/>
          <w:spacing w:val="-2"/>
          <w:sz w:val="24"/>
        </w:rPr>
        <w:t xml:space="preserve"> </w:t>
      </w:r>
      <w:r>
        <w:rPr>
          <w:color w:val="1F3863"/>
          <w:sz w:val="24"/>
        </w:rPr>
        <w:t>Descrição de como a Companhia está tratando cada uma das obrigações estabelecidas pela referida legislação</w:t>
      </w:r>
    </w:p>
    <w:p w14:paraId="2A58BF8B" w14:textId="77777777" w:rsidR="002C6574" w:rsidRDefault="002C6574">
      <w:pPr>
        <w:pStyle w:val="PargrafodaLista"/>
        <w:jc w:val="both"/>
        <w:rPr>
          <w:sz w:val="24"/>
        </w:rPr>
        <w:sectPr w:rsidR="002C6574">
          <w:pgSz w:w="12240" w:h="15840"/>
          <w:pgMar w:top="900" w:right="425" w:bottom="1220" w:left="425" w:header="674" w:footer="1036" w:gutter="0"/>
          <w:cols w:space="720"/>
        </w:sectPr>
      </w:pPr>
    </w:p>
    <w:p w14:paraId="29B8F8C3" w14:textId="77777777" w:rsidR="002C6574" w:rsidRDefault="00000000">
      <w:pPr>
        <w:pStyle w:val="PargrafodaLista"/>
        <w:numPr>
          <w:ilvl w:val="1"/>
          <w:numId w:val="11"/>
        </w:numPr>
        <w:tabs>
          <w:tab w:val="left" w:pos="3000"/>
          <w:tab w:val="left" w:pos="5269"/>
          <w:tab w:val="left" w:pos="6869"/>
        </w:tabs>
        <w:spacing w:before="280"/>
        <w:rPr>
          <w:sz w:val="24"/>
        </w:rPr>
      </w:pPr>
      <w:r>
        <w:rPr>
          <w:b/>
          <w:color w:val="001F5F"/>
          <w:spacing w:val="-2"/>
          <w:sz w:val="24"/>
        </w:rPr>
        <w:lastRenderedPageBreak/>
        <w:t>Disponível</w:t>
      </w:r>
      <w:r>
        <w:rPr>
          <w:b/>
          <w:color w:val="001F5F"/>
          <w:sz w:val="24"/>
        </w:rPr>
        <w:tab/>
      </w:r>
      <w:r>
        <w:rPr>
          <w:b/>
          <w:color w:val="001F5F"/>
          <w:spacing w:val="-5"/>
          <w:sz w:val="24"/>
        </w:rPr>
        <w:t>em:</w:t>
      </w:r>
      <w:r>
        <w:rPr>
          <w:b/>
          <w:color w:val="001F5F"/>
          <w:sz w:val="24"/>
        </w:rPr>
        <w:tab/>
      </w:r>
      <w:hyperlink r:id="rId176">
        <w:r>
          <w:rPr>
            <w:color w:val="0000FF"/>
            <w:spacing w:val="-2"/>
            <w:sz w:val="24"/>
            <w:u w:val="single" w:color="0000FF"/>
          </w:rPr>
          <w:t>https://www.telebras.com.br/wp-</w:t>
        </w:r>
      </w:hyperlink>
    </w:p>
    <w:p w14:paraId="382C0C55" w14:textId="77777777" w:rsidR="002C6574" w:rsidRPr="00E15B92" w:rsidRDefault="00000000">
      <w:pPr>
        <w:pStyle w:val="Corpodetexto"/>
        <w:ind w:left="487" w:right="435"/>
        <w:jc w:val="center"/>
        <w:rPr>
          <w:rFonts w:ascii="Calibri"/>
          <w:lang w:val="en-US"/>
        </w:rPr>
      </w:pPr>
      <w:r w:rsidRPr="00E15B92">
        <w:rPr>
          <w:rFonts w:ascii="Calibri"/>
          <w:color w:val="0000FF"/>
          <w:spacing w:val="-2"/>
          <w:u w:val="single" w:color="0000FF"/>
          <w:lang w:val="en-US"/>
        </w:rPr>
        <w:t>content/uploads/2025/09/ATA-393a-COAUD-02.07.2025.pdf</w:t>
      </w:r>
    </w:p>
    <w:p w14:paraId="0CE1FB43" w14:textId="77777777" w:rsidR="002C6574" w:rsidRPr="00E15B92" w:rsidRDefault="002C6574">
      <w:pPr>
        <w:pStyle w:val="Corpodetexto"/>
        <w:rPr>
          <w:rFonts w:ascii="Calibri"/>
          <w:sz w:val="24"/>
          <w:lang w:val="en-US"/>
        </w:rPr>
      </w:pPr>
    </w:p>
    <w:p w14:paraId="5470FFC6" w14:textId="77777777" w:rsidR="002C6574" w:rsidRDefault="00000000">
      <w:pPr>
        <w:pStyle w:val="Ttulo8"/>
        <w:numPr>
          <w:ilvl w:val="0"/>
          <w:numId w:val="12"/>
        </w:numPr>
        <w:tabs>
          <w:tab w:val="left" w:pos="1560"/>
        </w:tabs>
        <w:ind w:hanging="756"/>
        <w:jc w:val="left"/>
        <w:rPr>
          <w:b w:val="0"/>
        </w:rPr>
      </w:pPr>
      <w:r>
        <w:rPr>
          <w:color w:val="001F5F"/>
        </w:rPr>
        <w:t>ROCOAUD</w:t>
      </w:r>
      <w:r>
        <w:rPr>
          <w:color w:val="001F5F"/>
          <w:spacing w:val="-3"/>
        </w:rPr>
        <w:t xml:space="preserve"> </w:t>
      </w:r>
      <w:r>
        <w:rPr>
          <w:color w:val="001F5F"/>
        </w:rPr>
        <w:t>nº</w:t>
      </w:r>
      <w:r>
        <w:rPr>
          <w:color w:val="001F5F"/>
          <w:spacing w:val="-1"/>
        </w:rPr>
        <w:t xml:space="preserve"> </w:t>
      </w:r>
      <w:r>
        <w:rPr>
          <w:color w:val="001F5F"/>
        </w:rPr>
        <w:t>394ª,</w:t>
      </w:r>
      <w:r>
        <w:rPr>
          <w:color w:val="001F5F"/>
          <w:spacing w:val="-1"/>
        </w:rPr>
        <w:t xml:space="preserve"> </w:t>
      </w:r>
      <w:r>
        <w:rPr>
          <w:color w:val="001F5F"/>
        </w:rPr>
        <w:t>de</w:t>
      </w:r>
      <w:r>
        <w:rPr>
          <w:color w:val="001F5F"/>
          <w:spacing w:val="-4"/>
        </w:rPr>
        <w:t xml:space="preserve"> </w:t>
      </w:r>
      <w:r>
        <w:rPr>
          <w:color w:val="001F5F"/>
          <w:spacing w:val="-2"/>
        </w:rPr>
        <w:t>09/07/2025</w:t>
      </w:r>
      <w:r>
        <w:rPr>
          <w:b w:val="0"/>
          <w:color w:val="001F5F"/>
          <w:spacing w:val="-2"/>
        </w:rPr>
        <w:t>.</w:t>
      </w:r>
    </w:p>
    <w:p w14:paraId="0E111EE2" w14:textId="77777777" w:rsidR="002C6574" w:rsidRDefault="00000000">
      <w:pPr>
        <w:pStyle w:val="PargrafodaLista"/>
        <w:numPr>
          <w:ilvl w:val="1"/>
          <w:numId w:val="12"/>
        </w:numPr>
        <w:tabs>
          <w:tab w:val="left" w:pos="1985"/>
        </w:tabs>
        <w:spacing w:before="292"/>
        <w:ind w:left="1985" w:right="1177" w:hanging="142"/>
        <w:jc w:val="both"/>
        <w:rPr>
          <w:rFonts w:ascii="Symbol" w:hAnsi="Symbol"/>
          <w:sz w:val="24"/>
        </w:rPr>
      </w:pPr>
      <w:r>
        <w:rPr>
          <w:b/>
          <w:color w:val="1F3863"/>
          <w:sz w:val="24"/>
        </w:rPr>
        <w:t>Solicitação</w:t>
      </w:r>
      <w:r>
        <w:rPr>
          <w:b/>
          <w:color w:val="1F3863"/>
          <w:spacing w:val="-7"/>
          <w:sz w:val="24"/>
        </w:rPr>
        <w:t xml:space="preserve"> </w:t>
      </w:r>
      <w:r>
        <w:rPr>
          <w:b/>
          <w:color w:val="1F3863"/>
          <w:sz w:val="24"/>
        </w:rPr>
        <w:t>1:</w:t>
      </w:r>
      <w:r>
        <w:rPr>
          <w:b/>
          <w:color w:val="1F3863"/>
          <w:spacing w:val="-8"/>
          <w:sz w:val="24"/>
        </w:rPr>
        <w:t xml:space="preserve"> </w:t>
      </w:r>
      <w:r>
        <w:rPr>
          <w:b/>
          <w:color w:val="1F3863"/>
          <w:sz w:val="24"/>
        </w:rPr>
        <w:t>Orçamento</w:t>
      </w:r>
      <w:r>
        <w:rPr>
          <w:b/>
          <w:color w:val="1F3863"/>
          <w:spacing w:val="-6"/>
          <w:sz w:val="24"/>
        </w:rPr>
        <w:t xml:space="preserve"> </w:t>
      </w:r>
      <w:r>
        <w:rPr>
          <w:b/>
          <w:color w:val="1F3863"/>
          <w:sz w:val="24"/>
        </w:rPr>
        <w:t>em</w:t>
      </w:r>
      <w:r>
        <w:rPr>
          <w:b/>
          <w:color w:val="1F3863"/>
          <w:spacing w:val="-8"/>
          <w:sz w:val="24"/>
        </w:rPr>
        <w:t xml:space="preserve"> </w:t>
      </w:r>
      <w:r>
        <w:rPr>
          <w:b/>
          <w:color w:val="1F3863"/>
          <w:sz w:val="24"/>
        </w:rPr>
        <w:t>23/06/2025</w:t>
      </w:r>
      <w:r>
        <w:rPr>
          <w:b/>
          <w:color w:val="1F3863"/>
          <w:spacing w:val="-5"/>
          <w:sz w:val="24"/>
        </w:rPr>
        <w:t xml:space="preserve"> </w:t>
      </w:r>
      <w:r>
        <w:rPr>
          <w:b/>
          <w:color w:val="1F3863"/>
          <w:sz w:val="24"/>
        </w:rPr>
        <w:t>-</w:t>
      </w:r>
      <w:r>
        <w:rPr>
          <w:b/>
          <w:color w:val="1F3863"/>
          <w:spacing w:val="-8"/>
          <w:sz w:val="24"/>
        </w:rPr>
        <w:t xml:space="preserve"> </w:t>
      </w:r>
      <w:r>
        <w:rPr>
          <w:color w:val="1F3863"/>
          <w:sz w:val="24"/>
        </w:rPr>
        <w:t>esclarecimentos</w:t>
      </w:r>
      <w:r>
        <w:rPr>
          <w:color w:val="1F3863"/>
          <w:spacing w:val="-6"/>
          <w:sz w:val="24"/>
        </w:rPr>
        <w:t xml:space="preserve"> </w:t>
      </w:r>
      <w:r>
        <w:rPr>
          <w:color w:val="1F3863"/>
          <w:sz w:val="24"/>
        </w:rPr>
        <w:t>sobre</w:t>
      </w:r>
      <w:r>
        <w:rPr>
          <w:color w:val="1F3863"/>
          <w:spacing w:val="-9"/>
          <w:sz w:val="24"/>
        </w:rPr>
        <w:t xml:space="preserve"> </w:t>
      </w:r>
      <w:r>
        <w:rPr>
          <w:color w:val="1F3863"/>
          <w:sz w:val="24"/>
        </w:rPr>
        <w:t>os</w:t>
      </w:r>
      <w:r>
        <w:rPr>
          <w:color w:val="1F3863"/>
          <w:spacing w:val="-9"/>
          <w:sz w:val="24"/>
        </w:rPr>
        <w:t xml:space="preserve"> </w:t>
      </w:r>
      <w:r>
        <w:rPr>
          <w:color w:val="1F3863"/>
          <w:sz w:val="24"/>
        </w:rPr>
        <w:t>aspectos</w:t>
      </w:r>
      <w:r>
        <w:rPr>
          <w:color w:val="1F3863"/>
          <w:spacing w:val="-6"/>
          <w:sz w:val="24"/>
        </w:rPr>
        <w:t xml:space="preserve"> </w:t>
      </w:r>
      <w:r>
        <w:rPr>
          <w:color w:val="1F3863"/>
          <w:sz w:val="24"/>
        </w:rPr>
        <w:t>legais que envolvem o pagamento de Despesas de Exercícios Anteriores (DEAs), especialmente</w:t>
      </w:r>
      <w:r>
        <w:rPr>
          <w:color w:val="1F3863"/>
          <w:spacing w:val="-2"/>
          <w:sz w:val="24"/>
        </w:rPr>
        <w:t xml:space="preserve"> </w:t>
      </w:r>
      <w:r>
        <w:rPr>
          <w:color w:val="1F3863"/>
          <w:sz w:val="24"/>
        </w:rPr>
        <w:t>quanto</w:t>
      </w:r>
      <w:r>
        <w:rPr>
          <w:color w:val="1F3863"/>
          <w:spacing w:val="-2"/>
          <w:sz w:val="24"/>
        </w:rPr>
        <w:t xml:space="preserve"> </w:t>
      </w:r>
      <w:r>
        <w:rPr>
          <w:color w:val="1F3863"/>
          <w:sz w:val="24"/>
        </w:rPr>
        <w:t>à</w:t>
      </w:r>
      <w:r>
        <w:rPr>
          <w:color w:val="1F3863"/>
          <w:spacing w:val="-5"/>
          <w:sz w:val="24"/>
        </w:rPr>
        <w:t xml:space="preserve"> </w:t>
      </w:r>
      <w:r>
        <w:rPr>
          <w:color w:val="1F3863"/>
          <w:sz w:val="24"/>
        </w:rPr>
        <w:t>legalidade</w:t>
      </w:r>
      <w:r>
        <w:rPr>
          <w:color w:val="1F3863"/>
          <w:spacing w:val="-2"/>
          <w:sz w:val="24"/>
        </w:rPr>
        <w:t xml:space="preserve"> </w:t>
      </w:r>
      <w:r>
        <w:rPr>
          <w:color w:val="1F3863"/>
          <w:sz w:val="24"/>
        </w:rPr>
        <w:t>da</w:t>
      </w:r>
      <w:r>
        <w:rPr>
          <w:color w:val="1F3863"/>
          <w:spacing w:val="-3"/>
          <w:sz w:val="24"/>
        </w:rPr>
        <w:t xml:space="preserve"> </w:t>
      </w:r>
      <w:r>
        <w:rPr>
          <w:color w:val="1F3863"/>
          <w:sz w:val="24"/>
        </w:rPr>
        <w:t>prática</w:t>
      </w:r>
      <w:r>
        <w:rPr>
          <w:color w:val="1F3863"/>
          <w:spacing w:val="-3"/>
          <w:sz w:val="24"/>
        </w:rPr>
        <w:t xml:space="preserve"> </w:t>
      </w:r>
      <w:r>
        <w:rPr>
          <w:color w:val="1F3863"/>
          <w:sz w:val="24"/>
        </w:rPr>
        <w:t>e</w:t>
      </w:r>
      <w:r>
        <w:rPr>
          <w:color w:val="1F3863"/>
          <w:spacing w:val="-2"/>
          <w:sz w:val="24"/>
        </w:rPr>
        <w:t xml:space="preserve"> </w:t>
      </w:r>
      <w:r>
        <w:rPr>
          <w:color w:val="1F3863"/>
          <w:sz w:val="24"/>
        </w:rPr>
        <w:t>à</w:t>
      </w:r>
      <w:r>
        <w:rPr>
          <w:color w:val="1F3863"/>
          <w:spacing w:val="-3"/>
          <w:sz w:val="24"/>
        </w:rPr>
        <w:t xml:space="preserve"> </w:t>
      </w:r>
      <w:r>
        <w:rPr>
          <w:color w:val="1F3863"/>
          <w:sz w:val="24"/>
        </w:rPr>
        <w:t>eventual</w:t>
      </w:r>
      <w:r>
        <w:rPr>
          <w:color w:val="1F3863"/>
          <w:spacing w:val="-2"/>
          <w:sz w:val="24"/>
        </w:rPr>
        <w:t xml:space="preserve"> </w:t>
      </w:r>
      <w:r>
        <w:rPr>
          <w:color w:val="1F3863"/>
          <w:sz w:val="24"/>
        </w:rPr>
        <w:t>manifestação do</w:t>
      </w:r>
      <w:r>
        <w:rPr>
          <w:color w:val="1F3863"/>
          <w:spacing w:val="-1"/>
          <w:sz w:val="24"/>
        </w:rPr>
        <w:t xml:space="preserve"> </w:t>
      </w:r>
      <w:r>
        <w:rPr>
          <w:color w:val="1F3863"/>
          <w:sz w:val="24"/>
        </w:rPr>
        <w:t>Tribunal de Contas da União (TCU) sobre o tema; incluindo a fundamentação jurídica que respalda</w:t>
      </w:r>
      <w:r>
        <w:rPr>
          <w:color w:val="1F3863"/>
          <w:spacing w:val="-2"/>
          <w:sz w:val="24"/>
        </w:rPr>
        <w:t xml:space="preserve"> </w:t>
      </w:r>
      <w:r>
        <w:rPr>
          <w:color w:val="1F3863"/>
          <w:sz w:val="24"/>
        </w:rPr>
        <w:t>os</w:t>
      </w:r>
      <w:r>
        <w:rPr>
          <w:color w:val="1F3863"/>
          <w:spacing w:val="-2"/>
          <w:sz w:val="24"/>
        </w:rPr>
        <w:t xml:space="preserve"> </w:t>
      </w:r>
      <w:r>
        <w:rPr>
          <w:color w:val="1F3863"/>
          <w:sz w:val="24"/>
        </w:rPr>
        <w:t>pagamentos</w:t>
      </w:r>
      <w:r>
        <w:rPr>
          <w:color w:val="1F3863"/>
          <w:spacing w:val="-5"/>
          <w:sz w:val="24"/>
        </w:rPr>
        <w:t xml:space="preserve"> </w:t>
      </w:r>
      <w:r>
        <w:rPr>
          <w:color w:val="1F3863"/>
          <w:sz w:val="24"/>
        </w:rPr>
        <w:t>realizados</w:t>
      </w:r>
      <w:r>
        <w:rPr>
          <w:color w:val="1F3863"/>
          <w:spacing w:val="-2"/>
          <w:sz w:val="24"/>
        </w:rPr>
        <w:t xml:space="preserve"> </w:t>
      </w:r>
      <w:r>
        <w:rPr>
          <w:color w:val="1F3863"/>
          <w:sz w:val="24"/>
        </w:rPr>
        <w:t>no</w:t>
      </w:r>
      <w:r>
        <w:rPr>
          <w:color w:val="1F3863"/>
          <w:spacing w:val="-2"/>
          <w:sz w:val="24"/>
        </w:rPr>
        <w:t xml:space="preserve"> </w:t>
      </w:r>
      <w:r>
        <w:rPr>
          <w:color w:val="1F3863"/>
          <w:sz w:val="24"/>
        </w:rPr>
        <w:t>presente</w:t>
      </w:r>
      <w:r>
        <w:rPr>
          <w:color w:val="1F3863"/>
          <w:spacing w:val="-3"/>
          <w:sz w:val="24"/>
        </w:rPr>
        <w:t xml:space="preserve"> </w:t>
      </w:r>
      <w:r>
        <w:rPr>
          <w:color w:val="1F3863"/>
          <w:sz w:val="24"/>
        </w:rPr>
        <w:t>exercício sob a</w:t>
      </w:r>
      <w:r>
        <w:rPr>
          <w:color w:val="1F3863"/>
          <w:spacing w:val="-3"/>
          <w:sz w:val="24"/>
        </w:rPr>
        <w:t xml:space="preserve"> </w:t>
      </w:r>
      <w:r>
        <w:rPr>
          <w:color w:val="1F3863"/>
          <w:sz w:val="24"/>
        </w:rPr>
        <w:t>classificação de</w:t>
      </w:r>
      <w:r>
        <w:rPr>
          <w:color w:val="1F3863"/>
          <w:spacing w:val="-3"/>
          <w:sz w:val="24"/>
        </w:rPr>
        <w:t xml:space="preserve"> </w:t>
      </w:r>
      <w:r>
        <w:rPr>
          <w:color w:val="1F3863"/>
          <w:sz w:val="24"/>
        </w:rPr>
        <w:t>DEA.</w:t>
      </w:r>
    </w:p>
    <w:p w14:paraId="41DA704F" w14:textId="77777777" w:rsidR="002C6574" w:rsidRDefault="002C6574">
      <w:pPr>
        <w:pStyle w:val="Corpodetexto"/>
        <w:spacing w:before="1"/>
        <w:rPr>
          <w:rFonts w:ascii="Calibri"/>
          <w:sz w:val="24"/>
        </w:rPr>
      </w:pPr>
    </w:p>
    <w:p w14:paraId="741366FB" w14:textId="77777777" w:rsidR="002C6574" w:rsidRDefault="00000000">
      <w:pPr>
        <w:pStyle w:val="PargrafodaLista"/>
        <w:numPr>
          <w:ilvl w:val="1"/>
          <w:numId w:val="12"/>
        </w:numPr>
        <w:tabs>
          <w:tab w:val="left" w:pos="1984"/>
        </w:tabs>
        <w:ind w:left="1843" w:right="1179" w:firstLine="0"/>
        <w:jc w:val="both"/>
        <w:rPr>
          <w:rFonts w:ascii="Symbol" w:hAnsi="Symbol"/>
          <w:sz w:val="24"/>
        </w:rPr>
      </w:pPr>
      <w:r>
        <w:rPr>
          <w:b/>
          <w:color w:val="1F3863"/>
          <w:sz w:val="24"/>
        </w:rPr>
        <w:t xml:space="preserve">Recomendação 2: Orçamento em 23/06/2025 - </w:t>
      </w:r>
      <w:r>
        <w:rPr>
          <w:color w:val="1F3863"/>
          <w:sz w:val="24"/>
        </w:rPr>
        <w:t>Recomenda que a Companhia intensifique sua atuação junto ao Órgão Competente, promovendo uma discussão mais ampla sobre os investimentos realizados com recursos da AFAC, como objetivo de diversificar as aplicações, evitando a exclusividade em redes terrestres e considerando a necessidade de investimentos em outras áreas prioritárias</w:t>
      </w:r>
    </w:p>
    <w:p w14:paraId="276294AF" w14:textId="77777777" w:rsidR="002C6574" w:rsidRDefault="002C6574">
      <w:pPr>
        <w:pStyle w:val="Corpodetexto"/>
        <w:spacing w:before="1"/>
        <w:rPr>
          <w:rFonts w:ascii="Calibri"/>
          <w:sz w:val="24"/>
        </w:rPr>
      </w:pPr>
    </w:p>
    <w:p w14:paraId="0BEECDD3" w14:textId="77777777" w:rsidR="002C6574" w:rsidRDefault="00000000">
      <w:pPr>
        <w:pStyle w:val="PargrafodaLista"/>
        <w:numPr>
          <w:ilvl w:val="1"/>
          <w:numId w:val="12"/>
        </w:numPr>
        <w:tabs>
          <w:tab w:val="left" w:pos="1984"/>
        </w:tabs>
        <w:ind w:left="1843" w:right="1178" w:firstLine="0"/>
        <w:jc w:val="both"/>
        <w:rPr>
          <w:rFonts w:ascii="Symbol" w:hAnsi="Symbol"/>
          <w:sz w:val="24"/>
        </w:rPr>
      </w:pPr>
      <w:r>
        <w:rPr>
          <w:b/>
          <w:color w:val="1F3863"/>
          <w:sz w:val="24"/>
        </w:rPr>
        <w:t xml:space="preserve">Solicitação 2: </w:t>
      </w:r>
      <w:r>
        <w:rPr>
          <w:color w:val="1F3863"/>
          <w:sz w:val="24"/>
        </w:rPr>
        <w:t xml:space="preserve">Trabalhos realizados do 2º TRI da Ouvidoria e </w:t>
      </w:r>
      <w:r>
        <w:rPr>
          <w:i/>
          <w:color w:val="1F3863"/>
          <w:sz w:val="24"/>
        </w:rPr>
        <w:t xml:space="preserve">Status </w:t>
      </w:r>
      <w:r>
        <w:rPr>
          <w:color w:val="1F3863"/>
          <w:sz w:val="24"/>
        </w:rPr>
        <w:t>da Lei Geral de Proteção de Dados (LGPD) - solicita a possibilidade de avaliar e viabilizar a liberação orçamentária, referente ao processo TLB-PRO-2023/05307, que trata da contratação de</w:t>
      </w:r>
      <w:r>
        <w:rPr>
          <w:color w:val="1F3863"/>
          <w:spacing w:val="-9"/>
          <w:sz w:val="24"/>
        </w:rPr>
        <w:t xml:space="preserve"> </w:t>
      </w:r>
      <w:r>
        <w:rPr>
          <w:color w:val="1F3863"/>
          <w:sz w:val="24"/>
        </w:rPr>
        <w:t>empresa</w:t>
      </w:r>
      <w:r>
        <w:rPr>
          <w:color w:val="1F3863"/>
          <w:spacing w:val="-10"/>
          <w:sz w:val="24"/>
        </w:rPr>
        <w:t xml:space="preserve"> </w:t>
      </w:r>
      <w:r>
        <w:rPr>
          <w:color w:val="1F3863"/>
          <w:sz w:val="24"/>
        </w:rPr>
        <w:t>especializada</w:t>
      </w:r>
      <w:r>
        <w:rPr>
          <w:color w:val="1F3863"/>
          <w:spacing w:val="-10"/>
          <w:sz w:val="24"/>
        </w:rPr>
        <w:t xml:space="preserve"> </w:t>
      </w:r>
      <w:r>
        <w:rPr>
          <w:color w:val="1F3863"/>
          <w:sz w:val="24"/>
        </w:rPr>
        <w:t>na</w:t>
      </w:r>
      <w:r>
        <w:rPr>
          <w:color w:val="1F3863"/>
          <w:spacing w:val="-10"/>
          <w:sz w:val="24"/>
        </w:rPr>
        <w:t xml:space="preserve"> </w:t>
      </w:r>
      <w:r>
        <w:rPr>
          <w:color w:val="1F3863"/>
          <w:sz w:val="24"/>
        </w:rPr>
        <w:t>prestação</w:t>
      </w:r>
      <w:r>
        <w:rPr>
          <w:color w:val="1F3863"/>
          <w:spacing w:val="-12"/>
          <w:sz w:val="24"/>
        </w:rPr>
        <w:t xml:space="preserve"> </w:t>
      </w:r>
      <w:r>
        <w:rPr>
          <w:color w:val="1F3863"/>
          <w:sz w:val="24"/>
        </w:rPr>
        <w:t>de</w:t>
      </w:r>
      <w:r>
        <w:rPr>
          <w:color w:val="1F3863"/>
          <w:spacing w:val="-9"/>
          <w:sz w:val="24"/>
        </w:rPr>
        <w:t xml:space="preserve"> </w:t>
      </w:r>
      <w:r>
        <w:rPr>
          <w:color w:val="1F3863"/>
          <w:sz w:val="24"/>
        </w:rPr>
        <w:t>serviços</w:t>
      </w:r>
      <w:r>
        <w:rPr>
          <w:color w:val="1F3863"/>
          <w:spacing w:val="-10"/>
          <w:sz w:val="24"/>
        </w:rPr>
        <w:t xml:space="preserve"> </w:t>
      </w:r>
      <w:r>
        <w:rPr>
          <w:color w:val="1F3863"/>
          <w:sz w:val="24"/>
        </w:rPr>
        <w:t>e</w:t>
      </w:r>
      <w:r>
        <w:rPr>
          <w:color w:val="1F3863"/>
          <w:spacing w:val="-9"/>
          <w:sz w:val="24"/>
        </w:rPr>
        <w:t xml:space="preserve"> </w:t>
      </w:r>
      <w:r>
        <w:rPr>
          <w:color w:val="1F3863"/>
          <w:sz w:val="24"/>
        </w:rPr>
        <w:t>soluções</w:t>
      </w:r>
      <w:r>
        <w:rPr>
          <w:color w:val="1F3863"/>
          <w:spacing w:val="-10"/>
          <w:sz w:val="24"/>
        </w:rPr>
        <w:t xml:space="preserve"> </w:t>
      </w:r>
      <w:r>
        <w:rPr>
          <w:color w:val="1F3863"/>
          <w:sz w:val="24"/>
        </w:rPr>
        <w:t>de</w:t>
      </w:r>
      <w:r>
        <w:rPr>
          <w:color w:val="1F3863"/>
          <w:spacing w:val="-9"/>
          <w:sz w:val="24"/>
        </w:rPr>
        <w:t xml:space="preserve"> </w:t>
      </w:r>
      <w:r>
        <w:rPr>
          <w:color w:val="1F3863"/>
          <w:sz w:val="24"/>
        </w:rPr>
        <w:t>privacidade</w:t>
      </w:r>
      <w:r>
        <w:rPr>
          <w:color w:val="1F3863"/>
          <w:spacing w:val="-9"/>
          <w:sz w:val="24"/>
        </w:rPr>
        <w:t xml:space="preserve"> </w:t>
      </w:r>
      <w:r>
        <w:rPr>
          <w:color w:val="1F3863"/>
          <w:sz w:val="24"/>
        </w:rPr>
        <w:t>de</w:t>
      </w:r>
      <w:r>
        <w:rPr>
          <w:color w:val="1F3863"/>
          <w:spacing w:val="-12"/>
          <w:sz w:val="24"/>
        </w:rPr>
        <w:t xml:space="preserve"> </w:t>
      </w:r>
      <w:r>
        <w:rPr>
          <w:color w:val="1F3863"/>
          <w:sz w:val="24"/>
        </w:rPr>
        <w:t>dados e segurança da informação, relatado pelo Ouvidor da Telebras, registrado no Memorando</w:t>
      </w:r>
      <w:r>
        <w:rPr>
          <w:color w:val="1F3863"/>
          <w:spacing w:val="-7"/>
          <w:sz w:val="24"/>
        </w:rPr>
        <w:t xml:space="preserve"> </w:t>
      </w:r>
      <w:r>
        <w:rPr>
          <w:color w:val="1F3863"/>
          <w:sz w:val="24"/>
        </w:rPr>
        <w:t>nº</w:t>
      </w:r>
      <w:r>
        <w:rPr>
          <w:color w:val="1F3863"/>
          <w:spacing w:val="-8"/>
          <w:sz w:val="24"/>
        </w:rPr>
        <w:t xml:space="preserve"> </w:t>
      </w:r>
      <w:r>
        <w:rPr>
          <w:color w:val="1F3863"/>
          <w:sz w:val="24"/>
        </w:rPr>
        <w:t>TLB</w:t>
      </w:r>
      <w:r>
        <w:rPr>
          <w:color w:val="1F3863"/>
          <w:spacing w:val="-6"/>
          <w:sz w:val="24"/>
        </w:rPr>
        <w:t xml:space="preserve"> </w:t>
      </w:r>
      <w:r>
        <w:rPr>
          <w:color w:val="1F3863"/>
          <w:sz w:val="24"/>
        </w:rPr>
        <w:t>–MEM</w:t>
      </w:r>
      <w:r>
        <w:rPr>
          <w:color w:val="1F3863"/>
          <w:spacing w:val="-6"/>
          <w:sz w:val="24"/>
        </w:rPr>
        <w:t xml:space="preserve"> </w:t>
      </w:r>
      <w:r>
        <w:rPr>
          <w:color w:val="1F3863"/>
          <w:sz w:val="24"/>
        </w:rPr>
        <w:t>-</w:t>
      </w:r>
      <w:r>
        <w:rPr>
          <w:color w:val="1F3863"/>
          <w:spacing w:val="-6"/>
          <w:sz w:val="24"/>
        </w:rPr>
        <w:t xml:space="preserve"> </w:t>
      </w:r>
      <w:r>
        <w:rPr>
          <w:color w:val="1F3863"/>
          <w:sz w:val="24"/>
        </w:rPr>
        <w:t>2025/01267,na</w:t>
      </w:r>
      <w:r>
        <w:rPr>
          <w:color w:val="1F3863"/>
          <w:spacing w:val="-7"/>
          <w:sz w:val="24"/>
        </w:rPr>
        <w:t xml:space="preserve"> </w:t>
      </w:r>
      <w:r>
        <w:rPr>
          <w:color w:val="1F3863"/>
          <w:sz w:val="24"/>
        </w:rPr>
        <w:t>qualidade</w:t>
      </w:r>
      <w:r>
        <w:rPr>
          <w:color w:val="1F3863"/>
          <w:spacing w:val="-9"/>
          <w:sz w:val="24"/>
        </w:rPr>
        <w:t xml:space="preserve"> </w:t>
      </w:r>
      <w:r>
        <w:rPr>
          <w:color w:val="1F3863"/>
          <w:sz w:val="24"/>
        </w:rPr>
        <w:t>de</w:t>
      </w:r>
      <w:r>
        <w:rPr>
          <w:color w:val="1F3863"/>
          <w:spacing w:val="-7"/>
          <w:sz w:val="24"/>
        </w:rPr>
        <w:t xml:space="preserve"> </w:t>
      </w:r>
      <w:r>
        <w:rPr>
          <w:color w:val="1F3863"/>
          <w:sz w:val="24"/>
        </w:rPr>
        <w:t>Encarregado</w:t>
      </w:r>
      <w:r>
        <w:rPr>
          <w:color w:val="1F3863"/>
          <w:spacing w:val="-7"/>
          <w:sz w:val="24"/>
        </w:rPr>
        <w:t xml:space="preserve"> </w:t>
      </w:r>
      <w:r>
        <w:rPr>
          <w:color w:val="1F3863"/>
          <w:sz w:val="24"/>
        </w:rPr>
        <w:t>de</w:t>
      </w:r>
      <w:r>
        <w:rPr>
          <w:color w:val="1F3863"/>
          <w:spacing w:val="-9"/>
          <w:sz w:val="24"/>
        </w:rPr>
        <w:t xml:space="preserve"> </w:t>
      </w:r>
      <w:r>
        <w:rPr>
          <w:color w:val="1F3863"/>
          <w:sz w:val="24"/>
        </w:rPr>
        <w:t>Proteção</w:t>
      </w:r>
      <w:r>
        <w:rPr>
          <w:color w:val="1F3863"/>
          <w:spacing w:val="-7"/>
          <w:sz w:val="24"/>
        </w:rPr>
        <w:t xml:space="preserve"> </w:t>
      </w:r>
      <w:r>
        <w:rPr>
          <w:color w:val="1F3863"/>
          <w:sz w:val="24"/>
        </w:rPr>
        <w:t>de Dados, a continuidade deste processo é essencial para garantir a adequação da Telebras à Lei Geral de Proteção de Dados (LGPD), atendendo às exigências legais e fortalecendo</w:t>
      </w:r>
      <w:r>
        <w:rPr>
          <w:color w:val="1F3863"/>
          <w:spacing w:val="-12"/>
          <w:sz w:val="24"/>
        </w:rPr>
        <w:t xml:space="preserve"> </w:t>
      </w:r>
      <w:r>
        <w:rPr>
          <w:color w:val="1F3863"/>
          <w:sz w:val="24"/>
        </w:rPr>
        <w:t>a</w:t>
      </w:r>
      <w:r>
        <w:rPr>
          <w:color w:val="1F3863"/>
          <w:spacing w:val="-10"/>
          <w:sz w:val="24"/>
        </w:rPr>
        <w:t xml:space="preserve"> </w:t>
      </w:r>
      <w:r>
        <w:rPr>
          <w:color w:val="1F3863"/>
          <w:sz w:val="24"/>
        </w:rPr>
        <w:t>governança</w:t>
      </w:r>
      <w:r>
        <w:rPr>
          <w:color w:val="1F3863"/>
          <w:spacing w:val="-10"/>
          <w:sz w:val="24"/>
        </w:rPr>
        <w:t xml:space="preserve"> </w:t>
      </w:r>
      <w:r>
        <w:rPr>
          <w:color w:val="1F3863"/>
          <w:sz w:val="24"/>
        </w:rPr>
        <w:t>da</w:t>
      </w:r>
      <w:r>
        <w:rPr>
          <w:color w:val="1F3863"/>
          <w:spacing w:val="-12"/>
          <w:sz w:val="24"/>
        </w:rPr>
        <w:t xml:space="preserve"> </w:t>
      </w:r>
      <w:r>
        <w:rPr>
          <w:color w:val="1F3863"/>
          <w:sz w:val="24"/>
        </w:rPr>
        <w:t>informação</w:t>
      </w:r>
      <w:r>
        <w:rPr>
          <w:color w:val="1F3863"/>
          <w:spacing w:val="-12"/>
          <w:sz w:val="24"/>
        </w:rPr>
        <w:t xml:space="preserve"> </w:t>
      </w:r>
      <w:r>
        <w:rPr>
          <w:color w:val="1F3863"/>
          <w:sz w:val="24"/>
        </w:rPr>
        <w:t>na</w:t>
      </w:r>
      <w:r>
        <w:rPr>
          <w:color w:val="1F3863"/>
          <w:spacing w:val="-12"/>
          <w:sz w:val="24"/>
        </w:rPr>
        <w:t xml:space="preserve"> </w:t>
      </w:r>
      <w:r>
        <w:rPr>
          <w:color w:val="1F3863"/>
          <w:sz w:val="24"/>
        </w:rPr>
        <w:t>empresa.</w:t>
      </w:r>
      <w:r>
        <w:rPr>
          <w:color w:val="1F3863"/>
          <w:spacing w:val="-10"/>
          <w:sz w:val="24"/>
        </w:rPr>
        <w:t xml:space="preserve"> </w:t>
      </w:r>
      <w:r>
        <w:rPr>
          <w:color w:val="1F3863"/>
          <w:sz w:val="24"/>
        </w:rPr>
        <w:t>Diante</w:t>
      </w:r>
      <w:r>
        <w:rPr>
          <w:color w:val="1F3863"/>
          <w:spacing w:val="-14"/>
          <w:sz w:val="24"/>
        </w:rPr>
        <w:t xml:space="preserve"> </w:t>
      </w:r>
      <w:r>
        <w:rPr>
          <w:color w:val="1F3863"/>
          <w:sz w:val="24"/>
        </w:rPr>
        <w:t>da</w:t>
      </w:r>
      <w:r>
        <w:rPr>
          <w:color w:val="1F3863"/>
          <w:spacing w:val="-10"/>
          <w:sz w:val="24"/>
        </w:rPr>
        <w:t xml:space="preserve"> </w:t>
      </w:r>
      <w:r>
        <w:rPr>
          <w:color w:val="1F3863"/>
          <w:sz w:val="24"/>
        </w:rPr>
        <w:t>relevância</w:t>
      </w:r>
      <w:r>
        <w:rPr>
          <w:color w:val="1F3863"/>
          <w:spacing w:val="-10"/>
          <w:sz w:val="24"/>
        </w:rPr>
        <w:t xml:space="preserve"> </w:t>
      </w:r>
      <w:r>
        <w:rPr>
          <w:color w:val="1F3863"/>
          <w:sz w:val="24"/>
        </w:rPr>
        <w:t>e</w:t>
      </w:r>
      <w:r>
        <w:rPr>
          <w:color w:val="1F3863"/>
          <w:spacing w:val="-12"/>
          <w:sz w:val="24"/>
        </w:rPr>
        <w:t xml:space="preserve"> </w:t>
      </w:r>
      <w:r>
        <w:rPr>
          <w:color w:val="1F3863"/>
          <w:sz w:val="24"/>
        </w:rPr>
        <w:t>urgência do</w:t>
      </w:r>
      <w:r>
        <w:rPr>
          <w:color w:val="1F3863"/>
          <w:spacing w:val="-1"/>
          <w:sz w:val="24"/>
        </w:rPr>
        <w:t xml:space="preserve"> </w:t>
      </w:r>
      <w:r>
        <w:rPr>
          <w:color w:val="1F3863"/>
          <w:sz w:val="24"/>
        </w:rPr>
        <w:t>tema,</w:t>
      </w:r>
      <w:r>
        <w:rPr>
          <w:color w:val="1F3863"/>
          <w:spacing w:val="-2"/>
          <w:sz w:val="24"/>
        </w:rPr>
        <w:t xml:space="preserve"> </w:t>
      </w:r>
      <w:r>
        <w:rPr>
          <w:color w:val="1F3863"/>
          <w:sz w:val="24"/>
        </w:rPr>
        <w:t>este COAUD</w:t>
      </w:r>
      <w:r>
        <w:rPr>
          <w:color w:val="1F3863"/>
          <w:spacing w:val="-1"/>
          <w:sz w:val="24"/>
        </w:rPr>
        <w:t xml:space="preserve"> </w:t>
      </w:r>
      <w:r>
        <w:rPr>
          <w:color w:val="1F3863"/>
          <w:sz w:val="24"/>
        </w:rPr>
        <w:t>solicita especial atenção a</w:t>
      </w:r>
      <w:r>
        <w:rPr>
          <w:color w:val="1F3863"/>
          <w:spacing w:val="-4"/>
          <w:sz w:val="24"/>
        </w:rPr>
        <w:t xml:space="preserve"> </w:t>
      </w:r>
      <w:r>
        <w:rPr>
          <w:color w:val="1F3863"/>
          <w:sz w:val="24"/>
        </w:rPr>
        <w:t>esta demanda,</w:t>
      </w:r>
      <w:r>
        <w:rPr>
          <w:color w:val="1F3863"/>
          <w:spacing w:val="-1"/>
          <w:sz w:val="24"/>
        </w:rPr>
        <w:t xml:space="preserve"> </w:t>
      </w:r>
      <w:r>
        <w:rPr>
          <w:color w:val="1F3863"/>
          <w:sz w:val="24"/>
        </w:rPr>
        <w:t>de modo</w:t>
      </w:r>
      <w:r>
        <w:rPr>
          <w:color w:val="1F3863"/>
          <w:spacing w:val="-4"/>
          <w:sz w:val="24"/>
        </w:rPr>
        <w:t xml:space="preserve"> </w:t>
      </w:r>
      <w:r>
        <w:rPr>
          <w:color w:val="1F3863"/>
          <w:sz w:val="24"/>
        </w:rPr>
        <w:t>a permitir</w:t>
      </w:r>
      <w:r>
        <w:rPr>
          <w:color w:val="1F3863"/>
          <w:spacing w:val="-1"/>
          <w:sz w:val="24"/>
        </w:rPr>
        <w:t xml:space="preserve"> </w:t>
      </w:r>
      <w:r>
        <w:rPr>
          <w:color w:val="1F3863"/>
          <w:sz w:val="24"/>
        </w:rPr>
        <w:t>o prosseguimento das ações previstas.</w:t>
      </w:r>
    </w:p>
    <w:p w14:paraId="635ADFBB" w14:textId="77777777" w:rsidR="002C6574" w:rsidRDefault="002C6574">
      <w:pPr>
        <w:pStyle w:val="Corpodetexto"/>
        <w:spacing w:before="24"/>
        <w:rPr>
          <w:rFonts w:ascii="Calibri"/>
          <w:sz w:val="24"/>
        </w:rPr>
      </w:pPr>
    </w:p>
    <w:p w14:paraId="3045FF19" w14:textId="77777777" w:rsidR="002C6574" w:rsidRDefault="00000000">
      <w:pPr>
        <w:pStyle w:val="PargrafodaLista"/>
        <w:numPr>
          <w:ilvl w:val="1"/>
          <w:numId w:val="12"/>
        </w:numPr>
        <w:tabs>
          <w:tab w:val="left" w:pos="1984"/>
        </w:tabs>
        <w:spacing w:line="306" w:lineRule="exact"/>
        <w:ind w:left="1984" w:hanging="141"/>
        <w:jc w:val="both"/>
        <w:rPr>
          <w:rFonts w:ascii="Symbol" w:hAnsi="Symbol"/>
          <w:sz w:val="24"/>
        </w:rPr>
      </w:pPr>
      <w:r>
        <w:rPr>
          <w:b/>
          <w:color w:val="001F5F"/>
          <w:sz w:val="24"/>
        </w:rPr>
        <w:t>Disponível</w:t>
      </w:r>
      <w:r>
        <w:rPr>
          <w:b/>
          <w:color w:val="001F5F"/>
          <w:spacing w:val="-11"/>
          <w:sz w:val="24"/>
        </w:rPr>
        <w:t xml:space="preserve"> </w:t>
      </w:r>
      <w:r>
        <w:rPr>
          <w:b/>
          <w:color w:val="001F5F"/>
          <w:sz w:val="24"/>
        </w:rPr>
        <w:t>em:</w:t>
      </w:r>
      <w:r>
        <w:rPr>
          <w:b/>
          <w:color w:val="001F5F"/>
          <w:spacing w:val="-9"/>
          <w:sz w:val="24"/>
        </w:rPr>
        <w:t xml:space="preserve"> </w:t>
      </w:r>
      <w:hyperlink r:id="rId177">
        <w:r>
          <w:rPr>
            <w:color w:val="0000FF"/>
            <w:sz w:val="24"/>
            <w:u w:val="single" w:color="0000FF"/>
          </w:rPr>
          <w:t>https://www.telebras.com.br/wp-</w:t>
        </w:r>
        <w:r>
          <w:rPr>
            <w:color w:val="0000FF"/>
            <w:spacing w:val="-2"/>
            <w:sz w:val="24"/>
            <w:u w:val="single" w:color="0000FF"/>
          </w:rPr>
          <w:t>content/uploads/2025/09/ATA-</w:t>
        </w:r>
      </w:hyperlink>
    </w:p>
    <w:p w14:paraId="085826B8" w14:textId="77777777" w:rsidR="002C6574" w:rsidRDefault="00000000">
      <w:pPr>
        <w:pStyle w:val="Corpodetexto"/>
        <w:ind w:left="1843"/>
        <w:rPr>
          <w:rFonts w:ascii="Calibri"/>
        </w:rPr>
      </w:pPr>
      <w:r>
        <w:rPr>
          <w:rFonts w:ascii="Calibri"/>
          <w:color w:val="0000FF"/>
          <w:spacing w:val="-2"/>
          <w:u w:val="single" w:color="0000FF"/>
        </w:rPr>
        <w:t>394a-COAUD-14.03.2025-v1.pdf</w:t>
      </w:r>
    </w:p>
    <w:p w14:paraId="38D22302" w14:textId="77777777" w:rsidR="002C6574" w:rsidRDefault="002C6574">
      <w:pPr>
        <w:pStyle w:val="Corpodetexto"/>
        <w:rPr>
          <w:rFonts w:ascii="Calibri"/>
          <w:sz w:val="24"/>
        </w:rPr>
      </w:pPr>
    </w:p>
    <w:p w14:paraId="7095C61C" w14:textId="77777777" w:rsidR="002C6574" w:rsidRDefault="00000000">
      <w:pPr>
        <w:pStyle w:val="Ttulo8"/>
        <w:numPr>
          <w:ilvl w:val="0"/>
          <w:numId w:val="12"/>
        </w:numPr>
        <w:tabs>
          <w:tab w:val="left" w:pos="1274"/>
        </w:tabs>
        <w:ind w:left="1274" w:hanging="257"/>
        <w:jc w:val="left"/>
      </w:pPr>
      <w:r>
        <w:rPr>
          <w:color w:val="001F5F"/>
        </w:rPr>
        <w:t>ROCOAUD</w:t>
      </w:r>
      <w:r>
        <w:rPr>
          <w:color w:val="001F5F"/>
          <w:spacing w:val="-4"/>
        </w:rPr>
        <w:t xml:space="preserve"> </w:t>
      </w:r>
      <w:r>
        <w:rPr>
          <w:color w:val="001F5F"/>
        </w:rPr>
        <w:t>nº</w:t>
      </w:r>
      <w:r>
        <w:rPr>
          <w:color w:val="001F5F"/>
          <w:spacing w:val="1"/>
        </w:rPr>
        <w:t xml:space="preserve"> </w:t>
      </w:r>
      <w:r>
        <w:rPr>
          <w:color w:val="001F5F"/>
        </w:rPr>
        <w:t>395ª,</w:t>
      </w:r>
      <w:r>
        <w:rPr>
          <w:color w:val="001F5F"/>
          <w:spacing w:val="-1"/>
        </w:rPr>
        <w:t xml:space="preserve"> </w:t>
      </w:r>
      <w:r>
        <w:rPr>
          <w:color w:val="001F5F"/>
        </w:rPr>
        <w:t>de</w:t>
      </w:r>
      <w:r>
        <w:rPr>
          <w:color w:val="001F5F"/>
          <w:spacing w:val="-4"/>
        </w:rPr>
        <w:t xml:space="preserve"> </w:t>
      </w:r>
      <w:r>
        <w:rPr>
          <w:color w:val="001F5F"/>
          <w:spacing w:val="-2"/>
        </w:rPr>
        <w:t>16/07/2025.</w:t>
      </w:r>
    </w:p>
    <w:p w14:paraId="3CDE1DD4" w14:textId="77777777" w:rsidR="002C6574" w:rsidRDefault="00000000">
      <w:pPr>
        <w:pStyle w:val="PargrafodaLista"/>
        <w:numPr>
          <w:ilvl w:val="1"/>
          <w:numId w:val="12"/>
        </w:numPr>
        <w:tabs>
          <w:tab w:val="left" w:pos="1984"/>
        </w:tabs>
        <w:spacing w:before="292"/>
        <w:ind w:left="1704" w:right="1175" w:firstLine="0"/>
        <w:jc w:val="both"/>
        <w:rPr>
          <w:rFonts w:ascii="Symbol" w:hAnsi="Symbol"/>
          <w:color w:val="1F3863"/>
          <w:sz w:val="24"/>
        </w:rPr>
      </w:pPr>
      <w:r>
        <w:rPr>
          <w:b/>
          <w:color w:val="1F3863"/>
          <w:sz w:val="24"/>
        </w:rPr>
        <w:t xml:space="preserve">Solicitação 1: </w:t>
      </w:r>
      <w:r>
        <w:rPr>
          <w:color w:val="1F3863"/>
          <w:sz w:val="24"/>
        </w:rPr>
        <w:t>Relatório Circunstanciado – 1º Trimestre de 2025 – apresentação detalhada sobre os créditos tributários a recuperar, incluindo a composição por natureza dos tributos, a ser apresentada após o encerramento do segundo trimestre, com dados atualizados e que verifique a viabilidade de negociação dos créditos tributários</w:t>
      </w:r>
      <w:r>
        <w:rPr>
          <w:b/>
          <w:color w:val="1F3863"/>
          <w:sz w:val="24"/>
        </w:rPr>
        <w:t xml:space="preserve">, </w:t>
      </w:r>
      <w:r>
        <w:rPr>
          <w:color w:val="1F3863"/>
          <w:sz w:val="24"/>
        </w:rPr>
        <w:t>por meio de venda com deságio, utilizando processo licitatório como alternativa para recuperação de valores acumulados.</w:t>
      </w:r>
    </w:p>
    <w:p w14:paraId="302B1905" w14:textId="77777777" w:rsidR="002C6574" w:rsidRDefault="002C6574">
      <w:pPr>
        <w:pStyle w:val="Corpodetexto"/>
        <w:spacing w:before="1"/>
        <w:rPr>
          <w:rFonts w:ascii="Calibri"/>
          <w:sz w:val="24"/>
        </w:rPr>
      </w:pPr>
    </w:p>
    <w:p w14:paraId="006BA7D7" w14:textId="77777777" w:rsidR="002C6574" w:rsidRDefault="00000000">
      <w:pPr>
        <w:pStyle w:val="PargrafodaLista"/>
        <w:numPr>
          <w:ilvl w:val="1"/>
          <w:numId w:val="12"/>
        </w:numPr>
        <w:tabs>
          <w:tab w:val="left" w:pos="1996"/>
        </w:tabs>
        <w:spacing w:line="306" w:lineRule="exact"/>
        <w:ind w:left="1996" w:hanging="359"/>
        <w:jc w:val="both"/>
        <w:rPr>
          <w:rFonts w:ascii="Symbol" w:hAnsi="Symbol"/>
          <w:color w:val="001F5F"/>
          <w:sz w:val="24"/>
        </w:rPr>
      </w:pPr>
      <w:r>
        <w:rPr>
          <w:b/>
          <w:color w:val="001F5F"/>
          <w:sz w:val="24"/>
        </w:rPr>
        <w:t>Disponível</w:t>
      </w:r>
      <w:r>
        <w:rPr>
          <w:b/>
          <w:color w:val="001F5F"/>
          <w:spacing w:val="-12"/>
          <w:sz w:val="24"/>
        </w:rPr>
        <w:t xml:space="preserve"> </w:t>
      </w:r>
      <w:r>
        <w:rPr>
          <w:b/>
          <w:color w:val="001F5F"/>
          <w:sz w:val="24"/>
        </w:rPr>
        <w:t>em</w:t>
      </w:r>
      <w:r>
        <w:rPr>
          <w:color w:val="001F5F"/>
          <w:sz w:val="24"/>
        </w:rPr>
        <w:t>:</w:t>
      </w:r>
      <w:r>
        <w:rPr>
          <w:color w:val="001F5F"/>
          <w:spacing w:val="-10"/>
          <w:sz w:val="24"/>
        </w:rPr>
        <w:t xml:space="preserve"> </w:t>
      </w:r>
      <w:hyperlink r:id="rId178">
        <w:r>
          <w:rPr>
            <w:color w:val="0000FF"/>
            <w:sz w:val="24"/>
            <w:u w:val="single" w:color="0000FF"/>
          </w:rPr>
          <w:t>https://www.telebras.com.br/wp-</w:t>
        </w:r>
        <w:r>
          <w:rPr>
            <w:color w:val="0000FF"/>
            <w:spacing w:val="-2"/>
            <w:sz w:val="24"/>
            <w:u w:val="single" w:color="0000FF"/>
          </w:rPr>
          <w:t>content/uploads/2025/09/ATA-</w:t>
        </w:r>
      </w:hyperlink>
    </w:p>
    <w:p w14:paraId="3D12A079" w14:textId="77777777" w:rsidR="002C6574" w:rsidRDefault="00000000">
      <w:pPr>
        <w:pStyle w:val="Corpodetexto"/>
        <w:ind w:left="1997"/>
        <w:rPr>
          <w:rFonts w:ascii="Calibri"/>
        </w:rPr>
      </w:pPr>
      <w:r>
        <w:rPr>
          <w:rFonts w:ascii="Calibri"/>
          <w:color w:val="0000FF"/>
          <w:spacing w:val="-2"/>
          <w:u w:val="single" w:color="0000FF"/>
        </w:rPr>
        <w:t>395a-COAUD-16.07.2025.pdf</w:t>
      </w:r>
    </w:p>
    <w:p w14:paraId="0EA312BC" w14:textId="77777777" w:rsidR="002C6574" w:rsidRDefault="002C6574">
      <w:pPr>
        <w:pStyle w:val="Corpodetexto"/>
        <w:rPr>
          <w:rFonts w:ascii="Calibri"/>
        </w:rPr>
        <w:sectPr w:rsidR="002C6574">
          <w:pgSz w:w="12240" w:h="15840"/>
          <w:pgMar w:top="900" w:right="425" w:bottom="1220" w:left="425" w:header="674" w:footer="1036" w:gutter="0"/>
          <w:cols w:space="720"/>
        </w:sectPr>
      </w:pPr>
    </w:p>
    <w:p w14:paraId="21126DE5" w14:textId="77777777" w:rsidR="002C6574" w:rsidRDefault="002C6574">
      <w:pPr>
        <w:pStyle w:val="Corpodetexto"/>
        <w:spacing w:before="280"/>
        <w:rPr>
          <w:rFonts w:ascii="Calibri"/>
          <w:sz w:val="24"/>
        </w:rPr>
      </w:pPr>
    </w:p>
    <w:p w14:paraId="5B0EBB7D" w14:textId="77777777" w:rsidR="002C6574" w:rsidRDefault="00000000">
      <w:pPr>
        <w:pStyle w:val="Ttulo8"/>
        <w:numPr>
          <w:ilvl w:val="0"/>
          <w:numId w:val="12"/>
        </w:numPr>
        <w:tabs>
          <w:tab w:val="left" w:pos="1275"/>
        </w:tabs>
        <w:ind w:left="1275" w:hanging="195"/>
        <w:jc w:val="left"/>
      </w:pPr>
      <w:r>
        <w:rPr>
          <w:color w:val="001F5F"/>
        </w:rPr>
        <w:t>ROCOAUD</w:t>
      </w:r>
      <w:r>
        <w:rPr>
          <w:color w:val="001F5F"/>
          <w:spacing w:val="-4"/>
        </w:rPr>
        <w:t xml:space="preserve"> </w:t>
      </w:r>
      <w:r>
        <w:rPr>
          <w:color w:val="001F5F"/>
        </w:rPr>
        <w:t>nº</w:t>
      </w:r>
      <w:r>
        <w:rPr>
          <w:color w:val="001F5F"/>
          <w:spacing w:val="1"/>
        </w:rPr>
        <w:t xml:space="preserve"> </w:t>
      </w:r>
      <w:r>
        <w:rPr>
          <w:color w:val="001F5F"/>
        </w:rPr>
        <w:t>396ª,</w:t>
      </w:r>
      <w:r>
        <w:rPr>
          <w:color w:val="001F5F"/>
          <w:spacing w:val="-1"/>
        </w:rPr>
        <w:t xml:space="preserve"> </w:t>
      </w:r>
      <w:r>
        <w:rPr>
          <w:color w:val="001F5F"/>
        </w:rPr>
        <w:t>de</w:t>
      </w:r>
      <w:r>
        <w:rPr>
          <w:color w:val="001F5F"/>
          <w:spacing w:val="-4"/>
        </w:rPr>
        <w:t xml:space="preserve"> </w:t>
      </w:r>
      <w:r>
        <w:rPr>
          <w:color w:val="001F5F"/>
          <w:spacing w:val="-2"/>
        </w:rPr>
        <w:t>23/07/2025.</w:t>
      </w:r>
    </w:p>
    <w:p w14:paraId="5F3B8752" w14:textId="77777777" w:rsidR="002C6574" w:rsidRDefault="00000000">
      <w:pPr>
        <w:pStyle w:val="PargrafodaLista"/>
        <w:numPr>
          <w:ilvl w:val="1"/>
          <w:numId w:val="12"/>
        </w:numPr>
        <w:tabs>
          <w:tab w:val="left" w:pos="2280"/>
        </w:tabs>
        <w:spacing w:before="292"/>
        <w:ind w:left="2280" w:right="1177"/>
        <w:jc w:val="both"/>
        <w:rPr>
          <w:rFonts w:ascii="Symbol" w:hAnsi="Symbol"/>
          <w:sz w:val="24"/>
        </w:rPr>
      </w:pPr>
      <w:r>
        <w:rPr>
          <w:b/>
          <w:color w:val="1F3863"/>
          <w:sz w:val="24"/>
        </w:rPr>
        <w:t xml:space="preserve">Solicitação 1: </w:t>
      </w:r>
      <w:r>
        <w:rPr>
          <w:color w:val="1F3863"/>
          <w:sz w:val="24"/>
        </w:rPr>
        <w:t>Relatório Gerencial Mensal da Auditoria Interna</w:t>
      </w:r>
      <w:r>
        <w:rPr>
          <w:color w:val="1F3863"/>
          <w:spacing w:val="-1"/>
          <w:sz w:val="24"/>
        </w:rPr>
        <w:t xml:space="preserve"> </w:t>
      </w:r>
      <w:r>
        <w:rPr>
          <w:color w:val="1F3863"/>
          <w:sz w:val="24"/>
        </w:rPr>
        <w:t>base junho/2025 - Relatório de Auditoria Interna nº #1760675 – Auditoria nos Processos de Prospecção Comercial e Gestão de Vendas, este COAUD solicita que a Diretoria Comercial apresente um</w:t>
      </w:r>
      <w:r>
        <w:rPr>
          <w:color w:val="1F3863"/>
          <w:spacing w:val="-2"/>
          <w:sz w:val="24"/>
        </w:rPr>
        <w:t xml:space="preserve"> </w:t>
      </w:r>
      <w:r>
        <w:rPr>
          <w:color w:val="1F3863"/>
          <w:sz w:val="24"/>
        </w:rPr>
        <w:t>plano de ação com os pontos de atenção registrados no Relatório de Auditoria Interna em questão.</w:t>
      </w:r>
    </w:p>
    <w:p w14:paraId="09C337A0" w14:textId="77777777" w:rsidR="002C6574" w:rsidRDefault="002C6574">
      <w:pPr>
        <w:pStyle w:val="Corpodetexto"/>
        <w:rPr>
          <w:rFonts w:ascii="Calibri"/>
          <w:sz w:val="24"/>
        </w:rPr>
      </w:pPr>
    </w:p>
    <w:p w14:paraId="213998A5" w14:textId="77777777" w:rsidR="002C6574" w:rsidRDefault="00000000">
      <w:pPr>
        <w:pStyle w:val="PargrafodaLista"/>
        <w:numPr>
          <w:ilvl w:val="1"/>
          <w:numId w:val="12"/>
        </w:numPr>
        <w:tabs>
          <w:tab w:val="left" w:pos="2280"/>
        </w:tabs>
        <w:spacing w:before="1"/>
        <w:ind w:left="2280" w:right="1177"/>
        <w:jc w:val="both"/>
        <w:rPr>
          <w:rFonts w:ascii="Symbol" w:hAnsi="Symbol"/>
          <w:sz w:val="24"/>
        </w:rPr>
      </w:pPr>
      <w:r>
        <w:rPr>
          <w:b/>
          <w:color w:val="1F3863"/>
          <w:sz w:val="24"/>
        </w:rPr>
        <w:t>Solicitação</w:t>
      </w:r>
      <w:r>
        <w:rPr>
          <w:b/>
          <w:color w:val="1F3863"/>
          <w:spacing w:val="-3"/>
          <w:sz w:val="24"/>
        </w:rPr>
        <w:t xml:space="preserve"> </w:t>
      </w:r>
      <w:r>
        <w:rPr>
          <w:b/>
          <w:color w:val="1F3863"/>
          <w:sz w:val="24"/>
        </w:rPr>
        <w:t>2:</w:t>
      </w:r>
      <w:r>
        <w:rPr>
          <w:b/>
          <w:color w:val="1F3863"/>
          <w:spacing w:val="-2"/>
          <w:sz w:val="24"/>
        </w:rPr>
        <w:t xml:space="preserve"> </w:t>
      </w:r>
      <w:r>
        <w:rPr>
          <w:b/>
          <w:color w:val="1F3863"/>
          <w:sz w:val="24"/>
        </w:rPr>
        <w:t>Relatório</w:t>
      </w:r>
      <w:r>
        <w:rPr>
          <w:b/>
          <w:color w:val="1F3863"/>
          <w:spacing w:val="-5"/>
          <w:sz w:val="24"/>
        </w:rPr>
        <w:t xml:space="preserve"> </w:t>
      </w:r>
      <w:r>
        <w:rPr>
          <w:b/>
          <w:color w:val="1F3863"/>
          <w:sz w:val="24"/>
        </w:rPr>
        <w:t>de</w:t>
      </w:r>
      <w:r>
        <w:rPr>
          <w:b/>
          <w:color w:val="1F3863"/>
          <w:spacing w:val="-5"/>
          <w:sz w:val="24"/>
        </w:rPr>
        <w:t xml:space="preserve"> </w:t>
      </w:r>
      <w:r>
        <w:rPr>
          <w:b/>
          <w:color w:val="1F3863"/>
          <w:sz w:val="24"/>
        </w:rPr>
        <w:t>Acompanhamento</w:t>
      </w:r>
      <w:r>
        <w:rPr>
          <w:b/>
          <w:color w:val="1F3863"/>
          <w:spacing w:val="-3"/>
          <w:sz w:val="24"/>
        </w:rPr>
        <w:t xml:space="preserve"> </w:t>
      </w:r>
      <w:r>
        <w:rPr>
          <w:b/>
          <w:color w:val="1F3863"/>
          <w:sz w:val="24"/>
        </w:rPr>
        <w:t>de</w:t>
      </w:r>
      <w:r>
        <w:rPr>
          <w:b/>
          <w:color w:val="1F3863"/>
          <w:spacing w:val="-5"/>
          <w:sz w:val="24"/>
        </w:rPr>
        <w:t xml:space="preserve"> </w:t>
      </w:r>
      <w:r>
        <w:rPr>
          <w:b/>
          <w:color w:val="1F3863"/>
          <w:sz w:val="24"/>
        </w:rPr>
        <w:t>Gestão</w:t>
      </w:r>
      <w:r>
        <w:rPr>
          <w:b/>
          <w:color w:val="1F3863"/>
          <w:spacing w:val="-3"/>
          <w:sz w:val="24"/>
        </w:rPr>
        <w:t xml:space="preserve"> </w:t>
      </w:r>
      <w:r>
        <w:rPr>
          <w:b/>
          <w:color w:val="1F3863"/>
          <w:sz w:val="24"/>
        </w:rPr>
        <w:t>(RAG)</w:t>
      </w:r>
      <w:r>
        <w:rPr>
          <w:b/>
          <w:color w:val="1F3863"/>
          <w:spacing w:val="-4"/>
          <w:sz w:val="24"/>
        </w:rPr>
        <w:t xml:space="preserve"> </w:t>
      </w:r>
      <w:r>
        <w:rPr>
          <w:b/>
          <w:color w:val="1F3863"/>
          <w:sz w:val="24"/>
        </w:rPr>
        <w:t>Ref.</w:t>
      </w:r>
      <w:r>
        <w:rPr>
          <w:b/>
          <w:color w:val="1F3863"/>
          <w:spacing w:val="-3"/>
          <w:sz w:val="24"/>
        </w:rPr>
        <w:t xml:space="preserve"> </w:t>
      </w:r>
      <w:r>
        <w:rPr>
          <w:b/>
          <w:color w:val="1F3863"/>
          <w:sz w:val="24"/>
        </w:rPr>
        <w:t xml:space="preserve">julho/2024 - </w:t>
      </w:r>
      <w:r>
        <w:rPr>
          <w:color w:val="1F3863"/>
          <w:sz w:val="24"/>
        </w:rPr>
        <w:t>Solicitou que a Gerência de Compras e Contratos (GCC) realize uma explanação sobre</w:t>
      </w:r>
      <w:r>
        <w:rPr>
          <w:color w:val="1F3863"/>
          <w:spacing w:val="-14"/>
          <w:sz w:val="24"/>
        </w:rPr>
        <w:t xml:space="preserve"> </w:t>
      </w:r>
      <w:r>
        <w:rPr>
          <w:color w:val="1F3863"/>
          <w:sz w:val="24"/>
        </w:rPr>
        <w:t>as</w:t>
      </w:r>
      <w:r>
        <w:rPr>
          <w:color w:val="1F3863"/>
          <w:spacing w:val="-14"/>
          <w:sz w:val="24"/>
        </w:rPr>
        <w:t xml:space="preserve"> </w:t>
      </w:r>
      <w:r>
        <w:rPr>
          <w:color w:val="1F3863"/>
          <w:sz w:val="24"/>
        </w:rPr>
        <w:t>modalidades</w:t>
      </w:r>
      <w:r>
        <w:rPr>
          <w:color w:val="1F3863"/>
          <w:spacing w:val="-13"/>
          <w:sz w:val="24"/>
        </w:rPr>
        <w:t xml:space="preserve"> </w:t>
      </w:r>
      <w:r>
        <w:rPr>
          <w:color w:val="1F3863"/>
          <w:sz w:val="24"/>
        </w:rPr>
        <w:t>de</w:t>
      </w:r>
      <w:r>
        <w:rPr>
          <w:color w:val="1F3863"/>
          <w:spacing w:val="-14"/>
          <w:sz w:val="24"/>
        </w:rPr>
        <w:t xml:space="preserve"> </w:t>
      </w:r>
      <w:r>
        <w:rPr>
          <w:color w:val="1F3863"/>
          <w:sz w:val="24"/>
        </w:rPr>
        <w:t>licitação</w:t>
      </w:r>
      <w:r>
        <w:rPr>
          <w:color w:val="1F3863"/>
          <w:spacing w:val="-13"/>
          <w:sz w:val="24"/>
        </w:rPr>
        <w:t xml:space="preserve"> </w:t>
      </w:r>
      <w:r>
        <w:rPr>
          <w:color w:val="1F3863"/>
          <w:sz w:val="24"/>
        </w:rPr>
        <w:t>mencionadas</w:t>
      </w:r>
      <w:r>
        <w:rPr>
          <w:color w:val="1F3863"/>
          <w:spacing w:val="-14"/>
          <w:sz w:val="24"/>
        </w:rPr>
        <w:t xml:space="preserve"> </w:t>
      </w:r>
      <w:r>
        <w:rPr>
          <w:color w:val="1F3863"/>
          <w:sz w:val="24"/>
        </w:rPr>
        <w:t>no</w:t>
      </w:r>
      <w:r>
        <w:rPr>
          <w:color w:val="1F3863"/>
          <w:spacing w:val="-13"/>
          <w:sz w:val="24"/>
        </w:rPr>
        <w:t xml:space="preserve"> </w:t>
      </w:r>
      <w:r>
        <w:rPr>
          <w:color w:val="1F3863"/>
          <w:sz w:val="24"/>
        </w:rPr>
        <w:t>Relatório</w:t>
      </w:r>
      <w:r>
        <w:rPr>
          <w:color w:val="1F3863"/>
          <w:spacing w:val="-14"/>
          <w:sz w:val="24"/>
        </w:rPr>
        <w:t xml:space="preserve"> </w:t>
      </w:r>
      <w:r>
        <w:rPr>
          <w:color w:val="1F3863"/>
          <w:sz w:val="24"/>
        </w:rPr>
        <w:t>de</w:t>
      </w:r>
      <w:r>
        <w:rPr>
          <w:color w:val="1F3863"/>
          <w:spacing w:val="-14"/>
          <w:sz w:val="24"/>
        </w:rPr>
        <w:t xml:space="preserve"> </w:t>
      </w:r>
      <w:r>
        <w:rPr>
          <w:color w:val="1F3863"/>
          <w:sz w:val="24"/>
        </w:rPr>
        <w:t>Acompanhamento da Gestão (RAG), especificamente nas páginas 29 a 31, abrangendo os seguintes tipos: Afastamento, Dispensa, Inexigibilidade, Pregão Eletrônico, Dispensa Eletrônica e Pregão Eletrônico SRP.</w:t>
      </w:r>
    </w:p>
    <w:p w14:paraId="39A1A92A" w14:textId="77777777" w:rsidR="002C6574" w:rsidRDefault="002C6574">
      <w:pPr>
        <w:pStyle w:val="Corpodetexto"/>
        <w:spacing w:before="1"/>
        <w:rPr>
          <w:rFonts w:ascii="Calibri"/>
          <w:sz w:val="24"/>
        </w:rPr>
      </w:pPr>
    </w:p>
    <w:p w14:paraId="09E38515" w14:textId="77777777" w:rsidR="002C6574" w:rsidRDefault="00000000">
      <w:pPr>
        <w:pStyle w:val="PargrafodaLista"/>
        <w:numPr>
          <w:ilvl w:val="1"/>
          <w:numId w:val="12"/>
        </w:numPr>
        <w:tabs>
          <w:tab w:val="left" w:pos="577"/>
        </w:tabs>
        <w:spacing w:line="306" w:lineRule="exact"/>
        <w:ind w:left="577"/>
        <w:jc w:val="center"/>
        <w:rPr>
          <w:rFonts w:ascii="Symbol" w:hAnsi="Symbol"/>
          <w:color w:val="001F5F"/>
          <w:sz w:val="24"/>
        </w:rPr>
      </w:pPr>
      <w:r>
        <w:rPr>
          <w:b/>
          <w:color w:val="001F5F"/>
          <w:sz w:val="24"/>
        </w:rPr>
        <w:t>Disponível</w:t>
      </w:r>
      <w:r>
        <w:rPr>
          <w:b/>
          <w:color w:val="001F5F"/>
          <w:spacing w:val="-12"/>
          <w:sz w:val="24"/>
        </w:rPr>
        <w:t xml:space="preserve"> </w:t>
      </w:r>
      <w:r>
        <w:rPr>
          <w:b/>
          <w:color w:val="001F5F"/>
          <w:sz w:val="24"/>
        </w:rPr>
        <w:t>em</w:t>
      </w:r>
      <w:r>
        <w:rPr>
          <w:color w:val="001F5F"/>
          <w:sz w:val="24"/>
        </w:rPr>
        <w:t>:</w:t>
      </w:r>
      <w:r>
        <w:rPr>
          <w:color w:val="001F5F"/>
          <w:spacing w:val="-10"/>
          <w:sz w:val="24"/>
        </w:rPr>
        <w:t xml:space="preserve"> </w:t>
      </w:r>
      <w:hyperlink r:id="rId179">
        <w:r>
          <w:rPr>
            <w:color w:val="0000FF"/>
            <w:sz w:val="24"/>
            <w:u w:val="single" w:color="0000FF"/>
          </w:rPr>
          <w:t>https://www.telebras.com.br/wp-</w:t>
        </w:r>
        <w:r>
          <w:rPr>
            <w:color w:val="0000FF"/>
            <w:spacing w:val="-2"/>
            <w:sz w:val="24"/>
            <w:u w:val="single" w:color="0000FF"/>
          </w:rPr>
          <w:t>content/uploads/2025/09/ATA-</w:t>
        </w:r>
      </w:hyperlink>
    </w:p>
    <w:p w14:paraId="78751B6A" w14:textId="77777777" w:rsidR="002C6574" w:rsidRDefault="00000000">
      <w:pPr>
        <w:pStyle w:val="Corpodetexto"/>
        <w:ind w:left="1997"/>
        <w:rPr>
          <w:rFonts w:ascii="Calibri"/>
        </w:rPr>
      </w:pPr>
      <w:r>
        <w:rPr>
          <w:rFonts w:ascii="Calibri"/>
          <w:color w:val="0000FF"/>
          <w:spacing w:val="-2"/>
          <w:u w:val="single" w:color="0000FF"/>
        </w:rPr>
        <w:t>396a-COAUD-23.07.2025.pdf</w:t>
      </w:r>
    </w:p>
    <w:p w14:paraId="3FA9B8D4" w14:textId="77777777" w:rsidR="002C6574" w:rsidRDefault="00000000">
      <w:pPr>
        <w:pStyle w:val="Ttulo8"/>
        <w:numPr>
          <w:ilvl w:val="0"/>
          <w:numId w:val="12"/>
        </w:numPr>
        <w:tabs>
          <w:tab w:val="left" w:pos="1273"/>
        </w:tabs>
        <w:spacing w:before="269"/>
        <w:ind w:left="1273" w:hanging="256"/>
        <w:jc w:val="left"/>
      </w:pPr>
      <w:r>
        <w:rPr>
          <w:color w:val="001F5F"/>
        </w:rPr>
        <w:t>ROCOAUD</w:t>
      </w:r>
      <w:r>
        <w:rPr>
          <w:color w:val="001F5F"/>
          <w:spacing w:val="-4"/>
        </w:rPr>
        <w:t xml:space="preserve"> </w:t>
      </w:r>
      <w:r>
        <w:rPr>
          <w:color w:val="001F5F"/>
        </w:rPr>
        <w:t>nº</w:t>
      </w:r>
      <w:r>
        <w:rPr>
          <w:color w:val="001F5F"/>
          <w:spacing w:val="1"/>
        </w:rPr>
        <w:t xml:space="preserve"> </w:t>
      </w:r>
      <w:r>
        <w:rPr>
          <w:color w:val="001F5F"/>
        </w:rPr>
        <w:t>398ª,</w:t>
      </w:r>
      <w:r>
        <w:rPr>
          <w:color w:val="001F5F"/>
          <w:spacing w:val="-1"/>
        </w:rPr>
        <w:t xml:space="preserve"> </w:t>
      </w:r>
      <w:r>
        <w:rPr>
          <w:color w:val="001F5F"/>
        </w:rPr>
        <w:t>de</w:t>
      </w:r>
      <w:r>
        <w:rPr>
          <w:color w:val="001F5F"/>
          <w:spacing w:val="-4"/>
        </w:rPr>
        <w:t xml:space="preserve"> </w:t>
      </w:r>
      <w:r>
        <w:rPr>
          <w:color w:val="001F5F"/>
          <w:spacing w:val="-2"/>
        </w:rPr>
        <w:t>30/07/2025.</w:t>
      </w:r>
    </w:p>
    <w:p w14:paraId="6D2478A7" w14:textId="77777777" w:rsidR="002C6574" w:rsidRDefault="00000000">
      <w:pPr>
        <w:pStyle w:val="PargrafodaLista"/>
        <w:numPr>
          <w:ilvl w:val="1"/>
          <w:numId w:val="12"/>
        </w:numPr>
        <w:tabs>
          <w:tab w:val="left" w:pos="2280"/>
        </w:tabs>
        <w:spacing w:before="292"/>
        <w:ind w:left="2280" w:right="1177"/>
        <w:jc w:val="both"/>
        <w:rPr>
          <w:rFonts w:ascii="Symbol" w:hAnsi="Symbol"/>
          <w:sz w:val="24"/>
        </w:rPr>
      </w:pPr>
      <w:r>
        <w:rPr>
          <w:b/>
          <w:color w:val="1F3863"/>
          <w:sz w:val="24"/>
        </w:rPr>
        <w:t xml:space="preserve">Recomendação 1: Regimento Interno do COAUD </w:t>
      </w:r>
      <w:r>
        <w:rPr>
          <w:color w:val="1F3863"/>
          <w:sz w:val="24"/>
        </w:rPr>
        <w:t>– Recomenda a realização de uma revisão do seu Regimento Interno, especialmente no que se refere ao disposto no CAPÍTULO VIII, Art. 15,</w:t>
      </w:r>
      <w:r>
        <w:rPr>
          <w:color w:val="1F3863"/>
          <w:spacing w:val="-1"/>
          <w:sz w:val="24"/>
        </w:rPr>
        <w:t xml:space="preserve"> </w:t>
      </w:r>
      <w:r>
        <w:rPr>
          <w:color w:val="1F3863"/>
          <w:sz w:val="24"/>
        </w:rPr>
        <w:t xml:space="preserve">que atualmente estabelece que </w:t>
      </w:r>
      <w:r>
        <w:rPr>
          <w:i/>
          <w:color w:val="1F3863"/>
          <w:sz w:val="24"/>
        </w:rPr>
        <w:t>“O Comitê de Auditoria deverá realizar pelo menos 4 (quatro) reuniões mensais”</w:t>
      </w:r>
      <w:r>
        <w:rPr>
          <w:color w:val="1F3863"/>
          <w:sz w:val="24"/>
        </w:rPr>
        <w:t>. Propõe-se a seguinte alteração: “O Comitê de Auditoria deverá realizar pelo menos 2 (duas) reuniões mensais.”</w:t>
      </w:r>
    </w:p>
    <w:p w14:paraId="2B357E21" w14:textId="77777777" w:rsidR="002C6574" w:rsidRDefault="002C6574">
      <w:pPr>
        <w:pStyle w:val="Corpodetexto"/>
        <w:spacing w:before="1"/>
        <w:rPr>
          <w:rFonts w:ascii="Calibri"/>
          <w:sz w:val="24"/>
        </w:rPr>
      </w:pPr>
    </w:p>
    <w:p w14:paraId="3E347B59" w14:textId="77777777" w:rsidR="002C6574" w:rsidRDefault="00000000">
      <w:pPr>
        <w:pStyle w:val="PargrafodaLista"/>
        <w:numPr>
          <w:ilvl w:val="1"/>
          <w:numId w:val="12"/>
        </w:numPr>
        <w:tabs>
          <w:tab w:val="left" w:pos="2280"/>
        </w:tabs>
        <w:ind w:left="2280" w:right="1178"/>
        <w:jc w:val="both"/>
        <w:rPr>
          <w:rFonts w:ascii="Symbol" w:hAnsi="Symbol"/>
        </w:rPr>
      </w:pPr>
      <w:r>
        <w:rPr>
          <w:b/>
          <w:color w:val="001F5F"/>
          <w:sz w:val="24"/>
        </w:rPr>
        <w:t xml:space="preserve">Disponível em: </w:t>
      </w:r>
      <w:hyperlink r:id="rId180">
        <w:r>
          <w:rPr>
            <w:color w:val="0000FF"/>
            <w:sz w:val="24"/>
            <w:u w:val="single" w:color="0000FF"/>
          </w:rPr>
          <w:t>https://www.telebras.com.br/wp-</w:t>
        </w:r>
      </w:hyperlink>
      <w:r>
        <w:rPr>
          <w:color w:val="0000FF"/>
          <w:u w:val="single" w:color="0000FF"/>
        </w:rPr>
        <w:t>content/uploads/2025/09/ATA-</w:t>
      </w:r>
      <w:r>
        <w:rPr>
          <w:color w:val="0000FF"/>
        </w:rPr>
        <w:t xml:space="preserve"> </w:t>
      </w:r>
      <w:r>
        <w:rPr>
          <w:color w:val="0000FF"/>
          <w:spacing w:val="-2"/>
          <w:u w:val="single" w:color="0000FF"/>
        </w:rPr>
        <w:t>DA-398a-COAUD-30.07.2025.pdf</w:t>
      </w:r>
    </w:p>
    <w:p w14:paraId="7E6CEA7B" w14:textId="77777777" w:rsidR="002C6574" w:rsidRDefault="00000000">
      <w:pPr>
        <w:pStyle w:val="Ttulo8"/>
        <w:numPr>
          <w:ilvl w:val="0"/>
          <w:numId w:val="12"/>
        </w:numPr>
        <w:tabs>
          <w:tab w:val="left" w:pos="1276"/>
        </w:tabs>
        <w:spacing w:before="291"/>
        <w:ind w:left="1276" w:hanging="323"/>
        <w:jc w:val="left"/>
      </w:pPr>
      <w:r>
        <w:rPr>
          <w:color w:val="001F5F"/>
        </w:rPr>
        <w:t>ROCOAUD</w:t>
      </w:r>
      <w:r>
        <w:rPr>
          <w:color w:val="001F5F"/>
          <w:spacing w:val="-3"/>
        </w:rPr>
        <w:t xml:space="preserve"> </w:t>
      </w:r>
      <w:r>
        <w:rPr>
          <w:color w:val="001F5F"/>
        </w:rPr>
        <w:t>nº 400ª,</w:t>
      </w:r>
      <w:r>
        <w:rPr>
          <w:color w:val="001F5F"/>
          <w:spacing w:val="-1"/>
        </w:rPr>
        <w:t xml:space="preserve"> </w:t>
      </w:r>
      <w:r>
        <w:rPr>
          <w:color w:val="001F5F"/>
        </w:rPr>
        <w:t>de</w:t>
      </w:r>
      <w:r>
        <w:rPr>
          <w:color w:val="001F5F"/>
          <w:spacing w:val="-3"/>
        </w:rPr>
        <w:t xml:space="preserve"> </w:t>
      </w:r>
      <w:r>
        <w:rPr>
          <w:color w:val="001F5F"/>
          <w:spacing w:val="-2"/>
        </w:rPr>
        <w:t>07/08/2025.</w:t>
      </w:r>
    </w:p>
    <w:p w14:paraId="336C7921" w14:textId="77777777" w:rsidR="002C6574" w:rsidRDefault="002C6574">
      <w:pPr>
        <w:pStyle w:val="Corpodetexto"/>
        <w:spacing w:before="1"/>
        <w:rPr>
          <w:rFonts w:ascii="Calibri"/>
          <w:b/>
          <w:sz w:val="24"/>
        </w:rPr>
      </w:pPr>
    </w:p>
    <w:p w14:paraId="636FB7FC" w14:textId="77777777" w:rsidR="002C6574" w:rsidRDefault="00000000">
      <w:pPr>
        <w:pStyle w:val="PargrafodaLista"/>
        <w:numPr>
          <w:ilvl w:val="1"/>
          <w:numId w:val="12"/>
        </w:numPr>
        <w:tabs>
          <w:tab w:val="left" w:pos="2280"/>
        </w:tabs>
        <w:spacing w:line="259" w:lineRule="auto"/>
        <w:ind w:left="2280" w:right="1174"/>
        <w:jc w:val="both"/>
        <w:rPr>
          <w:rFonts w:ascii="Symbol" w:hAnsi="Symbol"/>
          <w:sz w:val="24"/>
        </w:rPr>
      </w:pPr>
      <w:r>
        <w:rPr>
          <w:b/>
          <w:color w:val="1F3863"/>
          <w:sz w:val="24"/>
        </w:rPr>
        <w:t xml:space="preserve">Solicitação 1: </w:t>
      </w:r>
      <w:r>
        <w:rPr>
          <w:color w:val="1F3863"/>
          <w:sz w:val="24"/>
        </w:rPr>
        <w:t>26º Congresso IBGC – Governança em um Mundo Disruptivo – COAUD manifestou interesse</w:t>
      </w:r>
      <w:r>
        <w:rPr>
          <w:color w:val="1F3863"/>
          <w:spacing w:val="-1"/>
          <w:sz w:val="24"/>
        </w:rPr>
        <w:t xml:space="preserve"> </w:t>
      </w:r>
      <w:r>
        <w:rPr>
          <w:color w:val="1F3863"/>
          <w:sz w:val="24"/>
        </w:rPr>
        <w:t>em</w:t>
      </w:r>
      <w:r>
        <w:rPr>
          <w:color w:val="1F3863"/>
          <w:spacing w:val="-1"/>
          <w:sz w:val="24"/>
        </w:rPr>
        <w:t xml:space="preserve"> </w:t>
      </w:r>
      <w:r>
        <w:rPr>
          <w:color w:val="1F3863"/>
          <w:sz w:val="24"/>
        </w:rPr>
        <w:t>participar</w:t>
      </w:r>
      <w:r>
        <w:rPr>
          <w:color w:val="1F3863"/>
          <w:spacing w:val="-3"/>
          <w:sz w:val="24"/>
        </w:rPr>
        <w:t xml:space="preserve"> </w:t>
      </w:r>
      <w:r>
        <w:rPr>
          <w:color w:val="1F3863"/>
          <w:sz w:val="24"/>
        </w:rPr>
        <w:t>do</w:t>
      </w:r>
      <w:r>
        <w:rPr>
          <w:color w:val="1F3863"/>
          <w:spacing w:val="-1"/>
          <w:sz w:val="24"/>
        </w:rPr>
        <w:t xml:space="preserve"> </w:t>
      </w:r>
      <w:r>
        <w:rPr>
          <w:color w:val="1F3863"/>
          <w:sz w:val="24"/>
        </w:rPr>
        <w:t>26º</w:t>
      </w:r>
      <w:r>
        <w:rPr>
          <w:color w:val="1F3863"/>
          <w:spacing w:val="-2"/>
          <w:sz w:val="24"/>
        </w:rPr>
        <w:t xml:space="preserve"> </w:t>
      </w:r>
      <w:r>
        <w:rPr>
          <w:color w:val="1F3863"/>
          <w:sz w:val="24"/>
        </w:rPr>
        <w:t>Congresso IBGC</w:t>
      </w:r>
      <w:r>
        <w:rPr>
          <w:color w:val="1F3863"/>
          <w:spacing w:val="-1"/>
          <w:sz w:val="24"/>
        </w:rPr>
        <w:t xml:space="preserve"> </w:t>
      </w:r>
      <w:r>
        <w:rPr>
          <w:color w:val="1F3863"/>
          <w:sz w:val="24"/>
        </w:rPr>
        <w:t>–</w:t>
      </w:r>
      <w:r>
        <w:rPr>
          <w:color w:val="1F3863"/>
          <w:spacing w:val="-1"/>
          <w:sz w:val="24"/>
        </w:rPr>
        <w:t xml:space="preserve"> </w:t>
      </w:r>
      <w:r>
        <w:rPr>
          <w:color w:val="1F3863"/>
          <w:sz w:val="24"/>
        </w:rPr>
        <w:t>Governança em um Mundo Disruptivo, que ocorreu nos dias 8 e 9 de outubro de 2025, em formato híbrido, na cidade de São Paulo. O evento foi voltado para líderes e conselheiros</w:t>
      </w:r>
      <w:r>
        <w:rPr>
          <w:color w:val="1F3863"/>
          <w:spacing w:val="-7"/>
          <w:sz w:val="24"/>
        </w:rPr>
        <w:t xml:space="preserve"> </w:t>
      </w:r>
      <w:r>
        <w:rPr>
          <w:color w:val="1F3863"/>
          <w:sz w:val="24"/>
        </w:rPr>
        <w:t>e</w:t>
      </w:r>
      <w:r>
        <w:rPr>
          <w:color w:val="1F3863"/>
          <w:spacing w:val="-6"/>
          <w:sz w:val="24"/>
        </w:rPr>
        <w:t xml:space="preserve"> </w:t>
      </w:r>
      <w:r>
        <w:rPr>
          <w:color w:val="1F3863"/>
          <w:sz w:val="24"/>
        </w:rPr>
        <w:t>reuniu</w:t>
      </w:r>
      <w:r>
        <w:rPr>
          <w:color w:val="1F3863"/>
          <w:spacing w:val="-7"/>
          <w:sz w:val="24"/>
        </w:rPr>
        <w:t xml:space="preserve"> </w:t>
      </w:r>
      <w:r>
        <w:rPr>
          <w:color w:val="1F3863"/>
          <w:sz w:val="24"/>
        </w:rPr>
        <w:t>vozes</w:t>
      </w:r>
      <w:r>
        <w:rPr>
          <w:color w:val="1F3863"/>
          <w:spacing w:val="-7"/>
          <w:sz w:val="24"/>
        </w:rPr>
        <w:t xml:space="preserve"> </w:t>
      </w:r>
      <w:r>
        <w:rPr>
          <w:color w:val="1F3863"/>
          <w:sz w:val="24"/>
        </w:rPr>
        <w:t>provocadoras</w:t>
      </w:r>
      <w:r>
        <w:rPr>
          <w:color w:val="1F3863"/>
          <w:spacing w:val="-10"/>
          <w:sz w:val="24"/>
        </w:rPr>
        <w:t xml:space="preserve"> </w:t>
      </w:r>
      <w:r>
        <w:rPr>
          <w:color w:val="1F3863"/>
          <w:sz w:val="24"/>
        </w:rPr>
        <w:t>e</w:t>
      </w:r>
      <w:r>
        <w:rPr>
          <w:color w:val="1F3863"/>
          <w:spacing w:val="-7"/>
          <w:sz w:val="24"/>
        </w:rPr>
        <w:t xml:space="preserve"> </w:t>
      </w:r>
      <w:r>
        <w:rPr>
          <w:color w:val="1F3863"/>
          <w:sz w:val="24"/>
        </w:rPr>
        <w:t>experiências</w:t>
      </w:r>
      <w:r>
        <w:rPr>
          <w:color w:val="1F3863"/>
          <w:spacing w:val="-7"/>
          <w:sz w:val="24"/>
        </w:rPr>
        <w:t xml:space="preserve"> </w:t>
      </w:r>
      <w:r>
        <w:rPr>
          <w:color w:val="1F3863"/>
          <w:sz w:val="24"/>
        </w:rPr>
        <w:t>relevantes</w:t>
      </w:r>
      <w:r>
        <w:rPr>
          <w:color w:val="1F3863"/>
          <w:spacing w:val="-7"/>
          <w:sz w:val="24"/>
        </w:rPr>
        <w:t xml:space="preserve"> </w:t>
      </w:r>
      <w:r>
        <w:rPr>
          <w:color w:val="1F3863"/>
          <w:sz w:val="24"/>
        </w:rPr>
        <w:t>do</w:t>
      </w:r>
      <w:r>
        <w:rPr>
          <w:color w:val="1F3863"/>
          <w:spacing w:val="-7"/>
          <w:sz w:val="24"/>
        </w:rPr>
        <w:t xml:space="preserve"> </w:t>
      </w:r>
      <w:r>
        <w:rPr>
          <w:color w:val="1F3863"/>
          <w:sz w:val="24"/>
        </w:rPr>
        <w:t>Brasil</w:t>
      </w:r>
      <w:r>
        <w:rPr>
          <w:color w:val="1F3863"/>
          <w:spacing w:val="-7"/>
          <w:sz w:val="24"/>
        </w:rPr>
        <w:t xml:space="preserve"> </w:t>
      </w:r>
      <w:r>
        <w:rPr>
          <w:color w:val="1F3863"/>
          <w:sz w:val="24"/>
        </w:rPr>
        <w:t>e</w:t>
      </w:r>
      <w:r>
        <w:rPr>
          <w:color w:val="1F3863"/>
          <w:spacing w:val="-7"/>
          <w:sz w:val="24"/>
        </w:rPr>
        <w:t xml:space="preserve"> </w:t>
      </w:r>
      <w:r>
        <w:rPr>
          <w:color w:val="1F3863"/>
          <w:sz w:val="24"/>
        </w:rPr>
        <w:t>do mundo, para debater a velocidade da transformação tecnológica, a importância das relações</w:t>
      </w:r>
      <w:r>
        <w:rPr>
          <w:color w:val="1F3863"/>
          <w:spacing w:val="-3"/>
          <w:sz w:val="24"/>
        </w:rPr>
        <w:t xml:space="preserve"> </w:t>
      </w:r>
      <w:r>
        <w:rPr>
          <w:color w:val="1F3863"/>
          <w:sz w:val="24"/>
        </w:rPr>
        <w:t>humanas,</w:t>
      </w:r>
      <w:r>
        <w:rPr>
          <w:color w:val="1F3863"/>
          <w:spacing w:val="-3"/>
          <w:sz w:val="24"/>
        </w:rPr>
        <w:t xml:space="preserve"> </w:t>
      </w:r>
      <w:r>
        <w:rPr>
          <w:color w:val="1F3863"/>
          <w:sz w:val="24"/>
        </w:rPr>
        <w:t>a</w:t>
      </w:r>
      <w:r>
        <w:rPr>
          <w:color w:val="1F3863"/>
          <w:spacing w:val="-5"/>
          <w:sz w:val="24"/>
        </w:rPr>
        <w:t xml:space="preserve"> </w:t>
      </w:r>
      <w:r>
        <w:rPr>
          <w:color w:val="1F3863"/>
          <w:sz w:val="24"/>
        </w:rPr>
        <w:t>cultura</w:t>
      </w:r>
      <w:r>
        <w:rPr>
          <w:color w:val="1F3863"/>
          <w:spacing w:val="-2"/>
          <w:sz w:val="24"/>
        </w:rPr>
        <w:t xml:space="preserve"> </w:t>
      </w:r>
      <w:r>
        <w:rPr>
          <w:color w:val="1F3863"/>
          <w:sz w:val="24"/>
        </w:rPr>
        <w:t>organizacional,</w:t>
      </w:r>
      <w:r>
        <w:rPr>
          <w:color w:val="1F3863"/>
          <w:spacing w:val="-5"/>
          <w:sz w:val="24"/>
        </w:rPr>
        <w:t xml:space="preserve"> </w:t>
      </w:r>
      <w:r>
        <w:rPr>
          <w:color w:val="1F3863"/>
          <w:sz w:val="24"/>
        </w:rPr>
        <w:t>os</w:t>
      </w:r>
      <w:r>
        <w:rPr>
          <w:color w:val="1F3863"/>
          <w:spacing w:val="-1"/>
          <w:sz w:val="24"/>
        </w:rPr>
        <w:t xml:space="preserve"> </w:t>
      </w:r>
      <w:r>
        <w:rPr>
          <w:color w:val="1F3863"/>
          <w:sz w:val="24"/>
        </w:rPr>
        <w:t>desafios</w:t>
      </w:r>
      <w:r>
        <w:rPr>
          <w:color w:val="1F3863"/>
          <w:spacing w:val="-2"/>
          <w:sz w:val="24"/>
        </w:rPr>
        <w:t xml:space="preserve"> </w:t>
      </w:r>
      <w:r>
        <w:rPr>
          <w:color w:val="1F3863"/>
          <w:sz w:val="24"/>
        </w:rPr>
        <w:t>da</w:t>
      </w:r>
      <w:r>
        <w:rPr>
          <w:color w:val="1F3863"/>
          <w:spacing w:val="-3"/>
          <w:sz w:val="24"/>
        </w:rPr>
        <w:t xml:space="preserve"> </w:t>
      </w:r>
      <w:r>
        <w:rPr>
          <w:color w:val="1F3863"/>
          <w:sz w:val="24"/>
        </w:rPr>
        <w:t>sustentabilidade</w:t>
      </w:r>
      <w:r>
        <w:rPr>
          <w:color w:val="1F3863"/>
          <w:spacing w:val="-2"/>
          <w:sz w:val="24"/>
        </w:rPr>
        <w:t xml:space="preserve"> </w:t>
      </w:r>
      <w:r>
        <w:rPr>
          <w:color w:val="1F3863"/>
          <w:sz w:val="24"/>
        </w:rPr>
        <w:t>e os impactos do contexto geopolítico global.</w:t>
      </w:r>
    </w:p>
    <w:p w14:paraId="4FF225F3" w14:textId="77777777" w:rsidR="002C6574" w:rsidRDefault="002C6574">
      <w:pPr>
        <w:pStyle w:val="Corpodetexto"/>
        <w:spacing w:before="22"/>
        <w:rPr>
          <w:rFonts w:ascii="Calibri"/>
          <w:sz w:val="24"/>
        </w:rPr>
      </w:pPr>
    </w:p>
    <w:p w14:paraId="17A6A83B" w14:textId="77777777" w:rsidR="002C6574" w:rsidRDefault="00000000">
      <w:pPr>
        <w:pStyle w:val="PargrafodaLista"/>
        <w:numPr>
          <w:ilvl w:val="1"/>
          <w:numId w:val="12"/>
        </w:numPr>
        <w:tabs>
          <w:tab w:val="left" w:pos="2280"/>
        </w:tabs>
        <w:spacing w:line="256" w:lineRule="auto"/>
        <w:ind w:left="2280" w:right="1177"/>
        <w:jc w:val="both"/>
        <w:rPr>
          <w:rFonts w:ascii="Symbol" w:hAnsi="Symbol"/>
          <w:sz w:val="24"/>
        </w:rPr>
      </w:pPr>
      <w:r>
        <w:rPr>
          <w:b/>
          <w:color w:val="1F3863"/>
          <w:sz w:val="24"/>
        </w:rPr>
        <w:t xml:space="preserve">Solicitação 2: </w:t>
      </w:r>
      <w:r>
        <w:rPr>
          <w:color w:val="1F3863"/>
          <w:sz w:val="24"/>
        </w:rPr>
        <w:t>Demonstrações Contábeis Individuais 2º Trimestre de 2025 - Não Consolidado</w:t>
      </w:r>
      <w:r>
        <w:rPr>
          <w:color w:val="1F3863"/>
          <w:spacing w:val="40"/>
          <w:sz w:val="24"/>
        </w:rPr>
        <w:t xml:space="preserve"> </w:t>
      </w:r>
      <w:r>
        <w:rPr>
          <w:color w:val="1F3863"/>
          <w:sz w:val="24"/>
        </w:rPr>
        <w:t>-</w:t>
      </w:r>
      <w:r>
        <w:rPr>
          <w:color w:val="1F3863"/>
          <w:spacing w:val="40"/>
          <w:sz w:val="24"/>
        </w:rPr>
        <w:t xml:space="preserve"> </w:t>
      </w:r>
      <w:r>
        <w:rPr>
          <w:color w:val="1F3863"/>
          <w:sz w:val="24"/>
        </w:rPr>
        <w:t>Apresentações</w:t>
      </w:r>
      <w:r>
        <w:rPr>
          <w:color w:val="1F3863"/>
          <w:spacing w:val="40"/>
          <w:sz w:val="24"/>
        </w:rPr>
        <w:t xml:space="preserve"> </w:t>
      </w:r>
      <w:r>
        <w:rPr>
          <w:color w:val="1F3863"/>
          <w:sz w:val="24"/>
        </w:rPr>
        <w:t>complementares:</w:t>
      </w:r>
      <w:r>
        <w:rPr>
          <w:color w:val="1F3863"/>
          <w:spacing w:val="40"/>
          <w:sz w:val="24"/>
        </w:rPr>
        <w:t xml:space="preserve"> </w:t>
      </w:r>
      <w:r>
        <w:rPr>
          <w:color w:val="1F3863"/>
          <w:sz w:val="24"/>
        </w:rPr>
        <w:t>a)</w:t>
      </w:r>
      <w:r>
        <w:rPr>
          <w:color w:val="1F3863"/>
          <w:spacing w:val="40"/>
          <w:sz w:val="24"/>
        </w:rPr>
        <w:t xml:space="preserve"> </w:t>
      </w:r>
      <w:r>
        <w:rPr>
          <w:color w:val="1F3863"/>
          <w:sz w:val="24"/>
        </w:rPr>
        <w:t>o</w:t>
      </w:r>
      <w:r>
        <w:rPr>
          <w:color w:val="1F3863"/>
          <w:spacing w:val="40"/>
          <w:sz w:val="24"/>
        </w:rPr>
        <w:t xml:space="preserve"> </w:t>
      </w:r>
      <w:r>
        <w:rPr>
          <w:color w:val="1F3863"/>
          <w:sz w:val="24"/>
        </w:rPr>
        <w:t>relatório</w:t>
      </w:r>
      <w:r>
        <w:rPr>
          <w:color w:val="1F3863"/>
          <w:spacing w:val="40"/>
          <w:sz w:val="24"/>
        </w:rPr>
        <w:t xml:space="preserve"> </w:t>
      </w:r>
      <w:r>
        <w:rPr>
          <w:color w:val="1F3863"/>
          <w:sz w:val="24"/>
        </w:rPr>
        <w:t>de</w:t>
      </w:r>
      <w:r>
        <w:rPr>
          <w:color w:val="1F3863"/>
          <w:spacing w:val="40"/>
          <w:sz w:val="24"/>
        </w:rPr>
        <w:t xml:space="preserve"> </w:t>
      </w:r>
      <w:r>
        <w:rPr>
          <w:i/>
          <w:color w:val="1F3863"/>
          <w:sz w:val="24"/>
        </w:rPr>
        <w:t>impairment</w:t>
      </w:r>
    </w:p>
    <w:p w14:paraId="6F90A7D0" w14:textId="77777777" w:rsidR="002C6574" w:rsidRDefault="002C6574">
      <w:pPr>
        <w:pStyle w:val="PargrafodaLista"/>
        <w:spacing w:line="256" w:lineRule="auto"/>
        <w:jc w:val="both"/>
        <w:rPr>
          <w:rFonts w:ascii="Symbol" w:hAnsi="Symbol"/>
          <w:sz w:val="24"/>
        </w:rPr>
        <w:sectPr w:rsidR="002C6574">
          <w:pgSz w:w="12240" w:h="15840"/>
          <w:pgMar w:top="900" w:right="425" w:bottom="1220" w:left="425" w:header="674" w:footer="1036" w:gutter="0"/>
          <w:cols w:space="720"/>
        </w:sectPr>
      </w:pPr>
    </w:p>
    <w:p w14:paraId="1B82C23D" w14:textId="77777777" w:rsidR="002C6574" w:rsidRDefault="00000000">
      <w:pPr>
        <w:spacing w:before="280" w:line="259" w:lineRule="auto"/>
        <w:ind w:left="2280" w:right="1185"/>
        <w:jc w:val="both"/>
        <w:rPr>
          <w:rFonts w:ascii="Calibri" w:hAnsi="Calibri"/>
          <w:sz w:val="24"/>
        </w:rPr>
      </w:pPr>
      <w:r>
        <w:rPr>
          <w:rFonts w:ascii="Calibri" w:hAnsi="Calibri"/>
          <w:color w:val="1F3863"/>
          <w:sz w:val="24"/>
        </w:rPr>
        <w:lastRenderedPageBreak/>
        <w:t>realizado pela consultoria. b) Apresentação sobre o Seguro SDGC, incluindo i) Comparativo</w:t>
      </w:r>
      <w:r>
        <w:rPr>
          <w:rFonts w:ascii="Calibri" w:hAnsi="Calibri"/>
          <w:color w:val="1F3863"/>
          <w:spacing w:val="-14"/>
          <w:sz w:val="24"/>
        </w:rPr>
        <w:t xml:space="preserve"> </w:t>
      </w:r>
      <w:r>
        <w:rPr>
          <w:rFonts w:ascii="Calibri" w:hAnsi="Calibri"/>
          <w:color w:val="1F3863"/>
          <w:sz w:val="24"/>
        </w:rPr>
        <w:t>entre</w:t>
      </w:r>
      <w:r>
        <w:rPr>
          <w:rFonts w:ascii="Calibri" w:hAnsi="Calibri"/>
          <w:color w:val="1F3863"/>
          <w:spacing w:val="-14"/>
          <w:sz w:val="24"/>
        </w:rPr>
        <w:t xml:space="preserve"> </w:t>
      </w:r>
      <w:r>
        <w:rPr>
          <w:rFonts w:ascii="Calibri" w:hAnsi="Calibri"/>
          <w:color w:val="1F3863"/>
          <w:sz w:val="24"/>
        </w:rPr>
        <w:t>o</w:t>
      </w:r>
      <w:r>
        <w:rPr>
          <w:rFonts w:ascii="Calibri" w:hAnsi="Calibri"/>
          <w:color w:val="1F3863"/>
          <w:spacing w:val="-13"/>
          <w:sz w:val="24"/>
        </w:rPr>
        <w:t xml:space="preserve"> </w:t>
      </w:r>
      <w:r>
        <w:rPr>
          <w:rFonts w:ascii="Calibri" w:hAnsi="Calibri"/>
          <w:color w:val="1F3863"/>
          <w:sz w:val="24"/>
        </w:rPr>
        <w:t>valor</w:t>
      </w:r>
      <w:r>
        <w:rPr>
          <w:rFonts w:ascii="Calibri" w:hAnsi="Calibri"/>
          <w:color w:val="1F3863"/>
          <w:spacing w:val="-14"/>
          <w:sz w:val="24"/>
        </w:rPr>
        <w:t xml:space="preserve"> </w:t>
      </w:r>
      <w:r>
        <w:rPr>
          <w:rFonts w:ascii="Calibri" w:hAnsi="Calibri"/>
          <w:color w:val="1F3863"/>
          <w:sz w:val="24"/>
        </w:rPr>
        <w:t>do</w:t>
      </w:r>
      <w:r>
        <w:rPr>
          <w:rFonts w:ascii="Calibri" w:hAnsi="Calibri"/>
          <w:color w:val="1F3863"/>
          <w:spacing w:val="-13"/>
          <w:sz w:val="24"/>
        </w:rPr>
        <w:t xml:space="preserve"> </w:t>
      </w:r>
      <w:r>
        <w:rPr>
          <w:rFonts w:ascii="Calibri" w:hAnsi="Calibri"/>
          <w:color w:val="1F3863"/>
          <w:sz w:val="24"/>
        </w:rPr>
        <w:t>imobilizado</w:t>
      </w:r>
      <w:r>
        <w:rPr>
          <w:rFonts w:ascii="Calibri" w:hAnsi="Calibri"/>
          <w:color w:val="1F3863"/>
          <w:spacing w:val="-14"/>
          <w:sz w:val="24"/>
        </w:rPr>
        <w:t xml:space="preserve"> </w:t>
      </w:r>
      <w:r>
        <w:rPr>
          <w:rFonts w:ascii="Calibri" w:hAnsi="Calibri"/>
          <w:color w:val="1F3863"/>
          <w:sz w:val="24"/>
        </w:rPr>
        <w:t>e</w:t>
      </w:r>
      <w:r>
        <w:rPr>
          <w:rFonts w:ascii="Calibri" w:hAnsi="Calibri"/>
          <w:color w:val="1F3863"/>
          <w:spacing w:val="-13"/>
          <w:sz w:val="24"/>
        </w:rPr>
        <w:t xml:space="preserve"> </w:t>
      </w:r>
      <w:r>
        <w:rPr>
          <w:rFonts w:ascii="Calibri" w:hAnsi="Calibri"/>
          <w:color w:val="1F3863"/>
          <w:sz w:val="24"/>
        </w:rPr>
        <w:t>a</w:t>
      </w:r>
      <w:r>
        <w:rPr>
          <w:rFonts w:ascii="Calibri" w:hAnsi="Calibri"/>
          <w:color w:val="1F3863"/>
          <w:spacing w:val="-14"/>
          <w:sz w:val="24"/>
        </w:rPr>
        <w:t xml:space="preserve"> </w:t>
      </w:r>
      <w:r>
        <w:rPr>
          <w:rFonts w:ascii="Calibri" w:hAnsi="Calibri"/>
          <w:color w:val="1F3863"/>
          <w:sz w:val="24"/>
        </w:rPr>
        <w:t>cobertura</w:t>
      </w:r>
      <w:r>
        <w:rPr>
          <w:rFonts w:ascii="Calibri" w:hAnsi="Calibri"/>
          <w:color w:val="1F3863"/>
          <w:spacing w:val="-14"/>
          <w:sz w:val="24"/>
        </w:rPr>
        <w:t xml:space="preserve"> </w:t>
      </w:r>
      <w:r>
        <w:rPr>
          <w:rFonts w:ascii="Calibri" w:hAnsi="Calibri"/>
          <w:color w:val="1F3863"/>
          <w:sz w:val="24"/>
        </w:rPr>
        <w:t>do</w:t>
      </w:r>
      <w:r>
        <w:rPr>
          <w:rFonts w:ascii="Calibri" w:hAnsi="Calibri"/>
          <w:color w:val="1F3863"/>
          <w:spacing w:val="-12"/>
          <w:sz w:val="24"/>
        </w:rPr>
        <w:t xml:space="preserve"> </w:t>
      </w:r>
      <w:r>
        <w:rPr>
          <w:rFonts w:ascii="Calibri" w:hAnsi="Calibri"/>
          <w:color w:val="1F3863"/>
          <w:sz w:val="24"/>
        </w:rPr>
        <w:t>seguro;</w:t>
      </w:r>
      <w:r>
        <w:rPr>
          <w:rFonts w:ascii="Calibri" w:hAnsi="Calibri"/>
          <w:color w:val="1F3863"/>
          <w:spacing w:val="-14"/>
          <w:sz w:val="24"/>
        </w:rPr>
        <w:t xml:space="preserve"> </w:t>
      </w:r>
      <w:r>
        <w:rPr>
          <w:rFonts w:ascii="Calibri" w:hAnsi="Calibri"/>
          <w:color w:val="1F3863"/>
          <w:sz w:val="24"/>
        </w:rPr>
        <w:t>ii)</w:t>
      </w:r>
      <w:r>
        <w:rPr>
          <w:rFonts w:ascii="Calibri" w:hAnsi="Calibri"/>
          <w:color w:val="1F3863"/>
          <w:spacing w:val="-13"/>
          <w:sz w:val="24"/>
        </w:rPr>
        <w:t xml:space="preserve"> </w:t>
      </w:r>
      <w:r>
        <w:rPr>
          <w:rFonts w:ascii="Calibri" w:hAnsi="Calibri"/>
          <w:color w:val="1F3863"/>
          <w:sz w:val="24"/>
        </w:rPr>
        <w:t>Identificação de itens não cobertos e justificativas para a ausência de cobertura.</w:t>
      </w:r>
    </w:p>
    <w:p w14:paraId="02625264" w14:textId="77777777" w:rsidR="002C6574" w:rsidRDefault="002C6574">
      <w:pPr>
        <w:pStyle w:val="Corpodetexto"/>
        <w:spacing w:before="23"/>
        <w:rPr>
          <w:rFonts w:ascii="Calibri"/>
          <w:sz w:val="24"/>
        </w:rPr>
      </w:pPr>
    </w:p>
    <w:p w14:paraId="10FF6A99" w14:textId="77777777" w:rsidR="002C6574" w:rsidRDefault="00000000">
      <w:pPr>
        <w:pStyle w:val="PargrafodaLista"/>
        <w:numPr>
          <w:ilvl w:val="1"/>
          <w:numId w:val="12"/>
        </w:numPr>
        <w:tabs>
          <w:tab w:val="left" w:pos="2280"/>
        </w:tabs>
        <w:ind w:left="2280" w:right="1178"/>
        <w:rPr>
          <w:rFonts w:ascii="Symbol" w:hAnsi="Symbol"/>
        </w:rPr>
      </w:pPr>
      <w:r>
        <w:rPr>
          <w:b/>
          <w:color w:val="001F5F"/>
          <w:sz w:val="24"/>
        </w:rPr>
        <w:t>Disponível</w:t>
      </w:r>
      <w:r>
        <w:rPr>
          <w:b/>
          <w:color w:val="001F5F"/>
          <w:spacing w:val="80"/>
          <w:sz w:val="24"/>
        </w:rPr>
        <w:t xml:space="preserve"> </w:t>
      </w:r>
      <w:r>
        <w:rPr>
          <w:b/>
          <w:color w:val="001F5F"/>
          <w:sz w:val="24"/>
        </w:rPr>
        <w:t>em:</w:t>
      </w:r>
      <w:r>
        <w:rPr>
          <w:b/>
          <w:color w:val="001F5F"/>
          <w:spacing w:val="80"/>
          <w:sz w:val="24"/>
        </w:rPr>
        <w:t xml:space="preserve"> </w:t>
      </w:r>
      <w:hyperlink r:id="rId181">
        <w:r>
          <w:rPr>
            <w:color w:val="0000FF"/>
            <w:sz w:val="24"/>
            <w:u w:val="single" w:color="0000FF"/>
          </w:rPr>
          <w:t>https://www.telebras.com.br/wp-</w:t>
        </w:r>
      </w:hyperlink>
      <w:r>
        <w:rPr>
          <w:color w:val="0000FF"/>
          <w:u w:val="single" w:color="0000FF"/>
        </w:rPr>
        <w:t>content/uploads/2025/09/ATA-</w:t>
      </w:r>
      <w:r>
        <w:rPr>
          <w:color w:val="0000FF"/>
        </w:rPr>
        <w:t xml:space="preserve"> </w:t>
      </w:r>
      <w:r>
        <w:rPr>
          <w:color w:val="0000FF"/>
          <w:spacing w:val="-2"/>
          <w:u w:val="single" w:color="0000FF"/>
        </w:rPr>
        <w:t>DA-400a-COAUD-07.08.2025-assinada.pdf</w:t>
      </w:r>
    </w:p>
    <w:p w14:paraId="31A91FC4" w14:textId="77777777" w:rsidR="002C6574" w:rsidRDefault="002C6574">
      <w:pPr>
        <w:pStyle w:val="Corpodetexto"/>
        <w:rPr>
          <w:rFonts w:ascii="Calibri"/>
          <w:sz w:val="24"/>
        </w:rPr>
      </w:pPr>
    </w:p>
    <w:p w14:paraId="403464D1" w14:textId="77777777" w:rsidR="002C6574" w:rsidRDefault="00000000">
      <w:pPr>
        <w:pStyle w:val="Ttulo8"/>
        <w:numPr>
          <w:ilvl w:val="0"/>
          <w:numId w:val="12"/>
        </w:numPr>
        <w:tabs>
          <w:tab w:val="left" w:pos="1275"/>
        </w:tabs>
        <w:ind w:left="1275" w:hanging="387"/>
        <w:jc w:val="left"/>
      </w:pPr>
      <w:r>
        <w:rPr>
          <w:color w:val="001F5F"/>
        </w:rPr>
        <w:t>ROCOAUD</w:t>
      </w:r>
      <w:r>
        <w:rPr>
          <w:color w:val="001F5F"/>
          <w:spacing w:val="-4"/>
        </w:rPr>
        <w:t xml:space="preserve"> </w:t>
      </w:r>
      <w:r>
        <w:rPr>
          <w:color w:val="001F5F"/>
        </w:rPr>
        <w:t>nº</w:t>
      </w:r>
      <w:r>
        <w:rPr>
          <w:color w:val="001F5F"/>
          <w:spacing w:val="1"/>
        </w:rPr>
        <w:t xml:space="preserve"> </w:t>
      </w:r>
      <w:r>
        <w:rPr>
          <w:color w:val="001F5F"/>
        </w:rPr>
        <w:t>401ª,</w:t>
      </w:r>
      <w:r>
        <w:rPr>
          <w:color w:val="001F5F"/>
          <w:spacing w:val="-1"/>
        </w:rPr>
        <w:t xml:space="preserve"> </w:t>
      </w:r>
      <w:r>
        <w:rPr>
          <w:color w:val="001F5F"/>
        </w:rPr>
        <w:t>de</w:t>
      </w:r>
      <w:r>
        <w:rPr>
          <w:color w:val="001F5F"/>
          <w:spacing w:val="-4"/>
        </w:rPr>
        <w:t xml:space="preserve"> </w:t>
      </w:r>
      <w:r>
        <w:rPr>
          <w:color w:val="001F5F"/>
          <w:spacing w:val="-2"/>
        </w:rPr>
        <w:t>14/08/2025.</w:t>
      </w:r>
    </w:p>
    <w:p w14:paraId="350C6BC3" w14:textId="77777777" w:rsidR="002C6574" w:rsidRDefault="00000000">
      <w:pPr>
        <w:pStyle w:val="PargrafodaLista"/>
        <w:numPr>
          <w:ilvl w:val="1"/>
          <w:numId w:val="12"/>
        </w:numPr>
        <w:tabs>
          <w:tab w:val="left" w:pos="2280"/>
        </w:tabs>
        <w:spacing w:before="292"/>
        <w:ind w:left="2280" w:right="1180"/>
        <w:jc w:val="both"/>
        <w:rPr>
          <w:rFonts w:ascii="Symbol" w:hAnsi="Symbol"/>
          <w:sz w:val="24"/>
        </w:rPr>
      </w:pPr>
      <w:r>
        <w:rPr>
          <w:b/>
          <w:color w:val="1F3863"/>
          <w:sz w:val="24"/>
        </w:rPr>
        <w:t xml:space="preserve">Solicitação 1: </w:t>
      </w:r>
      <w:r>
        <w:rPr>
          <w:color w:val="1F3863"/>
          <w:sz w:val="24"/>
        </w:rPr>
        <w:t>Auditoria Independente -Demonstrações Contábeis Individuais 2º Trimestre</w:t>
      </w:r>
      <w:r>
        <w:rPr>
          <w:color w:val="1F3863"/>
          <w:spacing w:val="80"/>
          <w:sz w:val="24"/>
        </w:rPr>
        <w:t xml:space="preserve">  </w:t>
      </w:r>
      <w:r>
        <w:rPr>
          <w:color w:val="1F3863"/>
          <w:sz w:val="24"/>
        </w:rPr>
        <w:t>de</w:t>
      </w:r>
      <w:r>
        <w:rPr>
          <w:color w:val="1F3863"/>
          <w:spacing w:val="80"/>
          <w:sz w:val="24"/>
        </w:rPr>
        <w:t xml:space="preserve">  </w:t>
      </w:r>
      <w:r>
        <w:rPr>
          <w:color w:val="1F3863"/>
          <w:sz w:val="24"/>
        </w:rPr>
        <w:t>2025</w:t>
      </w:r>
      <w:r>
        <w:rPr>
          <w:color w:val="1F3863"/>
          <w:spacing w:val="80"/>
          <w:sz w:val="24"/>
        </w:rPr>
        <w:t xml:space="preserve">  </w:t>
      </w:r>
      <w:r>
        <w:rPr>
          <w:color w:val="1F3863"/>
          <w:sz w:val="24"/>
        </w:rPr>
        <w:t>-</w:t>
      </w:r>
      <w:r>
        <w:rPr>
          <w:color w:val="1F3863"/>
          <w:spacing w:val="80"/>
          <w:sz w:val="24"/>
        </w:rPr>
        <w:t xml:space="preserve">  </w:t>
      </w:r>
      <w:r>
        <w:rPr>
          <w:color w:val="1F3863"/>
          <w:sz w:val="24"/>
        </w:rPr>
        <w:t>Não</w:t>
      </w:r>
      <w:r>
        <w:rPr>
          <w:color w:val="1F3863"/>
          <w:spacing w:val="80"/>
          <w:sz w:val="24"/>
        </w:rPr>
        <w:t xml:space="preserve">  </w:t>
      </w:r>
      <w:r>
        <w:rPr>
          <w:color w:val="1F3863"/>
          <w:sz w:val="24"/>
        </w:rPr>
        <w:t>Consolidado</w:t>
      </w:r>
      <w:r>
        <w:rPr>
          <w:color w:val="1F3863"/>
          <w:spacing w:val="80"/>
          <w:sz w:val="24"/>
        </w:rPr>
        <w:t xml:space="preserve">  </w:t>
      </w:r>
      <w:r>
        <w:rPr>
          <w:color w:val="1F3863"/>
          <w:sz w:val="24"/>
        </w:rPr>
        <w:t>-</w:t>
      </w:r>
      <w:r>
        <w:rPr>
          <w:color w:val="1F3863"/>
          <w:spacing w:val="80"/>
          <w:sz w:val="24"/>
        </w:rPr>
        <w:t xml:space="preserve">  </w:t>
      </w:r>
      <w:r>
        <w:rPr>
          <w:color w:val="1F3863"/>
          <w:sz w:val="24"/>
        </w:rPr>
        <w:t>Disponibilização</w:t>
      </w:r>
      <w:r>
        <w:rPr>
          <w:color w:val="1F3863"/>
          <w:spacing w:val="80"/>
          <w:sz w:val="24"/>
        </w:rPr>
        <w:t xml:space="preserve">  </w:t>
      </w:r>
      <w:r>
        <w:rPr>
          <w:color w:val="1F3863"/>
          <w:sz w:val="24"/>
        </w:rPr>
        <w:t>da</w:t>
      </w:r>
      <w:r>
        <w:rPr>
          <w:color w:val="1F3863"/>
          <w:spacing w:val="40"/>
          <w:sz w:val="24"/>
        </w:rPr>
        <w:t xml:space="preserve"> </w:t>
      </w:r>
      <w:r>
        <w:rPr>
          <w:color w:val="1F3863"/>
          <w:sz w:val="24"/>
        </w:rPr>
        <w:t>Carta de Recomendação emitida pelo Auditor Independente acompanhado do Relatório Circunstanciados, na próxima apresentação do 3º trimestre das Demonstrações Contábeis.</w:t>
      </w:r>
    </w:p>
    <w:p w14:paraId="388ED668" w14:textId="77777777" w:rsidR="002C6574" w:rsidRDefault="002C6574">
      <w:pPr>
        <w:pStyle w:val="Corpodetexto"/>
        <w:spacing w:before="1"/>
        <w:rPr>
          <w:rFonts w:ascii="Calibri"/>
          <w:sz w:val="24"/>
        </w:rPr>
      </w:pPr>
    </w:p>
    <w:p w14:paraId="5AC420F5" w14:textId="77777777" w:rsidR="002C6574" w:rsidRDefault="00000000">
      <w:pPr>
        <w:pStyle w:val="PargrafodaLista"/>
        <w:numPr>
          <w:ilvl w:val="1"/>
          <w:numId w:val="12"/>
        </w:numPr>
        <w:tabs>
          <w:tab w:val="left" w:pos="2280"/>
          <w:tab w:val="left" w:pos="3081"/>
          <w:tab w:val="left" w:pos="4364"/>
          <w:tab w:val="left" w:pos="5074"/>
          <w:tab w:val="left" w:pos="5934"/>
          <w:tab w:val="left" w:pos="7601"/>
          <w:tab w:val="left" w:pos="8182"/>
          <w:tab w:val="left" w:pos="10134"/>
        </w:tabs>
        <w:ind w:left="2280" w:right="1176"/>
        <w:rPr>
          <w:rFonts w:ascii="Symbol" w:hAnsi="Symbol"/>
          <w:sz w:val="24"/>
        </w:rPr>
      </w:pPr>
      <w:r>
        <w:rPr>
          <w:b/>
          <w:color w:val="1F3863"/>
          <w:sz w:val="24"/>
        </w:rPr>
        <w:t xml:space="preserve">Solicitação 2: </w:t>
      </w:r>
      <w:r>
        <w:rPr>
          <w:color w:val="001F5F"/>
          <w:sz w:val="24"/>
        </w:rPr>
        <w:t>Manutenção da contratação da Auditoria Independente - solicita o envio de Nota Técnica atualizada, contendo as devidas justificativas e respaldo</w:t>
      </w:r>
      <w:r>
        <w:rPr>
          <w:color w:val="001F5F"/>
          <w:spacing w:val="40"/>
          <w:sz w:val="24"/>
        </w:rPr>
        <w:t xml:space="preserve"> </w:t>
      </w:r>
      <w:r>
        <w:rPr>
          <w:color w:val="001F5F"/>
          <w:sz w:val="24"/>
        </w:rPr>
        <w:t>legal,</w:t>
      </w:r>
      <w:r>
        <w:rPr>
          <w:color w:val="001F5F"/>
          <w:spacing w:val="40"/>
          <w:sz w:val="24"/>
        </w:rPr>
        <w:t xml:space="preserve"> </w:t>
      </w:r>
      <w:r>
        <w:rPr>
          <w:color w:val="001F5F"/>
          <w:sz w:val="24"/>
        </w:rPr>
        <w:t>incluindo</w:t>
      </w:r>
      <w:r>
        <w:rPr>
          <w:color w:val="001F5F"/>
          <w:spacing w:val="40"/>
          <w:sz w:val="24"/>
        </w:rPr>
        <w:t xml:space="preserve"> </w:t>
      </w:r>
      <w:r>
        <w:rPr>
          <w:color w:val="001F5F"/>
          <w:sz w:val="24"/>
        </w:rPr>
        <w:t>acórdãos</w:t>
      </w:r>
      <w:r>
        <w:rPr>
          <w:color w:val="001F5F"/>
          <w:spacing w:val="40"/>
          <w:sz w:val="24"/>
        </w:rPr>
        <w:t xml:space="preserve"> </w:t>
      </w:r>
      <w:r>
        <w:rPr>
          <w:color w:val="001F5F"/>
          <w:sz w:val="24"/>
        </w:rPr>
        <w:t>do</w:t>
      </w:r>
      <w:r>
        <w:rPr>
          <w:color w:val="001F5F"/>
          <w:spacing w:val="40"/>
          <w:sz w:val="24"/>
        </w:rPr>
        <w:t xml:space="preserve"> </w:t>
      </w:r>
      <w:r>
        <w:rPr>
          <w:color w:val="001F5F"/>
          <w:sz w:val="24"/>
        </w:rPr>
        <w:t>Tribunal</w:t>
      </w:r>
      <w:r>
        <w:rPr>
          <w:color w:val="001F5F"/>
          <w:spacing w:val="40"/>
          <w:sz w:val="24"/>
        </w:rPr>
        <w:t xml:space="preserve"> </w:t>
      </w:r>
      <w:r>
        <w:rPr>
          <w:color w:val="001F5F"/>
          <w:sz w:val="24"/>
        </w:rPr>
        <w:t>de</w:t>
      </w:r>
      <w:r>
        <w:rPr>
          <w:color w:val="001F5F"/>
          <w:spacing w:val="40"/>
          <w:sz w:val="24"/>
        </w:rPr>
        <w:t xml:space="preserve"> </w:t>
      </w:r>
      <w:r>
        <w:rPr>
          <w:color w:val="001F5F"/>
          <w:sz w:val="24"/>
        </w:rPr>
        <w:t>Contas</w:t>
      </w:r>
      <w:r>
        <w:rPr>
          <w:color w:val="001F5F"/>
          <w:spacing w:val="40"/>
          <w:sz w:val="24"/>
        </w:rPr>
        <w:t xml:space="preserve"> </w:t>
      </w:r>
      <w:r>
        <w:rPr>
          <w:color w:val="001F5F"/>
          <w:sz w:val="24"/>
        </w:rPr>
        <w:t>da</w:t>
      </w:r>
      <w:r>
        <w:rPr>
          <w:color w:val="001F5F"/>
          <w:spacing w:val="40"/>
          <w:sz w:val="24"/>
        </w:rPr>
        <w:t xml:space="preserve"> </w:t>
      </w:r>
      <w:r>
        <w:rPr>
          <w:color w:val="001F5F"/>
          <w:sz w:val="24"/>
        </w:rPr>
        <w:t>União</w:t>
      </w:r>
      <w:r>
        <w:rPr>
          <w:color w:val="001F5F"/>
          <w:spacing w:val="40"/>
          <w:sz w:val="24"/>
        </w:rPr>
        <w:t xml:space="preserve"> </w:t>
      </w:r>
      <w:r>
        <w:rPr>
          <w:color w:val="001F5F"/>
          <w:sz w:val="24"/>
        </w:rPr>
        <w:t>(TCU).</w:t>
      </w:r>
      <w:r>
        <w:rPr>
          <w:color w:val="001F5F"/>
          <w:spacing w:val="40"/>
          <w:sz w:val="24"/>
        </w:rPr>
        <w:t xml:space="preserve"> </w:t>
      </w:r>
      <w:r>
        <w:rPr>
          <w:color w:val="001F5F"/>
          <w:sz w:val="24"/>
        </w:rPr>
        <w:t>Solicita-se</w:t>
      </w:r>
      <w:r>
        <w:rPr>
          <w:color w:val="001F5F"/>
          <w:spacing w:val="80"/>
          <w:sz w:val="24"/>
        </w:rPr>
        <w:t xml:space="preserve"> </w:t>
      </w:r>
      <w:r>
        <w:rPr>
          <w:color w:val="001F5F"/>
          <w:sz w:val="24"/>
        </w:rPr>
        <w:t>também</w:t>
      </w:r>
      <w:r>
        <w:rPr>
          <w:color w:val="001F5F"/>
          <w:spacing w:val="79"/>
          <w:sz w:val="24"/>
        </w:rPr>
        <w:t xml:space="preserve"> </w:t>
      </w:r>
      <w:r>
        <w:rPr>
          <w:color w:val="001F5F"/>
          <w:sz w:val="24"/>
        </w:rPr>
        <w:t>o</w:t>
      </w:r>
      <w:r>
        <w:rPr>
          <w:color w:val="001F5F"/>
          <w:spacing w:val="79"/>
          <w:sz w:val="24"/>
        </w:rPr>
        <w:t xml:space="preserve"> </w:t>
      </w:r>
      <w:r>
        <w:rPr>
          <w:color w:val="001F5F"/>
          <w:sz w:val="24"/>
        </w:rPr>
        <w:t>detalhamento</w:t>
      </w:r>
      <w:r>
        <w:rPr>
          <w:color w:val="001F5F"/>
          <w:spacing w:val="79"/>
          <w:sz w:val="24"/>
        </w:rPr>
        <w:t xml:space="preserve"> </w:t>
      </w:r>
      <w:r>
        <w:rPr>
          <w:color w:val="001F5F"/>
          <w:sz w:val="24"/>
        </w:rPr>
        <w:t>do</w:t>
      </w:r>
      <w:r>
        <w:rPr>
          <w:color w:val="001F5F"/>
          <w:spacing w:val="80"/>
          <w:sz w:val="24"/>
        </w:rPr>
        <w:t xml:space="preserve"> </w:t>
      </w:r>
      <w:r>
        <w:rPr>
          <w:color w:val="001F5F"/>
          <w:sz w:val="24"/>
        </w:rPr>
        <w:t>escopo</w:t>
      </w:r>
      <w:r>
        <w:rPr>
          <w:color w:val="001F5F"/>
          <w:spacing w:val="77"/>
          <w:sz w:val="24"/>
        </w:rPr>
        <w:t xml:space="preserve"> </w:t>
      </w:r>
      <w:r>
        <w:rPr>
          <w:color w:val="001F5F"/>
          <w:sz w:val="24"/>
        </w:rPr>
        <w:t>dos</w:t>
      </w:r>
      <w:r>
        <w:rPr>
          <w:color w:val="001F5F"/>
          <w:spacing w:val="79"/>
          <w:sz w:val="24"/>
        </w:rPr>
        <w:t xml:space="preserve"> </w:t>
      </w:r>
      <w:r>
        <w:rPr>
          <w:color w:val="001F5F"/>
          <w:sz w:val="24"/>
        </w:rPr>
        <w:t>serviços</w:t>
      </w:r>
      <w:r>
        <w:rPr>
          <w:color w:val="001F5F"/>
          <w:spacing w:val="79"/>
          <w:sz w:val="24"/>
        </w:rPr>
        <w:t xml:space="preserve"> </w:t>
      </w:r>
      <w:r>
        <w:rPr>
          <w:color w:val="001F5F"/>
          <w:sz w:val="24"/>
        </w:rPr>
        <w:t>prestados</w:t>
      </w:r>
      <w:r>
        <w:rPr>
          <w:color w:val="001F5F"/>
          <w:spacing w:val="79"/>
          <w:sz w:val="24"/>
        </w:rPr>
        <w:t xml:space="preserve"> </w:t>
      </w:r>
      <w:r>
        <w:rPr>
          <w:color w:val="001F5F"/>
          <w:sz w:val="24"/>
        </w:rPr>
        <w:t>pela</w:t>
      </w:r>
      <w:r>
        <w:rPr>
          <w:color w:val="001F5F"/>
          <w:spacing w:val="79"/>
          <w:sz w:val="24"/>
        </w:rPr>
        <w:t xml:space="preserve"> </w:t>
      </w:r>
      <w:r>
        <w:rPr>
          <w:color w:val="001F5F"/>
          <w:sz w:val="24"/>
        </w:rPr>
        <w:t>Auditoria Independente,</w:t>
      </w:r>
      <w:r>
        <w:rPr>
          <w:color w:val="001F5F"/>
          <w:spacing w:val="-5"/>
          <w:sz w:val="24"/>
        </w:rPr>
        <w:t xml:space="preserve"> </w:t>
      </w:r>
      <w:r>
        <w:rPr>
          <w:color w:val="001F5F"/>
          <w:sz w:val="24"/>
        </w:rPr>
        <w:t>bem</w:t>
      </w:r>
      <w:r>
        <w:rPr>
          <w:color w:val="001F5F"/>
          <w:spacing w:val="-5"/>
          <w:sz w:val="24"/>
        </w:rPr>
        <w:t xml:space="preserve"> </w:t>
      </w:r>
      <w:r>
        <w:rPr>
          <w:color w:val="001F5F"/>
          <w:sz w:val="24"/>
        </w:rPr>
        <w:t>como</w:t>
      </w:r>
      <w:r>
        <w:rPr>
          <w:color w:val="001F5F"/>
          <w:spacing w:val="-5"/>
          <w:sz w:val="24"/>
        </w:rPr>
        <w:t xml:space="preserve"> </w:t>
      </w:r>
      <w:r>
        <w:rPr>
          <w:color w:val="001F5F"/>
          <w:sz w:val="24"/>
        </w:rPr>
        <w:t>os</w:t>
      </w:r>
      <w:r>
        <w:rPr>
          <w:color w:val="001F5F"/>
          <w:spacing w:val="-5"/>
          <w:sz w:val="24"/>
        </w:rPr>
        <w:t xml:space="preserve"> </w:t>
      </w:r>
      <w:r>
        <w:rPr>
          <w:color w:val="001F5F"/>
          <w:sz w:val="24"/>
        </w:rPr>
        <w:t>valores</w:t>
      </w:r>
      <w:r>
        <w:rPr>
          <w:color w:val="001F5F"/>
          <w:spacing w:val="-4"/>
          <w:sz w:val="24"/>
        </w:rPr>
        <w:t xml:space="preserve"> </w:t>
      </w:r>
      <w:r>
        <w:rPr>
          <w:color w:val="001F5F"/>
          <w:sz w:val="24"/>
        </w:rPr>
        <w:t>contratados,</w:t>
      </w:r>
      <w:r>
        <w:rPr>
          <w:color w:val="001F5F"/>
          <w:spacing w:val="-8"/>
          <w:sz w:val="24"/>
        </w:rPr>
        <w:t xml:space="preserve"> </w:t>
      </w:r>
      <w:r>
        <w:rPr>
          <w:color w:val="001F5F"/>
          <w:sz w:val="24"/>
        </w:rPr>
        <w:t>incluindo</w:t>
      </w:r>
      <w:r>
        <w:rPr>
          <w:color w:val="001F5F"/>
          <w:spacing w:val="-5"/>
          <w:sz w:val="24"/>
        </w:rPr>
        <w:t xml:space="preserve"> </w:t>
      </w:r>
      <w:r>
        <w:rPr>
          <w:color w:val="001F5F"/>
          <w:sz w:val="24"/>
        </w:rPr>
        <w:t>o</w:t>
      </w:r>
      <w:r>
        <w:rPr>
          <w:color w:val="001F5F"/>
          <w:spacing w:val="-5"/>
          <w:sz w:val="24"/>
        </w:rPr>
        <w:t xml:space="preserve"> </w:t>
      </w:r>
      <w:r>
        <w:rPr>
          <w:color w:val="001F5F"/>
          <w:sz w:val="24"/>
        </w:rPr>
        <w:t>relatório</w:t>
      </w:r>
      <w:r>
        <w:rPr>
          <w:color w:val="001F5F"/>
          <w:spacing w:val="-5"/>
          <w:sz w:val="24"/>
        </w:rPr>
        <w:t xml:space="preserve"> </w:t>
      </w:r>
      <w:r>
        <w:rPr>
          <w:color w:val="001F5F"/>
          <w:sz w:val="24"/>
        </w:rPr>
        <w:t>integrado. Em</w:t>
      </w:r>
      <w:r>
        <w:rPr>
          <w:color w:val="001F5F"/>
          <w:spacing w:val="31"/>
          <w:sz w:val="24"/>
        </w:rPr>
        <w:t xml:space="preserve"> </w:t>
      </w:r>
      <w:r>
        <w:rPr>
          <w:color w:val="001F5F"/>
          <w:sz w:val="24"/>
        </w:rPr>
        <w:t>ato</w:t>
      </w:r>
      <w:r>
        <w:rPr>
          <w:color w:val="001F5F"/>
          <w:spacing w:val="29"/>
          <w:sz w:val="24"/>
        </w:rPr>
        <w:t xml:space="preserve"> </w:t>
      </w:r>
      <w:r>
        <w:rPr>
          <w:color w:val="001F5F"/>
          <w:sz w:val="24"/>
        </w:rPr>
        <w:t>contínuo</w:t>
      </w:r>
      <w:r>
        <w:rPr>
          <w:color w:val="001F5F"/>
          <w:spacing w:val="33"/>
          <w:sz w:val="24"/>
        </w:rPr>
        <w:t xml:space="preserve"> </w:t>
      </w:r>
      <w:r>
        <w:rPr>
          <w:color w:val="001F5F"/>
          <w:sz w:val="24"/>
        </w:rPr>
        <w:t>e</w:t>
      </w:r>
      <w:r>
        <w:rPr>
          <w:color w:val="001F5F"/>
          <w:spacing w:val="29"/>
          <w:sz w:val="24"/>
        </w:rPr>
        <w:t xml:space="preserve"> </w:t>
      </w:r>
      <w:r>
        <w:rPr>
          <w:color w:val="001F5F"/>
          <w:sz w:val="24"/>
        </w:rPr>
        <w:t>em</w:t>
      </w:r>
      <w:r>
        <w:rPr>
          <w:color w:val="001F5F"/>
          <w:spacing w:val="29"/>
          <w:sz w:val="24"/>
        </w:rPr>
        <w:t xml:space="preserve"> </w:t>
      </w:r>
      <w:r>
        <w:rPr>
          <w:color w:val="001F5F"/>
          <w:sz w:val="24"/>
        </w:rPr>
        <w:t>atendimento</w:t>
      </w:r>
      <w:r>
        <w:rPr>
          <w:color w:val="001F5F"/>
          <w:spacing w:val="29"/>
          <w:sz w:val="24"/>
        </w:rPr>
        <w:t xml:space="preserve"> </w:t>
      </w:r>
      <w:r>
        <w:rPr>
          <w:color w:val="001F5F"/>
          <w:sz w:val="24"/>
        </w:rPr>
        <w:t>à</w:t>
      </w:r>
      <w:r>
        <w:rPr>
          <w:color w:val="001F5F"/>
          <w:spacing w:val="33"/>
          <w:sz w:val="24"/>
        </w:rPr>
        <w:t xml:space="preserve"> </w:t>
      </w:r>
      <w:r>
        <w:rPr>
          <w:color w:val="001F5F"/>
          <w:sz w:val="24"/>
        </w:rPr>
        <w:t>solicitação</w:t>
      </w:r>
      <w:r>
        <w:rPr>
          <w:color w:val="001F5F"/>
          <w:spacing w:val="31"/>
          <w:sz w:val="24"/>
        </w:rPr>
        <w:t xml:space="preserve"> </w:t>
      </w:r>
      <w:r>
        <w:rPr>
          <w:color w:val="001F5F"/>
          <w:sz w:val="24"/>
        </w:rPr>
        <w:t>deste</w:t>
      </w:r>
      <w:r>
        <w:rPr>
          <w:color w:val="001F5F"/>
          <w:spacing w:val="31"/>
          <w:sz w:val="24"/>
        </w:rPr>
        <w:t xml:space="preserve"> </w:t>
      </w:r>
      <w:r>
        <w:rPr>
          <w:color w:val="001F5F"/>
          <w:sz w:val="24"/>
        </w:rPr>
        <w:t>Comitê,</w:t>
      </w:r>
      <w:r>
        <w:rPr>
          <w:color w:val="001F5F"/>
          <w:spacing w:val="31"/>
          <w:sz w:val="24"/>
        </w:rPr>
        <w:t xml:space="preserve"> </w:t>
      </w:r>
      <w:r>
        <w:rPr>
          <w:color w:val="001F5F"/>
          <w:sz w:val="24"/>
        </w:rPr>
        <w:t>a</w:t>
      </w:r>
      <w:r>
        <w:rPr>
          <w:color w:val="001F5F"/>
          <w:spacing w:val="28"/>
          <w:sz w:val="24"/>
        </w:rPr>
        <w:t xml:space="preserve"> </w:t>
      </w:r>
      <w:r>
        <w:rPr>
          <w:color w:val="001F5F"/>
          <w:sz w:val="24"/>
        </w:rPr>
        <w:t>Gerência</w:t>
      </w:r>
      <w:r>
        <w:rPr>
          <w:color w:val="001F5F"/>
          <w:spacing w:val="31"/>
          <w:sz w:val="24"/>
        </w:rPr>
        <w:t xml:space="preserve"> </w:t>
      </w:r>
      <w:r>
        <w:rPr>
          <w:color w:val="001F5F"/>
          <w:sz w:val="24"/>
        </w:rPr>
        <w:t xml:space="preserve">de Contabilidade (GCONT) se manifestou da seguinte forma: </w:t>
      </w:r>
      <w:r>
        <w:rPr>
          <w:i/>
          <w:color w:val="001F5F"/>
          <w:sz w:val="24"/>
        </w:rPr>
        <w:t xml:space="preserve">Após extensa pesquisa </w:t>
      </w:r>
      <w:r>
        <w:rPr>
          <w:i/>
          <w:color w:val="001F5F"/>
          <w:spacing w:val="-4"/>
          <w:sz w:val="24"/>
        </w:rPr>
        <w:t>nos</w:t>
      </w:r>
      <w:r>
        <w:rPr>
          <w:i/>
          <w:color w:val="001F5F"/>
          <w:sz w:val="24"/>
        </w:rPr>
        <w:tab/>
      </w:r>
      <w:r>
        <w:rPr>
          <w:i/>
          <w:color w:val="001F5F"/>
          <w:spacing w:val="-2"/>
          <w:sz w:val="24"/>
        </w:rPr>
        <w:t>julgados</w:t>
      </w:r>
      <w:r>
        <w:rPr>
          <w:i/>
          <w:color w:val="001F5F"/>
          <w:sz w:val="24"/>
        </w:rPr>
        <w:tab/>
      </w:r>
      <w:r>
        <w:rPr>
          <w:i/>
          <w:color w:val="001F5F"/>
          <w:spacing w:val="-6"/>
          <w:sz w:val="24"/>
        </w:rPr>
        <w:t>do</w:t>
      </w:r>
      <w:r>
        <w:rPr>
          <w:i/>
          <w:color w:val="001F5F"/>
          <w:sz w:val="24"/>
        </w:rPr>
        <w:tab/>
      </w:r>
      <w:r>
        <w:rPr>
          <w:i/>
          <w:color w:val="001F5F"/>
          <w:spacing w:val="-4"/>
          <w:sz w:val="24"/>
        </w:rPr>
        <w:t>TCU</w:t>
      </w:r>
      <w:r>
        <w:rPr>
          <w:i/>
          <w:color w:val="001F5F"/>
          <w:sz w:val="24"/>
        </w:rPr>
        <w:tab/>
      </w:r>
      <w:r>
        <w:rPr>
          <w:i/>
          <w:color w:val="001F5F"/>
          <w:spacing w:val="-2"/>
          <w:sz w:val="24"/>
        </w:rPr>
        <w:t>(orientações</w:t>
      </w:r>
      <w:r>
        <w:rPr>
          <w:i/>
          <w:color w:val="001F5F"/>
          <w:sz w:val="24"/>
        </w:rPr>
        <w:tab/>
      </w:r>
      <w:r>
        <w:rPr>
          <w:i/>
          <w:color w:val="001F5F"/>
          <w:spacing w:val="-10"/>
          <w:sz w:val="24"/>
        </w:rPr>
        <w:t>e</w:t>
      </w:r>
      <w:r>
        <w:rPr>
          <w:i/>
          <w:color w:val="001F5F"/>
          <w:sz w:val="24"/>
        </w:rPr>
        <w:tab/>
      </w:r>
      <w:r>
        <w:rPr>
          <w:i/>
          <w:color w:val="001F5F"/>
          <w:spacing w:val="-2"/>
          <w:sz w:val="24"/>
        </w:rPr>
        <w:t>Jurisprudências</w:t>
      </w:r>
      <w:r>
        <w:rPr>
          <w:i/>
          <w:color w:val="001F5F"/>
          <w:sz w:val="24"/>
        </w:rPr>
        <w:tab/>
      </w:r>
      <w:r>
        <w:rPr>
          <w:i/>
          <w:color w:val="001F5F"/>
          <w:spacing w:val="-10"/>
          <w:sz w:val="24"/>
        </w:rPr>
        <w:t xml:space="preserve">- </w:t>
      </w:r>
      <w:r>
        <w:rPr>
          <w:i/>
          <w:color w:val="001F5F"/>
          <w:spacing w:val="-2"/>
          <w:sz w:val="24"/>
        </w:rPr>
        <w:t xml:space="preserve">https://licitacoesecontratos.tcu.gov.br/6-3-manutencao-eprorrogacao-do- </w:t>
      </w:r>
      <w:r>
        <w:rPr>
          <w:i/>
          <w:color w:val="001F5F"/>
          <w:sz w:val="24"/>
        </w:rPr>
        <w:t>contrato/), verificamos que é possível a prorrogação contratual sem necessidade de pesquisa de preço em função da existência de cláusula prevendo reajuste. No entanto,</w:t>
      </w:r>
      <w:r>
        <w:rPr>
          <w:i/>
          <w:color w:val="001F5F"/>
          <w:spacing w:val="80"/>
          <w:sz w:val="24"/>
        </w:rPr>
        <w:t xml:space="preserve"> </w:t>
      </w:r>
      <w:r>
        <w:rPr>
          <w:i/>
          <w:color w:val="001F5F"/>
          <w:sz w:val="24"/>
        </w:rPr>
        <w:t>ao</w:t>
      </w:r>
      <w:r>
        <w:rPr>
          <w:i/>
          <w:color w:val="001F5F"/>
          <w:spacing w:val="80"/>
          <w:sz w:val="24"/>
        </w:rPr>
        <w:t xml:space="preserve"> </w:t>
      </w:r>
      <w:r>
        <w:rPr>
          <w:i/>
          <w:color w:val="001F5F"/>
          <w:sz w:val="24"/>
        </w:rPr>
        <w:t>aprofundarmos</w:t>
      </w:r>
      <w:r>
        <w:rPr>
          <w:i/>
          <w:color w:val="001F5F"/>
          <w:spacing w:val="80"/>
          <w:sz w:val="24"/>
        </w:rPr>
        <w:t xml:space="preserve"> </w:t>
      </w:r>
      <w:r>
        <w:rPr>
          <w:i/>
          <w:color w:val="001F5F"/>
          <w:sz w:val="24"/>
        </w:rPr>
        <w:t>a</w:t>
      </w:r>
      <w:r>
        <w:rPr>
          <w:i/>
          <w:color w:val="001F5F"/>
          <w:spacing w:val="80"/>
          <w:sz w:val="24"/>
        </w:rPr>
        <w:t xml:space="preserve"> </w:t>
      </w:r>
      <w:r>
        <w:rPr>
          <w:i/>
          <w:color w:val="001F5F"/>
          <w:sz w:val="24"/>
        </w:rPr>
        <w:t>análise</w:t>
      </w:r>
      <w:r>
        <w:rPr>
          <w:i/>
          <w:color w:val="001F5F"/>
          <w:spacing w:val="80"/>
          <w:sz w:val="24"/>
        </w:rPr>
        <w:t xml:space="preserve"> </w:t>
      </w:r>
      <w:r>
        <w:rPr>
          <w:i/>
          <w:color w:val="001F5F"/>
          <w:sz w:val="24"/>
        </w:rPr>
        <w:t>mais</w:t>
      </w:r>
      <w:r>
        <w:rPr>
          <w:i/>
          <w:color w:val="001F5F"/>
          <w:spacing w:val="80"/>
          <w:sz w:val="24"/>
        </w:rPr>
        <w:t xml:space="preserve"> </w:t>
      </w:r>
      <w:r>
        <w:rPr>
          <w:i/>
          <w:color w:val="001F5F"/>
          <w:sz w:val="24"/>
        </w:rPr>
        <w:t>detalhada</w:t>
      </w:r>
      <w:r>
        <w:rPr>
          <w:i/>
          <w:color w:val="001F5F"/>
          <w:spacing w:val="80"/>
          <w:sz w:val="24"/>
        </w:rPr>
        <w:t xml:space="preserve"> </w:t>
      </w:r>
      <w:r>
        <w:rPr>
          <w:i/>
          <w:color w:val="001F5F"/>
          <w:sz w:val="24"/>
        </w:rPr>
        <w:t>dos</w:t>
      </w:r>
      <w:r>
        <w:rPr>
          <w:i/>
          <w:color w:val="001F5F"/>
          <w:spacing w:val="80"/>
          <w:sz w:val="24"/>
        </w:rPr>
        <w:t xml:space="preserve"> </w:t>
      </w:r>
      <w:r>
        <w:rPr>
          <w:i/>
          <w:color w:val="001F5F"/>
          <w:sz w:val="24"/>
        </w:rPr>
        <w:t>julgados</w:t>
      </w:r>
      <w:r>
        <w:rPr>
          <w:i/>
          <w:color w:val="001F5F"/>
          <w:spacing w:val="80"/>
          <w:sz w:val="24"/>
        </w:rPr>
        <w:t xml:space="preserve"> </w:t>
      </w:r>
      <w:r>
        <w:rPr>
          <w:i/>
          <w:color w:val="001F5F"/>
          <w:sz w:val="24"/>
        </w:rPr>
        <w:t>e</w:t>
      </w:r>
      <w:r>
        <w:rPr>
          <w:i/>
          <w:color w:val="001F5F"/>
          <w:spacing w:val="80"/>
          <w:sz w:val="24"/>
        </w:rPr>
        <w:t xml:space="preserve"> </w:t>
      </w:r>
      <w:r>
        <w:rPr>
          <w:i/>
          <w:color w:val="001F5F"/>
          <w:sz w:val="24"/>
        </w:rPr>
        <w:t>dos posicionamentos de outros órgãos, concluímos que o contrato de auditoria tem</w:t>
      </w:r>
      <w:r>
        <w:rPr>
          <w:i/>
          <w:color w:val="001F5F"/>
          <w:spacing w:val="-1"/>
          <w:sz w:val="24"/>
        </w:rPr>
        <w:t xml:space="preserve"> </w:t>
      </w:r>
      <w:r>
        <w:rPr>
          <w:i/>
          <w:color w:val="001F5F"/>
          <w:sz w:val="24"/>
        </w:rPr>
        <w:t>a sua natureza classificada como serviço comum e os julgados se referem a serviço continuado. Diante disso a GCONT optou por realizar pesquisa de preços afim de adequar a sua Nota Técnica anterior às recomendações da GCC."</w:t>
      </w:r>
    </w:p>
    <w:p w14:paraId="3131344A" w14:textId="77777777" w:rsidR="002C6574" w:rsidRDefault="002C6574">
      <w:pPr>
        <w:pStyle w:val="Corpodetexto"/>
        <w:spacing w:before="2"/>
        <w:rPr>
          <w:rFonts w:ascii="Calibri"/>
          <w:i/>
          <w:sz w:val="24"/>
        </w:rPr>
      </w:pPr>
    </w:p>
    <w:p w14:paraId="47AFDA31" w14:textId="77777777" w:rsidR="002C6574" w:rsidRDefault="00000000">
      <w:pPr>
        <w:pStyle w:val="PargrafodaLista"/>
        <w:numPr>
          <w:ilvl w:val="2"/>
          <w:numId w:val="12"/>
        </w:numPr>
        <w:tabs>
          <w:tab w:val="left" w:pos="2704"/>
          <w:tab w:val="left" w:pos="5116"/>
          <w:tab w:val="left" w:pos="6867"/>
        </w:tabs>
        <w:spacing w:line="292" w:lineRule="exact"/>
        <w:ind w:left="2704" w:hanging="359"/>
        <w:rPr>
          <w:sz w:val="24"/>
        </w:rPr>
      </w:pPr>
      <w:r>
        <w:rPr>
          <w:b/>
          <w:color w:val="001F5F"/>
          <w:spacing w:val="-2"/>
          <w:sz w:val="24"/>
        </w:rPr>
        <w:t>Disponível</w:t>
      </w:r>
      <w:r>
        <w:rPr>
          <w:b/>
          <w:color w:val="001F5F"/>
          <w:sz w:val="24"/>
        </w:rPr>
        <w:tab/>
      </w:r>
      <w:r>
        <w:rPr>
          <w:b/>
          <w:color w:val="001F5F"/>
          <w:spacing w:val="-5"/>
          <w:sz w:val="24"/>
        </w:rPr>
        <w:t>em:</w:t>
      </w:r>
      <w:r>
        <w:rPr>
          <w:b/>
          <w:color w:val="001F5F"/>
          <w:sz w:val="24"/>
        </w:rPr>
        <w:tab/>
      </w:r>
      <w:hyperlink r:id="rId182">
        <w:r>
          <w:rPr>
            <w:color w:val="0000FF"/>
            <w:spacing w:val="-2"/>
            <w:sz w:val="24"/>
            <w:u w:val="single" w:color="0000FF"/>
          </w:rPr>
          <w:t>https://www.telebras.com.br/wp-</w:t>
        </w:r>
      </w:hyperlink>
    </w:p>
    <w:p w14:paraId="40526570" w14:textId="77777777" w:rsidR="002C6574" w:rsidRDefault="00000000">
      <w:pPr>
        <w:pStyle w:val="Corpodetexto"/>
        <w:spacing w:line="267" w:lineRule="exact"/>
        <w:ind w:left="2705"/>
        <w:rPr>
          <w:rFonts w:ascii="Calibri"/>
        </w:rPr>
      </w:pPr>
      <w:r>
        <w:rPr>
          <w:rFonts w:ascii="Calibri"/>
          <w:color w:val="0000FF"/>
          <w:spacing w:val="-2"/>
          <w:u w:val="single" w:color="0000FF"/>
        </w:rPr>
        <w:t>content/uploads/2025/09/ATA-DA-401a-ASSINADA.pdf</w:t>
      </w:r>
    </w:p>
    <w:p w14:paraId="340A5926" w14:textId="77777777" w:rsidR="002C6574" w:rsidRDefault="00000000">
      <w:pPr>
        <w:pStyle w:val="Ttulo8"/>
        <w:numPr>
          <w:ilvl w:val="0"/>
          <w:numId w:val="12"/>
        </w:numPr>
        <w:tabs>
          <w:tab w:val="left" w:pos="1273"/>
        </w:tabs>
        <w:spacing w:before="270"/>
        <w:ind w:left="1273" w:hanging="400"/>
        <w:jc w:val="left"/>
      </w:pPr>
      <w:r>
        <w:rPr>
          <w:color w:val="001F5F"/>
        </w:rPr>
        <w:t>ROCOAUD</w:t>
      </w:r>
      <w:r>
        <w:rPr>
          <w:color w:val="001F5F"/>
          <w:spacing w:val="-3"/>
        </w:rPr>
        <w:t xml:space="preserve"> </w:t>
      </w:r>
      <w:r>
        <w:rPr>
          <w:color w:val="001F5F"/>
        </w:rPr>
        <w:t>nº404ª,</w:t>
      </w:r>
      <w:r>
        <w:rPr>
          <w:color w:val="001F5F"/>
          <w:spacing w:val="-3"/>
        </w:rPr>
        <w:t xml:space="preserve"> </w:t>
      </w:r>
      <w:r>
        <w:rPr>
          <w:color w:val="001F5F"/>
        </w:rPr>
        <w:t xml:space="preserve">de </w:t>
      </w:r>
      <w:r>
        <w:rPr>
          <w:color w:val="001F5F"/>
          <w:spacing w:val="-2"/>
        </w:rPr>
        <w:t>21/08/2025.</w:t>
      </w:r>
    </w:p>
    <w:p w14:paraId="0C0ACA05" w14:textId="77777777" w:rsidR="002C6574" w:rsidRDefault="002C6574">
      <w:pPr>
        <w:pStyle w:val="Corpodetexto"/>
        <w:spacing w:before="1"/>
        <w:rPr>
          <w:rFonts w:ascii="Calibri"/>
          <w:b/>
          <w:sz w:val="24"/>
        </w:rPr>
      </w:pPr>
    </w:p>
    <w:p w14:paraId="14F4D2AC" w14:textId="77777777" w:rsidR="002C6574" w:rsidRDefault="00000000">
      <w:pPr>
        <w:pStyle w:val="PargrafodaLista"/>
        <w:numPr>
          <w:ilvl w:val="1"/>
          <w:numId w:val="12"/>
        </w:numPr>
        <w:tabs>
          <w:tab w:val="left" w:pos="2280"/>
        </w:tabs>
        <w:ind w:left="2280" w:right="1179"/>
        <w:jc w:val="both"/>
        <w:rPr>
          <w:rFonts w:ascii="Symbol" w:hAnsi="Symbol"/>
          <w:sz w:val="24"/>
        </w:rPr>
      </w:pPr>
      <w:r>
        <w:rPr>
          <w:b/>
          <w:color w:val="001F5F"/>
          <w:sz w:val="24"/>
        </w:rPr>
        <w:t xml:space="preserve">Solicitação 1: </w:t>
      </w:r>
      <w:r>
        <w:rPr>
          <w:color w:val="001F5F"/>
          <w:sz w:val="24"/>
        </w:rPr>
        <w:t>Relatório da Auditoria Interna Ref.</w:t>
      </w:r>
      <w:r>
        <w:rPr>
          <w:color w:val="001F5F"/>
          <w:spacing w:val="-1"/>
          <w:sz w:val="24"/>
        </w:rPr>
        <w:t xml:space="preserve"> </w:t>
      </w:r>
      <w:r>
        <w:rPr>
          <w:color w:val="001F5F"/>
          <w:sz w:val="24"/>
        </w:rPr>
        <w:t>mês de julho de 2025 - solicitou à área responsável da Diretoria Comercial a realização de uma apresentação justificando os prazos associados às recomendações descritas nas páginas 09, 10 e 13 do Relatório RA 1712992.</w:t>
      </w:r>
    </w:p>
    <w:p w14:paraId="0F42D473" w14:textId="77777777" w:rsidR="002C6574" w:rsidRDefault="002C6574">
      <w:pPr>
        <w:pStyle w:val="Corpodetexto"/>
        <w:spacing w:before="23"/>
        <w:rPr>
          <w:rFonts w:ascii="Calibri"/>
          <w:sz w:val="24"/>
        </w:rPr>
      </w:pPr>
    </w:p>
    <w:p w14:paraId="11DCE997" w14:textId="77777777" w:rsidR="002C6574" w:rsidRDefault="00000000">
      <w:pPr>
        <w:pStyle w:val="PargrafodaLista"/>
        <w:numPr>
          <w:ilvl w:val="0"/>
          <w:numId w:val="10"/>
        </w:numPr>
        <w:tabs>
          <w:tab w:val="left" w:pos="579"/>
        </w:tabs>
        <w:spacing w:line="306" w:lineRule="exact"/>
        <w:ind w:left="579"/>
        <w:jc w:val="center"/>
        <w:rPr>
          <w:sz w:val="24"/>
        </w:rPr>
      </w:pPr>
      <w:r>
        <w:rPr>
          <w:b/>
          <w:color w:val="001F5F"/>
          <w:sz w:val="24"/>
        </w:rPr>
        <w:t>Disponível</w:t>
      </w:r>
      <w:r>
        <w:rPr>
          <w:b/>
          <w:color w:val="001F5F"/>
          <w:spacing w:val="-11"/>
          <w:sz w:val="24"/>
        </w:rPr>
        <w:t xml:space="preserve"> </w:t>
      </w:r>
      <w:r>
        <w:rPr>
          <w:b/>
          <w:color w:val="001F5F"/>
          <w:sz w:val="24"/>
        </w:rPr>
        <w:t>em:</w:t>
      </w:r>
      <w:r>
        <w:rPr>
          <w:b/>
          <w:color w:val="001F5F"/>
          <w:spacing w:val="-9"/>
          <w:sz w:val="24"/>
        </w:rPr>
        <w:t xml:space="preserve"> </w:t>
      </w:r>
      <w:hyperlink r:id="rId183">
        <w:r>
          <w:rPr>
            <w:color w:val="0000FF"/>
            <w:sz w:val="24"/>
            <w:u w:val="single" w:color="0000FF"/>
          </w:rPr>
          <w:t>https://www.telebras.com.br/wp-</w:t>
        </w:r>
        <w:r>
          <w:rPr>
            <w:color w:val="0000FF"/>
            <w:spacing w:val="-2"/>
            <w:sz w:val="24"/>
            <w:u w:val="single" w:color="0000FF"/>
          </w:rPr>
          <w:t>content/uploads/2025/12/ATA-</w:t>
        </w:r>
      </w:hyperlink>
    </w:p>
    <w:p w14:paraId="62FA06F7" w14:textId="77777777" w:rsidR="002C6574" w:rsidRDefault="00000000">
      <w:pPr>
        <w:pStyle w:val="Corpodetexto"/>
        <w:spacing w:line="268" w:lineRule="exact"/>
        <w:ind w:left="1997"/>
        <w:rPr>
          <w:rFonts w:ascii="Calibri"/>
        </w:rPr>
      </w:pPr>
      <w:r>
        <w:rPr>
          <w:rFonts w:ascii="Calibri"/>
          <w:color w:val="0000FF"/>
          <w:spacing w:val="-2"/>
          <w:u w:val="single" w:color="0000FF"/>
        </w:rPr>
        <w:t>DA-404a-COAUD-21.08.2025.pdf</w:t>
      </w:r>
    </w:p>
    <w:p w14:paraId="2CEA2C04" w14:textId="77777777" w:rsidR="002C6574" w:rsidRDefault="002C6574">
      <w:pPr>
        <w:pStyle w:val="Corpodetexto"/>
        <w:spacing w:line="268" w:lineRule="exact"/>
        <w:rPr>
          <w:rFonts w:ascii="Calibri"/>
        </w:rPr>
        <w:sectPr w:rsidR="002C6574">
          <w:pgSz w:w="12240" w:h="15840"/>
          <w:pgMar w:top="900" w:right="425" w:bottom="1220" w:left="425" w:header="674" w:footer="1036" w:gutter="0"/>
          <w:cols w:space="720"/>
        </w:sectPr>
      </w:pPr>
    </w:p>
    <w:p w14:paraId="2EA759B7" w14:textId="77777777" w:rsidR="002C6574" w:rsidRDefault="002C6574">
      <w:pPr>
        <w:pStyle w:val="Corpodetexto"/>
        <w:rPr>
          <w:rFonts w:ascii="Calibri"/>
          <w:sz w:val="24"/>
        </w:rPr>
      </w:pPr>
    </w:p>
    <w:p w14:paraId="65298729" w14:textId="77777777" w:rsidR="002C6574" w:rsidRDefault="002C6574">
      <w:pPr>
        <w:pStyle w:val="Corpodetexto"/>
        <w:spacing w:before="148"/>
        <w:rPr>
          <w:rFonts w:ascii="Calibri"/>
          <w:sz w:val="24"/>
        </w:rPr>
      </w:pPr>
    </w:p>
    <w:p w14:paraId="05332D41" w14:textId="77777777" w:rsidR="002C6574" w:rsidRDefault="00000000">
      <w:pPr>
        <w:pStyle w:val="Ttulo8"/>
        <w:numPr>
          <w:ilvl w:val="0"/>
          <w:numId w:val="12"/>
        </w:numPr>
        <w:tabs>
          <w:tab w:val="left" w:pos="1274"/>
        </w:tabs>
        <w:ind w:left="1274" w:hanging="336"/>
        <w:jc w:val="left"/>
      </w:pPr>
      <w:r>
        <w:rPr>
          <w:color w:val="001F5F"/>
        </w:rPr>
        <w:t>ROCOAUD</w:t>
      </w:r>
      <w:r>
        <w:rPr>
          <w:color w:val="001F5F"/>
          <w:spacing w:val="-3"/>
        </w:rPr>
        <w:t xml:space="preserve"> </w:t>
      </w:r>
      <w:r>
        <w:rPr>
          <w:color w:val="001F5F"/>
        </w:rPr>
        <w:t>nº 409ª,</w:t>
      </w:r>
      <w:r>
        <w:rPr>
          <w:color w:val="001F5F"/>
          <w:spacing w:val="-1"/>
        </w:rPr>
        <w:t xml:space="preserve"> </w:t>
      </w:r>
      <w:r>
        <w:rPr>
          <w:color w:val="001F5F"/>
        </w:rPr>
        <w:t>de</w:t>
      </w:r>
      <w:r>
        <w:rPr>
          <w:color w:val="001F5F"/>
          <w:spacing w:val="-3"/>
        </w:rPr>
        <w:t xml:space="preserve"> </w:t>
      </w:r>
      <w:r>
        <w:rPr>
          <w:color w:val="001F5F"/>
          <w:spacing w:val="-2"/>
        </w:rPr>
        <w:t>18/09/2025.</w:t>
      </w:r>
    </w:p>
    <w:p w14:paraId="175BC5AC" w14:textId="77777777" w:rsidR="002C6574" w:rsidRDefault="00000000">
      <w:pPr>
        <w:pStyle w:val="PargrafodaLista"/>
        <w:numPr>
          <w:ilvl w:val="1"/>
          <w:numId w:val="12"/>
        </w:numPr>
        <w:tabs>
          <w:tab w:val="left" w:pos="2280"/>
        </w:tabs>
        <w:spacing w:before="292"/>
        <w:ind w:left="2280" w:right="1177"/>
        <w:jc w:val="both"/>
        <w:rPr>
          <w:rFonts w:ascii="Symbol" w:hAnsi="Symbol"/>
          <w:color w:val="001F5F"/>
          <w:sz w:val="24"/>
        </w:rPr>
      </w:pPr>
      <w:r>
        <w:rPr>
          <w:b/>
          <w:color w:val="001F5F"/>
          <w:sz w:val="24"/>
        </w:rPr>
        <w:t>Solicitação</w:t>
      </w:r>
      <w:r>
        <w:rPr>
          <w:b/>
          <w:color w:val="001F5F"/>
          <w:spacing w:val="-14"/>
          <w:sz w:val="24"/>
        </w:rPr>
        <w:t xml:space="preserve"> </w:t>
      </w:r>
      <w:r>
        <w:rPr>
          <w:b/>
          <w:color w:val="001F5F"/>
          <w:sz w:val="24"/>
        </w:rPr>
        <w:t>1:</w:t>
      </w:r>
      <w:r>
        <w:rPr>
          <w:b/>
          <w:color w:val="001F5F"/>
          <w:spacing w:val="-14"/>
          <w:sz w:val="24"/>
        </w:rPr>
        <w:t xml:space="preserve"> </w:t>
      </w:r>
      <w:r>
        <w:rPr>
          <w:color w:val="001F5F"/>
          <w:sz w:val="24"/>
        </w:rPr>
        <w:t>Relatório</w:t>
      </w:r>
      <w:r>
        <w:rPr>
          <w:color w:val="001F5F"/>
          <w:spacing w:val="-13"/>
          <w:sz w:val="24"/>
        </w:rPr>
        <w:t xml:space="preserve"> </w:t>
      </w:r>
      <w:r>
        <w:rPr>
          <w:color w:val="001F5F"/>
          <w:sz w:val="24"/>
        </w:rPr>
        <w:t>de</w:t>
      </w:r>
      <w:r>
        <w:rPr>
          <w:color w:val="001F5F"/>
          <w:spacing w:val="-14"/>
          <w:sz w:val="24"/>
        </w:rPr>
        <w:t xml:space="preserve"> </w:t>
      </w:r>
      <w:r>
        <w:rPr>
          <w:color w:val="001F5F"/>
          <w:sz w:val="24"/>
        </w:rPr>
        <w:t>Acompanhamento</w:t>
      </w:r>
      <w:r>
        <w:rPr>
          <w:color w:val="001F5F"/>
          <w:spacing w:val="-13"/>
          <w:sz w:val="24"/>
        </w:rPr>
        <w:t xml:space="preserve"> </w:t>
      </w:r>
      <w:r>
        <w:rPr>
          <w:color w:val="001F5F"/>
          <w:sz w:val="24"/>
        </w:rPr>
        <w:t>da</w:t>
      </w:r>
      <w:r>
        <w:rPr>
          <w:color w:val="001F5F"/>
          <w:spacing w:val="-14"/>
          <w:sz w:val="24"/>
        </w:rPr>
        <w:t xml:space="preserve"> </w:t>
      </w:r>
      <w:r>
        <w:rPr>
          <w:color w:val="001F5F"/>
          <w:sz w:val="24"/>
        </w:rPr>
        <w:t>Gestão</w:t>
      </w:r>
      <w:r>
        <w:rPr>
          <w:color w:val="001F5F"/>
          <w:spacing w:val="-9"/>
          <w:sz w:val="24"/>
        </w:rPr>
        <w:t xml:space="preserve"> </w:t>
      </w:r>
      <w:r>
        <w:rPr>
          <w:color w:val="001F5F"/>
          <w:sz w:val="24"/>
        </w:rPr>
        <w:t>(RAG),</w:t>
      </w:r>
      <w:r>
        <w:rPr>
          <w:color w:val="001F5F"/>
          <w:spacing w:val="-13"/>
          <w:sz w:val="24"/>
        </w:rPr>
        <w:t xml:space="preserve"> </w:t>
      </w:r>
      <w:r>
        <w:rPr>
          <w:color w:val="001F5F"/>
          <w:sz w:val="24"/>
        </w:rPr>
        <w:t>versão</w:t>
      </w:r>
      <w:r>
        <w:rPr>
          <w:color w:val="001F5F"/>
          <w:spacing w:val="-13"/>
          <w:sz w:val="24"/>
        </w:rPr>
        <w:t xml:space="preserve"> </w:t>
      </w:r>
      <w:r>
        <w:rPr>
          <w:color w:val="001F5F"/>
          <w:sz w:val="24"/>
        </w:rPr>
        <w:t>sintética</w:t>
      </w:r>
      <w:r>
        <w:rPr>
          <w:color w:val="001F5F"/>
          <w:spacing w:val="-13"/>
          <w:sz w:val="24"/>
        </w:rPr>
        <w:t xml:space="preserve"> </w:t>
      </w:r>
      <w:r>
        <w:rPr>
          <w:color w:val="001F5F"/>
          <w:sz w:val="24"/>
        </w:rPr>
        <w:t>de setembro de 2025 (referente a agosto/2025) - Solicitou a reapresentação do Relatório de Monitoramento Extraordinário – Riscos Financeiros (GT - TLB-DEM- 2024/0010) e do Relatório de Monitoramento de Riscos Muito Altos, Altos, Moderados, Baixos e Muito Baixos – 2024.</w:t>
      </w:r>
    </w:p>
    <w:p w14:paraId="36BB0DA9" w14:textId="77777777" w:rsidR="002C6574" w:rsidRDefault="002C6574">
      <w:pPr>
        <w:pStyle w:val="Corpodetexto"/>
        <w:rPr>
          <w:rFonts w:ascii="Calibri"/>
          <w:sz w:val="24"/>
        </w:rPr>
      </w:pPr>
    </w:p>
    <w:p w14:paraId="4107CC62" w14:textId="77777777" w:rsidR="002C6574" w:rsidRDefault="00000000">
      <w:pPr>
        <w:pStyle w:val="PargrafodaLista"/>
        <w:numPr>
          <w:ilvl w:val="0"/>
          <w:numId w:val="9"/>
        </w:numPr>
        <w:tabs>
          <w:tab w:val="left" w:pos="579"/>
        </w:tabs>
        <w:spacing w:before="1" w:line="306" w:lineRule="exact"/>
        <w:ind w:left="579"/>
        <w:jc w:val="center"/>
        <w:rPr>
          <w:sz w:val="24"/>
        </w:rPr>
      </w:pPr>
      <w:r>
        <w:rPr>
          <w:b/>
          <w:color w:val="001F5F"/>
          <w:sz w:val="24"/>
        </w:rPr>
        <w:t>Disponível</w:t>
      </w:r>
      <w:r>
        <w:rPr>
          <w:b/>
          <w:color w:val="001F5F"/>
          <w:spacing w:val="-11"/>
          <w:sz w:val="24"/>
        </w:rPr>
        <w:t xml:space="preserve"> </w:t>
      </w:r>
      <w:r>
        <w:rPr>
          <w:b/>
          <w:color w:val="001F5F"/>
          <w:sz w:val="24"/>
        </w:rPr>
        <w:t>em:</w:t>
      </w:r>
      <w:r>
        <w:rPr>
          <w:b/>
          <w:color w:val="001F5F"/>
          <w:spacing w:val="-9"/>
          <w:sz w:val="24"/>
        </w:rPr>
        <w:t xml:space="preserve"> </w:t>
      </w:r>
      <w:hyperlink r:id="rId184">
        <w:r>
          <w:rPr>
            <w:color w:val="0000FF"/>
            <w:sz w:val="24"/>
            <w:u w:val="single" w:color="0000FF"/>
          </w:rPr>
          <w:t>https://www.telebras.com.br/wp-</w:t>
        </w:r>
        <w:r>
          <w:rPr>
            <w:color w:val="0000FF"/>
            <w:spacing w:val="-2"/>
            <w:sz w:val="24"/>
            <w:u w:val="single" w:color="0000FF"/>
          </w:rPr>
          <w:t>content/uploads/2025/12/ATA-</w:t>
        </w:r>
      </w:hyperlink>
    </w:p>
    <w:p w14:paraId="6338AA16" w14:textId="77777777" w:rsidR="002C6574" w:rsidRDefault="00000000">
      <w:pPr>
        <w:pStyle w:val="Corpodetexto"/>
        <w:ind w:left="1997"/>
        <w:rPr>
          <w:rFonts w:ascii="Calibri"/>
        </w:rPr>
      </w:pPr>
      <w:r>
        <w:rPr>
          <w:rFonts w:ascii="Calibri"/>
          <w:color w:val="0000FF"/>
          <w:spacing w:val="-2"/>
          <w:u w:val="single" w:color="0000FF"/>
        </w:rPr>
        <w:t>DA-409a-COAUD-18.09.2025.pdf</w:t>
      </w:r>
    </w:p>
    <w:p w14:paraId="0FE1E9B5" w14:textId="77777777" w:rsidR="002C6574" w:rsidRDefault="002C6574">
      <w:pPr>
        <w:pStyle w:val="Corpodetexto"/>
        <w:rPr>
          <w:rFonts w:ascii="Calibri"/>
          <w:sz w:val="24"/>
        </w:rPr>
      </w:pPr>
    </w:p>
    <w:p w14:paraId="68CF84D1" w14:textId="77777777" w:rsidR="002C6574" w:rsidRDefault="00000000">
      <w:pPr>
        <w:pStyle w:val="Ttulo8"/>
        <w:numPr>
          <w:ilvl w:val="0"/>
          <w:numId w:val="12"/>
        </w:numPr>
        <w:tabs>
          <w:tab w:val="left" w:pos="1273"/>
        </w:tabs>
        <w:ind w:left="1273" w:hanging="400"/>
        <w:jc w:val="left"/>
      </w:pPr>
      <w:r>
        <w:rPr>
          <w:color w:val="001F5F"/>
        </w:rPr>
        <w:t>ROCOAUD</w:t>
      </w:r>
      <w:r>
        <w:rPr>
          <w:color w:val="001F5F"/>
          <w:spacing w:val="-3"/>
        </w:rPr>
        <w:t xml:space="preserve"> </w:t>
      </w:r>
      <w:r>
        <w:rPr>
          <w:color w:val="001F5F"/>
        </w:rPr>
        <w:t>nº 410ª,</w:t>
      </w:r>
      <w:r>
        <w:rPr>
          <w:color w:val="001F5F"/>
          <w:spacing w:val="-1"/>
        </w:rPr>
        <w:t xml:space="preserve"> </w:t>
      </w:r>
      <w:r>
        <w:rPr>
          <w:color w:val="001F5F"/>
        </w:rPr>
        <w:t>de</w:t>
      </w:r>
      <w:r>
        <w:rPr>
          <w:color w:val="001F5F"/>
          <w:spacing w:val="-3"/>
        </w:rPr>
        <w:t xml:space="preserve"> </w:t>
      </w:r>
      <w:r>
        <w:rPr>
          <w:color w:val="001F5F"/>
          <w:spacing w:val="-2"/>
        </w:rPr>
        <w:t>25/09/2025.</w:t>
      </w:r>
    </w:p>
    <w:p w14:paraId="7C272B60" w14:textId="77777777" w:rsidR="002C6574" w:rsidRDefault="00000000">
      <w:pPr>
        <w:pStyle w:val="PargrafodaLista"/>
        <w:numPr>
          <w:ilvl w:val="1"/>
          <w:numId w:val="12"/>
        </w:numPr>
        <w:tabs>
          <w:tab w:val="left" w:pos="2280"/>
          <w:tab w:val="left" w:pos="3707"/>
          <w:tab w:val="left" w:pos="4251"/>
          <w:tab w:val="left" w:pos="5498"/>
          <w:tab w:val="left" w:pos="6100"/>
          <w:tab w:val="left" w:pos="7601"/>
          <w:tab w:val="left" w:pos="8031"/>
          <w:tab w:val="left" w:pos="9957"/>
        </w:tabs>
        <w:spacing w:before="292" w:line="242" w:lineRule="auto"/>
        <w:ind w:left="2280" w:right="1179"/>
        <w:rPr>
          <w:rFonts w:ascii="Symbol" w:hAnsi="Symbol"/>
          <w:sz w:val="24"/>
        </w:rPr>
      </w:pPr>
      <w:r>
        <w:rPr>
          <w:b/>
          <w:color w:val="001F5F"/>
          <w:spacing w:val="-2"/>
          <w:sz w:val="24"/>
        </w:rPr>
        <w:t>Solicitação</w:t>
      </w:r>
      <w:r>
        <w:rPr>
          <w:b/>
          <w:color w:val="001F5F"/>
          <w:sz w:val="24"/>
        </w:rPr>
        <w:tab/>
      </w:r>
      <w:r>
        <w:rPr>
          <w:b/>
          <w:color w:val="001F5F"/>
          <w:spacing w:val="-6"/>
          <w:sz w:val="24"/>
        </w:rPr>
        <w:t>1:</w:t>
      </w:r>
      <w:r>
        <w:rPr>
          <w:b/>
          <w:color w:val="001F5F"/>
          <w:sz w:val="24"/>
        </w:rPr>
        <w:tab/>
      </w:r>
      <w:r>
        <w:rPr>
          <w:color w:val="001F5F"/>
          <w:spacing w:val="-2"/>
          <w:sz w:val="24"/>
        </w:rPr>
        <w:t>Relatório</w:t>
      </w:r>
      <w:r>
        <w:rPr>
          <w:color w:val="001F5F"/>
          <w:sz w:val="24"/>
        </w:rPr>
        <w:tab/>
      </w:r>
      <w:r>
        <w:rPr>
          <w:color w:val="001F5F"/>
          <w:spacing w:val="-6"/>
          <w:sz w:val="24"/>
        </w:rPr>
        <w:t>de</w:t>
      </w:r>
      <w:r>
        <w:rPr>
          <w:color w:val="001F5F"/>
          <w:sz w:val="24"/>
        </w:rPr>
        <w:tab/>
      </w:r>
      <w:r>
        <w:rPr>
          <w:color w:val="001F5F"/>
          <w:spacing w:val="-2"/>
          <w:sz w:val="24"/>
        </w:rPr>
        <w:t>Compliance</w:t>
      </w:r>
      <w:r>
        <w:rPr>
          <w:color w:val="001F5F"/>
          <w:sz w:val="24"/>
        </w:rPr>
        <w:tab/>
      </w:r>
      <w:r>
        <w:rPr>
          <w:b/>
          <w:color w:val="001F5F"/>
          <w:spacing w:val="-10"/>
          <w:sz w:val="24"/>
        </w:rPr>
        <w:t>-</w:t>
      </w:r>
      <w:r>
        <w:rPr>
          <w:b/>
          <w:color w:val="001F5F"/>
          <w:sz w:val="24"/>
        </w:rPr>
        <w:tab/>
      </w:r>
      <w:r>
        <w:rPr>
          <w:color w:val="001F5F"/>
          <w:spacing w:val="-2"/>
          <w:sz w:val="24"/>
        </w:rPr>
        <w:t>Reapresentação</w:t>
      </w:r>
      <w:r>
        <w:rPr>
          <w:color w:val="001F5F"/>
          <w:sz w:val="24"/>
        </w:rPr>
        <w:tab/>
      </w:r>
      <w:r>
        <w:rPr>
          <w:color w:val="001F5F"/>
          <w:spacing w:val="-6"/>
          <w:sz w:val="24"/>
        </w:rPr>
        <w:t xml:space="preserve">do </w:t>
      </w:r>
      <w:r>
        <w:rPr>
          <w:color w:val="001F5F"/>
          <w:sz w:val="24"/>
        </w:rPr>
        <w:t>relatório de risco.</w:t>
      </w:r>
    </w:p>
    <w:p w14:paraId="05B7FFD5" w14:textId="77777777" w:rsidR="002C6574" w:rsidRDefault="00000000">
      <w:pPr>
        <w:pStyle w:val="PargrafodaLista"/>
        <w:numPr>
          <w:ilvl w:val="0"/>
          <w:numId w:val="8"/>
        </w:numPr>
        <w:tabs>
          <w:tab w:val="left" w:pos="579"/>
        </w:tabs>
        <w:spacing w:before="288" w:line="306" w:lineRule="exact"/>
        <w:ind w:left="579"/>
        <w:jc w:val="center"/>
        <w:rPr>
          <w:sz w:val="24"/>
        </w:rPr>
      </w:pPr>
      <w:r>
        <w:rPr>
          <w:b/>
          <w:color w:val="001F5F"/>
          <w:sz w:val="24"/>
        </w:rPr>
        <w:t>Disponível</w:t>
      </w:r>
      <w:r>
        <w:rPr>
          <w:b/>
          <w:color w:val="001F5F"/>
          <w:spacing w:val="-11"/>
          <w:sz w:val="24"/>
        </w:rPr>
        <w:t xml:space="preserve"> </w:t>
      </w:r>
      <w:r>
        <w:rPr>
          <w:b/>
          <w:color w:val="001F5F"/>
          <w:sz w:val="24"/>
        </w:rPr>
        <w:t>em:</w:t>
      </w:r>
      <w:r>
        <w:rPr>
          <w:b/>
          <w:color w:val="001F5F"/>
          <w:spacing w:val="-9"/>
          <w:sz w:val="24"/>
        </w:rPr>
        <w:t xml:space="preserve"> </w:t>
      </w:r>
      <w:hyperlink r:id="rId185">
        <w:r>
          <w:rPr>
            <w:color w:val="0000FF"/>
            <w:sz w:val="24"/>
            <w:u w:val="single" w:color="0000FF"/>
          </w:rPr>
          <w:t>https://www.telebras.com.br/wp-</w:t>
        </w:r>
        <w:r>
          <w:rPr>
            <w:color w:val="0000FF"/>
            <w:spacing w:val="-2"/>
            <w:sz w:val="24"/>
            <w:u w:val="single" w:color="0000FF"/>
          </w:rPr>
          <w:t>content/uploads/2025/12/ATA-</w:t>
        </w:r>
      </w:hyperlink>
    </w:p>
    <w:p w14:paraId="7EDE4EE3" w14:textId="77777777" w:rsidR="002C6574" w:rsidRDefault="00000000">
      <w:pPr>
        <w:pStyle w:val="Corpodetexto"/>
        <w:ind w:left="1997"/>
        <w:rPr>
          <w:rFonts w:ascii="Calibri"/>
        </w:rPr>
      </w:pPr>
      <w:r>
        <w:rPr>
          <w:rFonts w:ascii="Calibri"/>
          <w:color w:val="0000FF"/>
          <w:spacing w:val="-2"/>
          <w:u w:val="single" w:color="0000FF"/>
        </w:rPr>
        <w:t>DA-410a-COAUD-25.09.25.pdf</w:t>
      </w:r>
    </w:p>
    <w:p w14:paraId="318569BB" w14:textId="77777777" w:rsidR="002C6574" w:rsidRDefault="002C6574">
      <w:pPr>
        <w:pStyle w:val="Corpodetexto"/>
        <w:rPr>
          <w:rFonts w:ascii="Calibri"/>
          <w:sz w:val="24"/>
        </w:rPr>
      </w:pPr>
    </w:p>
    <w:p w14:paraId="6635E9CC" w14:textId="77777777" w:rsidR="002C6574" w:rsidRDefault="00000000">
      <w:pPr>
        <w:pStyle w:val="Ttulo8"/>
        <w:numPr>
          <w:ilvl w:val="0"/>
          <w:numId w:val="12"/>
        </w:numPr>
        <w:tabs>
          <w:tab w:val="left" w:pos="1275"/>
        </w:tabs>
        <w:ind w:left="1275" w:hanging="464"/>
        <w:jc w:val="left"/>
      </w:pPr>
      <w:r>
        <w:rPr>
          <w:color w:val="001F5F"/>
        </w:rPr>
        <w:t>ROCOAUD</w:t>
      </w:r>
      <w:r>
        <w:rPr>
          <w:color w:val="001F5F"/>
          <w:spacing w:val="-4"/>
        </w:rPr>
        <w:t xml:space="preserve"> </w:t>
      </w:r>
      <w:r>
        <w:rPr>
          <w:color w:val="001F5F"/>
        </w:rPr>
        <w:t>nº</w:t>
      </w:r>
      <w:r>
        <w:rPr>
          <w:color w:val="001F5F"/>
          <w:spacing w:val="1"/>
        </w:rPr>
        <w:t xml:space="preserve"> </w:t>
      </w:r>
      <w:r>
        <w:rPr>
          <w:color w:val="001F5F"/>
        </w:rPr>
        <w:t>416ª,</w:t>
      </w:r>
      <w:r>
        <w:rPr>
          <w:color w:val="001F5F"/>
          <w:spacing w:val="-1"/>
        </w:rPr>
        <w:t xml:space="preserve"> </w:t>
      </w:r>
      <w:r>
        <w:rPr>
          <w:color w:val="001F5F"/>
        </w:rPr>
        <w:t>de</w:t>
      </w:r>
      <w:r>
        <w:rPr>
          <w:color w:val="001F5F"/>
          <w:spacing w:val="-4"/>
        </w:rPr>
        <w:t xml:space="preserve"> </w:t>
      </w:r>
      <w:r>
        <w:rPr>
          <w:color w:val="001F5F"/>
          <w:spacing w:val="-2"/>
        </w:rPr>
        <w:t>23/10/2025</w:t>
      </w:r>
    </w:p>
    <w:p w14:paraId="3D572029" w14:textId="77777777" w:rsidR="002C6574" w:rsidRDefault="00000000">
      <w:pPr>
        <w:pStyle w:val="PargrafodaLista"/>
        <w:numPr>
          <w:ilvl w:val="1"/>
          <w:numId w:val="12"/>
        </w:numPr>
        <w:tabs>
          <w:tab w:val="left" w:pos="2691"/>
        </w:tabs>
        <w:spacing w:before="292"/>
        <w:ind w:left="2409" w:right="1177" w:firstLine="0"/>
        <w:jc w:val="both"/>
        <w:rPr>
          <w:rFonts w:ascii="Symbol" w:hAnsi="Symbol"/>
          <w:color w:val="001F5F"/>
          <w:sz w:val="24"/>
        </w:rPr>
      </w:pPr>
      <w:r>
        <w:rPr>
          <w:b/>
          <w:color w:val="001F5F"/>
          <w:sz w:val="24"/>
        </w:rPr>
        <w:t>Solicitação</w:t>
      </w:r>
      <w:r>
        <w:rPr>
          <w:b/>
          <w:color w:val="001F5F"/>
          <w:spacing w:val="-3"/>
          <w:sz w:val="24"/>
        </w:rPr>
        <w:t xml:space="preserve"> </w:t>
      </w:r>
      <w:r>
        <w:rPr>
          <w:b/>
          <w:color w:val="001F5F"/>
          <w:sz w:val="24"/>
        </w:rPr>
        <w:t>1:</w:t>
      </w:r>
      <w:r>
        <w:rPr>
          <w:b/>
          <w:color w:val="001F5F"/>
          <w:spacing w:val="-2"/>
          <w:sz w:val="24"/>
        </w:rPr>
        <w:t xml:space="preserve"> </w:t>
      </w:r>
      <w:r>
        <w:rPr>
          <w:color w:val="001F5F"/>
          <w:sz w:val="24"/>
        </w:rPr>
        <w:t>CGPAR</w:t>
      </w:r>
      <w:r>
        <w:rPr>
          <w:color w:val="001F5F"/>
          <w:spacing w:val="-4"/>
          <w:sz w:val="24"/>
        </w:rPr>
        <w:t xml:space="preserve"> </w:t>
      </w:r>
      <w:r>
        <w:rPr>
          <w:color w:val="001F5F"/>
          <w:sz w:val="24"/>
        </w:rPr>
        <w:t>38</w:t>
      </w:r>
      <w:r>
        <w:rPr>
          <w:color w:val="001F5F"/>
          <w:spacing w:val="-4"/>
          <w:sz w:val="24"/>
        </w:rPr>
        <w:t xml:space="preserve"> </w:t>
      </w:r>
      <w:r>
        <w:rPr>
          <w:color w:val="001F5F"/>
          <w:sz w:val="24"/>
        </w:rPr>
        <w:t>–</w:t>
      </w:r>
      <w:r>
        <w:rPr>
          <w:color w:val="001F5F"/>
          <w:spacing w:val="-2"/>
          <w:sz w:val="24"/>
        </w:rPr>
        <w:t xml:space="preserve"> </w:t>
      </w:r>
      <w:r>
        <w:rPr>
          <w:color w:val="001F5F"/>
          <w:sz w:val="24"/>
        </w:rPr>
        <w:t>Exercício</w:t>
      </w:r>
      <w:r>
        <w:rPr>
          <w:color w:val="001F5F"/>
          <w:spacing w:val="-2"/>
          <w:sz w:val="24"/>
        </w:rPr>
        <w:t xml:space="preserve"> </w:t>
      </w:r>
      <w:r>
        <w:rPr>
          <w:color w:val="001F5F"/>
          <w:sz w:val="24"/>
        </w:rPr>
        <w:t>de</w:t>
      </w:r>
      <w:r>
        <w:rPr>
          <w:color w:val="001F5F"/>
          <w:spacing w:val="-2"/>
          <w:sz w:val="24"/>
        </w:rPr>
        <w:t xml:space="preserve"> </w:t>
      </w:r>
      <w:r>
        <w:rPr>
          <w:color w:val="001F5F"/>
          <w:sz w:val="24"/>
        </w:rPr>
        <w:t>2024 -</w:t>
      </w:r>
      <w:r>
        <w:rPr>
          <w:color w:val="001F5F"/>
          <w:spacing w:val="-2"/>
          <w:sz w:val="24"/>
        </w:rPr>
        <w:t xml:space="preserve"> </w:t>
      </w:r>
      <w:r>
        <w:rPr>
          <w:color w:val="001F5F"/>
          <w:sz w:val="24"/>
        </w:rPr>
        <w:t>Considerando</w:t>
      </w:r>
      <w:r>
        <w:rPr>
          <w:color w:val="001F5F"/>
          <w:spacing w:val="-2"/>
          <w:sz w:val="24"/>
        </w:rPr>
        <w:t xml:space="preserve"> </w:t>
      </w:r>
      <w:r>
        <w:rPr>
          <w:color w:val="001F5F"/>
          <w:sz w:val="24"/>
        </w:rPr>
        <w:t>a</w:t>
      </w:r>
      <w:r>
        <w:rPr>
          <w:color w:val="001F5F"/>
          <w:spacing w:val="-3"/>
          <w:sz w:val="24"/>
        </w:rPr>
        <w:t xml:space="preserve"> </w:t>
      </w:r>
      <w:r>
        <w:rPr>
          <w:color w:val="001F5F"/>
          <w:sz w:val="24"/>
        </w:rPr>
        <w:t>constatação</w:t>
      </w:r>
      <w:r>
        <w:rPr>
          <w:color w:val="001F5F"/>
          <w:spacing w:val="-5"/>
          <w:sz w:val="24"/>
        </w:rPr>
        <w:t xml:space="preserve"> </w:t>
      </w:r>
      <w:r>
        <w:rPr>
          <w:color w:val="001F5F"/>
          <w:sz w:val="24"/>
        </w:rPr>
        <w:t>da Gerência de Auditoria Interna registrada no Memorando (TLB-MEM- 2025/01844),</w:t>
      </w:r>
      <w:r>
        <w:rPr>
          <w:color w:val="001F5F"/>
          <w:spacing w:val="-7"/>
          <w:sz w:val="24"/>
        </w:rPr>
        <w:t xml:space="preserve"> </w:t>
      </w:r>
      <w:r>
        <w:rPr>
          <w:color w:val="001F5F"/>
          <w:sz w:val="24"/>
        </w:rPr>
        <w:t>que</w:t>
      </w:r>
      <w:r>
        <w:rPr>
          <w:color w:val="001F5F"/>
          <w:spacing w:val="-9"/>
          <w:sz w:val="24"/>
        </w:rPr>
        <w:t xml:space="preserve"> </w:t>
      </w:r>
      <w:r>
        <w:rPr>
          <w:color w:val="001F5F"/>
          <w:sz w:val="24"/>
        </w:rPr>
        <w:t>o</w:t>
      </w:r>
      <w:r>
        <w:rPr>
          <w:color w:val="001F5F"/>
          <w:spacing w:val="-7"/>
          <w:sz w:val="24"/>
        </w:rPr>
        <w:t xml:space="preserve"> </w:t>
      </w:r>
      <w:r>
        <w:rPr>
          <w:color w:val="001F5F"/>
          <w:sz w:val="24"/>
        </w:rPr>
        <w:t>Relatório</w:t>
      </w:r>
      <w:r>
        <w:rPr>
          <w:color w:val="001F5F"/>
          <w:spacing w:val="-7"/>
          <w:sz w:val="24"/>
        </w:rPr>
        <w:t xml:space="preserve"> </w:t>
      </w:r>
      <w:r>
        <w:rPr>
          <w:color w:val="001F5F"/>
          <w:sz w:val="24"/>
        </w:rPr>
        <w:t>CGPAR</w:t>
      </w:r>
      <w:r>
        <w:rPr>
          <w:color w:val="001F5F"/>
          <w:spacing w:val="-10"/>
          <w:sz w:val="24"/>
        </w:rPr>
        <w:t xml:space="preserve"> </w:t>
      </w:r>
      <w:r>
        <w:rPr>
          <w:color w:val="001F5F"/>
          <w:sz w:val="24"/>
        </w:rPr>
        <w:t>38</w:t>
      </w:r>
      <w:r>
        <w:rPr>
          <w:color w:val="001F5F"/>
          <w:spacing w:val="-3"/>
          <w:sz w:val="24"/>
        </w:rPr>
        <w:t xml:space="preserve"> </w:t>
      </w:r>
      <w:r>
        <w:rPr>
          <w:color w:val="001F5F"/>
          <w:sz w:val="24"/>
        </w:rPr>
        <w:t>–</w:t>
      </w:r>
      <w:r>
        <w:rPr>
          <w:color w:val="001F5F"/>
          <w:spacing w:val="-7"/>
          <w:sz w:val="24"/>
        </w:rPr>
        <w:t xml:space="preserve"> </w:t>
      </w:r>
      <w:r>
        <w:rPr>
          <w:color w:val="001F5F"/>
          <w:sz w:val="24"/>
        </w:rPr>
        <w:t>Exercício</w:t>
      </w:r>
      <w:r>
        <w:rPr>
          <w:color w:val="001F5F"/>
          <w:spacing w:val="-7"/>
          <w:sz w:val="24"/>
        </w:rPr>
        <w:t xml:space="preserve"> </w:t>
      </w:r>
      <w:r>
        <w:rPr>
          <w:color w:val="001F5F"/>
          <w:sz w:val="24"/>
        </w:rPr>
        <w:t>de</w:t>
      </w:r>
      <w:r>
        <w:rPr>
          <w:color w:val="001F5F"/>
          <w:spacing w:val="-9"/>
          <w:sz w:val="24"/>
        </w:rPr>
        <w:t xml:space="preserve"> </w:t>
      </w:r>
      <w:r>
        <w:rPr>
          <w:color w:val="001F5F"/>
          <w:sz w:val="24"/>
        </w:rPr>
        <w:t>2024</w:t>
      </w:r>
      <w:r>
        <w:rPr>
          <w:color w:val="001F5F"/>
          <w:spacing w:val="-8"/>
          <w:sz w:val="24"/>
        </w:rPr>
        <w:t xml:space="preserve"> </w:t>
      </w:r>
      <w:r>
        <w:rPr>
          <w:color w:val="001F5F"/>
          <w:sz w:val="24"/>
        </w:rPr>
        <w:t>não</w:t>
      </w:r>
      <w:r>
        <w:rPr>
          <w:color w:val="001F5F"/>
          <w:spacing w:val="-9"/>
          <w:sz w:val="24"/>
        </w:rPr>
        <w:t xml:space="preserve"> </w:t>
      </w:r>
      <w:r>
        <w:rPr>
          <w:color w:val="001F5F"/>
          <w:sz w:val="24"/>
        </w:rPr>
        <w:t>foi</w:t>
      </w:r>
      <w:r>
        <w:rPr>
          <w:color w:val="001F5F"/>
          <w:spacing w:val="-9"/>
          <w:sz w:val="24"/>
        </w:rPr>
        <w:t xml:space="preserve"> </w:t>
      </w:r>
      <w:r>
        <w:rPr>
          <w:color w:val="001F5F"/>
          <w:sz w:val="24"/>
        </w:rPr>
        <w:t>apresentado à Diretoria Executiva, tampouco submetido ao Conselho de Administração da Telebras, nem encaminhado à Previc dentro dos prazos normativos estabelecidos. A não conformidade quanto ao prazo de apreciação e envio do Relatório Técnico de Avaliação dos Planos de Benefícios da SISTEL à Previc decorreu de fatores organizacionais e operacionais que impactaram o cronograma previsto, este Comitê solicita a implementação das medidas propostas conforme apresentado e registrado a seguir: regularização do envio do</w:t>
      </w:r>
      <w:r>
        <w:rPr>
          <w:color w:val="001F5F"/>
          <w:spacing w:val="-7"/>
          <w:sz w:val="24"/>
        </w:rPr>
        <w:t xml:space="preserve"> </w:t>
      </w:r>
      <w:r>
        <w:rPr>
          <w:color w:val="001F5F"/>
          <w:sz w:val="24"/>
        </w:rPr>
        <w:t>relatório</w:t>
      </w:r>
      <w:r>
        <w:rPr>
          <w:color w:val="001F5F"/>
          <w:spacing w:val="-7"/>
          <w:sz w:val="24"/>
        </w:rPr>
        <w:t xml:space="preserve"> </w:t>
      </w:r>
      <w:r>
        <w:rPr>
          <w:color w:val="001F5F"/>
          <w:sz w:val="24"/>
        </w:rPr>
        <w:t>à</w:t>
      </w:r>
      <w:r>
        <w:rPr>
          <w:color w:val="001F5F"/>
          <w:spacing w:val="-10"/>
          <w:sz w:val="24"/>
        </w:rPr>
        <w:t xml:space="preserve"> </w:t>
      </w:r>
      <w:r>
        <w:rPr>
          <w:color w:val="001F5F"/>
          <w:sz w:val="24"/>
        </w:rPr>
        <w:t>Previc,</w:t>
      </w:r>
      <w:r>
        <w:rPr>
          <w:color w:val="001F5F"/>
          <w:spacing w:val="-6"/>
          <w:sz w:val="24"/>
        </w:rPr>
        <w:t xml:space="preserve"> </w:t>
      </w:r>
      <w:r>
        <w:rPr>
          <w:color w:val="001F5F"/>
          <w:sz w:val="24"/>
        </w:rPr>
        <w:t>observando</w:t>
      </w:r>
      <w:r>
        <w:rPr>
          <w:color w:val="001F5F"/>
          <w:spacing w:val="-9"/>
          <w:sz w:val="24"/>
        </w:rPr>
        <w:t xml:space="preserve"> </w:t>
      </w:r>
      <w:r>
        <w:rPr>
          <w:color w:val="001F5F"/>
          <w:sz w:val="24"/>
        </w:rPr>
        <w:t>o</w:t>
      </w:r>
      <w:r>
        <w:rPr>
          <w:color w:val="001F5F"/>
          <w:spacing w:val="-7"/>
          <w:sz w:val="24"/>
        </w:rPr>
        <w:t xml:space="preserve"> </w:t>
      </w:r>
      <w:r>
        <w:rPr>
          <w:color w:val="001F5F"/>
          <w:sz w:val="24"/>
        </w:rPr>
        <w:t>cumprimento</w:t>
      </w:r>
      <w:r>
        <w:rPr>
          <w:color w:val="001F5F"/>
          <w:spacing w:val="-9"/>
          <w:sz w:val="24"/>
        </w:rPr>
        <w:t xml:space="preserve"> </w:t>
      </w:r>
      <w:r>
        <w:rPr>
          <w:color w:val="001F5F"/>
          <w:sz w:val="24"/>
        </w:rPr>
        <w:t>integral</w:t>
      </w:r>
      <w:r>
        <w:rPr>
          <w:color w:val="001F5F"/>
          <w:spacing w:val="-10"/>
          <w:sz w:val="24"/>
        </w:rPr>
        <w:t xml:space="preserve"> </w:t>
      </w:r>
      <w:r>
        <w:rPr>
          <w:color w:val="001F5F"/>
          <w:sz w:val="24"/>
        </w:rPr>
        <w:t>das</w:t>
      </w:r>
      <w:r>
        <w:rPr>
          <w:color w:val="001F5F"/>
          <w:spacing w:val="-10"/>
          <w:sz w:val="24"/>
        </w:rPr>
        <w:t xml:space="preserve"> </w:t>
      </w:r>
      <w:r>
        <w:rPr>
          <w:color w:val="001F5F"/>
          <w:sz w:val="24"/>
        </w:rPr>
        <w:t>etapas</w:t>
      </w:r>
      <w:r>
        <w:rPr>
          <w:color w:val="001F5F"/>
          <w:spacing w:val="-7"/>
          <w:sz w:val="24"/>
        </w:rPr>
        <w:t xml:space="preserve"> </w:t>
      </w:r>
      <w:r>
        <w:rPr>
          <w:color w:val="001F5F"/>
          <w:sz w:val="24"/>
        </w:rPr>
        <w:t>internas</w:t>
      </w:r>
      <w:r>
        <w:rPr>
          <w:color w:val="001F5F"/>
          <w:spacing w:val="-7"/>
          <w:sz w:val="24"/>
        </w:rPr>
        <w:t xml:space="preserve"> </w:t>
      </w:r>
      <w:r>
        <w:rPr>
          <w:color w:val="001F5F"/>
          <w:sz w:val="24"/>
        </w:rPr>
        <w:t>de deliberação pelo Conselho de Administração, bem como estabeleça o fluxo de trabalho com prazos e responsabilidades e checklist do processo, instituindo assim a rotina anual de acompanhamento e controle de prazos de forma tempestiva, a fim de assegurar a conformidade contínua com as disposições da CGPAR nº38/2022 e evitar reincidência.</w:t>
      </w:r>
    </w:p>
    <w:p w14:paraId="527991B2" w14:textId="77777777" w:rsidR="002C6574" w:rsidRDefault="002C6574">
      <w:pPr>
        <w:pStyle w:val="Corpodetexto"/>
        <w:spacing w:before="2"/>
        <w:rPr>
          <w:rFonts w:ascii="Calibri"/>
          <w:sz w:val="24"/>
        </w:rPr>
      </w:pPr>
    </w:p>
    <w:p w14:paraId="1CD73A79" w14:textId="77777777" w:rsidR="002C6574" w:rsidRDefault="00000000">
      <w:pPr>
        <w:pStyle w:val="PargrafodaLista"/>
        <w:numPr>
          <w:ilvl w:val="0"/>
          <w:numId w:val="7"/>
        </w:numPr>
        <w:tabs>
          <w:tab w:val="left" w:pos="1984"/>
        </w:tabs>
        <w:spacing w:line="306" w:lineRule="exact"/>
        <w:ind w:left="1984" w:hanging="424"/>
        <w:rPr>
          <w:sz w:val="24"/>
        </w:rPr>
      </w:pPr>
      <w:r>
        <w:rPr>
          <w:b/>
          <w:color w:val="001F5F"/>
          <w:sz w:val="24"/>
        </w:rPr>
        <w:t>Disponível</w:t>
      </w:r>
      <w:r>
        <w:rPr>
          <w:b/>
          <w:color w:val="001F5F"/>
          <w:spacing w:val="-3"/>
          <w:sz w:val="24"/>
        </w:rPr>
        <w:t xml:space="preserve"> </w:t>
      </w:r>
      <w:r>
        <w:rPr>
          <w:b/>
          <w:color w:val="001F5F"/>
          <w:sz w:val="24"/>
        </w:rPr>
        <w:t>em:</w:t>
      </w:r>
      <w:r>
        <w:rPr>
          <w:b/>
          <w:color w:val="001F5F"/>
          <w:spacing w:val="-2"/>
          <w:sz w:val="24"/>
        </w:rPr>
        <w:t xml:space="preserve"> </w:t>
      </w:r>
      <w:hyperlink r:id="rId186">
        <w:r>
          <w:rPr>
            <w:color w:val="0000FF"/>
            <w:spacing w:val="-2"/>
            <w:sz w:val="24"/>
            <w:u w:val="single" w:color="0000FF"/>
          </w:rPr>
          <w:t>https://www.telebras.com.br/wp-</w:t>
        </w:r>
      </w:hyperlink>
    </w:p>
    <w:p w14:paraId="07EB0183" w14:textId="77777777" w:rsidR="002C6574" w:rsidRDefault="00000000">
      <w:pPr>
        <w:pStyle w:val="Corpodetexto"/>
        <w:ind w:left="340" w:right="775"/>
        <w:jc w:val="center"/>
        <w:rPr>
          <w:rFonts w:ascii="Calibri"/>
        </w:rPr>
      </w:pPr>
      <w:r>
        <w:rPr>
          <w:rFonts w:ascii="Calibri"/>
          <w:color w:val="0000FF"/>
          <w:spacing w:val="-2"/>
          <w:u w:val="single" w:color="0000FF"/>
        </w:rPr>
        <w:t>content/uploads/2025/11/ATA_DA_416a-Reuniao-do-COAUD_23.10.2025-assinada.pdf</w:t>
      </w:r>
    </w:p>
    <w:p w14:paraId="5DA5B1FD" w14:textId="77777777" w:rsidR="002C6574" w:rsidRDefault="002C6574">
      <w:pPr>
        <w:pStyle w:val="Corpodetexto"/>
        <w:jc w:val="center"/>
        <w:rPr>
          <w:rFonts w:ascii="Calibri"/>
        </w:rPr>
        <w:sectPr w:rsidR="002C6574">
          <w:pgSz w:w="12240" w:h="15840"/>
          <w:pgMar w:top="900" w:right="425" w:bottom="1220" w:left="425" w:header="674" w:footer="1036" w:gutter="0"/>
          <w:cols w:space="720"/>
        </w:sectPr>
      </w:pPr>
    </w:p>
    <w:p w14:paraId="38AA27FA" w14:textId="77777777" w:rsidR="002C6574" w:rsidRDefault="00000000">
      <w:pPr>
        <w:pStyle w:val="Ttulo8"/>
        <w:numPr>
          <w:ilvl w:val="0"/>
          <w:numId w:val="12"/>
        </w:numPr>
        <w:tabs>
          <w:tab w:val="left" w:pos="1275"/>
        </w:tabs>
        <w:spacing w:before="280"/>
        <w:ind w:left="1275" w:hanging="529"/>
        <w:jc w:val="left"/>
      </w:pPr>
      <w:r>
        <w:rPr>
          <w:color w:val="001F5F"/>
        </w:rPr>
        <w:lastRenderedPageBreak/>
        <w:t>ROCOAUD</w:t>
      </w:r>
      <w:r>
        <w:rPr>
          <w:color w:val="001F5F"/>
          <w:spacing w:val="-4"/>
        </w:rPr>
        <w:t xml:space="preserve"> </w:t>
      </w:r>
      <w:r>
        <w:rPr>
          <w:color w:val="001F5F"/>
        </w:rPr>
        <w:t>nº</w:t>
      </w:r>
      <w:r>
        <w:rPr>
          <w:color w:val="001F5F"/>
          <w:spacing w:val="1"/>
        </w:rPr>
        <w:t xml:space="preserve"> </w:t>
      </w:r>
      <w:r>
        <w:rPr>
          <w:color w:val="001F5F"/>
        </w:rPr>
        <w:t>421ª,</w:t>
      </w:r>
      <w:r>
        <w:rPr>
          <w:color w:val="001F5F"/>
          <w:spacing w:val="-1"/>
        </w:rPr>
        <w:t xml:space="preserve"> </w:t>
      </w:r>
      <w:r>
        <w:rPr>
          <w:color w:val="001F5F"/>
        </w:rPr>
        <w:t>de</w:t>
      </w:r>
      <w:r>
        <w:rPr>
          <w:color w:val="001F5F"/>
          <w:spacing w:val="-4"/>
        </w:rPr>
        <w:t xml:space="preserve"> </w:t>
      </w:r>
      <w:r>
        <w:rPr>
          <w:color w:val="001F5F"/>
          <w:spacing w:val="-2"/>
        </w:rPr>
        <w:t>19/11/2025.</w:t>
      </w:r>
    </w:p>
    <w:p w14:paraId="72CC7F54" w14:textId="77777777" w:rsidR="002C6574" w:rsidRDefault="002C6574">
      <w:pPr>
        <w:pStyle w:val="Corpodetexto"/>
        <w:rPr>
          <w:rFonts w:ascii="Calibri"/>
          <w:b/>
          <w:sz w:val="24"/>
        </w:rPr>
      </w:pPr>
    </w:p>
    <w:p w14:paraId="2A3DADBB" w14:textId="77777777" w:rsidR="002C6574" w:rsidRDefault="002C6574">
      <w:pPr>
        <w:pStyle w:val="Corpodetexto"/>
        <w:spacing w:before="28"/>
        <w:rPr>
          <w:rFonts w:ascii="Calibri"/>
          <w:b/>
          <w:sz w:val="24"/>
        </w:rPr>
      </w:pPr>
    </w:p>
    <w:p w14:paraId="1B3EAE49" w14:textId="77777777" w:rsidR="002C6574" w:rsidRDefault="00000000">
      <w:pPr>
        <w:pStyle w:val="PargrafodaLista"/>
        <w:numPr>
          <w:ilvl w:val="1"/>
          <w:numId w:val="12"/>
        </w:numPr>
        <w:tabs>
          <w:tab w:val="left" w:pos="1984"/>
        </w:tabs>
        <w:ind w:left="1560" w:right="1180" w:firstLine="0"/>
        <w:jc w:val="both"/>
        <w:rPr>
          <w:rFonts w:ascii="Symbol" w:hAnsi="Symbol"/>
          <w:color w:val="001F5F"/>
          <w:sz w:val="24"/>
        </w:rPr>
      </w:pPr>
      <w:r>
        <w:rPr>
          <w:b/>
          <w:color w:val="001F5F"/>
          <w:sz w:val="24"/>
        </w:rPr>
        <w:t>Solicitação 1</w:t>
      </w:r>
      <w:r>
        <w:rPr>
          <w:color w:val="001F5F"/>
          <w:sz w:val="24"/>
        </w:rPr>
        <w:t>: Plano Estratégico Institucional 2026-2030 - Solicitou que seja incluído no plano de trabalho anual para 2026 deste COAUD o seguinte tema: Integrando boas práticas ambientais, sociais e de governança (ESG)</w:t>
      </w:r>
    </w:p>
    <w:p w14:paraId="4EB0E7B5" w14:textId="77777777" w:rsidR="002C6574" w:rsidRDefault="00000000">
      <w:pPr>
        <w:pStyle w:val="PargrafodaLista"/>
        <w:numPr>
          <w:ilvl w:val="1"/>
          <w:numId w:val="12"/>
        </w:numPr>
        <w:tabs>
          <w:tab w:val="left" w:pos="1984"/>
        </w:tabs>
        <w:spacing w:before="291"/>
        <w:ind w:left="1984" w:hanging="424"/>
        <w:jc w:val="both"/>
        <w:rPr>
          <w:rFonts w:ascii="Symbol" w:hAnsi="Symbol"/>
          <w:color w:val="001F5F"/>
          <w:sz w:val="24"/>
        </w:rPr>
      </w:pPr>
      <w:r>
        <w:rPr>
          <w:b/>
          <w:color w:val="001F5F"/>
          <w:sz w:val="24"/>
        </w:rPr>
        <w:t>Disponível</w:t>
      </w:r>
      <w:r>
        <w:rPr>
          <w:b/>
          <w:color w:val="001F5F"/>
          <w:spacing w:val="-11"/>
          <w:sz w:val="24"/>
        </w:rPr>
        <w:t xml:space="preserve"> </w:t>
      </w:r>
      <w:r>
        <w:rPr>
          <w:b/>
          <w:color w:val="001F5F"/>
          <w:sz w:val="24"/>
        </w:rPr>
        <w:t>em:</w:t>
      </w:r>
      <w:r>
        <w:rPr>
          <w:b/>
          <w:color w:val="001F5F"/>
          <w:spacing w:val="-9"/>
          <w:sz w:val="24"/>
        </w:rPr>
        <w:t xml:space="preserve"> </w:t>
      </w:r>
      <w:hyperlink r:id="rId187">
        <w:r>
          <w:rPr>
            <w:color w:val="0000FF"/>
            <w:sz w:val="24"/>
            <w:u w:val="single" w:color="0000FF"/>
          </w:rPr>
          <w:t>https://www.telebras.com.br/wp-</w:t>
        </w:r>
        <w:r>
          <w:rPr>
            <w:color w:val="0000FF"/>
            <w:spacing w:val="-2"/>
            <w:sz w:val="24"/>
            <w:u w:val="single" w:color="0000FF"/>
          </w:rPr>
          <w:t>content/uploads/2025/12/ATA-</w:t>
        </w:r>
      </w:hyperlink>
    </w:p>
    <w:p w14:paraId="73B5E5A4" w14:textId="77777777" w:rsidR="002C6574" w:rsidRDefault="00000000">
      <w:pPr>
        <w:pStyle w:val="Corpodetexto"/>
        <w:spacing w:before="2"/>
        <w:ind w:left="1560"/>
        <w:rPr>
          <w:rFonts w:ascii="Calibri"/>
        </w:rPr>
      </w:pPr>
      <w:r>
        <w:rPr>
          <w:rFonts w:ascii="Calibri"/>
          <w:color w:val="0000FF"/>
          <w:spacing w:val="-2"/>
          <w:u w:val="single" w:color="0000FF"/>
        </w:rPr>
        <w:t>DA-421a-COAUD-19.11.2025.pdf</w:t>
      </w:r>
    </w:p>
    <w:p w14:paraId="2437AB15" w14:textId="77777777" w:rsidR="002C6574" w:rsidRDefault="002C6574">
      <w:pPr>
        <w:pStyle w:val="Corpodetexto"/>
        <w:rPr>
          <w:rFonts w:ascii="Calibri"/>
          <w:sz w:val="24"/>
        </w:rPr>
      </w:pPr>
    </w:p>
    <w:p w14:paraId="06AB0AB1" w14:textId="77777777" w:rsidR="002C6574" w:rsidRDefault="002C6574">
      <w:pPr>
        <w:pStyle w:val="Corpodetexto"/>
        <w:spacing w:before="27"/>
        <w:rPr>
          <w:rFonts w:ascii="Calibri"/>
          <w:sz w:val="24"/>
        </w:rPr>
      </w:pPr>
    </w:p>
    <w:p w14:paraId="6AC5D568" w14:textId="77777777" w:rsidR="002C6574" w:rsidRDefault="00000000">
      <w:pPr>
        <w:pStyle w:val="Ttulo8"/>
        <w:numPr>
          <w:ilvl w:val="0"/>
          <w:numId w:val="12"/>
        </w:numPr>
        <w:tabs>
          <w:tab w:val="left" w:pos="1273"/>
        </w:tabs>
        <w:ind w:left="1273" w:hanging="390"/>
        <w:jc w:val="left"/>
      </w:pPr>
      <w:r>
        <w:rPr>
          <w:color w:val="001F5F"/>
        </w:rPr>
        <w:t>ROCOAUD</w:t>
      </w:r>
      <w:r>
        <w:rPr>
          <w:color w:val="001F5F"/>
          <w:spacing w:val="-3"/>
        </w:rPr>
        <w:t xml:space="preserve"> </w:t>
      </w:r>
      <w:r>
        <w:rPr>
          <w:color w:val="001F5F"/>
        </w:rPr>
        <w:t>nº 422ª,</w:t>
      </w:r>
      <w:r>
        <w:rPr>
          <w:color w:val="001F5F"/>
          <w:spacing w:val="-1"/>
        </w:rPr>
        <w:t xml:space="preserve"> </w:t>
      </w:r>
      <w:r>
        <w:rPr>
          <w:color w:val="001F5F"/>
        </w:rPr>
        <w:t>de</w:t>
      </w:r>
      <w:r>
        <w:rPr>
          <w:color w:val="001F5F"/>
          <w:spacing w:val="-3"/>
        </w:rPr>
        <w:t xml:space="preserve"> </w:t>
      </w:r>
      <w:r>
        <w:rPr>
          <w:color w:val="001F5F"/>
          <w:spacing w:val="-2"/>
        </w:rPr>
        <w:t>27/11/2025.</w:t>
      </w:r>
    </w:p>
    <w:p w14:paraId="4298DDF5" w14:textId="77777777" w:rsidR="002C6574" w:rsidRDefault="00000000">
      <w:pPr>
        <w:pStyle w:val="PargrafodaLista"/>
        <w:numPr>
          <w:ilvl w:val="1"/>
          <w:numId w:val="12"/>
        </w:numPr>
        <w:tabs>
          <w:tab w:val="left" w:pos="1997"/>
        </w:tabs>
        <w:spacing w:before="292"/>
        <w:ind w:right="1177"/>
        <w:jc w:val="both"/>
        <w:rPr>
          <w:rFonts w:ascii="Symbol" w:hAnsi="Symbol"/>
          <w:color w:val="001F5F"/>
          <w:sz w:val="24"/>
        </w:rPr>
      </w:pPr>
      <w:r>
        <w:rPr>
          <w:b/>
          <w:color w:val="001F5F"/>
          <w:sz w:val="24"/>
        </w:rPr>
        <w:t>Solicitação 1</w:t>
      </w:r>
      <w:r>
        <w:rPr>
          <w:color w:val="001F5F"/>
          <w:sz w:val="24"/>
        </w:rPr>
        <w:t>: Plano de Trabalho do COAUD para Exercício de 2026 - Avaliar e Monitorar Exposições de Risco da Companhia, podendo requerer, entre outras, informações</w:t>
      </w:r>
      <w:r>
        <w:rPr>
          <w:color w:val="001F5F"/>
          <w:spacing w:val="-10"/>
          <w:sz w:val="24"/>
        </w:rPr>
        <w:t xml:space="preserve"> </w:t>
      </w:r>
      <w:r>
        <w:rPr>
          <w:color w:val="001F5F"/>
          <w:sz w:val="24"/>
        </w:rPr>
        <w:t>detalhadas</w:t>
      </w:r>
      <w:r>
        <w:rPr>
          <w:color w:val="001F5F"/>
          <w:spacing w:val="-11"/>
          <w:sz w:val="24"/>
        </w:rPr>
        <w:t xml:space="preserve"> </w:t>
      </w:r>
      <w:r>
        <w:rPr>
          <w:color w:val="001F5F"/>
          <w:sz w:val="24"/>
        </w:rPr>
        <w:t>sobre</w:t>
      </w:r>
      <w:r>
        <w:rPr>
          <w:color w:val="001F5F"/>
          <w:spacing w:val="-10"/>
          <w:sz w:val="24"/>
        </w:rPr>
        <w:t xml:space="preserve"> </w:t>
      </w:r>
      <w:r>
        <w:rPr>
          <w:color w:val="001F5F"/>
          <w:sz w:val="24"/>
        </w:rPr>
        <w:t>políticas</w:t>
      </w:r>
      <w:r>
        <w:rPr>
          <w:color w:val="001F5F"/>
          <w:spacing w:val="-9"/>
          <w:sz w:val="24"/>
        </w:rPr>
        <w:t xml:space="preserve"> </w:t>
      </w:r>
      <w:r>
        <w:rPr>
          <w:color w:val="001F5F"/>
          <w:sz w:val="24"/>
        </w:rPr>
        <w:t>e</w:t>
      </w:r>
      <w:r>
        <w:rPr>
          <w:color w:val="001F5F"/>
          <w:spacing w:val="-10"/>
          <w:sz w:val="24"/>
        </w:rPr>
        <w:t xml:space="preserve"> </w:t>
      </w:r>
      <w:r>
        <w:rPr>
          <w:color w:val="001F5F"/>
          <w:sz w:val="24"/>
        </w:rPr>
        <w:t>procedimentos</w:t>
      </w:r>
      <w:r>
        <w:rPr>
          <w:color w:val="001F5F"/>
          <w:spacing w:val="-9"/>
          <w:sz w:val="24"/>
        </w:rPr>
        <w:t xml:space="preserve"> </w:t>
      </w:r>
      <w:r>
        <w:rPr>
          <w:color w:val="001F5F"/>
          <w:sz w:val="24"/>
        </w:rPr>
        <w:t>referentes:</w:t>
      </w:r>
      <w:r>
        <w:rPr>
          <w:color w:val="001F5F"/>
          <w:spacing w:val="-9"/>
          <w:sz w:val="24"/>
        </w:rPr>
        <w:t xml:space="preserve"> </w:t>
      </w:r>
      <w:r>
        <w:rPr>
          <w:color w:val="001F5F"/>
          <w:sz w:val="24"/>
        </w:rPr>
        <w:t>a)</w:t>
      </w:r>
      <w:r>
        <w:rPr>
          <w:color w:val="001F5F"/>
          <w:spacing w:val="-11"/>
          <w:sz w:val="24"/>
        </w:rPr>
        <w:t xml:space="preserve"> </w:t>
      </w:r>
      <w:r>
        <w:rPr>
          <w:color w:val="001F5F"/>
          <w:sz w:val="24"/>
        </w:rPr>
        <w:t>remuneração da administração; b) utilização de ativos da Companhia; e c) gastos incorridos em nome da Companhia.</w:t>
      </w:r>
    </w:p>
    <w:p w14:paraId="7D87DE7C" w14:textId="77777777" w:rsidR="002C6574" w:rsidRDefault="002C6574">
      <w:pPr>
        <w:pStyle w:val="Corpodetexto"/>
        <w:rPr>
          <w:rFonts w:ascii="Calibri"/>
          <w:sz w:val="24"/>
        </w:rPr>
      </w:pPr>
    </w:p>
    <w:p w14:paraId="606F3D1F" w14:textId="77777777" w:rsidR="002C6574" w:rsidRDefault="002C6574">
      <w:pPr>
        <w:pStyle w:val="Corpodetexto"/>
        <w:spacing w:before="27"/>
        <w:rPr>
          <w:rFonts w:ascii="Calibri"/>
          <w:sz w:val="24"/>
        </w:rPr>
      </w:pPr>
    </w:p>
    <w:p w14:paraId="2688B4B1" w14:textId="77777777" w:rsidR="002C6574" w:rsidRDefault="00000000">
      <w:pPr>
        <w:pStyle w:val="PargrafodaLista"/>
        <w:numPr>
          <w:ilvl w:val="1"/>
          <w:numId w:val="12"/>
        </w:numPr>
        <w:tabs>
          <w:tab w:val="left" w:pos="555"/>
        </w:tabs>
        <w:ind w:left="555" w:hanging="424"/>
        <w:jc w:val="center"/>
        <w:rPr>
          <w:rFonts w:ascii="Symbol" w:hAnsi="Symbol"/>
          <w:color w:val="001F5F"/>
          <w:sz w:val="24"/>
        </w:rPr>
      </w:pPr>
      <w:r>
        <w:rPr>
          <w:b/>
          <w:color w:val="001F5F"/>
          <w:sz w:val="24"/>
        </w:rPr>
        <w:t>Disponível</w:t>
      </w:r>
      <w:r>
        <w:rPr>
          <w:b/>
          <w:color w:val="001F5F"/>
          <w:spacing w:val="-11"/>
          <w:sz w:val="24"/>
        </w:rPr>
        <w:t xml:space="preserve"> </w:t>
      </w:r>
      <w:r>
        <w:rPr>
          <w:b/>
          <w:color w:val="001F5F"/>
          <w:sz w:val="24"/>
        </w:rPr>
        <w:t>em:</w:t>
      </w:r>
      <w:r>
        <w:rPr>
          <w:b/>
          <w:color w:val="001F5F"/>
          <w:spacing w:val="-9"/>
          <w:sz w:val="24"/>
        </w:rPr>
        <w:t xml:space="preserve"> </w:t>
      </w:r>
      <w:hyperlink r:id="rId188">
        <w:r>
          <w:rPr>
            <w:color w:val="0000FF"/>
            <w:sz w:val="24"/>
            <w:u w:val="single" w:color="0000FF"/>
          </w:rPr>
          <w:t>https://www.telebras.com.br/wp-</w:t>
        </w:r>
        <w:r>
          <w:rPr>
            <w:color w:val="0000FF"/>
            <w:spacing w:val="-2"/>
            <w:sz w:val="24"/>
            <w:u w:val="single" w:color="0000FF"/>
          </w:rPr>
          <w:t>content/uploads/2026/01/ATA-</w:t>
        </w:r>
      </w:hyperlink>
    </w:p>
    <w:p w14:paraId="6588A963" w14:textId="77777777" w:rsidR="002C6574" w:rsidRDefault="00000000">
      <w:pPr>
        <w:pStyle w:val="Corpodetexto"/>
        <w:spacing w:before="2"/>
        <w:ind w:left="1560"/>
        <w:rPr>
          <w:rFonts w:ascii="Calibri"/>
        </w:rPr>
      </w:pPr>
      <w:r>
        <w:rPr>
          <w:rFonts w:ascii="Calibri"/>
          <w:color w:val="0000FF"/>
          <w:spacing w:val="-2"/>
          <w:u w:val="single" w:color="0000FF"/>
        </w:rPr>
        <w:t>DA-422a-COAUD_27.11.2025.pdf</w:t>
      </w:r>
    </w:p>
    <w:p w14:paraId="46D738EB" w14:textId="77777777" w:rsidR="002C6574" w:rsidRDefault="002C6574">
      <w:pPr>
        <w:pStyle w:val="Corpodetexto"/>
        <w:spacing w:before="222"/>
        <w:rPr>
          <w:rFonts w:ascii="Calibri"/>
          <w:sz w:val="24"/>
        </w:rPr>
      </w:pPr>
    </w:p>
    <w:p w14:paraId="49AF762C" w14:textId="77777777" w:rsidR="002C6574" w:rsidRDefault="00000000">
      <w:pPr>
        <w:pStyle w:val="Ttulo8"/>
        <w:ind w:left="340" w:right="5725"/>
        <w:jc w:val="center"/>
      </w:pPr>
      <w:r>
        <w:rPr>
          <w:color w:val="001F5F"/>
        </w:rPr>
        <w:t>ROCOAUD</w:t>
      </w:r>
      <w:r>
        <w:rPr>
          <w:color w:val="001F5F"/>
          <w:spacing w:val="-3"/>
        </w:rPr>
        <w:t xml:space="preserve"> </w:t>
      </w:r>
      <w:r>
        <w:rPr>
          <w:color w:val="001F5F"/>
        </w:rPr>
        <w:t>nº 424ª,</w:t>
      </w:r>
      <w:r>
        <w:rPr>
          <w:color w:val="001F5F"/>
          <w:spacing w:val="-1"/>
        </w:rPr>
        <w:t xml:space="preserve"> </w:t>
      </w:r>
      <w:r>
        <w:rPr>
          <w:color w:val="001F5F"/>
        </w:rPr>
        <w:t>de</w:t>
      </w:r>
      <w:r>
        <w:rPr>
          <w:color w:val="001F5F"/>
          <w:spacing w:val="-3"/>
        </w:rPr>
        <w:t xml:space="preserve"> </w:t>
      </w:r>
      <w:r>
        <w:rPr>
          <w:color w:val="001F5F"/>
          <w:spacing w:val="-2"/>
        </w:rPr>
        <w:t>11/12/2025</w:t>
      </w:r>
    </w:p>
    <w:p w14:paraId="6B5557EA" w14:textId="77777777" w:rsidR="002C6574" w:rsidRDefault="002C6574">
      <w:pPr>
        <w:pStyle w:val="Corpodetexto"/>
        <w:spacing w:before="222"/>
        <w:rPr>
          <w:rFonts w:ascii="Calibri"/>
          <w:b/>
          <w:sz w:val="24"/>
        </w:rPr>
      </w:pPr>
    </w:p>
    <w:p w14:paraId="441A955B" w14:textId="77777777" w:rsidR="002C6574" w:rsidRDefault="00000000">
      <w:pPr>
        <w:pStyle w:val="PargrafodaLista"/>
        <w:numPr>
          <w:ilvl w:val="0"/>
          <w:numId w:val="6"/>
        </w:numPr>
        <w:tabs>
          <w:tab w:val="left" w:pos="1637"/>
        </w:tabs>
        <w:ind w:right="1177"/>
        <w:jc w:val="both"/>
        <w:rPr>
          <w:sz w:val="24"/>
        </w:rPr>
      </w:pPr>
      <w:r>
        <w:rPr>
          <w:b/>
          <w:color w:val="001F5F"/>
          <w:sz w:val="24"/>
        </w:rPr>
        <w:t>Solicitação 1</w:t>
      </w:r>
      <w:r>
        <w:rPr>
          <w:color w:val="001F5F"/>
          <w:sz w:val="24"/>
        </w:rPr>
        <w:t xml:space="preserve">: Prorrogação de prazo para cumprimento de ponto de Auditoria - </w:t>
      </w:r>
      <w:r>
        <w:rPr>
          <w:color w:val="001F5F"/>
          <w:spacing w:val="-2"/>
          <w:sz w:val="24"/>
        </w:rPr>
        <w:t>Implementação</w:t>
      </w:r>
      <w:r>
        <w:rPr>
          <w:color w:val="001F5F"/>
          <w:spacing w:val="-5"/>
          <w:sz w:val="24"/>
        </w:rPr>
        <w:t xml:space="preserve"> </w:t>
      </w:r>
      <w:r>
        <w:rPr>
          <w:color w:val="001F5F"/>
          <w:spacing w:val="-2"/>
          <w:sz w:val="24"/>
        </w:rPr>
        <w:t>de</w:t>
      </w:r>
      <w:r>
        <w:rPr>
          <w:color w:val="001F5F"/>
          <w:spacing w:val="-4"/>
          <w:sz w:val="24"/>
        </w:rPr>
        <w:t xml:space="preserve"> </w:t>
      </w:r>
      <w:r>
        <w:rPr>
          <w:color w:val="001F5F"/>
          <w:spacing w:val="-2"/>
          <w:sz w:val="24"/>
        </w:rPr>
        <w:t>Plano</w:t>
      </w:r>
      <w:r>
        <w:rPr>
          <w:color w:val="001F5F"/>
          <w:spacing w:val="-8"/>
          <w:sz w:val="24"/>
        </w:rPr>
        <w:t xml:space="preserve"> </w:t>
      </w:r>
      <w:r>
        <w:rPr>
          <w:color w:val="001F5F"/>
          <w:spacing w:val="-2"/>
          <w:sz w:val="24"/>
        </w:rPr>
        <w:t>de</w:t>
      </w:r>
      <w:r>
        <w:rPr>
          <w:color w:val="001F5F"/>
          <w:spacing w:val="-4"/>
          <w:sz w:val="24"/>
        </w:rPr>
        <w:t xml:space="preserve"> </w:t>
      </w:r>
      <w:r>
        <w:rPr>
          <w:color w:val="001F5F"/>
          <w:spacing w:val="-2"/>
          <w:sz w:val="24"/>
        </w:rPr>
        <w:t>Continuidade</w:t>
      </w:r>
      <w:r>
        <w:rPr>
          <w:color w:val="001F5F"/>
          <w:spacing w:val="-4"/>
          <w:sz w:val="24"/>
        </w:rPr>
        <w:t xml:space="preserve"> </w:t>
      </w:r>
      <w:r>
        <w:rPr>
          <w:color w:val="001F5F"/>
          <w:spacing w:val="-2"/>
          <w:sz w:val="24"/>
        </w:rPr>
        <w:t>de</w:t>
      </w:r>
      <w:r>
        <w:rPr>
          <w:color w:val="001F5F"/>
          <w:spacing w:val="-8"/>
          <w:sz w:val="24"/>
        </w:rPr>
        <w:t xml:space="preserve"> </w:t>
      </w:r>
      <w:r>
        <w:rPr>
          <w:color w:val="001F5F"/>
          <w:spacing w:val="-2"/>
          <w:sz w:val="24"/>
        </w:rPr>
        <w:t>Negócios -</w:t>
      </w:r>
      <w:r>
        <w:rPr>
          <w:color w:val="001F5F"/>
          <w:spacing w:val="-4"/>
          <w:sz w:val="24"/>
        </w:rPr>
        <w:t xml:space="preserve"> </w:t>
      </w:r>
      <w:r>
        <w:rPr>
          <w:color w:val="001F5F"/>
          <w:spacing w:val="-2"/>
          <w:sz w:val="24"/>
        </w:rPr>
        <w:t>Considerando</w:t>
      </w:r>
      <w:r>
        <w:rPr>
          <w:color w:val="001F5F"/>
          <w:spacing w:val="-8"/>
          <w:sz w:val="24"/>
        </w:rPr>
        <w:t xml:space="preserve"> </w:t>
      </w:r>
      <w:r>
        <w:rPr>
          <w:color w:val="001F5F"/>
          <w:spacing w:val="-2"/>
          <w:sz w:val="24"/>
        </w:rPr>
        <w:t>que</w:t>
      </w:r>
      <w:r>
        <w:rPr>
          <w:color w:val="001F5F"/>
          <w:spacing w:val="-4"/>
          <w:sz w:val="24"/>
        </w:rPr>
        <w:t xml:space="preserve"> </w:t>
      </w:r>
      <w:r>
        <w:rPr>
          <w:color w:val="001F5F"/>
          <w:spacing w:val="-2"/>
          <w:sz w:val="24"/>
        </w:rPr>
        <w:t xml:space="preserve">o cronograma </w:t>
      </w:r>
      <w:r>
        <w:rPr>
          <w:color w:val="001F5F"/>
          <w:sz w:val="24"/>
        </w:rPr>
        <w:t>apresentado considera</w:t>
      </w:r>
      <w:r>
        <w:rPr>
          <w:color w:val="001F5F"/>
          <w:spacing w:val="-1"/>
          <w:sz w:val="24"/>
        </w:rPr>
        <w:t xml:space="preserve"> </w:t>
      </w:r>
      <w:r>
        <w:rPr>
          <w:color w:val="001F5F"/>
          <w:sz w:val="24"/>
        </w:rPr>
        <w:t>apenas</w:t>
      </w:r>
      <w:r>
        <w:rPr>
          <w:color w:val="001F5F"/>
          <w:spacing w:val="-1"/>
          <w:sz w:val="24"/>
        </w:rPr>
        <w:t xml:space="preserve"> </w:t>
      </w:r>
      <w:r>
        <w:rPr>
          <w:color w:val="001F5F"/>
          <w:sz w:val="24"/>
        </w:rPr>
        <w:t>a fase</w:t>
      </w:r>
      <w:r>
        <w:rPr>
          <w:color w:val="001F5F"/>
          <w:spacing w:val="-1"/>
          <w:sz w:val="24"/>
        </w:rPr>
        <w:t xml:space="preserve"> </w:t>
      </w:r>
      <w:r>
        <w:rPr>
          <w:color w:val="001F5F"/>
          <w:sz w:val="24"/>
        </w:rPr>
        <w:t>de</w:t>
      </w:r>
      <w:r>
        <w:rPr>
          <w:color w:val="001F5F"/>
          <w:spacing w:val="-1"/>
          <w:sz w:val="24"/>
        </w:rPr>
        <w:t xml:space="preserve"> </w:t>
      </w:r>
      <w:r>
        <w:rPr>
          <w:color w:val="001F5F"/>
          <w:sz w:val="24"/>
        </w:rPr>
        <w:t>contratação da empresa,</w:t>
      </w:r>
      <w:r>
        <w:rPr>
          <w:color w:val="001F5F"/>
          <w:spacing w:val="-1"/>
          <w:sz w:val="24"/>
        </w:rPr>
        <w:t xml:space="preserve"> </w:t>
      </w:r>
      <w:r>
        <w:rPr>
          <w:color w:val="001F5F"/>
          <w:sz w:val="24"/>
        </w:rPr>
        <w:t>este COAUD solicitou a</w:t>
      </w:r>
      <w:r>
        <w:rPr>
          <w:color w:val="001F5F"/>
          <w:spacing w:val="-14"/>
          <w:sz w:val="24"/>
        </w:rPr>
        <w:t xml:space="preserve"> </w:t>
      </w:r>
      <w:r>
        <w:rPr>
          <w:color w:val="001F5F"/>
          <w:sz w:val="24"/>
        </w:rPr>
        <w:t>elaboração</w:t>
      </w:r>
      <w:r>
        <w:rPr>
          <w:color w:val="001F5F"/>
          <w:spacing w:val="-14"/>
          <w:sz w:val="24"/>
        </w:rPr>
        <w:t xml:space="preserve"> </w:t>
      </w:r>
      <w:r>
        <w:rPr>
          <w:color w:val="001F5F"/>
          <w:sz w:val="24"/>
        </w:rPr>
        <w:t>e</w:t>
      </w:r>
      <w:r>
        <w:rPr>
          <w:color w:val="001F5F"/>
          <w:spacing w:val="-13"/>
          <w:sz w:val="24"/>
        </w:rPr>
        <w:t xml:space="preserve"> </w:t>
      </w:r>
      <w:r>
        <w:rPr>
          <w:color w:val="001F5F"/>
          <w:sz w:val="24"/>
        </w:rPr>
        <w:t>envio</w:t>
      </w:r>
      <w:r>
        <w:rPr>
          <w:color w:val="001F5F"/>
          <w:spacing w:val="-14"/>
          <w:sz w:val="24"/>
        </w:rPr>
        <w:t xml:space="preserve"> </w:t>
      </w:r>
      <w:r>
        <w:rPr>
          <w:color w:val="001F5F"/>
          <w:sz w:val="24"/>
        </w:rPr>
        <w:t>do</w:t>
      </w:r>
      <w:r>
        <w:rPr>
          <w:color w:val="001F5F"/>
          <w:spacing w:val="-13"/>
          <w:sz w:val="24"/>
        </w:rPr>
        <w:t xml:space="preserve"> </w:t>
      </w:r>
      <w:r>
        <w:rPr>
          <w:color w:val="001F5F"/>
          <w:sz w:val="24"/>
        </w:rPr>
        <w:t>cronograma</w:t>
      </w:r>
      <w:r>
        <w:rPr>
          <w:color w:val="001F5F"/>
          <w:spacing w:val="-14"/>
          <w:sz w:val="24"/>
        </w:rPr>
        <w:t xml:space="preserve"> </w:t>
      </w:r>
      <w:r>
        <w:rPr>
          <w:color w:val="001F5F"/>
          <w:sz w:val="24"/>
        </w:rPr>
        <w:t>completo,</w:t>
      </w:r>
      <w:r>
        <w:rPr>
          <w:color w:val="001F5F"/>
          <w:spacing w:val="-13"/>
          <w:sz w:val="24"/>
        </w:rPr>
        <w:t xml:space="preserve"> </w:t>
      </w:r>
      <w:r>
        <w:rPr>
          <w:color w:val="001F5F"/>
          <w:sz w:val="24"/>
        </w:rPr>
        <w:t>incluindo</w:t>
      </w:r>
      <w:r>
        <w:rPr>
          <w:color w:val="001F5F"/>
          <w:spacing w:val="-14"/>
          <w:sz w:val="24"/>
        </w:rPr>
        <w:t xml:space="preserve"> </w:t>
      </w:r>
      <w:r>
        <w:rPr>
          <w:color w:val="001F5F"/>
          <w:sz w:val="24"/>
        </w:rPr>
        <w:t>a</w:t>
      </w:r>
      <w:r>
        <w:rPr>
          <w:color w:val="001F5F"/>
          <w:spacing w:val="-14"/>
          <w:sz w:val="24"/>
        </w:rPr>
        <w:t xml:space="preserve"> </w:t>
      </w:r>
      <w:r>
        <w:rPr>
          <w:color w:val="001F5F"/>
          <w:sz w:val="24"/>
        </w:rPr>
        <w:t>fase</w:t>
      </w:r>
      <w:r>
        <w:rPr>
          <w:color w:val="001F5F"/>
          <w:spacing w:val="-13"/>
          <w:sz w:val="24"/>
        </w:rPr>
        <w:t xml:space="preserve"> </w:t>
      </w:r>
      <w:r>
        <w:rPr>
          <w:color w:val="001F5F"/>
          <w:sz w:val="24"/>
        </w:rPr>
        <w:t>de</w:t>
      </w:r>
      <w:r>
        <w:rPr>
          <w:color w:val="001F5F"/>
          <w:spacing w:val="-14"/>
          <w:sz w:val="24"/>
        </w:rPr>
        <w:t xml:space="preserve"> </w:t>
      </w:r>
      <w:r>
        <w:rPr>
          <w:color w:val="001F5F"/>
          <w:sz w:val="24"/>
        </w:rPr>
        <w:t>elaboração</w:t>
      </w:r>
      <w:r>
        <w:rPr>
          <w:color w:val="001F5F"/>
          <w:spacing w:val="-13"/>
          <w:sz w:val="24"/>
        </w:rPr>
        <w:t xml:space="preserve"> </w:t>
      </w:r>
      <w:r>
        <w:rPr>
          <w:color w:val="001F5F"/>
          <w:sz w:val="24"/>
        </w:rPr>
        <w:t>da</w:t>
      </w:r>
      <w:r>
        <w:rPr>
          <w:color w:val="001F5F"/>
          <w:spacing w:val="-14"/>
          <w:sz w:val="24"/>
        </w:rPr>
        <w:t xml:space="preserve"> </w:t>
      </w:r>
      <w:r>
        <w:rPr>
          <w:color w:val="001F5F"/>
          <w:sz w:val="24"/>
        </w:rPr>
        <w:t>Solução de Gestão de Continuidade de Negócios pela empresa que será contratada</w:t>
      </w:r>
      <w:r>
        <w:rPr>
          <w:sz w:val="24"/>
        </w:rPr>
        <w:t>.</w:t>
      </w:r>
    </w:p>
    <w:p w14:paraId="4AE0ACE2" w14:textId="77777777" w:rsidR="002C6574" w:rsidRDefault="002C6574">
      <w:pPr>
        <w:pStyle w:val="Corpodetexto"/>
        <w:rPr>
          <w:rFonts w:ascii="Calibri"/>
          <w:sz w:val="24"/>
        </w:rPr>
      </w:pPr>
    </w:p>
    <w:p w14:paraId="2855385D" w14:textId="77777777" w:rsidR="002C6574" w:rsidRDefault="00000000">
      <w:pPr>
        <w:pStyle w:val="PargrafodaLista"/>
        <w:numPr>
          <w:ilvl w:val="1"/>
          <w:numId w:val="6"/>
        </w:numPr>
        <w:tabs>
          <w:tab w:val="left" w:pos="555"/>
        </w:tabs>
        <w:spacing w:line="306" w:lineRule="exact"/>
        <w:ind w:left="555" w:hanging="424"/>
        <w:jc w:val="center"/>
        <w:rPr>
          <w:sz w:val="24"/>
        </w:rPr>
      </w:pPr>
      <w:r>
        <w:rPr>
          <w:b/>
          <w:color w:val="001F5F"/>
          <w:sz w:val="24"/>
        </w:rPr>
        <w:t>Disponível</w:t>
      </w:r>
      <w:r>
        <w:rPr>
          <w:b/>
          <w:color w:val="001F5F"/>
          <w:spacing w:val="-11"/>
          <w:sz w:val="24"/>
        </w:rPr>
        <w:t xml:space="preserve"> </w:t>
      </w:r>
      <w:r>
        <w:rPr>
          <w:b/>
          <w:color w:val="001F5F"/>
          <w:sz w:val="24"/>
        </w:rPr>
        <w:t>em:</w:t>
      </w:r>
      <w:r>
        <w:rPr>
          <w:b/>
          <w:color w:val="001F5F"/>
          <w:spacing w:val="-9"/>
          <w:sz w:val="24"/>
        </w:rPr>
        <w:t xml:space="preserve"> </w:t>
      </w:r>
      <w:hyperlink r:id="rId189">
        <w:r>
          <w:rPr>
            <w:color w:val="0000FF"/>
            <w:sz w:val="24"/>
            <w:u w:val="single" w:color="0000FF"/>
          </w:rPr>
          <w:t>https://www.telebras.com.br/wp-</w:t>
        </w:r>
        <w:r>
          <w:rPr>
            <w:color w:val="0000FF"/>
            <w:spacing w:val="-2"/>
            <w:sz w:val="24"/>
            <w:u w:val="single" w:color="0000FF"/>
          </w:rPr>
          <w:t>content/uploads/2026/01/ATA-</w:t>
        </w:r>
      </w:hyperlink>
    </w:p>
    <w:p w14:paraId="68600E97" w14:textId="77777777" w:rsidR="002C6574" w:rsidRDefault="00000000">
      <w:pPr>
        <w:pStyle w:val="Corpodetexto"/>
        <w:ind w:left="340" w:right="5636"/>
        <w:jc w:val="center"/>
        <w:rPr>
          <w:rFonts w:ascii="Calibri"/>
        </w:rPr>
      </w:pPr>
      <w:r>
        <w:rPr>
          <w:rFonts w:ascii="Calibri"/>
          <w:color w:val="0000FF"/>
          <w:spacing w:val="-2"/>
          <w:u w:val="single" w:color="0000FF"/>
        </w:rPr>
        <w:t>DA-424a-COAUD_11.12.2025.pdf</w:t>
      </w:r>
    </w:p>
    <w:p w14:paraId="481CA9A5" w14:textId="77777777" w:rsidR="002C6574" w:rsidRDefault="002C6574">
      <w:pPr>
        <w:pStyle w:val="Corpodetexto"/>
        <w:spacing w:before="187"/>
        <w:rPr>
          <w:rFonts w:ascii="Calibri"/>
          <w:sz w:val="20"/>
        </w:rPr>
      </w:pPr>
    </w:p>
    <w:tbl>
      <w:tblPr>
        <w:tblStyle w:val="TableNormal"/>
        <w:tblW w:w="0" w:type="auto"/>
        <w:tblInd w:w="12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01"/>
        <w:gridCol w:w="1136"/>
        <w:gridCol w:w="1844"/>
        <w:gridCol w:w="2977"/>
      </w:tblGrid>
      <w:tr w:rsidR="002C6574" w14:paraId="6B7B5038" w14:textId="77777777">
        <w:trPr>
          <w:trHeight w:val="313"/>
        </w:trPr>
        <w:tc>
          <w:tcPr>
            <w:tcW w:w="8358" w:type="dxa"/>
            <w:gridSpan w:val="4"/>
            <w:tcBorders>
              <w:right w:val="nil"/>
            </w:tcBorders>
            <w:shd w:val="clear" w:color="auto" w:fill="001F5F"/>
          </w:tcPr>
          <w:p w14:paraId="0EA50346" w14:textId="77777777" w:rsidR="002C6574" w:rsidRDefault="00000000">
            <w:pPr>
              <w:pStyle w:val="TableParagraph"/>
              <w:spacing w:before="20"/>
              <w:ind w:left="2"/>
              <w:jc w:val="center"/>
              <w:rPr>
                <w:rFonts w:ascii="Calibri" w:hAnsi="Calibri"/>
                <w:b/>
              </w:rPr>
            </w:pPr>
            <w:r>
              <w:rPr>
                <w:rFonts w:ascii="Calibri" w:hAnsi="Calibri"/>
                <w:b/>
                <w:color w:val="FFFFFF"/>
              </w:rPr>
              <w:t>Período:</w:t>
            </w:r>
            <w:r>
              <w:rPr>
                <w:rFonts w:ascii="Calibri" w:hAnsi="Calibri"/>
                <w:b/>
                <w:color w:val="FFFFFF"/>
                <w:spacing w:val="39"/>
              </w:rPr>
              <w:t xml:space="preserve"> </w:t>
            </w:r>
            <w:r>
              <w:rPr>
                <w:rFonts w:ascii="Calibri" w:hAnsi="Calibri"/>
                <w:b/>
                <w:color w:val="FFFFFF"/>
              </w:rPr>
              <w:t>janeiro-dezembro</w:t>
            </w:r>
            <w:r>
              <w:rPr>
                <w:rFonts w:ascii="Calibri" w:hAnsi="Calibri"/>
                <w:b/>
                <w:color w:val="FFFFFF"/>
                <w:spacing w:val="-6"/>
              </w:rPr>
              <w:t xml:space="preserve"> </w:t>
            </w:r>
            <w:r>
              <w:rPr>
                <w:rFonts w:ascii="Calibri" w:hAnsi="Calibri"/>
                <w:b/>
                <w:color w:val="FFFFFF"/>
              </w:rPr>
              <w:t>de</w:t>
            </w:r>
            <w:r>
              <w:rPr>
                <w:rFonts w:ascii="Calibri" w:hAnsi="Calibri"/>
                <w:b/>
                <w:color w:val="FFFFFF"/>
                <w:spacing w:val="-7"/>
              </w:rPr>
              <w:t xml:space="preserve"> </w:t>
            </w:r>
            <w:r>
              <w:rPr>
                <w:rFonts w:ascii="Calibri" w:hAnsi="Calibri"/>
                <w:b/>
                <w:color w:val="FFFFFF"/>
                <w:spacing w:val="-4"/>
              </w:rPr>
              <w:t>2025</w:t>
            </w:r>
          </w:p>
        </w:tc>
      </w:tr>
      <w:tr w:rsidR="002C6574" w14:paraId="04E5A380" w14:textId="77777777">
        <w:trPr>
          <w:trHeight w:val="359"/>
        </w:trPr>
        <w:tc>
          <w:tcPr>
            <w:tcW w:w="2401" w:type="dxa"/>
            <w:shd w:val="clear" w:color="auto" w:fill="1F4E78"/>
          </w:tcPr>
          <w:p w14:paraId="74C17298" w14:textId="77777777" w:rsidR="002C6574" w:rsidRDefault="00000000">
            <w:pPr>
              <w:pStyle w:val="TableParagraph"/>
              <w:spacing w:before="44"/>
              <w:ind w:left="17"/>
              <w:jc w:val="center"/>
              <w:rPr>
                <w:rFonts w:ascii="Calibri"/>
                <w:b/>
              </w:rPr>
            </w:pPr>
            <w:r>
              <w:rPr>
                <w:rFonts w:ascii="Calibri"/>
                <w:b/>
                <w:color w:val="FFFFFF"/>
                <w:spacing w:val="-2"/>
              </w:rPr>
              <w:t>Demanda</w:t>
            </w:r>
          </w:p>
        </w:tc>
        <w:tc>
          <w:tcPr>
            <w:tcW w:w="1136" w:type="dxa"/>
            <w:shd w:val="clear" w:color="auto" w:fill="1F4E78"/>
          </w:tcPr>
          <w:p w14:paraId="3C5633F8" w14:textId="77777777" w:rsidR="002C6574" w:rsidRDefault="00000000">
            <w:pPr>
              <w:pStyle w:val="TableParagraph"/>
              <w:spacing w:before="44"/>
              <w:ind w:left="25" w:right="9"/>
              <w:jc w:val="center"/>
              <w:rPr>
                <w:rFonts w:ascii="Calibri"/>
                <w:b/>
              </w:rPr>
            </w:pPr>
            <w:r>
              <w:rPr>
                <w:rFonts w:ascii="Calibri"/>
                <w:b/>
                <w:color w:val="FFFFFF"/>
                <w:spacing w:val="-2"/>
              </w:rPr>
              <w:t>Total</w:t>
            </w:r>
          </w:p>
        </w:tc>
        <w:tc>
          <w:tcPr>
            <w:tcW w:w="1844" w:type="dxa"/>
            <w:shd w:val="clear" w:color="auto" w:fill="1F4E78"/>
          </w:tcPr>
          <w:p w14:paraId="52148995" w14:textId="77777777" w:rsidR="002C6574" w:rsidRDefault="00000000">
            <w:pPr>
              <w:pStyle w:val="TableParagraph"/>
              <w:spacing w:before="44"/>
              <w:ind w:left="17" w:right="1"/>
              <w:jc w:val="center"/>
              <w:rPr>
                <w:rFonts w:ascii="Calibri"/>
                <w:b/>
              </w:rPr>
            </w:pPr>
            <w:r>
              <w:rPr>
                <w:rFonts w:ascii="Calibri"/>
                <w:b/>
                <w:color w:val="FFFFFF"/>
                <w:spacing w:val="-2"/>
              </w:rPr>
              <w:t>Implementada</w:t>
            </w:r>
          </w:p>
        </w:tc>
        <w:tc>
          <w:tcPr>
            <w:tcW w:w="2977" w:type="dxa"/>
            <w:shd w:val="clear" w:color="auto" w:fill="1F4E78"/>
          </w:tcPr>
          <w:p w14:paraId="78EF06D2" w14:textId="77777777" w:rsidR="002C6574" w:rsidRDefault="00000000">
            <w:pPr>
              <w:pStyle w:val="TableParagraph"/>
              <w:spacing w:before="44"/>
              <w:ind w:left="17" w:right="2"/>
              <w:jc w:val="center"/>
              <w:rPr>
                <w:rFonts w:ascii="Calibri"/>
                <w:b/>
              </w:rPr>
            </w:pPr>
            <w:r>
              <w:rPr>
                <w:rFonts w:ascii="Calibri"/>
                <w:b/>
                <w:color w:val="FFFFFF"/>
              </w:rPr>
              <w:t>Em</w:t>
            </w:r>
            <w:r>
              <w:rPr>
                <w:rFonts w:ascii="Calibri"/>
                <w:b/>
                <w:color w:val="FFFFFF"/>
                <w:spacing w:val="-3"/>
              </w:rPr>
              <w:t xml:space="preserve"> </w:t>
            </w:r>
            <w:r>
              <w:rPr>
                <w:rFonts w:ascii="Calibri"/>
                <w:b/>
                <w:color w:val="FFFFFF"/>
                <w:spacing w:val="-2"/>
              </w:rPr>
              <w:t>andamento</w:t>
            </w:r>
          </w:p>
        </w:tc>
      </w:tr>
      <w:tr w:rsidR="002C6574" w14:paraId="4712D68C" w14:textId="77777777">
        <w:trPr>
          <w:trHeight w:val="313"/>
        </w:trPr>
        <w:tc>
          <w:tcPr>
            <w:tcW w:w="2401" w:type="dxa"/>
            <w:vMerge w:val="restart"/>
          </w:tcPr>
          <w:p w14:paraId="78BE06B1" w14:textId="77777777" w:rsidR="002C6574" w:rsidRDefault="00000000">
            <w:pPr>
              <w:pStyle w:val="TableParagraph"/>
              <w:spacing w:before="188"/>
              <w:ind w:left="467"/>
              <w:jc w:val="left"/>
              <w:rPr>
                <w:rFonts w:ascii="Calibri" w:hAnsi="Calibri"/>
              </w:rPr>
            </w:pPr>
            <w:r>
              <w:rPr>
                <w:rFonts w:ascii="Calibri" w:hAnsi="Calibri"/>
                <w:spacing w:val="-2"/>
              </w:rPr>
              <w:t>Recomendações</w:t>
            </w:r>
          </w:p>
        </w:tc>
        <w:tc>
          <w:tcPr>
            <w:tcW w:w="1136" w:type="dxa"/>
          </w:tcPr>
          <w:p w14:paraId="2D13A00D" w14:textId="77777777" w:rsidR="002C6574" w:rsidRDefault="00000000">
            <w:pPr>
              <w:pStyle w:val="TableParagraph"/>
              <w:spacing w:before="23"/>
              <w:ind w:left="25" w:right="9"/>
              <w:jc w:val="center"/>
              <w:rPr>
                <w:rFonts w:ascii="Calibri"/>
                <w:b/>
              </w:rPr>
            </w:pPr>
            <w:r>
              <w:rPr>
                <w:rFonts w:ascii="Calibri"/>
                <w:b/>
                <w:spacing w:val="-10"/>
              </w:rPr>
              <w:t>2</w:t>
            </w:r>
          </w:p>
        </w:tc>
        <w:tc>
          <w:tcPr>
            <w:tcW w:w="1844" w:type="dxa"/>
          </w:tcPr>
          <w:p w14:paraId="64EFCDFD" w14:textId="77777777" w:rsidR="002C6574" w:rsidRDefault="00000000">
            <w:pPr>
              <w:pStyle w:val="TableParagraph"/>
              <w:spacing w:before="23"/>
              <w:ind w:left="17"/>
              <w:jc w:val="center"/>
              <w:rPr>
                <w:rFonts w:ascii="Calibri"/>
              </w:rPr>
            </w:pPr>
            <w:r>
              <w:rPr>
                <w:rFonts w:ascii="Calibri"/>
                <w:spacing w:val="-10"/>
              </w:rPr>
              <w:t>2</w:t>
            </w:r>
          </w:p>
        </w:tc>
        <w:tc>
          <w:tcPr>
            <w:tcW w:w="2977" w:type="dxa"/>
          </w:tcPr>
          <w:p w14:paraId="5EBE56BF" w14:textId="77777777" w:rsidR="002C6574" w:rsidRDefault="00000000">
            <w:pPr>
              <w:pStyle w:val="TableParagraph"/>
              <w:spacing w:before="23"/>
              <w:ind w:left="17" w:right="1"/>
              <w:jc w:val="center"/>
              <w:rPr>
                <w:rFonts w:ascii="Calibri"/>
              </w:rPr>
            </w:pPr>
            <w:r>
              <w:rPr>
                <w:rFonts w:ascii="Calibri"/>
                <w:spacing w:val="-10"/>
              </w:rPr>
              <w:t>0</w:t>
            </w:r>
          </w:p>
        </w:tc>
      </w:tr>
      <w:tr w:rsidR="002C6574" w14:paraId="62A36CAA" w14:textId="77777777">
        <w:trPr>
          <w:trHeight w:val="316"/>
        </w:trPr>
        <w:tc>
          <w:tcPr>
            <w:tcW w:w="2401" w:type="dxa"/>
            <w:vMerge/>
            <w:tcBorders>
              <w:top w:val="nil"/>
            </w:tcBorders>
          </w:tcPr>
          <w:p w14:paraId="38BD87AF" w14:textId="77777777" w:rsidR="002C6574" w:rsidRDefault="002C6574">
            <w:pPr>
              <w:rPr>
                <w:sz w:val="2"/>
                <w:szCs w:val="2"/>
              </w:rPr>
            </w:pPr>
          </w:p>
        </w:tc>
        <w:tc>
          <w:tcPr>
            <w:tcW w:w="1136" w:type="dxa"/>
          </w:tcPr>
          <w:p w14:paraId="5A0B21B5" w14:textId="77777777" w:rsidR="002C6574" w:rsidRDefault="00000000">
            <w:pPr>
              <w:pStyle w:val="TableParagraph"/>
              <w:spacing w:before="23"/>
              <w:ind w:left="26" w:right="9"/>
              <w:jc w:val="center"/>
              <w:rPr>
                <w:rFonts w:ascii="Calibri"/>
                <w:b/>
              </w:rPr>
            </w:pPr>
            <w:r>
              <w:rPr>
                <w:rFonts w:ascii="Calibri"/>
                <w:b/>
                <w:spacing w:val="-4"/>
              </w:rPr>
              <w:t>100%</w:t>
            </w:r>
          </w:p>
        </w:tc>
        <w:tc>
          <w:tcPr>
            <w:tcW w:w="1844" w:type="dxa"/>
          </w:tcPr>
          <w:p w14:paraId="7819147C" w14:textId="77777777" w:rsidR="002C6574" w:rsidRDefault="00000000">
            <w:pPr>
              <w:pStyle w:val="TableParagraph"/>
              <w:spacing w:before="23"/>
              <w:ind w:left="17" w:right="3"/>
              <w:jc w:val="center"/>
              <w:rPr>
                <w:rFonts w:ascii="Calibri"/>
              </w:rPr>
            </w:pPr>
            <w:r>
              <w:rPr>
                <w:rFonts w:ascii="Calibri"/>
                <w:spacing w:val="-4"/>
              </w:rPr>
              <w:t>100%</w:t>
            </w:r>
          </w:p>
        </w:tc>
        <w:tc>
          <w:tcPr>
            <w:tcW w:w="2977" w:type="dxa"/>
          </w:tcPr>
          <w:p w14:paraId="7533E349" w14:textId="77777777" w:rsidR="002C6574" w:rsidRDefault="00000000">
            <w:pPr>
              <w:pStyle w:val="TableParagraph"/>
              <w:spacing w:before="23"/>
              <w:ind w:left="17"/>
              <w:jc w:val="center"/>
              <w:rPr>
                <w:rFonts w:ascii="Calibri"/>
              </w:rPr>
            </w:pPr>
            <w:r>
              <w:rPr>
                <w:rFonts w:ascii="Calibri"/>
                <w:spacing w:val="-5"/>
              </w:rPr>
              <w:t>0%</w:t>
            </w:r>
          </w:p>
        </w:tc>
      </w:tr>
      <w:tr w:rsidR="002C6574" w14:paraId="588AEE78" w14:textId="77777777">
        <w:trPr>
          <w:trHeight w:val="313"/>
        </w:trPr>
        <w:tc>
          <w:tcPr>
            <w:tcW w:w="2401" w:type="dxa"/>
            <w:vMerge w:val="restart"/>
          </w:tcPr>
          <w:p w14:paraId="328CAD6B" w14:textId="77777777" w:rsidR="002C6574" w:rsidRDefault="00000000">
            <w:pPr>
              <w:pStyle w:val="TableParagraph"/>
              <w:spacing w:before="188"/>
              <w:ind w:left="748"/>
              <w:jc w:val="left"/>
              <w:rPr>
                <w:rFonts w:ascii="Calibri" w:hAnsi="Calibri"/>
              </w:rPr>
            </w:pPr>
            <w:r>
              <w:rPr>
                <w:rFonts w:ascii="Calibri" w:hAnsi="Calibri"/>
                <w:spacing w:val="-2"/>
              </w:rPr>
              <w:t>Sugestões</w:t>
            </w:r>
          </w:p>
        </w:tc>
        <w:tc>
          <w:tcPr>
            <w:tcW w:w="1136" w:type="dxa"/>
          </w:tcPr>
          <w:p w14:paraId="59E5BEC8" w14:textId="77777777" w:rsidR="002C6574" w:rsidRDefault="00000000">
            <w:pPr>
              <w:pStyle w:val="TableParagraph"/>
              <w:spacing w:before="23"/>
              <w:ind w:left="25" w:right="9"/>
              <w:jc w:val="center"/>
              <w:rPr>
                <w:rFonts w:ascii="Calibri"/>
                <w:b/>
              </w:rPr>
            </w:pPr>
            <w:r>
              <w:rPr>
                <w:rFonts w:ascii="Calibri"/>
                <w:b/>
                <w:spacing w:val="-10"/>
              </w:rPr>
              <w:t>1</w:t>
            </w:r>
          </w:p>
        </w:tc>
        <w:tc>
          <w:tcPr>
            <w:tcW w:w="1844" w:type="dxa"/>
          </w:tcPr>
          <w:p w14:paraId="5DD4E17C" w14:textId="77777777" w:rsidR="002C6574" w:rsidRDefault="00000000">
            <w:pPr>
              <w:pStyle w:val="TableParagraph"/>
              <w:spacing w:before="23"/>
              <w:ind w:left="17"/>
              <w:jc w:val="center"/>
              <w:rPr>
                <w:rFonts w:ascii="Calibri"/>
              </w:rPr>
            </w:pPr>
            <w:r>
              <w:rPr>
                <w:rFonts w:ascii="Calibri"/>
                <w:spacing w:val="-10"/>
              </w:rPr>
              <w:t>1</w:t>
            </w:r>
          </w:p>
        </w:tc>
        <w:tc>
          <w:tcPr>
            <w:tcW w:w="2977" w:type="dxa"/>
          </w:tcPr>
          <w:p w14:paraId="4ADB424A" w14:textId="77777777" w:rsidR="002C6574" w:rsidRDefault="00000000">
            <w:pPr>
              <w:pStyle w:val="TableParagraph"/>
              <w:spacing w:before="23"/>
              <w:ind w:left="17" w:right="1"/>
              <w:jc w:val="center"/>
              <w:rPr>
                <w:rFonts w:ascii="Calibri"/>
              </w:rPr>
            </w:pPr>
            <w:r>
              <w:rPr>
                <w:rFonts w:ascii="Calibri"/>
                <w:spacing w:val="-10"/>
              </w:rPr>
              <w:t>0</w:t>
            </w:r>
          </w:p>
        </w:tc>
      </w:tr>
      <w:tr w:rsidR="002C6574" w14:paraId="010E2F9A" w14:textId="77777777">
        <w:trPr>
          <w:trHeight w:val="315"/>
        </w:trPr>
        <w:tc>
          <w:tcPr>
            <w:tcW w:w="2401" w:type="dxa"/>
            <w:vMerge/>
            <w:tcBorders>
              <w:top w:val="nil"/>
            </w:tcBorders>
          </w:tcPr>
          <w:p w14:paraId="64EB4669" w14:textId="77777777" w:rsidR="002C6574" w:rsidRDefault="002C6574">
            <w:pPr>
              <w:rPr>
                <w:sz w:val="2"/>
                <w:szCs w:val="2"/>
              </w:rPr>
            </w:pPr>
          </w:p>
        </w:tc>
        <w:tc>
          <w:tcPr>
            <w:tcW w:w="1136" w:type="dxa"/>
          </w:tcPr>
          <w:p w14:paraId="30F91BAA" w14:textId="77777777" w:rsidR="002C6574" w:rsidRDefault="00000000">
            <w:pPr>
              <w:pStyle w:val="TableParagraph"/>
              <w:spacing w:before="23"/>
              <w:ind w:left="26" w:right="9"/>
              <w:jc w:val="center"/>
              <w:rPr>
                <w:rFonts w:ascii="Calibri"/>
                <w:b/>
              </w:rPr>
            </w:pPr>
            <w:r>
              <w:rPr>
                <w:rFonts w:ascii="Calibri"/>
                <w:b/>
                <w:spacing w:val="-4"/>
              </w:rPr>
              <w:t>100%</w:t>
            </w:r>
          </w:p>
        </w:tc>
        <w:tc>
          <w:tcPr>
            <w:tcW w:w="1844" w:type="dxa"/>
          </w:tcPr>
          <w:p w14:paraId="5FA7035A" w14:textId="77777777" w:rsidR="002C6574" w:rsidRDefault="00000000">
            <w:pPr>
              <w:pStyle w:val="TableParagraph"/>
              <w:spacing w:before="23"/>
              <w:ind w:left="17" w:right="3"/>
              <w:jc w:val="center"/>
              <w:rPr>
                <w:rFonts w:ascii="Calibri"/>
              </w:rPr>
            </w:pPr>
            <w:r>
              <w:rPr>
                <w:rFonts w:ascii="Calibri"/>
                <w:spacing w:val="-4"/>
              </w:rPr>
              <w:t>100%</w:t>
            </w:r>
          </w:p>
        </w:tc>
        <w:tc>
          <w:tcPr>
            <w:tcW w:w="2977" w:type="dxa"/>
          </w:tcPr>
          <w:p w14:paraId="25386F2F" w14:textId="77777777" w:rsidR="002C6574" w:rsidRDefault="00000000">
            <w:pPr>
              <w:pStyle w:val="TableParagraph"/>
              <w:spacing w:before="23"/>
              <w:ind w:left="17"/>
              <w:jc w:val="center"/>
              <w:rPr>
                <w:rFonts w:ascii="Calibri"/>
              </w:rPr>
            </w:pPr>
            <w:r>
              <w:rPr>
                <w:rFonts w:ascii="Calibri"/>
                <w:spacing w:val="-5"/>
              </w:rPr>
              <w:t>0%</w:t>
            </w:r>
          </w:p>
        </w:tc>
      </w:tr>
      <w:tr w:rsidR="002C6574" w14:paraId="6E830C3D" w14:textId="77777777">
        <w:trPr>
          <w:trHeight w:val="316"/>
        </w:trPr>
        <w:tc>
          <w:tcPr>
            <w:tcW w:w="2401" w:type="dxa"/>
          </w:tcPr>
          <w:p w14:paraId="1844CC0A" w14:textId="77777777" w:rsidR="002C6574" w:rsidRDefault="00000000">
            <w:pPr>
              <w:pStyle w:val="TableParagraph"/>
              <w:spacing w:before="23"/>
              <w:ind w:left="17" w:right="3"/>
              <w:jc w:val="center"/>
              <w:rPr>
                <w:rFonts w:ascii="Calibri" w:hAnsi="Calibri"/>
              </w:rPr>
            </w:pPr>
            <w:r>
              <w:rPr>
                <w:rFonts w:ascii="Calibri" w:hAnsi="Calibri"/>
                <w:spacing w:val="-2"/>
              </w:rPr>
              <w:t>Solicitação</w:t>
            </w:r>
          </w:p>
        </w:tc>
        <w:tc>
          <w:tcPr>
            <w:tcW w:w="1136" w:type="dxa"/>
          </w:tcPr>
          <w:p w14:paraId="22544BBD" w14:textId="77777777" w:rsidR="002C6574" w:rsidRDefault="00000000">
            <w:pPr>
              <w:pStyle w:val="TableParagraph"/>
              <w:spacing w:before="23"/>
              <w:ind w:left="24" w:right="9"/>
              <w:jc w:val="center"/>
              <w:rPr>
                <w:rFonts w:ascii="Calibri"/>
                <w:b/>
              </w:rPr>
            </w:pPr>
            <w:r>
              <w:rPr>
                <w:rFonts w:ascii="Calibri"/>
                <w:b/>
                <w:spacing w:val="-5"/>
              </w:rPr>
              <w:t>25</w:t>
            </w:r>
          </w:p>
        </w:tc>
        <w:tc>
          <w:tcPr>
            <w:tcW w:w="1844" w:type="dxa"/>
          </w:tcPr>
          <w:p w14:paraId="16EA682B" w14:textId="77777777" w:rsidR="002C6574" w:rsidRDefault="00000000">
            <w:pPr>
              <w:pStyle w:val="TableParagraph"/>
              <w:spacing w:before="23"/>
              <w:ind w:left="17" w:right="2"/>
              <w:jc w:val="center"/>
              <w:rPr>
                <w:rFonts w:ascii="Calibri"/>
              </w:rPr>
            </w:pPr>
            <w:r>
              <w:rPr>
                <w:rFonts w:ascii="Calibri"/>
                <w:spacing w:val="-5"/>
              </w:rPr>
              <w:t>22</w:t>
            </w:r>
          </w:p>
        </w:tc>
        <w:tc>
          <w:tcPr>
            <w:tcW w:w="2977" w:type="dxa"/>
          </w:tcPr>
          <w:p w14:paraId="39AAF4ED" w14:textId="77777777" w:rsidR="002C6574" w:rsidRDefault="00000000">
            <w:pPr>
              <w:pStyle w:val="TableParagraph"/>
              <w:spacing w:before="23"/>
              <w:ind w:left="17" w:right="1"/>
              <w:jc w:val="center"/>
              <w:rPr>
                <w:rFonts w:ascii="Calibri"/>
              </w:rPr>
            </w:pPr>
            <w:r>
              <w:rPr>
                <w:rFonts w:ascii="Calibri"/>
                <w:spacing w:val="-10"/>
              </w:rPr>
              <w:t>3</w:t>
            </w:r>
          </w:p>
        </w:tc>
      </w:tr>
    </w:tbl>
    <w:p w14:paraId="3479641E" w14:textId="77777777" w:rsidR="002C6574" w:rsidRDefault="002C6574">
      <w:pPr>
        <w:pStyle w:val="TableParagraph"/>
        <w:jc w:val="center"/>
        <w:rPr>
          <w:rFonts w:ascii="Calibri"/>
        </w:rPr>
        <w:sectPr w:rsidR="002C6574">
          <w:pgSz w:w="12240" w:h="15840"/>
          <w:pgMar w:top="900" w:right="425" w:bottom="1220" w:left="425" w:header="674" w:footer="1036" w:gutter="0"/>
          <w:cols w:space="720"/>
        </w:sectPr>
      </w:pPr>
    </w:p>
    <w:p w14:paraId="3002925D" w14:textId="77777777" w:rsidR="002C6574" w:rsidRDefault="002C6574">
      <w:pPr>
        <w:pStyle w:val="Corpodetexto"/>
        <w:spacing w:before="27"/>
        <w:rPr>
          <w:rFonts w:ascii="Calibri"/>
          <w:sz w:val="20"/>
        </w:rPr>
      </w:pPr>
    </w:p>
    <w:tbl>
      <w:tblPr>
        <w:tblStyle w:val="TableNormal"/>
        <w:tblW w:w="0" w:type="auto"/>
        <w:tblInd w:w="12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01"/>
        <w:gridCol w:w="1136"/>
        <w:gridCol w:w="1844"/>
        <w:gridCol w:w="2977"/>
      </w:tblGrid>
      <w:tr w:rsidR="002C6574" w14:paraId="0DD3F6AD" w14:textId="77777777">
        <w:trPr>
          <w:trHeight w:val="314"/>
        </w:trPr>
        <w:tc>
          <w:tcPr>
            <w:tcW w:w="2401" w:type="dxa"/>
            <w:tcBorders>
              <w:top w:val="nil"/>
            </w:tcBorders>
          </w:tcPr>
          <w:p w14:paraId="6DB5CDDA" w14:textId="77777777" w:rsidR="002C6574" w:rsidRDefault="002C6574">
            <w:pPr>
              <w:pStyle w:val="TableParagraph"/>
              <w:jc w:val="left"/>
              <w:rPr>
                <w:rFonts w:ascii="Times New Roman"/>
              </w:rPr>
            </w:pPr>
          </w:p>
        </w:tc>
        <w:tc>
          <w:tcPr>
            <w:tcW w:w="1136" w:type="dxa"/>
            <w:tcBorders>
              <w:top w:val="nil"/>
            </w:tcBorders>
          </w:tcPr>
          <w:p w14:paraId="72A71CC1" w14:textId="77777777" w:rsidR="002C6574" w:rsidRDefault="00000000">
            <w:pPr>
              <w:pStyle w:val="TableParagraph"/>
              <w:spacing w:before="23"/>
              <w:ind w:left="26" w:right="9"/>
              <w:jc w:val="center"/>
              <w:rPr>
                <w:rFonts w:ascii="Calibri"/>
                <w:b/>
              </w:rPr>
            </w:pPr>
            <w:r>
              <w:rPr>
                <w:rFonts w:ascii="Calibri"/>
                <w:b/>
                <w:spacing w:val="-4"/>
              </w:rPr>
              <w:t>100%</w:t>
            </w:r>
          </w:p>
        </w:tc>
        <w:tc>
          <w:tcPr>
            <w:tcW w:w="1844" w:type="dxa"/>
            <w:tcBorders>
              <w:top w:val="nil"/>
            </w:tcBorders>
          </w:tcPr>
          <w:p w14:paraId="1006FBFF" w14:textId="77777777" w:rsidR="002C6574" w:rsidRDefault="00000000">
            <w:pPr>
              <w:pStyle w:val="TableParagraph"/>
              <w:spacing w:before="23"/>
              <w:ind w:left="17"/>
              <w:jc w:val="center"/>
              <w:rPr>
                <w:rFonts w:ascii="Calibri"/>
              </w:rPr>
            </w:pPr>
            <w:r>
              <w:rPr>
                <w:rFonts w:ascii="Calibri"/>
                <w:spacing w:val="-5"/>
              </w:rPr>
              <w:t>88%</w:t>
            </w:r>
          </w:p>
        </w:tc>
        <w:tc>
          <w:tcPr>
            <w:tcW w:w="2977" w:type="dxa"/>
            <w:tcBorders>
              <w:top w:val="nil"/>
            </w:tcBorders>
          </w:tcPr>
          <w:p w14:paraId="76FE1E0E" w14:textId="77777777" w:rsidR="002C6574" w:rsidRDefault="00000000">
            <w:pPr>
              <w:pStyle w:val="TableParagraph"/>
              <w:spacing w:before="23"/>
              <w:ind w:left="17" w:right="1"/>
              <w:jc w:val="center"/>
              <w:rPr>
                <w:rFonts w:ascii="Calibri"/>
              </w:rPr>
            </w:pPr>
            <w:r>
              <w:rPr>
                <w:rFonts w:ascii="Calibri"/>
                <w:spacing w:val="-5"/>
              </w:rPr>
              <w:t>14%</w:t>
            </w:r>
          </w:p>
        </w:tc>
      </w:tr>
      <w:tr w:rsidR="002C6574" w14:paraId="22759646" w14:textId="77777777">
        <w:trPr>
          <w:trHeight w:val="316"/>
        </w:trPr>
        <w:tc>
          <w:tcPr>
            <w:tcW w:w="2401" w:type="dxa"/>
            <w:vMerge w:val="restart"/>
          </w:tcPr>
          <w:p w14:paraId="17AAFA6E" w14:textId="77777777" w:rsidR="002C6574" w:rsidRDefault="00000000">
            <w:pPr>
              <w:pStyle w:val="TableParagraph"/>
              <w:spacing w:before="191"/>
              <w:ind w:left="412"/>
              <w:jc w:val="left"/>
              <w:rPr>
                <w:rFonts w:ascii="Calibri"/>
              </w:rPr>
            </w:pPr>
            <w:r>
              <w:rPr>
                <w:rFonts w:ascii="Calibri"/>
                <w:spacing w:val="-2"/>
              </w:rPr>
              <w:t>Encaminhamento</w:t>
            </w:r>
          </w:p>
        </w:tc>
        <w:tc>
          <w:tcPr>
            <w:tcW w:w="1136" w:type="dxa"/>
          </w:tcPr>
          <w:p w14:paraId="15560E8D" w14:textId="77777777" w:rsidR="002C6574" w:rsidRDefault="00000000">
            <w:pPr>
              <w:pStyle w:val="TableParagraph"/>
              <w:spacing w:before="23"/>
              <w:ind w:left="25" w:right="9"/>
              <w:jc w:val="center"/>
              <w:rPr>
                <w:rFonts w:ascii="Calibri"/>
                <w:b/>
              </w:rPr>
            </w:pPr>
            <w:r>
              <w:rPr>
                <w:rFonts w:ascii="Calibri"/>
                <w:b/>
                <w:spacing w:val="-10"/>
              </w:rPr>
              <w:t>2</w:t>
            </w:r>
          </w:p>
        </w:tc>
        <w:tc>
          <w:tcPr>
            <w:tcW w:w="1844" w:type="dxa"/>
          </w:tcPr>
          <w:p w14:paraId="217900BB" w14:textId="77777777" w:rsidR="002C6574" w:rsidRDefault="00000000">
            <w:pPr>
              <w:pStyle w:val="TableParagraph"/>
              <w:spacing w:before="23"/>
              <w:ind w:left="17"/>
              <w:jc w:val="center"/>
              <w:rPr>
                <w:rFonts w:ascii="Calibri"/>
              </w:rPr>
            </w:pPr>
            <w:r>
              <w:rPr>
                <w:rFonts w:ascii="Calibri"/>
                <w:spacing w:val="-10"/>
              </w:rPr>
              <w:t>2</w:t>
            </w:r>
          </w:p>
        </w:tc>
        <w:tc>
          <w:tcPr>
            <w:tcW w:w="2977" w:type="dxa"/>
          </w:tcPr>
          <w:p w14:paraId="3A1DC0AE" w14:textId="77777777" w:rsidR="002C6574" w:rsidRDefault="00000000">
            <w:pPr>
              <w:pStyle w:val="TableParagraph"/>
              <w:spacing w:before="23"/>
              <w:ind w:left="17" w:right="1"/>
              <w:jc w:val="center"/>
              <w:rPr>
                <w:rFonts w:ascii="Calibri"/>
              </w:rPr>
            </w:pPr>
            <w:r>
              <w:rPr>
                <w:rFonts w:ascii="Calibri"/>
                <w:spacing w:val="-10"/>
              </w:rPr>
              <w:t>0</w:t>
            </w:r>
          </w:p>
        </w:tc>
      </w:tr>
      <w:tr w:rsidR="002C6574" w14:paraId="21C9427C" w14:textId="77777777">
        <w:trPr>
          <w:trHeight w:val="315"/>
        </w:trPr>
        <w:tc>
          <w:tcPr>
            <w:tcW w:w="2401" w:type="dxa"/>
            <w:vMerge/>
            <w:tcBorders>
              <w:top w:val="nil"/>
            </w:tcBorders>
          </w:tcPr>
          <w:p w14:paraId="1412C4B6" w14:textId="77777777" w:rsidR="002C6574" w:rsidRDefault="002C6574">
            <w:pPr>
              <w:rPr>
                <w:sz w:val="2"/>
                <w:szCs w:val="2"/>
              </w:rPr>
            </w:pPr>
          </w:p>
        </w:tc>
        <w:tc>
          <w:tcPr>
            <w:tcW w:w="1136" w:type="dxa"/>
          </w:tcPr>
          <w:p w14:paraId="2F114652" w14:textId="77777777" w:rsidR="002C6574" w:rsidRDefault="00000000">
            <w:pPr>
              <w:pStyle w:val="TableParagraph"/>
              <w:spacing w:before="23"/>
              <w:ind w:left="26" w:right="9"/>
              <w:jc w:val="center"/>
              <w:rPr>
                <w:rFonts w:ascii="Calibri"/>
                <w:b/>
              </w:rPr>
            </w:pPr>
            <w:r>
              <w:rPr>
                <w:rFonts w:ascii="Calibri"/>
                <w:b/>
                <w:spacing w:val="-4"/>
              </w:rPr>
              <w:t>100%</w:t>
            </w:r>
          </w:p>
        </w:tc>
        <w:tc>
          <w:tcPr>
            <w:tcW w:w="1844" w:type="dxa"/>
          </w:tcPr>
          <w:p w14:paraId="44C38737" w14:textId="77777777" w:rsidR="002C6574" w:rsidRDefault="00000000">
            <w:pPr>
              <w:pStyle w:val="TableParagraph"/>
              <w:spacing w:before="23"/>
              <w:ind w:left="17" w:right="3"/>
              <w:jc w:val="center"/>
              <w:rPr>
                <w:rFonts w:ascii="Calibri"/>
              </w:rPr>
            </w:pPr>
            <w:r>
              <w:rPr>
                <w:rFonts w:ascii="Calibri"/>
                <w:spacing w:val="-4"/>
              </w:rPr>
              <w:t>100%</w:t>
            </w:r>
          </w:p>
        </w:tc>
        <w:tc>
          <w:tcPr>
            <w:tcW w:w="2977" w:type="dxa"/>
          </w:tcPr>
          <w:p w14:paraId="1C271124" w14:textId="77777777" w:rsidR="002C6574" w:rsidRDefault="00000000">
            <w:pPr>
              <w:pStyle w:val="TableParagraph"/>
              <w:spacing w:before="23"/>
              <w:ind w:left="17"/>
              <w:jc w:val="center"/>
              <w:rPr>
                <w:rFonts w:ascii="Calibri"/>
              </w:rPr>
            </w:pPr>
            <w:r>
              <w:rPr>
                <w:rFonts w:ascii="Calibri"/>
                <w:spacing w:val="-5"/>
              </w:rPr>
              <w:t>0%</w:t>
            </w:r>
          </w:p>
        </w:tc>
      </w:tr>
    </w:tbl>
    <w:p w14:paraId="41084F8F" w14:textId="77777777" w:rsidR="002C6574" w:rsidRDefault="002C6574">
      <w:pPr>
        <w:pStyle w:val="Corpodetexto"/>
        <w:spacing w:before="31"/>
        <w:rPr>
          <w:rFonts w:ascii="Calibri"/>
        </w:rPr>
      </w:pPr>
    </w:p>
    <w:p w14:paraId="76E109D9" w14:textId="77777777" w:rsidR="002C6574" w:rsidRDefault="00000000">
      <w:pPr>
        <w:ind w:left="4486"/>
        <w:rPr>
          <w:rFonts w:ascii="Calibri" w:hAnsi="Calibri"/>
          <w:b/>
        </w:rPr>
      </w:pPr>
      <w:r>
        <w:rPr>
          <w:rFonts w:ascii="Calibri" w:hAnsi="Calibri"/>
          <w:b/>
          <w:noProof/>
        </w:rPr>
        <mc:AlternateContent>
          <mc:Choice Requires="wpg">
            <w:drawing>
              <wp:anchor distT="0" distB="0" distL="0" distR="0" simplePos="0" relativeHeight="472578560" behindDoc="1" locked="0" layoutInCell="1" allowOverlap="1" wp14:anchorId="2955E626" wp14:editId="5F6B07A9">
                <wp:simplePos x="0" y="0"/>
                <wp:positionH relativeFrom="page">
                  <wp:posOffset>1106957</wp:posOffset>
                </wp:positionH>
                <wp:positionV relativeFrom="paragraph">
                  <wp:posOffset>871185</wp:posOffset>
                </wp:positionV>
                <wp:extent cx="2466975" cy="158115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6975" cy="1581150"/>
                          <a:chOff x="0" y="0"/>
                          <a:chExt cx="2466975" cy="1581150"/>
                        </a:xfrm>
                      </wpg:grpSpPr>
                      <pic:pic xmlns:pic="http://schemas.openxmlformats.org/drawingml/2006/picture">
                        <pic:nvPicPr>
                          <pic:cNvPr id="241" name="Image 241"/>
                          <pic:cNvPicPr/>
                        </pic:nvPicPr>
                        <pic:blipFill>
                          <a:blip r:embed="rId190" cstate="print"/>
                          <a:stretch>
                            <a:fillRect/>
                          </a:stretch>
                        </pic:blipFill>
                        <pic:spPr>
                          <a:xfrm>
                            <a:off x="4762" y="4762"/>
                            <a:ext cx="2457450" cy="1571625"/>
                          </a:xfrm>
                          <a:prstGeom prst="rect">
                            <a:avLst/>
                          </a:prstGeom>
                        </pic:spPr>
                      </pic:pic>
                      <wps:wsp>
                        <wps:cNvPr id="242" name="Graphic 242"/>
                        <wps:cNvSpPr/>
                        <wps:spPr>
                          <a:xfrm>
                            <a:off x="312013" y="506793"/>
                            <a:ext cx="930275" cy="930275"/>
                          </a:xfrm>
                          <a:custGeom>
                            <a:avLst/>
                            <a:gdLst/>
                            <a:ahLst/>
                            <a:cxnLst/>
                            <a:rect l="l" t="t" r="r" b="b"/>
                            <a:pathLst>
                              <a:path w="930275" h="930275">
                                <a:moveTo>
                                  <a:pt x="464947" y="0"/>
                                </a:moveTo>
                                <a:lnTo>
                                  <a:pt x="512486" y="2400"/>
                                </a:lnTo>
                                <a:lnTo>
                                  <a:pt x="558653" y="9445"/>
                                </a:lnTo>
                                <a:lnTo>
                                  <a:pt x="603212" y="20902"/>
                                </a:lnTo>
                                <a:lnTo>
                                  <a:pt x="645929" y="36536"/>
                                </a:lnTo>
                                <a:lnTo>
                                  <a:pt x="686573" y="56114"/>
                                </a:lnTo>
                                <a:lnTo>
                                  <a:pt x="724908" y="79402"/>
                                </a:lnTo>
                                <a:lnTo>
                                  <a:pt x="760700" y="106167"/>
                                </a:lnTo>
                                <a:lnTo>
                                  <a:pt x="793718" y="136175"/>
                                </a:lnTo>
                                <a:lnTo>
                                  <a:pt x="823726" y="169193"/>
                                </a:lnTo>
                                <a:lnTo>
                                  <a:pt x="850491" y="204985"/>
                                </a:lnTo>
                                <a:lnTo>
                                  <a:pt x="873779" y="243320"/>
                                </a:lnTo>
                                <a:lnTo>
                                  <a:pt x="893357" y="283964"/>
                                </a:lnTo>
                                <a:lnTo>
                                  <a:pt x="908991" y="326681"/>
                                </a:lnTo>
                                <a:lnTo>
                                  <a:pt x="920448" y="371240"/>
                                </a:lnTo>
                                <a:lnTo>
                                  <a:pt x="927493" y="417407"/>
                                </a:lnTo>
                                <a:lnTo>
                                  <a:pt x="929893" y="464947"/>
                                </a:lnTo>
                                <a:lnTo>
                                  <a:pt x="927493" y="512486"/>
                                </a:lnTo>
                                <a:lnTo>
                                  <a:pt x="920448" y="558653"/>
                                </a:lnTo>
                                <a:lnTo>
                                  <a:pt x="908991" y="603212"/>
                                </a:lnTo>
                                <a:lnTo>
                                  <a:pt x="893357" y="645929"/>
                                </a:lnTo>
                                <a:lnTo>
                                  <a:pt x="873779" y="686573"/>
                                </a:lnTo>
                                <a:lnTo>
                                  <a:pt x="850491" y="724908"/>
                                </a:lnTo>
                                <a:lnTo>
                                  <a:pt x="823726" y="760700"/>
                                </a:lnTo>
                                <a:lnTo>
                                  <a:pt x="793718" y="793718"/>
                                </a:lnTo>
                                <a:lnTo>
                                  <a:pt x="760700" y="823726"/>
                                </a:lnTo>
                                <a:lnTo>
                                  <a:pt x="724908" y="850491"/>
                                </a:lnTo>
                                <a:lnTo>
                                  <a:pt x="686573" y="873779"/>
                                </a:lnTo>
                                <a:lnTo>
                                  <a:pt x="645929" y="893357"/>
                                </a:lnTo>
                                <a:lnTo>
                                  <a:pt x="603212" y="908991"/>
                                </a:lnTo>
                                <a:lnTo>
                                  <a:pt x="558653" y="920448"/>
                                </a:lnTo>
                                <a:lnTo>
                                  <a:pt x="512486" y="927493"/>
                                </a:lnTo>
                                <a:lnTo>
                                  <a:pt x="464947" y="929894"/>
                                </a:lnTo>
                                <a:lnTo>
                                  <a:pt x="417407" y="927493"/>
                                </a:lnTo>
                                <a:lnTo>
                                  <a:pt x="371240" y="920448"/>
                                </a:lnTo>
                                <a:lnTo>
                                  <a:pt x="326681" y="908991"/>
                                </a:lnTo>
                                <a:lnTo>
                                  <a:pt x="283964" y="893357"/>
                                </a:lnTo>
                                <a:lnTo>
                                  <a:pt x="243320" y="873779"/>
                                </a:lnTo>
                                <a:lnTo>
                                  <a:pt x="204985" y="850491"/>
                                </a:lnTo>
                                <a:lnTo>
                                  <a:pt x="169193" y="823726"/>
                                </a:lnTo>
                                <a:lnTo>
                                  <a:pt x="136175" y="793718"/>
                                </a:lnTo>
                                <a:lnTo>
                                  <a:pt x="106167" y="760700"/>
                                </a:lnTo>
                                <a:lnTo>
                                  <a:pt x="79402" y="724908"/>
                                </a:lnTo>
                                <a:lnTo>
                                  <a:pt x="56114" y="686573"/>
                                </a:lnTo>
                                <a:lnTo>
                                  <a:pt x="36536" y="645929"/>
                                </a:lnTo>
                                <a:lnTo>
                                  <a:pt x="20902" y="603212"/>
                                </a:lnTo>
                                <a:lnTo>
                                  <a:pt x="9445" y="558653"/>
                                </a:lnTo>
                                <a:lnTo>
                                  <a:pt x="2400" y="512486"/>
                                </a:lnTo>
                                <a:lnTo>
                                  <a:pt x="0" y="464947"/>
                                </a:lnTo>
                                <a:lnTo>
                                  <a:pt x="2400" y="417407"/>
                                </a:lnTo>
                                <a:lnTo>
                                  <a:pt x="9445" y="371240"/>
                                </a:lnTo>
                                <a:lnTo>
                                  <a:pt x="20902" y="326681"/>
                                </a:lnTo>
                                <a:lnTo>
                                  <a:pt x="36536" y="283964"/>
                                </a:lnTo>
                                <a:lnTo>
                                  <a:pt x="56114" y="243320"/>
                                </a:lnTo>
                                <a:lnTo>
                                  <a:pt x="79402" y="204985"/>
                                </a:lnTo>
                                <a:lnTo>
                                  <a:pt x="106167" y="169193"/>
                                </a:lnTo>
                                <a:lnTo>
                                  <a:pt x="136175" y="136175"/>
                                </a:lnTo>
                                <a:lnTo>
                                  <a:pt x="169193" y="106167"/>
                                </a:lnTo>
                                <a:lnTo>
                                  <a:pt x="204985" y="79402"/>
                                </a:lnTo>
                                <a:lnTo>
                                  <a:pt x="243320" y="56114"/>
                                </a:lnTo>
                                <a:lnTo>
                                  <a:pt x="283964" y="36536"/>
                                </a:lnTo>
                                <a:lnTo>
                                  <a:pt x="326681" y="20902"/>
                                </a:lnTo>
                                <a:lnTo>
                                  <a:pt x="371240" y="9445"/>
                                </a:lnTo>
                                <a:lnTo>
                                  <a:pt x="417407" y="2400"/>
                                </a:lnTo>
                                <a:lnTo>
                                  <a:pt x="464947" y="0"/>
                                </a:lnTo>
                                <a:lnTo>
                                  <a:pt x="464947" y="464947"/>
                                </a:lnTo>
                                <a:lnTo>
                                  <a:pt x="464947" y="0"/>
                                </a:lnTo>
                                <a:close/>
                              </a:path>
                              <a:path w="930275" h="930275">
                                <a:moveTo>
                                  <a:pt x="464947" y="0"/>
                                </a:moveTo>
                                <a:lnTo>
                                  <a:pt x="464947" y="464947"/>
                                </a:lnTo>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43" name="Image 243"/>
                          <pic:cNvPicPr/>
                        </pic:nvPicPr>
                        <pic:blipFill>
                          <a:blip r:embed="rId191" cstate="print"/>
                          <a:stretch>
                            <a:fillRect/>
                          </a:stretch>
                        </pic:blipFill>
                        <pic:spPr>
                          <a:xfrm>
                            <a:off x="1609064" y="695092"/>
                            <a:ext cx="62779" cy="62779"/>
                          </a:xfrm>
                          <a:prstGeom prst="rect">
                            <a:avLst/>
                          </a:prstGeom>
                        </pic:spPr>
                      </pic:pic>
                      <wps:wsp>
                        <wps:cNvPr id="244" name="Graphic 244"/>
                        <wps:cNvSpPr/>
                        <wps:spPr>
                          <a:xfrm>
                            <a:off x="1609064" y="695092"/>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45" name="Image 245"/>
                          <pic:cNvPicPr/>
                        </pic:nvPicPr>
                        <pic:blipFill>
                          <a:blip r:embed="rId192" cstate="print"/>
                          <a:stretch>
                            <a:fillRect/>
                          </a:stretch>
                        </pic:blipFill>
                        <pic:spPr>
                          <a:xfrm>
                            <a:off x="1609064" y="1047517"/>
                            <a:ext cx="62779" cy="62779"/>
                          </a:xfrm>
                          <a:prstGeom prst="rect">
                            <a:avLst/>
                          </a:prstGeom>
                        </pic:spPr>
                      </pic:pic>
                      <wps:wsp>
                        <wps:cNvPr id="246" name="Graphic 246"/>
                        <wps:cNvSpPr/>
                        <wps:spPr>
                          <a:xfrm>
                            <a:off x="1609064" y="1047517"/>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wps:wsp>
                        <wps:cNvPr id="247" name="Graphic 247"/>
                        <wps:cNvSpPr/>
                        <wps:spPr>
                          <a:xfrm>
                            <a:off x="4762" y="4762"/>
                            <a:ext cx="2457450" cy="1571625"/>
                          </a:xfrm>
                          <a:custGeom>
                            <a:avLst/>
                            <a:gdLst/>
                            <a:ahLst/>
                            <a:cxnLst/>
                            <a:rect l="l" t="t" r="r" b="b"/>
                            <a:pathLst>
                              <a:path w="2457450" h="1571625">
                                <a:moveTo>
                                  <a:pt x="0" y="1571625"/>
                                </a:moveTo>
                                <a:lnTo>
                                  <a:pt x="2457450" y="1571625"/>
                                </a:lnTo>
                                <a:lnTo>
                                  <a:pt x="2457450" y="0"/>
                                </a:lnTo>
                                <a:lnTo>
                                  <a:pt x="0" y="0"/>
                                </a:lnTo>
                                <a:lnTo>
                                  <a:pt x="0" y="1571625"/>
                                </a:lnTo>
                                <a:close/>
                              </a:path>
                            </a:pathLst>
                          </a:custGeom>
                          <a:ln w="9525">
                            <a:solidFill>
                              <a:srgbClr val="D9D9D9"/>
                            </a:solidFill>
                            <a:prstDash val="solid"/>
                          </a:ln>
                        </wps:spPr>
                        <wps:bodyPr wrap="square" lIns="0" tIns="0" rIns="0" bIns="0" rtlCol="0">
                          <a:prstTxWarp prst="textNoShape">
                            <a:avLst/>
                          </a:prstTxWarp>
                          <a:noAutofit/>
                        </wps:bodyPr>
                      </wps:wsp>
                      <wps:wsp>
                        <wps:cNvPr id="248" name="Textbox 248"/>
                        <wps:cNvSpPr txBox="1"/>
                        <wps:spPr>
                          <a:xfrm>
                            <a:off x="0" y="0"/>
                            <a:ext cx="2466975" cy="1581150"/>
                          </a:xfrm>
                          <a:prstGeom prst="rect">
                            <a:avLst/>
                          </a:prstGeom>
                        </wps:spPr>
                        <wps:txbx>
                          <w:txbxContent>
                            <w:p w14:paraId="0304DD28" w14:textId="77777777" w:rsidR="002C6574" w:rsidRDefault="00000000">
                              <w:pPr>
                                <w:spacing w:before="158"/>
                                <w:ind w:left="1271"/>
                                <w:rPr>
                                  <w:rFonts w:ascii="Calibri Light" w:hAnsi="Calibri Light"/>
                                  <w:sz w:val="32"/>
                                </w:rPr>
                              </w:pPr>
                              <w:r>
                                <w:rPr>
                                  <w:rFonts w:ascii="Calibri Light" w:hAnsi="Calibri Light"/>
                                  <w:color w:val="7E7E7E"/>
                                  <w:spacing w:val="-2"/>
                                  <w:sz w:val="32"/>
                                </w:rPr>
                                <w:t>SUGESTÃO</w:t>
                              </w:r>
                            </w:p>
                          </w:txbxContent>
                        </wps:txbx>
                        <wps:bodyPr wrap="square" lIns="0" tIns="0" rIns="0" bIns="0" rtlCol="0">
                          <a:noAutofit/>
                        </wps:bodyPr>
                      </wps:wsp>
                    </wpg:wgp>
                  </a:graphicData>
                </a:graphic>
              </wp:anchor>
            </w:drawing>
          </mc:Choice>
          <mc:Fallback>
            <w:pict>
              <v:group w14:anchorId="2955E626" id="Group 240" o:spid="_x0000_s1097" style="position:absolute;left:0;text-align:left;margin-left:87.15pt;margin-top:68.6pt;width:194.25pt;height:124.5pt;z-index:-30737920;mso-wrap-distance-left:0;mso-wrap-distance-right:0;mso-position-horizontal-relative:page;mso-position-vertical-relative:text" coordsize="24669,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">
                <v:shape id="Image 241" o:spid="_x0000_s1098" type="#_x0000_t75" style="position:absolute;left:47;top:47;width:24575;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">
                  <v:imagedata r:id="rId193" o:title=""/>
                </v:shape>
                <v:shape id="Graphic 242" o:spid="_x0000_s1099" style="position:absolute;left:3120;top:5067;width:9302;height:9303;visibility:visible;mso-wrap-style:square;v-text-anchor:top" coordsize="930275,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" path="m464947,r47539,2400l558653,9445r44559,11457l645929,36536r40644,19578l724908,79402r35792,26765l793718,136175r30008,33018l850491,204985r23288,38335l893357,283964r15634,42717l920448,371240r7045,46167l929893,464947r-2400,47539l920448,558653r-11457,44559l893357,645929r-19578,40644l850491,724908r-26765,35792l793718,793718r-33018,30008l724908,850491r-38335,23288l645929,893357r-42717,15634l558653,920448r-46167,7045l464947,929894r-47540,-2401l371240,920448,326681,908991,283964,893357,243320,873779,204985,850491,169193,823726,136175,793718,106167,760700,79402,724908,56114,686573,36536,645929,20902,603212,9445,558653,2400,512486,,464947,2400,417407,9445,371240,20902,326681,36536,283964,56114,243320,79402,204985r26765,-35792l136175,136175r33018,-30008l204985,79402,243320,56114,283964,36536,326681,20902,371240,9445,417407,2400,464947,r,464947l464947,xem464947,r,464947e" filled="f" strokecolor="white" strokeweight="1.5pt">
                  <v:path arrowok="t"/>
                </v:shape>
                <v:shape id="Image 243" o:spid="_x0000_s1100" type="#_x0000_t75" style="position:absolute;left:16090;top:6950;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">
                  <v:imagedata r:id="rId194" o:title=""/>
                </v:shape>
                <v:shape id="Graphic 244" o:spid="_x0000_s1101" style="position:absolute;left:16090;top:695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" path="m,62779r62779,l62779,,,,,62779xe" filled="f" strokecolor="white" strokeweight="1.5pt">
                  <v:path arrowok="t"/>
                </v:shape>
                <v:shape id="Image 245" o:spid="_x0000_s1102" type="#_x0000_t75" style="position:absolute;left:16090;top:10475;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">
                  <v:imagedata r:id="rId195" o:title=""/>
                </v:shape>
                <v:shape id="Graphic 246" o:spid="_x0000_s1103" style="position:absolute;left:16090;top:10475;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" path="m,62779r62779,l62779,,,,,62779xe" filled="f" strokecolor="white" strokeweight="1.5pt">
                  <v:path arrowok="t"/>
                </v:shape>
                <v:shape id="Graphic 247" o:spid="_x0000_s1104" style="position:absolute;left:47;top:47;width:24575;height:15716;visibility:visible;mso-wrap-style:square;v-text-anchor:top" coordsize="2457450,157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" path="m,1571625r2457450,l2457450,,,,,1571625xe" filled="f" strokecolor="#d9d9d9">
                  <v:path arrowok="t"/>
                </v:shape>
                <v:shape id="Textbox 248" o:spid="_x0000_s1105" type="#_x0000_t202" style="position:absolute;width:24669;height:1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0304DD28" w14:textId="77777777" w:rsidR="002C6574" w:rsidRDefault="00000000">
                        <w:pPr>
                          <w:spacing w:before="158"/>
                          <w:ind w:left="1271"/>
                          <w:rPr>
                            <w:rFonts w:ascii="Calibri Light" w:hAnsi="Calibri Light"/>
                            <w:sz w:val="32"/>
                          </w:rPr>
                        </w:pPr>
                        <w:r>
                          <w:rPr>
                            <w:rFonts w:ascii="Calibri Light" w:hAnsi="Calibri Light"/>
                            <w:color w:val="7E7E7E"/>
                            <w:spacing w:val="-2"/>
                            <w:sz w:val="32"/>
                          </w:rPr>
                          <w:t>SUGESTÃO</w:t>
                        </w:r>
                      </w:p>
                    </w:txbxContent>
                  </v:textbox>
                </v:shape>
                <w10:wrap anchorx="page"/>
              </v:group>
            </w:pict>
          </mc:Fallback>
        </mc:AlternateContent>
      </w:r>
      <w:r>
        <w:rPr>
          <w:rFonts w:ascii="Calibri" w:hAnsi="Calibri"/>
          <w:b/>
          <w:noProof/>
        </w:rPr>
        <mc:AlternateContent>
          <mc:Choice Requires="wpg">
            <w:drawing>
              <wp:anchor distT="0" distB="0" distL="0" distR="0" simplePos="0" relativeHeight="472579072" behindDoc="1" locked="0" layoutInCell="1" allowOverlap="1" wp14:anchorId="2811BFA7" wp14:editId="4BF23AAA">
                <wp:simplePos x="0" y="0"/>
                <wp:positionH relativeFrom="page">
                  <wp:posOffset>4132897</wp:posOffset>
                </wp:positionH>
                <wp:positionV relativeFrom="paragraph">
                  <wp:posOffset>833085</wp:posOffset>
                </wp:positionV>
                <wp:extent cx="2533650" cy="161925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0" cy="1619250"/>
                          <a:chOff x="0" y="0"/>
                          <a:chExt cx="2533650" cy="1619250"/>
                        </a:xfrm>
                      </wpg:grpSpPr>
                      <pic:pic xmlns:pic="http://schemas.openxmlformats.org/drawingml/2006/picture">
                        <pic:nvPicPr>
                          <pic:cNvPr id="250" name="Image 250"/>
                          <pic:cNvPicPr/>
                        </pic:nvPicPr>
                        <pic:blipFill>
                          <a:blip r:embed="rId196" cstate="print"/>
                          <a:stretch>
                            <a:fillRect/>
                          </a:stretch>
                        </pic:blipFill>
                        <pic:spPr>
                          <a:xfrm>
                            <a:off x="4762" y="4762"/>
                            <a:ext cx="2524124" cy="1609725"/>
                          </a:xfrm>
                          <a:prstGeom prst="rect">
                            <a:avLst/>
                          </a:prstGeom>
                        </pic:spPr>
                      </pic:pic>
                      <wps:wsp>
                        <wps:cNvPr id="251" name="Graphic 251"/>
                        <wps:cNvSpPr/>
                        <wps:spPr>
                          <a:xfrm>
                            <a:off x="313372" y="506793"/>
                            <a:ext cx="968375" cy="968375"/>
                          </a:xfrm>
                          <a:custGeom>
                            <a:avLst/>
                            <a:gdLst/>
                            <a:ahLst/>
                            <a:cxnLst/>
                            <a:rect l="l" t="t" r="r" b="b"/>
                            <a:pathLst>
                              <a:path w="968375" h="968375">
                                <a:moveTo>
                                  <a:pt x="483996" y="0"/>
                                </a:moveTo>
                                <a:lnTo>
                                  <a:pt x="530613" y="2215"/>
                                </a:lnTo>
                                <a:lnTo>
                                  <a:pt x="575976" y="8726"/>
                                </a:lnTo>
                                <a:lnTo>
                                  <a:pt x="619880" y="19329"/>
                                </a:lnTo>
                                <a:lnTo>
                                  <a:pt x="662125" y="33823"/>
                                </a:lnTo>
                                <a:lnTo>
                                  <a:pt x="702507" y="52003"/>
                                </a:lnTo>
                                <a:lnTo>
                                  <a:pt x="740823" y="73669"/>
                                </a:lnTo>
                                <a:lnTo>
                                  <a:pt x="776871" y="98616"/>
                                </a:lnTo>
                                <a:lnTo>
                                  <a:pt x="810447" y="126643"/>
                                </a:lnTo>
                                <a:lnTo>
                                  <a:pt x="841350" y="157546"/>
                                </a:lnTo>
                                <a:lnTo>
                                  <a:pt x="869377" y="191122"/>
                                </a:lnTo>
                                <a:lnTo>
                                  <a:pt x="894324" y="227170"/>
                                </a:lnTo>
                                <a:lnTo>
                                  <a:pt x="915990" y="265486"/>
                                </a:lnTo>
                                <a:lnTo>
                                  <a:pt x="934170" y="305868"/>
                                </a:lnTo>
                                <a:lnTo>
                                  <a:pt x="948664" y="348113"/>
                                </a:lnTo>
                                <a:lnTo>
                                  <a:pt x="959267" y="392017"/>
                                </a:lnTo>
                                <a:lnTo>
                                  <a:pt x="965778" y="437380"/>
                                </a:lnTo>
                                <a:lnTo>
                                  <a:pt x="967993" y="483997"/>
                                </a:lnTo>
                                <a:lnTo>
                                  <a:pt x="965778" y="530613"/>
                                </a:lnTo>
                                <a:lnTo>
                                  <a:pt x="959267" y="575976"/>
                                </a:lnTo>
                                <a:lnTo>
                                  <a:pt x="948664" y="619880"/>
                                </a:lnTo>
                                <a:lnTo>
                                  <a:pt x="934170" y="662125"/>
                                </a:lnTo>
                                <a:lnTo>
                                  <a:pt x="915990" y="702507"/>
                                </a:lnTo>
                                <a:lnTo>
                                  <a:pt x="894324" y="740823"/>
                                </a:lnTo>
                                <a:lnTo>
                                  <a:pt x="869377" y="776871"/>
                                </a:lnTo>
                                <a:lnTo>
                                  <a:pt x="841350" y="810447"/>
                                </a:lnTo>
                                <a:lnTo>
                                  <a:pt x="810447" y="841350"/>
                                </a:lnTo>
                                <a:lnTo>
                                  <a:pt x="776871" y="869377"/>
                                </a:lnTo>
                                <a:lnTo>
                                  <a:pt x="740823" y="894324"/>
                                </a:lnTo>
                                <a:lnTo>
                                  <a:pt x="702507" y="915990"/>
                                </a:lnTo>
                                <a:lnTo>
                                  <a:pt x="662125" y="934170"/>
                                </a:lnTo>
                                <a:lnTo>
                                  <a:pt x="619880" y="948664"/>
                                </a:lnTo>
                                <a:lnTo>
                                  <a:pt x="575976" y="959267"/>
                                </a:lnTo>
                                <a:lnTo>
                                  <a:pt x="530613" y="965778"/>
                                </a:lnTo>
                                <a:lnTo>
                                  <a:pt x="483996" y="967994"/>
                                </a:lnTo>
                                <a:lnTo>
                                  <a:pt x="437380" y="965778"/>
                                </a:lnTo>
                                <a:lnTo>
                                  <a:pt x="392017" y="959267"/>
                                </a:lnTo>
                                <a:lnTo>
                                  <a:pt x="348113" y="948664"/>
                                </a:lnTo>
                                <a:lnTo>
                                  <a:pt x="305868" y="934170"/>
                                </a:lnTo>
                                <a:lnTo>
                                  <a:pt x="265486" y="915990"/>
                                </a:lnTo>
                                <a:lnTo>
                                  <a:pt x="227170" y="894324"/>
                                </a:lnTo>
                                <a:lnTo>
                                  <a:pt x="191122" y="869377"/>
                                </a:lnTo>
                                <a:lnTo>
                                  <a:pt x="157546" y="841350"/>
                                </a:lnTo>
                                <a:lnTo>
                                  <a:pt x="126643" y="810447"/>
                                </a:lnTo>
                                <a:lnTo>
                                  <a:pt x="98616" y="776871"/>
                                </a:lnTo>
                                <a:lnTo>
                                  <a:pt x="73669" y="740823"/>
                                </a:lnTo>
                                <a:lnTo>
                                  <a:pt x="52003" y="702507"/>
                                </a:lnTo>
                                <a:lnTo>
                                  <a:pt x="33823" y="662125"/>
                                </a:lnTo>
                                <a:lnTo>
                                  <a:pt x="19329" y="619880"/>
                                </a:lnTo>
                                <a:lnTo>
                                  <a:pt x="8726" y="575976"/>
                                </a:lnTo>
                                <a:lnTo>
                                  <a:pt x="2215" y="530613"/>
                                </a:lnTo>
                                <a:lnTo>
                                  <a:pt x="0" y="483997"/>
                                </a:lnTo>
                                <a:lnTo>
                                  <a:pt x="2215" y="437380"/>
                                </a:lnTo>
                                <a:lnTo>
                                  <a:pt x="8726" y="392017"/>
                                </a:lnTo>
                                <a:lnTo>
                                  <a:pt x="19329" y="348113"/>
                                </a:lnTo>
                                <a:lnTo>
                                  <a:pt x="33823" y="305868"/>
                                </a:lnTo>
                                <a:lnTo>
                                  <a:pt x="52003" y="265486"/>
                                </a:lnTo>
                                <a:lnTo>
                                  <a:pt x="73669" y="227170"/>
                                </a:lnTo>
                                <a:lnTo>
                                  <a:pt x="98616" y="191122"/>
                                </a:lnTo>
                                <a:lnTo>
                                  <a:pt x="126643" y="157546"/>
                                </a:lnTo>
                                <a:lnTo>
                                  <a:pt x="157546" y="126643"/>
                                </a:lnTo>
                                <a:lnTo>
                                  <a:pt x="191122" y="98616"/>
                                </a:lnTo>
                                <a:lnTo>
                                  <a:pt x="227170" y="73669"/>
                                </a:lnTo>
                                <a:lnTo>
                                  <a:pt x="265486" y="52003"/>
                                </a:lnTo>
                                <a:lnTo>
                                  <a:pt x="305868" y="33823"/>
                                </a:lnTo>
                                <a:lnTo>
                                  <a:pt x="348113" y="19329"/>
                                </a:lnTo>
                                <a:lnTo>
                                  <a:pt x="392017" y="8726"/>
                                </a:lnTo>
                                <a:lnTo>
                                  <a:pt x="437380" y="2215"/>
                                </a:lnTo>
                                <a:lnTo>
                                  <a:pt x="483996" y="0"/>
                                </a:lnTo>
                                <a:lnTo>
                                  <a:pt x="483996" y="483997"/>
                                </a:lnTo>
                                <a:lnTo>
                                  <a:pt x="483996" y="0"/>
                                </a:lnTo>
                                <a:close/>
                              </a:path>
                              <a:path w="968375" h="968375">
                                <a:moveTo>
                                  <a:pt x="483996" y="0"/>
                                </a:moveTo>
                                <a:lnTo>
                                  <a:pt x="483996" y="483997"/>
                                </a:lnTo>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191" cstate="print"/>
                          <a:stretch>
                            <a:fillRect/>
                          </a:stretch>
                        </pic:blipFill>
                        <pic:spPr>
                          <a:xfrm>
                            <a:off x="1649920" y="714142"/>
                            <a:ext cx="62779" cy="62779"/>
                          </a:xfrm>
                          <a:prstGeom prst="rect">
                            <a:avLst/>
                          </a:prstGeom>
                        </pic:spPr>
                      </pic:pic>
                      <wps:wsp>
                        <wps:cNvPr id="253" name="Graphic 253"/>
                        <wps:cNvSpPr/>
                        <wps:spPr>
                          <a:xfrm>
                            <a:off x="1649920" y="714142"/>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54" name="Image 254"/>
                          <pic:cNvPicPr/>
                        </pic:nvPicPr>
                        <pic:blipFill>
                          <a:blip r:embed="rId192" cstate="print"/>
                          <a:stretch>
                            <a:fillRect/>
                          </a:stretch>
                        </pic:blipFill>
                        <pic:spPr>
                          <a:xfrm>
                            <a:off x="1649920" y="1066567"/>
                            <a:ext cx="62779" cy="62779"/>
                          </a:xfrm>
                          <a:prstGeom prst="rect">
                            <a:avLst/>
                          </a:prstGeom>
                        </pic:spPr>
                      </pic:pic>
                      <wps:wsp>
                        <wps:cNvPr id="255" name="Graphic 255"/>
                        <wps:cNvSpPr/>
                        <wps:spPr>
                          <a:xfrm>
                            <a:off x="1649920" y="1066567"/>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wps:wsp>
                        <wps:cNvPr id="256" name="Graphic 256"/>
                        <wps:cNvSpPr/>
                        <wps:spPr>
                          <a:xfrm>
                            <a:off x="4762" y="4762"/>
                            <a:ext cx="2524125" cy="1609725"/>
                          </a:xfrm>
                          <a:custGeom>
                            <a:avLst/>
                            <a:gdLst/>
                            <a:ahLst/>
                            <a:cxnLst/>
                            <a:rect l="l" t="t" r="r" b="b"/>
                            <a:pathLst>
                              <a:path w="2524125" h="1609725">
                                <a:moveTo>
                                  <a:pt x="0" y="1609725"/>
                                </a:moveTo>
                                <a:lnTo>
                                  <a:pt x="2524124" y="1609725"/>
                                </a:lnTo>
                                <a:lnTo>
                                  <a:pt x="2524124" y="0"/>
                                </a:lnTo>
                                <a:lnTo>
                                  <a:pt x="0" y="0"/>
                                </a:lnTo>
                                <a:lnTo>
                                  <a:pt x="0" y="1609725"/>
                                </a:lnTo>
                                <a:close/>
                              </a:path>
                            </a:pathLst>
                          </a:custGeom>
                          <a:ln w="9525">
                            <a:solidFill>
                              <a:srgbClr val="D9D9D9"/>
                            </a:solidFill>
                            <a:prstDash val="solid"/>
                          </a:ln>
                        </wps:spPr>
                        <wps:bodyPr wrap="square" lIns="0" tIns="0" rIns="0" bIns="0" rtlCol="0">
                          <a:prstTxWarp prst="textNoShape">
                            <a:avLst/>
                          </a:prstTxWarp>
                          <a:noAutofit/>
                        </wps:bodyPr>
                      </wps:wsp>
                      <wps:wsp>
                        <wps:cNvPr id="257" name="Textbox 257"/>
                        <wps:cNvSpPr txBox="1"/>
                        <wps:spPr>
                          <a:xfrm>
                            <a:off x="0" y="0"/>
                            <a:ext cx="2533650" cy="1619250"/>
                          </a:xfrm>
                          <a:prstGeom prst="rect">
                            <a:avLst/>
                          </a:prstGeom>
                        </wps:spPr>
                        <wps:txbx>
                          <w:txbxContent>
                            <w:p w14:paraId="117D5F0C" w14:textId="77777777" w:rsidR="002C6574" w:rsidRDefault="00000000">
                              <w:pPr>
                                <w:spacing w:before="158"/>
                                <w:ind w:left="883"/>
                                <w:rPr>
                                  <w:rFonts w:ascii="Calibri Light" w:hAnsi="Calibri Light"/>
                                  <w:sz w:val="32"/>
                                </w:rPr>
                              </w:pPr>
                              <w:r>
                                <w:rPr>
                                  <w:rFonts w:ascii="Calibri Light" w:hAnsi="Calibri Light"/>
                                  <w:color w:val="7E7E7E"/>
                                  <w:spacing w:val="-2"/>
                                  <w:sz w:val="32"/>
                                </w:rPr>
                                <w:t>RECOMENDAÇÃO</w:t>
                              </w:r>
                            </w:p>
                          </w:txbxContent>
                        </wps:txbx>
                        <wps:bodyPr wrap="square" lIns="0" tIns="0" rIns="0" bIns="0" rtlCol="0">
                          <a:noAutofit/>
                        </wps:bodyPr>
                      </wps:wsp>
                    </wpg:wgp>
                  </a:graphicData>
                </a:graphic>
              </wp:anchor>
            </w:drawing>
          </mc:Choice>
          <mc:Fallback>
            <w:pict>
              <v:group w14:anchorId="2811BFA7" id="Group 249" o:spid="_x0000_s1106" style="position:absolute;left:0;text-align:left;margin-left:325.4pt;margin-top:65.6pt;width:199.5pt;height:127.5pt;z-index:-30737408;mso-wrap-distance-left:0;mso-wrap-distance-right:0;mso-position-horizontal-relative:page;mso-position-vertical-relative:text" coordsize="25336,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">
                <v:shape id="Image 250" o:spid="_x0000_s1107" type="#_x0000_t75" style="position:absolute;left:47;top:47;width:25241;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">
                  <v:imagedata r:id="rId197" o:title=""/>
                </v:shape>
                <v:shape id="Graphic 251" o:spid="_x0000_s1108" style="position:absolute;left:3133;top:5067;width:9684;height:9684;visibility:visible;mso-wrap-style:square;v-text-anchor:top" coordsize="96837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" path="m483996,r46617,2215l575976,8726r43904,10603l662125,33823r40382,18180l740823,73669r36048,24947l810447,126643r30903,30903l869377,191122r24947,36048l915990,265486r18180,40382l948664,348113r10603,43904l965778,437380r2215,46617l965778,530613r-6511,45363l948664,619880r-14494,42245l915990,702507r-21666,38316l869377,776871r-28027,33576l810447,841350r-33576,28027l740823,894324r-38316,21666l662125,934170r-42245,14494l575976,959267r-45363,6511l483996,967994r-46616,-2216l392017,959267,348113,948664,305868,934170,265486,915990,227170,894324,191122,869377,157546,841350,126643,810447,98616,776871,73669,740823,52003,702507,33823,662125,19329,619880,8726,575976,2215,530613,,483997,2215,437380,8726,392017,19329,348113,33823,305868,52003,265486,73669,227170,98616,191122r28027,-33576l157546,126643,191122,98616,227170,73669,265486,52003,305868,33823,348113,19329,392017,8726,437380,2215,483996,r,483997l483996,xem483996,r,483997e" filled="f" strokecolor="white" strokeweight="1.5pt">
                  <v:path arrowok="t"/>
                </v:shape>
                <v:shape id="Image 252" o:spid="_x0000_s1109" type="#_x0000_t75" style="position:absolute;left:16499;top:7141;width:62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">
                  <v:imagedata r:id="rId194" o:title=""/>
                </v:shape>
                <v:shape id="Graphic 253" o:spid="_x0000_s1110" style="position:absolute;left:16499;top:7141;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" path="m,62779r62779,l62779,,,,,62779xe" filled="f" strokecolor="white" strokeweight="1.5pt">
                  <v:path arrowok="t"/>
                </v:shape>
                <v:shape id="Image 254" o:spid="_x0000_s1111" type="#_x0000_t75" style="position:absolute;left:16499;top:10665;width:62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">
                  <v:imagedata r:id="rId195" o:title=""/>
                </v:shape>
                <v:shape id="Graphic 255" o:spid="_x0000_s1112" style="position:absolute;left:16499;top:10665;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" path="m,62779r62779,l62779,,,,,62779xe" filled="f" strokecolor="white" strokeweight="1.5pt">
                  <v:path arrowok="t"/>
                </v:shape>
                <v:shape id="Graphic 256" o:spid="_x0000_s1113" style="position:absolute;left:47;top:47;width:25241;height:16097;visibility:visible;mso-wrap-style:square;v-text-anchor:top" coordsize="2524125,160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" path="m,1609725r2524124,l2524124,,,,,1609725xe" filled="f" strokecolor="#d9d9d9">
                  <v:path arrowok="t"/>
                </v:shape>
                <v:shape id="Textbox 257" o:spid="_x0000_s1114" type="#_x0000_t202" style="position:absolute;width:25336;height:1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117D5F0C" w14:textId="77777777" w:rsidR="002C6574" w:rsidRDefault="00000000">
                        <w:pPr>
                          <w:spacing w:before="158"/>
                          <w:ind w:left="883"/>
                          <w:rPr>
                            <w:rFonts w:ascii="Calibri Light" w:hAnsi="Calibri Light"/>
                            <w:sz w:val="32"/>
                          </w:rPr>
                        </w:pPr>
                        <w:r>
                          <w:rPr>
                            <w:rFonts w:ascii="Calibri Light" w:hAnsi="Calibri Light"/>
                            <w:color w:val="7E7E7E"/>
                            <w:spacing w:val="-2"/>
                            <w:sz w:val="32"/>
                          </w:rPr>
                          <w:t>RECOMENDAÇÃO</w:t>
                        </w:r>
                      </w:p>
                    </w:txbxContent>
                  </v:textbox>
                </v:shape>
                <w10:wrap anchorx="page"/>
              </v:group>
            </w:pict>
          </mc:Fallback>
        </mc:AlternateContent>
      </w:r>
      <w:r>
        <w:rPr>
          <w:rFonts w:ascii="Calibri" w:hAnsi="Calibri"/>
          <w:b/>
        </w:rPr>
        <w:t>Período:</w:t>
      </w:r>
      <w:r>
        <w:rPr>
          <w:rFonts w:ascii="Calibri" w:hAnsi="Calibri"/>
          <w:b/>
          <w:spacing w:val="-8"/>
        </w:rPr>
        <w:t xml:space="preserve"> </w:t>
      </w:r>
      <w:r>
        <w:rPr>
          <w:rFonts w:ascii="Calibri" w:hAnsi="Calibri"/>
          <w:b/>
        </w:rPr>
        <w:t>janeiro-dezembro</w:t>
      </w:r>
      <w:r>
        <w:rPr>
          <w:rFonts w:ascii="Calibri" w:hAnsi="Calibri"/>
          <w:b/>
          <w:spacing w:val="-7"/>
        </w:rPr>
        <w:t xml:space="preserve"> </w:t>
      </w:r>
      <w:r>
        <w:rPr>
          <w:rFonts w:ascii="Calibri" w:hAnsi="Calibri"/>
          <w:b/>
        </w:rPr>
        <w:t>de</w:t>
      </w:r>
      <w:r>
        <w:rPr>
          <w:rFonts w:ascii="Calibri" w:hAnsi="Calibri"/>
          <w:b/>
          <w:spacing w:val="-8"/>
        </w:rPr>
        <w:t xml:space="preserve"> </w:t>
      </w:r>
      <w:r>
        <w:rPr>
          <w:rFonts w:ascii="Calibri" w:hAnsi="Calibri"/>
          <w:b/>
          <w:spacing w:val="-4"/>
        </w:rPr>
        <w:t>2025</w:t>
      </w:r>
    </w:p>
    <w:p w14:paraId="3243AF10" w14:textId="77777777" w:rsidR="002C6574" w:rsidRDefault="002C6574">
      <w:pPr>
        <w:pStyle w:val="Corpodetexto"/>
        <w:rPr>
          <w:rFonts w:ascii="Calibri"/>
          <w:b/>
          <w:sz w:val="20"/>
        </w:rPr>
      </w:pPr>
    </w:p>
    <w:p w14:paraId="699FBB92" w14:textId="77777777" w:rsidR="002C6574" w:rsidRDefault="002C6574">
      <w:pPr>
        <w:pStyle w:val="Corpodetexto"/>
        <w:rPr>
          <w:rFonts w:ascii="Calibri"/>
          <w:b/>
          <w:sz w:val="20"/>
        </w:rPr>
      </w:pPr>
    </w:p>
    <w:p w14:paraId="2FEBCA2C" w14:textId="77777777" w:rsidR="002C6574" w:rsidRDefault="002C6574">
      <w:pPr>
        <w:pStyle w:val="Corpodetexto"/>
        <w:rPr>
          <w:rFonts w:ascii="Calibri"/>
          <w:b/>
          <w:sz w:val="20"/>
        </w:rPr>
      </w:pPr>
    </w:p>
    <w:p w14:paraId="03B7D6AD" w14:textId="77777777" w:rsidR="002C6574" w:rsidRDefault="002C6574">
      <w:pPr>
        <w:pStyle w:val="Corpodetexto"/>
        <w:rPr>
          <w:rFonts w:ascii="Calibri"/>
          <w:b/>
          <w:sz w:val="20"/>
        </w:rPr>
      </w:pPr>
    </w:p>
    <w:p w14:paraId="3EB35269" w14:textId="77777777" w:rsidR="002C6574" w:rsidRDefault="002C6574">
      <w:pPr>
        <w:pStyle w:val="Corpodetexto"/>
        <w:rPr>
          <w:rFonts w:ascii="Calibri"/>
          <w:b/>
          <w:sz w:val="20"/>
        </w:rPr>
      </w:pPr>
    </w:p>
    <w:p w14:paraId="006D5C64" w14:textId="77777777" w:rsidR="002C6574" w:rsidRDefault="002C6574">
      <w:pPr>
        <w:pStyle w:val="Corpodetexto"/>
        <w:rPr>
          <w:rFonts w:ascii="Calibri"/>
          <w:b/>
          <w:sz w:val="20"/>
        </w:rPr>
      </w:pPr>
    </w:p>
    <w:p w14:paraId="7E7E1E6C" w14:textId="77777777" w:rsidR="002C6574" w:rsidRDefault="002C6574">
      <w:pPr>
        <w:pStyle w:val="Corpodetexto"/>
        <w:rPr>
          <w:rFonts w:ascii="Calibri"/>
          <w:b/>
          <w:sz w:val="20"/>
        </w:rPr>
      </w:pPr>
    </w:p>
    <w:p w14:paraId="47621AFC" w14:textId="77777777" w:rsidR="002C6574" w:rsidRDefault="002C6574">
      <w:pPr>
        <w:pStyle w:val="Corpodetexto"/>
        <w:spacing w:before="95"/>
        <w:rPr>
          <w:rFonts w:ascii="Calibri"/>
          <w:b/>
          <w:sz w:val="20"/>
        </w:rPr>
      </w:pPr>
    </w:p>
    <w:tbl>
      <w:tblPr>
        <w:tblStyle w:val="TableNormal"/>
        <w:tblW w:w="0" w:type="auto"/>
        <w:tblInd w:w="2297" w:type="dxa"/>
        <w:tblLayout w:type="fixed"/>
        <w:tblLook w:val="01E0" w:firstRow="1" w:lastRow="1" w:firstColumn="1" w:lastColumn="1" w:noHBand="0" w:noVBand="0"/>
      </w:tblPr>
      <w:tblGrid>
        <w:gridCol w:w="1468"/>
        <w:gridCol w:w="1318"/>
        <w:gridCol w:w="3512"/>
        <w:gridCol w:w="1359"/>
      </w:tblGrid>
      <w:tr w:rsidR="002C6574" w14:paraId="6DF9CAF6" w14:textId="77777777">
        <w:trPr>
          <w:trHeight w:val="482"/>
        </w:trPr>
        <w:tc>
          <w:tcPr>
            <w:tcW w:w="1468" w:type="dxa"/>
          </w:tcPr>
          <w:p w14:paraId="19B1FD68" w14:textId="77777777" w:rsidR="002C6574" w:rsidRDefault="00000000">
            <w:pPr>
              <w:pStyle w:val="TableParagraph"/>
              <w:spacing w:before="109"/>
              <w:ind w:left="141"/>
              <w:jc w:val="left"/>
              <w:rPr>
                <w:rFonts w:ascii="Calibri"/>
                <w:sz w:val="18"/>
              </w:rPr>
            </w:pPr>
            <w:r>
              <w:rPr>
                <w:rFonts w:ascii="Calibri"/>
                <w:color w:val="404040"/>
                <w:spacing w:val="-5"/>
                <w:sz w:val="18"/>
              </w:rPr>
              <w:t>0%</w:t>
            </w:r>
          </w:p>
        </w:tc>
        <w:tc>
          <w:tcPr>
            <w:tcW w:w="1318" w:type="dxa"/>
            <w:shd w:val="clear" w:color="auto" w:fill="FFFFFF"/>
          </w:tcPr>
          <w:p w14:paraId="5C5339AC" w14:textId="77777777" w:rsidR="002C6574" w:rsidRDefault="00000000">
            <w:pPr>
              <w:pStyle w:val="TableParagraph"/>
              <w:spacing w:before="49"/>
              <w:ind w:left="235"/>
              <w:jc w:val="left"/>
              <w:rPr>
                <w:rFonts w:ascii="Calibri"/>
                <w:sz w:val="18"/>
              </w:rPr>
            </w:pPr>
            <w:r>
              <w:rPr>
                <w:rFonts w:ascii="Calibri"/>
                <w:color w:val="585858"/>
                <w:spacing w:val="-2"/>
                <w:sz w:val="18"/>
              </w:rPr>
              <w:t>ATENDIDA</w:t>
            </w:r>
          </w:p>
        </w:tc>
        <w:tc>
          <w:tcPr>
            <w:tcW w:w="3512" w:type="dxa"/>
          </w:tcPr>
          <w:p w14:paraId="7FD872D7" w14:textId="77777777" w:rsidR="002C6574" w:rsidRDefault="00000000">
            <w:pPr>
              <w:pStyle w:val="TableParagraph"/>
              <w:spacing w:before="63"/>
              <w:ind w:left="1012"/>
              <w:jc w:val="center"/>
              <w:rPr>
                <w:rFonts w:ascii="Calibri"/>
                <w:sz w:val="18"/>
              </w:rPr>
            </w:pPr>
            <w:r>
              <w:rPr>
                <w:rFonts w:ascii="Calibri"/>
                <w:color w:val="404040"/>
                <w:spacing w:val="-5"/>
                <w:sz w:val="18"/>
              </w:rPr>
              <w:t>0%</w:t>
            </w:r>
          </w:p>
        </w:tc>
        <w:tc>
          <w:tcPr>
            <w:tcW w:w="1359" w:type="dxa"/>
            <w:shd w:val="clear" w:color="auto" w:fill="FFFFFF"/>
          </w:tcPr>
          <w:p w14:paraId="2DBAAFDF" w14:textId="77777777" w:rsidR="002C6574" w:rsidRDefault="00000000">
            <w:pPr>
              <w:pStyle w:val="TableParagraph"/>
              <w:spacing w:before="49"/>
              <w:ind w:left="236"/>
              <w:jc w:val="left"/>
              <w:rPr>
                <w:rFonts w:ascii="Calibri"/>
                <w:sz w:val="18"/>
              </w:rPr>
            </w:pPr>
            <w:r>
              <w:rPr>
                <w:rFonts w:ascii="Calibri"/>
                <w:color w:val="585858"/>
                <w:spacing w:val="-2"/>
                <w:sz w:val="18"/>
              </w:rPr>
              <w:t>ATENDIDA</w:t>
            </w:r>
          </w:p>
        </w:tc>
      </w:tr>
      <w:tr w:rsidR="002C6574" w14:paraId="6ED48F9B" w14:textId="77777777">
        <w:trPr>
          <w:trHeight w:val="627"/>
        </w:trPr>
        <w:tc>
          <w:tcPr>
            <w:tcW w:w="1468" w:type="dxa"/>
          </w:tcPr>
          <w:p w14:paraId="22EC2E1D" w14:textId="77777777" w:rsidR="002C6574" w:rsidRDefault="002C6574">
            <w:pPr>
              <w:pStyle w:val="TableParagraph"/>
              <w:spacing w:before="139"/>
              <w:jc w:val="left"/>
              <w:rPr>
                <w:rFonts w:ascii="Calibri"/>
                <w:b/>
                <w:sz w:val="18"/>
              </w:rPr>
            </w:pPr>
          </w:p>
          <w:p w14:paraId="59B1D3FE" w14:textId="77777777" w:rsidR="002C6574" w:rsidRDefault="00000000">
            <w:pPr>
              <w:pStyle w:val="TableParagraph"/>
              <w:ind w:left="50"/>
              <w:jc w:val="left"/>
              <w:rPr>
                <w:rFonts w:ascii="Calibri"/>
                <w:sz w:val="18"/>
              </w:rPr>
            </w:pPr>
            <w:r>
              <w:rPr>
                <w:rFonts w:ascii="Calibri"/>
                <w:color w:val="404040"/>
                <w:spacing w:val="-4"/>
                <w:sz w:val="18"/>
              </w:rPr>
              <w:t>100%</w:t>
            </w:r>
          </w:p>
        </w:tc>
        <w:tc>
          <w:tcPr>
            <w:tcW w:w="1318" w:type="dxa"/>
            <w:shd w:val="clear" w:color="auto" w:fill="FFFFFF"/>
          </w:tcPr>
          <w:p w14:paraId="161E9FBA" w14:textId="77777777" w:rsidR="002C6574" w:rsidRDefault="00000000">
            <w:pPr>
              <w:pStyle w:val="TableParagraph"/>
              <w:spacing w:before="151"/>
              <w:ind w:left="235"/>
              <w:jc w:val="left"/>
              <w:rPr>
                <w:rFonts w:ascii="Calibri"/>
                <w:sz w:val="18"/>
              </w:rPr>
            </w:pPr>
            <w:r>
              <w:rPr>
                <w:rFonts w:ascii="Calibri"/>
                <w:color w:val="585858"/>
                <w:spacing w:val="-6"/>
                <w:sz w:val="18"/>
              </w:rPr>
              <w:t>EM</w:t>
            </w:r>
            <w:r>
              <w:rPr>
                <w:rFonts w:ascii="Calibri"/>
                <w:color w:val="585858"/>
                <w:sz w:val="18"/>
              </w:rPr>
              <w:t xml:space="preserve"> </w:t>
            </w:r>
            <w:r>
              <w:rPr>
                <w:rFonts w:ascii="Calibri"/>
                <w:color w:val="585858"/>
                <w:spacing w:val="-2"/>
                <w:sz w:val="18"/>
              </w:rPr>
              <w:t>ANDAMENTO</w:t>
            </w:r>
          </w:p>
        </w:tc>
        <w:tc>
          <w:tcPr>
            <w:tcW w:w="3512" w:type="dxa"/>
          </w:tcPr>
          <w:p w14:paraId="2FE25DFD" w14:textId="77777777" w:rsidR="002C6574" w:rsidRDefault="002C6574">
            <w:pPr>
              <w:pStyle w:val="TableParagraph"/>
              <w:spacing w:before="124"/>
              <w:jc w:val="left"/>
              <w:rPr>
                <w:rFonts w:ascii="Calibri"/>
                <w:b/>
                <w:sz w:val="18"/>
              </w:rPr>
            </w:pPr>
          </w:p>
          <w:p w14:paraId="1A3C8E53" w14:textId="77777777" w:rsidR="002C6574" w:rsidRDefault="00000000">
            <w:pPr>
              <w:pStyle w:val="TableParagraph"/>
              <w:ind w:left="1012"/>
              <w:jc w:val="center"/>
              <w:rPr>
                <w:rFonts w:ascii="Calibri"/>
                <w:sz w:val="18"/>
              </w:rPr>
            </w:pPr>
            <w:r>
              <w:rPr>
                <w:rFonts w:ascii="Calibri"/>
                <w:color w:val="404040"/>
                <w:spacing w:val="-4"/>
                <w:sz w:val="18"/>
              </w:rPr>
              <w:t>100%</w:t>
            </w:r>
          </w:p>
        </w:tc>
        <w:tc>
          <w:tcPr>
            <w:tcW w:w="1359" w:type="dxa"/>
            <w:shd w:val="clear" w:color="auto" w:fill="FFFFFF"/>
          </w:tcPr>
          <w:p w14:paraId="202CD0B5" w14:textId="77777777" w:rsidR="002C6574" w:rsidRDefault="00000000">
            <w:pPr>
              <w:pStyle w:val="TableParagraph"/>
              <w:spacing w:before="121"/>
              <w:ind w:left="236"/>
              <w:jc w:val="left"/>
              <w:rPr>
                <w:rFonts w:ascii="Calibri"/>
                <w:sz w:val="18"/>
              </w:rPr>
            </w:pPr>
            <w:r>
              <w:rPr>
                <w:rFonts w:ascii="Calibri"/>
                <w:color w:val="585858"/>
                <w:spacing w:val="-5"/>
                <w:sz w:val="18"/>
              </w:rPr>
              <w:t>EM</w:t>
            </w:r>
          </w:p>
          <w:p w14:paraId="724F7F53" w14:textId="77777777" w:rsidR="002C6574" w:rsidRDefault="00000000">
            <w:pPr>
              <w:pStyle w:val="TableParagraph"/>
              <w:ind w:left="236"/>
              <w:jc w:val="left"/>
              <w:rPr>
                <w:rFonts w:ascii="Calibri"/>
                <w:sz w:val="18"/>
              </w:rPr>
            </w:pPr>
            <w:r>
              <w:rPr>
                <w:rFonts w:ascii="Calibri"/>
                <w:color w:val="585858"/>
                <w:spacing w:val="-2"/>
                <w:sz w:val="18"/>
              </w:rPr>
              <w:t>ANDAMENTO</w:t>
            </w:r>
          </w:p>
        </w:tc>
      </w:tr>
    </w:tbl>
    <w:p w14:paraId="6B962245" w14:textId="77777777" w:rsidR="002C6574" w:rsidRDefault="002C6574">
      <w:pPr>
        <w:pStyle w:val="Corpodetexto"/>
        <w:rPr>
          <w:rFonts w:ascii="Calibri"/>
          <w:b/>
          <w:sz w:val="20"/>
        </w:rPr>
      </w:pPr>
    </w:p>
    <w:p w14:paraId="79AD9FBB" w14:textId="77777777" w:rsidR="002C6574" w:rsidRDefault="002C6574">
      <w:pPr>
        <w:pStyle w:val="Corpodetexto"/>
        <w:rPr>
          <w:rFonts w:ascii="Calibri"/>
          <w:b/>
          <w:sz w:val="20"/>
        </w:rPr>
      </w:pPr>
    </w:p>
    <w:p w14:paraId="14D5D414" w14:textId="77777777" w:rsidR="002C6574" w:rsidRDefault="002C6574">
      <w:pPr>
        <w:pStyle w:val="Corpodetexto"/>
        <w:rPr>
          <w:rFonts w:ascii="Calibri"/>
          <w:b/>
          <w:sz w:val="20"/>
        </w:rPr>
      </w:pPr>
    </w:p>
    <w:p w14:paraId="6A35C294" w14:textId="77777777" w:rsidR="002C6574" w:rsidRDefault="002C6574">
      <w:pPr>
        <w:pStyle w:val="Corpodetexto"/>
        <w:rPr>
          <w:rFonts w:ascii="Calibri"/>
          <w:b/>
          <w:sz w:val="20"/>
        </w:rPr>
      </w:pPr>
    </w:p>
    <w:p w14:paraId="2B769443" w14:textId="77777777" w:rsidR="002C6574" w:rsidRDefault="002C6574">
      <w:pPr>
        <w:pStyle w:val="Corpodetexto"/>
        <w:rPr>
          <w:rFonts w:ascii="Calibri"/>
          <w:b/>
          <w:sz w:val="20"/>
        </w:rPr>
      </w:pPr>
    </w:p>
    <w:p w14:paraId="7F22A8C6" w14:textId="77777777" w:rsidR="002C6574" w:rsidRDefault="00000000">
      <w:pPr>
        <w:pStyle w:val="Corpodetexto"/>
        <w:spacing w:before="27"/>
        <w:rPr>
          <w:rFonts w:ascii="Calibri"/>
          <w:b/>
          <w:sz w:val="20"/>
        </w:rPr>
      </w:pPr>
      <w:r>
        <w:rPr>
          <w:rFonts w:ascii="Calibri"/>
          <w:b/>
          <w:noProof/>
          <w:sz w:val="20"/>
        </w:rPr>
        <mc:AlternateContent>
          <mc:Choice Requires="wpg">
            <w:drawing>
              <wp:anchor distT="0" distB="0" distL="0" distR="0" simplePos="0" relativeHeight="487609856" behindDoc="1" locked="0" layoutInCell="1" allowOverlap="1" wp14:anchorId="26C17329" wp14:editId="666BB8D8">
                <wp:simplePos x="0" y="0"/>
                <wp:positionH relativeFrom="page">
                  <wp:posOffset>2377376</wp:posOffset>
                </wp:positionH>
                <wp:positionV relativeFrom="paragraph">
                  <wp:posOffset>187958</wp:posOffset>
                </wp:positionV>
                <wp:extent cx="3076575" cy="1628775"/>
                <wp:effectExtent l="0" t="0" r="0" b="0"/>
                <wp:wrapTopAndBottom/>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6575" cy="1628775"/>
                          <a:chOff x="0" y="0"/>
                          <a:chExt cx="3076575" cy="1628775"/>
                        </a:xfrm>
                      </wpg:grpSpPr>
                      <pic:pic xmlns:pic="http://schemas.openxmlformats.org/drawingml/2006/picture">
                        <pic:nvPicPr>
                          <pic:cNvPr id="259" name="Image 259"/>
                          <pic:cNvPicPr/>
                        </pic:nvPicPr>
                        <pic:blipFill>
                          <a:blip r:embed="rId198" cstate="print"/>
                          <a:stretch>
                            <a:fillRect/>
                          </a:stretch>
                        </pic:blipFill>
                        <pic:spPr>
                          <a:xfrm>
                            <a:off x="4762" y="4762"/>
                            <a:ext cx="3067050" cy="1619250"/>
                          </a:xfrm>
                          <a:prstGeom prst="rect">
                            <a:avLst/>
                          </a:prstGeom>
                        </pic:spPr>
                      </pic:pic>
                      <wps:wsp>
                        <wps:cNvPr id="260" name="Graphic 260"/>
                        <wps:cNvSpPr/>
                        <wps:spPr>
                          <a:xfrm>
                            <a:off x="503364" y="506793"/>
                            <a:ext cx="977900" cy="977900"/>
                          </a:xfrm>
                          <a:custGeom>
                            <a:avLst/>
                            <a:gdLst/>
                            <a:ahLst/>
                            <a:cxnLst/>
                            <a:rect l="l" t="t" r="r" b="b"/>
                            <a:pathLst>
                              <a:path w="977900" h="977900">
                                <a:moveTo>
                                  <a:pt x="488695" y="0"/>
                                </a:moveTo>
                                <a:lnTo>
                                  <a:pt x="535777" y="2237"/>
                                </a:lnTo>
                                <a:lnTo>
                                  <a:pt x="581592" y="8812"/>
                                </a:lnTo>
                                <a:lnTo>
                                  <a:pt x="625935" y="19521"/>
                                </a:lnTo>
                                <a:lnTo>
                                  <a:pt x="668601" y="34158"/>
                                </a:lnTo>
                                <a:lnTo>
                                  <a:pt x="709385" y="52519"/>
                                </a:lnTo>
                                <a:lnTo>
                                  <a:pt x="748083" y="74398"/>
                                </a:lnTo>
                                <a:lnTo>
                                  <a:pt x="784490" y="99590"/>
                                </a:lnTo>
                                <a:lnTo>
                                  <a:pt x="818402" y="127892"/>
                                </a:lnTo>
                                <a:lnTo>
                                  <a:pt x="849613" y="159097"/>
                                </a:lnTo>
                                <a:lnTo>
                                  <a:pt x="877919" y="193002"/>
                                </a:lnTo>
                                <a:lnTo>
                                  <a:pt x="903115" y="229400"/>
                                </a:lnTo>
                                <a:lnTo>
                                  <a:pt x="924996" y="268088"/>
                                </a:lnTo>
                                <a:lnTo>
                                  <a:pt x="943358" y="308861"/>
                                </a:lnTo>
                                <a:lnTo>
                                  <a:pt x="957996" y="351512"/>
                                </a:lnTo>
                                <a:lnTo>
                                  <a:pt x="968705" y="395839"/>
                                </a:lnTo>
                                <a:lnTo>
                                  <a:pt x="975281" y="441635"/>
                                </a:lnTo>
                                <a:lnTo>
                                  <a:pt x="977519" y="488696"/>
                                </a:lnTo>
                                <a:lnTo>
                                  <a:pt x="975281" y="535777"/>
                                </a:lnTo>
                                <a:lnTo>
                                  <a:pt x="968705" y="581592"/>
                                </a:lnTo>
                                <a:lnTo>
                                  <a:pt x="957996" y="625935"/>
                                </a:lnTo>
                                <a:lnTo>
                                  <a:pt x="943358" y="668601"/>
                                </a:lnTo>
                                <a:lnTo>
                                  <a:pt x="924996" y="709385"/>
                                </a:lnTo>
                                <a:lnTo>
                                  <a:pt x="903115" y="748083"/>
                                </a:lnTo>
                                <a:lnTo>
                                  <a:pt x="877919" y="784490"/>
                                </a:lnTo>
                                <a:lnTo>
                                  <a:pt x="849613" y="818402"/>
                                </a:lnTo>
                                <a:lnTo>
                                  <a:pt x="818402" y="849613"/>
                                </a:lnTo>
                                <a:lnTo>
                                  <a:pt x="784490" y="877919"/>
                                </a:lnTo>
                                <a:lnTo>
                                  <a:pt x="748083" y="903115"/>
                                </a:lnTo>
                                <a:lnTo>
                                  <a:pt x="709385" y="924996"/>
                                </a:lnTo>
                                <a:lnTo>
                                  <a:pt x="668601" y="943358"/>
                                </a:lnTo>
                                <a:lnTo>
                                  <a:pt x="625935" y="957996"/>
                                </a:lnTo>
                                <a:lnTo>
                                  <a:pt x="581592" y="968705"/>
                                </a:lnTo>
                                <a:lnTo>
                                  <a:pt x="535777" y="975281"/>
                                </a:lnTo>
                                <a:lnTo>
                                  <a:pt x="488695" y="977518"/>
                                </a:lnTo>
                                <a:lnTo>
                                  <a:pt x="441635" y="975281"/>
                                </a:lnTo>
                                <a:lnTo>
                                  <a:pt x="395839" y="968705"/>
                                </a:lnTo>
                                <a:lnTo>
                                  <a:pt x="351512" y="957996"/>
                                </a:lnTo>
                                <a:lnTo>
                                  <a:pt x="308861" y="943358"/>
                                </a:lnTo>
                                <a:lnTo>
                                  <a:pt x="268088" y="924996"/>
                                </a:lnTo>
                                <a:lnTo>
                                  <a:pt x="229400" y="903115"/>
                                </a:lnTo>
                                <a:lnTo>
                                  <a:pt x="193002" y="877919"/>
                                </a:lnTo>
                                <a:lnTo>
                                  <a:pt x="159097" y="849613"/>
                                </a:lnTo>
                                <a:lnTo>
                                  <a:pt x="127892" y="818402"/>
                                </a:lnTo>
                                <a:lnTo>
                                  <a:pt x="99590" y="784490"/>
                                </a:lnTo>
                                <a:lnTo>
                                  <a:pt x="74398" y="748083"/>
                                </a:lnTo>
                                <a:lnTo>
                                  <a:pt x="52519" y="709385"/>
                                </a:lnTo>
                                <a:lnTo>
                                  <a:pt x="34158" y="668601"/>
                                </a:lnTo>
                                <a:lnTo>
                                  <a:pt x="19521" y="625935"/>
                                </a:lnTo>
                                <a:lnTo>
                                  <a:pt x="8812" y="581592"/>
                                </a:lnTo>
                                <a:lnTo>
                                  <a:pt x="2237" y="535777"/>
                                </a:lnTo>
                                <a:lnTo>
                                  <a:pt x="0" y="488696"/>
                                </a:lnTo>
                                <a:lnTo>
                                  <a:pt x="2587" y="438415"/>
                                </a:lnTo>
                                <a:lnTo>
                                  <a:pt x="10249" y="389064"/>
                                </a:lnTo>
                                <a:lnTo>
                                  <a:pt x="22830" y="340998"/>
                                </a:lnTo>
                                <a:lnTo>
                                  <a:pt x="40179" y="294576"/>
                                </a:lnTo>
                                <a:lnTo>
                                  <a:pt x="62141" y="250154"/>
                                </a:lnTo>
                                <a:lnTo>
                                  <a:pt x="88564" y="208089"/>
                                </a:lnTo>
                                <a:lnTo>
                                  <a:pt x="119294" y="168739"/>
                                </a:lnTo>
                                <a:lnTo>
                                  <a:pt x="154177" y="132461"/>
                                </a:lnTo>
                                <a:lnTo>
                                  <a:pt x="488695" y="488696"/>
                                </a:lnTo>
                                <a:lnTo>
                                  <a:pt x="488695" y="0"/>
                                </a:lnTo>
                                <a:close/>
                              </a:path>
                            </a:pathLst>
                          </a:custGeom>
                          <a:ln w="19049">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199" cstate="print"/>
                          <a:stretch>
                            <a:fillRect/>
                          </a:stretch>
                        </pic:blipFill>
                        <pic:spPr>
                          <a:xfrm>
                            <a:off x="657542" y="506793"/>
                            <a:ext cx="334518" cy="488696"/>
                          </a:xfrm>
                          <a:prstGeom prst="rect">
                            <a:avLst/>
                          </a:prstGeom>
                        </pic:spPr>
                      </pic:pic>
                      <wps:wsp>
                        <wps:cNvPr id="262" name="Graphic 262"/>
                        <wps:cNvSpPr/>
                        <wps:spPr>
                          <a:xfrm>
                            <a:off x="657542" y="506793"/>
                            <a:ext cx="334645" cy="488950"/>
                          </a:xfrm>
                          <a:custGeom>
                            <a:avLst/>
                            <a:gdLst/>
                            <a:ahLst/>
                            <a:cxnLst/>
                            <a:rect l="l" t="t" r="r" b="b"/>
                            <a:pathLst>
                              <a:path w="334645" h="488950">
                                <a:moveTo>
                                  <a:pt x="0" y="132461"/>
                                </a:moveTo>
                                <a:lnTo>
                                  <a:pt x="40523" y="98331"/>
                                </a:lnTo>
                                <a:lnTo>
                                  <a:pt x="84191" y="68989"/>
                                </a:lnTo>
                                <a:lnTo>
                                  <a:pt x="130568" y="44603"/>
                                </a:lnTo>
                                <a:lnTo>
                                  <a:pt x="179223" y="25342"/>
                                </a:lnTo>
                                <a:lnTo>
                                  <a:pt x="229721" y="11375"/>
                                </a:lnTo>
                                <a:lnTo>
                                  <a:pt x="281631" y="2872"/>
                                </a:lnTo>
                                <a:lnTo>
                                  <a:pt x="334518" y="0"/>
                                </a:lnTo>
                                <a:lnTo>
                                  <a:pt x="334518" y="488696"/>
                                </a:lnTo>
                                <a:lnTo>
                                  <a:pt x="0" y="132461"/>
                                </a:lnTo>
                                <a:close/>
                              </a:path>
                            </a:pathLst>
                          </a:custGeom>
                          <a:ln w="19050">
                            <a:solidFill>
                              <a:srgbClr val="FFFFFF"/>
                            </a:solidFill>
                            <a:prstDash val="solid"/>
                          </a:ln>
                        </wps:spPr>
                        <wps:bodyPr wrap="square" lIns="0" tIns="0" rIns="0" bIns="0" rtlCol="0">
                          <a:prstTxWarp prst="textNoShape">
                            <a:avLst/>
                          </a:prstTxWarp>
                          <a:noAutofit/>
                        </wps:bodyPr>
                      </wps:wsp>
                      <wps:wsp>
                        <wps:cNvPr id="263" name="Graphic 263"/>
                        <wps:cNvSpPr/>
                        <wps:spPr>
                          <a:xfrm>
                            <a:off x="1979358" y="781240"/>
                            <a:ext cx="1016635" cy="428625"/>
                          </a:xfrm>
                          <a:custGeom>
                            <a:avLst/>
                            <a:gdLst/>
                            <a:ahLst/>
                            <a:cxnLst/>
                            <a:rect l="l" t="t" r="r" b="b"/>
                            <a:pathLst>
                              <a:path w="1016635" h="428625">
                                <a:moveTo>
                                  <a:pt x="1016279" y="0"/>
                                </a:moveTo>
                                <a:lnTo>
                                  <a:pt x="0" y="0"/>
                                </a:lnTo>
                                <a:lnTo>
                                  <a:pt x="0" y="428625"/>
                                </a:lnTo>
                                <a:lnTo>
                                  <a:pt x="1016279" y="428625"/>
                                </a:lnTo>
                                <a:lnTo>
                                  <a:pt x="1016279" y="0"/>
                                </a:lnTo>
                                <a:close/>
                              </a:path>
                            </a:pathLst>
                          </a:custGeom>
                          <a:solidFill>
                            <a:srgbClr val="FFFFFF">
                              <a:alpha val="50195"/>
                            </a:srgbClr>
                          </a:solidFill>
                        </wps:spPr>
                        <wps:bodyPr wrap="square" lIns="0" tIns="0" rIns="0" bIns="0" rtlCol="0">
                          <a:prstTxWarp prst="textNoShape">
                            <a:avLst/>
                          </a:prstTxWarp>
                          <a:noAutofit/>
                        </wps:bodyPr>
                      </wps:wsp>
                      <pic:pic xmlns:pic="http://schemas.openxmlformats.org/drawingml/2006/picture">
                        <pic:nvPicPr>
                          <pic:cNvPr id="264" name="Image 264"/>
                          <pic:cNvPicPr/>
                        </pic:nvPicPr>
                        <pic:blipFill>
                          <a:blip r:embed="rId200" cstate="print"/>
                          <a:stretch>
                            <a:fillRect/>
                          </a:stretch>
                        </pic:blipFill>
                        <pic:spPr>
                          <a:xfrm>
                            <a:off x="2039302" y="856890"/>
                            <a:ext cx="62779" cy="62779"/>
                          </a:xfrm>
                          <a:prstGeom prst="rect">
                            <a:avLst/>
                          </a:prstGeom>
                        </pic:spPr>
                      </pic:pic>
                      <wps:wsp>
                        <wps:cNvPr id="265" name="Graphic 265"/>
                        <wps:cNvSpPr/>
                        <wps:spPr>
                          <a:xfrm>
                            <a:off x="2039302" y="856890"/>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201" cstate="print"/>
                          <a:stretch>
                            <a:fillRect/>
                          </a:stretch>
                        </pic:blipFill>
                        <pic:spPr>
                          <a:xfrm>
                            <a:off x="2039302" y="1071266"/>
                            <a:ext cx="62779" cy="62779"/>
                          </a:xfrm>
                          <a:prstGeom prst="rect">
                            <a:avLst/>
                          </a:prstGeom>
                        </pic:spPr>
                      </pic:pic>
                      <wps:wsp>
                        <wps:cNvPr id="267" name="Graphic 267"/>
                        <wps:cNvSpPr/>
                        <wps:spPr>
                          <a:xfrm>
                            <a:off x="2039302" y="1071266"/>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wps:wsp>
                        <wps:cNvPr id="268" name="Textbox 268"/>
                        <wps:cNvSpPr txBox="1"/>
                        <wps:spPr>
                          <a:xfrm>
                            <a:off x="4762" y="4762"/>
                            <a:ext cx="3067050" cy="1619250"/>
                          </a:xfrm>
                          <a:prstGeom prst="rect">
                            <a:avLst/>
                          </a:prstGeom>
                          <a:ln w="9525">
                            <a:solidFill>
                              <a:srgbClr val="D9D9D9"/>
                            </a:solidFill>
                            <a:prstDash val="solid"/>
                          </a:ln>
                        </wps:spPr>
                        <wps:txbx>
                          <w:txbxContent>
                            <w:p w14:paraId="45AEF171" w14:textId="77777777" w:rsidR="002C6574" w:rsidRDefault="00000000">
                              <w:pPr>
                                <w:spacing w:before="143"/>
                                <w:ind w:left="1578"/>
                                <w:rPr>
                                  <w:rFonts w:ascii="Calibri Light" w:hAnsi="Calibri Light"/>
                                  <w:sz w:val="32"/>
                                </w:rPr>
                              </w:pPr>
                              <w:r>
                                <w:rPr>
                                  <w:rFonts w:ascii="Calibri Light" w:hAnsi="Calibri Light"/>
                                  <w:color w:val="7E7E7E"/>
                                  <w:spacing w:val="-2"/>
                                  <w:sz w:val="32"/>
                                </w:rPr>
                                <w:t>SOLICITAÇÃO</w:t>
                              </w:r>
                            </w:p>
                            <w:p w14:paraId="637167B9" w14:textId="77777777" w:rsidR="002C6574" w:rsidRDefault="002C6574">
                              <w:pPr>
                                <w:spacing w:before="161"/>
                                <w:rPr>
                                  <w:rFonts w:ascii="Calibri Light"/>
                                  <w:sz w:val="32"/>
                                </w:rPr>
                              </w:pPr>
                            </w:p>
                            <w:p w14:paraId="10A4FEB9" w14:textId="77777777" w:rsidR="002C6574" w:rsidRDefault="00000000">
                              <w:pPr>
                                <w:ind w:left="1249"/>
                                <w:rPr>
                                  <w:rFonts w:ascii="Calibri"/>
                                  <w:sz w:val="18"/>
                                </w:rPr>
                              </w:pPr>
                              <w:r>
                                <w:rPr>
                                  <w:rFonts w:ascii="Calibri"/>
                                  <w:color w:val="404040"/>
                                  <w:spacing w:val="-5"/>
                                  <w:sz w:val="18"/>
                                </w:rPr>
                                <w:t>12%</w:t>
                              </w:r>
                            </w:p>
                            <w:p w14:paraId="24CCC2DF" w14:textId="77777777" w:rsidR="002C6574" w:rsidRDefault="002C6574">
                              <w:pPr>
                                <w:rPr>
                                  <w:rFonts w:ascii="Calibri"/>
                                  <w:sz w:val="18"/>
                                </w:rPr>
                              </w:pPr>
                            </w:p>
                            <w:p w14:paraId="5E5C994F" w14:textId="77777777" w:rsidR="002C6574" w:rsidRDefault="002C6574">
                              <w:pPr>
                                <w:spacing w:before="56"/>
                                <w:rPr>
                                  <w:rFonts w:ascii="Calibri"/>
                                  <w:sz w:val="18"/>
                                </w:rPr>
                              </w:pPr>
                            </w:p>
                            <w:p w14:paraId="217263A9" w14:textId="77777777" w:rsidR="002C6574" w:rsidRDefault="00000000">
                              <w:pPr>
                                <w:ind w:left="1533"/>
                                <w:rPr>
                                  <w:rFonts w:ascii="Calibri"/>
                                  <w:sz w:val="18"/>
                                </w:rPr>
                              </w:pPr>
                              <w:r>
                                <w:rPr>
                                  <w:rFonts w:ascii="Calibri"/>
                                  <w:color w:val="404040"/>
                                  <w:spacing w:val="-5"/>
                                  <w:sz w:val="18"/>
                                </w:rPr>
                                <w:t>88%</w:t>
                              </w:r>
                            </w:p>
                          </w:txbxContent>
                        </wps:txbx>
                        <wps:bodyPr wrap="square" lIns="0" tIns="0" rIns="0" bIns="0" rtlCol="0">
                          <a:noAutofit/>
                        </wps:bodyPr>
                      </wps:wsp>
                      <wps:wsp>
                        <wps:cNvPr id="269" name="Textbox 269"/>
                        <wps:cNvSpPr txBox="1"/>
                        <wps:spPr>
                          <a:xfrm>
                            <a:off x="1979358" y="781240"/>
                            <a:ext cx="1016635" cy="428625"/>
                          </a:xfrm>
                          <a:prstGeom prst="rect">
                            <a:avLst/>
                          </a:prstGeom>
                        </wps:spPr>
                        <wps:txbx>
                          <w:txbxContent>
                            <w:p w14:paraId="346C5046" w14:textId="77777777" w:rsidR="002C6574" w:rsidRDefault="00000000">
                              <w:pPr>
                                <w:spacing w:before="49"/>
                                <w:ind w:left="236"/>
                                <w:rPr>
                                  <w:rFonts w:ascii="Calibri"/>
                                  <w:sz w:val="18"/>
                                </w:rPr>
                              </w:pPr>
                              <w:r>
                                <w:rPr>
                                  <w:rFonts w:ascii="Calibri"/>
                                  <w:color w:val="585858"/>
                                  <w:spacing w:val="-2"/>
                                  <w:sz w:val="18"/>
                                </w:rPr>
                                <w:t>ATENDIDA</w:t>
                              </w:r>
                            </w:p>
                            <w:p w14:paraId="3A5058CF" w14:textId="77777777" w:rsidR="002C6574" w:rsidRDefault="00000000">
                              <w:pPr>
                                <w:spacing w:before="118"/>
                                <w:ind w:left="236"/>
                                <w:rPr>
                                  <w:rFonts w:ascii="Calibri"/>
                                  <w:sz w:val="18"/>
                                </w:rPr>
                              </w:pPr>
                              <w:r>
                                <w:rPr>
                                  <w:rFonts w:ascii="Calibri"/>
                                  <w:color w:val="585858"/>
                                  <w:sz w:val="18"/>
                                </w:rPr>
                                <w:t xml:space="preserve">EM </w:t>
                              </w:r>
                              <w:r>
                                <w:rPr>
                                  <w:rFonts w:ascii="Calibri"/>
                                  <w:color w:val="585858"/>
                                  <w:spacing w:val="-2"/>
                                  <w:sz w:val="18"/>
                                </w:rPr>
                                <w:t>ANDAMENTO</w:t>
                              </w:r>
                            </w:p>
                          </w:txbxContent>
                        </wps:txbx>
                        <wps:bodyPr wrap="square" lIns="0" tIns="0" rIns="0" bIns="0" rtlCol="0">
                          <a:noAutofit/>
                        </wps:bodyPr>
                      </wps:wsp>
                    </wpg:wgp>
                  </a:graphicData>
                </a:graphic>
              </wp:anchor>
            </w:drawing>
          </mc:Choice>
          <mc:Fallback>
            <w:pict>
              <v:group w14:anchorId="26C17329" id="Group 258" o:spid="_x0000_s1115" style="position:absolute;margin-left:187.2pt;margin-top:14.8pt;width:242.25pt;height:128.25pt;z-index:-15706624;mso-wrap-distance-left:0;mso-wrap-distance-right:0;mso-position-horizontal-relative:page;mso-position-vertical-relative:text" coordsize="30765,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">
                <v:shape id="Image 259" o:spid="_x0000_s1116" type="#_x0000_t75" style="position:absolute;left:47;top:47;width:30671;height:1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">
                  <v:imagedata r:id="rId202" o:title=""/>
                </v:shape>
                <v:shape id="Graphic 260" o:spid="_x0000_s1117" style="position:absolute;left:5033;top:5067;width:9779;height:9779;visibility:visible;mso-wrap-style:square;v-text-anchor:top" coordsize="97790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" path="m488695,r47082,2237l581592,8812r44343,10709l668601,34158r40784,18361l748083,74398r36407,25192l818402,127892r31211,31205l877919,193002r25196,36398l924996,268088r18362,40773l957996,351512r10709,44327l975281,441635r2238,47061l975281,535777r-6576,45815l957996,625935r-14638,42666l924996,709385r-21881,38698l877919,784490r-28306,33912l818402,849613r-33912,28306l748083,903115r-38698,21881l668601,943358r-42666,14638l581592,968705r-45815,6576l488695,977518r-47060,-2237l395839,968705,351512,957996,308861,943358,268088,924996,229400,903115,193002,877919,159097,849613,127892,818402,99590,784490,74398,748083,52519,709385,34158,668601,19521,625935,8812,581592,2237,535777,,488696,2587,438415r7662,-49351l22830,340998,40179,294576,62141,250154,88564,208089r30730,-39350l154177,132461,488695,488696,488695,xe" filled="f" strokecolor="white" strokeweight=".52914mm">
                  <v:path arrowok="t"/>
                </v:shape>
                <v:shape id="Image 261" o:spid="_x0000_s1118" type="#_x0000_t75" style="position:absolute;left:6575;top:5067;width:3345;height:4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">
                  <v:imagedata r:id="rId203" o:title=""/>
                </v:shape>
                <v:shape id="Graphic 262" o:spid="_x0000_s1119" style="position:absolute;left:6575;top:5067;width:3346;height:4890;visibility:visible;mso-wrap-style:square;v-text-anchor:top" coordsize="334645,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" path="m,132461l40523,98331,84191,68989,130568,44603,179223,25342,229721,11375,281631,2872,334518,r,488696l,132461xe" filled="f" strokecolor="white" strokeweight="1.5pt">
                  <v:path arrowok="t"/>
                </v:shape>
                <v:shape id="Graphic 263" o:spid="_x0000_s1120" style="position:absolute;left:19793;top:7812;width:10166;height:4286;visibility:visible;mso-wrap-style:square;v-text-anchor:top" coordsize="101663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" path="m1016279,l,,,428625r1016279,l1016279,xe" stroked="f">
                  <v:fill opacity="32896f"/>
                  <v:path arrowok="t"/>
                </v:shape>
                <v:shape id="Image 264" o:spid="_x0000_s1121" type="#_x0000_t75" style="position:absolute;left:20393;top:8568;width:62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">
                  <v:imagedata r:id="rId204" o:title=""/>
                </v:shape>
                <v:shape id="Graphic 265" o:spid="_x0000_s1122" style="position:absolute;left:20393;top:8568;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" path="m,62779r62779,l62779,,,,,62779xe" filled="f" strokecolor="white" strokeweight="1.5pt">
                  <v:path arrowok="t"/>
                </v:shape>
                <v:shape id="Image 266" o:spid="_x0000_s1123" type="#_x0000_t75" style="position:absolute;left:20393;top:10712;width:62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">
                  <v:imagedata r:id="rId205" o:title=""/>
                </v:shape>
                <v:shape id="Graphic 267" o:spid="_x0000_s1124" style="position:absolute;left:20393;top:1071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" path="m,62779r62779,l62779,,,,,62779xe" filled="f" strokecolor="white" strokeweight="1.5pt">
                  <v:path arrowok="t"/>
                </v:shape>
                <v:shape id="Textbox 268" o:spid="_x0000_s1125" type="#_x0000_t202" style="position:absolute;left:47;top:47;width:30671;height:1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" filled="f" strokecolor="#d9d9d9">
                  <v:textbox inset="0,0,0,0">
                    <w:txbxContent>
                      <w:p w14:paraId="45AEF171" w14:textId="77777777" w:rsidR="002C6574" w:rsidRDefault="00000000">
                        <w:pPr>
                          <w:spacing w:before="143"/>
                          <w:ind w:left="1578"/>
                          <w:rPr>
                            <w:rFonts w:ascii="Calibri Light" w:hAnsi="Calibri Light"/>
                            <w:sz w:val="32"/>
                          </w:rPr>
                        </w:pPr>
                        <w:r>
                          <w:rPr>
                            <w:rFonts w:ascii="Calibri Light" w:hAnsi="Calibri Light"/>
                            <w:color w:val="7E7E7E"/>
                            <w:spacing w:val="-2"/>
                            <w:sz w:val="32"/>
                          </w:rPr>
                          <w:t>SOLICITAÇÃO</w:t>
                        </w:r>
                      </w:p>
                      <w:p w14:paraId="637167B9" w14:textId="77777777" w:rsidR="002C6574" w:rsidRDefault="002C6574">
                        <w:pPr>
                          <w:spacing w:before="161"/>
                          <w:rPr>
                            <w:rFonts w:ascii="Calibri Light"/>
                            <w:sz w:val="32"/>
                          </w:rPr>
                        </w:pPr>
                      </w:p>
                      <w:p w14:paraId="10A4FEB9" w14:textId="77777777" w:rsidR="002C6574" w:rsidRDefault="00000000">
                        <w:pPr>
                          <w:ind w:left="1249"/>
                          <w:rPr>
                            <w:rFonts w:ascii="Calibri"/>
                            <w:sz w:val="18"/>
                          </w:rPr>
                        </w:pPr>
                        <w:r>
                          <w:rPr>
                            <w:rFonts w:ascii="Calibri"/>
                            <w:color w:val="404040"/>
                            <w:spacing w:val="-5"/>
                            <w:sz w:val="18"/>
                          </w:rPr>
                          <w:t>12%</w:t>
                        </w:r>
                      </w:p>
                      <w:p w14:paraId="24CCC2DF" w14:textId="77777777" w:rsidR="002C6574" w:rsidRDefault="002C6574">
                        <w:pPr>
                          <w:rPr>
                            <w:rFonts w:ascii="Calibri"/>
                            <w:sz w:val="18"/>
                          </w:rPr>
                        </w:pPr>
                      </w:p>
                      <w:p w14:paraId="5E5C994F" w14:textId="77777777" w:rsidR="002C6574" w:rsidRDefault="002C6574">
                        <w:pPr>
                          <w:spacing w:before="56"/>
                          <w:rPr>
                            <w:rFonts w:ascii="Calibri"/>
                            <w:sz w:val="18"/>
                          </w:rPr>
                        </w:pPr>
                      </w:p>
                      <w:p w14:paraId="217263A9" w14:textId="77777777" w:rsidR="002C6574" w:rsidRDefault="00000000">
                        <w:pPr>
                          <w:ind w:left="1533"/>
                          <w:rPr>
                            <w:rFonts w:ascii="Calibri"/>
                            <w:sz w:val="18"/>
                          </w:rPr>
                        </w:pPr>
                        <w:r>
                          <w:rPr>
                            <w:rFonts w:ascii="Calibri"/>
                            <w:color w:val="404040"/>
                            <w:spacing w:val="-5"/>
                            <w:sz w:val="18"/>
                          </w:rPr>
                          <w:t>88%</w:t>
                        </w:r>
                      </w:p>
                    </w:txbxContent>
                  </v:textbox>
                </v:shape>
                <v:shape id="Textbox 269" o:spid="_x0000_s1126" type="#_x0000_t202" style="position:absolute;left:19793;top:7812;width:1016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346C5046" w14:textId="77777777" w:rsidR="002C6574" w:rsidRDefault="00000000">
                        <w:pPr>
                          <w:spacing w:before="49"/>
                          <w:ind w:left="236"/>
                          <w:rPr>
                            <w:rFonts w:ascii="Calibri"/>
                            <w:sz w:val="18"/>
                          </w:rPr>
                        </w:pPr>
                        <w:r>
                          <w:rPr>
                            <w:rFonts w:ascii="Calibri"/>
                            <w:color w:val="585858"/>
                            <w:spacing w:val="-2"/>
                            <w:sz w:val="18"/>
                          </w:rPr>
                          <w:t>ATENDIDA</w:t>
                        </w:r>
                      </w:p>
                      <w:p w14:paraId="3A5058CF" w14:textId="77777777" w:rsidR="002C6574" w:rsidRDefault="00000000">
                        <w:pPr>
                          <w:spacing w:before="118"/>
                          <w:ind w:left="236"/>
                          <w:rPr>
                            <w:rFonts w:ascii="Calibri"/>
                            <w:sz w:val="18"/>
                          </w:rPr>
                        </w:pPr>
                        <w:r>
                          <w:rPr>
                            <w:rFonts w:ascii="Calibri"/>
                            <w:color w:val="585858"/>
                            <w:sz w:val="18"/>
                          </w:rPr>
                          <w:t xml:space="preserve">EM </w:t>
                        </w:r>
                        <w:r>
                          <w:rPr>
                            <w:rFonts w:ascii="Calibri"/>
                            <w:color w:val="585858"/>
                            <w:spacing w:val="-2"/>
                            <w:sz w:val="18"/>
                          </w:rPr>
                          <w:t>ANDAMENTO</w:t>
                        </w:r>
                      </w:p>
                    </w:txbxContent>
                  </v:textbox>
                </v:shape>
                <w10:wrap type="topAndBottom" anchorx="page"/>
              </v:group>
            </w:pict>
          </mc:Fallback>
        </mc:AlternateContent>
      </w:r>
    </w:p>
    <w:p w14:paraId="6FB1BD58" w14:textId="77777777" w:rsidR="002C6574" w:rsidRDefault="002C6574">
      <w:pPr>
        <w:pStyle w:val="Corpodetexto"/>
        <w:rPr>
          <w:rFonts w:ascii="Calibri"/>
          <w:b/>
          <w:sz w:val="20"/>
        </w:rPr>
      </w:pPr>
    </w:p>
    <w:p w14:paraId="10B9DE45" w14:textId="77777777" w:rsidR="002C6574" w:rsidRDefault="00000000">
      <w:pPr>
        <w:pStyle w:val="Corpodetexto"/>
        <w:spacing w:before="103"/>
        <w:rPr>
          <w:rFonts w:ascii="Calibri"/>
          <w:b/>
          <w:sz w:val="20"/>
        </w:rPr>
      </w:pPr>
      <w:r>
        <w:rPr>
          <w:rFonts w:ascii="Calibri"/>
          <w:b/>
          <w:noProof/>
          <w:sz w:val="20"/>
        </w:rPr>
        <mc:AlternateContent>
          <mc:Choice Requires="wpg">
            <w:drawing>
              <wp:anchor distT="0" distB="0" distL="0" distR="0" simplePos="0" relativeHeight="487610368" behindDoc="1" locked="0" layoutInCell="1" allowOverlap="1" wp14:anchorId="4D9F2536" wp14:editId="6D637449">
                <wp:simplePos x="0" y="0"/>
                <wp:positionH relativeFrom="page">
                  <wp:posOffset>2358326</wp:posOffset>
                </wp:positionH>
                <wp:positionV relativeFrom="paragraph">
                  <wp:posOffset>235991</wp:posOffset>
                </wp:positionV>
                <wp:extent cx="3105150" cy="1733550"/>
                <wp:effectExtent l="0" t="0" r="0" b="0"/>
                <wp:wrapTopAndBottom/>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5150" cy="1733550"/>
                          <a:chOff x="0" y="0"/>
                          <a:chExt cx="3105150" cy="1733550"/>
                        </a:xfrm>
                      </wpg:grpSpPr>
                      <pic:pic xmlns:pic="http://schemas.openxmlformats.org/drawingml/2006/picture">
                        <pic:nvPicPr>
                          <pic:cNvPr id="271" name="Image 271"/>
                          <pic:cNvPicPr/>
                        </pic:nvPicPr>
                        <pic:blipFill>
                          <a:blip r:embed="rId206" cstate="print"/>
                          <a:stretch>
                            <a:fillRect/>
                          </a:stretch>
                        </pic:blipFill>
                        <pic:spPr>
                          <a:xfrm>
                            <a:off x="4762" y="4762"/>
                            <a:ext cx="3095625" cy="1724025"/>
                          </a:xfrm>
                          <a:prstGeom prst="rect">
                            <a:avLst/>
                          </a:prstGeom>
                        </pic:spPr>
                      </pic:pic>
                      <wps:wsp>
                        <wps:cNvPr id="272" name="Graphic 272"/>
                        <wps:cNvSpPr/>
                        <wps:spPr>
                          <a:xfrm>
                            <a:off x="452310" y="506793"/>
                            <a:ext cx="1082675" cy="1082675"/>
                          </a:xfrm>
                          <a:custGeom>
                            <a:avLst/>
                            <a:gdLst/>
                            <a:ahLst/>
                            <a:cxnLst/>
                            <a:rect l="l" t="t" r="r" b="b"/>
                            <a:pathLst>
                              <a:path w="1082675" h="1082675">
                                <a:moveTo>
                                  <a:pt x="541147" y="0"/>
                                </a:moveTo>
                                <a:lnTo>
                                  <a:pt x="587834" y="1986"/>
                                </a:lnTo>
                                <a:lnTo>
                                  <a:pt x="633419" y="7838"/>
                                </a:lnTo>
                                <a:lnTo>
                                  <a:pt x="677740" y="17391"/>
                                </a:lnTo>
                                <a:lnTo>
                                  <a:pt x="720634" y="30485"/>
                                </a:lnTo>
                                <a:lnTo>
                                  <a:pt x="761938" y="46956"/>
                                </a:lnTo>
                                <a:lnTo>
                                  <a:pt x="801491" y="66642"/>
                                </a:lnTo>
                                <a:lnTo>
                                  <a:pt x="839129" y="89380"/>
                                </a:lnTo>
                                <a:lnTo>
                                  <a:pt x="874690" y="115007"/>
                                </a:lnTo>
                                <a:lnTo>
                                  <a:pt x="908012" y="143362"/>
                                </a:lnTo>
                                <a:lnTo>
                                  <a:pt x="938931" y="174281"/>
                                </a:lnTo>
                                <a:lnTo>
                                  <a:pt x="967286" y="207603"/>
                                </a:lnTo>
                                <a:lnTo>
                                  <a:pt x="992913" y="243164"/>
                                </a:lnTo>
                                <a:lnTo>
                                  <a:pt x="1015651" y="280802"/>
                                </a:lnTo>
                                <a:lnTo>
                                  <a:pt x="1035337" y="320355"/>
                                </a:lnTo>
                                <a:lnTo>
                                  <a:pt x="1051808" y="361659"/>
                                </a:lnTo>
                                <a:lnTo>
                                  <a:pt x="1064902" y="404553"/>
                                </a:lnTo>
                                <a:lnTo>
                                  <a:pt x="1074455" y="448874"/>
                                </a:lnTo>
                                <a:lnTo>
                                  <a:pt x="1080307" y="494459"/>
                                </a:lnTo>
                                <a:lnTo>
                                  <a:pt x="1082293" y="541146"/>
                                </a:lnTo>
                                <a:lnTo>
                                  <a:pt x="1080307" y="587834"/>
                                </a:lnTo>
                                <a:lnTo>
                                  <a:pt x="1074455" y="633419"/>
                                </a:lnTo>
                                <a:lnTo>
                                  <a:pt x="1064902" y="677740"/>
                                </a:lnTo>
                                <a:lnTo>
                                  <a:pt x="1051808" y="720634"/>
                                </a:lnTo>
                                <a:lnTo>
                                  <a:pt x="1035337" y="761938"/>
                                </a:lnTo>
                                <a:lnTo>
                                  <a:pt x="1015651" y="801491"/>
                                </a:lnTo>
                                <a:lnTo>
                                  <a:pt x="992913" y="839129"/>
                                </a:lnTo>
                                <a:lnTo>
                                  <a:pt x="967286" y="874690"/>
                                </a:lnTo>
                                <a:lnTo>
                                  <a:pt x="938931" y="908012"/>
                                </a:lnTo>
                                <a:lnTo>
                                  <a:pt x="908012" y="938931"/>
                                </a:lnTo>
                                <a:lnTo>
                                  <a:pt x="874690" y="967286"/>
                                </a:lnTo>
                                <a:lnTo>
                                  <a:pt x="839129" y="992913"/>
                                </a:lnTo>
                                <a:lnTo>
                                  <a:pt x="801491" y="1015651"/>
                                </a:lnTo>
                                <a:lnTo>
                                  <a:pt x="761938" y="1035337"/>
                                </a:lnTo>
                                <a:lnTo>
                                  <a:pt x="720634" y="1051808"/>
                                </a:lnTo>
                                <a:lnTo>
                                  <a:pt x="677740" y="1064902"/>
                                </a:lnTo>
                                <a:lnTo>
                                  <a:pt x="633419" y="1074455"/>
                                </a:lnTo>
                                <a:lnTo>
                                  <a:pt x="587834" y="1080307"/>
                                </a:lnTo>
                                <a:lnTo>
                                  <a:pt x="541147" y="1082294"/>
                                </a:lnTo>
                                <a:lnTo>
                                  <a:pt x="494459" y="1080307"/>
                                </a:lnTo>
                                <a:lnTo>
                                  <a:pt x="448874" y="1074455"/>
                                </a:lnTo>
                                <a:lnTo>
                                  <a:pt x="404553" y="1064902"/>
                                </a:lnTo>
                                <a:lnTo>
                                  <a:pt x="361659" y="1051808"/>
                                </a:lnTo>
                                <a:lnTo>
                                  <a:pt x="320355" y="1035337"/>
                                </a:lnTo>
                                <a:lnTo>
                                  <a:pt x="280802" y="1015651"/>
                                </a:lnTo>
                                <a:lnTo>
                                  <a:pt x="243164" y="992913"/>
                                </a:lnTo>
                                <a:lnTo>
                                  <a:pt x="207603" y="967286"/>
                                </a:lnTo>
                                <a:lnTo>
                                  <a:pt x="174281" y="938931"/>
                                </a:lnTo>
                                <a:lnTo>
                                  <a:pt x="143362" y="908012"/>
                                </a:lnTo>
                                <a:lnTo>
                                  <a:pt x="115007" y="874690"/>
                                </a:lnTo>
                                <a:lnTo>
                                  <a:pt x="89380" y="839129"/>
                                </a:lnTo>
                                <a:lnTo>
                                  <a:pt x="66642" y="801491"/>
                                </a:lnTo>
                                <a:lnTo>
                                  <a:pt x="46956" y="761938"/>
                                </a:lnTo>
                                <a:lnTo>
                                  <a:pt x="30485" y="720634"/>
                                </a:lnTo>
                                <a:lnTo>
                                  <a:pt x="17391" y="677740"/>
                                </a:lnTo>
                                <a:lnTo>
                                  <a:pt x="7838" y="633419"/>
                                </a:lnTo>
                                <a:lnTo>
                                  <a:pt x="1986" y="587834"/>
                                </a:lnTo>
                                <a:lnTo>
                                  <a:pt x="0" y="541146"/>
                                </a:lnTo>
                                <a:lnTo>
                                  <a:pt x="1986" y="494459"/>
                                </a:lnTo>
                                <a:lnTo>
                                  <a:pt x="7838" y="448874"/>
                                </a:lnTo>
                                <a:lnTo>
                                  <a:pt x="17391" y="404553"/>
                                </a:lnTo>
                                <a:lnTo>
                                  <a:pt x="30485" y="361659"/>
                                </a:lnTo>
                                <a:lnTo>
                                  <a:pt x="46956" y="320355"/>
                                </a:lnTo>
                                <a:lnTo>
                                  <a:pt x="66642" y="280802"/>
                                </a:lnTo>
                                <a:lnTo>
                                  <a:pt x="89380" y="243164"/>
                                </a:lnTo>
                                <a:lnTo>
                                  <a:pt x="115007" y="207603"/>
                                </a:lnTo>
                                <a:lnTo>
                                  <a:pt x="143362" y="174281"/>
                                </a:lnTo>
                                <a:lnTo>
                                  <a:pt x="174281" y="143362"/>
                                </a:lnTo>
                                <a:lnTo>
                                  <a:pt x="207603" y="115007"/>
                                </a:lnTo>
                                <a:lnTo>
                                  <a:pt x="243164" y="89380"/>
                                </a:lnTo>
                                <a:lnTo>
                                  <a:pt x="280802" y="66642"/>
                                </a:lnTo>
                                <a:lnTo>
                                  <a:pt x="320355" y="46956"/>
                                </a:lnTo>
                                <a:lnTo>
                                  <a:pt x="361659" y="30485"/>
                                </a:lnTo>
                                <a:lnTo>
                                  <a:pt x="404553" y="17391"/>
                                </a:lnTo>
                                <a:lnTo>
                                  <a:pt x="448874" y="7838"/>
                                </a:lnTo>
                                <a:lnTo>
                                  <a:pt x="494459" y="1986"/>
                                </a:lnTo>
                                <a:lnTo>
                                  <a:pt x="541147" y="0"/>
                                </a:lnTo>
                                <a:lnTo>
                                  <a:pt x="541147" y="541146"/>
                                </a:lnTo>
                                <a:lnTo>
                                  <a:pt x="541147" y="0"/>
                                </a:lnTo>
                                <a:close/>
                              </a:path>
                              <a:path w="1082675" h="1082675">
                                <a:moveTo>
                                  <a:pt x="541147" y="0"/>
                                </a:moveTo>
                                <a:lnTo>
                                  <a:pt x="541147" y="541146"/>
                                </a:lnTo>
                              </a:path>
                            </a:pathLst>
                          </a:custGeom>
                          <a:ln w="19050">
                            <a:solidFill>
                              <a:srgbClr val="FFFFFF"/>
                            </a:solidFill>
                            <a:prstDash val="solid"/>
                          </a:ln>
                        </wps:spPr>
                        <wps:bodyPr wrap="square" lIns="0" tIns="0" rIns="0" bIns="0" rtlCol="0">
                          <a:prstTxWarp prst="textNoShape">
                            <a:avLst/>
                          </a:prstTxWarp>
                          <a:noAutofit/>
                        </wps:bodyPr>
                      </wps:wsp>
                      <wps:wsp>
                        <wps:cNvPr id="273" name="Graphic 273"/>
                        <wps:cNvSpPr/>
                        <wps:spPr>
                          <a:xfrm>
                            <a:off x="1982152" y="833564"/>
                            <a:ext cx="1042669" cy="428625"/>
                          </a:xfrm>
                          <a:custGeom>
                            <a:avLst/>
                            <a:gdLst/>
                            <a:ahLst/>
                            <a:cxnLst/>
                            <a:rect l="l" t="t" r="r" b="b"/>
                            <a:pathLst>
                              <a:path w="1042669" h="428625">
                                <a:moveTo>
                                  <a:pt x="1042123" y="0"/>
                                </a:moveTo>
                                <a:lnTo>
                                  <a:pt x="0" y="0"/>
                                </a:lnTo>
                                <a:lnTo>
                                  <a:pt x="0" y="428624"/>
                                </a:lnTo>
                                <a:lnTo>
                                  <a:pt x="1042123" y="428624"/>
                                </a:lnTo>
                                <a:lnTo>
                                  <a:pt x="1042123" y="0"/>
                                </a:lnTo>
                                <a:close/>
                              </a:path>
                            </a:pathLst>
                          </a:custGeom>
                          <a:solidFill>
                            <a:srgbClr val="FFFFFF">
                              <a:alpha val="50195"/>
                            </a:srgbClr>
                          </a:solidFill>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207" cstate="print"/>
                          <a:stretch>
                            <a:fillRect/>
                          </a:stretch>
                        </pic:blipFill>
                        <pic:spPr>
                          <a:xfrm>
                            <a:off x="2042096" y="909341"/>
                            <a:ext cx="62779" cy="62779"/>
                          </a:xfrm>
                          <a:prstGeom prst="rect">
                            <a:avLst/>
                          </a:prstGeom>
                        </pic:spPr>
                      </pic:pic>
                      <wps:wsp>
                        <wps:cNvPr id="275" name="Graphic 275"/>
                        <wps:cNvSpPr/>
                        <wps:spPr>
                          <a:xfrm>
                            <a:off x="2042096" y="909341"/>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192" cstate="print"/>
                          <a:stretch>
                            <a:fillRect/>
                          </a:stretch>
                        </pic:blipFill>
                        <pic:spPr>
                          <a:xfrm>
                            <a:off x="2042096" y="1123717"/>
                            <a:ext cx="62779" cy="62779"/>
                          </a:xfrm>
                          <a:prstGeom prst="rect">
                            <a:avLst/>
                          </a:prstGeom>
                        </pic:spPr>
                      </pic:pic>
                      <wps:wsp>
                        <wps:cNvPr id="277" name="Graphic 277"/>
                        <wps:cNvSpPr/>
                        <wps:spPr>
                          <a:xfrm>
                            <a:off x="2042096" y="1123717"/>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19050">
                            <a:solidFill>
                              <a:srgbClr val="FFFFFF"/>
                            </a:solidFill>
                            <a:prstDash val="solid"/>
                          </a:ln>
                        </wps:spPr>
                        <wps:bodyPr wrap="square" lIns="0" tIns="0" rIns="0" bIns="0" rtlCol="0">
                          <a:prstTxWarp prst="textNoShape">
                            <a:avLst/>
                          </a:prstTxWarp>
                          <a:noAutofit/>
                        </wps:bodyPr>
                      </wps:wsp>
                      <wps:wsp>
                        <wps:cNvPr id="278" name="Graphic 278"/>
                        <wps:cNvSpPr/>
                        <wps:spPr>
                          <a:xfrm>
                            <a:off x="4762" y="4762"/>
                            <a:ext cx="3095625" cy="1724025"/>
                          </a:xfrm>
                          <a:custGeom>
                            <a:avLst/>
                            <a:gdLst/>
                            <a:ahLst/>
                            <a:cxnLst/>
                            <a:rect l="l" t="t" r="r" b="b"/>
                            <a:pathLst>
                              <a:path w="3095625" h="1724025">
                                <a:moveTo>
                                  <a:pt x="0" y="1724025"/>
                                </a:moveTo>
                                <a:lnTo>
                                  <a:pt x="3095625" y="1724025"/>
                                </a:lnTo>
                                <a:lnTo>
                                  <a:pt x="3095625" y="0"/>
                                </a:lnTo>
                                <a:lnTo>
                                  <a:pt x="0" y="0"/>
                                </a:lnTo>
                                <a:lnTo>
                                  <a:pt x="0" y="1724025"/>
                                </a:lnTo>
                                <a:close/>
                              </a:path>
                            </a:pathLst>
                          </a:custGeom>
                          <a:ln w="9525">
                            <a:solidFill>
                              <a:srgbClr val="D9D9D9"/>
                            </a:solidFill>
                            <a:prstDash val="solid"/>
                          </a:ln>
                        </wps:spPr>
                        <wps:bodyPr wrap="square" lIns="0" tIns="0" rIns="0" bIns="0" rtlCol="0">
                          <a:prstTxWarp prst="textNoShape">
                            <a:avLst/>
                          </a:prstTxWarp>
                          <a:noAutofit/>
                        </wps:bodyPr>
                      </wps:wsp>
                      <wps:wsp>
                        <wps:cNvPr id="279" name="Textbox 279"/>
                        <wps:cNvSpPr txBox="1"/>
                        <wps:spPr>
                          <a:xfrm>
                            <a:off x="9525" y="5270"/>
                            <a:ext cx="3086100" cy="1718945"/>
                          </a:xfrm>
                          <a:prstGeom prst="rect">
                            <a:avLst/>
                          </a:prstGeom>
                        </wps:spPr>
                        <wps:txbx>
                          <w:txbxContent>
                            <w:p w14:paraId="3D98BE27" w14:textId="77777777" w:rsidR="002C6574" w:rsidRDefault="00000000">
                              <w:pPr>
                                <w:spacing w:before="151"/>
                                <w:ind w:left="1321"/>
                                <w:rPr>
                                  <w:rFonts w:ascii="Calibri Light"/>
                                  <w:sz w:val="32"/>
                                </w:rPr>
                              </w:pPr>
                              <w:r>
                                <w:rPr>
                                  <w:rFonts w:ascii="Calibri Light"/>
                                  <w:color w:val="7E7E7E"/>
                                  <w:spacing w:val="-2"/>
                                  <w:sz w:val="32"/>
                                </w:rPr>
                                <w:t>Encaminhamento</w:t>
                              </w:r>
                            </w:p>
                            <w:p w14:paraId="27C3B0D1" w14:textId="77777777" w:rsidR="002C6574" w:rsidRDefault="002C6574">
                              <w:pPr>
                                <w:spacing w:before="174"/>
                                <w:rPr>
                                  <w:rFonts w:ascii="Calibri Light"/>
                                  <w:sz w:val="32"/>
                                </w:rPr>
                              </w:pPr>
                            </w:p>
                            <w:p w14:paraId="196302D1" w14:textId="77777777" w:rsidR="002C6574" w:rsidRDefault="00000000">
                              <w:pPr>
                                <w:ind w:left="1439"/>
                                <w:rPr>
                                  <w:rFonts w:ascii="Calibri"/>
                                  <w:sz w:val="18"/>
                                </w:rPr>
                              </w:pPr>
                              <w:r>
                                <w:rPr>
                                  <w:rFonts w:ascii="Calibri"/>
                                  <w:color w:val="404040"/>
                                  <w:spacing w:val="-5"/>
                                  <w:sz w:val="18"/>
                                </w:rPr>
                                <w:t>0%</w:t>
                              </w:r>
                            </w:p>
                            <w:p w14:paraId="066FCAF2" w14:textId="77777777" w:rsidR="002C6574" w:rsidRDefault="002C6574">
                              <w:pPr>
                                <w:rPr>
                                  <w:rFonts w:ascii="Calibri"/>
                                  <w:sz w:val="18"/>
                                </w:rPr>
                              </w:pPr>
                            </w:p>
                            <w:p w14:paraId="09C9502D" w14:textId="77777777" w:rsidR="002C6574" w:rsidRDefault="002C6574">
                              <w:pPr>
                                <w:spacing w:before="193"/>
                                <w:rPr>
                                  <w:rFonts w:ascii="Calibri"/>
                                  <w:sz w:val="18"/>
                                </w:rPr>
                              </w:pPr>
                            </w:p>
                            <w:p w14:paraId="0B1592E9" w14:textId="77777777" w:rsidR="002C6574" w:rsidRDefault="00000000">
                              <w:pPr>
                                <w:spacing w:before="1"/>
                                <w:ind w:left="1348"/>
                                <w:rPr>
                                  <w:rFonts w:ascii="Calibri"/>
                                  <w:sz w:val="18"/>
                                </w:rPr>
                              </w:pPr>
                              <w:r>
                                <w:rPr>
                                  <w:rFonts w:ascii="Calibri"/>
                                  <w:color w:val="404040"/>
                                  <w:spacing w:val="-4"/>
                                  <w:sz w:val="18"/>
                                </w:rPr>
                                <w:t>100%</w:t>
                              </w:r>
                            </w:p>
                          </w:txbxContent>
                        </wps:txbx>
                        <wps:bodyPr wrap="square" lIns="0" tIns="0" rIns="0" bIns="0" rtlCol="0">
                          <a:noAutofit/>
                        </wps:bodyPr>
                      </wps:wsp>
                      <wps:wsp>
                        <wps:cNvPr id="280" name="Textbox 280"/>
                        <wps:cNvSpPr txBox="1"/>
                        <wps:spPr>
                          <a:xfrm>
                            <a:off x="1982152" y="833564"/>
                            <a:ext cx="1042669" cy="428625"/>
                          </a:xfrm>
                          <a:prstGeom prst="rect">
                            <a:avLst/>
                          </a:prstGeom>
                        </wps:spPr>
                        <wps:txbx>
                          <w:txbxContent>
                            <w:p w14:paraId="1CB3919E" w14:textId="77777777" w:rsidR="002C6574" w:rsidRDefault="00000000">
                              <w:pPr>
                                <w:spacing w:before="49"/>
                                <w:ind w:left="236"/>
                                <w:rPr>
                                  <w:rFonts w:ascii="Calibri"/>
                                  <w:sz w:val="18"/>
                                </w:rPr>
                              </w:pPr>
                              <w:r>
                                <w:rPr>
                                  <w:rFonts w:ascii="Calibri"/>
                                  <w:color w:val="585858"/>
                                  <w:spacing w:val="-2"/>
                                  <w:sz w:val="18"/>
                                </w:rPr>
                                <w:t>ATENDIDA</w:t>
                              </w:r>
                            </w:p>
                            <w:p w14:paraId="2FE60AF4" w14:textId="77777777" w:rsidR="002C6574" w:rsidRDefault="00000000">
                              <w:pPr>
                                <w:spacing w:before="119"/>
                                <w:ind w:left="236"/>
                                <w:rPr>
                                  <w:rFonts w:ascii="Calibri"/>
                                  <w:sz w:val="18"/>
                                </w:rPr>
                              </w:pPr>
                              <w:r>
                                <w:rPr>
                                  <w:rFonts w:ascii="Calibri"/>
                                  <w:color w:val="585858"/>
                                  <w:sz w:val="18"/>
                                </w:rPr>
                                <w:t xml:space="preserve">EM </w:t>
                              </w:r>
                              <w:r>
                                <w:rPr>
                                  <w:rFonts w:ascii="Calibri"/>
                                  <w:color w:val="585858"/>
                                  <w:spacing w:val="-2"/>
                                  <w:sz w:val="18"/>
                                </w:rPr>
                                <w:t>ANDAMENTO</w:t>
                              </w:r>
                            </w:p>
                          </w:txbxContent>
                        </wps:txbx>
                        <wps:bodyPr wrap="square" lIns="0" tIns="0" rIns="0" bIns="0" rtlCol="0">
                          <a:noAutofit/>
                        </wps:bodyPr>
                      </wps:wsp>
                    </wpg:wgp>
                  </a:graphicData>
                </a:graphic>
              </wp:anchor>
            </w:drawing>
          </mc:Choice>
          <mc:Fallback>
            <w:pict>
              <v:group w14:anchorId="4D9F2536" id="Group 270" o:spid="_x0000_s1127" style="position:absolute;margin-left:185.7pt;margin-top:18.6pt;width:244.5pt;height:136.5pt;z-index:-15706112;mso-wrap-distance-left:0;mso-wrap-distance-right:0;mso-position-horizontal-relative:page;mso-position-vertical-relative:text" coordsize="31051,1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">
                <v:shape id="Image 271" o:spid="_x0000_s1128" type="#_x0000_t75" style="position:absolute;left:47;top:47;width:30956;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">
                  <v:imagedata r:id="rId208" o:title=""/>
                </v:shape>
                <v:shape id="Graphic 272" o:spid="_x0000_s1129" style="position:absolute;left:4523;top:5067;width:10826;height:10827;visibility:visible;mso-wrap-style:square;v-text-anchor:top" coordsize="1082675,108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" path="m541147,r46687,1986l633419,7838r44321,9553l720634,30485r41304,16471l801491,66642r37638,22738l874690,115007r33322,28355l938931,174281r28355,33322l992913,243164r22738,37638l1035337,320355r16471,41304l1064902,404553r9553,44321l1080307,494459r1986,46687l1080307,587834r-5852,45585l1064902,677740r-13094,42894l1035337,761938r-19686,39553l992913,839129r-25627,35561l938931,908012r-30919,30919l874690,967286r-35561,25627l801491,1015651r-39553,19686l720634,1051808r-42894,13094l633419,1074455r-45585,5852l541147,1082294r-46688,-1987l448874,1074455r-44321,-9553l361659,1051808r-41304,-16471l280802,1015651,243164,992913,207603,967286,174281,938931,143362,908012,115007,874690,89380,839129,66642,801491,46956,761938,30485,720634,17391,677740,7838,633419,1986,587834,,541146,1986,494459,7838,448874r9553,-44321l30485,361659,46956,320355,66642,280802,89380,243164r25627,-35561l143362,174281r30919,-30919l207603,115007,243164,89380,280802,66642,320355,46956,361659,30485,404553,17391,448874,7838,494459,1986,541147,r,541146l541147,xem541147,r,541146e" filled="f" strokecolor="white" strokeweight="1.5pt">
                  <v:path arrowok="t"/>
                </v:shape>
                <v:shape id="Graphic 273" o:spid="_x0000_s1130" style="position:absolute;left:19821;top:8335;width:10427;height:4286;visibility:visible;mso-wrap-style:square;v-text-anchor:top" coordsize="1042669,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" path="m1042123,l,,,428624r1042123,l1042123,xe" stroked="f">
                  <v:fill opacity="32896f"/>
                  <v:path arrowok="t"/>
                </v:shape>
                <v:shape id="Image 274" o:spid="_x0000_s1131" type="#_x0000_t75" style="position:absolute;left:20420;top:9093;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">
                  <v:imagedata r:id="rId209" o:title=""/>
                </v:shape>
                <v:shape id="Graphic 275" o:spid="_x0000_s1132" style="position:absolute;left:20420;top:909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" path="m,62779r62779,l62779,,,,,62779xe" filled="f" strokecolor="white" strokeweight="1.5pt">
                  <v:path arrowok="t"/>
                </v:shape>
                <v:shape id="Image 276" o:spid="_x0000_s1133" type="#_x0000_t75" style="position:absolute;left:20420;top:11237;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">
                  <v:imagedata r:id="rId195" o:title=""/>
                </v:shape>
                <v:shape id="Graphic 277" o:spid="_x0000_s1134" style="position:absolute;left:20420;top:11237;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" path="m,62779r62779,l62779,,,,,62779xe" filled="f" strokecolor="white" strokeweight="1.5pt">
                  <v:path arrowok="t"/>
                </v:shape>
                <v:shape id="Graphic 278" o:spid="_x0000_s1135" style="position:absolute;left:47;top:47;width:30956;height:17240;visibility:visible;mso-wrap-style:square;v-text-anchor:top" coordsize="3095625,172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" path="m,1724025r3095625,l3095625,,,,,1724025xe" filled="f" strokecolor="#d9d9d9">
                  <v:path arrowok="t"/>
                </v:shape>
                <v:shape id="Textbox 279" o:spid="_x0000_s1136" type="#_x0000_t202" style="position:absolute;left:95;top:52;width:30861;height:17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3D98BE27" w14:textId="77777777" w:rsidR="002C6574" w:rsidRDefault="00000000">
                        <w:pPr>
                          <w:spacing w:before="151"/>
                          <w:ind w:left="1321"/>
                          <w:rPr>
                            <w:rFonts w:ascii="Calibri Light"/>
                            <w:sz w:val="32"/>
                          </w:rPr>
                        </w:pPr>
                        <w:r>
                          <w:rPr>
                            <w:rFonts w:ascii="Calibri Light"/>
                            <w:color w:val="7E7E7E"/>
                            <w:spacing w:val="-2"/>
                            <w:sz w:val="32"/>
                          </w:rPr>
                          <w:t>Encaminhamento</w:t>
                        </w:r>
                      </w:p>
                      <w:p w14:paraId="27C3B0D1" w14:textId="77777777" w:rsidR="002C6574" w:rsidRDefault="002C6574">
                        <w:pPr>
                          <w:spacing w:before="174"/>
                          <w:rPr>
                            <w:rFonts w:ascii="Calibri Light"/>
                            <w:sz w:val="32"/>
                          </w:rPr>
                        </w:pPr>
                      </w:p>
                      <w:p w14:paraId="196302D1" w14:textId="77777777" w:rsidR="002C6574" w:rsidRDefault="00000000">
                        <w:pPr>
                          <w:ind w:left="1439"/>
                          <w:rPr>
                            <w:rFonts w:ascii="Calibri"/>
                            <w:sz w:val="18"/>
                          </w:rPr>
                        </w:pPr>
                        <w:r>
                          <w:rPr>
                            <w:rFonts w:ascii="Calibri"/>
                            <w:color w:val="404040"/>
                            <w:spacing w:val="-5"/>
                            <w:sz w:val="18"/>
                          </w:rPr>
                          <w:t>0%</w:t>
                        </w:r>
                      </w:p>
                      <w:p w14:paraId="066FCAF2" w14:textId="77777777" w:rsidR="002C6574" w:rsidRDefault="002C6574">
                        <w:pPr>
                          <w:rPr>
                            <w:rFonts w:ascii="Calibri"/>
                            <w:sz w:val="18"/>
                          </w:rPr>
                        </w:pPr>
                      </w:p>
                      <w:p w14:paraId="09C9502D" w14:textId="77777777" w:rsidR="002C6574" w:rsidRDefault="002C6574">
                        <w:pPr>
                          <w:spacing w:before="193"/>
                          <w:rPr>
                            <w:rFonts w:ascii="Calibri"/>
                            <w:sz w:val="18"/>
                          </w:rPr>
                        </w:pPr>
                      </w:p>
                      <w:p w14:paraId="0B1592E9" w14:textId="77777777" w:rsidR="002C6574" w:rsidRDefault="00000000">
                        <w:pPr>
                          <w:spacing w:before="1"/>
                          <w:ind w:left="1348"/>
                          <w:rPr>
                            <w:rFonts w:ascii="Calibri"/>
                            <w:sz w:val="18"/>
                          </w:rPr>
                        </w:pPr>
                        <w:r>
                          <w:rPr>
                            <w:rFonts w:ascii="Calibri"/>
                            <w:color w:val="404040"/>
                            <w:spacing w:val="-4"/>
                            <w:sz w:val="18"/>
                          </w:rPr>
                          <w:t>100%</w:t>
                        </w:r>
                      </w:p>
                    </w:txbxContent>
                  </v:textbox>
                </v:shape>
                <v:shape id="Textbox 280" o:spid="_x0000_s1137" type="#_x0000_t202" style="position:absolute;left:19821;top:8335;width:10427;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1CB3919E" w14:textId="77777777" w:rsidR="002C6574" w:rsidRDefault="00000000">
                        <w:pPr>
                          <w:spacing w:before="49"/>
                          <w:ind w:left="236"/>
                          <w:rPr>
                            <w:rFonts w:ascii="Calibri"/>
                            <w:sz w:val="18"/>
                          </w:rPr>
                        </w:pPr>
                        <w:r>
                          <w:rPr>
                            <w:rFonts w:ascii="Calibri"/>
                            <w:color w:val="585858"/>
                            <w:spacing w:val="-2"/>
                            <w:sz w:val="18"/>
                          </w:rPr>
                          <w:t>ATENDIDA</w:t>
                        </w:r>
                      </w:p>
                      <w:p w14:paraId="2FE60AF4" w14:textId="77777777" w:rsidR="002C6574" w:rsidRDefault="00000000">
                        <w:pPr>
                          <w:spacing w:before="119"/>
                          <w:ind w:left="236"/>
                          <w:rPr>
                            <w:rFonts w:ascii="Calibri"/>
                            <w:sz w:val="18"/>
                          </w:rPr>
                        </w:pPr>
                        <w:r>
                          <w:rPr>
                            <w:rFonts w:ascii="Calibri"/>
                            <w:color w:val="585858"/>
                            <w:sz w:val="18"/>
                          </w:rPr>
                          <w:t xml:space="preserve">EM </w:t>
                        </w:r>
                        <w:r>
                          <w:rPr>
                            <w:rFonts w:ascii="Calibri"/>
                            <w:color w:val="585858"/>
                            <w:spacing w:val="-2"/>
                            <w:sz w:val="18"/>
                          </w:rPr>
                          <w:t>ANDAMENTO</w:t>
                        </w:r>
                      </w:p>
                    </w:txbxContent>
                  </v:textbox>
                </v:shape>
                <w10:wrap type="topAndBottom" anchorx="page"/>
              </v:group>
            </w:pict>
          </mc:Fallback>
        </mc:AlternateContent>
      </w:r>
    </w:p>
    <w:p w14:paraId="4590B5F0" w14:textId="77777777" w:rsidR="002C6574" w:rsidRDefault="002C6574">
      <w:pPr>
        <w:pStyle w:val="Corpodetexto"/>
        <w:rPr>
          <w:rFonts w:ascii="Calibri"/>
          <w:b/>
          <w:sz w:val="20"/>
        </w:rPr>
        <w:sectPr w:rsidR="002C6574">
          <w:pgSz w:w="12240" w:h="15840"/>
          <w:pgMar w:top="900" w:right="425" w:bottom="1220" w:left="425" w:header="674" w:footer="1036" w:gutter="0"/>
          <w:cols w:space="720"/>
        </w:sectPr>
      </w:pPr>
    </w:p>
    <w:p w14:paraId="5BA08CDB" w14:textId="77777777" w:rsidR="002C6574" w:rsidRDefault="00000000">
      <w:pPr>
        <w:pStyle w:val="Ttulo8"/>
        <w:tabs>
          <w:tab w:val="left" w:pos="1708"/>
        </w:tabs>
        <w:spacing w:before="280"/>
        <w:ind w:left="1277"/>
      </w:pPr>
      <w:bookmarkStart w:id="3" w:name="_bookmark3"/>
      <w:bookmarkEnd w:id="3"/>
      <w:r>
        <w:rPr>
          <w:color w:val="001F5F"/>
          <w:spacing w:val="-10"/>
          <w:sz w:val="28"/>
        </w:rPr>
        <w:lastRenderedPageBreak/>
        <w:t>4</w:t>
      </w:r>
      <w:r>
        <w:rPr>
          <w:color w:val="001F5F"/>
          <w:sz w:val="28"/>
        </w:rPr>
        <w:tab/>
      </w:r>
      <w:r>
        <w:rPr>
          <w:color w:val="001F5F"/>
          <w:spacing w:val="-2"/>
        </w:rPr>
        <w:t>Destaques</w:t>
      </w:r>
    </w:p>
    <w:p w14:paraId="39489124" w14:textId="77777777" w:rsidR="002C6574" w:rsidRDefault="002C6574">
      <w:pPr>
        <w:pStyle w:val="Corpodetexto"/>
        <w:spacing w:before="148"/>
        <w:rPr>
          <w:rFonts w:ascii="Calibri"/>
          <w:b/>
          <w:sz w:val="24"/>
        </w:rPr>
      </w:pPr>
    </w:p>
    <w:p w14:paraId="2FF4D4EA" w14:textId="77777777" w:rsidR="002C6574" w:rsidRDefault="00000000">
      <w:pPr>
        <w:ind w:left="1277" w:right="1179" w:firstLine="331"/>
        <w:rPr>
          <w:rFonts w:ascii="Calibri"/>
          <w:sz w:val="24"/>
        </w:rPr>
      </w:pPr>
      <w:r>
        <w:rPr>
          <w:rFonts w:ascii="Calibri"/>
          <w:color w:val="001F5F"/>
          <w:sz w:val="24"/>
        </w:rPr>
        <w:t>Dentre</w:t>
      </w:r>
      <w:r>
        <w:rPr>
          <w:rFonts w:ascii="Calibri"/>
          <w:color w:val="001F5F"/>
          <w:spacing w:val="-3"/>
          <w:sz w:val="24"/>
        </w:rPr>
        <w:t xml:space="preserve"> </w:t>
      </w:r>
      <w:r>
        <w:rPr>
          <w:rFonts w:ascii="Calibri"/>
          <w:color w:val="001F5F"/>
          <w:sz w:val="24"/>
        </w:rPr>
        <w:t>os</w:t>
      </w:r>
      <w:r>
        <w:rPr>
          <w:rFonts w:ascii="Calibri"/>
          <w:color w:val="001F5F"/>
          <w:spacing w:val="-1"/>
          <w:sz w:val="24"/>
        </w:rPr>
        <w:t xml:space="preserve"> </w:t>
      </w:r>
      <w:r>
        <w:rPr>
          <w:rFonts w:ascii="Calibri"/>
          <w:color w:val="001F5F"/>
          <w:sz w:val="24"/>
        </w:rPr>
        <w:t>assuntos</w:t>
      </w:r>
      <w:r>
        <w:rPr>
          <w:rFonts w:ascii="Calibri"/>
          <w:color w:val="001F5F"/>
          <w:spacing w:val="-1"/>
          <w:sz w:val="24"/>
        </w:rPr>
        <w:t xml:space="preserve"> </w:t>
      </w:r>
      <w:r>
        <w:rPr>
          <w:rFonts w:ascii="Calibri"/>
          <w:color w:val="001F5F"/>
          <w:sz w:val="24"/>
        </w:rPr>
        <w:t>e</w:t>
      </w:r>
      <w:r>
        <w:rPr>
          <w:rFonts w:ascii="Calibri"/>
          <w:color w:val="001F5F"/>
          <w:spacing w:val="-3"/>
          <w:sz w:val="24"/>
        </w:rPr>
        <w:t xml:space="preserve"> </w:t>
      </w:r>
      <w:r>
        <w:rPr>
          <w:rFonts w:ascii="Calibri"/>
          <w:color w:val="001F5F"/>
          <w:sz w:val="24"/>
        </w:rPr>
        <w:t>trabalhos</w:t>
      </w:r>
      <w:r>
        <w:rPr>
          <w:rFonts w:ascii="Calibri"/>
          <w:color w:val="001F5F"/>
          <w:spacing w:val="-4"/>
          <w:sz w:val="24"/>
        </w:rPr>
        <w:t xml:space="preserve"> </w:t>
      </w:r>
      <w:r>
        <w:rPr>
          <w:rFonts w:ascii="Calibri"/>
          <w:color w:val="001F5F"/>
          <w:sz w:val="24"/>
        </w:rPr>
        <w:t>realizados</w:t>
      </w:r>
      <w:r>
        <w:rPr>
          <w:rFonts w:ascii="Calibri"/>
          <w:color w:val="001F5F"/>
          <w:spacing w:val="-4"/>
          <w:sz w:val="24"/>
        </w:rPr>
        <w:t xml:space="preserve"> </w:t>
      </w:r>
      <w:r>
        <w:rPr>
          <w:rFonts w:ascii="Calibri"/>
          <w:color w:val="001F5F"/>
          <w:sz w:val="24"/>
        </w:rPr>
        <w:t>entre</w:t>
      </w:r>
      <w:r>
        <w:rPr>
          <w:rFonts w:ascii="Calibri"/>
          <w:color w:val="001F5F"/>
          <w:spacing w:val="-3"/>
          <w:sz w:val="24"/>
        </w:rPr>
        <w:t xml:space="preserve"> </w:t>
      </w:r>
      <w:r>
        <w:rPr>
          <w:rFonts w:ascii="Calibri"/>
          <w:color w:val="001F5F"/>
          <w:sz w:val="24"/>
        </w:rPr>
        <w:t>janeiro</w:t>
      </w:r>
      <w:r>
        <w:rPr>
          <w:rFonts w:ascii="Calibri"/>
          <w:color w:val="001F5F"/>
          <w:spacing w:val="-4"/>
          <w:sz w:val="24"/>
        </w:rPr>
        <w:t xml:space="preserve"> </w:t>
      </w:r>
      <w:r>
        <w:rPr>
          <w:rFonts w:ascii="Calibri"/>
          <w:color w:val="001F5F"/>
          <w:sz w:val="24"/>
        </w:rPr>
        <w:t>de</w:t>
      </w:r>
      <w:r>
        <w:rPr>
          <w:rFonts w:ascii="Calibri"/>
          <w:color w:val="001F5F"/>
          <w:spacing w:val="-4"/>
          <w:sz w:val="24"/>
        </w:rPr>
        <w:t xml:space="preserve"> </w:t>
      </w:r>
      <w:r>
        <w:rPr>
          <w:rFonts w:ascii="Calibri"/>
          <w:color w:val="001F5F"/>
          <w:sz w:val="24"/>
        </w:rPr>
        <w:t>2025</w:t>
      </w:r>
      <w:r>
        <w:rPr>
          <w:rFonts w:ascii="Calibri"/>
          <w:color w:val="001F5F"/>
          <w:spacing w:val="-3"/>
          <w:sz w:val="24"/>
        </w:rPr>
        <w:t xml:space="preserve"> </w:t>
      </w:r>
      <w:r>
        <w:rPr>
          <w:rFonts w:ascii="Calibri"/>
          <w:color w:val="001F5F"/>
          <w:sz w:val="24"/>
        </w:rPr>
        <w:t>e</w:t>
      </w:r>
      <w:r>
        <w:rPr>
          <w:rFonts w:ascii="Calibri"/>
          <w:color w:val="001F5F"/>
          <w:spacing w:val="-1"/>
          <w:sz w:val="24"/>
        </w:rPr>
        <w:t xml:space="preserve"> </w:t>
      </w:r>
      <w:r>
        <w:rPr>
          <w:rFonts w:ascii="Calibri"/>
          <w:color w:val="001F5F"/>
          <w:sz w:val="24"/>
        </w:rPr>
        <w:t>dezembro</w:t>
      </w:r>
      <w:r>
        <w:rPr>
          <w:rFonts w:ascii="Calibri"/>
          <w:color w:val="001F5F"/>
          <w:spacing w:val="-3"/>
          <w:sz w:val="24"/>
        </w:rPr>
        <w:t xml:space="preserve"> </w:t>
      </w:r>
      <w:r>
        <w:rPr>
          <w:rFonts w:ascii="Calibri"/>
          <w:color w:val="001F5F"/>
          <w:sz w:val="24"/>
        </w:rPr>
        <w:t>de</w:t>
      </w:r>
      <w:r>
        <w:rPr>
          <w:rFonts w:ascii="Calibri"/>
          <w:color w:val="001F5F"/>
          <w:spacing w:val="-3"/>
          <w:sz w:val="24"/>
        </w:rPr>
        <w:t xml:space="preserve"> </w:t>
      </w:r>
      <w:r>
        <w:rPr>
          <w:rFonts w:ascii="Calibri"/>
          <w:color w:val="001F5F"/>
          <w:sz w:val="24"/>
        </w:rPr>
        <w:t>2025 pelo COAUD destacam-se os seguintes:</w:t>
      </w:r>
    </w:p>
    <w:p w14:paraId="5E98EFBF" w14:textId="77777777" w:rsidR="002C6574" w:rsidRDefault="00000000">
      <w:pPr>
        <w:pStyle w:val="Ttulo8"/>
        <w:numPr>
          <w:ilvl w:val="0"/>
          <w:numId w:val="1"/>
        </w:numPr>
        <w:tabs>
          <w:tab w:val="left" w:pos="2270"/>
        </w:tabs>
        <w:spacing w:before="292"/>
        <w:ind w:hanging="662"/>
      </w:pPr>
      <w:bookmarkStart w:id="4" w:name="_bookmark4"/>
      <w:bookmarkEnd w:id="4"/>
      <w:r>
        <w:rPr>
          <w:color w:val="001F5F"/>
        </w:rPr>
        <w:t>Das</w:t>
      </w:r>
      <w:r>
        <w:rPr>
          <w:color w:val="001F5F"/>
          <w:spacing w:val="-3"/>
        </w:rPr>
        <w:t xml:space="preserve"> </w:t>
      </w:r>
      <w:r>
        <w:rPr>
          <w:color w:val="001F5F"/>
        </w:rPr>
        <w:t xml:space="preserve">Demonstrações </w:t>
      </w:r>
      <w:r>
        <w:rPr>
          <w:color w:val="001F5F"/>
          <w:spacing w:val="-2"/>
        </w:rPr>
        <w:t>Contábeis</w:t>
      </w:r>
    </w:p>
    <w:p w14:paraId="2C324AF4" w14:textId="77777777" w:rsidR="002C6574" w:rsidRDefault="002C6574">
      <w:pPr>
        <w:pStyle w:val="Corpodetexto"/>
        <w:rPr>
          <w:rFonts w:ascii="Calibri"/>
          <w:b/>
          <w:sz w:val="24"/>
        </w:rPr>
      </w:pPr>
    </w:p>
    <w:p w14:paraId="207240F1" w14:textId="77777777" w:rsidR="002C6574" w:rsidRDefault="00000000">
      <w:pPr>
        <w:ind w:left="1272" w:right="1191" w:firstLine="335"/>
        <w:jc w:val="both"/>
        <w:rPr>
          <w:rFonts w:ascii="Calibri" w:hAnsi="Calibri"/>
          <w:sz w:val="24"/>
        </w:rPr>
      </w:pPr>
      <w:r>
        <w:rPr>
          <w:rFonts w:ascii="Calibri" w:hAnsi="Calibri"/>
          <w:color w:val="001F5F"/>
          <w:sz w:val="24"/>
        </w:rPr>
        <w:t>O Comitê acompanhou o processo de elaboração das Demonstrações Contábeis de 31/12/2025, examinando balancetes, balanço e notas explicativas e procedeu à apreciação das Demonstrações Contábeis, Relatório da Administração, Relatório dos Auditores Independentes e demais documentos destinados à publicação. Tomou conhecimento das práticas contábeis adotadas, das ocorrências atípicas, dos seus impactos na situação patrimonial e nos resultados, em reuniões havidas com os responsáveis pela elaboração desses documentos e com os auditores Independentes.</w:t>
      </w:r>
    </w:p>
    <w:p w14:paraId="5A323045" w14:textId="77777777" w:rsidR="002C6574" w:rsidRDefault="00000000">
      <w:pPr>
        <w:spacing w:before="292"/>
        <w:ind w:left="1277" w:right="1279" w:firstLine="331"/>
        <w:jc w:val="both"/>
        <w:rPr>
          <w:rFonts w:ascii="Calibri" w:hAnsi="Calibri"/>
          <w:sz w:val="24"/>
        </w:rPr>
      </w:pPr>
      <w:r>
        <w:rPr>
          <w:rFonts w:ascii="Calibri" w:hAnsi="Calibri"/>
          <w:color w:val="001F5F"/>
          <w:sz w:val="24"/>
        </w:rPr>
        <w:t>O Comitê verificou que as práticas contábeis utilizadas na elaboração das demonstrações financeiras estão alinhadas com os princípios fundamentais da contabilidade,</w:t>
      </w:r>
      <w:r>
        <w:rPr>
          <w:rFonts w:ascii="Calibri" w:hAnsi="Calibri"/>
          <w:color w:val="001F5F"/>
          <w:spacing w:val="-9"/>
          <w:sz w:val="24"/>
        </w:rPr>
        <w:t xml:space="preserve"> </w:t>
      </w:r>
      <w:r>
        <w:rPr>
          <w:rFonts w:ascii="Calibri" w:hAnsi="Calibri"/>
          <w:color w:val="001F5F"/>
          <w:sz w:val="24"/>
        </w:rPr>
        <w:t>com</w:t>
      </w:r>
      <w:r>
        <w:rPr>
          <w:rFonts w:ascii="Calibri" w:hAnsi="Calibri"/>
          <w:color w:val="001F5F"/>
          <w:spacing w:val="-10"/>
          <w:sz w:val="24"/>
        </w:rPr>
        <w:t xml:space="preserve"> </w:t>
      </w:r>
      <w:r>
        <w:rPr>
          <w:rFonts w:ascii="Calibri" w:hAnsi="Calibri"/>
          <w:color w:val="001F5F"/>
          <w:sz w:val="24"/>
        </w:rPr>
        <w:t>a</w:t>
      </w:r>
      <w:r>
        <w:rPr>
          <w:rFonts w:ascii="Calibri" w:hAnsi="Calibri"/>
          <w:color w:val="001F5F"/>
          <w:spacing w:val="-9"/>
          <w:sz w:val="24"/>
        </w:rPr>
        <w:t xml:space="preserve"> </w:t>
      </w:r>
      <w:r>
        <w:rPr>
          <w:rFonts w:ascii="Calibri" w:hAnsi="Calibri"/>
          <w:color w:val="001F5F"/>
          <w:sz w:val="24"/>
        </w:rPr>
        <w:t>legislação</w:t>
      </w:r>
      <w:r>
        <w:rPr>
          <w:rFonts w:ascii="Calibri" w:hAnsi="Calibri"/>
          <w:color w:val="001F5F"/>
          <w:spacing w:val="-9"/>
          <w:sz w:val="24"/>
        </w:rPr>
        <w:t xml:space="preserve"> </w:t>
      </w:r>
      <w:r>
        <w:rPr>
          <w:rFonts w:ascii="Calibri" w:hAnsi="Calibri"/>
          <w:color w:val="001F5F"/>
          <w:sz w:val="24"/>
        </w:rPr>
        <w:t>societária</w:t>
      </w:r>
      <w:r>
        <w:rPr>
          <w:rFonts w:ascii="Calibri" w:hAnsi="Calibri"/>
          <w:color w:val="001F5F"/>
          <w:spacing w:val="-10"/>
          <w:sz w:val="24"/>
        </w:rPr>
        <w:t xml:space="preserve"> </w:t>
      </w:r>
      <w:r>
        <w:rPr>
          <w:rFonts w:ascii="Calibri" w:hAnsi="Calibri"/>
          <w:color w:val="001F5F"/>
          <w:sz w:val="24"/>
        </w:rPr>
        <w:t>brasileira</w:t>
      </w:r>
      <w:r>
        <w:rPr>
          <w:rFonts w:ascii="Calibri" w:hAnsi="Calibri"/>
          <w:color w:val="001F5F"/>
          <w:spacing w:val="-9"/>
          <w:sz w:val="24"/>
        </w:rPr>
        <w:t xml:space="preserve"> </w:t>
      </w:r>
      <w:r>
        <w:rPr>
          <w:rFonts w:ascii="Calibri" w:hAnsi="Calibri"/>
          <w:color w:val="001F5F"/>
          <w:sz w:val="24"/>
        </w:rPr>
        <w:t>e</w:t>
      </w:r>
      <w:r>
        <w:rPr>
          <w:rFonts w:ascii="Calibri" w:hAnsi="Calibri"/>
          <w:color w:val="001F5F"/>
          <w:spacing w:val="-9"/>
          <w:sz w:val="24"/>
        </w:rPr>
        <w:t xml:space="preserve"> </w:t>
      </w:r>
      <w:r>
        <w:rPr>
          <w:rFonts w:ascii="Calibri" w:hAnsi="Calibri"/>
          <w:color w:val="001F5F"/>
          <w:sz w:val="24"/>
        </w:rPr>
        <w:t>demais</w:t>
      </w:r>
      <w:r>
        <w:rPr>
          <w:rFonts w:ascii="Calibri" w:hAnsi="Calibri"/>
          <w:color w:val="001F5F"/>
          <w:spacing w:val="-9"/>
          <w:sz w:val="24"/>
        </w:rPr>
        <w:t xml:space="preserve"> </w:t>
      </w:r>
      <w:r>
        <w:rPr>
          <w:rFonts w:ascii="Calibri" w:hAnsi="Calibri"/>
          <w:color w:val="001F5F"/>
          <w:sz w:val="24"/>
        </w:rPr>
        <w:t>normas</w:t>
      </w:r>
      <w:r>
        <w:rPr>
          <w:rFonts w:ascii="Calibri" w:hAnsi="Calibri"/>
          <w:color w:val="001F5F"/>
          <w:spacing w:val="-9"/>
          <w:sz w:val="24"/>
        </w:rPr>
        <w:t xml:space="preserve"> </w:t>
      </w:r>
      <w:r>
        <w:rPr>
          <w:rFonts w:ascii="Calibri" w:hAnsi="Calibri"/>
          <w:color w:val="001F5F"/>
          <w:sz w:val="24"/>
        </w:rPr>
        <w:t>aplicáveis,</w:t>
      </w:r>
      <w:r>
        <w:rPr>
          <w:rFonts w:ascii="Calibri" w:hAnsi="Calibri"/>
          <w:color w:val="001F5F"/>
          <w:spacing w:val="-9"/>
          <w:sz w:val="24"/>
        </w:rPr>
        <w:t xml:space="preserve"> </w:t>
      </w:r>
      <w:r>
        <w:rPr>
          <w:rFonts w:ascii="Calibri" w:hAnsi="Calibri"/>
          <w:color w:val="001F5F"/>
          <w:sz w:val="24"/>
        </w:rPr>
        <w:t>retratando adequadamente a situação patrimonial da Telebras.</w:t>
      </w:r>
    </w:p>
    <w:p w14:paraId="5272B549" w14:textId="77777777" w:rsidR="002C6574" w:rsidRDefault="002C6574">
      <w:pPr>
        <w:pStyle w:val="Corpodetexto"/>
        <w:spacing w:before="2"/>
        <w:rPr>
          <w:rFonts w:ascii="Calibri"/>
          <w:sz w:val="24"/>
        </w:rPr>
      </w:pPr>
    </w:p>
    <w:p w14:paraId="15A192C8" w14:textId="77777777" w:rsidR="002C6574" w:rsidRDefault="00000000">
      <w:pPr>
        <w:pStyle w:val="Ttulo8"/>
        <w:numPr>
          <w:ilvl w:val="0"/>
          <w:numId w:val="1"/>
        </w:numPr>
        <w:tabs>
          <w:tab w:val="left" w:pos="2409"/>
        </w:tabs>
        <w:ind w:left="2409" w:hanging="660"/>
      </w:pPr>
      <w:bookmarkStart w:id="5" w:name="_bookmark5"/>
      <w:bookmarkEnd w:id="5"/>
      <w:r>
        <w:rPr>
          <w:color w:val="001F5F"/>
        </w:rPr>
        <w:t>Da</w:t>
      </w:r>
      <w:r>
        <w:rPr>
          <w:color w:val="001F5F"/>
          <w:spacing w:val="-3"/>
        </w:rPr>
        <w:t xml:space="preserve"> </w:t>
      </w:r>
      <w:r>
        <w:rPr>
          <w:color w:val="001F5F"/>
        </w:rPr>
        <w:t>Auditoria</w:t>
      </w:r>
      <w:r>
        <w:rPr>
          <w:color w:val="001F5F"/>
          <w:spacing w:val="-2"/>
        </w:rPr>
        <w:t xml:space="preserve"> Independente</w:t>
      </w:r>
    </w:p>
    <w:p w14:paraId="7288AD4A" w14:textId="77777777" w:rsidR="002C6574" w:rsidRDefault="00000000">
      <w:pPr>
        <w:spacing w:before="293"/>
        <w:ind w:left="1272" w:right="1273" w:firstLine="477"/>
        <w:jc w:val="both"/>
        <w:rPr>
          <w:rFonts w:ascii="Calibri" w:hAnsi="Calibri"/>
          <w:sz w:val="24"/>
        </w:rPr>
      </w:pPr>
      <w:r>
        <w:rPr>
          <w:rFonts w:ascii="Calibri" w:hAnsi="Calibri"/>
          <w:color w:val="001F5F"/>
          <w:sz w:val="24"/>
        </w:rPr>
        <w:t xml:space="preserve">O Comitê reuniu-se com o auditor independente, senhor Marlos Reinert para conhecimento das principais ocorrências nos trabalhos realizados no curso da elaboração das Demonstrações Financeiras de 2025 e de sua avaliação dos controles internos da </w:t>
      </w:r>
      <w:r>
        <w:rPr>
          <w:rFonts w:ascii="Calibri" w:hAnsi="Calibri"/>
          <w:color w:val="001F5F"/>
          <w:spacing w:val="-2"/>
          <w:sz w:val="24"/>
        </w:rPr>
        <w:t>Telebras.</w:t>
      </w:r>
    </w:p>
    <w:p w14:paraId="006CD74A" w14:textId="77777777" w:rsidR="002C6574" w:rsidRDefault="00000000">
      <w:pPr>
        <w:spacing w:before="292"/>
        <w:ind w:left="1277" w:right="1282" w:firstLine="472"/>
        <w:jc w:val="both"/>
        <w:rPr>
          <w:rFonts w:ascii="Calibri" w:hAnsi="Calibri"/>
          <w:sz w:val="24"/>
        </w:rPr>
      </w:pPr>
      <w:r>
        <w:rPr>
          <w:rFonts w:ascii="Calibri" w:hAnsi="Calibri"/>
          <w:color w:val="001F5F"/>
          <w:sz w:val="24"/>
        </w:rPr>
        <w:t>O COAUD considera satisfatórios os trabalhos desenvolvidos, não tendo sido identificadas situações que pudessem afetar a objetividade e a independência dos auditores independentes.</w:t>
      </w:r>
    </w:p>
    <w:p w14:paraId="6A8BD878" w14:textId="77777777" w:rsidR="002C6574" w:rsidRDefault="002C6574">
      <w:pPr>
        <w:pStyle w:val="Corpodetexto"/>
        <w:spacing w:before="2"/>
        <w:rPr>
          <w:rFonts w:ascii="Calibri"/>
          <w:sz w:val="24"/>
        </w:rPr>
      </w:pPr>
    </w:p>
    <w:p w14:paraId="11FC6258" w14:textId="77777777" w:rsidR="002C6574" w:rsidRDefault="00000000">
      <w:pPr>
        <w:pStyle w:val="Ttulo8"/>
        <w:numPr>
          <w:ilvl w:val="0"/>
          <w:numId w:val="1"/>
        </w:numPr>
        <w:tabs>
          <w:tab w:val="left" w:pos="2409"/>
        </w:tabs>
        <w:ind w:left="2409" w:hanging="660"/>
      </w:pPr>
      <w:bookmarkStart w:id="6" w:name="_bookmark6"/>
      <w:bookmarkEnd w:id="6"/>
      <w:r>
        <w:rPr>
          <w:color w:val="001F5F"/>
          <w:spacing w:val="-2"/>
        </w:rPr>
        <w:t>Autoavaliação</w:t>
      </w:r>
    </w:p>
    <w:p w14:paraId="1A557461" w14:textId="77777777" w:rsidR="002C6574" w:rsidRDefault="00000000">
      <w:pPr>
        <w:spacing w:before="292"/>
        <w:ind w:left="1272" w:right="1280" w:firstLine="477"/>
        <w:jc w:val="both"/>
        <w:rPr>
          <w:rFonts w:ascii="Calibri" w:hAnsi="Calibri"/>
          <w:sz w:val="24"/>
        </w:rPr>
      </w:pPr>
      <w:r>
        <w:rPr>
          <w:rFonts w:ascii="Calibri" w:hAnsi="Calibri"/>
          <w:color w:val="001F5F"/>
          <w:sz w:val="24"/>
        </w:rPr>
        <w:t>De acordo com o Regimento Interno, o Comitê procedeu com sua autoavaliação, objetivando identificar possibilidades de melhorias na sua forma e amplitude de atuação.</w:t>
      </w:r>
    </w:p>
    <w:p w14:paraId="5B5E7FBC" w14:textId="77777777" w:rsidR="002C6574" w:rsidRDefault="002C6574">
      <w:pPr>
        <w:pStyle w:val="Corpodetexto"/>
        <w:rPr>
          <w:rFonts w:ascii="Calibri"/>
          <w:sz w:val="24"/>
        </w:rPr>
      </w:pPr>
    </w:p>
    <w:p w14:paraId="5357289C" w14:textId="77777777" w:rsidR="002C6574" w:rsidRDefault="00000000">
      <w:pPr>
        <w:spacing w:before="1"/>
        <w:ind w:left="1272" w:right="1275" w:firstLine="477"/>
        <w:jc w:val="both"/>
        <w:rPr>
          <w:rFonts w:ascii="Calibri" w:hAnsi="Calibri"/>
          <w:sz w:val="24"/>
        </w:rPr>
      </w:pPr>
      <w:r>
        <w:rPr>
          <w:rFonts w:ascii="Calibri" w:hAnsi="Calibri"/>
          <w:color w:val="001F5F"/>
          <w:sz w:val="24"/>
        </w:rPr>
        <w:t>Os resultados foram encaminhados ao Comitê de Pessoas, Elegibilidade, Sucessão e Remuneração</w:t>
      </w:r>
      <w:r>
        <w:rPr>
          <w:rFonts w:ascii="Calibri" w:hAnsi="Calibri"/>
          <w:color w:val="001F5F"/>
          <w:spacing w:val="-10"/>
          <w:sz w:val="24"/>
        </w:rPr>
        <w:t xml:space="preserve"> </w:t>
      </w:r>
      <w:r>
        <w:rPr>
          <w:rFonts w:ascii="Calibri" w:hAnsi="Calibri"/>
          <w:color w:val="001F5F"/>
          <w:sz w:val="24"/>
        </w:rPr>
        <w:t>para</w:t>
      </w:r>
      <w:r>
        <w:rPr>
          <w:rFonts w:ascii="Calibri" w:hAnsi="Calibri"/>
          <w:color w:val="001F5F"/>
          <w:spacing w:val="-10"/>
          <w:sz w:val="24"/>
        </w:rPr>
        <w:t xml:space="preserve"> </w:t>
      </w:r>
      <w:r>
        <w:rPr>
          <w:rFonts w:ascii="Calibri" w:hAnsi="Calibri"/>
          <w:color w:val="001F5F"/>
          <w:sz w:val="24"/>
        </w:rPr>
        <w:t>concatenação</w:t>
      </w:r>
      <w:r>
        <w:rPr>
          <w:rFonts w:ascii="Calibri" w:hAnsi="Calibri"/>
          <w:color w:val="001F5F"/>
          <w:spacing w:val="-13"/>
          <w:sz w:val="24"/>
        </w:rPr>
        <w:t xml:space="preserve"> </w:t>
      </w:r>
      <w:r>
        <w:rPr>
          <w:rFonts w:ascii="Calibri" w:hAnsi="Calibri"/>
          <w:color w:val="001F5F"/>
          <w:sz w:val="24"/>
        </w:rPr>
        <w:t>dos</w:t>
      </w:r>
      <w:r>
        <w:rPr>
          <w:rFonts w:ascii="Calibri" w:hAnsi="Calibri"/>
          <w:color w:val="001F5F"/>
          <w:spacing w:val="-10"/>
          <w:sz w:val="24"/>
        </w:rPr>
        <w:t xml:space="preserve"> </w:t>
      </w:r>
      <w:r>
        <w:rPr>
          <w:rFonts w:ascii="Calibri" w:hAnsi="Calibri"/>
          <w:color w:val="001F5F"/>
          <w:sz w:val="24"/>
        </w:rPr>
        <w:t>dados,</w:t>
      </w:r>
      <w:r>
        <w:rPr>
          <w:rFonts w:ascii="Calibri" w:hAnsi="Calibri"/>
          <w:color w:val="001F5F"/>
          <w:spacing w:val="-10"/>
          <w:sz w:val="24"/>
        </w:rPr>
        <w:t xml:space="preserve"> </w:t>
      </w:r>
      <w:r>
        <w:rPr>
          <w:rFonts w:ascii="Calibri" w:hAnsi="Calibri"/>
          <w:color w:val="001F5F"/>
          <w:sz w:val="24"/>
        </w:rPr>
        <w:t>e</w:t>
      </w:r>
      <w:r>
        <w:rPr>
          <w:rFonts w:ascii="Calibri" w:hAnsi="Calibri"/>
          <w:color w:val="001F5F"/>
          <w:spacing w:val="-10"/>
          <w:sz w:val="24"/>
        </w:rPr>
        <w:t xml:space="preserve"> </w:t>
      </w:r>
      <w:r>
        <w:rPr>
          <w:rFonts w:ascii="Calibri" w:hAnsi="Calibri"/>
          <w:color w:val="001F5F"/>
          <w:sz w:val="24"/>
        </w:rPr>
        <w:t>posteriormente</w:t>
      </w:r>
      <w:r>
        <w:rPr>
          <w:rFonts w:ascii="Calibri" w:hAnsi="Calibri"/>
          <w:color w:val="001F5F"/>
          <w:spacing w:val="-9"/>
          <w:sz w:val="24"/>
        </w:rPr>
        <w:t xml:space="preserve"> </w:t>
      </w:r>
      <w:r>
        <w:rPr>
          <w:rFonts w:ascii="Calibri" w:hAnsi="Calibri"/>
          <w:color w:val="001F5F"/>
          <w:sz w:val="24"/>
        </w:rPr>
        <w:t>disponibilizado</w:t>
      </w:r>
      <w:r>
        <w:rPr>
          <w:rFonts w:ascii="Calibri" w:hAnsi="Calibri"/>
          <w:color w:val="001F5F"/>
          <w:spacing w:val="-10"/>
          <w:sz w:val="24"/>
        </w:rPr>
        <w:t xml:space="preserve"> </w:t>
      </w:r>
      <w:r>
        <w:rPr>
          <w:rFonts w:ascii="Calibri" w:hAnsi="Calibri"/>
          <w:color w:val="001F5F"/>
          <w:sz w:val="24"/>
        </w:rPr>
        <w:t>ao</w:t>
      </w:r>
      <w:r>
        <w:rPr>
          <w:rFonts w:ascii="Calibri" w:hAnsi="Calibri"/>
          <w:color w:val="001F5F"/>
          <w:spacing w:val="-10"/>
          <w:sz w:val="24"/>
        </w:rPr>
        <w:t xml:space="preserve"> </w:t>
      </w:r>
      <w:r>
        <w:rPr>
          <w:rFonts w:ascii="Calibri" w:hAnsi="Calibri"/>
          <w:color w:val="001F5F"/>
          <w:sz w:val="24"/>
        </w:rPr>
        <w:t>Conselho de Administração para conhecimento e avaliação pela Gerência de Integridade, Riscos, Controles Internos e Conformidade (GIRC).</w:t>
      </w:r>
    </w:p>
    <w:p w14:paraId="51BDD64B" w14:textId="77777777" w:rsidR="002C6574" w:rsidRDefault="002C6574">
      <w:pPr>
        <w:jc w:val="both"/>
        <w:rPr>
          <w:rFonts w:ascii="Calibri" w:hAnsi="Calibri"/>
          <w:sz w:val="24"/>
        </w:rPr>
        <w:sectPr w:rsidR="002C6574">
          <w:pgSz w:w="12240" w:h="15840"/>
          <w:pgMar w:top="900" w:right="425" w:bottom="1220" w:left="425" w:header="674" w:footer="1036" w:gutter="0"/>
          <w:cols w:space="720"/>
        </w:sectPr>
      </w:pPr>
    </w:p>
    <w:p w14:paraId="7AD2CB1E" w14:textId="77777777" w:rsidR="002C6574" w:rsidRDefault="00000000">
      <w:pPr>
        <w:pStyle w:val="Ttulo8"/>
        <w:numPr>
          <w:ilvl w:val="0"/>
          <w:numId w:val="1"/>
        </w:numPr>
        <w:tabs>
          <w:tab w:val="left" w:pos="2409"/>
        </w:tabs>
        <w:spacing w:before="280"/>
        <w:ind w:left="2409" w:hanging="660"/>
      </w:pPr>
      <w:bookmarkStart w:id="7" w:name="_bookmark7"/>
      <w:bookmarkEnd w:id="7"/>
      <w:r>
        <w:rPr>
          <w:color w:val="001F5F"/>
        </w:rPr>
        <w:lastRenderedPageBreak/>
        <w:t>Partes</w:t>
      </w:r>
      <w:r>
        <w:rPr>
          <w:color w:val="001F5F"/>
          <w:spacing w:val="-2"/>
        </w:rPr>
        <w:t xml:space="preserve"> Relacionadas</w:t>
      </w:r>
    </w:p>
    <w:p w14:paraId="03C72FDE" w14:textId="77777777" w:rsidR="002C6574" w:rsidRDefault="002C6574">
      <w:pPr>
        <w:pStyle w:val="Corpodetexto"/>
        <w:spacing w:before="158"/>
        <w:rPr>
          <w:rFonts w:ascii="Calibri"/>
          <w:b/>
          <w:sz w:val="24"/>
        </w:rPr>
      </w:pPr>
    </w:p>
    <w:p w14:paraId="0B8415C4" w14:textId="77777777" w:rsidR="002C6574" w:rsidRDefault="00000000">
      <w:pPr>
        <w:ind w:left="1277" w:right="1272" w:firstLine="472"/>
        <w:jc w:val="both"/>
        <w:rPr>
          <w:rFonts w:ascii="Calibri" w:hAnsi="Calibri"/>
          <w:sz w:val="24"/>
        </w:rPr>
      </w:pPr>
      <w:r>
        <w:rPr>
          <w:rFonts w:ascii="Calibri" w:hAnsi="Calibri"/>
          <w:color w:val="001F5F"/>
          <w:sz w:val="24"/>
        </w:rPr>
        <w:t>O Comitê acompanhou e supervisionou as atividades desenvolvidas pela Auditoria Interna, avaliando e monitorando, em conjunto com a administração, a adequação e o fiel cumprimento</w:t>
      </w:r>
      <w:r>
        <w:rPr>
          <w:rFonts w:ascii="Calibri" w:hAnsi="Calibri"/>
          <w:color w:val="001F5F"/>
          <w:spacing w:val="-14"/>
          <w:sz w:val="24"/>
        </w:rPr>
        <w:t xml:space="preserve"> </w:t>
      </w:r>
      <w:r>
        <w:rPr>
          <w:rFonts w:ascii="Calibri" w:hAnsi="Calibri"/>
          <w:color w:val="001F5F"/>
          <w:sz w:val="24"/>
        </w:rPr>
        <w:t>das</w:t>
      </w:r>
      <w:r>
        <w:rPr>
          <w:rFonts w:ascii="Calibri" w:hAnsi="Calibri"/>
          <w:color w:val="001F5F"/>
          <w:spacing w:val="-14"/>
          <w:sz w:val="24"/>
        </w:rPr>
        <w:t xml:space="preserve"> </w:t>
      </w:r>
      <w:r>
        <w:rPr>
          <w:rFonts w:ascii="Calibri" w:hAnsi="Calibri"/>
          <w:color w:val="001F5F"/>
          <w:sz w:val="24"/>
        </w:rPr>
        <w:t>transações</w:t>
      </w:r>
      <w:r>
        <w:rPr>
          <w:rFonts w:ascii="Calibri" w:hAnsi="Calibri"/>
          <w:color w:val="001F5F"/>
          <w:spacing w:val="-13"/>
          <w:sz w:val="24"/>
        </w:rPr>
        <w:t xml:space="preserve"> </w:t>
      </w:r>
      <w:r>
        <w:rPr>
          <w:rFonts w:ascii="Calibri" w:hAnsi="Calibri"/>
          <w:color w:val="001F5F"/>
          <w:sz w:val="24"/>
        </w:rPr>
        <w:t>com</w:t>
      </w:r>
      <w:r>
        <w:rPr>
          <w:rFonts w:ascii="Calibri" w:hAnsi="Calibri"/>
          <w:color w:val="001F5F"/>
          <w:spacing w:val="-14"/>
          <w:sz w:val="24"/>
        </w:rPr>
        <w:t xml:space="preserve"> </w:t>
      </w:r>
      <w:r>
        <w:rPr>
          <w:rFonts w:ascii="Calibri" w:hAnsi="Calibri"/>
          <w:color w:val="001F5F"/>
          <w:sz w:val="24"/>
        </w:rPr>
        <w:t>partes</w:t>
      </w:r>
      <w:r>
        <w:rPr>
          <w:rFonts w:ascii="Calibri" w:hAnsi="Calibri"/>
          <w:color w:val="001F5F"/>
          <w:spacing w:val="-13"/>
          <w:sz w:val="24"/>
        </w:rPr>
        <w:t xml:space="preserve"> </w:t>
      </w:r>
      <w:r>
        <w:rPr>
          <w:rFonts w:ascii="Calibri" w:hAnsi="Calibri"/>
          <w:color w:val="001F5F"/>
          <w:sz w:val="24"/>
        </w:rPr>
        <w:t>relacionadas</w:t>
      </w:r>
      <w:r>
        <w:rPr>
          <w:rFonts w:ascii="Calibri" w:hAnsi="Calibri"/>
          <w:color w:val="001F5F"/>
          <w:spacing w:val="-14"/>
          <w:sz w:val="24"/>
        </w:rPr>
        <w:t xml:space="preserve"> </w:t>
      </w:r>
      <w:r>
        <w:rPr>
          <w:rFonts w:ascii="Calibri" w:hAnsi="Calibri"/>
          <w:color w:val="001F5F"/>
          <w:sz w:val="24"/>
        </w:rPr>
        <w:t>aos</w:t>
      </w:r>
      <w:r>
        <w:rPr>
          <w:rFonts w:ascii="Calibri" w:hAnsi="Calibri"/>
          <w:color w:val="001F5F"/>
          <w:spacing w:val="-13"/>
          <w:sz w:val="24"/>
        </w:rPr>
        <w:t xml:space="preserve"> </w:t>
      </w:r>
      <w:r>
        <w:rPr>
          <w:rFonts w:ascii="Calibri" w:hAnsi="Calibri"/>
          <w:color w:val="001F5F"/>
          <w:sz w:val="24"/>
        </w:rPr>
        <w:t>critérios</w:t>
      </w:r>
      <w:r>
        <w:rPr>
          <w:rFonts w:ascii="Calibri" w:hAnsi="Calibri"/>
          <w:color w:val="001F5F"/>
          <w:spacing w:val="-14"/>
          <w:sz w:val="24"/>
        </w:rPr>
        <w:t xml:space="preserve"> </w:t>
      </w:r>
      <w:r>
        <w:rPr>
          <w:rFonts w:ascii="Calibri" w:hAnsi="Calibri"/>
          <w:color w:val="001F5F"/>
          <w:sz w:val="24"/>
        </w:rPr>
        <w:t>estabelecidos</w:t>
      </w:r>
      <w:r>
        <w:rPr>
          <w:rFonts w:ascii="Calibri" w:hAnsi="Calibri"/>
          <w:color w:val="001F5F"/>
          <w:spacing w:val="-14"/>
          <w:sz w:val="24"/>
        </w:rPr>
        <w:t xml:space="preserve"> </w:t>
      </w:r>
      <w:r>
        <w:rPr>
          <w:rFonts w:ascii="Calibri" w:hAnsi="Calibri"/>
          <w:color w:val="001F5F"/>
          <w:sz w:val="24"/>
        </w:rPr>
        <w:t>na</w:t>
      </w:r>
      <w:r>
        <w:rPr>
          <w:rFonts w:ascii="Calibri" w:hAnsi="Calibri"/>
          <w:color w:val="001F5F"/>
          <w:spacing w:val="-13"/>
          <w:sz w:val="24"/>
        </w:rPr>
        <w:t xml:space="preserve"> </w:t>
      </w:r>
      <w:r>
        <w:rPr>
          <w:rFonts w:ascii="Calibri" w:hAnsi="Calibri"/>
          <w:color w:val="001F5F"/>
          <w:sz w:val="24"/>
        </w:rPr>
        <w:t>Política de Transações com Partes Relacionadas e sua divulgação.</w:t>
      </w:r>
    </w:p>
    <w:p w14:paraId="6543C9EE" w14:textId="77777777" w:rsidR="002C6574" w:rsidRDefault="00000000">
      <w:pPr>
        <w:pStyle w:val="Ttulo8"/>
        <w:numPr>
          <w:ilvl w:val="0"/>
          <w:numId w:val="1"/>
        </w:numPr>
        <w:tabs>
          <w:tab w:val="left" w:pos="2553"/>
        </w:tabs>
        <w:spacing w:before="293"/>
        <w:ind w:left="2553" w:hanging="804"/>
      </w:pPr>
      <w:bookmarkStart w:id="8" w:name="_bookmark8"/>
      <w:bookmarkEnd w:id="8"/>
      <w:r>
        <w:rPr>
          <w:color w:val="001F5F"/>
        </w:rPr>
        <w:t>Auditoria</w:t>
      </w:r>
      <w:r>
        <w:rPr>
          <w:color w:val="001F5F"/>
          <w:spacing w:val="-7"/>
        </w:rPr>
        <w:t xml:space="preserve"> </w:t>
      </w:r>
      <w:r>
        <w:rPr>
          <w:color w:val="001F5F"/>
          <w:spacing w:val="-2"/>
        </w:rPr>
        <w:t>Interna</w:t>
      </w:r>
    </w:p>
    <w:p w14:paraId="74A6A578" w14:textId="77777777" w:rsidR="002C6574" w:rsidRDefault="00000000">
      <w:pPr>
        <w:spacing w:before="292"/>
        <w:ind w:left="1272" w:right="1191" w:firstLine="477"/>
        <w:jc w:val="both"/>
        <w:rPr>
          <w:rFonts w:ascii="Calibri" w:hAnsi="Calibri"/>
          <w:sz w:val="24"/>
        </w:rPr>
      </w:pPr>
      <w:r>
        <w:rPr>
          <w:rFonts w:ascii="Calibri" w:hAnsi="Calibri"/>
          <w:color w:val="001F5F"/>
          <w:sz w:val="24"/>
        </w:rPr>
        <w:t xml:space="preserve">O Comitê acompanhou e supervisionou as atividades desenvolvidas pela Auditoria Interna, avaliou o Plano Anual de Atividades da Auditoria Interna (PAINT-2026) recebeu, </w:t>
      </w:r>
      <w:r>
        <w:rPr>
          <w:rFonts w:ascii="Calibri" w:hAnsi="Calibri"/>
          <w:color w:val="001F5F"/>
        </w:rPr>
        <w:t xml:space="preserve">e Relatório Anual de Atividades da Auditoria Interna (RAINT-2025), </w:t>
      </w:r>
      <w:r>
        <w:rPr>
          <w:rFonts w:ascii="Calibri" w:hAnsi="Calibri"/>
          <w:color w:val="001F5F"/>
          <w:sz w:val="24"/>
        </w:rPr>
        <w:t>discutiu e acompanhou o relatório</w:t>
      </w:r>
      <w:r>
        <w:rPr>
          <w:rFonts w:ascii="Calibri" w:hAnsi="Calibri"/>
          <w:color w:val="001F5F"/>
          <w:spacing w:val="-2"/>
          <w:sz w:val="24"/>
        </w:rPr>
        <w:t xml:space="preserve"> </w:t>
      </w:r>
      <w:r>
        <w:rPr>
          <w:rFonts w:ascii="Calibri" w:hAnsi="Calibri"/>
          <w:color w:val="001F5F"/>
          <w:sz w:val="24"/>
        </w:rPr>
        <w:t>da</w:t>
      </w:r>
      <w:r>
        <w:rPr>
          <w:rFonts w:ascii="Calibri" w:hAnsi="Calibri"/>
          <w:color w:val="001F5F"/>
          <w:spacing w:val="-5"/>
          <w:sz w:val="24"/>
        </w:rPr>
        <w:t xml:space="preserve"> </w:t>
      </w:r>
      <w:r>
        <w:rPr>
          <w:rFonts w:ascii="Calibri" w:hAnsi="Calibri"/>
          <w:color w:val="001F5F"/>
          <w:sz w:val="24"/>
        </w:rPr>
        <w:t>Auditoria</w:t>
      </w:r>
      <w:r>
        <w:rPr>
          <w:rFonts w:ascii="Calibri" w:hAnsi="Calibri"/>
          <w:color w:val="001F5F"/>
          <w:spacing w:val="-3"/>
          <w:sz w:val="24"/>
        </w:rPr>
        <w:t xml:space="preserve"> </w:t>
      </w:r>
      <w:r>
        <w:rPr>
          <w:rFonts w:ascii="Calibri" w:hAnsi="Calibri"/>
          <w:color w:val="001F5F"/>
          <w:sz w:val="24"/>
        </w:rPr>
        <w:t>Interna</w:t>
      </w:r>
      <w:r>
        <w:rPr>
          <w:rFonts w:ascii="Calibri" w:hAnsi="Calibri"/>
          <w:color w:val="001F5F"/>
          <w:spacing w:val="-3"/>
          <w:sz w:val="24"/>
        </w:rPr>
        <w:t xml:space="preserve"> </w:t>
      </w:r>
      <w:r>
        <w:rPr>
          <w:rFonts w:ascii="Calibri" w:hAnsi="Calibri"/>
          <w:color w:val="001F5F"/>
          <w:sz w:val="24"/>
        </w:rPr>
        <w:t>sobre os</w:t>
      </w:r>
      <w:r>
        <w:rPr>
          <w:rFonts w:ascii="Calibri" w:hAnsi="Calibri"/>
          <w:color w:val="001F5F"/>
          <w:spacing w:val="-2"/>
          <w:sz w:val="24"/>
        </w:rPr>
        <w:t xml:space="preserve"> </w:t>
      </w:r>
      <w:r>
        <w:rPr>
          <w:rFonts w:ascii="Calibri" w:hAnsi="Calibri"/>
          <w:color w:val="001F5F"/>
          <w:sz w:val="24"/>
        </w:rPr>
        <w:t>resultados</w:t>
      </w:r>
      <w:r>
        <w:rPr>
          <w:rFonts w:ascii="Calibri" w:hAnsi="Calibri"/>
          <w:color w:val="001F5F"/>
          <w:spacing w:val="-3"/>
          <w:sz w:val="24"/>
        </w:rPr>
        <w:t xml:space="preserve"> </w:t>
      </w:r>
      <w:r>
        <w:rPr>
          <w:rFonts w:ascii="Calibri" w:hAnsi="Calibri"/>
          <w:color w:val="001F5F"/>
          <w:sz w:val="24"/>
        </w:rPr>
        <w:t>de</w:t>
      </w:r>
      <w:r>
        <w:rPr>
          <w:rFonts w:ascii="Calibri" w:hAnsi="Calibri"/>
          <w:color w:val="001F5F"/>
          <w:spacing w:val="-2"/>
          <w:sz w:val="24"/>
        </w:rPr>
        <w:t xml:space="preserve"> </w:t>
      </w:r>
      <w:r>
        <w:rPr>
          <w:rFonts w:ascii="Calibri" w:hAnsi="Calibri"/>
          <w:color w:val="001F5F"/>
          <w:sz w:val="24"/>
        </w:rPr>
        <w:t>suas</w:t>
      </w:r>
      <w:r>
        <w:rPr>
          <w:rFonts w:ascii="Calibri" w:hAnsi="Calibri"/>
          <w:color w:val="001F5F"/>
          <w:spacing w:val="-3"/>
          <w:sz w:val="24"/>
        </w:rPr>
        <w:t xml:space="preserve"> </w:t>
      </w:r>
      <w:r>
        <w:rPr>
          <w:rFonts w:ascii="Calibri" w:hAnsi="Calibri"/>
          <w:color w:val="001F5F"/>
          <w:sz w:val="24"/>
        </w:rPr>
        <w:t>atividades,</w:t>
      </w:r>
      <w:r>
        <w:rPr>
          <w:rFonts w:ascii="Calibri" w:hAnsi="Calibri"/>
          <w:color w:val="001F5F"/>
          <w:spacing w:val="-2"/>
          <w:sz w:val="24"/>
        </w:rPr>
        <w:t xml:space="preserve"> </w:t>
      </w:r>
      <w:r>
        <w:rPr>
          <w:rFonts w:ascii="Calibri" w:hAnsi="Calibri"/>
          <w:color w:val="001F5F"/>
          <w:sz w:val="24"/>
        </w:rPr>
        <w:t>incluindo</w:t>
      </w:r>
      <w:r>
        <w:rPr>
          <w:rFonts w:ascii="Calibri" w:hAnsi="Calibri"/>
          <w:color w:val="001F5F"/>
          <w:spacing w:val="-2"/>
          <w:sz w:val="24"/>
        </w:rPr>
        <w:t xml:space="preserve"> </w:t>
      </w:r>
      <w:r>
        <w:rPr>
          <w:rFonts w:ascii="Calibri" w:hAnsi="Calibri"/>
          <w:color w:val="001F5F"/>
          <w:sz w:val="24"/>
        </w:rPr>
        <w:t>as</w:t>
      </w:r>
      <w:r>
        <w:rPr>
          <w:rFonts w:ascii="Calibri" w:hAnsi="Calibri"/>
          <w:color w:val="001F5F"/>
          <w:spacing w:val="-3"/>
          <w:sz w:val="24"/>
        </w:rPr>
        <w:t xml:space="preserve"> </w:t>
      </w:r>
      <w:r>
        <w:rPr>
          <w:rFonts w:ascii="Calibri" w:hAnsi="Calibri"/>
          <w:color w:val="001F5F"/>
          <w:sz w:val="24"/>
        </w:rPr>
        <w:t>respostas da Diretoria às recomendações feitas sobre controles e inconformidades.</w:t>
      </w:r>
    </w:p>
    <w:p w14:paraId="3826F005" w14:textId="77777777" w:rsidR="002C6574" w:rsidRDefault="002C6574">
      <w:pPr>
        <w:pStyle w:val="Corpodetexto"/>
        <w:spacing w:before="2"/>
        <w:rPr>
          <w:rFonts w:ascii="Calibri"/>
          <w:sz w:val="24"/>
        </w:rPr>
      </w:pPr>
    </w:p>
    <w:p w14:paraId="48D2BA5F" w14:textId="77777777" w:rsidR="002C6574" w:rsidRDefault="00000000">
      <w:pPr>
        <w:pStyle w:val="Ttulo8"/>
        <w:numPr>
          <w:ilvl w:val="0"/>
          <w:numId w:val="1"/>
        </w:numPr>
        <w:tabs>
          <w:tab w:val="left" w:pos="2553"/>
        </w:tabs>
        <w:ind w:left="2553" w:hanging="804"/>
      </w:pPr>
      <w:bookmarkStart w:id="9" w:name="_bookmark9"/>
      <w:bookmarkEnd w:id="9"/>
      <w:r>
        <w:rPr>
          <w:color w:val="001F5F"/>
        </w:rPr>
        <w:t>Gestão</w:t>
      </w:r>
      <w:r>
        <w:rPr>
          <w:color w:val="001F5F"/>
          <w:spacing w:val="-2"/>
        </w:rPr>
        <w:t xml:space="preserve"> </w:t>
      </w:r>
      <w:r>
        <w:rPr>
          <w:color w:val="001F5F"/>
        </w:rPr>
        <w:t>de</w:t>
      </w:r>
      <w:r>
        <w:rPr>
          <w:color w:val="001F5F"/>
          <w:spacing w:val="-3"/>
        </w:rPr>
        <w:t xml:space="preserve"> </w:t>
      </w:r>
      <w:r>
        <w:rPr>
          <w:color w:val="001F5F"/>
        </w:rPr>
        <w:t>Riscos,</w:t>
      </w:r>
      <w:r>
        <w:rPr>
          <w:color w:val="001F5F"/>
          <w:spacing w:val="-2"/>
        </w:rPr>
        <w:t xml:space="preserve"> </w:t>
      </w:r>
      <w:r>
        <w:rPr>
          <w:color w:val="001F5F"/>
        </w:rPr>
        <w:t>Controles</w:t>
      </w:r>
      <w:r>
        <w:rPr>
          <w:color w:val="001F5F"/>
          <w:spacing w:val="-2"/>
        </w:rPr>
        <w:t xml:space="preserve"> </w:t>
      </w:r>
      <w:r>
        <w:rPr>
          <w:color w:val="001F5F"/>
        </w:rPr>
        <w:t>e</w:t>
      </w:r>
      <w:r>
        <w:rPr>
          <w:color w:val="001F5F"/>
          <w:spacing w:val="-3"/>
        </w:rPr>
        <w:t xml:space="preserve"> </w:t>
      </w:r>
      <w:r>
        <w:rPr>
          <w:color w:val="001F5F"/>
          <w:spacing w:val="-2"/>
        </w:rPr>
        <w:t>Conformidade</w:t>
      </w:r>
    </w:p>
    <w:p w14:paraId="57449E16" w14:textId="77777777" w:rsidR="002C6574" w:rsidRDefault="002C6574">
      <w:pPr>
        <w:pStyle w:val="Corpodetexto"/>
        <w:rPr>
          <w:rFonts w:ascii="Calibri"/>
          <w:b/>
          <w:sz w:val="24"/>
        </w:rPr>
      </w:pPr>
    </w:p>
    <w:p w14:paraId="7E718815" w14:textId="77777777" w:rsidR="002C6574" w:rsidRDefault="00000000">
      <w:pPr>
        <w:ind w:left="1277" w:right="1278" w:firstLine="331"/>
        <w:jc w:val="both"/>
        <w:rPr>
          <w:rFonts w:ascii="Calibri" w:hAnsi="Calibri"/>
          <w:sz w:val="24"/>
        </w:rPr>
      </w:pPr>
      <w:r>
        <w:rPr>
          <w:rFonts w:ascii="Calibri" w:hAnsi="Calibri"/>
          <w:color w:val="001F5F"/>
          <w:sz w:val="24"/>
        </w:rPr>
        <w:t>O Comitê acompanhou e monitorou a qualidade dos controles internos, da conformidade</w:t>
      </w:r>
      <w:r>
        <w:rPr>
          <w:rFonts w:ascii="Calibri" w:hAnsi="Calibri"/>
          <w:color w:val="001F5F"/>
          <w:spacing w:val="-10"/>
          <w:sz w:val="24"/>
        </w:rPr>
        <w:t xml:space="preserve"> </w:t>
      </w:r>
      <w:r>
        <w:rPr>
          <w:rFonts w:ascii="Calibri" w:hAnsi="Calibri"/>
          <w:color w:val="001F5F"/>
          <w:sz w:val="24"/>
        </w:rPr>
        <w:t>e</w:t>
      </w:r>
      <w:r>
        <w:rPr>
          <w:rFonts w:ascii="Calibri" w:hAnsi="Calibri"/>
          <w:color w:val="001F5F"/>
          <w:spacing w:val="-12"/>
          <w:sz w:val="24"/>
        </w:rPr>
        <w:t xml:space="preserve"> </w:t>
      </w:r>
      <w:r>
        <w:rPr>
          <w:rFonts w:ascii="Calibri" w:hAnsi="Calibri"/>
          <w:color w:val="001F5F"/>
          <w:sz w:val="24"/>
        </w:rPr>
        <w:t>do</w:t>
      </w:r>
      <w:r>
        <w:rPr>
          <w:rFonts w:ascii="Calibri" w:hAnsi="Calibri"/>
          <w:color w:val="001F5F"/>
          <w:spacing w:val="-12"/>
          <w:sz w:val="24"/>
        </w:rPr>
        <w:t xml:space="preserve"> </w:t>
      </w:r>
      <w:r>
        <w:rPr>
          <w:rFonts w:ascii="Calibri" w:hAnsi="Calibri"/>
          <w:color w:val="001F5F"/>
          <w:sz w:val="24"/>
        </w:rPr>
        <w:t>gerenciamento</w:t>
      </w:r>
      <w:r>
        <w:rPr>
          <w:rFonts w:ascii="Calibri" w:hAnsi="Calibri"/>
          <w:color w:val="001F5F"/>
          <w:spacing w:val="-12"/>
          <w:sz w:val="24"/>
        </w:rPr>
        <w:t xml:space="preserve"> </w:t>
      </w:r>
      <w:r>
        <w:rPr>
          <w:rFonts w:ascii="Calibri" w:hAnsi="Calibri"/>
          <w:color w:val="001F5F"/>
          <w:sz w:val="24"/>
        </w:rPr>
        <w:t>de</w:t>
      </w:r>
      <w:r>
        <w:rPr>
          <w:rFonts w:ascii="Calibri" w:hAnsi="Calibri"/>
          <w:color w:val="001F5F"/>
          <w:spacing w:val="-10"/>
          <w:sz w:val="24"/>
        </w:rPr>
        <w:t xml:space="preserve"> </w:t>
      </w:r>
      <w:r>
        <w:rPr>
          <w:rFonts w:ascii="Calibri" w:hAnsi="Calibri"/>
          <w:color w:val="001F5F"/>
          <w:sz w:val="24"/>
        </w:rPr>
        <w:t>riscos,</w:t>
      </w:r>
      <w:r>
        <w:rPr>
          <w:rFonts w:ascii="Calibri" w:hAnsi="Calibri"/>
          <w:color w:val="001F5F"/>
          <w:spacing w:val="-10"/>
          <w:sz w:val="24"/>
        </w:rPr>
        <w:t xml:space="preserve"> </w:t>
      </w:r>
      <w:r>
        <w:rPr>
          <w:rFonts w:ascii="Calibri" w:hAnsi="Calibri"/>
          <w:color w:val="001F5F"/>
          <w:sz w:val="24"/>
        </w:rPr>
        <w:t>recomendando</w:t>
      </w:r>
      <w:r>
        <w:rPr>
          <w:rFonts w:ascii="Calibri" w:hAnsi="Calibri"/>
          <w:color w:val="001F5F"/>
          <w:spacing w:val="-10"/>
          <w:sz w:val="24"/>
        </w:rPr>
        <w:t xml:space="preserve"> </w:t>
      </w:r>
      <w:r>
        <w:rPr>
          <w:rFonts w:ascii="Calibri" w:hAnsi="Calibri"/>
          <w:color w:val="001F5F"/>
          <w:sz w:val="24"/>
        </w:rPr>
        <w:t>ações</w:t>
      </w:r>
      <w:r>
        <w:rPr>
          <w:rFonts w:ascii="Calibri" w:hAnsi="Calibri"/>
          <w:color w:val="001F5F"/>
          <w:spacing w:val="-12"/>
          <w:sz w:val="24"/>
        </w:rPr>
        <w:t xml:space="preserve"> </w:t>
      </w:r>
      <w:r>
        <w:rPr>
          <w:rFonts w:ascii="Calibri" w:hAnsi="Calibri"/>
          <w:color w:val="001F5F"/>
          <w:sz w:val="24"/>
        </w:rPr>
        <w:t>para</w:t>
      </w:r>
      <w:r>
        <w:rPr>
          <w:rFonts w:ascii="Calibri" w:hAnsi="Calibri"/>
          <w:color w:val="001F5F"/>
          <w:spacing w:val="-11"/>
          <w:sz w:val="24"/>
        </w:rPr>
        <w:t xml:space="preserve"> </w:t>
      </w:r>
      <w:r>
        <w:rPr>
          <w:rFonts w:ascii="Calibri" w:hAnsi="Calibri"/>
          <w:color w:val="001F5F"/>
          <w:sz w:val="24"/>
        </w:rPr>
        <w:t>reduzir</w:t>
      </w:r>
      <w:r>
        <w:rPr>
          <w:rFonts w:ascii="Calibri" w:hAnsi="Calibri"/>
          <w:color w:val="001F5F"/>
          <w:spacing w:val="-10"/>
          <w:sz w:val="24"/>
        </w:rPr>
        <w:t xml:space="preserve"> </w:t>
      </w:r>
      <w:r>
        <w:rPr>
          <w:rFonts w:ascii="Calibri" w:hAnsi="Calibri"/>
          <w:color w:val="001F5F"/>
          <w:sz w:val="24"/>
        </w:rPr>
        <w:t>os</w:t>
      </w:r>
      <w:r>
        <w:rPr>
          <w:rFonts w:ascii="Calibri" w:hAnsi="Calibri"/>
          <w:color w:val="001F5F"/>
          <w:spacing w:val="-12"/>
          <w:sz w:val="24"/>
        </w:rPr>
        <w:t xml:space="preserve"> </w:t>
      </w:r>
      <w:r>
        <w:rPr>
          <w:rFonts w:ascii="Calibri" w:hAnsi="Calibri"/>
          <w:color w:val="001F5F"/>
          <w:sz w:val="24"/>
        </w:rPr>
        <w:t>riscos</w:t>
      </w:r>
      <w:r>
        <w:rPr>
          <w:rFonts w:ascii="Calibri" w:hAnsi="Calibri"/>
          <w:color w:val="001F5F"/>
          <w:spacing w:val="-10"/>
          <w:sz w:val="24"/>
        </w:rPr>
        <w:t xml:space="preserve"> </w:t>
      </w:r>
      <w:r>
        <w:rPr>
          <w:rFonts w:ascii="Calibri" w:hAnsi="Calibri"/>
          <w:color w:val="001F5F"/>
          <w:sz w:val="24"/>
        </w:rPr>
        <w:t>da Companhia e aumentar os controles internos.</w:t>
      </w:r>
    </w:p>
    <w:p w14:paraId="647E8284" w14:textId="77777777" w:rsidR="002C6574" w:rsidRDefault="00000000">
      <w:pPr>
        <w:pStyle w:val="Ttulo8"/>
        <w:numPr>
          <w:ilvl w:val="0"/>
          <w:numId w:val="1"/>
        </w:numPr>
        <w:tabs>
          <w:tab w:val="left" w:pos="2409"/>
        </w:tabs>
        <w:spacing w:before="292"/>
        <w:ind w:left="2409" w:hanging="566"/>
      </w:pPr>
      <w:bookmarkStart w:id="10" w:name="_bookmark10"/>
      <w:bookmarkEnd w:id="10"/>
      <w:r>
        <w:rPr>
          <w:color w:val="001F5F"/>
        </w:rPr>
        <w:t>Canal</w:t>
      </w:r>
      <w:r>
        <w:rPr>
          <w:color w:val="001F5F"/>
          <w:spacing w:val="-1"/>
        </w:rPr>
        <w:t xml:space="preserve"> </w:t>
      </w:r>
      <w:r>
        <w:rPr>
          <w:color w:val="001F5F"/>
        </w:rPr>
        <w:t>de</w:t>
      </w:r>
      <w:r>
        <w:rPr>
          <w:color w:val="001F5F"/>
          <w:spacing w:val="-1"/>
        </w:rPr>
        <w:t xml:space="preserve"> </w:t>
      </w:r>
      <w:r>
        <w:rPr>
          <w:color w:val="001F5F"/>
          <w:spacing w:val="-2"/>
        </w:rPr>
        <w:t>Denúncia</w:t>
      </w:r>
    </w:p>
    <w:p w14:paraId="6461E994" w14:textId="77777777" w:rsidR="002C6574" w:rsidRDefault="002C6574">
      <w:pPr>
        <w:pStyle w:val="Corpodetexto"/>
        <w:spacing w:before="156"/>
        <w:rPr>
          <w:rFonts w:ascii="Calibri"/>
          <w:b/>
          <w:sz w:val="24"/>
        </w:rPr>
      </w:pPr>
    </w:p>
    <w:p w14:paraId="1B4AB4A0" w14:textId="77777777" w:rsidR="002C6574" w:rsidRDefault="00000000">
      <w:pPr>
        <w:ind w:left="1277" w:right="1274" w:firstLine="331"/>
        <w:jc w:val="both"/>
        <w:rPr>
          <w:rFonts w:ascii="Calibri" w:hAnsi="Calibri"/>
          <w:sz w:val="24"/>
        </w:rPr>
      </w:pPr>
      <w:r>
        <w:rPr>
          <w:rFonts w:ascii="Calibri" w:hAnsi="Calibri"/>
          <w:color w:val="001F5F"/>
          <w:sz w:val="24"/>
        </w:rPr>
        <w:t>Respeitando as legislações vigentes e o Regimento Interno do COAUD, o canal de denúncias está sendo monitorado.</w:t>
      </w:r>
      <w:r>
        <w:rPr>
          <w:rFonts w:ascii="Calibri" w:hAnsi="Calibri"/>
          <w:color w:val="001F5F"/>
          <w:spacing w:val="40"/>
          <w:sz w:val="24"/>
        </w:rPr>
        <w:t xml:space="preserve"> </w:t>
      </w:r>
      <w:r>
        <w:rPr>
          <w:rFonts w:ascii="Calibri" w:hAnsi="Calibri"/>
          <w:color w:val="001F5F"/>
          <w:sz w:val="24"/>
        </w:rPr>
        <w:t>Os interessados podem encaminhar denúncias, inclusive sigilosas, internas e externas à Companhia, em matérias relacionadas ao escopo de suas atividades. Em 2025 o Comitê não recebeu denúncia.</w:t>
      </w:r>
    </w:p>
    <w:p w14:paraId="1C001A25" w14:textId="77777777" w:rsidR="002C6574" w:rsidRDefault="002C6574">
      <w:pPr>
        <w:jc w:val="both"/>
        <w:rPr>
          <w:rFonts w:ascii="Calibri" w:hAnsi="Calibri"/>
          <w:sz w:val="24"/>
        </w:rPr>
        <w:sectPr w:rsidR="002C6574">
          <w:pgSz w:w="12240" w:h="15840"/>
          <w:pgMar w:top="900" w:right="425" w:bottom="1220" w:left="425" w:header="674" w:footer="1036" w:gutter="0"/>
          <w:cols w:space="720"/>
        </w:sectPr>
      </w:pPr>
    </w:p>
    <w:p w14:paraId="4AF7C3E0" w14:textId="77777777" w:rsidR="002C6574" w:rsidRDefault="00000000">
      <w:pPr>
        <w:pStyle w:val="Ttulo8"/>
        <w:tabs>
          <w:tab w:val="left" w:pos="1708"/>
        </w:tabs>
        <w:spacing w:before="280"/>
        <w:ind w:left="1277"/>
      </w:pPr>
      <w:bookmarkStart w:id="11" w:name="_bookmark11"/>
      <w:bookmarkEnd w:id="11"/>
      <w:r>
        <w:rPr>
          <w:color w:val="001F5F"/>
          <w:spacing w:val="-10"/>
          <w:sz w:val="28"/>
        </w:rPr>
        <w:lastRenderedPageBreak/>
        <w:t>5</w:t>
      </w:r>
      <w:r>
        <w:rPr>
          <w:color w:val="001F5F"/>
          <w:sz w:val="28"/>
        </w:rPr>
        <w:tab/>
      </w:r>
      <w:r>
        <w:rPr>
          <w:color w:val="001F5F"/>
          <w:spacing w:val="-2"/>
        </w:rPr>
        <w:t>Conclusão</w:t>
      </w:r>
    </w:p>
    <w:p w14:paraId="1E223853" w14:textId="77777777" w:rsidR="002C6574" w:rsidRDefault="00000000">
      <w:pPr>
        <w:spacing w:before="283"/>
        <w:ind w:left="1277" w:right="1280" w:firstLine="359"/>
        <w:jc w:val="both"/>
        <w:rPr>
          <w:rFonts w:ascii="Calibri" w:hAnsi="Calibri"/>
          <w:sz w:val="24"/>
        </w:rPr>
      </w:pPr>
      <w:r>
        <w:rPr>
          <w:rFonts w:ascii="Calibri" w:hAnsi="Calibri"/>
          <w:color w:val="001F5F"/>
          <w:sz w:val="24"/>
        </w:rPr>
        <w:t xml:space="preserve">O Comitê desenvolveu os trabalhos com total autonomia e sem interferência dos administradores da Telebras, apresentou recomendações para o aperfeiçoamento de processos e procedeu ao acompanhamento das implementações de melhorias recomendadas pelas auditorias interna e independente, apontadas no curso dos seus </w:t>
      </w:r>
      <w:r>
        <w:rPr>
          <w:rFonts w:ascii="Calibri" w:hAnsi="Calibri"/>
          <w:color w:val="001F5F"/>
          <w:spacing w:val="-2"/>
          <w:sz w:val="24"/>
        </w:rPr>
        <w:t>trabalhos.</w:t>
      </w:r>
    </w:p>
    <w:p w14:paraId="21D79ABA" w14:textId="77777777" w:rsidR="002C6574" w:rsidRDefault="002C6574">
      <w:pPr>
        <w:pStyle w:val="Corpodetexto"/>
        <w:spacing w:before="1"/>
        <w:rPr>
          <w:rFonts w:ascii="Calibri"/>
          <w:sz w:val="24"/>
        </w:rPr>
      </w:pPr>
    </w:p>
    <w:p w14:paraId="67578B7D" w14:textId="77777777" w:rsidR="002C6574" w:rsidRDefault="00000000">
      <w:pPr>
        <w:ind w:left="1272" w:right="1280" w:firstLine="364"/>
        <w:jc w:val="both"/>
        <w:rPr>
          <w:rFonts w:ascii="Calibri" w:hAnsi="Calibri"/>
          <w:sz w:val="24"/>
        </w:rPr>
      </w:pPr>
      <w:r>
        <w:rPr>
          <w:rFonts w:ascii="Calibri" w:hAnsi="Calibri"/>
          <w:color w:val="001F5F"/>
          <w:sz w:val="24"/>
        </w:rPr>
        <w:t>Nos trabalhos realizados pela auditoria interna não foram apontadas falhas no cumprimento da legislação vigente e das normas internas, cuja gravidade pudesse colocar em risco a continuidade da Empresa.</w:t>
      </w:r>
    </w:p>
    <w:p w14:paraId="248F23E9" w14:textId="77777777" w:rsidR="002C6574" w:rsidRDefault="002C6574">
      <w:pPr>
        <w:pStyle w:val="Corpodetexto"/>
        <w:rPr>
          <w:rFonts w:ascii="Calibri"/>
          <w:sz w:val="24"/>
        </w:rPr>
      </w:pPr>
    </w:p>
    <w:p w14:paraId="226171E5" w14:textId="77777777" w:rsidR="002C6574" w:rsidRDefault="00000000">
      <w:pPr>
        <w:ind w:left="1272" w:right="1270" w:firstLine="364"/>
        <w:jc w:val="both"/>
        <w:rPr>
          <w:rFonts w:ascii="Calibri" w:hAnsi="Calibri"/>
          <w:sz w:val="24"/>
        </w:rPr>
      </w:pPr>
      <w:r>
        <w:rPr>
          <w:rFonts w:ascii="Calibri" w:hAnsi="Calibri"/>
          <w:color w:val="001F5F"/>
          <w:sz w:val="24"/>
        </w:rPr>
        <w:t>O</w:t>
      </w:r>
      <w:r>
        <w:rPr>
          <w:rFonts w:ascii="Calibri" w:hAnsi="Calibri"/>
          <w:color w:val="001F5F"/>
          <w:spacing w:val="-14"/>
          <w:sz w:val="24"/>
        </w:rPr>
        <w:t xml:space="preserve"> </w:t>
      </w:r>
      <w:r>
        <w:rPr>
          <w:rFonts w:ascii="Calibri" w:hAnsi="Calibri"/>
          <w:color w:val="001F5F"/>
          <w:sz w:val="24"/>
        </w:rPr>
        <w:t>Comitê</w:t>
      </w:r>
      <w:r>
        <w:rPr>
          <w:rFonts w:ascii="Calibri" w:hAnsi="Calibri"/>
          <w:color w:val="001F5F"/>
          <w:spacing w:val="-14"/>
          <w:sz w:val="24"/>
        </w:rPr>
        <w:t xml:space="preserve"> </w:t>
      </w:r>
      <w:r>
        <w:rPr>
          <w:rFonts w:ascii="Calibri" w:hAnsi="Calibri"/>
          <w:color w:val="001F5F"/>
          <w:sz w:val="24"/>
        </w:rPr>
        <w:t>procedeu</w:t>
      </w:r>
      <w:r>
        <w:rPr>
          <w:rFonts w:ascii="Calibri" w:hAnsi="Calibri"/>
          <w:color w:val="001F5F"/>
          <w:spacing w:val="-13"/>
          <w:sz w:val="24"/>
        </w:rPr>
        <w:t xml:space="preserve"> </w:t>
      </w:r>
      <w:r>
        <w:rPr>
          <w:rFonts w:ascii="Calibri" w:hAnsi="Calibri"/>
          <w:color w:val="001F5F"/>
          <w:sz w:val="24"/>
        </w:rPr>
        <w:t>à</w:t>
      </w:r>
      <w:r>
        <w:rPr>
          <w:rFonts w:ascii="Calibri" w:hAnsi="Calibri"/>
          <w:color w:val="001F5F"/>
          <w:spacing w:val="-13"/>
          <w:sz w:val="24"/>
        </w:rPr>
        <w:t xml:space="preserve"> </w:t>
      </w:r>
      <w:r>
        <w:rPr>
          <w:rFonts w:ascii="Calibri" w:hAnsi="Calibri"/>
          <w:color w:val="001F5F"/>
          <w:sz w:val="24"/>
        </w:rPr>
        <w:t>apreciação</w:t>
      </w:r>
      <w:r>
        <w:rPr>
          <w:rFonts w:ascii="Calibri" w:hAnsi="Calibri"/>
          <w:color w:val="001F5F"/>
          <w:spacing w:val="-14"/>
          <w:sz w:val="24"/>
        </w:rPr>
        <w:t xml:space="preserve"> </w:t>
      </w:r>
      <w:r>
        <w:rPr>
          <w:rFonts w:ascii="Calibri" w:hAnsi="Calibri"/>
          <w:color w:val="001F5F"/>
          <w:sz w:val="24"/>
        </w:rPr>
        <w:t>da</w:t>
      </w:r>
      <w:r>
        <w:rPr>
          <w:rFonts w:ascii="Calibri" w:hAnsi="Calibri"/>
          <w:color w:val="001F5F"/>
          <w:spacing w:val="-13"/>
          <w:sz w:val="24"/>
        </w:rPr>
        <w:t xml:space="preserve"> </w:t>
      </w:r>
      <w:r>
        <w:rPr>
          <w:rFonts w:ascii="Calibri" w:hAnsi="Calibri"/>
          <w:color w:val="001F5F"/>
          <w:sz w:val="24"/>
        </w:rPr>
        <w:t>proposta</w:t>
      </w:r>
      <w:r>
        <w:rPr>
          <w:rFonts w:ascii="Calibri" w:hAnsi="Calibri"/>
          <w:color w:val="001F5F"/>
          <w:spacing w:val="-14"/>
          <w:sz w:val="24"/>
        </w:rPr>
        <w:t xml:space="preserve"> </w:t>
      </w:r>
      <w:r>
        <w:rPr>
          <w:rFonts w:ascii="Calibri" w:hAnsi="Calibri"/>
          <w:color w:val="001F5F"/>
          <w:sz w:val="24"/>
        </w:rPr>
        <w:t>do</w:t>
      </w:r>
      <w:r>
        <w:rPr>
          <w:rFonts w:ascii="Calibri" w:hAnsi="Calibri"/>
          <w:color w:val="001F5F"/>
          <w:spacing w:val="-13"/>
          <w:sz w:val="24"/>
        </w:rPr>
        <w:t xml:space="preserve"> </w:t>
      </w:r>
      <w:r>
        <w:rPr>
          <w:rFonts w:ascii="Calibri" w:hAnsi="Calibri"/>
          <w:color w:val="001F5F"/>
          <w:sz w:val="24"/>
        </w:rPr>
        <w:t>Plano</w:t>
      </w:r>
      <w:r>
        <w:rPr>
          <w:rFonts w:ascii="Calibri" w:hAnsi="Calibri"/>
          <w:color w:val="001F5F"/>
          <w:spacing w:val="-14"/>
          <w:sz w:val="24"/>
        </w:rPr>
        <w:t xml:space="preserve"> </w:t>
      </w:r>
      <w:r>
        <w:rPr>
          <w:rFonts w:ascii="Calibri" w:hAnsi="Calibri"/>
          <w:color w:val="001F5F"/>
          <w:sz w:val="24"/>
        </w:rPr>
        <w:t>Anual</w:t>
      </w:r>
      <w:r>
        <w:rPr>
          <w:rFonts w:ascii="Calibri" w:hAnsi="Calibri"/>
          <w:color w:val="001F5F"/>
          <w:spacing w:val="-13"/>
          <w:sz w:val="24"/>
        </w:rPr>
        <w:t xml:space="preserve"> </w:t>
      </w:r>
      <w:r>
        <w:rPr>
          <w:rFonts w:ascii="Calibri" w:hAnsi="Calibri"/>
          <w:color w:val="001F5F"/>
          <w:sz w:val="24"/>
        </w:rPr>
        <w:t>de</w:t>
      </w:r>
      <w:r>
        <w:rPr>
          <w:rFonts w:ascii="Calibri" w:hAnsi="Calibri"/>
          <w:color w:val="001F5F"/>
          <w:spacing w:val="-14"/>
          <w:sz w:val="24"/>
        </w:rPr>
        <w:t xml:space="preserve"> </w:t>
      </w:r>
      <w:r>
        <w:rPr>
          <w:rFonts w:ascii="Calibri" w:hAnsi="Calibri"/>
          <w:color w:val="001F5F"/>
          <w:sz w:val="24"/>
        </w:rPr>
        <w:t>Auditoria</w:t>
      </w:r>
      <w:r>
        <w:rPr>
          <w:rFonts w:ascii="Calibri" w:hAnsi="Calibri"/>
          <w:color w:val="001F5F"/>
          <w:spacing w:val="-13"/>
          <w:sz w:val="24"/>
        </w:rPr>
        <w:t xml:space="preserve"> </w:t>
      </w:r>
      <w:r>
        <w:rPr>
          <w:rFonts w:ascii="Calibri" w:hAnsi="Calibri"/>
          <w:color w:val="001F5F"/>
          <w:sz w:val="24"/>
        </w:rPr>
        <w:t>Interna</w:t>
      </w:r>
      <w:r>
        <w:rPr>
          <w:rFonts w:ascii="Calibri" w:hAnsi="Calibri"/>
          <w:color w:val="001F5F"/>
          <w:spacing w:val="-7"/>
          <w:sz w:val="24"/>
        </w:rPr>
        <w:t xml:space="preserve"> </w:t>
      </w:r>
      <w:r>
        <w:rPr>
          <w:rFonts w:ascii="Calibri" w:hAnsi="Calibri"/>
          <w:color w:val="001F5F"/>
          <w:sz w:val="24"/>
        </w:rPr>
        <w:t>-</w:t>
      </w:r>
      <w:r>
        <w:rPr>
          <w:rFonts w:ascii="Calibri" w:hAnsi="Calibri"/>
          <w:color w:val="001F5F"/>
          <w:spacing w:val="-14"/>
          <w:sz w:val="24"/>
        </w:rPr>
        <w:t xml:space="preserve"> </w:t>
      </w:r>
      <w:r>
        <w:rPr>
          <w:rFonts w:ascii="Calibri" w:hAnsi="Calibri"/>
          <w:color w:val="001F5F"/>
          <w:sz w:val="24"/>
        </w:rPr>
        <w:t>2026 e o recomendou à aprovação pelo Conselho de Administração.</w:t>
      </w:r>
    </w:p>
    <w:p w14:paraId="0F5B2647" w14:textId="77777777" w:rsidR="002C6574" w:rsidRDefault="00000000">
      <w:pPr>
        <w:spacing w:before="292"/>
        <w:ind w:left="1272" w:right="1281" w:firstLine="364"/>
        <w:jc w:val="both"/>
        <w:rPr>
          <w:rFonts w:ascii="Calibri" w:hAnsi="Calibri"/>
          <w:sz w:val="24"/>
        </w:rPr>
      </w:pPr>
      <w:r>
        <w:rPr>
          <w:rFonts w:ascii="Calibri" w:hAnsi="Calibri"/>
          <w:color w:val="001F5F"/>
          <w:sz w:val="24"/>
        </w:rPr>
        <w:t>Foram realizadas reuniões com os auditores independentes (externos), para planejamento e resultados dos trabalhos visando à elaboração das Demonstrações Contábeis de 2025.</w:t>
      </w:r>
    </w:p>
    <w:p w14:paraId="36D81B3B" w14:textId="77777777" w:rsidR="002C6574" w:rsidRDefault="00000000">
      <w:pPr>
        <w:spacing w:before="293"/>
        <w:ind w:left="1272" w:right="1282" w:firstLine="364"/>
        <w:jc w:val="both"/>
        <w:rPr>
          <w:rFonts w:ascii="Calibri" w:hAnsi="Calibri"/>
          <w:sz w:val="24"/>
        </w:rPr>
      </w:pPr>
      <w:r>
        <w:rPr>
          <w:rFonts w:ascii="Calibri" w:hAnsi="Calibri"/>
          <w:color w:val="001F5F"/>
          <w:sz w:val="24"/>
        </w:rPr>
        <w:t>O Comitê de Auditoria não recebeu, até o fechamento deste relatório, registro de qualquer</w:t>
      </w:r>
      <w:r>
        <w:rPr>
          <w:rFonts w:ascii="Calibri" w:hAnsi="Calibri"/>
          <w:color w:val="001F5F"/>
          <w:spacing w:val="-1"/>
          <w:sz w:val="24"/>
        </w:rPr>
        <w:t xml:space="preserve"> </w:t>
      </w:r>
      <w:r>
        <w:rPr>
          <w:rFonts w:ascii="Calibri" w:hAnsi="Calibri"/>
          <w:color w:val="001F5F"/>
          <w:sz w:val="24"/>
        </w:rPr>
        <w:t>denúncia de descumprimento</w:t>
      </w:r>
      <w:r>
        <w:rPr>
          <w:rFonts w:ascii="Calibri" w:hAnsi="Calibri"/>
          <w:color w:val="001F5F"/>
          <w:spacing w:val="-1"/>
          <w:sz w:val="24"/>
        </w:rPr>
        <w:t xml:space="preserve"> </w:t>
      </w:r>
      <w:r>
        <w:rPr>
          <w:rFonts w:ascii="Calibri" w:hAnsi="Calibri"/>
          <w:color w:val="001F5F"/>
          <w:sz w:val="24"/>
        </w:rPr>
        <w:t>de normas, ausência de controles, ato ou omissão por parte da Administração da Telebras que indicasse a existência de fraudes, falhas ou erros que colocassem em risco a continuidade da Instituição ou a fidedignidade das demonstrações contábeis.</w:t>
      </w:r>
    </w:p>
    <w:p w14:paraId="1B996B12" w14:textId="77777777" w:rsidR="002C6574" w:rsidRDefault="002C6574">
      <w:pPr>
        <w:pStyle w:val="Corpodetexto"/>
        <w:spacing w:before="1"/>
        <w:rPr>
          <w:rFonts w:ascii="Calibri"/>
          <w:sz w:val="24"/>
        </w:rPr>
      </w:pPr>
    </w:p>
    <w:p w14:paraId="67AD53B3" w14:textId="77777777" w:rsidR="002C6574" w:rsidRDefault="00000000">
      <w:pPr>
        <w:ind w:left="1272" w:right="1272" w:firstLine="364"/>
        <w:jc w:val="both"/>
        <w:rPr>
          <w:rFonts w:ascii="Calibri" w:hAnsi="Calibri"/>
          <w:sz w:val="24"/>
        </w:rPr>
      </w:pPr>
      <w:r>
        <w:rPr>
          <w:rFonts w:ascii="Calibri" w:hAnsi="Calibri"/>
          <w:color w:val="001F5F"/>
          <w:sz w:val="24"/>
        </w:rPr>
        <w:t>Com base nas considerações acima, o Comitê de Auditoria Estatutário - COAUD, ponderadas devidamente suas responsabilidades e as limitações naturais decorrentes do escopo</w:t>
      </w:r>
      <w:r>
        <w:rPr>
          <w:rFonts w:ascii="Calibri" w:hAnsi="Calibri"/>
          <w:color w:val="001F5F"/>
          <w:spacing w:val="-11"/>
          <w:sz w:val="24"/>
        </w:rPr>
        <w:t xml:space="preserve"> </w:t>
      </w:r>
      <w:r>
        <w:rPr>
          <w:rFonts w:ascii="Calibri" w:hAnsi="Calibri"/>
          <w:color w:val="001F5F"/>
          <w:sz w:val="24"/>
        </w:rPr>
        <w:t>da</w:t>
      </w:r>
      <w:r>
        <w:rPr>
          <w:rFonts w:ascii="Calibri" w:hAnsi="Calibri"/>
          <w:color w:val="001F5F"/>
          <w:spacing w:val="-11"/>
          <w:sz w:val="24"/>
        </w:rPr>
        <w:t xml:space="preserve"> </w:t>
      </w:r>
      <w:r>
        <w:rPr>
          <w:rFonts w:ascii="Calibri" w:hAnsi="Calibri"/>
          <w:color w:val="001F5F"/>
          <w:sz w:val="24"/>
        </w:rPr>
        <w:t>sua</w:t>
      </w:r>
      <w:r>
        <w:rPr>
          <w:rFonts w:ascii="Calibri" w:hAnsi="Calibri"/>
          <w:color w:val="001F5F"/>
          <w:spacing w:val="-11"/>
          <w:sz w:val="24"/>
        </w:rPr>
        <w:t xml:space="preserve"> </w:t>
      </w:r>
      <w:r>
        <w:rPr>
          <w:rFonts w:ascii="Calibri" w:hAnsi="Calibri"/>
          <w:color w:val="001F5F"/>
          <w:sz w:val="24"/>
        </w:rPr>
        <w:t>atuação,</w:t>
      </w:r>
      <w:r>
        <w:rPr>
          <w:rFonts w:ascii="Calibri" w:hAnsi="Calibri"/>
          <w:color w:val="001F5F"/>
          <w:spacing w:val="-11"/>
          <w:sz w:val="24"/>
        </w:rPr>
        <w:t xml:space="preserve"> </w:t>
      </w:r>
      <w:r>
        <w:rPr>
          <w:rFonts w:ascii="Calibri" w:hAnsi="Calibri"/>
          <w:color w:val="001F5F"/>
          <w:sz w:val="24"/>
        </w:rPr>
        <w:t>entende</w:t>
      </w:r>
      <w:r>
        <w:rPr>
          <w:rFonts w:ascii="Calibri" w:hAnsi="Calibri"/>
          <w:color w:val="001F5F"/>
          <w:spacing w:val="-13"/>
          <w:sz w:val="24"/>
        </w:rPr>
        <w:t xml:space="preserve"> </w:t>
      </w:r>
      <w:r>
        <w:rPr>
          <w:rFonts w:ascii="Calibri" w:hAnsi="Calibri"/>
          <w:color w:val="001F5F"/>
          <w:sz w:val="24"/>
        </w:rPr>
        <w:t>ter</w:t>
      </w:r>
      <w:r>
        <w:rPr>
          <w:rFonts w:ascii="Calibri" w:hAnsi="Calibri"/>
          <w:color w:val="001F5F"/>
          <w:spacing w:val="-10"/>
          <w:sz w:val="24"/>
        </w:rPr>
        <w:t xml:space="preserve"> </w:t>
      </w:r>
      <w:r>
        <w:rPr>
          <w:rFonts w:ascii="Calibri" w:hAnsi="Calibri"/>
          <w:color w:val="001F5F"/>
          <w:sz w:val="24"/>
        </w:rPr>
        <w:t>desempenhado</w:t>
      </w:r>
      <w:r>
        <w:rPr>
          <w:rFonts w:ascii="Calibri" w:hAnsi="Calibri"/>
          <w:color w:val="001F5F"/>
          <w:spacing w:val="-9"/>
          <w:sz w:val="24"/>
        </w:rPr>
        <w:t xml:space="preserve"> </w:t>
      </w:r>
      <w:r>
        <w:rPr>
          <w:rFonts w:ascii="Calibri" w:hAnsi="Calibri"/>
          <w:color w:val="001F5F"/>
          <w:sz w:val="24"/>
        </w:rPr>
        <w:t>as</w:t>
      </w:r>
      <w:r>
        <w:rPr>
          <w:rFonts w:ascii="Calibri" w:hAnsi="Calibri"/>
          <w:color w:val="001F5F"/>
          <w:spacing w:val="-11"/>
          <w:sz w:val="24"/>
        </w:rPr>
        <w:t xml:space="preserve"> </w:t>
      </w:r>
      <w:r>
        <w:rPr>
          <w:rFonts w:ascii="Calibri" w:hAnsi="Calibri"/>
          <w:color w:val="001F5F"/>
          <w:sz w:val="24"/>
        </w:rPr>
        <w:t>suas</w:t>
      </w:r>
      <w:r>
        <w:rPr>
          <w:rFonts w:ascii="Calibri" w:hAnsi="Calibri"/>
          <w:color w:val="001F5F"/>
          <w:spacing w:val="-11"/>
          <w:sz w:val="24"/>
        </w:rPr>
        <w:t xml:space="preserve"> </w:t>
      </w:r>
      <w:r>
        <w:rPr>
          <w:rFonts w:ascii="Calibri" w:hAnsi="Calibri"/>
          <w:color w:val="001F5F"/>
          <w:sz w:val="24"/>
        </w:rPr>
        <w:t>funções</w:t>
      </w:r>
      <w:r>
        <w:rPr>
          <w:rFonts w:ascii="Calibri" w:hAnsi="Calibri"/>
          <w:color w:val="001F5F"/>
          <w:spacing w:val="-10"/>
          <w:sz w:val="24"/>
        </w:rPr>
        <w:t xml:space="preserve"> </w:t>
      </w:r>
      <w:r>
        <w:rPr>
          <w:rFonts w:ascii="Calibri" w:hAnsi="Calibri"/>
          <w:color w:val="001F5F"/>
          <w:sz w:val="24"/>
        </w:rPr>
        <w:t>estatutárias</w:t>
      </w:r>
      <w:r>
        <w:rPr>
          <w:rFonts w:ascii="Calibri" w:hAnsi="Calibri"/>
          <w:color w:val="001F5F"/>
          <w:spacing w:val="-11"/>
          <w:sz w:val="24"/>
        </w:rPr>
        <w:t xml:space="preserve"> </w:t>
      </w:r>
      <w:r>
        <w:rPr>
          <w:rFonts w:ascii="Calibri" w:hAnsi="Calibri"/>
          <w:color w:val="001F5F"/>
          <w:sz w:val="24"/>
        </w:rPr>
        <w:t>e</w:t>
      </w:r>
      <w:r>
        <w:rPr>
          <w:rFonts w:ascii="Calibri" w:hAnsi="Calibri"/>
          <w:color w:val="001F5F"/>
          <w:spacing w:val="-11"/>
          <w:sz w:val="24"/>
        </w:rPr>
        <w:t xml:space="preserve"> </w:t>
      </w:r>
      <w:r>
        <w:rPr>
          <w:rFonts w:ascii="Calibri" w:hAnsi="Calibri"/>
          <w:color w:val="001F5F"/>
          <w:sz w:val="24"/>
        </w:rPr>
        <w:t xml:space="preserve">atendido às finalidades de sua competência como órgão de assessoramento ao Conselho de </w:t>
      </w:r>
      <w:r>
        <w:rPr>
          <w:rFonts w:ascii="Calibri" w:hAnsi="Calibri"/>
          <w:color w:val="001F5F"/>
          <w:spacing w:val="-2"/>
          <w:sz w:val="24"/>
        </w:rPr>
        <w:t>Administração.</w:t>
      </w:r>
    </w:p>
    <w:p w14:paraId="7F70E2C6" w14:textId="77777777" w:rsidR="002C6574" w:rsidRDefault="002C6574">
      <w:pPr>
        <w:pStyle w:val="Corpodetexto"/>
        <w:rPr>
          <w:rFonts w:ascii="Calibri"/>
          <w:sz w:val="24"/>
        </w:rPr>
      </w:pPr>
    </w:p>
    <w:p w14:paraId="28B8C396" w14:textId="77777777" w:rsidR="002C6574" w:rsidRDefault="002C6574">
      <w:pPr>
        <w:pStyle w:val="Corpodetexto"/>
        <w:spacing w:before="134"/>
        <w:rPr>
          <w:rFonts w:ascii="Calibri"/>
          <w:sz w:val="24"/>
        </w:rPr>
      </w:pPr>
    </w:p>
    <w:p w14:paraId="53341C7F" w14:textId="77777777" w:rsidR="002C6574" w:rsidRDefault="00000000">
      <w:pPr>
        <w:pStyle w:val="Ttulo6"/>
        <w:ind w:left="516"/>
      </w:pPr>
      <w:r>
        <w:rPr>
          <w:color w:val="001F5F"/>
        </w:rPr>
        <w:t>Jerônimo</w:t>
      </w:r>
      <w:r>
        <w:rPr>
          <w:color w:val="001F5F"/>
          <w:spacing w:val="-8"/>
        </w:rPr>
        <w:t xml:space="preserve"> </w:t>
      </w:r>
      <w:r>
        <w:rPr>
          <w:color w:val="001F5F"/>
        </w:rPr>
        <w:t>José</w:t>
      </w:r>
      <w:r>
        <w:rPr>
          <w:color w:val="001F5F"/>
          <w:spacing w:val="-10"/>
        </w:rPr>
        <w:t xml:space="preserve"> </w:t>
      </w:r>
      <w:r>
        <w:rPr>
          <w:color w:val="001F5F"/>
        </w:rPr>
        <w:t>Cabral</w:t>
      </w:r>
      <w:r>
        <w:rPr>
          <w:color w:val="001F5F"/>
          <w:spacing w:val="-7"/>
        </w:rPr>
        <w:t xml:space="preserve"> </w:t>
      </w:r>
      <w:r>
        <w:rPr>
          <w:color w:val="001F5F"/>
          <w:spacing w:val="-2"/>
        </w:rPr>
        <w:t>Guedes</w:t>
      </w:r>
    </w:p>
    <w:p w14:paraId="11360729" w14:textId="77777777" w:rsidR="002C6574" w:rsidRDefault="00000000">
      <w:pPr>
        <w:pStyle w:val="Corpodetexto"/>
        <w:spacing w:before="48"/>
        <w:ind w:left="531" w:right="435"/>
        <w:jc w:val="center"/>
        <w:rPr>
          <w:rFonts w:ascii="Arial MT" w:hAnsi="Arial MT"/>
        </w:rPr>
      </w:pPr>
      <w:r>
        <w:rPr>
          <w:rFonts w:ascii="Arial MT" w:hAnsi="Arial MT"/>
          <w:color w:val="001F5F"/>
        </w:rPr>
        <w:t>Presidente</w:t>
      </w:r>
      <w:r>
        <w:rPr>
          <w:rFonts w:ascii="Arial MT" w:hAnsi="Arial MT"/>
          <w:color w:val="001F5F"/>
          <w:spacing w:val="-5"/>
        </w:rPr>
        <w:t xml:space="preserve"> </w:t>
      </w:r>
      <w:r>
        <w:rPr>
          <w:rFonts w:ascii="Arial MT" w:hAnsi="Arial MT"/>
          <w:color w:val="001F5F"/>
        </w:rPr>
        <w:t>do</w:t>
      </w:r>
      <w:r>
        <w:rPr>
          <w:rFonts w:ascii="Arial MT" w:hAnsi="Arial MT"/>
          <w:color w:val="001F5F"/>
          <w:spacing w:val="-7"/>
        </w:rPr>
        <w:t xml:space="preserve"> </w:t>
      </w:r>
      <w:r>
        <w:rPr>
          <w:rFonts w:ascii="Arial MT" w:hAnsi="Arial MT"/>
          <w:color w:val="001F5F"/>
        </w:rPr>
        <w:t>Comitê</w:t>
      </w:r>
      <w:r>
        <w:rPr>
          <w:rFonts w:ascii="Arial MT" w:hAnsi="Arial MT"/>
          <w:color w:val="001F5F"/>
          <w:spacing w:val="-7"/>
        </w:rPr>
        <w:t xml:space="preserve"> </w:t>
      </w:r>
      <w:r>
        <w:rPr>
          <w:rFonts w:ascii="Arial MT" w:hAnsi="Arial MT"/>
          <w:color w:val="001F5F"/>
        </w:rPr>
        <w:t>de</w:t>
      </w:r>
      <w:r>
        <w:rPr>
          <w:rFonts w:ascii="Arial MT" w:hAnsi="Arial MT"/>
          <w:color w:val="001F5F"/>
          <w:spacing w:val="-8"/>
        </w:rPr>
        <w:t xml:space="preserve"> </w:t>
      </w:r>
      <w:r>
        <w:rPr>
          <w:rFonts w:ascii="Arial MT" w:hAnsi="Arial MT"/>
          <w:color w:val="001F5F"/>
        </w:rPr>
        <w:t>Auditoria</w:t>
      </w:r>
      <w:r>
        <w:rPr>
          <w:rFonts w:ascii="Arial MT" w:hAnsi="Arial MT"/>
          <w:color w:val="001F5F"/>
          <w:spacing w:val="-5"/>
        </w:rPr>
        <w:t xml:space="preserve"> </w:t>
      </w:r>
      <w:r>
        <w:rPr>
          <w:rFonts w:ascii="Arial MT" w:hAnsi="Arial MT"/>
          <w:color w:val="001F5F"/>
        </w:rPr>
        <w:t>Estatutário</w:t>
      </w:r>
      <w:r>
        <w:rPr>
          <w:rFonts w:ascii="Arial MT" w:hAnsi="Arial MT"/>
          <w:color w:val="001F5F"/>
          <w:spacing w:val="-5"/>
        </w:rPr>
        <w:t xml:space="preserve"> </w:t>
      </w:r>
      <w:r>
        <w:rPr>
          <w:rFonts w:ascii="Arial MT" w:hAnsi="Arial MT"/>
          <w:color w:val="001F5F"/>
        </w:rPr>
        <w:t>--</w:t>
      </w:r>
      <w:r>
        <w:rPr>
          <w:rFonts w:ascii="Arial MT" w:hAnsi="Arial MT"/>
          <w:color w:val="001F5F"/>
          <w:spacing w:val="-8"/>
        </w:rPr>
        <w:t xml:space="preserve"> </w:t>
      </w:r>
      <w:r>
        <w:rPr>
          <w:rFonts w:ascii="Arial MT" w:hAnsi="Arial MT"/>
          <w:color w:val="001F5F"/>
          <w:spacing w:val="-2"/>
        </w:rPr>
        <w:t>COAUD</w:t>
      </w:r>
    </w:p>
    <w:p w14:paraId="60BD6D42" w14:textId="77777777" w:rsidR="002C6574" w:rsidRDefault="002C6574">
      <w:pPr>
        <w:pStyle w:val="Corpodetexto"/>
        <w:rPr>
          <w:rFonts w:ascii="Arial MT"/>
        </w:rPr>
      </w:pPr>
    </w:p>
    <w:p w14:paraId="5E15741C" w14:textId="77777777" w:rsidR="002C6574" w:rsidRDefault="002C6574">
      <w:pPr>
        <w:pStyle w:val="Corpodetexto"/>
        <w:rPr>
          <w:rFonts w:ascii="Arial MT"/>
        </w:rPr>
      </w:pPr>
    </w:p>
    <w:p w14:paraId="78144F07" w14:textId="77777777" w:rsidR="002C6574" w:rsidRDefault="002C6574">
      <w:pPr>
        <w:pStyle w:val="Corpodetexto"/>
        <w:spacing w:before="125"/>
        <w:rPr>
          <w:rFonts w:ascii="Arial MT"/>
        </w:rPr>
      </w:pPr>
    </w:p>
    <w:p w14:paraId="3E28BF39" w14:textId="77777777" w:rsidR="002C6574" w:rsidRDefault="00000000">
      <w:pPr>
        <w:pStyle w:val="Ttulo6"/>
        <w:spacing w:before="1"/>
      </w:pPr>
      <w:r>
        <w:rPr>
          <w:color w:val="001F5F"/>
        </w:rPr>
        <w:t>Cleber</w:t>
      </w:r>
      <w:r>
        <w:rPr>
          <w:color w:val="001F5F"/>
          <w:spacing w:val="-13"/>
        </w:rPr>
        <w:t xml:space="preserve"> </w:t>
      </w:r>
      <w:r>
        <w:rPr>
          <w:color w:val="001F5F"/>
          <w:spacing w:val="-2"/>
        </w:rPr>
        <w:t>Santiago</w:t>
      </w:r>
    </w:p>
    <w:p w14:paraId="3C3CB4F7" w14:textId="77777777" w:rsidR="002C6574" w:rsidRDefault="00000000">
      <w:pPr>
        <w:pStyle w:val="Corpodetexto"/>
        <w:spacing w:before="47"/>
        <w:ind w:left="505" w:right="435"/>
        <w:jc w:val="center"/>
        <w:rPr>
          <w:rFonts w:ascii="Arial MT" w:hAnsi="Arial MT"/>
        </w:rPr>
      </w:pPr>
      <w:r>
        <w:rPr>
          <w:rFonts w:ascii="Arial MT" w:hAnsi="Arial MT"/>
          <w:color w:val="001F5F"/>
        </w:rPr>
        <w:t>Membro</w:t>
      </w:r>
      <w:r>
        <w:rPr>
          <w:rFonts w:ascii="Arial MT" w:hAnsi="Arial MT"/>
          <w:color w:val="001F5F"/>
          <w:spacing w:val="-4"/>
        </w:rPr>
        <w:t xml:space="preserve"> </w:t>
      </w:r>
      <w:r>
        <w:rPr>
          <w:rFonts w:ascii="Arial MT" w:hAnsi="Arial MT"/>
          <w:color w:val="001F5F"/>
        </w:rPr>
        <w:t>do</w:t>
      </w:r>
      <w:r>
        <w:rPr>
          <w:rFonts w:ascii="Arial MT" w:hAnsi="Arial MT"/>
          <w:color w:val="001F5F"/>
          <w:spacing w:val="-6"/>
        </w:rPr>
        <w:t xml:space="preserve"> </w:t>
      </w:r>
      <w:r>
        <w:rPr>
          <w:rFonts w:ascii="Arial MT" w:hAnsi="Arial MT"/>
          <w:color w:val="001F5F"/>
        </w:rPr>
        <w:t>Comitê</w:t>
      </w:r>
      <w:r>
        <w:rPr>
          <w:rFonts w:ascii="Arial MT" w:hAnsi="Arial MT"/>
          <w:color w:val="001F5F"/>
          <w:spacing w:val="-4"/>
        </w:rPr>
        <w:t xml:space="preserve"> </w:t>
      </w:r>
      <w:r>
        <w:rPr>
          <w:rFonts w:ascii="Arial MT" w:hAnsi="Arial MT"/>
          <w:color w:val="001F5F"/>
        </w:rPr>
        <w:t>de</w:t>
      </w:r>
      <w:r>
        <w:rPr>
          <w:rFonts w:ascii="Arial MT" w:hAnsi="Arial MT"/>
          <w:color w:val="001F5F"/>
          <w:spacing w:val="-6"/>
        </w:rPr>
        <w:t xml:space="preserve"> </w:t>
      </w:r>
      <w:r>
        <w:rPr>
          <w:rFonts w:ascii="Arial MT" w:hAnsi="Arial MT"/>
          <w:color w:val="001F5F"/>
        </w:rPr>
        <w:t>Auditoria</w:t>
      </w:r>
      <w:r>
        <w:rPr>
          <w:rFonts w:ascii="Arial MT" w:hAnsi="Arial MT"/>
          <w:color w:val="001F5F"/>
          <w:spacing w:val="-4"/>
        </w:rPr>
        <w:t xml:space="preserve"> </w:t>
      </w:r>
      <w:r>
        <w:rPr>
          <w:rFonts w:ascii="Arial MT" w:hAnsi="Arial MT"/>
          <w:color w:val="001F5F"/>
        </w:rPr>
        <w:t>Estatutário</w:t>
      </w:r>
      <w:r>
        <w:rPr>
          <w:rFonts w:ascii="Arial MT" w:hAnsi="Arial MT"/>
          <w:color w:val="001F5F"/>
          <w:spacing w:val="-4"/>
        </w:rPr>
        <w:t xml:space="preserve"> </w:t>
      </w:r>
      <w:r>
        <w:rPr>
          <w:rFonts w:ascii="Arial MT" w:hAnsi="Arial MT"/>
          <w:color w:val="001F5F"/>
        </w:rPr>
        <w:t>-</w:t>
      </w:r>
      <w:r>
        <w:rPr>
          <w:rFonts w:ascii="Arial MT" w:hAnsi="Arial MT"/>
          <w:color w:val="001F5F"/>
          <w:spacing w:val="-2"/>
        </w:rPr>
        <w:t xml:space="preserve"> COAUD</w:t>
      </w:r>
    </w:p>
    <w:p w14:paraId="7FF7379A" w14:textId="77777777" w:rsidR="002C6574" w:rsidRDefault="002C6574">
      <w:pPr>
        <w:pStyle w:val="Corpodetexto"/>
        <w:rPr>
          <w:rFonts w:ascii="Arial MT"/>
        </w:rPr>
      </w:pPr>
    </w:p>
    <w:p w14:paraId="4A1D00E9" w14:textId="77777777" w:rsidR="002C6574" w:rsidRDefault="002C6574">
      <w:pPr>
        <w:pStyle w:val="Corpodetexto"/>
        <w:rPr>
          <w:rFonts w:ascii="Arial MT"/>
        </w:rPr>
      </w:pPr>
    </w:p>
    <w:p w14:paraId="55B8CF1F" w14:textId="77777777" w:rsidR="002C6574" w:rsidRDefault="002C6574">
      <w:pPr>
        <w:pStyle w:val="Corpodetexto"/>
        <w:spacing w:before="176"/>
        <w:rPr>
          <w:rFonts w:ascii="Arial MT"/>
        </w:rPr>
      </w:pPr>
    </w:p>
    <w:p w14:paraId="2DEEC85B" w14:textId="77777777" w:rsidR="002C6574" w:rsidRDefault="00000000">
      <w:pPr>
        <w:pStyle w:val="Ttulo6"/>
      </w:pPr>
      <w:r>
        <w:rPr>
          <w:color w:val="001F5F"/>
        </w:rPr>
        <w:t>Paula</w:t>
      </w:r>
      <w:r>
        <w:rPr>
          <w:color w:val="001F5F"/>
          <w:spacing w:val="-7"/>
        </w:rPr>
        <w:t xml:space="preserve"> </w:t>
      </w:r>
      <w:r>
        <w:rPr>
          <w:color w:val="001F5F"/>
        </w:rPr>
        <w:t>Vicente</w:t>
      </w:r>
      <w:r>
        <w:rPr>
          <w:color w:val="001F5F"/>
          <w:spacing w:val="-8"/>
        </w:rPr>
        <w:t xml:space="preserve"> </w:t>
      </w:r>
      <w:r>
        <w:rPr>
          <w:color w:val="001F5F"/>
        </w:rPr>
        <w:t>da</w:t>
      </w:r>
      <w:r>
        <w:rPr>
          <w:color w:val="001F5F"/>
          <w:spacing w:val="-7"/>
        </w:rPr>
        <w:t xml:space="preserve"> </w:t>
      </w:r>
      <w:r>
        <w:rPr>
          <w:color w:val="001F5F"/>
          <w:spacing w:val="-2"/>
        </w:rPr>
        <w:t>Silva</w:t>
      </w:r>
    </w:p>
    <w:p w14:paraId="3C891AB5" w14:textId="77777777" w:rsidR="002C6574" w:rsidRDefault="00000000">
      <w:pPr>
        <w:pStyle w:val="Corpodetexto"/>
        <w:spacing w:before="48"/>
        <w:ind w:left="505" w:right="435"/>
        <w:jc w:val="center"/>
        <w:rPr>
          <w:rFonts w:ascii="Arial MT" w:hAnsi="Arial MT"/>
        </w:rPr>
      </w:pPr>
      <w:r>
        <w:rPr>
          <w:rFonts w:ascii="Arial MT" w:hAnsi="Arial MT"/>
          <w:color w:val="001F5F"/>
        </w:rPr>
        <w:t>Membro</w:t>
      </w:r>
      <w:r>
        <w:rPr>
          <w:rFonts w:ascii="Arial MT" w:hAnsi="Arial MT"/>
          <w:color w:val="001F5F"/>
          <w:spacing w:val="-4"/>
        </w:rPr>
        <w:t xml:space="preserve"> </w:t>
      </w:r>
      <w:r>
        <w:rPr>
          <w:rFonts w:ascii="Arial MT" w:hAnsi="Arial MT"/>
          <w:color w:val="001F5F"/>
        </w:rPr>
        <w:t>do</w:t>
      </w:r>
      <w:r>
        <w:rPr>
          <w:rFonts w:ascii="Arial MT" w:hAnsi="Arial MT"/>
          <w:color w:val="001F5F"/>
          <w:spacing w:val="-6"/>
        </w:rPr>
        <w:t xml:space="preserve"> </w:t>
      </w:r>
      <w:r>
        <w:rPr>
          <w:rFonts w:ascii="Arial MT" w:hAnsi="Arial MT"/>
          <w:color w:val="001F5F"/>
        </w:rPr>
        <w:t>Comitê</w:t>
      </w:r>
      <w:r>
        <w:rPr>
          <w:rFonts w:ascii="Arial MT" w:hAnsi="Arial MT"/>
          <w:color w:val="001F5F"/>
          <w:spacing w:val="-4"/>
        </w:rPr>
        <w:t xml:space="preserve"> </w:t>
      </w:r>
      <w:r>
        <w:rPr>
          <w:rFonts w:ascii="Arial MT" w:hAnsi="Arial MT"/>
          <w:color w:val="001F5F"/>
        </w:rPr>
        <w:t>de</w:t>
      </w:r>
      <w:r>
        <w:rPr>
          <w:rFonts w:ascii="Arial MT" w:hAnsi="Arial MT"/>
          <w:color w:val="001F5F"/>
          <w:spacing w:val="-6"/>
        </w:rPr>
        <w:t xml:space="preserve"> </w:t>
      </w:r>
      <w:r>
        <w:rPr>
          <w:rFonts w:ascii="Arial MT" w:hAnsi="Arial MT"/>
          <w:color w:val="001F5F"/>
        </w:rPr>
        <w:t>Auditoria</w:t>
      </w:r>
      <w:r>
        <w:rPr>
          <w:rFonts w:ascii="Arial MT" w:hAnsi="Arial MT"/>
          <w:color w:val="001F5F"/>
          <w:spacing w:val="-4"/>
        </w:rPr>
        <w:t xml:space="preserve"> </w:t>
      </w:r>
      <w:r>
        <w:rPr>
          <w:rFonts w:ascii="Arial MT" w:hAnsi="Arial MT"/>
          <w:color w:val="001F5F"/>
        </w:rPr>
        <w:t>Estatutário</w:t>
      </w:r>
      <w:r>
        <w:rPr>
          <w:rFonts w:ascii="Arial MT" w:hAnsi="Arial MT"/>
          <w:color w:val="001F5F"/>
          <w:spacing w:val="-4"/>
        </w:rPr>
        <w:t xml:space="preserve"> </w:t>
      </w:r>
      <w:r>
        <w:rPr>
          <w:rFonts w:ascii="Arial MT" w:hAnsi="Arial MT"/>
          <w:color w:val="001F5F"/>
        </w:rPr>
        <w:t>-</w:t>
      </w:r>
      <w:r>
        <w:rPr>
          <w:rFonts w:ascii="Arial MT" w:hAnsi="Arial MT"/>
          <w:color w:val="001F5F"/>
          <w:spacing w:val="-2"/>
        </w:rPr>
        <w:t xml:space="preserve"> COAUD</w:t>
      </w:r>
    </w:p>
    <w:p w14:paraId="72D26ED0" w14:textId="77777777" w:rsidR="002C6574" w:rsidRDefault="002C6574">
      <w:pPr>
        <w:pStyle w:val="Corpodetexto"/>
        <w:jc w:val="center"/>
        <w:rPr>
          <w:rFonts w:ascii="Arial MT" w:hAnsi="Arial MT"/>
        </w:rPr>
        <w:sectPr w:rsidR="002C6574">
          <w:pgSz w:w="12240" w:h="15840"/>
          <w:pgMar w:top="900" w:right="425" w:bottom="1220" w:left="425" w:header="674" w:footer="1036" w:gutter="0"/>
          <w:cols w:space="720"/>
        </w:sectPr>
      </w:pPr>
    </w:p>
    <w:p w14:paraId="0DF21255" w14:textId="77777777" w:rsidR="002C6574" w:rsidRDefault="00000000">
      <w:pPr>
        <w:pStyle w:val="Corpodetexto"/>
        <w:rPr>
          <w:rFonts w:ascii="Arial MT"/>
          <w:sz w:val="36"/>
        </w:rPr>
      </w:pPr>
      <w:r>
        <w:rPr>
          <w:rFonts w:ascii="Arial MT"/>
          <w:noProof/>
          <w:sz w:val="36"/>
        </w:rPr>
        <w:lastRenderedPageBreak/>
        <mc:AlternateContent>
          <mc:Choice Requires="wps">
            <w:drawing>
              <wp:anchor distT="0" distB="0" distL="0" distR="0" simplePos="0" relativeHeight="472579584" behindDoc="1" locked="0" layoutInCell="1" allowOverlap="1" wp14:anchorId="1B711566" wp14:editId="5C4EADB7">
                <wp:simplePos x="0" y="0"/>
                <wp:positionH relativeFrom="page">
                  <wp:posOffset>0</wp:posOffset>
                </wp:positionH>
                <wp:positionV relativeFrom="page">
                  <wp:posOffset>17144</wp:posOffset>
                </wp:positionV>
                <wp:extent cx="7560945" cy="10675620"/>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675620"/>
                        </a:xfrm>
                        <a:custGeom>
                          <a:avLst/>
                          <a:gdLst/>
                          <a:ahLst/>
                          <a:cxnLst/>
                          <a:rect l="l" t="t" r="r" b="b"/>
                          <a:pathLst>
                            <a:path w="7560945" h="10675620">
                              <a:moveTo>
                                <a:pt x="7560564" y="0"/>
                              </a:moveTo>
                              <a:lnTo>
                                <a:pt x="0" y="0"/>
                              </a:lnTo>
                              <a:lnTo>
                                <a:pt x="0" y="10675239"/>
                              </a:lnTo>
                              <a:lnTo>
                                <a:pt x="7560564" y="10675239"/>
                              </a:lnTo>
                              <a:lnTo>
                                <a:pt x="7560564" y="0"/>
                              </a:lnTo>
                              <a:close/>
                            </a:path>
                          </a:pathLst>
                        </a:custGeom>
                        <a:solidFill>
                          <a:srgbClr val="21488E"/>
                        </a:solidFill>
                      </wps:spPr>
                      <wps:bodyPr wrap="square" lIns="0" tIns="0" rIns="0" bIns="0" rtlCol="0">
                        <a:prstTxWarp prst="textNoShape">
                          <a:avLst/>
                        </a:prstTxWarp>
                        <a:noAutofit/>
                      </wps:bodyPr>
                    </wps:wsp>
                  </a:graphicData>
                </a:graphic>
              </wp:anchor>
            </w:drawing>
          </mc:Choice>
          <mc:Fallback>
            <w:pict>
              <v:shape w14:anchorId="1AB5657F" id="Graphic 281" o:spid="_x0000_s1026" style="position:absolute;margin-left:0;margin-top:1.35pt;width:595.35pt;height:840.6pt;z-index:-30736896;visibility:visible;mso-wrap-style:square;mso-wrap-distance-left:0;mso-wrap-distance-top:0;mso-wrap-distance-right:0;mso-wrap-distance-bottom:0;mso-position-horizontal:absolute;mso-position-horizontal-relative:page;mso-position-vertical:absolute;mso-position-vertical-relative:page;v-text-anchor:top" coordsize="7560945,1067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" path="m7560564,l,,,10675239r7560564,l7560564,xe" fillcolor="#21488e" stroked="f">
                <v:path arrowok="t"/>
                <w10:wrap anchorx="page" anchory="page"/>
              </v:shape>
            </w:pict>
          </mc:Fallback>
        </mc:AlternateContent>
      </w:r>
      <w:r>
        <w:rPr>
          <w:rFonts w:ascii="Arial MT"/>
          <w:noProof/>
          <w:sz w:val="36"/>
        </w:rPr>
        <w:drawing>
          <wp:anchor distT="0" distB="0" distL="0" distR="0" simplePos="0" relativeHeight="15753216" behindDoc="0" locked="0" layoutInCell="1" allowOverlap="1" wp14:anchorId="516B2025" wp14:editId="15BCFD0B">
            <wp:simplePos x="0" y="0"/>
            <wp:positionH relativeFrom="page">
              <wp:posOffset>1762125</wp:posOffset>
            </wp:positionH>
            <wp:positionV relativeFrom="page">
              <wp:posOffset>19049</wp:posOffset>
            </wp:positionV>
            <wp:extent cx="5778500" cy="8891270"/>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210" cstate="print"/>
                    <a:stretch>
                      <a:fillRect/>
                    </a:stretch>
                  </pic:blipFill>
                  <pic:spPr>
                    <a:xfrm>
                      <a:off x="0" y="0"/>
                      <a:ext cx="5778500" cy="8891270"/>
                    </a:xfrm>
                    <a:prstGeom prst="rect">
                      <a:avLst/>
                    </a:prstGeom>
                  </pic:spPr>
                </pic:pic>
              </a:graphicData>
            </a:graphic>
          </wp:anchor>
        </w:drawing>
      </w:r>
    </w:p>
    <w:p w14:paraId="1AB60898" w14:textId="77777777" w:rsidR="002C6574" w:rsidRDefault="002C6574">
      <w:pPr>
        <w:pStyle w:val="Corpodetexto"/>
        <w:rPr>
          <w:rFonts w:ascii="Arial MT"/>
          <w:sz w:val="36"/>
        </w:rPr>
      </w:pPr>
    </w:p>
    <w:p w14:paraId="54746E28" w14:textId="77777777" w:rsidR="002C6574" w:rsidRDefault="002C6574">
      <w:pPr>
        <w:pStyle w:val="Corpodetexto"/>
        <w:rPr>
          <w:rFonts w:ascii="Arial MT"/>
          <w:sz w:val="36"/>
        </w:rPr>
      </w:pPr>
    </w:p>
    <w:p w14:paraId="11B2E48D" w14:textId="77777777" w:rsidR="002C6574" w:rsidRDefault="002C6574">
      <w:pPr>
        <w:pStyle w:val="Corpodetexto"/>
        <w:rPr>
          <w:rFonts w:ascii="Arial MT"/>
          <w:sz w:val="36"/>
        </w:rPr>
      </w:pPr>
    </w:p>
    <w:p w14:paraId="16F6BDE8" w14:textId="77777777" w:rsidR="002C6574" w:rsidRDefault="002C6574">
      <w:pPr>
        <w:pStyle w:val="Corpodetexto"/>
        <w:rPr>
          <w:rFonts w:ascii="Arial MT"/>
          <w:sz w:val="36"/>
        </w:rPr>
      </w:pPr>
    </w:p>
    <w:p w14:paraId="12E0281A" w14:textId="77777777" w:rsidR="002C6574" w:rsidRDefault="002C6574">
      <w:pPr>
        <w:pStyle w:val="Corpodetexto"/>
        <w:rPr>
          <w:rFonts w:ascii="Arial MT"/>
          <w:sz w:val="36"/>
        </w:rPr>
      </w:pPr>
    </w:p>
    <w:p w14:paraId="3C6F377A" w14:textId="77777777" w:rsidR="002C6574" w:rsidRDefault="002C6574">
      <w:pPr>
        <w:pStyle w:val="Corpodetexto"/>
        <w:rPr>
          <w:rFonts w:ascii="Arial MT"/>
          <w:sz w:val="36"/>
        </w:rPr>
      </w:pPr>
    </w:p>
    <w:p w14:paraId="11B0087B" w14:textId="77777777" w:rsidR="002C6574" w:rsidRDefault="002C6574">
      <w:pPr>
        <w:pStyle w:val="Corpodetexto"/>
        <w:rPr>
          <w:rFonts w:ascii="Arial MT"/>
          <w:sz w:val="36"/>
        </w:rPr>
      </w:pPr>
    </w:p>
    <w:p w14:paraId="29422343" w14:textId="77777777" w:rsidR="002C6574" w:rsidRDefault="002C6574">
      <w:pPr>
        <w:pStyle w:val="Corpodetexto"/>
        <w:rPr>
          <w:rFonts w:ascii="Arial MT"/>
          <w:sz w:val="36"/>
        </w:rPr>
      </w:pPr>
    </w:p>
    <w:p w14:paraId="694F8D3D" w14:textId="77777777" w:rsidR="002C6574" w:rsidRDefault="002C6574">
      <w:pPr>
        <w:pStyle w:val="Corpodetexto"/>
        <w:rPr>
          <w:rFonts w:ascii="Arial MT"/>
          <w:sz w:val="36"/>
        </w:rPr>
      </w:pPr>
    </w:p>
    <w:p w14:paraId="2BEA5D70" w14:textId="77777777" w:rsidR="002C6574" w:rsidRDefault="002C6574">
      <w:pPr>
        <w:pStyle w:val="Corpodetexto"/>
        <w:rPr>
          <w:rFonts w:ascii="Arial MT"/>
          <w:sz w:val="36"/>
        </w:rPr>
      </w:pPr>
    </w:p>
    <w:p w14:paraId="590F6A54" w14:textId="77777777" w:rsidR="002C6574" w:rsidRDefault="002C6574">
      <w:pPr>
        <w:pStyle w:val="Corpodetexto"/>
        <w:rPr>
          <w:rFonts w:ascii="Arial MT"/>
          <w:sz w:val="36"/>
        </w:rPr>
      </w:pPr>
    </w:p>
    <w:p w14:paraId="3F6EEDC9" w14:textId="77777777" w:rsidR="002C6574" w:rsidRDefault="002C6574">
      <w:pPr>
        <w:pStyle w:val="Corpodetexto"/>
        <w:rPr>
          <w:rFonts w:ascii="Arial MT"/>
          <w:sz w:val="36"/>
        </w:rPr>
      </w:pPr>
    </w:p>
    <w:p w14:paraId="1DA5069F" w14:textId="77777777" w:rsidR="002C6574" w:rsidRDefault="002C6574">
      <w:pPr>
        <w:pStyle w:val="Corpodetexto"/>
        <w:rPr>
          <w:rFonts w:ascii="Arial MT"/>
          <w:sz w:val="36"/>
        </w:rPr>
      </w:pPr>
    </w:p>
    <w:p w14:paraId="5EFBC9FE" w14:textId="77777777" w:rsidR="002C6574" w:rsidRDefault="002C6574">
      <w:pPr>
        <w:pStyle w:val="Corpodetexto"/>
        <w:rPr>
          <w:rFonts w:ascii="Arial MT"/>
          <w:sz w:val="36"/>
        </w:rPr>
      </w:pPr>
    </w:p>
    <w:p w14:paraId="7C80F301" w14:textId="77777777" w:rsidR="002C6574" w:rsidRDefault="002C6574">
      <w:pPr>
        <w:pStyle w:val="Corpodetexto"/>
        <w:rPr>
          <w:rFonts w:ascii="Arial MT"/>
          <w:sz w:val="36"/>
        </w:rPr>
      </w:pPr>
    </w:p>
    <w:p w14:paraId="79F7767B" w14:textId="77777777" w:rsidR="002C6574" w:rsidRDefault="002C6574">
      <w:pPr>
        <w:pStyle w:val="Corpodetexto"/>
        <w:rPr>
          <w:rFonts w:ascii="Arial MT"/>
          <w:sz w:val="36"/>
        </w:rPr>
      </w:pPr>
    </w:p>
    <w:p w14:paraId="2589361C" w14:textId="77777777" w:rsidR="002C6574" w:rsidRDefault="002C6574">
      <w:pPr>
        <w:pStyle w:val="Corpodetexto"/>
        <w:rPr>
          <w:rFonts w:ascii="Arial MT"/>
          <w:sz w:val="36"/>
        </w:rPr>
      </w:pPr>
    </w:p>
    <w:p w14:paraId="1BED9987" w14:textId="77777777" w:rsidR="002C6574" w:rsidRDefault="002C6574">
      <w:pPr>
        <w:pStyle w:val="Corpodetexto"/>
        <w:rPr>
          <w:rFonts w:ascii="Arial MT"/>
          <w:sz w:val="36"/>
        </w:rPr>
      </w:pPr>
    </w:p>
    <w:p w14:paraId="0527A338" w14:textId="77777777" w:rsidR="002C6574" w:rsidRDefault="002C6574">
      <w:pPr>
        <w:pStyle w:val="Corpodetexto"/>
        <w:rPr>
          <w:rFonts w:ascii="Arial MT"/>
          <w:sz w:val="36"/>
        </w:rPr>
      </w:pPr>
    </w:p>
    <w:p w14:paraId="5CAD4048" w14:textId="77777777" w:rsidR="002C6574" w:rsidRDefault="002C6574">
      <w:pPr>
        <w:pStyle w:val="Corpodetexto"/>
        <w:rPr>
          <w:rFonts w:ascii="Arial MT"/>
          <w:sz w:val="36"/>
        </w:rPr>
      </w:pPr>
    </w:p>
    <w:p w14:paraId="7D87F90C" w14:textId="77777777" w:rsidR="002C6574" w:rsidRDefault="002C6574">
      <w:pPr>
        <w:pStyle w:val="Corpodetexto"/>
        <w:rPr>
          <w:rFonts w:ascii="Arial MT"/>
          <w:sz w:val="36"/>
        </w:rPr>
      </w:pPr>
    </w:p>
    <w:p w14:paraId="646A3AF7" w14:textId="77777777" w:rsidR="002C6574" w:rsidRDefault="002C6574">
      <w:pPr>
        <w:pStyle w:val="Corpodetexto"/>
        <w:spacing w:before="157"/>
        <w:rPr>
          <w:rFonts w:ascii="Arial MT"/>
          <w:sz w:val="36"/>
        </w:rPr>
      </w:pPr>
    </w:p>
    <w:p w14:paraId="5A650E70" w14:textId="77777777" w:rsidR="002C6574" w:rsidRDefault="00000000">
      <w:pPr>
        <w:pStyle w:val="Ttulo1"/>
        <w:spacing w:line="413" w:lineRule="exact"/>
      </w:pPr>
      <w:r>
        <w:rPr>
          <w:color w:val="FFFFFF"/>
        </w:rPr>
        <w:t>Telecomunicações</w:t>
      </w:r>
      <w:r>
        <w:rPr>
          <w:color w:val="FFFFFF"/>
          <w:spacing w:val="-4"/>
        </w:rPr>
        <w:t xml:space="preserve"> </w:t>
      </w:r>
      <w:r>
        <w:rPr>
          <w:color w:val="FFFFFF"/>
        </w:rPr>
        <w:t>Brasileiras</w:t>
      </w:r>
      <w:r>
        <w:rPr>
          <w:color w:val="FFFFFF"/>
          <w:spacing w:val="-6"/>
        </w:rPr>
        <w:t xml:space="preserve"> </w:t>
      </w:r>
      <w:r>
        <w:rPr>
          <w:color w:val="FFFFFF"/>
        </w:rPr>
        <w:t>S.A</w:t>
      </w:r>
      <w:r>
        <w:rPr>
          <w:color w:val="FFFFFF"/>
          <w:spacing w:val="-2"/>
        </w:rPr>
        <w:t xml:space="preserve"> </w:t>
      </w:r>
      <w:r>
        <w:rPr>
          <w:color w:val="FFFFFF"/>
        </w:rPr>
        <w:t>-</w:t>
      </w:r>
      <w:r>
        <w:rPr>
          <w:color w:val="FFFFFF"/>
          <w:spacing w:val="-4"/>
        </w:rPr>
        <w:t xml:space="preserve"> </w:t>
      </w:r>
      <w:r>
        <w:rPr>
          <w:color w:val="FFFFFF"/>
          <w:spacing w:val="-2"/>
        </w:rPr>
        <w:t>Telebras</w:t>
      </w:r>
    </w:p>
    <w:p w14:paraId="71E7D06D" w14:textId="77777777" w:rsidR="002C6574" w:rsidRDefault="00000000">
      <w:pPr>
        <w:spacing w:line="413" w:lineRule="exact"/>
        <w:ind w:left="575"/>
        <w:rPr>
          <w:rFonts w:ascii="Arial MT" w:hAnsi="Arial MT"/>
          <w:sz w:val="36"/>
        </w:rPr>
      </w:pPr>
      <w:r>
        <w:rPr>
          <w:rFonts w:ascii="Arial MT" w:hAnsi="Arial MT"/>
          <w:color w:val="FFFFFF"/>
          <w:sz w:val="36"/>
        </w:rPr>
        <w:t>Comentários</w:t>
      </w:r>
      <w:r>
        <w:rPr>
          <w:rFonts w:ascii="Arial MT" w:hAnsi="Arial MT"/>
          <w:color w:val="FFFFFF"/>
          <w:spacing w:val="-4"/>
          <w:sz w:val="36"/>
        </w:rPr>
        <w:t xml:space="preserve"> </w:t>
      </w:r>
      <w:r>
        <w:rPr>
          <w:rFonts w:ascii="Arial MT" w:hAnsi="Arial MT"/>
          <w:color w:val="FFFFFF"/>
          <w:sz w:val="36"/>
        </w:rPr>
        <w:t>de</w:t>
      </w:r>
      <w:r>
        <w:rPr>
          <w:rFonts w:ascii="Arial MT" w:hAnsi="Arial MT"/>
          <w:color w:val="FFFFFF"/>
          <w:spacing w:val="-4"/>
          <w:sz w:val="36"/>
        </w:rPr>
        <w:t xml:space="preserve"> </w:t>
      </w:r>
      <w:r>
        <w:rPr>
          <w:rFonts w:ascii="Arial MT" w:hAnsi="Arial MT"/>
          <w:color w:val="FFFFFF"/>
          <w:spacing w:val="-2"/>
          <w:sz w:val="36"/>
        </w:rPr>
        <w:t>Desempenho</w:t>
      </w:r>
    </w:p>
    <w:p w14:paraId="6533DB75" w14:textId="77777777" w:rsidR="002C6574" w:rsidRDefault="00000000">
      <w:pPr>
        <w:pStyle w:val="Ttulo1"/>
        <w:spacing w:before="4"/>
      </w:pPr>
      <w:r>
        <w:rPr>
          <w:color w:val="FFFFFF"/>
        </w:rPr>
        <w:t>4º</w:t>
      </w:r>
      <w:r>
        <w:rPr>
          <w:color w:val="FFFFFF"/>
          <w:spacing w:val="-3"/>
        </w:rPr>
        <w:t xml:space="preserve"> </w:t>
      </w:r>
      <w:r>
        <w:rPr>
          <w:color w:val="FFFFFF"/>
        </w:rPr>
        <w:t>Trimestre</w:t>
      </w:r>
      <w:r>
        <w:rPr>
          <w:color w:val="FFFFFF"/>
          <w:spacing w:val="-2"/>
        </w:rPr>
        <w:t xml:space="preserve"> </w:t>
      </w:r>
      <w:r>
        <w:rPr>
          <w:color w:val="FFFFFF"/>
        </w:rPr>
        <w:t>de</w:t>
      </w:r>
      <w:r>
        <w:rPr>
          <w:color w:val="FFFFFF"/>
          <w:spacing w:val="-3"/>
        </w:rPr>
        <w:t xml:space="preserve"> </w:t>
      </w:r>
      <w:r>
        <w:rPr>
          <w:color w:val="FFFFFF"/>
          <w:spacing w:val="-4"/>
        </w:rPr>
        <w:t>2025</w:t>
      </w:r>
    </w:p>
    <w:p w14:paraId="11770D12" w14:textId="77777777" w:rsidR="002C6574" w:rsidRDefault="002C6574">
      <w:pPr>
        <w:pStyle w:val="Ttulo1"/>
        <w:sectPr w:rsidR="002C6574">
          <w:headerReference w:type="default" r:id="rId211"/>
          <w:footerReference w:type="default" r:id="rId212"/>
          <w:pgSz w:w="11910" w:h="16840"/>
          <w:pgMar w:top="20" w:right="425" w:bottom="280" w:left="425" w:header="0" w:footer="0" w:gutter="0"/>
          <w:cols w:space="720"/>
        </w:sectPr>
      </w:pPr>
    </w:p>
    <w:p w14:paraId="1F3D1ECB" w14:textId="77777777" w:rsidR="002C6574" w:rsidRDefault="002C6574">
      <w:pPr>
        <w:pStyle w:val="Corpodetexto"/>
        <w:spacing w:before="22"/>
        <w:rPr>
          <w:rFonts w:ascii="Arial"/>
          <w:b/>
          <w:sz w:val="20"/>
        </w:rPr>
      </w:pPr>
    </w:p>
    <w:p w14:paraId="06D30E84" w14:textId="77777777" w:rsidR="002C6574" w:rsidRDefault="00000000">
      <w:pPr>
        <w:spacing w:before="1"/>
        <w:ind w:left="427" w:right="139"/>
        <w:jc w:val="both"/>
        <w:rPr>
          <w:rFonts w:ascii="Arial MT" w:hAnsi="Arial MT"/>
          <w:sz w:val="20"/>
        </w:rPr>
      </w:pPr>
      <w:r>
        <w:rPr>
          <w:rFonts w:ascii="Arial MT" w:hAnsi="Arial MT"/>
          <w:noProof/>
          <w:sz w:val="20"/>
        </w:rPr>
        <mc:AlternateContent>
          <mc:Choice Requires="wpg">
            <w:drawing>
              <wp:anchor distT="0" distB="0" distL="0" distR="0" simplePos="0" relativeHeight="15753728" behindDoc="0" locked="0" layoutInCell="1" allowOverlap="1" wp14:anchorId="0E443B0F" wp14:editId="6A9A5A6E">
                <wp:simplePos x="0" y="0"/>
                <wp:positionH relativeFrom="page">
                  <wp:posOffset>443483</wp:posOffset>
                </wp:positionH>
                <wp:positionV relativeFrom="paragraph">
                  <wp:posOffset>-164065</wp:posOffset>
                </wp:positionV>
                <wp:extent cx="6922134" cy="105410"/>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134" cy="105410"/>
                          <a:chOff x="0" y="0"/>
                          <a:chExt cx="6922134" cy="105410"/>
                        </a:xfrm>
                      </wpg:grpSpPr>
                      <pic:pic xmlns:pic="http://schemas.openxmlformats.org/drawingml/2006/picture">
                        <pic:nvPicPr>
                          <pic:cNvPr id="286" name="Image 286"/>
                          <pic:cNvPicPr/>
                        </pic:nvPicPr>
                        <pic:blipFill>
                          <a:blip r:embed="rId213" cstate="print"/>
                          <a:stretch>
                            <a:fillRect/>
                          </a:stretch>
                        </pic:blipFill>
                        <pic:spPr>
                          <a:xfrm>
                            <a:off x="0" y="0"/>
                            <a:ext cx="6922008" cy="105155"/>
                          </a:xfrm>
                          <a:prstGeom prst="rect">
                            <a:avLst/>
                          </a:prstGeom>
                        </pic:spPr>
                      </pic:pic>
                      <wps:wsp>
                        <wps:cNvPr id="287" name="Graphic 287"/>
                        <wps:cNvSpPr/>
                        <wps:spPr>
                          <a:xfrm>
                            <a:off x="42290" y="34925"/>
                            <a:ext cx="6829425" cy="1270"/>
                          </a:xfrm>
                          <a:custGeom>
                            <a:avLst/>
                            <a:gdLst/>
                            <a:ahLst/>
                            <a:cxnLst/>
                            <a:rect l="l" t="t" r="r" b="b"/>
                            <a:pathLst>
                              <a:path w="6829425">
                                <a:moveTo>
                                  <a:pt x="0" y="0"/>
                                </a:moveTo>
                                <a:lnTo>
                                  <a:pt x="6829425" y="0"/>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52B2FFED" id="Group 285" o:spid="_x0000_s1026" style="position:absolute;margin-left:34.9pt;margin-top:-12.9pt;width:545.05pt;height:8.3pt;z-index:15753728;mso-wrap-distance-left:0;mso-wrap-distance-right:0;mso-position-horizontal-relative:page" coordsize="69221,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">
                <v:shape id="Image 286" o:spid="_x0000_s1027" type="#_x0000_t75" style="position:absolute;width:692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">
                  <v:imagedata r:id="rId214" o:title=""/>
                </v:shape>
                <v:shape id="Graphic 287" o:spid="_x0000_s1028" style="position:absolute;left:422;top:349;width:68295;height:12;visibility:visible;mso-wrap-style:square;v-text-anchor:top" coordsize="682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" path="m,l6829425,e" filled="f" strokecolor="blue" strokeweight="2pt">
                  <v:path arrowok="t"/>
                </v:shape>
                <w10:wrap anchorx="page"/>
              </v:group>
            </w:pict>
          </mc:Fallback>
        </mc:AlternateContent>
      </w:r>
      <w:r>
        <w:rPr>
          <w:rFonts w:ascii="Arial MT" w:hAnsi="Arial MT"/>
          <w:noProof/>
          <w:sz w:val="20"/>
        </w:rPr>
        <mc:AlternateContent>
          <mc:Choice Requires="wpg">
            <w:drawing>
              <wp:anchor distT="0" distB="0" distL="0" distR="0" simplePos="0" relativeHeight="15754240" behindDoc="0" locked="0" layoutInCell="1" allowOverlap="1" wp14:anchorId="3E8C1FB4" wp14:editId="20A90BE4">
                <wp:simplePos x="0" y="0"/>
                <wp:positionH relativeFrom="page">
                  <wp:posOffset>472427</wp:posOffset>
                </wp:positionH>
                <wp:positionV relativeFrom="paragraph">
                  <wp:posOffset>1420513</wp:posOffset>
                </wp:positionV>
                <wp:extent cx="6885940" cy="87630"/>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5940" cy="87630"/>
                          <a:chOff x="0" y="0"/>
                          <a:chExt cx="6885940" cy="87630"/>
                        </a:xfrm>
                      </wpg:grpSpPr>
                      <pic:pic xmlns:pic="http://schemas.openxmlformats.org/drawingml/2006/picture">
                        <pic:nvPicPr>
                          <pic:cNvPr id="289" name="Image 289"/>
                          <pic:cNvPicPr/>
                        </pic:nvPicPr>
                        <pic:blipFill>
                          <a:blip r:embed="rId215" cstate="print"/>
                          <a:stretch>
                            <a:fillRect/>
                          </a:stretch>
                        </pic:blipFill>
                        <pic:spPr>
                          <a:xfrm>
                            <a:off x="0" y="0"/>
                            <a:ext cx="6885480" cy="87629"/>
                          </a:xfrm>
                          <a:prstGeom prst="rect">
                            <a:avLst/>
                          </a:prstGeom>
                        </pic:spPr>
                      </pic:pic>
                      <wps:wsp>
                        <wps:cNvPr id="290" name="Graphic 290"/>
                        <wps:cNvSpPr/>
                        <wps:spPr>
                          <a:xfrm>
                            <a:off x="33032" y="26288"/>
                            <a:ext cx="6829425" cy="1270"/>
                          </a:xfrm>
                          <a:custGeom>
                            <a:avLst/>
                            <a:gdLst/>
                            <a:ahLst/>
                            <a:cxnLst/>
                            <a:rect l="l" t="t" r="r" b="b"/>
                            <a:pathLst>
                              <a:path w="6829425">
                                <a:moveTo>
                                  <a:pt x="0" y="0"/>
                                </a:moveTo>
                                <a:lnTo>
                                  <a:pt x="6829425" y="0"/>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75105876" id="Group 288" o:spid="_x0000_s1026" style="position:absolute;margin-left:37.2pt;margin-top:111.85pt;width:542.2pt;height:6.9pt;z-index:15754240;mso-wrap-distance-left:0;mso-wrap-distance-right:0;mso-position-horizontal-relative:page" coordsize="6885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">
                <v:shape id="Image 289" o:spid="_x0000_s1027" type="#_x0000_t75" style="position:absolute;width:68854;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">
                  <v:imagedata r:id="rId216" o:title=""/>
                </v:shape>
                <v:shape id="Graphic 290" o:spid="_x0000_s1028" style="position:absolute;left:330;top:262;width:68294;height:13;visibility:visible;mso-wrap-style:square;v-text-anchor:top" coordsize="682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" path="m,l6829425,e" filled="f" strokecolor="blue" strokeweight="2pt">
                  <v:path arrowok="t"/>
                </v:shape>
                <w10:wrap anchorx="page"/>
              </v:group>
            </w:pict>
          </mc:Fallback>
        </mc:AlternateContent>
      </w:r>
      <w:r>
        <w:rPr>
          <w:rFonts w:ascii="Arial" w:hAnsi="Arial"/>
          <w:b/>
          <w:sz w:val="20"/>
        </w:rPr>
        <w:t>Informação</w:t>
      </w:r>
      <w:r>
        <w:rPr>
          <w:rFonts w:ascii="Arial" w:hAnsi="Arial"/>
          <w:b/>
          <w:spacing w:val="-7"/>
          <w:sz w:val="20"/>
        </w:rPr>
        <w:t xml:space="preserve"> </w:t>
      </w:r>
      <w:r>
        <w:rPr>
          <w:rFonts w:ascii="Arial" w:hAnsi="Arial"/>
          <w:b/>
          <w:sz w:val="20"/>
        </w:rPr>
        <w:t>Pública</w:t>
      </w:r>
      <w:r>
        <w:rPr>
          <w:rFonts w:ascii="Arial" w:hAnsi="Arial"/>
          <w:b/>
          <w:spacing w:val="-9"/>
          <w:sz w:val="20"/>
        </w:rPr>
        <w:t xml:space="preserve"> </w:t>
      </w:r>
      <w:r>
        <w:rPr>
          <w:rFonts w:ascii="Arial" w:hAnsi="Arial"/>
          <w:b/>
          <w:sz w:val="20"/>
        </w:rPr>
        <w:t>-</w:t>
      </w:r>
      <w:r>
        <w:rPr>
          <w:rFonts w:ascii="Arial" w:hAnsi="Arial"/>
          <w:b/>
          <w:spacing w:val="-6"/>
          <w:sz w:val="20"/>
        </w:rPr>
        <w:t xml:space="preserve"> </w:t>
      </w:r>
      <w:r>
        <w:rPr>
          <w:rFonts w:ascii="Arial MT" w:hAnsi="Arial MT"/>
          <w:sz w:val="20"/>
        </w:rPr>
        <w:t>A</w:t>
      </w:r>
      <w:r>
        <w:rPr>
          <w:rFonts w:ascii="Arial MT" w:hAnsi="Arial MT"/>
          <w:spacing w:val="-10"/>
          <w:sz w:val="20"/>
        </w:rPr>
        <w:t xml:space="preserve"> </w:t>
      </w:r>
      <w:r>
        <w:rPr>
          <w:rFonts w:ascii="Arial MT" w:hAnsi="Arial MT"/>
          <w:sz w:val="20"/>
        </w:rPr>
        <w:t>Telecomunicações</w:t>
      </w:r>
      <w:r>
        <w:rPr>
          <w:rFonts w:ascii="Arial MT" w:hAnsi="Arial MT"/>
          <w:spacing w:val="-9"/>
          <w:sz w:val="20"/>
        </w:rPr>
        <w:t xml:space="preserve"> </w:t>
      </w:r>
      <w:r>
        <w:rPr>
          <w:rFonts w:ascii="Arial MT" w:hAnsi="Arial MT"/>
          <w:sz w:val="20"/>
        </w:rPr>
        <w:t>Brasileiras</w:t>
      </w:r>
      <w:r>
        <w:rPr>
          <w:rFonts w:ascii="Arial MT" w:hAnsi="Arial MT"/>
          <w:spacing w:val="-9"/>
          <w:sz w:val="20"/>
        </w:rPr>
        <w:t xml:space="preserve"> </w:t>
      </w:r>
      <w:r>
        <w:rPr>
          <w:rFonts w:ascii="Arial MT" w:hAnsi="Arial MT"/>
          <w:sz w:val="20"/>
        </w:rPr>
        <w:t>S.A.</w:t>
      </w:r>
      <w:r>
        <w:rPr>
          <w:rFonts w:ascii="Arial MT" w:hAnsi="Arial MT"/>
          <w:spacing w:val="-6"/>
          <w:sz w:val="20"/>
        </w:rPr>
        <w:t xml:space="preserve"> </w:t>
      </w:r>
      <w:r>
        <w:rPr>
          <w:rFonts w:ascii="Arial MT" w:hAnsi="Arial MT"/>
          <w:sz w:val="20"/>
        </w:rPr>
        <w:t>-</w:t>
      </w:r>
      <w:r>
        <w:rPr>
          <w:rFonts w:ascii="Arial MT" w:hAnsi="Arial MT"/>
          <w:spacing w:val="-8"/>
          <w:sz w:val="20"/>
        </w:rPr>
        <w:t xml:space="preserve"> </w:t>
      </w:r>
      <w:r>
        <w:rPr>
          <w:rFonts w:ascii="Arial MT" w:hAnsi="Arial MT"/>
          <w:sz w:val="20"/>
        </w:rPr>
        <w:t>Telebras</w:t>
      </w:r>
      <w:r>
        <w:rPr>
          <w:rFonts w:ascii="Arial MT" w:hAnsi="Arial MT"/>
          <w:spacing w:val="-9"/>
          <w:sz w:val="20"/>
        </w:rPr>
        <w:t xml:space="preserve"> </w:t>
      </w:r>
      <w:r>
        <w:rPr>
          <w:rFonts w:ascii="Arial MT" w:hAnsi="Arial MT"/>
          <w:sz w:val="20"/>
        </w:rPr>
        <w:t>(B3:</w:t>
      </w:r>
      <w:r>
        <w:rPr>
          <w:rFonts w:ascii="Arial MT" w:hAnsi="Arial MT"/>
          <w:spacing w:val="-10"/>
          <w:sz w:val="20"/>
        </w:rPr>
        <w:t xml:space="preserve"> </w:t>
      </w:r>
      <w:r>
        <w:rPr>
          <w:rFonts w:ascii="Arial MT" w:hAnsi="Arial MT"/>
          <w:sz w:val="20"/>
        </w:rPr>
        <w:t>TELB3</w:t>
      </w:r>
      <w:r>
        <w:rPr>
          <w:rFonts w:ascii="Arial MT" w:hAnsi="Arial MT"/>
          <w:spacing w:val="-8"/>
          <w:sz w:val="20"/>
        </w:rPr>
        <w:t xml:space="preserve"> </w:t>
      </w:r>
      <w:r>
        <w:rPr>
          <w:rFonts w:ascii="Arial MT" w:hAnsi="Arial MT"/>
          <w:sz w:val="20"/>
        </w:rPr>
        <w:t>e</w:t>
      </w:r>
      <w:r>
        <w:rPr>
          <w:rFonts w:ascii="Arial MT" w:hAnsi="Arial MT"/>
          <w:spacing w:val="-10"/>
          <w:sz w:val="20"/>
        </w:rPr>
        <w:t xml:space="preserve"> </w:t>
      </w:r>
      <w:r>
        <w:rPr>
          <w:rFonts w:ascii="Arial MT" w:hAnsi="Arial MT"/>
          <w:sz w:val="20"/>
        </w:rPr>
        <w:t>TELB4)</w:t>
      </w:r>
      <w:r>
        <w:rPr>
          <w:rFonts w:ascii="Arial MT" w:hAnsi="Arial MT"/>
          <w:spacing w:val="-9"/>
          <w:sz w:val="20"/>
        </w:rPr>
        <w:t xml:space="preserve"> </w:t>
      </w:r>
      <w:r>
        <w:rPr>
          <w:rFonts w:ascii="Arial MT" w:hAnsi="Arial MT"/>
          <w:sz w:val="20"/>
        </w:rPr>
        <w:t>divulga</w:t>
      </w:r>
      <w:r>
        <w:rPr>
          <w:rFonts w:ascii="Arial MT" w:hAnsi="Arial MT"/>
          <w:spacing w:val="-6"/>
          <w:sz w:val="20"/>
        </w:rPr>
        <w:t xml:space="preserve"> </w:t>
      </w:r>
      <w:r>
        <w:rPr>
          <w:rFonts w:ascii="Arial MT" w:hAnsi="Arial MT"/>
          <w:sz w:val="20"/>
        </w:rPr>
        <w:t>nesse</w:t>
      </w:r>
      <w:r>
        <w:rPr>
          <w:rFonts w:ascii="Arial MT" w:hAnsi="Arial MT"/>
          <w:spacing w:val="-10"/>
          <w:sz w:val="20"/>
        </w:rPr>
        <w:t xml:space="preserve"> </w:t>
      </w:r>
      <w:r>
        <w:rPr>
          <w:rFonts w:ascii="Arial MT" w:hAnsi="Arial MT"/>
          <w:sz w:val="20"/>
        </w:rPr>
        <w:t>documento os comentários de desempenho dos resultados do quarto trimestre do exercício de 2025 (4T25), bem como os resultados dos doze meses de 2025 (2025). As informações operacionais, econômicas e financeiras da Companhia, exceto quando indicado de outra forma, são apresentadas com base em números não consolidados e em Reais, em conformidade com as práticas contábeis adotadas no Brasil (BR GAAP), de acordo com os IFRS, bem como estão alinhados</w:t>
      </w:r>
      <w:r>
        <w:rPr>
          <w:rFonts w:ascii="Arial MT" w:hAnsi="Arial MT"/>
          <w:spacing w:val="-5"/>
          <w:sz w:val="20"/>
        </w:rPr>
        <w:t xml:space="preserve"> </w:t>
      </w:r>
      <w:r>
        <w:rPr>
          <w:rFonts w:ascii="Arial MT" w:hAnsi="Arial MT"/>
          <w:sz w:val="20"/>
        </w:rPr>
        <w:t>com</w:t>
      </w:r>
      <w:r>
        <w:rPr>
          <w:rFonts w:ascii="Arial MT" w:hAnsi="Arial MT"/>
          <w:spacing w:val="-7"/>
          <w:sz w:val="20"/>
        </w:rPr>
        <w:t xml:space="preserve"> </w:t>
      </w:r>
      <w:r>
        <w:rPr>
          <w:rFonts w:ascii="Arial MT" w:hAnsi="Arial MT"/>
          <w:sz w:val="20"/>
        </w:rPr>
        <w:t>o</w:t>
      </w:r>
      <w:r>
        <w:rPr>
          <w:rFonts w:ascii="Arial MT" w:hAnsi="Arial MT"/>
          <w:spacing w:val="-7"/>
          <w:sz w:val="20"/>
        </w:rPr>
        <w:t xml:space="preserve"> </w:t>
      </w:r>
      <w:r>
        <w:rPr>
          <w:rFonts w:ascii="Arial MT" w:hAnsi="Arial MT"/>
          <w:sz w:val="20"/>
        </w:rPr>
        <w:t>IAS</w:t>
      </w:r>
      <w:r>
        <w:rPr>
          <w:rFonts w:ascii="Arial MT" w:hAnsi="Arial MT"/>
          <w:spacing w:val="-3"/>
          <w:sz w:val="20"/>
        </w:rPr>
        <w:t xml:space="preserve"> </w:t>
      </w:r>
      <w:r>
        <w:rPr>
          <w:rFonts w:ascii="Arial MT" w:hAnsi="Arial MT"/>
          <w:sz w:val="20"/>
        </w:rPr>
        <w:t>–</w:t>
      </w:r>
      <w:r>
        <w:rPr>
          <w:rFonts w:ascii="Arial MT" w:hAnsi="Arial MT"/>
          <w:spacing w:val="-7"/>
          <w:sz w:val="20"/>
        </w:rPr>
        <w:t xml:space="preserve"> </w:t>
      </w:r>
      <w:r>
        <w:rPr>
          <w:rFonts w:ascii="Arial MT" w:hAnsi="Arial MT"/>
          <w:sz w:val="20"/>
        </w:rPr>
        <w:t>“</w:t>
      </w:r>
      <w:r>
        <w:rPr>
          <w:rFonts w:ascii="Arial" w:hAnsi="Arial"/>
          <w:i/>
          <w:sz w:val="20"/>
        </w:rPr>
        <w:t>International</w:t>
      </w:r>
      <w:r>
        <w:rPr>
          <w:rFonts w:ascii="Arial" w:hAnsi="Arial"/>
          <w:i/>
          <w:spacing w:val="-7"/>
          <w:sz w:val="20"/>
        </w:rPr>
        <w:t xml:space="preserve"> </w:t>
      </w:r>
      <w:r>
        <w:rPr>
          <w:rFonts w:ascii="Arial" w:hAnsi="Arial"/>
          <w:i/>
          <w:sz w:val="20"/>
        </w:rPr>
        <w:t>Accounting</w:t>
      </w:r>
      <w:r>
        <w:rPr>
          <w:rFonts w:ascii="Arial" w:hAnsi="Arial"/>
          <w:i/>
          <w:spacing w:val="-7"/>
          <w:sz w:val="20"/>
        </w:rPr>
        <w:t xml:space="preserve"> </w:t>
      </w:r>
      <w:r>
        <w:rPr>
          <w:rFonts w:ascii="Arial" w:hAnsi="Arial"/>
          <w:i/>
          <w:sz w:val="20"/>
        </w:rPr>
        <w:t>Standards”</w:t>
      </w:r>
      <w:r>
        <w:rPr>
          <w:rFonts w:ascii="Arial" w:hAnsi="Arial"/>
          <w:i/>
          <w:spacing w:val="-2"/>
          <w:sz w:val="20"/>
        </w:rPr>
        <w:t xml:space="preserve"> </w:t>
      </w:r>
      <w:r>
        <w:rPr>
          <w:rFonts w:ascii="Arial MT" w:hAnsi="Arial MT"/>
          <w:sz w:val="20"/>
        </w:rPr>
        <w:t>nº</w:t>
      </w:r>
      <w:r>
        <w:rPr>
          <w:rFonts w:ascii="Arial MT" w:hAnsi="Arial MT"/>
          <w:spacing w:val="-7"/>
          <w:sz w:val="20"/>
        </w:rPr>
        <w:t xml:space="preserve"> </w:t>
      </w:r>
      <w:r>
        <w:rPr>
          <w:rFonts w:ascii="Arial MT" w:hAnsi="Arial MT"/>
          <w:sz w:val="20"/>
        </w:rPr>
        <w:t>34</w:t>
      </w:r>
      <w:r>
        <w:rPr>
          <w:rFonts w:ascii="Arial MT" w:hAnsi="Arial MT"/>
          <w:spacing w:val="-7"/>
          <w:sz w:val="20"/>
        </w:rPr>
        <w:t xml:space="preserve"> </w:t>
      </w:r>
      <w:r>
        <w:rPr>
          <w:rFonts w:ascii="Arial MT" w:hAnsi="Arial MT"/>
          <w:sz w:val="20"/>
        </w:rPr>
        <w:t>e</w:t>
      </w:r>
      <w:r>
        <w:rPr>
          <w:rFonts w:ascii="Arial MT" w:hAnsi="Arial MT"/>
          <w:spacing w:val="-7"/>
          <w:sz w:val="20"/>
        </w:rPr>
        <w:t xml:space="preserve"> </w:t>
      </w:r>
      <w:r>
        <w:rPr>
          <w:rFonts w:ascii="Arial MT" w:hAnsi="Arial MT"/>
          <w:sz w:val="20"/>
        </w:rPr>
        <w:t>com</w:t>
      </w:r>
      <w:r>
        <w:rPr>
          <w:rFonts w:ascii="Arial MT" w:hAnsi="Arial MT"/>
          <w:spacing w:val="-4"/>
          <w:sz w:val="20"/>
        </w:rPr>
        <w:t xml:space="preserve"> </w:t>
      </w:r>
      <w:r>
        <w:rPr>
          <w:rFonts w:ascii="Arial MT" w:hAnsi="Arial MT"/>
          <w:sz w:val="20"/>
        </w:rPr>
        <w:t>o</w:t>
      </w:r>
      <w:r>
        <w:rPr>
          <w:rFonts w:ascii="Arial MT" w:hAnsi="Arial MT"/>
          <w:spacing w:val="-7"/>
          <w:sz w:val="20"/>
        </w:rPr>
        <w:t xml:space="preserve"> </w:t>
      </w:r>
      <w:r>
        <w:rPr>
          <w:rFonts w:ascii="Arial MT" w:hAnsi="Arial MT"/>
          <w:sz w:val="20"/>
        </w:rPr>
        <w:t>pronunciamento</w:t>
      </w:r>
      <w:r>
        <w:rPr>
          <w:rFonts w:ascii="Arial MT" w:hAnsi="Arial MT"/>
          <w:spacing w:val="-7"/>
          <w:sz w:val="20"/>
        </w:rPr>
        <w:t xml:space="preserve"> </w:t>
      </w:r>
      <w:r>
        <w:rPr>
          <w:rFonts w:ascii="Arial MT" w:hAnsi="Arial MT"/>
          <w:sz w:val="20"/>
        </w:rPr>
        <w:t>técnico</w:t>
      </w:r>
      <w:r>
        <w:rPr>
          <w:rFonts w:ascii="Arial MT" w:hAnsi="Arial MT"/>
          <w:spacing w:val="-7"/>
          <w:sz w:val="20"/>
        </w:rPr>
        <w:t xml:space="preserve"> </w:t>
      </w:r>
      <w:r>
        <w:rPr>
          <w:rFonts w:ascii="Arial MT" w:hAnsi="Arial MT"/>
          <w:sz w:val="20"/>
        </w:rPr>
        <w:t>emitido</w:t>
      </w:r>
      <w:r>
        <w:rPr>
          <w:rFonts w:ascii="Arial MT" w:hAnsi="Arial MT"/>
          <w:spacing w:val="-7"/>
          <w:sz w:val="20"/>
        </w:rPr>
        <w:t xml:space="preserve"> </w:t>
      </w:r>
      <w:r>
        <w:rPr>
          <w:rFonts w:ascii="Arial MT" w:hAnsi="Arial MT"/>
          <w:sz w:val="20"/>
        </w:rPr>
        <w:t>pelo</w:t>
      </w:r>
      <w:r>
        <w:rPr>
          <w:rFonts w:ascii="Arial MT" w:hAnsi="Arial MT"/>
          <w:spacing w:val="-7"/>
          <w:sz w:val="20"/>
        </w:rPr>
        <w:t xml:space="preserve"> </w:t>
      </w:r>
      <w:r>
        <w:rPr>
          <w:rFonts w:ascii="Arial MT" w:hAnsi="Arial MT"/>
          <w:sz w:val="20"/>
        </w:rPr>
        <w:t>CPC</w:t>
      </w:r>
      <w:r>
        <w:rPr>
          <w:rFonts w:ascii="Arial MT" w:hAnsi="Arial MT"/>
          <w:spacing w:val="-2"/>
          <w:sz w:val="20"/>
        </w:rPr>
        <w:t xml:space="preserve"> </w:t>
      </w:r>
      <w:r>
        <w:rPr>
          <w:rFonts w:ascii="Arial MT" w:hAnsi="Arial MT"/>
          <w:sz w:val="20"/>
        </w:rPr>
        <w:t>– Comitê de Pronunciamentos Contábeis nº 21 (R1), que tratam das informações contábeis intermediárias. As comparações realizadas neste comunicado levam em consideração o quarto trimestre de 2024 (4T24) e o terceiro trimestre de 2025 (3T25) e os doze meses de 2024 (2024), exceto quando especificado em contrário.</w:t>
      </w:r>
    </w:p>
    <w:p w14:paraId="69E09D57" w14:textId="77777777" w:rsidR="002C6574" w:rsidRDefault="002C6574">
      <w:pPr>
        <w:pStyle w:val="Corpodetexto"/>
        <w:rPr>
          <w:rFonts w:ascii="Arial MT"/>
          <w:sz w:val="20"/>
        </w:rPr>
      </w:pPr>
    </w:p>
    <w:p w14:paraId="69010611" w14:textId="77777777" w:rsidR="002C6574" w:rsidRDefault="002C6574">
      <w:pPr>
        <w:pStyle w:val="Corpodetexto"/>
        <w:rPr>
          <w:rFonts w:ascii="Arial MT"/>
          <w:sz w:val="20"/>
        </w:rPr>
      </w:pPr>
    </w:p>
    <w:p w14:paraId="6752B6DB" w14:textId="77777777" w:rsidR="002C6574" w:rsidRDefault="002C6574">
      <w:pPr>
        <w:pStyle w:val="Corpodetexto"/>
        <w:spacing w:before="186"/>
        <w:rPr>
          <w:rFonts w:ascii="Arial MT"/>
          <w:sz w:val="20"/>
        </w:rPr>
      </w:pPr>
    </w:p>
    <w:p w14:paraId="6B3DD2FC" w14:textId="77777777" w:rsidR="002C6574" w:rsidRDefault="00000000">
      <w:pPr>
        <w:pStyle w:val="Ttulo8"/>
        <w:jc w:val="both"/>
        <w:rPr>
          <w:rFonts w:ascii="Arial" w:hAnsi="Arial"/>
        </w:rPr>
      </w:pPr>
      <w:r>
        <w:rPr>
          <w:rFonts w:ascii="Arial" w:hAnsi="Arial"/>
          <w:smallCaps/>
          <w:u w:val="single"/>
        </w:rPr>
        <w:t>Contrato</w:t>
      </w:r>
      <w:r>
        <w:rPr>
          <w:rFonts w:ascii="Arial" w:hAnsi="Arial"/>
          <w:smallCaps/>
          <w:spacing w:val="30"/>
          <w:u w:val="single"/>
        </w:rPr>
        <w:t xml:space="preserve"> </w:t>
      </w:r>
      <w:r>
        <w:rPr>
          <w:rFonts w:ascii="Arial" w:hAnsi="Arial"/>
          <w:smallCaps/>
          <w:u w:val="single"/>
        </w:rPr>
        <w:t>de</w:t>
      </w:r>
      <w:r>
        <w:rPr>
          <w:rFonts w:ascii="Arial" w:hAnsi="Arial"/>
          <w:smallCaps/>
          <w:spacing w:val="33"/>
          <w:u w:val="single"/>
        </w:rPr>
        <w:t xml:space="preserve"> </w:t>
      </w:r>
      <w:r>
        <w:rPr>
          <w:rFonts w:ascii="Arial" w:hAnsi="Arial"/>
          <w:smallCaps/>
          <w:u w:val="single"/>
        </w:rPr>
        <w:t>Gestão</w:t>
      </w:r>
      <w:r>
        <w:rPr>
          <w:rFonts w:ascii="Arial" w:hAnsi="Arial"/>
          <w:smallCaps/>
          <w:spacing w:val="30"/>
          <w:u w:val="single"/>
        </w:rPr>
        <w:t xml:space="preserve"> </w:t>
      </w:r>
      <w:r>
        <w:rPr>
          <w:rFonts w:ascii="Arial" w:hAnsi="Arial"/>
          <w:smallCaps/>
          <w:u w:val="single"/>
        </w:rPr>
        <w:t>e</w:t>
      </w:r>
      <w:r>
        <w:rPr>
          <w:rFonts w:ascii="Arial" w:hAnsi="Arial"/>
          <w:smallCaps/>
          <w:spacing w:val="31"/>
          <w:u w:val="single"/>
        </w:rPr>
        <w:t xml:space="preserve"> </w:t>
      </w:r>
      <w:r>
        <w:rPr>
          <w:rFonts w:ascii="Arial" w:hAnsi="Arial"/>
          <w:smallCaps/>
          <w:u w:val="single"/>
        </w:rPr>
        <w:t>Plano</w:t>
      </w:r>
      <w:r>
        <w:rPr>
          <w:rFonts w:ascii="Arial" w:hAnsi="Arial"/>
          <w:smallCaps/>
          <w:spacing w:val="33"/>
          <w:u w:val="single"/>
        </w:rPr>
        <w:t xml:space="preserve"> </w:t>
      </w:r>
      <w:r>
        <w:rPr>
          <w:rFonts w:ascii="Arial" w:hAnsi="Arial"/>
          <w:smallCaps/>
          <w:u w:val="single"/>
        </w:rPr>
        <w:t>De</w:t>
      </w:r>
      <w:r>
        <w:rPr>
          <w:rFonts w:ascii="Arial" w:hAnsi="Arial"/>
          <w:smallCaps/>
          <w:spacing w:val="30"/>
          <w:u w:val="single"/>
        </w:rPr>
        <w:t xml:space="preserve"> </w:t>
      </w:r>
      <w:r>
        <w:rPr>
          <w:rFonts w:ascii="Arial" w:hAnsi="Arial"/>
          <w:smallCaps/>
          <w:u w:val="single"/>
        </w:rPr>
        <w:t>Sustentabilidade</w:t>
      </w:r>
      <w:r>
        <w:rPr>
          <w:rFonts w:ascii="Arial" w:hAnsi="Arial"/>
          <w:smallCaps/>
          <w:spacing w:val="34"/>
          <w:u w:val="single"/>
        </w:rPr>
        <w:t xml:space="preserve"> </w:t>
      </w:r>
      <w:r>
        <w:rPr>
          <w:rFonts w:ascii="Arial" w:hAnsi="Arial"/>
          <w:smallCaps/>
          <w:u w:val="single"/>
        </w:rPr>
        <w:t>Econômico-</w:t>
      </w:r>
      <w:r>
        <w:rPr>
          <w:rFonts w:ascii="Arial" w:hAnsi="Arial"/>
          <w:smallCaps/>
          <w:spacing w:val="-2"/>
          <w:u w:val="single"/>
        </w:rPr>
        <w:t>Financeira</w:t>
      </w:r>
    </w:p>
    <w:p w14:paraId="3DD40F2C" w14:textId="77777777" w:rsidR="002C6574" w:rsidRDefault="002C6574">
      <w:pPr>
        <w:pStyle w:val="Corpodetexto"/>
        <w:spacing w:before="39"/>
        <w:rPr>
          <w:rFonts w:ascii="Arial"/>
          <w:b/>
        </w:rPr>
      </w:pPr>
    </w:p>
    <w:p w14:paraId="0B56EE1E" w14:textId="77777777" w:rsidR="002C6574" w:rsidRDefault="00000000">
      <w:pPr>
        <w:pStyle w:val="Corpodetexto"/>
        <w:spacing w:line="276" w:lineRule="auto"/>
        <w:ind w:left="427" w:right="135"/>
        <w:jc w:val="both"/>
        <w:rPr>
          <w:rFonts w:ascii="Arial MT" w:hAnsi="Arial MT"/>
        </w:rPr>
      </w:pPr>
      <w:r>
        <w:rPr>
          <w:rFonts w:ascii="Arial MT" w:hAnsi="Arial MT"/>
        </w:rPr>
        <w:t>Em 05</w:t>
      </w:r>
      <w:r>
        <w:rPr>
          <w:rFonts w:ascii="Arial MT" w:hAnsi="Arial MT"/>
          <w:spacing w:val="-2"/>
        </w:rPr>
        <w:t xml:space="preserve"> </w:t>
      </w:r>
      <w:r>
        <w:rPr>
          <w:rFonts w:ascii="Arial MT" w:hAnsi="Arial MT"/>
        </w:rPr>
        <w:t>de</w:t>
      </w:r>
      <w:r>
        <w:rPr>
          <w:rFonts w:ascii="Arial MT" w:hAnsi="Arial MT"/>
          <w:spacing w:val="-4"/>
        </w:rPr>
        <w:t xml:space="preserve"> </w:t>
      </w:r>
      <w:r>
        <w:rPr>
          <w:rFonts w:ascii="Arial MT" w:hAnsi="Arial MT"/>
        </w:rPr>
        <w:t>setembro</w:t>
      </w:r>
      <w:r>
        <w:rPr>
          <w:rFonts w:ascii="Arial MT" w:hAnsi="Arial MT"/>
          <w:spacing w:val="-1"/>
        </w:rPr>
        <w:t xml:space="preserve"> </w:t>
      </w:r>
      <w:r>
        <w:rPr>
          <w:rFonts w:ascii="Arial MT" w:hAnsi="Arial MT"/>
        </w:rPr>
        <w:t>de</w:t>
      </w:r>
      <w:r>
        <w:rPr>
          <w:rFonts w:ascii="Arial MT" w:hAnsi="Arial MT"/>
          <w:spacing w:val="-2"/>
        </w:rPr>
        <w:t xml:space="preserve"> </w:t>
      </w:r>
      <w:r>
        <w:rPr>
          <w:rFonts w:ascii="Arial MT" w:hAnsi="Arial MT"/>
        </w:rPr>
        <w:t>2025,</w:t>
      </w:r>
      <w:r>
        <w:rPr>
          <w:rFonts w:ascii="Arial MT" w:hAnsi="Arial MT"/>
          <w:spacing w:val="-1"/>
        </w:rPr>
        <w:t xml:space="preserve"> </w:t>
      </w:r>
      <w:r>
        <w:rPr>
          <w:rFonts w:ascii="Arial MT" w:hAnsi="Arial MT"/>
        </w:rPr>
        <w:t>a</w:t>
      </w:r>
      <w:r>
        <w:rPr>
          <w:rFonts w:ascii="Arial MT" w:hAnsi="Arial MT"/>
          <w:spacing w:val="-2"/>
        </w:rPr>
        <w:t xml:space="preserve"> </w:t>
      </w:r>
      <w:r>
        <w:rPr>
          <w:rFonts w:ascii="Arial MT" w:hAnsi="Arial MT"/>
        </w:rPr>
        <w:t>Telecomunicações Brasileiras S.A. –</w:t>
      </w:r>
      <w:r>
        <w:rPr>
          <w:rFonts w:ascii="Arial MT" w:hAnsi="Arial MT"/>
          <w:spacing w:val="-2"/>
        </w:rPr>
        <w:t xml:space="preserve"> </w:t>
      </w:r>
      <w:r>
        <w:rPr>
          <w:rFonts w:ascii="Arial MT" w:hAnsi="Arial MT"/>
        </w:rPr>
        <w:t>Telebras</w:t>
      </w:r>
      <w:r>
        <w:rPr>
          <w:rFonts w:ascii="Arial MT" w:hAnsi="Arial MT"/>
          <w:spacing w:val="-1"/>
        </w:rPr>
        <w:t xml:space="preserve"> </w:t>
      </w:r>
      <w:r>
        <w:rPr>
          <w:rFonts w:ascii="Arial MT" w:hAnsi="Arial MT"/>
        </w:rPr>
        <w:t>celebrou</w:t>
      </w:r>
      <w:r>
        <w:rPr>
          <w:rFonts w:ascii="Arial MT" w:hAnsi="Arial MT"/>
          <w:spacing w:val="-2"/>
        </w:rPr>
        <w:t xml:space="preserve"> </w:t>
      </w:r>
      <w:r>
        <w:rPr>
          <w:rFonts w:ascii="Arial MT" w:hAnsi="Arial MT"/>
        </w:rPr>
        <w:t>Contrato</w:t>
      </w:r>
      <w:r>
        <w:rPr>
          <w:rFonts w:ascii="Arial MT" w:hAnsi="Arial MT"/>
          <w:spacing w:val="-1"/>
        </w:rPr>
        <w:t xml:space="preserve"> </w:t>
      </w:r>
      <w:r>
        <w:rPr>
          <w:rFonts w:ascii="Arial MT" w:hAnsi="Arial MT"/>
        </w:rPr>
        <w:t>de</w:t>
      </w:r>
      <w:r>
        <w:rPr>
          <w:rFonts w:ascii="Arial MT" w:hAnsi="Arial MT"/>
          <w:spacing w:val="-2"/>
        </w:rPr>
        <w:t xml:space="preserve"> </w:t>
      </w:r>
      <w:r>
        <w:rPr>
          <w:rFonts w:ascii="Arial MT" w:hAnsi="Arial MT"/>
        </w:rPr>
        <w:t>Gestão com seu órgão supervisor, o Ministério das Comunicações, em conformidade com a Portaria Conjunta MGI/MPO/MF nº 57, de 11 de agosto de 2025, que regulamenta o Decreto nº 12.500, de 11 de junho de 2025 e a Lei nº 13.303/2016.</w:t>
      </w:r>
    </w:p>
    <w:p w14:paraId="20F9B44A" w14:textId="77777777" w:rsidR="002C6574" w:rsidRDefault="00000000">
      <w:pPr>
        <w:pStyle w:val="Corpodetexto"/>
        <w:spacing w:before="162"/>
        <w:ind w:left="427"/>
        <w:jc w:val="both"/>
        <w:rPr>
          <w:rFonts w:ascii="Arial MT" w:hAnsi="Arial MT"/>
        </w:rPr>
      </w:pPr>
      <w:r>
        <w:rPr>
          <w:rFonts w:ascii="Arial MT" w:hAnsi="Arial MT"/>
        </w:rPr>
        <w:t>O</w:t>
      </w:r>
      <w:r>
        <w:rPr>
          <w:rFonts w:ascii="Arial MT" w:hAnsi="Arial MT"/>
          <w:spacing w:val="2"/>
        </w:rPr>
        <w:t xml:space="preserve"> </w:t>
      </w:r>
      <w:r>
        <w:rPr>
          <w:rFonts w:ascii="Arial MT" w:hAnsi="Arial MT"/>
        </w:rPr>
        <w:t>contrato tem</w:t>
      </w:r>
      <w:r>
        <w:rPr>
          <w:rFonts w:ascii="Arial MT" w:hAnsi="Arial MT"/>
          <w:spacing w:val="3"/>
        </w:rPr>
        <w:t xml:space="preserve"> </w:t>
      </w:r>
      <w:r>
        <w:rPr>
          <w:rFonts w:ascii="Arial MT" w:hAnsi="Arial MT"/>
        </w:rPr>
        <w:t>como</w:t>
      </w:r>
      <w:r>
        <w:rPr>
          <w:rFonts w:ascii="Arial MT" w:hAnsi="Arial MT"/>
          <w:spacing w:val="2"/>
        </w:rPr>
        <w:t xml:space="preserve"> </w:t>
      </w:r>
      <w:r>
        <w:rPr>
          <w:rFonts w:ascii="Arial MT" w:hAnsi="Arial MT"/>
        </w:rPr>
        <w:t>fundamento</w:t>
      </w:r>
      <w:r>
        <w:rPr>
          <w:rFonts w:ascii="Arial MT" w:hAnsi="Arial MT"/>
          <w:spacing w:val="2"/>
        </w:rPr>
        <w:t xml:space="preserve"> </w:t>
      </w:r>
      <w:r>
        <w:rPr>
          <w:rFonts w:ascii="Arial MT" w:hAnsi="Arial MT"/>
        </w:rPr>
        <w:t>o</w:t>
      </w:r>
      <w:r>
        <w:rPr>
          <w:rFonts w:ascii="Arial MT" w:hAnsi="Arial MT"/>
          <w:spacing w:val="2"/>
        </w:rPr>
        <w:t xml:space="preserve"> </w:t>
      </w:r>
      <w:r>
        <w:rPr>
          <w:rFonts w:ascii="Arial MT" w:hAnsi="Arial MT"/>
        </w:rPr>
        <w:t>art.</w:t>
      </w:r>
      <w:r>
        <w:rPr>
          <w:rFonts w:ascii="Arial MT" w:hAnsi="Arial MT"/>
          <w:spacing w:val="2"/>
        </w:rPr>
        <w:t xml:space="preserve"> </w:t>
      </w:r>
      <w:r>
        <w:rPr>
          <w:rFonts w:ascii="Arial MT" w:hAnsi="Arial MT"/>
        </w:rPr>
        <w:t>47</w:t>
      </w:r>
      <w:r>
        <w:rPr>
          <w:rFonts w:ascii="Arial MT" w:hAnsi="Arial MT"/>
          <w:spacing w:val="2"/>
        </w:rPr>
        <w:t xml:space="preserve"> </w:t>
      </w:r>
      <w:r>
        <w:rPr>
          <w:rFonts w:ascii="Arial MT" w:hAnsi="Arial MT"/>
        </w:rPr>
        <w:t>da</w:t>
      </w:r>
      <w:r>
        <w:rPr>
          <w:rFonts w:ascii="Arial MT" w:hAnsi="Arial MT"/>
          <w:spacing w:val="2"/>
        </w:rPr>
        <w:t xml:space="preserve"> </w:t>
      </w:r>
      <w:r>
        <w:rPr>
          <w:rFonts w:ascii="Arial MT" w:hAnsi="Arial MT"/>
        </w:rPr>
        <w:t>Lei</w:t>
      </w:r>
      <w:r>
        <w:rPr>
          <w:rFonts w:ascii="Arial MT" w:hAnsi="Arial MT"/>
          <w:spacing w:val="4"/>
        </w:rPr>
        <w:t xml:space="preserve"> </w:t>
      </w:r>
      <w:r>
        <w:rPr>
          <w:rFonts w:ascii="Arial MT" w:hAnsi="Arial MT"/>
        </w:rPr>
        <w:t>Complementar</w:t>
      </w:r>
      <w:r>
        <w:rPr>
          <w:rFonts w:ascii="Arial MT" w:hAnsi="Arial MT"/>
          <w:spacing w:val="5"/>
        </w:rPr>
        <w:t xml:space="preserve"> </w:t>
      </w:r>
      <w:r>
        <w:rPr>
          <w:rFonts w:ascii="Arial MT" w:hAnsi="Arial MT"/>
        </w:rPr>
        <w:t>nº</w:t>
      </w:r>
      <w:r>
        <w:rPr>
          <w:rFonts w:ascii="Arial MT" w:hAnsi="Arial MT"/>
          <w:spacing w:val="2"/>
        </w:rPr>
        <w:t xml:space="preserve"> </w:t>
      </w:r>
      <w:r>
        <w:rPr>
          <w:rFonts w:ascii="Arial MT" w:hAnsi="Arial MT"/>
        </w:rPr>
        <w:t>101/2001,</w:t>
      </w:r>
      <w:r>
        <w:rPr>
          <w:rFonts w:ascii="Arial MT" w:hAnsi="Arial MT"/>
          <w:spacing w:val="5"/>
        </w:rPr>
        <w:t xml:space="preserve"> </w:t>
      </w:r>
      <w:r>
        <w:rPr>
          <w:rFonts w:ascii="Arial MT" w:hAnsi="Arial MT"/>
        </w:rPr>
        <w:t>os</w:t>
      </w:r>
      <w:r>
        <w:rPr>
          <w:rFonts w:ascii="Arial MT" w:hAnsi="Arial MT"/>
          <w:spacing w:val="5"/>
        </w:rPr>
        <w:t xml:space="preserve"> </w:t>
      </w:r>
      <w:r>
        <w:rPr>
          <w:rFonts w:ascii="Arial MT" w:hAnsi="Arial MT"/>
        </w:rPr>
        <w:t>arts.</w:t>
      </w:r>
      <w:r>
        <w:rPr>
          <w:rFonts w:ascii="Arial MT" w:hAnsi="Arial MT"/>
          <w:spacing w:val="3"/>
        </w:rPr>
        <w:t xml:space="preserve"> </w:t>
      </w:r>
      <w:r>
        <w:rPr>
          <w:rFonts w:ascii="Arial MT" w:hAnsi="Arial MT"/>
        </w:rPr>
        <w:t>6º,</w:t>
      </w:r>
      <w:r>
        <w:rPr>
          <w:rFonts w:ascii="Arial MT" w:hAnsi="Arial MT"/>
          <w:spacing w:val="2"/>
        </w:rPr>
        <w:t xml:space="preserve"> </w:t>
      </w:r>
      <w:r>
        <w:rPr>
          <w:rFonts w:ascii="Arial MT" w:hAnsi="Arial MT"/>
        </w:rPr>
        <w:t>§§</w:t>
      </w:r>
      <w:r>
        <w:rPr>
          <w:rFonts w:ascii="Arial MT" w:hAnsi="Arial MT"/>
          <w:spacing w:val="4"/>
        </w:rPr>
        <w:t xml:space="preserve"> </w:t>
      </w:r>
      <w:r>
        <w:rPr>
          <w:rFonts w:ascii="Arial MT" w:hAnsi="Arial MT"/>
        </w:rPr>
        <w:t>2º</w:t>
      </w:r>
      <w:r>
        <w:rPr>
          <w:rFonts w:ascii="Arial MT" w:hAnsi="Arial MT"/>
          <w:spacing w:val="3"/>
        </w:rPr>
        <w:t xml:space="preserve"> </w:t>
      </w:r>
      <w:r>
        <w:rPr>
          <w:rFonts w:ascii="Arial MT" w:hAnsi="Arial MT"/>
        </w:rPr>
        <w:t>a</w:t>
      </w:r>
      <w:r>
        <w:rPr>
          <w:rFonts w:ascii="Arial MT" w:hAnsi="Arial MT"/>
          <w:spacing w:val="-1"/>
        </w:rPr>
        <w:t xml:space="preserve"> </w:t>
      </w:r>
      <w:r>
        <w:rPr>
          <w:rFonts w:ascii="Arial MT" w:hAnsi="Arial MT"/>
        </w:rPr>
        <w:t>4º,</w:t>
      </w:r>
      <w:r>
        <w:rPr>
          <w:rFonts w:ascii="Arial MT" w:hAnsi="Arial MT"/>
          <w:spacing w:val="4"/>
        </w:rPr>
        <w:t xml:space="preserve"> </w:t>
      </w:r>
      <w:r>
        <w:rPr>
          <w:rFonts w:ascii="Arial MT" w:hAnsi="Arial MT"/>
        </w:rPr>
        <w:t>e</w:t>
      </w:r>
      <w:r>
        <w:rPr>
          <w:rFonts w:ascii="Arial MT" w:hAnsi="Arial MT"/>
          <w:spacing w:val="2"/>
        </w:rPr>
        <w:t xml:space="preserve"> </w:t>
      </w:r>
      <w:r>
        <w:rPr>
          <w:rFonts w:ascii="Arial MT" w:hAnsi="Arial MT"/>
          <w:spacing w:val="-5"/>
        </w:rPr>
        <w:t>48,</w:t>
      </w:r>
    </w:p>
    <w:p w14:paraId="268647FC" w14:textId="77777777" w:rsidR="002C6574" w:rsidRDefault="00000000">
      <w:pPr>
        <w:pStyle w:val="Corpodetexto"/>
        <w:spacing w:before="37" w:line="278" w:lineRule="auto"/>
        <w:ind w:left="427" w:right="138"/>
        <w:jc w:val="both"/>
        <w:rPr>
          <w:rFonts w:ascii="Arial MT" w:hAnsi="Arial MT"/>
        </w:rPr>
      </w:pPr>
      <w:r>
        <w:rPr>
          <w:rFonts w:ascii="Arial MT" w:hAnsi="Arial MT"/>
        </w:rPr>
        <w:t>§§</w:t>
      </w:r>
      <w:r>
        <w:rPr>
          <w:rFonts w:ascii="Arial MT" w:hAnsi="Arial MT"/>
          <w:spacing w:val="-7"/>
        </w:rPr>
        <w:t xml:space="preserve"> </w:t>
      </w:r>
      <w:r>
        <w:rPr>
          <w:rFonts w:ascii="Arial MT" w:hAnsi="Arial MT"/>
        </w:rPr>
        <w:t>6º</w:t>
      </w:r>
      <w:r>
        <w:rPr>
          <w:rFonts w:ascii="Arial MT" w:hAnsi="Arial MT"/>
          <w:spacing w:val="-5"/>
        </w:rPr>
        <w:t xml:space="preserve"> </w:t>
      </w:r>
      <w:r>
        <w:rPr>
          <w:rFonts w:ascii="Arial MT" w:hAnsi="Arial MT"/>
        </w:rPr>
        <w:t>a</w:t>
      </w:r>
      <w:r>
        <w:rPr>
          <w:rFonts w:ascii="Arial MT" w:hAnsi="Arial MT"/>
          <w:spacing w:val="-6"/>
        </w:rPr>
        <w:t xml:space="preserve"> </w:t>
      </w:r>
      <w:r>
        <w:rPr>
          <w:rFonts w:ascii="Arial MT" w:hAnsi="Arial MT"/>
        </w:rPr>
        <w:t>8º,</w:t>
      </w:r>
      <w:r>
        <w:rPr>
          <w:rFonts w:ascii="Arial MT" w:hAnsi="Arial MT"/>
          <w:spacing w:val="-5"/>
        </w:rPr>
        <w:t xml:space="preserve"> </w:t>
      </w:r>
      <w:r>
        <w:rPr>
          <w:rFonts w:ascii="Arial MT" w:hAnsi="Arial MT"/>
        </w:rPr>
        <w:t>da</w:t>
      </w:r>
      <w:r>
        <w:rPr>
          <w:rFonts w:ascii="Arial MT" w:hAnsi="Arial MT"/>
          <w:spacing w:val="-7"/>
        </w:rPr>
        <w:t xml:space="preserve"> </w:t>
      </w:r>
      <w:r>
        <w:rPr>
          <w:rFonts w:ascii="Arial MT" w:hAnsi="Arial MT"/>
        </w:rPr>
        <w:t>Lei</w:t>
      </w:r>
      <w:r>
        <w:rPr>
          <w:rFonts w:ascii="Arial MT" w:hAnsi="Arial MT"/>
          <w:spacing w:val="-7"/>
        </w:rPr>
        <w:t xml:space="preserve"> </w:t>
      </w:r>
      <w:r>
        <w:rPr>
          <w:rFonts w:ascii="Arial MT" w:hAnsi="Arial MT"/>
        </w:rPr>
        <w:t>nº</w:t>
      </w:r>
      <w:r>
        <w:rPr>
          <w:rFonts w:ascii="Arial MT" w:hAnsi="Arial MT"/>
          <w:spacing w:val="-5"/>
        </w:rPr>
        <w:t xml:space="preserve"> </w:t>
      </w:r>
      <w:r>
        <w:rPr>
          <w:rFonts w:ascii="Arial MT" w:hAnsi="Arial MT"/>
        </w:rPr>
        <w:t>15.080/2024,</w:t>
      </w:r>
      <w:r>
        <w:rPr>
          <w:rFonts w:ascii="Arial MT" w:hAnsi="Arial MT"/>
          <w:spacing w:val="-5"/>
        </w:rPr>
        <w:t xml:space="preserve"> </w:t>
      </w:r>
      <w:r>
        <w:rPr>
          <w:rFonts w:ascii="Arial MT" w:hAnsi="Arial MT"/>
        </w:rPr>
        <w:t>bem</w:t>
      </w:r>
      <w:r>
        <w:rPr>
          <w:rFonts w:ascii="Arial MT" w:hAnsi="Arial MT"/>
          <w:spacing w:val="-5"/>
        </w:rPr>
        <w:t xml:space="preserve"> </w:t>
      </w:r>
      <w:r>
        <w:rPr>
          <w:rFonts w:ascii="Arial MT" w:hAnsi="Arial MT"/>
        </w:rPr>
        <w:t>como</w:t>
      </w:r>
      <w:r>
        <w:rPr>
          <w:rFonts w:ascii="Arial MT" w:hAnsi="Arial MT"/>
          <w:spacing w:val="-6"/>
        </w:rPr>
        <w:t xml:space="preserve"> </w:t>
      </w:r>
      <w:r>
        <w:rPr>
          <w:rFonts w:ascii="Arial MT" w:hAnsi="Arial MT"/>
        </w:rPr>
        <w:t>as</w:t>
      </w:r>
      <w:r>
        <w:rPr>
          <w:rFonts w:ascii="Arial MT" w:hAnsi="Arial MT"/>
          <w:spacing w:val="-6"/>
        </w:rPr>
        <w:t xml:space="preserve"> </w:t>
      </w:r>
      <w:r>
        <w:rPr>
          <w:rFonts w:ascii="Arial MT" w:hAnsi="Arial MT"/>
        </w:rPr>
        <w:t>normas</w:t>
      </w:r>
      <w:r>
        <w:rPr>
          <w:rFonts w:ascii="Arial MT" w:hAnsi="Arial MT"/>
          <w:spacing w:val="-6"/>
        </w:rPr>
        <w:t xml:space="preserve"> </w:t>
      </w:r>
      <w:r>
        <w:rPr>
          <w:rFonts w:ascii="Arial MT" w:hAnsi="Arial MT"/>
        </w:rPr>
        <w:t>e</w:t>
      </w:r>
      <w:r>
        <w:rPr>
          <w:rFonts w:ascii="Arial MT" w:hAnsi="Arial MT"/>
          <w:spacing w:val="-9"/>
        </w:rPr>
        <w:t xml:space="preserve"> </w:t>
      </w:r>
      <w:r>
        <w:rPr>
          <w:rFonts w:ascii="Arial MT" w:hAnsi="Arial MT"/>
        </w:rPr>
        <w:t>regulamentações</w:t>
      </w:r>
      <w:r>
        <w:rPr>
          <w:rFonts w:ascii="Arial MT" w:hAnsi="Arial MT"/>
          <w:spacing w:val="-6"/>
        </w:rPr>
        <w:t xml:space="preserve"> </w:t>
      </w:r>
      <w:r>
        <w:rPr>
          <w:rFonts w:ascii="Arial MT" w:hAnsi="Arial MT"/>
        </w:rPr>
        <w:t>específicas</w:t>
      </w:r>
      <w:r>
        <w:rPr>
          <w:rFonts w:ascii="Arial MT" w:hAnsi="Arial MT"/>
          <w:spacing w:val="-6"/>
        </w:rPr>
        <w:t xml:space="preserve"> </w:t>
      </w:r>
      <w:r>
        <w:rPr>
          <w:rFonts w:ascii="Arial MT" w:hAnsi="Arial MT"/>
        </w:rPr>
        <w:t>editadas</w:t>
      </w:r>
      <w:r>
        <w:rPr>
          <w:rFonts w:ascii="Arial MT" w:hAnsi="Arial MT"/>
          <w:spacing w:val="-6"/>
        </w:rPr>
        <w:t xml:space="preserve"> </w:t>
      </w:r>
      <w:r>
        <w:rPr>
          <w:rFonts w:ascii="Arial MT" w:hAnsi="Arial MT"/>
        </w:rPr>
        <w:t>pelo</w:t>
      </w:r>
      <w:r>
        <w:rPr>
          <w:rFonts w:ascii="Arial MT" w:hAnsi="Arial MT"/>
          <w:spacing w:val="-6"/>
        </w:rPr>
        <w:t xml:space="preserve"> </w:t>
      </w:r>
      <w:r>
        <w:rPr>
          <w:rFonts w:ascii="Arial MT" w:hAnsi="Arial MT"/>
        </w:rPr>
        <w:t>órgão central do Sistema de Coordenação da Governança e da Supervisão Ministerial das Empresas Estatais Federais – SISEST/MGI.</w:t>
      </w:r>
    </w:p>
    <w:p w14:paraId="088464DE" w14:textId="77777777" w:rsidR="002C6574" w:rsidRDefault="00000000">
      <w:pPr>
        <w:pStyle w:val="Corpodetexto"/>
        <w:spacing w:before="154" w:line="276" w:lineRule="auto"/>
        <w:ind w:left="427" w:right="136"/>
        <w:jc w:val="both"/>
        <w:rPr>
          <w:rFonts w:ascii="Arial MT" w:hAnsi="Arial MT"/>
        </w:rPr>
      </w:pPr>
      <w:r>
        <w:rPr>
          <w:rFonts w:ascii="Arial MT" w:hAnsi="Arial MT"/>
        </w:rPr>
        <w:t>O</w:t>
      </w:r>
      <w:r>
        <w:rPr>
          <w:rFonts w:ascii="Arial MT" w:hAnsi="Arial MT"/>
          <w:spacing w:val="-6"/>
        </w:rPr>
        <w:t xml:space="preserve"> </w:t>
      </w:r>
      <w:r>
        <w:rPr>
          <w:rFonts w:ascii="Arial MT" w:hAnsi="Arial MT"/>
        </w:rPr>
        <w:t>Contrato</w:t>
      </w:r>
      <w:r>
        <w:rPr>
          <w:rFonts w:ascii="Arial MT" w:hAnsi="Arial MT"/>
          <w:spacing w:val="-7"/>
        </w:rPr>
        <w:t xml:space="preserve"> </w:t>
      </w:r>
      <w:r>
        <w:rPr>
          <w:rFonts w:ascii="Arial MT" w:hAnsi="Arial MT"/>
        </w:rPr>
        <w:t>de</w:t>
      </w:r>
      <w:r>
        <w:rPr>
          <w:rFonts w:ascii="Arial MT" w:hAnsi="Arial MT"/>
          <w:spacing w:val="-11"/>
        </w:rPr>
        <w:t xml:space="preserve"> </w:t>
      </w:r>
      <w:r>
        <w:rPr>
          <w:rFonts w:ascii="Arial MT" w:hAnsi="Arial MT"/>
        </w:rPr>
        <w:t>Gestão,</w:t>
      </w:r>
      <w:r>
        <w:rPr>
          <w:rFonts w:ascii="Arial MT" w:hAnsi="Arial MT"/>
          <w:spacing w:val="-6"/>
        </w:rPr>
        <w:t xml:space="preserve"> </w:t>
      </w:r>
      <w:r>
        <w:rPr>
          <w:rFonts w:ascii="Arial MT" w:hAnsi="Arial MT"/>
        </w:rPr>
        <w:t>celebrado</w:t>
      </w:r>
      <w:r>
        <w:rPr>
          <w:rFonts w:ascii="Arial MT" w:hAnsi="Arial MT"/>
          <w:spacing w:val="-8"/>
        </w:rPr>
        <w:t xml:space="preserve"> </w:t>
      </w:r>
      <w:r>
        <w:rPr>
          <w:rFonts w:ascii="Arial MT" w:hAnsi="Arial MT"/>
        </w:rPr>
        <w:t>pelo</w:t>
      </w:r>
      <w:r>
        <w:rPr>
          <w:rFonts w:ascii="Arial MT" w:hAnsi="Arial MT"/>
          <w:spacing w:val="-8"/>
        </w:rPr>
        <w:t xml:space="preserve"> </w:t>
      </w:r>
      <w:r>
        <w:rPr>
          <w:rFonts w:ascii="Arial MT" w:hAnsi="Arial MT"/>
        </w:rPr>
        <w:t>prazo</w:t>
      </w:r>
      <w:r>
        <w:rPr>
          <w:rFonts w:ascii="Arial MT" w:hAnsi="Arial MT"/>
          <w:spacing w:val="-8"/>
        </w:rPr>
        <w:t xml:space="preserve"> </w:t>
      </w:r>
      <w:r>
        <w:rPr>
          <w:rFonts w:ascii="Arial MT" w:hAnsi="Arial MT"/>
        </w:rPr>
        <w:t>de</w:t>
      </w:r>
      <w:r>
        <w:rPr>
          <w:rFonts w:ascii="Arial MT" w:hAnsi="Arial MT"/>
          <w:spacing w:val="-8"/>
        </w:rPr>
        <w:t xml:space="preserve"> </w:t>
      </w:r>
      <w:r>
        <w:rPr>
          <w:rFonts w:ascii="Arial MT" w:hAnsi="Arial MT"/>
        </w:rPr>
        <w:t>cinco</w:t>
      </w:r>
      <w:r>
        <w:rPr>
          <w:rFonts w:ascii="Arial MT" w:hAnsi="Arial MT"/>
          <w:spacing w:val="-8"/>
        </w:rPr>
        <w:t xml:space="preserve"> </w:t>
      </w:r>
      <w:r>
        <w:rPr>
          <w:rFonts w:ascii="Arial MT" w:hAnsi="Arial MT"/>
        </w:rPr>
        <w:t>anos,</w:t>
      </w:r>
      <w:r>
        <w:rPr>
          <w:rFonts w:ascii="Arial MT" w:hAnsi="Arial MT"/>
          <w:spacing w:val="-9"/>
        </w:rPr>
        <w:t xml:space="preserve"> </w:t>
      </w:r>
      <w:r>
        <w:rPr>
          <w:rFonts w:ascii="Arial MT" w:hAnsi="Arial MT"/>
        </w:rPr>
        <w:t>tem</w:t>
      </w:r>
      <w:r>
        <w:rPr>
          <w:rFonts w:ascii="Arial MT" w:hAnsi="Arial MT"/>
          <w:spacing w:val="-7"/>
        </w:rPr>
        <w:t xml:space="preserve"> </w:t>
      </w:r>
      <w:r>
        <w:rPr>
          <w:rFonts w:ascii="Arial MT" w:hAnsi="Arial MT"/>
        </w:rPr>
        <w:t>por</w:t>
      </w:r>
      <w:r>
        <w:rPr>
          <w:rFonts w:ascii="Arial MT" w:hAnsi="Arial MT"/>
          <w:spacing w:val="-7"/>
        </w:rPr>
        <w:t xml:space="preserve"> </w:t>
      </w:r>
      <w:r>
        <w:rPr>
          <w:rFonts w:ascii="Arial MT" w:hAnsi="Arial MT"/>
        </w:rPr>
        <w:t>finalidade</w:t>
      </w:r>
      <w:r>
        <w:rPr>
          <w:rFonts w:ascii="Arial MT" w:hAnsi="Arial MT"/>
          <w:spacing w:val="-8"/>
        </w:rPr>
        <w:t xml:space="preserve"> </w:t>
      </w:r>
      <w:r>
        <w:rPr>
          <w:rFonts w:ascii="Arial MT" w:hAnsi="Arial MT"/>
        </w:rPr>
        <w:t>a</w:t>
      </w:r>
      <w:r>
        <w:rPr>
          <w:rFonts w:ascii="Arial MT" w:hAnsi="Arial MT"/>
          <w:spacing w:val="-8"/>
        </w:rPr>
        <w:t xml:space="preserve"> </w:t>
      </w:r>
      <w:r>
        <w:rPr>
          <w:rFonts w:ascii="Arial MT" w:hAnsi="Arial MT"/>
        </w:rPr>
        <w:t>implementação</w:t>
      </w:r>
      <w:r>
        <w:rPr>
          <w:rFonts w:ascii="Arial MT" w:hAnsi="Arial MT"/>
          <w:spacing w:val="-8"/>
        </w:rPr>
        <w:t xml:space="preserve"> </w:t>
      </w:r>
      <w:r>
        <w:rPr>
          <w:rFonts w:ascii="Arial MT" w:hAnsi="Arial MT"/>
        </w:rPr>
        <w:t>do</w:t>
      </w:r>
      <w:r>
        <w:rPr>
          <w:rFonts w:ascii="Arial MT" w:hAnsi="Arial MT"/>
          <w:spacing w:val="-11"/>
        </w:rPr>
        <w:t xml:space="preserve"> </w:t>
      </w:r>
      <w:r>
        <w:rPr>
          <w:rFonts w:ascii="Arial MT" w:hAnsi="Arial MT"/>
        </w:rPr>
        <w:t>Plano</w:t>
      </w:r>
      <w:r>
        <w:rPr>
          <w:rFonts w:ascii="Arial MT" w:hAnsi="Arial MT"/>
          <w:spacing w:val="-8"/>
        </w:rPr>
        <w:t xml:space="preserve"> </w:t>
      </w:r>
      <w:r>
        <w:rPr>
          <w:rFonts w:ascii="Arial MT" w:hAnsi="Arial MT"/>
        </w:rPr>
        <w:t>de Sustentabilidade Econômico-Financeira (PSEF) da Companhia com o objetivo de regular o processo de transição da Telebras para o regime de empresa estatal não dependente. Esse plano reúne o diagnóstico econômico-financeiro, o planejamento estratégico, as projeções de fluxo de caixa e de resultados, além de indicadores e metas de desempenho correspondentes ao período contratual. A validade e a eficácia do Contrato de Gestão ficam condicionadas à publicação de seu extrato pelo Ministério supervisor no Diário Oficial da União e em seu sítio eletrônico oficial.</w:t>
      </w:r>
    </w:p>
    <w:p w14:paraId="5A1E55B7" w14:textId="77777777" w:rsidR="002C6574" w:rsidRDefault="00000000">
      <w:pPr>
        <w:pStyle w:val="Corpodetexto"/>
        <w:spacing w:before="160" w:line="276" w:lineRule="auto"/>
        <w:ind w:left="427" w:right="135"/>
        <w:jc w:val="both"/>
        <w:rPr>
          <w:rFonts w:ascii="Arial MT" w:hAnsi="Arial MT"/>
        </w:rPr>
      </w:pPr>
      <w:r>
        <w:rPr>
          <w:rFonts w:ascii="Arial MT" w:hAnsi="Arial MT"/>
        </w:rPr>
        <w:t>Com</w:t>
      </w:r>
      <w:r>
        <w:rPr>
          <w:rFonts w:ascii="Arial MT" w:hAnsi="Arial MT"/>
          <w:spacing w:val="-6"/>
        </w:rPr>
        <w:t xml:space="preserve"> </w:t>
      </w:r>
      <w:r>
        <w:rPr>
          <w:rFonts w:ascii="Arial MT" w:hAnsi="Arial MT"/>
        </w:rPr>
        <w:t>a</w:t>
      </w:r>
      <w:r>
        <w:rPr>
          <w:rFonts w:ascii="Arial MT" w:hAnsi="Arial MT"/>
          <w:spacing w:val="-9"/>
        </w:rPr>
        <w:t xml:space="preserve"> </w:t>
      </w:r>
      <w:r>
        <w:rPr>
          <w:rFonts w:ascii="Arial MT" w:hAnsi="Arial MT"/>
        </w:rPr>
        <w:t>vigência</w:t>
      </w:r>
      <w:r>
        <w:rPr>
          <w:rFonts w:ascii="Arial MT" w:hAnsi="Arial MT"/>
          <w:spacing w:val="-9"/>
        </w:rPr>
        <w:t xml:space="preserve"> </w:t>
      </w:r>
      <w:r>
        <w:rPr>
          <w:rFonts w:ascii="Arial MT" w:hAnsi="Arial MT"/>
        </w:rPr>
        <w:t>do</w:t>
      </w:r>
      <w:r>
        <w:rPr>
          <w:rFonts w:ascii="Arial MT" w:hAnsi="Arial MT"/>
          <w:spacing w:val="-9"/>
        </w:rPr>
        <w:t xml:space="preserve"> </w:t>
      </w:r>
      <w:r>
        <w:rPr>
          <w:rFonts w:ascii="Arial MT" w:hAnsi="Arial MT"/>
        </w:rPr>
        <w:t>Contrato</w:t>
      </w:r>
      <w:r>
        <w:rPr>
          <w:rFonts w:ascii="Arial MT" w:hAnsi="Arial MT"/>
          <w:spacing w:val="-6"/>
        </w:rPr>
        <w:t xml:space="preserve"> </w:t>
      </w:r>
      <w:r>
        <w:rPr>
          <w:rFonts w:ascii="Arial MT" w:hAnsi="Arial MT"/>
        </w:rPr>
        <w:t>de</w:t>
      </w:r>
      <w:r>
        <w:rPr>
          <w:rFonts w:ascii="Arial MT" w:hAnsi="Arial MT"/>
          <w:spacing w:val="-12"/>
        </w:rPr>
        <w:t xml:space="preserve"> </w:t>
      </w:r>
      <w:r>
        <w:rPr>
          <w:rFonts w:ascii="Arial MT" w:hAnsi="Arial MT"/>
        </w:rPr>
        <w:t>Gestão,</w:t>
      </w:r>
      <w:r>
        <w:rPr>
          <w:rFonts w:ascii="Arial MT" w:hAnsi="Arial MT"/>
          <w:spacing w:val="-7"/>
        </w:rPr>
        <w:t xml:space="preserve"> </w:t>
      </w:r>
      <w:r>
        <w:rPr>
          <w:rFonts w:ascii="Arial MT" w:hAnsi="Arial MT"/>
        </w:rPr>
        <w:t>a</w:t>
      </w:r>
      <w:r>
        <w:rPr>
          <w:rFonts w:ascii="Arial MT" w:hAnsi="Arial MT"/>
          <w:spacing w:val="-9"/>
        </w:rPr>
        <w:t xml:space="preserve"> </w:t>
      </w:r>
      <w:r>
        <w:rPr>
          <w:rFonts w:ascii="Arial MT" w:hAnsi="Arial MT"/>
        </w:rPr>
        <w:t>Telebras</w:t>
      </w:r>
      <w:r>
        <w:rPr>
          <w:rFonts w:ascii="Arial MT" w:hAnsi="Arial MT"/>
          <w:spacing w:val="-6"/>
        </w:rPr>
        <w:t xml:space="preserve"> </w:t>
      </w:r>
      <w:r>
        <w:rPr>
          <w:rFonts w:ascii="Arial MT" w:hAnsi="Arial MT"/>
        </w:rPr>
        <w:t>passou</w:t>
      </w:r>
      <w:r>
        <w:rPr>
          <w:rFonts w:ascii="Arial MT" w:hAnsi="Arial MT"/>
          <w:spacing w:val="-9"/>
        </w:rPr>
        <w:t xml:space="preserve"> </w:t>
      </w:r>
      <w:r>
        <w:rPr>
          <w:rFonts w:ascii="Arial MT" w:hAnsi="Arial MT"/>
        </w:rPr>
        <w:t>a</w:t>
      </w:r>
      <w:r>
        <w:rPr>
          <w:rFonts w:ascii="Arial MT" w:hAnsi="Arial MT"/>
          <w:spacing w:val="-9"/>
        </w:rPr>
        <w:t xml:space="preserve"> </w:t>
      </w:r>
      <w:r>
        <w:rPr>
          <w:rFonts w:ascii="Arial MT" w:hAnsi="Arial MT"/>
        </w:rPr>
        <w:t>dispor</w:t>
      </w:r>
      <w:r>
        <w:rPr>
          <w:rFonts w:ascii="Arial MT" w:hAnsi="Arial MT"/>
          <w:spacing w:val="-5"/>
        </w:rPr>
        <w:t xml:space="preserve"> </w:t>
      </w:r>
      <w:r>
        <w:rPr>
          <w:rFonts w:ascii="Arial MT" w:hAnsi="Arial MT"/>
        </w:rPr>
        <w:t>de</w:t>
      </w:r>
      <w:r>
        <w:rPr>
          <w:rFonts w:ascii="Arial MT" w:hAnsi="Arial MT"/>
          <w:spacing w:val="-9"/>
        </w:rPr>
        <w:t xml:space="preserve"> </w:t>
      </w:r>
      <w:r>
        <w:rPr>
          <w:rFonts w:ascii="Arial MT" w:hAnsi="Arial MT"/>
        </w:rPr>
        <w:t>autonomia</w:t>
      </w:r>
      <w:r>
        <w:rPr>
          <w:rFonts w:ascii="Arial MT" w:hAnsi="Arial MT"/>
          <w:spacing w:val="-7"/>
        </w:rPr>
        <w:t xml:space="preserve"> </w:t>
      </w:r>
      <w:r>
        <w:rPr>
          <w:rFonts w:ascii="Arial MT" w:hAnsi="Arial MT"/>
        </w:rPr>
        <w:t>orçamentária</w:t>
      </w:r>
      <w:r>
        <w:rPr>
          <w:rFonts w:ascii="Arial MT" w:hAnsi="Arial MT"/>
          <w:spacing w:val="-6"/>
        </w:rPr>
        <w:t xml:space="preserve"> </w:t>
      </w:r>
      <w:r>
        <w:rPr>
          <w:rFonts w:ascii="Arial MT" w:hAnsi="Arial MT"/>
        </w:rPr>
        <w:t>e</w:t>
      </w:r>
      <w:r>
        <w:rPr>
          <w:rFonts w:ascii="Arial MT" w:hAnsi="Arial MT"/>
          <w:spacing w:val="-11"/>
        </w:rPr>
        <w:t xml:space="preserve"> </w:t>
      </w:r>
      <w:r>
        <w:rPr>
          <w:rFonts w:ascii="Arial MT" w:hAnsi="Arial MT"/>
        </w:rPr>
        <w:t>financeira, conforme previsto no art. 6º e § 7º do art. 48 da Lei nº 15.080/2024, submetendo-se, a partir de então, ao regime orçamentário e financeiro aplicável às empresas estatais não dependentes. Assim, a Companhia deixou de integrar o Orçamento Fiscal e da Seguridade Social da União, passando a ter seu orçamento acompanhado no âmbito do Orçamento de Investimento (OI) e do Programa de Dispêndios Globais (PDG) das</w:t>
      </w:r>
      <w:r>
        <w:rPr>
          <w:rFonts w:ascii="Arial MT" w:hAnsi="Arial MT"/>
          <w:spacing w:val="-11"/>
        </w:rPr>
        <w:t xml:space="preserve"> </w:t>
      </w:r>
      <w:r>
        <w:rPr>
          <w:rFonts w:ascii="Arial MT" w:hAnsi="Arial MT"/>
        </w:rPr>
        <w:t>empresas</w:t>
      </w:r>
      <w:r>
        <w:rPr>
          <w:rFonts w:ascii="Arial MT" w:hAnsi="Arial MT"/>
          <w:spacing w:val="-13"/>
        </w:rPr>
        <w:t xml:space="preserve"> </w:t>
      </w:r>
      <w:r>
        <w:rPr>
          <w:rFonts w:ascii="Arial MT" w:hAnsi="Arial MT"/>
        </w:rPr>
        <w:t>estatais</w:t>
      </w:r>
      <w:r>
        <w:rPr>
          <w:rFonts w:ascii="Arial MT" w:hAnsi="Arial MT"/>
          <w:spacing w:val="-13"/>
        </w:rPr>
        <w:t xml:space="preserve"> </w:t>
      </w:r>
      <w:r>
        <w:rPr>
          <w:rFonts w:ascii="Arial MT" w:hAnsi="Arial MT"/>
        </w:rPr>
        <w:t>federais,</w:t>
      </w:r>
      <w:r>
        <w:rPr>
          <w:rFonts w:ascii="Arial MT" w:hAnsi="Arial MT"/>
          <w:spacing w:val="-12"/>
        </w:rPr>
        <w:t xml:space="preserve"> </w:t>
      </w:r>
      <w:r>
        <w:rPr>
          <w:rFonts w:ascii="Arial MT" w:hAnsi="Arial MT"/>
        </w:rPr>
        <w:t>sob</w:t>
      </w:r>
      <w:r>
        <w:rPr>
          <w:rFonts w:ascii="Arial MT" w:hAnsi="Arial MT"/>
          <w:spacing w:val="-12"/>
        </w:rPr>
        <w:t xml:space="preserve"> </w:t>
      </w:r>
      <w:r>
        <w:rPr>
          <w:rFonts w:ascii="Arial MT" w:hAnsi="Arial MT"/>
        </w:rPr>
        <w:t>supervisão</w:t>
      </w:r>
      <w:r>
        <w:rPr>
          <w:rFonts w:ascii="Arial MT" w:hAnsi="Arial MT"/>
          <w:spacing w:val="-14"/>
        </w:rPr>
        <w:t xml:space="preserve"> </w:t>
      </w:r>
      <w:r>
        <w:rPr>
          <w:rFonts w:ascii="Arial MT" w:hAnsi="Arial MT"/>
        </w:rPr>
        <w:t>da</w:t>
      </w:r>
      <w:r>
        <w:rPr>
          <w:rFonts w:ascii="Arial MT" w:hAnsi="Arial MT"/>
          <w:spacing w:val="-11"/>
        </w:rPr>
        <w:t xml:space="preserve"> </w:t>
      </w:r>
      <w:r>
        <w:rPr>
          <w:rFonts w:ascii="Arial MT" w:hAnsi="Arial MT"/>
        </w:rPr>
        <w:t>Secretaria</w:t>
      </w:r>
      <w:r>
        <w:rPr>
          <w:rFonts w:ascii="Arial MT" w:hAnsi="Arial MT"/>
          <w:spacing w:val="-12"/>
        </w:rPr>
        <w:t xml:space="preserve"> </w:t>
      </w:r>
      <w:r>
        <w:rPr>
          <w:rFonts w:ascii="Arial MT" w:hAnsi="Arial MT"/>
        </w:rPr>
        <w:t>de</w:t>
      </w:r>
      <w:r>
        <w:rPr>
          <w:rFonts w:ascii="Arial MT" w:hAnsi="Arial MT"/>
          <w:spacing w:val="-14"/>
        </w:rPr>
        <w:t xml:space="preserve"> </w:t>
      </w:r>
      <w:r>
        <w:rPr>
          <w:rFonts w:ascii="Arial MT" w:hAnsi="Arial MT"/>
        </w:rPr>
        <w:t>Coordenação</w:t>
      </w:r>
      <w:r>
        <w:rPr>
          <w:rFonts w:ascii="Arial MT" w:hAnsi="Arial MT"/>
          <w:spacing w:val="-11"/>
        </w:rPr>
        <w:t xml:space="preserve"> </w:t>
      </w:r>
      <w:r>
        <w:rPr>
          <w:rFonts w:ascii="Arial MT" w:hAnsi="Arial MT"/>
        </w:rPr>
        <w:t>e</w:t>
      </w:r>
      <w:r>
        <w:rPr>
          <w:rFonts w:ascii="Arial MT" w:hAnsi="Arial MT"/>
          <w:spacing w:val="-14"/>
        </w:rPr>
        <w:t xml:space="preserve"> </w:t>
      </w:r>
      <w:r>
        <w:rPr>
          <w:rFonts w:ascii="Arial MT" w:hAnsi="Arial MT"/>
        </w:rPr>
        <w:t>Governança</w:t>
      </w:r>
      <w:r>
        <w:rPr>
          <w:rFonts w:ascii="Arial MT" w:hAnsi="Arial MT"/>
          <w:spacing w:val="-14"/>
        </w:rPr>
        <w:t xml:space="preserve"> </w:t>
      </w:r>
      <w:r>
        <w:rPr>
          <w:rFonts w:ascii="Arial MT" w:hAnsi="Arial MT"/>
        </w:rPr>
        <w:t>das</w:t>
      </w:r>
      <w:r>
        <w:rPr>
          <w:rFonts w:ascii="Arial MT" w:hAnsi="Arial MT"/>
          <w:spacing w:val="-13"/>
        </w:rPr>
        <w:t xml:space="preserve"> </w:t>
      </w:r>
      <w:r>
        <w:rPr>
          <w:rFonts w:ascii="Arial MT" w:hAnsi="Arial MT"/>
        </w:rPr>
        <w:t>Empresas Estatais – SEST. A Companhia permanece, até a efetiva conclusão do processo de transição, classificada como empresa estatal dependente.</w:t>
      </w:r>
    </w:p>
    <w:p w14:paraId="58CB28BE" w14:textId="77777777" w:rsidR="002C6574" w:rsidRDefault="00000000">
      <w:pPr>
        <w:pStyle w:val="Corpodetexto"/>
        <w:spacing w:before="160" w:line="276" w:lineRule="auto"/>
        <w:ind w:left="427" w:right="136"/>
        <w:jc w:val="both"/>
        <w:rPr>
          <w:rFonts w:ascii="Arial MT" w:hAnsi="Arial MT"/>
        </w:rPr>
      </w:pPr>
      <w:r>
        <w:rPr>
          <w:rFonts w:ascii="Arial MT" w:hAnsi="Arial MT"/>
        </w:rPr>
        <w:t>Para a execução do Contrato de Gestão, serão disponibilizados à Telebras recursos orçamentários pela União, a título de subvenção econômica, destinados à cobertura do déficit de manutenção relativo à operação</w:t>
      </w:r>
      <w:r>
        <w:rPr>
          <w:rFonts w:ascii="Arial MT" w:hAnsi="Arial MT"/>
          <w:spacing w:val="-9"/>
        </w:rPr>
        <w:t xml:space="preserve"> </w:t>
      </w:r>
      <w:r>
        <w:rPr>
          <w:rFonts w:ascii="Arial MT" w:hAnsi="Arial MT"/>
        </w:rPr>
        <w:t>e</w:t>
      </w:r>
      <w:r>
        <w:rPr>
          <w:rFonts w:ascii="Arial MT" w:hAnsi="Arial MT"/>
          <w:spacing w:val="-9"/>
        </w:rPr>
        <w:t xml:space="preserve"> </w:t>
      </w:r>
      <w:r>
        <w:rPr>
          <w:rFonts w:ascii="Arial MT" w:hAnsi="Arial MT"/>
        </w:rPr>
        <w:t>manutenção</w:t>
      </w:r>
      <w:r>
        <w:rPr>
          <w:rFonts w:ascii="Arial MT" w:hAnsi="Arial MT"/>
          <w:spacing w:val="-11"/>
        </w:rPr>
        <w:t xml:space="preserve"> </w:t>
      </w:r>
      <w:r>
        <w:rPr>
          <w:rFonts w:ascii="Arial MT" w:hAnsi="Arial MT"/>
        </w:rPr>
        <w:t>dos</w:t>
      </w:r>
      <w:r>
        <w:rPr>
          <w:rFonts w:ascii="Arial MT" w:hAnsi="Arial MT"/>
          <w:spacing w:val="-6"/>
        </w:rPr>
        <w:t xml:space="preserve"> </w:t>
      </w:r>
      <w:r>
        <w:rPr>
          <w:rFonts w:ascii="Arial MT" w:hAnsi="Arial MT"/>
        </w:rPr>
        <w:t>ativos</w:t>
      </w:r>
      <w:r>
        <w:rPr>
          <w:rFonts w:ascii="Arial MT" w:hAnsi="Arial MT"/>
          <w:spacing w:val="-6"/>
        </w:rPr>
        <w:t xml:space="preserve"> </w:t>
      </w:r>
      <w:r>
        <w:rPr>
          <w:rFonts w:ascii="Arial MT" w:hAnsi="Arial MT"/>
        </w:rPr>
        <w:t>e</w:t>
      </w:r>
      <w:r>
        <w:rPr>
          <w:rFonts w:ascii="Arial MT" w:hAnsi="Arial MT"/>
          <w:spacing w:val="-9"/>
        </w:rPr>
        <w:t xml:space="preserve"> </w:t>
      </w:r>
      <w:r>
        <w:rPr>
          <w:rFonts w:ascii="Arial MT" w:hAnsi="Arial MT"/>
        </w:rPr>
        <w:t>instalações,</w:t>
      </w:r>
      <w:r>
        <w:rPr>
          <w:rFonts w:ascii="Arial MT" w:hAnsi="Arial MT"/>
          <w:spacing w:val="-10"/>
        </w:rPr>
        <w:t xml:space="preserve"> </w:t>
      </w:r>
      <w:r>
        <w:rPr>
          <w:rFonts w:ascii="Arial MT" w:hAnsi="Arial MT"/>
        </w:rPr>
        <w:t>especialmente</w:t>
      </w:r>
      <w:r>
        <w:rPr>
          <w:rFonts w:ascii="Arial MT" w:hAnsi="Arial MT"/>
          <w:spacing w:val="-9"/>
        </w:rPr>
        <w:t xml:space="preserve"> </w:t>
      </w:r>
      <w:r>
        <w:rPr>
          <w:rFonts w:ascii="Arial MT" w:hAnsi="Arial MT"/>
        </w:rPr>
        <w:t>os</w:t>
      </w:r>
      <w:r>
        <w:rPr>
          <w:rFonts w:ascii="Arial MT" w:hAnsi="Arial MT"/>
          <w:spacing w:val="-9"/>
        </w:rPr>
        <w:t xml:space="preserve"> </w:t>
      </w:r>
      <w:r>
        <w:rPr>
          <w:rFonts w:ascii="Arial MT" w:hAnsi="Arial MT"/>
        </w:rPr>
        <w:t>custos</w:t>
      </w:r>
      <w:r>
        <w:rPr>
          <w:rFonts w:ascii="Arial MT" w:hAnsi="Arial MT"/>
          <w:spacing w:val="-10"/>
        </w:rPr>
        <w:t xml:space="preserve"> </w:t>
      </w:r>
      <w:r>
        <w:rPr>
          <w:rFonts w:ascii="Arial MT" w:hAnsi="Arial MT"/>
        </w:rPr>
        <w:t>e</w:t>
      </w:r>
      <w:r>
        <w:rPr>
          <w:rFonts w:ascii="Arial MT" w:hAnsi="Arial MT"/>
          <w:spacing w:val="-6"/>
        </w:rPr>
        <w:t xml:space="preserve"> </w:t>
      </w:r>
      <w:r>
        <w:rPr>
          <w:rFonts w:ascii="Arial MT" w:hAnsi="Arial MT"/>
        </w:rPr>
        <w:t>despesas</w:t>
      </w:r>
      <w:r>
        <w:rPr>
          <w:rFonts w:ascii="Arial MT" w:hAnsi="Arial MT"/>
          <w:spacing w:val="-9"/>
        </w:rPr>
        <w:t xml:space="preserve"> </w:t>
      </w:r>
      <w:r>
        <w:rPr>
          <w:rFonts w:ascii="Arial MT" w:hAnsi="Arial MT"/>
        </w:rPr>
        <w:t>que</w:t>
      </w:r>
      <w:r>
        <w:rPr>
          <w:rFonts w:ascii="Arial MT" w:hAnsi="Arial MT"/>
          <w:spacing w:val="-9"/>
        </w:rPr>
        <w:t xml:space="preserve"> </w:t>
      </w:r>
      <w:r>
        <w:rPr>
          <w:rFonts w:ascii="Arial MT" w:hAnsi="Arial MT"/>
        </w:rPr>
        <w:t>são</w:t>
      </w:r>
      <w:r>
        <w:rPr>
          <w:rFonts w:ascii="Arial MT" w:hAnsi="Arial MT"/>
          <w:spacing w:val="-9"/>
        </w:rPr>
        <w:t xml:space="preserve"> </w:t>
      </w:r>
      <w:r>
        <w:rPr>
          <w:rFonts w:ascii="Arial MT" w:hAnsi="Arial MT"/>
        </w:rPr>
        <w:t>necessárias para assegurar a continuidade e a eficiência das atividades operacionais da Companhia, discriminados na unidade orçamentária nº 41.260 (Telebras) provenientes de dotações previstas na Lei Orçamentária Anual do respectivo exercício financeiro.</w:t>
      </w:r>
    </w:p>
    <w:p w14:paraId="04E6E402" w14:textId="77777777" w:rsidR="002C6574" w:rsidRDefault="002C6574">
      <w:pPr>
        <w:pStyle w:val="Corpodetexto"/>
        <w:spacing w:line="276" w:lineRule="auto"/>
        <w:jc w:val="both"/>
        <w:rPr>
          <w:rFonts w:ascii="Arial MT" w:hAnsi="Arial MT"/>
        </w:rPr>
        <w:sectPr w:rsidR="002C6574">
          <w:headerReference w:type="default" r:id="rId217"/>
          <w:footerReference w:type="default" r:id="rId218"/>
          <w:pgSz w:w="11910" w:h="16840"/>
          <w:pgMar w:top="2200" w:right="425" w:bottom="1180" w:left="425" w:header="1197" w:footer="994" w:gutter="0"/>
          <w:pgNumType w:start="1"/>
          <w:cols w:space="720"/>
        </w:sectPr>
      </w:pPr>
    </w:p>
    <w:p w14:paraId="28C5D22E" w14:textId="77777777" w:rsidR="002C6574" w:rsidRDefault="002C6574">
      <w:pPr>
        <w:pStyle w:val="Corpodetexto"/>
        <w:rPr>
          <w:rFonts w:ascii="Arial MT"/>
        </w:rPr>
      </w:pPr>
    </w:p>
    <w:p w14:paraId="481D040E" w14:textId="77777777" w:rsidR="002C6574" w:rsidRDefault="00000000">
      <w:pPr>
        <w:pStyle w:val="Corpodetexto"/>
        <w:spacing w:line="276" w:lineRule="auto"/>
        <w:ind w:left="427" w:right="136"/>
        <w:jc w:val="both"/>
        <w:rPr>
          <w:rFonts w:ascii="Arial MT" w:hAnsi="Arial MT"/>
        </w:rPr>
      </w:pPr>
      <w:r>
        <w:rPr>
          <w:rFonts w:ascii="Arial MT" w:hAnsi="Arial MT"/>
          <w:noProof/>
        </w:rPr>
        <mc:AlternateContent>
          <mc:Choice Requires="wpg">
            <w:drawing>
              <wp:anchor distT="0" distB="0" distL="0" distR="0" simplePos="0" relativeHeight="15754752" behindDoc="0" locked="0" layoutInCell="1" allowOverlap="1" wp14:anchorId="1039F8F5" wp14:editId="1B107B4A">
                <wp:simplePos x="0" y="0"/>
                <wp:positionH relativeFrom="page">
                  <wp:posOffset>443483</wp:posOffset>
                </wp:positionH>
                <wp:positionV relativeFrom="paragraph">
                  <wp:posOffset>-164699</wp:posOffset>
                </wp:positionV>
                <wp:extent cx="6922134" cy="10541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134" cy="105410"/>
                          <a:chOff x="0" y="0"/>
                          <a:chExt cx="6922134" cy="105410"/>
                        </a:xfrm>
                      </wpg:grpSpPr>
                      <pic:pic xmlns:pic="http://schemas.openxmlformats.org/drawingml/2006/picture">
                        <pic:nvPicPr>
                          <pic:cNvPr id="292" name="Image 292"/>
                          <pic:cNvPicPr/>
                        </pic:nvPicPr>
                        <pic:blipFill>
                          <a:blip r:embed="rId213" cstate="print"/>
                          <a:stretch>
                            <a:fillRect/>
                          </a:stretch>
                        </pic:blipFill>
                        <pic:spPr>
                          <a:xfrm>
                            <a:off x="0" y="0"/>
                            <a:ext cx="6922008" cy="105155"/>
                          </a:xfrm>
                          <a:prstGeom prst="rect">
                            <a:avLst/>
                          </a:prstGeom>
                        </pic:spPr>
                      </pic:pic>
                      <wps:wsp>
                        <wps:cNvPr id="293" name="Graphic 293"/>
                        <wps:cNvSpPr/>
                        <wps:spPr>
                          <a:xfrm>
                            <a:off x="42290" y="34925"/>
                            <a:ext cx="6829425" cy="1270"/>
                          </a:xfrm>
                          <a:custGeom>
                            <a:avLst/>
                            <a:gdLst/>
                            <a:ahLst/>
                            <a:cxnLst/>
                            <a:rect l="l" t="t" r="r" b="b"/>
                            <a:pathLst>
                              <a:path w="6829425">
                                <a:moveTo>
                                  <a:pt x="0" y="0"/>
                                </a:moveTo>
                                <a:lnTo>
                                  <a:pt x="6829425" y="0"/>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0F7AFF16" id="Group 291" o:spid="_x0000_s1026" style="position:absolute;margin-left:34.9pt;margin-top:-12.95pt;width:545.05pt;height:8.3pt;z-index:15754752;mso-wrap-distance-left:0;mso-wrap-distance-right:0;mso-position-horizontal-relative:page" coordsize="69221,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">
                <v:shape id="Image 292" o:spid="_x0000_s1027" type="#_x0000_t75" style="position:absolute;width:692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">
                  <v:imagedata r:id="rId214" o:title=""/>
                </v:shape>
                <v:shape id="Graphic 293" o:spid="_x0000_s1028" style="position:absolute;left:422;top:349;width:68295;height:12;visibility:visible;mso-wrap-style:square;v-text-anchor:top" coordsize="682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" path="m,l6829425,e" filled="f" strokecolor="blue" strokeweight="2pt">
                  <v:path arrowok="t"/>
                </v:shape>
                <w10:wrap anchorx="page"/>
              </v:group>
            </w:pict>
          </mc:Fallback>
        </mc:AlternateContent>
      </w:r>
      <w:r>
        <w:rPr>
          <w:rFonts w:ascii="Arial MT" w:hAnsi="Arial MT"/>
        </w:rPr>
        <w:t>O</w:t>
      </w:r>
      <w:r>
        <w:rPr>
          <w:rFonts w:ascii="Arial MT" w:hAnsi="Arial MT"/>
          <w:spacing w:val="-5"/>
        </w:rPr>
        <w:t xml:space="preserve"> </w:t>
      </w:r>
      <w:r>
        <w:rPr>
          <w:rFonts w:ascii="Arial MT" w:hAnsi="Arial MT"/>
        </w:rPr>
        <w:t>acompanhamento</w:t>
      </w:r>
      <w:r>
        <w:rPr>
          <w:rFonts w:ascii="Arial MT" w:hAnsi="Arial MT"/>
          <w:spacing w:val="-6"/>
        </w:rPr>
        <w:t xml:space="preserve"> </w:t>
      </w:r>
      <w:r>
        <w:rPr>
          <w:rFonts w:ascii="Arial MT" w:hAnsi="Arial MT"/>
        </w:rPr>
        <w:t>da</w:t>
      </w:r>
      <w:r>
        <w:rPr>
          <w:rFonts w:ascii="Arial MT" w:hAnsi="Arial MT"/>
          <w:spacing w:val="-9"/>
        </w:rPr>
        <w:t xml:space="preserve"> </w:t>
      </w:r>
      <w:r>
        <w:rPr>
          <w:rFonts w:ascii="Arial MT" w:hAnsi="Arial MT"/>
        </w:rPr>
        <w:t>execução</w:t>
      </w:r>
      <w:r>
        <w:rPr>
          <w:rFonts w:ascii="Arial MT" w:hAnsi="Arial MT"/>
          <w:spacing w:val="-6"/>
        </w:rPr>
        <w:t xml:space="preserve"> </w:t>
      </w:r>
      <w:r>
        <w:rPr>
          <w:rFonts w:ascii="Arial MT" w:hAnsi="Arial MT"/>
        </w:rPr>
        <w:t>do</w:t>
      </w:r>
      <w:r>
        <w:rPr>
          <w:rFonts w:ascii="Arial MT" w:hAnsi="Arial MT"/>
          <w:spacing w:val="-7"/>
        </w:rPr>
        <w:t xml:space="preserve"> </w:t>
      </w:r>
      <w:r>
        <w:rPr>
          <w:rFonts w:ascii="Arial MT" w:hAnsi="Arial MT"/>
        </w:rPr>
        <w:t>PSEF</w:t>
      </w:r>
      <w:r>
        <w:rPr>
          <w:rFonts w:ascii="Arial MT" w:hAnsi="Arial MT"/>
          <w:spacing w:val="-4"/>
        </w:rPr>
        <w:t xml:space="preserve"> </w:t>
      </w:r>
      <w:r>
        <w:rPr>
          <w:rFonts w:ascii="Arial MT" w:hAnsi="Arial MT"/>
        </w:rPr>
        <w:t>será</w:t>
      </w:r>
      <w:r>
        <w:rPr>
          <w:rFonts w:ascii="Arial MT" w:hAnsi="Arial MT"/>
          <w:spacing w:val="-9"/>
        </w:rPr>
        <w:t xml:space="preserve"> </w:t>
      </w:r>
      <w:r>
        <w:rPr>
          <w:rFonts w:ascii="Arial MT" w:hAnsi="Arial MT"/>
        </w:rPr>
        <w:t>realizado</w:t>
      </w:r>
      <w:r>
        <w:rPr>
          <w:rFonts w:ascii="Arial MT" w:hAnsi="Arial MT"/>
          <w:spacing w:val="-6"/>
        </w:rPr>
        <w:t xml:space="preserve"> </w:t>
      </w:r>
      <w:r>
        <w:rPr>
          <w:rFonts w:ascii="Arial MT" w:hAnsi="Arial MT"/>
        </w:rPr>
        <w:t>mediante</w:t>
      </w:r>
      <w:r>
        <w:rPr>
          <w:rFonts w:ascii="Arial MT" w:hAnsi="Arial MT"/>
          <w:spacing w:val="-6"/>
        </w:rPr>
        <w:t xml:space="preserve"> </w:t>
      </w:r>
      <w:r>
        <w:rPr>
          <w:rFonts w:ascii="Arial MT" w:hAnsi="Arial MT"/>
        </w:rPr>
        <w:t>monitoramento</w:t>
      </w:r>
      <w:r>
        <w:rPr>
          <w:rFonts w:ascii="Arial MT" w:hAnsi="Arial MT"/>
          <w:spacing w:val="-6"/>
        </w:rPr>
        <w:t xml:space="preserve"> </w:t>
      </w:r>
      <w:r>
        <w:rPr>
          <w:rFonts w:ascii="Arial MT" w:hAnsi="Arial MT"/>
        </w:rPr>
        <w:t>periódico,</w:t>
      </w:r>
      <w:r>
        <w:rPr>
          <w:rFonts w:ascii="Arial MT" w:hAnsi="Arial MT"/>
          <w:spacing w:val="-5"/>
        </w:rPr>
        <w:t xml:space="preserve"> </w:t>
      </w:r>
      <w:r>
        <w:rPr>
          <w:rFonts w:ascii="Arial MT" w:hAnsi="Arial MT"/>
        </w:rPr>
        <w:t>prestação</w:t>
      </w:r>
      <w:r>
        <w:rPr>
          <w:rFonts w:ascii="Arial MT" w:hAnsi="Arial MT"/>
          <w:spacing w:val="-6"/>
        </w:rPr>
        <w:t xml:space="preserve"> </w:t>
      </w:r>
      <w:r>
        <w:rPr>
          <w:rFonts w:ascii="Arial MT" w:hAnsi="Arial MT"/>
        </w:rPr>
        <w:t>de contas</w:t>
      </w:r>
      <w:r>
        <w:rPr>
          <w:rFonts w:ascii="Arial MT" w:hAnsi="Arial MT"/>
          <w:spacing w:val="-4"/>
        </w:rPr>
        <w:t xml:space="preserve"> </w:t>
      </w:r>
      <w:r>
        <w:rPr>
          <w:rFonts w:ascii="Arial MT" w:hAnsi="Arial MT"/>
        </w:rPr>
        <w:t>e</w:t>
      </w:r>
      <w:r>
        <w:rPr>
          <w:rFonts w:ascii="Arial MT" w:hAnsi="Arial MT"/>
          <w:spacing w:val="-4"/>
        </w:rPr>
        <w:t xml:space="preserve"> </w:t>
      </w:r>
      <w:r>
        <w:rPr>
          <w:rFonts w:ascii="Arial MT" w:hAnsi="Arial MT"/>
        </w:rPr>
        <w:t>elaboração</w:t>
      </w:r>
      <w:r>
        <w:rPr>
          <w:rFonts w:ascii="Arial MT" w:hAnsi="Arial MT"/>
          <w:spacing w:val="-4"/>
        </w:rPr>
        <w:t xml:space="preserve"> </w:t>
      </w:r>
      <w:r>
        <w:rPr>
          <w:rFonts w:ascii="Arial MT" w:hAnsi="Arial MT"/>
        </w:rPr>
        <w:t>de</w:t>
      </w:r>
      <w:r>
        <w:rPr>
          <w:rFonts w:ascii="Arial MT" w:hAnsi="Arial MT"/>
          <w:spacing w:val="-7"/>
        </w:rPr>
        <w:t xml:space="preserve"> </w:t>
      </w:r>
      <w:r>
        <w:rPr>
          <w:rFonts w:ascii="Arial MT" w:hAnsi="Arial MT"/>
        </w:rPr>
        <w:t>relatórios</w:t>
      </w:r>
      <w:r>
        <w:rPr>
          <w:rFonts w:ascii="Arial MT" w:hAnsi="Arial MT"/>
          <w:spacing w:val="-2"/>
        </w:rPr>
        <w:t xml:space="preserve"> </w:t>
      </w:r>
      <w:r>
        <w:rPr>
          <w:rFonts w:ascii="Arial MT" w:hAnsi="Arial MT"/>
        </w:rPr>
        <w:t>ao</w:t>
      </w:r>
      <w:r>
        <w:rPr>
          <w:rFonts w:ascii="Arial MT" w:hAnsi="Arial MT"/>
          <w:spacing w:val="-6"/>
        </w:rPr>
        <w:t xml:space="preserve"> </w:t>
      </w:r>
      <w:r>
        <w:rPr>
          <w:rFonts w:ascii="Arial MT" w:hAnsi="Arial MT"/>
        </w:rPr>
        <w:t>Ministério</w:t>
      </w:r>
      <w:r>
        <w:rPr>
          <w:rFonts w:ascii="Arial MT" w:hAnsi="Arial MT"/>
          <w:spacing w:val="-2"/>
        </w:rPr>
        <w:t xml:space="preserve"> </w:t>
      </w:r>
      <w:r>
        <w:rPr>
          <w:rFonts w:ascii="Arial MT" w:hAnsi="Arial MT"/>
        </w:rPr>
        <w:t>das</w:t>
      </w:r>
      <w:r>
        <w:rPr>
          <w:rFonts w:ascii="Arial MT" w:hAnsi="Arial MT"/>
          <w:spacing w:val="-1"/>
        </w:rPr>
        <w:t xml:space="preserve"> </w:t>
      </w:r>
      <w:r>
        <w:rPr>
          <w:rFonts w:ascii="Arial MT" w:hAnsi="Arial MT"/>
        </w:rPr>
        <w:t>Comunicações</w:t>
      </w:r>
      <w:r>
        <w:rPr>
          <w:rFonts w:ascii="Arial MT" w:hAnsi="Arial MT"/>
          <w:spacing w:val="-4"/>
        </w:rPr>
        <w:t xml:space="preserve"> </w:t>
      </w:r>
      <w:r>
        <w:rPr>
          <w:rFonts w:ascii="Arial MT" w:hAnsi="Arial MT"/>
        </w:rPr>
        <w:t>e</w:t>
      </w:r>
      <w:r>
        <w:rPr>
          <w:rFonts w:ascii="Arial MT" w:hAnsi="Arial MT"/>
          <w:spacing w:val="-4"/>
        </w:rPr>
        <w:t xml:space="preserve"> </w:t>
      </w:r>
      <w:r>
        <w:rPr>
          <w:rFonts w:ascii="Arial MT" w:hAnsi="Arial MT"/>
        </w:rPr>
        <w:t>ao</w:t>
      </w:r>
      <w:r>
        <w:rPr>
          <w:rFonts w:ascii="Arial MT" w:hAnsi="Arial MT"/>
          <w:spacing w:val="-4"/>
        </w:rPr>
        <w:t xml:space="preserve"> </w:t>
      </w:r>
      <w:r>
        <w:rPr>
          <w:rFonts w:ascii="Arial MT" w:hAnsi="Arial MT"/>
        </w:rPr>
        <w:t>Ministério</w:t>
      </w:r>
      <w:r>
        <w:rPr>
          <w:rFonts w:ascii="Arial MT" w:hAnsi="Arial MT"/>
          <w:spacing w:val="-2"/>
        </w:rPr>
        <w:t xml:space="preserve"> </w:t>
      </w:r>
      <w:r>
        <w:rPr>
          <w:rFonts w:ascii="Arial MT" w:hAnsi="Arial MT"/>
        </w:rPr>
        <w:t>da</w:t>
      </w:r>
      <w:r>
        <w:rPr>
          <w:rFonts w:ascii="Arial MT" w:hAnsi="Arial MT"/>
          <w:spacing w:val="-7"/>
        </w:rPr>
        <w:t xml:space="preserve"> </w:t>
      </w:r>
      <w:r>
        <w:rPr>
          <w:rFonts w:ascii="Arial MT" w:hAnsi="Arial MT"/>
        </w:rPr>
        <w:t>Gestão</w:t>
      </w:r>
      <w:r>
        <w:rPr>
          <w:rFonts w:ascii="Arial MT" w:hAnsi="Arial MT"/>
          <w:spacing w:val="-4"/>
        </w:rPr>
        <w:t xml:space="preserve"> </w:t>
      </w:r>
      <w:r>
        <w:rPr>
          <w:rFonts w:ascii="Arial MT" w:hAnsi="Arial MT"/>
        </w:rPr>
        <w:t>e</w:t>
      </w:r>
      <w:r>
        <w:rPr>
          <w:rFonts w:ascii="Arial MT" w:hAnsi="Arial MT"/>
          <w:spacing w:val="-4"/>
        </w:rPr>
        <w:t xml:space="preserve"> </w:t>
      </w:r>
      <w:r>
        <w:rPr>
          <w:rFonts w:ascii="Arial MT" w:hAnsi="Arial MT"/>
        </w:rPr>
        <w:t>da</w:t>
      </w:r>
      <w:r>
        <w:rPr>
          <w:rFonts w:ascii="Arial MT" w:hAnsi="Arial MT"/>
          <w:spacing w:val="-4"/>
        </w:rPr>
        <w:t xml:space="preserve"> </w:t>
      </w:r>
      <w:r>
        <w:rPr>
          <w:rFonts w:ascii="Arial MT" w:hAnsi="Arial MT"/>
        </w:rPr>
        <w:t>Inovação em</w:t>
      </w:r>
      <w:r>
        <w:rPr>
          <w:rFonts w:ascii="Arial MT" w:hAnsi="Arial MT"/>
          <w:spacing w:val="-16"/>
        </w:rPr>
        <w:t xml:space="preserve"> </w:t>
      </w:r>
      <w:r>
        <w:rPr>
          <w:rFonts w:ascii="Arial MT" w:hAnsi="Arial MT"/>
        </w:rPr>
        <w:t>Serviços</w:t>
      </w:r>
      <w:r>
        <w:rPr>
          <w:rFonts w:ascii="Arial MT" w:hAnsi="Arial MT"/>
          <w:spacing w:val="-15"/>
        </w:rPr>
        <w:t xml:space="preserve"> </w:t>
      </w:r>
      <w:r>
        <w:rPr>
          <w:rFonts w:ascii="Arial MT" w:hAnsi="Arial MT"/>
        </w:rPr>
        <w:t>Públicos,</w:t>
      </w:r>
      <w:r>
        <w:rPr>
          <w:rFonts w:ascii="Arial MT" w:hAnsi="Arial MT"/>
          <w:spacing w:val="-15"/>
        </w:rPr>
        <w:t xml:space="preserve"> </w:t>
      </w:r>
      <w:r>
        <w:rPr>
          <w:rFonts w:ascii="Arial MT" w:hAnsi="Arial MT"/>
        </w:rPr>
        <w:t>em</w:t>
      </w:r>
      <w:r>
        <w:rPr>
          <w:rFonts w:ascii="Arial MT" w:hAnsi="Arial MT"/>
          <w:spacing w:val="-16"/>
        </w:rPr>
        <w:t xml:space="preserve"> </w:t>
      </w:r>
      <w:r>
        <w:rPr>
          <w:rFonts w:ascii="Arial MT" w:hAnsi="Arial MT"/>
        </w:rPr>
        <w:t>conformidade</w:t>
      </w:r>
      <w:r>
        <w:rPr>
          <w:rFonts w:ascii="Arial MT" w:hAnsi="Arial MT"/>
          <w:spacing w:val="-15"/>
        </w:rPr>
        <w:t xml:space="preserve"> </w:t>
      </w:r>
      <w:r>
        <w:rPr>
          <w:rFonts w:ascii="Arial MT" w:hAnsi="Arial MT"/>
        </w:rPr>
        <w:t>com</w:t>
      </w:r>
      <w:r>
        <w:rPr>
          <w:rFonts w:ascii="Arial MT" w:hAnsi="Arial MT"/>
          <w:spacing w:val="-15"/>
        </w:rPr>
        <w:t xml:space="preserve"> </w:t>
      </w:r>
      <w:r>
        <w:rPr>
          <w:rFonts w:ascii="Arial MT" w:hAnsi="Arial MT"/>
        </w:rPr>
        <w:t>a</w:t>
      </w:r>
      <w:r>
        <w:rPr>
          <w:rFonts w:ascii="Arial MT" w:hAnsi="Arial MT"/>
          <w:spacing w:val="-15"/>
        </w:rPr>
        <w:t xml:space="preserve"> </w:t>
      </w:r>
      <w:r>
        <w:rPr>
          <w:rFonts w:ascii="Arial MT" w:hAnsi="Arial MT"/>
        </w:rPr>
        <w:t>legislação</w:t>
      </w:r>
      <w:r>
        <w:rPr>
          <w:rFonts w:ascii="Arial MT" w:hAnsi="Arial MT"/>
          <w:spacing w:val="-15"/>
        </w:rPr>
        <w:t xml:space="preserve"> </w:t>
      </w:r>
      <w:r>
        <w:rPr>
          <w:rFonts w:ascii="Arial MT" w:hAnsi="Arial MT"/>
        </w:rPr>
        <w:t>aplicável.</w:t>
      </w:r>
      <w:r>
        <w:rPr>
          <w:rFonts w:ascii="Arial MT" w:hAnsi="Arial MT"/>
          <w:spacing w:val="-12"/>
        </w:rPr>
        <w:t xml:space="preserve"> </w:t>
      </w:r>
      <w:r>
        <w:rPr>
          <w:rFonts w:ascii="Arial MT" w:hAnsi="Arial MT"/>
        </w:rPr>
        <w:t>A</w:t>
      </w:r>
      <w:r>
        <w:rPr>
          <w:rFonts w:ascii="Arial MT" w:hAnsi="Arial MT"/>
          <w:spacing w:val="-16"/>
        </w:rPr>
        <w:t xml:space="preserve"> </w:t>
      </w:r>
      <w:r>
        <w:rPr>
          <w:rFonts w:ascii="Arial MT" w:hAnsi="Arial MT"/>
        </w:rPr>
        <w:t>avaliação</w:t>
      </w:r>
      <w:r>
        <w:rPr>
          <w:rFonts w:ascii="Arial MT" w:hAnsi="Arial MT"/>
          <w:spacing w:val="-14"/>
        </w:rPr>
        <w:t xml:space="preserve"> </w:t>
      </w:r>
      <w:r>
        <w:rPr>
          <w:rFonts w:ascii="Arial MT" w:hAnsi="Arial MT"/>
        </w:rPr>
        <w:t>de</w:t>
      </w:r>
      <w:r>
        <w:rPr>
          <w:rFonts w:ascii="Arial MT" w:hAnsi="Arial MT"/>
          <w:spacing w:val="-15"/>
        </w:rPr>
        <w:t xml:space="preserve"> </w:t>
      </w:r>
      <w:r>
        <w:rPr>
          <w:rFonts w:ascii="Arial MT" w:hAnsi="Arial MT"/>
        </w:rPr>
        <w:t>desempenho</w:t>
      </w:r>
      <w:r>
        <w:rPr>
          <w:rFonts w:ascii="Arial MT" w:hAnsi="Arial MT"/>
          <w:spacing w:val="-15"/>
        </w:rPr>
        <w:t xml:space="preserve"> </w:t>
      </w:r>
      <w:r>
        <w:rPr>
          <w:rFonts w:ascii="Arial MT" w:hAnsi="Arial MT"/>
        </w:rPr>
        <w:t>será</w:t>
      </w:r>
      <w:r>
        <w:rPr>
          <w:rFonts w:ascii="Arial MT" w:hAnsi="Arial MT"/>
          <w:spacing w:val="-15"/>
        </w:rPr>
        <w:t xml:space="preserve"> </w:t>
      </w:r>
      <w:r>
        <w:rPr>
          <w:rFonts w:ascii="Arial MT" w:hAnsi="Arial MT"/>
        </w:rPr>
        <w:t>aferida com base em objetivos, indicadores e metas de desempenho pactuados no Contrato de Gestão, com foco na mensuração da eficiência, eficácia e efetividade da atuação empresarial.</w:t>
      </w:r>
    </w:p>
    <w:p w14:paraId="1C3162A8" w14:textId="77777777" w:rsidR="002C6574" w:rsidRDefault="00000000">
      <w:pPr>
        <w:pStyle w:val="Corpodetexto"/>
        <w:spacing w:before="161" w:line="276" w:lineRule="auto"/>
        <w:ind w:left="427" w:right="137"/>
        <w:jc w:val="both"/>
        <w:rPr>
          <w:rFonts w:ascii="Arial MT" w:hAnsi="Arial MT"/>
        </w:rPr>
      </w:pPr>
      <w:r>
        <w:rPr>
          <w:rFonts w:ascii="Arial MT" w:hAnsi="Arial MT"/>
        </w:rPr>
        <w:t>A aprovação do Plano de Sustentabilidade Econômico-Financeira e a assinatura do Contrato de Gestão foram</w:t>
      </w:r>
      <w:r>
        <w:rPr>
          <w:rFonts w:ascii="Arial MT" w:hAnsi="Arial MT"/>
          <w:spacing w:val="-14"/>
        </w:rPr>
        <w:t xml:space="preserve"> </w:t>
      </w:r>
      <w:r>
        <w:rPr>
          <w:rFonts w:ascii="Arial MT" w:hAnsi="Arial MT"/>
        </w:rPr>
        <w:t>divulgadas</w:t>
      </w:r>
      <w:r>
        <w:rPr>
          <w:rFonts w:ascii="Arial MT" w:hAnsi="Arial MT"/>
          <w:spacing w:val="-12"/>
        </w:rPr>
        <w:t xml:space="preserve"> </w:t>
      </w:r>
      <w:r>
        <w:rPr>
          <w:rFonts w:ascii="Arial MT" w:hAnsi="Arial MT"/>
        </w:rPr>
        <w:t>como</w:t>
      </w:r>
      <w:r>
        <w:rPr>
          <w:rFonts w:ascii="Arial MT" w:hAnsi="Arial MT"/>
          <w:spacing w:val="-16"/>
        </w:rPr>
        <w:t xml:space="preserve"> </w:t>
      </w:r>
      <w:r>
        <w:rPr>
          <w:rFonts w:ascii="Arial MT" w:hAnsi="Arial MT"/>
        </w:rPr>
        <w:t>fato</w:t>
      </w:r>
      <w:r>
        <w:rPr>
          <w:rFonts w:ascii="Arial MT" w:hAnsi="Arial MT"/>
          <w:spacing w:val="-13"/>
        </w:rPr>
        <w:t xml:space="preserve"> </w:t>
      </w:r>
      <w:r>
        <w:rPr>
          <w:rFonts w:ascii="Arial MT" w:hAnsi="Arial MT"/>
        </w:rPr>
        <w:t>relevante,</w:t>
      </w:r>
      <w:r>
        <w:rPr>
          <w:rFonts w:ascii="Arial MT" w:hAnsi="Arial MT"/>
          <w:spacing w:val="-13"/>
        </w:rPr>
        <w:t xml:space="preserve"> </w:t>
      </w:r>
      <w:r>
        <w:rPr>
          <w:rFonts w:ascii="Arial MT" w:hAnsi="Arial MT"/>
        </w:rPr>
        <w:t>assegurando</w:t>
      </w:r>
      <w:r>
        <w:rPr>
          <w:rFonts w:ascii="Arial MT" w:hAnsi="Arial MT"/>
          <w:spacing w:val="-13"/>
        </w:rPr>
        <w:t xml:space="preserve"> </w:t>
      </w:r>
      <w:r>
        <w:rPr>
          <w:rFonts w:ascii="Arial MT" w:hAnsi="Arial MT"/>
        </w:rPr>
        <w:t>transparência</w:t>
      </w:r>
      <w:r>
        <w:rPr>
          <w:rFonts w:ascii="Arial MT" w:hAnsi="Arial MT"/>
          <w:spacing w:val="-12"/>
        </w:rPr>
        <w:t xml:space="preserve"> </w:t>
      </w:r>
      <w:r>
        <w:rPr>
          <w:rFonts w:ascii="Arial MT" w:hAnsi="Arial MT"/>
        </w:rPr>
        <w:t>aos</w:t>
      </w:r>
      <w:r>
        <w:rPr>
          <w:rFonts w:ascii="Arial MT" w:hAnsi="Arial MT"/>
          <w:spacing w:val="-14"/>
        </w:rPr>
        <w:t xml:space="preserve"> </w:t>
      </w:r>
      <w:r>
        <w:rPr>
          <w:rFonts w:ascii="Arial MT" w:hAnsi="Arial MT"/>
        </w:rPr>
        <w:t>acionistas,</w:t>
      </w:r>
      <w:r>
        <w:rPr>
          <w:rFonts w:ascii="Arial MT" w:hAnsi="Arial MT"/>
          <w:spacing w:val="-14"/>
        </w:rPr>
        <w:t xml:space="preserve"> </w:t>
      </w:r>
      <w:r>
        <w:rPr>
          <w:rFonts w:ascii="Arial MT" w:hAnsi="Arial MT"/>
        </w:rPr>
        <w:t>investidores</w:t>
      </w:r>
      <w:r>
        <w:rPr>
          <w:rFonts w:ascii="Arial MT" w:hAnsi="Arial MT"/>
          <w:spacing w:val="-15"/>
        </w:rPr>
        <w:t xml:space="preserve"> </w:t>
      </w:r>
      <w:r>
        <w:rPr>
          <w:rFonts w:ascii="Arial MT" w:hAnsi="Arial MT"/>
        </w:rPr>
        <w:t>e</w:t>
      </w:r>
      <w:r>
        <w:rPr>
          <w:rFonts w:ascii="Arial MT" w:hAnsi="Arial MT"/>
          <w:spacing w:val="-15"/>
        </w:rPr>
        <w:t xml:space="preserve"> </w:t>
      </w:r>
      <w:r>
        <w:rPr>
          <w:rFonts w:ascii="Arial MT" w:hAnsi="Arial MT"/>
        </w:rPr>
        <w:t>ao</w:t>
      </w:r>
      <w:r>
        <w:rPr>
          <w:rFonts w:ascii="Arial MT" w:hAnsi="Arial MT"/>
          <w:spacing w:val="-16"/>
        </w:rPr>
        <w:t xml:space="preserve"> </w:t>
      </w:r>
      <w:r>
        <w:rPr>
          <w:rFonts w:ascii="Arial MT" w:hAnsi="Arial MT"/>
        </w:rPr>
        <w:t>mercado em geral, por meio do site institucional da Companhia, em observância aos princípios da publicidade e da governança corporativa.</w:t>
      </w:r>
    </w:p>
    <w:p w14:paraId="2DA28B24" w14:textId="77777777" w:rsidR="002C6574" w:rsidRDefault="002C6574">
      <w:pPr>
        <w:pStyle w:val="Corpodetexto"/>
        <w:spacing w:before="69"/>
        <w:rPr>
          <w:rFonts w:ascii="Arial MT"/>
        </w:rPr>
      </w:pPr>
    </w:p>
    <w:p w14:paraId="4FC0C230" w14:textId="77777777" w:rsidR="002C6574" w:rsidRDefault="00000000">
      <w:pPr>
        <w:pStyle w:val="Ttulo8"/>
        <w:spacing w:before="1"/>
        <w:jc w:val="both"/>
        <w:rPr>
          <w:rFonts w:ascii="Arial" w:hAnsi="Arial"/>
        </w:rPr>
      </w:pPr>
      <w:r>
        <w:rPr>
          <w:rFonts w:ascii="Arial" w:hAnsi="Arial"/>
          <w:smallCaps/>
          <w:u w:val="single"/>
        </w:rPr>
        <w:t>Homologação</w:t>
      </w:r>
      <w:r>
        <w:rPr>
          <w:rFonts w:ascii="Arial" w:hAnsi="Arial"/>
          <w:smallCaps/>
          <w:spacing w:val="23"/>
          <w:u w:val="single"/>
        </w:rPr>
        <w:t xml:space="preserve"> </w:t>
      </w:r>
      <w:r>
        <w:rPr>
          <w:rFonts w:ascii="Arial" w:hAnsi="Arial"/>
          <w:smallCaps/>
          <w:u w:val="single"/>
        </w:rPr>
        <w:t>dos</w:t>
      </w:r>
      <w:r>
        <w:rPr>
          <w:rFonts w:ascii="Arial" w:hAnsi="Arial"/>
          <w:smallCaps/>
          <w:spacing w:val="27"/>
          <w:u w:val="single"/>
        </w:rPr>
        <w:t xml:space="preserve"> </w:t>
      </w:r>
      <w:r>
        <w:rPr>
          <w:rFonts w:ascii="Arial" w:hAnsi="Arial"/>
          <w:smallCaps/>
          <w:u w:val="single"/>
        </w:rPr>
        <w:t>Aumentos</w:t>
      </w:r>
      <w:r>
        <w:rPr>
          <w:rFonts w:ascii="Arial" w:hAnsi="Arial"/>
          <w:smallCaps/>
          <w:spacing w:val="26"/>
          <w:u w:val="single"/>
        </w:rPr>
        <w:t xml:space="preserve"> </w:t>
      </w:r>
      <w:r>
        <w:rPr>
          <w:rFonts w:ascii="Arial" w:hAnsi="Arial"/>
          <w:smallCaps/>
          <w:u w:val="single"/>
        </w:rPr>
        <w:t>de</w:t>
      </w:r>
      <w:r>
        <w:rPr>
          <w:rFonts w:ascii="Arial" w:hAnsi="Arial"/>
          <w:smallCaps/>
          <w:spacing w:val="27"/>
          <w:u w:val="single"/>
        </w:rPr>
        <w:t xml:space="preserve"> </w:t>
      </w:r>
      <w:r>
        <w:rPr>
          <w:rFonts w:ascii="Arial" w:hAnsi="Arial"/>
          <w:smallCaps/>
          <w:spacing w:val="-2"/>
          <w:u w:val="single"/>
        </w:rPr>
        <w:t>Capital</w:t>
      </w:r>
    </w:p>
    <w:p w14:paraId="30E68AAC" w14:textId="77777777" w:rsidR="002C6574" w:rsidRDefault="002C6574">
      <w:pPr>
        <w:pStyle w:val="Corpodetexto"/>
        <w:spacing w:before="41"/>
        <w:rPr>
          <w:rFonts w:ascii="Arial"/>
          <w:b/>
        </w:rPr>
      </w:pPr>
    </w:p>
    <w:p w14:paraId="1762BD28" w14:textId="77777777" w:rsidR="002C6574" w:rsidRDefault="00000000">
      <w:pPr>
        <w:pStyle w:val="Corpodetexto"/>
        <w:spacing w:line="276" w:lineRule="auto"/>
        <w:ind w:left="427" w:right="138"/>
        <w:jc w:val="both"/>
        <w:rPr>
          <w:rFonts w:ascii="Arial MT" w:hAnsi="Arial MT"/>
        </w:rPr>
      </w:pPr>
      <w:r>
        <w:rPr>
          <w:rFonts w:ascii="Arial MT" w:hAnsi="Arial MT"/>
        </w:rPr>
        <w:t>Durante o exercício de 2025, a Companhia realizou dois aumentos de capital social devidamente homologados em Assembleias Gerais Extraordinárias.</w:t>
      </w:r>
    </w:p>
    <w:p w14:paraId="41FF64BF" w14:textId="77777777" w:rsidR="002C6574" w:rsidRDefault="002C6574">
      <w:pPr>
        <w:pStyle w:val="Corpodetexto"/>
        <w:spacing w:before="36"/>
        <w:rPr>
          <w:rFonts w:ascii="Arial MT"/>
        </w:rPr>
      </w:pPr>
    </w:p>
    <w:p w14:paraId="7DC8DC95" w14:textId="77777777" w:rsidR="002C6574" w:rsidRDefault="00000000">
      <w:pPr>
        <w:pStyle w:val="Corpodetexto"/>
        <w:spacing w:before="1" w:line="276" w:lineRule="auto"/>
        <w:ind w:left="427" w:right="137"/>
        <w:jc w:val="both"/>
        <w:rPr>
          <w:rFonts w:ascii="Arial MT" w:hAnsi="Arial MT"/>
        </w:rPr>
      </w:pPr>
      <w:r>
        <w:rPr>
          <w:rFonts w:ascii="Arial MT" w:hAnsi="Arial MT"/>
        </w:rPr>
        <w:t>Em 8 de maio de 2025, a 118ª Assembleia Geral Extraordinária (AGE) homologou o aumento de capital previamente aprovado na 117ª AGE, no valor de R$ 112.256, mediante a emissão de 7.214.422 ações ordinárias, ao preço de emissão de R$ 15,56 por ação. Após essa operação, o capital social integralmente subscrito</w:t>
      </w:r>
      <w:r>
        <w:rPr>
          <w:rFonts w:ascii="Arial MT" w:hAnsi="Arial MT"/>
          <w:spacing w:val="-1"/>
        </w:rPr>
        <w:t xml:space="preserve"> </w:t>
      </w:r>
      <w:r>
        <w:rPr>
          <w:rFonts w:ascii="Arial MT" w:hAnsi="Arial MT"/>
        </w:rPr>
        <w:t>passou</w:t>
      </w:r>
      <w:r>
        <w:rPr>
          <w:rFonts w:ascii="Arial MT" w:hAnsi="Arial MT"/>
          <w:spacing w:val="-1"/>
        </w:rPr>
        <w:t xml:space="preserve"> </w:t>
      </w:r>
      <w:r>
        <w:rPr>
          <w:rFonts w:ascii="Arial MT" w:hAnsi="Arial MT"/>
        </w:rPr>
        <w:t>de R$</w:t>
      </w:r>
      <w:r>
        <w:rPr>
          <w:rFonts w:ascii="Arial MT" w:hAnsi="Arial MT"/>
          <w:spacing w:val="-3"/>
        </w:rPr>
        <w:t xml:space="preserve"> </w:t>
      </w:r>
      <w:r>
        <w:rPr>
          <w:rFonts w:ascii="Arial MT" w:hAnsi="Arial MT"/>
        </w:rPr>
        <w:t>3.474.498</w:t>
      </w:r>
      <w:r>
        <w:rPr>
          <w:rFonts w:ascii="Arial MT" w:hAnsi="Arial MT"/>
          <w:spacing w:val="-1"/>
        </w:rPr>
        <w:t xml:space="preserve"> </w:t>
      </w:r>
      <w:r>
        <w:rPr>
          <w:rFonts w:ascii="Arial MT" w:hAnsi="Arial MT"/>
        </w:rPr>
        <w:t>para</w:t>
      </w:r>
      <w:r>
        <w:rPr>
          <w:rFonts w:ascii="Arial MT" w:hAnsi="Arial MT"/>
          <w:spacing w:val="-1"/>
        </w:rPr>
        <w:t xml:space="preserve"> </w:t>
      </w:r>
      <w:r>
        <w:rPr>
          <w:rFonts w:ascii="Arial MT" w:hAnsi="Arial MT"/>
        </w:rPr>
        <w:t>R$ 3.586.754, passando</w:t>
      </w:r>
      <w:r>
        <w:rPr>
          <w:rFonts w:ascii="Arial MT" w:hAnsi="Arial MT"/>
          <w:spacing w:val="-1"/>
        </w:rPr>
        <w:t xml:space="preserve"> </w:t>
      </w:r>
      <w:r>
        <w:rPr>
          <w:rFonts w:ascii="Arial MT" w:hAnsi="Arial MT"/>
        </w:rPr>
        <w:t>a</w:t>
      </w:r>
      <w:r>
        <w:rPr>
          <w:rFonts w:ascii="Arial MT" w:hAnsi="Arial MT"/>
          <w:spacing w:val="-1"/>
        </w:rPr>
        <w:t xml:space="preserve"> </w:t>
      </w:r>
      <w:r>
        <w:rPr>
          <w:rFonts w:ascii="Arial MT" w:hAnsi="Arial MT"/>
        </w:rPr>
        <w:t>ser representado</w:t>
      </w:r>
      <w:r>
        <w:rPr>
          <w:rFonts w:ascii="Arial MT" w:hAnsi="Arial MT"/>
          <w:spacing w:val="-1"/>
        </w:rPr>
        <w:t xml:space="preserve"> </w:t>
      </w:r>
      <w:r>
        <w:rPr>
          <w:rFonts w:ascii="Arial MT" w:hAnsi="Arial MT"/>
        </w:rPr>
        <w:t>por 93.597.512 ações, sendo 75.190.021 ações ordinárias e 18.407.491</w:t>
      </w:r>
      <w:r>
        <w:rPr>
          <w:rFonts w:ascii="Arial MT" w:hAnsi="Arial MT"/>
          <w:spacing w:val="-2"/>
        </w:rPr>
        <w:t xml:space="preserve"> </w:t>
      </w:r>
      <w:r>
        <w:rPr>
          <w:rFonts w:ascii="Arial MT" w:hAnsi="Arial MT"/>
        </w:rPr>
        <w:t>ações preferenciais, todas nominativas, escriturais e sem valor nominal.</w:t>
      </w:r>
    </w:p>
    <w:p w14:paraId="1DC3413C" w14:textId="77777777" w:rsidR="002C6574" w:rsidRDefault="002C6574">
      <w:pPr>
        <w:pStyle w:val="Corpodetexto"/>
        <w:spacing w:before="39"/>
        <w:rPr>
          <w:rFonts w:ascii="Arial MT"/>
        </w:rPr>
      </w:pPr>
    </w:p>
    <w:p w14:paraId="66AA4D12" w14:textId="77777777" w:rsidR="002C6574" w:rsidRDefault="00000000">
      <w:pPr>
        <w:pStyle w:val="Corpodetexto"/>
        <w:spacing w:line="276" w:lineRule="auto"/>
        <w:ind w:left="427" w:right="137"/>
        <w:jc w:val="both"/>
        <w:rPr>
          <w:rFonts w:ascii="Arial MT" w:hAnsi="Arial MT"/>
        </w:rPr>
      </w:pPr>
      <w:r>
        <w:rPr>
          <w:rFonts w:ascii="Arial MT" w:hAnsi="Arial MT"/>
        </w:rPr>
        <w:t>Posteriormente, em 25 de setembro de 2025, a 120ª AGE homologou o segundo aumento de capital do exercício, no montante de R$ 132.781, decorrente da emissão de 8.385.891 ações ordinárias, ao preço de emissão de R$ 15,83388257 por ação. Com essa homologação, o capital social integralmente subscrito passou de R$ 3.586.754 para R$ 3.719.535, totalizando 101.983.403 ações, sendo 83.575.912 ações ordinárias e 18.407.491 ações preferenciais, todas nominativas, escriturais e sem valor nominal.</w:t>
      </w:r>
    </w:p>
    <w:p w14:paraId="2E5BA72C" w14:textId="77777777" w:rsidR="002C6574" w:rsidRDefault="002C6574">
      <w:pPr>
        <w:pStyle w:val="Corpodetexto"/>
        <w:spacing w:line="276" w:lineRule="auto"/>
        <w:jc w:val="both"/>
        <w:rPr>
          <w:rFonts w:ascii="Arial MT" w:hAnsi="Arial MT"/>
        </w:rPr>
        <w:sectPr w:rsidR="002C6574">
          <w:pgSz w:w="11910" w:h="16840"/>
          <w:pgMar w:top="2200" w:right="425" w:bottom="1220" w:left="425" w:header="1197" w:footer="994" w:gutter="0"/>
          <w:cols w:space="720"/>
        </w:sectPr>
      </w:pPr>
    </w:p>
    <w:p w14:paraId="0D291196" w14:textId="77777777" w:rsidR="002C6574" w:rsidRDefault="00000000">
      <w:pPr>
        <w:pStyle w:val="Ttulo4"/>
        <w:spacing w:before="252"/>
        <w:ind w:left="427"/>
        <w:rPr>
          <w:rFonts w:ascii="Arial" w:hAnsi="Arial"/>
        </w:rPr>
      </w:pPr>
      <w:r>
        <w:rPr>
          <w:rFonts w:ascii="Arial" w:hAnsi="Arial"/>
          <w:noProof/>
        </w:rPr>
        <w:lastRenderedPageBreak/>
        <mc:AlternateContent>
          <mc:Choice Requires="wpg">
            <w:drawing>
              <wp:anchor distT="0" distB="0" distL="0" distR="0" simplePos="0" relativeHeight="15755264" behindDoc="0" locked="0" layoutInCell="1" allowOverlap="1" wp14:anchorId="625686C5" wp14:editId="2C7D18F2">
                <wp:simplePos x="0" y="0"/>
                <wp:positionH relativeFrom="page">
                  <wp:posOffset>443483</wp:posOffset>
                </wp:positionH>
                <wp:positionV relativeFrom="paragraph">
                  <wp:posOffset>-4058</wp:posOffset>
                </wp:positionV>
                <wp:extent cx="6922134" cy="105410"/>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134" cy="105410"/>
                          <a:chOff x="0" y="0"/>
                          <a:chExt cx="6922134" cy="105410"/>
                        </a:xfrm>
                      </wpg:grpSpPr>
                      <pic:pic xmlns:pic="http://schemas.openxmlformats.org/drawingml/2006/picture">
                        <pic:nvPicPr>
                          <pic:cNvPr id="295" name="Image 295"/>
                          <pic:cNvPicPr/>
                        </pic:nvPicPr>
                        <pic:blipFill>
                          <a:blip r:embed="rId213" cstate="print"/>
                          <a:stretch>
                            <a:fillRect/>
                          </a:stretch>
                        </pic:blipFill>
                        <pic:spPr>
                          <a:xfrm>
                            <a:off x="0" y="0"/>
                            <a:ext cx="6922008" cy="105155"/>
                          </a:xfrm>
                          <a:prstGeom prst="rect">
                            <a:avLst/>
                          </a:prstGeom>
                        </pic:spPr>
                      </pic:pic>
                      <wps:wsp>
                        <wps:cNvPr id="296" name="Graphic 296"/>
                        <wps:cNvSpPr/>
                        <wps:spPr>
                          <a:xfrm>
                            <a:off x="42290" y="34925"/>
                            <a:ext cx="6829425" cy="1270"/>
                          </a:xfrm>
                          <a:custGeom>
                            <a:avLst/>
                            <a:gdLst/>
                            <a:ahLst/>
                            <a:cxnLst/>
                            <a:rect l="l" t="t" r="r" b="b"/>
                            <a:pathLst>
                              <a:path w="6829425">
                                <a:moveTo>
                                  <a:pt x="0" y="0"/>
                                </a:moveTo>
                                <a:lnTo>
                                  <a:pt x="6829425" y="0"/>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7BFE5A05" id="Group 294" o:spid="_x0000_s1026" style="position:absolute;margin-left:34.9pt;margin-top:-.3pt;width:545.05pt;height:8.3pt;z-index:15755264;mso-wrap-distance-left:0;mso-wrap-distance-right:0;mso-position-horizontal-relative:page" coordsize="69221,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">
                <v:shape id="Image 295" o:spid="_x0000_s1027" type="#_x0000_t75" style="position:absolute;width:692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">
                  <v:imagedata r:id="rId214" o:title=""/>
                </v:shape>
                <v:shape id="Graphic 296" o:spid="_x0000_s1028" style="position:absolute;left:422;top:349;width:68295;height:12;visibility:visible;mso-wrap-style:square;v-text-anchor:top" coordsize="682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" path="m,l6829425,e" filled="f" strokecolor="blue" strokeweight="2pt">
                  <v:path arrowok="t"/>
                </v:shape>
                <w10:wrap anchorx="page"/>
              </v:group>
            </w:pict>
          </mc:Fallback>
        </mc:AlternateContent>
      </w:r>
      <w:r>
        <w:rPr>
          <w:rFonts w:ascii="Arial" w:hAnsi="Arial"/>
          <w:smallCaps/>
          <w:u w:val="single"/>
        </w:rPr>
        <w:t>Desempenho</w:t>
      </w:r>
      <w:r>
        <w:rPr>
          <w:rFonts w:ascii="Arial" w:hAnsi="Arial"/>
          <w:smallCaps/>
          <w:spacing w:val="53"/>
          <w:w w:val="150"/>
          <w:u w:val="single"/>
        </w:rPr>
        <w:t xml:space="preserve"> </w:t>
      </w:r>
      <w:r>
        <w:rPr>
          <w:rFonts w:ascii="Arial" w:hAnsi="Arial"/>
          <w:smallCaps/>
          <w:u w:val="single"/>
        </w:rPr>
        <w:t>Econômico-</w:t>
      </w:r>
      <w:r>
        <w:rPr>
          <w:rFonts w:ascii="Arial" w:hAnsi="Arial"/>
          <w:smallCaps/>
          <w:spacing w:val="-2"/>
          <w:u w:val="single"/>
        </w:rPr>
        <w:t>Financeiro</w:t>
      </w:r>
    </w:p>
    <w:p w14:paraId="7B946FB8" w14:textId="77777777" w:rsidR="002C6574" w:rsidRDefault="002C6574">
      <w:pPr>
        <w:pStyle w:val="Corpodetexto"/>
        <w:spacing w:before="58"/>
        <w:rPr>
          <w:rFonts w:ascii="Arial"/>
          <w:b/>
          <w:sz w:val="19"/>
        </w:rPr>
      </w:pPr>
    </w:p>
    <w:p w14:paraId="088EE9F2" w14:textId="77777777" w:rsidR="002C6574" w:rsidRDefault="00000000">
      <w:pPr>
        <w:pStyle w:val="Ttulo8"/>
        <w:spacing w:before="1"/>
        <w:rPr>
          <w:rFonts w:ascii="Arial" w:hAnsi="Arial"/>
        </w:rPr>
      </w:pPr>
      <w:r>
        <w:rPr>
          <w:rFonts w:ascii="Arial" w:hAnsi="Arial"/>
          <w:smallCaps/>
          <w:u w:val="single"/>
        </w:rPr>
        <w:t>Receita</w:t>
      </w:r>
      <w:r>
        <w:rPr>
          <w:rFonts w:ascii="Arial" w:hAnsi="Arial"/>
          <w:smallCaps/>
          <w:spacing w:val="37"/>
          <w:u w:val="single"/>
        </w:rPr>
        <w:t xml:space="preserve"> </w:t>
      </w:r>
      <w:r>
        <w:rPr>
          <w:rFonts w:ascii="Arial" w:hAnsi="Arial"/>
          <w:smallCaps/>
          <w:u w:val="single"/>
        </w:rPr>
        <w:t>Operacional</w:t>
      </w:r>
      <w:r>
        <w:rPr>
          <w:rFonts w:ascii="Arial" w:hAnsi="Arial"/>
          <w:smallCaps/>
          <w:spacing w:val="37"/>
          <w:u w:val="single"/>
        </w:rPr>
        <w:t xml:space="preserve"> </w:t>
      </w:r>
      <w:r>
        <w:rPr>
          <w:rFonts w:ascii="Arial" w:hAnsi="Arial"/>
          <w:smallCaps/>
          <w:spacing w:val="-2"/>
          <w:u w:val="single"/>
        </w:rPr>
        <w:t>Líquida</w:t>
      </w:r>
    </w:p>
    <w:p w14:paraId="6DB1A561" w14:textId="77777777" w:rsidR="002C6574" w:rsidRDefault="002C6574">
      <w:pPr>
        <w:pStyle w:val="Corpodetexto"/>
        <w:spacing w:before="116"/>
        <w:rPr>
          <w:rFonts w:ascii="Arial"/>
          <w:b/>
          <w:sz w:val="16"/>
        </w:rPr>
      </w:pPr>
    </w:p>
    <w:p w14:paraId="53226A7B" w14:textId="77777777" w:rsidR="002C6574" w:rsidRDefault="00000000">
      <w:pPr>
        <w:spacing w:after="34"/>
        <w:ind w:left="1793" w:right="1215"/>
        <w:jc w:val="center"/>
        <w:rPr>
          <w:rFonts w:ascii="Arial"/>
          <w:b/>
          <w:sz w:val="16"/>
        </w:rPr>
      </w:pPr>
      <w:r>
        <w:rPr>
          <w:rFonts w:ascii="Arial"/>
          <w:b/>
          <w:spacing w:val="-2"/>
          <w:sz w:val="16"/>
        </w:rPr>
        <w:t>Trimestres</w:t>
      </w:r>
    </w:p>
    <w:tbl>
      <w:tblPr>
        <w:tblStyle w:val="TableNormal"/>
        <w:tblW w:w="0" w:type="auto"/>
        <w:tblInd w:w="384" w:type="dxa"/>
        <w:tblLayout w:type="fixed"/>
        <w:tblLook w:val="01E0" w:firstRow="1" w:lastRow="1" w:firstColumn="1" w:lastColumn="1" w:noHBand="0" w:noVBand="0"/>
      </w:tblPr>
      <w:tblGrid>
        <w:gridCol w:w="3226"/>
        <w:gridCol w:w="921"/>
        <w:gridCol w:w="1026"/>
        <w:gridCol w:w="820"/>
        <w:gridCol w:w="173"/>
        <w:gridCol w:w="799"/>
        <w:gridCol w:w="692"/>
        <w:gridCol w:w="171"/>
        <w:gridCol w:w="918"/>
        <w:gridCol w:w="918"/>
        <w:gridCol w:w="174"/>
        <w:gridCol w:w="757"/>
      </w:tblGrid>
      <w:tr w:rsidR="002C6574" w14:paraId="614E2B91" w14:textId="77777777">
        <w:trPr>
          <w:trHeight w:val="340"/>
        </w:trPr>
        <w:tc>
          <w:tcPr>
            <w:tcW w:w="3226" w:type="dxa"/>
          </w:tcPr>
          <w:p w14:paraId="6A5BCE6B" w14:textId="77777777" w:rsidR="002C6574" w:rsidRDefault="00000000">
            <w:pPr>
              <w:pStyle w:val="TableParagraph"/>
              <w:spacing w:before="156" w:line="164" w:lineRule="exact"/>
              <w:ind w:left="119"/>
              <w:jc w:val="left"/>
              <w:rPr>
                <w:rFonts w:ascii="Arial"/>
                <w:b/>
                <w:sz w:val="16"/>
              </w:rPr>
            </w:pPr>
            <w:r>
              <w:rPr>
                <w:rFonts w:ascii="Arial"/>
                <w:b/>
                <w:noProof/>
                <w:sz w:val="16"/>
              </w:rPr>
              <mc:AlternateContent>
                <mc:Choice Requires="wpg">
                  <w:drawing>
                    <wp:anchor distT="0" distB="0" distL="0" distR="0" simplePos="0" relativeHeight="472582656" behindDoc="1" locked="0" layoutInCell="1" allowOverlap="1" wp14:anchorId="5632CC89" wp14:editId="75DD8EB0">
                      <wp:simplePos x="0" y="0"/>
                      <wp:positionH relativeFrom="column">
                        <wp:posOffset>31750</wp:posOffset>
                      </wp:positionH>
                      <wp:positionV relativeFrom="paragraph">
                        <wp:posOffset>67867</wp:posOffset>
                      </wp:positionV>
                      <wp:extent cx="3774440" cy="147955"/>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4440" cy="147955"/>
                                <a:chOff x="0" y="0"/>
                                <a:chExt cx="3774440" cy="147955"/>
                              </a:xfrm>
                            </wpg:grpSpPr>
                            <wps:wsp>
                              <wps:cNvPr id="298" name="Graphic 298"/>
                              <wps:cNvSpPr/>
                              <wps:spPr>
                                <a:xfrm>
                                  <a:off x="0" y="0"/>
                                  <a:ext cx="3774440" cy="147955"/>
                                </a:xfrm>
                                <a:custGeom>
                                  <a:avLst/>
                                  <a:gdLst/>
                                  <a:ahLst/>
                                  <a:cxnLst/>
                                  <a:rect l="l" t="t" r="r" b="b"/>
                                  <a:pathLst>
                                    <a:path w="3774440" h="147955">
                                      <a:moveTo>
                                        <a:pt x="3774363" y="0"/>
                                      </a:moveTo>
                                      <a:lnTo>
                                        <a:pt x="3187319" y="0"/>
                                      </a:lnTo>
                                      <a:lnTo>
                                        <a:pt x="2602103" y="0"/>
                                      </a:lnTo>
                                      <a:lnTo>
                                        <a:pt x="2016887" y="0"/>
                                      </a:lnTo>
                                      <a:lnTo>
                                        <a:pt x="0" y="0"/>
                                      </a:lnTo>
                                      <a:lnTo>
                                        <a:pt x="0" y="147828"/>
                                      </a:lnTo>
                                      <a:lnTo>
                                        <a:pt x="2016887" y="147828"/>
                                      </a:lnTo>
                                      <a:lnTo>
                                        <a:pt x="2602103" y="147828"/>
                                      </a:lnTo>
                                      <a:lnTo>
                                        <a:pt x="3187319" y="147828"/>
                                      </a:lnTo>
                                      <a:lnTo>
                                        <a:pt x="3774363" y="147828"/>
                                      </a:lnTo>
                                      <a:lnTo>
                                        <a:pt x="3774363"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597A60CE" id="Group 297" o:spid="_x0000_s1026" style="position:absolute;margin-left:2.5pt;margin-top:5.35pt;width:297.2pt;height:11.65pt;z-index:-30733824;mso-wrap-distance-left:0;mso-wrap-distance-right:0" coordsize="37744,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">
                      <v:shape id="Graphic 298" o:spid="_x0000_s1027" style="position:absolute;width:37744;height:1479;visibility:visible;mso-wrap-style:square;v-text-anchor:top" coordsize="377444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" path="m3774363,l3187319,,2602103,,2016887,,,,,147828r2016887,l2602103,147828r585216,l3774363,147828,3774363,xe" fillcolor="blue" stroked="f">
                        <v:path arrowok="t"/>
                      </v:shape>
                    </v:group>
                  </w:pict>
                </mc:Fallback>
              </mc:AlternateContent>
            </w:r>
            <w:r>
              <w:rPr>
                <w:rFonts w:ascii="Arial"/>
                <w:b/>
                <w:color w:val="FFFFFF"/>
                <w:sz w:val="16"/>
              </w:rPr>
              <w:t>R$</w:t>
            </w:r>
            <w:r>
              <w:rPr>
                <w:rFonts w:ascii="Arial"/>
                <w:b/>
                <w:color w:val="FFFFFF"/>
                <w:spacing w:val="-1"/>
                <w:sz w:val="16"/>
              </w:rPr>
              <w:t xml:space="preserve"> </w:t>
            </w:r>
            <w:r>
              <w:rPr>
                <w:rFonts w:ascii="Arial"/>
                <w:b/>
                <w:color w:val="FFFFFF"/>
                <w:spacing w:val="-5"/>
                <w:sz w:val="16"/>
              </w:rPr>
              <w:t>mil</w:t>
            </w:r>
          </w:p>
        </w:tc>
        <w:tc>
          <w:tcPr>
            <w:tcW w:w="921" w:type="dxa"/>
            <w:tcBorders>
              <w:top w:val="single" w:sz="8" w:space="0" w:color="000000"/>
            </w:tcBorders>
          </w:tcPr>
          <w:p w14:paraId="5F0AC1A0" w14:textId="77777777" w:rsidR="002C6574" w:rsidRDefault="00000000">
            <w:pPr>
              <w:pStyle w:val="TableParagraph"/>
              <w:spacing w:before="132"/>
              <w:ind w:left="278"/>
              <w:jc w:val="left"/>
              <w:rPr>
                <w:rFonts w:ascii="Arial"/>
                <w:b/>
                <w:sz w:val="16"/>
              </w:rPr>
            </w:pPr>
            <w:r>
              <w:rPr>
                <w:rFonts w:ascii="Arial"/>
                <w:b/>
                <w:color w:val="FFFFFF"/>
                <w:spacing w:val="-4"/>
                <w:sz w:val="16"/>
              </w:rPr>
              <w:t>4T25</w:t>
            </w:r>
          </w:p>
        </w:tc>
        <w:tc>
          <w:tcPr>
            <w:tcW w:w="1026" w:type="dxa"/>
            <w:tcBorders>
              <w:top w:val="single" w:sz="8" w:space="0" w:color="000000"/>
            </w:tcBorders>
          </w:tcPr>
          <w:p w14:paraId="3AB30066" w14:textId="77777777" w:rsidR="002C6574" w:rsidRDefault="00000000">
            <w:pPr>
              <w:pStyle w:val="TableParagraph"/>
              <w:spacing w:before="132"/>
              <w:ind w:left="279"/>
              <w:jc w:val="left"/>
              <w:rPr>
                <w:rFonts w:ascii="Arial"/>
                <w:b/>
                <w:sz w:val="16"/>
              </w:rPr>
            </w:pPr>
            <w:r>
              <w:rPr>
                <w:rFonts w:ascii="Arial"/>
                <w:b/>
                <w:color w:val="FFFFFF"/>
                <w:spacing w:val="-4"/>
                <w:sz w:val="16"/>
              </w:rPr>
              <w:t>4T24</w:t>
            </w:r>
          </w:p>
        </w:tc>
        <w:tc>
          <w:tcPr>
            <w:tcW w:w="820" w:type="dxa"/>
            <w:tcBorders>
              <w:top w:val="single" w:sz="8" w:space="0" w:color="000000"/>
            </w:tcBorders>
          </w:tcPr>
          <w:p w14:paraId="00232AC4" w14:textId="77777777" w:rsidR="002C6574" w:rsidRDefault="00000000">
            <w:pPr>
              <w:pStyle w:val="TableParagraph"/>
              <w:spacing w:before="132"/>
              <w:ind w:left="174"/>
              <w:jc w:val="left"/>
              <w:rPr>
                <w:rFonts w:ascii="Arial"/>
                <w:b/>
                <w:sz w:val="16"/>
              </w:rPr>
            </w:pPr>
            <w:r>
              <w:rPr>
                <w:rFonts w:ascii="Arial"/>
                <w:b/>
                <w:color w:val="FFFFFF"/>
                <w:spacing w:val="-4"/>
                <w:sz w:val="16"/>
              </w:rPr>
              <w:t>3T25</w:t>
            </w:r>
          </w:p>
        </w:tc>
        <w:tc>
          <w:tcPr>
            <w:tcW w:w="1664" w:type="dxa"/>
            <w:gridSpan w:val="3"/>
            <w:tcBorders>
              <w:top w:val="single" w:sz="8" w:space="0" w:color="000000"/>
            </w:tcBorders>
          </w:tcPr>
          <w:p w14:paraId="602C4F48" w14:textId="77777777" w:rsidR="002C6574" w:rsidRDefault="00000000">
            <w:pPr>
              <w:pStyle w:val="TableParagraph"/>
              <w:tabs>
                <w:tab w:val="left" w:pos="991"/>
              </w:tabs>
              <w:spacing w:before="132"/>
              <w:ind w:left="173"/>
              <w:jc w:val="left"/>
              <w:rPr>
                <w:rFonts w:ascii="Arial" w:hAnsi="Arial"/>
                <w:b/>
                <w:sz w:val="16"/>
              </w:rPr>
            </w:pPr>
            <w:r>
              <w:rPr>
                <w:rFonts w:ascii="Times New Roman" w:hAnsi="Times New Roman"/>
                <w:color w:val="FFFFFF"/>
                <w:spacing w:val="75"/>
                <w:sz w:val="16"/>
                <w:highlight w:val="blue"/>
              </w:rPr>
              <w:t xml:space="preserve"> </w:t>
            </w:r>
            <w:r>
              <w:rPr>
                <w:rFonts w:ascii="Arial" w:hAnsi="Arial"/>
                <w:b/>
                <w:color w:val="FFFFFF"/>
                <w:sz w:val="16"/>
                <w:highlight w:val="blue"/>
              </w:rPr>
              <w:t xml:space="preserve">Δ </w:t>
            </w:r>
            <w:r>
              <w:rPr>
                <w:rFonts w:ascii="Arial" w:hAnsi="Arial"/>
                <w:b/>
                <w:color w:val="FFFFFF"/>
                <w:spacing w:val="-5"/>
                <w:sz w:val="16"/>
                <w:highlight w:val="blue"/>
              </w:rPr>
              <w:t>Ano</w:t>
            </w:r>
            <w:r>
              <w:rPr>
                <w:rFonts w:ascii="Arial" w:hAnsi="Arial"/>
                <w:b/>
                <w:color w:val="FFFFFF"/>
                <w:sz w:val="16"/>
                <w:highlight w:val="blue"/>
              </w:rPr>
              <w:tab/>
              <w:t>Δ</w:t>
            </w:r>
            <w:r>
              <w:rPr>
                <w:rFonts w:ascii="Arial" w:hAnsi="Arial"/>
                <w:b/>
                <w:color w:val="FFFFFF"/>
                <w:spacing w:val="-4"/>
                <w:sz w:val="16"/>
                <w:highlight w:val="blue"/>
              </w:rPr>
              <w:t xml:space="preserve"> Trim.</w:t>
            </w:r>
            <w:r>
              <w:rPr>
                <w:rFonts w:ascii="Arial" w:hAnsi="Arial"/>
                <w:b/>
                <w:color w:val="FFFFFF"/>
                <w:spacing w:val="40"/>
                <w:sz w:val="16"/>
                <w:highlight w:val="blue"/>
              </w:rPr>
              <w:t xml:space="preserve"> </w:t>
            </w:r>
          </w:p>
        </w:tc>
        <w:tc>
          <w:tcPr>
            <w:tcW w:w="2007" w:type="dxa"/>
            <w:gridSpan w:val="3"/>
          </w:tcPr>
          <w:p w14:paraId="1EEA7233" w14:textId="77777777" w:rsidR="002C6574" w:rsidRDefault="00000000">
            <w:pPr>
              <w:pStyle w:val="TableParagraph"/>
              <w:tabs>
                <w:tab w:val="left" w:pos="451"/>
                <w:tab w:val="left" w:pos="1368"/>
                <w:tab w:val="left" w:pos="2004"/>
              </w:tabs>
              <w:spacing w:before="132"/>
              <w:ind w:left="170"/>
              <w:jc w:val="left"/>
              <w:rPr>
                <w:rFonts w:ascii="Arial"/>
                <w:b/>
                <w:sz w:val="16"/>
              </w:rPr>
            </w:pPr>
            <w:r>
              <w:rPr>
                <w:rFonts w:ascii="Arial"/>
                <w:b/>
                <w:color w:val="FFFFFF"/>
                <w:sz w:val="16"/>
                <w:highlight w:val="blue"/>
              </w:rPr>
              <w:tab/>
            </w:r>
            <w:r>
              <w:rPr>
                <w:rFonts w:ascii="Arial"/>
                <w:b/>
                <w:color w:val="FFFFFF"/>
                <w:spacing w:val="-4"/>
                <w:sz w:val="16"/>
                <w:highlight w:val="blue"/>
              </w:rPr>
              <w:t>2025</w:t>
            </w:r>
            <w:r>
              <w:rPr>
                <w:rFonts w:ascii="Arial"/>
                <w:b/>
                <w:color w:val="FFFFFF"/>
                <w:sz w:val="16"/>
                <w:highlight w:val="blue"/>
              </w:rPr>
              <w:tab/>
            </w:r>
            <w:r>
              <w:rPr>
                <w:rFonts w:ascii="Arial"/>
                <w:b/>
                <w:color w:val="FFFFFF"/>
                <w:spacing w:val="-4"/>
                <w:sz w:val="16"/>
                <w:highlight w:val="blue"/>
              </w:rPr>
              <w:t>2024</w:t>
            </w:r>
            <w:r>
              <w:rPr>
                <w:rFonts w:ascii="Arial"/>
                <w:b/>
                <w:color w:val="FFFFFF"/>
                <w:sz w:val="16"/>
                <w:highlight w:val="blue"/>
              </w:rPr>
              <w:tab/>
            </w:r>
          </w:p>
        </w:tc>
        <w:tc>
          <w:tcPr>
            <w:tcW w:w="931" w:type="dxa"/>
            <w:gridSpan w:val="2"/>
          </w:tcPr>
          <w:p w14:paraId="232BC5C0" w14:textId="77777777" w:rsidR="002C6574" w:rsidRDefault="00000000">
            <w:pPr>
              <w:pStyle w:val="TableParagraph"/>
              <w:spacing w:before="132"/>
              <w:ind w:left="170"/>
              <w:jc w:val="left"/>
              <w:rPr>
                <w:rFonts w:ascii="Arial" w:hAnsi="Arial"/>
                <w:b/>
                <w:sz w:val="16"/>
              </w:rPr>
            </w:pPr>
            <w:r>
              <w:rPr>
                <w:rFonts w:ascii="Times New Roman" w:hAnsi="Times New Roman"/>
                <w:color w:val="FFFFFF"/>
                <w:spacing w:val="75"/>
                <w:sz w:val="16"/>
                <w:highlight w:val="blue"/>
              </w:rPr>
              <w:t xml:space="preserve"> </w:t>
            </w:r>
            <w:r>
              <w:rPr>
                <w:rFonts w:ascii="Arial" w:hAnsi="Arial"/>
                <w:b/>
                <w:color w:val="FFFFFF"/>
                <w:sz w:val="16"/>
                <w:highlight w:val="blue"/>
              </w:rPr>
              <w:t xml:space="preserve">Δ </w:t>
            </w:r>
            <w:r>
              <w:rPr>
                <w:rFonts w:ascii="Arial" w:hAnsi="Arial"/>
                <w:b/>
                <w:color w:val="FFFFFF"/>
                <w:spacing w:val="-5"/>
                <w:sz w:val="16"/>
                <w:highlight w:val="blue"/>
              </w:rPr>
              <w:t>Ano</w:t>
            </w:r>
            <w:r>
              <w:rPr>
                <w:rFonts w:ascii="Arial" w:hAnsi="Arial"/>
                <w:b/>
                <w:color w:val="FFFFFF"/>
                <w:spacing w:val="40"/>
                <w:sz w:val="16"/>
                <w:highlight w:val="blue"/>
              </w:rPr>
              <w:t xml:space="preserve"> </w:t>
            </w:r>
          </w:p>
        </w:tc>
      </w:tr>
      <w:tr w:rsidR="002C6574" w14:paraId="060C425D" w14:textId="77777777">
        <w:trPr>
          <w:trHeight w:val="245"/>
        </w:trPr>
        <w:tc>
          <w:tcPr>
            <w:tcW w:w="3226" w:type="dxa"/>
          </w:tcPr>
          <w:p w14:paraId="0EEA4B32" w14:textId="77777777" w:rsidR="002C6574" w:rsidRDefault="00000000">
            <w:pPr>
              <w:pStyle w:val="TableParagraph"/>
              <w:spacing w:before="46" w:line="179" w:lineRule="exact"/>
              <w:ind w:left="119"/>
              <w:jc w:val="left"/>
              <w:rPr>
                <w:rFonts w:ascii="Arial MT" w:hAnsi="Arial MT"/>
                <w:sz w:val="16"/>
              </w:rPr>
            </w:pPr>
            <w:r>
              <w:rPr>
                <w:rFonts w:ascii="Arial MT" w:hAnsi="Arial MT"/>
                <w:sz w:val="16"/>
              </w:rPr>
              <w:t>Serviços</w:t>
            </w:r>
            <w:r>
              <w:rPr>
                <w:rFonts w:ascii="Arial MT" w:hAnsi="Arial MT"/>
                <w:spacing w:val="-8"/>
                <w:sz w:val="16"/>
              </w:rPr>
              <w:t xml:space="preserve"> </w:t>
            </w:r>
            <w:r>
              <w:rPr>
                <w:rFonts w:ascii="Arial MT" w:hAnsi="Arial MT"/>
                <w:sz w:val="16"/>
              </w:rPr>
              <w:t>de</w:t>
            </w:r>
            <w:r>
              <w:rPr>
                <w:rFonts w:ascii="Arial MT" w:hAnsi="Arial MT"/>
                <w:spacing w:val="-7"/>
                <w:sz w:val="16"/>
              </w:rPr>
              <w:t xml:space="preserve"> </w:t>
            </w:r>
            <w:r>
              <w:rPr>
                <w:rFonts w:ascii="Arial MT" w:hAnsi="Arial MT"/>
                <w:sz w:val="16"/>
              </w:rPr>
              <w:t>Comunicação</w:t>
            </w:r>
            <w:r>
              <w:rPr>
                <w:rFonts w:ascii="Arial MT" w:hAnsi="Arial MT"/>
                <w:spacing w:val="-6"/>
                <w:sz w:val="16"/>
              </w:rPr>
              <w:t xml:space="preserve"> </w:t>
            </w:r>
            <w:r>
              <w:rPr>
                <w:rFonts w:ascii="Arial MT" w:hAnsi="Arial MT"/>
                <w:spacing w:val="-2"/>
                <w:sz w:val="16"/>
              </w:rPr>
              <w:t>Multimídia</w:t>
            </w:r>
          </w:p>
        </w:tc>
        <w:tc>
          <w:tcPr>
            <w:tcW w:w="921" w:type="dxa"/>
            <w:shd w:val="clear" w:color="auto" w:fill="66FFFF"/>
          </w:tcPr>
          <w:p w14:paraId="4D5377C2" w14:textId="77777777" w:rsidR="002C6574" w:rsidRDefault="00000000">
            <w:pPr>
              <w:pStyle w:val="TableParagraph"/>
              <w:spacing w:before="46" w:line="179" w:lineRule="exact"/>
              <w:ind w:right="66"/>
              <w:rPr>
                <w:rFonts w:ascii="Arial MT"/>
                <w:sz w:val="16"/>
              </w:rPr>
            </w:pPr>
            <w:r>
              <w:rPr>
                <w:rFonts w:ascii="Arial MT"/>
                <w:spacing w:val="-2"/>
                <w:sz w:val="16"/>
              </w:rPr>
              <w:t>146.109</w:t>
            </w:r>
          </w:p>
        </w:tc>
        <w:tc>
          <w:tcPr>
            <w:tcW w:w="1026" w:type="dxa"/>
          </w:tcPr>
          <w:p w14:paraId="162628F8" w14:textId="77777777" w:rsidR="002C6574" w:rsidRDefault="00000000">
            <w:pPr>
              <w:pStyle w:val="TableParagraph"/>
              <w:spacing w:before="46" w:line="179" w:lineRule="exact"/>
              <w:ind w:right="170"/>
              <w:rPr>
                <w:rFonts w:ascii="Arial MT"/>
                <w:sz w:val="16"/>
              </w:rPr>
            </w:pPr>
            <w:r>
              <w:rPr>
                <w:rFonts w:ascii="Arial MT"/>
                <w:spacing w:val="-2"/>
                <w:sz w:val="16"/>
              </w:rPr>
              <w:t>114.886</w:t>
            </w:r>
          </w:p>
        </w:tc>
        <w:tc>
          <w:tcPr>
            <w:tcW w:w="820" w:type="dxa"/>
          </w:tcPr>
          <w:p w14:paraId="50FE5D40" w14:textId="77777777" w:rsidR="002C6574" w:rsidRDefault="00000000">
            <w:pPr>
              <w:pStyle w:val="TableParagraph"/>
              <w:spacing w:before="46" w:line="179" w:lineRule="exact"/>
              <w:ind w:right="68"/>
              <w:rPr>
                <w:rFonts w:ascii="Arial MT"/>
                <w:sz w:val="16"/>
              </w:rPr>
            </w:pPr>
            <w:r>
              <w:rPr>
                <w:rFonts w:ascii="Arial MT"/>
                <w:spacing w:val="-2"/>
                <w:sz w:val="16"/>
              </w:rPr>
              <w:t>90.704</w:t>
            </w:r>
          </w:p>
        </w:tc>
        <w:tc>
          <w:tcPr>
            <w:tcW w:w="972" w:type="dxa"/>
            <w:gridSpan w:val="2"/>
          </w:tcPr>
          <w:p w14:paraId="494C5211" w14:textId="77777777" w:rsidR="002C6574" w:rsidRDefault="00000000">
            <w:pPr>
              <w:pStyle w:val="TableParagraph"/>
              <w:spacing w:before="22"/>
              <w:ind w:left="351"/>
              <w:jc w:val="left"/>
              <w:rPr>
                <w:rFonts w:ascii="Arial MT"/>
                <w:sz w:val="16"/>
              </w:rPr>
            </w:pPr>
            <w:r>
              <w:rPr>
                <w:rFonts w:ascii="Arial MT"/>
                <w:spacing w:val="-2"/>
                <w:sz w:val="16"/>
              </w:rPr>
              <w:t>27,2%</w:t>
            </w:r>
          </w:p>
        </w:tc>
        <w:tc>
          <w:tcPr>
            <w:tcW w:w="863" w:type="dxa"/>
            <w:gridSpan w:val="2"/>
          </w:tcPr>
          <w:p w14:paraId="0FF52CA5" w14:textId="77777777" w:rsidR="002C6574" w:rsidRDefault="00000000">
            <w:pPr>
              <w:pStyle w:val="TableParagraph"/>
              <w:spacing w:before="22"/>
              <w:ind w:left="166"/>
              <w:jc w:val="left"/>
              <w:rPr>
                <w:rFonts w:ascii="Arial MT"/>
                <w:sz w:val="16"/>
              </w:rPr>
            </w:pPr>
            <w:r>
              <w:rPr>
                <w:rFonts w:ascii="Arial MT"/>
                <w:spacing w:val="-2"/>
                <w:sz w:val="16"/>
              </w:rPr>
              <w:t>61,1%</w:t>
            </w:r>
          </w:p>
        </w:tc>
        <w:tc>
          <w:tcPr>
            <w:tcW w:w="918" w:type="dxa"/>
            <w:shd w:val="clear" w:color="auto" w:fill="66FFFF"/>
          </w:tcPr>
          <w:p w14:paraId="4BBE80F2" w14:textId="77777777" w:rsidR="002C6574" w:rsidRDefault="00000000">
            <w:pPr>
              <w:pStyle w:val="TableParagraph"/>
              <w:spacing w:before="46" w:line="179" w:lineRule="exact"/>
              <w:ind w:right="68"/>
              <w:rPr>
                <w:rFonts w:ascii="Arial MT"/>
                <w:sz w:val="16"/>
              </w:rPr>
            </w:pPr>
            <w:r>
              <w:rPr>
                <w:rFonts w:ascii="Arial MT"/>
                <w:spacing w:val="-2"/>
                <w:sz w:val="16"/>
              </w:rPr>
              <w:t>432.484</w:t>
            </w:r>
          </w:p>
        </w:tc>
        <w:tc>
          <w:tcPr>
            <w:tcW w:w="918" w:type="dxa"/>
          </w:tcPr>
          <w:p w14:paraId="666596EF" w14:textId="77777777" w:rsidR="002C6574" w:rsidRDefault="00000000">
            <w:pPr>
              <w:pStyle w:val="TableParagraph"/>
              <w:spacing w:before="46" w:line="179" w:lineRule="exact"/>
              <w:ind w:right="69"/>
              <w:rPr>
                <w:rFonts w:ascii="Arial MT"/>
                <w:sz w:val="16"/>
              </w:rPr>
            </w:pPr>
            <w:r>
              <w:rPr>
                <w:rFonts w:ascii="Arial MT"/>
                <w:spacing w:val="-2"/>
                <w:sz w:val="16"/>
              </w:rPr>
              <w:t>355.951</w:t>
            </w:r>
          </w:p>
        </w:tc>
        <w:tc>
          <w:tcPr>
            <w:tcW w:w="931" w:type="dxa"/>
            <w:gridSpan w:val="2"/>
          </w:tcPr>
          <w:p w14:paraId="625C328D" w14:textId="77777777" w:rsidR="002C6574" w:rsidRDefault="00000000">
            <w:pPr>
              <w:pStyle w:val="TableParagraph"/>
              <w:spacing w:before="22"/>
              <w:ind w:left="350"/>
              <w:jc w:val="left"/>
              <w:rPr>
                <w:rFonts w:ascii="Arial MT"/>
                <w:sz w:val="16"/>
              </w:rPr>
            </w:pPr>
            <w:r>
              <w:rPr>
                <w:rFonts w:ascii="Arial MT"/>
                <w:spacing w:val="-2"/>
                <w:sz w:val="16"/>
              </w:rPr>
              <w:t>21,5%</w:t>
            </w:r>
          </w:p>
        </w:tc>
      </w:tr>
      <w:tr w:rsidR="002C6574" w14:paraId="2ACE5FF5" w14:textId="77777777">
        <w:trPr>
          <w:trHeight w:val="232"/>
        </w:trPr>
        <w:tc>
          <w:tcPr>
            <w:tcW w:w="3226" w:type="dxa"/>
          </w:tcPr>
          <w:p w14:paraId="1F5A95EC" w14:textId="77777777" w:rsidR="002C6574" w:rsidRDefault="00000000">
            <w:pPr>
              <w:pStyle w:val="TableParagraph"/>
              <w:spacing w:before="34" w:line="179" w:lineRule="exact"/>
              <w:ind w:left="119"/>
              <w:jc w:val="left"/>
              <w:rPr>
                <w:rFonts w:ascii="Arial MT" w:hAnsi="Arial MT"/>
                <w:sz w:val="16"/>
              </w:rPr>
            </w:pPr>
            <w:r>
              <w:rPr>
                <w:rFonts w:ascii="Arial MT" w:hAnsi="Arial MT"/>
                <w:sz w:val="16"/>
              </w:rPr>
              <w:t>Locação</w:t>
            </w:r>
            <w:r>
              <w:rPr>
                <w:rFonts w:ascii="Arial MT" w:hAnsi="Arial MT"/>
                <w:spacing w:val="-5"/>
                <w:sz w:val="16"/>
              </w:rPr>
              <w:t xml:space="preserve"> </w:t>
            </w:r>
            <w:r>
              <w:rPr>
                <w:rFonts w:ascii="Arial MT" w:hAnsi="Arial MT"/>
                <w:sz w:val="16"/>
              </w:rPr>
              <w:t>de</w:t>
            </w:r>
            <w:r>
              <w:rPr>
                <w:rFonts w:ascii="Arial MT" w:hAnsi="Arial MT"/>
                <w:spacing w:val="-7"/>
                <w:sz w:val="16"/>
              </w:rPr>
              <w:t xml:space="preserve"> </w:t>
            </w:r>
            <w:r>
              <w:rPr>
                <w:rFonts w:ascii="Arial MT" w:hAnsi="Arial MT"/>
                <w:sz w:val="16"/>
              </w:rPr>
              <w:t>Capacidade</w:t>
            </w:r>
            <w:r>
              <w:rPr>
                <w:rFonts w:ascii="Arial MT" w:hAnsi="Arial MT"/>
                <w:spacing w:val="-6"/>
                <w:sz w:val="16"/>
              </w:rPr>
              <w:t xml:space="preserve"> </w:t>
            </w:r>
            <w:r>
              <w:rPr>
                <w:rFonts w:ascii="Arial MT" w:hAnsi="Arial MT"/>
                <w:spacing w:val="-2"/>
                <w:sz w:val="16"/>
              </w:rPr>
              <w:t>Satelital</w:t>
            </w:r>
          </w:p>
        </w:tc>
        <w:tc>
          <w:tcPr>
            <w:tcW w:w="921" w:type="dxa"/>
            <w:shd w:val="clear" w:color="auto" w:fill="66FFFF"/>
          </w:tcPr>
          <w:p w14:paraId="713631AF" w14:textId="77777777" w:rsidR="002C6574" w:rsidRDefault="00000000">
            <w:pPr>
              <w:pStyle w:val="TableParagraph"/>
              <w:spacing w:before="34" w:line="179" w:lineRule="exact"/>
              <w:ind w:right="66"/>
              <w:rPr>
                <w:rFonts w:ascii="Arial MT"/>
                <w:sz w:val="16"/>
              </w:rPr>
            </w:pPr>
            <w:r>
              <w:rPr>
                <w:rFonts w:ascii="Arial MT"/>
                <w:spacing w:val="-2"/>
                <w:sz w:val="16"/>
              </w:rPr>
              <w:t>9.120</w:t>
            </w:r>
          </w:p>
        </w:tc>
        <w:tc>
          <w:tcPr>
            <w:tcW w:w="1026" w:type="dxa"/>
          </w:tcPr>
          <w:p w14:paraId="471CF432" w14:textId="77777777" w:rsidR="002C6574" w:rsidRDefault="00000000">
            <w:pPr>
              <w:pStyle w:val="TableParagraph"/>
              <w:spacing w:before="34" w:line="179" w:lineRule="exact"/>
              <w:ind w:right="170"/>
              <w:rPr>
                <w:rFonts w:ascii="Arial MT"/>
                <w:sz w:val="16"/>
              </w:rPr>
            </w:pPr>
            <w:r>
              <w:rPr>
                <w:rFonts w:ascii="Arial MT"/>
                <w:spacing w:val="-2"/>
                <w:sz w:val="16"/>
              </w:rPr>
              <w:t>9.120</w:t>
            </w:r>
          </w:p>
        </w:tc>
        <w:tc>
          <w:tcPr>
            <w:tcW w:w="820" w:type="dxa"/>
          </w:tcPr>
          <w:p w14:paraId="3CD0F21D" w14:textId="77777777" w:rsidR="002C6574" w:rsidRDefault="00000000">
            <w:pPr>
              <w:pStyle w:val="TableParagraph"/>
              <w:spacing w:before="34" w:line="179" w:lineRule="exact"/>
              <w:ind w:right="68"/>
              <w:rPr>
                <w:rFonts w:ascii="Arial MT"/>
                <w:sz w:val="16"/>
              </w:rPr>
            </w:pPr>
            <w:r>
              <w:rPr>
                <w:rFonts w:ascii="Arial MT"/>
                <w:spacing w:val="-2"/>
                <w:sz w:val="16"/>
              </w:rPr>
              <w:t>9.120</w:t>
            </w:r>
          </w:p>
        </w:tc>
        <w:tc>
          <w:tcPr>
            <w:tcW w:w="972" w:type="dxa"/>
            <w:gridSpan w:val="2"/>
          </w:tcPr>
          <w:p w14:paraId="36E5151B" w14:textId="77777777" w:rsidR="002C6574" w:rsidRDefault="00000000">
            <w:pPr>
              <w:pStyle w:val="TableParagraph"/>
              <w:spacing w:before="10"/>
              <w:ind w:left="440"/>
              <w:jc w:val="left"/>
              <w:rPr>
                <w:rFonts w:ascii="Arial MT"/>
                <w:sz w:val="16"/>
              </w:rPr>
            </w:pPr>
            <w:r>
              <w:rPr>
                <w:rFonts w:ascii="Arial MT"/>
                <w:spacing w:val="-4"/>
                <w:sz w:val="16"/>
              </w:rPr>
              <w:t>0,0%</w:t>
            </w:r>
          </w:p>
        </w:tc>
        <w:tc>
          <w:tcPr>
            <w:tcW w:w="863" w:type="dxa"/>
            <w:gridSpan w:val="2"/>
          </w:tcPr>
          <w:p w14:paraId="0D678D18" w14:textId="77777777" w:rsidR="002C6574" w:rsidRDefault="00000000">
            <w:pPr>
              <w:pStyle w:val="TableParagraph"/>
              <w:spacing w:before="10"/>
              <w:ind w:left="255"/>
              <w:jc w:val="left"/>
              <w:rPr>
                <w:rFonts w:ascii="Arial MT"/>
                <w:sz w:val="16"/>
              </w:rPr>
            </w:pPr>
            <w:r>
              <w:rPr>
                <w:rFonts w:ascii="Arial MT"/>
                <w:spacing w:val="-4"/>
                <w:sz w:val="16"/>
              </w:rPr>
              <w:t>0,0%</w:t>
            </w:r>
          </w:p>
        </w:tc>
        <w:tc>
          <w:tcPr>
            <w:tcW w:w="918" w:type="dxa"/>
            <w:shd w:val="clear" w:color="auto" w:fill="66FFFF"/>
          </w:tcPr>
          <w:p w14:paraId="589C94DA" w14:textId="77777777" w:rsidR="002C6574" w:rsidRDefault="00000000">
            <w:pPr>
              <w:pStyle w:val="TableParagraph"/>
              <w:spacing w:before="34" w:line="179" w:lineRule="exact"/>
              <w:ind w:right="68"/>
              <w:rPr>
                <w:rFonts w:ascii="Arial MT"/>
                <w:sz w:val="16"/>
              </w:rPr>
            </w:pPr>
            <w:r>
              <w:rPr>
                <w:rFonts w:ascii="Arial MT"/>
                <w:spacing w:val="-2"/>
                <w:sz w:val="16"/>
              </w:rPr>
              <w:t>36.480</w:t>
            </w:r>
          </w:p>
        </w:tc>
        <w:tc>
          <w:tcPr>
            <w:tcW w:w="918" w:type="dxa"/>
          </w:tcPr>
          <w:p w14:paraId="0A0765CF" w14:textId="77777777" w:rsidR="002C6574" w:rsidRDefault="00000000">
            <w:pPr>
              <w:pStyle w:val="TableParagraph"/>
              <w:spacing w:before="34" w:line="179" w:lineRule="exact"/>
              <w:ind w:right="69"/>
              <w:rPr>
                <w:rFonts w:ascii="Arial MT"/>
                <w:sz w:val="16"/>
              </w:rPr>
            </w:pPr>
            <w:r>
              <w:rPr>
                <w:rFonts w:ascii="Arial MT"/>
                <w:spacing w:val="-2"/>
                <w:sz w:val="16"/>
              </w:rPr>
              <w:t>36.481</w:t>
            </w:r>
          </w:p>
        </w:tc>
        <w:tc>
          <w:tcPr>
            <w:tcW w:w="931" w:type="dxa"/>
            <w:gridSpan w:val="2"/>
          </w:tcPr>
          <w:p w14:paraId="58D97E47" w14:textId="77777777" w:rsidR="002C6574" w:rsidRDefault="00000000">
            <w:pPr>
              <w:pStyle w:val="TableParagraph"/>
              <w:spacing w:before="10"/>
              <w:ind w:left="439"/>
              <w:jc w:val="left"/>
              <w:rPr>
                <w:rFonts w:ascii="Arial MT"/>
                <w:sz w:val="16"/>
              </w:rPr>
            </w:pPr>
            <w:r>
              <w:rPr>
                <w:rFonts w:ascii="Arial MT"/>
                <w:spacing w:val="-4"/>
                <w:sz w:val="16"/>
              </w:rPr>
              <w:t>0,0%</w:t>
            </w:r>
          </w:p>
        </w:tc>
      </w:tr>
      <w:tr w:rsidR="002C6574" w14:paraId="10BD8AE2" w14:textId="77777777">
        <w:trPr>
          <w:trHeight w:val="231"/>
        </w:trPr>
        <w:tc>
          <w:tcPr>
            <w:tcW w:w="3226" w:type="dxa"/>
          </w:tcPr>
          <w:p w14:paraId="4A43FEA3" w14:textId="77777777" w:rsidR="002C6574" w:rsidRDefault="00000000">
            <w:pPr>
              <w:pStyle w:val="TableParagraph"/>
              <w:spacing w:before="34" w:line="178" w:lineRule="exact"/>
              <w:ind w:left="119"/>
              <w:jc w:val="left"/>
              <w:rPr>
                <w:rFonts w:ascii="Arial MT" w:hAnsi="Arial MT"/>
                <w:sz w:val="16"/>
              </w:rPr>
            </w:pPr>
            <w:r>
              <w:rPr>
                <w:rFonts w:ascii="Arial MT" w:hAnsi="Arial MT"/>
                <w:sz w:val="16"/>
              </w:rPr>
              <w:t>Aluguéis</w:t>
            </w:r>
            <w:r>
              <w:rPr>
                <w:rFonts w:ascii="Arial MT" w:hAnsi="Arial MT"/>
                <w:spacing w:val="-4"/>
                <w:sz w:val="16"/>
              </w:rPr>
              <w:t xml:space="preserve"> </w:t>
            </w:r>
            <w:r>
              <w:rPr>
                <w:rFonts w:ascii="Arial MT" w:hAnsi="Arial MT"/>
                <w:sz w:val="16"/>
              </w:rPr>
              <w:t>e</w:t>
            </w:r>
            <w:r>
              <w:rPr>
                <w:rFonts w:ascii="Arial MT" w:hAnsi="Arial MT"/>
                <w:spacing w:val="-4"/>
                <w:sz w:val="16"/>
              </w:rPr>
              <w:t xml:space="preserve"> </w:t>
            </w:r>
            <w:r>
              <w:rPr>
                <w:rFonts w:ascii="Arial MT" w:hAnsi="Arial MT"/>
                <w:sz w:val="16"/>
              </w:rPr>
              <w:t>Locações</w:t>
            </w:r>
            <w:r>
              <w:rPr>
                <w:rFonts w:ascii="Arial MT" w:hAnsi="Arial MT"/>
                <w:spacing w:val="-2"/>
                <w:sz w:val="16"/>
              </w:rPr>
              <w:t xml:space="preserve"> </w:t>
            </w:r>
            <w:r>
              <w:rPr>
                <w:rFonts w:ascii="Arial MT" w:hAnsi="Arial MT"/>
                <w:sz w:val="16"/>
              </w:rPr>
              <w:t>-</w:t>
            </w:r>
            <w:r>
              <w:rPr>
                <w:rFonts w:ascii="Arial MT" w:hAnsi="Arial MT"/>
                <w:spacing w:val="-5"/>
                <w:sz w:val="16"/>
              </w:rPr>
              <w:t xml:space="preserve"> </w:t>
            </w:r>
            <w:r>
              <w:rPr>
                <w:rFonts w:ascii="Arial MT" w:hAnsi="Arial MT"/>
                <w:spacing w:val="-2"/>
                <w:sz w:val="16"/>
              </w:rPr>
              <w:t>Outras</w:t>
            </w:r>
          </w:p>
        </w:tc>
        <w:tc>
          <w:tcPr>
            <w:tcW w:w="921" w:type="dxa"/>
            <w:shd w:val="clear" w:color="auto" w:fill="66FFFF"/>
          </w:tcPr>
          <w:p w14:paraId="2D8C9BBE" w14:textId="77777777" w:rsidR="002C6574" w:rsidRDefault="00000000">
            <w:pPr>
              <w:pStyle w:val="TableParagraph"/>
              <w:spacing w:before="34" w:line="178" w:lineRule="exact"/>
              <w:ind w:right="66"/>
              <w:rPr>
                <w:rFonts w:ascii="Arial MT"/>
                <w:sz w:val="16"/>
              </w:rPr>
            </w:pPr>
            <w:r>
              <w:rPr>
                <w:rFonts w:ascii="Arial MT"/>
                <w:spacing w:val="-2"/>
                <w:sz w:val="16"/>
              </w:rPr>
              <w:t>7.734</w:t>
            </w:r>
          </w:p>
        </w:tc>
        <w:tc>
          <w:tcPr>
            <w:tcW w:w="1026" w:type="dxa"/>
          </w:tcPr>
          <w:p w14:paraId="063F8A6A" w14:textId="77777777" w:rsidR="002C6574" w:rsidRDefault="00000000">
            <w:pPr>
              <w:pStyle w:val="TableParagraph"/>
              <w:spacing w:before="34" w:line="178" w:lineRule="exact"/>
              <w:ind w:right="170"/>
              <w:rPr>
                <w:rFonts w:ascii="Arial MT"/>
                <w:sz w:val="16"/>
              </w:rPr>
            </w:pPr>
            <w:r>
              <w:rPr>
                <w:rFonts w:ascii="Arial MT"/>
                <w:spacing w:val="-2"/>
                <w:sz w:val="16"/>
              </w:rPr>
              <w:t>6.831</w:t>
            </w:r>
          </w:p>
        </w:tc>
        <w:tc>
          <w:tcPr>
            <w:tcW w:w="820" w:type="dxa"/>
          </w:tcPr>
          <w:p w14:paraId="4EADB56F" w14:textId="77777777" w:rsidR="002C6574" w:rsidRDefault="00000000">
            <w:pPr>
              <w:pStyle w:val="TableParagraph"/>
              <w:spacing w:before="34" w:line="178" w:lineRule="exact"/>
              <w:ind w:right="68"/>
              <w:rPr>
                <w:rFonts w:ascii="Arial MT"/>
                <w:sz w:val="16"/>
              </w:rPr>
            </w:pPr>
            <w:r>
              <w:rPr>
                <w:rFonts w:ascii="Arial MT"/>
                <w:spacing w:val="-2"/>
                <w:sz w:val="16"/>
              </w:rPr>
              <w:t>7.184</w:t>
            </w:r>
          </w:p>
        </w:tc>
        <w:tc>
          <w:tcPr>
            <w:tcW w:w="972" w:type="dxa"/>
            <w:gridSpan w:val="2"/>
          </w:tcPr>
          <w:p w14:paraId="7916549D" w14:textId="77777777" w:rsidR="002C6574" w:rsidRDefault="00000000">
            <w:pPr>
              <w:pStyle w:val="TableParagraph"/>
              <w:spacing w:before="10"/>
              <w:ind w:left="351"/>
              <w:jc w:val="left"/>
              <w:rPr>
                <w:rFonts w:ascii="Arial MT"/>
                <w:sz w:val="16"/>
              </w:rPr>
            </w:pPr>
            <w:r>
              <w:rPr>
                <w:rFonts w:ascii="Arial MT"/>
                <w:spacing w:val="-2"/>
                <w:sz w:val="16"/>
              </w:rPr>
              <w:t>13,2%</w:t>
            </w:r>
          </w:p>
        </w:tc>
        <w:tc>
          <w:tcPr>
            <w:tcW w:w="863" w:type="dxa"/>
            <w:gridSpan w:val="2"/>
          </w:tcPr>
          <w:p w14:paraId="68B8FD73" w14:textId="77777777" w:rsidR="002C6574" w:rsidRDefault="00000000">
            <w:pPr>
              <w:pStyle w:val="TableParagraph"/>
              <w:spacing w:before="10"/>
              <w:ind w:left="255"/>
              <w:jc w:val="left"/>
              <w:rPr>
                <w:rFonts w:ascii="Arial MT"/>
                <w:sz w:val="16"/>
              </w:rPr>
            </w:pPr>
            <w:r>
              <w:rPr>
                <w:rFonts w:ascii="Arial MT"/>
                <w:spacing w:val="-4"/>
                <w:sz w:val="16"/>
              </w:rPr>
              <w:t>7,7%</w:t>
            </w:r>
          </w:p>
        </w:tc>
        <w:tc>
          <w:tcPr>
            <w:tcW w:w="918" w:type="dxa"/>
            <w:shd w:val="clear" w:color="auto" w:fill="66FFFF"/>
          </w:tcPr>
          <w:p w14:paraId="1BE00CB5" w14:textId="77777777" w:rsidR="002C6574" w:rsidRDefault="00000000">
            <w:pPr>
              <w:pStyle w:val="TableParagraph"/>
              <w:spacing w:before="34" w:line="178" w:lineRule="exact"/>
              <w:ind w:right="68"/>
              <w:rPr>
                <w:rFonts w:ascii="Arial MT"/>
                <w:sz w:val="16"/>
              </w:rPr>
            </w:pPr>
            <w:r>
              <w:rPr>
                <w:rFonts w:ascii="Arial MT"/>
                <w:spacing w:val="-2"/>
                <w:sz w:val="16"/>
              </w:rPr>
              <w:t>28.382</w:t>
            </w:r>
          </w:p>
        </w:tc>
        <w:tc>
          <w:tcPr>
            <w:tcW w:w="918" w:type="dxa"/>
          </w:tcPr>
          <w:p w14:paraId="7D542CC1" w14:textId="77777777" w:rsidR="002C6574" w:rsidRDefault="00000000">
            <w:pPr>
              <w:pStyle w:val="TableParagraph"/>
              <w:spacing w:before="34" w:line="178" w:lineRule="exact"/>
              <w:ind w:right="69"/>
              <w:rPr>
                <w:rFonts w:ascii="Arial MT"/>
                <w:sz w:val="16"/>
              </w:rPr>
            </w:pPr>
            <w:r>
              <w:rPr>
                <w:rFonts w:ascii="Arial MT"/>
                <w:spacing w:val="-2"/>
                <w:sz w:val="16"/>
              </w:rPr>
              <w:t>26.918</w:t>
            </w:r>
          </w:p>
        </w:tc>
        <w:tc>
          <w:tcPr>
            <w:tcW w:w="931" w:type="dxa"/>
            <w:gridSpan w:val="2"/>
          </w:tcPr>
          <w:p w14:paraId="2145E060" w14:textId="77777777" w:rsidR="002C6574" w:rsidRDefault="00000000">
            <w:pPr>
              <w:pStyle w:val="TableParagraph"/>
              <w:spacing w:before="10"/>
              <w:ind w:left="439"/>
              <w:jc w:val="left"/>
              <w:rPr>
                <w:rFonts w:ascii="Arial MT"/>
                <w:sz w:val="16"/>
              </w:rPr>
            </w:pPr>
            <w:r>
              <w:rPr>
                <w:rFonts w:ascii="Arial MT"/>
                <w:spacing w:val="-4"/>
                <w:sz w:val="16"/>
              </w:rPr>
              <w:t>5,4%</w:t>
            </w:r>
          </w:p>
        </w:tc>
      </w:tr>
      <w:tr w:rsidR="002C6574" w14:paraId="60A54AA6" w14:textId="77777777">
        <w:trPr>
          <w:trHeight w:val="231"/>
        </w:trPr>
        <w:tc>
          <w:tcPr>
            <w:tcW w:w="3226" w:type="dxa"/>
          </w:tcPr>
          <w:p w14:paraId="5285C8EE" w14:textId="77777777" w:rsidR="002C6574" w:rsidRDefault="00000000">
            <w:pPr>
              <w:pStyle w:val="TableParagraph"/>
              <w:spacing w:before="33" w:line="179" w:lineRule="exact"/>
              <w:ind w:left="119"/>
              <w:jc w:val="left"/>
              <w:rPr>
                <w:rFonts w:ascii="Arial MT" w:hAnsi="Arial MT"/>
                <w:sz w:val="16"/>
              </w:rPr>
            </w:pPr>
            <w:r>
              <w:rPr>
                <w:rFonts w:ascii="Arial MT" w:hAnsi="Arial MT"/>
                <w:sz w:val="16"/>
              </w:rPr>
              <w:t>Serviços</w:t>
            </w:r>
            <w:r>
              <w:rPr>
                <w:rFonts w:ascii="Arial MT" w:hAnsi="Arial MT"/>
                <w:spacing w:val="-4"/>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Valor</w:t>
            </w:r>
            <w:r>
              <w:rPr>
                <w:rFonts w:ascii="Arial MT" w:hAnsi="Arial MT"/>
                <w:spacing w:val="-5"/>
                <w:sz w:val="16"/>
              </w:rPr>
              <w:t xml:space="preserve"> </w:t>
            </w:r>
            <w:r>
              <w:rPr>
                <w:rFonts w:ascii="Arial MT" w:hAnsi="Arial MT"/>
                <w:spacing w:val="-2"/>
                <w:sz w:val="16"/>
              </w:rPr>
              <w:t>Adicionado</w:t>
            </w:r>
          </w:p>
        </w:tc>
        <w:tc>
          <w:tcPr>
            <w:tcW w:w="921" w:type="dxa"/>
            <w:shd w:val="clear" w:color="auto" w:fill="66FFFF"/>
          </w:tcPr>
          <w:p w14:paraId="717A4194" w14:textId="77777777" w:rsidR="002C6574" w:rsidRDefault="00000000">
            <w:pPr>
              <w:pStyle w:val="TableParagraph"/>
              <w:spacing w:before="33" w:line="179" w:lineRule="exact"/>
              <w:ind w:right="66"/>
              <w:rPr>
                <w:rFonts w:ascii="Arial MT"/>
                <w:sz w:val="16"/>
              </w:rPr>
            </w:pPr>
            <w:r>
              <w:rPr>
                <w:rFonts w:ascii="Arial MT"/>
                <w:spacing w:val="-2"/>
                <w:sz w:val="16"/>
              </w:rPr>
              <w:t>8.732</w:t>
            </w:r>
          </w:p>
        </w:tc>
        <w:tc>
          <w:tcPr>
            <w:tcW w:w="1026" w:type="dxa"/>
          </w:tcPr>
          <w:p w14:paraId="7A32B2EA" w14:textId="77777777" w:rsidR="002C6574" w:rsidRDefault="00000000">
            <w:pPr>
              <w:pStyle w:val="TableParagraph"/>
              <w:spacing w:before="33" w:line="179" w:lineRule="exact"/>
              <w:ind w:right="170"/>
              <w:rPr>
                <w:rFonts w:ascii="Arial MT"/>
                <w:sz w:val="16"/>
              </w:rPr>
            </w:pPr>
            <w:r>
              <w:rPr>
                <w:rFonts w:ascii="Arial MT"/>
                <w:spacing w:val="-2"/>
                <w:sz w:val="16"/>
              </w:rPr>
              <w:t>5.226</w:t>
            </w:r>
          </w:p>
        </w:tc>
        <w:tc>
          <w:tcPr>
            <w:tcW w:w="820" w:type="dxa"/>
          </w:tcPr>
          <w:p w14:paraId="0606A76F" w14:textId="77777777" w:rsidR="002C6574" w:rsidRDefault="00000000">
            <w:pPr>
              <w:pStyle w:val="TableParagraph"/>
              <w:spacing w:before="33" w:line="179" w:lineRule="exact"/>
              <w:ind w:right="68"/>
              <w:rPr>
                <w:rFonts w:ascii="Arial MT"/>
                <w:sz w:val="16"/>
              </w:rPr>
            </w:pPr>
            <w:r>
              <w:rPr>
                <w:rFonts w:ascii="Arial MT"/>
                <w:spacing w:val="-2"/>
                <w:sz w:val="16"/>
              </w:rPr>
              <w:t>6.931</w:t>
            </w:r>
          </w:p>
        </w:tc>
        <w:tc>
          <w:tcPr>
            <w:tcW w:w="972" w:type="dxa"/>
            <w:gridSpan w:val="2"/>
          </w:tcPr>
          <w:p w14:paraId="4851FA81" w14:textId="77777777" w:rsidR="002C6574" w:rsidRDefault="00000000">
            <w:pPr>
              <w:pStyle w:val="TableParagraph"/>
              <w:spacing w:before="9"/>
              <w:ind w:left="351"/>
              <w:jc w:val="left"/>
              <w:rPr>
                <w:rFonts w:ascii="Arial MT"/>
                <w:sz w:val="16"/>
              </w:rPr>
            </w:pPr>
            <w:r>
              <w:rPr>
                <w:rFonts w:ascii="Arial MT"/>
                <w:spacing w:val="-2"/>
                <w:sz w:val="16"/>
              </w:rPr>
              <w:t>67,1%</w:t>
            </w:r>
          </w:p>
        </w:tc>
        <w:tc>
          <w:tcPr>
            <w:tcW w:w="863" w:type="dxa"/>
            <w:gridSpan w:val="2"/>
          </w:tcPr>
          <w:p w14:paraId="0C041503" w14:textId="77777777" w:rsidR="002C6574" w:rsidRDefault="00000000">
            <w:pPr>
              <w:pStyle w:val="TableParagraph"/>
              <w:spacing w:before="9"/>
              <w:ind w:left="166"/>
              <w:jc w:val="left"/>
              <w:rPr>
                <w:rFonts w:ascii="Arial MT"/>
                <w:sz w:val="16"/>
              </w:rPr>
            </w:pPr>
            <w:r>
              <w:rPr>
                <w:rFonts w:ascii="Arial MT"/>
                <w:spacing w:val="-2"/>
                <w:sz w:val="16"/>
              </w:rPr>
              <w:t>26,0%</w:t>
            </w:r>
          </w:p>
        </w:tc>
        <w:tc>
          <w:tcPr>
            <w:tcW w:w="918" w:type="dxa"/>
            <w:shd w:val="clear" w:color="auto" w:fill="66FFFF"/>
          </w:tcPr>
          <w:p w14:paraId="13A6C805" w14:textId="77777777" w:rsidR="002C6574" w:rsidRDefault="00000000">
            <w:pPr>
              <w:pStyle w:val="TableParagraph"/>
              <w:spacing w:before="33" w:line="179" w:lineRule="exact"/>
              <w:ind w:right="68"/>
              <w:rPr>
                <w:rFonts w:ascii="Arial MT"/>
                <w:sz w:val="16"/>
              </w:rPr>
            </w:pPr>
            <w:r>
              <w:rPr>
                <w:rFonts w:ascii="Arial MT"/>
                <w:spacing w:val="-2"/>
                <w:sz w:val="16"/>
              </w:rPr>
              <w:t>26.411</w:t>
            </w:r>
          </w:p>
        </w:tc>
        <w:tc>
          <w:tcPr>
            <w:tcW w:w="918" w:type="dxa"/>
          </w:tcPr>
          <w:p w14:paraId="00541693" w14:textId="77777777" w:rsidR="002C6574" w:rsidRDefault="00000000">
            <w:pPr>
              <w:pStyle w:val="TableParagraph"/>
              <w:spacing w:before="33" w:line="179" w:lineRule="exact"/>
              <w:ind w:right="69"/>
              <w:rPr>
                <w:rFonts w:ascii="Arial MT"/>
                <w:sz w:val="16"/>
              </w:rPr>
            </w:pPr>
            <w:r>
              <w:rPr>
                <w:rFonts w:ascii="Arial MT"/>
                <w:spacing w:val="-2"/>
                <w:sz w:val="16"/>
              </w:rPr>
              <w:t>20.029</w:t>
            </w:r>
          </w:p>
        </w:tc>
        <w:tc>
          <w:tcPr>
            <w:tcW w:w="931" w:type="dxa"/>
            <w:gridSpan w:val="2"/>
          </w:tcPr>
          <w:p w14:paraId="34F2C611" w14:textId="77777777" w:rsidR="002C6574" w:rsidRDefault="00000000">
            <w:pPr>
              <w:pStyle w:val="TableParagraph"/>
              <w:spacing w:before="9"/>
              <w:ind w:left="350"/>
              <w:jc w:val="left"/>
              <w:rPr>
                <w:rFonts w:ascii="Arial MT"/>
                <w:sz w:val="16"/>
              </w:rPr>
            </w:pPr>
            <w:r>
              <w:rPr>
                <w:rFonts w:ascii="Arial MT"/>
                <w:spacing w:val="-2"/>
                <w:sz w:val="16"/>
              </w:rPr>
              <w:t>31,9%</w:t>
            </w:r>
          </w:p>
        </w:tc>
      </w:tr>
      <w:tr w:rsidR="002C6574" w14:paraId="7407E1F7" w14:textId="77777777">
        <w:trPr>
          <w:trHeight w:val="233"/>
        </w:trPr>
        <w:tc>
          <w:tcPr>
            <w:tcW w:w="3226" w:type="dxa"/>
          </w:tcPr>
          <w:p w14:paraId="402DADAD" w14:textId="77777777" w:rsidR="002C6574" w:rsidRDefault="00000000">
            <w:pPr>
              <w:pStyle w:val="TableParagraph"/>
              <w:spacing w:before="34" w:line="179" w:lineRule="exact"/>
              <w:ind w:left="119"/>
              <w:jc w:val="left"/>
              <w:rPr>
                <w:rFonts w:ascii="Arial MT"/>
                <w:sz w:val="16"/>
              </w:rPr>
            </w:pPr>
            <w:r>
              <w:rPr>
                <w:rFonts w:ascii="Arial MT"/>
                <w:sz w:val="16"/>
              </w:rPr>
              <w:t>Compartilhamento</w:t>
            </w:r>
            <w:r>
              <w:rPr>
                <w:rFonts w:ascii="Arial MT"/>
                <w:spacing w:val="-10"/>
                <w:sz w:val="16"/>
              </w:rPr>
              <w:t xml:space="preserve"> </w:t>
            </w:r>
            <w:r>
              <w:rPr>
                <w:rFonts w:ascii="Arial MT"/>
                <w:sz w:val="16"/>
              </w:rPr>
              <w:t>de</w:t>
            </w:r>
            <w:r>
              <w:rPr>
                <w:rFonts w:ascii="Arial MT"/>
                <w:spacing w:val="-6"/>
                <w:sz w:val="16"/>
              </w:rPr>
              <w:t xml:space="preserve"> </w:t>
            </w:r>
            <w:r>
              <w:rPr>
                <w:rFonts w:ascii="Arial MT"/>
                <w:spacing w:val="-2"/>
                <w:sz w:val="16"/>
              </w:rPr>
              <w:t>Receita</w:t>
            </w:r>
          </w:p>
        </w:tc>
        <w:tc>
          <w:tcPr>
            <w:tcW w:w="921" w:type="dxa"/>
            <w:shd w:val="clear" w:color="auto" w:fill="66FFFF"/>
          </w:tcPr>
          <w:p w14:paraId="336CAADA" w14:textId="77777777" w:rsidR="002C6574" w:rsidRDefault="00000000">
            <w:pPr>
              <w:pStyle w:val="TableParagraph"/>
              <w:spacing w:before="34" w:line="179" w:lineRule="exact"/>
              <w:ind w:right="66"/>
              <w:rPr>
                <w:rFonts w:ascii="Arial MT"/>
                <w:sz w:val="16"/>
              </w:rPr>
            </w:pPr>
            <w:r>
              <w:rPr>
                <w:rFonts w:ascii="Arial MT"/>
                <w:spacing w:val="-2"/>
                <w:sz w:val="16"/>
              </w:rPr>
              <w:t>2.832</w:t>
            </w:r>
          </w:p>
        </w:tc>
        <w:tc>
          <w:tcPr>
            <w:tcW w:w="1026" w:type="dxa"/>
          </w:tcPr>
          <w:p w14:paraId="6AE34156" w14:textId="77777777" w:rsidR="002C6574" w:rsidRDefault="00000000">
            <w:pPr>
              <w:pStyle w:val="TableParagraph"/>
              <w:spacing w:before="34" w:line="179" w:lineRule="exact"/>
              <w:ind w:right="170"/>
              <w:rPr>
                <w:rFonts w:ascii="Arial MT"/>
                <w:sz w:val="16"/>
              </w:rPr>
            </w:pPr>
            <w:r>
              <w:rPr>
                <w:rFonts w:ascii="Arial MT"/>
                <w:spacing w:val="-2"/>
                <w:sz w:val="16"/>
              </w:rPr>
              <w:t>3.126</w:t>
            </w:r>
          </w:p>
        </w:tc>
        <w:tc>
          <w:tcPr>
            <w:tcW w:w="820" w:type="dxa"/>
          </w:tcPr>
          <w:p w14:paraId="2B4E7FC6" w14:textId="77777777" w:rsidR="002C6574" w:rsidRDefault="00000000">
            <w:pPr>
              <w:pStyle w:val="TableParagraph"/>
              <w:spacing w:before="34" w:line="179" w:lineRule="exact"/>
              <w:ind w:right="68"/>
              <w:rPr>
                <w:rFonts w:ascii="Arial MT"/>
                <w:sz w:val="16"/>
              </w:rPr>
            </w:pPr>
            <w:r>
              <w:rPr>
                <w:rFonts w:ascii="Arial MT"/>
                <w:spacing w:val="-2"/>
                <w:sz w:val="16"/>
              </w:rPr>
              <w:t>1.923</w:t>
            </w:r>
          </w:p>
        </w:tc>
        <w:tc>
          <w:tcPr>
            <w:tcW w:w="972" w:type="dxa"/>
            <w:gridSpan w:val="2"/>
          </w:tcPr>
          <w:p w14:paraId="7D888865" w14:textId="77777777" w:rsidR="002C6574" w:rsidRDefault="00000000">
            <w:pPr>
              <w:pStyle w:val="TableParagraph"/>
              <w:spacing w:before="10"/>
              <w:ind w:left="387"/>
              <w:jc w:val="left"/>
              <w:rPr>
                <w:rFonts w:ascii="Arial MT"/>
                <w:sz w:val="16"/>
              </w:rPr>
            </w:pPr>
            <w:r>
              <w:rPr>
                <w:rFonts w:ascii="Arial MT"/>
                <w:spacing w:val="-2"/>
                <w:sz w:val="16"/>
              </w:rPr>
              <w:t>-</w:t>
            </w:r>
            <w:r>
              <w:rPr>
                <w:rFonts w:ascii="Arial MT"/>
                <w:spacing w:val="-4"/>
                <w:sz w:val="16"/>
              </w:rPr>
              <w:t>9,4%</w:t>
            </w:r>
          </w:p>
        </w:tc>
        <w:tc>
          <w:tcPr>
            <w:tcW w:w="863" w:type="dxa"/>
            <w:gridSpan w:val="2"/>
          </w:tcPr>
          <w:p w14:paraId="79E5971B" w14:textId="77777777" w:rsidR="002C6574" w:rsidRDefault="00000000">
            <w:pPr>
              <w:pStyle w:val="TableParagraph"/>
              <w:spacing w:before="10"/>
              <w:ind w:left="166"/>
              <w:jc w:val="left"/>
              <w:rPr>
                <w:rFonts w:ascii="Arial MT"/>
                <w:sz w:val="16"/>
              </w:rPr>
            </w:pPr>
            <w:r>
              <w:rPr>
                <w:rFonts w:ascii="Arial MT"/>
                <w:spacing w:val="-2"/>
                <w:sz w:val="16"/>
              </w:rPr>
              <w:t>47,3%</w:t>
            </w:r>
          </w:p>
        </w:tc>
        <w:tc>
          <w:tcPr>
            <w:tcW w:w="918" w:type="dxa"/>
            <w:shd w:val="clear" w:color="auto" w:fill="66FFFF"/>
          </w:tcPr>
          <w:p w14:paraId="77E2CFEE" w14:textId="77777777" w:rsidR="002C6574" w:rsidRDefault="00000000">
            <w:pPr>
              <w:pStyle w:val="TableParagraph"/>
              <w:spacing w:before="34" w:line="179" w:lineRule="exact"/>
              <w:ind w:right="68"/>
              <w:rPr>
                <w:rFonts w:ascii="Arial MT"/>
                <w:sz w:val="16"/>
              </w:rPr>
            </w:pPr>
            <w:r>
              <w:rPr>
                <w:rFonts w:ascii="Arial MT"/>
                <w:spacing w:val="-2"/>
                <w:sz w:val="16"/>
              </w:rPr>
              <w:t>10.421</w:t>
            </w:r>
          </w:p>
        </w:tc>
        <w:tc>
          <w:tcPr>
            <w:tcW w:w="918" w:type="dxa"/>
          </w:tcPr>
          <w:p w14:paraId="534FD7AB" w14:textId="77777777" w:rsidR="002C6574" w:rsidRDefault="00000000">
            <w:pPr>
              <w:pStyle w:val="TableParagraph"/>
              <w:spacing w:before="34" w:line="179" w:lineRule="exact"/>
              <w:ind w:right="69"/>
              <w:rPr>
                <w:rFonts w:ascii="Arial MT"/>
                <w:sz w:val="16"/>
              </w:rPr>
            </w:pPr>
            <w:r>
              <w:rPr>
                <w:rFonts w:ascii="Arial MT"/>
                <w:spacing w:val="-2"/>
                <w:sz w:val="16"/>
              </w:rPr>
              <w:t>13.633</w:t>
            </w:r>
          </w:p>
        </w:tc>
        <w:tc>
          <w:tcPr>
            <w:tcW w:w="931" w:type="dxa"/>
            <w:gridSpan w:val="2"/>
          </w:tcPr>
          <w:p w14:paraId="39119EDA" w14:textId="77777777" w:rsidR="002C6574" w:rsidRDefault="00000000">
            <w:pPr>
              <w:pStyle w:val="TableParagraph"/>
              <w:spacing w:before="10"/>
              <w:ind w:left="297"/>
              <w:jc w:val="left"/>
              <w:rPr>
                <w:rFonts w:ascii="Arial MT"/>
                <w:sz w:val="16"/>
              </w:rPr>
            </w:pPr>
            <w:r>
              <w:rPr>
                <w:rFonts w:ascii="Arial MT"/>
                <w:spacing w:val="-2"/>
                <w:sz w:val="16"/>
              </w:rPr>
              <w:t>-23,6%</w:t>
            </w:r>
          </w:p>
        </w:tc>
      </w:tr>
      <w:tr w:rsidR="002C6574" w14:paraId="507BBD81" w14:textId="77777777">
        <w:trPr>
          <w:trHeight w:val="217"/>
        </w:trPr>
        <w:tc>
          <w:tcPr>
            <w:tcW w:w="3226" w:type="dxa"/>
          </w:tcPr>
          <w:p w14:paraId="6D74B996" w14:textId="77777777" w:rsidR="002C6574" w:rsidRDefault="00000000">
            <w:pPr>
              <w:pStyle w:val="TableParagraph"/>
              <w:spacing w:before="34" w:line="164" w:lineRule="exact"/>
              <w:ind w:left="119"/>
              <w:jc w:val="left"/>
              <w:rPr>
                <w:rFonts w:ascii="Arial MT"/>
                <w:sz w:val="16"/>
              </w:rPr>
            </w:pPr>
            <w:r>
              <w:rPr>
                <w:rFonts w:ascii="Arial MT"/>
                <w:sz w:val="16"/>
              </w:rPr>
              <w:t>Outras</w:t>
            </w:r>
            <w:r>
              <w:rPr>
                <w:rFonts w:ascii="Arial MT"/>
                <w:spacing w:val="-2"/>
                <w:sz w:val="16"/>
              </w:rPr>
              <w:t xml:space="preserve"> Receitas</w:t>
            </w:r>
          </w:p>
        </w:tc>
        <w:tc>
          <w:tcPr>
            <w:tcW w:w="921" w:type="dxa"/>
            <w:shd w:val="clear" w:color="auto" w:fill="66FFFF"/>
          </w:tcPr>
          <w:p w14:paraId="3200AF3F" w14:textId="77777777" w:rsidR="002C6574" w:rsidRDefault="00000000">
            <w:pPr>
              <w:pStyle w:val="TableParagraph"/>
              <w:spacing w:before="34" w:line="164" w:lineRule="exact"/>
              <w:ind w:right="66"/>
              <w:rPr>
                <w:rFonts w:ascii="Arial MT"/>
                <w:sz w:val="16"/>
              </w:rPr>
            </w:pPr>
            <w:r>
              <w:rPr>
                <w:rFonts w:ascii="Arial MT"/>
                <w:spacing w:val="-2"/>
                <w:sz w:val="16"/>
              </w:rPr>
              <w:t>1.744</w:t>
            </w:r>
          </w:p>
        </w:tc>
        <w:tc>
          <w:tcPr>
            <w:tcW w:w="1026" w:type="dxa"/>
          </w:tcPr>
          <w:p w14:paraId="5F4FD22F" w14:textId="77777777" w:rsidR="002C6574" w:rsidRDefault="00000000">
            <w:pPr>
              <w:pStyle w:val="TableParagraph"/>
              <w:spacing w:before="34" w:line="164" w:lineRule="exact"/>
              <w:ind w:right="170"/>
              <w:rPr>
                <w:rFonts w:ascii="Arial MT"/>
                <w:sz w:val="16"/>
              </w:rPr>
            </w:pPr>
            <w:r>
              <w:rPr>
                <w:rFonts w:ascii="Arial MT"/>
                <w:spacing w:val="-2"/>
                <w:sz w:val="16"/>
              </w:rPr>
              <w:t>5.708</w:t>
            </w:r>
          </w:p>
        </w:tc>
        <w:tc>
          <w:tcPr>
            <w:tcW w:w="820" w:type="dxa"/>
          </w:tcPr>
          <w:p w14:paraId="143F4E29" w14:textId="77777777" w:rsidR="002C6574" w:rsidRDefault="00000000">
            <w:pPr>
              <w:pStyle w:val="TableParagraph"/>
              <w:spacing w:before="34" w:line="164" w:lineRule="exact"/>
              <w:ind w:right="68"/>
              <w:rPr>
                <w:rFonts w:ascii="Arial MT"/>
                <w:sz w:val="16"/>
              </w:rPr>
            </w:pPr>
            <w:r>
              <w:rPr>
                <w:rFonts w:ascii="Arial MT"/>
                <w:spacing w:val="-2"/>
                <w:sz w:val="16"/>
              </w:rPr>
              <w:t>1.131</w:t>
            </w:r>
          </w:p>
        </w:tc>
        <w:tc>
          <w:tcPr>
            <w:tcW w:w="972" w:type="dxa"/>
            <w:gridSpan w:val="2"/>
          </w:tcPr>
          <w:p w14:paraId="5BA642C0" w14:textId="77777777" w:rsidR="002C6574" w:rsidRDefault="00000000">
            <w:pPr>
              <w:pStyle w:val="TableParagraph"/>
              <w:spacing w:before="10"/>
              <w:ind w:left="298"/>
              <w:jc w:val="left"/>
              <w:rPr>
                <w:rFonts w:ascii="Arial MT"/>
                <w:sz w:val="16"/>
              </w:rPr>
            </w:pPr>
            <w:r>
              <w:rPr>
                <w:rFonts w:ascii="Arial MT"/>
                <w:spacing w:val="-2"/>
                <w:sz w:val="16"/>
              </w:rPr>
              <w:t>-69,4%</w:t>
            </w:r>
          </w:p>
        </w:tc>
        <w:tc>
          <w:tcPr>
            <w:tcW w:w="863" w:type="dxa"/>
            <w:gridSpan w:val="2"/>
          </w:tcPr>
          <w:p w14:paraId="145BA103" w14:textId="77777777" w:rsidR="002C6574" w:rsidRDefault="00000000">
            <w:pPr>
              <w:pStyle w:val="TableParagraph"/>
              <w:spacing w:before="10"/>
              <w:ind w:left="166"/>
              <w:jc w:val="left"/>
              <w:rPr>
                <w:rFonts w:ascii="Arial MT"/>
                <w:sz w:val="16"/>
              </w:rPr>
            </w:pPr>
            <w:r>
              <w:rPr>
                <w:rFonts w:ascii="Arial MT"/>
                <w:spacing w:val="-2"/>
                <w:sz w:val="16"/>
              </w:rPr>
              <w:t>54,2%</w:t>
            </w:r>
          </w:p>
        </w:tc>
        <w:tc>
          <w:tcPr>
            <w:tcW w:w="918" w:type="dxa"/>
            <w:shd w:val="clear" w:color="auto" w:fill="66FFFF"/>
          </w:tcPr>
          <w:p w14:paraId="1A3C9ABA" w14:textId="77777777" w:rsidR="002C6574" w:rsidRDefault="00000000">
            <w:pPr>
              <w:pStyle w:val="TableParagraph"/>
              <w:spacing w:before="34" w:line="164" w:lineRule="exact"/>
              <w:ind w:right="68"/>
              <w:rPr>
                <w:rFonts w:ascii="Arial MT"/>
                <w:sz w:val="16"/>
              </w:rPr>
            </w:pPr>
            <w:r>
              <w:rPr>
                <w:rFonts w:ascii="Arial MT"/>
                <w:spacing w:val="-2"/>
                <w:sz w:val="16"/>
              </w:rPr>
              <w:t>6.730</w:t>
            </w:r>
          </w:p>
        </w:tc>
        <w:tc>
          <w:tcPr>
            <w:tcW w:w="918" w:type="dxa"/>
          </w:tcPr>
          <w:p w14:paraId="2208929C" w14:textId="77777777" w:rsidR="002C6574" w:rsidRDefault="00000000">
            <w:pPr>
              <w:pStyle w:val="TableParagraph"/>
              <w:spacing w:before="34" w:line="164" w:lineRule="exact"/>
              <w:ind w:right="69"/>
              <w:rPr>
                <w:rFonts w:ascii="Arial MT"/>
                <w:sz w:val="16"/>
              </w:rPr>
            </w:pPr>
            <w:r>
              <w:rPr>
                <w:rFonts w:ascii="Arial MT"/>
                <w:spacing w:val="-2"/>
                <w:sz w:val="16"/>
              </w:rPr>
              <w:t>9.379</w:t>
            </w:r>
          </w:p>
        </w:tc>
        <w:tc>
          <w:tcPr>
            <w:tcW w:w="931" w:type="dxa"/>
            <w:gridSpan w:val="2"/>
          </w:tcPr>
          <w:p w14:paraId="3DED37A0" w14:textId="77777777" w:rsidR="002C6574" w:rsidRDefault="00000000">
            <w:pPr>
              <w:pStyle w:val="TableParagraph"/>
              <w:spacing w:before="10"/>
              <w:ind w:left="297"/>
              <w:jc w:val="left"/>
              <w:rPr>
                <w:rFonts w:ascii="Arial MT"/>
                <w:sz w:val="16"/>
              </w:rPr>
            </w:pPr>
            <w:r>
              <w:rPr>
                <w:rFonts w:ascii="Arial MT"/>
                <w:spacing w:val="-2"/>
                <w:sz w:val="16"/>
              </w:rPr>
              <w:t>-28,2%</w:t>
            </w:r>
          </w:p>
        </w:tc>
      </w:tr>
      <w:tr w:rsidR="002C6574" w14:paraId="6231FD95" w14:textId="77777777">
        <w:trPr>
          <w:trHeight w:val="230"/>
        </w:trPr>
        <w:tc>
          <w:tcPr>
            <w:tcW w:w="6166" w:type="dxa"/>
            <w:gridSpan w:val="5"/>
          </w:tcPr>
          <w:p w14:paraId="3621E989" w14:textId="77777777" w:rsidR="002C6574" w:rsidRDefault="00000000">
            <w:pPr>
              <w:pStyle w:val="TableParagraph"/>
              <w:tabs>
                <w:tab w:val="left" w:pos="3499"/>
                <w:tab w:val="left" w:pos="4421"/>
                <w:tab w:val="left" w:pos="5342"/>
              </w:tabs>
              <w:spacing w:before="46" w:line="163" w:lineRule="exact"/>
              <w:ind w:left="50"/>
              <w:jc w:val="left"/>
              <w:rPr>
                <w:rFonts w:ascii="Arial"/>
                <w:b/>
                <w:sz w:val="16"/>
              </w:rPr>
            </w:pPr>
            <w:r>
              <w:rPr>
                <w:rFonts w:ascii="Arial"/>
                <w:b/>
                <w:color w:val="FFFFFF"/>
                <w:spacing w:val="15"/>
                <w:sz w:val="16"/>
                <w:highlight w:val="blue"/>
                <w:u w:val="single" w:color="F1CEEE"/>
              </w:rPr>
              <w:t xml:space="preserve"> </w:t>
            </w:r>
            <w:r>
              <w:rPr>
                <w:rFonts w:ascii="Arial"/>
                <w:b/>
                <w:color w:val="FFFFFF"/>
                <w:sz w:val="16"/>
                <w:highlight w:val="blue"/>
                <w:u w:val="single" w:color="F1CEEE"/>
              </w:rPr>
              <w:t>Receita</w:t>
            </w:r>
            <w:r>
              <w:rPr>
                <w:rFonts w:ascii="Arial"/>
                <w:b/>
                <w:color w:val="FFFFFF"/>
                <w:spacing w:val="-3"/>
                <w:sz w:val="16"/>
                <w:highlight w:val="blue"/>
                <w:u w:val="single" w:color="F1CEEE"/>
              </w:rPr>
              <w:t xml:space="preserve"> </w:t>
            </w:r>
            <w:r>
              <w:rPr>
                <w:rFonts w:ascii="Arial"/>
                <w:b/>
                <w:color w:val="FFFFFF"/>
                <w:sz w:val="16"/>
                <w:highlight w:val="blue"/>
                <w:u w:val="single" w:color="F1CEEE"/>
              </w:rPr>
              <w:t>Operacional</w:t>
            </w:r>
            <w:r>
              <w:rPr>
                <w:rFonts w:ascii="Arial"/>
                <w:b/>
                <w:color w:val="FFFFFF"/>
                <w:spacing w:val="-3"/>
                <w:sz w:val="16"/>
                <w:highlight w:val="blue"/>
                <w:u w:val="single" w:color="F1CEEE"/>
              </w:rPr>
              <w:t xml:space="preserve"> </w:t>
            </w:r>
            <w:r>
              <w:rPr>
                <w:rFonts w:ascii="Arial"/>
                <w:b/>
                <w:color w:val="FFFFFF"/>
                <w:spacing w:val="-4"/>
                <w:sz w:val="16"/>
                <w:highlight w:val="blue"/>
                <w:u w:val="single" w:color="F1CEEE"/>
              </w:rPr>
              <w:t>Bruta</w:t>
            </w:r>
            <w:r>
              <w:rPr>
                <w:rFonts w:ascii="Arial"/>
                <w:b/>
                <w:color w:val="FFFFFF"/>
                <w:sz w:val="16"/>
                <w:highlight w:val="blue"/>
                <w:u w:val="single" w:color="F1CEEE"/>
              </w:rPr>
              <w:tab/>
            </w:r>
            <w:r>
              <w:rPr>
                <w:rFonts w:ascii="Arial"/>
                <w:b/>
                <w:color w:val="FFFFFF"/>
                <w:spacing w:val="-2"/>
                <w:sz w:val="16"/>
                <w:highlight w:val="blue"/>
                <w:u w:val="single" w:color="F1CEEE"/>
              </w:rPr>
              <w:t>176.271</w:t>
            </w:r>
            <w:r>
              <w:rPr>
                <w:rFonts w:ascii="Arial"/>
                <w:b/>
                <w:color w:val="FFFFFF"/>
                <w:sz w:val="16"/>
                <w:highlight w:val="blue"/>
                <w:u w:val="single" w:color="F1CEEE"/>
              </w:rPr>
              <w:tab/>
            </w:r>
            <w:r>
              <w:rPr>
                <w:rFonts w:ascii="Arial"/>
                <w:b/>
                <w:color w:val="FFFFFF"/>
                <w:spacing w:val="-2"/>
                <w:sz w:val="16"/>
                <w:highlight w:val="blue"/>
                <w:u w:val="single" w:color="F1CEEE"/>
              </w:rPr>
              <w:t>144.897</w:t>
            </w:r>
            <w:r>
              <w:rPr>
                <w:rFonts w:ascii="Arial"/>
                <w:b/>
                <w:color w:val="FFFFFF"/>
                <w:sz w:val="16"/>
                <w:highlight w:val="blue"/>
                <w:u w:val="single" w:color="F1CEEE"/>
              </w:rPr>
              <w:tab/>
            </w:r>
            <w:r>
              <w:rPr>
                <w:rFonts w:ascii="Arial"/>
                <w:b/>
                <w:color w:val="FFFFFF"/>
                <w:spacing w:val="-2"/>
                <w:sz w:val="16"/>
                <w:highlight w:val="blue"/>
                <w:u w:val="single" w:color="F1CEEE"/>
              </w:rPr>
              <w:t>116.993</w:t>
            </w:r>
            <w:r>
              <w:rPr>
                <w:rFonts w:ascii="Arial"/>
                <w:b/>
                <w:color w:val="FFFFFF"/>
                <w:spacing w:val="80"/>
                <w:sz w:val="16"/>
                <w:highlight w:val="blue"/>
                <w:u w:val="single" w:color="F1CEEE"/>
              </w:rPr>
              <w:t xml:space="preserve"> </w:t>
            </w:r>
          </w:p>
        </w:tc>
        <w:tc>
          <w:tcPr>
            <w:tcW w:w="1491" w:type="dxa"/>
            <w:gridSpan w:val="2"/>
            <w:tcBorders>
              <w:bottom w:val="single" w:sz="8" w:space="0" w:color="F1CEEE"/>
            </w:tcBorders>
          </w:tcPr>
          <w:p w14:paraId="4E090748" w14:textId="77777777" w:rsidR="002C6574" w:rsidRDefault="00000000">
            <w:pPr>
              <w:pStyle w:val="TableParagraph"/>
              <w:tabs>
                <w:tab w:val="left" w:pos="965"/>
              </w:tabs>
              <w:spacing w:before="22"/>
              <w:jc w:val="left"/>
              <w:rPr>
                <w:rFonts w:ascii="Arial"/>
                <w:b/>
                <w:sz w:val="16"/>
              </w:rPr>
            </w:pPr>
            <w:r>
              <w:rPr>
                <w:rFonts w:ascii="Arial"/>
                <w:b/>
                <w:color w:val="FFFFFF"/>
                <w:spacing w:val="43"/>
                <w:sz w:val="16"/>
                <w:highlight w:val="blue"/>
              </w:rPr>
              <w:t xml:space="preserve">  </w:t>
            </w:r>
            <w:r>
              <w:rPr>
                <w:rFonts w:ascii="Arial"/>
                <w:b/>
                <w:color w:val="FFFFFF"/>
                <w:spacing w:val="-2"/>
                <w:sz w:val="16"/>
                <w:highlight w:val="blue"/>
              </w:rPr>
              <w:t>21,7%</w:t>
            </w:r>
            <w:r>
              <w:rPr>
                <w:rFonts w:ascii="Arial"/>
                <w:b/>
                <w:color w:val="FFFFFF"/>
                <w:sz w:val="16"/>
                <w:highlight w:val="blue"/>
              </w:rPr>
              <w:tab/>
            </w:r>
            <w:r>
              <w:rPr>
                <w:rFonts w:ascii="Arial"/>
                <w:b/>
                <w:color w:val="FFFFFF"/>
                <w:spacing w:val="-2"/>
                <w:sz w:val="16"/>
                <w:highlight w:val="blue"/>
              </w:rPr>
              <w:t>50,7%</w:t>
            </w:r>
            <w:r>
              <w:rPr>
                <w:rFonts w:ascii="Arial"/>
                <w:b/>
                <w:color w:val="FFFFFF"/>
                <w:spacing w:val="40"/>
                <w:sz w:val="16"/>
                <w:highlight w:val="blue"/>
              </w:rPr>
              <w:t xml:space="preserve"> </w:t>
            </w:r>
          </w:p>
        </w:tc>
        <w:tc>
          <w:tcPr>
            <w:tcW w:w="171" w:type="dxa"/>
          </w:tcPr>
          <w:p w14:paraId="4B693F2E" w14:textId="77777777" w:rsidR="002C6574" w:rsidRDefault="002C6574">
            <w:pPr>
              <w:pStyle w:val="TableParagraph"/>
              <w:jc w:val="left"/>
              <w:rPr>
                <w:rFonts w:ascii="Times New Roman"/>
                <w:sz w:val="16"/>
              </w:rPr>
            </w:pPr>
          </w:p>
        </w:tc>
        <w:tc>
          <w:tcPr>
            <w:tcW w:w="1836" w:type="dxa"/>
            <w:gridSpan w:val="2"/>
            <w:tcBorders>
              <w:bottom w:val="single" w:sz="8" w:space="0" w:color="F1CEEE"/>
            </w:tcBorders>
          </w:tcPr>
          <w:p w14:paraId="1FA9A260" w14:textId="77777777" w:rsidR="002C6574" w:rsidRDefault="00000000">
            <w:pPr>
              <w:pStyle w:val="TableParagraph"/>
              <w:tabs>
                <w:tab w:val="left" w:pos="268"/>
                <w:tab w:val="left" w:pos="1185"/>
              </w:tabs>
              <w:spacing w:before="46" w:line="163" w:lineRule="exact"/>
              <w:ind w:left="-1"/>
              <w:jc w:val="left"/>
              <w:rPr>
                <w:rFonts w:ascii="Arial"/>
                <w:b/>
                <w:sz w:val="16"/>
              </w:rPr>
            </w:pPr>
            <w:r>
              <w:rPr>
                <w:rFonts w:ascii="Arial"/>
                <w:b/>
                <w:color w:val="FFFFFF"/>
                <w:sz w:val="16"/>
                <w:highlight w:val="blue"/>
              </w:rPr>
              <w:tab/>
            </w:r>
            <w:r>
              <w:rPr>
                <w:rFonts w:ascii="Arial"/>
                <w:b/>
                <w:color w:val="FFFFFF"/>
                <w:spacing w:val="-2"/>
                <w:sz w:val="16"/>
                <w:highlight w:val="blue"/>
              </w:rPr>
              <w:t>540.908</w:t>
            </w:r>
            <w:r>
              <w:rPr>
                <w:rFonts w:ascii="Arial"/>
                <w:b/>
                <w:color w:val="FFFFFF"/>
                <w:sz w:val="16"/>
                <w:highlight w:val="blue"/>
              </w:rPr>
              <w:tab/>
            </w:r>
            <w:r>
              <w:rPr>
                <w:rFonts w:ascii="Arial"/>
                <w:b/>
                <w:color w:val="FFFFFF"/>
                <w:spacing w:val="-2"/>
                <w:sz w:val="16"/>
                <w:highlight w:val="blue"/>
              </w:rPr>
              <w:t>462.391</w:t>
            </w:r>
            <w:r>
              <w:rPr>
                <w:rFonts w:ascii="Arial"/>
                <w:b/>
                <w:color w:val="FFFFFF"/>
                <w:spacing w:val="80"/>
                <w:sz w:val="16"/>
                <w:highlight w:val="blue"/>
              </w:rPr>
              <w:t xml:space="preserve"> </w:t>
            </w:r>
          </w:p>
        </w:tc>
        <w:tc>
          <w:tcPr>
            <w:tcW w:w="174" w:type="dxa"/>
          </w:tcPr>
          <w:p w14:paraId="49C70E79" w14:textId="77777777" w:rsidR="002C6574" w:rsidRDefault="002C6574">
            <w:pPr>
              <w:pStyle w:val="TableParagraph"/>
              <w:jc w:val="left"/>
              <w:rPr>
                <w:rFonts w:ascii="Times New Roman"/>
                <w:sz w:val="16"/>
              </w:rPr>
            </w:pPr>
          </w:p>
        </w:tc>
        <w:tc>
          <w:tcPr>
            <w:tcW w:w="757" w:type="dxa"/>
            <w:tcBorders>
              <w:bottom w:val="single" w:sz="8" w:space="0" w:color="F1CEEE"/>
            </w:tcBorders>
          </w:tcPr>
          <w:p w14:paraId="74830A60" w14:textId="77777777" w:rsidR="002C6574" w:rsidRDefault="00000000">
            <w:pPr>
              <w:pStyle w:val="TableParagraph"/>
              <w:spacing w:before="22"/>
              <w:ind w:left="-4"/>
              <w:jc w:val="left"/>
              <w:rPr>
                <w:rFonts w:ascii="Arial"/>
                <w:b/>
                <w:sz w:val="16"/>
              </w:rPr>
            </w:pPr>
            <w:r>
              <w:rPr>
                <w:rFonts w:ascii="Arial"/>
                <w:b/>
                <w:color w:val="FFFFFF"/>
                <w:spacing w:val="44"/>
                <w:sz w:val="16"/>
                <w:highlight w:val="blue"/>
              </w:rPr>
              <w:t xml:space="preserve">  </w:t>
            </w:r>
            <w:r>
              <w:rPr>
                <w:rFonts w:ascii="Arial"/>
                <w:b/>
                <w:color w:val="FFFFFF"/>
                <w:spacing w:val="-2"/>
                <w:sz w:val="16"/>
                <w:highlight w:val="blue"/>
              </w:rPr>
              <w:t>17,0%</w:t>
            </w:r>
            <w:r>
              <w:rPr>
                <w:rFonts w:ascii="Arial"/>
                <w:b/>
                <w:color w:val="FFFFFF"/>
                <w:spacing w:val="80"/>
                <w:sz w:val="16"/>
                <w:highlight w:val="blue"/>
              </w:rPr>
              <w:t xml:space="preserve"> </w:t>
            </w:r>
          </w:p>
        </w:tc>
      </w:tr>
      <w:tr w:rsidR="002C6574" w14:paraId="41DD4818" w14:textId="77777777">
        <w:trPr>
          <w:trHeight w:val="232"/>
        </w:trPr>
        <w:tc>
          <w:tcPr>
            <w:tcW w:w="6166" w:type="dxa"/>
            <w:gridSpan w:val="5"/>
          </w:tcPr>
          <w:p w14:paraId="32DA2EF2" w14:textId="77777777" w:rsidR="002C6574" w:rsidRDefault="00000000">
            <w:pPr>
              <w:pStyle w:val="TableParagraph"/>
              <w:tabs>
                <w:tab w:val="left" w:pos="3485"/>
                <w:tab w:val="left" w:pos="4406"/>
                <w:tab w:val="left" w:pos="5328"/>
              </w:tabs>
              <w:spacing w:before="48" w:line="163" w:lineRule="exact"/>
              <w:ind w:left="50"/>
              <w:jc w:val="left"/>
              <w:rPr>
                <w:rFonts w:ascii="Arial" w:hAnsi="Arial"/>
                <w:b/>
                <w:sz w:val="16"/>
              </w:rPr>
            </w:pPr>
            <w:r>
              <w:rPr>
                <w:rFonts w:ascii="Arial" w:hAnsi="Arial"/>
                <w:b/>
                <w:color w:val="FFFFFF"/>
                <w:spacing w:val="20"/>
                <w:sz w:val="16"/>
                <w:highlight w:val="blue"/>
                <w:u w:val="single" w:color="F1CEEE"/>
              </w:rPr>
              <w:t xml:space="preserve"> </w:t>
            </w:r>
            <w:r>
              <w:rPr>
                <w:rFonts w:ascii="Arial" w:hAnsi="Arial"/>
                <w:b/>
                <w:color w:val="FFFFFF"/>
                <w:sz w:val="16"/>
                <w:highlight w:val="blue"/>
                <w:u w:val="single" w:color="F1CEEE"/>
              </w:rPr>
              <w:t>Deduções</w:t>
            </w:r>
            <w:r>
              <w:rPr>
                <w:rFonts w:ascii="Arial" w:hAnsi="Arial"/>
                <w:b/>
                <w:color w:val="FFFFFF"/>
                <w:spacing w:val="-2"/>
                <w:sz w:val="16"/>
                <w:highlight w:val="blue"/>
                <w:u w:val="single" w:color="F1CEEE"/>
              </w:rPr>
              <w:t xml:space="preserve"> </w:t>
            </w:r>
            <w:r>
              <w:rPr>
                <w:rFonts w:ascii="Arial" w:hAnsi="Arial"/>
                <w:b/>
                <w:color w:val="FFFFFF"/>
                <w:sz w:val="16"/>
                <w:highlight w:val="blue"/>
                <w:u w:val="single" w:color="F1CEEE"/>
              </w:rPr>
              <w:t>da</w:t>
            </w:r>
            <w:r>
              <w:rPr>
                <w:rFonts w:ascii="Arial" w:hAnsi="Arial"/>
                <w:b/>
                <w:color w:val="FFFFFF"/>
                <w:spacing w:val="-4"/>
                <w:sz w:val="16"/>
                <w:highlight w:val="blue"/>
                <w:u w:val="single" w:color="F1CEEE"/>
              </w:rPr>
              <w:t xml:space="preserve"> </w:t>
            </w:r>
            <w:r>
              <w:rPr>
                <w:rFonts w:ascii="Arial" w:hAnsi="Arial"/>
                <w:b/>
                <w:color w:val="FFFFFF"/>
                <w:spacing w:val="-2"/>
                <w:sz w:val="16"/>
                <w:highlight w:val="blue"/>
                <w:u w:val="single" w:color="F1CEEE"/>
              </w:rPr>
              <w:t>Receita</w:t>
            </w:r>
            <w:r>
              <w:rPr>
                <w:rFonts w:ascii="Arial" w:hAnsi="Arial"/>
                <w:b/>
                <w:color w:val="FFFFFF"/>
                <w:sz w:val="16"/>
                <w:highlight w:val="blue"/>
                <w:u w:val="single" w:color="F1CEEE"/>
              </w:rPr>
              <w:tab/>
            </w:r>
            <w:r>
              <w:rPr>
                <w:rFonts w:ascii="Arial" w:hAnsi="Arial"/>
                <w:b/>
                <w:color w:val="FFFFFF"/>
                <w:spacing w:val="-2"/>
                <w:sz w:val="16"/>
                <w:highlight w:val="blue"/>
                <w:u w:val="single" w:color="F1CEEE"/>
              </w:rPr>
              <w:t>(15.716)</w:t>
            </w:r>
            <w:r>
              <w:rPr>
                <w:rFonts w:ascii="Arial" w:hAnsi="Arial"/>
                <w:b/>
                <w:color w:val="FFFFFF"/>
                <w:sz w:val="16"/>
                <w:highlight w:val="blue"/>
                <w:u w:val="single" w:color="F1CEEE"/>
              </w:rPr>
              <w:tab/>
            </w:r>
            <w:r>
              <w:rPr>
                <w:rFonts w:ascii="Arial" w:hAnsi="Arial"/>
                <w:b/>
                <w:color w:val="FFFFFF"/>
                <w:spacing w:val="-2"/>
                <w:sz w:val="16"/>
                <w:highlight w:val="blue"/>
                <w:u w:val="single" w:color="F1CEEE"/>
              </w:rPr>
              <w:t>(13.347)</w:t>
            </w:r>
            <w:r>
              <w:rPr>
                <w:rFonts w:ascii="Arial" w:hAnsi="Arial"/>
                <w:b/>
                <w:color w:val="FFFFFF"/>
                <w:sz w:val="16"/>
                <w:highlight w:val="blue"/>
                <w:u w:val="single" w:color="F1CEEE"/>
              </w:rPr>
              <w:tab/>
            </w:r>
            <w:r>
              <w:rPr>
                <w:rFonts w:ascii="Arial" w:hAnsi="Arial"/>
                <w:b/>
                <w:color w:val="FFFFFF"/>
                <w:spacing w:val="-2"/>
                <w:sz w:val="16"/>
                <w:highlight w:val="blue"/>
                <w:u w:val="single" w:color="F1CEEE"/>
              </w:rPr>
              <w:t>(10.853)</w:t>
            </w:r>
            <w:r>
              <w:rPr>
                <w:rFonts w:ascii="Arial" w:hAnsi="Arial"/>
                <w:b/>
                <w:color w:val="FFFFFF"/>
                <w:spacing w:val="80"/>
                <w:sz w:val="16"/>
                <w:highlight w:val="blue"/>
                <w:u w:val="single" w:color="F1CEEE"/>
              </w:rPr>
              <w:t xml:space="preserve"> </w:t>
            </w:r>
          </w:p>
        </w:tc>
        <w:tc>
          <w:tcPr>
            <w:tcW w:w="1491" w:type="dxa"/>
            <w:gridSpan w:val="2"/>
            <w:tcBorders>
              <w:top w:val="single" w:sz="8" w:space="0" w:color="F1CEEE"/>
              <w:bottom w:val="single" w:sz="8" w:space="0" w:color="F1CEEE"/>
            </w:tcBorders>
            <w:shd w:val="clear" w:color="auto" w:fill="0000FF"/>
          </w:tcPr>
          <w:p w14:paraId="7747D061" w14:textId="77777777" w:rsidR="002C6574" w:rsidRDefault="00000000">
            <w:pPr>
              <w:pStyle w:val="TableParagraph"/>
              <w:tabs>
                <w:tab w:val="left" w:pos="965"/>
              </w:tabs>
              <w:spacing w:before="24"/>
              <w:ind w:left="178"/>
              <w:jc w:val="left"/>
              <w:rPr>
                <w:rFonts w:ascii="Arial"/>
                <w:b/>
                <w:sz w:val="16"/>
              </w:rPr>
            </w:pPr>
            <w:r>
              <w:rPr>
                <w:rFonts w:ascii="Arial"/>
                <w:b/>
                <w:color w:val="FFFFFF"/>
                <w:spacing w:val="-2"/>
                <w:sz w:val="16"/>
              </w:rPr>
              <w:t>17,8%</w:t>
            </w:r>
            <w:r>
              <w:rPr>
                <w:rFonts w:ascii="Arial"/>
                <w:b/>
                <w:color w:val="FFFFFF"/>
                <w:sz w:val="16"/>
              </w:rPr>
              <w:tab/>
            </w:r>
            <w:r>
              <w:rPr>
                <w:rFonts w:ascii="Arial"/>
                <w:b/>
                <w:color w:val="FFFFFF"/>
                <w:spacing w:val="-2"/>
                <w:sz w:val="16"/>
              </w:rPr>
              <w:t>44,8%</w:t>
            </w:r>
          </w:p>
        </w:tc>
        <w:tc>
          <w:tcPr>
            <w:tcW w:w="171" w:type="dxa"/>
          </w:tcPr>
          <w:p w14:paraId="19120A9C" w14:textId="77777777" w:rsidR="002C6574" w:rsidRDefault="002C6574">
            <w:pPr>
              <w:pStyle w:val="TableParagraph"/>
              <w:jc w:val="left"/>
              <w:rPr>
                <w:rFonts w:ascii="Times New Roman"/>
                <w:sz w:val="16"/>
              </w:rPr>
            </w:pPr>
          </w:p>
        </w:tc>
        <w:tc>
          <w:tcPr>
            <w:tcW w:w="1836" w:type="dxa"/>
            <w:gridSpan w:val="2"/>
            <w:tcBorders>
              <w:top w:val="single" w:sz="8" w:space="0" w:color="F1CEEE"/>
              <w:bottom w:val="single" w:sz="8" w:space="0" w:color="F1CEEE"/>
            </w:tcBorders>
            <w:shd w:val="clear" w:color="auto" w:fill="0000FF"/>
          </w:tcPr>
          <w:p w14:paraId="642DAF67" w14:textId="77777777" w:rsidR="002C6574" w:rsidRDefault="00000000">
            <w:pPr>
              <w:pStyle w:val="TableParagraph"/>
              <w:tabs>
                <w:tab w:val="left" w:pos="1171"/>
              </w:tabs>
              <w:spacing w:before="48" w:line="163" w:lineRule="exact"/>
              <w:ind w:left="254"/>
              <w:jc w:val="left"/>
              <w:rPr>
                <w:rFonts w:ascii="Arial"/>
                <w:b/>
                <w:sz w:val="16"/>
              </w:rPr>
            </w:pPr>
            <w:r>
              <w:rPr>
                <w:rFonts w:ascii="Arial"/>
                <w:b/>
                <w:color w:val="FFFFFF"/>
                <w:spacing w:val="-2"/>
                <w:sz w:val="16"/>
              </w:rPr>
              <w:t>(49.899)</w:t>
            </w:r>
            <w:r>
              <w:rPr>
                <w:rFonts w:ascii="Arial"/>
                <w:b/>
                <w:color w:val="FFFFFF"/>
                <w:sz w:val="16"/>
              </w:rPr>
              <w:tab/>
            </w:r>
            <w:r>
              <w:rPr>
                <w:rFonts w:ascii="Arial"/>
                <w:b/>
                <w:color w:val="FFFFFF"/>
                <w:spacing w:val="-2"/>
                <w:sz w:val="16"/>
              </w:rPr>
              <w:t>(48.076)</w:t>
            </w:r>
          </w:p>
        </w:tc>
        <w:tc>
          <w:tcPr>
            <w:tcW w:w="174" w:type="dxa"/>
          </w:tcPr>
          <w:p w14:paraId="47AEED1E" w14:textId="77777777" w:rsidR="002C6574" w:rsidRDefault="002C6574">
            <w:pPr>
              <w:pStyle w:val="TableParagraph"/>
              <w:jc w:val="left"/>
              <w:rPr>
                <w:rFonts w:ascii="Times New Roman"/>
                <w:sz w:val="16"/>
              </w:rPr>
            </w:pPr>
          </w:p>
        </w:tc>
        <w:tc>
          <w:tcPr>
            <w:tcW w:w="757" w:type="dxa"/>
            <w:tcBorders>
              <w:top w:val="single" w:sz="8" w:space="0" w:color="F1CEEE"/>
              <w:bottom w:val="single" w:sz="8" w:space="0" w:color="F1CEEE"/>
            </w:tcBorders>
            <w:shd w:val="clear" w:color="auto" w:fill="0000FF"/>
          </w:tcPr>
          <w:p w14:paraId="1CCB648D" w14:textId="77777777" w:rsidR="002C6574" w:rsidRDefault="00000000">
            <w:pPr>
              <w:pStyle w:val="TableParagraph"/>
              <w:spacing w:before="24"/>
              <w:ind w:left="265"/>
              <w:jc w:val="left"/>
              <w:rPr>
                <w:rFonts w:ascii="Arial"/>
                <w:b/>
                <w:sz w:val="16"/>
              </w:rPr>
            </w:pPr>
            <w:r>
              <w:rPr>
                <w:rFonts w:ascii="Arial"/>
                <w:b/>
                <w:color w:val="FFFFFF"/>
                <w:spacing w:val="-4"/>
                <w:sz w:val="16"/>
              </w:rPr>
              <w:t>3,8%</w:t>
            </w:r>
          </w:p>
        </w:tc>
      </w:tr>
      <w:tr w:rsidR="002C6574" w14:paraId="5FCEA7BD" w14:textId="77777777">
        <w:trPr>
          <w:trHeight w:val="234"/>
        </w:trPr>
        <w:tc>
          <w:tcPr>
            <w:tcW w:w="6166" w:type="dxa"/>
            <w:gridSpan w:val="5"/>
          </w:tcPr>
          <w:p w14:paraId="61239683" w14:textId="77777777" w:rsidR="002C6574" w:rsidRDefault="00000000">
            <w:pPr>
              <w:pStyle w:val="TableParagraph"/>
              <w:tabs>
                <w:tab w:val="left" w:pos="3499"/>
                <w:tab w:val="left" w:pos="4421"/>
                <w:tab w:val="left" w:pos="5342"/>
              </w:tabs>
              <w:spacing w:before="48" w:line="166" w:lineRule="exact"/>
              <w:ind w:left="50"/>
              <w:jc w:val="left"/>
              <w:rPr>
                <w:rFonts w:ascii="Arial" w:hAnsi="Arial"/>
                <w:b/>
                <w:sz w:val="16"/>
              </w:rPr>
            </w:pPr>
            <w:r>
              <w:rPr>
                <w:rFonts w:ascii="Arial" w:hAnsi="Arial"/>
                <w:b/>
                <w:color w:val="FFFFFF"/>
                <w:spacing w:val="17"/>
                <w:sz w:val="16"/>
                <w:highlight w:val="blue"/>
              </w:rPr>
              <w:t xml:space="preserve"> </w:t>
            </w:r>
            <w:r>
              <w:rPr>
                <w:rFonts w:ascii="Arial" w:hAnsi="Arial"/>
                <w:b/>
                <w:color w:val="FFFFFF"/>
                <w:sz w:val="16"/>
                <w:highlight w:val="blue"/>
              </w:rPr>
              <w:t>Receita</w:t>
            </w:r>
            <w:r>
              <w:rPr>
                <w:rFonts w:ascii="Arial" w:hAnsi="Arial"/>
                <w:b/>
                <w:color w:val="FFFFFF"/>
                <w:spacing w:val="-4"/>
                <w:sz w:val="16"/>
                <w:highlight w:val="blue"/>
              </w:rPr>
              <w:t xml:space="preserve"> </w:t>
            </w:r>
            <w:r>
              <w:rPr>
                <w:rFonts w:ascii="Arial" w:hAnsi="Arial"/>
                <w:b/>
                <w:color w:val="FFFFFF"/>
                <w:sz w:val="16"/>
                <w:highlight w:val="blue"/>
              </w:rPr>
              <w:t>Operacional</w:t>
            </w:r>
            <w:r>
              <w:rPr>
                <w:rFonts w:ascii="Arial" w:hAnsi="Arial"/>
                <w:b/>
                <w:color w:val="FFFFFF"/>
                <w:spacing w:val="-4"/>
                <w:sz w:val="16"/>
                <w:highlight w:val="blue"/>
              </w:rPr>
              <w:t xml:space="preserve"> </w:t>
            </w:r>
            <w:r>
              <w:rPr>
                <w:rFonts w:ascii="Arial" w:hAnsi="Arial"/>
                <w:b/>
                <w:color w:val="FFFFFF"/>
                <w:spacing w:val="-2"/>
                <w:sz w:val="16"/>
                <w:highlight w:val="blue"/>
              </w:rPr>
              <w:t>Líquida</w:t>
            </w:r>
            <w:r>
              <w:rPr>
                <w:rFonts w:ascii="Arial" w:hAnsi="Arial"/>
                <w:b/>
                <w:color w:val="FFFFFF"/>
                <w:sz w:val="16"/>
                <w:highlight w:val="blue"/>
              </w:rPr>
              <w:tab/>
            </w:r>
            <w:r>
              <w:rPr>
                <w:rFonts w:ascii="Arial" w:hAnsi="Arial"/>
                <w:b/>
                <w:color w:val="FFFFFF"/>
                <w:spacing w:val="-2"/>
                <w:sz w:val="16"/>
                <w:highlight w:val="blue"/>
              </w:rPr>
              <w:t>160.555</w:t>
            </w:r>
            <w:r>
              <w:rPr>
                <w:rFonts w:ascii="Arial" w:hAnsi="Arial"/>
                <w:b/>
                <w:color w:val="FFFFFF"/>
                <w:sz w:val="16"/>
                <w:highlight w:val="blue"/>
              </w:rPr>
              <w:tab/>
            </w:r>
            <w:r>
              <w:rPr>
                <w:rFonts w:ascii="Arial" w:hAnsi="Arial"/>
                <w:b/>
                <w:color w:val="FFFFFF"/>
                <w:spacing w:val="-2"/>
                <w:sz w:val="16"/>
                <w:highlight w:val="blue"/>
              </w:rPr>
              <w:t>131.550</w:t>
            </w:r>
            <w:r>
              <w:rPr>
                <w:rFonts w:ascii="Arial" w:hAnsi="Arial"/>
                <w:b/>
                <w:color w:val="FFFFFF"/>
                <w:sz w:val="16"/>
                <w:highlight w:val="blue"/>
              </w:rPr>
              <w:tab/>
            </w:r>
            <w:r>
              <w:rPr>
                <w:rFonts w:ascii="Arial" w:hAnsi="Arial"/>
                <w:b/>
                <w:color w:val="FFFFFF"/>
                <w:spacing w:val="-2"/>
                <w:sz w:val="16"/>
                <w:highlight w:val="blue"/>
              </w:rPr>
              <w:t>106.140</w:t>
            </w:r>
            <w:r>
              <w:rPr>
                <w:rFonts w:ascii="Arial" w:hAnsi="Arial"/>
                <w:b/>
                <w:color w:val="FFFFFF"/>
                <w:spacing w:val="80"/>
                <w:sz w:val="16"/>
                <w:highlight w:val="blue"/>
              </w:rPr>
              <w:t xml:space="preserve"> </w:t>
            </w:r>
          </w:p>
        </w:tc>
        <w:tc>
          <w:tcPr>
            <w:tcW w:w="1491" w:type="dxa"/>
            <w:gridSpan w:val="2"/>
            <w:tcBorders>
              <w:top w:val="single" w:sz="8" w:space="0" w:color="F1CEEE"/>
            </w:tcBorders>
          </w:tcPr>
          <w:p w14:paraId="2D51F89B" w14:textId="77777777" w:rsidR="002C6574" w:rsidRDefault="00000000">
            <w:pPr>
              <w:pStyle w:val="TableParagraph"/>
              <w:tabs>
                <w:tab w:val="left" w:pos="965"/>
              </w:tabs>
              <w:spacing w:before="24"/>
              <w:jc w:val="left"/>
              <w:rPr>
                <w:rFonts w:ascii="Arial"/>
                <w:b/>
                <w:sz w:val="16"/>
              </w:rPr>
            </w:pPr>
            <w:r>
              <w:rPr>
                <w:rFonts w:ascii="Arial"/>
                <w:b/>
                <w:color w:val="FFFFFF"/>
                <w:spacing w:val="43"/>
                <w:sz w:val="16"/>
                <w:highlight w:val="blue"/>
              </w:rPr>
              <w:t xml:space="preserve">  </w:t>
            </w:r>
            <w:r>
              <w:rPr>
                <w:rFonts w:ascii="Arial"/>
                <w:b/>
                <w:color w:val="FFFFFF"/>
                <w:spacing w:val="-2"/>
                <w:sz w:val="16"/>
                <w:highlight w:val="blue"/>
              </w:rPr>
              <w:t>22,0%</w:t>
            </w:r>
            <w:r>
              <w:rPr>
                <w:rFonts w:ascii="Arial"/>
                <w:b/>
                <w:color w:val="FFFFFF"/>
                <w:sz w:val="16"/>
                <w:highlight w:val="blue"/>
              </w:rPr>
              <w:tab/>
            </w:r>
            <w:r>
              <w:rPr>
                <w:rFonts w:ascii="Arial"/>
                <w:b/>
                <w:color w:val="FFFFFF"/>
                <w:spacing w:val="-2"/>
                <w:sz w:val="16"/>
                <w:highlight w:val="blue"/>
              </w:rPr>
              <w:t>51,3%</w:t>
            </w:r>
            <w:r>
              <w:rPr>
                <w:rFonts w:ascii="Arial"/>
                <w:b/>
                <w:color w:val="FFFFFF"/>
                <w:spacing w:val="40"/>
                <w:sz w:val="16"/>
                <w:highlight w:val="blue"/>
              </w:rPr>
              <w:t xml:space="preserve"> </w:t>
            </w:r>
          </w:p>
        </w:tc>
        <w:tc>
          <w:tcPr>
            <w:tcW w:w="171" w:type="dxa"/>
          </w:tcPr>
          <w:p w14:paraId="3CBB240E" w14:textId="77777777" w:rsidR="002C6574" w:rsidRDefault="002C6574">
            <w:pPr>
              <w:pStyle w:val="TableParagraph"/>
              <w:jc w:val="left"/>
              <w:rPr>
                <w:rFonts w:ascii="Times New Roman"/>
                <w:sz w:val="16"/>
              </w:rPr>
            </w:pPr>
          </w:p>
        </w:tc>
        <w:tc>
          <w:tcPr>
            <w:tcW w:w="1836" w:type="dxa"/>
            <w:gridSpan w:val="2"/>
            <w:tcBorders>
              <w:top w:val="single" w:sz="8" w:space="0" w:color="F1CEEE"/>
            </w:tcBorders>
          </w:tcPr>
          <w:p w14:paraId="72630D71" w14:textId="77777777" w:rsidR="002C6574" w:rsidRDefault="00000000">
            <w:pPr>
              <w:pStyle w:val="TableParagraph"/>
              <w:tabs>
                <w:tab w:val="left" w:pos="268"/>
                <w:tab w:val="left" w:pos="1185"/>
              </w:tabs>
              <w:spacing w:before="48" w:line="166" w:lineRule="exact"/>
              <w:ind w:left="-1"/>
              <w:jc w:val="left"/>
              <w:rPr>
                <w:rFonts w:ascii="Arial"/>
                <w:b/>
                <w:sz w:val="16"/>
              </w:rPr>
            </w:pPr>
            <w:r>
              <w:rPr>
                <w:rFonts w:ascii="Arial"/>
                <w:b/>
                <w:color w:val="FFFFFF"/>
                <w:sz w:val="16"/>
                <w:highlight w:val="blue"/>
              </w:rPr>
              <w:tab/>
            </w:r>
            <w:r>
              <w:rPr>
                <w:rFonts w:ascii="Arial"/>
                <w:b/>
                <w:color w:val="FFFFFF"/>
                <w:spacing w:val="-2"/>
                <w:sz w:val="16"/>
                <w:highlight w:val="blue"/>
              </w:rPr>
              <w:t>491.009</w:t>
            </w:r>
            <w:r>
              <w:rPr>
                <w:rFonts w:ascii="Arial"/>
                <w:b/>
                <w:color w:val="FFFFFF"/>
                <w:sz w:val="16"/>
                <w:highlight w:val="blue"/>
              </w:rPr>
              <w:tab/>
            </w:r>
            <w:r>
              <w:rPr>
                <w:rFonts w:ascii="Arial"/>
                <w:b/>
                <w:color w:val="FFFFFF"/>
                <w:spacing w:val="-2"/>
                <w:sz w:val="16"/>
                <w:highlight w:val="blue"/>
              </w:rPr>
              <w:t>414.315</w:t>
            </w:r>
            <w:r>
              <w:rPr>
                <w:rFonts w:ascii="Arial"/>
                <w:b/>
                <w:color w:val="FFFFFF"/>
                <w:spacing w:val="80"/>
                <w:sz w:val="16"/>
                <w:highlight w:val="blue"/>
              </w:rPr>
              <w:t xml:space="preserve"> </w:t>
            </w:r>
          </w:p>
        </w:tc>
        <w:tc>
          <w:tcPr>
            <w:tcW w:w="174" w:type="dxa"/>
          </w:tcPr>
          <w:p w14:paraId="5D079884" w14:textId="77777777" w:rsidR="002C6574" w:rsidRDefault="002C6574">
            <w:pPr>
              <w:pStyle w:val="TableParagraph"/>
              <w:jc w:val="left"/>
              <w:rPr>
                <w:rFonts w:ascii="Times New Roman"/>
                <w:sz w:val="16"/>
              </w:rPr>
            </w:pPr>
          </w:p>
        </w:tc>
        <w:tc>
          <w:tcPr>
            <w:tcW w:w="757" w:type="dxa"/>
            <w:tcBorders>
              <w:top w:val="single" w:sz="8" w:space="0" w:color="F1CEEE"/>
              <w:bottom w:val="single" w:sz="8" w:space="0" w:color="F1CEEE"/>
            </w:tcBorders>
            <w:shd w:val="clear" w:color="auto" w:fill="0000FF"/>
          </w:tcPr>
          <w:p w14:paraId="0772F286" w14:textId="77777777" w:rsidR="002C6574" w:rsidRDefault="00000000">
            <w:pPr>
              <w:pStyle w:val="TableParagraph"/>
              <w:spacing w:before="24"/>
              <w:ind w:left="176"/>
              <w:jc w:val="left"/>
              <w:rPr>
                <w:rFonts w:ascii="Arial"/>
                <w:b/>
                <w:sz w:val="16"/>
              </w:rPr>
            </w:pPr>
            <w:r>
              <w:rPr>
                <w:rFonts w:ascii="Arial"/>
                <w:b/>
                <w:color w:val="FFFFFF"/>
                <w:spacing w:val="-2"/>
                <w:sz w:val="16"/>
              </w:rPr>
              <w:t>18,5%</w:t>
            </w:r>
          </w:p>
        </w:tc>
      </w:tr>
    </w:tbl>
    <w:p w14:paraId="1605EC2F" w14:textId="77777777" w:rsidR="002C6574" w:rsidRDefault="002C6574">
      <w:pPr>
        <w:pStyle w:val="Corpodetexto"/>
        <w:spacing w:before="88"/>
        <w:rPr>
          <w:rFonts w:ascii="Arial"/>
          <w:b/>
          <w:sz w:val="16"/>
        </w:rPr>
      </w:pPr>
    </w:p>
    <w:p w14:paraId="7C427779" w14:textId="77777777" w:rsidR="002C6574" w:rsidRDefault="00000000">
      <w:pPr>
        <w:pStyle w:val="Corpodetexto"/>
        <w:spacing w:line="256" w:lineRule="auto"/>
        <w:ind w:left="427" w:right="139"/>
        <w:jc w:val="both"/>
        <w:rPr>
          <w:rFonts w:ascii="Arial MT" w:hAnsi="Arial MT"/>
        </w:rPr>
      </w:pPr>
      <w:r>
        <w:rPr>
          <w:rFonts w:ascii="Arial MT" w:hAnsi="Arial MT"/>
        </w:rPr>
        <w:t>No</w:t>
      </w:r>
      <w:r>
        <w:rPr>
          <w:rFonts w:ascii="Arial MT" w:hAnsi="Arial MT"/>
          <w:spacing w:val="-4"/>
        </w:rPr>
        <w:t xml:space="preserve"> </w:t>
      </w:r>
      <w:r>
        <w:rPr>
          <w:rFonts w:ascii="Arial MT" w:hAnsi="Arial MT"/>
        </w:rPr>
        <w:t>4T25,</w:t>
      </w:r>
      <w:r>
        <w:rPr>
          <w:rFonts w:ascii="Arial MT" w:hAnsi="Arial MT"/>
          <w:spacing w:val="-3"/>
        </w:rPr>
        <w:t xml:space="preserve"> </w:t>
      </w:r>
      <w:r>
        <w:rPr>
          <w:rFonts w:ascii="Arial MT" w:hAnsi="Arial MT"/>
        </w:rPr>
        <w:t>a</w:t>
      </w:r>
      <w:r>
        <w:rPr>
          <w:rFonts w:ascii="Arial MT" w:hAnsi="Arial MT"/>
          <w:spacing w:val="-6"/>
        </w:rPr>
        <w:t xml:space="preserve"> </w:t>
      </w:r>
      <w:r>
        <w:rPr>
          <w:rFonts w:ascii="Arial MT" w:hAnsi="Arial MT"/>
        </w:rPr>
        <w:t>Receita</w:t>
      </w:r>
      <w:r>
        <w:rPr>
          <w:rFonts w:ascii="Arial MT" w:hAnsi="Arial MT"/>
          <w:spacing w:val="-6"/>
        </w:rPr>
        <w:t xml:space="preserve"> </w:t>
      </w:r>
      <w:r>
        <w:rPr>
          <w:rFonts w:ascii="Arial MT" w:hAnsi="Arial MT"/>
        </w:rPr>
        <w:t>Operacional</w:t>
      </w:r>
      <w:r>
        <w:rPr>
          <w:rFonts w:ascii="Arial MT" w:hAnsi="Arial MT"/>
          <w:spacing w:val="-5"/>
        </w:rPr>
        <w:t xml:space="preserve"> </w:t>
      </w:r>
      <w:r>
        <w:rPr>
          <w:rFonts w:ascii="Arial MT" w:hAnsi="Arial MT"/>
        </w:rPr>
        <w:t>Líquida</w:t>
      </w:r>
      <w:r>
        <w:rPr>
          <w:rFonts w:ascii="Arial MT" w:hAnsi="Arial MT"/>
          <w:spacing w:val="-4"/>
        </w:rPr>
        <w:t xml:space="preserve"> </w:t>
      </w:r>
      <w:r>
        <w:rPr>
          <w:rFonts w:ascii="Arial MT" w:hAnsi="Arial MT"/>
        </w:rPr>
        <w:t>alcançou</w:t>
      </w:r>
      <w:r>
        <w:rPr>
          <w:rFonts w:ascii="Arial MT" w:hAnsi="Arial MT"/>
          <w:spacing w:val="-7"/>
        </w:rPr>
        <w:t xml:space="preserve"> </w:t>
      </w:r>
      <w:r>
        <w:rPr>
          <w:rFonts w:ascii="Arial MT" w:hAnsi="Arial MT"/>
        </w:rPr>
        <w:t>R$</w:t>
      </w:r>
      <w:r>
        <w:rPr>
          <w:rFonts w:ascii="Arial MT" w:hAnsi="Arial MT"/>
          <w:spacing w:val="-4"/>
        </w:rPr>
        <w:t xml:space="preserve"> </w:t>
      </w:r>
      <w:r>
        <w:rPr>
          <w:rFonts w:ascii="Arial MT" w:hAnsi="Arial MT"/>
        </w:rPr>
        <w:t>160,6</w:t>
      </w:r>
      <w:r>
        <w:rPr>
          <w:rFonts w:ascii="Arial MT" w:hAnsi="Arial MT"/>
          <w:spacing w:val="-6"/>
        </w:rPr>
        <w:t xml:space="preserve"> </w:t>
      </w:r>
      <w:r>
        <w:rPr>
          <w:rFonts w:ascii="Arial MT" w:hAnsi="Arial MT"/>
        </w:rPr>
        <w:t>milhões,</w:t>
      </w:r>
      <w:r>
        <w:rPr>
          <w:rFonts w:ascii="Arial MT" w:hAnsi="Arial MT"/>
          <w:spacing w:val="-5"/>
        </w:rPr>
        <w:t xml:space="preserve"> </w:t>
      </w:r>
      <w:r>
        <w:rPr>
          <w:rFonts w:ascii="Arial MT" w:hAnsi="Arial MT"/>
        </w:rPr>
        <w:t>representando</w:t>
      </w:r>
      <w:r>
        <w:rPr>
          <w:rFonts w:ascii="Arial MT" w:hAnsi="Arial MT"/>
          <w:spacing w:val="-4"/>
        </w:rPr>
        <w:t xml:space="preserve"> </w:t>
      </w:r>
      <w:r>
        <w:rPr>
          <w:rFonts w:ascii="Arial MT" w:hAnsi="Arial MT"/>
        </w:rPr>
        <w:t>um</w:t>
      </w:r>
      <w:r>
        <w:rPr>
          <w:rFonts w:ascii="Arial MT" w:hAnsi="Arial MT"/>
          <w:spacing w:val="-3"/>
        </w:rPr>
        <w:t xml:space="preserve"> </w:t>
      </w:r>
      <w:r>
        <w:rPr>
          <w:rFonts w:ascii="Arial MT" w:hAnsi="Arial MT"/>
        </w:rPr>
        <w:t>aumento</w:t>
      </w:r>
      <w:r>
        <w:rPr>
          <w:rFonts w:ascii="Arial MT" w:hAnsi="Arial MT"/>
          <w:spacing w:val="-4"/>
        </w:rPr>
        <w:t xml:space="preserve"> </w:t>
      </w:r>
      <w:r>
        <w:rPr>
          <w:rFonts w:ascii="Arial MT" w:hAnsi="Arial MT"/>
        </w:rPr>
        <w:t>de</w:t>
      </w:r>
      <w:r>
        <w:rPr>
          <w:rFonts w:ascii="Arial MT" w:hAnsi="Arial MT"/>
          <w:spacing w:val="-4"/>
        </w:rPr>
        <w:t xml:space="preserve"> </w:t>
      </w:r>
      <w:r>
        <w:rPr>
          <w:rFonts w:ascii="Arial MT" w:hAnsi="Arial MT"/>
        </w:rPr>
        <w:t>22,0%, ou R$ 29,0</w:t>
      </w:r>
      <w:r>
        <w:rPr>
          <w:rFonts w:ascii="Arial MT" w:hAnsi="Arial MT"/>
          <w:spacing w:val="-1"/>
        </w:rPr>
        <w:t xml:space="preserve"> </w:t>
      </w:r>
      <w:r>
        <w:rPr>
          <w:rFonts w:ascii="Arial MT" w:hAnsi="Arial MT"/>
        </w:rPr>
        <w:t>milhões, em</w:t>
      </w:r>
      <w:r>
        <w:rPr>
          <w:rFonts w:ascii="Arial MT" w:hAnsi="Arial MT"/>
          <w:spacing w:val="-2"/>
        </w:rPr>
        <w:t xml:space="preserve"> </w:t>
      </w:r>
      <w:r>
        <w:rPr>
          <w:rFonts w:ascii="Arial MT" w:hAnsi="Arial MT"/>
        </w:rPr>
        <w:t>relação ao 4T24, quando</w:t>
      </w:r>
      <w:r>
        <w:rPr>
          <w:rFonts w:ascii="Arial MT" w:hAnsi="Arial MT"/>
          <w:spacing w:val="-1"/>
        </w:rPr>
        <w:t xml:space="preserve"> </w:t>
      </w:r>
      <w:r>
        <w:rPr>
          <w:rFonts w:ascii="Arial MT" w:hAnsi="Arial MT"/>
        </w:rPr>
        <w:t>totalizou R$ 131,6 milhões. Na</w:t>
      </w:r>
      <w:r>
        <w:rPr>
          <w:rFonts w:ascii="Arial MT" w:hAnsi="Arial MT"/>
          <w:spacing w:val="-1"/>
        </w:rPr>
        <w:t xml:space="preserve"> </w:t>
      </w:r>
      <w:r>
        <w:rPr>
          <w:rFonts w:ascii="Arial MT" w:hAnsi="Arial MT"/>
        </w:rPr>
        <w:t>comparação</w:t>
      </w:r>
      <w:r>
        <w:rPr>
          <w:rFonts w:ascii="Arial MT" w:hAnsi="Arial MT"/>
          <w:spacing w:val="-1"/>
        </w:rPr>
        <w:t xml:space="preserve"> </w:t>
      </w:r>
      <w:r>
        <w:rPr>
          <w:rFonts w:ascii="Arial MT" w:hAnsi="Arial MT"/>
        </w:rPr>
        <w:t>com</w:t>
      </w:r>
      <w:r>
        <w:rPr>
          <w:rFonts w:ascii="Arial MT" w:hAnsi="Arial MT"/>
          <w:spacing w:val="-2"/>
        </w:rPr>
        <w:t xml:space="preserve"> </w:t>
      </w:r>
      <w:r>
        <w:rPr>
          <w:rFonts w:ascii="Arial MT" w:hAnsi="Arial MT"/>
        </w:rPr>
        <w:t>o 3T25, o crescimento foi de 51,3%.</w:t>
      </w:r>
    </w:p>
    <w:p w14:paraId="1CEE6A33" w14:textId="77777777" w:rsidR="002C6574" w:rsidRDefault="00000000">
      <w:pPr>
        <w:pStyle w:val="Corpodetexto"/>
        <w:spacing w:before="167" w:line="256" w:lineRule="auto"/>
        <w:ind w:left="427" w:right="141"/>
        <w:jc w:val="both"/>
        <w:rPr>
          <w:rFonts w:ascii="Arial MT" w:hAnsi="Arial MT"/>
        </w:rPr>
      </w:pPr>
      <w:r>
        <w:rPr>
          <w:rFonts w:ascii="Arial MT" w:hAnsi="Arial MT"/>
        </w:rPr>
        <w:t>A evolução trimestral reflete, principalmente, o reconhecimento dos reajustes de preços dos contratos vigentes no período, o registro da receita referente ao serviço de instalação de equipamentos de meios de conexão no contrato de swap firmado com a operadora TIM, além do ingresso de novos clientes.</w:t>
      </w:r>
    </w:p>
    <w:p w14:paraId="016CE925" w14:textId="77777777" w:rsidR="002C6574" w:rsidRDefault="00000000">
      <w:pPr>
        <w:pStyle w:val="Corpodetexto"/>
        <w:spacing w:before="167" w:line="256" w:lineRule="auto"/>
        <w:ind w:left="427" w:right="142"/>
        <w:jc w:val="both"/>
        <w:rPr>
          <w:rFonts w:ascii="Arial MT" w:hAnsi="Arial MT"/>
        </w:rPr>
      </w:pPr>
      <w:r>
        <w:rPr>
          <w:rFonts w:ascii="Arial MT" w:hAnsi="Arial MT"/>
        </w:rPr>
        <w:t>No acumulado de 2025, a receita somou R$ 491,0 milhões, ante R$ 414,3 milhões registrados em 2024, o que representa um crescimento de 18,5% na comparação anual. Esse desempenho foi impulsionado, sobretudo, pelos reajustes aplicados aos contratos e pelo início da prestação de serviços a novos clientes.</w:t>
      </w:r>
    </w:p>
    <w:p w14:paraId="4A38CFE9" w14:textId="77777777" w:rsidR="002C6574" w:rsidRDefault="00000000">
      <w:pPr>
        <w:pStyle w:val="Corpodetexto"/>
        <w:spacing w:before="245" w:line="276" w:lineRule="auto"/>
        <w:ind w:left="427" w:right="144"/>
        <w:jc w:val="both"/>
        <w:rPr>
          <w:rFonts w:ascii="Arial MT" w:hAnsi="Arial MT"/>
        </w:rPr>
      </w:pPr>
      <w:r>
        <w:rPr>
          <w:rFonts w:ascii="Arial MT" w:hAnsi="Arial MT"/>
        </w:rPr>
        <w:t>O comportamento</w:t>
      </w:r>
      <w:r>
        <w:rPr>
          <w:rFonts w:ascii="Arial MT" w:hAnsi="Arial MT"/>
          <w:spacing w:val="-2"/>
        </w:rPr>
        <w:t xml:space="preserve"> </w:t>
      </w:r>
      <w:r>
        <w:rPr>
          <w:rFonts w:ascii="Arial MT" w:hAnsi="Arial MT"/>
        </w:rPr>
        <w:t>da</w:t>
      </w:r>
      <w:r>
        <w:rPr>
          <w:rFonts w:ascii="Arial MT" w:hAnsi="Arial MT"/>
          <w:spacing w:val="-2"/>
        </w:rPr>
        <w:t xml:space="preserve"> </w:t>
      </w:r>
      <w:r>
        <w:rPr>
          <w:rFonts w:ascii="Arial MT" w:hAnsi="Arial MT"/>
        </w:rPr>
        <w:t>receita bruta</w:t>
      </w:r>
      <w:r>
        <w:rPr>
          <w:rFonts w:ascii="Arial MT" w:hAnsi="Arial MT"/>
          <w:spacing w:val="-2"/>
        </w:rPr>
        <w:t xml:space="preserve"> </w:t>
      </w:r>
      <w:r>
        <w:rPr>
          <w:rFonts w:ascii="Arial MT" w:hAnsi="Arial MT"/>
        </w:rPr>
        <w:t>por</w:t>
      </w:r>
      <w:r>
        <w:rPr>
          <w:rFonts w:ascii="Arial MT" w:hAnsi="Arial MT"/>
          <w:spacing w:val="-1"/>
        </w:rPr>
        <w:t xml:space="preserve"> </w:t>
      </w:r>
      <w:r>
        <w:rPr>
          <w:rFonts w:ascii="Arial MT" w:hAnsi="Arial MT"/>
        </w:rPr>
        <w:t>serviço no</w:t>
      </w:r>
      <w:r>
        <w:rPr>
          <w:rFonts w:ascii="Arial MT" w:hAnsi="Arial MT"/>
          <w:spacing w:val="-4"/>
        </w:rPr>
        <w:t xml:space="preserve"> </w:t>
      </w:r>
      <w:r>
        <w:rPr>
          <w:rFonts w:ascii="Arial MT" w:hAnsi="Arial MT"/>
        </w:rPr>
        <w:t>exercício de</w:t>
      </w:r>
      <w:r>
        <w:rPr>
          <w:rFonts w:ascii="Arial MT" w:hAnsi="Arial MT"/>
          <w:spacing w:val="-2"/>
        </w:rPr>
        <w:t xml:space="preserve"> </w:t>
      </w:r>
      <w:r>
        <w:rPr>
          <w:rFonts w:ascii="Arial MT" w:hAnsi="Arial MT"/>
        </w:rPr>
        <w:t>2025, em comparação</w:t>
      </w:r>
      <w:r>
        <w:rPr>
          <w:rFonts w:ascii="Arial MT" w:hAnsi="Arial MT"/>
          <w:spacing w:val="-2"/>
        </w:rPr>
        <w:t xml:space="preserve"> </w:t>
      </w:r>
      <w:r>
        <w:rPr>
          <w:rFonts w:ascii="Arial MT" w:hAnsi="Arial MT"/>
        </w:rPr>
        <w:t>ao</w:t>
      </w:r>
      <w:r>
        <w:rPr>
          <w:rFonts w:ascii="Arial MT" w:hAnsi="Arial MT"/>
          <w:spacing w:val="-2"/>
        </w:rPr>
        <w:t xml:space="preserve"> </w:t>
      </w:r>
      <w:r>
        <w:rPr>
          <w:rFonts w:ascii="Arial MT" w:hAnsi="Arial MT"/>
        </w:rPr>
        <w:t>exercício</w:t>
      </w:r>
      <w:r>
        <w:rPr>
          <w:rFonts w:ascii="Arial MT" w:hAnsi="Arial MT"/>
          <w:spacing w:val="-4"/>
        </w:rPr>
        <w:t xml:space="preserve"> </w:t>
      </w:r>
      <w:r>
        <w:rPr>
          <w:rFonts w:ascii="Arial MT" w:hAnsi="Arial MT"/>
        </w:rPr>
        <w:t>de 2024, foi o seguinte:</w:t>
      </w:r>
    </w:p>
    <w:p w14:paraId="008D0294" w14:textId="77777777" w:rsidR="002C6574" w:rsidRDefault="00000000">
      <w:pPr>
        <w:pStyle w:val="Corpodetexto"/>
        <w:spacing w:before="239" w:line="276" w:lineRule="auto"/>
        <w:ind w:left="427" w:right="140"/>
        <w:jc w:val="both"/>
        <w:rPr>
          <w:rFonts w:ascii="Arial MT" w:hAnsi="Arial MT"/>
        </w:rPr>
      </w:pPr>
      <w:r>
        <w:rPr>
          <w:rFonts w:ascii="Arial" w:hAnsi="Arial"/>
          <w:b/>
        </w:rPr>
        <w:t>Serviço de Comunicação Multimídia (SCM):</w:t>
      </w:r>
      <w:r>
        <w:rPr>
          <w:rFonts w:ascii="Arial" w:hAnsi="Arial"/>
          <w:b/>
          <w:spacing w:val="40"/>
        </w:rPr>
        <w:t xml:space="preserve"> </w:t>
      </w:r>
      <w:r>
        <w:rPr>
          <w:rFonts w:ascii="Arial MT" w:hAnsi="Arial MT"/>
        </w:rPr>
        <w:t>A receita de SCM em 2025 totalizou R$ 432,5 milhões,</w:t>
      </w:r>
      <w:r>
        <w:rPr>
          <w:rFonts w:ascii="Arial MT" w:hAnsi="Arial MT"/>
          <w:spacing w:val="80"/>
        </w:rPr>
        <w:t xml:space="preserve"> </w:t>
      </w:r>
      <w:r>
        <w:rPr>
          <w:rFonts w:ascii="Arial MT" w:hAnsi="Arial MT"/>
        </w:rPr>
        <w:t>ante R$ 356,0 milhões registrados em 2024, representando um crescimento de 21,5% em relação ao mesmo período do ano anterior. Esse aumento decorre principalmente de: (i) início da prestação de serviços a novos clientes; e (ii) reajustes anuais nos preços dos contratos, especialmente no âmbito do programa GESAC.</w:t>
      </w:r>
    </w:p>
    <w:p w14:paraId="3CA89A0B" w14:textId="77777777" w:rsidR="002C6574" w:rsidRDefault="00000000">
      <w:pPr>
        <w:pStyle w:val="Corpodetexto"/>
        <w:spacing w:before="240" w:line="276" w:lineRule="auto"/>
        <w:ind w:left="427" w:right="164"/>
        <w:jc w:val="both"/>
        <w:rPr>
          <w:rFonts w:ascii="Arial MT" w:hAnsi="Arial MT"/>
        </w:rPr>
      </w:pPr>
      <w:r>
        <w:rPr>
          <w:rFonts w:ascii="Arial MT" w:hAnsi="Arial MT"/>
        </w:rPr>
        <w:t>No quarto trimestre de 2025, a Telebras celebrou um contrato de operações de swap com a operadora</w:t>
      </w:r>
      <w:r>
        <w:rPr>
          <w:rFonts w:ascii="Arial MT" w:hAnsi="Arial MT"/>
          <w:spacing w:val="80"/>
        </w:rPr>
        <w:t xml:space="preserve"> </w:t>
      </w:r>
      <w:r>
        <w:rPr>
          <w:rFonts w:ascii="Arial MT" w:hAnsi="Arial MT"/>
        </w:rPr>
        <w:t>TIM</w:t>
      </w:r>
      <w:r>
        <w:rPr>
          <w:rFonts w:ascii="Arial MT" w:hAnsi="Arial MT"/>
          <w:spacing w:val="34"/>
        </w:rPr>
        <w:t xml:space="preserve"> </w:t>
      </w:r>
      <w:r>
        <w:rPr>
          <w:rFonts w:ascii="Arial MT" w:hAnsi="Arial MT"/>
        </w:rPr>
        <w:t>e,</w:t>
      </w:r>
      <w:r>
        <w:rPr>
          <w:rFonts w:ascii="Arial MT" w:hAnsi="Arial MT"/>
          <w:spacing w:val="34"/>
        </w:rPr>
        <w:t xml:space="preserve"> </w:t>
      </w:r>
      <w:r>
        <w:rPr>
          <w:rFonts w:ascii="Arial MT" w:hAnsi="Arial MT"/>
        </w:rPr>
        <w:t>em</w:t>
      </w:r>
      <w:r>
        <w:rPr>
          <w:rFonts w:ascii="Arial MT" w:hAnsi="Arial MT"/>
          <w:spacing w:val="34"/>
        </w:rPr>
        <w:t xml:space="preserve"> </w:t>
      </w:r>
      <w:r>
        <w:rPr>
          <w:rFonts w:ascii="Arial MT" w:hAnsi="Arial MT"/>
        </w:rPr>
        <w:t>consequência</w:t>
      </w:r>
      <w:r>
        <w:rPr>
          <w:rFonts w:ascii="Arial MT" w:hAnsi="Arial MT"/>
          <w:spacing w:val="33"/>
        </w:rPr>
        <w:t xml:space="preserve"> </w:t>
      </w:r>
      <w:r>
        <w:rPr>
          <w:rFonts w:ascii="Arial MT" w:hAnsi="Arial MT"/>
        </w:rPr>
        <w:t>desse</w:t>
      </w:r>
      <w:r>
        <w:rPr>
          <w:rFonts w:ascii="Arial MT" w:hAnsi="Arial MT"/>
          <w:spacing w:val="33"/>
        </w:rPr>
        <w:t xml:space="preserve"> </w:t>
      </w:r>
      <w:r>
        <w:rPr>
          <w:rFonts w:ascii="Arial MT" w:hAnsi="Arial MT"/>
        </w:rPr>
        <w:t>acordo,</w:t>
      </w:r>
      <w:r>
        <w:rPr>
          <w:rFonts w:ascii="Arial MT" w:hAnsi="Arial MT"/>
          <w:spacing w:val="34"/>
        </w:rPr>
        <w:t xml:space="preserve"> </w:t>
      </w:r>
      <w:r>
        <w:rPr>
          <w:rFonts w:ascii="Arial MT" w:hAnsi="Arial MT"/>
        </w:rPr>
        <w:t>reconheceu</w:t>
      </w:r>
      <w:r>
        <w:rPr>
          <w:rFonts w:ascii="Arial MT" w:hAnsi="Arial MT"/>
          <w:spacing w:val="33"/>
        </w:rPr>
        <w:t xml:space="preserve"> </w:t>
      </w:r>
      <w:r>
        <w:rPr>
          <w:rFonts w:ascii="Arial MT" w:hAnsi="Arial MT"/>
        </w:rPr>
        <w:t>em</w:t>
      </w:r>
      <w:r>
        <w:rPr>
          <w:rFonts w:ascii="Arial MT" w:hAnsi="Arial MT"/>
          <w:spacing w:val="34"/>
        </w:rPr>
        <w:t xml:space="preserve"> </w:t>
      </w:r>
      <w:r>
        <w:rPr>
          <w:rFonts w:ascii="Arial MT" w:hAnsi="Arial MT"/>
        </w:rPr>
        <w:t>seu</w:t>
      </w:r>
      <w:r>
        <w:rPr>
          <w:rFonts w:ascii="Arial MT" w:hAnsi="Arial MT"/>
          <w:spacing w:val="33"/>
        </w:rPr>
        <w:t xml:space="preserve"> </w:t>
      </w:r>
      <w:r>
        <w:rPr>
          <w:rFonts w:ascii="Arial MT" w:hAnsi="Arial MT"/>
        </w:rPr>
        <w:t>resultado</w:t>
      </w:r>
      <w:r>
        <w:rPr>
          <w:rFonts w:ascii="Arial MT" w:hAnsi="Arial MT"/>
          <w:spacing w:val="33"/>
        </w:rPr>
        <w:t xml:space="preserve"> </w:t>
      </w:r>
      <w:r>
        <w:rPr>
          <w:rFonts w:ascii="Arial MT" w:hAnsi="Arial MT"/>
        </w:rPr>
        <w:t>receita</w:t>
      </w:r>
      <w:r>
        <w:rPr>
          <w:rFonts w:ascii="Arial MT" w:hAnsi="Arial MT"/>
          <w:spacing w:val="33"/>
        </w:rPr>
        <w:t xml:space="preserve"> </w:t>
      </w:r>
      <w:r>
        <w:rPr>
          <w:rFonts w:ascii="Arial MT" w:hAnsi="Arial MT"/>
        </w:rPr>
        <w:t>de</w:t>
      </w:r>
      <w:r>
        <w:rPr>
          <w:rFonts w:ascii="Arial MT" w:hAnsi="Arial MT"/>
          <w:spacing w:val="33"/>
        </w:rPr>
        <w:t xml:space="preserve"> </w:t>
      </w:r>
      <w:r>
        <w:rPr>
          <w:rFonts w:ascii="Arial MT" w:hAnsi="Arial MT"/>
        </w:rPr>
        <w:t>serviço</w:t>
      </w:r>
      <w:r>
        <w:rPr>
          <w:rFonts w:ascii="Arial MT" w:hAnsi="Arial MT"/>
          <w:spacing w:val="33"/>
        </w:rPr>
        <w:t xml:space="preserve"> </w:t>
      </w:r>
      <w:r>
        <w:rPr>
          <w:rFonts w:ascii="Arial MT" w:hAnsi="Arial MT"/>
        </w:rPr>
        <w:t>de</w:t>
      </w:r>
      <w:r>
        <w:rPr>
          <w:rFonts w:ascii="Arial MT" w:hAnsi="Arial MT"/>
          <w:spacing w:val="33"/>
        </w:rPr>
        <w:t xml:space="preserve"> </w:t>
      </w:r>
      <w:r>
        <w:rPr>
          <w:rFonts w:ascii="Arial MT" w:hAnsi="Arial MT"/>
        </w:rPr>
        <w:t>instalação no montante de R$ 12,8 milhões.</w:t>
      </w:r>
    </w:p>
    <w:p w14:paraId="2B2A6D44" w14:textId="77777777" w:rsidR="002C6574" w:rsidRDefault="002C6574">
      <w:pPr>
        <w:pStyle w:val="Corpodetexto"/>
        <w:spacing w:before="24"/>
        <w:rPr>
          <w:rFonts w:ascii="Arial MT"/>
        </w:rPr>
      </w:pPr>
    </w:p>
    <w:p w14:paraId="15AEA3C5" w14:textId="77777777" w:rsidR="002C6574" w:rsidRDefault="00000000">
      <w:pPr>
        <w:pStyle w:val="Corpodetexto"/>
        <w:ind w:left="427" w:right="139"/>
        <w:jc w:val="both"/>
        <w:rPr>
          <w:rFonts w:ascii="Arial MT" w:hAnsi="Arial MT"/>
        </w:rPr>
      </w:pPr>
      <w:r>
        <w:rPr>
          <w:rFonts w:ascii="Arial" w:hAnsi="Arial"/>
          <w:b/>
        </w:rPr>
        <w:t xml:space="preserve">Locação de Capacidade Satelital: </w:t>
      </w:r>
      <w:r>
        <w:rPr>
          <w:rFonts w:ascii="Arial MT" w:hAnsi="Arial MT"/>
        </w:rPr>
        <w:t>Esse produto permaneceu estável na comparação entre os exercícios de 2025 e 2024, registrando receita de R$ 36,5 milhões. Esse valor corresponde ao reconhecimento da receita pela cessão de capacidade satelital ao Ministério da Defesa.</w:t>
      </w:r>
    </w:p>
    <w:p w14:paraId="67CD7CC7" w14:textId="77777777" w:rsidR="002C6574" w:rsidRDefault="002C6574">
      <w:pPr>
        <w:pStyle w:val="Corpodetexto"/>
        <w:spacing w:before="1"/>
        <w:rPr>
          <w:rFonts w:ascii="Arial MT"/>
        </w:rPr>
      </w:pPr>
    </w:p>
    <w:p w14:paraId="5138D1AF" w14:textId="77777777" w:rsidR="002C6574" w:rsidRDefault="00000000">
      <w:pPr>
        <w:pStyle w:val="Corpodetexto"/>
        <w:ind w:left="427" w:right="135"/>
        <w:jc w:val="both"/>
        <w:rPr>
          <w:rFonts w:ascii="Arial MT" w:hAnsi="Arial MT"/>
        </w:rPr>
      </w:pPr>
      <w:r>
        <w:rPr>
          <w:rFonts w:ascii="Arial" w:hAnsi="Arial"/>
          <w:b/>
        </w:rPr>
        <w:t>Aluguéis</w:t>
      </w:r>
      <w:r>
        <w:rPr>
          <w:rFonts w:ascii="Arial" w:hAnsi="Arial"/>
          <w:b/>
          <w:spacing w:val="-10"/>
        </w:rPr>
        <w:t xml:space="preserve"> </w:t>
      </w:r>
      <w:r>
        <w:rPr>
          <w:rFonts w:ascii="Arial" w:hAnsi="Arial"/>
          <w:b/>
        </w:rPr>
        <w:t>e</w:t>
      </w:r>
      <w:r>
        <w:rPr>
          <w:rFonts w:ascii="Arial" w:hAnsi="Arial"/>
          <w:b/>
          <w:spacing w:val="-13"/>
        </w:rPr>
        <w:t xml:space="preserve"> </w:t>
      </w:r>
      <w:r>
        <w:rPr>
          <w:rFonts w:ascii="Arial" w:hAnsi="Arial"/>
          <w:b/>
        </w:rPr>
        <w:t>Locações</w:t>
      </w:r>
      <w:r>
        <w:rPr>
          <w:rFonts w:ascii="Arial" w:hAnsi="Arial"/>
          <w:b/>
          <w:spacing w:val="-13"/>
        </w:rPr>
        <w:t xml:space="preserve"> </w:t>
      </w:r>
      <w:r>
        <w:rPr>
          <w:rFonts w:ascii="Arial" w:hAnsi="Arial"/>
          <w:b/>
        </w:rPr>
        <w:t>–</w:t>
      </w:r>
      <w:r>
        <w:rPr>
          <w:rFonts w:ascii="Arial" w:hAnsi="Arial"/>
          <w:b/>
          <w:spacing w:val="-13"/>
        </w:rPr>
        <w:t xml:space="preserve"> </w:t>
      </w:r>
      <w:r>
        <w:rPr>
          <w:rFonts w:ascii="Arial" w:hAnsi="Arial"/>
          <w:b/>
        </w:rPr>
        <w:t>Outras:</w:t>
      </w:r>
      <w:r>
        <w:rPr>
          <w:rFonts w:ascii="Arial" w:hAnsi="Arial"/>
          <w:b/>
          <w:spacing w:val="40"/>
        </w:rPr>
        <w:t xml:space="preserve"> </w:t>
      </w:r>
      <w:r>
        <w:rPr>
          <w:rFonts w:ascii="Arial MT" w:hAnsi="Arial MT"/>
        </w:rPr>
        <w:t>A</w:t>
      </w:r>
      <w:r>
        <w:rPr>
          <w:rFonts w:ascii="Arial MT" w:hAnsi="Arial MT"/>
          <w:spacing w:val="-13"/>
        </w:rPr>
        <w:t xml:space="preserve"> </w:t>
      </w:r>
      <w:r>
        <w:rPr>
          <w:rFonts w:ascii="Arial MT" w:hAnsi="Arial MT"/>
        </w:rPr>
        <w:t>rubrica</w:t>
      </w:r>
      <w:r>
        <w:rPr>
          <w:rFonts w:ascii="Arial MT" w:hAnsi="Arial MT"/>
          <w:spacing w:val="-13"/>
        </w:rPr>
        <w:t xml:space="preserve"> </w:t>
      </w:r>
      <w:r>
        <w:rPr>
          <w:rFonts w:ascii="Arial MT" w:hAnsi="Arial MT"/>
        </w:rPr>
        <w:t>compreende</w:t>
      </w:r>
      <w:r>
        <w:rPr>
          <w:rFonts w:ascii="Arial MT" w:hAnsi="Arial MT"/>
          <w:spacing w:val="-10"/>
        </w:rPr>
        <w:t xml:space="preserve"> </w:t>
      </w:r>
      <w:r>
        <w:rPr>
          <w:rFonts w:ascii="Arial MT" w:hAnsi="Arial MT"/>
        </w:rPr>
        <w:t>o</w:t>
      </w:r>
      <w:r>
        <w:rPr>
          <w:rFonts w:ascii="Arial MT" w:hAnsi="Arial MT"/>
          <w:spacing w:val="-10"/>
        </w:rPr>
        <w:t xml:space="preserve"> </w:t>
      </w:r>
      <w:r>
        <w:rPr>
          <w:rFonts w:ascii="Arial MT" w:hAnsi="Arial MT"/>
        </w:rPr>
        <w:t>aluguel</w:t>
      </w:r>
      <w:r>
        <w:rPr>
          <w:rFonts w:ascii="Arial MT" w:hAnsi="Arial MT"/>
          <w:spacing w:val="-11"/>
        </w:rPr>
        <w:t xml:space="preserve"> </w:t>
      </w:r>
      <w:r>
        <w:rPr>
          <w:rFonts w:ascii="Arial MT" w:hAnsi="Arial MT"/>
        </w:rPr>
        <w:t>de</w:t>
      </w:r>
      <w:r>
        <w:rPr>
          <w:rFonts w:ascii="Arial MT" w:hAnsi="Arial MT"/>
          <w:spacing w:val="-13"/>
        </w:rPr>
        <w:t xml:space="preserve"> </w:t>
      </w:r>
      <w:r>
        <w:rPr>
          <w:rFonts w:ascii="Arial MT" w:hAnsi="Arial MT"/>
        </w:rPr>
        <w:t>cabos</w:t>
      </w:r>
      <w:r>
        <w:rPr>
          <w:rFonts w:ascii="Arial MT" w:hAnsi="Arial MT"/>
          <w:spacing w:val="-10"/>
        </w:rPr>
        <w:t xml:space="preserve"> </w:t>
      </w:r>
      <w:r>
        <w:rPr>
          <w:rFonts w:ascii="Arial MT" w:hAnsi="Arial MT"/>
        </w:rPr>
        <w:t>ópticos,</w:t>
      </w:r>
      <w:r>
        <w:rPr>
          <w:rFonts w:ascii="Arial MT" w:hAnsi="Arial MT"/>
          <w:spacing w:val="-9"/>
        </w:rPr>
        <w:t xml:space="preserve"> </w:t>
      </w:r>
      <w:r>
        <w:rPr>
          <w:rFonts w:ascii="Arial MT" w:hAnsi="Arial MT"/>
        </w:rPr>
        <w:t>a</w:t>
      </w:r>
      <w:r>
        <w:rPr>
          <w:rFonts w:ascii="Arial MT" w:hAnsi="Arial MT"/>
          <w:spacing w:val="-13"/>
        </w:rPr>
        <w:t xml:space="preserve"> </w:t>
      </w:r>
      <w:r>
        <w:rPr>
          <w:rFonts w:ascii="Arial MT" w:hAnsi="Arial MT"/>
        </w:rPr>
        <w:t>locação</w:t>
      </w:r>
      <w:r>
        <w:rPr>
          <w:rFonts w:ascii="Arial MT" w:hAnsi="Arial MT"/>
          <w:spacing w:val="-11"/>
        </w:rPr>
        <w:t xml:space="preserve"> </w:t>
      </w:r>
      <w:r>
        <w:rPr>
          <w:rFonts w:ascii="Arial MT" w:hAnsi="Arial MT"/>
        </w:rPr>
        <w:t>de</w:t>
      </w:r>
      <w:r>
        <w:rPr>
          <w:rFonts w:ascii="Arial MT" w:hAnsi="Arial MT"/>
          <w:spacing w:val="-13"/>
        </w:rPr>
        <w:t xml:space="preserve"> </w:t>
      </w:r>
      <w:r>
        <w:rPr>
          <w:rFonts w:ascii="Arial MT" w:hAnsi="Arial MT"/>
        </w:rPr>
        <w:t>roteadores e o aluguel de infraestrutura do segmento satelital, decorrente do contrato de parceria com a Viasat. Em 2025, a receita reconhecida nessa rubrica totalizou R$ 28,4 milhões, ante R$ 26,9 milhões registrados em 2024, o que representa um aumento de 5,4%.</w:t>
      </w:r>
    </w:p>
    <w:p w14:paraId="0BD0F5ED" w14:textId="77777777" w:rsidR="002C6574" w:rsidRDefault="002C6574">
      <w:pPr>
        <w:pStyle w:val="Corpodetexto"/>
        <w:jc w:val="both"/>
        <w:rPr>
          <w:rFonts w:ascii="Arial MT" w:hAnsi="Arial MT"/>
        </w:rPr>
        <w:sectPr w:rsidR="002C6574">
          <w:pgSz w:w="11910" w:h="16840"/>
          <w:pgMar w:top="2200" w:right="425" w:bottom="1220" w:left="425" w:header="1197" w:footer="994" w:gutter="0"/>
          <w:cols w:space="720"/>
        </w:sectPr>
      </w:pPr>
    </w:p>
    <w:p w14:paraId="6A774648" w14:textId="77777777" w:rsidR="002C6574" w:rsidRDefault="002C6574">
      <w:pPr>
        <w:pStyle w:val="Corpodetexto"/>
        <w:rPr>
          <w:rFonts w:ascii="Arial MT"/>
        </w:rPr>
      </w:pPr>
    </w:p>
    <w:p w14:paraId="7CD03967" w14:textId="77777777" w:rsidR="002C6574" w:rsidRDefault="002C6574">
      <w:pPr>
        <w:pStyle w:val="Corpodetexto"/>
        <w:spacing w:before="1"/>
        <w:rPr>
          <w:rFonts w:ascii="Arial MT"/>
        </w:rPr>
      </w:pPr>
    </w:p>
    <w:p w14:paraId="5B373148" w14:textId="77777777" w:rsidR="002C6574" w:rsidRDefault="00000000">
      <w:pPr>
        <w:pStyle w:val="Corpodetexto"/>
        <w:ind w:left="427" w:right="139"/>
        <w:jc w:val="both"/>
        <w:rPr>
          <w:rFonts w:ascii="Arial MT" w:hAnsi="Arial MT"/>
        </w:rPr>
      </w:pPr>
      <w:r>
        <w:rPr>
          <w:rFonts w:ascii="Arial MT" w:hAnsi="Arial MT"/>
          <w:noProof/>
        </w:rPr>
        <mc:AlternateContent>
          <mc:Choice Requires="wpg">
            <w:drawing>
              <wp:anchor distT="0" distB="0" distL="0" distR="0" simplePos="0" relativeHeight="15756800" behindDoc="0" locked="0" layoutInCell="1" allowOverlap="1" wp14:anchorId="4FB7FDDB" wp14:editId="6092A794">
                <wp:simplePos x="0" y="0"/>
                <wp:positionH relativeFrom="page">
                  <wp:posOffset>443483</wp:posOffset>
                </wp:positionH>
                <wp:positionV relativeFrom="paragraph">
                  <wp:posOffset>-325975</wp:posOffset>
                </wp:positionV>
                <wp:extent cx="6922134" cy="105410"/>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134" cy="105410"/>
                          <a:chOff x="0" y="0"/>
                          <a:chExt cx="6922134" cy="105410"/>
                        </a:xfrm>
                      </wpg:grpSpPr>
                      <pic:pic xmlns:pic="http://schemas.openxmlformats.org/drawingml/2006/picture">
                        <pic:nvPicPr>
                          <pic:cNvPr id="300" name="Image 300"/>
                          <pic:cNvPicPr/>
                        </pic:nvPicPr>
                        <pic:blipFill>
                          <a:blip r:embed="rId213" cstate="print"/>
                          <a:stretch>
                            <a:fillRect/>
                          </a:stretch>
                        </pic:blipFill>
                        <pic:spPr>
                          <a:xfrm>
                            <a:off x="0" y="0"/>
                            <a:ext cx="6922008" cy="105155"/>
                          </a:xfrm>
                          <a:prstGeom prst="rect">
                            <a:avLst/>
                          </a:prstGeom>
                        </pic:spPr>
                      </pic:pic>
                      <wps:wsp>
                        <wps:cNvPr id="301" name="Graphic 301"/>
                        <wps:cNvSpPr/>
                        <wps:spPr>
                          <a:xfrm>
                            <a:off x="42290" y="34925"/>
                            <a:ext cx="6829425" cy="1270"/>
                          </a:xfrm>
                          <a:custGeom>
                            <a:avLst/>
                            <a:gdLst/>
                            <a:ahLst/>
                            <a:cxnLst/>
                            <a:rect l="l" t="t" r="r" b="b"/>
                            <a:pathLst>
                              <a:path w="6829425">
                                <a:moveTo>
                                  <a:pt x="0" y="0"/>
                                </a:moveTo>
                                <a:lnTo>
                                  <a:pt x="6829425" y="0"/>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57553491" id="Group 299" o:spid="_x0000_s1026" style="position:absolute;margin-left:34.9pt;margin-top:-25.65pt;width:545.05pt;height:8.3pt;z-index:15756800;mso-wrap-distance-left:0;mso-wrap-distance-right:0;mso-position-horizontal-relative:page" coordsize="69221,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">
                <v:shape id="Image 300" o:spid="_x0000_s1027" type="#_x0000_t75" style="position:absolute;width:692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">
                  <v:imagedata r:id="rId214" o:title=""/>
                </v:shape>
                <v:shape id="Graphic 301" o:spid="_x0000_s1028" style="position:absolute;left:422;top:349;width:68295;height:12;visibility:visible;mso-wrap-style:square;v-text-anchor:top" coordsize="682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" path="m,l6829425,e" filled="f" strokecolor="blue" strokeweight="2pt">
                  <v:path arrowok="t"/>
                </v:shape>
                <w10:wrap anchorx="page"/>
              </v:group>
            </w:pict>
          </mc:Fallback>
        </mc:AlternateContent>
      </w:r>
      <w:r>
        <w:rPr>
          <w:rFonts w:ascii="Arial" w:hAnsi="Arial"/>
          <w:b/>
        </w:rPr>
        <w:t xml:space="preserve">Compartilhamento de Receitas: </w:t>
      </w:r>
      <w:r>
        <w:rPr>
          <w:rFonts w:ascii="Arial MT" w:hAnsi="Arial MT"/>
        </w:rPr>
        <w:t>No acumulado de 2025, a Telebras reconheceu o montante de R$ 10,4 milhões, ante R$ 13,6 milhões registrados em 2024, o que representa uma redução de 23,6%. Essa diminuição é explicada pelo menor volume de recursos recebidos da Viasat ao longo do período.</w:t>
      </w:r>
    </w:p>
    <w:p w14:paraId="6F6A8393" w14:textId="77777777" w:rsidR="002C6574" w:rsidRDefault="00000000">
      <w:pPr>
        <w:pStyle w:val="Corpodetexto"/>
        <w:spacing w:before="252"/>
        <w:ind w:left="427" w:right="137"/>
        <w:jc w:val="both"/>
        <w:rPr>
          <w:rFonts w:ascii="Arial MT" w:hAnsi="Arial MT"/>
        </w:rPr>
      </w:pPr>
      <w:r>
        <w:rPr>
          <w:rFonts w:ascii="Arial" w:hAnsi="Arial"/>
          <w:b/>
        </w:rPr>
        <w:t>Serviço</w:t>
      </w:r>
      <w:r>
        <w:rPr>
          <w:rFonts w:ascii="Arial" w:hAnsi="Arial"/>
          <w:b/>
          <w:spacing w:val="-5"/>
        </w:rPr>
        <w:t xml:space="preserve"> </w:t>
      </w:r>
      <w:r>
        <w:rPr>
          <w:rFonts w:ascii="Arial" w:hAnsi="Arial"/>
          <w:b/>
        </w:rPr>
        <w:t>de</w:t>
      </w:r>
      <w:r>
        <w:rPr>
          <w:rFonts w:ascii="Arial" w:hAnsi="Arial"/>
          <w:b/>
          <w:spacing w:val="-5"/>
        </w:rPr>
        <w:t xml:space="preserve"> </w:t>
      </w:r>
      <w:r>
        <w:rPr>
          <w:rFonts w:ascii="Arial" w:hAnsi="Arial"/>
          <w:b/>
        </w:rPr>
        <w:t>Valor</w:t>
      </w:r>
      <w:r>
        <w:rPr>
          <w:rFonts w:ascii="Arial" w:hAnsi="Arial"/>
          <w:b/>
          <w:spacing w:val="-5"/>
        </w:rPr>
        <w:t xml:space="preserve"> </w:t>
      </w:r>
      <w:r>
        <w:rPr>
          <w:rFonts w:ascii="Arial" w:hAnsi="Arial"/>
          <w:b/>
        </w:rPr>
        <w:t xml:space="preserve">Adicionado: </w:t>
      </w:r>
      <w:r>
        <w:rPr>
          <w:rFonts w:ascii="Arial MT" w:hAnsi="Arial MT"/>
        </w:rPr>
        <w:t>Em</w:t>
      </w:r>
      <w:r>
        <w:rPr>
          <w:rFonts w:ascii="Arial MT" w:hAnsi="Arial MT"/>
          <w:spacing w:val="-3"/>
        </w:rPr>
        <w:t xml:space="preserve"> </w:t>
      </w:r>
      <w:r>
        <w:rPr>
          <w:rFonts w:ascii="Arial MT" w:hAnsi="Arial MT"/>
        </w:rPr>
        <w:t>2025,</w:t>
      </w:r>
      <w:r>
        <w:rPr>
          <w:rFonts w:ascii="Arial MT" w:hAnsi="Arial MT"/>
          <w:spacing w:val="-3"/>
        </w:rPr>
        <w:t xml:space="preserve"> </w:t>
      </w:r>
      <w:r>
        <w:rPr>
          <w:rFonts w:ascii="Arial MT" w:hAnsi="Arial MT"/>
        </w:rPr>
        <w:t>a</w:t>
      </w:r>
      <w:r>
        <w:rPr>
          <w:rFonts w:ascii="Arial MT" w:hAnsi="Arial MT"/>
          <w:spacing w:val="-6"/>
        </w:rPr>
        <w:t xml:space="preserve"> </w:t>
      </w:r>
      <w:r>
        <w:rPr>
          <w:rFonts w:ascii="Arial MT" w:hAnsi="Arial MT"/>
        </w:rPr>
        <w:t>receita</w:t>
      </w:r>
      <w:r>
        <w:rPr>
          <w:rFonts w:ascii="Arial MT" w:hAnsi="Arial MT"/>
          <w:spacing w:val="-2"/>
        </w:rPr>
        <w:t xml:space="preserve"> </w:t>
      </w:r>
      <w:r>
        <w:rPr>
          <w:rFonts w:ascii="Arial MT" w:hAnsi="Arial MT"/>
        </w:rPr>
        <w:t>de</w:t>
      </w:r>
      <w:r>
        <w:rPr>
          <w:rFonts w:ascii="Arial MT" w:hAnsi="Arial MT"/>
          <w:spacing w:val="-4"/>
        </w:rPr>
        <w:t xml:space="preserve"> </w:t>
      </w:r>
      <w:r>
        <w:rPr>
          <w:rFonts w:ascii="Arial MT" w:hAnsi="Arial MT"/>
        </w:rPr>
        <w:t>SVA</w:t>
      </w:r>
      <w:r>
        <w:rPr>
          <w:rFonts w:ascii="Arial MT" w:hAnsi="Arial MT"/>
          <w:spacing w:val="-4"/>
        </w:rPr>
        <w:t xml:space="preserve"> </w:t>
      </w:r>
      <w:r>
        <w:rPr>
          <w:rFonts w:ascii="Arial MT" w:hAnsi="Arial MT"/>
        </w:rPr>
        <w:t>totalizou</w:t>
      </w:r>
      <w:r>
        <w:rPr>
          <w:rFonts w:ascii="Arial MT" w:hAnsi="Arial MT"/>
          <w:spacing w:val="-4"/>
        </w:rPr>
        <w:t xml:space="preserve"> </w:t>
      </w:r>
      <w:r>
        <w:rPr>
          <w:rFonts w:ascii="Arial MT" w:hAnsi="Arial MT"/>
        </w:rPr>
        <w:t>R$</w:t>
      </w:r>
      <w:r>
        <w:rPr>
          <w:rFonts w:ascii="Arial MT" w:hAnsi="Arial MT"/>
          <w:spacing w:val="-4"/>
        </w:rPr>
        <w:t xml:space="preserve"> </w:t>
      </w:r>
      <w:r>
        <w:rPr>
          <w:rFonts w:ascii="Arial MT" w:hAnsi="Arial MT"/>
        </w:rPr>
        <w:t>26,4</w:t>
      </w:r>
      <w:r>
        <w:rPr>
          <w:rFonts w:ascii="Arial MT" w:hAnsi="Arial MT"/>
          <w:spacing w:val="-4"/>
        </w:rPr>
        <w:t xml:space="preserve"> </w:t>
      </w:r>
      <w:r>
        <w:rPr>
          <w:rFonts w:ascii="Arial MT" w:hAnsi="Arial MT"/>
        </w:rPr>
        <w:t>milhões,</w:t>
      </w:r>
      <w:r>
        <w:rPr>
          <w:rFonts w:ascii="Arial MT" w:hAnsi="Arial MT"/>
          <w:spacing w:val="-3"/>
        </w:rPr>
        <w:t xml:space="preserve"> </w:t>
      </w:r>
      <w:r>
        <w:rPr>
          <w:rFonts w:ascii="Arial MT" w:hAnsi="Arial MT"/>
        </w:rPr>
        <w:t>ante</w:t>
      </w:r>
      <w:r>
        <w:rPr>
          <w:rFonts w:ascii="Arial MT" w:hAnsi="Arial MT"/>
          <w:spacing w:val="-4"/>
        </w:rPr>
        <w:t xml:space="preserve"> </w:t>
      </w:r>
      <w:r>
        <w:rPr>
          <w:rFonts w:ascii="Arial MT" w:hAnsi="Arial MT"/>
        </w:rPr>
        <w:t>R$</w:t>
      </w:r>
      <w:r>
        <w:rPr>
          <w:rFonts w:ascii="Arial MT" w:hAnsi="Arial MT"/>
          <w:spacing w:val="-2"/>
        </w:rPr>
        <w:t xml:space="preserve"> </w:t>
      </w:r>
      <w:r>
        <w:rPr>
          <w:rFonts w:ascii="Arial MT" w:hAnsi="Arial MT"/>
        </w:rPr>
        <w:t>20,0</w:t>
      </w:r>
      <w:r>
        <w:rPr>
          <w:rFonts w:ascii="Arial MT" w:hAnsi="Arial MT"/>
          <w:spacing w:val="-6"/>
        </w:rPr>
        <w:t xml:space="preserve"> </w:t>
      </w:r>
      <w:r>
        <w:rPr>
          <w:rFonts w:ascii="Arial MT" w:hAnsi="Arial MT"/>
        </w:rPr>
        <w:t>milhões em 2024, o que representa um crescimento de 31,9% na comparação anual. Esse aumento decorre da expansão</w:t>
      </w:r>
      <w:r>
        <w:rPr>
          <w:rFonts w:ascii="Arial MT" w:hAnsi="Arial MT"/>
          <w:spacing w:val="-9"/>
        </w:rPr>
        <w:t xml:space="preserve"> </w:t>
      </w:r>
      <w:r>
        <w:rPr>
          <w:rFonts w:ascii="Arial MT" w:hAnsi="Arial MT"/>
        </w:rPr>
        <w:t>do</w:t>
      </w:r>
      <w:r>
        <w:rPr>
          <w:rFonts w:ascii="Arial MT" w:hAnsi="Arial MT"/>
          <w:spacing w:val="-9"/>
        </w:rPr>
        <w:t xml:space="preserve"> </w:t>
      </w:r>
      <w:r>
        <w:rPr>
          <w:rFonts w:ascii="Arial MT" w:hAnsi="Arial MT"/>
        </w:rPr>
        <w:t>portfólio</w:t>
      </w:r>
      <w:r>
        <w:rPr>
          <w:rFonts w:ascii="Arial MT" w:hAnsi="Arial MT"/>
          <w:spacing w:val="-9"/>
        </w:rPr>
        <w:t xml:space="preserve"> </w:t>
      </w:r>
      <w:r>
        <w:rPr>
          <w:rFonts w:ascii="Arial MT" w:hAnsi="Arial MT"/>
        </w:rPr>
        <w:t>de</w:t>
      </w:r>
      <w:r>
        <w:rPr>
          <w:rFonts w:ascii="Arial MT" w:hAnsi="Arial MT"/>
          <w:spacing w:val="-12"/>
        </w:rPr>
        <w:t xml:space="preserve"> </w:t>
      </w:r>
      <w:r>
        <w:rPr>
          <w:rFonts w:ascii="Arial MT" w:hAnsi="Arial MT"/>
        </w:rPr>
        <w:t>serviços</w:t>
      </w:r>
      <w:r>
        <w:rPr>
          <w:rFonts w:ascii="Arial MT" w:hAnsi="Arial MT"/>
          <w:spacing w:val="-8"/>
        </w:rPr>
        <w:t xml:space="preserve"> </w:t>
      </w:r>
      <w:r>
        <w:rPr>
          <w:rFonts w:ascii="Arial MT" w:hAnsi="Arial MT"/>
        </w:rPr>
        <w:t>de</w:t>
      </w:r>
      <w:r>
        <w:rPr>
          <w:rFonts w:ascii="Arial MT" w:hAnsi="Arial MT"/>
          <w:spacing w:val="-9"/>
        </w:rPr>
        <w:t xml:space="preserve"> </w:t>
      </w:r>
      <w:r>
        <w:rPr>
          <w:rFonts w:ascii="Arial MT" w:hAnsi="Arial MT"/>
        </w:rPr>
        <w:t>valor</w:t>
      </w:r>
      <w:r>
        <w:rPr>
          <w:rFonts w:ascii="Arial MT" w:hAnsi="Arial MT"/>
          <w:spacing w:val="-8"/>
        </w:rPr>
        <w:t xml:space="preserve"> </w:t>
      </w:r>
      <w:r>
        <w:rPr>
          <w:rFonts w:ascii="Arial MT" w:hAnsi="Arial MT"/>
        </w:rPr>
        <w:t>adicionado,</w:t>
      </w:r>
      <w:r>
        <w:rPr>
          <w:rFonts w:ascii="Arial MT" w:hAnsi="Arial MT"/>
          <w:spacing w:val="-8"/>
        </w:rPr>
        <w:t xml:space="preserve"> </w:t>
      </w:r>
      <w:r>
        <w:rPr>
          <w:rFonts w:ascii="Arial MT" w:hAnsi="Arial MT"/>
        </w:rPr>
        <w:t>que</w:t>
      </w:r>
      <w:r>
        <w:rPr>
          <w:rFonts w:ascii="Arial MT" w:hAnsi="Arial MT"/>
          <w:spacing w:val="-9"/>
        </w:rPr>
        <w:t xml:space="preserve"> </w:t>
      </w:r>
      <w:r>
        <w:rPr>
          <w:rFonts w:ascii="Arial MT" w:hAnsi="Arial MT"/>
        </w:rPr>
        <w:t>impulsionou</w:t>
      </w:r>
      <w:r>
        <w:rPr>
          <w:rFonts w:ascii="Arial MT" w:hAnsi="Arial MT"/>
          <w:spacing w:val="-9"/>
        </w:rPr>
        <w:t xml:space="preserve"> </w:t>
      </w:r>
      <w:r>
        <w:rPr>
          <w:rFonts w:ascii="Arial MT" w:hAnsi="Arial MT"/>
        </w:rPr>
        <w:t>a</w:t>
      </w:r>
      <w:r>
        <w:rPr>
          <w:rFonts w:ascii="Arial MT" w:hAnsi="Arial MT"/>
          <w:spacing w:val="-9"/>
        </w:rPr>
        <w:t xml:space="preserve"> </w:t>
      </w:r>
      <w:r>
        <w:rPr>
          <w:rFonts w:ascii="Arial MT" w:hAnsi="Arial MT"/>
        </w:rPr>
        <w:t>demanda</w:t>
      </w:r>
      <w:r>
        <w:rPr>
          <w:rFonts w:ascii="Arial MT" w:hAnsi="Arial MT"/>
          <w:spacing w:val="-9"/>
        </w:rPr>
        <w:t xml:space="preserve"> </w:t>
      </w:r>
      <w:r>
        <w:rPr>
          <w:rFonts w:ascii="Arial MT" w:hAnsi="Arial MT"/>
        </w:rPr>
        <w:t>e</w:t>
      </w:r>
      <w:r>
        <w:rPr>
          <w:rFonts w:ascii="Arial MT" w:hAnsi="Arial MT"/>
          <w:spacing w:val="-9"/>
        </w:rPr>
        <w:t xml:space="preserve"> </w:t>
      </w:r>
      <w:r>
        <w:rPr>
          <w:rFonts w:ascii="Arial MT" w:hAnsi="Arial MT"/>
        </w:rPr>
        <w:t>ampliou</w:t>
      </w:r>
      <w:r>
        <w:rPr>
          <w:rFonts w:ascii="Arial MT" w:hAnsi="Arial MT"/>
          <w:spacing w:val="-9"/>
        </w:rPr>
        <w:t xml:space="preserve"> </w:t>
      </w:r>
      <w:r>
        <w:rPr>
          <w:rFonts w:ascii="Arial MT" w:hAnsi="Arial MT"/>
        </w:rPr>
        <w:t>a</w:t>
      </w:r>
      <w:r>
        <w:rPr>
          <w:rFonts w:ascii="Arial MT" w:hAnsi="Arial MT"/>
          <w:spacing w:val="-9"/>
        </w:rPr>
        <w:t xml:space="preserve"> </w:t>
      </w:r>
      <w:r>
        <w:rPr>
          <w:rFonts w:ascii="Arial MT" w:hAnsi="Arial MT"/>
        </w:rPr>
        <w:t>participação dessa linha no resultado operacional da companhia.</w:t>
      </w:r>
    </w:p>
    <w:p w14:paraId="6446983C" w14:textId="77777777" w:rsidR="002C6574" w:rsidRDefault="002C6574">
      <w:pPr>
        <w:pStyle w:val="Corpodetexto"/>
        <w:spacing w:before="24"/>
        <w:rPr>
          <w:rFonts w:ascii="Arial MT"/>
        </w:rPr>
      </w:pPr>
    </w:p>
    <w:p w14:paraId="034B1D21" w14:textId="77777777" w:rsidR="002C6574" w:rsidRDefault="00000000">
      <w:pPr>
        <w:pStyle w:val="Corpodetexto"/>
        <w:ind w:left="427" w:right="135"/>
        <w:jc w:val="both"/>
        <w:rPr>
          <w:rFonts w:ascii="Arial MT" w:hAnsi="Arial MT"/>
        </w:rPr>
      </w:pPr>
      <w:r>
        <w:rPr>
          <w:rFonts w:ascii="Arial" w:hAnsi="Arial"/>
          <w:b/>
        </w:rPr>
        <w:t>Outras</w:t>
      </w:r>
      <w:r>
        <w:rPr>
          <w:rFonts w:ascii="Arial" w:hAnsi="Arial"/>
          <w:b/>
          <w:spacing w:val="-4"/>
        </w:rPr>
        <w:t xml:space="preserve"> </w:t>
      </w:r>
      <w:r>
        <w:rPr>
          <w:rFonts w:ascii="Arial" w:hAnsi="Arial"/>
          <w:b/>
        </w:rPr>
        <w:t>Receitas:</w:t>
      </w:r>
      <w:r>
        <w:rPr>
          <w:rFonts w:ascii="Arial" w:hAnsi="Arial"/>
          <w:b/>
          <w:spacing w:val="-2"/>
        </w:rPr>
        <w:t xml:space="preserve"> </w:t>
      </w:r>
      <w:r>
        <w:rPr>
          <w:rFonts w:ascii="Arial MT" w:hAnsi="Arial MT"/>
        </w:rPr>
        <w:t>As</w:t>
      </w:r>
      <w:r>
        <w:rPr>
          <w:rFonts w:ascii="Arial MT" w:hAnsi="Arial MT"/>
          <w:spacing w:val="-6"/>
        </w:rPr>
        <w:t xml:space="preserve"> </w:t>
      </w:r>
      <w:r>
        <w:rPr>
          <w:rFonts w:ascii="Arial MT" w:hAnsi="Arial MT"/>
        </w:rPr>
        <w:t>Outras</w:t>
      </w:r>
      <w:r>
        <w:rPr>
          <w:rFonts w:ascii="Arial MT" w:hAnsi="Arial MT"/>
          <w:spacing w:val="-4"/>
        </w:rPr>
        <w:t xml:space="preserve"> </w:t>
      </w:r>
      <w:r>
        <w:rPr>
          <w:rFonts w:ascii="Arial MT" w:hAnsi="Arial MT"/>
        </w:rPr>
        <w:t>Receitas</w:t>
      </w:r>
      <w:r>
        <w:rPr>
          <w:rFonts w:ascii="Arial MT" w:hAnsi="Arial MT"/>
          <w:spacing w:val="-6"/>
        </w:rPr>
        <w:t xml:space="preserve"> </w:t>
      </w:r>
      <w:r>
        <w:rPr>
          <w:rFonts w:ascii="Arial MT" w:hAnsi="Arial MT"/>
        </w:rPr>
        <w:t>totalizaram</w:t>
      </w:r>
      <w:r>
        <w:rPr>
          <w:rFonts w:ascii="Arial MT" w:hAnsi="Arial MT"/>
          <w:spacing w:val="-5"/>
        </w:rPr>
        <w:t xml:space="preserve"> </w:t>
      </w:r>
      <w:r>
        <w:rPr>
          <w:rFonts w:ascii="Arial MT" w:hAnsi="Arial MT"/>
        </w:rPr>
        <w:t>R$</w:t>
      </w:r>
      <w:r>
        <w:rPr>
          <w:rFonts w:ascii="Arial MT" w:hAnsi="Arial MT"/>
          <w:spacing w:val="-4"/>
        </w:rPr>
        <w:t xml:space="preserve"> </w:t>
      </w:r>
      <w:r>
        <w:rPr>
          <w:rFonts w:ascii="Arial MT" w:hAnsi="Arial MT"/>
        </w:rPr>
        <w:t>6,7</w:t>
      </w:r>
      <w:r>
        <w:rPr>
          <w:rFonts w:ascii="Arial MT" w:hAnsi="Arial MT"/>
          <w:spacing w:val="-6"/>
        </w:rPr>
        <w:t xml:space="preserve"> </w:t>
      </w:r>
      <w:r>
        <w:rPr>
          <w:rFonts w:ascii="Arial MT" w:hAnsi="Arial MT"/>
        </w:rPr>
        <w:t>milhões</w:t>
      </w:r>
      <w:r>
        <w:rPr>
          <w:rFonts w:ascii="Arial MT" w:hAnsi="Arial MT"/>
          <w:spacing w:val="-3"/>
        </w:rPr>
        <w:t xml:space="preserve"> </w:t>
      </w:r>
      <w:r>
        <w:rPr>
          <w:rFonts w:ascii="Arial MT" w:hAnsi="Arial MT"/>
        </w:rPr>
        <w:t>em</w:t>
      </w:r>
      <w:r>
        <w:rPr>
          <w:rFonts w:ascii="Arial MT" w:hAnsi="Arial MT"/>
          <w:spacing w:val="-6"/>
        </w:rPr>
        <w:t xml:space="preserve"> </w:t>
      </w:r>
      <w:r>
        <w:rPr>
          <w:rFonts w:ascii="Arial MT" w:hAnsi="Arial MT"/>
        </w:rPr>
        <w:t>2025,</w:t>
      </w:r>
      <w:r>
        <w:rPr>
          <w:rFonts w:ascii="Arial MT" w:hAnsi="Arial MT"/>
          <w:spacing w:val="-3"/>
        </w:rPr>
        <w:t xml:space="preserve"> </w:t>
      </w:r>
      <w:r>
        <w:rPr>
          <w:rFonts w:ascii="Arial MT" w:hAnsi="Arial MT"/>
        </w:rPr>
        <w:t>ante</w:t>
      </w:r>
      <w:r>
        <w:rPr>
          <w:rFonts w:ascii="Arial MT" w:hAnsi="Arial MT"/>
          <w:spacing w:val="-6"/>
        </w:rPr>
        <w:t xml:space="preserve"> </w:t>
      </w:r>
      <w:r>
        <w:rPr>
          <w:rFonts w:ascii="Arial MT" w:hAnsi="Arial MT"/>
        </w:rPr>
        <w:t>R$</w:t>
      </w:r>
      <w:r>
        <w:rPr>
          <w:rFonts w:ascii="Arial MT" w:hAnsi="Arial MT"/>
          <w:spacing w:val="-4"/>
        </w:rPr>
        <w:t xml:space="preserve"> </w:t>
      </w:r>
      <w:r>
        <w:rPr>
          <w:rFonts w:ascii="Arial MT" w:hAnsi="Arial MT"/>
        </w:rPr>
        <w:t>9,4</w:t>
      </w:r>
      <w:r>
        <w:rPr>
          <w:rFonts w:ascii="Arial MT" w:hAnsi="Arial MT"/>
          <w:spacing w:val="-6"/>
        </w:rPr>
        <w:t xml:space="preserve"> </w:t>
      </w:r>
      <w:r>
        <w:rPr>
          <w:rFonts w:ascii="Arial MT" w:hAnsi="Arial MT"/>
        </w:rPr>
        <w:t>milhões</w:t>
      </w:r>
      <w:r>
        <w:rPr>
          <w:rFonts w:ascii="Arial MT" w:hAnsi="Arial MT"/>
          <w:spacing w:val="-6"/>
        </w:rPr>
        <w:t xml:space="preserve"> </w:t>
      </w:r>
      <w:r>
        <w:rPr>
          <w:rFonts w:ascii="Arial MT" w:hAnsi="Arial MT"/>
        </w:rPr>
        <w:t>registrados em 2024, e correspondem aos valores reconhecidos pela prestação de serviços de Wi-Fi, abrangendo os programas Wi-Fi Brasil, Wi-Fi Telebras e Wi-Fi Externo. Em 2025, esse conjunto de serviços apresentou uma redução de</w:t>
      </w:r>
      <w:r>
        <w:rPr>
          <w:rFonts w:ascii="Arial MT" w:hAnsi="Arial MT"/>
          <w:spacing w:val="-1"/>
        </w:rPr>
        <w:t xml:space="preserve"> </w:t>
      </w:r>
      <w:r>
        <w:rPr>
          <w:rFonts w:ascii="Arial MT" w:hAnsi="Arial MT"/>
        </w:rPr>
        <w:t>28,2% em relação ao</w:t>
      </w:r>
      <w:r>
        <w:rPr>
          <w:rFonts w:ascii="Arial MT" w:hAnsi="Arial MT"/>
          <w:spacing w:val="-1"/>
        </w:rPr>
        <w:t xml:space="preserve"> </w:t>
      </w:r>
      <w:r>
        <w:rPr>
          <w:rFonts w:ascii="Arial MT" w:hAnsi="Arial MT"/>
        </w:rPr>
        <w:t>montante</w:t>
      </w:r>
      <w:r>
        <w:rPr>
          <w:rFonts w:ascii="Arial MT" w:hAnsi="Arial MT"/>
          <w:spacing w:val="-1"/>
        </w:rPr>
        <w:t xml:space="preserve"> </w:t>
      </w:r>
      <w:r>
        <w:rPr>
          <w:rFonts w:ascii="Arial MT" w:hAnsi="Arial MT"/>
        </w:rPr>
        <w:t>registrado</w:t>
      </w:r>
      <w:r>
        <w:rPr>
          <w:rFonts w:ascii="Arial MT" w:hAnsi="Arial MT"/>
          <w:spacing w:val="-1"/>
        </w:rPr>
        <w:t xml:space="preserve"> </w:t>
      </w:r>
      <w:r>
        <w:rPr>
          <w:rFonts w:ascii="Arial MT" w:hAnsi="Arial MT"/>
        </w:rPr>
        <w:t>no ano</w:t>
      </w:r>
      <w:r>
        <w:rPr>
          <w:rFonts w:ascii="Arial MT" w:hAnsi="Arial MT"/>
          <w:spacing w:val="-1"/>
        </w:rPr>
        <w:t xml:space="preserve"> </w:t>
      </w:r>
      <w:r>
        <w:rPr>
          <w:rFonts w:ascii="Arial MT" w:hAnsi="Arial MT"/>
        </w:rPr>
        <w:t>anterior. Apesar do</w:t>
      </w:r>
      <w:r>
        <w:rPr>
          <w:rFonts w:ascii="Arial MT" w:hAnsi="Arial MT"/>
          <w:spacing w:val="-1"/>
        </w:rPr>
        <w:t xml:space="preserve"> </w:t>
      </w:r>
      <w:r>
        <w:rPr>
          <w:rFonts w:ascii="Arial MT" w:hAnsi="Arial MT"/>
        </w:rPr>
        <w:t>aumento no</w:t>
      </w:r>
      <w:r>
        <w:rPr>
          <w:rFonts w:ascii="Arial MT" w:hAnsi="Arial MT"/>
          <w:spacing w:val="-1"/>
        </w:rPr>
        <w:t xml:space="preserve"> </w:t>
      </w:r>
      <w:r>
        <w:rPr>
          <w:rFonts w:ascii="Arial MT" w:hAnsi="Arial MT"/>
        </w:rPr>
        <w:t>número de clientes atendidos em comparação ao ano anterior, o resultado apresentou retração devido à redução dos pontos ativos do Programa GESAC, o que ocasionou diminuição da receita no período.</w:t>
      </w:r>
    </w:p>
    <w:p w14:paraId="73A91A9B" w14:textId="77777777" w:rsidR="002C6574" w:rsidRDefault="002C6574">
      <w:pPr>
        <w:pStyle w:val="Corpodetexto"/>
        <w:spacing w:before="1"/>
        <w:rPr>
          <w:rFonts w:ascii="Arial MT"/>
        </w:rPr>
      </w:pPr>
    </w:p>
    <w:p w14:paraId="396E9F2D" w14:textId="77777777" w:rsidR="002C6574" w:rsidRDefault="00000000">
      <w:pPr>
        <w:pStyle w:val="Ttulo8"/>
        <w:jc w:val="both"/>
        <w:rPr>
          <w:rFonts w:ascii="Arial" w:hAnsi="Arial"/>
        </w:rPr>
      </w:pPr>
      <w:r>
        <w:rPr>
          <w:rFonts w:ascii="Arial" w:hAnsi="Arial"/>
          <w:smallCaps/>
          <w:u w:val="single"/>
        </w:rPr>
        <w:t>Deduções</w:t>
      </w:r>
      <w:r>
        <w:rPr>
          <w:rFonts w:ascii="Arial" w:hAnsi="Arial"/>
          <w:smallCaps/>
          <w:spacing w:val="28"/>
          <w:u w:val="single"/>
        </w:rPr>
        <w:t xml:space="preserve"> </w:t>
      </w:r>
      <w:r>
        <w:rPr>
          <w:rFonts w:ascii="Arial" w:hAnsi="Arial"/>
          <w:smallCaps/>
          <w:u w:val="single"/>
        </w:rPr>
        <w:t>da</w:t>
      </w:r>
      <w:r>
        <w:rPr>
          <w:rFonts w:ascii="Arial" w:hAnsi="Arial"/>
          <w:smallCaps/>
          <w:spacing w:val="30"/>
          <w:u w:val="single"/>
        </w:rPr>
        <w:t xml:space="preserve"> </w:t>
      </w:r>
      <w:r>
        <w:rPr>
          <w:rFonts w:ascii="Arial" w:hAnsi="Arial"/>
          <w:smallCaps/>
          <w:u w:val="single"/>
        </w:rPr>
        <w:t>Receita</w:t>
      </w:r>
      <w:r>
        <w:rPr>
          <w:rFonts w:ascii="Arial" w:hAnsi="Arial"/>
          <w:smallCaps/>
          <w:spacing w:val="30"/>
          <w:u w:val="single"/>
        </w:rPr>
        <w:t xml:space="preserve"> </w:t>
      </w:r>
      <w:r>
        <w:rPr>
          <w:rFonts w:ascii="Arial" w:hAnsi="Arial"/>
          <w:smallCaps/>
          <w:u w:val="single"/>
        </w:rPr>
        <w:t>Operacional</w:t>
      </w:r>
      <w:r>
        <w:rPr>
          <w:rFonts w:ascii="Arial" w:hAnsi="Arial"/>
          <w:smallCaps/>
          <w:spacing w:val="33"/>
          <w:u w:val="single"/>
        </w:rPr>
        <w:t xml:space="preserve"> </w:t>
      </w:r>
      <w:r>
        <w:rPr>
          <w:rFonts w:ascii="Arial" w:hAnsi="Arial"/>
          <w:smallCaps/>
          <w:spacing w:val="-4"/>
          <w:u w:val="single"/>
        </w:rPr>
        <w:t>Bruta</w:t>
      </w:r>
    </w:p>
    <w:p w14:paraId="63DD5D48" w14:textId="77777777" w:rsidR="002C6574" w:rsidRDefault="002C6574">
      <w:pPr>
        <w:pStyle w:val="Corpodetexto"/>
        <w:spacing w:before="23"/>
        <w:rPr>
          <w:rFonts w:ascii="Arial"/>
          <w:b/>
        </w:rPr>
      </w:pPr>
    </w:p>
    <w:p w14:paraId="3E508E7D" w14:textId="77777777" w:rsidR="002C6574" w:rsidRDefault="00000000">
      <w:pPr>
        <w:pStyle w:val="Corpodetexto"/>
        <w:ind w:left="427"/>
        <w:rPr>
          <w:rFonts w:ascii="Arial MT" w:hAnsi="Arial MT"/>
        </w:rPr>
      </w:pPr>
      <w:r>
        <w:rPr>
          <w:rFonts w:ascii="Arial MT" w:hAnsi="Arial MT"/>
        </w:rPr>
        <w:t>Em 2025, as Deduções da Receita Operacional Bruta, que incluem tributos, descontos e cancelamentos</w:t>
      </w:r>
      <w:r>
        <w:rPr>
          <w:rFonts w:ascii="Arial MT" w:hAnsi="Arial MT"/>
          <w:spacing w:val="80"/>
        </w:rPr>
        <w:t xml:space="preserve"> </w:t>
      </w:r>
      <w:r>
        <w:rPr>
          <w:rFonts w:ascii="Arial MT" w:hAnsi="Arial MT"/>
        </w:rPr>
        <w:t>incidentes</w:t>
      </w:r>
      <w:r>
        <w:rPr>
          <w:rFonts w:ascii="Arial MT" w:hAnsi="Arial MT"/>
          <w:spacing w:val="38"/>
        </w:rPr>
        <w:t xml:space="preserve"> </w:t>
      </w:r>
      <w:r>
        <w:rPr>
          <w:rFonts w:ascii="Arial MT" w:hAnsi="Arial MT"/>
        </w:rPr>
        <w:t>sobre</w:t>
      </w:r>
      <w:r>
        <w:rPr>
          <w:rFonts w:ascii="Arial MT" w:hAnsi="Arial MT"/>
          <w:spacing w:val="36"/>
        </w:rPr>
        <w:t xml:space="preserve"> </w:t>
      </w:r>
      <w:r>
        <w:rPr>
          <w:rFonts w:ascii="Arial MT" w:hAnsi="Arial MT"/>
        </w:rPr>
        <w:t>a</w:t>
      </w:r>
      <w:r>
        <w:rPr>
          <w:rFonts w:ascii="Arial MT" w:hAnsi="Arial MT"/>
          <w:spacing w:val="36"/>
        </w:rPr>
        <w:t xml:space="preserve"> </w:t>
      </w:r>
      <w:r>
        <w:rPr>
          <w:rFonts w:ascii="Arial MT" w:hAnsi="Arial MT"/>
        </w:rPr>
        <w:t>Receita</w:t>
      </w:r>
      <w:r>
        <w:rPr>
          <w:rFonts w:ascii="Arial MT" w:hAnsi="Arial MT"/>
          <w:spacing w:val="36"/>
        </w:rPr>
        <w:t xml:space="preserve"> </w:t>
      </w:r>
      <w:r>
        <w:rPr>
          <w:rFonts w:ascii="Arial MT" w:hAnsi="Arial MT"/>
        </w:rPr>
        <w:t>Operacional</w:t>
      </w:r>
      <w:r>
        <w:rPr>
          <w:rFonts w:ascii="Arial MT" w:hAnsi="Arial MT"/>
          <w:spacing w:val="36"/>
        </w:rPr>
        <w:t xml:space="preserve"> </w:t>
      </w:r>
      <w:r>
        <w:rPr>
          <w:rFonts w:ascii="Arial MT" w:hAnsi="Arial MT"/>
        </w:rPr>
        <w:t>Bruta,</w:t>
      </w:r>
      <w:r>
        <w:rPr>
          <w:rFonts w:ascii="Arial MT" w:hAnsi="Arial MT"/>
          <w:spacing w:val="34"/>
        </w:rPr>
        <w:t xml:space="preserve"> </w:t>
      </w:r>
      <w:r>
        <w:rPr>
          <w:rFonts w:ascii="Arial MT" w:hAnsi="Arial MT"/>
        </w:rPr>
        <w:t>apresentaram</w:t>
      </w:r>
      <w:r>
        <w:rPr>
          <w:rFonts w:ascii="Arial MT" w:hAnsi="Arial MT"/>
          <w:spacing w:val="35"/>
        </w:rPr>
        <w:t xml:space="preserve"> </w:t>
      </w:r>
      <w:r>
        <w:rPr>
          <w:rFonts w:ascii="Arial MT" w:hAnsi="Arial MT"/>
        </w:rPr>
        <w:t>crescimento</w:t>
      </w:r>
      <w:r>
        <w:rPr>
          <w:rFonts w:ascii="Arial MT" w:hAnsi="Arial MT"/>
          <w:spacing w:val="36"/>
        </w:rPr>
        <w:t xml:space="preserve"> </w:t>
      </w:r>
      <w:r>
        <w:rPr>
          <w:rFonts w:ascii="Arial MT" w:hAnsi="Arial MT"/>
        </w:rPr>
        <w:t>de</w:t>
      </w:r>
      <w:r>
        <w:rPr>
          <w:rFonts w:ascii="Arial MT" w:hAnsi="Arial MT"/>
          <w:spacing w:val="36"/>
        </w:rPr>
        <w:t xml:space="preserve"> </w:t>
      </w:r>
      <w:r>
        <w:rPr>
          <w:rFonts w:ascii="Arial MT" w:hAnsi="Arial MT"/>
        </w:rPr>
        <w:t>3,8%</w:t>
      </w:r>
      <w:r>
        <w:rPr>
          <w:rFonts w:ascii="Arial MT" w:hAnsi="Arial MT"/>
          <w:spacing w:val="38"/>
        </w:rPr>
        <w:t xml:space="preserve"> </w:t>
      </w:r>
      <w:r>
        <w:rPr>
          <w:rFonts w:ascii="Arial MT" w:hAnsi="Arial MT"/>
        </w:rPr>
        <w:t>em</w:t>
      </w:r>
      <w:r>
        <w:rPr>
          <w:rFonts w:ascii="Arial MT" w:hAnsi="Arial MT"/>
          <w:spacing w:val="35"/>
        </w:rPr>
        <w:t xml:space="preserve"> </w:t>
      </w:r>
      <w:r>
        <w:rPr>
          <w:rFonts w:ascii="Arial MT" w:hAnsi="Arial MT"/>
        </w:rPr>
        <w:t>relação</w:t>
      </w:r>
      <w:r>
        <w:rPr>
          <w:rFonts w:ascii="Arial MT" w:hAnsi="Arial MT"/>
          <w:spacing w:val="36"/>
        </w:rPr>
        <w:t xml:space="preserve"> </w:t>
      </w:r>
      <w:r>
        <w:rPr>
          <w:rFonts w:ascii="Arial MT" w:hAnsi="Arial MT"/>
        </w:rPr>
        <w:t>a</w:t>
      </w:r>
      <w:r>
        <w:rPr>
          <w:rFonts w:ascii="Arial MT" w:hAnsi="Arial MT"/>
          <w:spacing w:val="36"/>
        </w:rPr>
        <w:t xml:space="preserve"> </w:t>
      </w:r>
      <w:r>
        <w:rPr>
          <w:rFonts w:ascii="Arial MT" w:hAnsi="Arial MT"/>
        </w:rPr>
        <w:t>2024.</w:t>
      </w:r>
    </w:p>
    <w:p w14:paraId="33772A80" w14:textId="77777777" w:rsidR="002C6574" w:rsidRDefault="002C6574">
      <w:pPr>
        <w:pStyle w:val="Corpodetexto"/>
        <w:spacing w:before="239"/>
        <w:rPr>
          <w:rFonts w:ascii="Arial MT"/>
        </w:rPr>
      </w:pPr>
    </w:p>
    <w:p w14:paraId="7DA64936" w14:textId="77777777" w:rsidR="002C6574" w:rsidRDefault="00000000">
      <w:pPr>
        <w:pStyle w:val="Ttulo8"/>
        <w:spacing w:before="1"/>
        <w:rPr>
          <w:rFonts w:ascii="Arial" w:hAnsi="Arial"/>
        </w:rPr>
      </w:pPr>
      <w:r>
        <w:rPr>
          <w:rFonts w:ascii="Arial" w:hAnsi="Arial"/>
          <w:smallCaps/>
          <w:u w:val="single"/>
        </w:rPr>
        <w:t>Comportamento</w:t>
      </w:r>
      <w:r>
        <w:rPr>
          <w:rFonts w:ascii="Arial" w:hAnsi="Arial"/>
          <w:smallCaps/>
          <w:spacing w:val="25"/>
          <w:u w:val="single"/>
        </w:rPr>
        <w:t xml:space="preserve"> </w:t>
      </w:r>
      <w:r>
        <w:rPr>
          <w:rFonts w:ascii="Arial" w:hAnsi="Arial"/>
          <w:smallCaps/>
          <w:u w:val="single"/>
        </w:rPr>
        <w:t>da</w:t>
      </w:r>
      <w:r>
        <w:rPr>
          <w:rFonts w:ascii="Arial" w:hAnsi="Arial"/>
          <w:smallCaps/>
          <w:spacing w:val="37"/>
          <w:u w:val="single"/>
        </w:rPr>
        <w:t xml:space="preserve"> </w:t>
      </w:r>
      <w:r>
        <w:rPr>
          <w:rFonts w:ascii="Arial" w:hAnsi="Arial"/>
          <w:smallCaps/>
          <w:u w:val="single"/>
        </w:rPr>
        <w:t>Receita</w:t>
      </w:r>
      <w:r>
        <w:rPr>
          <w:rFonts w:ascii="Arial" w:hAnsi="Arial"/>
          <w:smallCaps/>
          <w:spacing w:val="28"/>
          <w:u w:val="single"/>
        </w:rPr>
        <w:t xml:space="preserve"> </w:t>
      </w:r>
      <w:r>
        <w:rPr>
          <w:rFonts w:ascii="Arial" w:hAnsi="Arial"/>
          <w:smallCaps/>
          <w:u w:val="single"/>
        </w:rPr>
        <w:t>Líquida</w:t>
      </w:r>
      <w:r>
        <w:rPr>
          <w:rFonts w:ascii="Arial" w:hAnsi="Arial"/>
          <w:smallCaps/>
          <w:spacing w:val="27"/>
          <w:u w:val="single"/>
        </w:rPr>
        <w:t xml:space="preserve"> </w:t>
      </w:r>
      <w:r>
        <w:rPr>
          <w:rFonts w:ascii="Arial" w:hAnsi="Arial"/>
          <w:smallCaps/>
          <w:u w:val="single"/>
        </w:rPr>
        <w:t>Operacional</w:t>
      </w:r>
      <w:r>
        <w:rPr>
          <w:rFonts w:ascii="Arial" w:hAnsi="Arial"/>
          <w:smallCaps/>
          <w:spacing w:val="32"/>
          <w:u w:val="single"/>
        </w:rPr>
        <w:t xml:space="preserve"> </w:t>
      </w:r>
      <w:r>
        <w:rPr>
          <w:rFonts w:ascii="Arial" w:hAnsi="Arial"/>
          <w:smallCaps/>
          <w:u w:val="single"/>
        </w:rPr>
        <w:t>–</w:t>
      </w:r>
      <w:r>
        <w:rPr>
          <w:rFonts w:ascii="Arial" w:hAnsi="Arial"/>
          <w:smallCaps/>
          <w:spacing w:val="10"/>
          <w:u w:val="single"/>
        </w:rPr>
        <w:t xml:space="preserve"> </w:t>
      </w:r>
      <w:r>
        <w:rPr>
          <w:rFonts w:ascii="Arial" w:hAnsi="Arial"/>
          <w:smallCaps/>
          <w:u w:val="single"/>
        </w:rPr>
        <w:t>R$</w:t>
      </w:r>
      <w:r>
        <w:rPr>
          <w:rFonts w:ascii="Arial" w:hAnsi="Arial"/>
          <w:smallCaps/>
          <w:spacing w:val="10"/>
          <w:u w:val="single"/>
        </w:rPr>
        <w:t xml:space="preserve"> </w:t>
      </w:r>
      <w:r>
        <w:rPr>
          <w:rFonts w:ascii="Arial" w:hAnsi="Arial"/>
          <w:smallCaps/>
          <w:spacing w:val="-5"/>
          <w:u w:val="single"/>
        </w:rPr>
        <w:t>mil</w:t>
      </w:r>
    </w:p>
    <w:p w14:paraId="6F539F37" w14:textId="77777777" w:rsidR="002C6574" w:rsidRDefault="00000000">
      <w:pPr>
        <w:pStyle w:val="Corpodetexto"/>
        <w:spacing w:before="62"/>
        <w:rPr>
          <w:rFonts w:ascii="Arial"/>
          <w:b/>
          <w:sz w:val="20"/>
        </w:rPr>
      </w:pPr>
      <w:r>
        <w:rPr>
          <w:rFonts w:ascii="Arial"/>
          <w:b/>
          <w:noProof/>
          <w:sz w:val="20"/>
        </w:rPr>
        <mc:AlternateContent>
          <mc:Choice Requires="wpg">
            <w:drawing>
              <wp:anchor distT="0" distB="0" distL="0" distR="0" simplePos="0" relativeHeight="487615488" behindDoc="1" locked="0" layoutInCell="1" allowOverlap="1" wp14:anchorId="7533BD9E" wp14:editId="5CFE42F8">
                <wp:simplePos x="0" y="0"/>
                <wp:positionH relativeFrom="page">
                  <wp:posOffset>680084</wp:posOffset>
                </wp:positionH>
                <wp:positionV relativeFrom="paragraph">
                  <wp:posOffset>200965</wp:posOffset>
                </wp:positionV>
                <wp:extent cx="6337300" cy="1886585"/>
                <wp:effectExtent l="0" t="0" r="0" b="0"/>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7300" cy="1886585"/>
                          <a:chOff x="0" y="0"/>
                          <a:chExt cx="6337300" cy="1886585"/>
                        </a:xfrm>
                      </wpg:grpSpPr>
                      <wps:wsp>
                        <wps:cNvPr id="303" name="Graphic 303"/>
                        <wps:cNvSpPr/>
                        <wps:spPr>
                          <a:xfrm>
                            <a:off x="2725039" y="575741"/>
                            <a:ext cx="3422650" cy="1102360"/>
                          </a:xfrm>
                          <a:custGeom>
                            <a:avLst/>
                            <a:gdLst/>
                            <a:ahLst/>
                            <a:cxnLst/>
                            <a:rect l="l" t="t" r="r" b="b"/>
                            <a:pathLst>
                              <a:path w="3422650" h="1102360">
                                <a:moveTo>
                                  <a:pt x="253492" y="845172"/>
                                </a:moveTo>
                                <a:lnTo>
                                  <a:pt x="0" y="845172"/>
                                </a:lnTo>
                                <a:lnTo>
                                  <a:pt x="0" y="1101864"/>
                                </a:lnTo>
                                <a:lnTo>
                                  <a:pt x="253492" y="1101864"/>
                                </a:lnTo>
                                <a:lnTo>
                                  <a:pt x="253492" y="845172"/>
                                </a:lnTo>
                                <a:close/>
                              </a:path>
                              <a:path w="3422650" h="1102360">
                                <a:moveTo>
                                  <a:pt x="887209" y="855192"/>
                                </a:moveTo>
                                <a:lnTo>
                                  <a:pt x="633730" y="855192"/>
                                </a:lnTo>
                                <a:lnTo>
                                  <a:pt x="633730" y="1101864"/>
                                </a:lnTo>
                                <a:lnTo>
                                  <a:pt x="887209" y="1101864"/>
                                </a:lnTo>
                                <a:lnTo>
                                  <a:pt x="887209" y="855192"/>
                                </a:lnTo>
                                <a:close/>
                              </a:path>
                              <a:path w="3422650" h="1102360">
                                <a:moveTo>
                                  <a:pt x="1520952" y="863676"/>
                                </a:moveTo>
                                <a:lnTo>
                                  <a:pt x="1267460" y="863676"/>
                                </a:lnTo>
                                <a:lnTo>
                                  <a:pt x="1267460" y="1101864"/>
                                </a:lnTo>
                                <a:lnTo>
                                  <a:pt x="1520952" y="1101864"/>
                                </a:lnTo>
                                <a:lnTo>
                                  <a:pt x="1520952" y="863676"/>
                                </a:lnTo>
                                <a:close/>
                              </a:path>
                              <a:path w="3422650" h="1102360">
                                <a:moveTo>
                                  <a:pt x="2154682" y="741591"/>
                                </a:moveTo>
                                <a:lnTo>
                                  <a:pt x="1901190" y="741591"/>
                                </a:lnTo>
                                <a:lnTo>
                                  <a:pt x="1901190" y="1101864"/>
                                </a:lnTo>
                                <a:lnTo>
                                  <a:pt x="2154682" y="1101864"/>
                                </a:lnTo>
                                <a:lnTo>
                                  <a:pt x="2154682" y="741591"/>
                                </a:lnTo>
                                <a:close/>
                              </a:path>
                              <a:path w="3422650" h="1102360">
                                <a:moveTo>
                                  <a:pt x="3422142" y="0"/>
                                </a:moveTo>
                                <a:lnTo>
                                  <a:pt x="3168650" y="0"/>
                                </a:lnTo>
                                <a:lnTo>
                                  <a:pt x="3168650" y="1101864"/>
                                </a:lnTo>
                                <a:lnTo>
                                  <a:pt x="3422142" y="1101864"/>
                                </a:lnTo>
                                <a:lnTo>
                                  <a:pt x="3422142" y="0"/>
                                </a:lnTo>
                                <a:close/>
                              </a:path>
                            </a:pathLst>
                          </a:custGeom>
                          <a:solidFill>
                            <a:srgbClr val="0000CC"/>
                          </a:solidFill>
                        </wps:spPr>
                        <wps:bodyPr wrap="square" lIns="0" tIns="0" rIns="0" bIns="0" rtlCol="0">
                          <a:prstTxWarp prst="textNoShape">
                            <a:avLst/>
                          </a:prstTxWarp>
                          <a:noAutofit/>
                        </wps:bodyPr>
                      </wps:wsp>
                      <wps:wsp>
                        <wps:cNvPr id="304" name="Graphic 304"/>
                        <wps:cNvSpPr/>
                        <wps:spPr>
                          <a:xfrm>
                            <a:off x="190119" y="747204"/>
                            <a:ext cx="5323840" cy="930910"/>
                          </a:xfrm>
                          <a:custGeom>
                            <a:avLst/>
                            <a:gdLst/>
                            <a:ahLst/>
                            <a:cxnLst/>
                            <a:rect l="l" t="t" r="r" b="b"/>
                            <a:pathLst>
                              <a:path w="5323840" h="930910">
                                <a:moveTo>
                                  <a:pt x="252984" y="754380"/>
                                </a:moveTo>
                                <a:lnTo>
                                  <a:pt x="0" y="754380"/>
                                </a:lnTo>
                                <a:lnTo>
                                  <a:pt x="0" y="930402"/>
                                </a:lnTo>
                                <a:lnTo>
                                  <a:pt x="252984" y="930402"/>
                                </a:lnTo>
                                <a:lnTo>
                                  <a:pt x="252984" y="754380"/>
                                </a:lnTo>
                                <a:close/>
                              </a:path>
                              <a:path w="5323840" h="930910">
                                <a:moveTo>
                                  <a:pt x="886968" y="707136"/>
                                </a:moveTo>
                                <a:lnTo>
                                  <a:pt x="633984" y="707136"/>
                                </a:lnTo>
                                <a:lnTo>
                                  <a:pt x="633984" y="930402"/>
                                </a:lnTo>
                                <a:lnTo>
                                  <a:pt x="886968" y="930402"/>
                                </a:lnTo>
                                <a:lnTo>
                                  <a:pt x="886968" y="707136"/>
                                </a:lnTo>
                                <a:close/>
                              </a:path>
                              <a:path w="5323840" h="930910">
                                <a:moveTo>
                                  <a:pt x="1520952" y="696468"/>
                                </a:moveTo>
                                <a:lnTo>
                                  <a:pt x="1267968" y="696468"/>
                                </a:lnTo>
                                <a:lnTo>
                                  <a:pt x="1267968" y="930402"/>
                                </a:lnTo>
                                <a:lnTo>
                                  <a:pt x="1520952" y="930402"/>
                                </a:lnTo>
                                <a:lnTo>
                                  <a:pt x="1520952" y="696468"/>
                                </a:lnTo>
                                <a:close/>
                              </a:path>
                              <a:path w="5323840" h="930910">
                                <a:moveTo>
                                  <a:pt x="2154936" y="635508"/>
                                </a:moveTo>
                                <a:lnTo>
                                  <a:pt x="1901952" y="635508"/>
                                </a:lnTo>
                                <a:lnTo>
                                  <a:pt x="1901952" y="930402"/>
                                </a:lnTo>
                                <a:lnTo>
                                  <a:pt x="2154936" y="930402"/>
                                </a:lnTo>
                                <a:lnTo>
                                  <a:pt x="2154936" y="635508"/>
                                </a:lnTo>
                                <a:close/>
                              </a:path>
                              <a:path w="5323840" h="930910">
                                <a:moveTo>
                                  <a:pt x="5323332" y="0"/>
                                </a:moveTo>
                                <a:lnTo>
                                  <a:pt x="5070348" y="0"/>
                                </a:lnTo>
                                <a:lnTo>
                                  <a:pt x="5070348" y="930402"/>
                                </a:lnTo>
                                <a:lnTo>
                                  <a:pt x="5323332" y="930402"/>
                                </a:lnTo>
                                <a:lnTo>
                                  <a:pt x="5323332" y="0"/>
                                </a:lnTo>
                                <a:close/>
                              </a:path>
                            </a:pathLst>
                          </a:custGeom>
                          <a:solidFill>
                            <a:srgbClr val="00FFFF"/>
                          </a:solidFill>
                        </wps:spPr>
                        <wps:bodyPr wrap="square" lIns="0" tIns="0" rIns="0" bIns="0" rtlCol="0">
                          <a:prstTxWarp prst="textNoShape">
                            <a:avLst/>
                          </a:prstTxWarp>
                          <a:noAutofit/>
                        </wps:bodyPr>
                      </wps:wsp>
                      <wps:wsp>
                        <wps:cNvPr id="305" name="Graphic 305"/>
                        <wps:cNvSpPr/>
                        <wps:spPr>
                          <a:xfrm>
                            <a:off x="0" y="1677606"/>
                            <a:ext cx="6337300" cy="1270"/>
                          </a:xfrm>
                          <a:custGeom>
                            <a:avLst/>
                            <a:gdLst/>
                            <a:ahLst/>
                            <a:cxnLst/>
                            <a:rect l="l" t="t" r="r" b="b"/>
                            <a:pathLst>
                              <a:path w="6337300">
                                <a:moveTo>
                                  <a:pt x="0" y="0"/>
                                </a:moveTo>
                                <a:lnTo>
                                  <a:pt x="6337299" y="0"/>
                                </a:lnTo>
                              </a:path>
                            </a:pathLst>
                          </a:custGeom>
                          <a:ln w="9525">
                            <a:solidFill>
                              <a:srgbClr val="D9D9D9"/>
                            </a:solidFill>
                            <a:prstDash val="solid"/>
                          </a:ln>
                        </wps:spPr>
                        <wps:bodyPr wrap="square" lIns="0" tIns="0" rIns="0" bIns="0" rtlCol="0">
                          <a:prstTxWarp prst="textNoShape">
                            <a:avLst/>
                          </a:prstTxWarp>
                          <a:noAutofit/>
                        </wps:bodyPr>
                      </wps:wsp>
                      <wps:wsp>
                        <wps:cNvPr id="306" name="Graphic 306"/>
                        <wps:cNvSpPr/>
                        <wps:spPr>
                          <a:xfrm>
                            <a:off x="2266314" y="171767"/>
                            <a:ext cx="2781300" cy="1714500"/>
                          </a:xfrm>
                          <a:custGeom>
                            <a:avLst/>
                            <a:gdLst/>
                            <a:ahLst/>
                            <a:cxnLst/>
                            <a:rect l="l" t="t" r="r" b="b"/>
                            <a:pathLst>
                              <a:path w="2781300" h="1714500">
                                <a:moveTo>
                                  <a:pt x="2781300" y="0"/>
                                </a:moveTo>
                                <a:lnTo>
                                  <a:pt x="2781300" y="1714499"/>
                                </a:lnTo>
                              </a:path>
                              <a:path w="2781300" h="1714500">
                                <a:moveTo>
                                  <a:pt x="0" y="476250"/>
                                </a:moveTo>
                                <a:lnTo>
                                  <a:pt x="1066800" y="476250"/>
                                </a:lnTo>
                              </a:path>
                              <a:path w="2781300" h="1714500">
                                <a:moveTo>
                                  <a:pt x="1631950" y="476250"/>
                                </a:moveTo>
                                <a:lnTo>
                                  <a:pt x="2470150" y="476250"/>
                                </a:lnTo>
                              </a:path>
                              <a:path w="2781300" h="1714500">
                                <a:moveTo>
                                  <a:pt x="0" y="508000"/>
                                </a:moveTo>
                                <a:lnTo>
                                  <a:pt x="0" y="977900"/>
                                </a:lnTo>
                              </a:path>
                              <a:path w="2781300" h="1714500">
                                <a:moveTo>
                                  <a:pt x="2463800" y="476250"/>
                                </a:moveTo>
                                <a:lnTo>
                                  <a:pt x="2470150" y="939800"/>
                                </a:lnTo>
                              </a:path>
                            </a:pathLst>
                          </a:custGeom>
                          <a:ln w="19050">
                            <a:solidFill>
                              <a:srgbClr val="4AACC5"/>
                            </a:solidFill>
                            <a:prstDash val="sysDash"/>
                          </a:ln>
                        </wps:spPr>
                        <wps:bodyPr wrap="square" lIns="0" tIns="0" rIns="0" bIns="0" rtlCol="0">
                          <a:prstTxWarp prst="textNoShape">
                            <a:avLst/>
                          </a:prstTxWarp>
                          <a:noAutofit/>
                        </wps:bodyPr>
                      </wps:wsp>
                      <wps:wsp>
                        <wps:cNvPr id="307" name="Textbox 307"/>
                        <wps:cNvSpPr txBox="1"/>
                        <wps:spPr>
                          <a:xfrm>
                            <a:off x="5829553" y="391382"/>
                            <a:ext cx="427990" cy="128270"/>
                          </a:xfrm>
                          <a:prstGeom prst="rect">
                            <a:avLst/>
                          </a:prstGeom>
                        </wps:spPr>
                        <wps:txbx>
                          <w:txbxContent>
                            <w:p w14:paraId="3719B004" w14:textId="77777777" w:rsidR="002C6574" w:rsidRDefault="00000000">
                              <w:pPr>
                                <w:spacing w:line="201" w:lineRule="exact"/>
                                <w:rPr>
                                  <w:rFonts w:ascii="Arial"/>
                                  <w:b/>
                                  <w:sz w:val="18"/>
                                </w:rPr>
                              </w:pPr>
                              <w:r>
                                <w:rPr>
                                  <w:rFonts w:ascii="Arial"/>
                                  <w:b/>
                                  <w:color w:val="404040"/>
                                  <w:spacing w:val="-2"/>
                                  <w:sz w:val="18"/>
                                </w:rPr>
                                <w:t>491.009</w:t>
                              </w:r>
                            </w:p>
                          </w:txbxContent>
                        </wps:txbx>
                        <wps:bodyPr wrap="square" lIns="0" tIns="0" rIns="0" bIns="0" rtlCol="0">
                          <a:noAutofit/>
                        </wps:bodyPr>
                      </wps:wsp>
                      <wps:wsp>
                        <wps:cNvPr id="308" name="Textbox 308"/>
                        <wps:cNvSpPr txBox="1"/>
                        <wps:spPr>
                          <a:xfrm>
                            <a:off x="5195570" y="563213"/>
                            <a:ext cx="427990" cy="128270"/>
                          </a:xfrm>
                          <a:prstGeom prst="rect">
                            <a:avLst/>
                          </a:prstGeom>
                        </wps:spPr>
                        <wps:txbx>
                          <w:txbxContent>
                            <w:p w14:paraId="7439F32E" w14:textId="77777777" w:rsidR="002C6574" w:rsidRDefault="00000000">
                              <w:pPr>
                                <w:spacing w:line="201" w:lineRule="exact"/>
                                <w:rPr>
                                  <w:rFonts w:ascii="Arial"/>
                                  <w:b/>
                                  <w:sz w:val="18"/>
                                </w:rPr>
                              </w:pPr>
                              <w:r>
                                <w:rPr>
                                  <w:rFonts w:ascii="Arial"/>
                                  <w:b/>
                                  <w:color w:val="404040"/>
                                  <w:spacing w:val="-2"/>
                                  <w:sz w:val="18"/>
                                </w:rPr>
                                <w:t>414.315</w:t>
                              </w:r>
                            </w:p>
                          </w:txbxContent>
                        </wps:txbx>
                        <wps:bodyPr wrap="square" lIns="0" tIns="0" rIns="0" bIns="0" rtlCol="0">
                          <a:noAutofit/>
                        </wps:bodyPr>
                      </wps:wsp>
                      <wps:wsp>
                        <wps:cNvPr id="309" name="Textbox 309"/>
                        <wps:cNvSpPr txBox="1"/>
                        <wps:spPr>
                          <a:xfrm>
                            <a:off x="156895" y="1317085"/>
                            <a:ext cx="363855" cy="128270"/>
                          </a:xfrm>
                          <a:prstGeom prst="rect">
                            <a:avLst/>
                          </a:prstGeom>
                        </wps:spPr>
                        <wps:txbx>
                          <w:txbxContent>
                            <w:p w14:paraId="39C71D2C" w14:textId="77777777" w:rsidR="002C6574" w:rsidRDefault="00000000">
                              <w:pPr>
                                <w:spacing w:line="201" w:lineRule="exact"/>
                                <w:rPr>
                                  <w:rFonts w:ascii="Arial"/>
                                  <w:b/>
                                  <w:sz w:val="18"/>
                                </w:rPr>
                              </w:pPr>
                              <w:r>
                                <w:rPr>
                                  <w:rFonts w:ascii="Arial"/>
                                  <w:b/>
                                  <w:color w:val="404040"/>
                                  <w:spacing w:val="-2"/>
                                  <w:sz w:val="18"/>
                                </w:rPr>
                                <w:t>78.561</w:t>
                              </w:r>
                            </w:p>
                          </w:txbxContent>
                        </wps:txbx>
                        <wps:bodyPr wrap="square" lIns="0" tIns="0" rIns="0" bIns="0" rtlCol="0">
                          <a:noAutofit/>
                        </wps:bodyPr>
                      </wps:wsp>
                      <wps:wsp>
                        <wps:cNvPr id="310" name="Textbox 310"/>
                        <wps:cNvSpPr txBox="1"/>
                        <wps:spPr>
                          <a:xfrm>
                            <a:off x="790575" y="1269206"/>
                            <a:ext cx="363855" cy="128270"/>
                          </a:xfrm>
                          <a:prstGeom prst="rect">
                            <a:avLst/>
                          </a:prstGeom>
                        </wps:spPr>
                        <wps:txbx>
                          <w:txbxContent>
                            <w:p w14:paraId="5470C5F2" w14:textId="77777777" w:rsidR="002C6574" w:rsidRDefault="00000000">
                              <w:pPr>
                                <w:spacing w:line="201" w:lineRule="exact"/>
                                <w:rPr>
                                  <w:rFonts w:ascii="Arial"/>
                                  <w:b/>
                                  <w:sz w:val="18"/>
                                </w:rPr>
                              </w:pPr>
                              <w:r>
                                <w:rPr>
                                  <w:rFonts w:ascii="Arial"/>
                                  <w:b/>
                                  <w:color w:val="404040"/>
                                  <w:spacing w:val="-2"/>
                                  <w:sz w:val="18"/>
                                </w:rPr>
                                <w:t>99.800</w:t>
                              </w:r>
                            </w:p>
                          </w:txbxContent>
                        </wps:txbx>
                        <wps:bodyPr wrap="square" lIns="0" tIns="0" rIns="0" bIns="0" rtlCol="0">
                          <a:noAutofit/>
                        </wps:bodyPr>
                      </wps:wsp>
                      <wps:wsp>
                        <wps:cNvPr id="311" name="Textbox 311"/>
                        <wps:cNvSpPr txBox="1"/>
                        <wps:spPr>
                          <a:xfrm>
                            <a:off x="1392555" y="1258792"/>
                            <a:ext cx="427990" cy="128270"/>
                          </a:xfrm>
                          <a:prstGeom prst="rect">
                            <a:avLst/>
                          </a:prstGeom>
                        </wps:spPr>
                        <wps:txbx>
                          <w:txbxContent>
                            <w:p w14:paraId="4F45340B" w14:textId="77777777" w:rsidR="002C6574" w:rsidRDefault="00000000">
                              <w:pPr>
                                <w:spacing w:line="201" w:lineRule="exact"/>
                                <w:rPr>
                                  <w:rFonts w:ascii="Arial"/>
                                  <w:b/>
                                  <w:sz w:val="18"/>
                                </w:rPr>
                              </w:pPr>
                              <w:r>
                                <w:rPr>
                                  <w:rFonts w:ascii="Arial"/>
                                  <w:b/>
                                  <w:color w:val="404040"/>
                                  <w:spacing w:val="-2"/>
                                  <w:sz w:val="18"/>
                                </w:rPr>
                                <w:t>104.400</w:t>
                              </w:r>
                            </w:p>
                          </w:txbxContent>
                        </wps:txbx>
                        <wps:bodyPr wrap="square" lIns="0" tIns="0" rIns="0" bIns="0" rtlCol="0">
                          <a:noAutofit/>
                        </wps:bodyPr>
                      </wps:wsp>
                      <wps:wsp>
                        <wps:cNvPr id="312" name="Textbox 312"/>
                        <wps:cNvSpPr txBox="1"/>
                        <wps:spPr>
                          <a:xfrm>
                            <a:off x="2026285" y="1197832"/>
                            <a:ext cx="427990" cy="128270"/>
                          </a:xfrm>
                          <a:prstGeom prst="rect">
                            <a:avLst/>
                          </a:prstGeom>
                        </wps:spPr>
                        <wps:txbx>
                          <w:txbxContent>
                            <w:p w14:paraId="382FCCF7" w14:textId="77777777" w:rsidR="002C6574" w:rsidRDefault="00000000">
                              <w:pPr>
                                <w:spacing w:line="201" w:lineRule="exact"/>
                                <w:rPr>
                                  <w:rFonts w:ascii="Arial"/>
                                  <w:b/>
                                  <w:sz w:val="18"/>
                                </w:rPr>
                              </w:pPr>
                              <w:r>
                                <w:rPr>
                                  <w:rFonts w:ascii="Arial"/>
                                  <w:b/>
                                  <w:color w:val="404040"/>
                                  <w:spacing w:val="-2"/>
                                  <w:sz w:val="18"/>
                                </w:rPr>
                                <w:t>131.600</w:t>
                              </w:r>
                            </w:p>
                          </w:txbxContent>
                        </wps:txbx>
                        <wps:bodyPr wrap="square" lIns="0" tIns="0" rIns="0" bIns="0" rtlCol="0">
                          <a:noAutofit/>
                        </wps:bodyPr>
                      </wps:wsp>
                      <wps:wsp>
                        <wps:cNvPr id="313" name="Textbox 313"/>
                        <wps:cNvSpPr txBox="1"/>
                        <wps:spPr>
                          <a:xfrm>
                            <a:off x="4561585" y="1132935"/>
                            <a:ext cx="429895" cy="128270"/>
                          </a:xfrm>
                          <a:prstGeom prst="rect">
                            <a:avLst/>
                          </a:prstGeom>
                        </wps:spPr>
                        <wps:txbx>
                          <w:txbxContent>
                            <w:p w14:paraId="7D22F3DD" w14:textId="77777777" w:rsidR="002C6574" w:rsidRDefault="00000000">
                              <w:pPr>
                                <w:spacing w:line="201" w:lineRule="exact"/>
                                <w:rPr>
                                  <w:rFonts w:ascii="Arial"/>
                                  <w:b/>
                                  <w:sz w:val="18"/>
                                </w:rPr>
                              </w:pPr>
                              <w:r>
                                <w:rPr>
                                  <w:rFonts w:ascii="Arial"/>
                                  <w:b/>
                                  <w:color w:val="404040"/>
                                  <w:spacing w:val="-2"/>
                                  <w:sz w:val="18"/>
                                </w:rPr>
                                <w:t>160.550</w:t>
                              </w:r>
                            </w:p>
                          </w:txbxContent>
                        </wps:txbx>
                        <wps:bodyPr wrap="square" lIns="0" tIns="0" rIns="0" bIns="0" rtlCol="0">
                          <a:noAutofit/>
                        </wps:bodyPr>
                      </wps:wsp>
                      <wps:wsp>
                        <wps:cNvPr id="314" name="Textbox 314"/>
                        <wps:cNvSpPr txBox="1"/>
                        <wps:spPr>
                          <a:xfrm>
                            <a:off x="2660269" y="1236567"/>
                            <a:ext cx="1695450" cy="146685"/>
                          </a:xfrm>
                          <a:prstGeom prst="rect">
                            <a:avLst/>
                          </a:prstGeom>
                        </wps:spPr>
                        <wps:txbx>
                          <w:txbxContent>
                            <w:p w14:paraId="2EAAB878" w14:textId="77777777" w:rsidR="002C6574" w:rsidRDefault="00000000">
                              <w:pPr>
                                <w:tabs>
                                  <w:tab w:val="left" w:pos="997"/>
                                  <w:tab w:val="left" w:pos="1996"/>
                                </w:tabs>
                                <w:spacing w:line="230" w:lineRule="exact"/>
                                <w:rPr>
                                  <w:rFonts w:ascii="Arial"/>
                                  <w:b/>
                                  <w:sz w:val="18"/>
                                </w:rPr>
                              </w:pPr>
                              <w:r>
                                <w:rPr>
                                  <w:rFonts w:ascii="Arial"/>
                                  <w:b/>
                                  <w:color w:val="404040"/>
                                  <w:spacing w:val="-2"/>
                                  <w:position w:val="3"/>
                                  <w:sz w:val="18"/>
                                </w:rPr>
                                <w:t>114.387</w:t>
                              </w:r>
                              <w:r>
                                <w:rPr>
                                  <w:rFonts w:ascii="Arial"/>
                                  <w:b/>
                                  <w:color w:val="404040"/>
                                  <w:position w:val="3"/>
                                  <w:sz w:val="18"/>
                                </w:rPr>
                                <w:tab/>
                              </w:r>
                              <w:r>
                                <w:rPr>
                                  <w:rFonts w:ascii="Arial"/>
                                  <w:b/>
                                  <w:color w:val="404040"/>
                                  <w:spacing w:val="-2"/>
                                  <w:position w:val="1"/>
                                  <w:sz w:val="18"/>
                                </w:rPr>
                                <w:t>109.928</w:t>
                              </w:r>
                              <w:r>
                                <w:rPr>
                                  <w:rFonts w:ascii="Arial"/>
                                  <w:b/>
                                  <w:color w:val="404040"/>
                                  <w:position w:val="1"/>
                                  <w:sz w:val="18"/>
                                </w:rPr>
                                <w:tab/>
                              </w:r>
                              <w:r>
                                <w:rPr>
                                  <w:rFonts w:ascii="Arial"/>
                                  <w:b/>
                                  <w:color w:val="404040"/>
                                  <w:spacing w:val="-2"/>
                                  <w:sz w:val="18"/>
                                </w:rPr>
                                <w:t>106.140</w:t>
                              </w:r>
                            </w:p>
                          </w:txbxContent>
                        </wps:txbx>
                        <wps:bodyPr wrap="square" lIns="0" tIns="0" rIns="0" bIns="0" rtlCol="0">
                          <a:noAutofit/>
                        </wps:bodyPr>
                      </wps:wsp>
                      <wps:wsp>
                        <wps:cNvPr id="315" name="Textbox 315"/>
                        <wps:cNvSpPr txBox="1"/>
                        <wps:spPr>
                          <a:xfrm>
                            <a:off x="186766" y="1747742"/>
                            <a:ext cx="273050" cy="128270"/>
                          </a:xfrm>
                          <a:prstGeom prst="rect">
                            <a:avLst/>
                          </a:prstGeom>
                        </wps:spPr>
                        <wps:txbx>
                          <w:txbxContent>
                            <w:p w14:paraId="7B9E11DA" w14:textId="77777777" w:rsidR="002C6574" w:rsidRDefault="00000000">
                              <w:pPr>
                                <w:spacing w:line="201" w:lineRule="exact"/>
                                <w:rPr>
                                  <w:rFonts w:ascii="Arial"/>
                                  <w:b/>
                                  <w:sz w:val="18"/>
                                </w:rPr>
                              </w:pPr>
                              <w:r>
                                <w:rPr>
                                  <w:rFonts w:ascii="Arial"/>
                                  <w:b/>
                                  <w:color w:val="585858"/>
                                  <w:spacing w:val="-4"/>
                                  <w:sz w:val="18"/>
                                </w:rPr>
                                <w:t>1T24</w:t>
                              </w:r>
                            </w:p>
                          </w:txbxContent>
                        </wps:txbx>
                        <wps:bodyPr wrap="square" lIns="0" tIns="0" rIns="0" bIns="0" rtlCol="0">
                          <a:noAutofit/>
                        </wps:bodyPr>
                      </wps:wsp>
                      <wps:wsp>
                        <wps:cNvPr id="316" name="Textbox 316"/>
                        <wps:cNvSpPr txBox="1"/>
                        <wps:spPr>
                          <a:xfrm>
                            <a:off x="820800" y="1747742"/>
                            <a:ext cx="273050" cy="128270"/>
                          </a:xfrm>
                          <a:prstGeom prst="rect">
                            <a:avLst/>
                          </a:prstGeom>
                        </wps:spPr>
                        <wps:txbx>
                          <w:txbxContent>
                            <w:p w14:paraId="30760CFB" w14:textId="77777777" w:rsidR="002C6574" w:rsidRDefault="00000000">
                              <w:pPr>
                                <w:spacing w:line="201" w:lineRule="exact"/>
                                <w:rPr>
                                  <w:rFonts w:ascii="Arial"/>
                                  <w:b/>
                                  <w:sz w:val="18"/>
                                </w:rPr>
                              </w:pPr>
                              <w:r>
                                <w:rPr>
                                  <w:rFonts w:ascii="Arial"/>
                                  <w:b/>
                                  <w:color w:val="585858"/>
                                  <w:spacing w:val="-4"/>
                                  <w:sz w:val="18"/>
                                </w:rPr>
                                <w:t>2T24</w:t>
                              </w:r>
                            </w:p>
                          </w:txbxContent>
                        </wps:txbx>
                        <wps:bodyPr wrap="square" lIns="0" tIns="0" rIns="0" bIns="0" rtlCol="0">
                          <a:noAutofit/>
                        </wps:bodyPr>
                      </wps:wsp>
                      <wps:wsp>
                        <wps:cNvPr id="317" name="Textbox 317"/>
                        <wps:cNvSpPr txBox="1"/>
                        <wps:spPr>
                          <a:xfrm>
                            <a:off x="1454403" y="1747742"/>
                            <a:ext cx="273050" cy="128270"/>
                          </a:xfrm>
                          <a:prstGeom prst="rect">
                            <a:avLst/>
                          </a:prstGeom>
                        </wps:spPr>
                        <wps:txbx>
                          <w:txbxContent>
                            <w:p w14:paraId="206D6C4E" w14:textId="77777777" w:rsidR="002C6574" w:rsidRDefault="00000000">
                              <w:pPr>
                                <w:spacing w:line="201" w:lineRule="exact"/>
                                <w:rPr>
                                  <w:rFonts w:ascii="Arial"/>
                                  <w:b/>
                                  <w:sz w:val="18"/>
                                </w:rPr>
                              </w:pPr>
                              <w:r>
                                <w:rPr>
                                  <w:rFonts w:ascii="Arial"/>
                                  <w:b/>
                                  <w:color w:val="585858"/>
                                  <w:spacing w:val="-4"/>
                                  <w:sz w:val="18"/>
                                </w:rPr>
                                <w:t>3T24</w:t>
                              </w:r>
                            </w:p>
                          </w:txbxContent>
                        </wps:txbx>
                        <wps:bodyPr wrap="square" lIns="0" tIns="0" rIns="0" bIns="0" rtlCol="0">
                          <a:noAutofit/>
                        </wps:bodyPr>
                      </wps:wsp>
                      <wps:wsp>
                        <wps:cNvPr id="318" name="Textbox 318"/>
                        <wps:cNvSpPr txBox="1"/>
                        <wps:spPr>
                          <a:xfrm>
                            <a:off x="2088388" y="1747742"/>
                            <a:ext cx="273050" cy="128270"/>
                          </a:xfrm>
                          <a:prstGeom prst="rect">
                            <a:avLst/>
                          </a:prstGeom>
                        </wps:spPr>
                        <wps:txbx>
                          <w:txbxContent>
                            <w:p w14:paraId="654B75A1" w14:textId="77777777" w:rsidR="002C6574" w:rsidRDefault="00000000">
                              <w:pPr>
                                <w:spacing w:line="201" w:lineRule="exact"/>
                                <w:rPr>
                                  <w:rFonts w:ascii="Arial"/>
                                  <w:b/>
                                  <w:sz w:val="18"/>
                                </w:rPr>
                              </w:pPr>
                              <w:r>
                                <w:rPr>
                                  <w:rFonts w:ascii="Arial"/>
                                  <w:b/>
                                  <w:color w:val="585858"/>
                                  <w:spacing w:val="-4"/>
                                  <w:sz w:val="18"/>
                                </w:rPr>
                                <w:t>4T24</w:t>
                              </w:r>
                            </w:p>
                          </w:txbxContent>
                        </wps:txbx>
                        <wps:bodyPr wrap="square" lIns="0" tIns="0" rIns="0" bIns="0" rtlCol="0">
                          <a:noAutofit/>
                        </wps:bodyPr>
                      </wps:wsp>
                      <wps:wsp>
                        <wps:cNvPr id="319" name="Textbox 319"/>
                        <wps:cNvSpPr txBox="1"/>
                        <wps:spPr>
                          <a:xfrm>
                            <a:off x="2722117" y="1747742"/>
                            <a:ext cx="273050" cy="128270"/>
                          </a:xfrm>
                          <a:prstGeom prst="rect">
                            <a:avLst/>
                          </a:prstGeom>
                        </wps:spPr>
                        <wps:txbx>
                          <w:txbxContent>
                            <w:p w14:paraId="7E4C8B49" w14:textId="77777777" w:rsidR="002C6574" w:rsidRDefault="00000000">
                              <w:pPr>
                                <w:spacing w:line="201" w:lineRule="exact"/>
                                <w:rPr>
                                  <w:rFonts w:ascii="Arial"/>
                                  <w:b/>
                                  <w:sz w:val="18"/>
                                </w:rPr>
                              </w:pPr>
                              <w:r>
                                <w:rPr>
                                  <w:rFonts w:ascii="Arial"/>
                                  <w:b/>
                                  <w:color w:val="585858"/>
                                  <w:spacing w:val="-4"/>
                                  <w:sz w:val="18"/>
                                </w:rPr>
                                <w:t>1T25</w:t>
                              </w:r>
                            </w:p>
                          </w:txbxContent>
                        </wps:txbx>
                        <wps:bodyPr wrap="square" lIns="0" tIns="0" rIns="0" bIns="0" rtlCol="0">
                          <a:noAutofit/>
                        </wps:bodyPr>
                      </wps:wsp>
                      <wps:wsp>
                        <wps:cNvPr id="320" name="Textbox 320"/>
                        <wps:cNvSpPr txBox="1"/>
                        <wps:spPr>
                          <a:xfrm>
                            <a:off x="3356102" y="1747742"/>
                            <a:ext cx="273050" cy="128270"/>
                          </a:xfrm>
                          <a:prstGeom prst="rect">
                            <a:avLst/>
                          </a:prstGeom>
                        </wps:spPr>
                        <wps:txbx>
                          <w:txbxContent>
                            <w:p w14:paraId="62CE16F8" w14:textId="77777777" w:rsidR="002C6574" w:rsidRDefault="00000000">
                              <w:pPr>
                                <w:spacing w:line="201" w:lineRule="exact"/>
                                <w:rPr>
                                  <w:rFonts w:ascii="Arial"/>
                                  <w:b/>
                                  <w:sz w:val="18"/>
                                </w:rPr>
                              </w:pPr>
                              <w:r>
                                <w:rPr>
                                  <w:rFonts w:ascii="Arial"/>
                                  <w:b/>
                                  <w:color w:val="585858"/>
                                  <w:spacing w:val="-4"/>
                                  <w:sz w:val="18"/>
                                </w:rPr>
                                <w:t>2T25</w:t>
                              </w:r>
                            </w:p>
                          </w:txbxContent>
                        </wps:txbx>
                        <wps:bodyPr wrap="square" lIns="0" tIns="0" rIns="0" bIns="0" rtlCol="0">
                          <a:noAutofit/>
                        </wps:bodyPr>
                      </wps:wsp>
                      <wps:wsp>
                        <wps:cNvPr id="321" name="Textbox 321"/>
                        <wps:cNvSpPr txBox="1"/>
                        <wps:spPr>
                          <a:xfrm>
                            <a:off x="3989704" y="1747742"/>
                            <a:ext cx="273050" cy="128270"/>
                          </a:xfrm>
                          <a:prstGeom prst="rect">
                            <a:avLst/>
                          </a:prstGeom>
                        </wps:spPr>
                        <wps:txbx>
                          <w:txbxContent>
                            <w:p w14:paraId="0EFA470F" w14:textId="77777777" w:rsidR="002C6574" w:rsidRDefault="00000000">
                              <w:pPr>
                                <w:spacing w:line="201" w:lineRule="exact"/>
                                <w:rPr>
                                  <w:rFonts w:ascii="Arial"/>
                                  <w:b/>
                                  <w:sz w:val="18"/>
                                </w:rPr>
                              </w:pPr>
                              <w:r>
                                <w:rPr>
                                  <w:rFonts w:ascii="Arial"/>
                                  <w:b/>
                                  <w:color w:val="585858"/>
                                  <w:spacing w:val="-4"/>
                                  <w:sz w:val="18"/>
                                </w:rPr>
                                <w:t>3T25</w:t>
                              </w:r>
                            </w:p>
                          </w:txbxContent>
                        </wps:txbx>
                        <wps:bodyPr wrap="square" lIns="0" tIns="0" rIns="0" bIns="0" rtlCol="0">
                          <a:noAutofit/>
                        </wps:bodyPr>
                      </wps:wsp>
                      <wps:wsp>
                        <wps:cNvPr id="322" name="Textbox 322"/>
                        <wps:cNvSpPr txBox="1"/>
                        <wps:spPr>
                          <a:xfrm>
                            <a:off x="4623689" y="1747742"/>
                            <a:ext cx="273050" cy="128270"/>
                          </a:xfrm>
                          <a:prstGeom prst="rect">
                            <a:avLst/>
                          </a:prstGeom>
                        </wps:spPr>
                        <wps:txbx>
                          <w:txbxContent>
                            <w:p w14:paraId="27A83398" w14:textId="77777777" w:rsidR="002C6574" w:rsidRDefault="00000000">
                              <w:pPr>
                                <w:spacing w:line="201" w:lineRule="exact"/>
                                <w:rPr>
                                  <w:rFonts w:ascii="Arial"/>
                                  <w:b/>
                                  <w:sz w:val="18"/>
                                </w:rPr>
                              </w:pPr>
                              <w:r>
                                <w:rPr>
                                  <w:rFonts w:ascii="Arial"/>
                                  <w:b/>
                                  <w:color w:val="585858"/>
                                  <w:spacing w:val="-4"/>
                                  <w:sz w:val="18"/>
                                </w:rPr>
                                <w:t>4T25</w:t>
                              </w:r>
                            </w:p>
                          </w:txbxContent>
                        </wps:txbx>
                        <wps:bodyPr wrap="square" lIns="0" tIns="0" rIns="0" bIns="0" rtlCol="0">
                          <a:noAutofit/>
                        </wps:bodyPr>
                      </wps:wsp>
                      <wps:wsp>
                        <wps:cNvPr id="323" name="Textbox 323"/>
                        <wps:cNvSpPr txBox="1"/>
                        <wps:spPr>
                          <a:xfrm>
                            <a:off x="5260721" y="1747742"/>
                            <a:ext cx="266700" cy="128270"/>
                          </a:xfrm>
                          <a:prstGeom prst="rect">
                            <a:avLst/>
                          </a:prstGeom>
                        </wps:spPr>
                        <wps:txbx>
                          <w:txbxContent>
                            <w:p w14:paraId="1A7EA896" w14:textId="77777777" w:rsidR="002C6574" w:rsidRDefault="00000000">
                              <w:pPr>
                                <w:spacing w:line="201" w:lineRule="exact"/>
                                <w:rPr>
                                  <w:rFonts w:ascii="Arial"/>
                                  <w:b/>
                                  <w:sz w:val="18"/>
                                </w:rPr>
                              </w:pPr>
                              <w:r>
                                <w:rPr>
                                  <w:rFonts w:ascii="Arial"/>
                                  <w:b/>
                                  <w:color w:val="585858"/>
                                  <w:spacing w:val="-4"/>
                                  <w:sz w:val="18"/>
                                </w:rPr>
                                <w:t>2024</w:t>
                              </w:r>
                            </w:p>
                          </w:txbxContent>
                        </wps:txbx>
                        <wps:bodyPr wrap="square" lIns="0" tIns="0" rIns="0" bIns="0" rtlCol="0">
                          <a:noAutofit/>
                        </wps:bodyPr>
                      </wps:wsp>
                      <wps:wsp>
                        <wps:cNvPr id="324" name="Textbox 324"/>
                        <wps:cNvSpPr txBox="1"/>
                        <wps:spPr>
                          <a:xfrm>
                            <a:off x="5894451" y="1747742"/>
                            <a:ext cx="266700" cy="128270"/>
                          </a:xfrm>
                          <a:prstGeom prst="rect">
                            <a:avLst/>
                          </a:prstGeom>
                        </wps:spPr>
                        <wps:txbx>
                          <w:txbxContent>
                            <w:p w14:paraId="5982A159" w14:textId="77777777" w:rsidR="002C6574" w:rsidRDefault="00000000">
                              <w:pPr>
                                <w:spacing w:line="201" w:lineRule="exact"/>
                                <w:rPr>
                                  <w:rFonts w:ascii="Arial"/>
                                  <w:b/>
                                  <w:sz w:val="18"/>
                                </w:rPr>
                              </w:pPr>
                              <w:r>
                                <w:rPr>
                                  <w:rFonts w:ascii="Arial"/>
                                  <w:b/>
                                  <w:color w:val="585858"/>
                                  <w:spacing w:val="-4"/>
                                  <w:sz w:val="18"/>
                                </w:rPr>
                                <w:t>2025</w:t>
                              </w:r>
                            </w:p>
                          </w:txbxContent>
                        </wps:txbx>
                        <wps:bodyPr wrap="square" lIns="0" tIns="0" rIns="0" bIns="0" rtlCol="0">
                          <a:noAutofit/>
                        </wps:bodyPr>
                      </wps:wsp>
                      <wps:wsp>
                        <wps:cNvPr id="325" name="Textbox 325"/>
                        <wps:cNvSpPr txBox="1"/>
                        <wps:spPr>
                          <a:xfrm>
                            <a:off x="3333115" y="527367"/>
                            <a:ext cx="565150" cy="241300"/>
                          </a:xfrm>
                          <a:prstGeom prst="rect">
                            <a:avLst/>
                          </a:prstGeom>
                          <a:ln w="19050">
                            <a:solidFill>
                              <a:srgbClr val="0F04EB"/>
                            </a:solidFill>
                            <a:prstDash val="solid"/>
                          </a:ln>
                        </wps:spPr>
                        <wps:txbx>
                          <w:txbxContent>
                            <w:p w14:paraId="2F60746F" w14:textId="77777777" w:rsidR="002C6574" w:rsidRDefault="00000000">
                              <w:pPr>
                                <w:spacing w:before="74"/>
                                <w:ind w:left="158"/>
                                <w:rPr>
                                  <w:rFonts w:ascii="Arial"/>
                                  <w:b/>
                                  <w:sz w:val="16"/>
                                </w:rPr>
                              </w:pPr>
                              <w:r>
                                <w:rPr>
                                  <w:rFonts w:ascii="Arial"/>
                                  <w:b/>
                                  <w:spacing w:val="-2"/>
                                  <w:sz w:val="16"/>
                                </w:rPr>
                                <w:t>+22,0%</w:t>
                              </w:r>
                            </w:p>
                          </w:txbxContent>
                        </wps:txbx>
                        <wps:bodyPr wrap="square" lIns="0" tIns="0" rIns="0" bIns="0" rtlCol="0">
                          <a:noAutofit/>
                        </wps:bodyPr>
                      </wps:wsp>
                      <wps:wsp>
                        <wps:cNvPr id="326" name="Textbox 326"/>
                        <wps:cNvSpPr txBox="1"/>
                        <wps:spPr>
                          <a:xfrm>
                            <a:off x="5727065" y="14287"/>
                            <a:ext cx="558800" cy="219075"/>
                          </a:xfrm>
                          <a:prstGeom prst="rect">
                            <a:avLst/>
                          </a:prstGeom>
                          <a:ln w="28575">
                            <a:solidFill>
                              <a:srgbClr val="00AFFF"/>
                            </a:solidFill>
                            <a:prstDash val="solid"/>
                          </a:ln>
                        </wps:spPr>
                        <wps:txbx>
                          <w:txbxContent>
                            <w:p w14:paraId="44CD73C4" w14:textId="77777777" w:rsidR="002C6574" w:rsidRDefault="00000000">
                              <w:pPr>
                                <w:spacing w:before="73"/>
                                <w:ind w:left="144"/>
                                <w:rPr>
                                  <w:rFonts w:ascii="Arial"/>
                                  <w:b/>
                                  <w:sz w:val="16"/>
                                </w:rPr>
                              </w:pPr>
                              <w:r>
                                <w:rPr>
                                  <w:rFonts w:ascii="Arial"/>
                                  <w:b/>
                                  <w:spacing w:val="-2"/>
                                  <w:sz w:val="16"/>
                                </w:rPr>
                                <w:t>+18,5%</w:t>
                              </w:r>
                            </w:p>
                          </w:txbxContent>
                        </wps:txbx>
                        <wps:bodyPr wrap="square" lIns="0" tIns="0" rIns="0" bIns="0" rtlCol="0">
                          <a:noAutofit/>
                        </wps:bodyPr>
                      </wps:wsp>
                    </wpg:wgp>
                  </a:graphicData>
                </a:graphic>
              </wp:anchor>
            </w:drawing>
          </mc:Choice>
          <mc:Fallback>
            <w:pict>
              <v:group w14:anchorId="7533BD9E" id="Group 302" o:spid="_x0000_s1138" style="position:absolute;margin-left:53.55pt;margin-top:15.8pt;width:499pt;height:148.55pt;z-index:-15700992;mso-wrap-distance-left:0;mso-wrap-distance-right:0;mso-position-horizontal-relative:page;mso-position-vertical-relative:text" coordsize="63373,18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">
                <v:shape id="Graphic 303" o:spid="_x0000_s1139" style="position:absolute;left:27250;top:5757;width:34226;height:11024;visibility:visible;mso-wrap-style:square;v-text-anchor:top" coordsize="3422650,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" path="m253492,845172l,845172r,256692l253492,1101864r,-256692xem887209,855192r-253479,l633730,1101864r253479,l887209,855192xem1520952,863676r-253492,l1267460,1101864r253492,l1520952,863676xem2154682,741591r-253492,l1901190,1101864r253492,l2154682,741591xem3422142,l3168650,r,1101864l3422142,1101864,3422142,xe" fillcolor="#00c" stroked="f">
                  <v:path arrowok="t"/>
                </v:shape>
                <v:shape id="Graphic 304" o:spid="_x0000_s1140" style="position:absolute;left:1901;top:7472;width:53238;height:9309;visibility:visible;mso-wrap-style:square;v-text-anchor:top" coordsize="5323840,93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" path="m252984,754380l,754380,,930402r252984,l252984,754380xem886968,707136r-252984,l633984,930402r252984,l886968,707136xem1520952,696468r-252984,l1267968,930402r252984,l1520952,696468xem2154936,635508r-252984,l1901952,930402r252984,l2154936,635508xem5323332,l5070348,r,930402l5323332,930402,5323332,xe" fillcolor="aqua" stroked="f">
                  <v:path arrowok="t"/>
                </v:shape>
                <v:shape id="Graphic 305" o:spid="_x0000_s1141" style="position:absolute;top:16776;width:63373;height:12;visibility:visible;mso-wrap-style:square;v-text-anchor:top" coordsize="6337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" path="m,l6337299,e" filled="f" strokecolor="#d9d9d9">
                  <v:path arrowok="t"/>
                </v:shape>
                <v:shape id="Graphic 306" o:spid="_x0000_s1142" style="position:absolute;left:22663;top:1717;width:27813;height:17145;visibility:visible;mso-wrap-style:square;v-text-anchor:top" coordsize="278130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" path="m2781300,r,1714499em,476250r1066800,em1631950,476250r838200,em,508000l,977900em2463800,476250r6350,463550e" filled="f" strokecolor="#4aacc5" strokeweight="1.5pt">
                  <v:stroke dashstyle="3 1"/>
                  <v:path arrowok="t"/>
                </v:shape>
                <v:shape id="Textbox 307" o:spid="_x0000_s1143" type="#_x0000_t202" style="position:absolute;left:58295;top:3913;width:428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3719B004" w14:textId="77777777" w:rsidR="002C6574" w:rsidRDefault="00000000">
                        <w:pPr>
                          <w:spacing w:line="201" w:lineRule="exact"/>
                          <w:rPr>
                            <w:rFonts w:ascii="Arial"/>
                            <w:b/>
                            <w:sz w:val="18"/>
                          </w:rPr>
                        </w:pPr>
                        <w:r>
                          <w:rPr>
                            <w:rFonts w:ascii="Arial"/>
                            <w:b/>
                            <w:color w:val="404040"/>
                            <w:spacing w:val="-2"/>
                            <w:sz w:val="18"/>
                          </w:rPr>
                          <w:t>491.009</w:t>
                        </w:r>
                      </w:p>
                    </w:txbxContent>
                  </v:textbox>
                </v:shape>
                <v:shape id="Textbox 308" o:spid="_x0000_s1144" type="#_x0000_t202" style="position:absolute;left:51955;top:5632;width:428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7439F32E" w14:textId="77777777" w:rsidR="002C6574" w:rsidRDefault="00000000">
                        <w:pPr>
                          <w:spacing w:line="201" w:lineRule="exact"/>
                          <w:rPr>
                            <w:rFonts w:ascii="Arial"/>
                            <w:b/>
                            <w:sz w:val="18"/>
                          </w:rPr>
                        </w:pPr>
                        <w:r>
                          <w:rPr>
                            <w:rFonts w:ascii="Arial"/>
                            <w:b/>
                            <w:color w:val="404040"/>
                            <w:spacing w:val="-2"/>
                            <w:sz w:val="18"/>
                          </w:rPr>
                          <w:t>414.315</w:t>
                        </w:r>
                      </w:p>
                    </w:txbxContent>
                  </v:textbox>
                </v:shape>
                <v:shape id="Textbox 309" o:spid="_x0000_s1145" type="#_x0000_t202" style="position:absolute;left:1568;top:13170;width:363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39C71D2C" w14:textId="77777777" w:rsidR="002C6574" w:rsidRDefault="00000000">
                        <w:pPr>
                          <w:spacing w:line="201" w:lineRule="exact"/>
                          <w:rPr>
                            <w:rFonts w:ascii="Arial"/>
                            <w:b/>
                            <w:sz w:val="18"/>
                          </w:rPr>
                        </w:pPr>
                        <w:r>
                          <w:rPr>
                            <w:rFonts w:ascii="Arial"/>
                            <w:b/>
                            <w:color w:val="404040"/>
                            <w:spacing w:val="-2"/>
                            <w:sz w:val="18"/>
                          </w:rPr>
                          <w:t>78.561</w:t>
                        </w:r>
                      </w:p>
                    </w:txbxContent>
                  </v:textbox>
                </v:shape>
                <v:shape id="Textbox 310" o:spid="_x0000_s1146" type="#_x0000_t202" style="position:absolute;left:7905;top:12692;width:363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5470C5F2" w14:textId="77777777" w:rsidR="002C6574" w:rsidRDefault="00000000">
                        <w:pPr>
                          <w:spacing w:line="201" w:lineRule="exact"/>
                          <w:rPr>
                            <w:rFonts w:ascii="Arial"/>
                            <w:b/>
                            <w:sz w:val="18"/>
                          </w:rPr>
                        </w:pPr>
                        <w:r>
                          <w:rPr>
                            <w:rFonts w:ascii="Arial"/>
                            <w:b/>
                            <w:color w:val="404040"/>
                            <w:spacing w:val="-2"/>
                            <w:sz w:val="18"/>
                          </w:rPr>
                          <w:t>99.800</w:t>
                        </w:r>
                      </w:p>
                    </w:txbxContent>
                  </v:textbox>
                </v:shape>
                <v:shape id="Textbox 311" o:spid="_x0000_s1147" type="#_x0000_t202" style="position:absolute;left:13925;top:12587;width:428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4F45340B" w14:textId="77777777" w:rsidR="002C6574" w:rsidRDefault="00000000">
                        <w:pPr>
                          <w:spacing w:line="201" w:lineRule="exact"/>
                          <w:rPr>
                            <w:rFonts w:ascii="Arial"/>
                            <w:b/>
                            <w:sz w:val="18"/>
                          </w:rPr>
                        </w:pPr>
                        <w:r>
                          <w:rPr>
                            <w:rFonts w:ascii="Arial"/>
                            <w:b/>
                            <w:color w:val="404040"/>
                            <w:spacing w:val="-2"/>
                            <w:sz w:val="18"/>
                          </w:rPr>
                          <w:t>104.400</w:t>
                        </w:r>
                      </w:p>
                    </w:txbxContent>
                  </v:textbox>
                </v:shape>
                <v:shape id="Textbox 312" o:spid="_x0000_s1148" type="#_x0000_t202" style="position:absolute;left:20262;top:11978;width:428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382FCCF7" w14:textId="77777777" w:rsidR="002C6574" w:rsidRDefault="00000000">
                        <w:pPr>
                          <w:spacing w:line="201" w:lineRule="exact"/>
                          <w:rPr>
                            <w:rFonts w:ascii="Arial"/>
                            <w:b/>
                            <w:sz w:val="18"/>
                          </w:rPr>
                        </w:pPr>
                        <w:r>
                          <w:rPr>
                            <w:rFonts w:ascii="Arial"/>
                            <w:b/>
                            <w:color w:val="404040"/>
                            <w:spacing w:val="-2"/>
                            <w:sz w:val="18"/>
                          </w:rPr>
                          <w:t>131.600</w:t>
                        </w:r>
                      </w:p>
                    </w:txbxContent>
                  </v:textbox>
                </v:shape>
                <v:shape id="Textbox 313" o:spid="_x0000_s1149" type="#_x0000_t202" style="position:absolute;left:45615;top:11329;width:429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7D22F3DD" w14:textId="77777777" w:rsidR="002C6574" w:rsidRDefault="00000000">
                        <w:pPr>
                          <w:spacing w:line="201" w:lineRule="exact"/>
                          <w:rPr>
                            <w:rFonts w:ascii="Arial"/>
                            <w:b/>
                            <w:sz w:val="18"/>
                          </w:rPr>
                        </w:pPr>
                        <w:r>
                          <w:rPr>
                            <w:rFonts w:ascii="Arial"/>
                            <w:b/>
                            <w:color w:val="404040"/>
                            <w:spacing w:val="-2"/>
                            <w:sz w:val="18"/>
                          </w:rPr>
                          <w:t>160.550</w:t>
                        </w:r>
                      </w:p>
                    </w:txbxContent>
                  </v:textbox>
                </v:shape>
                <v:shape id="Textbox 314" o:spid="_x0000_s1150" type="#_x0000_t202" style="position:absolute;left:26602;top:12365;width:1695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2EAAB878" w14:textId="77777777" w:rsidR="002C6574" w:rsidRDefault="00000000">
                        <w:pPr>
                          <w:tabs>
                            <w:tab w:val="left" w:pos="997"/>
                            <w:tab w:val="left" w:pos="1996"/>
                          </w:tabs>
                          <w:spacing w:line="230" w:lineRule="exact"/>
                          <w:rPr>
                            <w:rFonts w:ascii="Arial"/>
                            <w:b/>
                            <w:sz w:val="18"/>
                          </w:rPr>
                        </w:pPr>
                        <w:r>
                          <w:rPr>
                            <w:rFonts w:ascii="Arial"/>
                            <w:b/>
                            <w:color w:val="404040"/>
                            <w:spacing w:val="-2"/>
                            <w:position w:val="3"/>
                            <w:sz w:val="18"/>
                          </w:rPr>
                          <w:t>114.387</w:t>
                        </w:r>
                        <w:r>
                          <w:rPr>
                            <w:rFonts w:ascii="Arial"/>
                            <w:b/>
                            <w:color w:val="404040"/>
                            <w:position w:val="3"/>
                            <w:sz w:val="18"/>
                          </w:rPr>
                          <w:tab/>
                        </w:r>
                        <w:r>
                          <w:rPr>
                            <w:rFonts w:ascii="Arial"/>
                            <w:b/>
                            <w:color w:val="404040"/>
                            <w:spacing w:val="-2"/>
                            <w:position w:val="1"/>
                            <w:sz w:val="18"/>
                          </w:rPr>
                          <w:t>109.928</w:t>
                        </w:r>
                        <w:r>
                          <w:rPr>
                            <w:rFonts w:ascii="Arial"/>
                            <w:b/>
                            <w:color w:val="404040"/>
                            <w:position w:val="1"/>
                            <w:sz w:val="18"/>
                          </w:rPr>
                          <w:tab/>
                        </w:r>
                        <w:r>
                          <w:rPr>
                            <w:rFonts w:ascii="Arial"/>
                            <w:b/>
                            <w:color w:val="404040"/>
                            <w:spacing w:val="-2"/>
                            <w:sz w:val="18"/>
                          </w:rPr>
                          <w:t>106.140</w:t>
                        </w:r>
                      </w:p>
                    </w:txbxContent>
                  </v:textbox>
                </v:shape>
                <v:shape id="Textbox 315" o:spid="_x0000_s1151" type="#_x0000_t202" style="position:absolute;left:1867;top:17477;width:273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7B9E11DA" w14:textId="77777777" w:rsidR="002C6574" w:rsidRDefault="00000000">
                        <w:pPr>
                          <w:spacing w:line="201" w:lineRule="exact"/>
                          <w:rPr>
                            <w:rFonts w:ascii="Arial"/>
                            <w:b/>
                            <w:sz w:val="18"/>
                          </w:rPr>
                        </w:pPr>
                        <w:r>
                          <w:rPr>
                            <w:rFonts w:ascii="Arial"/>
                            <w:b/>
                            <w:color w:val="585858"/>
                            <w:spacing w:val="-4"/>
                            <w:sz w:val="18"/>
                          </w:rPr>
                          <w:t>1T24</w:t>
                        </w:r>
                      </w:p>
                    </w:txbxContent>
                  </v:textbox>
                </v:shape>
                <v:shape id="Textbox 316" o:spid="_x0000_s1152" type="#_x0000_t202" style="position:absolute;left:8208;top:17477;width:273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30760CFB" w14:textId="77777777" w:rsidR="002C6574" w:rsidRDefault="00000000">
                        <w:pPr>
                          <w:spacing w:line="201" w:lineRule="exact"/>
                          <w:rPr>
                            <w:rFonts w:ascii="Arial"/>
                            <w:b/>
                            <w:sz w:val="18"/>
                          </w:rPr>
                        </w:pPr>
                        <w:r>
                          <w:rPr>
                            <w:rFonts w:ascii="Arial"/>
                            <w:b/>
                            <w:color w:val="585858"/>
                            <w:spacing w:val="-4"/>
                            <w:sz w:val="18"/>
                          </w:rPr>
                          <w:t>2T24</w:t>
                        </w:r>
                      </w:p>
                    </w:txbxContent>
                  </v:textbox>
                </v:shape>
                <v:shape id="Textbox 317" o:spid="_x0000_s1153" type="#_x0000_t202" style="position:absolute;left:14544;top:17477;width:273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206D6C4E" w14:textId="77777777" w:rsidR="002C6574" w:rsidRDefault="00000000">
                        <w:pPr>
                          <w:spacing w:line="201" w:lineRule="exact"/>
                          <w:rPr>
                            <w:rFonts w:ascii="Arial"/>
                            <w:b/>
                            <w:sz w:val="18"/>
                          </w:rPr>
                        </w:pPr>
                        <w:r>
                          <w:rPr>
                            <w:rFonts w:ascii="Arial"/>
                            <w:b/>
                            <w:color w:val="585858"/>
                            <w:spacing w:val="-4"/>
                            <w:sz w:val="18"/>
                          </w:rPr>
                          <w:t>3T24</w:t>
                        </w:r>
                      </w:p>
                    </w:txbxContent>
                  </v:textbox>
                </v:shape>
                <v:shape id="Textbox 318" o:spid="_x0000_s1154" type="#_x0000_t202" style="position:absolute;left:20883;top:17477;width:273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654B75A1" w14:textId="77777777" w:rsidR="002C6574" w:rsidRDefault="00000000">
                        <w:pPr>
                          <w:spacing w:line="201" w:lineRule="exact"/>
                          <w:rPr>
                            <w:rFonts w:ascii="Arial"/>
                            <w:b/>
                            <w:sz w:val="18"/>
                          </w:rPr>
                        </w:pPr>
                        <w:r>
                          <w:rPr>
                            <w:rFonts w:ascii="Arial"/>
                            <w:b/>
                            <w:color w:val="585858"/>
                            <w:spacing w:val="-4"/>
                            <w:sz w:val="18"/>
                          </w:rPr>
                          <w:t>4T24</w:t>
                        </w:r>
                      </w:p>
                    </w:txbxContent>
                  </v:textbox>
                </v:shape>
                <v:shape id="Textbox 319" o:spid="_x0000_s1155" type="#_x0000_t202" style="position:absolute;left:27221;top:17477;width:273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7E4C8B49" w14:textId="77777777" w:rsidR="002C6574" w:rsidRDefault="00000000">
                        <w:pPr>
                          <w:spacing w:line="201" w:lineRule="exact"/>
                          <w:rPr>
                            <w:rFonts w:ascii="Arial"/>
                            <w:b/>
                            <w:sz w:val="18"/>
                          </w:rPr>
                        </w:pPr>
                        <w:r>
                          <w:rPr>
                            <w:rFonts w:ascii="Arial"/>
                            <w:b/>
                            <w:color w:val="585858"/>
                            <w:spacing w:val="-4"/>
                            <w:sz w:val="18"/>
                          </w:rPr>
                          <w:t>1T25</w:t>
                        </w:r>
                      </w:p>
                    </w:txbxContent>
                  </v:textbox>
                </v:shape>
                <v:shape id="Textbox 320" o:spid="_x0000_s1156" type="#_x0000_t202" style="position:absolute;left:33561;top:17477;width:273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62CE16F8" w14:textId="77777777" w:rsidR="002C6574" w:rsidRDefault="00000000">
                        <w:pPr>
                          <w:spacing w:line="201" w:lineRule="exact"/>
                          <w:rPr>
                            <w:rFonts w:ascii="Arial"/>
                            <w:b/>
                            <w:sz w:val="18"/>
                          </w:rPr>
                        </w:pPr>
                        <w:r>
                          <w:rPr>
                            <w:rFonts w:ascii="Arial"/>
                            <w:b/>
                            <w:color w:val="585858"/>
                            <w:spacing w:val="-4"/>
                            <w:sz w:val="18"/>
                          </w:rPr>
                          <w:t>2T25</w:t>
                        </w:r>
                      </w:p>
                    </w:txbxContent>
                  </v:textbox>
                </v:shape>
                <v:shape id="Textbox 321" o:spid="_x0000_s1157" type="#_x0000_t202" style="position:absolute;left:39897;top:17477;width:273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0EFA470F" w14:textId="77777777" w:rsidR="002C6574" w:rsidRDefault="00000000">
                        <w:pPr>
                          <w:spacing w:line="201" w:lineRule="exact"/>
                          <w:rPr>
                            <w:rFonts w:ascii="Arial"/>
                            <w:b/>
                            <w:sz w:val="18"/>
                          </w:rPr>
                        </w:pPr>
                        <w:r>
                          <w:rPr>
                            <w:rFonts w:ascii="Arial"/>
                            <w:b/>
                            <w:color w:val="585858"/>
                            <w:spacing w:val="-4"/>
                            <w:sz w:val="18"/>
                          </w:rPr>
                          <w:t>3T25</w:t>
                        </w:r>
                      </w:p>
                    </w:txbxContent>
                  </v:textbox>
                </v:shape>
                <v:shape id="Textbox 322" o:spid="_x0000_s1158" type="#_x0000_t202" style="position:absolute;left:46236;top:17477;width:273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27A83398" w14:textId="77777777" w:rsidR="002C6574" w:rsidRDefault="00000000">
                        <w:pPr>
                          <w:spacing w:line="201" w:lineRule="exact"/>
                          <w:rPr>
                            <w:rFonts w:ascii="Arial"/>
                            <w:b/>
                            <w:sz w:val="18"/>
                          </w:rPr>
                        </w:pPr>
                        <w:r>
                          <w:rPr>
                            <w:rFonts w:ascii="Arial"/>
                            <w:b/>
                            <w:color w:val="585858"/>
                            <w:spacing w:val="-4"/>
                            <w:sz w:val="18"/>
                          </w:rPr>
                          <w:t>4T25</w:t>
                        </w:r>
                      </w:p>
                    </w:txbxContent>
                  </v:textbox>
                </v:shape>
                <v:shape id="Textbox 323" o:spid="_x0000_s1159" type="#_x0000_t202" style="position:absolute;left:52607;top:17477;width:266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1A7EA896" w14:textId="77777777" w:rsidR="002C6574" w:rsidRDefault="00000000">
                        <w:pPr>
                          <w:spacing w:line="201" w:lineRule="exact"/>
                          <w:rPr>
                            <w:rFonts w:ascii="Arial"/>
                            <w:b/>
                            <w:sz w:val="18"/>
                          </w:rPr>
                        </w:pPr>
                        <w:r>
                          <w:rPr>
                            <w:rFonts w:ascii="Arial"/>
                            <w:b/>
                            <w:color w:val="585858"/>
                            <w:spacing w:val="-4"/>
                            <w:sz w:val="18"/>
                          </w:rPr>
                          <w:t>2024</w:t>
                        </w:r>
                      </w:p>
                    </w:txbxContent>
                  </v:textbox>
                </v:shape>
                <v:shape id="Textbox 324" o:spid="_x0000_s1160" type="#_x0000_t202" style="position:absolute;left:58944;top:17477;width:266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5982A159" w14:textId="77777777" w:rsidR="002C6574" w:rsidRDefault="00000000">
                        <w:pPr>
                          <w:spacing w:line="201" w:lineRule="exact"/>
                          <w:rPr>
                            <w:rFonts w:ascii="Arial"/>
                            <w:b/>
                            <w:sz w:val="18"/>
                          </w:rPr>
                        </w:pPr>
                        <w:r>
                          <w:rPr>
                            <w:rFonts w:ascii="Arial"/>
                            <w:b/>
                            <w:color w:val="585858"/>
                            <w:spacing w:val="-4"/>
                            <w:sz w:val="18"/>
                          </w:rPr>
                          <w:t>2025</w:t>
                        </w:r>
                      </w:p>
                    </w:txbxContent>
                  </v:textbox>
                </v:shape>
                <v:shape id="Textbox 325" o:spid="_x0000_s1161" type="#_x0000_t202" style="position:absolute;left:33331;top:5273;width:565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" filled="f" strokecolor="#0f04eb" strokeweight="1.5pt">
                  <v:textbox inset="0,0,0,0">
                    <w:txbxContent>
                      <w:p w14:paraId="2F60746F" w14:textId="77777777" w:rsidR="002C6574" w:rsidRDefault="00000000">
                        <w:pPr>
                          <w:spacing w:before="74"/>
                          <w:ind w:left="158"/>
                          <w:rPr>
                            <w:rFonts w:ascii="Arial"/>
                            <w:b/>
                            <w:sz w:val="16"/>
                          </w:rPr>
                        </w:pPr>
                        <w:r>
                          <w:rPr>
                            <w:rFonts w:ascii="Arial"/>
                            <w:b/>
                            <w:spacing w:val="-2"/>
                            <w:sz w:val="16"/>
                          </w:rPr>
                          <w:t>+22,0%</w:t>
                        </w:r>
                      </w:p>
                    </w:txbxContent>
                  </v:textbox>
                </v:shape>
                <v:shape id="Textbox 326" o:spid="_x0000_s1162" type="#_x0000_t202" style="position:absolute;left:57270;top:142;width:558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" filled="f" strokecolor="#00afff" strokeweight="2.25pt">
                  <v:textbox inset="0,0,0,0">
                    <w:txbxContent>
                      <w:p w14:paraId="44CD73C4" w14:textId="77777777" w:rsidR="002C6574" w:rsidRDefault="00000000">
                        <w:pPr>
                          <w:spacing w:before="73"/>
                          <w:ind w:left="144"/>
                          <w:rPr>
                            <w:rFonts w:ascii="Arial"/>
                            <w:b/>
                            <w:sz w:val="16"/>
                          </w:rPr>
                        </w:pPr>
                        <w:r>
                          <w:rPr>
                            <w:rFonts w:ascii="Arial"/>
                            <w:b/>
                            <w:spacing w:val="-2"/>
                            <w:sz w:val="16"/>
                          </w:rPr>
                          <w:t>+18,5%</w:t>
                        </w:r>
                      </w:p>
                    </w:txbxContent>
                  </v:textbox>
                </v:shape>
                <w10:wrap type="topAndBottom" anchorx="page"/>
              </v:group>
            </w:pict>
          </mc:Fallback>
        </mc:AlternateContent>
      </w:r>
    </w:p>
    <w:p w14:paraId="760FF1E5" w14:textId="77777777" w:rsidR="002C6574" w:rsidRDefault="002C6574">
      <w:pPr>
        <w:pStyle w:val="Corpodetexto"/>
        <w:rPr>
          <w:rFonts w:ascii="Arial"/>
          <w:b/>
          <w:sz w:val="20"/>
        </w:rPr>
        <w:sectPr w:rsidR="002C6574">
          <w:pgSz w:w="11910" w:h="16840"/>
          <w:pgMar w:top="2200" w:right="425" w:bottom="1220" w:left="425" w:header="1197" w:footer="994" w:gutter="0"/>
          <w:cols w:space="720"/>
        </w:sectPr>
      </w:pPr>
    </w:p>
    <w:p w14:paraId="5CBFD434" w14:textId="77777777" w:rsidR="002C6574" w:rsidRDefault="002C6574">
      <w:pPr>
        <w:pStyle w:val="Corpodetexto"/>
        <w:spacing w:before="30"/>
        <w:rPr>
          <w:rFonts w:ascii="Arial"/>
          <w:b/>
          <w:sz w:val="19"/>
        </w:rPr>
      </w:pPr>
    </w:p>
    <w:p w14:paraId="463CAC07" w14:textId="77777777" w:rsidR="002C6574" w:rsidRDefault="00000000">
      <w:pPr>
        <w:ind w:left="427"/>
        <w:rPr>
          <w:rFonts w:ascii="Arial" w:hAnsi="Arial"/>
          <w:b/>
          <w:position w:val="8"/>
          <w:sz w:val="16"/>
        </w:rPr>
      </w:pPr>
      <w:r>
        <w:rPr>
          <w:rFonts w:ascii="Arial" w:hAnsi="Arial"/>
          <w:b/>
          <w:noProof/>
          <w:position w:val="8"/>
          <w:sz w:val="16"/>
        </w:rPr>
        <mc:AlternateContent>
          <mc:Choice Requires="wpg">
            <w:drawing>
              <wp:anchor distT="0" distB="0" distL="0" distR="0" simplePos="0" relativeHeight="15759872" behindDoc="0" locked="0" layoutInCell="1" allowOverlap="1" wp14:anchorId="215C0594" wp14:editId="624EBE4E">
                <wp:simplePos x="0" y="0"/>
                <wp:positionH relativeFrom="page">
                  <wp:posOffset>443483</wp:posOffset>
                </wp:positionH>
                <wp:positionV relativeFrom="paragraph">
                  <wp:posOffset>-161843</wp:posOffset>
                </wp:positionV>
                <wp:extent cx="6922134" cy="10541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134" cy="105410"/>
                          <a:chOff x="0" y="0"/>
                          <a:chExt cx="6922134" cy="105410"/>
                        </a:xfrm>
                      </wpg:grpSpPr>
                      <pic:pic xmlns:pic="http://schemas.openxmlformats.org/drawingml/2006/picture">
                        <pic:nvPicPr>
                          <pic:cNvPr id="328" name="Image 328"/>
                          <pic:cNvPicPr/>
                        </pic:nvPicPr>
                        <pic:blipFill>
                          <a:blip r:embed="rId213" cstate="print"/>
                          <a:stretch>
                            <a:fillRect/>
                          </a:stretch>
                        </pic:blipFill>
                        <pic:spPr>
                          <a:xfrm>
                            <a:off x="0" y="0"/>
                            <a:ext cx="6922008" cy="105155"/>
                          </a:xfrm>
                          <a:prstGeom prst="rect">
                            <a:avLst/>
                          </a:prstGeom>
                        </pic:spPr>
                      </pic:pic>
                      <wps:wsp>
                        <wps:cNvPr id="329" name="Graphic 329"/>
                        <wps:cNvSpPr/>
                        <wps:spPr>
                          <a:xfrm>
                            <a:off x="42290" y="34925"/>
                            <a:ext cx="6829425" cy="1270"/>
                          </a:xfrm>
                          <a:custGeom>
                            <a:avLst/>
                            <a:gdLst/>
                            <a:ahLst/>
                            <a:cxnLst/>
                            <a:rect l="l" t="t" r="r" b="b"/>
                            <a:pathLst>
                              <a:path w="6829425">
                                <a:moveTo>
                                  <a:pt x="0" y="0"/>
                                </a:moveTo>
                                <a:lnTo>
                                  <a:pt x="6829425" y="0"/>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32CA0B63" id="Group 327" o:spid="_x0000_s1026" style="position:absolute;margin-left:34.9pt;margin-top:-12.75pt;width:545.05pt;height:8.3pt;z-index:15759872;mso-wrap-distance-left:0;mso-wrap-distance-right:0;mso-position-horizontal-relative:page" coordsize="69221,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">
                <v:shape id="Image 328" o:spid="_x0000_s1027" type="#_x0000_t75" style="position:absolute;width:692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">
                  <v:imagedata r:id="rId214" o:title=""/>
                </v:shape>
                <v:shape id="Graphic 329" o:spid="_x0000_s1028" style="position:absolute;left:422;top:349;width:68295;height:12;visibility:visible;mso-wrap-style:square;v-text-anchor:top" coordsize="682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" path="m,l6829425,e" filled="f" strokecolor="blue" strokeweight="2pt">
                  <v:path arrowok="t"/>
                </v:shape>
                <w10:wrap anchorx="page"/>
              </v:group>
            </w:pict>
          </mc:Fallback>
        </mc:AlternateContent>
      </w:r>
      <w:r>
        <w:rPr>
          <w:rFonts w:ascii="Arial" w:hAnsi="Arial"/>
          <w:b/>
          <w:noProof/>
          <w:position w:val="8"/>
          <w:sz w:val="16"/>
        </w:rPr>
        <mc:AlternateContent>
          <mc:Choice Requires="wps">
            <w:drawing>
              <wp:anchor distT="0" distB="0" distL="0" distR="0" simplePos="0" relativeHeight="15760384" behindDoc="0" locked="0" layoutInCell="1" allowOverlap="1" wp14:anchorId="01E79161" wp14:editId="2BC0DDF4">
                <wp:simplePos x="0" y="0"/>
                <wp:positionH relativeFrom="page">
                  <wp:posOffset>541019</wp:posOffset>
                </wp:positionH>
                <wp:positionV relativeFrom="paragraph">
                  <wp:posOffset>163022</wp:posOffset>
                </wp:positionV>
                <wp:extent cx="4620260" cy="1524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0260" cy="15240"/>
                        </a:xfrm>
                        <a:custGeom>
                          <a:avLst/>
                          <a:gdLst/>
                          <a:ahLst/>
                          <a:cxnLst/>
                          <a:rect l="l" t="t" r="r" b="b"/>
                          <a:pathLst>
                            <a:path w="4620260" h="15240">
                              <a:moveTo>
                                <a:pt x="4620133" y="0"/>
                              </a:moveTo>
                              <a:lnTo>
                                <a:pt x="0" y="0"/>
                              </a:lnTo>
                              <a:lnTo>
                                <a:pt x="0" y="15240"/>
                              </a:lnTo>
                              <a:lnTo>
                                <a:pt x="4620133" y="15240"/>
                              </a:lnTo>
                              <a:lnTo>
                                <a:pt x="46201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52A6A7" id="Graphic 330" o:spid="_x0000_s1026" style="position:absolute;margin-left:42.6pt;margin-top:12.85pt;width:363.8pt;height:1.2pt;z-index:15760384;visibility:visible;mso-wrap-style:square;mso-wrap-distance-left:0;mso-wrap-distance-top:0;mso-wrap-distance-right:0;mso-wrap-distance-bottom:0;mso-position-horizontal:absolute;mso-position-horizontal-relative:page;mso-position-vertical:absolute;mso-position-vertical-relative:text;v-text-anchor:top" coordsize="462026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" path="m4620133,l,,,15240r4620133,l4620133,xe" fillcolor="black" stroked="f">
                <v:path arrowok="t"/>
                <w10:wrap anchorx="page"/>
              </v:shape>
            </w:pict>
          </mc:Fallback>
        </mc:AlternateContent>
      </w:r>
      <w:r>
        <w:rPr>
          <w:rFonts w:ascii="Arial" w:hAnsi="Arial"/>
          <w:b/>
          <w:sz w:val="24"/>
        </w:rPr>
        <w:t>E</w:t>
      </w:r>
      <w:r>
        <w:rPr>
          <w:rFonts w:ascii="Arial" w:hAnsi="Arial"/>
          <w:b/>
          <w:sz w:val="19"/>
        </w:rPr>
        <w:t>VOLUÇÃO</w:t>
      </w:r>
      <w:r>
        <w:rPr>
          <w:rFonts w:ascii="Arial" w:hAnsi="Arial"/>
          <w:b/>
          <w:spacing w:val="21"/>
          <w:sz w:val="19"/>
        </w:rPr>
        <w:t xml:space="preserve"> </w:t>
      </w:r>
      <w:r>
        <w:rPr>
          <w:rFonts w:ascii="Arial" w:hAnsi="Arial"/>
          <w:b/>
          <w:sz w:val="19"/>
        </w:rPr>
        <w:t>DA</w:t>
      </w:r>
      <w:r>
        <w:rPr>
          <w:rFonts w:ascii="Arial" w:hAnsi="Arial"/>
          <w:b/>
          <w:spacing w:val="23"/>
          <w:sz w:val="19"/>
        </w:rPr>
        <w:t xml:space="preserve"> </w:t>
      </w:r>
      <w:r>
        <w:rPr>
          <w:rFonts w:ascii="Arial" w:hAnsi="Arial"/>
          <w:b/>
          <w:sz w:val="24"/>
        </w:rPr>
        <w:t>R</w:t>
      </w:r>
      <w:r>
        <w:rPr>
          <w:rFonts w:ascii="Arial" w:hAnsi="Arial"/>
          <w:b/>
          <w:sz w:val="19"/>
        </w:rPr>
        <w:t>ECEITA</w:t>
      </w:r>
      <w:r>
        <w:rPr>
          <w:rFonts w:ascii="Arial" w:hAnsi="Arial"/>
          <w:b/>
          <w:spacing w:val="25"/>
          <w:sz w:val="19"/>
        </w:rPr>
        <w:t xml:space="preserve"> </w:t>
      </w:r>
      <w:r>
        <w:rPr>
          <w:rFonts w:ascii="Arial" w:hAnsi="Arial"/>
          <w:b/>
          <w:sz w:val="24"/>
        </w:rPr>
        <w:t>O</w:t>
      </w:r>
      <w:r>
        <w:rPr>
          <w:rFonts w:ascii="Arial" w:hAnsi="Arial"/>
          <w:b/>
          <w:sz w:val="19"/>
        </w:rPr>
        <w:t>PERACIONAL</w:t>
      </w:r>
      <w:r>
        <w:rPr>
          <w:rFonts w:ascii="Arial" w:hAnsi="Arial"/>
          <w:b/>
          <w:spacing w:val="25"/>
          <w:sz w:val="19"/>
        </w:rPr>
        <w:t xml:space="preserve"> </w:t>
      </w:r>
      <w:r>
        <w:rPr>
          <w:rFonts w:ascii="Arial" w:hAnsi="Arial"/>
          <w:b/>
          <w:sz w:val="24"/>
        </w:rPr>
        <w:t>B</w:t>
      </w:r>
      <w:r>
        <w:rPr>
          <w:rFonts w:ascii="Arial" w:hAnsi="Arial"/>
          <w:b/>
          <w:sz w:val="19"/>
        </w:rPr>
        <w:t>RUTA</w:t>
      </w:r>
      <w:r>
        <w:rPr>
          <w:rFonts w:ascii="Arial" w:hAnsi="Arial"/>
          <w:b/>
          <w:spacing w:val="24"/>
          <w:sz w:val="19"/>
        </w:rPr>
        <w:t xml:space="preserve"> </w:t>
      </w:r>
      <w:r>
        <w:rPr>
          <w:rFonts w:ascii="Arial" w:hAnsi="Arial"/>
          <w:b/>
          <w:sz w:val="24"/>
        </w:rPr>
        <w:t>2024</w:t>
      </w:r>
      <w:r>
        <w:rPr>
          <w:rFonts w:ascii="Arial" w:hAnsi="Arial"/>
          <w:b/>
          <w:spacing w:val="9"/>
          <w:sz w:val="24"/>
        </w:rPr>
        <w:t xml:space="preserve"> </w:t>
      </w:r>
      <w:r>
        <w:rPr>
          <w:rFonts w:ascii="Arial" w:hAnsi="Arial"/>
          <w:b/>
          <w:sz w:val="24"/>
        </w:rPr>
        <w:t>–</w:t>
      </w:r>
      <w:r>
        <w:rPr>
          <w:rFonts w:ascii="Arial" w:hAnsi="Arial"/>
          <w:b/>
          <w:spacing w:val="6"/>
          <w:sz w:val="24"/>
        </w:rPr>
        <w:t xml:space="preserve"> </w:t>
      </w:r>
      <w:r>
        <w:rPr>
          <w:rFonts w:ascii="Arial" w:hAnsi="Arial"/>
          <w:b/>
          <w:sz w:val="24"/>
        </w:rPr>
        <w:t>2025</w:t>
      </w:r>
      <w:r>
        <w:rPr>
          <w:rFonts w:ascii="Arial" w:hAnsi="Arial"/>
          <w:b/>
          <w:spacing w:val="8"/>
          <w:sz w:val="24"/>
        </w:rPr>
        <w:t xml:space="preserve"> </w:t>
      </w:r>
      <w:r>
        <w:rPr>
          <w:rFonts w:ascii="Arial" w:hAnsi="Arial"/>
          <w:b/>
          <w:sz w:val="24"/>
        </w:rPr>
        <w:t>–</w:t>
      </w:r>
      <w:r>
        <w:rPr>
          <w:rFonts w:ascii="Arial" w:hAnsi="Arial"/>
          <w:b/>
          <w:spacing w:val="8"/>
          <w:sz w:val="24"/>
        </w:rPr>
        <w:t xml:space="preserve"> </w:t>
      </w:r>
      <w:r>
        <w:rPr>
          <w:rFonts w:ascii="Arial" w:hAnsi="Arial"/>
          <w:b/>
          <w:sz w:val="24"/>
        </w:rPr>
        <w:t>R$</w:t>
      </w:r>
      <w:r>
        <w:rPr>
          <w:rFonts w:ascii="Arial" w:hAnsi="Arial"/>
          <w:b/>
          <w:spacing w:val="7"/>
          <w:sz w:val="24"/>
        </w:rPr>
        <w:t xml:space="preserve"> </w:t>
      </w:r>
      <w:r>
        <w:rPr>
          <w:rFonts w:ascii="Arial" w:hAnsi="Arial"/>
          <w:b/>
          <w:spacing w:val="-4"/>
          <w:sz w:val="19"/>
        </w:rPr>
        <w:t>MIL</w:t>
      </w:r>
      <w:hyperlink w:anchor="_bookmark12" w:history="1">
        <w:r>
          <w:rPr>
            <w:rFonts w:ascii="Arial" w:hAnsi="Arial"/>
            <w:b/>
            <w:spacing w:val="-4"/>
            <w:position w:val="8"/>
            <w:sz w:val="16"/>
          </w:rPr>
          <w:t>1</w:t>
        </w:r>
      </w:hyperlink>
    </w:p>
    <w:p w14:paraId="20A059EB" w14:textId="77777777" w:rsidR="002C6574" w:rsidRDefault="002C6574">
      <w:pPr>
        <w:pStyle w:val="Corpodetexto"/>
        <w:rPr>
          <w:rFonts w:ascii="Arial"/>
          <w:b/>
          <w:sz w:val="20"/>
        </w:rPr>
      </w:pPr>
    </w:p>
    <w:p w14:paraId="42A649E3" w14:textId="77777777" w:rsidR="002C6574" w:rsidRDefault="002C6574">
      <w:pPr>
        <w:pStyle w:val="Corpodetexto"/>
        <w:rPr>
          <w:rFonts w:ascii="Arial"/>
          <w:b/>
          <w:sz w:val="20"/>
        </w:rPr>
      </w:pPr>
    </w:p>
    <w:p w14:paraId="006D682E" w14:textId="77777777" w:rsidR="002C6574" w:rsidRDefault="002C6574">
      <w:pPr>
        <w:pStyle w:val="Corpodetexto"/>
        <w:spacing w:before="83"/>
        <w:rPr>
          <w:rFonts w:ascii="Arial"/>
          <w:b/>
          <w:sz w:val="20"/>
        </w:rPr>
      </w:pPr>
    </w:p>
    <w:p w14:paraId="0042509B" w14:textId="77777777" w:rsidR="002C6574" w:rsidRDefault="002C6574">
      <w:pPr>
        <w:pStyle w:val="Corpodetexto"/>
        <w:rPr>
          <w:rFonts w:ascii="Arial"/>
          <w:b/>
          <w:sz w:val="20"/>
        </w:rPr>
        <w:sectPr w:rsidR="002C6574">
          <w:pgSz w:w="11910" w:h="16840"/>
          <w:pgMar w:top="2200" w:right="425" w:bottom="1200" w:left="425" w:header="1197" w:footer="994" w:gutter="0"/>
          <w:cols w:space="720"/>
        </w:sectPr>
      </w:pPr>
    </w:p>
    <w:p w14:paraId="0B1AFE04" w14:textId="77777777" w:rsidR="002C6574" w:rsidRDefault="00000000">
      <w:pPr>
        <w:tabs>
          <w:tab w:val="left" w:pos="3904"/>
          <w:tab w:val="left" w:pos="5255"/>
          <w:tab w:val="left" w:pos="6584"/>
          <w:tab w:val="left" w:pos="7954"/>
        </w:tabs>
        <w:spacing w:before="96"/>
        <w:ind w:left="2541"/>
        <w:rPr>
          <w:rFonts w:ascii="Arial"/>
          <w:b/>
          <w:position w:val="5"/>
          <w:sz w:val="18"/>
        </w:rPr>
      </w:pPr>
      <w:r>
        <w:rPr>
          <w:rFonts w:ascii="Arial"/>
          <w:b/>
          <w:spacing w:val="-2"/>
          <w:position w:val="2"/>
          <w:sz w:val="18"/>
        </w:rPr>
        <w:t>76.533</w:t>
      </w:r>
      <w:r>
        <w:rPr>
          <w:rFonts w:ascii="Arial"/>
          <w:b/>
          <w:position w:val="2"/>
          <w:sz w:val="18"/>
        </w:rPr>
        <w:tab/>
      </w:r>
      <w:r>
        <w:rPr>
          <w:rFonts w:ascii="Arial"/>
          <w:b/>
          <w:spacing w:val="-4"/>
          <w:position w:val="1"/>
          <w:sz w:val="18"/>
        </w:rPr>
        <w:t>1.464</w:t>
      </w:r>
      <w:r>
        <w:rPr>
          <w:rFonts w:ascii="Arial"/>
          <w:b/>
          <w:position w:val="1"/>
          <w:sz w:val="18"/>
        </w:rPr>
        <w:tab/>
      </w:r>
      <w:r>
        <w:rPr>
          <w:rFonts w:ascii="Arial"/>
          <w:b/>
          <w:spacing w:val="-2"/>
          <w:sz w:val="18"/>
        </w:rPr>
        <w:t>3.212</w:t>
      </w:r>
      <w:r>
        <w:rPr>
          <w:rFonts w:ascii="Arial"/>
          <w:b/>
          <w:sz w:val="18"/>
        </w:rPr>
        <w:tab/>
      </w:r>
      <w:r>
        <w:rPr>
          <w:rFonts w:ascii="Arial"/>
          <w:b/>
          <w:spacing w:val="-4"/>
          <w:position w:val="7"/>
          <w:sz w:val="18"/>
        </w:rPr>
        <w:t>6.382</w:t>
      </w:r>
      <w:r>
        <w:rPr>
          <w:rFonts w:ascii="Arial"/>
          <w:b/>
          <w:position w:val="7"/>
          <w:sz w:val="18"/>
        </w:rPr>
        <w:tab/>
      </w:r>
      <w:r>
        <w:rPr>
          <w:rFonts w:ascii="Arial"/>
          <w:b/>
          <w:spacing w:val="-2"/>
          <w:position w:val="5"/>
          <w:sz w:val="18"/>
        </w:rPr>
        <w:t>2.649</w:t>
      </w:r>
    </w:p>
    <w:p w14:paraId="258F84CE" w14:textId="77777777" w:rsidR="002C6574" w:rsidRDefault="00000000">
      <w:pPr>
        <w:spacing w:before="105"/>
        <w:ind w:left="756"/>
        <w:rPr>
          <w:rFonts w:ascii="Arial"/>
          <w:b/>
          <w:sz w:val="18"/>
        </w:rPr>
      </w:pPr>
      <w:r>
        <w:br w:type="column"/>
      </w:r>
      <w:r>
        <w:rPr>
          <w:rFonts w:ascii="Arial"/>
          <w:b/>
          <w:spacing w:val="-2"/>
          <w:sz w:val="18"/>
        </w:rPr>
        <w:t>540.908</w:t>
      </w:r>
    </w:p>
    <w:p w14:paraId="0DE69A65" w14:textId="77777777" w:rsidR="002C6574" w:rsidRDefault="002C6574">
      <w:pPr>
        <w:rPr>
          <w:rFonts w:ascii="Arial"/>
          <w:b/>
          <w:sz w:val="18"/>
        </w:rPr>
        <w:sectPr w:rsidR="002C6574">
          <w:type w:val="continuous"/>
          <w:pgSz w:w="11910" w:h="16840"/>
          <w:pgMar w:top="0" w:right="425" w:bottom="0" w:left="425" w:header="1197" w:footer="994" w:gutter="0"/>
          <w:cols w:num="2" w:space="720" w:equalWidth="0">
            <w:col w:w="8407" w:space="40"/>
            <w:col w:w="2613"/>
          </w:cols>
        </w:sectPr>
      </w:pPr>
    </w:p>
    <w:p w14:paraId="62BDDA13" w14:textId="77777777" w:rsidR="002C6574" w:rsidRDefault="00000000">
      <w:pPr>
        <w:pStyle w:val="Corpodetexto"/>
        <w:ind w:left="725"/>
        <w:rPr>
          <w:rFonts w:ascii="Arial"/>
          <w:sz w:val="20"/>
        </w:rPr>
      </w:pPr>
      <w:r>
        <w:rPr>
          <w:rFonts w:ascii="Arial"/>
          <w:noProof/>
          <w:sz w:val="20"/>
        </w:rPr>
        <mc:AlternateContent>
          <mc:Choice Requires="wpg">
            <w:drawing>
              <wp:inline distT="0" distB="0" distL="0" distR="0" wp14:anchorId="210F9776" wp14:editId="6E324EB9">
                <wp:extent cx="5998210" cy="1370330"/>
                <wp:effectExtent l="9525" t="0" r="2539" b="1269"/>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8210" cy="1370330"/>
                          <a:chOff x="0" y="0"/>
                          <a:chExt cx="5998210" cy="1370330"/>
                        </a:xfrm>
                      </wpg:grpSpPr>
                      <wps:wsp>
                        <wps:cNvPr id="332" name="Graphic 332"/>
                        <wps:cNvSpPr/>
                        <wps:spPr>
                          <a:xfrm>
                            <a:off x="208711" y="2793"/>
                            <a:ext cx="5580380" cy="1362710"/>
                          </a:xfrm>
                          <a:custGeom>
                            <a:avLst/>
                            <a:gdLst/>
                            <a:ahLst/>
                            <a:cxnLst/>
                            <a:rect l="l" t="t" r="r" b="b"/>
                            <a:pathLst>
                              <a:path w="5580380" h="1362710">
                                <a:moveTo>
                                  <a:pt x="439394" y="197764"/>
                                </a:moveTo>
                                <a:lnTo>
                                  <a:pt x="0" y="197764"/>
                                </a:lnTo>
                                <a:lnTo>
                                  <a:pt x="0" y="1362583"/>
                                </a:lnTo>
                                <a:lnTo>
                                  <a:pt x="439394" y="1362583"/>
                                </a:lnTo>
                                <a:lnTo>
                                  <a:pt x="439394" y="197764"/>
                                </a:lnTo>
                                <a:close/>
                              </a:path>
                              <a:path w="5580380" h="1362710">
                                <a:moveTo>
                                  <a:pt x="1296212" y="4940"/>
                                </a:moveTo>
                                <a:lnTo>
                                  <a:pt x="856818" y="4940"/>
                                </a:lnTo>
                                <a:lnTo>
                                  <a:pt x="856818" y="197739"/>
                                </a:lnTo>
                                <a:lnTo>
                                  <a:pt x="1296212" y="197739"/>
                                </a:lnTo>
                                <a:lnTo>
                                  <a:pt x="1296212" y="4940"/>
                                </a:lnTo>
                                <a:close/>
                              </a:path>
                              <a:path w="5580380" h="1362710">
                                <a:moveTo>
                                  <a:pt x="5580291" y="0"/>
                                </a:moveTo>
                                <a:lnTo>
                                  <a:pt x="5140909" y="0"/>
                                </a:lnTo>
                                <a:lnTo>
                                  <a:pt x="5140909" y="1362583"/>
                                </a:lnTo>
                                <a:lnTo>
                                  <a:pt x="5580291" y="1362583"/>
                                </a:lnTo>
                                <a:lnTo>
                                  <a:pt x="5580291" y="0"/>
                                </a:lnTo>
                                <a:close/>
                              </a:path>
                            </a:pathLst>
                          </a:custGeom>
                          <a:solidFill>
                            <a:srgbClr val="0000CC"/>
                          </a:solidFill>
                        </wps:spPr>
                        <wps:bodyPr wrap="square" lIns="0" tIns="0" rIns="0" bIns="0" rtlCol="0">
                          <a:prstTxWarp prst="textNoShape">
                            <a:avLst/>
                          </a:prstTxWarp>
                          <a:noAutofit/>
                        </wps:bodyPr>
                      </wps:wsp>
                      <wps:wsp>
                        <wps:cNvPr id="333" name="Graphic 333"/>
                        <wps:cNvSpPr/>
                        <wps:spPr>
                          <a:xfrm>
                            <a:off x="2779141" y="2476"/>
                            <a:ext cx="2153285" cy="13335"/>
                          </a:xfrm>
                          <a:custGeom>
                            <a:avLst/>
                            <a:gdLst/>
                            <a:ahLst/>
                            <a:cxnLst/>
                            <a:rect l="l" t="t" r="r" b="b"/>
                            <a:pathLst>
                              <a:path w="2153285" h="13335">
                                <a:moveTo>
                                  <a:pt x="439394" y="5181"/>
                                </a:moveTo>
                                <a:lnTo>
                                  <a:pt x="0" y="5181"/>
                                </a:lnTo>
                                <a:lnTo>
                                  <a:pt x="0" y="13271"/>
                                </a:lnTo>
                                <a:lnTo>
                                  <a:pt x="439394" y="13271"/>
                                </a:lnTo>
                                <a:lnTo>
                                  <a:pt x="439394" y="5181"/>
                                </a:lnTo>
                                <a:close/>
                              </a:path>
                              <a:path w="2153285" h="13335">
                                <a:moveTo>
                                  <a:pt x="2153005" y="0"/>
                                </a:moveTo>
                                <a:lnTo>
                                  <a:pt x="1713611" y="0"/>
                                </a:lnTo>
                                <a:lnTo>
                                  <a:pt x="1713611" y="6667"/>
                                </a:lnTo>
                                <a:lnTo>
                                  <a:pt x="2153005" y="6667"/>
                                </a:lnTo>
                                <a:lnTo>
                                  <a:pt x="2153005" y="0"/>
                                </a:lnTo>
                                <a:close/>
                              </a:path>
                            </a:pathLst>
                          </a:custGeom>
                          <a:solidFill>
                            <a:srgbClr val="FF0000"/>
                          </a:solidFill>
                        </wps:spPr>
                        <wps:bodyPr wrap="square" lIns="0" tIns="0" rIns="0" bIns="0" rtlCol="0">
                          <a:prstTxWarp prst="textNoShape">
                            <a:avLst/>
                          </a:prstTxWarp>
                          <a:noAutofit/>
                        </wps:bodyPr>
                      </wps:wsp>
                      <wps:wsp>
                        <wps:cNvPr id="334" name="Graphic 334"/>
                        <wps:cNvSpPr/>
                        <wps:spPr>
                          <a:xfrm>
                            <a:off x="1922272" y="0"/>
                            <a:ext cx="2153920" cy="15240"/>
                          </a:xfrm>
                          <a:custGeom>
                            <a:avLst/>
                            <a:gdLst/>
                            <a:ahLst/>
                            <a:cxnLst/>
                            <a:rect l="l" t="t" r="r" b="b"/>
                            <a:pathLst>
                              <a:path w="2153920" h="15240">
                                <a:moveTo>
                                  <a:pt x="438912" y="4572"/>
                                </a:moveTo>
                                <a:lnTo>
                                  <a:pt x="0" y="4572"/>
                                </a:lnTo>
                                <a:lnTo>
                                  <a:pt x="0" y="7620"/>
                                </a:lnTo>
                                <a:lnTo>
                                  <a:pt x="438912" y="7620"/>
                                </a:lnTo>
                                <a:lnTo>
                                  <a:pt x="438912" y="4572"/>
                                </a:lnTo>
                                <a:close/>
                              </a:path>
                              <a:path w="2153920" h="15240">
                                <a:moveTo>
                                  <a:pt x="2153412" y="0"/>
                                </a:moveTo>
                                <a:lnTo>
                                  <a:pt x="1712976" y="0"/>
                                </a:lnTo>
                                <a:lnTo>
                                  <a:pt x="1712976" y="15240"/>
                                </a:lnTo>
                                <a:lnTo>
                                  <a:pt x="2153412" y="15240"/>
                                </a:lnTo>
                                <a:lnTo>
                                  <a:pt x="2153412" y="0"/>
                                </a:lnTo>
                                <a:close/>
                              </a:path>
                            </a:pathLst>
                          </a:custGeom>
                          <a:solidFill>
                            <a:srgbClr val="0000CC"/>
                          </a:solidFill>
                        </wps:spPr>
                        <wps:bodyPr wrap="square" lIns="0" tIns="0" rIns="0" bIns="0" rtlCol="0">
                          <a:prstTxWarp prst="textNoShape">
                            <a:avLst/>
                          </a:prstTxWarp>
                          <a:noAutofit/>
                        </wps:bodyPr>
                      </wps:wsp>
                      <wps:wsp>
                        <wps:cNvPr id="335" name="Graphic 335"/>
                        <wps:cNvSpPr/>
                        <wps:spPr>
                          <a:xfrm>
                            <a:off x="0" y="1365377"/>
                            <a:ext cx="5998210" cy="1270"/>
                          </a:xfrm>
                          <a:custGeom>
                            <a:avLst/>
                            <a:gdLst/>
                            <a:ahLst/>
                            <a:cxnLst/>
                            <a:rect l="l" t="t" r="r" b="b"/>
                            <a:pathLst>
                              <a:path w="5998210">
                                <a:moveTo>
                                  <a:pt x="0" y="0"/>
                                </a:moveTo>
                                <a:lnTo>
                                  <a:pt x="5997701" y="0"/>
                                </a:lnTo>
                              </a:path>
                            </a:pathLst>
                          </a:custGeom>
                          <a:ln w="9525">
                            <a:solidFill>
                              <a:srgbClr val="D9D9D9"/>
                            </a:solidFill>
                            <a:prstDash val="solid"/>
                          </a:ln>
                        </wps:spPr>
                        <wps:bodyPr wrap="square" lIns="0" tIns="0" rIns="0" bIns="0" rtlCol="0">
                          <a:prstTxWarp prst="textNoShape">
                            <a:avLst/>
                          </a:prstTxWarp>
                          <a:noAutofit/>
                        </wps:bodyPr>
                      </wps:wsp>
                      <wps:wsp>
                        <wps:cNvPr id="336" name="Textbox 336"/>
                        <wps:cNvSpPr txBox="1"/>
                        <wps:spPr>
                          <a:xfrm>
                            <a:off x="231241" y="30639"/>
                            <a:ext cx="427990" cy="128270"/>
                          </a:xfrm>
                          <a:prstGeom prst="rect">
                            <a:avLst/>
                          </a:prstGeom>
                        </wps:spPr>
                        <wps:txbx>
                          <w:txbxContent>
                            <w:p w14:paraId="3B655673" w14:textId="77777777" w:rsidR="002C6574" w:rsidRDefault="00000000">
                              <w:pPr>
                                <w:spacing w:line="201" w:lineRule="exact"/>
                                <w:rPr>
                                  <w:rFonts w:ascii="Arial"/>
                                  <w:b/>
                                  <w:sz w:val="18"/>
                                </w:rPr>
                              </w:pPr>
                              <w:r>
                                <w:rPr>
                                  <w:rFonts w:ascii="Arial"/>
                                  <w:b/>
                                  <w:spacing w:val="-2"/>
                                  <w:sz w:val="18"/>
                                </w:rPr>
                                <w:t>462.391</w:t>
                              </w:r>
                            </w:p>
                          </w:txbxContent>
                        </wps:txbx>
                        <wps:bodyPr wrap="square" lIns="0" tIns="0" rIns="0" bIns="0" rtlCol="0">
                          <a:noAutofit/>
                        </wps:bodyPr>
                      </wps:wsp>
                    </wpg:wgp>
                  </a:graphicData>
                </a:graphic>
              </wp:inline>
            </w:drawing>
          </mc:Choice>
          <mc:Fallback>
            <w:pict>
              <v:group w14:anchorId="210F9776" id="Group 331" o:spid="_x0000_s1163" style="width:472.3pt;height:107.9pt;mso-position-horizontal-relative:char;mso-position-vertical-relative:line" coordsize="59982,1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">
                <v:shape id="Graphic 332" o:spid="_x0000_s1164" style="position:absolute;left:2087;top:27;width:55803;height:13628;visibility:visible;mso-wrap-style:square;v-text-anchor:top" coordsize="5580380,136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" path="m439394,197764l,197764,,1362583r439394,l439394,197764xem1296212,4940r-439394,l856818,197739r439394,l1296212,4940xem5580291,l5140909,r,1362583l5580291,1362583,5580291,xe" fillcolor="#00c" stroked="f">
                  <v:path arrowok="t"/>
                </v:shape>
                <v:shape id="Graphic 333" o:spid="_x0000_s1165" style="position:absolute;left:27791;top:24;width:21533;height:134;visibility:visible;mso-wrap-style:square;v-text-anchor:top" coordsize="215328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" path="m439394,5181l,5181r,8090l439394,13271r,-8090xem2153005,l1713611,r,6667l2153005,6667r,-6667xe" fillcolor="red" stroked="f">
                  <v:path arrowok="t"/>
                </v:shape>
                <v:shape id="Graphic 334" o:spid="_x0000_s1166" style="position:absolute;left:19222;width:21539;height:152;visibility:visible;mso-wrap-style:square;v-text-anchor:top" coordsize="21539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" path="m438912,4572l,4572,,7620r438912,l438912,4572xem2153412,l1712976,r,15240l2153412,15240r,-15240xe" fillcolor="#00c" stroked="f">
                  <v:path arrowok="t"/>
                </v:shape>
                <v:shape id="Graphic 335" o:spid="_x0000_s1167" style="position:absolute;top:13653;width:59982;height:13;visibility:visible;mso-wrap-style:square;v-text-anchor:top" coordsize="5998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" path="m,l5997701,e" filled="f" strokecolor="#d9d9d9">
                  <v:path arrowok="t"/>
                </v:shape>
                <v:shape id="Textbox 336" o:spid="_x0000_s1168" type="#_x0000_t202" style="position:absolute;left:2312;top:306;width:428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3B655673" w14:textId="77777777" w:rsidR="002C6574" w:rsidRDefault="00000000">
                        <w:pPr>
                          <w:spacing w:line="201" w:lineRule="exact"/>
                          <w:rPr>
                            <w:rFonts w:ascii="Arial"/>
                            <w:b/>
                            <w:sz w:val="18"/>
                          </w:rPr>
                        </w:pPr>
                        <w:r>
                          <w:rPr>
                            <w:rFonts w:ascii="Arial"/>
                            <w:b/>
                            <w:spacing w:val="-2"/>
                            <w:sz w:val="18"/>
                          </w:rPr>
                          <w:t>462.391</w:t>
                        </w:r>
                      </w:p>
                    </w:txbxContent>
                  </v:textbox>
                </v:shape>
                <w10:anchorlock/>
              </v:group>
            </w:pict>
          </mc:Fallback>
        </mc:AlternateContent>
      </w:r>
    </w:p>
    <w:p w14:paraId="2863EC63" w14:textId="77777777" w:rsidR="002C6574" w:rsidRDefault="002C6574">
      <w:pPr>
        <w:pStyle w:val="Corpodetexto"/>
        <w:spacing w:before="8" w:after="1"/>
        <w:rPr>
          <w:rFonts w:ascii="Arial"/>
          <w:b/>
          <w:sz w:val="7"/>
        </w:rPr>
      </w:pPr>
    </w:p>
    <w:tbl>
      <w:tblPr>
        <w:tblStyle w:val="TableNormal"/>
        <w:tblW w:w="0" w:type="auto"/>
        <w:tblInd w:w="1165" w:type="dxa"/>
        <w:tblLayout w:type="fixed"/>
        <w:tblLook w:val="01E0" w:firstRow="1" w:lastRow="1" w:firstColumn="1" w:lastColumn="1" w:noHBand="0" w:noVBand="0"/>
      </w:tblPr>
      <w:tblGrid>
        <w:gridCol w:w="718"/>
        <w:gridCol w:w="1635"/>
        <w:gridCol w:w="1300"/>
        <w:gridCol w:w="1271"/>
        <w:gridCol w:w="1457"/>
        <w:gridCol w:w="1374"/>
        <w:gridCol w:w="839"/>
      </w:tblGrid>
      <w:tr w:rsidR="002C6574" w14:paraId="5E3BCF7F" w14:textId="77777777">
        <w:trPr>
          <w:trHeight w:val="204"/>
        </w:trPr>
        <w:tc>
          <w:tcPr>
            <w:tcW w:w="718" w:type="dxa"/>
          </w:tcPr>
          <w:p w14:paraId="1C705182" w14:textId="77777777" w:rsidR="002C6574" w:rsidRDefault="00000000">
            <w:pPr>
              <w:pStyle w:val="TableParagraph"/>
              <w:spacing w:line="185" w:lineRule="exact"/>
              <w:ind w:left="50"/>
              <w:jc w:val="left"/>
              <w:rPr>
                <w:rFonts w:ascii="Arial"/>
                <w:b/>
                <w:sz w:val="18"/>
              </w:rPr>
            </w:pPr>
            <w:r>
              <w:rPr>
                <w:rFonts w:ascii="Arial"/>
                <w:b/>
                <w:spacing w:val="-4"/>
                <w:sz w:val="18"/>
              </w:rPr>
              <w:t>2024</w:t>
            </w:r>
          </w:p>
        </w:tc>
        <w:tc>
          <w:tcPr>
            <w:tcW w:w="1635" w:type="dxa"/>
          </w:tcPr>
          <w:p w14:paraId="1BF39CE7" w14:textId="77777777" w:rsidR="002C6574" w:rsidRDefault="00000000">
            <w:pPr>
              <w:pStyle w:val="TableParagraph"/>
              <w:spacing w:line="185" w:lineRule="exact"/>
              <w:ind w:left="267"/>
              <w:jc w:val="left"/>
              <w:rPr>
                <w:rFonts w:ascii="Arial"/>
                <w:b/>
                <w:sz w:val="18"/>
              </w:rPr>
            </w:pPr>
            <w:r>
              <w:rPr>
                <w:rFonts w:ascii="Arial"/>
                <w:b/>
                <w:sz w:val="18"/>
              </w:rPr>
              <w:t>SCM</w:t>
            </w:r>
            <w:r>
              <w:rPr>
                <w:rFonts w:ascii="Arial"/>
                <w:b/>
                <w:spacing w:val="-5"/>
                <w:sz w:val="18"/>
              </w:rPr>
              <w:t xml:space="preserve"> </w:t>
            </w:r>
            <w:r>
              <w:rPr>
                <w:rFonts w:ascii="Arial"/>
                <w:b/>
                <w:spacing w:val="-2"/>
                <w:sz w:val="18"/>
              </w:rPr>
              <w:t>(Internet)</w:t>
            </w:r>
          </w:p>
        </w:tc>
        <w:tc>
          <w:tcPr>
            <w:tcW w:w="1300" w:type="dxa"/>
          </w:tcPr>
          <w:p w14:paraId="6BD717FE" w14:textId="77777777" w:rsidR="002C6574" w:rsidRDefault="00000000">
            <w:pPr>
              <w:pStyle w:val="TableParagraph"/>
              <w:spacing w:line="185" w:lineRule="exact"/>
              <w:ind w:left="1" w:right="105"/>
              <w:jc w:val="center"/>
              <w:rPr>
                <w:rFonts w:ascii="Arial"/>
                <w:b/>
                <w:sz w:val="18"/>
              </w:rPr>
            </w:pPr>
            <w:r>
              <w:rPr>
                <w:rFonts w:ascii="Arial"/>
                <w:b/>
                <w:sz w:val="18"/>
              </w:rPr>
              <w:t>Alugueis</w:t>
            </w:r>
            <w:r>
              <w:rPr>
                <w:rFonts w:ascii="Arial"/>
                <w:b/>
                <w:spacing w:val="-5"/>
                <w:sz w:val="18"/>
              </w:rPr>
              <w:t xml:space="preserve"> </w:t>
            </w:r>
            <w:r>
              <w:rPr>
                <w:rFonts w:ascii="Arial"/>
                <w:b/>
                <w:spacing w:val="-10"/>
                <w:sz w:val="18"/>
              </w:rPr>
              <w:t>e</w:t>
            </w:r>
          </w:p>
        </w:tc>
        <w:tc>
          <w:tcPr>
            <w:tcW w:w="1271" w:type="dxa"/>
          </w:tcPr>
          <w:p w14:paraId="35C04F74" w14:textId="77777777" w:rsidR="002C6574" w:rsidRDefault="00000000">
            <w:pPr>
              <w:pStyle w:val="TableParagraph"/>
              <w:spacing w:line="185" w:lineRule="exact"/>
              <w:ind w:left="20"/>
              <w:jc w:val="center"/>
              <w:rPr>
                <w:rFonts w:ascii="Arial"/>
                <w:b/>
                <w:sz w:val="18"/>
              </w:rPr>
            </w:pPr>
            <w:r>
              <w:rPr>
                <w:rFonts w:ascii="Arial"/>
                <w:b/>
                <w:spacing w:val="-2"/>
                <w:sz w:val="18"/>
              </w:rPr>
              <w:t>Compart.</w:t>
            </w:r>
          </w:p>
        </w:tc>
        <w:tc>
          <w:tcPr>
            <w:tcW w:w="1457" w:type="dxa"/>
          </w:tcPr>
          <w:p w14:paraId="2DB4E970" w14:textId="77777777" w:rsidR="002C6574" w:rsidRDefault="00000000">
            <w:pPr>
              <w:pStyle w:val="TableParagraph"/>
              <w:spacing w:line="185" w:lineRule="exact"/>
              <w:ind w:left="1" w:right="5"/>
              <w:jc w:val="center"/>
              <w:rPr>
                <w:rFonts w:ascii="Arial"/>
                <w:b/>
                <w:sz w:val="18"/>
              </w:rPr>
            </w:pPr>
            <w:r>
              <w:rPr>
                <w:rFonts w:ascii="Arial"/>
                <w:b/>
                <w:sz w:val="18"/>
              </w:rPr>
              <w:t>Serv.</w:t>
            </w:r>
            <w:r>
              <w:rPr>
                <w:rFonts w:ascii="Arial"/>
                <w:b/>
                <w:spacing w:val="-2"/>
                <w:sz w:val="18"/>
              </w:rPr>
              <w:t xml:space="preserve"> </w:t>
            </w:r>
            <w:r>
              <w:rPr>
                <w:rFonts w:ascii="Arial"/>
                <w:b/>
                <w:spacing w:val="-4"/>
                <w:sz w:val="18"/>
              </w:rPr>
              <w:t>Valor</w:t>
            </w:r>
          </w:p>
        </w:tc>
        <w:tc>
          <w:tcPr>
            <w:tcW w:w="1374" w:type="dxa"/>
          </w:tcPr>
          <w:p w14:paraId="106C2E6E" w14:textId="77777777" w:rsidR="002C6574" w:rsidRDefault="00000000">
            <w:pPr>
              <w:pStyle w:val="TableParagraph"/>
              <w:spacing w:line="185" w:lineRule="exact"/>
              <w:ind w:right="138"/>
              <w:jc w:val="center"/>
              <w:rPr>
                <w:rFonts w:ascii="Arial"/>
                <w:b/>
                <w:sz w:val="18"/>
              </w:rPr>
            </w:pPr>
            <w:r>
              <w:rPr>
                <w:rFonts w:ascii="Arial"/>
                <w:b/>
                <w:spacing w:val="-2"/>
                <w:sz w:val="18"/>
              </w:rPr>
              <w:t>Outras</w:t>
            </w:r>
          </w:p>
        </w:tc>
        <w:tc>
          <w:tcPr>
            <w:tcW w:w="839" w:type="dxa"/>
          </w:tcPr>
          <w:p w14:paraId="213DE30B" w14:textId="77777777" w:rsidR="002C6574" w:rsidRDefault="00000000">
            <w:pPr>
              <w:pStyle w:val="TableParagraph"/>
              <w:spacing w:line="185" w:lineRule="exact"/>
              <w:ind w:left="392"/>
              <w:jc w:val="left"/>
              <w:rPr>
                <w:rFonts w:ascii="Arial"/>
                <w:b/>
                <w:sz w:val="18"/>
              </w:rPr>
            </w:pPr>
            <w:r>
              <w:rPr>
                <w:rFonts w:ascii="Arial"/>
                <w:b/>
                <w:spacing w:val="-4"/>
                <w:sz w:val="18"/>
              </w:rPr>
              <w:t>2025</w:t>
            </w:r>
          </w:p>
        </w:tc>
      </w:tr>
      <w:tr w:rsidR="002C6574" w14:paraId="7C2EB70A" w14:textId="77777777">
        <w:trPr>
          <w:trHeight w:val="204"/>
        </w:trPr>
        <w:tc>
          <w:tcPr>
            <w:tcW w:w="718" w:type="dxa"/>
          </w:tcPr>
          <w:p w14:paraId="37942550" w14:textId="77777777" w:rsidR="002C6574" w:rsidRDefault="002C6574">
            <w:pPr>
              <w:pStyle w:val="TableParagraph"/>
              <w:jc w:val="left"/>
              <w:rPr>
                <w:rFonts w:ascii="Times New Roman"/>
                <w:sz w:val="14"/>
              </w:rPr>
            </w:pPr>
          </w:p>
        </w:tc>
        <w:tc>
          <w:tcPr>
            <w:tcW w:w="1635" w:type="dxa"/>
          </w:tcPr>
          <w:p w14:paraId="4968304D" w14:textId="77777777" w:rsidR="002C6574" w:rsidRDefault="002C6574">
            <w:pPr>
              <w:pStyle w:val="TableParagraph"/>
              <w:jc w:val="left"/>
              <w:rPr>
                <w:rFonts w:ascii="Times New Roman"/>
                <w:sz w:val="14"/>
              </w:rPr>
            </w:pPr>
          </w:p>
        </w:tc>
        <w:tc>
          <w:tcPr>
            <w:tcW w:w="1300" w:type="dxa"/>
          </w:tcPr>
          <w:p w14:paraId="3D11C354" w14:textId="77777777" w:rsidR="002C6574" w:rsidRDefault="00000000">
            <w:pPr>
              <w:pStyle w:val="TableParagraph"/>
              <w:spacing w:line="184" w:lineRule="exact"/>
              <w:ind w:right="105"/>
              <w:jc w:val="center"/>
              <w:rPr>
                <w:rFonts w:ascii="Arial" w:hAnsi="Arial"/>
                <w:b/>
                <w:sz w:val="18"/>
              </w:rPr>
            </w:pPr>
            <w:r>
              <w:rPr>
                <w:rFonts w:ascii="Arial" w:hAnsi="Arial"/>
                <w:b/>
                <w:spacing w:val="-2"/>
                <w:sz w:val="18"/>
              </w:rPr>
              <w:t>Locações</w:t>
            </w:r>
          </w:p>
        </w:tc>
        <w:tc>
          <w:tcPr>
            <w:tcW w:w="1271" w:type="dxa"/>
          </w:tcPr>
          <w:p w14:paraId="6D7F40AF" w14:textId="77777777" w:rsidR="002C6574" w:rsidRDefault="00000000">
            <w:pPr>
              <w:pStyle w:val="TableParagraph"/>
              <w:spacing w:line="184" w:lineRule="exact"/>
              <w:ind w:left="20"/>
              <w:jc w:val="center"/>
              <w:rPr>
                <w:rFonts w:ascii="Arial"/>
                <w:b/>
                <w:sz w:val="18"/>
              </w:rPr>
            </w:pPr>
            <w:r>
              <w:rPr>
                <w:rFonts w:ascii="Arial"/>
                <w:b/>
                <w:spacing w:val="-2"/>
                <w:sz w:val="18"/>
              </w:rPr>
              <w:t>Receita</w:t>
            </w:r>
          </w:p>
        </w:tc>
        <w:tc>
          <w:tcPr>
            <w:tcW w:w="1457" w:type="dxa"/>
          </w:tcPr>
          <w:p w14:paraId="45E16B3E" w14:textId="77777777" w:rsidR="002C6574" w:rsidRDefault="00000000">
            <w:pPr>
              <w:pStyle w:val="TableParagraph"/>
              <w:spacing w:line="184" w:lineRule="exact"/>
              <w:ind w:right="5"/>
              <w:jc w:val="center"/>
              <w:rPr>
                <w:rFonts w:ascii="Arial"/>
                <w:b/>
                <w:sz w:val="18"/>
              </w:rPr>
            </w:pPr>
            <w:r>
              <w:rPr>
                <w:rFonts w:ascii="Arial"/>
                <w:b/>
                <w:spacing w:val="-2"/>
                <w:sz w:val="18"/>
              </w:rPr>
              <w:t>Adicionado</w:t>
            </w:r>
          </w:p>
        </w:tc>
        <w:tc>
          <w:tcPr>
            <w:tcW w:w="1374" w:type="dxa"/>
          </w:tcPr>
          <w:p w14:paraId="73DBF220" w14:textId="77777777" w:rsidR="002C6574" w:rsidRDefault="00000000">
            <w:pPr>
              <w:pStyle w:val="TableParagraph"/>
              <w:spacing w:line="184" w:lineRule="exact"/>
              <w:ind w:left="1" w:right="138"/>
              <w:jc w:val="center"/>
              <w:rPr>
                <w:rFonts w:ascii="Arial"/>
                <w:b/>
                <w:sz w:val="18"/>
              </w:rPr>
            </w:pPr>
            <w:r>
              <w:rPr>
                <w:rFonts w:ascii="Arial"/>
                <w:b/>
                <w:spacing w:val="-2"/>
                <w:sz w:val="18"/>
              </w:rPr>
              <w:t>Receitas</w:t>
            </w:r>
          </w:p>
        </w:tc>
        <w:tc>
          <w:tcPr>
            <w:tcW w:w="839" w:type="dxa"/>
          </w:tcPr>
          <w:p w14:paraId="57E4B633" w14:textId="77777777" w:rsidR="002C6574" w:rsidRDefault="002C6574">
            <w:pPr>
              <w:pStyle w:val="TableParagraph"/>
              <w:jc w:val="left"/>
              <w:rPr>
                <w:rFonts w:ascii="Times New Roman"/>
                <w:sz w:val="14"/>
              </w:rPr>
            </w:pPr>
          </w:p>
        </w:tc>
      </w:tr>
    </w:tbl>
    <w:p w14:paraId="2730E5C8" w14:textId="77777777" w:rsidR="002C6574" w:rsidRDefault="002C6574">
      <w:pPr>
        <w:pStyle w:val="Corpodetexto"/>
        <w:spacing w:before="113"/>
        <w:rPr>
          <w:rFonts w:ascii="Arial"/>
          <w:b/>
          <w:sz w:val="19"/>
        </w:rPr>
      </w:pPr>
    </w:p>
    <w:p w14:paraId="19EBF9E8" w14:textId="77777777" w:rsidR="002C6574" w:rsidRDefault="00000000">
      <w:pPr>
        <w:spacing w:line="237" w:lineRule="auto"/>
        <w:ind w:left="427" w:right="142"/>
        <w:jc w:val="both"/>
        <w:rPr>
          <w:rFonts w:ascii="Arial" w:hAnsi="Arial"/>
          <w:b/>
          <w:position w:val="8"/>
          <w:sz w:val="16"/>
        </w:rPr>
      </w:pPr>
      <w:r>
        <w:rPr>
          <w:rFonts w:ascii="Arial" w:hAnsi="Arial"/>
          <w:b/>
          <w:noProof/>
          <w:position w:val="8"/>
          <w:sz w:val="16"/>
        </w:rPr>
        <mc:AlternateContent>
          <mc:Choice Requires="wps">
            <w:drawing>
              <wp:anchor distT="0" distB="0" distL="0" distR="0" simplePos="0" relativeHeight="15760896" behindDoc="0" locked="0" layoutInCell="1" allowOverlap="1" wp14:anchorId="1B030CA4" wp14:editId="5F08A5C0">
                <wp:simplePos x="0" y="0"/>
                <wp:positionH relativeFrom="page">
                  <wp:posOffset>541019</wp:posOffset>
                </wp:positionH>
                <wp:positionV relativeFrom="paragraph">
                  <wp:posOffset>508953</wp:posOffset>
                </wp:positionV>
                <wp:extent cx="1073785" cy="1524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785" cy="15240"/>
                        </a:xfrm>
                        <a:custGeom>
                          <a:avLst/>
                          <a:gdLst/>
                          <a:ahLst/>
                          <a:cxnLst/>
                          <a:rect l="l" t="t" r="r" b="b"/>
                          <a:pathLst>
                            <a:path w="1073785" h="15240">
                              <a:moveTo>
                                <a:pt x="1073200" y="0"/>
                              </a:moveTo>
                              <a:lnTo>
                                <a:pt x="0" y="0"/>
                              </a:lnTo>
                              <a:lnTo>
                                <a:pt x="0" y="15239"/>
                              </a:lnTo>
                              <a:lnTo>
                                <a:pt x="1073200" y="15239"/>
                              </a:lnTo>
                              <a:lnTo>
                                <a:pt x="1073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50B1E6" id="Graphic 337" o:spid="_x0000_s1026" style="position:absolute;margin-left:42.6pt;margin-top:40.1pt;width:84.55pt;height:1.2pt;z-index:15760896;visibility:visible;mso-wrap-style:square;mso-wrap-distance-left:0;mso-wrap-distance-top:0;mso-wrap-distance-right:0;mso-wrap-distance-bottom:0;mso-position-horizontal:absolute;mso-position-horizontal-relative:page;mso-position-vertical:absolute;mso-position-vertical-relative:text;v-text-anchor:top" coordsize="107378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" path="m1073200,l,,,15239r1073200,l1073200,xe" fillcolor="black" stroked="f">
                <v:path arrowok="t"/>
                <w10:wrap anchorx="page"/>
              </v:shape>
            </w:pict>
          </mc:Fallback>
        </mc:AlternateContent>
      </w:r>
      <w:r>
        <w:rPr>
          <w:rFonts w:ascii="Arial" w:hAnsi="Arial"/>
          <w:b/>
          <w:sz w:val="24"/>
          <w:u w:val="single"/>
        </w:rPr>
        <w:t>C</w:t>
      </w:r>
      <w:r>
        <w:rPr>
          <w:rFonts w:ascii="Arial" w:hAnsi="Arial"/>
          <w:b/>
          <w:sz w:val="19"/>
          <w:u w:val="single"/>
        </w:rPr>
        <w:t xml:space="preserve">USTOS E </w:t>
      </w:r>
      <w:r>
        <w:rPr>
          <w:rFonts w:ascii="Arial" w:hAnsi="Arial"/>
          <w:b/>
          <w:sz w:val="24"/>
          <w:u w:val="single"/>
        </w:rPr>
        <w:t>D</w:t>
      </w:r>
      <w:r>
        <w:rPr>
          <w:rFonts w:ascii="Arial" w:hAnsi="Arial"/>
          <w:b/>
          <w:sz w:val="19"/>
          <w:u w:val="single"/>
        </w:rPr>
        <w:t xml:space="preserve">ESPESAS </w:t>
      </w:r>
      <w:r>
        <w:rPr>
          <w:rFonts w:ascii="Arial" w:hAnsi="Arial"/>
          <w:b/>
          <w:sz w:val="24"/>
          <w:u w:val="single"/>
        </w:rPr>
        <w:t>O</w:t>
      </w:r>
      <w:r>
        <w:rPr>
          <w:rFonts w:ascii="Arial" w:hAnsi="Arial"/>
          <w:b/>
          <w:sz w:val="19"/>
          <w:u w:val="single"/>
        </w:rPr>
        <w:t xml:space="preserve">PERACIONAIS </w:t>
      </w:r>
      <w:r>
        <w:rPr>
          <w:rFonts w:ascii="Arial" w:hAnsi="Arial"/>
          <w:b/>
          <w:sz w:val="24"/>
          <w:u w:val="single"/>
        </w:rPr>
        <w:t>V</w:t>
      </w:r>
      <w:r>
        <w:rPr>
          <w:rFonts w:ascii="Arial" w:hAnsi="Arial"/>
          <w:b/>
          <w:sz w:val="19"/>
          <w:u w:val="single"/>
        </w:rPr>
        <w:t xml:space="preserve">INCULADAS ÀS </w:t>
      </w:r>
      <w:r>
        <w:rPr>
          <w:rFonts w:ascii="Arial" w:hAnsi="Arial"/>
          <w:b/>
          <w:sz w:val="24"/>
          <w:u w:val="single"/>
        </w:rPr>
        <w:t>F</w:t>
      </w:r>
      <w:r>
        <w:rPr>
          <w:rFonts w:ascii="Arial" w:hAnsi="Arial"/>
          <w:b/>
          <w:sz w:val="19"/>
          <w:u w:val="single"/>
        </w:rPr>
        <w:t>UNÇÕES</w:t>
      </w:r>
      <w:r>
        <w:rPr>
          <w:rFonts w:ascii="Arial" w:hAnsi="Arial"/>
          <w:b/>
          <w:sz w:val="24"/>
          <w:u w:val="single"/>
        </w:rPr>
        <w:t>: C</w:t>
      </w:r>
      <w:r>
        <w:rPr>
          <w:rFonts w:ascii="Arial" w:hAnsi="Arial"/>
          <w:b/>
          <w:sz w:val="19"/>
          <w:u w:val="single"/>
        </w:rPr>
        <w:t xml:space="preserve">USTO DOS </w:t>
      </w:r>
      <w:r>
        <w:rPr>
          <w:rFonts w:ascii="Arial" w:hAnsi="Arial"/>
          <w:b/>
          <w:sz w:val="24"/>
          <w:u w:val="single"/>
        </w:rPr>
        <w:t>S</w:t>
      </w:r>
      <w:r>
        <w:rPr>
          <w:rFonts w:ascii="Arial" w:hAnsi="Arial"/>
          <w:b/>
          <w:sz w:val="19"/>
          <w:u w:val="single"/>
        </w:rPr>
        <w:t xml:space="preserve">ERVIÇOS </w:t>
      </w:r>
      <w:r>
        <w:rPr>
          <w:rFonts w:ascii="Arial" w:hAnsi="Arial"/>
          <w:b/>
          <w:sz w:val="24"/>
          <w:u w:val="single"/>
        </w:rPr>
        <w:t>P</w:t>
      </w:r>
      <w:r>
        <w:rPr>
          <w:rFonts w:ascii="Arial" w:hAnsi="Arial"/>
          <w:b/>
          <w:sz w:val="19"/>
          <w:u w:val="single"/>
        </w:rPr>
        <w:t>RESTADOS</w:t>
      </w:r>
      <w:r>
        <w:rPr>
          <w:rFonts w:ascii="Arial" w:hAnsi="Arial"/>
          <w:b/>
          <w:sz w:val="24"/>
          <w:u w:val="single"/>
        </w:rPr>
        <w:t>,</w:t>
      </w:r>
      <w:r>
        <w:rPr>
          <w:rFonts w:ascii="Arial" w:hAnsi="Arial"/>
          <w:b/>
          <w:sz w:val="24"/>
        </w:rPr>
        <w:t xml:space="preserve"> </w:t>
      </w:r>
      <w:r>
        <w:rPr>
          <w:rFonts w:ascii="Arial" w:hAnsi="Arial"/>
          <w:b/>
          <w:sz w:val="24"/>
          <w:u w:val="single"/>
        </w:rPr>
        <w:t>C</w:t>
      </w:r>
      <w:r>
        <w:rPr>
          <w:rFonts w:ascii="Arial" w:hAnsi="Arial"/>
          <w:b/>
          <w:sz w:val="19"/>
          <w:u w:val="single"/>
        </w:rPr>
        <w:t xml:space="preserve">OMERCIALIZAÇÃO DOS </w:t>
      </w:r>
      <w:r>
        <w:rPr>
          <w:rFonts w:ascii="Arial" w:hAnsi="Arial"/>
          <w:b/>
          <w:sz w:val="24"/>
          <w:u w:val="single"/>
        </w:rPr>
        <w:t>S</w:t>
      </w:r>
      <w:r>
        <w:rPr>
          <w:rFonts w:ascii="Arial" w:hAnsi="Arial"/>
          <w:b/>
          <w:sz w:val="19"/>
          <w:u w:val="single"/>
        </w:rPr>
        <w:t xml:space="preserve">ERVIÇOS E </w:t>
      </w:r>
      <w:r>
        <w:rPr>
          <w:rFonts w:ascii="Arial" w:hAnsi="Arial"/>
          <w:b/>
          <w:sz w:val="24"/>
          <w:u w:val="single"/>
        </w:rPr>
        <w:t>D</w:t>
      </w:r>
      <w:r>
        <w:rPr>
          <w:rFonts w:ascii="Arial" w:hAnsi="Arial"/>
          <w:b/>
          <w:sz w:val="19"/>
          <w:u w:val="single"/>
        </w:rPr>
        <w:t xml:space="preserve">ESPESAS </w:t>
      </w:r>
      <w:r>
        <w:rPr>
          <w:rFonts w:ascii="Arial" w:hAnsi="Arial"/>
          <w:b/>
          <w:sz w:val="24"/>
          <w:u w:val="single"/>
        </w:rPr>
        <w:t>G</w:t>
      </w:r>
      <w:r>
        <w:rPr>
          <w:rFonts w:ascii="Arial" w:hAnsi="Arial"/>
          <w:b/>
          <w:sz w:val="19"/>
          <w:u w:val="single"/>
        </w:rPr>
        <w:t xml:space="preserve">ERAIS E </w:t>
      </w:r>
      <w:r>
        <w:rPr>
          <w:rFonts w:ascii="Arial" w:hAnsi="Arial"/>
          <w:b/>
          <w:sz w:val="24"/>
          <w:u w:val="single"/>
        </w:rPr>
        <w:t>A</w:t>
      </w:r>
      <w:r>
        <w:rPr>
          <w:rFonts w:ascii="Arial" w:hAnsi="Arial"/>
          <w:b/>
          <w:sz w:val="19"/>
          <w:u w:val="single"/>
        </w:rPr>
        <w:t xml:space="preserve">DMINISTRATIVA </w:t>
      </w:r>
      <w:r>
        <w:rPr>
          <w:rFonts w:ascii="Arial" w:hAnsi="Arial"/>
          <w:b/>
          <w:sz w:val="24"/>
          <w:u w:val="single"/>
        </w:rPr>
        <w:t>(E</w:t>
      </w:r>
      <w:r>
        <w:rPr>
          <w:rFonts w:ascii="Arial" w:hAnsi="Arial"/>
          <w:b/>
          <w:sz w:val="19"/>
          <w:u w:val="single"/>
        </w:rPr>
        <w:t xml:space="preserve">XCETO </w:t>
      </w:r>
      <w:r>
        <w:rPr>
          <w:rFonts w:ascii="Arial" w:hAnsi="Arial"/>
          <w:b/>
          <w:sz w:val="24"/>
          <w:u w:val="single"/>
        </w:rPr>
        <w:t>D</w:t>
      </w:r>
      <w:r>
        <w:rPr>
          <w:rFonts w:ascii="Arial" w:hAnsi="Arial"/>
          <w:b/>
          <w:sz w:val="19"/>
          <w:u w:val="single"/>
        </w:rPr>
        <w:t>EPRECIAÇÃO E</w:t>
      </w:r>
      <w:r>
        <w:rPr>
          <w:rFonts w:ascii="Arial" w:hAnsi="Arial"/>
          <w:b/>
          <w:sz w:val="19"/>
        </w:rPr>
        <w:t xml:space="preserve"> </w:t>
      </w:r>
      <w:r>
        <w:rPr>
          <w:rFonts w:ascii="Arial" w:hAnsi="Arial"/>
          <w:b/>
          <w:spacing w:val="-2"/>
          <w:sz w:val="24"/>
        </w:rPr>
        <w:t>A</w:t>
      </w:r>
      <w:r>
        <w:rPr>
          <w:rFonts w:ascii="Arial" w:hAnsi="Arial"/>
          <w:b/>
          <w:spacing w:val="-2"/>
          <w:sz w:val="19"/>
        </w:rPr>
        <w:t>MORTIZAÇÃO</w:t>
      </w:r>
      <w:r>
        <w:rPr>
          <w:rFonts w:ascii="Arial" w:hAnsi="Arial"/>
          <w:b/>
          <w:spacing w:val="-2"/>
          <w:sz w:val="24"/>
        </w:rPr>
        <w:t>)</w:t>
      </w:r>
      <w:hyperlink w:anchor="_bookmark13" w:history="1">
        <w:r>
          <w:rPr>
            <w:rFonts w:ascii="Arial" w:hAnsi="Arial"/>
            <w:b/>
            <w:spacing w:val="-2"/>
            <w:position w:val="8"/>
            <w:sz w:val="16"/>
          </w:rPr>
          <w:t>2</w:t>
        </w:r>
      </w:hyperlink>
    </w:p>
    <w:p w14:paraId="0CDF015E" w14:textId="77777777" w:rsidR="002C6574" w:rsidRDefault="002C6574">
      <w:pPr>
        <w:pStyle w:val="Corpodetexto"/>
        <w:spacing w:before="129"/>
        <w:rPr>
          <w:rFonts w:ascii="Arial"/>
          <w:b/>
          <w:sz w:val="15"/>
        </w:rPr>
      </w:pPr>
    </w:p>
    <w:p w14:paraId="62441C95" w14:textId="77777777" w:rsidR="002C6574" w:rsidRDefault="00000000">
      <w:pPr>
        <w:spacing w:after="33"/>
        <w:ind w:left="1837" w:right="832"/>
        <w:jc w:val="center"/>
        <w:rPr>
          <w:rFonts w:ascii="Arial"/>
          <w:b/>
          <w:sz w:val="15"/>
        </w:rPr>
      </w:pPr>
      <w:r>
        <w:rPr>
          <w:rFonts w:ascii="Arial"/>
          <w:b/>
          <w:spacing w:val="-2"/>
          <w:sz w:val="15"/>
        </w:rPr>
        <w:t>Trimestres</w:t>
      </w:r>
    </w:p>
    <w:tbl>
      <w:tblPr>
        <w:tblStyle w:val="TableNormal"/>
        <w:tblW w:w="0" w:type="auto"/>
        <w:tblInd w:w="419" w:type="dxa"/>
        <w:tblLayout w:type="fixed"/>
        <w:tblLook w:val="01E0" w:firstRow="1" w:lastRow="1" w:firstColumn="1" w:lastColumn="1" w:noHBand="0" w:noVBand="0"/>
      </w:tblPr>
      <w:tblGrid>
        <w:gridCol w:w="3412"/>
        <w:gridCol w:w="927"/>
        <w:gridCol w:w="923"/>
        <w:gridCol w:w="907"/>
        <w:gridCol w:w="946"/>
        <w:gridCol w:w="709"/>
        <w:gridCol w:w="146"/>
        <w:gridCol w:w="865"/>
        <w:gridCol w:w="938"/>
        <w:gridCol w:w="772"/>
      </w:tblGrid>
      <w:tr w:rsidR="002C6574" w14:paraId="487DC624" w14:textId="77777777">
        <w:trPr>
          <w:trHeight w:val="287"/>
        </w:trPr>
        <w:tc>
          <w:tcPr>
            <w:tcW w:w="3412" w:type="dxa"/>
          </w:tcPr>
          <w:p w14:paraId="6A096B20" w14:textId="77777777" w:rsidR="002C6574" w:rsidRDefault="00000000">
            <w:pPr>
              <w:pStyle w:val="TableParagraph"/>
              <w:spacing w:before="99" w:line="169" w:lineRule="exact"/>
              <w:ind w:left="84"/>
              <w:jc w:val="left"/>
              <w:rPr>
                <w:rFonts w:ascii="Arial"/>
                <w:b/>
                <w:sz w:val="15"/>
              </w:rPr>
            </w:pPr>
            <w:r>
              <w:rPr>
                <w:rFonts w:ascii="Arial"/>
                <w:b/>
                <w:noProof/>
                <w:sz w:val="15"/>
              </w:rPr>
              <mc:AlternateContent>
                <mc:Choice Requires="wpg">
                  <w:drawing>
                    <wp:anchor distT="0" distB="0" distL="0" distR="0" simplePos="0" relativeHeight="472588288" behindDoc="1" locked="0" layoutInCell="1" allowOverlap="1" wp14:anchorId="69CB9D1A" wp14:editId="4356CCEE">
                      <wp:simplePos x="0" y="0"/>
                      <wp:positionH relativeFrom="column">
                        <wp:posOffset>9651</wp:posOffset>
                      </wp:positionH>
                      <wp:positionV relativeFrom="paragraph">
                        <wp:posOffset>37908</wp:posOffset>
                      </wp:positionV>
                      <wp:extent cx="3878579" cy="1410335"/>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8579" cy="1410335"/>
                                <a:chOff x="0" y="0"/>
                                <a:chExt cx="3878579" cy="1410335"/>
                              </a:xfrm>
                            </wpg:grpSpPr>
                            <wps:wsp>
                              <wps:cNvPr id="339" name="Graphic 339"/>
                              <wps:cNvSpPr/>
                              <wps:spPr>
                                <a:xfrm>
                                  <a:off x="0" y="0"/>
                                  <a:ext cx="3878579" cy="134620"/>
                                </a:xfrm>
                                <a:custGeom>
                                  <a:avLst/>
                                  <a:gdLst/>
                                  <a:ahLst/>
                                  <a:cxnLst/>
                                  <a:rect l="l" t="t" r="r" b="b"/>
                                  <a:pathLst>
                                    <a:path w="3878579" h="134620">
                                      <a:moveTo>
                                        <a:pt x="2155558" y="0"/>
                                      </a:moveTo>
                                      <a:lnTo>
                                        <a:pt x="0" y="0"/>
                                      </a:lnTo>
                                      <a:lnTo>
                                        <a:pt x="0" y="134112"/>
                                      </a:lnTo>
                                      <a:lnTo>
                                        <a:pt x="2155558" y="134112"/>
                                      </a:lnTo>
                                      <a:lnTo>
                                        <a:pt x="2155558" y="0"/>
                                      </a:lnTo>
                                      <a:close/>
                                    </a:path>
                                    <a:path w="3878579" h="134620">
                                      <a:moveTo>
                                        <a:pt x="3877995" y="0"/>
                                      </a:moveTo>
                                      <a:lnTo>
                                        <a:pt x="3327527" y="0"/>
                                      </a:lnTo>
                                      <a:lnTo>
                                        <a:pt x="2731643" y="0"/>
                                      </a:lnTo>
                                      <a:lnTo>
                                        <a:pt x="2155571" y="0"/>
                                      </a:lnTo>
                                      <a:lnTo>
                                        <a:pt x="2155571" y="134112"/>
                                      </a:lnTo>
                                      <a:lnTo>
                                        <a:pt x="2731643" y="134112"/>
                                      </a:lnTo>
                                      <a:lnTo>
                                        <a:pt x="3327527" y="134112"/>
                                      </a:lnTo>
                                      <a:lnTo>
                                        <a:pt x="3877995" y="134112"/>
                                      </a:lnTo>
                                      <a:lnTo>
                                        <a:pt x="3877995" y="0"/>
                                      </a:lnTo>
                                      <a:close/>
                                    </a:path>
                                  </a:pathLst>
                                </a:custGeom>
                                <a:solidFill>
                                  <a:srgbClr val="0000FF"/>
                                </a:solidFill>
                              </wps:spPr>
                              <wps:bodyPr wrap="square" lIns="0" tIns="0" rIns="0" bIns="0" rtlCol="0">
                                <a:prstTxWarp prst="textNoShape">
                                  <a:avLst/>
                                </a:prstTxWarp>
                                <a:noAutofit/>
                              </wps:bodyPr>
                            </wps:wsp>
                            <wps:wsp>
                              <wps:cNvPr id="340" name="Graphic 340"/>
                              <wps:cNvSpPr/>
                              <wps:spPr>
                                <a:xfrm>
                                  <a:off x="2155571" y="134111"/>
                                  <a:ext cx="576580" cy="1143635"/>
                                </a:xfrm>
                                <a:custGeom>
                                  <a:avLst/>
                                  <a:gdLst/>
                                  <a:ahLst/>
                                  <a:cxnLst/>
                                  <a:rect l="l" t="t" r="r" b="b"/>
                                  <a:pathLst>
                                    <a:path w="576580" h="1143635">
                                      <a:moveTo>
                                        <a:pt x="576072" y="888758"/>
                                      </a:moveTo>
                                      <a:lnTo>
                                        <a:pt x="0" y="888758"/>
                                      </a:lnTo>
                                      <a:lnTo>
                                        <a:pt x="0" y="1015238"/>
                                      </a:lnTo>
                                      <a:lnTo>
                                        <a:pt x="0" y="1143254"/>
                                      </a:lnTo>
                                      <a:lnTo>
                                        <a:pt x="576072" y="1143254"/>
                                      </a:lnTo>
                                      <a:lnTo>
                                        <a:pt x="576072" y="1015238"/>
                                      </a:lnTo>
                                      <a:lnTo>
                                        <a:pt x="576072" y="888758"/>
                                      </a:lnTo>
                                      <a:close/>
                                    </a:path>
                                    <a:path w="576580" h="1143635">
                                      <a:moveTo>
                                        <a:pt x="576072" y="507758"/>
                                      </a:moveTo>
                                      <a:lnTo>
                                        <a:pt x="0" y="507758"/>
                                      </a:lnTo>
                                      <a:lnTo>
                                        <a:pt x="0" y="634238"/>
                                      </a:lnTo>
                                      <a:lnTo>
                                        <a:pt x="0" y="762254"/>
                                      </a:lnTo>
                                      <a:lnTo>
                                        <a:pt x="0" y="888746"/>
                                      </a:lnTo>
                                      <a:lnTo>
                                        <a:pt x="576072" y="888746"/>
                                      </a:lnTo>
                                      <a:lnTo>
                                        <a:pt x="576072" y="762254"/>
                                      </a:lnTo>
                                      <a:lnTo>
                                        <a:pt x="576072" y="634238"/>
                                      </a:lnTo>
                                      <a:lnTo>
                                        <a:pt x="576072" y="507758"/>
                                      </a:lnTo>
                                      <a:close/>
                                    </a:path>
                                    <a:path w="576580" h="1143635">
                                      <a:moveTo>
                                        <a:pt x="576072" y="0"/>
                                      </a:moveTo>
                                      <a:lnTo>
                                        <a:pt x="0" y="0"/>
                                      </a:lnTo>
                                      <a:lnTo>
                                        <a:pt x="0" y="126441"/>
                                      </a:lnTo>
                                      <a:lnTo>
                                        <a:pt x="0" y="253238"/>
                                      </a:lnTo>
                                      <a:lnTo>
                                        <a:pt x="0" y="381254"/>
                                      </a:lnTo>
                                      <a:lnTo>
                                        <a:pt x="0" y="507746"/>
                                      </a:lnTo>
                                      <a:lnTo>
                                        <a:pt x="576072" y="507746"/>
                                      </a:lnTo>
                                      <a:lnTo>
                                        <a:pt x="576072" y="381254"/>
                                      </a:lnTo>
                                      <a:lnTo>
                                        <a:pt x="576072" y="253238"/>
                                      </a:lnTo>
                                      <a:lnTo>
                                        <a:pt x="576072" y="126492"/>
                                      </a:lnTo>
                                      <a:lnTo>
                                        <a:pt x="576072" y="0"/>
                                      </a:lnTo>
                                      <a:close/>
                                    </a:path>
                                  </a:pathLst>
                                </a:custGeom>
                                <a:solidFill>
                                  <a:srgbClr val="66FFFF"/>
                                </a:solidFill>
                              </wps:spPr>
                              <wps:bodyPr wrap="square" lIns="0" tIns="0" rIns="0" bIns="0" rtlCol="0">
                                <a:prstTxWarp prst="textNoShape">
                                  <a:avLst/>
                                </a:prstTxWarp>
                                <a:noAutofit/>
                              </wps:bodyPr>
                            </wps:wsp>
                            <wps:wsp>
                              <wps:cNvPr id="341" name="Graphic 341"/>
                              <wps:cNvSpPr/>
                              <wps:spPr>
                                <a:xfrm>
                                  <a:off x="0" y="1277365"/>
                                  <a:ext cx="3878579" cy="132715"/>
                                </a:xfrm>
                                <a:custGeom>
                                  <a:avLst/>
                                  <a:gdLst/>
                                  <a:ahLst/>
                                  <a:cxnLst/>
                                  <a:rect l="l" t="t" r="r" b="b"/>
                                  <a:pathLst>
                                    <a:path w="3878579" h="132715">
                                      <a:moveTo>
                                        <a:pt x="2155558" y="0"/>
                                      </a:moveTo>
                                      <a:lnTo>
                                        <a:pt x="0" y="0"/>
                                      </a:lnTo>
                                      <a:lnTo>
                                        <a:pt x="0" y="132588"/>
                                      </a:lnTo>
                                      <a:lnTo>
                                        <a:pt x="2155558" y="132588"/>
                                      </a:lnTo>
                                      <a:lnTo>
                                        <a:pt x="2155558" y="0"/>
                                      </a:lnTo>
                                      <a:close/>
                                    </a:path>
                                    <a:path w="3878579" h="132715">
                                      <a:moveTo>
                                        <a:pt x="3877995" y="0"/>
                                      </a:moveTo>
                                      <a:lnTo>
                                        <a:pt x="3327527" y="0"/>
                                      </a:lnTo>
                                      <a:lnTo>
                                        <a:pt x="2731643" y="0"/>
                                      </a:lnTo>
                                      <a:lnTo>
                                        <a:pt x="2155571" y="0"/>
                                      </a:lnTo>
                                      <a:lnTo>
                                        <a:pt x="2155571" y="132588"/>
                                      </a:lnTo>
                                      <a:lnTo>
                                        <a:pt x="2731643" y="132588"/>
                                      </a:lnTo>
                                      <a:lnTo>
                                        <a:pt x="3327527" y="132588"/>
                                      </a:lnTo>
                                      <a:lnTo>
                                        <a:pt x="3877995" y="132588"/>
                                      </a:lnTo>
                                      <a:lnTo>
                                        <a:pt x="3877995"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035615B7" id="Group 338" o:spid="_x0000_s1026" style="position:absolute;margin-left:.75pt;margin-top:3pt;width:305.4pt;height:111.05pt;z-index:-30728192;mso-wrap-distance-left:0;mso-wrap-distance-right:0" coordsize="38785,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">
                      <v:shape id="Graphic 339" o:spid="_x0000_s1027" style="position:absolute;width:38785;height:1346;visibility:visible;mso-wrap-style:square;v-text-anchor:top" coordsize="3878579,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" path="m2155558,l,,,134112r2155558,l2155558,xem3877995,l3327527,,2731643,,2155571,r,134112l2731643,134112r595884,l3877995,134112,3877995,xe" fillcolor="blue" stroked="f">
                        <v:path arrowok="t"/>
                      </v:shape>
                      <v:shape id="Graphic 340" o:spid="_x0000_s1028" style="position:absolute;left:21555;top:1341;width:5766;height:11436;visibility:visible;mso-wrap-style:square;v-text-anchor:top" coordsize="576580,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" path="m576072,888758l,888758r,126480l,1143254r576072,l576072,1015238r,-126480xem576072,507758l,507758,,634238,,762254,,888746r576072,l576072,762254r,-128016l576072,507758xem576072,l,,,126441,,253238,,381254,,507746r576072,l576072,381254r,-128016l576072,126492,576072,xe" fillcolor="#6ff" stroked="f">
                        <v:path arrowok="t"/>
                      </v:shape>
                      <v:shape id="Graphic 341" o:spid="_x0000_s1029" style="position:absolute;top:12773;width:38785;height:1327;visibility:visible;mso-wrap-style:square;v-text-anchor:top" coordsize="3878579,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" path="m2155558,l,,,132588r2155558,l2155558,xem3877995,l3327527,,2731643,,2155571,r,132588l2731643,132588r595884,l3877995,132588,3877995,xe" fillcolor="blue" stroked="f">
                        <v:path arrowok="t"/>
                      </v:shape>
                    </v:group>
                  </w:pict>
                </mc:Fallback>
              </mc:AlternateContent>
            </w:r>
            <w:r>
              <w:rPr>
                <w:rFonts w:ascii="Arial"/>
                <w:b/>
                <w:color w:val="FFFFFF"/>
                <w:sz w:val="15"/>
              </w:rPr>
              <w:t>R$</w:t>
            </w:r>
            <w:r>
              <w:rPr>
                <w:rFonts w:ascii="Arial"/>
                <w:b/>
                <w:color w:val="FFFFFF"/>
                <w:spacing w:val="-1"/>
                <w:sz w:val="15"/>
              </w:rPr>
              <w:t xml:space="preserve"> </w:t>
            </w:r>
            <w:r>
              <w:rPr>
                <w:rFonts w:ascii="Arial"/>
                <w:b/>
                <w:color w:val="FFFFFF"/>
                <w:spacing w:val="-5"/>
                <w:sz w:val="15"/>
              </w:rPr>
              <w:t>mil</w:t>
            </w:r>
          </w:p>
        </w:tc>
        <w:tc>
          <w:tcPr>
            <w:tcW w:w="927" w:type="dxa"/>
            <w:tcBorders>
              <w:top w:val="single" w:sz="8" w:space="0" w:color="000000"/>
            </w:tcBorders>
          </w:tcPr>
          <w:p w14:paraId="065F9327" w14:textId="77777777" w:rsidR="002C6574" w:rsidRDefault="00000000">
            <w:pPr>
              <w:pStyle w:val="TableParagraph"/>
              <w:spacing w:before="79"/>
              <w:ind w:left="281"/>
              <w:jc w:val="left"/>
              <w:rPr>
                <w:rFonts w:ascii="Arial"/>
                <w:b/>
                <w:sz w:val="15"/>
              </w:rPr>
            </w:pPr>
            <w:r>
              <w:rPr>
                <w:rFonts w:ascii="Arial"/>
                <w:b/>
                <w:color w:val="FFFFFF"/>
                <w:spacing w:val="-4"/>
                <w:sz w:val="15"/>
              </w:rPr>
              <w:t>4T25</w:t>
            </w:r>
          </w:p>
        </w:tc>
        <w:tc>
          <w:tcPr>
            <w:tcW w:w="923" w:type="dxa"/>
            <w:tcBorders>
              <w:top w:val="single" w:sz="8" w:space="0" w:color="000000"/>
            </w:tcBorders>
          </w:tcPr>
          <w:p w14:paraId="1B9D018F" w14:textId="77777777" w:rsidR="002C6574" w:rsidRDefault="00000000">
            <w:pPr>
              <w:pStyle w:val="TableParagraph"/>
              <w:spacing w:before="79"/>
              <w:ind w:left="275"/>
              <w:jc w:val="left"/>
              <w:rPr>
                <w:rFonts w:ascii="Arial"/>
                <w:b/>
                <w:sz w:val="15"/>
              </w:rPr>
            </w:pPr>
            <w:r>
              <w:rPr>
                <w:rFonts w:ascii="Arial"/>
                <w:b/>
                <w:color w:val="FFFFFF"/>
                <w:spacing w:val="-4"/>
                <w:sz w:val="15"/>
              </w:rPr>
              <w:t>4T24</w:t>
            </w:r>
          </w:p>
        </w:tc>
        <w:tc>
          <w:tcPr>
            <w:tcW w:w="907" w:type="dxa"/>
            <w:tcBorders>
              <w:top w:val="single" w:sz="8" w:space="0" w:color="000000"/>
            </w:tcBorders>
          </w:tcPr>
          <w:p w14:paraId="71517BE0" w14:textId="77777777" w:rsidR="002C6574" w:rsidRDefault="00000000">
            <w:pPr>
              <w:pStyle w:val="TableParagraph"/>
              <w:spacing w:before="79"/>
              <w:ind w:left="257"/>
              <w:jc w:val="left"/>
              <w:rPr>
                <w:rFonts w:ascii="Arial"/>
                <w:b/>
                <w:sz w:val="15"/>
              </w:rPr>
            </w:pPr>
            <w:r>
              <w:rPr>
                <w:rFonts w:ascii="Arial"/>
                <w:b/>
                <w:color w:val="FFFFFF"/>
                <w:spacing w:val="-4"/>
                <w:sz w:val="15"/>
              </w:rPr>
              <w:t>3T25</w:t>
            </w:r>
          </w:p>
        </w:tc>
        <w:tc>
          <w:tcPr>
            <w:tcW w:w="1655" w:type="dxa"/>
            <w:gridSpan w:val="2"/>
            <w:tcBorders>
              <w:top w:val="single" w:sz="8" w:space="0" w:color="000000"/>
            </w:tcBorders>
          </w:tcPr>
          <w:p w14:paraId="5E0A31AA" w14:textId="77777777" w:rsidR="002C6574" w:rsidRDefault="00000000">
            <w:pPr>
              <w:pStyle w:val="TableParagraph"/>
              <w:tabs>
                <w:tab w:val="left" w:pos="1037"/>
              </w:tabs>
              <w:spacing w:before="79"/>
              <w:ind w:left="118" w:right="-15"/>
              <w:jc w:val="left"/>
              <w:rPr>
                <w:rFonts w:ascii="Arial" w:hAnsi="Arial"/>
                <w:b/>
                <w:sz w:val="15"/>
              </w:rPr>
            </w:pPr>
            <w:r>
              <w:rPr>
                <w:rFonts w:ascii="Times New Roman" w:hAnsi="Times New Roman"/>
                <w:color w:val="FFFFFF"/>
                <w:spacing w:val="55"/>
                <w:sz w:val="15"/>
                <w:highlight w:val="blue"/>
              </w:rPr>
              <w:t xml:space="preserve">  </w:t>
            </w:r>
            <w:r>
              <w:rPr>
                <w:rFonts w:ascii="Arial" w:hAnsi="Arial"/>
                <w:b/>
                <w:color w:val="FFFFFF"/>
                <w:sz w:val="15"/>
                <w:highlight w:val="blue"/>
              </w:rPr>
              <w:t>Δ</w:t>
            </w:r>
            <w:r>
              <w:rPr>
                <w:rFonts w:ascii="Arial" w:hAnsi="Arial"/>
                <w:b/>
                <w:color w:val="FFFFFF"/>
                <w:spacing w:val="-2"/>
                <w:sz w:val="15"/>
                <w:highlight w:val="blue"/>
              </w:rPr>
              <w:t xml:space="preserve"> </w:t>
            </w:r>
            <w:r>
              <w:rPr>
                <w:rFonts w:ascii="Arial" w:hAnsi="Arial"/>
                <w:b/>
                <w:color w:val="FFFFFF"/>
                <w:spacing w:val="-5"/>
                <w:sz w:val="15"/>
                <w:highlight w:val="blue"/>
              </w:rPr>
              <w:t>Ano</w:t>
            </w:r>
            <w:r>
              <w:rPr>
                <w:rFonts w:ascii="Arial" w:hAnsi="Arial"/>
                <w:b/>
                <w:color w:val="FFFFFF"/>
                <w:sz w:val="15"/>
                <w:highlight w:val="blue"/>
              </w:rPr>
              <w:tab/>
              <w:t>Δ</w:t>
            </w:r>
            <w:r>
              <w:rPr>
                <w:rFonts w:ascii="Arial" w:hAnsi="Arial"/>
                <w:b/>
                <w:color w:val="FFFFFF"/>
                <w:spacing w:val="-4"/>
                <w:sz w:val="15"/>
                <w:highlight w:val="blue"/>
              </w:rPr>
              <w:t xml:space="preserve"> </w:t>
            </w:r>
            <w:r>
              <w:rPr>
                <w:rFonts w:ascii="Arial" w:hAnsi="Arial"/>
                <w:b/>
                <w:color w:val="FFFFFF"/>
                <w:spacing w:val="-2"/>
                <w:sz w:val="15"/>
                <w:highlight w:val="blue"/>
              </w:rPr>
              <w:t>Trim.</w:t>
            </w:r>
            <w:r>
              <w:rPr>
                <w:rFonts w:ascii="Arial" w:hAnsi="Arial"/>
                <w:b/>
                <w:color w:val="FFFFFF"/>
                <w:spacing w:val="40"/>
                <w:sz w:val="15"/>
                <w:highlight w:val="blue"/>
              </w:rPr>
              <w:t xml:space="preserve"> </w:t>
            </w:r>
          </w:p>
        </w:tc>
        <w:tc>
          <w:tcPr>
            <w:tcW w:w="1949" w:type="dxa"/>
            <w:gridSpan w:val="3"/>
          </w:tcPr>
          <w:p w14:paraId="4820392C" w14:textId="77777777" w:rsidR="002C6574" w:rsidRDefault="00000000">
            <w:pPr>
              <w:pStyle w:val="TableParagraph"/>
              <w:tabs>
                <w:tab w:val="left" w:pos="614"/>
                <w:tab w:val="left" w:pos="1284"/>
                <w:tab w:val="left" w:pos="1884"/>
              </w:tabs>
              <w:spacing w:before="79"/>
              <w:ind w:left="151"/>
              <w:jc w:val="left"/>
              <w:rPr>
                <w:rFonts w:ascii="Arial"/>
                <w:b/>
                <w:sz w:val="15"/>
              </w:rPr>
            </w:pPr>
            <w:r>
              <w:rPr>
                <w:rFonts w:ascii="Arial"/>
                <w:b/>
                <w:color w:val="FFFFFF"/>
                <w:sz w:val="15"/>
                <w:highlight w:val="blue"/>
              </w:rPr>
              <w:tab/>
            </w:r>
            <w:r>
              <w:rPr>
                <w:rFonts w:ascii="Arial"/>
                <w:b/>
                <w:color w:val="FFFFFF"/>
                <w:spacing w:val="-4"/>
                <w:sz w:val="15"/>
                <w:highlight w:val="blue"/>
              </w:rPr>
              <w:t>2025</w:t>
            </w:r>
            <w:r>
              <w:rPr>
                <w:rFonts w:ascii="Arial"/>
                <w:b/>
                <w:color w:val="FFFFFF"/>
                <w:sz w:val="15"/>
                <w:highlight w:val="blue"/>
              </w:rPr>
              <w:tab/>
            </w:r>
            <w:r>
              <w:rPr>
                <w:rFonts w:ascii="Arial"/>
                <w:b/>
                <w:color w:val="FFFFFF"/>
                <w:spacing w:val="-4"/>
                <w:sz w:val="15"/>
                <w:highlight w:val="blue"/>
              </w:rPr>
              <w:t>2024</w:t>
            </w:r>
            <w:r>
              <w:rPr>
                <w:rFonts w:ascii="Arial"/>
                <w:b/>
                <w:color w:val="FFFFFF"/>
                <w:sz w:val="15"/>
                <w:highlight w:val="blue"/>
              </w:rPr>
              <w:tab/>
            </w:r>
          </w:p>
        </w:tc>
        <w:tc>
          <w:tcPr>
            <w:tcW w:w="772" w:type="dxa"/>
          </w:tcPr>
          <w:p w14:paraId="173E34D6" w14:textId="77777777" w:rsidR="002C6574" w:rsidRDefault="00000000">
            <w:pPr>
              <w:pStyle w:val="TableParagraph"/>
              <w:spacing w:before="79"/>
              <w:ind w:left="42"/>
              <w:jc w:val="center"/>
              <w:rPr>
                <w:rFonts w:ascii="Arial" w:hAnsi="Arial"/>
                <w:b/>
                <w:sz w:val="15"/>
              </w:rPr>
            </w:pPr>
            <w:r>
              <w:rPr>
                <w:rFonts w:ascii="Times New Roman" w:hAnsi="Times New Roman"/>
                <w:color w:val="FFFFFF"/>
                <w:spacing w:val="64"/>
                <w:sz w:val="15"/>
                <w:highlight w:val="blue"/>
              </w:rPr>
              <w:t xml:space="preserve"> </w:t>
            </w:r>
            <w:r>
              <w:rPr>
                <w:rFonts w:ascii="Arial" w:hAnsi="Arial"/>
                <w:b/>
                <w:color w:val="FFFFFF"/>
                <w:sz w:val="15"/>
                <w:highlight w:val="blue"/>
              </w:rPr>
              <w:t>Δ</w:t>
            </w:r>
            <w:r>
              <w:rPr>
                <w:rFonts w:ascii="Arial" w:hAnsi="Arial"/>
                <w:b/>
                <w:color w:val="FFFFFF"/>
                <w:spacing w:val="-2"/>
                <w:sz w:val="15"/>
                <w:highlight w:val="blue"/>
              </w:rPr>
              <w:t xml:space="preserve"> </w:t>
            </w:r>
            <w:r>
              <w:rPr>
                <w:rFonts w:ascii="Arial" w:hAnsi="Arial"/>
                <w:b/>
                <w:color w:val="FFFFFF"/>
                <w:spacing w:val="-5"/>
                <w:sz w:val="15"/>
                <w:highlight w:val="blue"/>
              </w:rPr>
              <w:t>Ano</w:t>
            </w:r>
            <w:r>
              <w:rPr>
                <w:rFonts w:ascii="Arial" w:hAnsi="Arial"/>
                <w:b/>
                <w:color w:val="FFFFFF"/>
                <w:spacing w:val="40"/>
                <w:sz w:val="15"/>
                <w:highlight w:val="blue"/>
              </w:rPr>
              <w:t xml:space="preserve"> </w:t>
            </w:r>
          </w:p>
        </w:tc>
      </w:tr>
      <w:tr w:rsidR="002C6574" w14:paraId="3326BBF9" w14:textId="77777777">
        <w:trPr>
          <w:trHeight w:val="192"/>
        </w:trPr>
        <w:tc>
          <w:tcPr>
            <w:tcW w:w="3412" w:type="dxa"/>
          </w:tcPr>
          <w:p w14:paraId="1C272919" w14:textId="77777777" w:rsidR="002C6574" w:rsidRDefault="00000000">
            <w:pPr>
              <w:pStyle w:val="TableParagraph"/>
              <w:spacing w:before="27" w:line="162" w:lineRule="exact"/>
              <w:ind w:left="84"/>
              <w:jc w:val="left"/>
              <w:rPr>
                <w:rFonts w:ascii="Arial MT" w:hAnsi="Arial MT"/>
                <w:sz w:val="15"/>
              </w:rPr>
            </w:pPr>
            <w:r>
              <w:rPr>
                <w:rFonts w:ascii="Arial MT" w:hAnsi="Arial MT"/>
                <w:sz w:val="15"/>
              </w:rPr>
              <w:t>Meios</w:t>
            </w:r>
            <w:r>
              <w:rPr>
                <w:rFonts w:ascii="Arial MT" w:hAnsi="Arial MT"/>
                <w:spacing w:val="-3"/>
                <w:sz w:val="15"/>
              </w:rPr>
              <w:t xml:space="preserve"> </w:t>
            </w:r>
            <w:r>
              <w:rPr>
                <w:rFonts w:ascii="Arial MT" w:hAnsi="Arial MT"/>
                <w:sz w:val="15"/>
              </w:rPr>
              <w:t>de</w:t>
            </w:r>
            <w:r>
              <w:rPr>
                <w:rFonts w:ascii="Arial MT" w:hAnsi="Arial MT"/>
                <w:spacing w:val="-6"/>
                <w:sz w:val="15"/>
              </w:rPr>
              <w:t xml:space="preserve"> </w:t>
            </w:r>
            <w:r>
              <w:rPr>
                <w:rFonts w:ascii="Arial MT" w:hAnsi="Arial MT"/>
                <w:sz w:val="15"/>
              </w:rPr>
              <w:t>Conexão</w:t>
            </w:r>
            <w:r>
              <w:rPr>
                <w:rFonts w:ascii="Arial MT" w:hAnsi="Arial MT"/>
                <w:spacing w:val="-5"/>
                <w:sz w:val="15"/>
              </w:rPr>
              <w:t xml:space="preserve"> </w:t>
            </w:r>
            <w:r>
              <w:rPr>
                <w:rFonts w:ascii="Arial MT" w:hAnsi="Arial MT"/>
                <w:sz w:val="15"/>
              </w:rPr>
              <w:t>e</w:t>
            </w:r>
            <w:r>
              <w:rPr>
                <w:rFonts w:ascii="Arial MT" w:hAnsi="Arial MT"/>
                <w:spacing w:val="-4"/>
                <w:sz w:val="15"/>
              </w:rPr>
              <w:t xml:space="preserve"> </w:t>
            </w:r>
            <w:r>
              <w:rPr>
                <w:rFonts w:ascii="Arial MT" w:hAnsi="Arial MT"/>
                <w:spacing w:val="-2"/>
                <w:sz w:val="15"/>
              </w:rPr>
              <w:t>Transmissão</w:t>
            </w:r>
          </w:p>
        </w:tc>
        <w:tc>
          <w:tcPr>
            <w:tcW w:w="927" w:type="dxa"/>
            <w:shd w:val="clear" w:color="auto" w:fill="66FFFF"/>
          </w:tcPr>
          <w:p w14:paraId="25606BA4" w14:textId="77777777" w:rsidR="002C6574" w:rsidRDefault="00000000">
            <w:pPr>
              <w:pStyle w:val="TableParagraph"/>
              <w:spacing w:before="27" w:line="162" w:lineRule="exact"/>
              <w:ind w:right="130"/>
              <w:rPr>
                <w:rFonts w:ascii="Arial MT"/>
                <w:sz w:val="15"/>
              </w:rPr>
            </w:pPr>
            <w:r>
              <w:rPr>
                <w:rFonts w:ascii="Arial MT"/>
                <w:spacing w:val="-2"/>
                <w:sz w:val="15"/>
              </w:rPr>
              <w:t>(57.454)</w:t>
            </w:r>
          </w:p>
        </w:tc>
        <w:tc>
          <w:tcPr>
            <w:tcW w:w="923" w:type="dxa"/>
          </w:tcPr>
          <w:p w14:paraId="7F0E37F5" w14:textId="77777777" w:rsidR="002C6574" w:rsidRDefault="00000000">
            <w:pPr>
              <w:pStyle w:val="TableParagraph"/>
              <w:spacing w:before="27" w:line="162" w:lineRule="exact"/>
              <w:ind w:right="146"/>
              <w:rPr>
                <w:rFonts w:ascii="Arial MT"/>
                <w:sz w:val="15"/>
              </w:rPr>
            </w:pPr>
            <w:r>
              <w:rPr>
                <w:rFonts w:ascii="Arial MT"/>
                <w:spacing w:val="-2"/>
                <w:sz w:val="15"/>
              </w:rPr>
              <w:t>(32.074)</w:t>
            </w:r>
          </w:p>
        </w:tc>
        <w:tc>
          <w:tcPr>
            <w:tcW w:w="907" w:type="dxa"/>
          </w:tcPr>
          <w:p w14:paraId="5F85B9D9" w14:textId="77777777" w:rsidR="002C6574" w:rsidRDefault="00000000">
            <w:pPr>
              <w:pStyle w:val="TableParagraph"/>
              <w:spacing w:before="27" w:line="162" w:lineRule="exact"/>
              <w:ind w:right="112"/>
              <w:rPr>
                <w:rFonts w:ascii="Arial MT"/>
                <w:sz w:val="15"/>
              </w:rPr>
            </w:pPr>
            <w:r>
              <w:rPr>
                <w:rFonts w:ascii="Arial MT"/>
                <w:spacing w:val="-2"/>
                <w:sz w:val="15"/>
              </w:rPr>
              <w:t>(39.414)</w:t>
            </w:r>
          </w:p>
        </w:tc>
        <w:tc>
          <w:tcPr>
            <w:tcW w:w="946" w:type="dxa"/>
          </w:tcPr>
          <w:p w14:paraId="28379FD0" w14:textId="77777777" w:rsidR="002C6574" w:rsidRDefault="00000000">
            <w:pPr>
              <w:pStyle w:val="TableParagraph"/>
              <w:spacing w:before="13"/>
              <w:ind w:right="76"/>
              <w:rPr>
                <w:rFonts w:ascii="Arial MT"/>
                <w:sz w:val="15"/>
              </w:rPr>
            </w:pPr>
            <w:r>
              <w:rPr>
                <w:rFonts w:ascii="Arial MT"/>
                <w:spacing w:val="-2"/>
                <w:sz w:val="15"/>
              </w:rPr>
              <w:t>79,1%</w:t>
            </w:r>
          </w:p>
        </w:tc>
        <w:tc>
          <w:tcPr>
            <w:tcW w:w="855" w:type="dxa"/>
            <w:gridSpan w:val="2"/>
          </w:tcPr>
          <w:p w14:paraId="78FAAA34" w14:textId="77777777" w:rsidR="002C6574" w:rsidRDefault="00000000">
            <w:pPr>
              <w:pStyle w:val="TableParagraph"/>
              <w:spacing w:before="13"/>
              <w:ind w:left="219"/>
              <w:jc w:val="left"/>
              <w:rPr>
                <w:rFonts w:ascii="Arial MT"/>
                <w:sz w:val="15"/>
              </w:rPr>
            </w:pPr>
            <w:r>
              <w:rPr>
                <w:rFonts w:ascii="Arial MT"/>
                <w:spacing w:val="-2"/>
                <w:sz w:val="15"/>
              </w:rPr>
              <w:t>45,8%</w:t>
            </w:r>
          </w:p>
        </w:tc>
        <w:tc>
          <w:tcPr>
            <w:tcW w:w="865" w:type="dxa"/>
            <w:shd w:val="clear" w:color="auto" w:fill="66FFFF"/>
          </w:tcPr>
          <w:p w14:paraId="43607D35" w14:textId="77777777" w:rsidR="002C6574" w:rsidRDefault="00000000">
            <w:pPr>
              <w:pStyle w:val="TableParagraph"/>
              <w:spacing w:before="27" w:line="162" w:lineRule="exact"/>
              <w:ind w:right="58"/>
              <w:rPr>
                <w:rFonts w:ascii="Arial MT"/>
                <w:sz w:val="15"/>
              </w:rPr>
            </w:pPr>
            <w:r>
              <w:rPr>
                <w:rFonts w:ascii="Arial MT"/>
                <w:spacing w:val="-2"/>
                <w:sz w:val="15"/>
              </w:rPr>
              <w:t>(170.423)</w:t>
            </w:r>
          </w:p>
        </w:tc>
        <w:tc>
          <w:tcPr>
            <w:tcW w:w="938" w:type="dxa"/>
          </w:tcPr>
          <w:p w14:paraId="67B03EE1" w14:textId="77777777" w:rsidR="002C6574" w:rsidRDefault="00000000">
            <w:pPr>
              <w:pStyle w:val="TableParagraph"/>
              <w:spacing w:before="27" w:line="162" w:lineRule="exact"/>
              <w:ind w:right="172"/>
              <w:rPr>
                <w:rFonts w:ascii="Arial MT"/>
                <w:sz w:val="15"/>
              </w:rPr>
            </w:pPr>
            <w:r>
              <w:rPr>
                <w:rFonts w:ascii="Arial MT"/>
                <w:spacing w:val="-2"/>
                <w:sz w:val="15"/>
              </w:rPr>
              <w:t>(135.121)</w:t>
            </w:r>
          </w:p>
        </w:tc>
        <w:tc>
          <w:tcPr>
            <w:tcW w:w="772" w:type="dxa"/>
          </w:tcPr>
          <w:p w14:paraId="6F693BC4" w14:textId="77777777" w:rsidR="002C6574" w:rsidRDefault="00000000">
            <w:pPr>
              <w:pStyle w:val="TableParagraph"/>
              <w:spacing w:before="13"/>
              <w:ind w:left="126"/>
              <w:jc w:val="center"/>
              <w:rPr>
                <w:rFonts w:ascii="Arial MT"/>
                <w:sz w:val="15"/>
              </w:rPr>
            </w:pPr>
            <w:r>
              <w:rPr>
                <w:rFonts w:ascii="Arial MT"/>
                <w:spacing w:val="-2"/>
                <w:sz w:val="15"/>
              </w:rPr>
              <w:t>26,1%</w:t>
            </w:r>
          </w:p>
        </w:tc>
      </w:tr>
      <w:tr w:rsidR="002C6574" w14:paraId="0BBEF076" w14:textId="77777777">
        <w:trPr>
          <w:trHeight w:val="199"/>
        </w:trPr>
        <w:tc>
          <w:tcPr>
            <w:tcW w:w="3412" w:type="dxa"/>
          </w:tcPr>
          <w:p w14:paraId="70061D57" w14:textId="77777777" w:rsidR="002C6574" w:rsidRDefault="00000000">
            <w:pPr>
              <w:pStyle w:val="TableParagraph"/>
              <w:spacing w:before="17" w:line="162" w:lineRule="exact"/>
              <w:ind w:left="84"/>
              <w:jc w:val="left"/>
              <w:rPr>
                <w:rFonts w:ascii="Arial MT" w:hAnsi="Arial MT"/>
                <w:sz w:val="15"/>
              </w:rPr>
            </w:pPr>
            <w:r>
              <w:rPr>
                <w:rFonts w:ascii="Arial MT" w:hAnsi="Arial MT"/>
                <w:sz w:val="15"/>
              </w:rPr>
              <w:t>Serviços</w:t>
            </w:r>
            <w:r>
              <w:rPr>
                <w:rFonts w:ascii="Arial MT" w:hAnsi="Arial MT"/>
                <w:spacing w:val="-5"/>
                <w:sz w:val="15"/>
              </w:rPr>
              <w:t xml:space="preserve"> </w:t>
            </w:r>
            <w:r>
              <w:rPr>
                <w:rFonts w:ascii="Arial MT" w:hAnsi="Arial MT"/>
                <w:sz w:val="15"/>
              </w:rPr>
              <w:t>de</w:t>
            </w:r>
            <w:r>
              <w:rPr>
                <w:rFonts w:ascii="Arial MT" w:hAnsi="Arial MT"/>
                <w:spacing w:val="-6"/>
                <w:sz w:val="15"/>
              </w:rPr>
              <w:t xml:space="preserve"> </w:t>
            </w:r>
            <w:r>
              <w:rPr>
                <w:rFonts w:ascii="Arial MT" w:hAnsi="Arial MT"/>
                <w:spacing w:val="-2"/>
                <w:sz w:val="15"/>
              </w:rPr>
              <w:t>Terceiros</w:t>
            </w:r>
          </w:p>
        </w:tc>
        <w:tc>
          <w:tcPr>
            <w:tcW w:w="927" w:type="dxa"/>
            <w:shd w:val="clear" w:color="auto" w:fill="66FFFF"/>
          </w:tcPr>
          <w:p w14:paraId="35A0834C" w14:textId="77777777" w:rsidR="002C6574" w:rsidRDefault="00000000">
            <w:pPr>
              <w:pStyle w:val="TableParagraph"/>
              <w:spacing w:before="17" w:line="162" w:lineRule="exact"/>
              <w:ind w:right="130"/>
              <w:rPr>
                <w:rFonts w:ascii="Arial MT"/>
                <w:sz w:val="15"/>
              </w:rPr>
            </w:pPr>
            <w:r>
              <w:rPr>
                <w:rFonts w:ascii="Arial MT"/>
                <w:spacing w:val="-2"/>
                <w:sz w:val="15"/>
              </w:rPr>
              <w:t>(36.583)</w:t>
            </w:r>
          </w:p>
        </w:tc>
        <w:tc>
          <w:tcPr>
            <w:tcW w:w="923" w:type="dxa"/>
          </w:tcPr>
          <w:p w14:paraId="69D9DBA4" w14:textId="77777777" w:rsidR="002C6574" w:rsidRDefault="00000000">
            <w:pPr>
              <w:pStyle w:val="TableParagraph"/>
              <w:spacing w:before="17" w:line="162" w:lineRule="exact"/>
              <w:ind w:right="146"/>
              <w:rPr>
                <w:rFonts w:ascii="Arial MT"/>
                <w:sz w:val="15"/>
              </w:rPr>
            </w:pPr>
            <w:r>
              <w:rPr>
                <w:rFonts w:ascii="Arial MT"/>
                <w:spacing w:val="-2"/>
                <w:sz w:val="15"/>
              </w:rPr>
              <w:t>(44.153)</w:t>
            </w:r>
          </w:p>
        </w:tc>
        <w:tc>
          <w:tcPr>
            <w:tcW w:w="907" w:type="dxa"/>
          </w:tcPr>
          <w:p w14:paraId="65CC0508" w14:textId="77777777" w:rsidR="002C6574" w:rsidRDefault="00000000">
            <w:pPr>
              <w:pStyle w:val="TableParagraph"/>
              <w:spacing w:before="17" w:line="162" w:lineRule="exact"/>
              <w:ind w:right="112"/>
              <w:rPr>
                <w:rFonts w:ascii="Arial MT"/>
                <w:sz w:val="15"/>
              </w:rPr>
            </w:pPr>
            <w:r>
              <w:rPr>
                <w:rFonts w:ascii="Arial MT"/>
                <w:spacing w:val="-2"/>
                <w:sz w:val="15"/>
              </w:rPr>
              <w:t>(40.050)</w:t>
            </w:r>
          </w:p>
        </w:tc>
        <w:tc>
          <w:tcPr>
            <w:tcW w:w="946" w:type="dxa"/>
          </w:tcPr>
          <w:p w14:paraId="5EE9F7AB" w14:textId="77777777" w:rsidR="002C6574" w:rsidRDefault="00000000">
            <w:pPr>
              <w:pStyle w:val="TableParagraph"/>
              <w:spacing w:before="5"/>
              <w:ind w:right="76"/>
              <w:rPr>
                <w:rFonts w:ascii="Arial MT"/>
                <w:sz w:val="15"/>
              </w:rPr>
            </w:pPr>
            <w:r>
              <w:rPr>
                <w:rFonts w:ascii="Arial MT"/>
                <w:sz w:val="15"/>
              </w:rPr>
              <w:t>-</w:t>
            </w:r>
            <w:r>
              <w:rPr>
                <w:rFonts w:ascii="Arial MT"/>
                <w:spacing w:val="-2"/>
                <w:sz w:val="15"/>
              </w:rPr>
              <w:t>17,1%</w:t>
            </w:r>
          </w:p>
        </w:tc>
        <w:tc>
          <w:tcPr>
            <w:tcW w:w="855" w:type="dxa"/>
            <w:gridSpan w:val="2"/>
          </w:tcPr>
          <w:p w14:paraId="50CF4D50" w14:textId="77777777" w:rsidR="002C6574" w:rsidRDefault="00000000">
            <w:pPr>
              <w:pStyle w:val="TableParagraph"/>
              <w:spacing w:before="5"/>
              <w:ind w:left="252"/>
              <w:jc w:val="left"/>
              <w:rPr>
                <w:rFonts w:ascii="Arial MT"/>
                <w:sz w:val="15"/>
              </w:rPr>
            </w:pPr>
            <w:r>
              <w:rPr>
                <w:rFonts w:ascii="Arial MT"/>
                <w:sz w:val="15"/>
              </w:rPr>
              <w:t>-</w:t>
            </w:r>
            <w:r>
              <w:rPr>
                <w:rFonts w:ascii="Arial MT"/>
                <w:spacing w:val="-4"/>
                <w:sz w:val="15"/>
              </w:rPr>
              <w:t>8,7%</w:t>
            </w:r>
          </w:p>
        </w:tc>
        <w:tc>
          <w:tcPr>
            <w:tcW w:w="865" w:type="dxa"/>
            <w:shd w:val="clear" w:color="auto" w:fill="66FFFF"/>
          </w:tcPr>
          <w:p w14:paraId="3BD5C902" w14:textId="77777777" w:rsidR="002C6574" w:rsidRDefault="00000000">
            <w:pPr>
              <w:pStyle w:val="TableParagraph"/>
              <w:spacing w:before="17" w:line="162" w:lineRule="exact"/>
              <w:ind w:right="58"/>
              <w:rPr>
                <w:rFonts w:ascii="Arial MT"/>
                <w:sz w:val="15"/>
              </w:rPr>
            </w:pPr>
            <w:r>
              <w:rPr>
                <w:rFonts w:ascii="Arial MT"/>
                <w:spacing w:val="-2"/>
                <w:sz w:val="15"/>
              </w:rPr>
              <w:t>(153.128)</w:t>
            </w:r>
          </w:p>
        </w:tc>
        <w:tc>
          <w:tcPr>
            <w:tcW w:w="938" w:type="dxa"/>
          </w:tcPr>
          <w:p w14:paraId="138D2E7E" w14:textId="77777777" w:rsidR="002C6574" w:rsidRDefault="00000000">
            <w:pPr>
              <w:pStyle w:val="TableParagraph"/>
              <w:spacing w:before="17" w:line="162" w:lineRule="exact"/>
              <w:ind w:right="172"/>
              <w:rPr>
                <w:rFonts w:ascii="Arial MT"/>
                <w:sz w:val="15"/>
              </w:rPr>
            </w:pPr>
            <w:r>
              <w:rPr>
                <w:rFonts w:ascii="Arial MT"/>
                <w:spacing w:val="-2"/>
                <w:sz w:val="15"/>
              </w:rPr>
              <w:t>(173.875)</w:t>
            </w:r>
          </w:p>
        </w:tc>
        <w:tc>
          <w:tcPr>
            <w:tcW w:w="772" w:type="dxa"/>
          </w:tcPr>
          <w:p w14:paraId="2A3D464E" w14:textId="77777777" w:rsidR="002C6574" w:rsidRDefault="00000000">
            <w:pPr>
              <w:pStyle w:val="TableParagraph"/>
              <w:spacing w:before="5"/>
              <w:ind w:left="75"/>
              <w:jc w:val="center"/>
              <w:rPr>
                <w:rFonts w:ascii="Arial MT"/>
                <w:sz w:val="15"/>
              </w:rPr>
            </w:pPr>
            <w:r>
              <w:rPr>
                <w:rFonts w:ascii="Arial MT"/>
                <w:sz w:val="15"/>
              </w:rPr>
              <w:t>-</w:t>
            </w:r>
            <w:r>
              <w:rPr>
                <w:rFonts w:ascii="Arial MT"/>
                <w:spacing w:val="-2"/>
                <w:sz w:val="15"/>
              </w:rPr>
              <w:t>11,9%</w:t>
            </w:r>
          </w:p>
        </w:tc>
      </w:tr>
      <w:tr w:rsidR="002C6574" w14:paraId="3A319D11" w14:textId="77777777">
        <w:trPr>
          <w:trHeight w:val="200"/>
        </w:trPr>
        <w:tc>
          <w:tcPr>
            <w:tcW w:w="3412" w:type="dxa"/>
          </w:tcPr>
          <w:p w14:paraId="371B9557" w14:textId="77777777" w:rsidR="002C6574" w:rsidRDefault="00000000">
            <w:pPr>
              <w:pStyle w:val="TableParagraph"/>
              <w:spacing w:before="19" w:line="161" w:lineRule="exact"/>
              <w:ind w:left="84"/>
              <w:jc w:val="left"/>
              <w:rPr>
                <w:rFonts w:ascii="Arial MT"/>
                <w:sz w:val="15"/>
              </w:rPr>
            </w:pPr>
            <w:r>
              <w:rPr>
                <w:rFonts w:ascii="Arial MT"/>
                <w:sz w:val="15"/>
              </w:rPr>
              <w:t>Pessoal</w:t>
            </w:r>
            <w:r>
              <w:rPr>
                <w:rFonts w:ascii="Arial MT"/>
                <w:spacing w:val="-6"/>
                <w:sz w:val="15"/>
              </w:rPr>
              <w:t xml:space="preserve"> </w:t>
            </w:r>
            <w:r>
              <w:rPr>
                <w:rFonts w:ascii="Arial MT"/>
                <w:sz w:val="15"/>
              </w:rPr>
              <w:t>(exclui</w:t>
            </w:r>
            <w:r>
              <w:rPr>
                <w:rFonts w:ascii="Arial MT"/>
                <w:spacing w:val="-7"/>
                <w:sz w:val="15"/>
              </w:rPr>
              <w:t xml:space="preserve"> </w:t>
            </w:r>
            <w:r>
              <w:rPr>
                <w:rFonts w:ascii="Arial MT"/>
                <w:spacing w:val="-2"/>
                <w:sz w:val="15"/>
              </w:rPr>
              <w:t>PISP)</w:t>
            </w:r>
          </w:p>
        </w:tc>
        <w:tc>
          <w:tcPr>
            <w:tcW w:w="927" w:type="dxa"/>
            <w:shd w:val="clear" w:color="auto" w:fill="66FFFF"/>
          </w:tcPr>
          <w:p w14:paraId="383D0678" w14:textId="77777777" w:rsidR="002C6574" w:rsidRDefault="00000000">
            <w:pPr>
              <w:pStyle w:val="TableParagraph"/>
              <w:spacing w:before="19" w:line="161" w:lineRule="exact"/>
              <w:ind w:right="130"/>
              <w:rPr>
                <w:rFonts w:ascii="Arial MT"/>
                <w:sz w:val="15"/>
              </w:rPr>
            </w:pPr>
            <w:r>
              <w:rPr>
                <w:rFonts w:ascii="Arial MT"/>
                <w:spacing w:val="-2"/>
                <w:sz w:val="15"/>
              </w:rPr>
              <w:t>(32.547)</w:t>
            </w:r>
          </w:p>
        </w:tc>
        <w:tc>
          <w:tcPr>
            <w:tcW w:w="923" w:type="dxa"/>
          </w:tcPr>
          <w:p w14:paraId="182DF799" w14:textId="77777777" w:rsidR="002C6574" w:rsidRDefault="00000000">
            <w:pPr>
              <w:pStyle w:val="TableParagraph"/>
              <w:spacing w:before="19" w:line="161" w:lineRule="exact"/>
              <w:ind w:right="146"/>
              <w:rPr>
                <w:rFonts w:ascii="Arial MT"/>
                <w:sz w:val="15"/>
              </w:rPr>
            </w:pPr>
            <w:r>
              <w:rPr>
                <w:rFonts w:ascii="Arial MT"/>
                <w:spacing w:val="-2"/>
                <w:sz w:val="15"/>
              </w:rPr>
              <w:t>(28.530)</w:t>
            </w:r>
          </w:p>
        </w:tc>
        <w:tc>
          <w:tcPr>
            <w:tcW w:w="907" w:type="dxa"/>
          </w:tcPr>
          <w:p w14:paraId="36805F6E" w14:textId="77777777" w:rsidR="002C6574" w:rsidRDefault="00000000">
            <w:pPr>
              <w:pStyle w:val="TableParagraph"/>
              <w:spacing w:before="19" w:line="161" w:lineRule="exact"/>
              <w:ind w:right="112"/>
              <w:rPr>
                <w:rFonts w:ascii="Arial MT"/>
                <w:sz w:val="15"/>
              </w:rPr>
            </w:pPr>
            <w:r>
              <w:rPr>
                <w:rFonts w:ascii="Arial MT"/>
                <w:spacing w:val="-2"/>
                <w:sz w:val="15"/>
              </w:rPr>
              <w:t>(29.536)</w:t>
            </w:r>
          </w:p>
        </w:tc>
        <w:tc>
          <w:tcPr>
            <w:tcW w:w="946" w:type="dxa"/>
          </w:tcPr>
          <w:p w14:paraId="75D9D74C" w14:textId="77777777" w:rsidR="002C6574" w:rsidRDefault="00000000">
            <w:pPr>
              <w:pStyle w:val="TableParagraph"/>
              <w:spacing w:before="5"/>
              <w:ind w:right="76"/>
              <w:rPr>
                <w:rFonts w:ascii="Arial MT"/>
                <w:sz w:val="15"/>
              </w:rPr>
            </w:pPr>
            <w:r>
              <w:rPr>
                <w:rFonts w:ascii="Arial MT"/>
                <w:spacing w:val="-2"/>
                <w:sz w:val="15"/>
              </w:rPr>
              <w:t>14,1%</w:t>
            </w:r>
          </w:p>
        </w:tc>
        <w:tc>
          <w:tcPr>
            <w:tcW w:w="855" w:type="dxa"/>
            <w:gridSpan w:val="2"/>
          </w:tcPr>
          <w:p w14:paraId="412584BB" w14:textId="77777777" w:rsidR="002C6574" w:rsidRDefault="00000000">
            <w:pPr>
              <w:pStyle w:val="TableParagraph"/>
              <w:spacing w:before="5"/>
              <w:ind w:left="219"/>
              <w:jc w:val="left"/>
              <w:rPr>
                <w:rFonts w:ascii="Arial MT"/>
                <w:sz w:val="15"/>
              </w:rPr>
            </w:pPr>
            <w:r>
              <w:rPr>
                <w:rFonts w:ascii="Arial MT"/>
                <w:spacing w:val="-2"/>
                <w:sz w:val="15"/>
              </w:rPr>
              <w:t>10,2%</w:t>
            </w:r>
          </w:p>
        </w:tc>
        <w:tc>
          <w:tcPr>
            <w:tcW w:w="865" w:type="dxa"/>
            <w:shd w:val="clear" w:color="auto" w:fill="66FFFF"/>
          </w:tcPr>
          <w:p w14:paraId="5761D92B" w14:textId="77777777" w:rsidR="002C6574" w:rsidRDefault="00000000">
            <w:pPr>
              <w:pStyle w:val="TableParagraph"/>
              <w:spacing w:before="19" w:line="161" w:lineRule="exact"/>
              <w:ind w:right="58"/>
              <w:rPr>
                <w:rFonts w:ascii="Arial MT"/>
                <w:sz w:val="15"/>
              </w:rPr>
            </w:pPr>
            <w:r>
              <w:rPr>
                <w:rFonts w:ascii="Arial MT"/>
                <w:spacing w:val="-2"/>
                <w:sz w:val="15"/>
              </w:rPr>
              <w:t>(119.390)</w:t>
            </w:r>
          </w:p>
        </w:tc>
        <w:tc>
          <w:tcPr>
            <w:tcW w:w="938" w:type="dxa"/>
          </w:tcPr>
          <w:p w14:paraId="5FD51B4A" w14:textId="77777777" w:rsidR="002C6574" w:rsidRDefault="00000000">
            <w:pPr>
              <w:pStyle w:val="TableParagraph"/>
              <w:spacing w:before="19" w:line="161" w:lineRule="exact"/>
              <w:ind w:right="172"/>
              <w:rPr>
                <w:rFonts w:ascii="Arial MT"/>
                <w:sz w:val="15"/>
              </w:rPr>
            </w:pPr>
            <w:r>
              <w:rPr>
                <w:rFonts w:ascii="Arial MT"/>
                <w:spacing w:val="-2"/>
                <w:sz w:val="15"/>
              </w:rPr>
              <w:t>(111.058)</w:t>
            </w:r>
          </w:p>
        </w:tc>
        <w:tc>
          <w:tcPr>
            <w:tcW w:w="772" w:type="dxa"/>
          </w:tcPr>
          <w:p w14:paraId="0D84C977" w14:textId="77777777" w:rsidR="002C6574" w:rsidRDefault="00000000">
            <w:pPr>
              <w:pStyle w:val="TableParagraph"/>
              <w:spacing w:before="5"/>
              <w:ind w:left="209"/>
              <w:jc w:val="center"/>
              <w:rPr>
                <w:rFonts w:ascii="Arial MT"/>
                <w:sz w:val="15"/>
              </w:rPr>
            </w:pPr>
            <w:r>
              <w:rPr>
                <w:rFonts w:ascii="Arial MT"/>
                <w:spacing w:val="-4"/>
                <w:sz w:val="15"/>
              </w:rPr>
              <w:t>7,5%</w:t>
            </w:r>
          </w:p>
        </w:tc>
      </w:tr>
      <w:tr w:rsidR="002C6574" w14:paraId="2F0F7F56" w14:textId="77777777">
        <w:trPr>
          <w:trHeight w:val="200"/>
        </w:trPr>
        <w:tc>
          <w:tcPr>
            <w:tcW w:w="3412" w:type="dxa"/>
          </w:tcPr>
          <w:p w14:paraId="1C636FEB" w14:textId="77777777" w:rsidR="002C6574" w:rsidRDefault="00000000">
            <w:pPr>
              <w:pStyle w:val="TableParagraph"/>
              <w:spacing w:before="18" w:line="162" w:lineRule="exact"/>
              <w:ind w:left="84"/>
              <w:jc w:val="left"/>
              <w:rPr>
                <w:rFonts w:ascii="Arial MT" w:hAnsi="Arial MT"/>
                <w:sz w:val="15"/>
              </w:rPr>
            </w:pPr>
            <w:r>
              <w:rPr>
                <w:rFonts w:ascii="Arial MT" w:hAnsi="Arial MT"/>
                <w:sz w:val="15"/>
              </w:rPr>
              <w:t>Aluguéis,</w:t>
            </w:r>
            <w:r>
              <w:rPr>
                <w:rFonts w:ascii="Arial MT" w:hAnsi="Arial MT"/>
                <w:spacing w:val="-7"/>
                <w:sz w:val="15"/>
              </w:rPr>
              <w:t xml:space="preserve"> </w:t>
            </w:r>
            <w:r>
              <w:rPr>
                <w:rFonts w:ascii="Arial MT" w:hAnsi="Arial MT"/>
                <w:sz w:val="15"/>
              </w:rPr>
              <w:t>Locações,</w:t>
            </w:r>
            <w:r>
              <w:rPr>
                <w:rFonts w:ascii="Arial MT" w:hAnsi="Arial MT"/>
                <w:spacing w:val="-6"/>
                <w:sz w:val="15"/>
              </w:rPr>
              <w:t xml:space="preserve"> </w:t>
            </w:r>
            <w:r>
              <w:rPr>
                <w:rFonts w:ascii="Arial MT" w:hAnsi="Arial MT"/>
                <w:sz w:val="15"/>
              </w:rPr>
              <w:t>Seguros</w:t>
            </w:r>
            <w:r>
              <w:rPr>
                <w:rFonts w:ascii="Arial MT" w:hAnsi="Arial MT"/>
                <w:spacing w:val="-6"/>
                <w:sz w:val="15"/>
              </w:rPr>
              <w:t xml:space="preserve"> </w:t>
            </w:r>
            <w:r>
              <w:rPr>
                <w:rFonts w:ascii="Arial MT" w:hAnsi="Arial MT"/>
                <w:sz w:val="15"/>
              </w:rPr>
              <w:t>e</w:t>
            </w:r>
            <w:r>
              <w:rPr>
                <w:rFonts w:ascii="Arial MT" w:hAnsi="Arial MT"/>
                <w:spacing w:val="-7"/>
                <w:sz w:val="15"/>
              </w:rPr>
              <w:t xml:space="preserve"> </w:t>
            </w:r>
            <w:r>
              <w:rPr>
                <w:rFonts w:ascii="Arial MT" w:hAnsi="Arial MT"/>
                <w:spacing w:val="-2"/>
                <w:sz w:val="15"/>
              </w:rPr>
              <w:t>Outros</w:t>
            </w:r>
          </w:p>
        </w:tc>
        <w:tc>
          <w:tcPr>
            <w:tcW w:w="927" w:type="dxa"/>
            <w:shd w:val="clear" w:color="auto" w:fill="66FFFF"/>
          </w:tcPr>
          <w:p w14:paraId="2DC93C93" w14:textId="77777777" w:rsidR="002C6574" w:rsidRDefault="00000000">
            <w:pPr>
              <w:pStyle w:val="TableParagraph"/>
              <w:spacing w:before="18" w:line="162" w:lineRule="exact"/>
              <w:ind w:right="130"/>
              <w:rPr>
                <w:rFonts w:ascii="Arial MT"/>
                <w:sz w:val="15"/>
              </w:rPr>
            </w:pPr>
            <w:r>
              <w:rPr>
                <w:rFonts w:ascii="Arial MT"/>
                <w:spacing w:val="-2"/>
                <w:sz w:val="15"/>
              </w:rPr>
              <w:t>(21.764)</w:t>
            </w:r>
          </w:p>
        </w:tc>
        <w:tc>
          <w:tcPr>
            <w:tcW w:w="923" w:type="dxa"/>
          </w:tcPr>
          <w:p w14:paraId="1C25A1B4" w14:textId="77777777" w:rsidR="002C6574" w:rsidRDefault="00000000">
            <w:pPr>
              <w:pStyle w:val="TableParagraph"/>
              <w:spacing w:before="18" w:line="162" w:lineRule="exact"/>
              <w:ind w:right="146"/>
              <w:rPr>
                <w:rFonts w:ascii="Arial MT"/>
                <w:sz w:val="15"/>
              </w:rPr>
            </w:pPr>
            <w:r>
              <w:rPr>
                <w:rFonts w:ascii="Arial MT"/>
                <w:spacing w:val="-2"/>
                <w:sz w:val="15"/>
              </w:rPr>
              <w:t>(16.119)</w:t>
            </w:r>
          </w:p>
        </w:tc>
        <w:tc>
          <w:tcPr>
            <w:tcW w:w="907" w:type="dxa"/>
          </w:tcPr>
          <w:p w14:paraId="6AB9491C" w14:textId="77777777" w:rsidR="002C6574" w:rsidRDefault="00000000">
            <w:pPr>
              <w:pStyle w:val="TableParagraph"/>
              <w:spacing w:before="18" w:line="162" w:lineRule="exact"/>
              <w:ind w:right="112"/>
              <w:rPr>
                <w:rFonts w:ascii="Arial MT"/>
                <w:sz w:val="15"/>
              </w:rPr>
            </w:pPr>
            <w:r>
              <w:rPr>
                <w:rFonts w:ascii="Arial MT"/>
                <w:spacing w:val="-2"/>
                <w:sz w:val="15"/>
              </w:rPr>
              <w:t>(11.751)</w:t>
            </w:r>
          </w:p>
        </w:tc>
        <w:tc>
          <w:tcPr>
            <w:tcW w:w="946" w:type="dxa"/>
          </w:tcPr>
          <w:p w14:paraId="6136A564" w14:textId="77777777" w:rsidR="002C6574" w:rsidRDefault="00000000">
            <w:pPr>
              <w:pStyle w:val="TableParagraph"/>
              <w:spacing w:before="4"/>
              <w:ind w:right="76"/>
              <w:rPr>
                <w:rFonts w:ascii="Arial MT"/>
                <w:sz w:val="15"/>
              </w:rPr>
            </w:pPr>
            <w:r>
              <w:rPr>
                <w:rFonts w:ascii="Arial MT"/>
                <w:spacing w:val="-2"/>
                <w:sz w:val="15"/>
              </w:rPr>
              <w:t>35,0%</w:t>
            </w:r>
          </w:p>
        </w:tc>
        <w:tc>
          <w:tcPr>
            <w:tcW w:w="855" w:type="dxa"/>
            <w:gridSpan w:val="2"/>
          </w:tcPr>
          <w:p w14:paraId="0873CE97" w14:textId="77777777" w:rsidR="002C6574" w:rsidRDefault="00000000">
            <w:pPr>
              <w:pStyle w:val="TableParagraph"/>
              <w:spacing w:before="4"/>
              <w:ind w:left="219"/>
              <w:jc w:val="left"/>
              <w:rPr>
                <w:rFonts w:ascii="Arial MT"/>
                <w:sz w:val="15"/>
              </w:rPr>
            </w:pPr>
            <w:r>
              <w:rPr>
                <w:rFonts w:ascii="Arial MT"/>
                <w:spacing w:val="-2"/>
                <w:sz w:val="15"/>
              </w:rPr>
              <w:t>85,2%</w:t>
            </w:r>
          </w:p>
        </w:tc>
        <w:tc>
          <w:tcPr>
            <w:tcW w:w="865" w:type="dxa"/>
            <w:shd w:val="clear" w:color="auto" w:fill="66FFFF"/>
          </w:tcPr>
          <w:p w14:paraId="5DC9217D" w14:textId="77777777" w:rsidR="002C6574" w:rsidRDefault="00000000">
            <w:pPr>
              <w:pStyle w:val="TableParagraph"/>
              <w:spacing w:before="18" w:line="162" w:lineRule="exact"/>
              <w:ind w:right="58"/>
              <w:rPr>
                <w:rFonts w:ascii="Arial MT"/>
                <w:sz w:val="15"/>
              </w:rPr>
            </w:pPr>
            <w:r>
              <w:rPr>
                <w:rFonts w:ascii="Arial MT"/>
                <w:spacing w:val="-2"/>
                <w:sz w:val="15"/>
              </w:rPr>
              <w:t>(62.049)</w:t>
            </w:r>
          </w:p>
        </w:tc>
        <w:tc>
          <w:tcPr>
            <w:tcW w:w="938" w:type="dxa"/>
          </w:tcPr>
          <w:p w14:paraId="08169FD1" w14:textId="77777777" w:rsidR="002C6574" w:rsidRDefault="00000000">
            <w:pPr>
              <w:pStyle w:val="TableParagraph"/>
              <w:spacing w:before="18" w:line="162" w:lineRule="exact"/>
              <w:ind w:right="132"/>
              <w:rPr>
                <w:rFonts w:ascii="Arial MT"/>
                <w:sz w:val="15"/>
              </w:rPr>
            </w:pPr>
            <w:r>
              <w:rPr>
                <w:rFonts w:ascii="Arial MT"/>
                <w:spacing w:val="-2"/>
                <w:sz w:val="15"/>
              </w:rPr>
              <w:t>(50.467)</w:t>
            </w:r>
          </w:p>
        </w:tc>
        <w:tc>
          <w:tcPr>
            <w:tcW w:w="772" w:type="dxa"/>
          </w:tcPr>
          <w:p w14:paraId="66FDBB83" w14:textId="77777777" w:rsidR="002C6574" w:rsidRDefault="00000000">
            <w:pPr>
              <w:pStyle w:val="TableParagraph"/>
              <w:spacing w:before="4"/>
              <w:ind w:left="126"/>
              <w:jc w:val="center"/>
              <w:rPr>
                <w:rFonts w:ascii="Arial MT"/>
                <w:sz w:val="15"/>
              </w:rPr>
            </w:pPr>
            <w:r>
              <w:rPr>
                <w:rFonts w:ascii="Arial MT"/>
                <w:spacing w:val="-2"/>
                <w:sz w:val="15"/>
              </w:rPr>
              <w:t>22,9%</w:t>
            </w:r>
          </w:p>
        </w:tc>
      </w:tr>
      <w:tr w:rsidR="002C6574" w14:paraId="6AF58480" w14:textId="77777777">
        <w:trPr>
          <w:trHeight w:val="199"/>
        </w:trPr>
        <w:tc>
          <w:tcPr>
            <w:tcW w:w="3412" w:type="dxa"/>
          </w:tcPr>
          <w:p w14:paraId="0094CB8E" w14:textId="77777777" w:rsidR="002C6574" w:rsidRDefault="00000000">
            <w:pPr>
              <w:pStyle w:val="TableParagraph"/>
              <w:spacing w:before="17" w:line="162" w:lineRule="exact"/>
              <w:ind w:left="84"/>
              <w:jc w:val="left"/>
              <w:rPr>
                <w:rFonts w:ascii="Arial MT"/>
                <w:sz w:val="15"/>
              </w:rPr>
            </w:pPr>
            <w:r>
              <w:rPr>
                <w:rFonts w:ascii="Arial MT"/>
                <w:spacing w:val="-2"/>
                <w:sz w:val="15"/>
              </w:rPr>
              <w:t>Tributos</w:t>
            </w:r>
          </w:p>
        </w:tc>
        <w:tc>
          <w:tcPr>
            <w:tcW w:w="927" w:type="dxa"/>
            <w:shd w:val="clear" w:color="auto" w:fill="66FFFF"/>
          </w:tcPr>
          <w:p w14:paraId="6751BABC" w14:textId="77777777" w:rsidR="002C6574" w:rsidRDefault="00000000">
            <w:pPr>
              <w:pStyle w:val="TableParagraph"/>
              <w:spacing w:before="17" w:line="162" w:lineRule="exact"/>
              <w:ind w:right="130"/>
              <w:rPr>
                <w:rFonts w:ascii="Arial MT"/>
                <w:sz w:val="15"/>
              </w:rPr>
            </w:pPr>
            <w:r>
              <w:rPr>
                <w:rFonts w:ascii="Arial MT"/>
                <w:spacing w:val="-2"/>
                <w:sz w:val="15"/>
              </w:rPr>
              <w:t>(1.845)</w:t>
            </w:r>
          </w:p>
        </w:tc>
        <w:tc>
          <w:tcPr>
            <w:tcW w:w="923" w:type="dxa"/>
          </w:tcPr>
          <w:p w14:paraId="4575A852" w14:textId="77777777" w:rsidR="002C6574" w:rsidRDefault="00000000">
            <w:pPr>
              <w:pStyle w:val="TableParagraph"/>
              <w:spacing w:before="17" w:line="162" w:lineRule="exact"/>
              <w:ind w:right="146"/>
              <w:rPr>
                <w:rFonts w:ascii="Arial MT"/>
                <w:sz w:val="15"/>
              </w:rPr>
            </w:pPr>
            <w:r>
              <w:rPr>
                <w:rFonts w:ascii="Arial MT"/>
                <w:spacing w:val="-2"/>
                <w:sz w:val="15"/>
              </w:rPr>
              <w:t>(1.592)</w:t>
            </w:r>
          </w:p>
        </w:tc>
        <w:tc>
          <w:tcPr>
            <w:tcW w:w="907" w:type="dxa"/>
          </w:tcPr>
          <w:p w14:paraId="4DC737EA" w14:textId="77777777" w:rsidR="002C6574" w:rsidRDefault="00000000">
            <w:pPr>
              <w:pStyle w:val="TableParagraph"/>
              <w:spacing w:before="17" w:line="162" w:lineRule="exact"/>
              <w:ind w:right="112"/>
              <w:rPr>
                <w:rFonts w:ascii="Arial MT"/>
                <w:sz w:val="15"/>
              </w:rPr>
            </w:pPr>
            <w:r>
              <w:rPr>
                <w:rFonts w:ascii="Arial MT"/>
                <w:spacing w:val="-2"/>
                <w:sz w:val="15"/>
              </w:rPr>
              <w:t>(1.270)</w:t>
            </w:r>
          </w:p>
        </w:tc>
        <w:tc>
          <w:tcPr>
            <w:tcW w:w="946" w:type="dxa"/>
          </w:tcPr>
          <w:p w14:paraId="6EB8FBF3" w14:textId="77777777" w:rsidR="002C6574" w:rsidRDefault="00000000">
            <w:pPr>
              <w:pStyle w:val="TableParagraph"/>
              <w:spacing w:before="5"/>
              <w:ind w:right="76"/>
              <w:rPr>
                <w:rFonts w:ascii="Arial MT"/>
                <w:sz w:val="15"/>
              </w:rPr>
            </w:pPr>
            <w:r>
              <w:rPr>
                <w:rFonts w:ascii="Arial MT"/>
                <w:spacing w:val="-2"/>
                <w:sz w:val="15"/>
              </w:rPr>
              <w:t>15,9%</w:t>
            </w:r>
          </w:p>
        </w:tc>
        <w:tc>
          <w:tcPr>
            <w:tcW w:w="855" w:type="dxa"/>
            <w:gridSpan w:val="2"/>
          </w:tcPr>
          <w:p w14:paraId="49A6815A" w14:textId="77777777" w:rsidR="002C6574" w:rsidRDefault="00000000">
            <w:pPr>
              <w:pStyle w:val="TableParagraph"/>
              <w:spacing w:before="5"/>
              <w:ind w:left="219"/>
              <w:jc w:val="left"/>
              <w:rPr>
                <w:rFonts w:ascii="Arial MT"/>
                <w:sz w:val="15"/>
              </w:rPr>
            </w:pPr>
            <w:r>
              <w:rPr>
                <w:rFonts w:ascii="Arial MT"/>
                <w:spacing w:val="-2"/>
                <w:sz w:val="15"/>
              </w:rPr>
              <w:t>45,3%</w:t>
            </w:r>
          </w:p>
        </w:tc>
        <w:tc>
          <w:tcPr>
            <w:tcW w:w="865" w:type="dxa"/>
            <w:shd w:val="clear" w:color="auto" w:fill="66FFFF"/>
          </w:tcPr>
          <w:p w14:paraId="13BD3F14" w14:textId="77777777" w:rsidR="002C6574" w:rsidRDefault="00000000">
            <w:pPr>
              <w:pStyle w:val="TableParagraph"/>
              <w:spacing w:before="17" w:line="162" w:lineRule="exact"/>
              <w:ind w:right="58"/>
              <w:rPr>
                <w:rFonts w:ascii="Arial MT"/>
                <w:sz w:val="15"/>
              </w:rPr>
            </w:pPr>
            <w:r>
              <w:rPr>
                <w:rFonts w:ascii="Arial MT"/>
                <w:spacing w:val="-2"/>
                <w:sz w:val="15"/>
              </w:rPr>
              <w:t>(6.256)</w:t>
            </w:r>
          </w:p>
        </w:tc>
        <w:tc>
          <w:tcPr>
            <w:tcW w:w="938" w:type="dxa"/>
          </w:tcPr>
          <w:p w14:paraId="5E298C86" w14:textId="77777777" w:rsidR="002C6574" w:rsidRDefault="00000000">
            <w:pPr>
              <w:pStyle w:val="TableParagraph"/>
              <w:spacing w:before="17" w:line="162" w:lineRule="exact"/>
              <w:ind w:right="132"/>
              <w:rPr>
                <w:rFonts w:ascii="Arial MT"/>
                <w:sz w:val="15"/>
              </w:rPr>
            </w:pPr>
            <w:r>
              <w:rPr>
                <w:rFonts w:ascii="Arial MT"/>
                <w:spacing w:val="-2"/>
                <w:sz w:val="15"/>
              </w:rPr>
              <w:t>(5.372)</w:t>
            </w:r>
          </w:p>
        </w:tc>
        <w:tc>
          <w:tcPr>
            <w:tcW w:w="772" w:type="dxa"/>
          </w:tcPr>
          <w:p w14:paraId="7B00DB99" w14:textId="77777777" w:rsidR="002C6574" w:rsidRDefault="00000000">
            <w:pPr>
              <w:pStyle w:val="TableParagraph"/>
              <w:spacing w:before="5"/>
              <w:ind w:left="126"/>
              <w:jc w:val="center"/>
              <w:rPr>
                <w:rFonts w:ascii="Arial MT"/>
                <w:sz w:val="15"/>
              </w:rPr>
            </w:pPr>
            <w:r>
              <w:rPr>
                <w:rFonts w:ascii="Arial MT"/>
                <w:spacing w:val="-2"/>
                <w:sz w:val="15"/>
              </w:rPr>
              <w:t>16,5%</w:t>
            </w:r>
          </w:p>
        </w:tc>
      </w:tr>
      <w:tr w:rsidR="002C6574" w14:paraId="2307F2EA" w14:textId="77777777">
        <w:trPr>
          <w:trHeight w:val="200"/>
        </w:trPr>
        <w:tc>
          <w:tcPr>
            <w:tcW w:w="3412" w:type="dxa"/>
          </w:tcPr>
          <w:p w14:paraId="67E90F85" w14:textId="77777777" w:rsidR="002C6574" w:rsidRDefault="00000000">
            <w:pPr>
              <w:pStyle w:val="TableParagraph"/>
              <w:spacing w:before="19" w:line="161" w:lineRule="exact"/>
              <w:ind w:left="84"/>
              <w:jc w:val="left"/>
              <w:rPr>
                <w:rFonts w:ascii="Arial MT" w:hAnsi="Arial MT"/>
                <w:sz w:val="15"/>
              </w:rPr>
            </w:pPr>
            <w:r>
              <w:rPr>
                <w:rFonts w:ascii="Arial MT" w:hAnsi="Arial MT"/>
                <w:sz w:val="15"/>
              </w:rPr>
              <w:t>Compartilhamento</w:t>
            </w:r>
            <w:r>
              <w:rPr>
                <w:rFonts w:ascii="Arial MT" w:hAnsi="Arial MT"/>
                <w:spacing w:val="-10"/>
                <w:sz w:val="15"/>
              </w:rPr>
              <w:t xml:space="preserve"> </w:t>
            </w:r>
            <w:r>
              <w:rPr>
                <w:rFonts w:ascii="Arial MT" w:hAnsi="Arial MT"/>
                <w:sz w:val="15"/>
              </w:rPr>
              <w:t>de</w:t>
            </w:r>
            <w:r>
              <w:rPr>
                <w:rFonts w:ascii="Arial MT" w:hAnsi="Arial MT"/>
                <w:spacing w:val="-10"/>
                <w:sz w:val="15"/>
              </w:rPr>
              <w:t xml:space="preserve"> </w:t>
            </w:r>
            <w:r>
              <w:rPr>
                <w:rFonts w:ascii="Arial MT" w:hAnsi="Arial MT"/>
                <w:spacing w:val="-2"/>
                <w:sz w:val="15"/>
              </w:rPr>
              <w:t>Instalações</w:t>
            </w:r>
          </w:p>
        </w:tc>
        <w:tc>
          <w:tcPr>
            <w:tcW w:w="927" w:type="dxa"/>
            <w:shd w:val="clear" w:color="auto" w:fill="66FFFF"/>
          </w:tcPr>
          <w:p w14:paraId="7305463E" w14:textId="77777777" w:rsidR="002C6574" w:rsidRDefault="00000000">
            <w:pPr>
              <w:pStyle w:val="TableParagraph"/>
              <w:spacing w:before="19" w:line="161" w:lineRule="exact"/>
              <w:ind w:right="130"/>
              <w:rPr>
                <w:rFonts w:ascii="Arial MT"/>
                <w:sz w:val="15"/>
              </w:rPr>
            </w:pPr>
            <w:r>
              <w:rPr>
                <w:rFonts w:ascii="Arial MT"/>
                <w:spacing w:val="-2"/>
                <w:sz w:val="15"/>
              </w:rPr>
              <w:t>(952)</w:t>
            </w:r>
          </w:p>
        </w:tc>
        <w:tc>
          <w:tcPr>
            <w:tcW w:w="923" w:type="dxa"/>
          </w:tcPr>
          <w:p w14:paraId="2C64AC10" w14:textId="77777777" w:rsidR="002C6574" w:rsidRDefault="00000000">
            <w:pPr>
              <w:pStyle w:val="TableParagraph"/>
              <w:spacing w:before="19" w:line="161" w:lineRule="exact"/>
              <w:ind w:right="146"/>
              <w:rPr>
                <w:rFonts w:ascii="Arial MT"/>
                <w:sz w:val="15"/>
              </w:rPr>
            </w:pPr>
            <w:r>
              <w:rPr>
                <w:rFonts w:ascii="Arial MT"/>
                <w:spacing w:val="-2"/>
                <w:sz w:val="15"/>
              </w:rPr>
              <w:t>(504)</w:t>
            </w:r>
          </w:p>
        </w:tc>
        <w:tc>
          <w:tcPr>
            <w:tcW w:w="907" w:type="dxa"/>
          </w:tcPr>
          <w:p w14:paraId="2D29BF40" w14:textId="77777777" w:rsidR="002C6574" w:rsidRDefault="00000000">
            <w:pPr>
              <w:pStyle w:val="TableParagraph"/>
              <w:spacing w:before="19" w:line="161" w:lineRule="exact"/>
              <w:ind w:right="111"/>
              <w:rPr>
                <w:rFonts w:ascii="Arial MT"/>
                <w:sz w:val="15"/>
              </w:rPr>
            </w:pPr>
            <w:r>
              <w:rPr>
                <w:rFonts w:ascii="Arial MT"/>
                <w:spacing w:val="-2"/>
                <w:sz w:val="15"/>
              </w:rPr>
              <w:t>(951)</w:t>
            </w:r>
          </w:p>
        </w:tc>
        <w:tc>
          <w:tcPr>
            <w:tcW w:w="946" w:type="dxa"/>
          </w:tcPr>
          <w:p w14:paraId="359AC122" w14:textId="77777777" w:rsidR="002C6574" w:rsidRDefault="00000000">
            <w:pPr>
              <w:pStyle w:val="TableParagraph"/>
              <w:spacing w:before="5"/>
              <w:ind w:right="76"/>
              <w:rPr>
                <w:rFonts w:ascii="Arial MT"/>
                <w:sz w:val="15"/>
              </w:rPr>
            </w:pPr>
            <w:r>
              <w:rPr>
                <w:rFonts w:ascii="Arial MT"/>
                <w:spacing w:val="-2"/>
                <w:sz w:val="15"/>
              </w:rPr>
              <w:t>88,9%</w:t>
            </w:r>
          </w:p>
        </w:tc>
        <w:tc>
          <w:tcPr>
            <w:tcW w:w="855" w:type="dxa"/>
            <w:gridSpan w:val="2"/>
          </w:tcPr>
          <w:p w14:paraId="0CF008C0" w14:textId="77777777" w:rsidR="002C6574" w:rsidRDefault="00000000">
            <w:pPr>
              <w:pStyle w:val="TableParagraph"/>
              <w:spacing w:before="5"/>
              <w:ind w:left="303"/>
              <w:jc w:val="left"/>
              <w:rPr>
                <w:rFonts w:ascii="Arial MT"/>
                <w:sz w:val="15"/>
              </w:rPr>
            </w:pPr>
            <w:r>
              <w:rPr>
                <w:rFonts w:ascii="Arial MT"/>
                <w:spacing w:val="-4"/>
                <w:sz w:val="15"/>
              </w:rPr>
              <w:t>0,1%</w:t>
            </w:r>
          </w:p>
        </w:tc>
        <w:tc>
          <w:tcPr>
            <w:tcW w:w="865" w:type="dxa"/>
            <w:shd w:val="clear" w:color="auto" w:fill="66FFFF"/>
          </w:tcPr>
          <w:p w14:paraId="6F8C6798" w14:textId="77777777" w:rsidR="002C6574" w:rsidRDefault="00000000">
            <w:pPr>
              <w:pStyle w:val="TableParagraph"/>
              <w:spacing w:before="19" w:line="161" w:lineRule="exact"/>
              <w:ind w:right="58"/>
              <w:rPr>
                <w:rFonts w:ascii="Arial MT"/>
                <w:sz w:val="15"/>
              </w:rPr>
            </w:pPr>
            <w:r>
              <w:rPr>
                <w:rFonts w:ascii="Arial MT"/>
                <w:spacing w:val="-2"/>
                <w:sz w:val="15"/>
              </w:rPr>
              <w:t>(3.877)</w:t>
            </w:r>
          </w:p>
        </w:tc>
        <w:tc>
          <w:tcPr>
            <w:tcW w:w="938" w:type="dxa"/>
          </w:tcPr>
          <w:p w14:paraId="786F14BF" w14:textId="77777777" w:rsidR="002C6574" w:rsidRDefault="00000000">
            <w:pPr>
              <w:pStyle w:val="TableParagraph"/>
              <w:spacing w:before="19" w:line="161" w:lineRule="exact"/>
              <w:ind w:right="132"/>
              <w:rPr>
                <w:rFonts w:ascii="Arial MT"/>
                <w:sz w:val="15"/>
              </w:rPr>
            </w:pPr>
            <w:r>
              <w:rPr>
                <w:rFonts w:ascii="Arial MT"/>
                <w:spacing w:val="-2"/>
                <w:sz w:val="15"/>
              </w:rPr>
              <w:t>(3.803)</w:t>
            </w:r>
          </w:p>
        </w:tc>
        <w:tc>
          <w:tcPr>
            <w:tcW w:w="772" w:type="dxa"/>
          </w:tcPr>
          <w:p w14:paraId="587BDE31" w14:textId="77777777" w:rsidR="002C6574" w:rsidRDefault="00000000">
            <w:pPr>
              <w:pStyle w:val="TableParagraph"/>
              <w:spacing w:before="5"/>
              <w:ind w:left="209"/>
              <w:jc w:val="center"/>
              <w:rPr>
                <w:rFonts w:ascii="Arial MT"/>
                <w:sz w:val="15"/>
              </w:rPr>
            </w:pPr>
            <w:r>
              <w:rPr>
                <w:rFonts w:ascii="Arial MT"/>
                <w:spacing w:val="-4"/>
                <w:sz w:val="15"/>
              </w:rPr>
              <w:t>1,9%</w:t>
            </w:r>
          </w:p>
        </w:tc>
      </w:tr>
      <w:tr w:rsidR="002C6574" w14:paraId="04EB2CE4" w14:textId="77777777">
        <w:trPr>
          <w:trHeight w:val="200"/>
        </w:trPr>
        <w:tc>
          <w:tcPr>
            <w:tcW w:w="3412" w:type="dxa"/>
          </w:tcPr>
          <w:p w14:paraId="02FED12E" w14:textId="77777777" w:rsidR="002C6574" w:rsidRDefault="00000000">
            <w:pPr>
              <w:pStyle w:val="TableParagraph"/>
              <w:spacing w:before="15" w:line="165" w:lineRule="exact"/>
              <w:ind w:left="84"/>
              <w:jc w:val="left"/>
              <w:rPr>
                <w:rFonts w:ascii="Arial MT"/>
                <w:position w:val="5"/>
                <w:sz w:val="10"/>
              </w:rPr>
            </w:pPr>
            <w:r>
              <w:rPr>
                <w:rFonts w:ascii="Arial MT"/>
                <w:spacing w:val="-2"/>
                <w:sz w:val="15"/>
              </w:rPr>
              <w:t>PECLD</w:t>
            </w:r>
            <w:hyperlink w:anchor="_bookmark14" w:history="1">
              <w:r>
                <w:rPr>
                  <w:rFonts w:ascii="Arial MT"/>
                  <w:spacing w:val="-2"/>
                  <w:position w:val="5"/>
                  <w:sz w:val="10"/>
                </w:rPr>
                <w:t>3</w:t>
              </w:r>
            </w:hyperlink>
          </w:p>
        </w:tc>
        <w:tc>
          <w:tcPr>
            <w:tcW w:w="927" w:type="dxa"/>
            <w:shd w:val="clear" w:color="auto" w:fill="66FFFF"/>
          </w:tcPr>
          <w:p w14:paraId="04AB80D8" w14:textId="77777777" w:rsidR="002C6574" w:rsidRDefault="00000000">
            <w:pPr>
              <w:pStyle w:val="TableParagraph"/>
              <w:spacing w:before="18" w:line="162" w:lineRule="exact"/>
              <w:ind w:right="130"/>
              <w:rPr>
                <w:rFonts w:ascii="Arial MT"/>
                <w:sz w:val="15"/>
              </w:rPr>
            </w:pPr>
            <w:r>
              <w:rPr>
                <w:rFonts w:ascii="Arial MT"/>
                <w:spacing w:val="-2"/>
                <w:sz w:val="15"/>
              </w:rPr>
              <w:t>(1.415)</w:t>
            </w:r>
          </w:p>
        </w:tc>
        <w:tc>
          <w:tcPr>
            <w:tcW w:w="923" w:type="dxa"/>
          </w:tcPr>
          <w:p w14:paraId="427A9B9D" w14:textId="77777777" w:rsidR="002C6574" w:rsidRDefault="00000000">
            <w:pPr>
              <w:pStyle w:val="TableParagraph"/>
              <w:spacing w:before="18" w:line="162" w:lineRule="exact"/>
              <w:ind w:right="146"/>
              <w:rPr>
                <w:rFonts w:ascii="Arial MT"/>
                <w:sz w:val="15"/>
              </w:rPr>
            </w:pPr>
            <w:r>
              <w:rPr>
                <w:rFonts w:ascii="Arial MT"/>
                <w:spacing w:val="-2"/>
                <w:sz w:val="15"/>
              </w:rPr>
              <w:t>(931)</w:t>
            </w:r>
          </w:p>
        </w:tc>
        <w:tc>
          <w:tcPr>
            <w:tcW w:w="907" w:type="dxa"/>
          </w:tcPr>
          <w:p w14:paraId="74B0A8E5" w14:textId="77777777" w:rsidR="002C6574" w:rsidRDefault="00000000">
            <w:pPr>
              <w:pStyle w:val="TableParagraph"/>
              <w:spacing w:before="18" w:line="162" w:lineRule="exact"/>
              <w:ind w:right="111"/>
              <w:rPr>
                <w:rFonts w:ascii="Arial MT"/>
                <w:sz w:val="15"/>
              </w:rPr>
            </w:pPr>
            <w:r>
              <w:rPr>
                <w:rFonts w:ascii="Arial MT"/>
                <w:spacing w:val="-2"/>
                <w:sz w:val="15"/>
              </w:rPr>
              <w:t>(831)</w:t>
            </w:r>
          </w:p>
        </w:tc>
        <w:tc>
          <w:tcPr>
            <w:tcW w:w="946" w:type="dxa"/>
          </w:tcPr>
          <w:p w14:paraId="384C4610" w14:textId="77777777" w:rsidR="002C6574" w:rsidRDefault="00000000">
            <w:pPr>
              <w:pStyle w:val="TableParagraph"/>
              <w:spacing w:before="4"/>
              <w:ind w:right="76"/>
              <w:rPr>
                <w:rFonts w:ascii="Arial MT"/>
                <w:sz w:val="15"/>
              </w:rPr>
            </w:pPr>
            <w:r>
              <w:rPr>
                <w:rFonts w:ascii="Arial MT"/>
                <w:spacing w:val="-2"/>
                <w:sz w:val="15"/>
              </w:rPr>
              <w:t>52,0%</w:t>
            </w:r>
          </w:p>
        </w:tc>
        <w:tc>
          <w:tcPr>
            <w:tcW w:w="855" w:type="dxa"/>
            <w:gridSpan w:val="2"/>
          </w:tcPr>
          <w:p w14:paraId="6128AACD" w14:textId="77777777" w:rsidR="002C6574" w:rsidRDefault="00000000">
            <w:pPr>
              <w:pStyle w:val="TableParagraph"/>
              <w:spacing w:before="4"/>
              <w:ind w:left="219"/>
              <w:jc w:val="left"/>
              <w:rPr>
                <w:rFonts w:ascii="Arial MT"/>
                <w:sz w:val="15"/>
              </w:rPr>
            </w:pPr>
            <w:r>
              <w:rPr>
                <w:rFonts w:ascii="Arial MT"/>
                <w:spacing w:val="-2"/>
                <w:sz w:val="15"/>
              </w:rPr>
              <w:t>70,3%</w:t>
            </w:r>
          </w:p>
        </w:tc>
        <w:tc>
          <w:tcPr>
            <w:tcW w:w="865" w:type="dxa"/>
            <w:shd w:val="clear" w:color="auto" w:fill="66FFFF"/>
          </w:tcPr>
          <w:p w14:paraId="702D7640" w14:textId="77777777" w:rsidR="002C6574" w:rsidRDefault="00000000">
            <w:pPr>
              <w:pStyle w:val="TableParagraph"/>
              <w:spacing w:before="18" w:line="162" w:lineRule="exact"/>
              <w:ind w:right="58"/>
              <w:rPr>
                <w:rFonts w:ascii="Arial MT"/>
                <w:sz w:val="15"/>
              </w:rPr>
            </w:pPr>
            <w:r>
              <w:rPr>
                <w:rFonts w:ascii="Arial MT"/>
                <w:spacing w:val="-2"/>
                <w:sz w:val="15"/>
              </w:rPr>
              <w:t>(2.807)</w:t>
            </w:r>
          </w:p>
        </w:tc>
        <w:tc>
          <w:tcPr>
            <w:tcW w:w="938" w:type="dxa"/>
          </w:tcPr>
          <w:p w14:paraId="1B1E7827" w14:textId="77777777" w:rsidR="002C6574" w:rsidRDefault="00000000">
            <w:pPr>
              <w:pStyle w:val="TableParagraph"/>
              <w:spacing w:before="18" w:line="162" w:lineRule="exact"/>
              <w:ind w:right="132"/>
              <w:rPr>
                <w:rFonts w:ascii="Arial MT"/>
                <w:sz w:val="15"/>
              </w:rPr>
            </w:pPr>
            <w:r>
              <w:rPr>
                <w:rFonts w:ascii="Arial MT"/>
                <w:spacing w:val="-2"/>
                <w:sz w:val="15"/>
              </w:rPr>
              <w:t>(2.752)</w:t>
            </w:r>
          </w:p>
        </w:tc>
        <w:tc>
          <w:tcPr>
            <w:tcW w:w="772" w:type="dxa"/>
          </w:tcPr>
          <w:p w14:paraId="7AF4303A" w14:textId="77777777" w:rsidR="002C6574" w:rsidRDefault="00000000">
            <w:pPr>
              <w:pStyle w:val="TableParagraph"/>
              <w:spacing w:before="4"/>
              <w:ind w:left="209"/>
              <w:jc w:val="center"/>
              <w:rPr>
                <w:rFonts w:ascii="Arial MT"/>
                <w:sz w:val="15"/>
              </w:rPr>
            </w:pPr>
            <w:r>
              <w:rPr>
                <w:rFonts w:ascii="Arial MT"/>
                <w:spacing w:val="-4"/>
                <w:sz w:val="15"/>
              </w:rPr>
              <w:t>2,0%</w:t>
            </w:r>
          </w:p>
        </w:tc>
      </w:tr>
      <w:tr w:rsidR="002C6574" w14:paraId="6107DF73" w14:textId="77777777">
        <w:trPr>
          <w:trHeight w:val="199"/>
        </w:trPr>
        <w:tc>
          <w:tcPr>
            <w:tcW w:w="3412" w:type="dxa"/>
          </w:tcPr>
          <w:p w14:paraId="4D25D835" w14:textId="77777777" w:rsidR="002C6574" w:rsidRDefault="00000000">
            <w:pPr>
              <w:pStyle w:val="TableParagraph"/>
              <w:spacing w:before="14" w:line="165" w:lineRule="exact"/>
              <w:ind w:left="84"/>
              <w:jc w:val="left"/>
              <w:rPr>
                <w:rFonts w:ascii="Arial MT"/>
                <w:position w:val="5"/>
                <w:sz w:val="10"/>
              </w:rPr>
            </w:pPr>
            <w:r>
              <w:rPr>
                <w:rFonts w:ascii="Arial MT"/>
                <w:spacing w:val="-2"/>
                <w:sz w:val="15"/>
              </w:rPr>
              <w:t>PISP</w:t>
            </w:r>
            <w:hyperlink w:anchor="_bookmark15" w:history="1">
              <w:r>
                <w:rPr>
                  <w:rFonts w:ascii="Arial MT"/>
                  <w:spacing w:val="-2"/>
                  <w:position w:val="5"/>
                  <w:sz w:val="10"/>
                </w:rPr>
                <w:t>4</w:t>
              </w:r>
            </w:hyperlink>
          </w:p>
        </w:tc>
        <w:tc>
          <w:tcPr>
            <w:tcW w:w="927" w:type="dxa"/>
            <w:shd w:val="clear" w:color="auto" w:fill="66FFFF"/>
          </w:tcPr>
          <w:p w14:paraId="3FE437A1" w14:textId="77777777" w:rsidR="002C6574" w:rsidRDefault="00000000">
            <w:pPr>
              <w:pStyle w:val="TableParagraph"/>
              <w:spacing w:before="17" w:line="162" w:lineRule="exact"/>
              <w:ind w:right="130"/>
              <w:rPr>
                <w:rFonts w:ascii="Arial MT"/>
                <w:sz w:val="15"/>
              </w:rPr>
            </w:pPr>
            <w:r>
              <w:rPr>
                <w:rFonts w:ascii="Arial MT"/>
                <w:spacing w:val="-2"/>
                <w:sz w:val="15"/>
              </w:rPr>
              <w:t>(848)</w:t>
            </w:r>
          </w:p>
        </w:tc>
        <w:tc>
          <w:tcPr>
            <w:tcW w:w="923" w:type="dxa"/>
          </w:tcPr>
          <w:p w14:paraId="3136F52E" w14:textId="77777777" w:rsidR="002C6574" w:rsidRDefault="00000000">
            <w:pPr>
              <w:pStyle w:val="TableParagraph"/>
              <w:spacing w:before="17" w:line="162" w:lineRule="exact"/>
              <w:ind w:right="146"/>
              <w:rPr>
                <w:rFonts w:ascii="Arial MT"/>
                <w:sz w:val="15"/>
              </w:rPr>
            </w:pPr>
            <w:r>
              <w:rPr>
                <w:rFonts w:ascii="Arial MT"/>
                <w:spacing w:val="-2"/>
                <w:sz w:val="15"/>
              </w:rPr>
              <w:t>(191)</w:t>
            </w:r>
          </w:p>
        </w:tc>
        <w:tc>
          <w:tcPr>
            <w:tcW w:w="907" w:type="dxa"/>
          </w:tcPr>
          <w:p w14:paraId="2468A973" w14:textId="77777777" w:rsidR="002C6574" w:rsidRDefault="00000000">
            <w:pPr>
              <w:pStyle w:val="TableParagraph"/>
              <w:spacing w:before="17" w:line="162" w:lineRule="exact"/>
              <w:ind w:right="128"/>
              <w:rPr>
                <w:rFonts w:ascii="Arial MT"/>
                <w:sz w:val="15"/>
              </w:rPr>
            </w:pPr>
            <w:r>
              <w:rPr>
                <w:rFonts w:ascii="Arial MT"/>
                <w:spacing w:val="-5"/>
                <w:sz w:val="15"/>
              </w:rPr>
              <w:t>324</w:t>
            </w:r>
          </w:p>
        </w:tc>
        <w:tc>
          <w:tcPr>
            <w:tcW w:w="946" w:type="dxa"/>
          </w:tcPr>
          <w:p w14:paraId="5E395C0B" w14:textId="77777777" w:rsidR="002C6574" w:rsidRDefault="00000000">
            <w:pPr>
              <w:pStyle w:val="TableParagraph"/>
              <w:spacing w:before="5"/>
              <w:ind w:right="76"/>
              <w:rPr>
                <w:rFonts w:ascii="Arial MT"/>
                <w:sz w:val="15"/>
              </w:rPr>
            </w:pPr>
            <w:r>
              <w:rPr>
                <w:rFonts w:ascii="Arial MT"/>
                <w:spacing w:val="-2"/>
                <w:sz w:val="15"/>
              </w:rPr>
              <w:t>344,0%</w:t>
            </w:r>
          </w:p>
        </w:tc>
        <w:tc>
          <w:tcPr>
            <w:tcW w:w="855" w:type="dxa"/>
            <w:gridSpan w:val="2"/>
          </w:tcPr>
          <w:p w14:paraId="598D05D6" w14:textId="77777777" w:rsidR="002C6574" w:rsidRDefault="00000000">
            <w:pPr>
              <w:pStyle w:val="TableParagraph"/>
              <w:spacing w:before="5"/>
              <w:ind w:left="84"/>
              <w:jc w:val="left"/>
              <w:rPr>
                <w:rFonts w:ascii="Arial MT"/>
                <w:sz w:val="15"/>
              </w:rPr>
            </w:pPr>
            <w:r>
              <w:rPr>
                <w:rFonts w:ascii="Arial MT"/>
                <w:sz w:val="15"/>
              </w:rPr>
              <w:t>-</w:t>
            </w:r>
            <w:r>
              <w:rPr>
                <w:rFonts w:ascii="Arial MT"/>
                <w:spacing w:val="-2"/>
                <w:sz w:val="15"/>
              </w:rPr>
              <w:t>361,7%</w:t>
            </w:r>
          </w:p>
        </w:tc>
        <w:tc>
          <w:tcPr>
            <w:tcW w:w="865" w:type="dxa"/>
            <w:shd w:val="clear" w:color="auto" w:fill="66FFFF"/>
          </w:tcPr>
          <w:p w14:paraId="1225B58B" w14:textId="77777777" w:rsidR="002C6574" w:rsidRDefault="00000000">
            <w:pPr>
              <w:pStyle w:val="TableParagraph"/>
              <w:spacing w:before="17" w:line="162" w:lineRule="exact"/>
              <w:ind w:right="58"/>
              <w:rPr>
                <w:rFonts w:ascii="Arial MT"/>
                <w:sz w:val="15"/>
              </w:rPr>
            </w:pPr>
            <w:r>
              <w:rPr>
                <w:rFonts w:ascii="Arial MT"/>
                <w:spacing w:val="-2"/>
                <w:sz w:val="15"/>
              </w:rPr>
              <w:t>(1.733)</w:t>
            </w:r>
          </w:p>
        </w:tc>
        <w:tc>
          <w:tcPr>
            <w:tcW w:w="938" w:type="dxa"/>
          </w:tcPr>
          <w:p w14:paraId="4BB23DF5" w14:textId="77777777" w:rsidR="002C6574" w:rsidRDefault="00000000">
            <w:pPr>
              <w:pStyle w:val="TableParagraph"/>
              <w:spacing w:before="17" w:line="162" w:lineRule="exact"/>
              <w:ind w:right="132"/>
              <w:rPr>
                <w:rFonts w:ascii="Arial MT"/>
                <w:sz w:val="15"/>
              </w:rPr>
            </w:pPr>
            <w:r>
              <w:rPr>
                <w:rFonts w:ascii="Arial MT"/>
                <w:spacing w:val="-2"/>
                <w:sz w:val="15"/>
              </w:rPr>
              <w:t>(411)</w:t>
            </w:r>
          </w:p>
        </w:tc>
        <w:tc>
          <w:tcPr>
            <w:tcW w:w="772" w:type="dxa"/>
          </w:tcPr>
          <w:p w14:paraId="0FFFBD25" w14:textId="77777777" w:rsidR="002C6574" w:rsidRDefault="00000000">
            <w:pPr>
              <w:pStyle w:val="TableParagraph"/>
              <w:spacing w:before="5"/>
              <w:ind w:left="42"/>
              <w:jc w:val="center"/>
              <w:rPr>
                <w:rFonts w:ascii="Arial MT"/>
                <w:sz w:val="15"/>
              </w:rPr>
            </w:pPr>
            <w:r>
              <w:rPr>
                <w:rFonts w:ascii="Arial MT"/>
                <w:spacing w:val="-2"/>
                <w:sz w:val="15"/>
              </w:rPr>
              <w:t>321,7%</w:t>
            </w:r>
          </w:p>
        </w:tc>
      </w:tr>
      <w:tr w:rsidR="002C6574" w14:paraId="7B299B91" w14:textId="77777777">
        <w:trPr>
          <w:trHeight w:val="191"/>
        </w:trPr>
        <w:tc>
          <w:tcPr>
            <w:tcW w:w="3412" w:type="dxa"/>
          </w:tcPr>
          <w:p w14:paraId="061422A9" w14:textId="77777777" w:rsidR="002C6574" w:rsidRDefault="00000000">
            <w:pPr>
              <w:pStyle w:val="TableParagraph"/>
              <w:spacing w:before="19" w:line="152" w:lineRule="exact"/>
              <w:ind w:left="84"/>
              <w:jc w:val="left"/>
              <w:rPr>
                <w:rFonts w:ascii="Arial MT"/>
                <w:sz w:val="15"/>
              </w:rPr>
            </w:pPr>
            <w:r>
              <w:rPr>
                <w:rFonts w:ascii="Arial MT"/>
                <w:spacing w:val="-2"/>
                <w:sz w:val="15"/>
              </w:rPr>
              <w:t>Materiais</w:t>
            </w:r>
          </w:p>
        </w:tc>
        <w:tc>
          <w:tcPr>
            <w:tcW w:w="927" w:type="dxa"/>
            <w:shd w:val="clear" w:color="auto" w:fill="66FFFF"/>
          </w:tcPr>
          <w:p w14:paraId="4D8265BD" w14:textId="77777777" w:rsidR="002C6574" w:rsidRDefault="00000000">
            <w:pPr>
              <w:pStyle w:val="TableParagraph"/>
              <w:spacing w:before="19" w:line="152" w:lineRule="exact"/>
              <w:ind w:right="87"/>
              <w:rPr>
                <w:rFonts w:ascii="Arial MT"/>
                <w:sz w:val="15"/>
              </w:rPr>
            </w:pPr>
            <w:r>
              <w:rPr>
                <w:rFonts w:ascii="Arial MT"/>
                <w:spacing w:val="-5"/>
                <w:sz w:val="15"/>
              </w:rPr>
              <w:t>(7)</w:t>
            </w:r>
          </w:p>
        </w:tc>
        <w:tc>
          <w:tcPr>
            <w:tcW w:w="923" w:type="dxa"/>
          </w:tcPr>
          <w:p w14:paraId="1E85F448" w14:textId="77777777" w:rsidR="002C6574" w:rsidRDefault="00000000">
            <w:pPr>
              <w:pStyle w:val="TableParagraph"/>
              <w:spacing w:before="19" w:line="152" w:lineRule="exact"/>
              <w:ind w:right="102"/>
              <w:rPr>
                <w:rFonts w:ascii="Arial MT"/>
                <w:sz w:val="15"/>
              </w:rPr>
            </w:pPr>
            <w:r>
              <w:rPr>
                <w:rFonts w:ascii="Arial MT"/>
                <w:spacing w:val="-5"/>
                <w:sz w:val="15"/>
              </w:rPr>
              <w:t>(5)</w:t>
            </w:r>
          </w:p>
        </w:tc>
        <w:tc>
          <w:tcPr>
            <w:tcW w:w="907" w:type="dxa"/>
          </w:tcPr>
          <w:p w14:paraId="13F921DC" w14:textId="77777777" w:rsidR="002C6574" w:rsidRDefault="00000000">
            <w:pPr>
              <w:pStyle w:val="TableParagraph"/>
              <w:spacing w:before="19" w:line="152" w:lineRule="exact"/>
              <w:ind w:right="111"/>
              <w:rPr>
                <w:rFonts w:ascii="Arial MT"/>
                <w:sz w:val="15"/>
              </w:rPr>
            </w:pPr>
            <w:r>
              <w:rPr>
                <w:rFonts w:ascii="Arial MT"/>
                <w:spacing w:val="-4"/>
                <w:sz w:val="15"/>
              </w:rPr>
              <w:t>(52)</w:t>
            </w:r>
          </w:p>
        </w:tc>
        <w:tc>
          <w:tcPr>
            <w:tcW w:w="946" w:type="dxa"/>
          </w:tcPr>
          <w:p w14:paraId="5794B522" w14:textId="77777777" w:rsidR="002C6574" w:rsidRDefault="00000000">
            <w:pPr>
              <w:pStyle w:val="TableParagraph"/>
              <w:spacing w:before="5" w:line="166" w:lineRule="exact"/>
              <w:ind w:right="76"/>
              <w:rPr>
                <w:rFonts w:ascii="Arial MT"/>
                <w:sz w:val="15"/>
              </w:rPr>
            </w:pPr>
            <w:r>
              <w:rPr>
                <w:rFonts w:ascii="Arial MT"/>
                <w:spacing w:val="-2"/>
                <w:sz w:val="15"/>
              </w:rPr>
              <w:t>40,0%</w:t>
            </w:r>
          </w:p>
        </w:tc>
        <w:tc>
          <w:tcPr>
            <w:tcW w:w="855" w:type="dxa"/>
            <w:gridSpan w:val="2"/>
          </w:tcPr>
          <w:p w14:paraId="7EF5CCBD" w14:textId="77777777" w:rsidR="002C6574" w:rsidRDefault="00000000">
            <w:pPr>
              <w:pStyle w:val="TableParagraph"/>
              <w:spacing w:before="5" w:line="166" w:lineRule="exact"/>
              <w:ind w:left="168"/>
              <w:jc w:val="left"/>
              <w:rPr>
                <w:rFonts w:ascii="Arial MT"/>
                <w:sz w:val="15"/>
              </w:rPr>
            </w:pPr>
            <w:r>
              <w:rPr>
                <w:rFonts w:ascii="Arial MT"/>
                <w:sz w:val="15"/>
              </w:rPr>
              <w:t>-</w:t>
            </w:r>
            <w:r>
              <w:rPr>
                <w:rFonts w:ascii="Arial MT"/>
                <w:spacing w:val="-2"/>
                <w:sz w:val="15"/>
              </w:rPr>
              <w:t>86,5%</w:t>
            </w:r>
          </w:p>
        </w:tc>
        <w:tc>
          <w:tcPr>
            <w:tcW w:w="865" w:type="dxa"/>
            <w:shd w:val="clear" w:color="auto" w:fill="66FFFF"/>
          </w:tcPr>
          <w:p w14:paraId="36BC6460" w14:textId="77777777" w:rsidR="002C6574" w:rsidRDefault="00000000">
            <w:pPr>
              <w:pStyle w:val="TableParagraph"/>
              <w:spacing w:before="19" w:line="152" w:lineRule="exact"/>
              <w:ind w:right="58"/>
              <w:rPr>
                <w:rFonts w:ascii="Arial MT"/>
                <w:sz w:val="15"/>
              </w:rPr>
            </w:pPr>
            <w:r>
              <w:rPr>
                <w:rFonts w:ascii="Arial MT"/>
                <w:spacing w:val="-4"/>
                <w:sz w:val="15"/>
              </w:rPr>
              <w:t>(76)</w:t>
            </w:r>
          </w:p>
        </w:tc>
        <w:tc>
          <w:tcPr>
            <w:tcW w:w="938" w:type="dxa"/>
          </w:tcPr>
          <w:p w14:paraId="74637822" w14:textId="77777777" w:rsidR="002C6574" w:rsidRDefault="00000000">
            <w:pPr>
              <w:pStyle w:val="TableParagraph"/>
              <w:spacing w:before="19" w:line="152" w:lineRule="exact"/>
              <w:ind w:right="132"/>
              <w:rPr>
                <w:rFonts w:ascii="Arial MT"/>
                <w:sz w:val="15"/>
              </w:rPr>
            </w:pPr>
            <w:r>
              <w:rPr>
                <w:rFonts w:ascii="Arial MT"/>
                <w:spacing w:val="-2"/>
                <w:sz w:val="15"/>
              </w:rPr>
              <w:t>(809)</w:t>
            </w:r>
          </w:p>
        </w:tc>
        <w:tc>
          <w:tcPr>
            <w:tcW w:w="772" w:type="dxa"/>
          </w:tcPr>
          <w:p w14:paraId="2704B893" w14:textId="77777777" w:rsidR="002C6574" w:rsidRDefault="00000000">
            <w:pPr>
              <w:pStyle w:val="TableParagraph"/>
              <w:spacing w:before="5" w:line="166" w:lineRule="exact"/>
              <w:ind w:left="75"/>
              <w:jc w:val="center"/>
              <w:rPr>
                <w:rFonts w:ascii="Arial MT"/>
                <w:sz w:val="15"/>
              </w:rPr>
            </w:pPr>
            <w:r>
              <w:rPr>
                <w:rFonts w:ascii="Arial MT"/>
                <w:sz w:val="15"/>
              </w:rPr>
              <w:t>-</w:t>
            </w:r>
            <w:r>
              <w:rPr>
                <w:rFonts w:ascii="Arial MT"/>
                <w:spacing w:val="-2"/>
                <w:sz w:val="15"/>
              </w:rPr>
              <w:t>90,6%</w:t>
            </w:r>
          </w:p>
        </w:tc>
      </w:tr>
      <w:tr w:rsidR="002C6574" w14:paraId="46989CC9" w14:textId="77777777">
        <w:trPr>
          <w:trHeight w:val="209"/>
        </w:trPr>
        <w:tc>
          <w:tcPr>
            <w:tcW w:w="3412" w:type="dxa"/>
            <w:shd w:val="clear" w:color="auto" w:fill="0000FF"/>
          </w:tcPr>
          <w:p w14:paraId="0642046A" w14:textId="77777777" w:rsidR="002C6574" w:rsidRDefault="00000000">
            <w:pPr>
              <w:pStyle w:val="TableParagraph"/>
              <w:spacing w:before="37" w:line="153" w:lineRule="exact"/>
              <w:ind w:left="84"/>
              <w:jc w:val="left"/>
              <w:rPr>
                <w:rFonts w:ascii="Arial"/>
                <w:b/>
                <w:sz w:val="15"/>
              </w:rPr>
            </w:pPr>
            <w:r>
              <w:rPr>
                <w:rFonts w:ascii="Arial"/>
                <w:b/>
                <w:color w:val="FFFFFF"/>
                <w:spacing w:val="-2"/>
                <w:sz w:val="15"/>
              </w:rPr>
              <w:t>Total</w:t>
            </w:r>
          </w:p>
        </w:tc>
        <w:tc>
          <w:tcPr>
            <w:tcW w:w="927" w:type="dxa"/>
            <w:shd w:val="clear" w:color="auto" w:fill="0000FF"/>
          </w:tcPr>
          <w:p w14:paraId="2DAFF801" w14:textId="77777777" w:rsidR="002C6574" w:rsidRDefault="00000000">
            <w:pPr>
              <w:pStyle w:val="TableParagraph"/>
              <w:spacing w:before="37" w:line="153" w:lineRule="exact"/>
              <w:ind w:right="171"/>
              <w:rPr>
                <w:rFonts w:ascii="Arial"/>
                <w:b/>
                <w:sz w:val="15"/>
              </w:rPr>
            </w:pPr>
            <w:r>
              <w:rPr>
                <w:rFonts w:ascii="Arial"/>
                <w:b/>
                <w:color w:val="FFFFFF"/>
                <w:spacing w:val="-2"/>
                <w:sz w:val="15"/>
              </w:rPr>
              <w:t>(153.415)</w:t>
            </w:r>
          </w:p>
        </w:tc>
        <w:tc>
          <w:tcPr>
            <w:tcW w:w="923" w:type="dxa"/>
            <w:shd w:val="clear" w:color="auto" w:fill="0000FF"/>
          </w:tcPr>
          <w:p w14:paraId="52C9F942" w14:textId="77777777" w:rsidR="002C6574" w:rsidRDefault="00000000">
            <w:pPr>
              <w:pStyle w:val="TableParagraph"/>
              <w:spacing w:before="37" w:line="153" w:lineRule="exact"/>
              <w:ind w:right="186"/>
              <w:rPr>
                <w:rFonts w:ascii="Arial"/>
                <w:b/>
                <w:sz w:val="15"/>
              </w:rPr>
            </w:pPr>
            <w:r>
              <w:rPr>
                <w:rFonts w:ascii="Arial"/>
                <w:b/>
                <w:color w:val="FFFFFF"/>
                <w:spacing w:val="-2"/>
                <w:sz w:val="15"/>
              </w:rPr>
              <w:t>(124.099)</w:t>
            </w:r>
          </w:p>
        </w:tc>
        <w:tc>
          <w:tcPr>
            <w:tcW w:w="907" w:type="dxa"/>
            <w:shd w:val="clear" w:color="auto" w:fill="0000FF"/>
          </w:tcPr>
          <w:p w14:paraId="296C29FA" w14:textId="77777777" w:rsidR="002C6574" w:rsidRDefault="00000000">
            <w:pPr>
              <w:pStyle w:val="TableParagraph"/>
              <w:spacing w:before="37" w:line="153" w:lineRule="exact"/>
              <w:ind w:right="153"/>
              <w:rPr>
                <w:rFonts w:ascii="Arial"/>
                <w:b/>
                <w:sz w:val="15"/>
              </w:rPr>
            </w:pPr>
            <w:r>
              <w:rPr>
                <w:rFonts w:ascii="Arial"/>
                <w:b/>
                <w:color w:val="FFFFFF"/>
                <w:spacing w:val="-2"/>
                <w:sz w:val="15"/>
              </w:rPr>
              <w:t>(123.531)</w:t>
            </w:r>
          </w:p>
        </w:tc>
        <w:tc>
          <w:tcPr>
            <w:tcW w:w="1655" w:type="dxa"/>
            <w:gridSpan w:val="2"/>
          </w:tcPr>
          <w:p w14:paraId="35931CDC" w14:textId="77777777" w:rsidR="002C6574" w:rsidRDefault="00000000">
            <w:pPr>
              <w:pStyle w:val="TableParagraph"/>
              <w:tabs>
                <w:tab w:val="left" w:pos="440"/>
                <w:tab w:val="left" w:pos="1165"/>
              </w:tabs>
              <w:spacing w:before="17" w:line="172" w:lineRule="exact"/>
              <w:ind w:left="118" w:right="-15"/>
              <w:jc w:val="left"/>
              <w:rPr>
                <w:rFonts w:ascii="Arial"/>
                <w:b/>
                <w:sz w:val="15"/>
              </w:rPr>
            </w:pPr>
            <w:r>
              <w:rPr>
                <w:rFonts w:ascii="Arial"/>
                <w:b/>
                <w:color w:val="FFFFFF"/>
                <w:sz w:val="15"/>
                <w:highlight w:val="blue"/>
              </w:rPr>
              <w:tab/>
            </w:r>
            <w:r>
              <w:rPr>
                <w:rFonts w:ascii="Arial"/>
                <w:b/>
                <w:color w:val="FFFFFF"/>
                <w:spacing w:val="-2"/>
                <w:sz w:val="15"/>
                <w:highlight w:val="blue"/>
              </w:rPr>
              <w:t>23,6%</w:t>
            </w:r>
            <w:r>
              <w:rPr>
                <w:rFonts w:ascii="Arial"/>
                <w:b/>
                <w:color w:val="FFFFFF"/>
                <w:sz w:val="15"/>
                <w:highlight w:val="blue"/>
              </w:rPr>
              <w:tab/>
            </w:r>
            <w:r>
              <w:rPr>
                <w:rFonts w:ascii="Arial"/>
                <w:b/>
                <w:color w:val="FFFFFF"/>
                <w:spacing w:val="-4"/>
                <w:sz w:val="15"/>
                <w:highlight w:val="blue"/>
              </w:rPr>
              <w:t>24,2%</w:t>
            </w:r>
            <w:r>
              <w:rPr>
                <w:rFonts w:ascii="Arial"/>
                <w:b/>
                <w:color w:val="FFFFFF"/>
                <w:spacing w:val="40"/>
                <w:sz w:val="15"/>
                <w:highlight w:val="blue"/>
              </w:rPr>
              <w:t xml:space="preserve"> </w:t>
            </w:r>
          </w:p>
        </w:tc>
        <w:tc>
          <w:tcPr>
            <w:tcW w:w="1949" w:type="dxa"/>
            <w:gridSpan w:val="3"/>
          </w:tcPr>
          <w:p w14:paraId="67C6F0DF" w14:textId="77777777" w:rsidR="002C6574" w:rsidRDefault="00000000">
            <w:pPr>
              <w:pStyle w:val="TableParagraph"/>
              <w:spacing w:before="37" w:line="153" w:lineRule="exact"/>
              <w:ind w:left="151"/>
              <w:jc w:val="left"/>
              <w:rPr>
                <w:rFonts w:ascii="Arial"/>
                <w:b/>
                <w:sz w:val="15"/>
              </w:rPr>
            </w:pPr>
            <w:r>
              <w:rPr>
                <w:rFonts w:ascii="Arial"/>
                <w:b/>
                <w:color w:val="FFFFFF"/>
                <w:spacing w:val="33"/>
                <w:sz w:val="15"/>
                <w:highlight w:val="blue"/>
              </w:rPr>
              <w:t xml:space="preserve">  </w:t>
            </w:r>
            <w:r>
              <w:rPr>
                <w:rFonts w:ascii="Arial"/>
                <w:b/>
                <w:color w:val="FFFFFF"/>
                <w:sz w:val="15"/>
                <w:highlight w:val="blue"/>
              </w:rPr>
              <w:t>(519.739)</w:t>
            </w:r>
            <w:r>
              <w:rPr>
                <w:rFonts w:ascii="Arial"/>
                <w:b/>
                <w:color w:val="FFFFFF"/>
                <w:spacing w:val="46"/>
                <w:sz w:val="15"/>
                <w:highlight w:val="blue"/>
              </w:rPr>
              <w:t xml:space="preserve">  </w:t>
            </w:r>
            <w:r>
              <w:rPr>
                <w:rFonts w:ascii="Arial"/>
                <w:b/>
                <w:color w:val="FFFFFF"/>
                <w:spacing w:val="-2"/>
                <w:sz w:val="15"/>
                <w:highlight w:val="blue"/>
              </w:rPr>
              <w:t>(483.668)</w:t>
            </w:r>
            <w:r>
              <w:rPr>
                <w:rFonts w:ascii="Arial"/>
                <w:b/>
                <w:color w:val="FFFFFF"/>
                <w:spacing w:val="40"/>
                <w:sz w:val="15"/>
                <w:highlight w:val="blue"/>
              </w:rPr>
              <w:t xml:space="preserve"> </w:t>
            </w:r>
          </w:p>
        </w:tc>
        <w:tc>
          <w:tcPr>
            <w:tcW w:w="772" w:type="dxa"/>
          </w:tcPr>
          <w:p w14:paraId="561389C1" w14:textId="77777777" w:rsidR="002C6574" w:rsidRDefault="00000000">
            <w:pPr>
              <w:pStyle w:val="TableParagraph"/>
              <w:spacing w:before="17" w:line="172" w:lineRule="exact"/>
              <w:ind w:left="42"/>
              <w:jc w:val="center"/>
              <w:rPr>
                <w:rFonts w:ascii="Arial"/>
                <w:b/>
                <w:sz w:val="15"/>
              </w:rPr>
            </w:pPr>
            <w:r>
              <w:rPr>
                <w:rFonts w:ascii="Arial"/>
                <w:b/>
                <w:color w:val="FFFFFF"/>
                <w:spacing w:val="76"/>
                <w:sz w:val="15"/>
                <w:highlight w:val="blue"/>
              </w:rPr>
              <w:t xml:space="preserve">  </w:t>
            </w:r>
            <w:r>
              <w:rPr>
                <w:rFonts w:ascii="Arial"/>
                <w:b/>
                <w:color w:val="FFFFFF"/>
                <w:spacing w:val="-4"/>
                <w:sz w:val="15"/>
                <w:highlight w:val="blue"/>
              </w:rPr>
              <w:t>7,5%</w:t>
            </w:r>
            <w:r>
              <w:rPr>
                <w:rFonts w:ascii="Arial"/>
                <w:b/>
                <w:color w:val="FFFFFF"/>
                <w:spacing w:val="80"/>
                <w:sz w:val="15"/>
                <w:highlight w:val="blue"/>
              </w:rPr>
              <w:t xml:space="preserve"> </w:t>
            </w:r>
          </w:p>
        </w:tc>
      </w:tr>
    </w:tbl>
    <w:p w14:paraId="67C3A588" w14:textId="77777777" w:rsidR="002C6574" w:rsidRDefault="00000000">
      <w:pPr>
        <w:spacing w:before="265"/>
        <w:ind w:left="427"/>
        <w:rPr>
          <w:rFonts w:ascii="Arial" w:hAnsi="Arial"/>
          <w:b/>
          <w:position w:val="8"/>
          <w:sz w:val="16"/>
        </w:rPr>
      </w:pPr>
      <w:r>
        <w:rPr>
          <w:rFonts w:ascii="Arial" w:hAnsi="Arial"/>
          <w:b/>
          <w:noProof/>
          <w:position w:val="8"/>
          <w:sz w:val="16"/>
        </w:rPr>
        <mc:AlternateContent>
          <mc:Choice Requires="wps">
            <w:drawing>
              <wp:anchor distT="0" distB="0" distL="0" distR="0" simplePos="0" relativeHeight="15761920" behindDoc="0" locked="0" layoutInCell="1" allowOverlap="1" wp14:anchorId="7400A22C" wp14:editId="575A5869">
                <wp:simplePos x="0" y="0"/>
                <wp:positionH relativeFrom="page">
                  <wp:posOffset>541019</wp:posOffset>
                </wp:positionH>
                <wp:positionV relativeFrom="paragraph">
                  <wp:posOffset>331469</wp:posOffset>
                </wp:positionV>
                <wp:extent cx="2271395" cy="1524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1395" cy="15240"/>
                        </a:xfrm>
                        <a:custGeom>
                          <a:avLst/>
                          <a:gdLst/>
                          <a:ahLst/>
                          <a:cxnLst/>
                          <a:rect l="l" t="t" r="r" b="b"/>
                          <a:pathLst>
                            <a:path w="2271395" h="15240">
                              <a:moveTo>
                                <a:pt x="2271395" y="0"/>
                              </a:moveTo>
                              <a:lnTo>
                                <a:pt x="0" y="0"/>
                              </a:lnTo>
                              <a:lnTo>
                                <a:pt x="0" y="15239"/>
                              </a:lnTo>
                              <a:lnTo>
                                <a:pt x="2271395" y="15239"/>
                              </a:lnTo>
                              <a:lnTo>
                                <a:pt x="22713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0262C5" id="Graphic 342" o:spid="_x0000_s1026" style="position:absolute;margin-left:42.6pt;margin-top:26.1pt;width:178.85pt;height:1.2pt;z-index:15761920;visibility:visible;mso-wrap-style:square;mso-wrap-distance-left:0;mso-wrap-distance-top:0;mso-wrap-distance-right:0;mso-wrap-distance-bottom:0;mso-position-horizontal:absolute;mso-position-horizontal-relative:page;mso-position-vertical:absolute;mso-position-vertical-relative:text;v-text-anchor:top" coordsize="227139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" path="m2271395,l,,,15239r2271395,l2271395,xe" fillcolor="black" stroked="f">
                <v:path arrowok="t"/>
                <w10:wrap anchorx="page"/>
              </v:shape>
            </w:pict>
          </mc:Fallback>
        </mc:AlternateContent>
      </w:r>
      <w:r>
        <w:rPr>
          <w:rFonts w:ascii="Arial" w:hAnsi="Arial"/>
          <w:b/>
          <w:sz w:val="24"/>
        </w:rPr>
        <w:t>E</w:t>
      </w:r>
      <w:r>
        <w:rPr>
          <w:rFonts w:ascii="Arial" w:hAnsi="Arial"/>
          <w:b/>
          <w:sz w:val="19"/>
        </w:rPr>
        <w:t>VOLUÇÃO</w:t>
      </w:r>
      <w:r>
        <w:rPr>
          <w:rFonts w:ascii="Arial" w:hAnsi="Arial"/>
          <w:b/>
          <w:spacing w:val="18"/>
          <w:sz w:val="19"/>
        </w:rPr>
        <w:t xml:space="preserve"> </w:t>
      </w:r>
      <w:r>
        <w:rPr>
          <w:rFonts w:ascii="Arial" w:hAnsi="Arial"/>
          <w:b/>
          <w:sz w:val="24"/>
        </w:rPr>
        <w:t>2024</w:t>
      </w:r>
      <w:r>
        <w:rPr>
          <w:rFonts w:ascii="Arial" w:hAnsi="Arial"/>
          <w:b/>
          <w:spacing w:val="5"/>
          <w:sz w:val="24"/>
        </w:rPr>
        <w:t xml:space="preserve"> </w:t>
      </w:r>
      <w:r>
        <w:rPr>
          <w:rFonts w:ascii="Arial" w:hAnsi="Arial"/>
          <w:b/>
          <w:sz w:val="24"/>
        </w:rPr>
        <w:t>–</w:t>
      </w:r>
      <w:r>
        <w:rPr>
          <w:rFonts w:ascii="Arial" w:hAnsi="Arial"/>
          <w:b/>
          <w:spacing w:val="5"/>
          <w:sz w:val="24"/>
        </w:rPr>
        <w:t xml:space="preserve"> </w:t>
      </w:r>
      <w:r>
        <w:rPr>
          <w:rFonts w:ascii="Arial" w:hAnsi="Arial"/>
          <w:b/>
          <w:sz w:val="24"/>
        </w:rPr>
        <w:t>2025</w:t>
      </w:r>
      <w:r>
        <w:rPr>
          <w:rFonts w:ascii="Arial" w:hAnsi="Arial"/>
          <w:b/>
          <w:spacing w:val="5"/>
          <w:sz w:val="24"/>
        </w:rPr>
        <w:t xml:space="preserve"> </w:t>
      </w:r>
      <w:r>
        <w:rPr>
          <w:rFonts w:ascii="Arial" w:hAnsi="Arial"/>
          <w:b/>
          <w:sz w:val="24"/>
        </w:rPr>
        <w:t>-</w:t>
      </w:r>
      <w:r>
        <w:rPr>
          <w:rFonts w:ascii="Arial" w:hAnsi="Arial"/>
          <w:b/>
          <w:spacing w:val="4"/>
          <w:sz w:val="24"/>
        </w:rPr>
        <w:t xml:space="preserve"> </w:t>
      </w:r>
      <w:r>
        <w:rPr>
          <w:rFonts w:ascii="Arial" w:hAnsi="Arial"/>
          <w:b/>
          <w:sz w:val="24"/>
        </w:rPr>
        <w:t>R$</w:t>
      </w:r>
      <w:r>
        <w:rPr>
          <w:rFonts w:ascii="Arial" w:hAnsi="Arial"/>
          <w:b/>
          <w:spacing w:val="6"/>
          <w:sz w:val="24"/>
        </w:rPr>
        <w:t xml:space="preserve"> </w:t>
      </w:r>
      <w:r>
        <w:rPr>
          <w:rFonts w:ascii="Arial" w:hAnsi="Arial"/>
          <w:b/>
          <w:spacing w:val="-4"/>
          <w:sz w:val="19"/>
        </w:rPr>
        <w:t>MIL</w:t>
      </w:r>
      <w:hyperlink w:anchor="_bookmark16" w:history="1">
        <w:r>
          <w:rPr>
            <w:rFonts w:ascii="Arial" w:hAnsi="Arial"/>
            <w:b/>
            <w:spacing w:val="-4"/>
            <w:position w:val="8"/>
            <w:sz w:val="16"/>
          </w:rPr>
          <w:t>5</w:t>
        </w:r>
      </w:hyperlink>
    </w:p>
    <w:p w14:paraId="57B23C6E" w14:textId="77777777" w:rsidR="002C6574" w:rsidRDefault="002C6574">
      <w:pPr>
        <w:pStyle w:val="Corpodetexto"/>
        <w:spacing w:before="91"/>
        <w:rPr>
          <w:rFonts w:ascii="Arial"/>
          <w:b/>
          <w:sz w:val="20"/>
        </w:rPr>
      </w:pPr>
    </w:p>
    <w:p w14:paraId="6BC5229F" w14:textId="77777777" w:rsidR="002C6574" w:rsidRDefault="002C6574">
      <w:pPr>
        <w:pStyle w:val="Corpodetexto"/>
        <w:rPr>
          <w:rFonts w:ascii="Arial"/>
          <w:b/>
          <w:sz w:val="20"/>
        </w:rPr>
        <w:sectPr w:rsidR="002C6574">
          <w:type w:val="continuous"/>
          <w:pgSz w:w="11910" w:h="16840"/>
          <w:pgMar w:top="0" w:right="425" w:bottom="0" w:left="425" w:header="1197" w:footer="994" w:gutter="0"/>
          <w:cols w:space="720"/>
        </w:sectPr>
      </w:pPr>
    </w:p>
    <w:p w14:paraId="04CE25BA" w14:textId="77777777" w:rsidR="002C6574" w:rsidRDefault="00000000">
      <w:pPr>
        <w:spacing w:before="161"/>
        <w:ind w:left="1014"/>
        <w:rPr>
          <w:rFonts w:ascii="Arial"/>
          <w:b/>
          <w:sz w:val="18"/>
        </w:rPr>
      </w:pPr>
      <w:r>
        <w:rPr>
          <w:rFonts w:ascii="Arial"/>
          <w:b/>
          <w:noProof/>
          <w:sz w:val="18"/>
        </w:rPr>
        <mc:AlternateContent>
          <mc:Choice Requires="wpg">
            <w:drawing>
              <wp:anchor distT="0" distB="0" distL="0" distR="0" simplePos="0" relativeHeight="472589312" behindDoc="1" locked="0" layoutInCell="1" allowOverlap="1" wp14:anchorId="3FFE99AC" wp14:editId="255A3A0C">
                <wp:simplePos x="0" y="0"/>
                <wp:positionH relativeFrom="page">
                  <wp:posOffset>680084</wp:posOffset>
                </wp:positionH>
                <wp:positionV relativeFrom="paragraph">
                  <wp:posOffset>254750</wp:posOffset>
                </wp:positionV>
                <wp:extent cx="6197600" cy="937894"/>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7600" cy="937894"/>
                          <a:chOff x="0" y="0"/>
                          <a:chExt cx="6197600" cy="937894"/>
                        </a:xfrm>
                      </wpg:grpSpPr>
                      <wps:wsp>
                        <wps:cNvPr id="344" name="Graphic 344"/>
                        <wps:cNvSpPr/>
                        <wps:spPr>
                          <a:xfrm>
                            <a:off x="215671" y="0"/>
                            <a:ext cx="5766435" cy="933450"/>
                          </a:xfrm>
                          <a:custGeom>
                            <a:avLst/>
                            <a:gdLst/>
                            <a:ahLst/>
                            <a:cxnLst/>
                            <a:rect l="l" t="t" r="r" b="b"/>
                            <a:pathLst>
                              <a:path w="5766435" h="933450">
                                <a:moveTo>
                                  <a:pt x="454025" y="64770"/>
                                </a:moveTo>
                                <a:lnTo>
                                  <a:pt x="0" y="64770"/>
                                </a:lnTo>
                                <a:lnTo>
                                  <a:pt x="0" y="933132"/>
                                </a:lnTo>
                                <a:lnTo>
                                  <a:pt x="454025" y="933132"/>
                                </a:lnTo>
                                <a:lnTo>
                                  <a:pt x="454025" y="64770"/>
                                </a:lnTo>
                                <a:close/>
                              </a:path>
                              <a:path w="5766435" h="933450">
                                <a:moveTo>
                                  <a:pt x="5766295" y="0"/>
                                </a:moveTo>
                                <a:lnTo>
                                  <a:pt x="5312257" y="0"/>
                                </a:lnTo>
                                <a:lnTo>
                                  <a:pt x="5312257" y="933132"/>
                                </a:lnTo>
                                <a:lnTo>
                                  <a:pt x="5766295" y="933132"/>
                                </a:lnTo>
                                <a:lnTo>
                                  <a:pt x="5766295" y="0"/>
                                </a:lnTo>
                                <a:close/>
                              </a:path>
                            </a:pathLst>
                          </a:custGeom>
                          <a:solidFill>
                            <a:srgbClr val="FF0000"/>
                          </a:solidFill>
                        </wps:spPr>
                        <wps:bodyPr wrap="square" lIns="0" tIns="0" rIns="0" bIns="0" rtlCol="0">
                          <a:prstTxWarp prst="textNoShape">
                            <a:avLst/>
                          </a:prstTxWarp>
                          <a:noAutofit/>
                        </wps:bodyPr>
                      </wps:wsp>
                      <wps:wsp>
                        <wps:cNvPr id="345" name="Graphic 345"/>
                        <wps:cNvSpPr/>
                        <wps:spPr>
                          <a:xfrm>
                            <a:off x="0" y="933132"/>
                            <a:ext cx="6197600" cy="1270"/>
                          </a:xfrm>
                          <a:custGeom>
                            <a:avLst/>
                            <a:gdLst/>
                            <a:ahLst/>
                            <a:cxnLst/>
                            <a:rect l="l" t="t" r="r" b="b"/>
                            <a:pathLst>
                              <a:path w="6197600">
                                <a:moveTo>
                                  <a:pt x="0" y="0"/>
                                </a:moveTo>
                                <a:lnTo>
                                  <a:pt x="6197599"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041702F6" id="Group 343" o:spid="_x0000_s1026" style="position:absolute;margin-left:53.55pt;margin-top:20.05pt;width:488pt;height:73.85pt;z-index:-30727168;mso-wrap-distance-left:0;mso-wrap-distance-right:0;mso-position-horizontal-relative:page" coordsize="61976,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">
                <v:shape id="Graphic 344" o:spid="_x0000_s1027" style="position:absolute;left:2156;width:57665;height:9334;visibility:visible;mso-wrap-style:square;v-text-anchor:top" coordsize="5766435,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" path="m454025,64770l,64770,,933132r454025,l454025,64770xem5766295,l5312257,r,933132l5766295,933132,5766295,xe" fillcolor="red" stroked="f">
                  <v:path arrowok="t"/>
                </v:shape>
                <v:shape id="Graphic 345" o:spid="_x0000_s1028" style="position:absolute;top:9331;width:61976;height:13;visibility:visible;mso-wrap-style:square;v-text-anchor:top" coordsize="6197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" path="m,l6197599,e" filled="f" strokecolor="#d9d9d9">
                  <v:path arrowok="t"/>
                </v:shape>
                <w10:wrap anchorx="page"/>
              </v:group>
            </w:pict>
          </mc:Fallback>
        </mc:AlternateContent>
      </w:r>
      <w:r>
        <w:rPr>
          <w:rFonts w:ascii="Arial"/>
          <w:b/>
          <w:noProof/>
          <w:sz w:val="18"/>
        </w:rPr>
        <mc:AlternateContent>
          <mc:Choice Requires="wps">
            <w:drawing>
              <wp:anchor distT="0" distB="0" distL="0" distR="0" simplePos="0" relativeHeight="472589824" behindDoc="1" locked="0" layoutInCell="1" allowOverlap="1" wp14:anchorId="11719AAE" wp14:editId="4E47C127">
                <wp:simplePos x="0" y="0"/>
                <wp:positionH relativeFrom="page">
                  <wp:posOffset>4437253</wp:posOffset>
                </wp:positionH>
                <wp:positionV relativeFrom="paragraph">
                  <wp:posOffset>257639</wp:posOffset>
                </wp:positionV>
                <wp:extent cx="454659" cy="20955"/>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659" cy="20955"/>
                        </a:xfrm>
                        <a:custGeom>
                          <a:avLst/>
                          <a:gdLst/>
                          <a:ahLst/>
                          <a:cxnLst/>
                          <a:rect l="l" t="t" r="r" b="b"/>
                          <a:pathLst>
                            <a:path w="454659" h="20955">
                              <a:moveTo>
                                <a:pt x="454037" y="0"/>
                              </a:moveTo>
                              <a:lnTo>
                                <a:pt x="0" y="0"/>
                              </a:lnTo>
                              <a:lnTo>
                                <a:pt x="0" y="20796"/>
                              </a:lnTo>
                              <a:lnTo>
                                <a:pt x="454037" y="20796"/>
                              </a:lnTo>
                              <a:lnTo>
                                <a:pt x="454037"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793D72AB" id="Graphic 346" o:spid="_x0000_s1026" style="position:absolute;margin-left:349.4pt;margin-top:20.3pt;width:35.8pt;height:1.65pt;z-index:-30726656;visibility:visible;mso-wrap-style:square;mso-wrap-distance-left:0;mso-wrap-distance-top:0;mso-wrap-distance-right:0;mso-wrap-distance-bottom:0;mso-position-horizontal:absolute;mso-position-horizontal-relative:page;mso-position-vertical:absolute;mso-position-vertical-relative:text;v-text-anchor:top" coordsize="454659,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" path="m454037,l,,,20796r454037,l454037,xe" fillcolor="red" stroked="f">
                <v:path arrowok="t"/>
                <w10:wrap anchorx="page"/>
              </v:shape>
            </w:pict>
          </mc:Fallback>
        </mc:AlternateContent>
      </w:r>
      <w:r>
        <w:rPr>
          <w:rFonts w:ascii="Arial"/>
          <w:b/>
          <w:noProof/>
          <w:sz w:val="18"/>
        </w:rPr>
        <mc:AlternateContent>
          <mc:Choice Requires="wps">
            <w:drawing>
              <wp:anchor distT="0" distB="0" distL="0" distR="0" simplePos="0" relativeHeight="15763456" behindDoc="0" locked="0" layoutInCell="1" allowOverlap="1" wp14:anchorId="31C9DAFF" wp14:editId="27E33CB5">
                <wp:simplePos x="0" y="0"/>
                <wp:positionH relativeFrom="page">
                  <wp:posOffset>5322570</wp:posOffset>
                </wp:positionH>
                <wp:positionV relativeFrom="paragraph">
                  <wp:posOffset>272764</wp:posOffset>
                </wp:positionV>
                <wp:extent cx="454659" cy="3175"/>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659" cy="3175"/>
                        </a:xfrm>
                        <a:custGeom>
                          <a:avLst/>
                          <a:gdLst/>
                          <a:ahLst/>
                          <a:cxnLst/>
                          <a:rect l="l" t="t" r="r" b="b"/>
                          <a:pathLst>
                            <a:path w="454659" h="3175">
                              <a:moveTo>
                                <a:pt x="454037" y="0"/>
                              </a:moveTo>
                              <a:lnTo>
                                <a:pt x="0" y="0"/>
                              </a:lnTo>
                              <a:lnTo>
                                <a:pt x="0" y="2877"/>
                              </a:lnTo>
                              <a:lnTo>
                                <a:pt x="454037" y="2877"/>
                              </a:lnTo>
                              <a:lnTo>
                                <a:pt x="454037"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75F03F75" id="Graphic 347" o:spid="_x0000_s1026" style="position:absolute;margin-left:419.1pt;margin-top:21.5pt;width:35.8pt;height:.25pt;z-index:15763456;visibility:visible;mso-wrap-style:square;mso-wrap-distance-left:0;mso-wrap-distance-top:0;mso-wrap-distance-right:0;mso-wrap-distance-bottom:0;mso-position-horizontal:absolute;mso-position-horizontal-relative:page;mso-position-vertical:absolute;mso-position-vertical-relative:text;v-text-anchor:top" coordsize="454659,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" path="m454037,l,,,2877r454037,l454037,xe" fillcolor="red" stroked="f">
                <v:path arrowok="t"/>
                <w10:wrap anchorx="page"/>
              </v:shape>
            </w:pict>
          </mc:Fallback>
        </mc:AlternateContent>
      </w:r>
      <w:r>
        <w:rPr>
          <w:rFonts w:ascii="Arial"/>
          <w:b/>
          <w:color w:val="404040"/>
          <w:spacing w:val="-2"/>
          <w:sz w:val="18"/>
        </w:rPr>
        <w:t>483.668</w:t>
      </w:r>
    </w:p>
    <w:p w14:paraId="7389FCB3" w14:textId="77777777" w:rsidR="002C6574" w:rsidRDefault="00000000">
      <w:pPr>
        <w:tabs>
          <w:tab w:val="left" w:pos="2146"/>
          <w:tab w:val="left" w:pos="3590"/>
          <w:tab w:val="left" w:pos="4935"/>
          <w:tab w:val="left" w:pos="6380"/>
        </w:tabs>
        <w:spacing w:before="169"/>
        <w:ind w:left="702"/>
        <w:rPr>
          <w:rFonts w:ascii="Arial"/>
          <w:b/>
          <w:position w:val="8"/>
          <w:sz w:val="18"/>
        </w:rPr>
      </w:pPr>
      <w:r>
        <w:br w:type="column"/>
      </w:r>
      <w:r>
        <w:rPr>
          <w:rFonts w:ascii="Arial"/>
          <w:b/>
          <w:color w:val="404040"/>
          <w:spacing w:val="-2"/>
          <w:sz w:val="18"/>
        </w:rPr>
        <w:t>20.747</w:t>
      </w:r>
      <w:r>
        <w:rPr>
          <w:rFonts w:ascii="Arial"/>
          <w:b/>
          <w:color w:val="404040"/>
          <w:sz w:val="18"/>
        </w:rPr>
        <w:tab/>
      </w:r>
      <w:r>
        <w:rPr>
          <w:rFonts w:ascii="Arial"/>
          <w:b/>
          <w:color w:val="404040"/>
          <w:spacing w:val="-2"/>
          <w:position w:val="1"/>
          <w:sz w:val="18"/>
        </w:rPr>
        <w:t>35.302</w:t>
      </w:r>
      <w:r>
        <w:rPr>
          <w:rFonts w:ascii="Arial"/>
          <w:b/>
          <w:color w:val="404040"/>
          <w:position w:val="1"/>
          <w:sz w:val="18"/>
        </w:rPr>
        <w:tab/>
      </w:r>
      <w:r>
        <w:rPr>
          <w:rFonts w:ascii="Arial"/>
          <w:b/>
          <w:color w:val="404040"/>
          <w:spacing w:val="-2"/>
          <w:position w:val="5"/>
          <w:sz w:val="18"/>
        </w:rPr>
        <w:t>8.332</w:t>
      </w:r>
      <w:r>
        <w:rPr>
          <w:rFonts w:ascii="Arial"/>
          <w:b/>
          <w:color w:val="404040"/>
          <w:position w:val="5"/>
          <w:sz w:val="18"/>
        </w:rPr>
        <w:tab/>
      </w:r>
      <w:r>
        <w:rPr>
          <w:rFonts w:ascii="Arial"/>
          <w:b/>
          <w:color w:val="404040"/>
          <w:spacing w:val="-2"/>
          <w:position w:val="7"/>
          <w:sz w:val="18"/>
        </w:rPr>
        <w:t>11.582</w:t>
      </w:r>
      <w:r>
        <w:rPr>
          <w:rFonts w:ascii="Arial"/>
          <w:b/>
          <w:color w:val="404040"/>
          <w:position w:val="7"/>
          <w:sz w:val="18"/>
        </w:rPr>
        <w:tab/>
      </w:r>
      <w:r>
        <w:rPr>
          <w:rFonts w:ascii="Arial"/>
          <w:b/>
          <w:color w:val="404040"/>
          <w:spacing w:val="-2"/>
          <w:position w:val="8"/>
          <w:sz w:val="18"/>
        </w:rPr>
        <w:t>1.602</w:t>
      </w:r>
    </w:p>
    <w:p w14:paraId="0FB05EB5" w14:textId="77777777" w:rsidR="002C6574" w:rsidRDefault="00000000">
      <w:pPr>
        <w:pStyle w:val="Corpodetexto"/>
        <w:spacing w:line="23" w:lineRule="exact"/>
        <w:ind w:left="3460"/>
        <w:rPr>
          <w:rFonts w:ascii="Arial"/>
          <w:sz w:val="2"/>
        </w:rPr>
      </w:pPr>
      <w:r>
        <w:rPr>
          <w:rFonts w:ascii="Arial"/>
          <w:noProof/>
          <w:sz w:val="2"/>
        </w:rPr>
        <mc:AlternateContent>
          <mc:Choice Requires="wpg">
            <w:drawing>
              <wp:inline distT="0" distB="0" distL="0" distR="0" wp14:anchorId="539CBDF3" wp14:editId="3F2FF715">
                <wp:extent cx="454659" cy="15240"/>
                <wp:effectExtent l="0" t="0" r="0" b="0"/>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659" cy="15240"/>
                          <a:chOff x="0" y="0"/>
                          <a:chExt cx="454659" cy="15240"/>
                        </a:xfrm>
                      </wpg:grpSpPr>
                      <wps:wsp>
                        <wps:cNvPr id="349" name="Graphic 349"/>
                        <wps:cNvSpPr/>
                        <wps:spPr>
                          <a:xfrm>
                            <a:off x="0" y="0"/>
                            <a:ext cx="454659" cy="15240"/>
                          </a:xfrm>
                          <a:custGeom>
                            <a:avLst/>
                            <a:gdLst/>
                            <a:ahLst/>
                            <a:cxnLst/>
                            <a:rect l="l" t="t" r="r" b="b"/>
                            <a:pathLst>
                              <a:path w="454659" h="15240">
                                <a:moveTo>
                                  <a:pt x="454037" y="0"/>
                                </a:moveTo>
                                <a:lnTo>
                                  <a:pt x="0" y="0"/>
                                </a:lnTo>
                                <a:lnTo>
                                  <a:pt x="0" y="14960"/>
                                </a:lnTo>
                                <a:lnTo>
                                  <a:pt x="454037" y="14960"/>
                                </a:lnTo>
                                <a:lnTo>
                                  <a:pt x="454037"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23402C83" id="Group 348" o:spid="_x0000_s1026" style="width:35.8pt;height:1.2pt;mso-position-horizontal-relative:char;mso-position-vertical-relative:line" coordsize="454659,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">
                <v:shape id="Graphic 349" o:spid="_x0000_s1027" style="position:absolute;width:454659;height:15240;visibility:visible;mso-wrap-style:square;v-text-anchor:top" coordsize="45465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" path="m454037,l,,,14960r454037,l454037,xe" fillcolor="red" stroked="f">
                  <v:path arrowok="t"/>
                </v:shape>
                <w10:anchorlock/>
              </v:group>
            </w:pict>
          </mc:Fallback>
        </mc:AlternateContent>
      </w:r>
    </w:p>
    <w:p w14:paraId="7C2E0D02" w14:textId="77777777" w:rsidR="002C6574" w:rsidRDefault="00000000">
      <w:pPr>
        <w:spacing w:before="95"/>
        <w:ind w:left="825"/>
        <w:rPr>
          <w:rFonts w:ascii="Arial"/>
          <w:b/>
          <w:sz w:val="18"/>
        </w:rPr>
      </w:pPr>
      <w:r>
        <w:br w:type="column"/>
      </w:r>
      <w:r>
        <w:rPr>
          <w:rFonts w:ascii="Arial"/>
          <w:b/>
          <w:color w:val="404040"/>
          <w:spacing w:val="-2"/>
          <w:sz w:val="18"/>
        </w:rPr>
        <w:t>519.739</w:t>
      </w:r>
    </w:p>
    <w:p w14:paraId="0DB5FBF8" w14:textId="77777777" w:rsidR="002C6574" w:rsidRDefault="002C6574">
      <w:pPr>
        <w:rPr>
          <w:rFonts w:ascii="Arial"/>
          <w:b/>
          <w:sz w:val="18"/>
        </w:rPr>
        <w:sectPr w:rsidR="002C6574">
          <w:type w:val="continuous"/>
          <w:pgSz w:w="11910" w:h="16840"/>
          <w:pgMar w:top="0" w:right="425" w:bottom="0" w:left="425" w:header="1197" w:footer="994" w:gutter="0"/>
          <w:cols w:num="3" w:space="720" w:equalWidth="0">
            <w:col w:w="1669" w:space="40"/>
            <w:col w:w="6833" w:space="39"/>
            <w:col w:w="2479"/>
          </w:cols>
        </w:sectPr>
      </w:pPr>
    </w:p>
    <w:p w14:paraId="198FFE7C" w14:textId="77777777" w:rsidR="002C6574" w:rsidRDefault="00000000">
      <w:pPr>
        <w:tabs>
          <w:tab w:val="left" w:pos="3774"/>
        </w:tabs>
        <w:spacing w:line="99" w:lineRule="exact"/>
        <w:ind w:left="2380"/>
        <w:rPr>
          <w:rFonts w:ascii="Arial"/>
          <w:position w:val="-1"/>
          <w:sz w:val="9"/>
        </w:rPr>
      </w:pPr>
      <w:r>
        <w:rPr>
          <w:rFonts w:ascii="Arial"/>
          <w:noProof/>
          <w:position w:val="-1"/>
          <w:sz w:val="5"/>
        </w:rPr>
        <mc:AlternateContent>
          <mc:Choice Requires="wpg">
            <w:drawing>
              <wp:inline distT="0" distB="0" distL="0" distR="0" wp14:anchorId="2E26B85F" wp14:editId="1E7BE2E4">
                <wp:extent cx="454659" cy="37465"/>
                <wp:effectExtent l="0" t="0" r="0" b="0"/>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659" cy="37465"/>
                          <a:chOff x="0" y="0"/>
                          <a:chExt cx="454659" cy="37465"/>
                        </a:xfrm>
                      </wpg:grpSpPr>
                      <wps:wsp>
                        <wps:cNvPr id="351" name="Graphic 351"/>
                        <wps:cNvSpPr/>
                        <wps:spPr>
                          <a:xfrm>
                            <a:off x="0" y="0"/>
                            <a:ext cx="454659" cy="37465"/>
                          </a:xfrm>
                          <a:custGeom>
                            <a:avLst/>
                            <a:gdLst/>
                            <a:ahLst/>
                            <a:cxnLst/>
                            <a:rect l="l" t="t" r="r" b="b"/>
                            <a:pathLst>
                              <a:path w="454659" h="37465">
                                <a:moveTo>
                                  <a:pt x="454037" y="0"/>
                                </a:moveTo>
                                <a:lnTo>
                                  <a:pt x="0" y="0"/>
                                </a:lnTo>
                                <a:lnTo>
                                  <a:pt x="0" y="37252"/>
                                </a:lnTo>
                                <a:lnTo>
                                  <a:pt x="454037" y="37252"/>
                                </a:lnTo>
                                <a:lnTo>
                                  <a:pt x="454037" y="0"/>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027CD4A0" id="Group 350" o:spid="_x0000_s1026" style="width:35.8pt;height:2.95pt;mso-position-horizontal-relative:char;mso-position-vertical-relative:line" coordsize="454659,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">
                <v:shape id="Graphic 351" o:spid="_x0000_s1027" style="position:absolute;width:454659;height:37465;visibility:visible;mso-wrap-style:square;v-text-anchor:top" coordsize="454659,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" path="m454037,l,,,37252r454037,l454037,xe" fillcolor="blue" stroked="f">
                  <v:path arrowok="t"/>
                </v:shape>
                <w10:anchorlock/>
              </v:group>
            </w:pict>
          </mc:Fallback>
        </mc:AlternateContent>
      </w:r>
      <w:r>
        <w:rPr>
          <w:rFonts w:ascii="Arial"/>
          <w:position w:val="-1"/>
          <w:sz w:val="5"/>
        </w:rPr>
        <w:tab/>
      </w:r>
      <w:r>
        <w:rPr>
          <w:rFonts w:ascii="Arial"/>
          <w:noProof/>
          <w:position w:val="-1"/>
          <w:sz w:val="9"/>
        </w:rPr>
        <mc:AlternateContent>
          <mc:Choice Requires="wpg">
            <w:drawing>
              <wp:inline distT="0" distB="0" distL="0" distR="0" wp14:anchorId="11BBF828" wp14:editId="732BDA43">
                <wp:extent cx="454659" cy="63500"/>
                <wp:effectExtent l="0" t="0" r="0" b="0"/>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659" cy="63500"/>
                          <a:chOff x="0" y="0"/>
                          <a:chExt cx="454659" cy="63500"/>
                        </a:xfrm>
                      </wpg:grpSpPr>
                      <wps:wsp>
                        <wps:cNvPr id="353" name="Graphic 353"/>
                        <wps:cNvSpPr/>
                        <wps:spPr>
                          <a:xfrm>
                            <a:off x="0" y="0"/>
                            <a:ext cx="454659" cy="63500"/>
                          </a:xfrm>
                          <a:custGeom>
                            <a:avLst/>
                            <a:gdLst/>
                            <a:ahLst/>
                            <a:cxnLst/>
                            <a:rect l="l" t="t" r="r" b="b"/>
                            <a:pathLst>
                              <a:path w="454659" h="63500">
                                <a:moveTo>
                                  <a:pt x="454037" y="0"/>
                                </a:moveTo>
                                <a:lnTo>
                                  <a:pt x="0" y="0"/>
                                </a:lnTo>
                                <a:lnTo>
                                  <a:pt x="0" y="63386"/>
                                </a:lnTo>
                                <a:lnTo>
                                  <a:pt x="454037" y="63386"/>
                                </a:lnTo>
                                <a:lnTo>
                                  <a:pt x="454037"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50661D5A" id="Group 352" o:spid="_x0000_s1026" style="width:35.8pt;height:5pt;mso-position-horizontal-relative:char;mso-position-vertical-relative:line" coordsize="454659,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">
                <v:shape id="Graphic 353" o:spid="_x0000_s1027" style="position:absolute;width:454659;height:63500;visibility:visible;mso-wrap-style:square;v-text-anchor:top" coordsize="454659,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" path="m454037,l,,,63386r454037,l454037,xe" fillcolor="red" stroked="f">
                  <v:path arrowok="t"/>
                </v:shape>
                <w10:anchorlock/>
              </v:group>
            </w:pict>
          </mc:Fallback>
        </mc:AlternateContent>
      </w:r>
    </w:p>
    <w:p w14:paraId="4422A706" w14:textId="77777777" w:rsidR="002C6574" w:rsidRDefault="002C6574">
      <w:pPr>
        <w:pStyle w:val="Corpodetexto"/>
        <w:rPr>
          <w:rFonts w:ascii="Arial"/>
          <w:b/>
          <w:sz w:val="20"/>
        </w:rPr>
      </w:pPr>
    </w:p>
    <w:p w14:paraId="006E7211" w14:textId="77777777" w:rsidR="002C6574" w:rsidRDefault="002C6574">
      <w:pPr>
        <w:pStyle w:val="Corpodetexto"/>
        <w:rPr>
          <w:rFonts w:ascii="Arial"/>
          <w:b/>
          <w:sz w:val="20"/>
        </w:rPr>
      </w:pPr>
    </w:p>
    <w:p w14:paraId="281AA455" w14:textId="77777777" w:rsidR="002C6574" w:rsidRDefault="002C6574">
      <w:pPr>
        <w:pStyle w:val="Corpodetexto"/>
        <w:rPr>
          <w:rFonts w:ascii="Arial"/>
          <w:b/>
          <w:sz w:val="20"/>
        </w:rPr>
      </w:pPr>
    </w:p>
    <w:p w14:paraId="211F2686" w14:textId="77777777" w:rsidR="002C6574" w:rsidRDefault="002C6574">
      <w:pPr>
        <w:pStyle w:val="Corpodetexto"/>
        <w:rPr>
          <w:rFonts w:ascii="Arial"/>
          <w:b/>
          <w:sz w:val="20"/>
        </w:rPr>
      </w:pPr>
    </w:p>
    <w:p w14:paraId="4315B942" w14:textId="77777777" w:rsidR="002C6574" w:rsidRDefault="002C6574">
      <w:pPr>
        <w:pStyle w:val="Corpodetexto"/>
        <w:rPr>
          <w:rFonts w:ascii="Arial"/>
          <w:b/>
          <w:sz w:val="20"/>
        </w:rPr>
      </w:pPr>
    </w:p>
    <w:p w14:paraId="3371019D" w14:textId="77777777" w:rsidR="002C6574" w:rsidRDefault="002C6574">
      <w:pPr>
        <w:pStyle w:val="Corpodetexto"/>
        <w:spacing w:before="23"/>
        <w:rPr>
          <w:rFonts w:ascii="Arial"/>
          <w:b/>
          <w:sz w:val="20"/>
        </w:rPr>
      </w:pPr>
    </w:p>
    <w:tbl>
      <w:tblPr>
        <w:tblStyle w:val="TableNormal"/>
        <w:tblW w:w="0" w:type="auto"/>
        <w:tblInd w:w="1100" w:type="dxa"/>
        <w:tblLayout w:type="fixed"/>
        <w:tblLook w:val="01E0" w:firstRow="1" w:lastRow="1" w:firstColumn="1" w:lastColumn="1" w:noHBand="0" w:noVBand="0"/>
      </w:tblPr>
      <w:tblGrid>
        <w:gridCol w:w="795"/>
        <w:gridCol w:w="1522"/>
        <w:gridCol w:w="1528"/>
        <w:gridCol w:w="1213"/>
        <w:gridCol w:w="1403"/>
        <w:gridCol w:w="1675"/>
        <w:gridCol w:w="736"/>
      </w:tblGrid>
      <w:tr w:rsidR="002C6574" w14:paraId="7FCFF165" w14:textId="77777777">
        <w:trPr>
          <w:trHeight w:val="203"/>
        </w:trPr>
        <w:tc>
          <w:tcPr>
            <w:tcW w:w="795" w:type="dxa"/>
          </w:tcPr>
          <w:p w14:paraId="1157C419" w14:textId="77777777" w:rsidR="002C6574" w:rsidRDefault="00000000">
            <w:pPr>
              <w:pStyle w:val="TableParagraph"/>
              <w:spacing w:line="184" w:lineRule="exact"/>
              <w:ind w:left="50"/>
              <w:jc w:val="left"/>
              <w:rPr>
                <w:rFonts w:ascii="Arial"/>
                <w:b/>
                <w:sz w:val="18"/>
              </w:rPr>
            </w:pPr>
            <w:r>
              <w:rPr>
                <w:rFonts w:ascii="Arial"/>
                <w:b/>
                <w:color w:val="585858"/>
                <w:spacing w:val="-4"/>
                <w:sz w:val="18"/>
              </w:rPr>
              <w:t>2024</w:t>
            </w:r>
          </w:p>
        </w:tc>
        <w:tc>
          <w:tcPr>
            <w:tcW w:w="1522" w:type="dxa"/>
          </w:tcPr>
          <w:p w14:paraId="6F0AA14F" w14:textId="77777777" w:rsidR="002C6574" w:rsidRDefault="00000000">
            <w:pPr>
              <w:pStyle w:val="TableParagraph"/>
              <w:spacing w:line="184" w:lineRule="exact"/>
              <w:ind w:left="176"/>
              <w:jc w:val="center"/>
              <w:rPr>
                <w:rFonts w:ascii="Arial" w:hAnsi="Arial"/>
                <w:b/>
                <w:sz w:val="18"/>
              </w:rPr>
            </w:pPr>
            <w:r>
              <w:rPr>
                <w:rFonts w:ascii="Arial" w:hAnsi="Arial"/>
                <w:b/>
                <w:color w:val="585858"/>
                <w:sz w:val="18"/>
              </w:rPr>
              <w:t>Serviços</w:t>
            </w:r>
            <w:r>
              <w:rPr>
                <w:rFonts w:ascii="Arial" w:hAnsi="Arial"/>
                <w:b/>
                <w:color w:val="585858"/>
                <w:spacing w:val="-4"/>
                <w:sz w:val="18"/>
              </w:rPr>
              <w:t xml:space="preserve"> </w:t>
            </w:r>
            <w:r>
              <w:rPr>
                <w:rFonts w:ascii="Arial" w:hAnsi="Arial"/>
                <w:b/>
                <w:color w:val="585858"/>
                <w:spacing w:val="-5"/>
                <w:sz w:val="18"/>
              </w:rPr>
              <w:t>de</w:t>
            </w:r>
          </w:p>
        </w:tc>
        <w:tc>
          <w:tcPr>
            <w:tcW w:w="1528" w:type="dxa"/>
          </w:tcPr>
          <w:p w14:paraId="05DB56AE" w14:textId="77777777" w:rsidR="002C6574" w:rsidRDefault="00000000">
            <w:pPr>
              <w:pStyle w:val="TableParagraph"/>
              <w:spacing w:line="184" w:lineRule="exact"/>
              <w:ind w:right="82"/>
              <w:jc w:val="center"/>
              <w:rPr>
                <w:rFonts w:ascii="Arial"/>
                <w:b/>
                <w:sz w:val="18"/>
              </w:rPr>
            </w:pPr>
            <w:r>
              <w:rPr>
                <w:rFonts w:ascii="Arial"/>
                <w:b/>
                <w:color w:val="585858"/>
                <w:sz w:val="18"/>
              </w:rPr>
              <w:t>Meios</w:t>
            </w:r>
            <w:r>
              <w:rPr>
                <w:rFonts w:ascii="Arial"/>
                <w:b/>
                <w:color w:val="585858"/>
                <w:spacing w:val="-4"/>
                <w:sz w:val="18"/>
              </w:rPr>
              <w:t xml:space="preserve"> </w:t>
            </w:r>
            <w:r>
              <w:rPr>
                <w:rFonts w:ascii="Arial"/>
                <w:b/>
                <w:color w:val="585858"/>
                <w:spacing w:val="-5"/>
                <w:sz w:val="18"/>
              </w:rPr>
              <w:t>de</w:t>
            </w:r>
          </w:p>
        </w:tc>
        <w:tc>
          <w:tcPr>
            <w:tcW w:w="1213" w:type="dxa"/>
          </w:tcPr>
          <w:p w14:paraId="4A98F1CE" w14:textId="77777777" w:rsidR="002C6574" w:rsidRDefault="00000000">
            <w:pPr>
              <w:pStyle w:val="TableParagraph"/>
              <w:spacing w:line="184" w:lineRule="exact"/>
              <w:ind w:left="248"/>
              <w:jc w:val="left"/>
              <w:rPr>
                <w:rFonts w:ascii="Arial"/>
                <w:b/>
                <w:sz w:val="18"/>
              </w:rPr>
            </w:pPr>
            <w:r>
              <w:rPr>
                <w:rFonts w:ascii="Arial"/>
                <w:b/>
                <w:color w:val="585858"/>
                <w:spacing w:val="-2"/>
                <w:sz w:val="18"/>
              </w:rPr>
              <w:t>Pessoal</w:t>
            </w:r>
          </w:p>
        </w:tc>
        <w:tc>
          <w:tcPr>
            <w:tcW w:w="1403" w:type="dxa"/>
          </w:tcPr>
          <w:p w14:paraId="68814633" w14:textId="77777777" w:rsidR="002C6574" w:rsidRDefault="00000000">
            <w:pPr>
              <w:pStyle w:val="TableParagraph"/>
              <w:spacing w:line="184" w:lineRule="exact"/>
              <w:ind w:left="137"/>
              <w:jc w:val="center"/>
              <w:rPr>
                <w:rFonts w:ascii="Arial"/>
                <w:b/>
                <w:sz w:val="18"/>
              </w:rPr>
            </w:pPr>
            <w:r>
              <w:rPr>
                <w:rFonts w:ascii="Arial"/>
                <w:b/>
                <w:color w:val="585858"/>
                <w:spacing w:val="-2"/>
                <w:sz w:val="18"/>
              </w:rPr>
              <w:t>Aluguel,</w:t>
            </w:r>
          </w:p>
        </w:tc>
        <w:tc>
          <w:tcPr>
            <w:tcW w:w="1675" w:type="dxa"/>
          </w:tcPr>
          <w:p w14:paraId="426EEE9D" w14:textId="77777777" w:rsidR="002C6574" w:rsidRDefault="00000000">
            <w:pPr>
              <w:pStyle w:val="TableParagraph"/>
              <w:spacing w:line="184" w:lineRule="exact"/>
              <w:ind w:right="149"/>
              <w:jc w:val="center"/>
              <w:rPr>
                <w:rFonts w:ascii="Arial"/>
                <w:b/>
                <w:sz w:val="18"/>
              </w:rPr>
            </w:pPr>
            <w:r>
              <w:rPr>
                <w:rFonts w:ascii="Arial"/>
                <w:b/>
                <w:color w:val="585858"/>
                <w:sz w:val="18"/>
              </w:rPr>
              <w:t>Outros</w:t>
            </w:r>
            <w:r>
              <w:rPr>
                <w:rFonts w:ascii="Arial"/>
                <w:b/>
                <w:color w:val="585858"/>
                <w:spacing w:val="-4"/>
                <w:sz w:val="18"/>
              </w:rPr>
              <w:t xml:space="preserve"> </w:t>
            </w:r>
            <w:r>
              <w:rPr>
                <w:rFonts w:ascii="Arial"/>
                <w:b/>
                <w:color w:val="585858"/>
                <w:spacing w:val="-2"/>
                <w:sz w:val="18"/>
              </w:rPr>
              <w:t>Custos</w:t>
            </w:r>
          </w:p>
        </w:tc>
        <w:tc>
          <w:tcPr>
            <w:tcW w:w="736" w:type="dxa"/>
          </w:tcPr>
          <w:p w14:paraId="34C4DFF1" w14:textId="77777777" w:rsidR="002C6574" w:rsidRDefault="00000000">
            <w:pPr>
              <w:pStyle w:val="TableParagraph"/>
              <w:spacing w:line="184" w:lineRule="exact"/>
              <w:ind w:left="281"/>
              <w:jc w:val="left"/>
              <w:rPr>
                <w:rFonts w:ascii="Arial"/>
                <w:b/>
                <w:sz w:val="18"/>
              </w:rPr>
            </w:pPr>
            <w:r>
              <w:rPr>
                <w:rFonts w:ascii="Arial"/>
                <w:b/>
                <w:color w:val="585858"/>
                <w:spacing w:val="-4"/>
                <w:sz w:val="18"/>
              </w:rPr>
              <w:t>2025</w:t>
            </w:r>
          </w:p>
        </w:tc>
      </w:tr>
      <w:tr w:rsidR="002C6574" w14:paraId="7E7D65E2" w14:textId="77777777">
        <w:trPr>
          <w:trHeight w:val="206"/>
        </w:trPr>
        <w:tc>
          <w:tcPr>
            <w:tcW w:w="795" w:type="dxa"/>
          </w:tcPr>
          <w:p w14:paraId="676CAF84" w14:textId="77777777" w:rsidR="002C6574" w:rsidRDefault="002C6574">
            <w:pPr>
              <w:pStyle w:val="TableParagraph"/>
              <w:jc w:val="left"/>
              <w:rPr>
                <w:rFonts w:ascii="Times New Roman"/>
                <w:sz w:val="14"/>
              </w:rPr>
            </w:pPr>
          </w:p>
        </w:tc>
        <w:tc>
          <w:tcPr>
            <w:tcW w:w="1522" w:type="dxa"/>
          </w:tcPr>
          <w:p w14:paraId="4F9656A9" w14:textId="77777777" w:rsidR="002C6574" w:rsidRDefault="00000000">
            <w:pPr>
              <w:pStyle w:val="TableParagraph"/>
              <w:spacing w:line="187" w:lineRule="exact"/>
              <w:ind w:left="176"/>
              <w:jc w:val="center"/>
              <w:rPr>
                <w:rFonts w:ascii="Arial"/>
                <w:b/>
                <w:sz w:val="18"/>
              </w:rPr>
            </w:pPr>
            <w:r>
              <w:rPr>
                <w:rFonts w:ascii="Arial"/>
                <w:b/>
                <w:color w:val="585858"/>
                <w:spacing w:val="-2"/>
                <w:sz w:val="18"/>
              </w:rPr>
              <w:t>Terceiros</w:t>
            </w:r>
          </w:p>
        </w:tc>
        <w:tc>
          <w:tcPr>
            <w:tcW w:w="1528" w:type="dxa"/>
          </w:tcPr>
          <w:p w14:paraId="558766F6" w14:textId="77777777" w:rsidR="002C6574" w:rsidRDefault="00000000">
            <w:pPr>
              <w:pStyle w:val="TableParagraph"/>
              <w:spacing w:line="187" w:lineRule="exact"/>
              <w:ind w:left="4" w:right="82"/>
              <w:jc w:val="center"/>
              <w:rPr>
                <w:rFonts w:ascii="Arial" w:hAnsi="Arial"/>
                <w:b/>
                <w:sz w:val="18"/>
              </w:rPr>
            </w:pPr>
            <w:r>
              <w:rPr>
                <w:rFonts w:ascii="Arial" w:hAnsi="Arial"/>
                <w:b/>
                <w:color w:val="585858"/>
                <w:sz w:val="18"/>
              </w:rPr>
              <w:t xml:space="preserve">Conexão </w:t>
            </w:r>
            <w:r>
              <w:rPr>
                <w:rFonts w:ascii="Arial" w:hAnsi="Arial"/>
                <w:b/>
                <w:color w:val="585858"/>
                <w:spacing w:val="-10"/>
                <w:sz w:val="18"/>
              </w:rPr>
              <w:t>e</w:t>
            </w:r>
          </w:p>
        </w:tc>
        <w:tc>
          <w:tcPr>
            <w:tcW w:w="1213" w:type="dxa"/>
          </w:tcPr>
          <w:p w14:paraId="4685D5D7" w14:textId="77777777" w:rsidR="002C6574" w:rsidRDefault="002C6574">
            <w:pPr>
              <w:pStyle w:val="TableParagraph"/>
              <w:jc w:val="left"/>
              <w:rPr>
                <w:rFonts w:ascii="Times New Roman"/>
                <w:sz w:val="14"/>
              </w:rPr>
            </w:pPr>
          </w:p>
        </w:tc>
        <w:tc>
          <w:tcPr>
            <w:tcW w:w="1403" w:type="dxa"/>
          </w:tcPr>
          <w:p w14:paraId="17697738" w14:textId="77777777" w:rsidR="002C6574" w:rsidRDefault="00000000">
            <w:pPr>
              <w:pStyle w:val="TableParagraph"/>
              <w:spacing w:line="187" w:lineRule="exact"/>
              <w:ind w:left="137"/>
              <w:jc w:val="center"/>
              <w:rPr>
                <w:rFonts w:ascii="Arial" w:hAnsi="Arial"/>
                <w:b/>
                <w:sz w:val="18"/>
              </w:rPr>
            </w:pPr>
            <w:r>
              <w:rPr>
                <w:rFonts w:ascii="Arial" w:hAnsi="Arial"/>
                <w:b/>
                <w:color w:val="585858"/>
                <w:sz w:val="18"/>
              </w:rPr>
              <w:t>Locações</w:t>
            </w:r>
            <w:r>
              <w:rPr>
                <w:rFonts w:ascii="Arial" w:hAnsi="Arial"/>
                <w:b/>
                <w:color w:val="585858"/>
                <w:spacing w:val="-5"/>
                <w:sz w:val="18"/>
              </w:rPr>
              <w:t xml:space="preserve"> </w:t>
            </w:r>
            <w:r>
              <w:rPr>
                <w:rFonts w:ascii="Arial" w:hAnsi="Arial"/>
                <w:b/>
                <w:color w:val="585858"/>
                <w:spacing w:val="-10"/>
                <w:sz w:val="18"/>
              </w:rPr>
              <w:t>e</w:t>
            </w:r>
          </w:p>
        </w:tc>
        <w:tc>
          <w:tcPr>
            <w:tcW w:w="1675" w:type="dxa"/>
          </w:tcPr>
          <w:p w14:paraId="440F5837" w14:textId="77777777" w:rsidR="002C6574" w:rsidRDefault="00000000">
            <w:pPr>
              <w:pStyle w:val="TableParagraph"/>
              <w:spacing w:line="187" w:lineRule="exact"/>
              <w:ind w:right="149"/>
              <w:jc w:val="center"/>
              <w:rPr>
                <w:rFonts w:ascii="Arial"/>
                <w:b/>
                <w:sz w:val="18"/>
              </w:rPr>
            </w:pPr>
            <w:r>
              <w:rPr>
                <w:rFonts w:ascii="Arial"/>
                <w:b/>
                <w:color w:val="585858"/>
                <w:sz w:val="18"/>
              </w:rPr>
              <w:t xml:space="preserve">e </w:t>
            </w:r>
            <w:r>
              <w:rPr>
                <w:rFonts w:ascii="Arial"/>
                <w:b/>
                <w:color w:val="585858"/>
                <w:spacing w:val="-2"/>
                <w:sz w:val="18"/>
              </w:rPr>
              <w:t>Despesas</w:t>
            </w:r>
          </w:p>
        </w:tc>
        <w:tc>
          <w:tcPr>
            <w:tcW w:w="736" w:type="dxa"/>
          </w:tcPr>
          <w:p w14:paraId="1BB80AA7" w14:textId="77777777" w:rsidR="002C6574" w:rsidRDefault="002C6574">
            <w:pPr>
              <w:pStyle w:val="TableParagraph"/>
              <w:jc w:val="left"/>
              <w:rPr>
                <w:rFonts w:ascii="Times New Roman"/>
                <w:sz w:val="14"/>
              </w:rPr>
            </w:pPr>
          </w:p>
        </w:tc>
      </w:tr>
      <w:tr w:rsidR="002C6574" w14:paraId="23AAA16A" w14:textId="77777777">
        <w:trPr>
          <w:trHeight w:val="203"/>
        </w:trPr>
        <w:tc>
          <w:tcPr>
            <w:tcW w:w="795" w:type="dxa"/>
          </w:tcPr>
          <w:p w14:paraId="2BBA784D" w14:textId="77777777" w:rsidR="002C6574" w:rsidRDefault="002C6574">
            <w:pPr>
              <w:pStyle w:val="TableParagraph"/>
              <w:jc w:val="left"/>
              <w:rPr>
                <w:rFonts w:ascii="Times New Roman"/>
                <w:sz w:val="14"/>
              </w:rPr>
            </w:pPr>
          </w:p>
        </w:tc>
        <w:tc>
          <w:tcPr>
            <w:tcW w:w="1522" w:type="dxa"/>
          </w:tcPr>
          <w:p w14:paraId="2BA5FCB6" w14:textId="77777777" w:rsidR="002C6574" w:rsidRDefault="002C6574">
            <w:pPr>
              <w:pStyle w:val="TableParagraph"/>
              <w:jc w:val="left"/>
              <w:rPr>
                <w:rFonts w:ascii="Times New Roman"/>
                <w:sz w:val="14"/>
              </w:rPr>
            </w:pPr>
          </w:p>
        </w:tc>
        <w:tc>
          <w:tcPr>
            <w:tcW w:w="1528" w:type="dxa"/>
          </w:tcPr>
          <w:p w14:paraId="19DCAAAF" w14:textId="77777777" w:rsidR="002C6574" w:rsidRDefault="00000000">
            <w:pPr>
              <w:pStyle w:val="TableParagraph"/>
              <w:spacing w:line="184" w:lineRule="exact"/>
              <w:ind w:right="82"/>
              <w:jc w:val="center"/>
              <w:rPr>
                <w:rFonts w:ascii="Arial" w:hAnsi="Arial"/>
                <w:b/>
                <w:sz w:val="18"/>
              </w:rPr>
            </w:pPr>
            <w:r>
              <w:rPr>
                <w:rFonts w:ascii="Arial" w:hAnsi="Arial"/>
                <w:b/>
                <w:color w:val="585858"/>
                <w:spacing w:val="-2"/>
                <w:sz w:val="18"/>
              </w:rPr>
              <w:t>Transmissão</w:t>
            </w:r>
          </w:p>
        </w:tc>
        <w:tc>
          <w:tcPr>
            <w:tcW w:w="1213" w:type="dxa"/>
          </w:tcPr>
          <w:p w14:paraId="418CC9E0" w14:textId="77777777" w:rsidR="002C6574" w:rsidRDefault="002C6574">
            <w:pPr>
              <w:pStyle w:val="TableParagraph"/>
              <w:jc w:val="left"/>
              <w:rPr>
                <w:rFonts w:ascii="Times New Roman"/>
                <w:sz w:val="14"/>
              </w:rPr>
            </w:pPr>
          </w:p>
        </w:tc>
        <w:tc>
          <w:tcPr>
            <w:tcW w:w="1403" w:type="dxa"/>
          </w:tcPr>
          <w:p w14:paraId="51296918" w14:textId="77777777" w:rsidR="002C6574" w:rsidRDefault="00000000">
            <w:pPr>
              <w:pStyle w:val="TableParagraph"/>
              <w:spacing w:line="184" w:lineRule="exact"/>
              <w:ind w:left="137" w:right="1"/>
              <w:jc w:val="center"/>
              <w:rPr>
                <w:rFonts w:ascii="Arial"/>
                <w:b/>
                <w:sz w:val="18"/>
              </w:rPr>
            </w:pPr>
            <w:r>
              <w:rPr>
                <w:rFonts w:ascii="Arial"/>
                <w:b/>
                <w:color w:val="585858"/>
                <w:spacing w:val="-2"/>
                <w:sz w:val="18"/>
              </w:rPr>
              <w:t>Seguros</w:t>
            </w:r>
          </w:p>
        </w:tc>
        <w:tc>
          <w:tcPr>
            <w:tcW w:w="1675" w:type="dxa"/>
          </w:tcPr>
          <w:p w14:paraId="3CB1ABF0" w14:textId="77777777" w:rsidR="002C6574" w:rsidRDefault="002C6574">
            <w:pPr>
              <w:pStyle w:val="TableParagraph"/>
              <w:jc w:val="left"/>
              <w:rPr>
                <w:rFonts w:ascii="Times New Roman"/>
                <w:sz w:val="14"/>
              </w:rPr>
            </w:pPr>
          </w:p>
        </w:tc>
        <w:tc>
          <w:tcPr>
            <w:tcW w:w="736" w:type="dxa"/>
          </w:tcPr>
          <w:p w14:paraId="071DF773" w14:textId="77777777" w:rsidR="002C6574" w:rsidRDefault="002C6574">
            <w:pPr>
              <w:pStyle w:val="TableParagraph"/>
              <w:jc w:val="left"/>
              <w:rPr>
                <w:rFonts w:ascii="Times New Roman"/>
                <w:sz w:val="14"/>
              </w:rPr>
            </w:pPr>
          </w:p>
        </w:tc>
      </w:tr>
    </w:tbl>
    <w:p w14:paraId="63FF208B" w14:textId="77777777" w:rsidR="002C6574" w:rsidRDefault="00000000">
      <w:pPr>
        <w:pStyle w:val="Corpodetexto"/>
        <w:spacing w:before="115"/>
        <w:rPr>
          <w:rFonts w:ascii="Arial"/>
          <w:b/>
          <w:sz w:val="20"/>
        </w:rPr>
      </w:pPr>
      <w:r>
        <w:rPr>
          <w:rFonts w:ascii="Arial"/>
          <w:b/>
          <w:noProof/>
          <w:sz w:val="20"/>
        </w:rPr>
        <mc:AlternateContent>
          <mc:Choice Requires="wps">
            <w:drawing>
              <wp:anchor distT="0" distB="0" distL="0" distR="0" simplePos="0" relativeHeight="487618560" behindDoc="1" locked="0" layoutInCell="1" allowOverlap="1" wp14:anchorId="74614455" wp14:editId="528764CB">
                <wp:simplePos x="0" y="0"/>
                <wp:positionH relativeFrom="page">
                  <wp:posOffset>541019</wp:posOffset>
                </wp:positionH>
                <wp:positionV relativeFrom="paragraph">
                  <wp:posOffset>234537</wp:posOffset>
                </wp:positionV>
                <wp:extent cx="1829435" cy="7620"/>
                <wp:effectExtent l="0" t="0" r="0" b="0"/>
                <wp:wrapTopAndBottom/>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D93010" id="Graphic 354" o:spid="_x0000_s1026" style="position:absolute;margin-left:42.6pt;margin-top:18.45pt;width:144.05pt;height:.6pt;z-index:-156979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" path="m1829435,l,,,7619r1829435,l1829435,xe" fillcolor="black" stroked="f">
                <v:path arrowok="t"/>
                <w10:wrap type="topAndBottom" anchorx="page"/>
              </v:shape>
            </w:pict>
          </mc:Fallback>
        </mc:AlternateContent>
      </w:r>
    </w:p>
    <w:p w14:paraId="4D9067CF" w14:textId="77777777" w:rsidR="002C6574" w:rsidRDefault="00000000">
      <w:pPr>
        <w:spacing w:before="99"/>
        <w:ind w:left="427"/>
        <w:rPr>
          <w:rFonts w:ascii="Arial MT" w:hAnsi="Arial MT"/>
          <w:sz w:val="16"/>
        </w:rPr>
      </w:pPr>
      <w:bookmarkStart w:id="12" w:name="_bookmark12"/>
      <w:bookmarkEnd w:id="12"/>
      <w:r>
        <w:rPr>
          <w:rFonts w:ascii="Times New Roman" w:hAnsi="Times New Roman"/>
          <w:position w:val="7"/>
          <w:sz w:val="13"/>
        </w:rPr>
        <w:t>1</w:t>
      </w:r>
      <w:r>
        <w:rPr>
          <w:rFonts w:ascii="Times New Roman" w:hAnsi="Times New Roman"/>
          <w:spacing w:val="12"/>
          <w:position w:val="7"/>
          <w:sz w:val="13"/>
        </w:rPr>
        <w:t xml:space="preserve"> </w:t>
      </w:r>
      <w:r>
        <w:rPr>
          <w:rFonts w:ascii="Arial MT" w:hAnsi="Arial MT"/>
          <w:sz w:val="16"/>
        </w:rPr>
        <w:t>A</w:t>
      </w:r>
      <w:r>
        <w:rPr>
          <w:rFonts w:ascii="Arial MT" w:hAnsi="Arial MT"/>
          <w:spacing w:val="-4"/>
          <w:sz w:val="16"/>
        </w:rPr>
        <w:t xml:space="preserve"> </w:t>
      </w:r>
      <w:r>
        <w:rPr>
          <w:rFonts w:ascii="Arial MT" w:hAnsi="Arial MT"/>
          <w:sz w:val="16"/>
        </w:rPr>
        <w:t>cor</w:t>
      </w:r>
      <w:r>
        <w:rPr>
          <w:rFonts w:ascii="Arial MT" w:hAnsi="Arial MT"/>
          <w:spacing w:val="-6"/>
          <w:sz w:val="16"/>
        </w:rPr>
        <w:t xml:space="preserve"> </w:t>
      </w:r>
      <w:r>
        <w:rPr>
          <w:rFonts w:ascii="Arial MT" w:hAnsi="Arial MT"/>
          <w:sz w:val="16"/>
        </w:rPr>
        <w:t>vermelha</w:t>
      </w:r>
      <w:r>
        <w:rPr>
          <w:rFonts w:ascii="Arial MT" w:hAnsi="Arial MT"/>
          <w:spacing w:val="-4"/>
          <w:sz w:val="16"/>
        </w:rPr>
        <w:t xml:space="preserve"> </w:t>
      </w:r>
      <w:r>
        <w:rPr>
          <w:rFonts w:ascii="Arial MT" w:hAnsi="Arial MT"/>
          <w:sz w:val="16"/>
        </w:rPr>
        <w:t>representa</w:t>
      </w:r>
      <w:r>
        <w:rPr>
          <w:rFonts w:ascii="Arial MT" w:hAnsi="Arial MT"/>
          <w:spacing w:val="-4"/>
          <w:sz w:val="16"/>
        </w:rPr>
        <w:t xml:space="preserve"> </w:t>
      </w:r>
      <w:r>
        <w:rPr>
          <w:rFonts w:ascii="Arial MT" w:hAnsi="Arial MT"/>
          <w:sz w:val="16"/>
        </w:rPr>
        <w:t>redução</w:t>
      </w:r>
      <w:r>
        <w:rPr>
          <w:rFonts w:ascii="Arial MT" w:hAnsi="Arial MT"/>
          <w:spacing w:val="-3"/>
          <w:sz w:val="16"/>
        </w:rPr>
        <w:t xml:space="preserve"> </w:t>
      </w:r>
      <w:r>
        <w:rPr>
          <w:rFonts w:ascii="Arial MT" w:hAnsi="Arial MT"/>
          <w:sz w:val="16"/>
        </w:rPr>
        <w:t>de</w:t>
      </w:r>
      <w:r>
        <w:rPr>
          <w:rFonts w:ascii="Arial MT" w:hAnsi="Arial MT"/>
          <w:spacing w:val="-4"/>
          <w:sz w:val="16"/>
        </w:rPr>
        <w:t xml:space="preserve"> </w:t>
      </w:r>
      <w:r>
        <w:rPr>
          <w:rFonts w:ascii="Arial MT" w:hAnsi="Arial MT"/>
          <w:spacing w:val="-2"/>
          <w:sz w:val="16"/>
        </w:rPr>
        <w:t>receita.</w:t>
      </w:r>
    </w:p>
    <w:p w14:paraId="37EB5EF2" w14:textId="77777777" w:rsidR="002C6574" w:rsidRDefault="00000000">
      <w:pPr>
        <w:spacing w:before="10" w:line="182" w:lineRule="exact"/>
        <w:ind w:left="427"/>
        <w:rPr>
          <w:rFonts w:ascii="Arial MT" w:hAnsi="Arial MT"/>
          <w:sz w:val="16"/>
        </w:rPr>
      </w:pPr>
      <w:bookmarkStart w:id="13" w:name="_bookmark13"/>
      <w:bookmarkEnd w:id="13"/>
      <w:r>
        <w:rPr>
          <w:rFonts w:ascii="Arial MT" w:hAnsi="Arial MT"/>
          <w:sz w:val="16"/>
          <w:vertAlign w:val="superscript"/>
        </w:rPr>
        <w:t>2</w:t>
      </w:r>
      <w:r>
        <w:rPr>
          <w:rFonts w:ascii="Arial MT" w:hAnsi="Arial MT"/>
          <w:spacing w:val="-5"/>
          <w:sz w:val="16"/>
        </w:rPr>
        <w:t xml:space="preserve"> </w:t>
      </w:r>
      <w:r>
        <w:rPr>
          <w:rFonts w:ascii="Arial MT" w:hAnsi="Arial MT"/>
          <w:sz w:val="16"/>
        </w:rPr>
        <w:t>Custos</w:t>
      </w:r>
      <w:r>
        <w:rPr>
          <w:rFonts w:ascii="Arial MT" w:hAnsi="Arial MT"/>
          <w:spacing w:val="-4"/>
          <w:sz w:val="16"/>
        </w:rPr>
        <w:t xml:space="preserve"> </w:t>
      </w:r>
      <w:r>
        <w:rPr>
          <w:rFonts w:ascii="Arial MT" w:hAnsi="Arial MT"/>
          <w:sz w:val="16"/>
        </w:rPr>
        <w:t>e</w:t>
      </w:r>
      <w:r>
        <w:rPr>
          <w:rFonts w:ascii="Arial MT" w:hAnsi="Arial MT"/>
          <w:spacing w:val="-7"/>
          <w:sz w:val="16"/>
        </w:rPr>
        <w:t xml:space="preserve"> </w:t>
      </w:r>
      <w:r>
        <w:rPr>
          <w:rFonts w:ascii="Arial MT" w:hAnsi="Arial MT"/>
          <w:sz w:val="16"/>
        </w:rPr>
        <w:t>Despesas</w:t>
      </w:r>
      <w:r>
        <w:rPr>
          <w:rFonts w:ascii="Arial MT" w:hAnsi="Arial MT"/>
          <w:spacing w:val="-8"/>
          <w:sz w:val="16"/>
        </w:rPr>
        <w:t xml:space="preserve"> </w:t>
      </w:r>
      <w:r>
        <w:rPr>
          <w:rFonts w:ascii="Arial MT" w:hAnsi="Arial MT"/>
          <w:sz w:val="16"/>
        </w:rPr>
        <w:t>vinculadas</w:t>
      </w:r>
      <w:r>
        <w:rPr>
          <w:rFonts w:ascii="Arial MT" w:hAnsi="Arial MT"/>
          <w:spacing w:val="-3"/>
          <w:sz w:val="16"/>
        </w:rPr>
        <w:t xml:space="preserve"> </w:t>
      </w:r>
      <w:r>
        <w:rPr>
          <w:rFonts w:ascii="Arial MT" w:hAnsi="Arial MT"/>
          <w:sz w:val="16"/>
        </w:rPr>
        <w:t>às</w:t>
      </w:r>
      <w:r>
        <w:rPr>
          <w:rFonts w:ascii="Arial MT" w:hAnsi="Arial MT"/>
          <w:spacing w:val="-6"/>
          <w:sz w:val="16"/>
        </w:rPr>
        <w:t xml:space="preserve"> </w:t>
      </w:r>
      <w:r>
        <w:rPr>
          <w:rFonts w:ascii="Arial MT" w:hAnsi="Arial MT"/>
          <w:sz w:val="16"/>
        </w:rPr>
        <w:t>funções:</w:t>
      </w:r>
      <w:r>
        <w:rPr>
          <w:rFonts w:ascii="Arial MT" w:hAnsi="Arial MT"/>
          <w:spacing w:val="-5"/>
          <w:sz w:val="16"/>
        </w:rPr>
        <w:t xml:space="preserve"> </w:t>
      </w:r>
      <w:r>
        <w:rPr>
          <w:rFonts w:ascii="Arial MT" w:hAnsi="Arial MT"/>
          <w:sz w:val="16"/>
        </w:rPr>
        <w:t>Custo</w:t>
      </w:r>
      <w:r>
        <w:rPr>
          <w:rFonts w:ascii="Arial MT" w:hAnsi="Arial MT"/>
          <w:spacing w:val="-5"/>
          <w:sz w:val="16"/>
        </w:rPr>
        <w:t xml:space="preserve"> </w:t>
      </w:r>
      <w:r>
        <w:rPr>
          <w:rFonts w:ascii="Arial MT" w:hAnsi="Arial MT"/>
          <w:sz w:val="16"/>
        </w:rPr>
        <w:t>dos</w:t>
      </w:r>
      <w:r>
        <w:rPr>
          <w:rFonts w:ascii="Arial MT" w:hAnsi="Arial MT"/>
          <w:spacing w:val="-6"/>
          <w:sz w:val="16"/>
        </w:rPr>
        <w:t xml:space="preserve"> </w:t>
      </w:r>
      <w:r>
        <w:rPr>
          <w:rFonts w:ascii="Arial MT" w:hAnsi="Arial MT"/>
          <w:sz w:val="16"/>
        </w:rPr>
        <w:t>Serviços</w:t>
      </w:r>
      <w:r>
        <w:rPr>
          <w:rFonts w:ascii="Arial MT" w:hAnsi="Arial MT"/>
          <w:spacing w:val="-6"/>
          <w:sz w:val="16"/>
        </w:rPr>
        <w:t xml:space="preserve"> </w:t>
      </w:r>
      <w:r>
        <w:rPr>
          <w:rFonts w:ascii="Arial MT" w:hAnsi="Arial MT"/>
          <w:sz w:val="16"/>
        </w:rPr>
        <w:t>Prestados,</w:t>
      </w:r>
      <w:r>
        <w:rPr>
          <w:rFonts w:ascii="Arial MT" w:hAnsi="Arial MT"/>
          <w:spacing w:val="-6"/>
          <w:sz w:val="16"/>
        </w:rPr>
        <w:t xml:space="preserve"> </w:t>
      </w:r>
      <w:r>
        <w:rPr>
          <w:rFonts w:ascii="Arial MT" w:hAnsi="Arial MT"/>
          <w:sz w:val="16"/>
        </w:rPr>
        <w:t>Comercialização</w:t>
      </w:r>
      <w:r>
        <w:rPr>
          <w:rFonts w:ascii="Arial MT" w:hAnsi="Arial MT"/>
          <w:spacing w:val="-7"/>
          <w:sz w:val="16"/>
        </w:rPr>
        <w:t xml:space="preserve"> </w:t>
      </w:r>
      <w:r>
        <w:rPr>
          <w:rFonts w:ascii="Arial MT" w:hAnsi="Arial MT"/>
          <w:sz w:val="16"/>
        </w:rPr>
        <w:t>dos</w:t>
      </w:r>
      <w:r>
        <w:rPr>
          <w:rFonts w:ascii="Arial MT" w:hAnsi="Arial MT"/>
          <w:spacing w:val="-6"/>
          <w:sz w:val="16"/>
        </w:rPr>
        <w:t xml:space="preserve"> </w:t>
      </w:r>
      <w:r>
        <w:rPr>
          <w:rFonts w:ascii="Arial MT" w:hAnsi="Arial MT"/>
          <w:sz w:val="16"/>
        </w:rPr>
        <w:t>Serviços</w:t>
      </w:r>
      <w:r>
        <w:rPr>
          <w:rFonts w:ascii="Arial MT" w:hAnsi="Arial MT"/>
          <w:spacing w:val="-3"/>
          <w:sz w:val="16"/>
        </w:rPr>
        <w:t xml:space="preserve"> </w:t>
      </w:r>
      <w:r>
        <w:rPr>
          <w:rFonts w:ascii="Arial MT" w:hAnsi="Arial MT"/>
          <w:sz w:val="16"/>
        </w:rPr>
        <w:t>e</w:t>
      </w:r>
      <w:r>
        <w:rPr>
          <w:rFonts w:ascii="Arial MT" w:hAnsi="Arial MT"/>
          <w:spacing w:val="-7"/>
          <w:sz w:val="16"/>
        </w:rPr>
        <w:t xml:space="preserve"> </w:t>
      </w:r>
      <w:r>
        <w:rPr>
          <w:rFonts w:ascii="Arial MT" w:hAnsi="Arial MT"/>
          <w:sz w:val="16"/>
        </w:rPr>
        <w:t>Gerais</w:t>
      </w:r>
      <w:r>
        <w:rPr>
          <w:rFonts w:ascii="Arial MT" w:hAnsi="Arial MT"/>
          <w:spacing w:val="-5"/>
          <w:sz w:val="16"/>
        </w:rPr>
        <w:t xml:space="preserve"> </w:t>
      </w:r>
      <w:r>
        <w:rPr>
          <w:rFonts w:ascii="Arial MT" w:hAnsi="Arial MT"/>
          <w:sz w:val="16"/>
        </w:rPr>
        <w:t>e</w:t>
      </w:r>
      <w:r>
        <w:rPr>
          <w:rFonts w:ascii="Arial MT" w:hAnsi="Arial MT"/>
          <w:spacing w:val="-5"/>
          <w:sz w:val="16"/>
        </w:rPr>
        <w:t xml:space="preserve"> </w:t>
      </w:r>
      <w:r>
        <w:rPr>
          <w:rFonts w:ascii="Arial MT" w:hAnsi="Arial MT"/>
          <w:spacing w:val="-2"/>
          <w:sz w:val="16"/>
        </w:rPr>
        <w:t>Administrativas.</w:t>
      </w:r>
    </w:p>
    <w:p w14:paraId="5BA62F39" w14:textId="77777777" w:rsidR="002C6574" w:rsidRDefault="00000000">
      <w:pPr>
        <w:spacing w:line="223" w:lineRule="exact"/>
        <w:ind w:left="427"/>
        <w:rPr>
          <w:rFonts w:ascii="Arial MT" w:hAnsi="Arial MT"/>
          <w:sz w:val="16"/>
        </w:rPr>
      </w:pPr>
      <w:bookmarkStart w:id="14" w:name="_bookmark14"/>
      <w:bookmarkEnd w:id="14"/>
      <w:r>
        <w:rPr>
          <w:rFonts w:ascii="Times New Roman" w:hAnsi="Times New Roman"/>
          <w:position w:val="7"/>
          <w:sz w:val="13"/>
        </w:rPr>
        <w:t>3</w:t>
      </w:r>
      <w:r>
        <w:rPr>
          <w:rFonts w:ascii="Times New Roman" w:hAnsi="Times New Roman"/>
          <w:spacing w:val="12"/>
          <w:position w:val="7"/>
          <w:sz w:val="13"/>
        </w:rPr>
        <w:t xml:space="preserve"> </w:t>
      </w:r>
      <w:r>
        <w:rPr>
          <w:rFonts w:ascii="Arial MT" w:hAnsi="Arial MT"/>
          <w:sz w:val="16"/>
        </w:rPr>
        <w:t>Perda</w:t>
      </w:r>
      <w:r>
        <w:rPr>
          <w:rFonts w:ascii="Arial MT" w:hAnsi="Arial MT"/>
          <w:spacing w:val="-3"/>
          <w:sz w:val="16"/>
        </w:rPr>
        <w:t xml:space="preserve"> </w:t>
      </w:r>
      <w:r>
        <w:rPr>
          <w:rFonts w:ascii="Arial MT" w:hAnsi="Arial MT"/>
          <w:sz w:val="16"/>
        </w:rPr>
        <w:t>Estimada</w:t>
      </w:r>
      <w:r>
        <w:rPr>
          <w:rFonts w:ascii="Arial MT" w:hAnsi="Arial MT"/>
          <w:spacing w:val="-6"/>
          <w:sz w:val="16"/>
        </w:rPr>
        <w:t xml:space="preserve"> </w:t>
      </w:r>
      <w:r>
        <w:rPr>
          <w:rFonts w:ascii="Arial MT" w:hAnsi="Arial MT"/>
          <w:sz w:val="16"/>
        </w:rPr>
        <w:t>com</w:t>
      </w:r>
      <w:r>
        <w:rPr>
          <w:rFonts w:ascii="Arial MT" w:hAnsi="Arial MT"/>
          <w:spacing w:val="-4"/>
          <w:sz w:val="16"/>
        </w:rPr>
        <w:t xml:space="preserve"> </w:t>
      </w:r>
      <w:r>
        <w:rPr>
          <w:rFonts w:ascii="Arial MT" w:hAnsi="Arial MT"/>
          <w:sz w:val="16"/>
        </w:rPr>
        <w:t>Crédito</w:t>
      </w:r>
      <w:r>
        <w:rPr>
          <w:rFonts w:ascii="Arial MT" w:hAnsi="Arial MT"/>
          <w:spacing w:val="-4"/>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Liquidação</w:t>
      </w:r>
      <w:r>
        <w:rPr>
          <w:rFonts w:ascii="Arial MT" w:hAnsi="Arial MT"/>
          <w:spacing w:val="-4"/>
          <w:sz w:val="16"/>
        </w:rPr>
        <w:t xml:space="preserve"> </w:t>
      </w:r>
      <w:r>
        <w:rPr>
          <w:rFonts w:ascii="Arial MT" w:hAnsi="Arial MT"/>
          <w:spacing w:val="-2"/>
          <w:sz w:val="16"/>
        </w:rPr>
        <w:t>Duvidosa.</w:t>
      </w:r>
    </w:p>
    <w:p w14:paraId="116E7839" w14:textId="77777777" w:rsidR="002C6574" w:rsidRDefault="00000000">
      <w:pPr>
        <w:spacing w:before="3"/>
        <w:ind w:left="427"/>
        <w:rPr>
          <w:rFonts w:ascii="Arial MT" w:hAnsi="Arial MT"/>
          <w:sz w:val="16"/>
        </w:rPr>
      </w:pPr>
      <w:bookmarkStart w:id="15" w:name="_bookmark15"/>
      <w:bookmarkEnd w:id="15"/>
      <w:r>
        <w:rPr>
          <w:rFonts w:ascii="Times New Roman" w:hAnsi="Times New Roman"/>
          <w:position w:val="7"/>
          <w:sz w:val="13"/>
        </w:rPr>
        <w:t>4</w:t>
      </w:r>
      <w:r>
        <w:rPr>
          <w:rFonts w:ascii="Times New Roman" w:hAnsi="Times New Roman"/>
          <w:spacing w:val="12"/>
          <w:position w:val="7"/>
          <w:sz w:val="13"/>
        </w:rPr>
        <w:t xml:space="preserve"> </w:t>
      </w:r>
      <w:r>
        <w:rPr>
          <w:rFonts w:ascii="Arial MT" w:hAnsi="Arial MT"/>
          <w:sz w:val="16"/>
        </w:rPr>
        <w:t>Programa</w:t>
      </w:r>
      <w:r>
        <w:rPr>
          <w:rFonts w:ascii="Arial MT" w:hAnsi="Arial MT"/>
          <w:spacing w:val="-5"/>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Indenização</w:t>
      </w:r>
      <w:r>
        <w:rPr>
          <w:rFonts w:ascii="Arial MT" w:hAnsi="Arial MT"/>
          <w:spacing w:val="-5"/>
          <w:sz w:val="16"/>
        </w:rPr>
        <w:t xml:space="preserve"> </w:t>
      </w:r>
      <w:r>
        <w:rPr>
          <w:rFonts w:ascii="Arial MT" w:hAnsi="Arial MT"/>
          <w:sz w:val="16"/>
        </w:rPr>
        <w:t>por</w:t>
      </w:r>
      <w:r>
        <w:rPr>
          <w:rFonts w:ascii="Arial MT" w:hAnsi="Arial MT"/>
          <w:spacing w:val="-6"/>
          <w:sz w:val="16"/>
        </w:rPr>
        <w:t xml:space="preserve"> </w:t>
      </w:r>
      <w:r>
        <w:rPr>
          <w:rFonts w:ascii="Arial MT" w:hAnsi="Arial MT"/>
          <w:sz w:val="16"/>
        </w:rPr>
        <w:t>Serviços</w:t>
      </w:r>
      <w:r>
        <w:rPr>
          <w:rFonts w:ascii="Arial MT" w:hAnsi="Arial MT"/>
          <w:spacing w:val="-5"/>
          <w:sz w:val="16"/>
        </w:rPr>
        <w:t xml:space="preserve"> </w:t>
      </w:r>
      <w:r>
        <w:rPr>
          <w:rFonts w:ascii="Arial MT" w:hAnsi="Arial MT"/>
          <w:spacing w:val="-2"/>
          <w:sz w:val="16"/>
        </w:rPr>
        <w:t>Prestados.</w:t>
      </w:r>
    </w:p>
    <w:p w14:paraId="5606E65E" w14:textId="77777777" w:rsidR="002C6574" w:rsidRDefault="00000000">
      <w:pPr>
        <w:spacing w:before="5"/>
        <w:ind w:left="427"/>
        <w:rPr>
          <w:rFonts w:ascii="Arial MT" w:hAnsi="Arial MT"/>
          <w:sz w:val="16"/>
        </w:rPr>
      </w:pPr>
      <w:bookmarkStart w:id="16" w:name="_bookmark16"/>
      <w:bookmarkEnd w:id="16"/>
      <w:r>
        <w:rPr>
          <w:rFonts w:ascii="Times New Roman" w:hAnsi="Times New Roman"/>
          <w:position w:val="7"/>
          <w:sz w:val="13"/>
        </w:rPr>
        <w:t>5</w:t>
      </w:r>
      <w:r>
        <w:rPr>
          <w:rFonts w:ascii="Times New Roman" w:hAnsi="Times New Roman"/>
          <w:spacing w:val="13"/>
          <w:position w:val="7"/>
          <w:sz w:val="13"/>
        </w:rPr>
        <w:t xml:space="preserve"> </w:t>
      </w:r>
      <w:r>
        <w:rPr>
          <w:rFonts w:ascii="Arial MT" w:hAnsi="Arial MT"/>
          <w:sz w:val="16"/>
        </w:rPr>
        <w:t>A</w:t>
      </w:r>
      <w:r>
        <w:rPr>
          <w:rFonts w:ascii="Arial MT" w:hAnsi="Arial MT"/>
          <w:spacing w:val="-4"/>
          <w:sz w:val="16"/>
        </w:rPr>
        <w:t xml:space="preserve"> </w:t>
      </w:r>
      <w:r>
        <w:rPr>
          <w:rFonts w:ascii="Arial MT" w:hAnsi="Arial MT"/>
          <w:sz w:val="16"/>
        </w:rPr>
        <w:t>cor</w:t>
      </w:r>
      <w:r>
        <w:rPr>
          <w:rFonts w:ascii="Arial MT" w:hAnsi="Arial MT"/>
          <w:spacing w:val="-4"/>
          <w:sz w:val="16"/>
        </w:rPr>
        <w:t xml:space="preserve"> </w:t>
      </w:r>
      <w:r>
        <w:rPr>
          <w:rFonts w:ascii="Arial MT" w:hAnsi="Arial MT"/>
          <w:sz w:val="16"/>
        </w:rPr>
        <w:t>azul</w:t>
      </w:r>
      <w:r>
        <w:rPr>
          <w:rFonts w:ascii="Arial MT" w:hAnsi="Arial MT"/>
          <w:spacing w:val="-2"/>
          <w:sz w:val="16"/>
        </w:rPr>
        <w:t xml:space="preserve"> </w:t>
      </w:r>
      <w:r>
        <w:rPr>
          <w:rFonts w:ascii="Arial MT" w:hAnsi="Arial MT"/>
          <w:sz w:val="16"/>
        </w:rPr>
        <w:t>representa</w:t>
      </w:r>
      <w:r>
        <w:rPr>
          <w:rFonts w:ascii="Arial MT" w:hAnsi="Arial MT"/>
          <w:spacing w:val="-3"/>
          <w:sz w:val="16"/>
        </w:rPr>
        <w:t xml:space="preserve"> </w:t>
      </w:r>
      <w:r>
        <w:rPr>
          <w:rFonts w:ascii="Arial MT" w:hAnsi="Arial MT"/>
          <w:sz w:val="16"/>
        </w:rPr>
        <w:t>a</w:t>
      </w:r>
      <w:r>
        <w:rPr>
          <w:rFonts w:ascii="Arial MT" w:hAnsi="Arial MT"/>
          <w:spacing w:val="-4"/>
          <w:sz w:val="16"/>
        </w:rPr>
        <w:t xml:space="preserve"> </w:t>
      </w:r>
      <w:r>
        <w:rPr>
          <w:rFonts w:ascii="Arial MT" w:hAnsi="Arial MT"/>
          <w:sz w:val="16"/>
        </w:rPr>
        <w:t>redução</w:t>
      </w:r>
      <w:r>
        <w:rPr>
          <w:rFonts w:ascii="Arial MT" w:hAnsi="Arial MT"/>
          <w:spacing w:val="-5"/>
          <w:sz w:val="16"/>
        </w:rPr>
        <w:t xml:space="preserve"> </w:t>
      </w:r>
      <w:r>
        <w:rPr>
          <w:rFonts w:ascii="Arial MT" w:hAnsi="Arial MT"/>
          <w:sz w:val="16"/>
        </w:rPr>
        <w:t>dos</w:t>
      </w:r>
      <w:r>
        <w:rPr>
          <w:rFonts w:ascii="Arial MT" w:hAnsi="Arial MT"/>
          <w:spacing w:val="-4"/>
          <w:sz w:val="16"/>
        </w:rPr>
        <w:t xml:space="preserve"> </w:t>
      </w:r>
      <w:r>
        <w:rPr>
          <w:rFonts w:ascii="Arial MT" w:hAnsi="Arial MT"/>
          <w:spacing w:val="-2"/>
          <w:sz w:val="16"/>
        </w:rPr>
        <w:t>custos/despesas.</w:t>
      </w:r>
    </w:p>
    <w:p w14:paraId="61C07ECF" w14:textId="77777777" w:rsidR="002C6574" w:rsidRDefault="002C6574">
      <w:pPr>
        <w:rPr>
          <w:rFonts w:ascii="Arial MT" w:hAnsi="Arial MT"/>
          <w:sz w:val="16"/>
        </w:rPr>
        <w:sectPr w:rsidR="002C6574">
          <w:type w:val="continuous"/>
          <w:pgSz w:w="11910" w:h="16840"/>
          <w:pgMar w:top="0" w:right="425" w:bottom="0" w:left="425" w:header="1197" w:footer="994" w:gutter="0"/>
          <w:cols w:space="720"/>
        </w:sectPr>
      </w:pPr>
    </w:p>
    <w:p w14:paraId="30CDC329" w14:textId="77777777" w:rsidR="002C6574" w:rsidRDefault="002C6574">
      <w:pPr>
        <w:pStyle w:val="Corpodetexto"/>
        <w:rPr>
          <w:rFonts w:ascii="Arial MT"/>
        </w:rPr>
      </w:pPr>
    </w:p>
    <w:p w14:paraId="60C4CE50" w14:textId="77777777" w:rsidR="002C6574" w:rsidRDefault="002C6574">
      <w:pPr>
        <w:pStyle w:val="Corpodetexto"/>
        <w:spacing w:before="1"/>
        <w:rPr>
          <w:rFonts w:ascii="Arial MT"/>
        </w:rPr>
      </w:pPr>
    </w:p>
    <w:p w14:paraId="792BCBC5" w14:textId="77777777" w:rsidR="002C6574" w:rsidRDefault="00000000">
      <w:pPr>
        <w:pStyle w:val="Corpodetexto"/>
        <w:ind w:left="427" w:right="137"/>
        <w:jc w:val="both"/>
        <w:rPr>
          <w:rFonts w:ascii="Arial MT" w:hAnsi="Arial MT"/>
        </w:rPr>
      </w:pPr>
      <w:r>
        <w:rPr>
          <w:rFonts w:ascii="Arial MT" w:hAnsi="Arial MT"/>
          <w:noProof/>
        </w:rPr>
        <mc:AlternateContent>
          <mc:Choice Requires="wpg">
            <w:drawing>
              <wp:anchor distT="0" distB="0" distL="0" distR="0" simplePos="0" relativeHeight="15763968" behindDoc="0" locked="0" layoutInCell="1" allowOverlap="1" wp14:anchorId="2F329996" wp14:editId="433AE12A">
                <wp:simplePos x="0" y="0"/>
                <wp:positionH relativeFrom="page">
                  <wp:posOffset>443483</wp:posOffset>
                </wp:positionH>
                <wp:positionV relativeFrom="paragraph">
                  <wp:posOffset>-325975</wp:posOffset>
                </wp:positionV>
                <wp:extent cx="6922134" cy="105410"/>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134" cy="105410"/>
                          <a:chOff x="0" y="0"/>
                          <a:chExt cx="6922134" cy="105410"/>
                        </a:xfrm>
                      </wpg:grpSpPr>
                      <pic:pic xmlns:pic="http://schemas.openxmlformats.org/drawingml/2006/picture">
                        <pic:nvPicPr>
                          <pic:cNvPr id="356" name="Image 356"/>
                          <pic:cNvPicPr/>
                        </pic:nvPicPr>
                        <pic:blipFill>
                          <a:blip r:embed="rId213" cstate="print"/>
                          <a:stretch>
                            <a:fillRect/>
                          </a:stretch>
                        </pic:blipFill>
                        <pic:spPr>
                          <a:xfrm>
                            <a:off x="0" y="0"/>
                            <a:ext cx="6922008" cy="105155"/>
                          </a:xfrm>
                          <a:prstGeom prst="rect">
                            <a:avLst/>
                          </a:prstGeom>
                        </pic:spPr>
                      </pic:pic>
                      <wps:wsp>
                        <wps:cNvPr id="357" name="Graphic 357"/>
                        <wps:cNvSpPr/>
                        <wps:spPr>
                          <a:xfrm>
                            <a:off x="42290" y="34925"/>
                            <a:ext cx="6829425" cy="1270"/>
                          </a:xfrm>
                          <a:custGeom>
                            <a:avLst/>
                            <a:gdLst/>
                            <a:ahLst/>
                            <a:cxnLst/>
                            <a:rect l="l" t="t" r="r" b="b"/>
                            <a:pathLst>
                              <a:path w="6829425">
                                <a:moveTo>
                                  <a:pt x="0" y="0"/>
                                </a:moveTo>
                                <a:lnTo>
                                  <a:pt x="6829425" y="0"/>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2814B20B" id="Group 355" o:spid="_x0000_s1026" style="position:absolute;margin-left:34.9pt;margin-top:-25.65pt;width:545.05pt;height:8.3pt;z-index:15763968;mso-wrap-distance-left:0;mso-wrap-distance-right:0;mso-position-horizontal-relative:page" coordsize="69221,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">
                <v:shape id="Image 356" o:spid="_x0000_s1027" type="#_x0000_t75" style="position:absolute;width:692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">
                  <v:imagedata r:id="rId214" o:title=""/>
                </v:shape>
                <v:shape id="Graphic 357" o:spid="_x0000_s1028" style="position:absolute;left:422;top:349;width:68295;height:12;visibility:visible;mso-wrap-style:square;v-text-anchor:top" coordsize="682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" path="m,l6829425,e" filled="f" strokecolor="blue" strokeweight="2pt">
                  <v:path arrowok="t"/>
                </v:shape>
                <w10:wrap anchorx="page"/>
              </v:group>
            </w:pict>
          </mc:Fallback>
        </mc:AlternateContent>
      </w:r>
      <w:r>
        <w:rPr>
          <w:rFonts w:ascii="Arial MT" w:hAnsi="Arial MT"/>
        </w:rPr>
        <w:t>Os Custos e Despesas</w:t>
      </w:r>
      <w:r>
        <w:rPr>
          <w:rFonts w:ascii="Arial MT" w:hAnsi="Arial MT"/>
          <w:spacing w:val="-1"/>
        </w:rPr>
        <w:t xml:space="preserve"> </w:t>
      </w:r>
      <w:r>
        <w:rPr>
          <w:rFonts w:ascii="Arial MT" w:hAnsi="Arial MT"/>
        </w:rPr>
        <w:t>Operacionais (exceto Depreciação e Amortização) totalizaram R$ 153,4 milhões no 4T25, representando um crescimento de 23,6% em comparação ao 4T24 (R$ 124,1 milhões). Em relação ao 3T25, houve aumento de 24,2%. Esse incremento entre os trimestres é explicado, principalmente, pelo reconhecimento da taxa de instalação de meios de conexão, no montante de R$ 12,8 milhões, conforme previsto no contrato de swap celebrado com a operadora TIM.</w:t>
      </w:r>
    </w:p>
    <w:p w14:paraId="2035364F" w14:textId="77777777" w:rsidR="002C6574" w:rsidRDefault="00000000">
      <w:pPr>
        <w:pStyle w:val="Corpodetexto"/>
        <w:spacing w:before="252"/>
        <w:ind w:left="427" w:right="143"/>
        <w:jc w:val="both"/>
        <w:rPr>
          <w:rFonts w:ascii="Arial MT" w:hAnsi="Arial MT"/>
        </w:rPr>
      </w:pPr>
      <w:r>
        <w:rPr>
          <w:rFonts w:ascii="Arial MT" w:hAnsi="Arial MT"/>
        </w:rPr>
        <w:t>No acumulado de 2025, esses custos e despesas somaram R$ 519,7 milhões, ante R$ 483,7 milhões registrados em 2024, o que corresponde a um aumento de 7,5% na comparação anual.</w:t>
      </w:r>
    </w:p>
    <w:p w14:paraId="34714459" w14:textId="77777777" w:rsidR="002C6574" w:rsidRDefault="002C6574">
      <w:pPr>
        <w:pStyle w:val="Corpodetexto"/>
        <w:rPr>
          <w:rFonts w:ascii="Arial MT"/>
        </w:rPr>
      </w:pPr>
    </w:p>
    <w:p w14:paraId="7857E764" w14:textId="77777777" w:rsidR="002C6574" w:rsidRDefault="00000000">
      <w:pPr>
        <w:pStyle w:val="Corpodetexto"/>
        <w:spacing w:line="242" w:lineRule="auto"/>
        <w:ind w:left="427" w:right="138"/>
        <w:jc w:val="both"/>
        <w:rPr>
          <w:rFonts w:ascii="Arial MT" w:hAnsi="Arial MT"/>
        </w:rPr>
      </w:pPr>
      <w:r>
        <w:rPr>
          <w:rFonts w:ascii="Arial MT" w:hAnsi="Arial MT"/>
        </w:rPr>
        <w:t xml:space="preserve">As principais ocorrências no período referentes aos itens de Custos e Despesas Operacionais foram as </w:t>
      </w:r>
      <w:r>
        <w:rPr>
          <w:rFonts w:ascii="Arial MT" w:hAnsi="Arial MT"/>
          <w:spacing w:val="-2"/>
        </w:rPr>
        <w:t>seguintes:</w:t>
      </w:r>
    </w:p>
    <w:p w14:paraId="5F54D818" w14:textId="77777777" w:rsidR="002C6574" w:rsidRDefault="00000000">
      <w:pPr>
        <w:pStyle w:val="Corpodetexto"/>
        <w:spacing w:before="250" w:line="276" w:lineRule="auto"/>
        <w:ind w:left="427" w:right="135"/>
        <w:jc w:val="both"/>
        <w:rPr>
          <w:rFonts w:ascii="Arial MT" w:hAnsi="Arial MT"/>
        </w:rPr>
      </w:pPr>
      <w:r>
        <w:rPr>
          <w:rFonts w:ascii="Arial" w:hAnsi="Arial"/>
          <w:b/>
          <w:smallCaps/>
        </w:rPr>
        <w:t>Meios de Conexão e Transmissão:</w:t>
      </w:r>
      <w:r>
        <w:rPr>
          <w:rFonts w:ascii="Arial" w:hAnsi="Arial"/>
          <w:b/>
          <w:smallCaps/>
          <w:spacing w:val="-8"/>
        </w:rPr>
        <w:t xml:space="preserve"> </w:t>
      </w:r>
      <w:r>
        <w:rPr>
          <w:rFonts w:ascii="Arial MT" w:hAnsi="Arial MT"/>
        </w:rPr>
        <w:t>Em</w:t>
      </w:r>
      <w:r>
        <w:rPr>
          <w:rFonts w:ascii="Arial MT" w:hAnsi="Arial MT"/>
          <w:spacing w:val="-4"/>
        </w:rPr>
        <w:t xml:space="preserve"> </w:t>
      </w:r>
      <w:r>
        <w:rPr>
          <w:rFonts w:ascii="Arial MT" w:hAnsi="Arial MT"/>
        </w:rPr>
        <w:t>2025,</w:t>
      </w:r>
      <w:r>
        <w:rPr>
          <w:rFonts w:ascii="Arial MT" w:hAnsi="Arial MT"/>
          <w:spacing w:val="-6"/>
        </w:rPr>
        <w:t xml:space="preserve"> </w:t>
      </w:r>
      <w:r>
        <w:rPr>
          <w:rFonts w:ascii="Arial MT" w:hAnsi="Arial MT"/>
        </w:rPr>
        <w:t>os</w:t>
      </w:r>
      <w:r>
        <w:rPr>
          <w:rFonts w:ascii="Arial MT" w:hAnsi="Arial MT"/>
          <w:spacing w:val="-4"/>
        </w:rPr>
        <w:t xml:space="preserve"> </w:t>
      </w:r>
      <w:r>
        <w:rPr>
          <w:rFonts w:ascii="Arial MT" w:hAnsi="Arial MT"/>
        </w:rPr>
        <w:t>custos</w:t>
      </w:r>
      <w:r>
        <w:rPr>
          <w:rFonts w:ascii="Arial MT" w:hAnsi="Arial MT"/>
          <w:spacing w:val="-7"/>
        </w:rPr>
        <w:t xml:space="preserve"> </w:t>
      </w:r>
      <w:r>
        <w:rPr>
          <w:rFonts w:ascii="Arial MT" w:hAnsi="Arial MT"/>
        </w:rPr>
        <w:t>de</w:t>
      </w:r>
      <w:r>
        <w:rPr>
          <w:rFonts w:ascii="Arial MT" w:hAnsi="Arial MT"/>
          <w:spacing w:val="-7"/>
        </w:rPr>
        <w:t xml:space="preserve"> </w:t>
      </w:r>
      <w:r>
        <w:rPr>
          <w:rFonts w:ascii="Arial MT" w:hAnsi="Arial MT"/>
        </w:rPr>
        <w:t>conexão</w:t>
      </w:r>
      <w:r>
        <w:rPr>
          <w:rFonts w:ascii="Arial MT" w:hAnsi="Arial MT"/>
          <w:spacing w:val="-7"/>
        </w:rPr>
        <w:t xml:space="preserve"> </w:t>
      </w:r>
      <w:r>
        <w:rPr>
          <w:rFonts w:ascii="Arial MT" w:hAnsi="Arial MT"/>
        </w:rPr>
        <w:t>e</w:t>
      </w:r>
      <w:r>
        <w:rPr>
          <w:rFonts w:ascii="Arial MT" w:hAnsi="Arial MT"/>
          <w:spacing w:val="-7"/>
        </w:rPr>
        <w:t xml:space="preserve"> </w:t>
      </w:r>
      <w:r>
        <w:rPr>
          <w:rFonts w:ascii="Arial MT" w:hAnsi="Arial MT"/>
        </w:rPr>
        <w:t>transmissão</w:t>
      </w:r>
      <w:r>
        <w:rPr>
          <w:rFonts w:ascii="Arial MT" w:hAnsi="Arial MT"/>
          <w:spacing w:val="-7"/>
        </w:rPr>
        <w:t xml:space="preserve"> </w:t>
      </w:r>
      <w:r>
        <w:rPr>
          <w:rFonts w:ascii="Arial MT" w:hAnsi="Arial MT"/>
        </w:rPr>
        <w:t>apresentaram</w:t>
      </w:r>
      <w:r>
        <w:rPr>
          <w:rFonts w:ascii="Arial MT" w:hAnsi="Arial MT"/>
          <w:spacing w:val="-8"/>
        </w:rPr>
        <w:t xml:space="preserve"> </w:t>
      </w:r>
      <w:r>
        <w:rPr>
          <w:rFonts w:ascii="Arial MT" w:hAnsi="Arial MT"/>
        </w:rPr>
        <w:t>aumento de 26,1%, totalizando R$ 170,4 milhões, ante R$ 135,1 milhões registrados em 2024. Os principais componentes</w:t>
      </w:r>
      <w:r>
        <w:rPr>
          <w:rFonts w:ascii="Arial MT" w:hAnsi="Arial MT"/>
          <w:spacing w:val="-4"/>
        </w:rPr>
        <w:t xml:space="preserve"> </w:t>
      </w:r>
      <w:r>
        <w:rPr>
          <w:rFonts w:ascii="Arial MT" w:hAnsi="Arial MT"/>
        </w:rPr>
        <w:t>dessa</w:t>
      </w:r>
      <w:r>
        <w:rPr>
          <w:rFonts w:ascii="Arial MT" w:hAnsi="Arial MT"/>
          <w:spacing w:val="-4"/>
        </w:rPr>
        <w:t xml:space="preserve"> </w:t>
      </w:r>
      <w:r>
        <w:rPr>
          <w:rFonts w:ascii="Arial MT" w:hAnsi="Arial MT"/>
        </w:rPr>
        <w:t>linha</w:t>
      </w:r>
      <w:r>
        <w:rPr>
          <w:rFonts w:ascii="Arial MT" w:hAnsi="Arial MT"/>
          <w:spacing w:val="-2"/>
        </w:rPr>
        <w:t xml:space="preserve"> </w:t>
      </w:r>
      <w:r>
        <w:rPr>
          <w:rFonts w:ascii="Arial MT" w:hAnsi="Arial MT"/>
        </w:rPr>
        <w:t>são</w:t>
      </w:r>
      <w:r>
        <w:rPr>
          <w:rFonts w:ascii="Arial MT" w:hAnsi="Arial MT"/>
          <w:spacing w:val="-4"/>
        </w:rPr>
        <w:t xml:space="preserve"> </w:t>
      </w:r>
      <w:r>
        <w:rPr>
          <w:rFonts w:ascii="Arial MT" w:hAnsi="Arial MT"/>
        </w:rPr>
        <w:t>os</w:t>
      </w:r>
      <w:r>
        <w:rPr>
          <w:rFonts w:ascii="Arial MT" w:hAnsi="Arial MT"/>
          <w:spacing w:val="-6"/>
        </w:rPr>
        <w:t xml:space="preserve"> </w:t>
      </w:r>
      <w:r>
        <w:rPr>
          <w:rFonts w:ascii="Arial MT" w:hAnsi="Arial MT"/>
        </w:rPr>
        <w:t>custos</w:t>
      </w:r>
      <w:r>
        <w:rPr>
          <w:rFonts w:ascii="Arial MT" w:hAnsi="Arial MT"/>
          <w:spacing w:val="-6"/>
        </w:rPr>
        <w:t xml:space="preserve"> </w:t>
      </w:r>
      <w:r>
        <w:rPr>
          <w:rFonts w:ascii="Arial MT" w:hAnsi="Arial MT"/>
        </w:rPr>
        <w:t>com</w:t>
      </w:r>
      <w:r>
        <w:rPr>
          <w:rFonts w:ascii="Arial MT" w:hAnsi="Arial MT"/>
          <w:spacing w:val="-3"/>
        </w:rPr>
        <w:t xml:space="preserve"> </w:t>
      </w:r>
      <w:r>
        <w:rPr>
          <w:rFonts w:ascii="Arial MT" w:hAnsi="Arial MT"/>
        </w:rPr>
        <w:t>Exploração</w:t>
      </w:r>
      <w:r>
        <w:rPr>
          <w:rFonts w:ascii="Arial MT" w:hAnsi="Arial MT"/>
          <w:spacing w:val="-4"/>
        </w:rPr>
        <w:t xml:space="preserve"> </w:t>
      </w:r>
      <w:r>
        <w:rPr>
          <w:rFonts w:ascii="Arial MT" w:hAnsi="Arial MT"/>
        </w:rPr>
        <w:t>Industrial</w:t>
      </w:r>
      <w:r>
        <w:rPr>
          <w:rFonts w:ascii="Arial MT" w:hAnsi="Arial MT"/>
          <w:spacing w:val="-3"/>
        </w:rPr>
        <w:t xml:space="preserve"> </w:t>
      </w:r>
      <w:r>
        <w:rPr>
          <w:rFonts w:ascii="Arial MT" w:hAnsi="Arial MT"/>
        </w:rPr>
        <w:t>de</w:t>
      </w:r>
      <w:r>
        <w:rPr>
          <w:rFonts w:ascii="Arial MT" w:hAnsi="Arial MT"/>
          <w:spacing w:val="-4"/>
        </w:rPr>
        <w:t xml:space="preserve"> </w:t>
      </w:r>
      <w:r>
        <w:rPr>
          <w:rFonts w:ascii="Arial MT" w:hAnsi="Arial MT"/>
        </w:rPr>
        <w:t>Linha</w:t>
      </w:r>
      <w:r>
        <w:rPr>
          <w:rFonts w:ascii="Arial MT" w:hAnsi="Arial MT"/>
          <w:spacing w:val="-2"/>
        </w:rPr>
        <w:t xml:space="preserve"> </w:t>
      </w:r>
      <w:r>
        <w:rPr>
          <w:rFonts w:ascii="Arial MT" w:hAnsi="Arial MT"/>
        </w:rPr>
        <w:t>Dedicada</w:t>
      </w:r>
      <w:r>
        <w:rPr>
          <w:rFonts w:ascii="Arial MT" w:hAnsi="Arial MT"/>
          <w:spacing w:val="-4"/>
        </w:rPr>
        <w:t xml:space="preserve"> </w:t>
      </w:r>
      <w:r>
        <w:rPr>
          <w:rFonts w:ascii="Arial MT" w:hAnsi="Arial MT"/>
        </w:rPr>
        <w:t>(EILD –</w:t>
      </w:r>
      <w:r>
        <w:rPr>
          <w:rFonts w:ascii="Arial MT" w:hAnsi="Arial MT"/>
          <w:spacing w:val="-4"/>
        </w:rPr>
        <w:t xml:space="preserve"> </w:t>
      </w:r>
      <w:r>
        <w:rPr>
          <w:rFonts w:ascii="Arial MT" w:hAnsi="Arial MT"/>
        </w:rPr>
        <w:t>última</w:t>
      </w:r>
      <w:r>
        <w:rPr>
          <w:rFonts w:ascii="Arial MT" w:hAnsi="Arial MT"/>
          <w:spacing w:val="-4"/>
        </w:rPr>
        <w:t xml:space="preserve"> </w:t>
      </w:r>
      <w:r>
        <w:rPr>
          <w:rFonts w:ascii="Arial MT" w:hAnsi="Arial MT"/>
        </w:rPr>
        <w:t>milha) e com Backbone, que registraram elevações de 35,8% e 0,5%, respectivamente, na comparação anual. O aumento de 35,8% nos custos de EILD reflete a contratação de serviços conexão satelital para atender às demandas de serviços da Telebras.</w:t>
      </w:r>
    </w:p>
    <w:p w14:paraId="54F2F8CB" w14:textId="77777777" w:rsidR="002C6574" w:rsidRDefault="002C6574">
      <w:pPr>
        <w:pStyle w:val="Corpodetexto"/>
        <w:spacing w:before="37"/>
        <w:rPr>
          <w:rFonts w:ascii="Arial MT"/>
        </w:rPr>
      </w:pPr>
    </w:p>
    <w:p w14:paraId="083F690E" w14:textId="77777777" w:rsidR="002C6574" w:rsidRDefault="00000000">
      <w:pPr>
        <w:pStyle w:val="Corpodetexto"/>
        <w:spacing w:line="276" w:lineRule="auto"/>
        <w:ind w:left="427" w:right="138"/>
        <w:jc w:val="both"/>
        <w:rPr>
          <w:rFonts w:ascii="Arial MT" w:hAnsi="Arial MT"/>
        </w:rPr>
      </w:pPr>
      <w:r>
        <w:rPr>
          <w:rFonts w:ascii="Arial MT" w:hAnsi="Arial MT"/>
        </w:rPr>
        <w:t>Adicionalmente, contribuiu para o crescimento desses custos o reconhecimento da taxa de instalação de meios</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conexão, no</w:t>
      </w:r>
      <w:r>
        <w:rPr>
          <w:rFonts w:ascii="Arial MT" w:hAnsi="Arial MT"/>
          <w:spacing w:val="-1"/>
        </w:rPr>
        <w:t xml:space="preserve"> </w:t>
      </w:r>
      <w:r>
        <w:rPr>
          <w:rFonts w:ascii="Arial MT" w:hAnsi="Arial MT"/>
        </w:rPr>
        <w:t>valor de</w:t>
      </w:r>
      <w:r>
        <w:rPr>
          <w:rFonts w:ascii="Arial MT" w:hAnsi="Arial MT"/>
          <w:spacing w:val="-1"/>
        </w:rPr>
        <w:t xml:space="preserve"> </w:t>
      </w:r>
      <w:r>
        <w:rPr>
          <w:rFonts w:ascii="Arial MT" w:hAnsi="Arial MT"/>
        </w:rPr>
        <w:t>R$</w:t>
      </w:r>
      <w:r>
        <w:rPr>
          <w:rFonts w:ascii="Arial MT" w:hAnsi="Arial MT"/>
          <w:spacing w:val="-1"/>
        </w:rPr>
        <w:t xml:space="preserve"> </w:t>
      </w:r>
      <w:r>
        <w:rPr>
          <w:rFonts w:ascii="Arial MT" w:hAnsi="Arial MT"/>
        </w:rPr>
        <w:t>12,8</w:t>
      </w:r>
      <w:r>
        <w:rPr>
          <w:rFonts w:ascii="Arial MT" w:hAnsi="Arial MT"/>
          <w:spacing w:val="-1"/>
        </w:rPr>
        <w:t xml:space="preserve"> </w:t>
      </w:r>
      <w:r>
        <w:rPr>
          <w:rFonts w:ascii="Arial MT" w:hAnsi="Arial MT"/>
        </w:rPr>
        <w:t>milhões,</w:t>
      </w:r>
      <w:r>
        <w:rPr>
          <w:rFonts w:ascii="Arial MT" w:hAnsi="Arial MT"/>
          <w:spacing w:val="-2"/>
        </w:rPr>
        <w:t xml:space="preserve"> </w:t>
      </w:r>
      <w:r>
        <w:rPr>
          <w:rFonts w:ascii="Arial MT" w:hAnsi="Arial MT"/>
        </w:rPr>
        <w:t>relacionada</w:t>
      </w:r>
      <w:r>
        <w:rPr>
          <w:rFonts w:ascii="Arial MT" w:hAnsi="Arial MT"/>
          <w:spacing w:val="-1"/>
        </w:rPr>
        <w:t xml:space="preserve"> </w:t>
      </w:r>
      <w:r>
        <w:rPr>
          <w:rFonts w:ascii="Arial MT" w:hAnsi="Arial MT"/>
        </w:rPr>
        <w:t>ao</w:t>
      </w:r>
      <w:r>
        <w:rPr>
          <w:rFonts w:ascii="Arial MT" w:hAnsi="Arial MT"/>
          <w:spacing w:val="-1"/>
        </w:rPr>
        <w:t xml:space="preserve"> </w:t>
      </w:r>
      <w:r>
        <w:rPr>
          <w:rFonts w:ascii="Arial MT" w:hAnsi="Arial MT"/>
        </w:rPr>
        <w:t>contrato de</w:t>
      </w:r>
      <w:r>
        <w:rPr>
          <w:rFonts w:ascii="Arial MT" w:hAnsi="Arial MT"/>
          <w:spacing w:val="-1"/>
        </w:rPr>
        <w:t xml:space="preserve"> </w:t>
      </w:r>
      <w:r>
        <w:rPr>
          <w:rFonts w:ascii="Arial MT" w:hAnsi="Arial MT"/>
        </w:rPr>
        <w:t>swap</w:t>
      </w:r>
      <w:r>
        <w:rPr>
          <w:rFonts w:ascii="Arial MT" w:hAnsi="Arial MT"/>
          <w:spacing w:val="-1"/>
        </w:rPr>
        <w:t xml:space="preserve"> </w:t>
      </w:r>
      <w:r>
        <w:rPr>
          <w:rFonts w:ascii="Arial MT" w:hAnsi="Arial MT"/>
        </w:rPr>
        <w:t>firmado</w:t>
      </w:r>
      <w:r>
        <w:rPr>
          <w:rFonts w:ascii="Arial MT" w:hAnsi="Arial MT"/>
          <w:spacing w:val="-3"/>
        </w:rPr>
        <w:t xml:space="preserve"> </w:t>
      </w:r>
      <w:r>
        <w:rPr>
          <w:rFonts w:ascii="Arial MT" w:hAnsi="Arial MT"/>
        </w:rPr>
        <w:t>com a</w:t>
      </w:r>
      <w:r>
        <w:rPr>
          <w:rFonts w:ascii="Arial MT" w:hAnsi="Arial MT"/>
          <w:spacing w:val="-1"/>
        </w:rPr>
        <w:t xml:space="preserve"> </w:t>
      </w:r>
      <w:r>
        <w:rPr>
          <w:rFonts w:ascii="Arial MT" w:hAnsi="Arial MT"/>
        </w:rPr>
        <w:t xml:space="preserve">operadora </w:t>
      </w:r>
      <w:r>
        <w:rPr>
          <w:rFonts w:ascii="Arial MT" w:hAnsi="Arial MT"/>
          <w:spacing w:val="-4"/>
        </w:rPr>
        <w:t>TIM.</w:t>
      </w:r>
    </w:p>
    <w:p w14:paraId="03ADE162" w14:textId="77777777" w:rsidR="002C6574" w:rsidRDefault="002C6574">
      <w:pPr>
        <w:pStyle w:val="Corpodetexto"/>
        <w:spacing w:before="38"/>
        <w:rPr>
          <w:rFonts w:ascii="Arial MT"/>
        </w:rPr>
      </w:pPr>
    </w:p>
    <w:p w14:paraId="40AC0EEB" w14:textId="77777777" w:rsidR="002C6574" w:rsidRDefault="00000000">
      <w:pPr>
        <w:pStyle w:val="Corpodetexto"/>
        <w:spacing w:line="276" w:lineRule="auto"/>
        <w:ind w:left="427" w:right="135"/>
        <w:jc w:val="both"/>
        <w:rPr>
          <w:rFonts w:ascii="Arial MT" w:hAnsi="Arial MT"/>
        </w:rPr>
      </w:pPr>
      <w:r>
        <w:rPr>
          <w:rFonts w:ascii="Arial MT" w:hAnsi="Arial MT"/>
        </w:rPr>
        <w:t>De modo geral, o comportamento dessa linha evidencia sobretudo o aumento dos gastos associados ao acesso de última milha — que representa parcela significativa dos custos operacionais da companhia — enquanto os custos de Backbone permaneceram relativamente estáveis ao longo do período.</w:t>
      </w:r>
    </w:p>
    <w:p w14:paraId="23C52E8E" w14:textId="77777777" w:rsidR="002C6574" w:rsidRDefault="002C6574">
      <w:pPr>
        <w:pStyle w:val="Corpodetexto"/>
        <w:spacing w:before="39"/>
        <w:rPr>
          <w:rFonts w:ascii="Arial MT"/>
        </w:rPr>
      </w:pPr>
    </w:p>
    <w:p w14:paraId="5E97C79D" w14:textId="77777777" w:rsidR="002C6574" w:rsidRDefault="00000000">
      <w:pPr>
        <w:pStyle w:val="Corpodetexto"/>
        <w:spacing w:line="276" w:lineRule="auto"/>
        <w:ind w:left="427"/>
        <w:rPr>
          <w:rFonts w:ascii="Arial MT" w:hAnsi="Arial MT"/>
        </w:rPr>
      </w:pPr>
      <w:r>
        <w:rPr>
          <w:rFonts w:ascii="Arial" w:hAnsi="Arial"/>
          <w:b/>
        </w:rPr>
        <w:t>P</w:t>
      </w:r>
      <w:r>
        <w:rPr>
          <w:rFonts w:ascii="Arial" w:hAnsi="Arial"/>
          <w:b/>
          <w:sz w:val="18"/>
        </w:rPr>
        <w:t>ESSOAL</w:t>
      </w:r>
      <w:r>
        <w:rPr>
          <w:rFonts w:ascii="Arial" w:hAnsi="Arial"/>
          <w:b/>
        </w:rPr>
        <w:t xml:space="preserve">: </w:t>
      </w:r>
      <w:r>
        <w:rPr>
          <w:rFonts w:ascii="Arial MT" w:hAnsi="Arial MT"/>
        </w:rPr>
        <w:t>E</w:t>
      </w:r>
      <w:r>
        <w:rPr>
          <w:rFonts w:ascii="Arial MT" w:hAnsi="Arial MT"/>
          <w:sz w:val="18"/>
        </w:rPr>
        <w:t xml:space="preserve">M </w:t>
      </w:r>
      <w:r>
        <w:rPr>
          <w:rFonts w:ascii="Arial MT" w:hAnsi="Arial MT"/>
        </w:rPr>
        <w:t xml:space="preserve">2025, </w:t>
      </w:r>
      <w:r>
        <w:rPr>
          <w:rFonts w:ascii="Arial MT" w:hAnsi="Arial MT"/>
          <w:sz w:val="18"/>
        </w:rPr>
        <w:t>O</w:t>
      </w:r>
      <w:r>
        <w:rPr>
          <w:rFonts w:ascii="Arial MT" w:hAnsi="Arial MT"/>
        </w:rPr>
        <w:t>s custos e despesas com Pessoal apresentaram um aumento de 7,5% em 2025, em relação</w:t>
      </w:r>
      <w:r>
        <w:rPr>
          <w:rFonts w:ascii="Arial MT" w:hAnsi="Arial MT"/>
          <w:spacing w:val="-1"/>
        </w:rPr>
        <w:t xml:space="preserve"> </w:t>
      </w:r>
      <w:r>
        <w:rPr>
          <w:rFonts w:ascii="Arial MT" w:hAnsi="Arial MT"/>
        </w:rPr>
        <w:t>ao</w:t>
      </w:r>
      <w:r>
        <w:rPr>
          <w:rFonts w:ascii="Arial MT" w:hAnsi="Arial MT"/>
          <w:spacing w:val="2"/>
        </w:rPr>
        <w:t xml:space="preserve"> </w:t>
      </w:r>
      <w:r>
        <w:rPr>
          <w:rFonts w:ascii="Arial MT" w:hAnsi="Arial MT"/>
        </w:rPr>
        <w:t>mesmo</w:t>
      </w:r>
      <w:r>
        <w:rPr>
          <w:rFonts w:ascii="Arial MT" w:hAnsi="Arial MT"/>
          <w:spacing w:val="2"/>
        </w:rPr>
        <w:t xml:space="preserve"> </w:t>
      </w:r>
      <w:r>
        <w:rPr>
          <w:rFonts w:ascii="Arial MT" w:hAnsi="Arial MT"/>
        </w:rPr>
        <w:t>período</w:t>
      </w:r>
      <w:r>
        <w:rPr>
          <w:rFonts w:ascii="Arial MT" w:hAnsi="Arial MT"/>
          <w:spacing w:val="1"/>
        </w:rPr>
        <w:t xml:space="preserve"> </w:t>
      </w:r>
      <w:r>
        <w:rPr>
          <w:rFonts w:ascii="Arial MT" w:hAnsi="Arial MT"/>
        </w:rPr>
        <w:t>do</w:t>
      </w:r>
      <w:r>
        <w:rPr>
          <w:rFonts w:ascii="Arial MT" w:hAnsi="Arial MT"/>
          <w:spacing w:val="2"/>
        </w:rPr>
        <w:t xml:space="preserve"> </w:t>
      </w:r>
      <w:r>
        <w:rPr>
          <w:rFonts w:ascii="Arial MT" w:hAnsi="Arial MT"/>
        </w:rPr>
        <w:t>ano</w:t>
      </w:r>
      <w:r>
        <w:rPr>
          <w:rFonts w:ascii="Arial MT" w:hAnsi="Arial MT"/>
          <w:spacing w:val="2"/>
        </w:rPr>
        <w:t xml:space="preserve"> </w:t>
      </w:r>
      <w:r>
        <w:rPr>
          <w:rFonts w:ascii="Arial MT" w:hAnsi="Arial MT"/>
        </w:rPr>
        <w:t>anterior.</w:t>
      </w:r>
      <w:r>
        <w:rPr>
          <w:rFonts w:ascii="Arial MT" w:hAnsi="Arial MT"/>
          <w:spacing w:val="3"/>
        </w:rPr>
        <w:t xml:space="preserve"> </w:t>
      </w:r>
      <w:r>
        <w:rPr>
          <w:rFonts w:ascii="Arial MT" w:hAnsi="Arial MT"/>
        </w:rPr>
        <w:t>Esse acréscimo resulta,</w:t>
      </w:r>
      <w:r>
        <w:rPr>
          <w:rFonts w:ascii="Arial MT" w:hAnsi="Arial MT"/>
          <w:spacing w:val="3"/>
        </w:rPr>
        <w:t xml:space="preserve"> </w:t>
      </w:r>
      <w:r>
        <w:rPr>
          <w:rFonts w:ascii="Arial MT" w:hAnsi="Arial MT"/>
        </w:rPr>
        <w:t>principalmente,</w:t>
      </w:r>
      <w:r>
        <w:rPr>
          <w:rFonts w:ascii="Arial MT" w:hAnsi="Arial MT"/>
          <w:spacing w:val="3"/>
        </w:rPr>
        <w:t xml:space="preserve"> </w:t>
      </w:r>
      <w:r>
        <w:rPr>
          <w:rFonts w:ascii="Arial MT" w:hAnsi="Arial MT"/>
        </w:rPr>
        <w:t>dos seguintes</w:t>
      </w:r>
      <w:r>
        <w:rPr>
          <w:rFonts w:ascii="Arial MT" w:hAnsi="Arial MT"/>
          <w:spacing w:val="1"/>
        </w:rPr>
        <w:t xml:space="preserve"> </w:t>
      </w:r>
      <w:r>
        <w:rPr>
          <w:rFonts w:ascii="Arial MT" w:hAnsi="Arial MT"/>
          <w:spacing w:val="-2"/>
        </w:rPr>
        <w:t>fatores:</w:t>
      </w:r>
    </w:p>
    <w:p w14:paraId="7FD1BD8E" w14:textId="77777777" w:rsidR="002C6574" w:rsidRDefault="00000000">
      <w:pPr>
        <w:pStyle w:val="PargrafodaLista"/>
        <w:numPr>
          <w:ilvl w:val="0"/>
          <w:numId w:val="5"/>
        </w:numPr>
        <w:tabs>
          <w:tab w:val="left" w:pos="597"/>
        </w:tabs>
        <w:spacing w:line="252" w:lineRule="exact"/>
        <w:ind w:left="597" w:hanging="170"/>
        <w:rPr>
          <w:rFonts w:ascii="Arial MT" w:hAnsi="Arial MT"/>
        </w:rPr>
      </w:pPr>
      <w:r>
        <w:rPr>
          <w:rFonts w:ascii="Arial MT" w:hAnsi="Arial MT"/>
          <w:spacing w:val="-2"/>
        </w:rPr>
        <w:t>concessão</w:t>
      </w:r>
      <w:r>
        <w:rPr>
          <w:rFonts w:ascii="Arial MT" w:hAnsi="Arial MT"/>
          <w:spacing w:val="-10"/>
        </w:rPr>
        <w:t xml:space="preserve"> </w:t>
      </w:r>
      <w:r>
        <w:rPr>
          <w:rFonts w:ascii="Arial MT" w:hAnsi="Arial MT"/>
          <w:spacing w:val="-2"/>
        </w:rPr>
        <w:t>de</w:t>
      </w:r>
      <w:r>
        <w:rPr>
          <w:rFonts w:ascii="Arial MT" w:hAnsi="Arial MT"/>
          <w:spacing w:val="-6"/>
        </w:rPr>
        <w:t xml:space="preserve"> </w:t>
      </w:r>
      <w:r>
        <w:rPr>
          <w:rFonts w:ascii="Arial MT" w:hAnsi="Arial MT"/>
          <w:spacing w:val="-2"/>
        </w:rPr>
        <w:t>promoções</w:t>
      </w:r>
      <w:r>
        <w:rPr>
          <w:rFonts w:ascii="Arial MT" w:hAnsi="Arial MT"/>
          <w:spacing w:val="-4"/>
        </w:rPr>
        <w:t xml:space="preserve"> </w:t>
      </w:r>
      <w:r>
        <w:rPr>
          <w:rFonts w:ascii="Arial MT" w:hAnsi="Arial MT"/>
          <w:spacing w:val="-2"/>
        </w:rPr>
        <w:t>decorrentes</w:t>
      </w:r>
      <w:r>
        <w:rPr>
          <w:rFonts w:ascii="Arial MT" w:hAnsi="Arial MT"/>
          <w:spacing w:val="-8"/>
        </w:rPr>
        <w:t xml:space="preserve"> </w:t>
      </w:r>
      <w:r>
        <w:rPr>
          <w:rFonts w:ascii="Arial MT" w:hAnsi="Arial MT"/>
          <w:spacing w:val="-2"/>
        </w:rPr>
        <w:t>do</w:t>
      </w:r>
      <w:r>
        <w:rPr>
          <w:rFonts w:ascii="Arial MT" w:hAnsi="Arial MT"/>
          <w:spacing w:val="-5"/>
        </w:rPr>
        <w:t xml:space="preserve"> </w:t>
      </w:r>
      <w:r>
        <w:rPr>
          <w:rFonts w:ascii="Arial MT" w:hAnsi="Arial MT"/>
          <w:spacing w:val="-2"/>
        </w:rPr>
        <w:t>processo</w:t>
      </w:r>
      <w:r>
        <w:rPr>
          <w:rFonts w:ascii="Arial MT" w:hAnsi="Arial MT"/>
          <w:spacing w:val="-5"/>
        </w:rPr>
        <w:t xml:space="preserve"> </w:t>
      </w:r>
      <w:r>
        <w:rPr>
          <w:rFonts w:ascii="Arial MT" w:hAnsi="Arial MT"/>
          <w:spacing w:val="-2"/>
        </w:rPr>
        <w:t>anual</w:t>
      </w:r>
      <w:r>
        <w:rPr>
          <w:rFonts w:ascii="Arial MT" w:hAnsi="Arial MT"/>
          <w:spacing w:val="-6"/>
        </w:rPr>
        <w:t xml:space="preserve"> </w:t>
      </w:r>
      <w:r>
        <w:rPr>
          <w:rFonts w:ascii="Arial MT" w:hAnsi="Arial MT"/>
          <w:spacing w:val="-2"/>
        </w:rPr>
        <w:t>de</w:t>
      </w:r>
      <w:r>
        <w:rPr>
          <w:rFonts w:ascii="Arial MT" w:hAnsi="Arial MT"/>
          <w:spacing w:val="-5"/>
        </w:rPr>
        <w:t xml:space="preserve"> </w:t>
      </w:r>
      <w:r>
        <w:rPr>
          <w:rFonts w:ascii="Arial MT" w:hAnsi="Arial MT"/>
          <w:spacing w:val="-2"/>
        </w:rPr>
        <w:t>avaliação</w:t>
      </w:r>
      <w:r>
        <w:rPr>
          <w:rFonts w:ascii="Arial MT" w:hAnsi="Arial MT"/>
          <w:spacing w:val="-6"/>
        </w:rPr>
        <w:t xml:space="preserve"> </w:t>
      </w:r>
      <w:r>
        <w:rPr>
          <w:rFonts w:ascii="Arial MT" w:hAnsi="Arial MT"/>
          <w:spacing w:val="-2"/>
        </w:rPr>
        <w:t>de</w:t>
      </w:r>
      <w:r>
        <w:rPr>
          <w:rFonts w:ascii="Arial MT" w:hAnsi="Arial MT"/>
          <w:spacing w:val="-11"/>
        </w:rPr>
        <w:t xml:space="preserve"> </w:t>
      </w:r>
      <w:r>
        <w:rPr>
          <w:rFonts w:ascii="Arial MT" w:hAnsi="Arial MT"/>
          <w:spacing w:val="-2"/>
        </w:rPr>
        <w:t>desempenho</w:t>
      </w:r>
      <w:r>
        <w:rPr>
          <w:rFonts w:ascii="Arial MT" w:hAnsi="Arial MT"/>
          <w:spacing w:val="-5"/>
        </w:rPr>
        <w:t xml:space="preserve"> </w:t>
      </w:r>
      <w:r>
        <w:rPr>
          <w:rFonts w:ascii="Arial MT" w:hAnsi="Arial MT"/>
          <w:spacing w:val="-2"/>
        </w:rPr>
        <w:t>dos</w:t>
      </w:r>
      <w:r>
        <w:rPr>
          <w:rFonts w:ascii="Arial MT" w:hAnsi="Arial MT"/>
          <w:spacing w:val="-4"/>
        </w:rPr>
        <w:t xml:space="preserve"> </w:t>
      </w:r>
      <w:r>
        <w:rPr>
          <w:rFonts w:ascii="Arial MT" w:hAnsi="Arial MT"/>
          <w:spacing w:val="-2"/>
        </w:rPr>
        <w:t>colaboradores;</w:t>
      </w:r>
    </w:p>
    <w:p w14:paraId="2C61E387" w14:textId="77777777" w:rsidR="002C6574" w:rsidRDefault="00000000">
      <w:pPr>
        <w:pStyle w:val="PargrafodaLista"/>
        <w:numPr>
          <w:ilvl w:val="0"/>
          <w:numId w:val="5"/>
        </w:numPr>
        <w:tabs>
          <w:tab w:val="left" w:pos="683"/>
        </w:tabs>
        <w:spacing w:before="40" w:line="276" w:lineRule="auto"/>
        <w:ind w:left="427" w:right="136" w:firstLine="0"/>
        <w:rPr>
          <w:rFonts w:ascii="Arial MT" w:hAnsi="Arial MT"/>
        </w:rPr>
      </w:pPr>
      <w:r>
        <w:rPr>
          <w:rFonts w:ascii="Arial MT" w:hAnsi="Arial MT"/>
        </w:rPr>
        <w:t>reposição das perdas salariais</w:t>
      </w:r>
      <w:r>
        <w:rPr>
          <w:rFonts w:ascii="Arial MT" w:hAnsi="Arial MT"/>
          <w:spacing w:val="25"/>
        </w:rPr>
        <w:t xml:space="preserve"> </w:t>
      </w:r>
      <w:r>
        <w:rPr>
          <w:rFonts w:ascii="Arial MT" w:hAnsi="Arial MT"/>
        </w:rPr>
        <w:t>estabelecida pelo</w:t>
      </w:r>
      <w:r>
        <w:rPr>
          <w:rFonts w:ascii="Arial MT" w:hAnsi="Arial MT"/>
          <w:spacing w:val="25"/>
        </w:rPr>
        <w:t xml:space="preserve"> </w:t>
      </w:r>
      <w:r>
        <w:rPr>
          <w:rFonts w:ascii="Arial MT" w:hAnsi="Arial MT"/>
        </w:rPr>
        <w:t>acordo coletivo</w:t>
      </w:r>
      <w:r>
        <w:rPr>
          <w:rFonts w:ascii="Arial MT" w:hAnsi="Arial MT"/>
          <w:spacing w:val="25"/>
        </w:rPr>
        <w:t xml:space="preserve"> </w:t>
      </w:r>
      <w:r>
        <w:rPr>
          <w:rFonts w:ascii="Arial MT" w:hAnsi="Arial MT"/>
        </w:rPr>
        <w:t>vigente;</w:t>
      </w:r>
      <w:r>
        <w:rPr>
          <w:rFonts w:ascii="Arial MT" w:hAnsi="Arial MT"/>
          <w:spacing w:val="29"/>
        </w:rPr>
        <w:t xml:space="preserve"> </w:t>
      </w:r>
      <w:r>
        <w:rPr>
          <w:rFonts w:ascii="Arial MT" w:hAnsi="Arial MT"/>
        </w:rPr>
        <w:t>e</w:t>
      </w:r>
      <w:r>
        <w:rPr>
          <w:rFonts w:ascii="Arial MT" w:hAnsi="Arial MT"/>
          <w:spacing w:val="25"/>
        </w:rPr>
        <w:t xml:space="preserve"> </w:t>
      </w:r>
      <w:r>
        <w:rPr>
          <w:rFonts w:ascii="Arial MT" w:hAnsi="Arial MT"/>
        </w:rPr>
        <w:t>iii)</w:t>
      </w:r>
      <w:r>
        <w:rPr>
          <w:rFonts w:ascii="Arial MT" w:hAnsi="Arial MT"/>
          <w:spacing w:val="26"/>
        </w:rPr>
        <w:t xml:space="preserve"> </w:t>
      </w:r>
      <w:r>
        <w:rPr>
          <w:rFonts w:ascii="Arial MT" w:hAnsi="Arial MT"/>
        </w:rPr>
        <w:t>aumento do quadro</w:t>
      </w:r>
      <w:r>
        <w:rPr>
          <w:rFonts w:ascii="Arial MT" w:hAnsi="Arial MT"/>
          <w:spacing w:val="25"/>
        </w:rPr>
        <w:t xml:space="preserve"> </w:t>
      </w:r>
      <w:r>
        <w:rPr>
          <w:rFonts w:ascii="Arial MT" w:hAnsi="Arial MT"/>
        </w:rPr>
        <w:t xml:space="preserve">de </w:t>
      </w:r>
      <w:r>
        <w:rPr>
          <w:rFonts w:ascii="Arial MT" w:hAnsi="Arial MT"/>
          <w:spacing w:val="-2"/>
        </w:rPr>
        <w:t>colaboradores.</w:t>
      </w:r>
    </w:p>
    <w:p w14:paraId="42627E18" w14:textId="77777777" w:rsidR="002C6574" w:rsidRDefault="00000000">
      <w:pPr>
        <w:pStyle w:val="Corpodetexto"/>
        <w:spacing w:before="250" w:line="276" w:lineRule="auto"/>
        <w:ind w:left="427" w:right="135"/>
        <w:jc w:val="both"/>
        <w:rPr>
          <w:rFonts w:ascii="Arial MT" w:hAnsi="Arial MT"/>
        </w:rPr>
      </w:pPr>
      <w:r>
        <w:rPr>
          <w:rFonts w:ascii="Arial" w:hAnsi="Arial"/>
          <w:b/>
          <w:smallCaps/>
        </w:rPr>
        <w:t xml:space="preserve">Serviços de Terceiros: </w:t>
      </w:r>
      <w:r>
        <w:rPr>
          <w:rFonts w:ascii="Arial MT" w:hAnsi="Arial MT"/>
        </w:rPr>
        <w:t>Os custos e despesas com Serviços de Terceiros apresentaram redução de 11,9%</w:t>
      </w:r>
      <w:r>
        <w:rPr>
          <w:rFonts w:ascii="Arial MT" w:hAnsi="Arial MT"/>
          <w:spacing w:val="-8"/>
        </w:rPr>
        <w:t xml:space="preserve"> </w:t>
      </w:r>
      <w:r>
        <w:rPr>
          <w:rFonts w:ascii="Arial MT" w:hAnsi="Arial MT"/>
        </w:rPr>
        <w:t>em</w:t>
      </w:r>
      <w:r>
        <w:rPr>
          <w:rFonts w:ascii="Arial MT" w:hAnsi="Arial MT"/>
          <w:spacing w:val="-8"/>
        </w:rPr>
        <w:t xml:space="preserve"> </w:t>
      </w:r>
      <w:r>
        <w:rPr>
          <w:rFonts w:ascii="Arial MT" w:hAnsi="Arial MT"/>
        </w:rPr>
        <w:t>2025,</w:t>
      </w:r>
      <w:r>
        <w:rPr>
          <w:rFonts w:ascii="Arial MT" w:hAnsi="Arial MT"/>
          <w:spacing w:val="-7"/>
        </w:rPr>
        <w:t xml:space="preserve"> </w:t>
      </w:r>
      <w:r>
        <w:rPr>
          <w:rFonts w:ascii="Arial MT" w:hAnsi="Arial MT"/>
        </w:rPr>
        <w:t>quando</w:t>
      </w:r>
      <w:r>
        <w:rPr>
          <w:rFonts w:ascii="Arial MT" w:hAnsi="Arial MT"/>
          <w:spacing w:val="-12"/>
        </w:rPr>
        <w:t xml:space="preserve"> </w:t>
      </w:r>
      <w:r>
        <w:rPr>
          <w:rFonts w:ascii="Arial MT" w:hAnsi="Arial MT"/>
        </w:rPr>
        <w:t>comparados</w:t>
      </w:r>
      <w:r>
        <w:rPr>
          <w:rFonts w:ascii="Arial MT" w:hAnsi="Arial MT"/>
          <w:spacing w:val="-8"/>
        </w:rPr>
        <w:t xml:space="preserve"> </w:t>
      </w:r>
      <w:r>
        <w:rPr>
          <w:rFonts w:ascii="Arial MT" w:hAnsi="Arial MT"/>
        </w:rPr>
        <w:t>ao</w:t>
      </w:r>
      <w:r>
        <w:rPr>
          <w:rFonts w:ascii="Arial MT" w:hAnsi="Arial MT"/>
          <w:spacing w:val="-9"/>
        </w:rPr>
        <w:t xml:space="preserve"> </w:t>
      </w:r>
      <w:r>
        <w:rPr>
          <w:rFonts w:ascii="Arial MT" w:hAnsi="Arial MT"/>
        </w:rPr>
        <w:t>mesmo</w:t>
      </w:r>
      <w:r>
        <w:rPr>
          <w:rFonts w:ascii="Arial MT" w:hAnsi="Arial MT"/>
          <w:spacing w:val="-11"/>
        </w:rPr>
        <w:t xml:space="preserve"> </w:t>
      </w:r>
      <w:r>
        <w:rPr>
          <w:rFonts w:ascii="Arial MT" w:hAnsi="Arial MT"/>
        </w:rPr>
        <w:t>período</w:t>
      </w:r>
      <w:r>
        <w:rPr>
          <w:rFonts w:ascii="Arial MT" w:hAnsi="Arial MT"/>
          <w:spacing w:val="-9"/>
        </w:rPr>
        <w:t xml:space="preserve"> </w:t>
      </w:r>
      <w:r>
        <w:rPr>
          <w:rFonts w:ascii="Arial MT" w:hAnsi="Arial MT"/>
        </w:rPr>
        <w:t>de</w:t>
      </w:r>
      <w:r>
        <w:rPr>
          <w:rFonts w:ascii="Arial MT" w:hAnsi="Arial MT"/>
          <w:spacing w:val="-9"/>
        </w:rPr>
        <w:t xml:space="preserve"> </w:t>
      </w:r>
      <w:r>
        <w:rPr>
          <w:rFonts w:ascii="Arial MT" w:hAnsi="Arial MT"/>
        </w:rPr>
        <w:t>2024.</w:t>
      </w:r>
      <w:r>
        <w:rPr>
          <w:rFonts w:ascii="Arial MT" w:hAnsi="Arial MT"/>
          <w:spacing w:val="-7"/>
        </w:rPr>
        <w:t xml:space="preserve"> </w:t>
      </w:r>
      <w:r>
        <w:rPr>
          <w:rFonts w:ascii="Arial MT" w:hAnsi="Arial MT"/>
        </w:rPr>
        <w:t>Essa</w:t>
      </w:r>
      <w:r>
        <w:rPr>
          <w:rFonts w:ascii="Arial MT" w:hAnsi="Arial MT"/>
          <w:spacing w:val="-9"/>
        </w:rPr>
        <w:t xml:space="preserve"> </w:t>
      </w:r>
      <w:r>
        <w:rPr>
          <w:rFonts w:ascii="Arial MT" w:hAnsi="Arial MT"/>
        </w:rPr>
        <w:t>diminuição</w:t>
      </w:r>
      <w:r>
        <w:rPr>
          <w:rFonts w:ascii="Arial MT" w:hAnsi="Arial MT"/>
          <w:spacing w:val="-9"/>
        </w:rPr>
        <w:t xml:space="preserve"> </w:t>
      </w:r>
      <w:r>
        <w:rPr>
          <w:rFonts w:ascii="Arial MT" w:hAnsi="Arial MT"/>
        </w:rPr>
        <w:t>decorre,</w:t>
      </w:r>
      <w:r>
        <w:rPr>
          <w:rFonts w:ascii="Arial MT" w:hAnsi="Arial MT"/>
          <w:spacing w:val="-7"/>
        </w:rPr>
        <w:t xml:space="preserve"> </w:t>
      </w:r>
      <w:r>
        <w:rPr>
          <w:rFonts w:ascii="Arial MT" w:hAnsi="Arial MT"/>
        </w:rPr>
        <w:t>principalmente, da redução dos gastos relacionados à manutenção da planta terrestre e satelital, bem como da queda nos custos e despesas com manutenção de hardware e softwares vinculados às áreas de operação e administração. Tal movimento reflete, sobretudo, os efeitos do reconhecimento/reversão de provisões e do encerramento de contratos ao longo do exercício.</w:t>
      </w:r>
    </w:p>
    <w:p w14:paraId="578C4691" w14:textId="77777777" w:rsidR="002C6574" w:rsidRDefault="002C6574">
      <w:pPr>
        <w:pStyle w:val="Corpodetexto"/>
        <w:spacing w:before="40"/>
        <w:rPr>
          <w:rFonts w:ascii="Arial MT"/>
        </w:rPr>
      </w:pPr>
    </w:p>
    <w:p w14:paraId="3B7C1F70" w14:textId="77777777" w:rsidR="002C6574" w:rsidRDefault="00000000">
      <w:pPr>
        <w:pStyle w:val="Corpodetexto"/>
        <w:spacing w:line="276" w:lineRule="auto"/>
        <w:ind w:left="427" w:right="134"/>
        <w:jc w:val="both"/>
        <w:rPr>
          <w:rFonts w:ascii="Arial MT" w:hAnsi="Arial MT"/>
        </w:rPr>
      </w:pPr>
      <w:r>
        <w:rPr>
          <w:rFonts w:ascii="Arial" w:hAnsi="Arial"/>
          <w:b/>
          <w:smallCaps/>
        </w:rPr>
        <w:t xml:space="preserve">Aluguéis, Locações e Seguros: </w:t>
      </w:r>
      <w:r>
        <w:rPr>
          <w:rFonts w:ascii="Arial MT" w:hAnsi="Arial MT"/>
        </w:rPr>
        <w:t>A rubrica apresentou um aumento de 22,9% na comparação com o exercício de 2024. Esse crescimento decorre, principalmente da elevação dos custos de locação dos equipamentos</w:t>
      </w:r>
      <w:r>
        <w:rPr>
          <w:rFonts w:ascii="Arial MT" w:hAnsi="Arial MT"/>
          <w:spacing w:val="-6"/>
        </w:rPr>
        <w:t xml:space="preserve"> </w:t>
      </w:r>
      <w:r>
        <w:rPr>
          <w:rFonts w:ascii="Arial MT" w:hAnsi="Arial MT"/>
        </w:rPr>
        <w:t>para</w:t>
      </w:r>
      <w:r>
        <w:rPr>
          <w:rFonts w:ascii="Arial MT" w:hAnsi="Arial MT"/>
          <w:spacing w:val="-6"/>
        </w:rPr>
        <w:t xml:space="preserve"> </w:t>
      </w:r>
      <w:r>
        <w:rPr>
          <w:rFonts w:ascii="Arial MT" w:hAnsi="Arial MT"/>
        </w:rPr>
        <w:t>conexão</w:t>
      </w:r>
      <w:r>
        <w:rPr>
          <w:rFonts w:ascii="Arial MT" w:hAnsi="Arial MT"/>
          <w:spacing w:val="-7"/>
        </w:rPr>
        <w:t xml:space="preserve"> </w:t>
      </w:r>
      <w:r>
        <w:rPr>
          <w:rFonts w:ascii="Arial MT" w:hAnsi="Arial MT"/>
        </w:rPr>
        <w:t>e</w:t>
      </w:r>
      <w:r>
        <w:rPr>
          <w:rFonts w:ascii="Arial MT" w:hAnsi="Arial MT"/>
          <w:spacing w:val="-6"/>
        </w:rPr>
        <w:t xml:space="preserve"> </w:t>
      </w:r>
      <w:r>
        <w:rPr>
          <w:rFonts w:ascii="Arial MT" w:hAnsi="Arial MT"/>
        </w:rPr>
        <w:t>operação</w:t>
      </w:r>
      <w:r>
        <w:rPr>
          <w:rFonts w:ascii="Arial MT" w:hAnsi="Arial MT"/>
          <w:spacing w:val="-9"/>
        </w:rPr>
        <w:t xml:space="preserve"> </w:t>
      </w:r>
      <w:r>
        <w:rPr>
          <w:rFonts w:ascii="Arial MT" w:hAnsi="Arial MT"/>
        </w:rPr>
        <w:t>satelital</w:t>
      </w:r>
      <w:r>
        <w:rPr>
          <w:rFonts w:ascii="Arial MT" w:hAnsi="Arial MT"/>
          <w:spacing w:val="-6"/>
        </w:rPr>
        <w:t xml:space="preserve"> </w:t>
      </w:r>
      <w:r>
        <w:rPr>
          <w:rFonts w:ascii="Arial MT" w:hAnsi="Arial MT"/>
        </w:rPr>
        <w:t>registrados</w:t>
      </w:r>
      <w:r>
        <w:rPr>
          <w:rFonts w:ascii="Arial MT" w:hAnsi="Arial MT"/>
          <w:spacing w:val="-6"/>
        </w:rPr>
        <w:t xml:space="preserve"> </w:t>
      </w:r>
      <w:r>
        <w:rPr>
          <w:rFonts w:ascii="Arial MT" w:hAnsi="Arial MT"/>
        </w:rPr>
        <w:t>no</w:t>
      </w:r>
      <w:r>
        <w:rPr>
          <w:rFonts w:ascii="Arial MT" w:hAnsi="Arial MT"/>
          <w:spacing w:val="-7"/>
        </w:rPr>
        <w:t xml:space="preserve"> </w:t>
      </w:r>
      <w:r>
        <w:rPr>
          <w:rFonts w:ascii="Arial MT" w:hAnsi="Arial MT"/>
        </w:rPr>
        <w:t>período,</w:t>
      </w:r>
      <w:r>
        <w:rPr>
          <w:rFonts w:ascii="Arial MT" w:hAnsi="Arial MT"/>
          <w:spacing w:val="-5"/>
        </w:rPr>
        <w:t xml:space="preserve"> </w:t>
      </w:r>
      <w:r>
        <w:rPr>
          <w:rFonts w:ascii="Arial MT" w:hAnsi="Arial MT"/>
        </w:rPr>
        <w:t>em</w:t>
      </w:r>
      <w:r>
        <w:rPr>
          <w:rFonts w:ascii="Arial MT" w:hAnsi="Arial MT"/>
          <w:spacing w:val="-5"/>
        </w:rPr>
        <w:t xml:space="preserve"> </w:t>
      </w:r>
      <w:r>
        <w:rPr>
          <w:rFonts w:ascii="Arial MT" w:hAnsi="Arial MT"/>
        </w:rPr>
        <w:t>razão</w:t>
      </w:r>
      <w:r>
        <w:rPr>
          <w:rFonts w:ascii="Arial MT" w:hAnsi="Arial MT"/>
          <w:spacing w:val="-9"/>
        </w:rPr>
        <w:t xml:space="preserve"> </w:t>
      </w:r>
      <w:r>
        <w:rPr>
          <w:rFonts w:ascii="Arial MT" w:hAnsi="Arial MT"/>
        </w:rPr>
        <w:t>da</w:t>
      </w:r>
      <w:r>
        <w:rPr>
          <w:rFonts w:ascii="Arial MT" w:hAnsi="Arial MT"/>
          <w:spacing w:val="-7"/>
        </w:rPr>
        <w:t xml:space="preserve"> </w:t>
      </w:r>
      <w:r>
        <w:rPr>
          <w:rFonts w:ascii="Arial MT" w:hAnsi="Arial MT"/>
        </w:rPr>
        <w:t>contratação</w:t>
      </w:r>
      <w:r>
        <w:rPr>
          <w:rFonts w:ascii="Arial MT" w:hAnsi="Arial MT"/>
          <w:spacing w:val="-9"/>
        </w:rPr>
        <w:t xml:space="preserve"> </w:t>
      </w:r>
      <w:r>
        <w:rPr>
          <w:rFonts w:ascii="Arial MT" w:hAnsi="Arial MT"/>
        </w:rPr>
        <w:t>de</w:t>
      </w:r>
      <w:r>
        <w:rPr>
          <w:rFonts w:ascii="Arial MT" w:hAnsi="Arial MT"/>
          <w:spacing w:val="-7"/>
        </w:rPr>
        <w:t xml:space="preserve"> </w:t>
      </w:r>
      <w:r>
        <w:rPr>
          <w:rFonts w:ascii="Arial MT" w:hAnsi="Arial MT"/>
        </w:rPr>
        <w:t>outras operadoras de satélite para atendimento às demandas de serviços, além da Viasat.</w:t>
      </w:r>
    </w:p>
    <w:p w14:paraId="23CEE1B5" w14:textId="77777777" w:rsidR="002C6574" w:rsidRDefault="002C6574">
      <w:pPr>
        <w:pStyle w:val="Corpodetexto"/>
        <w:spacing w:line="276" w:lineRule="auto"/>
        <w:jc w:val="both"/>
        <w:rPr>
          <w:rFonts w:ascii="Arial MT" w:hAnsi="Arial MT"/>
        </w:rPr>
        <w:sectPr w:rsidR="002C6574">
          <w:pgSz w:w="11910" w:h="16840"/>
          <w:pgMar w:top="2200" w:right="425" w:bottom="1220" w:left="425" w:header="1197" w:footer="994" w:gutter="0"/>
          <w:cols w:space="720"/>
        </w:sectPr>
      </w:pPr>
    </w:p>
    <w:p w14:paraId="52B5A44F" w14:textId="77777777" w:rsidR="002C6574" w:rsidRDefault="002C6574">
      <w:pPr>
        <w:pStyle w:val="Corpodetexto"/>
        <w:spacing w:before="35"/>
        <w:rPr>
          <w:rFonts w:ascii="Arial MT"/>
          <w:sz w:val="19"/>
        </w:rPr>
      </w:pPr>
    </w:p>
    <w:p w14:paraId="1D6D5673" w14:textId="77777777" w:rsidR="002C6574" w:rsidRDefault="00000000">
      <w:pPr>
        <w:pStyle w:val="Ttulo8"/>
        <w:rPr>
          <w:rFonts w:ascii="Arial" w:hAnsi="Arial"/>
        </w:rPr>
      </w:pPr>
      <w:r>
        <w:rPr>
          <w:rFonts w:ascii="Arial" w:hAnsi="Arial"/>
          <w:noProof/>
        </w:rPr>
        <mc:AlternateContent>
          <mc:Choice Requires="wpg">
            <w:drawing>
              <wp:anchor distT="0" distB="0" distL="0" distR="0" simplePos="0" relativeHeight="15767552" behindDoc="0" locked="0" layoutInCell="1" allowOverlap="1" wp14:anchorId="44DCE1A6" wp14:editId="68C96B87">
                <wp:simplePos x="0" y="0"/>
                <wp:positionH relativeFrom="page">
                  <wp:posOffset>443483</wp:posOffset>
                </wp:positionH>
                <wp:positionV relativeFrom="paragraph">
                  <wp:posOffset>-165018</wp:posOffset>
                </wp:positionV>
                <wp:extent cx="6922134" cy="105410"/>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134" cy="105410"/>
                          <a:chOff x="0" y="0"/>
                          <a:chExt cx="6922134" cy="105410"/>
                        </a:xfrm>
                      </wpg:grpSpPr>
                      <pic:pic xmlns:pic="http://schemas.openxmlformats.org/drawingml/2006/picture">
                        <pic:nvPicPr>
                          <pic:cNvPr id="359" name="Image 359"/>
                          <pic:cNvPicPr/>
                        </pic:nvPicPr>
                        <pic:blipFill>
                          <a:blip r:embed="rId213" cstate="print"/>
                          <a:stretch>
                            <a:fillRect/>
                          </a:stretch>
                        </pic:blipFill>
                        <pic:spPr>
                          <a:xfrm>
                            <a:off x="0" y="0"/>
                            <a:ext cx="6922008" cy="105155"/>
                          </a:xfrm>
                          <a:prstGeom prst="rect">
                            <a:avLst/>
                          </a:prstGeom>
                        </pic:spPr>
                      </pic:pic>
                      <wps:wsp>
                        <wps:cNvPr id="360" name="Graphic 360"/>
                        <wps:cNvSpPr/>
                        <wps:spPr>
                          <a:xfrm>
                            <a:off x="42290" y="34925"/>
                            <a:ext cx="6829425" cy="1270"/>
                          </a:xfrm>
                          <a:custGeom>
                            <a:avLst/>
                            <a:gdLst/>
                            <a:ahLst/>
                            <a:cxnLst/>
                            <a:rect l="l" t="t" r="r" b="b"/>
                            <a:pathLst>
                              <a:path w="6829425">
                                <a:moveTo>
                                  <a:pt x="0" y="0"/>
                                </a:moveTo>
                                <a:lnTo>
                                  <a:pt x="6829425" y="0"/>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47A0CC37" id="Group 358" o:spid="_x0000_s1026" style="position:absolute;margin-left:34.9pt;margin-top:-13pt;width:545.05pt;height:8.3pt;z-index:15767552;mso-wrap-distance-left:0;mso-wrap-distance-right:0;mso-position-horizontal-relative:page" coordsize="69221,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">
                <v:shape id="Image 359" o:spid="_x0000_s1027" type="#_x0000_t75" style="position:absolute;width:692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">
                  <v:imagedata r:id="rId214" o:title=""/>
                </v:shape>
                <v:shape id="Graphic 360" o:spid="_x0000_s1028" style="position:absolute;left:422;top:349;width:68295;height:12;visibility:visible;mso-wrap-style:square;v-text-anchor:top" coordsize="682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" path="m,l6829425,e" filled="f" strokecolor="blue" strokeweight="2pt">
                  <v:path arrowok="t"/>
                </v:shape>
                <w10:wrap anchorx="page"/>
              </v:group>
            </w:pict>
          </mc:Fallback>
        </mc:AlternateContent>
      </w:r>
      <w:r>
        <w:rPr>
          <w:rFonts w:ascii="Arial" w:hAnsi="Arial"/>
          <w:smallCaps/>
          <w:u w:val="single"/>
        </w:rPr>
        <w:t>Depreciação</w:t>
      </w:r>
      <w:r>
        <w:rPr>
          <w:rFonts w:ascii="Arial" w:hAnsi="Arial"/>
          <w:smallCaps/>
          <w:spacing w:val="23"/>
          <w:u w:val="single"/>
        </w:rPr>
        <w:t xml:space="preserve"> </w:t>
      </w:r>
      <w:r>
        <w:rPr>
          <w:rFonts w:ascii="Arial" w:hAnsi="Arial"/>
          <w:smallCaps/>
          <w:u w:val="single"/>
        </w:rPr>
        <w:t>e</w:t>
      </w:r>
      <w:r>
        <w:rPr>
          <w:rFonts w:ascii="Arial" w:hAnsi="Arial"/>
          <w:smallCaps/>
          <w:spacing w:val="28"/>
          <w:u w:val="single"/>
        </w:rPr>
        <w:t xml:space="preserve"> </w:t>
      </w:r>
      <w:r>
        <w:rPr>
          <w:rFonts w:ascii="Arial" w:hAnsi="Arial"/>
          <w:smallCaps/>
          <w:spacing w:val="-2"/>
          <w:u w:val="single"/>
        </w:rPr>
        <w:t>Amortização</w:t>
      </w:r>
    </w:p>
    <w:p w14:paraId="069A34E6" w14:textId="77777777" w:rsidR="002C6574" w:rsidRDefault="002C6574">
      <w:pPr>
        <w:pStyle w:val="Corpodetexto"/>
        <w:spacing w:before="109"/>
        <w:rPr>
          <w:rFonts w:ascii="Arial"/>
          <w:b/>
          <w:sz w:val="16"/>
        </w:rPr>
      </w:pPr>
    </w:p>
    <w:p w14:paraId="64EC1B18" w14:textId="77777777" w:rsidR="002C6574" w:rsidRDefault="00000000">
      <w:pPr>
        <w:ind w:left="1793" w:right="1407"/>
        <w:jc w:val="center"/>
        <w:rPr>
          <w:rFonts w:ascii="Arial"/>
          <w:b/>
          <w:sz w:val="16"/>
        </w:rPr>
      </w:pPr>
      <w:r>
        <w:rPr>
          <w:rFonts w:ascii="Arial"/>
          <w:b/>
          <w:noProof/>
          <w:sz w:val="16"/>
        </w:rPr>
        <mc:AlternateContent>
          <mc:Choice Requires="wps">
            <w:drawing>
              <wp:anchor distT="0" distB="0" distL="0" distR="0" simplePos="0" relativeHeight="487623680" behindDoc="1" locked="0" layoutInCell="1" allowOverlap="1" wp14:anchorId="122F0C29" wp14:editId="31F24CDF">
                <wp:simplePos x="0" y="0"/>
                <wp:positionH relativeFrom="page">
                  <wp:posOffset>2480183</wp:posOffset>
                </wp:positionH>
                <wp:positionV relativeFrom="paragraph">
                  <wp:posOffset>129264</wp:posOffset>
                </wp:positionV>
                <wp:extent cx="2847340" cy="12700"/>
                <wp:effectExtent l="0" t="0" r="0" b="0"/>
                <wp:wrapTopAndBottom/>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7340" cy="12700"/>
                        </a:xfrm>
                        <a:custGeom>
                          <a:avLst/>
                          <a:gdLst/>
                          <a:ahLst/>
                          <a:cxnLst/>
                          <a:rect l="l" t="t" r="r" b="b"/>
                          <a:pathLst>
                            <a:path w="2847340" h="12700">
                              <a:moveTo>
                                <a:pt x="1870189" y="0"/>
                              </a:moveTo>
                              <a:lnTo>
                                <a:pt x="1870189" y="0"/>
                              </a:lnTo>
                              <a:lnTo>
                                <a:pt x="0" y="0"/>
                              </a:lnTo>
                              <a:lnTo>
                                <a:pt x="0" y="12192"/>
                              </a:lnTo>
                              <a:lnTo>
                                <a:pt x="1870189" y="12192"/>
                              </a:lnTo>
                              <a:lnTo>
                                <a:pt x="1870189" y="0"/>
                              </a:lnTo>
                              <a:close/>
                            </a:path>
                            <a:path w="2847340" h="12700">
                              <a:moveTo>
                                <a:pt x="1975345" y="0"/>
                              </a:moveTo>
                              <a:lnTo>
                                <a:pt x="1963166" y="0"/>
                              </a:lnTo>
                              <a:lnTo>
                                <a:pt x="1870202" y="0"/>
                              </a:lnTo>
                              <a:lnTo>
                                <a:pt x="1870202" y="12192"/>
                              </a:lnTo>
                              <a:lnTo>
                                <a:pt x="1963166" y="12192"/>
                              </a:lnTo>
                              <a:lnTo>
                                <a:pt x="1975345" y="12192"/>
                              </a:lnTo>
                              <a:lnTo>
                                <a:pt x="1975345" y="0"/>
                              </a:lnTo>
                              <a:close/>
                            </a:path>
                            <a:path w="2847340" h="12700">
                              <a:moveTo>
                                <a:pt x="2373109" y="0"/>
                              </a:moveTo>
                              <a:lnTo>
                                <a:pt x="2360930" y="0"/>
                              </a:lnTo>
                              <a:lnTo>
                                <a:pt x="1975358" y="0"/>
                              </a:lnTo>
                              <a:lnTo>
                                <a:pt x="1975358" y="12192"/>
                              </a:lnTo>
                              <a:lnTo>
                                <a:pt x="2360930" y="12192"/>
                              </a:lnTo>
                              <a:lnTo>
                                <a:pt x="2373109" y="12192"/>
                              </a:lnTo>
                              <a:lnTo>
                                <a:pt x="2373109" y="0"/>
                              </a:lnTo>
                              <a:close/>
                            </a:path>
                            <a:path w="2847340" h="12700">
                              <a:moveTo>
                                <a:pt x="2847073" y="0"/>
                              </a:moveTo>
                              <a:lnTo>
                                <a:pt x="2373122" y="0"/>
                              </a:lnTo>
                              <a:lnTo>
                                <a:pt x="2373122" y="12192"/>
                              </a:lnTo>
                              <a:lnTo>
                                <a:pt x="2847073" y="12192"/>
                              </a:lnTo>
                              <a:lnTo>
                                <a:pt x="28470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017F53" id="Graphic 361" o:spid="_x0000_s1026" style="position:absolute;margin-left:195.3pt;margin-top:10.2pt;width:224.2pt;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28473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" path="m1870189,r,l,,,12192r1870189,l1870189,xem1975345,r-12179,l1870202,r,12192l1963166,12192r12179,l1975345,xem2373109,r-12179,l1975358,r,12192l2360930,12192r12179,l2373109,xem2847073,l2373122,r,12192l2847073,12192r,-12192xe" fillcolor="black" stroked="f">
                <v:path arrowok="t"/>
                <w10:wrap type="topAndBottom" anchorx="page"/>
              </v:shape>
            </w:pict>
          </mc:Fallback>
        </mc:AlternateContent>
      </w:r>
      <w:r>
        <w:rPr>
          <w:rFonts w:ascii="Arial"/>
          <w:b/>
          <w:noProof/>
          <w:sz w:val="16"/>
        </w:rPr>
        <mc:AlternateContent>
          <mc:Choice Requires="wps">
            <w:drawing>
              <wp:anchor distT="0" distB="0" distL="0" distR="0" simplePos="0" relativeHeight="15769600" behindDoc="0" locked="0" layoutInCell="1" allowOverlap="1" wp14:anchorId="377BE7E5" wp14:editId="277C10B6">
                <wp:simplePos x="0" y="0"/>
                <wp:positionH relativeFrom="page">
                  <wp:posOffset>502919</wp:posOffset>
                </wp:positionH>
                <wp:positionV relativeFrom="paragraph">
                  <wp:posOffset>161268</wp:posOffset>
                </wp:positionV>
                <wp:extent cx="3872229" cy="27813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2229" cy="27813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054"/>
                              <w:gridCol w:w="975"/>
                              <w:gridCol w:w="1094"/>
                              <w:gridCol w:w="856"/>
                            </w:tblGrid>
                            <w:tr w:rsidR="002C6574" w14:paraId="352BCF9C" w14:textId="77777777">
                              <w:trPr>
                                <w:trHeight w:val="208"/>
                              </w:trPr>
                              <w:tc>
                                <w:tcPr>
                                  <w:tcW w:w="3054" w:type="dxa"/>
                                  <w:shd w:val="clear" w:color="auto" w:fill="0000FF"/>
                                </w:tcPr>
                                <w:p w14:paraId="06AF438F" w14:textId="77777777" w:rsidR="002C6574" w:rsidRDefault="00000000">
                                  <w:pPr>
                                    <w:pStyle w:val="TableParagraph"/>
                                    <w:spacing w:before="25" w:line="164" w:lineRule="exact"/>
                                    <w:ind w:left="69"/>
                                    <w:jc w:val="left"/>
                                    <w:rPr>
                                      <w:rFonts w:ascii="Arial"/>
                                      <w:b/>
                                      <w:sz w:val="16"/>
                                    </w:rPr>
                                  </w:pPr>
                                  <w:r>
                                    <w:rPr>
                                      <w:rFonts w:ascii="Arial"/>
                                      <w:b/>
                                      <w:color w:val="FFFFFF"/>
                                      <w:sz w:val="16"/>
                                    </w:rPr>
                                    <w:t>R$</w:t>
                                  </w:r>
                                  <w:r>
                                    <w:rPr>
                                      <w:rFonts w:ascii="Arial"/>
                                      <w:b/>
                                      <w:color w:val="FFFFFF"/>
                                      <w:spacing w:val="-1"/>
                                      <w:sz w:val="16"/>
                                    </w:rPr>
                                    <w:t xml:space="preserve"> </w:t>
                                  </w:r>
                                  <w:r>
                                    <w:rPr>
                                      <w:rFonts w:ascii="Arial"/>
                                      <w:b/>
                                      <w:color w:val="FFFFFF"/>
                                      <w:spacing w:val="-5"/>
                                      <w:sz w:val="16"/>
                                    </w:rPr>
                                    <w:t>mil</w:t>
                                  </w:r>
                                </w:p>
                              </w:tc>
                              <w:tc>
                                <w:tcPr>
                                  <w:tcW w:w="975" w:type="dxa"/>
                                  <w:shd w:val="clear" w:color="auto" w:fill="0000FF"/>
                                </w:tcPr>
                                <w:p w14:paraId="0CBF8ADC" w14:textId="77777777" w:rsidR="002C6574" w:rsidRDefault="00000000">
                                  <w:pPr>
                                    <w:pStyle w:val="TableParagraph"/>
                                    <w:spacing w:before="13" w:line="176" w:lineRule="exact"/>
                                    <w:ind w:left="304"/>
                                    <w:jc w:val="left"/>
                                    <w:rPr>
                                      <w:rFonts w:ascii="Arial"/>
                                      <w:b/>
                                      <w:sz w:val="16"/>
                                    </w:rPr>
                                  </w:pPr>
                                  <w:r>
                                    <w:rPr>
                                      <w:rFonts w:ascii="Arial"/>
                                      <w:b/>
                                      <w:color w:val="FFFFFF"/>
                                      <w:spacing w:val="-4"/>
                                      <w:sz w:val="16"/>
                                    </w:rPr>
                                    <w:t>4T25</w:t>
                                  </w:r>
                                </w:p>
                              </w:tc>
                              <w:tc>
                                <w:tcPr>
                                  <w:tcW w:w="1094" w:type="dxa"/>
                                  <w:shd w:val="clear" w:color="auto" w:fill="0000FF"/>
                                </w:tcPr>
                                <w:p w14:paraId="2B3EDF75" w14:textId="77777777" w:rsidR="002C6574" w:rsidRDefault="00000000">
                                  <w:pPr>
                                    <w:pStyle w:val="TableParagraph"/>
                                    <w:spacing w:before="13" w:line="176" w:lineRule="exact"/>
                                    <w:ind w:left="304"/>
                                    <w:jc w:val="left"/>
                                    <w:rPr>
                                      <w:rFonts w:ascii="Arial"/>
                                      <w:b/>
                                      <w:sz w:val="16"/>
                                    </w:rPr>
                                  </w:pPr>
                                  <w:r>
                                    <w:rPr>
                                      <w:rFonts w:ascii="Arial"/>
                                      <w:b/>
                                      <w:color w:val="FFFFFF"/>
                                      <w:spacing w:val="-4"/>
                                      <w:sz w:val="16"/>
                                    </w:rPr>
                                    <w:t>4T24</w:t>
                                  </w:r>
                                </w:p>
                              </w:tc>
                              <w:tc>
                                <w:tcPr>
                                  <w:tcW w:w="856" w:type="dxa"/>
                                  <w:shd w:val="clear" w:color="auto" w:fill="0000FF"/>
                                </w:tcPr>
                                <w:p w14:paraId="260F5490" w14:textId="77777777" w:rsidR="002C6574" w:rsidRDefault="00000000">
                                  <w:pPr>
                                    <w:pStyle w:val="TableParagraph"/>
                                    <w:spacing w:before="13" w:line="176" w:lineRule="exact"/>
                                    <w:ind w:left="184"/>
                                    <w:jc w:val="left"/>
                                    <w:rPr>
                                      <w:rFonts w:ascii="Arial"/>
                                      <w:b/>
                                      <w:sz w:val="16"/>
                                    </w:rPr>
                                  </w:pPr>
                                  <w:r>
                                    <w:rPr>
                                      <w:rFonts w:ascii="Arial"/>
                                      <w:b/>
                                      <w:color w:val="FFFFFF"/>
                                      <w:spacing w:val="-4"/>
                                      <w:sz w:val="16"/>
                                    </w:rPr>
                                    <w:t>3T25</w:t>
                                  </w:r>
                                </w:p>
                              </w:tc>
                            </w:tr>
                            <w:tr w:rsidR="002C6574" w14:paraId="7A3B4B3D" w14:textId="77777777">
                              <w:trPr>
                                <w:trHeight w:val="210"/>
                              </w:trPr>
                              <w:tc>
                                <w:tcPr>
                                  <w:tcW w:w="3054" w:type="dxa"/>
                                  <w:tcBorders>
                                    <w:bottom w:val="single" w:sz="8" w:space="0" w:color="0000FF"/>
                                  </w:tcBorders>
                                </w:tcPr>
                                <w:p w14:paraId="6CC86F75" w14:textId="77777777" w:rsidR="002C6574" w:rsidRDefault="00000000">
                                  <w:pPr>
                                    <w:pStyle w:val="TableParagraph"/>
                                    <w:spacing w:before="15" w:line="175" w:lineRule="exact"/>
                                    <w:ind w:left="69"/>
                                    <w:jc w:val="left"/>
                                    <w:rPr>
                                      <w:rFonts w:ascii="Arial MT" w:hAnsi="Arial MT"/>
                                      <w:sz w:val="16"/>
                                    </w:rPr>
                                  </w:pPr>
                                  <w:r>
                                    <w:rPr>
                                      <w:rFonts w:ascii="Arial MT" w:hAnsi="Arial MT"/>
                                      <w:sz w:val="16"/>
                                    </w:rPr>
                                    <w:t>Depreciação</w:t>
                                  </w:r>
                                  <w:r>
                                    <w:rPr>
                                      <w:rFonts w:ascii="Arial MT" w:hAnsi="Arial MT"/>
                                      <w:spacing w:val="-4"/>
                                      <w:sz w:val="16"/>
                                    </w:rPr>
                                    <w:t xml:space="preserve"> </w:t>
                                  </w:r>
                                  <w:r>
                                    <w:rPr>
                                      <w:rFonts w:ascii="Arial MT" w:hAnsi="Arial MT"/>
                                      <w:sz w:val="16"/>
                                    </w:rPr>
                                    <w:t>e</w:t>
                                  </w:r>
                                  <w:r>
                                    <w:rPr>
                                      <w:rFonts w:ascii="Arial MT" w:hAnsi="Arial MT"/>
                                      <w:spacing w:val="-5"/>
                                      <w:sz w:val="16"/>
                                    </w:rPr>
                                    <w:t xml:space="preserve"> </w:t>
                                  </w:r>
                                  <w:r>
                                    <w:rPr>
                                      <w:rFonts w:ascii="Arial MT" w:hAnsi="Arial MT"/>
                                      <w:spacing w:val="-2"/>
                                      <w:sz w:val="16"/>
                                    </w:rPr>
                                    <w:t>Amortização</w:t>
                                  </w:r>
                                </w:p>
                              </w:tc>
                              <w:tc>
                                <w:tcPr>
                                  <w:tcW w:w="975" w:type="dxa"/>
                                  <w:tcBorders>
                                    <w:bottom w:val="single" w:sz="8" w:space="0" w:color="0000FF"/>
                                  </w:tcBorders>
                                  <w:shd w:val="clear" w:color="auto" w:fill="66FFFF"/>
                                </w:tcPr>
                                <w:p w14:paraId="6068C8E6" w14:textId="77777777" w:rsidR="002C6574" w:rsidRDefault="00000000">
                                  <w:pPr>
                                    <w:pStyle w:val="TableParagraph"/>
                                    <w:spacing w:before="27" w:line="163" w:lineRule="exact"/>
                                    <w:ind w:left="311"/>
                                    <w:jc w:val="left"/>
                                    <w:rPr>
                                      <w:rFonts w:ascii="Arial MT"/>
                                      <w:sz w:val="16"/>
                                    </w:rPr>
                                  </w:pPr>
                                  <w:r>
                                    <w:rPr>
                                      <w:rFonts w:ascii="Arial MT"/>
                                      <w:spacing w:val="-2"/>
                                      <w:sz w:val="16"/>
                                    </w:rPr>
                                    <w:t>(64.696)</w:t>
                                  </w:r>
                                </w:p>
                              </w:tc>
                              <w:tc>
                                <w:tcPr>
                                  <w:tcW w:w="1094" w:type="dxa"/>
                                  <w:tcBorders>
                                    <w:bottom w:val="single" w:sz="8" w:space="0" w:color="0000FF"/>
                                  </w:tcBorders>
                                </w:tcPr>
                                <w:p w14:paraId="2EF000E3" w14:textId="77777777" w:rsidR="002C6574" w:rsidRDefault="00000000">
                                  <w:pPr>
                                    <w:pStyle w:val="TableParagraph"/>
                                    <w:spacing w:before="15" w:line="175" w:lineRule="exact"/>
                                    <w:ind w:left="311"/>
                                    <w:jc w:val="left"/>
                                    <w:rPr>
                                      <w:rFonts w:ascii="Arial MT"/>
                                      <w:sz w:val="16"/>
                                    </w:rPr>
                                  </w:pPr>
                                  <w:r>
                                    <w:rPr>
                                      <w:rFonts w:ascii="Arial MT"/>
                                      <w:spacing w:val="-2"/>
                                      <w:sz w:val="16"/>
                                    </w:rPr>
                                    <w:t>(69.454)</w:t>
                                  </w:r>
                                </w:p>
                              </w:tc>
                              <w:tc>
                                <w:tcPr>
                                  <w:tcW w:w="856" w:type="dxa"/>
                                  <w:tcBorders>
                                    <w:bottom w:val="single" w:sz="8" w:space="0" w:color="0000FF"/>
                                  </w:tcBorders>
                                </w:tcPr>
                                <w:p w14:paraId="485EDC6E" w14:textId="77777777" w:rsidR="002C6574" w:rsidRDefault="00000000">
                                  <w:pPr>
                                    <w:pStyle w:val="TableParagraph"/>
                                    <w:spacing w:before="15" w:line="175" w:lineRule="exact"/>
                                    <w:ind w:left="191"/>
                                    <w:jc w:val="left"/>
                                    <w:rPr>
                                      <w:rFonts w:ascii="Arial MT"/>
                                      <w:sz w:val="16"/>
                                    </w:rPr>
                                  </w:pPr>
                                  <w:r>
                                    <w:rPr>
                                      <w:rFonts w:ascii="Arial MT"/>
                                      <w:spacing w:val="-2"/>
                                      <w:sz w:val="16"/>
                                    </w:rPr>
                                    <w:t>(69.063)</w:t>
                                  </w:r>
                                </w:p>
                              </w:tc>
                            </w:tr>
                          </w:tbl>
                          <w:p w14:paraId="4FC256D9" w14:textId="77777777" w:rsidR="002C6574" w:rsidRDefault="002C6574">
                            <w:pPr>
                              <w:pStyle w:val="Corpodetexto"/>
                            </w:pPr>
                          </w:p>
                        </w:txbxContent>
                      </wps:txbx>
                      <wps:bodyPr wrap="square" lIns="0" tIns="0" rIns="0" bIns="0" rtlCol="0">
                        <a:noAutofit/>
                      </wps:bodyPr>
                    </wps:wsp>
                  </a:graphicData>
                </a:graphic>
              </wp:anchor>
            </w:drawing>
          </mc:Choice>
          <mc:Fallback>
            <w:pict>
              <v:shape w14:anchorId="377BE7E5" id="Textbox 362" o:spid="_x0000_s1169" type="#_x0000_t202" style="position:absolute;left:0;text-align:left;margin-left:39.6pt;margin-top:12.7pt;width:304.9pt;height:21.9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3054"/>
                        <w:gridCol w:w="975"/>
                        <w:gridCol w:w="1094"/>
                        <w:gridCol w:w="856"/>
                      </w:tblGrid>
                      <w:tr w:rsidR="002C6574" w14:paraId="352BCF9C" w14:textId="77777777">
                        <w:trPr>
                          <w:trHeight w:val="208"/>
                        </w:trPr>
                        <w:tc>
                          <w:tcPr>
                            <w:tcW w:w="3054" w:type="dxa"/>
                            <w:shd w:val="clear" w:color="auto" w:fill="0000FF"/>
                          </w:tcPr>
                          <w:p w14:paraId="06AF438F" w14:textId="77777777" w:rsidR="002C6574" w:rsidRDefault="00000000">
                            <w:pPr>
                              <w:pStyle w:val="TableParagraph"/>
                              <w:spacing w:before="25" w:line="164" w:lineRule="exact"/>
                              <w:ind w:left="69"/>
                              <w:jc w:val="left"/>
                              <w:rPr>
                                <w:rFonts w:ascii="Arial"/>
                                <w:b/>
                                <w:sz w:val="16"/>
                              </w:rPr>
                            </w:pPr>
                            <w:r>
                              <w:rPr>
                                <w:rFonts w:ascii="Arial"/>
                                <w:b/>
                                <w:color w:val="FFFFFF"/>
                                <w:sz w:val="16"/>
                              </w:rPr>
                              <w:t>R$</w:t>
                            </w:r>
                            <w:r>
                              <w:rPr>
                                <w:rFonts w:ascii="Arial"/>
                                <w:b/>
                                <w:color w:val="FFFFFF"/>
                                <w:spacing w:val="-1"/>
                                <w:sz w:val="16"/>
                              </w:rPr>
                              <w:t xml:space="preserve"> </w:t>
                            </w:r>
                            <w:r>
                              <w:rPr>
                                <w:rFonts w:ascii="Arial"/>
                                <w:b/>
                                <w:color w:val="FFFFFF"/>
                                <w:spacing w:val="-5"/>
                                <w:sz w:val="16"/>
                              </w:rPr>
                              <w:t>mil</w:t>
                            </w:r>
                          </w:p>
                        </w:tc>
                        <w:tc>
                          <w:tcPr>
                            <w:tcW w:w="975" w:type="dxa"/>
                            <w:shd w:val="clear" w:color="auto" w:fill="0000FF"/>
                          </w:tcPr>
                          <w:p w14:paraId="0CBF8ADC" w14:textId="77777777" w:rsidR="002C6574" w:rsidRDefault="00000000">
                            <w:pPr>
                              <w:pStyle w:val="TableParagraph"/>
                              <w:spacing w:before="13" w:line="176" w:lineRule="exact"/>
                              <w:ind w:left="304"/>
                              <w:jc w:val="left"/>
                              <w:rPr>
                                <w:rFonts w:ascii="Arial"/>
                                <w:b/>
                                <w:sz w:val="16"/>
                              </w:rPr>
                            </w:pPr>
                            <w:r>
                              <w:rPr>
                                <w:rFonts w:ascii="Arial"/>
                                <w:b/>
                                <w:color w:val="FFFFFF"/>
                                <w:spacing w:val="-4"/>
                                <w:sz w:val="16"/>
                              </w:rPr>
                              <w:t>4T25</w:t>
                            </w:r>
                          </w:p>
                        </w:tc>
                        <w:tc>
                          <w:tcPr>
                            <w:tcW w:w="1094" w:type="dxa"/>
                            <w:shd w:val="clear" w:color="auto" w:fill="0000FF"/>
                          </w:tcPr>
                          <w:p w14:paraId="2B3EDF75" w14:textId="77777777" w:rsidR="002C6574" w:rsidRDefault="00000000">
                            <w:pPr>
                              <w:pStyle w:val="TableParagraph"/>
                              <w:spacing w:before="13" w:line="176" w:lineRule="exact"/>
                              <w:ind w:left="304"/>
                              <w:jc w:val="left"/>
                              <w:rPr>
                                <w:rFonts w:ascii="Arial"/>
                                <w:b/>
                                <w:sz w:val="16"/>
                              </w:rPr>
                            </w:pPr>
                            <w:r>
                              <w:rPr>
                                <w:rFonts w:ascii="Arial"/>
                                <w:b/>
                                <w:color w:val="FFFFFF"/>
                                <w:spacing w:val="-4"/>
                                <w:sz w:val="16"/>
                              </w:rPr>
                              <w:t>4T24</w:t>
                            </w:r>
                          </w:p>
                        </w:tc>
                        <w:tc>
                          <w:tcPr>
                            <w:tcW w:w="856" w:type="dxa"/>
                            <w:shd w:val="clear" w:color="auto" w:fill="0000FF"/>
                          </w:tcPr>
                          <w:p w14:paraId="260F5490" w14:textId="77777777" w:rsidR="002C6574" w:rsidRDefault="00000000">
                            <w:pPr>
                              <w:pStyle w:val="TableParagraph"/>
                              <w:spacing w:before="13" w:line="176" w:lineRule="exact"/>
                              <w:ind w:left="184"/>
                              <w:jc w:val="left"/>
                              <w:rPr>
                                <w:rFonts w:ascii="Arial"/>
                                <w:b/>
                                <w:sz w:val="16"/>
                              </w:rPr>
                            </w:pPr>
                            <w:r>
                              <w:rPr>
                                <w:rFonts w:ascii="Arial"/>
                                <w:b/>
                                <w:color w:val="FFFFFF"/>
                                <w:spacing w:val="-4"/>
                                <w:sz w:val="16"/>
                              </w:rPr>
                              <w:t>3T25</w:t>
                            </w:r>
                          </w:p>
                        </w:tc>
                      </w:tr>
                      <w:tr w:rsidR="002C6574" w14:paraId="7A3B4B3D" w14:textId="77777777">
                        <w:trPr>
                          <w:trHeight w:val="210"/>
                        </w:trPr>
                        <w:tc>
                          <w:tcPr>
                            <w:tcW w:w="3054" w:type="dxa"/>
                            <w:tcBorders>
                              <w:bottom w:val="single" w:sz="8" w:space="0" w:color="0000FF"/>
                            </w:tcBorders>
                          </w:tcPr>
                          <w:p w14:paraId="6CC86F75" w14:textId="77777777" w:rsidR="002C6574" w:rsidRDefault="00000000">
                            <w:pPr>
                              <w:pStyle w:val="TableParagraph"/>
                              <w:spacing w:before="15" w:line="175" w:lineRule="exact"/>
                              <w:ind w:left="69"/>
                              <w:jc w:val="left"/>
                              <w:rPr>
                                <w:rFonts w:ascii="Arial MT" w:hAnsi="Arial MT"/>
                                <w:sz w:val="16"/>
                              </w:rPr>
                            </w:pPr>
                            <w:r>
                              <w:rPr>
                                <w:rFonts w:ascii="Arial MT" w:hAnsi="Arial MT"/>
                                <w:sz w:val="16"/>
                              </w:rPr>
                              <w:t>Depreciação</w:t>
                            </w:r>
                            <w:r>
                              <w:rPr>
                                <w:rFonts w:ascii="Arial MT" w:hAnsi="Arial MT"/>
                                <w:spacing w:val="-4"/>
                                <w:sz w:val="16"/>
                              </w:rPr>
                              <w:t xml:space="preserve"> </w:t>
                            </w:r>
                            <w:r>
                              <w:rPr>
                                <w:rFonts w:ascii="Arial MT" w:hAnsi="Arial MT"/>
                                <w:sz w:val="16"/>
                              </w:rPr>
                              <w:t>e</w:t>
                            </w:r>
                            <w:r>
                              <w:rPr>
                                <w:rFonts w:ascii="Arial MT" w:hAnsi="Arial MT"/>
                                <w:spacing w:val="-5"/>
                                <w:sz w:val="16"/>
                              </w:rPr>
                              <w:t xml:space="preserve"> </w:t>
                            </w:r>
                            <w:r>
                              <w:rPr>
                                <w:rFonts w:ascii="Arial MT" w:hAnsi="Arial MT"/>
                                <w:spacing w:val="-2"/>
                                <w:sz w:val="16"/>
                              </w:rPr>
                              <w:t>Amortização</w:t>
                            </w:r>
                          </w:p>
                        </w:tc>
                        <w:tc>
                          <w:tcPr>
                            <w:tcW w:w="975" w:type="dxa"/>
                            <w:tcBorders>
                              <w:bottom w:val="single" w:sz="8" w:space="0" w:color="0000FF"/>
                            </w:tcBorders>
                            <w:shd w:val="clear" w:color="auto" w:fill="66FFFF"/>
                          </w:tcPr>
                          <w:p w14:paraId="6068C8E6" w14:textId="77777777" w:rsidR="002C6574" w:rsidRDefault="00000000">
                            <w:pPr>
                              <w:pStyle w:val="TableParagraph"/>
                              <w:spacing w:before="27" w:line="163" w:lineRule="exact"/>
                              <w:ind w:left="311"/>
                              <w:jc w:val="left"/>
                              <w:rPr>
                                <w:rFonts w:ascii="Arial MT"/>
                                <w:sz w:val="16"/>
                              </w:rPr>
                            </w:pPr>
                            <w:r>
                              <w:rPr>
                                <w:rFonts w:ascii="Arial MT"/>
                                <w:spacing w:val="-2"/>
                                <w:sz w:val="16"/>
                              </w:rPr>
                              <w:t>(64.696)</w:t>
                            </w:r>
                          </w:p>
                        </w:tc>
                        <w:tc>
                          <w:tcPr>
                            <w:tcW w:w="1094" w:type="dxa"/>
                            <w:tcBorders>
                              <w:bottom w:val="single" w:sz="8" w:space="0" w:color="0000FF"/>
                            </w:tcBorders>
                          </w:tcPr>
                          <w:p w14:paraId="2EF000E3" w14:textId="77777777" w:rsidR="002C6574" w:rsidRDefault="00000000">
                            <w:pPr>
                              <w:pStyle w:val="TableParagraph"/>
                              <w:spacing w:before="15" w:line="175" w:lineRule="exact"/>
                              <w:ind w:left="311"/>
                              <w:jc w:val="left"/>
                              <w:rPr>
                                <w:rFonts w:ascii="Arial MT"/>
                                <w:sz w:val="16"/>
                              </w:rPr>
                            </w:pPr>
                            <w:r>
                              <w:rPr>
                                <w:rFonts w:ascii="Arial MT"/>
                                <w:spacing w:val="-2"/>
                                <w:sz w:val="16"/>
                              </w:rPr>
                              <w:t>(69.454)</w:t>
                            </w:r>
                          </w:p>
                        </w:tc>
                        <w:tc>
                          <w:tcPr>
                            <w:tcW w:w="856" w:type="dxa"/>
                            <w:tcBorders>
                              <w:bottom w:val="single" w:sz="8" w:space="0" w:color="0000FF"/>
                            </w:tcBorders>
                          </w:tcPr>
                          <w:p w14:paraId="485EDC6E" w14:textId="77777777" w:rsidR="002C6574" w:rsidRDefault="00000000">
                            <w:pPr>
                              <w:pStyle w:val="TableParagraph"/>
                              <w:spacing w:before="15" w:line="175" w:lineRule="exact"/>
                              <w:ind w:left="191"/>
                              <w:jc w:val="left"/>
                              <w:rPr>
                                <w:rFonts w:ascii="Arial MT"/>
                                <w:sz w:val="16"/>
                              </w:rPr>
                            </w:pPr>
                            <w:r>
                              <w:rPr>
                                <w:rFonts w:ascii="Arial MT"/>
                                <w:spacing w:val="-2"/>
                                <w:sz w:val="16"/>
                              </w:rPr>
                              <w:t>(69.063)</w:t>
                            </w:r>
                          </w:p>
                        </w:tc>
                      </w:tr>
                    </w:tbl>
                    <w:p w14:paraId="4FC256D9" w14:textId="77777777" w:rsidR="002C6574" w:rsidRDefault="002C6574">
                      <w:pPr>
                        <w:pStyle w:val="Corpodetexto"/>
                      </w:pPr>
                    </w:p>
                  </w:txbxContent>
                </v:textbox>
                <w10:wrap anchorx="page"/>
              </v:shape>
            </w:pict>
          </mc:Fallback>
        </mc:AlternateContent>
      </w:r>
      <w:r>
        <w:rPr>
          <w:rFonts w:ascii="Arial"/>
          <w:b/>
          <w:spacing w:val="-2"/>
          <w:sz w:val="16"/>
        </w:rPr>
        <w:t>Trimestres</w:t>
      </w:r>
    </w:p>
    <w:p w14:paraId="50D842C2" w14:textId="77777777" w:rsidR="002C6574" w:rsidRDefault="00000000">
      <w:pPr>
        <w:tabs>
          <w:tab w:val="left" w:pos="8428"/>
          <w:tab w:val="left" w:pos="9378"/>
          <w:tab w:val="left" w:pos="10031"/>
        </w:tabs>
        <w:spacing w:before="54"/>
        <w:ind w:left="6572"/>
        <w:rPr>
          <w:rFonts w:ascii="Arial" w:hAnsi="Arial"/>
          <w:b/>
          <w:sz w:val="16"/>
        </w:rPr>
      </w:pPr>
      <w:r>
        <w:rPr>
          <w:rFonts w:ascii="Times New Roman" w:hAnsi="Times New Roman"/>
          <w:color w:val="FFFFFF"/>
          <w:spacing w:val="40"/>
          <w:sz w:val="16"/>
          <w:highlight w:val="blue"/>
        </w:rPr>
        <w:t xml:space="preserve"> </w:t>
      </w:r>
      <w:r>
        <w:rPr>
          <w:rFonts w:ascii="Arial" w:hAnsi="Arial"/>
          <w:b/>
          <w:color w:val="FFFFFF"/>
          <w:sz w:val="16"/>
          <w:highlight w:val="blue"/>
        </w:rPr>
        <w:t>Δ Ano</w:t>
      </w:r>
      <w:r>
        <w:rPr>
          <w:rFonts w:ascii="Arial" w:hAnsi="Arial"/>
          <w:b/>
          <w:color w:val="FFFFFF"/>
          <w:spacing w:val="40"/>
          <w:sz w:val="16"/>
          <w:highlight w:val="blue"/>
        </w:rPr>
        <w:t xml:space="preserve">  </w:t>
      </w:r>
      <w:r>
        <w:rPr>
          <w:rFonts w:ascii="Arial" w:hAnsi="Arial"/>
          <w:b/>
          <w:color w:val="FFFFFF"/>
          <w:sz w:val="16"/>
          <w:highlight w:val="blue"/>
        </w:rPr>
        <w:t>Δ Trim.</w:t>
      </w:r>
      <w:r>
        <w:rPr>
          <w:rFonts w:ascii="Arial" w:hAnsi="Arial"/>
          <w:b/>
          <w:color w:val="FFFFFF"/>
          <w:spacing w:val="61"/>
          <w:sz w:val="16"/>
          <w:highlight w:val="blue"/>
        </w:rPr>
        <w:t xml:space="preserve"> </w:t>
      </w:r>
      <w:r>
        <w:rPr>
          <w:rFonts w:ascii="Arial" w:hAnsi="Arial"/>
          <w:b/>
          <w:color w:val="FFFFFF"/>
          <w:spacing w:val="120"/>
          <w:sz w:val="16"/>
        </w:rPr>
        <w:t xml:space="preserve"> </w:t>
      </w:r>
      <w:r>
        <w:rPr>
          <w:rFonts w:ascii="Arial" w:hAnsi="Arial"/>
          <w:b/>
          <w:color w:val="FFFFFF"/>
          <w:sz w:val="16"/>
          <w:highlight w:val="blue"/>
        </w:rPr>
        <w:tab/>
      </w:r>
      <w:r>
        <w:rPr>
          <w:rFonts w:ascii="Arial" w:hAnsi="Arial"/>
          <w:b/>
          <w:color w:val="FFFFFF"/>
          <w:spacing w:val="-4"/>
          <w:sz w:val="16"/>
          <w:highlight w:val="blue"/>
        </w:rPr>
        <w:t>2025</w:t>
      </w:r>
      <w:r>
        <w:rPr>
          <w:rFonts w:ascii="Arial" w:hAnsi="Arial"/>
          <w:b/>
          <w:color w:val="FFFFFF"/>
          <w:sz w:val="16"/>
          <w:highlight w:val="blue"/>
        </w:rPr>
        <w:tab/>
      </w:r>
      <w:r>
        <w:rPr>
          <w:rFonts w:ascii="Arial" w:hAnsi="Arial"/>
          <w:b/>
          <w:color w:val="FFFFFF"/>
          <w:spacing w:val="-4"/>
          <w:sz w:val="16"/>
          <w:highlight w:val="blue"/>
        </w:rPr>
        <w:t>2024</w:t>
      </w:r>
      <w:r>
        <w:rPr>
          <w:rFonts w:ascii="Arial" w:hAnsi="Arial"/>
          <w:b/>
          <w:color w:val="FFFFFF"/>
          <w:sz w:val="16"/>
          <w:highlight w:val="blue"/>
        </w:rPr>
        <w:tab/>
      </w:r>
      <w:r>
        <w:rPr>
          <w:rFonts w:ascii="Arial" w:hAnsi="Arial"/>
          <w:b/>
          <w:color w:val="FFFFFF"/>
          <w:spacing w:val="120"/>
          <w:sz w:val="16"/>
        </w:rPr>
        <w:t xml:space="preserve"> </w:t>
      </w:r>
      <w:r>
        <w:rPr>
          <w:rFonts w:ascii="Times New Roman" w:hAnsi="Times New Roman"/>
          <w:color w:val="FFFFFF"/>
          <w:spacing w:val="120"/>
          <w:sz w:val="16"/>
          <w:highlight w:val="blue"/>
        </w:rPr>
        <w:t xml:space="preserve"> </w:t>
      </w:r>
      <w:r>
        <w:rPr>
          <w:rFonts w:ascii="Arial" w:hAnsi="Arial"/>
          <w:b/>
          <w:color w:val="FFFFFF"/>
          <w:sz w:val="16"/>
          <w:highlight w:val="blue"/>
        </w:rPr>
        <w:t>Δ Ano</w:t>
      </w:r>
      <w:r>
        <w:rPr>
          <w:rFonts w:ascii="Arial" w:hAnsi="Arial"/>
          <w:b/>
          <w:color w:val="FFFFFF"/>
          <w:spacing w:val="40"/>
          <w:sz w:val="16"/>
          <w:highlight w:val="blue"/>
        </w:rPr>
        <w:t xml:space="preserve"> </w:t>
      </w:r>
    </w:p>
    <w:p w14:paraId="1385DA8E" w14:textId="77777777" w:rsidR="002C6574" w:rsidRDefault="00000000">
      <w:pPr>
        <w:tabs>
          <w:tab w:val="left" w:pos="7477"/>
          <w:tab w:val="left" w:pos="9277"/>
          <w:tab w:val="left" w:pos="10480"/>
        </w:tabs>
        <w:spacing w:before="29"/>
        <w:ind w:left="6711"/>
        <w:rPr>
          <w:rFonts w:ascii="Arial MT"/>
          <w:sz w:val="16"/>
        </w:rPr>
      </w:pPr>
      <w:r>
        <w:rPr>
          <w:rFonts w:ascii="Arial MT"/>
          <w:noProof/>
          <w:sz w:val="16"/>
        </w:rPr>
        <mc:AlternateContent>
          <mc:Choice Requires="wpg">
            <w:drawing>
              <wp:anchor distT="0" distB="0" distL="0" distR="0" simplePos="0" relativeHeight="472594944" behindDoc="1" locked="0" layoutInCell="1" allowOverlap="1" wp14:anchorId="5D99EBC2" wp14:editId="74F662EA">
                <wp:simplePos x="0" y="0"/>
                <wp:positionH relativeFrom="page">
                  <wp:posOffset>5424804</wp:posOffset>
                </wp:positionH>
                <wp:positionV relativeFrom="paragraph">
                  <wp:posOffset>7375</wp:posOffset>
                </wp:positionV>
                <wp:extent cx="1215390" cy="146685"/>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5390" cy="146685"/>
                          <a:chOff x="0" y="0"/>
                          <a:chExt cx="1215390" cy="146685"/>
                        </a:xfrm>
                      </wpg:grpSpPr>
                      <wps:wsp>
                        <wps:cNvPr id="364" name="Textbox 364"/>
                        <wps:cNvSpPr txBox="1"/>
                        <wps:spPr>
                          <a:xfrm>
                            <a:off x="7620" y="0"/>
                            <a:ext cx="603885" cy="134620"/>
                          </a:xfrm>
                          <a:prstGeom prst="rect">
                            <a:avLst/>
                          </a:prstGeom>
                          <a:solidFill>
                            <a:srgbClr val="66FFFF"/>
                          </a:solidFill>
                        </wps:spPr>
                        <wps:txbx>
                          <w:txbxContent>
                            <w:p w14:paraId="7C442626" w14:textId="77777777" w:rsidR="002C6574" w:rsidRDefault="00000000">
                              <w:pPr>
                                <w:spacing w:before="27" w:line="184" w:lineRule="exact"/>
                                <w:ind w:left="197"/>
                                <w:rPr>
                                  <w:rFonts w:ascii="Arial MT"/>
                                  <w:color w:val="000000"/>
                                  <w:sz w:val="16"/>
                                </w:rPr>
                              </w:pPr>
                              <w:r>
                                <w:rPr>
                                  <w:rFonts w:ascii="Arial MT"/>
                                  <w:color w:val="000000"/>
                                  <w:spacing w:val="-2"/>
                                  <w:sz w:val="16"/>
                                </w:rPr>
                                <w:t>(274.104)</w:t>
                              </w:r>
                            </w:p>
                          </w:txbxContent>
                        </wps:txbx>
                        <wps:bodyPr wrap="square" lIns="0" tIns="0" rIns="0" bIns="0" rtlCol="0">
                          <a:noAutofit/>
                        </wps:bodyPr>
                      </wps:wsp>
                      <wps:wsp>
                        <wps:cNvPr id="365" name="Graphic 365"/>
                        <wps:cNvSpPr/>
                        <wps:spPr>
                          <a:xfrm>
                            <a:off x="0" y="134111"/>
                            <a:ext cx="1215390" cy="12700"/>
                          </a:xfrm>
                          <a:custGeom>
                            <a:avLst/>
                            <a:gdLst/>
                            <a:ahLst/>
                            <a:cxnLst/>
                            <a:rect l="l" t="t" r="r" b="b"/>
                            <a:pathLst>
                              <a:path w="1215390" h="12700">
                                <a:moveTo>
                                  <a:pt x="614540" y="0"/>
                                </a:moveTo>
                                <a:lnTo>
                                  <a:pt x="611428" y="0"/>
                                </a:lnTo>
                                <a:lnTo>
                                  <a:pt x="602361" y="0"/>
                                </a:lnTo>
                                <a:lnTo>
                                  <a:pt x="0" y="0"/>
                                </a:lnTo>
                                <a:lnTo>
                                  <a:pt x="0" y="12192"/>
                                </a:lnTo>
                                <a:lnTo>
                                  <a:pt x="602361" y="12192"/>
                                </a:lnTo>
                                <a:lnTo>
                                  <a:pt x="611428" y="12192"/>
                                </a:lnTo>
                                <a:lnTo>
                                  <a:pt x="614540" y="12192"/>
                                </a:lnTo>
                                <a:lnTo>
                                  <a:pt x="614540" y="0"/>
                                </a:lnTo>
                                <a:close/>
                              </a:path>
                              <a:path w="1215390" h="12700">
                                <a:moveTo>
                                  <a:pt x="1215009" y="0"/>
                                </a:moveTo>
                                <a:lnTo>
                                  <a:pt x="614553" y="0"/>
                                </a:lnTo>
                                <a:lnTo>
                                  <a:pt x="614553" y="12192"/>
                                </a:lnTo>
                                <a:lnTo>
                                  <a:pt x="1215009" y="12192"/>
                                </a:lnTo>
                                <a:lnTo>
                                  <a:pt x="1215009"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5D99EBC2" id="Group 363" o:spid="_x0000_s1170" style="position:absolute;left:0;text-align:left;margin-left:427.15pt;margin-top:.6pt;width:95.7pt;height:11.55pt;z-index:-30721536;mso-wrap-distance-left:0;mso-wrap-distance-right:0;mso-position-horizontal-relative:page;mso-position-vertical-relative:text" coordsize="12153,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">
                <v:shape id="Textbox 364" o:spid="_x0000_s1171" type="#_x0000_t202" style="position:absolute;left:76;width:603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" fillcolor="#6ff" stroked="f">
                  <v:textbox inset="0,0,0,0">
                    <w:txbxContent>
                      <w:p w14:paraId="7C442626" w14:textId="77777777" w:rsidR="002C6574" w:rsidRDefault="00000000">
                        <w:pPr>
                          <w:spacing w:before="27" w:line="184" w:lineRule="exact"/>
                          <w:ind w:left="197"/>
                          <w:rPr>
                            <w:rFonts w:ascii="Arial MT"/>
                            <w:color w:val="000000"/>
                            <w:sz w:val="16"/>
                          </w:rPr>
                        </w:pPr>
                        <w:r>
                          <w:rPr>
                            <w:rFonts w:ascii="Arial MT"/>
                            <w:color w:val="000000"/>
                            <w:spacing w:val="-2"/>
                            <w:sz w:val="16"/>
                          </w:rPr>
                          <w:t>(274.104)</w:t>
                        </w:r>
                      </w:p>
                    </w:txbxContent>
                  </v:textbox>
                </v:shape>
                <v:shape id="Graphic 365" o:spid="_x0000_s1172" style="position:absolute;top:1341;width:12153;height:127;visibility:visible;mso-wrap-style:square;v-text-anchor:top" coordsize="12153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" path="m614540,r-3112,l602361,,,,,12192r602361,l611428,12192r3112,l614540,xem1215009,l614553,r,12192l1215009,12192r,-12192xe" fillcolor="blue" stroked="f">
                  <v:path arrowok="t"/>
                </v:shape>
                <w10:wrap anchorx="page"/>
              </v:group>
            </w:pict>
          </mc:Fallback>
        </mc:AlternateContent>
      </w:r>
      <w:r>
        <w:rPr>
          <w:rFonts w:ascii="Arial MT"/>
          <w:spacing w:val="-2"/>
          <w:position w:val="1"/>
          <w:sz w:val="16"/>
        </w:rPr>
        <w:t>-</w:t>
      </w:r>
      <w:r>
        <w:rPr>
          <w:rFonts w:ascii="Arial MT"/>
          <w:spacing w:val="-4"/>
          <w:position w:val="1"/>
          <w:sz w:val="16"/>
        </w:rPr>
        <w:t>6,9%</w:t>
      </w:r>
      <w:r>
        <w:rPr>
          <w:rFonts w:ascii="Arial MT"/>
          <w:position w:val="1"/>
          <w:sz w:val="16"/>
        </w:rPr>
        <w:tab/>
      </w:r>
      <w:r>
        <w:rPr>
          <w:rFonts w:ascii="Arial MT"/>
          <w:spacing w:val="-2"/>
          <w:position w:val="1"/>
          <w:sz w:val="16"/>
        </w:rPr>
        <w:t>-</w:t>
      </w:r>
      <w:r>
        <w:rPr>
          <w:rFonts w:ascii="Arial MT"/>
          <w:spacing w:val="-4"/>
          <w:position w:val="1"/>
          <w:sz w:val="16"/>
        </w:rPr>
        <w:t>6,3%</w:t>
      </w:r>
      <w:r>
        <w:rPr>
          <w:rFonts w:ascii="Arial MT"/>
          <w:position w:val="1"/>
          <w:sz w:val="16"/>
        </w:rPr>
        <w:tab/>
      </w:r>
      <w:r>
        <w:rPr>
          <w:rFonts w:ascii="Arial MT"/>
          <w:spacing w:val="-2"/>
          <w:position w:val="1"/>
          <w:sz w:val="16"/>
        </w:rPr>
        <w:t>(270.044)</w:t>
      </w:r>
      <w:r>
        <w:rPr>
          <w:rFonts w:ascii="Arial MT"/>
          <w:position w:val="1"/>
          <w:sz w:val="16"/>
        </w:rPr>
        <w:tab/>
      </w:r>
      <w:r>
        <w:rPr>
          <w:rFonts w:ascii="Arial MT"/>
          <w:spacing w:val="-4"/>
          <w:sz w:val="16"/>
        </w:rPr>
        <w:t>1,5%</w:t>
      </w:r>
    </w:p>
    <w:p w14:paraId="111E3768" w14:textId="77777777" w:rsidR="002C6574" w:rsidRDefault="00000000">
      <w:pPr>
        <w:tabs>
          <w:tab w:val="left" w:pos="10182"/>
        </w:tabs>
        <w:spacing w:line="20" w:lineRule="exact"/>
        <w:ind w:left="6558"/>
        <w:rPr>
          <w:rFonts w:ascii="Arial MT"/>
          <w:sz w:val="2"/>
        </w:rPr>
      </w:pPr>
      <w:r>
        <w:rPr>
          <w:rFonts w:ascii="Arial MT"/>
          <w:noProof/>
          <w:sz w:val="2"/>
        </w:rPr>
        <mc:AlternateContent>
          <mc:Choice Requires="wpg">
            <w:drawing>
              <wp:inline distT="0" distB="0" distL="0" distR="0" wp14:anchorId="2B3DAB5D" wp14:editId="77E3C81A">
                <wp:extent cx="893444" cy="12700"/>
                <wp:effectExtent l="0" t="0" r="0" b="0"/>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444" cy="12700"/>
                          <a:chOff x="0" y="0"/>
                          <a:chExt cx="893444" cy="12700"/>
                        </a:xfrm>
                      </wpg:grpSpPr>
                      <wps:wsp>
                        <wps:cNvPr id="367" name="Graphic 367"/>
                        <wps:cNvSpPr/>
                        <wps:spPr>
                          <a:xfrm>
                            <a:off x="0" y="0"/>
                            <a:ext cx="893444" cy="12700"/>
                          </a:xfrm>
                          <a:custGeom>
                            <a:avLst/>
                            <a:gdLst/>
                            <a:ahLst/>
                            <a:cxnLst/>
                            <a:rect l="l" t="t" r="r" b="b"/>
                            <a:pathLst>
                              <a:path w="893444" h="12700">
                                <a:moveTo>
                                  <a:pt x="409943" y="0"/>
                                </a:moveTo>
                                <a:lnTo>
                                  <a:pt x="406908" y="0"/>
                                </a:lnTo>
                                <a:lnTo>
                                  <a:pt x="397764" y="0"/>
                                </a:lnTo>
                                <a:lnTo>
                                  <a:pt x="0" y="0"/>
                                </a:lnTo>
                                <a:lnTo>
                                  <a:pt x="0" y="12192"/>
                                </a:lnTo>
                                <a:lnTo>
                                  <a:pt x="397764" y="12192"/>
                                </a:lnTo>
                                <a:lnTo>
                                  <a:pt x="406908" y="12192"/>
                                </a:lnTo>
                                <a:lnTo>
                                  <a:pt x="409943" y="12192"/>
                                </a:lnTo>
                                <a:lnTo>
                                  <a:pt x="409943" y="0"/>
                                </a:lnTo>
                                <a:close/>
                              </a:path>
                              <a:path w="893444" h="12700">
                                <a:moveTo>
                                  <a:pt x="893064" y="0"/>
                                </a:moveTo>
                                <a:lnTo>
                                  <a:pt x="409956" y="0"/>
                                </a:lnTo>
                                <a:lnTo>
                                  <a:pt x="409956" y="12192"/>
                                </a:lnTo>
                                <a:lnTo>
                                  <a:pt x="893064" y="12192"/>
                                </a:lnTo>
                                <a:lnTo>
                                  <a:pt x="893064" y="0"/>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6E36AAEB" id="Group 366" o:spid="_x0000_s1026" style="width:70.35pt;height:1pt;mso-position-horizontal-relative:char;mso-position-vertical-relative:line" coordsize="89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">
                <v:shape id="Graphic 367" o:spid="_x0000_s1027" style="position:absolute;width:8934;height:127;visibility:visible;mso-wrap-style:square;v-text-anchor:top" coordsize="8934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" path="m409943,r-3035,l397764,,,,,12192r397764,l406908,12192r3035,l409943,xem893064,l409956,r,12192l893064,12192,893064,xe" fillcolor="blue" stroked="f">
                  <v:path arrowok="t"/>
                </v:shape>
                <w10:anchorlock/>
              </v:group>
            </w:pict>
          </mc:Fallback>
        </mc:AlternateContent>
      </w:r>
      <w:r>
        <w:rPr>
          <w:rFonts w:ascii="Arial MT"/>
          <w:sz w:val="2"/>
        </w:rPr>
        <w:tab/>
      </w:r>
      <w:r>
        <w:rPr>
          <w:rFonts w:ascii="Arial MT"/>
          <w:noProof/>
          <w:sz w:val="2"/>
        </w:rPr>
        <mc:AlternateContent>
          <mc:Choice Requires="wpg">
            <w:drawing>
              <wp:inline distT="0" distB="0" distL="0" distR="0" wp14:anchorId="78808BEC" wp14:editId="7684CDF3">
                <wp:extent cx="466725" cy="12700"/>
                <wp:effectExtent l="0" t="0" r="0" b="0"/>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2700"/>
                          <a:chOff x="0" y="0"/>
                          <a:chExt cx="466725" cy="12700"/>
                        </a:xfrm>
                      </wpg:grpSpPr>
                      <wps:wsp>
                        <wps:cNvPr id="369" name="Graphic 369"/>
                        <wps:cNvSpPr/>
                        <wps:spPr>
                          <a:xfrm>
                            <a:off x="0" y="0"/>
                            <a:ext cx="466725" cy="12700"/>
                          </a:xfrm>
                          <a:custGeom>
                            <a:avLst/>
                            <a:gdLst/>
                            <a:ahLst/>
                            <a:cxnLst/>
                            <a:rect l="l" t="t" r="r" b="b"/>
                            <a:pathLst>
                              <a:path w="466725" h="12700">
                                <a:moveTo>
                                  <a:pt x="466648" y="0"/>
                                </a:moveTo>
                                <a:lnTo>
                                  <a:pt x="0" y="0"/>
                                </a:lnTo>
                                <a:lnTo>
                                  <a:pt x="0" y="12192"/>
                                </a:lnTo>
                                <a:lnTo>
                                  <a:pt x="466648" y="12192"/>
                                </a:lnTo>
                                <a:lnTo>
                                  <a:pt x="466648" y="0"/>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61693CE6" id="Group 368" o:spid="_x0000_s1026" style="width:36.75pt;height:1pt;mso-position-horizontal-relative:char;mso-position-vertical-relative:line" coordsize="4667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">
                <v:shape id="Graphic 369" o:spid="_x0000_s1027" style="position:absolute;width:466725;height:12700;visibility:visible;mso-wrap-style:square;v-text-anchor:top" coordsize="4667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" path="m466648,l,,,12192r466648,l466648,xe" fillcolor="blue" stroked="f">
                  <v:path arrowok="t"/>
                </v:shape>
                <w10:anchorlock/>
              </v:group>
            </w:pict>
          </mc:Fallback>
        </mc:AlternateContent>
      </w:r>
    </w:p>
    <w:p w14:paraId="4F403EA3" w14:textId="77777777" w:rsidR="002C6574" w:rsidRDefault="002C6574">
      <w:pPr>
        <w:pStyle w:val="Corpodetexto"/>
        <w:spacing w:before="22"/>
        <w:rPr>
          <w:rFonts w:ascii="Arial MT"/>
        </w:rPr>
      </w:pPr>
    </w:p>
    <w:p w14:paraId="6EAFD358" w14:textId="77777777" w:rsidR="002C6574" w:rsidRDefault="00000000">
      <w:pPr>
        <w:pStyle w:val="Corpodetexto"/>
        <w:spacing w:line="276" w:lineRule="auto"/>
        <w:ind w:left="427" w:right="136"/>
        <w:jc w:val="both"/>
        <w:rPr>
          <w:rFonts w:ascii="Arial MT" w:hAnsi="Arial MT"/>
        </w:rPr>
      </w:pPr>
      <w:r>
        <w:rPr>
          <w:rFonts w:ascii="Arial MT" w:hAnsi="Arial MT"/>
        </w:rPr>
        <w:t>A rubrica de Depreciação e Amortização apresentou um aumento de 1,5% na comparação entre os exercícios de 2025 e 2024. Esse crescimento decorre, principalmente, das transferências de bens que estavam classificados na condição de “em andamento” e passaram para a condição de “em Serviço” ao longo desses períodos, passando assim a compor a base depreciável. Esse efeito foi parcialmente compensado pelo incremento do número de ativos que atingiram a condição de totalmente depreciados, reduzindo o impacto líquido da despesa no exercício.</w:t>
      </w:r>
    </w:p>
    <w:p w14:paraId="6A4BD8E4" w14:textId="77777777" w:rsidR="002C6574" w:rsidRDefault="002C6574">
      <w:pPr>
        <w:pStyle w:val="Corpodetexto"/>
        <w:spacing w:before="25"/>
        <w:rPr>
          <w:rFonts w:ascii="Arial MT"/>
        </w:rPr>
      </w:pPr>
    </w:p>
    <w:p w14:paraId="7ACCA1D4" w14:textId="77777777" w:rsidR="002C6574" w:rsidRDefault="00000000">
      <w:pPr>
        <w:pStyle w:val="Ttulo8"/>
        <w:spacing w:before="1"/>
        <w:jc w:val="both"/>
        <w:rPr>
          <w:rFonts w:ascii="Arial" w:hAnsi="Arial"/>
        </w:rPr>
      </w:pPr>
      <w:r>
        <w:rPr>
          <w:rFonts w:ascii="Arial" w:hAnsi="Arial"/>
          <w:smallCaps/>
          <w:u w:val="single"/>
        </w:rPr>
        <w:t>Resultado</w:t>
      </w:r>
      <w:r>
        <w:rPr>
          <w:rFonts w:ascii="Arial" w:hAnsi="Arial"/>
          <w:smallCaps/>
          <w:spacing w:val="30"/>
          <w:u w:val="single"/>
        </w:rPr>
        <w:t xml:space="preserve"> </w:t>
      </w:r>
      <w:r>
        <w:rPr>
          <w:rFonts w:ascii="Arial" w:hAnsi="Arial"/>
          <w:smallCaps/>
          <w:u w:val="single"/>
        </w:rPr>
        <w:t>de</w:t>
      </w:r>
      <w:r>
        <w:rPr>
          <w:rFonts w:ascii="Arial" w:hAnsi="Arial"/>
          <w:smallCaps/>
          <w:spacing w:val="34"/>
          <w:u w:val="single"/>
        </w:rPr>
        <w:t xml:space="preserve"> </w:t>
      </w:r>
      <w:r>
        <w:rPr>
          <w:rFonts w:ascii="Arial" w:hAnsi="Arial"/>
          <w:smallCaps/>
          <w:u w:val="single"/>
        </w:rPr>
        <w:t>Equivalência</w:t>
      </w:r>
      <w:r>
        <w:rPr>
          <w:rFonts w:ascii="Arial" w:hAnsi="Arial"/>
          <w:smallCaps/>
          <w:spacing w:val="33"/>
          <w:u w:val="single"/>
        </w:rPr>
        <w:t xml:space="preserve"> </w:t>
      </w:r>
      <w:r>
        <w:rPr>
          <w:rFonts w:ascii="Arial" w:hAnsi="Arial"/>
          <w:smallCaps/>
          <w:spacing w:val="-2"/>
          <w:u w:val="single"/>
        </w:rPr>
        <w:t>Patrimonial</w:t>
      </w:r>
    </w:p>
    <w:p w14:paraId="17693DA6" w14:textId="77777777" w:rsidR="002C6574" w:rsidRDefault="002C6574">
      <w:pPr>
        <w:pStyle w:val="Corpodetexto"/>
        <w:spacing w:before="109"/>
        <w:rPr>
          <w:rFonts w:ascii="Arial"/>
          <w:b/>
          <w:sz w:val="16"/>
        </w:rPr>
      </w:pPr>
    </w:p>
    <w:p w14:paraId="3B6ED80E" w14:textId="77777777" w:rsidR="002C6574" w:rsidRDefault="00000000">
      <w:pPr>
        <w:ind w:left="1793" w:right="1431"/>
        <w:jc w:val="center"/>
        <w:rPr>
          <w:rFonts w:ascii="Arial"/>
          <w:b/>
          <w:sz w:val="16"/>
        </w:rPr>
      </w:pPr>
      <w:r>
        <w:rPr>
          <w:rFonts w:ascii="Arial"/>
          <w:b/>
          <w:noProof/>
          <w:sz w:val="16"/>
        </w:rPr>
        <mc:AlternateContent>
          <mc:Choice Requires="wps">
            <w:drawing>
              <wp:anchor distT="0" distB="0" distL="0" distR="0" simplePos="0" relativeHeight="487625216" behindDoc="1" locked="0" layoutInCell="1" allowOverlap="1" wp14:anchorId="5FDDCECC" wp14:editId="5B535B1F">
                <wp:simplePos x="0" y="0"/>
                <wp:positionH relativeFrom="page">
                  <wp:posOffset>2463419</wp:posOffset>
                </wp:positionH>
                <wp:positionV relativeFrom="paragraph">
                  <wp:posOffset>127495</wp:posOffset>
                </wp:positionV>
                <wp:extent cx="2867025" cy="12700"/>
                <wp:effectExtent l="0" t="0" r="0" b="0"/>
                <wp:wrapTopAndBottom/>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12700"/>
                        </a:xfrm>
                        <a:custGeom>
                          <a:avLst/>
                          <a:gdLst/>
                          <a:ahLst/>
                          <a:cxnLst/>
                          <a:rect l="l" t="t" r="r" b="b"/>
                          <a:pathLst>
                            <a:path w="2867025" h="12700">
                              <a:moveTo>
                                <a:pt x="1184135" y="0"/>
                              </a:moveTo>
                              <a:lnTo>
                                <a:pt x="1171956" y="0"/>
                              </a:lnTo>
                              <a:lnTo>
                                <a:pt x="598932" y="0"/>
                              </a:lnTo>
                              <a:lnTo>
                                <a:pt x="586740" y="0"/>
                              </a:lnTo>
                              <a:lnTo>
                                <a:pt x="0" y="0"/>
                              </a:lnTo>
                              <a:lnTo>
                                <a:pt x="0" y="12179"/>
                              </a:lnTo>
                              <a:lnTo>
                                <a:pt x="586740" y="12179"/>
                              </a:lnTo>
                              <a:lnTo>
                                <a:pt x="598932" y="12179"/>
                              </a:lnTo>
                              <a:lnTo>
                                <a:pt x="1171956" y="12179"/>
                              </a:lnTo>
                              <a:lnTo>
                                <a:pt x="1184135" y="12179"/>
                              </a:lnTo>
                              <a:lnTo>
                                <a:pt x="1184135" y="0"/>
                              </a:lnTo>
                              <a:close/>
                            </a:path>
                            <a:path w="2867025" h="12700">
                              <a:moveTo>
                                <a:pt x="1870189" y="0"/>
                              </a:moveTo>
                              <a:lnTo>
                                <a:pt x="1870189" y="0"/>
                              </a:lnTo>
                              <a:lnTo>
                                <a:pt x="1184148" y="0"/>
                              </a:lnTo>
                              <a:lnTo>
                                <a:pt x="1184148" y="12179"/>
                              </a:lnTo>
                              <a:lnTo>
                                <a:pt x="1870189" y="12179"/>
                              </a:lnTo>
                              <a:lnTo>
                                <a:pt x="1870189" y="0"/>
                              </a:lnTo>
                              <a:close/>
                            </a:path>
                            <a:path w="2867025" h="12700">
                              <a:moveTo>
                                <a:pt x="2344153" y="0"/>
                              </a:moveTo>
                              <a:lnTo>
                                <a:pt x="2331974" y="0"/>
                              </a:lnTo>
                              <a:lnTo>
                                <a:pt x="1870202" y="0"/>
                              </a:lnTo>
                              <a:lnTo>
                                <a:pt x="1870202" y="12179"/>
                              </a:lnTo>
                              <a:lnTo>
                                <a:pt x="2331974" y="12179"/>
                              </a:lnTo>
                              <a:lnTo>
                                <a:pt x="2344153" y="12179"/>
                              </a:lnTo>
                              <a:lnTo>
                                <a:pt x="2344153" y="0"/>
                              </a:lnTo>
                              <a:close/>
                            </a:path>
                            <a:path w="2867025" h="12700">
                              <a:moveTo>
                                <a:pt x="2866898" y="0"/>
                              </a:moveTo>
                              <a:lnTo>
                                <a:pt x="2344166" y="0"/>
                              </a:lnTo>
                              <a:lnTo>
                                <a:pt x="2344166" y="12179"/>
                              </a:lnTo>
                              <a:lnTo>
                                <a:pt x="2866898" y="12179"/>
                              </a:lnTo>
                              <a:lnTo>
                                <a:pt x="28668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E8009A" id="Graphic 370" o:spid="_x0000_s1026" style="position:absolute;margin-left:193.95pt;margin-top:10.05pt;width:225.75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28670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" path="m1184135,r-12179,l598932,,586740,,,,,12179r586740,l598932,12179r573024,l1184135,12179r,-12179xem1870189,r,l1184148,r,12179l1870189,12179r,-12179xem2344153,r-12179,l1870202,r,12179l2331974,12179r12179,l2344153,xem2866898,l2344166,r,12179l2866898,12179r,-12179xe" fillcolor="black" stroked="f">
                <v:path arrowok="t"/>
                <w10:wrap type="topAndBottom" anchorx="page"/>
              </v:shape>
            </w:pict>
          </mc:Fallback>
        </mc:AlternateContent>
      </w:r>
      <w:r>
        <w:rPr>
          <w:rFonts w:ascii="Arial"/>
          <w:b/>
          <w:noProof/>
          <w:sz w:val="16"/>
        </w:rPr>
        <mc:AlternateContent>
          <mc:Choice Requires="wps">
            <w:drawing>
              <wp:anchor distT="0" distB="0" distL="0" distR="0" simplePos="0" relativeHeight="15770112" behindDoc="0" locked="0" layoutInCell="1" allowOverlap="1" wp14:anchorId="27DBAD7F" wp14:editId="319BB6EE">
                <wp:simplePos x="0" y="0"/>
                <wp:positionH relativeFrom="page">
                  <wp:posOffset>502919</wp:posOffset>
                </wp:positionH>
                <wp:positionV relativeFrom="paragraph">
                  <wp:posOffset>191491</wp:posOffset>
                </wp:positionV>
                <wp:extent cx="3754754" cy="27876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754" cy="27876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027"/>
                              <w:gridCol w:w="921"/>
                              <w:gridCol w:w="1025"/>
                              <w:gridCol w:w="818"/>
                            </w:tblGrid>
                            <w:tr w:rsidR="002C6574" w14:paraId="78D702A3" w14:textId="77777777">
                              <w:trPr>
                                <w:trHeight w:val="211"/>
                              </w:trPr>
                              <w:tc>
                                <w:tcPr>
                                  <w:tcW w:w="3027" w:type="dxa"/>
                                  <w:shd w:val="clear" w:color="auto" w:fill="0000FF"/>
                                </w:tcPr>
                                <w:p w14:paraId="733B19D1" w14:textId="77777777" w:rsidR="002C6574" w:rsidRDefault="00000000">
                                  <w:pPr>
                                    <w:pStyle w:val="TableParagraph"/>
                                    <w:spacing w:before="27" w:line="164" w:lineRule="exact"/>
                                    <w:ind w:left="69"/>
                                    <w:jc w:val="left"/>
                                    <w:rPr>
                                      <w:rFonts w:ascii="Arial"/>
                                      <w:b/>
                                      <w:sz w:val="16"/>
                                    </w:rPr>
                                  </w:pPr>
                                  <w:r>
                                    <w:rPr>
                                      <w:rFonts w:ascii="Arial"/>
                                      <w:b/>
                                      <w:color w:val="FFFFFF"/>
                                      <w:sz w:val="16"/>
                                    </w:rPr>
                                    <w:t>R$</w:t>
                                  </w:r>
                                  <w:r>
                                    <w:rPr>
                                      <w:rFonts w:ascii="Arial"/>
                                      <w:b/>
                                      <w:color w:val="FFFFFF"/>
                                      <w:spacing w:val="-1"/>
                                      <w:sz w:val="16"/>
                                    </w:rPr>
                                    <w:t xml:space="preserve"> </w:t>
                                  </w:r>
                                  <w:r>
                                    <w:rPr>
                                      <w:rFonts w:ascii="Arial"/>
                                      <w:b/>
                                      <w:color w:val="FFFFFF"/>
                                      <w:spacing w:val="-5"/>
                                      <w:sz w:val="16"/>
                                    </w:rPr>
                                    <w:t>mil</w:t>
                                  </w:r>
                                </w:p>
                              </w:tc>
                              <w:tc>
                                <w:tcPr>
                                  <w:tcW w:w="921" w:type="dxa"/>
                                  <w:shd w:val="clear" w:color="auto" w:fill="0000FF"/>
                                </w:tcPr>
                                <w:p w14:paraId="3D5A4C61" w14:textId="77777777" w:rsidR="002C6574" w:rsidRDefault="00000000">
                                  <w:pPr>
                                    <w:pStyle w:val="TableParagraph"/>
                                    <w:spacing w:before="13" w:line="178" w:lineRule="exact"/>
                                    <w:ind w:left="278"/>
                                    <w:jc w:val="left"/>
                                    <w:rPr>
                                      <w:rFonts w:ascii="Arial"/>
                                      <w:b/>
                                      <w:sz w:val="16"/>
                                    </w:rPr>
                                  </w:pPr>
                                  <w:r>
                                    <w:rPr>
                                      <w:rFonts w:ascii="Arial"/>
                                      <w:b/>
                                      <w:color w:val="FFFFFF"/>
                                      <w:spacing w:val="-4"/>
                                      <w:sz w:val="16"/>
                                    </w:rPr>
                                    <w:t>4T25</w:t>
                                  </w:r>
                                </w:p>
                              </w:tc>
                              <w:tc>
                                <w:tcPr>
                                  <w:tcW w:w="1025" w:type="dxa"/>
                                  <w:shd w:val="clear" w:color="auto" w:fill="0000FF"/>
                                </w:tcPr>
                                <w:p w14:paraId="4C30FCFB" w14:textId="77777777" w:rsidR="002C6574" w:rsidRDefault="00000000">
                                  <w:pPr>
                                    <w:pStyle w:val="TableParagraph"/>
                                    <w:spacing w:before="13" w:line="178" w:lineRule="exact"/>
                                    <w:ind w:left="279"/>
                                    <w:jc w:val="left"/>
                                    <w:rPr>
                                      <w:rFonts w:ascii="Arial"/>
                                      <w:b/>
                                      <w:sz w:val="16"/>
                                    </w:rPr>
                                  </w:pPr>
                                  <w:r>
                                    <w:rPr>
                                      <w:rFonts w:ascii="Arial"/>
                                      <w:b/>
                                      <w:color w:val="FFFFFF"/>
                                      <w:spacing w:val="-4"/>
                                      <w:sz w:val="16"/>
                                    </w:rPr>
                                    <w:t>4T24</w:t>
                                  </w:r>
                                </w:p>
                              </w:tc>
                              <w:tc>
                                <w:tcPr>
                                  <w:tcW w:w="818" w:type="dxa"/>
                                  <w:shd w:val="clear" w:color="auto" w:fill="0000FF"/>
                                </w:tcPr>
                                <w:p w14:paraId="0E65F790" w14:textId="77777777" w:rsidR="002C6574" w:rsidRDefault="00000000">
                                  <w:pPr>
                                    <w:pStyle w:val="TableParagraph"/>
                                    <w:spacing w:before="13" w:line="178" w:lineRule="exact"/>
                                    <w:ind w:left="173"/>
                                    <w:jc w:val="left"/>
                                    <w:rPr>
                                      <w:rFonts w:ascii="Arial"/>
                                      <w:b/>
                                      <w:sz w:val="16"/>
                                    </w:rPr>
                                  </w:pPr>
                                  <w:r>
                                    <w:rPr>
                                      <w:rFonts w:ascii="Arial"/>
                                      <w:b/>
                                      <w:color w:val="FFFFFF"/>
                                      <w:spacing w:val="-4"/>
                                      <w:sz w:val="16"/>
                                    </w:rPr>
                                    <w:t>3T25</w:t>
                                  </w:r>
                                </w:p>
                              </w:tc>
                            </w:tr>
                            <w:tr w:rsidR="002C6574" w14:paraId="2F3BC617" w14:textId="77777777">
                              <w:trPr>
                                <w:trHeight w:val="208"/>
                              </w:trPr>
                              <w:tc>
                                <w:tcPr>
                                  <w:tcW w:w="3027" w:type="dxa"/>
                                  <w:tcBorders>
                                    <w:bottom w:val="single" w:sz="8" w:space="0" w:color="0000FF"/>
                                  </w:tcBorders>
                                </w:tcPr>
                                <w:p w14:paraId="6B8D1150" w14:textId="77777777" w:rsidR="002C6574" w:rsidRDefault="00000000">
                                  <w:pPr>
                                    <w:pStyle w:val="TableParagraph"/>
                                    <w:spacing w:before="13" w:line="175" w:lineRule="exact"/>
                                    <w:ind w:left="69"/>
                                    <w:jc w:val="left"/>
                                    <w:rPr>
                                      <w:rFonts w:ascii="Arial MT" w:hAnsi="Arial MT"/>
                                      <w:sz w:val="16"/>
                                    </w:rPr>
                                  </w:pPr>
                                  <w:r>
                                    <w:rPr>
                                      <w:rFonts w:ascii="Arial MT" w:hAnsi="Arial MT"/>
                                      <w:sz w:val="16"/>
                                    </w:rPr>
                                    <w:t>Resultado</w:t>
                                  </w:r>
                                  <w:r>
                                    <w:rPr>
                                      <w:rFonts w:ascii="Arial MT" w:hAnsi="Arial MT"/>
                                      <w:spacing w:val="-6"/>
                                      <w:sz w:val="16"/>
                                    </w:rPr>
                                    <w:t xml:space="preserve"> </w:t>
                                  </w:r>
                                  <w:r>
                                    <w:rPr>
                                      <w:rFonts w:ascii="Arial MT" w:hAnsi="Arial MT"/>
                                      <w:sz w:val="16"/>
                                    </w:rPr>
                                    <w:t>de</w:t>
                                  </w:r>
                                  <w:r>
                                    <w:rPr>
                                      <w:rFonts w:ascii="Arial MT" w:hAnsi="Arial MT"/>
                                      <w:spacing w:val="-9"/>
                                      <w:sz w:val="16"/>
                                    </w:rPr>
                                    <w:t xml:space="preserve"> </w:t>
                                  </w:r>
                                  <w:r>
                                    <w:rPr>
                                      <w:rFonts w:ascii="Arial MT" w:hAnsi="Arial MT"/>
                                      <w:sz w:val="16"/>
                                    </w:rPr>
                                    <w:t>Equivalência</w:t>
                                  </w:r>
                                  <w:r>
                                    <w:rPr>
                                      <w:rFonts w:ascii="Arial MT" w:hAnsi="Arial MT"/>
                                      <w:spacing w:val="-7"/>
                                      <w:sz w:val="16"/>
                                    </w:rPr>
                                    <w:t xml:space="preserve"> </w:t>
                                  </w:r>
                                  <w:r>
                                    <w:rPr>
                                      <w:rFonts w:ascii="Arial MT" w:hAnsi="Arial MT"/>
                                      <w:spacing w:val="-2"/>
                                      <w:sz w:val="16"/>
                                    </w:rPr>
                                    <w:t>Patrimonial</w:t>
                                  </w:r>
                                </w:p>
                              </w:tc>
                              <w:tc>
                                <w:tcPr>
                                  <w:tcW w:w="921" w:type="dxa"/>
                                  <w:tcBorders>
                                    <w:bottom w:val="single" w:sz="8" w:space="0" w:color="0000FF"/>
                                  </w:tcBorders>
                                  <w:shd w:val="clear" w:color="auto" w:fill="66FFFF"/>
                                </w:tcPr>
                                <w:p w14:paraId="1DDE0BB2" w14:textId="77777777" w:rsidR="002C6574" w:rsidRDefault="00000000">
                                  <w:pPr>
                                    <w:pStyle w:val="TableParagraph"/>
                                    <w:spacing w:before="25" w:line="163" w:lineRule="exact"/>
                                    <w:ind w:left="427"/>
                                    <w:jc w:val="left"/>
                                    <w:rPr>
                                      <w:rFonts w:ascii="Arial MT"/>
                                      <w:sz w:val="16"/>
                                    </w:rPr>
                                  </w:pPr>
                                  <w:r>
                                    <w:rPr>
                                      <w:rFonts w:ascii="Arial MT"/>
                                      <w:spacing w:val="-2"/>
                                      <w:sz w:val="16"/>
                                    </w:rPr>
                                    <w:t>1.404</w:t>
                                  </w:r>
                                </w:p>
                              </w:tc>
                              <w:tc>
                                <w:tcPr>
                                  <w:tcW w:w="1025" w:type="dxa"/>
                                  <w:tcBorders>
                                    <w:bottom w:val="single" w:sz="8" w:space="0" w:color="0000FF"/>
                                  </w:tcBorders>
                                </w:tcPr>
                                <w:p w14:paraId="6A737936" w14:textId="77777777" w:rsidR="002C6574" w:rsidRDefault="00000000">
                                  <w:pPr>
                                    <w:pStyle w:val="TableParagraph"/>
                                    <w:spacing w:before="13" w:line="175" w:lineRule="exact"/>
                                    <w:ind w:left="586"/>
                                    <w:jc w:val="left"/>
                                    <w:rPr>
                                      <w:rFonts w:ascii="Arial MT"/>
                                      <w:sz w:val="16"/>
                                    </w:rPr>
                                  </w:pPr>
                                  <w:r>
                                    <w:rPr>
                                      <w:rFonts w:ascii="Arial MT"/>
                                      <w:spacing w:val="-5"/>
                                      <w:sz w:val="16"/>
                                    </w:rPr>
                                    <w:t>409</w:t>
                                  </w:r>
                                </w:p>
                              </w:tc>
                              <w:tc>
                                <w:tcPr>
                                  <w:tcW w:w="818" w:type="dxa"/>
                                  <w:tcBorders>
                                    <w:bottom w:val="single" w:sz="8" w:space="0" w:color="0000FF"/>
                                  </w:tcBorders>
                                </w:tcPr>
                                <w:p w14:paraId="6AFE0CBE" w14:textId="77777777" w:rsidR="002C6574" w:rsidRDefault="00000000">
                                  <w:pPr>
                                    <w:pStyle w:val="TableParagraph"/>
                                    <w:spacing w:before="13" w:line="175" w:lineRule="exact"/>
                                    <w:ind w:right="65"/>
                                    <w:rPr>
                                      <w:rFonts w:ascii="Arial MT"/>
                                      <w:sz w:val="16"/>
                                    </w:rPr>
                                  </w:pPr>
                                  <w:r>
                                    <w:rPr>
                                      <w:rFonts w:ascii="Arial MT"/>
                                      <w:spacing w:val="-5"/>
                                      <w:sz w:val="16"/>
                                    </w:rPr>
                                    <w:t>23</w:t>
                                  </w:r>
                                </w:p>
                              </w:tc>
                            </w:tr>
                          </w:tbl>
                          <w:p w14:paraId="232B3DF1" w14:textId="77777777" w:rsidR="002C6574" w:rsidRDefault="002C6574">
                            <w:pPr>
                              <w:pStyle w:val="Corpodetexto"/>
                            </w:pPr>
                          </w:p>
                        </w:txbxContent>
                      </wps:txbx>
                      <wps:bodyPr wrap="square" lIns="0" tIns="0" rIns="0" bIns="0" rtlCol="0">
                        <a:noAutofit/>
                      </wps:bodyPr>
                    </wps:wsp>
                  </a:graphicData>
                </a:graphic>
              </wp:anchor>
            </w:drawing>
          </mc:Choice>
          <mc:Fallback>
            <w:pict>
              <v:shape w14:anchorId="27DBAD7F" id="Textbox 371" o:spid="_x0000_s1173" type="#_x0000_t202" style="position:absolute;left:0;text-align:left;margin-left:39.6pt;margin-top:15.1pt;width:295.65pt;height:21.95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3027"/>
                        <w:gridCol w:w="921"/>
                        <w:gridCol w:w="1025"/>
                        <w:gridCol w:w="818"/>
                      </w:tblGrid>
                      <w:tr w:rsidR="002C6574" w14:paraId="78D702A3" w14:textId="77777777">
                        <w:trPr>
                          <w:trHeight w:val="211"/>
                        </w:trPr>
                        <w:tc>
                          <w:tcPr>
                            <w:tcW w:w="3027" w:type="dxa"/>
                            <w:shd w:val="clear" w:color="auto" w:fill="0000FF"/>
                          </w:tcPr>
                          <w:p w14:paraId="733B19D1" w14:textId="77777777" w:rsidR="002C6574" w:rsidRDefault="00000000">
                            <w:pPr>
                              <w:pStyle w:val="TableParagraph"/>
                              <w:spacing w:before="27" w:line="164" w:lineRule="exact"/>
                              <w:ind w:left="69"/>
                              <w:jc w:val="left"/>
                              <w:rPr>
                                <w:rFonts w:ascii="Arial"/>
                                <w:b/>
                                <w:sz w:val="16"/>
                              </w:rPr>
                            </w:pPr>
                            <w:r>
                              <w:rPr>
                                <w:rFonts w:ascii="Arial"/>
                                <w:b/>
                                <w:color w:val="FFFFFF"/>
                                <w:sz w:val="16"/>
                              </w:rPr>
                              <w:t>R$</w:t>
                            </w:r>
                            <w:r>
                              <w:rPr>
                                <w:rFonts w:ascii="Arial"/>
                                <w:b/>
                                <w:color w:val="FFFFFF"/>
                                <w:spacing w:val="-1"/>
                                <w:sz w:val="16"/>
                              </w:rPr>
                              <w:t xml:space="preserve"> </w:t>
                            </w:r>
                            <w:r>
                              <w:rPr>
                                <w:rFonts w:ascii="Arial"/>
                                <w:b/>
                                <w:color w:val="FFFFFF"/>
                                <w:spacing w:val="-5"/>
                                <w:sz w:val="16"/>
                              </w:rPr>
                              <w:t>mil</w:t>
                            </w:r>
                          </w:p>
                        </w:tc>
                        <w:tc>
                          <w:tcPr>
                            <w:tcW w:w="921" w:type="dxa"/>
                            <w:shd w:val="clear" w:color="auto" w:fill="0000FF"/>
                          </w:tcPr>
                          <w:p w14:paraId="3D5A4C61" w14:textId="77777777" w:rsidR="002C6574" w:rsidRDefault="00000000">
                            <w:pPr>
                              <w:pStyle w:val="TableParagraph"/>
                              <w:spacing w:before="13" w:line="178" w:lineRule="exact"/>
                              <w:ind w:left="278"/>
                              <w:jc w:val="left"/>
                              <w:rPr>
                                <w:rFonts w:ascii="Arial"/>
                                <w:b/>
                                <w:sz w:val="16"/>
                              </w:rPr>
                            </w:pPr>
                            <w:r>
                              <w:rPr>
                                <w:rFonts w:ascii="Arial"/>
                                <w:b/>
                                <w:color w:val="FFFFFF"/>
                                <w:spacing w:val="-4"/>
                                <w:sz w:val="16"/>
                              </w:rPr>
                              <w:t>4T25</w:t>
                            </w:r>
                          </w:p>
                        </w:tc>
                        <w:tc>
                          <w:tcPr>
                            <w:tcW w:w="1025" w:type="dxa"/>
                            <w:shd w:val="clear" w:color="auto" w:fill="0000FF"/>
                          </w:tcPr>
                          <w:p w14:paraId="4C30FCFB" w14:textId="77777777" w:rsidR="002C6574" w:rsidRDefault="00000000">
                            <w:pPr>
                              <w:pStyle w:val="TableParagraph"/>
                              <w:spacing w:before="13" w:line="178" w:lineRule="exact"/>
                              <w:ind w:left="279"/>
                              <w:jc w:val="left"/>
                              <w:rPr>
                                <w:rFonts w:ascii="Arial"/>
                                <w:b/>
                                <w:sz w:val="16"/>
                              </w:rPr>
                            </w:pPr>
                            <w:r>
                              <w:rPr>
                                <w:rFonts w:ascii="Arial"/>
                                <w:b/>
                                <w:color w:val="FFFFFF"/>
                                <w:spacing w:val="-4"/>
                                <w:sz w:val="16"/>
                              </w:rPr>
                              <w:t>4T24</w:t>
                            </w:r>
                          </w:p>
                        </w:tc>
                        <w:tc>
                          <w:tcPr>
                            <w:tcW w:w="818" w:type="dxa"/>
                            <w:shd w:val="clear" w:color="auto" w:fill="0000FF"/>
                          </w:tcPr>
                          <w:p w14:paraId="0E65F790" w14:textId="77777777" w:rsidR="002C6574" w:rsidRDefault="00000000">
                            <w:pPr>
                              <w:pStyle w:val="TableParagraph"/>
                              <w:spacing w:before="13" w:line="178" w:lineRule="exact"/>
                              <w:ind w:left="173"/>
                              <w:jc w:val="left"/>
                              <w:rPr>
                                <w:rFonts w:ascii="Arial"/>
                                <w:b/>
                                <w:sz w:val="16"/>
                              </w:rPr>
                            </w:pPr>
                            <w:r>
                              <w:rPr>
                                <w:rFonts w:ascii="Arial"/>
                                <w:b/>
                                <w:color w:val="FFFFFF"/>
                                <w:spacing w:val="-4"/>
                                <w:sz w:val="16"/>
                              </w:rPr>
                              <w:t>3T25</w:t>
                            </w:r>
                          </w:p>
                        </w:tc>
                      </w:tr>
                      <w:tr w:rsidR="002C6574" w14:paraId="2F3BC617" w14:textId="77777777">
                        <w:trPr>
                          <w:trHeight w:val="208"/>
                        </w:trPr>
                        <w:tc>
                          <w:tcPr>
                            <w:tcW w:w="3027" w:type="dxa"/>
                            <w:tcBorders>
                              <w:bottom w:val="single" w:sz="8" w:space="0" w:color="0000FF"/>
                            </w:tcBorders>
                          </w:tcPr>
                          <w:p w14:paraId="6B8D1150" w14:textId="77777777" w:rsidR="002C6574" w:rsidRDefault="00000000">
                            <w:pPr>
                              <w:pStyle w:val="TableParagraph"/>
                              <w:spacing w:before="13" w:line="175" w:lineRule="exact"/>
                              <w:ind w:left="69"/>
                              <w:jc w:val="left"/>
                              <w:rPr>
                                <w:rFonts w:ascii="Arial MT" w:hAnsi="Arial MT"/>
                                <w:sz w:val="16"/>
                              </w:rPr>
                            </w:pPr>
                            <w:r>
                              <w:rPr>
                                <w:rFonts w:ascii="Arial MT" w:hAnsi="Arial MT"/>
                                <w:sz w:val="16"/>
                              </w:rPr>
                              <w:t>Resultado</w:t>
                            </w:r>
                            <w:r>
                              <w:rPr>
                                <w:rFonts w:ascii="Arial MT" w:hAnsi="Arial MT"/>
                                <w:spacing w:val="-6"/>
                                <w:sz w:val="16"/>
                              </w:rPr>
                              <w:t xml:space="preserve"> </w:t>
                            </w:r>
                            <w:r>
                              <w:rPr>
                                <w:rFonts w:ascii="Arial MT" w:hAnsi="Arial MT"/>
                                <w:sz w:val="16"/>
                              </w:rPr>
                              <w:t>de</w:t>
                            </w:r>
                            <w:r>
                              <w:rPr>
                                <w:rFonts w:ascii="Arial MT" w:hAnsi="Arial MT"/>
                                <w:spacing w:val="-9"/>
                                <w:sz w:val="16"/>
                              </w:rPr>
                              <w:t xml:space="preserve"> </w:t>
                            </w:r>
                            <w:r>
                              <w:rPr>
                                <w:rFonts w:ascii="Arial MT" w:hAnsi="Arial MT"/>
                                <w:sz w:val="16"/>
                              </w:rPr>
                              <w:t>Equivalência</w:t>
                            </w:r>
                            <w:r>
                              <w:rPr>
                                <w:rFonts w:ascii="Arial MT" w:hAnsi="Arial MT"/>
                                <w:spacing w:val="-7"/>
                                <w:sz w:val="16"/>
                              </w:rPr>
                              <w:t xml:space="preserve"> </w:t>
                            </w:r>
                            <w:r>
                              <w:rPr>
                                <w:rFonts w:ascii="Arial MT" w:hAnsi="Arial MT"/>
                                <w:spacing w:val="-2"/>
                                <w:sz w:val="16"/>
                              </w:rPr>
                              <w:t>Patrimonial</w:t>
                            </w:r>
                          </w:p>
                        </w:tc>
                        <w:tc>
                          <w:tcPr>
                            <w:tcW w:w="921" w:type="dxa"/>
                            <w:tcBorders>
                              <w:bottom w:val="single" w:sz="8" w:space="0" w:color="0000FF"/>
                            </w:tcBorders>
                            <w:shd w:val="clear" w:color="auto" w:fill="66FFFF"/>
                          </w:tcPr>
                          <w:p w14:paraId="1DDE0BB2" w14:textId="77777777" w:rsidR="002C6574" w:rsidRDefault="00000000">
                            <w:pPr>
                              <w:pStyle w:val="TableParagraph"/>
                              <w:spacing w:before="25" w:line="163" w:lineRule="exact"/>
                              <w:ind w:left="427"/>
                              <w:jc w:val="left"/>
                              <w:rPr>
                                <w:rFonts w:ascii="Arial MT"/>
                                <w:sz w:val="16"/>
                              </w:rPr>
                            </w:pPr>
                            <w:r>
                              <w:rPr>
                                <w:rFonts w:ascii="Arial MT"/>
                                <w:spacing w:val="-2"/>
                                <w:sz w:val="16"/>
                              </w:rPr>
                              <w:t>1.404</w:t>
                            </w:r>
                          </w:p>
                        </w:tc>
                        <w:tc>
                          <w:tcPr>
                            <w:tcW w:w="1025" w:type="dxa"/>
                            <w:tcBorders>
                              <w:bottom w:val="single" w:sz="8" w:space="0" w:color="0000FF"/>
                            </w:tcBorders>
                          </w:tcPr>
                          <w:p w14:paraId="6A737936" w14:textId="77777777" w:rsidR="002C6574" w:rsidRDefault="00000000">
                            <w:pPr>
                              <w:pStyle w:val="TableParagraph"/>
                              <w:spacing w:before="13" w:line="175" w:lineRule="exact"/>
                              <w:ind w:left="586"/>
                              <w:jc w:val="left"/>
                              <w:rPr>
                                <w:rFonts w:ascii="Arial MT"/>
                                <w:sz w:val="16"/>
                              </w:rPr>
                            </w:pPr>
                            <w:r>
                              <w:rPr>
                                <w:rFonts w:ascii="Arial MT"/>
                                <w:spacing w:val="-5"/>
                                <w:sz w:val="16"/>
                              </w:rPr>
                              <w:t>409</w:t>
                            </w:r>
                          </w:p>
                        </w:tc>
                        <w:tc>
                          <w:tcPr>
                            <w:tcW w:w="818" w:type="dxa"/>
                            <w:tcBorders>
                              <w:bottom w:val="single" w:sz="8" w:space="0" w:color="0000FF"/>
                            </w:tcBorders>
                          </w:tcPr>
                          <w:p w14:paraId="6AFE0CBE" w14:textId="77777777" w:rsidR="002C6574" w:rsidRDefault="00000000">
                            <w:pPr>
                              <w:pStyle w:val="TableParagraph"/>
                              <w:spacing w:before="13" w:line="175" w:lineRule="exact"/>
                              <w:ind w:right="65"/>
                              <w:rPr>
                                <w:rFonts w:ascii="Arial MT"/>
                                <w:sz w:val="16"/>
                              </w:rPr>
                            </w:pPr>
                            <w:r>
                              <w:rPr>
                                <w:rFonts w:ascii="Arial MT"/>
                                <w:spacing w:val="-5"/>
                                <w:sz w:val="16"/>
                              </w:rPr>
                              <w:t>23</w:t>
                            </w:r>
                          </w:p>
                        </w:tc>
                      </w:tr>
                    </w:tbl>
                    <w:p w14:paraId="232B3DF1" w14:textId="77777777" w:rsidR="002C6574" w:rsidRDefault="002C6574">
                      <w:pPr>
                        <w:pStyle w:val="Corpodetexto"/>
                      </w:pPr>
                    </w:p>
                  </w:txbxContent>
                </v:textbox>
                <w10:wrap anchorx="page"/>
              </v:shape>
            </w:pict>
          </mc:Fallback>
        </mc:AlternateContent>
      </w:r>
      <w:r>
        <w:rPr>
          <w:rFonts w:ascii="Arial"/>
          <w:b/>
          <w:spacing w:val="-2"/>
          <w:sz w:val="16"/>
        </w:rPr>
        <w:t>Trimestres</w:t>
      </w:r>
    </w:p>
    <w:p w14:paraId="26636741" w14:textId="77777777" w:rsidR="002C6574" w:rsidRDefault="00000000">
      <w:pPr>
        <w:tabs>
          <w:tab w:val="left" w:pos="7273"/>
          <w:tab w:val="left" w:pos="8413"/>
          <w:tab w:val="left" w:pos="9354"/>
          <w:tab w:val="left" w:pos="10007"/>
        </w:tabs>
        <w:spacing w:before="104"/>
        <w:ind w:left="6378"/>
        <w:rPr>
          <w:rFonts w:ascii="Arial" w:hAnsi="Arial"/>
          <w:b/>
          <w:sz w:val="16"/>
        </w:rPr>
      </w:pPr>
      <w:r>
        <w:rPr>
          <w:rFonts w:ascii="Times New Roman" w:hAnsi="Times New Roman"/>
          <w:color w:val="FFFFFF"/>
          <w:spacing w:val="76"/>
          <w:w w:val="150"/>
          <w:sz w:val="16"/>
          <w:highlight w:val="blue"/>
        </w:rPr>
        <w:t xml:space="preserve"> </w:t>
      </w:r>
      <w:r>
        <w:rPr>
          <w:rFonts w:ascii="Arial" w:hAnsi="Arial"/>
          <w:b/>
          <w:color w:val="FFFFFF"/>
          <w:sz w:val="16"/>
          <w:highlight w:val="blue"/>
        </w:rPr>
        <w:t xml:space="preserve">Δ </w:t>
      </w:r>
      <w:r>
        <w:rPr>
          <w:rFonts w:ascii="Arial" w:hAnsi="Arial"/>
          <w:b/>
          <w:color w:val="FFFFFF"/>
          <w:spacing w:val="-5"/>
          <w:sz w:val="16"/>
          <w:highlight w:val="blue"/>
        </w:rPr>
        <w:t>Ano</w:t>
      </w:r>
      <w:r>
        <w:rPr>
          <w:rFonts w:ascii="Arial" w:hAnsi="Arial"/>
          <w:b/>
          <w:color w:val="FFFFFF"/>
          <w:sz w:val="16"/>
          <w:highlight w:val="blue"/>
        </w:rPr>
        <w:tab/>
        <w:t>Δ Trim.</w:t>
      </w:r>
      <w:r>
        <w:rPr>
          <w:rFonts w:ascii="Arial" w:hAnsi="Arial"/>
          <w:b/>
          <w:color w:val="FFFFFF"/>
          <w:spacing w:val="99"/>
          <w:sz w:val="16"/>
          <w:highlight w:val="blue"/>
        </w:rPr>
        <w:t xml:space="preserve"> </w:t>
      </w:r>
      <w:r>
        <w:rPr>
          <w:rFonts w:ascii="Arial" w:hAnsi="Arial"/>
          <w:b/>
          <w:color w:val="FFFFFF"/>
          <w:spacing w:val="99"/>
          <w:sz w:val="16"/>
        </w:rPr>
        <w:t xml:space="preserve"> </w:t>
      </w:r>
      <w:r>
        <w:rPr>
          <w:rFonts w:ascii="Arial" w:hAnsi="Arial"/>
          <w:b/>
          <w:color w:val="FFFFFF"/>
          <w:sz w:val="16"/>
          <w:highlight w:val="blue"/>
        </w:rPr>
        <w:tab/>
      </w:r>
      <w:r>
        <w:rPr>
          <w:rFonts w:ascii="Arial" w:hAnsi="Arial"/>
          <w:b/>
          <w:color w:val="FFFFFF"/>
          <w:spacing w:val="-4"/>
          <w:sz w:val="16"/>
          <w:highlight w:val="blue"/>
        </w:rPr>
        <w:t>2025</w:t>
      </w:r>
      <w:r>
        <w:rPr>
          <w:rFonts w:ascii="Arial" w:hAnsi="Arial"/>
          <w:b/>
          <w:color w:val="FFFFFF"/>
          <w:sz w:val="16"/>
          <w:highlight w:val="blue"/>
        </w:rPr>
        <w:tab/>
      </w:r>
      <w:r>
        <w:rPr>
          <w:rFonts w:ascii="Arial" w:hAnsi="Arial"/>
          <w:b/>
          <w:color w:val="FFFFFF"/>
          <w:spacing w:val="-4"/>
          <w:sz w:val="16"/>
          <w:highlight w:val="blue"/>
        </w:rPr>
        <w:t>2024</w:t>
      </w:r>
      <w:r>
        <w:rPr>
          <w:rFonts w:ascii="Arial" w:hAnsi="Arial"/>
          <w:b/>
          <w:color w:val="FFFFFF"/>
          <w:sz w:val="16"/>
          <w:highlight w:val="blue"/>
        </w:rPr>
        <w:tab/>
      </w:r>
      <w:r>
        <w:rPr>
          <w:rFonts w:ascii="Arial" w:hAnsi="Arial"/>
          <w:b/>
          <w:color w:val="FFFFFF"/>
          <w:spacing w:val="115"/>
          <w:sz w:val="16"/>
        </w:rPr>
        <w:t xml:space="preserve"> </w:t>
      </w:r>
      <w:r>
        <w:rPr>
          <w:rFonts w:ascii="Times New Roman" w:hAnsi="Times New Roman"/>
          <w:color w:val="FFFFFF"/>
          <w:spacing w:val="115"/>
          <w:sz w:val="16"/>
          <w:highlight w:val="blue"/>
        </w:rPr>
        <w:t xml:space="preserve"> </w:t>
      </w:r>
      <w:r>
        <w:rPr>
          <w:rFonts w:ascii="Arial" w:hAnsi="Arial"/>
          <w:b/>
          <w:color w:val="FFFFFF"/>
          <w:sz w:val="16"/>
          <w:highlight w:val="blue"/>
        </w:rPr>
        <w:t>Δ Ano</w:t>
      </w:r>
      <w:r>
        <w:rPr>
          <w:rFonts w:ascii="Arial" w:hAnsi="Arial"/>
          <w:b/>
          <w:color w:val="FFFFFF"/>
          <w:spacing w:val="40"/>
          <w:sz w:val="16"/>
          <w:highlight w:val="blue"/>
        </w:rPr>
        <w:t xml:space="preserve"> </w:t>
      </w:r>
    </w:p>
    <w:p w14:paraId="4E7CFE1B" w14:textId="77777777" w:rsidR="002C6574" w:rsidRDefault="00000000">
      <w:pPr>
        <w:tabs>
          <w:tab w:val="left" w:pos="7268"/>
          <w:tab w:val="left" w:pos="9433"/>
          <w:tab w:val="left" w:pos="10304"/>
        </w:tabs>
        <w:spacing w:before="29"/>
        <w:ind w:left="6512"/>
        <w:rPr>
          <w:rFonts w:ascii="Arial MT"/>
          <w:sz w:val="16"/>
        </w:rPr>
      </w:pPr>
      <w:r>
        <w:rPr>
          <w:rFonts w:ascii="Arial MT"/>
          <w:noProof/>
          <w:sz w:val="16"/>
        </w:rPr>
        <mc:AlternateContent>
          <mc:Choice Requires="wpg">
            <w:drawing>
              <wp:anchor distT="0" distB="0" distL="0" distR="0" simplePos="0" relativeHeight="472595456" behindDoc="1" locked="0" layoutInCell="1" allowOverlap="1" wp14:anchorId="3DC5A17A" wp14:editId="61D09711">
                <wp:simplePos x="0" y="0"/>
                <wp:positionH relativeFrom="page">
                  <wp:posOffset>5421757</wp:posOffset>
                </wp:positionH>
                <wp:positionV relativeFrom="paragraph">
                  <wp:posOffset>9153</wp:posOffset>
                </wp:positionV>
                <wp:extent cx="1203325" cy="144780"/>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3325" cy="144780"/>
                          <a:chOff x="0" y="0"/>
                          <a:chExt cx="1203325" cy="144780"/>
                        </a:xfrm>
                      </wpg:grpSpPr>
                      <wps:wsp>
                        <wps:cNvPr id="373" name="Textbox 373"/>
                        <wps:cNvSpPr txBox="1"/>
                        <wps:spPr>
                          <a:xfrm>
                            <a:off x="9144" y="0"/>
                            <a:ext cx="590550" cy="132715"/>
                          </a:xfrm>
                          <a:prstGeom prst="rect">
                            <a:avLst/>
                          </a:prstGeom>
                          <a:solidFill>
                            <a:srgbClr val="66FFFF"/>
                          </a:solidFill>
                        </wps:spPr>
                        <wps:txbx>
                          <w:txbxContent>
                            <w:p w14:paraId="4BCAD6AA" w14:textId="77777777" w:rsidR="002C6574" w:rsidRDefault="00000000">
                              <w:pPr>
                                <w:spacing w:before="25" w:line="184" w:lineRule="exact"/>
                                <w:ind w:left="562"/>
                                <w:rPr>
                                  <w:rFonts w:ascii="Arial MT"/>
                                  <w:color w:val="000000"/>
                                  <w:sz w:val="16"/>
                                </w:rPr>
                              </w:pPr>
                              <w:r>
                                <w:rPr>
                                  <w:rFonts w:ascii="Arial MT"/>
                                  <w:color w:val="000000"/>
                                  <w:spacing w:val="-5"/>
                                  <w:sz w:val="16"/>
                                </w:rPr>
                                <w:t>369</w:t>
                              </w:r>
                            </w:p>
                          </w:txbxContent>
                        </wps:txbx>
                        <wps:bodyPr wrap="square" lIns="0" tIns="0" rIns="0" bIns="0" rtlCol="0">
                          <a:noAutofit/>
                        </wps:bodyPr>
                      </wps:wsp>
                      <wps:wsp>
                        <wps:cNvPr id="374" name="Graphic 374"/>
                        <wps:cNvSpPr/>
                        <wps:spPr>
                          <a:xfrm>
                            <a:off x="0" y="132587"/>
                            <a:ext cx="1203325" cy="12700"/>
                          </a:xfrm>
                          <a:custGeom>
                            <a:avLst/>
                            <a:gdLst/>
                            <a:ahLst/>
                            <a:cxnLst/>
                            <a:rect l="l" t="t" r="r" b="b"/>
                            <a:pathLst>
                              <a:path w="1203325" h="12700">
                                <a:moveTo>
                                  <a:pt x="602348" y="0"/>
                                </a:moveTo>
                                <a:lnTo>
                                  <a:pt x="599236" y="0"/>
                                </a:lnTo>
                                <a:lnTo>
                                  <a:pt x="590169" y="0"/>
                                </a:lnTo>
                                <a:lnTo>
                                  <a:pt x="0" y="0"/>
                                </a:lnTo>
                                <a:lnTo>
                                  <a:pt x="0" y="12192"/>
                                </a:lnTo>
                                <a:lnTo>
                                  <a:pt x="590169" y="12192"/>
                                </a:lnTo>
                                <a:lnTo>
                                  <a:pt x="599236" y="12192"/>
                                </a:lnTo>
                                <a:lnTo>
                                  <a:pt x="602348" y="12192"/>
                                </a:lnTo>
                                <a:lnTo>
                                  <a:pt x="602348" y="0"/>
                                </a:lnTo>
                                <a:close/>
                              </a:path>
                              <a:path w="1203325" h="12700">
                                <a:moveTo>
                                  <a:pt x="1202817" y="0"/>
                                </a:moveTo>
                                <a:lnTo>
                                  <a:pt x="602361" y="0"/>
                                </a:lnTo>
                                <a:lnTo>
                                  <a:pt x="602361" y="12192"/>
                                </a:lnTo>
                                <a:lnTo>
                                  <a:pt x="1202817" y="12192"/>
                                </a:lnTo>
                                <a:lnTo>
                                  <a:pt x="1202817"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3DC5A17A" id="Group 372" o:spid="_x0000_s1174" style="position:absolute;left:0;text-align:left;margin-left:426.9pt;margin-top:.7pt;width:94.75pt;height:11.4pt;z-index:-30721024;mso-wrap-distance-left:0;mso-wrap-distance-right:0;mso-position-horizontal-relative:page;mso-position-vertical-relative:text" coordsize="12033,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">
                <v:shape id="Textbox 373" o:spid="_x0000_s1175" type="#_x0000_t202" style="position:absolute;left:91;width:590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" fillcolor="#6ff" stroked="f">
                  <v:textbox inset="0,0,0,0">
                    <w:txbxContent>
                      <w:p w14:paraId="4BCAD6AA" w14:textId="77777777" w:rsidR="002C6574" w:rsidRDefault="00000000">
                        <w:pPr>
                          <w:spacing w:before="25" w:line="184" w:lineRule="exact"/>
                          <w:ind w:left="562"/>
                          <w:rPr>
                            <w:rFonts w:ascii="Arial MT"/>
                            <w:color w:val="000000"/>
                            <w:sz w:val="16"/>
                          </w:rPr>
                        </w:pPr>
                        <w:r>
                          <w:rPr>
                            <w:rFonts w:ascii="Arial MT"/>
                            <w:color w:val="000000"/>
                            <w:spacing w:val="-5"/>
                            <w:sz w:val="16"/>
                          </w:rPr>
                          <w:t>369</w:t>
                        </w:r>
                      </w:p>
                    </w:txbxContent>
                  </v:textbox>
                </v:shape>
                <v:shape id="Graphic 374" o:spid="_x0000_s1176" style="position:absolute;top:1325;width:12033;height:127;visibility:visible;mso-wrap-style:square;v-text-anchor:top" coordsize="12033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" path="m602348,r-3112,l590169,,,,,12192r590169,l599236,12192r3112,l602348,xem1202817,l602361,r,12192l1202817,12192r,-12192xe" fillcolor="blue" stroked="f">
                  <v:path arrowok="t"/>
                </v:shape>
                <w10:wrap anchorx="page"/>
              </v:group>
            </w:pict>
          </mc:Fallback>
        </mc:AlternateContent>
      </w:r>
      <w:r>
        <w:rPr>
          <w:rFonts w:ascii="Arial MT"/>
          <w:spacing w:val="-2"/>
          <w:position w:val="1"/>
          <w:sz w:val="16"/>
        </w:rPr>
        <w:t>243,3%</w:t>
      </w:r>
      <w:r>
        <w:rPr>
          <w:rFonts w:ascii="Arial MT"/>
          <w:position w:val="1"/>
          <w:sz w:val="16"/>
        </w:rPr>
        <w:tab/>
      </w:r>
      <w:r>
        <w:rPr>
          <w:rFonts w:ascii="Arial MT"/>
          <w:spacing w:val="-2"/>
          <w:position w:val="1"/>
          <w:sz w:val="16"/>
        </w:rPr>
        <w:t>6004,3%</w:t>
      </w:r>
      <w:r>
        <w:rPr>
          <w:rFonts w:ascii="Arial MT"/>
          <w:position w:val="1"/>
          <w:sz w:val="16"/>
        </w:rPr>
        <w:tab/>
      </w:r>
      <w:r>
        <w:rPr>
          <w:rFonts w:ascii="Arial MT"/>
          <w:spacing w:val="-2"/>
          <w:position w:val="1"/>
          <w:sz w:val="16"/>
        </w:rPr>
        <w:t>(1.013)</w:t>
      </w:r>
      <w:r>
        <w:rPr>
          <w:rFonts w:ascii="Arial MT"/>
          <w:position w:val="1"/>
          <w:sz w:val="16"/>
        </w:rPr>
        <w:tab/>
      </w:r>
      <w:r>
        <w:rPr>
          <w:rFonts w:ascii="Arial MT"/>
          <w:spacing w:val="-2"/>
          <w:sz w:val="16"/>
        </w:rPr>
        <w:t>136,4%</w:t>
      </w:r>
    </w:p>
    <w:p w14:paraId="2C2D3551" w14:textId="77777777" w:rsidR="002C6574" w:rsidRDefault="00000000">
      <w:pPr>
        <w:tabs>
          <w:tab w:val="left" w:pos="10156"/>
        </w:tabs>
        <w:spacing w:line="20" w:lineRule="exact"/>
        <w:ind w:left="6366"/>
        <w:rPr>
          <w:rFonts w:ascii="Arial MT"/>
          <w:sz w:val="2"/>
        </w:rPr>
      </w:pPr>
      <w:r>
        <w:rPr>
          <w:rFonts w:ascii="Arial MT"/>
          <w:noProof/>
          <w:sz w:val="2"/>
        </w:rPr>
        <mc:AlternateContent>
          <mc:Choice Requires="wpg">
            <w:drawing>
              <wp:inline distT="0" distB="0" distL="0" distR="0" wp14:anchorId="1A404789" wp14:editId="2F051CE0">
                <wp:extent cx="1018540" cy="12700"/>
                <wp:effectExtent l="0" t="0" r="0" b="0"/>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540" cy="12700"/>
                          <a:chOff x="0" y="0"/>
                          <a:chExt cx="1018540" cy="12700"/>
                        </a:xfrm>
                      </wpg:grpSpPr>
                      <wps:wsp>
                        <wps:cNvPr id="376" name="Graphic 376"/>
                        <wps:cNvSpPr/>
                        <wps:spPr>
                          <a:xfrm>
                            <a:off x="0" y="0"/>
                            <a:ext cx="1018540" cy="12700"/>
                          </a:xfrm>
                          <a:custGeom>
                            <a:avLst/>
                            <a:gdLst/>
                            <a:ahLst/>
                            <a:cxnLst/>
                            <a:rect l="l" t="t" r="r" b="b"/>
                            <a:pathLst>
                              <a:path w="1018540" h="12700">
                                <a:moveTo>
                                  <a:pt x="486143" y="0"/>
                                </a:moveTo>
                                <a:lnTo>
                                  <a:pt x="483108" y="0"/>
                                </a:lnTo>
                                <a:lnTo>
                                  <a:pt x="473964" y="0"/>
                                </a:lnTo>
                                <a:lnTo>
                                  <a:pt x="0" y="0"/>
                                </a:lnTo>
                                <a:lnTo>
                                  <a:pt x="0" y="12192"/>
                                </a:lnTo>
                                <a:lnTo>
                                  <a:pt x="473964" y="12192"/>
                                </a:lnTo>
                                <a:lnTo>
                                  <a:pt x="483108" y="12192"/>
                                </a:lnTo>
                                <a:lnTo>
                                  <a:pt x="486143" y="12192"/>
                                </a:lnTo>
                                <a:lnTo>
                                  <a:pt x="486143" y="0"/>
                                </a:lnTo>
                                <a:close/>
                              </a:path>
                              <a:path w="1018540" h="12700">
                                <a:moveTo>
                                  <a:pt x="1018032" y="0"/>
                                </a:moveTo>
                                <a:lnTo>
                                  <a:pt x="486156" y="0"/>
                                </a:lnTo>
                                <a:lnTo>
                                  <a:pt x="486156" y="12192"/>
                                </a:lnTo>
                                <a:lnTo>
                                  <a:pt x="1018032" y="12192"/>
                                </a:lnTo>
                                <a:lnTo>
                                  <a:pt x="1018032" y="0"/>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761A5C44" id="Group 375" o:spid="_x0000_s1026" style="width:80.2pt;height:1pt;mso-position-horizontal-relative:char;mso-position-vertical-relative:line" coordsize="1018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">
                <v:shape id="Graphic 376" o:spid="_x0000_s1027" style="position:absolute;width:10185;height:127;visibility:visible;mso-wrap-style:square;v-text-anchor:top" coordsize="10185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" path="m486143,r-3035,l473964,,,,,12192r473964,l483108,12192r3035,l486143,xem1018032,l486156,r,12192l1018032,12192r,-12192xe" fillcolor="blue" stroked="f">
                  <v:path arrowok="t"/>
                </v:shape>
                <w10:anchorlock/>
              </v:group>
            </w:pict>
          </mc:Fallback>
        </mc:AlternateContent>
      </w:r>
      <w:r>
        <w:rPr>
          <w:rFonts w:ascii="Arial MT"/>
          <w:sz w:val="2"/>
        </w:rPr>
        <w:tab/>
      </w:r>
      <w:r>
        <w:rPr>
          <w:rFonts w:ascii="Arial MT"/>
          <w:noProof/>
          <w:sz w:val="2"/>
        </w:rPr>
        <mc:AlternateContent>
          <mc:Choice Requires="wpg">
            <w:drawing>
              <wp:inline distT="0" distB="0" distL="0" distR="0" wp14:anchorId="72318980" wp14:editId="7174E251">
                <wp:extent cx="483870" cy="12700"/>
                <wp:effectExtent l="0" t="0" r="0" b="0"/>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70" cy="12700"/>
                          <a:chOff x="0" y="0"/>
                          <a:chExt cx="483870" cy="12700"/>
                        </a:xfrm>
                      </wpg:grpSpPr>
                      <wps:wsp>
                        <wps:cNvPr id="378" name="Graphic 378"/>
                        <wps:cNvSpPr/>
                        <wps:spPr>
                          <a:xfrm>
                            <a:off x="0" y="0"/>
                            <a:ext cx="483870" cy="12700"/>
                          </a:xfrm>
                          <a:custGeom>
                            <a:avLst/>
                            <a:gdLst/>
                            <a:ahLst/>
                            <a:cxnLst/>
                            <a:rect l="l" t="t" r="r" b="b"/>
                            <a:pathLst>
                              <a:path w="483870" h="12700">
                                <a:moveTo>
                                  <a:pt x="483412" y="0"/>
                                </a:moveTo>
                                <a:lnTo>
                                  <a:pt x="0" y="0"/>
                                </a:lnTo>
                                <a:lnTo>
                                  <a:pt x="0" y="12192"/>
                                </a:lnTo>
                                <a:lnTo>
                                  <a:pt x="483412" y="12192"/>
                                </a:lnTo>
                                <a:lnTo>
                                  <a:pt x="483412" y="0"/>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0B6ACCDF" id="Group 377" o:spid="_x0000_s1026" style="width:38.1pt;height:1pt;mso-position-horizontal-relative:char;mso-position-vertical-relative:line" coordsize="48387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">
                <v:shape id="Graphic 378" o:spid="_x0000_s1027" style="position:absolute;width:483870;height:12700;visibility:visible;mso-wrap-style:square;v-text-anchor:top" coordsize="4838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" path="m483412,l,,,12192r483412,l483412,xe" fillcolor="blue" stroked="f">
                  <v:path arrowok="t"/>
                </v:shape>
                <w10:anchorlock/>
              </v:group>
            </w:pict>
          </mc:Fallback>
        </mc:AlternateContent>
      </w:r>
    </w:p>
    <w:p w14:paraId="5D63204B" w14:textId="77777777" w:rsidR="002C6574" w:rsidRDefault="00000000">
      <w:pPr>
        <w:pStyle w:val="Corpodetexto"/>
        <w:spacing w:before="239" w:line="276" w:lineRule="auto"/>
        <w:ind w:left="427" w:right="138"/>
        <w:jc w:val="both"/>
        <w:rPr>
          <w:rFonts w:ascii="Arial MT" w:hAnsi="Arial MT"/>
        </w:rPr>
      </w:pPr>
      <w:r>
        <w:rPr>
          <w:rFonts w:ascii="Arial MT" w:hAnsi="Arial MT"/>
        </w:rPr>
        <w:t>O Resultado de Equivalência Patrimonial reflete a participação da Telebras (49%) no</w:t>
      </w:r>
      <w:r>
        <w:rPr>
          <w:rFonts w:ascii="Arial MT" w:hAnsi="Arial MT"/>
          <w:spacing w:val="-2"/>
        </w:rPr>
        <w:t xml:space="preserve"> </w:t>
      </w:r>
      <w:r>
        <w:rPr>
          <w:rFonts w:ascii="Arial MT" w:hAnsi="Arial MT"/>
        </w:rPr>
        <w:t>resultado da</w:t>
      </w:r>
      <w:r>
        <w:rPr>
          <w:rFonts w:ascii="Arial MT" w:hAnsi="Arial MT"/>
          <w:spacing w:val="-2"/>
        </w:rPr>
        <w:t xml:space="preserve"> </w:t>
      </w:r>
      <w:r>
        <w:rPr>
          <w:rFonts w:ascii="Arial MT" w:hAnsi="Arial MT"/>
        </w:rPr>
        <w:t>coligada Visiona</w:t>
      </w:r>
      <w:r>
        <w:rPr>
          <w:rFonts w:ascii="Arial MT" w:hAnsi="Arial MT"/>
          <w:spacing w:val="-14"/>
        </w:rPr>
        <w:t xml:space="preserve"> </w:t>
      </w:r>
      <w:r>
        <w:rPr>
          <w:rFonts w:ascii="Arial MT" w:hAnsi="Arial MT"/>
        </w:rPr>
        <w:t>ao</w:t>
      </w:r>
      <w:r>
        <w:rPr>
          <w:rFonts w:ascii="Arial MT" w:hAnsi="Arial MT"/>
          <w:spacing w:val="-14"/>
        </w:rPr>
        <w:t xml:space="preserve"> </w:t>
      </w:r>
      <w:r>
        <w:rPr>
          <w:rFonts w:ascii="Arial MT" w:hAnsi="Arial MT"/>
        </w:rPr>
        <w:t>longo</w:t>
      </w:r>
      <w:r>
        <w:rPr>
          <w:rFonts w:ascii="Arial MT" w:hAnsi="Arial MT"/>
          <w:spacing w:val="-14"/>
        </w:rPr>
        <w:t xml:space="preserve"> </w:t>
      </w:r>
      <w:r>
        <w:rPr>
          <w:rFonts w:ascii="Arial MT" w:hAnsi="Arial MT"/>
        </w:rPr>
        <w:t>do</w:t>
      </w:r>
      <w:r>
        <w:rPr>
          <w:rFonts w:ascii="Arial MT" w:hAnsi="Arial MT"/>
          <w:spacing w:val="-14"/>
        </w:rPr>
        <w:t xml:space="preserve"> </w:t>
      </w:r>
      <w:r>
        <w:rPr>
          <w:rFonts w:ascii="Arial MT" w:hAnsi="Arial MT"/>
        </w:rPr>
        <w:t>período.</w:t>
      </w:r>
      <w:r>
        <w:rPr>
          <w:rFonts w:ascii="Arial MT" w:hAnsi="Arial MT"/>
          <w:spacing w:val="-12"/>
        </w:rPr>
        <w:t xml:space="preserve"> </w:t>
      </w:r>
      <w:r>
        <w:rPr>
          <w:rFonts w:ascii="Arial MT" w:hAnsi="Arial MT"/>
        </w:rPr>
        <w:t>Em</w:t>
      </w:r>
      <w:r>
        <w:rPr>
          <w:rFonts w:ascii="Arial MT" w:hAnsi="Arial MT"/>
          <w:spacing w:val="-13"/>
        </w:rPr>
        <w:t xml:space="preserve"> </w:t>
      </w:r>
      <w:r>
        <w:rPr>
          <w:rFonts w:ascii="Arial MT" w:hAnsi="Arial MT"/>
        </w:rPr>
        <w:t>2025,</w:t>
      </w:r>
      <w:r>
        <w:rPr>
          <w:rFonts w:ascii="Arial MT" w:hAnsi="Arial MT"/>
          <w:spacing w:val="-12"/>
        </w:rPr>
        <w:t xml:space="preserve"> </w:t>
      </w:r>
      <w:r>
        <w:rPr>
          <w:rFonts w:ascii="Arial MT" w:hAnsi="Arial MT"/>
        </w:rPr>
        <w:t>a</w:t>
      </w:r>
      <w:r>
        <w:rPr>
          <w:rFonts w:ascii="Arial MT" w:hAnsi="Arial MT"/>
          <w:spacing w:val="-15"/>
        </w:rPr>
        <w:t xml:space="preserve"> </w:t>
      </w:r>
      <w:r>
        <w:rPr>
          <w:rFonts w:ascii="Arial MT" w:hAnsi="Arial MT"/>
        </w:rPr>
        <w:t>coligada</w:t>
      </w:r>
      <w:r>
        <w:rPr>
          <w:rFonts w:ascii="Arial MT" w:hAnsi="Arial MT"/>
          <w:spacing w:val="-14"/>
        </w:rPr>
        <w:t xml:space="preserve"> </w:t>
      </w:r>
      <w:r>
        <w:rPr>
          <w:rFonts w:ascii="Arial MT" w:hAnsi="Arial MT"/>
        </w:rPr>
        <w:t>registrou</w:t>
      </w:r>
      <w:r>
        <w:rPr>
          <w:rFonts w:ascii="Arial MT" w:hAnsi="Arial MT"/>
          <w:spacing w:val="-14"/>
        </w:rPr>
        <w:t xml:space="preserve"> </w:t>
      </w:r>
      <w:r>
        <w:rPr>
          <w:rFonts w:ascii="Arial MT" w:hAnsi="Arial MT"/>
        </w:rPr>
        <w:t>Lucro</w:t>
      </w:r>
      <w:r>
        <w:rPr>
          <w:rFonts w:ascii="Arial MT" w:hAnsi="Arial MT"/>
          <w:spacing w:val="-14"/>
        </w:rPr>
        <w:t xml:space="preserve"> </w:t>
      </w:r>
      <w:r>
        <w:rPr>
          <w:rFonts w:ascii="Arial MT" w:hAnsi="Arial MT"/>
        </w:rPr>
        <w:t>Líquido</w:t>
      </w:r>
      <w:r>
        <w:rPr>
          <w:rFonts w:ascii="Arial MT" w:hAnsi="Arial MT"/>
          <w:spacing w:val="-14"/>
        </w:rPr>
        <w:t xml:space="preserve"> </w:t>
      </w:r>
      <w:r>
        <w:rPr>
          <w:rFonts w:ascii="Arial MT" w:hAnsi="Arial MT"/>
        </w:rPr>
        <w:t>de</w:t>
      </w:r>
      <w:r>
        <w:rPr>
          <w:rFonts w:ascii="Arial MT" w:hAnsi="Arial MT"/>
          <w:spacing w:val="-15"/>
        </w:rPr>
        <w:t xml:space="preserve"> </w:t>
      </w:r>
      <w:r>
        <w:rPr>
          <w:rFonts w:ascii="Arial MT" w:hAnsi="Arial MT"/>
        </w:rPr>
        <w:t>R$</w:t>
      </w:r>
      <w:r>
        <w:rPr>
          <w:rFonts w:ascii="Arial MT" w:hAnsi="Arial MT"/>
          <w:spacing w:val="-14"/>
        </w:rPr>
        <w:t xml:space="preserve"> </w:t>
      </w:r>
      <w:r>
        <w:rPr>
          <w:rFonts w:ascii="Arial MT" w:hAnsi="Arial MT"/>
        </w:rPr>
        <w:t>0,8</w:t>
      </w:r>
      <w:r>
        <w:rPr>
          <w:rFonts w:ascii="Arial MT" w:hAnsi="Arial MT"/>
          <w:spacing w:val="-14"/>
        </w:rPr>
        <w:t xml:space="preserve"> </w:t>
      </w:r>
      <w:r>
        <w:rPr>
          <w:rFonts w:ascii="Arial MT" w:hAnsi="Arial MT"/>
        </w:rPr>
        <w:t>milhão,</w:t>
      </w:r>
      <w:r>
        <w:rPr>
          <w:rFonts w:ascii="Arial MT" w:hAnsi="Arial MT"/>
          <w:spacing w:val="-13"/>
        </w:rPr>
        <w:t xml:space="preserve"> </w:t>
      </w:r>
      <w:r>
        <w:rPr>
          <w:rFonts w:ascii="Arial MT" w:hAnsi="Arial MT"/>
        </w:rPr>
        <w:t>ante</w:t>
      </w:r>
      <w:r>
        <w:rPr>
          <w:rFonts w:ascii="Arial MT" w:hAnsi="Arial MT"/>
          <w:spacing w:val="-14"/>
        </w:rPr>
        <w:t xml:space="preserve"> </w:t>
      </w:r>
      <w:r>
        <w:rPr>
          <w:rFonts w:ascii="Arial MT" w:hAnsi="Arial MT"/>
        </w:rPr>
        <w:t>um</w:t>
      </w:r>
      <w:r>
        <w:rPr>
          <w:rFonts w:ascii="Arial MT" w:hAnsi="Arial MT"/>
          <w:spacing w:val="-14"/>
        </w:rPr>
        <w:t xml:space="preserve"> </w:t>
      </w:r>
      <w:r>
        <w:rPr>
          <w:rFonts w:ascii="Arial MT" w:hAnsi="Arial MT"/>
        </w:rPr>
        <w:t>Prejuízo de</w:t>
      </w:r>
      <w:r>
        <w:rPr>
          <w:rFonts w:ascii="Arial MT" w:hAnsi="Arial MT"/>
          <w:spacing w:val="-12"/>
        </w:rPr>
        <w:t xml:space="preserve"> </w:t>
      </w:r>
      <w:r>
        <w:rPr>
          <w:rFonts w:ascii="Arial MT" w:hAnsi="Arial MT"/>
        </w:rPr>
        <w:t>R$</w:t>
      </w:r>
      <w:r>
        <w:rPr>
          <w:rFonts w:ascii="Arial MT" w:hAnsi="Arial MT"/>
          <w:spacing w:val="-14"/>
        </w:rPr>
        <w:t xml:space="preserve"> </w:t>
      </w:r>
      <w:r>
        <w:rPr>
          <w:rFonts w:ascii="Arial MT" w:hAnsi="Arial MT"/>
        </w:rPr>
        <w:t>2,1</w:t>
      </w:r>
      <w:r>
        <w:rPr>
          <w:rFonts w:ascii="Arial MT" w:hAnsi="Arial MT"/>
          <w:spacing w:val="-16"/>
        </w:rPr>
        <w:t xml:space="preserve"> </w:t>
      </w:r>
      <w:r>
        <w:rPr>
          <w:rFonts w:ascii="Arial MT" w:hAnsi="Arial MT"/>
        </w:rPr>
        <w:t>milhões</w:t>
      </w:r>
      <w:r>
        <w:rPr>
          <w:rFonts w:ascii="Arial MT" w:hAnsi="Arial MT"/>
          <w:spacing w:val="-10"/>
        </w:rPr>
        <w:t xml:space="preserve"> </w:t>
      </w:r>
      <w:r>
        <w:rPr>
          <w:rFonts w:ascii="Arial MT" w:hAnsi="Arial MT"/>
        </w:rPr>
        <w:t>em</w:t>
      </w:r>
      <w:r>
        <w:rPr>
          <w:rFonts w:ascii="Arial MT" w:hAnsi="Arial MT"/>
          <w:spacing w:val="-12"/>
        </w:rPr>
        <w:t xml:space="preserve"> </w:t>
      </w:r>
      <w:r>
        <w:rPr>
          <w:rFonts w:ascii="Arial MT" w:hAnsi="Arial MT"/>
        </w:rPr>
        <w:t>2024,</w:t>
      </w:r>
      <w:r>
        <w:rPr>
          <w:rFonts w:ascii="Arial MT" w:hAnsi="Arial MT"/>
          <w:spacing w:val="-10"/>
        </w:rPr>
        <w:t xml:space="preserve"> </w:t>
      </w:r>
      <w:r>
        <w:rPr>
          <w:rFonts w:ascii="Arial MT" w:hAnsi="Arial MT"/>
        </w:rPr>
        <w:t>o</w:t>
      </w:r>
      <w:r>
        <w:rPr>
          <w:rFonts w:ascii="Arial MT" w:hAnsi="Arial MT"/>
          <w:spacing w:val="-14"/>
        </w:rPr>
        <w:t xml:space="preserve"> </w:t>
      </w:r>
      <w:r>
        <w:rPr>
          <w:rFonts w:ascii="Arial MT" w:hAnsi="Arial MT"/>
        </w:rPr>
        <w:t>que</w:t>
      </w:r>
      <w:r>
        <w:rPr>
          <w:rFonts w:ascii="Arial MT" w:hAnsi="Arial MT"/>
          <w:spacing w:val="-16"/>
        </w:rPr>
        <w:t xml:space="preserve"> </w:t>
      </w:r>
      <w:r>
        <w:rPr>
          <w:rFonts w:ascii="Arial MT" w:hAnsi="Arial MT"/>
        </w:rPr>
        <w:t>resultou</w:t>
      </w:r>
      <w:r>
        <w:rPr>
          <w:rFonts w:ascii="Arial MT" w:hAnsi="Arial MT"/>
          <w:spacing w:val="-13"/>
        </w:rPr>
        <w:t xml:space="preserve"> </w:t>
      </w:r>
      <w:r>
        <w:rPr>
          <w:rFonts w:ascii="Arial MT" w:hAnsi="Arial MT"/>
        </w:rPr>
        <w:t>em</w:t>
      </w:r>
      <w:r>
        <w:rPr>
          <w:rFonts w:ascii="Arial MT" w:hAnsi="Arial MT"/>
          <w:spacing w:val="-12"/>
        </w:rPr>
        <w:t xml:space="preserve"> </w:t>
      </w:r>
      <w:r>
        <w:rPr>
          <w:rFonts w:ascii="Arial MT" w:hAnsi="Arial MT"/>
        </w:rPr>
        <w:t>um</w:t>
      </w:r>
      <w:r>
        <w:rPr>
          <w:rFonts w:ascii="Arial MT" w:hAnsi="Arial MT"/>
          <w:spacing w:val="-13"/>
        </w:rPr>
        <w:t xml:space="preserve"> </w:t>
      </w:r>
      <w:r>
        <w:rPr>
          <w:rFonts w:ascii="Arial MT" w:hAnsi="Arial MT"/>
        </w:rPr>
        <w:t>efeito</w:t>
      </w:r>
      <w:r>
        <w:rPr>
          <w:rFonts w:ascii="Arial MT" w:hAnsi="Arial MT"/>
          <w:spacing w:val="-14"/>
        </w:rPr>
        <w:t xml:space="preserve"> </w:t>
      </w:r>
      <w:r>
        <w:rPr>
          <w:rFonts w:ascii="Arial MT" w:hAnsi="Arial MT"/>
        </w:rPr>
        <w:t>positivo</w:t>
      </w:r>
      <w:r>
        <w:rPr>
          <w:rFonts w:ascii="Arial MT" w:hAnsi="Arial MT"/>
          <w:spacing w:val="-14"/>
        </w:rPr>
        <w:t xml:space="preserve"> </w:t>
      </w:r>
      <w:r>
        <w:rPr>
          <w:rFonts w:ascii="Arial MT" w:hAnsi="Arial MT"/>
        </w:rPr>
        <w:t>de</w:t>
      </w:r>
      <w:r>
        <w:rPr>
          <w:rFonts w:ascii="Arial MT" w:hAnsi="Arial MT"/>
          <w:spacing w:val="-12"/>
        </w:rPr>
        <w:t xml:space="preserve"> </w:t>
      </w:r>
      <w:r>
        <w:rPr>
          <w:rFonts w:ascii="Arial MT" w:hAnsi="Arial MT"/>
        </w:rPr>
        <w:t>equivalência</w:t>
      </w:r>
      <w:r>
        <w:rPr>
          <w:rFonts w:ascii="Arial MT" w:hAnsi="Arial MT"/>
          <w:spacing w:val="-11"/>
        </w:rPr>
        <w:t xml:space="preserve"> </w:t>
      </w:r>
      <w:r>
        <w:rPr>
          <w:rFonts w:ascii="Arial MT" w:hAnsi="Arial MT"/>
        </w:rPr>
        <w:t>patrimonial</w:t>
      </w:r>
      <w:r>
        <w:rPr>
          <w:rFonts w:ascii="Arial MT" w:hAnsi="Arial MT"/>
          <w:spacing w:val="-12"/>
        </w:rPr>
        <w:t xml:space="preserve"> </w:t>
      </w:r>
      <w:r>
        <w:rPr>
          <w:rFonts w:ascii="Arial MT" w:hAnsi="Arial MT"/>
        </w:rPr>
        <w:t>para</w:t>
      </w:r>
      <w:r>
        <w:rPr>
          <w:rFonts w:ascii="Arial MT" w:hAnsi="Arial MT"/>
          <w:spacing w:val="-14"/>
        </w:rPr>
        <w:t xml:space="preserve"> </w:t>
      </w:r>
      <w:r>
        <w:rPr>
          <w:rFonts w:ascii="Arial MT" w:hAnsi="Arial MT"/>
        </w:rPr>
        <w:t>a</w:t>
      </w:r>
      <w:r>
        <w:rPr>
          <w:rFonts w:ascii="Arial MT" w:hAnsi="Arial MT"/>
          <w:spacing w:val="-16"/>
        </w:rPr>
        <w:t xml:space="preserve"> </w:t>
      </w:r>
      <w:r>
        <w:rPr>
          <w:rFonts w:ascii="Arial MT" w:hAnsi="Arial MT"/>
        </w:rPr>
        <w:t>Telebras no valor de R$ 0,4 milhão (comparado a R$ 1,0 milhão negativo em 2024).</w:t>
      </w:r>
    </w:p>
    <w:p w14:paraId="3EDABC1B" w14:textId="77777777" w:rsidR="002C6574" w:rsidRDefault="002C6574">
      <w:pPr>
        <w:pStyle w:val="Corpodetexto"/>
        <w:spacing w:before="22"/>
        <w:rPr>
          <w:rFonts w:ascii="Arial MT"/>
          <w:sz w:val="19"/>
        </w:rPr>
      </w:pPr>
    </w:p>
    <w:p w14:paraId="686F2FFF" w14:textId="77777777" w:rsidR="002C6574" w:rsidRDefault="00000000">
      <w:pPr>
        <w:pStyle w:val="Ttulo8"/>
        <w:spacing w:before="1"/>
        <w:rPr>
          <w:rFonts w:ascii="Arial"/>
        </w:rPr>
      </w:pPr>
      <w:r>
        <w:rPr>
          <w:rFonts w:ascii="Arial"/>
          <w:smallCaps/>
          <w:u w:val="single"/>
        </w:rPr>
        <w:t>Outras</w:t>
      </w:r>
      <w:r>
        <w:rPr>
          <w:rFonts w:ascii="Arial"/>
          <w:smallCaps/>
          <w:spacing w:val="32"/>
          <w:u w:val="single"/>
        </w:rPr>
        <w:t xml:space="preserve"> </w:t>
      </w:r>
      <w:r>
        <w:rPr>
          <w:rFonts w:ascii="Arial"/>
          <w:smallCaps/>
          <w:u w:val="single"/>
        </w:rPr>
        <w:t>Receitas</w:t>
      </w:r>
      <w:r>
        <w:rPr>
          <w:rFonts w:ascii="Arial"/>
          <w:smallCaps/>
          <w:spacing w:val="33"/>
          <w:u w:val="single"/>
        </w:rPr>
        <w:t xml:space="preserve"> </w:t>
      </w:r>
      <w:r>
        <w:rPr>
          <w:rFonts w:ascii="Arial"/>
          <w:smallCaps/>
          <w:u w:val="single"/>
        </w:rPr>
        <w:t>/</w:t>
      </w:r>
      <w:r>
        <w:rPr>
          <w:rFonts w:ascii="Arial"/>
          <w:smallCaps/>
          <w:spacing w:val="13"/>
          <w:u w:val="single"/>
        </w:rPr>
        <w:t xml:space="preserve"> </w:t>
      </w:r>
      <w:r>
        <w:rPr>
          <w:rFonts w:ascii="Arial"/>
          <w:smallCaps/>
          <w:u w:val="single"/>
        </w:rPr>
        <w:t>(Despesas)</w:t>
      </w:r>
      <w:r>
        <w:rPr>
          <w:rFonts w:ascii="Arial"/>
          <w:smallCaps/>
          <w:spacing w:val="12"/>
          <w:u w:val="single"/>
        </w:rPr>
        <w:t xml:space="preserve"> </w:t>
      </w:r>
      <w:r>
        <w:rPr>
          <w:rFonts w:ascii="Arial"/>
          <w:smallCaps/>
          <w:spacing w:val="-2"/>
          <w:u w:val="single"/>
        </w:rPr>
        <w:t>Operacionais</w:t>
      </w:r>
    </w:p>
    <w:p w14:paraId="0C9141D3" w14:textId="77777777" w:rsidR="002C6574" w:rsidRDefault="00000000">
      <w:pPr>
        <w:spacing w:before="69"/>
        <w:ind w:left="2053" w:right="832"/>
        <w:jc w:val="center"/>
        <w:rPr>
          <w:rFonts w:ascii="Arial"/>
          <w:b/>
          <w:sz w:val="14"/>
        </w:rPr>
      </w:pPr>
      <w:r>
        <w:rPr>
          <w:rFonts w:ascii="Arial"/>
          <w:b/>
          <w:spacing w:val="-2"/>
          <w:sz w:val="14"/>
        </w:rPr>
        <w:t>Trimestres</w:t>
      </w:r>
    </w:p>
    <w:p w14:paraId="3B96FC9E" w14:textId="77777777" w:rsidR="002C6574" w:rsidRDefault="002C6574">
      <w:pPr>
        <w:pStyle w:val="Corpodetexto"/>
        <w:spacing w:before="10"/>
        <w:rPr>
          <w:rFonts w:ascii="Arial"/>
          <w:b/>
          <w:sz w:val="6"/>
        </w:rPr>
      </w:pPr>
    </w:p>
    <w:tbl>
      <w:tblPr>
        <w:tblStyle w:val="TableNormal"/>
        <w:tblW w:w="0" w:type="auto"/>
        <w:tblInd w:w="419" w:type="dxa"/>
        <w:tblLayout w:type="fixed"/>
        <w:tblLook w:val="01E0" w:firstRow="1" w:lastRow="1" w:firstColumn="1" w:lastColumn="1" w:noHBand="0" w:noVBand="0"/>
      </w:tblPr>
      <w:tblGrid>
        <w:gridCol w:w="3614"/>
        <w:gridCol w:w="952"/>
        <w:gridCol w:w="858"/>
        <w:gridCol w:w="758"/>
        <w:gridCol w:w="146"/>
        <w:gridCol w:w="724"/>
        <w:gridCol w:w="792"/>
        <w:gridCol w:w="146"/>
        <w:gridCol w:w="846"/>
        <w:gridCol w:w="856"/>
        <w:gridCol w:w="146"/>
        <w:gridCol w:w="712"/>
      </w:tblGrid>
      <w:tr w:rsidR="002C6574" w14:paraId="048593CB" w14:textId="77777777">
        <w:trPr>
          <w:trHeight w:val="270"/>
        </w:trPr>
        <w:tc>
          <w:tcPr>
            <w:tcW w:w="3614" w:type="dxa"/>
          </w:tcPr>
          <w:p w14:paraId="2A65FF62" w14:textId="77777777" w:rsidR="002C6574" w:rsidRDefault="00000000">
            <w:pPr>
              <w:pStyle w:val="TableParagraph"/>
              <w:spacing w:before="86"/>
              <w:ind w:left="84"/>
              <w:jc w:val="left"/>
              <w:rPr>
                <w:rFonts w:ascii="Arial"/>
                <w:b/>
                <w:sz w:val="14"/>
              </w:rPr>
            </w:pPr>
            <w:r>
              <w:rPr>
                <w:rFonts w:ascii="Arial"/>
                <w:b/>
                <w:noProof/>
                <w:sz w:val="14"/>
              </w:rPr>
              <mc:AlternateContent>
                <mc:Choice Requires="wpg">
                  <w:drawing>
                    <wp:anchor distT="0" distB="0" distL="0" distR="0" simplePos="0" relativeHeight="472595968" behindDoc="1" locked="0" layoutInCell="1" allowOverlap="1" wp14:anchorId="2C1B3024" wp14:editId="2A12B284">
                      <wp:simplePos x="0" y="0"/>
                      <wp:positionH relativeFrom="column">
                        <wp:posOffset>9651</wp:posOffset>
                      </wp:positionH>
                      <wp:positionV relativeFrom="paragraph">
                        <wp:posOffset>38937</wp:posOffset>
                      </wp:positionV>
                      <wp:extent cx="3916679" cy="132715"/>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6679" cy="132715"/>
                                <a:chOff x="0" y="0"/>
                                <a:chExt cx="3916679" cy="132715"/>
                              </a:xfrm>
                            </wpg:grpSpPr>
                            <wps:wsp>
                              <wps:cNvPr id="380" name="Graphic 380"/>
                              <wps:cNvSpPr/>
                              <wps:spPr>
                                <a:xfrm>
                                  <a:off x="0" y="0"/>
                                  <a:ext cx="3916679" cy="132715"/>
                                </a:xfrm>
                                <a:custGeom>
                                  <a:avLst/>
                                  <a:gdLst/>
                                  <a:ahLst/>
                                  <a:cxnLst/>
                                  <a:rect l="l" t="t" r="r" b="b"/>
                                  <a:pathLst>
                                    <a:path w="3916679" h="132715">
                                      <a:moveTo>
                                        <a:pt x="3916083" y="0"/>
                                      </a:moveTo>
                                      <a:lnTo>
                                        <a:pt x="3371723" y="0"/>
                                      </a:lnTo>
                                      <a:lnTo>
                                        <a:pt x="2827655" y="0"/>
                                      </a:lnTo>
                                      <a:lnTo>
                                        <a:pt x="2285111" y="0"/>
                                      </a:lnTo>
                                      <a:lnTo>
                                        <a:pt x="0" y="0"/>
                                      </a:lnTo>
                                      <a:lnTo>
                                        <a:pt x="0" y="132588"/>
                                      </a:lnTo>
                                      <a:lnTo>
                                        <a:pt x="2285111" y="132588"/>
                                      </a:lnTo>
                                      <a:lnTo>
                                        <a:pt x="2827655" y="132588"/>
                                      </a:lnTo>
                                      <a:lnTo>
                                        <a:pt x="3371723" y="132588"/>
                                      </a:lnTo>
                                      <a:lnTo>
                                        <a:pt x="3916083" y="132588"/>
                                      </a:lnTo>
                                      <a:lnTo>
                                        <a:pt x="3916083"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29968445" id="Group 379" o:spid="_x0000_s1026" style="position:absolute;margin-left:.75pt;margin-top:3.05pt;width:308.4pt;height:10.45pt;z-index:-30720512;mso-wrap-distance-left:0;mso-wrap-distance-right:0" coordsize="39166,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">
                      <v:shape id="Graphic 380" o:spid="_x0000_s1027" style="position:absolute;width:39166;height:1327;visibility:visible;mso-wrap-style:square;v-text-anchor:top" coordsize="3916679,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" path="m3916083,l3371723,,2827655,,2285111,,,,,132588r2285111,l2827655,132588r544068,l3916083,132588,3916083,xe" fillcolor="blue" stroked="f">
                        <v:path arrowok="t"/>
                      </v:shape>
                    </v:group>
                  </w:pict>
                </mc:Fallback>
              </mc:AlternateContent>
            </w:r>
            <w:r>
              <w:rPr>
                <w:rFonts w:ascii="Arial"/>
                <w:b/>
                <w:color w:val="FFFFFF"/>
                <w:sz w:val="14"/>
              </w:rPr>
              <w:t>R$</w:t>
            </w:r>
            <w:r>
              <w:rPr>
                <w:rFonts w:ascii="Arial"/>
                <w:b/>
                <w:color w:val="FFFFFF"/>
                <w:spacing w:val="-4"/>
                <w:sz w:val="14"/>
              </w:rPr>
              <w:t xml:space="preserve"> </w:t>
            </w:r>
            <w:r>
              <w:rPr>
                <w:rFonts w:ascii="Arial"/>
                <w:b/>
                <w:color w:val="FFFFFF"/>
                <w:spacing w:val="-5"/>
                <w:sz w:val="14"/>
              </w:rPr>
              <w:t>mil</w:t>
            </w:r>
          </w:p>
        </w:tc>
        <w:tc>
          <w:tcPr>
            <w:tcW w:w="952" w:type="dxa"/>
            <w:tcBorders>
              <w:top w:val="single" w:sz="8" w:space="0" w:color="000000"/>
            </w:tcBorders>
          </w:tcPr>
          <w:p w14:paraId="26031F1B" w14:textId="77777777" w:rsidR="002C6574" w:rsidRDefault="00000000">
            <w:pPr>
              <w:pStyle w:val="TableParagraph"/>
              <w:spacing w:before="86"/>
              <w:ind w:left="266"/>
              <w:jc w:val="left"/>
              <w:rPr>
                <w:rFonts w:ascii="Arial"/>
                <w:b/>
                <w:sz w:val="14"/>
              </w:rPr>
            </w:pPr>
            <w:r>
              <w:rPr>
                <w:rFonts w:ascii="Arial"/>
                <w:b/>
                <w:color w:val="FFFFFF"/>
                <w:spacing w:val="-4"/>
                <w:sz w:val="14"/>
              </w:rPr>
              <w:t>4T25</w:t>
            </w:r>
          </w:p>
        </w:tc>
        <w:tc>
          <w:tcPr>
            <w:tcW w:w="858" w:type="dxa"/>
            <w:tcBorders>
              <w:top w:val="single" w:sz="8" w:space="0" w:color="000000"/>
            </w:tcBorders>
          </w:tcPr>
          <w:p w14:paraId="60CD13BE" w14:textId="77777777" w:rsidR="002C6574" w:rsidRDefault="00000000">
            <w:pPr>
              <w:pStyle w:val="TableParagraph"/>
              <w:spacing w:before="86"/>
              <w:ind w:left="171"/>
              <w:jc w:val="left"/>
              <w:rPr>
                <w:rFonts w:ascii="Arial"/>
                <w:b/>
                <w:sz w:val="14"/>
              </w:rPr>
            </w:pPr>
            <w:r>
              <w:rPr>
                <w:rFonts w:ascii="Arial"/>
                <w:b/>
                <w:color w:val="FFFFFF"/>
                <w:spacing w:val="-4"/>
                <w:sz w:val="14"/>
              </w:rPr>
              <w:t>4T24</w:t>
            </w:r>
          </w:p>
        </w:tc>
        <w:tc>
          <w:tcPr>
            <w:tcW w:w="758" w:type="dxa"/>
            <w:tcBorders>
              <w:top w:val="single" w:sz="8" w:space="0" w:color="000000"/>
            </w:tcBorders>
          </w:tcPr>
          <w:p w14:paraId="367B3E0F" w14:textId="77777777" w:rsidR="002C6574" w:rsidRDefault="00000000">
            <w:pPr>
              <w:pStyle w:val="TableParagraph"/>
              <w:spacing w:before="86"/>
              <w:ind w:left="167"/>
              <w:jc w:val="left"/>
              <w:rPr>
                <w:rFonts w:ascii="Arial"/>
                <w:b/>
                <w:sz w:val="14"/>
              </w:rPr>
            </w:pPr>
            <w:r>
              <w:rPr>
                <w:rFonts w:ascii="Arial"/>
                <w:b/>
                <w:color w:val="FFFFFF"/>
                <w:spacing w:val="-4"/>
                <w:sz w:val="14"/>
              </w:rPr>
              <w:t>3T25</w:t>
            </w:r>
          </w:p>
        </w:tc>
        <w:tc>
          <w:tcPr>
            <w:tcW w:w="1662" w:type="dxa"/>
            <w:gridSpan w:val="3"/>
            <w:tcBorders>
              <w:top w:val="single" w:sz="8" w:space="0" w:color="000000"/>
            </w:tcBorders>
          </w:tcPr>
          <w:p w14:paraId="31089DB7" w14:textId="77777777" w:rsidR="002C6574" w:rsidRDefault="00000000">
            <w:pPr>
              <w:pStyle w:val="TableParagraph"/>
              <w:tabs>
                <w:tab w:val="left" w:pos="1015"/>
              </w:tabs>
              <w:spacing w:before="86"/>
              <w:ind w:left="146"/>
              <w:jc w:val="left"/>
              <w:rPr>
                <w:rFonts w:ascii="Arial" w:hAnsi="Arial"/>
                <w:b/>
                <w:sz w:val="14"/>
              </w:rPr>
            </w:pPr>
            <w:r>
              <w:rPr>
                <w:rFonts w:ascii="Times New Roman" w:hAnsi="Times New Roman"/>
                <w:color w:val="FFFFFF"/>
                <w:spacing w:val="35"/>
                <w:sz w:val="14"/>
                <w:highlight w:val="blue"/>
              </w:rPr>
              <w:t xml:space="preserve">  </w:t>
            </w:r>
            <w:r>
              <w:rPr>
                <w:rFonts w:ascii="Arial" w:hAnsi="Arial"/>
                <w:b/>
                <w:color w:val="FFFFFF"/>
                <w:sz w:val="14"/>
                <w:highlight w:val="blue"/>
              </w:rPr>
              <w:t xml:space="preserve">Δ </w:t>
            </w:r>
            <w:r>
              <w:rPr>
                <w:rFonts w:ascii="Arial" w:hAnsi="Arial"/>
                <w:b/>
                <w:color w:val="FFFFFF"/>
                <w:spacing w:val="-5"/>
                <w:sz w:val="14"/>
                <w:highlight w:val="blue"/>
              </w:rPr>
              <w:t>Ano</w:t>
            </w:r>
            <w:r>
              <w:rPr>
                <w:rFonts w:ascii="Arial" w:hAnsi="Arial"/>
                <w:b/>
                <w:color w:val="FFFFFF"/>
                <w:sz w:val="14"/>
                <w:highlight w:val="blue"/>
              </w:rPr>
              <w:tab/>
              <w:t>Δ</w:t>
            </w:r>
            <w:r>
              <w:rPr>
                <w:rFonts w:ascii="Arial" w:hAnsi="Arial"/>
                <w:b/>
                <w:color w:val="FFFFFF"/>
                <w:spacing w:val="-3"/>
                <w:sz w:val="14"/>
                <w:highlight w:val="blue"/>
              </w:rPr>
              <w:t xml:space="preserve"> </w:t>
            </w:r>
            <w:r>
              <w:rPr>
                <w:rFonts w:ascii="Arial" w:hAnsi="Arial"/>
                <w:b/>
                <w:color w:val="FFFFFF"/>
                <w:spacing w:val="-2"/>
                <w:sz w:val="14"/>
                <w:highlight w:val="blue"/>
              </w:rPr>
              <w:t>Trim.</w:t>
            </w:r>
            <w:r>
              <w:rPr>
                <w:rFonts w:ascii="Arial" w:hAnsi="Arial"/>
                <w:b/>
                <w:color w:val="FFFFFF"/>
                <w:spacing w:val="40"/>
                <w:sz w:val="14"/>
                <w:highlight w:val="blue"/>
              </w:rPr>
              <w:t xml:space="preserve"> </w:t>
            </w:r>
          </w:p>
        </w:tc>
        <w:tc>
          <w:tcPr>
            <w:tcW w:w="1848" w:type="dxa"/>
            <w:gridSpan w:val="3"/>
          </w:tcPr>
          <w:p w14:paraId="32974E46" w14:textId="77777777" w:rsidR="002C6574" w:rsidRDefault="00000000">
            <w:pPr>
              <w:pStyle w:val="TableParagraph"/>
              <w:tabs>
                <w:tab w:val="left" w:pos="414"/>
                <w:tab w:val="left" w:pos="1266"/>
                <w:tab w:val="left" w:pos="1852"/>
              </w:tabs>
              <w:spacing w:before="86"/>
              <w:ind w:left="148" w:right="-15"/>
              <w:jc w:val="left"/>
              <w:rPr>
                <w:rFonts w:ascii="Arial"/>
                <w:b/>
                <w:sz w:val="14"/>
              </w:rPr>
            </w:pPr>
            <w:r>
              <w:rPr>
                <w:rFonts w:ascii="Arial"/>
                <w:b/>
                <w:color w:val="FFFFFF"/>
                <w:sz w:val="14"/>
                <w:highlight w:val="blue"/>
              </w:rPr>
              <w:tab/>
            </w:r>
            <w:r>
              <w:rPr>
                <w:rFonts w:ascii="Arial"/>
                <w:b/>
                <w:color w:val="FFFFFF"/>
                <w:spacing w:val="-4"/>
                <w:sz w:val="14"/>
                <w:highlight w:val="blue"/>
              </w:rPr>
              <w:t>2025</w:t>
            </w:r>
            <w:r>
              <w:rPr>
                <w:rFonts w:ascii="Arial"/>
                <w:b/>
                <w:color w:val="FFFFFF"/>
                <w:sz w:val="14"/>
                <w:highlight w:val="blue"/>
              </w:rPr>
              <w:tab/>
            </w:r>
            <w:r>
              <w:rPr>
                <w:rFonts w:ascii="Arial"/>
                <w:b/>
                <w:color w:val="FFFFFF"/>
                <w:spacing w:val="-4"/>
                <w:sz w:val="14"/>
                <w:highlight w:val="blue"/>
              </w:rPr>
              <w:t>2024</w:t>
            </w:r>
            <w:r>
              <w:rPr>
                <w:rFonts w:ascii="Arial"/>
                <w:b/>
                <w:color w:val="FFFFFF"/>
                <w:sz w:val="14"/>
                <w:highlight w:val="blue"/>
              </w:rPr>
              <w:tab/>
            </w:r>
          </w:p>
        </w:tc>
        <w:tc>
          <w:tcPr>
            <w:tcW w:w="858" w:type="dxa"/>
            <w:gridSpan w:val="2"/>
          </w:tcPr>
          <w:p w14:paraId="71A29045" w14:textId="77777777" w:rsidR="002C6574" w:rsidRDefault="00000000">
            <w:pPr>
              <w:pStyle w:val="TableParagraph"/>
              <w:spacing w:before="86"/>
              <w:ind w:left="150"/>
              <w:jc w:val="left"/>
              <w:rPr>
                <w:rFonts w:ascii="Arial" w:hAnsi="Arial"/>
                <w:b/>
                <w:sz w:val="14"/>
              </w:rPr>
            </w:pPr>
            <w:r>
              <w:rPr>
                <w:rFonts w:ascii="Times New Roman" w:hAnsi="Times New Roman"/>
                <w:color w:val="FFFFFF"/>
                <w:spacing w:val="70"/>
                <w:w w:val="150"/>
                <w:sz w:val="14"/>
                <w:highlight w:val="blue"/>
              </w:rPr>
              <w:t xml:space="preserve"> </w:t>
            </w:r>
            <w:r>
              <w:rPr>
                <w:rFonts w:ascii="Arial" w:hAnsi="Arial"/>
                <w:b/>
                <w:color w:val="FFFFFF"/>
                <w:sz w:val="14"/>
                <w:highlight w:val="blue"/>
              </w:rPr>
              <w:t xml:space="preserve">Δ </w:t>
            </w:r>
            <w:r>
              <w:rPr>
                <w:rFonts w:ascii="Arial" w:hAnsi="Arial"/>
                <w:b/>
                <w:color w:val="FFFFFF"/>
                <w:spacing w:val="-5"/>
                <w:sz w:val="14"/>
                <w:highlight w:val="blue"/>
              </w:rPr>
              <w:t>Ano</w:t>
            </w:r>
            <w:r>
              <w:rPr>
                <w:rFonts w:ascii="Arial" w:hAnsi="Arial"/>
                <w:b/>
                <w:color w:val="FFFFFF"/>
                <w:spacing w:val="40"/>
                <w:sz w:val="14"/>
                <w:highlight w:val="blue"/>
              </w:rPr>
              <w:t xml:space="preserve"> </w:t>
            </w:r>
          </w:p>
        </w:tc>
      </w:tr>
      <w:tr w:rsidR="002C6574" w14:paraId="0CE8CC05" w14:textId="77777777">
        <w:trPr>
          <w:trHeight w:val="210"/>
        </w:trPr>
        <w:tc>
          <w:tcPr>
            <w:tcW w:w="3614" w:type="dxa"/>
          </w:tcPr>
          <w:p w14:paraId="13837571" w14:textId="77777777" w:rsidR="002C6574" w:rsidRDefault="00000000">
            <w:pPr>
              <w:pStyle w:val="TableParagraph"/>
              <w:spacing w:before="24"/>
              <w:ind w:left="84"/>
              <w:jc w:val="left"/>
              <w:rPr>
                <w:rFonts w:ascii="Arial"/>
                <w:b/>
                <w:sz w:val="14"/>
              </w:rPr>
            </w:pPr>
            <w:r>
              <w:rPr>
                <w:rFonts w:ascii="Arial"/>
                <w:b/>
                <w:sz w:val="14"/>
              </w:rPr>
              <w:t>Outras</w:t>
            </w:r>
            <w:r>
              <w:rPr>
                <w:rFonts w:ascii="Arial"/>
                <w:b/>
                <w:spacing w:val="-6"/>
                <w:sz w:val="14"/>
              </w:rPr>
              <w:t xml:space="preserve"> </w:t>
            </w:r>
            <w:r>
              <w:rPr>
                <w:rFonts w:ascii="Arial"/>
                <w:b/>
                <w:sz w:val="14"/>
              </w:rPr>
              <w:t>Receitas</w:t>
            </w:r>
            <w:r>
              <w:rPr>
                <w:rFonts w:ascii="Arial"/>
                <w:b/>
                <w:spacing w:val="-5"/>
                <w:sz w:val="14"/>
              </w:rPr>
              <w:t xml:space="preserve"> </w:t>
            </w:r>
            <w:r>
              <w:rPr>
                <w:rFonts w:ascii="Arial"/>
                <w:b/>
                <w:spacing w:val="-2"/>
                <w:sz w:val="14"/>
              </w:rPr>
              <w:t>Operacionais</w:t>
            </w:r>
          </w:p>
        </w:tc>
        <w:tc>
          <w:tcPr>
            <w:tcW w:w="952" w:type="dxa"/>
            <w:shd w:val="clear" w:color="auto" w:fill="66FFFF"/>
          </w:tcPr>
          <w:p w14:paraId="353D2759" w14:textId="77777777" w:rsidR="002C6574" w:rsidRDefault="002C6574">
            <w:pPr>
              <w:pStyle w:val="TableParagraph"/>
              <w:jc w:val="left"/>
              <w:rPr>
                <w:rFonts w:ascii="Times New Roman"/>
                <w:sz w:val="14"/>
              </w:rPr>
            </w:pPr>
          </w:p>
        </w:tc>
        <w:tc>
          <w:tcPr>
            <w:tcW w:w="858" w:type="dxa"/>
          </w:tcPr>
          <w:p w14:paraId="061B5D20" w14:textId="77777777" w:rsidR="002C6574" w:rsidRDefault="002C6574">
            <w:pPr>
              <w:pStyle w:val="TableParagraph"/>
              <w:jc w:val="left"/>
              <w:rPr>
                <w:rFonts w:ascii="Times New Roman"/>
                <w:sz w:val="14"/>
              </w:rPr>
            </w:pPr>
          </w:p>
        </w:tc>
        <w:tc>
          <w:tcPr>
            <w:tcW w:w="758" w:type="dxa"/>
          </w:tcPr>
          <w:p w14:paraId="62D0354B" w14:textId="77777777" w:rsidR="002C6574" w:rsidRDefault="002C6574">
            <w:pPr>
              <w:pStyle w:val="TableParagraph"/>
              <w:jc w:val="left"/>
              <w:rPr>
                <w:rFonts w:ascii="Times New Roman"/>
                <w:sz w:val="14"/>
              </w:rPr>
            </w:pPr>
          </w:p>
        </w:tc>
        <w:tc>
          <w:tcPr>
            <w:tcW w:w="870" w:type="dxa"/>
            <w:gridSpan w:val="2"/>
          </w:tcPr>
          <w:p w14:paraId="68995F93" w14:textId="77777777" w:rsidR="002C6574" w:rsidRDefault="002C6574">
            <w:pPr>
              <w:pStyle w:val="TableParagraph"/>
              <w:jc w:val="left"/>
              <w:rPr>
                <w:rFonts w:ascii="Times New Roman"/>
                <w:sz w:val="14"/>
              </w:rPr>
            </w:pPr>
          </w:p>
        </w:tc>
        <w:tc>
          <w:tcPr>
            <w:tcW w:w="938" w:type="dxa"/>
            <w:gridSpan w:val="2"/>
          </w:tcPr>
          <w:p w14:paraId="5EF488BB" w14:textId="77777777" w:rsidR="002C6574" w:rsidRDefault="002C6574">
            <w:pPr>
              <w:pStyle w:val="TableParagraph"/>
              <w:jc w:val="left"/>
              <w:rPr>
                <w:rFonts w:ascii="Times New Roman"/>
                <w:sz w:val="14"/>
              </w:rPr>
            </w:pPr>
          </w:p>
        </w:tc>
        <w:tc>
          <w:tcPr>
            <w:tcW w:w="846" w:type="dxa"/>
            <w:shd w:val="clear" w:color="auto" w:fill="66FFFF"/>
          </w:tcPr>
          <w:p w14:paraId="662E5136" w14:textId="77777777" w:rsidR="002C6574" w:rsidRDefault="002C6574">
            <w:pPr>
              <w:pStyle w:val="TableParagraph"/>
              <w:jc w:val="left"/>
              <w:rPr>
                <w:rFonts w:ascii="Times New Roman"/>
                <w:sz w:val="14"/>
              </w:rPr>
            </w:pPr>
          </w:p>
        </w:tc>
        <w:tc>
          <w:tcPr>
            <w:tcW w:w="856" w:type="dxa"/>
          </w:tcPr>
          <w:p w14:paraId="19EE784F" w14:textId="77777777" w:rsidR="002C6574" w:rsidRDefault="002C6574">
            <w:pPr>
              <w:pStyle w:val="TableParagraph"/>
              <w:jc w:val="left"/>
              <w:rPr>
                <w:rFonts w:ascii="Times New Roman"/>
                <w:sz w:val="14"/>
              </w:rPr>
            </w:pPr>
          </w:p>
        </w:tc>
        <w:tc>
          <w:tcPr>
            <w:tcW w:w="858" w:type="dxa"/>
            <w:gridSpan w:val="2"/>
          </w:tcPr>
          <w:p w14:paraId="6C8A338E" w14:textId="77777777" w:rsidR="002C6574" w:rsidRDefault="002C6574">
            <w:pPr>
              <w:pStyle w:val="TableParagraph"/>
              <w:jc w:val="left"/>
              <w:rPr>
                <w:rFonts w:ascii="Times New Roman"/>
                <w:sz w:val="14"/>
              </w:rPr>
            </w:pPr>
          </w:p>
        </w:tc>
      </w:tr>
      <w:tr w:rsidR="002C6574" w14:paraId="6FA59569" w14:textId="77777777">
        <w:trPr>
          <w:trHeight w:val="202"/>
        </w:trPr>
        <w:tc>
          <w:tcPr>
            <w:tcW w:w="3614" w:type="dxa"/>
          </w:tcPr>
          <w:p w14:paraId="59E791FD" w14:textId="77777777" w:rsidR="002C6574" w:rsidRDefault="00000000">
            <w:pPr>
              <w:pStyle w:val="TableParagraph"/>
              <w:spacing w:before="20"/>
              <w:ind w:left="84"/>
              <w:jc w:val="left"/>
              <w:rPr>
                <w:rFonts w:ascii="Arial MT" w:hAnsi="Arial MT"/>
                <w:sz w:val="14"/>
              </w:rPr>
            </w:pPr>
            <w:r>
              <w:rPr>
                <w:rFonts w:ascii="Arial MT" w:hAnsi="Arial MT"/>
                <w:sz w:val="14"/>
              </w:rPr>
              <w:t>Subvenções</w:t>
            </w:r>
            <w:r>
              <w:rPr>
                <w:rFonts w:ascii="Arial MT" w:hAnsi="Arial MT"/>
                <w:spacing w:val="-10"/>
                <w:sz w:val="14"/>
              </w:rPr>
              <w:t xml:space="preserve"> </w:t>
            </w:r>
            <w:r>
              <w:rPr>
                <w:rFonts w:ascii="Arial MT" w:hAnsi="Arial MT"/>
                <w:sz w:val="14"/>
              </w:rPr>
              <w:t>Orçamentárias</w:t>
            </w:r>
            <w:r>
              <w:rPr>
                <w:rFonts w:ascii="Arial MT" w:hAnsi="Arial MT"/>
                <w:spacing w:val="-10"/>
                <w:sz w:val="14"/>
              </w:rPr>
              <w:t xml:space="preserve"> </w:t>
            </w:r>
            <w:r>
              <w:rPr>
                <w:rFonts w:ascii="Arial MT" w:hAnsi="Arial MT"/>
                <w:sz w:val="14"/>
              </w:rPr>
              <w:t>Recebidas</w:t>
            </w:r>
            <w:r>
              <w:rPr>
                <w:rFonts w:ascii="Arial MT" w:hAnsi="Arial MT"/>
                <w:spacing w:val="-9"/>
                <w:sz w:val="14"/>
              </w:rPr>
              <w:t xml:space="preserve"> </w:t>
            </w:r>
            <w:r>
              <w:rPr>
                <w:rFonts w:ascii="Arial MT" w:hAnsi="Arial MT"/>
                <w:spacing w:val="-5"/>
                <w:sz w:val="14"/>
              </w:rPr>
              <w:t>(i)</w:t>
            </w:r>
          </w:p>
        </w:tc>
        <w:tc>
          <w:tcPr>
            <w:tcW w:w="952" w:type="dxa"/>
            <w:shd w:val="clear" w:color="auto" w:fill="66FFFF"/>
          </w:tcPr>
          <w:p w14:paraId="23D87D44" w14:textId="77777777" w:rsidR="002C6574" w:rsidRDefault="00000000">
            <w:pPr>
              <w:pStyle w:val="TableParagraph"/>
              <w:spacing w:before="20"/>
              <w:ind w:left="278"/>
              <w:jc w:val="left"/>
              <w:rPr>
                <w:rFonts w:ascii="Arial MT"/>
                <w:sz w:val="14"/>
              </w:rPr>
            </w:pPr>
            <w:r>
              <w:rPr>
                <w:rFonts w:ascii="Arial MT"/>
                <w:spacing w:val="-2"/>
                <w:sz w:val="14"/>
              </w:rPr>
              <w:t>234.446</w:t>
            </w:r>
          </w:p>
        </w:tc>
        <w:tc>
          <w:tcPr>
            <w:tcW w:w="858" w:type="dxa"/>
          </w:tcPr>
          <w:p w14:paraId="434A51D3" w14:textId="77777777" w:rsidR="002C6574" w:rsidRDefault="00000000">
            <w:pPr>
              <w:pStyle w:val="TableParagraph"/>
              <w:spacing w:before="20"/>
              <w:ind w:right="166"/>
              <w:rPr>
                <w:rFonts w:ascii="Arial MT"/>
                <w:sz w:val="14"/>
              </w:rPr>
            </w:pPr>
            <w:r>
              <w:rPr>
                <w:rFonts w:ascii="Arial MT"/>
                <w:spacing w:val="-2"/>
                <w:sz w:val="14"/>
              </w:rPr>
              <w:t>28.357</w:t>
            </w:r>
          </w:p>
        </w:tc>
        <w:tc>
          <w:tcPr>
            <w:tcW w:w="758" w:type="dxa"/>
          </w:tcPr>
          <w:p w14:paraId="1531E75E" w14:textId="77777777" w:rsidR="002C6574" w:rsidRDefault="00000000">
            <w:pPr>
              <w:pStyle w:val="TableParagraph"/>
              <w:spacing w:before="20"/>
              <w:ind w:right="69"/>
              <w:rPr>
                <w:rFonts w:ascii="Arial MT"/>
                <w:sz w:val="14"/>
              </w:rPr>
            </w:pPr>
            <w:r>
              <w:rPr>
                <w:rFonts w:ascii="Arial MT"/>
                <w:spacing w:val="-2"/>
                <w:sz w:val="14"/>
              </w:rPr>
              <w:t>43.710</w:t>
            </w:r>
          </w:p>
        </w:tc>
        <w:tc>
          <w:tcPr>
            <w:tcW w:w="870" w:type="dxa"/>
            <w:gridSpan w:val="2"/>
          </w:tcPr>
          <w:p w14:paraId="3685C137" w14:textId="77777777" w:rsidR="002C6574" w:rsidRDefault="00000000">
            <w:pPr>
              <w:pStyle w:val="TableParagraph"/>
              <w:spacing w:before="20"/>
              <w:ind w:left="307"/>
              <w:jc w:val="left"/>
              <w:rPr>
                <w:rFonts w:ascii="Arial MT"/>
                <w:sz w:val="14"/>
              </w:rPr>
            </w:pPr>
            <w:r>
              <w:rPr>
                <w:rFonts w:ascii="Arial MT"/>
                <w:spacing w:val="-2"/>
                <w:sz w:val="14"/>
              </w:rPr>
              <w:t>726,8%</w:t>
            </w:r>
          </w:p>
        </w:tc>
        <w:tc>
          <w:tcPr>
            <w:tcW w:w="938" w:type="dxa"/>
            <w:gridSpan w:val="2"/>
          </w:tcPr>
          <w:p w14:paraId="44521A12" w14:textId="77777777" w:rsidR="002C6574" w:rsidRDefault="00000000">
            <w:pPr>
              <w:pStyle w:val="TableParagraph"/>
              <w:spacing w:before="20"/>
              <w:ind w:left="246"/>
              <w:jc w:val="left"/>
              <w:rPr>
                <w:rFonts w:ascii="Arial MT"/>
                <w:sz w:val="14"/>
              </w:rPr>
            </w:pPr>
            <w:r>
              <w:rPr>
                <w:rFonts w:ascii="Arial MT"/>
                <w:spacing w:val="-2"/>
                <w:sz w:val="14"/>
              </w:rPr>
              <w:t>436,4%</w:t>
            </w:r>
          </w:p>
        </w:tc>
        <w:tc>
          <w:tcPr>
            <w:tcW w:w="846" w:type="dxa"/>
            <w:shd w:val="clear" w:color="auto" w:fill="66FFFF"/>
          </w:tcPr>
          <w:p w14:paraId="1CBEFC22" w14:textId="77777777" w:rsidR="002C6574" w:rsidRDefault="00000000">
            <w:pPr>
              <w:pStyle w:val="TableParagraph"/>
              <w:spacing w:before="20"/>
              <w:ind w:right="63"/>
              <w:rPr>
                <w:rFonts w:ascii="Arial MT"/>
                <w:sz w:val="14"/>
              </w:rPr>
            </w:pPr>
            <w:r>
              <w:rPr>
                <w:rFonts w:ascii="Arial MT"/>
                <w:spacing w:val="-2"/>
                <w:sz w:val="14"/>
              </w:rPr>
              <w:t>406.942</w:t>
            </w:r>
          </w:p>
        </w:tc>
        <w:tc>
          <w:tcPr>
            <w:tcW w:w="856" w:type="dxa"/>
          </w:tcPr>
          <w:p w14:paraId="65DB64CA" w14:textId="77777777" w:rsidR="002C6574" w:rsidRDefault="00000000">
            <w:pPr>
              <w:pStyle w:val="TableParagraph"/>
              <w:spacing w:before="20"/>
              <w:ind w:right="65"/>
              <w:rPr>
                <w:rFonts w:ascii="Arial MT"/>
                <w:sz w:val="14"/>
              </w:rPr>
            </w:pPr>
            <w:r>
              <w:rPr>
                <w:rFonts w:ascii="Arial MT"/>
                <w:spacing w:val="-2"/>
                <w:sz w:val="14"/>
              </w:rPr>
              <w:t>158.402</w:t>
            </w:r>
          </w:p>
        </w:tc>
        <w:tc>
          <w:tcPr>
            <w:tcW w:w="858" w:type="dxa"/>
            <w:gridSpan w:val="2"/>
          </w:tcPr>
          <w:p w14:paraId="2CB67B51" w14:textId="77777777" w:rsidR="002C6574" w:rsidRDefault="00000000">
            <w:pPr>
              <w:pStyle w:val="TableParagraph"/>
              <w:spacing w:before="20"/>
              <w:ind w:left="268"/>
              <w:jc w:val="left"/>
              <w:rPr>
                <w:rFonts w:ascii="Arial MT"/>
                <w:sz w:val="14"/>
              </w:rPr>
            </w:pPr>
            <w:r>
              <w:rPr>
                <w:rFonts w:ascii="Arial MT"/>
                <w:spacing w:val="-2"/>
                <w:sz w:val="14"/>
              </w:rPr>
              <w:t>156,9%</w:t>
            </w:r>
          </w:p>
        </w:tc>
      </w:tr>
      <w:tr w:rsidR="002C6574" w14:paraId="272F87E7" w14:textId="77777777">
        <w:trPr>
          <w:trHeight w:val="199"/>
        </w:trPr>
        <w:tc>
          <w:tcPr>
            <w:tcW w:w="3614" w:type="dxa"/>
          </w:tcPr>
          <w:p w14:paraId="3E61C5D2" w14:textId="77777777" w:rsidR="002C6574" w:rsidRDefault="00000000">
            <w:pPr>
              <w:pStyle w:val="TableParagraph"/>
              <w:spacing w:before="16"/>
              <w:ind w:left="84"/>
              <w:jc w:val="left"/>
              <w:rPr>
                <w:rFonts w:ascii="Arial MT" w:hAnsi="Arial MT"/>
                <w:sz w:val="14"/>
              </w:rPr>
            </w:pPr>
            <w:r>
              <w:rPr>
                <w:rFonts w:ascii="Arial MT" w:hAnsi="Arial MT"/>
                <w:sz w:val="14"/>
              </w:rPr>
              <w:t>Superávit</w:t>
            </w:r>
            <w:r>
              <w:rPr>
                <w:rFonts w:ascii="Arial MT" w:hAnsi="Arial MT"/>
                <w:spacing w:val="-4"/>
                <w:sz w:val="14"/>
              </w:rPr>
              <w:t xml:space="preserve"> </w:t>
            </w:r>
            <w:r>
              <w:rPr>
                <w:rFonts w:ascii="Arial MT" w:hAnsi="Arial MT"/>
                <w:sz w:val="14"/>
              </w:rPr>
              <w:t>de</w:t>
            </w:r>
            <w:r>
              <w:rPr>
                <w:rFonts w:ascii="Arial MT" w:hAnsi="Arial MT"/>
                <w:spacing w:val="-8"/>
                <w:sz w:val="14"/>
              </w:rPr>
              <w:t xml:space="preserve"> </w:t>
            </w:r>
            <w:r>
              <w:rPr>
                <w:rFonts w:ascii="Arial MT" w:hAnsi="Arial MT"/>
                <w:sz w:val="14"/>
              </w:rPr>
              <w:t>Previdência</w:t>
            </w:r>
            <w:r>
              <w:rPr>
                <w:rFonts w:ascii="Arial MT" w:hAnsi="Arial MT"/>
                <w:spacing w:val="-6"/>
                <w:sz w:val="14"/>
              </w:rPr>
              <w:t xml:space="preserve"> </w:t>
            </w:r>
            <w:r>
              <w:rPr>
                <w:rFonts w:ascii="Arial MT" w:hAnsi="Arial MT"/>
                <w:sz w:val="14"/>
              </w:rPr>
              <w:t>Privada</w:t>
            </w:r>
            <w:r>
              <w:rPr>
                <w:rFonts w:ascii="Arial MT" w:hAnsi="Arial MT"/>
                <w:spacing w:val="-7"/>
                <w:sz w:val="14"/>
              </w:rPr>
              <w:t xml:space="preserve"> </w:t>
            </w:r>
            <w:r>
              <w:rPr>
                <w:rFonts w:ascii="Arial MT" w:hAnsi="Arial MT"/>
                <w:spacing w:val="-4"/>
                <w:sz w:val="14"/>
              </w:rPr>
              <w:t>(ii)</w:t>
            </w:r>
          </w:p>
        </w:tc>
        <w:tc>
          <w:tcPr>
            <w:tcW w:w="952" w:type="dxa"/>
            <w:shd w:val="clear" w:color="auto" w:fill="66FFFF"/>
          </w:tcPr>
          <w:p w14:paraId="47EED9B0" w14:textId="77777777" w:rsidR="002C6574" w:rsidRDefault="00000000">
            <w:pPr>
              <w:pStyle w:val="TableParagraph"/>
              <w:spacing w:before="16"/>
              <w:ind w:left="278"/>
              <w:jc w:val="left"/>
              <w:rPr>
                <w:rFonts w:ascii="Arial MT"/>
                <w:sz w:val="14"/>
              </w:rPr>
            </w:pPr>
            <w:r>
              <w:rPr>
                <w:rFonts w:ascii="Arial MT"/>
                <w:spacing w:val="-2"/>
                <w:sz w:val="14"/>
              </w:rPr>
              <w:t>102.225</w:t>
            </w:r>
          </w:p>
        </w:tc>
        <w:tc>
          <w:tcPr>
            <w:tcW w:w="858" w:type="dxa"/>
          </w:tcPr>
          <w:p w14:paraId="31220AF5" w14:textId="77777777" w:rsidR="002C6574" w:rsidRDefault="00000000">
            <w:pPr>
              <w:pStyle w:val="TableParagraph"/>
              <w:spacing w:before="16"/>
              <w:ind w:left="183"/>
              <w:jc w:val="left"/>
              <w:rPr>
                <w:rFonts w:ascii="Arial MT"/>
                <w:sz w:val="14"/>
              </w:rPr>
            </w:pPr>
            <w:r>
              <w:rPr>
                <w:rFonts w:ascii="Arial MT"/>
                <w:spacing w:val="-2"/>
                <w:sz w:val="14"/>
              </w:rPr>
              <w:t>212.038</w:t>
            </w:r>
          </w:p>
        </w:tc>
        <w:tc>
          <w:tcPr>
            <w:tcW w:w="758" w:type="dxa"/>
          </w:tcPr>
          <w:p w14:paraId="020B2091" w14:textId="77777777" w:rsidR="002C6574" w:rsidRDefault="00000000">
            <w:pPr>
              <w:pStyle w:val="TableParagraph"/>
              <w:spacing w:before="16"/>
              <w:ind w:right="69"/>
              <w:rPr>
                <w:rFonts w:ascii="Arial MT"/>
                <w:sz w:val="14"/>
              </w:rPr>
            </w:pPr>
            <w:r>
              <w:rPr>
                <w:rFonts w:ascii="Arial MT"/>
                <w:spacing w:val="-2"/>
                <w:sz w:val="14"/>
              </w:rPr>
              <w:t>32.502</w:t>
            </w:r>
          </w:p>
        </w:tc>
        <w:tc>
          <w:tcPr>
            <w:tcW w:w="870" w:type="dxa"/>
            <w:gridSpan w:val="2"/>
          </w:tcPr>
          <w:p w14:paraId="7FECF9B1" w14:textId="77777777" w:rsidR="002C6574" w:rsidRDefault="00000000">
            <w:pPr>
              <w:pStyle w:val="TableParagraph"/>
              <w:spacing w:before="16"/>
              <w:ind w:left="338"/>
              <w:jc w:val="left"/>
              <w:rPr>
                <w:rFonts w:ascii="Arial MT"/>
                <w:sz w:val="14"/>
              </w:rPr>
            </w:pPr>
            <w:r>
              <w:rPr>
                <w:rFonts w:ascii="Arial MT"/>
                <w:spacing w:val="-2"/>
                <w:sz w:val="14"/>
              </w:rPr>
              <w:t>-51,8%</w:t>
            </w:r>
          </w:p>
        </w:tc>
        <w:tc>
          <w:tcPr>
            <w:tcW w:w="938" w:type="dxa"/>
            <w:gridSpan w:val="2"/>
          </w:tcPr>
          <w:p w14:paraId="41340326" w14:textId="77777777" w:rsidR="002C6574" w:rsidRDefault="00000000">
            <w:pPr>
              <w:pStyle w:val="TableParagraph"/>
              <w:spacing w:before="16"/>
              <w:ind w:left="246"/>
              <w:jc w:val="left"/>
              <w:rPr>
                <w:rFonts w:ascii="Arial MT"/>
                <w:sz w:val="14"/>
              </w:rPr>
            </w:pPr>
            <w:r>
              <w:rPr>
                <w:rFonts w:ascii="Arial MT"/>
                <w:spacing w:val="-2"/>
                <w:sz w:val="14"/>
              </w:rPr>
              <w:t>214,5%</w:t>
            </w:r>
          </w:p>
        </w:tc>
        <w:tc>
          <w:tcPr>
            <w:tcW w:w="846" w:type="dxa"/>
            <w:shd w:val="clear" w:color="auto" w:fill="66FFFF"/>
          </w:tcPr>
          <w:p w14:paraId="03699F5A" w14:textId="77777777" w:rsidR="002C6574" w:rsidRDefault="00000000">
            <w:pPr>
              <w:pStyle w:val="TableParagraph"/>
              <w:spacing w:before="16"/>
              <w:ind w:right="63"/>
              <w:rPr>
                <w:rFonts w:ascii="Arial MT"/>
                <w:sz w:val="14"/>
              </w:rPr>
            </w:pPr>
            <w:r>
              <w:rPr>
                <w:rFonts w:ascii="Arial MT"/>
                <w:spacing w:val="-2"/>
                <w:sz w:val="14"/>
              </w:rPr>
              <w:t>134.727</w:t>
            </w:r>
          </w:p>
        </w:tc>
        <w:tc>
          <w:tcPr>
            <w:tcW w:w="856" w:type="dxa"/>
          </w:tcPr>
          <w:p w14:paraId="0612EB4F" w14:textId="77777777" w:rsidR="002C6574" w:rsidRDefault="00000000">
            <w:pPr>
              <w:pStyle w:val="TableParagraph"/>
              <w:spacing w:before="16"/>
              <w:ind w:right="65"/>
              <w:rPr>
                <w:rFonts w:ascii="Arial MT"/>
                <w:sz w:val="14"/>
              </w:rPr>
            </w:pPr>
            <w:r>
              <w:rPr>
                <w:rFonts w:ascii="Arial MT"/>
                <w:spacing w:val="-2"/>
                <w:sz w:val="14"/>
              </w:rPr>
              <w:t>212.038</w:t>
            </w:r>
          </w:p>
        </w:tc>
        <w:tc>
          <w:tcPr>
            <w:tcW w:w="858" w:type="dxa"/>
            <w:gridSpan w:val="2"/>
          </w:tcPr>
          <w:p w14:paraId="1ED9DE3D" w14:textId="77777777" w:rsidR="002C6574" w:rsidRDefault="00000000">
            <w:pPr>
              <w:pStyle w:val="TableParagraph"/>
              <w:spacing w:before="16"/>
              <w:ind w:left="299"/>
              <w:jc w:val="left"/>
              <w:rPr>
                <w:rFonts w:ascii="Arial MT"/>
                <w:sz w:val="14"/>
              </w:rPr>
            </w:pPr>
            <w:r>
              <w:rPr>
                <w:rFonts w:ascii="Arial MT"/>
                <w:spacing w:val="-2"/>
                <w:sz w:val="14"/>
              </w:rPr>
              <w:t>-36,5%</w:t>
            </w:r>
          </w:p>
        </w:tc>
      </w:tr>
      <w:tr w:rsidR="002C6574" w14:paraId="1BA22D89" w14:textId="77777777">
        <w:trPr>
          <w:trHeight w:val="200"/>
        </w:trPr>
        <w:tc>
          <w:tcPr>
            <w:tcW w:w="3614" w:type="dxa"/>
          </w:tcPr>
          <w:p w14:paraId="657D762B" w14:textId="77777777" w:rsidR="002C6574" w:rsidRDefault="00000000">
            <w:pPr>
              <w:pStyle w:val="TableParagraph"/>
              <w:spacing w:before="16"/>
              <w:ind w:left="84"/>
              <w:jc w:val="left"/>
              <w:rPr>
                <w:rFonts w:ascii="Arial MT" w:hAnsi="Arial MT"/>
                <w:sz w:val="14"/>
              </w:rPr>
            </w:pPr>
            <w:r>
              <w:rPr>
                <w:rFonts w:ascii="Arial MT" w:hAnsi="Arial MT"/>
                <w:sz w:val="14"/>
              </w:rPr>
              <w:t>Recuperação</w:t>
            </w:r>
            <w:r>
              <w:rPr>
                <w:rFonts w:ascii="Arial MT" w:hAnsi="Arial MT"/>
                <w:spacing w:val="-5"/>
                <w:sz w:val="14"/>
              </w:rPr>
              <w:t xml:space="preserve"> </w:t>
            </w:r>
            <w:r>
              <w:rPr>
                <w:rFonts w:ascii="Arial MT" w:hAnsi="Arial MT"/>
                <w:sz w:val="14"/>
              </w:rPr>
              <w:t>de</w:t>
            </w:r>
            <w:r>
              <w:rPr>
                <w:rFonts w:ascii="Arial MT" w:hAnsi="Arial MT"/>
                <w:spacing w:val="-6"/>
                <w:sz w:val="14"/>
              </w:rPr>
              <w:t xml:space="preserve"> </w:t>
            </w:r>
            <w:r>
              <w:rPr>
                <w:rFonts w:ascii="Arial MT" w:hAnsi="Arial MT"/>
                <w:sz w:val="14"/>
              </w:rPr>
              <w:t>Tributos</w:t>
            </w:r>
            <w:r>
              <w:rPr>
                <w:rFonts w:ascii="Arial MT" w:hAnsi="Arial MT"/>
                <w:spacing w:val="-3"/>
                <w:sz w:val="14"/>
              </w:rPr>
              <w:t xml:space="preserve"> </w:t>
            </w:r>
            <w:r>
              <w:rPr>
                <w:rFonts w:ascii="Arial MT" w:hAnsi="Arial MT"/>
                <w:sz w:val="14"/>
              </w:rPr>
              <w:t>-</w:t>
            </w:r>
            <w:r>
              <w:rPr>
                <w:rFonts w:ascii="Arial MT" w:hAnsi="Arial MT"/>
                <w:spacing w:val="-7"/>
                <w:sz w:val="14"/>
              </w:rPr>
              <w:t xml:space="preserve"> </w:t>
            </w:r>
            <w:r>
              <w:rPr>
                <w:rFonts w:ascii="Arial MT" w:hAnsi="Arial MT"/>
                <w:sz w:val="14"/>
              </w:rPr>
              <w:t>Créditos</w:t>
            </w:r>
            <w:r>
              <w:rPr>
                <w:rFonts w:ascii="Arial MT" w:hAnsi="Arial MT"/>
                <w:spacing w:val="-6"/>
                <w:sz w:val="14"/>
              </w:rPr>
              <w:t xml:space="preserve"> </w:t>
            </w:r>
            <w:r>
              <w:rPr>
                <w:rFonts w:ascii="Arial MT" w:hAnsi="Arial MT"/>
                <w:sz w:val="14"/>
              </w:rPr>
              <w:t>sobre</w:t>
            </w:r>
            <w:r>
              <w:rPr>
                <w:rFonts w:ascii="Arial MT" w:hAnsi="Arial MT"/>
                <w:spacing w:val="-4"/>
                <w:sz w:val="14"/>
              </w:rPr>
              <w:t xml:space="preserve"> </w:t>
            </w:r>
            <w:r>
              <w:rPr>
                <w:rFonts w:ascii="Arial MT" w:hAnsi="Arial MT"/>
                <w:sz w:val="14"/>
              </w:rPr>
              <w:t>insumos</w:t>
            </w:r>
            <w:r>
              <w:rPr>
                <w:rFonts w:ascii="Arial MT" w:hAnsi="Arial MT"/>
                <w:spacing w:val="-6"/>
                <w:sz w:val="14"/>
              </w:rPr>
              <w:t xml:space="preserve"> </w:t>
            </w:r>
            <w:r>
              <w:rPr>
                <w:rFonts w:ascii="Arial MT" w:hAnsi="Arial MT"/>
                <w:spacing w:val="-4"/>
                <w:sz w:val="14"/>
              </w:rPr>
              <w:t>(iii)</w:t>
            </w:r>
          </w:p>
        </w:tc>
        <w:tc>
          <w:tcPr>
            <w:tcW w:w="952" w:type="dxa"/>
            <w:shd w:val="clear" w:color="auto" w:fill="66FFFF"/>
          </w:tcPr>
          <w:p w14:paraId="192B33E1" w14:textId="77777777" w:rsidR="002C6574" w:rsidRDefault="00000000">
            <w:pPr>
              <w:pStyle w:val="TableParagraph"/>
              <w:spacing w:before="16"/>
              <w:ind w:right="166"/>
              <w:rPr>
                <w:rFonts w:ascii="Arial MT"/>
                <w:sz w:val="14"/>
              </w:rPr>
            </w:pPr>
            <w:r>
              <w:rPr>
                <w:rFonts w:ascii="Arial MT"/>
                <w:spacing w:val="-2"/>
                <w:sz w:val="14"/>
              </w:rPr>
              <w:t>4.981</w:t>
            </w:r>
          </w:p>
        </w:tc>
        <w:tc>
          <w:tcPr>
            <w:tcW w:w="858" w:type="dxa"/>
          </w:tcPr>
          <w:p w14:paraId="2971F390" w14:textId="77777777" w:rsidR="002C6574" w:rsidRDefault="00000000">
            <w:pPr>
              <w:pStyle w:val="TableParagraph"/>
              <w:spacing w:before="16"/>
              <w:ind w:right="166"/>
              <w:rPr>
                <w:rFonts w:ascii="Arial MT"/>
                <w:sz w:val="14"/>
              </w:rPr>
            </w:pPr>
            <w:r>
              <w:rPr>
                <w:rFonts w:ascii="Arial MT"/>
                <w:spacing w:val="-2"/>
                <w:sz w:val="14"/>
              </w:rPr>
              <w:t>9.073</w:t>
            </w:r>
          </w:p>
        </w:tc>
        <w:tc>
          <w:tcPr>
            <w:tcW w:w="758" w:type="dxa"/>
          </w:tcPr>
          <w:p w14:paraId="1399B754" w14:textId="77777777" w:rsidR="002C6574" w:rsidRDefault="00000000">
            <w:pPr>
              <w:pStyle w:val="TableParagraph"/>
              <w:spacing w:before="16"/>
              <w:ind w:right="69"/>
              <w:rPr>
                <w:rFonts w:ascii="Arial MT"/>
                <w:sz w:val="14"/>
              </w:rPr>
            </w:pPr>
            <w:r>
              <w:rPr>
                <w:rFonts w:ascii="Arial MT"/>
                <w:spacing w:val="-2"/>
                <w:sz w:val="14"/>
              </w:rPr>
              <w:t>4.988</w:t>
            </w:r>
          </w:p>
        </w:tc>
        <w:tc>
          <w:tcPr>
            <w:tcW w:w="870" w:type="dxa"/>
            <w:gridSpan w:val="2"/>
          </w:tcPr>
          <w:p w14:paraId="0B1AC718" w14:textId="77777777" w:rsidR="002C6574" w:rsidRDefault="00000000">
            <w:pPr>
              <w:pStyle w:val="TableParagraph"/>
              <w:spacing w:before="16"/>
              <w:ind w:left="338"/>
              <w:jc w:val="left"/>
              <w:rPr>
                <w:rFonts w:ascii="Arial MT"/>
                <w:sz w:val="14"/>
              </w:rPr>
            </w:pPr>
            <w:r>
              <w:rPr>
                <w:rFonts w:ascii="Arial MT"/>
                <w:spacing w:val="-2"/>
                <w:sz w:val="14"/>
              </w:rPr>
              <w:t>-45,1%</w:t>
            </w:r>
          </w:p>
        </w:tc>
        <w:tc>
          <w:tcPr>
            <w:tcW w:w="938" w:type="dxa"/>
            <w:gridSpan w:val="2"/>
          </w:tcPr>
          <w:p w14:paraId="1D549254" w14:textId="77777777" w:rsidR="002C6574" w:rsidRDefault="00000000">
            <w:pPr>
              <w:pStyle w:val="TableParagraph"/>
              <w:spacing w:before="16"/>
              <w:ind w:left="356"/>
              <w:jc w:val="left"/>
              <w:rPr>
                <w:rFonts w:ascii="Arial MT"/>
                <w:sz w:val="14"/>
              </w:rPr>
            </w:pPr>
            <w:r>
              <w:rPr>
                <w:rFonts w:ascii="Arial MT"/>
                <w:spacing w:val="-2"/>
                <w:sz w:val="14"/>
              </w:rPr>
              <w:t>-</w:t>
            </w:r>
            <w:r>
              <w:rPr>
                <w:rFonts w:ascii="Arial MT"/>
                <w:spacing w:val="-4"/>
                <w:sz w:val="14"/>
              </w:rPr>
              <w:t>0,1%</w:t>
            </w:r>
          </w:p>
        </w:tc>
        <w:tc>
          <w:tcPr>
            <w:tcW w:w="846" w:type="dxa"/>
            <w:shd w:val="clear" w:color="auto" w:fill="66FFFF"/>
          </w:tcPr>
          <w:p w14:paraId="507E533E" w14:textId="77777777" w:rsidR="002C6574" w:rsidRDefault="00000000">
            <w:pPr>
              <w:pStyle w:val="TableParagraph"/>
              <w:spacing w:before="16"/>
              <w:ind w:right="63"/>
              <w:rPr>
                <w:rFonts w:ascii="Arial MT"/>
                <w:sz w:val="14"/>
              </w:rPr>
            </w:pPr>
            <w:r>
              <w:rPr>
                <w:rFonts w:ascii="Arial MT"/>
                <w:spacing w:val="-2"/>
                <w:sz w:val="14"/>
              </w:rPr>
              <w:t>17.575</w:t>
            </w:r>
          </w:p>
        </w:tc>
        <w:tc>
          <w:tcPr>
            <w:tcW w:w="856" w:type="dxa"/>
          </w:tcPr>
          <w:p w14:paraId="194C4A3E" w14:textId="77777777" w:rsidR="002C6574" w:rsidRDefault="00000000">
            <w:pPr>
              <w:pStyle w:val="TableParagraph"/>
              <w:spacing w:before="16"/>
              <w:ind w:right="65"/>
              <w:rPr>
                <w:rFonts w:ascii="Arial MT"/>
                <w:sz w:val="14"/>
              </w:rPr>
            </w:pPr>
            <w:r>
              <w:rPr>
                <w:rFonts w:ascii="Arial MT"/>
                <w:spacing w:val="-2"/>
                <w:sz w:val="14"/>
              </w:rPr>
              <w:t>20.538</w:t>
            </w:r>
          </w:p>
        </w:tc>
        <w:tc>
          <w:tcPr>
            <w:tcW w:w="858" w:type="dxa"/>
            <w:gridSpan w:val="2"/>
          </w:tcPr>
          <w:p w14:paraId="1EC8E266" w14:textId="77777777" w:rsidR="002C6574" w:rsidRDefault="00000000">
            <w:pPr>
              <w:pStyle w:val="TableParagraph"/>
              <w:spacing w:before="16"/>
              <w:ind w:left="299"/>
              <w:jc w:val="left"/>
              <w:rPr>
                <w:rFonts w:ascii="Arial MT"/>
                <w:sz w:val="14"/>
              </w:rPr>
            </w:pPr>
            <w:r>
              <w:rPr>
                <w:rFonts w:ascii="Arial MT"/>
                <w:spacing w:val="-2"/>
                <w:sz w:val="14"/>
              </w:rPr>
              <w:t>-14,4%</w:t>
            </w:r>
          </w:p>
        </w:tc>
      </w:tr>
      <w:tr w:rsidR="002C6574" w14:paraId="28D55D81" w14:textId="77777777">
        <w:trPr>
          <w:trHeight w:val="200"/>
        </w:trPr>
        <w:tc>
          <w:tcPr>
            <w:tcW w:w="3614" w:type="dxa"/>
          </w:tcPr>
          <w:p w14:paraId="37B9A960" w14:textId="77777777" w:rsidR="002C6574" w:rsidRDefault="00000000">
            <w:pPr>
              <w:pStyle w:val="TableParagraph"/>
              <w:spacing w:before="17"/>
              <w:ind w:left="84"/>
              <w:jc w:val="left"/>
              <w:rPr>
                <w:rFonts w:ascii="Arial MT"/>
                <w:sz w:val="14"/>
              </w:rPr>
            </w:pPr>
            <w:r>
              <w:rPr>
                <w:rFonts w:ascii="Arial MT"/>
                <w:sz w:val="14"/>
              </w:rPr>
              <w:t>Ativos</w:t>
            </w:r>
            <w:r>
              <w:rPr>
                <w:rFonts w:ascii="Arial MT"/>
                <w:spacing w:val="-10"/>
                <w:sz w:val="14"/>
              </w:rPr>
              <w:t xml:space="preserve"> </w:t>
            </w:r>
            <w:r>
              <w:rPr>
                <w:rFonts w:ascii="Arial MT"/>
                <w:sz w:val="14"/>
              </w:rPr>
              <w:t>Contingentes</w:t>
            </w:r>
            <w:r>
              <w:rPr>
                <w:rFonts w:ascii="Arial MT"/>
                <w:spacing w:val="-9"/>
                <w:sz w:val="14"/>
              </w:rPr>
              <w:t xml:space="preserve"> </w:t>
            </w:r>
            <w:r>
              <w:rPr>
                <w:rFonts w:ascii="Arial MT"/>
                <w:spacing w:val="-4"/>
                <w:sz w:val="14"/>
              </w:rPr>
              <w:t>(iv)</w:t>
            </w:r>
          </w:p>
        </w:tc>
        <w:tc>
          <w:tcPr>
            <w:tcW w:w="952" w:type="dxa"/>
            <w:shd w:val="clear" w:color="auto" w:fill="66FFFF"/>
          </w:tcPr>
          <w:p w14:paraId="68A3A216" w14:textId="77777777" w:rsidR="002C6574" w:rsidRDefault="00000000">
            <w:pPr>
              <w:pStyle w:val="TableParagraph"/>
              <w:spacing w:before="17"/>
              <w:ind w:right="164"/>
              <w:rPr>
                <w:rFonts w:ascii="Arial MT"/>
                <w:sz w:val="14"/>
              </w:rPr>
            </w:pPr>
            <w:r>
              <w:rPr>
                <w:rFonts w:ascii="Arial MT"/>
                <w:spacing w:val="-2"/>
                <w:sz w:val="14"/>
              </w:rPr>
              <w:t>14.922</w:t>
            </w:r>
          </w:p>
        </w:tc>
        <w:tc>
          <w:tcPr>
            <w:tcW w:w="858" w:type="dxa"/>
          </w:tcPr>
          <w:p w14:paraId="688E1A81" w14:textId="77777777" w:rsidR="002C6574" w:rsidRDefault="00000000">
            <w:pPr>
              <w:pStyle w:val="TableParagraph"/>
              <w:spacing w:before="17"/>
              <w:ind w:right="165"/>
              <w:rPr>
                <w:rFonts w:ascii="Arial MT"/>
                <w:sz w:val="14"/>
              </w:rPr>
            </w:pPr>
            <w:r>
              <w:rPr>
                <w:rFonts w:ascii="Arial MT"/>
                <w:spacing w:val="-10"/>
                <w:sz w:val="14"/>
              </w:rPr>
              <w:t>-</w:t>
            </w:r>
          </w:p>
        </w:tc>
        <w:tc>
          <w:tcPr>
            <w:tcW w:w="758" w:type="dxa"/>
          </w:tcPr>
          <w:p w14:paraId="2E9BB203" w14:textId="77777777" w:rsidR="002C6574" w:rsidRDefault="00000000">
            <w:pPr>
              <w:pStyle w:val="TableParagraph"/>
              <w:spacing w:before="17"/>
              <w:ind w:right="69"/>
              <w:rPr>
                <w:rFonts w:ascii="Arial MT"/>
                <w:sz w:val="14"/>
              </w:rPr>
            </w:pPr>
            <w:r>
              <w:rPr>
                <w:rFonts w:ascii="Arial MT"/>
                <w:spacing w:val="-10"/>
                <w:sz w:val="14"/>
              </w:rPr>
              <w:t>-</w:t>
            </w:r>
          </w:p>
        </w:tc>
        <w:tc>
          <w:tcPr>
            <w:tcW w:w="870" w:type="dxa"/>
            <w:gridSpan w:val="2"/>
          </w:tcPr>
          <w:p w14:paraId="2608ED31" w14:textId="77777777" w:rsidR="002C6574" w:rsidRDefault="00000000">
            <w:pPr>
              <w:pStyle w:val="TableParagraph"/>
              <w:spacing w:before="17"/>
              <w:ind w:left="307"/>
              <w:jc w:val="left"/>
              <w:rPr>
                <w:rFonts w:ascii="Arial MT"/>
                <w:sz w:val="14"/>
              </w:rPr>
            </w:pPr>
            <w:r>
              <w:rPr>
                <w:rFonts w:ascii="Arial MT"/>
                <w:spacing w:val="-2"/>
                <w:sz w:val="14"/>
              </w:rPr>
              <w:t>100,0%</w:t>
            </w:r>
          </w:p>
        </w:tc>
        <w:tc>
          <w:tcPr>
            <w:tcW w:w="938" w:type="dxa"/>
            <w:gridSpan w:val="2"/>
          </w:tcPr>
          <w:p w14:paraId="3F802AF2" w14:textId="77777777" w:rsidR="002C6574" w:rsidRDefault="00000000">
            <w:pPr>
              <w:pStyle w:val="TableParagraph"/>
              <w:spacing w:before="17"/>
              <w:ind w:left="246"/>
              <w:jc w:val="left"/>
              <w:rPr>
                <w:rFonts w:ascii="Arial MT"/>
                <w:sz w:val="14"/>
              </w:rPr>
            </w:pPr>
            <w:r>
              <w:rPr>
                <w:rFonts w:ascii="Arial MT"/>
                <w:spacing w:val="-2"/>
                <w:sz w:val="14"/>
              </w:rPr>
              <w:t>100,0%</w:t>
            </w:r>
          </w:p>
        </w:tc>
        <w:tc>
          <w:tcPr>
            <w:tcW w:w="846" w:type="dxa"/>
            <w:shd w:val="clear" w:color="auto" w:fill="66FFFF"/>
          </w:tcPr>
          <w:p w14:paraId="32FC5DF5" w14:textId="77777777" w:rsidR="002C6574" w:rsidRDefault="00000000">
            <w:pPr>
              <w:pStyle w:val="TableParagraph"/>
              <w:spacing w:before="17"/>
              <w:ind w:right="63"/>
              <w:rPr>
                <w:rFonts w:ascii="Arial MT"/>
                <w:sz w:val="14"/>
              </w:rPr>
            </w:pPr>
            <w:r>
              <w:rPr>
                <w:rFonts w:ascii="Arial MT"/>
                <w:spacing w:val="-2"/>
                <w:sz w:val="14"/>
              </w:rPr>
              <w:t>14.960</w:t>
            </w:r>
          </w:p>
        </w:tc>
        <w:tc>
          <w:tcPr>
            <w:tcW w:w="856" w:type="dxa"/>
          </w:tcPr>
          <w:p w14:paraId="16AD43E4" w14:textId="77777777" w:rsidR="002C6574" w:rsidRDefault="00000000">
            <w:pPr>
              <w:pStyle w:val="TableParagraph"/>
              <w:spacing w:before="17"/>
              <w:ind w:right="64"/>
              <w:rPr>
                <w:rFonts w:ascii="Arial MT"/>
                <w:sz w:val="14"/>
              </w:rPr>
            </w:pPr>
            <w:r>
              <w:rPr>
                <w:rFonts w:ascii="Arial MT"/>
                <w:spacing w:val="-10"/>
                <w:sz w:val="14"/>
              </w:rPr>
              <w:t>-</w:t>
            </w:r>
          </w:p>
        </w:tc>
        <w:tc>
          <w:tcPr>
            <w:tcW w:w="858" w:type="dxa"/>
            <w:gridSpan w:val="2"/>
          </w:tcPr>
          <w:p w14:paraId="10124B09" w14:textId="77777777" w:rsidR="002C6574" w:rsidRDefault="00000000">
            <w:pPr>
              <w:pStyle w:val="TableParagraph"/>
              <w:spacing w:before="17"/>
              <w:ind w:left="268"/>
              <w:jc w:val="left"/>
              <w:rPr>
                <w:rFonts w:ascii="Arial MT"/>
                <w:sz w:val="14"/>
              </w:rPr>
            </w:pPr>
            <w:r>
              <w:rPr>
                <w:rFonts w:ascii="Arial MT"/>
                <w:spacing w:val="-2"/>
                <w:sz w:val="14"/>
              </w:rPr>
              <w:t>100,0%</w:t>
            </w:r>
          </w:p>
        </w:tc>
      </w:tr>
      <w:tr w:rsidR="002C6574" w14:paraId="4E405965" w14:textId="77777777">
        <w:trPr>
          <w:trHeight w:val="199"/>
        </w:trPr>
        <w:tc>
          <w:tcPr>
            <w:tcW w:w="3614" w:type="dxa"/>
          </w:tcPr>
          <w:p w14:paraId="1C70F169" w14:textId="77777777" w:rsidR="002C6574" w:rsidRDefault="00000000">
            <w:pPr>
              <w:pStyle w:val="TableParagraph"/>
              <w:spacing w:before="16"/>
              <w:ind w:left="84"/>
              <w:jc w:val="left"/>
              <w:rPr>
                <w:rFonts w:ascii="Arial MT"/>
                <w:sz w:val="14"/>
              </w:rPr>
            </w:pPr>
            <w:r>
              <w:rPr>
                <w:rFonts w:ascii="Arial MT"/>
                <w:sz w:val="14"/>
              </w:rPr>
              <w:t>Outras</w:t>
            </w:r>
            <w:r>
              <w:rPr>
                <w:rFonts w:ascii="Arial MT"/>
                <w:spacing w:val="-8"/>
                <w:sz w:val="14"/>
              </w:rPr>
              <w:t xml:space="preserve"> </w:t>
            </w:r>
            <w:r>
              <w:rPr>
                <w:rFonts w:ascii="Arial MT"/>
                <w:sz w:val="14"/>
              </w:rPr>
              <w:t>Receitas</w:t>
            </w:r>
            <w:r>
              <w:rPr>
                <w:rFonts w:ascii="Arial MT"/>
                <w:spacing w:val="-5"/>
                <w:sz w:val="14"/>
              </w:rPr>
              <w:t xml:space="preserve"> </w:t>
            </w:r>
            <w:r>
              <w:rPr>
                <w:rFonts w:ascii="Arial MT"/>
                <w:spacing w:val="-2"/>
                <w:sz w:val="14"/>
              </w:rPr>
              <w:t>Operacionais</w:t>
            </w:r>
          </w:p>
        </w:tc>
        <w:tc>
          <w:tcPr>
            <w:tcW w:w="952" w:type="dxa"/>
            <w:shd w:val="clear" w:color="auto" w:fill="66FFFF"/>
          </w:tcPr>
          <w:p w14:paraId="33EA10ED" w14:textId="77777777" w:rsidR="002C6574" w:rsidRDefault="00000000">
            <w:pPr>
              <w:pStyle w:val="TableParagraph"/>
              <w:spacing w:before="16"/>
              <w:ind w:right="164"/>
              <w:rPr>
                <w:rFonts w:ascii="Arial MT"/>
                <w:sz w:val="14"/>
              </w:rPr>
            </w:pPr>
            <w:r>
              <w:rPr>
                <w:rFonts w:ascii="Arial MT"/>
                <w:spacing w:val="-5"/>
                <w:sz w:val="14"/>
              </w:rPr>
              <w:t>743</w:t>
            </w:r>
          </w:p>
        </w:tc>
        <w:tc>
          <w:tcPr>
            <w:tcW w:w="858" w:type="dxa"/>
          </w:tcPr>
          <w:p w14:paraId="35982E63" w14:textId="77777777" w:rsidR="002C6574" w:rsidRDefault="00000000">
            <w:pPr>
              <w:pStyle w:val="TableParagraph"/>
              <w:spacing w:before="16"/>
              <w:ind w:right="166"/>
              <w:rPr>
                <w:rFonts w:ascii="Arial MT"/>
                <w:sz w:val="14"/>
              </w:rPr>
            </w:pPr>
            <w:r>
              <w:rPr>
                <w:rFonts w:ascii="Arial MT"/>
                <w:spacing w:val="-2"/>
                <w:sz w:val="14"/>
              </w:rPr>
              <w:t>1.945</w:t>
            </w:r>
          </w:p>
        </w:tc>
        <w:tc>
          <w:tcPr>
            <w:tcW w:w="758" w:type="dxa"/>
          </w:tcPr>
          <w:p w14:paraId="2A386116" w14:textId="77777777" w:rsidR="002C6574" w:rsidRDefault="00000000">
            <w:pPr>
              <w:pStyle w:val="TableParagraph"/>
              <w:spacing w:before="16"/>
              <w:ind w:right="69"/>
              <w:rPr>
                <w:rFonts w:ascii="Arial MT"/>
                <w:sz w:val="14"/>
              </w:rPr>
            </w:pPr>
            <w:r>
              <w:rPr>
                <w:rFonts w:ascii="Arial MT"/>
                <w:spacing w:val="-5"/>
                <w:sz w:val="14"/>
              </w:rPr>
              <w:t>312</w:t>
            </w:r>
          </w:p>
        </w:tc>
        <w:tc>
          <w:tcPr>
            <w:tcW w:w="870" w:type="dxa"/>
            <w:gridSpan w:val="2"/>
          </w:tcPr>
          <w:p w14:paraId="4FF149A8" w14:textId="77777777" w:rsidR="002C6574" w:rsidRDefault="00000000">
            <w:pPr>
              <w:pStyle w:val="TableParagraph"/>
              <w:spacing w:before="16"/>
              <w:ind w:left="338"/>
              <w:jc w:val="left"/>
              <w:rPr>
                <w:rFonts w:ascii="Arial MT"/>
                <w:sz w:val="14"/>
              </w:rPr>
            </w:pPr>
            <w:r>
              <w:rPr>
                <w:rFonts w:ascii="Arial MT"/>
                <w:spacing w:val="-2"/>
                <w:sz w:val="14"/>
              </w:rPr>
              <w:t>-61,8%</w:t>
            </w:r>
          </w:p>
        </w:tc>
        <w:tc>
          <w:tcPr>
            <w:tcW w:w="938" w:type="dxa"/>
            <w:gridSpan w:val="2"/>
          </w:tcPr>
          <w:p w14:paraId="76A38280" w14:textId="77777777" w:rsidR="002C6574" w:rsidRDefault="00000000">
            <w:pPr>
              <w:pStyle w:val="TableParagraph"/>
              <w:spacing w:before="16"/>
              <w:ind w:left="246"/>
              <w:jc w:val="left"/>
              <w:rPr>
                <w:rFonts w:ascii="Arial MT"/>
                <w:sz w:val="14"/>
              </w:rPr>
            </w:pPr>
            <w:r>
              <w:rPr>
                <w:rFonts w:ascii="Arial MT"/>
                <w:spacing w:val="-2"/>
                <w:sz w:val="14"/>
              </w:rPr>
              <w:t>138,1%</w:t>
            </w:r>
          </w:p>
        </w:tc>
        <w:tc>
          <w:tcPr>
            <w:tcW w:w="846" w:type="dxa"/>
            <w:shd w:val="clear" w:color="auto" w:fill="66FFFF"/>
          </w:tcPr>
          <w:p w14:paraId="79D26BD9" w14:textId="77777777" w:rsidR="002C6574" w:rsidRDefault="00000000">
            <w:pPr>
              <w:pStyle w:val="TableParagraph"/>
              <w:spacing w:before="16"/>
              <w:ind w:right="63"/>
              <w:rPr>
                <w:rFonts w:ascii="Arial MT"/>
                <w:sz w:val="14"/>
              </w:rPr>
            </w:pPr>
            <w:r>
              <w:rPr>
                <w:rFonts w:ascii="Arial MT"/>
                <w:spacing w:val="-2"/>
                <w:sz w:val="14"/>
              </w:rPr>
              <w:t>2.717</w:t>
            </w:r>
          </w:p>
        </w:tc>
        <w:tc>
          <w:tcPr>
            <w:tcW w:w="856" w:type="dxa"/>
          </w:tcPr>
          <w:p w14:paraId="18804DB5" w14:textId="77777777" w:rsidR="002C6574" w:rsidRDefault="00000000">
            <w:pPr>
              <w:pStyle w:val="TableParagraph"/>
              <w:spacing w:before="16"/>
              <w:ind w:right="65"/>
              <w:rPr>
                <w:rFonts w:ascii="Arial MT"/>
                <w:sz w:val="14"/>
              </w:rPr>
            </w:pPr>
            <w:r>
              <w:rPr>
                <w:rFonts w:ascii="Arial MT"/>
                <w:spacing w:val="-2"/>
                <w:sz w:val="14"/>
              </w:rPr>
              <w:t>5.568</w:t>
            </w:r>
          </w:p>
        </w:tc>
        <w:tc>
          <w:tcPr>
            <w:tcW w:w="858" w:type="dxa"/>
            <w:gridSpan w:val="2"/>
          </w:tcPr>
          <w:p w14:paraId="0D31E58F" w14:textId="77777777" w:rsidR="002C6574" w:rsidRDefault="00000000">
            <w:pPr>
              <w:pStyle w:val="TableParagraph"/>
              <w:spacing w:before="16"/>
              <w:ind w:left="299"/>
              <w:jc w:val="left"/>
              <w:rPr>
                <w:rFonts w:ascii="Arial MT"/>
                <w:sz w:val="14"/>
              </w:rPr>
            </w:pPr>
            <w:r>
              <w:rPr>
                <w:rFonts w:ascii="Arial MT"/>
                <w:spacing w:val="-2"/>
                <w:sz w:val="14"/>
              </w:rPr>
              <w:t>-51,2%</w:t>
            </w:r>
          </w:p>
        </w:tc>
      </w:tr>
      <w:tr w:rsidR="002C6574" w14:paraId="17B6A646" w14:textId="77777777">
        <w:trPr>
          <w:trHeight w:val="198"/>
        </w:trPr>
        <w:tc>
          <w:tcPr>
            <w:tcW w:w="3614" w:type="dxa"/>
          </w:tcPr>
          <w:p w14:paraId="15B2453F" w14:textId="77777777" w:rsidR="002C6574" w:rsidRDefault="00000000">
            <w:pPr>
              <w:pStyle w:val="TableParagraph"/>
              <w:spacing w:before="16"/>
              <w:ind w:left="84"/>
              <w:jc w:val="left"/>
              <w:rPr>
                <w:rFonts w:ascii="Arial MT"/>
                <w:sz w:val="14"/>
              </w:rPr>
            </w:pPr>
            <w:r>
              <w:rPr>
                <w:rFonts w:ascii="Arial MT"/>
                <w:sz w:val="14"/>
              </w:rPr>
              <w:t>Tributos</w:t>
            </w:r>
            <w:r>
              <w:rPr>
                <w:rFonts w:ascii="Arial MT"/>
                <w:spacing w:val="-8"/>
                <w:sz w:val="14"/>
              </w:rPr>
              <w:t xml:space="preserve"> </w:t>
            </w:r>
            <w:r>
              <w:rPr>
                <w:rFonts w:ascii="Arial MT"/>
                <w:sz w:val="14"/>
              </w:rPr>
              <w:t>sobre</w:t>
            </w:r>
            <w:r>
              <w:rPr>
                <w:rFonts w:ascii="Arial MT"/>
                <w:spacing w:val="-8"/>
                <w:sz w:val="14"/>
              </w:rPr>
              <w:t xml:space="preserve"> </w:t>
            </w:r>
            <w:r>
              <w:rPr>
                <w:rFonts w:ascii="Arial MT"/>
                <w:sz w:val="14"/>
              </w:rPr>
              <w:t>Outras</w:t>
            </w:r>
            <w:r>
              <w:rPr>
                <w:rFonts w:ascii="Arial MT"/>
                <w:spacing w:val="-8"/>
                <w:sz w:val="14"/>
              </w:rPr>
              <w:t xml:space="preserve"> </w:t>
            </w:r>
            <w:r>
              <w:rPr>
                <w:rFonts w:ascii="Arial MT"/>
                <w:sz w:val="14"/>
              </w:rPr>
              <w:t>Receitas</w:t>
            </w:r>
            <w:r>
              <w:rPr>
                <w:rFonts w:ascii="Arial MT"/>
                <w:spacing w:val="-5"/>
                <w:sz w:val="14"/>
              </w:rPr>
              <w:t xml:space="preserve"> </w:t>
            </w:r>
            <w:r>
              <w:rPr>
                <w:rFonts w:ascii="Arial MT"/>
                <w:sz w:val="14"/>
              </w:rPr>
              <w:t>Operacionais</w:t>
            </w:r>
            <w:r>
              <w:rPr>
                <w:rFonts w:ascii="Arial MT"/>
                <w:spacing w:val="-5"/>
                <w:sz w:val="14"/>
              </w:rPr>
              <w:t xml:space="preserve"> (v)</w:t>
            </w:r>
          </w:p>
        </w:tc>
        <w:tc>
          <w:tcPr>
            <w:tcW w:w="952" w:type="dxa"/>
            <w:shd w:val="clear" w:color="auto" w:fill="66FFFF"/>
          </w:tcPr>
          <w:p w14:paraId="73173549" w14:textId="77777777" w:rsidR="002C6574" w:rsidRDefault="00000000">
            <w:pPr>
              <w:pStyle w:val="TableParagraph"/>
              <w:spacing w:before="16"/>
              <w:ind w:left="261"/>
              <w:jc w:val="left"/>
              <w:rPr>
                <w:rFonts w:ascii="Arial MT"/>
                <w:sz w:val="14"/>
              </w:rPr>
            </w:pPr>
            <w:r>
              <w:rPr>
                <w:rFonts w:ascii="Arial MT"/>
                <w:spacing w:val="-2"/>
                <w:sz w:val="14"/>
              </w:rPr>
              <w:t>(10.855)</w:t>
            </w:r>
          </w:p>
        </w:tc>
        <w:tc>
          <w:tcPr>
            <w:tcW w:w="858" w:type="dxa"/>
          </w:tcPr>
          <w:p w14:paraId="5C642296" w14:textId="77777777" w:rsidR="002C6574" w:rsidRDefault="00000000">
            <w:pPr>
              <w:pStyle w:val="TableParagraph"/>
              <w:spacing w:before="16"/>
              <w:ind w:left="166"/>
              <w:jc w:val="left"/>
              <w:rPr>
                <w:rFonts w:ascii="Arial MT"/>
                <w:sz w:val="14"/>
              </w:rPr>
            </w:pPr>
            <w:r>
              <w:rPr>
                <w:rFonts w:ascii="Arial MT"/>
                <w:spacing w:val="-2"/>
                <w:sz w:val="14"/>
              </w:rPr>
              <w:t>(22.806)</w:t>
            </w:r>
          </w:p>
        </w:tc>
        <w:tc>
          <w:tcPr>
            <w:tcW w:w="758" w:type="dxa"/>
          </w:tcPr>
          <w:p w14:paraId="088FB215" w14:textId="77777777" w:rsidR="002C6574" w:rsidRDefault="00000000">
            <w:pPr>
              <w:pStyle w:val="TableParagraph"/>
              <w:spacing w:before="16"/>
              <w:ind w:right="71"/>
              <w:rPr>
                <w:rFonts w:ascii="Arial MT"/>
                <w:sz w:val="14"/>
              </w:rPr>
            </w:pPr>
            <w:r>
              <w:rPr>
                <w:rFonts w:ascii="Arial MT"/>
                <w:spacing w:val="-2"/>
                <w:sz w:val="14"/>
              </w:rPr>
              <w:t>(3.008)</w:t>
            </w:r>
          </w:p>
        </w:tc>
        <w:tc>
          <w:tcPr>
            <w:tcW w:w="870" w:type="dxa"/>
            <w:gridSpan w:val="2"/>
          </w:tcPr>
          <w:p w14:paraId="0BAF7E17" w14:textId="77777777" w:rsidR="002C6574" w:rsidRDefault="00000000">
            <w:pPr>
              <w:pStyle w:val="TableParagraph"/>
              <w:spacing w:before="16"/>
              <w:ind w:left="338"/>
              <w:jc w:val="left"/>
              <w:rPr>
                <w:rFonts w:ascii="Arial MT"/>
                <w:sz w:val="14"/>
              </w:rPr>
            </w:pPr>
            <w:r>
              <w:rPr>
                <w:rFonts w:ascii="Arial MT"/>
                <w:spacing w:val="-2"/>
                <w:sz w:val="14"/>
              </w:rPr>
              <w:t>-52,4%</w:t>
            </w:r>
          </w:p>
        </w:tc>
        <w:tc>
          <w:tcPr>
            <w:tcW w:w="938" w:type="dxa"/>
            <w:gridSpan w:val="2"/>
          </w:tcPr>
          <w:p w14:paraId="6684DD25" w14:textId="77777777" w:rsidR="002C6574" w:rsidRDefault="00000000">
            <w:pPr>
              <w:pStyle w:val="TableParagraph"/>
              <w:spacing w:before="16"/>
              <w:ind w:left="246"/>
              <w:jc w:val="left"/>
              <w:rPr>
                <w:rFonts w:ascii="Arial MT"/>
                <w:sz w:val="14"/>
              </w:rPr>
            </w:pPr>
            <w:r>
              <w:rPr>
                <w:rFonts w:ascii="Arial MT"/>
                <w:spacing w:val="-2"/>
                <w:sz w:val="14"/>
              </w:rPr>
              <w:t>260,9%</w:t>
            </w:r>
          </w:p>
        </w:tc>
        <w:tc>
          <w:tcPr>
            <w:tcW w:w="846" w:type="dxa"/>
            <w:shd w:val="clear" w:color="auto" w:fill="66FFFF"/>
          </w:tcPr>
          <w:p w14:paraId="1224B567" w14:textId="77777777" w:rsidR="002C6574" w:rsidRDefault="00000000">
            <w:pPr>
              <w:pStyle w:val="TableParagraph"/>
              <w:spacing w:before="16"/>
              <w:ind w:right="65"/>
              <w:rPr>
                <w:rFonts w:ascii="Arial MT"/>
                <w:sz w:val="14"/>
              </w:rPr>
            </w:pPr>
            <w:r>
              <w:rPr>
                <w:rFonts w:ascii="Arial MT"/>
                <w:spacing w:val="-2"/>
                <w:sz w:val="14"/>
              </w:rPr>
              <w:t>(13.870)</w:t>
            </w:r>
          </w:p>
        </w:tc>
        <w:tc>
          <w:tcPr>
            <w:tcW w:w="856" w:type="dxa"/>
          </w:tcPr>
          <w:p w14:paraId="254FE58B" w14:textId="77777777" w:rsidR="002C6574" w:rsidRDefault="00000000">
            <w:pPr>
              <w:pStyle w:val="TableParagraph"/>
              <w:spacing w:before="16"/>
              <w:ind w:right="67"/>
              <w:rPr>
                <w:rFonts w:ascii="Arial MT"/>
                <w:sz w:val="14"/>
              </w:rPr>
            </w:pPr>
            <w:r>
              <w:rPr>
                <w:rFonts w:ascii="Arial MT"/>
                <w:spacing w:val="-2"/>
                <w:sz w:val="14"/>
              </w:rPr>
              <w:t>(22.848)</w:t>
            </w:r>
          </w:p>
        </w:tc>
        <w:tc>
          <w:tcPr>
            <w:tcW w:w="858" w:type="dxa"/>
            <w:gridSpan w:val="2"/>
          </w:tcPr>
          <w:p w14:paraId="0525D706" w14:textId="77777777" w:rsidR="002C6574" w:rsidRDefault="00000000">
            <w:pPr>
              <w:pStyle w:val="TableParagraph"/>
              <w:spacing w:before="16"/>
              <w:ind w:left="299"/>
              <w:jc w:val="left"/>
              <w:rPr>
                <w:rFonts w:ascii="Arial MT"/>
                <w:sz w:val="14"/>
              </w:rPr>
            </w:pPr>
            <w:r>
              <w:rPr>
                <w:rFonts w:ascii="Arial MT"/>
                <w:spacing w:val="-2"/>
                <w:sz w:val="14"/>
              </w:rPr>
              <w:t>-39,3%</w:t>
            </w:r>
          </w:p>
        </w:tc>
      </w:tr>
      <w:tr w:rsidR="002C6574" w14:paraId="611BC8E5" w14:textId="77777777">
        <w:trPr>
          <w:trHeight w:val="208"/>
        </w:trPr>
        <w:tc>
          <w:tcPr>
            <w:tcW w:w="3614" w:type="dxa"/>
            <w:shd w:val="clear" w:color="auto" w:fill="0000FF"/>
          </w:tcPr>
          <w:p w14:paraId="55157B88" w14:textId="77777777" w:rsidR="002C6574" w:rsidRDefault="00000000">
            <w:pPr>
              <w:pStyle w:val="TableParagraph"/>
              <w:spacing w:before="24"/>
              <w:ind w:left="84"/>
              <w:jc w:val="left"/>
              <w:rPr>
                <w:rFonts w:ascii="Arial"/>
                <w:b/>
                <w:sz w:val="14"/>
              </w:rPr>
            </w:pPr>
            <w:r>
              <w:rPr>
                <w:rFonts w:ascii="Arial"/>
                <w:b/>
                <w:color w:val="FFFFFF"/>
                <w:spacing w:val="-2"/>
                <w:sz w:val="14"/>
              </w:rPr>
              <w:t>Total</w:t>
            </w:r>
          </w:p>
        </w:tc>
        <w:tc>
          <w:tcPr>
            <w:tcW w:w="952" w:type="dxa"/>
            <w:shd w:val="clear" w:color="auto" w:fill="0000FF"/>
          </w:tcPr>
          <w:p w14:paraId="343101C6" w14:textId="77777777" w:rsidR="002C6574" w:rsidRDefault="00000000">
            <w:pPr>
              <w:pStyle w:val="TableParagraph"/>
              <w:spacing w:before="24"/>
              <w:ind w:left="278"/>
              <w:jc w:val="left"/>
              <w:rPr>
                <w:rFonts w:ascii="Arial"/>
                <w:b/>
                <w:sz w:val="14"/>
              </w:rPr>
            </w:pPr>
            <w:r>
              <w:rPr>
                <w:rFonts w:ascii="Arial"/>
                <w:b/>
                <w:color w:val="FFFFFF"/>
                <w:spacing w:val="-2"/>
                <w:sz w:val="14"/>
              </w:rPr>
              <w:t>346.462</w:t>
            </w:r>
          </w:p>
        </w:tc>
        <w:tc>
          <w:tcPr>
            <w:tcW w:w="858" w:type="dxa"/>
            <w:shd w:val="clear" w:color="auto" w:fill="0000FF"/>
          </w:tcPr>
          <w:p w14:paraId="571DDBF3" w14:textId="77777777" w:rsidR="002C6574" w:rsidRDefault="00000000">
            <w:pPr>
              <w:pStyle w:val="TableParagraph"/>
              <w:spacing w:before="24"/>
              <w:ind w:left="183"/>
              <w:jc w:val="left"/>
              <w:rPr>
                <w:rFonts w:ascii="Arial"/>
                <w:b/>
                <w:sz w:val="14"/>
              </w:rPr>
            </w:pPr>
            <w:r>
              <w:rPr>
                <w:rFonts w:ascii="Arial"/>
                <w:b/>
                <w:color w:val="FFFFFF"/>
                <w:spacing w:val="-2"/>
                <w:sz w:val="14"/>
              </w:rPr>
              <w:t>228.607</w:t>
            </w:r>
          </w:p>
        </w:tc>
        <w:tc>
          <w:tcPr>
            <w:tcW w:w="758" w:type="dxa"/>
            <w:shd w:val="clear" w:color="auto" w:fill="0000FF"/>
          </w:tcPr>
          <w:p w14:paraId="2F8BDD02" w14:textId="77777777" w:rsidR="002C6574" w:rsidRDefault="00000000">
            <w:pPr>
              <w:pStyle w:val="TableParagraph"/>
              <w:spacing w:before="24"/>
              <w:ind w:right="69"/>
              <w:rPr>
                <w:rFonts w:ascii="Arial"/>
                <w:b/>
                <w:sz w:val="14"/>
              </w:rPr>
            </w:pPr>
            <w:r>
              <w:rPr>
                <w:rFonts w:ascii="Arial"/>
                <w:b/>
                <w:color w:val="FFFFFF"/>
                <w:spacing w:val="-2"/>
                <w:sz w:val="14"/>
              </w:rPr>
              <w:t>78.504</w:t>
            </w:r>
          </w:p>
        </w:tc>
        <w:tc>
          <w:tcPr>
            <w:tcW w:w="1662" w:type="dxa"/>
            <w:gridSpan w:val="3"/>
          </w:tcPr>
          <w:p w14:paraId="23AA6680" w14:textId="77777777" w:rsidR="002C6574" w:rsidRDefault="00000000">
            <w:pPr>
              <w:pStyle w:val="TableParagraph"/>
              <w:tabs>
                <w:tab w:val="left" w:pos="386"/>
                <w:tab w:val="left" w:pos="1116"/>
              </w:tabs>
              <w:spacing w:before="24"/>
              <w:ind w:left="146"/>
              <w:jc w:val="left"/>
              <w:rPr>
                <w:rFonts w:ascii="Arial"/>
                <w:b/>
                <w:sz w:val="14"/>
              </w:rPr>
            </w:pPr>
            <w:r>
              <w:rPr>
                <w:rFonts w:ascii="Arial"/>
                <w:b/>
                <w:color w:val="FFFFFF"/>
                <w:sz w:val="14"/>
                <w:highlight w:val="blue"/>
              </w:rPr>
              <w:tab/>
            </w:r>
            <w:r>
              <w:rPr>
                <w:rFonts w:ascii="Arial"/>
                <w:b/>
                <w:color w:val="FFFFFF"/>
                <w:spacing w:val="-2"/>
                <w:sz w:val="14"/>
                <w:highlight w:val="blue"/>
              </w:rPr>
              <w:t>51,6%</w:t>
            </w:r>
            <w:r>
              <w:rPr>
                <w:rFonts w:ascii="Arial"/>
                <w:b/>
                <w:color w:val="FFFFFF"/>
                <w:sz w:val="14"/>
                <w:highlight w:val="blue"/>
              </w:rPr>
              <w:tab/>
            </w:r>
            <w:r>
              <w:rPr>
                <w:rFonts w:ascii="Arial"/>
                <w:b/>
                <w:color w:val="FFFFFF"/>
                <w:spacing w:val="-2"/>
                <w:sz w:val="14"/>
                <w:highlight w:val="blue"/>
              </w:rPr>
              <w:t>341,3%</w:t>
            </w:r>
            <w:r>
              <w:rPr>
                <w:rFonts w:ascii="Arial"/>
                <w:b/>
                <w:color w:val="FFFFFF"/>
                <w:spacing w:val="80"/>
                <w:sz w:val="14"/>
                <w:highlight w:val="blue"/>
              </w:rPr>
              <w:t xml:space="preserve"> </w:t>
            </w:r>
          </w:p>
        </w:tc>
        <w:tc>
          <w:tcPr>
            <w:tcW w:w="1848" w:type="dxa"/>
            <w:gridSpan w:val="3"/>
          </w:tcPr>
          <w:p w14:paraId="5B2B0EFF" w14:textId="77777777" w:rsidR="002C6574" w:rsidRDefault="00000000">
            <w:pPr>
              <w:pStyle w:val="TableParagraph"/>
              <w:tabs>
                <w:tab w:val="left" w:pos="419"/>
                <w:tab w:val="left" w:pos="1273"/>
              </w:tabs>
              <w:spacing w:before="24"/>
              <w:ind w:left="148" w:right="-15"/>
              <w:jc w:val="left"/>
              <w:rPr>
                <w:rFonts w:ascii="Arial"/>
                <w:b/>
                <w:sz w:val="14"/>
              </w:rPr>
            </w:pPr>
            <w:r>
              <w:rPr>
                <w:rFonts w:ascii="Arial"/>
                <w:b/>
                <w:color w:val="FFFFFF"/>
                <w:sz w:val="14"/>
                <w:highlight w:val="blue"/>
              </w:rPr>
              <w:tab/>
            </w:r>
            <w:r>
              <w:rPr>
                <w:rFonts w:ascii="Arial"/>
                <w:b/>
                <w:color w:val="FFFFFF"/>
                <w:spacing w:val="-2"/>
                <w:sz w:val="14"/>
                <w:highlight w:val="blue"/>
              </w:rPr>
              <w:t>563.051</w:t>
            </w:r>
            <w:r>
              <w:rPr>
                <w:rFonts w:ascii="Arial"/>
                <w:b/>
                <w:color w:val="FFFFFF"/>
                <w:sz w:val="14"/>
                <w:highlight w:val="blue"/>
              </w:rPr>
              <w:tab/>
            </w:r>
            <w:r>
              <w:rPr>
                <w:rFonts w:ascii="Arial"/>
                <w:b/>
                <w:color w:val="FFFFFF"/>
                <w:spacing w:val="-2"/>
                <w:sz w:val="14"/>
                <w:highlight w:val="blue"/>
              </w:rPr>
              <w:t>373.698</w:t>
            </w:r>
            <w:r>
              <w:rPr>
                <w:rFonts w:ascii="Arial"/>
                <w:b/>
                <w:color w:val="FFFFFF"/>
                <w:spacing w:val="80"/>
                <w:sz w:val="14"/>
                <w:highlight w:val="blue"/>
              </w:rPr>
              <w:t xml:space="preserve"> </w:t>
            </w:r>
          </w:p>
        </w:tc>
        <w:tc>
          <w:tcPr>
            <w:tcW w:w="858" w:type="dxa"/>
            <w:gridSpan w:val="2"/>
          </w:tcPr>
          <w:p w14:paraId="1DEB25F4" w14:textId="77777777" w:rsidR="002C6574" w:rsidRDefault="00000000">
            <w:pPr>
              <w:pStyle w:val="TableParagraph"/>
              <w:spacing w:before="24"/>
              <w:ind w:left="150"/>
              <w:jc w:val="left"/>
              <w:rPr>
                <w:rFonts w:ascii="Arial"/>
                <w:b/>
                <w:sz w:val="14"/>
              </w:rPr>
            </w:pPr>
            <w:r>
              <w:rPr>
                <w:rFonts w:ascii="Arial"/>
                <w:b/>
                <w:color w:val="FFFFFF"/>
                <w:spacing w:val="58"/>
                <w:sz w:val="14"/>
                <w:highlight w:val="blue"/>
              </w:rPr>
              <w:t xml:space="preserve">  </w:t>
            </w:r>
            <w:r>
              <w:rPr>
                <w:rFonts w:ascii="Arial"/>
                <w:b/>
                <w:color w:val="FFFFFF"/>
                <w:spacing w:val="-2"/>
                <w:sz w:val="14"/>
                <w:highlight w:val="blue"/>
              </w:rPr>
              <w:t>50,7%</w:t>
            </w:r>
            <w:r>
              <w:rPr>
                <w:rFonts w:ascii="Arial"/>
                <w:b/>
                <w:color w:val="FFFFFF"/>
                <w:spacing w:val="80"/>
                <w:sz w:val="14"/>
                <w:highlight w:val="blue"/>
              </w:rPr>
              <w:t xml:space="preserve"> </w:t>
            </w:r>
          </w:p>
        </w:tc>
      </w:tr>
      <w:tr w:rsidR="002C6574" w14:paraId="09C6EB19" w14:textId="77777777">
        <w:trPr>
          <w:trHeight w:val="210"/>
        </w:trPr>
        <w:tc>
          <w:tcPr>
            <w:tcW w:w="3614" w:type="dxa"/>
          </w:tcPr>
          <w:p w14:paraId="01F6EF6F" w14:textId="77777777" w:rsidR="002C6574" w:rsidRDefault="00000000">
            <w:pPr>
              <w:pStyle w:val="TableParagraph"/>
              <w:spacing w:before="24"/>
              <w:ind w:left="84"/>
              <w:jc w:val="left"/>
              <w:rPr>
                <w:rFonts w:ascii="Arial"/>
                <w:b/>
                <w:sz w:val="14"/>
              </w:rPr>
            </w:pPr>
            <w:r>
              <w:rPr>
                <w:rFonts w:ascii="Arial"/>
                <w:b/>
                <w:sz w:val="14"/>
              </w:rPr>
              <w:t>Outras</w:t>
            </w:r>
            <w:r>
              <w:rPr>
                <w:rFonts w:ascii="Arial"/>
                <w:b/>
                <w:spacing w:val="-7"/>
                <w:sz w:val="14"/>
              </w:rPr>
              <w:t xml:space="preserve"> </w:t>
            </w:r>
            <w:r>
              <w:rPr>
                <w:rFonts w:ascii="Arial"/>
                <w:b/>
                <w:sz w:val="14"/>
              </w:rPr>
              <w:t>Despesas</w:t>
            </w:r>
            <w:r>
              <w:rPr>
                <w:rFonts w:ascii="Arial"/>
                <w:b/>
                <w:spacing w:val="-7"/>
                <w:sz w:val="14"/>
              </w:rPr>
              <w:t xml:space="preserve"> </w:t>
            </w:r>
            <w:r>
              <w:rPr>
                <w:rFonts w:ascii="Arial"/>
                <w:b/>
                <w:spacing w:val="-2"/>
                <w:sz w:val="14"/>
              </w:rPr>
              <w:t>Operacionais</w:t>
            </w:r>
          </w:p>
        </w:tc>
        <w:tc>
          <w:tcPr>
            <w:tcW w:w="952" w:type="dxa"/>
            <w:shd w:val="clear" w:color="auto" w:fill="66FFFF"/>
          </w:tcPr>
          <w:p w14:paraId="794C1A8F" w14:textId="77777777" w:rsidR="002C6574" w:rsidRDefault="002C6574">
            <w:pPr>
              <w:pStyle w:val="TableParagraph"/>
              <w:jc w:val="left"/>
              <w:rPr>
                <w:rFonts w:ascii="Times New Roman"/>
                <w:sz w:val="14"/>
              </w:rPr>
            </w:pPr>
          </w:p>
        </w:tc>
        <w:tc>
          <w:tcPr>
            <w:tcW w:w="858" w:type="dxa"/>
          </w:tcPr>
          <w:p w14:paraId="77A3EAB7" w14:textId="77777777" w:rsidR="002C6574" w:rsidRDefault="002C6574">
            <w:pPr>
              <w:pStyle w:val="TableParagraph"/>
              <w:jc w:val="left"/>
              <w:rPr>
                <w:rFonts w:ascii="Times New Roman"/>
                <w:sz w:val="14"/>
              </w:rPr>
            </w:pPr>
          </w:p>
        </w:tc>
        <w:tc>
          <w:tcPr>
            <w:tcW w:w="758" w:type="dxa"/>
          </w:tcPr>
          <w:p w14:paraId="66706EAE" w14:textId="77777777" w:rsidR="002C6574" w:rsidRDefault="002C6574">
            <w:pPr>
              <w:pStyle w:val="TableParagraph"/>
              <w:jc w:val="left"/>
              <w:rPr>
                <w:rFonts w:ascii="Times New Roman"/>
                <w:sz w:val="14"/>
              </w:rPr>
            </w:pPr>
          </w:p>
        </w:tc>
        <w:tc>
          <w:tcPr>
            <w:tcW w:w="146" w:type="dxa"/>
          </w:tcPr>
          <w:p w14:paraId="02530153" w14:textId="77777777" w:rsidR="002C6574" w:rsidRDefault="002C6574">
            <w:pPr>
              <w:pStyle w:val="TableParagraph"/>
              <w:jc w:val="left"/>
              <w:rPr>
                <w:rFonts w:ascii="Times New Roman"/>
                <w:sz w:val="14"/>
              </w:rPr>
            </w:pPr>
          </w:p>
        </w:tc>
        <w:tc>
          <w:tcPr>
            <w:tcW w:w="724" w:type="dxa"/>
          </w:tcPr>
          <w:p w14:paraId="45668726" w14:textId="77777777" w:rsidR="002C6574" w:rsidRDefault="002C6574">
            <w:pPr>
              <w:pStyle w:val="TableParagraph"/>
              <w:jc w:val="left"/>
              <w:rPr>
                <w:rFonts w:ascii="Times New Roman"/>
                <w:sz w:val="14"/>
              </w:rPr>
            </w:pPr>
          </w:p>
        </w:tc>
        <w:tc>
          <w:tcPr>
            <w:tcW w:w="792" w:type="dxa"/>
          </w:tcPr>
          <w:p w14:paraId="095B86EA" w14:textId="77777777" w:rsidR="002C6574" w:rsidRDefault="002C6574">
            <w:pPr>
              <w:pStyle w:val="TableParagraph"/>
              <w:jc w:val="left"/>
              <w:rPr>
                <w:rFonts w:ascii="Times New Roman"/>
                <w:sz w:val="14"/>
              </w:rPr>
            </w:pPr>
          </w:p>
        </w:tc>
        <w:tc>
          <w:tcPr>
            <w:tcW w:w="146" w:type="dxa"/>
          </w:tcPr>
          <w:p w14:paraId="17537BC7" w14:textId="77777777" w:rsidR="002C6574" w:rsidRDefault="002C6574">
            <w:pPr>
              <w:pStyle w:val="TableParagraph"/>
              <w:jc w:val="left"/>
              <w:rPr>
                <w:rFonts w:ascii="Times New Roman"/>
                <w:sz w:val="14"/>
              </w:rPr>
            </w:pPr>
          </w:p>
        </w:tc>
        <w:tc>
          <w:tcPr>
            <w:tcW w:w="846" w:type="dxa"/>
            <w:shd w:val="clear" w:color="auto" w:fill="66FFFF"/>
          </w:tcPr>
          <w:p w14:paraId="78C040AE" w14:textId="77777777" w:rsidR="002C6574" w:rsidRDefault="002C6574">
            <w:pPr>
              <w:pStyle w:val="TableParagraph"/>
              <w:jc w:val="left"/>
              <w:rPr>
                <w:rFonts w:ascii="Times New Roman"/>
                <w:sz w:val="14"/>
              </w:rPr>
            </w:pPr>
          </w:p>
        </w:tc>
        <w:tc>
          <w:tcPr>
            <w:tcW w:w="856" w:type="dxa"/>
          </w:tcPr>
          <w:p w14:paraId="027E46AE" w14:textId="77777777" w:rsidR="002C6574" w:rsidRDefault="002C6574">
            <w:pPr>
              <w:pStyle w:val="TableParagraph"/>
              <w:jc w:val="left"/>
              <w:rPr>
                <w:rFonts w:ascii="Times New Roman"/>
                <w:sz w:val="14"/>
              </w:rPr>
            </w:pPr>
          </w:p>
        </w:tc>
        <w:tc>
          <w:tcPr>
            <w:tcW w:w="146" w:type="dxa"/>
          </w:tcPr>
          <w:p w14:paraId="416A313D" w14:textId="77777777" w:rsidR="002C6574" w:rsidRDefault="002C6574">
            <w:pPr>
              <w:pStyle w:val="TableParagraph"/>
              <w:jc w:val="left"/>
              <w:rPr>
                <w:rFonts w:ascii="Times New Roman"/>
                <w:sz w:val="14"/>
              </w:rPr>
            </w:pPr>
          </w:p>
        </w:tc>
        <w:tc>
          <w:tcPr>
            <w:tcW w:w="712" w:type="dxa"/>
          </w:tcPr>
          <w:p w14:paraId="21EFDB90" w14:textId="77777777" w:rsidR="002C6574" w:rsidRDefault="002C6574">
            <w:pPr>
              <w:pStyle w:val="TableParagraph"/>
              <w:jc w:val="left"/>
              <w:rPr>
                <w:rFonts w:ascii="Times New Roman"/>
                <w:sz w:val="14"/>
              </w:rPr>
            </w:pPr>
          </w:p>
        </w:tc>
      </w:tr>
      <w:tr w:rsidR="002C6574" w14:paraId="15C60853" w14:textId="77777777">
        <w:trPr>
          <w:trHeight w:val="202"/>
        </w:trPr>
        <w:tc>
          <w:tcPr>
            <w:tcW w:w="3614" w:type="dxa"/>
          </w:tcPr>
          <w:p w14:paraId="2F35D202" w14:textId="77777777" w:rsidR="002C6574" w:rsidRDefault="00000000">
            <w:pPr>
              <w:pStyle w:val="TableParagraph"/>
              <w:spacing w:before="20"/>
              <w:ind w:left="84"/>
              <w:jc w:val="left"/>
              <w:rPr>
                <w:rFonts w:ascii="Arial MT"/>
                <w:sz w:val="14"/>
              </w:rPr>
            </w:pPr>
            <w:r>
              <w:rPr>
                <w:rFonts w:ascii="Arial MT"/>
                <w:spacing w:val="-2"/>
                <w:sz w:val="14"/>
              </w:rPr>
              <w:t>Tributos</w:t>
            </w:r>
          </w:p>
        </w:tc>
        <w:tc>
          <w:tcPr>
            <w:tcW w:w="952" w:type="dxa"/>
            <w:shd w:val="clear" w:color="auto" w:fill="66FFFF"/>
          </w:tcPr>
          <w:p w14:paraId="3EC66BD8" w14:textId="77777777" w:rsidR="002C6574" w:rsidRDefault="00000000">
            <w:pPr>
              <w:pStyle w:val="TableParagraph"/>
              <w:spacing w:before="20"/>
              <w:ind w:left="340"/>
              <w:jc w:val="left"/>
              <w:rPr>
                <w:rFonts w:ascii="Arial MT"/>
                <w:sz w:val="14"/>
              </w:rPr>
            </w:pPr>
            <w:r>
              <w:rPr>
                <w:rFonts w:ascii="Arial MT"/>
                <w:spacing w:val="-2"/>
                <w:sz w:val="14"/>
              </w:rPr>
              <w:t>(1.952)</w:t>
            </w:r>
          </w:p>
        </w:tc>
        <w:tc>
          <w:tcPr>
            <w:tcW w:w="858" w:type="dxa"/>
          </w:tcPr>
          <w:p w14:paraId="5D24247E" w14:textId="77777777" w:rsidR="002C6574" w:rsidRDefault="00000000">
            <w:pPr>
              <w:pStyle w:val="TableParagraph"/>
              <w:spacing w:before="20"/>
              <w:ind w:right="168"/>
              <w:rPr>
                <w:rFonts w:ascii="Arial MT"/>
                <w:sz w:val="14"/>
              </w:rPr>
            </w:pPr>
            <w:r>
              <w:rPr>
                <w:rFonts w:ascii="Arial MT"/>
                <w:spacing w:val="-2"/>
                <w:sz w:val="14"/>
              </w:rPr>
              <w:t>(749)</w:t>
            </w:r>
          </w:p>
        </w:tc>
        <w:tc>
          <w:tcPr>
            <w:tcW w:w="758" w:type="dxa"/>
          </w:tcPr>
          <w:p w14:paraId="4E98EC9C" w14:textId="77777777" w:rsidR="002C6574" w:rsidRDefault="00000000">
            <w:pPr>
              <w:pStyle w:val="TableParagraph"/>
              <w:spacing w:before="20"/>
              <w:ind w:right="71"/>
              <w:rPr>
                <w:rFonts w:ascii="Arial MT"/>
                <w:sz w:val="14"/>
              </w:rPr>
            </w:pPr>
            <w:r>
              <w:rPr>
                <w:rFonts w:ascii="Arial MT"/>
                <w:spacing w:val="-2"/>
                <w:sz w:val="14"/>
              </w:rPr>
              <w:t>(2.065)</w:t>
            </w:r>
          </w:p>
        </w:tc>
        <w:tc>
          <w:tcPr>
            <w:tcW w:w="146" w:type="dxa"/>
          </w:tcPr>
          <w:p w14:paraId="5BB9F9A8" w14:textId="77777777" w:rsidR="002C6574" w:rsidRDefault="002C6574">
            <w:pPr>
              <w:pStyle w:val="TableParagraph"/>
              <w:jc w:val="left"/>
              <w:rPr>
                <w:rFonts w:ascii="Times New Roman"/>
                <w:sz w:val="14"/>
              </w:rPr>
            </w:pPr>
          </w:p>
        </w:tc>
        <w:tc>
          <w:tcPr>
            <w:tcW w:w="724" w:type="dxa"/>
          </w:tcPr>
          <w:p w14:paraId="08AB8BD5" w14:textId="77777777" w:rsidR="002C6574" w:rsidRDefault="00000000">
            <w:pPr>
              <w:pStyle w:val="TableParagraph"/>
              <w:spacing w:before="20"/>
              <w:ind w:right="88"/>
              <w:rPr>
                <w:rFonts w:ascii="Arial MT"/>
                <w:sz w:val="14"/>
              </w:rPr>
            </w:pPr>
            <w:r>
              <w:rPr>
                <w:rFonts w:ascii="Arial MT"/>
                <w:spacing w:val="-2"/>
                <w:sz w:val="14"/>
              </w:rPr>
              <w:t>160,6%</w:t>
            </w:r>
          </w:p>
        </w:tc>
        <w:tc>
          <w:tcPr>
            <w:tcW w:w="792" w:type="dxa"/>
          </w:tcPr>
          <w:p w14:paraId="38203023" w14:textId="77777777" w:rsidR="002C6574" w:rsidRDefault="00000000">
            <w:pPr>
              <w:pStyle w:val="TableParagraph"/>
              <w:spacing w:before="20"/>
              <w:ind w:right="69"/>
              <w:rPr>
                <w:rFonts w:ascii="Arial MT"/>
                <w:sz w:val="14"/>
              </w:rPr>
            </w:pPr>
            <w:r>
              <w:rPr>
                <w:rFonts w:ascii="Arial MT"/>
                <w:spacing w:val="-2"/>
                <w:sz w:val="14"/>
              </w:rPr>
              <w:t>-</w:t>
            </w:r>
            <w:r>
              <w:rPr>
                <w:rFonts w:ascii="Arial MT"/>
                <w:spacing w:val="-4"/>
                <w:sz w:val="14"/>
              </w:rPr>
              <w:t>5,5%</w:t>
            </w:r>
          </w:p>
        </w:tc>
        <w:tc>
          <w:tcPr>
            <w:tcW w:w="146" w:type="dxa"/>
          </w:tcPr>
          <w:p w14:paraId="45E38CAD" w14:textId="77777777" w:rsidR="002C6574" w:rsidRDefault="002C6574">
            <w:pPr>
              <w:pStyle w:val="TableParagraph"/>
              <w:jc w:val="left"/>
              <w:rPr>
                <w:rFonts w:ascii="Times New Roman"/>
                <w:sz w:val="14"/>
              </w:rPr>
            </w:pPr>
          </w:p>
        </w:tc>
        <w:tc>
          <w:tcPr>
            <w:tcW w:w="846" w:type="dxa"/>
            <w:shd w:val="clear" w:color="auto" w:fill="66FFFF"/>
          </w:tcPr>
          <w:p w14:paraId="45989A25" w14:textId="77777777" w:rsidR="002C6574" w:rsidRDefault="00000000">
            <w:pPr>
              <w:pStyle w:val="TableParagraph"/>
              <w:spacing w:before="20"/>
              <w:ind w:right="65"/>
              <w:rPr>
                <w:rFonts w:ascii="Arial MT"/>
                <w:sz w:val="14"/>
              </w:rPr>
            </w:pPr>
            <w:r>
              <w:rPr>
                <w:rFonts w:ascii="Arial MT"/>
                <w:spacing w:val="-2"/>
                <w:sz w:val="14"/>
              </w:rPr>
              <w:t>(7.912)</w:t>
            </w:r>
          </w:p>
        </w:tc>
        <w:tc>
          <w:tcPr>
            <w:tcW w:w="856" w:type="dxa"/>
          </w:tcPr>
          <w:p w14:paraId="0A5E5A5B" w14:textId="77777777" w:rsidR="002C6574" w:rsidRDefault="00000000">
            <w:pPr>
              <w:pStyle w:val="TableParagraph"/>
              <w:spacing w:before="20"/>
              <w:ind w:right="67"/>
              <w:rPr>
                <w:rFonts w:ascii="Arial MT"/>
                <w:sz w:val="14"/>
              </w:rPr>
            </w:pPr>
            <w:r>
              <w:rPr>
                <w:rFonts w:ascii="Arial MT"/>
                <w:spacing w:val="-2"/>
                <w:sz w:val="14"/>
              </w:rPr>
              <w:t>(6.116)</w:t>
            </w:r>
          </w:p>
        </w:tc>
        <w:tc>
          <w:tcPr>
            <w:tcW w:w="146" w:type="dxa"/>
          </w:tcPr>
          <w:p w14:paraId="60BD1186" w14:textId="77777777" w:rsidR="002C6574" w:rsidRDefault="002C6574">
            <w:pPr>
              <w:pStyle w:val="TableParagraph"/>
              <w:jc w:val="left"/>
              <w:rPr>
                <w:rFonts w:ascii="Times New Roman"/>
                <w:sz w:val="14"/>
              </w:rPr>
            </w:pPr>
          </w:p>
        </w:tc>
        <w:tc>
          <w:tcPr>
            <w:tcW w:w="712" w:type="dxa"/>
          </w:tcPr>
          <w:p w14:paraId="505631EC" w14:textId="77777777" w:rsidR="002C6574" w:rsidRDefault="00000000">
            <w:pPr>
              <w:pStyle w:val="TableParagraph"/>
              <w:spacing w:before="20"/>
              <w:ind w:left="86"/>
              <w:jc w:val="center"/>
              <w:rPr>
                <w:rFonts w:ascii="Arial MT"/>
                <w:sz w:val="14"/>
              </w:rPr>
            </w:pPr>
            <w:r>
              <w:rPr>
                <w:rFonts w:ascii="Arial MT"/>
                <w:spacing w:val="-2"/>
                <w:sz w:val="14"/>
              </w:rPr>
              <w:t>29,4%</w:t>
            </w:r>
          </w:p>
        </w:tc>
      </w:tr>
      <w:tr w:rsidR="002C6574" w14:paraId="568EA5B6" w14:textId="77777777">
        <w:trPr>
          <w:trHeight w:val="199"/>
        </w:trPr>
        <w:tc>
          <w:tcPr>
            <w:tcW w:w="3614" w:type="dxa"/>
          </w:tcPr>
          <w:p w14:paraId="693A069B" w14:textId="77777777" w:rsidR="002C6574" w:rsidRDefault="00000000">
            <w:pPr>
              <w:pStyle w:val="TableParagraph"/>
              <w:spacing w:before="16"/>
              <w:ind w:left="84"/>
              <w:jc w:val="left"/>
              <w:rPr>
                <w:rFonts w:ascii="Arial MT" w:hAnsi="Arial MT"/>
                <w:sz w:val="14"/>
              </w:rPr>
            </w:pPr>
            <w:r>
              <w:rPr>
                <w:rFonts w:ascii="Arial MT" w:hAnsi="Arial MT"/>
                <w:sz w:val="14"/>
              </w:rPr>
              <w:t>Provisão</w:t>
            </w:r>
            <w:r>
              <w:rPr>
                <w:rFonts w:ascii="Arial MT" w:hAnsi="Arial MT"/>
                <w:spacing w:val="-4"/>
                <w:sz w:val="14"/>
              </w:rPr>
              <w:t xml:space="preserve"> </w:t>
            </w:r>
            <w:r>
              <w:rPr>
                <w:rFonts w:ascii="Arial MT" w:hAnsi="Arial MT"/>
                <w:sz w:val="14"/>
              </w:rPr>
              <w:t>p/</w:t>
            </w:r>
            <w:r>
              <w:rPr>
                <w:rFonts w:ascii="Arial MT" w:hAnsi="Arial MT"/>
                <w:spacing w:val="-6"/>
                <w:sz w:val="14"/>
              </w:rPr>
              <w:t xml:space="preserve"> </w:t>
            </w:r>
            <w:r>
              <w:rPr>
                <w:rFonts w:ascii="Arial MT" w:hAnsi="Arial MT"/>
                <w:sz w:val="14"/>
              </w:rPr>
              <w:t>Riscos</w:t>
            </w:r>
            <w:r>
              <w:rPr>
                <w:rFonts w:ascii="Arial MT" w:hAnsi="Arial MT"/>
                <w:spacing w:val="-6"/>
                <w:sz w:val="14"/>
              </w:rPr>
              <w:t xml:space="preserve"> </w:t>
            </w:r>
            <w:r>
              <w:rPr>
                <w:rFonts w:ascii="Arial MT" w:hAnsi="Arial MT"/>
                <w:sz w:val="14"/>
              </w:rPr>
              <w:t>Trabalhistas,</w:t>
            </w:r>
            <w:r>
              <w:rPr>
                <w:rFonts w:ascii="Arial MT" w:hAnsi="Arial MT"/>
                <w:spacing w:val="-4"/>
                <w:sz w:val="14"/>
              </w:rPr>
              <w:t xml:space="preserve"> </w:t>
            </w:r>
            <w:r>
              <w:rPr>
                <w:rFonts w:ascii="Arial MT" w:hAnsi="Arial MT"/>
                <w:sz w:val="14"/>
              </w:rPr>
              <w:t>Cíveis,</w:t>
            </w:r>
            <w:r>
              <w:rPr>
                <w:rFonts w:ascii="Arial MT" w:hAnsi="Arial MT"/>
                <w:spacing w:val="-6"/>
                <w:sz w:val="14"/>
              </w:rPr>
              <w:t xml:space="preserve"> </w:t>
            </w:r>
            <w:r>
              <w:rPr>
                <w:rFonts w:ascii="Arial MT" w:hAnsi="Arial MT"/>
                <w:spacing w:val="-2"/>
                <w:sz w:val="14"/>
              </w:rPr>
              <w:t>Fiscais</w:t>
            </w:r>
          </w:p>
        </w:tc>
        <w:tc>
          <w:tcPr>
            <w:tcW w:w="952" w:type="dxa"/>
            <w:shd w:val="clear" w:color="auto" w:fill="66FFFF"/>
          </w:tcPr>
          <w:p w14:paraId="721C59D2" w14:textId="77777777" w:rsidR="002C6574" w:rsidRDefault="00000000">
            <w:pPr>
              <w:pStyle w:val="TableParagraph"/>
              <w:spacing w:before="16"/>
              <w:ind w:left="340"/>
              <w:jc w:val="left"/>
              <w:rPr>
                <w:rFonts w:ascii="Arial MT"/>
                <w:sz w:val="14"/>
              </w:rPr>
            </w:pPr>
            <w:r>
              <w:rPr>
                <w:rFonts w:ascii="Arial MT"/>
                <w:spacing w:val="-2"/>
                <w:sz w:val="14"/>
              </w:rPr>
              <w:t>(3.029)</w:t>
            </w:r>
          </w:p>
        </w:tc>
        <w:tc>
          <w:tcPr>
            <w:tcW w:w="858" w:type="dxa"/>
          </w:tcPr>
          <w:p w14:paraId="44AED49C" w14:textId="77777777" w:rsidR="002C6574" w:rsidRDefault="00000000">
            <w:pPr>
              <w:pStyle w:val="TableParagraph"/>
              <w:spacing w:before="16"/>
              <w:ind w:right="168"/>
              <w:rPr>
                <w:rFonts w:ascii="Arial MT"/>
                <w:sz w:val="14"/>
              </w:rPr>
            </w:pPr>
            <w:r>
              <w:rPr>
                <w:rFonts w:ascii="Arial MT"/>
                <w:spacing w:val="-4"/>
                <w:sz w:val="14"/>
              </w:rPr>
              <w:t>(33)</w:t>
            </w:r>
          </w:p>
        </w:tc>
        <w:tc>
          <w:tcPr>
            <w:tcW w:w="758" w:type="dxa"/>
          </w:tcPr>
          <w:p w14:paraId="021F4050" w14:textId="77777777" w:rsidR="002C6574" w:rsidRDefault="00000000">
            <w:pPr>
              <w:pStyle w:val="TableParagraph"/>
              <w:spacing w:before="16"/>
              <w:ind w:right="71"/>
              <w:rPr>
                <w:rFonts w:ascii="Arial MT"/>
                <w:sz w:val="14"/>
              </w:rPr>
            </w:pPr>
            <w:r>
              <w:rPr>
                <w:rFonts w:ascii="Arial MT"/>
                <w:spacing w:val="-2"/>
                <w:sz w:val="14"/>
              </w:rPr>
              <w:t>(797)</w:t>
            </w:r>
          </w:p>
        </w:tc>
        <w:tc>
          <w:tcPr>
            <w:tcW w:w="146" w:type="dxa"/>
          </w:tcPr>
          <w:p w14:paraId="03F2F629" w14:textId="77777777" w:rsidR="002C6574" w:rsidRDefault="002C6574">
            <w:pPr>
              <w:pStyle w:val="TableParagraph"/>
              <w:jc w:val="left"/>
              <w:rPr>
                <w:rFonts w:ascii="Times New Roman"/>
                <w:sz w:val="12"/>
              </w:rPr>
            </w:pPr>
          </w:p>
        </w:tc>
        <w:tc>
          <w:tcPr>
            <w:tcW w:w="724" w:type="dxa"/>
          </w:tcPr>
          <w:p w14:paraId="1ADA461C" w14:textId="77777777" w:rsidR="002C6574" w:rsidRDefault="00000000">
            <w:pPr>
              <w:pStyle w:val="TableParagraph"/>
              <w:spacing w:before="16"/>
              <w:ind w:right="88"/>
              <w:rPr>
                <w:rFonts w:ascii="Arial MT"/>
                <w:sz w:val="14"/>
              </w:rPr>
            </w:pPr>
            <w:r>
              <w:rPr>
                <w:rFonts w:ascii="Arial MT"/>
                <w:spacing w:val="-2"/>
                <w:sz w:val="14"/>
              </w:rPr>
              <w:t>9078,8%</w:t>
            </w:r>
          </w:p>
        </w:tc>
        <w:tc>
          <w:tcPr>
            <w:tcW w:w="792" w:type="dxa"/>
          </w:tcPr>
          <w:p w14:paraId="42C06805" w14:textId="77777777" w:rsidR="002C6574" w:rsidRDefault="00000000">
            <w:pPr>
              <w:pStyle w:val="TableParagraph"/>
              <w:spacing w:before="16"/>
              <w:ind w:right="72"/>
              <w:rPr>
                <w:rFonts w:ascii="Arial MT"/>
                <w:sz w:val="14"/>
              </w:rPr>
            </w:pPr>
            <w:r>
              <w:rPr>
                <w:rFonts w:ascii="Arial MT"/>
                <w:spacing w:val="-2"/>
                <w:sz w:val="14"/>
              </w:rPr>
              <w:t>280,1%</w:t>
            </w:r>
          </w:p>
        </w:tc>
        <w:tc>
          <w:tcPr>
            <w:tcW w:w="146" w:type="dxa"/>
          </w:tcPr>
          <w:p w14:paraId="6A6359D3" w14:textId="77777777" w:rsidR="002C6574" w:rsidRDefault="002C6574">
            <w:pPr>
              <w:pStyle w:val="TableParagraph"/>
              <w:jc w:val="left"/>
              <w:rPr>
                <w:rFonts w:ascii="Times New Roman"/>
                <w:sz w:val="12"/>
              </w:rPr>
            </w:pPr>
          </w:p>
        </w:tc>
        <w:tc>
          <w:tcPr>
            <w:tcW w:w="846" w:type="dxa"/>
            <w:shd w:val="clear" w:color="auto" w:fill="66FFFF"/>
          </w:tcPr>
          <w:p w14:paraId="0079D942" w14:textId="77777777" w:rsidR="002C6574" w:rsidRDefault="00000000">
            <w:pPr>
              <w:pStyle w:val="TableParagraph"/>
              <w:spacing w:before="16"/>
              <w:ind w:right="65"/>
              <w:rPr>
                <w:rFonts w:ascii="Arial MT"/>
                <w:sz w:val="14"/>
              </w:rPr>
            </w:pPr>
            <w:r>
              <w:rPr>
                <w:rFonts w:ascii="Arial MT"/>
                <w:spacing w:val="-2"/>
                <w:sz w:val="14"/>
              </w:rPr>
              <w:t>(5.196)</w:t>
            </w:r>
          </w:p>
        </w:tc>
        <w:tc>
          <w:tcPr>
            <w:tcW w:w="856" w:type="dxa"/>
          </w:tcPr>
          <w:p w14:paraId="5D907824" w14:textId="77777777" w:rsidR="002C6574" w:rsidRDefault="00000000">
            <w:pPr>
              <w:pStyle w:val="TableParagraph"/>
              <w:spacing w:before="16"/>
              <w:ind w:right="67"/>
              <w:rPr>
                <w:rFonts w:ascii="Arial MT"/>
                <w:sz w:val="14"/>
              </w:rPr>
            </w:pPr>
            <w:r>
              <w:rPr>
                <w:rFonts w:ascii="Arial MT"/>
                <w:spacing w:val="-2"/>
                <w:sz w:val="14"/>
              </w:rPr>
              <w:t>(498)</w:t>
            </w:r>
          </w:p>
        </w:tc>
        <w:tc>
          <w:tcPr>
            <w:tcW w:w="146" w:type="dxa"/>
          </w:tcPr>
          <w:p w14:paraId="0A5DDBA4" w14:textId="77777777" w:rsidR="002C6574" w:rsidRDefault="002C6574">
            <w:pPr>
              <w:pStyle w:val="TableParagraph"/>
              <w:jc w:val="left"/>
              <w:rPr>
                <w:rFonts w:ascii="Times New Roman"/>
                <w:sz w:val="12"/>
              </w:rPr>
            </w:pPr>
          </w:p>
        </w:tc>
        <w:tc>
          <w:tcPr>
            <w:tcW w:w="712" w:type="dxa"/>
          </w:tcPr>
          <w:p w14:paraId="4DBFEA5C" w14:textId="77777777" w:rsidR="002C6574" w:rsidRDefault="00000000">
            <w:pPr>
              <w:pStyle w:val="TableParagraph"/>
              <w:spacing w:before="16"/>
              <w:ind w:left="86" w:right="82"/>
              <w:jc w:val="center"/>
              <w:rPr>
                <w:rFonts w:ascii="Arial MT"/>
                <w:sz w:val="14"/>
              </w:rPr>
            </w:pPr>
            <w:r>
              <w:rPr>
                <w:rFonts w:ascii="Arial MT"/>
                <w:spacing w:val="-2"/>
                <w:sz w:val="14"/>
              </w:rPr>
              <w:t>943,4%</w:t>
            </w:r>
          </w:p>
        </w:tc>
      </w:tr>
      <w:tr w:rsidR="002C6574" w14:paraId="40AF84CA" w14:textId="77777777">
        <w:trPr>
          <w:trHeight w:val="200"/>
        </w:trPr>
        <w:tc>
          <w:tcPr>
            <w:tcW w:w="3614" w:type="dxa"/>
          </w:tcPr>
          <w:p w14:paraId="39780C3D" w14:textId="77777777" w:rsidR="002C6574" w:rsidRDefault="00000000">
            <w:pPr>
              <w:pStyle w:val="TableParagraph"/>
              <w:spacing w:before="16"/>
              <w:ind w:left="84"/>
              <w:jc w:val="left"/>
              <w:rPr>
                <w:rFonts w:ascii="Arial MT" w:hAnsi="Arial MT"/>
                <w:sz w:val="14"/>
              </w:rPr>
            </w:pPr>
            <w:r>
              <w:rPr>
                <w:rFonts w:ascii="Arial MT" w:hAnsi="Arial MT"/>
                <w:sz w:val="14"/>
              </w:rPr>
              <w:t>Multas</w:t>
            </w:r>
            <w:r>
              <w:rPr>
                <w:rFonts w:ascii="Arial MT" w:hAnsi="Arial MT"/>
                <w:spacing w:val="-5"/>
                <w:sz w:val="14"/>
              </w:rPr>
              <w:t xml:space="preserve"> </w:t>
            </w:r>
            <w:r>
              <w:rPr>
                <w:rFonts w:ascii="Arial MT" w:hAnsi="Arial MT"/>
                <w:sz w:val="14"/>
              </w:rPr>
              <w:t>sobre</w:t>
            </w:r>
            <w:r>
              <w:rPr>
                <w:rFonts w:ascii="Arial MT" w:hAnsi="Arial MT"/>
                <w:spacing w:val="-5"/>
                <w:sz w:val="14"/>
              </w:rPr>
              <w:t xml:space="preserve"> </w:t>
            </w:r>
            <w:r>
              <w:rPr>
                <w:rFonts w:ascii="Arial MT" w:hAnsi="Arial MT"/>
                <w:sz w:val="14"/>
              </w:rPr>
              <w:t>Contas</w:t>
            </w:r>
            <w:r>
              <w:rPr>
                <w:rFonts w:ascii="Arial MT" w:hAnsi="Arial MT"/>
                <w:spacing w:val="-2"/>
                <w:sz w:val="14"/>
              </w:rPr>
              <w:t xml:space="preserve"> </w:t>
            </w:r>
            <w:r>
              <w:rPr>
                <w:rFonts w:ascii="Arial MT" w:hAnsi="Arial MT"/>
                <w:sz w:val="14"/>
              </w:rPr>
              <w:t>a</w:t>
            </w:r>
            <w:r>
              <w:rPr>
                <w:rFonts w:ascii="Arial MT" w:hAnsi="Arial MT"/>
                <w:spacing w:val="-5"/>
                <w:sz w:val="14"/>
              </w:rPr>
              <w:t xml:space="preserve"> </w:t>
            </w:r>
            <w:r>
              <w:rPr>
                <w:rFonts w:ascii="Arial MT" w:hAnsi="Arial MT"/>
                <w:sz w:val="14"/>
              </w:rPr>
              <w:t>Receber</w:t>
            </w:r>
            <w:r>
              <w:rPr>
                <w:rFonts w:ascii="Arial MT" w:hAnsi="Arial MT"/>
                <w:spacing w:val="-2"/>
                <w:sz w:val="14"/>
              </w:rPr>
              <w:t xml:space="preserve"> </w:t>
            </w:r>
            <w:r>
              <w:rPr>
                <w:rFonts w:ascii="Arial MT" w:hAnsi="Arial MT"/>
                <w:sz w:val="14"/>
              </w:rPr>
              <w:t>–</w:t>
            </w:r>
            <w:r>
              <w:rPr>
                <w:rFonts w:ascii="Arial MT" w:hAnsi="Arial MT"/>
                <w:spacing w:val="-5"/>
                <w:sz w:val="14"/>
              </w:rPr>
              <w:t xml:space="preserve"> </w:t>
            </w:r>
            <w:r>
              <w:rPr>
                <w:rFonts w:ascii="Arial MT" w:hAnsi="Arial MT"/>
                <w:spacing w:val="-2"/>
                <w:sz w:val="14"/>
              </w:rPr>
              <w:t>Contratos</w:t>
            </w:r>
          </w:p>
        </w:tc>
        <w:tc>
          <w:tcPr>
            <w:tcW w:w="952" w:type="dxa"/>
            <w:shd w:val="clear" w:color="auto" w:fill="66FFFF"/>
          </w:tcPr>
          <w:p w14:paraId="4D7A40D3" w14:textId="77777777" w:rsidR="002C6574" w:rsidRDefault="00000000">
            <w:pPr>
              <w:pStyle w:val="TableParagraph"/>
              <w:spacing w:before="16"/>
              <w:ind w:left="340"/>
              <w:jc w:val="left"/>
              <w:rPr>
                <w:rFonts w:ascii="Arial MT"/>
                <w:sz w:val="14"/>
              </w:rPr>
            </w:pPr>
            <w:r>
              <w:rPr>
                <w:rFonts w:ascii="Arial MT"/>
                <w:spacing w:val="-2"/>
                <w:sz w:val="14"/>
              </w:rPr>
              <w:t>(1.500)</w:t>
            </w:r>
          </w:p>
        </w:tc>
        <w:tc>
          <w:tcPr>
            <w:tcW w:w="858" w:type="dxa"/>
          </w:tcPr>
          <w:p w14:paraId="6615AF20" w14:textId="77777777" w:rsidR="002C6574" w:rsidRDefault="00000000">
            <w:pPr>
              <w:pStyle w:val="TableParagraph"/>
              <w:spacing w:before="16"/>
              <w:ind w:right="168"/>
              <w:rPr>
                <w:rFonts w:ascii="Arial MT"/>
                <w:sz w:val="14"/>
              </w:rPr>
            </w:pPr>
            <w:r>
              <w:rPr>
                <w:rFonts w:ascii="Arial MT"/>
                <w:spacing w:val="-2"/>
                <w:sz w:val="14"/>
              </w:rPr>
              <w:t>(679)</w:t>
            </w:r>
          </w:p>
        </w:tc>
        <w:tc>
          <w:tcPr>
            <w:tcW w:w="758" w:type="dxa"/>
          </w:tcPr>
          <w:p w14:paraId="68EC3B9C" w14:textId="77777777" w:rsidR="002C6574" w:rsidRDefault="00000000">
            <w:pPr>
              <w:pStyle w:val="TableParagraph"/>
              <w:spacing w:before="16"/>
              <w:ind w:right="71"/>
              <w:rPr>
                <w:rFonts w:ascii="Arial MT"/>
                <w:sz w:val="14"/>
              </w:rPr>
            </w:pPr>
            <w:r>
              <w:rPr>
                <w:rFonts w:ascii="Arial MT"/>
                <w:spacing w:val="-2"/>
                <w:sz w:val="14"/>
              </w:rPr>
              <w:t>(1.952)</w:t>
            </w:r>
          </w:p>
        </w:tc>
        <w:tc>
          <w:tcPr>
            <w:tcW w:w="146" w:type="dxa"/>
          </w:tcPr>
          <w:p w14:paraId="49B7B978" w14:textId="77777777" w:rsidR="002C6574" w:rsidRDefault="002C6574">
            <w:pPr>
              <w:pStyle w:val="TableParagraph"/>
              <w:jc w:val="left"/>
              <w:rPr>
                <w:rFonts w:ascii="Times New Roman"/>
                <w:sz w:val="12"/>
              </w:rPr>
            </w:pPr>
          </w:p>
        </w:tc>
        <w:tc>
          <w:tcPr>
            <w:tcW w:w="724" w:type="dxa"/>
          </w:tcPr>
          <w:p w14:paraId="28531CB8" w14:textId="77777777" w:rsidR="002C6574" w:rsidRDefault="00000000">
            <w:pPr>
              <w:pStyle w:val="TableParagraph"/>
              <w:spacing w:before="16"/>
              <w:ind w:right="88"/>
              <w:rPr>
                <w:rFonts w:ascii="Arial MT"/>
                <w:sz w:val="14"/>
              </w:rPr>
            </w:pPr>
            <w:r>
              <w:rPr>
                <w:rFonts w:ascii="Arial MT"/>
                <w:spacing w:val="-2"/>
                <w:sz w:val="14"/>
              </w:rPr>
              <w:t>120,9%</w:t>
            </w:r>
          </w:p>
        </w:tc>
        <w:tc>
          <w:tcPr>
            <w:tcW w:w="792" w:type="dxa"/>
          </w:tcPr>
          <w:p w14:paraId="17817671" w14:textId="77777777" w:rsidR="002C6574" w:rsidRDefault="00000000">
            <w:pPr>
              <w:pStyle w:val="TableParagraph"/>
              <w:spacing w:before="16"/>
              <w:ind w:right="72"/>
              <w:rPr>
                <w:rFonts w:ascii="Arial MT"/>
                <w:sz w:val="14"/>
              </w:rPr>
            </w:pPr>
            <w:r>
              <w:rPr>
                <w:rFonts w:ascii="Arial MT"/>
                <w:spacing w:val="-2"/>
                <w:sz w:val="14"/>
              </w:rPr>
              <w:t>-23,2%</w:t>
            </w:r>
          </w:p>
        </w:tc>
        <w:tc>
          <w:tcPr>
            <w:tcW w:w="146" w:type="dxa"/>
          </w:tcPr>
          <w:p w14:paraId="5CA99E59" w14:textId="77777777" w:rsidR="002C6574" w:rsidRDefault="002C6574">
            <w:pPr>
              <w:pStyle w:val="TableParagraph"/>
              <w:jc w:val="left"/>
              <w:rPr>
                <w:rFonts w:ascii="Times New Roman"/>
                <w:sz w:val="12"/>
              </w:rPr>
            </w:pPr>
          </w:p>
        </w:tc>
        <w:tc>
          <w:tcPr>
            <w:tcW w:w="846" w:type="dxa"/>
            <w:shd w:val="clear" w:color="auto" w:fill="66FFFF"/>
          </w:tcPr>
          <w:p w14:paraId="722C993E" w14:textId="77777777" w:rsidR="002C6574" w:rsidRDefault="00000000">
            <w:pPr>
              <w:pStyle w:val="TableParagraph"/>
              <w:spacing w:before="16"/>
              <w:ind w:right="65"/>
              <w:rPr>
                <w:rFonts w:ascii="Arial MT"/>
                <w:sz w:val="14"/>
              </w:rPr>
            </w:pPr>
            <w:r>
              <w:rPr>
                <w:rFonts w:ascii="Arial MT"/>
                <w:spacing w:val="-2"/>
                <w:sz w:val="14"/>
              </w:rPr>
              <w:t>(4.874)</w:t>
            </w:r>
          </w:p>
        </w:tc>
        <w:tc>
          <w:tcPr>
            <w:tcW w:w="856" w:type="dxa"/>
          </w:tcPr>
          <w:p w14:paraId="33FFC25B" w14:textId="77777777" w:rsidR="002C6574" w:rsidRDefault="00000000">
            <w:pPr>
              <w:pStyle w:val="TableParagraph"/>
              <w:spacing w:before="16"/>
              <w:ind w:right="67"/>
              <w:rPr>
                <w:rFonts w:ascii="Arial MT"/>
                <w:sz w:val="14"/>
              </w:rPr>
            </w:pPr>
            <w:r>
              <w:rPr>
                <w:rFonts w:ascii="Arial MT"/>
                <w:spacing w:val="-2"/>
                <w:sz w:val="14"/>
              </w:rPr>
              <w:t>(3.568)</w:t>
            </w:r>
          </w:p>
        </w:tc>
        <w:tc>
          <w:tcPr>
            <w:tcW w:w="146" w:type="dxa"/>
          </w:tcPr>
          <w:p w14:paraId="75CFE703" w14:textId="77777777" w:rsidR="002C6574" w:rsidRDefault="002C6574">
            <w:pPr>
              <w:pStyle w:val="TableParagraph"/>
              <w:jc w:val="left"/>
              <w:rPr>
                <w:rFonts w:ascii="Times New Roman"/>
                <w:sz w:val="12"/>
              </w:rPr>
            </w:pPr>
          </w:p>
        </w:tc>
        <w:tc>
          <w:tcPr>
            <w:tcW w:w="712" w:type="dxa"/>
          </w:tcPr>
          <w:p w14:paraId="43DE42A5" w14:textId="77777777" w:rsidR="002C6574" w:rsidRDefault="00000000">
            <w:pPr>
              <w:pStyle w:val="TableParagraph"/>
              <w:spacing w:before="16"/>
              <w:ind w:left="86"/>
              <w:jc w:val="center"/>
              <w:rPr>
                <w:rFonts w:ascii="Arial MT"/>
                <w:sz w:val="14"/>
              </w:rPr>
            </w:pPr>
            <w:r>
              <w:rPr>
                <w:rFonts w:ascii="Arial MT"/>
                <w:spacing w:val="-2"/>
                <w:sz w:val="14"/>
              </w:rPr>
              <w:t>36,6%</w:t>
            </w:r>
          </w:p>
        </w:tc>
      </w:tr>
      <w:tr w:rsidR="002C6574" w14:paraId="348F64C2" w14:textId="77777777">
        <w:trPr>
          <w:trHeight w:val="200"/>
        </w:trPr>
        <w:tc>
          <w:tcPr>
            <w:tcW w:w="3614" w:type="dxa"/>
          </w:tcPr>
          <w:p w14:paraId="288612D9" w14:textId="77777777" w:rsidR="002C6574" w:rsidRDefault="00000000">
            <w:pPr>
              <w:pStyle w:val="TableParagraph"/>
              <w:spacing w:before="18"/>
              <w:ind w:left="84"/>
              <w:jc w:val="left"/>
              <w:rPr>
                <w:rFonts w:ascii="Arial MT" w:hAnsi="Arial MT"/>
                <w:sz w:val="14"/>
              </w:rPr>
            </w:pPr>
            <w:r>
              <w:rPr>
                <w:rFonts w:ascii="Arial MT" w:hAnsi="Arial MT"/>
                <w:sz w:val="14"/>
              </w:rPr>
              <w:t>Multas</w:t>
            </w:r>
            <w:r>
              <w:rPr>
                <w:rFonts w:ascii="Arial MT" w:hAnsi="Arial MT"/>
                <w:spacing w:val="-7"/>
                <w:sz w:val="14"/>
              </w:rPr>
              <w:t xml:space="preserve"> </w:t>
            </w:r>
            <w:r>
              <w:rPr>
                <w:rFonts w:ascii="Arial MT" w:hAnsi="Arial MT"/>
                <w:sz w:val="14"/>
              </w:rPr>
              <w:t>sobre</w:t>
            </w:r>
            <w:r>
              <w:rPr>
                <w:rFonts w:ascii="Arial MT" w:hAnsi="Arial MT"/>
                <w:spacing w:val="-5"/>
                <w:sz w:val="14"/>
              </w:rPr>
              <w:t xml:space="preserve"> </w:t>
            </w:r>
            <w:r>
              <w:rPr>
                <w:rFonts w:ascii="Arial MT" w:hAnsi="Arial MT"/>
                <w:sz w:val="14"/>
              </w:rPr>
              <w:t>Obrigações</w:t>
            </w:r>
            <w:r>
              <w:rPr>
                <w:rFonts w:ascii="Arial MT" w:hAnsi="Arial MT"/>
                <w:spacing w:val="-4"/>
                <w:sz w:val="14"/>
              </w:rPr>
              <w:t xml:space="preserve"> </w:t>
            </w:r>
            <w:r>
              <w:rPr>
                <w:rFonts w:ascii="Arial MT" w:hAnsi="Arial MT"/>
                <w:sz w:val="14"/>
              </w:rPr>
              <w:t>com</w:t>
            </w:r>
            <w:r>
              <w:rPr>
                <w:rFonts w:ascii="Arial MT" w:hAnsi="Arial MT"/>
                <w:spacing w:val="-3"/>
                <w:sz w:val="14"/>
              </w:rPr>
              <w:t xml:space="preserve"> </w:t>
            </w:r>
            <w:r>
              <w:rPr>
                <w:rFonts w:ascii="Arial MT" w:hAnsi="Arial MT"/>
                <w:spacing w:val="-2"/>
                <w:sz w:val="14"/>
              </w:rPr>
              <w:t>Fornecedores</w:t>
            </w:r>
          </w:p>
        </w:tc>
        <w:tc>
          <w:tcPr>
            <w:tcW w:w="952" w:type="dxa"/>
            <w:shd w:val="clear" w:color="auto" w:fill="66FFFF"/>
          </w:tcPr>
          <w:p w14:paraId="3A8DE407" w14:textId="77777777" w:rsidR="002C6574" w:rsidRDefault="00000000">
            <w:pPr>
              <w:pStyle w:val="TableParagraph"/>
              <w:spacing w:before="18"/>
              <w:ind w:left="340"/>
              <w:jc w:val="left"/>
              <w:rPr>
                <w:rFonts w:ascii="Arial MT"/>
                <w:sz w:val="14"/>
              </w:rPr>
            </w:pPr>
            <w:r>
              <w:rPr>
                <w:rFonts w:ascii="Arial MT"/>
                <w:spacing w:val="-2"/>
                <w:sz w:val="14"/>
              </w:rPr>
              <w:t>(2.988)</w:t>
            </w:r>
          </w:p>
        </w:tc>
        <w:tc>
          <w:tcPr>
            <w:tcW w:w="858" w:type="dxa"/>
          </w:tcPr>
          <w:p w14:paraId="7071A82C" w14:textId="77777777" w:rsidR="002C6574" w:rsidRDefault="00000000">
            <w:pPr>
              <w:pStyle w:val="TableParagraph"/>
              <w:spacing w:before="18"/>
              <w:ind w:right="168"/>
              <w:rPr>
                <w:rFonts w:ascii="Arial MT"/>
                <w:sz w:val="14"/>
              </w:rPr>
            </w:pPr>
            <w:r>
              <w:rPr>
                <w:rFonts w:ascii="Arial MT"/>
                <w:spacing w:val="-2"/>
                <w:sz w:val="14"/>
              </w:rPr>
              <w:t>(939)</w:t>
            </w:r>
          </w:p>
        </w:tc>
        <w:tc>
          <w:tcPr>
            <w:tcW w:w="758" w:type="dxa"/>
          </w:tcPr>
          <w:p w14:paraId="534D92B3" w14:textId="77777777" w:rsidR="002C6574" w:rsidRDefault="00000000">
            <w:pPr>
              <w:pStyle w:val="TableParagraph"/>
              <w:spacing w:before="18"/>
              <w:ind w:right="71"/>
              <w:rPr>
                <w:rFonts w:ascii="Arial MT"/>
                <w:sz w:val="14"/>
              </w:rPr>
            </w:pPr>
            <w:r>
              <w:rPr>
                <w:rFonts w:ascii="Arial MT"/>
                <w:spacing w:val="-4"/>
                <w:sz w:val="14"/>
              </w:rPr>
              <w:t>(18)</w:t>
            </w:r>
          </w:p>
        </w:tc>
        <w:tc>
          <w:tcPr>
            <w:tcW w:w="146" w:type="dxa"/>
          </w:tcPr>
          <w:p w14:paraId="6201BA76" w14:textId="77777777" w:rsidR="002C6574" w:rsidRDefault="002C6574">
            <w:pPr>
              <w:pStyle w:val="TableParagraph"/>
              <w:jc w:val="left"/>
              <w:rPr>
                <w:rFonts w:ascii="Times New Roman"/>
                <w:sz w:val="12"/>
              </w:rPr>
            </w:pPr>
          </w:p>
        </w:tc>
        <w:tc>
          <w:tcPr>
            <w:tcW w:w="724" w:type="dxa"/>
          </w:tcPr>
          <w:p w14:paraId="775B2E1C" w14:textId="77777777" w:rsidR="002C6574" w:rsidRDefault="00000000">
            <w:pPr>
              <w:pStyle w:val="TableParagraph"/>
              <w:spacing w:before="18"/>
              <w:ind w:right="88"/>
              <w:rPr>
                <w:rFonts w:ascii="Arial MT"/>
                <w:sz w:val="14"/>
              </w:rPr>
            </w:pPr>
            <w:r>
              <w:rPr>
                <w:rFonts w:ascii="Arial MT"/>
                <w:spacing w:val="-2"/>
                <w:sz w:val="14"/>
              </w:rPr>
              <w:t>218,2%</w:t>
            </w:r>
          </w:p>
        </w:tc>
        <w:tc>
          <w:tcPr>
            <w:tcW w:w="792" w:type="dxa"/>
          </w:tcPr>
          <w:p w14:paraId="0004E1EF" w14:textId="77777777" w:rsidR="002C6574" w:rsidRDefault="00000000">
            <w:pPr>
              <w:pStyle w:val="TableParagraph"/>
              <w:spacing w:before="18"/>
              <w:ind w:right="72"/>
              <w:rPr>
                <w:rFonts w:ascii="Arial MT"/>
                <w:sz w:val="14"/>
              </w:rPr>
            </w:pPr>
            <w:r>
              <w:rPr>
                <w:rFonts w:ascii="Arial MT"/>
                <w:spacing w:val="-2"/>
                <w:sz w:val="14"/>
              </w:rPr>
              <w:t>16500,0%</w:t>
            </w:r>
          </w:p>
        </w:tc>
        <w:tc>
          <w:tcPr>
            <w:tcW w:w="146" w:type="dxa"/>
          </w:tcPr>
          <w:p w14:paraId="565C47BE" w14:textId="77777777" w:rsidR="002C6574" w:rsidRDefault="002C6574">
            <w:pPr>
              <w:pStyle w:val="TableParagraph"/>
              <w:jc w:val="left"/>
              <w:rPr>
                <w:rFonts w:ascii="Times New Roman"/>
                <w:sz w:val="12"/>
              </w:rPr>
            </w:pPr>
          </w:p>
        </w:tc>
        <w:tc>
          <w:tcPr>
            <w:tcW w:w="846" w:type="dxa"/>
            <w:shd w:val="clear" w:color="auto" w:fill="66FFFF"/>
          </w:tcPr>
          <w:p w14:paraId="2D392D86" w14:textId="77777777" w:rsidR="002C6574" w:rsidRDefault="00000000">
            <w:pPr>
              <w:pStyle w:val="TableParagraph"/>
              <w:spacing w:before="18"/>
              <w:ind w:right="65"/>
              <w:rPr>
                <w:rFonts w:ascii="Arial MT"/>
                <w:sz w:val="14"/>
              </w:rPr>
            </w:pPr>
            <w:r>
              <w:rPr>
                <w:rFonts w:ascii="Arial MT"/>
                <w:spacing w:val="-2"/>
                <w:sz w:val="14"/>
              </w:rPr>
              <w:t>(3.029)</w:t>
            </w:r>
          </w:p>
        </w:tc>
        <w:tc>
          <w:tcPr>
            <w:tcW w:w="856" w:type="dxa"/>
          </w:tcPr>
          <w:p w14:paraId="05944BCB" w14:textId="77777777" w:rsidR="002C6574" w:rsidRDefault="00000000">
            <w:pPr>
              <w:pStyle w:val="TableParagraph"/>
              <w:spacing w:before="18"/>
              <w:ind w:right="67"/>
              <w:rPr>
                <w:rFonts w:ascii="Arial MT"/>
                <w:sz w:val="14"/>
              </w:rPr>
            </w:pPr>
            <w:r>
              <w:rPr>
                <w:rFonts w:ascii="Arial MT"/>
                <w:spacing w:val="-2"/>
                <w:sz w:val="14"/>
              </w:rPr>
              <w:t>(1.215)</w:t>
            </w:r>
          </w:p>
        </w:tc>
        <w:tc>
          <w:tcPr>
            <w:tcW w:w="146" w:type="dxa"/>
          </w:tcPr>
          <w:p w14:paraId="252C639E" w14:textId="77777777" w:rsidR="002C6574" w:rsidRDefault="002C6574">
            <w:pPr>
              <w:pStyle w:val="TableParagraph"/>
              <w:jc w:val="left"/>
              <w:rPr>
                <w:rFonts w:ascii="Times New Roman"/>
                <w:sz w:val="12"/>
              </w:rPr>
            </w:pPr>
          </w:p>
        </w:tc>
        <w:tc>
          <w:tcPr>
            <w:tcW w:w="712" w:type="dxa"/>
          </w:tcPr>
          <w:p w14:paraId="32F67912" w14:textId="77777777" w:rsidR="002C6574" w:rsidRDefault="00000000">
            <w:pPr>
              <w:pStyle w:val="TableParagraph"/>
              <w:spacing w:before="18"/>
              <w:ind w:left="86" w:right="82"/>
              <w:jc w:val="center"/>
              <w:rPr>
                <w:rFonts w:ascii="Arial MT"/>
                <w:sz w:val="14"/>
              </w:rPr>
            </w:pPr>
            <w:r>
              <w:rPr>
                <w:rFonts w:ascii="Arial MT"/>
                <w:spacing w:val="-2"/>
                <w:sz w:val="14"/>
              </w:rPr>
              <w:t>149,3%</w:t>
            </w:r>
          </w:p>
        </w:tc>
      </w:tr>
      <w:tr w:rsidR="002C6574" w14:paraId="63FA0FEA" w14:textId="77777777">
        <w:trPr>
          <w:trHeight w:val="199"/>
        </w:trPr>
        <w:tc>
          <w:tcPr>
            <w:tcW w:w="3614" w:type="dxa"/>
          </w:tcPr>
          <w:p w14:paraId="7C19294F" w14:textId="77777777" w:rsidR="002C6574" w:rsidRDefault="00000000">
            <w:pPr>
              <w:pStyle w:val="TableParagraph"/>
              <w:spacing w:before="16"/>
              <w:ind w:left="84"/>
              <w:jc w:val="left"/>
              <w:rPr>
                <w:rFonts w:ascii="Arial MT"/>
                <w:sz w:val="14"/>
              </w:rPr>
            </w:pPr>
            <w:r>
              <w:rPr>
                <w:rFonts w:ascii="Arial MT"/>
                <w:sz w:val="14"/>
              </w:rPr>
              <w:t>Baixa</w:t>
            </w:r>
            <w:r>
              <w:rPr>
                <w:rFonts w:ascii="Arial MT"/>
                <w:spacing w:val="-4"/>
                <w:sz w:val="14"/>
              </w:rPr>
              <w:t xml:space="preserve"> </w:t>
            </w:r>
            <w:r>
              <w:rPr>
                <w:rFonts w:ascii="Arial MT"/>
                <w:sz w:val="14"/>
              </w:rPr>
              <w:t>de</w:t>
            </w:r>
            <w:r>
              <w:rPr>
                <w:rFonts w:ascii="Arial MT"/>
                <w:spacing w:val="-5"/>
                <w:sz w:val="14"/>
              </w:rPr>
              <w:t xml:space="preserve"> </w:t>
            </w:r>
            <w:r>
              <w:rPr>
                <w:rFonts w:ascii="Arial MT"/>
                <w:sz w:val="14"/>
              </w:rPr>
              <w:t>Bens</w:t>
            </w:r>
            <w:r>
              <w:rPr>
                <w:rFonts w:ascii="Arial MT"/>
                <w:spacing w:val="-3"/>
                <w:sz w:val="14"/>
              </w:rPr>
              <w:t xml:space="preserve"> </w:t>
            </w:r>
            <w:r>
              <w:rPr>
                <w:rFonts w:ascii="Arial MT"/>
                <w:sz w:val="14"/>
              </w:rPr>
              <w:t>do</w:t>
            </w:r>
            <w:r>
              <w:rPr>
                <w:rFonts w:ascii="Arial MT"/>
                <w:spacing w:val="-3"/>
                <w:sz w:val="14"/>
              </w:rPr>
              <w:t xml:space="preserve"> </w:t>
            </w:r>
            <w:r>
              <w:rPr>
                <w:rFonts w:ascii="Arial MT"/>
                <w:sz w:val="14"/>
              </w:rPr>
              <w:t>Ativo</w:t>
            </w:r>
            <w:r>
              <w:rPr>
                <w:rFonts w:ascii="Arial MT"/>
                <w:spacing w:val="-3"/>
                <w:sz w:val="14"/>
              </w:rPr>
              <w:t xml:space="preserve"> </w:t>
            </w:r>
            <w:r>
              <w:rPr>
                <w:rFonts w:ascii="Arial MT"/>
                <w:spacing w:val="-2"/>
                <w:sz w:val="14"/>
              </w:rPr>
              <w:t>Imobilizado</w:t>
            </w:r>
          </w:p>
        </w:tc>
        <w:tc>
          <w:tcPr>
            <w:tcW w:w="952" w:type="dxa"/>
            <w:shd w:val="clear" w:color="auto" w:fill="66FFFF"/>
          </w:tcPr>
          <w:p w14:paraId="6C52BCCC" w14:textId="77777777" w:rsidR="002C6574" w:rsidRDefault="00000000">
            <w:pPr>
              <w:pStyle w:val="TableParagraph"/>
              <w:spacing w:before="16"/>
              <w:ind w:right="164"/>
              <w:rPr>
                <w:rFonts w:ascii="Arial MT"/>
                <w:sz w:val="14"/>
              </w:rPr>
            </w:pPr>
            <w:r>
              <w:rPr>
                <w:rFonts w:ascii="Arial MT"/>
                <w:spacing w:val="-10"/>
                <w:sz w:val="14"/>
              </w:rPr>
              <w:t>-</w:t>
            </w:r>
          </w:p>
        </w:tc>
        <w:tc>
          <w:tcPr>
            <w:tcW w:w="858" w:type="dxa"/>
          </w:tcPr>
          <w:p w14:paraId="3D21DD1D" w14:textId="77777777" w:rsidR="002C6574" w:rsidRDefault="00000000">
            <w:pPr>
              <w:pStyle w:val="TableParagraph"/>
              <w:spacing w:before="16"/>
              <w:ind w:right="166"/>
              <w:rPr>
                <w:rFonts w:ascii="Arial MT"/>
                <w:sz w:val="14"/>
              </w:rPr>
            </w:pPr>
            <w:r>
              <w:rPr>
                <w:rFonts w:ascii="Arial MT"/>
                <w:spacing w:val="-2"/>
                <w:sz w:val="14"/>
              </w:rPr>
              <w:t>1.366</w:t>
            </w:r>
          </w:p>
        </w:tc>
        <w:tc>
          <w:tcPr>
            <w:tcW w:w="758" w:type="dxa"/>
          </w:tcPr>
          <w:p w14:paraId="572C76E1" w14:textId="77777777" w:rsidR="002C6574" w:rsidRDefault="00000000">
            <w:pPr>
              <w:pStyle w:val="TableParagraph"/>
              <w:spacing w:before="16"/>
              <w:ind w:right="69"/>
              <w:rPr>
                <w:rFonts w:ascii="Arial MT"/>
                <w:sz w:val="14"/>
              </w:rPr>
            </w:pPr>
            <w:r>
              <w:rPr>
                <w:rFonts w:ascii="Arial MT"/>
                <w:spacing w:val="-10"/>
                <w:sz w:val="14"/>
              </w:rPr>
              <w:t>-</w:t>
            </w:r>
          </w:p>
        </w:tc>
        <w:tc>
          <w:tcPr>
            <w:tcW w:w="146" w:type="dxa"/>
          </w:tcPr>
          <w:p w14:paraId="5FD96B4E" w14:textId="77777777" w:rsidR="002C6574" w:rsidRDefault="002C6574">
            <w:pPr>
              <w:pStyle w:val="TableParagraph"/>
              <w:jc w:val="left"/>
              <w:rPr>
                <w:rFonts w:ascii="Times New Roman"/>
                <w:sz w:val="12"/>
              </w:rPr>
            </w:pPr>
          </w:p>
        </w:tc>
        <w:tc>
          <w:tcPr>
            <w:tcW w:w="724" w:type="dxa"/>
          </w:tcPr>
          <w:p w14:paraId="32F679CF" w14:textId="77777777" w:rsidR="002C6574" w:rsidRDefault="00000000">
            <w:pPr>
              <w:pStyle w:val="TableParagraph"/>
              <w:spacing w:before="16"/>
              <w:ind w:right="88"/>
              <w:rPr>
                <w:rFonts w:ascii="Arial MT"/>
                <w:sz w:val="14"/>
              </w:rPr>
            </w:pPr>
            <w:r>
              <w:rPr>
                <w:rFonts w:ascii="Arial MT"/>
                <w:spacing w:val="-2"/>
                <w:sz w:val="14"/>
              </w:rPr>
              <w:t>-100,0%</w:t>
            </w:r>
          </w:p>
        </w:tc>
        <w:tc>
          <w:tcPr>
            <w:tcW w:w="792" w:type="dxa"/>
          </w:tcPr>
          <w:p w14:paraId="34ABD84F" w14:textId="77777777" w:rsidR="002C6574" w:rsidRDefault="00000000">
            <w:pPr>
              <w:pStyle w:val="TableParagraph"/>
              <w:spacing w:before="16"/>
              <w:ind w:right="67"/>
              <w:rPr>
                <w:rFonts w:ascii="Arial MT"/>
                <w:sz w:val="14"/>
              </w:rPr>
            </w:pPr>
            <w:r>
              <w:rPr>
                <w:rFonts w:ascii="Arial MT"/>
                <w:spacing w:val="-10"/>
                <w:sz w:val="14"/>
              </w:rPr>
              <w:t>-</w:t>
            </w:r>
          </w:p>
        </w:tc>
        <w:tc>
          <w:tcPr>
            <w:tcW w:w="146" w:type="dxa"/>
          </w:tcPr>
          <w:p w14:paraId="3F962DEF" w14:textId="77777777" w:rsidR="002C6574" w:rsidRDefault="002C6574">
            <w:pPr>
              <w:pStyle w:val="TableParagraph"/>
              <w:jc w:val="left"/>
              <w:rPr>
                <w:rFonts w:ascii="Times New Roman"/>
                <w:sz w:val="12"/>
              </w:rPr>
            </w:pPr>
          </w:p>
        </w:tc>
        <w:tc>
          <w:tcPr>
            <w:tcW w:w="846" w:type="dxa"/>
            <w:shd w:val="clear" w:color="auto" w:fill="66FFFF"/>
          </w:tcPr>
          <w:p w14:paraId="7F6CFE7D" w14:textId="77777777" w:rsidR="002C6574" w:rsidRDefault="00000000">
            <w:pPr>
              <w:pStyle w:val="TableParagraph"/>
              <w:spacing w:before="16"/>
              <w:ind w:right="63"/>
              <w:rPr>
                <w:rFonts w:ascii="Arial MT"/>
                <w:sz w:val="14"/>
              </w:rPr>
            </w:pPr>
            <w:r>
              <w:rPr>
                <w:rFonts w:ascii="Arial MT"/>
                <w:spacing w:val="-10"/>
                <w:sz w:val="14"/>
              </w:rPr>
              <w:t>-</w:t>
            </w:r>
          </w:p>
        </w:tc>
        <w:tc>
          <w:tcPr>
            <w:tcW w:w="856" w:type="dxa"/>
          </w:tcPr>
          <w:p w14:paraId="136C0B5B" w14:textId="77777777" w:rsidR="002C6574" w:rsidRDefault="00000000">
            <w:pPr>
              <w:pStyle w:val="TableParagraph"/>
              <w:spacing w:before="16"/>
              <w:ind w:right="67"/>
              <w:rPr>
                <w:rFonts w:ascii="Arial MT"/>
                <w:sz w:val="14"/>
              </w:rPr>
            </w:pPr>
            <w:r>
              <w:rPr>
                <w:rFonts w:ascii="Arial MT"/>
                <w:spacing w:val="-2"/>
                <w:sz w:val="14"/>
              </w:rPr>
              <w:t>(2.666)</w:t>
            </w:r>
          </w:p>
        </w:tc>
        <w:tc>
          <w:tcPr>
            <w:tcW w:w="146" w:type="dxa"/>
          </w:tcPr>
          <w:p w14:paraId="32FC64F8" w14:textId="77777777" w:rsidR="002C6574" w:rsidRDefault="002C6574">
            <w:pPr>
              <w:pStyle w:val="TableParagraph"/>
              <w:jc w:val="left"/>
              <w:rPr>
                <w:rFonts w:ascii="Times New Roman"/>
                <w:sz w:val="12"/>
              </w:rPr>
            </w:pPr>
          </w:p>
        </w:tc>
        <w:tc>
          <w:tcPr>
            <w:tcW w:w="712" w:type="dxa"/>
          </w:tcPr>
          <w:p w14:paraId="17BA5FCE" w14:textId="77777777" w:rsidR="002C6574" w:rsidRDefault="00000000">
            <w:pPr>
              <w:pStyle w:val="TableParagraph"/>
              <w:spacing w:before="16"/>
              <w:ind w:right="39"/>
              <w:jc w:val="center"/>
              <w:rPr>
                <w:rFonts w:ascii="Arial MT"/>
                <w:sz w:val="14"/>
              </w:rPr>
            </w:pPr>
            <w:r>
              <w:rPr>
                <w:rFonts w:ascii="Arial MT"/>
                <w:spacing w:val="-2"/>
                <w:sz w:val="14"/>
              </w:rPr>
              <w:t>-100,0%</w:t>
            </w:r>
          </w:p>
        </w:tc>
      </w:tr>
      <w:tr w:rsidR="002C6574" w14:paraId="3E357BF3" w14:textId="77777777">
        <w:trPr>
          <w:trHeight w:val="198"/>
        </w:trPr>
        <w:tc>
          <w:tcPr>
            <w:tcW w:w="3614" w:type="dxa"/>
          </w:tcPr>
          <w:p w14:paraId="0B41790D" w14:textId="77777777" w:rsidR="002C6574" w:rsidRDefault="00000000">
            <w:pPr>
              <w:pStyle w:val="TableParagraph"/>
              <w:spacing w:before="16"/>
              <w:ind w:left="84"/>
              <w:jc w:val="left"/>
              <w:rPr>
                <w:rFonts w:ascii="Arial MT"/>
                <w:sz w:val="14"/>
              </w:rPr>
            </w:pPr>
            <w:r>
              <w:rPr>
                <w:rFonts w:ascii="Arial MT"/>
                <w:sz w:val="14"/>
              </w:rPr>
              <w:t>Outras</w:t>
            </w:r>
            <w:r>
              <w:rPr>
                <w:rFonts w:ascii="Arial MT"/>
                <w:spacing w:val="-7"/>
                <w:sz w:val="14"/>
              </w:rPr>
              <w:t xml:space="preserve"> </w:t>
            </w:r>
            <w:r>
              <w:rPr>
                <w:rFonts w:ascii="Arial MT"/>
                <w:sz w:val="14"/>
              </w:rPr>
              <w:t>Despesas</w:t>
            </w:r>
            <w:r>
              <w:rPr>
                <w:rFonts w:ascii="Arial MT"/>
                <w:spacing w:val="-7"/>
                <w:sz w:val="14"/>
              </w:rPr>
              <w:t xml:space="preserve"> </w:t>
            </w:r>
            <w:r>
              <w:rPr>
                <w:rFonts w:ascii="Arial MT"/>
                <w:spacing w:val="-2"/>
                <w:sz w:val="14"/>
              </w:rPr>
              <w:t>Operacionais</w:t>
            </w:r>
          </w:p>
        </w:tc>
        <w:tc>
          <w:tcPr>
            <w:tcW w:w="952" w:type="dxa"/>
            <w:shd w:val="clear" w:color="auto" w:fill="66FFFF"/>
          </w:tcPr>
          <w:p w14:paraId="69CD908E" w14:textId="77777777" w:rsidR="002C6574" w:rsidRDefault="00000000">
            <w:pPr>
              <w:pStyle w:val="TableParagraph"/>
              <w:spacing w:before="16"/>
              <w:ind w:right="167"/>
              <w:rPr>
                <w:rFonts w:ascii="Arial MT"/>
                <w:sz w:val="14"/>
              </w:rPr>
            </w:pPr>
            <w:r>
              <w:rPr>
                <w:rFonts w:ascii="Arial MT"/>
                <w:spacing w:val="-2"/>
                <w:sz w:val="14"/>
              </w:rPr>
              <w:t>(615)</w:t>
            </w:r>
          </w:p>
        </w:tc>
        <w:tc>
          <w:tcPr>
            <w:tcW w:w="858" w:type="dxa"/>
          </w:tcPr>
          <w:p w14:paraId="0E2F9791" w14:textId="77777777" w:rsidR="002C6574" w:rsidRDefault="00000000">
            <w:pPr>
              <w:pStyle w:val="TableParagraph"/>
              <w:spacing w:before="16"/>
              <w:ind w:right="168"/>
              <w:rPr>
                <w:rFonts w:ascii="Arial MT"/>
                <w:sz w:val="14"/>
              </w:rPr>
            </w:pPr>
            <w:r>
              <w:rPr>
                <w:rFonts w:ascii="Arial MT"/>
                <w:spacing w:val="-2"/>
                <w:sz w:val="14"/>
              </w:rPr>
              <w:t>(883)</w:t>
            </w:r>
          </w:p>
        </w:tc>
        <w:tc>
          <w:tcPr>
            <w:tcW w:w="758" w:type="dxa"/>
          </w:tcPr>
          <w:p w14:paraId="52D65271" w14:textId="77777777" w:rsidR="002C6574" w:rsidRDefault="00000000">
            <w:pPr>
              <w:pStyle w:val="TableParagraph"/>
              <w:spacing w:before="16"/>
              <w:ind w:right="69"/>
              <w:rPr>
                <w:rFonts w:ascii="Arial MT"/>
                <w:sz w:val="14"/>
              </w:rPr>
            </w:pPr>
            <w:r>
              <w:rPr>
                <w:rFonts w:ascii="Arial MT"/>
                <w:spacing w:val="-5"/>
                <w:sz w:val="14"/>
              </w:rPr>
              <w:t>968</w:t>
            </w:r>
          </w:p>
        </w:tc>
        <w:tc>
          <w:tcPr>
            <w:tcW w:w="146" w:type="dxa"/>
          </w:tcPr>
          <w:p w14:paraId="03259ECF" w14:textId="77777777" w:rsidR="002C6574" w:rsidRDefault="002C6574">
            <w:pPr>
              <w:pStyle w:val="TableParagraph"/>
              <w:jc w:val="left"/>
              <w:rPr>
                <w:rFonts w:ascii="Times New Roman"/>
                <w:sz w:val="12"/>
              </w:rPr>
            </w:pPr>
          </w:p>
        </w:tc>
        <w:tc>
          <w:tcPr>
            <w:tcW w:w="724" w:type="dxa"/>
          </w:tcPr>
          <w:p w14:paraId="554A11F0" w14:textId="77777777" w:rsidR="002C6574" w:rsidRDefault="00000000">
            <w:pPr>
              <w:pStyle w:val="TableParagraph"/>
              <w:spacing w:before="16"/>
              <w:ind w:right="88"/>
              <w:rPr>
                <w:rFonts w:ascii="Arial MT"/>
                <w:sz w:val="14"/>
              </w:rPr>
            </w:pPr>
            <w:r>
              <w:rPr>
                <w:rFonts w:ascii="Arial MT"/>
                <w:spacing w:val="-2"/>
                <w:sz w:val="14"/>
              </w:rPr>
              <w:t>-30,4%</w:t>
            </w:r>
          </w:p>
        </w:tc>
        <w:tc>
          <w:tcPr>
            <w:tcW w:w="792" w:type="dxa"/>
          </w:tcPr>
          <w:p w14:paraId="159EFA83" w14:textId="77777777" w:rsidR="002C6574" w:rsidRDefault="00000000">
            <w:pPr>
              <w:pStyle w:val="TableParagraph"/>
              <w:spacing w:before="16"/>
              <w:ind w:right="72"/>
              <w:rPr>
                <w:rFonts w:ascii="Arial MT"/>
                <w:sz w:val="14"/>
              </w:rPr>
            </w:pPr>
            <w:r>
              <w:rPr>
                <w:rFonts w:ascii="Arial MT"/>
                <w:spacing w:val="-2"/>
                <w:sz w:val="14"/>
              </w:rPr>
              <w:t>263,9%</w:t>
            </w:r>
          </w:p>
        </w:tc>
        <w:tc>
          <w:tcPr>
            <w:tcW w:w="146" w:type="dxa"/>
          </w:tcPr>
          <w:p w14:paraId="0EFD214D" w14:textId="77777777" w:rsidR="002C6574" w:rsidRDefault="002C6574">
            <w:pPr>
              <w:pStyle w:val="TableParagraph"/>
              <w:jc w:val="left"/>
              <w:rPr>
                <w:rFonts w:ascii="Times New Roman"/>
                <w:sz w:val="12"/>
              </w:rPr>
            </w:pPr>
          </w:p>
        </w:tc>
        <w:tc>
          <w:tcPr>
            <w:tcW w:w="846" w:type="dxa"/>
            <w:shd w:val="clear" w:color="auto" w:fill="66FFFF"/>
          </w:tcPr>
          <w:p w14:paraId="1FF332CF" w14:textId="77777777" w:rsidR="002C6574" w:rsidRDefault="00000000">
            <w:pPr>
              <w:pStyle w:val="TableParagraph"/>
              <w:spacing w:before="16"/>
              <w:ind w:right="65"/>
              <w:rPr>
                <w:rFonts w:ascii="Arial MT"/>
                <w:sz w:val="14"/>
              </w:rPr>
            </w:pPr>
            <w:r>
              <w:rPr>
                <w:rFonts w:ascii="Arial MT"/>
                <w:spacing w:val="-2"/>
                <w:sz w:val="14"/>
              </w:rPr>
              <w:t>(2.875)</w:t>
            </w:r>
          </w:p>
        </w:tc>
        <w:tc>
          <w:tcPr>
            <w:tcW w:w="856" w:type="dxa"/>
          </w:tcPr>
          <w:p w14:paraId="4FF0ECA4" w14:textId="77777777" w:rsidR="002C6574" w:rsidRDefault="00000000">
            <w:pPr>
              <w:pStyle w:val="TableParagraph"/>
              <w:spacing w:before="16"/>
              <w:ind w:right="67"/>
              <w:rPr>
                <w:rFonts w:ascii="Arial MT"/>
                <w:sz w:val="14"/>
              </w:rPr>
            </w:pPr>
            <w:r>
              <w:rPr>
                <w:rFonts w:ascii="Arial MT"/>
                <w:spacing w:val="-2"/>
                <w:sz w:val="14"/>
              </w:rPr>
              <w:t>(729)</w:t>
            </w:r>
          </w:p>
        </w:tc>
        <w:tc>
          <w:tcPr>
            <w:tcW w:w="146" w:type="dxa"/>
          </w:tcPr>
          <w:p w14:paraId="68B32751" w14:textId="77777777" w:rsidR="002C6574" w:rsidRDefault="002C6574">
            <w:pPr>
              <w:pStyle w:val="TableParagraph"/>
              <w:jc w:val="left"/>
              <w:rPr>
                <w:rFonts w:ascii="Times New Roman"/>
                <w:sz w:val="12"/>
              </w:rPr>
            </w:pPr>
          </w:p>
        </w:tc>
        <w:tc>
          <w:tcPr>
            <w:tcW w:w="712" w:type="dxa"/>
          </w:tcPr>
          <w:p w14:paraId="3BF8432A" w14:textId="77777777" w:rsidR="002C6574" w:rsidRDefault="00000000">
            <w:pPr>
              <w:pStyle w:val="TableParagraph"/>
              <w:spacing w:before="16"/>
              <w:ind w:left="86" w:right="82"/>
              <w:jc w:val="center"/>
              <w:rPr>
                <w:rFonts w:ascii="Arial MT"/>
                <w:sz w:val="14"/>
              </w:rPr>
            </w:pPr>
            <w:r>
              <w:rPr>
                <w:rFonts w:ascii="Arial MT"/>
                <w:spacing w:val="-2"/>
                <w:sz w:val="14"/>
              </w:rPr>
              <w:t>294,4%</w:t>
            </w:r>
          </w:p>
        </w:tc>
      </w:tr>
      <w:tr w:rsidR="002C6574" w14:paraId="1140F555" w14:textId="77777777">
        <w:trPr>
          <w:trHeight w:val="212"/>
        </w:trPr>
        <w:tc>
          <w:tcPr>
            <w:tcW w:w="3614" w:type="dxa"/>
            <w:shd w:val="clear" w:color="auto" w:fill="0000FF"/>
          </w:tcPr>
          <w:p w14:paraId="24E0DD04" w14:textId="77777777" w:rsidR="002C6574" w:rsidRDefault="00000000">
            <w:pPr>
              <w:pStyle w:val="TableParagraph"/>
              <w:spacing w:before="24"/>
              <w:ind w:left="84"/>
              <w:jc w:val="left"/>
              <w:rPr>
                <w:rFonts w:ascii="Arial"/>
                <w:b/>
                <w:sz w:val="14"/>
              </w:rPr>
            </w:pPr>
            <w:r>
              <w:rPr>
                <w:rFonts w:ascii="Arial"/>
                <w:b/>
                <w:color w:val="FFFFFF"/>
                <w:spacing w:val="-2"/>
                <w:sz w:val="14"/>
              </w:rPr>
              <w:t>Total</w:t>
            </w:r>
          </w:p>
        </w:tc>
        <w:tc>
          <w:tcPr>
            <w:tcW w:w="952" w:type="dxa"/>
            <w:shd w:val="clear" w:color="auto" w:fill="0000FF"/>
          </w:tcPr>
          <w:p w14:paraId="618B9DB8" w14:textId="77777777" w:rsidR="002C6574" w:rsidRDefault="00000000">
            <w:pPr>
              <w:pStyle w:val="TableParagraph"/>
              <w:spacing w:before="24"/>
              <w:ind w:left="261"/>
              <w:jc w:val="left"/>
              <w:rPr>
                <w:rFonts w:ascii="Arial"/>
                <w:b/>
                <w:sz w:val="14"/>
              </w:rPr>
            </w:pPr>
            <w:r>
              <w:rPr>
                <w:rFonts w:ascii="Arial"/>
                <w:b/>
                <w:color w:val="FFFFFF"/>
                <w:spacing w:val="-2"/>
                <w:sz w:val="14"/>
              </w:rPr>
              <w:t>(10.084)</w:t>
            </w:r>
          </w:p>
        </w:tc>
        <w:tc>
          <w:tcPr>
            <w:tcW w:w="858" w:type="dxa"/>
            <w:shd w:val="clear" w:color="auto" w:fill="0000FF"/>
          </w:tcPr>
          <w:p w14:paraId="442E8FAF" w14:textId="77777777" w:rsidR="002C6574" w:rsidRDefault="00000000">
            <w:pPr>
              <w:pStyle w:val="TableParagraph"/>
              <w:spacing w:before="24"/>
              <w:ind w:right="168"/>
              <w:rPr>
                <w:rFonts w:ascii="Arial"/>
                <w:b/>
                <w:sz w:val="14"/>
              </w:rPr>
            </w:pPr>
            <w:r>
              <w:rPr>
                <w:rFonts w:ascii="Arial"/>
                <w:b/>
                <w:color w:val="FFFFFF"/>
                <w:spacing w:val="-2"/>
                <w:sz w:val="14"/>
              </w:rPr>
              <w:t>(1.917)</w:t>
            </w:r>
          </w:p>
        </w:tc>
        <w:tc>
          <w:tcPr>
            <w:tcW w:w="758" w:type="dxa"/>
            <w:shd w:val="clear" w:color="auto" w:fill="0000FF"/>
          </w:tcPr>
          <w:p w14:paraId="494AFF5F" w14:textId="77777777" w:rsidR="002C6574" w:rsidRDefault="00000000">
            <w:pPr>
              <w:pStyle w:val="TableParagraph"/>
              <w:spacing w:before="24"/>
              <w:ind w:right="71"/>
              <w:rPr>
                <w:rFonts w:ascii="Arial"/>
                <w:b/>
                <w:sz w:val="14"/>
              </w:rPr>
            </w:pPr>
            <w:r>
              <w:rPr>
                <w:rFonts w:ascii="Arial"/>
                <w:b/>
                <w:color w:val="FFFFFF"/>
                <w:spacing w:val="-2"/>
                <w:sz w:val="14"/>
              </w:rPr>
              <w:t>(5.001)</w:t>
            </w:r>
          </w:p>
        </w:tc>
        <w:tc>
          <w:tcPr>
            <w:tcW w:w="146" w:type="dxa"/>
          </w:tcPr>
          <w:p w14:paraId="5D33AE56" w14:textId="77777777" w:rsidR="002C6574" w:rsidRDefault="002C6574">
            <w:pPr>
              <w:pStyle w:val="TableParagraph"/>
              <w:jc w:val="left"/>
              <w:rPr>
                <w:rFonts w:ascii="Times New Roman"/>
                <w:sz w:val="14"/>
              </w:rPr>
            </w:pPr>
          </w:p>
        </w:tc>
        <w:tc>
          <w:tcPr>
            <w:tcW w:w="724" w:type="dxa"/>
            <w:shd w:val="clear" w:color="auto" w:fill="0000FF"/>
          </w:tcPr>
          <w:p w14:paraId="22B3F661" w14:textId="77777777" w:rsidR="002C6574" w:rsidRDefault="00000000">
            <w:pPr>
              <w:pStyle w:val="TableParagraph"/>
              <w:spacing w:before="24"/>
              <w:ind w:right="86"/>
              <w:rPr>
                <w:rFonts w:ascii="Arial"/>
                <w:b/>
                <w:sz w:val="14"/>
              </w:rPr>
            </w:pPr>
            <w:r>
              <w:rPr>
                <w:rFonts w:ascii="Arial"/>
                <w:b/>
                <w:color w:val="FFFFFF"/>
                <w:spacing w:val="-2"/>
                <w:sz w:val="14"/>
              </w:rPr>
              <w:t>426,0%</w:t>
            </w:r>
          </w:p>
        </w:tc>
        <w:tc>
          <w:tcPr>
            <w:tcW w:w="792" w:type="dxa"/>
            <w:shd w:val="clear" w:color="auto" w:fill="0000FF"/>
          </w:tcPr>
          <w:p w14:paraId="6CFFB89C" w14:textId="77777777" w:rsidR="002C6574" w:rsidRDefault="00000000">
            <w:pPr>
              <w:pStyle w:val="TableParagraph"/>
              <w:spacing w:before="24"/>
              <w:ind w:right="69"/>
              <w:rPr>
                <w:rFonts w:ascii="Arial"/>
                <w:b/>
                <w:sz w:val="14"/>
              </w:rPr>
            </w:pPr>
            <w:r>
              <w:rPr>
                <w:rFonts w:ascii="Arial"/>
                <w:b/>
                <w:color w:val="FFFFFF"/>
                <w:spacing w:val="-2"/>
                <w:sz w:val="14"/>
              </w:rPr>
              <w:t>101,6%</w:t>
            </w:r>
          </w:p>
        </w:tc>
        <w:tc>
          <w:tcPr>
            <w:tcW w:w="146" w:type="dxa"/>
          </w:tcPr>
          <w:p w14:paraId="295A1C8E" w14:textId="77777777" w:rsidR="002C6574" w:rsidRDefault="002C6574">
            <w:pPr>
              <w:pStyle w:val="TableParagraph"/>
              <w:jc w:val="left"/>
              <w:rPr>
                <w:rFonts w:ascii="Times New Roman"/>
                <w:sz w:val="14"/>
              </w:rPr>
            </w:pPr>
          </w:p>
        </w:tc>
        <w:tc>
          <w:tcPr>
            <w:tcW w:w="846" w:type="dxa"/>
            <w:shd w:val="clear" w:color="auto" w:fill="0000FF"/>
          </w:tcPr>
          <w:p w14:paraId="01062C03" w14:textId="77777777" w:rsidR="002C6574" w:rsidRDefault="00000000">
            <w:pPr>
              <w:pStyle w:val="TableParagraph"/>
              <w:spacing w:before="24"/>
              <w:ind w:right="65"/>
              <w:rPr>
                <w:rFonts w:ascii="Arial"/>
                <w:b/>
                <w:sz w:val="14"/>
              </w:rPr>
            </w:pPr>
            <w:r>
              <w:rPr>
                <w:rFonts w:ascii="Arial"/>
                <w:b/>
                <w:color w:val="FFFFFF"/>
                <w:spacing w:val="-2"/>
                <w:sz w:val="14"/>
              </w:rPr>
              <w:t>(23.886)</w:t>
            </w:r>
          </w:p>
        </w:tc>
        <w:tc>
          <w:tcPr>
            <w:tcW w:w="856" w:type="dxa"/>
            <w:shd w:val="clear" w:color="auto" w:fill="0000FF"/>
          </w:tcPr>
          <w:p w14:paraId="64D319F2" w14:textId="77777777" w:rsidR="002C6574" w:rsidRDefault="00000000">
            <w:pPr>
              <w:pStyle w:val="TableParagraph"/>
              <w:spacing w:before="24"/>
              <w:ind w:right="67"/>
              <w:rPr>
                <w:rFonts w:ascii="Arial"/>
                <w:b/>
                <w:sz w:val="14"/>
              </w:rPr>
            </w:pPr>
            <w:r>
              <w:rPr>
                <w:rFonts w:ascii="Arial"/>
                <w:b/>
                <w:color w:val="FFFFFF"/>
                <w:spacing w:val="-2"/>
                <w:sz w:val="14"/>
              </w:rPr>
              <w:t>(14.792)</w:t>
            </w:r>
          </w:p>
        </w:tc>
        <w:tc>
          <w:tcPr>
            <w:tcW w:w="146" w:type="dxa"/>
          </w:tcPr>
          <w:p w14:paraId="11975539" w14:textId="77777777" w:rsidR="002C6574" w:rsidRDefault="002C6574">
            <w:pPr>
              <w:pStyle w:val="TableParagraph"/>
              <w:jc w:val="left"/>
              <w:rPr>
                <w:rFonts w:ascii="Times New Roman"/>
                <w:sz w:val="14"/>
              </w:rPr>
            </w:pPr>
          </w:p>
        </w:tc>
        <w:tc>
          <w:tcPr>
            <w:tcW w:w="712" w:type="dxa"/>
            <w:shd w:val="clear" w:color="auto" w:fill="0000FF"/>
          </w:tcPr>
          <w:p w14:paraId="75AD37C2" w14:textId="77777777" w:rsidR="002C6574" w:rsidRDefault="00000000">
            <w:pPr>
              <w:pStyle w:val="TableParagraph"/>
              <w:spacing w:before="24"/>
              <w:ind w:left="86"/>
              <w:jc w:val="center"/>
              <w:rPr>
                <w:rFonts w:ascii="Arial"/>
                <w:b/>
                <w:sz w:val="14"/>
              </w:rPr>
            </w:pPr>
            <w:r>
              <w:rPr>
                <w:rFonts w:ascii="Arial"/>
                <w:b/>
                <w:color w:val="FFFFFF"/>
                <w:spacing w:val="-2"/>
                <w:sz w:val="14"/>
              </w:rPr>
              <w:t>61,5%</w:t>
            </w:r>
          </w:p>
        </w:tc>
      </w:tr>
      <w:tr w:rsidR="002C6574" w14:paraId="34FE591A" w14:textId="77777777">
        <w:trPr>
          <w:trHeight w:val="207"/>
        </w:trPr>
        <w:tc>
          <w:tcPr>
            <w:tcW w:w="3614" w:type="dxa"/>
            <w:shd w:val="clear" w:color="auto" w:fill="0000FF"/>
          </w:tcPr>
          <w:p w14:paraId="04106811" w14:textId="77777777" w:rsidR="002C6574" w:rsidRDefault="00000000">
            <w:pPr>
              <w:pStyle w:val="TableParagraph"/>
              <w:spacing w:before="21"/>
              <w:ind w:left="84"/>
              <w:jc w:val="left"/>
              <w:rPr>
                <w:rFonts w:ascii="Arial" w:hAnsi="Arial"/>
                <w:b/>
                <w:sz w:val="14"/>
              </w:rPr>
            </w:pPr>
            <w:r>
              <w:rPr>
                <w:rFonts w:ascii="Arial" w:hAnsi="Arial"/>
                <w:b/>
                <w:color w:val="FFFFFF"/>
                <w:spacing w:val="-2"/>
                <w:sz w:val="14"/>
              </w:rPr>
              <w:t>Outras</w:t>
            </w:r>
            <w:r>
              <w:rPr>
                <w:rFonts w:ascii="Arial" w:hAnsi="Arial"/>
                <w:b/>
                <w:color w:val="FFFFFF"/>
                <w:spacing w:val="12"/>
                <w:sz w:val="14"/>
              </w:rPr>
              <w:t xml:space="preserve"> </w:t>
            </w:r>
            <w:r>
              <w:rPr>
                <w:rFonts w:ascii="Arial" w:hAnsi="Arial"/>
                <w:b/>
                <w:color w:val="FFFFFF"/>
                <w:spacing w:val="-2"/>
                <w:sz w:val="14"/>
              </w:rPr>
              <w:t>Receitas/Despesas</w:t>
            </w:r>
            <w:r>
              <w:rPr>
                <w:rFonts w:ascii="Arial" w:hAnsi="Arial"/>
                <w:b/>
                <w:color w:val="FFFFFF"/>
                <w:spacing w:val="13"/>
                <w:sz w:val="14"/>
              </w:rPr>
              <w:t xml:space="preserve"> </w:t>
            </w:r>
            <w:r>
              <w:rPr>
                <w:rFonts w:ascii="Arial" w:hAnsi="Arial"/>
                <w:b/>
                <w:color w:val="FFFFFF"/>
                <w:spacing w:val="-2"/>
                <w:sz w:val="14"/>
              </w:rPr>
              <w:t>Operacionais,</w:t>
            </w:r>
            <w:r>
              <w:rPr>
                <w:rFonts w:ascii="Arial" w:hAnsi="Arial"/>
                <w:b/>
                <w:color w:val="FFFFFF"/>
                <w:spacing w:val="16"/>
                <w:sz w:val="14"/>
              </w:rPr>
              <w:t xml:space="preserve"> </w:t>
            </w:r>
            <w:r>
              <w:rPr>
                <w:rFonts w:ascii="Arial" w:hAnsi="Arial"/>
                <w:b/>
                <w:color w:val="FFFFFF"/>
                <w:spacing w:val="-2"/>
                <w:sz w:val="14"/>
              </w:rPr>
              <w:t>Líquida</w:t>
            </w:r>
          </w:p>
        </w:tc>
        <w:tc>
          <w:tcPr>
            <w:tcW w:w="952" w:type="dxa"/>
            <w:shd w:val="clear" w:color="auto" w:fill="0000FF"/>
          </w:tcPr>
          <w:p w14:paraId="047511C5" w14:textId="77777777" w:rsidR="002C6574" w:rsidRDefault="00000000">
            <w:pPr>
              <w:pStyle w:val="TableParagraph"/>
              <w:spacing w:before="21"/>
              <w:ind w:left="278"/>
              <w:jc w:val="left"/>
              <w:rPr>
                <w:rFonts w:ascii="Arial"/>
                <w:b/>
                <w:sz w:val="14"/>
              </w:rPr>
            </w:pPr>
            <w:r>
              <w:rPr>
                <w:rFonts w:ascii="Arial"/>
                <w:b/>
                <w:color w:val="FFFFFF"/>
                <w:spacing w:val="-2"/>
                <w:sz w:val="14"/>
              </w:rPr>
              <w:t>336.378</w:t>
            </w:r>
          </w:p>
        </w:tc>
        <w:tc>
          <w:tcPr>
            <w:tcW w:w="858" w:type="dxa"/>
            <w:shd w:val="clear" w:color="auto" w:fill="0000FF"/>
          </w:tcPr>
          <w:p w14:paraId="1A3771E2" w14:textId="77777777" w:rsidR="002C6574" w:rsidRDefault="00000000">
            <w:pPr>
              <w:pStyle w:val="TableParagraph"/>
              <w:spacing w:before="21"/>
              <w:ind w:left="183"/>
              <w:jc w:val="left"/>
              <w:rPr>
                <w:rFonts w:ascii="Arial"/>
                <w:b/>
                <w:sz w:val="14"/>
              </w:rPr>
            </w:pPr>
            <w:r>
              <w:rPr>
                <w:rFonts w:ascii="Arial"/>
                <w:b/>
                <w:color w:val="FFFFFF"/>
                <w:spacing w:val="-2"/>
                <w:sz w:val="14"/>
              </w:rPr>
              <w:t>226.690</w:t>
            </w:r>
          </w:p>
        </w:tc>
        <w:tc>
          <w:tcPr>
            <w:tcW w:w="758" w:type="dxa"/>
            <w:shd w:val="clear" w:color="auto" w:fill="0000FF"/>
          </w:tcPr>
          <w:p w14:paraId="5C18B13C" w14:textId="77777777" w:rsidR="002C6574" w:rsidRDefault="00000000">
            <w:pPr>
              <w:pStyle w:val="TableParagraph"/>
              <w:spacing w:before="21"/>
              <w:ind w:right="69"/>
              <w:rPr>
                <w:rFonts w:ascii="Arial"/>
                <w:b/>
                <w:sz w:val="14"/>
              </w:rPr>
            </w:pPr>
            <w:r>
              <w:rPr>
                <w:rFonts w:ascii="Arial"/>
                <w:b/>
                <w:color w:val="FFFFFF"/>
                <w:spacing w:val="-2"/>
                <w:sz w:val="14"/>
              </w:rPr>
              <w:t>73.503</w:t>
            </w:r>
          </w:p>
        </w:tc>
        <w:tc>
          <w:tcPr>
            <w:tcW w:w="146" w:type="dxa"/>
          </w:tcPr>
          <w:p w14:paraId="3A54253C" w14:textId="77777777" w:rsidR="002C6574" w:rsidRDefault="002C6574">
            <w:pPr>
              <w:pStyle w:val="TableParagraph"/>
              <w:jc w:val="left"/>
              <w:rPr>
                <w:rFonts w:ascii="Times New Roman"/>
                <w:sz w:val="14"/>
              </w:rPr>
            </w:pPr>
          </w:p>
        </w:tc>
        <w:tc>
          <w:tcPr>
            <w:tcW w:w="724" w:type="dxa"/>
            <w:shd w:val="clear" w:color="auto" w:fill="0000FF"/>
          </w:tcPr>
          <w:p w14:paraId="492551DA" w14:textId="77777777" w:rsidR="002C6574" w:rsidRDefault="00000000">
            <w:pPr>
              <w:pStyle w:val="TableParagraph"/>
              <w:spacing w:before="21"/>
              <w:ind w:right="86"/>
              <w:rPr>
                <w:rFonts w:ascii="Arial"/>
                <w:b/>
                <w:sz w:val="14"/>
              </w:rPr>
            </w:pPr>
            <w:r>
              <w:rPr>
                <w:rFonts w:ascii="Arial"/>
                <w:b/>
                <w:color w:val="FFFFFF"/>
                <w:spacing w:val="-2"/>
                <w:sz w:val="14"/>
              </w:rPr>
              <w:t>48,4%</w:t>
            </w:r>
          </w:p>
        </w:tc>
        <w:tc>
          <w:tcPr>
            <w:tcW w:w="792" w:type="dxa"/>
            <w:shd w:val="clear" w:color="auto" w:fill="0000FF"/>
          </w:tcPr>
          <w:p w14:paraId="37C1F6FB" w14:textId="77777777" w:rsidR="002C6574" w:rsidRDefault="00000000">
            <w:pPr>
              <w:pStyle w:val="TableParagraph"/>
              <w:spacing w:before="21"/>
              <w:ind w:right="69"/>
              <w:rPr>
                <w:rFonts w:ascii="Arial"/>
                <w:b/>
                <w:sz w:val="14"/>
              </w:rPr>
            </w:pPr>
            <w:r>
              <w:rPr>
                <w:rFonts w:ascii="Arial"/>
                <w:b/>
                <w:color w:val="FFFFFF"/>
                <w:spacing w:val="-2"/>
                <w:sz w:val="14"/>
              </w:rPr>
              <w:t>357,6%</w:t>
            </w:r>
          </w:p>
        </w:tc>
        <w:tc>
          <w:tcPr>
            <w:tcW w:w="146" w:type="dxa"/>
          </w:tcPr>
          <w:p w14:paraId="272CCC68" w14:textId="77777777" w:rsidR="002C6574" w:rsidRDefault="002C6574">
            <w:pPr>
              <w:pStyle w:val="TableParagraph"/>
              <w:jc w:val="left"/>
              <w:rPr>
                <w:rFonts w:ascii="Times New Roman"/>
                <w:sz w:val="14"/>
              </w:rPr>
            </w:pPr>
          </w:p>
        </w:tc>
        <w:tc>
          <w:tcPr>
            <w:tcW w:w="846" w:type="dxa"/>
            <w:shd w:val="clear" w:color="auto" w:fill="0000FF"/>
          </w:tcPr>
          <w:p w14:paraId="7CAA87B8" w14:textId="77777777" w:rsidR="002C6574" w:rsidRDefault="00000000">
            <w:pPr>
              <w:pStyle w:val="TableParagraph"/>
              <w:spacing w:before="21"/>
              <w:ind w:right="63"/>
              <w:rPr>
                <w:rFonts w:ascii="Arial"/>
                <w:b/>
                <w:sz w:val="14"/>
              </w:rPr>
            </w:pPr>
            <w:r>
              <w:rPr>
                <w:rFonts w:ascii="Arial"/>
                <w:b/>
                <w:color w:val="FFFFFF"/>
                <w:spacing w:val="-2"/>
                <w:sz w:val="14"/>
              </w:rPr>
              <w:t>539.165</w:t>
            </w:r>
          </w:p>
        </w:tc>
        <w:tc>
          <w:tcPr>
            <w:tcW w:w="856" w:type="dxa"/>
            <w:shd w:val="clear" w:color="auto" w:fill="0000FF"/>
          </w:tcPr>
          <w:p w14:paraId="3525AB29" w14:textId="77777777" w:rsidR="002C6574" w:rsidRDefault="00000000">
            <w:pPr>
              <w:pStyle w:val="TableParagraph"/>
              <w:spacing w:before="21"/>
              <w:ind w:right="65"/>
              <w:rPr>
                <w:rFonts w:ascii="Arial"/>
                <w:b/>
                <w:sz w:val="14"/>
              </w:rPr>
            </w:pPr>
            <w:r>
              <w:rPr>
                <w:rFonts w:ascii="Arial"/>
                <w:b/>
                <w:color w:val="FFFFFF"/>
                <w:spacing w:val="-2"/>
                <w:sz w:val="14"/>
              </w:rPr>
              <w:t>358.906</w:t>
            </w:r>
          </w:p>
        </w:tc>
        <w:tc>
          <w:tcPr>
            <w:tcW w:w="146" w:type="dxa"/>
          </w:tcPr>
          <w:p w14:paraId="01240D8E" w14:textId="77777777" w:rsidR="002C6574" w:rsidRDefault="002C6574">
            <w:pPr>
              <w:pStyle w:val="TableParagraph"/>
              <w:jc w:val="left"/>
              <w:rPr>
                <w:rFonts w:ascii="Times New Roman"/>
                <w:sz w:val="14"/>
              </w:rPr>
            </w:pPr>
          </w:p>
        </w:tc>
        <w:tc>
          <w:tcPr>
            <w:tcW w:w="712" w:type="dxa"/>
            <w:shd w:val="clear" w:color="auto" w:fill="0000FF"/>
          </w:tcPr>
          <w:p w14:paraId="5F28A2E7" w14:textId="77777777" w:rsidR="002C6574" w:rsidRDefault="00000000">
            <w:pPr>
              <w:pStyle w:val="TableParagraph"/>
              <w:spacing w:before="21"/>
              <w:ind w:left="86"/>
              <w:jc w:val="center"/>
              <w:rPr>
                <w:rFonts w:ascii="Arial"/>
                <w:b/>
                <w:sz w:val="14"/>
              </w:rPr>
            </w:pPr>
            <w:r>
              <w:rPr>
                <w:rFonts w:ascii="Arial"/>
                <w:b/>
                <w:color w:val="FFFFFF"/>
                <w:spacing w:val="-2"/>
                <w:sz w:val="14"/>
              </w:rPr>
              <w:t>50,2%</w:t>
            </w:r>
          </w:p>
        </w:tc>
      </w:tr>
    </w:tbl>
    <w:p w14:paraId="1CAD0FF1" w14:textId="77777777" w:rsidR="002C6574" w:rsidRDefault="002C6574">
      <w:pPr>
        <w:pStyle w:val="Corpodetexto"/>
        <w:spacing w:before="37"/>
        <w:rPr>
          <w:rFonts w:ascii="Arial"/>
          <w:b/>
        </w:rPr>
      </w:pPr>
    </w:p>
    <w:p w14:paraId="36494DB1" w14:textId="77777777" w:rsidR="002C6574" w:rsidRDefault="00000000">
      <w:pPr>
        <w:pStyle w:val="Corpodetexto"/>
        <w:spacing w:line="276" w:lineRule="auto"/>
        <w:ind w:left="427" w:right="137"/>
        <w:jc w:val="both"/>
        <w:rPr>
          <w:rFonts w:ascii="Arial MT" w:hAnsi="Arial MT"/>
        </w:rPr>
      </w:pPr>
      <w:r>
        <w:rPr>
          <w:rFonts w:ascii="Arial MT" w:hAnsi="Arial MT"/>
        </w:rPr>
        <w:t>No</w:t>
      </w:r>
      <w:r>
        <w:rPr>
          <w:rFonts w:ascii="Arial MT" w:hAnsi="Arial MT"/>
          <w:spacing w:val="-16"/>
        </w:rPr>
        <w:t xml:space="preserve"> </w:t>
      </w:r>
      <w:r>
        <w:rPr>
          <w:rFonts w:ascii="Arial MT" w:hAnsi="Arial MT"/>
        </w:rPr>
        <w:t>4T25,</w:t>
      </w:r>
      <w:r>
        <w:rPr>
          <w:rFonts w:ascii="Arial MT" w:hAnsi="Arial MT"/>
          <w:spacing w:val="-15"/>
        </w:rPr>
        <w:t xml:space="preserve"> </w:t>
      </w:r>
      <w:r>
        <w:rPr>
          <w:rFonts w:ascii="Arial MT" w:hAnsi="Arial MT"/>
        </w:rPr>
        <w:t>o</w:t>
      </w:r>
      <w:r>
        <w:rPr>
          <w:rFonts w:ascii="Arial MT" w:hAnsi="Arial MT"/>
          <w:spacing w:val="-15"/>
        </w:rPr>
        <w:t xml:space="preserve"> </w:t>
      </w:r>
      <w:r>
        <w:rPr>
          <w:rFonts w:ascii="Arial MT" w:hAnsi="Arial MT"/>
        </w:rPr>
        <w:t>resultado</w:t>
      </w:r>
      <w:r>
        <w:rPr>
          <w:rFonts w:ascii="Arial MT" w:hAnsi="Arial MT"/>
          <w:spacing w:val="-16"/>
        </w:rPr>
        <w:t xml:space="preserve"> </w:t>
      </w:r>
      <w:r>
        <w:rPr>
          <w:rFonts w:ascii="Arial MT" w:hAnsi="Arial MT"/>
        </w:rPr>
        <w:t>da</w:t>
      </w:r>
      <w:r>
        <w:rPr>
          <w:rFonts w:ascii="Arial MT" w:hAnsi="Arial MT"/>
          <w:spacing w:val="-15"/>
        </w:rPr>
        <w:t xml:space="preserve"> </w:t>
      </w:r>
      <w:r>
        <w:rPr>
          <w:rFonts w:ascii="Arial MT" w:hAnsi="Arial MT"/>
        </w:rPr>
        <w:t>linha</w:t>
      </w:r>
      <w:r>
        <w:rPr>
          <w:rFonts w:ascii="Arial MT" w:hAnsi="Arial MT"/>
          <w:spacing w:val="-15"/>
        </w:rPr>
        <w:t xml:space="preserve"> </w:t>
      </w:r>
      <w:r>
        <w:rPr>
          <w:rFonts w:ascii="Arial MT" w:hAnsi="Arial MT"/>
        </w:rPr>
        <w:t>de</w:t>
      </w:r>
      <w:r>
        <w:rPr>
          <w:rFonts w:ascii="Arial MT" w:hAnsi="Arial MT"/>
          <w:spacing w:val="-15"/>
        </w:rPr>
        <w:t xml:space="preserve"> </w:t>
      </w:r>
      <w:r>
        <w:rPr>
          <w:rFonts w:ascii="Arial MT" w:hAnsi="Arial MT"/>
        </w:rPr>
        <w:t>Outras</w:t>
      </w:r>
      <w:r>
        <w:rPr>
          <w:rFonts w:ascii="Arial MT" w:hAnsi="Arial MT"/>
          <w:spacing w:val="-16"/>
        </w:rPr>
        <w:t xml:space="preserve"> </w:t>
      </w:r>
      <w:r>
        <w:rPr>
          <w:rFonts w:ascii="Arial MT" w:hAnsi="Arial MT"/>
        </w:rPr>
        <w:t>Receitas</w:t>
      </w:r>
      <w:r>
        <w:rPr>
          <w:rFonts w:ascii="Arial MT" w:hAnsi="Arial MT"/>
          <w:spacing w:val="-15"/>
        </w:rPr>
        <w:t xml:space="preserve"> </w:t>
      </w:r>
      <w:r>
        <w:rPr>
          <w:rFonts w:ascii="Arial MT" w:hAnsi="Arial MT"/>
        </w:rPr>
        <w:t>Operacionais</w:t>
      </w:r>
      <w:r>
        <w:rPr>
          <w:rFonts w:ascii="Arial MT" w:hAnsi="Arial MT"/>
          <w:spacing w:val="-15"/>
        </w:rPr>
        <w:t xml:space="preserve"> </w:t>
      </w:r>
      <w:r>
        <w:rPr>
          <w:rFonts w:ascii="Arial MT" w:hAnsi="Arial MT"/>
        </w:rPr>
        <w:t>deduzidas</w:t>
      </w:r>
      <w:r>
        <w:rPr>
          <w:rFonts w:ascii="Arial MT" w:hAnsi="Arial MT"/>
          <w:spacing w:val="-16"/>
        </w:rPr>
        <w:t xml:space="preserve"> </w:t>
      </w:r>
      <w:r>
        <w:rPr>
          <w:rFonts w:ascii="Arial MT" w:hAnsi="Arial MT"/>
        </w:rPr>
        <w:t>de</w:t>
      </w:r>
      <w:r>
        <w:rPr>
          <w:rFonts w:ascii="Arial MT" w:hAnsi="Arial MT"/>
          <w:spacing w:val="-15"/>
        </w:rPr>
        <w:t xml:space="preserve"> </w:t>
      </w:r>
      <w:r>
        <w:rPr>
          <w:rFonts w:ascii="Arial MT" w:hAnsi="Arial MT"/>
        </w:rPr>
        <w:t>Outras</w:t>
      </w:r>
      <w:r>
        <w:rPr>
          <w:rFonts w:ascii="Arial MT" w:hAnsi="Arial MT"/>
          <w:spacing w:val="-15"/>
        </w:rPr>
        <w:t xml:space="preserve"> </w:t>
      </w:r>
      <w:r>
        <w:rPr>
          <w:rFonts w:ascii="Arial MT" w:hAnsi="Arial MT"/>
        </w:rPr>
        <w:t>Despesas</w:t>
      </w:r>
      <w:r>
        <w:rPr>
          <w:rFonts w:ascii="Arial MT" w:hAnsi="Arial MT"/>
          <w:spacing w:val="-15"/>
        </w:rPr>
        <w:t xml:space="preserve"> </w:t>
      </w:r>
      <w:r>
        <w:rPr>
          <w:rFonts w:ascii="Arial MT" w:hAnsi="Arial MT"/>
        </w:rPr>
        <w:t>Operacionais foi positivo em R$ 336,4 milhões, frente aos R$ 226,7 milhões registrados no 4T24, o que representa um crescimento de 48,4%. Em comparação ao 3T25, observou-se um aumento expressivo de 357,6%. Esse desempenho reflete, principalmente, o maior volume de recursos oriundos de subvenções orçamentárias, bem como o reconhecimento de ativo contingente no período.</w:t>
      </w:r>
    </w:p>
    <w:p w14:paraId="35366188" w14:textId="77777777" w:rsidR="002C6574" w:rsidRDefault="002C6574">
      <w:pPr>
        <w:pStyle w:val="Corpodetexto"/>
        <w:spacing w:line="276" w:lineRule="auto"/>
        <w:jc w:val="both"/>
        <w:rPr>
          <w:rFonts w:ascii="Arial MT" w:hAnsi="Arial MT"/>
        </w:rPr>
        <w:sectPr w:rsidR="002C6574">
          <w:pgSz w:w="11910" w:h="16840"/>
          <w:pgMar w:top="2200" w:right="425" w:bottom="1220" w:left="425" w:header="1197" w:footer="994" w:gutter="0"/>
          <w:cols w:space="720"/>
        </w:sectPr>
      </w:pPr>
    </w:p>
    <w:p w14:paraId="02487D45" w14:textId="77777777" w:rsidR="002C6574" w:rsidRDefault="002C6574">
      <w:pPr>
        <w:pStyle w:val="Corpodetexto"/>
        <w:rPr>
          <w:rFonts w:ascii="Arial MT"/>
        </w:rPr>
      </w:pPr>
    </w:p>
    <w:p w14:paraId="31FA71E5" w14:textId="77777777" w:rsidR="002C6574" w:rsidRDefault="002C6574">
      <w:pPr>
        <w:pStyle w:val="Corpodetexto"/>
        <w:spacing w:before="40"/>
        <w:rPr>
          <w:rFonts w:ascii="Arial MT"/>
        </w:rPr>
      </w:pPr>
    </w:p>
    <w:p w14:paraId="6FF03003" w14:textId="77777777" w:rsidR="002C6574" w:rsidRDefault="00000000">
      <w:pPr>
        <w:pStyle w:val="Corpodetexto"/>
        <w:spacing w:line="276" w:lineRule="auto"/>
        <w:ind w:left="427" w:right="140"/>
        <w:jc w:val="both"/>
        <w:rPr>
          <w:rFonts w:ascii="Arial MT" w:hAnsi="Arial MT"/>
        </w:rPr>
      </w:pPr>
      <w:r>
        <w:rPr>
          <w:rFonts w:ascii="Arial MT" w:hAnsi="Arial MT"/>
          <w:noProof/>
        </w:rPr>
        <mc:AlternateContent>
          <mc:Choice Requires="wpg">
            <w:drawing>
              <wp:anchor distT="0" distB="0" distL="0" distR="0" simplePos="0" relativeHeight="15770624" behindDoc="0" locked="0" layoutInCell="1" allowOverlap="1" wp14:anchorId="2A5738D6" wp14:editId="6F2C3D23">
                <wp:simplePos x="0" y="0"/>
                <wp:positionH relativeFrom="page">
                  <wp:posOffset>443483</wp:posOffset>
                </wp:positionH>
                <wp:positionV relativeFrom="paragraph">
                  <wp:posOffset>-350740</wp:posOffset>
                </wp:positionV>
                <wp:extent cx="6922134" cy="10541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134" cy="105410"/>
                          <a:chOff x="0" y="0"/>
                          <a:chExt cx="6922134" cy="105410"/>
                        </a:xfrm>
                      </wpg:grpSpPr>
                      <pic:pic xmlns:pic="http://schemas.openxmlformats.org/drawingml/2006/picture">
                        <pic:nvPicPr>
                          <pic:cNvPr id="382" name="Image 382"/>
                          <pic:cNvPicPr/>
                        </pic:nvPicPr>
                        <pic:blipFill>
                          <a:blip r:embed="rId213" cstate="print"/>
                          <a:stretch>
                            <a:fillRect/>
                          </a:stretch>
                        </pic:blipFill>
                        <pic:spPr>
                          <a:xfrm>
                            <a:off x="0" y="0"/>
                            <a:ext cx="6922008" cy="105155"/>
                          </a:xfrm>
                          <a:prstGeom prst="rect">
                            <a:avLst/>
                          </a:prstGeom>
                        </pic:spPr>
                      </pic:pic>
                      <wps:wsp>
                        <wps:cNvPr id="383" name="Graphic 383"/>
                        <wps:cNvSpPr/>
                        <wps:spPr>
                          <a:xfrm>
                            <a:off x="42290" y="34925"/>
                            <a:ext cx="6829425" cy="1270"/>
                          </a:xfrm>
                          <a:custGeom>
                            <a:avLst/>
                            <a:gdLst/>
                            <a:ahLst/>
                            <a:cxnLst/>
                            <a:rect l="l" t="t" r="r" b="b"/>
                            <a:pathLst>
                              <a:path w="6829425">
                                <a:moveTo>
                                  <a:pt x="0" y="0"/>
                                </a:moveTo>
                                <a:lnTo>
                                  <a:pt x="6829425" y="0"/>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675AD5D8" id="Group 381" o:spid="_x0000_s1026" style="position:absolute;margin-left:34.9pt;margin-top:-27.6pt;width:545.05pt;height:8.3pt;z-index:15770624;mso-wrap-distance-left:0;mso-wrap-distance-right:0;mso-position-horizontal-relative:page" coordsize="69221,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">
                <v:shape id="Image 382" o:spid="_x0000_s1027" type="#_x0000_t75" style="position:absolute;width:692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">
                  <v:imagedata r:id="rId214" o:title=""/>
                </v:shape>
                <v:shape id="Graphic 383" o:spid="_x0000_s1028" style="position:absolute;left:422;top:349;width:68295;height:12;visibility:visible;mso-wrap-style:square;v-text-anchor:top" coordsize="682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" path="m,l6829425,e" filled="f" strokecolor="blue" strokeweight="2pt">
                  <v:path arrowok="t"/>
                </v:shape>
                <w10:wrap anchorx="page"/>
              </v:group>
            </w:pict>
          </mc:Fallback>
        </mc:AlternateContent>
      </w:r>
      <w:r>
        <w:rPr>
          <w:rFonts w:ascii="Arial MT" w:hAnsi="Arial MT"/>
        </w:rPr>
        <w:t>No acumulado de 2025, o resultado dessa linha totalizou R$ 539,2 milhões, ante R$ 358,9 milhões registrados em 2024. As principais variações que explicam essa evolução no comparativo anual são apresentadas a seguir:</w:t>
      </w:r>
    </w:p>
    <w:p w14:paraId="6C6EE16B" w14:textId="77777777" w:rsidR="002C6574" w:rsidRDefault="002C6574">
      <w:pPr>
        <w:pStyle w:val="Corpodetexto"/>
        <w:spacing w:before="35"/>
        <w:rPr>
          <w:rFonts w:ascii="Arial MT"/>
        </w:rPr>
      </w:pPr>
    </w:p>
    <w:p w14:paraId="74CAA94C" w14:textId="77777777" w:rsidR="002C6574" w:rsidRDefault="00000000">
      <w:pPr>
        <w:pStyle w:val="PargrafodaLista"/>
        <w:numPr>
          <w:ilvl w:val="0"/>
          <w:numId w:val="4"/>
        </w:numPr>
        <w:tabs>
          <w:tab w:val="left" w:pos="645"/>
        </w:tabs>
        <w:spacing w:before="1" w:line="276" w:lineRule="auto"/>
        <w:ind w:right="134" w:firstLine="0"/>
        <w:jc w:val="both"/>
        <w:rPr>
          <w:rFonts w:ascii="Arial MT" w:hAnsi="Arial MT"/>
        </w:rPr>
      </w:pPr>
      <w:r>
        <w:rPr>
          <w:rFonts w:ascii="Arial" w:hAnsi="Arial"/>
          <w:b/>
        </w:rPr>
        <w:t>S</w:t>
      </w:r>
      <w:r>
        <w:rPr>
          <w:rFonts w:ascii="Arial" w:hAnsi="Arial"/>
          <w:b/>
          <w:sz w:val="18"/>
        </w:rPr>
        <w:t xml:space="preserve">UBVENÇÕES </w:t>
      </w:r>
      <w:r>
        <w:rPr>
          <w:rFonts w:ascii="Arial" w:hAnsi="Arial"/>
          <w:b/>
        </w:rPr>
        <w:t>O</w:t>
      </w:r>
      <w:r>
        <w:rPr>
          <w:rFonts w:ascii="Arial" w:hAnsi="Arial"/>
          <w:b/>
          <w:sz w:val="18"/>
        </w:rPr>
        <w:t xml:space="preserve">RÇAMENTÁRIAS </w:t>
      </w:r>
      <w:r>
        <w:rPr>
          <w:rFonts w:ascii="Arial" w:hAnsi="Arial"/>
          <w:b/>
        </w:rPr>
        <w:t>R</w:t>
      </w:r>
      <w:r>
        <w:rPr>
          <w:rFonts w:ascii="Arial" w:hAnsi="Arial"/>
          <w:b/>
          <w:sz w:val="18"/>
        </w:rPr>
        <w:t>ECEBIDAS</w:t>
      </w:r>
      <w:r>
        <w:rPr>
          <w:rFonts w:ascii="Arial" w:hAnsi="Arial"/>
          <w:b/>
        </w:rPr>
        <w:t>:</w:t>
      </w:r>
      <w:r>
        <w:rPr>
          <w:rFonts w:ascii="Arial" w:hAnsi="Arial"/>
          <w:b/>
          <w:spacing w:val="40"/>
        </w:rPr>
        <w:t xml:space="preserve"> </w:t>
      </w:r>
      <w:r>
        <w:rPr>
          <w:rFonts w:ascii="Arial MT" w:hAnsi="Arial MT"/>
        </w:rPr>
        <w:t>A partir de 1º de janeiro de 2020, a Telebras passou a ser classificada</w:t>
      </w:r>
      <w:r>
        <w:rPr>
          <w:rFonts w:ascii="Arial MT" w:hAnsi="Arial MT"/>
          <w:spacing w:val="-5"/>
        </w:rPr>
        <w:t xml:space="preserve"> </w:t>
      </w:r>
      <w:r>
        <w:rPr>
          <w:rFonts w:ascii="Arial MT" w:hAnsi="Arial MT"/>
        </w:rPr>
        <w:t>como</w:t>
      </w:r>
      <w:r>
        <w:rPr>
          <w:rFonts w:ascii="Arial MT" w:hAnsi="Arial MT"/>
          <w:spacing w:val="-6"/>
        </w:rPr>
        <w:t xml:space="preserve"> </w:t>
      </w:r>
      <w:r>
        <w:rPr>
          <w:rFonts w:ascii="Arial MT" w:hAnsi="Arial MT"/>
        </w:rPr>
        <w:t>Empresa</w:t>
      </w:r>
      <w:r>
        <w:rPr>
          <w:rFonts w:ascii="Arial MT" w:hAnsi="Arial MT"/>
          <w:spacing w:val="-5"/>
        </w:rPr>
        <w:t xml:space="preserve"> </w:t>
      </w:r>
      <w:r>
        <w:rPr>
          <w:rFonts w:ascii="Arial MT" w:hAnsi="Arial MT"/>
        </w:rPr>
        <w:t>Estatal</w:t>
      </w:r>
      <w:r>
        <w:rPr>
          <w:rFonts w:ascii="Arial MT" w:hAnsi="Arial MT"/>
          <w:spacing w:val="-7"/>
        </w:rPr>
        <w:t xml:space="preserve"> </w:t>
      </w:r>
      <w:r>
        <w:rPr>
          <w:rFonts w:ascii="Arial MT" w:hAnsi="Arial MT"/>
        </w:rPr>
        <w:t>Dependente</w:t>
      </w:r>
      <w:r>
        <w:rPr>
          <w:rFonts w:ascii="Arial MT" w:hAnsi="Arial MT"/>
          <w:spacing w:val="-6"/>
        </w:rPr>
        <w:t xml:space="preserve"> </w:t>
      </w:r>
      <w:r>
        <w:rPr>
          <w:rFonts w:ascii="Arial MT" w:hAnsi="Arial MT"/>
        </w:rPr>
        <w:t>e,</w:t>
      </w:r>
      <w:r>
        <w:rPr>
          <w:rFonts w:ascii="Arial MT" w:hAnsi="Arial MT"/>
          <w:spacing w:val="-5"/>
        </w:rPr>
        <w:t xml:space="preserve"> </w:t>
      </w:r>
      <w:r>
        <w:rPr>
          <w:rFonts w:ascii="Arial MT" w:hAnsi="Arial MT"/>
        </w:rPr>
        <w:t>com</w:t>
      </w:r>
      <w:r>
        <w:rPr>
          <w:rFonts w:ascii="Arial MT" w:hAnsi="Arial MT"/>
          <w:spacing w:val="-6"/>
        </w:rPr>
        <w:t xml:space="preserve"> </w:t>
      </w:r>
      <w:r>
        <w:rPr>
          <w:rFonts w:ascii="Arial MT" w:hAnsi="Arial MT"/>
        </w:rPr>
        <w:t>isso,</w:t>
      </w:r>
      <w:r>
        <w:rPr>
          <w:rFonts w:ascii="Arial MT" w:hAnsi="Arial MT"/>
          <w:spacing w:val="-4"/>
        </w:rPr>
        <w:t xml:space="preserve"> </w:t>
      </w:r>
      <w:r>
        <w:rPr>
          <w:rFonts w:ascii="Arial MT" w:hAnsi="Arial MT"/>
        </w:rPr>
        <w:t>passou</w:t>
      </w:r>
      <w:r>
        <w:rPr>
          <w:rFonts w:ascii="Arial MT" w:hAnsi="Arial MT"/>
          <w:spacing w:val="-7"/>
        </w:rPr>
        <w:t xml:space="preserve"> </w:t>
      </w:r>
      <w:r>
        <w:rPr>
          <w:rFonts w:ascii="Arial MT" w:hAnsi="Arial MT"/>
        </w:rPr>
        <w:t>a</w:t>
      </w:r>
      <w:r>
        <w:rPr>
          <w:rFonts w:ascii="Arial MT" w:hAnsi="Arial MT"/>
          <w:spacing w:val="-6"/>
        </w:rPr>
        <w:t xml:space="preserve"> </w:t>
      </w:r>
      <w:r>
        <w:rPr>
          <w:rFonts w:ascii="Arial MT" w:hAnsi="Arial MT"/>
        </w:rPr>
        <w:t>receber</w:t>
      </w:r>
      <w:r>
        <w:rPr>
          <w:rFonts w:ascii="Arial MT" w:hAnsi="Arial MT"/>
          <w:spacing w:val="-6"/>
        </w:rPr>
        <w:t xml:space="preserve"> </w:t>
      </w:r>
      <w:r>
        <w:rPr>
          <w:rFonts w:ascii="Arial MT" w:hAnsi="Arial MT"/>
        </w:rPr>
        <w:t>recursos</w:t>
      </w:r>
      <w:r>
        <w:rPr>
          <w:rFonts w:ascii="Arial MT" w:hAnsi="Arial MT"/>
          <w:spacing w:val="-6"/>
        </w:rPr>
        <w:t xml:space="preserve"> </w:t>
      </w:r>
      <w:r>
        <w:rPr>
          <w:rFonts w:ascii="Arial MT" w:hAnsi="Arial MT"/>
        </w:rPr>
        <w:t>orçamentários</w:t>
      </w:r>
      <w:r>
        <w:rPr>
          <w:rFonts w:ascii="Arial MT" w:hAnsi="Arial MT"/>
          <w:spacing w:val="-5"/>
        </w:rPr>
        <w:t xml:space="preserve"> </w:t>
      </w:r>
      <w:r>
        <w:rPr>
          <w:rFonts w:ascii="Arial MT" w:hAnsi="Arial MT"/>
        </w:rPr>
        <w:t>para o</w:t>
      </w:r>
      <w:r>
        <w:rPr>
          <w:rFonts w:ascii="Arial MT" w:hAnsi="Arial MT"/>
          <w:spacing w:val="-4"/>
        </w:rPr>
        <w:t xml:space="preserve"> </w:t>
      </w:r>
      <w:r>
        <w:rPr>
          <w:rFonts w:ascii="Arial MT" w:hAnsi="Arial MT"/>
        </w:rPr>
        <w:t>pagamento</w:t>
      </w:r>
      <w:r>
        <w:rPr>
          <w:rFonts w:ascii="Arial MT" w:hAnsi="Arial MT"/>
          <w:spacing w:val="-4"/>
        </w:rPr>
        <w:t xml:space="preserve"> </w:t>
      </w:r>
      <w:r>
        <w:rPr>
          <w:rFonts w:ascii="Arial MT" w:hAnsi="Arial MT"/>
        </w:rPr>
        <w:t>de</w:t>
      </w:r>
      <w:r>
        <w:rPr>
          <w:rFonts w:ascii="Arial MT" w:hAnsi="Arial MT"/>
          <w:spacing w:val="-4"/>
        </w:rPr>
        <w:t xml:space="preserve"> </w:t>
      </w:r>
      <w:r>
        <w:rPr>
          <w:rFonts w:ascii="Arial MT" w:hAnsi="Arial MT"/>
        </w:rPr>
        <w:t>despesas</w:t>
      </w:r>
      <w:r>
        <w:rPr>
          <w:rFonts w:ascii="Arial MT" w:hAnsi="Arial MT"/>
          <w:spacing w:val="-4"/>
        </w:rPr>
        <w:t xml:space="preserve"> </w:t>
      </w:r>
      <w:r>
        <w:rPr>
          <w:rFonts w:ascii="Arial MT" w:hAnsi="Arial MT"/>
        </w:rPr>
        <w:t>de</w:t>
      </w:r>
      <w:r>
        <w:rPr>
          <w:rFonts w:ascii="Arial MT" w:hAnsi="Arial MT"/>
          <w:spacing w:val="-4"/>
        </w:rPr>
        <w:t xml:space="preserve"> </w:t>
      </w:r>
      <w:r>
        <w:rPr>
          <w:rFonts w:ascii="Arial MT" w:hAnsi="Arial MT"/>
        </w:rPr>
        <w:t>pessoal,</w:t>
      </w:r>
      <w:r>
        <w:rPr>
          <w:rFonts w:ascii="Arial MT" w:hAnsi="Arial MT"/>
          <w:spacing w:val="-5"/>
        </w:rPr>
        <w:t xml:space="preserve"> </w:t>
      </w:r>
      <w:r>
        <w:rPr>
          <w:rFonts w:ascii="Arial MT" w:hAnsi="Arial MT"/>
        </w:rPr>
        <w:t>custeio</w:t>
      </w:r>
      <w:r>
        <w:rPr>
          <w:rFonts w:ascii="Arial MT" w:hAnsi="Arial MT"/>
          <w:spacing w:val="-4"/>
        </w:rPr>
        <w:t xml:space="preserve"> </w:t>
      </w:r>
      <w:r>
        <w:rPr>
          <w:rFonts w:ascii="Arial MT" w:hAnsi="Arial MT"/>
        </w:rPr>
        <w:t>e</w:t>
      </w:r>
      <w:r>
        <w:rPr>
          <w:rFonts w:ascii="Arial MT" w:hAnsi="Arial MT"/>
          <w:spacing w:val="-6"/>
        </w:rPr>
        <w:t xml:space="preserve"> </w:t>
      </w:r>
      <w:r>
        <w:rPr>
          <w:rFonts w:ascii="Arial MT" w:hAnsi="Arial MT"/>
        </w:rPr>
        <w:t>investimentos.</w:t>
      </w:r>
      <w:r>
        <w:rPr>
          <w:rFonts w:ascii="Arial MT" w:hAnsi="Arial MT"/>
          <w:spacing w:val="-5"/>
        </w:rPr>
        <w:t xml:space="preserve"> </w:t>
      </w:r>
      <w:r>
        <w:rPr>
          <w:rFonts w:ascii="Arial MT" w:hAnsi="Arial MT"/>
        </w:rPr>
        <w:t>Os</w:t>
      </w:r>
      <w:r>
        <w:rPr>
          <w:rFonts w:ascii="Arial MT" w:hAnsi="Arial MT"/>
          <w:spacing w:val="-6"/>
        </w:rPr>
        <w:t xml:space="preserve"> </w:t>
      </w:r>
      <w:r>
        <w:rPr>
          <w:rFonts w:ascii="Arial MT" w:hAnsi="Arial MT"/>
        </w:rPr>
        <w:t>recursos</w:t>
      </w:r>
      <w:r>
        <w:rPr>
          <w:rFonts w:ascii="Arial MT" w:hAnsi="Arial MT"/>
          <w:spacing w:val="-4"/>
        </w:rPr>
        <w:t xml:space="preserve"> </w:t>
      </w:r>
      <w:r>
        <w:rPr>
          <w:rFonts w:ascii="Arial MT" w:hAnsi="Arial MT"/>
        </w:rPr>
        <w:t>destinados</w:t>
      </w:r>
      <w:r>
        <w:rPr>
          <w:rFonts w:ascii="Arial MT" w:hAnsi="Arial MT"/>
          <w:spacing w:val="-4"/>
        </w:rPr>
        <w:t xml:space="preserve"> </w:t>
      </w:r>
      <w:r>
        <w:rPr>
          <w:rFonts w:ascii="Arial MT" w:hAnsi="Arial MT"/>
        </w:rPr>
        <w:t>a</w:t>
      </w:r>
      <w:r>
        <w:rPr>
          <w:rFonts w:ascii="Arial MT" w:hAnsi="Arial MT"/>
          <w:spacing w:val="-6"/>
        </w:rPr>
        <w:t xml:space="preserve"> </w:t>
      </w:r>
      <w:r>
        <w:rPr>
          <w:rFonts w:ascii="Arial MT" w:hAnsi="Arial MT"/>
        </w:rPr>
        <w:t>pessoal</w:t>
      </w:r>
      <w:r>
        <w:rPr>
          <w:rFonts w:ascii="Arial MT" w:hAnsi="Arial MT"/>
          <w:spacing w:val="-4"/>
        </w:rPr>
        <w:t xml:space="preserve"> </w:t>
      </w:r>
      <w:r>
        <w:rPr>
          <w:rFonts w:ascii="Arial MT" w:hAnsi="Arial MT"/>
        </w:rPr>
        <w:t>e</w:t>
      </w:r>
      <w:r>
        <w:rPr>
          <w:rFonts w:ascii="Arial MT" w:hAnsi="Arial MT"/>
          <w:spacing w:val="-4"/>
        </w:rPr>
        <w:t xml:space="preserve"> </w:t>
      </w:r>
      <w:r>
        <w:rPr>
          <w:rFonts w:ascii="Arial MT" w:hAnsi="Arial MT"/>
        </w:rPr>
        <w:t>demais custeios</w:t>
      </w:r>
      <w:r>
        <w:rPr>
          <w:rFonts w:ascii="Arial MT" w:hAnsi="Arial MT"/>
          <w:spacing w:val="-2"/>
        </w:rPr>
        <w:t xml:space="preserve"> </w:t>
      </w:r>
      <w:r>
        <w:rPr>
          <w:rFonts w:ascii="Arial MT" w:hAnsi="Arial MT"/>
        </w:rPr>
        <w:t>são</w:t>
      </w:r>
      <w:r>
        <w:rPr>
          <w:rFonts w:ascii="Arial MT" w:hAnsi="Arial MT"/>
          <w:spacing w:val="-2"/>
        </w:rPr>
        <w:t xml:space="preserve"> </w:t>
      </w:r>
      <w:r>
        <w:rPr>
          <w:rFonts w:ascii="Arial MT" w:hAnsi="Arial MT"/>
        </w:rPr>
        <w:t>reconhecidos no</w:t>
      </w:r>
      <w:r>
        <w:rPr>
          <w:rFonts w:ascii="Arial MT" w:hAnsi="Arial MT"/>
          <w:spacing w:val="-4"/>
        </w:rPr>
        <w:t xml:space="preserve"> </w:t>
      </w:r>
      <w:r>
        <w:rPr>
          <w:rFonts w:ascii="Arial MT" w:hAnsi="Arial MT"/>
        </w:rPr>
        <w:t>resultado</w:t>
      </w:r>
      <w:r>
        <w:rPr>
          <w:rFonts w:ascii="Arial MT" w:hAnsi="Arial MT"/>
          <w:spacing w:val="-2"/>
        </w:rPr>
        <w:t xml:space="preserve"> </w:t>
      </w:r>
      <w:r>
        <w:rPr>
          <w:rFonts w:ascii="Arial MT" w:hAnsi="Arial MT"/>
        </w:rPr>
        <w:t>da</w:t>
      </w:r>
      <w:r>
        <w:rPr>
          <w:rFonts w:ascii="Arial MT" w:hAnsi="Arial MT"/>
          <w:spacing w:val="-2"/>
        </w:rPr>
        <w:t xml:space="preserve"> </w:t>
      </w:r>
      <w:r>
        <w:rPr>
          <w:rFonts w:ascii="Arial MT" w:hAnsi="Arial MT"/>
        </w:rPr>
        <w:t>Companhia à</w:t>
      </w:r>
      <w:r>
        <w:rPr>
          <w:rFonts w:ascii="Arial MT" w:hAnsi="Arial MT"/>
          <w:spacing w:val="-2"/>
        </w:rPr>
        <w:t xml:space="preserve"> </w:t>
      </w:r>
      <w:r>
        <w:rPr>
          <w:rFonts w:ascii="Arial MT" w:hAnsi="Arial MT"/>
        </w:rPr>
        <w:t>medida</w:t>
      </w:r>
      <w:r>
        <w:rPr>
          <w:rFonts w:ascii="Arial MT" w:hAnsi="Arial MT"/>
          <w:spacing w:val="-2"/>
        </w:rPr>
        <w:t xml:space="preserve"> </w:t>
      </w:r>
      <w:r>
        <w:rPr>
          <w:rFonts w:ascii="Arial MT" w:hAnsi="Arial MT"/>
        </w:rPr>
        <w:t>que</w:t>
      </w:r>
      <w:r>
        <w:rPr>
          <w:rFonts w:ascii="Arial MT" w:hAnsi="Arial MT"/>
          <w:spacing w:val="-2"/>
        </w:rPr>
        <w:t xml:space="preserve"> </w:t>
      </w:r>
      <w:r>
        <w:rPr>
          <w:rFonts w:ascii="Arial MT" w:hAnsi="Arial MT"/>
        </w:rPr>
        <w:t>são</w:t>
      </w:r>
      <w:r>
        <w:rPr>
          <w:rFonts w:ascii="Arial MT" w:hAnsi="Arial MT"/>
          <w:spacing w:val="-2"/>
        </w:rPr>
        <w:t xml:space="preserve"> </w:t>
      </w:r>
      <w:r>
        <w:rPr>
          <w:rFonts w:ascii="Arial MT" w:hAnsi="Arial MT"/>
        </w:rPr>
        <w:t>realizados,</w:t>
      </w:r>
      <w:r>
        <w:rPr>
          <w:rFonts w:ascii="Arial MT" w:hAnsi="Arial MT"/>
          <w:spacing w:val="-1"/>
        </w:rPr>
        <w:t xml:space="preserve"> </w:t>
      </w:r>
      <w:r>
        <w:rPr>
          <w:rFonts w:ascii="Arial MT" w:hAnsi="Arial MT"/>
        </w:rPr>
        <w:t>conforme</w:t>
      </w:r>
      <w:r>
        <w:rPr>
          <w:rFonts w:ascii="Arial MT" w:hAnsi="Arial MT"/>
          <w:spacing w:val="-2"/>
        </w:rPr>
        <w:t xml:space="preserve"> </w:t>
      </w:r>
      <w:r>
        <w:rPr>
          <w:rFonts w:ascii="Arial MT" w:hAnsi="Arial MT"/>
        </w:rPr>
        <w:t>o</w:t>
      </w:r>
      <w:r>
        <w:rPr>
          <w:rFonts w:ascii="Arial MT" w:hAnsi="Arial MT"/>
          <w:spacing w:val="-2"/>
        </w:rPr>
        <w:t xml:space="preserve"> </w:t>
      </w:r>
      <w:r>
        <w:rPr>
          <w:rFonts w:ascii="Arial MT" w:hAnsi="Arial MT"/>
        </w:rPr>
        <w:t>CPC</w:t>
      </w:r>
      <w:r>
        <w:rPr>
          <w:rFonts w:ascii="Arial MT" w:hAnsi="Arial MT"/>
          <w:spacing w:val="-2"/>
        </w:rPr>
        <w:t xml:space="preserve"> </w:t>
      </w:r>
      <w:r>
        <w:rPr>
          <w:rFonts w:ascii="Arial MT" w:hAnsi="Arial MT"/>
        </w:rPr>
        <w:t>07 – Subvenções e Assistência Governamentais. Já os recursos voltados a investimentos são registrados no passivo não circulante como Adiantamento para Futuro Aumento de Capital (AFAC).</w:t>
      </w:r>
    </w:p>
    <w:p w14:paraId="1DCDCA50" w14:textId="77777777" w:rsidR="002C6574" w:rsidRDefault="00000000">
      <w:pPr>
        <w:pStyle w:val="Corpodetexto"/>
        <w:spacing w:before="160" w:line="276" w:lineRule="auto"/>
        <w:ind w:left="427" w:right="139"/>
        <w:jc w:val="both"/>
        <w:rPr>
          <w:rFonts w:ascii="Arial MT" w:hAnsi="Arial MT"/>
        </w:rPr>
      </w:pPr>
      <w:r>
        <w:rPr>
          <w:rFonts w:ascii="Arial MT" w:hAnsi="Arial MT"/>
        </w:rPr>
        <w:t>Em 2025, a Telebras reconheceu R$ 406,9 milhões no resultado (ante R$ 158,2 milhões em 2024), representando um aumento de 156,9%. Esse crescimento</w:t>
      </w:r>
      <w:r>
        <w:rPr>
          <w:rFonts w:ascii="Arial MT" w:hAnsi="Arial MT"/>
          <w:spacing w:val="-1"/>
        </w:rPr>
        <w:t xml:space="preserve"> </w:t>
      </w:r>
      <w:r>
        <w:rPr>
          <w:rFonts w:ascii="Arial MT" w:hAnsi="Arial MT"/>
        </w:rPr>
        <w:t>decorre, principalmente, dos recursos recebidos para quitação do financiamento junto à FINEP e dos valores vinculados ao contrato de gestão, destinados ao pagamento de obrigações da Companhia.</w:t>
      </w:r>
    </w:p>
    <w:p w14:paraId="7AD722B8" w14:textId="77777777" w:rsidR="002C6574" w:rsidRDefault="00000000">
      <w:pPr>
        <w:pStyle w:val="Corpodetexto"/>
        <w:spacing w:before="164"/>
        <w:ind w:left="427"/>
        <w:jc w:val="both"/>
        <w:rPr>
          <w:rFonts w:ascii="Arial MT"/>
        </w:rPr>
      </w:pPr>
      <w:r>
        <w:rPr>
          <w:rFonts w:ascii="Arial MT"/>
          <w:noProof/>
        </w:rPr>
        <mc:AlternateContent>
          <mc:Choice Requires="wps">
            <w:drawing>
              <wp:anchor distT="0" distB="0" distL="0" distR="0" simplePos="0" relativeHeight="15771136" behindDoc="0" locked="0" layoutInCell="1" allowOverlap="1" wp14:anchorId="0F3247ED" wp14:editId="16FE0B45">
                <wp:simplePos x="0" y="0"/>
                <wp:positionH relativeFrom="page">
                  <wp:posOffset>4886833</wp:posOffset>
                </wp:positionH>
                <wp:positionV relativeFrom="paragraph">
                  <wp:posOffset>573560</wp:posOffset>
                </wp:positionV>
                <wp:extent cx="1668145" cy="588644"/>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145" cy="588644"/>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253"/>
                              <w:gridCol w:w="1253"/>
                            </w:tblGrid>
                            <w:tr w:rsidR="002C6574" w14:paraId="585BDEDA" w14:textId="77777777">
                              <w:trPr>
                                <w:trHeight w:val="232"/>
                              </w:trPr>
                              <w:tc>
                                <w:tcPr>
                                  <w:tcW w:w="1253" w:type="dxa"/>
                                  <w:shd w:val="clear" w:color="auto" w:fill="0000FF"/>
                                </w:tcPr>
                                <w:p w14:paraId="15B2FFF9" w14:textId="77777777" w:rsidR="002C6574" w:rsidRDefault="00000000">
                                  <w:pPr>
                                    <w:pStyle w:val="TableParagraph"/>
                                    <w:spacing w:before="25"/>
                                    <w:ind w:right="4"/>
                                    <w:jc w:val="center"/>
                                    <w:rPr>
                                      <w:rFonts w:ascii="Arial"/>
                                      <w:b/>
                                      <w:sz w:val="16"/>
                                    </w:rPr>
                                  </w:pPr>
                                  <w:r>
                                    <w:rPr>
                                      <w:rFonts w:ascii="Arial"/>
                                      <w:b/>
                                      <w:color w:val="FFFFFF"/>
                                      <w:spacing w:val="-4"/>
                                      <w:sz w:val="16"/>
                                    </w:rPr>
                                    <w:t>2025</w:t>
                                  </w:r>
                                </w:p>
                              </w:tc>
                              <w:tc>
                                <w:tcPr>
                                  <w:tcW w:w="1253" w:type="dxa"/>
                                  <w:shd w:val="clear" w:color="auto" w:fill="0000FF"/>
                                </w:tcPr>
                                <w:p w14:paraId="0F129E9E" w14:textId="77777777" w:rsidR="002C6574" w:rsidRDefault="00000000">
                                  <w:pPr>
                                    <w:pStyle w:val="TableParagraph"/>
                                    <w:spacing w:before="25"/>
                                    <w:ind w:left="2" w:right="4"/>
                                    <w:jc w:val="center"/>
                                    <w:rPr>
                                      <w:rFonts w:ascii="Arial"/>
                                      <w:b/>
                                      <w:sz w:val="16"/>
                                    </w:rPr>
                                  </w:pPr>
                                  <w:r>
                                    <w:rPr>
                                      <w:rFonts w:ascii="Arial"/>
                                      <w:b/>
                                      <w:color w:val="FFFFFF"/>
                                      <w:spacing w:val="-4"/>
                                      <w:sz w:val="16"/>
                                    </w:rPr>
                                    <w:t>2024</w:t>
                                  </w:r>
                                </w:p>
                              </w:tc>
                            </w:tr>
                            <w:tr w:rsidR="002C6574" w14:paraId="4D5B5EDC" w14:textId="77777777">
                              <w:trPr>
                                <w:trHeight w:val="234"/>
                              </w:trPr>
                              <w:tc>
                                <w:tcPr>
                                  <w:tcW w:w="1253" w:type="dxa"/>
                                  <w:shd w:val="clear" w:color="auto" w:fill="66FFFF"/>
                                </w:tcPr>
                                <w:p w14:paraId="578127A9" w14:textId="77777777" w:rsidR="002C6574" w:rsidRDefault="00000000">
                                  <w:pPr>
                                    <w:pStyle w:val="TableParagraph"/>
                                    <w:spacing w:before="25"/>
                                    <w:ind w:right="69"/>
                                    <w:rPr>
                                      <w:rFonts w:ascii="Arial MT"/>
                                      <w:sz w:val="16"/>
                                    </w:rPr>
                                  </w:pPr>
                                  <w:r>
                                    <w:rPr>
                                      <w:rFonts w:ascii="Arial MT"/>
                                      <w:spacing w:val="-2"/>
                                      <w:sz w:val="16"/>
                                    </w:rPr>
                                    <w:t>88.963</w:t>
                                  </w:r>
                                </w:p>
                              </w:tc>
                              <w:tc>
                                <w:tcPr>
                                  <w:tcW w:w="1253" w:type="dxa"/>
                                </w:tcPr>
                                <w:p w14:paraId="10DB6FC4" w14:textId="77777777" w:rsidR="002C6574" w:rsidRDefault="00000000">
                                  <w:pPr>
                                    <w:pStyle w:val="TableParagraph"/>
                                    <w:spacing w:before="25"/>
                                    <w:ind w:right="69"/>
                                    <w:rPr>
                                      <w:rFonts w:ascii="Arial MT"/>
                                      <w:sz w:val="16"/>
                                    </w:rPr>
                                  </w:pPr>
                                  <w:r>
                                    <w:rPr>
                                      <w:rFonts w:ascii="Arial MT"/>
                                      <w:spacing w:val="-2"/>
                                      <w:sz w:val="16"/>
                                    </w:rPr>
                                    <w:t>82.110</w:t>
                                  </w:r>
                                </w:p>
                              </w:tc>
                            </w:tr>
                            <w:tr w:rsidR="002C6574" w14:paraId="0AAFA58D" w14:textId="77777777">
                              <w:trPr>
                                <w:trHeight w:val="231"/>
                              </w:trPr>
                              <w:tc>
                                <w:tcPr>
                                  <w:tcW w:w="1253" w:type="dxa"/>
                                  <w:shd w:val="clear" w:color="auto" w:fill="66FFFF"/>
                                </w:tcPr>
                                <w:p w14:paraId="455301A7" w14:textId="77777777" w:rsidR="002C6574" w:rsidRDefault="00000000">
                                  <w:pPr>
                                    <w:pStyle w:val="TableParagraph"/>
                                    <w:spacing w:before="21"/>
                                    <w:ind w:right="69"/>
                                    <w:rPr>
                                      <w:rFonts w:ascii="Arial MT"/>
                                      <w:sz w:val="16"/>
                                    </w:rPr>
                                  </w:pPr>
                                  <w:r>
                                    <w:rPr>
                                      <w:rFonts w:ascii="Arial MT"/>
                                      <w:spacing w:val="-2"/>
                                      <w:sz w:val="16"/>
                                    </w:rPr>
                                    <w:t>83.533</w:t>
                                  </w:r>
                                </w:p>
                              </w:tc>
                              <w:tc>
                                <w:tcPr>
                                  <w:tcW w:w="1253" w:type="dxa"/>
                                </w:tcPr>
                                <w:p w14:paraId="1C733471" w14:textId="77777777" w:rsidR="002C6574" w:rsidRDefault="00000000">
                                  <w:pPr>
                                    <w:pStyle w:val="TableParagraph"/>
                                    <w:spacing w:before="21"/>
                                    <w:ind w:right="69"/>
                                    <w:rPr>
                                      <w:rFonts w:ascii="Arial MT"/>
                                      <w:sz w:val="16"/>
                                    </w:rPr>
                                  </w:pPr>
                                  <w:r>
                                    <w:rPr>
                                      <w:rFonts w:ascii="Arial MT"/>
                                      <w:spacing w:val="-2"/>
                                      <w:sz w:val="16"/>
                                    </w:rPr>
                                    <w:t>76.292</w:t>
                                  </w:r>
                                </w:p>
                              </w:tc>
                            </w:tr>
                            <w:tr w:rsidR="002C6574" w14:paraId="3763082F" w14:textId="77777777">
                              <w:trPr>
                                <w:trHeight w:val="230"/>
                              </w:trPr>
                              <w:tc>
                                <w:tcPr>
                                  <w:tcW w:w="1253" w:type="dxa"/>
                                  <w:shd w:val="clear" w:color="auto" w:fill="66FFFF"/>
                                </w:tcPr>
                                <w:p w14:paraId="0F6EC52D" w14:textId="77777777" w:rsidR="002C6574" w:rsidRDefault="00000000">
                                  <w:pPr>
                                    <w:pStyle w:val="TableParagraph"/>
                                    <w:spacing w:before="22"/>
                                    <w:ind w:right="69"/>
                                    <w:rPr>
                                      <w:rFonts w:ascii="Arial MT"/>
                                      <w:sz w:val="16"/>
                                    </w:rPr>
                                  </w:pPr>
                                  <w:r>
                                    <w:rPr>
                                      <w:rFonts w:ascii="Arial MT"/>
                                      <w:spacing w:val="-2"/>
                                      <w:sz w:val="16"/>
                                    </w:rPr>
                                    <w:t>234.446</w:t>
                                  </w:r>
                                </w:p>
                              </w:tc>
                              <w:tc>
                                <w:tcPr>
                                  <w:tcW w:w="1253" w:type="dxa"/>
                                </w:tcPr>
                                <w:p w14:paraId="278F169B" w14:textId="77777777" w:rsidR="002C6574" w:rsidRDefault="00000000">
                                  <w:pPr>
                                    <w:pStyle w:val="TableParagraph"/>
                                    <w:spacing w:before="22"/>
                                    <w:ind w:right="69"/>
                                    <w:rPr>
                                      <w:rFonts w:ascii="Arial MT"/>
                                      <w:sz w:val="16"/>
                                    </w:rPr>
                                  </w:pPr>
                                  <w:r>
                                    <w:rPr>
                                      <w:rFonts w:ascii="Arial MT"/>
                                      <w:spacing w:val="-10"/>
                                      <w:sz w:val="16"/>
                                    </w:rPr>
                                    <w:t>-</w:t>
                                  </w:r>
                                </w:p>
                              </w:tc>
                            </w:tr>
                          </w:tbl>
                          <w:p w14:paraId="6D3DBEAD" w14:textId="77777777" w:rsidR="002C6574" w:rsidRDefault="002C6574">
                            <w:pPr>
                              <w:pStyle w:val="Corpodetexto"/>
                            </w:pPr>
                          </w:p>
                        </w:txbxContent>
                      </wps:txbx>
                      <wps:bodyPr wrap="square" lIns="0" tIns="0" rIns="0" bIns="0" rtlCol="0">
                        <a:noAutofit/>
                      </wps:bodyPr>
                    </wps:wsp>
                  </a:graphicData>
                </a:graphic>
              </wp:anchor>
            </w:drawing>
          </mc:Choice>
          <mc:Fallback>
            <w:pict>
              <v:shape w14:anchorId="0F3247ED" id="Textbox 384" o:spid="_x0000_s1177" type="#_x0000_t202" style="position:absolute;left:0;text-align:left;margin-left:384.8pt;margin-top:45.15pt;width:131.35pt;height:46.35pt;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1253"/>
                        <w:gridCol w:w="1253"/>
                      </w:tblGrid>
                      <w:tr w:rsidR="002C6574" w14:paraId="585BDEDA" w14:textId="77777777">
                        <w:trPr>
                          <w:trHeight w:val="232"/>
                        </w:trPr>
                        <w:tc>
                          <w:tcPr>
                            <w:tcW w:w="1253" w:type="dxa"/>
                            <w:shd w:val="clear" w:color="auto" w:fill="0000FF"/>
                          </w:tcPr>
                          <w:p w14:paraId="15B2FFF9" w14:textId="77777777" w:rsidR="002C6574" w:rsidRDefault="00000000">
                            <w:pPr>
                              <w:pStyle w:val="TableParagraph"/>
                              <w:spacing w:before="25"/>
                              <w:ind w:right="4"/>
                              <w:jc w:val="center"/>
                              <w:rPr>
                                <w:rFonts w:ascii="Arial"/>
                                <w:b/>
                                <w:sz w:val="16"/>
                              </w:rPr>
                            </w:pPr>
                            <w:r>
                              <w:rPr>
                                <w:rFonts w:ascii="Arial"/>
                                <w:b/>
                                <w:color w:val="FFFFFF"/>
                                <w:spacing w:val="-4"/>
                                <w:sz w:val="16"/>
                              </w:rPr>
                              <w:t>2025</w:t>
                            </w:r>
                          </w:p>
                        </w:tc>
                        <w:tc>
                          <w:tcPr>
                            <w:tcW w:w="1253" w:type="dxa"/>
                            <w:shd w:val="clear" w:color="auto" w:fill="0000FF"/>
                          </w:tcPr>
                          <w:p w14:paraId="0F129E9E" w14:textId="77777777" w:rsidR="002C6574" w:rsidRDefault="00000000">
                            <w:pPr>
                              <w:pStyle w:val="TableParagraph"/>
                              <w:spacing w:before="25"/>
                              <w:ind w:left="2" w:right="4"/>
                              <w:jc w:val="center"/>
                              <w:rPr>
                                <w:rFonts w:ascii="Arial"/>
                                <w:b/>
                                <w:sz w:val="16"/>
                              </w:rPr>
                            </w:pPr>
                            <w:r>
                              <w:rPr>
                                <w:rFonts w:ascii="Arial"/>
                                <w:b/>
                                <w:color w:val="FFFFFF"/>
                                <w:spacing w:val="-4"/>
                                <w:sz w:val="16"/>
                              </w:rPr>
                              <w:t>2024</w:t>
                            </w:r>
                          </w:p>
                        </w:tc>
                      </w:tr>
                      <w:tr w:rsidR="002C6574" w14:paraId="4D5B5EDC" w14:textId="77777777">
                        <w:trPr>
                          <w:trHeight w:val="234"/>
                        </w:trPr>
                        <w:tc>
                          <w:tcPr>
                            <w:tcW w:w="1253" w:type="dxa"/>
                            <w:shd w:val="clear" w:color="auto" w:fill="66FFFF"/>
                          </w:tcPr>
                          <w:p w14:paraId="578127A9" w14:textId="77777777" w:rsidR="002C6574" w:rsidRDefault="00000000">
                            <w:pPr>
                              <w:pStyle w:val="TableParagraph"/>
                              <w:spacing w:before="25"/>
                              <w:ind w:right="69"/>
                              <w:rPr>
                                <w:rFonts w:ascii="Arial MT"/>
                                <w:sz w:val="16"/>
                              </w:rPr>
                            </w:pPr>
                            <w:r>
                              <w:rPr>
                                <w:rFonts w:ascii="Arial MT"/>
                                <w:spacing w:val="-2"/>
                                <w:sz w:val="16"/>
                              </w:rPr>
                              <w:t>88.963</w:t>
                            </w:r>
                          </w:p>
                        </w:tc>
                        <w:tc>
                          <w:tcPr>
                            <w:tcW w:w="1253" w:type="dxa"/>
                          </w:tcPr>
                          <w:p w14:paraId="10DB6FC4" w14:textId="77777777" w:rsidR="002C6574" w:rsidRDefault="00000000">
                            <w:pPr>
                              <w:pStyle w:val="TableParagraph"/>
                              <w:spacing w:before="25"/>
                              <w:ind w:right="69"/>
                              <w:rPr>
                                <w:rFonts w:ascii="Arial MT"/>
                                <w:sz w:val="16"/>
                              </w:rPr>
                            </w:pPr>
                            <w:r>
                              <w:rPr>
                                <w:rFonts w:ascii="Arial MT"/>
                                <w:spacing w:val="-2"/>
                                <w:sz w:val="16"/>
                              </w:rPr>
                              <w:t>82.110</w:t>
                            </w:r>
                          </w:p>
                        </w:tc>
                      </w:tr>
                      <w:tr w:rsidR="002C6574" w14:paraId="0AAFA58D" w14:textId="77777777">
                        <w:trPr>
                          <w:trHeight w:val="231"/>
                        </w:trPr>
                        <w:tc>
                          <w:tcPr>
                            <w:tcW w:w="1253" w:type="dxa"/>
                            <w:shd w:val="clear" w:color="auto" w:fill="66FFFF"/>
                          </w:tcPr>
                          <w:p w14:paraId="455301A7" w14:textId="77777777" w:rsidR="002C6574" w:rsidRDefault="00000000">
                            <w:pPr>
                              <w:pStyle w:val="TableParagraph"/>
                              <w:spacing w:before="21"/>
                              <w:ind w:right="69"/>
                              <w:rPr>
                                <w:rFonts w:ascii="Arial MT"/>
                                <w:sz w:val="16"/>
                              </w:rPr>
                            </w:pPr>
                            <w:r>
                              <w:rPr>
                                <w:rFonts w:ascii="Arial MT"/>
                                <w:spacing w:val="-2"/>
                                <w:sz w:val="16"/>
                              </w:rPr>
                              <w:t>83.533</w:t>
                            </w:r>
                          </w:p>
                        </w:tc>
                        <w:tc>
                          <w:tcPr>
                            <w:tcW w:w="1253" w:type="dxa"/>
                          </w:tcPr>
                          <w:p w14:paraId="1C733471" w14:textId="77777777" w:rsidR="002C6574" w:rsidRDefault="00000000">
                            <w:pPr>
                              <w:pStyle w:val="TableParagraph"/>
                              <w:spacing w:before="21"/>
                              <w:ind w:right="69"/>
                              <w:rPr>
                                <w:rFonts w:ascii="Arial MT"/>
                                <w:sz w:val="16"/>
                              </w:rPr>
                            </w:pPr>
                            <w:r>
                              <w:rPr>
                                <w:rFonts w:ascii="Arial MT"/>
                                <w:spacing w:val="-2"/>
                                <w:sz w:val="16"/>
                              </w:rPr>
                              <w:t>76.292</w:t>
                            </w:r>
                          </w:p>
                        </w:tc>
                      </w:tr>
                      <w:tr w:rsidR="002C6574" w14:paraId="3763082F" w14:textId="77777777">
                        <w:trPr>
                          <w:trHeight w:val="230"/>
                        </w:trPr>
                        <w:tc>
                          <w:tcPr>
                            <w:tcW w:w="1253" w:type="dxa"/>
                            <w:shd w:val="clear" w:color="auto" w:fill="66FFFF"/>
                          </w:tcPr>
                          <w:p w14:paraId="0F6EC52D" w14:textId="77777777" w:rsidR="002C6574" w:rsidRDefault="00000000">
                            <w:pPr>
                              <w:pStyle w:val="TableParagraph"/>
                              <w:spacing w:before="22"/>
                              <w:ind w:right="69"/>
                              <w:rPr>
                                <w:rFonts w:ascii="Arial MT"/>
                                <w:sz w:val="16"/>
                              </w:rPr>
                            </w:pPr>
                            <w:r>
                              <w:rPr>
                                <w:rFonts w:ascii="Arial MT"/>
                                <w:spacing w:val="-2"/>
                                <w:sz w:val="16"/>
                              </w:rPr>
                              <w:t>234.446</w:t>
                            </w:r>
                          </w:p>
                        </w:tc>
                        <w:tc>
                          <w:tcPr>
                            <w:tcW w:w="1253" w:type="dxa"/>
                          </w:tcPr>
                          <w:p w14:paraId="278F169B" w14:textId="77777777" w:rsidR="002C6574" w:rsidRDefault="00000000">
                            <w:pPr>
                              <w:pStyle w:val="TableParagraph"/>
                              <w:spacing w:before="22"/>
                              <w:ind w:right="69"/>
                              <w:rPr>
                                <w:rFonts w:ascii="Arial MT"/>
                                <w:sz w:val="16"/>
                              </w:rPr>
                            </w:pPr>
                            <w:r>
                              <w:rPr>
                                <w:rFonts w:ascii="Arial MT"/>
                                <w:spacing w:val="-10"/>
                                <w:sz w:val="16"/>
                              </w:rPr>
                              <w:t>-</w:t>
                            </w:r>
                          </w:p>
                        </w:tc>
                      </w:tr>
                    </w:tbl>
                    <w:p w14:paraId="6D3DBEAD" w14:textId="77777777" w:rsidR="002C6574" w:rsidRDefault="002C6574">
                      <w:pPr>
                        <w:pStyle w:val="Corpodetexto"/>
                      </w:pPr>
                    </w:p>
                  </w:txbxContent>
                </v:textbox>
                <w10:wrap anchorx="page"/>
              </v:shape>
            </w:pict>
          </mc:Fallback>
        </mc:AlternateContent>
      </w:r>
      <w:r>
        <w:rPr>
          <w:rFonts w:ascii="Arial MT"/>
        </w:rPr>
        <w:t>Os</w:t>
      </w:r>
      <w:r>
        <w:rPr>
          <w:rFonts w:ascii="Arial MT"/>
          <w:spacing w:val="-7"/>
        </w:rPr>
        <w:t xml:space="preserve"> </w:t>
      </w:r>
      <w:r>
        <w:rPr>
          <w:rFonts w:ascii="Arial MT"/>
        </w:rPr>
        <w:t>valores</w:t>
      </w:r>
      <w:r>
        <w:rPr>
          <w:rFonts w:ascii="Arial MT"/>
          <w:spacing w:val="-6"/>
        </w:rPr>
        <w:t xml:space="preserve"> </w:t>
      </w:r>
      <w:r>
        <w:rPr>
          <w:rFonts w:ascii="Arial MT"/>
        </w:rPr>
        <w:t>recebidos</w:t>
      </w:r>
      <w:r>
        <w:rPr>
          <w:rFonts w:ascii="Arial MT"/>
          <w:spacing w:val="-7"/>
        </w:rPr>
        <w:t xml:space="preserve"> </w:t>
      </w:r>
      <w:r>
        <w:rPr>
          <w:rFonts w:ascii="Arial MT"/>
        </w:rPr>
        <w:t>foram</w:t>
      </w:r>
      <w:r>
        <w:rPr>
          <w:rFonts w:ascii="Arial MT"/>
          <w:spacing w:val="-4"/>
        </w:rPr>
        <w:t xml:space="preserve"> </w:t>
      </w:r>
      <w:r>
        <w:rPr>
          <w:rFonts w:ascii="Arial MT"/>
        </w:rPr>
        <w:t>aplicados</w:t>
      </w:r>
      <w:r>
        <w:rPr>
          <w:rFonts w:ascii="Arial MT"/>
          <w:spacing w:val="-4"/>
        </w:rPr>
        <w:t xml:space="preserve"> </w:t>
      </w:r>
      <w:r>
        <w:rPr>
          <w:rFonts w:ascii="Arial MT"/>
        </w:rPr>
        <w:t>da</w:t>
      </w:r>
      <w:r>
        <w:rPr>
          <w:rFonts w:ascii="Arial MT"/>
          <w:spacing w:val="-7"/>
        </w:rPr>
        <w:t xml:space="preserve"> </w:t>
      </w:r>
      <w:r>
        <w:rPr>
          <w:rFonts w:ascii="Arial MT"/>
        </w:rPr>
        <w:t>seguinte</w:t>
      </w:r>
      <w:r>
        <w:rPr>
          <w:rFonts w:ascii="Arial MT"/>
          <w:spacing w:val="-4"/>
        </w:rPr>
        <w:t xml:space="preserve"> </w:t>
      </w:r>
      <w:r>
        <w:rPr>
          <w:rFonts w:ascii="Arial MT"/>
          <w:spacing w:val="-2"/>
        </w:rPr>
        <w:t>forma:</w:t>
      </w:r>
    </w:p>
    <w:p w14:paraId="2A5BEDDF" w14:textId="77777777" w:rsidR="002C6574" w:rsidRDefault="002C6574">
      <w:pPr>
        <w:pStyle w:val="Corpodetexto"/>
        <w:spacing w:before="4"/>
        <w:rPr>
          <w:rFonts w:ascii="Arial MT"/>
          <w:sz w:val="19"/>
        </w:rPr>
      </w:pPr>
    </w:p>
    <w:tbl>
      <w:tblPr>
        <w:tblStyle w:val="TableNormal"/>
        <w:tblW w:w="0" w:type="auto"/>
        <w:tblInd w:w="434" w:type="dxa"/>
        <w:tblLayout w:type="fixed"/>
        <w:tblLook w:val="01E0" w:firstRow="1" w:lastRow="1" w:firstColumn="1" w:lastColumn="1" w:noHBand="0" w:noVBand="0"/>
      </w:tblPr>
      <w:tblGrid>
        <w:gridCol w:w="1930"/>
        <w:gridCol w:w="1008"/>
        <w:gridCol w:w="894"/>
        <w:gridCol w:w="875"/>
        <w:gridCol w:w="184"/>
        <w:gridCol w:w="963"/>
        <w:gridCol w:w="859"/>
        <w:gridCol w:w="190"/>
        <w:gridCol w:w="1254"/>
        <w:gridCol w:w="1254"/>
        <w:gridCol w:w="1132"/>
      </w:tblGrid>
      <w:tr w:rsidR="002C6574" w14:paraId="537741DA" w14:textId="77777777">
        <w:trPr>
          <w:trHeight w:val="202"/>
        </w:trPr>
        <w:tc>
          <w:tcPr>
            <w:tcW w:w="3832" w:type="dxa"/>
            <w:gridSpan w:val="3"/>
          </w:tcPr>
          <w:p w14:paraId="23C155C3" w14:textId="77777777" w:rsidR="002C6574" w:rsidRDefault="002C6574">
            <w:pPr>
              <w:pStyle w:val="TableParagraph"/>
              <w:jc w:val="left"/>
              <w:rPr>
                <w:rFonts w:ascii="Times New Roman"/>
                <w:sz w:val="14"/>
              </w:rPr>
            </w:pPr>
          </w:p>
        </w:tc>
        <w:tc>
          <w:tcPr>
            <w:tcW w:w="875" w:type="dxa"/>
            <w:tcBorders>
              <w:bottom w:val="single" w:sz="8" w:space="0" w:color="000000"/>
            </w:tcBorders>
          </w:tcPr>
          <w:p w14:paraId="4B03D3D6" w14:textId="77777777" w:rsidR="002C6574" w:rsidRDefault="00000000">
            <w:pPr>
              <w:pStyle w:val="TableParagraph"/>
              <w:spacing w:line="179" w:lineRule="exact"/>
              <w:ind w:left="81" w:right="-29"/>
              <w:jc w:val="left"/>
              <w:rPr>
                <w:rFonts w:ascii="Arial"/>
                <w:b/>
                <w:sz w:val="16"/>
              </w:rPr>
            </w:pPr>
            <w:r>
              <w:rPr>
                <w:rFonts w:ascii="Arial"/>
                <w:b/>
                <w:spacing w:val="-2"/>
                <w:sz w:val="16"/>
              </w:rPr>
              <w:t>Trimestres</w:t>
            </w:r>
          </w:p>
        </w:tc>
        <w:tc>
          <w:tcPr>
            <w:tcW w:w="184" w:type="dxa"/>
            <w:tcBorders>
              <w:bottom w:val="single" w:sz="8" w:space="0" w:color="000000"/>
            </w:tcBorders>
          </w:tcPr>
          <w:p w14:paraId="6CE282D8" w14:textId="77777777" w:rsidR="002C6574" w:rsidRDefault="002C6574">
            <w:pPr>
              <w:pStyle w:val="TableParagraph"/>
              <w:jc w:val="left"/>
              <w:rPr>
                <w:rFonts w:ascii="Times New Roman"/>
                <w:sz w:val="14"/>
              </w:rPr>
            </w:pPr>
          </w:p>
        </w:tc>
        <w:tc>
          <w:tcPr>
            <w:tcW w:w="963" w:type="dxa"/>
            <w:tcBorders>
              <w:bottom w:val="single" w:sz="8" w:space="0" w:color="000000"/>
            </w:tcBorders>
          </w:tcPr>
          <w:p w14:paraId="48C28AF5" w14:textId="77777777" w:rsidR="002C6574" w:rsidRDefault="002C6574">
            <w:pPr>
              <w:pStyle w:val="TableParagraph"/>
              <w:jc w:val="left"/>
              <w:rPr>
                <w:rFonts w:ascii="Times New Roman"/>
                <w:sz w:val="14"/>
              </w:rPr>
            </w:pPr>
          </w:p>
        </w:tc>
        <w:tc>
          <w:tcPr>
            <w:tcW w:w="859" w:type="dxa"/>
            <w:tcBorders>
              <w:bottom w:val="single" w:sz="8" w:space="0" w:color="000000"/>
            </w:tcBorders>
          </w:tcPr>
          <w:p w14:paraId="6A59C7D2" w14:textId="77777777" w:rsidR="002C6574" w:rsidRDefault="002C6574">
            <w:pPr>
              <w:pStyle w:val="TableParagraph"/>
              <w:jc w:val="left"/>
              <w:rPr>
                <w:rFonts w:ascii="Times New Roman"/>
                <w:sz w:val="14"/>
              </w:rPr>
            </w:pPr>
          </w:p>
        </w:tc>
        <w:tc>
          <w:tcPr>
            <w:tcW w:w="3830" w:type="dxa"/>
            <w:gridSpan w:val="4"/>
            <w:vMerge w:val="restart"/>
          </w:tcPr>
          <w:p w14:paraId="1153B5EF" w14:textId="77777777" w:rsidR="002C6574" w:rsidRDefault="002C6574">
            <w:pPr>
              <w:pStyle w:val="TableParagraph"/>
              <w:jc w:val="left"/>
              <w:rPr>
                <w:rFonts w:ascii="Times New Roman"/>
                <w:sz w:val="18"/>
              </w:rPr>
            </w:pPr>
          </w:p>
        </w:tc>
      </w:tr>
      <w:tr w:rsidR="002C6574" w14:paraId="6816E538" w14:textId="77777777">
        <w:trPr>
          <w:trHeight w:val="40"/>
        </w:trPr>
        <w:tc>
          <w:tcPr>
            <w:tcW w:w="1930" w:type="dxa"/>
            <w:shd w:val="clear" w:color="auto" w:fill="0000FF"/>
          </w:tcPr>
          <w:p w14:paraId="21263298" w14:textId="77777777" w:rsidR="002C6574" w:rsidRDefault="002C6574">
            <w:pPr>
              <w:pStyle w:val="TableParagraph"/>
              <w:jc w:val="left"/>
              <w:rPr>
                <w:rFonts w:ascii="Times New Roman"/>
                <w:sz w:val="2"/>
              </w:rPr>
            </w:pPr>
          </w:p>
        </w:tc>
        <w:tc>
          <w:tcPr>
            <w:tcW w:w="1008" w:type="dxa"/>
            <w:tcBorders>
              <w:top w:val="single" w:sz="8" w:space="0" w:color="000000"/>
            </w:tcBorders>
            <w:shd w:val="clear" w:color="auto" w:fill="0000FF"/>
          </w:tcPr>
          <w:p w14:paraId="516FC85C" w14:textId="77777777" w:rsidR="002C6574" w:rsidRDefault="002C6574">
            <w:pPr>
              <w:pStyle w:val="TableParagraph"/>
              <w:jc w:val="left"/>
              <w:rPr>
                <w:rFonts w:ascii="Times New Roman"/>
                <w:sz w:val="2"/>
              </w:rPr>
            </w:pPr>
          </w:p>
        </w:tc>
        <w:tc>
          <w:tcPr>
            <w:tcW w:w="894" w:type="dxa"/>
            <w:tcBorders>
              <w:top w:val="single" w:sz="8" w:space="0" w:color="000000"/>
            </w:tcBorders>
            <w:shd w:val="clear" w:color="auto" w:fill="0000FF"/>
          </w:tcPr>
          <w:p w14:paraId="486654C7" w14:textId="77777777" w:rsidR="002C6574" w:rsidRDefault="002C6574">
            <w:pPr>
              <w:pStyle w:val="TableParagraph"/>
              <w:jc w:val="left"/>
              <w:rPr>
                <w:rFonts w:ascii="Times New Roman"/>
                <w:sz w:val="2"/>
              </w:rPr>
            </w:pPr>
          </w:p>
        </w:tc>
        <w:tc>
          <w:tcPr>
            <w:tcW w:w="875" w:type="dxa"/>
            <w:tcBorders>
              <w:top w:val="single" w:sz="8" w:space="0" w:color="000000"/>
            </w:tcBorders>
            <w:shd w:val="clear" w:color="auto" w:fill="0000FF"/>
          </w:tcPr>
          <w:p w14:paraId="18CF2A97" w14:textId="77777777" w:rsidR="002C6574" w:rsidRDefault="002C6574">
            <w:pPr>
              <w:pStyle w:val="TableParagraph"/>
              <w:jc w:val="left"/>
              <w:rPr>
                <w:rFonts w:ascii="Times New Roman"/>
                <w:sz w:val="2"/>
              </w:rPr>
            </w:pPr>
          </w:p>
        </w:tc>
        <w:tc>
          <w:tcPr>
            <w:tcW w:w="184" w:type="dxa"/>
            <w:tcBorders>
              <w:top w:val="single" w:sz="8" w:space="0" w:color="000000"/>
            </w:tcBorders>
          </w:tcPr>
          <w:p w14:paraId="5EA1A398" w14:textId="77777777" w:rsidR="002C6574" w:rsidRDefault="002C6574">
            <w:pPr>
              <w:pStyle w:val="TableParagraph"/>
              <w:jc w:val="left"/>
              <w:rPr>
                <w:rFonts w:ascii="Times New Roman"/>
                <w:sz w:val="2"/>
              </w:rPr>
            </w:pPr>
          </w:p>
        </w:tc>
        <w:tc>
          <w:tcPr>
            <w:tcW w:w="963" w:type="dxa"/>
            <w:tcBorders>
              <w:top w:val="single" w:sz="8" w:space="0" w:color="000000"/>
            </w:tcBorders>
            <w:shd w:val="clear" w:color="auto" w:fill="0000FF"/>
          </w:tcPr>
          <w:p w14:paraId="7A0DD5A8" w14:textId="77777777" w:rsidR="002C6574" w:rsidRDefault="002C6574">
            <w:pPr>
              <w:pStyle w:val="TableParagraph"/>
              <w:jc w:val="left"/>
              <w:rPr>
                <w:rFonts w:ascii="Times New Roman"/>
                <w:sz w:val="2"/>
              </w:rPr>
            </w:pPr>
          </w:p>
        </w:tc>
        <w:tc>
          <w:tcPr>
            <w:tcW w:w="859" w:type="dxa"/>
            <w:tcBorders>
              <w:top w:val="single" w:sz="8" w:space="0" w:color="000000"/>
            </w:tcBorders>
            <w:shd w:val="clear" w:color="auto" w:fill="0000FF"/>
          </w:tcPr>
          <w:p w14:paraId="7FCA8D42" w14:textId="77777777" w:rsidR="002C6574" w:rsidRDefault="002C6574">
            <w:pPr>
              <w:pStyle w:val="TableParagraph"/>
              <w:jc w:val="left"/>
              <w:rPr>
                <w:rFonts w:ascii="Times New Roman"/>
                <w:sz w:val="2"/>
              </w:rPr>
            </w:pPr>
          </w:p>
        </w:tc>
        <w:tc>
          <w:tcPr>
            <w:tcW w:w="3830" w:type="dxa"/>
            <w:gridSpan w:val="4"/>
            <w:vMerge/>
            <w:tcBorders>
              <w:top w:val="nil"/>
            </w:tcBorders>
          </w:tcPr>
          <w:p w14:paraId="189A074D" w14:textId="77777777" w:rsidR="002C6574" w:rsidRDefault="002C6574">
            <w:pPr>
              <w:rPr>
                <w:sz w:val="2"/>
                <w:szCs w:val="2"/>
              </w:rPr>
            </w:pPr>
          </w:p>
        </w:tc>
      </w:tr>
      <w:tr w:rsidR="002C6574" w14:paraId="339F133E" w14:textId="77777777">
        <w:trPr>
          <w:trHeight w:val="233"/>
        </w:trPr>
        <w:tc>
          <w:tcPr>
            <w:tcW w:w="1930" w:type="dxa"/>
            <w:shd w:val="clear" w:color="auto" w:fill="0000FF"/>
          </w:tcPr>
          <w:p w14:paraId="516483CA" w14:textId="77777777" w:rsidR="002C6574" w:rsidRDefault="00000000">
            <w:pPr>
              <w:pStyle w:val="TableParagraph"/>
              <w:spacing w:before="49" w:line="164" w:lineRule="exact"/>
              <w:ind w:left="69"/>
              <w:jc w:val="left"/>
              <w:rPr>
                <w:rFonts w:ascii="Arial"/>
                <w:b/>
                <w:sz w:val="16"/>
              </w:rPr>
            </w:pPr>
            <w:r>
              <w:rPr>
                <w:rFonts w:ascii="Arial"/>
                <w:b/>
                <w:color w:val="FFFFFF"/>
                <w:sz w:val="16"/>
              </w:rPr>
              <w:t>R$</w:t>
            </w:r>
            <w:r>
              <w:rPr>
                <w:rFonts w:ascii="Arial"/>
                <w:b/>
                <w:color w:val="FFFFFF"/>
                <w:spacing w:val="-1"/>
                <w:sz w:val="16"/>
              </w:rPr>
              <w:t xml:space="preserve"> </w:t>
            </w:r>
            <w:r>
              <w:rPr>
                <w:rFonts w:ascii="Arial"/>
                <w:b/>
                <w:color w:val="FFFFFF"/>
                <w:spacing w:val="-5"/>
                <w:sz w:val="16"/>
              </w:rPr>
              <w:t>mil</w:t>
            </w:r>
          </w:p>
        </w:tc>
        <w:tc>
          <w:tcPr>
            <w:tcW w:w="1008" w:type="dxa"/>
            <w:shd w:val="clear" w:color="auto" w:fill="0000FF"/>
          </w:tcPr>
          <w:p w14:paraId="1820AC2F" w14:textId="77777777" w:rsidR="002C6574" w:rsidRDefault="00000000">
            <w:pPr>
              <w:pStyle w:val="TableParagraph"/>
              <w:spacing w:before="25"/>
              <w:ind w:left="321"/>
              <w:jc w:val="left"/>
              <w:rPr>
                <w:rFonts w:ascii="Arial"/>
                <w:b/>
                <w:sz w:val="16"/>
              </w:rPr>
            </w:pPr>
            <w:r>
              <w:rPr>
                <w:rFonts w:ascii="Arial"/>
                <w:b/>
                <w:color w:val="FFFFFF"/>
                <w:spacing w:val="-4"/>
                <w:sz w:val="16"/>
              </w:rPr>
              <w:t>4T25</w:t>
            </w:r>
          </w:p>
        </w:tc>
        <w:tc>
          <w:tcPr>
            <w:tcW w:w="894" w:type="dxa"/>
            <w:shd w:val="clear" w:color="auto" w:fill="0000FF"/>
          </w:tcPr>
          <w:p w14:paraId="387A4BB6" w14:textId="77777777" w:rsidR="002C6574" w:rsidRDefault="00000000">
            <w:pPr>
              <w:pStyle w:val="TableParagraph"/>
              <w:spacing w:before="25"/>
              <w:ind w:left="257"/>
              <w:jc w:val="left"/>
              <w:rPr>
                <w:rFonts w:ascii="Arial"/>
                <w:b/>
                <w:sz w:val="16"/>
              </w:rPr>
            </w:pPr>
            <w:r>
              <w:rPr>
                <w:rFonts w:ascii="Arial"/>
                <w:b/>
                <w:color w:val="FFFFFF"/>
                <w:spacing w:val="-4"/>
                <w:sz w:val="16"/>
              </w:rPr>
              <w:t>4T24</w:t>
            </w:r>
          </w:p>
        </w:tc>
        <w:tc>
          <w:tcPr>
            <w:tcW w:w="875" w:type="dxa"/>
            <w:shd w:val="clear" w:color="auto" w:fill="0000FF"/>
          </w:tcPr>
          <w:p w14:paraId="46B74747" w14:textId="77777777" w:rsidR="002C6574" w:rsidRDefault="00000000">
            <w:pPr>
              <w:pStyle w:val="TableParagraph"/>
              <w:spacing w:before="25"/>
              <w:ind w:left="244"/>
              <w:jc w:val="left"/>
              <w:rPr>
                <w:rFonts w:ascii="Arial"/>
                <w:b/>
                <w:sz w:val="16"/>
              </w:rPr>
            </w:pPr>
            <w:r>
              <w:rPr>
                <w:rFonts w:ascii="Arial"/>
                <w:b/>
                <w:color w:val="FFFFFF"/>
                <w:spacing w:val="-4"/>
                <w:sz w:val="16"/>
              </w:rPr>
              <w:t>3T25</w:t>
            </w:r>
          </w:p>
        </w:tc>
        <w:tc>
          <w:tcPr>
            <w:tcW w:w="184" w:type="dxa"/>
          </w:tcPr>
          <w:p w14:paraId="0036578C" w14:textId="77777777" w:rsidR="002C6574" w:rsidRDefault="002C6574">
            <w:pPr>
              <w:pStyle w:val="TableParagraph"/>
              <w:jc w:val="left"/>
              <w:rPr>
                <w:rFonts w:ascii="Times New Roman"/>
                <w:sz w:val="16"/>
              </w:rPr>
            </w:pPr>
          </w:p>
        </w:tc>
        <w:tc>
          <w:tcPr>
            <w:tcW w:w="963" w:type="dxa"/>
            <w:shd w:val="clear" w:color="auto" w:fill="0000FF"/>
          </w:tcPr>
          <w:p w14:paraId="3FC946CA" w14:textId="77777777" w:rsidR="002C6574" w:rsidRDefault="00000000">
            <w:pPr>
              <w:pStyle w:val="TableParagraph"/>
              <w:spacing w:before="25"/>
              <w:ind w:left="217"/>
              <w:jc w:val="left"/>
              <w:rPr>
                <w:rFonts w:ascii="Arial" w:hAnsi="Arial"/>
                <w:b/>
                <w:sz w:val="16"/>
              </w:rPr>
            </w:pPr>
            <w:r>
              <w:rPr>
                <w:rFonts w:ascii="Arial" w:hAnsi="Arial"/>
                <w:b/>
                <w:color w:val="FFFFFF"/>
                <w:sz w:val="16"/>
              </w:rPr>
              <w:t xml:space="preserve">Δ </w:t>
            </w:r>
            <w:r>
              <w:rPr>
                <w:rFonts w:ascii="Arial" w:hAnsi="Arial"/>
                <w:b/>
                <w:color w:val="FFFFFF"/>
                <w:spacing w:val="-5"/>
                <w:sz w:val="16"/>
              </w:rPr>
              <w:t>Ano</w:t>
            </w:r>
          </w:p>
        </w:tc>
        <w:tc>
          <w:tcPr>
            <w:tcW w:w="859" w:type="dxa"/>
            <w:shd w:val="clear" w:color="auto" w:fill="0000FF"/>
          </w:tcPr>
          <w:p w14:paraId="27AD7E50" w14:textId="77777777" w:rsidR="002C6574" w:rsidRDefault="00000000">
            <w:pPr>
              <w:pStyle w:val="TableParagraph"/>
              <w:spacing w:before="25"/>
              <w:ind w:left="128"/>
              <w:jc w:val="left"/>
              <w:rPr>
                <w:rFonts w:ascii="Arial" w:hAnsi="Arial"/>
                <w:b/>
                <w:sz w:val="16"/>
              </w:rPr>
            </w:pPr>
            <w:r>
              <w:rPr>
                <w:rFonts w:ascii="Arial" w:hAnsi="Arial"/>
                <w:b/>
                <w:color w:val="FFFFFF"/>
                <w:sz w:val="16"/>
              </w:rPr>
              <w:t>Δ</w:t>
            </w:r>
            <w:r>
              <w:rPr>
                <w:rFonts w:ascii="Arial" w:hAnsi="Arial"/>
                <w:b/>
                <w:color w:val="FFFFFF"/>
                <w:spacing w:val="-2"/>
                <w:sz w:val="16"/>
              </w:rPr>
              <w:t xml:space="preserve"> Trim.</w:t>
            </w:r>
          </w:p>
        </w:tc>
        <w:tc>
          <w:tcPr>
            <w:tcW w:w="190" w:type="dxa"/>
          </w:tcPr>
          <w:p w14:paraId="45D39D80" w14:textId="77777777" w:rsidR="002C6574" w:rsidRDefault="002C6574">
            <w:pPr>
              <w:pStyle w:val="TableParagraph"/>
              <w:jc w:val="left"/>
              <w:rPr>
                <w:rFonts w:ascii="Times New Roman"/>
                <w:sz w:val="16"/>
              </w:rPr>
            </w:pPr>
          </w:p>
        </w:tc>
        <w:tc>
          <w:tcPr>
            <w:tcW w:w="1254" w:type="dxa"/>
          </w:tcPr>
          <w:p w14:paraId="624E1A8E" w14:textId="77777777" w:rsidR="002C6574" w:rsidRDefault="002C6574">
            <w:pPr>
              <w:pStyle w:val="TableParagraph"/>
              <w:jc w:val="left"/>
              <w:rPr>
                <w:rFonts w:ascii="Times New Roman"/>
                <w:sz w:val="16"/>
              </w:rPr>
            </w:pPr>
          </w:p>
        </w:tc>
        <w:tc>
          <w:tcPr>
            <w:tcW w:w="1254" w:type="dxa"/>
          </w:tcPr>
          <w:p w14:paraId="695D985E" w14:textId="77777777" w:rsidR="002C6574" w:rsidRDefault="002C6574">
            <w:pPr>
              <w:pStyle w:val="TableParagraph"/>
              <w:jc w:val="left"/>
              <w:rPr>
                <w:rFonts w:ascii="Times New Roman"/>
                <w:sz w:val="16"/>
              </w:rPr>
            </w:pPr>
          </w:p>
        </w:tc>
        <w:tc>
          <w:tcPr>
            <w:tcW w:w="1132" w:type="dxa"/>
          </w:tcPr>
          <w:p w14:paraId="46AB45BC" w14:textId="77777777" w:rsidR="002C6574" w:rsidRDefault="00000000">
            <w:pPr>
              <w:pStyle w:val="TableParagraph"/>
              <w:tabs>
                <w:tab w:val="left" w:pos="890"/>
              </w:tabs>
              <w:spacing w:before="25"/>
              <w:ind w:right="50"/>
              <w:rPr>
                <w:rFonts w:ascii="Arial" w:hAnsi="Arial"/>
                <w:b/>
                <w:sz w:val="16"/>
              </w:rPr>
            </w:pPr>
            <w:r>
              <w:rPr>
                <w:rFonts w:ascii="Times New Roman" w:hAnsi="Times New Roman"/>
                <w:color w:val="FFFFFF"/>
                <w:spacing w:val="64"/>
                <w:sz w:val="16"/>
                <w:highlight w:val="blue"/>
              </w:rPr>
              <w:t xml:space="preserve">  </w:t>
            </w:r>
            <w:r>
              <w:rPr>
                <w:rFonts w:ascii="Arial" w:hAnsi="Arial"/>
                <w:b/>
                <w:color w:val="FFFFFF"/>
                <w:sz w:val="16"/>
                <w:highlight w:val="blue"/>
              </w:rPr>
              <w:t xml:space="preserve">Δ </w:t>
            </w:r>
            <w:r>
              <w:rPr>
                <w:rFonts w:ascii="Arial" w:hAnsi="Arial"/>
                <w:b/>
                <w:color w:val="FFFFFF"/>
                <w:spacing w:val="-5"/>
                <w:sz w:val="16"/>
                <w:highlight w:val="blue"/>
              </w:rPr>
              <w:t>Ano</w:t>
            </w:r>
            <w:r>
              <w:rPr>
                <w:rFonts w:ascii="Arial" w:hAnsi="Arial"/>
                <w:b/>
                <w:color w:val="FFFFFF"/>
                <w:sz w:val="16"/>
                <w:highlight w:val="blue"/>
              </w:rPr>
              <w:tab/>
            </w:r>
          </w:p>
        </w:tc>
      </w:tr>
      <w:tr w:rsidR="002C6574" w14:paraId="60320F59" w14:textId="77777777">
        <w:trPr>
          <w:trHeight w:val="234"/>
        </w:trPr>
        <w:tc>
          <w:tcPr>
            <w:tcW w:w="1930" w:type="dxa"/>
          </w:tcPr>
          <w:p w14:paraId="78B1F21C" w14:textId="77777777" w:rsidR="002C6574" w:rsidRDefault="00000000">
            <w:pPr>
              <w:pStyle w:val="TableParagraph"/>
              <w:spacing w:before="25"/>
              <w:ind w:left="69"/>
              <w:jc w:val="left"/>
              <w:rPr>
                <w:rFonts w:ascii="Arial MT"/>
                <w:sz w:val="16"/>
              </w:rPr>
            </w:pPr>
            <w:r>
              <w:rPr>
                <w:rFonts w:ascii="Arial MT"/>
                <w:spacing w:val="-2"/>
                <w:sz w:val="16"/>
              </w:rPr>
              <w:t>Pessoal</w:t>
            </w:r>
          </w:p>
        </w:tc>
        <w:tc>
          <w:tcPr>
            <w:tcW w:w="1008" w:type="dxa"/>
            <w:shd w:val="clear" w:color="auto" w:fill="66FFFF"/>
          </w:tcPr>
          <w:p w14:paraId="5DA20C0A" w14:textId="77777777" w:rsidR="002C6574" w:rsidRDefault="00000000">
            <w:pPr>
              <w:pStyle w:val="TableParagraph"/>
              <w:spacing w:before="25"/>
              <w:ind w:right="66"/>
              <w:rPr>
                <w:rFonts w:ascii="Arial MT"/>
                <w:sz w:val="16"/>
              </w:rPr>
            </w:pPr>
            <w:r>
              <w:rPr>
                <w:rFonts w:ascii="Arial MT"/>
                <w:spacing w:val="-10"/>
                <w:sz w:val="16"/>
              </w:rPr>
              <w:t>-</w:t>
            </w:r>
          </w:p>
        </w:tc>
        <w:tc>
          <w:tcPr>
            <w:tcW w:w="894" w:type="dxa"/>
          </w:tcPr>
          <w:p w14:paraId="2CB4BCD1" w14:textId="77777777" w:rsidR="002C6574" w:rsidRDefault="00000000">
            <w:pPr>
              <w:pStyle w:val="TableParagraph"/>
              <w:spacing w:before="25"/>
              <w:ind w:right="77"/>
              <w:rPr>
                <w:rFonts w:ascii="Arial MT"/>
                <w:sz w:val="16"/>
              </w:rPr>
            </w:pPr>
            <w:r>
              <w:rPr>
                <w:rFonts w:ascii="Arial MT"/>
                <w:spacing w:val="-2"/>
                <w:sz w:val="16"/>
              </w:rPr>
              <w:t>5.772</w:t>
            </w:r>
          </w:p>
        </w:tc>
        <w:tc>
          <w:tcPr>
            <w:tcW w:w="875" w:type="dxa"/>
          </w:tcPr>
          <w:p w14:paraId="2CBC67F5" w14:textId="77777777" w:rsidR="002C6574" w:rsidRDefault="00000000">
            <w:pPr>
              <w:pStyle w:val="TableParagraph"/>
              <w:spacing w:before="25"/>
              <w:ind w:left="311"/>
              <w:jc w:val="left"/>
              <w:rPr>
                <w:rFonts w:ascii="Arial MT"/>
                <w:sz w:val="16"/>
              </w:rPr>
            </w:pPr>
            <w:r>
              <w:rPr>
                <w:rFonts w:ascii="Arial MT"/>
                <w:spacing w:val="-2"/>
                <w:sz w:val="16"/>
              </w:rPr>
              <w:t>25.821</w:t>
            </w:r>
          </w:p>
        </w:tc>
        <w:tc>
          <w:tcPr>
            <w:tcW w:w="184" w:type="dxa"/>
          </w:tcPr>
          <w:p w14:paraId="52ECE729" w14:textId="77777777" w:rsidR="002C6574" w:rsidRDefault="002C6574">
            <w:pPr>
              <w:pStyle w:val="TableParagraph"/>
              <w:jc w:val="left"/>
              <w:rPr>
                <w:rFonts w:ascii="Times New Roman"/>
                <w:sz w:val="16"/>
              </w:rPr>
            </w:pPr>
          </w:p>
        </w:tc>
        <w:tc>
          <w:tcPr>
            <w:tcW w:w="963" w:type="dxa"/>
          </w:tcPr>
          <w:p w14:paraId="656D02D5" w14:textId="77777777" w:rsidR="002C6574" w:rsidRDefault="00000000">
            <w:pPr>
              <w:pStyle w:val="TableParagraph"/>
              <w:spacing w:before="25"/>
              <w:ind w:left="241"/>
              <w:jc w:val="left"/>
              <w:rPr>
                <w:rFonts w:ascii="Arial MT"/>
                <w:sz w:val="16"/>
              </w:rPr>
            </w:pPr>
            <w:r>
              <w:rPr>
                <w:rFonts w:ascii="Arial MT"/>
                <w:spacing w:val="-2"/>
                <w:sz w:val="16"/>
              </w:rPr>
              <w:t>-100,0%</w:t>
            </w:r>
          </w:p>
        </w:tc>
        <w:tc>
          <w:tcPr>
            <w:tcW w:w="859" w:type="dxa"/>
          </w:tcPr>
          <w:p w14:paraId="221297A6" w14:textId="77777777" w:rsidR="002C6574" w:rsidRDefault="00000000">
            <w:pPr>
              <w:pStyle w:val="TableParagraph"/>
              <w:spacing w:before="25"/>
              <w:ind w:right="65"/>
              <w:rPr>
                <w:rFonts w:ascii="Arial MT"/>
                <w:sz w:val="16"/>
              </w:rPr>
            </w:pPr>
            <w:r>
              <w:rPr>
                <w:rFonts w:ascii="Arial MT"/>
                <w:spacing w:val="-2"/>
                <w:sz w:val="16"/>
              </w:rPr>
              <w:t>-100,0%</w:t>
            </w:r>
          </w:p>
        </w:tc>
        <w:tc>
          <w:tcPr>
            <w:tcW w:w="190" w:type="dxa"/>
          </w:tcPr>
          <w:p w14:paraId="3E506EDB" w14:textId="77777777" w:rsidR="002C6574" w:rsidRDefault="002C6574">
            <w:pPr>
              <w:pStyle w:val="TableParagraph"/>
              <w:jc w:val="left"/>
              <w:rPr>
                <w:rFonts w:ascii="Times New Roman"/>
                <w:sz w:val="16"/>
              </w:rPr>
            </w:pPr>
          </w:p>
        </w:tc>
        <w:tc>
          <w:tcPr>
            <w:tcW w:w="1254" w:type="dxa"/>
          </w:tcPr>
          <w:p w14:paraId="2EB9A033" w14:textId="77777777" w:rsidR="002C6574" w:rsidRDefault="002C6574">
            <w:pPr>
              <w:pStyle w:val="TableParagraph"/>
              <w:jc w:val="left"/>
              <w:rPr>
                <w:rFonts w:ascii="Times New Roman"/>
                <w:sz w:val="16"/>
              </w:rPr>
            </w:pPr>
          </w:p>
        </w:tc>
        <w:tc>
          <w:tcPr>
            <w:tcW w:w="1254" w:type="dxa"/>
          </w:tcPr>
          <w:p w14:paraId="224399CC" w14:textId="77777777" w:rsidR="002C6574" w:rsidRDefault="002C6574">
            <w:pPr>
              <w:pStyle w:val="TableParagraph"/>
              <w:jc w:val="left"/>
              <w:rPr>
                <w:rFonts w:ascii="Times New Roman"/>
                <w:sz w:val="16"/>
              </w:rPr>
            </w:pPr>
          </w:p>
        </w:tc>
        <w:tc>
          <w:tcPr>
            <w:tcW w:w="1132" w:type="dxa"/>
          </w:tcPr>
          <w:p w14:paraId="166FF5B6" w14:textId="77777777" w:rsidR="002C6574" w:rsidRDefault="00000000">
            <w:pPr>
              <w:pStyle w:val="TableParagraph"/>
              <w:spacing w:before="24"/>
              <w:ind w:right="121"/>
              <w:rPr>
                <w:rFonts w:ascii="Arial MT"/>
                <w:sz w:val="16"/>
              </w:rPr>
            </w:pPr>
            <w:r>
              <w:rPr>
                <w:rFonts w:ascii="Arial MT"/>
                <w:spacing w:val="-4"/>
                <w:sz w:val="16"/>
              </w:rPr>
              <w:t>8,3%</w:t>
            </w:r>
          </w:p>
        </w:tc>
      </w:tr>
      <w:tr w:rsidR="002C6574" w14:paraId="1BDB6402" w14:textId="77777777">
        <w:trPr>
          <w:trHeight w:val="231"/>
        </w:trPr>
        <w:tc>
          <w:tcPr>
            <w:tcW w:w="1930" w:type="dxa"/>
          </w:tcPr>
          <w:p w14:paraId="7B83A710" w14:textId="77777777" w:rsidR="002C6574" w:rsidRDefault="00000000">
            <w:pPr>
              <w:pStyle w:val="TableParagraph"/>
              <w:spacing w:before="21"/>
              <w:ind w:left="69"/>
              <w:jc w:val="left"/>
              <w:rPr>
                <w:rFonts w:ascii="Arial MT"/>
                <w:sz w:val="16"/>
              </w:rPr>
            </w:pPr>
            <w:r>
              <w:rPr>
                <w:rFonts w:ascii="Arial MT"/>
                <w:sz w:val="16"/>
              </w:rPr>
              <w:t>Outros</w:t>
            </w:r>
            <w:r>
              <w:rPr>
                <w:rFonts w:ascii="Arial MT"/>
                <w:spacing w:val="-4"/>
                <w:sz w:val="16"/>
              </w:rPr>
              <w:t xml:space="preserve"> </w:t>
            </w:r>
            <w:r>
              <w:rPr>
                <w:rFonts w:ascii="Arial MT"/>
                <w:spacing w:val="-2"/>
                <w:sz w:val="16"/>
              </w:rPr>
              <w:t>Custeios</w:t>
            </w:r>
          </w:p>
        </w:tc>
        <w:tc>
          <w:tcPr>
            <w:tcW w:w="1008" w:type="dxa"/>
            <w:shd w:val="clear" w:color="auto" w:fill="66FFFF"/>
          </w:tcPr>
          <w:p w14:paraId="04AD19EF" w14:textId="77777777" w:rsidR="002C6574" w:rsidRDefault="00000000">
            <w:pPr>
              <w:pStyle w:val="TableParagraph"/>
              <w:spacing w:before="21"/>
              <w:ind w:right="66"/>
              <w:rPr>
                <w:rFonts w:ascii="Arial MT"/>
                <w:sz w:val="16"/>
              </w:rPr>
            </w:pPr>
            <w:r>
              <w:rPr>
                <w:rFonts w:ascii="Arial MT"/>
                <w:spacing w:val="-10"/>
                <w:sz w:val="16"/>
              </w:rPr>
              <w:t>-</w:t>
            </w:r>
          </w:p>
        </w:tc>
        <w:tc>
          <w:tcPr>
            <w:tcW w:w="894" w:type="dxa"/>
          </w:tcPr>
          <w:p w14:paraId="7FC8A8E2" w14:textId="77777777" w:rsidR="002C6574" w:rsidRDefault="00000000">
            <w:pPr>
              <w:pStyle w:val="TableParagraph"/>
              <w:spacing w:before="21"/>
              <w:ind w:right="77"/>
              <w:rPr>
                <w:rFonts w:ascii="Arial MT"/>
                <w:sz w:val="16"/>
              </w:rPr>
            </w:pPr>
            <w:r>
              <w:rPr>
                <w:rFonts w:ascii="Arial MT"/>
                <w:spacing w:val="-2"/>
                <w:sz w:val="16"/>
              </w:rPr>
              <w:t>22.585</w:t>
            </w:r>
          </w:p>
        </w:tc>
        <w:tc>
          <w:tcPr>
            <w:tcW w:w="875" w:type="dxa"/>
          </w:tcPr>
          <w:p w14:paraId="5003D5BE" w14:textId="77777777" w:rsidR="002C6574" w:rsidRDefault="00000000">
            <w:pPr>
              <w:pStyle w:val="TableParagraph"/>
              <w:spacing w:before="21"/>
              <w:ind w:left="311"/>
              <w:jc w:val="left"/>
              <w:rPr>
                <w:rFonts w:ascii="Arial MT"/>
                <w:sz w:val="16"/>
              </w:rPr>
            </w:pPr>
            <w:r>
              <w:rPr>
                <w:rFonts w:ascii="Arial MT"/>
                <w:spacing w:val="-2"/>
                <w:sz w:val="16"/>
              </w:rPr>
              <w:t>17.889</w:t>
            </w:r>
          </w:p>
        </w:tc>
        <w:tc>
          <w:tcPr>
            <w:tcW w:w="184" w:type="dxa"/>
          </w:tcPr>
          <w:p w14:paraId="3E2BCCBD" w14:textId="77777777" w:rsidR="002C6574" w:rsidRDefault="002C6574">
            <w:pPr>
              <w:pStyle w:val="TableParagraph"/>
              <w:jc w:val="left"/>
              <w:rPr>
                <w:rFonts w:ascii="Times New Roman"/>
                <w:sz w:val="16"/>
              </w:rPr>
            </w:pPr>
          </w:p>
        </w:tc>
        <w:tc>
          <w:tcPr>
            <w:tcW w:w="963" w:type="dxa"/>
          </w:tcPr>
          <w:p w14:paraId="315A4C06" w14:textId="77777777" w:rsidR="002C6574" w:rsidRDefault="00000000">
            <w:pPr>
              <w:pStyle w:val="TableParagraph"/>
              <w:spacing w:before="21"/>
              <w:ind w:left="241"/>
              <w:jc w:val="left"/>
              <w:rPr>
                <w:rFonts w:ascii="Arial MT"/>
                <w:sz w:val="16"/>
              </w:rPr>
            </w:pPr>
            <w:r>
              <w:rPr>
                <w:rFonts w:ascii="Arial MT"/>
                <w:spacing w:val="-2"/>
                <w:sz w:val="16"/>
              </w:rPr>
              <w:t>-100,0%</w:t>
            </w:r>
          </w:p>
        </w:tc>
        <w:tc>
          <w:tcPr>
            <w:tcW w:w="859" w:type="dxa"/>
          </w:tcPr>
          <w:p w14:paraId="70234217" w14:textId="77777777" w:rsidR="002C6574" w:rsidRDefault="00000000">
            <w:pPr>
              <w:pStyle w:val="TableParagraph"/>
              <w:spacing w:before="21"/>
              <w:ind w:right="65"/>
              <w:rPr>
                <w:rFonts w:ascii="Arial MT"/>
                <w:sz w:val="16"/>
              </w:rPr>
            </w:pPr>
            <w:r>
              <w:rPr>
                <w:rFonts w:ascii="Arial MT"/>
                <w:spacing w:val="-2"/>
                <w:sz w:val="16"/>
              </w:rPr>
              <w:t>-100,0%</w:t>
            </w:r>
          </w:p>
        </w:tc>
        <w:tc>
          <w:tcPr>
            <w:tcW w:w="190" w:type="dxa"/>
          </w:tcPr>
          <w:p w14:paraId="13AB6A3D" w14:textId="77777777" w:rsidR="002C6574" w:rsidRDefault="002C6574">
            <w:pPr>
              <w:pStyle w:val="TableParagraph"/>
              <w:jc w:val="left"/>
              <w:rPr>
                <w:rFonts w:ascii="Times New Roman"/>
                <w:sz w:val="16"/>
              </w:rPr>
            </w:pPr>
          </w:p>
        </w:tc>
        <w:tc>
          <w:tcPr>
            <w:tcW w:w="1254" w:type="dxa"/>
          </w:tcPr>
          <w:p w14:paraId="32175FA2" w14:textId="77777777" w:rsidR="002C6574" w:rsidRDefault="002C6574">
            <w:pPr>
              <w:pStyle w:val="TableParagraph"/>
              <w:jc w:val="left"/>
              <w:rPr>
                <w:rFonts w:ascii="Times New Roman"/>
                <w:sz w:val="16"/>
              </w:rPr>
            </w:pPr>
          </w:p>
        </w:tc>
        <w:tc>
          <w:tcPr>
            <w:tcW w:w="1254" w:type="dxa"/>
          </w:tcPr>
          <w:p w14:paraId="45BC898A" w14:textId="77777777" w:rsidR="002C6574" w:rsidRDefault="002C6574">
            <w:pPr>
              <w:pStyle w:val="TableParagraph"/>
              <w:jc w:val="left"/>
              <w:rPr>
                <w:rFonts w:ascii="Times New Roman"/>
                <w:sz w:val="16"/>
              </w:rPr>
            </w:pPr>
          </w:p>
        </w:tc>
        <w:tc>
          <w:tcPr>
            <w:tcW w:w="1132" w:type="dxa"/>
          </w:tcPr>
          <w:p w14:paraId="6CF55C1B" w14:textId="77777777" w:rsidR="002C6574" w:rsidRDefault="00000000">
            <w:pPr>
              <w:pStyle w:val="TableParagraph"/>
              <w:spacing w:before="21"/>
              <w:ind w:right="121"/>
              <w:rPr>
                <w:rFonts w:ascii="Arial MT"/>
                <w:sz w:val="16"/>
              </w:rPr>
            </w:pPr>
            <w:r>
              <w:rPr>
                <w:rFonts w:ascii="Arial MT"/>
                <w:spacing w:val="-4"/>
                <w:sz w:val="16"/>
              </w:rPr>
              <w:t>9,5%</w:t>
            </w:r>
          </w:p>
        </w:tc>
      </w:tr>
      <w:tr w:rsidR="002C6574" w14:paraId="04BB9DD3" w14:textId="77777777">
        <w:trPr>
          <w:trHeight w:val="230"/>
        </w:trPr>
        <w:tc>
          <w:tcPr>
            <w:tcW w:w="1930" w:type="dxa"/>
          </w:tcPr>
          <w:p w14:paraId="4A985F4B" w14:textId="77777777" w:rsidR="002C6574" w:rsidRDefault="00000000">
            <w:pPr>
              <w:pStyle w:val="TableParagraph"/>
              <w:spacing w:before="22"/>
              <w:ind w:left="69"/>
              <w:jc w:val="left"/>
              <w:rPr>
                <w:rFonts w:ascii="Arial MT" w:hAnsi="Arial MT"/>
                <w:sz w:val="16"/>
              </w:rPr>
            </w:pPr>
            <w:r>
              <w:rPr>
                <w:rFonts w:ascii="Arial MT" w:hAnsi="Arial MT"/>
                <w:sz w:val="16"/>
              </w:rPr>
              <w:t>Contrato</w:t>
            </w:r>
            <w:r>
              <w:rPr>
                <w:rFonts w:ascii="Arial MT" w:hAnsi="Arial MT"/>
                <w:spacing w:val="-3"/>
                <w:sz w:val="16"/>
              </w:rPr>
              <w:t xml:space="preserve"> </w:t>
            </w:r>
            <w:r>
              <w:rPr>
                <w:rFonts w:ascii="Arial MT" w:hAnsi="Arial MT"/>
                <w:sz w:val="16"/>
              </w:rPr>
              <w:t>de</w:t>
            </w:r>
            <w:r>
              <w:rPr>
                <w:rFonts w:ascii="Arial MT" w:hAnsi="Arial MT"/>
                <w:spacing w:val="-3"/>
                <w:sz w:val="16"/>
              </w:rPr>
              <w:t xml:space="preserve"> </w:t>
            </w:r>
            <w:r>
              <w:rPr>
                <w:rFonts w:ascii="Arial MT" w:hAnsi="Arial MT"/>
                <w:spacing w:val="-2"/>
                <w:sz w:val="16"/>
              </w:rPr>
              <w:t>Gestão</w:t>
            </w:r>
          </w:p>
        </w:tc>
        <w:tc>
          <w:tcPr>
            <w:tcW w:w="1008" w:type="dxa"/>
            <w:shd w:val="clear" w:color="auto" w:fill="66FFFF"/>
          </w:tcPr>
          <w:p w14:paraId="528C8D6C" w14:textId="77777777" w:rsidR="002C6574" w:rsidRDefault="00000000">
            <w:pPr>
              <w:pStyle w:val="TableParagraph"/>
              <w:spacing w:before="22"/>
              <w:ind w:right="67"/>
              <w:rPr>
                <w:rFonts w:ascii="Arial MT"/>
                <w:sz w:val="16"/>
              </w:rPr>
            </w:pPr>
            <w:r>
              <w:rPr>
                <w:rFonts w:ascii="Arial MT"/>
                <w:spacing w:val="-2"/>
                <w:sz w:val="16"/>
              </w:rPr>
              <w:t>234.446</w:t>
            </w:r>
          </w:p>
        </w:tc>
        <w:tc>
          <w:tcPr>
            <w:tcW w:w="894" w:type="dxa"/>
          </w:tcPr>
          <w:p w14:paraId="751A4584" w14:textId="77777777" w:rsidR="002C6574" w:rsidRDefault="002C6574">
            <w:pPr>
              <w:pStyle w:val="TableParagraph"/>
              <w:jc w:val="left"/>
              <w:rPr>
                <w:rFonts w:ascii="Times New Roman"/>
                <w:sz w:val="16"/>
              </w:rPr>
            </w:pPr>
          </w:p>
        </w:tc>
        <w:tc>
          <w:tcPr>
            <w:tcW w:w="875" w:type="dxa"/>
          </w:tcPr>
          <w:p w14:paraId="0BE9DEA1" w14:textId="77777777" w:rsidR="002C6574" w:rsidRDefault="002C6574">
            <w:pPr>
              <w:pStyle w:val="TableParagraph"/>
              <w:jc w:val="left"/>
              <w:rPr>
                <w:rFonts w:ascii="Times New Roman"/>
                <w:sz w:val="16"/>
              </w:rPr>
            </w:pPr>
          </w:p>
        </w:tc>
        <w:tc>
          <w:tcPr>
            <w:tcW w:w="184" w:type="dxa"/>
          </w:tcPr>
          <w:p w14:paraId="260E7BC4" w14:textId="77777777" w:rsidR="002C6574" w:rsidRDefault="002C6574">
            <w:pPr>
              <w:pStyle w:val="TableParagraph"/>
              <w:jc w:val="left"/>
              <w:rPr>
                <w:rFonts w:ascii="Times New Roman"/>
                <w:sz w:val="16"/>
              </w:rPr>
            </w:pPr>
          </w:p>
        </w:tc>
        <w:tc>
          <w:tcPr>
            <w:tcW w:w="963" w:type="dxa"/>
          </w:tcPr>
          <w:p w14:paraId="14AEC74D" w14:textId="77777777" w:rsidR="002C6574" w:rsidRDefault="00000000">
            <w:pPr>
              <w:pStyle w:val="TableParagraph"/>
              <w:spacing w:before="22"/>
              <w:ind w:left="294"/>
              <w:jc w:val="left"/>
              <w:rPr>
                <w:rFonts w:ascii="Arial MT"/>
                <w:sz w:val="16"/>
              </w:rPr>
            </w:pPr>
            <w:r>
              <w:rPr>
                <w:rFonts w:ascii="Arial MT"/>
                <w:spacing w:val="-2"/>
                <w:sz w:val="16"/>
              </w:rPr>
              <w:t>100,0%</w:t>
            </w:r>
          </w:p>
        </w:tc>
        <w:tc>
          <w:tcPr>
            <w:tcW w:w="859" w:type="dxa"/>
          </w:tcPr>
          <w:p w14:paraId="10209830" w14:textId="77777777" w:rsidR="002C6574" w:rsidRDefault="00000000">
            <w:pPr>
              <w:pStyle w:val="TableParagraph"/>
              <w:spacing w:before="22"/>
              <w:ind w:right="65"/>
              <w:rPr>
                <w:rFonts w:ascii="Arial MT"/>
                <w:sz w:val="16"/>
              </w:rPr>
            </w:pPr>
            <w:r>
              <w:rPr>
                <w:rFonts w:ascii="Arial MT"/>
                <w:spacing w:val="-2"/>
                <w:sz w:val="16"/>
              </w:rPr>
              <w:t>100,0%</w:t>
            </w:r>
          </w:p>
        </w:tc>
        <w:tc>
          <w:tcPr>
            <w:tcW w:w="190" w:type="dxa"/>
          </w:tcPr>
          <w:p w14:paraId="4D7B1A4A" w14:textId="77777777" w:rsidR="002C6574" w:rsidRDefault="002C6574">
            <w:pPr>
              <w:pStyle w:val="TableParagraph"/>
              <w:jc w:val="left"/>
              <w:rPr>
                <w:rFonts w:ascii="Times New Roman"/>
                <w:sz w:val="16"/>
              </w:rPr>
            </w:pPr>
          </w:p>
        </w:tc>
        <w:tc>
          <w:tcPr>
            <w:tcW w:w="1254" w:type="dxa"/>
          </w:tcPr>
          <w:p w14:paraId="06AC7336" w14:textId="77777777" w:rsidR="002C6574" w:rsidRDefault="002C6574">
            <w:pPr>
              <w:pStyle w:val="TableParagraph"/>
              <w:jc w:val="left"/>
              <w:rPr>
                <w:rFonts w:ascii="Times New Roman"/>
                <w:sz w:val="16"/>
              </w:rPr>
            </w:pPr>
          </w:p>
        </w:tc>
        <w:tc>
          <w:tcPr>
            <w:tcW w:w="1254" w:type="dxa"/>
          </w:tcPr>
          <w:p w14:paraId="20CC886E" w14:textId="77777777" w:rsidR="002C6574" w:rsidRDefault="002C6574">
            <w:pPr>
              <w:pStyle w:val="TableParagraph"/>
              <w:jc w:val="left"/>
              <w:rPr>
                <w:rFonts w:ascii="Times New Roman"/>
                <w:sz w:val="16"/>
              </w:rPr>
            </w:pPr>
          </w:p>
        </w:tc>
        <w:tc>
          <w:tcPr>
            <w:tcW w:w="1132" w:type="dxa"/>
          </w:tcPr>
          <w:p w14:paraId="619AA512" w14:textId="77777777" w:rsidR="002C6574" w:rsidRDefault="00000000">
            <w:pPr>
              <w:pStyle w:val="TableParagraph"/>
              <w:spacing w:before="22"/>
              <w:ind w:right="121"/>
              <w:rPr>
                <w:rFonts w:ascii="Arial MT"/>
                <w:sz w:val="16"/>
              </w:rPr>
            </w:pPr>
            <w:r>
              <w:rPr>
                <w:rFonts w:ascii="Arial MT"/>
                <w:spacing w:val="-2"/>
                <w:sz w:val="16"/>
              </w:rPr>
              <w:t>100,0%</w:t>
            </w:r>
          </w:p>
        </w:tc>
      </w:tr>
    </w:tbl>
    <w:p w14:paraId="2CA26BEA" w14:textId="77777777" w:rsidR="002C6574" w:rsidRDefault="00000000">
      <w:pPr>
        <w:tabs>
          <w:tab w:val="left" w:pos="2716"/>
          <w:tab w:val="left" w:pos="7933"/>
          <w:tab w:val="left" w:pos="9186"/>
        </w:tabs>
        <w:spacing w:before="27"/>
        <w:ind w:left="427"/>
        <w:jc w:val="both"/>
        <w:rPr>
          <w:rFonts w:ascii="Arial"/>
          <w:b/>
          <w:sz w:val="16"/>
        </w:rPr>
      </w:pPr>
      <w:r>
        <w:rPr>
          <w:rFonts w:ascii="Arial"/>
          <w:b/>
          <w:color w:val="FFFFFF"/>
          <w:spacing w:val="24"/>
          <w:sz w:val="16"/>
          <w:highlight w:val="blue"/>
        </w:rPr>
        <w:t xml:space="preserve"> </w:t>
      </w:r>
      <w:r>
        <w:rPr>
          <w:rFonts w:ascii="Arial"/>
          <w:b/>
          <w:color w:val="FFFFFF"/>
          <w:spacing w:val="-4"/>
          <w:sz w:val="16"/>
          <w:highlight w:val="blue"/>
        </w:rPr>
        <w:t>Total</w:t>
      </w:r>
      <w:r>
        <w:rPr>
          <w:rFonts w:ascii="Arial"/>
          <w:b/>
          <w:color w:val="FFFFFF"/>
          <w:sz w:val="16"/>
          <w:highlight w:val="blue"/>
        </w:rPr>
        <w:tab/>
        <w:t>234.446</w:t>
      </w:r>
      <w:r>
        <w:rPr>
          <w:rFonts w:ascii="Arial"/>
          <w:b/>
          <w:color w:val="FFFFFF"/>
          <w:spacing w:val="80"/>
          <w:sz w:val="16"/>
          <w:highlight w:val="blue"/>
        </w:rPr>
        <w:t xml:space="preserve">   </w:t>
      </w:r>
      <w:r>
        <w:rPr>
          <w:rFonts w:ascii="Arial"/>
          <w:b/>
          <w:color w:val="FFFFFF"/>
          <w:sz w:val="16"/>
          <w:highlight w:val="blue"/>
        </w:rPr>
        <w:t>28.357</w:t>
      </w:r>
      <w:r>
        <w:rPr>
          <w:rFonts w:ascii="Arial"/>
          <w:b/>
          <w:color w:val="FFFFFF"/>
          <w:spacing w:val="80"/>
          <w:sz w:val="16"/>
          <w:highlight w:val="blue"/>
        </w:rPr>
        <w:t xml:space="preserve">   </w:t>
      </w:r>
      <w:r>
        <w:rPr>
          <w:rFonts w:ascii="Arial"/>
          <w:b/>
          <w:color w:val="FFFFFF"/>
          <w:sz w:val="16"/>
          <w:highlight w:val="blue"/>
        </w:rPr>
        <w:t>43.710</w:t>
      </w:r>
      <w:r>
        <w:rPr>
          <w:rFonts w:ascii="Arial"/>
          <w:b/>
          <w:color w:val="FFFFFF"/>
          <w:spacing w:val="21"/>
          <w:sz w:val="16"/>
          <w:highlight w:val="blue"/>
        </w:rPr>
        <w:t xml:space="preserve"> </w:t>
      </w:r>
      <w:r>
        <w:rPr>
          <w:rFonts w:ascii="Arial"/>
          <w:b/>
          <w:color w:val="FFFFFF"/>
          <w:spacing w:val="147"/>
          <w:sz w:val="16"/>
        </w:rPr>
        <w:t xml:space="preserve"> </w:t>
      </w:r>
      <w:r>
        <w:rPr>
          <w:rFonts w:ascii="Arial"/>
          <w:b/>
          <w:color w:val="FFFFFF"/>
          <w:spacing w:val="116"/>
          <w:sz w:val="16"/>
          <w:highlight w:val="blue"/>
        </w:rPr>
        <w:t xml:space="preserve">  </w:t>
      </w:r>
      <w:r>
        <w:rPr>
          <w:rFonts w:ascii="Arial"/>
          <w:b/>
          <w:color w:val="FFFFFF"/>
          <w:sz w:val="16"/>
          <w:highlight w:val="blue"/>
        </w:rPr>
        <w:t>726,8%</w:t>
      </w:r>
      <w:r>
        <w:rPr>
          <w:rFonts w:ascii="Arial"/>
          <w:b/>
          <w:color w:val="FFFFFF"/>
          <w:spacing w:val="80"/>
          <w:sz w:val="16"/>
          <w:highlight w:val="blue"/>
        </w:rPr>
        <w:t xml:space="preserve">   </w:t>
      </w:r>
      <w:r>
        <w:rPr>
          <w:rFonts w:ascii="Arial"/>
          <w:b/>
          <w:color w:val="FFFFFF"/>
          <w:sz w:val="16"/>
          <w:highlight w:val="blue"/>
        </w:rPr>
        <w:t>436,4%</w:t>
      </w:r>
      <w:r>
        <w:rPr>
          <w:rFonts w:ascii="Arial"/>
          <w:b/>
          <w:color w:val="FFFFFF"/>
          <w:spacing w:val="23"/>
          <w:sz w:val="16"/>
          <w:highlight w:val="blue"/>
        </w:rPr>
        <w:t xml:space="preserve"> </w:t>
      </w:r>
      <w:r>
        <w:rPr>
          <w:rFonts w:ascii="Arial"/>
          <w:b/>
          <w:color w:val="FFFFFF"/>
          <w:spacing w:val="144"/>
          <w:sz w:val="16"/>
        </w:rPr>
        <w:t xml:space="preserve"> </w:t>
      </w:r>
      <w:r>
        <w:rPr>
          <w:rFonts w:ascii="Arial"/>
          <w:b/>
          <w:color w:val="FFFFFF"/>
          <w:sz w:val="16"/>
          <w:highlight w:val="blue"/>
        </w:rPr>
        <w:tab/>
      </w:r>
      <w:r>
        <w:rPr>
          <w:rFonts w:ascii="Arial"/>
          <w:b/>
          <w:color w:val="FFFFFF"/>
          <w:spacing w:val="-2"/>
          <w:sz w:val="16"/>
          <w:highlight w:val="blue"/>
        </w:rPr>
        <w:t>406.942</w:t>
      </w:r>
      <w:r>
        <w:rPr>
          <w:rFonts w:ascii="Arial"/>
          <w:b/>
          <w:color w:val="FFFFFF"/>
          <w:sz w:val="16"/>
          <w:highlight w:val="blue"/>
        </w:rPr>
        <w:tab/>
        <w:t>158.402</w:t>
      </w:r>
      <w:r>
        <w:rPr>
          <w:rFonts w:ascii="Arial"/>
          <w:b/>
          <w:color w:val="FFFFFF"/>
          <w:spacing w:val="25"/>
          <w:sz w:val="16"/>
          <w:highlight w:val="blue"/>
        </w:rPr>
        <w:t xml:space="preserve"> </w:t>
      </w:r>
      <w:r>
        <w:rPr>
          <w:rFonts w:ascii="Arial"/>
          <w:b/>
          <w:color w:val="FFFFFF"/>
          <w:spacing w:val="142"/>
          <w:sz w:val="16"/>
        </w:rPr>
        <w:t xml:space="preserve"> </w:t>
      </w:r>
      <w:r>
        <w:rPr>
          <w:rFonts w:ascii="Arial"/>
          <w:b/>
          <w:color w:val="FFFFFF"/>
          <w:spacing w:val="91"/>
          <w:sz w:val="16"/>
          <w:highlight w:val="blue"/>
        </w:rPr>
        <w:t xml:space="preserve">  </w:t>
      </w:r>
      <w:r>
        <w:rPr>
          <w:rFonts w:ascii="Arial"/>
          <w:b/>
          <w:color w:val="FFFFFF"/>
          <w:spacing w:val="-2"/>
          <w:sz w:val="16"/>
          <w:highlight w:val="blue"/>
        </w:rPr>
        <w:t>156,9%</w:t>
      </w:r>
      <w:r>
        <w:rPr>
          <w:rFonts w:ascii="Arial"/>
          <w:b/>
          <w:color w:val="FFFFFF"/>
          <w:spacing w:val="80"/>
          <w:sz w:val="16"/>
          <w:highlight w:val="blue"/>
        </w:rPr>
        <w:t xml:space="preserve"> </w:t>
      </w:r>
    </w:p>
    <w:p w14:paraId="6E12B5B0" w14:textId="77777777" w:rsidR="002C6574" w:rsidRDefault="002C6574">
      <w:pPr>
        <w:pStyle w:val="Corpodetexto"/>
        <w:spacing w:before="130"/>
        <w:rPr>
          <w:rFonts w:ascii="Arial"/>
          <w:b/>
          <w:sz w:val="16"/>
        </w:rPr>
      </w:pPr>
    </w:p>
    <w:p w14:paraId="5ED11E4A" w14:textId="77777777" w:rsidR="002C6574" w:rsidRDefault="00000000">
      <w:pPr>
        <w:pStyle w:val="PargrafodaLista"/>
        <w:numPr>
          <w:ilvl w:val="0"/>
          <w:numId w:val="4"/>
        </w:numPr>
        <w:tabs>
          <w:tab w:val="left" w:pos="739"/>
        </w:tabs>
        <w:spacing w:line="276" w:lineRule="auto"/>
        <w:ind w:right="134" w:firstLine="0"/>
        <w:jc w:val="both"/>
        <w:rPr>
          <w:rFonts w:ascii="Arial MT" w:hAnsi="Arial MT"/>
        </w:rPr>
      </w:pPr>
      <w:r>
        <w:rPr>
          <w:rFonts w:ascii="Arial" w:hAnsi="Arial"/>
          <w:b/>
        </w:rPr>
        <w:t>Superávit</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rPr>
        <w:t>Previdência</w:t>
      </w:r>
      <w:r>
        <w:rPr>
          <w:rFonts w:ascii="Arial" w:hAnsi="Arial"/>
          <w:b/>
          <w:spacing w:val="-3"/>
        </w:rPr>
        <w:t xml:space="preserve"> </w:t>
      </w:r>
      <w:r>
        <w:rPr>
          <w:rFonts w:ascii="Arial" w:hAnsi="Arial"/>
          <w:b/>
        </w:rPr>
        <w:t>Privada:</w:t>
      </w:r>
      <w:r>
        <w:rPr>
          <w:rFonts w:ascii="Arial" w:hAnsi="Arial"/>
          <w:b/>
          <w:spacing w:val="-4"/>
        </w:rPr>
        <w:t xml:space="preserve"> </w:t>
      </w:r>
      <w:r>
        <w:rPr>
          <w:rFonts w:ascii="Arial MT" w:hAnsi="Arial MT"/>
        </w:rPr>
        <w:t>Nos</w:t>
      </w:r>
      <w:r>
        <w:rPr>
          <w:rFonts w:ascii="Arial MT" w:hAnsi="Arial MT"/>
          <w:spacing w:val="-6"/>
        </w:rPr>
        <w:t xml:space="preserve"> </w:t>
      </w:r>
      <w:r>
        <w:rPr>
          <w:rFonts w:ascii="Arial MT" w:hAnsi="Arial MT"/>
        </w:rPr>
        <w:t>exercícios</w:t>
      </w:r>
      <w:r>
        <w:rPr>
          <w:rFonts w:ascii="Arial MT" w:hAnsi="Arial MT"/>
          <w:spacing w:val="-4"/>
        </w:rPr>
        <w:t xml:space="preserve"> </w:t>
      </w:r>
      <w:r>
        <w:rPr>
          <w:rFonts w:ascii="Arial MT" w:hAnsi="Arial MT"/>
        </w:rPr>
        <w:t>de</w:t>
      </w:r>
      <w:r>
        <w:rPr>
          <w:rFonts w:ascii="Arial MT" w:hAnsi="Arial MT"/>
          <w:spacing w:val="-4"/>
        </w:rPr>
        <w:t xml:space="preserve"> </w:t>
      </w:r>
      <w:r>
        <w:rPr>
          <w:rFonts w:ascii="Arial MT" w:hAnsi="Arial MT"/>
        </w:rPr>
        <w:t>2025</w:t>
      </w:r>
      <w:r>
        <w:rPr>
          <w:rFonts w:ascii="Arial MT" w:hAnsi="Arial MT"/>
          <w:spacing w:val="-7"/>
        </w:rPr>
        <w:t xml:space="preserve"> </w:t>
      </w:r>
      <w:r>
        <w:rPr>
          <w:rFonts w:ascii="Arial MT" w:hAnsi="Arial MT"/>
        </w:rPr>
        <w:t>e</w:t>
      </w:r>
      <w:r>
        <w:rPr>
          <w:rFonts w:ascii="Arial MT" w:hAnsi="Arial MT"/>
          <w:spacing w:val="-4"/>
        </w:rPr>
        <w:t xml:space="preserve"> </w:t>
      </w:r>
      <w:r>
        <w:rPr>
          <w:rFonts w:ascii="Arial MT" w:hAnsi="Arial MT"/>
        </w:rPr>
        <w:t>2024,</w:t>
      </w:r>
      <w:r>
        <w:rPr>
          <w:rFonts w:ascii="Arial MT" w:hAnsi="Arial MT"/>
          <w:spacing w:val="-3"/>
        </w:rPr>
        <w:t xml:space="preserve"> </w:t>
      </w:r>
      <w:r>
        <w:rPr>
          <w:rFonts w:ascii="Arial MT" w:hAnsi="Arial MT"/>
        </w:rPr>
        <w:t>a</w:t>
      </w:r>
      <w:r>
        <w:rPr>
          <w:rFonts w:ascii="Arial MT" w:hAnsi="Arial MT"/>
          <w:spacing w:val="-6"/>
        </w:rPr>
        <w:t xml:space="preserve"> </w:t>
      </w:r>
      <w:r>
        <w:rPr>
          <w:rFonts w:ascii="Arial MT" w:hAnsi="Arial MT"/>
        </w:rPr>
        <w:t>Telebras</w:t>
      </w:r>
      <w:r>
        <w:rPr>
          <w:rFonts w:ascii="Arial MT" w:hAnsi="Arial MT"/>
          <w:spacing w:val="-4"/>
        </w:rPr>
        <w:t xml:space="preserve"> </w:t>
      </w:r>
      <w:r>
        <w:rPr>
          <w:rFonts w:ascii="Arial MT" w:hAnsi="Arial MT"/>
        </w:rPr>
        <w:t>reconheceu</w:t>
      </w:r>
      <w:r>
        <w:rPr>
          <w:rFonts w:ascii="Arial MT" w:hAnsi="Arial MT"/>
          <w:spacing w:val="-4"/>
        </w:rPr>
        <w:t xml:space="preserve"> </w:t>
      </w:r>
      <w:r>
        <w:rPr>
          <w:rFonts w:ascii="Arial MT" w:hAnsi="Arial MT"/>
        </w:rPr>
        <w:t>os</w:t>
      </w:r>
      <w:r>
        <w:rPr>
          <w:rFonts w:ascii="Arial MT" w:hAnsi="Arial MT"/>
          <w:spacing w:val="-6"/>
        </w:rPr>
        <w:t xml:space="preserve"> </w:t>
      </w:r>
      <w:r>
        <w:rPr>
          <w:rFonts w:ascii="Arial MT" w:hAnsi="Arial MT"/>
        </w:rPr>
        <w:t>montantes de</w:t>
      </w:r>
      <w:r>
        <w:rPr>
          <w:rFonts w:ascii="Arial MT" w:hAnsi="Arial MT"/>
          <w:spacing w:val="-16"/>
        </w:rPr>
        <w:t xml:space="preserve"> </w:t>
      </w:r>
      <w:r>
        <w:rPr>
          <w:rFonts w:ascii="Arial MT" w:hAnsi="Arial MT"/>
        </w:rPr>
        <w:t>R$</w:t>
      </w:r>
      <w:r>
        <w:rPr>
          <w:rFonts w:ascii="Arial MT" w:hAnsi="Arial MT"/>
          <w:spacing w:val="-15"/>
        </w:rPr>
        <w:t xml:space="preserve"> </w:t>
      </w:r>
      <w:r>
        <w:rPr>
          <w:rFonts w:ascii="Arial MT" w:hAnsi="Arial MT"/>
        </w:rPr>
        <w:t>134.727</w:t>
      </w:r>
      <w:r>
        <w:rPr>
          <w:rFonts w:ascii="Arial MT" w:hAnsi="Arial MT"/>
          <w:spacing w:val="-15"/>
        </w:rPr>
        <w:t xml:space="preserve"> </w:t>
      </w:r>
      <w:r>
        <w:rPr>
          <w:rFonts w:ascii="Arial MT" w:hAnsi="Arial MT"/>
        </w:rPr>
        <w:t>e</w:t>
      </w:r>
      <w:r>
        <w:rPr>
          <w:rFonts w:ascii="Arial MT" w:hAnsi="Arial MT"/>
          <w:spacing w:val="-15"/>
        </w:rPr>
        <w:t xml:space="preserve"> </w:t>
      </w:r>
      <w:r>
        <w:rPr>
          <w:rFonts w:ascii="Arial MT" w:hAnsi="Arial MT"/>
        </w:rPr>
        <w:t>R$</w:t>
      </w:r>
      <w:r>
        <w:rPr>
          <w:rFonts w:ascii="Arial MT" w:hAnsi="Arial MT"/>
          <w:spacing w:val="-14"/>
        </w:rPr>
        <w:t xml:space="preserve"> </w:t>
      </w:r>
      <w:r>
        <w:rPr>
          <w:rFonts w:ascii="Arial MT" w:hAnsi="Arial MT"/>
        </w:rPr>
        <w:t>212.038,</w:t>
      </w:r>
      <w:r>
        <w:rPr>
          <w:rFonts w:ascii="Arial MT" w:hAnsi="Arial MT"/>
          <w:spacing w:val="-15"/>
        </w:rPr>
        <w:t xml:space="preserve"> </w:t>
      </w:r>
      <w:r>
        <w:rPr>
          <w:rFonts w:ascii="Arial MT" w:hAnsi="Arial MT"/>
        </w:rPr>
        <w:t>respectivamente,</w:t>
      </w:r>
      <w:r>
        <w:rPr>
          <w:rFonts w:ascii="Arial MT" w:hAnsi="Arial MT"/>
          <w:spacing w:val="-16"/>
        </w:rPr>
        <w:t xml:space="preserve"> </w:t>
      </w:r>
      <w:r>
        <w:rPr>
          <w:rFonts w:ascii="Arial MT" w:hAnsi="Arial MT"/>
        </w:rPr>
        <w:t>referentes</w:t>
      </w:r>
      <w:r>
        <w:rPr>
          <w:rFonts w:ascii="Arial MT" w:hAnsi="Arial MT"/>
          <w:spacing w:val="-15"/>
        </w:rPr>
        <w:t xml:space="preserve"> </w:t>
      </w:r>
      <w:r>
        <w:rPr>
          <w:rFonts w:ascii="Arial MT" w:hAnsi="Arial MT"/>
        </w:rPr>
        <w:t>aos</w:t>
      </w:r>
      <w:r>
        <w:rPr>
          <w:rFonts w:ascii="Arial MT" w:hAnsi="Arial MT"/>
          <w:spacing w:val="-15"/>
        </w:rPr>
        <w:t xml:space="preserve"> </w:t>
      </w:r>
      <w:r>
        <w:rPr>
          <w:rFonts w:ascii="Arial MT" w:hAnsi="Arial MT"/>
        </w:rPr>
        <w:t>superávits</w:t>
      </w:r>
      <w:r>
        <w:rPr>
          <w:rFonts w:ascii="Arial MT" w:hAnsi="Arial MT"/>
          <w:spacing w:val="-13"/>
        </w:rPr>
        <w:t xml:space="preserve"> </w:t>
      </w:r>
      <w:r>
        <w:rPr>
          <w:rFonts w:ascii="Arial MT" w:hAnsi="Arial MT"/>
        </w:rPr>
        <w:t>apurados</w:t>
      </w:r>
      <w:r>
        <w:rPr>
          <w:rFonts w:ascii="Arial MT" w:hAnsi="Arial MT"/>
          <w:spacing w:val="-16"/>
        </w:rPr>
        <w:t xml:space="preserve"> </w:t>
      </w:r>
      <w:r>
        <w:rPr>
          <w:rFonts w:ascii="Arial MT" w:hAnsi="Arial MT"/>
        </w:rPr>
        <w:t>nos</w:t>
      </w:r>
      <w:r>
        <w:rPr>
          <w:rFonts w:ascii="Arial MT" w:hAnsi="Arial MT"/>
          <w:spacing w:val="-12"/>
        </w:rPr>
        <w:t xml:space="preserve"> </w:t>
      </w:r>
      <w:r>
        <w:rPr>
          <w:rFonts w:ascii="Arial MT" w:hAnsi="Arial MT"/>
        </w:rPr>
        <w:t>planos</w:t>
      </w:r>
      <w:r>
        <w:rPr>
          <w:rFonts w:ascii="Arial MT" w:hAnsi="Arial MT"/>
          <w:spacing w:val="-16"/>
        </w:rPr>
        <w:t xml:space="preserve"> </w:t>
      </w:r>
      <w:r>
        <w:rPr>
          <w:rFonts w:ascii="Arial MT" w:hAnsi="Arial MT"/>
        </w:rPr>
        <w:t>PBS-A</w:t>
      </w:r>
      <w:r>
        <w:rPr>
          <w:rFonts w:ascii="Arial MT" w:hAnsi="Arial MT"/>
          <w:spacing w:val="-15"/>
        </w:rPr>
        <w:t xml:space="preserve"> </w:t>
      </w:r>
      <w:r>
        <w:rPr>
          <w:rFonts w:ascii="Arial MT" w:hAnsi="Arial MT"/>
        </w:rPr>
        <w:t>(anos- base 2022 e 2023) e Telebrasprev (anos-base 2016, 2017, 2023 e 2024).</w:t>
      </w:r>
    </w:p>
    <w:p w14:paraId="1783F8BE" w14:textId="77777777" w:rsidR="002C6574" w:rsidRDefault="002C6574">
      <w:pPr>
        <w:pStyle w:val="Corpodetexto"/>
        <w:spacing w:before="38"/>
        <w:rPr>
          <w:rFonts w:ascii="Arial MT"/>
        </w:rPr>
      </w:pPr>
    </w:p>
    <w:p w14:paraId="3CEA4E2A" w14:textId="77777777" w:rsidR="002C6574" w:rsidRDefault="00000000">
      <w:pPr>
        <w:pStyle w:val="Corpodetexto"/>
        <w:spacing w:before="1" w:line="276" w:lineRule="auto"/>
        <w:ind w:left="427" w:right="141"/>
        <w:jc w:val="both"/>
        <w:rPr>
          <w:rFonts w:ascii="Arial MT" w:hAnsi="Arial MT"/>
        </w:rPr>
      </w:pPr>
      <w:r>
        <w:rPr>
          <w:rFonts w:ascii="Arial MT" w:hAnsi="Arial MT"/>
        </w:rPr>
        <w:t>Os valores a receber serão repassados à Companhia em 36 parcelas mensais. Com exceção do superávit referente</w:t>
      </w:r>
      <w:r>
        <w:rPr>
          <w:rFonts w:ascii="Arial MT" w:hAnsi="Arial MT"/>
          <w:spacing w:val="-3"/>
        </w:rPr>
        <w:t xml:space="preserve"> </w:t>
      </w:r>
      <w:r>
        <w:rPr>
          <w:rFonts w:ascii="Arial MT" w:hAnsi="Arial MT"/>
        </w:rPr>
        <w:t>ao</w:t>
      </w:r>
      <w:r>
        <w:rPr>
          <w:rFonts w:ascii="Arial MT" w:hAnsi="Arial MT"/>
          <w:spacing w:val="-1"/>
        </w:rPr>
        <w:t xml:space="preserve"> </w:t>
      </w:r>
      <w:r>
        <w:rPr>
          <w:rFonts w:ascii="Arial MT" w:hAnsi="Arial MT"/>
        </w:rPr>
        <w:t>ano-base</w:t>
      </w:r>
      <w:r>
        <w:rPr>
          <w:rFonts w:ascii="Arial MT" w:hAnsi="Arial MT"/>
          <w:spacing w:val="-3"/>
        </w:rPr>
        <w:t xml:space="preserve"> </w:t>
      </w:r>
      <w:r>
        <w:rPr>
          <w:rFonts w:ascii="Arial MT" w:hAnsi="Arial MT"/>
        </w:rPr>
        <w:t>de 2016,</w:t>
      </w:r>
      <w:r>
        <w:rPr>
          <w:rFonts w:ascii="Arial MT" w:hAnsi="Arial MT"/>
          <w:spacing w:val="-1"/>
        </w:rPr>
        <w:t xml:space="preserve"> </w:t>
      </w:r>
      <w:r>
        <w:rPr>
          <w:rFonts w:ascii="Arial MT" w:hAnsi="Arial MT"/>
        </w:rPr>
        <w:t>cujas parcelas</w:t>
      </w:r>
      <w:r>
        <w:rPr>
          <w:rFonts w:ascii="Arial MT" w:hAnsi="Arial MT"/>
          <w:spacing w:val="-3"/>
        </w:rPr>
        <w:t xml:space="preserve"> </w:t>
      </w:r>
      <w:r>
        <w:rPr>
          <w:rFonts w:ascii="Arial MT" w:hAnsi="Arial MT"/>
        </w:rPr>
        <w:t>serão atualizadas pela</w:t>
      </w:r>
      <w:r>
        <w:rPr>
          <w:rFonts w:ascii="Arial MT" w:hAnsi="Arial MT"/>
          <w:spacing w:val="-3"/>
        </w:rPr>
        <w:t xml:space="preserve"> </w:t>
      </w:r>
      <w:r>
        <w:rPr>
          <w:rFonts w:ascii="Arial MT" w:hAnsi="Arial MT"/>
        </w:rPr>
        <w:t>rentabilidade</w:t>
      </w:r>
      <w:r>
        <w:rPr>
          <w:rFonts w:ascii="Arial MT" w:hAnsi="Arial MT"/>
          <w:spacing w:val="-1"/>
        </w:rPr>
        <w:t xml:space="preserve"> </w:t>
      </w:r>
      <w:r>
        <w:rPr>
          <w:rFonts w:ascii="Arial MT" w:hAnsi="Arial MT"/>
        </w:rPr>
        <w:t>do</w:t>
      </w:r>
      <w:r>
        <w:rPr>
          <w:rFonts w:ascii="Arial MT" w:hAnsi="Arial MT"/>
          <w:spacing w:val="-1"/>
        </w:rPr>
        <w:t xml:space="preserve"> </w:t>
      </w:r>
      <w:r>
        <w:rPr>
          <w:rFonts w:ascii="Arial MT" w:hAnsi="Arial MT"/>
        </w:rPr>
        <w:t>respectivo</w:t>
      </w:r>
      <w:r>
        <w:rPr>
          <w:rFonts w:ascii="Arial MT" w:hAnsi="Arial MT"/>
          <w:spacing w:val="-3"/>
        </w:rPr>
        <w:t xml:space="preserve"> </w:t>
      </w:r>
      <w:r>
        <w:rPr>
          <w:rFonts w:ascii="Arial MT" w:hAnsi="Arial MT"/>
        </w:rPr>
        <w:t>plano, os demais valores serão recebidos em parcelas fixas, sem atualização monetária.</w:t>
      </w:r>
    </w:p>
    <w:p w14:paraId="03C5837E" w14:textId="77777777" w:rsidR="002C6574" w:rsidRDefault="002C6574">
      <w:pPr>
        <w:pStyle w:val="Corpodetexto"/>
        <w:spacing w:before="38"/>
        <w:rPr>
          <w:rFonts w:ascii="Arial MT"/>
        </w:rPr>
      </w:pPr>
    </w:p>
    <w:p w14:paraId="4B523145" w14:textId="77777777" w:rsidR="002C6574" w:rsidRDefault="00000000">
      <w:pPr>
        <w:pStyle w:val="PargrafodaLista"/>
        <w:numPr>
          <w:ilvl w:val="0"/>
          <w:numId w:val="4"/>
        </w:numPr>
        <w:tabs>
          <w:tab w:val="left" w:pos="735"/>
        </w:tabs>
        <w:spacing w:line="276" w:lineRule="auto"/>
        <w:ind w:right="137" w:firstLine="0"/>
        <w:jc w:val="both"/>
        <w:rPr>
          <w:rFonts w:ascii="Arial MT" w:hAnsi="Arial MT"/>
        </w:rPr>
      </w:pPr>
      <w:r>
        <w:rPr>
          <w:rFonts w:ascii="Arial" w:hAnsi="Arial"/>
          <w:b/>
        </w:rPr>
        <w:t>Recuperação</w:t>
      </w:r>
      <w:r>
        <w:rPr>
          <w:rFonts w:ascii="Arial" w:hAnsi="Arial"/>
          <w:b/>
          <w:spacing w:val="-12"/>
        </w:rPr>
        <w:t xml:space="preserve"> </w:t>
      </w:r>
      <w:r>
        <w:rPr>
          <w:rFonts w:ascii="Arial" w:hAnsi="Arial"/>
          <w:b/>
        </w:rPr>
        <w:t>de</w:t>
      </w:r>
      <w:r>
        <w:rPr>
          <w:rFonts w:ascii="Arial" w:hAnsi="Arial"/>
          <w:b/>
          <w:spacing w:val="-14"/>
        </w:rPr>
        <w:t xml:space="preserve"> </w:t>
      </w:r>
      <w:r>
        <w:rPr>
          <w:rFonts w:ascii="Arial" w:hAnsi="Arial"/>
          <w:b/>
        </w:rPr>
        <w:t>Tributos</w:t>
      </w:r>
      <w:r>
        <w:rPr>
          <w:rFonts w:ascii="Arial" w:hAnsi="Arial"/>
          <w:b/>
          <w:spacing w:val="-10"/>
        </w:rPr>
        <w:t xml:space="preserve"> </w:t>
      </w:r>
      <w:r>
        <w:rPr>
          <w:rFonts w:ascii="Arial" w:hAnsi="Arial"/>
          <w:b/>
        </w:rPr>
        <w:t>-</w:t>
      </w:r>
      <w:r>
        <w:rPr>
          <w:rFonts w:ascii="Arial" w:hAnsi="Arial"/>
          <w:b/>
          <w:spacing w:val="-10"/>
        </w:rPr>
        <w:t xml:space="preserve"> </w:t>
      </w:r>
      <w:r>
        <w:rPr>
          <w:rFonts w:ascii="Arial" w:hAnsi="Arial"/>
          <w:b/>
        </w:rPr>
        <w:t>Créditos</w:t>
      </w:r>
      <w:r>
        <w:rPr>
          <w:rFonts w:ascii="Arial" w:hAnsi="Arial"/>
          <w:b/>
          <w:spacing w:val="-12"/>
        </w:rPr>
        <w:t xml:space="preserve"> </w:t>
      </w:r>
      <w:r>
        <w:rPr>
          <w:rFonts w:ascii="Arial" w:hAnsi="Arial"/>
          <w:b/>
        </w:rPr>
        <w:t>sobre</w:t>
      </w:r>
      <w:r>
        <w:rPr>
          <w:rFonts w:ascii="Arial" w:hAnsi="Arial"/>
          <w:b/>
          <w:spacing w:val="-14"/>
        </w:rPr>
        <w:t xml:space="preserve"> </w:t>
      </w:r>
      <w:r>
        <w:rPr>
          <w:rFonts w:ascii="Arial" w:hAnsi="Arial"/>
          <w:b/>
        </w:rPr>
        <w:t>insumos:</w:t>
      </w:r>
      <w:r>
        <w:rPr>
          <w:rFonts w:ascii="Arial" w:hAnsi="Arial"/>
          <w:b/>
          <w:spacing w:val="-9"/>
        </w:rPr>
        <w:t xml:space="preserve"> </w:t>
      </w:r>
      <w:r>
        <w:rPr>
          <w:rFonts w:ascii="Arial MT" w:hAnsi="Arial MT"/>
        </w:rPr>
        <w:t>Representam</w:t>
      </w:r>
      <w:r>
        <w:rPr>
          <w:rFonts w:ascii="Arial MT" w:hAnsi="Arial MT"/>
          <w:spacing w:val="-13"/>
        </w:rPr>
        <w:t xml:space="preserve"> </w:t>
      </w:r>
      <w:r>
        <w:rPr>
          <w:rFonts w:ascii="Arial MT" w:hAnsi="Arial MT"/>
        </w:rPr>
        <w:t>os</w:t>
      </w:r>
      <w:r>
        <w:rPr>
          <w:rFonts w:ascii="Arial MT" w:hAnsi="Arial MT"/>
          <w:spacing w:val="-11"/>
        </w:rPr>
        <w:t xml:space="preserve"> </w:t>
      </w:r>
      <w:r>
        <w:rPr>
          <w:rFonts w:ascii="Arial MT" w:hAnsi="Arial MT"/>
        </w:rPr>
        <w:t>créditos</w:t>
      </w:r>
      <w:r>
        <w:rPr>
          <w:rFonts w:ascii="Arial MT" w:hAnsi="Arial MT"/>
          <w:spacing w:val="-14"/>
        </w:rPr>
        <w:t xml:space="preserve"> </w:t>
      </w:r>
      <w:r>
        <w:rPr>
          <w:rFonts w:ascii="Arial MT" w:hAnsi="Arial MT"/>
        </w:rPr>
        <w:t>obtidos</w:t>
      </w:r>
      <w:r>
        <w:rPr>
          <w:rFonts w:ascii="Arial MT" w:hAnsi="Arial MT"/>
          <w:spacing w:val="-11"/>
        </w:rPr>
        <w:t xml:space="preserve"> </w:t>
      </w:r>
      <w:r>
        <w:rPr>
          <w:rFonts w:ascii="Arial MT" w:hAnsi="Arial MT"/>
        </w:rPr>
        <w:t>sobre</w:t>
      </w:r>
      <w:r>
        <w:rPr>
          <w:rFonts w:ascii="Arial MT" w:hAnsi="Arial MT"/>
          <w:spacing w:val="-14"/>
        </w:rPr>
        <w:t xml:space="preserve"> </w:t>
      </w:r>
      <w:r>
        <w:rPr>
          <w:rFonts w:ascii="Arial MT" w:hAnsi="Arial MT"/>
        </w:rPr>
        <w:t>a</w:t>
      </w:r>
      <w:r>
        <w:rPr>
          <w:rFonts w:ascii="Arial MT" w:hAnsi="Arial MT"/>
          <w:spacing w:val="-11"/>
        </w:rPr>
        <w:t xml:space="preserve"> </w:t>
      </w:r>
      <w:r>
        <w:rPr>
          <w:rFonts w:ascii="Arial MT" w:hAnsi="Arial MT"/>
        </w:rPr>
        <w:t>compra de</w:t>
      </w:r>
      <w:r>
        <w:rPr>
          <w:rFonts w:ascii="Arial MT" w:hAnsi="Arial MT"/>
          <w:spacing w:val="-14"/>
        </w:rPr>
        <w:t xml:space="preserve"> </w:t>
      </w:r>
      <w:r>
        <w:rPr>
          <w:rFonts w:ascii="Arial MT" w:hAnsi="Arial MT"/>
        </w:rPr>
        <w:t>insumos</w:t>
      </w:r>
      <w:r>
        <w:rPr>
          <w:rFonts w:ascii="Arial MT" w:hAnsi="Arial MT"/>
          <w:spacing w:val="-13"/>
        </w:rPr>
        <w:t xml:space="preserve"> </w:t>
      </w:r>
      <w:r>
        <w:rPr>
          <w:rFonts w:ascii="Arial MT" w:hAnsi="Arial MT"/>
        </w:rPr>
        <w:t>vinculados</w:t>
      </w:r>
      <w:r>
        <w:rPr>
          <w:rFonts w:ascii="Arial MT" w:hAnsi="Arial MT"/>
          <w:spacing w:val="-13"/>
        </w:rPr>
        <w:t xml:space="preserve"> </w:t>
      </w:r>
      <w:r>
        <w:rPr>
          <w:rFonts w:ascii="Arial MT" w:hAnsi="Arial MT"/>
        </w:rPr>
        <w:t>à</w:t>
      </w:r>
      <w:r>
        <w:rPr>
          <w:rFonts w:ascii="Arial MT" w:hAnsi="Arial MT"/>
          <w:spacing w:val="-16"/>
        </w:rPr>
        <w:t xml:space="preserve"> </w:t>
      </w:r>
      <w:r>
        <w:rPr>
          <w:rFonts w:ascii="Arial MT" w:hAnsi="Arial MT"/>
        </w:rPr>
        <w:t>prestação</w:t>
      </w:r>
      <w:r>
        <w:rPr>
          <w:rFonts w:ascii="Arial MT" w:hAnsi="Arial MT"/>
          <w:spacing w:val="-13"/>
        </w:rPr>
        <w:t xml:space="preserve"> </w:t>
      </w:r>
      <w:r>
        <w:rPr>
          <w:rFonts w:ascii="Arial MT" w:hAnsi="Arial MT"/>
        </w:rPr>
        <w:t>de</w:t>
      </w:r>
      <w:r>
        <w:rPr>
          <w:rFonts w:ascii="Arial MT" w:hAnsi="Arial MT"/>
          <w:spacing w:val="-16"/>
        </w:rPr>
        <w:t xml:space="preserve"> </w:t>
      </w:r>
      <w:r>
        <w:rPr>
          <w:rFonts w:ascii="Arial MT" w:hAnsi="Arial MT"/>
        </w:rPr>
        <w:t>serviços,</w:t>
      </w:r>
      <w:r>
        <w:rPr>
          <w:rFonts w:ascii="Arial MT" w:hAnsi="Arial MT"/>
          <w:spacing w:val="-11"/>
        </w:rPr>
        <w:t xml:space="preserve"> </w:t>
      </w:r>
      <w:r>
        <w:rPr>
          <w:rFonts w:ascii="Arial MT" w:hAnsi="Arial MT"/>
        </w:rPr>
        <w:t>os</w:t>
      </w:r>
      <w:r>
        <w:rPr>
          <w:rFonts w:ascii="Arial MT" w:hAnsi="Arial MT"/>
          <w:spacing w:val="-13"/>
        </w:rPr>
        <w:t xml:space="preserve"> </w:t>
      </w:r>
      <w:r>
        <w:rPr>
          <w:rFonts w:ascii="Arial MT" w:hAnsi="Arial MT"/>
        </w:rPr>
        <w:t>quais</w:t>
      </w:r>
      <w:r>
        <w:rPr>
          <w:rFonts w:ascii="Arial MT" w:hAnsi="Arial MT"/>
          <w:spacing w:val="-13"/>
        </w:rPr>
        <w:t xml:space="preserve"> </w:t>
      </w:r>
      <w:r>
        <w:rPr>
          <w:rFonts w:ascii="Arial MT" w:hAnsi="Arial MT"/>
        </w:rPr>
        <w:t>são</w:t>
      </w:r>
      <w:r>
        <w:rPr>
          <w:rFonts w:ascii="Arial MT" w:hAnsi="Arial MT"/>
          <w:spacing w:val="-14"/>
        </w:rPr>
        <w:t xml:space="preserve"> </w:t>
      </w:r>
      <w:r>
        <w:rPr>
          <w:rFonts w:ascii="Arial MT" w:hAnsi="Arial MT"/>
        </w:rPr>
        <w:t>compensados</w:t>
      </w:r>
      <w:r>
        <w:rPr>
          <w:rFonts w:ascii="Arial MT" w:hAnsi="Arial MT"/>
          <w:spacing w:val="-13"/>
        </w:rPr>
        <w:t xml:space="preserve"> </w:t>
      </w:r>
      <w:r>
        <w:rPr>
          <w:rFonts w:ascii="Arial MT" w:hAnsi="Arial MT"/>
        </w:rPr>
        <w:t>no</w:t>
      </w:r>
      <w:r>
        <w:rPr>
          <w:rFonts w:ascii="Arial MT" w:hAnsi="Arial MT"/>
          <w:spacing w:val="-14"/>
        </w:rPr>
        <w:t xml:space="preserve"> </w:t>
      </w:r>
      <w:r>
        <w:rPr>
          <w:rFonts w:ascii="Arial MT" w:hAnsi="Arial MT"/>
        </w:rPr>
        <w:t>pagamento</w:t>
      </w:r>
      <w:r>
        <w:rPr>
          <w:rFonts w:ascii="Arial MT" w:hAnsi="Arial MT"/>
          <w:spacing w:val="-14"/>
        </w:rPr>
        <w:t xml:space="preserve"> </w:t>
      </w:r>
      <w:r>
        <w:rPr>
          <w:rFonts w:ascii="Arial MT" w:hAnsi="Arial MT"/>
        </w:rPr>
        <w:t>das</w:t>
      </w:r>
      <w:r>
        <w:rPr>
          <w:rFonts w:ascii="Arial MT" w:hAnsi="Arial MT"/>
          <w:spacing w:val="-13"/>
        </w:rPr>
        <w:t xml:space="preserve"> </w:t>
      </w:r>
      <w:r>
        <w:rPr>
          <w:rFonts w:ascii="Arial MT" w:hAnsi="Arial MT"/>
        </w:rPr>
        <w:t>contribuições de PIS e Cofins. Em 2025, registrou-se uma redução de 14,4% em relação ao ano de 2024.</w:t>
      </w:r>
    </w:p>
    <w:p w14:paraId="2B38FC42" w14:textId="77777777" w:rsidR="002C6574" w:rsidRDefault="002C6574">
      <w:pPr>
        <w:pStyle w:val="Corpodetexto"/>
        <w:spacing w:before="38"/>
        <w:rPr>
          <w:rFonts w:ascii="Arial MT"/>
        </w:rPr>
      </w:pPr>
    </w:p>
    <w:p w14:paraId="443241CC" w14:textId="77777777" w:rsidR="002C6574" w:rsidRDefault="00000000">
      <w:pPr>
        <w:pStyle w:val="PargrafodaLista"/>
        <w:numPr>
          <w:ilvl w:val="0"/>
          <w:numId w:val="4"/>
        </w:numPr>
        <w:tabs>
          <w:tab w:val="left" w:pos="730"/>
        </w:tabs>
        <w:spacing w:before="1" w:line="276" w:lineRule="auto"/>
        <w:ind w:right="136" w:firstLine="0"/>
        <w:jc w:val="both"/>
        <w:rPr>
          <w:rFonts w:ascii="Arial MT" w:hAnsi="Arial MT"/>
        </w:rPr>
      </w:pPr>
      <w:r>
        <w:rPr>
          <w:rFonts w:ascii="Arial" w:hAnsi="Arial"/>
          <w:b/>
        </w:rPr>
        <w:t>Ativos</w:t>
      </w:r>
      <w:r>
        <w:rPr>
          <w:rFonts w:ascii="Arial" w:hAnsi="Arial"/>
          <w:b/>
          <w:spacing w:val="-16"/>
        </w:rPr>
        <w:t xml:space="preserve"> </w:t>
      </w:r>
      <w:r>
        <w:rPr>
          <w:rFonts w:ascii="Arial" w:hAnsi="Arial"/>
          <w:b/>
        </w:rPr>
        <w:t>Contingentes:</w:t>
      </w:r>
      <w:r>
        <w:rPr>
          <w:rFonts w:ascii="Arial" w:hAnsi="Arial"/>
          <w:b/>
          <w:spacing w:val="-15"/>
        </w:rPr>
        <w:t xml:space="preserve"> </w:t>
      </w:r>
      <w:r>
        <w:rPr>
          <w:rFonts w:ascii="Arial MT" w:hAnsi="Arial MT"/>
        </w:rPr>
        <w:t>O</w:t>
      </w:r>
      <w:r>
        <w:rPr>
          <w:rFonts w:ascii="Arial MT" w:hAnsi="Arial MT"/>
          <w:spacing w:val="-15"/>
        </w:rPr>
        <w:t xml:space="preserve"> </w:t>
      </w:r>
      <w:r>
        <w:rPr>
          <w:rFonts w:ascii="Arial MT" w:hAnsi="Arial MT"/>
        </w:rPr>
        <w:t>saldo</w:t>
      </w:r>
      <w:r>
        <w:rPr>
          <w:rFonts w:ascii="Arial MT" w:hAnsi="Arial MT"/>
          <w:spacing w:val="-16"/>
        </w:rPr>
        <w:t xml:space="preserve"> </w:t>
      </w:r>
      <w:r>
        <w:rPr>
          <w:rFonts w:ascii="Arial MT" w:hAnsi="Arial MT"/>
        </w:rPr>
        <w:t>refere-se</w:t>
      </w:r>
      <w:r>
        <w:rPr>
          <w:rFonts w:ascii="Arial MT" w:hAnsi="Arial MT"/>
          <w:spacing w:val="-15"/>
        </w:rPr>
        <w:t xml:space="preserve"> </w:t>
      </w:r>
      <w:r>
        <w:rPr>
          <w:rFonts w:ascii="Arial MT" w:hAnsi="Arial MT"/>
        </w:rPr>
        <w:t>ao</w:t>
      </w:r>
      <w:r>
        <w:rPr>
          <w:rFonts w:ascii="Arial MT" w:hAnsi="Arial MT"/>
          <w:spacing w:val="-15"/>
        </w:rPr>
        <w:t xml:space="preserve"> </w:t>
      </w:r>
      <w:r>
        <w:rPr>
          <w:rFonts w:ascii="Arial MT" w:hAnsi="Arial MT"/>
        </w:rPr>
        <w:t>ganho</w:t>
      </w:r>
      <w:r>
        <w:rPr>
          <w:rFonts w:ascii="Arial MT" w:hAnsi="Arial MT"/>
          <w:spacing w:val="-15"/>
        </w:rPr>
        <w:t xml:space="preserve"> </w:t>
      </w:r>
      <w:r>
        <w:rPr>
          <w:rFonts w:ascii="Arial MT" w:hAnsi="Arial MT"/>
        </w:rPr>
        <w:t>decorrente</w:t>
      </w:r>
      <w:r>
        <w:rPr>
          <w:rFonts w:ascii="Arial MT" w:hAnsi="Arial MT"/>
          <w:spacing w:val="-16"/>
        </w:rPr>
        <w:t xml:space="preserve"> </w:t>
      </w:r>
      <w:r>
        <w:rPr>
          <w:rFonts w:ascii="Arial MT" w:hAnsi="Arial MT"/>
        </w:rPr>
        <w:t>de</w:t>
      </w:r>
      <w:r>
        <w:rPr>
          <w:rFonts w:ascii="Arial MT" w:hAnsi="Arial MT"/>
          <w:spacing w:val="-15"/>
        </w:rPr>
        <w:t xml:space="preserve"> </w:t>
      </w:r>
      <w:r>
        <w:rPr>
          <w:rFonts w:ascii="Arial MT" w:hAnsi="Arial MT"/>
        </w:rPr>
        <w:t>decisões</w:t>
      </w:r>
      <w:r>
        <w:rPr>
          <w:rFonts w:ascii="Arial MT" w:hAnsi="Arial MT"/>
          <w:spacing w:val="-15"/>
        </w:rPr>
        <w:t xml:space="preserve"> </w:t>
      </w:r>
      <w:r>
        <w:rPr>
          <w:rFonts w:ascii="Arial MT" w:hAnsi="Arial MT"/>
        </w:rPr>
        <w:t>judiciais</w:t>
      </w:r>
      <w:r>
        <w:rPr>
          <w:rFonts w:ascii="Arial MT" w:hAnsi="Arial MT"/>
          <w:spacing w:val="-16"/>
        </w:rPr>
        <w:t xml:space="preserve"> </w:t>
      </w:r>
      <w:r>
        <w:rPr>
          <w:rFonts w:ascii="Arial MT" w:hAnsi="Arial MT"/>
        </w:rPr>
        <w:t>favoráveis</w:t>
      </w:r>
      <w:r>
        <w:rPr>
          <w:rFonts w:ascii="Arial MT" w:hAnsi="Arial MT"/>
          <w:spacing w:val="-15"/>
        </w:rPr>
        <w:t xml:space="preserve"> </w:t>
      </w:r>
      <w:r>
        <w:rPr>
          <w:rFonts w:ascii="Arial MT" w:hAnsi="Arial MT"/>
        </w:rPr>
        <w:t>à</w:t>
      </w:r>
      <w:r>
        <w:rPr>
          <w:rFonts w:ascii="Arial MT" w:hAnsi="Arial MT"/>
          <w:spacing w:val="-15"/>
        </w:rPr>
        <w:t xml:space="preserve"> </w:t>
      </w:r>
      <w:r>
        <w:rPr>
          <w:rFonts w:ascii="Arial MT" w:hAnsi="Arial MT"/>
        </w:rPr>
        <w:t xml:space="preserve">Telebras. No exercício de 2025, a Companhia obteve êxito em ação movida contra a Federação Internacional de Futebol (FIFA), relativa a pendências contratuais originadas durante a realização da Copa do Mundo de </w:t>
      </w:r>
      <w:r>
        <w:rPr>
          <w:rFonts w:ascii="Arial MT" w:hAnsi="Arial MT"/>
          <w:spacing w:val="-2"/>
        </w:rPr>
        <w:t>2014.</w:t>
      </w:r>
    </w:p>
    <w:p w14:paraId="5713166F" w14:textId="77777777" w:rsidR="002C6574" w:rsidRDefault="002C6574">
      <w:pPr>
        <w:pStyle w:val="Corpodetexto"/>
        <w:spacing w:before="37"/>
        <w:rPr>
          <w:rFonts w:ascii="Arial MT"/>
        </w:rPr>
      </w:pPr>
    </w:p>
    <w:p w14:paraId="12508CAC" w14:textId="77777777" w:rsidR="002C6574" w:rsidRDefault="00000000">
      <w:pPr>
        <w:pStyle w:val="Corpodetexto"/>
        <w:spacing w:line="276" w:lineRule="auto"/>
        <w:ind w:left="427" w:right="139"/>
        <w:jc w:val="both"/>
        <w:rPr>
          <w:rFonts w:ascii="Arial MT" w:hAnsi="Arial MT"/>
        </w:rPr>
      </w:pPr>
      <w:r>
        <w:rPr>
          <w:rFonts w:ascii="Arial MT" w:hAnsi="Arial MT"/>
        </w:rPr>
        <w:t>Após</w:t>
      </w:r>
      <w:r>
        <w:rPr>
          <w:rFonts w:ascii="Arial MT" w:hAnsi="Arial MT"/>
          <w:spacing w:val="-6"/>
        </w:rPr>
        <w:t xml:space="preserve"> </w:t>
      </w:r>
      <w:r>
        <w:rPr>
          <w:rFonts w:ascii="Arial MT" w:hAnsi="Arial MT"/>
        </w:rPr>
        <w:t>a</w:t>
      </w:r>
      <w:r>
        <w:rPr>
          <w:rFonts w:ascii="Arial MT" w:hAnsi="Arial MT"/>
          <w:spacing w:val="-6"/>
        </w:rPr>
        <w:t xml:space="preserve"> </w:t>
      </w:r>
      <w:r>
        <w:rPr>
          <w:rFonts w:ascii="Arial MT" w:hAnsi="Arial MT"/>
        </w:rPr>
        <w:t>sentença</w:t>
      </w:r>
      <w:r>
        <w:rPr>
          <w:rFonts w:ascii="Arial MT" w:hAnsi="Arial MT"/>
          <w:spacing w:val="-9"/>
        </w:rPr>
        <w:t xml:space="preserve"> </w:t>
      </w:r>
      <w:r>
        <w:rPr>
          <w:rFonts w:ascii="Arial MT" w:hAnsi="Arial MT"/>
        </w:rPr>
        <w:t>favorável,</w:t>
      </w:r>
      <w:r>
        <w:rPr>
          <w:rFonts w:ascii="Arial MT" w:hAnsi="Arial MT"/>
          <w:spacing w:val="-5"/>
        </w:rPr>
        <w:t xml:space="preserve"> </w:t>
      </w:r>
      <w:r>
        <w:rPr>
          <w:rFonts w:ascii="Arial MT" w:hAnsi="Arial MT"/>
        </w:rPr>
        <w:t>as</w:t>
      </w:r>
      <w:r>
        <w:rPr>
          <w:rFonts w:ascii="Arial MT" w:hAnsi="Arial MT"/>
          <w:spacing w:val="-6"/>
        </w:rPr>
        <w:t xml:space="preserve"> </w:t>
      </w:r>
      <w:r>
        <w:rPr>
          <w:rFonts w:ascii="Arial MT" w:hAnsi="Arial MT"/>
        </w:rPr>
        <w:t>partes</w:t>
      </w:r>
      <w:r>
        <w:rPr>
          <w:rFonts w:ascii="Arial MT" w:hAnsi="Arial MT"/>
          <w:spacing w:val="-9"/>
        </w:rPr>
        <w:t xml:space="preserve"> </w:t>
      </w:r>
      <w:r>
        <w:rPr>
          <w:rFonts w:ascii="Arial MT" w:hAnsi="Arial MT"/>
        </w:rPr>
        <w:t>formalizaram</w:t>
      </w:r>
      <w:r>
        <w:rPr>
          <w:rFonts w:ascii="Arial MT" w:hAnsi="Arial MT"/>
          <w:spacing w:val="-5"/>
        </w:rPr>
        <w:t xml:space="preserve"> </w:t>
      </w:r>
      <w:r>
        <w:rPr>
          <w:rFonts w:ascii="Arial MT" w:hAnsi="Arial MT"/>
        </w:rPr>
        <w:t>acordo</w:t>
      </w:r>
      <w:r>
        <w:rPr>
          <w:rFonts w:ascii="Arial MT" w:hAnsi="Arial MT"/>
          <w:spacing w:val="-7"/>
        </w:rPr>
        <w:t xml:space="preserve"> </w:t>
      </w:r>
      <w:r>
        <w:rPr>
          <w:rFonts w:ascii="Arial MT" w:hAnsi="Arial MT"/>
        </w:rPr>
        <w:t>no</w:t>
      </w:r>
      <w:r>
        <w:rPr>
          <w:rFonts w:ascii="Arial MT" w:hAnsi="Arial MT"/>
          <w:spacing w:val="-9"/>
        </w:rPr>
        <w:t xml:space="preserve"> </w:t>
      </w:r>
      <w:r>
        <w:rPr>
          <w:rFonts w:ascii="Arial MT" w:hAnsi="Arial MT"/>
        </w:rPr>
        <w:t>qual</w:t>
      </w:r>
      <w:r>
        <w:rPr>
          <w:rFonts w:ascii="Arial MT" w:hAnsi="Arial MT"/>
          <w:spacing w:val="-7"/>
        </w:rPr>
        <w:t xml:space="preserve"> </w:t>
      </w:r>
      <w:r>
        <w:rPr>
          <w:rFonts w:ascii="Arial MT" w:hAnsi="Arial MT"/>
        </w:rPr>
        <w:t>a</w:t>
      </w:r>
      <w:r>
        <w:rPr>
          <w:rFonts w:ascii="Arial MT" w:hAnsi="Arial MT"/>
          <w:spacing w:val="-9"/>
        </w:rPr>
        <w:t xml:space="preserve"> </w:t>
      </w:r>
      <w:r>
        <w:rPr>
          <w:rFonts w:ascii="Arial MT" w:hAnsi="Arial MT"/>
        </w:rPr>
        <w:t>FIFA</w:t>
      </w:r>
      <w:r>
        <w:rPr>
          <w:rFonts w:ascii="Arial MT" w:hAnsi="Arial MT"/>
          <w:spacing w:val="-12"/>
        </w:rPr>
        <w:t xml:space="preserve"> </w:t>
      </w:r>
      <w:r>
        <w:rPr>
          <w:rFonts w:ascii="Arial MT" w:hAnsi="Arial MT"/>
        </w:rPr>
        <w:t>renunciou</w:t>
      </w:r>
      <w:r>
        <w:rPr>
          <w:rFonts w:ascii="Arial MT" w:hAnsi="Arial MT"/>
          <w:spacing w:val="-7"/>
        </w:rPr>
        <w:t xml:space="preserve"> </w:t>
      </w:r>
      <w:r>
        <w:rPr>
          <w:rFonts w:ascii="Arial MT" w:hAnsi="Arial MT"/>
        </w:rPr>
        <w:t>aos</w:t>
      </w:r>
      <w:r>
        <w:rPr>
          <w:rFonts w:ascii="Arial MT" w:hAnsi="Arial MT"/>
          <w:spacing w:val="-8"/>
        </w:rPr>
        <w:t xml:space="preserve"> </w:t>
      </w:r>
      <w:r>
        <w:rPr>
          <w:rFonts w:ascii="Arial MT" w:hAnsi="Arial MT"/>
        </w:rPr>
        <w:t>recursos</w:t>
      </w:r>
      <w:r>
        <w:rPr>
          <w:rFonts w:ascii="Arial MT" w:hAnsi="Arial MT"/>
          <w:spacing w:val="-9"/>
        </w:rPr>
        <w:t xml:space="preserve"> </w:t>
      </w:r>
      <w:r>
        <w:rPr>
          <w:rFonts w:ascii="Arial MT" w:hAnsi="Arial MT"/>
        </w:rPr>
        <w:t>que</w:t>
      </w:r>
      <w:r>
        <w:rPr>
          <w:rFonts w:ascii="Arial MT" w:hAnsi="Arial MT"/>
          <w:spacing w:val="-7"/>
        </w:rPr>
        <w:t xml:space="preserve"> </w:t>
      </w:r>
      <w:r>
        <w:rPr>
          <w:rFonts w:ascii="Arial MT" w:hAnsi="Arial MT"/>
        </w:rPr>
        <w:t>ainda poderia</w:t>
      </w:r>
      <w:r>
        <w:rPr>
          <w:rFonts w:ascii="Arial MT" w:hAnsi="Arial MT"/>
          <w:spacing w:val="-5"/>
        </w:rPr>
        <w:t xml:space="preserve"> </w:t>
      </w:r>
      <w:r>
        <w:rPr>
          <w:rFonts w:ascii="Arial MT" w:hAnsi="Arial MT"/>
        </w:rPr>
        <w:t>interpor</w:t>
      </w:r>
      <w:r>
        <w:rPr>
          <w:rFonts w:ascii="Arial MT" w:hAnsi="Arial MT"/>
          <w:spacing w:val="-6"/>
        </w:rPr>
        <w:t xml:space="preserve"> </w:t>
      </w:r>
      <w:r>
        <w:rPr>
          <w:rFonts w:ascii="Arial MT" w:hAnsi="Arial MT"/>
        </w:rPr>
        <w:t>e</w:t>
      </w:r>
      <w:r>
        <w:rPr>
          <w:rFonts w:ascii="Arial MT" w:hAnsi="Arial MT"/>
          <w:spacing w:val="-7"/>
        </w:rPr>
        <w:t xml:space="preserve"> </w:t>
      </w:r>
      <w:r>
        <w:rPr>
          <w:rFonts w:ascii="Arial MT" w:hAnsi="Arial MT"/>
        </w:rPr>
        <w:t>reconheceu</w:t>
      </w:r>
      <w:r>
        <w:rPr>
          <w:rFonts w:ascii="Arial MT" w:hAnsi="Arial MT"/>
          <w:spacing w:val="-5"/>
        </w:rPr>
        <w:t xml:space="preserve"> </w:t>
      </w:r>
      <w:r>
        <w:rPr>
          <w:rFonts w:ascii="Arial MT" w:hAnsi="Arial MT"/>
        </w:rPr>
        <w:t>a</w:t>
      </w:r>
      <w:r>
        <w:rPr>
          <w:rFonts w:ascii="Arial MT" w:hAnsi="Arial MT"/>
          <w:spacing w:val="-7"/>
        </w:rPr>
        <w:t xml:space="preserve"> </w:t>
      </w:r>
      <w:r>
        <w:rPr>
          <w:rFonts w:ascii="Arial MT" w:hAnsi="Arial MT"/>
        </w:rPr>
        <w:t>obrigação</w:t>
      </w:r>
      <w:r>
        <w:rPr>
          <w:rFonts w:ascii="Arial MT" w:hAnsi="Arial MT"/>
          <w:spacing w:val="-8"/>
        </w:rPr>
        <w:t xml:space="preserve"> </w:t>
      </w:r>
      <w:r>
        <w:rPr>
          <w:rFonts w:ascii="Arial MT" w:hAnsi="Arial MT"/>
        </w:rPr>
        <w:t>de</w:t>
      </w:r>
      <w:r>
        <w:rPr>
          <w:rFonts w:ascii="Arial MT" w:hAnsi="Arial MT"/>
          <w:spacing w:val="-5"/>
        </w:rPr>
        <w:t xml:space="preserve"> </w:t>
      </w:r>
      <w:r>
        <w:rPr>
          <w:rFonts w:ascii="Arial MT" w:hAnsi="Arial MT"/>
        </w:rPr>
        <w:t>quitar</w:t>
      </w:r>
      <w:r>
        <w:rPr>
          <w:rFonts w:ascii="Arial MT" w:hAnsi="Arial MT"/>
          <w:spacing w:val="-4"/>
        </w:rPr>
        <w:t xml:space="preserve"> </w:t>
      </w:r>
      <w:r>
        <w:rPr>
          <w:rFonts w:ascii="Arial MT" w:hAnsi="Arial MT"/>
        </w:rPr>
        <w:t>o</w:t>
      </w:r>
      <w:r>
        <w:rPr>
          <w:rFonts w:ascii="Arial MT" w:hAnsi="Arial MT"/>
          <w:spacing w:val="-7"/>
        </w:rPr>
        <w:t xml:space="preserve"> </w:t>
      </w:r>
      <w:r>
        <w:rPr>
          <w:rFonts w:ascii="Arial MT" w:hAnsi="Arial MT"/>
        </w:rPr>
        <w:t>valor</w:t>
      </w:r>
      <w:r>
        <w:rPr>
          <w:rFonts w:ascii="Arial MT" w:hAnsi="Arial MT"/>
          <w:spacing w:val="-7"/>
        </w:rPr>
        <w:t xml:space="preserve"> </w:t>
      </w:r>
      <w:r>
        <w:rPr>
          <w:rFonts w:ascii="Arial MT" w:hAnsi="Arial MT"/>
        </w:rPr>
        <w:t>devido,</w:t>
      </w:r>
      <w:r>
        <w:rPr>
          <w:rFonts w:ascii="Arial MT" w:hAnsi="Arial MT"/>
          <w:spacing w:val="-6"/>
        </w:rPr>
        <w:t xml:space="preserve"> </w:t>
      </w:r>
      <w:r>
        <w:rPr>
          <w:rFonts w:ascii="Arial MT" w:hAnsi="Arial MT"/>
        </w:rPr>
        <w:t>acrescido</w:t>
      </w:r>
      <w:r>
        <w:rPr>
          <w:rFonts w:ascii="Arial MT" w:hAnsi="Arial MT"/>
          <w:spacing w:val="-5"/>
        </w:rPr>
        <w:t xml:space="preserve"> </w:t>
      </w:r>
      <w:r>
        <w:rPr>
          <w:rFonts w:ascii="Arial MT" w:hAnsi="Arial MT"/>
        </w:rPr>
        <w:t>de</w:t>
      </w:r>
      <w:r>
        <w:rPr>
          <w:rFonts w:ascii="Arial MT" w:hAnsi="Arial MT"/>
          <w:spacing w:val="-5"/>
        </w:rPr>
        <w:t xml:space="preserve"> </w:t>
      </w:r>
      <w:r>
        <w:rPr>
          <w:rFonts w:ascii="Arial MT" w:hAnsi="Arial MT"/>
        </w:rPr>
        <w:t>atualização</w:t>
      </w:r>
      <w:r>
        <w:rPr>
          <w:rFonts w:ascii="Arial MT" w:hAnsi="Arial MT"/>
          <w:spacing w:val="-7"/>
        </w:rPr>
        <w:t xml:space="preserve"> </w:t>
      </w:r>
      <w:r>
        <w:rPr>
          <w:rFonts w:ascii="Arial MT" w:hAnsi="Arial MT"/>
        </w:rPr>
        <w:t>monetária.</w:t>
      </w:r>
      <w:r>
        <w:rPr>
          <w:rFonts w:ascii="Arial MT" w:hAnsi="Arial MT"/>
          <w:spacing w:val="-4"/>
        </w:rPr>
        <w:t xml:space="preserve"> </w:t>
      </w:r>
      <w:r>
        <w:rPr>
          <w:rFonts w:ascii="Arial MT" w:hAnsi="Arial MT"/>
        </w:rPr>
        <w:t>Em decorrência desse acordo, a Telebras recebeu o montante de R$ 14.922, valor que foi contabilizado como ingresso extraordinário decorrente de decisão judicial transitada em julgado.</w:t>
      </w:r>
    </w:p>
    <w:p w14:paraId="37316EFD" w14:textId="77777777" w:rsidR="002C6574" w:rsidRDefault="002C6574">
      <w:pPr>
        <w:pStyle w:val="Corpodetexto"/>
        <w:spacing w:line="276" w:lineRule="auto"/>
        <w:jc w:val="both"/>
        <w:rPr>
          <w:rFonts w:ascii="Arial MT" w:hAnsi="Arial MT"/>
        </w:rPr>
        <w:sectPr w:rsidR="002C6574">
          <w:pgSz w:w="11910" w:h="16840"/>
          <w:pgMar w:top="2200" w:right="425" w:bottom="1220" w:left="425" w:header="1197" w:footer="994" w:gutter="0"/>
          <w:cols w:space="720"/>
        </w:sectPr>
      </w:pPr>
    </w:p>
    <w:p w14:paraId="7E7BA4D7" w14:textId="77777777" w:rsidR="002C6574" w:rsidRDefault="002C6574">
      <w:pPr>
        <w:pStyle w:val="Corpodetexto"/>
        <w:rPr>
          <w:rFonts w:ascii="Arial MT"/>
        </w:rPr>
      </w:pPr>
    </w:p>
    <w:p w14:paraId="686FD080" w14:textId="77777777" w:rsidR="002C6574" w:rsidRDefault="00000000">
      <w:pPr>
        <w:pStyle w:val="PargrafodaLista"/>
        <w:numPr>
          <w:ilvl w:val="0"/>
          <w:numId w:val="4"/>
        </w:numPr>
        <w:tabs>
          <w:tab w:val="left" w:pos="689"/>
        </w:tabs>
        <w:spacing w:line="276" w:lineRule="auto"/>
        <w:ind w:right="132" w:firstLine="0"/>
        <w:jc w:val="both"/>
        <w:rPr>
          <w:rFonts w:ascii="Arial MT" w:hAnsi="Arial MT"/>
        </w:rPr>
      </w:pPr>
      <w:r>
        <w:rPr>
          <w:rFonts w:ascii="Arial MT" w:hAnsi="Arial MT"/>
          <w:noProof/>
        </w:rPr>
        <mc:AlternateContent>
          <mc:Choice Requires="wpg">
            <w:drawing>
              <wp:anchor distT="0" distB="0" distL="0" distR="0" simplePos="0" relativeHeight="15772160" behindDoc="0" locked="0" layoutInCell="1" allowOverlap="1" wp14:anchorId="2B030413" wp14:editId="2DC0149C">
                <wp:simplePos x="0" y="0"/>
                <wp:positionH relativeFrom="page">
                  <wp:posOffset>443483</wp:posOffset>
                </wp:positionH>
                <wp:positionV relativeFrom="paragraph">
                  <wp:posOffset>-164699</wp:posOffset>
                </wp:positionV>
                <wp:extent cx="6922134" cy="105410"/>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134" cy="105410"/>
                          <a:chOff x="0" y="0"/>
                          <a:chExt cx="6922134" cy="105410"/>
                        </a:xfrm>
                      </wpg:grpSpPr>
                      <pic:pic xmlns:pic="http://schemas.openxmlformats.org/drawingml/2006/picture">
                        <pic:nvPicPr>
                          <pic:cNvPr id="386" name="Image 386"/>
                          <pic:cNvPicPr/>
                        </pic:nvPicPr>
                        <pic:blipFill>
                          <a:blip r:embed="rId213" cstate="print"/>
                          <a:stretch>
                            <a:fillRect/>
                          </a:stretch>
                        </pic:blipFill>
                        <pic:spPr>
                          <a:xfrm>
                            <a:off x="0" y="0"/>
                            <a:ext cx="6922008" cy="105155"/>
                          </a:xfrm>
                          <a:prstGeom prst="rect">
                            <a:avLst/>
                          </a:prstGeom>
                        </pic:spPr>
                      </pic:pic>
                      <wps:wsp>
                        <wps:cNvPr id="387" name="Graphic 387"/>
                        <wps:cNvSpPr/>
                        <wps:spPr>
                          <a:xfrm>
                            <a:off x="42290" y="34925"/>
                            <a:ext cx="6829425" cy="1270"/>
                          </a:xfrm>
                          <a:custGeom>
                            <a:avLst/>
                            <a:gdLst/>
                            <a:ahLst/>
                            <a:cxnLst/>
                            <a:rect l="l" t="t" r="r" b="b"/>
                            <a:pathLst>
                              <a:path w="6829425">
                                <a:moveTo>
                                  <a:pt x="0" y="0"/>
                                </a:moveTo>
                                <a:lnTo>
                                  <a:pt x="6829425" y="0"/>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6893DF87" id="Group 385" o:spid="_x0000_s1026" style="position:absolute;margin-left:34.9pt;margin-top:-12.95pt;width:545.05pt;height:8.3pt;z-index:15772160;mso-wrap-distance-left:0;mso-wrap-distance-right:0;mso-position-horizontal-relative:page" coordsize="69221,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">
                <v:shape id="Image 386" o:spid="_x0000_s1027" type="#_x0000_t75" style="position:absolute;width:692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">
                  <v:imagedata r:id="rId214" o:title=""/>
                </v:shape>
                <v:shape id="Graphic 387" o:spid="_x0000_s1028" style="position:absolute;left:422;top:349;width:68295;height:12;visibility:visible;mso-wrap-style:square;v-text-anchor:top" coordsize="682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" path="m,l6829425,e" filled="f" strokecolor="blue" strokeweight="2pt">
                  <v:path arrowok="t"/>
                </v:shape>
                <w10:wrap anchorx="page"/>
              </v:group>
            </w:pict>
          </mc:Fallback>
        </mc:AlternateContent>
      </w:r>
      <w:r>
        <w:rPr>
          <w:rFonts w:ascii="Arial" w:hAnsi="Arial"/>
          <w:b/>
        </w:rPr>
        <w:t xml:space="preserve">Tributos sobre Outras Receitas Operacionais: </w:t>
      </w:r>
      <w:r>
        <w:rPr>
          <w:rFonts w:ascii="Arial MT" w:hAnsi="Arial MT"/>
        </w:rPr>
        <w:t>A redução de 39,3% em relação ao exercício de 2024 decorre, principalmente, da diminuição dos eventos reconhecidos no resultado do período classificados como</w:t>
      </w:r>
      <w:r>
        <w:rPr>
          <w:rFonts w:ascii="Arial MT" w:hAnsi="Arial MT"/>
          <w:spacing w:val="-6"/>
        </w:rPr>
        <w:t xml:space="preserve"> </w:t>
      </w:r>
      <w:r>
        <w:rPr>
          <w:rFonts w:ascii="Arial MT" w:hAnsi="Arial MT"/>
        </w:rPr>
        <w:t>outras</w:t>
      </w:r>
      <w:r>
        <w:rPr>
          <w:rFonts w:ascii="Arial MT" w:hAnsi="Arial MT"/>
          <w:spacing w:val="-9"/>
        </w:rPr>
        <w:t xml:space="preserve"> </w:t>
      </w:r>
      <w:r>
        <w:rPr>
          <w:rFonts w:ascii="Arial MT" w:hAnsi="Arial MT"/>
        </w:rPr>
        <w:t>receitas</w:t>
      </w:r>
      <w:r>
        <w:rPr>
          <w:rFonts w:ascii="Arial MT" w:hAnsi="Arial MT"/>
          <w:spacing w:val="-6"/>
        </w:rPr>
        <w:t xml:space="preserve"> </w:t>
      </w:r>
      <w:r>
        <w:rPr>
          <w:rFonts w:ascii="Arial MT" w:hAnsi="Arial MT"/>
        </w:rPr>
        <w:t>operacionais</w:t>
      </w:r>
      <w:r>
        <w:rPr>
          <w:rFonts w:ascii="Arial MT" w:hAnsi="Arial MT"/>
          <w:spacing w:val="-6"/>
        </w:rPr>
        <w:t xml:space="preserve"> </w:t>
      </w:r>
      <w:r>
        <w:rPr>
          <w:rFonts w:ascii="Arial MT" w:hAnsi="Arial MT"/>
        </w:rPr>
        <w:t>e</w:t>
      </w:r>
      <w:r>
        <w:rPr>
          <w:rFonts w:ascii="Arial MT" w:hAnsi="Arial MT"/>
          <w:spacing w:val="-6"/>
        </w:rPr>
        <w:t xml:space="preserve"> </w:t>
      </w:r>
      <w:r>
        <w:rPr>
          <w:rFonts w:ascii="Arial MT" w:hAnsi="Arial MT"/>
        </w:rPr>
        <w:t>que</w:t>
      </w:r>
      <w:r>
        <w:rPr>
          <w:rFonts w:ascii="Arial MT" w:hAnsi="Arial MT"/>
          <w:spacing w:val="-9"/>
        </w:rPr>
        <w:t xml:space="preserve"> </w:t>
      </w:r>
      <w:r>
        <w:rPr>
          <w:rFonts w:ascii="Arial MT" w:hAnsi="Arial MT"/>
        </w:rPr>
        <w:t>são</w:t>
      </w:r>
      <w:r>
        <w:rPr>
          <w:rFonts w:ascii="Arial MT" w:hAnsi="Arial MT"/>
          <w:spacing w:val="-7"/>
        </w:rPr>
        <w:t xml:space="preserve"> </w:t>
      </w:r>
      <w:r>
        <w:rPr>
          <w:rFonts w:ascii="Arial MT" w:hAnsi="Arial MT"/>
        </w:rPr>
        <w:t>sujeitos</w:t>
      </w:r>
      <w:r>
        <w:rPr>
          <w:rFonts w:ascii="Arial MT" w:hAnsi="Arial MT"/>
          <w:spacing w:val="-6"/>
        </w:rPr>
        <w:t xml:space="preserve"> </w:t>
      </w:r>
      <w:r>
        <w:rPr>
          <w:rFonts w:ascii="Arial MT" w:hAnsi="Arial MT"/>
        </w:rPr>
        <w:t>à</w:t>
      </w:r>
      <w:r>
        <w:rPr>
          <w:rFonts w:ascii="Arial MT" w:hAnsi="Arial MT"/>
          <w:spacing w:val="-6"/>
        </w:rPr>
        <w:t xml:space="preserve"> </w:t>
      </w:r>
      <w:r>
        <w:rPr>
          <w:rFonts w:ascii="Arial MT" w:hAnsi="Arial MT"/>
        </w:rPr>
        <w:t>incidência</w:t>
      </w:r>
      <w:r>
        <w:rPr>
          <w:rFonts w:ascii="Arial MT" w:hAnsi="Arial MT"/>
          <w:spacing w:val="-6"/>
        </w:rPr>
        <w:t xml:space="preserve"> </w:t>
      </w:r>
      <w:r>
        <w:rPr>
          <w:rFonts w:ascii="Arial MT" w:hAnsi="Arial MT"/>
        </w:rPr>
        <w:t>de</w:t>
      </w:r>
      <w:r>
        <w:rPr>
          <w:rFonts w:ascii="Arial MT" w:hAnsi="Arial MT"/>
          <w:spacing w:val="-7"/>
        </w:rPr>
        <w:t xml:space="preserve"> </w:t>
      </w:r>
      <w:r>
        <w:rPr>
          <w:rFonts w:ascii="Arial MT" w:hAnsi="Arial MT"/>
        </w:rPr>
        <w:t>PIS</w:t>
      </w:r>
      <w:r>
        <w:rPr>
          <w:rFonts w:ascii="Arial MT" w:hAnsi="Arial MT"/>
          <w:spacing w:val="-9"/>
        </w:rPr>
        <w:t xml:space="preserve"> </w:t>
      </w:r>
      <w:r>
        <w:rPr>
          <w:rFonts w:ascii="Arial MT" w:hAnsi="Arial MT"/>
        </w:rPr>
        <w:t>e</w:t>
      </w:r>
      <w:r>
        <w:rPr>
          <w:rFonts w:ascii="Arial MT" w:hAnsi="Arial MT"/>
          <w:spacing w:val="-6"/>
        </w:rPr>
        <w:t xml:space="preserve"> </w:t>
      </w:r>
      <w:r>
        <w:rPr>
          <w:rFonts w:ascii="Arial MT" w:hAnsi="Arial MT"/>
        </w:rPr>
        <w:t>Cofins.</w:t>
      </w:r>
      <w:r>
        <w:rPr>
          <w:rFonts w:ascii="Arial MT" w:hAnsi="Arial MT"/>
          <w:spacing w:val="-7"/>
        </w:rPr>
        <w:t xml:space="preserve"> </w:t>
      </w:r>
      <w:r>
        <w:rPr>
          <w:rFonts w:ascii="Arial MT" w:hAnsi="Arial MT"/>
        </w:rPr>
        <w:t>A</w:t>
      </w:r>
      <w:r>
        <w:rPr>
          <w:rFonts w:ascii="Arial MT" w:hAnsi="Arial MT"/>
          <w:spacing w:val="-9"/>
        </w:rPr>
        <w:t xml:space="preserve"> </w:t>
      </w:r>
      <w:r>
        <w:rPr>
          <w:rFonts w:ascii="Arial MT" w:hAnsi="Arial MT"/>
        </w:rPr>
        <w:t>menor</w:t>
      </w:r>
      <w:r>
        <w:rPr>
          <w:rFonts w:ascii="Arial MT" w:hAnsi="Arial MT"/>
          <w:spacing w:val="-6"/>
        </w:rPr>
        <w:t xml:space="preserve"> </w:t>
      </w:r>
      <w:r>
        <w:rPr>
          <w:rFonts w:ascii="Arial MT" w:hAnsi="Arial MT"/>
        </w:rPr>
        <w:t>geração</w:t>
      </w:r>
      <w:r>
        <w:rPr>
          <w:rFonts w:ascii="Arial MT" w:hAnsi="Arial MT"/>
          <w:spacing w:val="-7"/>
        </w:rPr>
        <w:t xml:space="preserve"> </w:t>
      </w:r>
      <w:r>
        <w:rPr>
          <w:rFonts w:ascii="Arial MT" w:hAnsi="Arial MT"/>
        </w:rPr>
        <w:t>desses eventos no exercício reduziu a base tributável e, consequentemente, o montante registrado nessa rubrica.</w:t>
      </w:r>
    </w:p>
    <w:p w14:paraId="249EBD35" w14:textId="77777777" w:rsidR="002C6574" w:rsidRDefault="00000000">
      <w:pPr>
        <w:pStyle w:val="Ttulo8"/>
        <w:spacing w:before="121"/>
        <w:rPr>
          <w:rFonts w:ascii="Arial"/>
        </w:rPr>
      </w:pPr>
      <w:r>
        <w:rPr>
          <w:rFonts w:ascii="Arial"/>
          <w:smallCaps/>
          <w:u w:val="single"/>
        </w:rPr>
        <w:t>Resultado</w:t>
      </w:r>
      <w:r>
        <w:rPr>
          <w:rFonts w:ascii="Arial"/>
          <w:smallCaps/>
          <w:spacing w:val="37"/>
          <w:u w:val="single"/>
        </w:rPr>
        <w:t xml:space="preserve"> </w:t>
      </w:r>
      <w:r>
        <w:rPr>
          <w:rFonts w:ascii="Arial"/>
          <w:smallCaps/>
          <w:spacing w:val="-2"/>
          <w:u w:val="single"/>
        </w:rPr>
        <w:t>Financeiro</w:t>
      </w:r>
    </w:p>
    <w:p w14:paraId="78CD53A5" w14:textId="77777777" w:rsidR="002C6574" w:rsidRDefault="00000000">
      <w:pPr>
        <w:spacing w:before="74"/>
        <w:ind w:left="2625" w:right="832"/>
        <w:jc w:val="center"/>
        <w:rPr>
          <w:rFonts w:ascii="Arial"/>
          <w:b/>
          <w:sz w:val="13"/>
        </w:rPr>
      </w:pPr>
      <w:r>
        <w:rPr>
          <w:rFonts w:ascii="Arial"/>
          <w:b/>
          <w:noProof/>
          <w:sz w:val="13"/>
        </w:rPr>
        <mc:AlternateContent>
          <mc:Choice Requires="wps">
            <w:drawing>
              <wp:anchor distT="0" distB="0" distL="0" distR="0" simplePos="0" relativeHeight="487630848" behindDoc="1" locked="0" layoutInCell="1" allowOverlap="1" wp14:anchorId="3CE377FE" wp14:editId="7D7F2482">
                <wp:simplePos x="0" y="0"/>
                <wp:positionH relativeFrom="page">
                  <wp:posOffset>3172079</wp:posOffset>
                </wp:positionH>
                <wp:positionV relativeFrom="paragraph">
                  <wp:posOffset>162796</wp:posOffset>
                </wp:positionV>
                <wp:extent cx="2355215" cy="12700"/>
                <wp:effectExtent l="0" t="0" r="0" b="0"/>
                <wp:wrapTopAndBottom/>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215" cy="12700"/>
                        </a:xfrm>
                        <a:custGeom>
                          <a:avLst/>
                          <a:gdLst/>
                          <a:ahLst/>
                          <a:cxnLst/>
                          <a:rect l="l" t="t" r="r" b="b"/>
                          <a:pathLst>
                            <a:path w="2355215" h="12700">
                              <a:moveTo>
                                <a:pt x="571487" y="0"/>
                              </a:moveTo>
                              <a:lnTo>
                                <a:pt x="559308" y="0"/>
                              </a:lnTo>
                              <a:lnTo>
                                <a:pt x="0" y="0"/>
                              </a:lnTo>
                              <a:lnTo>
                                <a:pt x="0" y="12179"/>
                              </a:lnTo>
                              <a:lnTo>
                                <a:pt x="559308" y="12179"/>
                              </a:lnTo>
                              <a:lnTo>
                                <a:pt x="571487" y="12179"/>
                              </a:lnTo>
                              <a:lnTo>
                                <a:pt x="571487" y="0"/>
                              </a:lnTo>
                              <a:close/>
                            </a:path>
                            <a:path w="2355215" h="12700">
                              <a:moveTo>
                                <a:pt x="998461" y="0"/>
                              </a:moveTo>
                              <a:lnTo>
                                <a:pt x="986320" y="0"/>
                              </a:lnTo>
                              <a:lnTo>
                                <a:pt x="571500" y="0"/>
                              </a:lnTo>
                              <a:lnTo>
                                <a:pt x="571500" y="12179"/>
                              </a:lnTo>
                              <a:lnTo>
                                <a:pt x="986282" y="12179"/>
                              </a:lnTo>
                              <a:lnTo>
                                <a:pt x="998461" y="12179"/>
                              </a:lnTo>
                              <a:lnTo>
                                <a:pt x="998461" y="0"/>
                              </a:lnTo>
                              <a:close/>
                            </a:path>
                            <a:path w="2355215" h="12700">
                              <a:moveTo>
                                <a:pt x="1426705" y="0"/>
                              </a:moveTo>
                              <a:lnTo>
                                <a:pt x="1414526" y="0"/>
                              </a:lnTo>
                              <a:lnTo>
                                <a:pt x="998474" y="0"/>
                              </a:lnTo>
                              <a:lnTo>
                                <a:pt x="998474" y="12179"/>
                              </a:lnTo>
                              <a:lnTo>
                                <a:pt x="1414526" y="12179"/>
                              </a:lnTo>
                              <a:lnTo>
                                <a:pt x="1426705" y="12179"/>
                              </a:lnTo>
                              <a:lnTo>
                                <a:pt x="1426705" y="0"/>
                              </a:lnTo>
                              <a:close/>
                            </a:path>
                            <a:path w="2355215" h="12700">
                              <a:moveTo>
                                <a:pt x="1923529" y="0"/>
                              </a:moveTo>
                              <a:lnTo>
                                <a:pt x="1911350" y="0"/>
                              </a:lnTo>
                              <a:lnTo>
                                <a:pt x="1525778" y="0"/>
                              </a:lnTo>
                              <a:lnTo>
                                <a:pt x="1513586" y="0"/>
                              </a:lnTo>
                              <a:lnTo>
                                <a:pt x="1426718" y="0"/>
                              </a:lnTo>
                              <a:lnTo>
                                <a:pt x="1426718" y="12179"/>
                              </a:lnTo>
                              <a:lnTo>
                                <a:pt x="1513586" y="12179"/>
                              </a:lnTo>
                              <a:lnTo>
                                <a:pt x="1525778" y="12179"/>
                              </a:lnTo>
                              <a:lnTo>
                                <a:pt x="1911350" y="12179"/>
                              </a:lnTo>
                              <a:lnTo>
                                <a:pt x="1923529" y="12179"/>
                              </a:lnTo>
                              <a:lnTo>
                                <a:pt x="1923529" y="0"/>
                              </a:lnTo>
                              <a:close/>
                            </a:path>
                            <a:path w="2355215" h="12700">
                              <a:moveTo>
                                <a:pt x="2354834" y="0"/>
                              </a:moveTo>
                              <a:lnTo>
                                <a:pt x="1923542" y="0"/>
                              </a:lnTo>
                              <a:lnTo>
                                <a:pt x="1923542" y="12179"/>
                              </a:lnTo>
                              <a:lnTo>
                                <a:pt x="2354834" y="12179"/>
                              </a:lnTo>
                              <a:lnTo>
                                <a:pt x="23548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C59726" id="Graphic 388" o:spid="_x0000_s1026" style="position:absolute;margin-left:249.75pt;margin-top:12.8pt;width:185.45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235521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" path="m571487,l559308,,,,,12179r559308,l571487,12179,571487,xem998461,l986320,,571500,r,12179l986282,12179r12179,l998461,xem1426705,r-12179,l998474,r,12179l1414526,12179r12179,l1426705,xem1923529,r-12179,l1525778,r-12192,l1426718,r,12179l1513586,12179r12192,l1911350,12179r12179,l1923529,xem2354834,l1923542,r,12179l2354834,12179r,-12179xe" fillcolor="black" stroked="f">
                <v:path arrowok="t"/>
                <w10:wrap type="topAndBottom" anchorx="page"/>
              </v:shape>
            </w:pict>
          </mc:Fallback>
        </mc:AlternateContent>
      </w:r>
      <w:r>
        <w:rPr>
          <w:rFonts w:ascii="Arial"/>
          <w:b/>
          <w:noProof/>
          <w:sz w:val="13"/>
        </w:rPr>
        <mc:AlternateContent>
          <mc:Choice Requires="wps">
            <w:drawing>
              <wp:anchor distT="0" distB="0" distL="0" distR="0" simplePos="0" relativeHeight="15773184" behindDoc="0" locked="0" layoutInCell="1" allowOverlap="1" wp14:anchorId="11A89C3F" wp14:editId="0C7ECAAC">
                <wp:simplePos x="0" y="0"/>
                <wp:positionH relativeFrom="page">
                  <wp:posOffset>502919</wp:posOffset>
                </wp:positionH>
                <wp:positionV relativeFrom="paragraph">
                  <wp:posOffset>231364</wp:posOffset>
                </wp:positionV>
                <wp:extent cx="4120515" cy="2600959"/>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0515" cy="2600959"/>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4141"/>
                              <w:gridCol w:w="883"/>
                              <w:gridCol w:w="696"/>
                              <w:gridCol w:w="648"/>
                            </w:tblGrid>
                            <w:tr w:rsidR="002C6574" w14:paraId="24D1DDF4" w14:textId="77777777">
                              <w:trPr>
                                <w:trHeight w:val="216"/>
                              </w:trPr>
                              <w:tc>
                                <w:tcPr>
                                  <w:tcW w:w="4141" w:type="dxa"/>
                                  <w:shd w:val="clear" w:color="auto" w:fill="0000FF"/>
                                </w:tcPr>
                                <w:p w14:paraId="57F69B60" w14:textId="77777777" w:rsidR="002C6574" w:rsidRDefault="00000000">
                                  <w:pPr>
                                    <w:pStyle w:val="TableParagraph"/>
                                    <w:spacing w:before="34"/>
                                    <w:ind w:left="69"/>
                                    <w:jc w:val="left"/>
                                    <w:rPr>
                                      <w:rFonts w:ascii="Arial"/>
                                      <w:b/>
                                      <w:sz w:val="13"/>
                                    </w:rPr>
                                  </w:pPr>
                                  <w:r>
                                    <w:rPr>
                                      <w:rFonts w:ascii="Arial"/>
                                      <w:b/>
                                      <w:color w:val="FFFFFF"/>
                                      <w:sz w:val="13"/>
                                    </w:rPr>
                                    <w:t>R$</w:t>
                                  </w:r>
                                  <w:r>
                                    <w:rPr>
                                      <w:rFonts w:ascii="Arial"/>
                                      <w:b/>
                                      <w:color w:val="FFFFFF"/>
                                      <w:spacing w:val="-3"/>
                                      <w:sz w:val="13"/>
                                    </w:rPr>
                                    <w:t xml:space="preserve"> </w:t>
                                  </w:r>
                                  <w:r>
                                    <w:rPr>
                                      <w:rFonts w:ascii="Arial"/>
                                      <w:b/>
                                      <w:color w:val="FFFFFF"/>
                                      <w:spacing w:val="-5"/>
                                      <w:sz w:val="13"/>
                                    </w:rPr>
                                    <w:t>mil</w:t>
                                  </w:r>
                                </w:p>
                              </w:tc>
                              <w:tc>
                                <w:tcPr>
                                  <w:tcW w:w="883" w:type="dxa"/>
                                  <w:shd w:val="clear" w:color="auto" w:fill="0000FF"/>
                                </w:tcPr>
                                <w:p w14:paraId="2AB385B9" w14:textId="77777777" w:rsidR="002C6574" w:rsidRDefault="00000000">
                                  <w:pPr>
                                    <w:pStyle w:val="TableParagraph"/>
                                    <w:spacing w:before="18" w:line="178" w:lineRule="exact"/>
                                    <w:ind w:left="259"/>
                                    <w:jc w:val="left"/>
                                    <w:rPr>
                                      <w:rFonts w:ascii="Arial"/>
                                      <w:b/>
                                      <w:sz w:val="16"/>
                                    </w:rPr>
                                  </w:pPr>
                                  <w:r>
                                    <w:rPr>
                                      <w:rFonts w:ascii="Arial"/>
                                      <w:b/>
                                      <w:color w:val="FFFFFF"/>
                                      <w:spacing w:val="-4"/>
                                      <w:sz w:val="16"/>
                                    </w:rPr>
                                    <w:t>4T25</w:t>
                                  </w:r>
                                </w:p>
                              </w:tc>
                              <w:tc>
                                <w:tcPr>
                                  <w:tcW w:w="696" w:type="dxa"/>
                                  <w:shd w:val="clear" w:color="auto" w:fill="0000FF"/>
                                </w:tcPr>
                                <w:p w14:paraId="441DC780" w14:textId="77777777" w:rsidR="002C6574" w:rsidRDefault="00000000">
                                  <w:pPr>
                                    <w:pStyle w:val="TableParagraph"/>
                                    <w:spacing w:before="18" w:line="178" w:lineRule="exact"/>
                                    <w:ind w:left="153"/>
                                    <w:jc w:val="left"/>
                                    <w:rPr>
                                      <w:rFonts w:ascii="Arial"/>
                                      <w:b/>
                                      <w:sz w:val="16"/>
                                    </w:rPr>
                                  </w:pPr>
                                  <w:r>
                                    <w:rPr>
                                      <w:rFonts w:ascii="Arial"/>
                                      <w:b/>
                                      <w:color w:val="FFFFFF"/>
                                      <w:spacing w:val="-4"/>
                                      <w:sz w:val="16"/>
                                    </w:rPr>
                                    <w:t>4T24</w:t>
                                  </w:r>
                                </w:p>
                              </w:tc>
                              <w:tc>
                                <w:tcPr>
                                  <w:tcW w:w="648" w:type="dxa"/>
                                  <w:shd w:val="clear" w:color="auto" w:fill="0000FF"/>
                                </w:tcPr>
                                <w:p w14:paraId="457B434E" w14:textId="77777777" w:rsidR="002C6574" w:rsidRDefault="00000000">
                                  <w:pPr>
                                    <w:pStyle w:val="TableParagraph"/>
                                    <w:spacing w:before="18" w:line="178" w:lineRule="exact"/>
                                    <w:ind w:left="130"/>
                                    <w:jc w:val="left"/>
                                    <w:rPr>
                                      <w:rFonts w:ascii="Arial"/>
                                      <w:b/>
                                      <w:sz w:val="16"/>
                                    </w:rPr>
                                  </w:pPr>
                                  <w:r>
                                    <w:rPr>
                                      <w:rFonts w:ascii="Arial"/>
                                      <w:b/>
                                      <w:color w:val="FFFFFF"/>
                                      <w:spacing w:val="-4"/>
                                      <w:sz w:val="16"/>
                                    </w:rPr>
                                    <w:t>3T25</w:t>
                                  </w:r>
                                </w:p>
                              </w:tc>
                            </w:tr>
                            <w:tr w:rsidR="002C6574" w14:paraId="656F3AB0" w14:textId="77777777">
                              <w:trPr>
                                <w:trHeight w:val="217"/>
                              </w:trPr>
                              <w:tc>
                                <w:tcPr>
                                  <w:tcW w:w="4141" w:type="dxa"/>
                                </w:tcPr>
                                <w:p w14:paraId="223CB295" w14:textId="77777777" w:rsidR="002C6574" w:rsidRDefault="00000000">
                                  <w:pPr>
                                    <w:pStyle w:val="TableParagraph"/>
                                    <w:spacing w:before="34"/>
                                    <w:ind w:left="69"/>
                                    <w:jc w:val="left"/>
                                    <w:rPr>
                                      <w:rFonts w:ascii="Arial"/>
                                      <w:b/>
                                      <w:sz w:val="13"/>
                                    </w:rPr>
                                  </w:pPr>
                                  <w:r>
                                    <w:rPr>
                                      <w:rFonts w:ascii="Arial"/>
                                      <w:b/>
                                      <w:sz w:val="13"/>
                                    </w:rPr>
                                    <w:t>Receitas</w:t>
                                  </w:r>
                                  <w:r>
                                    <w:rPr>
                                      <w:rFonts w:ascii="Arial"/>
                                      <w:b/>
                                      <w:spacing w:val="-7"/>
                                      <w:sz w:val="13"/>
                                    </w:rPr>
                                    <w:t xml:space="preserve"> </w:t>
                                  </w:r>
                                  <w:r>
                                    <w:rPr>
                                      <w:rFonts w:ascii="Arial"/>
                                      <w:b/>
                                      <w:spacing w:val="-2"/>
                                      <w:sz w:val="13"/>
                                    </w:rPr>
                                    <w:t>Financeiras</w:t>
                                  </w:r>
                                </w:p>
                              </w:tc>
                              <w:tc>
                                <w:tcPr>
                                  <w:tcW w:w="883" w:type="dxa"/>
                                  <w:shd w:val="clear" w:color="auto" w:fill="66FFFF"/>
                                </w:tcPr>
                                <w:p w14:paraId="0D9BC8E9" w14:textId="77777777" w:rsidR="002C6574" w:rsidRDefault="002C6574">
                                  <w:pPr>
                                    <w:pStyle w:val="TableParagraph"/>
                                    <w:jc w:val="left"/>
                                    <w:rPr>
                                      <w:rFonts w:ascii="Times New Roman"/>
                                      <w:sz w:val="14"/>
                                    </w:rPr>
                                  </w:pPr>
                                </w:p>
                              </w:tc>
                              <w:tc>
                                <w:tcPr>
                                  <w:tcW w:w="696" w:type="dxa"/>
                                </w:tcPr>
                                <w:p w14:paraId="2C7750C3" w14:textId="77777777" w:rsidR="002C6574" w:rsidRDefault="002C6574">
                                  <w:pPr>
                                    <w:pStyle w:val="TableParagraph"/>
                                    <w:jc w:val="left"/>
                                    <w:rPr>
                                      <w:rFonts w:ascii="Times New Roman"/>
                                      <w:sz w:val="14"/>
                                    </w:rPr>
                                  </w:pPr>
                                </w:p>
                              </w:tc>
                              <w:tc>
                                <w:tcPr>
                                  <w:tcW w:w="648" w:type="dxa"/>
                                </w:tcPr>
                                <w:p w14:paraId="78621291" w14:textId="77777777" w:rsidR="002C6574" w:rsidRDefault="002C6574">
                                  <w:pPr>
                                    <w:pStyle w:val="TableParagraph"/>
                                    <w:jc w:val="left"/>
                                    <w:rPr>
                                      <w:rFonts w:ascii="Times New Roman"/>
                                      <w:sz w:val="14"/>
                                    </w:rPr>
                                  </w:pPr>
                                </w:p>
                              </w:tc>
                            </w:tr>
                            <w:tr w:rsidR="002C6574" w14:paraId="5ABC152E" w14:textId="77777777">
                              <w:trPr>
                                <w:trHeight w:val="214"/>
                              </w:trPr>
                              <w:tc>
                                <w:tcPr>
                                  <w:tcW w:w="4141" w:type="dxa"/>
                                </w:tcPr>
                                <w:p w14:paraId="772B4F12" w14:textId="77777777" w:rsidR="002C6574" w:rsidRDefault="00000000">
                                  <w:pPr>
                                    <w:pStyle w:val="TableParagraph"/>
                                    <w:spacing w:before="29"/>
                                    <w:ind w:left="69"/>
                                    <w:jc w:val="left"/>
                                    <w:rPr>
                                      <w:rFonts w:ascii="Arial MT" w:hAnsi="Arial MT"/>
                                      <w:sz w:val="13"/>
                                    </w:rPr>
                                  </w:pPr>
                                  <w:r>
                                    <w:rPr>
                                      <w:rFonts w:ascii="Arial MT" w:hAnsi="Arial MT"/>
                                      <w:sz w:val="13"/>
                                    </w:rPr>
                                    <w:t>Juros</w:t>
                                  </w:r>
                                  <w:r>
                                    <w:rPr>
                                      <w:rFonts w:ascii="Arial MT" w:hAnsi="Arial MT"/>
                                      <w:spacing w:val="-7"/>
                                      <w:sz w:val="13"/>
                                    </w:rPr>
                                    <w:t xml:space="preserve"> </w:t>
                                  </w:r>
                                  <w:r>
                                    <w:rPr>
                                      <w:rFonts w:ascii="Arial MT" w:hAnsi="Arial MT"/>
                                      <w:sz w:val="13"/>
                                    </w:rPr>
                                    <w:t>sobre</w:t>
                                  </w:r>
                                  <w:r>
                                    <w:rPr>
                                      <w:rFonts w:ascii="Arial MT" w:hAnsi="Arial MT"/>
                                      <w:spacing w:val="-6"/>
                                      <w:sz w:val="13"/>
                                    </w:rPr>
                                    <w:t xml:space="preserve"> </w:t>
                                  </w:r>
                                  <w:r>
                                    <w:rPr>
                                      <w:rFonts w:ascii="Arial MT" w:hAnsi="Arial MT"/>
                                      <w:sz w:val="13"/>
                                    </w:rPr>
                                    <w:t>Aplicações</w:t>
                                  </w:r>
                                  <w:r>
                                    <w:rPr>
                                      <w:rFonts w:ascii="Arial MT" w:hAnsi="Arial MT"/>
                                      <w:spacing w:val="-6"/>
                                      <w:sz w:val="13"/>
                                    </w:rPr>
                                    <w:t xml:space="preserve"> </w:t>
                                  </w:r>
                                  <w:r>
                                    <w:rPr>
                                      <w:rFonts w:ascii="Arial MT" w:hAnsi="Arial MT"/>
                                      <w:spacing w:val="-2"/>
                                      <w:sz w:val="13"/>
                                    </w:rPr>
                                    <w:t>Financeiras</w:t>
                                  </w:r>
                                </w:p>
                              </w:tc>
                              <w:tc>
                                <w:tcPr>
                                  <w:tcW w:w="883" w:type="dxa"/>
                                  <w:shd w:val="clear" w:color="auto" w:fill="66FFFF"/>
                                </w:tcPr>
                                <w:p w14:paraId="53855D46" w14:textId="77777777" w:rsidR="002C6574" w:rsidRDefault="00000000">
                                  <w:pPr>
                                    <w:pStyle w:val="TableParagraph"/>
                                    <w:spacing w:before="29"/>
                                    <w:ind w:right="67"/>
                                    <w:rPr>
                                      <w:rFonts w:ascii="Arial MT"/>
                                      <w:sz w:val="13"/>
                                    </w:rPr>
                                  </w:pPr>
                                  <w:r>
                                    <w:rPr>
                                      <w:rFonts w:ascii="Arial MT"/>
                                      <w:spacing w:val="-2"/>
                                      <w:sz w:val="13"/>
                                    </w:rPr>
                                    <w:t>55.844</w:t>
                                  </w:r>
                                </w:p>
                              </w:tc>
                              <w:tc>
                                <w:tcPr>
                                  <w:tcW w:w="696" w:type="dxa"/>
                                </w:tcPr>
                                <w:p w14:paraId="3E582A76" w14:textId="77777777" w:rsidR="002C6574" w:rsidRDefault="00000000">
                                  <w:pPr>
                                    <w:pStyle w:val="TableParagraph"/>
                                    <w:spacing w:before="29"/>
                                    <w:ind w:right="91"/>
                                    <w:rPr>
                                      <w:rFonts w:ascii="Arial MT"/>
                                      <w:sz w:val="13"/>
                                    </w:rPr>
                                  </w:pPr>
                                  <w:r>
                                    <w:rPr>
                                      <w:rFonts w:ascii="Arial MT"/>
                                      <w:spacing w:val="-2"/>
                                      <w:sz w:val="13"/>
                                    </w:rPr>
                                    <w:t>27.813</w:t>
                                  </w:r>
                                </w:p>
                              </w:tc>
                              <w:tc>
                                <w:tcPr>
                                  <w:tcW w:w="648" w:type="dxa"/>
                                </w:tcPr>
                                <w:p w14:paraId="5761B726" w14:textId="77777777" w:rsidR="002C6574" w:rsidRDefault="00000000">
                                  <w:pPr>
                                    <w:pStyle w:val="TableParagraph"/>
                                    <w:spacing w:before="29"/>
                                    <w:ind w:right="67"/>
                                    <w:rPr>
                                      <w:rFonts w:ascii="Arial MT"/>
                                      <w:sz w:val="13"/>
                                    </w:rPr>
                                  </w:pPr>
                                  <w:r>
                                    <w:rPr>
                                      <w:rFonts w:ascii="Arial MT"/>
                                      <w:spacing w:val="-2"/>
                                      <w:sz w:val="13"/>
                                    </w:rPr>
                                    <w:t>50.070</w:t>
                                  </w:r>
                                </w:p>
                              </w:tc>
                            </w:tr>
                            <w:tr w:rsidR="002C6574" w14:paraId="273A6580" w14:textId="77777777">
                              <w:trPr>
                                <w:trHeight w:val="215"/>
                              </w:trPr>
                              <w:tc>
                                <w:tcPr>
                                  <w:tcW w:w="4141" w:type="dxa"/>
                                </w:tcPr>
                                <w:p w14:paraId="7C856085" w14:textId="77777777" w:rsidR="002C6574" w:rsidRDefault="00000000">
                                  <w:pPr>
                                    <w:pStyle w:val="TableParagraph"/>
                                    <w:spacing w:before="31"/>
                                    <w:ind w:left="69"/>
                                    <w:jc w:val="left"/>
                                    <w:rPr>
                                      <w:rFonts w:ascii="Arial MT" w:hAnsi="Arial MT"/>
                                      <w:sz w:val="13"/>
                                    </w:rPr>
                                  </w:pPr>
                                  <w:r>
                                    <w:rPr>
                                      <w:rFonts w:ascii="Arial MT" w:hAnsi="Arial MT"/>
                                      <w:sz w:val="13"/>
                                    </w:rPr>
                                    <w:t>Juros</w:t>
                                  </w:r>
                                  <w:r>
                                    <w:rPr>
                                      <w:rFonts w:ascii="Arial MT" w:hAnsi="Arial MT"/>
                                      <w:spacing w:val="-9"/>
                                      <w:sz w:val="13"/>
                                    </w:rPr>
                                    <w:t xml:space="preserve"> </w:t>
                                  </w:r>
                                  <w:r>
                                    <w:rPr>
                                      <w:rFonts w:ascii="Arial MT" w:hAnsi="Arial MT"/>
                                      <w:sz w:val="13"/>
                                    </w:rPr>
                                    <w:t>sobre</w:t>
                                  </w:r>
                                  <w:r>
                                    <w:rPr>
                                      <w:rFonts w:ascii="Arial MT" w:hAnsi="Arial MT"/>
                                      <w:spacing w:val="-9"/>
                                      <w:sz w:val="13"/>
                                    </w:rPr>
                                    <w:t xml:space="preserve"> </w:t>
                                  </w:r>
                                  <w:r>
                                    <w:rPr>
                                      <w:rFonts w:ascii="Arial MT" w:hAnsi="Arial MT"/>
                                      <w:sz w:val="13"/>
                                    </w:rPr>
                                    <w:t>Superavit</w:t>
                                  </w:r>
                                  <w:r>
                                    <w:rPr>
                                      <w:rFonts w:ascii="Arial MT" w:hAnsi="Arial MT"/>
                                      <w:spacing w:val="-9"/>
                                      <w:sz w:val="13"/>
                                    </w:rPr>
                                    <w:t xml:space="preserve"> </w:t>
                                  </w:r>
                                  <w:r>
                                    <w:rPr>
                                      <w:rFonts w:ascii="Arial MT" w:hAnsi="Arial MT"/>
                                      <w:sz w:val="13"/>
                                    </w:rPr>
                                    <w:t>Previdência</w:t>
                                  </w:r>
                                  <w:r>
                                    <w:rPr>
                                      <w:rFonts w:ascii="Arial MT" w:hAnsi="Arial MT"/>
                                      <w:spacing w:val="-8"/>
                                      <w:sz w:val="13"/>
                                    </w:rPr>
                                    <w:t xml:space="preserve"> </w:t>
                                  </w:r>
                                  <w:r>
                                    <w:rPr>
                                      <w:rFonts w:ascii="Arial MT" w:hAnsi="Arial MT"/>
                                      <w:spacing w:val="-2"/>
                                      <w:sz w:val="13"/>
                                    </w:rPr>
                                    <w:t>Privada</w:t>
                                  </w:r>
                                </w:p>
                              </w:tc>
                              <w:tc>
                                <w:tcPr>
                                  <w:tcW w:w="883" w:type="dxa"/>
                                  <w:shd w:val="clear" w:color="auto" w:fill="66FFFF"/>
                                </w:tcPr>
                                <w:p w14:paraId="23D4D437" w14:textId="77777777" w:rsidR="002C6574" w:rsidRDefault="00000000">
                                  <w:pPr>
                                    <w:pStyle w:val="TableParagraph"/>
                                    <w:spacing w:before="31"/>
                                    <w:ind w:right="67"/>
                                    <w:rPr>
                                      <w:rFonts w:ascii="Arial MT"/>
                                      <w:sz w:val="13"/>
                                    </w:rPr>
                                  </w:pPr>
                                  <w:r>
                                    <w:rPr>
                                      <w:rFonts w:ascii="Arial MT"/>
                                      <w:spacing w:val="-2"/>
                                      <w:sz w:val="13"/>
                                    </w:rPr>
                                    <w:t>3.838</w:t>
                                  </w:r>
                                </w:p>
                              </w:tc>
                              <w:tc>
                                <w:tcPr>
                                  <w:tcW w:w="696" w:type="dxa"/>
                                </w:tcPr>
                                <w:p w14:paraId="36DE0C3C" w14:textId="77777777" w:rsidR="002C6574" w:rsidRDefault="00000000">
                                  <w:pPr>
                                    <w:pStyle w:val="TableParagraph"/>
                                    <w:spacing w:before="31"/>
                                    <w:ind w:right="92"/>
                                    <w:rPr>
                                      <w:rFonts w:ascii="Arial MT"/>
                                      <w:sz w:val="13"/>
                                    </w:rPr>
                                  </w:pPr>
                                  <w:r>
                                    <w:rPr>
                                      <w:rFonts w:ascii="Arial MT"/>
                                      <w:spacing w:val="-5"/>
                                      <w:sz w:val="13"/>
                                    </w:rPr>
                                    <w:t>615</w:t>
                                  </w:r>
                                </w:p>
                              </w:tc>
                              <w:tc>
                                <w:tcPr>
                                  <w:tcW w:w="648" w:type="dxa"/>
                                </w:tcPr>
                                <w:p w14:paraId="7F8833DB" w14:textId="77777777" w:rsidR="002C6574" w:rsidRDefault="00000000">
                                  <w:pPr>
                                    <w:pStyle w:val="TableParagraph"/>
                                    <w:spacing w:before="31"/>
                                    <w:ind w:right="67"/>
                                    <w:rPr>
                                      <w:rFonts w:ascii="Arial MT"/>
                                      <w:sz w:val="13"/>
                                    </w:rPr>
                                  </w:pPr>
                                  <w:r>
                                    <w:rPr>
                                      <w:rFonts w:ascii="Arial MT"/>
                                      <w:spacing w:val="-2"/>
                                      <w:sz w:val="13"/>
                                    </w:rPr>
                                    <w:t>4.205</w:t>
                                  </w:r>
                                </w:p>
                              </w:tc>
                            </w:tr>
                            <w:tr w:rsidR="002C6574" w14:paraId="79A57ADD" w14:textId="77777777">
                              <w:trPr>
                                <w:trHeight w:val="215"/>
                              </w:trPr>
                              <w:tc>
                                <w:tcPr>
                                  <w:tcW w:w="4141" w:type="dxa"/>
                                </w:tcPr>
                                <w:p w14:paraId="0654AC9B" w14:textId="77777777" w:rsidR="002C6574" w:rsidRDefault="00000000">
                                  <w:pPr>
                                    <w:pStyle w:val="TableParagraph"/>
                                    <w:spacing w:before="30"/>
                                    <w:ind w:left="69"/>
                                    <w:jc w:val="left"/>
                                    <w:rPr>
                                      <w:rFonts w:ascii="Arial MT"/>
                                      <w:sz w:val="13"/>
                                    </w:rPr>
                                  </w:pPr>
                                  <w:r>
                                    <w:rPr>
                                      <w:rFonts w:ascii="Arial MT"/>
                                      <w:sz w:val="13"/>
                                    </w:rPr>
                                    <w:t>Juros</w:t>
                                  </w:r>
                                  <w:r>
                                    <w:rPr>
                                      <w:rFonts w:ascii="Arial MT"/>
                                      <w:spacing w:val="-7"/>
                                      <w:sz w:val="13"/>
                                    </w:rPr>
                                    <w:t xml:space="preserve"> </w:t>
                                  </w:r>
                                  <w:r>
                                    <w:rPr>
                                      <w:rFonts w:ascii="Arial MT"/>
                                      <w:sz w:val="13"/>
                                    </w:rPr>
                                    <w:t>sobre</w:t>
                                  </w:r>
                                  <w:r>
                                    <w:rPr>
                                      <w:rFonts w:ascii="Arial MT"/>
                                      <w:spacing w:val="-6"/>
                                      <w:sz w:val="13"/>
                                    </w:rPr>
                                    <w:t xml:space="preserve"> </w:t>
                                  </w:r>
                                  <w:r>
                                    <w:rPr>
                                      <w:rFonts w:ascii="Arial MT"/>
                                      <w:spacing w:val="-2"/>
                                      <w:sz w:val="13"/>
                                    </w:rPr>
                                    <w:t>Tributos</w:t>
                                  </w:r>
                                </w:p>
                              </w:tc>
                              <w:tc>
                                <w:tcPr>
                                  <w:tcW w:w="883" w:type="dxa"/>
                                  <w:shd w:val="clear" w:color="auto" w:fill="66FFFF"/>
                                </w:tcPr>
                                <w:p w14:paraId="796E6642" w14:textId="77777777" w:rsidR="002C6574" w:rsidRDefault="00000000">
                                  <w:pPr>
                                    <w:pStyle w:val="TableParagraph"/>
                                    <w:spacing w:before="30"/>
                                    <w:ind w:right="67"/>
                                    <w:rPr>
                                      <w:rFonts w:ascii="Arial MT"/>
                                      <w:sz w:val="13"/>
                                    </w:rPr>
                                  </w:pPr>
                                  <w:r>
                                    <w:rPr>
                                      <w:rFonts w:ascii="Arial MT"/>
                                      <w:spacing w:val="-2"/>
                                      <w:sz w:val="13"/>
                                    </w:rPr>
                                    <w:t>2.962</w:t>
                                  </w:r>
                                </w:p>
                              </w:tc>
                              <w:tc>
                                <w:tcPr>
                                  <w:tcW w:w="696" w:type="dxa"/>
                                </w:tcPr>
                                <w:p w14:paraId="1B55FBC6" w14:textId="77777777" w:rsidR="002C6574" w:rsidRDefault="00000000">
                                  <w:pPr>
                                    <w:pStyle w:val="TableParagraph"/>
                                    <w:spacing w:before="30"/>
                                    <w:ind w:right="91"/>
                                    <w:rPr>
                                      <w:rFonts w:ascii="Arial MT"/>
                                      <w:sz w:val="13"/>
                                    </w:rPr>
                                  </w:pPr>
                                  <w:r>
                                    <w:rPr>
                                      <w:rFonts w:ascii="Arial MT"/>
                                      <w:spacing w:val="-2"/>
                                      <w:sz w:val="13"/>
                                    </w:rPr>
                                    <w:t>2.228</w:t>
                                  </w:r>
                                </w:p>
                              </w:tc>
                              <w:tc>
                                <w:tcPr>
                                  <w:tcW w:w="648" w:type="dxa"/>
                                </w:tcPr>
                                <w:p w14:paraId="4CA88FE7" w14:textId="77777777" w:rsidR="002C6574" w:rsidRDefault="00000000">
                                  <w:pPr>
                                    <w:pStyle w:val="TableParagraph"/>
                                    <w:spacing w:before="30"/>
                                    <w:ind w:right="67"/>
                                    <w:rPr>
                                      <w:rFonts w:ascii="Arial MT"/>
                                      <w:sz w:val="13"/>
                                    </w:rPr>
                                  </w:pPr>
                                  <w:r>
                                    <w:rPr>
                                      <w:rFonts w:ascii="Arial MT"/>
                                      <w:spacing w:val="-2"/>
                                      <w:sz w:val="13"/>
                                    </w:rPr>
                                    <w:t>5.747</w:t>
                                  </w:r>
                                </w:p>
                              </w:tc>
                            </w:tr>
                            <w:tr w:rsidR="002C6574" w14:paraId="18F0C3B2" w14:textId="77777777">
                              <w:trPr>
                                <w:trHeight w:val="215"/>
                              </w:trPr>
                              <w:tc>
                                <w:tcPr>
                                  <w:tcW w:w="4141" w:type="dxa"/>
                                </w:tcPr>
                                <w:p w14:paraId="5C676A58" w14:textId="77777777" w:rsidR="002C6574" w:rsidRDefault="00000000">
                                  <w:pPr>
                                    <w:pStyle w:val="TableParagraph"/>
                                    <w:spacing w:before="31"/>
                                    <w:ind w:left="69"/>
                                    <w:jc w:val="left"/>
                                    <w:rPr>
                                      <w:rFonts w:ascii="Arial MT" w:hAnsi="Arial MT"/>
                                      <w:sz w:val="13"/>
                                    </w:rPr>
                                  </w:pPr>
                                  <w:r>
                                    <w:rPr>
                                      <w:rFonts w:ascii="Arial MT" w:hAnsi="Arial MT"/>
                                      <w:sz w:val="13"/>
                                    </w:rPr>
                                    <w:t>Juros</w:t>
                                  </w:r>
                                  <w:r>
                                    <w:rPr>
                                      <w:rFonts w:ascii="Arial MT" w:hAnsi="Arial MT"/>
                                      <w:spacing w:val="-7"/>
                                      <w:sz w:val="13"/>
                                    </w:rPr>
                                    <w:t xml:space="preserve"> </w:t>
                                  </w:r>
                                  <w:r>
                                    <w:rPr>
                                      <w:rFonts w:ascii="Arial MT" w:hAnsi="Arial MT"/>
                                      <w:sz w:val="13"/>
                                    </w:rPr>
                                    <w:t>sobre</w:t>
                                  </w:r>
                                  <w:r>
                                    <w:rPr>
                                      <w:rFonts w:ascii="Arial MT" w:hAnsi="Arial MT"/>
                                      <w:spacing w:val="-7"/>
                                      <w:sz w:val="13"/>
                                    </w:rPr>
                                    <w:t xml:space="preserve"> </w:t>
                                  </w:r>
                                  <w:r>
                                    <w:rPr>
                                      <w:rFonts w:ascii="Arial MT" w:hAnsi="Arial MT"/>
                                      <w:sz w:val="13"/>
                                    </w:rPr>
                                    <w:t>Depósitos</w:t>
                                  </w:r>
                                  <w:r>
                                    <w:rPr>
                                      <w:rFonts w:ascii="Arial MT" w:hAnsi="Arial MT"/>
                                      <w:spacing w:val="-7"/>
                                      <w:sz w:val="13"/>
                                    </w:rPr>
                                    <w:t xml:space="preserve"> </w:t>
                                  </w:r>
                                  <w:r>
                                    <w:rPr>
                                      <w:rFonts w:ascii="Arial MT" w:hAnsi="Arial MT"/>
                                      <w:spacing w:val="-2"/>
                                      <w:sz w:val="13"/>
                                    </w:rPr>
                                    <w:t>Judiciais</w:t>
                                  </w:r>
                                </w:p>
                              </w:tc>
                              <w:tc>
                                <w:tcPr>
                                  <w:tcW w:w="883" w:type="dxa"/>
                                  <w:shd w:val="clear" w:color="auto" w:fill="66FFFF"/>
                                </w:tcPr>
                                <w:p w14:paraId="066787C4" w14:textId="77777777" w:rsidR="002C6574" w:rsidRDefault="00000000">
                                  <w:pPr>
                                    <w:pStyle w:val="TableParagraph"/>
                                    <w:spacing w:before="31"/>
                                    <w:ind w:right="67"/>
                                    <w:rPr>
                                      <w:rFonts w:ascii="Arial MT"/>
                                      <w:sz w:val="13"/>
                                    </w:rPr>
                                  </w:pPr>
                                  <w:r>
                                    <w:rPr>
                                      <w:rFonts w:ascii="Arial MT"/>
                                      <w:spacing w:val="-2"/>
                                      <w:sz w:val="13"/>
                                    </w:rPr>
                                    <w:t>1.176</w:t>
                                  </w:r>
                                </w:p>
                              </w:tc>
                              <w:tc>
                                <w:tcPr>
                                  <w:tcW w:w="696" w:type="dxa"/>
                                </w:tcPr>
                                <w:p w14:paraId="4CD01CDB" w14:textId="77777777" w:rsidR="002C6574" w:rsidRDefault="00000000">
                                  <w:pPr>
                                    <w:pStyle w:val="TableParagraph"/>
                                    <w:spacing w:before="31"/>
                                    <w:ind w:right="92"/>
                                    <w:rPr>
                                      <w:rFonts w:ascii="Arial MT"/>
                                      <w:sz w:val="13"/>
                                    </w:rPr>
                                  </w:pPr>
                                  <w:r>
                                    <w:rPr>
                                      <w:rFonts w:ascii="Arial MT"/>
                                      <w:spacing w:val="-5"/>
                                      <w:sz w:val="13"/>
                                    </w:rPr>
                                    <w:t>955</w:t>
                                  </w:r>
                                </w:p>
                              </w:tc>
                              <w:tc>
                                <w:tcPr>
                                  <w:tcW w:w="648" w:type="dxa"/>
                                </w:tcPr>
                                <w:p w14:paraId="66EFCF4E" w14:textId="77777777" w:rsidR="002C6574" w:rsidRDefault="00000000">
                                  <w:pPr>
                                    <w:pStyle w:val="TableParagraph"/>
                                    <w:spacing w:before="31"/>
                                    <w:ind w:right="67"/>
                                    <w:rPr>
                                      <w:rFonts w:ascii="Arial MT"/>
                                      <w:sz w:val="13"/>
                                    </w:rPr>
                                  </w:pPr>
                                  <w:r>
                                    <w:rPr>
                                      <w:rFonts w:ascii="Arial MT"/>
                                      <w:spacing w:val="-2"/>
                                      <w:sz w:val="13"/>
                                    </w:rPr>
                                    <w:t>1.174</w:t>
                                  </w:r>
                                </w:p>
                              </w:tc>
                            </w:tr>
                            <w:tr w:rsidR="002C6574" w14:paraId="5B7EE086" w14:textId="77777777">
                              <w:trPr>
                                <w:trHeight w:val="214"/>
                              </w:trPr>
                              <w:tc>
                                <w:tcPr>
                                  <w:tcW w:w="4141" w:type="dxa"/>
                                </w:tcPr>
                                <w:p w14:paraId="67904DC4" w14:textId="77777777" w:rsidR="002C6574" w:rsidRDefault="00000000">
                                  <w:pPr>
                                    <w:pStyle w:val="TableParagraph"/>
                                    <w:spacing w:before="31"/>
                                    <w:ind w:left="69"/>
                                    <w:jc w:val="left"/>
                                    <w:rPr>
                                      <w:rFonts w:ascii="Arial MT"/>
                                      <w:sz w:val="13"/>
                                    </w:rPr>
                                  </w:pPr>
                                  <w:r>
                                    <w:rPr>
                                      <w:rFonts w:ascii="Arial MT"/>
                                      <w:sz w:val="13"/>
                                    </w:rPr>
                                    <w:t>Descontos</w:t>
                                  </w:r>
                                  <w:r>
                                    <w:rPr>
                                      <w:rFonts w:ascii="Arial MT"/>
                                      <w:spacing w:val="-7"/>
                                      <w:sz w:val="13"/>
                                    </w:rPr>
                                    <w:t xml:space="preserve"> </w:t>
                                  </w:r>
                                  <w:r>
                                    <w:rPr>
                                      <w:rFonts w:ascii="Arial MT"/>
                                      <w:sz w:val="13"/>
                                    </w:rPr>
                                    <w:t>Financeiros</w:t>
                                  </w:r>
                                  <w:r>
                                    <w:rPr>
                                      <w:rFonts w:ascii="Arial MT"/>
                                      <w:spacing w:val="-6"/>
                                      <w:sz w:val="13"/>
                                    </w:rPr>
                                    <w:t xml:space="preserve"> </w:t>
                                  </w:r>
                                  <w:r>
                                    <w:rPr>
                                      <w:rFonts w:ascii="Arial MT"/>
                                      <w:sz w:val="13"/>
                                    </w:rPr>
                                    <w:t>sobre</w:t>
                                  </w:r>
                                  <w:r>
                                    <w:rPr>
                                      <w:rFonts w:ascii="Arial MT"/>
                                      <w:spacing w:val="-6"/>
                                      <w:sz w:val="13"/>
                                    </w:rPr>
                                    <w:t xml:space="preserve"> </w:t>
                                  </w:r>
                                  <w:r>
                                    <w:rPr>
                                      <w:rFonts w:ascii="Arial MT"/>
                                      <w:spacing w:val="-2"/>
                                      <w:sz w:val="13"/>
                                    </w:rPr>
                                    <w:t>Passivos</w:t>
                                  </w:r>
                                </w:p>
                              </w:tc>
                              <w:tc>
                                <w:tcPr>
                                  <w:tcW w:w="883" w:type="dxa"/>
                                  <w:shd w:val="clear" w:color="auto" w:fill="66FFFF"/>
                                </w:tcPr>
                                <w:p w14:paraId="26044AB2" w14:textId="77777777" w:rsidR="002C6574" w:rsidRDefault="00000000">
                                  <w:pPr>
                                    <w:pStyle w:val="TableParagraph"/>
                                    <w:spacing w:before="31"/>
                                    <w:ind w:right="67"/>
                                    <w:rPr>
                                      <w:rFonts w:ascii="Arial MT"/>
                                      <w:sz w:val="13"/>
                                    </w:rPr>
                                  </w:pPr>
                                  <w:r>
                                    <w:rPr>
                                      <w:rFonts w:ascii="Arial MT"/>
                                      <w:spacing w:val="-2"/>
                                      <w:sz w:val="13"/>
                                    </w:rPr>
                                    <w:t>2.808</w:t>
                                  </w:r>
                                </w:p>
                              </w:tc>
                              <w:tc>
                                <w:tcPr>
                                  <w:tcW w:w="696" w:type="dxa"/>
                                </w:tcPr>
                                <w:p w14:paraId="0DB25720" w14:textId="77777777" w:rsidR="002C6574" w:rsidRDefault="00000000">
                                  <w:pPr>
                                    <w:pStyle w:val="TableParagraph"/>
                                    <w:spacing w:before="31"/>
                                    <w:ind w:right="91"/>
                                    <w:rPr>
                                      <w:rFonts w:ascii="Arial MT"/>
                                      <w:sz w:val="13"/>
                                    </w:rPr>
                                  </w:pPr>
                                  <w:r>
                                    <w:rPr>
                                      <w:rFonts w:ascii="Arial MT"/>
                                      <w:spacing w:val="-10"/>
                                      <w:sz w:val="13"/>
                                    </w:rPr>
                                    <w:t>-</w:t>
                                  </w:r>
                                </w:p>
                              </w:tc>
                              <w:tc>
                                <w:tcPr>
                                  <w:tcW w:w="648" w:type="dxa"/>
                                </w:tcPr>
                                <w:p w14:paraId="0DC50C8B" w14:textId="77777777" w:rsidR="002C6574" w:rsidRDefault="00000000">
                                  <w:pPr>
                                    <w:pStyle w:val="TableParagraph"/>
                                    <w:spacing w:before="31"/>
                                    <w:ind w:right="67"/>
                                    <w:rPr>
                                      <w:rFonts w:ascii="Arial MT"/>
                                      <w:sz w:val="13"/>
                                    </w:rPr>
                                  </w:pPr>
                                  <w:r>
                                    <w:rPr>
                                      <w:rFonts w:ascii="Arial MT"/>
                                      <w:spacing w:val="-10"/>
                                      <w:sz w:val="13"/>
                                    </w:rPr>
                                    <w:t>-</w:t>
                                  </w:r>
                                </w:p>
                              </w:tc>
                            </w:tr>
                            <w:tr w:rsidR="002C6574" w14:paraId="6B239891" w14:textId="77777777">
                              <w:trPr>
                                <w:trHeight w:val="214"/>
                              </w:trPr>
                              <w:tc>
                                <w:tcPr>
                                  <w:tcW w:w="4141" w:type="dxa"/>
                                </w:tcPr>
                                <w:p w14:paraId="2D785F14" w14:textId="77777777" w:rsidR="002C6574" w:rsidRDefault="00000000">
                                  <w:pPr>
                                    <w:pStyle w:val="TableParagraph"/>
                                    <w:spacing w:before="29"/>
                                    <w:ind w:left="69"/>
                                    <w:jc w:val="left"/>
                                    <w:rPr>
                                      <w:rFonts w:ascii="Arial MT"/>
                                      <w:sz w:val="13"/>
                                    </w:rPr>
                                  </w:pPr>
                                  <w:r>
                                    <w:rPr>
                                      <w:rFonts w:ascii="Arial MT"/>
                                      <w:spacing w:val="-2"/>
                                      <w:sz w:val="13"/>
                                    </w:rPr>
                                    <w:t>Outras</w:t>
                                  </w:r>
                                  <w:r>
                                    <w:rPr>
                                      <w:rFonts w:ascii="Arial MT"/>
                                      <w:spacing w:val="2"/>
                                      <w:sz w:val="13"/>
                                    </w:rPr>
                                    <w:t xml:space="preserve"> </w:t>
                                  </w:r>
                                  <w:r>
                                    <w:rPr>
                                      <w:rFonts w:ascii="Arial MT"/>
                                      <w:spacing w:val="-2"/>
                                      <w:sz w:val="13"/>
                                    </w:rPr>
                                    <w:t>Receitas</w:t>
                                  </w:r>
                                  <w:r>
                                    <w:rPr>
                                      <w:rFonts w:ascii="Arial MT"/>
                                      <w:spacing w:val="6"/>
                                      <w:sz w:val="13"/>
                                    </w:rPr>
                                    <w:t xml:space="preserve"> </w:t>
                                  </w:r>
                                  <w:r>
                                    <w:rPr>
                                      <w:rFonts w:ascii="Arial MT"/>
                                      <w:spacing w:val="-2"/>
                                      <w:sz w:val="13"/>
                                    </w:rPr>
                                    <w:t>Financeiras</w:t>
                                  </w:r>
                                </w:p>
                              </w:tc>
                              <w:tc>
                                <w:tcPr>
                                  <w:tcW w:w="883" w:type="dxa"/>
                                  <w:shd w:val="clear" w:color="auto" w:fill="66FFFF"/>
                                </w:tcPr>
                                <w:p w14:paraId="7DE45967" w14:textId="77777777" w:rsidR="002C6574" w:rsidRDefault="00000000">
                                  <w:pPr>
                                    <w:pStyle w:val="TableParagraph"/>
                                    <w:spacing w:before="29"/>
                                    <w:ind w:right="67"/>
                                    <w:rPr>
                                      <w:rFonts w:ascii="Arial MT"/>
                                      <w:sz w:val="13"/>
                                    </w:rPr>
                                  </w:pPr>
                                  <w:r>
                                    <w:rPr>
                                      <w:rFonts w:ascii="Arial MT"/>
                                      <w:spacing w:val="-5"/>
                                      <w:sz w:val="13"/>
                                    </w:rPr>
                                    <w:t>17</w:t>
                                  </w:r>
                                </w:p>
                              </w:tc>
                              <w:tc>
                                <w:tcPr>
                                  <w:tcW w:w="696" w:type="dxa"/>
                                </w:tcPr>
                                <w:p w14:paraId="3C46CE23" w14:textId="77777777" w:rsidR="002C6574" w:rsidRDefault="00000000">
                                  <w:pPr>
                                    <w:pStyle w:val="TableParagraph"/>
                                    <w:spacing w:before="29"/>
                                    <w:ind w:right="92"/>
                                    <w:rPr>
                                      <w:rFonts w:ascii="Arial MT"/>
                                      <w:sz w:val="13"/>
                                    </w:rPr>
                                  </w:pPr>
                                  <w:r>
                                    <w:rPr>
                                      <w:rFonts w:ascii="Arial MT"/>
                                      <w:spacing w:val="-5"/>
                                      <w:sz w:val="13"/>
                                    </w:rPr>
                                    <w:t>35</w:t>
                                  </w:r>
                                </w:p>
                              </w:tc>
                              <w:tc>
                                <w:tcPr>
                                  <w:tcW w:w="648" w:type="dxa"/>
                                </w:tcPr>
                                <w:p w14:paraId="035EE92A" w14:textId="77777777" w:rsidR="002C6574" w:rsidRDefault="00000000">
                                  <w:pPr>
                                    <w:pStyle w:val="TableParagraph"/>
                                    <w:spacing w:before="29"/>
                                    <w:ind w:right="68"/>
                                    <w:rPr>
                                      <w:rFonts w:ascii="Arial MT"/>
                                      <w:sz w:val="13"/>
                                    </w:rPr>
                                  </w:pPr>
                                  <w:r>
                                    <w:rPr>
                                      <w:rFonts w:ascii="Arial MT"/>
                                      <w:spacing w:val="-5"/>
                                      <w:sz w:val="13"/>
                                    </w:rPr>
                                    <w:t>49</w:t>
                                  </w:r>
                                </w:p>
                              </w:tc>
                            </w:tr>
                            <w:tr w:rsidR="002C6574" w14:paraId="1F27F932" w14:textId="77777777">
                              <w:trPr>
                                <w:trHeight w:val="212"/>
                              </w:trPr>
                              <w:tc>
                                <w:tcPr>
                                  <w:tcW w:w="4141" w:type="dxa"/>
                                </w:tcPr>
                                <w:p w14:paraId="4FA0E83D" w14:textId="77777777" w:rsidR="002C6574" w:rsidRDefault="00000000">
                                  <w:pPr>
                                    <w:pStyle w:val="TableParagraph"/>
                                    <w:spacing w:before="31"/>
                                    <w:ind w:left="69"/>
                                    <w:jc w:val="left"/>
                                    <w:rPr>
                                      <w:rFonts w:ascii="Arial MT"/>
                                      <w:sz w:val="13"/>
                                    </w:rPr>
                                  </w:pPr>
                                  <w:r>
                                    <w:rPr>
                                      <w:rFonts w:ascii="Arial MT"/>
                                      <w:sz w:val="13"/>
                                    </w:rPr>
                                    <w:t>Tributos</w:t>
                                  </w:r>
                                  <w:r>
                                    <w:rPr>
                                      <w:rFonts w:ascii="Arial MT"/>
                                      <w:spacing w:val="-7"/>
                                      <w:sz w:val="13"/>
                                    </w:rPr>
                                    <w:t xml:space="preserve"> </w:t>
                                  </w:r>
                                  <w:r>
                                    <w:rPr>
                                      <w:rFonts w:ascii="Arial MT"/>
                                      <w:sz w:val="13"/>
                                    </w:rPr>
                                    <w:t>sobre</w:t>
                                  </w:r>
                                  <w:r>
                                    <w:rPr>
                                      <w:rFonts w:ascii="Arial MT"/>
                                      <w:spacing w:val="-5"/>
                                      <w:sz w:val="13"/>
                                    </w:rPr>
                                    <w:t xml:space="preserve"> </w:t>
                                  </w:r>
                                  <w:r>
                                    <w:rPr>
                                      <w:rFonts w:ascii="Arial MT"/>
                                      <w:sz w:val="13"/>
                                    </w:rPr>
                                    <w:t>Receitas</w:t>
                                  </w:r>
                                  <w:r>
                                    <w:rPr>
                                      <w:rFonts w:ascii="Arial MT"/>
                                      <w:spacing w:val="-5"/>
                                      <w:sz w:val="13"/>
                                    </w:rPr>
                                    <w:t xml:space="preserve"> </w:t>
                                  </w:r>
                                  <w:r>
                                    <w:rPr>
                                      <w:rFonts w:ascii="Arial MT"/>
                                      <w:spacing w:val="-2"/>
                                      <w:sz w:val="13"/>
                                    </w:rPr>
                                    <w:t>Financeiras</w:t>
                                  </w:r>
                                </w:p>
                              </w:tc>
                              <w:tc>
                                <w:tcPr>
                                  <w:tcW w:w="883" w:type="dxa"/>
                                  <w:shd w:val="clear" w:color="auto" w:fill="66FFFF"/>
                                </w:tcPr>
                                <w:p w14:paraId="6AFA45D9" w14:textId="77777777" w:rsidR="002C6574" w:rsidRDefault="00000000">
                                  <w:pPr>
                                    <w:pStyle w:val="TableParagraph"/>
                                    <w:spacing w:before="31"/>
                                    <w:ind w:right="69"/>
                                    <w:rPr>
                                      <w:rFonts w:ascii="Arial MT"/>
                                      <w:sz w:val="13"/>
                                    </w:rPr>
                                  </w:pPr>
                                  <w:r>
                                    <w:rPr>
                                      <w:rFonts w:ascii="Arial MT"/>
                                      <w:spacing w:val="-2"/>
                                      <w:sz w:val="13"/>
                                    </w:rPr>
                                    <w:t>(3.045)</w:t>
                                  </w:r>
                                </w:p>
                              </w:tc>
                              <w:tc>
                                <w:tcPr>
                                  <w:tcW w:w="696" w:type="dxa"/>
                                </w:tcPr>
                                <w:p w14:paraId="1E567FEF" w14:textId="77777777" w:rsidR="002C6574" w:rsidRDefault="00000000">
                                  <w:pPr>
                                    <w:pStyle w:val="TableParagraph"/>
                                    <w:spacing w:before="31"/>
                                    <w:ind w:right="93"/>
                                    <w:rPr>
                                      <w:rFonts w:ascii="Arial MT"/>
                                      <w:sz w:val="13"/>
                                    </w:rPr>
                                  </w:pPr>
                                  <w:r>
                                    <w:rPr>
                                      <w:rFonts w:ascii="Arial MT"/>
                                      <w:spacing w:val="-2"/>
                                      <w:sz w:val="13"/>
                                    </w:rPr>
                                    <w:t>(1.427)</w:t>
                                  </w:r>
                                </w:p>
                              </w:tc>
                              <w:tc>
                                <w:tcPr>
                                  <w:tcW w:w="648" w:type="dxa"/>
                                </w:tcPr>
                                <w:p w14:paraId="7776AF17" w14:textId="77777777" w:rsidR="002C6574" w:rsidRDefault="00000000">
                                  <w:pPr>
                                    <w:pStyle w:val="TableParagraph"/>
                                    <w:spacing w:before="31"/>
                                    <w:ind w:right="69"/>
                                    <w:rPr>
                                      <w:rFonts w:ascii="Arial MT"/>
                                      <w:sz w:val="13"/>
                                    </w:rPr>
                                  </w:pPr>
                                  <w:r>
                                    <w:rPr>
                                      <w:rFonts w:ascii="Arial MT"/>
                                      <w:spacing w:val="-2"/>
                                      <w:sz w:val="13"/>
                                    </w:rPr>
                                    <w:t>(2.793)</w:t>
                                  </w:r>
                                </w:p>
                              </w:tc>
                            </w:tr>
                            <w:tr w:rsidR="002C6574" w14:paraId="1308AD92" w14:textId="77777777">
                              <w:trPr>
                                <w:trHeight w:val="213"/>
                              </w:trPr>
                              <w:tc>
                                <w:tcPr>
                                  <w:tcW w:w="4141" w:type="dxa"/>
                                  <w:tcBorders>
                                    <w:bottom w:val="single" w:sz="8" w:space="0" w:color="D9E0F1"/>
                                  </w:tcBorders>
                                  <w:shd w:val="clear" w:color="auto" w:fill="0000FF"/>
                                </w:tcPr>
                                <w:p w14:paraId="5B8FC61C" w14:textId="77777777" w:rsidR="002C6574" w:rsidRDefault="00000000">
                                  <w:pPr>
                                    <w:pStyle w:val="TableParagraph"/>
                                    <w:spacing w:before="31"/>
                                    <w:ind w:left="69"/>
                                    <w:jc w:val="left"/>
                                    <w:rPr>
                                      <w:rFonts w:ascii="Arial"/>
                                      <w:b/>
                                      <w:sz w:val="13"/>
                                    </w:rPr>
                                  </w:pPr>
                                  <w:r>
                                    <w:rPr>
                                      <w:rFonts w:ascii="Arial"/>
                                      <w:b/>
                                      <w:color w:val="FFFFFF"/>
                                      <w:spacing w:val="-2"/>
                                      <w:sz w:val="13"/>
                                    </w:rPr>
                                    <w:t>Total</w:t>
                                  </w:r>
                                </w:p>
                              </w:tc>
                              <w:tc>
                                <w:tcPr>
                                  <w:tcW w:w="883" w:type="dxa"/>
                                  <w:shd w:val="clear" w:color="auto" w:fill="0000FF"/>
                                </w:tcPr>
                                <w:p w14:paraId="35AFFCEF" w14:textId="77777777" w:rsidR="002C6574" w:rsidRDefault="00000000">
                                  <w:pPr>
                                    <w:pStyle w:val="TableParagraph"/>
                                    <w:spacing w:before="31"/>
                                    <w:ind w:right="67"/>
                                    <w:rPr>
                                      <w:rFonts w:ascii="Arial"/>
                                      <w:b/>
                                      <w:sz w:val="13"/>
                                    </w:rPr>
                                  </w:pPr>
                                  <w:r>
                                    <w:rPr>
                                      <w:rFonts w:ascii="Arial"/>
                                      <w:b/>
                                      <w:color w:val="FFFFFF"/>
                                      <w:spacing w:val="-2"/>
                                      <w:sz w:val="13"/>
                                    </w:rPr>
                                    <w:t>63.600</w:t>
                                  </w:r>
                                </w:p>
                              </w:tc>
                              <w:tc>
                                <w:tcPr>
                                  <w:tcW w:w="696" w:type="dxa"/>
                                  <w:shd w:val="clear" w:color="auto" w:fill="0000FF"/>
                                </w:tcPr>
                                <w:p w14:paraId="3B8731B8" w14:textId="77777777" w:rsidR="002C6574" w:rsidRDefault="00000000">
                                  <w:pPr>
                                    <w:pStyle w:val="TableParagraph"/>
                                    <w:spacing w:before="31"/>
                                    <w:ind w:right="91"/>
                                    <w:rPr>
                                      <w:rFonts w:ascii="Arial"/>
                                      <w:b/>
                                      <w:sz w:val="13"/>
                                    </w:rPr>
                                  </w:pPr>
                                  <w:r>
                                    <w:rPr>
                                      <w:rFonts w:ascii="Arial"/>
                                      <w:b/>
                                      <w:color w:val="FFFFFF"/>
                                      <w:spacing w:val="-2"/>
                                      <w:sz w:val="13"/>
                                    </w:rPr>
                                    <w:t>30.219</w:t>
                                  </w:r>
                                </w:p>
                              </w:tc>
                              <w:tc>
                                <w:tcPr>
                                  <w:tcW w:w="648" w:type="dxa"/>
                                  <w:shd w:val="clear" w:color="auto" w:fill="0000FF"/>
                                </w:tcPr>
                                <w:p w14:paraId="4C8B31F7" w14:textId="77777777" w:rsidR="002C6574" w:rsidRDefault="00000000">
                                  <w:pPr>
                                    <w:pStyle w:val="TableParagraph"/>
                                    <w:spacing w:before="31"/>
                                    <w:ind w:right="67"/>
                                    <w:rPr>
                                      <w:rFonts w:ascii="Arial"/>
                                      <w:b/>
                                      <w:sz w:val="13"/>
                                    </w:rPr>
                                  </w:pPr>
                                  <w:r>
                                    <w:rPr>
                                      <w:rFonts w:ascii="Arial"/>
                                      <w:b/>
                                      <w:color w:val="FFFFFF"/>
                                      <w:spacing w:val="-2"/>
                                      <w:sz w:val="13"/>
                                    </w:rPr>
                                    <w:t>58.452</w:t>
                                  </w:r>
                                </w:p>
                              </w:tc>
                            </w:tr>
                            <w:tr w:rsidR="002C6574" w14:paraId="2ADB8A81" w14:textId="77777777">
                              <w:trPr>
                                <w:trHeight w:val="218"/>
                              </w:trPr>
                              <w:tc>
                                <w:tcPr>
                                  <w:tcW w:w="4141" w:type="dxa"/>
                                  <w:tcBorders>
                                    <w:top w:val="single" w:sz="8" w:space="0" w:color="D9E0F1"/>
                                  </w:tcBorders>
                                </w:tcPr>
                                <w:p w14:paraId="4EF76F8A" w14:textId="77777777" w:rsidR="002C6574" w:rsidRDefault="00000000">
                                  <w:pPr>
                                    <w:pStyle w:val="TableParagraph"/>
                                    <w:spacing w:before="33"/>
                                    <w:ind w:left="69"/>
                                    <w:jc w:val="left"/>
                                    <w:rPr>
                                      <w:rFonts w:ascii="Arial"/>
                                      <w:b/>
                                      <w:sz w:val="13"/>
                                    </w:rPr>
                                  </w:pPr>
                                  <w:r>
                                    <w:rPr>
                                      <w:rFonts w:ascii="Arial"/>
                                      <w:b/>
                                      <w:sz w:val="13"/>
                                    </w:rPr>
                                    <w:t>Despesas</w:t>
                                  </w:r>
                                  <w:r>
                                    <w:rPr>
                                      <w:rFonts w:ascii="Arial"/>
                                      <w:b/>
                                      <w:spacing w:val="-9"/>
                                      <w:sz w:val="13"/>
                                    </w:rPr>
                                    <w:t xml:space="preserve"> </w:t>
                                  </w:r>
                                  <w:r>
                                    <w:rPr>
                                      <w:rFonts w:ascii="Arial"/>
                                      <w:b/>
                                      <w:spacing w:val="-2"/>
                                      <w:sz w:val="13"/>
                                    </w:rPr>
                                    <w:t>Financeiras</w:t>
                                  </w:r>
                                </w:p>
                              </w:tc>
                              <w:tc>
                                <w:tcPr>
                                  <w:tcW w:w="883" w:type="dxa"/>
                                  <w:shd w:val="clear" w:color="auto" w:fill="66FFFF"/>
                                </w:tcPr>
                                <w:p w14:paraId="057ECF23" w14:textId="77777777" w:rsidR="002C6574" w:rsidRDefault="002C6574">
                                  <w:pPr>
                                    <w:pStyle w:val="TableParagraph"/>
                                    <w:jc w:val="left"/>
                                    <w:rPr>
                                      <w:rFonts w:ascii="Times New Roman"/>
                                      <w:sz w:val="14"/>
                                    </w:rPr>
                                  </w:pPr>
                                </w:p>
                              </w:tc>
                              <w:tc>
                                <w:tcPr>
                                  <w:tcW w:w="696" w:type="dxa"/>
                                </w:tcPr>
                                <w:p w14:paraId="6CDD288F" w14:textId="77777777" w:rsidR="002C6574" w:rsidRDefault="002C6574">
                                  <w:pPr>
                                    <w:pStyle w:val="TableParagraph"/>
                                    <w:jc w:val="left"/>
                                    <w:rPr>
                                      <w:rFonts w:ascii="Times New Roman"/>
                                      <w:sz w:val="14"/>
                                    </w:rPr>
                                  </w:pPr>
                                </w:p>
                              </w:tc>
                              <w:tc>
                                <w:tcPr>
                                  <w:tcW w:w="648" w:type="dxa"/>
                                </w:tcPr>
                                <w:p w14:paraId="7B69F4A6" w14:textId="77777777" w:rsidR="002C6574" w:rsidRDefault="002C6574">
                                  <w:pPr>
                                    <w:pStyle w:val="TableParagraph"/>
                                    <w:jc w:val="left"/>
                                    <w:rPr>
                                      <w:rFonts w:ascii="Times New Roman"/>
                                      <w:sz w:val="14"/>
                                    </w:rPr>
                                  </w:pPr>
                                </w:p>
                              </w:tc>
                            </w:tr>
                            <w:tr w:rsidR="002C6574" w14:paraId="78D6D93D" w14:textId="77777777">
                              <w:trPr>
                                <w:trHeight w:val="214"/>
                              </w:trPr>
                              <w:tc>
                                <w:tcPr>
                                  <w:tcW w:w="4141" w:type="dxa"/>
                                </w:tcPr>
                                <w:p w14:paraId="435D36A1" w14:textId="77777777" w:rsidR="002C6574" w:rsidRDefault="00000000">
                                  <w:pPr>
                                    <w:pStyle w:val="TableParagraph"/>
                                    <w:spacing w:before="31"/>
                                    <w:ind w:left="69"/>
                                    <w:jc w:val="left"/>
                                    <w:rPr>
                                      <w:rFonts w:ascii="Arial MT"/>
                                      <w:sz w:val="13"/>
                                    </w:rPr>
                                  </w:pPr>
                                  <w:r>
                                    <w:rPr>
                                      <w:rFonts w:ascii="Arial MT"/>
                                      <w:sz w:val="13"/>
                                    </w:rPr>
                                    <w:t>Juros</w:t>
                                  </w:r>
                                  <w:r>
                                    <w:rPr>
                                      <w:rFonts w:ascii="Arial MT"/>
                                      <w:spacing w:val="-9"/>
                                      <w:sz w:val="13"/>
                                    </w:rPr>
                                    <w:t xml:space="preserve"> </w:t>
                                  </w:r>
                                  <w:r>
                                    <w:rPr>
                                      <w:rFonts w:ascii="Arial MT"/>
                                      <w:sz w:val="13"/>
                                    </w:rPr>
                                    <w:t>sobre</w:t>
                                  </w:r>
                                  <w:r>
                                    <w:rPr>
                                      <w:rFonts w:ascii="Arial MT"/>
                                      <w:spacing w:val="-8"/>
                                      <w:sz w:val="13"/>
                                    </w:rPr>
                                    <w:t xml:space="preserve"> </w:t>
                                  </w:r>
                                  <w:r>
                                    <w:rPr>
                                      <w:rFonts w:ascii="Arial MT"/>
                                      <w:sz w:val="13"/>
                                    </w:rPr>
                                    <w:t>Adiantamento</w:t>
                                  </w:r>
                                  <w:r>
                                    <w:rPr>
                                      <w:rFonts w:ascii="Arial MT"/>
                                      <w:spacing w:val="-7"/>
                                      <w:sz w:val="13"/>
                                    </w:rPr>
                                    <w:t xml:space="preserve"> </w:t>
                                  </w:r>
                                  <w:r>
                                    <w:rPr>
                                      <w:rFonts w:ascii="Arial MT"/>
                                      <w:sz w:val="13"/>
                                    </w:rPr>
                                    <w:t>para</w:t>
                                  </w:r>
                                  <w:r>
                                    <w:rPr>
                                      <w:rFonts w:ascii="Arial MT"/>
                                      <w:spacing w:val="-8"/>
                                      <w:sz w:val="13"/>
                                    </w:rPr>
                                    <w:t xml:space="preserve"> </w:t>
                                  </w:r>
                                  <w:r>
                                    <w:rPr>
                                      <w:rFonts w:ascii="Arial MT"/>
                                      <w:sz w:val="13"/>
                                    </w:rPr>
                                    <w:t>Futuro</w:t>
                                  </w:r>
                                  <w:r>
                                    <w:rPr>
                                      <w:rFonts w:ascii="Arial MT"/>
                                      <w:spacing w:val="-7"/>
                                      <w:sz w:val="13"/>
                                    </w:rPr>
                                    <w:t xml:space="preserve"> </w:t>
                                  </w:r>
                                  <w:r>
                                    <w:rPr>
                                      <w:rFonts w:ascii="Arial MT"/>
                                      <w:sz w:val="13"/>
                                    </w:rPr>
                                    <w:t>Aumento</w:t>
                                  </w:r>
                                  <w:r>
                                    <w:rPr>
                                      <w:rFonts w:ascii="Arial MT"/>
                                      <w:spacing w:val="-9"/>
                                      <w:sz w:val="13"/>
                                    </w:rPr>
                                    <w:t xml:space="preserve"> </w:t>
                                  </w:r>
                                  <w:r>
                                    <w:rPr>
                                      <w:rFonts w:ascii="Arial MT"/>
                                      <w:sz w:val="13"/>
                                    </w:rPr>
                                    <w:t>de</w:t>
                                  </w:r>
                                  <w:r>
                                    <w:rPr>
                                      <w:rFonts w:ascii="Arial MT"/>
                                      <w:spacing w:val="-8"/>
                                      <w:sz w:val="13"/>
                                    </w:rPr>
                                    <w:t xml:space="preserve"> </w:t>
                                  </w:r>
                                  <w:r>
                                    <w:rPr>
                                      <w:rFonts w:ascii="Arial MT"/>
                                      <w:spacing w:val="-2"/>
                                      <w:sz w:val="13"/>
                                    </w:rPr>
                                    <w:t>Capital</w:t>
                                  </w:r>
                                </w:p>
                              </w:tc>
                              <w:tc>
                                <w:tcPr>
                                  <w:tcW w:w="883" w:type="dxa"/>
                                  <w:shd w:val="clear" w:color="auto" w:fill="66FFFF"/>
                                </w:tcPr>
                                <w:p w14:paraId="6A058811" w14:textId="77777777" w:rsidR="002C6574" w:rsidRDefault="00000000">
                                  <w:pPr>
                                    <w:pStyle w:val="TableParagraph"/>
                                    <w:spacing w:before="31"/>
                                    <w:ind w:right="69"/>
                                    <w:rPr>
                                      <w:rFonts w:ascii="Arial MT"/>
                                      <w:sz w:val="13"/>
                                    </w:rPr>
                                  </w:pPr>
                                  <w:r>
                                    <w:rPr>
                                      <w:rFonts w:ascii="Arial MT"/>
                                      <w:spacing w:val="-2"/>
                                      <w:sz w:val="13"/>
                                    </w:rPr>
                                    <w:t>(67.622)</w:t>
                                  </w:r>
                                </w:p>
                              </w:tc>
                              <w:tc>
                                <w:tcPr>
                                  <w:tcW w:w="696" w:type="dxa"/>
                                </w:tcPr>
                                <w:p w14:paraId="7141DC40" w14:textId="77777777" w:rsidR="002C6574" w:rsidRDefault="00000000">
                                  <w:pPr>
                                    <w:pStyle w:val="TableParagraph"/>
                                    <w:spacing w:before="31"/>
                                    <w:ind w:right="93"/>
                                    <w:rPr>
                                      <w:rFonts w:ascii="Arial MT"/>
                                      <w:sz w:val="13"/>
                                    </w:rPr>
                                  </w:pPr>
                                  <w:r>
                                    <w:rPr>
                                      <w:rFonts w:ascii="Arial MT"/>
                                      <w:spacing w:val="-2"/>
                                      <w:sz w:val="13"/>
                                    </w:rPr>
                                    <w:t>(49.785)</w:t>
                                  </w:r>
                                </w:p>
                              </w:tc>
                              <w:tc>
                                <w:tcPr>
                                  <w:tcW w:w="648" w:type="dxa"/>
                                </w:tcPr>
                                <w:p w14:paraId="06AB688F" w14:textId="77777777" w:rsidR="002C6574" w:rsidRDefault="00000000">
                                  <w:pPr>
                                    <w:pStyle w:val="TableParagraph"/>
                                    <w:spacing w:before="31"/>
                                    <w:ind w:right="69"/>
                                    <w:rPr>
                                      <w:rFonts w:ascii="Arial MT"/>
                                      <w:sz w:val="13"/>
                                    </w:rPr>
                                  </w:pPr>
                                  <w:r>
                                    <w:rPr>
                                      <w:rFonts w:ascii="Arial MT"/>
                                      <w:spacing w:val="-2"/>
                                      <w:sz w:val="13"/>
                                    </w:rPr>
                                    <w:t>(67.316)</w:t>
                                  </w:r>
                                </w:p>
                              </w:tc>
                            </w:tr>
                            <w:tr w:rsidR="002C6574" w14:paraId="55244787" w14:textId="77777777">
                              <w:trPr>
                                <w:trHeight w:val="214"/>
                              </w:trPr>
                              <w:tc>
                                <w:tcPr>
                                  <w:tcW w:w="4141" w:type="dxa"/>
                                </w:tcPr>
                                <w:p w14:paraId="6558E834" w14:textId="77777777" w:rsidR="002C6574" w:rsidRDefault="00000000">
                                  <w:pPr>
                                    <w:pStyle w:val="TableParagraph"/>
                                    <w:spacing w:before="29"/>
                                    <w:ind w:left="69"/>
                                    <w:jc w:val="left"/>
                                    <w:rPr>
                                      <w:rFonts w:ascii="Arial MT" w:hAnsi="Arial MT"/>
                                      <w:sz w:val="13"/>
                                    </w:rPr>
                                  </w:pPr>
                                  <w:r>
                                    <w:rPr>
                                      <w:rFonts w:ascii="Arial MT" w:hAnsi="Arial MT"/>
                                      <w:sz w:val="13"/>
                                    </w:rPr>
                                    <w:t>Juros</w:t>
                                  </w:r>
                                  <w:r>
                                    <w:rPr>
                                      <w:rFonts w:ascii="Arial MT" w:hAnsi="Arial MT"/>
                                      <w:spacing w:val="-8"/>
                                      <w:sz w:val="13"/>
                                    </w:rPr>
                                    <w:t xml:space="preserve"> </w:t>
                                  </w:r>
                                  <w:r>
                                    <w:rPr>
                                      <w:rFonts w:ascii="Arial MT" w:hAnsi="Arial MT"/>
                                      <w:sz w:val="13"/>
                                    </w:rPr>
                                    <w:t>e</w:t>
                                  </w:r>
                                  <w:r>
                                    <w:rPr>
                                      <w:rFonts w:ascii="Arial MT" w:hAnsi="Arial MT"/>
                                      <w:spacing w:val="-8"/>
                                      <w:sz w:val="13"/>
                                    </w:rPr>
                                    <w:t xml:space="preserve"> </w:t>
                                  </w:r>
                                  <w:r>
                                    <w:rPr>
                                      <w:rFonts w:ascii="Arial MT" w:hAnsi="Arial MT"/>
                                      <w:sz w:val="13"/>
                                    </w:rPr>
                                    <w:t>Variação</w:t>
                                  </w:r>
                                  <w:r>
                                    <w:rPr>
                                      <w:rFonts w:ascii="Arial MT" w:hAnsi="Arial MT"/>
                                      <w:spacing w:val="-6"/>
                                      <w:sz w:val="13"/>
                                    </w:rPr>
                                    <w:t xml:space="preserve"> </w:t>
                                  </w:r>
                                  <w:r>
                                    <w:rPr>
                                      <w:rFonts w:ascii="Arial MT" w:hAnsi="Arial MT"/>
                                      <w:sz w:val="13"/>
                                    </w:rPr>
                                    <w:t>Monetária</w:t>
                                  </w:r>
                                  <w:r>
                                    <w:rPr>
                                      <w:rFonts w:ascii="Arial MT" w:hAnsi="Arial MT"/>
                                      <w:spacing w:val="-6"/>
                                      <w:sz w:val="13"/>
                                    </w:rPr>
                                    <w:t xml:space="preserve"> </w:t>
                                  </w:r>
                                  <w:r>
                                    <w:rPr>
                                      <w:rFonts w:ascii="Arial MT" w:hAnsi="Arial MT"/>
                                      <w:sz w:val="13"/>
                                    </w:rPr>
                                    <w:t>de</w:t>
                                  </w:r>
                                  <w:r>
                                    <w:rPr>
                                      <w:rFonts w:ascii="Arial MT" w:hAnsi="Arial MT"/>
                                      <w:spacing w:val="-8"/>
                                      <w:sz w:val="13"/>
                                    </w:rPr>
                                    <w:t xml:space="preserve"> </w:t>
                                  </w:r>
                                  <w:r>
                                    <w:rPr>
                                      <w:rFonts w:ascii="Arial MT" w:hAnsi="Arial MT"/>
                                      <w:sz w:val="13"/>
                                    </w:rPr>
                                    <w:t>Acordos</w:t>
                                  </w:r>
                                  <w:r>
                                    <w:rPr>
                                      <w:rFonts w:ascii="Arial MT" w:hAnsi="Arial MT"/>
                                      <w:spacing w:val="-8"/>
                                      <w:sz w:val="13"/>
                                    </w:rPr>
                                    <w:t xml:space="preserve"> </w:t>
                                  </w:r>
                                  <w:r>
                                    <w:rPr>
                                      <w:rFonts w:ascii="Arial MT" w:hAnsi="Arial MT"/>
                                      <w:spacing w:val="-2"/>
                                      <w:sz w:val="13"/>
                                    </w:rPr>
                                    <w:t>Judiciais</w:t>
                                  </w:r>
                                </w:p>
                              </w:tc>
                              <w:tc>
                                <w:tcPr>
                                  <w:tcW w:w="883" w:type="dxa"/>
                                  <w:shd w:val="clear" w:color="auto" w:fill="66FFFF"/>
                                </w:tcPr>
                                <w:p w14:paraId="1ED0F43A" w14:textId="77777777" w:rsidR="002C6574" w:rsidRDefault="00000000">
                                  <w:pPr>
                                    <w:pStyle w:val="TableParagraph"/>
                                    <w:spacing w:before="29"/>
                                    <w:ind w:right="69"/>
                                    <w:rPr>
                                      <w:rFonts w:ascii="Arial MT"/>
                                      <w:sz w:val="13"/>
                                    </w:rPr>
                                  </w:pPr>
                                  <w:r>
                                    <w:rPr>
                                      <w:rFonts w:ascii="Arial MT"/>
                                      <w:spacing w:val="-2"/>
                                      <w:sz w:val="13"/>
                                    </w:rPr>
                                    <w:t>(3.969)</w:t>
                                  </w:r>
                                </w:p>
                              </w:tc>
                              <w:tc>
                                <w:tcPr>
                                  <w:tcW w:w="696" w:type="dxa"/>
                                </w:tcPr>
                                <w:p w14:paraId="513606AC" w14:textId="77777777" w:rsidR="002C6574" w:rsidRDefault="00000000">
                                  <w:pPr>
                                    <w:pStyle w:val="TableParagraph"/>
                                    <w:spacing w:before="29"/>
                                    <w:ind w:right="93"/>
                                    <w:rPr>
                                      <w:rFonts w:ascii="Arial MT"/>
                                      <w:sz w:val="13"/>
                                    </w:rPr>
                                  </w:pPr>
                                  <w:r>
                                    <w:rPr>
                                      <w:rFonts w:ascii="Arial MT"/>
                                      <w:spacing w:val="-2"/>
                                      <w:sz w:val="13"/>
                                    </w:rPr>
                                    <w:t>(3.552)</w:t>
                                  </w:r>
                                </w:p>
                              </w:tc>
                              <w:tc>
                                <w:tcPr>
                                  <w:tcW w:w="648" w:type="dxa"/>
                                </w:tcPr>
                                <w:p w14:paraId="20AAD7C4" w14:textId="77777777" w:rsidR="002C6574" w:rsidRDefault="00000000">
                                  <w:pPr>
                                    <w:pStyle w:val="TableParagraph"/>
                                    <w:spacing w:before="29"/>
                                    <w:ind w:right="69"/>
                                    <w:rPr>
                                      <w:rFonts w:ascii="Arial MT"/>
                                      <w:sz w:val="13"/>
                                    </w:rPr>
                                  </w:pPr>
                                  <w:r>
                                    <w:rPr>
                                      <w:rFonts w:ascii="Arial MT"/>
                                      <w:spacing w:val="-2"/>
                                      <w:sz w:val="13"/>
                                    </w:rPr>
                                    <w:t>(2.442)</w:t>
                                  </w:r>
                                </w:p>
                              </w:tc>
                            </w:tr>
                            <w:tr w:rsidR="002C6574" w14:paraId="6A09E576" w14:textId="77777777">
                              <w:trPr>
                                <w:trHeight w:val="216"/>
                              </w:trPr>
                              <w:tc>
                                <w:tcPr>
                                  <w:tcW w:w="4141" w:type="dxa"/>
                                </w:tcPr>
                                <w:p w14:paraId="6BD8F143" w14:textId="77777777" w:rsidR="002C6574" w:rsidRDefault="00000000">
                                  <w:pPr>
                                    <w:pStyle w:val="TableParagraph"/>
                                    <w:spacing w:before="31"/>
                                    <w:ind w:left="69"/>
                                    <w:jc w:val="left"/>
                                    <w:rPr>
                                      <w:rFonts w:ascii="Arial MT" w:hAnsi="Arial MT"/>
                                      <w:sz w:val="13"/>
                                    </w:rPr>
                                  </w:pPr>
                                  <w:r>
                                    <w:rPr>
                                      <w:rFonts w:ascii="Arial MT" w:hAnsi="Arial MT"/>
                                      <w:sz w:val="13"/>
                                    </w:rPr>
                                    <w:t>Juros/VM</w:t>
                                  </w:r>
                                  <w:r>
                                    <w:rPr>
                                      <w:rFonts w:ascii="Arial MT" w:hAnsi="Arial MT"/>
                                      <w:spacing w:val="-6"/>
                                      <w:sz w:val="13"/>
                                    </w:rPr>
                                    <w:t xml:space="preserve"> </w:t>
                                  </w:r>
                                  <w:r>
                                    <w:rPr>
                                      <w:rFonts w:ascii="Arial MT" w:hAnsi="Arial MT"/>
                                      <w:sz w:val="13"/>
                                    </w:rPr>
                                    <w:t>sobre</w:t>
                                  </w:r>
                                  <w:r>
                                    <w:rPr>
                                      <w:rFonts w:ascii="Arial MT" w:hAnsi="Arial MT"/>
                                      <w:spacing w:val="-4"/>
                                      <w:sz w:val="13"/>
                                    </w:rPr>
                                    <w:t xml:space="preserve"> </w:t>
                                  </w:r>
                                  <w:r>
                                    <w:rPr>
                                      <w:rFonts w:ascii="Arial MT" w:hAnsi="Arial MT"/>
                                      <w:sz w:val="13"/>
                                    </w:rPr>
                                    <w:t>Prov.</w:t>
                                  </w:r>
                                  <w:r>
                                    <w:rPr>
                                      <w:rFonts w:ascii="Arial MT" w:hAnsi="Arial MT"/>
                                      <w:spacing w:val="-6"/>
                                      <w:sz w:val="13"/>
                                    </w:rPr>
                                    <w:t xml:space="preserve"> </w:t>
                                  </w:r>
                                  <w:r>
                                    <w:rPr>
                                      <w:rFonts w:ascii="Arial MT" w:hAnsi="Arial MT"/>
                                      <w:sz w:val="13"/>
                                    </w:rPr>
                                    <w:t>para</w:t>
                                  </w:r>
                                  <w:r>
                                    <w:rPr>
                                      <w:rFonts w:ascii="Arial MT" w:hAnsi="Arial MT"/>
                                      <w:spacing w:val="-5"/>
                                      <w:sz w:val="13"/>
                                    </w:rPr>
                                    <w:t xml:space="preserve"> </w:t>
                                  </w:r>
                                  <w:r>
                                    <w:rPr>
                                      <w:rFonts w:ascii="Arial MT" w:hAnsi="Arial MT"/>
                                      <w:sz w:val="13"/>
                                    </w:rPr>
                                    <w:t>Riscos</w:t>
                                  </w:r>
                                  <w:r>
                                    <w:rPr>
                                      <w:rFonts w:ascii="Arial MT" w:hAnsi="Arial MT"/>
                                      <w:spacing w:val="-6"/>
                                      <w:sz w:val="13"/>
                                    </w:rPr>
                                    <w:t xml:space="preserve"> </w:t>
                                  </w:r>
                                  <w:r>
                                    <w:rPr>
                                      <w:rFonts w:ascii="Arial MT" w:hAnsi="Arial MT"/>
                                      <w:sz w:val="13"/>
                                    </w:rPr>
                                    <w:t>Trabalhistas,</w:t>
                                  </w:r>
                                  <w:r>
                                    <w:rPr>
                                      <w:rFonts w:ascii="Arial MT" w:hAnsi="Arial MT"/>
                                      <w:spacing w:val="-5"/>
                                      <w:sz w:val="13"/>
                                    </w:rPr>
                                    <w:t xml:space="preserve"> </w:t>
                                  </w:r>
                                  <w:r>
                                    <w:rPr>
                                      <w:rFonts w:ascii="Arial MT" w:hAnsi="Arial MT"/>
                                      <w:sz w:val="13"/>
                                    </w:rPr>
                                    <w:t>Cíveis</w:t>
                                  </w:r>
                                  <w:r>
                                    <w:rPr>
                                      <w:rFonts w:ascii="Arial MT" w:hAnsi="Arial MT"/>
                                      <w:spacing w:val="-6"/>
                                      <w:sz w:val="13"/>
                                    </w:rPr>
                                    <w:t xml:space="preserve"> </w:t>
                                  </w:r>
                                  <w:r>
                                    <w:rPr>
                                      <w:rFonts w:ascii="Arial MT" w:hAnsi="Arial MT"/>
                                      <w:sz w:val="13"/>
                                    </w:rPr>
                                    <w:t>e</w:t>
                                  </w:r>
                                  <w:r>
                                    <w:rPr>
                                      <w:rFonts w:ascii="Arial MT" w:hAnsi="Arial MT"/>
                                      <w:spacing w:val="-6"/>
                                      <w:sz w:val="13"/>
                                    </w:rPr>
                                    <w:t xml:space="preserve"> </w:t>
                                  </w:r>
                                  <w:r>
                                    <w:rPr>
                                      <w:rFonts w:ascii="Arial MT" w:hAnsi="Arial MT"/>
                                      <w:spacing w:val="-2"/>
                                      <w:sz w:val="13"/>
                                    </w:rPr>
                                    <w:t>Fiscais</w:t>
                                  </w:r>
                                </w:p>
                              </w:tc>
                              <w:tc>
                                <w:tcPr>
                                  <w:tcW w:w="883" w:type="dxa"/>
                                  <w:shd w:val="clear" w:color="auto" w:fill="66FFFF"/>
                                </w:tcPr>
                                <w:p w14:paraId="7CAC94C4" w14:textId="77777777" w:rsidR="002C6574" w:rsidRDefault="00000000">
                                  <w:pPr>
                                    <w:pStyle w:val="TableParagraph"/>
                                    <w:spacing w:before="31"/>
                                    <w:ind w:right="69"/>
                                    <w:rPr>
                                      <w:rFonts w:ascii="Arial MT"/>
                                      <w:sz w:val="13"/>
                                    </w:rPr>
                                  </w:pPr>
                                  <w:r>
                                    <w:rPr>
                                      <w:rFonts w:ascii="Arial MT"/>
                                      <w:spacing w:val="-2"/>
                                      <w:sz w:val="13"/>
                                    </w:rPr>
                                    <w:t>(1.427)</w:t>
                                  </w:r>
                                </w:p>
                              </w:tc>
                              <w:tc>
                                <w:tcPr>
                                  <w:tcW w:w="696" w:type="dxa"/>
                                </w:tcPr>
                                <w:p w14:paraId="03D4261B" w14:textId="77777777" w:rsidR="002C6574" w:rsidRDefault="00000000">
                                  <w:pPr>
                                    <w:pStyle w:val="TableParagraph"/>
                                    <w:spacing w:before="31"/>
                                    <w:ind w:right="93"/>
                                    <w:rPr>
                                      <w:rFonts w:ascii="Arial MT"/>
                                      <w:sz w:val="13"/>
                                    </w:rPr>
                                  </w:pPr>
                                  <w:r>
                                    <w:rPr>
                                      <w:rFonts w:ascii="Arial MT"/>
                                      <w:spacing w:val="-2"/>
                                      <w:sz w:val="13"/>
                                    </w:rPr>
                                    <w:t>(1.734)</w:t>
                                  </w:r>
                                </w:p>
                              </w:tc>
                              <w:tc>
                                <w:tcPr>
                                  <w:tcW w:w="648" w:type="dxa"/>
                                </w:tcPr>
                                <w:p w14:paraId="7CC699DE" w14:textId="77777777" w:rsidR="002C6574" w:rsidRDefault="00000000">
                                  <w:pPr>
                                    <w:pStyle w:val="TableParagraph"/>
                                    <w:spacing w:before="31"/>
                                    <w:ind w:right="69"/>
                                    <w:rPr>
                                      <w:rFonts w:ascii="Arial MT"/>
                                      <w:sz w:val="13"/>
                                    </w:rPr>
                                  </w:pPr>
                                  <w:r>
                                    <w:rPr>
                                      <w:rFonts w:ascii="Arial MT"/>
                                      <w:spacing w:val="-2"/>
                                      <w:sz w:val="13"/>
                                    </w:rPr>
                                    <w:t>(1.208)</w:t>
                                  </w:r>
                                </w:p>
                              </w:tc>
                            </w:tr>
                            <w:tr w:rsidR="002C6574" w14:paraId="13D1CCEF" w14:textId="77777777">
                              <w:trPr>
                                <w:trHeight w:val="214"/>
                              </w:trPr>
                              <w:tc>
                                <w:tcPr>
                                  <w:tcW w:w="4141" w:type="dxa"/>
                                </w:tcPr>
                                <w:p w14:paraId="18B4DDF9" w14:textId="77777777" w:rsidR="002C6574" w:rsidRDefault="00000000">
                                  <w:pPr>
                                    <w:pStyle w:val="TableParagraph"/>
                                    <w:spacing w:before="31"/>
                                    <w:ind w:left="69"/>
                                    <w:jc w:val="left"/>
                                    <w:rPr>
                                      <w:rFonts w:ascii="Arial MT" w:hAnsi="Arial MT"/>
                                      <w:sz w:val="13"/>
                                    </w:rPr>
                                  </w:pPr>
                                  <w:r>
                                    <w:rPr>
                                      <w:rFonts w:ascii="Arial MT" w:hAnsi="Arial MT"/>
                                      <w:sz w:val="13"/>
                                    </w:rPr>
                                    <w:t>Juros</w:t>
                                  </w:r>
                                  <w:r>
                                    <w:rPr>
                                      <w:rFonts w:ascii="Arial MT" w:hAnsi="Arial MT"/>
                                      <w:spacing w:val="-7"/>
                                      <w:sz w:val="13"/>
                                    </w:rPr>
                                    <w:t xml:space="preserve"> </w:t>
                                  </w:r>
                                  <w:r>
                                    <w:rPr>
                                      <w:rFonts w:ascii="Arial MT" w:hAnsi="Arial MT"/>
                                      <w:sz w:val="13"/>
                                    </w:rPr>
                                    <w:t>sobre</w:t>
                                  </w:r>
                                  <w:r>
                                    <w:rPr>
                                      <w:rFonts w:ascii="Arial MT" w:hAnsi="Arial MT"/>
                                      <w:spacing w:val="-6"/>
                                      <w:sz w:val="13"/>
                                    </w:rPr>
                                    <w:t xml:space="preserve"> </w:t>
                                  </w:r>
                                  <w:r>
                                    <w:rPr>
                                      <w:rFonts w:ascii="Arial MT" w:hAnsi="Arial MT"/>
                                      <w:sz w:val="13"/>
                                    </w:rPr>
                                    <w:t>Obrigações</w:t>
                                  </w:r>
                                  <w:r>
                                    <w:rPr>
                                      <w:rFonts w:ascii="Arial MT" w:hAnsi="Arial MT"/>
                                      <w:spacing w:val="-6"/>
                                      <w:sz w:val="13"/>
                                    </w:rPr>
                                    <w:t xml:space="preserve"> </w:t>
                                  </w:r>
                                  <w:r>
                                    <w:rPr>
                                      <w:rFonts w:ascii="Arial MT" w:hAnsi="Arial MT"/>
                                      <w:sz w:val="13"/>
                                    </w:rPr>
                                    <w:t>com</w:t>
                                  </w:r>
                                  <w:r>
                                    <w:rPr>
                                      <w:rFonts w:ascii="Arial MT" w:hAnsi="Arial MT"/>
                                      <w:spacing w:val="-5"/>
                                      <w:sz w:val="13"/>
                                    </w:rPr>
                                    <w:t xml:space="preserve"> </w:t>
                                  </w:r>
                                  <w:r>
                                    <w:rPr>
                                      <w:rFonts w:ascii="Arial MT" w:hAnsi="Arial MT"/>
                                      <w:spacing w:val="-2"/>
                                      <w:sz w:val="13"/>
                                    </w:rPr>
                                    <w:t>Fornecedores</w:t>
                                  </w:r>
                                </w:p>
                              </w:tc>
                              <w:tc>
                                <w:tcPr>
                                  <w:tcW w:w="883" w:type="dxa"/>
                                  <w:shd w:val="clear" w:color="auto" w:fill="66FFFF"/>
                                </w:tcPr>
                                <w:p w14:paraId="6DB467D4" w14:textId="77777777" w:rsidR="002C6574" w:rsidRDefault="00000000">
                                  <w:pPr>
                                    <w:pStyle w:val="TableParagraph"/>
                                    <w:spacing w:before="31"/>
                                    <w:ind w:right="69"/>
                                    <w:rPr>
                                      <w:rFonts w:ascii="Arial MT"/>
                                      <w:sz w:val="13"/>
                                    </w:rPr>
                                  </w:pPr>
                                  <w:r>
                                    <w:rPr>
                                      <w:rFonts w:ascii="Arial MT"/>
                                      <w:spacing w:val="-2"/>
                                      <w:sz w:val="13"/>
                                    </w:rPr>
                                    <w:t>(2.568)</w:t>
                                  </w:r>
                                </w:p>
                              </w:tc>
                              <w:tc>
                                <w:tcPr>
                                  <w:tcW w:w="696" w:type="dxa"/>
                                </w:tcPr>
                                <w:p w14:paraId="3D003012" w14:textId="77777777" w:rsidR="002C6574" w:rsidRDefault="00000000">
                                  <w:pPr>
                                    <w:pStyle w:val="TableParagraph"/>
                                    <w:spacing w:before="31"/>
                                    <w:ind w:right="91"/>
                                    <w:rPr>
                                      <w:rFonts w:ascii="Arial MT"/>
                                      <w:sz w:val="13"/>
                                    </w:rPr>
                                  </w:pPr>
                                  <w:r>
                                    <w:rPr>
                                      <w:rFonts w:ascii="Arial MT"/>
                                      <w:spacing w:val="-10"/>
                                      <w:sz w:val="13"/>
                                    </w:rPr>
                                    <w:t>-</w:t>
                                  </w:r>
                                </w:p>
                              </w:tc>
                              <w:tc>
                                <w:tcPr>
                                  <w:tcW w:w="648" w:type="dxa"/>
                                </w:tcPr>
                                <w:p w14:paraId="4B40E659" w14:textId="77777777" w:rsidR="002C6574" w:rsidRDefault="00000000">
                                  <w:pPr>
                                    <w:pStyle w:val="TableParagraph"/>
                                    <w:spacing w:before="31"/>
                                    <w:ind w:right="67"/>
                                    <w:rPr>
                                      <w:rFonts w:ascii="Arial MT"/>
                                      <w:sz w:val="13"/>
                                    </w:rPr>
                                  </w:pPr>
                                  <w:r>
                                    <w:rPr>
                                      <w:rFonts w:ascii="Arial MT"/>
                                      <w:spacing w:val="-10"/>
                                      <w:sz w:val="13"/>
                                    </w:rPr>
                                    <w:t>-</w:t>
                                  </w:r>
                                </w:p>
                              </w:tc>
                            </w:tr>
                            <w:tr w:rsidR="002C6574" w14:paraId="3F57A43D" w14:textId="77777777">
                              <w:trPr>
                                <w:trHeight w:val="214"/>
                              </w:trPr>
                              <w:tc>
                                <w:tcPr>
                                  <w:tcW w:w="4141" w:type="dxa"/>
                                </w:tcPr>
                                <w:p w14:paraId="72AFB62D" w14:textId="77777777" w:rsidR="002C6574" w:rsidRDefault="00000000">
                                  <w:pPr>
                                    <w:pStyle w:val="TableParagraph"/>
                                    <w:spacing w:before="29"/>
                                    <w:ind w:left="69"/>
                                    <w:jc w:val="left"/>
                                    <w:rPr>
                                      <w:rFonts w:ascii="Arial MT" w:hAnsi="Arial MT"/>
                                      <w:sz w:val="13"/>
                                    </w:rPr>
                                  </w:pPr>
                                  <w:r>
                                    <w:rPr>
                                      <w:rFonts w:ascii="Arial MT" w:hAnsi="Arial MT"/>
                                      <w:sz w:val="13"/>
                                    </w:rPr>
                                    <w:t>Variação</w:t>
                                  </w:r>
                                  <w:r>
                                    <w:rPr>
                                      <w:rFonts w:ascii="Arial MT" w:hAnsi="Arial MT"/>
                                      <w:spacing w:val="-10"/>
                                      <w:sz w:val="13"/>
                                    </w:rPr>
                                    <w:t xml:space="preserve"> </w:t>
                                  </w:r>
                                  <w:r>
                                    <w:rPr>
                                      <w:rFonts w:ascii="Arial MT" w:hAnsi="Arial MT"/>
                                      <w:sz w:val="13"/>
                                    </w:rPr>
                                    <w:t>Cambial</w:t>
                                  </w:r>
                                  <w:r>
                                    <w:rPr>
                                      <w:rFonts w:ascii="Arial MT" w:hAnsi="Arial MT"/>
                                      <w:spacing w:val="-9"/>
                                      <w:sz w:val="13"/>
                                    </w:rPr>
                                    <w:t xml:space="preserve"> </w:t>
                                  </w:r>
                                  <w:r>
                                    <w:rPr>
                                      <w:rFonts w:ascii="Arial MT" w:hAnsi="Arial MT"/>
                                      <w:sz w:val="13"/>
                                    </w:rPr>
                                    <w:t>sobre</w:t>
                                  </w:r>
                                  <w:r>
                                    <w:rPr>
                                      <w:rFonts w:ascii="Arial MT" w:hAnsi="Arial MT"/>
                                      <w:spacing w:val="-9"/>
                                      <w:sz w:val="13"/>
                                    </w:rPr>
                                    <w:t xml:space="preserve"> </w:t>
                                  </w:r>
                                  <w:r>
                                    <w:rPr>
                                      <w:rFonts w:ascii="Arial MT" w:hAnsi="Arial MT"/>
                                      <w:sz w:val="13"/>
                                    </w:rPr>
                                    <w:t>Obrigações</w:t>
                                  </w:r>
                                  <w:r>
                                    <w:rPr>
                                      <w:rFonts w:ascii="Arial MT" w:hAnsi="Arial MT"/>
                                      <w:spacing w:val="-9"/>
                                      <w:sz w:val="13"/>
                                    </w:rPr>
                                    <w:t xml:space="preserve"> </w:t>
                                  </w:r>
                                  <w:r>
                                    <w:rPr>
                                      <w:rFonts w:ascii="Arial MT" w:hAnsi="Arial MT"/>
                                      <w:sz w:val="13"/>
                                    </w:rPr>
                                    <w:t>com</w:t>
                                  </w:r>
                                  <w:r>
                                    <w:rPr>
                                      <w:rFonts w:ascii="Arial MT" w:hAnsi="Arial MT"/>
                                      <w:spacing w:val="-7"/>
                                      <w:sz w:val="13"/>
                                    </w:rPr>
                                    <w:t xml:space="preserve"> </w:t>
                                  </w:r>
                                  <w:r>
                                    <w:rPr>
                                      <w:rFonts w:ascii="Arial MT" w:hAnsi="Arial MT"/>
                                      <w:spacing w:val="-2"/>
                                      <w:sz w:val="13"/>
                                    </w:rPr>
                                    <w:t>Fornecedores</w:t>
                                  </w:r>
                                </w:p>
                              </w:tc>
                              <w:tc>
                                <w:tcPr>
                                  <w:tcW w:w="883" w:type="dxa"/>
                                  <w:shd w:val="clear" w:color="auto" w:fill="66FFFF"/>
                                </w:tcPr>
                                <w:p w14:paraId="59ECD5E1" w14:textId="77777777" w:rsidR="002C6574" w:rsidRDefault="00000000">
                                  <w:pPr>
                                    <w:pStyle w:val="TableParagraph"/>
                                    <w:spacing w:before="29"/>
                                    <w:ind w:right="69"/>
                                    <w:rPr>
                                      <w:rFonts w:ascii="Arial MT"/>
                                      <w:sz w:val="13"/>
                                    </w:rPr>
                                  </w:pPr>
                                  <w:r>
                                    <w:rPr>
                                      <w:rFonts w:ascii="Arial MT"/>
                                      <w:spacing w:val="-2"/>
                                      <w:sz w:val="13"/>
                                    </w:rPr>
                                    <w:t>(2.511)</w:t>
                                  </w:r>
                                </w:p>
                              </w:tc>
                              <w:tc>
                                <w:tcPr>
                                  <w:tcW w:w="696" w:type="dxa"/>
                                </w:tcPr>
                                <w:p w14:paraId="6DD60A8D" w14:textId="77777777" w:rsidR="002C6574" w:rsidRDefault="00000000">
                                  <w:pPr>
                                    <w:pStyle w:val="TableParagraph"/>
                                    <w:spacing w:before="29"/>
                                    <w:ind w:right="91"/>
                                    <w:rPr>
                                      <w:rFonts w:ascii="Arial MT"/>
                                      <w:sz w:val="13"/>
                                    </w:rPr>
                                  </w:pPr>
                                  <w:r>
                                    <w:rPr>
                                      <w:rFonts w:ascii="Arial MT"/>
                                      <w:spacing w:val="-10"/>
                                      <w:sz w:val="13"/>
                                    </w:rPr>
                                    <w:t>-</w:t>
                                  </w:r>
                                </w:p>
                              </w:tc>
                              <w:tc>
                                <w:tcPr>
                                  <w:tcW w:w="648" w:type="dxa"/>
                                </w:tcPr>
                                <w:p w14:paraId="475FC00E" w14:textId="77777777" w:rsidR="002C6574" w:rsidRDefault="00000000">
                                  <w:pPr>
                                    <w:pStyle w:val="TableParagraph"/>
                                    <w:spacing w:before="29"/>
                                    <w:ind w:right="67"/>
                                    <w:rPr>
                                      <w:rFonts w:ascii="Arial MT"/>
                                      <w:sz w:val="13"/>
                                    </w:rPr>
                                  </w:pPr>
                                  <w:r>
                                    <w:rPr>
                                      <w:rFonts w:ascii="Arial MT"/>
                                      <w:spacing w:val="-10"/>
                                      <w:sz w:val="13"/>
                                    </w:rPr>
                                    <w:t>-</w:t>
                                  </w:r>
                                </w:p>
                              </w:tc>
                            </w:tr>
                            <w:tr w:rsidR="002C6574" w14:paraId="44BD83C1" w14:textId="77777777">
                              <w:trPr>
                                <w:trHeight w:val="212"/>
                              </w:trPr>
                              <w:tc>
                                <w:tcPr>
                                  <w:tcW w:w="4141" w:type="dxa"/>
                                </w:tcPr>
                                <w:p w14:paraId="2044991F" w14:textId="77777777" w:rsidR="002C6574" w:rsidRDefault="00000000">
                                  <w:pPr>
                                    <w:pStyle w:val="TableParagraph"/>
                                    <w:spacing w:before="31"/>
                                    <w:ind w:left="69"/>
                                    <w:jc w:val="left"/>
                                    <w:rPr>
                                      <w:rFonts w:ascii="Arial MT"/>
                                      <w:sz w:val="13"/>
                                    </w:rPr>
                                  </w:pPr>
                                  <w:r>
                                    <w:rPr>
                                      <w:rFonts w:ascii="Arial MT"/>
                                      <w:spacing w:val="-2"/>
                                      <w:sz w:val="13"/>
                                    </w:rPr>
                                    <w:t>Outras</w:t>
                                  </w:r>
                                  <w:r>
                                    <w:rPr>
                                      <w:rFonts w:ascii="Arial MT"/>
                                      <w:spacing w:val="3"/>
                                      <w:sz w:val="13"/>
                                    </w:rPr>
                                    <w:t xml:space="preserve"> </w:t>
                                  </w:r>
                                  <w:r>
                                    <w:rPr>
                                      <w:rFonts w:ascii="Arial MT"/>
                                      <w:spacing w:val="-2"/>
                                      <w:sz w:val="13"/>
                                    </w:rPr>
                                    <w:t>Despesas</w:t>
                                  </w:r>
                                  <w:r>
                                    <w:rPr>
                                      <w:rFonts w:ascii="Arial MT"/>
                                      <w:spacing w:val="4"/>
                                      <w:sz w:val="13"/>
                                    </w:rPr>
                                    <w:t xml:space="preserve"> </w:t>
                                  </w:r>
                                  <w:r>
                                    <w:rPr>
                                      <w:rFonts w:ascii="Arial MT"/>
                                      <w:spacing w:val="-2"/>
                                      <w:sz w:val="13"/>
                                    </w:rPr>
                                    <w:t>Financeiras</w:t>
                                  </w:r>
                                </w:p>
                              </w:tc>
                              <w:tc>
                                <w:tcPr>
                                  <w:tcW w:w="883" w:type="dxa"/>
                                  <w:shd w:val="clear" w:color="auto" w:fill="66FFFF"/>
                                </w:tcPr>
                                <w:p w14:paraId="02B2EF64" w14:textId="77777777" w:rsidR="002C6574" w:rsidRDefault="00000000">
                                  <w:pPr>
                                    <w:pStyle w:val="TableParagraph"/>
                                    <w:spacing w:before="31"/>
                                    <w:ind w:right="69"/>
                                    <w:rPr>
                                      <w:rFonts w:ascii="Arial MT"/>
                                      <w:sz w:val="13"/>
                                    </w:rPr>
                                  </w:pPr>
                                  <w:r>
                                    <w:rPr>
                                      <w:rFonts w:ascii="Arial MT"/>
                                      <w:spacing w:val="-2"/>
                                      <w:sz w:val="13"/>
                                    </w:rPr>
                                    <w:t>(336)</w:t>
                                  </w:r>
                                </w:p>
                              </w:tc>
                              <w:tc>
                                <w:tcPr>
                                  <w:tcW w:w="696" w:type="dxa"/>
                                </w:tcPr>
                                <w:p w14:paraId="25967A7D" w14:textId="77777777" w:rsidR="002C6574" w:rsidRDefault="00000000">
                                  <w:pPr>
                                    <w:pStyle w:val="TableParagraph"/>
                                    <w:spacing w:before="31"/>
                                    <w:ind w:right="93"/>
                                    <w:rPr>
                                      <w:rFonts w:ascii="Arial MT"/>
                                      <w:sz w:val="13"/>
                                    </w:rPr>
                                  </w:pPr>
                                  <w:r>
                                    <w:rPr>
                                      <w:rFonts w:ascii="Arial MT"/>
                                      <w:spacing w:val="-2"/>
                                      <w:sz w:val="13"/>
                                    </w:rPr>
                                    <w:t>(1.119)</w:t>
                                  </w:r>
                                </w:p>
                              </w:tc>
                              <w:tc>
                                <w:tcPr>
                                  <w:tcW w:w="648" w:type="dxa"/>
                                </w:tcPr>
                                <w:p w14:paraId="18E5D8DE" w14:textId="77777777" w:rsidR="002C6574" w:rsidRDefault="00000000">
                                  <w:pPr>
                                    <w:pStyle w:val="TableParagraph"/>
                                    <w:spacing w:before="31"/>
                                    <w:ind w:right="69"/>
                                    <w:rPr>
                                      <w:rFonts w:ascii="Arial MT"/>
                                      <w:sz w:val="13"/>
                                    </w:rPr>
                                  </w:pPr>
                                  <w:r>
                                    <w:rPr>
                                      <w:rFonts w:ascii="Arial MT"/>
                                      <w:spacing w:val="-2"/>
                                      <w:sz w:val="13"/>
                                    </w:rPr>
                                    <w:t>(168)</w:t>
                                  </w:r>
                                </w:p>
                              </w:tc>
                            </w:tr>
                            <w:tr w:rsidR="002C6574" w14:paraId="7C253039" w14:textId="77777777">
                              <w:trPr>
                                <w:trHeight w:val="429"/>
                              </w:trPr>
                              <w:tc>
                                <w:tcPr>
                                  <w:tcW w:w="4141" w:type="dxa"/>
                                  <w:shd w:val="clear" w:color="auto" w:fill="0000FF"/>
                                </w:tcPr>
                                <w:p w14:paraId="35746B6A" w14:textId="77777777" w:rsidR="002C6574" w:rsidRDefault="00000000">
                                  <w:pPr>
                                    <w:pStyle w:val="TableParagraph"/>
                                    <w:spacing w:before="31"/>
                                    <w:ind w:left="69"/>
                                    <w:jc w:val="left"/>
                                    <w:rPr>
                                      <w:rFonts w:ascii="Arial"/>
                                      <w:b/>
                                      <w:sz w:val="13"/>
                                    </w:rPr>
                                  </w:pPr>
                                  <w:r>
                                    <w:rPr>
                                      <w:rFonts w:ascii="Arial"/>
                                      <w:b/>
                                      <w:color w:val="FFFFFF"/>
                                      <w:spacing w:val="-2"/>
                                      <w:sz w:val="13"/>
                                    </w:rPr>
                                    <w:t>Total</w:t>
                                  </w:r>
                                </w:p>
                                <w:p w14:paraId="4E49955A" w14:textId="77777777" w:rsidR="002C6574" w:rsidRDefault="00000000">
                                  <w:pPr>
                                    <w:pStyle w:val="TableParagraph"/>
                                    <w:spacing w:before="67"/>
                                    <w:ind w:left="69"/>
                                    <w:jc w:val="left"/>
                                    <w:rPr>
                                      <w:rFonts w:ascii="Arial" w:hAnsi="Arial"/>
                                      <w:b/>
                                      <w:sz w:val="13"/>
                                    </w:rPr>
                                  </w:pPr>
                                  <w:r>
                                    <w:rPr>
                                      <w:rFonts w:ascii="Arial" w:hAnsi="Arial"/>
                                      <w:b/>
                                      <w:color w:val="FFFFFF"/>
                                      <w:sz w:val="13"/>
                                    </w:rPr>
                                    <w:t>Resultado</w:t>
                                  </w:r>
                                  <w:r>
                                    <w:rPr>
                                      <w:rFonts w:ascii="Arial" w:hAnsi="Arial"/>
                                      <w:b/>
                                      <w:color w:val="FFFFFF"/>
                                      <w:spacing w:val="-7"/>
                                      <w:sz w:val="13"/>
                                    </w:rPr>
                                    <w:t xml:space="preserve"> </w:t>
                                  </w:r>
                                  <w:r>
                                    <w:rPr>
                                      <w:rFonts w:ascii="Arial" w:hAnsi="Arial"/>
                                      <w:b/>
                                      <w:color w:val="FFFFFF"/>
                                      <w:sz w:val="13"/>
                                    </w:rPr>
                                    <w:t>Financeiro</w:t>
                                  </w:r>
                                  <w:r>
                                    <w:rPr>
                                      <w:rFonts w:ascii="Arial" w:hAnsi="Arial"/>
                                      <w:b/>
                                      <w:color w:val="FFFFFF"/>
                                      <w:spacing w:val="-6"/>
                                      <w:sz w:val="13"/>
                                    </w:rPr>
                                    <w:t xml:space="preserve"> </w:t>
                                  </w:r>
                                  <w:r>
                                    <w:rPr>
                                      <w:rFonts w:ascii="Arial" w:hAnsi="Arial"/>
                                      <w:b/>
                                      <w:color w:val="FFFFFF"/>
                                      <w:spacing w:val="-2"/>
                                      <w:sz w:val="13"/>
                                    </w:rPr>
                                    <w:t>Líquido</w:t>
                                  </w:r>
                                </w:p>
                              </w:tc>
                              <w:tc>
                                <w:tcPr>
                                  <w:tcW w:w="883" w:type="dxa"/>
                                  <w:shd w:val="clear" w:color="auto" w:fill="0000FF"/>
                                </w:tcPr>
                                <w:p w14:paraId="77F38159" w14:textId="77777777" w:rsidR="002C6574" w:rsidRDefault="00000000">
                                  <w:pPr>
                                    <w:pStyle w:val="TableParagraph"/>
                                    <w:spacing w:before="31"/>
                                    <w:ind w:left="328"/>
                                    <w:jc w:val="left"/>
                                    <w:rPr>
                                      <w:rFonts w:ascii="Arial"/>
                                      <w:b/>
                                      <w:sz w:val="13"/>
                                    </w:rPr>
                                  </w:pPr>
                                  <w:r>
                                    <w:rPr>
                                      <w:rFonts w:ascii="Arial"/>
                                      <w:b/>
                                      <w:color w:val="FFFFFF"/>
                                      <w:spacing w:val="-2"/>
                                      <w:sz w:val="13"/>
                                    </w:rPr>
                                    <w:t>(78.433)</w:t>
                                  </w:r>
                                </w:p>
                                <w:p w14:paraId="53B62380" w14:textId="77777777" w:rsidR="002C6574" w:rsidRDefault="00000000">
                                  <w:pPr>
                                    <w:pStyle w:val="TableParagraph"/>
                                    <w:spacing w:before="67"/>
                                    <w:ind w:left="328"/>
                                    <w:jc w:val="left"/>
                                    <w:rPr>
                                      <w:rFonts w:ascii="Arial"/>
                                      <w:b/>
                                      <w:sz w:val="13"/>
                                    </w:rPr>
                                  </w:pPr>
                                  <w:r>
                                    <w:rPr>
                                      <w:rFonts w:ascii="Arial"/>
                                      <w:b/>
                                      <w:color w:val="FFFFFF"/>
                                      <w:spacing w:val="-2"/>
                                      <w:sz w:val="13"/>
                                    </w:rPr>
                                    <w:t>(14.833)</w:t>
                                  </w:r>
                                </w:p>
                              </w:tc>
                              <w:tc>
                                <w:tcPr>
                                  <w:tcW w:w="696" w:type="dxa"/>
                                  <w:shd w:val="clear" w:color="auto" w:fill="0000FF"/>
                                </w:tcPr>
                                <w:p w14:paraId="0D7CBC32" w14:textId="77777777" w:rsidR="002C6574" w:rsidRDefault="00000000">
                                  <w:pPr>
                                    <w:pStyle w:val="TableParagraph"/>
                                    <w:spacing w:before="31"/>
                                    <w:ind w:left="117"/>
                                    <w:jc w:val="left"/>
                                    <w:rPr>
                                      <w:rFonts w:ascii="Arial"/>
                                      <w:b/>
                                      <w:sz w:val="13"/>
                                    </w:rPr>
                                  </w:pPr>
                                  <w:r>
                                    <w:rPr>
                                      <w:rFonts w:ascii="Arial"/>
                                      <w:b/>
                                      <w:color w:val="FFFFFF"/>
                                      <w:spacing w:val="-2"/>
                                      <w:sz w:val="13"/>
                                    </w:rPr>
                                    <w:t>(56.190)</w:t>
                                  </w:r>
                                </w:p>
                                <w:p w14:paraId="054C83B7" w14:textId="77777777" w:rsidR="002C6574" w:rsidRDefault="00000000">
                                  <w:pPr>
                                    <w:pStyle w:val="TableParagraph"/>
                                    <w:spacing w:before="67"/>
                                    <w:ind w:left="117"/>
                                    <w:jc w:val="left"/>
                                    <w:rPr>
                                      <w:rFonts w:ascii="Arial"/>
                                      <w:b/>
                                      <w:sz w:val="13"/>
                                    </w:rPr>
                                  </w:pPr>
                                  <w:r>
                                    <w:rPr>
                                      <w:rFonts w:ascii="Arial"/>
                                      <w:b/>
                                      <w:color w:val="FFFFFF"/>
                                      <w:spacing w:val="-2"/>
                                      <w:sz w:val="13"/>
                                    </w:rPr>
                                    <w:t>(25.971)</w:t>
                                  </w:r>
                                </w:p>
                              </w:tc>
                              <w:tc>
                                <w:tcPr>
                                  <w:tcW w:w="648" w:type="dxa"/>
                                  <w:shd w:val="clear" w:color="auto" w:fill="0000FF"/>
                                </w:tcPr>
                                <w:p w14:paraId="6365A3C6" w14:textId="77777777" w:rsidR="002C6574" w:rsidRDefault="00000000">
                                  <w:pPr>
                                    <w:pStyle w:val="TableParagraph"/>
                                    <w:spacing w:before="31"/>
                                    <w:ind w:left="94"/>
                                    <w:jc w:val="left"/>
                                    <w:rPr>
                                      <w:rFonts w:ascii="Arial"/>
                                      <w:b/>
                                      <w:sz w:val="13"/>
                                    </w:rPr>
                                  </w:pPr>
                                  <w:r>
                                    <w:rPr>
                                      <w:rFonts w:ascii="Arial"/>
                                      <w:b/>
                                      <w:color w:val="FFFFFF"/>
                                      <w:spacing w:val="-2"/>
                                      <w:sz w:val="13"/>
                                    </w:rPr>
                                    <w:t>(71.134)</w:t>
                                  </w:r>
                                </w:p>
                                <w:p w14:paraId="4D48C7C8" w14:textId="77777777" w:rsidR="002C6574" w:rsidRDefault="00000000">
                                  <w:pPr>
                                    <w:pStyle w:val="TableParagraph"/>
                                    <w:spacing w:before="67"/>
                                    <w:ind w:left="94"/>
                                    <w:jc w:val="left"/>
                                    <w:rPr>
                                      <w:rFonts w:ascii="Arial"/>
                                      <w:b/>
                                      <w:sz w:val="13"/>
                                    </w:rPr>
                                  </w:pPr>
                                  <w:r>
                                    <w:rPr>
                                      <w:rFonts w:ascii="Arial"/>
                                      <w:b/>
                                      <w:color w:val="FFFFFF"/>
                                      <w:spacing w:val="-2"/>
                                      <w:sz w:val="13"/>
                                    </w:rPr>
                                    <w:t>(12.682)</w:t>
                                  </w:r>
                                </w:p>
                              </w:tc>
                            </w:tr>
                          </w:tbl>
                          <w:p w14:paraId="39B8027A" w14:textId="77777777" w:rsidR="002C6574" w:rsidRDefault="002C6574">
                            <w:pPr>
                              <w:pStyle w:val="Corpodetexto"/>
                            </w:pPr>
                          </w:p>
                        </w:txbxContent>
                      </wps:txbx>
                      <wps:bodyPr wrap="square" lIns="0" tIns="0" rIns="0" bIns="0" rtlCol="0">
                        <a:noAutofit/>
                      </wps:bodyPr>
                    </wps:wsp>
                  </a:graphicData>
                </a:graphic>
              </wp:anchor>
            </w:drawing>
          </mc:Choice>
          <mc:Fallback>
            <w:pict>
              <v:shape w14:anchorId="11A89C3F" id="Textbox 389" o:spid="_x0000_s1178" type="#_x0000_t202" style="position:absolute;left:0;text-align:left;margin-left:39.6pt;margin-top:18.2pt;width:324.45pt;height:204.8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4141"/>
                        <w:gridCol w:w="883"/>
                        <w:gridCol w:w="696"/>
                        <w:gridCol w:w="648"/>
                      </w:tblGrid>
                      <w:tr w:rsidR="002C6574" w14:paraId="24D1DDF4" w14:textId="77777777">
                        <w:trPr>
                          <w:trHeight w:val="216"/>
                        </w:trPr>
                        <w:tc>
                          <w:tcPr>
                            <w:tcW w:w="4141" w:type="dxa"/>
                            <w:shd w:val="clear" w:color="auto" w:fill="0000FF"/>
                          </w:tcPr>
                          <w:p w14:paraId="57F69B60" w14:textId="77777777" w:rsidR="002C6574" w:rsidRDefault="00000000">
                            <w:pPr>
                              <w:pStyle w:val="TableParagraph"/>
                              <w:spacing w:before="34"/>
                              <w:ind w:left="69"/>
                              <w:jc w:val="left"/>
                              <w:rPr>
                                <w:rFonts w:ascii="Arial"/>
                                <w:b/>
                                <w:sz w:val="13"/>
                              </w:rPr>
                            </w:pPr>
                            <w:r>
                              <w:rPr>
                                <w:rFonts w:ascii="Arial"/>
                                <w:b/>
                                <w:color w:val="FFFFFF"/>
                                <w:sz w:val="13"/>
                              </w:rPr>
                              <w:t>R$</w:t>
                            </w:r>
                            <w:r>
                              <w:rPr>
                                <w:rFonts w:ascii="Arial"/>
                                <w:b/>
                                <w:color w:val="FFFFFF"/>
                                <w:spacing w:val="-3"/>
                                <w:sz w:val="13"/>
                              </w:rPr>
                              <w:t xml:space="preserve"> </w:t>
                            </w:r>
                            <w:r>
                              <w:rPr>
                                <w:rFonts w:ascii="Arial"/>
                                <w:b/>
                                <w:color w:val="FFFFFF"/>
                                <w:spacing w:val="-5"/>
                                <w:sz w:val="13"/>
                              </w:rPr>
                              <w:t>mil</w:t>
                            </w:r>
                          </w:p>
                        </w:tc>
                        <w:tc>
                          <w:tcPr>
                            <w:tcW w:w="883" w:type="dxa"/>
                            <w:shd w:val="clear" w:color="auto" w:fill="0000FF"/>
                          </w:tcPr>
                          <w:p w14:paraId="2AB385B9" w14:textId="77777777" w:rsidR="002C6574" w:rsidRDefault="00000000">
                            <w:pPr>
                              <w:pStyle w:val="TableParagraph"/>
                              <w:spacing w:before="18" w:line="178" w:lineRule="exact"/>
                              <w:ind w:left="259"/>
                              <w:jc w:val="left"/>
                              <w:rPr>
                                <w:rFonts w:ascii="Arial"/>
                                <w:b/>
                                <w:sz w:val="16"/>
                              </w:rPr>
                            </w:pPr>
                            <w:r>
                              <w:rPr>
                                <w:rFonts w:ascii="Arial"/>
                                <w:b/>
                                <w:color w:val="FFFFFF"/>
                                <w:spacing w:val="-4"/>
                                <w:sz w:val="16"/>
                              </w:rPr>
                              <w:t>4T25</w:t>
                            </w:r>
                          </w:p>
                        </w:tc>
                        <w:tc>
                          <w:tcPr>
                            <w:tcW w:w="696" w:type="dxa"/>
                            <w:shd w:val="clear" w:color="auto" w:fill="0000FF"/>
                          </w:tcPr>
                          <w:p w14:paraId="441DC780" w14:textId="77777777" w:rsidR="002C6574" w:rsidRDefault="00000000">
                            <w:pPr>
                              <w:pStyle w:val="TableParagraph"/>
                              <w:spacing w:before="18" w:line="178" w:lineRule="exact"/>
                              <w:ind w:left="153"/>
                              <w:jc w:val="left"/>
                              <w:rPr>
                                <w:rFonts w:ascii="Arial"/>
                                <w:b/>
                                <w:sz w:val="16"/>
                              </w:rPr>
                            </w:pPr>
                            <w:r>
                              <w:rPr>
                                <w:rFonts w:ascii="Arial"/>
                                <w:b/>
                                <w:color w:val="FFFFFF"/>
                                <w:spacing w:val="-4"/>
                                <w:sz w:val="16"/>
                              </w:rPr>
                              <w:t>4T24</w:t>
                            </w:r>
                          </w:p>
                        </w:tc>
                        <w:tc>
                          <w:tcPr>
                            <w:tcW w:w="648" w:type="dxa"/>
                            <w:shd w:val="clear" w:color="auto" w:fill="0000FF"/>
                          </w:tcPr>
                          <w:p w14:paraId="457B434E" w14:textId="77777777" w:rsidR="002C6574" w:rsidRDefault="00000000">
                            <w:pPr>
                              <w:pStyle w:val="TableParagraph"/>
                              <w:spacing w:before="18" w:line="178" w:lineRule="exact"/>
                              <w:ind w:left="130"/>
                              <w:jc w:val="left"/>
                              <w:rPr>
                                <w:rFonts w:ascii="Arial"/>
                                <w:b/>
                                <w:sz w:val="16"/>
                              </w:rPr>
                            </w:pPr>
                            <w:r>
                              <w:rPr>
                                <w:rFonts w:ascii="Arial"/>
                                <w:b/>
                                <w:color w:val="FFFFFF"/>
                                <w:spacing w:val="-4"/>
                                <w:sz w:val="16"/>
                              </w:rPr>
                              <w:t>3T25</w:t>
                            </w:r>
                          </w:p>
                        </w:tc>
                      </w:tr>
                      <w:tr w:rsidR="002C6574" w14:paraId="656F3AB0" w14:textId="77777777">
                        <w:trPr>
                          <w:trHeight w:val="217"/>
                        </w:trPr>
                        <w:tc>
                          <w:tcPr>
                            <w:tcW w:w="4141" w:type="dxa"/>
                          </w:tcPr>
                          <w:p w14:paraId="223CB295" w14:textId="77777777" w:rsidR="002C6574" w:rsidRDefault="00000000">
                            <w:pPr>
                              <w:pStyle w:val="TableParagraph"/>
                              <w:spacing w:before="34"/>
                              <w:ind w:left="69"/>
                              <w:jc w:val="left"/>
                              <w:rPr>
                                <w:rFonts w:ascii="Arial"/>
                                <w:b/>
                                <w:sz w:val="13"/>
                              </w:rPr>
                            </w:pPr>
                            <w:r>
                              <w:rPr>
                                <w:rFonts w:ascii="Arial"/>
                                <w:b/>
                                <w:sz w:val="13"/>
                              </w:rPr>
                              <w:t>Receitas</w:t>
                            </w:r>
                            <w:r>
                              <w:rPr>
                                <w:rFonts w:ascii="Arial"/>
                                <w:b/>
                                <w:spacing w:val="-7"/>
                                <w:sz w:val="13"/>
                              </w:rPr>
                              <w:t xml:space="preserve"> </w:t>
                            </w:r>
                            <w:r>
                              <w:rPr>
                                <w:rFonts w:ascii="Arial"/>
                                <w:b/>
                                <w:spacing w:val="-2"/>
                                <w:sz w:val="13"/>
                              </w:rPr>
                              <w:t>Financeiras</w:t>
                            </w:r>
                          </w:p>
                        </w:tc>
                        <w:tc>
                          <w:tcPr>
                            <w:tcW w:w="883" w:type="dxa"/>
                            <w:shd w:val="clear" w:color="auto" w:fill="66FFFF"/>
                          </w:tcPr>
                          <w:p w14:paraId="0D9BC8E9" w14:textId="77777777" w:rsidR="002C6574" w:rsidRDefault="002C6574">
                            <w:pPr>
                              <w:pStyle w:val="TableParagraph"/>
                              <w:jc w:val="left"/>
                              <w:rPr>
                                <w:rFonts w:ascii="Times New Roman"/>
                                <w:sz w:val="14"/>
                              </w:rPr>
                            </w:pPr>
                          </w:p>
                        </w:tc>
                        <w:tc>
                          <w:tcPr>
                            <w:tcW w:w="696" w:type="dxa"/>
                          </w:tcPr>
                          <w:p w14:paraId="2C7750C3" w14:textId="77777777" w:rsidR="002C6574" w:rsidRDefault="002C6574">
                            <w:pPr>
                              <w:pStyle w:val="TableParagraph"/>
                              <w:jc w:val="left"/>
                              <w:rPr>
                                <w:rFonts w:ascii="Times New Roman"/>
                                <w:sz w:val="14"/>
                              </w:rPr>
                            </w:pPr>
                          </w:p>
                        </w:tc>
                        <w:tc>
                          <w:tcPr>
                            <w:tcW w:w="648" w:type="dxa"/>
                          </w:tcPr>
                          <w:p w14:paraId="78621291" w14:textId="77777777" w:rsidR="002C6574" w:rsidRDefault="002C6574">
                            <w:pPr>
                              <w:pStyle w:val="TableParagraph"/>
                              <w:jc w:val="left"/>
                              <w:rPr>
                                <w:rFonts w:ascii="Times New Roman"/>
                                <w:sz w:val="14"/>
                              </w:rPr>
                            </w:pPr>
                          </w:p>
                        </w:tc>
                      </w:tr>
                      <w:tr w:rsidR="002C6574" w14:paraId="5ABC152E" w14:textId="77777777">
                        <w:trPr>
                          <w:trHeight w:val="214"/>
                        </w:trPr>
                        <w:tc>
                          <w:tcPr>
                            <w:tcW w:w="4141" w:type="dxa"/>
                          </w:tcPr>
                          <w:p w14:paraId="772B4F12" w14:textId="77777777" w:rsidR="002C6574" w:rsidRDefault="00000000">
                            <w:pPr>
                              <w:pStyle w:val="TableParagraph"/>
                              <w:spacing w:before="29"/>
                              <w:ind w:left="69"/>
                              <w:jc w:val="left"/>
                              <w:rPr>
                                <w:rFonts w:ascii="Arial MT" w:hAnsi="Arial MT"/>
                                <w:sz w:val="13"/>
                              </w:rPr>
                            </w:pPr>
                            <w:r>
                              <w:rPr>
                                <w:rFonts w:ascii="Arial MT" w:hAnsi="Arial MT"/>
                                <w:sz w:val="13"/>
                              </w:rPr>
                              <w:t>Juros</w:t>
                            </w:r>
                            <w:r>
                              <w:rPr>
                                <w:rFonts w:ascii="Arial MT" w:hAnsi="Arial MT"/>
                                <w:spacing w:val="-7"/>
                                <w:sz w:val="13"/>
                              </w:rPr>
                              <w:t xml:space="preserve"> </w:t>
                            </w:r>
                            <w:r>
                              <w:rPr>
                                <w:rFonts w:ascii="Arial MT" w:hAnsi="Arial MT"/>
                                <w:sz w:val="13"/>
                              </w:rPr>
                              <w:t>sobre</w:t>
                            </w:r>
                            <w:r>
                              <w:rPr>
                                <w:rFonts w:ascii="Arial MT" w:hAnsi="Arial MT"/>
                                <w:spacing w:val="-6"/>
                                <w:sz w:val="13"/>
                              </w:rPr>
                              <w:t xml:space="preserve"> </w:t>
                            </w:r>
                            <w:r>
                              <w:rPr>
                                <w:rFonts w:ascii="Arial MT" w:hAnsi="Arial MT"/>
                                <w:sz w:val="13"/>
                              </w:rPr>
                              <w:t>Aplicações</w:t>
                            </w:r>
                            <w:r>
                              <w:rPr>
                                <w:rFonts w:ascii="Arial MT" w:hAnsi="Arial MT"/>
                                <w:spacing w:val="-6"/>
                                <w:sz w:val="13"/>
                              </w:rPr>
                              <w:t xml:space="preserve"> </w:t>
                            </w:r>
                            <w:r>
                              <w:rPr>
                                <w:rFonts w:ascii="Arial MT" w:hAnsi="Arial MT"/>
                                <w:spacing w:val="-2"/>
                                <w:sz w:val="13"/>
                              </w:rPr>
                              <w:t>Financeiras</w:t>
                            </w:r>
                          </w:p>
                        </w:tc>
                        <w:tc>
                          <w:tcPr>
                            <w:tcW w:w="883" w:type="dxa"/>
                            <w:shd w:val="clear" w:color="auto" w:fill="66FFFF"/>
                          </w:tcPr>
                          <w:p w14:paraId="53855D46" w14:textId="77777777" w:rsidR="002C6574" w:rsidRDefault="00000000">
                            <w:pPr>
                              <w:pStyle w:val="TableParagraph"/>
                              <w:spacing w:before="29"/>
                              <w:ind w:right="67"/>
                              <w:rPr>
                                <w:rFonts w:ascii="Arial MT"/>
                                <w:sz w:val="13"/>
                              </w:rPr>
                            </w:pPr>
                            <w:r>
                              <w:rPr>
                                <w:rFonts w:ascii="Arial MT"/>
                                <w:spacing w:val="-2"/>
                                <w:sz w:val="13"/>
                              </w:rPr>
                              <w:t>55.844</w:t>
                            </w:r>
                          </w:p>
                        </w:tc>
                        <w:tc>
                          <w:tcPr>
                            <w:tcW w:w="696" w:type="dxa"/>
                          </w:tcPr>
                          <w:p w14:paraId="3E582A76" w14:textId="77777777" w:rsidR="002C6574" w:rsidRDefault="00000000">
                            <w:pPr>
                              <w:pStyle w:val="TableParagraph"/>
                              <w:spacing w:before="29"/>
                              <w:ind w:right="91"/>
                              <w:rPr>
                                <w:rFonts w:ascii="Arial MT"/>
                                <w:sz w:val="13"/>
                              </w:rPr>
                            </w:pPr>
                            <w:r>
                              <w:rPr>
                                <w:rFonts w:ascii="Arial MT"/>
                                <w:spacing w:val="-2"/>
                                <w:sz w:val="13"/>
                              </w:rPr>
                              <w:t>27.813</w:t>
                            </w:r>
                          </w:p>
                        </w:tc>
                        <w:tc>
                          <w:tcPr>
                            <w:tcW w:w="648" w:type="dxa"/>
                          </w:tcPr>
                          <w:p w14:paraId="5761B726" w14:textId="77777777" w:rsidR="002C6574" w:rsidRDefault="00000000">
                            <w:pPr>
                              <w:pStyle w:val="TableParagraph"/>
                              <w:spacing w:before="29"/>
                              <w:ind w:right="67"/>
                              <w:rPr>
                                <w:rFonts w:ascii="Arial MT"/>
                                <w:sz w:val="13"/>
                              </w:rPr>
                            </w:pPr>
                            <w:r>
                              <w:rPr>
                                <w:rFonts w:ascii="Arial MT"/>
                                <w:spacing w:val="-2"/>
                                <w:sz w:val="13"/>
                              </w:rPr>
                              <w:t>50.070</w:t>
                            </w:r>
                          </w:p>
                        </w:tc>
                      </w:tr>
                      <w:tr w:rsidR="002C6574" w14:paraId="273A6580" w14:textId="77777777">
                        <w:trPr>
                          <w:trHeight w:val="215"/>
                        </w:trPr>
                        <w:tc>
                          <w:tcPr>
                            <w:tcW w:w="4141" w:type="dxa"/>
                          </w:tcPr>
                          <w:p w14:paraId="7C856085" w14:textId="77777777" w:rsidR="002C6574" w:rsidRDefault="00000000">
                            <w:pPr>
                              <w:pStyle w:val="TableParagraph"/>
                              <w:spacing w:before="31"/>
                              <w:ind w:left="69"/>
                              <w:jc w:val="left"/>
                              <w:rPr>
                                <w:rFonts w:ascii="Arial MT" w:hAnsi="Arial MT"/>
                                <w:sz w:val="13"/>
                              </w:rPr>
                            </w:pPr>
                            <w:r>
                              <w:rPr>
                                <w:rFonts w:ascii="Arial MT" w:hAnsi="Arial MT"/>
                                <w:sz w:val="13"/>
                              </w:rPr>
                              <w:t>Juros</w:t>
                            </w:r>
                            <w:r>
                              <w:rPr>
                                <w:rFonts w:ascii="Arial MT" w:hAnsi="Arial MT"/>
                                <w:spacing w:val="-9"/>
                                <w:sz w:val="13"/>
                              </w:rPr>
                              <w:t xml:space="preserve"> </w:t>
                            </w:r>
                            <w:r>
                              <w:rPr>
                                <w:rFonts w:ascii="Arial MT" w:hAnsi="Arial MT"/>
                                <w:sz w:val="13"/>
                              </w:rPr>
                              <w:t>sobre</w:t>
                            </w:r>
                            <w:r>
                              <w:rPr>
                                <w:rFonts w:ascii="Arial MT" w:hAnsi="Arial MT"/>
                                <w:spacing w:val="-9"/>
                                <w:sz w:val="13"/>
                              </w:rPr>
                              <w:t xml:space="preserve"> </w:t>
                            </w:r>
                            <w:r>
                              <w:rPr>
                                <w:rFonts w:ascii="Arial MT" w:hAnsi="Arial MT"/>
                                <w:sz w:val="13"/>
                              </w:rPr>
                              <w:t>Superavit</w:t>
                            </w:r>
                            <w:r>
                              <w:rPr>
                                <w:rFonts w:ascii="Arial MT" w:hAnsi="Arial MT"/>
                                <w:spacing w:val="-9"/>
                                <w:sz w:val="13"/>
                              </w:rPr>
                              <w:t xml:space="preserve"> </w:t>
                            </w:r>
                            <w:r>
                              <w:rPr>
                                <w:rFonts w:ascii="Arial MT" w:hAnsi="Arial MT"/>
                                <w:sz w:val="13"/>
                              </w:rPr>
                              <w:t>Previdência</w:t>
                            </w:r>
                            <w:r>
                              <w:rPr>
                                <w:rFonts w:ascii="Arial MT" w:hAnsi="Arial MT"/>
                                <w:spacing w:val="-8"/>
                                <w:sz w:val="13"/>
                              </w:rPr>
                              <w:t xml:space="preserve"> </w:t>
                            </w:r>
                            <w:r>
                              <w:rPr>
                                <w:rFonts w:ascii="Arial MT" w:hAnsi="Arial MT"/>
                                <w:spacing w:val="-2"/>
                                <w:sz w:val="13"/>
                              </w:rPr>
                              <w:t>Privada</w:t>
                            </w:r>
                          </w:p>
                        </w:tc>
                        <w:tc>
                          <w:tcPr>
                            <w:tcW w:w="883" w:type="dxa"/>
                            <w:shd w:val="clear" w:color="auto" w:fill="66FFFF"/>
                          </w:tcPr>
                          <w:p w14:paraId="23D4D437" w14:textId="77777777" w:rsidR="002C6574" w:rsidRDefault="00000000">
                            <w:pPr>
                              <w:pStyle w:val="TableParagraph"/>
                              <w:spacing w:before="31"/>
                              <w:ind w:right="67"/>
                              <w:rPr>
                                <w:rFonts w:ascii="Arial MT"/>
                                <w:sz w:val="13"/>
                              </w:rPr>
                            </w:pPr>
                            <w:r>
                              <w:rPr>
                                <w:rFonts w:ascii="Arial MT"/>
                                <w:spacing w:val="-2"/>
                                <w:sz w:val="13"/>
                              </w:rPr>
                              <w:t>3.838</w:t>
                            </w:r>
                          </w:p>
                        </w:tc>
                        <w:tc>
                          <w:tcPr>
                            <w:tcW w:w="696" w:type="dxa"/>
                          </w:tcPr>
                          <w:p w14:paraId="36DE0C3C" w14:textId="77777777" w:rsidR="002C6574" w:rsidRDefault="00000000">
                            <w:pPr>
                              <w:pStyle w:val="TableParagraph"/>
                              <w:spacing w:before="31"/>
                              <w:ind w:right="92"/>
                              <w:rPr>
                                <w:rFonts w:ascii="Arial MT"/>
                                <w:sz w:val="13"/>
                              </w:rPr>
                            </w:pPr>
                            <w:r>
                              <w:rPr>
                                <w:rFonts w:ascii="Arial MT"/>
                                <w:spacing w:val="-5"/>
                                <w:sz w:val="13"/>
                              </w:rPr>
                              <w:t>615</w:t>
                            </w:r>
                          </w:p>
                        </w:tc>
                        <w:tc>
                          <w:tcPr>
                            <w:tcW w:w="648" w:type="dxa"/>
                          </w:tcPr>
                          <w:p w14:paraId="7F8833DB" w14:textId="77777777" w:rsidR="002C6574" w:rsidRDefault="00000000">
                            <w:pPr>
                              <w:pStyle w:val="TableParagraph"/>
                              <w:spacing w:before="31"/>
                              <w:ind w:right="67"/>
                              <w:rPr>
                                <w:rFonts w:ascii="Arial MT"/>
                                <w:sz w:val="13"/>
                              </w:rPr>
                            </w:pPr>
                            <w:r>
                              <w:rPr>
                                <w:rFonts w:ascii="Arial MT"/>
                                <w:spacing w:val="-2"/>
                                <w:sz w:val="13"/>
                              </w:rPr>
                              <w:t>4.205</w:t>
                            </w:r>
                          </w:p>
                        </w:tc>
                      </w:tr>
                      <w:tr w:rsidR="002C6574" w14:paraId="79A57ADD" w14:textId="77777777">
                        <w:trPr>
                          <w:trHeight w:val="215"/>
                        </w:trPr>
                        <w:tc>
                          <w:tcPr>
                            <w:tcW w:w="4141" w:type="dxa"/>
                          </w:tcPr>
                          <w:p w14:paraId="0654AC9B" w14:textId="77777777" w:rsidR="002C6574" w:rsidRDefault="00000000">
                            <w:pPr>
                              <w:pStyle w:val="TableParagraph"/>
                              <w:spacing w:before="30"/>
                              <w:ind w:left="69"/>
                              <w:jc w:val="left"/>
                              <w:rPr>
                                <w:rFonts w:ascii="Arial MT"/>
                                <w:sz w:val="13"/>
                              </w:rPr>
                            </w:pPr>
                            <w:r>
                              <w:rPr>
                                <w:rFonts w:ascii="Arial MT"/>
                                <w:sz w:val="13"/>
                              </w:rPr>
                              <w:t>Juros</w:t>
                            </w:r>
                            <w:r>
                              <w:rPr>
                                <w:rFonts w:ascii="Arial MT"/>
                                <w:spacing w:val="-7"/>
                                <w:sz w:val="13"/>
                              </w:rPr>
                              <w:t xml:space="preserve"> </w:t>
                            </w:r>
                            <w:r>
                              <w:rPr>
                                <w:rFonts w:ascii="Arial MT"/>
                                <w:sz w:val="13"/>
                              </w:rPr>
                              <w:t>sobre</w:t>
                            </w:r>
                            <w:r>
                              <w:rPr>
                                <w:rFonts w:ascii="Arial MT"/>
                                <w:spacing w:val="-6"/>
                                <w:sz w:val="13"/>
                              </w:rPr>
                              <w:t xml:space="preserve"> </w:t>
                            </w:r>
                            <w:r>
                              <w:rPr>
                                <w:rFonts w:ascii="Arial MT"/>
                                <w:spacing w:val="-2"/>
                                <w:sz w:val="13"/>
                              </w:rPr>
                              <w:t>Tributos</w:t>
                            </w:r>
                          </w:p>
                        </w:tc>
                        <w:tc>
                          <w:tcPr>
                            <w:tcW w:w="883" w:type="dxa"/>
                            <w:shd w:val="clear" w:color="auto" w:fill="66FFFF"/>
                          </w:tcPr>
                          <w:p w14:paraId="796E6642" w14:textId="77777777" w:rsidR="002C6574" w:rsidRDefault="00000000">
                            <w:pPr>
                              <w:pStyle w:val="TableParagraph"/>
                              <w:spacing w:before="30"/>
                              <w:ind w:right="67"/>
                              <w:rPr>
                                <w:rFonts w:ascii="Arial MT"/>
                                <w:sz w:val="13"/>
                              </w:rPr>
                            </w:pPr>
                            <w:r>
                              <w:rPr>
                                <w:rFonts w:ascii="Arial MT"/>
                                <w:spacing w:val="-2"/>
                                <w:sz w:val="13"/>
                              </w:rPr>
                              <w:t>2.962</w:t>
                            </w:r>
                          </w:p>
                        </w:tc>
                        <w:tc>
                          <w:tcPr>
                            <w:tcW w:w="696" w:type="dxa"/>
                          </w:tcPr>
                          <w:p w14:paraId="1B55FBC6" w14:textId="77777777" w:rsidR="002C6574" w:rsidRDefault="00000000">
                            <w:pPr>
                              <w:pStyle w:val="TableParagraph"/>
                              <w:spacing w:before="30"/>
                              <w:ind w:right="91"/>
                              <w:rPr>
                                <w:rFonts w:ascii="Arial MT"/>
                                <w:sz w:val="13"/>
                              </w:rPr>
                            </w:pPr>
                            <w:r>
                              <w:rPr>
                                <w:rFonts w:ascii="Arial MT"/>
                                <w:spacing w:val="-2"/>
                                <w:sz w:val="13"/>
                              </w:rPr>
                              <w:t>2.228</w:t>
                            </w:r>
                          </w:p>
                        </w:tc>
                        <w:tc>
                          <w:tcPr>
                            <w:tcW w:w="648" w:type="dxa"/>
                          </w:tcPr>
                          <w:p w14:paraId="4CA88FE7" w14:textId="77777777" w:rsidR="002C6574" w:rsidRDefault="00000000">
                            <w:pPr>
                              <w:pStyle w:val="TableParagraph"/>
                              <w:spacing w:before="30"/>
                              <w:ind w:right="67"/>
                              <w:rPr>
                                <w:rFonts w:ascii="Arial MT"/>
                                <w:sz w:val="13"/>
                              </w:rPr>
                            </w:pPr>
                            <w:r>
                              <w:rPr>
                                <w:rFonts w:ascii="Arial MT"/>
                                <w:spacing w:val="-2"/>
                                <w:sz w:val="13"/>
                              </w:rPr>
                              <w:t>5.747</w:t>
                            </w:r>
                          </w:p>
                        </w:tc>
                      </w:tr>
                      <w:tr w:rsidR="002C6574" w14:paraId="18F0C3B2" w14:textId="77777777">
                        <w:trPr>
                          <w:trHeight w:val="215"/>
                        </w:trPr>
                        <w:tc>
                          <w:tcPr>
                            <w:tcW w:w="4141" w:type="dxa"/>
                          </w:tcPr>
                          <w:p w14:paraId="5C676A58" w14:textId="77777777" w:rsidR="002C6574" w:rsidRDefault="00000000">
                            <w:pPr>
                              <w:pStyle w:val="TableParagraph"/>
                              <w:spacing w:before="31"/>
                              <w:ind w:left="69"/>
                              <w:jc w:val="left"/>
                              <w:rPr>
                                <w:rFonts w:ascii="Arial MT" w:hAnsi="Arial MT"/>
                                <w:sz w:val="13"/>
                              </w:rPr>
                            </w:pPr>
                            <w:r>
                              <w:rPr>
                                <w:rFonts w:ascii="Arial MT" w:hAnsi="Arial MT"/>
                                <w:sz w:val="13"/>
                              </w:rPr>
                              <w:t>Juros</w:t>
                            </w:r>
                            <w:r>
                              <w:rPr>
                                <w:rFonts w:ascii="Arial MT" w:hAnsi="Arial MT"/>
                                <w:spacing w:val="-7"/>
                                <w:sz w:val="13"/>
                              </w:rPr>
                              <w:t xml:space="preserve"> </w:t>
                            </w:r>
                            <w:r>
                              <w:rPr>
                                <w:rFonts w:ascii="Arial MT" w:hAnsi="Arial MT"/>
                                <w:sz w:val="13"/>
                              </w:rPr>
                              <w:t>sobre</w:t>
                            </w:r>
                            <w:r>
                              <w:rPr>
                                <w:rFonts w:ascii="Arial MT" w:hAnsi="Arial MT"/>
                                <w:spacing w:val="-7"/>
                                <w:sz w:val="13"/>
                              </w:rPr>
                              <w:t xml:space="preserve"> </w:t>
                            </w:r>
                            <w:r>
                              <w:rPr>
                                <w:rFonts w:ascii="Arial MT" w:hAnsi="Arial MT"/>
                                <w:sz w:val="13"/>
                              </w:rPr>
                              <w:t>Depósitos</w:t>
                            </w:r>
                            <w:r>
                              <w:rPr>
                                <w:rFonts w:ascii="Arial MT" w:hAnsi="Arial MT"/>
                                <w:spacing w:val="-7"/>
                                <w:sz w:val="13"/>
                              </w:rPr>
                              <w:t xml:space="preserve"> </w:t>
                            </w:r>
                            <w:r>
                              <w:rPr>
                                <w:rFonts w:ascii="Arial MT" w:hAnsi="Arial MT"/>
                                <w:spacing w:val="-2"/>
                                <w:sz w:val="13"/>
                              </w:rPr>
                              <w:t>Judiciais</w:t>
                            </w:r>
                          </w:p>
                        </w:tc>
                        <w:tc>
                          <w:tcPr>
                            <w:tcW w:w="883" w:type="dxa"/>
                            <w:shd w:val="clear" w:color="auto" w:fill="66FFFF"/>
                          </w:tcPr>
                          <w:p w14:paraId="066787C4" w14:textId="77777777" w:rsidR="002C6574" w:rsidRDefault="00000000">
                            <w:pPr>
                              <w:pStyle w:val="TableParagraph"/>
                              <w:spacing w:before="31"/>
                              <w:ind w:right="67"/>
                              <w:rPr>
                                <w:rFonts w:ascii="Arial MT"/>
                                <w:sz w:val="13"/>
                              </w:rPr>
                            </w:pPr>
                            <w:r>
                              <w:rPr>
                                <w:rFonts w:ascii="Arial MT"/>
                                <w:spacing w:val="-2"/>
                                <w:sz w:val="13"/>
                              </w:rPr>
                              <w:t>1.176</w:t>
                            </w:r>
                          </w:p>
                        </w:tc>
                        <w:tc>
                          <w:tcPr>
                            <w:tcW w:w="696" w:type="dxa"/>
                          </w:tcPr>
                          <w:p w14:paraId="4CD01CDB" w14:textId="77777777" w:rsidR="002C6574" w:rsidRDefault="00000000">
                            <w:pPr>
                              <w:pStyle w:val="TableParagraph"/>
                              <w:spacing w:before="31"/>
                              <w:ind w:right="92"/>
                              <w:rPr>
                                <w:rFonts w:ascii="Arial MT"/>
                                <w:sz w:val="13"/>
                              </w:rPr>
                            </w:pPr>
                            <w:r>
                              <w:rPr>
                                <w:rFonts w:ascii="Arial MT"/>
                                <w:spacing w:val="-5"/>
                                <w:sz w:val="13"/>
                              </w:rPr>
                              <w:t>955</w:t>
                            </w:r>
                          </w:p>
                        </w:tc>
                        <w:tc>
                          <w:tcPr>
                            <w:tcW w:w="648" w:type="dxa"/>
                          </w:tcPr>
                          <w:p w14:paraId="66EFCF4E" w14:textId="77777777" w:rsidR="002C6574" w:rsidRDefault="00000000">
                            <w:pPr>
                              <w:pStyle w:val="TableParagraph"/>
                              <w:spacing w:before="31"/>
                              <w:ind w:right="67"/>
                              <w:rPr>
                                <w:rFonts w:ascii="Arial MT"/>
                                <w:sz w:val="13"/>
                              </w:rPr>
                            </w:pPr>
                            <w:r>
                              <w:rPr>
                                <w:rFonts w:ascii="Arial MT"/>
                                <w:spacing w:val="-2"/>
                                <w:sz w:val="13"/>
                              </w:rPr>
                              <w:t>1.174</w:t>
                            </w:r>
                          </w:p>
                        </w:tc>
                      </w:tr>
                      <w:tr w:rsidR="002C6574" w14:paraId="5B7EE086" w14:textId="77777777">
                        <w:trPr>
                          <w:trHeight w:val="214"/>
                        </w:trPr>
                        <w:tc>
                          <w:tcPr>
                            <w:tcW w:w="4141" w:type="dxa"/>
                          </w:tcPr>
                          <w:p w14:paraId="67904DC4" w14:textId="77777777" w:rsidR="002C6574" w:rsidRDefault="00000000">
                            <w:pPr>
                              <w:pStyle w:val="TableParagraph"/>
                              <w:spacing w:before="31"/>
                              <w:ind w:left="69"/>
                              <w:jc w:val="left"/>
                              <w:rPr>
                                <w:rFonts w:ascii="Arial MT"/>
                                <w:sz w:val="13"/>
                              </w:rPr>
                            </w:pPr>
                            <w:r>
                              <w:rPr>
                                <w:rFonts w:ascii="Arial MT"/>
                                <w:sz w:val="13"/>
                              </w:rPr>
                              <w:t>Descontos</w:t>
                            </w:r>
                            <w:r>
                              <w:rPr>
                                <w:rFonts w:ascii="Arial MT"/>
                                <w:spacing w:val="-7"/>
                                <w:sz w:val="13"/>
                              </w:rPr>
                              <w:t xml:space="preserve"> </w:t>
                            </w:r>
                            <w:r>
                              <w:rPr>
                                <w:rFonts w:ascii="Arial MT"/>
                                <w:sz w:val="13"/>
                              </w:rPr>
                              <w:t>Financeiros</w:t>
                            </w:r>
                            <w:r>
                              <w:rPr>
                                <w:rFonts w:ascii="Arial MT"/>
                                <w:spacing w:val="-6"/>
                                <w:sz w:val="13"/>
                              </w:rPr>
                              <w:t xml:space="preserve"> </w:t>
                            </w:r>
                            <w:r>
                              <w:rPr>
                                <w:rFonts w:ascii="Arial MT"/>
                                <w:sz w:val="13"/>
                              </w:rPr>
                              <w:t>sobre</w:t>
                            </w:r>
                            <w:r>
                              <w:rPr>
                                <w:rFonts w:ascii="Arial MT"/>
                                <w:spacing w:val="-6"/>
                                <w:sz w:val="13"/>
                              </w:rPr>
                              <w:t xml:space="preserve"> </w:t>
                            </w:r>
                            <w:r>
                              <w:rPr>
                                <w:rFonts w:ascii="Arial MT"/>
                                <w:spacing w:val="-2"/>
                                <w:sz w:val="13"/>
                              </w:rPr>
                              <w:t>Passivos</w:t>
                            </w:r>
                          </w:p>
                        </w:tc>
                        <w:tc>
                          <w:tcPr>
                            <w:tcW w:w="883" w:type="dxa"/>
                            <w:shd w:val="clear" w:color="auto" w:fill="66FFFF"/>
                          </w:tcPr>
                          <w:p w14:paraId="26044AB2" w14:textId="77777777" w:rsidR="002C6574" w:rsidRDefault="00000000">
                            <w:pPr>
                              <w:pStyle w:val="TableParagraph"/>
                              <w:spacing w:before="31"/>
                              <w:ind w:right="67"/>
                              <w:rPr>
                                <w:rFonts w:ascii="Arial MT"/>
                                <w:sz w:val="13"/>
                              </w:rPr>
                            </w:pPr>
                            <w:r>
                              <w:rPr>
                                <w:rFonts w:ascii="Arial MT"/>
                                <w:spacing w:val="-2"/>
                                <w:sz w:val="13"/>
                              </w:rPr>
                              <w:t>2.808</w:t>
                            </w:r>
                          </w:p>
                        </w:tc>
                        <w:tc>
                          <w:tcPr>
                            <w:tcW w:w="696" w:type="dxa"/>
                          </w:tcPr>
                          <w:p w14:paraId="0DB25720" w14:textId="77777777" w:rsidR="002C6574" w:rsidRDefault="00000000">
                            <w:pPr>
                              <w:pStyle w:val="TableParagraph"/>
                              <w:spacing w:before="31"/>
                              <w:ind w:right="91"/>
                              <w:rPr>
                                <w:rFonts w:ascii="Arial MT"/>
                                <w:sz w:val="13"/>
                              </w:rPr>
                            </w:pPr>
                            <w:r>
                              <w:rPr>
                                <w:rFonts w:ascii="Arial MT"/>
                                <w:spacing w:val="-10"/>
                                <w:sz w:val="13"/>
                              </w:rPr>
                              <w:t>-</w:t>
                            </w:r>
                          </w:p>
                        </w:tc>
                        <w:tc>
                          <w:tcPr>
                            <w:tcW w:w="648" w:type="dxa"/>
                          </w:tcPr>
                          <w:p w14:paraId="0DC50C8B" w14:textId="77777777" w:rsidR="002C6574" w:rsidRDefault="00000000">
                            <w:pPr>
                              <w:pStyle w:val="TableParagraph"/>
                              <w:spacing w:before="31"/>
                              <w:ind w:right="67"/>
                              <w:rPr>
                                <w:rFonts w:ascii="Arial MT"/>
                                <w:sz w:val="13"/>
                              </w:rPr>
                            </w:pPr>
                            <w:r>
                              <w:rPr>
                                <w:rFonts w:ascii="Arial MT"/>
                                <w:spacing w:val="-10"/>
                                <w:sz w:val="13"/>
                              </w:rPr>
                              <w:t>-</w:t>
                            </w:r>
                          </w:p>
                        </w:tc>
                      </w:tr>
                      <w:tr w:rsidR="002C6574" w14:paraId="6B239891" w14:textId="77777777">
                        <w:trPr>
                          <w:trHeight w:val="214"/>
                        </w:trPr>
                        <w:tc>
                          <w:tcPr>
                            <w:tcW w:w="4141" w:type="dxa"/>
                          </w:tcPr>
                          <w:p w14:paraId="2D785F14" w14:textId="77777777" w:rsidR="002C6574" w:rsidRDefault="00000000">
                            <w:pPr>
                              <w:pStyle w:val="TableParagraph"/>
                              <w:spacing w:before="29"/>
                              <w:ind w:left="69"/>
                              <w:jc w:val="left"/>
                              <w:rPr>
                                <w:rFonts w:ascii="Arial MT"/>
                                <w:sz w:val="13"/>
                              </w:rPr>
                            </w:pPr>
                            <w:r>
                              <w:rPr>
                                <w:rFonts w:ascii="Arial MT"/>
                                <w:spacing w:val="-2"/>
                                <w:sz w:val="13"/>
                              </w:rPr>
                              <w:t>Outras</w:t>
                            </w:r>
                            <w:r>
                              <w:rPr>
                                <w:rFonts w:ascii="Arial MT"/>
                                <w:spacing w:val="2"/>
                                <w:sz w:val="13"/>
                              </w:rPr>
                              <w:t xml:space="preserve"> </w:t>
                            </w:r>
                            <w:r>
                              <w:rPr>
                                <w:rFonts w:ascii="Arial MT"/>
                                <w:spacing w:val="-2"/>
                                <w:sz w:val="13"/>
                              </w:rPr>
                              <w:t>Receitas</w:t>
                            </w:r>
                            <w:r>
                              <w:rPr>
                                <w:rFonts w:ascii="Arial MT"/>
                                <w:spacing w:val="6"/>
                                <w:sz w:val="13"/>
                              </w:rPr>
                              <w:t xml:space="preserve"> </w:t>
                            </w:r>
                            <w:r>
                              <w:rPr>
                                <w:rFonts w:ascii="Arial MT"/>
                                <w:spacing w:val="-2"/>
                                <w:sz w:val="13"/>
                              </w:rPr>
                              <w:t>Financeiras</w:t>
                            </w:r>
                          </w:p>
                        </w:tc>
                        <w:tc>
                          <w:tcPr>
                            <w:tcW w:w="883" w:type="dxa"/>
                            <w:shd w:val="clear" w:color="auto" w:fill="66FFFF"/>
                          </w:tcPr>
                          <w:p w14:paraId="7DE45967" w14:textId="77777777" w:rsidR="002C6574" w:rsidRDefault="00000000">
                            <w:pPr>
                              <w:pStyle w:val="TableParagraph"/>
                              <w:spacing w:before="29"/>
                              <w:ind w:right="67"/>
                              <w:rPr>
                                <w:rFonts w:ascii="Arial MT"/>
                                <w:sz w:val="13"/>
                              </w:rPr>
                            </w:pPr>
                            <w:r>
                              <w:rPr>
                                <w:rFonts w:ascii="Arial MT"/>
                                <w:spacing w:val="-5"/>
                                <w:sz w:val="13"/>
                              </w:rPr>
                              <w:t>17</w:t>
                            </w:r>
                          </w:p>
                        </w:tc>
                        <w:tc>
                          <w:tcPr>
                            <w:tcW w:w="696" w:type="dxa"/>
                          </w:tcPr>
                          <w:p w14:paraId="3C46CE23" w14:textId="77777777" w:rsidR="002C6574" w:rsidRDefault="00000000">
                            <w:pPr>
                              <w:pStyle w:val="TableParagraph"/>
                              <w:spacing w:before="29"/>
                              <w:ind w:right="92"/>
                              <w:rPr>
                                <w:rFonts w:ascii="Arial MT"/>
                                <w:sz w:val="13"/>
                              </w:rPr>
                            </w:pPr>
                            <w:r>
                              <w:rPr>
                                <w:rFonts w:ascii="Arial MT"/>
                                <w:spacing w:val="-5"/>
                                <w:sz w:val="13"/>
                              </w:rPr>
                              <w:t>35</w:t>
                            </w:r>
                          </w:p>
                        </w:tc>
                        <w:tc>
                          <w:tcPr>
                            <w:tcW w:w="648" w:type="dxa"/>
                          </w:tcPr>
                          <w:p w14:paraId="035EE92A" w14:textId="77777777" w:rsidR="002C6574" w:rsidRDefault="00000000">
                            <w:pPr>
                              <w:pStyle w:val="TableParagraph"/>
                              <w:spacing w:before="29"/>
                              <w:ind w:right="68"/>
                              <w:rPr>
                                <w:rFonts w:ascii="Arial MT"/>
                                <w:sz w:val="13"/>
                              </w:rPr>
                            </w:pPr>
                            <w:r>
                              <w:rPr>
                                <w:rFonts w:ascii="Arial MT"/>
                                <w:spacing w:val="-5"/>
                                <w:sz w:val="13"/>
                              </w:rPr>
                              <w:t>49</w:t>
                            </w:r>
                          </w:p>
                        </w:tc>
                      </w:tr>
                      <w:tr w:rsidR="002C6574" w14:paraId="1F27F932" w14:textId="77777777">
                        <w:trPr>
                          <w:trHeight w:val="212"/>
                        </w:trPr>
                        <w:tc>
                          <w:tcPr>
                            <w:tcW w:w="4141" w:type="dxa"/>
                          </w:tcPr>
                          <w:p w14:paraId="4FA0E83D" w14:textId="77777777" w:rsidR="002C6574" w:rsidRDefault="00000000">
                            <w:pPr>
                              <w:pStyle w:val="TableParagraph"/>
                              <w:spacing w:before="31"/>
                              <w:ind w:left="69"/>
                              <w:jc w:val="left"/>
                              <w:rPr>
                                <w:rFonts w:ascii="Arial MT"/>
                                <w:sz w:val="13"/>
                              </w:rPr>
                            </w:pPr>
                            <w:r>
                              <w:rPr>
                                <w:rFonts w:ascii="Arial MT"/>
                                <w:sz w:val="13"/>
                              </w:rPr>
                              <w:t>Tributos</w:t>
                            </w:r>
                            <w:r>
                              <w:rPr>
                                <w:rFonts w:ascii="Arial MT"/>
                                <w:spacing w:val="-7"/>
                                <w:sz w:val="13"/>
                              </w:rPr>
                              <w:t xml:space="preserve"> </w:t>
                            </w:r>
                            <w:r>
                              <w:rPr>
                                <w:rFonts w:ascii="Arial MT"/>
                                <w:sz w:val="13"/>
                              </w:rPr>
                              <w:t>sobre</w:t>
                            </w:r>
                            <w:r>
                              <w:rPr>
                                <w:rFonts w:ascii="Arial MT"/>
                                <w:spacing w:val="-5"/>
                                <w:sz w:val="13"/>
                              </w:rPr>
                              <w:t xml:space="preserve"> </w:t>
                            </w:r>
                            <w:r>
                              <w:rPr>
                                <w:rFonts w:ascii="Arial MT"/>
                                <w:sz w:val="13"/>
                              </w:rPr>
                              <w:t>Receitas</w:t>
                            </w:r>
                            <w:r>
                              <w:rPr>
                                <w:rFonts w:ascii="Arial MT"/>
                                <w:spacing w:val="-5"/>
                                <w:sz w:val="13"/>
                              </w:rPr>
                              <w:t xml:space="preserve"> </w:t>
                            </w:r>
                            <w:r>
                              <w:rPr>
                                <w:rFonts w:ascii="Arial MT"/>
                                <w:spacing w:val="-2"/>
                                <w:sz w:val="13"/>
                              </w:rPr>
                              <w:t>Financeiras</w:t>
                            </w:r>
                          </w:p>
                        </w:tc>
                        <w:tc>
                          <w:tcPr>
                            <w:tcW w:w="883" w:type="dxa"/>
                            <w:shd w:val="clear" w:color="auto" w:fill="66FFFF"/>
                          </w:tcPr>
                          <w:p w14:paraId="6AFA45D9" w14:textId="77777777" w:rsidR="002C6574" w:rsidRDefault="00000000">
                            <w:pPr>
                              <w:pStyle w:val="TableParagraph"/>
                              <w:spacing w:before="31"/>
                              <w:ind w:right="69"/>
                              <w:rPr>
                                <w:rFonts w:ascii="Arial MT"/>
                                <w:sz w:val="13"/>
                              </w:rPr>
                            </w:pPr>
                            <w:r>
                              <w:rPr>
                                <w:rFonts w:ascii="Arial MT"/>
                                <w:spacing w:val="-2"/>
                                <w:sz w:val="13"/>
                              </w:rPr>
                              <w:t>(3.045)</w:t>
                            </w:r>
                          </w:p>
                        </w:tc>
                        <w:tc>
                          <w:tcPr>
                            <w:tcW w:w="696" w:type="dxa"/>
                          </w:tcPr>
                          <w:p w14:paraId="1E567FEF" w14:textId="77777777" w:rsidR="002C6574" w:rsidRDefault="00000000">
                            <w:pPr>
                              <w:pStyle w:val="TableParagraph"/>
                              <w:spacing w:before="31"/>
                              <w:ind w:right="93"/>
                              <w:rPr>
                                <w:rFonts w:ascii="Arial MT"/>
                                <w:sz w:val="13"/>
                              </w:rPr>
                            </w:pPr>
                            <w:r>
                              <w:rPr>
                                <w:rFonts w:ascii="Arial MT"/>
                                <w:spacing w:val="-2"/>
                                <w:sz w:val="13"/>
                              </w:rPr>
                              <w:t>(1.427)</w:t>
                            </w:r>
                          </w:p>
                        </w:tc>
                        <w:tc>
                          <w:tcPr>
                            <w:tcW w:w="648" w:type="dxa"/>
                          </w:tcPr>
                          <w:p w14:paraId="7776AF17" w14:textId="77777777" w:rsidR="002C6574" w:rsidRDefault="00000000">
                            <w:pPr>
                              <w:pStyle w:val="TableParagraph"/>
                              <w:spacing w:before="31"/>
                              <w:ind w:right="69"/>
                              <w:rPr>
                                <w:rFonts w:ascii="Arial MT"/>
                                <w:sz w:val="13"/>
                              </w:rPr>
                            </w:pPr>
                            <w:r>
                              <w:rPr>
                                <w:rFonts w:ascii="Arial MT"/>
                                <w:spacing w:val="-2"/>
                                <w:sz w:val="13"/>
                              </w:rPr>
                              <w:t>(2.793)</w:t>
                            </w:r>
                          </w:p>
                        </w:tc>
                      </w:tr>
                      <w:tr w:rsidR="002C6574" w14:paraId="1308AD92" w14:textId="77777777">
                        <w:trPr>
                          <w:trHeight w:val="213"/>
                        </w:trPr>
                        <w:tc>
                          <w:tcPr>
                            <w:tcW w:w="4141" w:type="dxa"/>
                            <w:tcBorders>
                              <w:bottom w:val="single" w:sz="8" w:space="0" w:color="D9E0F1"/>
                            </w:tcBorders>
                            <w:shd w:val="clear" w:color="auto" w:fill="0000FF"/>
                          </w:tcPr>
                          <w:p w14:paraId="5B8FC61C" w14:textId="77777777" w:rsidR="002C6574" w:rsidRDefault="00000000">
                            <w:pPr>
                              <w:pStyle w:val="TableParagraph"/>
                              <w:spacing w:before="31"/>
                              <w:ind w:left="69"/>
                              <w:jc w:val="left"/>
                              <w:rPr>
                                <w:rFonts w:ascii="Arial"/>
                                <w:b/>
                                <w:sz w:val="13"/>
                              </w:rPr>
                            </w:pPr>
                            <w:r>
                              <w:rPr>
                                <w:rFonts w:ascii="Arial"/>
                                <w:b/>
                                <w:color w:val="FFFFFF"/>
                                <w:spacing w:val="-2"/>
                                <w:sz w:val="13"/>
                              </w:rPr>
                              <w:t>Total</w:t>
                            </w:r>
                          </w:p>
                        </w:tc>
                        <w:tc>
                          <w:tcPr>
                            <w:tcW w:w="883" w:type="dxa"/>
                            <w:shd w:val="clear" w:color="auto" w:fill="0000FF"/>
                          </w:tcPr>
                          <w:p w14:paraId="35AFFCEF" w14:textId="77777777" w:rsidR="002C6574" w:rsidRDefault="00000000">
                            <w:pPr>
                              <w:pStyle w:val="TableParagraph"/>
                              <w:spacing w:before="31"/>
                              <w:ind w:right="67"/>
                              <w:rPr>
                                <w:rFonts w:ascii="Arial"/>
                                <w:b/>
                                <w:sz w:val="13"/>
                              </w:rPr>
                            </w:pPr>
                            <w:r>
                              <w:rPr>
                                <w:rFonts w:ascii="Arial"/>
                                <w:b/>
                                <w:color w:val="FFFFFF"/>
                                <w:spacing w:val="-2"/>
                                <w:sz w:val="13"/>
                              </w:rPr>
                              <w:t>63.600</w:t>
                            </w:r>
                          </w:p>
                        </w:tc>
                        <w:tc>
                          <w:tcPr>
                            <w:tcW w:w="696" w:type="dxa"/>
                            <w:shd w:val="clear" w:color="auto" w:fill="0000FF"/>
                          </w:tcPr>
                          <w:p w14:paraId="3B8731B8" w14:textId="77777777" w:rsidR="002C6574" w:rsidRDefault="00000000">
                            <w:pPr>
                              <w:pStyle w:val="TableParagraph"/>
                              <w:spacing w:before="31"/>
                              <w:ind w:right="91"/>
                              <w:rPr>
                                <w:rFonts w:ascii="Arial"/>
                                <w:b/>
                                <w:sz w:val="13"/>
                              </w:rPr>
                            </w:pPr>
                            <w:r>
                              <w:rPr>
                                <w:rFonts w:ascii="Arial"/>
                                <w:b/>
                                <w:color w:val="FFFFFF"/>
                                <w:spacing w:val="-2"/>
                                <w:sz w:val="13"/>
                              </w:rPr>
                              <w:t>30.219</w:t>
                            </w:r>
                          </w:p>
                        </w:tc>
                        <w:tc>
                          <w:tcPr>
                            <w:tcW w:w="648" w:type="dxa"/>
                            <w:shd w:val="clear" w:color="auto" w:fill="0000FF"/>
                          </w:tcPr>
                          <w:p w14:paraId="4C8B31F7" w14:textId="77777777" w:rsidR="002C6574" w:rsidRDefault="00000000">
                            <w:pPr>
                              <w:pStyle w:val="TableParagraph"/>
                              <w:spacing w:before="31"/>
                              <w:ind w:right="67"/>
                              <w:rPr>
                                <w:rFonts w:ascii="Arial"/>
                                <w:b/>
                                <w:sz w:val="13"/>
                              </w:rPr>
                            </w:pPr>
                            <w:r>
                              <w:rPr>
                                <w:rFonts w:ascii="Arial"/>
                                <w:b/>
                                <w:color w:val="FFFFFF"/>
                                <w:spacing w:val="-2"/>
                                <w:sz w:val="13"/>
                              </w:rPr>
                              <w:t>58.452</w:t>
                            </w:r>
                          </w:p>
                        </w:tc>
                      </w:tr>
                      <w:tr w:rsidR="002C6574" w14:paraId="2ADB8A81" w14:textId="77777777">
                        <w:trPr>
                          <w:trHeight w:val="218"/>
                        </w:trPr>
                        <w:tc>
                          <w:tcPr>
                            <w:tcW w:w="4141" w:type="dxa"/>
                            <w:tcBorders>
                              <w:top w:val="single" w:sz="8" w:space="0" w:color="D9E0F1"/>
                            </w:tcBorders>
                          </w:tcPr>
                          <w:p w14:paraId="4EF76F8A" w14:textId="77777777" w:rsidR="002C6574" w:rsidRDefault="00000000">
                            <w:pPr>
                              <w:pStyle w:val="TableParagraph"/>
                              <w:spacing w:before="33"/>
                              <w:ind w:left="69"/>
                              <w:jc w:val="left"/>
                              <w:rPr>
                                <w:rFonts w:ascii="Arial"/>
                                <w:b/>
                                <w:sz w:val="13"/>
                              </w:rPr>
                            </w:pPr>
                            <w:r>
                              <w:rPr>
                                <w:rFonts w:ascii="Arial"/>
                                <w:b/>
                                <w:sz w:val="13"/>
                              </w:rPr>
                              <w:t>Despesas</w:t>
                            </w:r>
                            <w:r>
                              <w:rPr>
                                <w:rFonts w:ascii="Arial"/>
                                <w:b/>
                                <w:spacing w:val="-9"/>
                                <w:sz w:val="13"/>
                              </w:rPr>
                              <w:t xml:space="preserve"> </w:t>
                            </w:r>
                            <w:r>
                              <w:rPr>
                                <w:rFonts w:ascii="Arial"/>
                                <w:b/>
                                <w:spacing w:val="-2"/>
                                <w:sz w:val="13"/>
                              </w:rPr>
                              <w:t>Financeiras</w:t>
                            </w:r>
                          </w:p>
                        </w:tc>
                        <w:tc>
                          <w:tcPr>
                            <w:tcW w:w="883" w:type="dxa"/>
                            <w:shd w:val="clear" w:color="auto" w:fill="66FFFF"/>
                          </w:tcPr>
                          <w:p w14:paraId="057ECF23" w14:textId="77777777" w:rsidR="002C6574" w:rsidRDefault="002C6574">
                            <w:pPr>
                              <w:pStyle w:val="TableParagraph"/>
                              <w:jc w:val="left"/>
                              <w:rPr>
                                <w:rFonts w:ascii="Times New Roman"/>
                                <w:sz w:val="14"/>
                              </w:rPr>
                            </w:pPr>
                          </w:p>
                        </w:tc>
                        <w:tc>
                          <w:tcPr>
                            <w:tcW w:w="696" w:type="dxa"/>
                          </w:tcPr>
                          <w:p w14:paraId="6CDD288F" w14:textId="77777777" w:rsidR="002C6574" w:rsidRDefault="002C6574">
                            <w:pPr>
                              <w:pStyle w:val="TableParagraph"/>
                              <w:jc w:val="left"/>
                              <w:rPr>
                                <w:rFonts w:ascii="Times New Roman"/>
                                <w:sz w:val="14"/>
                              </w:rPr>
                            </w:pPr>
                          </w:p>
                        </w:tc>
                        <w:tc>
                          <w:tcPr>
                            <w:tcW w:w="648" w:type="dxa"/>
                          </w:tcPr>
                          <w:p w14:paraId="7B69F4A6" w14:textId="77777777" w:rsidR="002C6574" w:rsidRDefault="002C6574">
                            <w:pPr>
                              <w:pStyle w:val="TableParagraph"/>
                              <w:jc w:val="left"/>
                              <w:rPr>
                                <w:rFonts w:ascii="Times New Roman"/>
                                <w:sz w:val="14"/>
                              </w:rPr>
                            </w:pPr>
                          </w:p>
                        </w:tc>
                      </w:tr>
                      <w:tr w:rsidR="002C6574" w14:paraId="78D6D93D" w14:textId="77777777">
                        <w:trPr>
                          <w:trHeight w:val="214"/>
                        </w:trPr>
                        <w:tc>
                          <w:tcPr>
                            <w:tcW w:w="4141" w:type="dxa"/>
                          </w:tcPr>
                          <w:p w14:paraId="435D36A1" w14:textId="77777777" w:rsidR="002C6574" w:rsidRDefault="00000000">
                            <w:pPr>
                              <w:pStyle w:val="TableParagraph"/>
                              <w:spacing w:before="31"/>
                              <w:ind w:left="69"/>
                              <w:jc w:val="left"/>
                              <w:rPr>
                                <w:rFonts w:ascii="Arial MT"/>
                                <w:sz w:val="13"/>
                              </w:rPr>
                            </w:pPr>
                            <w:r>
                              <w:rPr>
                                <w:rFonts w:ascii="Arial MT"/>
                                <w:sz w:val="13"/>
                              </w:rPr>
                              <w:t>Juros</w:t>
                            </w:r>
                            <w:r>
                              <w:rPr>
                                <w:rFonts w:ascii="Arial MT"/>
                                <w:spacing w:val="-9"/>
                                <w:sz w:val="13"/>
                              </w:rPr>
                              <w:t xml:space="preserve"> </w:t>
                            </w:r>
                            <w:r>
                              <w:rPr>
                                <w:rFonts w:ascii="Arial MT"/>
                                <w:sz w:val="13"/>
                              </w:rPr>
                              <w:t>sobre</w:t>
                            </w:r>
                            <w:r>
                              <w:rPr>
                                <w:rFonts w:ascii="Arial MT"/>
                                <w:spacing w:val="-8"/>
                                <w:sz w:val="13"/>
                              </w:rPr>
                              <w:t xml:space="preserve"> </w:t>
                            </w:r>
                            <w:r>
                              <w:rPr>
                                <w:rFonts w:ascii="Arial MT"/>
                                <w:sz w:val="13"/>
                              </w:rPr>
                              <w:t>Adiantamento</w:t>
                            </w:r>
                            <w:r>
                              <w:rPr>
                                <w:rFonts w:ascii="Arial MT"/>
                                <w:spacing w:val="-7"/>
                                <w:sz w:val="13"/>
                              </w:rPr>
                              <w:t xml:space="preserve"> </w:t>
                            </w:r>
                            <w:r>
                              <w:rPr>
                                <w:rFonts w:ascii="Arial MT"/>
                                <w:sz w:val="13"/>
                              </w:rPr>
                              <w:t>para</w:t>
                            </w:r>
                            <w:r>
                              <w:rPr>
                                <w:rFonts w:ascii="Arial MT"/>
                                <w:spacing w:val="-8"/>
                                <w:sz w:val="13"/>
                              </w:rPr>
                              <w:t xml:space="preserve"> </w:t>
                            </w:r>
                            <w:r>
                              <w:rPr>
                                <w:rFonts w:ascii="Arial MT"/>
                                <w:sz w:val="13"/>
                              </w:rPr>
                              <w:t>Futuro</w:t>
                            </w:r>
                            <w:r>
                              <w:rPr>
                                <w:rFonts w:ascii="Arial MT"/>
                                <w:spacing w:val="-7"/>
                                <w:sz w:val="13"/>
                              </w:rPr>
                              <w:t xml:space="preserve"> </w:t>
                            </w:r>
                            <w:r>
                              <w:rPr>
                                <w:rFonts w:ascii="Arial MT"/>
                                <w:sz w:val="13"/>
                              </w:rPr>
                              <w:t>Aumento</w:t>
                            </w:r>
                            <w:r>
                              <w:rPr>
                                <w:rFonts w:ascii="Arial MT"/>
                                <w:spacing w:val="-9"/>
                                <w:sz w:val="13"/>
                              </w:rPr>
                              <w:t xml:space="preserve"> </w:t>
                            </w:r>
                            <w:r>
                              <w:rPr>
                                <w:rFonts w:ascii="Arial MT"/>
                                <w:sz w:val="13"/>
                              </w:rPr>
                              <w:t>de</w:t>
                            </w:r>
                            <w:r>
                              <w:rPr>
                                <w:rFonts w:ascii="Arial MT"/>
                                <w:spacing w:val="-8"/>
                                <w:sz w:val="13"/>
                              </w:rPr>
                              <w:t xml:space="preserve"> </w:t>
                            </w:r>
                            <w:r>
                              <w:rPr>
                                <w:rFonts w:ascii="Arial MT"/>
                                <w:spacing w:val="-2"/>
                                <w:sz w:val="13"/>
                              </w:rPr>
                              <w:t>Capital</w:t>
                            </w:r>
                          </w:p>
                        </w:tc>
                        <w:tc>
                          <w:tcPr>
                            <w:tcW w:w="883" w:type="dxa"/>
                            <w:shd w:val="clear" w:color="auto" w:fill="66FFFF"/>
                          </w:tcPr>
                          <w:p w14:paraId="6A058811" w14:textId="77777777" w:rsidR="002C6574" w:rsidRDefault="00000000">
                            <w:pPr>
                              <w:pStyle w:val="TableParagraph"/>
                              <w:spacing w:before="31"/>
                              <w:ind w:right="69"/>
                              <w:rPr>
                                <w:rFonts w:ascii="Arial MT"/>
                                <w:sz w:val="13"/>
                              </w:rPr>
                            </w:pPr>
                            <w:r>
                              <w:rPr>
                                <w:rFonts w:ascii="Arial MT"/>
                                <w:spacing w:val="-2"/>
                                <w:sz w:val="13"/>
                              </w:rPr>
                              <w:t>(67.622)</w:t>
                            </w:r>
                          </w:p>
                        </w:tc>
                        <w:tc>
                          <w:tcPr>
                            <w:tcW w:w="696" w:type="dxa"/>
                          </w:tcPr>
                          <w:p w14:paraId="7141DC40" w14:textId="77777777" w:rsidR="002C6574" w:rsidRDefault="00000000">
                            <w:pPr>
                              <w:pStyle w:val="TableParagraph"/>
                              <w:spacing w:before="31"/>
                              <w:ind w:right="93"/>
                              <w:rPr>
                                <w:rFonts w:ascii="Arial MT"/>
                                <w:sz w:val="13"/>
                              </w:rPr>
                            </w:pPr>
                            <w:r>
                              <w:rPr>
                                <w:rFonts w:ascii="Arial MT"/>
                                <w:spacing w:val="-2"/>
                                <w:sz w:val="13"/>
                              </w:rPr>
                              <w:t>(49.785)</w:t>
                            </w:r>
                          </w:p>
                        </w:tc>
                        <w:tc>
                          <w:tcPr>
                            <w:tcW w:w="648" w:type="dxa"/>
                          </w:tcPr>
                          <w:p w14:paraId="06AB688F" w14:textId="77777777" w:rsidR="002C6574" w:rsidRDefault="00000000">
                            <w:pPr>
                              <w:pStyle w:val="TableParagraph"/>
                              <w:spacing w:before="31"/>
                              <w:ind w:right="69"/>
                              <w:rPr>
                                <w:rFonts w:ascii="Arial MT"/>
                                <w:sz w:val="13"/>
                              </w:rPr>
                            </w:pPr>
                            <w:r>
                              <w:rPr>
                                <w:rFonts w:ascii="Arial MT"/>
                                <w:spacing w:val="-2"/>
                                <w:sz w:val="13"/>
                              </w:rPr>
                              <w:t>(67.316)</w:t>
                            </w:r>
                          </w:p>
                        </w:tc>
                      </w:tr>
                      <w:tr w:rsidR="002C6574" w14:paraId="55244787" w14:textId="77777777">
                        <w:trPr>
                          <w:trHeight w:val="214"/>
                        </w:trPr>
                        <w:tc>
                          <w:tcPr>
                            <w:tcW w:w="4141" w:type="dxa"/>
                          </w:tcPr>
                          <w:p w14:paraId="6558E834" w14:textId="77777777" w:rsidR="002C6574" w:rsidRDefault="00000000">
                            <w:pPr>
                              <w:pStyle w:val="TableParagraph"/>
                              <w:spacing w:before="29"/>
                              <w:ind w:left="69"/>
                              <w:jc w:val="left"/>
                              <w:rPr>
                                <w:rFonts w:ascii="Arial MT" w:hAnsi="Arial MT"/>
                                <w:sz w:val="13"/>
                              </w:rPr>
                            </w:pPr>
                            <w:r>
                              <w:rPr>
                                <w:rFonts w:ascii="Arial MT" w:hAnsi="Arial MT"/>
                                <w:sz w:val="13"/>
                              </w:rPr>
                              <w:t>Juros</w:t>
                            </w:r>
                            <w:r>
                              <w:rPr>
                                <w:rFonts w:ascii="Arial MT" w:hAnsi="Arial MT"/>
                                <w:spacing w:val="-8"/>
                                <w:sz w:val="13"/>
                              </w:rPr>
                              <w:t xml:space="preserve"> </w:t>
                            </w:r>
                            <w:r>
                              <w:rPr>
                                <w:rFonts w:ascii="Arial MT" w:hAnsi="Arial MT"/>
                                <w:sz w:val="13"/>
                              </w:rPr>
                              <w:t>e</w:t>
                            </w:r>
                            <w:r>
                              <w:rPr>
                                <w:rFonts w:ascii="Arial MT" w:hAnsi="Arial MT"/>
                                <w:spacing w:val="-8"/>
                                <w:sz w:val="13"/>
                              </w:rPr>
                              <w:t xml:space="preserve"> </w:t>
                            </w:r>
                            <w:r>
                              <w:rPr>
                                <w:rFonts w:ascii="Arial MT" w:hAnsi="Arial MT"/>
                                <w:sz w:val="13"/>
                              </w:rPr>
                              <w:t>Variação</w:t>
                            </w:r>
                            <w:r>
                              <w:rPr>
                                <w:rFonts w:ascii="Arial MT" w:hAnsi="Arial MT"/>
                                <w:spacing w:val="-6"/>
                                <w:sz w:val="13"/>
                              </w:rPr>
                              <w:t xml:space="preserve"> </w:t>
                            </w:r>
                            <w:r>
                              <w:rPr>
                                <w:rFonts w:ascii="Arial MT" w:hAnsi="Arial MT"/>
                                <w:sz w:val="13"/>
                              </w:rPr>
                              <w:t>Monetária</w:t>
                            </w:r>
                            <w:r>
                              <w:rPr>
                                <w:rFonts w:ascii="Arial MT" w:hAnsi="Arial MT"/>
                                <w:spacing w:val="-6"/>
                                <w:sz w:val="13"/>
                              </w:rPr>
                              <w:t xml:space="preserve"> </w:t>
                            </w:r>
                            <w:r>
                              <w:rPr>
                                <w:rFonts w:ascii="Arial MT" w:hAnsi="Arial MT"/>
                                <w:sz w:val="13"/>
                              </w:rPr>
                              <w:t>de</w:t>
                            </w:r>
                            <w:r>
                              <w:rPr>
                                <w:rFonts w:ascii="Arial MT" w:hAnsi="Arial MT"/>
                                <w:spacing w:val="-8"/>
                                <w:sz w:val="13"/>
                              </w:rPr>
                              <w:t xml:space="preserve"> </w:t>
                            </w:r>
                            <w:r>
                              <w:rPr>
                                <w:rFonts w:ascii="Arial MT" w:hAnsi="Arial MT"/>
                                <w:sz w:val="13"/>
                              </w:rPr>
                              <w:t>Acordos</w:t>
                            </w:r>
                            <w:r>
                              <w:rPr>
                                <w:rFonts w:ascii="Arial MT" w:hAnsi="Arial MT"/>
                                <w:spacing w:val="-8"/>
                                <w:sz w:val="13"/>
                              </w:rPr>
                              <w:t xml:space="preserve"> </w:t>
                            </w:r>
                            <w:r>
                              <w:rPr>
                                <w:rFonts w:ascii="Arial MT" w:hAnsi="Arial MT"/>
                                <w:spacing w:val="-2"/>
                                <w:sz w:val="13"/>
                              </w:rPr>
                              <w:t>Judiciais</w:t>
                            </w:r>
                          </w:p>
                        </w:tc>
                        <w:tc>
                          <w:tcPr>
                            <w:tcW w:w="883" w:type="dxa"/>
                            <w:shd w:val="clear" w:color="auto" w:fill="66FFFF"/>
                          </w:tcPr>
                          <w:p w14:paraId="1ED0F43A" w14:textId="77777777" w:rsidR="002C6574" w:rsidRDefault="00000000">
                            <w:pPr>
                              <w:pStyle w:val="TableParagraph"/>
                              <w:spacing w:before="29"/>
                              <w:ind w:right="69"/>
                              <w:rPr>
                                <w:rFonts w:ascii="Arial MT"/>
                                <w:sz w:val="13"/>
                              </w:rPr>
                            </w:pPr>
                            <w:r>
                              <w:rPr>
                                <w:rFonts w:ascii="Arial MT"/>
                                <w:spacing w:val="-2"/>
                                <w:sz w:val="13"/>
                              </w:rPr>
                              <w:t>(3.969)</w:t>
                            </w:r>
                          </w:p>
                        </w:tc>
                        <w:tc>
                          <w:tcPr>
                            <w:tcW w:w="696" w:type="dxa"/>
                          </w:tcPr>
                          <w:p w14:paraId="513606AC" w14:textId="77777777" w:rsidR="002C6574" w:rsidRDefault="00000000">
                            <w:pPr>
                              <w:pStyle w:val="TableParagraph"/>
                              <w:spacing w:before="29"/>
                              <w:ind w:right="93"/>
                              <w:rPr>
                                <w:rFonts w:ascii="Arial MT"/>
                                <w:sz w:val="13"/>
                              </w:rPr>
                            </w:pPr>
                            <w:r>
                              <w:rPr>
                                <w:rFonts w:ascii="Arial MT"/>
                                <w:spacing w:val="-2"/>
                                <w:sz w:val="13"/>
                              </w:rPr>
                              <w:t>(3.552)</w:t>
                            </w:r>
                          </w:p>
                        </w:tc>
                        <w:tc>
                          <w:tcPr>
                            <w:tcW w:w="648" w:type="dxa"/>
                          </w:tcPr>
                          <w:p w14:paraId="20AAD7C4" w14:textId="77777777" w:rsidR="002C6574" w:rsidRDefault="00000000">
                            <w:pPr>
                              <w:pStyle w:val="TableParagraph"/>
                              <w:spacing w:before="29"/>
                              <w:ind w:right="69"/>
                              <w:rPr>
                                <w:rFonts w:ascii="Arial MT"/>
                                <w:sz w:val="13"/>
                              </w:rPr>
                            </w:pPr>
                            <w:r>
                              <w:rPr>
                                <w:rFonts w:ascii="Arial MT"/>
                                <w:spacing w:val="-2"/>
                                <w:sz w:val="13"/>
                              </w:rPr>
                              <w:t>(2.442)</w:t>
                            </w:r>
                          </w:p>
                        </w:tc>
                      </w:tr>
                      <w:tr w:rsidR="002C6574" w14:paraId="6A09E576" w14:textId="77777777">
                        <w:trPr>
                          <w:trHeight w:val="216"/>
                        </w:trPr>
                        <w:tc>
                          <w:tcPr>
                            <w:tcW w:w="4141" w:type="dxa"/>
                          </w:tcPr>
                          <w:p w14:paraId="6BD8F143" w14:textId="77777777" w:rsidR="002C6574" w:rsidRDefault="00000000">
                            <w:pPr>
                              <w:pStyle w:val="TableParagraph"/>
                              <w:spacing w:before="31"/>
                              <w:ind w:left="69"/>
                              <w:jc w:val="left"/>
                              <w:rPr>
                                <w:rFonts w:ascii="Arial MT" w:hAnsi="Arial MT"/>
                                <w:sz w:val="13"/>
                              </w:rPr>
                            </w:pPr>
                            <w:r>
                              <w:rPr>
                                <w:rFonts w:ascii="Arial MT" w:hAnsi="Arial MT"/>
                                <w:sz w:val="13"/>
                              </w:rPr>
                              <w:t>Juros/VM</w:t>
                            </w:r>
                            <w:r>
                              <w:rPr>
                                <w:rFonts w:ascii="Arial MT" w:hAnsi="Arial MT"/>
                                <w:spacing w:val="-6"/>
                                <w:sz w:val="13"/>
                              </w:rPr>
                              <w:t xml:space="preserve"> </w:t>
                            </w:r>
                            <w:r>
                              <w:rPr>
                                <w:rFonts w:ascii="Arial MT" w:hAnsi="Arial MT"/>
                                <w:sz w:val="13"/>
                              </w:rPr>
                              <w:t>sobre</w:t>
                            </w:r>
                            <w:r>
                              <w:rPr>
                                <w:rFonts w:ascii="Arial MT" w:hAnsi="Arial MT"/>
                                <w:spacing w:val="-4"/>
                                <w:sz w:val="13"/>
                              </w:rPr>
                              <w:t xml:space="preserve"> </w:t>
                            </w:r>
                            <w:r>
                              <w:rPr>
                                <w:rFonts w:ascii="Arial MT" w:hAnsi="Arial MT"/>
                                <w:sz w:val="13"/>
                              </w:rPr>
                              <w:t>Prov.</w:t>
                            </w:r>
                            <w:r>
                              <w:rPr>
                                <w:rFonts w:ascii="Arial MT" w:hAnsi="Arial MT"/>
                                <w:spacing w:val="-6"/>
                                <w:sz w:val="13"/>
                              </w:rPr>
                              <w:t xml:space="preserve"> </w:t>
                            </w:r>
                            <w:r>
                              <w:rPr>
                                <w:rFonts w:ascii="Arial MT" w:hAnsi="Arial MT"/>
                                <w:sz w:val="13"/>
                              </w:rPr>
                              <w:t>para</w:t>
                            </w:r>
                            <w:r>
                              <w:rPr>
                                <w:rFonts w:ascii="Arial MT" w:hAnsi="Arial MT"/>
                                <w:spacing w:val="-5"/>
                                <w:sz w:val="13"/>
                              </w:rPr>
                              <w:t xml:space="preserve"> </w:t>
                            </w:r>
                            <w:r>
                              <w:rPr>
                                <w:rFonts w:ascii="Arial MT" w:hAnsi="Arial MT"/>
                                <w:sz w:val="13"/>
                              </w:rPr>
                              <w:t>Riscos</w:t>
                            </w:r>
                            <w:r>
                              <w:rPr>
                                <w:rFonts w:ascii="Arial MT" w:hAnsi="Arial MT"/>
                                <w:spacing w:val="-6"/>
                                <w:sz w:val="13"/>
                              </w:rPr>
                              <w:t xml:space="preserve"> </w:t>
                            </w:r>
                            <w:r>
                              <w:rPr>
                                <w:rFonts w:ascii="Arial MT" w:hAnsi="Arial MT"/>
                                <w:sz w:val="13"/>
                              </w:rPr>
                              <w:t>Trabalhistas,</w:t>
                            </w:r>
                            <w:r>
                              <w:rPr>
                                <w:rFonts w:ascii="Arial MT" w:hAnsi="Arial MT"/>
                                <w:spacing w:val="-5"/>
                                <w:sz w:val="13"/>
                              </w:rPr>
                              <w:t xml:space="preserve"> </w:t>
                            </w:r>
                            <w:r>
                              <w:rPr>
                                <w:rFonts w:ascii="Arial MT" w:hAnsi="Arial MT"/>
                                <w:sz w:val="13"/>
                              </w:rPr>
                              <w:t>Cíveis</w:t>
                            </w:r>
                            <w:r>
                              <w:rPr>
                                <w:rFonts w:ascii="Arial MT" w:hAnsi="Arial MT"/>
                                <w:spacing w:val="-6"/>
                                <w:sz w:val="13"/>
                              </w:rPr>
                              <w:t xml:space="preserve"> </w:t>
                            </w:r>
                            <w:r>
                              <w:rPr>
                                <w:rFonts w:ascii="Arial MT" w:hAnsi="Arial MT"/>
                                <w:sz w:val="13"/>
                              </w:rPr>
                              <w:t>e</w:t>
                            </w:r>
                            <w:r>
                              <w:rPr>
                                <w:rFonts w:ascii="Arial MT" w:hAnsi="Arial MT"/>
                                <w:spacing w:val="-6"/>
                                <w:sz w:val="13"/>
                              </w:rPr>
                              <w:t xml:space="preserve"> </w:t>
                            </w:r>
                            <w:r>
                              <w:rPr>
                                <w:rFonts w:ascii="Arial MT" w:hAnsi="Arial MT"/>
                                <w:spacing w:val="-2"/>
                                <w:sz w:val="13"/>
                              </w:rPr>
                              <w:t>Fiscais</w:t>
                            </w:r>
                          </w:p>
                        </w:tc>
                        <w:tc>
                          <w:tcPr>
                            <w:tcW w:w="883" w:type="dxa"/>
                            <w:shd w:val="clear" w:color="auto" w:fill="66FFFF"/>
                          </w:tcPr>
                          <w:p w14:paraId="7CAC94C4" w14:textId="77777777" w:rsidR="002C6574" w:rsidRDefault="00000000">
                            <w:pPr>
                              <w:pStyle w:val="TableParagraph"/>
                              <w:spacing w:before="31"/>
                              <w:ind w:right="69"/>
                              <w:rPr>
                                <w:rFonts w:ascii="Arial MT"/>
                                <w:sz w:val="13"/>
                              </w:rPr>
                            </w:pPr>
                            <w:r>
                              <w:rPr>
                                <w:rFonts w:ascii="Arial MT"/>
                                <w:spacing w:val="-2"/>
                                <w:sz w:val="13"/>
                              </w:rPr>
                              <w:t>(1.427)</w:t>
                            </w:r>
                          </w:p>
                        </w:tc>
                        <w:tc>
                          <w:tcPr>
                            <w:tcW w:w="696" w:type="dxa"/>
                          </w:tcPr>
                          <w:p w14:paraId="03D4261B" w14:textId="77777777" w:rsidR="002C6574" w:rsidRDefault="00000000">
                            <w:pPr>
                              <w:pStyle w:val="TableParagraph"/>
                              <w:spacing w:before="31"/>
                              <w:ind w:right="93"/>
                              <w:rPr>
                                <w:rFonts w:ascii="Arial MT"/>
                                <w:sz w:val="13"/>
                              </w:rPr>
                            </w:pPr>
                            <w:r>
                              <w:rPr>
                                <w:rFonts w:ascii="Arial MT"/>
                                <w:spacing w:val="-2"/>
                                <w:sz w:val="13"/>
                              </w:rPr>
                              <w:t>(1.734)</w:t>
                            </w:r>
                          </w:p>
                        </w:tc>
                        <w:tc>
                          <w:tcPr>
                            <w:tcW w:w="648" w:type="dxa"/>
                          </w:tcPr>
                          <w:p w14:paraId="7CC699DE" w14:textId="77777777" w:rsidR="002C6574" w:rsidRDefault="00000000">
                            <w:pPr>
                              <w:pStyle w:val="TableParagraph"/>
                              <w:spacing w:before="31"/>
                              <w:ind w:right="69"/>
                              <w:rPr>
                                <w:rFonts w:ascii="Arial MT"/>
                                <w:sz w:val="13"/>
                              </w:rPr>
                            </w:pPr>
                            <w:r>
                              <w:rPr>
                                <w:rFonts w:ascii="Arial MT"/>
                                <w:spacing w:val="-2"/>
                                <w:sz w:val="13"/>
                              </w:rPr>
                              <w:t>(1.208)</w:t>
                            </w:r>
                          </w:p>
                        </w:tc>
                      </w:tr>
                      <w:tr w:rsidR="002C6574" w14:paraId="13D1CCEF" w14:textId="77777777">
                        <w:trPr>
                          <w:trHeight w:val="214"/>
                        </w:trPr>
                        <w:tc>
                          <w:tcPr>
                            <w:tcW w:w="4141" w:type="dxa"/>
                          </w:tcPr>
                          <w:p w14:paraId="18B4DDF9" w14:textId="77777777" w:rsidR="002C6574" w:rsidRDefault="00000000">
                            <w:pPr>
                              <w:pStyle w:val="TableParagraph"/>
                              <w:spacing w:before="31"/>
                              <w:ind w:left="69"/>
                              <w:jc w:val="left"/>
                              <w:rPr>
                                <w:rFonts w:ascii="Arial MT" w:hAnsi="Arial MT"/>
                                <w:sz w:val="13"/>
                              </w:rPr>
                            </w:pPr>
                            <w:r>
                              <w:rPr>
                                <w:rFonts w:ascii="Arial MT" w:hAnsi="Arial MT"/>
                                <w:sz w:val="13"/>
                              </w:rPr>
                              <w:t>Juros</w:t>
                            </w:r>
                            <w:r>
                              <w:rPr>
                                <w:rFonts w:ascii="Arial MT" w:hAnsi="Arial MT"/>
                                <w:spacing w:val="-7"/>
                                <w:sz w:val="13"/>
                              </w:rPr>
                              <w:t xml:space="preserve"> </w:t>
                            </w:r>
                            <w:r>
                              <w:rPr>
                                <w:rFonts w:ascii="Arial MT" w:hAnsi="Arial MT"/>
                                <w:sz w:val="13"/>
                              </w:rPr>
                              <w:t>sobre</w:t>
                            </w:r>
                            <w:r>
                              <w:rPr>
                                <w:rFonts w:ascii="Arial MT" w:hAnsi="Arial MT"/>
                                <w:spacing w:val="-6"/>
                                <w:sz w:val="13"/>
                              </w:rPr>
                              <w:t xml:space="preserve"> </w:t>
                            </w:r>
                            <w:r>
                              <w:rPr>
                                <w:rFonts w:ascii="Arial MT" w:hAnsi="Arial MT"/>
                                <w:sz w:val="13"/>
                              </w:rPr>
                              <w:t>Obrigações</w:t>
                            </w:r>
                            <w:r>
                              <w:rPr>
                                <w:rFonts w:ascii="Arial MT" w:hAnsi="Arial MT"/>
                                <w:spacing w:val="-6"/>
                                <w:sz w:val="13"/>
                              </w:rPr>
                              <w:t xml:space="preserve"> </w:t>
                            </w:r>
                            <w:r>
                              <w:rPr>
                                <w:rFonts w:ascii="Arial MT" w:hAnsi="Arial MT"/>
                                <w:sz w:val="13"/>
                              </w:rPr>
                              <w:t>com</w:t>
                            </w:r>
                            <w:r>
                              <w:rPr>
                                <w:rFonts w:ascii="Arial MT" w:hAnsi="Arial MT"/>
                                <w:spacing w:val="-5"/>
                                <w:sz w:val="13"/>
                              </w:rPr>
                              <w:t xml:space="preserve"> </w:t>
                            </w:r>
                            <w:r>
                              <w:rPr>
                                <w:rFonts w:ascii="Arial MT" w:hAnsi="Arial MT"/>
                                <w:spacing w:val="-2"/>
                                <w:sz w:val="13"/>
                              </w:rPr>
                              <w:t>Fornecedores</w:t>
                            </w:r>
                          </w:p>
                        </w:tc>
                        <w:tc>
                          <w:tcPr>
                            <w:tcW w:w="883" w:type="dxa"/>
                            <w:shd w:val="clear" w:color="auto" w:fill="66FFFF"/>
                          </w:tcPr>
                          <w:p w14:paraId="6DB467D4" w14:textId="77777777" w:rsidR="002C6574" w:rsidRDefault="00000000">
                            <w:pPr>
                              <w:pStyle w:val="TableParagraph"/>
                              <w:spacing w:before="31"/>
                              <w:ind w:right="69"/>
                              <w:rPr>
                                <w:rFonts w:ascii="Arial MT"/>
                                <w:sz w:val="13"/>
                              </w:rPr>
                            </w:pPr>
                            <w:r>
                              <w:rPr>
                                <w:rFonts w:ascii="Arial MT"/>
                                <w:spacing w:val="-2"/>
                                <w:sz w:val="13"/>
                              </w:rPr>
                              <w:t>(2.568)</w:t>
                            </w:r>
                          </w:p>
                        </w:tc>
                        <w:tc>
                          <w:tcPr>
                            <w:tcW w:w="696" w:type="dxa"/>
                          </w:tcPr>
                          <w:p w14:paraId="3D003012" w14:textId="77777777" w:rsidR="002C6574" w:rsidRDefault="00000000">
                            <w:pPr>
                              <w:pStyle w:val="TableParagraph"/>
                              <w:spacing w:before="31"/>
                              <w:ind w:right="91"/>
                              <w:rPr>
                                <w:rFonts w:ascii="Arial MT"/>
                                <w:sz w:val="13"/>
                              </w:rPr>
                            </w:pPr>
                            <w:r>
                              <w:rPr>
                                <w:rFonts w:ascii="Arial MT"/>
                                <w:spacing w:val="-10"/>
                                <w:sz w:val="13"/>
                              </w:rPr>
                              <w:t>-</w:t>
                            </w:r>
                          </w:p>
                        </w:tc>
                        <w:tc>
                          <w:tcPr>
                            <w:tcW w:w="648" w:type="dxa"/>
                          </w:tcPr>
                          <w:p w14:paraId="4B40E659" w14:textId="77777777" w:rsidR="002C6574" w:rsidRDefault="00000000">
                            <w:pPr>
                              <w:pStyle w:val="TableParagraph"/>
                              <w:spacing w:before="31"/>
                              <w:ind w:right="67"/>
                              <w:rPr>
                                <w:rFonts w:ascii="Arial MT"/>
                                <w:sz w:val="13"/>
                              </w:rPr>
                            </w:pPr>
                            <w:r>
                              <w:rPr>
                                <w:rFonts w:ascii="Arial MT"/>
                                <w:spacing w:val="-10"/>
                                <w:sz w:val="13"/>
                              </w:rPr>
                              <w:t>-</w:t>
                            </w:r>
                          </w:p>
                        </w:tc>
                      </w:tr>
                      <w:tr w:rsidR="002C6574" w14:paraId="3F57A43D" w14:textId="77777777">
                        <w:trPr>
                          <w:trHeight w:val="214"/>
                        </w:trPr>
                        <w:tc>
                          <w:tcPr>
                            <w:tcW w:w="4141" w:type="dxa"/>
                          </w:tcPr>
                          <w:p w14:paraId="72AFB62D" w14:textId="77777777" w:rsidR="002C6574" w:rsidRDefault="00000000">
                            <w:pPr>
                              <w:pStyle w:val="TableParagraph"/>
                              <w:spacing w:before="29"/>
                              <w:ind w:left="69"/>
                              <w:jc w:val="left"/>
                              <w:rPr>
                                <w:rFonts w:ascii="Arial MT" w:hAnsi="Arial MT"/>
                                <w:sz w:val="13"/>
                              </w:rPr>
                            </w:pPr>
                            <w:r>
                              <w:rPr>
                                <w:rFonts w:ascii="Arial MT" w:hAnsi="Arial MT"/>
                                <w:sz w:val="13"/>
                              </w:rPr>
                              <w:t>Variação</w:t>
                            </w:r>
                            <w:r>
                              <w:rPr>
                                <w:rFonts w:ascii="Arial MT" w:hAnsi="Arial MT"/>
                                <w:spacing w:val="-10"/>
                                <w:sz w:val="13"/>
                              </w:rPr>
                              <w:t xml:space="preserve"> </w:t>
                            </w:r>
                            <w:r>
                              <w:rPr>
                                <w:rFonts w:ascii="Arial MT" w:hAnsi="Arial MT"/>
                                <w:sz w:val="13"/>
                              </w:rPr>
                              <w:t>Cambial</w:t>
                            </w:r>
                            <w:r>
                              <w:rPr>
                                <w:rFonts w:ascii="Arial MT" w:hAnsi="Arial MT"/>
                                <w:spacing w:val="-9"/>
                                <w:sz w:val="13"/>
                              </w:rPr>
                              <w:t xml:space="preserve"> </w:t>
                            </w:r>
                            <w:r>
                              <w:rPr>
                                <w:rFonts w:ascii="Arial MT" w:hAnsi="Arial MT"/>
                                <w:sz w:val="13"/>
                              </w:rPr>
                              <w:t>sobre</w:t>
                            </w:r>
                            <w:r>
                              <w:rPr>
                                <w:rFonts w:ascii="Arial MT" w:hAnsi="Arial MT"/>
                                <w:spacing w:val="-9"/>
                                <w:sz w:val="13"/>
                              </w:rPr>
                              <w:t xml:space="preserve"> </w:t>
                            </w:r>
                            <w:r>
                              <w:rPr>
                                <w:rFonts w:ascii="Arial MT" w:hAnsi="Arial MT"/>
                                <w:sz w:val="13"/>
                              </w:rPr>
                              <w:t>Obrigações</w:t>
                            </w:r>
                            <w:r>
                              <w:rPr>
                                <w:rFonts w:ascii="Arial MT" w:hAnsi="Arial MT"/>
                                <w:spacing w:val="-9"/>
                                <w:sz w:val="13"/>
                              </w:rPr>
                              <w:t xml:space="preserve"> </w:t>
                            </w:r>
                            <w:r>
                              <w:rPr>
                                <w:rFonts w:ascii="Arial MT" w:hAnsi="Arial MT"/>
                                <w:sz w:val="13"/>
                              </w:rPr>
                              <w:t>com</w:t>
                            </w:r>
                            <w:r>
                              <w:rPr>
                                <w:rFonts w:ascii="Arial MT" w:hAnsi="Arial MT"/>
                                <w:spacing w:val="-7"/>
                                <w:sz w:val="13"/>
                              </w:rPr>
                              <w:t xml:space="preserve"> </w:t>
                            </w:r>
                            <w:r>
                              <w:rPr>
                                <w:rFonts w:ascii="Arial MT" w:hAnsi="Arial MT"/>
                                <w:spacing w:val="-2"/>
                                <w:sz w:val="13"/>
                              </w:rPr>
                              <w:t>Fornecedores</w:t>
                            </w:r>
                          </w:p>
                        </w:tc>
                        <w:tc>
                          <w:tcPr>
                            <w:tcW w:w="883" w:type="dxa"/>
                            <w:shd w:val="clear" w:color="auto" w:fill="66FFFF"/>
                          </w:tcPr>
                          <w:p w14:paraId="59ECD5E1" w14:textId="77777777" w:rsidR="002C6574" w:rsidRDefault="00000000">
                            <w:pPr>
                              <w:pStyle w:val="TableParagraph"/>
                              <w:spacing w:before="29"/>
                              <w:ind w:right="69"/>
                              <w:rPr>
                                <w:rFonts w:ascii="Arial MT"/>
                                <w:sz w:val="13"/>
                              </w:rPr>
                            </w:pPr>
                            <w:r>
                              <w:rPr>
                                <w:rFonts w:ascii="Arial MT"/>
                                <w:spacing w:val="-2"/>
                                <w:sz w:val="13"/>
                              </w:rPr>
                              <w:t>(2.511)</w:t>
                            </w:r>
                          </w:p>
                        </w:tc>
                        <w:tc>
                          <w:tcPr>
                            <w:tcW w:w="696" w:type="dxa"/>
                          </w:tcPr>
                          <w:p w14:paraId="6DD60A8D" w14:textId="77777777" w:rsidR="002C6574" w:rsidRDefault="00000000">
                            <w:pPr>
                              <w:pStyle w:val="TableParagraph"/>
                              <w:spacing w:before="29"/>
                              <w:ind w:right="91"/>
                              <w:rPr>
                                <w:rFonts w:ascii="Arial MT"/>
                                <w:sz w:val="13"/>
                              </w:rPr>
                            </w:pPr>
                            <w:r>
                              <w:rPr>
                                <w:rFonts w:ascii="Arial MT"/>
                                <w:spacing w:val="-10"/>
                                <w:sz w:val="13"/>
                              </w:rPr>
                              <w:t>-</w:t>
                            </w:r>
                          </w:p>
                        </w:tc>
                        <w:tc>
                          <w:tcPr>
                            <w:tcW w:w="648" w:type="dxa"/>
                          </w:tcPr>
                          <w:p w14:paraId="475FC00E" w14:textId="77777777" w:rsidR="002C6574" w:rsidRDefault="00000000">
                            <w:pPr>
                              <w:pStyle w:val="TableParagraph"/>
                              <w:spacing w:before="29"/>
                              <w:ind w:right="67"/>
                              <w:rPr>
                                <w:rFonts w:ascii="Arial MT"/>
                                <w:sz w:val="13"/>
                              </w:rPr>
                            </w:pPr>
                            <w:r>
                              <w:rPr>
                                <w:rFonts w:ascii="Arial MT"/>
                                <w:spacing w:val="-10"/>
                                <w:sz w:val="13"/>
                              </w:rPr>
                              <w:t>-</w:t>
                            </w:r>
                          </w:p>
                        </w:tc>
                      </w:tr>
                      <w:tr w:rsidR="002C6574" w14:paraId="44BD83C1" w14:textId="77777777">
                        <w:trPr>
                          <w:trHeight w:val="212"/>
                        </w:trPr>
                        <w:tc>
                          <w:tcPr>
                            <w:tcW w:w="4141" w:type="dxa"/>
                          </w:tcPr>
                          <w:p w14:paraId="2044991F" w14:textId="77777777" w:rsidR="002C6574" w:rsidRDefault="00000000">
                            <w:pPr>
                              <w:pStyle w:val="TableParagraph"/>
                              <w:spacing w:before="31"/>
                              <w:ind w:left="69"/>
                              <w:jc w:val="left"/>
                              <w:rPr>
                                <w:rFonts w:ascii="Arial MT"/>
                                <w:sz w:val="13"/>
                              </w:rPr>
                            </w:pPr>
                            <w:r>
                              <w:rPr>
                                <w:rFonts w:ascii="Arial MT"/>
                                <w:spacing w:val="-2"/>
                                <w:sz w:val="13"/>
                              </w:rPr>
                              <w:t>Outras</w:t>
                            </w:r>
                            <w:r>
                              <w:rPr>
                                <w:rFonts w:ascii="Arial MT"/>
                                <w:spacing w:val="3"/>
                                <w:sz w:val="13"/>
                              </w:rPr>
                              <w:t xml:space="preserve"> </w:t>
                            </w:r>
                            <w:r>
                              <w:rPr>
                                <w:rFonts w:ascii="Arial MT"/>
                                <w:spacing w:val="-2"/>
                                <w:sz w:val="13"/>
                              </w:rPr>
                              <w:t>Despesas</w:t>
                            </w:r>
                            <w:r>
                              <w:rPr>
                                <w:rFonts w:ascii="Arial MT"/>
                                <w:spacing w:val="4"/>
                                <w:sz w:val="13"/>
                              </w:rPr>
                              <w:t xml:space="preserve"> </w:t>
                            </w:r>
                            <w:r>
                              <w:rPr>
                                <w:rFonts w:ascii="Arial MT"/>
                                <w:spacing w:val="-2"/>
                                <w:sz w:val="13"/>
                              </w:rPr>
                              <w:t>Financeiras</w:t>
                            </w:r>
                          </w:p>
                        </w:tc>
                        <w:tc>
                          <w:tcPr>
                            <w:tcW w:w="883" w:type="dxa"/>
                            <w:shd w:val="clear" w:color="auto" w:fill="66FFFF"/>
                          </w:tcPr>
                          <w:p w14:paraId="02B2EF64" w14:textId="77777777" w:rsidR="002C6574" w:rsidRDefault="00000000">
                            <w:pPr>
                              <w:pStyle w:val="TableParagraph"/>
                              <w:spacing w:before="31"/>
                              <w:ind w:right="69"/>
                              <w:rPr>
                                <w:rFonts w:ascii="Arial MT"/>
                                <w:sz w:val="13"/>
                              </w:rPr>
                            </w:pPr>
                            <w:r>
                              <w:rPr>
                                <w:rFonts w:ascii="Arial MT"/>
                                <w:spacing w:val="-2"/>
                                <w:sz w:val="13"/>
                              </w:rPr>
                              <w:t>(336)</w:t>
                            </w:r>
                          </w:p>
                        </w:tc>
                        <w:tc>
                          <w:tcPr>
                            <w:tcW w:w="696" w:type="dxa"/>
                          </w:tcPr>
                          <w:p w14:paraId="25967A7D" w14:textId="77777777" w:rsidR="002C6574" w:rsidRDefault="00000000">
                            <w:pPr>
                              <w:pStyle w:val="TableParagraph"/>
                              <w:spacing w:before="31"/>
                              <w:ind w:right="93"/>
                              <w:rPr>
                                <w:rFonts w:ascii="Arial MT"/>
                                <w:sz w:val="13"/>
                              </w:rPr>
                            </w:pPr>
                            <w:r>
                              <w:rPr>
                                <w:rFonts w:ascii="Arial MT"/>
                                <w:spacing w:val="-2"/>
                                <w:sz w:val="13"/>
                              </w:rPr>
                              <w:t>(1.119)</w:t>
                            </w:r>
                          </w:p>
                        </w:tc>
                        <w:tc>
                          <w:tcPr>
                            <w:tcW w:w="648" w:type="dxa"/>
                          </w:tcPr>
                          <w:p w14:paraId="18E5D8DE" w14:textId="77777777" w:rsidR="002C6574" w:rsidRDefault="00000000">
                            <w:pPr>
                              <w:pStyle w:val="TableParagraph"/>
                              <w:spacing w:before="31"/>
                              <w:ind w:right="69"/>
                              <w:rPr>
                                <w:rFonts w:ascii="Arial MT"/>
                                <w:sz w:val="13"/>
                              </w:rPr>
                            </w:pPr>
                            <w:r>
                              <w:rPr>
                                <w:rFonts w:ascii="Arial MT"/>
                                <w:spacing w:val="-2"/>
                                <w:sz w:val="13"/>
                              </w:rPr>
                              <w:t>(168)</w:t>
                            </w:r>
                          </w:p>
                        </w:tc>
                      </w:tr>
                      <w:tr w:rsidR="002C6574" w14:paraId="7C253039" w14:textId="77777777">
                        <w:trPr>
                          <w:trHeight w:val="429"/>
                        </w:trPr>
                        <w:tc>
                          <w:tcPr>
                            <w:tcW w:w="4141" w:type="dxa"/>
                            <w:shd w:val="clear" w:color="auto" w:fill="0000FF"/>
                          </w:tcPr>
                          <w:p w14:paraId="35746B6A" w14:textId="77777777" w:rsidR="002C6574" w:rsidRDefault="00000000">
                            <w:pPr>
                              <w:pStyle w:val="TableParagraph"/>
                              <w:spacing w:before="31"/>
                              <w:ind w:left="69"/>
                              <w:jc w:val="left"/>
                              <w:rPr>
                                <w:rFonts w:ascii="Arial"/>
                                <w:b/>
                                <w:sz w:val="13"/>
                              </w:rPr>
                            </w:pPr>
                            <w:r>
                              <w:rPr>
                                <w:rFonts w:ascii="Arial"/>
                                <w:b/>
                                <w:color w:val="FFFFFF"/>
                                <w:spacing w:val="-2"/>
                                <w:sz w:val="13"/>
                              </w:rPr>
                              <w:t>Total</w:t>
                            </w:r>
                          </w:p>
                          <w:p w14:paraId="4E49955A" w14:textId="77777777" w:rsidR="002C6574" w:rsidRDefault="00000000">
                            <w:pPr>
                              <w:pStyle w:val="TableParagraph"/>
                              <w:spacing w:before="67"/>
                              <w:ind w:left="69"/>
                              <w:jc w:val="left"/>
                              <w:rPr>
                                <w:rFonts w:ascii="Arial" w:hAnsi="Arial"/>
                                <w:b/>
                                <w:sz w:val="13"/>
                              </w:rPr>
                            </w:pPr>
                            <w:r>
                              <w:rPr>
                                <w:rFonts w:ascii="Arial" w:hAnsi="Arial"/>
                                <w:b/>
                                <w:color w:val="FFFFFF"/>
                                <w:sz w:val="13"/>
                              </w:rPr>
                              <w:t>Resultado</w:t>
                            </w:r>
                            <w:r>
                              <w:rPr>
                                <w:rFonts w:ascii="Arial" w:hAnsi="Arial"/>
                                <w:b/>
                                <w:color w:val="FFFFFF"/>
                                <w:spacing w:val="-7"/>
                                <w:sz w:val="13"/>
                              </w:rPr>
                              <w:t xml:space="preserve"> </w:t>
                            </w:r>
                            <w:r>
                              <w:rPr>
                                <w:rFonts w:ascii="Arial" w:hAnsi="Arial"/>
                                <w:b/>
                                <w:color w:val="FFFFFF"/>
                                <w:sz w:val="13"/>
                              </w:rPr>
                              <w:t>Financeiro</w:t>
                            </w:r>
                            <w:r>
                              <w:rPr>
                                <w:rFonts w:ascii="Arial" w:hAnsi="Arial"/>
                                <w:b/>
                                <w:color w:val="FFFFFF"/>
                                <w:spacing w:val="-6"/>
                                <w:sz w:val="13"/>
                              </w:rPr>
                              <w:t xml:space="preserve"> </w:t>
                            </w:r>
                            <w:r>
                              <w:rPr>
                                <w:rFonts w:ascii="Arial" w:hAnsi="Arial"/>
                                <w:b/>
                                <w:color w:val="FFFFFF"/>
                                <w:spacing w:val="-2"/>
                                <w:sz w:val="13"/>
                              </w:rPr>
                              <w:t>Líquido</w:t>
                            </w:r>
                          </w:p>
                        </w:tc>
                        <w:tc>
                          <w:tcPr>
                            <w:tcW w:w="883" w:type="dxa"/>
                            <w:shd w:val="clear" w:color="auto" w:fill="0000FF"/>
                          </w:tcPr>
                          <w:p w14:paraId="77F38159" w14:textId="77777777" w:rsidR="002C6574" w:rsidRDefault="00000000">
                            <w:pPr>
                              <w:pStyle w:val="TableParagraph"/>
                              <w:spacing w:before="31"/>
                              <w:ind w:left="328"/>
                              <w:jc w:val="left"/>
                              <w:rPr>
                                <w:rFonts w:ascii="Arial"/>
                                <w:b/>
                                <w:sz w:val="13"/>
                              </w:rPr>
                            </w:pPr>
                            <w:r>
                              <w:rPr>
                                <w:rFonts w:ascii="Arial"/>
                                <w:b/>
                                <w:color w:val="FFFFFF"/>
                                <w:spacing w:val="-2"/>
                                <w:sz w:val="13"/>
                              </w:rPr>
                              <w:t>(78.433)</w:t>
                            </w:r>
                          </w:p>
                          <w:p w14:paraId="53B62380" w14:textId="77777777" w:rsidR="002C6574" w:rsidRDefault="00000000">
                            <w:pPr>
                              <w:pStyle w:val="TableParagraph"/>
                              <w:spacing w:before="67"/>
                              <w:ind w:left="328"/>
                              <w:jc w:val="left"/>
                              <w:rPr>
                                <w:rFonts w:ascii="Arial"/>
                                <w:b/>
                                <w:sz w:val="13"/>
                              </w:rPr>
                            </w:pPr>
                            <w:r>
                              <w:rPr>
                                <w:rFonts w:ascii="Arial"/>
                                <w:b/>
                                <w:color w:val="FFFFFF"/>
                                <w:spacing w:val="-2"/>
                                <w:sz w:val="13"/>
                              </w:rPr>
                              <w:t>(14.833)</w:t>
                            </w:r>
                          </w:p>
                        </w:tc>
                        <w:tc>
                          <w:tcPr>
                            <w:tcW w:w="696" w:type="dxa"/>
                            <w:shd w:val="clear" w:color="auto" w:fill="0000FF"/>
                          </w:tcPr>
                          <w:p w14:paraId="0D7CBC32" w14:textId="77777777" w:rsidR="002C6574" w:rsidRDefault="00000000">
                            <w:pPr>
                              <w:pStyle w:val="TableParagraph"/>
                              <w:spacing w:before="31"/>
                              <w:ind w:left="117"/>
                              <w:jc w:val="left"/>
                              <w:rPr>
                                <w:rFonts w:ascii="Arial"/>
                                <w:b/>
                                <w:sz w:val="13"/>
                              </w:rPr>
                            </w:pPr>
                            <w:r>
                              <w:rPr>
                                <w:rFonts w:ascii="Arial"/>
                                <w:b/>
                                <w:color w:val="FFFFFF"/>
                                <w:spacing w:val="-2"/>
                                <w:sz w:val="13"/>
                              </w:rPr>
                              <w:t>(56.190)</w:t>
                            </w:r>
                          </w:p>
                          <w:p w14:paraId="054C83B7" w14:textId="77777777" w:rsidR="002C6574" w:rsidRDefault="00000000">
                            <w:pPr>
                              <w:pStyle w:val="TableParagraph"/>
                              <w:spacing w:before="67"/>
                              <w:ind w:left="117"/>
                              <w:jc w:val="left"/>
                              <w:rPr>
                                <w:rFonts w:ascii="Arial"/>
                                <w:b/>
                                <w:sz w:val="13"/>
                              </w:rPr>
                            </w:pPr>
                            <w:r>
                              <w:rPr>
                                <w:rFonts w:ascii="Arial"/>
                                <w:b/>
                                <w:color w:val="FFFFFF"/>
                                <w:spacing w:val="-2"/>
                                <w:sz w:val="13"/>
                              </w:rPr>
                              <w:t>(25.971)</w:t>
                            </w:r>
                          </w:p>
                        </w:tc>
                        <w:tc>
                          <w:tcPr>
                            <w:tcW w:w="648" w:type="dxa"/>
                            <w:shd w:val="clear" w:color="auto" w:fill="0000FF"/>
                          </w:tcPr>
                          <w:p w14:paraId="6365A3C6" w14:textId="77777777" w:rsidR="002C6574" w:rsidRDefault="00000000">
                            <w:pPr>
                              <w:pStyle w:val="TableParagraph"/>
                              <w:spacing w:before="31"/>
                              <w:ind w:left="94"/>
                              <w:jc w:val="left"/>
                              <w:rPr>
                                <w:rFonts w:ascii="Arial"/>
                                <w:b/>
                                <w:sz w:val="13"/>
                              </w:rPr>
                            </w:pPr>
                            <w:r>
                              <w:rPr>
                                <w:rFonts w:ascii="Arial"/>
                                <w:b/>
                                <w:color w:val="FFFFFF"/>
                                <w:spacing w:val="-2"/>
                                <w:sz w:val="13"/>
                              </w:rPr>
                              <w:t>(71.134)</w:t>
                            </w:r>
                          </w:p>
                          <w:p w14:paraId="4D48C7C8" w14:textId="77777777" w:rsidR="002C6574" w:rsidRDefault="00000000">
                            <w:pPr>
                              <w:pStyle w:val="TableParagraph"/>
                              <w:spacing w:before="67"/>
                              <w:ind w:left="94"/>
                              <w:jc w:val="left"/>
                              <w:rPr>
                                <w:rFonts w:ascii="Arial"/>
                                <w:b/>
                                <w:sz w:val="13"/>
                              </w:rPr>
                            </w:pPr>
                            <w:r>
                              <w:rPr>
                                <w:rFonts w:ascii="Arial"/>
                                <w:b/>
                                <w:color w:val="FFFFFF"/>
                                <w:spacing w:val="-2"/>
                                <w:sz w:val="13"/>
                              </w:rPr>
                              <w:t>(12.682)</w:t>
                            </w:r>
                          </w:p>
                        </w:tc>
                      </w:tr>
                    </w:tbl>
                    <w:p w14:paraId="39B8027A" w14:textId="77777777" w:rsidR="002C6574" w:rsidRDefault="002C6574">
                      <w:pPr>
                        <w:pStyle w:val="Corpodetexto"/>
                      </w:pPr>
                    </w:p>
                  </w:txbxContent>
                </v:textbox>
                <w10:wrap anchorx="page"/>
              </v:shape>
            </w:pict>
          </mc:Fallback>
        </mc:AlternateContent>
      </w:r>
      <w:r>
        <w:rPr>
          <w:rFonts w:ascii="Arial"/>
          <w:b/>
          <w:spacing w:val="-2"/>
          <w:sz w:val="13"/>
        </w:rPr>
        <w:t>Trimestres</w:t>
      </w:r>
    </w:p>
    <w:p w14:paraId="780EE663" w14:textId="77777777" w:rsidR="002C6574" w:rsidRDefault="00000000">
      <w:pPr>
        <w:tabs>
          <w:tab w:val="left" w:pos="8732"/>
          <w:tab w:val="left" w:pos="9582"/>
        </w:tabs>
        <w:spacing w:before="106" w:after="15"/>
        <w:ind w:left="6954"/>
        <w:rPr>
          <w:rFonts w:ascii="Arial" w:hAnsi="Arial"/>
          <w:b/>
          <w:sz w:val="16"/>
        </w:rPr>
      </w:pPr>
      <w:r>
        <w:rPr>
          <w:rFonts w:ascii="Times New Roman" w:hAnsi="Times New Roman"/>
          <w:color w:val="FFFFFF"/>
          <w:spacing w:val="40"/>
          <w:sz w:val="16"/>
          <w:highlight w:val="blue"/>
        </w:rPr>
        <w:t xml:space="preserve"> </w:t>
      </w:r>
      <w:r>
        <w:rPr>
          <w:rFonts w:ascii="Arial" w:hAnsi="Arial"/>
          <w:b/>
          <w:color w:val="FFFFFF"/>
          <w:sz w:val="16"/>
          <w:highlight w:val="blue"/>
        </w:rPr>
        <w:t>Δ Ano</w:t>
      </w:r>
      <w:r>
        <w:rPr>
          <w:rFonts w:ascii="Arial" w:hAnsi="Arial"/>
          <w:b/>
          <w:color w:val="FFFFFF"/>
          <w:spacing w:val="80"/>
          <w:w w:val="150"/>
          <w:sz w:val="16"/>
          <w:highlight w:val="blue"/>
        </w:rPr>
        <w:t xml:space="preserve"> </w:t>
      </w:r>
      <w:r>
        <w:rPr>
          <w:rFonts w:ascii="Arial" w:hAnsi="Arial"/>
          <w:b/>
          <w:color w:val="FFFFFF"/>
          <w:sz w:val="16"/>
          <w:highlight w:val="blue"/>
        </w:rPr>
        <w:t>Δ Trim.</w:t>
      </w:r>
      <w:r>
        <w:rPr>
          <w:rFonts w:ascii="Arial" w:hAnsi="Arial"/>
          <w:b/>
          <w:color w:val="FFFFFF"/>
          <w:spacing w:val="28"/>
          <w:sz w:val="16"/>
          <w:highlight w:val="blue"/>
        </w:rPr>
        <w:t xml:space="preserve"> </w:t>
      </w:r>
      <w:r>
        <w:rPr>
          <w:rFonts w:ascii="Arial" w:hAnsi="Arial"/>
          <w:b/>
          <w:color w:val="FFFFFF"/>
          <w:spacing w:val="114"/>
          <w:sz w:val="16"/>
        </w:rPr>
        <w:t xml:space="preserve"> </w:t>
      </w:r>
      <w:r>
        <w:rPr>
          <w:rFonts w:ascii="Arial" w:hAnsi="Arial"/>
          <w:b/>
          <w:color w:val="FFFFFF"/>
          <w:sz w:val="16"/>
          <w:highlight w:val="blue"/>
        </w:rPr>
        <w:tab/>
      </w:r>
      <w:r>
        <w:rPr>
          <w:rFonts w:ascii="Arial" w:hAnsi="Arial"/>
          <w:b/>
          <w:color w:val="FFFFFF"/>
          <w:spacing w:val="-4"/>
          <w:sz w:val="16"/>
          <w:highlight w:val="blue"/>
        </w:rPr>
        <w:t>2025</w:t>
      </w:r>
      <w:r>
        <w:rPr>
          <w:rFonts w:ascii="Arial" w:hAnsi="Arial"/>
          <w:b/>
          <w:color w:val="FFFFFF"/>
          <w:sz w:val="16"/>
          <w:highlight w:val="blue"/>
        </w:rPr>
        <w:tab/>
        <w:t>2024</w:t>
      </w:r>
      <w:r>
        <w:rPr>
          <w:rFonts w:ascii="Arial" w:hAnsi="Arial"/>
          <w:b/>
          <w:color w:val="FFFFFF"/>
          <w:spacing w:val="151"/>
          <w:sz w:val="16"/>
          <w:highlight w:val="blue"/>
        </w:rPr>
        <w:t xml:space="preserve"> </w:t>
      </w:r>
      <w:r>
        <w:rPr>
          <w:rFonts w:ascii="Arial" w:hAnsi="Arial"/>
          <w:b/>
          <w:color w:val="FFFFFF"/>
          <w:spacing w:val="110"/>
          <w:sz w:val="16"/>
        </w:rPr>
        <w:t xml:space="preserve"> </w:t>
      </w:r>
      <w:r>
        <w:rPr>
          <w:rFonts w:ascii="Times New Roman" w:hAnsi="Times New Roman"/>
          <w:color w:val="FFFFFF"/>
          <w:spacing w:val="34"/>
          <w:sz w:val="16"/>
          <w:highlight w:val="blue"/>
        </w:rPr>
        <w:t xml:space="preserve"> </w:t>
      </w:r>
      <w:r>
        <w:rPr>
          <w:rFonts w:ascii="Arial" w:hAnsi="Arial"/>
          <w:b/>
          <w:color w:val="FFFFFF"/>
          <w:sz w:val="16"/>
          <w:highlight w:val="blue"/>
        </w:rPr>
        <w:t xml:space="preserve">Δ </w:t>
      </w:r>
      <w:r>
        <w:rPr>
          <w:rFonts w:ascii="Arial" w:hAnsi="Arial"/>
          <w:b/>
          <w:color w:val="FFFFFF"/>
          <w:spacing w:val="-5"/>
          <w:sz w:val="16"/>
          <w:highlight w:val="blue"/>
        </w:rPr>
        <w:t>Ano</w:t>
      </w:r>
      <w:r>
        <w:rPr>
          <w:rFonts w:ascii="Arial" w:hAnsi="Arial"/>
          <w:b/>
          <w:color w:val="FFFFFF"/>
          <w:spacing w:val="80"/>
          <w:sz w:val="16"/>
          <w:highlight w:val="blue"/>
        </w:rPr>
        <w:t xml:space="preserve"> </w:t>
      </w:r>
    </w:p>
    <w:tbl>
      <w:tblPr>
        <w:tblStyle w:val="TableNormal"/>
        <w:tblW w:w="0" w:type="auto"/>
        <w:tblInd w:w="6949" w:type="dxa"/>
        <w:tblLayout w:type="fixed"/>
        <w:tblLook w:val="01E0" w:firstRow="1" w:lastRow="1" w:firstColumn="1" w:lastColumn="1" w:noHBand="0" w:noVBand="0"/>
      </w:tblPr>
      <w:tblGrid>
        <w:gridCol w:w="694"/>
        <w:gridCol w:w="641"/>
        <w:gridCol w:w="159"/>
        <w:gridCol w:w="950"/>
        <w:gridCol w:w="751"/>
        <w:gridCol w:w="156"/>
        <w:gridCol w:w="637"/>
      </w:tblGrid>
      <w:tr w:rsidR="002C6574" w14:paraId="5E250EE6" w14:textId="77777777">
        <w:trPr>
          <w:trHeight w:val="432"/>
        </w:trPr>
        <w:tc>
          <w:tcPr>
            <w:tcW w:w="694" w:type="dxa"/>
          </w:tcPr>
          <w:p w14:paraId="6EA95122" w14:textId="77777777" w:rsidR="002C6574" w:rsidRDefault="002C6574">
            <w:pPr>
              <w:pStyle w:val="TableParagraph"/>
              <w:spacing w:before="98"/>
              <w:jc w:val="left"/>
              <w:rPr>
                <w:rFonts w:ascii="Arial"/>
                <w:b/>
                <w:sz w:val="13"/>
              </w:rPr>
            </w:pPr>
          </w:p>
          <w:p w14:paraId="709A7837" w14:textId="77777777" w:rsidR="002C6574" w:rsidRDefault="00000000">
            <w:pPr>
              <w:pStyle w:val="TableParagraph"/>
              <w:ind w:left="67" w:right="69"/>
              <w:jc w:val="center"/>
              <w:rPr>
                <w:rFonts w:ascii="Arial MT"/>
                <w:sz w:val="13"/>
              </w:rPr>
            </w:pPr>
            <w:r>
              <w:rPr>
                <w:rFonts w:ascii="Arial MT"/>
                <w:spacing w:val="-2"/>
                <w:sz w:val="13"/>
              </w:rPr>
              <w:t>100,8%</w:t>
            </w:r>
          </w:p>
        </w:tc>
        <w:tc>
          <w:tcPr>
            <w:tcW w:w="800" w:type="dxa"/>
            <w:gridSpan w:val="2"/>
          </w:tcPr>
          <w:p w14:paraId="7102C15A" w14:textId="77777777" w:rsidR="002C6574" w:rsidRDefault="002C6574">
            <w:pPr>
              <w:pStyle w:val="TableParagraph"/>
              <w:spacing w:before="98"/>
              <w:jc w:val="left"/>
              <w:rPr>
                <w:rFonts w:ascii="Arial"/>
                <w:b/>
                <w:sz w:val="13"/>
              </w:rPr>
            </w:pPr>
          </w:p>
          <w:p w14:paraId="11C07EC7" w14:textId="77777777" w:rsidR="002C6574" w:rsidRDefault="00000000">
            <w:pPr>
              <w:pStyle w:val="TableParagraph"/>
              <w:ind w:left="201"/>
              <w:jc w:val="left"/>
              <w:rPr>
                <w:rFonts w:ascii="Arial MT"/>
                <w:sz w:val="13"/>
              </w:rPr>
            </w:pPr>
            <w:r>
              <w:rPr>
                <w:rFonts w:ascii="Arial MT"/>
                <w:spacing w:val="-2"/>
                <w:sz w:val="13"/>
              </w:rPr>
              <w:t>11,5%</w:t>
            </w:r>
          </w:p>
        </w:tc>
        <w:tc>
          <w:tcPr>
            <w:tcW w:w="950" w:type="dxa"/>
            <w:shd w:val="clear" w:color="auto" w:fill="66FFFF"/>
          </w:tcPr>
          <w:p w14:paraId="20CC4D1F" w14:textId="77777777" w:rsidR="002C6574" w:rsidRDefault="002C6574">
            <w:pPr>
              <w:pStyle w:val="TableParagraph"/>
              <w:spacing w:before="98"/>
              <w:jc w:val="left"/>
              <w:rPr>
                <w:rFonts w:ascii="Arial"/>
                <w:b/>
                <w:sz w:val="13"/>
              </w:rPr>
            </w:pPr>
          </w:p>
          <w:p w14:paraId="58B753E9" w14:textId="77777777" w:rsidR="002C6574" w:rsidRDefault="00000000">
            <w:pPr>
              <w:pStyle w:val="TableParagraph"/>
              <w:ind w:right="67"/>
              <w:rPr>
                <w:rFonts w:ascii="Arial MT"/>
                <w:sz w:val="13"/>
              </w:rPr>
            </w:pPr>
            <w:r>
              <w:rPr>
                <w:rFonts w:ascii="Arial MT"/>
                <w:spacing w:val="-2"/>
                <w:sz w:val="13"/>
              </w:rPr>
              <w:t>194.343</w:t>
            </w:r>
          </w:p>
        </w:tc>
        <w:tc>
          <w:tcPr>
            <w:tcW w:w="751" w:type="dxa"/>
          </w:tcPr>
          <w:p w14:paraId="0C1AED96" w14:textId="77777777" w:rsidR="002C6574" w:rsidRDefault="002C6574">
            <w:pPr>
              <w:pStyle w:val="TableParagraph"/>
              <w:spacing w:before="98"/>
              <w:jc w:val="left"/>
              <w:rPr>
                <w:rFonts w:ascii="Arial"/>
                <w:b/>
                <w:sz w:val="13"/>
              </w:rPr>
            </w:pPr>
          </w:p>
          <w:p w14:paraId="0019421A" w14:textId="77777777" w:rsidR="002C6574" w:rsidRDefault="00000000">
            <w:pPr>
              <w:pStyle w:val="TableParagraph"/>
              <w:ind w:right="67"/>
              <w:rPr>
                <w:rFonts w:ascii="Arial MT"/>
                <w:sz w:val="13"/>
              </w:rPr>
            </w:pPr>
            <w:r>
              <w:rPr>
                <w:rFonts w:ascii="Arial MT"/>
                <w:spacing w:val="-2"/>
                <w:sz w:val="13"/>
              </w:rPr>
              <w:t>116.459</w:t>
            </w:r>
          </w:p>
        </w:tc>
        <w:tc>
          <w:tcPr>
            <w:tcW w:w="793" w:type="dxa"/>
            <w:gridSpan w:val="2"/>
          </w:tcPr>
          <w:p w14:paraId="6409922B" w14:textId="77777777" w:rsidR="002C6574" w:rsidRDefault="002C6574">
            <w:pPr>
              <w:pStyle w:val="TableParagraph"/>
              <w:spacing w:before="98"/>
              <w:jc w:val="left"/>
              <w:rPr>
                <w:rFonts w:ascii="Arial"/>
                <w:b/>
                <w:sz w:val="13"/>
              </w:rPr>
            </w:pPr>
          </w:p>
          <w:p w14:paraId="5E397AB3" w14:textId="77777777" w:rsidR="002C6574" w:rsidRDefault="00000000">
            <w:pPr>
              <w:pStyle w:val="TableParagraph"/>
              <w:ind w:left="338"/>
              <w:jc w:val="left"/>
              <w:rPr>
                <w:rFonts w:ascii="Arial MT"/>
                <w:sz w:val="13"/>
              </w:rPr>
            </w:pPr>
            <w:r>
              <w:rPr>
                <w:rFonts w:ascii="Arial MT"/>
                <w:spacing w:val="-2"/>
                <w:sz w:val="13"/>
              </w:rPr>
              <w:t>66,9%</w:t>
            </w:r>
          </w:p>
        </w:tc>
      </w:tr>
      <w:tr w:rsidR="002C6574" w14:paraId="2132ECFB" w14:textId="77777777">
        <w:trPr>
          <w:trHeight w:val="215"/>
        </w:trPr>
        <w:tc>
          <w:tcPr>
            <w:tcW w:w="694" w:type="dxa"/>
          </w:tcPr>
          <w:p w14:paraId="4EB980A5" w14:textId="77777777" w:rsidR="002C6574" w:rsidRDefault="00000000">
            <w:pPr>
              <w:pStyle w:val="TableParagraph"/>
              <w:spacing w:before="31"/>
              <w:ind w:left="67" w:right="69"/>
              <w:jc w:val="center"/>
              <w:rPr>
                <w:rFonts w:ascii="Arial MT"/>
                <w:sz w:val="13"/>
              </w:rPr>
            </w:pPr>
            <w:r>
              <w:rPr>
                <w:rFonts w:ascii="Arial MT"/>
                <w:spacing w:val="-2"/>
                <w:sz w:val="13"/>
              </w:rPr>
              <w:t>524,1%</w:t>
            </w:r>
          </w:p>
        </w:tc>
        <w:tc>
          <w:tcPr>
            <w:tcW w:w="800" w:type="dxa"/>
            <w:gridSpan w:val="2"/>
          </w:tcPr>
          <w:p w14:paraId="3D8913C8" w14:textId="77777777" w:rsidR="002C6574" w:rsidRDefault="00000000">
            <w:pPr>
              <w:pStyle w:val="TableParagraph"/>
              <w:spacing w:before="31"/>
              <w:ind w:left="230"/>
              <w:jc w:val="left"/>
              <w:rPr>
                <w:rFonts w:ascii="Arial MT"/>
                <w:sz w:val="13"/>
              </w:rPr>
            </w:pPr>
            <w:r>
              <w:rPr>
                <w:rFonts w:ascii="Arial MT"/>
                <w:spacing w:val="-2"/>
                <w:sz w:val="13"/>
              </w:rPr>
              <w:t>-</w:t>
            </w:r>
            <w:r>
              <w:rPr>
                <w:rFonts w:ascii="Arial MT"/>
                <w:spacing w:val="-4"/>
                <w:sz w:val="13"/>
              </w:rPr>
              <w:t>8,7%</w:t>
            </w:r>
          </w:p>
        </w:tc>
        <w:tc>
          <w:tcPr>
            <w:tcW w:w="950" w:type="dxa"/>
            <w:shd w:val="clear" w:color="auto" w:fill="66FFFF"/>
          </w:tcPr>
          <w:p w14:paraId="4EC8B154" w14:textId="77777777" w:rsidR="002C6574" w:rsidRDefault="00000000">
            <w:pPr>
              <w:pStyle w:val="TableParagraph"/>
              <w:spacing w:before="31"/>
              <w:ind w:right="67"/>
              <w:rPr>
                <w:rFonts w:ascii="Arial MT"/>
                <w:sz w:val="13"/>
              </w:rPr>
            </w:pPr>
            <w:r>
              <w:rPr>
                <w:rFonts w:ascii="Arial MT"/>
                <w:spacing w:val="-2"/>
                <w:sz w:val="13"/>
              </w:rPr>
              <w:t>18.867</w:t>
            </w:r>
          </w:p>
        </w:tc>
        <w:tc>
          <w:tcPr>
            <w:tcW w:w="751" w:type="dxa"/>
          </w:tcPr>
          <w:p w14:paraId="0447BCE9" w14:textId="77777777" w:rsidR="002C6574" w:rsidRDefault="00000000">
            <w:pPr>
              <w:pStyle w:val="TableParagraph"/>
              <w:spacing w:before="31"/>
              <w:ind w:right="67"/>
              <w:rPr>
                <w:rFonts w:ascii="Arial MT"/>
                <w:sz w:val="13"/>
              </w:rPr>
            </w:pPr>
            <w:r>
              <w:rPr>
                <w:rFonts w:ascii="Arial MT"/>
                <w:spacing w:val="-2"/>
                <w:sz w:val="13"/>
              </w:rPr>
              <w:t>2.610</w:t>
            </w:r>
          </w:p>
        </w:tc>
        <w:tc>
          <w:tcPr>
            <w:tcW w:w="793" w:type="dxa"/>
            <w:gridSpan w:val="2"/>
          </w:tcPr>
          <w:p w14:paraId="4F26DE81" w14:textId="77777777" w:rsidR="002C6574" w:rsidRDefault="00000000">
            <w:pPr>
              <w:pStyle w:val="TableParagraph"/>
              <w:spacing w:before="31"/>
              <w:ind w:left="266"/>
              <w:jc w:val="left"/>
              <w:rPr>
                <w:rFonts w:ascii="Arial MT"/>
                <w:sz w:val="13"/>
              </w:rPr>
            </w:pPr>
            <w:r>
              <w:rPr>
                <w:rFonts w:ascii="Arial MT"/>
                <w:spacing w:val="-2"/>
                <w:sz w:val="13"/>
              </w:rPr>
              <w:t>622,9%</w:t>
            </w:r>
          </w:p>
        </w:tc>
      </w:tr>
      <w:tr w:rsidR="002C6574" w14:paraId="6E633FDE" w14:textId="77777777">
        <w:trPr>
          <w:trHeight w:val="215"/>
        </w:trPr>
        <w:tc>
          <w:tcPr>
            <w:tcW w:w="694" w:type="dxa"/>
          </w:tcPr>
          <w:p w14:paraId="39BA2529" w14:textId="77777777" w:rsidR="002C6574" w:rsidRDefault="00000000">
            <w:pPr>
              <w:pStyle w:val="TableParagraph"/>
              <w:spacing w:before="30"/>
              <w:ind w:left="69" w:right="2"/>
              <w:jc w:val="center"/>
              <w:rPr>
                <w:rFonts w:ascii="Arial MT"/>
                <w:sz w:val="13"/>
              </w:rPr>
            </w:pPr>
            <w:r>
              <w:rPr>
                <w:rFonts w:ascii="Arial MT"/>
                <w:spacing w:val="-2"/>
                <w:sz w:val="13"/>
              </w:rPr>
              <w:t>32,9%</w:t>
            </w:r>
          </w:p>
        </w:tc>
        <w:tc>
          <w:tcPr>
            <w:tcW w:w="800" w:type="dxa"/>
            <w:gridSpan w:val="2"/>
          </w:tcPr>
          <w:p w14:paraId="353076C7" w14:textId="77777777" w:rsidR="002C6574" w:rsidRDefault="00000000">
            <w:pPr>
              <w:pStyle w:val="TableParagraph"/>
              <w:spacing w:before="30"/>
              <w:ind w:left="158"/>
              <w:jc w:val="left"/>
              <w:rPr>
                <w:rFonts w:ascii="Arial MT"/>
                <w:sz w:val="13"/>
              </w:rPr>
            </w:pPr>
            <w:r>
              <w:rPr>
                <w:rFonts w:ascii="Arial MT"/>
                <w:spacing w:val="-2"/>
                <w:sz w:val="13"/>
              </w:rPr>
              <w:t>-48,5%</w:t>
            </w:r>
          </w:p>
        </w:tc>
        <w:tc>
          <w:tcPr>
            <w:tcW w:w="950" w:type="dxa"/>
            <w:shd w:val="clear" w:color="auto" w:fill="66FFFF"/>
          </w:tcPr>
          <w:p w14:paraId="1F4984D0" w14:textId="77777777" w:rsidR="002C6574" w:rsidRDefault="00000000">
            <w:pPr>
              <w:pStyle w:val="TableParagraph"/>
              <w:spacing w:before="30"/>
              <w:ind w:right="67"/>
              <w:rPr>
                <w:rFonts w:ascii="Arial MT"/>
                <w:sz w:val="13"/>
              </w:rPr>
            </w:pPr>
            <w:r>
              <w:rPr>
                <w:rFonts w:ascii="Arial MT"/>
                <w:spacing w:val="-2"/>
                <w:sz w:val="13"/>
              </w:rPr>
              <w:t>12.724</w:t>
            </w:r>
          </w:p>
        </w:tc>
        <w:tc>
          <w:tcPr>
            <w:tcW w:w="751" w:type="dxa"/>
          </w:tcPr>
          <w:p w14:paraId="6278F534" w14:textId="77777777" w:rsidR="002C6574" w:rsidRDefault="00000000">
            <w:pPr>
              <w:pStyle w:val="TableParagraph"/>
              <w:spacing w:before="30"/>
              <w:ind w:right="67"/>
              <w:rPr>
                <w:rFonts w:ascii="Arial MT"/>
                <w:sz w:val="13"/>
              </w:rPr>
            </w:pPr>
            <w:r>
              <w:rPr>
                <w:rFonts w:ascii="Arial MT"/>
                <w:spacing w:val="-2"/>
                <w:sz w:val="13"/>
              </w:rPr>
              <w:t>10.871</w:t>
            </w:r>
          </w:p>
        </w:tc>
        <w:tc>
          <w:tcPr>
            <w:tcW w:w="793" w:type="dxa"/>
            <w:gridSpan w:val="2"/>
          </w:tcPr>
          <w:p w14:paraId="5563BD55" w14:textId="77777777" w:rsidR="002C6574" w:rsidRDefault="00000000">
            <w:pPr>
              <w:pStyle w:val="TableParagraph"/>
              <w:spacing w:before="30"/>
              <w:ind w:left="338"/>
              <w:jc w:val="left"/>
              <w:rPr>
                <w:rFonts w:ascii="Arial MT"/>
                <w:sz w:val="13"/>
              </w:rPr>
            </w:pPr>
            <w:r>
              <w:rPr>
                <w:rFonts w:ascii="Arial MT"/>
                <w:spacing w:val="-2"/>
                <w:sz w:val="13"/>
              </w:rPr>
              <w:t>17,0%</w:t>
            </w:r>
          </w:p>
        </w:tc>
      </w:tr>
      <w:tr w:rsidR="002C6574" w14:paraId="4B5791BA" w14:textId="77777777">
        <w:trPr>
          <w:trHeight w:val="215"/>
        </w:trPr>
        <w:tc>
          <w:tcPr>
            <w:tcW w:w="694" w:type="dxa"/>
          </w:tcPr>
          <w:p w14:paraId="70960741" w14:textId="77777777" w:rsidR="002C6574" w:rsidRDefault="00000000">
            <w:pPr>
              <w:pStyle w:val="TableParagraph"/>
              <w:spacing w:before="31"/>
              <w:ind w:left="69" w:right="2"/>
              <w:jc w:val="center"/>
              <w:rPr>
                <w:rFonts w:ascii="Arial MT"/>
                <w:sz w:val="13"/>
              </w:rPr>
            </w:pPr>
            <w:r>
              <w:rPr>
                <w:rFonts w:ascii="Arial MT"/>
                <w:spacing w:val="-2"/>
                <w:sz w:val="13"/>
              </w:rPr>
              <w:t>23,1%</w:t>
            </w:r>
          </w:p>
        </w:tc>
        <w:tc>
          <w:tcPr>
            <w:tcW w:w="800" w:type="dxa"/>
            <w:gridSpan w:val="2"/>
          </w:tcPr>
          <w:p w14:paraId="46A14020" w14:textId="77777777" w:rsidR="002C6574" w:rsidRDefault="00000000">
            <w:pPr>
              <w:pStyle w:val="TableParagraph"/>
              <w:spacing w:before="31"/>
              <w:ind w:left="276"/>
              <w:jc w:val="left"/>
              <w:rPr>
                <w:rFonts w:ascii="Arial MT"/>
                <w:sz w:val="13"/>
              </w:rPr>
            </w:pPr>
            <w:r>
              <w:rPr>
                <w:rFonts w:ascii="Arial MT"/>
                <w:spacing w:val="-4"/>
                <w:sz w:val="13"/>
              </w:rPr>
              <w:t>0,2%</w:t>
            </w:r>
          </w:p>
        </w:tc>
        <w:tc>
          <w:tcPr>
            <w:tcW w:w="950" w:type="dxa"/>
            <w:shd w:val="clear" w:color="auto" w:fill="66FFFF"/>
          </w:tcPr>
          <w:p w14:paraId="3325DAAD" w14:textId="77777777" w:rsidR="002C6574" w:rsidRDefault="00000000">
            <w:pPr>
              <w:pStyle w:val="TableParagraph"/>
              <w:spacing w:before="31"/>
              <w:ind w:right="67"/>
              <w:rPr>
                <w:rFonts w:ascii="Arial MT"/>
                <w:sz w:val="13"/>
              </w:rPr>
            </w:pPr>
            <w:r>
              <w:rPr>
                <w:rFonts w:ascii="Arial MT"/>
                <w:spacing w:val="-2"/>
                <w:sz w:val="13"/>
              </w:rPr>
              <w:t>4.534</w:t>
            </w:r>
          </w:p>
        </w:tc>
        <w:tc>
          <w:tcPr>
            <w:tcW w:w="751" w:type="dxa"/>
          </w:tcPr>
          <w:p w14:paraId="4E42EA86" w14:textId="77777777" w:rsidR="002C6574" w:rsidRDefault="00000000">
            <w:pPr>
              <w:pStyle w:val="TableParagraph"/>
              <w:spacing w:before="31"/>
              <w:ind w:right="67"/>
              <w:rPr>
                <w:rFonts w:ascii="Arial MT"/>
                <w:sz w:val="13"/>
              </w:rPr>
            </w:pPr>
            <w:r>
              <w:rPr>
                <w:rFonts w:ascii="Arial MT"/>
                <w:spacing w:val="-2"/>
                <w:sz w:val="13"/>
              </w:rPr>
              <w:t>3.644</w:t>
            </w:r>
          </w:p>
        </w:tc>
        <w:tc>
          <w:tcPr>
            <w:tcW w:w="793" w:type="dxa"/>
            <w:gridSpan w:val="2"/>
          </w:tcPr>
          <w:p w14:paraId="782C020C" w14:textId="77777777" w:rsidR="002C6574" w:rsidRDefault="00000000">
            <w:pPr>
              <w:pStyle w:val="TableParagraph"/>
              <w:spacing w:before="31"/>
              <w:ind w:left="338"/>
              <w:jc w:val="left"/>
              <w:rPr>
                <w:rFonts w:ascii="Arial MT"/>
                <w:sz w:val="13"/>
              </w:rPr>
            </w:pPr>
            <w:r>
              <w:rPr>
                <w:rFonts w:ascii="Arial MT"/>
                <w:spacing w:val="-2"/>
                <w:sz w:val="13"/>
              </w:rPr>
              <w:t>24,4%</w:t>
            </w:r>
          </w:p>
        </w:tc>
      </w:tr>
      <w:tr w:rsidR="002C6574" w14:paraId="79588AE5" w14:textId="77777777">
        <w:trPr>
          <w:trHeight w:val="214"/>
        </w:trPr>
        <w:tc>
          <w:tcPr>
            <w:tcW w:w="694" w:type="dxa"/>
          </w:tcPr>
          <w:p w14:paraId="797E60B6" w14:textId="77777777" w:rsidR="002C6574" w:rsidRDefault="00000000">
            <w:pPr>
              <w:pStyle w:val="TableParagraph"/>
              <w:spacing w:before="31"/>
              <w:ind w:left="67" w:right="69"/>
              <w:jc w:val="center"/>
              <w:rPr>
                <w:rFonts w:ascii="Arial MT"/>
                <w:sz w:val="13"/>
              </w:rPr>
            </w:pPr>
            <w:r>
              <w:rPr>
                <w:rFonts w:ascii="Arial MT"/>
                <w:spacing w:val="-2"/>
                <w:sz w:val="13"/>
              </w:rPr>
              <w:t>100,0%</w:t>
            </w:r>
          </w:p>
        </w:tc>
        <w:tc>
          <w:tcPr>
            <w:tcW w:w="800" w:type="dxa"/>
            <w:gridSpan w:val="2"/>
          </w:tcPr>
          <w:p w14:paraId="005125A6" w14:textId="77777777" w:rsidR="002C6574" w:rsidRDefault="00000000">
            <w:pPr>
              <w:pStyle w:val="TableParagraph"/>
              <w:spacing w:before="31"/>
              <w:ind w:left="129"/>
              <w:jc w:val="left"/>
              <w:rPr>
                <w:rFonts w:ascii="Arial MT"/>
                <w:sz w:val="13"/>
              </w:rPr>
            </w:pPr>
            <w:r>
              <w:rPr>
                <w:rFonts w:ascii="Arial MT"/>
                <w:spacing w:val="-2"/>
                <w:sz w:val="13"/>
              </w:rPr>
              <w:t>100,0%</w:t>
            </w:r>
          </w:p>
        </w:tc>
        <w:tc>
          <w:tcPr>
            <w:tcW w:w="950" w:type="dxa"/>
            <w:shd w:val="clear" w:color="auto" w:fill="66FFFF"/>
          </w:tcPr>
          <w:p w14:paraId="441E0AC6" w14:textId="77777777" w:rsidR="002C6574" w:rsidRDefault="00000000">
            <w:pPr>
              <w:pStyle w:val="TableParagraph"/>
              <w:spacing w:before="31"/>
              <w:ind w:right="67"/>
              <w:rPr>
                <w:rFonts w:ascii="Arial MT"/>
                <w:sz w:val="13"/>
              </w:rPr>
            </w:pPr>
            <w:r>
              <w:rPr>
                <w:rFonts w:ascii="Arial MT"/>
                <w:spacing w:val="-2"/>
                <w:sz w:val="13"/>
              </w:rPr>
              <w:t>2.808</w:t>
            </w:r>
          </w:p>
        </w:tc>
        <w:tc>
          <w:tcPr>
            <w:tcW w:w="751" w:type="dxa"/>
          </w:tcPr>
          <w:p w14:paraId="4F9033FC" w14:textId="77777777" w:rsidR="002C6574" w:rsidRDefault="00000000">
            <w:pPr>
              <w:pStyle w:val="TableParagraph"/>
              <w:spacing w:before="31"/>
              <w:ind w:right="67"/>
              <w:rPr>
                <w:rFonts w:ascii="Arial MT"/>
                <w:sz w:val="13"/>
              </w:rPr>
            </w:pPr>
            <w:r>
              <w:rPr>
                <w:rFonts w:ascii="Arial MT"/>
                <w:spacing w:val="-10"/>
                <w:sz w:val="13"/>
              </w:rPr>
              <w:t>-</w:t>
            </w:r>
          </w:p>
        </w:tc>
        <w:tc>
          <w:tcPr>
            <w:tcW w:w="793" w:type="dxa"/>
            <w:gridSpan w:val="2"/>
          </w:tcPr>
          <w:p w14:paraId="6A271B8B" w14:textId="77777777" w:rsidR="002C6574" w:rsidRDefault="00000000">
            <w:pPr>
              <w:pStyle w:val="TableParagraph"/>
              <w:spacing w:before="31"/>
              <w:ind w:left="266"/>
              <w:jc w:val="left"/>
              <w:rPr>
                <w:rFonts w:ascii="Arial MT"/>
                <w:sz w:val="13"/>
              </w:rPr>
            </w:pPr>
            <w:r>
              <w:rPr>
                <w:rFonts w:ascii="Arial MT"/>
                <w:spacing w:val="-2"/>
                <w:sz w:val="13"/>
              </w:rPr>
              <w:t>100,0%</w:t>
            </w:r>
          </w:p>
        </w:tc>
      </w:tr>
      <w:tr w:rsidR="002C6574" w14:paraId="1D47EFFA" w14:textId="77777777">
        <w:trPr>
          <w:trHeight w:val="214"/>
        </w:trPr>
        <w:tc>
          <w:tcPr>
            <w:tcW w:w="694" w:type="dxa"/>
          </w:tcPr>
          <w:p w14:paraId="54D56681" w14:textId="77777777" w:rsidR="002C6574" w:rsidRDefault="00000000">
            <w:pPr>
              <w:pStyle w:val="TableParagraph"/>
              <w:spacing w:before="29"/>
              <w:ind w:left="67" w:right="43"/>
              <w:jc w:val="center"/>
              <w:rPr>
                <w:rFonts w:ascii="Arial MT"/>
                <w:sz w:val="13"/>
              </w:rPr>
            </w:pPr>
            <w:r>
              <w:rPr>
                <w:rFonts w:ascii="Arial MT"/>
                <w:spacing w:val="-2"/>
                <w:sz w:val="13"/>
              </w:rPr>
              <w:t>-51,4%</w:t>
            </w:r>
          </w:p>
        </w:tc>
        <w:tc>
          <w:tcPr>
            <w:tcW w:w="800" w:type="dxa"/>
            <w:gridSpan w:val="2"/>
          </w:tcPr>
          <w:p w14:paraId="19CA51AF" w14:textId="77777777" w:rsidR="002C6574" w:rsidRDefault="00000000">
            <w:pPr>
              <w:pStyle w:val="TableParagraph"/>
              <w:spacing w:before="29"/>
              <w:ind w:left="158"/>
              <w:jc w:val="left"/>
              <w:rPr>
                <w:rFonts w:ascii="Arial MT"/>
                <w:sz w:val="13"/>
              </w:rPr>
            </w:pPr>
            <w:r>
              <w:rPr>
                <w:rFonts w:ascii="Arial MT"/>
                <w:spacing w:val="-2"/>
                <w:sz w:val="13"/>
              </w:rPr>
              <w:t>-65,3%</w:t>
            </w:r>
          </w:p>
        </w:tc>
        <w:tc>
          <w:tcPr>
            <w:tcW w:w="950" w:type="dxa"/>
            <w:shd w:val="clear" w:color="auto" w:fill="66FFFF"/>
          </w:tcPr>
          <w:p w14:paraId="01AC72DB" w14:textId="77777777" w:rsidR="002C6574" w:rsidRDefault="00000000">
            <w:pPr>
              <w:pStyle w:val="TableParagraph"/>
              <w:spacing w:before="29"/>
              <w:ind w:right="67"/>
              <w:rPr>
                <w:rFonts w:ascii="Arial MT"/>
                <w:sz w:val="13"/>
              </w:rPr>
            </w:pPr>
            <w:r>
              <w:rPr>
                <w:rFonts w:ascii="Arial MT"/>
                <w:spacing w:val="-5"/>
                <w:sz w:val="13"/>
              </w:rPr>
              <w:t>254</w:t>
            </w:r>
          </w:p>
        </w:tc>
        <w:tc>
          <w:tcPr>
            <w:tcW w:w="751" w:type="dxa"/>
          </w:tcPr>
          <w:p w14:paraId="4FBEEB96" w14:textId="77777777" w:rsidR="002C6574" w:rsidRDefault="00000000">
            <w:pPr>
              <w:pStyle w:val="TableParagraph"/>
              <w:spacing w:before="29"/>
              <w:ind w:right="67"/>
              <w:rPr>
                <w:rFonts w:ascii="Arial MT"/>
                <w:sz w:val="13"/>
              </w:rPr>
            </w:pPr>
            <w:r>
              <w:rPr>
                <w:rFonts w:ascii="Arial MT"/>
                <w:spacing w:val="-5"/>
                <w:sz w:val="13"/>
              </w:rPr>
              <w:t>867</w:t>
            </w:r>
          </w:p>
        </w:tc>
        <w:tc>
          <w:tcPr>
            <w:tcW w:w="793" w:type="dxa"/>
            <w:gridSpan w:val="2"/>
          </w:tcPr>
          <w:p w14:paraId="6A60C3E4" w14:textId="77777777" w:rsidR="002C6574" w:rsidRDefault="00000000">
            <w:pPr>
              <w:pStyle w:val="TableParagraph"/>
              <w:spacing w:before="29"/>
              <w:ind w:left="295"/>
              <w:jc w:val="left"/>
              <w:rPr>
                <w:rFonts w:ascii="Arial MT"/>
                <w:sz w:val="13"/>
              </w:rPr>
            </w:pPr>
            <w:r>
              <w:rPr>
                <w:rFonts w:ascii="Arial MT"/>
                <w:spacing w:val="-2"/>
                <w:sz w:val="13"/>
              </w:rPr>
              <w:t>-70,7%</w:t>
            </w:r>
          </w:p>
        </w:tc>
      </w:tr>
      <w:tr w:rsidR="002C6574" w14:paraId="1920D5CE" w14:textId="77777777">
        <w:trPr>
          <w:trHeight w:val="212"/>
        </w:trPr>
        <w:tc>
          <w:tcPr>
            <w:tcW w:w="694" w:type="dxa"/>
          </w:tcPr>
          <w:p w14:paraId="6BCDFDBE" w14:textId="77777777" w:rsidR="002C6574" w:rsidRDefault="00000000">
            <w:pPr>
              <w:pStyle w:val="TableParagraph"/>
              <w:spacing w:before="31"/>
              <w:ind w:left="67" w:right="69"/>
              <w:jc w:val="center"/>
              <w:rPr>
                <w:rFonts w:ascii="Arial MT"/>
                <w:sz w:val="13"/>
              </w:rPr>
            </w:pPr>
            <w:r>
              <w:rPr>
                <w:rFonts w:ascii="Arial MT"/>
                <w:spacing w:val="-2"/>
                <w:sz w:val="13"/>
              </w:rPr>
              <w:t>113,4%</w:t>
            </w:r>
          </w:p>
        </w:tc>
        <w:tc>
          <w:tcPr>
            <w:tcW w:w="800" w:type="dxa"/>
            <w:gridSpan w:val="2"/>
          </w:tcPr>
          <w:p w14:paraId="588C5D81" w14:textId="77777777" w:rsidR="002C6574" w:rsidRDefault="00000000">
            <w:pPr>
              <w:pStyle w:val="TableParagraph"/>
              <w:spacing w:before="31"/>
              <w:ind w:left="276"/>
              <w:jc w:val="left"/>
              <w:rPr>
                <w:rFonts w:ascii="Arial MT"/>
                <w:sz w:val="13"/>
              </w:rPr>
            </w:pPr>
            <w:r>
              <w:rPr>
                <w:rFonts w:ascii="Arial MT"/>
                <w:spacing w:val="-4"/>
                <w:sz w:val="13"/>
              </w:rPr>
              <w:t>9,0%</w:t>
            </w:r>
          </w:p>
        </w:tc>
        <w:tc>
          <w:tcPr>
            <w:tcW w:w="950" w:type="dxa"/>
            <w:shd w:val="clear" w:color="auto" w:fill="66FFFF"/>
          </w:tcPr>
          <w:p w14:paraId="1BEC04E4" w14:textId="77777777" w:rsidR="002C6574" w:rsidRDefault="00000000">
            <w:pPr>
              <w:pStyle w:val="TableParagraph"/>
              <w:spacing w:before="31"/>
              <w:ind w:right="69"/>
              <w:rPr>
                <w:rFonts w:ascii="Arial MT"/>
                <w:sz w:val="13"/>
              </w:rPr>
            </w:pPr>
            <w:r>
              <w:rPr>
                <w:rFonts w:ascii="Arial MT"/>
                <w:spacing w:val="-2"/>
                <w:sz w:val="13"/>
              </w:rPr>
              <w:t>(10.649)</w:t>
            </w:r>
          </w:p>
        </w:tc>
        <w:tc>
          <w:tcPr>
            <w:tcW w:w="751" w:type="dxa"/>
          </w:tcPr>
          <w:p w14:paraId="48846F4D" w14:textId="77777777" w:rsidR="002C6574" w:rsidRDefault="00000000">
            <w:pPr>
              <w:pStyle w:val="TableParagraph"/>
              <w:spacing w:before="31"/>
              <w:ind w:right="69"/>
              <w:rPr>
                <w:rFonts w:ascii="Arial MT"/>
                <w:sz w:val="13"/>
              </w:rPr>
            </w:pPr>
            <w:r>
              <w:rPr>
                <w:rFonts w:ascii="Arial MT"/>
                <w:spacing w:val="-2"/>
                <w:sz w:val="13"/>
              </w:rPr>
              <w:t>(6.107)</w:t>
            </w:r>
          </w:p>
        </w:tc>
        <w:tc>
          <w:tcPr>
            <w:tcW w:w="793" w:type="dxa"/>
            <w:gridSpan w:val="2"/>
          </w:tcPr>
          <w:p w14:paraId="1BAEB9F6" w14:textId="77777777" w:rsidR="002C6574" w:rsidRDefault="00000000">
            <w:pPr>
              <w:pStyle w:val="TableParagraph"/>
              <w:spacing w:before="31"/>
              <w:ind w:left="338"/>
              <w:jc w:val="left"/>
              <w:rPr>
                <w:rFonts w:ascii="Arial MT"/>
                <w:sz w:val="13"/>
              </w:rPr>
            </w:pPr>
            <w:r>
              <w:rPr>
                <w:rFonts w:ascii="Arial MT"/>
                <w:spacing w:val="-2"/>
                <w:sz w:val="13"/>
              </w:rPr>
              <w:t>74,4%</w:t>
            </w:r>
          </w:p>
        </w:tc>
      </w:tr>
      <w:tr w:rsidR="002C6574" w14:paraId="3E82EDA3" w14:textId="77777777">
        <w:trPr>
          <w:trHeight w:val="487"/>
        </w:trPr>
        <w:tc>
          <w:tcPr>
            <w:tcW w:w="1494" w:type="dxa"/>
            <w:gridSpan w:val="3"/>
          </w:tcPr>
          <w:p w14:paraId="1BB70599" w14:textId="77777777" w:rsidR="002C6574" w:rsidRDefault="00000000">
            <w:pPr>
              <w:pStyle w:val="TableParagraph"/>
              <w:tabs>
                <w:tab w:val="left" w:pos="970"/>
              </w:tabs>
              <w:spacing w:before="31"/>
              <w:ind w:left="12"/>
              <w:jc w:val="left"/>
              <w:rPr>
                <w:rFonts w:ascii="Arial"/>
                <w:b/>
                <w:sz w:val="13"/>
              </w:rPr>
            </w:pPr>
            <w:r>
              <w:rPr>
                <w:rFonts w:ascii="Arial"/>
                <w:b/>
                <w:color w:val="FFFFFF"/>
                <w:spacing w:val="75"/>
                <w:sz w:val="13"/>
                <w:highlight w:val="blue"/>
              </w:rPr>
              <w:t xml:space="preserve"> </w:t>
            </w:r>
            <w:r>
              <w:rPr>
                <w:rFonts w:ascii="Arial"/>
                <w:b/>
                <w:color w:val="FFFFFF"/>
                <w:spacing w:val="-2"/>
                <w:sz w:val="13"/>
                <w:highlight w:val="blue"/>
              </w:rPr>
              <w:t>110,5%</w:t>
            </w:r>
            <w:r>
              <w:rPr>
                <w:rFonts w:ascii="Arial"/>
                <w:b/>
                <w:color w:val="FFFFFF"/>
                <w:sz w:val="13"/>
                <w:highlight w:val="blue"/>
              </w:rPr>
              <w:tab/>
            </w:r>
            <w:r>
              <w:rPr>
                <w:rFonts w:ascii="Arial"/>
                <w:b/>
                <w:color w:val="FFFFFF"/>
                <w:spacing w:val="-4"/>
                <w:sz w:val="13"/>
                <w:highlight w:val="blue"/>
              </w:rPr>
              <w:t>8,8%</w:t>
            </w:r>
            <w:r>
              <w:rPr>
                <w:rFonts w:ascii="Arial"/>
                <w:b/>
                <w:color w:val="FFFFFF"/>
                <w:spacing w:val="80"/>
                <w:sz w:val="13"/>
                <w:highlight w:val="blue"/>
              </w:rPr>
              <w:t xml:space="preserve"> </w:t>
            </w:r>
          </w:p>
        </w:tc>
        <w:tc>
          <w:tcPr>
            <w:tcW w:w="1701" w:type="dxa"/>
            <w:gridSpan w:val="2"/>
          </w:tcPr>
          <w:p w14:paraId="575E762D" w14:textId="77777777" w:rsidR="002C6574" w:rsidRDefault="00000000">
            <w:pPr>
              <w:pStyle w:val="TableParagraph"/>
              <w:tabs>
                <w:tab w:val="left" w:pos="412"/>
                <w:tab w:val="left" w:pos="1163"/>
              </w:tabs>
              <w:spacing w:before="31"/>
              <w:ind w:left="-1" w:right="-15"/>
              <w:jc w:val="left"/>
              <w:rPr>
                <w:rFonts w:ascii="Arial"/>
                <w:b/>
                <w:sz w:val="13"/>
              </w:rPr>
            </w:pPr>
            <w:r>
              <w:rPr>
                <w:rFonts w:ascii="Arial"/>
                <w:b/>
                <w:noProof/>
                <w:sz w:val="13"/>
              </w:rPr>
              <mc:AlternateContent>
                <mc:Choice Requires="wpg">
                  <w:drawing>
                    <wp:anchor distT="0" distB="0" distL="0" distR="0" simplePos="0" relativeHeight="472599552" behindDoc="1" locked="0" layoutInCell="1" allowOverlap="1" wp14:anchorId="7731DB48" wp14:editId="4EB65F34">
                      <wp:simplePos x="0" y="0"/>
                      <wp:positionH relativeFrom="column">
                        <wp:posOffset>0</wp:posOffset>
                      </wp:positionH>
                      <wp:positionV relativeFrom="paragraph">
                        <wp:posOffset>135215</wp:posOffset>
                      </wp:positionV>
                      <wp:extent cx="603885" cy="969644"/>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85" cy="969644"/>
                                <a:chOff x="0" y="0"/>
                                <a:chExt cx="603885" cy="969644"/>
                              </a:xfrm>
                            </wpg:grpSpPr>
                            <wps:wsp>
                              <wps:cNvPr id="391" name="Graphic 391"/>
                              <wps:cNvSpPr/>
                              <wps:spPr>
                                <a:xfrm>
                                  <a:off x="0" y="0"/>
                                  <a:ext cx="603885" cy="969644"/>
                                </a:xfrm>
                                <a:custGeom>
                                  <a:avLst/>
                                  <a:gdLst/>
                                  <a:ahLst/>
                                  <a:cxnLst/>
                                  <a:rect l="l" t="t" r="r" b="b"/>
                                  <a:pathLst>
                                    <a:path w="603885" h="969644">
                                      <a:moveTo>
                                        <a:pt x="603491" y="13716"/>
                                      </a:moveTo>
                                      <a:lnTo>
                                        <a:pt x="0" y="13716"/>
                                      </a:lnTo>
                                      <a:lnTo>
                                        <a:pt x="0" y="149352"/>
                                      </a:lnTo>
                                      <a:lnTo>
                                        <a:pt x="0" y="286512"/>
                                      </a:lnTo>
                                      <a:lnTo>
                                        <a:pt x="0" y="969264"/>
                                      </a:lnTo>
                                      <a:lnTo>
                                        <a:pt x="603491" y="969264"/>
                                      </a:lnTo>
                                      <a:lnTo>
                                        <a:pt x="603491" y="149352"/>
                                      </a:lnTo>
                                      <a:lnTo>
                                        <a:pt x="603491" y="13716"/>
                                      </a:lnTo>
                                      <a:close/>
                                    </a:path>
                                    <a:path w="603885" h="969644">
                                      <a:moveTo>
                                        <a:pt x="603491" y="0"/>
                                      </a:moveTo>
                                      <a:lnTo>
                                        <a:pt x="0" y="0"/>
                                      </a:lnTo>
                                      <a:lnTo>
                                        <a:pt x="0" y="12192"/>
                                      </a:lnTo>
                                      <a:lnTo>
                                        <a:pt x="603491" y="12192"/>
                                      </a:lnTo>
                                      <a:lnTo>
                                        <a:pt x="603491" y="0"/>
                                      </a:lnTo>
                                      <a:close/>
                                    </a:path>
                                  </a:pathLst>
                                </a:custGeom>
                                <a:solidFill>
                                  <a:srgbClr val="66FFFF"/>
                                </a:solidFill>
                              </wps:spPr>
                              <wps:bodyPr wrap="square" lIns="0" tIns="0" rIns="0" bIns="0" rtlCol="0">
                                <a:prstTxWarp prst="textNoShape">
                                  <a:avLst/>
                                </a:prstTxWarp>
                                <a:noAutofit/>
                              </wps:bodyPr>
                            </wps:wsp>
                          </wpg:wgp>
                        </a:graphicData>
                      </a:graphic>
                    </wp:anchor>
                  </w:drawing>
                </mc:Choice>
                <mc:Fallback>
                  <w:pict>
                    <v:group w14:anchorId="48B79CC5" id="Group 390" o:spid="_x0000_s1026" style="position:absolute;margin-left:0;margin-top:10.65pt;width:47.55pt;height:76.35pt;z-index:-30716928;mso-wrap-distance-left:0;mso-wrap-distance-right:0" coordsize="6038,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">
                      <v:shape id="Graphic 391" o:spid="_x0000_s1027" style="position:absolute;width:6038;height:9696;visibility:visible;mso-wrap-style:square;v-text-anchor:top" coordsize="603885,96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" path="m603491,13716l,13716,,149352,,286512,,969264r603491,l603491,149352r,-135636xem603491,l,,,12192r603491,l603491,xe" fillcolor="#6ff" stroked="f">
                        <v:path arrowok="t"/>
                      </v:shape>
                    </v:group>
                  </w:pict>
                </mc:Fallback>
              </mc:AlternateContent>
            </w:r>
            <w:r>
              <w:rPr>
                <w:rFonts w:ascii="Arial"/>
                <w:b/>
                <w:color w:val="FFFFFF"/>
                <w:sz w:val="13"/>
                <w:highlight w:val="blue"/>
              </w:rPr>
              <w:tab/>
            </w:r>
            <w:r>
              <w:rPr>
                <w:rFonts w:ascii="Arial"/>
                <w:b/>
                <w:color w:val="FFFFFF"/>
                <w:spacing w:val="-2"/>
                <w:sz w:val="13"/>
                <w:highlight w:val="blue"/>
              </w:rPr>
              <w:t>222.881</w:t>
            </w:r>
            <w:r>
              <w:rPr>
                <w:rFonts w:ascii="Arial"/>
                <w:b/>
                <w:color w:val="FFFFFF"/>
                <w:sz w:val="13"/>
                <w:highlight w:val="blue"/>
              </w:rPr>
              <w:tab/>
            </w:r>
            <w:r>
              <w:rPr>
                <w:rFonts w:ascii="Arial"/>
                <w:b/>
                <w:color w:val="FFFFFF"/>
                <w:spacing w:val="-2"/>
                <w:sz w:val="13"/>
                <w:highlight w:val="blue"/>
              </w:rPr>
              <w:t>128.344</w:t>
            </w:r>
            <w:r>
              <w:rPr>
                <w:rFonts w:ascii="Arial"/>
                <w:b/>
                <w:color w:val="FFFFFF"/>
                <w:spacing w:val="80"/>
                <w:sz w:val="13"/>
                <w:highlight w:val="blue"/>
              </w:rPr>
              <w:t xml:space="preserve"> </w:t>
            </w:r>
          </w:p>
        </w:tc>
        <w:tc>
          <w:tcPr>
            <w:tcW w:w="793" w:type="dxa"/>
            <w:gridSpan w:val="2"/>
          </w:tcPr>
          <w:p w14:paraId="5DE89402" w14:textId="77777777" w:rsidR="002C6574" w:rsidRDefault="00000000">
            <w:pPr>
              <w:pStyle w:val="TableParagraph"/>
              <w:spacing w:before="31"/>
              <w:ind w:left="156"/>
              <w:jc w:val="left"/>
              <w:rPr>
                <w:rFonts w:ascii="Arial"/>
                <w:b/>
                <w:sz w:val="13"/>
              </w:rPr>
            </w:pPr>
            <w:r>
              <w:rPr>
                <w:rFonts w:ascii="Arial"/>
                <w:b/>
                <w:color w:val="FFFFFF"/>
                <w:spacing w:val="54"/>
                <w:sz w:val="13"/>
                <w:highlight w:val="blue"/>
              </w:rPr>
              <w:t xml:space="preserve">  </w:t>
            </w:r>
            <w:r>
              <w:rPr>
                <w:rFonts w:ascii="Arial"/>
                <w:b/>
                <w:color w:val="FFFFFF"/>
                <w:spacing w:val="-4"/>
                <w:sz w:val="13"/>
                <w:highlight w:val="blue"/>
              </w:rPr>
              <w:t>73,7%</w:t>
            </w:r>
            <w:r>
              <w:rPr>
                <w:rFonts w:ascii="Arial"/>
                <w:b/>
                <w:color w:val="FFFFFF"/>
                <w:spacing w:val="80"/>
                <w:sz w:val="13"/>
                <w:highlight w:val="blue"/>
              </w:rPr>
              <w:t xml:space="preserve"> </w:t>
            </w:r>
          </w:p>
        </w:tc>
      </w:tr>
      <w:tr w:rsidR="002C6574" w14:paraId="36946F54" w14:textId="77777777">
        <w:trPr>
          <w:trHeight w:val="179"/>
        </w:trPr>
        <w:tc>
          <w:tcPr>
            <w:tcW w:w="694" w:type="dxa"/>
          </w:tcPr>
          <w:p w14:paraId="3FE3690C" w14:textId="77777777" w:rsidR="002C6574" w:rsidRDefault="00000000">
            <w:pPr>
              <w:pStyle w:val="TableParagraph"/>
              <w:spacing w:line="145" w:lineRule="exact"/>
              <w:ind w:left="69" w:right="2"/>
              <w:jc w:val="center"/>
              <w:rPr>
                <w:rFonts w:ascii="Arial MT"/>
                <w:sz w:val="13"/>
              </w:rPr>
            </w:pPr>
            <w:r>
              <w:rPr>
                <w:rFonts w:ascii="Arial MT"/>
                <w:spacing w:val="-2"/>
                <w:sz w:val="13"/>
              </w:rPr>
              <w:t>35,8%</w:t>
            </w:r>
          </w:p>
        </w:tc>
        <w:tc>
          <w:tcPr>
            <w:tcW w:w="641" w:type="dxa"/>
          </w:tcPr>
          <w:p w14:paraId="1241BB3E" w14:textId="77777777" w:rsidR="002C6574" w:rsidRDefault="00000000">
            <w:pPr>
              <w:pStyle w:val="TableParagraph"/>
              <w:spacing w:line="145" w:lineRule="exact"/>
              <w:ind w:right="67"/>
              <w:rPr>
                <w:rFonts w:ascii="Arial MT"/>
                <w:sz w:val="13"/>
              </w:rPr>
            </w:pPr>
            <w:r>
              <w:rPr>
                <w:rFonts w:ascii="Arial MT"/>
                <w:spacing w:val="-4"/>
                <w:sz w:val="13"/>
              </w:rPr>
              <w:t>0,5%</w:t>
            </w:r>
          </w:p>
        </w:tc>
        <w:tc>
          <w:tcPr>
            <w:tcW w:w="159" w:type="dxa"/>
          </w:tcPr>
          <w:p w14:paraId="7EB8F0BE" w14:textId="77777777" w:rsidR="002C6574" w:rsidRDefault="002C6574">
            <w:pPr>
              <w:pStyle w:val="TableParagraph"/>
              <w:jc w:val="left"/>
              <w:rPr>
                <w:rFonts w:ascii="Times New Roman"/>
                <w:sz w:val="12"/>
              </w:rPr>
            </w:pPr>
          </w:p>
        </w:tc>
        <w:tc>
          <w:tcPr>
            <w:tcW w:w="950" w:type="dxa"/>
            <w:shd w:val="clear" w:color="auto" w:fill="66FFFF"/>
          </w:tcPr>
          <w:p w14:paraId="17F8A435" w14:textId="77777777" w:rsidR="002C6574" w:rsidRDefault="00000000">
            <w:pPr>
              <w:pStyle w:val="TableParagraph"/>
              <w:spacing w:line="145" w:lineRule="exact"/>
              <w:ind w:right="69"/>
              <w:rPr>
                <w:rFonts w:ascii="Arial MT"/>
                <w:sz w:val="13"/>
              </w:rPr>
            </w:pPr>
            <w:r>
              <w:rPr>
                <w:rFonts w:ascii="Arial MT"/>
                <w:spacing w:val="-2"/>
                <w:sz w:val="13"/>
              </w:rPr>
              <w:t>(249.981)</w:t>
            </w:r>
          </w:p>
        </w:tc>
        <w:tc>
          <w:tcPr>
            <w:tcW w:w="751" w:type="dxa"/>
          </w:tcPr>
          <w:p w14:paraId="38C05068" w14:textId="77777777" w:rsidR="002C6574" w:rsidRDefault="00000000">
            <w:pPr>
              <w:pStyle w:val="TableParagraph"/>
              <w:spacing w:line="145" w:lineRule="exact"/>
              <w:ind w:right="69"/>
              <w:rPr>
                <w:rFonts w:ascii="Arial MT"/>
                <w:sz w:val="13"/>
              </w:rPr>
            </w:pPr>
            <w:r>
              <w:rPr>
                <w:rFonts w:ascii="Arial MT"/>
                <w:spacing w:val="-2"/>
                <w:sz w:val="13"/>
              </w:rPr>
              <w:t>(189.369)</w:t>
            </w:r>
          </w:p>
        </w:tc>
        <w:tc>
          <w:tcPr>
            <w:tcW w:w="156" w:type="dxa"/>
          </w:tcPr>
          <w:p w14:paraId="44D986BD" w14:textId="77777777" w:rsidR="002C6574" w:rsidRDefault="002C6574">
            <w:pPr>
              <w:pStyle w:val="TableParagraph"/>
              <w:jc w:val="left"/>
              <w:rPr>
                <w:rFonts w:ascii="Times New Roman"/>
                <w:sz w:val="12"/>
              </w:rPr>
            </w:pPr>
          </w:p>
        </w:tc>
        <w:tc>
          <w:tcPr>
            <w:tcW w:w="637" w:type="dxa"/>
          </w:tcPr>
          <w:p w14:paraId="6812DC25" w14:textId="77777777" w:rsidR="002C6574" w:rsidRDefault="00000000">
            <w:pPr>
              <w:pStyle w:val="TableParagraph"/>
              <w:spacing w:line="145" w:lineRule="exact"/>
              <w:ind w:right="85"/>
              <w:rPr>
                <w:rFonts w:ascii="Arial MT"/>
                <w:sz w:val="13"/>
              </w:rPr>
            </w:pPr>
            <w:r>
              <w:rPr>
                <w:rFonts w:ascii="Arial MT"/>
                <w:spacing w:val="-2"/>
                <w:sz w:val="13"/>
              </w:rPr>
              <w:t>32,0%</w:t>
            </w:r>
          </w:p>
        </w:tc>
      </w:tr>
      <w:tr w:rsidR="002C6574" w14:paraId="20DFF4D2" w14:textId="77777777">
        <w:trPr>
          <w:trHeight w:val="214"/>
        </w:trPr>
        <w:tc>
          <w:tcPr>
            <w:tcW w:w="694" w:type="dxa"/>
          </w:tcPr>
          <w:p w14:paraId="777FB4F7" w14:textId="77777777" w:rsidR="002C6574" w:rsidRDefault="00000000">
            <w:pPr>
              <w:pStyle w:val="TableParagraph"/>
              <w:spacing w:before="29"/>
              <w:ind w:left="69" w:right="2"/>
              <w:jc w:val="center"/>
              <w:rPr>
                <w:rFonts w:ascii="Arial MT"/>
                <w:sz w:val="13"/>
              </w:rPr>
            </w:pPr>
            <w:r>
              <w:rPr>
                <w:rFonts w:ascii="Arial MT"/>
                <w:spacing w:val="-2"/>
                <w:sz w:val="13"/>
              </w:rPr>
              <w:t>11,7%</w:t>
            </w:r>
          </w:p>
        </w:tc>
        <w:tc>
          <w:tcPr>
            <w:tcW w:w="641" w:type="dxa"/>
          </w:tcPr>
          <w:p w14:paraId="794E648F" w14:textId="77777777" w:rsidR="002C6574" w:rsidRDefault="00000000">
            <w:pPr>
              <w:pStyle w:val="TableParagraph"/>
              <w:spacing w:before="29"/>
              <w:ind w:right="70"/>
              <w:rPr>
                <w:rFonts w:ascii="Arial MT"/>
                <w:sz w:val="13"/>
              </w:rPr>
            </w:pPr>
            <w:r>
              <w:rPr>
                <w:rFonts w:ascii="Arial MT"/>
                <w:spacing w:val="-2"/>
                <w:sz w:val="13"/>
              </w:rPr>
              <w:t>62,5%</w:t>
            </w:r>
          </w:p>
        </w:tc>
        <w:tc>
          <w:tcPr>
            <w:tcW w:w="159" w:type="dxa"/>
          </w:tcPr>
          <w:p w14:paraId="4F74B377" w14:textId="77777777" w:rsidR="002C6574" w:rsidRDefault="002C6574">
            <w:pPr>
              <w:pStyle w:val="TableParagraph"/>
              <w:jc w:val="left"/>
              <w:rPr>
                <w:rFonts w:ascii="Times New Roman"/>
                <w:sz w:val="14"/>
              </w:rPr>
            </w:pPr>
          </w:p>
        </w:tc>
        <w:tc>
          <w:tcPr>
            <w:tcW w:w="950" w:type="dxa"/>
            <w:shd w:val="clear" w:color="auto" w:fill="66FFFF"/>
          </w:tcPr>
          <w:p w14:paraId="4B15BD43" w14:textId="77777777" w:rsidR="002C6574" w:rsidRDefault="00000000">
            <w:pPr>
              <w:pStyle w:val="TableParagraph"/>
              <w:spacing w:before="29"/>
              <w:ind w:right="69"/>
              <w:rPr>
                <w:rFonts w:ascii="Arial MT"/>
                <w:sz w:val="13"/>
              </w:rPr>
            </w:pPr>
            <w:r>
              <w:rPr>
                <w:rFonts w:ascii="Arial MT"/>
                <w:spacing w:val="-2"/>
                <w:sz w:val="13"/>
              </w:rPr>
              <w:t>(14.247)</w:t>
            </w:r>
          </w:p>
        </w:tc>
        <w:tc>
          <w:tcPr>
            <w:tcW w:w="751" w:type="dxa"/>
          </w:tcPr>
          <w:p w14:paraId="1C0A95CC" w14:textId="77777777" w:rsidR="002C6574" w:rsidRDefault="00000000">
            <w:pPr>
              <w:pStyle w:val="TableParagraph"/>
              <w:spacing w:before="29"/>
              <w:ind w:right="69"/>
              <w:rPr>
                <w:rFonts w:ascii="Arial MT"/>
                <w:sz w:val="13"/>
              </w:rPr>
            </w:pPr>
            <w:r>
              <w:rPr>
                <w:rFonts w:ascii="Arial MT"/>
                <w:spacing w:val="-2"/>
                <w:sz w:val="13"/>
              </w:rPr>
              <w:t>(12.998)</w:t>
            </w:r>
          </w:p>
        </w:tc>
        <w:tc>
          <w:tcPr>
            <w:tcW w:w="156" w:type="dxa"/>
          </w:tcPr>
          <w:p w14:paraId="5D218082" w14:textId="77777777" w:rsidR="002C6574" w:rsidRDefault="002C6574">
            <w:pPr>
              <w:pStyle w:val="TableParagraph"/>
              <w:jc w:val="left"/>
              <w:rPr>
                <w:rFonts w:ascii="Times New Roman"/>
                <w:sz w:val="14"/>
              </w:rPr>
            </w:pPr>
          </w:p>
        </w:tc>
        <w:tc>
          <w:tcPr>
            <w:tcW w:w="637" w:type="dxa"/>
          </w:tcPr>
          <w:p w14:paraId="694BED6A" w14:textId="77777777" w:rsidR="002C6574" w:rsidRDefault="00000000">
            <w:pPr>
              <w:pStyle w:val="TableParagraph"/>
              <w:spacing w:before="29"/>
              <w:ind w:right="82"/>
              <w:rPr>
                <w:rFonts w:ascii="Arial MT"/>
                <w:sz w:val="13"/>
              </w:rPr>
            </w:pPr>
            <w:r>
              <w:rPr>
                <w:rFonts w:ascii="Arial MT"/>
                <w:spacing w:val="-4"/>
                <w:sz w:val="13"/>
              </w:rPr>
              <w:t>9,6%</w:t>
            </w:r>
          </w:p>
        </w:tc>
      </w:tr>
      <w:tr w:rsidR="002C6574" w14:paraId="622D0C7C" w14:textId="77777777">
        <w:trPr>
          <w:trHeight w:val="216"/>
        </w:trPr>
        <w:tc>
          <w:tcPr>
            <w:tcW w:w="694" w:type="dxa"/>
          </w:tcPr>
          <w:p w14:paraId="4ABFD2B0" w14:textId="77777777" w:rsidR="002C6574" w:rsidRDefault="00000000">
            <w:pPr>
              <w:pStyle w:val="TableParagraph"/>
              <w:spacing w:before="31"/>
              <w:ind w:left="67" w:right="43"/>
              <w:jc w:val="center"/>
              <w:rPr>
                <w:rFonts w:ascii="Arial MT"/>
                <w:sz w:val="13"/>
              </w:rPr>
            </w:pPr>
            <w:r>
              <w:rPr>
                <w:rFonts w:ascii="Arial MT"/>
                <w:spacing w:val="-2"/>
                <w:sz w:val="13"/>
              </w:rPr>
              <w:t>-17,7%</w:t>
            </w:r>
          </w:p>
        </w:tc>
        <w:tc>
          <w:tcPr>
            <w:tcW w:w="641" w:type="dxa"/>
          </w:tcPr>
          <w:p w14:paraId="3C027ED5" w14:textId="77777777" w:rsidR="002C6574" w:rsidRDefault="00000000">
            <w:pPr>
              <w:pStyle w:val="TableParagraph"/>
              <w:spacing w:before="31"/>
              <w:ind w:right="70"/>
              <w:rPr>
                <w:rFonts w:ascii="Arial MT"/>
                <w:sz w:val="13"/>
              </w:rPr>
            </w:pPr>
            <w:r>
              <w:rPr>
                <w:rFonts w:ascii="Arial MT"/>
                <w:spacing w:val="-2"/>
                <w:sz w:val="13"/>
              </w:rPr>
              <w:t>18,1%</w:t>
            </w:r>
          </w:p>
        </w:tc>
        <w:tc>
          <w:tcPr>
            <w:tcW w:w="159" w:type="dxa"/>
          </w:tcPr>
          <w:p w14:paraId="46C88380" w14:textId="77777777" w:rsidR="002C6574" w:rsidRDefault="002C6574">
            <w:pPr>
              <w:pStyle w:val="TableParagraph"/>
              <w:jc w:val="left"/>
              <w:rPr>
                <w:rFonts w:ascii="Times New Roman"/>
                <w:sz w:val="14"/>
              </w:rPr>
            </w:pPr>
          </w:p>
        </w:tc>
        <w:tc>
          <w:tcPr>
            <w:tcW w:w="950" w:type="dxa"/>
            <w:shd w:val="clear" w:color="auto" w:fill="66FFFF"/>
          </w:tcPr>
          <w:p w14:paraId="1569A257" w14:textId="77777777" w:rsidR="002C6574" w:rsidRDefault="00000000">
            <w:pPr>
              <w:pStyle w:val="TableParagraph"/>
              <w:spacing w:before="31"/>
              <w:ind w:right="69"/>
              <w:rPr>
                <w:rFonts w:ascii="Arial MT"/>
                <w:sz w:val="13"/>
              </w:rPr>
            </w:pPr>
            <w:r>
              <w:rPr>
                <w:rFonts w:ascii="Arial MT"/>
                <w:spacing w:val="-2"/>
                <w:sz w:val="13"/>
              </w:rPr>
              <w:t>(6.484)</w:t>
            </w:r>
          </w:p>
        </w:tc>
        <w:tc>
          <w:tcPr>
            <w:tcW w:w="751" w:type="dxa"/>
          </w:tcPr>
          <w:p w14:paraId="1085991C" w14:textId="77777777" w:rsidR="002C6574" w:rsidRDefault="00000000">
            <w:pPr>
              <w:pStyle w:val="TableParagraph"/>
              <w:spacing w:before="31"/>
              <w:ind w:right="69"/>
              <w:rPr>
                <w:rFonts w:ascii="Arial MT"/>
                <w:sz w:val="13"/>
              </w:rPr>
            </w:pPr>
            <w:r>
              <w:rPr>
                <w:rFonts w:ascii="Arial MT"/>
                <w:spacing w:val="-2"/>
                <w:sz w:val="13"/>
              </w:rPr>
              <w:t>(6.298)</w:t>
            </w:r>
          </w:p>
        </w:tc>
        <w:tc>
          <w:tcPr>
            <w:tcW w:w="156" w:type="dxa"/>
          </w:tcPr>
          <w:p w14:paraId="704F6ECE" w14:textId="77777777" w:rsidR="002C6574" w:rsidRDefault="002C6574">
            <w:pPr>
              <w:pStyle w:val="TableParagraph"/>
              <w:jc w:val="left"/>
              <w:rPr>
                <w:rFonts w:ascii="Times New Roman"/>
                <w:sz w:val="14"/>
              </w:rPr>
            </w:pPr>
          </w:p>
        </w:tc>
        <w:tc>
          <w:tcPr>
            <w:tcW w:w="637" w:type="dxa"/>
          </w:tcPr>
          <w:p w14:paraId="325AD869" w14:textId="77777777" w:rsidR="002C6574" w:rsidRDefault="00000000">
            <w:pPr>
              <w:pStyle w:val="TableParagraph"/>
              <w:spacing w:before="31"/>
              <w:ind w:right="82"/>
              <w:rPr>
                <w:rFonts w:ascii="Arial MT"/>
                <w:sz w:val="13"/>
              </w:rPr>
            </w:pPr>
            <w:r>
              <w:rPr>
                <w:rFonts w:ascii="Arial MT"/>
                <w:spacing w:val="-4"/>
                <w:sz w:val="13"/>
              </w:rPr>
              <w:t>3,0%</w:t>
            </w:r>
          </w:p>
        </w:tc>
      </w:tr>
      <w:tr w:rsidR="002C6574" w14:paraId="788E5639" w14:textId="77777777">
        <w:trPr>
          <w:trHeight w:val="214"/>
        </w:trPr>
        <w:tc>
          <w:tcPr>
            <w:tcW w:w="694" w:type="dxa"/>
          </w:tcPr>
          <w:p w14:paraId="7544D0CD" w14:textId="77777777" w:rsidR="002C6574" w:rsidRDefault="00000000">
            <w:pPr>
              <w:pStyle w:val="TableParagraph"/>
              <w:spacing w:before="31"/>
              <w:ind w:left="67" w:right="69"/>
              <w:jc w:val="center"/>
              <w:rPr>
                <w:rFonts w:ascii="Arial MT"/>
                <w:sz w:val="13"/>
              </w:rPr>
            </w:pPr>
            <w:r>
              <w:rPr>
                <w:rFonts w:ascii="Arial MT"/>
                <w:spacing w:val="-2"/>
                <w:sz w:val="13"/>
              </w:rPr>
              <w:t>100,0%</w:t>
            </w:r>
          </w:p>
        </w:tc>
        <w:tc>
          <w:tcPr>
            <w:tcW w:w="641" w:type="dxa"/>
          </w:tcPr>
          <w:p w14:paraId="6C0B4DEB" w14:textId="77777777" w:rsidR="002C6574" w:rsidRDefault="00000000">
            <w:pPr>
              <w:pStyle w:val="TableParagraph"/>
              <w:spacing w:before="31"/>
              <w:ind w:right="70"/>
              <w:rPr>
                <w:rFonts w:ascii="Arial MT"/>
                <w:sz w:val="13"/>
              </w:rPr>
            </w:pPr>
            <w:r>
              <w:rPr>
                <w:rFonts w:ascii="Arial MT"/>
                <w:spacing w:val="-2"/>
                <w:sz w:val="13"/>
              </w:rPr>
              <w:t>100,0%</w:t>
            </w:r>
          </w:p>
        </w:tc>
        <w:tc>
          <w:tcPr>
            <w:tcW w:w="159" w:type="dxa"/>
          </w:tcPr>
          <w:p w14:paraId="08B91D8C" w14:textId="77777777" w:rsidR="002C6574" w:rsidRDefault="002C6574">
            <w:pPr>
              <w:pStyle w:val="TableParagraph"/>
              <w:jc w:val="left"/>
              <w:rPr>
                <w:rFonts w:ascii="Times New Roman"/>
                <w:sz w:val="14"/>
              </w:rPr>
            </w:pPr>
          </w:p>
        </w:tc>
        <w:tc>
          <w:tcPr>
            <w:tcW w:w="950" w:type="dxa"/>
            <w:shd w:val="clear" w:color="auto" w:fill="66FFFF"/>
          </w:tcPr>
          <w:p w14:paraId="40AF2A00" w14:textId="77777777" w:rsidR="002C6574" w:rsidRDefault="00000000">
            <w:pPr>
              <w:pStyle w:val="TableParagraph"/>
              <w:spacing w:before="31"/>
              <w:ind w:right="69"/>
              <w:rPr>
                <w:rFonts w:ascii="Arial MT"/>
                <w:sz w:val="13"/>
              </w:rPr>
            </w:pPr>
            <w:r>
              <w:rPr>
                <w:rFonts w:ascii="Arial MT"/>
                <w:spacing w:val="-2"/>
                <w:sz w:val="13"/>
              </w:rPr>
              <w:t>(2.568)</w:t>
            </w:r>
          </w:p>
        </w:tc>
        <w:tc>
          <w:tcPr>
            <w:tcW w:w="751" w:type="dxa"/>
          </w:tcPr>
          <w:p w14:paraId="1AEB06F0" w14:textId="77777777" w:rsidR="002C6574" w:rsidRDefault="00000000">
            <w:pPr>
              <w:pStyle w:val="TableParagraph"/>
              <w:spacing w:before="31"/>
              <w:ind w:right="67"/>
              <w:rPr>
                <w:rFonts w:ascii="Arial MT"/>
                <w:sz w:val="13"/>
              </w:rPr>
            </w:pPr>
            <w:r>
              <w:rPr>
                <w:rFonts w:ascii="Arial MT"/>
                <w:spacing w:val="-10"/>
                <w:sz w:val="13"/>
              </w:rPr>
              <w:t>-</w:t>
            </w:r>
          </w:p>
        </w:tc>
        <w:tc>
          <w:tcPr>
            <w:tcW w:w="156" w:type="dxa"/>
          </w:tcPr>
          <w:p w14:paraId="4575DCDC" w14:textId="77777777" w:rsidR="002C6574" w:rsidRDefault="002C6574">
            <w:pPr>
              <w:pStyle w:val="TableParagraph"/>
              <w:jc w:val="left"/>
              <w:rPr>
                <w:rFonts w:ascii="Times New Roman"/>
                <w:sz w:val="14"/>
              </w:rPr>
            </w:pPr>
          </w:p>
        </w:tc>
        <w:tc>
          <w:tcPr>
            <w:tcW w:w="637" w:type="dxa"/>
          </w:tcPr>
          <w:p w14:paraId="55A6BC30" w14:textId="77777777" w:rsidR="002C6574" w:rsidRDefault="00000000">
            <w:pPr>
              <w:pStyle w:val="TableParagraph"/>
              <w:spacing w:before="31"/>
              <w:ind w:right="85"/>
              <w:rPr>
                <w:rFonts w:ascii="Arial MT"/>
                <w:sz w:val="13"/>
              </w:rPr>
            </w:pPr>
            <w:r>
              <w:rPr>
                <w:rFonts w:ascii="Arial MT"/>
                <w:spacing w:val="-2"/>
                <w:sz w:val="13"/>
              </w:rPr>
              <w:t>100,0%</w:t>
            </w:r>
          </w:p>
        </w:tc>
      </w:tr>
      <w:tr w:rsidR="002C6574" w14:paraId="781A4F1B" w14:textId="77777777">
        <w:trPr>
          <w:trHeight w:val="214"/>
        </w:trPr>
        <w:tc>
          <w:tcPr>
            <w:tcW w:w="694" w:type="dxa"/>
          </w:tcPr>
          <w:p w14:paraId="078ED247" w14:textId="77777777" w:rsidR="002C6574" w:rsidRDefault="00000000">
            <w:pPr>
              <w:pStyle w:val="TableParagraph"/>
              <w:spacing w:before="29"/>
              <w:ind w:left="67" w:right="69"/>
              <w:jc w:val="center"/>
              <w:rPr>
                <w:rFonts w:ascii="Arial MT"/>
                <w:sz w:val="13"/>
              </w:rPr>
            </w:pPr>
            <w:r>
              <w:rPr>
                <w:rFonts w:ascii="Arial MT"/>
                <w:spacing w:val="-2"/>
                <w:sz w:val="13"/>
              </w:rPr>
              <w:t>100,0%</w:t>
            </w:r>
          </w:p>
        </w:tc>
        <w:tc>
          <w:tcPr>
            <w:tcW w:w="641" w:type="dxa"/>
          </w:tcPr>
          <w:p w14:paraId="0D25B427" w14:textId="77777777" w:rsidR="002C6574" w:rsidRDefault="00000000">
            <w:pPr>
              <w:pStyle w:val="TableParagraph"/>
              <w:spacing w:before="29"/>
              <w:ind w:right="70"/>
              <w:rPr>
                <w:rFonts w:ascii="Arial MT"/>
                <w:sz w:val="13"/>
              </w:rPr>
            </w:pPr>
            <w:r>
              <w:rPr>
                <w:rFonts w:ascii="Arial MT"/>
                <w:spacing w:val="-2"/>
                <w:sz w:val="13"/>
              </w:rPr>
              <w:t>100,0%</w:t>
            </w:r>
          </w:p>
        </w:tc>
        <w:tc>
          <w:tcPr>
            <w:tcW w:w="159" w:type="dxa"/>
          </w:tcPr>
          <w:p w14:paraId="7A7D0525" w14:textId="77777777" w:rsidR="002C6574" w:rsidRDefault="002C6574">
            <w:pPr>
              <w:pStyle w:val="TableParagraph"/>
              <w:jc w:val="left"/>
              <w:rPr>
                <w:rFonts w:ascii="Times New Roman"/>
                <w:sz w:val="14"/>
              </w:rPr>
            </w:pPr>
          </w:p>
        </w:tc>
        <w:tc>
          <w:tcPr>
            <w:tcW w:w="950" w:type="dxa"/>
            <w:shd w:val="clear" w:color="auto" w:fill="66FFFF"/>
          </w:tcPr>
          <w:p w14:paraId="293B5980" w14:textId="77777777" w:rsidR="002C6574" w:rsidRDefault="00000000">
            <w:pPr>
              <w:pStyle w:val="TableParagraph"/>
              <w:spacing w:before="29"/>
              <w:ind w:right="69"/>
              <w:rPr>
                <w:rFonts w:ascii="Arial MT"/>
                <w:sz w:val="13"/>
              </w:rPr>
            </w:pPr>
            <w:r>
              <w:rPr>
                <w:rFonts w:ascii="Arial MT"/>
                <w:spacing w:val="-2"/>
                <w:sz w:val="13"/>
              </w:rPr>
              <w:t>(2.511)</w:t>
            </w:r>
          </w:p>
        </w:tc>
        <w:tc>
          <w:tcPr>
            <w:tcW w:w="751" w:type="dxa"/>
          </w:tcPr>
          <w:p w14:paraId="64E53D1E" w14:textId="77777777" w:rsidR="002C6574" w:rsidRDefault="00000000">
            <w:pPr>
              <w:pStyle w:val="TableParagraph"/>
              <w:spacing w:before="29"/>
              <w:ind w:right="67"/>
              <w:rPr>
                <w:rFonts w:ascii="Arial MT"/>
                <w:sz w:val="13"/>
              </w:rPr>
            </w:pPr>
            <w:r>
              <w:rPr>
                <w:rFonts w:ascii="Arial MT"/>
                <w:spacing w:val="-10"/>
                <w:sz w:val="13"/>
              </w:rPr>
              <w:t>-</w:t>
            </w:r>
          </w:p>
        </w:tc>
        <w:tc>
          <w:tcPr>
            <w:tcW w:w="156" w:type="dxa"/>
          </w:tcPr>
          <w:p w14:paraId="49669BE3" w14:textId="77777777" w:rsidR="002C6574" w:rsidRDefault="002C6574">
            <w:pPr>
              <w:pStyle w:val="TableParagraph"/>
              <w:jc w:val="left"/>
              <w:rPr>
                <w:rFonts w:ascii="Times New Roman"/>
                <w:sz w:val="14"/>
              </w:rPr>
            </w:pPr>
          </w:p>
        </w:tc>
        <w:tc>
          <w:tcPr>
            <w:tcW w:w="637" w:type="dxa"/>
          </w:tcPr>
          <w:p w14:paraId="00773434" w14:textId="77777777" w:rsidR="002C6574" w:rsidRDefault="00000000">
            <w:pPr>
              <w:pStyle w:val="TableParagraph"/>
              <w:spacing w:before="29"/>
              <w:ind w:right="85"/>
              <w:rPr>
                <w:rFonts w:ascii="Arial MT"/>
                <w:sz w:val="13"/>
              </w:rPr>
            </w:pPr>
            <w:r>
              <w:rPr>
                <w:rFonts w:ascii="Arial MT"/>
                <w:spacing w:val="-2"/>
                <w:sz w:val="13"/>
              </w:rPr>
              <w:t>100,0%</w:t>
            </w:r>
          </w:p>
        </w:tc>
      </w:tr>
      <w:tr w:rsidR="002C6574" w14:paraId="61E9E7A4" w14:textId="77777777">
        <w:trPr>
          <w:trHeight w:val="212"/>
        </w:trPr>
        <w:tc>
          <w:tcPr>
            <w:tcW w:w="694" w:type="dxa"/>
          </w:tcPr>
          <w:p w14:paraId="2459C30F" w14:textId="77777777" w:rsidR="002C6574" w:rsidRDefault="00000000">
            <w:pPr>
              <w:pStyle w:val="TableParagraph"/>
              <w:spacing w:before="31"/>
              <w:ind w:left="67" w:right="43"/>
              <w:jc w:val="center"/>
              <w:rPr>
                <w:rFonts w:ascii="Arial MT"/>
                <w:sz w:val="13"/>
              </w:rPr>
            </w:pPr>
            <w:r>
              <w:rPr>
                <w:rFonts w:ascii="Arial MT"/>
                <w:spacing w:val="-2"/>
                <w:sz w:val="13"/>
              </w:rPr>
              <w:t>-70,0%</w:t>
            </w:r>
          </w:p>
        </w:tc>
        <w:tc>
          <w:tcPr>
            <w:tcW w:w="641" w:type="dxa"/>
          </w:tcPr>
          <w:p w14:paraId="229CEC65" w14:textId="77777777" w:rsidR="002C6574" w:rsidRDefault="00000000">
            <w:pPr>
              <w:pStyle w:val="TableParagraph"/>
              <w:spacing w:before="31"/>
              <w:ind w:right="70"/>
              <w:rPr>
                <w:rFonts w:ascii="Arial MT"/>
                <w:sz w:val="13"/>
              </w:rPr>
            </w:pPr>
            <w:r>
              <w:rPr>
                <w:rFonts w:ascii="Arial MT"/>
                <w:spacing w:val="-2"/>
                <w:sz w:val="13"/>
              </w:rPr>
              <w:t>100,0%</w:t>
            </w:r>
          </w:p>
        </w:tc>
        <w:tc>
          <w:tcPr>
            <w:tcW w:w="159" w:type="dxa"/>
          </w:tcPr>
          <w:p w14:paraId="79259F47" w14:textId="77777777" w:rsidR="002C6574" w:rsidRDefault="002C6574">
            <w:pPr>
              <w:pStyle w:val="TableParagraph"/>
              <w:jc w:val="left"/>
              <w:rPr>
                <w:rFonts w:ascii="Times New Roman"/>
                <w:sz w:val="14"/>
              </w:rPr>
            </w:pPr>
          </w:p>
        </w:tc>
        <w:tc>
          <w:tcPr>
            <w:tcW w:w="950" w:type="dxa"/>
            <w:shd w:val="clear" w:color="auto" w:fill="66FFFF"/>
          </w:tcPr>
          <w:p w14:paraId="335C56A9" w14:textId="77777777" w:rsidR="002C6574" w:rsidRDefault="00000000">
            <w:pPr>
              <w:pStyle w:val="TableParagraph"/>
              <w:spacing w:before="31"/>
              <w:ind w:right="69"/>
              <w:rPr>
                <w:rFonts w:ascii="Arial MT"/>
                <w:sz w:val="13"/>
              </w:rPr>
            </w:pPr>
            <w:r>
              <w:rPr>
                <w:rFonts w:ascii="Arial MT"/>
                <w:spacing w:val="-2"/>
                <w:sz w:val="13"/>
              </w:rPr>
              <w:t>(1.354)</w:t>
            </w:r>
          </w:p>
        </w:tc>
        <w:tc>
          <w:tcPr>
            <w:tcW w:w="751" w:type="dxa"/>
          </w:tcPr>
          <w:p w14:paraId="78757293" w14:textId="77777777" w:rsidR="002C6574" w:rsidRDefault="00000000">
            <w:pPr>
              <w:pStyle w:val="TableParagraph"/>
              <w:spacing w:before="31"/>
              <w:ind w:right="69"/>
              <w:rPr>
                <w:rFonts w:ascii="Arial MT"/>
                <w:sz w:val="13"/>
              </w:rPr>
            </w:pPr>
            <w:r>
              <w:rPr>
                <w:rFonts w:ascii="Arial MT"/>
                <w:spacing w:val="-2"/>
                <w:sz w:val="13"/>
              </w:rPr>
              <w:t>(4.747)</w:t>
            </w:r>
          </w:p>
        </w:tc>
        <w:tc>
          <w:tcPr>
            <w:tcW w:w="156" w:type="dxa"/>
          </w:tcPr>
          <w:p w14:paraId="4CB961CB" w14:textId="77777777" w:rsidR="002C6574" w:rsidRDefault="002C6574">
            <w:pPr>
              <w:pStyle w:val="TableParagraph"/>
              <w:jc w:val="left"/>
              <w:rPr>
                <w:rFonts w:ascii="Times New Roman"/>
                <w:sz w:val="14"/>
              </w:rPr>
            </w:pPr>
          </w:p>
        </w:tc>
        <w:tc>
          <w:tcPr>
            <w:tcW w:w="637" w:type="dxa"/>
          </w:tcPr>
          <w:p w14:paraId="7EE99444" w14:textId="77777777" w:rsidR="002C6574" w:rsidRDefault="00000000">
            <w:pPr>
              <w:pStyle w:val="TableParagraph"/>
              <w:spacing w:before="31"/>
              <w:ind w:right="85"/>
              <w:rPr>
                <w:rFonts w:ascii="Arial MT"/>
                <w:sz w:val="13"/>
              </w:rPr>
            </w:pPr>
            <w:r>
              <w:rPr>
                <w:rFonts w:ascii="Arial MT"/>
                <w:spacing w:val="-2"/>
                <w:sz w:val="13"/>
              </w:rPr>
              <w:t>-71,5%</w:t>
            </w:r>
          </w:p>
        </w:tc>
      </w:tr>
      <w:tr w:rsidR="002C6574" w14:paraId="69FED954" w14:textId="77777777">
        <w:trPr>
          <w:trHeight w:val="216"/>
        </w:trPr>
        <w:tc>
          <w:tcPr>
            <w:tcW w:w="694" w:type="dxa"/>
            <w:shd w:val="clear" w:color="auto" w:fill="0000FF"/>
          </w:tcPr>
          <w:p w14:paraId="656870FE" w14:textId="77777777" w:rsidR="002C6574" w:rsidRDefault="00000000">
            <w:pPr>
              <w:pStyle w:val="TableParagraph"/>
              <w:spacing w:before="31"/>
              <w:ind w:left="69" w:right="2"/>
              <w:jc w:val="center"/>
              <w:rPr>
                <w:rFonts w:ascii="Arial"/>
                <w:b/>
                <w:sz w:val="13"/>
              </w:rPr>
            </w:pPr>
            <w:r>
              <w:rPr>
                <w:rFonts w:ascii="Arial"/>
                <w:b/>
                <w:color w:val="FFFFFF"/>
                <w:spacing w:val="-2"/>
                <w:sz w:val="13"/>
              </w:rPr>
              <w:t>39,6%</w:t>
            </w:r>
          </w:p>
        </w:tc>
        <w:tc>
          <w:tcPr>
            <w:tcW w:w="641" w:type="dxa"/>
            <w:shd w:val="clear" w:color="auto" w:fill="0000FF"/>
          </w:tcPr>
          <w:p w14:paraId="72C3A81F" w14:textId="77777777" w:rsidR="002C6574" w:rsidRDefault="00000000">
            <w:pPr>
              <w:pStyle w:val="TableParagraph"/>
              <w:spacing w:before="31"/>
              <w:ind w:right="70"/>
              <w:rPr>
                <w:rFonts w:ascii="Arial"/>
                <w:b/>
                <w:sz w:val="13"/>
              </w:rPr>
            </w:pPr>
            <w:r>
              <w:rPr>
                <w:rFonts w:ascii="Arial"/>
                <w:b/>
                <w:color w:val="FFFFFF"/>
                <w:spacing w:val="-2"/>
                <w:sz w:val="13"/>
              </w:rPr>
              <w:t>10,3%</w:t>
            </w:r>
          </w:p>
        </w:tc>
        <w:tc>
          <w:tcPr>
            <w:tcW w:w="159" w:type="dxa"/>
          </w:tcPr>
          <w:p w14:paraId="5715A406" w14:textId="77777777" w:rsidR="002C6574" w:rsidRDefault="002C6574">
            <w:pPr>
              <w:pStyle w:val="TableParagraph"/>
              <w:jc w:val="left"/>
              <w:rPr>
                <w:rFonts w:ascii="Times New Roman"/>
                <w:sz w:val="14"/>
              </w:rPr>
            </w:pPr>
          </w:p>
        </w:tc>
        <w:tc>
          <w:tcPr>
            <w:tcW w:w="950" w:type="dxa"/>
            <w:shd w:val="clear" w:color="auto" w:fill="0000FF"/>
          </w:tcPr>
          <w:p w14:paraId="74425045" w14:textId="77777777" w:rsidR="002C6574" w:rsidRDefault="00000000">
            <w:pPr>
              <w:pStyle w:val="TableParagraph"/>
              <w:spacing w:before="31"/>
              <w:ind w:right="69"/>
              <w:rPr>
                <w:rFonts w:ascii="Arial"/>
                <w:b/>
                <w:sz w:val="13"/>
              </w:rPr>
            </w:pPr>
            <w:r>
              <w:rPr>
                <w:rFonts w:ascii="Arial"/>
                <w:b/>
                <w:color w:val="FFFFFF"/>
                <w:spacing w:val="-2"/>
                <w:sz w:val="13"/>
              </w:rPr>
              <w:t>(277.145)</w:t>
            </w:r>
          </w:p>
        </w:tc>
        <w:tc>
          <w:tcPr>
            <w:tcW w:w="751" w:type="dxa"/>
            <w:shd w:val="clear" w:color="auto" w:fill="0000FF"/>
          </w:tcPr>
          <w:p w14:paraId="2F0E5BF5" w14:textId="77777777" w:rsidR="002C6574" w:rsidRDefault="00000000">
            <w:pPr>
              <w:pStyle w:val="TableParagraph"/>
              <w:spacing w:before="31"/>
              <w:ind w:right="69"/>
              <w:rPr>
                <w:rFonts w:ascii="Arial"/>
                <w:b/>
                <w:sz w:val="13"/>
              </w:rPr>
            </w:pPr>
            <w:r>
              <w:rPr>
                <w:rFonts w:ascii="Arial"/>
                <w:b/>
                <w:color w:val="FFFFFF"/>
                <w:spacing w:val="-2"/>
                <w:sz w:val="13"/>
              </w:rPr>
              <w:t>(213.412)</w:t>
            </w:r>
          </w:p>
        </w:tc>
        <w:tc>
          <w:tcPr>
            <w:tcW w:w="156" w:type="dxa"/>
          </w:tcPr>
          <w:p w14:paraId="54EA8744" w14:textId="77777777" w:rsidR="002C6574" w:rsidRDefault="002C6574">
            <w:pPr>
              <w:pStyle w:val="TableParagraph"/>
              <w:jc w:val="left"/>
              <w:rPr>
                <w:rFonts w:ascii="Times New Roman"/>
                <w:sz w:val="14"/>
              </w:rPr>
            </w:pPr>
          </w:p>
        </w:tc>
        <w:tc>
          <w:tcPr>
            <w:tcW w:w="637" w:type="dxa"/>
            <w:shd w:val="clear" w:color="auto" w:fill="0000FF"/>
          </w:tcPr>
          <w:p w14:paraId="44541D8F" w14:textId="77777777" w:rsidR="002C6574" w:rsidRDefault="00000000">
            <w:pPr>
              <w:pStyle w:val="TableParagraph"/>
              <w:spacing w:before="31"/>
              <w:ind w:right="85"/>
              <w:rPr>
                <w:rFonts w:ascii="Arial"/>
                <w:b/>
                <w:sz w:val="13"/>
              </w:rPr>
            </w:pPr>
            <w:r>
              <w:rPr>
                <w:rFonts w:ascii="Arial"/>
                <w:b/>
                <w:color w:val="FFFFFF"/>
                <w:spacing w:val="-2"/>
                <w:sz w:val="13"/>
              </w:rPr>
              <w:t>29,9%</w:t>
            </w:r>
          </w:p>
        </w:tc>
      </w:tr>
      <w:tr w:rsidR="002C6574" w14:paraId="58ADF2F3" w14:textId="77777777">
        <w:trPr>
          <w:trHeight w:val="212"/>
        </w:trPr>
        <w:tc>
          <w:tcPr>
            <w:tcW w:w="694" w:type="dxa"/>
            <w:shd w:val="clear" w:color="auto" w:fill="0000FF"/>
          </w:tcPr>
          <w:p w14:paraId="70E4584F" w14:textId="77777777" w:rsidR="002C6574" w:rsidRDefault="00000000">
            <w:pPr>
              <w:pStyle w:val="TableParagraph"/>
              <w:spacing w:before="31"/>
              <w:ind w:left="67" w:right="43"/>
              <w:jc w:val="center"/>
              <w:rPr>
                <w:rFonts w:ascii="Arial"/>
                <w:b/>
                <w:sz w:val="13"/>
              </w:rPr>
            </w:pPr>
            <w:r>
              <w:rPr>
                <w:rFonts w:ascii="Arial"/>
                <w:b/>
                <w:color w:val="FFFFFF"/>
                <w:spacing w:val="-2"/>
                <w:sz w:val="13"/>
              </w:rPr>
              <w:t>-42,9%</w:t>
            </w:r>
          </w:p>
        </w:tc>
        <w:tc>
          <w:tcPr>
            <w:tcW w:w="641" w:type="dxa"/>
            <w:shd w:val="clear" w:color="auto" w:fill="0000FF"/>
          </w:tcPr>
          <w:p w14:paraId="031CC504" w14:textId="77777777" w:rsidR="002C6574" w:rsidRDefault="00000000">
            <w:pPr>
              <w:pStyle w:val="TableParagraph"/>
              <w:spacing w:before="31"/>
              <w:ind w:right="70"/>
              <w:rPr>
                <w:rFonts w:ascii="Arial"/>
                <w:b/>
                <w:sz w:val="13"/>
              </w:rPr>
            </w:pPr>
            <w:r>
              <w:rPr>
                <w:rFonts w:ascii="Arial"/>
                <w:b/>
                <w:color w:val="FFFFFF"/>
                <w:spacing w:val="-2"/>
                <w:sz w:val="13"/>
              </w:rPr>
              <w:t>17,0%</w:t>
            </w:r>
          </w:p>
        </w:tc>
        <w:tc>
          <w:tcPr>
            <w:tcW w:w="159" w:type="dxa"/>
          </w:tcPr>
          <w:p w14:paraId="01BED6BD" w14:textId="77777777" w:rsidR="002C6574" w:rsidRDefault="002C6574">
            <w:pPr>
              <w:pStyle w:val="TableParagraph"/>
              <w:jc w:val="left"/>
              <w:rPr>
                <w:rFonts w:ascii="Times New Roman"/>
                <w:sz w:val="14"/>
              </w:rPr>
            </w:pPr>
          </w:p>
        </w:tc>
        <w:tc>
          <w:tcPr>
            <w:tcW w:w="950" w:type="dxa"/>
            <w:shd w:val="clear" w:color="auto" w:fill="0000FF"/>
          </w:tcPr>
          <w:p w14:paraId="1140D18E" w14:textId="77777777" w:rsidR="002C6574" w:rsidRDefault="00000000">
            <w:pPr>
              <w:pStyle w:val="TableParagraph"/>
              <w:spacing w:before="31"/>
              <w:ind w:right="69"/>
              <w:rPr>
                <w:rFonts w:ascii="Arial"/>
                <w:b/>
                <w:sz w:val="13"/>
              </w:rPr>
            </w:pPr>
            <w:r>
              <w:rPr>
                <w:rFonts w:ascii="Arial"/>
                <w:b/>
                <w:color w:val="FFFFFF"/>
                <w:spacing w:val="-2"/>
                <w:sz w:val="13"/>
              </w:rPr>
              <w:t>(54.264)</w:t>
            </w:r>
          </w:p>
        </w:tc>
        <w:tc>
          <w:tcPr>
            <w:tcW w:w="751" w:type="dxa"/>
            <w:shd w:val="clear" w:color="auto" w:fill="0000FF"/>
          </w:tcPr>
          <w:p w14:paraId="7EB3E43B" w14:textId="77777777" w:rsidR="002C6574" w:rsidRDefault="00000000">
            <w:pPr>
              <w:pStyle w:val="TableParagraph"/>
              <w:spacing w:before="31"/>
              <w:ind w:right="69"/>
              <w:rPr>
                <w:rFonts w:ascii="Arial"/>
                <w:b/>
                <w:sz w:val="13"/>
              </w:rPr>
            </w:pPr>
            <w:r>
              <w:rPr>
                <w:rFonts w:ascii="Arial"/>
                <w:b/>
                <w:color w:val="FFFFFF"/>
                <w:spacing w:val="-2"/>
                <w:sz w:val="13"/>
              </w:rPr>
              <w:t>(85.068)</w:t>
            </w:r>
          </w:p>
        </w:tc>
        <w:tc>
          <w:tcPr>
            <w:tcW w:w="156" w:type="dxa"/>
          </w:tcPr>
          <w:p w14:paraId="5647B817" w14:textId="77777777" w:rsidR="002C6574" w:rsidRDefault="002C6574">
            <w:pPr>
              <w:pStyle w:val="TableParagraph"/>
              <w:jc w:val="left"/>
              <w:rPr>
                <w:rFonts w:ascii="Times New Roman"/>
                <w:sz w:val="14"/>
              </w:rPr>
            </w:pPr>
          </w:p>
        </w:tc>
        <w:tc>
          <w:tcPr>
            <w:tcW w:w="637" w:type="dxa"/>
            <w:shd w:val="clear" w:color="auto" w:fill="0000FF"/>
          </w:tcPr>
          <w:p w14:paraId="186E4085" w14:textId="77777777" w:rsidR="002C6574" w:rsidRDefault="00000000">
            <w:pPr>
              <w:pStyle w:val="TableParagraph"/>
              <w:spacing w:before="31"/>
              <w:ind w:right="85"/>
              <w:rPr>
                <w:rFonts w:ascii="Arial"/>
                <w:b/>
                <w:sz w:val="13"/>
              </w:rPr>
            </w:pPr>
            <w:r>
              <w:rPr>
                <w:rFonts w:ascii="Arial"/>
                <w:b/>
                <w:color w:val="FFFFFF"/>
                <w:spacing w:val="-2"/>
                <w:sz w:val="13"/>
              </w:rPr>
              <w:t>-36,2%</w:t>
            </w:r>
          </w:p>
        </w:tc>
      </w:tr>
    </w:tbl>
    <w:p w14:paraId="244E3CCE" w14:textId="77777777" w:rsidR="002C6574" w:rsidRDefault="002C6574">
      <w:pPr>
        <w:pStyle w:val="Corpodetexto"/>
        <w:spacing w:before="74"/>
        <w:rPr>
          <w:rFonts w:ascii="Arial"/>
          <w:b/>
        </w:rPr>
      </w:pPr>
    </w:p>
    <w:p w14:paraId="687F6D38" w14:textId="77777777" w:rsidR="002C6574" w:rsidRDefault="00000000">
      <w:pPr>
        <w:pStyle w:val="Corpodetexto"/>
        <w:spacing w:line="276" w:lineRule="auto"/>
        <w:ind w:left="427" w:right="135"/>
        <w:jc w:val="both"/>
        <w:rPr>
          <w:rFonts w:ascii="Arial MT" w:hAnsi="Arial MT"/>
        </w:rPr>
      </w:pPr>
      <w:r>
        <w:rPr>
          <w:rFonts w:ascii="Arial MT" w:hAnsi="Arial MT"/>
        </w:rPr>
        <w:t>Em 2025, o</w:t>
      </w:r>
      <w:r>
        <w:rPr>
          <w:rFonts w:ascii="Arial MT" w:hAnsi="Arial MT"/>
          <w:spacing w:val="-2"/>
        </w:rPr>
        <w:t xml:space="preserve"> </w:t>
      </w:r>
      <w:r>
        <w:rPr>
          <w:rFonts w:ascii="Arial MT" w:hAnsi="Arial MT"/>
        </w:rPr>
        <w:t>resultado</w:t>
      </w:r>
      <w:r>
        <w:rPr>
          <w:rFonts w:ascii="Arial MT" w:hAnsi="Arial MT"/>
          <w:spacing w:val="-2"/>
        </w:rPr>
        <w:t xml:space="preserve"> </w:t>
      </w:r>
      <w:r>
        <w:rPr>
          <w:rFonts w:ascii="Arial MT" w:hAnsi="Arial MT"/>
        </w:rPr>
        <w:t>financeiro apresentou</w:t>
      </w:r>
      <w:r>
        <w:rPr>
          <w:rFonts w:ascii="Arial MT" w:hAnsi="Arial MT"/>
          <w:spacing w:val="-2"/>
        </w:rPr>
        <w:t xml:space="preserve"> </w:t>
      </w:r>
      <w:r>
        <w:rPr>
          <w:rFonts w:ascii="Arial MT" w:hAnsi="Arial MT"/>
        </w:rPr>
        <w:t>saldo negativo</w:t>
      </w:r>
      <w:r>
        <w:rPr>
          <w:rFonts w:ascii="Arial MT" w:hAnsi="Arial MT"/>
          <w:spacing w:val="-2"/>
        </w:rPr>
        <w:t xml:space="preserve"> </w:t>
      </w:r>
      <w:r>
        <w:rPr>
          <w:rFonts w:ascii="Arial MT" w:hAnsi="Arial MT"/>
        </w:rPr>
        <w:t>de</w:t>
      </w:r>
      <w:r>
        <w:rPr>
          <w:rFonts w:ascii="Arial MT" w:hAnsi="Arial MT"/>
          <w:spacing w:val="-2"/>
        </w:rPr>
        <w:t xml:space="preserve"> </w:t>
      </w:r>
      <w:r>
        <w:rPr>
          <w:rFonts w:ascii="Arial MT" w:hAnsi="Arial MT"/>
        </w:rPr>
        <w:t>R$ 54,3</w:t>
      </w:r>
      <w:r>
        <w:rPr>
          <w:rFonts w:ascii="Arial MT" w:hAnsi="Arial MT"/>
          <w:spacing w:val="-2"/>
        </w:rPr>
        <w:t xml:space="preserve"> </w:t>
      </w:r>
      <w:r>
        <w:rPr>
          <w:rFonts w:ascii="Arial MT" w:hAnsi="Arial MT"/>
        </w:rPr>
        <w:t>milhões,</w:t>
      </w:r>
      <w:r>
        <w:rPr>
          <w:rFonts w:ascii="Arial MT" w:hAnsi="Arial MT"/>
          <w:spacing w:val="-1"/>
        </w:rPr>
        <w:t xml:space="preserve"> </w:t>
      </w:r>
      <w:r>
        <w:rPr>
          <w:rFonts w:ascii="Arial MT" w:hAnsi="Arial MT"/>
        </w:rPr>
        <w:t>frente aos R$</w:t>
      </w:r>
      <w:r>
        <w:rPr>
          <w:rFonts w:ascii="Arial MT" w:hAnsi="Arial MT"/>
          <w:spacing w:val="-2"/>
        </w:rPr>
        <w:t xml:space="preserve"> </w:t>
      </w:r>
      <w:r>
        <w:rPr>
          <w:rFonts w:ascii="Arial MT" w:hAnsi="Arial MT"/>
        </w:rPr>
        <w:t>85,1 milhões negativos</w:t>
      </w:r>
      <w:r>
        <w:rPr>
          <w:rFonts w:ascii="Arial MT" w:hAnsi="Arial MT"/>
          <w:spacing w:val="-4"/>
        </w:rPr>
        <w:t xml:space="preserve"> </w:t>
      </w:r>
      <w:r>
        <w:rPr>
          <w:rFonts w:ascii="Arial MT" w:hAnsi="Arial MT"/>
        </w:rPr>
        <w:t>registrados</w:t>
      </w:r>
      <w:r>
        <w:rPr>
          <w:rFonts w:ascii="Arial MT" w:hAnsi="Arial MT"/>
          <w:spacing w:val="-4"/>
        </w:rPr>
        <w:t xml:space="preserve"> </w:t>
      </w:r>
      <w:r>
        <w:rPr>
          <w:rFonts w:ascii="Arial MT" w:hAnsi="Arial MT"/>
        </w:rPr>
        <w:t>em</w:t>
      </w:r>
      <w:r>
        <w:rPr>
          <w:rFonts w:ascii="Arial MT" w:hAnsi="Arial MT"/>
          <w:spacing w:val="-3"/>
        </w:rPr>
        <w:t xml:space="preserve"> </w:t>
      </w:r>
      <w:r>
        <w:rPr>
          <w:rFonts w:ascii="Arial MT" w:hAnsi="Arial MT"/>
        </w:rPr>
        <w:t>2024,</w:t>
      </w:r>
      <w:r>
        <w:rPr>
          <w:rFonts w:ascii="Arial MT" w:hAnsi="Arial MT"/>
          <w:spacing w:val="-3"/>
        </w:rPr>
        <w:t xml:space="preserve"> </w:t>
      </w:r>
      <w:r>
        <w:rPr>
          <w:rFonts w:ascii="Arial MT" w:hAnsi="Arial MT"/>
        </w:rPr>
        <w:t>o</w:t>
      </w:r>
      <w:r>
        <w:rPr>
          <w:rFonts w:ascii="Arial MT" w:hAnsi="Arial MT"/>
          <w:spacing w:val="-4"/>
        </w:rPr>
        <w:t xml:space="preserve"> </w:t>
      </w:r>
      <w:r>
        <w:rPr>
          <w:rFonts w:ascii="Arial MT" w:hAnsi="Arial MT"/>
        </w:rPr>
        <w:t>que</w:t>
      </w:r>
      <w:r>
        <w:rPr>
          <w:rFonts w:ascii="Arial MT" w:hAnsi="Arial MT"/>
          <w:spacing w:val="-4"/>
        </w:rPr>
        <w:t xml:space="preserve"> </w:t>
      </w:r>
      <w:r>
        <w:rPr>
          <w:rFonts w:ascii="Arial MT" w:hAnsi="Arial MT"/>
        </w:rPr>
        <w:t>representa</w:t>
      </w:r>
      <w:r>
        <w:rPr>
          <w:rFonts w:ascii="Arial MT" w:hAnsi="Arial MT"/>
          <w:spacing w:val="-6"/>
        </w:rPr>
        <w:t xml:space="preserve"> </w:t>
      </w:r>
      <w:r>
        <w:rPr>
          <w:rFonts w:ascii="Arial MT" w:hAnsi="Arial MT"/>
        </w:rPr>
        <w:t>uma</w:t>
      </w:r>
      <w:r>
        <w:rPr>
          <w:rFonts w:ascii="Arial MT" w:hAnsi="Arial MT"/>
          <w:spacing w:val="-4"/>
        </w:rPr>
        <w:t xml:space="preserve"> </w:t>
      </w:r>
      <w:r>
        <w:rPr>
          <w:rFonts w:ascii="Arial MT" w:hAnsi="Arial MT"/>
        </w:rPr>
        <w:t>melhora</w:t>
      </w:r>
      <w:r>
        <w:rPr>
          <w:rFonts w:ascii="Arial MT" w:hAnsi="Arial MT"/>
          <w:spacing w:val="-6"/>
        </w:rPr>
        <w:t xml:space="preserve"> </w:t>
      </w:r>
      <w:r>
        <w:rPr>
          <w:rFonts w:ascii="Arial MT" w:hAnsi="Arial MT"/>
        </w:rPr>
        <w:t>de</w:t>
      </w:r>
      <w:r>
        <w:rPr>
          <w:rFonts w:ascii="Arial MT" w:hAnsi="Arial MT"/>
          <w:spacing w:val="-4"/>
        </w:rPr>
        <w:t xml:space="preserve"> </w:t>
      </w:r>
      <w:r>
        <w:rPr>
          <w:rFonts w:ascii="Arial MT" w:hAnsi="Arial MT"/>
        </w:rPr>
        <w:t>36,2%</w:t>
      </w:r>
      <w:r>
        <w:rPr>
          <w:rFonts w:ascii="Arial MT" w:hAnsi="Arial MT"/>
          <w:spacing w:val="-3"/>
        </w:rPr>
        <w:t xml:space="preserve"> </w:t>
      </w:r>
      <w:r>
        <w:rPr>
          <w:rFonts w:ascii="Arial MT" w:hAnsi="Arial MT"/>
        </w:rPr>
        <w:t>no</w:t>
      </w:r>
      <w:r>
        <w:rPr>
          <w:rFonts w:ascii="Arial MT" w:hAnsi="Arial MT"/>
          <w:spacing w:val="-2"/>
        </w:rPr>
        <w:t xml:space="preserve"> </w:t>
      </w:r>
      <w:r>
        <w:rPr>
          <w:rFonts w:ascii="Arial MT" w:hAnsi="Arial MT"/>
        </w:rPr>
        <w:t>desempenho. Essa</w:t>
      </w:r>
      <w:r>
        <w:rPr>
          <w:rFonts w:ascii="Arial MT" w:hAnsi="Arial MT"/>
          <w:spacing w:val="-4"/>
        </w:rPr>
        <w:t xml:space="preserve"> </w:t>
      </w:r>
      <w:r>
        <w:rPr>
          <w:rFonts w:ascii="Arial MT" w:hAnsi="Arial MT"/>
        </w:rPr>
        <w:t>evolução</w:t>
      </w:r>
      <w:r>
        <w:rPr>
          <w:rFonts w:ascii="Arial MT" w:hAnsi="Arial MT"/>
          <w:spacing w:val="-2"/>
        </w:rPr>
        <w:t xml:space="preserve"> </w:t>
      </w:r>
      <w:r>
        <w:rPr>
          <w:rFonts w:ascii="Arial MT" w:hAnsi="Arial MT"/>
        </w:rPr>
        <w:t>é explicada,</w:t>
      </w:r>
      <w:r>
        <w:rPr>
          <w:rFonts w:ascii="Arial MT" w:hAnsi="Arial MT"/>
          <w:spacing w:val="-11"/>
        </w:rPr>
        <w:t xml:space="preserve"> </w:t>
      </w:r>
      <w:r>
        <w:rPr>
          <w:rFonts w:ascii="Arial MT" w:hAnsi="Arial MT"/>
        </w:rPr>
        <w:t>principalmente,</w:t>
      </w:r>
      <w:r>
        <w:rPr>
          <w:rFonts w:ascii="Arial MT" w:hAnsi="Arial MT"/>
          <w:spacing w:val="-14"/>
        </w:rPr>
        <w:t xml:space="preserve"> </w:t>
      </w:r>
      <w:r>
        <w:rPr>
          <w:rFonts w:ascii="Arial MT" w:hAnsi="Arial MT"/>
        </w:rPr>
        <w:t>pelos</w:t>
      </w:r>
      <w:r>
        <w:rPr>
          <w:rFonts w:ascii="Arial MT" w:hAnsi="Arial MT"/>
          <w:spacing w:val="-14"/>
        </w:rPr>
        <w:t xml:space="preserve"> </w:t>
      </w:r>
      <w:r>
        <w:rPr>
          <w:rFonts w:ascii="Arial MT" w:hAnsi="Arial MT"/>
        </w:rPr>
        <w:t>seguintes</w:t>
      </w:r>
      <w:r>
        <w:rPr>
          <w:rFonts w:ascii="Arial MT" w:hAnsi="Arial MT"/>
          <w:spacing w:val="-14"/>
        </w:rPr>
        <w:t xml:space="preserve"> </w:t>
      </w:r>
      <w:r>
        <w:rPr>
          <w:rFonts w:ascii="Arial MT" w:hAnsi="Arial MT"/>
        </w:rPr>
        <w:t>fatores:</w:t>
      </w:r>
      <w:r>
        <w:rPr>
          <w:rFonts w:ascii="Arial MT" w:hAnsi="Arial MT"/>
          <w:spacing w:val="-11"/>
        </w:rPr>
        <w:t xml:space="preserve"> </w:t>
      </w:r>
      <w:r>
        <w:rPr>
          <w:rFonts w:ascii="Arial MT" w:hAnsi="Arial MT"/>
        </w:rPr>
        <w:t>i)</w:t>
      </w:r>
      <w:r>
        <w:rPr>
          <w:rFonts w:ascii="Arial MT" w:hAnsi="Arial MT"/>
          <w:spacing w:val="-13"/>
        </w:rPr>
        <w:t xml:space="preserve"> </w:t>
      </w:r>
      <w:r>
        <w:rPr>
          <w:rFonts w:ascii="Arial MT" w:hAnsi="Arial MT"/>
        </w:rPr>
        <w:t>o</w:t>
      </w:r>
      <w:r>
        <w:rPr>
          <w:rFonts w:ascii="Arial MT" w:hAnsi="Arial MT"/>
          <w:spacing w:val="-15"/>
        </w:rPr>
        <w:t xml:space="preserve"> </w:t>
      </w:r>
      <w:r>
        <w:rPr>
          <w:rFonts w:ascii="Arial MT" w:hAnsi="Arial MT"/>
        </w:rPr>
        <w:t>crescimento</w:t>
      </w:r>
      <w:r>
        <w:rPr>
          <w:rFonts w:ascii="Arial MT" w:hAnsi="Arial MT"/>
          <w:spacing w:val="-15"/>
        </w:rPr>
        <w:t xml:space="preserve"> </w:t>
      </w:r>
      <w:r>
        <w:rPr>
          <w:rFonts w:ascii="Arial MT" w:hAnsi="Arial MT"/>
        </w:rPr>
        <w:t>de</w:t>
      </w:r>
      <w:r>
        <w:rPr>
          <w:rFonts w:ascii="Arial MT" w:hAnsi="Arial MT"/>
          <w:spacing w:val="-15"/>
        </w:rPr>
        <w:t xml:space="preserve"> </w:t>
      </w:r>
      <w:r>
        <w:rPr>
          <w:rFonts w:ascii="Arial MT" w:hAnsi="Arial MT"/>
        </w:rPr>
        <w:t>66,9%</w:t>
      </w:r>
      <w:r>
        <w:rPr>
          <w:rFonts w:ascii="Arial MT" w:hAnsi="Arial MT"/>
          <w:spacing w:val="-14"/>
        </w:rPr>
        <w:t xml:space="preserve"> </w:t>
      </w:r>
      <w:r>
        <w:rPr>
          <w:rFonts w:ascii="Arial MT" w:hAnsi="Arial MT"/>
        </w:rPr>
        <w:t>dos</w:t>
      </w:r>
      <w:r>
        <w:rPr>
          <w:rFonts w:ascii="Arial MT" w:hAnsi="Arial MT"/>
          <w:spacing w:val="-14"/>
        </w:rPr>
        <w:t xml:space="preserve"> </w:t>
      </w:r>
      <w:r>
        <w:rPr>
          <w:rFonts w:ascii="Arial MT" w:hAnsi="Arial MT"/>
        </w:rPr>
        <w:t>rendimentos</w:t>
      </w:r>
      <w:r>
        <w:rPr>
          <w:rFonts w:ascii="Arial MT" w:hAnsi="Arial MT"/>
          <w:spacing w:val="-15"/>
        </w:rPr>
        <w:t xml:space="preserve"> </w:t>
      </w:r>
      <w:r>
        <w:rPr>
          <w:rFonts w:ascii="Arial MT" w:hAnsi="Arial MT"/>
        </w:rPr>
        <w:t>de</w:t>
      </w:r>
      <w:r>
        <w:rPr>
          <w:rFonts w:ascii="Arial MT" w:hAnsi="Arial MT"/>
          <w:spacing w:val="-15"/>
        </w:rPr>
        <w:t xml:space="preserve"> </w:t>
      </w:r>
      <w:r>
        <w:rPr>
          <w:rFonts w:ascii="Arial MT" w:hAnsi="Arial MT"/>
        </w:rPr>
        <w:t>aplicações financeiras,</w:t>
      </w:r>
      <w:r>
        <w:rPr>
          <w:rFonts w:ascii="Arial MT" w:hAnsi="Arial MT"/>
          <w:spacing w:val="27"/>
        </w:rPr>
        <w:t xml:space="preserve"> </w:t>
      </w:r>
      <w:r>
        <w:rPr>
          <w:rFonts w:ascii="Arial MT" w:hAnsi="Arial MT"/>
        </w:rPr>
        <w:t>reflexo</w:t>
      </w:r>
      <w:r>
        <w:rPr>
          <w:rFonts w:ascii="Arial MT" w:hAnsi="Arial MT"/>
          <w:spacing w:val="28"/>
        </w:rPr>
        <w:t xml:space="preserve"> </w:t>
      </w:r>
      <w:r>
        <w:rPr>
          <w:rFonts w:ascii="Arial MT" w:hAnsi="Arial MT"/>
        </w:rPr>
        <w:t>do</w:t>
      </w:r>
      <w:r>
        <w:rPr>
          <w:rFonts w:ascii="Arial MT" w:hAnsi="Arial MT"/>
          <w:spacing w:val="28"/>
        </w:rPr>
        <w:t xml:space="preserve"> </w:t>
      </w:r>
      <w:r>
        <w:rPr>
          <w:rFonts w:ascii="Arial MT" w:hAnsi="Arial MT"/>
        </w:rPr>
        <w:t>aumento</w:t>
      </w:r>
      <w:r>
        <w:rPr>
          <w:rFonts w:ascii="Arial MT" w:hAnsi="Arial MT"/>
          <w:spacing w:val="25"/>
        </w:rPr>
        <w:t xml:space="preserve"> </w:t>
      </w:r>
      <w:r>
        <w:rPr>
          <w:rFonts w:ascii="Arial MT" w:hAnsi="Arial MT"/>
        </w:rPr>
        <w:t>da</w:t>
      </w:r>
      <w:r>
        <w:rPr>
          <w:rFonts w:ascii="Arial MT" w:hAnsi="Arial MT"/>
          <w:spacing w:val="28"/>
        </w:rPr>
        <w:t xml:space="preserve"> </w:t>
      </w:r>
      <w:r>
        <w:rPr>
          <w:rFonts w:ascii="Arial MT" w:hAnsi="Arial MT"/>
        </w:rPr>
        <w:t>rentabilidade</w:t>
      </w:r>
      <w:r>
        <w:rPr>
          <w:rFonts w:ascii="Arial MT" w:hAnsi="Arial MT"/>
          <w:spacing w:val="28"/>
        </w:rPr>
        <w:t xml:space="preserve"> </w:t>
      </w:r>
      <w:r>
        <w:rPr>
          <w:rFonts w:ascii="Arial MT" w:hAnsi="Arial MT"/>
        </w:rPr>
        <w:t>média</w:t>
      </w:r>
      <w:r>
        <w:rPr>
          <w:rFonts w:ascii="Arial MT" w:hAnsi="Arial MT"/>
          <w:spacing w:val="28"/>
        </w:rPr>
        <w:t xml:space="preserve"> </w:t>
      </w:r>
      <w:r>
        <w:rPr>
          <w:rFonts w:ascii="Arial MT" w:hAnsi="Arial MT"/>
        </w:rPr>
        <w:t>dos</w:t>
      </w:r>
      <w:r>
        <w:rPr>
          <w:rFonts w:ascii="Arial MT" w:hAnsi="Arial MT"/>
          <w:spacing w:val="26"/>
        </w:rPr>
        <w:t xml:space="preserve"> </w:t>
      </w:r>
      <w:r>
        <w:rPr>
          <w:rFonts w:ascii="Arial MT" w:hAnsi="Arial MT"/>
        </w:rPr>
        <w:t>fundos</w:t>
      </w:r>
      <w:r>
        <w:rPr>
          <w:rFonts w:ascii="Arial MT" w:hAnsi="Arial MT"/>
          <w:spacing w:val="26"/>
        </w:rPr>
        <w:t xml:space="preserve"> </w:t>
      </w:r>
      <w:r>
        <w:rPr>
          <w:rFonts w:ascii="Arial MT" w:hAnsi="Arial MT"/>
        </w:rPr>
        <w:t>no</w:t>
      </w:r>
      <w:r>
        <w:rPr>
          <w:rFonts w:ascii="Arial MT" w:hAnsi="Arial MT"/>
          <w:spacing w:val="28"/>
        </w:rPr>
        <w:t xml:space="preserve"> </w:t>
      </w:r>
      <w:r>
        <w:rPr>
          <w:rFonts w:ascii="Arial MT" w:hAnsi="Arial MT"/>
        </w:rPr>
        <w:t>comparativo</w:t>
      </w:r>
      <w:r>
        <w:rPr>
          <w:rFonts w:ascii="Arial MT" w:hAnsi="Arial MT"/>
          <w:spacing w:val="28"/>
        </w:rPr>
        <w:t xml:space="preserve"> </w:t>
      </w:r>
      <w:r>
        <w:rPr>
          <w:rFonts w:ascii="Arial MT" w:hAnsi="Arial MT"/>
        </w:rPr>
        <w:t>entre</w:t>
      </w:r>
      <w:r>
        <w:rPr>
          <w:rFonts w:ascii="Arial MT" w:hAnsi="Arial MT"/>
          <w:spacing w:val="28"/>
        </w:rPr>
        <w:t xml:space="preserve"> </w:t>
      </w:r>
      <w:r>
        <w:rPr>
          <w:rFonts w:ascii="Arial MT" w:hAnsi="Arial MT"/>
        </w:rPr>
        <w:t>os</w:t>
      </w:r>
      <w:r>
        <w:rPr>
          <w:rFonts w:ascii="Arial MT" w:hAnsi="Arial MT"/>
          <w:spacing w:val="25"/>
        </w:rPr>
        <w:t xml:space="preserve"> </w:t>
      </w:r>
      <w:r>
        <w:rPr>
          <w:rFonts w:ascii="Arial MT" w:hAnsi="Arial MT"/>
        </w:rPr>
        <w:t>períodos;</w:t>
      </w:r>
      <w:r>
        <w:rPr>
          <w:rFonts w:ascii="Arial MT" w:hAnsi="Arial MT"/>
          <w:spacing w:val="27"/>
        </w:rPr>
        <w:t xml:space="preserve"> </w:t>
      </w:r>
      <w:r>
        <w:rPr>
          <w:rFonts w:ascii="Arial MT" w:hAnsi="Arial MT"/>
        </w:rPr>
        <w:t>e</w:t>
      </w:r>
    </w:p>
    <w:p w14:paraId="7B8DFAFF" w14:textId="77777777" w:rsidR="002C6574" w:rsidRDefault="00000000">
      <w:pPr>
        <w:pStyle w:val="Corpodetexto"/>
        <w:spacing w:line="276" w:lineRule="auto"/>
        <w:ind w:left="427" w:right="143"/>
        <w:jc w:val="both"/>
        <w:rPr>
          <w:rFonts w:ascii="Arial MT" w:hAnsi="Arial MT"/>
        </w:rPr>
      </w:pPr>
      <w:r>
        <w:rPr>
          <w:rFonts w:ascii="Arial MT" w:hAnsi="Arial MT"/>
        </w:rPr>
        <w:t>ii) a atualização monetária dos valores a receber referentes ao Superávit de Previdência Privada, reconhecidos em 2024, que contribuiu positivamente para o resultado.</w:t>
      </w:r>
    </w:p>
    <w:p w14:paraId="10E2F9EE" w14:textId="77777777" w:rsidR="002C6574" w:rsidRDefault="002C6574">
      <w:pPr>
        <w:pStyle w:val="Corpodetexto"/>
        <w:spacing w:before="39"/>
        <w:rPr>
          <w:rFonts w:ascii="Arial MT"/>
        </w:rPr>
      </w:pPr>
    </w:p>
    <w:p w14:paraId="6E9AEB83" w14:textId="77777777" w:rsidR="002C6574" w:rsidRDefault="00000000">
      <w:pPr>
        <w:pStyle w:val="Corpodetexto"/>
        <w:spacing w:line="276" w:lineRule="auto"/>
        <w:ind w:left="427" w:right="136"/>
        <w:jc w:val="both"/>
        <w:rPr>
          <w:rFonts w:ascii="Arial MT" w:hAnsi="Arial MT"/>
        </w:rPr>
      </w:pPr>
      <w:r>
        <w:rPr>
          <w:rFonts w:ascii="Arial MT" w:hAnsi="Arial MT"/>
        </w:rPr>
        <w:t>Esses</w:t>
      </w:r>
      <w:r>
        <w:rPr>
          <w:rFonts w:ascii="Arial MT" w:hAnsi="Arial MT"/>
          <w:spacing w:val="-3"/>
        </w:rPr>
        <w:t xml:space="preserve"> </w:t>
      </w:r>
      <w:r>
        <w:rPr>
          <w:rFonts w:ascii="Arial MT" w:hAnsi="Arial MT"/>
        </w:rPr>
        <w:t>efeitos</w:t>
      </w:r>
      <w:r>
        <w:rPr>
          <w:rFonts w:ascii="Arial MT" w:hAnsi="Arial MT"/>
          <w:spacing w:val="-2"/>
        </w:rPr>
        <w:t xml:space="preserve"> </w:t>
      </w:r>
      <w:r>
        <w:rPr>
          <w:rFonts w:ascii="Arial MT" w:hAnsi="Arial MT"/>
        </w:rPr>
        <w:t>favoráveis,</w:t>
      </w:r>
      <w:r>
        <w:rPr>
          <w:rFonts w:ascii="Arial MT" w:hAnsi="Arial MT"/>
          <w:spacing w:val="-4"/>
        </w:rPr>
        <w:t xml:space="preserve"> </w:t>
      </w:r>
      <w:r>
        <w:rPr>
          <w:rFonts w:ascii="Arial MT" w:hAnsi="Arial MT"/>
        </w:rPr>
        <w:t>contudo,</w:t>
      </w:r>
      <w:r>
        <w:rPr>
          <w:rFonts w:ascii="Arial MT" w:hAnsi="Arial MT"/>
          <w:spacing w:val="-1"/>
        </w:rPr>
        <w:t xml:space="preserve"> </w:t>
      </w:r>
      <w:r>
        <w:rPr>
          <w:rFonts w:ascii="Arial MT" w:hAnsi="Arial MT"/>
        </w:rPr>
        <w:t>foram</w:t>
      </w:r>
      <w:r>
        <w:rPr>
          <w:rFonts w:ascii="Arial MT" w:hAnsi="Arial MT"/>
          <w:spacing w:val="-2"/>
        </w:rPr>
        <w:t xml:space="preserve"> </w:t>
      </w:r>
      <w:r>
        <w:rPr>
          <w:rFonts w:ascii="Arial MT" w:hAnsi="Arial MT"/>
        </w:rPr>
        <w:t>parcialmente compensados</w:t>
      </w:r>
      <w:r>
        <w:rPr>
          <w:rFonts w:ascii="Arial MT" w:hAnsi="Arial MT"/>
          <w:spacing w:val="-2"/>
        </w:rPr>
        <w:t xml:space="preserve"> </w:t>
      </w:r>
      <w:r>
        <w:rPr>
          <w:rFonts w:ascii="Arial MT" w:hAnsi="Arial MT"/>
        </w:rPr>
        <w:t>pelo</w:t>
      </w:r>
      <w:r>
        <w:rPr>
          <w:rFonts w:ascii="Arial MT" w:hAnsi="Arial MT"/>
          <w:spacing w:val="-5"/>
        </w:rPr>
        <w:t xml:space="preserve"> </w:t>
      </w:r>
      <w:r>
        <w:rPr>
          <w:rFonts w:ascii="Arial MT" w:hAnsi="Arial MT"/>
        </w:rPr>
        <w:t>aumento</w:t>
      </w:r>
      <w:r>
        <w:rPr>
          <w:rFonts w:ascii="Arial MT" w:hAnsi="Arial MT"/>
          <w:spacing w:val="-5"/>
        </w:rPr>
        <w:t xml:space="preserve"> </w:t>
      </w:r>
      <w:r>
        <w:rPr>
          <w:rFonts w:ascii="Arial MT" w:hAnsi="Arial MT"/>
        </w:rPr>
        <w:t>de</w:t>
      </w:r>
      <w:r>
        <w:rPr>
          <w:rFonts w:ascii="Arial MT" w:hAnsi="Arial MT"/>
          <w:spacing w:val="-3"/>
        </w:rPr>
        <w:t xml:space="preserve"> </w:t>
      </w:r>
      <w:r>
        <w:rPr>
          <w:rFonts w:ascii="Arial MT" w:hAnsi="Arial MT"/>
        </w:rPr>
        <w:t>32,0%</w:t>
      </w:r>
      <w:r>
        <w:rPr>
          <w:rFonts w:ascii="Arial MT" w:hAnsi="Arial MT"/>
          <w:spacing w:val="-2"/>
        </w:rPr>
        <w:t xml:space="preserve"> </w:t>
      </w:r>
      <w:r>
        <w:rPr>
          <w:rFonts w:ascii="Arial MT" w:hAnsi="Arial MT"/>
        </w:rPr>
        <w:t>nos</w:t>
      </w:r>
      <w:r>
        <w:rPr>
          <w:rFonts w:ascii="Arial MT" w:hAnsi="Arial MT"/>
          <w:spacing w:val="-5"/>
        </w:rPr>
        <w:t xml:space="preserve"> </w:t>
      </w:r>
      <w:r>
        <w:rPr>
          <w:rFonts w:ascii="Arial MT" w:hAnsi="Arial MT"/>
        </w:rPr>
        <w:t>encargos financeiros</w:t>
      </w:r>
      <w:r>
        <w:rPr>
          <w:rFonts w:ascii="Arial MT" w:hAnsi="Arial MT"/>
          <w:spacing w:val="-7"/>
        </w:rPr>
        <w:t xml:space="preserve"> </w:t>
      </w:r>
      <w:r>
        <w:rPr>
          <w:rFonts w:ascii="Arial MT" w:hAnsi="Arial MT"/>
        </w:rPr>
        <w:t>do</w:t>
      </w:r>
      <w:r>
        <w:rPr>
          <w:rFonts w:ascii="Arial MT" w:hAnsi="Arial MT"/>
          <w:spacing w:val="-7"/>
        </w:rPr>
        <w:t xml:space="preserve"> </w:t>
      </w:r>
      <w:r>
        <w:rPr>
          <w:rFonts w:ascii="Arial MT" w:hAnsi="Arial MT"/>
        </w:rPr>
        <w:t>AFAC,</w:t>
      </w:r>
      <w:r>
        <w:rPr>
          <w:rFonts w:ascii="Arial MT" w:hAnsi="Arial MT"/>
          <w:spacing w:val="-7"/>
        </w:rPr>
        <w:t xml:space="preserve"> </w:t>
      </w:r>
      <w:r>
        <w:rPr>
          <w:rFonts w:ascii="Arial MT" w:hAnsi="Arial MT"/>
        </w:rPr>
        <w:t>decorrente</w:t>
      </w:r>
      <w:r>
        <w:rPr>
          <w:rFonts w:ascii="Arial MT" w:hAnsi="Arial MT"/>
          <w:spacing w:val="-7"/>
        </w:rPr>
        <w:t xml:space="preserve"> </w:t>
      </w:r>
      <w:r>
        <w:rPr>
          <w:rFonts w:ascii="Arial MT" w:hAnsi="Arial MT"/>
        </w:rPr>
        <w:t>da</w:t>
      </w:r>
      <w:r>
        <w:rPr>
          <w:rFonts w:ascii="Arial MT" w:hAnsi="Arial MT"/>
          <w:spacing w:val="-7"/>
        </w:rPr>
        <w:t xml:space="preserve"> </w:t>
      </w:r>
      <w:r>
        <w:rPr>
          <w:rFonts w:ascii="Arial MT" w:hAnsi="Arial MT"/>
        </w:rPr>
        <w:t>elevação</w:t>
      </w:r>
      <w:r>
        <w:rPr>
          <w:rFonts w:ascii="Arial MT" w:hAnsi="Arial MT"/>
          <w:spacing w:val="-9"/>
        </w:rPr>
        <w:t xml:space="preserve"> </w:t>
      </w:r>
      <w:r>
        <w:rPr>
          <w:rFonts w:ascii="Arial MT" w:hAnsi="Arial MT"/>
        </w:rPr>
        <w:t>da</w:t>
      </w:r>
      <w:r>
        <w:rPr>
          <w:rFonts w:ascii="Arial MT" w:hAnsi="Arial MT"/>
          <w:spacing w:val="-9"/>
        </w:rPr>
        <w:t xml:space="preserve"> </w:t>
      </w:r>
      <w:r>
        <w:rPr>
          <w:rFonts w:ascii="Arial MT" w:hAnsi="Arial MT"/>
        </w:rPr>
        <w:t>taxa</w:t>
      </w:r>
      <w:r>
        <w:rPr>
          <w:rFonts w:ascii="Arial MT" w:hAnsi="Arial MT"/>
          <w:spacing w:val="-7"/>
        </w:rPr>
        <w:t xml:space="preserve"> </w:t>
      </w:r>
      <w:r>
        <w:rPr>
          <w:rFonts w:ascii="Arial MT" w:hAnsi="Arial MT"/>
        </w:rPr>
        <w:t>Selic</w:t>
      </w:r>
      <w:r>
        <w:rPr>
          <w:rFonts w:ascii="Arial MT" w:hAnsi="Arial MT"/>
          <w:spacing w:val="-5"/>
        </w:rPr>
        <w:t xml:space="preserve"> </w:t>
      </w:r>
      <w:r>
        <w:rPr>
          <w:rFonts w:ascii="Arial MT" w:hAnsi="Arial MT"/>
        </w:rPr>
        <w:t>—</w:t>
      </w:r>
      <w:r>
        <w:rPr>
          <w:rFonts w:ascii="Arial MT" w:hAnsi="Arial MT"/>
          <w:spacing w:val="-7"/>
        </w:rPr>
        <w:t xml:space="preserve"> </w:t>
      </w:r>
      <w:r>
        <w:rPr>
          <w:rFonts w:ascii="Arial MT" w:hAnsi="Arial MT"/>
        </w:rPr>
        <w:t>indexador</w:t>
      </w:r>
      <w:r>
        <w:rPr>
          <w:rFonts w:ascii="Arial MT" w:hAnsi="Arial MT"/>
          <w:spacing w:val="-6"/>
        </w:rPr>
        <w:t xml:space="preserve"> </w:t>
      </w:r>
      <w:r>
        <w:rPr>
          <w:rFonts w:ascii="Arial MT" w:hAnsi="Arial MT"/>
        </w:rPr>
        <w:t>utilizado</w:t>
      </w:r>
      <w:r>
        <w:rPr>
          <w:rFonts w:ascii="Arial MT" w:hAnsi="Arial MT"/>
          <w:spacing w:val="-7"/>
        </w:rPr>
        <w:t xml:space="preserve"> </w:t>
      </w:r>
      <w:r>
        <w:rPr>
          <w:rFonts w:ascii="Arial MT" w:hAnsi="Arial MT"/>
        </w:rPr>
        <w:t>para</w:t>
      </w:r>
      <w:r>
        <w:rPr>
          <w:rFonts w:ascii="Arial MT" w:hAnsi="Arial MT"/>
          <w:spacing w:val="-7"/>
        </w:rPr>
        <w:t xml:space="preserve"> </w:t>
      </w:r>
      <w:r>
        <w:rPr>
          <w:rFonts w:ascii="Arial MT" w:hAnsi="Arial MT"/>
        </w:rPr>
        <w:t>a</w:t>
      </w:r>
      <w:r>
        <w:rPr>
          <w:rFonts w:ascii="Arial MT" w:hAnsi="Arial MT"/>
          <w:spacing w:val="-7"/>
        </w:rPr>
        <w:t xml:space="preserve"> </w:t>
      </w:r>
      <w:r>
        <w:rPr>
          <w:rFonts w:ascii="Arial MT" w:hAnsi="Arial MT"/>
        </w:rPr>
        <w:t>atualização</w:t>
      </w:r>
      <w:r>
        <w:rPr>
          <w:rFonts w:ascii="Arial MT" w:hAnsi="Arial MT"/>
          <w:spacing w:val="-7"/>
        </w:rPr>
        <w:t xml:space="preserve"> </w:t>
      </w:r>
      <w:r>
        <w:rPr>
          <w:rFonts w:ascii="Arial MT" w:hAnsi="Arial MT"/>
        </w:rPr>
        <w:t xml:space="preserve">desses </w:t>
      </w:r>
      <w:r>
        <w:rPr>
          <w:rFonts w:ascii="Arial MT" w:hAnsi="Arial MT"/>
          <w:spacing w:val="-2"/>
        </w:rPr>
        <w:t>valores.</w:t>
      </w:r>
    </w:p>
    <w:p w14:paraId="4849E871" w14:textId="77777777" w:rsidR="002C6574" w:rsidRDefault="002C6574">
      <w:pPr>
        <w:pStyle w:val="Corpodetexto"/>
        <w:spacing w:line="276" w:lineRule="auto"/>
        <w:jc w:val="both"/>
        <w:rPr>
          <w:rFonts w:ascii="Arial MT" w:hAnsi="Arial MT"/>
        </w:rPr>
        <w:sectPr w:rsidR="002C6574">
          <w:pgSz w:w="11910" w:h="16840"/>
          <w:pgMar w:top="2200" w:right="425" w:bottom="1220" w:left="425" w:header="1197" w:footer="994" w:gutter="0"/>
          <w:cols w:space="720"/>
        </w:sectPr>
      </w:pPr>
    </w:p>
    <w:p w14:paraId="56670799" w14:textId="77777777" w:rsidR="002C6574" w:rsidRDefault="002C6574">
      <w:pPr>
        <w:pStyle w:val="Corpodetexto"/>
        <w:rPr>
          <w:rFonts w:ascii="Arial MT"/>
          <w:sz w:val="14"/>
        </w:rPr>
      </w:pPr>
    </w:p>
    <w:p w14:paraId="499B5C89" w14:textId="77777777" w:rsidR="002C6574" w:rsidRDefault="002C6574">
      <w:pPr>
        <w:pStyle w:val="Corpodetexto"/>
        <w:rPr>
          <w:rFonts w:ascii="Arial MT"/>
          <w:sz w:val="14"/>
        </w:rPr>
        <w:sectPr w:rsidR="002C6574">
          <w:pgSz w:w="11910" w:h="16840"/>
          <w:pgMar w:top="2200" w:right="425" w:bottom="1200" w:left="425" w:header="1197" w:footer="994" w:gutter="0"/>
          <w:cols w:space="720"/>
        </w:sectPr>
      </w:pPr>
    </w:p>
    <w:p w14:paraId="6839D972" w14:textId="77777777" w:rsidR="002C6574" w:rsidRDefault="00000000">
      <w:pPr>
        <w:spacing w:before="92"/>
        <w:ind w:left="427"/>
        <w:rPr>
          <w:rFonts w:ascii="Arial"/>
          <w:b/>
          <w:sz w:val="24"/>
        </w:rPr>
      </w:pPr>
      <w:r>
        <w:rPr>
          <w:rFonts w:ascii="Arial"/>
          <w:b/>
          <w:noProof/>
          <w:sz w:val="24"/>
        </w:rPr>
        <mc:AlternateContent>
          <mc:Choice Requires="wpg">
            <w:drawing>
              <wp:anchor distT="0" distB="0" distL="0" distR="0" simplePos="0" relativeHeight="15775744" behindDoc="0" locked="0" layoutInCell="1" allowOverlap="1" wp14:anchorId="456F2615" wp14:editId="5414C573">
                <wp:simplePos x="0" y="0"/>
                <wp:positionH relativeFrom="page">
                  <wp:posOffset>443483</wp:posOffset>
                </wp:positionH>
                <wp:positionV relativeFrom="paragraph">
                  <wp:posOffset>-106284</wp:posOffset>
                </wp:positionV>
                <wp:extent cx="6922134" cy="105410"/>
                <wp:effectExtent l="0" t="0" r="0" b="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134" cy="105410"/>
                          <a:chOff x="0" y="0"/>
                          <a:chExt cx="6922134" cy="105410"/>
                        </a:xfrm>
                      </wpg:grpSpPr>
                      <pic:pic xmlns:pic="http://schemas.openxmlformats.org/drawingml/2006/picture">
                        <pic:nvPicPr>
                          <pic:cNvPr id="393" name="Image 393"/>
                          <pic:cNvPicPr/>
                        </pic:nvPicPr>
                        <pic:blipFill>
                          <a:blip r:embed="rId213" cstate="print"/>
                          <a:stretch>
                            <a:fillRect/>
                          </a:stretch>
                        </pic:blipFill>
                        <pic:spPr>
                          <a:xfrm>
                            <a:off x="0" y="0"/>
                            <a:ext cx="6922008" cy="105155"/>
                          </a:xfrm>
                          <a:prstGeom prst="rect">
                            <a:avLst/>
                          </a:prstGeom>
                        </pic:spPr>
                      </pic:pic>
                      <wps:wsp>
                        <wps:cNvPr id="394" name="Graphic 394"/>
                        <wps:cNvSpPr/>
                        <wps:spPr>
                          <a:xfrm>
                            <a:off x="42290" y="34925"/>
                            <a:ext cx="6829425" cy="1270"/>
                          </a:xfrm>
                          <a:custGeom>
                            <a:avLst/>
                            <a:gdLst/>
                            <a:ahLst/>
                            <a:cxnLst/>
                            <a:rect l="l" t="t" r="r" b="b"/>
                            <a:pathLst>
                              <a:path w="6829425">
                                <a:moveTo>
                                  <a:pt x="0" y="0"/>
                                </a:moveTo>
                                <a:lnTo>
                                  <a:pt x="6829425" y="0"/>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68DD0B47" id="Group 392" o:spid="_x0000_s1026" style="position:absolute;margin-left:34.9pt;margin-top:-8.35pt;width:545.05pt;height:8.3pt;z-index:15775744;mso-wrap-distance-left:0;mso-wrap-distance-right:0;mso-position-horizontal-relative:page" coordsize="69221,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">
                <v:shape id="Image 393" o:spid="_x0000_s1027" type="#_x0000_t75" style="position:absolute;width:692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">
                  <v:imagedata r:id="rId214" o:title=""/>
                </v:shape>
                <v:shape id="Graphic 394" o:spid="_x0000_s1028" style="position:absolute;left:422;top:349;width:68295;height:12;visibility:visible;mso-wrap-style:square;v-text-anchor:top" coordsize="682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" path="m,l6829425,e" filled="f" strokecolor="blue" strokeweight="2pt">
                  <v:path arrowok="t"/>
                </v:shape>
                <w10:wrap anchorx="page"/>
              </v:group>
            </w:pict>
          </mc:Fallback>
        </mc:AlternateContent>
      </w:r>
      <w:r>
        <w:rPr>
          <w:rFonts w:ascii="Arial"/>
          <w:b/>
          <w:sz w:val="24"/>
          <w:u w:val="single"/>
        </w:rPr>
        <w:t>EBITDA</w:t>
      </w:r>
      <w:r>
        <w:rPr>
          <w:rFonts w:ascii="Arial"/>
          <w:b/>
          <w:spacing w:val="20"/>
          <w:sz w:val="24"/>
          <w:u w:val="single"/>
        </w:rPr>
        <w:t xml:space="preserve"> </w:t>
      </w:r>
      <w:r>
        <w:rPr>
          <w:rFonts w:ascii="Arial"/>
          <w:b/>
          <w:spacing w:val="-2"/>
          <w:sz w:val="24"/>
          <w:u w:val="single"/>
        </w:rPr>
        <w:t>(LAJIDA)</w:t>
      </w:r>
    </w:p>
    <w:p w14:paraId="0E57D6EA" w14:textId="77777777" w:rsidR="002C6574" w:rsidRDefault="00000000">
      <w:pPr>
        <w:rPr>
          <w:rFonts w:ascii="Arial"/>
          <w:b/>
          <w:sz w:val="15"/>
        </w:rPr>
      </w:pPr>
      <w:r>
        <w:br w:type="column"/>
      </w:r>
    </w:p>
    <w:p w14:paraId="5ADC8315" w14:textId="77777777" w:rsidR="002C6574" w:rsidRDefault="002C6574">
      <w:pPr>
        <w:pStyle w:val="Corpodetexto"/>
        <w:spacing w:before="36"/>
        <w:rPr>
          <w:rFonts w:ascii="Arial"/>
          <w:b/>
          <w:sz w:val="15"/>
        </w:rPr>
      </w:pPr>
    </w:p>
    <w:p w14:paraId="589D9FAF" w14:textId="77777777" w:rsidR="002C6574" w:rsidRDefault="00000000">
      <w:pPr>
        <w:ind w:left="427"/>
        <w:rPr>
          <w:rFonts w:ascii="Arial"/>
          <w:b/>
          <w:sz w:val="15"/>
        </w:rPr>
      </w:pPr>
      <w:r>
        <w:rPr>
          <w:rFonts w:ascii="Arial"/>
          <w:b/>
          <w:spacing w:val="-2"/>
          <w:sz w:val="15"/>
        </w:rPr>
        <w:t>Trimestres</w:t>
      </w:r>
    </w:p>
    <w:p w14:paraId="3203DB5C" w14:textId="77777777" w:rsidR="002C6574" w:rsidRDefault="002C6574">
      <w:pPr>
        <w:rPr>
          <w:rFonts w:ascii="Arial"/>
          <w:b/>
          <w:sz w:val="15"/>
        </w:rPr>
        <w:sectPr w:rsidR="002C6574">
          <w:type w:val="continuous"/>
          <w:pgSz w:w="11910" w:h="16840"/>
          <w:pgMar w:top="0" w:right="425" w:bottom="0" w:left="425" w:header="1197" w:footer="994" w:gutter="0"/>
          <w:cols w:num="2" w:space="720" w:equalWidth="0">
            <w:col w:w="2507" w:space="2745"/>
            <w:col w:w="5808"/>
          </w:cols>
        </w:sectPr>
      </w:pPr>
    </w:p>
    <w:tbl>
      <w:tblPr>
        <w:tblStyle w:val="TableNormal"/>
        <w:tblW w:w="0" w:type="auto"/>
        <w:tblInd w:w="384" w:type="dxa"/>
        <w:tblLayout w:type="fixed"/>
        <w:tblLook w:val="01E0" w:firstRow="1" w:lastRow="1" w:firstColumn="1" w:lastColumn="1" w:noHBand="0" w:noVBand="0"/>
      </w:tblPr>
      <w:tblGrid>
        <w:gridCol w:w="3536"/>
        <w:gridCol w:w="925"/>
        <w:gridCol w:w="837"/>
        <w:gridCol w:w="703"/>
        <w:gridCol w:w="1044"/>
        <w:gridCol w:w="782"/>
        <w:gridCol w:w="161"/>
        <w:gridCol w:w="852"/>
        <w:gridCol w:w="912"/>
        <w:gridCol w:w="852"/>
      </w:tblGrid>
      <w:tr w:rsidR="002C6574" w14:paraId="482B4BBF" w14:textId="77777777">
        <w:trPr>
          <w:trHeight w:val="253"/>
        </w:trPr>
        <w:tc>
          <w:tcPr>
            <w:tcW w:w="3536" w:type="dxa"/>
            <w:shd w:val="clear" w:color="auto" w:fill="0000FF"/>
          </w:tcPr>
          <w:p w14:paraId="590329A5" w14:textId="77777777" w:rsidR="002C6574" w:rsidRDefault="00000000">
            <w:pPr>
              <w:pStyle w:val="TableParagraph"/>
              <w:spacing w:before="65" w:line="169" w:lineRule="exact"/>
              <w:ind w:left="119"/>
              <w:jc w:val="left"/>
              <w:rPr>
                <w:rFonts w:ascii="Arial"/>
                <w:b/>
                <w:sz w:val="15"/>
              </w:rPr>
            </w:pPr>
            <w:r>
              <w:rPr>
                <w:rFonts w:ascii="Arial"/>
                <w:b/>
                <w:color w:val="FFFFFF"/>
                <w:sz w:val="15"/>
              </w:rPr>
              <w:t>R$</w:t>
            </w:r>
            <w:r>
              <w:rPr>
                <w:rFonts w:ascii="Arial"/>
                <w:b/>
                <w:color w:val="FFFFFF"/>
                <w:spacing w:val="-1"/>
                <w:sz w:val="15"/>
              </w:rPr>
              <w:t xml:space="preserve"> </w:t>
            </w:r>
            <w:r>
              <w:rPr>
                <w:rFonts w:ascii="Arial"/>
                <w:b/>
                <w:color w:val="FFFFFF"/>
                <w:spacing w:val="-5"/>
                <w:sz w:val="15"/>
              </w:rPr>
              <w:t>mil</w:t>
            </w:r>
          </w:p>
        </w:tc>
        <w:tc>
          <w:tcPr>
            <w:tcW w:w="925" w:type="dxa"/>
            <w:tcBorders>
              <w:top w:val="single" w:sz="8" w:space="0" w:color="000000"/>
            </w:tcBorders>
            <w:shd w:val="clear" w:color="auto" w:fill="0000FF"/>
          </w:tcPr>
          <w:p w14:paraId="696174E2" w14:textId="77777777" w:rsidR="002C6574" w:rsidRDefault="00000000">
            <w:pPr>
              <w:pStyle w:val="TableParagraph"/>
              <w:spacing w:before="53"/>
              <w:ind w:left="270"/>
              <w:jc w:val="left"/>
              <w:rPr>
                <w:rFonts w:ascii="Arial"/>
                <w:b/>
                <w:sz w:val="15"/>
              </w:rPr>
            </w:pPr>
            <w:r>
              <w:rPr>
                <w:rFonts w:ascii="Arial"/>
                <w:b/>
                <w:color w:val="FFFFFF"/>
                <w:spacing w:val="-4"/>
                <w:sz w:val="15"/>
              </w:rPr>
              <w:t>4T25</w:t>
            </w:r>
          </w:p>
        </w:tc>
        <w:tc>
          <w:tcPr>
            <w:tcW w:w="837" w:type="dxa"/>
            <w:tcBorders>
              <w:top w:val="single" w:sz="8" w:space="0" w:color="000000"/>
            </w:tcBorders>
            <w:shd w:val="clear" w:color="auto" w:fill="0000FF"/>
          </w:tcPr>
          <w:p w14:paraId="5ACDE90D" w14:textId="77777777" w:rsidR="002C6574" w:rsidRDefault="00000000">
            <w:pPr>
              <w:pStyle w:val="TableParagraph"/>
              <w:spacing w:before="53"/>
              <w:ind w:left="219"/>
              <w:jc w:val="left"/>
              <w:rPr>
                <w:rFonts w:ascii="Arial"/>
                <w:b/>
                <w:sz w:val="15"/>
              </w:rPr>
            </w:pPr>
            <w:r>
              <w:rPr>
                <w:rFonts w:ascii="Arial"/>
                <w:b/>
                <w:color w:val="FFFFFF"/>
                <w:spacing w:val="-4"/>
                <w:sz w:val="15"/>
              </w:rPr>
              <w:t>4T24</w:t>
            </w:r>
          </w:p>
        </w:tc>
        <w:tc>
          <w:tcPr>
            <w:tcW w:w="703" w:type="dxa"/>
            <w:tcBorders>
              <w:top w:val="single" w:sz="8" w:space="0" w:color="000000"/>
            </w:tcBorders>
            <w:shd w:val="clear" w:color="auto" w:fill="0000FF"/>
          </w:tcPr>
          <w:p w14:paraId="28728798" w14:textId="77777777" w:rsidR="002C6574" w:rsidRDefault="00000000">
            <w:pPr>
              <w:pStyle w:val="TableParagraph"/>
              <w:spacing w:before="53"/>
              <w:ind w:left="179"/>
              <w:jc w:val="left"/>
              <w:rPr>
                <w:rFonts w:ascii="Arial"/>
                <w:b/>
                <w:sz w:val="15"/>
              </w:rPr>
            </w:pPr>
            <w:r>
              <w:rPr>
                <w:rFonts w:ascii="Arial"/>
                <w:b/>
                <w:color w:val="FFFFFF"/>
                <w:spacing w:val="-4"/>
                <w:sz w:val="15"/>
              </w:rPr>
              <w:t>3T25</w:t>
            </w:r>
          </w:p>
        </w:tc>
        <w:tc>
          <w:tcPr>
            <w:tcW w:w="1826" w:type="dxa"/>
            <w:gridSpan w:val="2"/>
            <w:tcBorders>
              <w:top w:val="single" w:sz="8" w:space="0" w:color="000000"/>
            </w:tcBorders>
          </w:tcPr>
          <w:p w14:paraId="4CC88CF6" w14:textId="77777777" w:rsidR="002C6574" w:rsidRDefault="00000000">
            <w:pPr>
              <w:pStyle w:val="TableParagraph"/>
              <w:tabs>
                <w:tab w:val="left" w:pos="1154"/>
              </w:tabs>
              <w:spacing w:before="53"/>
              <w:ind w:left="163" w:right="-15"/>
              <w:jc w:val="left"/>
              <w:rPr>
                <w:rFonts w:ascii="Arial" w:hAnsi="Arial"/>
                <w:b/>
                <w:sz w:val="15"/>
              </w:rPr>
            </w:pPr>
            <w:r>
              <w:rPr>
                <w:rFonts w:ascii="Times New Roman" w:hAnsi="Times New Roman"/>
                <w:color w:val="FFFFFF"/>
                <w:spacing w:val="58"/>
                <w:sz w:val="15"/>
                <w:highlight w:val="blue"/>
              </w:rPr>
              <w:t xml:space="preserve">  </w:t>
            </w:r>
            <w:r>
              <w:rPr>
                <w:rFonts w:ascii="Arial" w:hAnsi="Arial"/>
                <w:b/>
                <w:color w:val="FFFFFF"/>
                <w:sz w:val="15"/>
                <w:highlight w:val="blue"/>
              </w:rPr>
              <w:t>Δ</w:t>
            </w:r>
            <w:r>
              <w:rPr>
                <w:rFonts w:ascii="Arial" w:hAnsi="Arial"/>
                <w:b/>
                <w:color w:val="FFFFFF"/>
                <w:spacing w:val="-1"/>
                <w:sz w:val="15"/>
                <w:highlight w:val="blue"/>
              </w:rPr>
              <w:t xml:space="preserve"> </w:t>
            </w:r>
            <w:r>
              <w:rPr>
                <w:rFonts w:ascii="Arial" w:hAnsi="Arial"/>
                <w:b/>
                <w:color w:val="FFFFFF"/>
                <w:spacing w:val="-5"/>
                <w:sz w:val="15"/>
                <w:highlight w:val="blue"/>
              </w:rPr>
              <w:t>Ano</w:t>
            </w:r>
            <w:r>
              <w:rPr>
                <w:rFonts w:ascii="Arial" w:hAnsi="Arial"/>
                <w:b/>
                <w:color w:val="FFFFFF"/>
                <w:sz w:val="15"/>
                <w:highlight w:val="blue"/>
              </w:rPr>
              <w:tab/>
              <w:t>Δ</w:t>
            </w:r>
            <w:r>
              <w:rPr>
                <w:rFonts w:ascii="Arial" w:hAnsi="Arial"/>
                <w:b/>
                <w:color w:val="FFFFFF"/>
                <w:spacing w:val="-4"/>
                <w:sz w:val="15"/>
                <w:highlight w:val="blue"/>
              </w:rPr>
              <w:t xml:space="preserve"> Trim.</w:t>
            </w:r>
            <w:r>
              <w:rPr>
                <w:rFonts w:ascii="Arial" w:hAnsi="Arial"/>
                <w:b/>
                <w:color w:val="FFFFFF"/>
                <w:spacing w:val="40"/>
                <w:sz w:val="15"/>
                <w:highlight w:val="blue"/>
              </w:rPr>
              <w:t xml:space="preserve"> </w:t>
            </w:r>
          </w:p>
        </w:tc>
        <w:tc>
          <w:tcPr>
            <w:tcW w:w="1925" w:type="dxa"/>
            <w:gridSpan w:val="3"/>
          </w:tcPr>
          <w:p w14:paraId="44D4A2CB" w14:textId="77777777" w:rsidR="002C6574" w:rsidRDefault="00000000">
            <w:pPr>
              <w:pStyle w:val="TableParagraph"/>
              <w:tabs>
                <w:tab w:val="left" w:pos="423"/>
                <w:tab w:val="left" w:pos="1263"/>
                <w:tab w:val="left" w:pos="1846"/>
              </w:tabs>
              <w:spacing w:before="53"/>
              <w:ind w:left="164"/>
              <w:jc w:val="left"/>
              <w:rPr>
                <w:rFonts w:ascii="Arial"/>
                <w:b/>
                <w:sz w:val="15"/>
              </w:rPr>
            </w:pPr>
            <w:r>
              <w:rPr>
                <w:rFonts w:ascii="Arial"/>
                <w:b/>
                <w:color w:val="FFFFFF"/>
                <w:sz w:val="15"/>
                <w:highlight w:val="blue"/>
              </w:rPr>
              <w:tab/>
            </w:r>
            <w:r>
              <w:rPr>
                <w:rFonts w:ascii="Arial"/>
                <w:b/>
                <w:color w:val="FFFFFF"/>
                <w:spacing w:val="-4"/>
                <w:sz w:val="15"/>
                <w:highlight w:val="blue"/>
              </w:rPr>
              <w:t>2025</w:t>
            </w:r>
            <w:r>
              <w:rPr>
                <w:rFonts w:ascii="Arial"/>
                <w:b/>
                <w:color w:val="FFFFFF"/>
                <w:sz w:val="15"/>
                <w:highlight w:val="blue"/>
              </w:rPr>
              <w:tab/>
            </w:r>
            <w:r>
              <w:rPr>
                <w:rFonts w:ascii="Arial"/>
                <w:b/>
                <w:color w:val="FFFFFF"/>
                <w:spacing w:val="-4"/>
                <w:sz w:val="15"/>
                <w:highlight w:val="blue"/>
              </w:rPr>
              <w:t>2024</w:t>
            </w:r>
            <w:r>
              <w:rPr>
                <w:rFonts w:ascii="Arial"/>
                <w:b/>
                <w:color w:val="FFFFFF"/>
                <w:sz w:val="15"/>
                <w:highlight w:val="blue"/>
              </w:rPr>
              <w:tab/>
            </w:r>
          </w:p>
        </w:tc>
        <w:tc>
          <w:tcPr>
            <w:tcW w:w="852" w:type="dxa"/>
          </w:tcPr>
          <w:p w14:paraId="2C760F07" w14:textId="77777777" w:rsidR="002C6574" w:rsidRDefault="00000000">
            <w:pPr>
              <w:pStyle w:val="TableParagraph"/>
              <w:spacing w:before="53"/>
              <w:ind w:right="44"/>
              <w:rPr>
                <w:rFonts w:ascii="Arial" w:hAnsi="Arial"/>
                <w:b/>
                <w:sz w:val="15"/>
              </w:rPr>
            </w:pPr>
            <w:r>
              <w:rPr>
                <w:rFonts w:ascii="Times New Roman" w:hAnsi="Times New Roman"/>
                <w:color w:val="FFFFFF"/>
                <w:spacing w:val="79"/>
                <w:w w:val="150"/>
                <w:sz w:val="15"/>
                <w:highlight w:val="blue"/>
              </w:rPr>
              <w:t xml:space="preserve"> </w:t>
            </w:r>
            <w:r>
              <w:rPr>
                <w:rFonts w:ascii="Arial" w:hAnsi="Arial"/>
                <w:b/>
                <w:color w:val="FFFFFF"/>
                <w:sz w:val="15"/>
                <w:highlight w:val="blue"/>
              </w:rPr>
              <w:t>Δ</w:t>
            </w:r>
            <w:r>
              <w:rPr>
                <w:rFonts w:ascii="Arial" w:hAnsi="Arial"/>
                <w:b/>
                <w:color w:val="FFFFFF"/>
                <w:spacing w:val="-2"/>
                <w:sz w:val="15"/>
                <w:highlight w:val="blue"/>
              </w:rPr>
              <w:t xml:space="preserve"> </w:t>
            </w:r>
            <w:r>
              <w:rPr>
                <w:rFonts w:ascii="Arial" w:hAnsi="Arial"/>
                <w:b/>
                <w:color w:val="FFFFFF"/>
                <w:spacing w:val="-5"/>
                <w:sz w:val="15"/>
                <w:highlight w:val="blue"/>
              </w:rPr>
              <w:t>Ano</w:t>
            </w:r>
            <w:r>
              <w:rPr>
                <w:rFonts w:ascii="Arial" w:hAnsi="Arial"/>
                <w:b/>
                <w:color w:val="FFFFFF"/>
                <w:spacing w:val="40"/>
                <w:sz w:val="15"/>
                <w:highlight w:val="blue"/>
              </w:rPr>
              <w:t xml:space="preserve"> </w:t>
            </w:r>
          </w:p>
        </w:tc>
      </w:tr>
      <w:tr w:rsidR="002C6574" w14:paraId="3A7E86B2" w14:textId="77777777">
        <w:trPr>
          <w:trHeight w:val="191"/>
        </w:trPr>
        <w:tc>
          <w:tcPr>
            <w:tcW w:w="3536" w:type="dxa"/>
          </w:tcPr>
          <w:p w14:paraId="4005ADD0" w14:textId="77777777" w:rsidR="002C6574" w:rsidRDefault="00000000">
            <w:pPr>
              <w:pStyle w:val="TableParagraph"/>
              <w:spacing w:before="13"/>
              <w:ind w:left="119"/>
              <w:jc w:val="left"/>
              <w:rPr>
                <w:rFonts w:ascii="Arial MT" w:hAnsi="Arial MT"/>
                <w:sz w:val="15"/>
              </w:rPr>
            </w:pPr>
            <w:r>
              <w:rPr>
                <w:rFonts w:ascii="Arial MT" w:hAnsi="Arial MT"/>
                <w:sz w:val="15"/>
              </w:rPr>
              <w:t>Lucro/(Prejuízo)</w:t>
            </w:r>
            <w:r>
              <w:rPr>
                <w:rFonts w:ascii="Arial MT" w:hAnsi="Arial MT"/>
                <w:spacing w:val="-9"/>
                <w:sz w:val="15"/>
              </w:rPr>
              <w:t xml:space="preserve"> </w:t>
            </w:r>
            <w:r>
              <w:rPr>
                <w:rFonts w:ascii="Arial MT" w:hAnsi="Arial MT"/>
                <w:sz w:val="15"/>
              </w:rPr>
              <w:t>Líquido</w:t>
            </w:r>
            <w:r>
              <w:rPr>
                <w:rFonts w:ascii="Arial MT" w:hAnsi="Arial MT"/>
                <w:spacing w:val="-9"/>
                <w:sz w:val="15"/>
              </w:rPr>
              <w:t xml:space="preserve"> </w:t>
            </w:r>
            <w:r>
              <w:rPr>
                <w:rFonts w:ascii="Arial MT" w:hAnsi="Arial MT"/>
                <w:sz w:val="15"/>
              </w:rPr>
              <w:t>do</w:t>
            </w:r>
            <w:r>
              <w:rPr>
                <w:rFonts w:ascii="Arial MT" w:hAnsi="Arial MT"/>
                <w:spacing w:val="-9"/>
                <w:sz w:val="15"/>
              </w:rPr>
              <w:t xml:space="preserve"> </w:t>
            </w:r>
            <w:r>
              <w:rPr>
                <w:rFonts w:ascii="Arial MT" w:hAnsi="Arial MT"/>
                <w:spacing w:val="-2"/>
                <w:sz w:val="15"/>
              </w:rPr>
              <w:t>Período</w:t>
            </w:r>
          </w:p>
        </w:tc>
        <w:tc>
          <w:tcPr>
            <w:tcW w:w="925" w:type="dxa"/>
            <w:shd w:val="clear" w:color="auto" w:fill="66FFFF"/>
          </w:tcPr>
          <w:p w14:paraId="34E9CCB8" w14:textId="77777777" w:rsidR="002C6574" w:rsidRDefault="00000000">
            <w:pPr>
              <w:pStyle w:val="TableParagraph"/>
              <w:spacing w:before="13"/>
              <w:ind w:right="116"/>
              <w:rPr>
                <w:rFonts w:ascii="Arial MT"/>
                <w:sz w:val="15"/>
              </w:rPr>
            </w:pPr>
            <w:r>
              <w:rPr>
                <w:rFonts w:ascii="Arial MT"/>
                <w:spacing w:val="-2"/>
                <w:sz w:val="15"/>
              </w:rPr>
              <w:t>223.461</w:t>
            </w:r>
          </w:p>
        </w:tc>
        <w:tc>
          <w:tcPr>
            <w:tcW w:w="837" w:type="dxa"/>
          </w:tcPr>
          <w:p w14:paraId="085F859D" w14:textId="77777777" w:rsidR="002C6574" w:rsidRDefault="00000000">
            <w:pPr>
              <w:pStyle w:val="TableParagraph"/>
              <w:spacing w:before="13"/>
              <w:ind w:right="70"/>
              <w:rPr>
                <w:rFonts w:ascii="Arial MT"/>
                <w:sz w:val="15"/>
              </w:rPr>
            </w:pPr>
            <w:r>
              <w:rPr>
                <w:rFonts w:ascii="Arial MT"/>
                <w:spacing w:val="-2"/>
                <w:sz w:val="15"/>
              </w:rPr>
              <w:t>139.125</w:t>
            </w:r>
          </w:p>
        </w:tc>
        <w:tc>
          <w:tcPr>
            <w:tcW w:w="703" w:type="dxa"/>
          </w:tcPr>
          <w:p w14:paraId="5395988C" w14:textId="77777777" w:rsidR="002C6574" w:rsidRDefault="00000000">
            <w:pPr>
              <w:pStyle w:val="TableParagraph"/>
              <w:spacing w:before="13"/>
              <w:ind w:right="62"/>
              <w:rPr>
                <w:rFonts w:ascii="Arial MT"/>
                <w:sz w:val="15"/>
              </w:rPr>
            </w:pPr>
            <w:r>
              <w:rPr>
                <w:rFonts w:ascii="Arial MT"/>
                <w:spacing w:val="-2"/>
                <w:sz w:val="15"/>
              </w:rPr>
              <w:t>(25.610)</w:t>
            </w:r>
          </w:p>
        </w:tc>
        <w:tc>
          <w:tcPr>
            <w:tcW w:w="1044" w:type="dxa"/>
          </w:tcPr>
          <w:p w14:paraId="2D0A1BC3" w14:textId="77777777" w:rsidR="002C6574" w:rsidRDefault="00000000">
            <w:pPr>
              <w:pStyle w:val="TableParagraph"/>
              <w:spacing w:before="13"/>
              <w:ind w:right="115"/>
              <w:rPr>
                <w:rFonts w:ascii="Arial MT"/>
                <w:sz w:val="15"/>
              </w:rPr>
            </w:pPr>
            <w:r>
              <w:rPr>
                <w:rFonts w:ascii="Arial MT"/>
                <w:spacing w:val="-2"/>
                <w:sz w:val="15"/>
              </w:rPr>
              <w:t>60,6%</w:t>
            </w:r>
          </w:p>
        </w:tc>
        <w:tc>
          <w:tcPr>
            <w:tcW w:w="943" w:type="dxa"/>
            <w:gridSpan w:val="2"/>
          </w:tcPr>
          <w:p w14:paraId="77D7C6B4" w14:textId="77777777" w:rsidR="002C6574" w:rsidRDefault="00000000">
            <w:pPr>
              <w:pStyle w:val="TableParagraph"/>
              <w:spacing w:before="13"/>
              <w:ind w:left="206"/>
              <w:jc w:val="left"/>
              <w:rPr>
                <w:rFonts w:ascii="Arial MT"/>
                <w:sz w:val="15"/>
              </w:rPr>
            </w:pPr>
            <w:r>
              <w:rPr>
                <w:rFonts w:ascii="Arial MT"/>
                <w:spacing w:val="-2"/>
                <w:sz w:val="15"/>
              </w:rPr>
              <w:t>972,6%</w:t>
            </w:r>
          </w:p>
        </w:tc>
        <w:tc>
          <w:tcPr>
            <w:tcW w:w="852" w:type="dxa"/>
            <w:shd w:val="clear" w:color="auto" w:fill="66FFFF"/>
          </w:tcPr>
          <w:p w14:paraId="2BEED071" w14:textId="77777777" w:rsidR="002C6574" w:rsidRDefault="00000000">
            <w:pPr>
              <w:pStyle w:val="TableParagraph"/>
              <w:spacing w:before="27" w:line="161" w:lineRule="exact"/>
              <w:ind w:right="61"/>
              <w:rPr>
                <w:rFonts w:ascii="Arial MT"/>
                <w:sz w:val="15"/>
              </w:rPr>
            </w:pPr>
            <w:r>
              <w:rPr>
                <w:rFonts w:ascii="Arial MT"/>
                <w:spacing w:val="-2"/>
                <w:sz w:val="15"/>
              </w:rPr>
              <w:t>140.504</w:t>
            </w:r>
          </w:p>
        </w:tc>
        <w:tc>
          <w:tcPr>
            <w:tcW w:w="912" w:type="dxa"/>
          </w:tcPr>
          <w:p w14:paraId="03BF4C02" w14:textId="77777777" w:rsidR="002C6574" w:rsidRDefault="00000000">
            <w:pPr>
              <w:pStyle w:val="TableParagraph"/>
              <w:spacing w:before="27" w:line="161" w:lineRule="exact"/>
              <w:ind w:right="143"/>
              <w:rPr>
                <w:rFonts w:ascii="Arial MT"/>
                <w:sz w:val="15"/>
              </w:rPr>
            </w:pPr>
            <w:r>
              <w:rPr>
                <w:rFonts w:ascii="Arial MT"/>
                <w:spacing w:val="-2"/>
                <w:sz w:val="15"/>
              </w:rPr>
              <w:t>(66.572)</w:t>
            </w:r>
          </w:p>
        </w:tc>
        <w:tc>
          <w:tcPr>
            <w:tcW w:w="852" w:type="dxa"/>
          </w:tcPr>
          <w:p w14:paraId="5CD38ABE" w14:textId="77777777" w:rsidR="002C6574" w:rsidRDefault="00000000">
            <w:pPr>
              <w:pStyle w:val="TableParagraph"/>
              <w:spacing w:before="13"/>
              <w:ind w:right="114"/>
              <w:rPr>
                <w:rFonts w:ascii="Arial MT"/>
                <w:sz w:val="15"/>
              </w:rPr>
            </w:pPr>
            <w:r>
              <w:rPr>
                <w:rFonts w:ascii="Arial MT"/>
                <w:spacing w:val="-2"/>
                <w:sz w:val="15"/>
              </w:rPr>
              <w:t>311,1%</w:t>
            </w:r>
          </w:p>
        </w:tc>
      </w:tr>
      <w:tr w:rsidR="002C6574" w14:paraId="3363BFF2" w14:textId="77777777">
        <w:trPr>
          <w:trHeight w:val="196"/>
        </w:trPr>
        <w:tc>
          <w:tcPr>
            <w:tcW w:w="3536" w:type="dxa"/>
          </w:tcPr>
          <w:p w14:paraId="2302352E" w14:textId="77777777" w:rsidR="002C6574" w:rsidRDefault="00000000">
            <w:pPr>
              <w:pStyle w:val="TableParagraph"/>
              <w:spacing w:before="4"/>
              <w:ind w:left="119"/>
              <w:jc w:val="left"/>
              <w:rPr>
                <w:rFonts w:ascii="Arial MT" w:hAnsi="Arial MT"/>
                <w:sz w:val="15"/>
              </w:rPr>
            </w:pPr>
            <w:r>
              <w:rPr>
                <w:rFonts w:ascii="Arial MT" w:hAnsi="Arial MT"/>
                <w:sz w:val="15"/>
              </w:rPr>
              <w:t>(+)</w:t>
            </w:r>
            <w:r>
              <w:rPr>
                <w:rFonts w:ascii="Arial MT" w:hAnsi="Arial MT"/>
                <w:spacing w:val="-5"/>
                <w:sz w:val="15"/>
              </w:rPr>
              <w:t xml:space="preserve"> </w:t>
            </w:r>
            <w:r>
              <w:rPr>
                <w:rFonts w:ascii="Arial MT" w:hAnsi="Arial MT"/>
                <w:sz w:val="15"/>
              </w:rPr>
              <w:t>Imposto</w:t>
            </w:r>
            <w:r>
              <w:rPr>
                <w:rFonts w:ascii="Arial MT" w:hAnsi="Arial MT"/>
                <w:spacing w:val="-6"/>
                <w:sz w:val="15"/>
              </w:rPr>
              <w:t xml:space="preserve"> </w:t>
            </w:r>
            <w:r>
              <w:rPr>
                <w:rFonts w:ascii="Arial MT" w:hAnsi="Arial MT"/>
                <w:sz w:val="15"/>
              </w:rPr>
              <w:t>de</w:t>
            </w:r>
            <w:r>
              <w:rPr>
                <w:rFonts w:ascii="Arial MT" w:hAnsi="Arial MT"/>
                <w:spacing w:val="-8"/>
                <w:sz w:val="15"/>
              </w:rPr>
              <w:t xml:space="preserve"> </w:t>
            </w:r>
            <w:r>
              <w:rPr>
                <w:rFonts w:ascii="Arial MT" w:hAnsi="Arial MT"/>
                <w:sz w:val="15"/>
              </w:rPr>
              <w:t>Renda</w:t>
            </w:r>
            <w:r>
              <w:rPr>
                <w:rFonts w:ascii="Arial MT" w:hAnsi="Arial MT"/>
                <w:spacing w:val="-6"/>
                <w:sz w:val="15"/>
              </w:rPr>
              <w:t xml:space="preserve"> </w:t>
            </w:r>
            <w:r>
              <w:rPr>
                <w:rFonts w:ascii="Arial MT" w:hAnsi="Arial MT"/>
                <w:sz w:val="15"/>
              </w:rPr>
              <w:t>e</w:t>
            </w:r>
            <w:r>
              <w:rPr>
                <w:rFonts w:ascii="Arial MT" w:hAnsi="Arial MT"/>
                <w:spacing w:val="-5"/>
                <w:sz w:val="15"/>
              </w:rPr>
              <w:t xml:space="preserve"> </w:t>
            </w:r>
            <w:r>
              <w:rPr>
                <w:rFonts w:ascii="Arial MT" w:hAnsi="Arial MT"/>
                <w:sz w:val="15"/>
              </w:rPr>
              <w:t>Contribuição</w:t>
            </w:r>
            <w:r>
              <w:rPr>
                <w:rFonts w:ascii="Arial MT" w:hAnsi="Arial MT"/>
                <w:spacing w:val="-3"/>
                <w:sz w:val="15"/>
              </w:rPr>
              <w:t xml:space="preserve"> </w:t>
            </w:r>
            <w:r>
              <w:rPr>
                <w:rFonts w:ascii="Arial MT" w:hAnsi="Arial MT"/>
                <w:spacing w:val="-2"/>
                <w:sz w:val="15"/>
              </w:rPr>
              <w:t>Social</w:t>
            </w:r>
          </w:p>
        </w:tc>
        <w:tc>
          <w:tcPr>
            <w:tcW w:w="925" w:type="dxa"/>
            <w:shd w:val="clear" w:color="auto" w:fill="66FFFF"/>
          </w:tcPr>
          <w:p w14:paraId="26BEE960" w14:textId="77777777" w:rsidR="002C6574" w:rsidRDefault="00000000">
            <w:pPr>
              <w:pStyle w:val="TableParagraph"/>
              <w:spacing w:before="4"/>
              <w:ind w:right="116"/>
              <w:rPr>
                <w:rFonts w:ascii="Arial MT"/>
                <w:sz w:val="15"/>
              </w:rPr>
            </w:pPr>
            <w:r>
              <w:rPr>
                <w:rFonts w:ascii="Arial MT"/>
                <w:spacing w:val="-2"/>
                <w:sz w:val="15"/>
              </w:rPr>
              <w:t>41.932</w:t>
            </w:r>
          </w:p>
        </w:tc>
        <w:tc>
          <w:tcPr>
            <w:tcW w:w="837" w:type="dxa"/>
          </w:tcPr>
          <w:p w14:paraId="050BBC2E" w14:textId="77777777" w:rsidR="002C6574" w:rsidRDefault="00000000">
            <w:pPr>
              <w:pStyle w:val="TableParagraph"/>
              <w:spacing w:before="4"/>
              <w:ind w:right="70"/>
              <w:rPr>
                <w:rFonts w:ascii="Arial MT"/>
                <w:sz w:val="15"/>
              </w:rPr>
            </w:pPr>
            <w:r>
              <w:rPr>
                <w:rFonts w:ascii="Arial MT"/>
                <w:spacing w:val="-10"/>
                <w:sz w:val="15"/>
              </w:rPr>
              <w:t>-</w:t>
            </w:r>
          </w:p>
        </w:tc>
        <w:tc>
          <w:tcPr>
            <w:tcW w:w="703" w:type="dxa"/>
          </w:tcPr>
          <w:p w14:paraId="2E3EDBF2" w14:textId="77777777" w:rsidR="002C6574" w:rsidRDefault="00000000">
            <w:pPr>
              <w:pStyle w:val="TableParagraph"/>
              <w:spacing w:before="4"/>
              <w:ind w:right="65"/>
              <w:rPr>
                <w:rFonts w:ascii="Arial MT"/>
                <w:sz w:val="15"/>
              </w:rPr>
            </w:pPr>
            <w:r>
              <w:rPr>
                <w:rFonts w:ascii="Arial MT"/>
                <w:spacing w:val="-10"/>
                <w:sz w:val="15"/>
              </w:rPr>
              <w:t>-</w:t>
            </w:r>
          </w:p>
        </w:tc>
        <w:tc>
          <w:tcPr>
            <w:tcW w:w="1044" w:type="dxa"/>
          </w:tcPr>
          <w:p w14:paraId="3C88A556" w14:textId="77777777" w:rsidR="002C6574" w:rsidRDefault="00000000">
            <w:pPr>
              <w:pStyle w:val="TableParagraph"/>
              <w:spacing w:before="4"/>
              <w:ind w:right="115"/>
              <w:rPr>
                <w:rFonts w:ascii="Arial MT"/>
                <w:sz w:val="15"/>
              </w:rPr>
            </w:pPr>
            <w:r>
              <w:rPr>
                <w:rFonts w:ascii="Arial MT"/>
                <w:spacing w:val="-2"/>
                <w:sz w:val="15"/>
              </w:rPr>
              <w:t>100,0%</w:t>
            </w:r>
          </w:p>
        </w:tc>
        <w:tc>
          <w:tcPr>
            <w:tcW w:w="943" w:type="dxa"/>
            <w:gridSpan w:val="2"/>
          </w:tcPr>
          <w:p w14:paraId="613BA696" w14:textId="77777777" w:rsidR="002C6574" w:rsidRDefault="00000000">
            <w:pPr>
              <w:pStyle w:val="TableParagraph"/>
              <w:spacing w:before="4"/>
              <w:ind w:left="206"/>
              <w:jc w:val="left"/>
              <w:rPr>
                <w:rFonts w:ascii="Arial MT"/>
                <w:sz w:val="15"/>
              </w:rPr>
            </w:pPr>
            <w:r>
              <w:rPr>
                <w:rFonts w:ascii="Arial MT"/>
                <w:spacing w:val="-2"/>
                <w:sz w:val="15"/>
              </w:rPr>
              <w:t>100,0%</w:t>
            </w:r>
          </w:p>
        </w:tc>
        <w:tc>
          <w:tcPr>
            <w:tcW w:w="852" w:type="dxa"/>
            <w:shd w:val="clear" w:color="auto" w:fill="66FFFF"/>
          </w:tcPr>
          <w:p w14:paraId="4872BA3C" w14:textId="77777777" w:rsidR="002C6574" w:rsidRDefault="00000000">
            <w:pPr>
              <w:pStyle w:val="TableParagraph"/>
              <w:spacing w:before="4"/>
              <w:ind w:right="61"/>
              <w:rPr>
                <w:rFonts w:ascii="Arial MT"/>
                <w:sz w:val="15"/>
              </w:rPr>
            </w:pPr>
            <w:r>
              <w:rPr>
                <w:rFonts w:ascii="Arial MT"/>
                <w:spacing w:val="-2"/>
                <w:sz w:val="15"/>
              </w:rPr>
              <w:t>41.932</w:t>
            </w:r>
          </w:p>
        </w:tc>
        <w:tc>
          <w:tcPr>
            <w:tcW w:w="912" w:type="dxa"/>
          </w:tcPr>
          <w:p w14:paraId="745F5F4B" w14:textId="77777777" w:rsidR="002C6574" w:rsidRDefault="00000000">
            <w:pPr>
              <w:pStyle w:val="TableParagraph"/>
              <w:spacing w:before="16" w:line="161" w:lineRule="exact"/>
              <w:ind w:right="143"/>
              <w:rPr>
                <w:rFonts w:ascii="Arial MT"/>
                <w:sz w:val="15"/>
              </w:rPr>
            </w:pPr>
            <w:r>
              <w:rPr>
                <w:rFonts w:ascii="Arial MT"/>
                <w:spacing w:val="-10"/>
                <w:sz w:val="15"/>
              </w:rPr>
              <w:t>-</w:t>
            </w:r>
          </w:p>
        </w:tc>
        <w:tc>
          <w:tcPr>
            <w:tcW w:w="852" w:type="dxa"/>
          </w:tcPr>
          <w:p w14:paraId="09D7B5BD" w14:textId="77777777" w:rsidR="002C6574" w:rsidRDefault="00000000">
            <w:pPr>
              <w:pStyle w:val="TableParagraph"/>
              <w:spacing w:before="4"/>
              <w:ind w:right="114"/>
              <w:rPr>
                <w:rFonts w:ascii="Arial MT"/>
                <w:sz w:val="15"/>
              </w:rPr>
            </w:pPr>
            <w:r>
              <w:rPr>
                <w:rFonts w:ascii="Arial MT"/>
                <w:spacing w:val="-2"/>
                <w:sz w:val="15"/>
              </w:rPr>
              <w:t>100,0%</w:t>
            </w:r>
          </w:p>
        </w:tc>
      </w:tr>
      <w:tr w:rsidR="002C6574" w14:paraId="1EEB5320" w14:textId="77777777">
        <w:trPr>
          <w:trHeight w:val="199"/>
        </w:trPr>
        <w:tc>
          <w:tcPr>
            <w:tcW w:w="3536" w:type="dxa"/>
          </w:tcPr>
          <w:p w14:paraId="14C767CE" w14:textId="77777777" w:rsidR="002C6574" w:rsidRDefault="00000000">
            <w:pPr>
              <w:pStyle w:val="TableParagraph"/>
              <w:spacing w:before="4"/>
              <w:ind w:left="119"/>
              <w:jc w:val="left"/>
              <w:rPr>
                <w:rFonts w:ascii="Arial MT"/>
                <w:sz w:val="15"/>
              </w:rPr>
            </w:pPr>
            <w:r>
              <w:rPr>
                <w:rFonts w:ascii="Arial MT"/>
                <w:sz w:val="15"/>
              </w:rPr>
              <w:t>(+)</w:t>
            </w:r>
            <w:r>
              <w:rPr>
                <w:rFonts w:ascii="Arial MT"/>
                <w:spacing w:val="-6"/>
                <w:sz w:val="15"/>
              </w:rPr>
              <w:t xml:space="preserve"> </w:t>
            </w:r>
            <w:r>
              <w:rPr>
                <w:rFonts w:ascii="Arial MT"/>
                <w:sz w:val="15"/>
              </w:rPr>
              <w:t>Resultado</w:t>
            </w:r>
            <w:r>
              <w:rPr>
                <w:rFonts w:ascii="Arial MT"/>
                <w:spacing w:val="-7"/>
                <w:sz w:val="15"/>
              </w:rPr>
              <w:t xml:space="preserve"> </w:t>
            </w:r>
            <w:r>
              <w:rPr>
                <w:rFonts w:ascii="Arial MT"/>
                <w:spacing w:val="-2"/>
                <w:sz w:val="15"/>
              </w:rPr>
              <w:t>Financeiro</w:t>
            </w:r>
          </w:p>
        </w:tc>
        <w:tc>
          <w:tcPr>
            <w:tcW w:w="925" w:type="dxa"/>
            <w:shd w:val="clear" w:color="auto" w:fill="66FFFF"/>
          </w:tcPr>
          <w:p w14:paraId="40E608DA" w14:textId="77777777" w:rsidR="002C6574" w:rsidRDefault="00000000">
            <w:pPr>
              <w:pStyle w:val="TableParagraph"/>
              <w:spacing w:before="4"/>
              <w:ind w:right="116"/>
              <w:rPr>
                <w:rFonts w:ascii="Arial MT"/>
                <w:sz w:val="15"/>
              </w:rPr>
            </w:pPr>
            <w:r>
              <w:rPr>
                <w:rFonts w:ascii="Arial MT"/>
                <w:spacing w:val="-2"/>
                <w:sz w:val="15"/>
              </w:rPr>
              <w:t>14.833</w:t>
            </w:r>
          </w:p>
        </w:tc>
        <w:tc>
          <w:tcPr>
            <w:tcW w:w="837" w:type="dxa"/>
          </w:tcPr>
          <w:p w14:paraId="53EE63D1" w14:textId="77777777" w:rsidR="002C6574" w:rsidRDefault="00000000">
            <w:pPr>
              <w:pStyle w:val="TableParagraph"/>
              <w:spacing w:before="4"/>
              <w:ind w:right="70"/>
              <w:rPr>
                <w:rFonts w:ascii="Arial MT"/>
                <w:sz w:val="15"/>
              </w:rPr>
            </w:pPr>
            <w:r>
              <w:rPr>
                <w:rFonts w:ascii="Arial MT"/>
                <w:spacing w:val="-2"/>
                <w:sz w:val="15"/>
              </w:rPr>
              <w:t>25.971</w:t>
            </w:r>
          </w:p>
        </w:tc>
        <w:tc>
          <w:tcPr>
            <w:tcW w:w="703" w:type="dxa"/>
          </w:tcPr>
          <w:p w14:paraId="7B7833D8" w14:textId="77777777" w:rsidR="002C6574" w:rsidRDefault="00000000">
            <w:pPr>
              <w:pStyle w:val="TableParagraph"/>
              <w:spacing w:before="4"/>
              <w:ind w:right="62"/>
              <w:rPr>
                <w:rFonts w:ascii="Arial MT"/>
                <w:sz w:val="15"/>
              </w:rPr>
            </w:pPr>
            <w:r>
              <w:rPr>
                <w:rFonts w:ascii="Arial MT"/>
                <w:spacing w:val="-2"/>
                <w:sz w:val="15"/>
              </w:rPr>
              <w:t>12.682</w:t>
            </w:r>
          </w:p>
        </w:tc>
        <w:tc>
          <w:tcPr>
            <w:tcW w:w="1044" w:type="dxa"/>
          </w:tcPr>
          <w:p w14:paraId="4D69ED63" w14:textId="77777777" w:rsidR="002C6574" w:rsidRDefault="00000000">
            <w:pPr>
              <w:pStyle w:val="TableParagraph"/>
              <w:spacing w:before="4"/>
              <w:ind w:right="115"/>
              <w:rPr>
                <w:rFonts w:ascii="Arial MT"/>
                <w:sz w:val="15"/>
              </w:rPr>
            </w:pPr>
            <w:r>
              <w:rPr>
                <w:rFonts w:ascii="Arial MT"/>
                <w:sz w:val="15"/>
              </w:rPr>
              <w:t>-</w:t>
            </w:r>
            <w:r>
              <w:rPr>
                <w:rFonts w:ascii="Arial MT"/>
                <w:spacing w:val="-2"/>
                <w:sz w:val="15"/>
              </w:rPr>
              <w:t>42,9%</w:t>
            </w:r>
          </w:p>
        </w:tc>
        <w:tc>
          <w:tcPr>
            <w:tcW w:w="943" w:type="dxa"/>
            <w:gridSpan w:val="2"/>
          </w:tcPr>
          <w:p w14:paraId="73C4DBFC" w14:textId="77777777" w:rsidR="002C6574" w:rsidRDefault="00000000">
            <w:pPr>
              <w:pStyle w:val="TableParagraph"/>
              <w:spacing w:before="4"/>
              <w:ind w:left="290"/>
              <w:jc w:val="left"/>
              <w:rPr>
                <w:rFonts w:ascii="Arial MT"/>
                <w:sz w:val="15"/>
              </w:rPr>
            </w:pPr>
            <w:r>
              <w:rPr>
                <w:rFonts w:ascii="Arial MT"/>
                <w:spacing w:val="-2"/>
                <w:sz w:val="15"/>
              </w:rPr>
              <w:t>17,0%</w:t>
            </w:r>
          </w:p>
        </w:tc>
        <w:tc>
          <w:tcPr>
            <w:tcW w:w="852" w:type="dxa"/>
            <w:shd w:val="clear" w:color="auto" w:fill="66FFFF"/>
          </w:tcPr>
          <w:p w14:paraId="62383766" w14:textId="77777777" w:rsidR="002C6574" w:rsidRDefault="00000000">
            <w:pPr>
              <w:pStyle w:val="TableParagraph"/>
              <w:spacing w:before="18" w:line="161" w:lineRule="exact"/>
              <w:ind w:right="61"/>
              <w:rPr>
                <w:rFonts w:ascii="Arial MT"/>
                <w:sz w:val="15"/>
              </w:rPr>
            </w:pPr>
            <w:r>
              <w:rPr>
                <w:rFonts w:ascii="Arial MT"/>
                <w:spacing w:val="-2"/>
                <w:sz w:val="15"/>
              </w:rPr>
              <w:t>54.264</w:t>
            </w:r>
          </w:p>
        </w:tc>
        <w:tc>
          <w:tcPr>
            <w:tcW w:w="912" w:type="dxa"/>
          </w:tcPr>
          <w:p w14:paraId="21B230C7" w14:textId="77777777" w:rsidR="002C6574" w:rsidRDefault="00000000">
            <w:pPr>
              <w:pStyle w:val="TableParagraph"/>
              <w:spacing w:before="18" w:line="161" w:lineRule="exact"/>
              <w:ind w:right="143"/>
              <w:rPr>
                <w:rFonts w:ascii="Arial MT"/>
                <w:sz w:val="15"/>
              </w:rPr>
            </w:pPr>
            <w:r>
              <w:rPr>
                <w:rFonts w:ascii="Arial MT"/>
                <w:spacing w:val="-2"/>
                <w:sz w:val="15"/>
              </w:rPr>
              <w:t>85.068</w:t>
            </w:r>
          </w:p>
        </w:tc>
        <w:tc>
          <w:tcPr>
            <w:tcW w:w="852" w:type="dxa"/>
          </w:tcPr>
          <w:p w14:paraId="4C060B46" w14:textId="77777777" w:rsidR="002C6574" w:rsidRDefault="00000000">
            <w:pPr>
              <w:pStyle w:val="TableParagraph"/>
              <w:spacing w:before="4"/>
              <w:ind w:right="114"/>
              <w:rPr>
                <w:rFonts w:ascii="Arial MT"/>
                <w:sz w:val="15"/>
              </w:rPr>
            </w:pPr>
            <w:r>
              <w:rPr>
                <w:rFonts w:ascii="Arial MT"/>
                <w:sz w:val="15"/>
              </w:rPr>
              <w:t>-</w:t>
            </w:r>
            <w:r>
              <w:rPr>
                <w:rFonts w:ascii="Arial MT"/>
                <w:spacing w:val="-2"/>
                <w:sz w:val="15"/>
              </w:rPr>
              <w:t>36,2%</w:t>
            </w:r>
          </w:p>
        </w:tc>
      </w:tr>
      <w:tr w:rsidR="002C6574" w14:paraId="01C21231" w14:textId="77777777">
        <w:trPr>
          <w:trHeight w:val="188"/>
        </w:trPr>
        <w:tc>
          <w:tcPr>
            <w:tcW w:w="3536" w:type="dxa"/>
          </w:tcPr>
          <w:p w14:paraId="44E0AC2C" w14:textId="77777777" w:rsidR="002C6574" w:rsidRDefault="00000000">
            <w:pPr>
              <w:pStyle w:val="TableParagraph"/>
              <w:spacing w:before="4" w:line="164" w:lineRule="exact"/>
              <w:ind w:left="119"/>
              <w:jc w:val="left"/>
              <w:rPr>
                <w:rFonts w:ascii="Arial MT" w:hAnsi="Arial MT"/>
                <w:sz w:val="15"/>
              </w:rPr>
            </w:pPr>
            <w:r>
              <w:rPr>
                <w:rFonts w:ascii="Arial MT" w:hAnsi="Arial MT"/>
                <w:sz w:val="15"/>
              </w:rPr>
              <w:t>(+)</w:t>
            </w:r>
            <w:r>
              <w:rPr>
                <w:rFonts w:ascii="Arial MT" w:hAnsi="Arial MT"/>
                <w:spacing w:val="-6"/>
                <w:sz w:val="15"/>
              </w:rPr>
              <w:t xml:space="preserve"> </w:t>
            </w:r>
            <w:r>
              <w:rPr>
                <w:rFonts w:ascii="Arial MT" w:hAnsi="Arial MT"/>
                <w:sz w:val="15"/>
              </w:rPr>
              <w:t>Depreciação</w:t>
            </w:r>
            <w:r>
              <w:rPr>
                <w:rFonts w:ascii="Arial MT" w:hAnsi="Arial MT"/>
                <w:spacing w:val="-3"/>
                <w:sz w:val="15"/>
              </w:rPr>
              <w:t xml:space="preserve"> </w:t>
            </w:r>
            <w:r>
              <w:rPr>
                <w:rFonts w:ascii="Arial MT" w:hAnsi="Arial MT"/>
                <w:sz w:val="15"/>
              </w:rPr>
              <w:t>e</w:t>
            </w:r>
            <w:r>
              <w:rPr>
                <w:rFonts w:ascii="Arial MT" w:hAnsi="Arial MT"/>
                <w:spacing w:val="-6"/>
                <w:sz w:val="15"/>
              </w:rPr>
              <w:t xml:space="preserve"> </w:t>
            </w:r>
            <w:r>
              <w:rPr>
                <w:rFonts w:ascii="Arial MT" w:hAnsi="Arial MT"/>
                <w:spacing w:val="-2"/>
                <w:sz w:val="15"/>
              </w:rPr>
              <w:t>Amortização</w:t>
            </w:r>
          </w:p>
        </w:tc>
        <w:tc>
          <w:tcPr>
            <w:tcW w:w="925" w:type="dxa"/>
            <w:shd w:val="clear" w:color="auto" w:fill="66FFFF"/>
          </w:tcPr>
          <w:p w14:paraId="7A39DAA3" w14:textId="77777777" w:rsidR="002C6574" w:rsidRDefault="00000000">
            <w:pPr>
              <w:pStyle w:val="TableParagraph"/>
              <w:spacing w:before="4" w:line="164" w:lineRule="exact"/>
              <w:ind w:right="116"/>
              <w:rPr>
                <w:rFonts w:ascii="Arial MT"/>
                <w:sz w:val="15"/>
              </w:rPr>
            </w:pPr>
            <w:r>
              <w:rPr>
                <w:rFonts w:ascii="Arial MT"/>
                <w:spacing w:val="-2"/>
                <w:sz w:val="15"/>
              </w:rPr>
              <w:t>64.696</w:t>
            </w:r>
          </w:p>
        </w:tc>
        <w:tc>
          <w:tcPr>
            <w:tcW w:w="837" w:type="dxa"/>
          </w:tcPr>
          <w:p w14:paraId="1885AA6F" w14:textId="77777777" w:rsidR="002C6574" w:rsidRDefault="00000000">
            <w:pPr>
              <w:pStyle w:val="TableParagraph"/>
              <w:spacing w:before="4" w:line="164" w:lineRule="exact"/>
              <w:ind w:right="70"/>
              <w:rPr>
                <w:rFonts w:ascii="Arial MT"/>
                <w:sz w:val="15"/>
              </w:rPr>
            </w:pPr>
            <w:r>
              <w:rPr>
                <w:rFonts w:ascii="Arial MT"/>
                <w:spacing w:val="-2"/>
                <w:sz w:val="15"/>
              </w:rPr>
              <w:t>69.454</w:t>
            </w:r>
          </w:p>
        </w:tc>
        <w:tc>
          <w:tcPr>
            <w:tcW w:w="703" w:type="dxa"/>
          </w:tcPr>
          <w:p w14:paraId="5AE82AAE" w14:textId="77777777" w:rsidR="002C6574" w:rsidRDefault="00000000">
            <w:pPr>
              <w:pStyle w:val="TableParagraph"/>
              <w:spacing w:before="4" w:line="164" w:lineRule="exact"/>
              <w:ind w:right="62"/>
              <w:rPr>
                <w:rFonts w:ascii="Arial MT"/>
                <w:sz w:val="15"/>
              </w:rPr>
            </w:pPr>
            <w:r>
              <w:rPr>
                <w:rFonts w:ascii="Arial MT"/>
                <w:spacing w:val="-2"/>
                <w:sz w:val="15"/>
              </w:rPr>
              <w:t>69.063</w:t>
            </w:r>
          </w:p>
        </w:tc>
        <w:tc>
          <w:tcPr>
            <w:tcW w:w="1044" w:type="dxa"/>
          </w:tcPr>
          <w:p w14:paraId="17BA448F" w14:textId="77777777" w:rsidR="002C6574" w:rsidRDefault="00000000">
            <w:pPr>
              <w:pStyle w:val="TableParagraph"/>
              <w:spacing w:before="4" w:line="164" w:lineRule="exact"/>
              <w:ind w:right="115"/>
              <w:rPr>
                <w:rFonts w:ascii="Arial MT"/>
                <w:sz w:val="15"/>
              </w:rPr>
            </w:pPr>
            <w:r>
              <w:rPr>
                <w:rFonts w:ascii="Arial MT"/>
                <w:sz w:val="15"/>
              </w:rPr>
              <w:t>-</w:t>
            </w:r>
            <w:r>
              <w:rPr>
                <w:rFonts w:ascii="Arial MT"/>
                <w:spacing w:val="-4"/>
                <w:sz w:val="15"/>
              </w:rPr>
              <w:t>6,8%</w:t>
            </w:r>
          </w:p>
        </w:tc>
        <w:tc>
          <w:tcPr>
            <w:tcW w:w="943" w:type="dxa"/>
            <w:gridSpan w:val="2"/>
          </w:tcPr>
          <w:p w14:paraId="5FE4D247" w14:textId="77777777" w:rsidR="002C6574" w:rsidRDefault="00000000">
            <w:pPr>
              <w:pStyle w:val="TableParagraph"/>
              <w:spacing w:before="4" w:line="164" w:lineRule="exact"/>
              <w:ind w:left="324"/>
              <w:jc w:val="left"/>
              <w:rPr>
                <w:rFonts w:ascii="Arial MT"/>
                <w:sz w:val="15"/>
              </w:rPr>
            </w:pPr>
            <w:r>
              <w:rPr>
                <w:rFonts w:ascii="Arial MT"/>
                <w:sz w:val="15"/>
              </w:rPr>
              <w:t>-</w:t>
            </w:r>
            <w:r>
              <w:rPr>
                <w:rFonts w:ascii="Arial MT"/>
                <w:spacing w:val="-4"/>
                <w:sz w:val="15"/>
              </w:rPr>
              <w:t>6,3%</w:t>
            </w:r>
          </w:p>
        </w:tc>
        <w:tc>
          <w:tcPr>
            <w:tcW w:w="852" w:type="dxa"/>
            <w:shd w:val="clear" w:color="auto" w:fill="66FFFF"/>
          </w:tcPr>
          <w:p w14:paraId="6863CDB3" w14:textId="77777777" w:rsidR="002C6574" w:rsidRDefault="00000000">
            <w:pPr>
              <w:pStyle w:val="TableParagraph"/>
              <w:spacing w:before="16" w:line="152" w:lineRule="exact"/>
              <w:ind w:right="63"/>
              <w:rPr>
                <w:rFonts w:ascii="Arial MT"/>
                <w:sz w:val="15"/>
              </w:rPr>
            </w:pPr>
            <w:r>
              <w:rPr>
                <w:rFonts w:ascii="Arial MT"/>
                <w:spacing w:val="-2"/>
                <w:sz w:val="15"/>
              </w:rPr>
              <w:t>274.104</w:t>
            </w:r>
          </w:p>
        </w:tc>
        <w:tc>
          <w:tcPr>
            <w:tcW w:w="912" w:type="dxa"/>
          </w:tcPr>
          <w:p w14:paraId="57D7390C" w14:textId="77777777" w:rsidR="002C6574" w:rsidRDefault="00000000">
            <w:pPr>
              <w:pStyle w:val="TableParagraph"/>
              <w:spacing w:before="16" w:line="152" w:lineRule="exact"/>
              <w:ind w:right="143"/>
              <w:rPr>
                <w:rFonts w:ascii="Arial MT"/>
                <w:sz w:val="15"/>
              </w:rPr>
            </w:pPr>
            <w:r>
              <w:rPr>
                <w:rFonts w:ascii="Arial MT"/>
                <w:spacing w:val="-2"/>
                <w:sz w:val="15"/>
              </w:rPr>
              <w:t>270.044</w:t>
            </w:r>
          </w:p>
        </w:tc>
        <w:tc>
          <w:tcPr>
            <w:tcW w:w="852" w:type="dxa"/>
          </w:tcPr>
          <w:p w14:paraId="76B46636" w14:textId="77777777" w:rsidR="002C6574" w:rsidRDefault="00000000">
            <w:pPr>
              <w:pStyle w:val="TableParagraph"/>
              <w:spacing w:before="4" w:line="164" w:lineRule="exact"/>
              <w:ind w:right="114"/>
              <w:rPr>
                <w:rFonts w:ascii="Arial MT"/>
                <w:sz w:val="15"/>
              </w:rPr>
            </w:pPr>
            <w:r>
              <w:rPr>
                <w:rFonts w:ascii="Arial MT"/>
                <w:spacing w:val="-4"/>
                <w:sz w:val="15"/>
              </w:rPr>
              <w:t>1,5%</w:t>
            </w:r>
          </w:p>
        </w:tc>
      </w:tr>
      <w:tr w:rsidR="002C6574" w14:paraId="378F6793" w14:textId="77777777">
        <w:trPr>
          <w:trHeight w:val="199"/>
        </w:trPr>
        <w:tc>
          <w:tcPr>
            <w:tcW w:w="3536" w:type="dxa"/>
            <w:shd w:val="clear" w:color="auto" w:fill="0000FF"/>
          </w:tcPr>
          <w:p w14:paraId="0D409CEC" w14:textId="77777777" w:rsidR="002C6574" w:rsidRDefault="00000000">
            <w:pPr>
              <w:pStyle w:val="TableParagraph"/>
              <w:spacing w:before="27" w:line="152" w:lineRule="exact"/>
              <w:ind w:left="119"/>
              <w:jc w:val="left"/>
              <w:rPr>
                <w:rFonts w:ascii="Arial"/>
                <w:b/>
                <w:sz w:val="15"/>
              </w:rPr>
            </w:pPr>
            <w:r>
              <w:rPr>
                <w:rFonts w:ascii="Arial"/>
                <w:b/>
                <w:color w:val="FFFFFF"/>
                <w:spacing w:val="-2"/>
                <w:sz w:val="15"/>
              </w:rPr>
              <w:t>EBITDA</w:t>
            </w:r>
          </w:p>
        </w:tc>
        <w:tc>
          <w:tcPr>
            <w:tcW w:w="925" w:type="dxa"/>
            <w:shd w:val="clear" w:color="auto" w:fill="0000FF"/>
          </w:tcPr>
          <w:p w14:paraId="02D0C948" w14:textId="77777777" w:rsidR="002C6574" w:rsidRDefault="00000000">
            <w:pPr>
              <w:pStyle w:val="TableParagraph"/>
              <w:spacing w:before="13" w:line="166" w:lineRule="exact"/>
              <w:ind w:right="116"/>
              <w:rPr>
                <w:rFonts w:ascii="Arial"/>
                <w:b/>
                <w:sz w:val="15"/>
              </w:rPr>
            </w:pPr>
            <w:r>
              <w:rPr>
                <w:rFonts w:ascii="Arial"/>
                <w:b/>
                <w:color w:val="FFFFFF"/>
                <w:spacing w:val="-2"/>
                <w:sz w:val="15"/>
              </w:rPr>
              <w:t>344.922</w:t>
            </w:r>
          </w:p>
        </w:tc>
        <w:tc>
          <w:tcPr>
            <w:tcW w:w="837" w:type="dxa"/>
            <w:shd w:val="clear" w:color="auto" w:fill="0000FF"/>
          </w:tcPr>
          <w:p w14:paraId="1EC67477" w14:textId="77777777" w:rsidR="002C6574" w:rsidRDefault="00000000">
            <w:pPr>
              <w:pStyle w:val="TableParagraph"/>
              <w:spacing w:before="13" w:line="166" w:lineRule="exact"/>
              <w:ind w:right="70"/>
              <w:rPr>
                <w:rFonts w:ascii="Arial"/>
                <w:b/>
                <w:sz w:val="15"/>
              </w:rPr>
            </w:pPr>
            <w:r>
              <w:rPr>
                <w:rFonts w:ascii="Arial"/>
                <w:b/>
                <w:color w:val="FFFFFF"/>
                <w:spacing w:val="-2"/>
                <w:sz w:val="15"/>
              </w:rPr>
              <w:t>234.550</w:t>
            </w:r>
          </w:p>
        </w:tc>
        <w:tc>
          <w:tcPr>
            <w:tcW w:w="703" w:type="dxa"/>
            <w:shd w:val="clear" w:color="auto" w:fill="0000FF"/>
          </w:tcPr>
          <w:p w14:paraId="3E6EAEFC" w14:textId="77777777" w:rsidR="002C6574" w:rsidRDefault="00000000">
            <w:pPr>
              <w:pStyle w:val="TableParagraph"/>
              <w:spacing w:before="13" w:line="166" w:lineRule="exact"/>
              <w:ind w:right="62"/>
              <w:rPr>
                <w:rFonts w:ascii="Arial"/>
                <w:b/>
                <w:sz w:val="15"/>
              </w:rPr>
            </w:pPr>
            <w:r>
              <w:rPr>
                <w:rFonts w:ascii="Arial"/>
                <w:b/>
                <w:color w:val="FFFFFF"/>
                <w:spacing w:val="-2"/>
                <w:sz w:val="15"/>
              </w:rPr>
              <w:t>56.135</w:t>
            </w:r>
          </w:p>
        </w:tc>
        <w:tc>
          <w:tcPr>
            <w:tcW w:w="1826" w:type="dxa"/>
            <w:gridSpan w:val="2"/>
          </w:tcPr>
          <w:p w14:paraId="373BD483" w14:textId="77777777" w:rsidR="002C6574" w:rsidRDefault="00000000">
            <w:pPr>
              <w:pStyle w:val="TableParagraph"/>
              <w:tabs>
                <w:tab w:val="left" w:pos="499"/>
                <w:tab w:val="left" w:pos="1250"/>
              </w:tabs>
              <w:spacing w:before="13" w:line="166" w:lineRule="exact"/>
              <w:ind w:left="163" w:right="-15"/>
              <w:jc w:val="left"/>
              <w:rPr>
                <w:rFonts w:ascii="Arial"/>
                <w:b/>
                <w:sz w:val="15"/>
              </w:rPr>
            </w:pPr>
            <w:r>
              <w:rPr>
                <w:rFonts w:ascii="Arial"/>
                <w:b/>
                <w:color w:val="FFFFFF"/>
                <w:sz w:val="15"/>
                <w:highlight w:val="blue"/>
              </w:rPr>
              <w:tab/>
            </w:r>
            <w:r>
              <w:rPr>
                <w:rFonts w:ascii="Arial"/>
                <w:b/>
                <w:color w:val="FFFFFF"/>
                <w:spacing w:val="-2"/>
                <w:sz w:val="15"/>
                <w:highlight w:val="blue"/>
              </w:rPr>
              <w:t>47,1%</w:t>
            </w:r>
            <w:r>
              <w:rPr>
                <w:rFonts w:ascii="Arial"/>
                <w:b/>
                <w:color w:val="FFFFFF"/>
                <w:sz w:val="15"/>
                <w:highlight w:val="blue"/>
              </w:rPr>
              <w:tab/>
            </w:r>
            <w:r>
              <w:rPr>
                <w:rFonts w:ascii="Arial"/>
                <w:b/>
                <w:color w:val="FFFFFF"/>
                <w:spacing w:val="-2"/>
                <w:sz w:val="15"/>
                <w:highlight w:val="blue"/>
              </w:rPr>
              <w:t>514,5%</w:t>
            </w:r>
            <w:r>
              <w:rPr>
                <w:rFonts w:ascii="Arial"/>
                <w:b/>
                <w:color w:val="FFFFFF"/>
                <w:spacing w:val="80"/>
                <w:sz w:val="15"/>
                <w:highlight w:val="blue"/>
              </w:rPr>
              <w:t xml:space="preserve"> </w:t>
            </w:r>
          </w:p>
        </w:tc>
        <w:tc>
          <w:tcPr>
            <w:tcW w:w="1925" w:type="dxa"/>
            <w:gridSpan w:val="3"/>
          </w:tcPr>
          <w:p w14:paraId="0D546CB3" w14:textId="77777777" w:rsidR="002C6574" w:rsidRDefault="00000000">
            <w:pPr>
              <w:pStyle w:val="TableParagraph"/>
              <w:tabs>
                <w:tab w:val="left" w:pos="406"/>
                <w:tab w:val="left" w:pos="1236"/>
              </w:tabs>
              <w:spacing w:before="13" w:line="166" w:lineRule="exact"/>
              <w:ind w:left="164"/>
              <w:jc w:val="left"/>
              <w:rPr>
                <w:rFonts w:ascii="Arial"/>
                <w:b/>
                <w:sz w:val="15"/>
              </w:rPr>
            </w:pPr>
            <w:r>
              <w:rPr>
                <w:rFonts w:ascii="Arial"/>
                <w:b/>
                <w:color w:val="FFFFFF"/>
                <w:sz w:val="15"/>
                <w:highlight w:val="blue"/>
              </w:rPr>
              <w:tab/>
            </w:r>
            <w:r>
              <w:rPr>
                <w:rFonts w:ascii="Arial"/>
                <w:b/>
                <w:color w:val="FFFFFF"/>
                <w:spacing w:val="-2"/>
                <w:sz w:val="15"/>
                <w:highlight w:val="blue"/>
              </w:rPr>
              <w:t>510.804</w:t>
            </w:r>
            <w:r>
              <w:rPr>
                <w:rFonts w:ascii="Arial"/>
                <w:b/>
                <w:color w:val="FFFFFF"/>
                <w:sz w:val="15"/>
                <w:highlight w:val="blue"/>
              </w:rPr>
              <w:tab/>
            </w:r>
            <w:r>
              <w:rPr>
                <w:rFonts w:ascii="Arial"/>
                <w:b/>
                <w:color w:val="FFFFFF"/>
                <w:spacing w:val="-2"/>
                <w:sz w:val="15"/>
                <w:highlight w:val="blue"/>
              </w:rPr>
              <w:t>288.540</w:t>
            </w:r>
            <w:r>
              <w:rPr>
                <w:rFonts w:ascii="Arial"/>
                <w:b/>
                <w:color w:val="FFFFFF"/>
                <w:spacing w:val="80"/>
                <w:sz w:val="15"/>
                <w:highlight w:val="blue"/>
              </w:rPr>
              <w:t xml:space="preserve"> </w:t>
            </w:r>
          </w:p>
        </w:tc>
        <w:tc>
          <w:tcPr>
            <w:tcW w:w="852" w:type="dxa"/>
          </w:tcPr>
          <w:p w14:paraId="7ADAD0F6" w14:textId="77777777" w:rsidR="002C6574" w:rsidRDefault="00000000">
            <w:pPr>
              <w:pStyle w:val="TableParagraph"/>
              <w:spacing w:before="13" w:line="166" w:lineRule="exact"/>
              <w:ind w:right="44"/>
              <w:rPr>
                <w:rFonts w:ascii="Arial"/>
                <w:b/>
                <w:sz w:val="15"/>
              </w:rPr>
            </w:pPr>
            <w:r>
              <w:rPr>
                <w:rFonts w:ascii="Arial"/>
                <w:b/>
                <w:color w:val="FFFFFF"/>
                <w:spacing w:val="69"/>
                <w:sz w:val="15"/>
                <w:highlight w:val="blue"/>
              </w:rPr>
              <w:t xml:space="preserve">  </w:t>
            </w:r>
            <w:r>
              <w:rPr>
                <w:rFonts w:ascii="Arial"/>
                <w:b/>
                <w:color w:val="FFFFFF"/>
                <w:spacing w:val="-2"/>
                <w:sz w:val="15"/>
                <w:highlight w:val="blue"/>
              </w:rPr>
              <w:t>77,0%</w:t>
            </w:r>
            <w:r>
              <w:rPr>
                <w:rFonts w:ascii="Arial"/>
                <w:b/>
                <w:color w:val="FFFFFF"/>
                <w:spacing w:val="80"/>
                <w:sz w:val="15"/>
                <w:highlight w:val="blue"/>
              </w:rPr>
              <w:t xml:space="preserve"> </w:t>
            </w:r>
          </w:p>
        </w:tc>
      </w:tr>
      <w:tr w:rsidR="002C6574" w14:paraId="170D8DDC" w14:textId="77777777">
        <w:trPr>
          <w:trHeight w:val="199"/>
        </w:trPr>
        <w:tc>
          <w:tcPr>
            <w:tcW w:w="3536" w:type="dxa"/>
          </w:tcPr>
          <w:p w14:paraId="13855623" w14:textId="77777777" w:rsidR="002C6574" w:rsidRDefault="00000000">
            <w:pPr>
              <w:pStyle w:val="TableParagraph"/>
              <w:spacing w:before="13" w:line="167" w:lineRule="exact"/>
              <w:ind w:left="119"/>
              <w:jc w:val="left"/>
              <w:rPr>
                <w:rFonts w:ascii="Arial"/>
                <w:b/>
                <w:sz w:val="15"/>
              </w:rPr>
            </w:pPr>
            <w:r>
              <w:rPr>
                <w:rFonts w:ascii="Arial"/>
                <w:b/>
                <w:spacing w:val="-2"/>
                <w:sz w:val="15"/>
              </w:rPr>
              <w:t>Ajustes:</w:t>
            </w:r>
          </w:p>
        </w:tc>
        <w:tc>
          <w:tcPr>
            <w:tcW w:w="925" w:type="dxa"/>
            <w:shd w:val="clear" w:color="auto" w:fill="66FFFF"/>
          </w:tcPr>
          <w:p w14:paraId="7D46271F" w14:textId="77777777" w:rsidR="002C6574" w:rsidRDefault="002C6574">
            <w:pPr>
              <w:pStyle w:val="TableParagraph"/>
              <w:jc w:val="left"/>
              <w:rPr>
                <w:rFonts w:ascii="Times New Roman"/>
                <w:sz w:val="12"/>
              </w:rPr>
            </w:pPr>
          </w:p>
        </w:tc>
        <w:tc>
          <w:tcPr>
            <w:tcW w:w="837" w:type="dxa"/>
          </w:tcPr>
          <w:p w14:paraId="0757C920" w14:textId="77777777" w:rsidR="002C6574" w:rsidRDefault="002C6574">
            <w:pPr>
              <w:pStyle w:val="TableParagraph"/>
              <w:jc w:val="left"/>
              <w:rPr>
                <w:rFonts w:ascii="Times New Roman"/>
                <w:sz w:val="12"/>
              </w:rPr>
            </w:pPr>
          </w:p>
        </w:tc>
        <w:tc>
          <w:tcPr>
            <w:tcW w:w="703" w:type="dxa"/>
          </w:tcPr>
          <w:p w14:paraId="4DCB83A7" w14:textId="77777777" w:rsidR="002C6574" w:rsidRDefault="002C6574">
            <w:pPr>
              <w:pStyle w:val="TableParagraph"/>
              <w:jc w:val="left"/>
              <w:rPr>
                <w:rFonts w:ascii="Times New Roman"/>
                <w:sz w:val="12"/>
              </w:rPr>
            </w:pPr>
          </w:p>
        </w:tc>
        <w:tc>
          <w:tcPr>
            <w:tcW w:w="1044" w:type="dxa"/>
          </w:tcPr>
          <w:p w14:paraId="13866BE5" w14:textId="77777777" w:rsidR="002C6574" w:rsidRDefault="002C6574">
            <w:pPr>
              <w:pStyle w:val="TableParagraph"/>
              <w:jc w:val="left"/>
              <w:rPr>
                <w:rFonts w:ascii="Times New Roman"/>
                <w:sz w:val="12"/>
              </w:rPr>
            </w:pPr>
          </w:p>
        </w:tc>
        <w:tc>
          <w:tcPr>
            <w:tcW w:w="943" w:type="dxa"/>
            <w:gridSpan w:val="2"/>
          </w:tcPr>
          <w:p w14:paraId="26E5FBF2" w14:textId="77777777" w:rsidR="002C6574" w:rsidRDefault="002C6574">
            <w:pPr>
              <w:pStyle w:val="TableParagraph"/>
              <w:jc w:val="left"/>
              <w:rPr>
                <w:rFonts w:ascii="Times New Roman"/>
                <w:sz w:val="12"/>
              </w:rPr>
            </w:pPr>
          </w:p>
        </w:tc>
        <w:tc>
          <w:tcPr>
            <w:tcW w:w="852" w:type="dxa"/>
            <w:shd w:val="clear" w:color="auto" w:fill="66FFFF"/>
          </w:tcPr>
          <w:p w14:paraId="5FFF3EE4" w14:textId="77777777" w:rsidR="002C6574" w:rsidRDefault="002C6574">
            <w:pPr>
              <w:pStyle w:val="TableParagraph"/>
              <w:jc w:val="left"/>
              <w:rPr>
                <w:rFonts w:ascii="Times New Roman"/>
                <w:sz w:val="12"/>
              </w:rPr>
            </w:pPr>
          </w:p>
        </w:tc>
        <w:tc>
          <w:tcPr>
            <w:tcW w:w="912" w:type="dxa"/>
          </w:tcPr>
          <w:p w14:paraId="5E1C91B5" w14:textId="77777777" w:rsidR="002C6574" w:rsidRDefault="002C6574">
            <w:pPr>
              <w:pStyle w:val="TableParagraph"/>
              <w:jc w:val="left"/>
              <w:rPr>
                <w:rFonts w:ascii="Times New Roman"/>
                <w:sz w:val="12"/>
              </w:rPr>
            </w:pPr>
          </w:p>
        </w:tc>
        <w:tc>
          <w:tcPr>
            <w:tcW w:w="852" w:type="dxa"/>
          </w:tcPr>
          <w:p w14:paraId="090EC7A4" w14:textId="77777777" w:rsidR="002C6574" w:rsidRDefault="002C6574">
            <w:pPr>
              <w:pStyle w:val="TableParagraph"/>
              <w:jc w:val="left"/>
              <w:rPr>
                <w:rFonts w:ascii="Times New Roman"/>
                <w:sz w:val="12"/>
              </w:rPr>
            </w:pPr>
          </w:p>
        </w:tc>
      </w:tr>
      <w:tr w:rsidR="002C6574" w14:paraId="24FBB129" w14:textId="77777777">
        <w:trPr>
          <w:trHeight w:val="205"/>
        </w:trPr>
        <w:tc>
          <w:tcPr>
            <w:tcW w:w="3536" w:type="dxa"/>
          </w:tcPr>
          <w:p w14:paraId="7E07FBFF" w14:textId="77777777" w:rsidR="002C6574" w:rsidRDefault="00000000">
            <w:pPr>
              <w:pStyle w:val="TableParagraph"/>
              <w:spacing w:before="10"/>
              <w:ind w:left="119"/>
              <w:jc w:val="left"/>
              <w:rPr>
                <w:rFonts w:ascii="Arial MT" w:hAnsi="Arial MT"/>
                <w:sz w:val="15"/>
              </w:rPr>
            </w:pPr>
            <w:r>
              <w:rPr>
                <w:rFonts w:ascii="Arial MT" w:hAnsi="Arial MT"/>
                <w:sz w:val="15"/>
              </w:rPr>
              <w:t>(+/-)</w:t>
            </w:r>
            <w:r>
              <w:rPr>
                <w:rFonts w:ascii="Arial MT" w:hAnsi="Arial MT"/>
                <w:spacing w:val="-9"/>
                <w:sz w:val="15"/>
              </w:rPr>
              <w:t xml:space="preserve"> </w:t>
            </w:r>
            <w:r>
              <w:rPr>
                <w:rFonts w:ascii="Arial MT" w:hAnsi="Arial MT"/>
                <w:sz w:val="15"/>
              </w:rPr>
              <w:t>Equivalência</w:t>
            </w:r>
            <w:r>
              <w:rPr>
                <w:rFonts w:ascii="Arial MT" w:hAnsi="Arial MT"/>
                <w:spacing w:val="-9"/>
                <w:sz w:val="15"/>
              </w:rPr>
              <w:t xml:space="preserve"> </w:t>
            </w:r>
            <w:r>
              <w:rPr>
                <w:rFonts w:ascii="Arial MT" w:hAnsi="Arial MT"/>
                <w:spacing w:val="-2"/>
                <w:sz w:val="15"/>
              </w:rPr>
              <w:t>Patrimonial</w:t>
            </w:r>
          </w:p>
        </w:tc>
        <w:tc>
          <w:tcPr>
            <w:tcW w:w="925" w:type="dxa"/>
            <w:shd w:val="clear" w:color="auto" w:fill="66FFFF"/>
          </w:tcPr>
          <w:p w14:paraId="135B65FE" w14:textId="77777777" w:rsidR="002C6574" w:rsidRDefault="00000000">
            <w:pPr>
              <w:pStyle w:val="TableParagraph"/>
              <w:spacing w:before="10"/>
              <w:ind w:right="116"/>
              <w:rPr>
                <w:rFonts w:ascii="Arial MT"/>
                <w:sz w:val="15"/>
              </w:rPr>
            </w:pPr>
            <w:r>
              <w:rPr>
                <w:rFonts w:ascii="Arial MT"/>
                <w:spacing w:val="-2"/>
                <w:sz w:val="15"/>
              </w:rPr>
              <w:t>(1.404)</w:t>
            </w:r>
          </w:p>
        </w:tc>
        <w:tc>
          <w:tcPr>
            <w:tcW w:w="837" w:type="dxa"/>
          </w:tcPr>
          <w:p w14:paraId="34647A98" w14:textId="77777777" w:rsidR="002C6574" w:rsidRDefault="00000000">
            <w:pPr>
              <w:pStyle w:val="TableParagraph"/>
              <w:spacing w:before="10"/>
              <w:ind w:right="70"/>
              <w:rPr>
                <w:rFonts w:ascii="Arial MT"/>
                <w:sz w:val="15"/>
              </w:rPr>
            </w:pPr>
            <w:r>
              <w:rPr>
                <w:rFonts w:ascii="Arial MT"/>
                <w:spacing w:val="-2"/>
                <w:sz w:val="15"/>
              </w:rPr>
              <w:t>(409)</w:t>
            </w:r>
          </w:p>
        </w:tc>
        <w:tc>
          <w:tcPr>
            <w:tcW w:w="703" w:type="dxa"/>
          </w:tcPr>
          <w:p w14:paraId="0DBFF156" w14:textId="77777777" w:rsidR="002C6574" w:rsidRDefault="00000000">
            <w:pPr>
              <w:pStyle w:val="TableParagraph"/>
              <w:spacing w:before="10"/>
              <w:ind w:right="62"/>
              <w:rPr>
                <w:rFonts w:ascii="Arial MT"/>
                <w:sz w:val="15"/>
              </w:rPr>
            </w:pPr>
            <w:r>
              <w:rPr>
                <w:rFonts w:ascii="Arial MT"/>
                <w:spacing w:val="-4"/>
                <w:sz w:val="15"/>
              </w:rPr>
              <w:t>(23)</w:t>
            </w:r>
          </w:p>
        </w:tc>
        <w:tc>
          <w:tcPr>
            <w:tcW w:w="1044" w:type="dxa"/>
          </w:tcPr>
          <w:p w14:paraId="179A3B19" w14:textId="77777777" w:rsidR="002C6574" w:rsidRDefault="00000000">
            <w:pPr>
              <w:pStyle w:val="TableParagraph"/>
              <w:spacing w:before="10"/>
              <w:ind w:right="115"/>
              <w:rPr>
                <w:rFonts w:ascii="Arial MT"/>
                <w:sz w:val="15"/>
              </w:rPr>
            </w:pPr>
            <w:r>
              <w:rPr>
                <w:rFonts w:ascii="Arial MT"/>
                <w:spacing w:val="-2"/>
                <w:sz w:val="15"/>
              </w:rPr>
              <w:t>243,3%</w:t>
            </w:r>
          </w:p>
        </w:tc>
        <w:tc>
          <w:tcPr>
            <w:tcW w:w="943" w:type="dxa"/>
            <w:gridSpan w:val="2"/>
          </w:tcPr>
          <w:p w14:paraId="12D9F32B" w14:textId="77777777" w:rsidR="002C6574" w:rsidRDefault="00000000">
            <w:pPr>
              <w:pStyle w:val="TableParagraph"/>
              <w:spacing w:before="10"/>
              <w:ind w:left="122"/>
              <w:jc w:val="left"/>
              <w:rPr>
                <w:rFonts w:ascii="Arial MT"/>
                <w:sz w:val="15"/>
              </w:rPr>
            </w:pPr>
            <w:r>
              <w:rPr>
                <w:rFonts w:ascii="Arial MT"/>
                <w:spacing w:val="-2"/>
                <w:sz w:val="15"/>
              </w:rPr>
              <w:t>6004,3%</w:t>
            </w:r>
          </w:p>
        </w:tc>
        <w:tc>
          <w:tcPr>
            <w:tcW w:w="852" w:type="dxa"/>
            <w:shd w:val="clear" w:color="auto" w:fill="66FFFF"/>
          </w:tcPr>
          <w:p w14:paraId="4E527E3B" w14:textId="77777777" w:rsidR="002C6574" w:rsidRDefault="00000000">
            <w:pPr>
              <w:pStyle w:val="TableParagraph"/>
              <w:spacing w:before="24" w:line="161" w:lineRule="exact"/>
              <w:ind w:right="62"/>
              <w:rPr>
                <w:rFonts w:ascii="Arial MT"/>
                <w:sz w:val="15"/>
              </w:rPr>
            </w:pPr>
            <w:r>
              <w:rPr>
                <w:rFonts w:ascii="Arial MT"/>
                <w:spacing w:val="-2"/>
                <w:sz w:val="15"/>
              </w:rPr>
              <w:t>(369)</w:t>
            </w:r>
          </w:p>
        </w:tc>
        <w:tc>
          <w:tcPr>
            <w:tcW w:w="912" w:type="dxa"/>
          </w:tcPr>
          <w:p w14:paraId="4DC16D75" w14:textId="77777777" w:rsidR="002C6574" w:rsidRDefault="00000000">
            <w:pPr>
              <w:pStyle w:val="TableParagraph"/>
              <w:spacing w:before="10"/>
              <w:ind w:right="143"/>
              <w:rPr>
                <w:rFonts w:ascii="Arial MT"/>
                <w:sz w:val="15"/>
              </w:rPr>
            </w:pPr>
            <w:r>
              <w:rPr>
                <w:rFonts w:ascii="Arial MT"/>
                <w:spacing w:val="-2"/>
                <w:sz w:val="15"/>
              </w:rPr>
              <w:t>1.013</w:t>
            </w:r>
          </w:p>
        </w:tc>
        <w:tc>
          <w:tcPr>
            <w:tcW w:w="852" w:type="dxa"/>
          </w:tcPr>
          <w:p w14:paraId="1090FB0C" w14:textId="77777777" w:rsidR="002C6574" w:rsidRDefault="00000000">
            <w:pPr>
              <w:pStyle w:val="TableParagraph"/>
              <w:spacing w:before="10"/>
              <w:ind w:right="114"/>
              <w:rPr>
                <w:rFonts w:ascii="Arial MT"/>
                <w:sz w:val="15"/>
              </w:rPr>
            </w:pPr>
            <w:r>
              <w:rPr>
                <w:rFonts w:ascii="Arial MT"/>
                <w:sz w:val="15"/>
              </w:rPr>
              <w:t>-</w:t>
            </w:r>
            <w:r>
              <w:rPr>
                <w:rFonts w:ascii="Arial MT"/>
                <w:spacing w:val="-2"/>
                <w:sz w:val="15"/>
              </w:rPr>
              <w:t>136,4%</w:t>
            </w:r>
          </w:p>
        </w:tc>
      </w:tr>
      <w:tr w:rsidR="002C6574" w14:paraId="771AE9CC" w14:textId="77777777">
        <w:trPr>
          <w:trHeight w:val="196"/>
        </w:trPr>
        <w:tc>
          <w:tcPr>
            <w:tcW w:w="3536" w:type="dxa"/>
          </w:tcPr>
          <w:p w14:paraId="66C83567" w14:textId="77777777" w:rsidR="002C6574" w:rsidRDefault="00000000">
            <w:pPr>
              <w:pStyle w:val="TableParagraph"/>
              <w:spacing w:before="4"/>
              <w:ind w:left="119"/>
              <w:jc w:val="left"/>
              <w:rPr>
                <w:rFonts w:ascii="Arial MT" w:hAnsi="Arial MT"/>
                <w:sz w:val="15"/>
              </w:rPr>
            </w:pPr>
            <w:r>
              <w:rPr>
                <w:rFonts w:ascii="Arial MT" w:hAnsi="Arial MT"/>
                <w:sz w:val="15"/>
              </w:rPr>
              <w:t>(-)</w:t>
            </w:r>
            <w:r>
              <w:rPr>
                <w:rFonts w:ascii="Arial MT" w:hAnsi="Arial MT"/>
                <w:spacing w:val="-6"/>
                <w:sz w:val="15"/>
              </w:rPr>
              <w:t xml:space="preserve"> </w:t>
            </w:r>
            <w:r>
              <w:rPr>
                <w:rFonts w:ascii="Arial MT" w:hAnsi="Arial MT"/>
                <w:sz w:val="15"/>
              </w:rPr>
              <w:t>Superávit</w:t>
            </w:r>
            <w:r>
              <w:rPr>
                <w:rFonts w:ascii="Arial MT" w:hAnsi="Arial MT"/>
                <w:spacing w:val="-5"/>
                <w:sz w:val="15"/>
              </w:rPr>
              <w:t xml:space="preserve"> </w:t>
            </w:r>
            <w:r>
              <w:rPr>
                <w:rFonts w:ascii="Arial MT" w:hAnsi="Arial MT"/>
                <w:sz w:val="15"/>
              </w:rPr>
              <w:t>-</w:t>
            </w:r>
            <w:r>
              <w:rPr>
                <w:rFonts w:ascii="Arial MT" w:hAnsi="Arial MT"/>
                <w:spacing w:val="-5"/>
                <w:sz w:val="15"/>
              </w:rPr>
              <w:t xml:space="preserve"> </w:t>
            </w:r>
            <w:r>
              <w:rPr>
                <w:rFonts w:ascii="Arial MT" w:hAnsi="Arial MT"/>
                <w:sz w:val="15"/>
              </w:rPr>
              <w:t>Previdência</w:t>
            </w:r>
            <w:r>
              <w:rPr>
                <w:rFonts w:ascii="Arial MT" w:hAnsi="Arial MT"/>
                <w:spacing w:val="-6"/>
                <w:sz w:val="15"/>
              </w:rPr>
              <w:t xml:space="preserve"> </w:t>
            </w:r>
            <w:r>
              <w:rPr>
                <w:rFonts w:ascii="Arial MT" w:hAnsi="Arial MT"/>
                <w:spacing w:val="-2"/>
                <w:sz w:val="15"/>
              </w:rPr>
              <w:t>Privada</w:t>
            </w:r>
          </w:p>
        </w:tc>
        <w:tc>
          <w:tcPr>
            <w:tcW w:w="925" w:type="dxa"/>
            <w:shd w:val="clear" w:color="auto" w:fill="66FFFF"/>
          </w:tcPr>
          <w:p w14:paraId="29B5A382" w14:textId="77777777" w:rsidR="002C6574" w:rsidRDefault="00000000">
            <w:pPr>
              <w:pStyle w:val="TableParagraph"/>
              <w:spacing w:before="16" w:line="161" w:lineRule="exact"/>
              <w:ind w:right="116"/>
              <w:rPr>
                <w:rFonts w:ascii="Arial MT"/>
                <w:sz w:val="15"/>
              </w:rPr>
            </w:pPr>
            <w:r>
              <w:rPr>
                <w:rFonts w:ascii="Arial MT"/>
                <w:spacing w:val="-2"/>
                <w:sz w:val="15"/>
              </w:rPr>
              <w:t>(102.225)</w:t>
            </w:r>
          </w:p>
        </w:tc>
        <w:tc>
          <w:tcPr>
            <w:tcW w:w="837" w:type="dxa"/>
          </w:tcPr>
          <w:p w14:paraId="384E8C11" w14:textId="77777777" w:rsidR="002C6574" w:rsidRDefault="00000000">
            <w:pPr>
              <w:pStyle w:val="TableParagraph"/>
              <w:spacing w:before="4"/>
              <w:ind w:right="70"/>
              <w:rPr>
                <w:rFonts w:ascii="Arial MT"/>
                <w:sz w:val="15"/>
              </w:rPr>
            </w:pPr>
            <w:r>
              <w:rPr>
                <w:rFonts w:ascii="Arial MT"/>
                <w:spacing w:val="-2"/>
                <w:sz w:val="15"/>
              </w:rPr>
              <w:t>(212.038)</w:t>
            </w:r>
          </w:p>
        </w:tc>
        <w:tc>
          <w:tcPr>
            <w:tcW w:w="703" w:type="dxa"/>
          </w:tcPr>
          <w:p w14:paraId="386039D9" w14:textId="77777777" w:rsidR="002C6574" w:rsidRDefault="00000000">
            <w:pPr>
              <w:pStyle w:val="TableParagraph"/>
              <w:spacing w:before="4"/>
              <w:ind w:right="62"/>
              <w:rPr>
                <w:rFonts w:ascii="Arial MT"/>
                <w:sz w:val="15"/>
              </w:rPr>
            </w:pPr>
            <w:r>
              <w:rPr>
                <w:rFonts w:ascii="Arial MT"/>
                <w:spacing w:val="-2"/>
                <w:sz w:val="15"/>
              </w:rPr>
              <w:t>(32.502)</w:t>
            </w:r>
          </w:p>
        </w:tc>
        <w:tc>
          <w:tcPr>
            <w:tcW w:w="1044" w:type="dxa"/>
          </w:tcPr>
          <w:p w14:paraId="5E981338" w14:textId="77777777" w:rsidR="002C6574" w:rsidRDefault="00000000">
            <w:pPr>
              <w:pStyle w:val="TableParagraph"/>
              <w:spacing w:before="4"/>
              <w:ind w:right="115"/>
              <w:rPr>
                <w:rFonts w:ascii="Arial MT"/>
                <w:sz w:val="15"/>
              </w:rPr>
            </w:pPr>
            <w:r>
              <w:rPr>
                <w:rFonts w:ascii="Arial MT"/>
                <w:sz w:val="15"/>
              </w:rPr>
              <w:t>-</w:t>
            </w:r>
            <w:r>
              <w:rPr>
                <w:rFonts w:ascii="Arial MT"/>
                <w:spacing w:val="-2"/>
                <w:sz w:val="15"/>
              </w:rPr>
              <w:t>51,8%</w:t>
            </w:r>
          </w:p>
        </w:tc>
        <w:tc>
          <w:tcPr>
            <w:tcW w:w="943" w:type="dxa"/>
            <w:gridSpan w:val="2"/>
          </w:tcPr>
          <w:p w14:paraId="0B263FF0" w14:textId="77777777" w:rsidR="002C6574" w:rsidRDefault="00000000">
            <w:pPr>
              <w:pStyle w:val="TableParagraph"/>
              <w:spacing w:before="4"/>
              <w:ind w:left="206"/>
              <w:jc w:val="left"/>
              <w:rPr>
                <w:rFonts w:ascii="Arial MT"/>
                <w:sz w:val="15"/>
              </w:rPr>
            </w:pPr>
            <w:r>
              <w:rPr>
                <w:rFonts w:ascii="Arial MT"/>
                <w:spacing w:val="-2"/>
                <w:sz w:val="15"/>
              </w:rPr>
              <w:t>214,5%</w:t>
            </w:r>
          </w:p>
        </w:tc>
        <w:tc>
          <w:tcPr>
            <w:tcW w:w="852" w:type="dxa"/>
            <w:shd w:val="clear" w:color="auto" w:fill="66FFFF"/>
          </w:tcPr>
          <w:p w14:paraId="556F7F93" w14:textId="77777777" w:rsidR="002C6574" w:rsidRDefault="00000000">
            <w:pPr>
              <w:pStyle w:val="TableParagraph"/>
              <w:spacing w:before="16" w:line="161" w:lineRule="exact"/>
              <w:ind w:right="61"/>
              <w:rPr>
                <w:rFonts w:ascii="Arial MT"/>
                <w:sz w:val="15"/>
              </w:rPr>
            </w:pPr>
            <w:r>
              <w:rPr>
                <w:rFonts w:ascii="Arial MT"/>
                <w:spacing w:val="-2"/>
                <w:sz w:val="15"/>
              </w:rPr>
              <w:t>(134.727)</w:t>
            </w:r>
          </w:p>
        </w:tc>
        <w:tc>
          <w:tcPr>
            <w:tcW w:w="912" w:type="dxa"/>
          </w:tcPr>
          <w:p w14:paraId="317E1CBE" w14:textId="77777777" w:rsidR="002C6574" w:rsidRDefault="00000000">
            <w:pPr>
              <w:pStyle w:val="TableParagraph"/>
              <w:spacing w:before="4"/>
              <w:ind w:right="143"/>
              <w:rPr>
                <w:rFonts w:ascii="Arial MT"/>
                <w:sz w:val="15"/>
              </w:rPr>
            </w:pPr>
            <w:r>
              <w:rPr>
                <w:rFonts w:ascii="Arial MT"/>
                <w:spacing w:val="-2"/>
                <w:sz w:val="15"/>
              </w:rPr>
              <w:t>(212.038)</w:t>
            </w:r>
          </w:p>
        </w:tc>
        <w:tc>
          <w:tcPr>
            <w:tcW w:w="852" w:type="dxa"/>
          </w:tcPr>
          <w:p w14:paraId="4E2185E8" w14:textId="77777777" w:rsidR="002C6574" w:rsidRDefault="00000000">
            <w:pPr>
              <w:pStyle w:val="TableParagraph"/>
              <w:spacing w:before="4"/>
              <w:ind w:right="114"/>
              <w:rPr>
                <w:rFonts w:ascii="Arial MT"/>
                <w:sz w:val="15"/>
              </w:rPr>
            </w:pPr>
            <w:r>
              <w:rPr>
                <w:rFonts w:ascii="Arial MT"/>
                <w:sz w:val="15"/>
              </w:rPr>
              <w:t>-</w:t>
            </w:r>
            <w:r>
              <w:rPr>
                <w:rFonts w:ascii="Arial MT"/>
                <w:spacing w:val="-2"/>
                <w:sz w:val="15"/>
              </w:rPr>
              <w:t>36,5%</w:t>
            </w:r>
          </w:p>
        </w:tc>
      </w:tr>
      <w:tr w:rsidR="002C6574" w14:paraId="27A37A36" w14:textId="77777777">
        <w:trPr>
          <w:trHeight w:val="199"/>
        </w:trPr>
        <w:tc>
          <w:tcPr>
            <w:tcW w:w="3536" w:type="dxa"/>
          </w:tcPr>
          <w:p w14:paraId="5E88331D" w14:textId="77777777" w:rsidR="002C6574" w:rsidRDefault="00000000">
            <w:pPr>
              <w:pStyle w:val="TableParagraph"/>
              <w:spacing w:before="4"/>
              <w:ind w:left="119"/>
              <w:jc w:val="left"/>
              <w:rPr>
                <w:rFonts w:ascii="Arial MT" w:hAnsi="Arial MT"/>
                <w:sz w:val="15"/>
              </w:rPr>
            </w:pPr>
            <w:r>
              <w:rPr>
                <w:rFonts w:ascii="Arial MT" w:hAnsi="Arial MT"/>
                <w:sz w:val="15"/>
              </w:rPr>
              <w:t>(+)</w:t>
            </w:r>
            <w:r>
              <w:rPr>
                <w:rFonts w:ascii="Arial MT" w:hAnsi="Arial MT"/>
                <w:spacing w:val="-7"/>
                <w:sz w:val="15"/>
              </w:rPr>
              <w:t xml:space="preserve"> </w:t>
            </w:r>
            <w:r>
              <w:rPr>
                <w:rFonts w:ascii="Arial MT" w:hAnsi="Arial MT"/>
                <w:sz w:val="15"/>
              </w:rPr>
              <w:t>Tributos</w:t>
            </w:r>
            <w:r>
              <w:rPr>
                <w:rFonts w:ascii="Arial MT" w:hAnsi="Arial MT"/>
                <w:spacing w:val="-6"/>
                <w:sz w:val="15"/>
              </w:rPr>
              <w:t xml:space="preserve"> </w:t>
            </w:r>
            <w:r>
              <w:rPr>
                <w:rFonts w:ascii="Arial MT" w:hAnsi="Arial MT"/>
                <w:sz w:val="15"/>
              </w:rPr>
              <w:t>s/</w:t>
            </w:r>
            <w:r>
              <w:rPr>
                <w:rFonts w:ascii="Arial MT" w:hAnsi="Arial MT"/>
                <w:spacing w:val="-6"/>
                <w:sz w:val="15"/>
              </w:rPr>
              <w:t xml:space="preserve"> </w:t>
            </w:r>
            <w:r>
              <w:rPr>
                <w:rFonts w:ascii="Arial MT" w:hAnsi="Arial MT"/>
                <w:sz w:val="15"/>
              </w:rPr>
              <w:t>Superávit</w:t>
            </w:r>
            <w:r>
              <w:rPr>
                <w:rFonts w:ascii="Arial MT" w:hAnsi="Arial MT"/>
                <w:spacing w:val="-5"/>
                <w:sz w:val="15"/>
              </w:rPr>
              <w:t xml:space="preserve"> </w:t>
            </w:r>
            <w:r>
              <w:rPr>
                <w:rFonts w:ascii="Arial MT" w:hAnsi="Arial MT"/>
                <w:sz w:val="15"/>
              </w:rPr>
              <w:t>de</w:t>
            </w:r>
            <w:r>
              <w:rPr>
                <w:rFonts w:ascii="Arial MT" w:hAnsi="Arial MT"/>
                <w:spacing w:val="-8"/>
                <w:sz w:val="15"/>
              </w:rPr>
              <w:t xml:space="preserve"> </w:t>
            </w:r>
            <w:r>
              <w:rPr>
                <w:rFonts w:ascii="Arial MT" w:hAnsi="Arial MT"/>
                <w:sz w:val="15"/>
              </w:rPr>
              <w:t>Previdência</w:t>
            </w:r>
            <w:r>
              <w:rPr>
                <w:rFonts w:ascii="Arial MT" w:hAnsi="Arial MT"/>
                <w:spacing w:val="-7"/>
                <w:sz w:val="15"/>
              </w:rPr>
              <w:t xml:space="preserve"> </w:t>
            </w:r>
            <w:r>
              <w:rPr>
                <w:rFonts w:ascii="Arial MT" w:hAnsi="Arial MT"/>
                <w:spacing w:val="-2"/>
                <w:sz w:val="15"/>
              </w:rPr>
              <w:t>Privada</w:t>
            </w:r>
          </w:p>
        </w:tc>
        <w:tc>
          <w:tcPr>
            <w:tcW w:w="925" w:type="dxa"/>
            <w:shd w:val="clear" w:color="auto" w:fill="66FFFF"/>
          </w:tcPr>
          <w:p w14:paraId="2A1DD10E" w14:textId="77777777" w:rsidR="002C6574" w:rsidRDefault="00000000">
            <w:pPr>
              <w:pStyle w:val="TableParagraph"/>
              <w:spacing w:before="4"/>
              <w:ind w:right="116"/>
              <w:rPr>
                <w:rFonts w:ascii="Arial MT"/>
                <w:sz w:val="15"/>
              </w:rPr>
            </w:pPr>
            <w:r>
              <w:rPr>
                <w:rFonts w:ascii="Arial MT"/>
                <w:spacing w:val="-2"/>
                <w:sz w:val="15"/>
              </w:rPr>
              <w:t>9.456</w:t>
            </w:r>
          </w:p>
        </w:tc>
        <w:tc>
          <w:tcPr>
            <w:tcW w:w="837" w:type="dxa"/>
          </w:tcPr>
          <w:p w14:paraId="54E9C0AE" w14:textId="77777777" w:rsidR="002C6574" w:rsidRDefault="00000000">
            <w:pPr>
              <w:pStyle w:val="TableParagraph"/>
              <w:spacing w:before="4"/>
              <w:ind w:right="70"/>
              <w:rPr>
                <w:rFonts w:ascii="Arial MT"/>
                <w:sz w:val="15"/>
              </w:rPr>
            </w:pPr>
            <w:r>
              <w:rPr>
                <w:rFonts w:ascii="Arial MT"/>
                <w:spacing w:val="-2"/>
                <w:sz w:val="15"/>
              </w:rPr>
              <w:t>19.614</w:t>
            </w:r>
          </w:p>
        </w:tc>
        <w:tc>
          <w:tcPr>
            <w:tcW w:w="703" w:type="dxa"/>
          </w:tcPr>
          <w:p w14:paraId="2691AEB3" w14:textId="77777777" w:rsidR="002C6574" w:rsidRDefault="00000000">
            <w:pPr>
              <w:pStyle w:val="TableParagraph"/>
              <w:spacing w:before="4"/>
              <w:ind w:right="62"/>
              <w:rPr>
                <w:rFonts w:ascii="Arial MT"/>
                <w:sz w:val="15"/>
              </w:rPr>
            </w:pPr>
            <w:r>
              <w:rPr>
                <w:rFonts w:ascii="Arial MT"/>
                <w:spacing w:val="-2"/>
                <w:sz w:val="15"/>
              </w:rPr>
              <w:t>3.006</w:t>
            </w:r>
          </w:p>
        </w:tc>
        <w:tc>
          <w:tcPr>
            <w:tcW w:w="1044" w:type="dxa"/>
          </w:tcPr>
          <w:p w14:paraId="3DE7DA8D" w14:textId="77777777" w:rsidR="002C6574" w:rsidRDefault="00000000">
            <w:pPr>
              <w:pStyle w:val="TableParagraph"/>
              <w:spacing w:before="4"/>
              <w:ind w:right="115"/>
              <w:rPr>
                <w:rFonts w:ascii="Arial MT"/>
                <w:sz w:val="15"/>
              </w:rPr>
            </w:pPr>
            <w:r>
              <w:rPr>
                <w:rFonts w:ascii="Arial MT"/>
                <w:sz w:val="15"/>
              </w:rPr>
              <w:t>-</w:t>
            </w:r>
            <w:r>
              <w:rPr>
                <w:rFonts w:ascii="Arial MT"/>
                <w:spacing w:val="-2"/>
                <w:sz w:val="15"/>
              </w:rPr>
              <w:t>51,8%</w:t>
            </w:r>
          </w:p>
        </w:tc>
        <w:tc>
          <w:tcPr>
            <w:tcW w:w="943" w:type="dxa"/>
            <w:gridSpan w:val="2"/>
          </w:tcPr>
          <w:p w14:paraId="02B81EAE" w14:textId="77777777" w:rsidR="002C6574" w:rsidRDefault="00000000">
            <w:pPr>
              <w:pStyle w:val="TableParagraph"/>
              <w:spacing w:before="4"/>
              <w:ind w:left="206"/>
              <w:jc w:val="left"/>
              <w:rPr>
                <w:rFonts w:ascii="Arial MT"/>
                <w:sz w:val="15"/>
              </w:rPr>
            </w:pPr>
            <w:r>
              <w:rPr>
                <w:rFonts w:ascii="Arial MT"/>
                <w:spacing w:val="-2"/>
                <w:sz w:val="15"/>
              </w:rPr>
              <w:t>214,5%</w:t>
            </w:r>
          </w:p>
        </w:tc>
        <w:tc>
          <w:tcPr>
            <w:tcW w:w="852" w:type="dxa"/>
            <w:shd w:val="clear" w:color="auto" w:fill="66FFFF"/>
          </w:tcPr>
          <w:p w14:paraId="6C7DA950" w14:textId="77777777" w:rsidR="002C6574" w:rsidRDefault="00000000">
            <w:pPr>
              <w:pStyle w:val="TableParagraph"/>
              <w:spacing w:before="18" w:line="161" w:lineRule="exact"/>
              <w:ind w:right="61"/>
              <w:rPr>
                <w:rFonts w:ascii="Arial MT"/>
                <w:sz w:val="15"/>
              </w:rPr>
            </w:pPr>
            <w:r>
              <w:rPr>
                <w:rFonts w:ascii="Arial MT"/>
                <w:spacing w:val="-2"/>
                <w:sz w:val="15"/>
              </w:rPr>
              <w:t>12.462</w:t>
            </w:r>
          </w:p>
        </w:tc>
        <w:tc>
          <w:tcPr>
            <w:tcW w:w="912" w:type="dxa"/>
          </w:tcPr>
          <w:p w14:paraId="2BD5536F" w14:textId="77777777" w:rsidR="002C6574" w:rsidRDefault="00000000">
            <w:pPr>
              <w:pStyle w:val="TableParagraph"/>
              <w:spacing w:before="4"/>
              <w:ind w:right="143"/>
              <w:rPr>
                <w:rFonts w:ascii="Arial MT"/>
                <w:sz w:val="15"/>
              </w:rPr>
            </w:pPr>
            <w:r>
              <w:rPr>
                <w:rFonts w:ascii="Arial MT"/>
                <w:spacing w:val="-2"/>
                <w:sz w:val="15"/>
              </w:rPr>
              <w:t>19.614</w:t>
            </w:r>
          </w:p>
        </w:tc>
        <w:tc>
          <w:tcPr>
            <w:tcW w:w="852" w:type="dxa"/>
          </w:tcPr>
          <w:p w14:paraId="31EE8CFC" w14:textId="77777777" w:rsidR="002C6574" w:rsidRDefault="00000000">
            <w:pPr>
              <w:pStyle w:val="TableParagraph"/>
              <w:spacing w:before="4"/>
              <w:ind w:right="114"/>
              <w:rPr>
                <w:rFonts w:ascii="Arial MT"/>
                <w:sz w:val="15"/>
              </w:rPr>
            </w:pPr>
            <w:r>
              <w:rPr>
                <w:rFonts w:ascii="Arial MT"/>
                <w:sz w:val="15"/>
              </w:rPr>
              <w:t>-</w:t>
            </w:r>
            <w:r>
              <w:rPr>
                <w:rFonts w:ascii="Arial MT"/>
                <w:spacing w:val="-2"/>
                <w:sz w:val="15"/>
              </w:rPr>
              <w:t>36,5%</w:t>
            </w:r>
          </w:p>
        </w:tc>
      </w:tr>
      <w:tr w:rsidR="002C6574" w14:paraId="51E5E082" w14:textId="77777777">
        <w:trPr>
          <w:trHeight w:val="197"/>
        </w:trPr>
        <w:tc>
          <w:tcPr>
            <w:tcW w:w="3536" w:type="dxa"/>
          </w:tcPr>
          <w:p w14:paraId="45943B37" w14:textId="77777777" w:rsidR="002C6574" w:rsidRDefault="00000000">
            <w:pPr>
              <w:pStyle w:val="TableParagraph"/>
              <w:spacing w:before="4"/>
              <w:ind w:left="119"/>
              <w:jc w:val="left"/>
              <w:rPr>
                <w:rFonts w:ascii="Arial MT" w:hAnsi="Arial MT"/>
                <w:sz w:val="15"/>
              </w:rPr>
            </w:pPr>
            <w:r>
              <w:rPr>
                <w:rFonts w:ascii="Arial MT" w:hAnsi="Arial MT"/>
                <w:sz w:val="15"/>
              </w:rPr>
              <w:t>(+)</w:t>
            </w:r>
            <w:r>
              <w:rPr>
                <w:rFonts w:ascii="Arial MT" w:hAnsi="Arial MT"/>
                <w:spacing w:val="-4"/>
                <w:sz w:val="15"/>
              </w:rPr>
              <w:t xml:space="preserve"> </w:t>
            </w:r>
            <w:r>
              <w:rPr>
                <w:rFonts w:ascii="Arial MT" w:hAnsi="Arial MT"/>
                <w:sz w:val="15"/>
              </w:rPr>
              <w:t>Depreciação</w:t>
            </w:r>
            <w:r>
              <w:rPr>
                <w:rFonts w:ascii="Arial MT" w:hAnsi="Arial MT"/>
                <w:spacing w:val="-1"/>
                <w:sz w:val="15"/>
              </w:rPr>
              <w:t xml:space="preserve"> </w:t>
            </w:r>
            <w:r>
              <w:rPr>
                <w:rFonts w:ascii="Arial MT" w:hAnsi="Arial MT"/>
                <w:sz w:val="15"/>
              </w:rPr>
              <w:t>-</w:t>
            </w:r>
            <w:r>
              <w:rPr>
                <w:rFonts w:ascii="Arial MT" w:hAnsi="Arial MT"/>
                <w:spacing w:val="-7"/>
                <w:sz w:val="15"/>
              </w:rPr>
              <w:t xml:space="preserve"> </w:t>
            </w:r>
            <w:r>
              <w:rPr>
                <w:rFonts w:ascii="Arial MT" w:hAnsi="Arial MT"/>
                <w:sz w:val="15"/>
              </w:rPr>
              <w:t>CPC</w:t>
            </w:r>
            <w:r>
              <w:rPr>
                <w:rFonts w:ascii="Arial MT" w:hAnsi="Arial MT"/>
                <w:spacing w:val="-3"/>
                <w:sz w:val="15"/>
              </w:rPr>
              <w:t xml:space="preserve"> </w:t>
            </w:r>
            <w:r>
              <w:rPr>
                <w:rFonts w:ascii="Arial MT" w:hAnsi="Arial MT"/>
                <w:sz w:val="15"/>
              </w:rPr>
              <w:t>6(R2)</w:t>
            </w:r>
            <w:r>
              <w:rPr>
                <w:rFonts w:ascii="Arial MT" w:hAnsi="Arial MT"/>
                <w:spacing w:val="-7"/>
                <w:sz w:val="15"/>
              </w:rPr>
              <w:t xml:space="preserve"> </w:t>
            </w:r>
            <w:r>
              <w:rPr>
                <w:rFonts w:ascii="Arial MT" w:hAnsi="Arial MT"/>
                <w:sz w:val="15"/>
              </w:rPr>
              <w:t>/</w:t>
            </w:r>
            <w:r>
              <w:rPr>
                <w:rFonts w:ascii="Arial MT" w:hAnsi="Arial MT"/>
                <w:spacing w:val="-3"/>
                <w:sz w:val="15"/>
              </w:rPr>
              <w:t xml:space="preserve"> </w:t>
            </w:r>
            <w:r>
              <w:rPr>
                <w:rFonts w:ascii="Arial MT" w:hAnsi="Arial MT"/>
                <w:sz w:val="15"/>
              </w:rPr>
              <w:t>IFRS</w:t>
            </w:r>
            <w:r>
              <w:rPr>
                <w:rFonts w:ascii="Arial MT" w:hAnsi="Arial MT"/>
                <w:spacing w:val="-6"/>
                <w:sz w:val="15"/>
              </w:rPr>
              <w:t xml:space="preserve"> </w:t>
            </w:r>
            <w:r>
              <w:rPr>
                <w:rFonts w:ascii="Arial MT" w:hAnsi="Arial MT"/>
                <w:spacing w:val="-5"/>
                <w:sz w:val="15"/>
              </w:rPr>
              <w:t>16</w:t>
            </w:r>
          </w:p>
        </w:tc>
        <w:tc>
          <w:tcPr>
            <w:tcW w:w="925" w:type="dxa"/>
            <w:shd w:val="clear" w:color="auto" w:fill="66FFFF"/>
          </w:tcPr>
          <w:p w14:paraId="62B07F66" w14:textId="77777777" w:rsidR="002C6574" w:rsidRDefault="00000000">
            <w:pPr>
              <w:pStyle w:val="TableParagraph"/>
              <w:spacing w:before="4"/>
              <w:ind w:right="116"/>
              <w:rPr>
                <w:rFonts w:ascii="Arial MT"/>
                <w:sz w:val="15"/>
              </w:rPr>
            </w:pPr>
            <w:r>
              <w:rPr>
                <w:rFonts w:ascii="Arial MT"/>
                <w:spacing w:val="-2"/>
                <w:sz w:val="15"/>
              </w:rPr>
              <w:t>(1.339)</w:t>
            </w:r>
          </w:p>
        </w:tc>
        <w:tc>
          <w:tcPr>
            <w:tcW w:w="837" w:type="dxa"/>
          </w:tcPr>
          <w:p w14:paraId="281464C4" w14:textId="77777777" w:rsidR="002C6574" w:rsidRDefault="00000000">
            <w:pPr>
              <w:pStyle w:val="TableParagraph"/>
              <w:spacing w:before="4"/>
              <w:ind w:right="70"/>
              <w:rPr>
                <w:rFonts w:ascii="Arial MT"/>
                <w:sz w:val="15"/>
              </w:rPr>
            </w:pPr>
            <w:r>
              <w:rPr>
                <w:rFonts w:ascii="Arial MT"/>
                <w:spacing w:val="-2"/>
                <w:sz w:val="15"/>
              </w:rPr>
              <w:t>(1.322)</w:t>
            </w:r>
          </w:p>
        </w:tc>
        <w:tc>
          <w:tcPr>
            <w:tcW w:w="703" w:type="dxa"/>
          </w:tcPr>
          <w:p w14:paraId="316A7E95" w14:textId="77777777" w:rsidR="002C6574" w:rsidRDefault="00000000">
            <w:pPr>
              <w:pStyle w:val="TableParagraph"/>
              <w:spacing w:before="4"/>
              <w:ind w:right="62"/>
              <w:rPr>
                <w:rFonts w:ascii="Arial MT"/>
                <w:sz w:val="15"/>
              </w:rPr>
            </w:pPr>
            <w:r>
              <w:rPr>
                <w:rFonts w:ascii="Arial MT"/>
                <w:spacing w:val="-2"/>
                <w:sz w:val="15"/>
              </w:rPr>
              <w:t>(1.332)</w:t>
            </w:r>
          </w:p>
        </w:tc>
        <w:tc>
          <w:tcPr>
            <w:tcW w:w="1044" w:type="dxa"/>
          </w:tcPr>
          <w:p w14:paraId="5D86E9A0" w14:textId="77777777" w:rsidR="002C6574" w:rsidRDefault="00000000">
            <w:pPr>
              <w:pStyle w:val="TableParagraph"/>
              <w:spacing w:before="4"/>
              <w:ind w:right="115"/>
              <w:rPr>
                <w:rFonts w:ascii="Arial MT"/>
                <w:sz w:val="15"/>
              </w:rPr>
            </w:pPr>
            <w:r>
              <w:rPr>
                <w:rFonts w:ascii="Arial MT"/>
                <w:spacing w:val="-4"/>
                <w:sz w:val="15"/>
              </w:rPr>
              <w:t>1,3%</w:t>
            </w:r>
          </w:p>
        </w:tc>
        <w:tc>
          <w:tcPr>
            <w:tcW w:w="943" w:type="dxa"/>
            <w:gridSpan w:val="2"/>
          </w:tcPr>
          <w:p w14:paraId="1BBD949D" w14:textId="77777777" w:rsidR="002C6574" w:rsidRDefault="00000000">
            <w:pPr>
              <w:pStyle w:val="TableParagraph"/>
              <w:spacing w:before="4"/>
              <w:ind w:left="374"/>
              <w:jc w:val="left"/>
              <w:rPr>
                <w:rFonts w:ascii="Arial MT"/>
                <w:sz w:val="15"/>
              </w:rPr>
            </w:pPr>
            <w:r>
              <w:rPr>
                <w:rFonts w:ascii="Arial MT"/>
                <w:spacing w:val="-4"/>
                <w:sz w:val="15"/>
              </w:rPr>
              <w:t>0,5%</w:t>
            </w:r>
          </w:p>
        </w:tc>
        <w:tc>
          <w:tcPr>
            <w:tcW w:w="852" w:type="dxa"/>
            <w:shd w:val="clear" w:color="auto" w:fill="66FFFF"/>
          </w:tcPr>
          <w:p w14:paraId="52FB1DAE" w14:textId="77777777" w:rsidR="002C6574" w:rsidRDefault="00000000">
            <w:pPr>
              <w:pStyle w:val="TableParagraph"/>
              <w:spacing w:before="16" w:line="161" w:lineRule="exact"/>
              <w:ind w:right="62"/>
              <w:rPr>
                <w:rFonts w:ascii="Arial MT"/>
                <w:sz w:val="15"/>
              </w:rPr>
            </w:pPr>
            <w:r>
              <w:rPr>
                <w:rFonts w:ascii="Arial MT"/>
                <w:spacing w:val="-2"/>
                <w:sz w:val="15"/>
              </w:rPr>
              <w:t>(5.307)</w:t>
            </w:r>
          </w:p>
        </w:tc>
        <w:tc>
          <w:tcPr>
            <w:tcW w:w="912" w:type="dxa"/>
          </w:tcPr>
          <w:p w14:paraId="06AE8377" w14:textId="77777777" w:rsidR="002C6574" w:rsidRDefault="00000000">
            <w:pPr>
              <w:pStyle w:val="TableParagraph"/>
              <w:spacing w:before="4"/>
              <w:ind w:right="143"/>
              <w:rPr>
                <w:rFonts w:ascii="Arial MT"/>
                <w:sz w:val="15"/>
              </w:rPr>
            </w:pPr>
            <w:r>
              <w:rPr>
                <w:rFonts w:ascii="Arial MT"/>
                <w:spacing w:val="-2"/>
                <w:sz w:val="15"/>
              </w:rPr>
              <w:t>(5.219)</w:t>
            </w:r>
          </w:p>
        </w:tc>
        <w:tc>
          <w:tcPr>
            <w:tcW w:w="852" w:type="dxa"/>
          </w:tcPr>
          <w:p w14:paraId="6FF62B3E" w14:textId="77777777" w:rsidR="002C6574" w:rsidRDefault="00000000">
            <w:pPr>
              <w:pStyle w:val="TableParagraph"/>
              <w:spacing w:before="4"/>
              <w:ind w:right="114"/>
              <w:rPr>
                <w:rFonts w:ascii="Arial MT"/>
                <w:sz w:val="15"/>
              </w:rPr>
            </w:pPr>
            <w:r>
              <w:rPr>
                <w:rFonts w:ascii="Arial MT"/>
                <w:spacing w:val="-4"/>
                <w:sz w:val="15"/>
              </w:rPr>
              <w:t>1,7%</w:t>
            </w:r>
          </w:p>
        </w:tc>
      </w:tr>
      <w:tr w:rsidR="002C6574" w14:paraId="3121C484" w14:textId="77777777">
        <w:trPr>
          <w:trHeight w:val="199"/>
        </w:trPr>
        <w:tc>
          <w:tcPr>
            <w:tcW w:w="3536" w:type="dxa"/>
          </w:tcPr>
          <w:p w14:paraId="7AE2C625" w14:textId="77777777" w:rsidR="002C6574" w:rsidRDefault="00000000">
            <w:pPr>
              <w:pStyle w:val="TableParagraph"/>
              <w:spacing w:before="4"/>
              <w:ind w:left="119"/>
              <w:jc w:val="left"/>
              <w:rPr>
                <w:rFonts w:ascii="Arial MT"/>
                <w:sz w:val="15"/>
              </w:rPr>
            </w:pPr>
            <w:r>
              <w:rPr>
                <w:rFonts w:ascii="Arial MT"/>
                <w:sz w:val="15"/>
              </w:rPr>
              <w:t>(+)</w:t>
            </w:r>
            <w:r>
              <w:rPr>
                <w:rFonts w:ascii="Arial MT"/>
                <w:spacing w:val="-6"/>
                <w:sz w:val="15"/>
              </w:rPr>
              <w:t xml:space="preserve"> </w:t>
            </w:r>
            <w:r>
              <w:rPr>
                <w:rFonts w:ascii="Arial MT"/>
                <w:sz w:val="15"/>
              </w:rPr>
              <w:t>Despesas</w:t>
            </w:r>
            <w:r>
              <w:rPr>
                <w:rFonts w:ascii="Arial MT"/>
                <w:spacing w:val="-5"/>
                <w:sz w:val="15"/>
              </w:rPr>
              <w:t xml:space="preserve"> </w:t>
            </w:r>
            <w:r>
              <w:rPr>
                <w:rFonts w:ascii="Arial MT"/>
                <w:sz w:val="15"/>
              </w:rPr>
              <w:t>Financeiras</w:t>
            </w:r>
            <w:r>
              <w:rPr>
                <w:rFonts w:ascii="Arial MT"/>
                <w:spacing w:val="-4"/>
                <w:sz w:val="15"/>
              </w:rPr>
              <w:t xml:space="preserve"> </w:t>
            </w:r>
            <w:r>
              <w:rPr>
                <w:rFonts w:ascii="Arial MT"/>
                <w:sz w:val="15"/>
              </w:rPr>
              <w:t>-</w:t>
            </w:r>
            <w:r>
              <w:rPr>
                <w:rFonts w:ascii="Arial MT"/>
                <w:spacing w:val="-5"/>
                <w:sz w:val="15"/>
              </w:rPr>
              <w:t xml:space="preserve"> </w:t>
            </w:r>
            <w:r>
              <w:rPr>
                <w:rFonts w:ascii="Arial MT"/>
                <w:sz w:val="15"/>
              </w:rPr>
              <w:t>CPC</w:t>
            </w:r>
            <w:r>
              <w:rPr>
                <w:rFonts w:ascii="Arial MT"/>
                <w:spacing w:val="-3"/>
                <w:sz w:val="15"/>
              </w:rPr>
              <w:t xml:space="preserve"> </w:t>
            </w:r>
            <w:r>
              <w:rPr>
                <w:rFonts w:ascii="Arial MT"/>
                <w:sz w:val="15"/>
              </w:rPr>
              <w:t>6(R2)</w:t>
            </w:r>
            <w:r>
              <w:rPr>
                <w:rFonts w:ascii="Arial MT"/>
                <w:spacing w:val="-6"/>
                <w:sz w:val="15"/>
              </w:rPr>
              <w:t xml:space="preserve"> </w:t>
            </w:r>
            <w:r>
              <w:rPr>
                <w:rFonts w:ascii="Arial MT"/>
                <w:sz w:val="15"/>
              </w:rPr>
              <w:t>/</w:t>
            </w:r>
            <w:r>
              <w:rPr>
                <w:rFonts w:ascii="Arial MT"/>
                <w:spacing w:val="-5"/>
                <w:sz w:val="15"/>
              </w:rPr>
              <w:t xml:space="preserve"> </w:t>
            </w:r>
            <w:r>
              <w:rPr>
                <w:rFonts w:ascii="Arial MT"/>
                <w:sz w:val="15"/>
              </w:rPr>
              <w:t>IFRS</w:t>
            </w:r>
            <w:r>
              <w:rPr>
                <w:rFonts w:ascii="Arial MT"/>
                <w:spacing w:val="-5"/>
                <w:sz w:val="15"/>
              </w:rPr>
              <w:t xml:space="preserve"> 16</w:t>
            </w:r>
          </w:p>
        </w:tc>
        <w:tc>
          <w:tcPr>
            <w:tcW w:w="925" w:type="dxa"/>
            <w:shd w:val="clear" w:color="auto" w:fill="66FFFF"/>
          </w:tcPr>
          <w:p w14:paraId="68D8815C" w14:textId="77777777" w:rsidR="002C6574" w:rsidRDefault="00000000">
            <w:pPr>
              <w:pStyle w:val="TableParagraph"/>
              <w:spacing w:before="4"/>
              <w:ind w:right="116"/>
              <w:rPr>
                <w:rFonts w:ascii="Arial MT"/>
                <w:sz w:val="15"/>
              </w:rPr>
            </w:pPr>
            <w:r>
              <w:rPr>
                <w:rFonts w:ascii="Arial MT"/>
                <w:spacing w:val="-2"/>
                <w:sz w:val="15"/>
              </w:rPr>
              <w:t>(283)</w:t>
            </w:r>
          </w:p>
        </w:tc>
        <w:tc>
          <w:tcPr>
            <w:tcW w:w="837" w:type="dxa"/>
          </w:tcPr>
          <w:p w14:paraId="54E79371" w14:textId="77777777" w:rsidR="002C6574" w:rsidRDefault="00000000">
            <w:pPr>
              <w:pStyle w:val="TableParagraph"/>
              <w:spacing w:before="4"/>
              <w:ind w:right="70"/>
              <w:rPr>
                <w:rFonts w:ascii="Arial MT"/>
                <w:sz w:val="15"/>
              </w:rPr>
            </w:pPr>
            <w:r>
              <w:rPr>
                <w:rFonts w:ascii="Arial MT"/>
                <w:spacing w:val="-2"/>
                <w:sz w:val="15"/>
              </w:rPr>
              <w:t>(160)</w:t>
            </w:r>
          </w:p>
        </w:tc>
        <w:tc>
          <w:tcPr>
            <w:tcW w:w="703" w:type="dxa"/>
          </w:tcPr>
          <w:p w14:paraId="53103AE7" w14:textId="77777777" w:rsidR="002C6574" w:rsidRDefault="00000000">
            <w:pPr>
              <w:pStyle w:val="TableParagraph"/>
              <w:spacing w:before="4"/>
              <w:ind w:right="62"/>
              <w:rPr>
                <w:rFonts w:ascii="Arial MT"/>
                <w:sz w:val="15"/>
              </w:rPr>
            </w:pPr>
            <w:r>
              <w:rPr>
                <w:rFonts w:ascii="Arial MT"/>
                <w:spacing w:val="-2"/>
                <w:sz w:val="15"/>
              </w:rPr>
              <w:t>(131)</w:t>
            </w:r>
          </w:p>
        </w:tc>
        <w:tc>
          <w:tcPr>
            <w:tcW w:w="1044" w:type="dxa"/>
          </w:tcPr>
          <w:p w14:paraId="30B09C7E" w14:textId="77777777" w:rsidR="002C6574" w:rsidRDefault="00000000">
            <w:pPr>
              <w:pStyle w:val="TableParagraph"/>
              <w:spacing w:before="4"/>
              <w:ind w:right="115"/>
              <w:rPr>
                <w:rFonts w:ascii="Arial MT"/>
                <w:sz w:val="15"/>
              </w:rPr>
            </w:pPr>
            <w:r>
              <w:rPr>
                <w:rFonts w:ascii="Arial MT"/>
                <w:spacing w:val="-2"/>
                <w:sz w:val="15"/>
              </w:rPr>
              <w:t>76,9%</w:t>
            </w:r>
          </w:p>
        </w:tc>
        <w:tc>
          <w:tcPr>
            <w:tcW w:w="943" w:type="dxa"/>
            <w:gridSpan w:val="2"/>
          </w:tcPr>
          <w:p w14:paraId="027048D2" w14:textId="77777777" w:rsidR="002C6574" w:rsidRDefault="00000000">
            <w:pPr>
              <w:pStyle w:val="TableParagraph"/>
              <w:spacing w:before="4"/>
              <w:ind w:left="206"/>
              <w:jc w:val="left"/>
              <w:rPr>
                <w:rFonts w:ascii="Arial MT"/>
                <w:sz w:val="15"/>
              </w:rPr>
            </w:pPr>
            <w:r>
              <w:rPr>
                <w:rFonts w:ascii="Arial MT"/>
                <w:spacing w:val="-2"/>
                <w:sz w:val="15"/>
              </w:rPr>
              <w:t>115,4%</w:t>
            </w:r>
          </w:p>
        </w:tc>
        <w:tc>
          <w:tcPr>
            <w:tcW w:w="852" w:type="dxa"/>
            <w:shd w:val="clear" w:color="auto" w:fill="66FFFF"/>
          </w:tcPr>
          <w:p w14:paraId="28A658DD" w14:textId="77777777" w:rsidR="002C6574" w:rsidRDefault="00000000">
            <w:pPr>
              <w:pStyle w:val="TableParagraph"/>
              <w:spacing w:before="19" w:line="161" w:lineRule="exact"/>
              <w:ind w:right="61"/>
              <w:rPr>
                <w:rFonts w:ascii="Arial MT"/>
                <w:sz w:val="15"/>
              </w:rPr>
            </w:pPr>
            <w:r>
              <w:rPr>
                <w:rFonts w:ascii="Arial MT"/>
                <w:spacing w:val="-2"/>
                <w:sz w:val="15"/>
              </w:rPr>
              <w:t>(867)</w:t>
            </w:r>
          </w:p>
        </w:tc>
        <w:tc>
          <w:tcPr>
            <w:tcW w:w="912" w:type="dxa"/>
          </w:tcPr>
          <w:p w14:paraId="10ABCF16" w14:textId="77777777" w:rsidR="002C6574" w:rsidRDefault="00000000">
            <w:pPr>
              <w:pStyle w:val="TableParagraph"/>
              <w:spacing w:before="4"/>
              <w:ind w:right="143"/>
              <w:rPr>
                <w:rFonts w:ascii="Arial MT"/>
                <w:sz w:val="15"/>
              </w:rPr>
            </w:pPr>
            <w:r>
              <w:rPr>
                <w:rFonts w:ascii="Arial MT"/>
                <w:spacing w:val="-2"/>
                <w:sz w:val="15"/>
              </w:rPr>
              <w:t>(741)</w:t>
            </w:r>
          </w:p>
        </w:tc>
        <w:tc>
          <w:tcPr>
            <w:tcW w:w="852" w:type="dxa"/>
          </w:tcPr>
          <w:p w14:paraId="2A343D56" w14:textId="77777777" w:rsidR="002C6574" w:rsidRDefault="00000000">
            <w:pPr>
              <w:pStyle w:val="TableParagraph"/>
              <w:spacing w:before="4"/>
              <w:ind w:right="114"/>
              <w:rPr>
                <w:rFonts w:ascii="Arial MT"/>
                <w:sz w:val="15"/>
              </w:rPr>
            </w:pPr>
            <w:r>
              <w:rPr>
                <w:rFonts w:ascii="Arial MT"/>
                <w:spacing w:val="-2"/>
                <w:sz w:val="15"/>
              </w:rPr>
              <w:t>17,0%</w:t>
            </w:r>
          </w:p>
        </w:tc>
      </w:tr>
      <w:tr w:rsidR="002C6574" w14:paraId="019C82A0" w14:textId="77777777">
        <w:trPr>
          <w:trHeight w:val="196"/>
        </w:trPr>
        <w:tc>
          <w:tcPr>
            <w:tcW w:w="3536" w:type="dxa"/>
          </w:tcPr>
          <w:p w14:paraId="777CBF3C" w14:textId="77777777" w:rsidR="002C6574" w:rsidRDefault="00000000">
            <w:pPr>
              <w:pStyle w:val="TableParagraph"/>
              <w:spacing w:before="4"/>
              <w:ind w:left="119"/>
              <w:jc w:val="left"/>
              <w:rPr>
                <w:rFonts w:ascii="Arial MT"/>
                <w:sz w:val="15"/>
              </w:rPr>
            </w:pPr>
            <w:r>
              <w:rPr>
                <w:rFonts w:ascii="Arial MT"/>
                <w:sz w:val="15"/>
              </w:rPr>
              <w:t>(-)</w:t>
            </w:r>
            <w:r>
              <w:rPr>
                <w:rFonts w:ascii="Arial MT"/>
                <w:spacing w:val="-5"/>
                <w:sz w:val="15"/>
              </w:rPr>
              <w:t xml:space="preserve"> </w:t>
            </w:r>
            <w:r>
              <w:rPr>
                <w:rFonts w:ascii="Arial MT"/>
                <w:sz w:val="15"/>
              </w:rPr>
              <w:t>Ganho</w:t>
            </w:r>
            <w:r>
              <w:rPr>
                <w:rFonts w:ascii="Arial MT"/>
                <w:spacing w:val="-5"/>
                <w:sz w:val="15"/>
              </w:rPr>
              <w:t xml:space="preserve"> </w:t>
            </w:r>
            <w:r>
              <w:rPr>
                <w:rFonts w:ascii="Arial MT"/>
                <w:sz w:val="15"/>
              </w:rPr>
              <w:t>sobre</w:t>
            </w:r>
            <w:r>
              <w:rPr>
                <w:rFonts w:ascii="Arial MT"/>
                <w:spacing w:val="-4"/>
                <w:sz w:val="15"/>
              </w:rPr>
              <w:t xml:space="preserve"> </w:t>
            </w:r>
            <w:r>
              <w:rPr>
                <w:rFonts w:ascii="Arial MT"/>
                <w:sz w:val="15"/>
              </w:rPr>
              <w:t>Baixa</w:t>
            </w:r>
            <w:r>
              <w:rPr>
                <w:rFonts w:ascii="Arial MT"/>
                <w:spacing w:val="-5"/>
                <w:sz w:val="15"/>
              </w:rPr>
              <w:t xml:space="preserve"> </w:t>
            </w:r>
            <w:r>
              <w:rPr>
                <w:rFonts w:ascii="Arial MT"/>
                <w:sz w:val="15"/>
              </w:rPr>
              <w:t>de</w:t>
            </w:r>
            <w:r>
              <w:rPr>
                <w:rFonts w:ascii="Arial MT"/>
                <w:spacing w:val="-4"/>
                <w:sz w:val="15"/>
              </w:rPr>
              <w:t xml:space="preserve"> </w:t>
            </w:r>
            <w:r>
              <w:rPr>
                <w:rFonts w:ascii="Arial MT"/>
                <w:spacing w:val="-2"/>
                <w:sz w:val="15"/>
              </w:rPr>
              <w:t>Passivos</w:t>
            </w:r>
          </w:p>
        </w:tc>
        <w:tc>
          <w:tcPr>
            <w:tcW w:w="925" w:type="dxa"/>
            <w:shd w:val="clear" w:color="auto" w:fill="66FFFF"/>
          </w:tcPr>
          <w:p w14:paraId="07C16559" w14:textId="77777777" w:rsidR="002C6574" w:rsidRDefault="00000000">
            <w:pPr>
              <w:pStyle w:val="TableParagraph"/>
              <w:spacing w:before="4"/>
              <w:ind w:right="116"/>
              <w:rPr>
                <w:rFonts w:ascii="Arial MT"/>
                <w:sz w:val="15"/>
              </w:rPr>
            </w:pPr>
            <w:r>
              <w:rPr>
                <w:rFonts w:ascii="Arial MT"/>
                <w:spacing w:val="-10"/>
                <w:sz w:val="15"/>
              </w:rPr>
              <w:t>-</w:t>
            </w:r>
          </w:p>
        </w:tc>
        <w:tc>
          <w:tcPr>
            <w:tcW w:w="837" w:type="dxa"/>
          </w:tcPr>
          <w:p w14:paraId="2159C740" w14:textId="77777777" w:rsidR="002C6574" w:rsidRDefault="00000000">
            <w:pPr>
              <w:pStyle w:val="TableParagraph"/>
              <w:spacing w:before="4"/>
              <w:ind w:right="70"/>
              <w:rPr>
                <w:rFonts w:ascii="Arial MT"/>
                <w:sz w:val="15"/>
              </w:rPr>
            </w:pPr>
            <w:r>
              <w:rPr>
                <w:rFonts w:ascii="Arial MT"/>
                <w:spacing w:val="-2"/>
                <w:sz w:val="15"/>
              </w:rPr>
              <w:t>(598)</w:t>
            </w:r>
          </w:p>
        </w:tc>
        <w:tc>
          <w:tcPr>
            <w:tcW w:w="703" w:type="dxa"/>
          </w:tcPr>
          <w:p w14:paraId="0C3D9368" w14:textId="77777777" w:rsidR="002C6574" w:rsidRDefault="00000000">
            <w:pPr>
              <w:pStyle w:val="TableParagraph"/>
              <w:spacing w:before="4"/>
              <w:ind w:right="65"/>
              <w:rPr>
                <w:rFonts w:ascii="Arial MT"/>
                <w:sz w:val="15"/>
              </w:rPr>
            </w:pPr>
            <w:r>
              <w:rPr>
                <w:rFonts w:ascii="Arial MT"/>
                <w:spacing w:val="-10"/>
                <w:sz w:val="15"/>
              </w:rPr>
              <w:t>-</w:t>
            </w:r>
          </w:p>
        </w:tc>
        <w:tc>
          <w:tcPr>
            <w:tcW w:w="1044" w:type="dxa"/>
          </w:tcPr>
          <w:p w14:paraId="314CB641" w14:textId="77777777" w:rsidR="002C6574" w:rsidRDefault="00000000">
            <w:pPr>
              <w:pStyle w:val="TableParagraph"/>
              <w:spacing w:before="4"/>
              <w:ind w:right="115"/>
              <w:rPr>
                <w:rFonts w:ascii="Arial MT"/>
                <w:sz w:val="15"/>
              </w:rPr>
            </w:pPr>
            <w:r>
              <w:rPr>
                <w:rFonts w:ascii="Arial MT"/>
                <w:sz w:val="15"/>
              </w:rPr>
              <w:t>-</w:t>
            </w:r>
            <w:r>
              <w:rPr>
                <w:rFonts w:ascii="Arial MT"/>
                <w:spacing w:val="-2"/>
                <w:sz w:val="15"/>
              </w:rPr>
              <w:t>100,0%</w:t>
            </w:r>
          </w:p>
        </w:tc>
        <w:tc>
          <w:tcPr>
            <w:tcW w:w="943" w:type="dxa"/>
            <w:gridSpan w:val="2"/>
          </w:tcPr>
          <w:p w14:paraId="66F89B4D" w14:textId="77777777" w:rsidR="002C6574" w:rsidRDefault="00000000">
            <w:pPr>
              <w:pStyle w:val="TableParagraph"/>
              <w:spacing w:before="4"/>
              <w:ind w:right="225"/>
              <w:rPr>
                <w:rFonts w:ascii="Arial MT"/>
                <w:sz w:val="15"/>
              </w:rPr>
            </w:pPr>
            <w:r>
              <w:rPr>
                <w:rFonts w:ascii="Arial MT"/>
                <w:spacing w:val="-10"/>
                <w:sz w:val="15"/>
              </w:rPr>
              <w:t>-</w:t>
            </w:r>
          </w:p>
        </w:tc>
        <w:tc>
          <w:tcPr>
            <w:tcW w:w="852" w:type="dxa"/>
            <w:shd w:val="clear" w:color="auto" w:fill="66FFFF"/>
          </w:tcPr>
          <w:p w14:paraId="6A6AC1F2" w14:textId="77777777" w:rsidR="002C6574" w:rsidRDefault="00000000">
            <w:pPr>
              <w:pStyle w:val="TableParagraph"/>
              <w:spacing w:before="16" w:line="161" w:lineRule="exact"/>
              <w:ind w:right="61"/>
              <w:rPr>
                <w:rFonts w:ascii="Arial MT"/>
                <w:sz w:val="15"/>
              </w:rPr>
            </w:pPr>
            <w:r>
              <w:rPr>
                <w:rFonts w:ascii="Arial MT"/>
                <w:spacing w:val="-4"/>
                <w:sz w:val="15"/>
              </w:rPr>
              <w:t>(76)</w:t>
            </w:r>
          </w:p>
        </w:tc>
        <w:tc>
          <w:tcPr>
            <w:tcW w:w="912" w:type="dxa"/>
          </w:tcPr>
          <w:p w14:paraId="1C9F4D1D" w14:textId="77777777" w:rsidR="002C6574" w:rsidRDefault="00000000">
            <w:pPr>
              <w:pStyle w:val="TableParagraph"/>
              <w:spacing w:before="4"/>
              <w:ind w:right="143"/>
              <w:rPr>
                <w:rFonts w:ascii="Arial MT"/>
                <w:sz w:val="15"/>
              </w:rPr>
            </w:pPr>
            <w:r>
              <w:rPr>
                <w:rFonts w:ascii="Arial MT"/>
                <w:spacing w:val="-2"/>
                <w:sz w:val="15"/>
              </w:rPr>
              <w:t>(2.297)</w:t>
            </w:r>
          </w:p>
        </w:tc>
        <w:tc>
          <w:tcPr>
            <w:tcW w:w="852" w:type="dxa"/>
          </w:tcPr>
          <w:p w14:paraId="265E101A" w14:textId="77777777" w:rsidR="002C6574" w:rsidRDefault="00000000">
            <w:pPr>
              <w:pStyle w:val="TableParagraph"/>
              <w:spacing w:before="4"/>
              <w:ind w:right="114"/>
              <w:rPr>
                <w:rFonts w:ascii="Arial MT"/>
                <w:sz w:val="15"/>
              </w:rPr>
            </w:pPr>
            <w:r>
              <w:rPr>
                <w:rFonts w:ascii="Arial MT"/>
                <w:sz w:val="15"/>
              </w:rPr>
              <w:t>-</w:t>
            </w:r>
            <w:r>
              <w:rPr>
                <w:rFonts w:ascii="Arial MT"/>
                <w:spacing w:val="-2"/>
                <w:sz w:val="15"/>
              </w:rPr>
              <w:t>96,7%</w:t>
            </w:r>
          </w:p>
        </w:tc>
      </w:tr>
      <w:tr w:rsidR="002C6574" w14:paraId="315D7645" w14:textId="77777777">
        <w:trPr>
          <w:trHeight w:val="191"/>
        </w:trPr>
        <w:tc>
          <w:tcPr>
            <w:tcW w:w="3536" w:type="dxa"/>
          </w:tcPr>
          <w:p w14:paraId="6C4BEB0C" w14:textId="77777777" w:rsidR="002C6574" w:rsidRDefault="00000000">
            <w:pPr>
              <w:pStyle w:val="TableParagraph"/>
              <w:spacing w:before="4" w:line="168" w:lineRule="exact"/>
              <w:ind w:left="119"/>
              <w:jc w:val="left"/>
              <w:rPr>
                <w:rFonts w:ascii="Arial MT"/>
                <w:sz w:val="15"/>
              </w:rPr>
            </w:pPr>
            <w:r>
              <w:rPr>
                <w:rFonts w:ascii="Arial MT"/>
                <w:sz w:val="15"/>
              </w:rPr>
              <w:t>(+/-)</w:t>
            </w:r>
            <w:r>
              <w:rPr>
                <w:rFonts w:ascii="Arial MT"/>
                <w:spacing w:val="-4"/>
                <w:sz w:val="15"/>
              </w:rPr>
              <w:t xml:space="preserve"> </w:t>
            </w:r>
            <w:r>
              <w:rPr>
                <w:rFonts w:ascii="Arial MT"/>
                <w:sz w:val="15"/>
              </w:rPr>
              <w:t>Baixa</w:t>
            </w:r>
            <w:r>
              <w:rPr>
                <w:rFonts w:ascii="Arial MT"/>
                <w:spacing w:val="-5"/>
                <w:sz w:val="15"/>
              </w:rPr>
              <w:t xml:space="preserve"> </w:t>
            </w:r>
            <w:r>
              <w:rPr>
                <w:rFonts w:ascii="Arial MT"/>
                <w:sz w:val="15"/>
              </w:rPr>
              <w:t>de</w:t>
            </w:r>
            <w:r>
              <w:rPr>
                <w:rFonts w:ascii="Arial MT"/>
                <w:spacing w:val="-5"/>
                <w:sz w:val="15"/>
              </w:rPr>
              <w:t xml:space="preserve"> </w:t>
            </w:r>
            <w:r>
              <w:rPr>
                <w:rFonts w:ascii="Arial MT"/>
                <w:sz w:val="15"/>
              </w:rPr>
              <w:t>Bens</w:t>
            </w:r>
            <w:r>
              <w:rPr>
                <w:rFonts w:ascii="Arial MT"/>
                <w:spacing w:val="-3"/>
                <w:sz w:val="15"/>
              </w:rPr>
              <w:t xml:space="preserve"> </w:t>
            </w:r>
            <w:r>
              <w:rPr>
                <w:rFonts w:ascii="Arial MT"/>
                <w:sz w:val="15"/>
              </w:rPr>
              <w:t>do</w:t>
            </w:r>
            <w:r>
              <w:rPr>
                <w:rFonts w:ascii="Arial MT"/>
                <w:spacing w:val="-5"/>
                <w:sz w:val="15"/>
              </w:rPr>
              <w:t xml:space="preserve"> </w:t>
            </w:r>
            <w:r>
              <w:rPr>
                <w:rFonts w:ascii="Arial MT"/>
                <w:sz w:val="15"/>
              </w:rPr>
              <w:t>Ativo</w:t>
            </w:r>
            <w:r>
              <w:rPr>
                <w:rFonts w:ascii="Arial MT"/>
                <w:spacing w:val="-4"/>
                <w:sz w:val="15"/>
              </w:rPr>
              <w:t xml:space="preserve"> </w:t>
            </w:r>
            <w:r>
              <w:rPr>
                <w:rFonts w:ascii="Arial MT"/>
                <w:spacing w:val="-2"/>
                <w:sz w:val="15"/>
              </w:rPr>
              <w:t>Imobilizado</w:t>
            </w:r>
          </w:p>
        </w:tc>
        <w:tc>
          <w:tcPr>
            <w:tcW w:w="925" w:type="dxa"/>
            <w:shd w:val="clear" w:color="auto" w:fill="66FFFF"/>
          </w:tcPr>
          <w:p w14:paraId="37850AAC" w14:textId="77777777" w:rsidR="002C6574" w:rsidRDefault="00000000">
            <w:pPr>
              <w:pStyle w:val="TableParagraph"/>
              <w:spacing w:before="4" w:line="168" w:lineRule="exact"/>
              <w:ind w:right="116"/>
              <w:rPr>
                <w:rFonts w:ascii="Arial MT"/>
                <w:sz w:val="15"/>
              </w:rPr>
            </w:pPr>
            <w:r>
              <w:rPr>
                <w:rFonts w:ascii="Arial MT"/>
                <w:spacing w:val="-10"/>
                <w:sz w:val="15"/>
              </w:rPr>
              <w:t>-</w:t>
            </w:r>
          </w:p>
        </w:tc>
        <w:tc>
          <w:tcPr>
            <w:tcW w:w="837" w:type="dxa"/>
          </w:tcPr>
          <w:p w14:paraId="05F7294D" w14:textId="77777777" w:rsidR="002C6574" w:rsidRDefault="00000000">
            <w:pPr>
              <w:pStyle w:val="TableParagraph"/>
              <w:spacing w:before="4" w:line="168" w:lineRule="exact"/>
              <w:ind w:right="70"/>
              <w:rPr>
                <w:rFonts w:ascii="Arial MT"/>
                <w:sz w:val="15"/>
              </w:rPr>
            </w:pPr>
            <w:r>
              <w:rPr>
                <w:rFonts w:ascii="Arial MT"/>
                <w:spacing w:val="-2"/>
                <w:sz w:val="15"/>
              </w:rPr>
              <w:t>(1.366)</w:t>
            </w:r>
          </w:p>
        </w:tc>
        <w:tc>
          <w:tcPr>
            <w:tcW w:w="703" w:type="dxa"/>
          </w:tcPr>
          <w:p w14:paraId="75F82704" w14:textId="77777777" w:rsidR="002C6574" w:rsidRDefault="00000000">
            <w:pPr>
              <w:pStyle w:val="TableParagraph"/>
              <w:spacing w:before="4" w:line="168" w:lineRule="exact"/>
              <w:ind w:right="65"/>
              <w:rPr>
                <w:rFonts w:ascii="Arial MT"/>
                <w:sz w:val="15"/>
              </w:rPr>
            </w:pPr>
            <w:r>
              <w:rPr>
                <w:rFonts w:ascii="Arial MT"/>
                <w:spacing w:val="-10"/>
                <w:sz w:val="15"/>
              </w:rPr>
              <w:t>-</w:t>
            </w:r>
          </w:p>
        </w:tc>
        <w:tc>
          <w:tcPr>
            <w:tcW w:w="1044" w:type="dxa"/>
          </w:tcPr>
          <w:p w14:paraId="4BFDBF8F" w14:textId="77777777" w:rsidR="002C6574" w:rsidRDefault="00000000">
            <w:pPr>
              <w:pStyle w:val="TableParagraph"/>
              <w:spacing w:before="4" w:line="168" w:lineRule="exact"/>
              <w:ind w:right="115"/>
              <w:rPr>
                <w:rFonts w:ascii="Arial MT"/>
                <w:sz w:val="15"/>
              </w:rPr>
            </w:pPr>
            <w:r>
              <w:rPr>
                <w:rFonts w:ascii="Arial MT"/>
                <w:sz w:val="15"/>
              </w:rPr>
              <w:t>-</w:t>
            </w:r>
            <w:r>
              <w:rPr>
                <w:rFonts w:ascii="Arial MT"/>
                <w:spacing w:val="-2"/>
                <w:sz w:val="15"/>
              </w:rPr>
              <w:t>100,0%</w:t>
            </w:r>
          </w:p>
        </w:tc>
        <w:tc>
          <w:tcPr>
            <w:tcW w:w="943" w:type="dxa"/>
            <w:gridSpan w:val="2"/>
          </w:tcPr>
          <w:p w14:paraId="60AABB92" w14:textId="77777777" w:rsidR="002C6574" w:rsidRDefault="00000000">
            <w:pPr>
              <w:pStyle w:val="TableParagraph"/>
              <w:spacing w:before="4" w:line="168" w:lineRule="exact"/>
              <w:ind w:right="225"/>
              <w:rPr>
                <w:rFonts w:ascii="Arial MT"/>
                <w:sz w:val="15"/>
              </w:rPr>
            </w:pPr>
            <w:r>
              <w:rPr>
                <w:rFonts w:ascii="Arial MT"/>
                <w:spacing w:val="-10"/>
                <w:sz w:val="15"/>
              </w:rPr>
              <w:t>-</w:t>
            </w:r>
          </w:p>
        </w:tc>
        <w:tc>
          <w:tcPr>
            <w:tcW w:w="852" w:type="dxa"/>
            <w:shd w:val="clear" w:color="auto" w:fill="66FFFF"/>
          </w:tcPr>
          <w:p w14:paraId="10EABC17" w14:textId="77777777" w:rsidR="002C6574" w:rsidRDefault="00000000">
            <w:pPr>
              <w:pStyle w:val="TableParagraph"/>
              <w:spacing w:before="4" w:line="168" w:lineRule="exact"/>
              <w:ind w:right="62"/>
              <w:rPr>
                <w:rFonts w:ascii="Arial MT"/>
                <w:sz w:val="15"/>
              </w:rPr>
            </w:pPr>
            <w:r>
              <w:rPr>
                <w:rFonts w:ascii="Arial MT"/>
                <w:spacing w:val="-10"/>
                <w:sz w:val="15"/>
              </w:rPr>
              <w:t>-</w:t>
            </w:r>
          </w:p>
        </w:tc>
        <w:tc>
          <w:tcPr>
            <w:tcW w:w="912" w:type="dxa"/>
          </w:tcPr>
          <w:p w14:paraId="183E6EFD" w14:textId="77777777" w:rsidR="002C6574" w:rsidRDefault="00000000">
            <w:pPr>
              <w:pStyle w:val="TableParagraph"/>
              <w:spacing w:before="4" w:line="168" w:lineRule="exact"/>
              <w:ind w:right="143"/>
              <w:rPr>
                <w:rFonts w:ascii="Arial MT"/>
                <w:sz w:val="15"/>
              </w:rPr>
            </w:pPr>
            <w:r>
              <w:rPr>
                <w:rFonts w:ascii="Arial MT"/>
                <w:spacing w:val="-2"/>
                <w:sz w:val="15"/>
              </w:rPr>
              <w:t>2.666</w:t>
            </w:r>
          </w:p>
        </w:tc>
        <w:tc>
          <w:tcPr>
            <w:tcW w:w="852" w:type="dxa"/>
          </w:tcPr>
          <w:p w14:paraId="2E348EF7" w14:textId="77777777" w:rsidR="002C6574" w:rsidRDefault="00000000">
            <w:pPr>
              <w:pStyle w:val="TableParagraph"/>
              <w:spacing w:before="4" w:line="168" w:lineRule="exact"/>
              <w:ind w:right="114"/>
              <w:rPr>
                <w:rFonts w:ascii="Arial MT"/>
                <w:sz w:val="15"/>
              </w:rPr>
            </w:pPr>
            <w:r>
              <w:rPr>
                <w:rFonts w:ascii="Arial MT"/>
                <w:sz w:val="15"/>
              </w:rPr>
              <w:t>-</w:t>
            </w:r>
            <w:r>
              <w:rPr>
                <w:rFonts w:ascii="Arial MT"/>
                <w:spacing w:val="-2"/>
                <w:sz w:val="15"/>
              </w:rPr>
              <w:t>100,0%</w:t>
            </w:r>
          </w:p>
        </w:tc>
      </w:tr>
      <w:tr w:rsidR="002C6574" w14:paraId="53E01C24" w14:textId="77777777">
        <w:trPr>
          <w:trHeight w:val="197"/>
        </w:trPr>
        <w:tc>
          <w:tcPr>
            <w:tcW w:w="3536" w:type="dxa"/>
          </w:tcPr>
          <w:p w14:paraId="698EF50E" w14:textId="77777777" w:rsidR="002C6574" w:rsidRDefault="00000000">
            <w:pPr>
              <w:pStyle w:val="TableParagraph"/>
              <w:spacing w:before="11" w:line="167" w:lineRule="exact"/>
              <w:ind w:left="119"/>
              <w:jc w:val="left"/>
              <w:rPr>
                <w:rFonts w:ascii="Arial MT"/>
                <w:sz w:val="15"/>
              </w:rPr>
            </w:pPr>
            <w:r>
              <w:rPr>
                <w:rFonts w:ascii="Arial MT"/>
                <w:sz w:val="15"/>
              </w:rPr>
              <w:t>(-)</w:t>
            </w:r>
            <w:r>
              <w:rPr>
                <w:rFonts w:ascii="Arial MT"/>
                <w:spacing w:val="-3"/>
                <w:sz w:val="15"/>
              </w:rPr>
              <w:t xml:space="preserve"> </w:t>
            </w:r>
            <w:r>
              <w:rPr>
                <w:rFonts w:ascii="Arial MT"/>
                <w:sz w:val="15"/>
              </w:rPr>
              <w:t>Ativos</w:t>
            </w:r>
            <w:r>
              <w:rPr>
                <w:rFonts w:ascii="Arial MT"/>
                <w:spacing w:val="-2"/>
                <w:sz w:val="15"/>
              </w:rPr>
              <w:t xml:space="preserve"> Contingentes</w:t>
            </w:r>
          </w:p>
        </w:tc>
        <w:tc>
          <w:tcPr>
            <w:tcW w:w="925" w:type="dxa"/>
            <w:shd w:val="clear" w:color="auto" w:fill="66FFFF"/>
          </w:tcPr>
          <w:p w14:paraId="2C5BF892" w14:textId="77777777" w:rsidR="002C6574" w:rsidRDefault="00000000">
            <w:pPr>
              <w:pStyle w:val="TableParagraph"/>
              <w:spacing w:before="11" w:line="167" w:lineRule="exact"/>
              <w:ind w:right="116"/>
              <w:rPr>
                <w:rFonts w:ascii="Arial MT"/>
                <w:sz w:val="15"/>
              </w:rPr>
            </w:pPr>
            <w:r>
              <w:rPr>
                <w:rFonts w:ascii="Arial MT"/>
                <w:spacing w:val="-2"/>
                <w:sz w:val="15"/>
              </w:rPr>
              <w:t>(14.922)</w:t>
            </w:r>
          </w:p>
        </w:tc>
        <w:tc>
          <w:tcPr>
            <w:tcW w:w="837" w:type="dxa"/>
          </w:tcPr>
          <w:p w14:paraId="5F5BD4C0" w14:textId="77777777" w:rsidR="002C6574" w:rsidRDefault="00000000">
            <w:pPr>
              <w:pStyle w:val="TableParagraph"/>
              <w:spacing w:before="11" w:line="167" w:lineRule="exact"/>
              <w:ind w:right="70"/>
              <w:rPr>
                <w:rFonts w:ascii="Arial MT"/>
                <w:sz w:val="15"/>
              </w:rPr>
            </w:pPr>
            <w:r>
              <w:rPr>
                <w:rFonts w:ascii="Arial MT"/>
                <w:spacing w:val="-10"/>
                <w:sz w:val="15"/>
              </w:rPr>
              <w:t>-</w:t>
            </w:r>
          </w:p>
        </w:tc>
        <w:tc>
          <w:tcPr>
            <w:tcW w:w="703" w:type="dxa"/>
          </w:tcPr>
          <w:p w14:paraId="60FDB02D" w14:textId="77777777" w:rsidR="002C6574" w:rsidRDefault="00000000">
            <w:pPr>
              <w:pStyle w:val="TableParagraph"/>
              <w:spacing w:before="11" w:line="167" w:lineRule="exact"/>
              <w:ind w:right="65"/>
              <w:rPr>
                <w:rFonts w:ascii="Arial MT"/>
                <w:sz w:val="15"/>
              </w:rPr>
            </w:pPr>
            <w:r>
              <w:rPr>
                <w:rFonts w:ascii="Arial MT"/>
                <w:spacing w:val="-10"/>
                <w:sz w:val="15"/>
              </w:rPr>
              <w:t>-</w:t>
            </w:r>
          </w:p>
        </w:tc>
        <w:tc>
          <w:tcPr>
            <w:tcW w:w="1044" w:type="dxa"/>
          </w:tcPr>
          <w:p w14:paraId="7F5C93CC" w14:textId="77777777" w:rsidR="002C6574" w:rsidRDefault="00000000">
            <w:pPr>
              <w:pStyle w:val="TableParagraph"/>
              <w:spacing w:before="11" w:line="167" w:lineRule="exact"/>
              <w:ind w:right="115"/>
              <w:rPr>
                <w:rFonts w:ascii="Arial MT"/>
                <w:sz w:val="15"/>
              </w:rPr>
            </w:pPr>
            <w:r>
              <w:rPr>
                <w:rFonts w:ascii="Arial MT"/>
                <w:spacing w:val="-2"/>
                <w:sz w:val="15"/>
              </w:rPr>
              <w:t>100,0%</w:t>
            </w:r>
          </w:p>
        </w:tc>
        <w:tc>
          <w:tcPr>
            <w:tcW w:w="943" w:type="dxa"/>
            <w:gridSpan w:val="2"/>
          </w:tcPr>
          <w:p w14:paraId="1D9EF711" w14:textId="77777777" w:rsidR="002C6574" w:rsidRDefault="00000000">
            <w:pPr>
              <w:pStyle w:val="TableParagraph"/>
              <w:spacing w:before="11" w:line="167" w:lineRule="exact"/>
              <w:ind w:left="206"/>
              <w:jc w:val="left"/>
              <w:rPr>
                <w:rFonts w:ascii="Arial MT"/>
                <w:sz w:val="15"/>
              </w:rPr>
            </w:pPr>
            <w:r>
              <w:rPr>
                <w:rFonts w:ascii="Arial MT"/>
                <w:spacing w:val="-2"/>
                <w:sz w:val="15"/>
              </w:rPr>
              <w:t>100,0%</w:t>
            </w:r>
          </w:p>
        </w:tc>
        <w:tc>
          <w:tcPr>
            <w:tcW w:w="852" w:type="dxa"/>
            <w:shd w:val="clear" w:color="auto" w:fill="66FFFF"/>
          </w:tcPr>
          <w:p w14:paraId="767907B0" w14:textId="77777777" w:rsidR="002C6574" w:rsidRDefault="00000000">
            <w:pPr>
              <w:pStyle w:val="TableParagraph"/>
              <w:spacing w:before="11" w:line="167" w:lineRule="exact"/>
              <w:ind w:right="63"/>
              <w:rPr>
                <w:rFonts w:ascii="Arial MT"/>
                <w:sz w:val="15"/>
              </w:rPr>
            </w:pPr>
            <w:r>
              <w:rPr>
                <w:rFonts w:ascii="Arial MT"/>
                <w:spacing w:val="-2"/>
                <w:sz w:val="15"/>
              </w:rPr>
              <w:t>(14.960)</w:t>
            </w:r>
          </w:p>
        </w:tc>
        <w:tc>
          <w:tcPr>
            <w:tcW w:w="912" w:type="dxa"/>
          </w:tcPr>
          <w:p w14:paraId="1C28D3D7" w14:textId="77777777" w:rsidR="002C6574" w:rsidRDefault="00000000">
            <w:pPr>
              <w:pStyle w:val="TableParagraph"/>
              <w:spacing w:before="11" w:line="167" w:lineRule="exact"/>
              <w:ind w:right="146"/>
              <w:rPr>
                <w:rFonts w:ascii="Arial MT"/>
                <w:sz w:val="15"/>
              </w:rPr>
            </w:pPr>
            <w:r>
              <w:rPr>
                <w:rFonts w:ascii="Arial MT"/>
                <w:spacing w:val="-10"/>
                <w:sz w:val="15"/>
              </w:rPr>
              <w:t>-</w:t>
            </w:r>
          </w:p>
        </w:tc>
        <w:tc>
          <w:tcPr>
            <w:tcW w:w="852" w:type="dxa"/>
          </w:tcPr>
          <w:p w14:paraId="65539DF8" w14:textId="77777777" w:rsidR="002C6574" w:rsidRDefault="00000000">
            <w:pPr>
              <w:pStyle w:val="TableParagraph"/>
              <w:spacing w:before="11" w:line="167" w:lineRule="exact"/>
              <w:ind w:right="114"/>
              <w:rPr>
                <w:rFonts w:ascii="Arial MT"/>
                <w:sz w:val="15"/>
              </w:rPr>
            </w:pPr>
            <w:r>
              <w:rPr>
                <w:rFonts w:ascii="Arial MT"/>
                <w:spacing w:val="-2"/>
                <w:sz w:val="15"/>
              </w:rPr>
              <w:t>100,0%</w:t>
            </w:r>
          </w:p>
        </w:tc>
      </w:tr>
      <w:tr w:rsidR="002C6574" w14:paraId="272E7750" w14:textId="77777777">
        <w:trPr>
          <w:trHeight w:val="205"/>
        </w:trPr>
        <w:tc>
          <w:tcPr>
            <w:tcW w:w="3536" w:type="dxa"/>
          </w:tcPr>
          <w:p w14:paraId="57A4843E" w14:textId="77777777" w:rsidR="002C6574" w:rsidRDefault="00000000">
            <w:pPr>
              <w:pStyle w:val="TableParagraph"/>
              <w:spacing w:before="10"/>
              <w:ind w:left="119"/>
              <w:jc w:val="left"/>
              <w:rPr>
                <w:rFonts w:ascii="Arial MT"/>
                <w:sz w:val="15"/>
              </w:rPr>
            </w:pPr>
            <w:r>
              <w:rPr>
                <w:rFonts w:ascii="Arial MT"/>
                <w:sz w:val="15"/>
              </w:rPr>
              <w:t>(+)</w:t>
            </w:r>
            <w:r>
              <w:rPr>
                <w:rFonts w:ascii="Arial MT"/>
                <w:spacing w:val="-5"/>
                <w:sz w:val="15"/>
              </w:rPr>
              <w:t xml:space="preserve"> </w:t>
            </w:r>
            <w:r>
              <w:rPr>
                <w:rFonts w:ascii="Arial MT"/>
                <w:sz w:val="15"/>
              </w:rPr>
              <w:t>Tributos</w:t>
            </w:r>
            <w:r>
              <w:rPr>
                <w:rFonts w:ascii="Arial MT"/>
                <w:spacing w:val="-5"/>
                <w:sz w:val="15"/>
              </w:rPr>
              <w:t xml:space="preserve"> </w:t>
            </w:r>
            <w:r>
              <w:rPr>
                <w:rFonts w:ascii="Arial MT"/>
                <w:sz w:val="15"/>
              </w:rPr>
              <w:t>s/</w:t>
            </w:r>
            <w:r>
              <w:rPr>
                <w:rFonts w:ascii="Arial MT"/>
                <w:spacing w:val="-4"/>
                <w:sz w:val="15"/>
              </w:rPr>
              <w:t xml:space="preserve"> </w:t>
            </w:r>
            <w:r>
              <w:rPr>
                <w:rFonts w:ascii="Arial MT"/>
                <w:sz w:val="15"/>
              </w:rPr>
              <w:t>Ativos</w:t>
            </w:r>
            <w:r>
              <w:rPr>
                <w:rFonts w:ascii="Arial MT"/>
                <w:spacing w:val="-6"/>
                <w:sz w:val="15"/>
              </w:rPr>
              <w:t xml:space="preserve"> </w:t>
            </w:r>
            <w:r>
              <w:rPr>
                <w:rFonts w:ascii="Arial MT"/>
                <w:spacing w:val="-2"/>
                <w:sz w:val="15"/>
              </w:rPr>
              <w:t>Contingentes</w:t>
            </w:r>
          </w:p>
        </w:tc>
        <w:tc>
          <w:tcPr>
            <w:tcW w:w="925" w:type="dxa"/>
            <w:shd w:val="clear" w:color="auto" w:fill="66FFFF"/>
          </w:tcPr>
          <w:p w14:paraId="5D721F54" w14:textId="77777777" w:rsidR="002C6574" w:rsidRDefault="00000000">
            <w:pPr>
              <w:pStyle w:val="TableParagraph"/>
              <w:spacing w:before="24" w:line="161" w:lineRule="exact"/>
              <w:ind w:right="116"/>
              <w:rPr>
                <w:rFonts w:ascii="Arial MT"/>
                <w:sz w:val="15"/>
              </w:rPr>
            </w:pPr>
            <w:r>
              <w:rPr>
                <w:rFonts w:ascii="Arial MT"/>
                <w:spacing w:val="-2"/>
                <w:sz w:val="15"/>
              </w:rPr>
              <w:t>1.380</w:t>
            </w:r>
          </w:p>
        </w:tc>
        <w:tc>
          <w:tcPr>
            <w:tcW w:w="837" w:type="dxa"/>
          </w:tcPr>
          <w:p w14:paraId="7E28CD6D" w14:textId="77777777" w:rsidR="002C6574" w:rsidRDefault="00000000">
            <w:pPr>
              <w:pStyle w:val="TableParagraph"/>
              <w:spacing w:before="10"/>
              <w:ind w:right="70"/>
              <w:rPr>
                <w:rFonts w:ascii="Arial MT"/>
                <w:sz w:val="15"/>
              </w:rPr>
            </w:pPr>
            <w:r>
              <w:rPr>
                <w:rFonts w:ascii="Arial MT"/>
                <w:spacing w:val="-10"/>
                <w:sz w:val="15"/>
              </w:rPr>
              <w:t>-</w:t>
            </w:r>
          </w:p>
        </w:tc>
        <w:tc>
          <w:tcPr>
            <w:tcW w:w="703" w:type="dxa"/>
          </w:tcPr>
          <w:p w14:paraId="7E5DCEB9" w14:textId="77777777" w:rsidR="002C6574" w:rsidRDefault="00000000">
            <w:pPr>
              <w:pStyle w:val="TableParagraph"/>
              <w:spacing w:before="10"/>
              <w:ind w:right="65"/>
              <w:rPr>
                <w:rFonts w:ascii="Arial MT"/>
                <w:sz w:val="15"/>
              </w:rPr>
            </w:pPr>
            <w:r>
              <w:rPr>
                <w:rFonts w:ascii="Arial MT"/>
                <w:spacing w:val="-10"/>
                <w:sz w:val="15"/>
              </w:rPr>
              <w:t>-</w:t>
            </w:r>
          </w:p>
        </w:tc>
        <w:tc>
          <w:tcPr>
            <w:tcW w:w="1044" w:type="dxa"/>
          </w:tcPr>
          <w:p w14:paraId="6FD0806C" w14:textId="77777777" w:rsidR="002C6574" w:rsidRDefault="00000000">
            <w:pPr>
              <w:pStyle w:val="TableParagraph"/>
              <w:spacing w:before="10"/>
              <w:ind w:right="115"/>
              <w:rPr>
                <w:rFonts w:ascii="Arial MT"/>
                <w:sz w:val="15"/>
              </w:rPr>
            </w:pPr>
            <w:r>
              <w:rPr>
                <w:rFonts w:ascii="Arial MT"/>
                <w:spacing w:val="-2"/>
                <w:sz w:val="15"/>
              </w:rPr>
              <w:t>100,0%</w:t>
            </w:r>
          </w:p>
        </w:tc>
        <w:tc>
          <w:tcPr>
            <w:tcW w:w="943" w:type="dxa"/>
            <w:gridSpan w:val="2"/>
          </w:tcPr>
          <w:p w14:paraId="2CDB9AC2" w14:textId="77777777" w:rsidR="002C6574" w:rsidRDefault="00000000">
            <w:pPr>
              <w:pStyle w:val="TableParagraph"/>
              <w:spacing w:before="10"/>
              <w:ind w:left="206"/>
              <w:jc w:val="left"/>
              <w:rPr>
                <w:rFonts w:ascii="Arial MT"/>
                <w:sz w:val="15"/>
              </w:rPr>
            </w:pPr>
            <w:r>
              <w:rPr>
                <w:rFonts w:ascii="Arial MT"/>
                <w:spacing w:val="-2"/>
                <w:sz w:val="15"/>
              </w:rPr>
              <w:t>100,0%</w:t>
            </w:r>
          </w:p>
        </w:tc>
        <w:tc>
          <w:tcPr>
            <w:tcW w:w="852" w:type="dxa"/>
            <w:shd w:val="clear" w:color="auto" w:fill="66FFFF"/>
          </w:tcPr>
          <w:p w14:paraId="7FCCD120" w14:textId="77777777" w:rsidR="002C6574" w:rsidRDefault="00000000">
            <w:pPr>
              <w:pStyle w:val="TableParagraph"/>
              <w:spacing w:before="24" w:line="161" w:lineRule="exact"/>
              <w:ind w:right="61"/>
              <w:rPr>
                <w:rFonts w:ascii="Arial MT"/>
                <w:sz w:val="15"/>
              </w:rPr>
            </w:pPr>
            <w:r>
              <w:rPr>
                <w:rFonts w:ascii="Arial MT"/>
                <w:spacing w:val="-2"/>
                <w:sz w:val="15"/>
              </w:rPr>
              <w:t>1.384</w:t>
            </w:r>
          </w:p>
        </w:tc>
        <w:tc>
          <w:tcPr>
            <w:tcW w:w="912" w:type="dxa"/>
          </w:tcPr>
          <w:p w14:paraId="6F7FB1DB" w14:textId="77777777" w:rsidR="002C6574" w:rsidRDefault="00000000">
            <w:pPr>
              <w:pStyle w:val="TableParagraph"/>
              <w:spacing w:before="10"/>
              <w:ind w:right="143"/>
              <w:rPr>
                <w:rFonts w:ascii="Arial MT"/>
                <w:sz w:val="15"/>
              </w:rPr>
            </w:pPr>
            <w:r>
              <w:rPr>
                <w:rFonts w:ascii="Arial MT"/>
                <w:spacing w:val="-10"/>
                <w:sz w:val="15"/>
              </w:rPr>
              <w:t>-</w:t>
            </w:r>
          </w:p>
        </w:tc>
        <w:tc>
          <w:tcPr>
            <w:tcW w:w="852" w:type="dxa"/>
          </w:tcPr>
          <w:p w14:paraId="10D71ADE" w14:textId="77777777" w:rsidR="002C6574" w:rsidRDefault="00000000">
            <w:pPr>
              <w:pStyle w:val="TableParagraph"/>
              <w:spacing w:before="10"/>
              <w:ind w:right="114"/>
              <w:rPr>
                <w:rFonts w:ascii="Arial MT"/>
                <w:sz w:val="15"/>
              </w:rPr>
            </w:pPr>
            <w:r>
              <w:rPr>
                <w:rFonts w:ascii="Arial MT"/>
                <w:spacing w:val="-2"/>
                <w:sz w:val="15"/>
              </w:rPr>
              <w:t>100,0%</w:t>
            </w:r>
          </w:p>
        </w:tc>
      </w:tr>
      <w:tr w:rsidR="002C6574" w14:paraId="53B6630B" w14:textId="77777777">
        <w:trPr>
          <w:trHeight w:val="188"/>
        </w:trPr>
        <w:tc>
          <w:tcPr>
            <w:tcW w:w="3536" w:type="dxa"/>
          </w:tcPr>
          <w:p w14:paraId="3CA40889" w14:textId="77777777" w:rsidR="002C6574" w:rsidRDefault="00000000">
            <w:pPr>
              <w:pStyle w:val="TableParagraph"/>
              <w:spacing w:before="4" w:line="164" w:lineRule="exact"/>
              <w:ind w:left="119"/>
              <w:jc w:val="left"/>
              <w:rPr>
                <w:rFonts w:ascii="Arial MT"/>
                <w:sz w:val="15"/>
              </w:rPr>
            </w:pPr>
            <w:r>
              <w:rPr>
                <w:rFonts w:ascii="Arial MT"/>
                <w:sz w:val="15"/>
              </w:rPr>
              <w:t>(+)</w:t>
            </w:r>
            <w:r>
              <w:rPr>
                <w:rFonts w:ascii="Arial MT"/>
                <w:spacing w:val="-4"/>
                <w:sz w:val="15"/>
              </w:rPr>
              <w:t xml:space="preserve"> </w:t>
            </w:r>
            <w:r>
              <w:rPr>
                <w:rFonts w:ascii="Arial MT"/>
                <w:sz w:val="15"/>
              </w:rPr>
              <w:t>Multas</w:t>
            </w:r>
            <w:r>
              <w:rPr>
                <w:rFonts w:ascii="Arial MT"/>
                <w:spacing w:val="-4"/>
                <w:sz w:val="15"/>
              </w:rPr>
              <w:t xml:space="preserve"> </w:t>
            </w:r>
            <w:r>
              <w:rPr>
                <w:rFonts w:ascii="Arial MT"/>
                <w:spacing w:val="-2"/>
                <w:sz w:val="15"/>
              </w:rPr>
              <w:t>Contratuais</w:t>
            </w:r>
          </w:p>
        </w:tc>
        <w:tc>
          <w:tcPr>
            <w:tcW w:w="925" w:type="dxa"/>
            <w:shd w:val="clear" w:color="auto" w:fill="66FFFF"/>
          </w:tcPr>
          <w:p w14:paraId="7BE84CC1" w14:textId="77777777" w:rsidR="002C6574" w:rsidRDefault="00000000">
            <w:pPr>
              <w:pStyle w:val="TableParagraph"/>
              <w:spacing w:before="4" w:line="164" w:lineRule="exact"/>
              <w:ind w:right="116"/>
              <w:rPr>
                <w:rFonts w:ascii="Arial MT"/>
                <w:sz w:val="15"/>
              </w:rPr>
            </w:pPr>
            <w:r>
              <w:rPr>
                <w:rFonts w:ascii="Arial MT"/>
                <w:spacing w:val="-2"/>
                <w:sz w:val="15"/>
              </w:rPr>
              <w:t>1.500</w:t>
            </w:r>
          </w:p>
        </w:tc>
        <w:tc>
          <w:tcPr>
            <w:tcW w:w="837" w:type="dxa"/>
          </w:tcPr>
          <w:p w14:paraId="19D571EA" w14:textId="77777777" w:rsidR="002C6574" w:rsidRDefault="00000000">
            <w:pPr>
              <w:pStyle w:val="TableParagraph"/>
              <w:spacing w:before="4" w:line="164" w:lineRule="exact"/>
              <w:ind w:right="72"/>
              <w:rPr>
                <w:rFonts w:ascii="Arial MT"/>
                <w:sz w:val="15"/>
              </w:rPr>
            </w:pPr>
            <w:r>
              <w:rPr>
                <w:rFonts w:ascii="Arial MT"/>
                <w:spacing w:val="-5"/>
                <w:sz w:val="15"/>
              </w:rPr>
              <w:t>679</w:t>
            </w:r>
          </w:p>
        </w:tc>
        <w:tc>
          <w:tcPr>
            <w:tcW w:w="703" w:type="dxa"/>
          </w:tcPr>
          <w:p w14:paraId="2C7FE3C4" w14:textId="77777777" w:rsidR="002C6574" w:rsidRDefault="00000000">
            <w:pPr>
              <w:pStyle w:val="TableParagraph"/>
              <w:spacing w:before="4" w:line="164" w:lineRule="exact"/>
              <w:ind w:right="62"/>
              <w:rPr>
                <w:rFonts w:ascii="Arial MT"/>
                <w:sz w:val="15"/>
              </w:rPr>
            </w:pPr>
            <w:r>
              <w:rPr>
                <w:rFonts w:ascii="Arial MT"/>
                <w:spacing w:val="-2"/>
                <w:sz w:val="15"/>
              </w:rPr>
              <w:t>1.952</w:t>
            </w:r>
          </w:p>
        </w:tc>
        <w:tc>
          <w:tcPr>
            <w:tcW w:w="1044" w:type="dxa"/>
          </w:tcPr>
          <w:p w14:paraId="4151B42A" w14:textId="77777777" w:rsidR="002C6574" w:rsidRDefault="00000000">
            <w:pPr>
              <w:pStyle w:val="TableParagraph"/>
              <w:spacing w:before="4" w:line="164" w:lineRule="exact"/>
              <w:ind w:right="115"/>
              <w:rPr>
                <w:rFonts w:ascii="Arial MT"/>
                <w:sz w:val="15"/>
              </w:rPr>
            </w:pPr>
            <w:r>
              <w:rPr>
                <w:rFonts w:ascii="Arial MT"/>
                <w:spacing w:val="-2"/>
                <w:sz w:val="15"/>
              </w:rPr>
              <w:t>120,9%</w:t>
            </w:r>
          </w:p>
        </w:tc>
        <w:tc>
          <w:tcPr>
            <w:tcW w:w="943" w:type="dxa"/>
            <w:gridSpan w:val="2"/>
          </w:tcPr>
          <w:p w14:paraId="7679808D" w14:textId="77777777" w:rsidR="002C6574" w:rsidRDefault="00000000">
            <w:pPr>
              <w:pStyle w:val="TableParagraph"/>
              <w:spacing w:before="4" w:line="164" w:lineRule="exact"/>
              <w:ind w:left="240"/>
              <w:jc w:val="left"/>
              <w:rPr>
                <w:rFonts w:ascii="Arial MT"/>
                <w:sz w:val="15"/>
              </w:rPr>
            </w:pPr>
            <w:r>
              <w:rPr>
                <w:rFonts w:ascii="Arial MT"/>
                <w:sz w:val="15"/>
              </w:rPr>
              <w:t>-</w:t>
            </w:r>
            <w:r>
              <w:rPr>
                <w:rFonts w:ascii="Arial MT"/>
                <w:spacing w:val="-2"/>
                <w:sz w:val="15"/>
              </w:rPr>
              <w:t>23,2%</w:t>
            </w:r>
          </w:p>
        </w:tc>
        <w:tc>
          <w:tcPr>
            <w:tcW w:w="852" w:type="dxa"/>
            <w:shd w:val="clear" w:color="auto" w:fill="66FFFF"/>
          </w:tcPr>
          <w:p w14:paraId="2E45A480" w14:textId="77777777" w:rsidR="002C6574" w:rsidRDefault="00000000">
            <w:pPr>
              <w:pStyle w:val="TableParagraph"/>
              <w:spacing w:before="4" w:line="164" w:lineRule="exact"/>
              <w:ind w:right="61"/>
              <w:rPr>
                <w:rFonts w:ascii="Arial MT"/>
                <w:sz w:val="15"/>
              </w:rPr>
            </w:pPr>
            <w:r>
              <w:rPr>
                <w:rFonts w:ascii="Arial MT"/>
                <w:spacing w:val="-2"/>
                <w:sz w:val="15"/>
              </w:rPr>
              <w:t>4.874</w:t>
            </w:r>
          </w:p>
        </w:tc>
        <w:tc>
          <w:tcPr>
            <w:tcW w:w="912" w:type="dxa"/>
          </w:tcPr>
          <w:p w14:paraId="40C47EF8" w14:textId="77777777" w:rsidR="002C6574" w:rsidRDefault="00000000">
            <w:pPr>
              <w:pStyle w:val="TableParagraph"/>
              <w:spacing w:before="4" w:line="164" w:lineRule="exact"/>
              <w:ind w:right="143"/>
              <w:rPr>
                <w:rFonts w:ascii="Arial MT"/>
                <w:sz w:val="15"/>
              </w:rPr>
            </w:pPr>
            <w:r>
              <w:rPr>
                <w:rFonts w:ascii="Arial MT"/>
                <w:spacing w:val="-2"/>
                <w:sz w:val="15"/>
              </w:rPr>
              <w:t>3.568</w:t>
            </w:r>
          </w:p>
        </w:tc>
        <w:tc>
          <w:tcPr>
            <w:tcW w:w="852" w:type="dxa"/>
          </w:tcPr>
          <w:p w14:paraId="4D47B9F9" w14:textId="77777777" w:rsidR="002C6574" w:rsidRDefault="00000000">
            <w:pPr>
              <w:pStyle w:val="TableParagraph"/>
              <w:spacing w:before="4" w:line="164" w:lineRule="exact"/>
              <w:ind w:right="114"/>
              <w:rPr>
                <w:rFonts w:ascii="Arial MT"/>
                <w:sz w:val="15"/>
              </w:rPr>
            </w:pPr>
            <w:r>
              <w:rPr>
                <w:rFonts w:ascii="Arial MT"/>
                <w:spacing w:val="-2"/>
                <w:sz w:val="15"/>
              </w:rPr>
              <w:t>36,6%</w:t>
            </w:r>
          </w:p>
        </w:tc>
      </w:tr>
      <w:tr w:rsidR="002C6574" w14:paraId="0BB5C09E" w14:textId="77777777">
        <w:trPr>
          <w:trHeight w:val="200"/>
        </w:trPr>
        <w:tc>
          <w:tcPr>
            <w:tcW w:w="3536" w:type="dxa"/>
            <w:shd w:val="clear" w:color="auto" w:fill="0000FF"/>
          </w:tcPr>
          <w:p w14:paraId="170271D1" w14:textId="77777777" w:rsidR="002C6574" w:rsidRDefault="00000000">
            <w:pPr>
              <w:pStyle w:val="TableParagraph"/>
              <w:spacing w:before="27" w:line="152" w:lineRule="exact"/>
              <w:ind w:left="119"/>
              <w:jc w:val="left"/>
              <w:rPr>
                <w:rFonts w:ascii="Arial"/>
                <w:b/>
                <w:sz w:val="15"/>
              </w:rPr>
            </w:pPr>
            <w:r>
              <w:rPr>
                <w:rFonts w:ascii="Arial"/>
                <w:b/>
                <w:color w:val="FFFFFF"/>
                <w:sz w:val="15"/>
              </w:rPr>
              <w:t>EBITDA</w:t>
            </w:r>
            <w:r>
              <w:rPr>
                <w:rFonts w:ascii="Arial"/>
                <w:b/>
                <w:color w:val="FFFFFF"/>
                <w:spacing w:val="-9"/>
                <w:sz w:val="15"/>
              </w:rPr>
              <w:t xml:space="preserve"> </w:t>
            </w:r>
            <w:r>
              <w:rPr>
                <w:rFonts w:ascii="Arial"/>
                <w:b/>
                <w:color w:val="FFFFFF"/>
                <w:spacing w:val="-2"/>
                <w:sz w:val="15"/>
              </w:rPr>
              <w:t>Ajustado</w:t>
            </w:r>
          </w:p>
        </w:tc>
        <w:tc>
          <w:tcPr>
            <w:tcW w:w="925" w:type="dxa"/>
            <w:shd w:val="clear" w:color="auto" w:fill="0000FF"/>
          </w:tcPr>
          <w:p w14:paraId="53D52A14" w14:textId="77777777" w:rsidR="002C6574" w:rsidRDefault="00000000">
            <w:pPr>
              <w:pStyle w:val="TableParagraph"/>
              <w:spacing w:before="13" w:line="166" w:lineRule="exact"/>
              <w:ind w:right="116"/>
              <w:rPr>
                <w:rFonts w:ascii="Arial"/>
                <w:b/>
                <w:sz w:val="15"/>
              </w:rPr>
            </w:pPr>
            <w:r>
              <w:rPr>
                <w:rFonts w:ascii="Arial"/>
                <w:b/>
                <w:color w:val="FFFFFF"/>
                <w:spacing w:val="-2"/>
                <w:sz w:val="15"/>
              </w:rPr>
              <w:t>237.085</w:t>
            </w:r>
          </w:p>
        </w:tc>
        <w:tc>
          <w:tcPr>
            <w:tcW w:w="837" w:type="dxa"/>
            <w:shd w:val="clear" w:color="auto" w:fill="0000FF"/>
          </w:tcPr>
          <w:p w14:paraId="33BC2239" w14:textId="77777777" w:rsidR="002C6574" w:rsidRDefault="00000000">
            <w:pPr>
              <w:pStyle w:val="TableParagraph"/>
              <w:spacing w:before="13" w:line="166" w:lineRule="exact"/>
              <w:ind w:right="70"/>
              <w:rPr>
                <w:rFonts w:ascii="Arial"/>
                <w:b/>
                <w:sz w:val="15"/>
              </w:rPr>
            </w:pPr>
            <w:r>
              <w:rPr>
                <w:rFonts w:ascii="Arial"/>
                <w:b/>
                <w:color w:val="FFFFFF"/>
                <w:spacing w:val="-2"/>
                <w:sz w:val="15"/>
              </w:rPr>
              <w:t>38.950</w:t>
            </w:r>
          </w:p>
        </w:tc>
        <w:tc>
          <w:tcPr>
            <w:tcW w:w="703" w:type="dxa"/>
            <w:shd w:val="clear" w:color="auto" w:fill="0000FF"/>
          </w:tcPr>
          <w:p w14:paraId="5379C032" w14:textId="77777777" w:rsidR="002C6574" w:rsidRDefault="00000000">
            <w:pPr>
              <w:pStyle w:val="TableParagraph"/>
              <w:spacing w:before="13" w:line="166" w:lineRule="exact"/>
              <w:ind w:right="62"/>
              <w:rPr>
                <w:rFonts w:ascii="Arial"/>
                <w:b/>
                <w:sz w:val="15"/>
              </w:rPr>
            </w:pPr>
            <w:r>
              <w:rPr>
                <w:rFonts w:ascii="Arial"/>
                <w:b/>
                <w:color w:val="FFFFFF"/>
                <w:spacing w:val="-2"/>
                <w:sz w:val="15"/>
              </w:rPr>
              <w:t>27.105</w:t>
            </w:r>
          </w:p>
        </w:tc>
        <w:tc>
          <w:tcPr>
            <w:tcW w:w="1826" w:type="dxa"/>
            <w:gridSpan w:val="2"/>
          </w:tcPr>
          <w:p w14:paraId="00CF0FB1" w14:textId="77777777" w:rsidR="002C6574" w:rsidRDefault="00000000">
            <w:pPr>
              <w:pStyle w:val="TableParagraph"/>
              <w:tabs>
                <w:tab w:val="left" w:pos="415"/>
                <w:tab w:val="left" w:pos="1250"/>
              </w:tabs>
              <w:spacing w:before="13" w:line="167" w:lineRule="exact"/>
              <w:ind w:left="163" w:right="-15"/>
              <w:jc w:val="left"/>
              <w:rPr>
                <w:rFonts w:ascii="Arial"/>
                <w:b/>
                <w:sz w:val="15"/>
              </w:rPr>
            </w:pPr>
            <w:r>
              <w:rPr>
                <w:rFonts w:ascii="Arial"/>
                <w:b/>
                <w:color w:val="FFFFFF"/>
                <w:sz w:val="15"/>
                <w:highlight w:val="blue"/>
              </w:rPr>
              <w:tab/>
            </w:r>
            <w:r>
              <w:rPr>
                <w:rFonts w:ascii="Arial"/>
                <w:b/>
                <w:color w:val="FFFFFF"/>
                <w:spacing w:val="-2"/>
                <w:sz w:val="15"/>
                <w:highlight w:val="blue"/>
              </w:rPr>
              <w:t>508,7%</w:t>
            </w:r>
            <w:r>
              <w:rPr>
                <w:rFonts w:ascii="Arial"/>
                <w:b/>
                <w:color w:val="FFFFFF"/>
                <w:sz w:val="15"/>
                <w:highlight w:val="blue"/>
              </w:rPr>
              <w:tab/>
            </w:r>
            <w:r>
              <w:rPr>
                <w:rFonts w:ascii="Arial"/>
                <w:b/>
                <w:color w:val="FFFFFF"/>
                <w:spacing w:val="-2"/>
                <w:sz w:val="15"/>
                <w:highlight w:val="blue"/>
              </w:rPr>
              <w:t>774,7%</w:t>
            </w:r>
            <w:r>
              <w:rPr>
                <w:rFonts w:ascii="Arial"/>
                <w:b/>
                <w:color w:val="FFFFFF"/>
                <w:spacing w:val="80"/>
                <w:sz w:val="15"/>
                <w:highlight w:val="blue"/>
              </w:rPr>
              <w:t xml:space="preserve"> </w:t>
            </w:r>
          </w:p>
        </w:tc>
        <w:tc>
          <w:tcPr>
            <w:tcW w:w="1925" w:type="dxa"/>
            <w:gridSpan w:val="3"/>
          </w:tcPr>
          <w:p w14:paraId="22999E64" w14:textId="77777777" w:rsidR="002C6574" w:rsidRDefault="00000000">
            <w:pPr>
              <w:pStyle w:val="TableParagraph"/>
              <w:tabs>
                <w:tab w:val="left" w:pos="406"/>
                <w:tab w:val="left" w:pos="1320"/>
              </w:tabs>
              <w:spacing w:before="13" w:line="167" w:lineRule="exact"/>
              <w:ind w:left="164"/>
              <w:jc w:val="left"/>
              <w:rPr>
                <w:rFonts w:ascii="Arial"/>
                <w:b/>
                <w:sz w:val="15"/>
              </w:rPr>
            </w:pPr>
            <w:r>
              <w:rPr>
                <w:rFonts w:ascii="Arial"/>
                <w:b/>
                <w:color w:val="FFFFFF"/>
                <w:sz w:val="15"/>
                <w:highlight w:val="blue"/>
              </w:rPr>
              <w:tab/>
            </w:r>
            <w:r>
              <w:rPr>
                <w:rFonts w:ascii="Arial"/>
                <w:b/>
                <w:color w:val="FFFFFF"/>
                <w:spacing w:val="-2"/>
                <w:sz w:val="15"/>
                <w:highlight w:val="blue"/>
              </w:rPr>
              <w:t>373.218</w:t>
            </w:r>
            <w:r>
              <w:rPr>
                <w:rFonts w:ascii="Arial"/>
                <w:b/>
                <w:color w:val="FFFFFF"/>
                <w:sz w:val="15"/>
                <w:highlight w:val="blue"/>
              </w:rPr>
              <w:tab/>
            </w:r>
            <w:r>
              <w:rPr>
                <w:rFonts w:ascii="Arial"/>
                <w:b/>
                <w:color w:val="FFFFFF"/>
                <w:spacing w:val="-2"/>
                <w:sz w:val="15"/>
                <w:highlight w:val="blue"/>
              </w:rPr>
              <w:t>95.106</w:t>
            </w:r>
            <w:r>
              <w:rPr>
                <w:rFonts w:ascii="Arial"/>
                <w:b/>
                <w:color w:val="FFFFFF"/>
                <w:spacing w:val="80"/>
                <w:sz w:val="15"/>
                <w:highlight w:val="blue"/>
              </w:rPr>
              <w:t xml:space="preserve"> </w:t>
            </w:r>
          </w:p>
        </w:tc>
        <w:tc>
          <w:tcPr>
            <w:tcW w:w="852" w:type="dxa"/>
          </w:tcPr>
          <w:p w14:paraId="7A5E38CB" w14:textId="77777777" w:rsidR="002C6574" w:rsidRDefault="00000000">
            <w:pPr>
              <w:pStyle w:val="TableParagraph"/>
              <w:spacing w:before="13" w:line="167" w:lineRule="exact"/>
              <w:ind w:right="44"/>
              <w:rPr>
                <w:rFonts w:ascii="Arial"/>
                <w:b/>
                <w:sz w:val="15"/>
              </w:rPr>
            </w:pPr>
            <w:r>
              <w:rPr>
                <w:rFonts w:ascii="Arial"/>
                <w:b/>
                <w:color w:val="FFFFFF"/>
                <w:spacing w:val="74"/>
                <w:w w:val="150"/>
                <w:sz w:val="15"/>
                <w:highlight w:val="blue"/>
              </w:rPr>
              <w:t xml:space="preserve"> </w:t>
            </w:r>
            <w:r>
              <w:rPr>
                <w:rFonts w:ascii="Arial"/>
                <w:b/>
                <w:color w:val="FFFFFF"/>
                <w:spacing w:val="-2"/>
                <w:sz w:val="15"/>
                <w:highlight w:val="blue"/>
              </w:rPr>
              <w:t>292,4%</w:t>
            </w:r>
            <w:r>
              <w:rPr>
                <w:rFonts w:ascii="Arial"/>
                <w:b/>
                <w:color w:val="FFFFFF"/>
                <w:spacing w:val="80"/>
                <w:sz w:val="15"/>
                <w:highlight w:val="blue"/>
              </w:rPr>
              <w:t xml:space="preserve"> </w:t>
            </w:r>
          </w:p>
        </w:tc>
      </w:tr>
      <w:tr w:rsidR="002C6574" w14:paraId="303D7100" w14:textId="77777777">
        <w:trPr>
          <w:trHeight w:val="195"/>
        </w:trPr>
        <w:tc>
          <w:tcPr>
            <w:tcW w:w="3536" w:type="dxa"/>
            <w:shd w:val="clear" w:color="auto" w:fill="66FFFF"/>
          </w:tcPr>
          <w:p w14:paraId="56AB28D1" w14:textId="77777777" w:rsidR="002C6574" w:rsidRDefault="00000000">
            <w:pPr>
              <w:pStyle w:val="TableParagraph"/>
              <w:spacing w:before="13" w:line="164" w:lineRule="exact"/>
              <w:ind w:left="119"/>
              <w:jc w:val="left"/>
              <w:rPr>
                <w:rFonts w:ascii="Arial"/>
                <w:b/>
                <w:sz w:val="15"/>
              </w:rPr>
            </w:pPr>
            <w:r>
              <w:rPr>
                <w:rFonts w:ascii="Arial"/>
                <w:b/>
                <w:sz w:val="15"/>
              </w:rPr>
              <w:t>Margem</w:t>
            </w:r>
            <w:r>
              <w:rPr>
                <w:rFonts w:ascii="Arial"/>
                <w:b/>
                <w:spacing w:val="-6"/>
                <w:sz w:val="15"/>
              </w:rPr>
              <w:t xml:space="preserve"> </w:t>
            </w:r>
            <w:r>
              <w:rPr>
                <w:rFonts w:ascii="Arial"/>
                <w:b/>
                <w:spacing w:val="-2"/>
                <w:sz w:val="15"/>
              </w:rPr>
              <w:t>EBITDA</w:t>
            </w:r>
          </w:p>
        </w:tc>
        <w:tc>
          <w:tcPr>
            <w:tcW w:w="925" w:type="dxa"/>
            <w:shd w:val="clear" w:color="auto" w:fill="66FFFF"/>
          </w:tcPr>
          <w:p w14:paraId="7F49B556" w14:textId="77777777" w:rsidR="002C6574" w:rsidRDefault="00000000">
            <w:pPr>
              <w:pStyle w:val="TableParagraph"/>
              <w:spacing w:before="13" w:line="164" w:lineRule="exact"/>
              <w:ind w:right="116"/>
              <w:rPr>
                <w:rFonts w:ascii="Arial"/>
                <w:b/>
                <w:sz w:val="15"/>
              </w:rPr>
            </w:pPr>
            <w:r>
              <w:rPr>
                <w:rFonts w:ascii="Arial"/>
                <w:b/>
                <w:spacing w:val="-2"/>
                <w:sz w:val="15"/>
              </w:rPr>
              <w:t>214,8%</w:t>
            </w:r>
          </w:p>
        </w:tc>
        <w:tc>
          <w:tcPr>
            <w:tcW w:w="837" w:type="dxa"/>
            <w:shd w:val="clear" w:color="auto" w:fill="66FFFF"/>
          </w:tcPr>
          <w:p w14:paraId="49BE9529" w14:textId="77777777" w:rsidR="002C6574" w:rsidRDefault="00000000">
            <w:pPr>
              <w:pStyle w:val="TableParagraph"/>
              <w:spacing w:before="13" w:line="164" w:lineRule="exact"/>
              <w:ind w:right="70"/>
              <w:rPr>
                <w:rFonts w:ascii="Arial"/>
                <w:b/>
                <w:sz w:val="15"/>
              </w:rPr>
            </w:pPr>
            <w:r>
              <w:rPr>
                <w:rFonts w:ascii="Arial"/>
                <w:b/>
                <w:spacing w:val="-2"/>
                <w:sz w:val="15"/>
              </w:rPr>
              <w:t>178,3%</w:t>
            </w:r>
          </w:p>
        </w:tc>
        <w:tc>
          <w:tcPr>
            <w:tcW w:w="703" w:type="dxa"/>
            <w:shd w:val="clear" w:color="auto" w:fill="66FFFF"/>
          </w:tcPr>
          <w:p w14:paraId="2F6D158B" w14:textId="77777777" w:rsidR="002C6574" w:rsidRDefault="00000000">
            <w:pPr>
              <w:pStyle w:val="TableParagraph"/>
              <w:spacing w:before="13" w:line="164" w:lineRule="exact"/>
              <w:ind w:right="60"/>
              <w:rPr>
                <w:rFonts w:ascii="Arial"/>
                <w:b/>
                <w:sz w:val="15"/>
              </w:rPr>
            </w:pPr>
            <w:r>
              <w:rPr>
                <w:rFonts w:ascii="Arial"/>
                <w:b/>
                <w:spacing w:val="-2"/>
                <w:sz w:val="15"/>
              </w:rPr>
              <w:t>52,9%</w:t>
            </w:r>
          </w:p>
        </w:tc>
        <w:tc>
          <w:tcPr>
            <w:tcW w:w="1826" w:type="dxa"/>
            <w:gridSpan w:val="2"/>
          </w:tcPr>
          <w:p w14:paraId="06E05290" w14:textId="77777777" w:rsidR="002C6574" w:rsidRDefault="00000000">
            <w:pPr>
              <w:pStyle w:val="TableParagraph"/>
              <w:tabs>
                <w:tab w:val="left" w:pos="499"/>
                <w:tab w:val="left" w:pos="1250"/>
              </w:tabs>
              <w:spacing w:before="12" w:line="164" w:lineRule="exact"/>
              <w:ind w:left="163" w:right="-15"/>
              <w:jc w:val="left"/>
              <w:rPr>
                <w:rFonts w:ascii="Arial"/>
                <w:b/>
                <w:sz w:val="15"/>
              </w:rPr>
            </w:pPr>
            <w:r>
              <w:rPr>
                <w:rFonts w:ascii="Arial"/>
                <w:b/>
                <w:color w:val="000000"/>
                <w:sz w:val="15"/>
                <w:shd w:val="clear" w:color="auto" w:fill="66FFFF"/>
              </w:rPr>
              <w:tab/>
            </w:r>
            <w:r>
              <w:rPr>
                <w:rFonts w:ascii="Arial"/>
                <w:b/>
                <w:color w:val="000000"/>
                <w:spacing w:val="-2"/>
                <w:sz w:val="15"/>
                <w:shd w:val="clear" w:color="auto" w:fill="66FFFF"/>
              </w:rPr>
              <w:t>20,5%</w:t>
            </w:r>
            <w:r>
              <w:rPr>
                <w:rFonts w:ascii="Arial"/>
                <w:b/>
                <w:color w:val="000000"/>
                <w:sz w:val="15"/>
                <w:shd w:val="clear" w:color="auto" w:fill="66FFFF"/>
              </w:rPr>
              <w:tab/>
            </w:r>
            <w:r>
              <w:rPr>
                <w:rFonts w:ascii="Arial"/>
                <w:b/>
                <w:color w:val="000000"/>
                <w:spacing w:val="-2"/>
                <w:sz w:val="15"/>
                <w:shd w:val="clear" w:color="auto" w:fill="66FFFF"/>
              </w:rPr>
              <w:t>306,2%</w:t>
            </w:r>
            <w:r>
              <w:rPr>
                <w:rFonts w:ascii="Arial"/>
                <w:b/>
                <w:color w:val="000000"/>
                <w:spacing w:val="80"/>
                <w:sz w:val="15"/>
                <w:shd w:val="clear" w:color="auto" w:fill="66FFFF"/>
              </w:rPr>
              <w:t xml:space="preserve"> </w:t>
            </w:r>
          </w:p>
        </w:tc>
        <w:tc>
          <w:tcPr>
            <w:tcW w:w="1925" w:type="dxa"/>
            <w:gridSpan w:val="3"/>
          </w:tcPr>
          <w:p w14:paraId="66CC025A" w14:textId="77777777" w:rsidR="002C6574" w:rsidRDefault="00000000">
            <w:pPr>
              <w:pStyle w:val="TableParagraph"/>
              <w:tabs>
                <w:tab w:val="left" w:pos="437"/>
                <w:tab w:val="left" w:pos="1352"/>
              </w:tabs>
              <w:spacing w:before="12" w:line="164" w:lineRule="exact"/>
              <w:ind w:left="164"/>
              <w:jc w:val="left"/>
              <w:rPr>
                <w:rFonts w:ascii="Arial"/>
                <w:b/>
                <w:sz w:val="15"/>
              </w:rPr>
            </w:pPr>
            <w:r>
              <w:rPr>
                <w:rFonts w:ascii="Arial"/>
                <w:b/>
                <w:color w:val="000000"/>
                <w:sz w:val="15"/>
                <w:shd w:val="clear" w:color="auto" w:fill="66FFFF"/>
              </w:rPr>
              <w:tab/>
            </w:r>
            <w:r>
              <w:rPr>
                <w:rFonts w:ascii="Arial"/>
                <w:b/>
                <w:color w:val="000000"/>
                <w:spacing w:val="-2"/>
                <w:sz w:val="15"/>
                <w:shd w:val="clear" w:color="auto" w:fill="66FFFF"/>
              </w:rPr>
              <w:t>104,0%</w:t>
            </w:r>
            <w:r>
              <w:rPr>
                <w:rFonts w:ascii="Arial"/>
                <w:b/>
                <w:color w:val="000000"/>
                <w:sz w:val="15"/>
                <w:shd w:val="clear" w:color="auto" w:fill="66FFFF"/>
              </w:rPr>
              <w:tab/>
            </w:r>
            <w:r>
              <w:rPr>
                <w:rFonts w:ascii="Arial"/>
                <w:b/>
                <w:color w:val="000000"/>
                <w:spacing w:val="-4"/>
                <w:sz w:val="15"/>
                <w:shd w:val="clear" w:color="auto" w:fill="66FFFF"/>
              </w:rPr>
              <w:t>69,6%</w:t>
            </w:r>
            <w:r>
              <w:rPr>
                <w:rFonts w:ascii="Arial"/>
                <w:b/>
                <w:color w:val="000000"/>
                <w:spacing w:val="40"/>
                <w:sz w:val="15"/>
                <w:shd w:val="clear" w:color="auto" w:fill="66FFFF"/>
              </w:rPr>
              <w:t xml:space="preserve"> </w:t>
            </w:r>
          </w:p>
        </w:tc>
        <w:tc>
          <w:tcPr>
            <w:tcW w:w="852" w:type="dxa"/>
          </w:tcPr>
          <w:p w14:paraId="3B831EB2" w14:textId="77777777" w:rsidR="002C6574" w:rsidRDefault="00000000">
            <w:pPr>
              <w:pStyle w:val="TableParagraph"/>
              <w:spacing w:before="12" w:line="164" w:lineRule="exact"/>
              <w:ind w:right="44"/>
              <w:rPr>
                <w:rFonts w:ascii="Arial"/>
                <w:b/>
                <w:sz w:val="15"/>
              </w:rPr>
            </w:pPr>
            <w:r>
              <w:rPr>
                <w:rFonts w:ascii="Arial"/>
                <w:b/>
                <w:color w:val="000000"/>
                <w:spacing w:val="69"/>
                <w:sz w:val="15"/>
                <w:shd w:val="clear" w:color="auto" w:fill="66FFFF"/>
              </w:rPr>
              <w:t xml:space="preserve">  </w:t>
            </w:r>
            <w:r>
              <w:rPr>
                <w:rFonts w:ascii="Arial"/>
                <w:b/>
                <w:color w:val="000000"/>
                <w:spacing w:val="-2"/>
                <w:sz w:val="15"/>
                <w:shd w:val="clear" w:color="auto" w:fill="66FFFF"/>
              </w:rPr>
              <w:t>49,4%</w:t>
            </w:r>
            <w:r>
              <w:rPr>
                <w:rFonts w:ascii="Arial"/>
                <w:b/>
                <w:color w:val="000000"/>
                <w:spacing w:val="80"/>
                <w:sz w:val="15"/>
                <w:shd w:val="clear" w:color="auto" w:fill="66FFFF"/>
              </w:rPr>
              <w:t xml:space="preserve"> </w:t>
            </w:r>
          </w:p>
        </w:tc>
      </w:tr>
      <w:tr w:rsidR="002C6574" w14:paraId="1A8DD2D2" w14:textId="77777777">
        <w:trPr>
          <w:trHeight w:val="200"/>
        </w:trPr>
        <w:tc>
          <w:tcPr>
            <w:tcW w:w="6001" w:type="dxa"/>
            <w:gridSpan w:val="4"/>
          </w:tcPr>
          <w:p w14:paraId="4024DAC7" w14:textId="77777777" w:rsidR="002C6574" w:rsidRDefault="00000000">
            <w:pPr>
              <w:pStyle w:val="TableParagraph"/>
              <w:tabs>
                <w:tab w:val="left" w:pos="3830"/>
                <w:tab w:val="left" w:pos="4798"/>
                <w:tab w:val="left" w:pos="5508"/>
              </w:tabs>
              <w:spacing w:before="17" w:line="163" w:lineRule="exact"/>
              <w:ind w:left="50" w:right="-15"/>
              <w:jc w:val="left"/>
              <w:rPr>
                <w:rFonts w:ascii="Arial"/>
                <w:b/>
                <w:position w:val="1"/>
                <w:sz w:val="15"/>
              </w:rPr>
            </w:pPr>
            <w:r>
              <w:rPr>
                <w:rFonts w:ascii="Arial"/>
                <w:b/>
                <w:color w:val="FFFFFF"/>
                <w:spacing w:val="20"/>
                <w:sz w:val="15"/>
                <w:highlight w:val="blue"/>
              </w:rPr>
              <w:t xml:space="preserve"> </w:t>
            </w:r>
            <w:r>
              <w:rPr>
                <w:rFonts w:ascii="Arial"/>
                <w:b/>
                <w:color w:val="FFFFFF"/>
                <w:sz w:val="15"/>
                <w:highlight w:val="blue"/>
              </w:rPr>
              <w:t>Margem</w:t>
            </w:r>
            <w:r>
              <w:rPr>
                <w:rFonts w:ascii="Arial"/>
                <w:b/>
                <w:color w:val="FFFFFF"/>
                <w:spacing w:val="-5"/>
                <w:sz w:val="15"/>
                <w:highlight w:val="blue"/>
              </w:rPr>
              <w:t xml:space="preserve"> </w:t>
            </w:r>
            <w:r>
              <w:rPr>
                <w:rFonts w:ascii="Arial"/>
                <w:b/>
                <w:color w:val="FFFFFF"/>
                <w:sz w:val="15"/>
                <w:highlight w:val="blue"/>
              </w:rPr>
              <w:t>EBITDA</w:t>
            </w:r>
            <w:r>
              <w:rPr>
                <w:rFonts w:ascii="Arial"/>
                <w:b/>
                <w:color w:val="FFFFFF"/>
                <w:spacing w:val="-6"/>
                <w:sz w:val="15"/>
                <w:highlight w:val="blue"/>
              </w:rPr>
              <w:t xml:space="preserve"> </w:t>
            </w:r>
            <w:r>
              <w:rPr>
                <w:rFonts w:ascii="Arial"/>
                <w:b/>
                <w:color w:val="FFFFFF"/>
                <w:spacing w:val="-2"/>
                <w:sz w:val="15"/>
                <w:highlight w:val="blue"/>
              </w:rPr>
              <w:t>Ajustado</w:t>
            </w:r>
            <w:r>
              <w:rPr>
                <w:rFonts w:ascii="Arial"/>
                <w:b/>
                <w:color w:val="FFFFFF"/>
                <w:sz w:val="15"/>
                <w:highlight w:val="blue"/>
              </w:rPr>
              <w:tab/>
            </w:r>
            <w:r>
              <w:rPr>
                <w:rFonts w:ascii="Arial"/>
                <w:b/>
                <w:color w:val="FFFFFF"/>
                <w:spacing w:val="-2"/>
                <w:position w:val="1"/>
                <w:sz w:val="15"/>
                <w:highlight w:val="blue"/>
              </w:rPr>
              <w:t>147,7%</w:t>
            </w:r>
            <w:r>
              <w:rPr>
                <w:rFonts w:ascii="Arial"/>
                <w:b/>
                <w:color w:val="FFFFFF"/>
                <w:position w:val="1"/>
                <w:sz w:val="15"/>
                <w:highlight w:val="blue"/>
              </w:rPr>
              <w:tab/>
            </w:r>
            <w:r>
              <w:rPr>
                <w:rFonts w:ascii="Arial"/>
                <w:b/>
                <w:color w:val="FFFFFF"/>
                <w:spacing w:val="-2"/>
                <w:position w:val="1"/>
                <w:sz w:val="15"/>
                <w:highlight w:val="blue"/>
              </w:rPr>
              <w:t>29,6%</w:t>
            </w:r>
            <w:r>
              <w:rPr>
                <w:rFonts w:ascii="Arial"/>
                <w:b/>
                <w:color w:val="FFFFFF"/>
                <w:position w:val="1"/>
                <w:sz w:val="15"/>
                <w:highlight w:val="blue"/>
              </w:rPr>
              <w:tab/>
            </w:r>
            <w:r>
              <w:rPr>
                <w:rFonts w:ascii="Arial"/>
                <w:b/>
                <w:color w:val="FFFFFF"/>
                <w:spacing w:val="-2"/>
                <w:position w:val="1"/>
                <w:sz w:val="15"/>
                <w:highlight w:val="blue"/>
              </w:rPr>
              <w:t>25,5%</w:t>
            </w:r>
            <w:r>
              <w:rPr>
                <w:rFonts w:ascii="Arial"/>
                <w:b/>
                <w:color w:val="FFFFFF"/>
                <w:spacing w:val="40"/>
                <w:position w:val="1"/>
                <w:sz w:val="15"/>
                <w:highlight w:val="blue"/>
              </w:rPr>
              <w:t xml:space="preserve"> </w:t>
            </w:r>
          </w:p>
        </w:tc>
        <w:tc>
          <w:tcPr>
            <w:tcW w:w="1826" w:type="dxa"/>
            <w:gridSpan w:val="2"/>
          </w:tcPr>
          <w:p w14:paraId="60E9CC99" w14:textId="77777777" w:rsidR="002C6574" w:rsidRDefault="00000000">
            <w:pPr>
              <w:pStyle w:val="TableParagraph"/>
              <w:tabs>
                <w:tab w:val="left" w:pos="415"/>
                <w:tab w:val="left" w:pos="1250"/>
              </w:tabs>
              <w:spacing w:before="13" w:line="167" w:lineRule="exact"/>
              <w:ind w:left="163" w:right="-15"/>
              <w:jc w:val="left"/>
              <w:rPr>
                <w:rFonts w:ascii="Arial"/>
                <w:b/>
                <w:sz w:val="15"/>
              </w:rPr>
            </w:pPr>
            <w:r>
              <w:rPr>
                <w:rFonts w:ascii="Arial"/>
                <w:b/>
                <w:color w:val="FFFFFF"/>
                <w:sz w:val="15"/>
                <w:highlight w:val="blue"/>
              </w:rPr>
              <w:tab/>
            </w:r>
            <w:r>
              <w:rPr>
                <w:rFonts w:ascii="Arial"/>
                <w:b/>
                <w:color w:val="FFFFFF"/>
                <w:spacing w:val="-2"/>
                <w:sz w:val="15"/>
                <w:highlight w:val="blue"/>
              </w:rPr>
              <w:t>398,7%</w:t>
            </w:r>
            <w:r>
              <w:rPr>
                <w:rFonts w:ascii="Arial"/>
                <w:b/>
                <w:color w:val="FFFFFF"/>
                <w:sz w:val="15"/>
                <w:highlight w:val="blue"/>
              </w:rPr>
              <w:tab/>
            </w:r>
            <w:r>
              <w:rPr>
                <w:rFonts w:ascii="Arial"/>
                <w:b/>
                <w:color w:val="FFFFFF"/>
                <w:spacing w:val="-2"/>
                <w:sz w:val="15"/>
                <w:highlight w:val="blue"/>
              </w:rPr>
              <w:t>478,2%</w:t>
            </w:r>
            <w:r>
              <w:rPr>
                <w:rFonts w:ascii="Arial"/>
                <w:b/>
                <w:color w:val="FFFFFF"/>
                <w:spacing w:val="80"/>
                <w:sz w:val="15"/>
                <w:highlight w:val="blue"/>
              </w:rPr>
              <w:t xml:space="preserve"> </w:t>
            </w:r>
          </w:p>
        </w:tc>
        <w:tc>
          <w:tcPr>
            <w:tcW w:w="1925" w:type="dxa"/>
            <w:gridSpan w:val="3"/>
          </w:tcPr>
          <w:p w14:paraId="045AEE4A" w14:textId="77777777" w:rsidR="002C6574" w:rsidRDefault="00000000">
            <w:pPr>
              <w:pStyle w:val="TableParagraph"/>
              <w:tabs>
                <w:tab w:val="left" w:pos="521"/>
                <w:tab w:val="left" w:pos="1352"/>
              </w:tabs>
              <w:spacing w:before="13" w:line="167" w:lineRule="exact"/>
              <w:ind w:left="164"/>
              <w:jc w:val="left"/>
              <w:rPr>
                <w:rFonts w:ascii="Arial"/>
                <w:b/>
                <w:sz w:val="15"/>
              </w:rPr>
            </w:pPr>
            <w:r>
              <w:rPr>
                <w:rFonts w:ascii="Arial"/>
                <w:b/>
                <w:color w:val="FFFFFF"/>
                <w:sz w:val="15"/>
                <w:highlight w:val="blue"/>
              </w:rPr>
              <w:tab/>
            </w:r>
            <w:r>
              <w:rPr>
                <w:rFonts w:ascii="Arial"/>
                <w:b/>
                <w:color w:val="FFFFFF"/>
                <w:spacing w:val="-2"/>
                <w:sz w:val="15"/>
                <w:highlight w:val="blue"/>
              </w:rPr>
              <w:t>76,0%</w:t>
            </w:r>
            <w:r>
              <w:rPr>
                <w:rFonts w:ascii="Arial"/>
                <w:b/>
                <w:color w:val="FFFFFF"/>
                <w:sz w:val="15"/>
                <w:highlight w:val="blue"/>
              </w:rPr>
              <w:tab/>
            </w:r>
            <w:r>
              <w:rPr>
                <w:rFonts w:ascii="Arial"/>
                <w:b/>
                <w:color w:val="FFFFFF"/>
                <w:spacing w:val="-4"/>
                <w:sz w:val="15"/>
                <w:highlight w:val="blue"/>
              </w:rPr>
              <w:t>23,0%</w:t>
            </w:r>
            <w:r>
              <w:rPr>
                <w:rFonts w:ascii="Arial"/>
                <w:b/>
                <w:color w:val="FFFFFF"/>
                <w:spacing w:val="40"/>
                <w:sz w:val="15"/>
                <w:highlight w:val="blue"/>
              </w:rPr>
              <w:t xml:space="preserve"> </w:t>
            </w:r>
          </w:p>
        </w:tc>
        <w:tc>
          <w:tcPr>
            <w:tcW w:w="852" w:type="dxa"/>
          </w:tcPr>
          <w:p w14:paraId="2F744528" w14:textId="77777777" w:rsidR="002C6574" w:rsidRDefault="00000000">
            <w:pPr>
              <w:pStyle w:val="TableParagraph"/>
              <w:spacing w:before="13" w:line="167" w:lineRule="exact"/>
              <w:ind w:right="44"/>
              <w:rPr>
                <w:rFonts w:ascii="Arial"/>
                <w:b/>
                <w:sz w:val="15"/>
              </w:rPr>
            </w:pPr>
            <w:r>
              <w:rPr>
                <w:rFonts w:ascii="Arial"/>
                <w:b/>
                <w:color w:val="FFFFFF"/>
                <w:spacing w:val="74"/>
                <w:w w:val="150"/>
                <w:sz w:val="15"/>
                <w:highlight w:val="blue"/>
              </w:rPr>
              <w:t xml:space="preserve"> </w:t>
            </w:r>
            <w:r>
              <w:rPr>
                <w:rFonts w:ascii="Arial"/>
                <w:b/>
                <w:color w:val="FFFFFF"/>
                <w:spacing w:val="-2"/>
                <w:sz w:val="15"/>
                <w:highlight w:val="blue"/>
              </w:rPr>
              <w:t>231,1%</w:t>
            </w:r>
            <w:r>
              <w:rPr>
                <w:rFonts w:ascii="Arial"/>
                <w:b/>
                <w:color w:val="FFFFFF"/>
                <w:spacing w:val="80"/>
                <w:sz w:val="15"/>
                <w:highlight w:val="blue"/>
              </w:rPr>
              <w:t xml:space="preserve"> </w:t>
            </w:r>
          </w:p>
        </w:tc>
      </w:tr>
    </w:tbl>
    <w:p w14:paraId="4DDD7A1C" w14:textId="77777777" w:rsidR="002C6574" w:rsidRDefault="002C6574">
      <w:pPr>
        <w:pStyle w:val="Corpodetexto"/>
        <w:spacing w:before="17"/>
        <w:rPr>
          <w:rFonts w:ascii="Arial"/>
          <w:b/>
          <w:sz w:val="24"/>
        </w:rPr>
      </w:pPr>
    </w:p>
    <w:p w14:paraId="44A26A60" w14:textId="77777777" w:rsidR="002C6574" w:rsidRDefault="00000000">
      <w:pPr>
        <w:ind w:left="427"/>
        <w:rPr>
          <w:rFonts w:ascii="Arial" w:hAnsi="Arial"/>
          <w:b/>
          <w:position w:val="8"/>
          <w:sz w:val="16"/>
        </w:rPr>
      </w:pPr>
      <w:r>
        <w:rPr>
          <w:rFonts w:ascii="Arial" w:hAnsi="Arial"/>
          <w:b/>
          <w:noProof/>
          <w:position w:val="8"/>
          <w:sz w:val="16"/>
        </w:rPr>
        <mc:AlternateContent>
          <mc:Choice Requires="wps">
            <w:drawing>
              <wp:anchor distT="0" distB="0" distL="0" distR="0" simplePos="0" relativeHeight="15776256" behindDoc="0" locked="0" layoutInCell="1" allowOverlap="1" wp14:anchorId="3BE7B41B" wp14:editId="42F535CB">
                <wp:simplePos x="0" y="0"/>
                <wp:positionH relativeFrom="page">
                  <wp:posOffset>541019</wp:posOffset>
                </wp:positionH>
                <wp:positionV relativeFrom="paragraph">
                  <wp:posOffset>162934</wp:posOffset>
                </wp:positionV>
                <wp:extent cx="3956050" cy="1524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0" cy="15240"/>
                        </a:xfrm>
                        <a:custGeom>
                          <a:avLst/>
                          <a:gdLst/>
                          <a:ahLst/>
                          <a:cxnLst/>
                          <a:rect l="l" t="t" r="r" b="b"/>
                          <a:pathLst>
                            <a:path w="3956050" h="15240">
                              <a:moveTo>
                                <a:pt x="3955669" y="0"/>
                              </a:moveTo>
                              <a:lnTo>
                                <a:pt x="0" y="0"/>
                              </a:lnTo>
                              <a:lnTo>
                                <a:pt x="0" y="15239"/>
                              </a:lnTo>
                              <a:lnTo>
                                <a:pt x="3955669" y="15239"/>
                              </a:lnTo>
                              <a:lnTo>
                                <a:pt x="39556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68B9ED" id="Graphic 395" o:spid="_x0000_s1026" style="position:absolute;margin-left:42.6pt;margin-top:12.85pt;width:311.5pt;height:1.2pt;z-index:15776256;visibility:visible;mso-wrap-style:square;mso-wrap-distance-left:0;mso-wrap-distance-top:0;mso-wrap-distance-right:0;mso-wrap-distance-bottom:0;mso-position-horizontal:absolute;mso-position-horizontal-relative:page;mso-position-vertical:absolute;mso-position-vertical-relative:text;v-text-anchor:top" coordsize="395605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" path="m3955669,l,,,15239r3955669,l3955669,xe" fillcolor="black" stroked="f">
                <v:path arrowok="t"/>
                <w10:wrap anchorx="page"/>
              </v:shape>
            </w:pict>
          </mc:Fallback>
        </mc:AlternateContent>
      </w:r>
      <w:r>
        <w:rPr>
          <w:rFonts w:ascii="Arial" w:hAnsi="Arial"/>
          <w:b/>
          <w:sz w:val="24"/>
        </w:rPr>
        <w:t>E</w:t>
      </w:r>
      <w:r>
        <w:rPr>
          <w:rFonts w:ascii="Arial" w:hAnsi="Arial"/>
          <w:b/>
          <w:sz w:val="19"/>
        </w:rPr>
        <w:t>VOLUÇÃO</w:t>
      </w:r>
      <w:r>
        <w:rPr>
          <w:rFonts w:ascii="Arial" w:hAnsi="Arial"/>
          <w:b/>
          <w:spacing w:val="22"/>
          <w:sz w:val="19"/>
        </w:rPr>
        <w:t xml:space="preserve"> </w:t>
      </w:r>
      <w:r>
        <w:rPr>
          <w:rFonts w:ascii="Arial" w:hAnsi="Arial"/>
          <w:b/>
          <w:sz w:val="19"/>
        </w:rPr>
        <w:t>DO</w:t>
      </w:r>
      <w:r>
        <w:rPr>
          <w:rFonts w:ascii="Arial" w:hAnsi="Arial"/>
          <w:b/>
          <w:spacing w:val="22"/>
          <w:sz w:val="19"/>
        </w:rPr>
        <w:t xml:space="preserve"> </w:t>
      </w:r>
      <w:r>
        <w:rPr>
          <w:rFonts w:ascii="Arial" w:hAnsi="Arial"/>
          <w:b/>
          <w:sz w:val="24"/>
        </w:rPr>
        <w:t>EBITDA</w:t>
      </w:r>
      <w:r>
        <w:rPr>
          <w:rFonts w:ascii="Arial" w:hAnsi="Arial"/>
          <w:b/>
          <w:spacing w:val="8"/>
          <w:sz w:val="24"/>
        </w:rPr>
        <w:t xml:space="preserve"> </w:t>
      </w:r>
      <w:r>
        <w:rPr>
          <w:rFonts w:ascii="Arial" w:hAnsi="Arial"/>
          <w:b/>
          <w:sz w:val="24"/>
        </w:rPr>
        <w:t>A</w:t>
      </w:r>
      <w:r>
        <w:rPr>
          <w:rFonts w:ascii="Arial" w:hAnsi="Arial"/>
          <w:b/>
          <w:sz w:val="19"/>
        </w:rPr>
        <w:t>JUSTADO</w:t>
      </w:r>
      <w:r>
        <w:rPr>
          <w:rFonts w:ascii="Arial" w:hAnsi="Arial"/>
          <w:b/>
          <w:sz w:val="24"/>
        </w:rPr>
        <w:t>:</w:t>
      </w:r>
      <w:r>
        <w:rPr>
          <w:rFonts w:ascii="Arial" w:hAnsi="Arial"/>
          <w:b/>
          <w:spacing w:val="7"/>
          <w:sz w:val="24"/>
        </w:rPr>
        <w:t xml:space="preserve"> </w:t>
      </w:r>
      <w:r>
        <w:rPr>
          <w:rFonts w:ascii="Arial" w:hAnsi="Arial"/>
          <w:b/>
          <w:sz w:val="24"/>
        </w:rPr>
        <w:t>2024</w:t>
      </w:r>
      <w:r>
        <w:rPr>
          <w:rFonts w:ascii="Arial" w:hAnsi="Arial"/>
          <w:b/>
          <w:spacing w:val="8"/>
          <w:sz w:val="24"/>
        </w:rPr>
        <w:t xml:space="preserve"> </w:t>
      </w:r>
      <w:r>
        <w:rPr>
          <w:rFonts w:ascii="Arial" w:hAnsi="Arial"/>
          <w:b/>
          <w:sz w:val="24"/>
        </w:rPr>
        <w:t>–</w:t>
      </w:r>
      <w:r>
        <w:rPr>
          <w:rFonts w:ascii="Arial" w:hAnsi="Arial"/>
          <w:b/>
          <w:spacing w:val="8"/>
          <w:sz w:val="24"/>
        </w:rPr>
        <w:t xml:space="preserve"> </w:t>
      </w:r>
      <w:r>
        <w:rPr>
          <w:rFonts w:ascii="Arial" w:hAnsi="Arial"/>
          <w:b/>
          <w:sz w:val="24"/>
        </w:rPr>
        <w:t>2025</w:t>
      </w:r>
      <w:r>
        <w:rPr>
          <w:rFonts w:ascii="Arial" w:hAnsi="Arial"/>
          <w:b/>
          <w:spacing w:val="9"/>
          <w:sz w:val="24"/>
        </w:rPr>
        <w:t xml:space="preserve"> </w:t>
      </w:r>
      <w:r>
        <w:rPr>
          <w:rFonts w:ascii="Arial" w:hAnsi="Arial"/>
          <w:b/>
          <w:sz w:val="24"/>
        </w:rPr>
        <w:t>–</w:t>
      </w:r>
      <w:r>
        <w:rPr>
          <w:rFonts w:ascii="Arial" w:hAnsi="Arial"/>
          <w:b/>
          <w:spacing w:val="9"/>
          <w:sz w:val="24"/>
        </w:rPr>
        <w:t xml:space="preserve"> </w:t>
      </w:r>
      <w:r>
        <w:rPr>
          <w:rFonts w:ascii="Arial" w:hAnsi="Arial"/>
          <w:b/>
          <w:sz w:val="24"/>
        </w:rPr>
        <w:t>R$</w:t>
      </w:r>
      <w:r>
        <w:rPr>
          <w:rFonts w:ascii="Arial" w:hAnsi="Arial"/>
          <w:b/>
          <w:spacing w:val="8"/>
          <w:sz w:val="24"/>
        </w:rPr>
        <w:t xml:space="preserve"> </w:t>
      </w:r>
      <w:r>
        <w:rPr>
          <w:rFonts w:ascii="Arial" w:hAnsi="Arial"/>
          <w:b/>
          <w:spacing w:val="-4"/>
          <w:sz w:val="19"/>
        </w:rPr>
        <w:t>MIL</w:t>
      </w:r>
      <w:hyperlink w:anchor="_bookmark17" w:history="1">
        <w:r>
          <w:rPr>
            <w:rFonts w:ascii="Arial" w:hAnsi="Arial"/>
            <w:b/>
            <w:spacing w:val="-4"/>
            <w:position w:val="8"/>
            <w:sz w:val="16"/>
          </w:rPr>
          <w:t>6</w:t>
        </w:r>
      </w:hyperlink>
    </w:p>
    <w:p w14:paraId="25D7B56D" w14:textId="77777777" w:rsidR="002C6574" w:rsidRDefault="002C6574">
      <w:pPr>
        <w:pStyle w:val="Corpodetexto"/>
        <w:rPr>
          <w:rFonts w:ascii="Arial"/>
          <w:b/>
          <w:sz w:val="20"/>
        </w:rPr>
      </w:pPr>
    </w:p>
    <w:p w14:paraId="5F57D430" w14:textId="77777777" w:rsidR="002C6574" w:rsidRDefault="002C6574">
      <w:pPr>
        <w:pStyle w:val="Corpodetexto"/>
        <w:spacing w:before="120"/>
        <w:rPr>
          <w:rFonts w:ascii="Arial"/>
          <w:b/>
          <w:sz w:val="20"/>
        </w:rPr>
      </w:pPr>
    </w:p>
    <w:p w14:paraId="47741B1D" w14:textId="77777777" w:rsidR="002C6574" w:rsidRDefault="002C6574">
      <w:pPr>
        <w:pStyle w:val="Corpodetexto"/>
        <w:rPr>
          <w:rFonts w:ascii="Arial"/>
          <w:b/>
          <w:sz w:val="20"/>
        </w:rPr>
        <w:sectPr w:rsidR="002C6574">
          <w:type w:val="continuous"/>
          <w:pgSz w:w="11910" w:h="16840"/>
          <w:pgMar w:top="0" w:right="425" w:bottom="0" w:left="425" w:header="1197" w:footer="994" w:gutter="0"/>
          <w:cols w:space="720"/>
        </w:sectPr>
      </w:pPr>
    </w:p>
    <w:p w14:paraId="4C411408" w14:textId="77777777" w:rsidR="002C6574" w:rsidRDefault="00000000">
      <w:pPr>
        <w:tabs>
          <w:tab w:val="left" w:pos="4388"/>
          <w:tab w:val="left" w:pos="5434"/>
        </w:tabs>
        <w:spacing w:before="93"/>
        <w:ind w:left="3062"/>
        <w:rPr>
          <w:rFonts w:ascii="Arial"/>
          <w:b/>
          <w:position w:val="-2"/>
          <w:sz w:val="18"/>
        </w:rPr>
      </w:pPr>
      <w:r>
        <w:rPr>
          <w:rFonts w:ascii="Arial"/>
          <w:b/>
          <w:noProof/>
          <w:position w:val="-2"/>
          <w:sz w:val="18"/>
        </w:rPr>
        <mc:AlternateContent>
          <mc:Choice Requires="wps">
            <w:drawing>
              <wp:anchor distT="0" distB="0" distL="0" distR="0" simplePos="0" relativeHeight="472603648" behindDoc="1" locked="0" layoutInCell="1" allowOverlap="1" wp14:anchorId="541D793F" wp14:editId="09C15130">
                <wp:simplePos x="0" y="0"/>
                <wp:positionH relativeFrom="page">
                  <wp:posOffset>2281047</wp:posOffset>
                </wp:positionH>
                <wp:positionV relativeFrom="paragraph">
                  <wp:posOffset>258033</wp:posOffset>
                </wp:positionV>
                <wp:extent cx="363855" cy="1038860"/>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 cy="1038860"/>
                        </a:xfrm>
                        <a:custGeom>
                          <a:avLst/>
                          <a:gdLst/>
                          <a:ahLst/>
                          <a:cxnLst/>
                          <a:rect l="l" t="t" r="r" b="b"/>
                          <a:pathLst>
                            <a:path w="363855" h="1038860">
                              <a:moveTo>
                                <a:pt x="363435" y="0"/>
                              </a:moveTo>
                              <a:lnTo>
                                <a:pt x="0" y="0"/>
                              </a:lnTo>
                              <a:lnTo>
                                <a:pt x="0" y="1038313"/>
                              </a:lnTo>
                              <a:lnTo>
                                <a:pt x="363435" y="1038313"/>
                              </a:lnTo>
                              <a:lnTo>
                                <a:pt x="363435" y="0"/>
                              </a:lnTo>
                              <a:close/>
                            </a:path>
                          </a:pathLst>
                        </a:custGeom>
                        <a:solidFill>
                          <a:srgbClr val="0000CC"/>
                        </a:solidFill>
                      </wps:spPr>
                      <wps:bodyPr wrap="square" lIns="0" tIns="0" rIns="0" bIns="0" rtlCol="0">
                        <a:prstTxWarp prst="textNoShape">
                          <a:avLst/>
                        </a:prstTxWarp>
                        <a:noAutofit/>
                      </wps:bodyPr>
                    </wps:wsp>
                  </a:graphicData>
                </a:graphic>
              </wp:anchor>
            </w:drawing>
          </mc:Choice>
          <mc:Fallback>
            <w:pict>
              <v:shape w14:anchorId="0F2C1C96" id="Graphic 396" o:spid="_x0000_s1026" style="position:absolute;margin-left:179.6pt;margin-top:20.3pt;width:28.65pt;height:81.8pt;z-index:-30712832;visibility:visible;mso-wrap-style:square;mso-wrap-distance-left:0;mso-wrap-distance-top:0;mso-wrap-distance-right:0;mso-wrap-distance-bottom:0;mso-position-horizontal:absolute;mso-position-horizontal-relative:page;mso-position-vertical:absolute;mso-position-vertical-relative:text;v-text-anchor:top" coordsize="363855,103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" path="m363435,l,,,1038313r363435,l363435,xe" fillcolor="#00c" stroked="f">
                <v:path arrowok="t"/>
                <w10:wrap anchorx="page"/>
              </v:shape>
            </w:pict>
          </mc:Fallback>
        </mc:AlternateContent>
      </w:r>
      <w:r>
        <w:rPr>
          <w:rFonts w:ascii="Arial"/>
          <w:b/>
          <w:noProof/>
          <w:position w:val="-2"/>
          <w:sz w:val="18"/>
        </w:rPr>
        <mc:AlternateContent>
          <mc:Choice Requires="wps">
            <w:drawing>
              <wp:anchor distT="0" distB="0" distL="0" distR="0" simplePos="0" relativeHeight="15777280" behindDoc="0" locked="0" layoutInCell="1" allowOverlap="1" wp14:anchorId="5854561C" wp14:editId="36784870">
                <wp:simplePos x="0" y="0"/>
                <wp:positionH relativeFrom="page">
                  <wp:posOffset>2989833</wp:posOffset>
                </wp:positionH>
                <wp:positionV relativeFrom="paragraph">
                  <wp:posOffset>223187</wp:posOffset>
                </wp:positionV>
                <wp:extent cx="363855" cy="34925"/>
                <wp:effectExtent l="0" t="0" r="0" b="0"/>
                <wp:wrapNone/>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 cy="34925"/>
                        </a:xfrm>
                        <a:custGeom>
                          <a:avLst/>
                          <a:gdLst/>
                          <a:ahLst/>
                          <a:cxnLst/>
                          <a:rect l="l" t="t" r="r" b="b"/>
                          <a:pathLst>
                            <a:path w="363855" h="34925">
                              <a:moveTo>
                                <a:pt x="363435" y="0"/>
                              </a:moveTo>
                              <a:lnTo>
                                <a:pt x="0" y="0"/>
                              </a:lnTo>
                              <a:lnTo>
                                <a:pt x="0" y="34808"/>
                              </a:lnTo>
                              <a:lnTo>
                                <a:pt x="363435" y="34808"/>
                              </a:lnTo>
                              <a:lnTo>
                                <a:pt x="363435"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670FCC9A" id="Graphic 397" o:spid="_x0000_s1026" style="position:absolute;margin-left:235.4pt;margin-top:17.55pt;width:28.65pt;height:2.75pt;z-index:15777280;visibility:visible;mso-wrap-style:square;mso-wrap-distance-left:0;mso-wrap-distance-top:0;mso-wrap-distance-right:0;mso-wrap-distance-bottom:0;mso-position-horizontal:absolute;mso-position-horizontal-relative:page;mso-position-vertical:absolute;mso-position-vertical-relative:text;v-text-anchor:top" coordsize="363855,3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" path="m363435,l,,,34808r363435,l363435,xe" fillcolor="red" stroked="f">
                <v:path arrowok="t"/>
                <w10:wrap anchorx="page"/>
              </v:shape>
            </w:pict>
          </mc:Fallback>
        </mc:AlternateContent>
      </w:r>
      <w:r>
        <w:rPr>
          <w:rFonts w:ascii="Arial"/>
          <w:b/>
          <w:noProof/>
          <w:position w:val="-2"/>
          <w:sz w:val="18"/>
        </w:rPr>
        <mc:AlternateContent>
          <mc:Choice Requires="wps">
            <w:drawing>
              <wp:anchor distT="0" distB="0" distL="0" distR="0" simplePos="0" relativeHeight="472604672" behindDoc="1" locked="0" layoutInCell="1" allowOverlap="1" wp14:anchorId="3F7FC97A" wp14:editId="24613087">
                <wp:simplePos x="0" y="0"/>
                <wp:positionH relativeFrom="page">
                  <wp:posOffset>5115940</wp:posOffset>
                </wp:positionH>
                <wp:positionV relativeFrom="paragraph">
                  <wp:posOffset>367155</wp:posOffset>
                </wp:positionV>
                <wp:extent cx="363855" cy="86995"/>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 cy="86995"/>
                        </a:xfrm>
                        <a:custGeom>
                          <a:avLst/>
                          <a:gdLst/>
                          <a:ahLst/>
                          <a:cxnLst/>
                          <a:rect l="l" t="t" r="r" b="b"/>
                          <a:pathLst>
                            <a:path w="363855" h="86995">
                              <a:moveTo>
                                <a:pt x="363435" y="0"/>
                              </a:moveTo>
                              <a:lnTo>
                                <a:pt x="0" y="0"/>
                              </a:lnTo>
                              <a:lnTo>
                                <a:pt x="0" y="86673"/>
                              </a:lnTo>
                              <a:lnTo>
                                <a:pt x="363435" y="86673"/>
                              </a:lnTo>
                              <a:lnTo>
                                <a:pt x="363435" y="0"/>
                              </a:lnTo>
                              <a:close/>
                            </a:path>
                          </a:pathLst>
                        </a:custGeom>
                        <a:solidFill>
                          <a:srgbClr val="0000CC"/>
                        </a:solidFill>
                      </wps:spPr>
                      <wps:bodyPr wrap="square" lIns="0" tIns="0" rIns="0" bIns="0" rtlCol="0">
                        <a:prstTxWarp prst="textNoShape">
                          <a:avLst/>
                        </a:prstTxWarp>
                        <a:noAutofit/>
                      </wps:bodyPr>
                    </wps:wsp>
                  </a:graphicData>
                </a:graphic>
              </wp:anchor>
            </w:drawing>
          </mc:Choice>
          <mc:Fallback>
            <w:pict>
              <v:shape w14:anchorId="746CAACC" id="Graphic 398" o:spid="_x0000_s1026" style="position:absolute;margin-left:402.85pt;margin-top:28.9pt;width:28.65pt;height:6.85pt;z-index:-30711808;visibility:visible;mso-wrap-style:square;mso-wrap-distance-left:0;mso-wrap-distance-top:0;mso-wrap-distance-right:0;mso-wrap-distance-bottom:0;mso-position-horizontal:absolute;mso-position-horizontal-relative:page;mso-position-vertical:absolute;mso-position-vertical-relative:text;v-text-anchor:top" coordsize="363855,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" path="m363435,l,,,86673r363435,l363435,xe" fillcolor="#00c" stroked="f">
                <v:path arrowok="t"/>
                <w10:wrap anchorx="page"/>
              </v:shape>
            </w:pict>
          </mc:Fallback>
        </mc:AlternateContent>
      </w:r>
      <w:r>
        <w:rPr>
          <w:rFonts w:ascii="Arial"/>
          <w:b/>
          <w:noProof/>
          <w:position w:val="-2"/>
          <w:sz w:val="18"/>
        </w:rPr>
        <mc:AlternateContent>
          <mc:Choice Requires="wps">
            <w:drawing>
              <wp:anchor distT="0" distB="0" distL="0" distR="0" simplePos="0" relativeHeight="472605184" behindDoc="1" locked="0" layoutInCell="1" allowOverlap="1" wp14:anchorId="3F8F7167" wp14:editId="7CFE4565">
                <wp:simplePos x="0" y="0"/>
                <wp:positionH relativeFrom="page">
                  <wp:posOffset>5824601</wp:posOffset>
                </wp:positionH>
                <wp:positionV relativeFrom="paragraph">
                  <wp:posOffset>375950</wp:posOffset>
                </wp:positionV>
                <wp:extent cx="363855" cy="53340"/>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 cy="53340"/>
                        </a:xfrm>
                        <a:custGeom>
                          <a:avLst/>
                          <a:gdLst/>
                          <a:ahLst/>
                          <a:cxnLst/>
                          <a:rect l="l" t="t" r="r" b="b"/>
                          <a:pathLst>
                            <a:path w="363855" h="53340">
                              <a:moveTo>
                                <a:pt x="363435" y="0"/>
                              </a:moveTo>
                              <a:lnTo>
                                <a:pt x="0" y="0"/>
                              </a:lnTo>
                              <a:lnTo>
                                <a:pt x="0" y="52859"/>
                              </a:lnTo>
                              <a:lnTo>
                                <a:pt x="363435" y="52859"/>
                              </a:lnTo>
                              <a:lnTo>
                                <a:pt x="363435"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4E301398" id="Graphic 399" o:spid="_x0000_s1026" style="position:absolute;margin-left:458.65pt;margin-top:29.6pt;width:28.65pt;height:4.2pt;z-index:-30711296;visibility:visible;mso-wrap-style:square;mso-wrap-distance-left:0;mso-wrap-distance-top:0;mso-wrap-distance-right:0;mso-wrap-distance-bottom:0;mso-position-horizontal:absolute;mso-position-horizontal-relative:page;mso-position-vertical:absolute;mso-position-vertical-relative:text;v-text-anchor:top" coordsize="36385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" path="m363435,l,,,52859r363435,l363435,xe" fillcolor="red" stroked="f">
                <v:path arrowok="t"/>
                <w10:wrap anchorx="page"/>
              </v:shape>
            </w:pict>
          </mc:Fallback>
        </mc:AlternateContent>
      </w:r>
      <w:r>
        <w:rPr>
          <w:rFonts w:ascii="Arial"/>
          <w:b/>
          <w:color w:val="404040"/>
          <w:spacing w:val="-2"/>
          <w:sz w:val="18"/>
        </w:rPr>
        <w:t>248.540</w:t>
      </w:r>
      <w:r>
        <w:rPr>
          <w:rFonts w:ascii="Arial"/>
          <w:b/>
          <w:color w:val="404040"/>
          <w:sz w:val="18"/>
        </w:rPr>
        <w:tab/>
      </w:r>
      <w:r>
        <w:rPr>
          <w:rFonts w:ascii="Arial"/>
          <w:b/>
          <w:color w:val="404040"/>
          <w:spacing w:val="-4"/>
          <w:position w:val="5"/>
          <w:sz w:val="18"/>
        </w:rPr>
        <w:t>8.332</w:t>
      </w:r>
      <w:r>
        <w:rPr>
          <w:rFonts w:ascii="Arial"/>
          <w:b/>
          <w:color w:val="404040"/>
          <w:position w:val="5"/>
          <w:sz w:val="18"/>
        </w:rPr>
        <w:tab/>
      </w:r>
      <w:r>
        <w:rPr>
          <w:rFonts w:ascii="Arial"/>
          <w:b/>
          <w:color w:val="404040"/>
          <w:spacing w:val="-2"/>
          <w:position w:val="-2"/>
          <w:sz w:val="18"/>
        </w:rPr>
        <w:t>35.302</w:t>
      </w:r>
    </w:p>
    <w:p w14:paraId="77AA5157" w14:textId="77777777" w:rsidR="002C6574" w:rsidRDefault="002C6574">
      <w:pPr>
        <w:pStyle w:val="Corpodetexto"/>
        <w:spacing w:before="3"/>
        <w:rPr>
          <w:rFonts w:ascii="Arial"/>
          <w:b/>
          <w:sz w:val="2"/>
        </w:rPr>
      </w:pPr>
    </w:p>
    <w:p w14:paraId="5BFF8006" w14:textId="77777777" w:rsidR="002C6574" w:rsidRDefault="00000000">
      <w:pPr>
        <w:pStyle w:val="Corpodetexto"/>
        <w:spacing w:line="232" w:lineRule="exact"/>
        <w:ind w:left="5399" w:right="-58"/>
        <w:rPr>
          <w:rFonts w:ascii="Arial"/>
          <w:position w:val="-4"/>
          <w:sz w:val="20"/>
        </w:rPr>
      </w:pPr>
      <w:r>
        <w:rPr>
          <w:rFonts w:ascii="Arial"/>
          <w:noProof/>
          <w:position w:val="-4"/>
          <w:sz w:val="20"/>
        </w:rPr>
        <mc:AlternateContent>
          <mc:Choice Requires="wpg">
            <w:drawing>
              <wp:inline distT="0" distB="0" distL="0" distR="0" wp14:anchorId="41B930BF" wp14:editId="788FEF5E">
                <wp:extent cx="363855" cy="147955"/>
                <wp:effectExtent l="0" t="0" r="0" b="0"/>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855" cy="147955"/>
                          <a:chOff x="0" y="0"/>
                          <a:chExt cx="363855" cy="147955"/>
                        </a:xfrm>
                      </wpg:grpSpPr>
                      <wps:wsp>
                        <wps:cNvPr id="401" name="Graphic 401"/>
                        <wps:cNvSpPr/>
                        <wps:spPr>
                          <a:xfrm>
                            <a:off x="0" y="0"/>
                            <a:ext cx="363855" cy="147955"/>
                          </a:xfrm>
                          <a:custGeom>
                            <a:avLst/>
                            <a:gdLst/>
                            <a:ahLst/>
                            <a:cxnLst/>
                            <a:rect l="l" t="t" r="r" b="b"/>
                            <a:pathLst>
                              <a:path w="363855" h="147955">
                                <a:moveTo>
                                  <a:pt x="363435" y="0"/>
                                </a:moveTo>
                                <a:lnTo>
                                  <a:pt x="0" y="0"/>
                                </a:lnTo>
                                <a:lnTo>
                                  <a:pt x="0" y="147485"/>
                                </a:lnTo>
                                <a:lnTo>
                                  <a:pt x="363435" y="147485"/>
                                </a:lnTo>
                                <a:lnTo>
                                  <a:pt x="363435"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76E202EF" id="Group 400" o:spid="_x0000_s1026" style="width:28.65pt;height:11.65pt;mso-position-horizontal-relative:char;mso-position-vertical-relative:line" coordsize="363855,14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">
                <v:shape id="Graphic 401" o:spid="_x0000_s1027" style="position:absolute;width:363855;height:147955;visibility:visible;mso-wrap-style:square;v-text-anchor:top" coordsize="36385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" path="m363435,l,,,147485r363435,l363435,xe" fillcolor="red" stroked="f">
                  <v:path arrowok="t"/>
                </v:shape>
                <w10:anchorlock/>
              </v:group>
            </w:pict>
          </mc:Fallback>
        </mc:AlternateContent>
      </w:r>
    </w:p>
    <w:p w14:paraId="73DF451C" w14:textId="77777777" w:rsidR="002C6574" w:rsidRDefault="00000000">
      <w:pPr>
        <w:spacing w:before="132"/>
        <w:rPr>
          <w:rFonts w:ascii="Arial"/>
          <w:b/>
          <w:sz w:val="18"/>
        </w:rPr>
      </w:pPr>
      <w:r>
        <w:br w:type="column"/>
      </w:r>
    </w:p>
    <w:p w14:paraId="576B48B1" w14:textId="77777777" w:rsidR="002C6574" w:rsidRDefault="00000000">
      <w:pPr>
        <w:tabs>
          <w:tab w:val="left" w:pos="1639"/>
          <w:tab w:val="left" w:pos="2735"/>
          <w:tab w:val="left" w:pos="3820"/>
        </w:tabs>
        <w:ind w:left="483"/>
        <w:rPr>
          <w:rFonts w:ascii="Arial"/>
          <w:b/>
          <w:position w:val="-9"/>
          <w:sz w:val="18"/>
        </w:rPr>
      </w:pPr>
      <w:r>
        <w:rPr>
          <w:rFonts w:ascii="Arial"/>
          <w:b/>
          <w:color w:val="404040"/>
          <w:spacing w:val="-2"/>
          <w:position w:val="-1"/>
          <w:sz w:val="18"/>
        </w:rPr>
        <w:t>11.582</w:t>
      </w:r>
      <w:r>
        <w:rPr>
          <w:rFonts w:ascii="Arial"/>
          <w:b/>
          <w:color w:val="404040"/>
          <w:position w:val="-1"/>
          <w:sz w:val="18"/>
        </w:rPr>
        <w:tab/>
      </w:r>
      <w:r>
        <w:rPr>
          <w:rFonts w:ascii="Arial"/>
          <w:b/>
          <w:color w:val="404040"/>
          <w:spacing w:val="-2"/>
          <w:position w:val="1"/>
          <w:sz w:val="18"/>
        </w:rPr>
        <w:t>20.747</w:t>
      </w:r>
      <w:r>
        <w:rPr>
          <w:rFonts w:ascii="Arial"/>
          <w:b/>
          <w:color w:val="404040"/>
          <w:position w:val="1"/>
          <w:sz w:val="18"/>
        </w:rPr>
        <w:tab/>
      </w:r>
      <w:r>
        <w:rPr>
          <w:rFonts w:ascii="Arial"/>
          <w:b/>
          <w:color w:val="404040"/>
          <w:spacing w:val="-2"/>
          <w:sz w:val="18"/>
        </w:rPr>
        <w:t>12.653</w:t>
      </w:r>
      <w:r>
        <w:rPr>
          <w:rFonts w:ascii="Arial"/>
          <w:b/>
          <w:color w:val="404040"/>
          <w:sz w:val="18"/>
        </w:rPr>
        <w:tab/>
      </w:r>
      <w:r>
        <w:rPr>
          <w:rFonts w:ascii="Arial"/>
          <w:b/>
          <w:color w:val="404040"/>
          <w:spacing w:val="-2"/>
          <w:position w:val="-9"/>
          <w:sz w:val="18"/>
        </w:rPr>
        <w:t>373.218</w:t>
      </w:r>
    </w:p>
    <w:p w14:paraId="49D0A284" w14:textId="77777777" w:rsidR="002C6574" w:rsidRDefault="002C6574">
      <w:pPr>
        <w:rPr>
          <w:rFonts w:ascii="Arial"/>
          <w:b/>
          <w:position w:val="-9"/>
          <w:sz w:val="18"/>
        </w:rPr>
        <w:sectPr w:rsidR="002C6574">
          <w:type w:val="continuous"/>
          <w:pgSz w:w="11910" w:h="16840"/>
          <w:pgMar w:top="0" w:right="425" w:bottom="0" w:left="425" w:header="1197" w:footer="994" w:gutter="0"/>
          <w:cols w:num="2" w:space="720" w:equalWidth="0">
            <w:col w:w="5988" w:space="40"/>
            <w:col w:w="5032"/>
          </w:cols>
        </w:sectPr>
      </w:pPr>
    </w:p>
    <w:p w14:paraId="63F7713A" w14:textId="77777777" w:rsidR="002C6574" w:rsidRDefault="00000000">
      <w:pPr>
        <w:pStyle w:val="Corpodetexto"/>
        <w:spacing w:line="76" w:lineRule="exact"/>
        <w:ind w:left="6515"/>
        <w:rPr>
          <w:rFonts w:ascii="Arial"/>
          <w:position w:val="-1"/>
          <w:sz w:val="7"/>
        </w:rPr>
      </w:pPr>
      <w:r>
        <w:rPr>
          <w:rFonts w:ascii="Arial"/>
          <w:noProof/>
          <w:position w:val="-1"/>
          <w:sz w:val="7"/>
        </w:rPr>
        <mc:AlternateContent>
          <mc:Choice Requires="wpg">
            <w:drawing>
              <wp:inline distT="0" distB="0" distL="0" distR="0" wp14:anchorId="44DEDD23" wp14:editId="34D66873">
                <wp:extent cx="363855" cy="48895"/>
                <wp:effectExtent l="0" t="0" r="0" b="0"/>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855" cy="48895"/>
                          <a:chOff x="0" y="0"/>
                          <a:chExt cx="363855" cy="48895"/>
                        </a:xfrm>
                      </wpg:grpSpPr>
                      <wps:wsp>
                        <wps:cNvPr id="403" name="Graphic 403"/>
                        <wps:cNvSpPr/>
                        <wps:spPr>
                          <a:xfrm>
                            <a:off x="0" y="0"/>
                            <a:ext cx="363855" cy="48895"/>
                          </a:xfrm>
                          <a:custGeom>
                            <a:avLst/>
                            <a:gdLst/>
                            <a:ahLst/>
                            <a:cxnLst/>
                            <a:rect l="l" t="t" r="r" b="b"/>
                            <a:pathLst>
                              <a:path w="363855" h="48895">
                                <a:moveTo>
                                  <a:pt x="363435" y="0"/>
                                </a:moveTo>
                                <a:lnTo>
                                  <a:pt x="0" y="0"/>
                                </a:lnTo>
                                <a:lnTo>
                                  <a:pt x="0" y="48385"/>
                                </a:lnTo>
                                <a:lnTo>
                                  <a:pt x="363435" y="48385"/>
                                </a:lnTo>
                                <a:lnTo>
                                  <a:pt x="363435"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53274297" id="Group 402" o:spid="_x0000_s1026" style="width:28.65pt;height:3.85pt;mso-position-horizontal-relative:char;mso-position-vertical-relative:line" coordsize="36385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">
                <v:shape id="Graphic 403" o:spid="_x0000_s1027" style="position:absolute;width:363855;height:48895;visibility:visible;mso-wrap-style:square;v-text-anchor:top" coordsize="36385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" path="m363435,l,,,48385r363435,l363435,xe" fillcolor="red" stroked="f">
                  <v:path arrowok="t"/>
                </v:shape>
                <w10:anchorlock/>
              </v:group>
            </w:pict>
          </mc:Fallback>
        </mc:AlternateContent>
      </w:r>
    </w:p>
    <w:p w14:paraId="26BF9EA8" w14:textId="77777777" w:rsidR="002C6574" w:rsidRDefault="00000000">
      <w:pPr>
        <w:pStyle w:val="Corpodetexto"/>
        <w:ind w:left="655"/>
        <w:rPr>
          <w:rFonts w:ascii="Arial"/>
          <w:sz w:val="20"/>
        </w:rPr>
      </w:pPr>
      <w:r>
        <w:rPr>
          <w:rFonts w:ascii="Arial"/>
          <w:noProof/>
          <w:sz w:val="20"/>
        </w:rPr>
        <mc:AlternateContent>
          <mc:Choice Requires="wpg">
            <w:drawing>
              <wp:inline distT="0" distB="0" distL="0" distR="0" wp14:anchorId="2071CA5D" wp14:editId="486D094F">
                <wp:extent cx="6378575" cy="1564005"/>
                <wp:effectExtent l="9525" t="0" r="3175" b="7619"/>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8575" cy="1564005"/>
                          <a:chOff x="0" y="0"/>
                          <a:chExt cx="6378575" cy="1564005"/>
                        </a:xfrm>
                      </wpg:grpSpPr>
                      <wps:wsp>
                        <wps:cNvPr id="405" name="Graphic 405"/>
                        <wps:cNvSpPr/>
                        <wps:spPr>
                          <a:xfrm>
                            <a:off x="172631" y="0"/>
                            <a:ext cx="6032500" cy="1558925"/>
                          </a:xfrm>
                          <a:custGeom>
                            <a:avLst/>
                            <a:gdLst/>
                            <a:ahLst/>
                            <a:cxnLst/>
                            <a:rect l="l" t="t" r="r" b="b"/>
                            <a:pathLst>
                              <a:path w="6032500" h="1558925">
                                <a:moveTo>
                                  <a:pt x="363435" y="1161351"/>
                                </a:moveTo>
                                <a:lnTo>
                                  <a:pt x="0" y="1161351"/>
                                </a:lnTo>
                                <a:lnTo>
                                  <a:pt x="0" y="1558671"/>
                                </a:lnTo>
                                <a:lnTo>
                                  <a:pt x="363435" y="1558671"/>
                                </a:lnTo>
                                <a:lnTo>
                                  <a:pt x="363435" y="1161351"/>
                                </a:lnTo>
                                <a:close/>
                              </a:path>
                              <a:path w="6032500" h="1558925">
                                <a:moveTo>
                                  <a:pt x="1072159" y="840892"/>
                                </a:moveTo>
                                <a:lnTo>
                                  <a:pt x="708723" y="840892"/>
                                </a:lnTo>
                                <a:lnTo>
                                  <a:pt x="708723" y="1161288"/>
                                </a:lnTo>
                                <a:lnTo>
                                  <a:pt x="1072159" y="1161288"/>
                                </a:lnTo>
                                <a:lnTo>
                                  <a:pt x="1072159" y="840892"/>
                                </a:lnTo>
                                <a:close/>
                              </a:path>
                              <a:path w="6032500" h="1558925">
                                <a:moveTo>
                                  <a:pt x="6032436" y="0"/>
                                </a:moveTo>
                                <a:lnTo>
                                  <a:pt x="5669724" y="0"/>
                                </a:lnTo>
                                <a:lnTo>
                                  <a:pt x="5669724" y="1558671"/>
                                </a:lnTo>
                                <a:lnTo>
                                  <a:pt x="6032436" y="1558671"/>
                                </a:lnTo>
                                <a:lnTo>
                                  <a:pt x="6032436" y="0"/>
                                </a:lnTo>
                                <a:close/>
                              </a:path>
                            </a:pathLst>
                          </a:custGeom>
                          <a:solidFill>
                            <a:srgbClr val="0000CC"/>
                          </a:solidFill>
                        </wps:spPr>
                        <wps:bodyPr wrap="square" lIns="0" tIns="0" rIns="0" bIns="0" rtlCol="0">
                          <a:prstTxWarp prst="textNoShape">
                            <a:avLst/>
                          </a:prstTxWarp>
                          <a:noAutofit/>
                        </wps:bodyPr>
                      </wps:wsp>
                      <wps:wsp>
                        <wps:cNvPr id="406" name="Graphic 406"/>
                        <wps:cNvSpPr/>
                        <wps:spPr>
                          <a:xfrm>
                            <a:off x="0" y="1558671"/>
                            <a:ext cx="6378575" cy="1270"/>
                          </a:xfrm>
                          <a:custGeom>
                            <a:avLst/>
                            <a:gdLst/>
                            <a:ahLst/>
                            <a:cxnLst/>
                            <a:rect l="l" t="t" r="r" b="b"/>
                            <a:pathLst>
                              <a:path w="6378575">
                                <a:moveTo>
                                  <a:pt x="0" y="0"/>
                                </a:moveTo>
                                <a:lnTo>
                                  <a:pt x="6378422" y="0"/>
                                </a:lnTo>
                              </a:path>
                            </a:pathLst>
                          </a:custGeom>
                          <a:ln w="9525">
                            <a:solidFill>
                              <a:srgbClr val="D9D9D9"/>
                            </a:solidFill>
                            <a:prstDash val="solid"/>
                          </a:ln>
                        </wps:spPr>
                        <wps:bodyPr wrap="square" lIns="0" tIns="0" rIns="0" bIns="0" rtlCol="0">
                          <a:prstTxWarp prst="textNoShape">
                            <a:avLst/>
                          </a:prstTxWarp>
                          <a:noAutofit/>
                        </wps:bodyPr>
                      </wps:wsp>
                      <wps:wsp>
                        <wps:cNvPr id="407" name="Textbox 407"/>
                        <wps:cNvSpPr txBox="1"/>
                        <wps:spPr>
                          <a:xfrm>
                            <a:off x="923137" y="667925"/>
                            <a:ext cx="365760" cy="128270"/>
                          </a:xfrm>
                          <a:prstGeom prst="rect">
                            <a:avLst/>
                          </a:prstGeom>
                        </wps:spPr>
                        <wps:txbx>
                          <w:txbxContent>
                            <w:p w14:paraId="3E2559C6" w14:textId="77777777" w:rsidR="002C6574" w:rsidRDefault="00000000">
                              <w:pPr>
                                <w:spacing w:line="201" w:lineRule="exact"/>
                                <w:rPr>
                                  <w:rFonts w:ascii="Arial"/>
                                  <w:b/>
                                  <w:sz w:val="18"/>
                                </w:rPr>
                              </w:pPr>
                              <w:r>
                                <w:rPr>
                                  <w:rFonts w:ascii="Arial"/>
                                  <w:b/>
                                  <w:color w:val="404040"/>
                                  <w:spacing w:val="-2"/>
                                  <w:sz w:val="18"/>
                                </w:rPr>
                                <w:t>76.694</w:t>
                              </w:r>
                            </w:p>
                          </w:txbxContent>
                        </wps:txbx>
                        <wps:bodyPr wrap="square" lIns="0" tIns="0" rIns="0" bIns="0" rtlCol="0">
                          <a:noAutofit/>
                        </wps:bodyPr>
                      </wps:wsp>
                      <wps:wsp>
                        <wps:cNvPr id="408" name="Textbox 408"/>
                        <wps:cNvSpPr txBox="1"/>
                        <wps:spPr>
                          <a:xfrm>
                            <a:off x="198373" y="984028"/>
                            <a:ext cx="363855" cy="128270"/>
                          </a:xfrm>
                          <a:prstGeom prst="rect">
                            <a:avLst/>
                          </a:prstGeom>
                        </wps:spPr>
                        <wps:txbx>
                          <w:txbxContent>
                            <w:p w14:paraId="0C90DE31" w14:textId="77777777" w:rsidR="002C6574" w:rsidRDefault="00000000">
                              <w:pPr>
                                <w:spacing w:line="201" w:lineRule="exact"/>
                                <w:rPr>
                                  <w:rFonts w:ascii="Arial"/>
                                  <w:b/>
                                  <w:sz w:val="18"/>
                                </w:rPr>
                              </w:pPr>
                              <w:r>
                                <w:rPr>
                                  <w:rFonts w:ascii="Arial"/>
                                  <w:b/>
                                  <w:color w:val="404040"/>
                                  <w:spacing w:val="-2"/>
                                  <w:sz w:val="18"/>
                                </w:rPr>
                                <w:t>95.106</w:t>
                              </w:r>
                            </w:p>
                          </w:txbxContent>
                        </wps:txbx>
                        <wps:bodyPr wrap="square" lIns="0" tIns="0" rIns="0" bIns="0" rtlCol="0">
                          <a:noAutofit/>
                        </wps:bodyPr>
                      </wps:wsp>
                    </wpg:wgp>
                  </a:graphicData>
                </a:graphic>
              </wp:inline>
            </w:drawing>
          </mc:Choice>
          <mc:Fallback>
            <w:pict>
              <v:group w14:anchorId="2071CA5D" id="Group 404" o:spid="_x0000_s1179" style="width:502.25pt;height:123.15pt;mso-position-horizontal-relative:char;mso-position-vertical-relative:line" coordsize="63785,1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">
                <v:shape id="Graphic 405" o:spid="_x0000_s1180" style="position:absolute;left:1726;width:60325;height:15589;visibility:visible;mso-wrap-style:square;v-text-anchor:top" coordsize="6032500,155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" path="m363435,1161351l,1161351r,397320l363435,1558671r,-397320xem1072159,840892r-363436,l708723,1161288r363436,l1072159,840892xem6032436,l5669724,r,1558671l6032436,1558671,6032436,xe" fillcolor="#00c" stroked="f">
                  <v:path arrowok="t"/>
                </v:shape>
                <v:shape id="Graphic 406" o:spid="_x0000_s1181" style="position:absolute;top:15586;width:63785;height:13;visibility:visible;mso-wrap-style:square;v-text-anchor:top" coordsize="637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" path="m,l6378422,e" filled="f" strokecolor="#d9d9d9">
                  <v:path arrowok="t"/>
                </v:shape>
                <v:shape id="Textbox 407" o:spid="_x0000_s1182" type="#_x0000_t202" style="position:absolute;left:9231;top:6679;width:3657;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3E2559C6" w14:textId="77777777" w:rsidR="002C6574" w:rsidRDefault="00000000">
                        <w:pPr>
                          <w:spacing w:line="201" w:lineRule="exact"/>
                          <w:rPr>
                            <w:rFonts w:ascii="Arial"/>
                            <w:b/>
                            <w:sz w:val="18"/>
                          </w:rPr>
                        </w:pPr>
                        <w:r>
                          <w:rPr>
                            <w:rFonts w:ascii="Arial"/>
                            <w:b/>
                            <w:color w:val="404040"/>
                            <w:spacing w:val="-2"/>
                            <w:sz w:val="18"/>
                          </w:rPr>
                          <w:t>76.694</w:t>
                        </w:r>
                      </w:p>
                    </w:txbxContent>
                  </v:textbox>
                </v:shape>
                <v:shape id="Textbox 408" o:spid="_x0000_s1183" type="#_x0000_t202" style="position:absolute;left:1983;top:9840;width:363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0C90DE31" w14:textId="77777777" w:rsidR="002C6574" w:rsidRDefault="00000000">
                        <w:pPr>
                          <w:spacing w:line="201" w:lineRule="exact"/>
                          <w:rPr>
                            <w:rFonts w:ascii="Arial"/>
                            <w:b/>
                            <w:sz w:val="18"/>
                          </w:rPr>
                        </w:pPr>
                        <w:r>
                          <w:rPr>
                            <w:rFonts w:ascii="Arial"/>
                            <w:b/>
                            <w:color w:val="404040"/>
                            <w:spacing w:val="-2"/>
                            <w:sz w:val="18"/>
                          </w:rPr>
                          <w:t>95.106</w:t>
                        </w:r>
                      </w:p>
                    </w:txbxContent>
                  </v:textbox>
                </v:shape>
                <w10:anchorlock/>
              </v:group>
            </w:pict>
          </mc:Fallback>
        </mc:AlternateContent>
      </w:r>
    </w:p>
    <w:p w14:paraId="20364BAE" w14:textId="77777777" w:rsidR="002C6574" w:rsidRDefault="002C6574">
      <w:pPr>
        <w:pStyle w:val="Corpodetexto"/>
        <w:rPr>
          <w:rFonts w:ascii="Arial"/>
          <w:sz w:val="20"/>
        </w:rPr>
        <w:sectPr w:rsidR="002C6574">
          <w:type w:val="continuous"/>
          <w:pgSz w:w="11910" w:h="16840"/>
          <w:pgMar w:top="0" w:right="425" w:bottom="0" w:left="425" w:header="1197" w:footer="994" w:gutter="0"/>
          <w:cols w:space="720"/>
        </w:sectPr>
      </w:pPr>
    </w:p>
    <w:p w14:paraId="5E0211F9" w14:textId="77777777" w:rsidR="002C6574" w:rsidRDefault="00000000">
      <w:pPr>
        <w:tabs>
          <w:tab w:val="left" w:pos="2017"/>
        </w:tabs>
        <w:spacing w:before="49"/>
        <w:ind w:left="2017" w:hanging="997"/>
        <w:jc w:val="right"/>
        <w:rPr>
          <w:rFonts w:ascii="Arial" w:hAnsi="Arial"/>
          <w:b/>
          <w:sz w:val="18"/>
        </w:rPr>
      </w:pPr>
      <w:r>
        <w:rPr>
          <w:rFonts w:ascii="Arial" w:hAnsi="Arial"/>
          <w:b/>
          <w:spacing w:val="-4"/>
          <w:sz w:val="18"/>
        </w:rPr>
        <w:t>2024</w:t>
      </w:r>
      <w:r>
        <w:rPr>
          <w:rFonts w:ascii="Arial" w:hAnsi="Arial"/>
          <w:b/>
          <w:sz w:val="18"/>
        </w:rPr>
        <w:tab/>
      </w:r>
      <w:r>
        <w:rPr>
          <w:rFonts w:ascii="Arial" w:hAnsi="Arial"/>
          <w:b/>
          <w:spacing w:val="-2"/>
          <w:sz w:val="18"/>
        </w:rPr>
        <w:t>Receita Líquida</w:t>
      </w:r>
    </w:p>
    <w:p w14:paraId="10786D67" w14:textId="77777777" w:rsidR="002C6574" w:rsidRDefault="00000000">
      <w:pPr>
        <w:spacing w:before="49"/>
        <w:ind w:left="306" w:hanging="80"/>
        <w:rPr>
          <w:rFonts w:ascii="Arial" w:hAnsi="Arial"/>
          <w:b/>
          <w:sz w:val="18"/>
        </w:rPr>
      </w:pPr>
      <w:r>
        <w:br w:type="column"/>
      </w:r>
      <w:r>
        <w:rPr>
          <w:rFonts w:ascii="Arial" w:hAnsi="Arial"/>
          <w:b/>
          <w:spacing w:val="-2"/>
          <w:sz w:val="18"/>
        </w:rPr>
        <w:t>Subvenções Recebidas</w:t>
      </w:r>
    </w:p>
    <w:p w14:paraId="7709CA21" w14:textId="77777777" w:rsidR="002C6574" w:rsidRDefault="00000000">
      <w:pPr>
        <w:tabs>
          <w:tab w:val="left" w:pos="1407"/>
        </w:tabs>
        <w:spacing w:before="49"/>
        <w:ind w:left="1107" w:hanging="902"/>
        <w:rPr>
          <w:rFonts w:ascii="Arial" w:hAnsi="Arial"/>
          <w:b/>
          <w:sz w:val="18"/>
        </w:rPr>
      </w:pPr>
      <w:r>
        <w:br w:type="column"/>
      </w:r>
      <w:r>
        <w:rPr>
          <w:rFonts w:ascii="Arial" w:hAnsi="Arial"/>
          <w:b/>
          <w:spacing w:val="-2"/>
          <w:sz w:val="18"/>
        </w:rPr>
        <w:t>Pessoal</w:t>
      </w:r>
      <w:r>
        <w:rPr>
          <w:rFonts w:ascii="Arial" w:hAnsi="Arial"/>
          <w:b/>
          <w:sz w:val="18"/>
        </w:rPr>
        <w:tab/>
      </w:r>
      <w:r>
        <w:rPr>
          <w:rFonts w:ascii="Arial" w:hAnsi="Arial"/>
          <w:b/>
          <w:sz w:val="18"/>
        </w:rPr>
        <w:tab/>
      </w:r>
      <w:r>
        <w:rPr>
          <w:rFonts w:ascii="Arial" w:hAnsi="Arial"/>
          <w:b/>
          <w:spacing w:val="-2"/>
          <w:sz w:val="18"/>
        </w:rPr>
        <w:t xml:space="preserve">Meios </w:t>
      </w:r>
      <w:r>
        <w:rPr>
          <w:rFonts w:ascii="Arial" w:hAnsi="Arial"/>
          <w:b/>
          <w:sz w:val="18"/>
        </w:rPr>
        <w:t xml:space="preserve">Conexão e </w:t>
      </w:r>
      <w:r>
        <w:rPr>
          <w:rFonts w:ascii="Arial" w:hAnsi="Arial"/>
          <w:b/>
          <w:spacing w:val="-2"/>
          <w:sz w:val="18"/>
        </w:rPr>
        <w:t>Transmissão</w:t>
      </w:r>
    </w:p>
    <w:p w14:paraId="4D9C394A" w14:textId="77777777" w:rsidR="002C6574" w:rsidRDefault="00000000">
      <w:pPr>
        <w:spacing w:before="49"/>
        <w:ind w:left="160" w:right="-6" w:hanging="70"/>
        <w:rPr>
          <w:rFonts w:ascii="Arial"/>
          <w:b/>
          <w:sz w:val="18"/>
        </w:rPr>
      </w:pPr>
      <w:r>
        <w:br w:type="column"/>
      </w:r>
      <w:r>
        <w:rPr>
          <w:rFonts w:ascii="Arial"/>
          <w:b/>
          <w:sz w:val="18"/>
        </w:rPr>
        <w:t>Alugueis</w:t>
      </w:r>
      <w:r>
        <w:rPr>
          <w:rFonts w:ascii="Arial"/>
          <w:b/>
          <w:spacing w:val="-13"/>
          <w:sz w:val="18"/>
        </w:rPr>
        <w:t xml:space="preserve"> </w:t>
      </w:r>
      <w:r>
        <w:rPr>
          <w:rFonts w:ascii="Arial"/>
          <w:b/>
          <w:sz w:val="18"/>
        </w:rPr>
        <w:t xml:space="preserve">/ </w:t>
      </w:r>
      <w:r>
        <w:rPr>
          <w:rFonts w:ascii="Arial"/>
          <w:b/>
          <w:spacing w:val="-2"/>
          <w:sz w:val="18"/>
        </w:rPr>
        <w:t>Seguros</w:t>
      </w:r>
    </w:p>
    <w:p w14:paraId="7D4EBBE6" w14:textId="77777777" w:rsidR="002C6574" w:rsidRDefault="00000000">
      <w:pPr>
        <w:spacing w:before="49"/>
        <w:ind w:left="240" w:hanging="101"/>
        <w:rPr>
          <w:rFonts w:ascii="Arial" w:hAnsi="Arial"/>
          <w:b/>
          <w:sz w:val="18"/>
        </w:rPr>
      </w:pPr>
      <w:r>
        <w:br w:type="column"/>
      </w:r>
      <w:r>
        <w:rPr>
          <w:rFonts w:ascii="Arial" w:hAnsi="Arial"/>
          <w:b/>
          <w:sz w:val="18"/>
        </w:rPr>
        <w:t>Serviços</w:t>
      </w:r>
      <w:r>
        <w:rPr>
          <w:rFonts w:ascii="Arial" w:hAnsi="Arial"/>
          <w:b/>
          <w:spacing w:val="-13"/>
          <w:sz w:val="18"/>
        </w:rPr>
        <w:t xml:space="preserve"> </w:t>
      </w:r>
      <w:r>
        <w:rPr>
          <w:rFonts w:ascii="Arial" w:hAnsi="Arial"/>
          <w:b/>
          <w:sz w:val="18"/>
        </w:rPr>
        <w:t xml:space="preserve">de </w:t>
      </w:r>
      <w:r>
        <w:rPr>
          <w:rFonts w:ascii="Arial" w:hAnsi="Arial"/>
          <w:b/>
          <w:spacing w:val="-2"/>
          <w:sz w:val="18"/>
        </w:rPr>
        <w:t>Terceiros</w:t>
      </w:r>
    </w:p>
    <w:p w14:paraId="508B5599" w14:textId="77777777" w:rsidR="002C6574" w:rsidRDefault="00000000">
      <w:pPr>
        <w:spacing w:before="49"/>
        <w:ind w:left="102"/>
        <w:jc w:val="center"/>
        <w:rPr>
          <w:rFonts w:ascii="Arial"/>
          <w:b/>
          <w:sz w:val="18"/>
        </w:rPr>
      </w:pPr>
      <w:r>
        <w:br w:type="column"/>
      </w:r>
      <w:r>
        <w:rPr>
          <w:rFonts w:ascii="Arial"/>
          <w:b/>
          <w:spacing w:val="-2"/>
          <w:sz w:val="18"/>
        </w:rPr>
        <w:t xml:space="preserve">Outras </w:t>
      </w:r>
      <w:r>
        <w:rPr>
          <w:rFonts w:ascii="Arial"/>
          <w:b/>
          <w:sz w:val="18"/>
        </w:rPr>
        <w:t>Despesas</w:t>
      </w:r>
      <w:r>
        <w:rPr>
          <w:rFonts w:ascii="Arial"/>
          <w:b/>
          <w:spacing w:val="-13"/>
          <w:sz w:val="18"/>
        </w:rPr>
        <w:t xml:space="preserve"> </w:t>
      </w:r>
      <w:r>
        <w:rPr>
          <w:rFonts w:ascii="Arial"/>
          <w:b/>
          <w:sz w:val="18"/>
        </w:rPr>
        <w:t xml:space="preserve">/ </w:t>
      </w:r>
      <w:r>
        <w:rPr>
          <w:rFonts w:ascii="Arial"/>
          <w:b/>
          <w:spacing w:val="-2"/>
          <w:sz w:val="18"/>
        </w:rPr>
        <w:t>Receitas</w:t>
      </w:r>
    </w:p>
    <w:p w14:paraId="0C5FAFEB" w14:textId="77777777" w:rsidR="002C6574" w:rsidRDefault="00000000">
      <w:pPr>
        <w:spacing w:before="49"/>
        <w:ind w:left="406"/>
        <w:rPr>
          <w:rFonts w:ascii="Arial"/>
          <w:b/>
          <w:sz w:val="18"/>
        </w:rPr>
      </w:pPr>
      <w:r>
        <w:br w:type="column"/>
      </w:r>
      <w:r>
        <w:rPr>
          <w:rFonts w:ascii="Arial"/>
          <w:b/>
          <w:spacing w:val="-4"/>
          <w:sz w:val="18"/>
        </w:rPr>
        <w:t>2025</w:t>
      </w:r>
    </w:p>
    <w:p w14:paraId="4DEC7BF9" w14:textId="77777777" w:rsidR="002C6574" w:rsidRDefault="002C6574">
      <w:pPr>
        <w:rPr>
          <w:rFonts w:ascii="Arial"/>
          <w:b/>
          <w:sz w:val="18"/>
        </w:rPr>
        <w:sectPr w:rsidR="002C6574">
          <w:type w:val="continuous"/>
          <w:pgSz w:w="11910" w:h="16840"/>
          <w:pgMar w:top="0" w:right="425" w:bottom="0" w:left="425" w:header="1197" w:footer="994" w:gutter="0"/>
          <w:cols w:num="7" w:space="720" w:equalWidth="0">
            <w:col w:w="2658" w:space="40"/>
            <w:col w:w="1287" w:space="39"/>
            <w:col w:w="2219" w:space="39"/>
            <w:col w:w="952" w:space="39"/>
            <w:col w:w="1150" w:space="40"/>
            <w:col w:w="1042" w:space="39"/>
            <w:col w:w="1516"/>
          </w:cols>
        </w:sectPr>
      </w:pPr>
    </w:p>
    <w:p w14:paraId="045CE2BE" w14:textId="77777777" w:rsidR="002C6574" w:rsidRDefault="002C6574">
      <w:pPr>
        <w:pStyle w:val="Corpodetexto"/>
        <w:spacing w:before="222"/>
        <w:rPr>
          <w:rFonts w:ascii="Arial"/>
          <w:b/>
        </w:rPr>
      </w:pPr>
    </w:p>
    <w:p w14:paraId="7A7339FC" w14:textId="77777777" w:rsidR="002C6574" w:rsidRDefault="00000000">
      <w:pPr>
        <w:pStyle w:val="Corpodetexto"/>
        <w:ind w:left="427" w:right="134"/>
        <w:jc w:val="both"/>
        <w:rPr>
          <w:rFonts w:ascii="Arial MT" w:hAnsi="Arial MT"/>
        </w:rPr>
      </w:pPr>
      <w:r>
        <w:rPr>
          <w:rFonts w:ascii="Arial MT" w:hAnsi="Arial MT"/>
        </w:rPr>
        <w:t>O EBITDA não é uma</w:t>
      </w:r>
      <w:r>
        <w:rPr>
          <w:rFonts w:ascii="Arial MT" w:hAnsi="Arial MT"/>
          <w:spacing w:val="-1"/>
        </w:rPr>
        <w:t xml:space="preserve"> </w:t>
      </w:r>
      <w:r>
        <w:rPr>
          <w:rFonts w:ascii="Arial MT" w:hAnsi="Arial MT"/>
        </w:rPr>
        <w:t>medida definida pelas práticas contábeis internacionais (IFRS) e</w:t>
      </w:r>
      <w:r>
        <w:rPr>
          <w:rFonts w:ascii="Arial MT" w:hAnsi="Arial MT"/>
          <w:spacing w:val="-2"/>
        </w:rPr>
        <w:t xml:space="preserve"> </w:t>
      </w:r>
      <w:r>
        <w:rPr>
          <w:rFonts w:ascii="Arial MT" w:hAnsi="Arial MT"/>
        </w:rPr>
        <w:t>representa</w:t>
      </w:r>
      <w:r>
        <w:rPr>
          <w:rFonts w:ascii="Arial MT" w:hAnsi="Arial MT"/>
          <w:spacing w:val="-2"/>
        </w:rPr>
        <w:t xml:space="preserve"> </w:t>
      </w:r>
      <w:r>
        <w:rPr>
          <w:rFonts w:ascii="Arial MT" w:hAnsi="Arial MT"/>
        </w:rPr>
        <w:t>o lucro / (prejuízo)</w:t>
      </w:r>
      <w:r>
        <w:rPr>
          <w:rFonts w:ascii="Arial MT" w:hAnsi="Arial MT"/>
          <w:spacing w:val="-5"/>
        </w:rPr>
        <w:t xml:space="preserve"> </w:t>
      </w:r>
      <w:r>
        <w:rPr>
          <w:rFonts w:ascii="Arial MT" w:hAnsi="Arial MT"/>
        </w:rPr>
        <w:t>antes</w:t>
      </w:r>
      <w:r>
        <w:rPr>
          <w:rFonts w:ascii="Arial MT" w:hAnsi="Arial MT"/>
          <w:spacing w:val="-6"/>
        </w:rPr>
        <w:t xml:space="preserve"> </w:t>
      </w:r>
      <w:r>
        <w:rPr>
          <w:rFonts w:ascii="Arial MT" w:hAnsi="Arial MT"/>
        </w:rPr>
        <w:t>do</w:t>
      </w:r>
      <w:r>
        <w:rPr>
          <w:rFonts w:ascii="Arial MT" w:hAnsi="Arial MT"/>
          <w:spacing w:val="-7"/>
        </w:rPr>
        <w:t xml:space="preserve"> </w:t>
      </w:r>
      <w:r>
        <w:rPr>
          <w:rFonts w:ascii="Arial MT" w:hAnsi="Arial MT"/>
        </w:rPr>
        <w:t>pagamento</w:t>
      </w:r>
      <w:r>
        <w:rPr>
          <w:rFonts w:ascii="Arial MT" w:hAnsi="Arial MT"/>
          <w:spacing w:val="-6"/>
        </w:rPr>
        <w:t xml:space="preserve"> </w:t>
      </w:r>
      <w:r>
        <w:rPr>
          <w:rFonts w:ascii="Arial MT" w:hAnsi="Arial MT"/>
        </w:rPr>
        <w:t>de</w:t>
      </w:r>
      <w:r>
        <w:rPr>
          <w:rFonts w:ascii="Arial MT" w:hAnsi="Arial MT"/>
          <w:spacing w:val="-9"/>
        </w:rPr>
        <w:t xml:space="preserve"> </w:t>
      </w:r>
      <w:r>
        <w:rPr>
          <w:rFonts w:ascii="Arial MT" w:hAnsi="Arial MT"/>
        </w:rPr>
        <w:t>juros,</w:t>
      </w:r>
      <w:r>
        <w:rPr>
          <w:rFonts w:ascii="Arial MT" w:hAnsi="Arial MT"/>
          <w:spacing w:val="-5"/>
        </w:rPr>
        <w:t xml:space="preserve"> </w:t>
      </w:r>
      <w:r>
        <w:rPr>
          <w:rFonts w:ascii="Arial MT" w:hAnsi="Arial MT"/>
        </w:rPr>
        <w:t>imposto</w:t>
      </w:r>
      <w:r>
        <w:rPr>
          <w:rFonts w:ascii="Arial MT" w:hAnsi="Arial MT"/>
          <w:spacing w:val="-11"/>
        </w:rPr>
        <w:t xml:space="preserve"> </w:t>
      </w:r>
      <w:r>
        <w:rPr>
          <w:rFonts w:ascii="Arial MT" w:hAnsi="Arial MT"/>
        </w:rPr>
        <w:t>de</w:t>
      </w:r>
      <w:r>
        <w:rPr>
          <w:rFonts w:ascii="Arial MT" w:hAnsi="Arial MT"/>
          <w:spacing w:val="-7"/>
        </w:rPr>
        <w:t xml:space="preserve"> </w:t>
      </w:r>
      <w:r>
        <w:rPr>
          <w:rFonts w:ascii="Arial MT" w:hAnsi="Arial MT"/>
        </w:rPr>
        <w:t>renda</w:t>
      </w:r>
      <w:r>
        <w:rPr>
          <w:rFonts w:ascii="Arial MT" w:hAnsi="Arial MT"/>
          <w:spacing w:val="-7"/>
        </w:rPr>
        <w:t xml:space="preserve"> </w:t>
      </w:r>
      <w:r>
        <w:rPr>
          <w:rFonts w:ascii="Arial MT" w:hAnsi="Arial MT"/>
        </w:rPr>
        <w:t>e</w:t>
      </w:r>
      <w:r>
        <w:rPr>
          <w:rFonts w:ascii="Arial MT" w:hAnsi="Arial MT"/>
          <w:spacing w:val="-6"/>
        </w:rPr>
        <w:t xml:space="preserve"> </w:t>
      </w:r>
      <w:r>
        <w:rPr>
          <w:rFonts w:ascii="Arial MT" w:hAnsi="Arial MT"/>
        </w:rPr>
        <w:t>contribuição</w:t>
      </w:r>
      <w:r>
        <w:rPr>
          <w:rFonts w:ascii="Arial MT" w:hAnsi="Arial MT"/>
          <w:spacing w:val="-7"/>
        </w:rPr>
        <w:t xml:space="preserve"> </w:t>
      </w:r>
      <w:r>
        <w:rPr>
          <w:rFonts w:ascii="Arial MT" w:hAnsi="Arial MT"/>
        </w:rPr>
        <w:t>social,</w:t>
      </w:r>
      <w:r>
        <w:rPr>
          <w:rFonts w:ascii="Arial MT" w:hAnsi="Arial MT"/>
          <w:spacing w:val="-5"/>
        </w:rPr>
        <w:t xml:space="preserve"> </w:t>
      </w:r>
      <w:r>
        <w:rPr>
          <w:rFonts w:ascii="Arial MT" w:hAnsi="Arial MT"/>
        </w:rPr>
        <w:t>depreciação</w:t>
      </w:r>
      <w:r>
        <w:rPr>
          <w:rFonts w:ascii="Arial MT" w:hAnsi="Arial MT"/>
          <w:spacing w:val="-6"/>
        </w:rPr>
        <w:t xml:space="preserve"> </w:t>
      </w:r>
      <w:r>
        <w:rPr>
          <w:rFonts w:ascii="Arial MT" w:hAnsi="Arial MT"/>
        </w:rPr>
        <w:t>e</w:t>
      </w:r>
      <w:r>
        <w:rPr>
          <w:rFonts w:ascii="Arial MT" w:hAnsi="Arial MT"/>
          <w:spacing w:val="-6"/>
        </w:rPr>
        <w:t xml:space="preserve"> </w:t>
      </w:r>
      <w:r>
        <w:rPr>
          <w:rFonts w:ascii="Arial MT" w:hAnsi="Arial MT"/>
        </w:rPr>
        <w:t>amortização. A Companhia divulga seu EBITDA Ajustado, conforme Instrução CVM N° 156, de 23 de junho de 2022, e estes ajustes incluem a adição/exclusão do Resultado de Equivalência Patrimonial, da Depreciação e das Despesas Financeiras originadas das alterações do CPC 6(R2) / IFRS 16 – Operações de Arrendamento Mercantil</w:t>
      </w:r>
      <w:r>
        <w:rPr>
          <w:rFonts w:ascii="Arial MT" w:hAnsi="Arial MT"/>
          <w:spacing w:val="-11"/>
        </w:rPr>
        <w:t xml:space="preserve"> </w:t>
      </w:r>
      <w:r>
        <w:rPr>
          <w:rFonts w:ascii="Arial MT" w:hAnsi="Arial MT"/>
        </w:rPr>
        <w:t>e</w:t>
      </w:r>
      <w:r>
        <w:rPr>
          <w:rFonts w:ascii="Arial MT" w:hAnsi="Arial MT"/>
          <w:spacing w:val="-14"/>
        </w:rPr>
        <w:t xml:space="preserve"> </w:t>
      </w:r>
      <w:r>
        <w:rPr>
          <w:rFonts w:ascii="Arial MT" w:hAnsi="Arial MT"/>
        </w:rPr>
        <w:t>Outros</w:t>
      </w:r>
      <w:r>
        <w:rPr>
          <w:rFonts w:ascii="Arial MT" w:hAnsi="Arial MT"/>
          <w:spacing w:val="-11"/>
        </w:rPr>
        <w:t xml:space="preserve"> </w:t>
      </w:r>
      <w:r>
        <w:rPr>
          <w:rFonts w:ascii="Arial MT" w:hAnsi="Arial MT"/>
        </w:rPr>
        <w:t>Eventos</w:t>
      </w:r>
      <w:r>
        <w:rPr>
          <w:rFonts w:ascii="Arial MT" w:hAnsi="Arial MT"/>
          <w:spacing w:val="-11"/>
        </w:rPr>
        <w:t xml:space="preserve"> </w:t>
      </w:r>
      <w:r>
        <w:rPr>
          <w:rFonts w:ascii="Arial MT" w:hAnsi="Arial MT"/>
        </w:rPr>
        <w:t>não</w:t>
      </w:r>
      <w:r>
        <w:rPr>
          <w:rFonts w:ascii="Arial MT" w:hAnsi="Arial MT"/>
          <w:spacing w:val="-14"/>
        </w:rPr>
        <w:t xml:space="preserve"> </w:t>
      </w:r>
      <w:r>
        <w:rPr>
          <w:rFonts w:ascii="Arial MT" w:hAnsi="Arial MT"/>
        </w:rPr>
        <w:t>Recorrentes</w:t>
      </w:r>
      <w:r>
        <w:rPr>
          <w:rFonts w:ascii="Arial MT" w:hAnsi="Arial MT"/>
          <w:spacing w:val="-12"/>
        </w:rPr>
        <w:t xml:space="preserve"> </w:t>
      </w:r>
      <w:r>
        <w:rPr>
          <w:rFonts w:ascii="Arial MT" w:hAnsi="Arial MT"/>
        </w:rPr>
        <w:t>que</w:t>
      </w:r>
      <w:r>
        <w:rPr>
          <w:rFonts w:ascii="Arial MT" w:hAnsi="Arial MT"/>
          <w:spacing w:val="-16"/>
        </w:rPr>
        <w:t xml:space="preserve"> </w:t>
      </w:r>
      <w:r>
        <w:rPr>
          <w:rFonts w:ascii="Arial MT" w:hAnsi="Arial MT"/>
        </w:rPr>
        <w:t>possam</w:t>
      </w:r>
      <w:r>
        <w:rPr>
          <w:rFonts w:ascii="Arial MT" w:hAnsi="Arial MT"/>
          <w:spacing w:val="-12"/>
        </w:rPr>
        <w:t xml:space="preserve"> </w:t>
      </w:r>
      <w:r>
        <w:rPr>
          <w:rFonts w:ascii="Arial MT" w:hAnsi="Arial MT"/>
        </w:rPr>
        <w:t>vir</w:t>
      </w:r>
      <w:r>
        <w:rPr>
          <w:rFonts w:ascii="Arial MT" w:hAnsi="Arial MT"/>
          <w:spacing w:val="-12"/>
        </w:rPr>
        <w:t xml:space="preserve"> </w:t>
      </w:r>
      <w:r>
        <w:rPr>
          <w:rFonts w:ascii="Arial MT" w:hAnsi="Arial MT"/>
        </w:rPr>
        <w:t>a</w:t>
      </w:r>
      <w:r>
        <w:rPr>
          <w:rFonts w:ascii="Arial MT" w:hAnsi="Arial MT"/>
          <w:spacing w:val="-14"/>
        </w:rPr>
        <w:t xml:space="preserve"> </w:t>
      </w:r>
      <w:r>
        <w:rPr>
          <w:rFonts w:ascii="Arial MT" w:hAnsi="Arial MT"/>
        </w:rPr>
        <w:t>ocorrer</w:t>
      </w:r>
      <w:r>
        <w:rPr>
          <w:rFonts w:ascii="Arial MT" w:hAnsi="Arial MT"/>
          <w:spacing w:val="-12"/>
        </w:rPr>
        <w:t xml:space="preserve"> </w:t>
      </w:r>
      <w:r>
        <w:rPr>
          <w:rFonts w:ascii="Arial MT" w:hAnsi="Arial MT"/>
        </w:rPr>
        <w:t>no</w:t>
      </w:r>
      <w:r>
        <w:rPr>
          <w:rFonts w:ascii="Arial MT" w:hAnsi="Arial MT"/>
          <w:spacing w:val="-14"/>
        </w:rPr>
        <w:t xml:space="preserve"> </w:t>
      </w:r>
      <w:r>
        <w:rPr>
          <w:rFonts w:ascii="Arial MT" w:hAnsi="Arial MT"/>
        </w:rPr>
        <w:t>curso</w:t>
      </w:r>
      <w:r>
        <w:rPr>
          <w:rFonts w:ascii="Arial MT" w:hAnsi="Arial MT"/>
          <w:spacing w:val="-11"/>
        </w:rPr>
        <w:t xml:space="preserve"> </w:t>
      </w:r>
      <w:r>
        <w:rPr>
          <w:rFonts w:ascii="Arial MT" w:hAnsi="Arial MT"/>
        </w:rPr>
        <w:t>dos</w:t>
      </w:r>
      <w:r>
        <w:rPr>
          <w:rFonts w:ascii="Arial MT" w:hAnsi="Arial MT"/>
          <w:spacing w:val="-11"/>
        </w:rPr>
        <w:t xml:space="preserve"> </w:t>
      </w:r>
      <w:r>
        <w:rPr>
          <w:rFonts w:ascii="Arial MT" w:hAnsi="Arial MT"/>
        </w:rPr>
        <w:t>negócios</w:t>
      </w:r>
      <w:r>
        <w:rPr>
          <w:rFonts w:ascii="Arial MT" w:hAnsi="Arial MT"/>
          <w:spacing w:val="-11"/>
        </w:rPr>
        <w:t xml:space="preserve"> </w:t>
      </w:r>
      <w:r>
        <w:rPr>
          <w:rFonts w:ascii="Arial MT" w:hAnsi="Arial MT"/>
        </w:rPr>
        <w:t>da</w:t>
      </w:r>
      <w:r>
        <w:rPr>
          <w:rFonts w:ascii="Arial MT" w:hAnsi="Arial MT"/>
          <w:spacing w:val="-14"/>
        </w:rPr>
        <w:t xml:space="preserve"> </w:t>
      </w:r>
      <w:r>
        <w:rPr>
          <w:rFonts w:ascii="Arial MT" w:hAnsi="Arial MT"/>
        </w:rPr>
        <w:t>Companhia, para proporcionar melhores informações sobre sua capacidade de pagamento de dívidas, manutenção de seus</w:t>
      </w:r>
      <w:r>
        <w:rPr>
          <w:rFonts w:ascii="Arial MT" w:hAnsi="Arial MT"/>
          <w:spacing w:val="-13"/>
        </w:rPr>
        <w:t xml:space="preserve"> </w:t>
      </w:r>
      <w:r>
        <w:rPr>
          <w:rFonts w:ascii="Arial MT" w:hAnsi="Arial MT"/>
        </w:rPr>
        <w:t>investimentos</w:t>
      </w:r>
      <w:r>
        <w:rPr>
          <w:rFonts w:ascii="Arial MT" w:hAnsi="Arial MT"/>
          <w:spacing w:val="-13"/>
        </w:rPr>
        <w:t xml:space="preserve"> </w:t>
      </w:r>
      <w:r>
        <w:rPr>
          <w:rFonts w:ascii="Arial MT" w:hAnsi="Arial MT"/>
        </w:rPr>
        <w:t>e</w:t>
      </w:r>
      <w:r>
        <w:rPr>
          <w:rFonts w:ascii="Arial MT" w:hAnsi="Arial MT"/>
          <w:spacing w:val="-13"/>
        </w:rPr>
        <w:t xml:space="preserve"> </w:t>
      </w:r>
      <w:r>
        <w:rPr>
          <w:rFonts w:ascii="Arial MT" w:hAnsi="Arial MT"/>
        </w:rPr>
        <w:t>possibilidade</w:t>
      </w:r>
      <w:r>
        <w:rPr>
          <w:rFonts w:ascii="Arial MT" w:hAnsi="Arial MT"/>
          <w:spacing w:val="-13"/>
        </w:rPr>
        <w:t xml:space="preserve"> </w:t>
      </w:r>
      <w:r>
        <w:rPr>
          <w:rFonts w:ascii="Arial MT" w:hAnsi="Arial MT"/>
        </w:rPr>
        <w:t>de</w:t>
      </w:r>
      <w:r>
        <w:rPr>
          <w:rFonts w:ascii="Arial MT" w:hAnsi="Arial MT"/>
          <w:spacing w:val="-13"/>
        </w:rPr>
        <w:t xml:space="preserve"> </w:t>
      </w:r>
      <w:r>
        <w:rPr>
          <w:rFonts w:ascii="Arial MT" w:hAnsi="Arial MT"/>
        </w:rPr>
        <w:t>cobertura</w:t>
      </w:r>
      <w:r>
        <w:rPr>
          <w:rFonts w:ascii="Arial MT" w:hAnsi="Arial MT"/>
          <w:spacing w:val="-13"/>
        </w:rPr>
        <w:t xml:space="preserve"> </w:t>
      </w:r>
      <w:r>
        <w:rPr>
          <w:rFonts w:ascii="Arial MT" w:hAnsi="Arial MT"/>
        </w:rPr>
        <w:t>de</w:t>
      </w:r>
      <w:r>
        <w:rPr>
          <w:rFonts w:ascii="Arial MT" w:hAnsi="Arial MT"/>
          <w:spacing w:val="-13"/>
        </w:rPr>
        <w:t xml:space="preserve"> </w:t>
      </w:r>
      <w:r>
        <w:rPr>
          <w:rFonts w:ascii="Arial MT" w:hAnsi="Arial MT"/>
        </w:rPr>
        <w:t>suas</w:t>
      </w:r>
      <w:r>
        <w:rPr>
          <w:rFonts w:ascii="Arial MT" w:hAnsi="Arial MT"/>
          <w:spacing w:val="-13"/>
        </w:rPr>
        <w:t xml:space="preserve"> </w:t>
      </w:r>
      <w:r>
        <w:rPr>
          <w:rFonts w:ascii="Arial MT" w:hAnsi="Arial MT"/>
        </w:rPr>
        <w:t>necessidades</w:t>
      </w:r>
      <w:r>
        <w:rPr>
          <w:rFonts w:ascii="Arial MT" w:hAnsi="Arial MT"/>
          <w:spacing w:val="-13"/>
        </w:rPr>
        <w:t xml:space="preserve"> </w:t>
      </w:r>
      <w:r>
        <w:rPr>
          <w:rFonts w:ascii="Arial MT" w:hAnsi="Arial MT"/>
        </w:rPr>
        <w:t>de</w:t>
      </w:r>
      <w:r>
        <w:rPr>
          <w:rFonts w:ascii="Arial MT" w:hAnsi="Arial MT"/>
          <w:spacing w:val="-15"/>
        </w:rPr>
        <w:t xml:space="preserve"> </w:t>
      </w:r>
      <w:r>
        <w:rPr>
          <w:rFonts w:ascii="Arial MT" w:hAnsi="Arial MT"/>
        </w:rPr>
        <w:t>capital</w:t>
      </w:r>
      <w:r>
        <w:rPr>
          <w:rFonts w:ascii="Arial MT" w:hAnsi="Arial MT"/>
          <w:spacing w:val="-14"/>
        </w:rPr>
        <w:t xml:space="preserve"> </w:t>
      </w:r>
      <w:r>
        <w:rPr>
          <w:rFonts w:ascii="Arial MT" w:hAnsi="Arial MT"/>
        </w:rPr>
        <w:t>de</w:t>
      </w:r>
      <w:r>
        <w:rPr>
          <w:rFonts w:ascii="Arial MT" w:hAnsi="Arial MT"/>
          <w:spacing w:val="-13"/>
        </w:rPr>
        <w:t xml:space="preserve"> </w:t>
      </w:r>
      <w:r>
        <w:rPr>
          <w:rFonts w:ascii="Arial MT" w:hAnsi="Arial MT"/>
        </w:rPr>
        <w:t>giro.</w:t>
      </w:r>
      <w:r>
        <w:rPr>
          <w:rFonts w:ascii="Arial MT" w:hAnsi="Arial MT"/>
          <w:spacing w:val="-13"/>
        </w:rPr>
        <w:t xml:space="preserve"> </w:t>
      </w:r>
      <w:r>
        <w:rPr>
          <w:rFonts w:ascii="Arial MT" w:hAnsi="Arial MT"/>
        </w:rPr>
        <w:t>Ambas</w:t>
      </w:r>
      <w:r>
        <w:rPr>
          <w:rFonts w:ascii="Arial MT" w:hAnsi="Arial MT"/>
          <w:spacing w:val="-13"/>
        </w:rPr>
        <w:t xml:space="preserve"> </w:t>
      </w:r>
      <w:r>
        <w:rPr>
          <w:rFonts w:ascii="Arial MT" w:hAnsi="Arial MT"/>
        </w:rPr>
        <w:t>as</w:t>
      </w:r>
      <w:r>
        <w:rPr>
          <w:rFonts w:ascii="Arial MT" w:hAnsi="Arial MT"/>
          <w:spacing w:val="-15"/>
        </w:rPr>
        <w:t xml:space="preserve"> </w:t>
      </w:r>
      <w:r>
        <w:rPr>
          <w:rFonts w:ascii="Arial MT" w:hAnsi="Arial MT"/>
        </w:rPr>
        <w:t>medidas desse agregado (EBITDA e EBITDA Ajustado) não devem ser consideradas como alternativas ao Lucro Operacional e ao Fluxo de Caixa Operacional, quando utilizados como indicadores de liquidez. Destaca-se</w:t>
      </w:r>
    </w:p>
    <w:p w14:paraId="318463C5" w14:textId="77777777" w:rsidR="002C6574" w:rsidRDefault="00000000">
      <w:pPr>
        <w:pStyle w:val="Corpodetexto"/>
        <w:spacing w:before="1"/>
        <w:rPr>
          <w:rFonts w:ascii="Arial MT"/>
          <w:sz w:val="18"/>
        </w:rPr>
      </w:pPr>
      <w:r>
        <w:rPr>
          <w:rFonts w:ascii="Arial MT"/>
          <w:noProof/>
          <w:sz w:val="18"/>
        </w:rPr>
        <mc:AlternateContent>
          <mc:Choice Requires="wps">
            <w:drawing>
              <wp:anchor distT="0" distB="0" distL="0" distR="0" simplePos="0" relativeHeight="487634432" behindDoc="1" locked="0" layoutInCell="1" allowOverlap="1" wp14:anchorId="1A0AE608" wp14:editId="2F277B94">
                <wp:simplePos x="0" y="0"/>
                <wp:positionH relativeFrom="page">
                  <wp:posOffset>541019</wp:posOffset>
                </wp:positionH>
                <wp:positionV relativeFrom="paragraph">
                  <wp:posOffset>147659</wp:posOffset>
                </wp:positionV>
                <wp:extent cx="1829435" cy="7620"/>
                <wp:effectExtent l="0" t="0" r="0" b="0"/>
                <wp:wrapTopAndBottom/>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49EAF7" id="Graphic 409" o:spid="_x0000_s1026" style="position:absolute;margin-left:42.6pt;margin-top:11.65pt;width:144.05pt;height:.6pt;z-index:-156820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" path="m1829435,l,,,7620r1829435,l1829435,xe" fillcolor="black" stroked="f">
                <v:path arrowok="t"/>
                <w10:wrap type="topAndBottom" anchorx="page"/>
              </v:shape>
            </w:pict>
          </mc:Fallback>
        </mc:AlternateContent>
      </w:r>
    </w:p>
    <w:p w14:paraId="3EF453B5" w14:textId="77777777" w:rsidR="002C6574" w:rsidRDefault="00000000">
      <w:pPr>
        <w:spacing w:before="99"/>
        <w:ind w:left="427"/>
        <w:rPr>
          <w:rFonts w:ascii="Arial MT"/>
          <w:sz w:val="16"/>
        </w:rPr>
      </w:pPr>
      <w:bookmarkStart w:id="17" w:name="_bookmark17"/>
      <w:bookmarkEnd w:id="17"/>
      <w:r>
        <w:rPr>
          <w:rFonts w:ascii="Times New Roman"/>
          <w:position w:val="7"/>
          <w:sz w:val="13"/>
        </w:rPr>
        <w:t>6</w:t>
      </w:r>
      <w:r>
        <w:rPr>
          <w:rFonts w:ascii="Times New Roman"/>
          <w:spacing w:val="12"/>
          <w:position w:val="7"/>
          <w:sz w:val="13"/>
        </w:rPr>
        <w:t xml:space="preserve"> </w:t>
      </w:r>
      <w:r>
        <w:rPr>
          <w:rFonts w:ascii="Arial MT"/>
          <w:sz w:val="16"/>
        </w:rPr>
        <w:t>A</w:t>
      </w:r>
      <w:r>
        <w:rPr>
          <w:rFonts w:ascii="Arial MT"/>
          <w:spacing w:val="-4"/>
          <w:sz w:val="16"/>
        </w:rPr>
        <w:t xml:space="preserve"> </w:t>
      </w:r>
      <w:r>
        <w:rPr>
          <w:rFonts w:ascii="Arial MT"/>
          <w:sz w:val="16"/>
        </w:rPr>
        <w:t>cor</w:t>
      </w:r>
      <w:r>
        <w:rPr>
          <w:rFonts w:ascii="Arial MT"/>
          <w:spacing w:val="-6"/>
          <w:sz w:val="16"/>
        </w:rPr>
        <w:t xml:space="preserve"> </w:t>
      </w:r>
      <w:r>
        <w:rPr>
          <w:rFonts w:ascii="Arial MT"/>
          <w:sz w:val="16"/>
        </w:rPr>
        <w:t>vermelha</w:t>
      </w:r>
      <w:r>
        <w:rPr>
          <w:rFonts w:ascii="Arial MT"/>
          <w:spacing w:val="-5"/>
          <w:sz w:val="16"/>
        </w:rPr>
        <w:t xml:space="preserve"> </w:t>
      </w:r>
      <w:r>
        <w:rPr>
          <w:rFonts w:ascii="Arial MT"/>
          <w:sz w:val="16"/>
        </w:rPr>
        <w:t>representa</w:t>
      </w:r>
      <w:r>
        <w:rPr>
          <w:rFonts w:ascii="Arial MT"/>
          <w:spacing w:val="-4"/>
          <w:sz w:val="16"/>
        </w:rPr>
        <w:t xml:space="preserve"> </w:t>
      </w:r>
      <w:r>
        <w:rPr>
          <w:rFonts w:ascii="Arial MT"/>
          <w:sz w:val="16"/>
        </w:rPr>
        <w:t>aumento</w:t>
      </w:r>
      <w:r>
        <w:rPr>
          <w:rFonts w:ascii="Arial MT"/>
          <w:spacing w:val="-3"/>
          <w:sz w:val="16"/>
        </w:rPr>
        <w:t xml:space="preserve"> </w:t>
      </w:r>
      <w:r>
        <w:rPr>
          <w:rFonts w:ascii="Arial MT"/>
          <w:sz w:val="16"/>
        </w:rPr>
        <w:t>dos</w:t>
      </w:r>
      <w:r>
        <w:rPr>
          <w:rFonts w:ascii="Arial MT"/>
          <w:spacing w:val="-5"/>
          <w:sz w:val="16"/>
        </w:rPr>
        <w:t xml:space="preserve"> </w:t>
      </w:r>
      <w:r>
        <w:rPr>
          <w:rFonts w:ascii="Arial MT"/>
          <w:spacing w:val="-2"/>
          <w:sz w:val="16"/>
        </w:rPr>
        <w:t>custos/despesas.</w:t>
      </w:r>
    </w:p>
    <w:p w14:paraId="3E3C2A1C" w14:textId="77777777" w:rsidR="002C6574" w:rsidRDefault="002C6574">
      <w:pPr>
        <w:rPr>
          <w:rFonts w:ascii="Arial MT"/>
          <w:sz w:val="16"/>
        </w:rPr>
        <w:sectPr w:rsidR="002C6574">
          <w:type w:val="continuous"/>
          <w:pgSz w:w="11910" w:h="16840"/>
          <w:pgMar w:top="0" w:right="425" w:bottom="0" w:left="425" w:header="1197" w:footer="994" w:gutter="0"/>
          <w:cols w:space="720"/>
        </w:sectPr>
      </w:pPr>
    </w:p>
    <w:p w14:paraId="25284878" w14:textId="77777777" w:rsidR="002C6574" w:rsidRDefault="002C6574">
      <w:pPr>
        <w:pStyle w:val="Corpodetexto"/>
        <w:rPr>
          <w:rFonts w:ascii="Arial MT"/>
        </w:rPr>
      </w:pPr>
    </w:p>
    <w:p w14:paraId="1570E456" w14:textId="77777777" w:rsidR="002C6574" w:rsidRDefault="00000000">
      <w:pPr>
        <w:pStyle w:val="Corpodetexto"/>
        <w:ind w:left="427"/>
        <w:rPr>
          <w:rFonts w:ascii="Arial MT" w:hAnsi="Arial MT"/>
        </w:rPr>
      </w:pPr>
      <w:r>
        <w:rPr>
          <w:rFonts w:ascii="Arial MT" w:hAnsi="Arial MT"/>
          <w:noProof/>
        </w:rPr>
        <mc:AlternateContent>
          <mc:Choice Requires="wpg">
            <w:drawing>
              <wp:anchor distT="0" distB="0" distL="0" distR="0" simplePos="0" relativeHeight="15779328" behindDoc="0" locked="0" layoutInCell="1" allowOverlap="1" wp14:anchorId="18BC98DC" wp14:editId="1640FD53">
                <wp:simplePos x="0" y="0"/>
                <wp:positionH relativeFrom="page">
                  <wp:posOffset>443483</wp:posOffset>
                </wp:positionH>
                <wp:positionV relativeFrom="paragraph">
                  <wp:posOffset>-164699</wp:posOffset>
                </wp:positionV>
                <wp:extent cx="6922134" cy="105410"/>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134" cy="105410"/>
                          <a:chOff x="0" y="0"/>
                          <a:chExt cx="6922134" cy="105410"/>
                        </a:xfrm>
                      </wpg:grpSpPr>
                      <pic:pic xmlns:pic="http://schemas.openxmlformats.org/drawingml/2006/picture">
                        <pic:nvPicPr>
                          <pic:cNvPr id="411" name="Image 411"/>
                          <pic:cNvPicPr/>
                        </pic:nvPicPr>
                        <pic:blipFill>
                          <a:blip r:embed="rId213" cstate="print"/>
                          <a:stretch>
                            <a:fillRect/>
                          </a:stretch>
                        </pic:blipFill>
                        <pic:spPr>
                          <a:xfrm>
                            <a:off x="0" y="0"/>
                            <a:ext cx="6922008" cy="105155"/>
                          </a:xfrm>
                          <a:prstGeom prst="rect">
                            <a:avLst/>
                          </a:prstGeom>
                        </pic:spPr>
                      </pic:pic>
                      <wps:wsp>
                        <wps:cNvPr id="412" name="Graphic 412"/>
                        <wps:cNvSpPr/>
                        <wps:spPr>
                          <a:xfrm>
                            <a:off x="42290" y="34925"/>
                            <a:ext cx="6829425" cy="1270"/>
                          </a:xfrm>
                          <a:custGeom>
                            <a:avLst/>
                            <a:gdLst/>
                            <a:ahLst/>
                            <a:cxnLst/>
                            <a:rect l="l" t="t" r="r" b="b"/>
                            <a:pathLst>
                              <a:path w="6829425">
                                <a:moveTo>
                                  <a:pt x="0" y="0"/>
                                </a:moveTo>
                                <a:lnTo>
                                  <a:pt x="6829425" y="0"/>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4F60FAB1" id="Group 410" o:spid="_x0000_s1026" style="position:absolute;margin-left:34.9pt;margin-top:-12.95pt;width:545.05pt;height:8.3pt;z-index:15779328;mso-wrap-distance-left:0;mso-wrap-distance-right:0;mso-position-horizontal-relative:page" coordsize="69221,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">
                <v:shape id="Image 411" o:spid="_x0000_s1027" type="#_x0000_t75" style="position:absolute;width:692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">
                  <v:imagedata r:id="rId214" o:title=""/>
                </v:shape>
                <v:shape id="Graphic 412" o:spid="_x0000_s1028" style="position:absolute;left:422;top:349;width:68295;height:12;visibility:visible;mso-wrap-style:square;v-text-anchor:top" coordsize="682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" path="m,l6829425,e" filled="f" strokecolor="blue" strokeweight="2pt">
                  <v:path arrowok="t"/>
                </v:shape>
                <w10:wrap anchorx="page"/>
              </v:group>
            </w:pict>
          </mc:Fallback>
        </mc:AlternateContent>
      </w:r>
      <w:r>
        <w:rPr>
          <w:rFonts w:ascii="Arial MT" w:hAnsi="Arial MT"/>
        </w:rPr>
        <w:t>ainda</w:t>
      </w:r>
      <w:r>
        <w:rPr>
          <w:rFonts w:ascii="Arial MT" w:hAnsi="Arial MT"/>
          <w:spacing w:val="36"/>
        </w:rPr>
        <w:t xml:space="preserve"> </w:t>
      </w:r>
      <w:r>
        <w:rPr>
          <w:rFonts w:ascii="Arial MT" w:hAnsi="Arial MT"/>
        </w:rPr>
        <w:t>que</w:t>
      </w:r>
      <w:r>
        <w:rPr>
          <w:rFonts w:ascii="Arial MT" w:hAnsi="Arial MT"/>
          <w:spacing w:val="36"/>
        </w:rPr>
        <w:t xml:space="preserve"> </w:t>
      </w:r>
      <w:r>
        <w:rPr>
          <w:rFonts w:ascii="Arial MT" w:hAnsi="Arial MT"/>
        </w:rPr>
        <w:t>o</w:t>
      </w:r>
      <w:r>
        <w:rPr>
          <w:rFonts w:ascii="Arial MT" w:hAnsi="Arial MT"/>
          <w:spacing w:val="34"/>
        </w:rPr>
        <w:t xml:space="preserve"> </w:t>
      </w:r>
      <w:r>
        <w:rPr>
          <w:rFonts w:ascii="Arial MT" w:hAnsi="Arial MT"/>
        </w:rPr>
        <w:t>EBITDA</w:t>
      </w:r>
      <w:r>
        <w:rPr>
          <w:rFonts w:ascii="Arial MT" w:hAnsi="Arial MT"/>
          <w:spacing w:val="36"/>
        </w:rPr>
        <w:t xml:space="preserve"> </w:t>
      </w:r>
      <w:r>
        <w:rPr>
          <w:rFonts w:ascii="Arial MT" w:hAnsi="Arial MT"/>
        </w:rPr>
        <w:t>Ajustado</w:t>
      </w:r>
      <w:r>
        <w:rPr>
          <w:rFonts w:ascii="Arial MT" w:hAnsi="Arial MT"/>
          <w:spacing w:val="36"/>
        </w:rPr>
        <w:t xml:space="preserve"> </w:t>
      </w:r>
      <w:r>
        <w:rPr>
          <w:rFonts w:ascii="Arial MT" w:hAnsi="Arial MT"/>
        </w:rPr>
        <w:t>pode</w:t>
      </w:r>
      <w:r>
        <w:rPr>
          <w:rFonts w:ascii="Arial MT" w:hAnsi="Arial MT"/>
          <w:spacing w:val="36"/>
        </w:rPr>
        <w:t xml:space="preserve"> </w:t>
      </w:r>
      <w:r>
        <w:rPr>
          <w:rFonts w:ascii="Arial MT" w:hAnsi="Arial MT"/>
        </w:rPr>
        <w:t>não</w:t>
      </w:r>
      <w:r>
        <w:rPr>
          <w:rFonts w:ascii="Arial MT" w:hAnsi="Arial MT"/>
          <w:spacing w:val="34"/>
        </w:rPr>
        <w:t xml:space="preserve"> </w:t>
      </w:r>
      <w:r>
        <w:rPr>
          <w:rFonts w:ascii="Arial MT" w:hAnsi="Arial MT"/>
        </w:rPr>
        <w:t>ser</w:t>
      </w:r>
      <w:r>
        <w:rPr>
          <w:rFonts w:ascii="Arial MT" w:hAnsi="Arial MT"/>
          <w:spacing w:val="38"/>
        </w:rPr>
        <w:t xml:space="preserve"> </w:t>
      </w:r>
      <w:r>
        <w:rPr>
          <w:rFonts w:ascii="Arial MT" w:hAnsi="Arial MT"/>
        </w:rPr>
        <w:t>comparável</w:t>
      </w:r>
      <w:r>
        <w:rPr>
          <w:rFonts w:ascii="Arial MT" w:hAnsi="Arial MT"/>
          <w:spacing w:val="34"/>
        </w:rPr>
        <w:t xml:space="preserve"> </w:t>
      </w:r>
      <w:r>
        <w:rPr>
          <w:rFonts w:ascii="Arial MT" w:hAnsi="Arial MT"/>
        </w:rPr>
        <w:t>com</w:t>
      </w:r>
      <w:r>
        <w:rPr>
          <w:rFonts w:ascii="Arial MT" w:hAnsi="Arial MT"/>
          <w:spacing w:val="35"/>
        </w:rPr>
        <w:t xml:space="preserve"> </w:t>
      </w:r>
      <w:r>
        <w:rPr>
          <w:rFonts w:ascii="Arial MT" w:hAnsi="Arial MT"/>
        </w:rPr>
        <w:t>o</w:t>
      </w:r>
      <w:r>
        <w:rPr>
          <w:rFonts w:ascii="Arial MT" w:hAnsi="Arial MT"/>
          <w:spacing w:val="32"/>
        </w:rPr>
        <w:t xml:space="preserve"> </w:t>
      </w:r>
      <w:r>
        <w:rPr>
          <w:rFonts w:ascii="Arial MT" w:hAnsi="Arial MT"/>
        </w:rPr>
        <w:t>mesmo</w:t>
      </w:r>
      <w:r>
        <w:rPr>
          <w:rFonts w:ascii="Arial MT" w:hAnsi="Arial MT"/>
          <w:spacing w:val="36"/>
        </w:rPr>
        <w:t xml:space="preserve"> </w:t>
      </w:r>
      <w:r>
        <w:rPr>
          <w:rFonts w:ascii="Arial MT" w:hAnsi="Arial MT"/>
        </w:rPr>
        <w:t>indicador</w:t>
      </w:r>
      <w:r>
        <w:rPr>
          <w:rFonts w:ascii="Arial MT" w:hAnsi="Arial MT"/>
          <w:spacing w:val="37"/>
        </w:rPr>
        <w:t xml:space="preserve"> </w:t>
      </w:r>
      <w:r>
        <w:rPr>
          <w:rFonts w:ascii="Arial MT" w:hAnsi="Arial MT"/>
        </w:rPr>
        <w:t>divulgado</w:t>
      </w:r>
      <w:r>
        <w:rPr>
          <w:rFonts w:ascii="Arial MT" w:hAnsi="Arial MT"/>
          <w:spacing w:val="34"/>
        </w:rPr>
        <w:t xml:space="preserve"> </w:t>
      </w:r>
      <w:r>
        <w:rPr>
          <w:rFonts w:ascii="Arial MT" w:hAnsi="Arial MT"/>
        </w:rPr>
        <w:t>por</w:t>
      </w:r>
      <w:r>
        <w:rPr>
          <w:rFonts w:ascii="Arial MT" w:hAnsi="Arial MT"/>
          <w:spacing w:val="37"/>
        </w:rPr>
        <w:t xml:space="preserve"> </w:t>
      </w:r>
      <w:r>
        <w:rPr>
          <w:rFonts w:ascii="Arial MT" w:hAnsi="Arial MT"/>
        </w:rPr>
        <w:t xml:space="preserve">outras </w:t>
      </w:r>
      <w:r>
        <w:rPr>
          <w:rFonts w:ascii="Arial MT" w:hAnsi="Arial MT"/>
          <w:spacing w:val="-2"/>
        </w:rPr>
        <w:t>empresas.</w:t>
      </w:r>
    </w:p>
    <w:p w14:paraId="26F46852" w14:textId="77777777" w:rsidR="002C6574" w:rsidRDefault="002C6574">
      <w:pPr>
        <w:pStyle w:val="Corpodetexto"/>
        <w:spacing w:before="2"/>
        <w:rPr>
          <w:rFonts w:ascii="Arial MT"/>
        </w:rPr>
      </w:pPr>
    </w:p>
    <w:p w14:paraId="0952EAA8" w14:textId="77777777" w:rsidR="002C6574" w:rsidRDefault="00000000">
      <w:pPr>
        <w:pStyle w:val="Corpodetexto"/>
        <w:ind w:left="427"/>
        <w:rPr>
          <w:rFonts w:ascii="Arial MT" w:hAnsi="Arial MT"/>
        </w:rPr>
      </w:pPr>
      <w:r>
        <w:rPr>
          <w:rFonts w:ascii="Arial MT" w:hAnsi="Arial MT"/>
        </w:rPr>
        <w:t>Em 2025, o EBITDA Ajustado</w:t>
      </w:r>
      <w:r>
        <w:rPr>
          <w:rFonts w:ascii="Arial MT" w:hAnsi="Arial MT"/>
          <w:spacing w:val="-2"/>
        </w:rPr>
        <w:t xml:space="preserve"> </w:t>
      </w:r>
      <w:r>
        <w:rPr>
          <w:rFonts w:ascii="Arial MT" w:hAnsi="Arial MT"/>
        </w:rPr>
        <w:t>totalizou R$ 373,2</w:t>
      </w:r>
      <w:r>
        <w:rPr>
          <w:rFonts w:ascii="Arial MT" w:hAnsi="Arial MT"/>
          <w:spacing w:val="-4"/>
        </w:rPr>
        <w:t xml:space="preserve"> </w:t>
      </w:r>
      <w:r>
        <w:rPr>
          <w:rFonts w:ascii="Arial MT" w:hAnsi="Arial MT"/>
        </w:rPr>
        <w:t>milhões, ante</w:t>
      </w:r>
      <w:r>
        <w:rPr>
          <w:rFonts w:ascii="Arial MT" w:hAnsi="Arial MT"/>
          <w:spacing w:val="-2"/>
        </w:rPr>
        <w:t xml:space="preserve"> </w:t>
      </w:r>
      <w:r>
        <w:rPr>
          <w:rFonts w:ascii="Arial MT" w:hAnsi="Arial MT"/>
        </w:rPr>
        <w:t>R$ 95,1</w:t>
      </w:r>
      <w:r>
        <w:rPr>
          <w:rFonts w:ascii="Arial MT" w:hAnsi="Arial MT"/>
          <w:spacing w:val="-2"/>
        </w:rPr>
        <w:t xml:space="preserve"> </w:t>
      </w:r>
      <w:r>
        <w:rPr>
          <w:rFonts w:ascii="Arial MT" w:hAnsi="Arial MT"/>
        </w:rPr>
        <w:t>milhões em</w:t>
      </w:r>
      <w:r>
        <w:rPr>
          <w:rFonts w:ascii="Arial MT" w:hAnsi="Arial MT"/>
          <w:spacing w:val="-1"/>
        </w:rPr>
        <w:t xml:space="preserve"> </w:t>
      </w:r>
      <w:r>
        <w:rPr>
          <w:rFonts w:ascii="Arial MT" w:hAnsi="Arial MT"/>
        </w:rPr>
        <w:t>2024, o</w:t>
      </w:r>
      <w:r>
        <w:rPr>
          <w:rFonts w:ascii="Arial MT" w:hAnsi="Arial MT"/>
          <w:spacing w:val="-2"/>
        </w:rPr>
        <w:t xml:space="preserve"> </w:t>
      </w:r>
      <w:r>
        <w:rPr>
          <w:rFonts w:ascii="Arial MT" w:hAnsi="Arial MT"/>
        </w:rPr>
        <w:t>que</w:t>
      </w:r>
      <w:r>
        <w:rPr>
          <w:rFonts w:ascii="Arial MT" w:hAnsi="Arial MT"/>
          <w:spacing w:val="-2"/>
        </w:rPr>
        <w:t xml:space="preserve"> </w:t>
      </w:r>
      <w:r>
        <w:rPr>
          <w:rFonts w:ascii="Arial MT" w:hAnsi="Arial MT"/>
        </w:rPr>
        <w:t xml:space="preserve">representa </w:t>
      </w:r>
      <w:r>
        <w:rPr>
          <w:rFonts w:ascii="Arial MT" w:hAnsi="Arial MT"/>
          <w:spacing w:val="-2"/>
        </w:rPr>
        <w:t>um</w:t>
      </w:r>
      <w:r>
        <w:rPr>
          <w:rFonts w:ascii="Arial MT" w:hAnsi="Arial MT"/>
          <w:spacing w:val="-9"/>
        </w:rPr>
        <w:t xml:space="preserve"> </w:t>
      </w:r>
      <w:r>
        <w:rPr>
          <w:rFonts w:ascii="Arial MT" w:hAnsi="Arial MT"/>
          <w:spacing w:val="-2"/>
        </w:rPr>
        <w:t>crescimento</w:t>
      </w:r>
      <w:r>
        <w:rPr>
          <w:rFonts w:ascii="Arial MT" w:hAnsi="Arial MT"/>
          <w:spacing w:val="-8"/>
        </w:rPr>
        <w:t xml:space="preserve"> </w:t>
      </w:r>
      <w:r>
        <w:rPr>
          <w:rFonts w:ascii="Arial MT" w:hAnsi="Arial MT"/>
          <w:spacing w:val="-2"/>
        </w:rPr>
        <w:t>de</w:t>
      </w:r>
      <w:r>
        <w:rPr>
          <w:rFonts w:ascii="Arial MT" w:hAnsi="Arial MT"/>
          <w:spacing w:val="-7"/>
        </w:rPr>
        <w:t xml:space="preserve"> </w:t>
      </w:r>
      <w:r>
        <w:rPr>
          <w:rFonts w:ascii="Arial MT" w:hAnsi="Arial MT"/>
          <w:spacing w:val="-2"/>
        </w:rPr>
        <w:t>292,4%</w:t>
      </w:r>
      <w:r>
        <w:rPr>
          <w:rFonts w:ascii="Arial MT" w:hAnsi="Arial MT"/>
          <w:spacing w:val="-5"/>
        </w:rPr>
        <w:t xml:space="preserve"> </w:t>
      </w:r>
      <w:r>
        <w:rPr>
          <w:rFonts w:ascii="Arial MT" w:hAnsi="Arial MT"/>
          <w:spacing w:val="-2"/>
        </w:rPr>
        <w:t>na</w:t>
      </w:r>
      <w:r>
        <w:rPr>
          <w:rFonts w:ascii="Arial MT" w:hAnsi="Arial MT"/>
          <w:spacing w:val="-7"/>
        </w:rPr>
        <w:t xml:space="preserve"> </w:t>
      </w:r>
      <w:r>
        <w:rPr>
          <w:rFonts w:ascii="Arial MT" w:hAnsi="Arial MT"/>
          <w:spacing w:val="-2"/>
        </w:rPr>
        <w:t>comparação</w:t>
      </w:r>
      <w:r>
        <w:rPr>
          <w:rFonts w:ascii="Arial MT" w:hAnsi="Arial MT"/>
          <w:spacing w:val="-6"/>
        </w:rPr>
        <w:t xml:space="preserve"> </w:t>
      </w:r>
      <w:r>
        <w:rPr>
          <w:rFonts w:ascii="Arial MT" w:hAnsi="Arial MT"/>
          <w:spacing w:val="-2"/>
        </w:rPr>
        <w:t>anual.</w:t>
      </w:r>
      <w:r>
        <w:rPr>
          <w:rFonts w:ascii="Arial MT" w:hAnsi="Arial MT"/>
          <w:spacing w:val="-6"/>
        </w:rPr>
        <w:t xml:space="preserve"> </w:t>
      </w:r>
      <w:r>
        <w:rPr>
          <w:rFonts w:ascii="Arial MT" w:hAnsi="Arial MT"/>
          <w:spacing w:val="-2"/>
        </w:rPr>
        <w:t>Esse</w:t>
      </w:r>
      <w:r>
        <w:rPr>
          <w:rFonts w:ascii="Arial MT" w:hAnsi="Arial MT"/>
          <w:spacing w:val="-6"/>
        </w:rPr>
        <w:t xml:space="preserve"> </w:t>
      </w:r>
      <w:r>
        <w:rPr>
          <w:rFonts w:ascii="Arial MT" w:hAnsi="Arial MT"/>
          <w:spacing w:val="-2"/>
        </w:rPr>
        <w:t>incremento</w:t>
      </w:r>
      <w:r>
        <w:rPr>
          <w:rFonts w:ascii="Arial MT" w:hAnsi="Arial MT"/>
          <w:spacing w:val="-7"/>
        </w:rPr>
        <w:t xml:space="preserve"> </w:t>
      </w:r>
      <w:r>
        <w:rPr>
          <w:rFonts w:ascii="Arial MT" w:hAnsi="Arial MT"/>
          <w:spacing w:val="-2"/>
        </w:rPr>
        <w:t>decorre,</w:t>
      </w:r>
      <w:r>
        <w:rPr>
          <w:rFonts w:ascii="Arial MT" w:hAnsi="Arial MT"/>
          <w:spacing w:val="-4"/>
        </w:rPr>
        <w:t xml:space="preserve"> </w:t>
      </w:r>
      <w:r>
        <w:rPr>
          <w:rFonts w:ascii="Arial MT" w:hAnsi="Arial MT"/>
          <w:spacing w:val="-2"/>
        </w:rPr>
        <w:t>essencialmente,</w:t>
      </w:r>
      <w:r>
        <w:rPr>
          <w:rFonts w:ascii="Arial MT" w:hAnsi="Arial MT"/>
          <w:spacing w:val="-6"/>
        </w:rPr>
        <w:t xml:space="preserve"> </w:t>
      </w:r>
      <w:r>
        <w:rPr>
          <w:rFonts w:ascii="Arial MT" w:hAnsi="Arial MT"/>
          <w:spacing w:val="-2"/>
        </w:rPr>
        <w:t>de</w:t>
      </w:r>
      <w:r>
        <w:rPr>
          <w:rFonts w:ascii="Arial MT" w:hAnsi="Arial MT"/>
          <w:spacing w:val="-8"/>
        </w:rPr>
        <w:t xml:space="preserve"> </w:t>
      </w:r>
      <w:r>
        <w:rPr>
          <w:rFonts w:ascii="Arial MT" w:hAnsi="Arial MT"/>
          <w:spacing w:val="-2"/>
        </w:rPr>
        <w:t>três</w:t>
      </w:r>
      <w:r>
        <w:rPr>
          <w:rFonts w:ascii="Arial MT" w:hAnsi="Arial MT"/>
          <w:spacing w:val="-7"/>
        </w:rPr>
        <w:t xml:space="preserve"> </w:t>
      </w:r>
      <w:r>
        <w:rPr>
          <w:rFonts w:ascii="Arial MT" w:hAnsi="Arial MT"/>
          <w:spacing w:val="-2"/>
        </w:rPr>
        <w:t>fatores:</w:t>
      </w:r>
    </w:p>
    <w:p w14:paraId="4D00F2D7" w14:textId="77777777" w:rsidR="002C6574" w:rsidRDefault="00000000">
      <w:pPr>
        <w:pStyle w:val="PargrafodaLista"/>
        <w:numPr>
          <w:ilvl w:val="0"/>
          <w:numId w:val="3"/>
        </w:numPr>
        <w:tabs>
          <w:tab w:val="left" w:pos="667"/>
        </w:tabs>
        <w:ind w:right="138" w:firstLine="0"/>
        <w:rPr>
          <w:rFonts w:ascii="Arial MT" w:hAnsi="Arial MT"/>
        </w:rPr>
      </w:pPr>
      <w:r>
        <w:rPr>
          <w:rFonts w:ascii="Arial MT" w:hAnsi="Arial MT"/>
        </w:rPr>
        <w:t>expansão</w:t>
      </w:r>
      <w:r>
        <w:rPr>
          <w:rFonts w:ascii="Arial MT" w:hAnsi="Arial MT"/>
          <w:spacing w:val="40"/>
        </w:rPr>
        <w:t xml:space="preserve"> </w:t>
      </w:r>
      <w:r>
        <w:rPr>
          <w:rFonts w:ascii="Arial MT" w:hAnsi="Arial MT"/>
        </w:rPr>
        <w:t>da</w:t>
      </w:r>
      <w:r>
        <w:rPr>
          <w:rFonts w:ascii="Arial MT" w:hAnsi="Arial MT"/>
          <w:spacing w:val="40"/>
        </w:rPr>
        <w:t xml:space="preserve"> </w:t>
      </w:r>
      <w:r>
        <w:rPr>
          <w:rFonts w:ascii="Arial MT" w:hAnsi="Arial MT"/>
        </w:rPr>
        <w:t>Receita</w:t>
      </w:r>
      <w:r>
        <w:rPr>
          <w:rFonts w:ascii="Arial MT" w:hAnsi="Arial MT"/>
          <w:spacing w:val="40"/>
        </w:rPr>
        <w:t xml:space="preserve"> </w:t>
      </w:r>
      <w:r>
        <w:rPr>
          <w:rFonts w:ascii="Arial MT" w:hAnsi="Arial MT"/>
        </w:rPr>
        <w:t>Operacional</w:t>
      </w:r>
      <w:r>
        <w:rPr>
          <w:rFonts w:ascii="Arial MT" w:hAnsi="Arial MT"/>
          <w:spacing w:val="40"/>
        </w:rPr>
        <w:t xml:space="preserve"> </w:t>
      </w:r>
      <w:r>
        <w:rPr>
          <w:rFonts w:ascii="Arial MT" w:hAnsi="Arial MT"/>
        </w:rPr>
        <w:t>Líquida;</w:t>
      </w:r>
      <w:r>
        <w:rPr>
          <w:rFonts w:ascii="Arial MT" w:hAnsi="Arial MT"/>
          <w:spacing w:val="40"/>
        </w:rPr>
        <w:t xml:space="preserve"> </w:t>
      </w:r>
      <w:r>
        <w:rPr>
          <w:rFonts w:ascii="Arial MT" w:hAnsi="Arial MT"/>
        </w:rPr>
        <w:t>ii)</w:t>
      </w:r>
      <w:r>
        <w:rPr>
          <w:rFonts w:ascii="Arial MT" w:hAnsi="Arial MT"/>
          <w:spacing w:val="40"/>
        </w:rPr>
        <w:t xml:space="preserve"> </w:t>
      </w:r>
      <w:r>
        <w:rPr>
          <w:rFonts w:ascii="Arial MT" w:hAnsi="Arial MT"/>
        </w:rPr>
        <w:t>aumento</w:t>
      </w:r>
      <w:r>
        <w:rPr>
          <w:rFonts w:ascii="Arial MT" w:hAnsi="Arial MT"/>
          <w:spacing w:val="40"/>
        </w:rPr>
        <w:t xml:space="preserve"> </w:t>
      </w:r>
      <w:r>
        <w:rPr>
          <w:rFonts w:ascii="Arial MT" w:hAnsi="Arial MT"/>
        </w:rPr>
        <w:t>das</w:t>
      </w:r>
      <w:r>
        <w:rPr>
          <w:rFonts w:ascii="Arial MT" w:hAnsi="Arial MT"/>
          <w:spacing w:val="40"/>
        </w:rPr>
        <w:t xml:space="preserve"> </w:t>
      </w:r>
      <w:r>
        <w:rPr>
          <w:rFonts w:ascii="Arial MT" w:hAnsi="Arial MT"/>
        </w:rPr>
        <w:t>Subvenções</w:t>
      </w:r>
      <w:r>
        <w:rPr>
          <w:rFonts w:ascii="Arial MT" w:hAnsi="Arial MT"/>
          <w:spacing w:val="40"/>
        </w:rPr>
        <w:t xml:space="preserve"> </w:t>
      </w:r>
      <w:r>
        <w:rPr>
          <w:rFonts w:ascii="Arial MT" w:hAnsi="Arial MT"/>
        </w:rPr>
        <w:t>Orçamentárias</w:t>
      </w:r>
      <w:r>
        <w:rPr>
          <w:rFonts w:ascii="Arial MT" w:hAnsi="Arial MT"/>
          <w:spacing w:val="40"/>
        </w:rPr>
        <w:t xml:space="preserve"> </w:t>
      </w:r>
      <w:r>
        <w:rPr>
          <w:rFonts w:ascii="Arial MT" w:hAnsi="Arial MT"/>
        </w:rPr>
        <w:t>Recebidas, destinadas</w:t>
      </w:r>
      <w:r>
        <w:rPr>
          <w:rFonts w:ascii="Arial MT" w:hAnsi="Arial MT"/>
          <w:spacing w:val="24"/>
        </w:rPr>
        <w:t xml:space="preserve"> </w:t>
      </w:r>
      <w:r>
        <w:rPr>
          <w:rFonts w:ascii="Arial MT" w:hAnsi="Arial MT"/>
        </w:rPr>
        <w:t>ao</w:t>
      </w:r>
      <w:r>
        <w:rPr>
          <w:rFonts w:ascii="Arial MT" w:hAnsi="Arial MT"/>
          <w:spacing w:val="23"/>
        </w:rPr>
        <w:t xml:space="preserve"> </w:t>
      </w:r>
      <w:r>
        <w:rPr>
          <w:rFonts w:ascii="Arial MT" w:hAnsi="Arial MT"/>
        </w:rPr>
        <w:t>pagamento</w:t>
      </w:r>
      <w:r>
        <w:rPr>
          <w:rFonts w:ascii="Arial MT" w:hAnsi="Arial MT"/>
          <w:spacing w:val="24"/>
        </w:rPr>
        <w:t xml:space="preserve"> </w:t>
      </w:r>
      <w:r>
        <w:rPr>
          <w:rFonts w:ascii="Arial MT" w:hAnsi="Arial MT"/>
        </w:rPr>
        <w:t>de</w:t>
      </w:r>
      <w:r>
        <w:rPr>
          <w:rFonts w:ascii="Arial MT" w:hAnsi="Arial MT"/>
          <w:spacing w:val="23"/>
        </w:rPr>
        <w:t xml:space="preserve"> </w:t>
      </w:r>
      <w:r>
        <w:rPr>
          <w:rFonts w:ascii="Arial MT" w:hAnsi="Arial MT"/>
        </w:rPr>
        <w:t>pessoal,</w:t>
      </w:r>
      <w:r>
        <w:rPr>
          <w:rFonts w:ascii="Arial MT" w:hAnsi="Arial MT"/>
          <w:spacing w:val="25"/>
        </w:rPr>
        <w:t xml:space="preserve"> </w:t>
      </w:r>
      <w:r>
        <w:rPr>
          <w:rFonts w:ascii="Arial MT" w:hAnsi="Arial MT"/>
        </w:rPr>
        <w:t>outros</w:t>
      </w:r>
      <w:r>
        <w:rPr>
          <w:rFonts w:ascii="Arial MT" w:hAnsi="Arial MT"/>
          <w:spacing w:val="24"/>
        </w:rPr>
        <w:t xml:space="preserve"> </w:t>
      </w:r>
      <w:r>
        <w:rPr>
          <w:rFonts w:ascii="Arial MT" w:hAnsi="Arial MT"/>
        </w:rPr>
        <w:t>custeios</w:t>
      </w:r>
      <w:r>
        <w:rPr>
          <w:rFonts w:ascii="Arial MT" w:hAnsi="Arial MT"/>
          <w:spacing w:val="24"/>
        </w:rPr>
        <w:t xml:space="preserve"> </w:t>
      </w:r>
      <w:r>
        <w:rPr>
          <w:rFonts w:ascii="Arial MT" w:hAnsi="Arial MT"/>
        </w:rPr>
        <w:t>e</w:t>
      </w:r>
      <w:r>
        <w:rPr>
          <w:rFonts w:ascii="Arial MT" w:hAnsi="Arial MT"/>
          <w:spacing w:val="24"/>
        </w:rPr>
        <w:t xml:space="preserve"> </w:t>
      </w:r>
      <w:r>
        <w:rPr>
          <w:rFonts w:ascii="Arial MT" w:hAnsi="Arial MT"/>
        </w:rPr>
        <w:t>obrigações</w:t>
      </w:r>
      <w:r>
        <w:rPr>
          <w:rFonts w:ascii="Arial MT" w:hAnsi="Arial MT"/>
          <w:spacing w:val="24"/>
        </w:rPr>
        <w:t xml:space="preserve"> </w:t>
      </w:r>
      <w:r>
        <w:rPr>
          <w:rFonts w:ascii="Arial MT" w:hAnsi="Arial MT"/>
        </w:rPr>
        <w:t>vinculadas</w:t>
      </w:r>
      <w:r>
        <w:rPr>
          <w:rFonts w:ascii="Arial MT" w:hAnsi="Arial MT"/>
          <w:spacing w:val="24"/>
        </w:rPr>
        <w:t xml:space="preserve"> </w:t>
      </w:r>
      <w:r>
        <w:rPr>
          <w:rFonts w:ascii="Arial MT" w:hAnsi="Arial MT"/>
        </w:rPr>
        <w:t>ao</w:t>
      </w:r>
      <w:r>
        <w:rPr>
          <w:rFonts w:ascii="Arial MT" w:hAnsi="Arial MT"/>
          <w:spacing w:val="23"/>
        </w:rPr>
        <w:t xml:space="preserve"> </w:t>
      </w:r>
      <w:r>
        <w:rPr>
          <w:rFonts w:ascii="Arial MT" w:hAnsi="Arial MT"/>
        </w:rPr>
        <w:t>contrato</w:t>
      </w:r>
      <w:r>
        <w:rPr>
          <w:rFonts w:ascii="Arial MT" w:hAnsi="Arial MT"/>
          <w:spacing w:val="22"/>
        </w:rPr>
        <w:t xml:space="preserve"> </w:t>
      </w:r>
      <w:r>
        <w:rPr>
          <w:rFonts w:ascii="Arial MT" w:hAnsi="Arial MT"/>
        </w:rPr>
        <w:t>de</w:t>
      </w:r>
      <w:r>
        <w:rPr>
          <w:rFonts w:ascii="Arial MT" w:hAnsi="Arial MT"/>
          <w:spacing w:val="23"/>
        </w:rPr>
        <w:t xml:space="preserve"> </w:t>
      </w:r>
      <w:r>
        <w:rPr>
          <w:rFonts w:ascii="Arial MT" w:hAnsi="Arial MT"/>
        </w:rPr>
        <w:t>gestão;</w:t>
      </w:r>
      <w:r>
        <w:rPr>
          <w:rFonts w:ascii="Arial MT" w:hAnsi="Arial MT"/>
          <w:spacing w:val="22"/>
        </w:rPr>
        <w:t xml:space="preserve"> </w:t>
      </w:r>
      <w:r>
        <w:rPr>
          <w:rFonts w:ascii="Arial MT" w:hAnsi="Arial MT"/>
        </w:rPr>
        <w:t>e</w:t>
      </w:r>
    </w:p>
    <w:p w14:paraId="38710AB5" w14:textId="77777777" w:rsidR="002C6574" w:rsidRDefault="00000000">
      <w:pPr>
        <w:pStyle w:val="Corpodetexto"/>
        <w:ind w:left="427"/>
        <w:rPr>
          <w:rFonts w:ascii="Arial MT"/>
        </w:rPr>
      </w:pPr>
      <w:r>
        <w:rPr>
          <w:rFonts w:ascii="Arial MT"/>
        </w:rPr>
        <w:t>iii)</w:t>
      </w:r>
      <w:r>
        <w:rPr>
          <w:rFonts w:ascii="Arial MT"/>
          <w:spacing w:val="-7"/>
        </w:rPr>
        <w:t xml:space="preserve"> </w:t>
      </w:r>
      <w:r>
        <w:rPr>
          <w:rFonts w:ascii="Arial MT"/>
        </w:rPr>
        <w:t>crescimento</w:t>
      </w:r>
      <w:r>
        <w:rPr>
          <w:rFonts w:ascii="Arial MT"/>
          <w:spacing w:val="-5"/>
        </w:rPr>
        <w:t xml:space="preserve"> </w:t>
      </w:r>
      <w:r>
        <w:rPr>
          <w:rFonts w:ascii="Arial MT"/>
        </w:rPr>
        <w:t>dos</w:t>
      </w:r>
      <w:r>
        <w:rPr>
          <w:rFonts w:ascii="Arial MT"/>
          <w:spacing w:val="-7"/>
        </w:rPr>
        <w:t xml:space="preserve"> </w:t>
      </w:r>
      <w:r>
        <w:rPr>
          <w:rFonts w:ascii="Arial MT"/>
        </w:rPr>
        <w:t>custos</w:t>
      </w:r>
      <w:r>
        <w:rPr>
          <w:rFonts w:ascii="Arial MT"/>
          <w:spacing w:val="-5"/>
        </w:rPr>
        <w:t xml:space="preserve"> </w:t>
      </w:r>
      <w:r>
        <w:rPr>
          <w:rFonts w:ascii="Arial MT"/>
        </w:rPr>
        <w:t>e</w:t>
      </w:r>
      <w:r>
        <w:rPr>
          <w:rFonts w:ascii="Arial MT"/>
          <w:spacing w:val="-5"/>
        </w:rPr>
        <w:t xml:space="preserve"> </w:t>
      </w:r>
      <w:r>
        <w:rPr>
          <w:rFonts w:ascii="Arial MT"/>
        </w:rPr>
        <w:t>despesas</w:t>
      </w:r>
      <w:r>
        <w:rPr>
          <w:rFonts w:ascii="Arial MT"/>
          <w:spacing w:val="-5"/>
        </w:rPr>
        <w:t xml:space="preserve"> </w:t>
      </w:r>
      <w:r>
        <w:rPr>
          <w:rFonts w:ascii="Arial MT"/>
        </w:rPr>
        <w:t>operacionais</w:t>
      </w:r>
      <w:r>
        <w:rPr>
          <w:rFonts w:ascii="Arial MT"/>
          <w:spacing w:val="-4"/>
        </w:rPr>
        <w:t xml:space="preserve"> </w:t>
      </w:r>
      <w:r>
        <w:rPr>
          <w:rFonts w:ascii="Arial MT"/>
        </w:rPr>
        <w:t>em</w:t>
      </w:r>
      <w:r>
        <w:rPr>
          <w:rFonts w:ascii="Arial MT"/>
          <w:spacing w:val="-7"/>
        </w:rPr>
        <w:t xml:space="preserve"> </w:t>
      </w:r>
      <w:r>
        <w:rPr>
          <w:rFonts w:ascii="Arial MT"/>
        </w:rPr>
        <w:t>ritmo</w:t>
      </w:r>
      <w:r>
        <w:rPr>
          <w:rFonts w:ascii="Arial MT"/>
          <w:spacing w:val="-5"/>
        </w:rPr>
        <w:t xml:space="preserve"> </w:t>
      </w:r>
      <w:r>
        <w:rPr>
          <w:rFonts w:ascii="Arial MT"/>
        </w:rPr>
        <w:t>inferior</w:t>
      </w:r>
      <w:r>
        <w:rPr>
          <w:rFonts w:ascii="Arial MT"/>
          <w:spacing w:val="-6"/>
        </w:rPr>
        <w:t xml:space="preserve"> </w:t>
      </w:r>
      <w:r>
        <w:rPr>
          <w:rFonts w:ascii="Arial MT"/>
        </w:rPr>
        <w:t>ao</w:t>
      </w:r>
      <w:r>
        <w:rPr>
          <w:rFonts w:ascii="Arial MT"/>
          <w:spacing w:val="-5"/>
        </w:rPr>
        <w:t xml:space="preserve"> </w:t>
      </w:r>
      <w:r>
        <w:rPr>
          <w:rFonts w:ascii="Arial MT"/>
        </w:rPr>
        <w:t>das</w:t>
      </w:r>
      <w:r>
        <w:rPr>
          <w:rFonts w:ascii="Arial MT"/>
          <w:spacing w:val="-5"/>
        </w:rPr>
        <w:t xml:space="preserve"> </w:t>
      </w:r>
      <w:r>
        <w:rPr>
          <w:rFonts w:ascii="Arial MT"/>
          <w:spacing w:val="-2"/>
        </w:rPr>
        <w:t>receitas.</w:t>
      </w:r>
    </w:p>
    <w:p w14:paraId="63B48B1B" w14:textId="77777777" w:rsidR="002C6574" w:rsidRDefault="002C6574">
      <w:pPr>
        <w:pStyle w:val="Corpodetexto"/>
        <w:spacing w:before="6"/>
        <w:rPr>
          <w:rFonts w:ascii="Arial MT"/>
        </w:rPr>
      </w:pPr>
    </w:p>
    <w:p w14:paraId="20498458" w14:textId="77777777" w:rsidR="002C6574" w:rsidRDefault="00000000">
      <w:pPr>
        <w:pStyle w:val="Corpodetexto"/>
        <w:ind w:left="427"/>
        <w:rPr>
          <w:rFonts w:ascii="Arial MT" w:hAnsi="Arial MT"/>
        </w:rPr>
      </w:pPr>
      <w:r>
        <w:rPr>
          <w:rFonts w:ascii="Arial MT" w:hAnsi="Arial MT"/>
        </w:rPr>
        <w:t>A</w:t>
      </w:r>
      <w:r>
        <w:rPr>
          <w:rFonts w:ascii="Arial MT" w:hAnsi="Arial MT"/>
          <w:spacing w:val="-5"/>
        </w:rPr>
        <w:t xml:space="preserve"> </w:t>
      </w:r>
      <w:r>
        <w:rPr>
          <w:rFonts w:ascii="Arial MT" w:hAnsi="Arial MT"/>
        </w:rPr>
        <w:t>Margem</w:t>
      </w:r>
      <w:r>
        <w:rPr>
          <w:rFonts w:ascii="Arial MT" w:hAnsi="Arial MT"/>
          <w:spacing w:val="-4"/>
        </w:rPr>
        <w:t xml:space="preserve"> </w:t>
      </w:r>
      <w:r>
        <w:rPr>
          <w:rFonts w:ascii="Arial MT" w:hAnsi="Arial MT"/>
        </w:rPr>
        <w:t>EBITDA</w:t>
      </w:r>
      <w:r>
        <w:rPr>
          <w:rFonts w:ascii="Arial MT" w:hAnsi="Arial MT"/>
          <w:spacing w:val="-5"/>
        </w:rPr>
        <w:t xml:space="preserve"> </w:t>
      </w:r>
      <w:r>
        <w:rPr>
          <w:rFonts w:ascii="Arial MT" w:hAnsi="Arial MT"/>
        </w:rPr>
        <w:t>Ajustada</w:t>
      </w:r>
      <w:r>
        <w:rPr>
          <w:rFonts w:ascii="Arial MT" w:hAnsi="Arial MT"/>
          <w:spacing w:val="-5"/>
        </w:rPr>
        <w:t xml:space="preserve"> </w:t>
      </w:r>
      <w:r>
        <w:rPr>
          <w:rFonts w:ascii="Arial MT" w:hAnsi="Arial MT"/>
        </w:rPr>
        <w:t>atingiu</w:t>
      </w:r>
      <w:r>
        <w:rPr>
          <w:rFonts w:ascii="Arial MT" w:hAnsi="Arial MT"/>
          <w:spacing w:val="-5"/>
        </w:rPr>
        <w:t xml:space="preserve"> </w:t>
      </w:r>
      <w:r>
        <w:rPr>
          <w:rFonts w:ascii="Arial MT" w:hAnsi="Arial MT"/>
        </w:rPr>
        <w:t>76,0%</w:t>
      </w:r>
      <w:r>
        <w:rPr>
          <w:rFonts w:ascii="Arial MT" w:hAnsi="Arial MT"/>
          <w:spacing w:val="-4"/>
        </w:rPr>
        <w:t xml:space="preserve"> </w:t>
      </w:r>
      <w:r>
        <w:rPr>
          <w:rFonts w:ascii="Arial MT" w:hAnsi="Arial MT"/>
        </w:rPr>
        <w:t>em</w:t>
      </w:r>
      <w:r>
        <w:rPr>
          <w:rFonts w:ascii="Arial MT" w:hAnsi="Arial MT"/>
          <w:spacing w:val="-4"/>
        </w:rPr>
        <w:t xml:space="preserve"> </w:t>
      </w:r>
      <w:r>
        <w:rPr>
          <w:rFonts w:ascii="Arial MT" w:hAnsi="Arial MT"/>
        </w:rPr>
        <w:t>2025,</w:t>
      </w:r>
      <w:r>
        <w:rPr>
          <w:rFonts w:ascii="Arial MT" w:hAnsi="Arial MT"/>
          <w:spacing w:val="-4"/>
        </w:rPr>
        <w:t xml:space="preserve"> </w:t>
      </w:r>
      <w:r>
        <w:rPr>
          <w:rFonts w:ascii="Arial MT" w:hAnsi="Arial MT"/>
        </w:rPr>
        <w:t>comparada</w:t>
      </w:r>
      <w:r>
        <w:rPr>
          <w:rFonts w:ascii="Arial MT" w:hAnsi="Arial MT"/>
          <w:spacing w:val="-7"/>
        </w:rPr>
        <w:t xml:space="preserve"> </w:t>
      </w:r>
      <w:r>
        <w:rPr>
          <w:rFonts w:ascii="Arial MT" w:hAnsi="Arial MT"/>
        </w:rPr>
        <w:t>aos</w:t>
      </w:r>
      <w:r>
        <w:rPr>
          <w:rFonts w:ascii="Arial MT" w:hAnsi="Arial MT"/>
          <w:spacing w:val="-5"/>
        </w:rPr>
        <w:t xml:space="preserve"> </w:t>
      </w:r>
      <w:r>
        <w:rPr>
          <w:rFonts w:ascii="Arial MT" w:hAnsi="Arial MT"/>
        </w:rPr>
        <w:t>23,0%</w:t>
      </w:r>
      <w:r>
        <w:rPr>
          <w:rFonts w:ascii="Arial MT" w:hAnsi="Arial MT"/>
          <w:spacing w:val="-4"/>
        </w:rPr>
        <w:t xml:space="preserve"> </w:t>
      </w:r>
      <w:r>
        <w:rPr>
          <w:rFonts w:ascii="Arial MT" w:hAnsi="Arial MT"/>
        </w:rPr>
        <w:t>registrados</w:t>
      </w:r>
      <w:r>
        <w:rPr>
          <w:rFonts w:ascii="Arial MT" w:hAnsi="Arial MT"/>
          <w:spacing w:val="-7"/>
        </w:rPr>
        <w:t xml:space="preserve"> </w:t>
      </w:r>
      <w:r>
        <w:rPr>
          <w:rFonts w:ascii="Arial MT" w:hAnsi="Arial MT"/>
        </w:rPr>
        <w:t>em</w:t>
      </w:r>
      <w:r>
        <w:rPr>
          <w:rFonts w:ascii="Arial MT" w:hAnsi="Arial MT"/>
          <w:spacing w:val="-7"/>
        </w:rPr>
        <w:t xml:space="preserve"> </w:t>
      </w:r>
      <w:r>
        <w:rPr>
          <w:rFonts w:ascii="Arial MT" w:hAnsi="Arial MT"/>
        </w:rPr>
        <w:t>2024,</w:t>
      </w:r>
      <w:r>
        <w:rPr>
          <w:rFonts w:ascii="Arial MT" w:hAnsi="Arial MT"/>
          <w:spacing w:val="-6"/>
        </w:rPr>
        <w:t xml:space="preserve"> </w:t>
      </w:r>
      <w:r>
        <w:rPr>
          <w:rFonts w:ascii="Arial MT" w:hAnsi="Arial MT"/>
        </w:rPr>
        <w:t>refletindo um avanço de 231,1% no período.</w:t>
      </w:r>
    </w:p>
    <w:p w14:paraId="3F66EF46" w14:textId="77777777" w:rsidR="002C6574" w:rsidRDefault="002C6574">
      <w:pPr>
        <w:pStyle w:val="Corpodetexto"/>
        <w:spacing w:before="9"/>
        <w:rPr>
          <w:rFonts w:ascii="Arial MT"/>
        </w:rPr>
      </w:pPr>
    </w:p>
    <w:p w14:paraId="6AF618F5" w14:textId="77777777" w:rsidR="002C6574" w:rsidRDefault="00000000">
      <w:pPr>
        <w:pStyle w:val="Corpodetexto"/>
        <w:spacing w:before="1"/>
        <w:ind w:left="427" w:right="136"/>
        <w:jc w:val="both"/>
        <w:rPr>
          <w:rFonts w:ascii="Arial MT" w:hAnsi="Arial MT"/>
        </w:rPr>
      </w:pPr>
      <w:r>
        <w:rPr>
          <w:rFonts w:ascii="Arial MT" w:hAnsi="Arial MT"/>
        </w:rPr>
        <w:t>Quando</w:t>
      </w:r>
      <w:r>
        <w:rPr>
          <w:rFonts w:ascii="Arial MT" w:hAnsi="Arial MT"/>
          <w:spacing w:val="-16"/>
        </w:rPr>
        <w:t xml:space="preserve"> </w:t>
      </w:r>
      <w:r>
        <w:rPr>
          <w:rFonts w:ascii="Arial MT" w:hAnsi="Arial MT"/>
        </w:rPr>
        <w:t>desconsideradas</w:t>
      </w:r>
      <w:r>
        <w:rPr>
          <w:rFonts w:ascii="Arial MT" w:hAnsi="Arial MT"/>
          <w:spacing w:val="-14"/>
        </w:rPr>
        <w:t xml:space="preserve"> </w:t>
      </w:r>
      <w:r>
        <w:rPr>
          <w:rFonts w:ascii="Arial MT" w:hAnsi="Arial MT"/>
        </w:rPr>
        <w:t>as</w:t>
      </w:r>
      <w:r>
        <w:rPr>
          <w:rFonts w:ascii="Arial MT" w:hAnsi="Arial MT"/>
          <w:spacing w:val="-13"/>
        </w:rPr>
        <w:t xml:space="preserve"> </w:t>
      </w:r>
      <w:r>
        <w:rPr>
          <w:rFonts w:ascii="Arial MT" w:hAnsi="Arial MT"/>
        </w:rPr>
        <w:t>Subvenções</w:t>
      </w:r>
      <w:r>
        <w:rPr>
          <w:rFonts w:ascii="Arial MT" w:hAnsi="Arial MT"/>
          <w:spacing w:val="-16"/>
        </w:rPr>
        <w:t xml:space="preserve"> </w:t>
      </w:r>
      <w:r>
        <w:rPr>
          <w:rFonts w:ascii="Arial MT" w:hAnsi="Arial MT"/>
        </w:rPr>
        <w:t>Orçamentárias</w:t>
      </w:r>
      <w:r>
        <w:rPr>
          <w:rFonts w:ascii="Arial MT" w:hAnsi="Arial MT"/>
          <w:spacing w:val="-14"/>
        </w:rPr>
        <w:t xml:space="preserve"> </w:t>
      </w:r>
      <w:r>
        <w:rPr>
          <w:rFonts w:ascii="Arial MT" w:hAnsi="Arial MT"/>
        </w:rPr>
        <w:t>—</w:t>
      </w:r>
      <w:r>
        <w:rPr>
          <w:rFonts w:ascii="Arial MT" w:hAnsi="Arial MT"/>
          <w:spacing w:val="-14"/>
        </w:rPr>
        <w:t xml:space="preserve"> </w:t>
      </w:r>
      <w:r>
        <w:rPr>
          <w:rFonts w:ascii="Arial MT" w:hAnsi="Arial MT"/>
        </w:rPr>
        <w:t>que</w:t>
      </w:r>
      <w:r>
        <w:rPr>
          <w:rFonts w:ascii="Arial MT" w:hAnsi="Arial MT"/>
          <w:spacing w:val="-16"/>
        </w:rPr>
        <w:t xml:space="preserve"> </w:t>
      </w:r>
      <w:r>
        <w:rPr>
          <w:rFonts w:ascii="Arial MT" w:hAnsi="Arial MT"/>
        </w:rPr>
        <w:t>somaram</w:t>
      </w:r>
      <w:r>
        <w:rPr>
          <w:rFonts w:ascii="Arial MT" w:hAnsi="Arial MT"/>
          <w:spacing w:val="-15"/>
        </w:rPr>
        <w:t xml:space="preserve"> </w:t>
      </w:r>
      <w:r>
        <w:rPr>
          <w:rFonts w:ascii="Arial MT" w:hAnsi="Arial MT"/>
        </w:rPr>
        <w:t>R$</w:t>
      </w:r>
      <w:r>
        <w:rPr>
          <w:rFonts w:ascii="Arial MT" w:hAnsi="Arial MT"/>
          <w:spacing w:val="-14"/>
        </w:rPr>
        <w:t xml:space="preserve"> </w:t>
      </w:r>
      <w:r>
        <w:rPr>
          <w:rFonts w:ascii="Arial MT" w:hAnsi="Arial MT"/>
        </w:rPr>
        <w:t>406,9</w:t>
      </w:r>
      <w:r>
        <w:rPr>
          <w:rFonts w:ascii="Arial MT" w:hAnsi="Arial MT"/>
          <w:spacing w:val="-16"/>
        </w:rPr>
        <w:t xml:space="preserve"> </w:t>
      </w:r>
      <w:r>
        <w:rPr>
          <w:rFonts w:ascii="Arial MT" w:hAnsi="Arial MT"/>
        </w:rPr>
        <w:t>milhões</w:t>
      </w:r>
      <w:r>
        <w:rPr>
          <w:rFonts w:ascii="Arial MT" w:hAnsi="Arial MT"/>
          <w:spacing w:val="-13"/>
        </w:rPr>
        <w:t xml:space="preserve"> </w:t>
      </w:r>
      <w:r>
        <w:rPr>
          <w:rFonts w:ascii="Arial MT" w:hAnsi="Arial MT"/>
        </w:rPr>
        <w:t>em</w:t>
      </w:r>
      <w:r>
        <w:rPr>
          <w:rFonts w:ascii="Arial MT" w:hAnsi="Arial MT"/>
          <w:spacing w:val="-14"/>
        </w:rPr>
        <w:t xml:space="preserve"> </w:t>
      </w:r>
      <w:r>
        <w:rPr>
          <w:rFonts w:ascii="Arial MT" w:hAnsi="Arial MT"/>
        </w:rPr>
        <w:t>2025,</w:t>
      </w:r>
      <w:r>
        <w:rPr>
          <w:rFonts w:ascii="Arial MT" w:hAnsi="Arial MT"/>
          <w:spacing w:val="-13"/>
        </w:rPr>
        <w:t xml:space="preserve"> </w:t>
      </w:r>
      <w:r>
        <w:rPr>
          <w:rFonts w:ascii="Arial MT" w:hAnsi="Arial MT"/>
        </w:rPr>
        <w:t>frente a R$ 158,4 milhões em 2024 — o EBITDA Ajustado seria negativo em R$ 33,7 milhões em 2025, ante R$ 63,3 milhões negativos em 2024, evidenciando uma melhora de 46,7%. Nesse cenário, a Margem</w:t>
      </w:r>
      <w:r>
        <w:rPr>
          <w:rFonts w:ascii="Arial MT" w:hAnsi="Arial MT"/>
          <w:spacing w:val="-1"/>
        </w:rPr>
        <w:t xml:space="preserve"> </w:t>
      </w:r>
      <w:r>
        <w:rPr>
          <w:rFonts w:ascii="Arial MT" w:hAnsi="Arial MT"/>
        </w:rPr>
        <w:t>EBITDA Ajustada corresponderia a -6,9% em 2025, comparada a -15,3% em 2024.</w:t>
      </w:r>
    </w:p>
    <w:p w14:paraId="7E28689C" w14:textId="77777777" w:rsidR="002C6574" w:rsidRDefault="002C6574">
      <w:pPr>
        <w:pStyle w:val="Corpodetexto"/>
        <w:spacing w:before="26"/>
        <w:rPr>
          <w:rFonts w:ascii="Arial MT"/>
        </w:rPr>
      </w:pPr>
    </w:p>
    <w:p w14:paraId="6F422161" w14:textId="77777777" w:rsidR="002C6574" w:rsidRDefault="00000000">
      <w:pPr>
        <w:ind w:left="427"/>
        <w:jc w:val="both"/>
        <w:rPr>
          <w:rFonts w:ascii="Arial"/>
          <w:b/>
          <w:position w:val="8"/>
          <w:sz w:val="16"/>
        </w:rPr>
      </w:pPr>
      <w:r>
        <w:rPr>
          <w:rFonts w:ascii="Arial"/>
          <w:b/>
          <w:noProof/>
          <w:position w:val="8"/>
          <w:sz w:val="16"/>
        </w:rPr>
        <mc:AlternateContent>
          <mc:Choice Requires="wps">
            <w:drawing>
              <wp:anchor distT="0" distB="0" distL="0" distR="0" simplePos="0" relativeHeight="15779840" behindDoc="0" locked="0" layoutInCell="1" allowOverlap="1" wp14:anchorId="564324FB" wp14:editId="68EE8421">
                <wp:simplePos x="0" y="0"/>
                <wp:positionH relativeFrom="page">
                  <wp:posOffset>541019</wp:posOffset>
                </wp:positionH>
                <wp:positionV relativeFrom="paragraph">
                  <wp:posOffset>163192</wp:posOffset>
                </wp:positionV>
                <wp:extent cx="1771650" cy="15240"/>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15240"/>
                        </a:xfrm>
                        <a:custGeom>
                          <a:avLst/>
                          <a:gdLst/>
                          <a:ahLst/>
                          <a:cxnLst/>
                          <a:rect l="l" t="t" r="r" b="b"/>
                          <a:pathLst>
                            <a:path w="1771650" h="15240">
                              <a:moveTo>
                                <a:pt x="1771142" y="0"/>
                              </a:moveTo>
                              <a:lnTo>
                                <a:pt x="0" y="0"/>
                              </a:lnTo>
                              <a:lnTo>
                                <a:pt x="0" y="15239"/>
                              </a:lnTo>
                              <a:lnTo>
                                <a:pt x="1771142" y="15239"/>
                              </a:lnTo>
                              <a:lnTo>
                                <a:pt x="17711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CF0071" id="Graphic 413" o:spid="_x0000_s1026" style="position:absolute;margin-left:42.6pt;margin-top:12.85pt;width:139.5pt;height:1.2pt;z-index:15779840;visibility:visible;mso-wrap-style:square;mso-wrap-distance-left:0;mso-wrap-distance-top:0;mso-wrap-distance-right:0;mso-wrap-distance-bottom:0;mso-position-horizontal:absolute;mso-position-horizontal-relative:page;mso-position-vertical:absolute;mso-position-vertical-relative:text;v-text-anchor:top" coordsize="177165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" path="m1771142,l,,,15239r1771142,l1771142,xe" fillcolor="black" stroked="f">
                <v:path arrowok="t"/>
                <w10:wrap anchorx="page"/>
              </v:shape>
            </w:pict>
          </mc:Fallback>
        </mc:AlternateContent>
      </w:r>
      <w:r>
        <w:rPr>
          <w:rFonts w:ascii="Arial"/>
          <w:b/>
          <w:sz w:val="24"/>
        </w:rPr>
        <w:t>R</w:t>
      </w:r>
      <w:r>
        <w:rPr>
          <w:rFonts w:ascii="Arial"/>
          <w:b/>
          <w:sz w:val="19"/>
        </w:rPr>
        <w:t>ESULTADO</w:t>
      </w:r>
      <w:r>
        <w:rPr>
          <w:rFonts w:ascii="Arial"/>
          <w:b/>
          <w:spacing w:val="35"/>
          <w:sz w:val="19"/>
        </w:rPr>
        <w:t xml:space="preserve"> </w:t>
      </w:r>
      <w:r>
        <w:rPr>
          <w:rFonts w:ascii="Arial"/>
          <w:b/>
          <w:spacing w:val="-2"/>
          <w:sz w:val="19"/>
        </w:rPr>
        <w:t>RECORRENTE</w:t>
      </w:r>
      <w:hyperlink w:anchor="_bookmark18" w:history="1">
        <w:r>
          <w:rPr>
            <w:rFonts w:ascii="Arial"/>
            <w:b/>
            <w:spacing w:val="-2"/>
            <w:position w:val="8"/>
            <w:sz w:val="16"/>
          </w:rPr>
          <w:t>7</w:t>
        </w:r>
      </w:hyperlink>
    </w:p>
    <w:p w14:paraId="5707780E" w14:textId="77777777" w:rsidR="002C6574" w:rsidRDefault="002C6574">
      <w:pPr>
        <w:pStyle w:val="Corpodetexto"/>
        <w:spacing w:before="149"/>
        <w:rPr>
          <w:rFonts w:ascii="Arial"/>
          <w:b/>
          <w:sz w:val="14"/>
        </w:rPr>
      </w:pPr>
    </w:p>
    <w:p w14:paraId="549587A1" w14:textId="77777777" w:rsidR="002C6574" w:rsidRDefault="00000000">
      <w:pPr>
        <w:spacing w:after="38"/>
        <w:ind w:left="2145" w:right="832"/>
        <w:jc w:val="center"/>
        <w:rPr>
          <w:rFonts w:ascii="Arial"/>
          <w:b/>
          <w:sz w:val="14"/>
        </w:rPr>
      </w:pPr>
      <w:r>
        <w:rPr>
          <w:rFonts w:ascii="Arial"/>
          <w:b/>
          <w:spacing w:val="-2"/>
          <w:sz w:val="14"/>
        </w:rPr>
        <w:t>Trimestres</w:t>
      </w:r>
    </w:p>
    <w:tbl>
      <w:tblPr>
        <w:tblStyle w:val="TableNormal"/>
        <w:tblW w:w="0" w:type="auto"/>
        <w:tblInd w:w="377" w:type="dxa"/>
        <w:tblLayout w:type="fixed"/>
        <w:tblLook w:val="01E0" w:firstRow="1" w:lastRow="1" w:firstColumn="1" w:lastColumn="1" w:noHBand="0" w:noVBand="0"/>
      </w:tblPr>
      <w:tblGrid>
        <w:gridCol w:w="3836"/>
        <w:gridCol w:w="816"/>
        <w:gridCol w:w="932"/>
        <w:gridCol w:w="700"/>
        <w:gridCol w:w="151"/>
        <w:gridCol w:w="734"/>
        <w:gridCol w:w="632"/>
        <w:gridCol w:w="159"/>
        <w:gridCol w:w="854"/>
        <w:gridCol w:w="895"/>
        <w:gridCol w:w="146"/>
        <w:gridCol w:w="741"/>
      </w:tblGrid>
      <w:tr w:rsidR="002C6574" w14:paraId="1CBC9C60" w14:textId="77777777">
        <w:trPr>
          <w:trHeight w:val="254"/>
        </w:trPr>
        <w:tc>
          <w:tcPr>
            <w:tcW w:w="3836" w:type="dxa"/>
            <w:shd w:val="clear" w:color="auto" w:fill="0000FF"/>
          </w:tcPr>
          <w:p w14:paraId="0780FD77" w14:textId="77777777" w:rsidR="002C6574" w:rsidRDefault="00000000">
            <w:pPr>
              <w:pStyle w:val="TableParagraph"/>
              <w:spacing w:before="94" w:line="140" w:lineRule="exact"/>
              <w:ind w:left="126"/>
              <w:jc w:val="left"/>
              <w:rPr>
                <w:rFonts w:ascii="Arial"/>
                <w:b/>
                <w:sz w:val="14"/>
              </w:rPr>
            </w:pPr>
            <w:r>
              <w:rPr>
                <w:rFonts w:ascii="Arial"/>
                <w:b/>
                <w:color w:val="FFFFFF"/>
                <w:sz w:val="14"/>
              </w:rPr>
              <w:t>R$</w:t>
            </w:r>
            <w:r>
              <w:rPr>
                <w:rFonts w:ascii="Arial"/>
                <w:b/>
                <w:color w:val="FFFFFF"/>
                <w:spacing w:val="-4"/>
                <w:sz w:val="14"/>
              </w:rPr>
              <w:t xml:space="preserve"> </w:t>
            </w:r>
            <w:r>
              <w:rPr>
                <w:rFonts w:ascii="Arial"/>
                <w:b/>
                <w:color w:val="FFFFFF"/>
                <w:spacing w:val="-5"/>
                <w:sz w:val="14"/>
              </w:rPr>
              <w:t>Mil</w:t>
            </w:r>
          </w:p>
        </w:tc>
        <w:tc>
          <w:tcPr>
            <w:tcW w:w="816" w:type="dxa"/>
            <w:tcBorders>
              <w:top w:val="single" w:sz="8" w:space="0" w:color="000000"/>
            </w:tcBorders>
            <w:shd w:val="clear" w:color="auto" w:fill="0000FF"/>
          </w:tcPr>
          <w:p w14:paraId="7A8866C3" w14:textId="77777777" w:rsidR="002C6574" w:rsidRDefault="00000000">
            <w:pPr>
              <w:pStyle w:val="TableParagraph"/>
              <w:spacing w:before="67"/>
              <w:ind w:left="246"/>
              <w:jc w:val="left"/>
              <w:rPr>
                <w:rFonts w:ascii="Arial"/>
                <w:b/>
                <w:sz w:val="14"/>
              </w:rPr>
            </w:pPr>
            <w:r>
              <w:rPr>
                <w:rFonts w:ascii="Arial"/>
                <w:b/>
                <w:color w:val="FFFFFF"/>
                <w:spacing w:val="-4"/>
                <w:sz w:val="14"/>
              </w:rPr>
              <w:t>4T25</w:t>
            </w:r>
          </w:p>
        </w:tc>
        <w:tc>
          <w:tcPr>
            <w:tcW w:w="932" w:type="dxa"/>
            <w:tcBorders>
              <w:top w:val="single" w:sz="8" w:space="0" w:color="000000"/>
            </w:tcBorders>
            <w:shd w:val="clear" w:color="auto" w:fill="0000FF"/>
          </w:tcPr>
          <w:p w14:paraId="5DDB514E" w14:textId="77777777" w:rsidR="002C6574" w:rsidRDefault="00000000">
            <w:pPr>
              <w:pStyle w:val="TableParagraph"/>
              <w:spacing w:before="67"/>
              <w:ind w:left="285"/>
              <w:jc w:val="left"/>
              <w:rPr>
                <w:rFonts w:ascii="Arial"/>
                <w:b/>
                <w:sz w:val="14"/>
              </w:rPr>
            </w:pPr>
            <w:r>
              <w:rPr>
                <w:rFonts w:ascii="Arial"/>
                <w:b/>
                <w:color w:val="FFFFFF"/>
                <w:spacing w:val="-4"/>
                <w:sz w:val="14"/>
              </w:rPr>
              <w:t>4T24</w:t>
            </w:r>
          </w:p>
        </w:tc>
        <w:tc>
          <w:tcPr>
            <w:tcW w:w="700" w:type="dxa"/>
            <w:tcBorders>
              <w:top w:val="single" w:sz="8" w:space="0" w:color="000000"/>
            </w:tcBorders>
            <w:shd w:val="clear" w:color="auto" w:fill="0000FF"/>
          </w:tcPr>
          <w:p w14:paraId="41CB10F3" w14:textId="77777777" w:rsidR="002C6574" w:rsidRDefault="00000000">
            <w:pPr>
              <w:pStyle w:val="TableParagraph"/>
              <w:spacing w:before="67"/>
              <w:ind w:left="169"/>
              <w:jc w:val="left"/>
              <w:rPr>
                <w:rFonts w:ascii="Arial"/>
                <w:b/>
                <w:sz w:val="14"/>
              </w:rPr>
            </w:pPr>
            <w:r>
              <w:rPr>
                <w:rFonts w:ascii="Arial"/>
                <w:b/>
                <w:color w:val="FFFFFF"/>
                <w:spacing w:val="-4"/>
                <w:sz w:val="14"/>
              </w:rPr>
              <w:t>3T25</w:t>
            </w:r>
          </w:p>
        </w:tc>
        <w:tc>
          <w:tcPr>
            <w:tcW w:w="1517" w:type="dxa"/>
            <w:gridSpan w:val="3"/>
            <w:tcBorders>
              <w:top w:val="single" w:sz="8" w:space="0" w:color="000000"/>
            </w:tcBorders>
          </w:tcPr>
          <w:p w14:paraId="26561E89" w14:textId="77777777" w:rsidR="002C6574" w:rsidRDefault="00000000">
            <w:pPr>
              <w:pStyle w:val="TableParagraph"/>
              <w:tabs>
                <w:tab w:val="left" w:pos="950"/>
              </w:tabs>
              <w:spacing w:before="67"/>
              <w:ind w:left="165"/>
              <w:jc w:val="left"/>
              <w:rPr>
                <w:rFonts w:ascii="Arial" w:hAnsi="Arial"/>
                <w:b/>
                <w:sz w:val="14"/>
              </w:rPr>
            </w:pPr>
            <w:r>
              <w:rPr>
                <w:rFonts w:ascii="Times New Roman" w:hAnsi="Times New Roman"/>
                <w:color w:val="FFFFFF"/>
                <w:spacing w:val="35"/>
                <w:sz w:val="14"/>
                <w:highlight w:val="blue"/>
              </w:rPr>
              <w:t xml:space="preserve">  </w:t>
            </w:r>
            <w:r>
              <w:rPr>
                <w:rFonts w:ascii="Arial" w:hAnsi="Arial"/>
                <w:b/>
                <w:color w:val="FFFFFF"/>
                <w:sz w:val="14"/>
                <w:highlight w:val="blue"/>
              </w:rPr>
              <w:t xml:space="preserve">Δ </w:t>
            </w:r>
            <w:r>
              <w:rPr>
                <w:rFonts w:ascii="Arial" w:hAnsi="Arial"/>
                <w:b/>
                <w:color w:val="FFFFFF"/>
                <w:spacing w:val="-5"/>
                <w:sz w:val="14"/>
                <w:highlight w:val="blue"/>
              </w:rPr>
              <w:t>Ano</w:t>
            </w:r>
            <w:r>
              <w:rPr>
                <w:rFonts w:ascii="Arial" w:hAnsi="Arial"/>
                <w:b/>
                <w:color w:val="FFFFFF"/>
                <w:sz w:val="14"/>
                <w:highlight w:val="blue"/>
              </w:rPr>
              <w:tab/>
              <w:t>Δ</w:t>
            </w:r>
            <w:r>
              <w:rPr>
                <w:rFonts w:ascii="Arial" w:hAnsi="Arial"/>
                <w:b/>
                <w:color w:val="FFFFFF"/>
                <w:spacing w:val="-3"/>
                <w:sz w:val="14"/>
                <w:highlight w:val="blue"/>
              </w:rPr>
              <w:t xml:space="preserve"> </w:t>
            </w:r>
            <w:r>
              <w:rPr>
                <w:rFonts w:ascii="Arial" w:hAnsi="Arial"/>
                <w:b/>
                <w:color w:val="FFFFFF"/>
                <w:spacing w:val="-2"/>
                <w:sz w:val="14"/>
                <w:highlight w:val="blue"/>
              </w:rPr>
              <w:t>Trim.</w:t>
            </w:r>
            <w:r>
              <w:rPr>
                <w:rFonts w:ascii="Arial" w:hAnsi="Arial"/>
                <w:b/>
                <w:color w:val="FFFFFF"/>
                <w:spacing w:val="80"/>
                <w:sz w:val="14"/>
                <w:highlight w:val="blue"/>
              </w:rPr>
              <w:t xml:space="preserve"> </w:t>
            </w:r>
          </w:p>
        </w:tc>
        <w:tc>
          <w:tcPr>
            <w:tcW w:w="1908" w:type="dxa"/>
            <w:gridSpan w:val="3"/>
          </w:tcPr>
          <w:p w14:paraId="50DE2298" w14:textId="77777777" w:rsidR="002C6574" w:rsidRDefault="00000000">
            <w:pPr>
              <w:pStyle w:val="TableParagraph"/>
              <w:tabs>
                <w:tab w:val="left" w:pos="427"/>
                <w:tab w:val="left" w:pos="1303"/>
                <w:tab w:val="left" w:pos="1906"/>
              </w:tabs>
              <w:spacing w:before="67"/>
              <w:ind w:left="158"/>
              <w:jc w:val="left"/>
              <w:rPr>
                <w:rFonts w:ascii="Arial"/>
                <w:b/>
                <w:sz w:val="14"/>
              </w:rPr>
            </w:pPr>
            <w:r>
              <w:rPr>
                <w:rFonts w:ascii="Arial"/>
                <w:b/>
                <w:color w:val="FFFFFF"/>
                <w:sz w:val="14"/>
                <w:highlight w:val="blue"/>
              </w:rPr>
              <w:tab/>
            </w:r>
            <w:r>
              <w:rPr>
                <w:rFonts w:ascii="Arial"/>
                <w:b/>
                <w:color w:val="FFFFFF"/>
                <w:spacing w:val="-4"/>
                <w:sz w:val="14"/>
                <w:highlight w:val="blue"/>
              </w:rPr>
              <w:t>2025</w:t>
            </w:r>
            <w:r>
              <w:rPr>
                <w:rFonts w:ascii="Arial"/>
                <w:b/>
                <w:color w:val="FFFFFF"/>
                <w:sz w:val="14"/>
                <w:highlight w:val="blue"/>
              </w:rPr>
              <w:tab/>
            </w:r>
            <w:r>
              <w:rPr>
                <w:rFonts w:ascii="Arial"/>
                <w:b/>
                <w:color w:val="FFFFFF"/>
                <w:spacing w:val="-4"/>
                <w:sz w:val="14"/>
                <w:highlight w:val="blue"/>
              </w:rPr>
              <w:t>2024</w:t>
            </w:r>
            <w:r>
              <w:rPr>
                <w:rFonts w:ascii="Arial"/>
                <w:b/>
                <w:color w:val="FFFFFF"/>
                <w:sz w:val="14"/>
                <w:highlight w:val="blue"/>
              </w:rPr>
              <w:tab/>
            </w:r>
          </w:p>
        </w:tc>
        <w:tc>
          <w:tcPr>
            <w:tcW w:w="887" w:type="dxa"/>
            <w:gridSpan w:val="2"/>
          </w:tcPr>
          <w:p w14:paraId="74E1FD3A" w14:textId="77777777" w:rsidR="002C6574" w:rsidRDefault="00000000">
            <w:pPr>
              <w:pStyle w:val="TableParagraph"/>
              <w:spacing w:before="67"/>
              <w:ind w:left="158"/>
              <w:jc w:val="left"/>
              <w:rPr>
                <w:rFonts w:ascii="Arial" w:hAnsi="Arial"/>
                <w:b/>
                <w:sz w:val="14"/>
              </w:rPr>
            </w:pPr>
            <w:r>
              <w:rPr>
                <w:rFonts w:ascii="Times New Roman" w:hAnsi="Times New Roman"/>
                <w:color w:val="FFFFFF"/>
                <w:spacing w:val="77"/>
                <w:w w:val="150"/>
                <w:sz w:val="14"/>
                <w:highlight w:val="blue"/>
              </w:rPr>
              <w:t xml:space="preserve"> </w:t>
            </w:r>
            <w:r>
              <w:rPr>
                <w:rFonts w:ascii="Arial" w:hAnsi="Arial"/>
                <w:b/>
                <w:color w:val="FFFFFF"/>
                <w:sz w:val="14"/>
                <w:highlight w:val="blue"/>
              </w:rPr>
              <w:t xml:space="preserve">Δ </w:t>
            </w:r>
            <w:r>
              <w:rPr>
                <w:rFonts w:ascii="Arial" w:hAnsi="Arial"/>
                <w:b/>
                <w:color w:val="FFFFFF"/>
                <w:spacing w:val="-5"/>
                <w:sz w:val="14"/>
                <w:highlight w:val="blue"/>
              </w:rPr>
              <w:t>Ano</w:t>
            </w:r>
            <w:r>
              <w:rPr>
                <w:rFonts w:ascii="Arial" w:hAnsi="Arial"/>
                <w:b/>
                <w:color w:val="FFFFFF"/>
                <w:spacing w:val="40"/>
                <w:sz w:val="14"/>
                <w:highlight w:val="blue"/>
              </w:rPr>
              <w:t xml:space="preserve"> </w:t>
            </w:r>
          </w:p>
        </w:tc>
      </w:tr>
      <w:tr w:rsidR="002C6574" w14:paraId="3D788C32" w14:textId="77777777">
        <w:trPr>
          <w:trHeight w:val="219"/>
        </w:trPr>
        <w:tc>
          <w:tcPr>
            <w:tcW w:w="3836" w:type="dxa"/>
          </w:tcPr>
          <w:p w14:paraId="0AC7BD8F" w14:textId="77777777" w:rsidR="002C6574" w:rsidRDefault="00000000">
            <w:pPr>
              <w:pStyle w:val="TableParagraph"/>
              <w:spacing w:before="29"/>
              <w:ind w:left="126"/>
              <w:jc w:val="left"/>
              <w:rPr>
                <w:rFonts w:ascii="Arial" w:hAnsi="Arial"/>
                <w:b/>
                <w:sz w:val="14"/>
              </w:rPr>
            </w:pPr>
            <w:r>
              <w:rPr>
                <w:rFonts w:ascii="Arial" w:hAnsi="Arial"/>
                <w:b/>
                <w:sz w:val="14"/>
              </w:rPr>
              <w:t>Lucro/(Prejuízo)</w:t>
            </w:r>
            <w:r>
              <w:rPr>
                <w:rFonts w:ascii="Arial" w:hAnsi="Arial"/>
                <w:b/>
                <w:spacing w:val="-9"/>
                <w:sz w:val="14"/>
              </w:rPr>
              <w:t xml:space="preserve"> </w:t>
            </w:r>
            <w:r>
              <w:rPr>
                <w:rFonts w:ascii="Arial" w:hAnsi="Arial"/>
                <w:b/>
                <w:sz w:val="14"/>
              </w:rPr>
              <w:t>Líquido</w:t>
            </w:r>
            <w:r>
              <w:rPr>
                <w:rFonts w:ascii="Arial" w:hAnsi="Arial"/>
                <w:b/>
                <w:spacing w:val="-9"/>
                <w:sz w:val="14"/>
              </w:rPr>
              <w:t xml:space="preserve"> </w:t>
            </w:r>
            <w:r>
              <w:rPr>
                <w:rFonts w:ascii="Arial" w:hAnsi="Arial"/>
                <w:b/>
                <w:sz w:val="14"/>
              </w:rPr>
              <w:t>do</w:t>
            </w:r>
            <w:r>
              <w:rPr>
                <w:rFonts w:ascii="Arial" w:hAnsi="Arial"/>
                <w:b/>
                <w:spacing w:val="-8"/>
                <w:sz w:val="14"/>
              </w:rPr>
              <w:t xml:space="preserve"> </w:t>
            </w:r>
            <w:r>
              <w:rPr>
                <w:rFonts w:ascii="Arial" w:hAnsi="Arial"/>
                <w:b/>
                <w:spacing w:val="-2"/>
                <w:sz w:val="14"/>
              </w:rPr>
              <w:t>Período</w:t>
            </w:r>
          </w:p>
        </w:tc>
        <w:tc>
          <w:tcPr>
            <w:tcW w:w="816" w:type="dxa"/>
            <w:shd w:val="clear" w:color="auto" w:fill="66FFFF"/>
          </w:tcPr>
          <w:p w14:paraId="2BBFD0A5" w14:textId="77777777" w:rsidR="002C6574" w:rsidRDefault="00000000">
            <w:pPr>
              <w:pStyle w:val="TableParagraph"/>
              <w:spacing w:before="29"/>
              <w:ind w:right="69"/>
              <w:rPr>
                <w:rFonts w:ascii="Arial"/>
                <w:b/>
                <w:sz w:val="14"/>
              </w:rPr>
            </w:pPr>
            <w:r>
              <w:rPr>
                <w:rFonts w:ascii="Arial"/>
                <w:b/>
                <w:spacing w:val="-2"/>
                <w:sz w:val="14"/>
              </w:rPr>
              <w:t>223.461</w:t>
            </w:r>
          </w:p>
        </w:tc>
        <w:tc>
          <w:tcPr>
            <w:tcW w:w="932" w:type="dxa"/>
          </w:tcPr>
          <w:p w14:paraId="78B41E88" w14:textId="77777777" w:rsidR="002C6574" w:rsidRDefault="00000000">
            <w:pPr>
              <w:pStyle w:val="TableParagraph"/>
              <w:spacing w:before="29"/>
              <w:ind w:right="106"/>
              <w:rPr>
                <w:rFonts w:ascii="Arial"/>
                <w:b/>
                <w:sz w:val="14"/>
              </w:rPr>
            </w:pPr>
            <w:r>
              <w:rPr>
                <w:rFonts w:ascii="Arial"/>
                <w:b/>
                <w:spacing w:val="-2"/>
                <w:sz w:val="14"/>
              </w:rPr>
              <w:t>139.125</w:t>
            </w:r>
          </w:p>
        </w:tc>
        <w:tc>
          <w:tcPr>
            <w:tcW w:w="700" w:type="dxa"/>
          </w:tcPr>
          <w:p w14:paraId="31044A62" w14:textId="77777777" w:rsidR="002C6574" w:rsidRDefault="00000000">
            <w:pPr>
              <w:pStyle w:val="TableParagraph"/>
              <w:spacing w:before="29"/>
              <w:ind w:right="69"/>
              <w:rPr>
                <w:rFonts w:ascii="Arial"/>
                <w:b/>
                <w:sz w:val="14"/>
              </w:rPr>
            </w:pPr>
            <w:r>
              <w:rPr>
                <w:rFonts w:ascii="Arial"/>
                <w:b/>
                <w:spacing w:val="-2"/>
                <w:sz w:val="14"/>
              </w:rPr>
              <w:t>(25.610)</w:t>
            </w:r>
          </w:p>
        </w:tc>
        <w:tc>
          <w:tcPr>
            <w:tcW w:w="885" w:type="dxa"/>
            <w:gridSpan w:val="2"/>
          </w:tcPr>
          <w:p w14:paraId="0CA65890" w14:textId="77777777" w:rsidR="002C6574" w:rsidRDefault="00000000">
            <w:pPr>
              <w:pStyle w:val="TableParagraph"/>
              <w:spacing w:before="29"/>
              <w:ind w:left="405"/>
              <w:jc w:val="left"/>
              <w:rPr>
                <w:rFonts w:ascii="Arial"/>
                <w:b/>
                <w:sz w:val="14"/>
              </w:rPr>
            </w:pPr>
            <w:r>
              <w:rPr>
                <w:rFonts w:ascii="Arial"/>
                <w:b/>
                <w:spacing w:val="-2"/>
                <w:sz w:val="14"/>
              </w:rPr>
              <w:t>60,6%</w:t>
            </w:r>
          </w:p>
        </w:tc>
        <w:tc>
          <w:tcPr>
            <w:tcW w:w="791" w:type="dxa"/>
            <w:gridSpan w:val="2"/>
          </w:tcPr>
          <w:p w14:paraId="64A04050" w14:textId="77777777" w:rsidR="002C6574" w:rsidRDefault="00000000">
            <w:pPr>
              <w:pStyle w:val="TableParagraph"/>
              <w:spacing w:before="29"/>
              <w:ind w:left="84"/>
              <w:jc w:val="left"/>
              <w:rPr>
                <w:rFonts w:ascii="Arial"/>
                <w:b/>
                <w:sz w:val="14"/>
              </w:rPr>
            </w:pPr>
            <w:r>
              <w:rPr>
                <w:rFonts w:ascii="Arial"/>
                <w:b/>
                <w:spacing w:val="-2"/>
                <w:sz w:val="14"/>
              </w:rPr>
              <w:t>972,6%</w:t>
            </w:r>
          </w:p>
        </w:tc>
        <w:tc>
          <w:tcPr>
            <w:tcW w:w="854" w:type="dxa"/>
            <w:shd w:val="clear" w:color="auto" w:fill="66FFFF"/>
          </w:tcPr>
          <w:p w14:paraId="72D01926" w14:textId="77777777" w:rsidR="002C6574" w:rsidRDefault="00000000">
            <w:pPr>
              <w:pStyle w:val="TableParagraph"/>
              <w:spacing w:before="29"/>
              <w:ind w:right="69"/>
              <w:rPr>
                <w:rFonts w:ascii="Arial"/>
                <w:b/>
                <w:sz w:val="14"/>
              </w:rPr>
            </w:pPr>
            <w:r>
              <w:rPr>
                <w:rFonts w:ascii="Arial"/>
                <w:b/>
                <w:spacing w:val="-2"/>
                <w:sz w:val="14"/>
              </w:rPr>
              <w:t>140.504</w:t>
            </w:r>
          </w:p>
        </w:tc>
        <w:tc>
          <w:tcPr>
            <w:tcW w:w="895" w:type="dxa"/>
          </w:tcPr>
          <w:p w14:paraId="3461A9B6" w14:textId="77777777" w:rsidR="002C6574" w:rsidRDefault="00000000">
            <w:pPr>
              <w:pStyle w:val="TableParagraph"/>
              <w:spacing w:before="29"/>
              <w:ind w:right="71"/>
              <w:rPr>
                <w:rFonts w:ascii="Arial"/>
                <w:b/>
                <w:sz w:val="14"/>
              </w:rPr>
            </w:pPr>
            <w:r>
              <w:rPr>
                <w:rFonts w:ascii="Arial"/>
                <w:b/>
                <w:spacing w:val="-2"/>
                <w:sz w:val="14"/>
              </w:rPr>
              <w:t>(66.572)</w:t>
            </w:r>
          </w:p>
        </w:tc>
        <w:tc>
          <w:tcPr>
            <w:tcW w:w="887" w:type="dxa"/>
            <w:gridSpan w:val="2"/>
          </w:tcPr>
          <w:p w14:paraId="21B87BF8" w14:textId="77777777" w:rsidR="002C6574" w:rsidRDefault="00000000">
            <w:pPr>
              <w:pStyle w:val="TableParagraph"/>
              <w:spacing w:before="29"/>
              <w:ind w:left="290"/>
              <w:jc w:val="left"/>
              <w:rPr>
                <w:rFonts w:ascii="Arial"/>
                <w:b/>
                <w:sz w:val="14"/>
              </w:rPr>
            </w:pPr>
            <w:r>
              <w:rPr>
                <w:rFonts w:ascii="Arial"/>
                <w:b/>
                <w:spacing w:val="-2"/>
                <w:sz w:val="14"/>
              </w:rPr>
              <w:t>311,1%</w:t>
            </w:r>
          </w:p>
        </w:tc>
      </w:tr>
      <w:tr w:rsidR="002C6574" w14:paraId="3069D9F9" w14:textId="77777777">
        <w:trPr>
          <w:trHeight w:val="214"/>
        </w:trPr>
        <w:tc>
          <w:tcPr>
            <w:tcW w:w="3836" w:type="dxa"/>
          </w:tcPr>
          <w:p w14:paraId="54A72F5B" w14:textId="77777777" w:rsidR="002C6574" w:rsidRDefault="00000000">
            <w:pPr>
              <w:pStyle w:val="TableParagraph"/>
              <w:spacing w:before="23"/>
              <w:ind w:left="126"/>
              <w:jc w:val="left"/>
              <w:rPr>
                <w:rFonts w:ascii="Arial" w:hAnsi="Arial"/>
                <w:b/>
                <w:sz w:val="14"/>
              </w:rPr>
            </w:pPr>
            <w:r>
              <w:rPr>
                <w:rFonts w:ascii="Arial" w:hAnsi="Arial"/>
                <w:b/>
                <w:sz w:val="14"/>
              </w:rPr>
              <w:t>Ajuste</w:t>
            </w:r>
            <w:r>
              <w:rPr>
                <w:rFonts w:ascii="Arial" w:hAnsi="Arial"/>
                <w:b/>
                <w:spacing w:val="-5"/>
                <w:sz w:val="14"/>
              </w:rPr>
              <w:t xml:space="preserve"> </w:t>
            </w:r>
            <w:r>
              <w:rPr>
                <w:rFonts w:ascii="Arial" w:hAnsi="Arial"/>
                <w:b/>
                <w:sz w:val="14"/>
              </w:rPr>
              <w:t>de</w:t>
            </w:r>
            <w:r>
              <w:rPr>
                <w:rFonts w:ascii="Arial" w:hAnsi="Arial"/>
                <w:b/>
                <w:spacing w:val="-4"/>
                <w:sz w:val="14"/>
              </w:rPr>
              <w:t xml:space="preserve"> </w:t>
            </w:r>
            <w:r>
              <w:rPr>
                <w:rFonts w:ascii="Arial" w:hAnsi="Arial"/>
                <w:b/>
                <w:sz w:val="14"/>
              </w:rPr>
              <w:t>Eventos</w:t>
            </w:r>
            <w:r>
              <w:rPr>
                <w:rFonts w:ascii="Arial" w:hAnsi="Arial"/>
                <w:b/>
                <w:spacing w:val="-4"/>
                <w:sz w:val="14"/>
              </w:rPr>
              <w:t xml:space="preserve"> </w:t>
            </w:r>
            <w:r>
              <w:rPr>
                <w:rFonts w:ascii="Arial" w:hAnsi="Arial"/>
                <w:b/>
                <w:sz w:val="14"/>
              </w:rPr>
              <w:t>Não</w:t>
            </w:r>
            <w:r>
              <w:rPr>
                <w:rFonts w:ascii="Arial" w:hAnsi="Arial"/>
                <w:b/>
                <w:spacing w:val="-5"/>
                <w:sz w:val="14"/>
              </w:rPr>
              <w:t xml:space="preserve"> </w:t>
            </w:r>
            <w:r>
              <w:rPr>
                <w:rFonts w:ascii="Arial" w:hAnsi="Arial"/>
                <w:b/>
                <w:spacing w:val="-2"/>
                <w:sz w:val="14"/>
              </w:rPr>
              <w:t>Recorrentes:</w:t>
            </w:r>
          </w:p>
        </w:tc>
        <w:tc>
          <w:tcPr>
            <w:tcW w:w="816" w:type="dxa"/>
            <w:shd w:val="clear" w:color="auto" w:fill="66FFFF"/>
          </w:tcPr>
          <w:p w14:paraId="2CD0A40E" w14:textId="77777777" w:rsidR="002C6574" w:rsidRDefault="002C6574">
            <w:pPr>
              <w:pStyle w:val="TableParagraph"/>
              <w:jc w:val="left"/>
              <w:rPr>
                <w:rFonts w:ascii="Times New Roman"/>
                <w:sz w:val="14"/>
              </w:rPr>
            </w:pPr>
          </w:p>
        </w:tc>
        <w:tc>
          <w:tcPr>
            <w:tcW w:w="932" w:type="dxa"/>
          </w:tcPr>
          <w:p w14:paraId="5B327970" w14:textId="77777777" w:rsidR="002C6574" w:rsidRDefault="002C6574">
            <w:pPr>
              <w:pStyle w:val="TableParagraph"/>
              <w:jc w:val="left"/>
              <w:rPr>
                <w:rFonts w:ascii="Times New Roman"/>
                <w:sz w:val="14"/>
              </w:rPr>
            </w:pPr>
          </w:p>
        </w:tc>
        <w:tc>
          <w:tcPr>
            <w:tcW w:w="700" w:type="dxa"/>
          </w:tcPr>
          <w:p w14:paraId="3A699B0C" w14:textId="77777777" w:rsidR="002C6574" w:rsidRDefault="002C6574">
            <w:pPr>
              <w:pStyle w:val="TableParagraph"/>
              <w:jc w:val="left"/>
              <w:rPr>
                <w:rFonts w:ascii="Times New Roman"/>
                <w:sz w:val="14"/>
              </w:rPr>
            </w:pPr>
          </w:p>
        </w:tc>
        <w:tc>
          <w:tcPr>
            <w:tcW w:w="885" w:type="dxa"/>
            <w:gridSpan w:val="2"/>
          </w:tcPr>
          <w:p w14:paraId="006E01A4" w14:textId="77777777" w:rsidR="002C6574" w:rsidRDefault="002C6574">
            <w:pPr>
              <w:pStyle w:val="TableParagraph"/>
              <w:jc w:val="left"/>
              <w:rPr>
                <w:rFonts w:ascii="Times New Roman"/>
                <w:sz w:val="14"/>
              </w:rPr>
            </w:pPr>
          </w:p>
        </w:tc>
        <w:tc>
          <w:tcPr>
            <w:tcW w:w="791" w:type="dxa"/>
            <w:gridSpan w:val="2"/>
          </w:tcPr>
          <w:p w14:paraId="1741A1BC" w14:textId="77777777" w:rsidR="002C6574" w:rsidRDefault="002C6574">
            <w:pPr>
              <w:pStyle w:val="TableParagraph"/>
              <w:jc w:val="left"/>
              <w:rPr>
                <w:rFonts w:ascii="Times New Roman"/>
                <w:sz w:val="14"/>
              </w:rPr>
            </w:pPr>
          </w:p>
        </w:tc>
        <w:tc>
          <w:tcPr>
            <w:tcW w:w="854" w:type="dxa"/>
            <w:shd w:val="clear" w:color="auto" w:fill="66FFFF"/>
          </w:tcPr>
          <w:p w14:paraId="4BE662C5" w14:textId="77777777" w:rsidR="002C6574" w:rsidRDefault="002C6574">
            <w:pPr>
              <w:pStyle w:val="TableParagraph"/>
              <w:jc w:val="left"/>
              <w:rPr>
                <w:rFonts w:ascii="Times New Roman"/>
                <w:sz w:val="14"/>
              </w:rPr>
            </w:pPr>
          </w:p>
        </w:tc>
        <w:tc>
          <w:tcPr>
            <w:tcW w:w="895" w:type="dxa"/>
          </w:tcPr>
          <w:p w14:paraId="6067EAC1" w14:textId="77777777" w:rsidR="002C6574" w:rsidRDefault="002C6574">
            <w:pPr>
              <w:pStyle w:val="TableParagraph"/>
              <w:jc w:val="left"/>
              <w:rPr>
                <w:rFonts w:ascii="Times New Roman"/>
                <w:sz w:val="14"/>
              </w:rPr>
            </w:pPr>
          </w:p>
        </w:tc>
        <w:tc>
          <w:tcPr>
            <w:tcW w:w="887" w:type="dxa"/>
            <w:gridSpan w:val="2"/>
          </w:tcPr>
          <w:p w14:paraId="0DA5E5B4" w14:textId="77777777" w:rsidR="002C6574" w:rsidRDefault="002C6574">
            <w:pPr>
              <w:pStyle w:val="TableParagraph"/>
              <w:jc w:val="left"/>
              <w:rPr>
                <w:rFonts w:ascii="Times New Roman"/>
                <w:sz w:val="14"/>
              </w:rPr>
            </w:pPr>
          </w:p>
        </w:tc>
      </w:tr>
      <w:tr w:rsidR="002C6574" w14:paraId="2D0AF093" w14:textId="77777777">
        <w:trPr>
          <w:trHeight w:val="214"/>
        </w:trPr>
        <w:tc>
          <w:tcPr>
            <w:tcW w:w="3836" w:type="dxa"/>
          </w:tcPr>
          <w:p w14:paraId="67DBE60B" w14:textId="77777777" w:rsidR="002C6574" w:rsidRDefault="00000000">
            <w:pPr>
              <w:pStyle w:val="TableParagraph"/>
              <w:spacing w:before="25"/>
              <w:ind w:left="126"/>
              <w:jc w:val="left"/>
              <w:rPr>
                <w:rFonts w:ascii="Arial MT" w:hAnsi="Arial MT"/>
                <w:sz w:val="14"/>
              </w:rPr>
            </w:pPr>
            <w:r>
              <w:rPr>
                <w:rFonts w:ascii="Arial MT" w:hAnsi="Arial MT"/>
                <w:sz w:val="14"/>
              </w:rPr>
              <w:t>(-)</w:t>
            </w:r>
            <w:r>
              <w:rPr>
                <w:rFonts w:ascii="Arial MT" w:hAnsi="Arial MT"/>
                <w:spacing w:val="-6"/>
                <w:sz w:val="14"/>
              </w:rPr>
              <w:t xml:space="preserve"> </w:t>
            </w:r>
            <w:r>
              <w:rPr>
                <w:rFonts w:ascii="Arial MT" w:hAnsi="Arial MT"/>
                <w:sz w:val="14"/>
              </w:rPr>
              <w:t>Superávit</w:t>
            </w:r>
            <w:r>
              <w:rPr>
                <w:rFonts w:ascii="Arial MT" w:hAnsi="Arial MT"/>
                <w:spacing w:val="-3"/>
                <w:sz w:val="14"/>
              </w:rPr>
              <w:t xml:space="preserve"> </w:t>
            </w:r>
            <w:r>
              <w:rPr>
                <w:rFonts w:ascii="Arial MT" w:hAnsi="Arial MT"/>
                <w:sz w:val="14"/>
              </w:rPr>
              <w:t>-</w:t>
            </w:r>
            <w:r>
              <w:rPr>
                <w:rFonts w:ascii="Arial MT" w:hAnsi="Arial MT"/>
                <w:spacing w:val="-6"/>
                <w:sz w:val="14"/>
              </w:rPr>
              <w:t xml:space="preserve"> </w:t>
            </w:r>
            <w:r>
              <w:rPr>
                <w:rFonts w:ascii="Arial MT" w:hAnsi="Arial MT"/>
                <w:sz w:val="14"/>
              </w:rPr>
              <w:t>Previdência</w:t>
            </w:r>
            <w:r>
              <w:rPr>
                <w:rFonts w:ascii="Arial MT" w:hAnsi="Arial MT"/>
                <w:spacing w:val="-6"/>
                <w:sz w:val="14"/>
              </w:rPr>
              <w:t xml:space="preserve"> </w:t>
            </w:r>
            <w:r>
              <w:rPr>
                <w:rFonts w:ascii="Arial MT" w:hAnsi="Arial MT"/>
                <w:spacing w:val="-2"/>
                <w:sz w:val="14"/>
              </w:rPr>
              <w:t>Privada</w:t>
            </w:r>
          </w:p>
        </w:tc>
        <w:tc>
          <w:tcPr>
            <w:tcW w:w="816" w:type="dxa"/>
            <w:shd w:val="clear" w:color="auto" w:fill="66FFFF"/>
          </w:tcPr>
          <w:p w14:paraId="7A1523DC" w14:textId="77777777" w:rsidR="002C6574" w:rsidRDefault="00000000">
            <w:pPr>
              <w:pStyle w:val="TableParagraph"/>
              <w:spacing w:before="25"/>
              <w:ind w:right="72"/>
              <w:rPr>
                <w:rFonts w:ascii="Arial MT"/>
                <w:sz w:val="14"/>
              </w:rPr>
            </w:pPr>
            <w:r>
              <w:rPr>
                <w:rFonts w:ascii="Arial MT"/>
                <w:spacing w:val="-2"/>
                <w:sz w:val="14"/>
              </w:rPr>
              <w:t>(102.225)</w:t>
            </w:r>
          </w:p>
        </w:tc>
        <w:tc>
          <w:tcPr>
            <w:tcW w:w="932" w:type="dxa"/>
          </w:tcPr>
          <w:p w14:paraId="180DB665" w14:textId="77777777" w:rsidR="002C6574" w:rsidRDefault="00000000">
            <w:pPr>
              <w:pStyle w:val="TableParagraph"/>
              <w:spacing w:before="25"/>
              <w:ind w:right="108"/>
              <w:rPr>
                <w:rFonts w:ascii="Arial MT"/>
                <w:sz w:val="14"/>
              </w:rPr>
            </w:pPr>
            <w:r>
              <w:rPr>
                <w:rFonts w:ascii="Arial MT"/>
                <w:spacing w:val="-2"/>
                <w:sz w:val="14"/>
              </w:rPr>
              <w:t>(212.038)</w:t>
            </w:r>
          </w:p>
        </w:tc>
        <w:tc>
          <w:tcPr>
            <w:tcW w:w="700" w:type="dxa"/>
          </w:tcPr>
          <w:p w14:paraId="611B03C0" w14:textId="77777777" w:rsidR="002C6574" w:rsidRDefault="00000000">
            <w:pPr>
              <w:pStyle w:val="TableParagraph"/>
              <w:spacing w:before="25"/>
              <w:ind w:right="69"/>
              <w:rPr>
                <w:rFonts w:ascii="Arial MT"/>
                <w:sz w:val="14"/>
              </w:rPr>
            </w:pPr>
            <w:r>
              <w:rPr>
                <w:rFonts w:ascii="Arial MT"/>
                <w:spacing w:val="-2"/>
                <w:sz w:val="14"/>
              </w:rPr>
              <w:t>(32.502)</w:t>
            </w:r>
          </w:p>
        </w:tc>
        <w:tc>
          <w:tcPr>
            <w:tcW w:w="885" w:type="dxa"/>
            <w:gridSpan w:val="2"/>
          </w:tcPr>
          <w:p w14:paraId="646BCC64" w14:textId="77777777" w:rsidR="002C6574" w:rsidRDefault="00000000">
            <w:pPr>
              <w:pStyle w:val="TableParagraph"/>
              <w:spacing w:before="25"/>
              <w:ind w:left="357"/>
              <w:jc w:val="left"/>
              <w:rPr>
                <w:rFonts w:ascii="Arial MT"/>
                <w:sz w:val="14"/>
              </w:rPr>
            </w:pPr>
            <w:r>
              <w:rPr>
                <w:rFonts w:ascii="Arial MT"/>
                <w:spacing w:val="-2"/>
                <w:sz w:val="14"/>
              </w:rPr>
              <w:t>-51,8%</w:t>
            </w:r>
          </w:p>
        </w:tc>
        <w:tc>
          <w:tcPr>
            <w:tcW w:w="791" w:type="dxa"/>
            <w:gridSpan w:val="2"/>
          </w:tcPr>
          <w:p w14:paraId="168D0AE5" w14:textId="77777777" w:rsidR="002C6574" w:rsidRDefault="00000000">
            <w:pPr>
              <w:pStyle w:val="TableParagraph"/>
              <w:spacing w:before="25"/>
              <w:ind w:left="84"/>
              <w:jc w:val="left"/>
              <w:rPr>
                <w:rFonts w:ascii="Arial MT"/>
                <w:sz w:val="14"/>
              </w:rPr>
            </w:pPr>
            <w:r>
              <w:rPr>
                <w:rFonts w:ascii="Arial MT"/>
                <w:spacing w:val="-2"/>
                <w:sz w:val="14"/>
              </w:rPr>
              <w:t>214,5%</w:t>
            </w:r>
          </w:p>
        </w:tc>
        <w:tc>
          <w:tcPr>
            <w:tcW w:w="854" w:type="dxa"/>
            <w:shd w:val="clear" w:color="auto" w:fill="66FFFF"/>
          </w:tcPr>
          <w:p w14:paraId="3BE7C29E" w14:textId="77777777" w:rsidR="002C6574" w:rsidRDefault="00000000">
            <w:pPr>
              <w:pStyle w:val="TableParagraph"/>
              <w:spacing w:before="25"/>
              <w:ind w:right="71"/>
              <w:rPr>
                <w:rFonts w:ascii="Arial MT"/>
                <w:sz w:val="14"/>
              </w:rPr>
            </w:pPr>
            <w:r>
              <w:rPr>
                <w:rFonts w:ascii="Arial MT"/>
                <w:spacing w:val="-2"/>
                <w:sz w:val="14"/>
              </w:rPr>
              <w:t>(134.727)</w:t>
            </w:r>
          </w:p>
        </w:tc>
        <w:tc>
          <w:tcPr>
            <w:tcW w:w="895" w:type="dxa"/>
          </w:tcPr>
          <w:p w14:paraId="4521EF8E" w14:textId="77777777" w:rsidR="002C6574" w:rsidRDefault="00000000">
            <w:pPr>
              <w:pStyle w:val="TableParagraph"/>
              <w:spacing w:before="25"/>
              <w:ind w:right="71"/>
              <w:rPr>
                <w:rFonts w:ascii="Arial MT"/>
                <w:sz w:val="14"/>
              </w:rPr>
            </w:pPr>
            <w:r>
              <w:rPr>
                <w:rFonts w:ascii="Arial MT"/>
                <w:spacing w:val="-2"/>
                <w:sz w:val="14"/>
              </w:rPr>
              <w:t>(212.038)</w:t>
            </w:r>
          </w:p>
        </w:tc>
        <w:tc>
          <w:tcPr>
            <w:tcW w:w="887" w:type="dxa"/>
            <w:gridSpan w:val="2"/>
          </w:tcPr>
          <w:p w14:paraId="41EFF15A" w14:textId="77777777" w:rsidR="002C6574" w:rsidRDefault="00000000">
            <w:pPr>
              <w:pStyle w:val="TableParagraph"/>
              <w:spacing w:before="25"/>
              <w:ind w:left="322"/>
              <w:jc w:val="left"/>
              <w:rPr>
                <w:rFonts w:ascii="Arial MT"/>
                <w:sz w:val="14"/>
              </w:rPr>
            </w:pPr>
            <w:r>
              <w:rPr>
                <w:rFonts w:ascii="Arial MT"/>
                <w:spacing w:val="-2"/>
                <w:sz w:val="14"/>
              </w:rPr>
              <w:t>-36,5%</w:t>
            </w:r>
          </w:p>
        </w:tc>
      </w:tr>
      <w:tr w:rsidR="002C6574" w14:paraId="1000D4E6" w14:textId="77777777">
        <w:trPr>
          <w:trHeight w:val="215"/>
        </w:trPr>
        <w:tc>
          <w:tcPr>
            <w:tcW w:w="3836" w:type="dxa"/>
          </w:tcPr>
          <w:p w14:paraId="17BBF9F1" w14:textId="77777777" w:rsidR="002C6574" w:rsidRDefault="00000000">
            <w:pPr>
              <w:pStyle w:val="TableParagraph"/>
              <w:spacing w:before="23"/>
              <w:ind w:left="126"/>
              <w:jc w:val="left"/>
              <w:rPr>
                <w:rFonts w:ascii="Arial MT" w:hAnsi="Arial MT"/>
                <w:sz w:val="14"/>
              </w:rPr>
            </w:pPr>
            <w:r>
              <w:rPr>
                <w:rFonts w:ascii="Arial MT" w:hAnsi="Arial MT"/>
                <w:sz w:val="14"/>
              </w:rPr>
              <w:t>(+)</w:t>
            </w:r>
            <w:r>
              <w:rPr>
                <w:rFonts w:ascii="Arial MT" w:hAnsi="Arial MT"/>
                <w:spacing w:val="-5"/>
                <w:sz w:val="14"/>
              </w:rPr>
              <w:t xml:space="preserve"> </w:t>
            </w:r>
            <w:r>
              <w:rPr>
                <w:rFonts w:ascii="Arial MT" w:hAnsi="Arial MT"/>
                <w:sz w:val="14"/>
              </w:rPr>
              <w:t>Tributos</w:t>
            </w:r>
            <w:r>
              <w:rPr>
                <w:rFonts w:ascii="Arial MT" w:hAnsi="Arial MT"/>
                <w:spacing w:val="-5"/>
                <w:sz w:val="14"/>
              </w:rPr>
              <w:t xml:space="preserve"> </w:t>
            </w:r>
            <w:r>
              <w:rPr>
                <w:rFonts w:ascii="Arial MT" w:hAnsi="Arial MT"/>
                <w:sz w:val="14"/>
              </w:rPr>
              <w:t>sobre</w:t>
            </w:r>
            <w:r>
              <w:rPr>
                <w:rFonts w:ascii="Arial MT" w:hAnsi="Arial MT"/>
                <w:spacing w:val="-5"/>
                <w:sz w:val="14"/>
              </w:rPr>
              <w:t xml:space="preserve"> </w:t>
            </w:r>
            <w:r>
              <w:rPr>
                <w:rFonts w:ascii="Arial MT" w:hAnsi="Arial MT"/>
                <w:spacing w:val="-2"/>
                <w:sz w:val="14"/>
              </w:rPr>
              <w:t>Superávit</w:t>
            </w:r>
          </w:p>
        </w:tc>
        <w:tc>
          <w:tcPr>
            <w:tcW w:w="816" w:type="dxa"/>
            <w:shd w:val="clear" w:color="auto" w:fill="66FFFF"/>
          </w:tcPr>
          <w:p w14:paraId="2170516B" w14:textId="77777777" w:rsidR="002C6574" w:rsidRDefault="00000000">
            <w:pPr>
              <w:pStyle w:val="TableParagraph"/>
              <w:spacing w:before="23"/>
              <w:ind w:right="69"/>
              <w:rPr>
                <w:rFonts w:ascii="Arial MT"/>
                <w:sz w:val="14"/>
              </w:rPr>
            </w:pPr>
            <w:r>
              <w:rPr>
                <w:rFonts w:ascii="Arial MT"/>
                <w:spacing w:val="-2"/>
                <w:sz w:val="14"/>
              </w:rPr>
              <w:t>9.456</w:t>
            </w:r>
          </w:p>
        </w:tc>
        <w:tc>
          <w:tcPr>
            <w:tcW w:w="932" w:type="dxa"/>
          </w:tcPr>
          <w:p w14:paraId="6CF0388E" w14:textId="77777777" w:rsidR="002C6574" w:rsidRDefault="00000000">
            <w:pPr>
              <w:pStyle w:val="TableParagraph"/>
              <w:spacing w:before="23"/>
              <w:ind w:right="105"/>
              <w:rPr>
                <w:rFonts w:ascii="Arial MT"/>
                <w:sz w:val="14"/>
              </w:rPr>
            </w:pPr>
            <w:r>
              <w:rPr>
                <w:rFonts w:ascii="Arial MT"/>
                <w:spacing w:val="-10"/>
                <w:sz w:val="14"/>
              </w:rPr>
              <w:t>-</w:t>
            </w:r>
          </w:p>
        </w:tc>
        <w:tc>
          <w:tcPr>
            <w:tcW w:w="700" w:type="dxa"/>
          </w:tcPr>
          <w:p w14:paraId="56B692C0" w14:textId="77777777" w:rsidR="002C6574" w:rsidRDefault="00000000">
            <w:pPr>
              <w:pStyle w:val="TableParagraph"/>
              <w:spacing w:before="23"/>
              <w:ind w:right="66"/>
              <w:rPr>
                <w:rFonts w:ascii="Arial MT"/>
                <w:sz w:val="14"/>
              </w:rPr>
            </w:pPr>
            <w:r>
              <w:rPr>
                <w:rFonts w:ascii="Arial MT"/>
                <w:spacing w:val="-2"/>
                <w:sz w:val="14"/>
              </w:rPr>
              <w:t>3.006</w:t>
            </w:r>
          </w:p>
        </w:tc>
        <w:tc>
          <w:tcPr>
            <w:tcW w:w="885" w:type="dxa"/>
            <w:gridSpan w:val="2"/>
          </w:tcPr>
          <w:p w14:paraId="3528B0A2" w14:textId="77777777" w:rsidR="002C6574" w:rsidRDefault="00000000">
            <w:pPr>
              <w:pStyle w:val="TableParagraph"/>
              <w:spacing w:before="23"/>
              <w:ind w:left="326"/>
              <w:jc w:val="left"/>
              <w:rPr>
                <w:rFonts w:ascii="Arial MT"/>
                <w:sz w:val="14"/>
              </w:rPr>
            </w:pPr>
            <w:r>
              <w:rPr>
                <w:rFonts w:ascii="Arial MT"/>
                <w:spacing w:val="-2"/>
                <w:sz w:val="14"/>
              </w:rPr>
              <w:t>100,0%</w:t>
            </w:r>
          </w:p>
        </w:tc>
        <w:tc>
          <w:tcPr>
            <w:tcW w:w="791" w:type="dxa"/>
            <w:gridSpan w:val="2"/>
          </w:tcPr>
          <w:p w14:paraId="750D0B5E" w14:textId="77777777" w:rsidR="002C6574" w:rsidRDefault="00000000">
            <w:pPr>
              <w:pStyle w:val="TableParagraph"/>
              <w:spacing w:before="23"/>
              <w:ind w:left="84"/>
              <w:jc w:val="left"/>
              <w:rPr>
                <w:rFonts w:ascii="Arial MT"/>
                <w:sz w:val="14"/>
              </w:rPr>
            </w:pPr>
            <w:r>
              <w:rPr>
                <w:rFonts w:ascii="Arial MT"/>
                <w:spacing w:val="-2"/>
                <w:sz w:val="14"/>
              </w:rPr>
              <w:t>214,5%</w:t>
            </w:r>
          </w:p>
        </w:tc>
        <w:tc>
          <w:tcPr>
            <w:tcW w:w="854" w:type="dxa"/>
            <w:shd w:val="clear" w:color="auto" w:fill="66FFFF"/>
          </w:tcPr>
          <w:p w14:paraId="107A1128" w14:textId="77777777" w:rsidR="002C6574" w:rsidRDefault="00000000">
            <w:pPr>
              <w:pStyle w:val="TableParagraph"/>
              <w:spacing w:before="23"/>
              <w:ind w:right="71"/>
              <w:rPr>
                <w:rFonts w:ascii="Arial MT"/>
                <w:sz w:val="14"/>
              </w:rPr>
            </w:pPr>
            <w:r>
              <w:rPr>
                <w:rFonts w:ascii="Arial MT"/>
                <w:spacing w:val="-2"/>
                <w:sz w:val="14"/>
              </w:rPr>
              <w:t>12.462</w:t>
            </w:r>
          </w:p>
        </w:tc>
        <w:tc>
          <w:tcPr>
            <w:tcW w:w="895" w:type="dxa"/>
          </w:tcPr>
          <w:p w14:paraId="35F0F6AF" w14:textId="77777777" w:rsidR="002C6574" w:rsidRDefault="00000000">
            <w:pPr>
              <w:pStyle w:val="TableParagraph"/>
              <w:spacing w:before="23"/>
              <w:ind w:right="69"/>
              <w:rPr>
                <w:rFonts w:ascii="Arial MT"/>
                <w:sz w:val="14"/>
              </w:rPr>
            </w:pPr>
            <w:r>
              <w:rPr>
                <w:rFonts w:ascii="Arial MT"/>
                <w:spacing w:val="-2"/>
                <w:sz w:val="14"/>
              </w:rPr>
              <w:t>19.614</w:t>
            </w:r>
          </w:p>
        </w:tc>
        <w:tc>
          <w:tcPr>
            <w:tcW w:w="887" w:type="dxa"/>
            <w:gridSpan w:val="2"/>
          </w:tcPr>
          <w:p w14:paraId="78347887" w14:textId="77777777" w:rsidR="002C6574" w:rsidRDefault="00000000">
            <w:pPr>
              <w:pStyle w:val="TableParagraph"/>
              <w:spacing w:before="23"/>
              <w:ind w:left="322"/>
              <w:jc w:val="left"/>
              <w:rPr>
                <w:rFonts w:ascii="Arial MT"/>
                <w:sz w:val="14"/>
              </w:rPr>
            </w:pPr>
            <w:r>
              <w:rPr>
                <w:rFonts w:ascii="Arial MT"/>
                <w:spacing w:val="-2"/>
                <w:sz w:val="14"/>
              </w:rPr>
              <w:t>-36,5%</w:t>
            </w:r>
          </w:p>
        </w:tc>
      </w:tr>
      <w:tr w:rsidR="002C6574" w14:paraId="2E2C2F4A" w14:textId="77777777">
        <w:trPr>
          <w:trHeight w:val="215"/>
        </w:trPr>
        <w:tc>
          <w:tcPr>
            <w:tcW w:w="3836" w:type="dxa"/>
          </w:tcPr>
          <w:p w14:paraId="0AF426CB" w14:textId="77777777" w:rsidR="002C6574" w:rsidRDefault="00000000">
            <w:pPr>
              <w:pStyle w:val="TableParagraph"/>
              <w:spacing w:before="25"/>
              <w:ind w:left="126"/>
              <w:jc w:val="left"/>
              <w:rPr>
                <w:rFonts w:ascii="Arial MT"/>
                <w:sz w:val="14"/>
              </w:rPr>
            </w:pPr>
            <w:r>
              <w:rPr>
                <w:rFonts w:ascii="Arial MT"/>
                <w:sz w:val="14"/>
              </w:rPr>
              <w:t>(-)</w:t>
            </w:r>
            <w:r>
              <w:rPr>
                <w:rFonts w:ascii="Arial MT"/>
                <w:spacing w:val="-3"/>
                <w:sz w:val="14"/>
              </w:rPr>
              <w:t xml:space="preserve"> </w:t>
            </w:r>
            <w:r>
              <w:rPr>
                <w:rFonts w:ascii="Arial MT"/>
                <w:sz w:val="14"/>
              </w:rPr>
              <w:t>Ganho</w:t>
            </w:r>
            <w:r>
              <w:rPr>
                <w:rFonts w:ascii="Arial MT"/>
                <w:spacing w:val="-4"/>
                <w:sz w:val="14"/>
              </w:rPr>
              <w:t xml:space="preserve"> </w:t>
            </w:r>
            <w:r>
              <w:rPr>
                <w:rFonts w:ascii="Arial MT"/>
                <w:sz w:val="14"/>
              </w:rPr>
              <w:t>sobre</w:t>
            </w:r>
            <w:r>
              <w:rPr>
                <w:rFonts w:ascii="Arial MT"/>
                <w:spacing w:val="-4"/>
                <w:sz w:val="14"/>
              </w:rPr>
              <w:t xml:space="preserve"> </w:t>
            </w:r>
            <w:r>
              <w:rPr>
                <w:rFonts w:ascii="Arial MT"/>
                <w:sz w:val="14"/>
              </w:rPr>
              <w:t>Baixa</w:t>
            </w:r>
            <w:r>
              <w:rPr>
                <w:rFonts w:ascii="Arial MT"/>
                <w:spacing w:val="-2"/>
                <w:sz w:val="14"/>
              </w:rPr>
              <w:t xml:space="preserve"> </w:t>
            </w:r>
            <w:r>
              <w:rPr>
                <w:rFonts w:ascii="Arial MT"/>
                <w:sz w:val="14"/>
              </w:rPr>
              <w:t>de</w:t>
            </w:r>
            <w:r>
              <w:rPr>
                <w:rFonts w:ascii="Arial MT"/>
                <w:spacing w:val="-5"/>
                <w:sz w:val="14"/>
              </w:rPr>
              <w:t xml:space="preserve"> </w:t>
            </w:r>
            <w:r>
              <w:rPr>
                <w:rFonts w:ascii="Arial MT"/>
                <w:spacing w:val="-2"/>
                <w:sz w:val="14"/>
              </w:rPr>
              <w:t>Passivos</w:t>
            </w:r>
          </w:p>
        </w:tc>
        <w:tc>
          <w:tcPr>
            <w:tcW w:w="816" w:type="dxa"/>
            <w:shd w:val="clear" w:color="auto" w:fill="66FFFF"/>
          </w:tcPr>
          <w:p w14:paraId="5380E5CE" w14:textId="77777777" w:rsidR="002C6574" w:rsidRDefault="00000000">
            <w:pPr>
              <w:pStyle w:val="TableParagraph"/>
              <w:spacing w:before="25"/>
              <w:ind w:right="69"/>
              <w:rPr>
                <w:rFonts w:ascii="Arial MT"/>
                <w:sz w:val="14"/>
              </w:rPr>
            </w:pPr>
            <w:r>
              <w:rPr>
                <w:rFonts w:ascii="Arial MT"/>
                <w:spacing w:val="-10"/>
                <w:sz w:val="14"/>
              </w:rPr>
              <w:t>-</w:t>
            </w:r>
          </w:p>
        </w:tc>
        <w:tc>
          <w:tcPr>
            <w:tcW w:w="932" w:type="dxa"/>
          </w:tcPr>
          <w:p w14:paraId="12FCE22F" w14:textId="77777777" w:rsidR="002C6574" w:rsidRDefault="00000000">
            <w:pPr>
              <w:pStyle w:val="TableParagraph"/>
              <w:spacing w:before="25"/>
              <w:ind w:right="108"/>
              <w:rPr>
                <w:rFonts w:ascii="Arial MT"/>
                <w:sz w:val="14"/>
              </w:rPr>
            </w:pPr>
            <w:r>
              <w:rPr>
                <w:rFonts w:ascii="Arial MT"/>
                <w:spacing w:val="-2"/>
                <w:sz w:val="14"/>
              </w:rPr>
              <w:t>(598)</w:t>
            </w:r>
          </w:p>
        </w:tc>
        <w:tc>
          <w:tcPr>
            <w:tcW w:w="700" w:type="dxa"/>
          </w:tcPr>
          <w:p w14:paraId="0A7DF075" w14:textId="77777777" w:rsidR="002C6574" w:rsidRDefault="00000000">
            <w:pPr>
              <w:pStyle w:val="TableParagraph"/>
              <w:spacing w:before="25"/>
              <w:ind w:right="66"/>
              <w:rPr>
                <w:rFonts w:ascii="Arial MT"/>
                <w:sz w:val="14"/>
              </w:rPr>
            </w:pPr>
            <w:r>
              <w:rPr>
                <w:rFonts w:ascii="Arial MT"/>
                <w:spacing w:val="-10"/>
                <w:sz w:val="14"/>
              </w:rPr>
              <w:t>-</w:t>
            </w:r>
          </w:p>
        </w:tc>
        <w:tc>
          <w:tcPr>
            <w:tcW w:w="885" w:type="dxa"/>
            <w:gridSpan w:val="2"/>
          </w:tcPr>
          <w:p w14:paraId="1C7E61A4" w14:textId="77777777" w:rsidR="002C6574" w:rsidRDefault="00000000">
            <w:pPr>
              <w:pStyle w:val="TableParagraph"/>
              <w:spacing w:before="25"/>
              <w:ind w:left="280"/>
              <w:jc w:val="left"/>
              <w:rPr>
                <w:rFonts w:ascii="Arial MT"/>
                <w:sz w:val="14"/>
              </w:rPr>
            </w:pPr>
            <w:r>
              <w:rPr>
                <w:rFonts w:ascii="Arial MT"/>
                <w:spacing w:val="-2"/>
                <w:sz w:val="14"/>
              </w:rPr>
              <w:t>-100,0%</w:t>
            </w:r>
          </w:p>
        </w:tc>
        <w:tc>
          <w:tcPr>
            <w:tcW w:w="791" w:type="dxa"/>
            <w:gridSpan w:val="2"/>
          </w:tcPr>
          <w:p w14:paraId="37749FB4" w14:textId="77777777" w:rsidR="002C6574" w:rsidRDefault="00000000">
            <w:pPr>
              <w:pStyle w:val="TableParagraph"/>
              <w:spacing w:before="25"/>
              <w:ind w:left="514"/>
              <w:jc w:val="left"/>
              <w:rPr>
                <w:rFonts w:ascii="Arial MT"/>
                <w:sz w:val="14"/>
              </w:rPr>
            </w:pPr>
            <w:r>
              <w:rPr>
                <w:rFonts w:ascii="Arial MT"/>
                <w:spacing w:val="-10"/>
                <w:sz w:val="14"/>
              </w:rPr>
              <w:t>-</w:t>
            </w:r>
          </w:p>
        </w:tc>
        <w:tc>
          <w:tcPr>
            <w:tcW w:w="854" w:type="dxa"/>
            <w:shd w:val="clear" w:color="auto" w:fill="66FFFF"/>
          </w:tcPr>
          <w:p w14:paraId="101F8F0A" w14:textId="77777777" w:rsidR="002C6574" w:rsidRDefault="00000000">
            <w:pPr>
              <w:pStyle w:val="TableParagraph"/>
              <w:spacing w:before="25"/>
              <w:ind w:right="71"/>
              <w:rPr>
                <w:rFonts w:ascii="Arial MT"/>
                <w:sz w:val="14"/>
              </w:rPr>
            </w:pPr>
            <w:r>
              <w:rPr>
                <w:rFonts w:ascii="Arial MT"/>
                <w:spacing w:val="-4"/>
                <w:sz w:val="14"/>
              </w:rPr>
              <w:t>(76)</w:t>
            </w:r>
          </w:p>
        </w:tc>
        <w:tc>
          <w:tcPr>
            <w:tcW w:w="895" w:type="dxa"/>
          </w:tcPr>
          <w:p w14:paraId="25BF3386" w14:textId="77777777" w:rsidR="002C6574" w:rsidRDefault="00000000">
            <w:pPr>
              <w:pStyle w:val="TableParagraph"/>
              <w:spacing w:before="25"/>
              <w:ind w:right="90"/>
              <w:rPr>
                <w:rFonts w:ascii="Arial MT"/>
                <w:sz w:val="14"/>
              </w:rPr>
            </w:pPr>
            <w:r>
              <w:rPr>
                <w:rFonts w:ascii="Arial MT"/>
                <w:spacing w:val="-2"/>
                <w:sz w:val="14"/>
              </w:rPr>
              <w:t>(2.297)</w:t>
            </w:r>
          </w:p>
        </w:tc>
        <w:tc>
          <w:tcPr>
            <w:tcW w:w="887" w:type="dxa"/>
            <w:gridSpan w:val="2"/>
          </w:tcPr>
          <w:p w14:paraId="33285AB2" w14:textId="77777777" w:rsidR="002C6574" w:rsidRDefault="00000000">
            <w:pPr>
              <w:pStyle w:val="TableParagraph"/>
              <w:spacing w:before="25"/>
              <w:ind w:left="322"/>
              <w:jc w:val="left"/>
              <w:rPr>
                <w:rFonts w:ascii="Arial MT"/>
                <w:sz w:val="14"/>
              </w:rPr>
            </w:pPr>
            <w:r>
              <w:rPr>
                <w:rFonts w:ascii="Arial MT"/>
                <w:spacing w:val="-2"/>
                <w:sz w:val="14"/>
              </w:rPr>
              <w:t>-96,7%</w:t>
            </w:r>
          </w:p>
        </w:tc>
      </w:tr>
      <w:tr w:rsidR="002C6574" w14:paraId="45894124" w14:textId="77777777">
        <w:trPr>
          <w:trHeight w:val="214"/>
        </w:trPr>
        <w:tc>
          <w:tcPr>
            <w:tcW w:w="3836" w:type="dxa"/>
          </w:tcPr>
          <w:p w14:paraId="701EEE71" w14:textId="77777777" w:rsidR="002C6574" w:rsidRDefault="00000000">
            <w:pPr>
              <w:pStyle w:val="TableParagraph"/>
              <w:spacing w:before="23"/>
              <w:ind w:left="126"/>
              <w:jc w:val="left"/>
              <w:rPr>
                <w:rFonts w:ascii="Arial MT"/>
                <w:sz w:val="14"/>
              </w:rPr>
            </w:pPr>
            <w:r>
              <w:rPr>
                <w:rFonts w:ascii="Arial MT"/>
                <w:sz w:val="14"/>
              </w:rPr>
              <w:t>(-)</w:t>
            </w:r>
            <w:r>
              <w:rPr>
                <w:rFonts w:ascii="Arial MT"/>
                <w:spacing w:val="-6"/>
                <w:sz w:val="14"/>
              </w:rPr>
              <w:t xml:space="preserve"> </w:t>
            </w:r>
            <w:r>
              <w:rPr>
                <w:rFonts w:ascii="Arial MT"/>
                <w:sz w:val="14"/>
              </w:rPr>
              <w:t>Ativos</w:t>
            </w:r>
            <w:r>
              <w:rPr>
                <w:rFonts w:ascii="Arial MT"/>
                <w:spacing w:val="-4"/>
                <w:sz w:val="14"/>
              </w:rPr>
              <w:t xml:space="preserve"> </w:t>
            </w:r>
            <w:r>
              <w:rPr>
                <w:rFonts w:ascii="Arial MT"/>
                <w:spacing w:val="-2"/>
                <w:sz w:val="14"/>
              </w:rPr>
              <w:t>Contingentes</w:t>
            </w:r>
          </w:p>
        </w:tc>
        <w:tc>
          <w:tcPr>
            <w:tcW w:w="816" w:type="dxa"/>
            <w:shd w:val="clear" w:color="auto" w:fill="66FFFF"/>
          </w:tcPr>
          <w:p w14:paraId="6DAE469B" w14:textId="77777777" w:rsidR="002C6574" w:rsidRDefault="00000000">
            <w:pPr>
              <w:pStyle w:val="TableParagraph"/>
              <w:spacing w:before="23"/>
              <w:ind w:right="72"/>
              <w:rPr>
                <w:rFonts w:ascii="Arial MT"/>
                <w:sz w:val="14"/>
              </w:rPr>
            </w:pPr>
            <w:r>
              <w:rPr>
                <w:rFonts w:ascii="Arial MT"/>
                <w:spacing w:val="-2"/>
                <w:sz w:val="14"/>
              </w:rPr>
              <w:t>(14.922)</w:t>
            </w:r>
          </w:p>
        </w:tc>
        <w:tc>
          <w:tcPr>
            <w:tcW w:w="932" w:type="dxa"/>
          </w:tcPr>
          <w:p w14:paraId="51D79554" w14:textId="77777777" w:rsidR="002C6574" w:rsidRDefault="00000000">
            <w:pPr>
              <w:pStyle w:val="TableParagraph"/>
              <w:spacing w:before="23"/>
              <w:ind w:right="105"/>
              <w:rPr>
                <w:rFonts w:ascii="Arial MT"/>
                <w:sz w:val="14"/>
              </w:rPr>
            </w:pPr>
            <w:r>
              <w:rPr>
                <w:rFonts w:ascii="Arial MT"/>
                <w:spacing w:val="-10"/>
                <w:sz w:val="14"/>
              </w:rPr>
              <w:t>-</w:t>
            </w:r>
          </w:p>
        </w:tc>
        <w:tc>
          <w:tcPr>
            <w:tcW w:w="700" w:type="dxa"/>
          </w:tcPr>
          <w:p w14:paraId="56889C71" w14:textId="77777777" w:rsidR="002C6574" w:rsidRDefault="00000000">
            <w:pPr>
              <w:pStyle w:val="TableParagraph"/>
              <w:spacing w:before="23"/>
              <w:ind w:right="66"/>
              <w:rPr>
                <w:rFonts w:ascii="Arial MT"/>
                <w:sz w:val="14"/>
              </w:rPr>
            </w:pPr>
            <w:r>
              <w:rPr>
                <w:rFonts w:ascii="Arial MT"/>
                <w:spacing w:val="-10"/>
                <w:sz w:val="14"/>
              </w:rPr>
              <w:t>-</w:t>
            </w:r>
          </w:p>
        </w:tc>
        <w:tc>
          <w:tcPr>
            <w:tcW w:w="885" w:type="dxa"/>
            <w:gridSpan w:val="2"/>
          </w:tcPr>
          <w:p w14:paraId="51E68E97" w14:textId="77777777" w:rsidR="002C6574" w:rsidRDefault="00000000">
            <w:pPr>
              <w:pStyle w:val="TableParagraph"/>
              <w:spacing w:before="23"/>
              <w:ind w:left="326"/>
              <w:jc w:val="left"/>
              <w:rPr>
                <w:rFonts w:ascii="Arial MT"/>
                <w:sz w:val="14"/>
              </w:rPr>
            </w:pPr>
            <w:r>
              <w:rPr>
                <w:rFonts w:ascii="Arial MT"/>
                <w:spacing w:val="-2"/>
                <w:sz w:val="14"/>
              </w:rPr>
              <w:t>100,0%</w:t>
            </w:r>
          </w:p>
        </w:tc>
        <w:tc>
          <w:tcPr>
            <w:tcW w:w="791" w:type="dxa"/>
            <w:gridSpan w:val="2"/>
          </w:tcPr>
          <w:p w14:paraId="14F91425" w14:textId="77777777" w:rsidR="002C6574" w:rsidRDefault="00000000">
            <w:pPr>
              <w:pStyle w:val="TableParagraph"/>
              <w:spacing w:before="23"/>
              <w:ind w:left="84"/>
              <w:jc w:val="left"/>
              <w:rPr>
                <w:rFonts w:ascii="Arial MT"/>
                <w:sz w:val="14"/>
              </w:rPr>
            </w:pPr>
            <w:r>
              <w:rPr>
                <w:rFonts w:ascii="Arial MT"/>
                <w:spacing w:val="-2"/>
                <w:sz w:val="14"/>
              </w:rPr>
              <w:t>100,0%</w:t>
            </w:r>
          </w:p>
        </w:tc>
        <w:tc>
          <w:tcPr>
            <w:tcW w:w="854" w:type="dxa"/>
            <w:shd w:val="clear" w:color="auto" w:fill="66FFFF"/>
          </w:tcPr>
          <w:p w14:paraId="32868863" w14:textId="77777777" w:rsidR="002C6574" w:rsidRDefault="00000000">
            <w:pPr>
              <w:pStyle w:val="TableParagraph"/>
              <w:spacing w:before="23"/>
              <w:ind w:right="71"/>
              <w:rPr>
                <w:rFonts w:ascii="Arial MT"/>
                <w:sz w:val="14"/>
              </w:rPr>
            </w:pPr>
            <w:r>
              <w:rPr>
                <w:rFonts w:ascii="Arial MT"/>
                <w:spacing w:val="-2"/>
                <w:sz w:val="14"/>
              </w:rPr>
              <w:t>(14.960)</w:t>
            </w:r>
          </w:p>
        </w:tc>
        <w:tc>
          <w:tcPr>
            <w:tcW w:w="895" w:type="dxa"/>
          </w:tcPr>
          <w:p w14:paraId="6E2B199A" w14:textId="77777777" w:rsidR="002C6574" w:rsidRDefault="00000000">
            <w:pPr>
              <w:pStyle w:val="TableParagraph"/>
              <w:spacing w:before="23"/>
              <w:ind w:right="68"/>
              <w:rPr>
                <w:rFonts w:ascii="Arial MT"/>
                <w:sz w:val="14"/>
              </w:rPr>
            </w:pPr>
            <w:r>
              <w:rPr>
                <w:rFonts w:ascii="Arial MT"/>
                <w:spacing w:val="-10"/>
                <w:sz w:val="14"/>
              </w:rPr>
              <w:t>-</w:t>
            </w:r>
          </w:p>
        </w:tc>
        <w:tc>
          <w:tcPr>
            <w:tcW w:w="887" w:type="dxa"/>
            <w:gridSpan w:val="2"/>
          </w:tcPr>
          <w:p w14:paraId="06820868" w14:textId="77777777" w:rsidR="002C6574" w:rsidRDefault="00000000">
            <w:pPr>
              <w:pStyle w:val="TableParagraph"/>
              <w:spacing w:before="23"/>
              <w:ind w:left="290"/>
              <w:jc w:val="left"/>
              <w:rPr>
                <w:rFonts w:ascii="Arial MT"/>
                <w:sz w:val="14"/>
              </w:rPr>
            </w:pPr>
            <w:r>
              <w:rPr>
                <w:rFonts w:ascii="Arial MT"/>
                <w:spacing w:val="-2"/>
                <w:sz w:val="14"/>
              </w:rPr>
              <w:t>100,0%</w:t>
            </w:r>
          </w:p>
        </w:tc>
      </w:tr>
      <w:tr w:rsidR="002C6574" w14:paraId="7F5FDA35" w14:textId="77777777">
        <w:trPr>
          <w:trHeight w:val="216"/>
        </w:trPr>
        <w:tc>
          <w:tcPr>
            <w:tcW w:w="3836" w:type="dxa"/>
          </w:tcPr>
          <w:p w14:paraId="3D94E73B" w14:textId="77777777" w:rsidR="002C6574" w:rsidRDefault="00000000">
            <w:pPr>
              <w:pStyle w:val="TableParagraph"/>
              <w:spacing w:before="25"/>
              <w:ind w:left="126"/>
              <w:jc w:val="left"/>
              <w:rPr>
                <w:rFonts w:ascii="Arial MT"/>
                <w:sz w:val="14"/>
              </w:rPr>
            </w:pPr>
            <w:r>
              <w:rPr>
                <w:rFonts w:ascii="Arial MT"/>
                <w:sz w:val="14"/>
              </w:rPr>
              <w:t>(+)</w:t>
            </w:r>
            <w:r>
              <w:rPr>
                <w:rFonts w:ascii="Arial MT"/>
                <w:spacing w:val="-7"/>
                <w:sz w:val="14"/>
              </w:rPr>
              <w:t xml:space="preserve"> </w:t>
            </w:r>
            <w:r>
              <w:rPr>
                <w:rFonts w:ascii="Arial MT"/>
                <w:sz w:val="14"/>
              </w:rPr>
              <w:t>Tributos</w:t>
            </w:r>
            <w:r>
              <w:rPr>
                <w:rFonts w:ascii="Arial MT"/>
                <w:spacing w:val="-5"/>
                <w:sz w:val="14"/>
              </w:rPr>
              <w:t xml:space="preserve"> </w:t>
            </w:r>
            <w:r>
              <w:rPr>
                <w:rFonts w:ascii="Arial MT"/>
                <w:sz w:val="14"/>
              </w:rPr>
              <w:t>s/</w:t>
            </w:r>
            <w:r>
              <w:rPr>
                <w:rFonts w:ascii="Arial MT"/>
                <w:spacing w:val="-3"/>
                <w:sz w:val="14"/>
              </w:rPr>
              <w:t xml:space="preserve"> </w:t>
            </w:r>
            <w:r>
              <w:rPr>
                <w:rFonts w:ascii="Arial MT"/>
                <w:sz w:val="14"/>
              </w:rPr>
              <w:t>Ativo</w:t>
            </w:r>
            <w:r>
              <w:rPr>
                <w:rFonts w:ascii="Arial MT"/>
                <w:spacing w:val="-2"/>
                <w:sz w:val="14"/>
              </w:rPr>
              <w:t xml:space="preserve"> Contingente</w:t>
            </w:r>
          </w:p>
        </w:tc>
        <w:tc>
          <w:tcPr>
            <w:tcW w:w="816" w:type="dxa"/>
            <w:shd w:val="clear" w:color="auto" w:fill="66FFFF"/>
          </w:tcPr>
          <w:p w14:paraId="1477A485" w14:textId="77777777" w:rsidR="002C6574" w:rsidRDefault="00000000">
            <w:pPr>
              <w:pStyle w:val="TableParagraph"/>
              <w:spacing w:before="25"/>
              <w:ind w:right="69"/>
              <w:rPr>
                <w:rFonts w:ascii="Arial MT"/>
                <w:sz w:val="14"/>
              </w:rPr>
            </w:pPr>
            <w:r>
              <w:rPr>
                <w:rFonts w:ascii="Arial MT"/>
                <w:spacing w:val="-2"/>
                <w:sz w:val="14"/>
              </w:rPr>
              <w:t>1.384</w:t>
            </w:r>
          </w:p>
        </w:tc>
        <w:tc>
          <w:tcPr>
            <w:tcW w:w="932" w:type="dxa"/>
          </w:tcPr>
          <w:p w14:paraId="4CEF2CE0" w14:textId="77777777" w:rsidR="002C6574" w:rsidRDefault="00000000">
            <w:pPr>
              <w:pStyle w:val="TableParagraph"/>
              <w:spacing w:before="25"/>
              <w:ind w:right="105"/>
              <w:rPr>
                <w:rFonts w:ascii="Arial MT"/>
                <w:sz w:val="14"/>
              </w:rPr>
            </w:pPr>
            <w:r>
              <w:rPr>
                <w:rFonts w:ascii="Arial MT"/>
                <w:spacing w:val="-10"/>
                <w:sz w:val="14"/>
              </w:rPr>
              <w:t>-</w:t>
            </w:r>
          </w:p>
        </w:tc>
        <w:tc>
          <w:tcPr>
            <w:tcW w:w="700" w:type="dxa"/>
          </w:tcPr>
          <w:p w14:paraId="0E996DD0" w14:textId="77777777" w:rsidR="002C6574" w:rsidRDefault="00000000">
            <w:pPr>
              <w:pStyle w:val="TableParagraph"/>
              <w:spacing w:before="25"/>
              <w:ind w:right="66"/>
              <w:rPr>
                <w:rFonts w:ascii="Arial MT"/>
                <w:sz w:val="14"/>
              </w:rPr>
            </w:pPr>
            <w:r>
              <w:rPr>
                <w:rFonts w:ascii="Arial MT"/>
                <w:spacing w:val="-10"/>
                <w:sz w:val="14"/>
              </w:rPr>
              <w:t>-</w:t>
            </w:r>
          </w:p>
        </w:tc>
        <w:tc>
          <w:tcPr>
            <w:tcW w:w="885" w:type="dxa"/>
            <w:gridSpan w:val="2"/>
          </w:tcPr>
          <w:p w14:paraId="2F166F46" w14:textId="77777777" w:rsidR="002C6574" w:rsidRDefault="00000000">
            <w:pPr>
              <w:pStyle w:val="TableParagraph"/>
              <w:spacing w:before="25"/>
              <w:ind w:left="326"/>
              <w:jc w:val="left"/>
              <w:rPr>
                <w:rFonts w:ascii="Arial MT"/>
                <w:sz w:val="14"/>
              </w:rPr>
            </w:pPr>
            <w:r>
              <w:rPr>
                <w:rFonts w:ascii="Arial MT"/>
                <w:spacing w:val="-2"/>
                <w:sz w:val="14"/>
              </w:rPr>
              <w:t>100,0%</w:t>
            </w:r>
          </w:p>
        </w:tc>
        <w:tc>
          <w:tcPr>
            <w:tcW w:w="791" w:type="dxa"/>
            <w:gridSpan w:val="2"/>
          </w:tcPr>
          <w:p w14:paraId="0AB79870" w14:textId="77777777" w:rsidR="002C6574" w:rsidRDefault="00000000">
            <w:pPr>
              <w:pStyle w:val="TableParagraph"/>
              <w:spacing w:before="25"/>
              <w:ind w:left="84"/>
              <w:jc w:val="left"/>
              <w:rPr>
                <w:rFonts w:ascii="Arial MT"/>
                <w:sz w:val="14"/>
              </w:rPr>
            </w:pPr>
            <w:r>
              <w:rPr>
                <w:rFonts w:ascii="Arial MT"/>
                <w:spacing w:val="-2"/>
                <w:sz w:val="14"/>
              </w:rPr>
              <w:t>100,0%</w:t>
            </w:r>
          </w:p>
        </w:tc>
        <w:tc>
          <w:tcPr>
            <w:tcW w:w="854" w:type="dxa"/>
            <w:shd w:val="clear" w:color="auto" w:fill="66FFFF"/>
          </w:tcPr>
          <w:p w14:paraId="405FC985" w14:textId="77777777" w:rsidR="002C6574" w:rsidRDefault="00000000">
            <w:pPr>
              <w:pStyle w:val="TableParagraph"/>
              <w:spacing w:before="25"/>
              <w:ind w:right="69"/>
              <w:rPr>
                <w:rFonts w:ascii="Arial MT"/>
                <w:sz w:val="14"/>
              </w:rPr>
            </w:pPr>
            <w:r>
              <w:rPr>
                <w:rFonts w:ascii="Arial MT"/>
                <w:spacing w:val="-2"/>
                <w:sz w:val="14"/>
              </w:rPr>
              <w:t>1.384</w:t>
            </w:r>
          </w:p>
        </w:tc>
        <w:tc>
          <w:tcPr>
            <w:tcW w:w="895" w:type="dxa"/>
          </w:tcPr>
          <w:p w14:paraId="35C2BC13" w14:textId="77777777" w:rsidR="002C6574" w:rsidRDefault="00000000">
            <w:pPr>
              <w:pStyle w:val="TableParagraph"/>
              <w:spacing w:before="25"/>
              <w:ind w:right="68"/>
              <w:rPr>
                <w:rFonts w:ascii="Arial MT"/>
                <w:sz w:val="14"/>
              </w:rPr>
            </w:pPr>
            <w:r>
              <w:rPr>
                <w:rFonts w:ascii="Arial MT"/>
                <w:spacing w:val="-10"/>
                <w:sz w:val="14"/>
              </w:rPr>
              <w:t>-</w:t>
            </w:r>
          </w:p>
        </w:tc>
        <w:tc>
          <w:tcPr>
            <w:tcW w:w="887" w:type="dxa"/>
            <w:gridSpan w:val="2"/>
          </w:tcPr>
          <w:p w14:paraId="0AB5E6B1" w14:textId="77777777" w:rsidR="002C6574" w:rsidRDefault="00000000">
            <w:pPr>
              <w:pStyle w:val="TableParagraph"/>
              <w:spacing w:before="25"/>
              <w:ind w:left="290"/>
              <w:jc w:val="left"/>
              <w:rPr>
                <w:rFonts w:ascii="Arial MT"/>
                <w:sz w:val="14"/>
              </w:rPr>
            </w:pPr>
            <w:r>
              <w:rPr>
                <w:rFonts w:ascii="Arial MT"/>
                <w:spacing w:val="-2"/>
                <w:sz w:val="14"/>
              </w:rPr>
              <w:t>100,0%</w:t>
            </w:r>
          </w:p>
        </w:tc>
      </w:tr>
      <w:tr w:rsidR="002C6574" w14:paraId="32EE8E9A" w14:textId="77777777">
        <w:trPr>
          <w:trHeight w:val="214"/>
        </w:trPr>
        <w:tc>
          <w:tcPr>
            <w:tcW w:w="3836" w:type="dxa"/>
          </w:tcPr>
          <w:p w14:paraId="1B430F27" w14:textId="77777777" w:rsidR="002C6574" w:rsidRDefault="00000000">
            <w:pPr>
              <w:pStyle w:val="TableParagraph"/>
              <w:spacing w:before="25"/>
              <w:ind w:left="126"/>
              <w:jc w:val="left"/>
              <w:rPr>
                <w:rFonts w:ascii="Arial MT"/>
                <w:sz w:val="14"/>
              </w:rPr>
            </w:pPr>
            <w:r>
              <w:rPr>
                <w:rFonts w:ascii="Arial MT"/>
                <w:sz w:val="14"/>
              </w:rPr>
              <w:t>(+/-)</w:t>
            </w:r>
            <w:r>
              <w:rPr>
                <w:rFonts w:ascii="Arial MT"/>
                <w:spacing w:val="-4"/>
                <w:sz w:val="14"/>
              </w:rPr>
              <w:t xml:space="preserve"> </w:t>
            </w:r>
            <w:r>
              <w:rPr>
                <w:rFonts w:ascii="Arial MT"/>
                <w:sz w:val="14"/>
              </w:rPr>
              <w:t>Baixa</w:t>
            </w:r>
            <w:r>
              <w:rPr>
                <w:rFonts w:ascii="Arial MT"/>
                <w:spacing w:val="-4"/>
                <w:sz w:val="14"/>
              </w:rPr>
              <w:t xml:space="preserve"> </w:t>
            </w:r>
            <w:r>
              <w:rPr>
                <w:rFonts w:ascii="Arial MT"/>
                <w:sz w:val="14"/>
              </w:rPr>
              <w:t>de</w:t>
            </w:r>
            <w:r>
              <w:rPr>
                <w:rFonts w:ascii="Arial MT"/>
                <w:spacing w:val="-3"/>
                <w:sz w:val="14"/>
              </w:rPr>
              <w:t xml:space="preserve"> </w:t>
            </w:r>
            <w:r>
              <w:rPr>
                <w:rFonts w:ascii="Arial MT"/>
                <w:sz w:val="14"/>
              </w:rPr>
              <w:t>Bens</w:t>
            </w:r>
            <w:r>
              <w:rPr>
                <w:rFonts w:ascii="Arial MT"/>
                <w:spacing w:val="-2"/>
                <w:sz w:val="14"/>
              </w:rPr>
              <w:t xml:space="preserve"> </w:t>
            </w:r>
            <w:r>
              <w:rPr>
                <w:rFonts w:ascii="Arial MT"/>
                <w:sz w:val="14"/>
              </w:rPr>
              <w:t>do</w:t>
            </w:r>
            <w:r>
              <w:rPr>
                <w:rFonts w:ascii="Arial MT"/>
                <w:spacing w:val="-3"/>
                <w:sz w:val="14"/>
              </w:rPr>
              <w:t xml:space="preserve"> </w:t>
            </w:r>
            <w:r>
              <w:rPr>
                <w:rFonts w:ascii="Arial MT"/>
                <w:sz w:val="14"/>
              </w:rPr>
              <w:t>Ativo</w:t>
            </w:r>
            <w:r>
              <w:rPr>
                <w:rFonts w:ascii="Arial MT"/>
                <w:spacing w:val="-4"/>
                <w:sz w:val="14"/>
              </w:rPr>
              <w:t xml:space="preserve"> </w:t>
            </w:r>
            <w:r>
              <w:rPr>
                <w:rFonts w:ascii="Arial MT"/>
                <w:spacing w:val="-2"/>
                <w:sz w:val="14"/>
              </w:rPr>
              <w:t>Imobilizado</w:t>
            </w:r>
          </w:p>
        </w:tc>
        <w:tc>
          <w:tcPr>
            <w:tcW w:w="816" w:type="dxa"/>
            <w:shd w:val="clear" w:color="auto" w:fill="66FFFF"/>
          </w:tcPr>
          <w:p w14:paraId="76A91438" w14:textId="77777777" w:rsidR="002C6574" w:rsidRDefault="00000000">
            <w:pPr>
              <w:pStyle w:val="TableParagraph"/>
              <w:spacing w:before="25"/>
              <w:ind w:right="69"/>
              <w:rPr>
                <w:rFonts w:ascii="Arial MT"/>
                <w:sz w:val="14"/>
              </w:rPr>
            </w:pPr>
            <w:r>
              <w:rPr>
                <w:rFonts w:ascii="Arial MT"/>
                <w:spacing w:val="-10"/>
                <w:sz w:val="14"/>
              </w:rPr>
              <w:t>-</w:t>
            </w:r>
          </w:p>
        </w:tc>
        <w:tc>
          <w:tcPr>
            <w:tcW w:w="932" w:type="dxa"/>
          </w:tcPr>
          <w:p w14:paraId="4F79AC5E" w14:textId="77777777" w:rsidR="002C6574" w:rsidRDefault="00000000">
            <w:pPr>
              <w:pStyle w:val="TableParagraph"/>
              <w:spacing w:before="25"/>
              <w:ind w:right="108"/>
              <w:rPr>
                <w:rFonts w:ascii="Arial MT"/>
                <w:sz w:val="14"/>
              </w:rPr>
            </w:pPr>
            <w:r>
              <w:rPr>
                <w:rFonts w:ascii="Arial MT"/>
                <w:spacing w:val="-2"/>
                <w:sz w:val="14"/>
              </w:rPr>
              <w:t>(1.366)</w:t>
            </w:r>
          </w:p>
        </w:tc>
        <w:tc>
          <w:tcPr>
            <w:tcW w:w="700" w:type="dxa"/>
          </w:tcPr>
          <w:p w14:paraId="09D66E17" w14:textId="77777777" w:rsidR="002C6574" w:rsidRDefault="00000000">
            <w:pPr>
              <w:pStyle w:val="TableParagraph"/>
              <w:spacing w:before="25"/>
              <w:ind w:right="66"/>
              <w:rPr>
                <w:rFonts w:ascii="Arial MT"/>
                <w:sz w:val="14"/>
              </w:rPr>
            </w:pPr>
            <w:r>
              <w:rPr>
                <w:rFonts w:ascii="Arial MT"/>
                <w:spacing w:val="-10"/>
                <w:sz w:val="14"/>
              </w:rPr>
              <w:t>-</w:t>
            </w:r>
          </w:p>
        </w:tc>
        <w:tc>
          <w:tcPr>
            <w:tcW w:w="885" w:type="dxa"/>
            <w:gridSpan w:val="2"/>
          </w:tcPr>
          <w:p w14:paraId="024A16F7" w14:textId="77777777" w:rsidR="002C6574" w:rsidRDefault="00000000">
            <w:pPr>
              <w:pStyle w:val="TableParagraph"/>
              <w:spacing w:before="25"/>
              <w:ind w:left="280"/>
              <w:jc w:val="left"/>
              <w:rPr>
                <w:rFonts w:ascii="Arial MT"/>
                <w:sz w:val="14"/>
              </w:rPr>
            </w:pPr>
            <w:r>
              <w:rPr>
                <w:rFonts w:ascii="Arial MT"/>
                <w:spacing w:val="-2"/>
                <w:sz w:val="14"/>
              </w:rPr>
              <w:t>-100,0%</w:t>
            </w:r>
          </w:p>
        </w:tc>
        <w:tc>
          <w:tcPr>
            <w:tcW w:w="791" w:type="dxa"/>
            <w:gridSpan w:val="2"/>
          </w:tcPr>
          <w:p w14:paraId="6F5FB474" w14:textId="77777777" w:rsidR="002C6574" w:rsidRDefault="00000000">
            <w:pPr>
              <w:pStyle w:val="TableParagraph"/>
              <w:spacing w:before="25"/>
              <w:ind w:left="514"/>
              <w:jc w:val="left"/>
              <w:rPr>
                <w:rFonts w:ascii="Arial MT"/>
                <w:sz w:val="14"/>
              </w:rPr>
            </w:pPr>
            <w:r>
              <w:rPr>
                <w:rFonts w:ascii="Arial MT"/>
                <w:spacing w:val="-10"/>
                <w:sz w:val="14"/>
              </w:rPr>
              <w:t>-</w:t>
            </w:r>
          </w:p>
        </w:tc>
        <w:tc>
          <w:tcPr>
            <w:tcW w:w="854" w:type="dxa"/>
            <w:shd w:val="clear" w:color="auto" w:fill="66FFFF"/>
          </w:tcPr>
          <w:p w14:paraId="459AC539" w14:textId="77777777" w:rsidR="002C6574" w:rsidRDefault="00000000">
            <w:pPr>
              <w:pStyle w:val="TableParagraph"/>
              <w:spacing w:before="25"/>
              <w:ind w:right="68"/>
              <w:rPr>
                <w:rFonts w:ascii="Arial MT"/>
                <w:sz w:val="14"/>
              </w:rPr>
            </w:pPr>
            <w:r>
              <w:rPr>
                <w:rFonts w:ascii="Arial MT"/>
                <w:spacing w:val="-10"/>
                <w:sz w:val="14"/>
              </w:rPr>
              <w:t>-</w:t>
            </w:r>
          </w:p>
        </w:tc>
        <w:tc>
          <w:tcPr>
            <w:tcW w:w="895" w:type="dxa"/>
          </w:tcPr>
          <w:p w14:paraId="5D8CE8A8" w14:textId="77777777" w:rsidR="002C6574" w:rsidRDefault="00000000">
            <w:pPr>
              <w:pStyle w:val="TableParagraph"/>
              <w:spacing w:before="25"/>
              <w:ind w:right="69"/>
              <w:rPr>
                <w:rFonts w:ascii="Arial MT"/>
                <w:sz w:val="14"/>
              </w:rPr>
            </w:pPr>
            <w:r>
              <w:rPr>
                <w:rFonts w:ascii="Arial MT"/>
                <w:spacing w:val="-2"/>
                <w:sz w:val="14"/>
              </w:rPr>
              <w:t>2.666</w:t>
            </w:r>
          </w:p>
        </w:tc>
        <w:tc>
          <w:tcPr>
            <w:tcW w:w="887" w:type="dxa"/>
            <w:gridSpan w:val="2"/>
          </w:tcPr>
          <w:p w14:paraId="01C663C8" w14:textId="77777777" w:rsidR="002C6574" w:rsidRDefault="00000000">
            <w:pPr>
              <w:pStyle w:val="TableParagraph"/>
              <w:spacing w:before="25"/>
              <w:ind w:left="245"/>
              <w:jc w:val="left"/>
              <w:rPr>
                <w:rFonts w:ascii="Arial MT"/>
                <w:sz w:val="14"/>
              </w:rPr>
            </w:pPr>
            <w:r>
              <w:rPr>
                <w:rFonts w:ascii="Arial MT"/>
                <w:spacing w:val="-2"/>
                <w:sz w:val="14"/>
              </w:rPr>
              <w:t>-100,0%</w:t>
            </w:r>
          </w:p>
        </w:tc>
      </w:tr>
      <w:tr w:rsidR="002C6574" w14:paraId="31FFCA09" w14:textId="77777777">
        <w:trPr>
          <w:trHeight w:val="214"/>
        </w:trPr>
        <w:tc>
          <w:tcPr>
            <w:tcW w:w="3836" w:type="dxa"/>
          </w:tcPr>
          <w:p w14:paraId="04E18477" w14:textId="77777777" w:rsidR="002C6574" w:rsidRDefault="00000000">
            <w:pPr>
              <w:pStyle w:val="TableParagraph"/>
              <w:spacing w:before="23"/>
              <w:ind w:left="126"/>
              <w:jc w:val="left"/>
              <w:rPr>
                <w:rFonts w:ascii="Arial MT"/>
                <w:sz w:val="14"/>
              </w:rPr>
            </w:pPr>
            <w:r>
              <w:rPr>
                <w:rFonts w:ascii="Arial MT"/>
                <w:sz w:val="14"/>
              </w:rPr>
              <w:t>(+)</w:t>
            </w:r>
            <w:r>
              <w:rPr>
                <w:rFonts w:ascii="Arial MT"/>
                <w:spacing w:val="-4"/>
                <w:sz w:val="14"/>
              </w:rPr>
              <w:t xml:space="preserve"> </w:t>
            </w:r>
            <w:r>
              <w:rPr>
                <w:rFonts w:ascii="Arial MT"/>
                <w:sz w:val="14"/>
              </w:rPr>
              <w:t>Multas</w:t>
            </w:r>
            <w:r>
              <w:rPr>
                <w:rFonts w:ascii="Arial MT"/>
                <w:spacing w:val="-4"/>
                <w:sz w:val="14"/>
              </w:rPr>
              <w:t xml:space="preserve"> </w:t>
            </w:r>
            <w:r>
              <w:rPr>
                <w:rFonts w:ascii="Arial MT"/>
                <w:spacing w:val="-2"/>
                <w:sz w:val="14"/>
              </w:rPr>
              <w:t>Contratuais</w:t>
            </w:r>
          </w:p>
        </w:tc>
        <w:tc>
          <w:tcPr>
            <w:tcW w:w="816" w:type="dxa"/>
            <w:shd w:val="clear" w:color="auto" w:fill="66FFFF"/>
          </w:tcPr>
          <w:p w14:paraId="5AA37D87" w14:textId="77777777" w:rsidR="002C6574" w:rsidRDefault="00000000">
            <w:pPr>
              <w:pStyle w:val="TableParagraph"/>
              <w:spacing w:before="23"/>
              <w:ind w:right="69"/>
              <w:rPr>
                <w:rFonts w:ascii="Arial MT"/>
                <w:sz w:val="14"/>
              </w:rPr>
            </w:pPr>
            <w:r>
              <w:rPr>
                <w:rFonts w:ascii="Arial MT"/>
                <w:spacing w:val="-2"/>
                <w:sz w:val="14"/>
              </w:rPr>
              <w:t>1.500</w:t>
            </w:r>
          </w:p>
        </w:tc>
        <w:tc>
          <w:tcPr>
            <w:tcW w:w="932" w:type="dxa"/>
          </w:tcPr>
          <w:p w14:paraId="4D139C01" w14:textId="77777777" w:rsidR="002C6574" w:rsidRDefault="00000000">
            <w:pPr>
              <w:pStyle w:val="TableParagraph"/>
              <w:spacing w:before="23"/>
              <w:ind w:right="106"/>
              <w:rPr>
                <w:rFonts w:ascii="Arial MT"/>
                <w:sz w:val="14"/>
              </w:rPr>
            </w:pPr>
            <w:r>
              <w:rPr>
                <w:rFonts w:ascii="Arial MT"/>
                <w:spacing w:val="-5"/>
                <w:sz w:val="14"/>
              </w:rPr>
              <w:t>679</w:t>
            </w:r>
          </w:p>
        </w:tc>
        <w:tc>
          <w:tcPr>
            <w:tcW w:w="700" w:type="dxa"/>
          </w:tcPr>
          <w:p w14:paraId="0454A4CA" w14:textId="77777777" w:rsidR="002C6574" w:rsidRDefault="00000000">
            <w:pPr>
              <w:pStyle w:val="TableParagraph"/>
              <w:spacing w:before="23"/>
              <w:ind w:right="66"/>
              <w:rPr>
                <w:rFonts w:ascii="Arial MT"/>
                <w:sz w:val="14"/>
              </w:rPr>
            </w:pPr>
            <w:r>
              <w:rPr>
                <w:rFonts w:ascii="Arial MT"/>
                <w:spacing w:val="-2"/>
                <w:sz w:val="14"/>
              </w:rPr>
              <w:t>1.952</w:t>
            </w:r>
          </w:p>
        </w:tc>
        <w:tc>
          <w:tcPr>
            <w:tcW w:w="885" w:type="dxa"/>
            <w:gridSpan w:val="2"/>
          </w:tcPr>
          <w:p w14:paraId="3E42855E" w14:textId="77777777" w:rsidR="002C6574" w:rsidRDefault="00000000">
            <w:pPr>
              <w:pStyle w:val="TableParagraph"/>
              <w:spacing w:before="23"/>
              <w:ind w:left="326"/>
              <w:jc w:val="left"/>
              <w:rPr>
                <w:rFonts w:ascii="Arial MT"/>
                <w:sz w:val="14"/>
              </w:rPr>
            </w:pPr>
            <w:r>
              <w:rPr>
                <w:rFonts w:ascii="Arial MT"/>
                <w:spacing w:val="-2"/>
                <w:sz w:val="14"/>
              </w:rPr>
              <w:t>120,9%</w:t>
            </w:r>
          </w:p>
        </w:tc>
        <w:tc>
          <w:tcPr>
            <w:tcW w:w="791" w:type="dxa"/>
            <w:gridSpan w:val="2"/>
          </w:tcPr>
          <w:p w14:paraId="19033287" w14:textId="77777777" w:rsidR="002C6574" w:rsidRDefault="00000000">
            <w:pPr>
              <w:pStyle w:val="TableParagraph"/>
              <w:spacing w:before="23"/>
              <w:ind w:left="115"/>
              <w:jc w:val="left"/>
              <w:rPr>
                <w:rFonts w:ascii="Arial MT"/>
                <w:sz w:val="14"/>
              </w:rPr>
            </w:pPr>
            <w:r>
              <w:rPr>
                <w:rFonts w:ascii="Arial MT"/>
                <w:spacing w:val="-2"/>
                <w:sz w:val="14"/>
              </w:rPr>
              <w:t>-23,2%</w:t>
            </w:r>
          </w:p>
        </w:tc>
        <w:tc>
          <w:tcPr>
            <w:tcW w:w="854" w:type="dxa"/>
            <w:shd w:val="clear" w:color="auto" w:fill="66FFFF"/>
          </w:tcPr>
          <w:p w14:paraId="2AB6348B" w14:textId="77777777" w:rsidR="002C6574" w:rsidRDefault="00000000">
            <w:pPr>
              <w:pStyle w:val="TableParagraph"/>
              <w:spacing w:before="23"/>
              <w:ind w:right="69"/>
              <w:rPr>
                <w:rFonts w:ascii="Arial MT"/>
                <w:sz w:val="14"/>
              </w:rPr>
            </w:pPr>
            <w:r>
              <w:rPr>
                <w:rFonts w:ascii="Arial MT"/>
                <w:spacing w:val="-2"/>
                <w:sz w:val="14"/>
              </w:rPr>
              <w:t>4.874</w:t>
            </w:r>
          </w:p>
        </w:tc>
        <w:tc>
          <w:tcPr>
            <w:tcW w:w="895" w:type="dxa"/>
          </w:tcPr>
          <w:p w14:paraId="2B0A879F" w14:textId="77777777" w:rsidR="002C6574" w:rsidRDefault="00000000">
            <w:pPr>
              <w:pStyle w:val="TableParagraph"/>
              <w:spacing w:before="23"/>
              <w:ind w:right="69"/>
              <w:rPr>
                <w:rFonts w:ascii="Arial MT"/>
                <w:sz w:val="14"/>
              </w:rPr>
            </w:pPr>
            <w:r>
              <w:rPr>
                <w:rFonts w:ascii="Arial MT"/>
                <w:spacing w:val="-2"/>
                <w:sz w:val="14"/>
              </w:rPr>
              <w:t>3.568</w:t>
            </w:r>
          </w:p>
        </w:tc>
        <w:tc>
          <w:tcPr>
            <w:tcW w:w="887" w:type="dxa"/>
            <w:gridSpan w:val="2"/>
          </w:tcPr>
          <w:p w14:paraId="4E01B168" w14:textId="77777777" w:rsidR="002C6574" w:rsidRDefault="00000000">
            <w:pPr>
              <w:pStyle w:val="TableParagraph"/>
              <w:spacing w:before="23"/>
              <w:ind w:left="370"/>
              <w:jc w:val="left"/>
              <w:rPr>
                <w:rFonts w:ascii="Arial MT"/>
                <w:sz w:val="14"/>
              </w:rPr>
            </w:pPr>
            <w:r>
              <w:rPr>
                <w:rFonts w:ascii="Arial MT"/>
                <w:spacing w:val="-2"/>
                <w:sz w:val="14"/>
              </w:rPr>
              <w:t>36,6%</w:t>
            </w:r>
          </w:p>
        </w:tc>
      </w:tr>
      <w:tr w:rsidR="002C6574" w14:paraId="2EE1D127" w14:textId="77777777">
        <w:trPr>
          <w:trHeight w:val="211"/>
        </w:trPr>
        <w:tc>
          <w:tcPr>
            <w:tcW w:w="3836" w:type="dxa"/>
          </w:tcPr>
          <w:p w14:paraId="3CF67A49" w14:textId="77777777" w:rsidR="002C6574" w:rsidRDefault="00000000">
            <w:pPr>
              <w:pStyle w:val="TableParagraph"/>
              <w:spacing w:before="25"/>
              <w:ind w:left="126"/>
              <w:jc w:val="left"/>
              <w:rPr>
                <w:rFonts w:ascii="Arial MT" w:hAnsi="Arial MT"/>
                <w:sz w:val="14"/>
              </w:rPr>
            </w:pPr>
            <w:r>
              <w:rPr>
                <w:rFonts w:ascii="Arial MT" w:hAnsi="Arial MT"/>
                <w:sz w:val="14"/>
              </w:rPr>
              <w:t>(+)</w:t>
            </w:r>
            <w:r>
              <w:rPr>
                <w:rFonts w:ascii="Arial MT" w:hAnsi="Arial MT"/>
                <w:spacing w:val="-6"/>
                <w:sz w:val="14"/>
              </w:rPr>
              <w:t xml:space="preserve"> </w:t>
            </w:r>
            <w:r>
              <w:rPr>
                <w:rFonts w:ascii="Arial MT" w:hAnsi="Arial MT"/>
                <w:sz w:val="14"/>
              </w:rPr>
              <w:t>Ajuste</w:t>
            </w:r>
            <w:r>
              <w:rPr>
                <w:rFonts w:ascii="Arial MT" w:hAnsi="Arial MT"/>
                <w:spacing w:val="-4"/>
                <w:sz w:val="14"/>
              </w:rPr>
              <w:t xml:space="preserve"> </w:t>
            </w:r>
            <w:r>
              <w:rPr>
                <w:rFonts w:ascii="Arial MT" w:hAnsi="Arial MT"/>
                <w:sz w:val="14"/>
              </w:rPr>
              <w:t>de</w:t>
            </w:r>
            <w:r>
              <w:rPr>
                <w:rFonts w:ascii="Arial MT" w:hAnsi="Arial MT"/>
                <w:spacing w:val="-4"/>
                <w:sz w:val="14"/>
              </w:rPr>
              <w:t xml:space="preserve"> </w:t>
            </w:r>
            <w:r>
              <w:rPr>
                <w:rFonts w:ascii="Arial MT" w:hAnsi="Arial MT"/>
                <w:sz w:val="14"/>
              </w:rPr>
              <w:t>IRPJ/CSLL</w:t>
            </w:r>
            <w:r>
              <w:rPr>
                <w:rFonts w:ascii="Arial MT" w:hAnsi="Arial MT"/>
                <w:spacing w:val="-3"/>
                <w:sz w:val="14"/>
              </w:rPr>
              <w:t xml:space="preserve"> </w:t>
            </w:r>
            <w:r>
              <w:rPr>
                <w:rFonts w:ascii="Arial MT" w:hAnsi="Arial MT"/>
                <w:sz w:val="14"/>
              </w:rPr>
              <w:t>sobre</w:t>
            </w:r>
            <w:r>
              <w:rPr>
                <w:rFonts w:ascii="Arial MT" w:hAnsi="Arial MT"/>
                <w:spacing w:val="-6"/>
                <w:sz w:val="14"/>
              </w:rPr>
              <w:t xml:space="preserve"> </w:t>
            </w:r>
            <w:r>
              <w:rPr>
                <w:rFonts w:ascii="Arial MT" w:hAnsi="Arial MT"/>
                <w:sz w:val="14"/>
              </w:rPr>
              <w:t>Eventos</w:t>
            </w:r>
            <w:r>
              <w:rPr>
                <w:rFonts w:ascii="Arial MT" w:hAnsi="Arial MT"/>
                <w:spacing w:val="-5"/>
                <w:sz w:val="14"/>
              </w:rPr>
              <w:t xml:space="preserve"> </w:t>
            </w:r>
            <w:r>
              <w:rPr>
                <w:rFonts w:ascii="Arial MT" w:hAnsi="Arial MT"/>
                <w:sz w:val="14"/>
              </w:rPr>
              <w:t>Não</w:t>
            </w:r>
            <w:r>
              <w:rPr>
                <w:rFonts w:ascii="Arial MT" w:hAnsi="Arial MT"/>
                <w:spacing w:val="-4"/>
                <w:sz w:val="14"/>
              </w:rPr>
              <w:t xml:space="preserve"> </w:t>
            </w:r>
            <w:r>
              <w:rPr>
                <w:rFonts w:ascii="Arial MT" w:hAnsi="Arial MT"/>
                <w:spacing w:val="-2"/>
                <w:sz w:val="14"/>
              </w:rPr>
              <w:t>recorrentes</w:t>
            </w:r>
          </w:p>
        </w:tc>
        <w:tc>
          <w:tcPr>
            <w:tcW w:w="816" w:type="dxa"/>
            <w:shd w:val="clear" w:color="auto" w:fill="66FFFF"/>
          </w:tcPr>
          <w:p w14:paraId="56BE1324" w14:textId="77777777" w:rsidR="002C6574" w:rsidRDefault="00000000">
            <w:pPr>
              <w:pStyle w:val="TableParagraph"/>
              <w:spacing w:before="25"/>
              <w:ind w:right="69"/>
              <w:rPr>
                <w:rFonts w:ascii="Arial MT"/>
                <w:sz w:val="14"/>
              </w:rPr>
            </w:pPr>
            <w:r>
              <w:rPr>
                <w:rFonts w:ascii="Arial MT"/>
                <w:spacing w:val="-2"/>
                <w:sz w:val="14"/>
              </w:rPr>
              <w:t>24.944</w:t>
            </w:r>
          </w:p>
        </w:tc>
        <w:tc>
          <w:tcPr>
            <w:tcW w:w="932" w:type="dxa"/>
          </w:tcPr>
          <w:p w14:paraId="54F13700" w14:textId="77777777" w:rsidR="002C6574" w:rsidRDefault="00000000">
            <w:pPr>
              <w:pStyle w:val="TableParagraph"/>
              <w:spacing w:before="25"/>
              <w:ind w:right="105"/>
              <w:rPr>
                <w:rFonts w:ascii="Arial MT"/>
                <w:sz w:val="14"/>
              </w:rPr>
            </w:pPr>
            <w:r>
              <w:rPr>
                <w:rFonts w:ascii="Arial MT"/>
                <w:spacing w:val="-10"/>
                <w:sz w:val="14"/>
              </w:rPr>
              <w:t>-</w:t>
            </w:r>
          </w:p>
        </w:tc>
        <w:tc>
          <w:tcPr>
            <w:tcW w:w="700" w:type="dxa"/>
          </w:tcPr>
          <w:p w14:paraId="44D7DC8F" w14:textId="77777777" w:rsidR="002C6574" w:rsidRDefault="00000000">
            <w:pPr>
              <w:pStyle w:val="TableParagraph"/>
              <w:spacing w:before="25"/>
              <w:ind w:right="66"/>
              <w:rPr>
                <w:rFonts w:ascii="Arial MT"/>
                <w:sz w:val="14"/>
              </w:rPr>
            </w:pPr>
            <w:r>
              <w:rPr>
                <w:rFonts w:ascii="Arial MT"/>
                <w:spacing w:val="-10"/>
                <w:sz w:val="14"/>
              </w:rPr>
              <w:t>-</w:t>
            </w:r>
          </w:p>
        </w:tc>
        <w:tc>
          <w:tcPr>
            <w:tcW w:w="885" w:type="dxa"/>
            <w:gridSpan w:val="2"/>
          </w:tcPr>
          <w:p w14:paraId="28352075" w14:textId="77777777" w:rsidR="002C6574" w:rsidRDefault="00000000">
            <w:pPr>
              <w:pStyle w:val="TableParagraph"/>
              <w:spacing w:before="25"/>
              <w:ind w:left="326"/>
              <w:jc w:val="left"/>
              <w:rPr>
                <w:rFonts w:ascii="Arial MT"/>
                <w:sz w:val="14"/>
              </w:rPr>
            </w:pPr>
            <w:r>
              <w:rPr>
                <w:rFonts w:ascii="Arial MT"/>
                <w:spacing w:val="-2"/>
                <w:sz w:val="14"/>
              </w:rPr>
              <w:t>100,0%</w:t>
            </w:r>
          </w:p>
        </w:tc>
        <w:tc>
          <w:tcPr>
            <w:tcW w:w="791" w:type="dxa"/>
            <w:gridSpan w:val="2"/>
          </w:tcPr>
          <w:p w14:paraId="192AFF6C" w14:textId="77777777" w:rsidR="002C6574" w:rsidRDefault="00000000">
            <w:pPr>
              <w:pStyle w:val="TableParagraph"/>
              <w:spacing w:before="25"/>
              <w:ind w:left="84"/>
              <w:jc w:val="left"/>
              <w:rPr>
                <w:rFonts w:ascii="Arial MT"/>
                <w:sz w:val="14"/>
              </w:rPr>
            </w:pPr>
            <w:r>
              <w:rPr>
                <w:rFonts w:ascii="Arial MT"/>
                <w:spacing w:val="-2"/>
                <w:sz w:val="14"/>
              </w:rPr>
              <w:t>100,0%</w:t>
            </w:r>
          </w:p>
        </w:tc>
        <w:tc>
          <w:tcPr>
            <w:tcW w:w="854" w:type="dxa"/>
            <w:shd w:val="clear" w:color="auto" w:fill="66FFFF"/>
          </w:tcPr>
          <w:p w14:paraId="2195A0B0" w14:textId="77777777" w:rsidR="002C6574" w:rsidRDefault="00000000">
            <w:pPr>
              <w:pStyle w:val="TableParagraph"/>
              <w:spacing w:before="25"/>
              <w:ind w:right="71"/>
              <w:rPr>
                <w:rFonts w:ascii="Arial MT"/>
                <w:sz w:val="14"/>
              </w:rPr>
            </w:pPr>
            <w:r>
              <w:rPr>
                <w:rFonts w:ascii="Arial MT"/>
                <w:spacing w:val="-2"/>
                <w:sz w:val="14"/>
              </w:rPr>
              <w:t>31.188</w:t>
            </w:r>
          </w:p>
        </w:tc>
        <w:tc>
          <w:tcPr>
            <w:tcW w:w="895" w:type="dxa"/>
          </w:tcPr>
          <w:p w14:paraId="04423A3C" w14:textId="77777777" w:rsidR="002C6574" w:rsidRDefault="00000000">
            <w:pPr>
              <w:pStyle w:val="TableParagraph"/>
              <w:spacing w:before="25"/>
              <w:ind w:right="68"/>
              <w:rPr>
                <w:rFonts w:ascii="Arial MT"/>
                <w:sz w:val="14"/>
              </w:rPr>
            </w:pPr>
            <w:r>
              <w:rPr>
                <w:rFonts w:ascii="Arial MT"/>
                <w:spacing w:val="-10"/>
                <w:sz w:val="14"/>
              </w:rPr>
              <w:t>-</w:t>
            </w:r>
          </w:p>
        </w:tc>
        <w:tc>
          <w:tcPr>
            <w:tcW w:w="887" w:type="dxa"/>
            <w:gridSpan w:val="2"/>
          </w:tcPr>
          <w:p w14:paraId="7BC0CF68" w14:textId="77777777" w:rsidR="002C6574" w:rsidRDefault="00000000">
            <w:pPr>
              <w:pStyle w:val="TableParagraph"/>
              <w:spacing w:before="25"/>
              <w:ind w:left="290"/>
              <w:jc w:val="left"/>
              <w:rPr>
                <w:rFonts w:ascii="Arial MT"/>
                <w:sz w:val="14"/>
              </w:rPr>
            </w:pPr>
            <w:r>
              <w:rPr>
                <w:rFonts w:ascii="Arial MT"/>
                <w:spacing w:val="-2"/>
                <w:sz w:val="14"/>
              </w:rPr>
              <w:t>100,0%</w:t>
            </w:r>
          </w:p>
        </w:tc>
      </w:tr>
      <w:tr w:rsidR="002C6574" w14:paraId="7ECE931A" w14:textId="77777777">
        <w:trPr>
          <w:trHeight w:val="215"/>
        </w:trPr>
        <w:tc>
          <w:tcPr>
            <w:tcW w:w="6284" w:type="dxa"/>
            <w:gridSpan w:val="4"/>
          </w:tcPr>
          <w:p w14:paraId="28218F20" w14:textId="77777777" w:rsidR="002C6574" w:rsidRDefault="00000000">
            <w:pPr>
              <w:pStyle w:val="TableParagraph"/>
              <w:tabs>
                <w:tab w:val="left" w:pos="4073"/>
                <w:tab w:val="left" w:pos="4951"/>
                <w:tab w:val="left" w:pos="5691"/>
              </w:tabs>
              <w:spacing w:before="27"/>
              <w:ind w:left="57" w:right="-15"/>
              <w:jc w:val="left"/>
              <w:rPr>
                <w:rFonts w:ascii="Arial" w:hAnsi="Arial"/>
                <w:b/>
                <w:sz w:val="14"/>
              </w:rPr>
            </w:pPr>
            <w:r>
              <w:rPr>
                <w:rFonts w:ascii="Arial" w:hAnsi="Arial"/>
                <w:b/>
                <w:color w:val="FFFFFF"/>
                <w:spacing w:val="40"/>
                <w:sz w:val="14"/>
                <w:highlight w:val="blue"/>
              </w:rPr>
              <w:t xml:space="preserve"> </w:t>
            </w:r>
            <w:r>
              <w:rPr>
                <w:rFonts w:ascii="Arial" w:hAnsi="Arial"/>
                <w:b/>
                <w:color w:val="FFFFFF"/>
                <w:spacing w:val="-2"/>
                <w:sz w:val="14"/>
                <w:highlight w:val="blue"/>
              </w:rPr>
              <w:t>Lucro/(Prejuízo)</w:t>
            </w:r>
            <w:r>
              <w:rPr>
                <w:rFonts w:ascii="Arial" w:hAnsi="Arial"/>
                <w:b/>
                <w:color w:val="FFFFFF"/>
                <w:spacing w:val="7"/>
                <w:sz w:val="14"/>
                <w:highlight w:val="blue"/>
              </w:rPr>
              <w:t xml:space="preserve"> </w:t>
            </w:r>
            <w:r>
              <w:rPr>
                <w:rFonts w:ascii="Arial" w:hAnsi="Arial"/>
                <w:b/>
                <w:color w:val="FFFFFF"/>
                <w:spacing w:val="-2"/>
                <w:sz w:val="14"/>
                <w:highlight w:val="blue"/>
              </w:rPr>
              <w:t>Líquido</w:t>
            </w:r>
            <w:r>
              <w:rPr>
                <w:rFonts w:ascii="Arial" w:hAnsi="Arial"/>
                <w:b/>
                <w:color w:val="FFFFFF"/>
                <w:spacing w:val="4"/>
                <w:sz w:val="14"/>
                <w:highlight w:val="blue"/>
              </w:rPr>
              <w:t xml:space="preserve"> </w:t>
            </w:r>
            <w:r>
              <w:rPr>
                <w:rFonts w:ascii="Arial" w:hAnsi="Arial"/>
                <w:b/>
                <w:color w:val="FFFFFF"/>
                <w:spacing w:val="-2"/>
                <w:sz w:val="14"/>
                <w:highlight w:val="blue"/>
              </w:rPr>
              <w:t>Recorrente</w:t>
            </w:r>
            <w:r>
              <w:rPr>
                <w:rFonts w:ascii="Arial" w:hAnsi="Arial"/>
                <w:b/>
                <w:color w:val="FFFFFF"/>
                <w:sz w:val="14"/>
                <w:highlight w:val="blue"/>
              </w:rPr>
              <w:tab/>
            </w:r>
            <w:r>
              <w:rPr>
                <w:rFonts w:ascii="Arial" w:hAnsi="Arial"/>
                <w:b/>
                <w:color w:val="FFFFFF"/>
                <w:spacing w:val="-2"/>
                <w:sz w:val="14"/>
                <w:highlight w:val="blue"/>
              </w:rPr>
              <w:t>143.598</w:t>
            </w:r>
            <w:r>
              <w:rPr>
                <w:rFonts w:ascii="Arial" w:hAnsi="Arial"/>
                <w:b/>
                <w:color w:val="FFFFFF"/>
                <w:sz w:val="14"/>
                <w:highlight w:val="blue"/>
              </w:rPr>
              <w:tab/>
            </w:r>
            <w:r>
              <w:rPr>
                <w:rFonts w:ascii="Arial" w:hAnsi="Arial"/>
                <w:b/>
                <w:color w:val="FFFFFF"/>
                <w:spacing w:val="-2"/>
                <w:sz w:val="14"/>
                <w:highlight w:val="blue"/>
              </w:rPr>
              <w:t>(74.198)</w:t>
            </w:r>
            <w:r>
              <w:rPr>
                <w:rFonts w:ascii="Arial" w:hAnsi="Arial"/>
                <w:b/>
                <w:color w:val="FFFFFF"/>
                <w:sz w:val="14"/>
                <w:highlight w:val="blue"/>
              </w:rPr>
              <w:tab/>
            </w:r>
            <w:r>
              <w:rPr>
                <w:rFonts w:ascii="Arial" w:hAnsi="Arial"/>
                <w:b/>
                <w:color w:val="FFFFFF"/>
                <w:spacing w:val="-2"/>
                <w:sz w:val="14"/>
                <w:highlight w:val="blue"/>
              </w:rPr>
              <w:t>(53.154)</w:t>
            </w:r>
            <w:r>
              <w:rPr>
                <w:rFonts w:ascii="Arial" w:hAnsi="Arial"/>
                <w:b/>
                <w:color w:val="FFFFFF"/>
                <w:spacing w:val="80"/>
                <w:sz w:val="14"/>
                <w:highlight w:val="blue"/>
              </w:rPr>
              <w:t xml:space="preserve"> </w:t>
            </w:r>
          </w:p>
        </w:tc>
        <w:tc>
          <w:tcPr>
            <w:tcW w:w="1517" w:type="dxa"/>
            <w:gridSpan w:val="3"/>
          </w:tcPr>
          <w:p w14:paraId="2A7C7CD1" w14:textId="77777777" w:rsidR="002C6574" w:rsidRDefault="00000000">
            <w:pPr>
              <w:pStyle w:val="TableParagraph"/>
              <w:spacing w:before="27"/>
              <w:ind w:left="165"/>
              <w:jc w:val="left"/>
              <w:rPr>
                <w:rFonts w:ascii="Arial"/>
                <w:b/>
                <w:sz w:val="14"/>
              </w:rPr>
            </w:pPr>
            <w:r>
              <w:rPr>
                <w:rFonts w:ascii="Arial"/>
                <w:b/>
                <w:color w:val="FFFFFF"/>
                <w:spacing w:val="39"/>
                <w:sz w:val="14"/>
                <w:highlight w:val="blue"/>
              </w:rPr>
              <w:t xml:space="preserve">  </w:t>
            </w:r>
            <w:r>
              <w:rPr>
                <w:rFonts w:ascii="Arial"/>
                <w:b/>
                <w:color w:val="FFFFFF"/>
                <w:sz w:val="14"/>
                <w:highlight w:val="blue"/>
              </w:rPr>
              <w:t>293,5%</w:t>
            </w:r>
            <w:r>
              <w:rPr>
                <w:rFonts w:ascii="Arial"/>
                <w:b/>
                <w:color w:val="FFFFFF"/>
                <w:spacing w:val="43"/>
                <w:sz w:val="14"/>
                <w:highlight w:val="blue"/>
              </w:rPr>
              <w:t xml:space="preserve">  </w:t>
            </w:r>
            <w:r>
              <w:rPr>
                <w:rFonts w:ascii="Arial"/>
                <w:b/>
                <w:color w:val="FFFFFF"/>
                <w:spacing w:val="-2"/>
                <w:sz w:val="14"/>
                <w:highlight w:val="blue"/>
              </w:rPr>
              <w:t>370,2%</w:t>
            </w:r>
            <w:r>
              <w:rPr>
                <w:rFonts w:ascii="Arial"/>
                <w:b/>
                <w:color w:val="FFFFFF"/>
                <w:spacing w:val="80"/>
                <w:sz w:val="14"/>
                <w:highlight w:val="blue"/>
              </w:rPr>
              <w:t xml:space="preserve"> </w:t>
            </w:r>
          </w:p>
        </w:tc>
        <w:tc>
          <w:tcPr>
            <w:tcW w:w="1908" w:type="dxa"/>
            <w:gridSpan w:val="3"/>
          </w:tcPr>
          <w:p w14:paraId="04CD2EA1" w14:textId="77777777" w:rsidR="002C6574" w:rsidRDefault="00000000">
            <w:pPr>
              <w:pStyle w:val="TableParagraph"/>
              <w:tabs>
                <w:tab w:val="left" w:pos="511"/>
                <w:tab w:val="left" w:pos="1236"/>
              </w:tabs>
              <w:spacing w:before="27"/>
              <w:ind w:left="158"/>
              <w:jc w:val="left"/>
              <w:rPr>
                <w:rFonts w:ascii="Arial"/>
                <w:b/>
                <w:sz w:val="14"/>
              </w:rPr>
            </w:pPr>
            <w:r>
              <w:rPr>
                <w:rFonts w:ascii="Arial"/>
                <w:b/>
                <w:color w:val="FFFFFF"/>
                <w:sz w:val="14"/>
                <w:highlight w:val="blue"/>
              </w:rPr>
              <w:tab/>
            </w:r>
            <w:r>
              <w:rPr>
                <w:rFonts w:ascii="Arial"/>
                <w:b/>
                <w:color w:val="FFFFFF"/>
                <w:spacing w:val="-2"/>
                <w:sz w:val="14"/>
                <w:highlight w:val="blue"/>
              </w:rPr>
              <w:t>40.649</w:t>
            </w:r>
            <w:r>
              <w:rPr>
                <w:rFonts w:ascii="Arial"/>
                <w:b/>
                <w:color w:val="FFFFFF"/>
                <w:sz w:val="14"/>
                <w:highlight w:val="blue"/>
              </w:rPr>
              <w:tab/>
            </w:r>
            <w:r>
              <w:rPr>
                <w:rFonts w:ascii="Arial"/>
                <w:b/>
                <w:color w:val="FFFFFF"/>
                <w:spacing w:val="-2"/>
                <w:sz w:val="14"/>
                <w:highlight w:val="blue"/>
              </w:rPr>
              <w:t>(255.059)</w:t>
            </w:r>
            <w:r>
              <w:rPr>
                <w:rFonts w:ascii="Arial"/>
                <w:b/>
                <w:color w:val="FFFFFF"/>
                <w:spacing w:val="80"/>
                <w:sz w:val="14"/>
                <w:highlight w:val="blue"/>
              </w:rPr>
              <w:t xml:space="preserve"> </w:t>
            </w:r>
          </w:p>
        </w:tc>
        <w:tc>
          <w:tcPr>
            <w:tcW w:w="887" w:type="dxa"/>
            <w:gridSpan w:val="2"/>
          </w:tcPr>
          <w:p w14:paraId="4E827BA7" w14:textId="77777777" w:rsidR="002C6574" w:rsidRDefault="00000000">
            <w:pPr>
              <w:pStyle w:val="TableParagraph"/>
              <w:spacing w:before="27"/>
              <w:ind w:left="158"/>
              <w:jc w:val="left"/>
              <w:rPr>
                <w:rFonts w:ascii="Arial"/>
                <w:b/>
                <w:sz w:val="14"/>
              </w:rPr>
            </w:pPr>
            <w:r>
              <w:rPr>
                <w:rFonts w:ascii="Arial"/>
                <w:b/>
                <w:color w:val="FFFFFF"/>
                <w:spacing w:val="46"/>
                <w:sz w:val="14"/>
                <w:highlight w:val="blue"/>
              </w:rPr>
              <w:t xml:space="preserve"> </w:t>
            </w:r>
            <w:r>
              <w:rPr>
                <w:rFonts w:ascii="Arial"/>
                <w:b/>
                <w:color w:val="FFFFFF"/>
                <w:spacing w:val="-2"/>
                <w:sz w:val="14"/>
                <w:highlight w:val="blue"/>
              </w:rPr>
              <w:t>-115,9%</w:t>
            </w:r>
            <w:r>
              <w:rPr>
                <w:rFonts w:ascii="Arial"/>
                <w:b/>
                <w:color w:val="FFFFFF"/>
                <w:spacing w:val="80"/>
                <w:sz w:val="14"/>
                <w:highlight w:val="blue"/>
              </w:rPr>
              <w:t xml:space="preserve"> </w:t>
            </w:r>
          </w:p>
        </w:tc>
      </w:tr>
      <w:tr w:rsidR="002C6574" w14:paraId="04AAEF53" w14:textId="77777777">
        <w:trPr>
          <w:trHeight w:val="213"/>
        </w:trPr>
        <w:tc>
          <w:tcPr>
            <w:tcW w:w="3836" w:type="dxa"/>
            <w:shd w:val="clear" w:color="auto" w:fill="66FFFF"/>
          </w:tcPr>
          <w:p w14:paraId="55EE39B1" w14:textId="77777777" w:rsidR="002C6574" w:rsidRDefault="00000000">
            <w:pPr>
              <w:pStyle w:val="TableParagraph"/>
              <w:spacing w:before="27"/>
              <w:ind w:left="126"/>
              <w:jc w:val="left"/>
              <w:rPr>
                <w:rFonts w:ascii="Arial" w:hAnsi="Arial"/>
                <w:b/>
                <w:i/>
                <w:sz w:val="14"/>
              </w:rPr>
            </w:pPr>
            <w:r>
              <w:rPr>
                <w:rFonts w:ascii="Arial" w:hAnsi="Arial"/>
                <w:b/>
                <w:i/>
                <w:sz w:val="14"/>
              </w:rPr>
              <w:t>Margem</w:t>
            </w:r>
            <w:r>
              <w:rPr>
                <w:rFonts w:ascii="Arial" w:hAnsi="Arial"/>
                <w:b/>
                <w:i/>
                <w:spacing w:val="-6"/>
                <w:sz w:val="14"/>
              </w:rPr>
              <w:t xml:space="preserve"> </w:t>
            </w:r>
            <w:r>
              <w:rPr>
                <w:rFonts w:ascii="Arial" w:hAnsi="Arial"/>
                <w:b/>
                <w:i/>
                <w:spacing w:val="-2"/>
                <w:sz w:val="14"/>
              </w:rPr>
              <w:t>Líquida</w:t>
            </w:r>
          </w:p>
        </w:tc>
        <w:tc>
          <w:tcPr>
            <w:tcW w:w="816" w:type="dxa"/>
            <w:shd w:val="clear" w:color="auto" w:fill="66FFFF"/>
          </w:tcPr>
          <w:p w14:paraId="2F280ED9" w14:textId="77777777" w:rsidR="002C6574" w:rsidRDefault="00000000">
            <w:pPr>
              <w:pStyle w:val="TableParagraph"/>
              <w:spacing w:before="27"/>
              <w:ind w:right="71"/>
              <w:rPr>
                <w:rFonts w:ascii="Arial"/>
                <w:b/>
                <w:i/>
                <w:sz w:val="14"/>
              </w:rPr>
            </w:pPr>
            <w:r>
              <w:rPr>
                <w:rFonts w:ascii="Arial"/>
                <w:b/>
                <w:i/>
                <w:spacing w:val="-2"/>
                <w:sz w:val="14"/>
              </w:rPr>
              <w:t>89,4%</w:t>
            </w:r>
          </w:p>
        </w:tc>
        <w:tc>
          <w:tcPr>
            <w:tcW w:w="1632" w:type="dxa"/>
            <w:gridSpan w:val="2"/>
            <w:shd w:val="clear" w:color="auto" w:fill="66FFFF"/>
          </w:tcPr>
          <w:p w14:paraId="2ECE629D" w14:textId="77777777" w:rsidR="002C6574" w:rsidRDefault="00000000">
            <w:pPr>
              <w:pStyle w:val="TableParagraph"/>
              <w:tabs>
                <w:tab w:val="left" w:pos="1118"/>
              </w:tabs>
              <w:spacing w:before="27"/>
              <w:ind w:left="378"/>
              <w:jc w:val="left"/>
              <w:rPr>
                <w:rFonts w:ascii="Arial"/>
                <w:b/>
                <w:i/>
                <w:sz w:val="14"/>
              </w:rPr>
            </w:pPr>
            <w:r>
              <w:rPr>
                <w:rFonts w:ascii="Arial"/>
                <w:b/>
                <w:i/>
                <w:spacing w:val="-2"/>
                <w:sz w:val="14"/>
              </w:rPr>
              <w:t>-56,4%</w:t>
            </w:r>
            <w:r>
              <w:rPr>
                <w:rFonts w:ascii="Arial"/>
                <w:b/>
                <w:i/>
                <w:sz w:val="14"/>
              </w:rPr>
              <w:tab/>
            </w:r>
            <w:r>
              <w:rPr>
                <w:rFonts w:ascii="Arial"/>
                <w:b/>
                <w:i/>
                <w:spacing w:val="-2"/>
                <w:sz w:val="14"/>
              </w:rPr>
              <w:t>-50,1%</w:t>
            </w:r>
          </w:p>
        </w:tc>
        <w:tc>
          <w:tcPr>
            <w:tcW w:w="151" w:type="dxa"/>
          </w:tcPr>
          <w:p w14:paraId="3EA9FB53" w14:textId="77777777" w:rsidR="002C6574" w:rsidRDefault="002C6574">
            <w:pPr>
              <w:pStyle w:val="TableParagraph"/>
              <w:jc w:val="left"/>
              <w:rPr>
                <w:rFonts w:ascii="Times New Roman"/>
                <w:sz w:val="14"/>
              </w:rPr>
            </w:pPr>
          </w:p>
        </w:tc>
        <w:tc>
          <w:tcPr>
            <w:tcW w:w="1366" w:type="dxa"/>
            <w:gridSpan w:val="2"/>
            <w:shd w:val="clear" w:color="auto" w:fill="66FFFF"/>
          </w:tcPr>
          <w:p w14:paraId="1A1B7446" w14:textId="77777777" w:rsidR="002C6574" w:rsidRDefault="00000000">
            <w:pPr>
              <w:pStyle w:val="TableParagraph"/>
              <w:spacing w:before="27"/>
              <w:ind w:left="175"/>
              <w:jc w:val="left"/>
              <w:rPr>
                <w:rFonts w:ascii="Arial"/>
                <w:b/>
                <w:sz w:val="14"/>
              </w:rPr>
            </w:pPr>
            <w:r>
              <w:rPr>
                <w:rFonts w:ascii="Arial"/>
                <w:b/>
                <w:sz w:val="14"/>
              </w:rPr>
              <w:t>258,6%</w:t>
            </w:r>
            <w:r>
              <w:rPr>
                <w:rFonts w:ascii="Arial"/>
                <w:b/>
                <w:spacing w:val="42"/>
                <w:sz w:val="14"/>
              </w:rPr>
              <w:t xml:space="preserve">  </w:t>
            </w:r>
            <w:r>
              <w:rPr>
                <w:rFonts w:ascii="Arial"/>
                <w:b/>
                <w:spacing w:val="-2"/>
                <w:sz w:val="14"/>
              </w:rPr>
              <w:t>278,6%</w:t>
            </w:r>
          </w:p>
        </w:tc>
        <w:tc>
          <w:tcPr>
            <w:tcW w:w="159" w:type="dxa"/>
          </w:tcPr>
          <w:p w14:paraId="2A486218" w14:textId="77777777" w:rsidR="002C6574" w:rsidRDefault="002C6574">
            <w:pPr>
              <w:pStyle w:val="TableParagraph"/>
              <w:jc w:val="left"/>
              <w:rPr>
                <w:rFonts w:ascii="Times New Roman"/>
                <w:sz w:val="14"/>
              </w:rPr>
            </w:pPr>
          </w:p>
        </w:tc>
        <w:tc>
          <w:tcPr>
            <w:tcW w:w="854" w:type="dxa"/>
            <w:shd w:val="clear" w:color="auto" w:fill="66FFFF"/>
          </w:tcPr>
          <w:p w14:paraId="35E80331" w14:textId="77777777" w:rsidR="002C6574" w:rsidRDefault="00000000">
            <w:pPr>
              <w:pStyle w:val="TableParagraph"/>
              <w:spacing w:before="27"/>
              <w:ind w:right="72"/>
              <w:rPr>
                <w:rFonts w:ascii="Arial"/>
                <w:b/>
                <w:i/>
                <w:sz w:val="14"/>
              </w:rPr>
            </w:pPr>
            <w:r>
              <w:rPr>
                <w:rFonts w:ascii="Arial"/>
                <w:b/>
                <w:i/>
                <w:spacing w:val="-4"/>
                <w:sz w:val="14"/>
              </w:rPr>
              <w:t>8,3%</w:t>
            </w:r>
          </w:p>
        </w:tc>
        <w:tc>
          <w:tcPr>
            <w:tcW w:w="895" w:type="dxa"/>
            <w:shd w:val="clear" w:color="auto" w:fill="66FFFF"/>
          </w:tcPr>
          <w:p w14:paraId="20CF4BCA" w14:textId="77777777" w:rsidR="002C6574" w:rsidRDefault="00000000">
            <w:pPr>
              <w:pStyle w:val="TableParagraph"/>
              <w:spacing w:before="27"/>
              <w:ind w:right="72"/>
              <w:rPr>
                <w:rFonts w:ascii="Arial"/>
                <w:b/>
                <w:i/>
                <w:sz w:val="14"/>
              </w:rPr>
            </w:pPr>
            <w:r>
              <w:rPr>
                <w:rFonts w:ascii="Arial"/>
                <w:b/>
                <w:i/>
                <w:spacing w:val="-2"/>
                <w:sz w:val="14"/>
              </w:rPr>
              <w:t>-61,6%</w:t>
            </w:r>
          </w:p>
        </w:tc>
        <w:tc>
          <w:tcPr>
            <w:tcW w:w="146" w:type="dxa"/>
          </w:tcPr>
          <w:p w14:paraId="4B9B47D1" w14:textId="77777777" w:rsidR="002C6574" w:rsidRDefault="002C6574">
            <w:pPr>
              <w:pStyle w:val="TableParagraph"/>
              <w:jc w:val="left"/>
              <w:rPr>
                <w:rFonts w:ascii="Times New Roman"/>
                <w:sz w:val="14"/>
              </w:rPr>
            </w:pPr>
          </w:p>
        </w:tc>
        <w:tc>
          <w:tcPr>
            <w:tcW w:w="741" w:type="dxa"/>
            <w:shd w:val="clear" w:color="auto" w:fill="66FFFF"/>
          </w:tcPr>
          <w:p w14:paraId="1F1F090D" w14:textId="77777777" w:rsidR="002C6574" w:rsidRDefault="00000000">
            <w:pPr>
              <w:pStyle w:val="TableParagraph"/>
              <w:spacing w:before="27"/>
              <w:ind w:left="22"/>
              <w:jc w:val="center"/>
              <w:rPr>
                <w:rFonts w:ascii="Arial"/>
                <w:b/>
                <w:sz w:val="14"/>
              </w:rPr>
            </w:pPr>
            <w:r>
              <w:rPr>
                <w:rFonts w:ascii="Arial"/>
                <w:b/>
                <w:spacing w:val="-2"/>
                <w:sz w:val="14"/>
              </w:rPr>
              <w:t>113,4%</w:t>
            </w:r>
          </w:p>
        </w:tc>
      </w:tr>
      <w:tr w:rsidR="002C6574" w14:paraId="7C00A32C" w14:textId="77777777">
        <w:trPr>
          <w:trHeight w:val="235"/>
        </w:trPr>
        <w:tc>
          <w:tcPr>
            <w:tcW w:w="3836" w:type="dxa"/>
            <w:shd w:val="clear" w:color="auto" w:fill="0000FF"/>
          </w:tcPr>
          <w:p w14:paraId="2CABEE16" w14:textId="77777777" w:rsidR="002C6574" w:rsidRDefault="00000000">
            <w:pPr>
              <w:pStyle w:val="TableParagraph"/>
              <w:spacing w:before="29"/>
              <w:ind w:left="126"/>
              <w:jc w:val="left"/>
              <w:rPr>
                <w:rFonts w:ascii="Arial" w:hAnsi="Arial"/>
                <w:b/>
                <w:i/>
                <w:sz w:val="14"/>
              </w:rPr>
            </w:pPr>
            <w:r>
              <w:rPr>
                <w:rFonts w:ascii="Arial" w:hAnsi="Arial"/>
                <w:b/>
                <w:i/>
                <w:color w:val="FFFFFF"/>
                <w:sz w:val="14"/>
              </w:rPr>
              <w:t>Prejuízo</w:t>
            </w:r>
            <w:r>
              <w:rPr>
                <w:rFonts w:ascii="Arial" w:hAnsi="Arial"/>
                <w:b/>
                <w:i/>
                <w:color w:val="FFFFFF"/>
                <w:spacing w:val="-6"/>
                <w:sz w:val="14"/>
              </w:rPr>
              <w:t xml:space="preserve"> </w:t>
            </w:r>
            <w:r>
              <w:rPr>
                <w:rFonts w:ascii="Arial" w:hAnsi="Arial"/>
                <w:b/>
                <w:i/>
                <w:color w:val="FFFFFF"/>
                <w:sz w:val="14"/>
              </w:rPr>
              <w:t>por</w:t>
            </w:r>
            <w:r>
              <w:rPr>
                <w:rFonts w:ascii="Arial" w:hAnsi="Arial"/>
                <w:b/>
                <w:i/>
                <w:color w:val="FFFFFF"/>
                <w:spacing w:val="-5"/>
                <w:sz w:val="14"/>
              </w:rPr>
              <w:t xml:space="preserve"> </w:t>
            </w:r>
            <w:r>
              <w:rPr>
                <w:rFonts w:ascii="Arial" w:hAnsi="Arial"/>
                <w:b/>
                <w:i/>
                <w:color w:val="FFFFFF"/>
                <w:sz w:val="14"/>
              </w:rPr>
              <w:t>Ação</w:t>
            </w:r>
            <w:r>
              <w:rPr>
                <w:rFonts w:ascii="Arial" w:hAnsi="Arial"/>
                <w:b/>
                <w:i/>
                <w:color w:val="FFFFFF"/>
                <w:spacing w:val="-5"/>
                <w:sz w:val="14"/>
              </w:rPr>
              <w:t xml:space="preserve"> </w:t>
            </w:r>
            <w:r>
              <w:rPr>
                <w:rFonts w:ascii="Arial" w:hAnsi="Arial"/>
                <w:b/>
                <w:i/>
                <w:color w:val="FFFFFF"/>
                <w:spacing w:val="-4"/>
                <w:sz w:val="14"/>
              </w:rPr>
              <w:t>(R$)</w:t>
            </w:r>
          </w:p>
        </w:tc>
        <w:tc>
          <w:tcPr>
            <w:tcW w:w="816" w:type="dxa"/>
            <w:shd w:val="clear" w:color="auto" w:fill="0000FF"/>
          </w:tcPr>
          <w:p w14:paraId="5AD99EE7" w14:textId="77777777" w:rsidR="002C6574" w:rsidRDefault="00000000">
            <w:pPr>
              <w:pStyle w:val="TableParagraph"/>
              <w:spacing w:before="29"/>
              <w:ind w:right="69"/>
              <w:rPr>
                <w:rFonts w:ascii="Arial"/>
                <w:b/>
                <w:i/>
                <w:sz w:val="14"/>
              </w:rPr>
            </w:pPr>
            <w:r>
              <w:rPr>
                <w:rFonts w:ascii="Arial"/>
                <w:b/>
                <w:i/>
                <w:color w:val="FFFFFF"/>
                <w:spacing w:val="-2"/>
                <w:sz w:val="14"/>
              </w:rPr>
              <w:t>1,40805</w:t>
            </w:r>
          </w:p>
        </w:tc>
        <w:tc>
          <w:tcPr>
            <w:tcW w:w="1632" w:type="dxa"/>
            <w:gridSpan w:val="2"/>
            <w:shd w:val="clear" w:color="auto" w:fill="0000FF"/>
          </w:tcPr>
          <w:p w14:paraId="69B1E6BF" w14:textId="77777777" w:rsidR="002C6574" w:rsidRDefault="00000000">
            <w:pPr>
              <w:pStyle w:val="TableParagraph"/>
              <w:spacing w:before="29"/>
              <w:ind w:left="222"/>
              <w:jc w:val="left"/>
              <w:rPr>
                <w:rFonts w:ascii="Arial"/>
                <w:b/>
                <w:i/>
                <w:sz w:val="14"/>
              </w:rPr>
            </w:pPr>
            <w:r>
              <w:rPr>
                <w:rFonts w:ascii="Arial"/>
                <w:b/>
                <w:i/>
                <w:color w:val="FFFFFF"/>
                <w:sz w:val="14"/>
              </w:rPr>
              <w:t>(0,85894)</w:t>
            </w:r>
            <w:r>
              <w:rPr>
                <w:rFonts w:ascii="Arial"/>
                <w:b/>
                <w:i/>
                <w:color w:val="FFFFFF"/>
                <w:spacing w:val="73"/>
                <w:w w:val="150"/>
                <w:sz w:val="14"/>
              </w:rPr>
              <w:t xml:space="preserve"> </w:t>
            </w:r>
            <w:r>
              <w:rPr>
                <w:rFonts w:ascii="Arial"/>
                <w:b/>
                <w:i/>
                <w:color w:val="FFFFFF"/>
                <w:spacing w:val="-2"/>
                <w:sz w:val="14"/>
              </w:rPr>
              <w:t>(0,52120)</w:t>
            </w:r>
          </w:p>
        </w:tc>
        <w:tc>
          <w:tcPr>
            <w:tcW w:w="151" w:type="dxa"/>
          </w:tcPr>
          <w:p w14:paraId="68EE1DA1" w14:textId="77777777" w:rsidR="002C6574" w:rsidRDefault="002C6574">
            <w:pPr>
              <w:pStyle w:val="TableParagraph"/>
              <w:jc w:val="left"/>
              <w:rPr>
                <w:rFonts w:ascii="Times New Roman"/>
                <w:sz w:val="16"/>
              </w:rPr>
            </w:pPr>
          </w:p>
        </w:tc>
        <w:tc>
          <w:tcPr>
            <w:tcW w:w="1366" w:type="dxa"/>
            <w:gridSpan w:val="2"/>
            <w:shd w:val="clear" w:color="auto" w:fill="0000FF"/>
          </w:tcPr>
          <w:p w14:paraId="11F38714" w14:textId="77777777" w:rsidR="002C6574" w:rsidRDefault="00000000">
            <w:pPr>
              <w:pStyle w:val="TableParagraph"/>
              <w:spacing w:before="29"/>
              <w:ind w:left="175"/>
              <w:jc w:val="left"/>
              <w:rPr>
                <w:rFonts w:ascii="Arial"/>
                <w:b/>
                <w:sz w:val="14"/>
              </w:rPr>
            </w:pPr>
            <w:r>
              <w:rPr>
                <w:rFonts w:ascii="Arial"/>
                <w:b/>
                <w:color w:val="FFFFFF"/>
                <w:sz w:val="14"/>
              </w:rPr>
              <w:t>263,9%</w:t>
            </w:r>
            <w:r>
              <w:rPr>
                <w:rFonts w:ascii="Arial"/>
                <w:b/>
                <w:color w:val="FFFFFF"/>
                <w:spacing w:val="42"/>
                <w:sz w:val="14"/>
              </w:rPr>
              <w:t xml:space="preserve">  </w:t>
            </w:r>
            <w:r>
              <w:rPr>
                <w:rFonts w:ascii="Arial"/>
                <w:b/>
                <w:color w:val="FFFFFF"/>
                <w:spacing w:val="-2"/>
                <w:sz w:val="14"/>
              </w:rPr>
              <w:t>370,2%</w:t>
            </w:r>
          </w:p>
        </w:tc>
        <w:tc>
          <w:tcPr>
            <w:tcW w:w="159" w:type="dxa"/>
          </w:tcPr>
          <w:p w14:paraId="4691B8B9" w14:textId="77777777" w:rsidR="002C6574" w:rsidRDefault="002C6574">
            <w:pPr>
              <w:pStyle w:val="TableParagraph"/>
              <w:jc w:val="left"/>
              <w:rPr>
                <w:rFonts w:ascii="Times New Roman"/>
                <w:sz w:val="16"/>
              </w:rPr>
            </w:pPr>
          </w:p>
        </w:tc>
        <w:tc>
          <w:tcPr>
            <w:tcW w:w="854" w:type="dxa"/>
            <w:shd w:val="clear" w:color="auto" w:fill="0000FF"/>
          </w:tcPr>
          <w:p w14:paraId="5F685C5C" w14:textId="77777777" w:rsidR="002C6574" w:rsidRDefault="00000000">
            <w:pPr>
              <w:pStyle w:val="TableParagraph"/>
              <w:spacing w:before="29"/>
              <w:ind w:right="71"/>
              <w:rPr>
                <w:rFonts w:ascii="Arial"/>
                <w:b/>
                <w:i/>
                <w:sz w:val="14"/>
              </w:rPr>
            </w:pPr>
            <w:r>
              <w:rPr>
                <w:rFonts w:ascii="Arial"/>
                <w:b/>
                <w:i/>
                <w:color w:val="FFFFFF"/>
                <w:spacing w:val="-2"/>
                <w:sz w:val="14"/>
              </w:rPr>
              <w:t>0,3986</w:t>
            </w:r>
          </w:p>
        </w:tc>
        <w:tc>
          <w:tcPr>
            <w:tcW w:w="895" w:type="dxa"/>
            <w:shd w:val="clear" w:color="auto" w:fill="0000FF"/>
          </w:tcPr>
          <w:p w14:paraId="41AC1661" w14:textId="77777777" w:rsidR="002C6574" w:rsidRDefault="00000000">
            <w:pPr>
              <w:pStyle w:val="TableParagraph"/>
              <w:spacing w:before="29"/>
              <w:ind w:right="71"/>
              <w:rPr>
                <w:rFonts w:ascii="Arial"/>
                <w:b/>
                <w:i/>
                <w:sz w:val="14"/>
              </w:rPr>
            </w:pPr>
            <w:r>
              <w:rPr>
                <w:rFonts w:ascii="Arial"/>
                <w:b/>
                <w:i/>
                <w:color w:val="FFFFFF"/>
                <w:spacing w:val="-2"/>
                <w:sz w:val="14"/>
              </w:rPr>
              <w:t>(2,95266)</w:t>
            </w:r>
          </w:p>
        </w:tc>
        <w:tc>
          <w:tcPr>
            <w:tcW w:w="146" w:type="dxa"/>
          </w:tcPr>
          <w:p w14:paraId="01E362BB" w14:textId="77777777" w:rsidR="002C6574" w:rsidRDefault="002C6574">
            <w:pPr>
              <w:pStyle w:val="TableParagraph"/>
              <w:jc w:val="left"/>
              <w:rPr>
                <w:rFonts w:ascii="Times New Roman"/>
                <w:sz w:val="16"/>
              </w:rPr>
            </w:pPr>
          </w:p>
        </w:tc>
        <w:tc>
          <w:tcPr>
            <w:tcW w:w="741" w:type="dxa"/>
            <w:shd w:val="clear" w:color="auto" w:fill="0000FF"/>
          </w:tcPr>
          <w:p w14:paraId="0B4F4B19" w14:textId="77777777" w:rsidR="002C6574" w:rsidRDefault="00000000">
            <w:pPr>
              <w:pStyle w:val="TableParagraph"/>
              <w:spacing w:before="29"/>
              <w:ind w:left="22" w:right="2"/>
              <w:jc w:val="center"/>
              <w:rPr>
                <w:rFonts w:ascii="Arial"/>
                <w:b/>
                <w:i/>
                <w:sz w:val="14"/>
              </w:rPr>
            </w:pPr>
            <w:r>
              <w:rPr>
                <w:rFonts w:ascii="Arial"/>
                <w:b/>
                <w:i/>
                <w:color w:val="FFFFFF"/>
                <w:spacing w:val="-2"/>
                <w:sz w:val="14"/>
              </w:rPr>
              <w:t>113,5%</w:t>
            </w:r>
          </w:p>
        </w:tc>
      </w:tr>
    </w:tbl>
    <w:p w14:paraId="3F80BC72" w14:textId="77777777" w:rsidR="002C6574" w:rsidRDefault="002C6574">
      <w:pPr>
        <w:pStyle w:val="Corpodetexto"/>
        <w:spacing w:before="116"/>
        <w:rPr>
          <w:rFonts w:ascii="Arial"/>
          <w:b/>
          <w:sz w:val="14"/>
        </w:rPr>
      </w:pPr>
    </w:p>
    <w:p w14:paraId="48CA3A81" w14:textId="77777777" w:rsidR="002C6574" w:rsidRDefault="00000000">
      <w:pPr>
        <w:pStyle w:val="Corpodetexto"/>
        <w:ind w:left="427" w:right="134"/>
        <w:jc w:val="both"/>
        <w:rPr>
          <w:rFonts w:ascii="Arial MT" w:hAnsi="Arial MT"/>
        </w:rPr>
      </w:pPr>
      <w:r>
        <w:rPr>
          <w:rFonts w:ascii="Arial MT" w:hAnsi="Arial MT"/>
        </w:rPr>
        <w:t>Em</w:t>
      </w:r>
      <w:r>
        <w:rPr>
          <w:rFonts w:ascii="Arial MT" w:hAnsi="Arial MT"/>
          <w:spacing w:val="-16"/>
        </w:rPr>
        <w:t xml:space="preserve"> </w:t>
      </w:r>
      <w:r>
        <w:rPr>
          <w:rFonts w:ascii="Arial MT" w:hAnsi="Arial MT"/>
        </w:rPr>
        <w:t>2025,</w:t>
      </w:r>
      <w:r>
        <w:rPr>
          <w:rFonts w:ascii="Arial MT" w:hAnsi="Arial MT"/>
          <w:spacing w:val="-15"/>
        </w:rPr>
        <w:t xml:space="preserve"> </w:t>
      </w:r>
      <w:r>
        <w:rPr>
          <w:rFonts w:ascii="Arial MT" w:hAnsi="Arial MT"/>
        </w:rPr>
        <w:t>a</w:t>
      </w:r>
      <w:r>
        <w:rPr>
          <w:rFonts w:ascii="Arial MT" w:hAnsi="Arial MT"/>
          <w:spacing w:val="-15"/>
        </w:rPr>
        <w:t xml:space="preserve"> </w:t>
      </w:r>
      <w:r>
        <w:rPr>
          <w:rFonts w:ascii="Arial MT" w:hAnsi="Arial MT"/>
        </w:rPr>
        <w:t>Telebras</w:t>
      </w:r>
      <w:r>
        <w:rPr>
          <w:rFonts w:ascii="Arial MT" w:hAnsi="Arial MT"/>
          <w:spacing w:val="-16"/>
        </w:rPr>
        <w:t xml:space="preserve"> </w:t>
      </w:r>
      <w:r>
        <w:rPr>
          <w:rFonts w:ascii="Arial MT" w:hAnsi="Arial MT"/>
        </w:rPr>
        <w:t>apresentou</w:t>
      </w:r>
      <w:r>
        <w:rPr>
          <w:rFonts w:ascii="Arial MT" w:hAnsi="Arial MT"/>
          <w:spacing w:val="-15"/>
        </w:rPr>
        <w:t xml:space="preserve"> </w:t>
      </w:r>
      <w:r>
        <w:rPr>
          <w:rFonts w:ascii="Arial MT" w:hAnsi="Arial MT"/>
        </w:rPr>
        <w:t>Lucro</w:t>
      </w:r>
      <w:r>
        <w:rPr>
          <w:rFonts w:ascii="Arial MT" w:hAnsi="Arial MT"/>
          <w:spacing w:val="-15"/>
        </w:rPr>
        <w:t xml:space="preserve"> </w:t>
      </w:r>
      <w:r>
        <w:rPr>
          <w:rFonts w:ascii="Arial MT" w:hAnsi="Arial MT"/>
        </w:rPr>
        <w:t>Líquido</w:t>
      </w:r>
      <w:r>
        <w:rPr>
          <w:rFonts w:ascii="Arial MT" w:hAnsi="Arial MT"/>
          <w:spacing w:val="-15"/>
        </w:rPr>
        <w:t xml:space="preserve"> </w:t>
      </w:r>
      <w:r>
        <w:rPr>
          <w:rFonts w:ascii="Arial MT" w:hAnsi="Arial MT"/>
        </w:rPr>
        <w:t>Recorrente</w:t>
      </w:r>
      <w:r>
        <w:rPr>
          <w:rFonts w:ascii="Arial MT" w:hAnsi="Arial MT"/>
          <w:spacing w:val="-16"/>
        </w:rPr>
        <w:t xml:space="preserve"> </w:t>
      </w:r>
      <w:r>
        <w:rPr>
          <w:rFonts w:ascii="Arial MT" w:hAnsi="Arial MT"/>
        </w:rPr>
        <w:t>de</w:t>
      </w:r>
      <w:r>
        <w:rPr>
          <w:rFonts w:ascii="Arial MT" w:hAnsi="Arial MT"/>
          <w:spacing w:val="-15"/>
        </w:rPr>
        <w:t xml:space="preserve"> </w:t>
      </w:r>
      <w:r>
        <w:rPr>
          <w:rFonts w:ascii="Arial MT" w:hAnsi="Arial MT"/>
        </w:rPr>
        <w:t>R$</w:t>
      </w:r>
      <w:r>
        <w:rPr>
          <w:rFonts w:ascii="Arial MT" w:hAnsi="Arial MT"/>
          <w:spacing w:val="-15"/>
        </w:rPr>
        <w:t xml:space="preserve"> </w:t>
      </w:r>
      <w:r>
        <w:rPr>
          <w:rFonts w:ascii="Arial MT" w:hAnsi="Arial MT"/>
        </w:rPr>
        <w:t>40,6</w:t>
      </w:r>
      <w:r>
        <w:rPr>
          <w:rFonts w:ascii="Arial MT" w:hAnsi="Arial MT"/>
          <w:spacing w:val="-16"/>
        </w:rPr>
        <w:t xml:space="preserve"> </w:t>
      </w:r>
      <w:r>
        <w:rPr>
          <w:rFonts w:ascii="Arial MT" w:hAnsi="Arial MT"/>
        </w:rPr>
        <w:t>milhões,</w:t>
      </w:r>
      <w:r>
        <w:rPr>
          <w:rFonts w:ascii="Arial MT" w:hAnsi="Arial MT"/>
          <w:spacing w:val="-15"/>
        </w:rPr>
        <w:t xml:space="preserve"> </w:t>
      </w:r>
      <w:r>
        <w:rPr>
          <w:rFonts w:ascii="Arial MT" w:hAnsi="Arial MT"/>
        </w:rPr>
        <w:t>frente</w:t>
      </w:r>
      <w:r>
        <w:rPr>
          <w:rFonts w:ascii="Arial MT" w:hAnsi="Arial MT"/>
          <w:spacing w:val="-15"/>
        </w:rPr>
        <w:t xml:space="preserve"> </w:t>
      </w:r>
      <w:r>
        <w:rPr>
          <w:rFonts w:ascii="Arial MT" w:hAnsi="Arial MT"/>
        </w:rPr>
        <w:t>ao</w:t>
      </w:r>
      <w:r>
        <w:rPr>
          <w:rFonts w:ascii="Arial MT" w:hAnsi="Arial MT"/>
          <w:spacing w:val="-15"/>
        </w:rPr>
        <w:t xml:space="preserve"> </w:t>
      </w:r>
      <w:r>
        <w:rPr>
          <w:rFonts w:ascii="Arial MT" w:hAnsi="Arial MT"/>
        </w:rPr>
        <w:t>Prejuízo</w:t>
      </w:r>
      <w:r>
        <w:rPr>
          <w:rFonts w:ascii="Arial MT" w:hAnsi="Arial MT"/>
          <w:spacing w:val="-16"/>
        </w:rPr>
        <w:t xml:space="preserve"> </w:t>
      </w:r>
      <w:r>
        <w:rPr>
          <w:rFonts w:ascii="Arial MT" w:hAnsi="Arial MT"/>
        </w:rPr>
        <w:t>Recorrente de R$ 255,1 milhões registrado em 2024. O desempenho positivo no exercício de 2025 é explicado pelos seguintes fatores: i) aumento das receitas de prestação de serviços; ii) crescimento das subvenções orçamentárias recebidas e realizadas; iii) melhora do resultado financeiro; e iv) crescimento dos custos e despesas operacionais em ritmo inferior ao das receitas.</w:t>
      </w:r>
    </w:p>
    <w:p w14:paraId="11333F95" w14:textId="77777777" w:rsidR="002C6574" w:rsidRDefault="002C6574">
      <w:pPr>
        <w:pStyle w:val="Corpodetexto"/>
        <w:rPr>
          <w:rFonts w:ascii="Arial MT"/>
          <w:sz w:val="20"/>
        </w:rPr>
      </w:pPr>
    </w:p>
    <w:p w14:paraId="761AED00" w14:textId="77777777" w:rsidR="002C6574" w:rsidRDefault="002C6574">
      <w:pPr>
        <w:pStyle w:val="Corpodetexto"/>
        <w:rPr>
          <w:rFonts w:ascii="Arial MT"/>
          <w:sz w:val="20"/>
        </w:rPr>
      </w:pPr>
    </w:p>
    <w:p w14:paraId="020309D9" w14:textId="77777777" w:rsidR="002C6574" w:rsidRDefault="002C6574">
      <w:pPr>
        <w:pStyle w:val="Corpodetexto"/>
        <w:rPr>
          <w:rFonts w:ascii="Arial MT"/>
          <w:sz w:val="20"/>
        </w:rPr>
      </w:pPr>
    </w:p>
    <w:p w14:paraId="499D6C39" w14:textId="77777777" w:rsidR="002C6574" w:rsidRDefault="002C6574">
      <w:pPr>
        <w:pStyle w:val="Corpodetexto"/>
        <w:rPr>
          <w:rFonts w:ascii="Arial MT"/>
          <w:sz w:val="20"/>
        </w:rPr>
      </w:pPr>
    </w:p>
    <w:p w14:paraId="374DAEDC" w14:textId="77777777" w:rsidR="002C6574" w:rsidRDefault="002C6574">
      <w:pPr>
        <w:pStyle w:val="Corpodetexto"/>
        <w:rPr>
          <w:rFonts w:ascii="Arial MT"/>
          <w:sz w:val="20"/>
        </w:rPr>
      </w:pPr>
    </w:p>
    <w:p w14:paraId="3A3A0AD5" w14:textId="77777777" w:rsidR="002C6574" w:rsidRDefault="002C6574">
      <w:pPr>
        <w:pStyle w:val="Corpodetexto"/>
        <w:rPr>
          <w:rFonts w:ascii="Arial MT"/>
          <w:sz w:val="20"/>
        </w:rPr>
      </w:pPr>
    </w:p>
    <w:p w14:paraId="5FBE7035" w14:textId="77777777" w:rsidR="002C6574" w:rsidRDefault="002C6574">
      <w:pPr>
        <w:pStyle w:val="Corpodetexto"/>
        <w:rPr>
          <w:rFonts w:ascii="Arial MT"/>
          <w:sz w:val="20"/>
        </w:rPr>
      </w:pPr>
    </w:p>
    <w:p w14:paraId="27E39180" w14:textId="77777777" w:rsidR="002C6574" w:rsidRDefault="002C6574">
      <w:pPr>
        <w:pStyle w:val="Corpodetexto"/>
        <w:rPr>
          <w:rFonts w:ascii="Arial MT"/>
          <w:sz w:val="20"/>
        </w:rPr>
      </w:pPr>
    </w:p>
    <w:p w14:paraId="605192B8" w14:textId="77777777" w:rsidR="002C6574" w:rsidRDefault="002C6574">
      <w:pPr>
        <w:pStyle w:val="Corpodetexto"/>
        <w:rPr>
          <w:rFonts w:ascii="Arial MT"/>
          <w:sz w:val="20"/>
        </w:rPr>
      </w:pPr>
    </w:p>
    <w:p w14:paraId="34769807" w14:textId="77777777" w:rsidR="002C6574" w:rsidRDefault="002C6574">
      <w:pPr>
        <w:pStyle w:val="Corpodetexto"/>
        <w:rPr>
          <w:rFonts w:ascii="Arial MT"/>
          <w:sz w:val="20"/>
        </w:rPr>
      </w:pPr>
    </w:p>
    <w:p w14:paraId="44B30FB2" w14:textId="77777777" w:rsidR="002C6574" w:rsidRDefault="00000000">
      <w:pPr>
        <w:pStyle w:val="Corpodetexto"/>
        <w:spacing w:before="82"/>
        <w:rPr>
          <w:rFonts w:ascii="Arial MT"/>
          <w:sz w:val="20"/>
        </w:rPr>
      </w:pPr>
      <w:r>
        <w:rPr>
          <w:rFonts w:ascii="Arial MT"/>
          <w:noProof/>
          <w:sz w:val="20"/>
        </w:rPr>
        <mc:AlternateContent>
          <mc:Choice Requires="wps">
            <w:drawing>
              <wp:anchor distT="0" distB="0" distL="0" distR="0" simplePos="0" relativeHeight="487638016" behindDoc="1" locked="0" layoutInCell="1" allowOverlap="1" wp14:anchorId="214FC2C0" wp14:editId="0BEF14A6">
                <wp:simplePos x="0" y="0"/>
                <wp:positionH relativeFrom="page">
                  <wp:posOffset>541019</wp:posOffset>
                </wp:positionH>
                <wp:positionV relativeFrom="paragraph">
                  <wp:posOffset>213510</wp:posOffset>
                </wp:positionV>
                <wp:extent cx="1829435" cy="7620"/>
                <wp:effectExtent l="0" t="0" r="0" b="0"/>
                <wp:wrapTopAndBottom/>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BEB5E2" id="Graphic 414" o:spid="_x0000_s1026" style="position:absolute;margin-left:42.6pt;margin-top:16.8pt;width:144.05pt;height:.6pt;z-index:-156784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" path="m1829435,l,,,7619r1829435,l1829435,xe" fillcolor="black" stroked="f">
                <v:path arrowok="t"/>
                <w10:wrap type="topAndBottom" anchorx="page"/>
              </v:shape>
            </w:pict>
          </mc:Fallback>
        </mc:AlternateContent>
      </w:r>
    </w:p>
    <w:p w14:paraId="246E00A0" w14:textId="77777777" w:rsidR="002C6574" w:rsidRDefault="00000000">
      <w:pPr>
        <w:spacing w:before="99" w:line="244" w:lineRule="auto"/>
        <w:ind w:left="427" w:right="132"/>
        <w:jc w:val="both"/>
        <w:rPr>
          <w:rFonts w:ascii="Arial MT" w:hAnsi="Arial MT"/>
          <w:sz w:val="16"/>
        </w:rPr>
      </w:pPr>
      <w:bookmarkStart w:id="18" w:name="_bookmark18"/>
      <w:bookmarkEnd w:id="18"/>
      <w:r>
        <w:rPr>
          <w:rFonts w:ascii="Times New Roman" w:hAnsi="Times New Roman"/>
          <w:position w:val="7"/>
          <w:sz w:val="13"/>
        </w:rPr>
        <w:t>7</w:t>
      </w:r>
      <w:r>
        <w:rPr>
          <w:rFonts w:ascii="Times New Roman" w:hAnsi="Times New Roman"/>
          <w:spacing w:val="21"/>
          <w:position w:val="7"/>
          <w:sz w:val="13"/>
        </w:rPr>
        <w:t xml:space="preserve"> </w:t>
      </w:r>
      <w:r>
        <w:rPr>
          <w:rFonts w:ascii="Arial MT" w:hAnsi="Arial MT"/>
          <w:sz w:val="16"/>
        </w:rPr>
        <w:t>Resultado recorrente é um indicador financeiro que representa o lucro ou prejuízo da empresa gerado pelas suas operações habituais, excluindo efeitos</w:t>
      </w:r>
      <w:r>
        <w:rPr>
          <w:rFonts w:ascii="Arial MT" w:hAnsi="Arial MT"/>
          <w:spacing w:val="-4"/>
          <w:sz w:val="16"/>
        </w:rPr>
        <w:t xml:space="preserve"> </w:t>
      </w:r>
      <w:r>
        <w:rPr>
          <w:rFonts w:ascii="Arial MT" w:hAnsi="Arial MT"/>
          <w:sz w:val="16"/>
        </w:rPr>
        <w:t>considerados</w:t>
      </w:r>
      <w:r>
        <w:rPr>
          <w:rFonts w:ascii="Arial MT" w:hAnsi="Arial MT"/>
          <w:spacing w:val="-4"/>
          <w:sz w:val="16"/>
        </w:rPr>
        <w:t xml:space="preserve"> </w:t>
      </w:r>
      <w:r>
        <w:rPr>
          <w:rFonts w:ascii="Arial MT" w:hAnsi="Arial MT"/>
          <w:sz w:val="16"/>
        </w:rPr>
        <w:t>não</w:t>
      </w:r>
      <w:r>
        <w:rPr>
          <w:rFonts w:ascii="Arial MT" w:hAnsi="Arial MT"/>
          <w:spacing w:val="-3"/>
          <w:sz w:val="16"/>
        </w:rPr>
        <w:t xml:space="preserve"> </w:t>
      </w:r>
      <w:r>
        <w:rPr>
          <w:rFonts w:ascii="Arial MT" w:hAnsi="Arial MT"/>
          <w:sz w:val="16"/>
        </w:rPr>
        <w:t>recorrentes,</w:t>
      </w:r>
      <w:r>
        <w:rPr>
          <w:rFonts w:ascii="Arial MT" w:hAnsi="Arial MT"/>
          <w:spacing w:val="-4"/>
          <w:sz w:val="16"/>
        </w:rPr>
        <w:t xml:space="preserve"> </w:t>
      </w:r>
      <w:r>
        <w:rPr>
          <w:rFonts w:ascii="Arial MT" w:hAnsi="Arial MT"/>
          <w:sz w:val="16"/>
        </w:rPr>
        <w:t>como:</w:t>
      </w:r>
      <w:r>
        <w:rPr>
          <w:rFonts w:ascii="Arial MT" w:hAnsi="Arial MT"/>
          <w:spacing w:val="-4"/>
          <w:sz w:val="16"/>
        </w:rPr>
        <w:t xml:space="preserve"> </w:t>
      </w:r>
      <w:r>
        <w:rPr>
          <w:rFonts w:ascii="Arial MT" w:hAnsi="Arial MT"/>
          <w:sz w:val="16"/>
        </w:rPr>
        <w:t>ganhos</w:t>
      </w:r>
      <w:r>
        <w:rPr>
          <w:rFonts w:ascii="Arial MT" w:hAnsi="Arial MT"/>
          <w:spacing w:val="-4"/>
          <w:sz w:val="16"/>
        </w:rPr>
        <w:t xml:space="preserve"> </w:t>
      </w:r>
      <w:r>
        <w:rPr>
          <w:rFonts w:ascii="Arial MT" w:hAnsi="Arial MT"/>
          <w:sz w:val="16"/>
        </w:rPr>
        <w:t>ou</w:t>
      </w:r>
      <w:r>
        <w:rPr>
          <w:rFonts w:ascii="Arial MT" w:hAnsi="Arial MT"/>
          <w:spacing w:val="-3"/>
          <w:sz w:val="16"/>
        </w:rPr>
        <w:t xml:space="preserve"> </w:t>
      </w:r>
      <w:r>
        <w:rPr>
          <w:rFonts w:ascii="Arial MT" w:hAnsi="Arial MT"/>
          <w:sz w:val="16"/>
        </w:rPr>
        <w:t>perdas</w:t>
      </w:r>
      <w:r>
        <w:rPr>
          <w:rFonts w:ascii="Arial MT" w:hAnsi="Arial MT"/>
          <w:spacing w:val="-1"/>
          <w:sz w:val="16"/>
        </w:rPr>
        <w:t xml:space="preserve"> </w:t>
      </w:r>
      <w:r>
        <w:rPr>
          <w:rFonts w:ascii="Arial MT" w:hAnsi="Arial MT"/>
          <w:sz w:val="16"/>
        </w:rPr>
        <w:t>extraordinárias;</w:t>
      </w:r>
      <w:r>
        <w:rPr>
          <w:rFonts w:ascii="Arial MT" w:hAnsi="Arial MT"/>
          <w:spacing w:val="-2"/>
          <w:sz w:val="16"/>
        </w:rPr>
        <w:t xml:space="preserve"> </w:t>
      </w:r>
      <w:r>
        <w:rPr>
          <w:rFonts w:ascii="Arial MT" w:hAnsi="Arial MT"/>
          <w:sz w:val="16"/>
        </w:rPr>
        <w:t>eventos</w:t>
      </w:r>
      <w:r>
        <w:rPr>
          <w:rFonts w:ascii="Arial MT" w:hAnsi="Arial MT"/>
          <w:spacing w:val="-4"/>
          <w:sz w:val="16"/>
        </w:rPr>
        <w:t xml:space="preserve"> </w:t>
      </w:r>
      <w:r>
        <w:rPr>
          <w:rFonts w:ascii="Arial MT" w:hAnsi="Arial MT"/>
          <w:sz w:val="16"/>
        </w:rPr>
        <w:t>pontuais</w:t>
      </w:r>
      <w:r>
        <w:rPr>
          <w:rFonts w:ascii="Arial MT" w:hAnsi="Arial MT"/>
          <w:spacing w:val="-4"/>
          <w:sz w:val="16"/>
        </w:rPr>
        <w:t xml:space="preserve"> </w:t>
      </w:r>
      <w:r>
        <w:rPr>
          <w:rFonts w:ascii="Arial MT" w:hAnsi="Arial MT"/>
          <w:sz w:val="16"/>
        </w:rPr>
        <w:t>que</w:t>
      </w:r>
      <w:r>
        <w:rPr>
          <w:rFonts w:ascii="Arial MT" w:hAnsi="Arial MT"/>
          <w:spacing w:val="-5"/>
          <w:sz w:val="16"/>
        </w:rPr>
        <w:t xml:space="preserve"> </w:t>
      </w:r>
      <w:r>
        <w:rPr>
          <w:rFonts w:ascii="Arial MT" w:hAnsi="Arial MT"/>
          <w:sz w:val="16"/>
        </w:rPr>
        <w:t>não</w:t>
      </w:r>
      <w:r>
        <w:rPr>
          <w:rFonts w:ascii="Arial MT" w:hAnsi="Arial MT"/>
          <w:spacing w:val="-3"/>
          <w:sz w:val="16"/>
        </w:rPr>
        <w:t xml:space="preserve"> </w:t>
      </w:r>
      <w:r>
        <w:rPr>
          <w:rFonts w:ascii="Arial MT" w:hAnsi="Arial MT"/>
          <w:sz w:val="16"/>
        </w:rPr>
        <w:t>fazem</w:t>
      </w:r>
      <w:r>
        <w:rPr>
          <w:rFonts w:ascii="Arial MT" w:hAnsi="Arial MT"/>
          <w:spacing w:val="-4"/>
          <w:sz w:val="16"/>
        </w:rPr>
        <w:t xml:space="preserve"> </w:t>
      </w:r>
      <w:r>
        <w:rPr>
          <w:rFonts w:ascii="Arial MT" w:hAnsi="Arial MT"/>
          <w:sz w:val="16"/>
        </w:rPr>
        <w:t>parte da</w:t>
      </w:r>
      <w:r>
        <w:rPr>
          <w:rFonts w:ascii="Arial MT" w:hAnsi="Arial MT"/>
          <w:spacing w:val="-3"/>
          <w:sz w:val="16"/>
        </w:rPr>
        <w:t xml:space="preserve"> </w:t>
      </w:r>
      <w:r>
        <w:rPr>
          <w:rFonts w:ascii="Arial MT" w:hAnsi="Arial MT"/>
          <w:sz w:val="16"/>
        </w:rPr>
        <w:t>atividade</w:t>
      </w:r>
      <w:r>
        <w:rPr>
          <w:rFonts w:ascii="Arial MT" w:hAnsi="Arial MT"/>
          <w:spacing w:val="-3"/>
          <w:sz w:val="16"/>
        </w:rPr>
        <w:t xml:space="preserve"> </w:t>
      </w:r>
      <w:r>
        <w:rPr>
          <w:rFonts w:ascii="Arial MT" w:hAnsi="Arial MT"/>
          <w:sz w:val="16"/>
        </w:rPr>
        <w:t>principal;</w:t>
      </w:r>
      <w:r>
        <w:rPr>
          <w:rFonts w:ascii="Arial MT" w:hAnsi="Arial MT"/>
          <w:spacing w:val="-4"/>
          <w:sz w:val="16"/>
        </w:rPr>
        <w:t xml:space="preserve"> </w:t>
      </w:r>
      <w:r>
        <w:rPr>
          <w:rFonts w:ascii="Arial MT" w:hAnsi="Arial MT"/>
          <w:sz w:val="16"/>
        </w:rPr>
        <w:t>efeitos de decisões contábeis atípicas; e itens não operacionais ou de caráter não repetitivo.</w:t>
      </w:r>
    </w:p>
    <w:p w14:paraId="2B1AAF40" w14:textId="77777777" w:rsidR="002C6574" w:rsidRDefault="002C6574">
      <w:pPr>
        <w:spacing w:line="244" w:lineRule="auto"/>
        <w:jc w:val="both"/>
        <w:rPr>
          <w:rFonts w:ascii="Arial MT" w:hAnsi="Arial MT"/>
          <w:sz w:val="16"/>
        </w:rPr>
        <w:sectPr w:rsidR="002C6574">
          <w:pgSz w:w="11910" w:h="16840"/>
          <w:pgMar w:top="2200" w:right="425" w:bottom="1180" w:left="425" w:header="1197" w:footer="994" w:gutter="0"/>
          <w:cols w:space="720"/>
        </w:sectPr>
      </w:pPr>
    </w:p>
    <w:p w14:paraId="39C1FBC6" w14:textId="77777777" w:rsidR="002C6574" w:rsidRDefault="00000000">
      <w:pPr>
        <w:pStyle w:val="Ttulo4"/>
        <w:spacing w:before="252"/>
        <w:ind w:left="427"/>
        <w:rPr>
          <w:rFonts w:ascii="Arial"/>
        </w:rPr>
      </w:pPr>
      <w:r>
        <w:rPr>
          <w:rFonts w:ascii="Arial"/>
          <w:noProof/>
        </w:rPr>
        <w:lastRenderedPageBreak/>
        <mc:AlternateContent>
          <mc:Choice Requires="wpg">
            <w:drawing>
              <wp:anchor distT="0" distB="0" distL="0" distR="0" simplePos="0" relativeHeight="15780864" behindDoc="0" locked="0" layoutInCell="1" allowOverlap="1" wp14:anchorId="6DF7D00F" wp14:editId="56F5D2A6">
                <wp:simplePos x="0" y="0"/>
                <wp:positionH relativeFrom="page">
                  <wp:posOffset>443483</wp:posOffset>
                </wp:positionH>
                <wp:positionV relativeFrom="paragraph">
                  <wp:posOffset>-4058</wp:posOffset>
                </wp:positionV>
                <wp:extent cx="6922134" cy="105410"/>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134" cy="105410"/>
                          <a:chOff x="0" y="0"/>
                          <a:chExt cx="6922134" cy="105410"/>
                        </a:xfrm>
                      </wpg:grpSpPr>
                      <pic:pic xmlns:pic="http://schemas.openxmlformats.org/drawingml/2006/picture">
                        <pic:nvPicPr>
                          <pic:cNvPr id="416" name="Image 416"/>
                          <pic:cNvPicPr/>
                        </pic:nvPicPr>
                        <pic:blipFill>
                          <a:blip r:embed="rId213" cstate="print"/>
                          <a:stretch>
                            <a:fillRect/>
                          </a:stretch>
                        </pic:blipFill>
                        <pic:spPr>
                          <a:xfrm>
                            <a:off x="0" y="0"/>
                            <a:ext cx="6922008" cy="105155"/>
                          </a:xfrm>
                          <a:prstGeom prst="rect">
                            <a:avLst/>
                          </a:prstGeom>
                        </pic:spPr>
                      </pic:pic>
                      <wps:wsp>
                        <wps:cNvPr id="417" name="Graphic 417"/>
                        <wps:cNvSpPr/>
                        <wps:spPr>
                          <a:xfrm>
                            <a:off x="42290" y="34925"/>
                            <a:ext cx="6829425" cy="1270"/>
                          </a:xfrm>
                          <a:custGeom>
                            <a:avLst/>
                            <a:gdLst/>
                            <a:ahLst/>
                            <a:cxnLst/>
                            <a:rect l="l" t="t" r="r" b="b"/>
                            <a:pathLst>
                              <a:path w="6829425">
                                <a:moveTo>
                                  <a:pt x="0" y="0"/>
                                </a:moveTo>
                                <a:lnTo>
                                  <a:pt x="6829425" y="0"/>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49A5CC6E" id="Group 415" o:spid="_x0000_s1026" style="position:absolute;margin-left:34.9pt;margin-top:-.3pt;width:545.05pt;height:8.3pt;z-index:15780864;mso-wrap-distance-left:0;mso-wrap-distance-right:0;mso-position-horizontal-relative:page" coordsize="69221,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">
                <v:shape id="Image 416" o:spid="_x0000_s1027" type="#_x0000_t75" style="position:absolute;width:692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">
                  <v:imagedata r:id="rId214" o:title=""/>
                </v:shape>
                <v:shape id="Graphic 417" o:spid="_x0000_s1028" style="position:absolute;left:422;top:349;width:68295;height:12;visibility:visible;mso-wrap-style:square;v-text-anchor:top" coordsize="682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" path="m,l6829425,e" filled="f" strokecolor="blue" strokeweight="2pt">
                  <v:path arrowok="t"/>
                </v:shape>
                <w10:wrap anchorx="page"/>
              </v:group>
            </w:pict>
          </mc:Fallback>
        </mc:AlternateContent>
      </w:r>
      <w:r>
        <w:rPr>
          <w:rFonts w:ascii="Arial"/>
          <w:smallCaps/>
          <w:u w:val="single"/>
        </w:rPr>
        <w:t>Outros</w:t>
      </w:r>
      <w:r>
        <w:rPr>
          <w:rFonts w:ascii="Arial"/>
          <w:smallCaps/>
          <w:spacing w:val="30"/>
          <w:u w:val="single"/>
        </w:rPr>
        <w:t xml:space="preserve"> </w:t>
      </w:r>
      <w:r>
        <w:rPr>
          <w:rFonts w:ascii="Arial"/>
          <w:smallCaps/>
          <w:spacing w:val="-2"/>
          <w:u w:val="single"/>
        </w:rPr>
        <w:t>Indicadores</w:t>
      </w:r>
    </w:p>
    <w:p w14:paraId="61E4A661" w14:textId="77777777" w:rsidR="002C6574" w:rsidRDefault="002C6574">
      <w:pPr>
        <w:pStyle w:val="Corpodetexto"/>
        <w:spacing w:before="58"/>
        <w:rPr>
          <w:rFonts w:ascii="Arial"/>
          <w:b/>
          <w:sz w:val="19"/>
        </w:rPr>
      </w:pPr>
    </w:p>
    <w:p w14:paraId="1BCFD412" w14:textId="77777777" w:rsidR="002C6574" w:rsidRDefault="00000000">
      <w:pPr>
        <w:pStyle w:val="Ttulo8"/>
        <w:spacing w:before="1"/>
        <w:rPr>
          <w:rFonts w:ascii="Arial"/>
        </w:rPr>
      </w:pPr>
      <w:r>
        <w:rPr>
          <w:rFonts w:ascii="Arial"/>
          <w:smallCaps/>
          <w:spacing w:val="-2"/>
          <w:u w:val="single"/>
        </w:rPr>
        <w:t>Endividamento</w:t>
      </w:r>
    </w:p>
    <w:p w14:paraId="0F07818C" w14:textId="77777777" w:rsidR="002C6574" w:rsidRDefault="002C6574">
      <w:pPr>
        <w:pStyle w:val="Corpodetexto"/>
        <w:spacing w:before="52"/>
        <w:rPr>
          <w:rFonts w:ascii="Arial"/>
          <w:b/>
          <w:sz w:val="19"/>
        </w:rPr>
      </w:pPr>
    </w:p>
    <w:p w14:paraId="2E018485" w14:textId="77777777" w:rsidR="002C6574" w:rsidRDefault="00000000">
      <w:pPr>
        <w:ind w:left="427"/>
        <w:jc w:val="both"/>
        <w:rPr>
          <w:rFonts w:ascii="Arial" w:hAnsi="Arial"/>
          <w:b/>
          <w:position w:val="8"/>
          <w:sz w:val="16"/>
        </w:rPr>
      </w:pPr>
      <w:r>
        <w:rPr>
          <w:rFonts w:ascii="Arial" w:hAnsi="Arial"/>
          <w:b/>
          <w:noProof/>
          <w:position w:val="8"/>
          <w:sz w:val="16"/>
        </w:rPr>
        <mc:AlternateContent>
          <mc:Choice Requires="wps">
            <w:drawing>
              <wp:anchor distT="0" distB="0" distL="0" distR="0" simplePos="0" relativeHeight="15781376" behindDoc="0" locked="0" layoutInCell="1" allowOverlap="1" wp14:anchorId="2F9F063E" wp14:editId="02BF4D7F">
                <wp:simplePos x="0" y="0"/>
                <wp:positionH relativeFrom="page">
                  <wp:posOffset>541019</wp:posOffset>
                </wp:positionH>
                <wp:positionV relativeFrom="paragraph">
                  <wp:posOffset>163129</wp:posOffset>
                </wp:positionV>
                <wp:extent cx="1082675" cy="1524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675" cy="15240"/>
                        </a:xfrm>
                        <a:custGeom>
                          <a:avLst/>
                          <a:gdLst/>
                          <a:ahLst/>
                          <a:cxnLst/>
                          <a:rect l="l" t="t" r="r" b="b"/>
                          <a:pathLst>
                            <a:path w="1082675" h="15240">
                              <a:moveTo>
                                <a:pt x="1082344" y="0"/>
                              </a:moveTo>
                              <a:lnTo>
                                <a:pt x="0" y="0"/>
                              </a:lnTo>
                              <a:lnTo>
                                <a:pt x="0" y="15240"/>
                              </a:lnTo>
                              <a:lnTo>
                                <a:pt x="1082344" y="15240"/>
                              </a:lnTo>
                              <a:lnTo>
                                <a:pt x="1082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A545CA" id="Graphic 418" o:spid="_x0000_s1026" style="position:absolute;margin-left:42.6pt;margin-top:12.85pt;width:85.25pt;height:1.2pt;z-index:15781376;visibility:visible;mso-wrap-style:square;mso-wrap-distance-left:0;mso-wrap-distance-top:0;mso-wrap-distance-right:0;mso-wrap-distance-bottom:0;mso-position-horizontal:absolute;mso-position-horizontal-relative:page;mso-position-vertical:absolute;mso-position-vertical-relative:text;v-text-anchor:top" coordsize="108267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" path="m1082344,l,,,15240r1082344,l1082344,xe" fillcolor="black" stroked="f">
                <v:path arrowok="t"/>
                <w10:wrap anchorx="page"/>
              </v:shape>
            </w:pict>
          </mc:Fallback>
        </mc:AlternateContent>
      </w:r>
      <w:r>
        <w:rPr>
          <w:rFonts w:ascii="Arial" w:hAnsi="Arial"/>
          <w:b/>
          <w:sz w:val="24"/>
        </w:rPr>
        <w:t>D</w:t>
      </w:r>
      <w:r>
        <w:rPr>
          <w:rFonts w:ascii="Arial" w:hAnsi="Arial"/>
          <w:b/>
          <w:sz w:val="19"/>
        </w:rPr>
        <w:t>ÍVIDA</w:t>
      </w:r>
      <w:r>
        <w:rPr>
          <w:rFonts w:ascii="Arial" w:hAnsi="Arial"/>
          <w:b/>
          <w:spacing w:val="25"/>
          <w:sz w:val="19"/>
        </w:rPr>
        <w:t xml:space="preserve"> </w:t>
      </w:r>
      <w:r>
        <w:rPr>
          <w:rFonts w:ascii="Arial" w:hAnsi="Arial"/>
          <w:b/>
          <w:spacing w:val="-2"/>
          <w:sz w:val="24"/>
        </w:rPr>
        <w:t>L</w:t>
      </w:r>
      <w:r>
        <w:rPr>
          <w:rFonts w:ascii="Arial" w:hAnsi="Arial"/>
          <w:b/>
          <w:spacing w:val="-2"/>
          <w:sz w:val="19"/>
        </w:rPr>
        <w:t>ÍQUIDA</w:t>
      </w:r>
      <w:hyperlink w:anchor="_bookmark19" w:history="1">
        <w:r>
          <w:rPr>
            <w:rFonts w:ascii="Arial" w:hAnsi="Arial"/>
            <w:b/>
            <w:spacing w:val="-2"/>
            <w:position w:val="8"/>
            <w:sz w:val="16"/>
          </w:rPr>
          <w:t>8</w:t>
        </w:r>
      </w:hyperlink>
    </w:p>
    <w:p w14:paraId="0B459FB0" w14:textId="77777777" w:rsidR="002C6574" w:rsidRDefault="002C6574">
      <w:pPr>
        <w:pStyle w:val="Corpodetexto"/>
        <w:spacing w:before="45" w:after="1"/>
        <w:rPr>
          <w:rFonts w:ascii="Arial"/>
          <w:b/>
          <w:sz w:val="20"/>
        </w:rPr>
      </w:pPr>
    </w:p>
    <w:tbl>
      <w:tblPr>
        <w:tblStyle w:val="TableNormal"/>
        <w:tblW w:w="0" w:type="auto"/>
        <w:tblInd w:w="434" w:type="dxa"/>
        <w:tblLayout w:type="fixed"/>
        <w:tblLook w:val="01E0" w:firstRow="1" w:lastRow="1" w:firstColumn="1" w:lastColumn="1" w:noHBand="0" w:noVBand="0"/>
      </w:tblPr>
      <w:tblGrid>
        <w:gridCol w:w="4938"/>
        <w:gridCol w:w="1189"/>
        <w:gridCol w:w="1253"/>
        <w:gridCol w:w="1126"/>
        <w:gridCol w:w="185"/>
        <w:gridCol w:w="934"/>
        <w:gridCol w:w="866"/>
      </w:tblGrid>
      <w:tr w:rsidR="002C6574" w14:paraId="1C453B29" w14:textId="77777777">
        <w:trPr>
          <w:trHeight w:val="552"/>
        </w:trPr>
        <w:tc>
          <w:tcPr>
            <w:tcW w:w="4938" w:type="dxa"/>
            <w:shd w:val="clear" w:color="auto" w:fill="0000FF"/>
          </w:tcPr>
          <w:p w14:paraId="090BCD5A" w14:textId="77777777" w:rsidR="002C6574" w:rsidRDefault="002C6574">
            <w:pPr>
              <w:pStyle w:val="TableParagraph"/>
              <w:jc w:val="left"/>
              <w:rPr>
                <w:rFonts w:ascii="Arial"/>
                <w:b/>
                <w:sz w:val="16"/>
              </w:rPr>
            </w:pPr>
          </w:p>
          <w:p w14:paraId="24D1A1D4" w14:textId="77777777" w:rsidR="002C6574" w:rsidRDefault="002C6574">
            <w:pPr>
              <w:pStyle w:val="TableParagraph"/>
              <w:jc w:val="left"/>
              <w:rPr>
                <w:rFonts w:ascii="Arial"/>
                <w:b/>
                <w:sz w:val="16"/>
              </w:rPr>
            </w:pPr>
          </w:p>
          <w:p w14:paraId="193A1B55" w14:textId="77777777" w:rsidR="002C6574" w:rsidRDefault="00000000">
            <w:pPr>
              <w:pStyle w:val="TableParagraph"/>
              <w:spacing w:line="164" w:lineRule="exact"/>
              <w:ind w:left="115"/>
              <w:jc w:val="left"/>
              <w:rPr>
                <w:rFonts w:ascii="Arial"/>
                <w:b/>
                <w:sz w:val="16"/>
              </w:rPr>
            </w:pPr>
            <w:r>
              <w:rPr>
                <w:rFonts w:ascii="Arial"/>
                <w:b/>
                <w:color w:val="FFFFFF"/>
                <w:sz w:val="16"/>
              </w:rPr>
              <w:t>R$</w:t>
            </w:r>
            <w:r>
              <w:rPr>
                <w:rFonts w:ascii="Arial"/>
                <w:b/>
                <w:color w:val="FFFFFF"/>
                <w:spacing w:val="-1"/>
                <w:sz w:val="16"/>
              </w:rPr>
              <w:t xml:space="preserve"> </w:t>
            </w:r>
            <w:r>
              <w:rPr>
                <w:rFonts w:ascii="Arial"/>
                <w:b/>
                <w:color w:val="FFFFFF"/>
                <w:spacing w:val="-5"/>
                <w:sz w:val="16"/>
              </w:rPr>
              <w:t>Mil</w:t>
            </w:r>
          </w:p>
        </w:tc>
        <w:tc>
          <w:tcPr>
            <w:tcW w:w="1189" w:type="dxa"/>
            <w:shd w:val="clear" w:color="auto" w:fill="0000FF"/>
          </w:tcPr>
          <w:p w14:paraId="65375322" w14:textId="77777777" w:rsidR="002C6574" w:rsidRDefault="002C6574">
            <w:pPr>
              <w:pStyle w:val="TableParagraph"/>
              <w:jc w:val="left"/>
              <w:rPr>
                <w:rFonts w:ascii="Arial"/>
                <w:b/>
                <w:sz w:val="16"/>
              </w:rPr>
            </w:pPr>
          </w:p>
          <w:p w14:paraId="167D3597" w14:textId="77777777" w:rsidR="002C6574" w:rsidRDefault="002C6574">
            <w:pPr>
              <w:pStyle w:val="TableParagraph"/>
              <w:jc w:val="left"/>
              <w:rPr>
                <w:rFonts w:ascii="Arial"/>
                <w:b/>
                <w:sz w:val="16"/>
              </w:rPr>
            </w:pPr>
          </w:p>
          <w:p w14:paraId="5C7DAD75" w14:textId="77777777" w:rsidR="002C6574" w:rsidRDefault="00000000">
            <w:pPr>
              <w:pStyle w:val="TableParagraph"/>
              <w:spacing w:line="164" w:lineRule="exact"/>
              <w:ind w:left="191"/>
              <w:jc w:val="left"/>
              <w:rPr>
                <w:rFonts w:ascii="Arial"/>
                <w:b/>
                <w:sz w:val="16"/>
              </w:rPr>
            </w:pPr>
            <w:r>
              <w:rPr>
                <w:rFonts w:ascii="Arial"/>
                <w:b/>
                <w:color w:val="FFFFFF"/>
                <w:spacing w:val="-2"/>
                <w:sz w:val="16"/>
              </w:rPr>
              <w:t>31/12/2025</w:t>
            </w:r>
          </w:p>
        </w:tc>
        <w:tc>
          <w:tcPr>
            <w:tcW w:w="1253" w:type="dxa"/>
            <w:shd w:val="clear" w:color="auto" w:fill="0000FF"/>
          </w:tcPr>
          <w:p w14:paraId="5C7445E8" w14:textId="77777777" w:rsidR="002C6574" w:rsidRDefault="002C6574">
            <w:pPr>
              <w:pStyle w:val="TableParagraph"/>
              <w:jc w:val="left"/>
              <w:rPr>
                <w:rFonts w:ascii="Arial"/>
                <w:b/>
                <w:sz w:val="16"/>
              </w:rPr>
            </w:pPr>
          </w:p>
          <w:p w14:paraId="73AABE67" w14:textId="77777777" w:rsidR="002C6574" w:rsidRDefault="002C6574">
            <w:pPr>
              <w:pStyle w:val="TableParagraph"/>
              <w:jc w:val="left"/>
              <w:rPr>
                <w:rFonts w:ascii="Arial"/>
                <w:b/>
                <w:sz w:val="16"/>
              </w:rPr>
            </w:pPr>
          </w:p>
          <w:p w14:paraId="78576F8C" w14:textId="77777777" w:rsidR="002C6574" w:rsidRDefault="00000000">
            <w:pPr>
              <w:pStyle w:val="TableParagraph"/>
              <w:spacing w:line="164" w:lineRule="exact"/>
              <w:ind w:left="193"/>
              <w:jc w:val="left"/>
              <w:rPr>
                <w:rFonts w:ascii="Arial"/>
                <w:b/>
                <w:sz w:val="16"/>
              </w:rPr>
            </w:pPr>
            <w:r>
              <w:rPr>
                <w:rFonts w:ascii="Arial"/>
                <w:b/>
                <w:color w:val="FFFFFF"/>
                <w:spacing w:val="-2"/>
                <w:sz w:val="16"/>
              </w:rPr>
              <w:t>31/12/2024</w:t>
            </w:r>
          </w:p>
        </w:tc>
        <w:tc>
          <w:tcPr>
            <w:tcW w:w="1126" w:type="dxa"/>
            <w:shd w:val="clear" w:color="auto" w:fill="0000FF"/>
          </w:tcPr>
          <w:p w14:paraId="4D5F510F" w14:textId="77777777" w:rsidR="002C6574" w:rsidRDefault="002C6574">
            <w:pPr>
              <w:pStyle w:val="TableParagraph"/>
              <w:jc w:val="left"/>
              <w:rPr>
                <w:rFonts w:ascii="Arial"/>
                <w:b/>
                <w:sz w:val="16"/>
              </w:rPr>
            </w:pPr>
          </w:p>
          <w:p w14:paraId="5CB58863" w14:textId="77777777" w:rsidR="002C6574" w:rsidRDefault="002C6574">
            <w:pPr>
              <w:pStyle w:val="TableParagraph"/>
              <w:jc w:val="left"/>
              <w:rPr>
                <w:rFonts w:ascii="Arial"/>
                <w:b/>
                <w:sz w:val="16"/>
              </w:rPr>
            </w:pPr>
          </w:p>
          <w:p w14:paraId="3B3E12EF" w14:textId="77777777" w:rsidR="002C6574" w:rsidRDefault="00000000">
            <w:pPr>
              <w:pStyle w:val="TableParagraph"/>
              <w:spacing w:line="164" w:lineRule="exact"/>
              <w:ind w:left="128"/>
              <w:jc w:val="left"/>
              <w:rPr>
                <w:rFonts w:ascii="Arial"/>
                <w:b/>
                <w:sz w:val="16"/>
              </w:rPr>
            </w:pPr>
            <w:r>
              <w:rPr>
                <w:rFonts w:ascii="Arial"/>
                <w:b/>
                <w:color w:val="FFFFFF"/>
                <w:spacing w:val="-2"/>
                <w:sz w:val="16"/>
              </w:rPr>
              <w:t>31/12/2023</w:t>
            </w:r>
          </w:p>
        </w:tc>
        <w:tc>
          <w:tcPr>
            <w:tcW w:w="185" w:type="dxa"/>
          </w:tcPr>
          <w:p w14:paraId="576933EA" w14:textId="77777777" w:rsidR="002C6574" w:rsidRDefault="002C6574">
            <w:pPr>
              <w:pStyle w:val="TableParagraph"/>
              <w:jc w:val="left"/>
              <w:rPr>
                <w:rFonts w:ascii="Times New Roman"/>
                <w:sz w:val="18"/>
              </w:rPr>
            </w:pPr>
          </w:p>
        </w:tc>
        <w:tc>
          <w:tcPr>
            <w:tcW w:w="934" w:type="dxa"/>
            <w:shd w:val="clear" w:color="auto" w:fill="0000FF"/>
          </w:tcPr>
          <w:p w14:paraId="79F970B8" w14:textId="77777777" w:rsidR="002C6574" w:rsidRDefault="00000000">
            <w:pPr>
              <w:pStyle w:val="TableParagraph"/>
              <w:spacing w:before="1"/>
              <w:ind w:left="153" w:right="220"/>
              <w:jc w:val="center"/>
              <w:rPr>
                <w:rFonts w:ascii="Arial" w:hAnsi="Arial"/>
                <w:b/>
                <w:sz w:val="16"/>
              </w:rPr>
            </w:pPr>
            <w:r>
              <w:rPr>
                <w:rFonts w:ascii="Arial" w:hAnsi="Arial"/>
                <w:b/>
                <w:color w:val="FFFFFF"/>
                <w:sz w:val="16"/>
              </w:rPr>
              <w:t>Δ</w:t>
            </w:r>
            <w:r>
              <w:rPr>
                <w:rFonts w:ascii="Arial" w:hAnsi="Arial"/>
                <w:b/>
                <w:color w:val="FFFFFF"/>
                <w:spacing w:val="-12"/>
                <w:sz w:val="16"/>
              </w:rPr>
              <w:t xml:space="preserve"> </w:t>
            </w:r>
            <w:r>
              <w:rPr>
                <w:rFonts w:ascii="Arial" w:hAnsi="Arial"/>
                <w:b/>
                <w:color w:val="FFFFFF"/>
                <w:sz w:val="16"/>
              </w:rPr>
              <w:t xml:space="preserve">2025 </w:t>
            </w:r>
            <w:r>
              <w:rPr>
                <w:rFonts w:ascii="Arial" w:hAnsi="Arial"/>
                <w:b/>
                <w:color w:val="FFFFFF"/>
                <w:spacing w:val="-10"/>
                <w:sz w:val="16"/>
              </w:rPr>
              <w:t>X</w:t>
            </w:r>
          </w:p>
          <w:p w14:paraId="71664571" w14:textId="77777777" w:rsidR="002C6574" w:rsidRDefault="00000000">
            <w:pPr>
              <w:pStyle w:val="TableParagraph"/>
              <w:spacing w:line="163" w:lineRule="exact"/>
              <w:ind w:left="153" w:right="224"/>
              <w:jc w:val="center"/>
              <w:rPr>
                <w:rFonts w:ascii="Arial"/>
                <w:b/>
                <w:sz w:val="16"/>
              </w:rPr>
            </w:pPr>
            <w:r>
              <w:rPr>
                <w:rFonts w:ascii="Arial"/>
                <w:b/>
                <w:color w:val="FFFFFF"/>
                <w:spacing w:val="-4"/>
                <w:sz w:val="16"/>
              </w:rPr>
              <w:t>2024</w:t>
            </w:r>
          </w:p>
        </w:tc>
        <w:tc>
          <w:tcPr>
            <w:tcW w:w="866" w:type="dxa"/>
            <w:shd w:val="clear" w:color="auto" w:fill="0000FF"/>
          </w:tcPr>
          <w:p w14:paraId="7B82F0F7" w14:textId="77777777" w:rsidR="002C6574" w:rsidRDefault="00000000">
            <w:pPr>
              <w:pStyle w:val="TableParagraph"/>
              <w:spacing w:before="1"/>
              <w:ind w:left="116" w:right="189"/>
              <w:jc w:val="center"/>
              <w:rPr>
                <w:rFonts w:ascii="Arial" w:hAnsi="Arial"/>
                <w:b/>
                <w:sz w:val="16"/>
              </w:rPr>
            </w:pPr>
            <w:r>
              <w:rPr>
                <w:rFonts w:ascii="Arial" w:hAnsi="Arial"/>
                <w:b/>
                <w:color w:val="FFFFFF"/>
                <w:sz w:val="16"/>
              </w:rPr>
              <w:t>Δ</w:t>
            </w:r>
            <w:r>
              <w:rPr>
                <w:rFonts w:ascii="Arial" w:hAnsi="Arial"/>
                <w:b/>
                <w:color w:val="FFFFFF"/>
                <w:spacing w:val="-12"/>
                <w:sz w:val="16"/>
              </w:rPr>
              <w:t xml:space="preserve"> </w:t>
            </w:r>
            <w:r>
              <w:rPr>
                <w:rFonts w:ascii="Arial" w:hAnsi="Arial"/>
                <w:b/>
                <w:color w:val="FFFFFF"/>
                <w:sz w:val="16"/>
              </w:rPr>
              <w:t xml:space="preserve">2025 </w:t>
            </w:r>
            <w:r>
              <w:rPr>
                <w:rFonts w:ascii="Arial" w:hAnsi="Arial"/>
                <w:b/>
                <w:color w:val="FFFFFF"/>
                <w:spacing w:val="-10"/>
                <w:sz w:val="16"/>
              </w:rPr>
              <w:t>X</w:t>
            </w:r>
          </w:p>
          <w:p w14:paraId="696329BE" w14:textId="77777777" w:rsidR="002C6574" w:rsidRDefault="00000000">
            <w:pPr>
              <w:pStyle w:val="TableParagraph"/>
              <w:spacing w:line="163" w:lineRule="exact"/>
              <w:ind w:left="118" w:right="189"/>
              <w:jc w:val="center"/>
              <w:rPr>
                <w:rFonts w:ascii="Arial"/>
                <w:b/>
                <w:sz w:val="16"/>
              </w:rPr>
            </w:pPr>
            <w:r>
              <w:rPr>
                <w:rFonts w:ascii="Arial"/>
                <w:b/>
                <w:color w:val="FFFFFF"/>
                <w:spacing w:val="-4"/>
                <w:sz w:val="16"/>
              </w:rPr>
              <w:t>2023</w:t>
            </w:r>
          </w:p>
        </w:tc>
      </w:tr>
      <w:tr w:rsidR="002C6574" w14:paraId="7ECE2DCB" w14:textId="77777777">
        <w:trPr>
          <w:trHeight w:val="200"/>
        </w:trPr>
        <w:tc>
          <w:tcPr>
            <w:tcW w:w="4938" w:type="dxa"/>
          </w:tcPr>
          <w:p w14:paraId="26FB6545" w14:textId="77777777" w:rsidR="002C6574" w:rsidRDefault="00000000">
            <w:pPr>
              <w:pStyle w:val="TableParagraph"/>
              <w:spacing w:before="8" w:line="173" w:lineRule="exact"/>
              <w:ind w:left="69"/>
              <w:jc w:val="left"/>
              <w:rPr>
                <w:rFonts w:ascii="Arial" w:hAnsi="Arial"/>
                <w:b/>
                <w:sz w:val="16"/>
              </w:rPr>
            </w:pPr>
            <w:r>
              <w:rPr>
                <w:rFonts w:ascii="Arial" w:hAnsi="Arial"/>
                <w:b/>
                <w:sz w:val="16"/>
              </w:rPr>
              <w:t>Empréstimos</w:t>
            </w:r>
            <w:r>
              <w:rPr>
                <w:rFonts w:ascii="Arial" w:hAnsi="Arial"/>
                <w:b/>
                <w:spacing w:val="-6"/>
                <w:sz w:val="16"/>
              </w:rPr>
              <w:t xml:space="preserve"> </w:t>
            </w:r>
            <w:r>
              <w:rPr>
                <w:rFonts w:ascii="Arial" w:hAnsi="Arial"/>
                <w:b/>
                <w:sz w:val="16"/>
              </w:rPr>
              <w:t>e</w:t>
            </w:r>
            <w:r>
              <w:rPr>
                <w:rFonts w:ascii="Arial" w:hAnsi="Arial"/>
                <w:b/>
                <w:spacing w:val="-8"/>
                <w:sz w:val="16"/>
              </w:rPr>
              <w:t xml:space="preserve"> </w:t>
            </w:r>
            <w:r>
              <w:rPr>
                <w:rFonts w:ascii="Arial" w:hAnsi="Arial"/>
                <w:b/>
                <w:sz w:val="16"/>
              </w:rPr>
              <w:t>Financiamentos</w:t>
            </w:r>
            <w:r>
              <w:rPr>
                <w:rFonts w:ascii="Arial" w:hAnsi="Arial"/>
                <w:b/>
                <w:spacing w:val="-7"/>
                <w:sz w:val="16"/>
              </w:rPr>
              <w:t xml:space="preserve"> </w:t>
            </w:r>
            <w:r>
              <w:rPr>
                <w:rFonts w:ascii="Arial" w:hAnsi="Arial"/>
                <w:b/>
                <w:sz w:val="16"/>
              </w:rPr>
              <w:t>-</w:t>
            </w:r>
            <w:r>
              <w:rPr>
                <w:rFonts w:ascii="Arial" w:hAnsi="Arial"/>
                <w:b/>
                <w:spacing w:val="-5"/>
                <w:sz w:val="16"/>
              </w:rPr>
              <w:t xml:space="preserve"> </w:t>
            </w:r>
            <w:r>
              <w:rPr>
                <w:rFonts w:ascii="Arial" w:hAnsi="Arial"/>
                <w:b/>
                <w:spacing w:val="-4"/>
                <w:sz w:val="16"/>
              </w:rPr>
              <w:t>FINEP</w:t>
            </w:r>
          </w:p>
        </w:tc>
        <w:tc>
          <w:tcPr>
            <w:tcW w:w="1189" w:type="dxa"/>
            <w:shd w:val="clear" w:color="auto" w:fill="66FFFF"/>
          </w:tcPr>
          <w:p w14:paraId="1568C596" w14:textId="77777777" w:rsidR="002C6574" w:rsidRDefault="00000000">
            <w:pPr>
              <w:pStyle w:val="TableParagraph"/>
              <w:spacing w:before="8" w:line="173" w:lineRule="exact"/>
              <w:ind w:right="67"/>
              <w:rPr>
                <w:rFonts w:ascii="Arial MT"/>
                <w:sz w:val="16"/>
              </w:rPr>
            </w:pPr>
            <w:r>
              <w:rPr>
                <w:rFonts w:ascii="Arial MT"/>
                <w:spacing w:val="-10"/>
                <w:sz w:val="16"/>
              </w:rPr>
              <w:t>-</w:t>
            </w:r>
          </w:p>
        </w:tc>
        <w:tc>
          <w:tcPr>
            <w:tcW w:w="1253" w:type="dxa"/>
          </w:tcPr>
          <w:p w14:paraId="6F70C3D6" w14:textId="77777777" w:rsidR="002C6574" w:rsidRDefault="00000000">
            <w:pPr>
              <w:pStyle w:val="TableParagraph"/>
              <w:spacing w:before="8" w:line="173" w:lineRule="exact"/>
              <w:ind w:right="130"/>
              <w:rPr>
                <w:rFonts w:ascii="Arial"/>
                <w:b/>
                <w:sz w:val="16"/>
              </w:rPr>
            </w:pPr>
            <w:r>
              <w:rPr>
                <w:rFonts w:ascii="Arial"/>
                <w:b/>
                <w:spacing w:val="-2"/>
                <w:sz w:val="16"/>
              </w:rPr>
              <w:t>46.210</w:t>
            </w:r>
          </w:p>
        </w:tc>
        <w:tc>
          <w:tcPr>
            <w:tcW w:w="1126" w:type="dxa"/>
          </w:tcPr>
          <w:p w14:paraId="5415D95C" w14:textId="77777777" w:rsidR="002C6574" w:rsidRDefault="00000000">
            <w:pPr>
              <w:pStyle w:val="TableParagraph"/>
              <w:spacing w:before="8" w:line="173" w:lineRule="exact"/>
              <w:ind w:right="68"/>
              <w:rPr>
                <w:rFonts w:ascii="Arial"/>
                <w:b/>
                <w:sz w:val="16"/>
              </w:rPr>
            </w:pPr>
            <w:r>
              <w:rPr>
                <w:rFonts w:ascii="Arial"/>
                <w:b/>
                <w:spacing w:val="-2"/>
                <w:sz w:val="16"/>
              </w:rPr>
              <w:t>90.602</w:t>
            </w:r>
          </w:p>
        </w:tc>
        <w:tc>
          <w:tcPr>
            <w:tcW w:w="185" w:type="dxa"/>
          </w:tcPr>
          <w:p w14:paraId="6540788F" w14:textId="77777777" w:rsidR="002C6574" w:rsidRDefault="002C6574">
            <w:pPr>
              <w:pStyle w:val="TableParagraph"/>
              <w:jc w:val="left"/>
              <w:rPr>
                <w:rFonts w:ascii="Times New Roman"/>
                <w:sz w:val="12"/>
              </w:rPr>
            </w:pPr>
          </w:p>
        </w:tc>
        <w:tc>
          <w:tcPr>
            <w:tcW w:w="934" w:type="dxa"/>
          </w:tcPr>
          <w:p w14:paraId="755DF37E" w14:textId="77777777" w:rsidR="002C6574" w:rsidRDefault="00000000">
            <w:pPr>
              <w:pStyle w:val="TableParagraph"/>
              <w:spacing w:before="8" w:line="173" w:lineRule="exact"/>
              <w:ind w:right="137"/>
              <w:rPr>
                <w:rFonts w:ascii="Arial MT"/>
                <w:sz w:val="16"/>
              </w:rPr>
            </w:pPr>
            <w:r>
              <w:rPr>
                <w:rFonts w:ascii="Arial MT"/>
                <w:spacing w:val="-2"/>
                <w:sz w:val="16"/>
              </w:rPr>
              <w:t>-100,0%</w:t>
            </w:r>
          </w:p>
        </w:tc>
        <w:tc>
          <w:tcPr>
            <w:tcW w:w="866" w:type="dxa"/>
          </w:tcPr>
          <w:p w14:paraId="3053180B" w14:textId="77777777" w:rsidR="002C6574" w:rsidRDefault="00000000">
            <w:pPr>
              <w:pStyle w:val="TableParagraph"/>
              <w:spacing w:before="8" w:line="173" w:lineRule="exact"/>
              <w:ind w:right="67"/>
              <w:rPr>
                <w:rFonts w:ascii="Arial MT"/>
                <w:sz w:val="16"/>
              </w:rPr>
            </w:pPr>
            <w:r>
              <w:rPr>
                <w:rFonts w:ascii="Arial MT"/>
                <w:spacing w:val="-2"/>
                <w:sz w:val="16"/>
              </w:rPr>
              <w:t>-100,0%</w:t>
            </w:r>
          </w:p>
        </w:tc>
      </w:tr>
      <w:tr w:rsidR="002C6574" w14:paraId="3F9E291A" w14:textId="77777777">
        <w:trPr>
          <w:trHeight w:val="198"/>
        </w:trPr>
        <w:tc>
          <w:tcPr>
            <w:tcW w:w="4938" w:type="dxa"/>
          </w:tcPr>
          <w:p w14:paraId="46BFAFBE" w14:textId="77777777" w:rsidR="002C6574" w:rsidRDefault="00000000">
            <w:pPr>
              <w:pStyle w:val="TableParagraph"/>
              <w:spacing w:before="4" w:line="174" w:lineRule="exact"/>
              <w:ind w:left="160"/>
              <w:jc w:val="left"/>
              <w:rPr>
                <w:rFonts w:ascii="Arial"/>
                <w:i/>
                <w:sz w:val="16"/>
              </w:rPr>
            </w:pPr>
            <w:r>
              <w:rPr>
                <w:rFonts w:ascii="Arial"/>
                <w:i/>
                <w:sz w:val="16"/>
              </w:rPr>
              <w:t>Curto</w:t>
            </w:r>
            <w:r>
              <w:rPr>
                <w:rFonts w:ascii="Arial"/>
                <w:i/>
                <w:spacing w:val="-5"/>
                <w:sz w:val="16"/>
              </w:rPr>
              <w:t xml:space="preserve"> </w:t>
            </w:r>
            <w:r>
              <w:rPr>
                <w:rFonts w:ascii="Arial"/>
                <w:i/>
                <w:spacing w:val="-2"/>
                <w:sz w:val="16"/>
              </w:rPr>
              <w:t>Prazo</w:t>
            </w:r>
          </w:p>
        </w:tc>
        <w:tc>
          <w:tcPr>
            <w:tcW w:w="1189" w:type="dxa"/>
            <w:shd w:val="clear" w:color="auto" w:fill="66FFFF"/>
          </w:tcPr>
          <w:p w14:paraId="42C5F48C" w14:textId="77777777" w:rsidR="002C6574" w:rsidRDefault="00000000">
            <w:pPr>
              <w:pStyle w:val="TableParagraph"/>
              <w:spacing w:before="4" w:line="174" w:lineRule="exact"/>
              <w:ind w:right="67"/>
              <w:rPr>
                <w:rFonts w:ascii="Arial"/>
                <w:i/>
                <w:sz w:val="16"/>
              </w:rPr>
            </w:pPr>
            <w:r>
              <w:rPr>
                <w:rFonts w:ascii="Arial"/>
                <w:i/>
                <w:spacing w:val="-10"/>
                <w:sz w:val="16"/>
              </w:rPr>
              <w:t>-</w:t>
            </w:r>
          </w:p>
        </w:tc>
        <w:tc>
          <w:tcPr>
            <w:tcW w:w="1253" w:type="dxa"/>
          </w:tcPr>
          <w:p w14:paraId="3F43879C" w14:textId="77777777" w:rsidR="002C6574" w:rsidRDefault="00000000">
            <w:pPr>
              <w:pStyle w:val="TableParagraph"/>
              <w:spacing w:before="4" w:line="174" w:lineRule="exact"/>
              <w:ind w:right="130"/>
              <w:rPr>
                <w:rFonts w:ascii="Arial"/>
                <w:i/>
                <w:sz w:val="16"/>
              </w:rPr>
            </w:pPr>
            <w:r>
              <w:rPr>
                <w:rFonts w:ascii="Arial"/>
                <w:i/>
                <w:spacing w:val="-2"/>
                <w:sz w:val="16"/>
              </w:rPr>
              <w:t>46.210</w:t>
            </w:r>
          </w:p>
        </w:tc>
        <w:tc>
          <w:tcPr>
            <w:tcW w:w="1126" w:type="dxa"/>
          </w:tcPr>
          <w:p w14:paraId="1CB642F7" w14:textId="77777777" w:rsidR="002C6574" w:rsidRDefault="00000000">
            <w:pPr>
              <w:pStyle w:val="TableParagraph"/>
              <w:spacing w:before="4" w:line="174" w:lineRule="exact"/>
              <w:ind w:right="68"/>
              <w:rPr>
                <w:rFonts w:ascii="Arial"/>
                <w:i/>
                <w:sz w:val="16"/>
              </w:rPr>
            </w:pPr>
            <w:r>
              <w:rPr>
                <w:rFonts w:ascii="Arial"/>
                <w:i/>
                <w:spacing w:val="-2"/>
                <w:sz w:val="16"/>
              </w:rPr>
              <w:t>45.710</w:t>
            </w:r>
          </w:p>
        </w:tc>
        <w:tc>
          <w:tcPr>
            <w:tcW w:w="185" w:type="dxa"/>
          </w:tcPr>
          <w:p w14:paraId="1733C8A9" w14:textId="77777777" w:rsidR="002C6574" w:rsidRDefault="002C6574">
            <w:pPr>
              <w:pStyle w:val="TableParagraph"/>
              <w:jc w:val="left"/>
              <w:rPr>
                <w:rFonts w:ascii="Times New Roman"/>
                <w:sz w:val="12"/>
              </w:rPr>
            </w:pPr>
          </w:p>
        </w:tc>
        <w:tc>
          <w:tcPr>
            <w:tcW w:w="934" w:type="dxa"/>
          </w:tcPr>
          <w:p w14:paraId="38A5C773" w14:textId="77777777" w:rsidR="002C6574" w:rsidRDefault="00000000">
            <w:pPr>
              <w:pStyle w:val="TableParagraph"/>
              <w:spacing w:before="4" w:line="174" w:lineRule="exact"/>
              <w:ind w:right="137"/>
              <w:rPr>
                <w:rFonts w:ascii="Arial"/>
                <w:i/>
                <w:sz w:val="16"/>
              </w:rPr>
            </w:pPr>
            <w:r>
              <w:rPr>
                <w:rFonts w:ascii="Arial"/>
                <w:i/>
                <w:spacing w:val="-2"/>
                <w:sz w:val="16"/>
              </w:rPr>
              <w:t>-100,0%</w:t>
            </w:r>
          </w:p>
        </w:tc>
        <w:tc>
          <w:tcPr>
            <w:tcW w:w="866" w:type="dxa"/>
          </w:tcPr>
          <w:p w14:paraId="4AE14844" w14:textId="77777777" w:rsidR="002C6574" w:rsidRDefault="00000000">
            <w:pPr>
              <w:pStyle w:val="TableParagraph"/>
              <w:spacing w:before="4" w:line="174" w:lineRule="exact"/>
              <w:ind w:right="67"/>
              <w:rPr>
                <w:rFonts w:ascii="Arial"/>
                <w:i/>
                <w:sz w:val="16"/>
              </w:rPr>
            </w:pPr>
            <w:r>
              <w:rPr>
                <w:rFonts w:ascii="Arial"/>
                <w:i/>
                <w:spacing w:val="-2"/>
                <w:sz w:val="16"/>
              </w:rPr>
              <w:t>-100,0%</w:t>
            </w:r>
          </w:p>
        </w:tc>
      </w:tr>
      <w:tr w:rsidR="002C6574" w14:paraId="54CA9B30" w14:textId="77777777">
        <w:trPr>
          <w:trHeight w:val="198"/>
        </w:trPr>
        <w:tc>
          <w:tcPr>
            <w:tcW w:w="4938" w:type="dxa"/>
          </w:tcPr>
          <w:p w14:paraId="319BA077" w14:textId="77777777" w:rsidR="002C6574" w:rsidRDefault="00000000">
            <w:pPr>
              <w:pStyle w:val="TableParagraph"/>
              <w:spacing w:before="5" w:line="173" w:lineRule="exact"/>
              <w:ind w:left="160"/>
              <w:jc w:val="left"/>
              <w:rPr>
                <w:rFonts w:ascii="Arial"/>
                <w:i/>
                <w:sz w:val="16"/>
              </w:rPr>
            </w:pPr>
            <w:r>
              <w:rPr>
                <w:rFonts w:ascii="Arial"/>
                <w:i/>
                <w:sz w:val="16"/>
              </w:rPr>
              <w:t>Longo</w:t>
            </w:r>
            <w:r>
              <w:rPr>
                <w:rFonts w:ascii="Arial"/>
                <w:i/>
                <w:spacing w:val="-6"/>
                <w:sz w:val="16"/>
              </w:rPr>
              <w:t xml:space="preserve"> </w:t>
            </w:r>
            <w:r>
              <w:rPr>
                <w:rFonts w:ascii="Arial"/>
                <w:i/>
                <w:spacing w:val="-4"/>
                <w:sz w:val="16"/>
              </w:rPr>
              <w:t>Prazo</w:t>
            </w:r>
          </w:p>
        </w:tc>
        <w:tc>
          <w:tcPr>
            <w:tcW w:w="1189" w:type="dxa"/>
            <w:shd w:val="clear" w:color="auto" w:fill="66FFFF"/>
          </w:tcPr>
          <w:p w14:paraId="3A67BCCA" w14:textId="77777777" w:rsidR="002C6574" w:rsidRDefault="00000000">
            <w:pPr>
              <w:pStyle w:val="TableParagraph"/>
              <w:spacing w:before="5" w:line="173" w:lineRule="exact"/>
              <w:ind w:right="67"/>
              <w:rPr>
                <w:rFonts w:ascii="Arial"/>
                <w:i/>
                <w:sz w:val="16"/>
              </w:rPr>
            </w:pPr>
            <w:r>
              <w:rPr>
                <w:rFonts w:ascii="Arial"/>
                <w:i/>
                <w:spacing w:val="-10"/>
                <w:sz w:val="16"/>
              </w:rPr>
              <w:t>-</w:t>
            </w:r>
          </w:p>
        </w:tc>
        <w:tc>
          <w:tcPr>
            <w:tcW w:w="1253" w:type="dxa"/>
          </w:tcPr>
          <w:p w14:paraId="38C256C4" w14:textId="77777777" w:rsidR="002C6574" w:rsidRDefault="00000000">
            <w:pPr>
              <w:pStyle w:val="TableParagraph"/>
              <w:spacing w:before="5" w:line="173" w:lineRule="exact"/>
              <w:ind w:right="130"/>
              <w:rPr>
                <w:rFonts w:ascii="Arial"/>
                <w:i/>
                <w:sz w:val="16"/>
              </w:rPr>
            </w:pPr>
            <w:r>
              <w:rPr>
                <w:rFonts w:ascii="Arial"/>
                <w:i/>
                <w:spacing w:val="-10"/>
                <w:sz w:val="16"/>
              </w:rPr>
              <w:t>-</w:t>
            </w:r>
          </w:p>
        </w:tc>
        <w:tc>
          <w:tcPr>
            <w:tcW w:w="1126" w:type="dxa"/>
          </w:tcPr>
          <w:p w14:paraId="12877EB0" w14:textId="77777777" w:rsidR="002C6574" w:rsidRDefault="00000000">
            <w:pPr>
              <w:pStyle w:val="TableParagraph"/>
              <w:spacing w:before="5" w:line="173" w:lineRule="exact"/>
              <w:ind w:right="68"/>
              <w:rPr>
                <w:rFonts w:ascii="Arial"/>
                <w:i/>
                <w:sz w:val="16"/>
              </w:rPr>
            </w:pPr>
            <w:r>
              <w:rPr>
                <w:rFonts w:ascii="Arial"/>
                <w:i/>
                <w:spacing w:val="-2"/>
                <w:sz w:val="16"/>
              </w:rPr>
              <w:t>44.892</w:t>
            </w:r>
          </w:p>
        </w:tc>
        <w:tc>
          <w:tcPr>
            <w:tcW w:w="185" w:type="dxa"/>
          </w:tcPr>
          <w:p w14:paraId="7313E579" w14:textId="77777777" w:rsidR="002C6574" w:rsidRDefault="002C6574">
            <w:pPr>
              <w:pStyle w:val="TableParagraph"/>
              <w:jc w:val="left"/>
              <w:rPr>
                <w:rFonts w:ascii="Times New Roman"/>
                <w:sz w:val="12"/>
              </w:rPr>
            </w:pPr>
          </w:p>
        </w:tc>
        <w:tc>
          <w:tcPr>
            <w:tcW w:w="934" w:type="dxa"/>
          </w:tcPr>
          <w:p w14:paraId="5D57545B" w14:textId="77777777" w:rsidR="002C6574" w:rsidRDefault="00000000">
            <w:pPr>
              <w:pStyle w:val="TableParagraph"/>
              <w:spacing w:before="5" w:line="173" w:lineRule="exact"/>
              <w:ind w:right="137"/>
              <w:rPr>
                <w:rFonts w:ascii="Arial"/>
                <w:i/>
                <w:sz w:val="16"/>
              </w:rPr>
            </w:pPr>
            <w:r>
              <w:rPr>
                <w:rFonts w:ascii="Arial"/>
                <w:i/>
                <w:spacing w:val="-2"/>
                <w:sz w:val="16"/>
              </w:rPr>
              <w:t>-100,0%</w:t>
            </w:r>
          </w:p>
        </w:tc>
        <w:tc>
          <w:tcPr>
            <w:tcW w:w="866" w:type="dxa"/>
          </w:tcPr>
          <w:p w14:paraId="7A4C1B92" w14:textId="77777777" w:rsidR="002C6574" w:rsidRDefault="00000000">
            <w:pPr>
              <w:pStyle w:val="TableParagraph"/>
              <w:spacing w:before="5" w:line="173" w:lineRule="exact"/>
              <w:ind w:right="67"/>
              <w:rPr>
                <w:rFonts w:ascii="Arial"/>
                <w:i/>
                <w:sz w:val="16"/>
              </w:rPr>
            </w:pPr>
            <w:r>
              <w:rPr>
                <w:rFonts w:ascii="Arial"/>
                <w:i/>
                <w:spacing w:val="-2"/>
                <w:sz w:val="16"/>
              </w:rPr>
              <w:t>-100,0%</w:t>
            </w:r>
          </w:p>
        </w:tc>
      </w:tr>
      <w:tr w:rsidR="002C6574" w14:paraId="76B98DE2" w14:textId="77777777">
        <w:trPr>
          <w:trHeight w:val="197"/>
        </w:trPr>
        <w:tc>
          <w:tcPr>
            <w:tcW w:w="4938" w:type="dxa"/>
          </w:tcPr>
          <w:p w14:paraId="7BB050AF" w14:textId="77777777" w:rsidR="002C6574" w:rsidRDefault="00000000">
            <w:pPr>
              <w:pStyle w:val="TableParagraph"/>
              <w:spacing w:before="4" w:line="174" w:lineRule="exact"/>
              <w:ind w:left="69"/>
              <w:jc w:val="left"/>
              <w:rPr>
                <w:rFonts w:ascii="Arial"/>
                <w:b/>
                <w:sz w:val="16"/>
              </w:rPr>
            </w:pPr>
            <w:r>
              <w:rPr>
                <w:rFonts w:ascii="Arial"/>
                <w:b/>
                <w:sz w:val="16"/>
              </w:rPr>
              <w:t>Arrendamento</w:t>
            </w:r>
            <w:r>
              <w:rPr>
                <w:rFonts w:ascii="Arial"/>
                <w:b/>
                <w:spacing w:val="-11"/>
                <w:sz w:val="16"/>
              </w:rPr>
              <w:t xml:space="preserve"> </w:t>
            </w:r>
            <w:r>
              <w:rPr>
                <w:rFonts w:ascii="Arial"/>
                <w:b/>
                <w:sz w:val="16"/>
              </w:rPr>
              <w:t>Mercantil</w:t>
            </w:r>
            <w:r>
              <w:rPr>
                <w:rFonts w:ascii="Arial"/>
                <w:b/>
                <w:spacing w:val="-10"/>
                <w:sz w:val="16"/>
              </w:rPr>
              <w:t xml:space="preserve"> </w:t>
            </w:r>
            <w:r>
              <w:rPr>
                <w:rFonts w:ascii="Arial"/>
                <w:b/>
                <w:spacing w:val="-2"/>
                <w:sz w:val="16"/>
              </w:rPr>
              <w:t>(Leasing)</w:t>
            </w:r>
          </w:p>
        </w:tc>
        <w:tc>
          <w:tcPr>
            <w:tcW w:w="1189" w:type="dxa"/>
            <w:shd w:val="clear" w:color="auto" w:fill="66FFFF"/>
          </w:tcPr>
          <w:p w14:paraId="36143805" w14:textId="77777777" w:rsidR="002C6574" w:rsidRDefault="00000000">
            <w:pPr>
              <w:pStyle w:val="TableParagraph"/>
              <w:spacing w:before="4" w:line="174" w:lineRule="exact"/>
              <w:ind w:right="68"/>
              <w:rPr>
                <w:rFonts w:ascii="Arial MT"/>
                <w:sz w:val="16"/>
              </w:rPr>
            </w:pPr>
            <w:r>
              <w:rPr>
                <w:rFonts w:ascii="Arial MT"/>
                <w:spacing w:val="-2"/>
                <w:sz w:val="16"/>
              </w:rPr>
              <w:t>19.879</w:t>
            </w:r>
          </w:p>
        </w:tc>
        <w:tc>
          <w:tcPr>
            <w:tcW w:w="1253" w:type="dxa"/>
          </w:tcPr>
          <w:p w14:paraId="40B5E7C4" w14:textId="77777777" w:rsidR="002C6574" w:rsidRDefault="00000000">
            <w:pPr>
              <w:pStyle w:val="TableParagraph"/>
              <w:spacing w:before="4" w:line="174" w:lineRule="exact"/>
              <w:ind w:right="130"/>
              <w:rPr>
                <w:rFonts w:ascii="Arial"/>
                <w:b/>
                <w:sz w:val="16"/>
              </w:rPr>
            </w:pPr>
            <w:r>
              <w:rPr>
                <w:rFonts w:ascii="Arial"/>
                <w:b/>
                <w:spacing w:val="-2"/>
                <w:sz w:val="16"/>
              </w:rPr>
              <w:t>9.513</w:t>
            </w:r>
          </w:p>
        </w:tc>
        <w:tc>
          <w:tcPr>
            <w:tcW w:w="1126" w:type="dxa"/>
          </w:tcPr>
          <w:p w14:paraId="1D891CC7" w14:textId="77777777" w:rsidR="002C6574" w:rsidRDefault="00000000">
            <w:pPr>
              <w:pStyle w:val="TableParagraph"/>
              <w:spacing w:before="4" w:line="174" w:lineRule="exact"/>
              <w:ind w:right="68"/>
              <w:rPr>
                <w:rFonts w:ascii="Arial"/>
                <w:b/>
                <w:sz w:val="16"/>
              </w:rPr>
            </w:pPr>
            <w:r>
              <w:rPr>
                <w:rFonts w:ascii="Arial"/>
                <w:b/>
                <w:spacing w:val="-2"/>
                <w:sz w:val="16"/>
              </w:rPr>
              <w:t>14.121</w:t>
            </w:r>
          </w:p>
        </w:tc>
        <w:tc>
          <w:tcPr>
            <w:tcW w:w="185" w:type="dxa"/>
          </w:tcPr>
          <w:p w14:paraId="3021B837" w14:textId="77777777" w:rsidR="002C6574" w:rsidRDefault="002C6574">
            <w:pPr>
              <w:pStyle w:val="TableParagraph"/>
              <w:jc w:val="left"/>
              <w:rPr>
                <w:rFonts w:ascii="Times New Roman"/>
                <w:sz w:val="12"/>
              </w:rPr>
            </w:pPr>
          </w:p>
        </w:tc>
        <w:tc>
          <w:tcPr>
            <w:tcW w:w="934" w:type="dxa"/>
          </w:tcPr>
          <w:p w14:paraId="18A4D91E" w14:textId="77777777" w:rsidR="002C6574" w:rsidRDefault="00000000">
            <w:pPr>
              <w:pStyle w:val="TableParagraph"/>
              <w:spacing w:before="4" w:line="174" w:lineRule="exact"/>
              <w:ind w:right="137"/>
              <w:rPr>
                <w:rFonts w:ascii="Arial"/>
                <w:i/>
                <w:sz w:val="16"/>
              </w:rPr>
            </w:pPr>
            <w:r>
              <w:rPr>
                <w:rFonts w:ascii="Arial"/>
                <w:i/>
                <w:spacing w:val="-2"/>
                <w:sz w:val="16"/>
              </w:rPr>
              <w:t>109,0%</w:t>
            </w:r>
          </w:p>
        </w:tc>
        <w:tc>
          <w:tcPr>
            <w:tcW w:w="866" w:type="dxa"/>
          </w:tcPr>
          <w:p w14:paraId="072A2427" w14:textId="77777777" w:rsidR="002C6574" w:rsidRDefault="00000000">
            <w:pPr>
              <w:pStyle w:val="TableParagraph"/>
              <w:spacing w:before="4" w:line="174" w:lineRule="exact"/>
              <w:ind w:right="67"/>
              <w:rPr>
                <w:rFonts w:ascii="Arial"/>
                <w:i/>
                <w:sz w:val="16"/>
              </w:rPr>
            </w:pPr>
            <w:r>
              <w:rPr>
                <w:rFonts w:ascii="Arial"/>
                <w:i/>
                <w:spacing w:val="-2"/>
                <w:sz w:val="16"/>
              </w:rPr>
              <w:t>40,8%</w:t>
            </w:r>
          </w:p>
        </w:tc>
      </w:tr>
      <w:tr w:rsidR="002C6574" w14:paraId="233E7536" w14:textId="77777777">
        <w:trPr>
          <w:trHeight w:val="197"/>
        </w:trPr>
        <w:tc>
          <w:tcPr>
            <w:tcW w:w="4938" w:type="dxa"/>
          </w:tcPr>
          <w:p w14:paraId="47850D43" w14:textId="77777777" w:rsidR="002C6574" w:rsidRDefault="00000000">
            <w:pPr>
              <w:pStyle w:val="TableParagraph"/>
              <w:spacing w:before="5" w:line="173" w:lineRule="exact"/>
              <w:ind w:left="160"/>
              <w:jc w:val="left"/>
              <w:rPr>
                <w:rFonts w:ascii="Arial"/>
                <w:i/>
                <w:sz w:val="16"/>
              </w:rPr>
            </w:pPr>
            <w:r>
              <w:rPr>
                <w:rFonts w:ascii="Arial"/>
                <w:i/>
                <w:sz w:val="16"/>
              </w:rPr>
              <w:t>Curto</w:t>
            </w:r>
            <w:r>
              <w:rPr>
                <w:rFonts w:ascii="Arial"/>
                <w:i/>
                <w:spacing w:val="-5"/>
                <w:sz w:val="16"/>
              </w:rPr>
              <w:t xml:space="preserve"> </w:t>
            </w:r>
            <w:r>
              <w:rPr>
                <w:rFonts w:ascii="Arial"/>
                <w:i/>
                <w:spacing w:val="-2"/>
                <w:sz w:val="16"/>
              </w:rPr>
              <w:t>Prazo</w:t>
            </w:r>
          </w:p>
        </w:tc>
        <w:tc>
          <w:tcPr>
            <w:tcW w:w="1189" w:type="dxa"/>
            <w:shd w:val="clear" w:color="auto" w:fill="66FFFF"/>
          </w:tcPr>
          <w:p w14:paraId="565AAE69" w14:textId="77777777" w:rsidR="002C6574" w:rsidRDefault="00000000">
            <w:pPr>
              <w:pStyle w:val="TableParagraph"/>
              <w:spacing w:before="5" w:line="173" w:lineRule="exact"/>
              <w:ind w:right="67"/>
              <w:rPr>
                <w:rFonts w:ascii="Arial"/>
                <w:i/>
                <w:sz w:val="16"/>
              </w:rPr>
            </w:pPr>
            <w:r>
              <w:rPr>
                <w:rFonts w:ascii="Arial"/>
                <w:i/>
                <w:spacing w:val="-2"/>
                <w:sz w:val="16"/>
              </w:rPr>
              <w:t>5.093</w:t>
            </w:r>
          </w:p>
        </w:tc>
        <w:tc>
          <w:tcPr>
            <w:tcW w:w="1253" w:type="dxa"/>
          </w:tcPr>
          <w:p w14:paraId="6FE1E1A3" w14:textId="77777777" w:rsidR="002C6574" w:rsidRDefault="00000000">
            <w:pPr>
              <w:pStyle w:val="TableParagraph"/>
              <w:spacing w:before="5" w:line="173" w:lineRule="exact"/>
              <w:ind w:right="130"/>
              <w:rPr>
                <w:rFonts w:ascii="Arial"/>
                <w:i/>
                <w:sz w:val="16"/>
              </w:rPr>
            </w:pPr>
            <w:r>
              <w:rPr>
                <w:rFonts w:ascii="Arial"/>
                <w:i/>
                <w:spacing w:val="-2"/>
                <w:sz w:val="16"/>
              </w:rPr>
              <w:t>5.374</w:t>
            </w:r>
          </w:p>
        </w:tc>
        <w:tc>
          <w:tcPr>
            <w:tcW w:w="1126" w:type="dxa"/>
          </w:tcPr>
          <w:p w14:paraId="479A0ED8" w14:textId="77777777" w:rsidR="002C6574" w:rsidRDefault="00000000">
            <w:pPr>
              <w:pStyle w:val="TableParagraph"/>
              <w:spacing w:before="5" w:line="173" w:lineRule="exact"/>
              <w:ind w:right="69"/>
              <w:rPr>
                <w:rFonts w:ascii="Arial"/>
                <w:i/>
                <w:sz w:val="16"/>
              </w:rPr>
            </w:pPr>
            <w:r>
              <w:rPr>
                <w:rFonts w:ascii="Arial"/>
                <w:i/>
                <w:spacing w:val="-2"/>
                <w:sz w:val="16"/>
              </w:rPr>
              <w:t>5.324</w:t>
            </w:r>
          </w:p>
        </w:tc>
        <w:tc>
          <w:tcPr>
            <w:tcW w:w="185" w:type="dxa"/>
          </w:tcPr>
          <w:p w14:paraId="7C384C35" w14:textId="77777777" w:rsidR="002C6574" w:rsidRDefault="002C6574">
            <w:pPr>
              <w:pStyle w:val="TableParagraph"/>
              <w:jc w:val="left"/>
              <w:rPr>
                <w:rFonts w:ascii="Times New Roman"/>
                <w:sz w:val="12"/>
              </w:rPr>
            </w:pPr>
          </w:p>
        </w:tc>
        <w:tc>
          <w:tcPr>
            <w:tcW w:w="934" w:type="dxa"/>
          </w:tcPr>
          <w:p w14:paraId="16D081FF" w14:textId="77777777" w:rsidR="002C6574" w:rsidRDefault="00000000">
            <w:pPr>
              <w:pStyle w:val="TableParagraph"/>
              <w:spacing w:before="5" w:line="173" w:lineRule="exact"/>
              <w:ind w:right="137"/>
              <w:rPr>
                <w:rFonts w:ascii="Arial"/>
                <w:i/>
                <w:sz w:val="16"/>
              </w:rPr>
            </w:pPr>
            <w:r>
              <w:rPr>
                <w:rFonts w:ascii="Arial"/>
                <w:i/>
                <w:spacing w:val="-2"/>
                <w:sz w:val="16"/>
              </w:rPr>
              <w:t>-</w:t>
            </w:r>
            <w:r>
              <w:rPr>
                <w:rFonts w:ascii="Arial"/>
                <w:i/>
                <w:spacing w:val="-4"/>
                <w:sz w:val="16"/>
              </w:rPr>
              <w:t>5,2%</w:t>
            </w:r>
          </w:p>
        </w:tc>
        <w:tc>
          <w:tcPr>
            <w:tcW w:w="866" w:type="dxa"/>
          </w:tcPr>
          <w:p w14:paraId="5817C71C" w14:textId="77777777" w:rsidR="002C6574" w:rsidRDefault="00000000">
            <w:pPr>
              <w:pStyle w:val="TableParagraph"/>
              <w:spacing w:before="5" w:line="173" w:lineRule="exact"/>
              <w:ind w:right="67"/>
              <w:rPr>
                <w:rFonts w:ascii="Arial"/>
                <w:i/>
                <w:sz w:val="16"/>
              </w:rPr>
            </w:pPr>
            <w:r>
              <w:rPr>
                <w:rFonts w:ascii="Arial"/>
                <w:i/>
                <w:spacing w:val="-2"/>
                <w:sz w:val="16"/>
              </w:rPr>
              <w:t>-</w:t>
            </w:r>
            <w:r>
              <w:rPr>
                <w:rFonts w:ascii="Arial"/>
                <w:i/>
                <w:spacing w:val="-4"/>
                <w:sz w:val="16"/>
              </w:rPr>
              <w:t>4,3%</w:t>
            </w:r>
          </w:p>
        </w:tc>
      </w:tr>
      <w:tr w:rsidR="002C6574" w14:paraId="28F2C5D6" w14:textId="77777777">
        <w:trPr>
          <w:trHeight w:val="197"/>
        </w:trPr>
        <w:tc>
          <w:tcPr>
            <w:tcW w:w="4938" w:type="dxa"/>
          </w:tcPr>
          <w:p w14:paraId="2E234BA5" w14:textId="77777777" w:rsidR="002C6574" w:rsidRDefault="00000000">
            <w:pPr>
              <w:pStyle w:val="TableParagraph"/>
              <w:spacing w:before="4" w:line="174" w:lineRule="exact"/>
              <w:ind w:left="160"/>
              <w:jc w:val="left"/>
              <w:rPr>
                <w:rFonts w:ascii="Arial"/>
                <w:i/>
                <w:sz w:val="16"/>
              </w:rPr>
            </w:pPr>
            <w:r>
              <w:rPr>
                <w:rFonts w:ascii="Arial"/>
                <w:i/>
                <w:sz w:val="16"/>
              </w:rPr>
              <w:t>Longo</w:t>
            </w:r>
            <w:r>
              <w:rPr>
                <w:rFonts w:ascii="Arial"/>
                <w:i/>
                <w:spacing w:val="-6"/>
                <w:sz w:val="16"/>
              </w:rPr>
              <w:t xml:space="preserve"> </w:t>
            </w:r>
            <w:r>
              <w:rPr>
                <w:rFonts w:ascii="Arial"/>
                <w:i/>
                <w:spacing w:val="-4"/>
                <w:sz w:val="16"/>
              </w:rPr>
              <w:t>Prazo</w:t>
            </w:r>
          </w:p>
        </w:tc>
        <w:tc>
          <w:tcPr>
            <w:tcW w:w="1189" w:type="dxa"/>
            <w:shd w:val="clear" w:color="auto" w:fill="66FFFF"/>
          </w:tcPr>
          <w:p w14:paraId="1B19C72B" w14:textId="77777777" w:rsidR="002C6574" w:rsidRDefault="00000000">
            <w:pPr>
              <w:pStyle w:val="TableParagraph"/>
              <w:spacing w:before="4" w:line="174" w:lineRule="exact"/>
              <w:ind w:right="68"/>
              <w:rPr>
                <w:rFonts w:ascii="Arial"/>
                <w:i/>
                <w:sz w:val="16"/>
              </w:rPr>
            </w:pPr>
            <w:r>
              <w:rPr>
                <w:rFonts w:ascii="Arial"/>
                <w:i/>
                <w:spacing w:val="-2"/>
                <w:sz w:val="16"/>
              </w:rPr>
              <w:t>14.786</w:t>
            </w:r>
          </w:p>
        </w:tc>
        <w:tc>
          <w:tcPr>
            <w:tcW w:w="1253" w:type="dxa"/>
          </w:tcPr>
          <w:p w14:paraId="46FA8860" w14:textId="77777777" w:rsidR="002C6574" w:rsidRDefault="00000000">
            <w:pPr>
              <w:pStyle w:val="TableParagraph"/>
              <w:spacing w:before="4" w:line="174" w:lineRule="exact"/>
              <w:ind w:right="130"/>
              <w:rPr>
                <w:rFonts w:ascii="Arial"/>
                <w:i/>
                <w:sz w:val="16"/>
              </w:rPr>
            </w:pPr>
            <w:r>
              <w:rPr>
                <w:rFonts w:ascii="Arial"/>
                <w:i/>
                <w:spacing w:val="-2"/>
                <w:sz w:val="16"/>
              </w:rPr>
              <w:t>4.139</w:t>
            </w:r>
          </w:p>
        </w:tc>
        <w:tc>
          <w:tcPr>
            <w:tcW w:w="1126" w:type="dxa"/>
          </w:tcPr>
          <w:p w14:paraId="144E96DB" w14:textId="77777777" w:rsidR="002C6574" w:rsidRDefault="00000000">
            <w:pPr>
              <w:pStyle w:val="TableParagraph"/>
              <w:spacing w:before="4" w:line="174" w:lineRule="exact"/>
              <w:ind w:right="69"/>
              <w:rPr>
                <w:rFonts w:ascii="Arial"/>
                <w:i/>
                <w:sz w:val="16"/>
              </w:rPr>
            </w:pPr>
            <w:r>
              <w:rPr>
                <w:rFonts w:ascii="Arial"/>
                <w:i/>
                <w:spacing w:val="-2"/>
                <w:sz w:val="16"/>
              </w:rPr>
              <w:t>8.797</w:t>
            </w:r>
          </w:p>
        </w:tc>
        <w:tc>
          <w:tcPr>
            <w:tcW w:w="185" w:type="dxa"/>
          </w:tcPr>
          <w:p w14:paraId="25FE0A14" w14:textId="77777777" w:rsidR="002C6574" w:rsidRDefault="002C6574">
            <w:pPr>
              <w:pStyle w:val="TableParagraph"/>
              <w:jc w:val="left"/>
              <w:rPr>
                <w:rFonts w:ascii="Times New Roman"/>
                <w:sz w:val="12"/>
              </w:rPr>
            </w:pPr>
          </w:p>
        </w:tc>
        <w:tc>
          <w:tcPr>
            <w:tcW w:w="934" w:type="dxa"/>
          </w:tcPr>
          <w:p w14:paraId="1DD575CA" w14:textId="77777777" w:rsidR="002C6574" w:rsidRDefault="00000000">
            <w:pPr>
              <w:pStyle w:val="TableParagraph"/>
              <w:spacing w:before="4" w:line="174" w:lineRule="exact"/>
              <w:ind w:right="137"/>
              <w:rPr>
                <w:rFonts w:ascii="Arial"/>
                <w:i/>
                <w:sz w:val="16"/>
              </w:rPr>
            </w:pPr>
            <w:r>
              <w:rPr>
                <w:rFonts w:ascii="Arial"/>
                <w:i/>
                <w:spacing w:val="-2"/>
                <w:sz w:val="16"/>
              </w:rPr>
              <w:t>257,2%</w:t>
            </w:r>
          </w:p>
        </w:tc>
        <w:tc>
          <w:tcPr>
            <w:tcW w:w="866" w:type="dxa"/>
          </w:tcPr>
          <w:p w14:paraId="211475AA" w14:textId="77777777" w:rsidR="002C6574" w:rsidRDefault="00000000">
            <w:pPr>
              <w:pStyle w:val="TableParagraph"/>
              <w:spacing w:before="4" w:line="174" w:lineRule="exact"/>
              <w:ind w:right="67"/>
              <w:rPr>
                <w:rFonts w:ascii="Arial"/>
                <w:i/>
                <w:sz w:val="16"/>
              </w:rPr>
            </w:pPr>
            <w:r>
              <w:rPr>
                <w:rFonts w:ascii="Arial"/>
                <w:i/>
                <w:spacing w:val="-2"/>
                <w:sz w:val="16"/>
              </w:rPr>
              <w:t>68,1%</w:t>
            </w:r>
          </w:p>
        </w:tc>
      </w:tr>
      <w:tr w:rsidR="002C6574" w14:paraId="375BE8BA" w14:textId="77777777">
        <w:trPr>
          <w:trHeight w:val="197"/>
        </w:trPr>
        <w:tc>
          <w:tcPr>
            <w:tcW w:w="4938" w:type="dxa"/>
          </w:tcPr>
          <w:p w14:paraId="049C7CBC" w14:textId="77777777" w:rsidR="002C6574" w:rsidRDefault="00000000">
            <w:pPr>
              <w:pStyle w:val="TableParagraph"/>
              <w:spacing w:before="5" w:line="173" w:lineRule="exact"/>
              <w:ind w:left="69"/>
              <w:jc w:val="left"/>
              <w:rPr>
                <w:rFonts w:ascii="Arial"/>
                <w:b/>
                <w:sz w:val="16"/>
              </w:rPr>
            </w:pPr>
            <w:r>
              <w:rPr>
                <w:rFonts w:ascii="Arial"/>
                <w:b/>
                <w:sz w:val="16"/>
              </w:rPr>
              <w:t>Credores</w:t>
            </w:r>
            <w:r>
              <w:rPr>
                <w:rFonts w:ascii="Arial"/>
                <w:b/>
                <w:spacing w:val="-6"/>
                <w:sz w:val="16"/>
              </w:rPr>
              <w:t xml:space="preserve"> </w:t>
            </w:r>
            <w:r>
              <w:rPr>
                <w:rFonts w:ascii="Arial"/>
                <w:b/>
                <w:sz w:val="16"/>
              </w:rPr>
              <w:t>por</w:t>
            </w:r>
            <w:r>
              <w:rPr>
                <w:rFonts w:ascii="Arial"/>
                <w:b/>
                <w:spacing w:val="-6"/>
                <w:sz w:val="16"/>
              </w:rPr>
              <w:t xml:space="preserve"> </w:t>
            </w:r>
            <w:r>
              <w:rPr>
                <w:rFonts w:ascii="Arial"/>
                <w:b/>
                <w:sz w:val="16"/>
              </w:rPr>
              <w:t>Acordos</w:t>
            </w:r>
            <w:r>
              <w:rPr>
                <w:rFonts w:ascii="Arial"/>
                <w:b/>
                <w:spacing w:val="-6"/>
                <w:sz w:val="16"/>
              </w:rPr>
              <w:t xml:space="preserve"> </w:t>
            </w:r>
            <w:r>
              <w:rPr>
                <w:rFonts w:ascii="Arial"/>
                <w:b/>
                <w:sz w:val="16"/>
              </w:rPr>
              <w:t>Judiciais</w:t>
            </w:r>
            <w:r>
              <w:rPr>
                <w:rFonts w:ascii="Arial"/>
                <w:b/>
                <w:spacing w:val="-5"/>
                <w:sz w:val="16"/>
              </w:rPr>
              <w:t xml:space="preserve"> </w:t>
            </w:r>
            <w:r>
              <w:rPr>
                <w:rFonts w:ascii="Arial"/>
                <w:b/>
                <w:sz w:val="16"/>
              </w:rPr>
              <w:t>-</w:t>
            </w:r>
            <w:r>
              <w:rPr>
                <w:rFonts w:ascii="Arial"/>
                <w:b/>
                <w:spacing w:val="-5"/>
                <w:sz w:val="16"/>
              </w:rPr>
              <w:t xml:space="preserve"> </w:t>
            </w:r>
            <w:r>
              <w:rPr>
                <w:rFonts w:ascii="Arial"/>
                <w:b/>
                <w:sz w:val="16"/>
              </w:rPr>
              <w:t>PREVI</w:t>
            </w:r>
            <w:r>
              <w:rPr>
                <w:rFonts w:ascii="Arial"/>
                <w:b/>
                <w:spacing w:val="-3"/>
                <w:sz w:val="16"/>
              </w:rPr>
              <w:t xml:space="preserve"> </w:t>
            </w:r>
            <w:r>
              <w:rPr>
                <w:rFonts w:ascii="Arial"/>
                <w:b/>
                <w:sz w:val="16"/>
              </w:rPr>
              <w:t>e</w:t>
            </w:r>
            <w:r>
              <w:rPr>
                <w:rFonts w:ascii="Arial"/>
                <w:b/>
                <w:spacing w:val="-7"/>
                <w:sz w:val="16"/>
              </w:rPr>
              <w:t xml:space="preserve"> </w:t>
            </w:r>
            <w:r>
              <w:rPr>
                <w:rFonts w:ascii="Arial"/>
                <w:b/>
                <w:spacing w:val="-2"/>
                <w:sz w:val="16"/>
              </w:rPr>
              <w:t>FUNCEF</w:t>
            </w:r>
          </w:p>
        </w:tc>
        <w:tc>
          <w:tcPr>
            <w:tcW w:w="1189" w:type="dxa"/>
            <w:shd w:val="clear" w:color="auto" w:fill="66FFFF"/>
          </w:tcPr>
          <w:p w14:paraId="0269F18C" w14:textId="77777777" w:rsidR="002C6574" w:rsidRDefault="00000000">
            <w:pPr>
              <w:pStyle w:val="TableParagraph"/>
              <w:spacing w:before="5" w:line="173" w:lineRule="exact"/>
              <w:ind w:right="67"/>
              <w:rPr>
                <w:rFonts w:ascii="Arial MT"/>
                <w:sz w:val="16"/>
              </w:rPr>
            </w:pPr>
            <w:r>
              <w:rPr>
                <w:rFonts w:ascii="Arial MT"/>
                <w:spacing w:val="-10"/>
                <w:sz w:val="16"/>
              </w:rPr>
              <w:t>-</w:t>
            </w:r>
          </w:p>
        </w:tc>
        <w:tc>
          <w:tcPr>
            <w:tcW w:w="1253" w:type="dxa"/>
          </w:tcPr>
          <w:p w14:paraId="356432A5" w14:textId="77777777" w:rsidR="002C6574" w:rsidRDefault="00000000">
            <w:pPr>
              <w:pStyle w:val="TableParagraph"/>
              <w:spacing w:before="5" w:line="173" w:lineRule="exact"/>
              <w:ind w:right="130"/>
              <w:rPr>
                <w:rFonts w:ascii="Arial"/>
                <w:b/>
                <w:sz w:val="16"/>
              </w:rPr>
            </w:pPr>
            <w:r>
              <w:rPr>
                <w:rFonts w:ascii="Arial"/>
                <w:b/>
                <w:spacing w:val="-2"/>
                <w:sz w:val="16"/>
              </w:rPr>
              <w:t>118.882</w:t>
            </w:r>
          </w:p>
        </w:tc>
        <w:tc>
          <w:tcPr>
            <w:tcW w:w="1126" w:type="dxa"/>
          </w:tcPr>
          <w:p w14:paraId="5FF7B2EB" w14:textId="77777777" w:rsidR="002C6574" w:rsidRDefault="00000000">
            <w:pPr>
              <w:pStyle w:val="TableParagraph"/>
              <w:spacing w:before="5" w:line="173" w:lineRule="exact"/>
              <w:ind w:right="68"/>
              <w:rPr>
                <w:rFonts w:ascii="Arial"/>
                <w:b/>
                <w:sz w:val="16"/>
              </w:rPr>
            </w:pPr>
            <w:r>
              <w:rPr>
                <w:rFonts w:ascii="Arial"/>
                <w:b/>
                <w:spacing w:val="-2"/>
                <w:sz w:val="16"/>
              </w:rPr>
              <w:t>132.440</w:t>
            </w:r>
          </w:p>
        </w:tc>
        <w:tc>
          <w:tcPr>
            <w:tcW w:w="185" w:type="dxa"/>
          </w:tcPr>
          <w:p w14:paraId="3C97BD15" w14:textId="77777777" w:rsidR="002C6574" w:rsidRDefault="002C6574">
            <w:pPr>
              <w:pStyle w:val="TableParagraph"/>
              <w:jc w:val="left"/>
              <w:rPr>
                <w:rFonts w:ascii="Times New Roman"/>
                <w:sz w:val="12"/>
              </w:rPr>
            </w:pPr>
          </w:p>
        </w:tc>
        <w:tc>
          <w:tcPr>
            <w:tcW w:w="934" w:type="dxa"/>
          </w:tcPr>
          <w:p w14:paraId="243DB50F" w14:textId="77777777" w:rsidR="002C6574" w:rsidRDefault="00000000">
            <w:pPr>
              <w:pStyle w:val="TableParagraph"/>
              <w:spacing w:before="5" w:line="173" w:lineRule="exact"/>
              <w:ind w:right="137"/>
              <w:rPr>
                <w:rFonts w:ascii="Arial MT"/>
                <w:sz w:val="16"/>
              </w:rPr>
            </w:pPr>
            <w:r>
              <w:rPr>
                <w:rFonts w:ascii="Arial MT"/>
                <w:spacing w:val="-2"/>
                <w:sz w:val="16"/>
              </w:rPr>
              <w:t>-100,0%</w:t>
            </w:r>
          </w:p>
        </w:tc>
        <w:tc>
          <w:tcPr>
            <w:tcW w:w="866" w:type="dxa"/>
          </w:tcPr>
          <w:p w14:paraId="6E57BF89" w14:textId="77777777" w:rsidR="002C6574" w:rsidRDefault="00000000">
            <w:pPr>
              <w:pStyle w:val="TableParagraph"/>
              <w:spacing w:before="5" w:line="173" w:lineRule="exact"/>
              <w:ind w:right="67"/>
              <w:rPr>
                <w:rFonts w:ascii="Arial MT"/>
                <w:sz w:val="16"/>
              </w:rPr>
            </w:pPr>
            <w:r>
              <w:rPr>
                <w:rFonts w:ascii="Arial MT"/>
                <w:spacing w:val="-2"/>
                <w:sz w:val="16"/>
              </w:rPr>
              <w:t>-100,0%</w:t>
            </w:r>
          </w:p>
        </w:tc>
      </w:tr>
      <w:tr w:rsidR="002C6574" w14:paraId="14D96203" w14:textId="77777777">
        <w:trPr>
          <w:trHeight w:val="198"/>
        </w:trPr>
        <w:tc>
          <w:tcPr>
            <w:tcW w:w="4938" w:type="dxa"/>
          </w:tcPr>
          <w:p w14:paraId="5BFBE815" w14:textId="77777777" w:rsidR="002C6574" w:rsidRDefault="00000000">
            <w:pPr>
              <w:pStyle w:val="TableParagraph"/>
              <w:spacing w:before="4" w:line="174" w:lineRule="exact"/>
              <w:ind w:left="160"/>
              <w:jc w:val="left"/>
              <w:rPr>
                <w:rFonts w:ascii="Arial"/>
                <w:i/>
                <w:sz w:val="16"/>
              </w:rPr>
            </w:pPr>
            <w:r>
              <w:rPr>
                <w:rFonts w:ascii="Arial"/>
                <w:i/>
                <w:sz w:val="16"/>
              </w:rPr>
              <w:t>Curto</w:t>
            </w:r>
            <w:r>
              <w:rPr>
                <w:rFonts w:ascii="Arial"/>
                <w:i/>
                <w:spacing w:val="-5"/>
                <w:sz w:val="16"/>
              </w:rPr>
              <w:t xml:space="preserve"> </w:t>
            </w:r>
            <w:r>
              <w:rPr>
                <w:rFonts w:ascii="Arial"/>
                <w:i/>
                <w:spacing w:val="-2"/>
                <w:sz w:val="16"/>
              </w:rPr>
              <w:t>Prazo</w:t>
            </w:r>
          </w:p>
        </w:tc>
        <w:tc>
          <w:tcPr>
            <w:tcW w:w="1189" w:type="dxa"/>
            <w:shd w:val="clear" w:color="auto" w:fill="66FFFF"/>
          </w:tcPr>
          <w:p w14:paraId="6A035687" w14:textId="77777777" w:rsidR="002C6574" w:rsidRDefault="00000000">
            <w:pPr>
              <w:pStyle w:val="TableParagraph"/>
              <w:spacing w:before="4" w:line="174" w:lineRule="exact"/>
              <w:ind w:right="67"/>
              <w:rPr>
                <w:rFonts w:ascii="Arial"/>
                <w:i/>
                <w:sz w:val="16"/>
              </w:rPr>
            </w:pPr>
            <w:r>
              <w:rPr>
                <w:rFonts w:ascii="Arial"/>
                <w:i/>
                <w:spacing w:val="-10"/>
                <w:sz w:val="16"/>
              </w:rPr>
              <w:t>-</w:t>
            </w:r>
          </w:p>
        </w:tc>
        <w:tc>
          <w:tcPr>
            <w:tcW w:w="1253" w:type="dxa"/>
          </w:tcPr>
          <w:p w14:paraId="1D1B5E46" w14:textId="77777777" w:rsidR="002C6574" w:rsidRDefault="00000000">
            <w:pPr>
              <w:pStyle w:val="TableParagraph"/>
              <w:spacing w:before="4" w:line="174" w:lineRule="exact"/>
              <w:ind w:right="130"/>
              <w:rPr>
                <w:rFonts w:ascii="Arial"/>
                <w:i/>
                <w:sz w:val="16"/>
              </w:rPr>
            </w:pPr>
            <w:r>
              <w:rPr>
                <w:rFonts w:ascii="Arial"/>
                <w:i/>
                <w:spacing w:val="-2"/>
                <w:sz w:val="16"/>
              </w:rPr>
              <w:t>16.635</w:t>
            </w:r>
          </w:p>
        </w:tc>
        <w:tc>
          <w:tcPr>
            <w:tcW w:w="1126" w:type="dxa"/>
          </w:tcPr>
          <w:p w14:paraId="3DFC661E" w14:textId="77777777" w:rsidR="002C6574" w:rsidRDefault="00000000">
            <w:pPr>
              <w:pStyle w:val="TableParagraph"/>
              <w:spacing w:before="4" w:line="174" w:lineRule="exact"/>
              <w:ind w:right="68"/>
              <w:rPr>
                <w:rFonts w:ascii="Arial"/>
                <w:i/>
                <w:sz w:val="16"/>
              </w:rPr>
            </w:pPr>
            <w:r>
              <w:rPr>
                <w:rFonts w:ascii="Arial"/>
                <w:i/>
                <w:spacing w:val="-2"/>
                <w:sz w:val="16"/>
              </w:rPr>
              <w:t>16.436</w:t>
            </w:r>
          </w:p>
        </w:tc>
        <w:tc>
          <w:tcPr>
            <w:tcW w:w="185" w:type="dxa"/>
          </w:tcPr>
          <w:p w14:paraId="16E659B4" w14:textId="77777777" w:rsidR="002C6574" w:rsidRDefault="002C6574">
            <w:pPr>
              <w:pStyle w:val="TableParagraph"/>
              <w:jc w:val="left"/>
              <w:rPr>
                <w:rFonts w:ascii="Times New Roman"/>
                <w:sz w:val="12"/>
              </w:rPr>
            </w:pPr>
          </w:p>
        </w:tc>
        <w:tc>
          <w:tcPr>
            <w:tcW w:w="934" w:type="dxa"/>
          </w:tcPr>
          <w:p w14:paraId="1E0C08D6" w14:textId="77777777" w:rsidR="002C6574" w:rsidRDefault="00000000">
            <w:pPr>
              <w:pStyle w:val="TableParagraph"/>
              <w:spacing w:before="4" w:line="174" w:lineRule="exact"/>
              <w:ind w:right="137"/>
              <w:rPr>
                <w:rFonts w:ascii="Arial"/>
                <w:i/>
                <w:sz w:val="16"/>
              </w:rPr>
            </w:pPr>
            <w:r>
              <w:rPr>
                <w:rFonts w:ascii="Arial"/>
                <w:i/>
                <w:spacing w:val="-2"/>
                <w:sz w:val="16"/>
              </w:rPr>
              <w:t>-100,0%</w:t>
            </w:r>
          </w:p>
        </w:tc>
        <w:tc>
          <w:tcPr>
            <w:tcW w:w="866" w:type="dxa"/>
          </w:tcPr>
          <w:p w14:paraId="4EBBC74B" w14:textId="77777777" w:rsidR="002C6574" w:rsidRDefault="00000000">
            <w:pPr>
              <w:pStyle w:val="TableParagraph"/>
              <w:spacing w:before="4" w:line="174" w:lineRule="exact"/>
              <w:ind w:right="67"/>
              <w:rPr>
                <w:rFonts w:ascii="Arial"/>
                <w:i/>
                <w:sz w:val="16"/>
              </w:rPr>
            </w:pPr>
            <w:r>
              <w:rPr>
                <w:rFonts w:ascii="Arial"/>
                <w:i/>
                <w:spacing w:val="-2"/>
                <w:sz w:val="16"/>
              </w:rPr>
              <w:t>-100,0%</w:t>
            </w:r>
          </w:p>
        </w:tc>
      </w:tr>
      <w:tr w:rsidR="002C6574" w14:paraId="15AC28C3" w14:textId="77777777">
        <w:trPr>
          <w:trHeight w:val="196"/>
        </w:trPr>
        <w:tc>
          <w:tcPr>
            <w:tcW w:w="4938" w:type="dxa"/>
          </w:tcPr>
          <w:p w14:paraId="7291D7CA" w14:textId="77777777" w:rsidR="002C6574" w:rsidRDefault="00000000">
            <w:pPr>
              <w:pStyle w:val="TableParagraph"/>
              <w:spacing w:before="5" w:line="171" w:lineRule="exact"/>
              <w:ind w:left="160"/>
              <w:jc w:val="left"/>
              <w:rPr>
                <w:rFonts w:ascii="Arial"/>
                <w:i/>
                <w:sz w:val="16"/>
              </w:rPr>
            </w:pPr>
            <w:r>
              <w:rPr>
                <w:rFonts w:ascii="Arial"/>
                <w:i/>
                <w:sz w:val="16"/>
              </w:rPr>
              <w:t>Longo</w:t>
            </w:r>
            <w:r>
              <w:rPr>
                <w:rFonts w:ascii="Arial"/>
                <w:i/>
                <w:spacing w:val="-6"/>
                <w:sz w:val="16"/>
              </w:rPr>
              <w:t xml:space="preserve"> </w:t>
            </w:r>
            <w:r>
              <w:rPr>
                <w:rFonts w:ascii="Arial"/>
                <w:i/>
                <w:spacing w:val="-4"/>
                <w:sz w:val="16"/>
              </w:rPr>
              <w:t>Prazo</w:t>
            </w:r>
          </w:p>
        </w:tc>
        <w:tc>
          <w:tcPr>
            <w:tcW w:w="1189" w:type="dxa"/>
            <w:shd w:val="clear" w:color="auto" w:fill="66FFFF"/>
          </w:tcPr>
          <w:p w14:paraId="60106441" w14:textId="77777777" w:rsidR="002C6574" w:rsidRDefault="00000000">
            <w:pPr>
              <w:pStyle w:val="TableParagraph"/>
              <w:spacing w:before="5" w:line="171" w:lineRule="exact"/>
              <w:ind w:right="67"/>
              <w:rPr>
                <w:rFonts w:ascii="Arial"/>
                <w:i/>
                <w:sz w:val="16"/>
              </w:rPr>
            </w:pPr>
            <w:r>
              <w:rPr>
                <w:rFonts w:ascii="Arial"/>
                <w:i/>
                <w:spacing w:val="-10"/>
                <w:sz w:val="16"/>
              </w:rPr>
              <w:t>-</w:t>
            </w:r>
          </w:p>
        </w:tc>
        <w:tc>
          <w:tcPr>
            <w:tcW w:w="1253" w:type="dxa"/>
          </w:tcPr>
          <w:p w14:paraId="6FE305D3" w14:textId="77777777" w:rsidR="002C6574" w:rsidRDefault="00000000">
            <w:pPr>
              <w:pStyle w:val="TableParagraph"/>
              <w:spacing w:before="5" w:line="171" w:lineRule="exact"/>
              <w:ind w:right="130"/>
              <w:rPr>
                <w:rFonts w:ascii="Arial"/>
                <w:i/>
                <w:sz w:val="16"/>
              </w:rPr>
            </w:pPr>
            <w:r>
              <w:rPr>
                <w:rFonts w:ascii="Arial"/>
                <w:i/>
                <w:spacing w:val="-2"/>
                <w:sz w:val="16"/>
              </w:rPr>
              <w:t>102.247</w:t>
            </w:r>
          </w:p>
        </w:tc>
        <w:tc>
          <w:tcPr>
            <w:tcW w:w="1126" w:type="dxa"/>
          </w:tcPr>
          <w:p w14:paraId="73636549" w14:textId="77777777" w:rsidR="002C6574" w:rsidRDefault="00000000">
            <w:pPr>
              <w:pStyle w:val="TableParagraph"/>
              <w:spacing w:before="5" w:line="171" w:lineRule="exact"/>
              <w:ind w:right="68"/>
              <w:rPr>
                <w:rFonts w:ascii="Arial"/>
                <w:i/>
                <w:sz w:val="16"/>
              </w:rPr>
            </w:pPr>
            <w:r>
              <w:rPr>
                <w:rFonts w:ascii="Arial"/>
                <w:i/>
                <w:spacing w:val="-2"/>
                <w:sz w:val="16"/>
              </w:rPr>
              <w:t>116.004</w:t>
            </w:r>
          </w:p>
        </w:tc>
        <w:tc>
          <w:tcPr>
            <w:tcW w:w="185" w:type="dxa"/>
          </w:tcPr>
          <w:p w14:paraId="4731A89D" w14:textId="77777777" w:rsidR="002C6574" w:rsidRDefault="002C6574">
            <w:pPr>
              <w:pStyle w:val="TableParagraph"/>
              <w:jc w:val="left"/>
              <w:rPr>
                <w:rFonts w:ascii="Times New Roman"/>
                <w:sz w:val="12"/>
              </w:rPr>
            </w:pPr>
          </w:p>
        </w:tc>
        <w:tc>
          <w:tcPr>
            <w:tcW w:w="934" w:type="dxa"/>
          </w:tcPr>
          <w:p w14:paraId="571E7C0E" w14:textId="77777777" w:rsidR="002C6574" w:rsidRDefault="00000000">
            <w:pPr>
              <w:pStyle w:val="TableParagraph"/>
              <w:spacing w:before="5" w:line="171" w:lineRule="exact"/>
              <w:ind w:right="137"/>
              <w:rPr>
                <w:rFonts w:ascii="Arial"/>
                <w:i/>
                <w:sz w:val="16"/>
              </w:rPr>
            </w:pPr>
            <w:r>
              <w:rPr>
                <w:rFonts w:ascii="Arial"/>
                <w:i/>
                <w:spacing w:val="-2"/>
                <w:sz w:val="16"/>
              </w:rPr>
              <w:t>-100,0%</w:t>
            </w:r>
          </w:p>
        </w:tc>
        <w:tc>
          <w:tcPr>
            <w:tcW w:w="866" w:type="dxa"/>
          </w:tcPr>
          <w:p w14:paraId="478A09F0" w14:textId="77777777" w:rsidR="002C6574" w:rsidRDefault="00000000">
            <w:pPr>
              <w:pStyle w:val="TableParagraph"/>
              <w:spacing w:before="5" w:line="171" w:lineRule="exact"/>
              <w:ind w:right="67"/>
              <w:rPr>
                <w:rFonts w:ascii="Arial"/>
                <w:i/>
                <w:sz w:val="16"/>
              </w:rPr>
            </w:pPr>
            <w:r>
              <w:rPr>
                <w:rFonts w:ascii="Arial"/>
                <w:i/>
                <w:spacing w:val="-2"/>
                <w:sz w:val="16"/>
              </w:rPr>
              <w:t>-100,0%</w:t>
            </w:r>
          </w:p>
        </w:tc>
      </w:tr>
      <w:tr w:rsidR="002C6574" w14:paraId="0E01F04A" w14:textId="77777777">
        <w:trPr>
          <w:trHeight w:val="196"/>
        </w:trPr>
        <w:tc>
          <w:tcPr>
            <w:tcW w:w="4938" w:type="dxa"/>
            <w:shd w:val="clear" w:color="auto" w:fill="0000FF"/>
          </w:tcPr>
          <w:p w14:paraId="08A47BE3" w14:textId="77777777" w:rsidR="002C6574" w:rsidRDefault="00000000">
            <w:pPr>
              <w:pStyle w:val="TableParagraph"/>
              <w:spacing w:before="6" w:line="171" w:lineRule="exact"/>
              <w:ind w:left="69"/>
              <w:jc w:val="left"/>
              <w:rPr>
                <w:rFonts w:ascii="Arial" w:hAnsi="Arial"/>
                <w:b/>
                <w:sz w:val="16"/>
              </w:rPr>
            </w:pPr>
            <w:r>
              <w:rPr>
                <w:rFonts w:ascii="Arial" w:hAnsi="Arial"/>
                <w:b/>
                <w:color w:val="FFFFFF"/>
                <w:sz w:val="16"/>
              </w:rPr>
              <w:t>Dívida</w:t>
            </w:r>
            <w:r>
              <w:rPr>
                <w:rFonts w:ascii="Arial" w:hAnsi="Arial"/>
                <w:b/>
                <w:color w:val="FFFFFF"/>
                <w:spacing w:val="-5"/>
                <w:sz w:val="16"/>
              </w:rPr>
              <w:t xml:space="preserve"> </w:t>
            </w:r>
            <w:r>
              <w:rPr>
                <w:rFonts w:ascii="Arial" w:hAnsi="Arial"/>
                <w:b/>
                <w:color w:val="FFFFFF"/>
                <w:spacing w:val="-2"/>
                <w:sz w:val="16"/>
              </w:rPr>
              <w:t>Bruta</w:t>
            </w:r>
          </w:p>
        </w:tc>
        <w:tc>
          <w:tcPr>
            <w:tcW w:w="1189" w:type="dxa"/>
            <w:shd w:val="clear" w:color="auto" w:fill="0000FF"/>
          </w:tcPr>
          <w:p w14:paraId="29316C0A" w14:textId="77777777" w:rsidR="002C6574" w:rsidRDefault="00000000">
            <w:pPr>
              <w:pStyle w:val="TableParagraph"/>
              <w:spacing w:before="6" w:line="171" w:lineRule="exact"/>
              <w:ind w:right="68"/>
              <w:rPr>
                <w:rFonts w:ascii="Arial"/>
                <w:b/>
                <w:sz w:val="16"/>
              </w:rPr>
            </w:pPr>
            <w:r>
              <w:rPr>
                <w:rFonts w:ascii="Arial"/>
                <w:b/>
                <w:color w:val="FFFFFF"/>
                <w:spacing w:val="-2"/>
                <w:sz w:val="16"/>
              </w:rPr>
              <w:t>19.879</w:t>
            </w:r>
          </w:p>
        </w:tc>
        <w:tc>
          <w:tcPr>
            <w:tcW w:w="1253" w:type="dxa"/>
            <w:shd w:val="clear" w:color="auto" w:fill="0000FF"/>
          </w:tcPr>
          <w:p w14:paraId="680A746D" w14:textId="77777777" w:rsidR="002C6574" w:rsidRDefault="00000000">
            <w:pPr>
              <w:pStyle w:val="TableParagraph"/>
              <w:spacing w:before="6" w:line="171" w:lineRule="exact"/>
              <w:ind w:right="130"/>
              <w:rPr>
                <w:rFonts w:ascii="Arial"/>
                <w:b/>
                <w:sz w:val="16"/>
              </w:rPr>
            </w:pPr>
            <w:r>
              <w:rPr>
                <w:rFonts w:ascii="Arial"/>
                <w:b/>
                <w:color w:val="FFFFFF"/>
                <w:spacing w:val="-2"/>
                <w:sz w:val="16"/>
              </w:rPr>
              <w:t>174.605</w:t>
            </w:r>
          </w:p>
        </w:tc>
        <w:tc>
          <w:tcPr>
            <w:tcW w:w="1126" w:type="dxa"/>
            <w:shd w:val="clear" w:color="auto" w:fill="0000FF"/>
          </w:tcPr>
          <w:p w14:paraId="74216DA9" w14:textId="77777777" w:rsidR="002C6574" w:rsidRDefault="00000000">
            <w:pPr>
              <w:pStyle w:val="TableParagraph"/>
              <w:spacing w:before="6" w:line="171" w:lineRule="exact"/>
              <w:ind w:right="68"/>
              <w:rPr>
                <w:rFonts w:ascii="Arial"/>
                <w:b/>
                <w:sz w:val="16"/>
              </w:rPr>
            </w:pPr>
            <w:r>
              <w:rPr>
                <w:rFonts w:ascii="Arial"/>
                <w:b/>
                <w:color w:val="FFFFFF"/>
                <w:spacing w:val="-2"/>
                <w:sz w:val="16"/>
              </w:rPr>
              <w:t>237.163</w:t>
            </w:r>
          </w:p>
        </w:tc>
        <w:tc>
          <w:tcPr>
            <w:tcW w:w="185" w:type="dxa"/>
          </w:tcPr>
          <w:p w14:paraId="4178D418" w14:textId="77777777" w:rsidR="002C6574" w:rsidRDefault="002C6574">
            <w:pPr>
              <w:pStyle w:val="TableParagraph"/>
              <w:jc w:val="left"/>
              <w:rPr>
                <w:rFonts w:ascii="Times New Roman"/>
                <w:sz w:val="12"/>
              </w:rPr>
            </w:pPr>
          </w:p>
        </w:tc>
        <w:tc>
          <w:tcPr>
            <w:tcW w:w="934" w:type="dxa"/>
            <w:shd w:val="clear" w:color="auto" w:fill="0000FF"/>
          </w:tcPr>
          <w:p w14:paraId="536D858B" w14:textId="77777777" w:rsidR="002C6574" w:rsidRDefault="00000000">
            <w:pPr>
              <w:pStyle w:val="TableParagraph"/>
              <w:spacing w:before="6" w:line="171" w:lineRule="exact"/>
              <w:ind w:right="137"/>
              <w:rPr>
                <w:rFonts w:ascii="Arial"/>
                <w:b/>
                <w:sz w:val="16"/>
              </w:rPr>
            </w:pPr>
            <w:r>
              <w:rPr>
                <w:rFonts w:ascii="Arial"/>
                <w:b/>
                <w:color w:val="FFFFFF"/>
                <w:spacing w:val="-2"/>
                <w:sz w:val="16"/>
              </w:rPr>
              <w:t>-88,6%</w:t>
            </w:r>
          </w:p>
        </w:tc>
        <w:tc>
          <w:tcPr>
            <w:tcW w:w="866" w:type="dxa"/>
            <w:shd w:val="clear" w:color="auto" w:fill="0000FF"/>
          </w:tcPr>
          <w:p w14:paraId="2BA903C2" w14:textId="77777777" w:rsidR="002C6574" w:rsidRDefault="00000000">
            <w:pPr>
              <w:pStyle w:val="TableParagraph"/>
              <w:spacing w:before="6" w:line="171" w:lineRule="exact"/>
              <w:ind w:right="67"/>
              <w:rPr>
                <w:rFonts w:ascii="Arial"/>
                <w:b/>
                <w:sz w:val="16"/>
              </w:rPr>
            </w:pPr>
            <w:r>
              <w:rPr>
                <w:rFonts w:ascii="Arial"/>
                <w:b/>
                <w:color w:val="FFFFFF"/>
                <w:spacing w:val="-2"/>
                <w:sz w:val="16"/>
              </w:rPr>
              <w:t>-91,6%</w:t>
            </w:r>
          </w:p>
        </w:tc>
      </w:tr>
      <w:tr w:rsidR="002C6574" w14:paraId="7AB20615" w14:textId="77777777">
        <w:trPr>
          <w:trHeight w:val="201"/>
        </w:trPr>
        <w:tc>
          <w:tcPr>
            <w:tcW w:w="4938" w:type="dxa"/>
          </w:tcPr>
          <w:p w14:paraId="7B6BECF1" w14:textId="77777777" w:rsidR="002C6574" w:rsidRDefault="00000000">
            <w:pPr>
              <w:pStyle w:val="TableParagraph"/>
              <w:spacing w:before="8" w:line="173" w:lineRule="exact"/>
              <w:ind w:left="69"/>
              <w:jc w:val="left"/>
              <w:rPr>
                <w:rFonts w:ascii="Arial MT" w:hAnsi="Arial MT"/>
                <w:sz w:val="16"/>
              </w:rPr>
            </w:pPr>
            <w:r>
              <w:rPr>
                <w:rFonts w:ascii="Arial MT" w:hAnsi="Arial MT"/>
                <w:sz w:val="16"/>
              </w:rPr>
              <w:t>(-)</w:t>
            </w:r>
            <w:r>
              <w:rPr>
                <w:rFonts w:ascii="Arial MT" w:hAnsi="Arial MT"/>
                <w:spacing w:val="-6"/>
                <w:sz w:val="16"/>
              </w:rPr>
              <w:t xml:space="preserve"> </w:t>
            </w:r>
            <w:r>
              <w:rPr>
                <w:rFonts w:ascii="Arial MT" w:hAnsi="Arial MT"/>
                <w:sz w:val="16"/>
              </w:rPr>
              <w:t>Aplicações</w:t>
            </w:r>
            <w:r>
              <w:rPr>
                <w:rFonts w:ascii="Arial MT" w:hAnsi="Arial MT"/>
                <w:spacing w:val="-7"/>
                <w:sz w:val="16"/>
              </w:rPr>
              <w:t xml:space="preserve"> </w:t>
            </w:r>
            <w:r>
              <w:rPr>
                <w:rFonts w:ascii="Arial MT" w:hAnsi="Arial MT"/>
                <w:sz w:val="16"/>
              </w:rPr>
              <w:t>Financeiras</w:t>
            </w:r>
            <w:r>
              <w:rPr>
                <w:rFonts w:ascii="Arial MT" w:hAnsi="Arial MT"/>
                <w:spacing w:val="-5"/>
                <w:sz w:val="16"/>
              </w:rPr>
              <w:t xml:space="preserve"> </w:t>
            </w:r>
            <w:r>
              <w:rPr>
                <w:rFonts w:ascii="Arial MT" w:hAnsi="Arial MT"/>
                <w:sz w:val="16"/>
              </w:rPr>
              <w:t>-</w:t>
            </w:r>
            <w:r>
              <w:rPr>
                <w:rFonts w:ascii="Arial MT" w:hAnsi="Arial MT"/>
                <w:spacing w:val="-5"/>
                <w:sz w:val="16"/>
              </w:rPr>
              <w:t xml:space="preserve"> </w:t>
            </w:r>
            <w:r>
              <w:rPr>
                <w:rFonts w:ascii="Arial MT" w:hAnsi="Arial MT"/>
                <w:spacing w:val="-2"/>
                <w:sz w:val="16"/>
              </w:rPr>
              <w:t>(Garantias)</w:t>
            </w:r>
          </w:p>
        </w:tc>
        <w:tc>
          <w:tcPr>
            <w:tcW w:w="1189" w:type="dxa"/>
            <w:shd w:val="clear" w:color="auto" w:fill="66FFFF"/>
          </w:tcPr>
          <w:p w14:paraId="766DE43D" w14:textId="77777777" w:rsidR="002C6574" w:rsidRDefault="00000000">
            <w:pPr>
              <w:pStyle w:val="TableParagraph"/>
              <w:spacing w:before="8" w:line="173" w:lineRule="exact"/>
              <w:ind w:right="68"/>
              <w:rPr>
                <w:rFonts w:ascii="Arial MT"/>
                <w:sz w:val="16"/>
              </w:rPr>
            </w:pPr>
            <w:r>
              <w:rPr>
                <w:rFonts w:ascii="Arial MT"/>
                <w:spacing w:val="-2"/>
                <w:sz w:val="16"/>
              </w:rPr>
              <w:t>50.665</w:t>
            </w:r>
          </w:p>
        </w:tc>
        <w:tc>
          <w:tcPr>
            <w:tcW w:w="1253" w:type="dxa"/>
          </w:tcPr>
          <w:p w14:paraId="70DA00C0" w14:textId="77777777" w:rsidR="002C6574" w:rsidRDefault="00000000">
            <w:pPr>
              <w:pStyle w:val="TableParagraph"/>
              <w:spacing w:before="8" w:line="173" w:lineRule="exact"/>
              <w:ind w:right="130"/>
              <w:rPr>
                <w:rFonts w:ascii="Arial MT"/>
                <w:sz w:val="16"/>
              </w:rPr>
            </w:pPr>
            <w:r>
              <w:rPr>
                <w:rFonts w:ascii="Arial MT"/>
                <w:spacing w:val="-2"/>
                <w:sz w:val="16"/>
              </w:rPr>
              <w:t>84.313</w:t>
            </w:r>
          </w:p>
        </w:tc>
        <w:tc>
          <w:tcPr>
            <w:tcW w:w="1126" w:type="dxa"/>
          </w:tcPr>
          <w:p w14:paraId="765BCB0B" w14:textId="77777777" w:rsidR="002C6574" w:rsidRDefault="00000000">
            <w:pPr>
              <w:pStyle w:val="TableParagraph"/>
              <w:spacing w:before="8" w:line="173" w:lineRule="exact"/>
              <w:ind w:right="68"/>
              <w:rPr>
                <w:rFonts w:ascii="Arial MT"/>
                <w:sz w:val="16"/>
              </w:rPr>
            </w:pPr>
            <w:r>
              <w:rPr>
                <w:rFonts w:ascii="Arial MT"/>
                <w:spacing w:val="-2"/>
                <w:sz w:val="16"/>
              </w:rPr>
              <w:t>77.976</w:t>
            </w:r>
          </w:p>
        </w:tc>
        <w:tc>
          <w:tcPr>
            <w:tcW w:w="185" w:type="dxa"/>
          </w:tcPr>
          <w:p w14:paraId="3A896A98" w14:textId="77777777" w:rsidR="002C6574" w:rsidRDefault="002C6574">
            <w:pPr>
              <w:pStyle w:val="TableParagraph"/>
              <w:jc w:val="left"/>
              <w:rPr>
                <w:rFonts w:ascii="Times New Roman"/>
                <w:sz w:val="14"/>
              </w:rPr>
            </w:pPr>
          </w:p>
        </w:tc>
        <w:tc>
          <w:tcPr>
            <w:tcW w:w="934" w:type="dxa"/>
          </w:tcPr>
          <w:p w14:paraId="44CB1DF6" w14:textId="77777777" w:rsidR="002C6574" w:rsidRDefault="00000000">
            <w:pPr>
              <w:pStyle w:val="TableParagraph"/>
              <w:spacing w:before="8" w:line="173" w:lineRule="exact"/>
              <w:ind w:right="137"/>
              <w:rPr>
                <w:rFonts w:ascii="Arial MT"/>
                <w:sz w:val="16"/>
              </w:rPr>
            </w:pPr>
            <w:r>
              <w:rPr>
                <w:rFonts w:ascii="Arial MT"/>
                <w:spacing w:val="-2"/>
                <w:sz w:val="16"/>
              </w:rPr>
              <w:t>-39,9%</w:t>
            </w:r>
          </w:p>
        </w:tc>
        <w:tc>
          <w:tcPr>
            <w:tcW w:w="866" w:type="dxa"/>
          </w:tcPr>
          <w:p w14:paraId="3F4950EA" w14:textId="77777777" w:rsidR="002C6574" w:rsidRDefault="00000000">
            <w:pPr>
              <w:pStyle w:val="TableParagraph"/>
              <w:spacing w:before="8" w:line="173" w:lineRule="exact"/>
              <w:ind w:right="67"/>
              <w:rPr>
                <w:rFonts w:ascii="Arial MT"/>
                <w:sz w:val="16"/>
              </w:rPr>
            </w:pPr>
            <w:r>
              <w:rPr>
                <w:rFonts w:ascii="Arial MT"/>
                <w:spacing w:val="-2"/>
                <w:sz w:val="16"/>
              </w:rPr>
              <w:t>-35,0%</w:t>
            </w:r>
          </w:p>
        </w:tc>
      </w:tr>
      <w:tr w:rsidR="002C6574" w14:paraId="06804493" w14:textId="77777777">
        <w:trPr>
          <w:trHeight w:val="194"/>
        </w:trPr>
        <w:tc>
          <w:tcPr>
            <w:tcW w:w="4938" w:type="dxa"/>
          </w:tcPr>
          <w:p w14:paraId="1AA0551C" w14:textId="77777777" w:rsidR="002C6574" w:rsidRDefault="00000000">
            <w:pPr>
              <w:pStyle w:val="TableParagraph"/>
              <w:spacing w:before="4" w:line="171" w:lineRule="exact"/>
              <w:ind w:left="69"/>
              <w:jc w:val="left"/>
              <w:rPr>
                <w:rFonts w:ascii="Arial MT" w:hAnsi="Arial MT"/>
                <w:sz w:val="16"/>
              </w:rPr>
            </w:pPr>
            <w:r>
              <w:rPr>
                <w:rFonts w:ascii="Arial MT" w:hAnsi="Arial MT"/>
                <w:sz w:val="16"/>
              </w:rPr>
              <w:t>(-)</w:t>
            </w:r>
            <w:r>
              <w:rPr>
                <w:rFonts w:ascii="Arial MT" w:hAnsi="Arial MT"/>
                <w:spacing w:val="-2"/>
                <w:sz w:val="16"/>
              </w:rPr>
              <w:t xml:space="preserve"> </w:t>
            </w:r>
            <w:r>
              <w:rPr>
                <w:rFonts w:ascii="Arial MT" w:hAnsi="Arial MT"/>
                <w:sz w:val="16"/>
              </w:rPr>
              <w:t>Caixa</w:t>
            </w:r>
            <w:r>
              <w:rPr>
                <w:rFonts w:ascii="Arial MT" w:hAnsi="Arial MT"/>
                <w:spacing w:val="-1"/>
                <w:sz w:val="16"/>
              </w:rPr>
              <w:t xml:space="preserve"> </w:t>
            </w:r>
            <w:r>
              <w:rPr>
                <w:rFonts w:ascii="Arial MT" w:hAnsi="Arial MT"/>
                <w:spacing w:val="-2"/>
                <w:sz w:val="16"/>
              </w:rPr>
              <w:t>Disponíve</w:t>
            </w:r>
            <w:hyperlink w:anchor="_bookmark20" w:history="1">
              <w:r>
                <w:rPr>
                  <w:rFonts w:ascii="Arial MT" w:hAnsi="Arial MT"/>
                  <w:spacing w:val="-2"/>
                  <w:sz w:val="16"/>
                </w:rPr>
                <w:t>l</w:t>
              </w:r>
              <w:r>
                <w:rPr>
                  <w:rFonts w:ascii="Arial MT" w:hAnsi="Arial MT"/>
                  <w:spacing w:val="-2"/>
                  <w:sz w:val="16"/>
                  <w:vertAlign w:val="superscript"/>
                </w:rPr>
                <w:t>9</w:t>
              </w:r>
            </w:hyperlink>
          </w:p>
        </w:tc>
        <w:tc>
          <w:tcPr>
            <w:tcW w:w="1189" w:type="dxa"/>
            <w:shd w:val="clear" w:color="auto" w:fill="66FFFF"/>
          </w:tcPr>
          <w:p w14:paraId="13EDC1DB" w14:textId="77777777" w:rsidR="002C6574" w:rsidRDefault="00000000">
            <w:pPr>
              <w:pStyle w:val="TableParagraph"/>
              <w:spacing w:before="4" w:line="171" w:lineRule="exact"/>
              <w:ind w:right="68"/>
              <w:rPr>
                <w:rFonts w:ascii="Arial MT"/>
                <w:sz w:val="16"/>
              </w:rPr>
            </w:pPr>
            <w:r>
              <w:rPr>
                <w:rFonts w:ascii="Arial MT"/>
                <w:spacing w:val="-2"/>
                <w:sz w:val="16"/>
              </w:rPr>
              <w:t>509.231</w:t>
            </w:r>
          </w:p>
        </w:tc>
        <w:tc>
          <w:tcPr>
            <w:tcW w:w="1253" w:type="dxa"/>
          </w:tcPr>
          <w:p w14:paraId="2332A841" w14:textId="77777777" w:rsidR="002C6574" w:rsidRDefault="00000000">
            <w:pPr>
              <w:pStyle w:val="TableParagraph"/>
              <w:spacing w:before="4" w:line="171" w:lineRule="exact"/>
              <w:ind w:right="130"/>
              <w:rPr>
                <w:rFonts w:ascii="Arial MT"/>
                <w:sz w:val="16"/>
              </w:rPr>
            </w:pPr>
            <w:r>
              <w:rPr>
                <w:rFonts w:ascii="Arial MT"/>
                <w:spacing w:val="-2"/>
                <w:sz w:val="16"/>
              </w:rPr>
              <w:t>330.095</w:t>
            </w:r>
          </w:p>
        </w:tc>
        <w:tc>
          <w:tcPr>
            <w:tcW w:w="1126" w:type="dxa"/>
          </w:tcPr>
          <w:p w14:paraId="696D9A35" w14:textId="77777777" w:rsidR="002C6574" w:rsidRDefault="00000000">
            <w:pPr>
              <w:pStyle w:val="TableParagraph"/>
              <w:spacing w:before="4" w:line="171" w:lineRule="exact"/>
              <w:ind w:right="68"/>
              <w:rPr>
                <w:rFonts w:ascii="Arial MT"/>
                <w:sz w:val="16"/>
              </w:rPr>
            </w:pPr>
            <w:r>
              <w:rPr>
                <w:rFonts w:ascii="Arial MT"/>
                <w:spacing w:val="-2"/>
                <w:sz w:val="16"/>
              </w:rPr>
              <w:t>311.305</w:t>
            </w:r>
          </w:p>
        </w:tc>
        <w:tc>
          <w:tcPr>
            <w:tcW w:w="185" w:type="dxa"/>
          </w:tcPr>
          <w:p w14:paraId="2CC1BFDE" w14:textId="77777777" w:rsidR="002C6574" w:rsidRDefault="002C6574">
            <w:pPr>
              <w:pStyle w:val="TableParagraph"/>
              <w:jc w:val="left"/>
              <w:rPr>
                <w:rFonts w:ascii="Times New Roman"/>
                <w:sz w:val="12"/>
              </w:rPr>
            </w:pPr>
          </w:p>
        </w:tc>
        <w:tc>
          <w:tcPr>
            <w:tcW w:w="934" w:type="dxa"/>
          </w:tcPr>
          <w:p w14:paraId="1FEA6E9C" w14:textId="77777777" w:rsidR="002C6574" w:rsidRDefault="00000000">
            <w:pPr>
              <w:pStyle w:val="TableParagraph"/>
              <w:spacing w:before="4" w:line="171" w:lineRule="exact"/>
              <w:ind w:right="137"/>
              <w:rPr>
                <w:rFonts w:ascii="Arial MT"/>
                <w:sz w:val="16"/>
              </w:rPr>
            </w:pPr>
            <w:r>
              <w:rPr>
                <w:rFonts w:ascii="Arial MT"/>
                <w:spacing w:val="-2"/>
                <w:sz w:val="16"/>
              </w:rPr>
              <w:t>54,3%</w:t>
            </w:r>
          </w:p>
        </w:tc>
        <w:tc>
          <w:tcPr>
            <w:tcW w:w="866" w:type="dxa"/>
          </w:tcPr>
          <w:p w14:paraId="7FA20AAB" w14:textId="77777777" w:rsidR="002C6574" w:rsidRDefault="00000000">
            <w:pPr>
              <w:pStyle w:val="TableParagraph"/>
              <w:spacing w:before="4" w:line="171" w:lineRule="exact"/>
              <w:ind w:right="67"/>
              <w:rPr>
                <w:rFonts w:ascii="Arial MT"/>
                <w:sz w:val="16"/>
              </w:rPr>
            </w:pPr>
            <w:r>
              <w:rPr>
                <w:rFonts w:ascii="Arial MT"/>
                <w:spacing w:val="-2"/>
                <w:sz w:val="16"/>
              </w:rPr>
              <w:t>63,6%</w:t>
            </w:r>
          </w:p>
        </w:tc>
      </w:tr>
      <w:tr w:rsidR="002C6574" w14:paraId="715A63C3" w14:textId="77777777">
        <w:trPr>
          <w:trHeight w:val="201"/>
        </w:trPr>
        <w:tc>
          <w:tcPr>
            <w:tcW w:w="4938" w:type="dxa"/>
            <w:shd w:val="clear" w:color="auto" w:fill="0000FF"/>
          </w:tcPr>
          <w:p w14:paraId="01D37806" w14:textId="77777777" w:rsidR="002C6574" w:rsidRDefault="00000000">
            <w:pPr>
              <w:pStyle w:val="TableParagraph"/>
              <w:spacing w:before="8" w:line="173" w:lineRule="exact"/>
              <w:ind w:left="69"/>
              <w:jc w:val="left"/>
              <w:rPr>
                <w:rFonts w:ascii="Arial" w:hAnsi="Arial"/>
                <w:b/>
                <w:sz w:val="16"/>
              </w:rPr>
            </w:pPr>
            <w:r>
              <w:rPr>
                <w:rFonts w:ascii="Arial" w:hAnsi="Arial"/>
                <w:b/>
                <w:color w:val="FFFFFF"/>
                <w:sz w:val="16"/>
              </w:rPr>
              <w:t>Dívida</w:t>
            </w:r>
            <w:r>
              <w:rPr>
                <w:rFonts w:ascii="Arial" w:hAnsi="Arial"/>
                <w:b/>
                <w:color w:val="FFFFFF"/>
                <w:spacing w:val="-5"/>
                <w:sz w:val="16"/>
              </w:rPr>
              <w:t xml:space="preserve"> </w:t>
            </w:r>
            <w:r>
              <w:rPr>
                <w:rFonts w:ascii="Arial" w:hAnsi="Arial"/>
                <w:b/>
                <w:color w:val="FFFFFF"/>
                <w:spacing w:val="-2"/>
                <w:sz w:val="16"/>
              </w:rPr>
              <w:t>Líquida</w:t>
            </w:r>
          </w:p>
        </w:tc>
        <w:tc>
          <w:tcPr>
            <w:tcW w:w="1189" w:type="dxa"/>
            <w:shd w:val="clear" w:color="auto" w:fill="0000FF"/>
          </w:tcPr>
          <w:p w14:paraId="28B02FA2" w14:textId="77777777" w:rsidR="002C6574" w:rsidRDefault="00000000">
            <w:pPr>
              <w:pStyle w:val="TableParagraph"/>
              <w:spacing w:before="8" w:line="173" w:lineRule="exact"/>
              <w:ind w:right="65"/>
              <w:rPr>
                <w:rFonts w:ascii="Arial"/>
                <w:b/>
                <w:sz w:val="16"/>
              </w:rPr>
            </w:pPr>
            <w:r>
              <w:rPr>
                <w:rFonts w:ascii="Arial"/>
                <w:b/>
                <w:color w:val="FFFFFF"/>
                <w:spacing w:val="-2"/>
                <w:sz w:val="16"/>
              </w:rPr>
              <w:t>(540.017)</w:t>
            </w:r>
          </w:p>
        </w:tc>
        <w:tc>
          <w:tcPr>
            <w:tcW w:w="1253" w:type="dxa"/>
            <w:shd w:val="clear" w:color="auto" w:fill="0000FF"/>
          </w:tcPr>
          <w:p w14:paraId="0A202F33" w14:textId="77777777" w:rsidR="002C6574" w:rsidRDefault="00000000">
            <w:pPr>
              <w:pStyle w:val="TableParagraph"/>
              <w:spacing w:before="8" w:line="173" w:lineRule="exact"/>
              <w:ind w:right="128"/>
              <w:rPr>
                <w:rFonts w:ascii="Arial"/>
                <w:b/>
                <w:sz w:val="16"/>
              </w:rPr>
            </w:pPr>
            <w:r>
              <w:rPr>
                <w:rFonts w:ascii="Arial"/>
                <w:b/>
                <w:color w:val="FFFFFF"/>
                <w:spacing w:val="-2"/>
                <w:sz w:val="16"/>
              </w:rPr>
              <w:t>(239.803)</w:t>
            </w:r>
          </w:p>
        </w:tc>
        <w:tc>
          <w:tcPr>
            <w:tcW w:w="1126" w:type="dxa"/>
            <w:shd w:val="clear" w:color="auto" w:fill="0000FF"/>
          </w:tcPr>
          <w:p w14:paraId="0FBF7DBD" w14:textId="77777777" w:rsidR="002C6574" w:rsidRDefault="00000000">
            <w:pPr>
              <w:pStyle w:val="TableParagraph"/>
              <w:spacing w:before="8" w:line="173" w:lineRule="exact"/>
              <w:ind w:right="66"/>
              <w:rPr>
                <w:rFonts w:ascii="Arial"/>
                <w:b/>
                <w:sz w:val="16"/>
              </w:rPr>
            </w:pPr>
            <w:r>
              <w:rPr>
                <w:rFonts w:ascii="Arial"/>
                <w:b/>
                <w:color w:val="FFFFFF"/>
                <w:spacing w:val="-2"/>
                <w:sz w:val="16"/>
              </w:rPr>
              <w:t>(152.118)</w:t>
            </w:r>
          </w:p>
        </w:tc>
        <w:tc>
          <w:tcPr>
            <w:tcW w:w="185" w:type="dxa"/>
          </w:tcPr>
          <w:p w14:paraId="404776B4" w14:textId="77777777" w:rsidR="002C6574" w:rsidRDefault="002C6574">
            <w:pPr>
              <w:pStyle w:val="TableParagraph"/>
              <w:jc w:val="left"/>
              <w:rPr>
                <w:rFonts w:ascii="Times New Roman"/>
                <w:sz w:val="14"/>
              </w:rPr>
            </w:pPr>
          </w:p>
        </w:tc>
        <w:tc>
          <w:tcPr>
            <w:tcW w:w="934" w:type="dxa"/>
            <w:shd w:val="clear" w:color="auto" w:fill="0000FF"/>
          </w:tcPr>
          <w:p w14:paraId="10A1B654" w14:textId="77777777" w:rsidR="002C6574" w:rsidRDefault="00000000">
            <w:pPr>
              <w:pStyle w:val="TableParagraph"/>
              <w:spacing w:before="8" w:line="173" w:lineRule="exact"/>
              <w:ind w:right="137"/>
              <w:rPr>
                <w:rFonts w:ascii="Arial"/>
                <w:b/>
                <w:sz w:val="16"/>
              </w:rPr>
            </w:pPr>
            <w:r>
              <w:rPr>
                <w:rFonts w:ascii="Arial"/>
                <w:b/>
                <w:color w:val="FFFFFF"/>
                <w:spacing w:val="-2"/>
                <w:sz w:val="16"/>
              </w:rPr>
              <w:t>125,2%</w:t>
            </w:r>
          </w:p>
        </w:tc>
        <w:tc>
          <w:tcPr>
            <w:tcW w:w="866" w:type="dxa"/>
            <w:shd w:val="clear" w:color="auto" w:fill="0000FF"/>
          </w:tcPr>
          <w:p w14:paraId="26DC6D50" w14:textId="77777777" w:rsidR="002C6574" w:rsidRDefault="00000000">
            <w:pPr>
              <w:pStyle w:val="TableParagraph"/>
              <w:spacing w:before="8" w:line="173" w:lineRule="exact"/>
              <w:ind w:right="67"/>
              <w:rPr>
                <w:rFonts w:ascii="Arial"/>
                <w:b/>
                <w:sz w:val="16"/>
              </w:rPr>
            </w:pPr>
            <w:r>
              <w:rPr>
                <w:rFonts w:ascii="Arial"/>
                <w:b/>
                <w:color w:val="FFFFFF"/>
                <w:spacing w:val="-2"/>
                <w:sz w:val="16"/>
              </w:rPr>
              <w:t>255,0%</w:t>
            </w:r>
          </w:p>
        </w:tc>
      </w:tr>
      <w:tr w:rsidR="002C6574" w14:paraId="7BDBA173" w14:textId="77777777">
        <w:trPr>
          <w:trHeight w:val="197"/>
        </w:trPr>
        <w:tc>
          <w:tcPr>
            <w:tcW w:w="4938" w:type="dxa"/>
            <w:shd w:val="clear" w:color="auto" w:fill="0000FF"/>
          </w:tcPr>
          <w:p w14:paraId="33B2178B" w14:textId="77777777" w:rsidR="002C6574" w:rsidRDefault="00000000">
            <w:pPr>
              <w:pStyle w:val="TableParagraph"/>
              <w:spacing w:before="4" w:line="174" w:lineRule="exact"/>
              <w:ind w:left="69"/>
              <w:jc w:val="left"/>
              <w:rPr>
                <w:rFonts w:ascii="Arial"/>
                <w:b/>
                <w:sz w:val="16"/>
              </w:rPr>
            </w:pPr>
            <w:r>
              <w:rPr>
                <w:rFonts w:ascii="Arial"/>
                <w:b/>
                <w:color w:val="FFFFFF"/>
                <w:sz w:val="16"/>
              </w:rPr>
              <w:t>EBITDA</w:t>
            </w:r>
            <w:r>
              <w:rPr>
                <w:rFonts w:ascii="Arial"/>
                <w:b/>
                <w:color w:val="FFFFFF"/>
                <w:spacing w:val="-2"/>
                <w:sz w:val="16"/>
              </w:rPr>
              <w:t xml:space="preserve"> Anualizado</w:t>
            </w:r>
            <w:hyperlink w:anchor="_bookmark21" w:history="1">
              <w:r>
                <w:rPr>
                  <w:rFonts w:ascii="Arial"/>
                  <w:b/>
                  <w:color w:val="FFFFFF"/>
                  <w:spacing w:val="-2"/>
                  <w:sz w:val="16"/>
                  <w:vertAlign w:val="superscript"/>
                </w:rPr>
                <w:t>10</w:t>
              </w:r>
            </w:hyperlink>
          </w:p>
        </w:tc>
        <w:tc>
          <w:tcPr>
            <w:tcW w:w="1189" w:type="dxa"/>
            <w:shd w:val="clear" w:color="auto" w:fill="0000FF"/>
          </w:tcPr>
          <w:p w14:paraId="523DF1F5" w14:textId="77777777" w:rsidR="002C6574" w:rsidRDefault="00000000">
            <w:pPr>
              <w:pStyle w:val="TableParagraph"/>
              <w:spacing w:before="4" w:line="174" w:lineRule="exact"/>
              <w:ind w:right="68"/>
              <w:rPr>
                <w:rFonts w:ascii="Arial"/>
                <w:b/>
                <w:sz w:val="16"/>
              </w:rPr>
            </w:pPr>
            <w:r>
              <w:rPr>
                <w:rFonts w:ascii="Arial"/>
                <w:b/>
                <w:color w:val="FFFFFF"/>
                <w:spacing w:val="-2"/>
                <w:sz w:val="16"/>
              </w:rPr>
              <w:t>510.804</w:t>
            </w:r>
          </w:p>
        </w:tc>
        <w:tc>
          <w:tcPr>
            <w:tcW w:w="1253" w:type="dxa"/>
            <w:shd w:val="clear" w:color="auto" w:fill="0000FF"/>
          </w:tcPr>
          <w:p w14:paraId="2D782244" w14:textId="77777777" w:rsidR="002C6574" w:rsidRDefault="00000000">
            <w:pPr>
              <w:pStyle w:val="TableParagraph"/>
              <w:spacing w:before="4" w:line="174" w:lineRule="exact"/>
              <w:ind w:right="130"/>
              <w:rPr>
                <w:rFonts w:ascii="Arial"/>
                <w:b/>
                <w:sz w:val="16"/>
              </w:rPr>
            </w:pPr>
            <w:r>
              <w:rPr>
                <w:rFonts w:ascii="Arial"/>
                <w:b/>
                <w:color w:val="FFFFFF"/>
                <w:spacing w:val="-2"/>
                <w:sz w:val="16"/>
              </w:rPr>
              <w:t>288.539</w:t>
            </w:r>
          </w:p>
        </w:tc>
        <w:tc>
          <w:tcPr>
            <w:tcW w:w="1126" w:type="dxa"/>
            <w:shd w:val="clear" w:color="auto" w:fill="0000FF"/>
          </w:tcPr>
          <w:p w14:paraId="74C75182" w14:textId="77777777" w:rsidR="002C6574" w:rsidRDefault="00000000">
            <w:pPr>
              <w:pStyle w:val="TableParagraph"/>
              <w:spacing w:before="4" w:line="174" w:lineRule="exact"/>
              <w:ind w:right="68"/>
              <w:rPr>
                <w:rFonts w:ascii="Arial"/>
                <w:b/>
                <w:sz w:val="16"/>
              </w:rPr>
            </w:pPr>
            <w:r>
              <w:rPr>
                <w:rFonts w:ascii="Arial"/>
                <w:b/>
                <w:color w:val="FFFFFF"/>
                <w:spacing w:val="-2"/>
                <w:sz w:val="16"/>
              </w:rPr>
              <w:t>186.134</w:t>
            </w:r>
          </w:p>
        </w:tc>
        <w:tc>
          <w:tcPr>
            <w:tcW w:w="185" w:type="dxa"/>
          </w:tcPr>
          <w:p w14:paraId="1D8EDB05" w14:textId="77777777" w:rsidR="002C6574" w:rsidRDefault="002C6574">
            <w:pPr>
              <w:pStyle w:val="TableParagraph"/>
              <w:jc w:val="left"/>
              <w:rPr>
                <w:rFonts w:ascii="Times New Roman"/>
                <w:sz w:val="12"/>
              </w:rPr>
            </w:pPr>
          </w:p>
        </w:tc>
        <w:tc>
          <w:tcPr>
            <w:tcW w:w="934" w:type="dxa"/>
            <w:shd w:val="clear" w:color="auto" w:fill="0000FF"/>
          </w:tcPr>
          <w:p w14:paraId="0C750CC9" w14:textId="77777777" w:rsidR="002C6574" w:rsidRDefault="00000000">
            <w:pPr>
              <w:pStyle w:val="TableParagraph"/>
              <w:spacing w:before="4" w:line="174" w:lineRule="exact"/>
              <w:ind w:right="137"/>
              <w:rPr>
                <w:rFonts w:ascii="Arial"/>
                <w:b/>
                <w:sz w:val="16"/>
              </w:rPr>
            </w:pPr>
            <w:r>
              <w:rPr>
                <w:rFonts w:ascii="Arial"/>
                <w:b/>
                <w:color w:val="FFFFFF"/>
                <w:spacing w:val="-2"/>
                <w:sz w:val="16"/>
              </w:rPr>
              <w:t>77,0%</w:t>
            </w:r>
          </w:p>
        </w:tc>
        <w:tc>
          <w:tcPr>
            <w:tcW w:w="866" w:type="dxa"/>
            <w:shd w:val="clear" w:color="auto" w:fill="0000FF"/>
          </w:tcPr>
          <w:p w14:paraId="017836D1" w14:textId="77777777" w:rsidR="002C6574" w:rsidRDefault="00000000">
            <w:pPr>
              <w:pStyle w:val="TableParagraph"/>
              <w:spacing w:before="4" w:line="174" w:lineRule="exact"/>
              <w:ind w:right="67"/>
              <w:rPr>
                <w:rFonts w:ascii="Arial"/>
                <w:b/>
                <w:sz w:val="16"/>
              </w:rPr>
            </w:pPr>
            <w:r>
              <w:rPr>
                <w:rFonts w:ascii="Arial"/>
                <w:b/>
                <w:color w:val="FFFFFF"/>
                <w:spacing w:val="-2"/>
                <w:sz w:val="16"/>
              </w:rPr>
              <w:t>174,4%</w:t>
            </w:r>
          </w:p>
        </w:tc>
      </w:tr>
      <w:tr w:rsidR="002C6574" w14:paraId="7DE6B13E" w14:textId="77777777">
        <w:trPr>
          <w:trHeight w:val="196"/>
        </w:trPr>
        <w:tc>
          <w:tcPr>
            <w:tcW w:w="4938" w:type="dxa"/>
            <w:shd w:val="clear" w:color="auto" w:fill="0000FF"/>
          </w:tcPr>
          <w:p w14:paraId="33CDBB74" w14:textId="77777777" w:rsidR="002C6574" w:rsidRDefault="00000000">
            <w:pPr>
              <w:pStyle w:val="TableParagraph"/>
              <w:spacing w:before="5" w:line="171" w:lineRule="exact"/>
              <w:ind w:left="69"/>
              <w:jc w:val="left"/>
              <w:rPr>
                <w:rFonts w:ascii="Arial" w:hAnsi="Arial"/>
                <w:b/>
                <w:sz w:val="16"/>
              </w:rPr>
            </w:pPr>
            <w:r>
              <w:rPr>
                <w:rFonts w:ascii="Arial" w:hAnsi="Arial"/>
                <w:b/>
                <w:color w:val="FFFFFF"/>
                <w:sz w:val="16"/>
              </w:rPr>
              <w:t>Dívida</w:t>
            </w:r>
            <w:r>
              <w:rPr>
                <w:rFonts w:ascii="Arial" w:hAnsi="Arial"/>
                <w:b/>
                <w:color w:val="FFFFFF"/>
                <w:spacing w:val="-4"/>
                <w:sz w:val="16"/>
              </w:rPr>
              <w:t xml:space="preserve"> </w:t>
            </w:r>
            <w:r>
              <w:rPr>
                <w:rFonts w:ascii="Arial" w:hAnsi="Arial"/>
                <w:b/>
                <w:color w:val="FFFFFF"/>
                <w:sz w:val="16"/>
              </w:rPr>
              <w:t>Líquida</w:t>
            </w:r>
            <w:r>
              <w:rPr>
                <w:rFonts w:ascii="Arial" w:hAnsi="Arial"/>
                <w:b/>
                <w:color w:val="FFFFFF"/>
                <w:spacing w:val="-4"/>
                <w:sz w:val="16"/>
              </w:rPr>
              <w:t xml:space="preserve"> </w:t>
            </w:r>
            <w:r>
              <w:rPr>
                <w:rFonts w:ascii="Arial" w:hAnsi="Arial"/>
                <w:b/>
                <w:color w:val="FFFFFF"/>
                <w:sz w:val="16"/>
              </w:rPr>
              <w:t>/</w:t>
            </w:r>
            <w:r>
              <w:rPr>
                <w:rFonts w:ascii="Arial" w:hAnsi="Arial"/>
                <w:b/>
                <w:color w:val="FFFFFF"/>
                <w:spacing w:val="-2"/>
                <w:sz w:val="16"/>
              </w:rPr>
              <w:t xml:space="preserve"> EBITDA</w:t>
            </w:r>
          </w:p>
        </w:tc>
        <w:tc>
          <w:tcPr>
            <w:tcW w:w="1189" w:type="dxa"/>
            <w:shd w:val="clear" w:color="auto" w:fill="0000FF"/>
          </w:tcPr>
          <w:p w14:paraId="769D2E20" w14:textId="77777777" w:rsidR="002C6574" w:rsidRDefault="00000000">
            <w:pPr>
              <w:pStyle w:val="TableParagraph"/>
              <w:spacing w:before="5" w:line="171" w:lineRule="exact"/>
              <w:ind w:right="67"/>
              <w:rPr>
                <w:rFonts w:ascii="Arial"/>
                <w:b/>
                <w:sz w:val="16"/>
              </w:rPr>
            </w:pPr>
            <w:r>
              <w:rPr>
                <w:rFonts w:ascii="Arial"/>
                <w:b/>
                <w:color w:val="FFFFFF"/>
                <w:spacing w:val="-10"/>
                <w:sz w:val="16"/>
              </w:rPr>
              <w:t>-</w:t>
            </w:r>
          </w:p>
        </w:tc>
        <w:tc>
          <w:tcPr>
            <w:tcW w:w="1253" w:type="dxa"/>
            <w:shd w:val="clear" w:color="auto" w:fill="0000FF"/>
          </w:tcPr>
          <w:p w14:paraId="06FF6B6D" w14:textId="77777777" w:rsidR="002C6574" w:rsidRDefault="00000000">
            <w:pPr>
              <w:pStyle w:val="TableParagraph"/>
              <w:spacing w:before="5" w:line="171" w:lineRule="exact"/>
              <w:ind w:right="130"/>
              <w:rPr>
                <w:rFonts w:ascii="Arial"/>
                <w:b/>
                <w:sz w:val="16"/>
              </w:rPr>
            </w:pPr>
            <w:r>
              <w:rPr>
                <w:rFonts w:ascii="Arial"/>
                <w:b/>
                <w:color w:val="FFFFFF"/>
                <w:spacing w:val="-10"/>
                <w:sz w:val="16"/>
              </w:rPr>
              <w:t>-</w:t>
            </w:r>
          </w:p>
        </w:tc>
        <w:tc>
          <w:tcPr>
            <w:tcW w:w="1126" w:type="dxa"/>
            <w:shd w:val="clear" w:color="auto" w:fill="0000FF"/>
          </w:tcPr>
          <w:p w14:paraId="0FC8FA5C" w14:textId="77777777" w:rsidR="002C6574" w:rsidRDefault="00000000">
            <w:pPr>
              <w:pStyle w:val="TableParagraph"/>
              <w:spacing w:before="5" w:line="171" w:lineRule="exact"/>
              <w:ind w:right="67"/>
              <w:rPr>
                <w:rFonts w:ascii="Arial"/>
                <w:b/>
                <w:sz w:val="16"/>
              </w:rPr>
            </w:pPr>
            <w:r>
              <w:rPr>
                <w:rFonts w:ascii="Arial"/>
                <w:b/>
                <w:color w:val="FFFFFF"/>
                <w:spacing w:val="-10"/>
                <w:sz w:val="16"/>
              </w:rPr>
              <w:t>-</w:t>
            </w:r>
          </w:p>
        </w:tc>
        <w:tc>
          <w:tcPr>
            <w:tcW w:w="185" w:type="dxa"/>
          </w:tcPr>
          <w:p w14:paraId="2C395305" w14:textId="77777777" w:rsidR="002C6574" w:rsidRDefault="002C6574">
            <w:pPr>
              <w:pStyle w:val="TableParagraph"/>
              <w:jc w:val="left"/>
              <w:rPr>
                <w:rFonts w:ascii="Times New Roman"/>
                <w:sz w:val="12"/>
              </w:rPr>
            </w:pPr>
          </w:p>
        </w:tc>
        <w:tc>
          <w:tcPr>
            <w:tcW w:w="934" w:type="dxa"/>
            <w:shd w:val="clear" w:color="auto" w:fill="0000FF"/>
          </w:tcPr>
          <w:p w14:paraId="2E32B81D" w14:textId="77777777" w:rsidR="002C6574" w:rsidRDefault="00000000">
            <w:pPr>
              <w:pStyle w:val="TableParagraph"/>
              <w:spacing w:before="5" w:line="171" w:lineRule="exact"/>
              <w:ind w:right="137"/>
              <w:rPr>
                <w:rFonts w:ascii="Arial"/>
                <w:b/>
                <w:sz w:val="16"/>
              </w:rPr>
            </w:pPr>
            <w:r>
              <w:rPr>
                <w:rFonts w:ascii="Arial"/>
                <w:b/>
                <w:color w:val="FFFFFF"/>
                <w:spacing w:val="-10"/>
                <w:sz w:val="16"/>
              </w:rPr>
              <w:t>-</w:t>
            </w:r>
          </w:p>
        </w:tc>
        <w:tc>
          <w:tcPr>
            <w:tcW w:w="866" w:type="dxa"/>
            <w:shd w:val="clear" w:color="auto" w:fill="0000FF"/>
          </w:tcPr>
          <w:p w14:paraId="6ACE0D72" w14:textId="77777777" w:rsidR="002C6574" w:rsidRDefault="00000000">
            <w:pPr>
              <w:pStyle w:val="TableParagraph"/>
              <w:spacing w:before="5" w:line="171" w:lineRule="exact"/>
              <w:ind w:right="67"/>
              <w:rPr>
                <w:rFonts w:ascii="Arial"/>
                <w:b/>
                <w:sz w:val="16"/>
              </w:rPr>
            </w:pPr>
            <w:r>
              <w:rPr>
                <w:rFonts w:ascii="Arial"/>
                <w:b/>
                <w:color w:val="FFFFFF"/>
                <w:spacing w:val="-10"/>
                <w:sz w:val="16"/>
              </w:rPr>
              <w:t>-</w:t>
            </w:r>
          </w:p>
        </w:tc>
      </w:tr>
    </w:tbl>
    <w:p w14:paraId="162A87D8" w14:textId="77777777" w:rsidR="002C6574" w:rsidRDefault="002C6574">
      <w:pPr>
        <w:pStyle w:val="Corpodetexto"/>
        <w:spacing w:before="66"/>
        <w:rPr>
          <w:rFonts w:ascii="Arial"/>
          <w:b/>
          <w:sz w:val="19"/>
        </w:rPr>
      </w:pPr>
    </w:p>
    <w:p w14:paraId="78AA27BB" w14:textId="77777777" w:rsidR="002C6574" w:rsidRDefault="00000000">
      <w:pPr>
        <w:pStyle w:val="Corpodetexto"/>
        <w:spacing w:line="276" w:lineRule="auto"/>
        <w:ind w:left="427" w:right="137"/>
        <w:jc w:val="both"/>
        <w:rPr>
          <w:rFonts w:ascii="Arial MT" w:hAnsi="Arial MT"/>
        </w:rPr>
      </w:pPr>
      <w:r>
        <w:rPr>
          <w:rFonts w:ascii="Arial MT" w:hAnsi="Arial MT"/>
        </w:rPr>
        <w:t>Em dezembro de</w:t>
      </w:r>
      <w:r>
        <w:rPr>
          <w:rFonts w:ascii="Arial MT" w:hAnsi="Arial MT"/>
          <w:spacing w:val="-1"/>
        </w:rPr>
        <w:t xml:space="preserve"> </w:t>
      </w:r>
      <w:r>
        <w:rPr>
          <w:rFonts w:ascii="Arial MT" w:hAnsi="Arial MT"/>
        </w:rPr>
        <w:t>2025,</w:t>
      </w:r>
      <w:r>
        <w:rPr>
          <w:rFonts w:ascii="Arial MT" w:hAnsi="Arial MT"/>
          <w:spacing w:val="-2"/>
        </w:rPr>
        <w:t xml:space="preserve"> </w:t>
      </w:r>
      <w:r>
        <w:rPr>
          <w:rFonts w:ascii="Arial MT" w:hAnsi="Arial MT"/>
        </w:rPr>
        <w:t>a Telebras</w:t>
      </w:r>
      <w:r>
        <w:rPr>
          <w:rFonts w:ascii="Arial MT" w:hAnsi="Arial MT"/>
          <w:spacing w:val="-1"/>
        </w:rPr>
        <w:t xml:space="preserve"> </w:t>
      </w:r>
      <w:r>
        <w:rPr>
          <w:rFonts w:ascii="Arial MT" w:hAnsi="Arial MT"/>
        </w:rPr>
        <w:t>apresentou</w:t>
      </w:r>
      <w:r>
        <w:rPr>
          <w:rFonts w:ascii="Arial MT" w:hAnsi="Arial MT"/>
          <w:spacing w:val="-1"/>
        </w:rPr>
        <w:t xml:space="preserve"> </w:t>
      </w:r>
      <w:r>
        <w:rPr>
          <w:rFonts w:ascii="Arial MT" w:hAnsi="Arial MT"/>
        </w:rPr>
        <w:t>dívida líquida negativa, ou</w:t>
      </w:r>
      <w:r>
        <w:rPr>
          <w:rFonts w:ascii="Arial MT" w:hAnsi="Arial MT"/>
          <w:spacing w:val="-1"/>
        </w:rPr>
        <w:t xml:space="preserve"> </w:t>
      </w:r>
      <w:r>
        <w:rPr>
          <w:rFonts w:ascii="Arial MT" w:hAnsi="Arial MT"/>
        </w:rPr>
        <w:t>seja, o</w:t>
      </w:r>
      <w:r>
        <w:rPr>
          <w:rFonts w:ascii="Arial MT" w:hAnsi="Arial MT"/>
          <w:spacing w:val="-1"/>
        </w:rPr>
        <w:t xml:space="preserve"> </w:t>
      </w:r>
      <w:r>
        <w:rPr>
          <w:rFonts w:ascii="Arial MT" w:hAnsi="Arial MT"/>
        </w:rPr>
        <w:t>valor das</w:t>
      </w:r>
      <w:r>
        <w:rPr>
          <w:rFonts w:ascii="Arial MT" w:hAnsi="Arial MT"/>
          <w:spacing w:val="-1"/>
        </w:rPr>
        <w:t xml:space="preserve"> </w:t>
      </w:r>
      <w:r>
        <w:rPr>
          <w:rFonts w:ascii="Arial MT" w:hAnsi="Arial MT"/>
        </w:rPr>
        <w:t>disponibilidades e das aplicações financeiras superou o montante da dívida bruta. O saldo atingiu R$ 540,0 milhões, comparado a R$ 239,8 milhões em dezembro de 2024 e R$ 152,1 milhões em dezembro de 2023, o que representa acréscimos de 125,2% e 255,0%, respectivamente, em relação aos mesmos períodos.</w:t>
      </w:r>
    </w:p>
    <w:p w14:paraId="32C32EF7" w14:textId="77777777" w:rsidR="002C6574" w:rsidRDefault="002C6574">
      <w:pPr>
        <w:pStyle w:val="Corpodetexto"/>
        <w:spacing w:before="38"/>
        <w:rPr>
          <w:rFonts w:ascii="Arial MT"/>
        </w:rPr>
      </w:pPr>
    </w:p>
    <w:p w14:paraId="04ED814A" w14:textId="77777777" w:rsidR="002C6574" w:rsidRDefault="00000000">
      <w:pPr>
        <w:pStyle w:val="Corpodetexto"/>
        <w:spacing w:line="276" w:lineRule="auto"/>
        <w:ind w:left="427" w:right="139"/>
        <w:jc w:val="both"/>
        <w:rPr>
          <w:rFonts w:ascii="Arial MT" w:hAnsi="Arial MT"/>
        </w:rPr>
      </w:pPr>
      <w:r>
        <w:rPr>
          <w:rFonts w:ascii="Arial MT" w:hAnsi="Arial MT"/>
        </w:rPr>
        <w:t>Esse comportamento</w:t>
      </w:r>
      <w:r>
        <w:rPr>
          <w:rFonts w:ascii="Arial MT" w:hAnsi="Arial MT"/>
          <w:spacing w:val="-1"/>
        </w:rPr>
        <w:t xml:space="preserve"> </w:t>
      </w:r>
      <w:r>
        <w:rPr>
          <w:rFonts w:ascii="Arial MT" w:hAnsi="Arial MT"/>
        </w:rPr>
        <w:t>é explicado pela redução da dívida</w:t>
      </w:r>
      <w:r>
        <w:rPr>
          <w:rFonts w:ascii="Arial MT" w:hAnsi="Arial MT"/>
          <w:spacing w:val="-1"/>
        </w:rPr>
        <w:t xml:space="preserve"> </w:t>
      </w:r>
      <w:r>
        <w:rPr>
          <w:rFonts w:ascii="Arial MT" w:hAnsi="Arial MT"/>
        </w:rPr>
        <w:t>bruta, decorrente das amortizações</w:t>
      </w:r>
      <w:r>
        <w:rPr>
          <w:rFonts w:ascii="Arial MT" w:hAnsi="Arial MT"/>
          <w:spacing w:val="-1"/>
        </w:rPr>
        <w:t xml:space="preserve"> </w:t>
      </w:r>
      <w:r>
        <w:rPr>
          <w:rFonts w:ascii="Arial MT" w:hAnsi="Arial MT"/>
        </w:rPr>
        <w:t xml:space="preserve">realizadas ao longo do exercício, aliada à manutenção de um elevado volume de disponibilidades financeiras da </w:t>
      </w:r>
      <w:r>
        <w:rPr>
          <w:rFonts w:ascii="Arial MT" w:hAnsi="Arial MT"/>
          <w:spacing w:val="-2"/>
        </w:rPr>
        <w:t>Companhia.</w:t>
      </w:r>
    </w:p>
    <w:p w14:paraId="2685B945" w14:textId="77777777" w:rsidR="002C6574" w:rsidRDefault="002C6574">
      <w:pPr>
        <w:pStyle w:val="Corpodetexto"/>
        <w:spacing w:before="38"/>
        <w:rPr>
          <w:rFonts w:ascii="Arial MT"/>
        </w:rPr>
      </w:pPr>
    </w:p>
    <w:p w14:paraId="7321472F" w14:textId="77777777" w:rsidR="002C6574" w:rsidRDefault="00000000">
      <w:pPr>
        <w:pStyle w:val="Corpodetexto"/>
        <w:spacing w:line="276" w:lineRule="auto"/>
        <w:ind w:left="427" w:right="139"/>
        <w:jc w:val="both"/>
        <w:rPr>
          <w:rFonts w:ascii="Arial MT" w:hAnsi="Arial MT"/>
        </w:rPr>
      </w:pPr>
      <w:r>
        <w:rPr>
          <w:rFonts w:ascii="Arial MT" w:hAnsi="Arial MT"/>
        </w:rPr>
        <w:t>Devido à condição de dívida líquida negativa, o indicador Dívida Líquida / EBITDA não é apresentado nos períodos divulgados, uma vez que a métrica perde sentido econômico nessa situação.</w:t>
      </w:r>
    </w:p>
    <w:p w14:paraId="5EB4BBFA" w14:textId="77777777" w:rsidR="002C6574" w:rsidRDefault="002C6574">
      <w:pPr>
        <w:pStyle w:val="Corpodetexto"/>
        <w:rPr>
          <w:rFonts w:ascii="Arial MT"/>
          <w:sz w:val="20"/>
        </w:rPr>
      </w:pPr>
    </w:p>
    <w:p w14:paraId="569C40DB" w14:textId="77777777" w:rsidR="002C6574" w:rsidRDefault="002C6574">
      <w:pPr>
        <w:pStyle w:val="Corpodetexto"/>
        <w:rPr>
          <w:rFonts w:ascii="Arial MT"/>
          <w:sz w:val="20"/>
        </w:rPr>
      </w:pPr>
    </w:p>
    <w:p w14:paraId="437105FF" w14:textId="77777777" w:rsidR="002C6574" w:rsidRDefault="002C6574">
      <w:pPr>
        <w:pStyle w:val="Corpodetexto"/>
        <w:rPr>
          <w:rFonts w:ascii="Arial MT"/>
          <w:sz w:val="20"/>
        </w:rPr>
      </w:pPr>
    </w:p>
    <w:p w14:paraId="61FFEBD0" w14:textId="77777777" w:rsidR="002C6574" w:rsidRDefault="002C6574">
      <w:pPr>
        <w:pStyle w:val="Corpodetexto"/>
        <w:rPr>
          <w:rFonts w:ascii="Arial MT"/>
          <w:sz w:val="20"/>
        </w:rPr>
      </w:pPr>
    </w:p>
    <w:p w14:paraId="32068525" w14:textId="77777777" w:rsidR="002C6574" w:rsidRDefault="002C6574">
      <w:pPr>
        <w:pStyle w:val="Corpodetexto"/>
        <w:rPr>
          <w:rFonts w:ascii="Arial MT"/>
          <w:sz w:val="20"/>
        </w:rPr>
      </w:pPr>
    </w:p>
    <w:p w14:paraId="3F2EBC93" w14:textId="77777777" w:rsidR="002C6574" w:rsidRDefault="002C6574">
      <w:pPr>
        <w:pStyle w:val="Corpodetexto"/>
        <w:rPr>
          <w:rFonts w:ascii="Arial MT"/>
          <w:sz w:val="20"/>
        </w:rPr>
      </w:pPr>
    </w:p>
    <w:p w14:paraId="7F052EF6" w14:textId="77777777" w:rsidR="002C6574" w:rsidRDefault="002C6574">
      <w:pPr>
        <w:pStyle w:val="Corpodetexto"/>
        <w:rPr>
          <w:rFonts w:ascii="Arial MT"/>
          <w:sz w:val="20"/>
        </w:rPr>
      </w:pPr>
    </w:p>
    <w:p w14:paraId="04E7923A" w14:textId="77777777" w:rsidR="002C6574" w:rsidRDefault="002C6574">
      <w:pPr>
        <w:pStyle w:val="Corpodetexto"/>
        <w:rPr>
          <w:rFonts w:ascii="Arial MT"/>
          <w:sz w:val="20"/>
        </w:rPr>
      </w:pPr>
    </w:p>
    <w:p w14:paraId="42E15C1D" w14:textId="77777777" w:rsidR="002C6574" w:rsidRDefault="002C6574">
      <w:pPr>
        <w:pStyle w:val="Corpodetexto"/>
        <w:rPr>
          <w:rFonts w:ascii="Arial MT"/>
          <w:sz w:val="20"/>
        </w:rPr>
      </w:pPr>
    </w:p>
    <w:p w14:paraId="5A97A258" w14:textId="77777777" w:rsidR="002C6574" w:rsidRDefault="002C6574">
      <w:pPr>
        <w:pStyle w:val="Corpodetexto"/>
        <w:rPr>
          <w:rFonts w:ascii="Arial MT"/>
          <w:sz w:val="20"/>
        </w:rPr>
      </w:pPr>
    </w:p>
    <w:p w14:paraId="063BF3B2" w14:textId="77777777" w:rsidR="002C6574" w:rsidRDefault="002C6574">
      <w:pPr>
        <w:pStyle w:val="Corpodetexto"/>
        <w:rPr>
          <w:rFonts w:ascii="Arial MT"/>
          <w:sz w:val="20"/>
        </w:rPr>
      </w:pPr>
    </w:p>
    <w:p w14:paraId="4500B274" w14:textId="77777777" w:rsidR="002C6574" w:rsidRDefault="002C6574">
      <w:pPr>
        <w:pStyle w:val="Corpodetexto"/>
        <w:rPr>
          <w:rFonts w:ascii="Arial MT"/>
          <w:sz w:val="20"/>
        </w:rPr>
      </w:pPr>
    </w:p>
    <w:p w14:paraId="46CAEE39" w14:textId="77777777" w:rsidR="002C6574" w:rsidRDefault="002C6574">
      <w:pPr>
        <w:pStyle w:val="Corpodetexto"/>
        <w:rPr>
          <w:rFonts w:ascii="Arial MT"/>
          <w:sz w:val="20"/>
        </w:rPr>
      </w:pPr>
    </w:p>
    <w:p w14:paraId="7221D1A0" w14:textId="77777777" w:rsidR="002C6574" w:rsidRDefault="00000000">
      <w:pPr>
        <w:pStyle w:val="Corpodetexto"/>
        <w:spacing w:before="37"/>
        <w:rPr>
          <w:rFonts w:ascii="Arial MT"/>
          <w:sz w:val="20"/>
        </w:rPr>
      </w:pPr>
      <w:r>
        <w:rPr>
          <w:rFonts w:ascii="Arial MT"/>
          <w:noProof/>
          <w:sz w:val="20"/>
        </w:rPr>
        <mc:AlternateContent>
          <mc:Choice Requires="wps">
            <w:drawing>
              <wp:anchor distT="0" distB="0" distL="0" distR="0" simplePos="0" relativeHeight="487639552" behindDoc="1" locked="0" layoutInCell="1" allowOverlap="1" wp14:anchorId="000CB3DE" wp14:editId="025CFE02">
                <wp:simplePos x="0" y="0"/>
                <wp:positionH relativeFrom="page">
                  <wp:posOffset>541019</wp:posOffset>
                </wp:positionH>
                <wp:positionV relativeFrom="paragraph">
                  <wp:posOffset>184967</wp:posOffset>
                </wp:positionV>
                <wp:extent cx="1829435" cy="762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33C062" id="Graphic 419" o:spid="_x0000_s1026" style="position:absolute;margin-left:42.6pt;margin-top:14.55pt;width:144.05pt;height:.6pt;z-index:-156769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" path="m1829435,l,,,7620r1829435,l1829435,xe" fillcolor="black" stroked="f">
                <v:path arrowok="t"/>
                <w10:wrap type="topAndBottom" anchorx="page"/>
              </v:shape>
            </w:pict>
          </mc:Fallback>
        </mc:AlternateContent>
      </w:r>
    </w:p>
    <w:p w14:paraId="1673EDED" w14:textId="77777777" w:rsidR="002C6574" w:rsidRDefault="00000000">
      <w:pPr>
        <w:spacing w:before="102"/>
        <w:ind w:left="427"/>
        <w:rPr>
          <w:rFonts w:ascii="Arial MT" w:hAnsi="Arial MT"/>
          <w:sz w:val="16"/>
        </w:rPr>
      </w:pPr>
      <w:bookmarkStart w:id="19" w:name="_bookmark19"/>
      <w:bookmarkEnd w:id="19"/>
      <w:r>
        <w:rPr>
          <w:rFonts w:ascii="Arial MT" w:hAnsi="Arial MT"/>
          <w:sz w:val="16"/>
          <w:vertAlign w:val="superscript"/>
        </w:rPr>
        <w:t>8</w:t>
      </w:r>
      <w:r>
        <w:rPr>
          <w:rFonts w:ascii="Arial MT" w:hAnsi="Arial MT"/>
          <w:sz w:val="16"/>
        </w:rPr>
        <w:t xml:space="preserve"> Dívida Líquida= Dívida bruta – (Caixa e Equivalentes de Caixa</w:t>
      </w:r>
      <w:r>
        <w:rPr>
          <w:rFonts w:ascii="Arial MT" w:hAnsi="Arial MT"/>
          <w:spacing w:val="15"/>
          <w:sz w:val="16"/>
        </w:rPr>
        <w:t xml:space="preserve"> </w:t>
      </w:r>
      <w:r>
        <w:rPr>
          <w:rFonts w:ascii="Arial MT" w:hAnsi="Arial MT"/>
          <w:sz w:val="16"/>
        </w:rPr>
        <w:t>+ Aplicações Financeiras de recursos vinculados</w:t>
      </w:r>
      <w:r>
        <w:rPr>
          <w:rFonts w:ascii="Arial MT" w:hAnsi="Arial MT"/>
          <w:spacing w:val="17"/>
          <w:sz w:val="16"/>
        </w:rPr>
        <w:t xml:space="preserve"> </w:t>
      </w:r>
      <w:r>
        <w:rPr>
          <w:rFonts w:ascii="Arial MT" w:hAnsi="Arial MT"/>
          <w:sz w:val="16"/>
        </w:rPr>
        <w:t>a garantias de empréstimos e</w:t>
      </w:r>
      <w:r>
        <w:rPr>
          <w:rFonts w:ascii="Arial MT" w:hAnsi="Arial MT"/>
          <w:spacing w:val="40"/>
          <w:sz w:val="16"/>
        </w:rPr>
        <w:t xml:space="preserve"> </w:t>
      </w:r>
      <w:r>
        <w:rPr>
          <w:rFonts w:ascii="Arial MT" w:hAnsi="Arial MT"/>
          <w:sz w:val="16"/>
        </w:rPr>
        <w:t>financiamentos e acordos judiciais firmados com credores).</w:t>
      </w:r>
    </w:p>
    <w:p w14:paraId="787B47E1" w14:textId="77777777" w:rsidR="002C6574" w:rsidRDefault="00000000">
      <w:pPr>
        <w:spacing w:line="249" w:lineRule="auto"/>
        <w:ind w:left="427"/>
        <w:rPr>
          <w:rFonts w:ascii="Arial MT" w:hAnsi="Arial MT"/>
          <w:sz w:val="16"/>
        </w:rPr>
      </w:pPr>
      <w:bookmarkStart w:id="20" w:name="_bookmark20"/>
      <w:bookmarkEnd w:id="20"/>
      <w:r>
        <w:rPr>
          <w:rFonts w:ascii="Times New Roman" w:hAnsi="Times New Roman"/>
          <w:position w:val="7"/>
          <w:sz w:val="13"/>
        </w:rPr>
        <w:t>9</w:t>
      </w:r>
      <w:r>
        <w:rPr>
          <w:rFonts w:ascii="Times New Roman" w:hAnsi="Times New Roman"/>
          <w:spacing w:val="11"/>
          <w:position w:val="7"/>
          <w:sz w:val="13"/>
        </w:rPr>
        <w:t xml:space="preserve"> </w:t>
      </w:r>
      <w:r>
        <w:rPr>
          <w:rFonts w:ascii="Arial MT" w:hAnsi="Arial MT"/>
          <w:sz w:val="16"/>
        </w:rPr>
        <w:t>Exclui</w:t>
      </w:r>
      <w:r>
        <w:rPr>
          <w:rFonts w:ascii="Arial MT" w:hAnsi="Arial MT"/>
          <w:spacing w:val="-1"/>
          <w:sz w:val="16"/>
        </w:rPr>
        <w:t xml:space="preserve"> </w:t>
      </w:r>
      <w:r>
        <w:rPr>
          <w:rFonts w:ascii="Arial MT" w:hAnsi="Arial MT"/>
          <w:sz w:val="16"/>
        </w:rPr>
        <w:t>o</w:t>
      </w:r>
      <w:r>
        <w:rPr>
          <w:rFonts w:ascii="Arial MT" w:hAnsi="Arial MT"/>
          <w:spacing w:val="-5"/>
          <w:sz w:val="16"/>
        </w:rPr>
        <w:t xml:space="preserve"> </w:t>
      </w:r>
      <w:r>
        <w:rPr>
          <w:rFonts w:ascii="Arial MT" w:hAnsi="Arial MT"/>
          <w:sz w:val="16"/>
        </w:rPr>
        <w:t>valor</w:t>
      </w:r>
      <w:r>
        <w:rPr>
          <w:rFonts w:ascii="Arial MT" w:hAnsi="Arial MT"/>
          <w:spacing w:val="-1"/>
          <w:sz w:val="16"/>
        </w:rPr>
        <w:t xml:space="preserve"> </w:t>
      </w:r>
      <w:r>
        <w:rPr>
          <w:rFonts w:ascii="Arial MT" w:hAnsi="Arial MT"/>
          <w:sz w:val="16"/>
        </w:rPr>
        <w:t>das aplicações</w:t>
      </w:r>
      <w:r>
        <w:rPr>
          <w:rFonts w:ascii="Arial MT" w:hAnsi="Arial MT"/>
          <w:spacing w:val="-3"/>
          <w:sz w:val="16"/>
        </w:rPr>
        <w:t xml:space="preserve"> </w:t>
      </w:r>
      <w:r>
        <w:rPr>
          <w:rFonts w:ascii="Arial MT" w:hAnsi="Arial MT"/>
          <w:sz w:val="16"/>
        </w:rPr>
        <w:t>financeiras</w:t>
      </w:r>
      <w:r>
        <w:rPr>
          <w:rFonts w:ascii="Arial MT" w:hAnsi="Arial MT"/>
          <w:spacing w:val="-3"/>
          <w:sz w:val="16"/>
        </w:rPr>
        <w:t xml:space="preserve"> </w:t>
      </w:r>
      <w:r>
        <w:rPr>
          <w:rFonts w:ascii="Arial MT" w:hAnsi="Arial MT"/>
          <w:sz w:val="16"/>
        </w:rPr>
        <w:t>dos</w:t>
      </w:r>
      <w:r>
        <w:rPr>
          <w:rFonts w:ascii="Arial MT" w:hAnsi="Arial MT"/>
          <w:spacing w:val="-3"/>
          <w:sz w:val="16"/>
        </w:rPr>
        <w:t xml:space="preserve"> </w:t>
      </w:r>
      <w:r>
        <w:rPr>
          <w:rFonts w:ascii="Arial MT" w:hAnsi="Arial MT"/>
          <w:sz w:val="16"/>
        </w:rPr>
        <w:t>recursos recebidos</w:t>
      </w:r>
      <w:r>
        <w:rPr>
          <w:rFonts w:ascii="Arial MT" w:hAnsi="Arial MT"/>
          <w:spacing w:val="-3"/>
          <w:sz w:val="16"/>
        </w:rPr>
        <w:t xml:space="preserve"> </w:t>
      </w:r>
      <w:r>
        <w:rPr>
          <w:rFonts w:ascii="Arial MT" w:hAnsi="Arial MT"/>
          <w:sz w:val="16"/>
        </w:rPr>
        <w:t>a</w:t>
      </w:r>
      <w:r>
        <w:rPr>
          <w:rFonts w:ascii="Arial MT" w:hAnsi="Arial MT"/>
          <w:spacing w:val="-4"/>
          <w:sz w:val="16"/>
        </w:rPr>
        <w:t xml:space="preserve"> </w:t>
      </w:r>
      <w:r>
        <w:rPr>
          <w:rFonts w:ascii="Arial MT" w:hAnsi="Arial MT"/>
          <w:sz w:val="16"/>
        </w:rPr>
        <w:t>título</w:t>
      </w:r>
      <w:r>
        <w:rPr>
          <w:rFonts w:ascii="Arial MT" w:hAnsi="Arial MT"/>
          <w:spacing w:val="-2"/>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AFAC e</w:t>
      </w:r>
      <w:r>
        <w:rPr>
          <w:rFonts w:ascii="Arial MT" w:hAnsi="Arial MT"/>
          <w:spacing w:val="-4"/>
          <w:sz w:val="16"/>
        </w:rPr>
        <w:t xml:space="preserve"> </w:t>
      </w:r>
      <w:r>
        <w:rPr>
          <w:rFonts w:ascii="Arial MT" w:hAnsi="Arial MT"/>
          <w:sz w:val="16"/>
        </w:rPr>
        <w:t>registrado</w:t>
      </w:r>
      <w:r>
        <w:rPr>
          <w:rFonts w:ascii="Arial MT" w:hAnsi="Arial MT"/>
          <w:spacing w:val="-2"/>
          <w:sz w:val="16"/>
        </w:rPr>
        <w:t xml:space="preserve"> </w:t>
      </w:r>
      <w:r>
        <w:rPr>
          <w:rFonts w:ascii="Arial MT" w:hAnsi="Arial MT"/>
          <w:sz w:val="16"/>
        </w:rPr>
        <w:t>na</w:t>
      </w:r>
      <w:r>
        <w:rPr>
          <w:rFonts w:ascii="Arial MT" w:hAnsi="Arial MT"/>
          <w:spacing w:val="-2"/>
          <w:sz w:val="16"/>
        </w:rPr>
        <w:t xml:space="preserve"> </w:t>
      </w:r>
      <w:r>
        <w:rPr>
          <w:rFonts w:ascii="Arial MT" w:hAnsi="Arial MT"/>
          <w:sz w:val="16"/>
        </w:rPr>
        <w:t>rubrica</w:t>
      </w:r>
      <w:r>
        <w:rPr>
          <w:rFonts w:ascii="Arial MT" w:hAnsi="Arial MT"/>
          <w:spacing w:val="-2"/>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Disponibilidade,</w:t>
      </w:r>
      <w:r>
        <w:rPr>
          <w:rFonts w:ascii="Arial MT" w:hAnsi="Arial MT"/>
          <w:spacing w:val="-1"/>
          <w:sz w:val="16"/>
        </w:rPr>
        <w:t xml:space="preserve"> </w:t>
      </w:r>
      <w:r>
        <w:rPr>
          <w:rFonts w:ascii="Arial MT" w:hAnsi="Arial MT"/>
          <w:sz w:val="16"/>
        </w:rPr>
        <w:t>uma</w:t>
      </w:r>
      <w:r>
        <w:rPr>
          <w:rFonts w:ascii="Arial MT" w:hAnsi="Arial MT"/>
          <w:spacing w:val="-4"/>
          <w:sz w:val="16"/>
        </w:rPr>
        <w:t xml:space="preserve"> </w:t>
      </w:r>
      <w:r>
        <w:rPr>
          <w:rFonts w:ascii="Arial MT" w:hAnsi="Arial MT"/>
          <w:sz w:val="16"/>
        </w:rPr>
        <w:t>vez,</w:t>
      </w:r>
      <w:r>
        <w:rPr>
          <w:rFonts w:ascii="Arial MT" w:hAnsi="Arial MT"/>
          <w:spacing w:val="-1"/>
          <w:sz w:val="16"/>
        </w:rPr>
        <w:t xml:space="preserve"> </w:t>
      </w:r>
      <w:r>
        <w:rPr>
          <w:rFonts w:ascii="Arial MT" w:hAnsi="Arial MT"/>
          <w:sz w:val="16"/>
        </w:rPr>
        <w:t>que</w:t>
      </w:r>
      <w:r>
        <w:rPr>
          <w:rFonts w:ascii="Arial MT" w:hAnsi="Arial MT"/>
          <w:spacing w:val="-2"/>
          <w:sz w:val="16"/>
        </w:rPr>
        <w:t xml:space="preserve"> </w:t>
      </w:r>
      <w:r>
        <w:rPr>
          <w:rFonts w:ascii="Arial MT" w:hAnsi="Arial MT"/>
          <w:sz w:val="16"/>
        </w:rPr>
        <w:t>esse recurso não pode ser utilizado para a liquidação da Dívida Bruta.</w:t>
      </w:r>
    </w:p>
    <w:p w14:paraId="2C817814" w14:textId="77777777" w:rsidR="002C6574" w:rsidRDefault="00000000">
      <w:pPr>
        <w:spacing w:line="214" w:lineRule="exact"/>
        <w:ind w:left="427"/>
        <w:rPr>
          <w:rFonts w:ascii="Arial MT" w:hAnsi="Arial MT"/>
          <w:sz w:val="16"/>
        </w:rPr>
      </w:pPr>
      <w:bookmarkStart w:id="21" w:name="_bookmark21"/>
      <w:bookmarkEnd w:id="21"/>
      <w:r>
        <w:rPr>
          <w:rFonts w:ascii="Times New Roman" w:hAnsi="Times New Roman"/>
          <w:position w:val="7"/>
          <w:sz w:val="13"/>
        </w:rPr>
        <w:t>10</w:t>
      </w:r>
      <w:r>
        <w:rPr>
          <w:rFonts w:ascii="Times New Roman" w:hAnsi="Times New Roman"/>
          <w:spacing w:val="12"/>
          <w:position w:val="7"/>
          <w:sz w:val="13"/>
        </w:rPr>
        <w:t xml:space="preserve"> </w:t>
      </w:r>
      <w:r>
        <w:rPr>
          <w:rFonts w:ascii="Arial MT" w:hAnsi="Arial MT"/>
          <w:sz w:val="16"/>
        </w:rPr>
        <w:t>EBITDA</w:t>
      </w:r>
      <w:r>
        <w:rPr>
          <w:rFonts w:ascii="Arial MT" w:hAnsi="Arial MT"/>
          <w:spacing w:val="-6"/>
          <w:sz w:val="16"/>
        </w:rPr>
        <w:t xml:space="preserve"> </w:t>
      </w:r>
      <w:r>
        <w:rPr>
          <w:rFonts w:ascii="Arial MT" w:hAnsi="Arial MT"/>
          <w:sz w:val="16"/>
        </w:rPr>
        <w:t>anualizado:</w:t>
      </w:r>
      <w:r>
        <w:rPr>
          <w:rFonts w:ascii="Arial MT" w:hAnsi="Arial MT"/>
          <w:spacing w:val="-3"/>
          <w:sz w:val="16"/>
        </w:rPr>
        <w:t xml:space="preserve"> </w:t>
      </w:r>
      <w:r>
        <w:rPr>
          <w:rFonts w:ascii="Arial MT" w:hAnsi="Arial MT"/>
          <w:sz w:val="16"/>
        </w:rPr>
        <w:t>Representa</w:t>
      </w:r>
      <w:r>
        <w:rPr>
          <w:rFonts w:ascii="Arial MT" w:hAnsi="Arial MT"/>
          <w:spacing w:val="-6"/>
          <w:sz w:val="16"/>
        </w:rPr>
        <w:t xml:space="preserve"> </w:t>
      </w:r>
      <w:r>
        <w:rPr>
          <w:rFonts w:ascii="Arial MT" w:hAnsi="Arial MT"/>
          <w:sz w:val="16"/>
        </w:rPr>
        <w:t>o</w:t>
      </w:r>
      <w:r>
        <w:rPr>
          <w:rFonts w:ascii="Arial MT" w:hAnsi="Arial MT"/>
          <w:spacing w:val="-4"/>
          <w:sz w:val="16"/>
        </w:rPr>
        <w:t xml:space="preserve"> </w:t>
      </w:r>
      <w:r>
        <w:rPr>
          <w:rFonts w:ascii="Arial MT" w:hAnsi="Arial MT"/>
          <w:sz w:val="16"/>
        </w:rPr>
        <w:t>EBITDA</w:t>
      </w:r>
      <w:r>
        <w:rPr>
          <w:rFonts w:ascii="Arial MT" w:hAnsi="Arial MT"/>
          <w:spacing w:val="-4"/>
          <w:sz w:val="16"/>
        </w:rPr>
        <w:t xml:space="preserve"> </w:t>
      </w:r>
      <w:r>
        <w:rPr>
          <w:rFonts w:ascii="Arial MT" w:hAnsi="Arial MT"/>
          <w:sz w:val="16"/>
        </w:rPr>
        <w:t>do</w:t>
      </w:r>
      <w:r>
        <w:rPr>
          <w:rFonts w:ascii="Arial MT" w:hAnsi="Arial MT"/>
          <w:spacing w:val="-6"/>
          <w:sz w:val="16"/>
        </w:rPr>
        <w:t xml:space="preserve"> </w:t>
      </w:r>
      <w:r>
        <w:rPr>
          <w:rFonts w:ascii="Arial MT" w:hAnsi="Arial MT"/>
          <w:sz w:val="16"/>
        </w:rPr>
        <w:t>mês</w:t>
      </w:r>
      <w:r>
        <w:rPr>
          <w:rFonts w:ascii="Arial MT" w:hAnsi="Arial MT"/>
          <w:spacing w:val="-7"/>
          <w:sz w:val="16"/>
        </w:rPr>
        <w:t xml:space="preserve"> </w:t>
      </w:r>
      <w:r>
        <w:rPr>
          <w:rFonts w:ascii="Arial MT" w:hAnsi="Arial MT"/>
          <w:sz w:val="16"/>
        </w:rPr>
        <w:t>corrente</w:t>
      </w:r>
      <w:r>
        <w:rPr>
          <w:rFonts w:ascii="Arial MT" w:hAnsi="Arial MT"/>
          <w:spacing w:val="-4"/>
          <w:sz w:val="16"/>
        </w:rPr>
        <w:t xml:space="preserve"> </w:t>
      </w:r>
      <w:r>
        <w:rPr>
          <w:rFonts w:ascii="Arial MT" w:hAnsi="Arial MT"/>
          <w:sz w:val="16"/>
        </w:rPr>
        <w:t>somado</w:t>
      </w:r>
      <w:r>
        <w:rPr>
          <w:rFonts w:ascii="Arial MT" w:hAnsi="Arial MT"/>
          <w:spacing w:val="-5"/>
          <w:sz w:val="16"/>
        </w:rPr>
        <w:t xml:space="preserve"> </w:t>
      </w:r>
      <w:r>
        <w:rPr>
          <w:rFonts w:ascii="Arial MT" w:hAnsi="Arial MT"/>
          <w:sz w:val="16"/>
        </w:rPr>
        <w:t>ao</w:t>
      </w:r>
      <w:r>
        <w:rPr>
          <w:rFonts w:ascii="Arial MT" w:hAnsi="Arial MT"/>
          <w:spacing w:val="-4"/>
          <w:sz w:val="16"/>
        </w:rPr>
        <w:t xml:space="preserve"> </w:t>
      </w:r>
      <w:r>
        <w:rPr>
          <w:rFonts w:ascii="Arial MT" w:hAnsi="Arial MT"/>
          <w:sz w:val="16"/>
        </w:rPr>
        <w:t>EBITDA</w:t>
      </w:r>
      <w:r>
        <w:rPr>
          <w:rFonts w:ascii="Arial MT" w:hAnsi="Arial MT"/>
          <w:spacing w:val="-5"/>
          <w:sz w:val="16"/>
        </w:rPr>
        <w:t xml:space="preserve"> </w:t>
      </w:r>
      <w:r>
        <w:rPr>
          <w:rFonts w:ascii="Arial MT" w:hAnsi="Arial MT"/>
          <w:sz w:val="16"/>
        </w:rPr>
        <w:t>mensal</w:t>
      </w:r>
      <w:r>
        <w:rPr>
          <w:rFonts w:ascii="Arial MT" w:hAnsi="Arial MT"/>
          <w:spacing w:val="-6"/>
          <w:sz w:val="16"/>
        </w:rPr>
        <w:t xml:space="preserve"> </w:t>
      </w:r>
      <w:r>
        <w:rPr>
          <w:rFonts w:ascii="Arial MT" w:hAnsi="Arial MT"/>
          <w:sz w:val="16"/>
        </w:rPr>
        <w:t>dos</w:t>
      </w:r>
      <w:r>
        <w:rPr>
          <w:rFonts w:ascii="Arial MT" w:hAnsi="Arial MT"/>
          <w:spacing w:val="-6"/>
          <w:sz w:val="16"/>
        </w:rPr>
        <w:t xml:space="preserve"> </w:t>
      </w:r>
      <w:r>
        <w:rPr>
          <w:rFonts w:ascii="Arial MT" w:hAnsi="Arial MT"/>
          <w:sz w:val="16"/>
        </w:rPr>
        <w:t>onze</w:t>
      </w:r>
      <w:r>
        <w:rPr>
          <w:rFonts w:ascii="Arial MT" w:hAnsi="Arial MT"/>
          <w:spacing w:val="-7"/>
          <w:sz w:val="16"/>
        </w:rPr>
        <w:t xml:space="preserve"> </w:t>
      </w:r>
      <w:r>
        <w:rPr>
          <w:rFonts w:ascii="Arial MT" w:hAnsi="Arial MT"/>
          <w:sz w:val="16"/>
        </w:rPr>
        <w:t>meses</w:t>
      </w:r>
      <w:r>
        <w:rPr>
          <w:rFonts w:ascii="Arial MT" w:hAnsi="Arial MT"/>
          <w:spacing w:val="-5"/>
          <w:sz w:val="16"/>
        </w:rPr>
        <w:t xml:space="preserve"> </w:t>
      </w:r>
      <w:r>
        <w:rPr>
          <w:rFonts w:ascii="Arial MT" w:hAnsi="Arial MT"/>
          <w:spacing w:val="-2"/>
          <w:sz w:val="16"/>
        </w:rPr>
        <w:t>anteriores.</w:t>
      </w:r>
    </w:p>
    <w:p w14:paraId="7DE85C1F" w14:textId="77777777" w:rsidR="002C6574" w:rsidRDefault="002C6574">
      <w:pPr>
        <w:spacing w:line="214" w:lineRule="exact"/>
        <w:rPr>
          <w:rFonts w:ascii="Arial MT" w:hAnsi="Arial MT"/>
          <w:sz w:val="16"/>
        </w:rPr>
        <w:sectPr w:rsidR="002C6574">
          <w:pgSz w:w="11910" w:h="16840"/>
          <w:pgMar w:top="2200" w:right="425" w:bottom="1200" w:left="425" w:header="1197" w:footer="994" w:gutter="0"/>
          <w:cols w:space="720"/>
        </w:sectPr>
      </w:pPr>
    </w:p>
    <w:p w14:paraId="56230EB1" w14:textId="77777777" w:rsidR="002C6574" w:rsidRDefault="002C6574">
      <w:pPr>
        <w:pStyle w:val="Corpodetexto"/>
        <w:spacing w:before="35"/>
        <w:rPr>
          <w:rFonts w:ascii="Arial MT"/>
          <w:sz w:val="19"/>
        </w:rPr>
      </w:pPr>
    </w:p>
    <w:p w14:paraId="19F778D7" w14:textId="77777777" w:rsidR="002C6574" w:rsidRDefault="00000000">
      <w:pPr>
        <w:pStyle w:val="Ttulo8"/>
        <w:rPr>
          <w:rFonts w:ascii="Arial" w:hAnsi="Arial"/>
        </w:rPr>
      </w:pPr>
      <w:r>
        <w:rPr>
          <w:rFonts w:ascii="Arial" w:hAnsi="Arial"/>
          <w:noProof/>
        </w:rPr>
        <mc:AlternateContent>
          <mc:Choice Requires="wpg">
            <w:drawing>
              <wp:anchor distT="0" distB="0" distL="0" distR="0" simplePos="0" relativeHeight="15782400" behindDoc="0" locked="0" layoutInCell="1" allowOverlap="1" wp14:anchorId="4489393C" wp14:editId="5F65899A">
                <wp:simplePos x="0" y="0"/>
                <wp:positionH relativeFrom="page">
                  <wp:posOffset>443483</wp:posOffset>
                </wp:positionH>
                <wp:positionV relativeFrom="paragraph">
                  <wp:posOffset>-165018</wp:posOffset>
                </wp:positionV>
                <wp:extent cx="6922134" cy="105410"/>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134" cy="105410"/>
                          <a:chOff x="0" y="0"/>
                          <a:chExt cx="6922134" cy="105410"/>
                        </a:xfrm>
                      </wpg:grpSpPr>
                      <pic:pic xmlns:pic="http://schemas.openxmlformats.org/drawingml/2006/picture">
                        <pic:nvPicPr>
                          <pic:cNvPr id="421" name="Image 421"/>
                          <pic:cNvPicPr/>
                        </pic:nvPicPr>
                        <pic:blipFill>
                          <a:blip r:embed="rId213" cstate="print"/>
                          <a:stretch>
                            <a:fillRect/>
                          </a:stretch>
                        </pic:blipFill>
                        <pic:spPr>
                          <a:xfrm>
                            <a:off x="0" y="0"/>
                            <a:ext cx="6922008" cy="105155"/>
                          </a:xfrm>
                          <a:prstGeom prst="rect">
                            <a:avLst/>
                          </a:prstGeom>
                        </pic:spPr>
                      </pic:pic>
                      <wps:wsp>
                        <wps:cNvPr id="422" name="Graphic 422"/>
                        <wps:cNvSpPr/>
                        <wps:spPr>
                          <a:xfrm>
                            <a:off x="42290" y="34925"/>
                            <a:ext cx="6829425" cy="1270"/>
                          </a:xfrm>
                          <a:custGeom>
                            <a:avLst/>
                            <a:gdLst/>
                            <a:ahLst/>
                            <a:cxnLst/>
                            <a:rect l="l" t="t" r="r" b="b"/>
                            <a:pathLst>
                              <a:path w="6829425">
                                <a:moveTo>
                                  <a:pt x="0" y="0"/>
                                </a:moveTo>
                                <a:lnTo>
                                  <a:pt x="6829425" y="0"/>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67392694" id="Group 420" o:spid="_x0000_s1026" style="position:absolute;margin-left:34.9pt;margin-top:-13pt;width:545.05pt;height:8.3pt;z-index:15782400;mso-wrap-distance-left:0;mso-wrap-distance-right:0;mso-position-horizontal-relative:page" coordsize="69221,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">
                <v:shape id="Image 421" o:spid="_x0000_s1027" type="#_x0000_t75" style="position:absolute;width:692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">
                  <v:imagedata r:id="rId214" o:title=""/>
                </v:shape>
                <v:shape id="Graphic 422" o:spid="_x0000_s1028" style="position:absolute;left:422;top:349;width:68295;height:12;visibility:visible;mso-wrap-style:square;v-text-anchor:top" coordsize="682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" path="m,l6829425,e" filled="f" strokecolor="blue" strokeweight="2pt">
                  <v:path arrowok="t"/>
                </v:shape>
                <w10:wrap anchorx="page"/>
              </v:group>
            </w:pict>
          </mc:Fallback>
        </mc:AlternateContent>
      </w:r>
      <w:r>
        <w:rPr>
          <w:rFonts w:ascii="Arial" w:hAnsi="Arial"/>
          <w:smallCaps/>
          <w:u w:val="single"/>
        </w:rPr>
        <w:t>Comportamento</w:t>
      </w:r>
      <w:r>
        <w:rPr>
          <w:rFonts w:ascii="Arial" w:hAnsi="Arial"/>
          <w:smallCaps/>
          <w:spacing w:val="-14"/>
          <w:u w:val="single"/>
        </w:rPr>
        <w:t xml:space="preserve"> </w:t>
      </w:r>
      <w:r>
        <w:rPr>
          <w:rFonts w:ascii="Arial" w:hAnsi="Arial"/>
          <w:smallCaps/>
          <w:u w:val="single"/>
        </w:rPr>
        <w:t>dos</w:t>
      </w:r>
      <w:r>
        <w:rPr>
          <w:rFonts w:ascii="Arial" w:hAnsi="Arial"/>
          <w:smallCaps/>
          <w:spacing w:val="-13"/>
          <w:u w:val="single"/>
        </w:rPr>
        <w:t xml:space="preserve"> </w:t>
      </w:r>
      <w:r>
        <w:rPr>
          <w:rFonts w:ascii="Arial" w:hAnsi="Arial"/>
          <w:smallCaps/>
          <w:u w:val="single"/>
        </w:rPr>
        <w:t>Componentes</w:t>
      </w:r>
      <w:r>
        <w:rPr>
          <w:rFonts w:ascii="Arial" w:hAnsi="Arial"/>
          <w:smallCaps/>
          <w:spacing w:val="-10"/>
          <w:u w:val="single"/>
        </w:rPr>
        <w:t xml:space="preserve"> </w:t>
      </w:r>
      <w:r>
        <w:rPr>
          <w:rFonts w:ascii="Arial" w:hAnsi="Arial"/>
          <w:smallCaps/>
          <w:u w:val="single"/>
        </w:rPr>
        <w:t>da</w:t>
      </w:r>
      <w:r>
        <w:rPr>
          <w:rFonts w:ascii="Arial" w:hAnsi="Arial"/>
          <w:smallCaps/>
          <w:spacing w:val="-8"/>
          <w:u w:val="single"/>
        </w:rPr>
        <w:t xml:space="preserve"> </w:t>
      </w:r>
      <w:r>
        <w:rPr>
          <w:rFonts w:ascii="Arial" w:hAnsi="Arial"/>
          <w:smallCaps/>
          <w:u w:val="single"/>
        </w:rPr>
        <w:t>Dívida</w:t>
      </w:r>
      <w:r>
        <w:rPr>
          <w:rFonts w:ascii="Arial" w:hAnsi="Arial"/>
          <w:smallCaps/>
          <w:spacing w:val="-8"/>
          <w:u w:val="single"/>
        </w:rPr>
        <w:t xml:space="preserve"> </w:t>
      </w:r>
      <w:r>
        <w:rPr>
          <w:rFonts w:ascii="Arial" w:hAnsi="Arial"/>
          <w:smallCaps/>
          <w:u w:val="single"/>
        </w:rPr>
        <w:t>Líquida</w:t>
      </w:r>
      <w:r>
        <w:rPr>
          <w:rFonts w:ascii="Arial" w:hAnsi="Arial"/>
          <w:smallCaps/>
          <w:spacing w:val="-9"/>
          <w:u w:val="single"/>
        </w:rPr>
        <w:t xml:space="preserve"> </w:t>
      </w:r>
      <w:r>
        <w:rPr>
          <w:rFonts w:ascii="Arial" w:hAnsi="Arial"/>
          <w:smallCaps/>
          <w:u w:val="single"/>
        </w:rPr>
        <w:t>–</w:t>
      </w:r>
      <w:r>
        <w:rPr>
          <w:rFonts w:ascii="Arial" w:hAnsi="Arial"/>
          <w:smallCaps/>
          <w:spacing w:val="-13"/>
          <w:u w:val="single"/>
        </w:rPr>
        <w:t xml:space="preserve"> </w:t>
      </w:r>
      <w:r>
        <w:rPr>
          <w:rFonts w:ascii="Arial" w:hAnsi="Arial"/>
          <w:smallCaps/>
          <w:u w:val="single"/>
        </w:rPr>
        <w:t>R$</w:t>
      </w:r>
      <w:r>
        <w:rPr>
          <w:rFonts w:ascii="Arial" w:hAnsi="Arial"/>
          <w:smallCaps/>
          <w:spacing w:val="-13"/>
          <w:u w:val="single"/>
        </w:rPr>
        <w:t xml:space="preserve"> </w:t>
      </w:r>
      <w:r>
        <w:rPr>
          <w:rFonts w:ascii="Arial" w:hAnsi="Arial"/>
          <w:smallCaps/>
          <w:spacing w:val="-5"/>
          <w:u w:val="single"/>
        </w:rPr>
        <w:t>mil</w:t>
      </w:r>
    </w:p>
    <w:p w14:paraId="45E39018" w14:textId="77777777" w:rsidR="002C6574" w:rsidRDefault="002C6574">
      <w:pPr>
        <w:pStyle w:val="Corpodetexto"/>
        <w:rPr>
          <w:rFonts w:ascii="Arial"/>
          <w:b/>
          <w:sz w:val="20"/>
        </w:rPr>
      </w:pPr>
    </w:p>
    <w:p w14:paraId="461BC734" w14:textId="77777777" w:rsidR="002C6574" w:rsidRDefault="002C6574">
      <w:pPr>
        <w:pStyle w:val="Corpodetexto"/>
        <w:rPr>
          <w:rFonts w:ascii="Arial"/>
          <w:b/>
          <w:sz w:val="20"/>
        </w:rPr>
      </w:pPr>
    </w:p>
    <w:p w14:paraId="32B5F19B" w14:textId="77777777" w:rsidR="002C6574" w:rsidRDefault="002C6574">
      <w:pPr>
        <w:pStyle w:val="Corpodetexto"/>
        <w:rPr>
          <w:rFonts w:ascii="Arial"/>
          <w:b/>
          <w:sz w:val="20"/>
        </w:rPr>
      </w:pPr>
    </w:p>
    <w:p w14:paraId="09028760" w14:textId="77777777" w:rsidR="002C6574" w:rsidRDefault="00000000">
      <w:pPr>
        <w:pStyle w:val="Corpodetexto"/>
        <w:spacing w:before="173"/>
        <w:rPr>
          <w:rFonts w:ascii="Arial"/>
          <w:b/>
          <w:sz w:val="20"/>
        </w:rPr>
      </w:pPr>
      <w:r>
        <w:rPr>
          <w:rFonts w:ascii="Arial"/>
          <w:b/>
          <w:noProof/>
          <w:sz w:val="20"/>
        </w:rPr>
        <mc:AlternateContent>
          <mc:Choice Requires="wpg">
            <w:drawing>
              <wp:anchor distT="0" distB="0" distL="0" distR="0" simplePos="0" relativeHeight="487641088" behindDoc="1" locked="0" layoutInCell="1" allowOverlap="1" wp14:anchorId="555CC717" wp14:editId="634E97A4">
                <wp:simplePos x="0" y="0"/>
                <wp:positionH relativeFrom="page">
                  <wp:posOffset>722668</wp:posOffset>
                </wp:positionH>
                <wp:positionV relativeFrom="paragraph">
                  <wp:posOffset>271564</wp:posOffset>
                </wp:positionV>
                <wp:extent cx="6373495" cy="772160"/>
                <wp:effectExtent l="0" t="0" r="0" b="0"/>
                <wp:wrapTopAndBottom/>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3495" cy="772160"/>
                          <a:chOff x="0" y="0"/>
                          <a:chExt cx="6373495" cy="772160"/>
                        </a:xfrm>
                      </wpg:grpSpPr>
                      <wps:wsp>
                        <wps:cNvPr id="424" name="Graphic 424"/>
                        <wps:cNvSpPr/>
                        <wps:spPr>
                          <a:xfrm>
                            <a:off x="0" y="759173"/>
                            <a:ext cx="6373495" cy="1270"/>
                          </a:xfrm>
                          <a:custGeom>
                            <a:avLst/>
                            <a:gdLst/>
                            <a:ahLst/>
                            <a:cxnLst/>
                            <a:rect l="l" t="t" r="r" b="b"/>
                            <a:pathLst>
                              <a:path w="6373495">
                                <a:moveTo>
                                  <a:pt x="5342216" y="0"/>
                                </a:moveTo>
                                <a:lnTo>
                                  <a:pt x="6373456" y="0"/>
                                </a:lnTo>
                              </a:path>
                              <a:path w="6373495">
                                <a:moveTo>
                                  <a:pt x="0" y="0"/>
                                </a:moveTo>
                                <a:lnTo>
                                  <a:pt x="5278208" y="0"/>
                                </a:lnTo>
                              </a:path>
                            </a:pathLst>
                          </a:custGeom>
                          <a:ln w="9525">
                            <a:solidFill>
                              <a:srgbClr val="D9D9D9"/>
                            </a:solidFill>
                            <a:prstDash val="solid"/>
                          </a:ln>
                        </wps:spPr>
                        <wps:bodyPr wrap="square" lIns="0" tIns="0" rIns="0" bIns="0" rtlCol="0">
                          <a:prstTxWarp prst="textNoShape">
                            <a:avLst/>
                          </a:prstTxWarp>
                          <a:noAutofit/>
                        </wps:bodyPr>
                      </wps:wsp>
                      <wps:wsp>
                        <wps:cNvPr id="425" name="Graphic 425"/>
                        <wps:cNvSpPr/>
                        <wps:spPr>
                          <a:xfrm>
                            <a:off x="1062189" y="474312"/>
                            <a:ext cx="4249420" cy="260985"/>
                          </a:xfrm>
                          <a:custGeom>
                            <a:avLst/>
                            <a:gdLst/>
                            <a:ahLst/>
                            <a:cxnLst/>
                            <a:rect l="l" t="t" r="r" b="b"/>
                            <a:pathLst>
                              <a:path w="4249420" h="260985">
                                <a:moveTo>
                                  <a:pt x="0" y="0"/>
                                </a:moveTo>
                                <a:lnTo>
                                  <a:pt x="2124202" y="74422"/>
                                </a:lnTo>
                                <a:lnTo>
                                  <a:pt x="4249039" y="260985"/>
                                </a:lnTo>
                              </a:path>
                            </a:pathLst>
                          </a:custGeom>
                          <a:ln w="28574">
                            <a:solidFill>
                              <a:srgbClr val="FFC000"/>
                            </a:solidFill>
                            <a:prstDash val="solid"/>
                          </a:ln>
                        </wps:spPr>
                        <wps:bodyPr wrap="square" lIns="0" tIns="0" rIns="0" bIns="0" rtlCol="0">
                          <a:prstTxWarp prst="textNoShape">
                            <a:avLst/>
                          </a:prstTxWarp>
                          <a:noAutofit/>
                        </wps:bodyPr>
                      </wps:wsp>
                      <wps:wsp>
                        <wps:cNvPr id="426" name="Graphic 426"/>
                        <wps:cNvSpPr/>
                        <wps:spPr>
                          <a:xfrm>
                            <a:off x="1029296" y="442435"/>
                            <a:ext cx="64135" cy="60960"/>
                          </a:xfrm>
                          <a:custGeom>
                            <a:avLst/>
                            <a:gdLst/>
                            <a:ahLst/>
                            <a:cxnLst/>
                            <a:rect l="l" t="t" r="r" b="b"/>
                            <a:pathLst>
                              <a:path w="64135" h="60960">
                                <a:moveTo>
                                  <a:pt x="0" y="60960"/>
                                </a:moveTo>
                                <a:lnTo>
                                  <a:pt x="64007" y="60960"/>
                                </a:lnTo>
                                <a:lnTo>
                                  <a:pt x="64007" y="0"/>
                                </a:lnTo>
                                <a:lnTo>
                                  <a:pt x="0" y="0"/>
                                </a:lnTo>
                                <a:lnTo>
                                  <a:pt x="0" y="60960"/>
                                </a:lnTo>
                                <a:close/>
                              </a:path>
                            </a:pathLst>
                          </a:custGeom>
                          <a:solidFill>
                            <a:srgbClr val="FFC000"/>
                          </a:solidFill>
                        </wps:spPr>
                        <wps:bodyPr wrap="square" lIns="0" tIns="0" rIns="0" bIns="0" rtlCol="0">
                          <a:prstTxWarp prst="textNoShape">
                            <a:avLst/>
                          </a:prstTxWarp>
                          <a:noAutofit/>
                        </wps:bodyPr>
                      </wps:wsp>
                      <wps:wsp>
                        <wps:cNvPr id="427" name="Graphic 427"/>
                        <wps:cNvSpPr/>
                        <wps:spPr>
                          <a:xfrm>
                            <a:off x="1029296" y="442435"/>
                            <a:ext cx="64135" cy="64135"/>
                          </a:xfrm>
                          <a:custGeom>
                            <a:avLst/>
                            <a:gdLst/>
                            <a:ahLst/>
                            <a:cxnLst/>
                            <a:rect l="l" t="t" r="r" b="b"/>
                            <a:pathLst>
                              <a:path w="64135" h="64135">
                                <a:moveTo>
                                  <a:pt x="0" y="64007"/>
                                </a:moveTo>
                                <a:lnTo>
                                  <a:pt x="64007" y="64007"/>
                                </a:lnTo>
                                <a:lnTo>
                                  <a:pt x="64007" y="0"/>
                                </a:lnTo>
                                <a:lnTo>
                                  <a:pt x="0" y="0"/>
                                </a:lnTo>
                                <a:lnTo>
                                  <a:pt x="0" y="64007"/>
                                </a:lnTo>
                                <a:close/>
                              </a:path>
                            </a:pathLst>
                          </a:custGeom>
                          <a:ln w="9525">
                            <a:solidFill>
                              <a:srgbClr val="FFC000"/>
                            </a:solidFill>
                            <a:prstDash val="solid"/>
                          </a:ln>
                        </wps:spPr>
                        <wps:bodyPr wrap="square" lIns="0" tIns="0" rIns="0" bIns="0" rtlCol="0">
                          <a:prstTxWarp prst="textNoShape">
                            <a:avLst/>
                          </a:prstTxWarp>
                          <a:noAutofit/>
                        </wps:bodyPr>
                      </wps:wsp>
                      <wps:wsp>
                        <wps:cNvPr id="428" name="Graphic 428"/>
                        <wps:cNvSpPr/>
                        <wps:spPr>
                          <a:xfrm>
                            <a:off x="3153752" y="517111"/>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FFC000"/>
                          </a:solidFill>
                        </wps:spPr>
                        <wps:bodyPr wrap="square" lIns="0" tIns="0" rIns="0" bIns="0" rtlCol="0">
                          <a:prstTxWarp prst="textNoShape">
                            <a:avLst/>
                          </a:prstTxWarp>
                          <a:noAutofit/>
                        </wps:bodyPr>
                      </wps:wsp>
                      <wps:wsp>
                        <wps:cNvPr id="429" name="Graphic 429"/>
                        <wps:cNvSpPr/>
                        <wps:spPr>
                          <a:xfrm>
                            <a:off x="3153752" y="517111"/>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9525">
                            <a:solidFill>
                              <a:srgbClr val="FFC000"/>
                            </a:solidFill>
                            <a:prstDash val="solid"/>
                          </a:ln>
                        </wps:spPr>
                        <wps:bodyPr wrap="square" lIns="0" tIns="0" rIns="0" bIns="0" rtlCol="0">
                          <a:prstTxWarp prst="textNoShape">
                            <a:avLst/>
                          </a:prstTxWarp>
                          <a:noAutofit/>
                        </wps:bodyPr>
                      </wps:wsp>
                      <wps:wsp>
                        <wps:cNvPr id="430" name="Graphic 430"/>
                        <wps:cNvSpPr/>
                        <wps:spPr>
                          <a:xfrm>
                            <a:off x="5278208" y="703039"/>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FFC000"/>
                          </a:solidFill>
                        </wps:spPr>
                        <wps:bodyPr wrap="square" lIns="0" tIns="0" rIns="0" bIns="0" rtlCol="0">
                          <a:prstTxWarp prst="textNoShape">
                            <a:avLst/>
                          </a:prstTxWarp>
                          <a:noAutofit/>
                        </wps:bodyPr>
                      </wps:wsp>
                      <wps:wsp>
                        <wps:cNvPr id="431" name="Graphic 431"/>
                        <wps:cNvSpPr/>
                        <wps:spPr>
                          <a:xfrm>
                            <a:off x="5278208" y="703039"/>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9525">
                            <a:solidFill>
                              <a:srgbClr val="FFC000"/>
                            </a:solidFill>
                            <a:prstDash val="solid"/>
                          </a:ln>
                        </wps:spPr>
                        <wps:bodyPr wrap="square" lIns="0" tIns="0" rIns="0" bIns="0" rtlCol="0">
                          <a:prstTxWarp prst="textNoShape">
                            <a:avLst/>
                          </a:prstTxWarp>
                          <a:noAutofit/>
                        </wps:bodyPr>
                      </wps:wsp>
                      <wps:wsp>
                        <wps:cNvPr id="432" name="Graphic 432"/>
                        <wps:cNvSpPr/>
                        <wps:spPr>
                          <a:xfrm>
                            <a:off x="1062189" y="86708"/>
                            <a:ext cx="4249420" cy="205104"/>
                          </a:xfrm>
                          <a:custGeom>
                            <a:avLst/>
                            <a:gdLst/>
                            <a:ahLst/>
                            <a:cxnLst/>
                            <a:rect l="l" t="t" r="r" b="b"/>
                            <a:pathLst>
                              <a:path w="4249420" h="205104">
                                <a:moveTo>
                                  <a:pt x="0" y="204850"/>
                                </a:moveTo>
                                <a:lnTo>
                                  <a:pt x="2124202" y="173990"/>
                                </a:lnTo>
                                <a:lnTo>
                                  <a:pt x="4249039" y="0"/>
                                </a:lnTo>
                              </a:path>
                            </a:pathLst>
                          </a:custGeom>
                          <a:ln w="28575">
                            <a:solidFill>
                              <a:srgbClr val="75F6F8"/>
                            </a:solidFill>
                            <a:prstDash val="solid"/>
                          </a:ln>
                        </wps:spPr>
                        <wps:bodyPr wrap="square" lIns="0" tIns="0" rIns="0" bIns="0" rtlCol="0">
                          <a:prstTxWarp prst="textNoShape">
                            <a:avLst/>
                          </a:prstTxWarp>
                          <a:noAutofit/>
                        </wps:bodyPr>
                      </wps:wsp>
                      <wps:wsp>
                        <wps:cNvPr id="433" name="Graphic 433"/>
                        <wps:cNvSpPr/>
                        <wps:spPr>
                          <a:xfrm>
                            <a:off x="1029296" y="259555"/>
                            <a:ext cx="64135" cy="64135"/>
                          </a:xfrm>
                          <a:custGeom>
                            <a:avLst/>
                            <a:gdLst/>
                            <a:ahLst/>
                            <a:cxnLst/>
                            <a:rect l="l" t="t" r="r" b="b"/>
                            <a:pathLst>
                              <a:path w="64135" h="64135">
                                <a:moveTo>
                                  <a:pt x="64007" y="0"/>
                                </a:moveTo>
                                <a:lnTo>
                                  <a:pt x="0" y="0"/>
                                </a:lnTo>
                                <a:lnTo>
                                  <a:pt x="0" y="64007"/>
                                </a:lnTo>
                                <a:lnTo>
                                  <a:pt x="64007" y="64007"/>
                                </a:lnTo>
                                <a:lnTo>
                                  <a:pt x="64007" y="0"/>
                                </a:lnTo>
                                <a:close/>
                              </a:path>
                            </a:pathLst>
                          </a:custGeom>
                          <a:solidFill>
                            <a:srgbClr val="75F6F8"/>
                          </a:solidFill>
                        </wps:spPr>
                        <wps:bodyPr wrap="square" lIns="0" tIns="0" rIns="0" bIns="0" rtlCol="0">
                          <a:prstTxWarp prst="textNoShape">
                            <a:avLst/>
                          </a:prstTxWarp>
                          <a:noAutofit/>
                        </wps:bodyPr>
                      </wps:wsp>
                      <wps:wsp>
                        <wps:cNvPr id="434" name="Graphic 434"/>
                        <wps:cNvSpPr/>
                        <wps:spPr>
                          <a:xfrm>
                            <a:off x="1029296" y="259555"/>
                            <a:ext cx="64135" cy="64135"/>
                          </a:xfrm>
                          <a:custGeom>
                            <a:avLst/>
                            <a:gdLst/>
                            <a:ahLst/>
                            <a:cxnLst/>
                            <a:rect l="l" t="t" r="r" b="b"/>
                            <a:pathLst>
                              <a:path w="64135" h="64135">
                                <a:moveTo>
                                  <a:pt x="0" y="64007"/>
                                </a:moveTo>
                                <a:lnTo>
                                  <a:pt x="64007" y="64007"/>
                                </a:lnTo>
                                <a:lnTo>
                                  <a:pt x="64007" y="0"/>
                                </a:lnTo>
                                <a:lnTo>
                                  <a:pt x="0" y="0"/>
                                </a:lnTo>
                                <a:lnTo>
                                  <a:pt x="0" y="64007"/>
                                </a:lnTo>
                                <a:close/>
                              </a:path>
                            </a:pathLst>
                          </a:custGeom>
                          <a:ln w="9525">
                            <a:solidFill>
                              <a:srgbClr val="75F6F8"/>
                            </a:solidFill>
                            <a:prstDash val="solid"/>
                          </a:ln>
                        </wps:spPr>
                        <wps:bodyPr wrap="square" lIns="0" tIns="0" rIns="0" bIns="0" rtlCol="0">
                          <a:prstTxWarp prst="textNoShape">
                            <a:avLst/>
                          </a:prstTxWarp>
                          <a:noAutofit/>
                        </wps:bodyPr>
                      </wps:wsp>
                      <wps:wsp>
                        <wps:cNvPr id="435" name="Graphic 435"/>
                        <wps:cNvSpPr/>
                        <wps:spPr>
                          <a:xfrm>
                            <a:off x="3153752" y="229075"/>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75F6F8"/>
                          </a:solidFill>
                        </wps:spPr>
                        <wps:bodyPr wrap="square" lIns="0" tIns="0" rIns="0" bIns="0" rtlCol="0">
                          <a:prstTxWarp prst="textNoShape">
                            <a:avLst/>
                          </a:prstTxWarp>
                          <a:noAutofit/>
                        </wps:bodyPr>
                      </wps:wsp>
                      <wps:wsp>
                        <wps:cNvPr id="436" name="Graphic 436"/>
                        <wps:cNvSpPr/>
                        <wps:spPr>
                          <a:xfrm>
                            <a:off x="3153752" y="229075"/>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9525">
                            <a:solidFill>
                              <a:srgbClr val="75F6F8"/>
                            </a:solidFill>
                            <a:prstDash val="solid"/>
                          </a:ln>
                        </wps:spPr>
                        <wps:bodyPr wrap="square" lIns="0" tIns="0" rIns="0" bIns="0" rtlCol="0">
                          <a:prstTxWarp prst="textNoShape">
                            <a:avLst/>
                          </a:prstTxWarp>
                          <a:noAutofit/>
                        </wps:bodyPr>
                      </wps:wsp>
                      <wps:wsp>
                        <wps:cNvPr id="437" name="Graphic 437"/>
                        <wps:cNvSpPr/>
                        <wps:spPr>
                          <a:xfrm>
                            <a:off x="5278208" y="55339"/>
                            <a:ext cx="64135" cy="58419"/>
                          </a:xfrm>
                          <a:custGeom>
                            <a:avLst/>
                            <a:gdLst/>
                            <a:ahLst/>
                            <a:cxnLst/>
                            <a:rect l="l" t="t" r="r" b="b"/>
                            <a:pathLst>
                              <a:path w="64135" h="58419">
                                <a:moveTo>
                                  <a:pt x="0" y="57911"/>
                                </a:moveTo>
                                <a:lnTo>
                                  <a:pt x="64008" y="57911"/>
                                </a:lnTo>
                                <a:lnTo>
                                  <a:pt x="64008" y="0"/>
                                </a:lnTo>
                                <a:lnTo>
                                  <a:pt x="0" y="0"/>
                                </a:lnTo>
                                <a:lnTo>
                                  <a:pt x="0" y="57911"/>
                                </a:lnTo>
                                <a:close/>
                              </a:path>
                            </a:pathLst>
                          </a:custGeom>
                          <a:solidFill>
                            <a:srgbClr val="75F6F8"/>
                          </a:solidFill>
                        </wps:spPr>
                        <wps:bodyPr wrap="square" lIns="0" tIns="0" rIns="0" bIns="0" rtlCol="0">
                          <a:prstTxWarp prst="textNoShape">
                            <a:avLst/>
                          </a:prstTxWarp>
                          <a:noAutofit/>
                        </wps:bodyPr>
                      </wps:wsp>
                      <wps:wsp>
                        <wps:cNvPr id="438" name="Graphic 438"/>
                        <wps:cNvSpPr/>
                        <wps:spPr>
                          <a:xfrm>
                            <a:off x="5278208" y="55339"/>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9525">
                            <a:solidFill>
                              <a:srgbClr val="75F6F8"/>
                            </a:solidFill>
                            <a:prstDash val="solid"/>
                          </a:ln>
                        </wps:spPr>
                        <wps:bodyPr wrap="square" lIns="0" tIns="0" rIns="0" bIns="0" rtlCol="0">
                          <a:prstTxWarp prst="textNoShape">
                            <a:avLst/>
                          </a:prstTxWarp>
                          <a:noAutofit/>
                        </wps:bodyPr>
                      </wps:wsp>
                      <wps:wsp>
                        <wps:cNvPr id="439" name="Graphic 439"/>
                        <wps:cNvSpPr/>
                        <wps:spPr>
                          <a:xfrm>
                            <a:off x="1062189" y="145636"/>
                            <a:ext cx="4249420" cy="390525"/>
                          </a:xfrm>
                          <a:custGeom>
                            <a:avLst/>
                            <a:gdLst/>
                            <a:ahLst/>
                            <a:cxnLst/>
                            <a:rect l="l" t="t" r="r" b="b"/>
                            <a:pathLst>
                              <a:path w="4249420" h="390525">
                                <a:moveTo>
                                  <a:pt x="0" y="390017"/>
                                </a:moveTo>
                                <a:lnTo>
                                  <a:pt x="2124202" y="267462"/>
                                </a:lnTo>
                                <a:lnTo>
                                  <a:pt x="4249039" y="0"/>
                                </a:lnTo>
                              </a:path>
                            </a:pathLst>
                          </a:custGeom>
                          <a:ln w="28575">
                            <a:solidFill>
                              <a:srgbClr val="FF0000"/>
                            </a:solidFill>
                            <a:prstDash val="solid"/>
                          </a:ln>
                        </wps:spPr>
                        <wps:bodyPr wrap="square" lIns="0" tIns="0" rIns="0" bIns="0" rtlCol="0">
                          <a:prstTxWarp prst="textNoShape">
                            <a:avLst/>
                          </a:prstTxWarp>
                          <a:noAutofit/>
                        </wps:bodyPr>
                      </wps:wsp>
                      <wps:wsp>
                        <wps:cNvPr id="440" name="Graphic 440"/>
                        <wps:cNvSpPr/>
                        <wps:spPr>
                          <a:xfrm>
                            <a:off x="1029296" y="503395"/>
                            <a:ext cx="64135" cy="64135"/>
                          </a:xfrm>
                          <a:custGeom>
                            <a:avLst/>
                            <a:gdLst/>
                            <a:ahLst/>
                            <a:cxnLst/>
                            <a:rect l="l" t="t" r="r" b="b"/>
                            <a:pathLst>
                              <a:path w="64135" h="64135">
                                <a:moveTo>
                                  <a:pt x="64007" y="0"/>
                                </a:moveTo>
                                <a:lnTo>
                                  <a:pt x="0" y="0"/>
                                </a:lnTo>
                                <a:lnTo>
                                  <a:pt x="0" y="64007"/>
                                </a:lnTo>
                                <a:lnTo>
                                  <a:pt x="64007" y="64007"/>
                                </a:lnTo>
                                <a:lnTo>
                                  <a:pt x="64007" y="0"/>
                                </a:lnTo>
                                <a:close/>
                              </a:path>
                            </a:pathLst>
                          </a:custGeom>
                          <a:solidFill>
                            <a:srgbClr val="FF0000"/>
                          </a:solidFill>
                        </wps:spPr>
                        <wps:bodyPr wrap="square" lIns="0" tIns="0" rIns="0" bIns="0" rtlCol="0">
                          <a:prstTxWarp prst="textNoShape">
                            <a:avLst/>
                          </a:prstTxWarp>
                          <a:noAutofit/>
                        </wps:bodyPr>
                      </wps:wsp>
                      <wps:wsp>
                        <wps:cNvPr id="441" name="Graphic 441"/>
                        <wps:cNvSpPr/>
                        <wps:spPr>
                          <a:xfrm>
                            <a:off x="1029296" y="503395"/>
                            <a:ext cx="64135" cy="64135"/>
                          </a:xfrm>
                          <a:custGeom>
                            <a:avLst/>
                            <a:gdLst/>
                            <a:ahLst/>
                            <a:cxnLst/>
                            <a:rect l="l" t="t" r="r" b="b"/>
                            <a:pathLst>
                              <a:path w="64135" h="64135">
                                <a:moveTo>
                                  <a:pt x="0" y="64007"/>
                                </a:moveTo>
                                <a:lnTo>
                                  <a:pt x="64007" y="64007"/>
                                </a:lnTo>
                                <a:lnTo>
                                  <a:pt x="64007" y="0"/>
                                </a:lnTo>
                                <a:lnTo>
                                  <a:pt x="0" y="0"/>
                                </a:lnTo>
                                <a:lnTo>
                                  <a:pt x="0" y="64007"/>
                                </a:lnTo>
                                <a:close/>
                              </a:path>
                            </a:pathLst>
                          </a:custGeom>
                          <a:ln w="9525">
                            <a:solidFill>
                              <a:srgbClr val="FF0000"/>
                            </a:solidFill>
                            <a:prstDash val="solid"/>
                          </a:ln>
                        </wps:spPr>
                        <wps:bodyPr wrap="square" lIns="0" tIns="0" rIns="0" bIns="0" rtlCol="0">
                          <a:prstTxWarp prst="textNoShape">
                            <a:avLst/>
                          </a:prstTxWarp>
                          <a:noAutofit/>
                        </wps:bodyPr>
                      </wps:wsp>
                      <wps:wsp>
                        <wps:cNvPr id="442" name="Graphic 442"/>
                        <wps:cNvSpPr/>
                        <wps:spPr>
                          <a:xfrm>
                            <a:off x="3153752" y="381475"/>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FF0000"/>
                          </a:solidFill>
                        </wps:spPr>
                        <wps:bodyPr wrap="square" lIns="0" tIns="0" rIns="0" bIns="0" rtlCol="0">
                          <a:prstTxWarp prst="textNoShape">
                            <a:avLst/>
                          </a:prstTxWarp>
                          <a:noAutofit/>
                        </wps:bodyPr>
                      </wps:wsp>
                      <wps:wsp>
                        <wps:cNvPr id="443" name="Graphic 443"/>
                        <wps:cNvSpPr/>
                        <wps:spPr>
                          <a:xfrm>
                            <a:off x="3153752" y="381475"/>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9525">
                            <a:solidFill>
                              <a:srgbClr val="FF0000"/>
                            </a:solidFill>
                            <a:prstDash val="solid"/>
                          </a:ln>
                        </wps:spPr>
                        <wps:bodyPr wrap="square" lIns="0" tIns="0" rIns="0" bIns="0" rtlCol="0">
                          <a:prstTxWarp prst="textNoShape">
                            <a:avLst/>
                          </a:prstTxWarp>
                          <a:noAutofit/>
                        </wps:bodyPr>
                      </wps:wsp>
                      <wps:wsp>
                        <wps:cNvPr id="444" name="Graphic 444"/>
                        <wps:cNvSpPr/>
                        <wps:spPr>
                          <a:xfrm>
                            <a:off x="5278208" y="113251"/>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FF0000"/>
                          </a:solidFill>
                        </wps:spPr>
                        <wps:bodyPr wrap="square" lIns="0" tIns="0" rIns="0" bIns="0" rtlCol="0">
                          <a:prstTxWarp prst="textNoShape">
                            <a:avLst/>
                          </a:prstTxWarp>
                          <a:noAutofit/>
                        </wps:bodyPr>
                      </wps:wsp>
                      <wps:wsp>
                        <wps:cNvPr id="445" name="Graphic 445"/>
                        <wps:cNvSpPr/>
                        <wps:spPr>
                          <a:xfrm>
                            <a:off x="5278208" y="113251"/>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9525">
                            <a:solidFill>
                              <a:srgbClr val="FF0000"/>
                            </a:solidFill>
                            <a:prstDash val="solid"/>
                          </a:ln>
                        </wps:spPr>
                        <wps:bodyPr wrap="square" lIns="0" tIns="0" rIns="0" bIns="0" rtlCol="0">
                          <a:prstTxWarp prst="textNoShape">
                            <a:avLst/>
                          </a:prstTxWarp>
                          <a:noAutofit/>
                        </wps:bodyPr>
                      </wps:wsp>
                      <wps:wsp>
                        <wps:cNvPr id="446" name="Textbox 446"/>
                        <wps:cNvSpPr txBox="1"/>
                        <wps:spPr>
                          <a:xfrm>
                            <a:off x="521525" y="218820"/>
                            <a:ext cx="449580" cy="460375"/>
                          </a:xfrm>
                          <a:prstGeom prst="rect">
                            <a:avLst/>
                          </a:prstGeom>
                        </wps:spPr>
                        <wps:txbx>
                          <w:txbxContent>
                            <w:p w14:paraId="60E4A899" w14:textId="77777777" w:rsidR="002C6574" w:rsidRDefault="00000000">
                              <w:pPr>
                                <w:spacing w:line="201" w:lineRule="exact"/>
                                <w:ind w:left="18"/>
                                <w:rPr>
                                  <w:rFonts w:ascii="Arial"/>
                                  <w:b/>
                                  <w:sz w:val="18"/>
                                </w:rPr>
                              </w:pPr>
                              <w:r>
                                <w:rPr>
                                  <w:rFonts w:ascii="Arial"/>
                                  <w:b/>
                                  <w:spacing w:val="-2"/>
                                  <w:sz w:val="18"/>
                                </w:rPr>
                                <w:t>389.281</w:t>
                              </w:r>
                            </w:p>
                            <w:p w14:paraId="3F24E2C1" w14:textId="77777777" w:rsidR="002C6574" w:rsidRDefault="00000000">
                              <w:pPr>
                                <w:spacing w:before="80"/>
                                <w:ind w:left="34"/>
                                <w:rPr>
                                  <w:rFonts w:ascii="Arial"/>
                                  <w:b/>
                                  <w:sz w:val="18"/>
                                </w:rPr>
                              </w:pPr>
                              <w:r>
                                <w:rPr>
                                  <w:rFonts w:ascii="Arial"/>
                                  <w:b/>
                                  <w:spacing w:val="-2"/>
                                  <w:sz w:val="18"/>
                                </w:rPr>
                                <w:t>237.163</w:t>
                              </w:r>
                            </w:p>
                            <w:p w14:paraId="051BD28B" w14:textId="77777777" w:rsidR="002C6574" w:rsidRDefault="00000000">
                              <w:pPr>
                                <w:spacing w:before="29"/>
                                <w:rPr>
                                  <w:rFonts w:ascii="Arial"/>
                                  <w:b/>
                                  <w:sz w:val="18"/>
                                </w:rPr>
                              </w:pPr>
                              <w:r>
                                <w:rPr>
                                  <w:rFonts w:ascii="Arial"/>
                                  <w:b/>
                                  <w:spacing w:val="-2"/>
                                  <w:sz w:val="18"/>
                                </w:rPr>
                                <w:t>186.134</w:t>
                              </w:r>
                            </w:p>
                          </w:txbxContent>
                        </wps:txbx>
                        <wps:bodyPr wrap="square" lIns="0" tIns="0" rIns="0" bIns="0" rtlCol="0">
                          <a:noAutofit/>
                        </wps:bodyPr>
                      </wps:wsp>
                      <wps:wsp>
                        <wps:cNvPr id="447" name="Textbox 447"/>
                        <wps:cNvSpPr txBox="1"/>
                        <wps:spPr>
                          <a:xfrm>
                            <a:off x="2872701" y="88646"/>
                            <a:ext cx="441959" cy="323850"/>
                          </a:xfrm>
                          <a:prstGeom prst="rect">
                            <a:avLst/>
                          </a:prstGeom>
                        </wps:spPr>
                        <wps:txbx>
                          <w:txbxContent>
                            <w:p w14:paraId="2CDE7D06" w14:textId="77777777" w:rsidR="002C6574" w:rsidRDefault="00000000">
                              <w:pPr>
                                <w:spacing w:line="201" w:lineRule="exact"/>
                                <w:rPr>
                                  <w:rFonts w:ascii="Arial"/>
                                  <w:b/>
                                  <w:sz w:val="18"/>
                                </w:rPr>
                              </w:pPr>
                              <w:r>
                                <w:rPr>
                                  <w:rFonts w:ascii="Arial"/>
                                  <w:b/>
                                  <w:spacing w:val="-2"/>
                                  <w:sz w:val="18"/>
                                </w:rPr>
                                <w:t>414.408</w:t>
                              </w:r>
                            </w:p>
                            <w:p w14:paraId="6E6F2711" w14:textId="77777777" w:rsidR="002C6574" w:rsidRDefault="00000000">
                              <w:pPr>
                                <w:spacing w:before="101"/>
                                <w:ind w:left="21"/>
                                <w:rPr>
                                  <w:rFonts w:ascii="Arial"/>
                                  <w:b/>
                                  <w:sz w:val="18"/>
                                </w:rPr>
                              </w:pPr>
                              <w:r>
                                <w:rPr>
                                  <w:rFonts w:ascii="Arial"/>
                                  <w:b/>
                                  <w:spacing w:val="-2"/>
                                  <w:sz w:val="18"/>
                                </w:rPr>
                                <w:t>288.539</w:t>
                              </w:r>
                            </w:p>
                          </w:txbxContent>
                        </wps:txbx>
                        <wps:bodyPr wrap="square" lIns="0" tIns="0" rIns="0" bIns="0" rtlCol="0">
                          <a:noAutofit/>
                        </wps:bodyPr>
                      </wps:wsp>
                      <wps:wsp>
                        <wps:cNvPr id="448" name="Textbox 448"/>
                        <wps:cNvSpPr txBox="1"/>
                        <wps:spPr>
                          <a:xfrm>
                            <a:off x="5379681" y="0"/>
                            <a:ext cx="485140" cy="302260"/>
                          </a:xfrm>
                          <a:prstGeom prst="rect">
                            <a:avLst/>
                          </a:prstGeom>
                        </wps:spPr>
                        <wps:txbx>
                          <w:txbxContent>
                            <w:p w14:paraId="1CF8B1A5" w14:textId="77777777" w:rsidR="002C6574" w:rsidRDefault="00000000">
                              <w:pPr>
                                <w:spacing w:line="201" w:lineRule="exact"/>
                                <w:rPr>
                                  <w:rFonts w:ascii="Arial"/>
                                  <w:b/>
                                  <w:sz w:val="18"/>
                                </w:rPr>
                              </w:pPr>
                              <w:r>
                                <w:rPr>
                                  <w:rFonts w:ascii="Arial"/>
                                  <w:b/>
                                  <w:spacing w:val="-2"/>
                                  <w:sz w:val="18"/>
                                </w:rPr>
                                <w:t>559.896</w:t>
                              </w:r>
                            </w:p>
                            <w:p w14:paraId="0BC3CB6E" w14:textId="77777777" w:rsidR="002C6574" w:rsidRDefault="00000000">
                              <w:pPr>
                                <w:spacing w:before="67"/>
                                <w:ind w:left="90"/>
                                <w:rPr>
                                  <w:rFonts w:ascii="Arial"/>
                                  <w:b/>
                                  <w:sz w:val="18"/>
                                </w:rPr>
                              </w:pPr>
                              <w:r>
                                <w:rPr>
                                  <w:rFonts w:ascii="Arial"/>
                                  <w:b/>
                                  <w:spacing w:val="-2"/>
                                  <w:sz w:val="18"/>
                                </w:rPr>
                                <w:t>510.804</w:t>
                              </w:r>
                            </w:p>
                          </w:txbxContent>
                        </wps:txbx>
                        <wps:bodyPr wrap="square" lIns="0" tIns="0" rIns="0" bIns="0" rtlCol="0">
                          <a:noAutofit/>
                        </wps:bodyPr>
                      </wps:wsp>
                      <wps:wsp>
                        <wps:cNvPr id="449" name="Textbox 449"/>
                        <wps:cNvSpPr txBox="1"/>
                        <wps:spPr>
                          <a:xfrm>
                            <a:off x="2929089" y="620881"/>
                            <a:ext cx="428625" cy="128270"/>
                          </a:xfrm>
                          <a:prstGeom prst="rect">
                            <a:avLst/>
                          </a:prstGeom>
                        </wps:spPr>
                        <wps:txbx>
                          <w:txbxContent>
                            <w:p w14:paraId="0867CF12" w14:textId="77777777" w:rsidR="002C6574" w:rsidRDefault="00000000">
                              <w:pPr>
                                <w:spacing w:line="202" w:lineRule="exact"/>
                                <w:rPr>
                                  <w:rFonts w:ascii="Arial"/>
                                  <w:b/>
                                  <w:sz w:val="18"/>
                                </w:rPr>
                              </w:pPr>
                              <w:r>
                                <w:rPr>
                                  <w:rFonts w:ascii="Arial"/>
                                  <w:b/>
                                  <w:spacing w:val="-2"/>
                                  <w:sz w:val="18"/>
                                </w:rPr>
                                <w:t>174.605</w:t>
                              </w:r>
                            </w:p>
                          </w:txbxContent>
                        </wps:txbx>
                        <wps:bodyPr wrap="square" lIns="0" tIns="0" rIns="0" bIns="0" rtlCol="0">
                          <a:noAutofit/>
                        </wps:bodyPr>
                      </wps:wsp>
                      <wps:wsp>
                        <wps:cNvPr id="450" name="Textbox 450"/>
                        <wps:cNvSpPr txBox="1"/>
                        <wps:spPr>
                          <a:xfrm>
                            <a:off x="5418416" y="628141"/>
                            <a:ext cx="363855" cy="128270"/>
                          </a:xfrm>
                          <a:prstGeom prst="rect">
                            <a:avLst/>
                          </a:prstGeom>
                        </wps:spPr>
                        <wps:txbx>
                          <w:txbxContent>
                            <w:p w14:paraId="669F85D0" w14:textId="77777777" w:rsidR="002C6574" w:rsidRDefault="00000000">
                              <w:pPr>
                                <w:spacing w:line="201" w:lineRule="exact"/>
                                <w:rPr>
                                  <w:rFonts w:ascii="Arial"/>
                                  <w:b/>
                                  <w:sz w:val="18"/>
                                </w:rPr>
                              </w:pPr>
                              <w:r>
                                <w:rPr>
                                  <w:rFonts w:ascii="Arial"/>
                                  <w:b/>
                                  <w:spacing w:val="-2"/>
                                  <w:sz w:val="18"/>
                                </w:rPr>
                                <w:t>19.879</w:t>
                              </w:r>
                            </w:p>
                          </w:txbxContent>
                        </wps:txbx>
                        <wps:bodyPr wrap="square" lIns="0" tIns="0" rIns="0" bIns="0" rtlCol="0">
                          <a:noAutofit/>
                        </wps:bodyPr>
                      </wps:wsp>
                    </wpg:wgp>
                  </a:graphicData>
                </a:graphic>
              </wp:anchor>
            </w:drawing>
          </mc:Choice>
          <mc:Fallback>
            <w:pict>
              <v:group w14:anchorId="555CC717" id="Group 423" o:spid="_x0000_s1184" style="position:absolute;margin-left:56.9pt;margin-top:21.4pt;width:501.85pt;height:60.8pt;z-index:-15675392;mso-wrap-distance-left:0;mso-wrap-distance-right:0;mso-position-horizontal-relative:page;mso-position-vertical-relative:text" coordsize="63734,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">
                <v:shape id="Graphic 424" o:spid="_x0000_s1185" style="position:absolute;top:7591;width:63734;height:13;visibility:visible;mso-wrap-style:square;v-text-anchor:top" coordsize="637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" path="m5342216,l6373456,em,l5278208,e" filled="f" strokecolor="#d9d9d9">
                  <v:path arrowok="t"/>
                </v:shape>
                <v:shape id="Graphic 425" o:spid="_x0000_s1186" style="position:absolute;left:10621;top:4743;width:42495;height:2609;visibility:visible;mso-wrap-style:square;v-text-anchor:top" coordsize="424942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" path="m,l2124202,74422,4249039,260985e" filled="f" strokecolor="#ffc000" strokeweight=".79372mm">
                  <v:path arrowok="t"/>
                </v:shape>
                <v:shape id="Graphic 426" o:spid="_x0000_s1187" style="position:absolute;left:10292;top:4424;width:642;height:609;visibility:visible;mso-wrap-style:square;v-text-anchor:top" coordsize="6413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" path="m,60960r64007,l64007,,,,,60960xe" fillcolor="#ffc000" stroked="f">
                  <v:path arrowok="t"/>
                </v:shape>
                <v:shape id="Graphic 427" o:spid="_x0000_s1188" style="position:absolute;left:10292;top:4424;width:642;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" path="m,64007r64007,l64007,,,,,64007xe" filled="f" strokecolor="#ffc000">
                  <v:path arrowok="t"/>
                </v:shape>
                <v:shape id="Graphic 428" o:spid="_x0000_s1189" style="position:absolute;left:31537;top:5171;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" path="m64008,l,,,64007r64008,l64008,xe" fillcolor="#ffc000" stroked="f">
                  <v:path arrowok="t"/>
                </v:shape>
                <v:shape id="Graphic 429" o:spid="_x0000_s1190" style="position:absolute;left:31537;top:5171;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" path="m,64007r64008,l64008,,,,,64007xe" filled="f" strokecolor="#ffc000">
                  <v:path arrowok="t"/>
                </v:shape>
                <v:shape id="Graphic 430" o:spid="_x0000_s1191" style="position:absolute;left:52782;top:7030;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" path="m64008,l,,,64007r64008,l64008,xe" fillcolor="#ffc000" stroked="f">
                  <v:path arrowok="t"/>
                </v:shape>
                <v:shape id="Graphic 431" o:spid="_x0000_s1192" style="position:absolute;left:52782;top:7030;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" path="m,64007r64008,l64008,,,,,64007xe" filled="f" strokecolor="#ffc000">
                  <v:path arrowok="t"/>
                </v:shape>
                <v:shape id="Graphic 432" o:spid="_x0000_s1193" style="position:absolute;left:10621;top:867;width:42495;height:2051;visibility:visible;mso-wrap-style:square;v-text-anchor:top" coordsize="424942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" path="m,204850l2124202,173990,4249039,e" filled="f" strokecolor="#75f6f8" strokeweight="2.25pt">
                  <v:path arrowok="t"/>
                </v:shape>
                <v:shape id="Graphic 433" o:spid="_x0000_s1194" style="position:absolute;left:10292;top:2595;width:642;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" path="m64007,l,,,64007r64007,l64007,xe" fillcolor="#75f6f8" stroked="f">
                  <v:path arrowok="t"/>
                </v:shape>
                <v:shape id="Graphic 434" o:spid="_x0000_s1195" style="position:absolute;left:10292;top:2595;width:642;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" path="m,64007r64007,l64007,,,,,64007xe" filled="f" strokecolor="#75f6f8">
                  <v:path arrowok="t"/>
                </v:shape>
                <v:shape id="Graphic 435" o:spid="_x0000_s1196" style="position:absolute;left:31537;top:2290;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" path="m64008,l,,,64007r64008,l64008,xe" fillcolor="#75f6f8" stroked="f">
                  <v:path arrowok="t"/>
                </v:shape>
                <v:shape id="Graphic 436" o:spid="_x0000_s1197" style="position:absolute;left:31537;top:2290;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" path="m,64007r64008,l64008,,,,,64007xe" filled="f" strokecolor="#75f6f8">
                  <v:path arrowok="t"/>
                </v:shape>
                <v:shape id="Graphic 437" o:spid="_x0000_s1198" style="position:absolute;left:52782;top:553;width:641;height:584;visibility:visible;mso-wrap-style:square;v-text-anchor:top" coordsize="6413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" path="m,57911r64008,l64008,,,,,57911xe" fillcolor="#75f6f8" stroked="f">
                  <v:path arrowok="t"/>
                </v:shape>
                <v:shape id="Graphic 438" o:spid="_x0000_s1199" style="position:absolute;left:52782;top:553;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" path="m,64007r64008,l64008,,,,,64007xe" filled="f" strokecolor="#75f6f8">
                  <v:path arrowok="t"/>
                </v:shape>
                <v:shape id="Graphic 439" o:spid="_x0000_s1200" style="position:absolute;left:10621;top:1456;width:42495;height:3905;visibility:visible;mso-wrap-style:square;v-text-anchor:top" coordsize="424942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" path="m,390017l2124202,267462,4249039,e" filled="f" strokecolor="red" strokeweight="2.25pt">
                  <v:path arrowok="t"/>
                </v:shape>
                <v:shape id="Graphic 440" o:spid="_x0000_s1201" style="position:absolute;left:10292;top:5033;width:642;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" path="m64007,l,,,64007r64007,l64007,xe" fillcolor="red" stroked="f">
                  <v:path arrowok="t"/>
                </v:shape>
                <v:shape id="Graphic 441" o:spid="_x0000_s1202" style="position:absolute;left:10292;top:5033;width:642;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" path="m,64007r64007,l64007,,,,,64007xe" filled="f" strokecolor="red">
                  <v:path arrowok="t"/>
                </v:shape>
                <v:shape id="Graphic 442" o:spid="_x0000_s1203" style="position:absolute;left:31537;top:3814;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" path="m64008,l,,,64007r64008,l64008,xe" fillcolor="red" stroked="f">
                  <v:path arrowok="t"/>
                </v:shape>
                <v:shape id="Graphic 443" o:spid="_x0000_s1204" style="position:absolute;left:31537;top:3814;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" path="m,64007r64008,l64008,,,,,64007xe" filled="f" strokecolor="red">
                  <v:path arrowok="t"/>
                </v:shape>
                <v:shape id="Graphic 444" o:spid="_x0000_s1205" style="position:absolute;left:52782;top:1132;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" path="m64008,l,,,64007r64008,l64008,xe" fillcolor="red" stroked="f">
                  <v:path arrowok="t"/>
                </v:shape>
                <v:shape id="Graphic 445" o:spid="_x0000_s1206" style="position:absolute;left:52782;top:1132;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" path="m,64007r64008,l64008,,,,,64007xe" filled="f" strokecolor="red">
                  <v:path arrowok="t"/>
                </v:shape>
                <v:shape id="Textbox 446" o:spid="_x0000_s1207" type="#_x0000_t202" style="position:absolute;left:5215;top:2188;width:4496;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60E4A899" w14:textId="77777777" w:rsidR="002C6574" w:rsidRDefault="00000000">
                        <w:pPr>
                          <w:spacing w:line="201" w:lineRule="exact"/>
                          <w:ind w:left="18"/>
                          <w:rPr>
                            <w:rFonts w:ascii="Arial"/>
                            <w:b/>
                            <w:sz w:val="18"/>
                          </w:rPr>
                        </w:pPr>
                        <w:r>
                          <w:rPr>
                            <w:rFonts w:ascii="Arial"/>
                            <w:b/>
                            <w:spacing w:val="-2"/>
                            <w:sz w:val="18"/>
                          </w:rPr>
                          <w:t>389.281</w:t>
                        </w:r>
                      </w:p>
                      <w:p w14:paraId="3F24E2C1" w14:textId="77777777" w:rsidR="002C6574" w:rsidRDefault="00000000">
                        <w:pPr>
                          <w:spacing w:before="80"/>
                          <w:ind w:left="34"/>
                          <w:rPr>
                            <w:rFonts w:ascii="Arial"/>
                            <w:b/>
                            <w:sz w:val="18"/>
                          </w:rPr>
                        </w:pPr>
                        <w:r>
                          <w:rPr>
                            <w:rFonts w:ascii="Arial"/>
                            <w:b/>
                            <w:spacing w:val="-2"/>
                            <w:sz w:val="18"/>
                          </w:rPr>
                          <w:t>237.163</w:t>
                        </w:r>
                      </w:p>
                      <w:p w14:paraId="051BD28B" w14:textId="77777777" w:rsidR="002C6574" w:rsidRDefault="00000000">
                        <w:pPr>
                          <w:spacing w:before="29"/>
                          <w:rPr>
                            <w:rFonts w:ascii="Arial"/>
                            <w:b/>
                            <w:sz w:val="18"/>
                          </w:rPr>
                        </w:pPr>
                        <w:r>
                          <w:rPr>
                            <w:rFonts w:ascii="Arial"/>
                            <w:b/>
                            <w:spacing w:val="-2"/>
                            <w:sz w:val="18"/>
                          </w:rPr>
                          <w:t>186.134</w:t>
                        </w:r>
                      </w:p>
                    </w:txbxContent>
                  </v:textbox>
                </v:shape>
                <v:shape id="Textbox 447" o:spid="_x0000_s1208" type="#_x0000_t202" style="position:absolute;left:28727;top:886;width:441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2CDE7D06" w14:textId="77777777" w:rsidR="002C6574" w:rsidRDefault="00000000">
                        <w:pPr>
                          <w:spacing w:line="201" w:lineRule="exact"/>
                          <w:rPr>
                            <w:rFonts w:ascii="Arial"/>
                            <w:b/>
                            <w:sz w:val="18"/>
                          </w:rPr>
                        </w:pPr>
                        <w:r>
                          <w:rPr>
                            <w:rFonts w:ascii="Arial"/>
                            <w:b/>
                            <w:spacing w:val="-2"/>
                            <w:sz w:val="18"/>
                          </w:rPr>
                          <w:t>414.408</w:t>
                        </w:r>
                      </w:p>
                      <w:p w14:paraId="6E6F2711" w14:textId="77777777" w:rsidR="002C6574" w:rsidRDefault="00000000">
                        <w:pPr>
                          <w:spacing w:before="101"/>
                          <w:ind w:left="21"/>
                          <w:rPr>
                            <w:rFonts w:ascii="Arial"/>
                            <w:b/>
                            <w:sz w:val="18"/>
                          </w:rPr>
                        </w:pPr>
                        <w:r>
                          <w:rPr>
                            <w:rFonts w:ascii="Arial"/>
                            <w:b/>
                            <w:spacing w:val="-2"/>
                            <w:sz w:val="18"/>
                          </w:rPr>
                          <w:t>288.539</w:t>
                        </w:r>
                      </w:p>
                    </w:txbxContent>
                  </v:textbox>
                </v:shape>
                <v:shape id="Textbox 448" o:spid="_x0000_s1209" type="#_x0000_t202" style="position:absolute;left:53796;width:485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1CF8B1A5" w14:textId="77777777" w:rsidR="002C6574" w:rsidRDefault="00000000">
                        <w:pPr>
                          <w:spacing w:line="201" w:lineRule="exact"/>
                          <w:rPr>
                            <w:rFonts w:ascii="Arial"/>
                            <w:b/>
                            <w:sz w:val="18"/>
                          </w:rPr>
                        </w:pPr>
                        <w:r>
                          <w:rPr>
                            <w:rFonts w:ascii="Arial"/>
                            <w:b/>
                            <w:spacing w:val="-2"/>
                            <w:sz w:val="18"/>
                          </w:rPr>
                          <w:t>559.896</w:t>
                        </w:r>
                      </w:p>
                      <w:p w14:paraId="0BC3CB6E" w14:textId="77777777" w:rsidR="002C6574" w:rsidRDefault="00000000">
                        <w:pPr>
                          <w:spacing w:before="67"/>
                          <w:ind w:left="90"/>
                          <w:rPr>
                            <w:rFonts w:ascii="Arial"/>
                            <w:b/>
                            <w:sz w:val="18"/>
                          </w:rPr>
                        </w:pPr>
                        <w:r>
                          <w:rPr>
                            <w:rFonts w:ascii="Arial"/>
                            <w:b/>
                            <w:spacing w:val="-2"/>
                            <w:sz w:val="18"/>
                          </w:rPr>
                          <w:t>510.804</w:t>
                        </w:r>
                      </w:p>
                    </w:txbxContent>
                  </v:textbox>
                </v:shape>
                <v:shape id="Textbox 449" o:spid="_x0000_s1210" type="#_x0000_t202" style="position:absolute;left:29290;top:6208;width:428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0867CF12" w14:textId="77777777" w:rsidR="002C6574" w:rsidRDefault="00000000">
                        <w:pPr>
                          <w:spacing w:line="202" w:lineRule="exact"/>
                          <w:rPr>
                            <w:rFonts w:ascii="Arial"/>
                            <w:b/>
                            <w:sz w:val="18"/>
                          </w:rPr>
                        </w:pPr>
                        <w:r>
                          <w:rPr>
                            <w:rFonts w:ascii="Arial"/>
                            <w:b/>
                            <w:spacing w:val="-2"/>
                            <w:sz w:val="18"/>
                          </w:rPr>
                          <w:t>174.605</w:t>
                        </w:r>
                      </w:p>
                    </w:txbxContent>
                  </v:textbox>
                </v:shape>
                <v:shape id="Textbox 450" o:spid="_x0000_s1211" type="#_x0000_t202" style="position:absolute;left:54184;top:6281;width:363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669F85D0" w14:textId="77777777" w:rsidR="002C6574" w:rsidRDefault="00000000">
                        <w:pPr>
                          <w:spacing w:line="201" w:lineRule="exact"/>
                          <w:rPr>
                            <w:rFonts w:ascii="Arial"/>
                            <w:b/>
                            <w:sz w:val="18"/>
                          </w:rPr>
                        </w:pPr>
                        <w:r>
                          <w:rPr>
                            <w:rFonts w:ascii="Arial"/>
                            <w:b/>
                            <w:spacing w:val="-2"/>
                            <w:sz w:val="18"/>
                          </w:rPr>
                          <w:t>19.879</w:t>
                        </w:r>
                      </w:p>
                    </w:txbxContent>
                  </v:textbox>
                </v:shape>
                <w10:wrap type="topAndBottom" anchorx="page"/>
              </v:group>
            </w:pict>
          </mc:Fallback>
        </mc:AlternateContent>
      </w:r>
    </w:p>
    <w:p w14:paraId="41102CF7" w14:textId="77777777" w:rsidR="002C6574" w:rsidRDefault="002C6574">
      <w:pPr>
        <w:pStyle w:val="Corpodetexto"/>
        <w:spacing w:before="110"/>
        <w:rPr>
          <w:rFonts w:ascii="Arial"/>
          <w:b/>
          <w:sz w:val="18"/>
        </w:rPr>
      </w:pPr>
    </w:p>
    <w:p w14:paraId="2499D753" w14:textId="77777777" w:rsidR="002C6574" w:rsidRDefault="00000000">
      <w:pPr>
        <w:ind w:left="1468"/>
        <w:rPr>
          <w:rFonts w:ascii="Arial"/>
          <w:b/>
          <w:sz w:val="18"/>
        </w:rPr>
      </w:pPr>
      <w:r>
        <w:rPr>
          <w:rFonts w:ascii="Arial"/>
          <w:b/>
          <w:noProof/>
          <w:sz w:val="18"/>
        </w:rPr>
        <mc:AlternateContent>
          <mc:Choice Requires="wpg">
            <w:drawing>
              <wp:anchor distT="0" distB="0" distL="0" distR="0" simplePos="0" relativeHeight="15782912" behindDoc="0" locked="0" layoutInCell="1" allowOverlap="1" wp14:anchorId="591C6A0F" wp14:editId="321DA87A">
                <wp:simplePos x="0" y="0"/>
                <wp:positionH relativeFrom="page">
                  <wp:posOffset>1591612</wp:posOffset>
                </wp:positionH>
                <wp:positionV relativeFrom="paragraph">
                  <wp:posOffset>-144419</wp:posOffset>
                </wp:positionV>
                <wp:extent cx="4637405" cy="593725"/>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7405" cy="593725"/>
                          <a:chOff x="0" y="0"/>
                          <a:chExt cx="4637405" cy="593725"/>
                        </a:xfrm>
                      </wpg:grpSpPr>
                      <wps:wsp>
                        <wps:cNvPr id="452" name="Graphic 452"/>
                        <wps:cNvSpPr/>
                        <wps:spPr>
                          <a:xfrm>
                            <a:off x="193245" y="113251"/>
                            <a:ext cx="4249420" cy="466090"/>
                          </a:xfrm>
                          <a:custGeom>
                            <a:avLst/>
                            <a:gdLst/>
                            <a:ahLst/>
                            <a:cxnLst/>
                            <a:rect l="l" t="t" r="r" b="b"/>
                            <a:pathLst>
                              <a:path w="4249420" h="466090">
                                <a:moveTo>
                                  <a:pt x="0" y="0"/>
                                </a:moveTo>
                                <a:lnTo>
                                  <a:pt x="2124202" y="105155"/>
                                </a:lnTo>
                                <a:lnTo>
                                  <a:pt x="4249039" y="465962"/>
                                </a:lnTo>
                              </a:path>
                            </a:pathLst>
                          </a:custGeom>
                          <a:ln w="28575">
                            <a:solidFill>
                              <a:srgbClr val="0000FF"/>
                            </a:solidFill>
                            <a:prstDash val="solid"/>
                          </a:ln>
                        </wps:spPr>
                        <wps:bodyPr wrap="square" lIns="0" tIns="0" rIns="0" bIns="0" rtlCol="0">
                          <a:prstTxWarp prst="textNoShape">
                            <a:avLst/>
                          </a:prstTxWarp>
                          <a:noAutofit/>
                        </wps:bodyPr>
                      </wps:wsp>
                      <wps:wsp>
                        <wps:cNvPr id="453" name="Graphic 453"/>
                        <wps:cNvSpPr/>
                        <wps:spPr>
                          <a:xfrm>
                            <a:off x="160352" y="81628"/>
                            <a:ext cx="64135" cy="64135"/>
                          </a:xfrm>
                          <a:custGeom>
                            <a:avLst/>
                            <a:gdLst/>
                            <a:ahLst/>
                            <a:cxnLst/>
                            <a:rect l="l" t="t" r="r" b="b"/>
                            <a:pathLst>
                              <a:path w="64135" h="64135">
                                <a:moveTo>
                                  <a:pt x="64007" y="0"/>
                                </a:moveTo>
                                <a:lnTo>
                                  <a:pt x="0" y="0"/>
                                </a:lnTo>
                                <a:lnTo>
                                  <a:pt x="0" y="64007"/>
                                </a:lnTo>
                                <a:lnTo>
                                  <a:pt x="64007" y="64007"/>
                                </a:lnTo>
                                <a:lnTo>
                                  <a:pt x="64007" y="0"/>
                                </a:lnTo>
                                <a:close/>
                              </a:path>
                            </a:pathLst>
                          </a:custGeom>
                          <a:solidFill>
                            <a:srgbClr val="0000FF"/>
                          </a:solidFill>
                        </wps:spPr>
                        <wps:bodyPr wrap="square" lIns="0" tIns="0" rIns="0" bIns="0" rtlCol="0">
                          <a:prstTxWarp prst="textNoShape">
                            <a:avLst/>
                          </a:prstTxWarp>
                          <a:noAutofit/>
                        </wps:bodyPr>
                      </wps:wsp>
                      <wps:wsp>
                        <wps:cNvPr id="454" name="Graphic 454"/>
                        <wps:cNvSpPr/>
                        <wps:spPr>
                          <a:xfrm>
                            <a:off x="160352" y="81628"/>
                            <a:ext cx="64135" cy="64135"/>
                          </a:xfrm>
                          <a:custGeom>
                            <a:avLst/>
                            <a:gdLst/>
                            <a:ahLst/>
                            <a:cxnLst/>
                            <a:rect l="l" t="t" r="r" b="b"/>
                            <a:pathLst>
                              <a:path w="64135" h="64135">
                                <a:moveTo>
                                  <a:pt x="0" y="64007"/>
                                </a:moveTo>
                                <a:lnTo>
                                  <a:pt x="64007" y="64007"/>
                                </a:lnTo>
                                <a:lnTo>
                                  <a:pt x="64007" y="0"/>
                                </a:lnTo>
                                <a:lnTo>
                                  <a:pt x="0" y="0"/>
                                </a:lnTo>
                                <a:lnTo>
                                  <a:pt x="0" y="64007"/>
                                </a:lnTo>
                                <a:close/>
                              </a:path>
                            </a:pathLst>
                          </a:custGeom>
                          <a:ln w="9525">
                            <a:solidFill>
                              <a:srgbClr val="0000FF"/>
                            </a:solidFill>
                            <a:prstDash val="solid"/>
                          </a:ln>
                        </wps:spPr>
                        <wps:bodyPr wrap="square" lIns="0" tIns="0" rIns="0" bIns="0" rtlCol="0">
                          <a:prstTxWarp prst="textNoShape">
                            <a:avLst/>
                          </a:prstTxWarp>
                          <a:noAutofit/>
                        </wps:bodyPr>
                      </wps:wsp>
                      <wps:wsp>
                        <wps:cNvPr id="455" name="Textbox 455"/>
                        <wps:cNvSpPr txBox="1"/>
                        <wps:spPr>
                          <a:xfrm>
                            <a:off x="0" y="0"/>
                            <a:ext cx="387350" cy="276225"/>
                          </a:xfrm>
                          <a:prstGeom prst="rect">
                            <a:avLst/>
                          </a:prstGeom>
                        </wps:spPr>
                        <wps:txbx>
                          <w:txbxContent>
                            <w:p w14:paraId="1A648FC2" w14:textId="77777777" w:rsidR="002C6574" w:rsidRDefault="00000000">
                              <w:pPr>
                                <w:spacing w:line="271" w:lineRule="auto"/>
                                <w:ind w:right="18" w:firstLine="19"/>
                                <w:rPr>
                                  <w:rFonts w:ascii="Arial"/>
                                  <w:b/>
                                  <w:sz w:val="18"/>
                                </w:rPr>
                              </w:pPr>
                              <w:r>
                                <w:rPr>
                                  <w:rFonts w:ascii="Arial"/>
                                  <w:b/>
                                  <w:spacing w:val="-2"/>
                                  <w:sz w:val="18"/>
                                </w:rPr>
                                <w:t xml:space="preserve">Dez/23 </w:t>
                              </w:r>
                              <w:r>
                                <w:rPr>
                                  <w:rFonts w:ascii="Arial"/>
                                  <w:b/>
                                  <w:spacing w:val="-6"/>
                                  <w:sz w:val="18"/>
                                </w:rPr>
                                <w:t>8)</w:t>
                              </w:r>
                            </w:p>
                          </w:txbxContent>
                        </wps:txbx>
                        <wps:bodyPr wrap="square" lIns="0" tIns="0" rIns="0" bIns="0" rtlCol="0">
                          <a:noAutofit/>
                        </wps:bodyPr>
                      </wps:wsp>
                      <wps:wsp>
                        <wps:cNvPr id="456" name="Textbox 456"/>
                        <wps:cNvSpPr txBox="1"/>
                        <wps:spPr>
                          <a:xfrm>
                            <a:off x="2137361" y="0"/>
                            <a:ext cx="375285" cy="128270"/>
                          </a:xfrm>
                          <a:prstGeom prst="rect">
                            <a:avLst/>
                          </a:prstGeom>
                        </wps:spPr>
                        <wps:txbx>
                          <w:txbxContent>
                            <w:p w14:paraId="58000DD3" w14:textId="77777777" w:rsidR="002C6574" w:rsidRDefault="00000000">
                              <w:pPr>
                                <w:spacing w:line="201" w:lineRule="exact"/>
                                <w:rPr>
                                  <w:rFonts w:ascii="Arial"/>
                                  <w:b/>
                                  <w:sz w:val="18"/>
                                </w:rPr>
                              </w:pPr>
                              <w:r>
                                <w:rPr>
                                  <w:rFonts w:ascii="Arial"/>
                                  <w:b/>
                                  <w:spacing w:val="-2"/>
                                  <w:sz w:val="18"/>
                                </w:rPr>
                                <w:t>Dez/24</w:t>
                              </w:r>
                            </w:p>
                          </w:txbxContent>
                        </wps:txbx>
                        <wps:bodyPr wrap="square" lIns="0" tIns="0" rIns="0" bIns="0" rtlCol="0">
                          <a:noAutofit/>
                        </wps:bodyPr>
                      </wps:wsp>
                      <wps:wsp>
                        <wps:cNvPr id="457" name="Textbox 457"/>
                        <wps:cNvSpPr txBox="1"/>
                        <wps:spPr>
                          <a:xfrm>
                            <a:off x="4262325" y="0"/>
                            <a:ext cx="375285" cy="128270"/>
                          </a:xfrm>
                          <a:prstGeom prst="rect">
                            <a:avLst/>
                          </a:prstGeom>
                        </wps:spPr>
                        <wps:txbx>
                          <w:txbxContent>
                            <w:p w14:paraId="68EE3E1E" w14:textId="77777777" w:rsidR="002C6574" w:rsidRDefault="00000000">
                              <w:pPr>
                                <w:spacing w:line="201" w:lineRule="exact"/>
                                <w:rPr>
                                  <w:rFonts w:ascii="Arial"/>
                                  <w:b/>
                                  <w:sz w:val="18"/>
                                </w:rPr>
                              </w:pPr>
                              <w:r>
                                <w:rPr>
                                  <w:rFonts w:ascii="Arial"/>
                                  <w:b/>
                                  <w:spacing w:val="-2"/>
                                  <w:sz w:val="18"/>
                                </w:rPr>
                                <w:t>Dez/25</w:t>
                              </w:r>
                            </w:p>
                          </w:txbxContent>
                        </wps:txbx>
                        <wps:bodyPr wrap="square" lIns="0" tIns="0" rIns="0" bIns="0" rtlCol="0">
                          <a:noAutofit/>
                        </wps:bodyPr>
                      </wps:wsp>
                      <wps:wsp>
                        <wps:cNvPr id="458" name="Textbox 458"/>
                        <wps:cNvSpPr txBox="1"/>
                        <wps:spPr>
                          <a:xfrm>
                            <a:off x="2064717" y="278256"/>
                            <a:ext cx="504190" cy="128270"/>
                          </a:xfrm>
                          <a:prstGeom prst="rect">
                            <a:avLst/>
                          </a:prstGeom>
                        </wps:spPr>
                        <wps:txbx>
                          <w:txbxContent>
                            <w:p w14:paraId="0CAB46B7" w14:textId="77777777" w:rsidR="002C6574" w:rsidRDefault="00000000">
                              <w:pPr>
                                <w:spacing w:line="201" w:lineRule="exact"/>
                                <w:rPr>
                                  <w:rFonts w:ascii="Arial"/>
                                  <w:b/>
                                  <w:sz w:val="18"/>
                                </w:rPr>
                              </w:pPr>
                              <w:r>
                                <w:rPr>
                                  <w:rFonts w:ascii="Arial"/>
                                  <w:b/>
                                  <w:spacing w:val="-2"/>
                                  <w:sz w:val="18"/>
                                </w:rPr>
                                <w:t>(239.803)</w:t>
                              </w:r>
                            </w:p>
                          </w:txbxContent>
                        </wps:txbx>
                        <wps:bodyPr wrap="square" lIns="0" tIns="0" rIns="0" bIns="0" rtlCol="0">
                          <a:noAutofit/>
                        </wps:bodyPr>
                      </wps:wsp>
                    </wpg:wgp>
                  </a:graphicData>
                </a:graphic>
              </wp:anchor>
            </w:drawing>
          </mc:Choice>
          <mc:Fallback>
            <w:pict>
              <v:group w14:anchorId="591C6A0F" id="Group 451" o:spid="_x0000_s1212" style="position:absolute;left:0;text-align:left;margin-left:125.3pt;margin-top:-11.35pt;width:365.15pt;height:46.75pt;z-index:15782912;mso-wrap-distance-left:0;mso-wrap-distance-right:0;mso-position-horizontal-relative:page;mso-position-vertical-relative:text" coordsize="46374,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">
                <v:shape id="Graphic 452" o:spid="_x0000_s1213" style="position:absolute;left:1932;top:1132;width:42494;height:4661;visibility:visible;mso-wrap-style:square;v-text-anchor:top" coordsize="4249420,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" path="m,l2124202,105155,4249039,465962e" filled="f" strokecolor="blue" strokeweight="2.25pt">
                  <v:path arrowok="t"/>
                </v:shape>
                <v:shape id="Graphic 453" o:spid="_x0000_s1214" style="position:absolute;left:1603;top:816;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" path="m64007,l,,,64007r64007,l64007,xe" fillcolor="blue" stroked="f">
                  <v:path arrowok="t"/>
                </v:shape>
                <v:shape id="Graphic 454" o:spid="_x0000_s1215" style="position:absolute;left:1603;top:816;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" path="m,64007r64007,l64007,,,,,64007xe" filled="f" strokecolor="blue">
                  <v:path arrowok="t"/>
                </v:shape>
                <v:shape id="Textbox 455" o:spid="_x0000_s1216" type="#_x0000_t202" style="position:absolute;width:387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1A648FC2" w14:textId="77777777" w:rsidR="002C6574" w:rsidRDefault="00000000">
                        <w:pPr>
                          <w:spacing w:line="271" w:lineRule="auto"/>
                          <w:ind w:right="18" w:firstLine="19"/>
                          <w:rPr>
                            <w:rFonts w:ascii="Arial"/>
                            <w:b/>
                            <w:sz w:val="18"/>
                          </w:rPr>
                        </w:pPr>
                        <w:r>
                          <w:rPr>
                            <w:rFonts w:ascii="Arial"/>
                            <w:b/>
                            <w:spacing w:val="-2"/>
                            <w:sz w:val="18"/>
                          </w:rPr>
                          <w:t xml:space="preserve">Dez/23 </w:t>
                        </w:r>
                        <w:r>
                          <w:rPr>
                            <w:rFonts w:ascii="Arial"/>
                            <w:b/>
                            <w:spacing w:val="-6"/>
                            <w:sz w:val="18"/>
                          </w:rPr>
                          <w:t>8)</w:t>
                        </w:r>
                      </w:p>
                    </w:txbxContent>
                  </v:textbox>
                </v:shape>
                <v:shape id="Textbox 456" o:spid="_x0000_s1217" type="#_x0000_t202" style="position:absolute;left:21373;width:375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58000DD3" w14:textId="77777777" w:rsidR="002C6574" w:rsidRDefault="00000000">
                        <w:pPr>
                          <w:spacing w:line="201" w:lineRule="exact"/>
                          <w:rPr>
                            <w:rFonts w:ascii="Arial"/>
                            <w:b/>
                            <w:sz w:val="18"/>
                          </w:rPr>
                        </w:pPr>
                        <w:r>
                          <w:rPr>
                            <w:rFonts w:ascii="Arial"/>
                            <w:b/>
                            <w:spacing w:val="-2"/>
                            <w:sz w:val="18"/>
                          </w:rPr>
                          <w:t>Dez/24</w:t>
                        </w:r>
                      </w:p>
                    </w:txbxContent>
                  </v:textbox>
                </v:shape>
                <v:shape id="Textbox 457" o:spid="_x0000_s1218" type="#_x0000_t202" style="position:absolute;left:42623;width:375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68EE3E1E" w14:textId="77777777" w:rsidR="002C6574" w:rsidRDefault="00000000">
                        <w:pPr>
                          <w:spacing w:line="201" w:lineRule="exact"/>
                          <w:rPr>
                            <w:rFonts w:ascii="Arial"/>
                            <w:b/>
                            <w:sz w:val="18"/>
                          </w:rPr>
                        </w:pPr>
                        <w:r>
                          <w:rPr>
                            <w:rFonts w:ascii="Arial"/>
                            <w:b/>
                            <w:spacing w:val="-2"/>
                            <w:sz w:val="18"/>
                          </w:rPr>
                          <w:t>Dez/25</w:t>
                        </w:r>
                      </w:p>
                    </w:txbxContent>
                  </v:textbox>
                </v:shape>
                <v:shape id="Textbox 458" o:spid="_x0000_s1219" type="#_x0000_t202" style="position:absolute;left:20647;top:2782;width:504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0CAB46B7" w14:textId="77777777" w:rsidR="002C6574" w:rsidRDefault="00000000">
                        <w:pPr>
                          <w:spacing w:line="201" w:lineRule="exact"/>
                          <w:rPr>
                            <w:rFonts w:ascii="Arial"/>
                            <w:b/>
                            <w:sz w:val="18"/>
                          </w:rPr>
                        </w:pPr>
                        <w:r>
                          <w:rPr>
                            <w:rFonts w:ascii="Arial"/>
                            <w:b/>
                            <w:spacing w:val="-2"/>
                            <w:sz w:val="18"/>
                          </w:rPr>
                          <w:t>(239.803)</w:t>
                        </w:r>
                      </w:p>
                    </w:txbxContent>
                  </v:textbox>
                </v:shape>
                <w10:wrap anchorx="page"/>
              </v:group>
            </w:pict>
          </mc:Fallback>
        </mc:AlternateContent>
      </w:r>
      <w:r>
        <w:rPr>
          <w:rFonts w:ascii="Arial"/>
          <w:b/>
          <w:noProof/>
          <w:sz w:val="18"/>
        </w:rPr>
        <mc:AlternateContent>
          <mc:Choice Requires="wpg">
            <w:drawing>
              <wp:anchor distT="0" distB="0" distL="0" distR="0" simplePos="0" relativeHeight="15783424" behindDoc="0" locked="0" layoutInCell="1" allowOverlap="1" wp14:anchorId="36D520CB" wp14:editId="2957E8BC">
                <wp:simplePos x="0" y="0"/>
                <wp:positionH relativeFrom="page">
                  <wp:posOffset>3871658</wp:posOffset>
                </wp:positionH>
                <wp:positionV relativeFrom="paragraph">
                  <wp:posOffset>37603</wp:posOffset>
                </wp:positionV>
                <wp:extent cx="73660" cy="73660"/>
                <wp:effectExtent l="0" t="0" r="0" b="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73660"/>
                          <a:chOff x="0" y="0"/>
                          <a:chExt cx="73660" cy="73660"/>
                        </a:xfrm>
                      </wpg:grpSpPr>
                      <wps:wsp>
                        <wps:cNvPr id="460" name="Graphic 460"/>
                        <wps:cNvSpPr/>
                        <wps:spPr>
                          <a:xfrm>
                            <a:off x="4762" y="4762"/>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0000FF"/>
                          </a:solidFill>
                        </wps:spPr>
                        <wps:bodyPr wrap="square" lIns="0" tIns="0" rIns="0" bIns="0" rtlCol="0">
                          <a:prstTxWarp prst="textNoShape">
                            <a:avLst/>
                          </a:prstTxWarp>
                          <a:noAutofit/>
                        </wps:bodyPr>
                      </wps:wsp>
                      <wps:wsp>
                        <wps:cNvPr id="461" name="Graphic 461"/>
                        <wps:cNvSpPr/>
                        <wps:spPr>
                          <a:xfrm>
                            <a:off x="4762" y="4762"/>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9525">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7B061296" id="Group 459" o:spid="_x0000_s1026" style="position:absolute;margin-left:304.85pt;margin-top:2.95pt;width:5.8pt;height:5.8pt;z-index:15783424;mso-wrap-distance-left:0;mso-wrap-distance-right:0;mso-position-horizontal-relative:page" coordsize="73660,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">
                <v:shape id="Graphic 460" o:spid="_x0000_s1027" style="position:absolute;left:4762;top:4762;width:64135;height:64135;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" path="m64008,l,,,64007r64008,l64008,xe" fillcolor="blue" stroked="f">
                  <v:path arrowok="t"/>
                </v:shape>
                <v:shape id="Graphic 461" o:spid="_x0000_s1028" style="position:absolute;left:4762;top:4762;width:64135;height:64135;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" path="m,64007r64008,l64008,,,,,64007xe" filled="f" strokecolor="blue">
                  <v:path arrowok="t"/>
                </v:shape>
                <w10:wrap anchorx="page"/>
              </v:group>
            </w:pict>
          </mc:Fallback>
        </mc:AlternateContent>
      </w:r>
      <w:r>
        <w:rPr>
          <w:rFonts w:ascii="Arial"/>
          <w:b/>
          <w:spacing w:val="-2"/>
          <w:sz w:val="18"/>
        </w:rPr>
        <w:t>(152.11</w:t>
      </w:r>
    </w:p>
    <w:p w14:paraId="3CE64B97" w14:textId="77777777" w:rsidR="002C6574" w:rsidRDefault="002C6574">
      <w:pPr>
        <w:pStyle w:val="Corpodetexto"/>
        <w:rPr>
          <w:rFonts w:ascii="Arial"/>
          <w:b/>
          <w:sz w:val="18"/>
        </w:rPr>
      </w:pPr>
    </w:p>
    <w:p w14:paraId="69EEC1C9" w14:textId="77777777" w:rsidR="002C6574" w:rsidRDefault="002C6574">
      <w:pPr>
        <w:pStyle w:val="Corpodetexto"/>
        <w:spacing w:before="47"/>
        <w:rPr>
          <w:rFonts w:ascii="Arial"/>
          <w:b/>
          <w:sz w:val="18"/>
        </w:rPr>
      </w:pPr>
    </w:p>
    <w:p w14:paraId="078D255F" w14:textId="77777777" w:rsidR="002C6574" w:rsidRDefault="00000000">
      <w:pPr>
        <w:ind w:right="1054"/>
        <w:jc w:val="right"/>
        <w:rPr>
          <w:rFonts w:ascii="Arial"/>
          <w:b/>
          <w:sz w:val="18"/>
        </w:rPr>
      </w:pPr>
      <w:r>
        <w:rPr>
          <w:rFonts w:ascii="Arial"/>
          <w:b/>
          <w:noProof/>
          <w:sz w:val="18"/>
        </w:rPr>
        <mc:AlternateContent>
          <mc:Choice Requires="wpg">
            <w:drawing>
              <wp:anchor distT="0" distB="0" distL="0" distR="0" simplePos="0" relativeHeight="15783936" behindDoc="0" locked="0" layoutInCell="1" allowOverlap="1" wp14:anchorId="2C8837BC" wp14:editId="00CEED0F">
                <wp:simplePos x="0" y="0"/>
                <wp:positionH relativeFrom="page">
                  <wp:posOffset>5996114</wp:posOffset>
                </wp:positionH>
                <wp:positionV relativeFrom="paragraph">
                  <wp:posOffset>-25355</wp:posOffset>
                </wp:positionV>
                <wp:extent cx="73660" cy="73660"/>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 cy="73660"/>
                          <a:chOff x="0" y="0"/>
                          <a:chExt cx="73660" cy="73660"/>
                        </a:xfrm>
                      </wpg:grpSpPr>
                      <wps:wsp>
                        <wps:cNvPr id="463" name="Graphic 463"/>
                        <wps:cNvSpPr/>
                        <wps:spPr>
                          <a:xfrm>
                            <a:off x="4762" y="4762"/>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0000FF"/>
                          </a:solidFill>
                        </wps:spPr>
                        <wps:bodyPr wrap="square" lIns="0" tIns="0" rIns="0" bIns="0" rtlCol="0">
                          <a:prstTxWarp prst="textNoShape">
                            <a:avLst/>
                          </a:prstTxWarp>
                          <a:noAutofit/>
                        </wps:bodyPr>
                      </wps:wsp>
                      <wps:wsp>
                        <wps:cNvPr id="464" name="Graphic 464"/>
                        <wps:cNvSpPr/>
                        <wps:spPr>
                          <a:xfrm>
                            <a:off x="4762" y="4762"/>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9525">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3E30A10B" id="Group 462" o:spid="_x0000_s1026" style="position:absolute;margin-left:472.15pt;margin-top:-2pt;width:5.8pt;height:5.8pt;z-index:15783936;mso-wrap-distance-left:0;mso-wrap-distance-right:0;mso-position-horizontal-relative:page" coordsize="73660,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">
                <v:shape id="Graphic 463" o:spid="_x0000_s1027" style="position:absolute;left:4762;top:4762;width:64135;height:64135;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" path="m64008,l,,,64007r64008,l64008,xe" fillcolor="blue" stroked="f">
                  <v:path arrowok="t"/>
                </v:shape>
                <v:shape id="Graphic 464" o:spid="_x0000_s1028" style="position:absolute;left:4762;top:4762;width:64135;height:64135;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" path="m,64007r64008,l64008,,,,,64007xe" filled="f" strokecolor="blue">
                  <v:path arrowok="t"/>
                </v:shape>
                <w10:wrap anchorx="page"/>
              </v:group>
            </w:pict>
          </mc:Fallback>
        </mc:AlternateContent>
      </w:r>
      <w:r>
        <w:rPr>
          <w:rFonts w:ascii="Arial"/>
          <w:b/>
          <w:spacing w:val="-2"/>
          <w:sz w:val="18"/>
        </w:rPr>
        <w:t>(540.017)</w:t>
      </w:r>
    </w:p>
    <w:p w14:paraId="4CDF6FD3" w14:textId="77777777" w:rsidR="002C6574" w:rsidRDefault="002C6574">
      <w:pPr>
        <w:pStyle w:val="Corpodetexto"/>
        <w:spacing w:before="74"/>
        <w:rPr>
          <w:rFonts w:ascii="Arial"/>
          <w:b/>
          <w:sz w:val="16"/>
        </w:rPr>
      </w:pPr>
    </w:p>
    <w:p w14:paraId="32D1C1FA" w14:textId="77777777" w:rsidR="002C6574" w:rsidRDefault="00000000">
      <w:pPr>
        <w:tabs>
          <w:tab w:val="left" w:pos="2340"/>
          <w:tab w:val="left" w:pos="7104"/>
          <w:tab w:val="left" w:pos="8817"/>
        </w:tabs>
        <w:ind w:left="814"/>
        <w:rPr>
          <w:rFonts w:ascii="Arial MT" w:hAnsi="Arial MT"/>
          <w:sz w:val="16"/>
        </w:rPr>
      </w:pPr>
      <w:r>
        <w:rPr>
          <w:noProof/>
          <w:position w:val="1"/>
        </w:rPr>
        <w:drawing>
          <wp:inline distT="0" distB="0" distL="0" distR="0" wp14:anchorId="1D69100C" wp14:editId="62996DA8">
            <wp:extent cx="243840" cy="59817"/>
            <wp:effectExtent l="0" t="0" r="0" b="0"/>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219" cstate="print"/>
                    <a:stretch>
                      <a:fillRect/>
                    </a:stretch>
                  </pic:blipFill>
                  <pic:spPr>
                    <a:xfrm>
                      <a:off x="0" y="0"/>
                      <a:ext cx="243840" cy="59817"/>
                    </a:xfrm>
                    <a:prstGeom prst="rect">
                      <a:avLst/>
                    </a:prstGeom>
                  </pic:spPr>
                </pic:pic>
              </a:graphicData>
            </a:graphic>
          </wp:inline>
        </w:drawing>
      </w:r>
      <w:r>
        <w:rPr>
          <w:rFonts w:ascii="Times New Roman" w:hAnsi="Times New Roman"/>
          <w:spacing w:val="-13"/>
          <w:sz w:val="20"/>
        </w:rPr>
        <w:t xml:space="preserve"> </w:t>
      </w:r>
      <w:r>
        <w:rPr>
          <w:rFonts w:ascii="Arial MT" w:hAnsi="Arial MT"/>
          <w:sz w:val="16"/>
        </w:rPr>
        <w:t>Dívida</w:t>
      </w:r>
      <w:r>
        <w:rPr>
          <w:rFonts w:ascii="Arial MT" w:hAnsi="Arial MT"/>
          <w:spacing w:val="-3"/>
          <w:sz w:val="16"/>
        </w:rPr>
        <w:t xml:space="preserve"> </w:t>
      </w:r>
      <w:r>
        <w:rPr>
          <w:rFonts w:ascii="Arial MT" w:hAnsi="Arial MT"/>
          <w:sz w:val="16"/>
        </w:rPr>
        <w:t>Bruta</w:t>
      </w:r>
      <w:r>
        <w:rPr>
          <w:rFonts w:ascii="Arial MT" w:hAnsi="Arial MT"/>
          <w:sz w:val="16"/>
        </w:rPr>
        <w:tab/>
      </w:r>
      <w:r>
        <w:rPr>
          <w:rFonts w:ascii="Arial MT" w:hAnsi="Arial MT"/>
          <w:noProof/>
          <w:position w:val="1"/>
          <w:sz w:val="16"/>
        </w:rPr>
        <w:drawing>
          <wp:inline distT="0" distB="0" distL="0" distR="0" wp14:anchorId="3310AE72" wp14:editId="2201167F">
            <wp:extent cx="243840" cy="59817"/>
            <wp:effectExtent l="0" t="0" r="0" b="0"/>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220" cstate="print"/>
                    <a:stretch>
                      <a:fillRect/>
                    </a:stretch>
                  </pic:blipFill>
                  <pic:spPr>
                    <a:xfrm>
                      <a:off x="0" y="0"/>
                      <a:ext cx="243840" cy="59817"/>
                    </a:xfrm>
                    <a:prstGeom prst="rect">
                      <a:avLst/>
                    </a:prstGeom>
                  </pic:spPr>
                </pic:pic>
              </a:graphicData>
            </a:graphic>
          </wp:inline>
        </w:drawing>
      </w:r>
      <w:r>
        <w:rPr>
          <w:rFonts w:ascii="Times New Roman" w:hAnsi="Times New Roman"/>
          <w:spacing w:val="-3"/>
          <w:sz w:val="16"/>
        </w:rPr>
        <w:t xml:space="preserve"> </w:t>
      </w:r>
      <w:r>
        <w:rPr>
          <w:rFonts w:ascii="Arial MT" w:hAnsi="Arial MT"/>
          <w:sz w:val="16"/>
        </w:rPr>
        <w:t>Caixa</w:t>
      </w:r>
      <w:r>
        <w:rPr>
          <w:rFonts w:ascii="Arial MT" w:hAnsi="Arial MT"/>
          <w:spacing w:val="-4"/>
          <w:sz w:val="16"/>
        </w:rPr>
        <w:t xml:space="preserve"> </w:t>
      </w:r>
      <w:r>
        <w:rPr>
          <w:rFonts w:ascii="Arial MT" w:hAnsi="Arial MT"/>
          <w:sz w:val="16"/>
        </w:rPr>
        <w:t>e</w:t>
      </w:r>
      <w:r>
        <w:rPr>
          <w:rFonts w:ascii="Arial MT" w:hAnsi="Arial MT"/>
          <w:spacing w:val="-4"/>
          <w:sz w:val="16"/>
        </w:rPr>
        <w:t xml:space="preserve"> </w:t>
      </w:r>
      <w:r>
        <w:rPr>
          <w:rFonts w:ascii="Arial MT" w:hAnsi="Arial MT"/>
          <w:sz w:val="16"/>
        </w:rPr>
        <w:t>Equival.</w:t>
      </w:r>
      <w:r>
        <w:rPr>
          <w:rFonts w:ascii="Arial MT" w:hAnsi="Arial MT"/>
          <w:spacing w:val="-5"/>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Caixa</w:t>
      </w:r>
      <w:r>
        <w:rPr>
          <w:rFonts w:ascii="Arial MT" w:hAnsi="Arial MT"/>
          <w:spacing w:val="-4"/>
          <w:sz w:val="16"/>
        </w:rPr>
        <w:t xml:space="preserve"> </w:t>
      </w:r>
      <w:r>
        <w:rPr>
          <w:rFonts w:ascii="Arial MT" w:hAnsi="Arial MT"/>
          <w:sz w:val="16"/>
        </w:rPr>
        <w:t>e</w:t>
      </w:r>
      <w:r>
        <w:rPr>
          <w:rFonts w:ascii="Arial MT" w:hAnsi="Arial MT"/>
          <w:spacing w:val="-4"/>
          <w:sz w:val="16"/>
        </w:rPr>
        <w:t xml:space="preserve"> </w:t>
      </w:r>
      <w:r>
        <w:rPr>
          <w:rFonts w:ascii="Arial MT" w:hAnsi="Arial MT"/>
          <w:sz w:val="16"/>
        </w:rPr>
        <w:t>Aplic.</w:t>
      </w:r>
      <w:r>
        <w:rPr>
          <w:rFonts w:ascii="Arial MT" w:hAnsi="Arial MT"/>
          <w:spacing w:val="-5"/>
          <w:sz w:val="16"/>
        </w:rPr>
        <w:t xml:space="preserve"> </w:t>
      </w:r>
      <w:r>
        <w:rPr>
          <w:rFonts w:ascii="Arial MT" w:hAnsi="Arial MT"/>
          <w:sz w:val="16"/>
        </w:rPr>
        <w:t>Financeiras</w:t>
      </w:r>
      <w:r>
        <w:rPr>
          <w:rFonts w:ascii="Arial MT" w:hAnsi="Arial MT"/>
          <w:spacing w:val="-5"/>
          <w:sz w:val="16"/>
        </w:rPr>
        <w:t xml:space="preserve"> </w:t>
      </w:r>
      <w:r>
        <w:rPr>
          <w:rFonts w:ascii="Arial MT" w:hAnsi="Arial MT"/>
          <w:sz w:val="16"/>
        </w:rPr>
        <w:t>(Garantias)</w:t>
      </w:r>
      <w:r>
        <w:rPr>
          <w:rFonts w:ascii="Arial MT" w:hAnsi="Arial MT"/>
          <w:sz w:val="16"/>
        </w:rPr>
        <w:tab/>
      </w:r>
      <w:r>
        <w:rPr>
          <w:rFonts w:ascii="Arial MT" w:hAnsi="Arial MT"/>
          <w:noProof/>
          <w:position w:val="1"/>
          <w:sz w:val="16"/>
        </w:rPr>
        <w:drawing>
          <wp:inline distT="0" distB="0" distL="0" distR="0" wp14:anchorId="1EC8B9C4" wp14:editId="158B4D74">
            <wp:extent cx="243839" cy="59817"/>
            <wp:effectExtent l="0" t="0" r="0" b="0"/>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221" cstate="print"/>
                    <a:stretch>
                      <a:fillRect/>
                    </a:stretch>
                  </pic:blipFill>
                  <pic:spPr>
                    <a:xfrm>
                      <a:off x="0" y="0"/>
                      <a:ext cx="243839" cy="59817"/>
                    </a:xfrm>
                    <a:prstGeom prst="rect">
                      <a:avLst/>
                    </a:prstGeom>
                  </pic:spPr>
                </pic:pic>
              </a:graphicData>
            </a:graphic>
          </wp:inline>
        </w:drawing>
      </w:r>
      <w:r>
        <w:rPr>
          <w:rFonts w:ascii="Times New Roman" w:hAnsi="Times New Roman"/>
          <w:sz w:val="16"/>
        </w:rPr>
        <w:t xml:space="preserve"> </w:t>
      </w:r>
      <w:r>
        <w:rPr>
          <w:rFonts w:ascii="Arial MT" w:hAnsi="Arial MT"/>
          <w:sz w:val="16"/>
        </w:rPr>
        <w:t>Dívida</w:t>
      </w:r>
      <w:r>
        <w:rPr>
          <w:rFonts w:ascii="Arial MT" w:hAnsi="Arial MT"/>
          <w:spacing w:val="-2"/>
          <w:sz w:val="16"/>
        </w:rPr>
        <w:t xml:space="preserve"> </w:t>
      </w:r>
      <w:r>
        <w:rPr>
          <w:rFonts w:ascii="Arial MT" w:hAnsi="Arial MT"/>
          <w:sz w:val="16"/>
        </w:rPr>
        <w:t>Líquida</w:t>
      </w:r>
      <w:r>
        <w:rPr>
          <w:rFonts w:ascii="Arial MT" w:hAnsi="Arial MT"/>
          <w:sz w:val="16"/>
        </w:rPr>
        <w:tab/>
      </w:r>
      <w:r>
        <w:rPr>
          <w:rFonts w:ascii="Arial MT" w:hAnsi="Arial MT"/>
          <w:noProof/>
          <w:position w:val="1"/>
          <w:sz w:val="16"/>
        </w:rPr>
        <w:drawing>
          <wp:inline distT="0" distB="0" distL="0" distR="0" wp14:anchorId="1C2705ED" wp14:editId="201B2413">
            <wp:extent cx="243839" cy="59817"/>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222" cstate="print"/>
                    <a:stretch>
                      <a:fillRect/>
                    </a:stretch>
                  </pic:blipFill>
                  <pic:spPr>
                    <a:xfrm>
                      <a:off x="0" y="0"/>
                      <a:ext cx="243839" cy="59817"/>
                    </a:xfrm>
                    <a:prstGeom prst="rect">
                      <a:avLst/>
                    </a:prstGeom>
                  </pic:spPr>
                </pic:pic>
              </a:graphicData>
            </a:graphic>
          </wp:inline>
        </w:drawing>
      </w:r>
      <w:r>
        <w:rPr>
          <w:rFonts w:ascii="Times New Roman" w:hAnsi="Times New Roman"/>
          <w:spacing w:val="-1"/>
          <w:sz w:val="16"/>
        </w:rPr>
        <w:t xml:space="preserve"> </w:t>
      </w:r>
      <w:r>
        <w:rPr>
          <w:rFonts w:ascii="Arial MT" w:hAnsi="Arial MT"/>
          <w:sz w:val="16"/>
        </w:rPr>
        <w:t>EBITDA</w:t>
      </w:r>
      <w:r>
        <w:rPr>
          <w:rFonts w:ascii="Arial MT" w:hAnsi="Arial MT"/>
          <w:spacing w:val="-4"/>
          <w:sz w:val="16"/>
        </w:rPr>
        <w:t xml:space="preserve"> </w:t>
      </w:r>
      <w:r>
        <w:rPr>
          <w:rFonts w:ascii="Arial MT" w:hAnsi="Arial MT"/>
          <w:sz w:val="16"/>
        </w:rPr>
        <w:t>Anualizada</w:t>
      </w:r>
    </w:p>
    <w:p w14:paraId="340B62DF" w14:textId="77777777" w:rsidR="002C6574" w:rsidRDefault="002C6574">
      <w:pPr>
        <w:pStyle w:val="Corpodetexto"/>
        <w:rPr>
          <w:rFonts w:ascii="Arial MT"/>
          <w:sz w:val="19"/>
        </w:rPr>
      </w:pPr>
    </w:p>
    <w:p w14:paraId="33DCD0B1" w14:textId="77777777" w:rsidR="002C6574" w:rsidRDefault="002C6574">
      <w:pPr>
        <w:pStyle w:val="Corpodetexto"/>
        <w:spacing w:before="204"/>
        <w:rPr>
          <w:rFonts w:ascii="Arial MT"/>
          <w:sz w:val="19"/>
        </w:rPr>
      </w:pPr>
    </w:p>
    <w:p w14:paraId="393EDB4F" w14:textId="77777777" w:rsidR="002C6574" w:rsidRDefault="00000000">
      <w:pPr>
        <w:spacing w:before="1"/>
        <w:ind w:left="427"/>
        <w:rPr>
          <w:rFonts w:ascii="Arial" w:hAnsi="Arial"/>
          <w:b/>
          <w:sz w:val="24"/>
        </w:rPr>
      </w:pPr>
      <w:r>
        <w:rPr>
          <w:rFonts w:ascii="Arial" w:hAnsi="Arial"/>
          <w:b/>
          <w:smallCaps/>
          <w:sz w:val="24"/>
          <w:u w:val="single"/>
        </w:rPr>
        <w:t>Cronograma</w:t>
      </w:r>
      <w:r>
        <w:rPr>
          <w:rFonts w:ascii="Arial" w:hAnsi="Arial"/>
          <w:b/>
          <w:smallCaps/>
          <w:spacing w:val="-14"/>
          <w:sz w:val="24"/>
          <w:u w:val="single"/>
        </w:rPr>
        <w:t xml:space="preserve"> </w:t>
      </w:r>
      <w:r>
        <w:rPr>
          <w:rFonts w:ascii="Arial" w:hAnsi="Arial"/>
          <w:b/>
          <w:smallCaps/>
          <w:sz w:val="24"/>
          <w:u w:val="single"/>
        </w:rPr>
        <w:t>de</w:t>
      </w:r>
      <w:r>
        <w:rPr>
          <w:rFonts w:ascii="Arial" w:hAnsi="Arial"/>
          <w:b/>
          <w:smallCaps/>
          <w:spacing w:val="-10"/>
          <w:sz w:val="24"/>
          <w:u w:val="single"/>
        </w:rPr>
        <w:t xml:space="preserve"> </w:t>
      </w:r>
      <w:r>
        <w:rPr>
          <w:rFonts w:ascii="Arial" w:hAnsi="Arial"/>
          <w:b/>
          <w:smallCaps/>
          <w:sz w:val="24"/>
          <w:u w:val="single"/>
        </w:rPr>
        <w:t>Amortização</w:t>
      </w:r>
      <w:r>
        <w:rPr>
          <w:rFonts w:ascii="Arial" w:hAnsi="Arial"/>
          <w:b/>
          <w:smallCaps/>
          <w:spacing w:val="-9"/>
          <w:sz w:val="24"/>
          <w:u w:val="single"/>
        </w:rPr>
        <w:t xml:space="preserve"> </w:t>
      </w:r>
      <w:r>
        <w:rPr>
          <w:rFonts w:ascii="Arial" w:hAnsi="Arial"/>
          <w:b/>
          <w:smallCaps/>
          <w:sz w:val="24"/>
          <w:u w:val="single"/>
        </w:rPr>
        <w:t>da</w:t>
      </w:r>
      <w:r>
        <w:rPr>
          <w:rFonts w:ascii="Arial" w:hAnsi="Arial"/>
          <w:b/>
          <w:smallCaps/>
          <w:spacing w:val="-5"/>
          <w:sz w:val="24"/>
          <w:u w:val="single"/>
        </w:rPr>
        <w:t xml:space="preserve"> </w:t>
      </w:r>
      <w:r>
        <w:rPr>
          <w:rFonts w:ascii="Arial" w:hAnsi="Arial"/>
          <w:b/>
          <w:smallCaps/>
          <w:sz w:val="24"/>
          <w:u w:val="single"/>
        </w:rPr>
        <w:t>Dívida</w:t>
      </w:r>
      <w:r>
        <w:rPr>
          <w:rFonts w:ascii="Arial" w:hAnsi="Arial"/>
          <w:b/>
          <w:smallCaps/>
          <w:spacing w:val="-7"/>
          <w:sz w:val="24"/>
          <w:u w:val="single"/>
        </w:rPr>
        <w:t xml:space="preserve"> </w:t>
      </w:r>
      <w:r>
        <w:rPr>
          <w:rFonts w:ascii="Arial" w:hAnsi="Arial"/>
          <w:b/>
          <w:smallCaps/>
          <w:sz w:val="24"/>
          <w:u w:val="single"/>
        </w:rPr>
        <w:t>–</w:t>
      </w:r>
      <w:r>
        <w:rPr>
          <w:rFonts w:ascii="Arial" w:hAnsi="Arial"/>
          <w:b/>
          <w:smallCaps/>
          <w:spacing w:val="-13"/>
          <w:sz w:val="24"/>
          <w:u w:val="single"/>
        </w:rPr>
        <w:t xml:space="preserve"> </w:t>
      </w:r>
      <w:r>
        <w:rPr>
          <w:rFonts w:ascii="Arial" w:hAnsi="Arial"/>
          <w:b/>
          <w:smallCaps/>
          <w:sz w:val="24"/>
          <w:u w:val="single"/>
        </w:rPr>
        <w:t>R$</w:t>
      </w:r>
      <w:r>
        <w:rPr>
          <w:rFonts w:ascii="Arial" w:hAnsi="Arial"/>
          <w:b/>
          <w:smallCaps/>
          <w:spacing w:val="-14"/>
          <w:sz w:val="24"/>
          <w:u w:val="single"/>
        </w:rPr>
        <w:t xml:space="preserve"> </w:t>
      </w:r>
      <w:r>
        <w:rPr>
          <w:rFonts w:ascii="Arial" w:hAnsi="Arial"/>
          <w:b/>
          <w:smallCaps/>
          <w:spacing w:val="-5"/>
          <w:sz w:val="24"/>
          <w:u w:val="single"/>
        </w:rPr>
        <w:t>mil</w:t>
      </w:r>
    </w:p>
    <w:p w14:paraId="3B704AB4" w14:textId="77777777" w:rsidR="002C6574" w:rsidRDefault="002C6574">
      <w:pPr>
        <w:pStyle w:val="Corpodetexto"/>
        <w:spacing w:before="35" w:after="1"/>
        <w:rPr>
          <w:rFonts w:ascii="Arial"/>
          <w:b/>
          <w:sz w:val="20"/>
        </w:rPr>
      </w:pPr>
    </w:p>
    <w:tbl>
      <w:tblPr>
        <w:tblStyle w:val="TableNormal"/>
        <w:tblW w:w="0" w:type="auto"/>
        <w:tblInd w:w="425" w:type="dxa"/>
        <w:tblLayout w:type="fixed"/>
        <w:tblLook w:val="01E0" w:firstRow="1" w:lastRow="1" w:firstColumn="1" w:lastColumn="1" w:noHBand="0" w:noVBand="0"/>
      </w:tblPr>
      <w:tblGrid>
        <w:gridCol w:w="3324"/>
        <w:gridCol w:w="1126"/>
        <w:gridCol w:w="1029"/>
        <w:gridCol w:w="1029"/>
        <w:gridCol w:w="1029"/>
        <w:gridCol w:w="960"/>
        <w:gridCol w:w="1094"/>
        <w:gridCol w:w="904"/>
      </w:tblGrid>
      <w:tr w:rsidR="002C6574" w14:paraId="55034DE5" w14:textId="77777777">
        <w:trPr>
          <w:trHeight w:val="388"/>
        </w:trPr>
        <w:tc>
          <w:tcPr>
            <w:tcW w:w="3324" w:type="dxa"/>
            <w:shd w:val="clear" w:color="auto" w:fill="0000FF"/>
          </w:tcPr>
          <w:p w14:paraId="5DEEAF89" w14:textId="77777777" w:rsidR="002C6574" w:rsidRDefault="00000000">
            <w:pPr>
              <w:pStyle w:val="TableParagraph"/>
              <w:spacing w:before="1" w:line="180" w:lineRule="atLeast"/>
              <w:ind w:left="78"/>
              <w:jc w:val="left"/>
              <w:rPr>
                <w:rFonts w:ascii="Arial" w:hAnsi="Arial"/>
                <w:b/>
                <w:sz w:val="16"/>
              </w:rPr>
            </w:pPr>
            <w:r>
              <w:rPr>
                <w:rFonts w:ascii="Arial" w:hAnsi="Arial"/>
                <w:b/>
                <w:color w:val="FFFFFF"/>
                <w:sz w:val="16"/>
              </w:rPr>
              <w:t>Cronograma</w:t>
            </w:r>
            <w:r>
              <w:rPr>
                <w:rFonts w:ascii="Arial" w:hAnsi="Arial"/>
                <w:b/>
                <w:color w:val="FFFFFF"/>
                <w:spacing w:val="-8"/>
                <w:sz w:val="16"/>
              </w:rPr>
              <w:t xml:space="preserve"> </w:t>
            </w:r>
            <w:r>
              <w:rPr>
                <w:rFonts w:ascii="Arial" w:hAnsi="Arial"/>
                <w:b/>
                <w:color w:val="FFFFFF"/>
                <w:sz w:val="16"/>
              </w:rPr>
              <w:t>de</w:t>
            </w:r>
            <w:r>
              <w:rPr>
                <w:rFonts w:ascii="Arial" w:hAnsi="Arial"/>
                <w:b/>
                <w:color w:val="FFFFFF"/>
                <w:spacing w:val="-10"/>
                <w:sz w:val="16"/>
              </w:rPr>
              <w:t xml:space="preserve"> </w:t>
            </w:r>
            <w:r>
              <w:rPr>
                <w:rFonts w:ascii="Arial" w:hAnsi="Arial"/>
                <w:b/>
                <w:color w:val="FFFFFF"/>
                <w:sz w:val="16"/>
              </w:rPr>
              <w:t>Amortização</w:t>
            </w:r>
            <w:r>
              <w:rPr>
                <w:rFonts w:ascii="Arial" w:hAnsi="Arial"/>
                <w:b/>
                <w:color w:val="FFFFFF"/>
                <w:spacing w:val="-8"/>
                <w:sz w:val="16"/>
              </w:rPr>
              <w:t xml:space="preserve"> </w:t>
            </w:r>
            <w:r>
              <w:rPr>
                <w:rFonts w:ascii="Arial" w:hAnsi="Arial"/>
                <w:b/>
                <w:color w:val="FFFFFF"/>
                <w:sz w:val="16"/>
              </w:rPr>
              <w:t>da</w:t>
            </w:r>
            <w:r>
              <w:rPr>
                <w:rFonts w:ascii="Arial" w:hAnsi="Arial"/>
                <w:b/>
                <w:color w:val="FFFFFF"/>
                <w:spacing w:val="-10"/>
                <w:sz w:val="16"/>
              </w:rPr>
              <w:t xml:space="preserve"> </w:t>
            </w:r>
            <w:r>
              <w:rPr>
                <w:rFonts w:ascii="Arial" w:hAnsi="Arial"/>
                <w:b/>
                <w:color w:val="FFFFFF"/>
                <w:sz w:val="16"/>
              </w:rPr>
              <w:t>Dívida Bruta - Moeda Nacional - R$ Mil</w:t>
            </w:r>
          </w:p>
        </w:tc>
        <w:tc>
          <w:tcPr>
            <w:tcW w:w="1126" w:type="dxa"/>
            <w:shd w:val="clear" w:color="auto" w:fill="0000FF"/>
          </w:tcPr>
          <w:p w14:paraId="28D0F3F0" w14:textId="77777777" w:rsidR="002C6574" w:rsidRDefault="00000000">
            <w:pPr>
              <w:pStyle w:val="TableParagraph"/>
              <w:spacing w:before="92"/>
              <w:ind w:left="300"/>
              <w:jc w:val="left"/>
              <w:rPr>
                <w:rFonts w:ascii="Arial"/>
                <w:b/>
                <w:sz w:val="16"/>
              </w:rPr>
            </w:pPr>
            <w:r>
              <w:rPr>
                <w:rFonts w:ascii="Arial"/>
                <w:b/>
                <w:color w:val="FFFFFF"/>
                <w:spacing w:val="-4"/>
                <w:sz w:val="16"/>
              </w:rPr>
              <w:t>2026</w:t>
            </w:r>
          </w:p>
        </w:tc>
        <w:tc>
          <w:tcPr>
            <w:tcW w:w="1029" w:type="dxa"/>
            <w:shd w:val="clear" w:color="auto" w:fill="0000FF"/>
          </w:tcPr>
          <w:p w14:paraId="732AF781" w14:textId="77777777" w:rsidR="002C6574" w:rsidRDefault="00000000">
            <w:pPr>
              <w:pStyle w:val="TableParagraph"/>
              <w:spacing w:before="92"/>
              <w:ind w:left="204"/>
              <w:jc w:val="left"/>
              <w:rPr>
                <w:rFonts w:ascii="Arial"/>
                <w:b/>
                <w:sz w:val="16"/>
              </w:rPr>
            </w:pPr>
            <w:r>
              <w:rPr>
                <w:rFonts w:ascii="Arial"/>
                <w:b/>
                <w:color w:val="FFFFFF"/>
                <w:spacing w:val="-4"/>
                <w:sz w:val="16"/>
              </w:rPr>
              <w:t>2027</w:t>
            </w:r>
          </w:p>
        </w:tc>
        <w:tc>
          <w:tcPr>
            <w:tcW w:w="1029" w:type="dxa"/>
            <w:shd w:val="clear" w:color="auto" w:fill="0000FF"/>
          </w:tcPr>
          <w:p w14:paraId="52660E57" w14:textId="77777777" w:rsidR="002C6574" w:rsidRDefault="00000000">
            <w:pPr>
              <w:pStyle w:val="TableParagraph"/>
              <w:spacing w:before="92"/>
              <w:ind w:left="205"/>
              <w:jc w:val="left"/>
              <w:rPr>
                <w:rFonts w:ascii="Arial"/>
                <w:b/>
                <w:sz w:val="16"/>
              </w:rPr>
            </w:pPr>
            <w:r>
              <w:rPr>
                <w:rFonts w:ascii="Arial"/>
                <w:b/>
                <w:color w:val="FFFFFF"/>
                <w:spacing w:val="-4"/>
                <w:sz w:val="16"/>
              </w:rPr>
              <w:t>2028</w:t>
            </w:r>
          </w:p>
        </w:tc>
        <w:tc>
          <w:tcPr>
            <w:tcW w:w="1029" w:type="dxa"/>
            <w:shd w:val="clear" w:color="auto" w:fill="0000FF"/>
          </w:tcPr>
          <w:p w14:paraId="304110D3" w14:textId="77777777" w:rsidR="002C6574" w:rsidRDefault="00000000">
            <w:pPr>
              <w:pStyle w:val="TableParagraph"/>
              <w:spacing w:before="92"/>
              <w:ind w:left="205"/>
              <w:jc w:val="left"/>
              <w:rPr>
                <w:rFonts w:ascii="Arial"/>
                <w:b/>
                <w:sz w:val="16"/>
              </w:rPr>
            </w:pPr>
            <w:r>
              <w:rPr>
                <w:rFonts w:ascii="Arial"/>
                <w:b/>
                <w:color w:val="FFFFFF"/>
                <w:spacing w:val="-4"/>
                <w:sz w:val="16"/>
              </w:rPr>
              <w:t>2029</w:t>
            </w:r>
          </w:p>
        </w:tc>
        <w:tc>
          <w:tcPr>
            <w:tcW w:w="960" w:type="dxa"/>
            <w:shd w:val="clear" w:color="auto" w:fill="0000FF"/>
          </w:tcPr>
          <w:p w14:paraId="4B2F33BC" w14:textId="77777777" w:rsidR="002C6574" w:rsidRDefault="00000000">
            <w:pPr>
              <w:pStyle w:val="TableParagraph"/>
              <w:spacing w:before="92"/>
              <w:ind w:left="206"/>
              <w:jc w:val="left"/>
              <w:rPr>
                <w:rFonts w:ascii="Arial"/>
                <w:b/>
                <w:sz w:val="16"/>
              </w:rPr>
            </w:pPr>
            <w:r>
              <w:rPr>
                <w:rFonts w:ascii="Arial"/>
                <w:b/>
                <w:color w:val="FFFFFF"/>
                <w:spacing w:val="-4"/>
                <w:sz w:val="16"/>
              </w:rPr>
              <w:t>2030</w:t>
            </w:r>
          </w:p>
        </w:tc>
        <w:tc>
          <w:tcPr>
            <w:tcW w:w="1094" w:type="dxa"/>
            <w:shd w:val="clear" w:color="auto" w:fill="0000FF"/>
          </w:tcPr>
          <w:p w14:paraId="6CE09F44" w14:textId="77777777" w:rsidR="002C6574" w:rsidRDefault="00000000">
            <w:pPr>
              <w:pStyle w:val="TableParagraph"/>
              <w:spacing w:before="1" w:line="180" w:lineRule="atLeast"/>
              <w:ind w:left="218" w:right="318" w:hanging="82"/>
              <w:jc w:val="left"/>
              <w:rPr>
                <w:rFonts w:ascii="Arial"/>
                <w:b/>
                <w:sz w:val="16"/>
              </w:rPr>
            </w:pPr>
            <w:r>
              <w:rPr>
                <w:rFonts w:ascii="Arial"/>
                <w:b/>
                <w:color w:val="FFFFFF"/>
                <w:sz w:val="16"/>
              </w:rPr>
              <w:t>2031</w:t>
            </w:r>
            <w:r>
              <w:rPr>
                <w:rFonts w:ascii="Arial"/>
                <w:b/>
                <w:color w:val="FFFFFF"/>
                <w:spacing w:val="-12"/>
                <w:sz w:val="16"/>
              </w:rPr>
              <w:t xml:space="preserve"> </w:t>
            </w:r>
            <w:r>
              <w:rPr>
                <w:rFonts w:ascii="Arial"/>
                <w:b/>
                <w:color w:val="FFFFFF"/>
                <w:sz w:val="16"/>
              </w:rPr>
              <w:t xml:space="preserve">em </w:t>
            </w:r>
            <w:r>
              <w:rPr>
                <w:rFonts w:ascii="Arial"/>
                <w:b/>
                <w:color w:val="FFFFFF"/>
                <w:spacing w:val="-2"/>
                <w:sz w:val="16"/>
              </w:rPr>
              <w:t>diante</w:t>
            </w:r>
          </w:p>
        </w:tc>
        <w:tc>
          <w:tcPr>
            <w:tcW w:w="904" w:type="dxa"/>
            <w:shd w:val="clear" w:color="auto" w:fill="0000FF"/>
          </w:tcPr>
          <w:p w14:paraId="004AEA18" w14:textId="77777777" w:rsidR="002C6574" w:rsidRDefault="00000000">
            <w:pPr>
              <w:pStyle w:val="TableParagraph"/>
              <w:spacing w:before="92"/>
              <w:ind w:left="202"/>
              <w:jc w:val="left"/>
              <w:rPr>
                <w:rFonts w:ascii="Arial"/>
                <w:b/>
                <w:sz w:val="16"/>
              </w:rPr>
            </w:pPr>
            <w:r>
              <w:rPr>
                <w:rFonts w:ascii="Arial"/>
                <w:b/>
                <w:color w:val="FFFFFF"/>
                <w:spacing w:val="-2"/>
                <w:sz w:val="16"/>
              </w:rPr>
              <w:t>Total</w:t>
            </w:r>
          </w:p>
        </w:tc>
      </w:tr>
      <w:tr w:rsidR="002C6574" w14:paraId="02367295" w14:textId="77777777">
        <w:trPr>
          <w:trHeight w:val="232"/>
        </w:trPr>
        <w:tc>
          <w:tcPr>
            <w:tcW w:w="3324" w:type="dxa"/>
            <w:tcBorders>
              <w:bottom w:val="single" w:sz="8" w:space="0" w:color="0000FF"/>
            </w:tcBorders>
          </w:tcPr>
          <w:p w14:paraId="7AD0265A" w14:textId="77777777" w:rsidR="002C6574" w:rsidRDefault="00000000">
            <w:pPr>
              <w:pStyle w:val="TableParagraph"/>
              <w:spacing w:before="49" w:line="163" w:lineRule="exact"/>
              <w:ind w:left="78"/>
              <w:jc w:val="left"/>
              <w:rPr>
                <w:rFonts w:ascii="Arial MT"/>
                <w:sz w:val="16"/>
              </w:rPr>
            </w:pPr>
            <w:r>
              <w:rPr>
                <w:rFonts w:ascii="Arial MT"/>
                <w:sz w:val="16"/>
              </w:rPr>
              <w:t>Arrendamento</w:t>
            </w:r>
            <w:r>
              <w:rPr>
                <w:rFonts w:ascii="Arial MT"/>
                <w:spacing w:val="-9"/>
                <w:sz w:val="16"/>
              </w:rPr>
              <w:t xml:space="preserve"> </w:t>
            </w:r>
            <w:r>
              <w:rPr>
                <w:rFonts w:ascii="Arial MT"/>
                <w:sz w:val="16"/>
              </w:rPr>
              <w:t>Mercantil</w:t>
            </w:r>
            <w:r>
              <w:rPr>
                <w:rFonts w:ascii="Arial MT"/>
                <w:spacing w:val="-8"/>
                <w:sz w:val="16"/>
              </w:rPr>
              <w:t xml:space="preserve"> </w:t>
            </w:r>
            <w:r>
              <w:rPr>
                <w:rFonts w:ascii="Arial MT"/>
                <w:spacing w:val="-2"/>
                <w:sz w:val="16"/>
              </w:rPr>
              <w:t>Financeiro</w:t>
            </w:r>
          </w:p>
        </w:tc>
        <w:tc>
          <w:tcPr>
            <w:tcW w:w="1126" w:type="dxa"/>
            <w:tcBorders>
              <w:bottom w:val="single" w:sz="8" w:space="0" w:color="0000FF"/>
            </w:tcBorders>
          </w:tcPr>
          <w:p w14:paraId="1E5C42F5" w14:textId="77777777" w:rsidR="002C6574" w:rsidRDefault="00000000">
            <w:pPr>
              <w:pStyle w:val="TableParagraph"/>
              <w:spacing w:before="49" w:line="163" w:lineRule="exact"/>
              <w:ind w:left="526"/>
              <w:jc w:val="left"/>
              <w:rPr>
                <w:rFonts w:ascii="Arial MT"/>
                <w:sz w:val="16"/>
              </w:rPr>
            </w:pPr>
            <w:r>
              <w:rPr>
                <w:rFonts w:ascii="Arial MT"/>
                <w:spacing w:val="-2"/>
                <w:sz w:val="16"/>
              </w:rPr>
              <w:t>5.093</w:t>
            </w:r>
          </w:p>
        </w:tc>
        <w:tc>
          <w:tcPr>
            <w:tcW w:w="1029" w:type="dxa"/>
            <w:tcBorders>
              <w:bottom w:val="single" w:sz="8" w:space="0" w:color="0000FF"/>
            </w:tcBorders>
          </w:tcPr>
          <w:p w14:paraId="54817902" w14:textId="77777777" w:rsidR="002C6574" w:rsidRDefault="00000000">
            <w:pPr>
              <w:pStyle w:val="TableParagraph"/>
              <w:spacing w:before="49" w:line="163" w:lineRule="exact"/>
              <w:ind w:left="429"/>
              <w:jc w:val="left"/>
              <w:rPr>
                <w:rFonts w:ascii="Arial MT"/>
                <w:sz w:val="16"/>
              </w:rPr>
            </w:pPr>
            <w:r>
              <w:rPr>
                <w:rFonts w:ascii="Arial MT"/>
                <w:spacing w:val="-2"/>
                <w:sz w:val="16"/>
              </w:rPr>
              <w:t>4.502</w:t>
            </w:r>
          </w:p>
        </w:tc>
        <w:tc>
          <w:tcPr>
            <w:tcW w:w="1029" w:type="dxa"/>
            <w:tcBorders>
              <w:bottom w:val="single" w:sz="8" w:space="0" w:color="0000FF"/>
            </w:tcBorders>
          </w:tcPr>
          <w:p w14:paraId="060C30ED" w14:textId="77777777" w:rsidR="002C6574" w:rsidRDefault="00000000">
            <w:pPr>
              <w:pStyle w:val="TableParagraph"/>
              <w:spacing w:before="49" w:line="163" w:lineRule="exact"/>
              <w:ind w:left="430"/>
              <w:jc w:val="left"/>
              <w:rPr>
                <w:rFonts w:ascii="Arial MT"/>
                <w:sz w:val="16"/>
              </w:rPr>
            </w:pPr>
            <w:r>
              <w:rPr>
                <w:rFonts w:ascii="Arial MT"/>
                <w:spacing w:val="-2"/>
                <w:sz w:val="16"/>
              </w:rPr>
              <w:t>3.701</w:t>
            </w:r>
          </w:p>
        </w:tc>
        <w:tc>
          <w:tcPr>
            <w:tcW w:w="1029" w:type="dxa"/>
            <w:tcBorders>
              <w:bottom w:val="single" w:sz="8" w:space="0" w:color="0000FF"/>
            </w:tcBorders>
          </w:tcPr>
          <w:p w14:paraId="1CBD967E" w14:textId="77777777" w:rsidR="002C6574" w:rsidRDefault="00000000">
            <w:pPr>
              <w:pStyle w:val="TableParagraph"/>
              <w:spacing w:before="49" w:line="163" w:lineRule="exact"/>
              <w:ind w:left="431"/>
              <w:jc w:val="left"/>
              <w:rPr>
                <w:rFonts w:ascii="Arial MT"/>
                <w:sz w:val="16"/>
              </w:rPr>
            </w:pPr>
            <w:r>
              <w:rPr>
                <w:rFonts w:ascii="Arial MT"/>
                <w:spacing w:val="-2"/>
                <w:sz w:val="16"/>
              </w:rPr>
              <w:t>3.517</w:t>
            </w:r>
          </w:p>
        </w:tc>
        <w:tc>
          <w:tcPr>
            <w:tcW w:w="960" w:type="dxa"/>
            <w:tcBorders>
              <w:bottom w:val="single" w:sz="8" w:space="0" w:color="0000FF"/>
            </w:tcBorders>
          </w:tcPr>
          <w:p w14:paraId="30432190" w14:textId="77777777" w:rsidR="002C6574" w:rsidRDefault="00000000">
            <w:pPr>
              <w:pStyle w:val="TableParagraph"/>
              <w:spacing w:before="49" w:line="163" w:lineRule="exact"/>
              <w:ind w:left="432"/>
              <w:jc w:val="left"/>
              <w:rPr>
                <w:rFonts w:ascii="Arial MT"/>
                <w:sz w:val="16"/>
              </w:rPr>
            </w:pPr>
            <w:r>
              <w:rPr>
                <w:rFonts w:ascii="Arial MT"/>
                <w:spacing w:val="-2"/>
                <w:sz w:val="16"/>
              </w:rPr>
              <w:t>3.018</w:t>
            </w:r>
          </w:p>
        </w:tc>
        <w:tc>
          <w:tcPr>
            <w:tcW w:w="1094" w:type="dxa"/>
            <w:tcBorders>
              <w:bottom w:val="single" w:sz="8" w:space="0" w:color="0000FF"/>
            </w:tcBorders>
          </w:tcPr>
          <w:p w14:paraId="1A6B5739" w14:textId="77777777" w:rsidR="002C6574" w:rsidRDefault="00000000">
            <w:pPr>
              <w:pStyle w:val="TableParagraph"/>
              <w:spacing w:before="49" w:line="163" w:lineRule="exact"/>
              <w:ind w:left="722"/>
              <w:jc w:val="left"/>
              <w:rPr>
                <w:rFonts w:ascii="Arial MT"/>
                <w:sz w:val="16"/>
              </w:rPr>
            </w:pPr>
            <w:r>
              <w:rPr>
                <w:rFonts w:ascii="Arial MT"/>
                <w:spacing w:val="-5"/>
                <w:sz w:val="16"/>
              </w:rPr>
              <w:t>48</w:t>
            </w:r>
          </w:p>
        </w:tc>
        <w:tc>
          <w:tcPr>
            <w:tcW w:w="904" w:type="dxa"/>
            <w:tcBorders>
              <w:bottom w:val="single" w:sz="8" w:space="0" w:color="0000FF"/>
            </w:tcBorders>
          </w:tcPr>
          <w:p w14:paraId="22FDEB3E" w14:textId="77777777" w:rsidR="002C6574" w:rsidRDefault="00000000">
            <w:pPr>
              <w:pStyle w:val="TableParagraph"/>
              <w:spacing w:before="49" w:line="163" w:lineRule="exact"/>
              <w:ind w:left="351"/>
              <w:jc w:val="left"/>
              <w:rPr>
                <w:rFonts w:ascii="Arial"/>
                <w:b/>
                <w:sz w:val="16"/>
              </w:rPr>
            </w:pPr>
            <w:r>
              <w:rPr>
                <w:rFonts w:ascii="Arial"/>
                <w:b/>
                <w:spacing w:val="-2"/>
                <w:sz w:val="16"/>
              </w:rPr>
              <w:t>19.879</w:t>
            </w:r>
          </w:p>
        </w:tc>
      </w:tr>
    </w:tbl>
    <w:p w14:paraId="7DD6756C" w14:textId="77777777" w:rsidR="002C6574" w:rsidRDefault="002C6574">
      <w:pPr>
        <w:pStyle w:val="Corpodetexto"/>
        <w:rPr>
          <w:rFonts w:ascii="Arial"/>
          <w:b/>
          <w:sz w:val="19"/>
        </w:rPr>
      </w:pPr>
    </w:p>
    <w:p w14:paraId="2763B264" w14:textId="77777777" w:rsidR="002C6574" w:rsidRDefault="002C6574">
      <w:pPr>
        <w:pStyle w:val="Corpodetexto"/>
        <w:spacing w:before="126"/>
        <w:rPr>
          <w:rFonts w:ascii="Arial"/>
          <w:b/>
          <w:sz w:val="19"/>
        </w:rPr>
      </w:pPr>
    </w:p>
    <w:p w14:paraId="36BF5E00" w14:textId="77777777" w:rsidR="002C6574" w:rsidRDefault="00000000">
      <w:pPr>
        <w:ind w:left="427"/>
        <w:rPr>
          <w:rFonts w:ascii="Arial" w:hAnsi="Arial"/>
          <w:b/>
          <w:sz w:val="24"/>
        </w:rPr>
      </w:pPr>
      <w:r>
        <w:rPr>
          <w:rFonts w:ascii="Arial" w:hAnsi="Arial"/>
          <w:b/>
          <w:smallCaps/>
          <w:sz w:val="24"/>
          <w:u w:val="single"/>
        </w:rPr>
        <w:t>Movimentação</w:t>
      </w:r>
      <w:r>
        <w:rPr>
          <w:rFonts w:ascii="Arial" w:hAnsi="Arial"/>
          <w:b/>
          <w:smallCaps/>
          <w:spacing w:val="-11"/>
          <w:sz w:val="24"/>
          <w:u w:val="single"/>
        </w:rPr>
        <w:t xml:space="preserve"> </w:t>
      </w:r>
      <w:r>
        <w:rPr>
          <w:rFonts w:ascii="Arial" w:hAnsi="Arial"/>
          <w:b/>
          <w:smallCaps/>
          <w:sz w:val="24"/>
          <w:u w:val="single"/>
        </w:rPr>
        <w:t>dos</w:t>
      </w:r>
      <w:r>
        <w:rPr>
          <w:rFonts w:ascii="Arial" w:hAnsi="Arial"/>
          <w:b/>
          <w:smallCaps/>
          <w:spacing w:val="-7"/>
          <w:sz w:val="24"/>
          <w:u w:val="single"/>
        </w:rPr>
        <w:t xml:space="preserve"> </w:t>
      </w:r>
      <w:r>
        <w:rPr>
          <w:rFonts w:ascii="Arial" w:hAnsi="Arial"/>
          <w:b/>
          <w:smallCaps/>
          <w:sz w:val="24"/>
          <w:u w:val="single"/>
        </w:rPr>
        <w:t>Empréstimos</w:t>
      </w:r>
      <w:r>
        <w:rPr>
          <w:rFonts w:ascii="Arial" w:hAnsi="Arial"/>
          <w:b/>
          <w:smallCaps/>
          <w:spacing w:val="-8"/>
          <w:sz w:val="24"/>
          <w:u w:val="single"/>
        </w:rPr>
        <w:t xml:space="preserve"> </w:t>
      </w:r>
      <w:r>
        <w:rPr>
          <w:rFonts w:ascii="Arial" w:hAnsi="Arial"/>
          <w:b/>
          <w:smallCaps/>
          <w:sz w:val="24"/>
          <w:u w:val="single"/>
        </w:rPr>
        <w:t>e</w:t>
      </w:r>
      <w:r>
        <w:rPr>
          <w:rFonts w:ascii="Arial" w:hAnsi="Arial"/>
          <w:b/>
          <w:smallCaps/>
          <w:spacing w:val="-9"/>
          <w:sz w:val="24"/>
          <w:u w:val="single"/>
        </w:rPr>
        <w:t xml:space="preserve"> </w:t>
      </w:r>
      <w:r>
        <w:rPr>
          <w:rFonts w:ascii="Arial" w:hAnsi="Arial"/>
          <w:b/>
          <w:smallCaps/>
          <w:sz w:val="24"/>
          <w:u w:val="single"/>
        </w:rPr>
        <w:t>Financiamentos</w:t>
      </w:r>
      <w:r>
        <w:rPr>
          <w:rFonts w:ascii="Arial" w:hAnsi="Arial"/>
          <w:b/>
          <w:smallCaps/>
          <w:spacing w:val="-8"/>
          <w:sz w:val="24"/>
          <w:u w:val="single"/>
        </w:rPr>
        <w:t xml:space="preserve"> </w:t>
      </w:r>
      <w:r>
        <w:rPr>
          <w:rFonts w:ascii="Arial" w:hAnsi="Arial"/>
          <w:b/>
          <w:smallCaps/>
          <w:sz w:val="24"/>
          <w:u w:val="single"/>
        </w:rPr>
        <w:t>e</w:t>
      </w:r>
      <w:r>
        <w:rPr>
          <w:rFonts w:ascii="Arial" w:hAnsi="Arial"/>
          <w:b/>
          <w:smallCaps/>
          <w:spacing w:val="-8"/>
          <w:sz w:val="24"/>
          <w:u w:val="single"/>
        </w:rPr>
        <w:t xml:space="preserve"> </w:t>
      </w:r>
      <w:r>
        <w:rPr>
          <w:rFonts w:ascii="Arial" w:hAnsi="Arial"/>
          <w:b/>
          <w:smallCaps/>
          <w:sz w:val="24"/>
          <w:u w:val="single"/>
        </w:rPr>
        <w:t>Acordos</w:t>
      </w:r>
      <w:r>
        <w:rPr>
          <w:rFonts w:ascii="Arial" w:hAnsi="Arial"/>
          <w:b/>
          <w:smallCaps/>
          <w:spacing w:val="-8"/>
          <w:sz w:val="24"/>
          <w:u w:val="single"/>
        </w:rPr>
        <w:t xml:space="preserve"> </w:t>
      </w:r>
      <w:r>
        <w:rPr>
          <w:rFonts w:ascii="Arial" w:hAnsi="Arial"/>
          <w:b/>
          <w:smallCaps/>
          <w:sz w:val="24"/>
          <w:u w:val="single"/>
        </w:rPr>
        <w:t>de</w:t>
      </w:r>
      <w:r>
        <w:rPr>
          <w:rFonts w:ascii="Arial" w:hAnsi="Arial"/>
          <w:b/>
          <w:smallCaps/>
          <w:spacing w:val="-6"/>
          <w:sz w:val="24"/>
          <w:u w:val="single"/>
        </w:rPr>
        <w:t xml:space="preserve"> </w:t>
      </w:r>
      <w:r>
        <w:rPr>
          <w:rFonts w:ascii="Arial" w:hAnsi="Arial"/>
          <w:b/>
          <w:smallCaps/>
          <w:spacing w:val="-2"/>
          <w:sz w:val="24"/>
          <w:u w:val="single"/>
        </w:rPr>
        <w:t>Dívidas</w:t>
      </w:r>
    </w:p>
    <w:p w14:paraId="6685FE43" w14:textId="77777777" w:rsidR="002C6574" w:rsidRDefault="002C6574">
      <w:pPr>
        <w:pStyle w:val="Corpodetexto"/>
        <w:spacing w:before="45" w:after="1"/>
        <w:rPr>
          <w:rFonts w:ascii="Arial"/>
          <w:b/>
          <w:sz w:val="20"/>
        </w:rPr>
      </w:pPr>
    </w:p>
    <w:tbl>
      <w:tblPr>
        <w:tblStyle w:val="TableNormal"/>
        <w:tblW w:w="0" w:type="auto"/>
        <w:tblInd w:w="434" w:type="dxa"/>
        <w:tblLayout w:type="fixed"/>
        <w:tblLook w:val="01E0" w:firstRow="1" w:lastRow="1" w:firstColumn="1" w:lastColumn="1" w:noHBand="0" w:noVBand="0"/>
      </w:tblPr>
      <w:tblGrid>
        <w:gridCol w:w="5139"/>
        <w:gridCol w:w="2134"/>
        <w:gridCol w:w="1983"/>
        <w:gridCol w:w="1234"/>
      </w:tblGrid>
      <w:tr w:rsidR="002C6574" w14:paraId="3A0A3603" w14:textId="77777777">
        <w:trPr>
          <w:trHeight w:val="195"/>
        </w:trPr>
        <w:tc>
          <w:tcPr>
            <w:tcW w:w="5139" w:type="dxa"/>
            <w:shd w:val="clear" w:color="auto" w:fill="0000FF"/>
          </w:tcPr>
          <w:p w14:paraId="3D784F7E" w14:textId="77777777" w:rsidR="002C6574" w:rsidRDefault="002C6574">
            <w:pPr>
              <w:pStyle w:val="TableParagraph"/>
              <w:jc w:val="left"/>
              <w:rPr>
                <w:rFonts w:ascii="Times New Roman"/>
                <w:sz w:val="12"/>
              </w:rPr>
            </w:pPr>
          </w:p>
        </w:tc>
        <w:tc>
          <w:tcPr>
            <w:tcW w:w="2134" w:type="dxa"/>
            <w:shd w:val="clear" w:color="auto" w:fill="66FFFF"/>
          </w:tcPr>
          <w:p w14:paraId="4B8E77FA" w14:textId="77777777" w:rsidR="002C6574" w:rsidRDefault="002C6574">
            <w:pPr>
              <w:pStyle w:val="TableParagraph"/>
              <w:jc w:val="left"/>
              <w:rPr>
                <w:rFonts w:ascii="Times New Roman"/>
                <w:sz w:val="12"/>
              </w:rPr>
            </w:pPr>
          </w:p>
        </w:tc>
        <w:tc>
          <w:tcPr>
            <w:tcW w:w="1983" w:type="dxa"/>
            <w:shd w:val="clear" w:color="auto" w:fill="66FFFF"/>
          </w:tcPr>
          <w:p w14:paraId="339D9E8B" w14:textId="77777777" w:rsidR="002C6574" w:rsidRDefault="00000000">
            <w:pPr>
              <w:pStyle w:val="TableParagraph"/>
              <w:spacing w:before="6" w:line="171" w:lineRule="exact"/>
              <w:ind w:left="139"/>
              <w:jc w:val="left"/>
              <w:rPr>
                <w:rFonts w:ascii="Arial"/>
                <w:b/>
                <w:sz w:val="16"/>
              </w:rPr>
            </w:pPr>
            <w:r>
              <w:rPr>
                <w:rFonts w:ascii="Arial"/>
                <w:b/>
                <w:spacing w:val="-2"/>
                <w:sz w:val="16"/>
              </w:rPr>
              <w:t>31/12/2025</w:t>
            </w:r>
          </w:p>
        </w:tc>
        <w:tc>
          <w:tcPr>
            <w:tcW w:w="1234" w:type="dxa"/>
            <w:shd w:val="clear" w:color="auto" w:fill="66FFFF"/>
          </w:tcPr>
          <w:p w14:paraId="40D8037A" w14:textId="77777777" w:rsidR="002C6574" w:rsidRDefault="002C6574">
            <w:pPr>
              <w:pStyle w:val="TableParagraph"/>
              <w:jc w:val="left"/>
              <w:rPr>
                <w:rFonts w:ascii="Times New Roman"/>
                <w:sz w:val="12"/>
              </w:rPr>
            </w:pPr>
          </w:p>
        </w:tc>
      </w:tr>
      <w:tr w:rsidR="002C6574" w14:paraId="7CE401F6" w14:textId="77777777">
        <w:trPr>
          <w:trHeight w:val="371"/>
        </w:trPr>
        <w:tc>
          <w:tcPr>
            <w:tcW w:w="5139" w:type="dxa"/>
            <w:shd w:val="clear" w:color="auto" w:fill="0000FF"/>
          </w:tcPr>
          <w:p w14:paraId="34C6F100" w14:textId="77777777" w:rsidR="002C6574" w:rsidRDefault="00000000">
            <w:pPr>
              <w:pStyle w:val="TableParagraph"/>
              <w:spacing w:line="179" w:lineRule="exact"/>
              <w:ind w:left="69"/>
              <w:jc w:val="left"/>
              <w:rPr>
                <w:rFonts w:ascii="Arial"/>
                <w:b/>
                <w:sz w:val="16"/>
              </w:rPr>
            </w:pPr>
            <w:r>
              <w:rPr>
                <w:rFonts w:ascii="Arial"/>
                <w:b/>
                <w:color w:val="FFFFFF"/>
                <w:sz w:val="16"/>
              </w:rPr>
              <w:t>R$</w:t>
            </w:r>
            <w:r>
              <w:rPr>
                <w:rFonts w:ascii="Arial"/>
                <w:b/>
                <w:color w:val="FFFFFF"/>
                <w:spacing w:val="-1"/>
                <w:sz w:val="16"/>
              </w:rPr>
              <w:t xml:space="preserve"> </w:t>
            </w:r>
            <w:r>
              <w:rPr>
                <w:rFonts w:ascii="Arial"/>
                <w:b/>
                <w:color w:val="FFFFFF"/>
                <w:spacing w:val="-5"/>
                <w:sz w:val="16"/>
              </w:rPr>
              <w:t>mil</w:t>
            </w:r>
          </w:p>
        </w:tc>
        <w:tc>
          <w:tcPr>
            <w:tcW w:w="2134" w:type="dxa"/>
            <w:shd w:val="clear" w:color="auto" w:fill="0000FF"/>
          </w:tcPr>
          <w:p w14:paraId="4F1853A8" w14:textId="77777777" w:rsidR="002C6574" w:rsidRDefault="00000000">
            <w:pPr>
              <w:pStyle w:val="TableParagraph"/>
              <w:spacing w:line="180" w:lineRule="atLeast"/>
              <w:ind w:left="432" w:firstLine="33"/>
              <w:jc w:val="left"/>
              <w:rPr>
                <w:rFonts w:ascii="Arial" w:hAnsi="Arial"/>
                <w:b/>
                <w:sz w:val="16"/>
              </w:rPr>
            </w:pPr>
            <w:r>
              <w:rPr>
                <w:rFonts w:ascii="Arial" w:hAnsi="Arial"/>
                <w:b/>
                <w:color w:val="FFFFFF"/>
                <w:sz w:val="16"/>
              </w:rPr>
              <w:t xml:space="preserve">Empréstimos e </w:t>
            </w:r>
            <w:r>
              <w:rPr>
                <w:rFonts w:ascii="Arial" w:hAnsi="Arial"/>
                <w:b/>
                <w:color w:val="FFFFFF"/>
                <w:spacing w:val="-2"/>
                <w:sz w:val="16"/>
              </w:rPr>
              <w:t>Financiamentos</w:t>
            </w:r>
          </w:p>
        </w:tc>
        <w:tc>
          <w:tcPr>
            <w:tcW w:w="1983" w:type="dxa"/>
            <w:shd w:val="clear" w:color="auto" w:fill="0000FF"/>
          </w:tcPr>
          <w:p w14:paraId="734E38E2" w14:textId="77777777" w:rsidR="002C6574" w:rsidRDefault="00000000">
            <w:pPr>
              <w:pStyle w:val="TableParagraph"/>
              <w:spacing w:line="180" w:lineRule="atLeast"/>
              <w:ind w:left="120" w:right="299" w:firstLine="230"/>
              <w:jc w:val="left"/>
              <w:rPr>
                <w:rFonts w:ascii="Arial"/>
                <w:b/>
                <w:sz w:val="16"/>
              </w:rPr>
            </w:pPr>
            <w:r>
              <w:rPr>
                <w:rFonts w:ascii="Arial"/>
                <w:b/>
                <w:color w:val="FFFFFF"/>
                <w:spacing w:val="-2"/>
                <w:sz w:val="16"/>
              </w:rPr>
              <w:t xml:space="preserve">Arrendamento </w:t>
            </w:r>
            <w:r>
              <w:rPr>
                <w:rFonts w:ascii="Arial"/>
                <w:b/>
                <w:color w:val="FFFFFF"/>
                <w:sz w:val="16"/>
              </w:rPr>
              <w:t>Mercantil</w:t>
            </w:r>
            <w:r>
              <w:rPr>
                <w:rFonts w:ascii="Arial"/>
                <w:b/>
                <w:color w:val="FFFFFF"/>
                <w:spacing w:val="-12"/>
                <w:sz w:val="16"/>
              </w:rPr>
              <w:t xml:space="preserve"> </w:t>
            </w:r>
            <w:r>
              <w:rPr>
                <w:rFonts w:ascii="Arial"/>
                <w:b/>
                <w:color w:val="FFFFFF"/>
                <w:sz w:val="16"/>
              </w:rPr>
              <w:t>Financeiro</w:t>
            </w:r>
          </w:p>
        </w:tc>
        <w:tc>
          <w:tcPr>
            <w:tcW w:w="1234" w:type="dxa"/>
            <w:shd w:val="clear" w:color="auto" w:fill="0000FF"/>
          </w:tcPr>
          <w:p w14:paraId="1AE922AD" w14:textId="77777777" w:rsidR="002C6574" w:rsidRDefault="00000000">
            <w:pPr>
              <w:pStyle w:val="TableParagraph"/>
              <w:spacing w:line="180" w:lineRule="atLeast"/>
              <w:ind w:left="206" w:right="338" w:firstLine="16"/>
              <w:jc w:val="left"/>
              <w:rPr>
                <w:rFonts w:ascii="Arial"/>
                <w:b/>
                <w:sz w:val="16"/>
              </w:rPr>
            </w:pPr>
            <w:r>
              <w:rPr>
                <w:rFonts w:ascii="Arial"/>
                <w:b/>
                <w:color w:val="FFFFFF"/>
                <w:spacing w:val="-2"/>
                <w:sz w:val="16"/>
              </w:rPr>
              <w:t>Acordos Judiciais</w:t>
            </w:r>
          </w:p>
        </w:tc>
      </w:tr>
      <w:tr w:rsidR="002C6574" w14:paraId="7868504C" w14:textId="77777777">
        <w:trPr>
          <w:trHeight w:val="206"/>
        </w:trPr>
        <w:tc>
          <w:tcPr>
            <w:tcW w:w="5139" w:type="dxa"/>
          </w:tcPr>
          <w:p w14:paraId="522C46A2" w14:textId="77777777" w:rsidR="002C6574" w:rsidRDefault="00000000">
            <w:pPr>
              <w:pStyle w:val="TableParagraph"/>
              <w:spacing w:before="6" w:line="181" w:lineRule="exact"/>
              <w:ind w:left="69"/>
              <w:jc w:val="left"/>
              <w:rPr>
                <w:rFonts w:ascii="Arial"/>
                <w:b/>
                <w:sz w:val="16"/>
              </w:rPr>
            </w:pPr>
            <w:r>
              <w:rPr>
                <w:rFonts w:ascii="Arial"/>
                <w:b/>
                <w:sz w:val="16"/>
              </w:rPr>
              <w:t>Saldos</w:t>
            </w:r>
            <w:r>
              <w:rPr>
                <w:rFonts w:ascii="Arial"/>
                <w:b/>
                <w:spacing w:val="-6"/>
                <w:sz w:val="16"/>
              </w:rPr>
              <w:t xml:space="preserve"> </w:t>
            </w:r>
            <w:r>
              <w:rPr>
                <w:rFonts w:ascii="Arial"/>
                <w:b/>
                <w:sz w:val="16"/>
              </w:rPr>
              <w:t>Iniciais</w:t>
            </w:r>
            <w:r>
              <w:rPr>
                <w:rFonts w:ascii="Arial"/>
                <w:b/>
                <w:spacing w:val="-3"/>
                <w:sz w:val="16"/>
              </w:rPr>
              <w:t xml:space="preserve"> </w:t>
            </w:r>
            <w:r>
              <w:rPr>
                <w:rFonts w:ascii="Arial"/>
                <w:b/>
                <w:sz w:val="16"/>
              </w:rPr>
              <w:t>em</w:t>
            </w:r>
            <w:r>
              <w:rPr>
                <w:rFonts w:ascii="Arial"/>
                <w:b/>
                <w:spacing w:val="-1"/>
                <w:sz w:val="16"/>
              </w:rPr>
              <w:t xml:space="preserve"> </w:t>
            </w:r>
            <w:r>
              <w:rPr>
                <w:rFonts w:ascii="Arial"/>
                <w:b/>
                <w:sz w:val="16"/>
              </w:rPr>
              <w:t>31</w:t>
            </w:r>
            <w:r>
              <w:rPr>
                <w:rFonts w:ascii="Arial"/>
                <w:b/>
                <w:spacing w:val="-6"/>
                <w:sz w:val="16"/>
              </w:rPr>
              <w:t xml:space="preserve"> </w:t>
            </w:r>
            <w:r>
              <w:rPr>
                <w:rFonts w:ascii="Arial"/>
                <w:b/>
                <w:sz w:val="16"/>
              </w:rPr>
              <w:t>de</w:t>
            </w:r>
            <w:r>
              <w:rPr>
                <w:rFonts w:ascii="Arial"/>
                <w:b/>
                <w:spacing w:val="-5"/>
                <w:sz w:val="16"/>
              </w:rPr>
              <w:t xml:space="preserve"> </w:t>
            </w:r>
            <w:r>
              <w:rPr>
                <w:rFonts w:ascii="Arial"/>
                <w:b/>
                <w:sz w:val="16"/>
              </w:rPr>
              <w:t>dezembro</w:t>
            </w:r>
            <w:r>
              <w:rPr>
                <w:rFonts w:ascii="Arial"/>
                <w:b/>
                <w:spacing w:val="-2"/>
                <w:sz w:val="16"/>
              </w:rPr>
              <w:t xml:space="preserve"> </w:t>
            </w:r>
            <w:r>
              <w:rPr>
                <w:rFonts w:ascii="Arial"/>
                <w:b/>
                <w:sz w:val="16"/>
              </w:rPr>
              <w:t>de</w:t>
            </w:r>
            <w:r>
              <w:rPr>
                <w:rFonts w:ascii="Arial"/>
                <w:b/>
                <w:spacing w:val="-5"/>
                <w:sz w:val="16"/>
              </w:rPr>
              <w:t xml:space="preserve"> </w:t>
            </w:r>
            <w:r>
              <w:rPr>
                <w:rFonts w:ascii="Arial"/>
                <w:b/>
                <w:spacing w:val="-4"/>
                <w:sz w:val="16"/>
              </w:rPr>
              <w:t>2024</w:t>
            </w:r>
          </w:p>
        </w:tc>
        <w:tc>
          <w:tcPr>
            <w:tcW w:w="2134" w:type="dxa"/>
          </w:tcPr>
          <w:p w14:paraId="079E8FE5" w14:textId="77777777" w:rsidR="002C6574" w:rsidRDefault="00000000">
            <w:pPr>
              <w:pStyle w:val="TableParagraph"/>
              <w:spacing w:before="6" w:line="181" w:lineRule="exact"/>
              <w:ind w:right="117"/>
              <w:rPr>
                <w:rFonts w:ascii="Arial"/>
                <w:b/>
                <w:sz w:val="16"/>
              </w:rPr>
            </w:pPr>
            <w:r>
              <w:rPr>
                <w:rFonts w:ascii="Arial"/>
                <w:b/>
                <w:spacing w:val="-2"/>
                <w:sz w:val="16"/>
              </w:rPr>
              <w:t>46.210</w:t>
            </w:r>
          </w:p>
        </w:tc>
        <w:tc>
          <w:tcPr>
            <w:tcW w:w="1983" w:type="dxa"/>
          </w:tcPr>
          <w:p w14:paraId="6902EBE7" w14:textId="77777777" w:rsidR="002C6574" w:rsidRDefault="00000000">
            <w:pPr>
              <w:pStyle w:val="TableParagraph"/>
              <w:spacing w:before="13" w:line="174" w:lineRule="exact"/>
              <w:ind w:right="203"/>
              <w:rPr>
                <w:rFonts w:ascii="Arial"/>
                <w:b/>
                <w:sz w:val="16"/>
              </w:rPr>
            </w:pPr>
            <w:r>
              <w:rPr>
                <w:rFonts w:ascii="Arial"/>
                <w:b/>
                <w:spacing w:val="-2"/>
                <w:sz w:val="16"/>
              </w:rPr>
              <w:t>9.513</w:t>
            </w:r>
          </w:p>
        </w:tc>
        <w:tc>
          <w:tcPr>
            <w:tcW w:w="1234" w:type="dxa"/>
          </w:tcPr>
          <w:p w14:paraId="3020E119" w14:textId="77777777" w:rsidR="002C6574" w:rsidRDefault="00000000">
            <w:pPr>
              <w:pStyle w:val="TableParagraph"/>
              <w:spacing w:before="13" w:line="174" w:lineRule="exact"/>
              <w:ind w:right="67"/>
              <w:rPr>
                <w:rFonts w:ascii="Arial"/>
                <w:b/>
                <w:sz w:val="16"/>
              </w:rPr>
            </w:pPr>
            <w:r>
              <w:rPr>
                <w:rFonts w:ascii="Arial"/>
                <w:b/>
                <w:spacing w:val="-2"/>
                <w:sz w:val="16"/>
              </w:rPr>
              <w:t>118.882</w:t>
            </w:r>
          </w:p>
        </w:tc>
      </w:tr>
      <w:tr w:rsidR="002C6574" w14:paraId="14CB86B6" w14:textId="77777777">
        <w:trPr>
          <w:trHeight w:val="194"/>
        </w:trPr>
        <w:tc>
          <w:tcPr>
            <w:tcW w:w="5139" w:type="dxa"/>
          </w:tcPr>
          <w:p w14:paraId="54DD7A1B" w14:textId="77777777" w:rsidR="002C6574" w:rsidRDefault="00000000">
            <w:pPr>
              <w:pStyle w:val="TableParagraph"/>
              <w:spacing w:before="5" w:line="169" w:lineRule="exact"/>
              <w:ind w:left="160"/>
              <w:jc w:val="left"/>
              <w:rPr>
                <w:rFonts w:ascii="Arial MT" w:hAnsi="Arial MT"/>
                <w:sz w:val="16"/>
              </w:rPr>
            </w:pPr>
            <w:r>
              <w:rPr>
                <w:rFonts w:ascii="Arial MT" w:hAnsi="Arial MT"/>
                <w:spacing w:val="-2"/>
                <w:sz w:val="16"/>
              </w:rPr>
              <w:t>Adições</w:t>
            </w:r>
          </w:p>
        </w:tc>
        <w:tc>
          <w:tcPr>
            <w:tcW w:w="2134" w:type="dxa"/>
          </w:tcPr>
          <w:p w14:paraId="4FA23972" w14:textId="77777777" w:rsidR="002C6574" w:rsidRDefault="002C6574">
            <w:pPr>
              <w:pStyle w:val="TableParagraph"/>
              <w:jc w:val="left"/>
              <w:rPr>
                <w:rFonts w:ascii="Times New Roman"/>
                <w:sz w:val="12"/>
              </w:rPr>
            </w:pPr>
          </w:p>
        </w:tc>
        <w:tc>
          <w:tcPr>
            <w:tcW w:w="1983" w:type="dxa"/>
          </w:tcPr>
          <w:p w14:paraId="1D82A9E0" w14:textId="77777777" w:rsidR="002C6574" w:rsidRDefault="00000000">
            <w:pPr>
              <w:pStyle w:val="TableParagraph"/>
              <w:spacing w:before="5" w:line="169" w:lineRule="exact"/>
              <w:ind w:right="203"/>
              <w:rPr>
                <w:rFonts w:ascii="Arial MT"/>
                <w:sz w:val="16"/>
              </w:rPr>
            </w:pPr>
            <w:r>
              <w:rPr>
                <w:rFonts w:ascii="Arial MT"/>
                <w:spacing w:val="-2"/>
                <w:sz w:val="16"/>
              </w:rPr>
              <w:t>16.545</w:t>
            </w:r>
          </w:p>
        </w:tc>
        <w:tc>
          <w:tcPr>
            <w:tcW w:w="1234" w:type="dxa"/>
          </w:tcPr>
          <w:p w14:paraId="38BBB996" w14:textId="77777777" w:rsidR="002C6574" w:rsidRDefault="002C6574">
            <w:pPr>
              <w:pStyle w:val="TableParagraph"/>
              <w:jc w:val="left"/>
              <w:rPr>
                <w:rFonts w:ascii="Times New Roman"/>
                <w:sz w:val="12"/>
              </w:rPr>
            </w:pPr>
          </w:p>
        </w:tc>
      </w:tr>
      <w:tr w:rsidR="002C6574" w14:paraId="1D723EEB" w14:textId="77777777">
        <w:trPr>
          <w:trHeight w:val="198"/>
        </w:trPr>
        <w:tc>
          <w:tcPr>
            <w:tcW w:w="5139" w:type="dxa"/>
          </w:tcPr>
          <w:p w14:paraId="5EFBB813" w14:textId="77777777" w:rsidR="002C6574" w:rsidRDefault="00000000">
            <w:pPr>
              <w:pStyle w:val="TableParagraph"/>
              <w:spacing w:line="178" w:lineRule="exact"/>
              <w:ind w:left="115"/>
              <w:jc w:val="left"/>
              <w:rPr>
                <w:rFonts w:ascii="Arial MT" w:hAnsi="Arial MT"/>
                <w:sz w:val="16"/>
              </w:rPr>
            </w:pPr>
            <w:r>
              <w:rPr>
                <w:rFonts w:ascii="Arial MT" w:hAnsi="Arial MT"/>
                <w:sz w:val="16"/>
              </w:rPr>
              <w:t>Juros</w:t>
            </w:r>
            <w:r>
              <w:rPr>
                <w:rFonts w:ascii="Arial MT" w:hAnsi="Arial MT"/>
                <w:spacing w:val="-4"/>
                <w:sz w:val="16"/>
              </w:rPr>
              <w:t xml:space="preserve"> </w:t>
            </w:r>
            <w:r>
              <w:rPr>
                <w:rFonts w:ascii="Arial MT" w:hAnsi="Arial MT"/>
                <w:sz w:val="16"/>
              </w:rPr>
              <w:t>e</w:t>
            </w:r>
            <w:r>
              <w:rPr>
                <w:rFonts w:ascii="Arial MT" w:hAnsi="Arial MT"/>
                <w:spacing w:val="-5"/>
                <w:sz w:val="16"/>
              </w:rPr>
              <w:t xml:space="preserve"> </w:t>
            </w:r>
            <w:r>
              <w:rPr>
                <w:rFonts w:ascii="Arial MT" w:hAnsi="Arial MT"/>
                <w:sz w:val="16"/>
              </w:rPr>
              <w:t>Variação</w:t>
            </w:r>
            <w:r>
              <w:rPr>
                <w:rFonts w:ascii="Arial MT" w:hAnsi="Arial MT"/>
                <w:spacing w:val="-6"/>
                <w:sz w:val="16"/>
              </w:rPr>
              <w:t xml:space="preserve"> </w:t>
            </w:r>
            <w:r>
              <w:rPr>
                <w:rFonts w:ascii="Arial MT" w:hAnsi="Arial MT"/>
                <w:sz w:val="16"/>
              </w:rPr>
              <w:t>Monetária</w:t>
            </w:r>
            <w:r>
              <w:rPr>
                <w:rFonts w:ascii="Arial MT" w:hAnsi="Arial MT"/>
                <w:spacing w:val="-5"/>
                <w:sz w:val="16"/>
              </w:rPr>
              <w:t xml:space="preserve"> </w:t>
            </w:r>
            <w:r>
              <w:rPr>
                <w:rFonts w:ascii="Arial MT" w:hAnsi="Arial MT"/>
                <w:sz w:val="16"/>
              </w:rPr>
              <w:t>do</w:t>
            </w:r>
            <w:r>
              <w:rPr>
                <w:rFonts w:ascii="Arial MT" w:hAnsi="Arial MT"/>
                <w:spacing w:val="-4"/>
                <w:sz w:val="16"/>
              </w:rPr>
              <w:t xml:space="preserve"> </w:t>
            </w:r>
            <w:r>
              <w:rPr>
                <w:rFonts w:ascii="Arial MT" w:hAnsi="Arial MT"/>
                <w:spacing w:val="-2"/>
                <w:sz w:val="16"/>
              </w:rPr>
              <w:t>Período</w:t>
            </w:r>
          </w:p>
        </w:tc>
        <w:tc>
          <w:tcPr>
            <w:tcW w:w="2134" w:type="dxa"/>
          </w:tcPr>
          <w:p w14:paraId="79D1A770" w14:textId="77777777" w:rsidR="002C6574" w:rsidRDefault="00000000">
            <w:pPr>
              <w:pStyle w:val="TableParagraph"/>
              <w:spacing w:line="178" w:lineRule="exact"/>
              <w:ind w:right="120"/>
              <w:rPr>
                <w:rFonts w:ascii="Arial MT"/>
                <w:sz w:val="16"/>
              </w:rPr>
            </w:pPr>
            <w:r>
              <w:rPr>
                <w:rFonts w:ascii="Arial MT"/>
                <w:spacing w:val="-2"/>
                <w:sz w:val="16"/>
              </w:rPr>
              <w:t>(209)</w:t>
            </w:r>
          </w:p>
        </w:tc>
        <w:tc>
          <w:tcPr>
            <w:tcW w:w="1983" w:type="dxa"/>
          </w:tcPr>
          <w:p w14:paraId="7B115B29" w14:textId="77777777" w:rsidR="002C6574" w:rsidRDefault="00000000">
            <w:pPr>
              <w:pStyle w:val="TableParagraph"/>
              <w:spacing w:before="7" w:line="170" w:lineRule="exact"/>
              <w:ind w:right="205"/>
              <w:rPr>
                <w:rFonts w:ascii="Arial MT"/>
                <w:sz w:val="16"/>
              </w:rPr>
            </w:pPr>
            <w:r>
              <w:rPr>
                <w:rFonts w:ascii="Arial MT"/>
                <w:spacing w:val="-5"/>
                <w:sz w:val="16"/>
              </w:rPr>
              <w:t>868</w:t>
            </w:r>
          </w:p>
        </w:tc>
        <w:tc>
          <w:tcPr>
            <w:tcW w:w="1234" w:type="dxa"/>
          </w:tcPr>
          <w:p w14:paraId="63E32E40" w14:textId="77777777" w:rsidR="002C6574" w:rsidRDefault="00000000">
            <w:pPr>
              <w:pStyle w:val="TableParagraph"/>
              <w:spacing w:before="7" w:line="170" w:lineRule="exact"/>
              <w:ind w:right="67"/>
              <w:rPr>
                <w:rFonts w:ascii="Arial MT"/>
                <w:sz w:val="16"/>
              </w:rPr>
            </w:pPr>
            <w:r>
              <w:rPr>
                <w:rFonts w:ascii="Arial MT"/>
                <w:spacing w:val="-2"/>
                <w:sz w:val="16"/>
              </w:rPr>
              <w:t>14.108</w:t>
            </w:r>
          </w:p>
        </w:tc>
      </w:tr>
      <w:tr w:rsidR="002C6574" w14:paraId="4C68259F" w14:textId="77777777">
        <w:trPr>
          <w:trHeight w:val="197"/>
        </w:trPr>
        <w:tc>
          <w:tcPr>
            <w:tcW w:w="5139" w:type="dxa"/>
          </w:tcPr>
          <w:p w14:paraId="42E485E7" w14:textId="77777777" w:rsidR="002C6574" w:rsidRDefault="00000000">
            <w:pPr>
              <w:pStyle w:val="TableParagraph"/>
              <w:spacing w:before="1" w:line="176" w:lineRule="exact"/>
              <w:ind w:left="115"/>
              <w:jc w:val="left"/>
              <w:rPr>
                <w:rFonts w:ascii="Arial MT"/>
                <w:sz w:val="16"/>
              </w:rPr>
            </w:pPr>
            <w:r>
              <w:rPr>
                <w:rFonts w:ascii="Arial MT"/>
                <w:sz w:val="16"/>
              </w:rPr>
              <w:t>Juros</w:t>
            </w:r>
            <w:r>
              <w:rPr>
                <w:rFonts w:ascii="Arial MT"/>
                <w:spacing w:val="-4"/>
                <w:sz w:val="16"/>
              </w:rPr>
              <w:t xml:space="preserve"> </w:t>
            </w:r>
            <w:r>
              <w:rPr>
                <w:rFonts w:ascii="Arial MT"/>
                <w:spacing w:val="-2"/>
                <w:sz w:val="16"/>
              </w:rPr>
              <w:t>Pagos</w:t>
            </w:r>
          </w:p>
        </w:tc>
        <w:tc>
          <w:tcPr>
            <w:tcW w:w="2134" w:type="dxa"/>
          </w:tcPr>
          <w:p w14:paraId="53F1C22A" w14:textId="77777777" w:rsidR="002C6574" w:rsidRDefault="00000000">
            <w:pPr>
              <w:pStyle w:val="TableParagraph"/>
              <w:spacing w:before="1" w:line="176" w:lineRule="exact"/>
              <w:ind w:right="119"/>
              <w:rPr>
                <w:rFonts w:ascii="Arial MT"/>
                <w:sz w:val="16"/>
              </w:rPr>
            </w:pPr>
            <w:r>
              <w:rPr>
                <w:rFonts w:ascii="Arial MT"/>
                <w:spacing w:val="-2"/>
                <w:sz w:val="16"/>
              </w:rPr>
              <w:t>(224)</w:t>
            </w:r>
          </w:p>
        </w:tc>
        <w:tc>
          <w:tcPr>
            <w:tcW w:w="1983" w:type="dxa"/>
          </w:tcPr>
          <w:p w14:paraId="7CB29787" w14:textId="77777777" w:rsidR="002C6574" w:rsidRDefault="00000000">
            <w:pPr>
              <w:pStyle w:val="TableParagraph"/>
              <w:spacing w:before="9" w:line="169" w:lineRule="exact"/>
              <w:ind w:right="203"/>
              <w:rPr>
                <w:rFonts w:ascii="Arial MT"/>
                <w:sz w:val="16"/>
              </w:rPr>
            </w:pPr>
            <w:r>
              <w:rPr>
                <w:rFonts w:ascii="Arial MT"/>
                <w:spacing w:val="-10"/>
                <w:sz w:val="16"/>
              </w:rPr>
              <w:t>-</w:t>
            </w:r>
          </w:p>
        </w:tc>
        <w:tc>
          <w:tcPr>
            <w:tcW w:w="1234" w:type="dxa"/>
          </w:tcPr>
          <w:p w14:paraId="6A6C00D0" w14:textId="77777777" w:rsidR="002C6574" w:rsidRDefault="00000000">
            <w:pPr>
              <w:pStyle w:val="TableParagraph"/>
              <w:spacing w:before="9" w:line="169" w:lineRule="exact"/>
              <w:ind w:right="67"/>
              <w:rPr>
                <w:rFonts w:ascii="Arial MT"/>
                <w:sz w:val="16"/>
              </w:rPr>
            </w:pPr>
            <w:r>
              <w:rPr>
                <w:rFonts w:ascii="Arial MT"/>
                <w:spacing w:val="-2"/>
                <w:sz w:val="16"/>
              </w:rPr>
              <w:t>(9.807)</w:t>
            </w:r>
          </w:p>
        </w:tc>
      </w:tr>
      <w:tr w:rsidR="002C6574" w14:paraId="6C66FB21" w14:textId="77777777">
        <w:trPr>
          <w:trHeight w:val="197"/>
        </w:trPr>
        <w:tc>
          <w:tcPr>
            <w:tcW w:w="5139" w:type="dxa"/>
          </w:tcPr>
          <w:p w14:paraId="52781A7B" w14:textId="77777777" w:rsidR="002C6574" w:rsidRDefault="00000000">
            <w:pPr>
              <w:pStyle w:val="TableParagraph"/>
              <w:spacing w:line="178" w:lineRule="exact"/>
              <w:ind w:left="115"/>
              <w:jc w:val="left"/>
              <w:rPr>
                <w:rFonts w:ascii="Arial MT" w:hAnsi="Arial MT"/>
                <w:sz w:val="16"/>
              </w:rPr>
            </w:pPr>
            <w:r>
              <w:rPr>
                <w:rFonts w:ascii="Arial MT" w:hAnsi="Arial MT"/>
                <w:sz w:val="16"/>
              </w:rPr>
              <w:t>Baixa</w:t>
            </w:r>
            <w:r>
              <w:rPr>
                <w:rFonts w:ascii="Arial MT" w:hAnsi="Arial MT"/>
                <w:spacing w:val="-4"/>
                <w:sz w:val="16"/>
              </w:rPr>
              <w:t xml:space="preserve"> </w:t>
            </w:r>
            <w:r>
              <w:rPr>
                <w:rFonts w:ascii="Arial MT" w:hAnsi="Arial MT"/>
                <w:sz w:val="16"/>
              </w:rPr>
              <w:t>para</w:t>
            </w:r>
            <w:r>
              <w:rPr>
                <w:rFonts w:ascii="Arial MT" w:hAnsi="Arial MT"/>
                <w:spacing w:val="-4"/>
                <w:sz w:val="16"/>
              </w:rPr>
              <w:t xml:space="preserve"> </w:t>
            </w:r>
            <w:r>
              <w:rPr>
                <w:rFonts w:ascii="Arial MT" w:hAnsi="Arial MT"/>
                <w:sz w:val="16"/>
              </w:rPr>
              <w:t>Resultado</w:t>
            </w:r>
            <w:r>
              <w:rPr>
                <w:rFonts w:ascii="Arial MT" w:hAnsi="Arial MT"/>
                <w:spacing w:val="-4"/>
                <w:sz w:val="16"/>
              </w:rPr>
              <w:t xml:space="preserve"> </w:t>
            </w:r>
            <w:r>
              <w:rPr>
                <w:rFonts w:ascii="Arial MT" w:hAnsi="Arial MT"/>
                <w:sz w:val="16"/>
              </w:rPr>
              <w:t>do</w:t>
            </w:r>
            <w:r>
              <w:rPr>
                <w:rFonts w:ascii="Arial MT" w:hAnsi="Arial MT"/>
                <w:spacing w:val="-6"/>
                <w:sz w:val="16"/>
              </w:rPr>
              <w:t xml:space="preserve"> </w:t>
            </w:r>
            <w:r>
              <w:rPr>
                <w:rFonts w:ascii="Arial MT" w:hAnsi="Arial MT"/>
                <w:spacing w:val="-2"/>
                <w:sz w:val="16"/>
              </w:rPr>
              <w:t>Período</w:t>
            </w:r>
          </w:p>
        </w:tc>
        <w:tc>
          <w:tcPr>
            <w:tcW w:w="2134" w:type="dxa"/>
          </w:tcPr>
          <w:p w14:paraId="649CB2BA" w14:textId="77777777" w:rsidR="002C6574" w:rsidRDefault="002C6574">
            <w:pPr>
              <w:pStyle w:val="TableParagraph"/>
              <w:jc w:val="left"/>
              <w:rPr>
                <w:rFonts w:ascii="Times New Roman"/>
                <w:sz w:val="12"/>
              </w:rPr>
            </w:pPr>
          </w:p>
        </w:tc>
        <w:tc>
          <w:tcPr>
            <w:tcW w:w="1983" w:type="dxa"/>
          </w:tcPr>
          <w:p w14:paraId="6A8185CD" w14:textId="77777777" w:rsidR="002C6574" w:rsidRDefault="00000000">
            <w:pPr>
              <w:pStyle w:val="TableParagraph"/>
              <w:spacing w:before="7" w:line="170" w:lineRule="exact"/>
              <w:ind w:right="206"/>
              <w:rPr>
                <w:rFonts w:ascii="Arial MT"/>
                <w:sz w:val="16"/>
              </w:rPr>
            </w:pPr>
            <w:r>
              <w:rPr>
                <w:rFonts w:ascii="Arial MT"/>
                <w:spacing w:val="-2"/>
                <w:sz w:val="16"/>
              </w:rPr>
              <w:t>(868)</w:t>
            </w:r>
          </w:p>
        </w:tc>
        <w:tc>
          <w:tcPr>
            <w:tcW w:w="1234" w:type="dxa"/>
          </w:tcPr>
          <w:p w14:paraId="05F6E976" w14:textId="77777777" w:rsidR="002C6574" w:rsidRDefault="002C6574">
            <w:pPr>
              <w:pStyle w:val="TableParagraph"/>
              <w:jc w:val="left"/>
              <w:rPr>
                <w:rFonts w:ascii="Times New Roman"/>
                <w:sz w:val="12"/>
              </w:rPr>
            </w:pPr>
          </w:p>
        </w:tc>
      </w:tr>
      <w:tr w:rsidR="002C6574" w14:paraId="2227D7AB" w14:textId="77777777">
        <w:trPr>
          <w:trHeight w:val="193"/>
        </w:trPr>
        <w:tc>
          <w:tcPr>
            <w:tcW w:w="5139" w:type="dxa"/>
          </w:tcPr>
          <w:p w14:paraId="45BD01B8" w14:textId="77777777" w:rsidR="002C6574" w:rsidRDefault="00000000">
            <w:pPr>
              <w:pStyle w:val="TableParagraph"/>
              <w:spacing w:before="1" w:line="171" w:lineRule="exact"/>
              <w:ind w:left="115"/>
              <w:jc w:val="left"/>
              <w:rPr>
                <w:rFonts w:ascii="Arial MT" w:hAnsi="Arial MT"/>
                <w:sz w:val="16"/>
              </w:rPr>
            </w:pPr>
            <w:r>
              <w:rPr>
                <w:rFonts w:ascii="Arial MT" w:hAnsi="Arial MT"/>
                <w:sz w:val="16"/>
              </w:rPr>
              <w:t>Amortizações</w:t>
            </w:r>
            <w:r>
              <w:rPr>
                <w:rFonts w:ascii="Arial MT" w:hAnsi="Arial MT"/>
                <w:spacing w:val="-6"/>
                <w:sz w:val="16"/>
              </w:rPr>
              <w:t xml:space="preserve"> </w:t>
            </w:r>
            <w:r>
              <w:rPr>
                <w:rFonts w:ascii="Arial MT" w:hAnsi="Arial MT"/>
                <w:sz w:val="16"/>
              </w:rPr>
              <w:t>de</w:t>
            </w:r>
            <w:r>
              <w:rPr>
                <w:rFonts w:ascii="Arial MT" w:hAnsi="Arial MT"/>
                <w:spacing w:val="-6"/>
                <w:sz w:val="16"/>
              </w:rPr>
              <w:t xml:space="preserve"> </w:t>
            </w:r>
            <w:r>
              <w:rPr>
                <w:rFonts w:ascii="Arial MT" w:hAnsi="Arial MT"/>
                <w:spacing w:val="-2"/>
                <w:sz w:val="16"/>
              </w:rPr>
              <w:t>principal</w:t>
            </w:r>
          </w:p>
        </w:tc>
        <w:tc>
          <w:tcPr>
            <w:tcW w:w="2134" w:type="dxa"/>
          </w:tcPr>
          <w:p w14:paraId="7EF7DCDC" w14:textId="77777777" w:rsidR="002C6574" w:rsidRDefault="00000000">
            <w:pPr>
              <w:pStyle w:val="TableParagraph"/>
              <w:spacing w:before="1" w:line="171" w:lineRule="exact"/>
              <w:ind w:right="116"/>
              <w:rPr>
                <w:rFonts w:ascii="Arial MT"/>
                <w:sz w:val="16"/>
              </w:rPr>
            </w:pPr>
            <w:r>
              <w:rPr>
                <w:rFonts w:ascii="Arial MT"/>
                <w:spacing w:val="-2"/>
                <w:sz w:val="16"/>
              </w:rPr>
              <w:t>(45.777)</w:t>
            </w:r>
          </w:p>
        </w:tc>
        <w:tc>
          <w:tcPr>
            <w:tcW w:w="1983" w:type="dxa"/>
          </w:tcPr>
          <w:p w14:paraId="05E0EF24" w14:textId="77777777" w:rsidR="002C6574" w:rsidRDefault="00000000">
            <w:pPr>
              <w:pStyle w:val="TableParagraph"/>
              <w:spacing w:before="9" w:line="164" w:lineRule="exact"/>
              <w:ind w:right="203"/>
              <w:rPr>
                <w:rFonts w:ascii="Arial MT"/>
                <w:sz w:val="16"/>
              </w:rPr>
            </w:pPr>
            <w:r>
              <w:rPr>
                <w:rFonts w:ascii="Arial MT"/>
                <w:spacing w:val="-2"/>
                <w:sz w:val="16"/>
              </w:rPr>
              <w:t>(6.179)</w:t>
            </w:r>
          </w:p>
        </w:tc>
        <w:tc>
          <w:tcPr>
            <w:tcW w:w="1234" w:type="dxa"/>
          </w:tcPr>
          <w:p w14:paraId="2142FE70" w14:textId="77777777" w:rsidR="002C6574" w:rsidRDefault="00000000">
            <w:pPr>
              <w:pStyle w:val="TableParagraph"/>
              <w:spacing w:before="9" w:line="164" w:lineRule="exact"/>
              <w:ind w:right="67"/>
              <w:rPr>
                <w:rFonts w:ascii="Arial MT"/>
                <w:sz w:val="16"/>
              </w:rPr>
            </w:pPr>
            <w:r>
              <w:rPr>
                <w:rFonts w:ascii="Arial MT"/>
                <w:spacing w:val="-2"/>
                <w:sz w:val="16"/>
              </w:rPr>
              <w:t>(123.183)</w:t>
            </w:r>
          </w:p>
        </w:tc>
      </w:tr>
      <w:tr w:rsidR="002C6574" w14:paraId="7BF29008" w14:textId="77777777">
        <w:trPr>
          <w:trHeight w:val="196"/>
        </w:trPr>
        <w:tc>
          <w:tcPr>
            <w:tcW w:w="5139" w:type="dxa"/>
            <w:shd w:val="clear" w:color="auto" w:fill="0000FF"/>
          </w:tcPr>
          <w:p w14:paraId="6D8991D0" w14:textId="77777777" w:rsidR="002C6574" w:rsidRDefault="00000000">
            <w:pPr>
              <w:pStyle w:val="TableParagraph"/>
              <w:spacing w:before="6" w:line="171" w:lineRule="exact"/>
              <w:ind w:left="115"/>
              <w:jc w:val="left"/>
              <w:rPr>
                <w:rFonts w:ascii="Arial"/>
                <w:b/>
                <w:sz w:val="16"/>
              </w:rPr>
            </w:pPr>
            <w:r>
              <w:rPr>
                <w:rFonts w:ascii="Arial"/>
                <w:b/>
                <w:color w:val="FFFFFF"/>
                <w:sz w:val="16"/>
              </w:rPr>
              <w:t>Saldo</w:t>
            </w:r>
            <w:r>
              <w:rPr>
                <w:rFonts w:ascii="Arial"/>
                <w:b/>
                <w:color w:val="FFFFFF"/>
                <w:spacing w:val="-3"/>
                <w:sz w:val="16"/>
              </w:rPr>
              <w:t xml:space="preserve"> </w:t>
            </w:r>
            <w:r>
              <w:rPr>
                <w:rFonts w:ascii="Arial"/>
                <w:b/>
                <w:color w:val="FFFFFF"/>
                <w:sz w:val="16"/>
              </w:rPr>
              <w:t>em</w:t>
            </w:r>
            <w:r>
              <w:rPr>
                <w:rFonts w:ascii="Arial"/>
                <w:b/>
                <w:color w:val="FFFFFF"/>
                <w:spacing w:val="-4"/>
                <w:sz w:val="16"/>
              </w:rPr>
              <w:t xml:space="preserve"> </w:t>
            </w:r>
            <w:r>
              <w:rPr>
                <w:rFonts w:ascii="Arial"/>
                <w:b/>
                <w:color w:val="FFFFFF"/>
                <w:sz w:val="16"/>
              </w:rPr>
              <w:t>31</w:t>
            </w:r>
            <w:r>
              <w:rPr>
                <w:rFonts w:ascii="Arial"/>
                <w:b/>
                <w:color w:val="FFFFFF"/>
                <w:spacing w:val="-3"/>
                <w:sz w:val="16"/>
              </w:rPr>
              <w:t xml:space="preserve"> </w:t>
            </w:r>
            <w:r>
              <w:rPr>
                <w:rFonts w:ascii="Arial"/>
                <w:b/>
                <w:color w:val="FFFFFF"/>
                <w:sz w:val="16"/>
              </w:rPr>
              <w:t>de</w:t>
            </w:r>
            <w:r>
              <w:rPr>
                <w:rFonts w:ascii="Arial"/>
                <w:b/>
                <w:color w:val="FFFFFF"/>
                <w:spacing w:val="-4"/>
                <w:sz w:val="16"/>
              </w:rPr>
              <w:t xml:space="preserve"> </w:t>
            </w:r>
            <w:r>
              <w:rPr>
                <w:rFonts w:ascii="Arial"/>
                <w:b/>
                <w:color w:val="FFFFFF"/>
                <w:sz w:val="16"/>
              </w:rPr>
              <w:t>dezembro</w:t>
            </w:r>
            <w:r>
              <w:rPr>
                <w:rFonts w:ascii="Arial"/>
                <w:b/>
                <w:color w:val="FFFFFF"/>
                <w:spacing w:val="-3"/>
                <w:sz w:val="16"/>
              </w:rPr>
              <w:t xml:space="preserve"> </w:t>
            </w:r>
            <w:r>
              <w:rPr>
                <w:rFonts w:ascii="Arial"/>
                <w:b/>
                <w:color w:val="FFFFFF"/>
                <w:sz w:val="16"/>
              </w:rPr>
              <w:t>de</w:t>
            </w:r>
            <w:r>
              <w:rPr>
                <w:rFonts w:ascii="Arial"/>
                <w:b/>
                <w:color w:val="FFFFFF"/>
                <w:spacing w:val="-4"/>
                <w:sz w:val="16"/>
              </w:rPr>
              <w:t xml:space="preserve"> 2025</w:t>
            </w:r>
          </w:p>
        </w:tc>
        <w:tc>
          <w:tcPr>
            <w:tcW w:w="2134" w:type="dxa"/>
            <w:shd w:val="clear" w:color="auto" w:fill="0000FF"/>
          </w:tcPr>
          <w:p w14:paraId="51ABB878" w14:textId="77777777" w:rsidR="002C6574" w:rsidRDefault="00000000">
            <w:pPr>
              <w:pStyle w:val="TableParagraph"/>
              <w:spacing w:before="6" w:line="171" w:lineRule="exact"/>
              <w:ind w:right="116"/>
              <w:rPr>
                <w:rFonts w:ascii="Arial"/>
                <w:b/>
                <w:sz w:val="16"/>
              </w:rPr>
            </w:pPr>
            <w:r>
              <w:rPr>
                <w:rFonts w:ascii="Arial"/>
                <w:b/>
                <w:color w:val="FFFFFF"/>
                <w:spacing w:val="-10"/>
                <w:sz w:val="16"/>
              </w:rPr>
              <w:t>-</w:t>
            </w:r>
          </w:p>
        </w:tc>
        <w:tc>
          <w:tcPr>
            <w:tcW w:w="1983" w:type="dxa"/>
            <w:shd w:val="clear" w:color="auto" w:fill="0000FF"/>
          </w:tcPr>
          <w:p w14:paraId="43D0C09D" w14:textId="77777777" w:rsidR="002C6574" w:rsidRDefault="00000000">
            <w:pPr>
              <w:pStyle w:val="TableParagraph"/>
              <w:spacing w:before="6" w:line="171" w:lineRule="exact"/>
              <w:ind w:right="203"/>
              <w:rPr>
                <w:rFonts w:ascii="Arial"/>
                <w:b/>
                <w:sz w:val="16"/>
              </w:rPr>
            </w:pPr>
            <w:r>
              <w:rPr>
                <w:rFonts w:ascii="Arial"/>
                <w:b/>
                <w:color w:val="FFFFFF"/>
                <w:spacing w:val="-2"/>
                <w:sz w:val="16"/>
              </w:rPr>
              <w:t>19.879</w:t>
            </w:r>
          </w:p>
        </w:tc>
        <w:tc>
          <w:tcPr>
            <w:tcW w:w="1234" w:type="dxa"/>
            <w:shd w:val="clear" w:color="auto" w:fill="0000FF"/>
          </w:tcPr>
          <w:p w14:paraId="3A7A2BE4" w14:textId="77777777" w:rsidR="002C6574" w:rsidRDefault="00000000">
            <w:pPr>
              <w:pStyle w:val="TableParagraph"/>
              <w:spacing w:before="6" w:line="171" w:lineRule="exact"/>
              <w:ind w:right="66"/>
              <w:rPr>
                <w:rFonts w:ascii="Arial"/>
                <w:b/>
                <w:sz w:val="16"/>
              </w:rPr>
            </w:pPr>
            <w:r>
              <w:rPr>
                <w:rFonts w:ascii="Arial"/>
                <w:b/>
                <w:color w:val="FFFFFF"/>
                <w:spacing w:val="-10"/>
                <w:sz w:val="16"/>
              </w:rPr>
              <w:t>-</w:t>
            </w:r>
          </w:p>
        </w:tc>
      </w:tr>
    </w:tbl>
    <w:p w14:paraId="238C8AAE" w14:textId="77777777" w:rsidR="002C6574" w:rsidRDefault="002C6574">
      <w:pPr>
        <w:pStyle w:val="TableParagraph"/>
        <w:spacing w:line="171" w:lineRule="exact"/>
        <w:rPr>
          <w:rFonts w:ascii="Arial"/>
          <w:b/>
          <w:sz w:val="16"/>
        </w:rPr>
        <w:sectPr w:rsidR="002C6574">
          <w:pgSz w:w="11910" w:h="16840"/>
          <w:pgMar w:top="2200" w:right="425" w:bottom="1220" w:left="425" w:header="1197" w:footer="994" w:gutter="0"/>
          <w:cols w:space="720"/>
        </w:sectPr>
      </w:pPr>
    </w:p>
    <w:p w14:paraId="61B0EDC8" w14:textId="77777777" w:rsidR="002C6574" w:rsidRDefault="002C6574">
      <w:pPr>
        <w:pStyle w:val="Corpodetexto"/>
        <w:rPr>
          <w:rFonts w:ascii="Arial"/>
          <w:b/>
          <w:sz w:val="19"/>
        </w:rPr>
      </w:pPr>
    </w:p>
    <w:p w14:paraId="5B9EF0D0" w14:textId="77777777" w:rsidR="002C6574" w:rsidRDefault="002C6574">
      <w:pPr>
        <w:pStyle w:val="Corpodetexto"/>
        <w:spacing w:before="92"/>
        <w:rPr>
          <w:rFonts w:ascii="Arial"/>
          <w:b/>
          <w:sz w:val="19"/>
        </w:rPr>
      </w:pPr>
    </w:p>
    <w:p w14:paraId="7B894FA0" w14:textId="77777777" w:rsidR="002C6574" w:rsidRDefault="00000000">
      <w:pPr>
        <w:ind w:left="427"/>
        <w:rPr>
          <w:rFonts w:ascii="Arial" w:hAnsi="Arial"/>
          <w:b/>
          <w:sz w:val="24"/>
        </w:rPr>
      </w:pPr>
      <w:r>
        <w:rPr>
          <w:rFonts w:ascii="Arial" w:hAnsi="Arial"/>
          <w:b/>
          <w:noProof/>
          <w:sz w:val="24"/>
        </w:rPr>
        <mc:AlternateContent>
          <mc:Choice Requires="wpg">
            <w:drawing>
              <wp:anchor distT="0" distB="0" distL="0" distR="0" simplePos="0" relativeHeight="15784960" behindDoc="0" locked="0" layoutInCell="1" allowOverlap="1" wp14:anchorId="4C43B19C" wp14:editId="5C019D2A">
                <wp:simplePos x="0" y="0"/>
                <wp:positionH relativeFrom="page">
                  <wp:posOffset>443483</wp:posOffset>
                </wp:positionH>
                <wp:positionV relativeFrom="paragraph">
                  <wp:posOffset>-339949</wp:posOffset>
                </wp:positionV>
                <wp:extent cx="6922134" cy="105410"/>
                <wp:effectExtent l="0" t="0" r="0" b="0"/>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134" cy="105410"/>
                          <a:chOff x="0" y="0"/>
                          <a:chExt cx="6922134" cy="105410"/>
                        </a:xfrm>
                      </wpg:grpSpPr>
                      <pic:pic xmlns:pic="http://schemas.openxmlformats.org/drawingml/2006/picture">
                        <pic:nvPicPr>
                          <pic:cNvPr id="470" name="Image 470"/>
                          <pic:cNvPicPr/>
                        </pic:nvPicPr>
                        <pic:blipFill>
                          <a:blip r:embed="rId213" cstate="print"/>
                          <a:stretch>
                            <a:fillRect/>
                          </a:stretch>
                        </pic:blipFill>
                        <pic:spPr>
                          <a:xfrm>
                            <a:off x="0" y="0"/>
                            <a:ext cx="6922008" cy="105155"/>
                          </a:xfrm>
                          <a:prstGeom prst="rect">
                            <a:avLst/>
                          </a:prstGeom>
                        </pic:spPr>
                      </pic:pic>
                      <wps:wsp>
                        <wps:cNvPr id="471" name="Graphic 471"/>
                        <wps:cNvSpPr/>
                        <wps:spPr>
                          <a:xfrm>
                            <a:off x="42290" y="34925"/>
                            <a:ext cx="6829425" cy="1270"/>
                          </a:xfrm>
                          <a:custGeom>
                            <a:avLst/>
                            <a:gdLst/>
                            <a:ahLst/>
                            <a:cxnLst/>
                            <a:rect l="l" t="t" r="r" b="b"/>
                            <a:pathLst>
                              <a:path w="6829425">
                                <a:moveTo>
                                  <a:pt x="0" y="0"/>
                                </a:moveTo>
                                <a:lnTo>
                                  <a:pt x="6829425" y="0"/>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647F748C" id="Group 469" o:spid="_x0000_s1026" style="position:absolute;margin-left:34.9pt;margin-top:-26.75pt;width:545.05pt;height:8.3pt;z-index:15784960;mso-wrap-distance-left:0;mso-wrap-distance-right:0;mso-position-horizontal-relative:page" coordsize="69221,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">
                <v:shape id="Image 470" o:spid="_x0000_s1027" type="#_x0000_t75" style="position:absolute;width:692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">
                  <v:imagedata r:id="rId214" o:title=""/>
                </v:shape>
                <v:shape id="Graphic 471" o:spid="_x0000_s1028" style="position:absolute;left:422;top:349;width:68295;height:12;visibility:visible;mso-wrap-style:square;v-text-anchor:top" coordsize="682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" path="m,l6829425,e" filled="f" strokecolor="blue" strokeweight="2pt">
                  <v:path arrowok="t"/>
                </v:shape>
                <w10:wrap anchorx="page"/>
              </v:group>
            </w:pict>
          </mc:Fallback>
        </mc:AlternateContent>
      </w:r>
      <w:r>
        <w:rPr>
          <w:rFonts w:ascii="Arial" w:hAnsi="Arial"/>
          <w:b/>
          <w:smallCaps/>
          <w:sz w:val="24"/>
          <w:u w:val="single"/>
        </w:rPr>
        <w:t>Investimentos</w:t>
      </w:r>
      <w:r>
        <w:rPr>
          <w:rFonts w:ascii="Arial" w:hAnsi="Arial"/>
          <w:b/>
          <w:smallCaps/>
          <w:spacing w:val="-14"/>
          <w:sz w:val="24"/>
          <w:u w:val="single"/>
        </w:rPr>
        <w:t xml:space="preserve"> </w:t>
      </w:r>
      <w:r>
        <w:rPr>
          <w:rFonts w:ascii="Arial" w:hAnsi="Arial"/>
          <w:b/>
          <w:smallCaps/>
          <w:sz w:val="24"/>
          <w:u w:val="single"/>
        </w:rPr>
        <w:t>em</w:t>
      </w:r>
      <w:r>
        <w:rPr>
          <w:rFonts w:ascii="Arial" w:hAnsi="Arial"/>
          <w:b/>
          <w:smallCaps/>
          <w:spacing w:val="-8"/>
          <w:sz w:val="24"/>
          <w:u w:val="single"/>
        </w:rPr>
        <w:t xml:space="preserve"> </w:t>
      </w:r>
      <w:r>
        <w:rPr>
          <w:rFonts w:ascii="Arial" w:hAnsi="Arial"/>
          <w:b/>
          <w:smallCaps/>
          <w:sz w:val="24"/>
          <w:u w:val="single"/>
        </w:rPr>
        <w:t>Bens</w:t>
      </w:r>
      <w:r>
        <w:rPr>
          <w:rFonts w:ascii="Arial" w:hAnsi="Arial"/>
          <w:b/>
          <w:smallCaps/>
          <w:spacing w:val="-5"/>
          <w:sz w:val="24"/>
          <w:u w:val="single"/>
        </w:rPr>
        <w:t xml:space="preserve"> </w:t>
      </w:r>
      <w:r>
        <w:rPr>
          <w:rFonts w:ascii="Arial" w:hAnsi="Arial"/>
          <w:b/>
          <w:smallCaps/>
          <w:sz w:val="24"/>
          <w:u w:val="single"/>
        </w:rPr>
        <w:t>de</w:t>
      </w:r>
      <w:r>
        <w:rPr>
          <w:rFonts w:ascii="Arial" w:hAnsi="Arial"/>
          <w:b/>
          <w:smallCaps/>
          <w:spacing w:val="-4"/>
          <w:sz w:val="24"/>
          <w:u w:val="single"/>
        </w:rPr>
        <w:t xml:space="preserve"> </w:t>
      </w:r>
      <w:r>
        <w:rPr>
          <w:rFonts w:ascii="Arial" w:hAnsi="Arial"/>
          <w:b/>
          <w:smallCaps/>
          <w:sz w:val="24"/>
          <w:u w:val="single"/>
        </w:rPr>
        <w:t>Capital</w:t>
      </w:r>
      <w:r>
        <w:rPr>
          <w:rFonts w:ascii="Arial" w:hAnsi="Arial"/>
          <w:b/>
          <w:smallCaps/>
          <w:spacing w:val="-6"/>
          <w:sz w:val="24"/>
          <w:u w:val="single"/>
        </w:rPr>
        <w:t xml:space="preserve"> </w:t>
      </w:r>
      <w:r>
        <w:rPr>
          <w:rFonts w:ascii="Arial" w:hAnsi="Arial"/>
          <w:b/>
          <w:smallCaps/>
          <w:sz w:val="24"/>
          <w:u w:val="single"/>
        </w:rPr>
        <w:t>–</w:t>
      </w:r>
      <w:r>
        <w:rPr>
          <w:rFonts w:ascii="Arial" w:hAnsi="Arial"/>
          <w:b/>
          <w:smallCaps/>
          <w:spacing w:val="-13"/>
          <w:sz w:val="24"/>
          <w:u w:val="single"/>
        </w:rPr>
        <w:t xml:space="preserve"> </w:t>
      </w:r>
      <w:r>
        <w:rPr>
          <w:rFonts w:ascii="Arial" w:hAnsi="Arial"/>
          <w:b/>
          <w:smallCaps/>
          <w:sz w:val="24"/>
          <w:u w:val="single"/>
        </w:rPr>
        <w:t>CAPEX</w:t>
      </w:r>
      <w:r>
        <w:rPr>
          <w:rFonts w:ascii="Arial" w:hAnsi="Arial"/>
          <w:b/>
          <w:smallCaps/>
          <w:spacing w:val="-16"/>
          <w:sz w:val="24"/>
          <w:u w:val="single"/>
        </w:rPr>
        <w:t xml:space="preserve"> </w:t>
      </w:r>
      <w:r>
        <w:rPr>
          <w:rFonts w:ascii="Arial" w:hAnsi="Arial"/>
          <w:b/>
          <w:smallCaps/>
          <w:sz w:val="24"/>
          <w:u w:val="single"/>
        </w:rPr>
        <w:t>–</w:t>
      </w:r>
      <w:r>
        <w:rPr>
          <w:rFonts w:ascii="Arial" w:hAnsi="Arial"/>
          <w:b/>
          <w:smallCaps/>
          <w:spacing w:val="-14"/>
          <w:sz w:val="24"/>
          <w:u w:val="single"/>
        </w:rPr>
        <w:t xml:space="preserve"> </w:t>
      </w:r>
      <w:r>
        <w:rPr>
          <w:rFonts w:ascii="Arial" w:hAnsi="Arial"/>
          <w:b/>
          <w:smallCaps/>
          <w:sz w:val="24"/>
          <w:u w:val="single"/>
        </w:rPr>
        <w:t>R$</w:t>
      </w:r>
      <w:r>
        <w:rPr>
          <w:rFonts w:ascii="Arial" w:hAnsi="Arial"/>
          <w:b/>
          <w:smallCaps/>
          <w:spacing w:val="-13"/>
          <w:sz w:val="24"/>
          <w:u w:val="single"/>
        </w:rPr>
        <w:t xml:space="preserve"> </w:t>
      </w:r>
      <w:r>
        <w:rPr>
          <w:rFonts w:ascii="Arial" w:hAnsi="Arial"/>
          <w:b/>
          <w:smallCaps/>
          <w:spacing w:val="-5"/>
          <w:sz w:val="24"/>
          <w:u w:val="single"/>
        </w:rPr>
        <w:t>Mil</w:t>
      </w:r>
    </w:p>
    <w:p w14:paraId="5DC094D3" w14:textId="77777777" w:rsidR="002C6574" w:rsidRDefault="00000000">
      <w:pPr>
        <w:pStyle w:val="Corpodetexto"/>
        <w:spacing w:before="134"/>
        <w:rPr>
          <w:rFonts w:ascii="Arial"/>
          <w:b/>
          <w:sz w:val="20"/>
        </w:rPr>
      </w:pPr>
      <w:r>
        <w:rPr>
          <w:rFonts w:ascii="Arial"/>
          <w:b/>
          <w:noProof/>
          <w:sz w:val="20"/>
        </w:rPr>
        <mc:AlternateContent>
          <mc:Choice Requires="wpg">
            <w:drawing>
              <wp:anchor distT="0" distB="0" distL="0" distR="0" simplePos="0" relativeHeight="487643648" behindDoc="1" locked="0" layoutInCell="1" allowOverlap="1" wp14:anchorId="44F738E3" wp14:editId="5B4E3421">
                <wp:simplePos x="0" y="0"/>
                <wp:positionH relativeFrom="page">
                  <wp:posOffset>680084</wp:posOffset>
                </wp:positionH>
                <wp:positionV relativeFrom="paragraph">
                  <wp:posOffset>246678</wp:posOffset>
                </wp:positionV>
                <wp:extent cx="6032500" cy="2101850"/>
                <wp:effectExtent l="0" t="0" r="0" b="0"/>
                <wp:wrapTopAndBottom/>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101850"/>
                          <a:chOff x="0" y="0"/>
                          <a:chExt cx="6032500" cy="2101850"/>
                        </a:xfrm>
                      </wpg:grpSpPr>
                      <wps:wsp>
                        <wps:cNvPr id="473" name="Graphic 473"/>
                        <wps:cNvSpPr/>
                        <wps:spPr>
                          <a:xfrm>
                            <a:off x="301625" y="1785123"/>
                            <a:ext cx="402590" cy="78740"/>
                          </a:xfrm>
                          <a:custGeom>
                            <a:avLst/>
                            <a:gdLst/>
                            <a:ahLst/>
                            <a:cxnLst/>
                            <a:rect l="l" t="t" r="r" b="b"/>
                            <a:pathLst>
                              <a:path w="402590" h="78740">
                                <a:moveTo>
                                  <a:pt x="402170" y="0"/>
                                </a:moveTo>
                                <a:lnTo>
                                  <a:pt x="0" y="0"/>
                                </a:lnTo>
                                <a:lnTo>
                                  <a:pt x="0" y="78220"/>
                                </a:lnTo>
                                <a:lnTo>
                                  <a:pt x="402170" y="78220"/>
                                </a:lnTo>
                                <a:lnTo>
                                  <a:pt x="402170" y="0"/>
                                </a:lnTo>
                                <a:close/>
                              </a:path>
                            </a:pathLst>
                          </a:custGeom>
                          <a:solidFill>
                            <a:srgbClr val="00FFFF"/>
                          </a:solidFill>
                        </wps:spPr>
                        <wps:bodyPr wrap="square" lIns="0" tIns="0" rIns="0" bIns="0" rtlCol="0">
                          <a:prstTxWarp prst="textNoShape">
                            <a:avLst/>
                          </a:prstTxWarp>
                          <a:noAutofit/>
                        </wps:bodyPr>
                      </wps:wsp>
                      <wps:wsp>
                        <wps:cNvPr id="474" name="Graphic 474"/>
                        <wps:cNvSpPr/>
                        <wps:spPr>
                          <a:xfrm>
                            <a:off x="1307084" y="1681136"/>
                            <a:ext cx="1407795" cy="182245"/>
                          </a:xfrm>
                          <a:custGeom>
                            <a:avLst/>
                            <a:gdLst/>
                            <a:ahLst/>
                            <a:cxnLst/>
                            <a:rect l="l" t="t" r="r" b="b"/>
                            <a:pathLst>
                              <a:path w="1407795" h="182245">
                                <a:moveTo>
                                  <a:pt x="402170" y="0"/>
                                </a:moveTo>
                                <a:lnTo>
                                  <a:pt x="0" y="0"/>
                                </a:lnTo>
                                <a:lnTo>
                                  <a:pt x="0" y="182206"/>
                                </a:lnTo>
                                <a:lnTo>
                                  <a:pt x="402170" y="182206"/>
                                </a:lnTo>
                                <a:lnTo>
                                  <a:pt x="402170" y="0"/>
                                </a:lnTo>
                                <a:close/>
                              </a:path>
                              <a:path w="1407795" h="182245">
                                <a:moveTo>
                                  <a:pt x="1407502" y="46240"/>
                                </a:moveTo>
                                <a:lnTo>
                                  <a:pt x="1005332" y="46240"/>
                                </a:lnTo>
                                <a:lnTo>
                                  <a:pt x="1005332" y="182206"/>
                                </a:lnTo>
                                <a:lnTo>
                                  <a:pt x="1407502" y="182206"/>
                                </a:lnTo>
                                <a:lnTo>
                                  <a:pt x="1407502" y="46240"/>
                                </a:lnTo>
                                <a:close/>
                              </a:path>
                            </a:pathLst>
                          </a:custGeom>
                          <a:solidFill>
                            <a:srgbClr val="0000FF"/>
                          </a:solidFill>
                        </wps:spPr>
                        <wps:bodyPr wrap="square" lIns="0" tIns="0" rIns="0" bIns="0" rtlCol="0">
                          <a:prstTxWarp prst="textNoShape">
                            <a:avLst/>
                          </a:prstTxWarp>
                          <a:noAutofit/>
                        </wps:bodyPr>
                      </wps:wsp>
                      <wps:wsp>
                        <wps:cNvPr id="475" name="Graphic 475"/>
                        <wps:cNvSpPr/>
                        <wps:spPr>
                          <a:xfrm>
                            <a:off x="3317875" y="831049"/>
                            <a:ext cx="402590" cy="1032510"/>
                          </a:xfrm>
                          <a:custGeom>
                            <a:avLst/>
                            <a:gdLst/>
                            <a:ahLst/>
                            <a:cxnLst/>
                            <a:rect l="l" t="t" r="r" b="b"/>
                            <a:pathLst>
                              <a:path w="402590" h="1032510">
                                <a:moveTo>
                                  <a:pt x="402170" y="0"/>
                                </a:moveTo>
                                <a:lnTo>
                                  <a:pt x="0" y="0"/>
                                </a:lnTo>
                                <a:lnTo>
                                  <a:pt x="0" y="1032294"/>
                                </a:lnTo>
                                <a:lnTo>
                                  <a:pt x="402170" y="1032294"/>
                                </a:lnTo>
                                <a:lnTo>
                                  <a:pt x="402170" y="0"/>
                                </a:lnTo>
                                <a:close/>
                              </a:path>
                            </a:pathLst>
                          </a:custGeom>
                          <a:solidFill>
                            <a:srgbClr val="00FFFF"/>
                          </a:solidFill>
                        </wps:spPr>
                        <wps:bodyPr wrap="square" lIns="0" tIns="0" rIns="0" bIns="0" rtlCol="0">
                          <a:prstTxWarp prst="textNoShape">
                            <a:avLst/>
                          </a:prstTxWarp>
                          <a:noAutofit/>
                        </wps:bodyPr>
                      </wps:wsp>
                      <wps:wsp>
                        <wps:cNvPr id="476" name="Graphic 476"/>
                        <wps:cNvSpPr/>
                        <wps:spPr>
                          <a:xfrm>
                            <a:off x="4323334" y="1368221"/>
                            <a:ext cx="1407795" cy="495300"/>
                          </a:xfrm>
                          <a:custGeom>
                            <a:avLst/>
                            <a:gdLst/>
                            <a:ahLst/>
                            <a:cxnLst/>
                            <a:rect l="l" t="t" r="r" b="b"/>
                            <a:pathLst>
                              <a:path w="1407795" h="495300">
                                <a:moveTo>
                                  <a:pt x="402170" y="0"/>
                                </a:moveTo>
                                <a:lnTo>
                                  <a:pt x="0" y="0"/>
                                </a:lnTo>
                                <a:lnTo>
                                  <a:pt x="0" y="495122"/>
                                </a:lnTo>
                                <a:lnTo>
                                  <a:pt x="402170" y="495122"/>
                                </a:lnTo>
                                <a:lnTo>
                                  <a:pt x="402170" y="0"/>
                                </a:lnTo>
                                <a:close/>
                              </a:path>
                              <a:path w="1407795" h="495300">
                                <a:moveTo>
                                  <a:pt x="1407502" y="30441"/>
                                </a:moveTo>
                                <a:lnTo>
                                  <a:pt x="1005332" y="30441"/>
                                </a:lnTo>
                                <a:lnTo>
                                  <a:pt x="1005332" y="495122"/>
                                </a:lnTo>
                                <a:lnTo>
                                  <a:pt x="1407502" y="495122"/>
                                </a:lnTo>
                                <a:lnTo>
                                  <a:pt x="1407502" y="30441"/>
                                </a:lnTo>
                                <a:close/>
                              </a:path>
                            </a:pathLst>
                          </a:custGeom>
                          <a:solidFill>
                            <a:srgbClr val="0000FF"/>
                          </a:solidFill>
                        </wps:spPr>
                        <wps:bodyPr wrap="square" lIns="0" tIns="0" rIns="0" bIns="0" rtlCol="0">
                          <a:prstTxWarp prst="textNoShape">
                            <a:avLst/>
                          </a:prstTxWarp>
                          <a:noAutofit/>
                        </wps:bodyPr>
                      </wps:wsp>
                      <wps:wsp>
                        <wps:cNvPr id="477" name="Graphic 477"/>
                        <wps:cNvSpPr/>
                        <wps:spPr>
                          <a:xfrm>
                            <a:off x="0" y="1863344"/>
                            <a:ext cx="6032500" cy="1270"/>
                          </a:xfrm>
                          <a:custGeom>
                            <a:avLst/>
                            <a:gdLst/>
                            <a:ahLst/>
                            <a:cxnLst/>
                            <a:rect l="l" t="t" r="r" b="b"/>
                            <a:pathLst>
                              <a:path w="6032500">
                                <a:moveTo>
                                  <a:pt x="0" y="0"/>
                                </a:moveTo>
                                <a:lnTo>
                                  <a:pt x="6032499" y="0"/>
                                </a:lnTo>
                              </a:path>
                            </a:pathLst>
                          </a:custGeom>
                          <a:ln w="9525">
                            <a:solidFill>
                              <a:srgbClr val="D9D9D9"/>
                            </a:solidFill>
                            <a:prstDash val="solid"/>
                          </a:ln>
                        </wps:spPr>
                        <wps:bodyPr wrap="square" lIns="0" tIns="0" rIns="0" bIns="0" rtlCol="0">
                          <a:prstTxWarp prst="textNoShape">
                            <a:avLst/>
                          </a:prstTxWarp>
                          <a:noAutofit/>
                        </wps:bodyPr>
                      </wps:wsp>
                      <wps:wsp>
                        <wps:cNvPr id="478" name="Graphic 478"/>
                        <wps:cNvSpPr/>
                        <wps:spPr>
                          <a:xfrm>
                            <a:off x="501015" y="939800"/>
                            <a:ext cx="2000250" cy="546100"/>
                          </a:xfrm>
                          <a:custGeom>
                            <a:avLst/>
                            <a:gdLst/>
                            <a:ahLst/>
                            <a:cxnLst/>
                            <a:rect l="l" t="t" r="r" b="b"/>
                            <a:pathLst>
                              <a:path w="2000250" h="546100">
                                <a:moveTo>
                                  <a:pt x="0" y="546100"/>
                                </a:moveTo>
                                <a:lnTo>
                                  <a:pt x="0" y="0"/>
                                </a:lnTo>
                              </a:path>
                              <a:path w="2000250" h="546100">
                                <a:moveTo>
                                  <a:pt x="0" y="0"/>
                                </a:moveTo>
                                <a:lnTo>
                                  <a:pt x="2000250" y="0"/>
                                </a:lnTo>
                              </a:path>
                              <a:path w="2000250" h="546100">
                                <a:moveTo>
                                  <a:pt x="2000250" y="0"/>
                                </a:moveTo>
                                <a:lnTo>
                                  <a:pt x="2000250" y="546100"/>
                                </a:lnTo>
                              </a:path>
                            </a:pathLst>
                          </a:custGeom>
                          <a:ln w="19050">
                            <a:solidFill>
                              <a:srgbClr val="4AACC5"/>
                            </a:solidFill>
                            <a:prstDash val="sysDash"/>
                          </a:ln>
                        </wps:spPr>
                        <wps:bodyPr wrap="square" lIns="0" tIns="0" rIns="0" bIns="0" rtlCol="0">
                          <a:prstTxWarp prst="textNoShape">
                            <a:avLst/>
                          </a:prstTxWarp>
                          <a:noAutofit/>
                        </wps:bodyPr>
                      </wps:wsp>
                      <wps:wsp>
                        <wps:cNvPr id="479" name="Graphic 479"/>
                        <wps:cNvSpPr/>
                        <wps:spPr>
                          <a:xfrm>
                            <a:off x="1097914" y="781050"/>
                            <a:ext cx="800100" cy="349250"/>
                          </a:xfrm>
                          <a:custGeom>
                            <a:avLst/>
                            <a:gdLst/>
                            <a:ahLst/>
                            <a:cxnLst/>
                            <a:rect l="l" t="t" r="r" b="b"/>
                            <a:pathLst>
                              <a:path w="800100" h="349250">
                                <a:moveTo>
                                  <a:pt x="400050" y="0"/>
                                </a:moveTo>
                                <a:lnTo>
                                  <a:pt x="335150" y="2286"/>
                                </a:lnTo>
                                <a:lnTo>
                                  <a:pt x="273588" y="8907"/>
                                </a:lnTo>
                                <a:lnTo>
                                  <a:pt x="216187" y="19500"/>
                                </a:lnTo>
                                <a:lnTo>
                                  <a:pt x="163769" y="33706"/>
                                </a:lnTo>
                                <a:lnTo>
                                  <a:pt x="117157" y="51165"/>
                                </a:lnTo>
                                <a:lnTo>
                                  <a:pt x="77175" y="71515"/>
                                </a:lnTo>
                                <a:lnTo>
                                  <a:pt x="44645" y="94396"/>
                                </a:lnTo>
                                <a:lnTo>
                                  <a:pt x="5234" y="146312"/>
                                </a:lnTo>
                                <a:lnTo>
                                  <a:pt x="0" y="174625"/>
                                </a:lnTo>
                                <a:lnTo>
                                  <a:pt x="5234" y="202937"/>
                                </a:lnTo>
                                <a:lnTo>
                                  <a:pt x="44645" y="254853"/>
                                </a:lnTo>
                                <a:lnTo>
                                  <a:pt x="77175" y="277734"/>
                                </a:lnTo>
                                <a:lnTo>
                                  <a:pt x="117157" y="298084"/>
                                </a:lnTo>
                                <a:lnTo>
                                  <a:pt x="163769" y="315543"/>
                                </a:lnTo>
                                <a:lnTo>
                                  <a:pt x="216187" y="329749"/>
                                </a:lnTo>
                                <a:lnTo>
                                  <a:pt x="273588" y="340342"/>
                                </a:lnTo>
                                <a:lnTo>
                                  <a:pt x="335150" y="346963"/>
                                </a:lnTo>
                                <a:lnTo>
                                  <a:pt x="400050" y="349250"/>
                                </a:lnTo>
                                <a:lnTo>
                                  <a:pt x="464949" y="346963"/>
                                </a:lnTo>
                                <a:lnTo>
                                  <a:pt x="526511" y="340342"/>
                                </a:lnTo>
                                <a:lnTo>
                                  <a:pt x="583912" y="329749"/>
                                </a:lnTo>
                                <a:lnTo>
                                  <a:pt x="636330" y="315543"/>
                                </a:lnTo>
                                <a:lnTo>
                                  <a:pt x="682942" y="298084"/>
                                </a:lnTo>
                                <a:lnTo>
                                  <a:pt x="722924" y="277734"/>
                                </a:lnTo>
                                <a:lnTo>
                                  <a:pt x="755454" y="254853"/>
                                </a:lnTo>
                                <a:lnTo>
                                  <a:pt x="794865" y="202937"/>
                                </a:lnTo>
                                <a:lnTo>
                                  <a:pt x="800100" y="174625"/>
                                </a:lnTo>
                                <a:lnTo>
                                  <a:pt x="794865" y="146312"/>
                                </a:lnTo>
                                <a:lnTo>
                                  <a:pt x="755454" y="94396"/>
                                </a:lnTo>
                                <a:lnTo>
                                  <a:pt x="722924" y="71515"/>
                                </a:lnTo>
                                <a:lnTo>
                                  <a:pt x="682942" y="51165"/>
                                </a:lnTo>
                                <a:lnTo>
                                  <a:pt x="636330" y="33706"/>
                                </a:lnTo>
                                <a:lnTo>
                                  <a:pt x="583912" y="19500"/>
                                </a:lnTo>
                                <a:lnTo>
                                  <a:pt x="526511" y="8907"/>
                                </a:lnTo>
                                <a:lnTo>
                                  <a:pt x="464949" y="2286"/>
                                </a:lnTo>
                                <a:lnTo>
                                  <a:pt x="400050" y="0"/>
                                </a:lnTo>
                                <a:close/>
                              </a:path>
                            </a:pathLst>
                          </a:custGeom>
                          <a:solidFill>
                            <a:srgbClr val="FFFFFF"/>
                          </a:solidFill>
                        </wps:spPr>
                        <wps:bodyPr wrap="square" lIns="0" tIns="0" rIns="0" bIns="0" rtlCol="0">
                          <a:prstTxWarp prst="textNoShape">
                            <a:avLst/>
                          </a:prstTxWarp>
                          <a:noAutofit/>
                        </wps:bodyPr>
                      </wps:wsp>
                      <wps:wsp>
                        <wps:cNvPr id="480" name="Graphic 480"/>
                        <wps:cNvSpPr/>
                        <wps:spPr>
                          <a:xfrm>
                            <a:off x="1097914" y="781050"/>
                            <a:ext cx="800100" cy="349250"/>
                          </a:xfrm>
                          <a:custGeom>
                            <a:avLst/>
                            <a:gdLst/>
                            <a:ahLst/>
                            <a:cxnLst/>
                            <a:rect l="l" t="t" r="r" b="b"/>
                            <a:pathLst>
                              <a:path w="800100" h="349250">
                                <a:moveTo>
                                  <a:pt x="0" y="174625"/>
                                </a:moveTo>
                                <a:lnTo>
                                  <a:pt x="20391" y="119449"/>
                                </a:lnTo>
                                <a:lnTo>
                                  <a:pt x="77175" y="71515"/>
                                </a:lnTo>
                                <a:lnTo>
                                  <a:pt x="117157" y="51165"/>
                                </a:lnTo>
                                <a:lnTo>
                                  <a:pt x="163769" y="33706"/>
                                </a:lnTo>
                                <a:lnTo>
                                  <a:pt x="216187" y="19500"/>
                                </a:lnTo>
                                <a:lnTo>
                                  <a:pt x="273588" y="8907"/>
                                </a:lnTo>
                                <a:lnTo>
                                  <a:pt x="335150" y="2286"/>
                                </a:lnTo>
                                <a:lnTo>
                                  <a:pt x="400050" y="0"/>
                                </a:lnTo>
                                <a:lnTo>
                                  <a:pt x="464949" y="2286"/>
                                </a:lnTo>
                                <a:lnTo>
                                  <a:pt x="526511" y="8907"/>
                                </a:lnTo>
                                <a:lnTo>
                                  <a:pt x="583912" y="19500"/>
                                </a:lnTo>
                                <a:lnTo>
                                  <a:pt x="636330" y="33706"/>
                                </a:lnTo>
                                <a:lnTo>
                                  <a:pt x="682942" y="51165"/>
                                </a:lnTo>
                                <a:lnTo>
                                  <a:pt x="722924" y="71515"/>
                                </a:lnTo>
                                <a:lnTo>
                                  <a:pt x="755454" y="94396"/>
                                </a:lnTo>
                                <a:lnTo>
                                  <a:pt x="794865" y="146312"/>
                                </a:lnTo>
                                <a:lnTo>
                                  <a:pt x="800100" y="174625"/>
                                </a:lnTo>
                                <a:lnTo>
                                  <a:pt x="794865" y="202937"/>
                                </a:lnTo>
                                <a:lnTo>
                                  <a:pt x="755454" y="254853"/>
                                </a:lnTo>
                                <a:lnTo>
                                  <a:pt x="722924" y="277734"/>
                                </a:lnTo>
                                <a:lnTo>
                                  <a:pt x="682942" y="298084"/>
                                </a:lnTo>
                                <a:lnTo>
                                  <a:pt x="636330" y="315543"/>
                                </a:lnTo>
                                <a:lnTo>
                                  <a:pt x="583912" y="329749"/>
                                </a:lnTo>
                                <a:lnTo>
                                  <a:pt x="526511" y="340342"/>
                                </a:lnTo>
                                <a:lnTo>
                                  <a:pt x="464949" y="346963"/>
                                </a:lnTo>
                                <a:lnTo>
                                  <a:pt x="400050" y="349250"/>
                                </a:lnTo>
                                <a:lnTo>
                                  <a:pt x="335150" y="346963"/>
                                </a:lnTo>
                                <a:lnTo>
                                  <a:pt x="273588" y="340342"/>
                                </a:lnTo>
                                <a:lnTo>
                                  <a:pt x="216187" y="329749"/>
                                </a:lnTo>
                                <a:lnTo>
                                  <a:pt x="163769" y="315543"/>
                                </a:lnTo>
                                <a:lnTo>
                                  <a:pt x="117157" y="298084"/>
                                </a:lnTo>
                                <a:lnTo>
                                  <a:pt x="77175" y="277734"/>
                                </a:lnTo>
                                <a:lnTo>
                                  <a:pt x="44645" y="254853"/>
                                </a:lnTo>
                                <a:lnTo>
                                  <a:pt x="5234" y="202937"/>
                                </a:lnTo>
                                <a:lnTo>
                                  <a:pt x="0" y="174625"/>
                                </a:lnTo>
                                <a:close/>
                              </a:path>
                            </a:pathLst>
                          </a:custGeom>
                          <a:ln w="25400">
                            <a:solidFill>
                              <a:srgbClr val="4AACC5"/>
                            </a:solidFill>
                            <a:prstDash val="solid"/>
                          </a:ln>
                        </wps:spPr>
                        <wps:bodyPr wrap="square" lIns="0" tIns="0" rIns="0" bIns="0" rtlCol="0">
                          <a:prstTxWarp prst="textNoShape">
                            <a:avLst/>
                          </a:prstTxWarp>
                          <a:noAutofit/>
                        </wps:bodyPr>
                      </wps:wsp>
                      <wps:wsp>
                        <wps:cNvPr id="481" name="Graphic 481"/>
                        <wps:cNvSpPr/>
                        <wps:spPr>
                          <a:xfrm>
                            <a:off x="3529965" y="190500"/>
                            <a:ext cx="1974850" cy="904875"/>
                          </a:xfrm>
                          <a:custGeom>
                            <a:avLst/>
                            <a:gdLst/>
                            <a:ahLst/>
                            <a:cxnLst/>
                            <a:rect l="l" t="t" r="r" b="b"/>
                            <a:pathLst>
                              <a:path w="1974850" h="904875">
                                <a:moveTo>
                                  <a:pt x="0" y="342900"/>
                                </a:moveTo>
                                <a:lnTo>
                                  <a:pt x="0" y="12700"/>
                                </a:lnTo>
                              </a:path>
                              <a:path w="1974850" h="904875">
                                <a:moveTo>
                                  <a:pt x="0" y="12700"/>
                                </a:moveTo>
                                <a:lnTo>
                                  <a:pt x="1974850" y="12700"/>
                                </a:lnTo>
                              </a:path>
                              <a:path w="1974850" h="904875">
                                <a:moveTo>
                                  <a:pt x="1974850" y="831850"/>
                                </a:moveTo>
                                <a:lnTo>
                                  <a:pt x="1968500" y="0"/>
                                </a:lnTo>
                              </a:path>
                              <a:path w="1974850" h="904875">
                                <a:moveTo>
                                  <a:pt x="1003935" y="904875"/>
                                </a:moveTo>
                                <a:lnTo>
                                  <a:pt x="1003935" y="574675"/>
                                </a:lnTo>
                              </a:path>
                              <a:path w="1974850" h="904875">
                                <a:moveTo>
                                  <a:pt x="1003300" y="590550"/>
                                </a:moveTo>
                                <a:lnTo>
                                  <a:pt x="1974850" y="590550"/>
                                </a:lnTo>
                              </a:path>
                            </a:pathLst>
                          </a:custGeom>
                          <a:ln w="19050">
                            <a:solidFill>
                              <a:srgbClr val="4AACC5"/>
                            </a:solidFill>
                            <a:prstDash val="sysDash"/>
                          </a:ln>
                        </wps:spPr>
                        <wps:bodyPr wrap="square" lIns="0" tIns="0" rIns="0" bIns="0" rtlCol="0">
                          <a:prstTxWarp prst="textNoShape">
                            <a:avLst/>
                          </a:prstTxWarp>
                          <a:noAutofit/>
                        </wps:bodyPr>
                      </wps:wsp>
                      <wps:wsp>
                        <wps:cNvPr id="482" name="Graphic 482"/>
                        <wps:cNvSpPr/>
                        <wps:spPr>
                          <a:xfrm>
                            <a:off x="4215765" y="12700"/>
                            <a:ext cx="768350" cy="342900"/>
                          </a:xfrm>
                          <a:custGeom>
                            <a:avLst/>
                            <a:gdLst/>
                            <a:ahLst/>
                            <a:cxnLst/>
                            <a:rect l="l" t="t" r="r" b="b"/>
                            <a:pathLst>
                              <a:path w="768350" h="342900">
                                <a:moveTo>
                                  <a:pt x="384175" y="0"/>
                                </a:moveTo>
                                <a:lnTo>
                                  <a:pt x="321849" y="2245"/>
                                </a:lnTo>
                                <a:lnTo>
                                  <a:pt x="262729" y="8747"/>
                                </a:lnTo>
                                <a:lnTo>
                                  <a:pt x="207605" y="19150"/>
                                </a:lnTo>
                                <a:lnTo>
                                  <a:pt x="157267" y="33101"/>
                                </a:lnTo>
                                <a:lnTo>
                                  <a:pt x="112506" y="50244"/>
                                </a:lnTo>
                                <a:lnTo>
                                  <a:pt x="74111" y="70225"/>
                                </a:lnTo>
                                <a:lnTo>
                                  <a:pt x="42872" y="92691"/>
                                </a:lnTo>
                                <a:lnTo>
                                  <a:pt x="5027" y="143657"/>
                                </a:lnTo>
                                <a:lnTo>
                                  <a:pt x="0" y="171450"/>
                                </a:lnTo>
                                <a:lnTo>
                                  <a:pt x="5027" y="199272"/>
                                </a:lnTo>
                                <a:lnTo>
                                  <a:pt x="42872" y="250264"/>
                                </a:lnTo>
                                <a:lnTo>
                                  <a:pt x="74111" y="272728"/>
                                </a:lnTo>
                                <a:lnTo>
                                  <a:pt x="112506" y="292703"/>
                                </a:lnTo>
                                <a:lnTo>
                                  <a:pt x="157267" y="309835"/>
                                </a:lnTo>
                                <a:lnTo>
                                  <a:pt x="207605" y="323773"/>
                                </a:lnTo>
                                <a:lnTo>
                                  <a:pt x="262729" y="334164"/>
                                </a:lnTo>
                                <a:lnTo>
                                  <a:pt x="321849" y="340657"/>
                                </a:lnTo>
                                <a:lnTo>
                                  <a:pt x="384175" y="342900"/>
                                </a:lnTo>
                                <a:lnTo>
                                  <a:pt x="446500" y="340657"/>
                                </a:lnTo>
                                <a:lnTo>
                                  <a:pt x="505620" y="334164"/>
                                </a:lnTo>
                                <a:lnTo>
                                  <a:pt x="560744" y="323773"/>
                                </a:lnTo>
                                <a:lnTo>
                                  <a:pt x="611082" y="309835"/>
                                </a:lnTo>
                                <a:lnTo>
                                  <a:pt x="655843" y="292703"/>
                                </a:lnTo>
                                <a:lnTo>
                                  <a:pt x="694238" y="272728"/>
                                </a:lnTo>
                                <a:lnTo>
                                  <a:pt x="725477" y="250264"/>
                                </a:lnTo>
                                <a:lnTo>
                                  <a:pt x="763322" y="199272"/>
                                </a:lnTo>
                                <a:lnTo>
                                  <a:pt x="768350" y="171450"/>
                                </a:lnTo>
                                <a:lnTo>
                                  <a:pt x="763322" y="143657"/>
                                </a:lnTo>
                                <a:lnTo>
                                  <a:pt x="725477" y="92691"/>
                                </a:lnTo>
                                <a:lnTo>
                                  <a:pt x="694238" y="70225"/>
                                </a:lnTo>
                                <a:lnTo>
                                  <a:pt x="655843" y="50244"/>
                                </a:lnTo>
                                <a:lnTo>
                                  <a:pt x="611082" y="33101"/>
                                </a:lnTo>
                                <a:lnTo>
                                  <a:pt x="560744" y="19150"/>
                                </a:lnTo>
                                <a:lnTo>
                                  <a:pt x="505620" y="8747"/>
                                </a:lnTo>
                                <a:lnTo>
                                  <a:pt x="446500" y="2245"/>
                                </a:lnTo>
                                <a:lnTo>
                                  <a:pt x="384175" y="0"/>
                                </a:lnTo>
                                <a:close/>
                              </a:path>
                            </a:pathLst>
                          </a:custGeom>
                          <a:solidFill>
                            <a:srgbClr val="FFFFFF"/>
                          </a:solidFill>
                        </wps:spPr>
                        <wps:bodyPr wrap="square" lIns="0" tIns="0" rIns="0" bIns="0" rtlCol="0">
                          <a:prstTxWarp prst="textNoShape">
                            <a:avLst/>
                          </a:prstTxWarp>
                          <a:noAutofit/>
                        </wps:bodyPr>
                      </wps:wsp>
                      <wps:wsp>
                        <wps:cNvPr id="483" name="Graphic 483"/>
                        <wps:cNvSpPr/>
                        <wps:spPr>
                          <a:xfrm>
                            <a:off x="4215765" y="12700"/>
                            <a:ext cx="768350" cy="342900"/>
                          </a:xfrm>
                          <a:custGeom>
                            <a:avLst/>
                            <a:gdLst/>
                            <a:ahLst/>
                            <a:cxnLst/>
                            <a:rect l="l" t="t" r="r" b="b"/>
                            <a:pathLst>
                              <a:path w="768350" h="342900">
                                <a:moveTo>
                                  <a:pt x="0" y="171450"/>
                                </a:moveTo>
                                <a:lnTo>
                                  <a:pt x="19581" y="117287"/>
                                </a:lnTo>
                                <a:lnTo>
                                  <a:pt x="74111" y="70225"/>
                                </a:lnTo>
                                <a:lnTo>
                                  <a:pt x="112506" y="50244"/>
                                </a:lnTo>
                                <a:lnTo>
                                  <a:pt x="157267" y="33101"/>
                                </a:lnTo>
                                <a:lnTo>
                                  <a:pt x="207605" y="19150"/>
                                </a:lnTo>
                                <a:lnTo>
                                  <a:pt x="262729" y="8747"/>
                                </a:lnTo>
                                <a:lnTo>
                                  <a:pt x="321849" y="2245"/>
                                </a:lnTo>
                                <a:lnTo>
                                  <a:pt x="384175" y="0"/>
                                </a:lnTo>
                                <a:lnTo>
                                  <a:pt x="446500" y="2245"/>
                                </a:lnTo>
                                <a:lnTo>
                                  <a:pt x="505620" y="8747"/>
                                </a:lnTo>
                                <a:lnTo>
                                  <a:pt x="560744" y="19150"/>
                                </a:lnTo>
                                <a:lnTo>
                                  <a:pt x="611082" y="33101"/>
                                </a:lnTo>
                                <a:lnTo>
                                  <a:pt x="655843" y="50244"/>
                                </a:lnTo>
                                <a:lnTo>
                                  <a:pt x="694238" y="70225"/>
                                </a:lnTo>
                                <a:lnTo>
                                  <a:pt x="725477" y="92691"/>
                                </a:lnTo>
                                <a:lnTo>
                                  <a:pt x="763322" y="143657"/>
                                </a:lnTo>
                                <a:lnTo>
                                  <a:pt x="768350" y="171450"/>
                                </a:lnTo>
                                <a:lnTo>
                                  <a:pt x="763322" y="199272"/>
                                </a:lnTo>
                                <a:lnTo>
                                  <a:pt x="725477" y="250264"/>
                                </a:lnTo>
                                <a:lnTo>
                                  <a:pt x="694238" y="272728"/>
                                </a:lnTo>
                                <a:lnTo>
                                  <a:pt x="655843" y="292703"/>
                                </a:lnTo>
                                <a:lnTo>
                                  <a:pt x="611082" y="309835"/>
                                </a:lnTo>
                                <a:lnTo>
                                  <a:pt x="560744" y="323773"/>
                                </a:lnTo>
                                <a:lnTo>
                                  <a:pt x="505620" y="334164"/>
                                </a:lnTo>
                                <a:lnTo>
                                  <a:pt x="446500" y="340657"/>
                                </a:lnTo>
                                <a:lnTo>
                                  <a:pt x="384175" y="342900"/>
                                </a:lnTo>
                                <a:lnTo>
                                  <a:pt x="321849" y="340657"/>
                                </a:lnTo>
                                <a:lnTo>
                                  <a:pt x="262729" y="334164"/>
                                </a:lnTo>
                                <a:lnTo>
                                  <a:pt x="207605" y="323773"/>
                                </a:lnTo>
                                <a:lnTo>
                                  <a:pt x="157267" y="309835"/>
                                </a:lnTo>
                                <a:lnTo>
                                  <a:pt x="112506" y="292703"/>
                                </a:lnTo>
                                <a:lnTo>
                                  <a:pt x="74111" y="272728"/>
                                </a:lnTo>
                                <a:lnTo>
                                  <a:pt x="42872" y="250264"/>
                                </a:lnTo>
                                <a:lnTo>
                                  <a:pt x="5027" y="199272"/>
                                </a:lnTo>
                                <a:lnTo>
                                  <a:pt x="0" y="171450"/>
                                </a:lnTo>
                                <a:close/>
                              </a:path>
                            </a:pathLst>
                          </a:custGeom>
                          <a:ln w="25400">
                            <a:solidFill>
                              <a:srgbClr val="4AACC5"/>
                            </a:solidFill>
                            <a:prstDash val="solid"/>
                          </a:ln>
                        </wps:spPr>
                        <wps:bodyPr wrap="square" lIns="0" tIns="0" rIns="0" bIns="0" rtlCol="0">
                          <a:prstTxWarp prst="textNoShape">
                            <a:avLst/>
                          </a:prstTxWarp>
                          <a:noAutofit/>
                        </wps:bodyPr>
                      </wps:wsp>
                      <wps:wsp>
                        <wps:cNvPr id="484" name="Graphic 484"/>
                        <wps:cNvSpPr/>
                        <wps:spPr>
                          <a:xfrm>
                            <a:off x="4698365" y="596900"/>
                            <a:ext cx="711200" cy="342900"/>
                          </a:xfrm>
                          <a:custGeom>
                            <a:avLst/>
                            <a:gdLst/>
                            <a:ahLst/>
                            <a:cxnLst/>
                            <a:rect l="l" t="t" r="r" b="b"/>
                            <a:pathLst>
                              <a:path w="711200" h="342900">
                                <a:moveTo>
                                  <a:pt x="355600" y="0"/>
                                </a:moveTo>
                                <a:lnTo>
                                  <a:pt x="291693" y="2760"/>
                                </a:lnTo>
                                <a:lnTo>
                                  <a:pt x="231539" y="10720"/>
                                </a:lnTo>
                                <a:lnTo>
                                  <a:pt x="176144" y="23396"/>
                                </a:lnTo>
                                <a:lnTo>
                                  <a:pt x="126512" y="40305"/>
                                </a:lnTo>
                                <a:lnTo>
                                  <a:pt x="83649" y="60965"/>
                                </a:lnTo>
                                <a:lnTo>
                                  <a:pt x="48561" y="84892"/>
                                </a:lnTo>
                                <a:lnTo>
                                  <a:pt x="5730" y="140617"/>
                                </a:lnTo>
                                <a:lnTo>
                                  <a:pt x="0" y="171450"/>
                                </a:lnTo>
                                <a:lnTo>
                                  <a:pt x="5730" y="202282"/>
                                </a:lnTo>
                                <a:lnTo>
                                  <a:pt x="48561" y="258007"/>
                                </a:lnTo>
                                <a:lnTo>
                                  <a:pt x="83649" y="281934"/>
                                </a:lnTo>
                                <a:lnTo>
                                  <a:pt x="126512" y="302594"/>
                                </a:lnTo>
                                <a:lnTo>
                                  <a:pt x="176144" y="319503"/>
                                </a:lnTo>
                                <a:lnTo>
                                  <a:pt x="231539" y="332179"/>
                                </a:lnTo>
                                <a:lnTo>
                                  <a:pt x="291693" y="340139"/>
                                </a:lnTo>
                                <a:lnTo>
                                  <a:pt x="355600" y="342900"/>
                                </a:lnTo>
                                <a:lnTo>
                                  <a:pt x="419506" y="340139"/>
                                </a:lnTo>
                                <a:lnTo>
                                  <a:pt x="479660" y="332179"/>
                                </a:lnTo>
                                <a:lnTo>
                                  <a:pt x="535055" y="319503"/>
                                </a:lnTo>
                                <a:lnTo>
                                  <a:pt x="584687" y="302594"/>
                                </a:lnTo>
                                <a:lnTo>
                                  <a:pt x="627550" y="281934"/>
                                </a:lnTo>
                                <a:lnTo>
                                  <a:pt x="662638" y="258007"/>
                                </a:lnTo>
                                <a:lnTo>
                                  <a:pt x="705469" y="202282"/>
                                </a:lnTo>
                                <a:lnTo>
                                  <a:pt x="711200" y="171450"/>
                                </a:lnTo>
                                <a:lnTo>
                                  <a:pt x="705469" y="140617"/>
                                </a:lnTo>
                                <a:lnTo>
                                  <a:pt x="662638" y="84892"/>
                                </a:lnTo>
                                <a:lnTo>
                                  <a:pt x="627550" y="60965"/>
                                </a:lnTo>
                                <a:lnTo>
                                  <a:pt x="584687" y="40305"/>
                                </a:lnTo>
                                <a:lnTo>
                                  <a:pt x="535055" y="23396"/>
                                </a:lnTo>
                                <a:lnTo>
                                  <a:pt x="479660" y="10720"/>
                                </a:lnTo>
                                <a:lnTo>
                                  <a:pt x="419506" y="2760"/>
                                </a:lnTo>
                                <a:lnTo>
                                  <a:pt x="355600" y="0"/>
                                </a:lnTo>
                                <a:close/>
                              </a:path>
                            </a:pathLst>
                          </a:custGeom>
                          <a:solidFill>
                            <a:srgbClr val="FFFFFF"/>
                          </a:solidFill>
                        </wps:spPr>
                        <wps:bodyPr wrap="square" lIns="0" tIns="0" rIns="0" bIns="0" rtlCol="0">
                          <a:prstTxWarp prst="textNoShape">
                            <a:avLst/>
                          </a:prstTxWarp>
                          <a:noAutofit/>
                        </wps:bodyPr>
                      </wps:wsp>
                      <wps:wsp>
                        <wps:cNvPr id="485" name="Graphic 485"/>
                        <wps:cNvSpPr/>
                        <wps:spPr>
                          <a:xfrm>
                            <a:off x="4698365" y="596900"/>
                            <a:ext cx="711200" cy="342900"/>
                          </a:xfrm>
                          <a:custGeom>
                            <a:avLst/>
                            <a:gdLst/>
                            <a:ahLst/>
                            <a:cxnLst/>
                            <a:rect l="l" t="t" r="r" b="b"/>
                            <a:pathLst>
                              <a:path w="711200" h="342900">
                                <a:moveTo>
                                  <a:pt x="0" y="171450"/>
                                </a:moveTo>
                                <a:lnTo>
                                  <a:pt x="22253" y="111604"/>
                                </a:lnTo>
                                <a:lnTo>
                                  <a:pt x="83649" y="60965"/>
                                </a:lnTo>
                                <a:lnTo>
                                  <a:pt x="126512" y="40305"/>
                                </a:lnTo>
                                <a:lnTo>
                                  <a:pt x="176144" y="23396"/>
                                </a:lnTo>
                                <a:lnTo>
                                  <a:pt x="231539" y="10720"/>
                                </a:lnTo>
                                <a:lnTo>
                                  <a:pt x="291693" y="2760"/>
                                </a:lnTo>
                                <a:lnTo>
                                  <a:pt x="355600" y="0"/>
                                </a:lnTo>
                                <a:lnTo>
                                  <a:pt x="419506" y="2760"/>
                                </a:lnTo>
                                <a:lnTo>
                                  <a:pt x="479660" y="10720"/>
                                </a:lnTo>
                                <a:lnTo>
                                  <a:pt x="535055" y="23396"/>
                                </a:lnTo>
                                <a:lnTo>
                                  <a:pt x="584687" y="40305"/>
                                </a:lnTo>
                                <a:lnTo>
                                  <a:pt x="627550" y="60965"/>
                                </a:lnTo>
                                <a:lnTo>
                                  <a:pt x="662638" y="84892"/>
                                </a:lnTo>
                                <a:lnTo>
                                  <a:pt x="705469" y="140617"/>
                                </a:lnTo>
                                <a:lnTo>
                                  <a:pt x="711200" y="171450"/>
                                </a:lnTo>
                                <a:lnTo>
                                  <a:pt x="705469" y="202282"/>
                                </a:lnTo>
                                <a:lnTo>
                                  <a:pt x="662638" y="258007"/>
                                </a:lnTo>
                                <a:lnTo>
                                  <a:pt x="627550" y="281934"/>
                                </a:lnTo>
                                <a:lnTo>
                                  <a:pt x="584687" y="302594"/>
                                </a:lnTo>
                                <a:lnTo>
                                  <a:pt x="535055" y="319503"/>
                                </a:lnTo>
                                <a:lnTo>
                                  <a:pt x="479660" y="332179"/>
                                </a:lnTo>
                                <a:lnTo>
                                  <a:pt x="419506" y="340139"/>
                                </a:lnTo>
                                <a:lnTo>
                                  <a:pt x="355600" y="342900"/>
                                </a:lnTo>
                                <a:lnTo>
                                  <a:pt x="291693" y="340139"/>
                                </a:lnTo>
                                <a:lnTo>
                                  <a:pt x="231539" y="332179"/>
                                </a:lnTo>
                                <a:lnTo>
                                  <a:pt x="176144" y="319503"/>
                                </a:lnTo>
                                <a:lnTo>
                                  <a:pt x="126512" y="302594"/>
                                </a:lnTo>
                                <a:lnTo>
                                  <a:pt x="83649" y="281934"/>
                                </a:lnTo>
                                <a:lnTo>
                                  <a:pt x="48561" y="258007"/>
                                </a:lnTo>
                                <a:lnTo>
                                  <a:pt x="5730" y="202282"/>
                                </a:lnTo>
                                <a:lnTo>
                                  <a:pt x="0" y="171450"/>
                                </a:lnTo>
                                <a:close/>
                              </a:path>
                            </a:pathLst>
                          </a:custGeom>
                          <a:ln w="25400">
                            <a:solidFill>
                              <a:srgbClr val="4AACC5"/>
                            </a:solidFill>
                            <a:prstDash val="solid"/>
                          </a:ln>
                        </wps:spPr>
                        <wps:bodyPr wrap="square" lIns="0" tIns="0" rIns="0" bIns="0" rtlCol="0">
                          <a:prstTxWarp prst="textNoShape">
                            <a:avLst/>
                          </a:prstTxWarp>
                          <a:noAutofit/>
                        </wps:bodyPr>
                      </wps:wsp>
                      <wps:wsp>
                        <wps:cNvPr id="486" name="Graphic 486"/>
                        <wps:cNvSpPr/>
                        <wps:spPr>
                          <a:xfrm>
                            <a:off x="2977514" y="12700"/>
                            <a:ext cx="1270" cy="2089150"/>
                          </a:xfrm>
                          <a:custGeom>
                            <a:avLst/>
                            <a:gdLst/>
                            <a:ahLst/>
                            <a:cxnLst/>
                            <a:rect l="l" t="t" r="r" b="b"/>
                            <a:pathLst>
                              <a:path h="2089150">
                                <a:moveTo>
                                  <a:pt x="0" y="0"/>
                                </a:moveTo>
                                <a:lnTo>
                                  <a:pt x="0" y="2089150"/>
                                </a:lnTo>
                              </a:path>
                            </a:pathLst>
                          </a:custGeom>
                          <a:ln w="19050">
                            <a:solidFill>
                              <a:srgbClr val="4F81BC"/>
                            </a:solidFill>
                            <a:prstDash val="sysDash"/>
                          </a:ln>
                        </wps:spPr>
                        <wps:bodyPr wrap="square" lIns="0" tIns="0" rIns="0" bIns="0" rtlCol="0">
                          <a:prstTxWarp prst="textNoShape">
                            <a:avLst/>
                          </a:prstTxWarp>
                          <a:noAutofit/>
                        </wps:bodyPr>
                      </wps:wsp>
                      <wps:wsp>
                        <wps:cNvPr id="487" name="Textbox 487"/>
                        <wps:cNvSpPr txBox="1"/>
                        <wps:spPr>
                          <a:xfrm>
                            <a:off x="4439920" y="130449"/>
                            <a:ext cx="335280" cy="114300"/>
                          </a:xfrm>
                          <a:prstGeom prst="rect">
                            <a:avLst/>
                          </a:prstGeom>
                        </wps:spPr>
                        <wps:txbx>
                          <w:txbxContent>
                            <w:p w14:paraId="0C6A02F9" w14:textId="77777777" w:rsidR="002C6574" w:rsidRDefault="00000000">
                              <w:pPr>
                                <w:spacing w:line="179" w:lineRule="exact"/>
                                <w:rPr>
                                  <w:rFonts w:ascii="Arial"/>
                                  <w:b/>
                                  <w:sz w:val="16"/>
                                </w:rPr>
                              </w:pPr>
                              <w:r>
                                <w:rPr>
                                  <w:rFonts w:ascii="Arial MT"/>
                                  <w:spacing w:val="-2"/>
                                  <w:sz w:val="16"/>
                                </w:rPr>
                                <w:t>-</w:t>
                              </w:r>
                              <w:r>
                                <w:rPr>
                                  <w:rFonts w:ascii="Arial"/>
                                  <w:b/>
                                  <w:spacing w:val="-2"/>
                                  <w:sz w:val="16"/>
                                </w:rPr>
                                <w:t>55,0%</w:t>
                              </w:r>
                            </w:p>
                          </w:txbxContent>
                        </wps:txbx>
                        <wps:bodyPr wrap="square" lIns="0" tIns="0" rIns="0" bIns="0" rtlCol="0">
                          <a:noAutofit/>
                        </wps:bodyPr>
                      </wps:wsp>
                      <wps:wsp>
                        <wps:cNvPr id="488" name="Textbox 488"/>
                        <wps:cNvSpPr txBox="1"/>
                        <wps:spPr>
                          <a:xfrm>
                            <a:off x="3327400" y="646208"/>
                            <a:ext cx="427990" cy="128270"/>
                          </a:xfrm>
                          <a:prstGeom prst="rect">
                            <a:avLst/>
                          </a:prstGeom>
                        </wps:spPr>
                        <wps:txbx>
                          <w:txbxContent>
                            <w:p w14:paraId="69DF475B" w14:textId="77777777" w:rsidR="002C6574" w:rsidRDefault="00000000">
                              <w:pPr>
                                <w:spacing w:line="201" w:lineRule="exact"/>
                                <w:rPr>
                                  <w:rFonts w:ascii="Arial"/>
                                  <w:b/>
                                  <w:sz w:val="18"/>
                                </w:rPr>
                              </w:pPr>
                              <w:r>
                                <w:rPr>
                                  <w:rFonts w:ascii="Arial"/>
                                  <w:b/>
                                  <w:color w:val="404040"/>
                                  <w:spacing w:val="-2"/>
                                  <w:sz w:val="18"/>
                                </w:rPr>
                                <w:t>116.690</w:t>
                              </w:r>
                            </w:p>
                          </w:txbxContent>
                        </wps:txbx>
                        <wps:bodyPr wrap="square" lIns="0" tIns="0" rIns="0" bIns="0" rtlCol="0">
                          <a:noAutofit/>
                        </wps:bodyPr>
                      </wps:wsp>
                      <wps:wsp>
                        <wps:cNvPr id="489" name="Textbox 489"/>
                        <wps:cNvSpPr txBox="1"/>
                        <wps:spPr>
                          <a:xfrm>
                            <a:off x="4921884" y="714141"/>
                            <a:ext cx="278765" cy="114300"/>
                          </a:xfrm>
                          <a:prstGeom prst="rect">
                            <a:avLst/>
                          </a:prstGeom>
                        </wps:spPr>
                        <wps:txbx>
                          <w:txbxContent>
                            <w:p w14:paraId="561AAFC1" w14:textId="77777777" w:rsidR="002C6574" w:rsidRDefault="00000000">
                              <w:pPr>
                                <w:spacing w:line="179" w:lineRule="exact"/>
                                <w:rPr>
                                  <w:rFonts w:ascii="Arial"/>
                                  <w:b/>
                                  <w:sz w:val="16"/>
                                </w:rPr>
                              </w:pPr>
                              <w:r>
                                <w:rPr>
                                  <w:rFonts w:ascii="Arial"/>
                                  <w:b/>
                                  <w:spacing w:val="-2"/>
                                  <w:sz w:val="16"/>
                                </w:rPr>
                                <w:t>-</w:t>
                              </w:r>
                              <w:r>
                                <w:rPr>
                                  <w:rFonts w:ascii="Arial"/>
                                  <w:b/>
                                  <w:spacing w:val="-4"/>
                                  <w:sz w:val="16"/>
                                </w:rPr>
                                <w:t>6,1%</w:t>
                              </w:r>
                            </w:p>
                          </w:txbxContent>
                        </wps:txbx>
                        <wps:bodyPr wrap="square" lIns="0" tIns="0" rIns="0" bIns="0" rtlCol="0">
                          <a:noAutofit/>
                        </wps:bodyPr>
                      </wps:wsp>
                      <wps:wsp>
                        <wps:cNvPr id="490" name="Textbox 490"/>
                        <wps:cNvSpPr txBox="1"/>
                        <wps:spPr>
                          <a:xfrm>
                            <a:off x="1324228" y="895497"/>
                            <a:ext cx="361315" cy="114300"/>
                          </a:xfrm>
                          <a:prstGeom prst="rect">
                            <a:avLst/>
                          </a:prstGeom>
                        </wps:spPr>
                        <wps:txbx>
                          <w:txbxContent>
                            <w:p w14:paraId="0FC1AC47" w14:textId="77777777" w:rsidR="002C6574" w:rsidRDefault="00000000">
                              <w:pPr>
                                <w:spacing w:line="179" w:lineRule="exact"/>
                                <w:rPr>
                                  <w:rFonts w:ascii="Arial"/>
                                  <w:b/>
                                  <w:sz w:val="16"/>
                                </w:rPr>
                              </w:pPr>
                              <w:r>
                                <w:rPr>
                                  <w:rFonts w:ascii="Arial"/>
                                  <w:b/>
                                  <w:spacing w:val="-2"/>
                                  <w:sz w:val="16"/>
                                </w:rPr>
                                <w:t>+73,8%</w:t>
                              </w:r>
                            </w:p>
                          </w:txbxContent>
                        </wps:txbx>
                        <wps:bodyPr wrap="square" lIns="0" tIns="0" rIns="0" bIns="0" rtlCol="0">
                          <a:noAutofit/>
                        </wps:bodyPr>
                      </wps:wsp>
                      <wps:wsp>
                        <wps:cNvPr id="491" name="Textbox 491"/>
                        <wps:cNvSpPr txBox="1"/>
                        <wps:spPr>
                          <a:xfrm>
                            <a:off x="4364990" y="1183545"/>
                            <a:ext cx="365760" cy="128270"/>
                          </a:xfrm>
                          <a:prstGeom prst="rect">
                            <a:avLst/>
                          </a:prstGeom>
                        </wps:spPr>
                        <wps:txbx>
                          <w:txbxContent>
                            <w:p w14:paraId="1712208E" w14:textId="77777777" w:rsidR="002C6574" w:rsidRDefault="00000000">
                              <w:pPr>
                                <w:spacing w:line="201" w:lineRule="exact"/>
                                <w:rPr>
                                  <w:rFonts w:ascii="Arial"/>
                                  <w:b/>
                                  <w:sz w:val="18"/>
                                </w:rPr>
                              </w:pPr>
                              <w:r>
                                <w:rPr>
                                  <w:rFonts w:ascii="Arial"/>
                                  <w:b/>
                                  <w:color w:val="404040"/>
                                  <w:spacing w:val="-2"/>
                                  <w:sz w:val="18"/>
                                </w:rPr>
                                <w:t>55.968</w:t>
                              </w:r>
                            </w:p>
                          </w:txbxContent>
                        </wps:txbx>
                        <wps:bodyPr wrap="square" lIns="0" tIns="0" rIns="0" bIns="0" rtlCol="0">
                          <a:noAutofit/>
                        </wps:bodyPr>
                      </wps:wsp>
                      <wps:wsp>
                        <wps:cNvPr id="492" name="Textbox 492"/>
                        <wps:cNvSpPr txBox="1"/>
                        <wps:spPr>
                          <a:xfrm>
                            <a:off x="5370829" y="1213644"/>
                            <a:ext cx="363855" cy="128270"/>
                          </a:xfrm>
                          <a:prstGeom prst="rect">
                            <a:avLst/>
                          </a:prstGeom>
                        </wps:spPr>
                        <wps:txbx>
                          <w:txbxContent>
                            <w:p w14:paraId="603F8996" w14:textId="77777777" w:rsidR="002C6574" w:rsidRDefault="00000000">
                              <w:pPr>
                                <w:spacing w:line="201" w:lineRule="exact"/>
                                <w:rPr>
                                  <w:rFonts w:ascii="Arial"/>
                                  <w:b/>
                                  <w:sz w:val="18"/>
                                </w:rPr>
                              </w:pPr>
                              <w:r>
                                <w:rPr>
                                  <w:rFonts w:ascii="Arial"/>
                                  <w:b/>
                                  <w:color w:val="404040"/>
                                  <w:spacing w:val="-2"/>
                                  <w:sz w:val="18"/>
                                </w:rPr>
                                <w:t>52.527</w:t>
                              </w:r>
                            </w:p>
                          </w:txbxContent>
                        </wps:txbx>
                        <wps:bodyPr wrap="square" lIns="0" tIns="0" rIns="0" bIns="0" rtlCol="0">
                          <a:noAutofit/>
                        </wps:bodyPr>
                      </wps:wsp>
                      <wps:wsp>
                        <wps:cNvPr id="493" name="Textbox 493"/>
                        <wps:cNvSpPr txBox="1"/>
                        <wps:spPr>
                          <a:xfrm>
                            <a:off x="1348358" y="1496219"/>
                            <a:ext cx="363855" cy="128270"/>
                          </a:xfrm>
                          <a:prstGeom prst="rect">
                            <a:avLst/>
                          </a:prstGeom>
                        </wps:spPr>
                        <wps:txbx>
                          <w:txbxContent>
                            <w:p w14:paraId="69B03E0B" w14:textId="77777777" w:rsidR="002C6574" w:rsidRDefault="00000000">
                              <w:pPr>
                                <w:spacing w:line="201" w:lineRule="exact"/>
                                <w:rPr>
                                  <w:rFonts w:ascii="Arial"/>
                                  <w:b/>
                                  <w:sz w:val="18"/>
                                </w:rPr>
                              </w:pPr>
                              <w:r>
                                <w:rPr>
                                  <w:rFonts w:ascii="Arial"/>
                                  <w:b/>
                                  <w:color w:val="404040"/>
                                  <w:spacing w:val="-2"/>
                                  <w:sz w:val="18"/>
                                </w:rPr>
                                <w:t>20.598</w:t>
                              </w:r>
                            </w:p>
                          </w:txbxContent>
                        </wps:txbx>
                        <wps:bodyPr wrap="square" lIns="0" tIns="0" rIns="0" bIns="0" rtlCol="0">
                          <a:noAutofit/>
                        </wps:bodyPr>
                      </wps:wsp>
                      <wps:wsp>
                        <wps:cNvPr id="494" name="Textbox 494"/>
                        <wps:cNvSpPr txBox="1"/>
                        <wps:spPr>
                          <a:xfrm>
                            <a:off x="374522" y="1599956"/>
                            <a:ext cx="300355" cy="128270"/>
                          </a:xfrm>
                          <a:prstGeom prst="rect">
                            <a:avLst/>
                          </a:prstGeom>
                        </wps:spPr>
                        <wps:txbx>
                          <w:txbxContent>
                            <w:p w14:paraId="76400886" w14:textId="77777777" w:rsidR="002C6574" w:rsidRDefault="00000000">
                              <w:pPr>
                                <w:spacing w:line="202" w:lineRule="exact"/>
                                <w:rPr>
                                  <w:rFonts w:ascii="Arial"/>
                                  <w:b/>
                                  <w:sz w:val="18"/>
                                </w:rPr>
                              </w:pPr>
                              <w:r>
                                <w:rPr>
                                  <w:rFonts w:ascii="Arial"/>
                                  <w:b/>
                                  <w:color w:val="404040"/>
                                  <w:spacing w:val="-2"/>
                                  <w:sz w:val="18"/>
                                </w:rPr>
                                <w:t>8.842</w:t>
                              </w:r>
                            </w:p>
                          </w:txbxContent>
                        </wps:txbx>
                        <wps:bodyPr wrap="square" lIns="0" tIns="0" rIns="0" bIns="0" rtlCol="0">
                          <a:noAutofit/>
                        </wps:bodyPr>
                      </wps:wsp>
                      <wps:wsp>
                        <wps:cNvPr id="495" name="Textbox 495"/>
                        <wps:cNvSpPr txBox="1"/>
                        <wps:spPr>
                          <a:xfrm>
                            <a:off x="2353945" y="1542574"/>
                            <a:ext cx="363855" cy="128270"/>
                          </a:xfrm>
                          <a:prstGeom prst="rect">
                            <a:avLst/>
                          </a:prstGeom>
                        </wps:spPr>
                        <wps:txbx>
                          <w:txbxContent>
                            <w:p w14:paraId="7436E8FB" w14:textId="77777777" w:rsidR="002C6574" w:rsidRDefault="00000000">
                              <w:pPr>
                                <w:spacing w:line="201" w:lineRule="exact"/>
                                <w:rPr>
                                  <w:rFonts w:ascii="Arial"/>
                                  <w:b/>
                                  <w:sz w:val="18"/>
                                </w:rPr>
                              </w:pPr>
                              <w:r>
                                <w:rPr>
                                  <w:rFonts w:ascii="Arial"/>
                                  <w:b/>
                                  <w:color w:val="404040"/>
                                  <w:spacing w:val="-2"/>
                                  <w:sz w:val="18"/>
                                </w:rPr>
                                <w:t>15.370</w:t>
                              </w:r>
                            </w:p>
                          </w:txbxContent>
                        </wps:txbx>
                        <wps:bodyPr wrap="square" lIns="0" tIns="0" rIns="0" bIns="0" rtlCol="0">
                          <a:noAutofit/>
                        </wps:bodyPr>
                      </wps:wsp>
                      <wps:wsp>
                        <wps:cNvPr id="496" name="Textbox 496"/>
                        <wps:cNvSpPr txBox="1"/>
                        <wps:spPr>
                          <a:xfrm>
                            <a:off x="372694" y="1932972"/>
                            <a:ext cx="273050" cy="128270"/>
                          </a:xfrm>
                          <a:prstGeom prst="rect">
                            <a:avLst/>
                          </a:prstGeom>
                        </wps:spPr>
                        <wps:txbx>
                          <w:txbxContent>
                            <w:p w14:paraId="6158EB77" w14:textId="77777777" w:rsidR="002C6574" w:rsidRDefault="00000000">
                              <w:pPr>
                                <w:spacing w:line="201" w:lineRule="exact"/>
                                <w:rPr>
                                  <w:rFonts w:ascii="Arial"/>
                                  <w:b/>
                                  <w:sz w:val="18"/>
                                </w:rPr>
                              </w:pPr>
                              <w:r>
                                <w:rPr>
                                  <w:rFonts w:ascii="Arial"/>
                                  <w:b/>
                                  <w:color w:val="585858"/>
                                  <w:spacing w:val="-4"/>
                                  <w:sz w:val="18"/>
                                </w:rPr>
                                <w:t>4T24</w:t>
                              </w:r>
                            </w:p>
                          </w:txbxContent>
                        </wps:txbx>
                        <wps:bodyPr wrap="square" lIns="0" tIns="0" rIns="0" bIns="0" rtlCol="0">
                          <a:noAutofit/>
                        </wps:bodyPr>
                      </wps:wsp>
                      <wps:wsp>
                        <wps:cNvPr id="497" name="Textbox 497"/>
                        <wps:cNvSpPr txBox="1"/>
                        <wps:spPr>
                          <a:xfrm>
                            <a:off x="1378203" y="1932972"/>
                            <a:ext cx="273050" cy="128270"/>
                          </a:xfrm>
                          <a:prstGeom prst="rect">
                            <a:avLst/>
                          </a:prstGeom>
                        </wps:spPr>
                        <wps:txbx>
                          <w:txbxContent>
                            <w:p w14:paraId="6E280711" w14:textId="77777777" w:rsidR="002C6574" w:rsidRDefault="00000000">
                              <w:pPr>
                                <w:spacing w:line="201" w:lineRule="exact"/>
                                <w:rPr>
                                  <w:rFonts w:ascii="Arial"/>
                                  <w:b/>
                                  <w:sz w:val="18"/>
                                </w:rPr>
                              </w:pPr>
                              <w:r>
                                <w:rPr>
                                  <w:rFonts w:ascii="Arial"/>
                                  <w:b/>
                                  <w:color w:val="585858"/>
                                  <w:spacing w:val="-4"/>
                                  <w:sz w:val="18"/>
                                </w:rPr>
                                <w:t>3T25</w:t>
                              </w:r>
                            </w:p>
                          </w:txbxContent>
                        </wps:txbx>
                        <wps:bodyPr wrap="square" lIns="0" tIns="0" rIns="0" bIns="0" rtlCol="0">
                          <a:noAutofit/>
                        </wps:bodyPr>
                      </wps:wsp>
                      <wps:wsp>
                        <wps:cNvPr id="498" name="Textbox 498"/>
                        <wps:cNvSpPr txBox="1"/>
                        <wps:spPr>
                          <a:xfrm>
                            <a:off x="2383789" y="1932972"/>
                            <a:ext cx="273050" cy="128270"/>
                          </a:xfrm>
                          <a:prstGeom prst="rect">
                            <a:avLst/>
                          </a:prstGeom>
                        </wps:spPr>
                        <wps:txbx>
                          <w:txbxContent>
                            <w:p w14:paraId="02A5F00A" w14:textId="77777777" w:rsidR="002C6574" w:rsidRDefault="00000000">
                              <w:pPr>
                                <w:spacing w:line="201" w:lineRule="exact"/>
                                <w:rPr>
                                  <w:rFonts w:ascii="Arial"/>
                                  <w:b/>
                                  <w:sz w:val="18"/>
                                </w:rPr>
                              </w:pPr>
                              <w:r>
                                <w:rPr>
                                  <w:rFonts w:ascii="Arial"/>
                                  <w:b/>
                                  <w:color w:val="585858"/>
                                  <w:spacing w:val="-4"/>
                                  <w:sz w:val="18"/>
                                </w:rPr>
                                <w:t>4T25</w:t>
                              </w:r>
                            </w:p>
                          </w:txbxContent>
                        </wps:txbx>
                        <wps:bodyPr wrap="square" lIns="0" tIns="0" rIns="0" bIns="0" rtlCol="0">
                          <a:noAutofit/>
                        </wps:bodyPr>
                      </wps:wsp>
                      <wps:wsp>
                        <wps:cNvPr id="499" name="Textbox 499"/>
                        <wps:cNvSpPr txBox="1"/>
                        <wps:spPr>
                          <a:xfrm>
                            <a:off x="3392678" y="1932972"/>
                            <a:ext cx="266700" cy="128270"/>
                          </a:xfrm>
                          <a:prstGeom prst="rect">
                            <a:avLst/>
                          </a:prstGeom>
                        </wps:spPr>
                        <wps:txbx>
                          <w:txbxContent>
                            <w:p w14:paraId="32954BB7" w14:textId="77777777" w:rsidR="002C6574" w:rsidRDefault="00000000">
                              <w:pPr>
                                <w:spacing w:line="201" w:lineRule="exact"/>
                                <w:rPr>
                                  <w:rFonts w:ascii="Arial"/>
                                  <w:b/>
                                  <w:sz w:val="18"/>
                                </w:rPr>
                              </w:pPr>
                              <w:r>
                                <w:rPr>
                                  <w:rFonts w:ascii="Arial"/>
                                  <w:b/>
                                  <w:color w:val="585858"/>
                                  <w:spacing w:val="-4"/>
                                  <w:sz w:val="18"/>
                                </w:rPr>
                                <w:t>2023</w:t>
                              </w:r>
                            </w:p>
                          </w:txbxContent>
                        </wps:txbx>
                        <wps:bodyPr wrap="square" lIns="0" tIns="0" rIns="0" bIns="0" rtlCol="0">
                          <a:noAutofit/>
                        </wps:bodyPr>
                      </wps:wsp>
                      <wps:wsp>
                        <wps:cNvPr id="500" name="Textbox 500"/>
                        <wps:cNvSpPr txBox="1"/>
                        <wps:spPr>
                          <a:xfrm>
                            <a:off x="4398136" y="1932972"/>
                            <a:ext cx="266700" cy="128270"/>
                          </a:xfrm>
                          <a:prstGeom prst="rect">
                            <a:avLst/>
                          </a:prstGeom>
                        </wps:spPr>
                        <wps:txbx>
                          <w:txbxContent>
                            <w:p w14:paraId="57D22B2B" w14:textId="77777777" w:rsidR="002C6574" w:rsidRDefault="00000000">
                              <w:pPr>
                                <w:spacing w:line="201" w:lineRule="exact"/>
                                <w:rPr>
                                  <w:rFonts w:ascii="Arial"/>
                                  <w:b/>
                                  <w:sz w:val="18"/>
                                </w:rPr>
                              </w:pPr>
                              <w:r>
                                <w:rPr>
                                  <w:rFonts w:ascii="Arial"/>
                                  <w:b/>
                                  <w:color w:val="585858"/>
                                  <w:spacing w:val="-4"/>
                                  <w:sz w:val="18"/>
                                </w:rPr>
                                <w:t>2024</w:t>
                              </w:r>
                            </w:p>
                          </w:txbxContent>
                        </wps:txbx>
                        <wps:bodyPr wrap="square" lIns="0" tIns="0" rIns="0" bIns="0" rtlCol="0">
                          <a:noAutofit/>
                        </wps:bodyPr>
                      </wps:wsp>
                      <wps:wsp>
                        <wps:cNvPr id="501" name="Textbox 501"/>
                        <wps:cNvSpPr txBox="1"/>
                        <wps:spPr>
                          <a:xfrm>
                            <a:off x="5403722" y="1932972"/>
                            <a:ext cx="266700" cy="128270"/>
                          </a:xfrm>
                          <a:prstGeom prst="rect">
                            <a:avLst/>
                          </a:prstGeom>
                        </wps:spPr>
                        <wps:txbx>
                          <w:txbxContent>
                            <w:p w14:paraId="0087083C" w14:textId="77777777" w:rsidR="002C6574" w:rsidRDefault="00000000">
                              <w:pPr>
                                <w:spacing w:line="201" w:lineRule="exact"/>
                                <w:rPr>
                                  <w:rFonts w:ascii="Arial"/>
                                  <w:b/>
                                  <w:sz w:val="18"/>
                                </w:rPr>
                              </w:pPr>
                              <w:r>
                                <w:rPr>
                                  <w:rFonts w:ascii="Arial"/>
                                  <w:b/>
                                  <w:color w:val="585858"/>
                                  <w:spacing w:val="-4"/>
                                  <w:sz w:val="18"/>
                                </w:rPr>
                                <w:t>2025</w:t>
                              </w:r>
                            </w:p>
                          </w:txbxContent>
                        </wps:txbx>
                        <wps:bodyPr wrap="square" lIns="0" tIns="0" rIns="0" bIns="0" rtlCol="0">
                          <a:noAutofit/>
                        </wps:bodyPr>
                      </wps:wsp>
                    </wpg:wgp>
                  </a:graphicData>
                </a:graphic>
              </wp:anchor>
            </w:drawing>
          </mc:Choice>
          <mc:Fallback>
            <w:pict>
              <v:group w14:anchorId="44F738E3" id="Group 472" o:spid="_x0000_s1220" style="position:absolute;margin-left:53.55pt;margin-top:19.4pt;width:475pt;height:165.5pt;z-index:-15672832;mso-wrap-distance-left:0;mso-wrap-distance-right:0;mso-position-horizontal-relative:page;mso-position-vertical-relative:text" coordsize="60325,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">
                <v:shape id="Graphic 473" o:spid="_x0000_s1221" style="position:absolute;left:3016;top:17851;width:4026;height:787;visibility:visible;mso-wrap-style:square;v-text-anchor:top" coordsize="40259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" path="m402170,l,,,78220r402170,l402170,xe" fillcolor="aqua" stroked="f">
                  <v:path arrowok="t"/>
                </v:shape>
                <v:shape id="Graphic 474" o:spid="_x0000_s1222" style="position:absolute;left:13070;top:16811;width:14078;height:1822;visibility:visible;mso-wrap-style:square;v-text-anchor:top" coordsize="140779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" path="m402170,l,,,182206r402170,l402170,xem1407502,46240r-402170,l1005332,182206r402170,l1407502,46240xe" fillcolor="blue" stroked="f">
                  <v:path arrowok="t"/>
                </v:shape>
                <v:shape id="Graphic 475" o:spid="_x0000_s1223" style="position:absolute;left:33178;top:8310;width:4026;height:10325;visibility:visible;mso-wrap-style:square;v-text-anchor:top" coordsize="402590,103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" path="m402170,l,,,1032294r402170,l402170,xe" fillcolor="aqua" stroked="f">
                  <v:path arrowok="t"/>
                </v:shape>
                <v:shape id="Graphic 476" o:spid="_x0000_s1224" style="position:absolute;left:43233;top:13682;width:14078;height:4953;visibility:visible;mso-wrap-style:square;v-text-anchor:top" coordsize="140779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" path="m402170,l,,,495122r402170,l402170,xem1407502,30441r-402170,l1005332,495122r402170,l1407502,30441xe" fillcolor="blue" stroked="f">
                  <v:path arrowok="t"/>
                </v:shape>
                <v:shape id="Graphic 477" o:spid="_x0000_s1225" style="position:absolute;top:18633;width:60325;height:13;visibility:visible;mso-wrap-style:square;v-text-anchor:top" coordsize="6032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" path="m,l6032499,e" filled="f" strokecolor="#d9d9d9">
                  <v:path arrowok="t"/>
                </v:shape>
                <v:shape id="Graphic 478" o:spid="_x0000_s1226" style="position:absolute;left:5010;top:9398;width:20002;height:5461;visibility:visible;mso-wrap-style:square;v-text-anchor:top" coordsize="200025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" path="m,546100l,em,l2000250,em2000250,r,546100e" filled="f" strokecolor="#4aacc5" strokeweight="1.5pt">
                  <v:stroke dashstyle="3 1"/>
                  <v:path arrowok="t"/>
                </v:shape>
                <v:shape id="Graphic 479" o:spid="_x0000_s1227" style="position:absolute;left:10979;top:7810;width:8001;height:3493;visibility:visible;mso-wrap-style:square;v-text-anchor:top" coordsize="80010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" path="m400050,l335150,2286,273588,8907,216187,19500,163769,33706,117157,51165,77175,71515,44645,94396,5234,146312,,174625r5234,28312l44645,254853r32530,22881l117157,298084r46612,17459l216187,329749r57401,10593l335150,346963r64900,2287l464949,346963r61562,-6621l583912,329749r52418,-14206l682942,298084r39982,-20350l755454,254853r39411,-51916l800100,174625r-5235,-28313l755454,94396,722924,71515,682942,51165,636330,33706,583912,19500,526511,8907,464949,2286,400050,xe" stroked="f">
                  <v:path arrowok="t"/>
                </v:shape>
                <v:shape id="Graphic 480" o:spid="_x0000_s1228" style="position:absolute;left:10979;top:7810;width:8001;height:3493;visibility:visible;mso-wrap-style:square;v-text-anchor:top" coordsize="80010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" path="m,174625l20391,119449,77175,71515,117157,51165,163769,33706,216187,19500,273588,8907,335150,2286,400050,r64899,2286l526511,8907r57401,10593l636330,33706r46612,17459l722924,71515r32530,22881l794865,146312r5235,28313l794865,202937r-39411,51916l722924,277734r-39982,20350l636330,315543r-52418,14206l526511,340342r-61562,6621l400050,349250r-64900,-2287l273588,340342,216187,329749,163769,315543,117157,298084,77175,277734,44645,254853,5234,202937,,174625xe" filled="f" strokecolor="#4aacc5" strokeweight="2pt">
                  <v:path arrowok="t"/>
                </v:shape>
                <v:shape id="Graphic 481" o:spid="_x0000_s1229" style="position:absolute;left:35299;top:1905;width:19749;height:9048;visibility:visible;mso-wrap-style:square;v-text-anchor:top" coordsize="19748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" path="m,342900l,12700em,12700r1974850,em1974850,831850l1968500,em1003935,904875r,-330200em1003300,590550r971550,e" filled="f" strokecolor="#4aacc5" strokeweight="1.5pt">
                  <v:stroke dashstyle="3 1"/>
                  <v:path arrowok="t"/>
                </v:shape>
                <v:shape id="Graphic 482" o:spid="_x0000_s1230" style="position:absolute;left:42157;top:127;width:7684;height:3429;visibility:visible;mso-wrap-style:square;v-text-anchor:top" coordsize="7683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" path="m384175,l321849,2245,262729,8747,207605,19150,157267,33101,112506,50244,74111,70225,42872,92691,5027,143657,,171450r5027,27822l42872,250264r31239,22464l112506,292703r44761,17132l207605,323773r55124,10391l321849,340657r62326,2243l446500,340657r59120,-6493l560744,323773r50338,-13938l655843,292703r38395,-19975l725477,250264r37845,-50992l768350,171450r-5028,-27793l725477,92691,694238,70225,655843,50244,611082,33101,560744,19150,505620,8747,446500,2245,384175,xe" stroked="f">
                  <v:path arrowok="t"/>
                </v:shape>
                <v:shape id="Graphic 483" o:spid="_x0000_s1231" style="position:absolute;left:42157;top:127;width:7684;height:3429;visibility:visible;mso-wrap-style:square;v-text-anchor:top" coordsize="7683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" path="m,171450l19581,117287,74111,70225,112506,50244,157267,33101,207605,19150,262729,8747,321849,2245,384175,r62325,2245l505620,8747r55124,10403l611082,33101r44761,17143l694238,70225r31239,22466l763322,143657r5028,27793l763322,199272r-37845,50992l694238,272728r-38395,19975l611082,309835r-50338,13938l505620,334164r-59120,6493l384175,342900r-62326,-2243l262729,334164,207605,323773,157267,309835,112506,292703,74111,272728,42872,250264,5027,199272,,171450xe" filled="f" strokecolor="#4aacc5" strokeweight="2pt">
                  <v:path arrowok="t"/>
                </v:shape>
                <v:shape id="Graphic 484" o:spid="_x0000_s1232" style="position:absolute;left:46983;top:5969;width:7112;height:3429;visibility:visible;mso-wrap-style:square;v-text-anchor:top" coordsize="711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" path="m355600,l291693,2760r-60154,7960l176144,23396,126512,40305,83649,60965,48561,84892,5730,140617,,171450r5730,30832l48561,258007r35088,23927l126512,302594r49632,16909l231539,332179r60154,7960l355600,342900r63906,-2761l479660,332179r55395,-12676l584687,302594r42863,-20660l662638,258007r42831,-55725l711200,171450r-5731,-30833l662638,84892,627550,60965,584687,40305,535055,23396,479660,10720,419506,2760,355600,xe" stroked="f">
                  <v:path arrowok="t"/>
                </v:shape>
                <v:shape id="Graphic 485" o:spid="_x0000_s1233" style="position:absolute;left:46983;top:5969;width:7112;height:3429;visibility:visible;mso-wrap-style:square;v-text-anchor:top" coordsize="711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" path="m,171450l22253,111604,83649,60965,126512,40305,176144,23396,231539,10720,291693,2760,355600,r63906,2760l479660,10720r55395,12676l584687,40305r42863,20660l662638,84892r42831,55725l711200,171450r-5731,30832l662638,258007r-35088,23927l584687,302594r-49632,16909l479660,332179r-60154,7960l355600,342900r-63907,-2761l231539,332179,176144,319503,126512,302594,83649,281934,48561,258007,5730,202282,,171450xe" filled="f" strokecolor="#4aacc5" strokeweight="2pt">
                  <v:path arrowok="t"/>
                </v:shape>
                <v:shape id="Graphic 486" o:spid="_x0000_s1234" style="position:absolute;left:29775;top:127;width:12;height:20891;visibility:visible;mso-wrap-style:square;v-text-anchor:top" coordsize="1270,208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" path="m,l,2089150e" filled="f" strokecolor="#4f81bc" strokeweight="1.5pt">
                  <v:stroke dashstyle="3 1"/>
                  <v:path arrowok="t"/>
                </v:shape>
                <v:shape id="Textbox 487" o:spid="_x0000_s1235" type="#_x0000_t202" style="position:absolute;left:44399;top:1304;width:33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0C6A02F9" w14:textId="77777777" w:rsidR="002C6574" w:rsidRDefault="00000000">
                        <w:pPr>
                          <w:spacing w:line="179" w:lineRule="exact"/>
                          <w:rPr>
                            <w:rFonts w:ascii="Arial"/>
                            <w:b/>
                            <w:sz w:val="16"/>
                          </w:rPr>
                        </w:pPr>
                        <w:r>
                          <w:rPr>
                            <w:rFonts w:ascii="Arial MT"/>
                            <w:spacing w:val="-2"/>
                            <w:sz w:val="16"/>
                          </w:rPr>
                          <w:t>-</w:t>
                        </w:r>
                        <w:r>
                          <w:rPr>
                            <w:rFonts w:ascii="Arial"/>
                            <w:b/>
                            <w:spacing w:val="-2"/>
                            <w:sz w:val="16"/>
                          </w:rPr>
                          <w:t>55,0%</w:t>
                        </w:r>
                      </w:p>
                    </w:txbxContent>
                  </v:textbox>
                </v:shape>
                <v:shape id="Textbox 488" o:spid="_x0000_s1236" type="#_x0000_t202" style="position:absolute;left:33274;top:6462;width:427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69DF475B" w14:textId="77777777" w:rsidR="002C6574" w:rsidRDefault="00000000">
                        <w:pPr>
                          <w:spacing w:line="201" w:lineRule="exact"/>
                          <w:rPr>
                            <w:rFonts w:ascii="Arial"/>
                            <w:b/>
                            <w:sz w:val="18"/>
                          </w:rPr>
                        </w:pPr>
                        <w:r>
                          <w:rPr>
                            <w:rFonts w:ascii="Arial"/>
                            <w:b/>
                            <w:color w:val="404040"/>
                            <w:spacing w:val="-2"/>
                            <w:sz w:val="18"/>
                          </w:rPr>
                          <w:t>116.690</w:t>
                        </w:r>
                      </w:p>
                    </w:txbxContent>
                  </v:textbox>
                </v:shape>
                <v:shape id="Textbox 489" o:spid="_x0000_s1237" type="#_x0000_t202" style="position:absolute;left:49218;top:7141;width:278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561AAFC1" w14:textId="77777777" w:rsidR="002C6574" w:rsidRDefault="00000000">
                        <w:pPr>
                          <w:spacing w:line="179" w:lineRule="exact"/>
                          <w:rPr>
                            <w:rFonts w:ascii="Arial"/>
                            <w:b/>
                            <w:sz w:val="16"/>
                          </w:rPr>
                        </w:pPr>
                        <w:r>
                          <w:rPr>
                            <w:rFonts w:ascii="Arial"/>
                            <w:b/>
                            <w:spacing w:val="-2"/>
                            <w:sz w:val="16"/>
                          </w:rPr>
                          <w:t>-</w:t>
                        </w:r>
                        <w:r>
                          <w:rPr>
                            <w:rFonts w:ascii="Arial"/>
                            <w:b/>
                            <w:spacing w:val="-4"/>
                            <w:sz w:val="16"/>
                          </w:rPr>
                          <w:t>6,1%</w:t>
                        </w:r>
                      </w:p>
                    </w:txbxContent>
                  </v:textbox>
                </v:shape>
                <v:shape id="Textbox 490" o:spid="_x0000_s1238" type="#_x0000_t202" style="position:absolute;left:13242;top:8954;width:36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0FC1AC47" w14:textId="77777777" w:rsidR="002C6574" w:rsidRDefault="00000000">
                        <w:pPr>
                          <w:spacing w:line="179" w:lineRule="exact"/>
                          <w:rPr>
                            <w:rFonts w:ascii="Arial"/>
                            <w:b/>
                            <w:sz w:val="16"/>
                          </w:rPr>
                        </w:pPr>
                        <w:r>
                          <w:rPr>
                            <w:rFonts w:ascii="Arial"/>
                            <w:b/>
                            <w:spacing w:val="-2"/>
                            <w:sz w:val="16"/>
                          </w:rPr>
                          <w:t>+73,8%</w:t>
                        </w:r>
                      </w:p>
                    </w:txbxContent>
                  </v:textbox>
                </v:shape>
                <v:shape id="Textbox 491" o:spid="_x0000_s1239" type="#_x0000_t202" style="position:absolute;left:43649;top:11835;width:365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1712208E" w14:textId="77777777" w:rsidR="002C6574" w:rsidRDefault="00000000">
                        <w:pPr>
                          <w:spacing w:line="201" w:lineRule="exact"/>
                          <w:rPr>
                            <w:rFonts w:ascii="Arial"/>
                            <w:b/>
                            <w:sz w:val="18"/>
                          </w:rPr>
                        </w:pPr>
                        <w:r>
                          <w:rPr>
                            <w:rFonts w:ascii="Arial"/>
                            <w:b/>
                            <w:color w:val="404040"/>
                            <w:spacing w:val="-2"/>
                            <w:sz w:val="18"/>
                          </w:rPr>
                          <w:t>55.968</w:t>
                        </w:r>
                      </w:p>
                    </w:txbxContent>
                  </v:textbox>
                </v:shape>
                <v:shape id="Textbox 492" o:spid="_x0000_s1240" type="#_x0000_t202" style="position:absolute;left:53708;top:12136;width:363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603F8996" w14:textId="77777777" w:rsidR="002C6574" w:rsidRDefault="00000000">
                        <w:pPr>
                          <w:spacing w:line="201" w:lineRule="exact"/>
                          <w:rPr>
                            <w:rFonts w:ascii="Arial"/>
                            <w:b/>
                            <w:sz w:val="18"/>
                          </w:rPr>
                        </w:pPr>
                        <w:r>
                          <w:rPr>
                            <w:rFonts w:ascii="Arial"/>
                            <w:b/>
                            <w:color w:val="404040"/>
                            <w:spacing w:val="-2"/>
                            <w:sz w:val="18"/>
                          </w:rPr>
                          <w:t>52.527</w:t>
                        </w:r>
                      </w:p>
                    </w:txbxContent>
                  </v:textbox>
                </v:shape>
                <v:shape id="Textbox 493" o:spid="_x0000_s1241" type="#_x0000_t202" style="position:absolute;left:13483;top:14962;width:363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69B03E0B" w14:textId="77777777" w:rsidR="002C6574" w:rsidRDefault="00000000">
                        <w:pPr>
                          <w:spacing w:line="201" w:lineRule="exact"/>
                          <w:rPr>
                            <w:rFonts w:ascii="Arial"/>
                            <w:b/>
                            <w:sz w:val="18"/>
                          </w:rPr>
                        </w:pPr>
                        <w:r>
                          <w:rPr>
                            <w:rFonts w:ascii="Arial"/>
                            <w:b/>
                            <w:color w:val="404040"/>
                            <w:spacing w:val="-2"/>
                            <w:sz w:val="18"/>
                          </w:rPr>
                          <w:t>20.598</w:t>
                        </w:r>
                      </w:p>
                    </w:txbxContent>
                  </v:textbox>
                </v:shape>
                <v:shape id="Textbox 494" o:spid="_x0000_s1242" type="#_x0000_t202" style="position:absolute;left:3745;top:15999;width:300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76400886" w14:textId="77777777" w:rsidR="002C6574" w:rsidRDefault="00000000">
                        <w:pPr>
                          <w:spacing w:line="202" w:lineRule="exact"/>
                          <w:rPr>
                            <w:rFonts w:ascii="Arial"/>
                            <w:b/>
                            <w:sz w:val="18"/>
                          </w:rPr>
                        </w:pPr>
                        <w:r>
                          <w:rPr>
                            <w:rFonts w:ascii="Arial"/>
                            <w:b/>
                            <w:color w:val="404040"/>
                            <w:spacing w:val="-2"/>
                            <w:sz w:val="18"/>
                          </w:rPr>
                          <w:t>8.842</w:t>
                        </w:r>
                      </w:p>
                    </w:txbxContent>
                  </v:textbox>
                </v:shape>
                <v:shape id="Textbox 495" o:spid="_x0000_s1243" type="#_x0000_t202" style="position:absolute;left:23539;top:15425;width:363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7436E8FB" w14:textId="77777777" w:rsidR="002C6574" w:rsidRDefault="00000000">
                        <w:pPr>
                          <w:spacing w:line="201" w:lineRule="exact"/>
                          <w:rPr>
                            <w:rFonts w:ascii="Arial"/>
                            <w:b/>
                            <w:sz w:val="18"/>
                          </w:rPr>
                        </w:pPr>
                        <w:r>
                          <w:rPr>
                            <w:rFonts w:ascii="Arial"/>
                            <w:b/>
                            <w:color w:val="404040"/>
                            <w:spacing w:val="-2"/>
                            <w:sz w:val="18"/>
                          </w:rPr>
                          <w:t>15.370</w:t>
                        </w:r>
                      </w:p>
                    </w:txbxContent>
                  </v:textbox>
                </v:shape>
                <v:shape id="Textbox 496" o:spid="_x0000_s1244" type="#_x0000_t202" style="position:absolute;left:3726;top:19329;width:273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6158EB77" w14:textId="77777777" w:rsidR="002C6574" w:rsidRDefault="00000000">
                        <w:pPr>
                          <w:spacing w:line="201" w:lineRule="exact"/>
                          <w:rPr>
                            <w:rFonts w:ascii="Arial"/>
                            <w:b/>
                            <w:sz w:val="18"/>
                          </w:rPr>
                        </w:pPr>
                        <w:r>
                          <w:rPr>
                            <w:rFonts w:ascii="Arial"/>
                            <w:b/>
                            <w:color w:val="585858"/>
                            <w:spacing w:val="-4"/>
                            <w:sz w:val="18"/>
                          </w:rPr>
                          <w:t>4T24</w:t>
                        </w:r>
                      </w:p>
                    </w:txbxContent>
                  </v:textbox>
                </v:shape>
                <v:shape id="Textbox 497" o:spid="_x0000_s1245" type="#_x0000_t202" style="position:absolute;left:13782;top:19329;width:273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6E280711" w14:textId="77777777" w:rsidR="002C6574" w:rsidRDefault="00000000">
                        <w:pPr>
                          <w:spacing w:line="201" w:lineRule="exact"/>
                          <w:rPr>
                            <w:rFonts w:ascii="Arial"/>
                            <w:b/>
                            <w:sz w:val="18"/>
                          </w:rPr>
                        </w:pPr>
                        <w:r>
                          <w:rPr>
                            <w:rFonts w:ascii="Arial"/>
                            <w:b/>
                            <w:color w:val="585858"/>
                            <w:spacing w:val="-4"/>
                            <w:sz w:val="18"/>
                          </w:rPr>
                          <w:t>3T25</w:t>
                        </w:r>
                      </w:p>
                    </w:txbxContent>
                  </v:textbox>
                </v:shape>
                <v:shape id="Textbox 498" o:spid="_x0000_s1246" type="#_x0000_t202" style="position:absolute;left:23837;top:19329;width:273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02A5F00A" w14:textId="77777777" w:rsidR="002C6574" w:rsidRDefault="00000000">
                        <w:pPr>
                          <w:spacing w:line="201" w:lineRule="exact"/>
                          <w:rPr>
                            <w:rFonts w:ascii="Arial"/>
                            <w:b/>
                            <w:sz w:val="18"/>
                          </w:rPr>
                        </w:pPr>
                        <w:r>
                          <w:rPr>
                            <w:rFonts w:ascii="Arial"/>
                            <w:b/>
                            <w:color w:val="585858"/>
                            <w:spacing w:val="-4"/>
                            <w:sz w:val="18"/>
                          </w:rPr>
                          <w:t>4T25</w:t>
                        </w:r>
                      </w:p>
                    </w:txbxContent>
                  </v:textbox>
                </v:shape>
                <v:shape id="Textbox 499" o:spid="_x0000_s1247" type="#_x0000_t202" style="position:absolute;left:33926;top:19329;width:266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32954BB7" w14:textId="77777777" w:rsidR="002C6574" w:rsidRDefault="00000000">
                        <w:pPr>
                          <w:spacing w:line="201" w:lineRule="exact"/>
                          <w:rPr>
                            <w:rFonts w:ascii="Arial"/>
                            <w:b/>
                            <w:sz w:val="18"/>
                          </w:rPr>
                        </w:pPr>
                        <w:r>
                          <w:rPr>
                            <w:rFonts w:ascii="Arial"/>
                            <w:b/>
                            <w:color w:val="585858"/>
                            <w:spacing w:val="-4"/>
                            <w:sz w:val="18"/>
                          </w:rPr>
                          <w:t>2023</w:t>
                        </w:r>
                      </w:p>
                    </w:txbxContent>
                  </v:textbox>
                </v:shape>
                <v:shape id="Textbox 500" o:spid="_x0000_s1248" type="#_x0000_t202" style="position:absolute;left:43981;top:19329;width:266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57D22B2B" w14:textId="77777777" w:rsidR="002C6574" w:rsidRDefault="00000000">
                        <w:pPr>
                          <w:spacing w:line="201" w:lineRule="exact"/>
                          <w:rPr>
                            <w:rFonts w:ascii="Arial"/>
                            <w:b/>
                            <w:sz w:val="18"/>
                          </w:rPr>
                        </w:pPr>
                        <w:r>
                          <w:rPr>
                            <w:rFonts w:ascii="Arial"/>
                            <w:b/>
                            <w:color w:val="585858"/>
                            <w:spacing w:val="-4"/>
                            <w:sz w:val="18"/>
                          </w:rPr>
                          <w:t>2024</w:t>
                        </w:r>
                      </w:p>
                    </w:txbxContent>
                  </v:textbox>
                </v:shape>
                <v:shape id="Textbox 501" o:spid="_x0000_s1249" type="#_x0000_t202" style="position:absolute;left:54037;top:19329;width:266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0087083C" w14:textId="77777777" w:rsidR="002C6574" w:rsidRDefault="00000000">
                        <w:pPr>
                          <w:spacing w:line="201" w:lineRule="exact"/>
                          <w:rPr>
                            <w:rFonts w:ascii="Arial"/>
                            <w:b/>
                            <w:sz w:val="18"/>
                          </w:rPr>
                        </w:pPr>
                        <w:r>
                          <w:rPr>
                            <w:rFonts w:ascii="Arial"/>
                            <w:b/>
                            <w:color w:val="585858"/>
                            <w:spacing w:val="-4"/>
                            <w:sz w:val="18"/>
                          </w:rPr>
                          <w:t>2025</w:t>
                        </w:r>
                      </w:p>
                    </w:txbxContent>
                  </v:textbox>
                </v:shape>
                <w10:wrap type="topAndBottom" anchorx="page"/>
              </v:group>
            </w:pict>
          </mc:Fallback>
        </mc:AlternateContent>
      </w:r>
    </w:p>
    <w:p w14:paraId="401A4B7A" w14:textId="77777777" w:rsidR="002C6574" w:rsidRDefault="002C6574">
      <w:pPr>
        <w:pStyle w:val="Corpodetexto"/>
        <w:spacing w:before="66"/>
        <w:rPr>
          <w:rFonts w:ascii="Arial"/>
          <w:b/>
          <w:sz w:val="24"/>
        </w:rPr>
      </w:pPr>
    </w:p>
    <w:p w14:paraId="4BCE6594" w14:textId="77777777" w:rsidR="002C6574" w:rsidRDefault="00000000">
      <w:pPr>
        <w:ind w:left="427" w:right="142"/>
        <w:jc w:val="both"/>
        <w:rPr>
          <w:rFonts w:ascii="Arial MT" w:hAnsi="Arial MT"/>
          <w:sz w:val="24"/>
        </w:rPr>
      </w:pPr>
      <w:r>
        <w:rPr>
          <w:rFonts w:ascii="Arial MT" w:hAnsi="Arial MT"/>
          <w:sz w:val="24"/>
        </w:rPr>
        <w:t>No</w:t>
      </w:r>
      <w:r>
        <w:rPr>
          <w:rFonts w:ascii="Arial MT" w:hAnsi="Arial MT"/>
          <w:spacing w:val="-2"/>
          <w:sz w:val="24"/>
        </w:rPr>
        <w:t xml:space="preserve"> </w:t>
      </w:r>
      <w:r>
        <w:rPr>
          <w:rFonts w:ascii="Arial MT" w:hAnsi="Arial MT"/>
          <w:sz w:val="24"/>
        </w:rPr>
        <w:t>4T25,</w:t>
      </w:r>
      <w:r>
        <w:rPr>
          <w:rFonts w:ascii="Arial MT" w:hAnsi="Arial MT"/>
          <w:spacing w:val="-2"/>
          <w:sz w:val="24"/>
        </w:rPr>
        <w:t xml:space="preserve"> </w:t>
      </w:r>
      <w:r>
        <w:rPr>
          <w:rFonts w:ascii="Arial MT" w:hAnsi="Arial MT"/>
          <w:sz w:val="24"/>
        </w:rPr>
        <w:t>a</w:t>
      </w:r>
      <w:r>
        <w:rPr>
          <w:rFonts w:ascii="Arial MT" w:hAnsi="Arial MT"/>
          <w:spacing w:val="-2"/>
          <w:sz w:val="24"/>
        </w:rPr>
        <w:t xml:space="preserve"> </w:t>
      </w:r>
      <w:r>
        <w:rPr>
          <w:rFonts w:ascii="Arial MT" w:hAnsi="Arial MT"/>
          <w:sz w:val="24"/>
        </w:rPr>
        <w:t>Telebras</w:t>
      </w:r>
      <w:r>
        <w:rPr>
          <w:rFonts w:ascii="Arial MT" w:hAnsi="Arial MT"/>
          <w:spacing w:val="-2"/>
          <w:sz w:val="24"/>
        </w:rPr>
        <w:t xml:space="preserve"> </w:t>
      </w:r>
      <w:r>
        <w:rPr>
          <w:rFonts w:ascii="Arial MT" w:hAnsi="Arial MT"/>
          <w:sz w:val="24"/>
        </w:rPr>
        <w:t>realizou</w:t>
      </w:r>
      <w:r>
        <w:rPr>
          <w:rFonts w:ascii="Arial MT" w:hAnsi="Arial MT"/>
          <w:spacing w:val="-2"/>
          <w:sz w:val="24"/>
        </w:rPr>
        <w:t xml:space="preserve"> </w:t>
      </w:r>
      <w:r>
        <w:rPr>
          <w:rFonts w:ascii="Arial MT" w:hAnsi="Arial MT"/>
          <w:sz w:val="24"/>
        </w:rPr>
        <w:t>investimentos</w:t>
      </w:r>
      <w:r>
        <w:rPr>
          <w:rFonts w:ascii="Arial MT" w:hAnsi="Arial MT"/>
          <w:spacing w:val="-4"/>
          <w:sz w:val="24"/>
        </w:rPr>
        <w:t xml:space="preserve"> </w:t>
      </w:r>
      <w:r>
        <w:rPr>
          <w:rFonts w:ascii="Arial MT" w:hAnsi="Arial MT"/>
          <w:sz w:val="24"/>
        </w:rPr>
        <w:t>de</w:t>
      </w:r>
      <w:r>
        <w:rPr>
          <w:rFonts w:ascii="Arial MT" w:hAnsi="Arial MT"/>
          <w:spacing w:val="-2"/>
          <w:sz w:val="24"/>
        </w:rPr>
        <w:t xml:space="preserve"> </w:t>
      </w:r>
      <w:r>
        <w:rPr>
          <w:rFonts w:ascii="Arial MT" w:hAnsi="Arial MT"/>
          <w:sz w:val="24"/>
        </w:rPr>
        <w:t>R$</w:t>
      </w:r>
      <w:r>
        <w:rPr>
          <w:rFonts w:ascii="Arial MT" w:hAnsi="Arial MT"/>
          <w:spacing w:val="-2"/>
          <w:sz w:val="24"/>
        </w:rPr>
        <w:t xml:space="preserve"> </w:t>
      </w:r>
      <w:r>
        <w:rPr>
          <w:rFonts w:ascii="Arial MT" w:hAnsi="Arial MT"/>
          <w:sz w:val="24"/>
        </w:rPr>
        <w:t>15,4</w:t>
      </w:r>
      <w:r>
        <w:rPr>
          <w:rFonts w:ascii="Arial MT" w:hAnsi="Arial MT"/>
          <w:spacing w:val="-2"/>
          <w:sz w:val="24"/>
        </w:rPr>
        <w:t xml:space="preserve"> </w:t>
      </w:r>
      <w:r>
        <w:rPr>
          <w:rFonts w:ascii="Arial MT" w:hAnsi="Arial MT"/>
          <w:sz w:val="24"/>
        </w:rPr>
        <w:t>milhões,</w:t>
      </w:r>
      <w:r>
        <w:rPr>
          <w:rFonts w:ascii="Arial MT" w:hAnsi="Arial MT"/>
          <w:spacing w:val="-2"/>
          <w:sz w:val="24"/>
        </w:rPr>
        <w:t xml:space="preserve"> </w:t>
      </w:r>
      <w:r>
        <w:rPr>
          <w:rFonts w:ascii="Arial MT" w:hAnsi="Arial MT"/>
          <w:sz w:val="24"/>
        </w:rPr>
        <w:t>ante</w:t>
      </w:r>
      <w:r>
        <w:rPr>
          <w:rFonts w:ascii="Arial MT" w:hAnsi="Arial MT"/>
          <w:spacing w:val="-1"/>
          <w:sz w:val="24"/>
        </w:rPr>
        <w:t xml:space="preserve"> </w:t>
      </w:r>
      <w:r>
        <w:rPr>
          <w:rFonts w:ascii="Arial MT" w:hAnsi="Arial MT"/>
          <w:sz w:val="24"/>
        </w:rPr>
        <w:t>R$</w:t>
      </w:r>
      <w:r>
        <w:rPr>
          <w:rFonts w:ascii="Arial MT" w:hAnsi="Arial MT"/>
          <w:spacing w:val="-2"/>
          <w:sz w:val="24"/>
        </w:rPr>
        <w:t xml:space="preserve"> </w:t>
      </w:r>
      <w:r>
        <w:rPr>
          <w:rFonts w:ascii="Arial MT" w:hAnsi="Arial MT"/>
          <w:sz w:val="24"/>
        </w:rPr>
        <w:t>8,8</w:t>
      </w:r>
      <w:r>
        <w:rPr>
          <w:rFonts w:ascii="Arial MT" w:hAnsi="Arial MT"/>
          <w:spacing w:val="-2"/>
          <w:sz w:val="24"/>
        </w:rPr>
        <w:t xml:space="preserve"> </w:t>
      </w:r>
      <w:r>
        <w:rPr>
          <w:rFonts w:ascii="Arial MT" w:hAnsi="Arial MT"/>
          <w:sz w:val="24"/>
        </w:rPr>
        <w:t>milhões</w:t>
      </w:r>
      <w:r>
        <w:rPr>
          <w:rFonts w:ascii="Arial MT" w:hAnsi="Arial MT"/>
          <w:spacing w:val="-2"/>
          <w:sz w:val="24"/>
        </w:rPr>
        <w:t xml:space="preserve"> </w:t>
      </w:r>
      <w:r>
        <w:rPr>
          <w:rFonts w:ascii="Arial MT" w:hAnsi="Arial MT"/>
          <w:sz w:val="24"/>
        </w:rPr>
        <w:t>no</w:t>
      </w:r>
      <w:r>
        <w:rPr>
          <w:rFonts w:ascii="Arial MT" w:hAnsi="Arial MT"/>
          <w:spacing w:val="-4"/>
          <w:sz w:val="24"/>
        </w:rPr>
        <w:t xml:space="preserve"> </w:t>
      </w:r>
      <w:r>
        <w:rPr>
          <w:rFonts w:ascii="Arial MT" w:hAnsi="Arial MT"/>
          <w:sz w:val="24"/>
        </w:rPr>
        <w:t>4T24.</w:t>
      </w:r>
      <w:r>
        <w:rPr>
          <w:rFonts w:ascii="Arial MT" w:hAnsi="Arial MT"/>
          <w:spacing w:val="-2"/>
          <w:sz w:val="24"/>
        </w:rPr>
        <w:t xml:space="preserve"> </w:t>
      </w:r>
      <w:r>
        <w:rPr>
          <w:rFonts w:ascii="Arial MT" w:hAnsi="Arial MT"/>
          <w:sz w:val="24"/>
        </w:rPr>
        <w:t>Em relação ao 3T25, houve uma queda de 27,0%. No acumulado de 2025, foram investidos R$ 52,5 milhões,</w:t>
      </w:r>
      <w:r>
        <w:rPr>
          <w:rFonts w:ascii="Arial MT" w:hAnsi="Arial MT"/>
          <w:spacing w:val="-4"/>
          <w:sz w:val="24"/>
        </w:rPr>
        <w:t xml:space="preserve"> </w:t>
      </w:r>
      <w:r>
        <w:rPr>
          <w:rFonts w:ascii="Arial MT" w:hAnsi="Arial MT"/>
          <w:sz w:val="24"/>
        </w:rPr>
        <w:t>o</w:t>
      </w:r>
      <w:r>
        <w:rPr>
          <w:rFonts w:ascii="Arial MT" w:hAnsi="Arial MT"/>
          <w:spacing w:val="-4"/>
          <w:sz w:val="24"/>
        </w:rPr>
        <w:t xml:space="preserve"> </w:t>
      </w:r>
      <w:r>
        <w:rPr>
          <w:rFonts w:ascii="Arial MT" w:hAnsi="Arial MT"/>
          <w:sz w:val="24"/>
        </w:rPr>
        <w:t>que</w:t>
      </w:r>
      <w:r>
        <w:rPr>
          <w:rFonts w:ascii="Arial MT" w:hAnsi="Arial MT"/>
          <w:spacing w:val="-4"/>
          <w:sz w:val="24"/>
        </w:rPr>
        <w:t xml:space="preserve"> </w:t>
      </w:r>
      <w:r>
        <w:rPr>
          <w:rFonts w:ascii="Arial MT" w:hAnsi="Arial MT"/>
          <w:sz w:val="24"/>
        </w:rPr>
        <w:t>representa</w:t>
      </w:r>
      <w:r>
        <w:rPr>
          <w:rFonts w:ascii="Arial MT" w:hAnsi="Arial MT"/>
          <w:spacing w:val="-3"/>
          <w:sz w:val="24"/>
        </w:rPr>
        <w:t xml:space="preserve"> </w:t>
      </w:r>
      <w:r>
        <w:rPr>
          <w:rFonts w:ascii="Arial MT" w:hAnsi="Arial MT"/>
          <w:sz w:val="24"/>
        </w:rPr>
        <w:t>uma</w:t>
      </w:r>
      <w:r>
        <w:rPr>
          <w:rFonts w:ascii="Arial MT" w:hAnsi="Arial MT"/>
          <w:spacing w:val="-4"/>
          <w:sz w:val="24"/>
        </w:rPr>
        <w:t xml:space="preserve"> </w:t>
      </w:r>
      <w:r>
        <w:rPr>
          <w:rFonts w:ascii="Arial MT" w:hAnsi="Arial MT"/>
          <w:sz w:val="24"/>
        </w:rPr>
        <w:t>redução</w:t>
      </w:r>
      <w:r>
        <w:rPr>
          <w:rFonts w:ascii="Arial MT" w:hAnsi="Arial MT"/>
          <w:spacing w:val="-4"/>
          <w:sz w:val="24"/>
        </w:rPr>
        <w:t xml:space="preserve"> </w:t>
      </w:r>
      <w:r>
        <w:rPr>
          <w:rFonts w:ascii="Arial MT" w:hAnsi="Arial MT"/>
          <w:sz w:val="24"/>
        </w:rPr>
        <w:t>de</w:t>
      </w:r>
      <w:r>
        <w:rPr>
          <w:rFonts w:ascii="Arial MT" w:hAnsi="Arial MT"/>
          <w:spacing w:val="-4"/>
          <w:sz w:val="24"/>
        </w:rPr>
        <w:t xml:space="preserve"> </w:t>
      </w:r>
      <w:r>
        <w:rPr>
          <w:rFonts w:ascii="Arial MT" w:hAnsi="Arial MT"/>
          <w:sz w:val="24"/>
        </w:rPr>
        <w:t>6,1%</w:t>
      </w:r>
      <w:r>
        <w:rPr>
          <w:rFonts w:ascii="Arial MT" w:hAnsi="Arial MT"/>
          <w:spacing w:val="-4"/>
          <w:sz w:val="24"/>
        </w:rPr>
        <w:t xml:space="preserve"> </w:t>
      </w:r>
      <w:r>
        <w:rPr>
          <w:rFonts w:ascii="Arial MT" w:hAnsi="Arial MT"/>
          <w:sz w:val="24"/>
        </w:rPr>
        <w:t>em</w:t>
      </w:r>
      <w:r>
        <w:rPr>
          <w:rFonts w:ascii="Arial MT" w:hAnsi="Arial MT"/>
          <w:spacing w:val="-3"/>
          <w:sz w:val="24"/>
        </w:rPr>
        <w:t xml:space="preserve"> </w:t>
      </w:r>
      <w:r>
        <w:rPr>
          <w:rFonts w:ascii="Arial MT" w:hAnsi="Arial MT"/>
          <w:sz w:val="24"/>
        </w:rPr>
        <w:t>comparação</w:t>
      </w:r>
      <w:r>
        <w:rPr>
          <w:rFonts w:ascii="Arial MT" w:hAnsi="Arial MT"/>
          <w:spacing w:val="-4"/>
          <w:sz w:val="24"/>
        </w:rPr>
        <w:t xml:space="preserve"> </w:t>
      </w:r>
      <w:r>
        <w:rPr>
          <w:rFonts w:ascii="Arial MT" w:hAnsi="Arial MT"/>
          <w:sz w:val="24"/>
        </w:rPr>
        <w:t>a</w:t>
      </w:r>
      <w:r>
        <w:rPr>
          <w:rFonts w:ascii="Arial MT" w:hAnsi="Arial MT"/>
          <w:spacing w:val="-6"/>
          <w:sz w:val="24"/>
        </w:rPr>
        <w:t xml:space="preserve"> </w:t>
      </w:r>
      <w:r>
        <w:rPr>
          <w:rFonts w:ascii="Arial MT" w:hAnsi="Arial MT"/>
          <w:sz w:val="24"/>
        </w:rPr>
        <w:t>2024</w:t>
      </w:r>
      <w:r>
        <w:rPr>
          <w:rFonts w:ascii="Arial MT" w:hAnsi="Arial MT"/>
          <w:spacing w:val="-4"/>
          <w:sz w:val="24"/>
        </w:rPr>
        <w:t xml:space="preserve"> </w:t>
      </w:r>
      <w:r>
        <w:rPr>
          <w:rFonts w:ascii="Arial MT" w:hAnsi="Arial MT"/>
          <w:sz w:val="24"/>
        </w:rPr>
        <w:t>e</w:t>
      </w:r>
      <w:r>
        <w:rPr>
          <w:rFonts w:ascii="Arial MT" w:hAnsi="Arial MT"/>
          <w:spacing w:val="-4"/>
          <w:sz w:val="24"/>
        </w:rPr>
        <w:t xml:space="preserve"> </w:t>
      </w:r>
      <w:r>
        <w:rPr>
          <w:rFonts w:ascii="Arial MT" w:hAnsi="Arial MT"/>
          <w:sz w:val="24"/>
        </w:rPr>
        <w:t>de</w:t>
      </w:r>
      <w:r>
        <w:rPr>
          <w:rFonts w:ascii="Arial MT" w:hAnsi="Arial MT"/>
          <w:spacing w:val="-6"/>
          <w:sz w:val="24"/>
        </w:rPr>
        <w:t xml:space="preserve"> </w:t>
      </w:r>
      <w:r>
        <w:rPr>
          <w:rFonts w:ascii="Arial MT" w:hAnsi="Arial MT"/>
          <w:sz w:val="24"/>
        </w:rPr>
        <w:t>55,0%</w:t>
      </w:r>
      <w:r>
        <w:rPr>
          <w:rFonts w:ascii="Arial MT" w:hAnsi="Arial MT"/>
          <w:spacing w:val="-4"/>
          <w:sz w:val="24"/>
        </w:rPr>
        <w:t xml:space="preserve"> </w:t>
      </w:r>
      <w:r>
        <w:rPr>
          <w:rFonts w:ascii="Arial MT" w:hAnsi="Arial MT"/>
          <w:sz w:val="24"/>
        </w:rPr>
        <w:t>em</w:t>
      </w:r>
      <w:r>
        <w:rPr>
          <w:rFonts w:ascii="Arial MT" w:hAnsi="Arial MT"/>
          <w:spacing w:val="-3"/>
          <w:sz w:val="24"/>
        </w:rPr>
        <w:t xml:space="preserve"> </w:t>
      </w:r>
      <w:r>
        <w:rPr>
          <w:rFonts w:ascii="Arial MT" w:hAnsi="Arial MT"/>
          <w:sz w:val="24"/>
        </w:rPr>
        <w:t>relação</w:t>
      </w:r>
      <w:r>
        <w:rPr>
          <w:rFonts w:ascii="Arial MT" w:hAnsi="Arial MT"/>
          <w:spacing w:val="-6"/>
          <w:sz w:val="24"/>
        </w:rPr>
        <w:t xml:space="preserve"> </w:t>
      </w:r>
      <w:r>
        <w:rPr>
          <w:rFonts w:ascii="Arial MT" w:hAnsi="Arial MT"/>
          <w:sz w:val="24"/>
        </w:rPr>
        <w:t>a 2023.</w:t>
      </w:r>
      <w:r>
        <w:rPr>
          <w:rFonts w:ascii="Arial MT" w:hAnsi="Arial MT"/>
          <w:spacing w:val="-14"/>
          <w:sz w:val="24"/>
        </w:rPr>
        <w:t xml:space="preserve"> </w:t>
      </w:r>
      <w:r>
        <w:rPr>
          <w:rFonts w:ascii="Arial MT" w:hAnsi="Arial MT"/>
          <w:sz w:val="24"/>
        </w:rPr>
        <w:t>A</w:t>
      </w:r>
      <w:r>
        <w:rPr>
          <w:rFonts w:ascii="Arial MT" w:hAnsi="Arial MT"/>
          <w:spacing w:val="-14"/>
          <w:sz w:val="24"/>
        </w:rPr>
        <w:t xml:space="preserve"> </w:t>
      </w:r>
      <w:r>
        <w:rPr>
          <w:rFonts w:ascii="Arial MT" w:hAnsi="Arial MT"/>
          <w:sz w:val="24"/>
        </w:rPr>
        <w:t>retração</w:t>
      </w:r>
      <w:r>
        <w:rPr>
          <w:rFonts w:ascii="Arial MT" w:hAnsi="Arial MT"/>
          <w:spacing w:val="-16"/>
          <w:sz w:val="24"/>
        </w:rPr>
        <w:t xml:space="preserve"> </w:t>
      </w:r>
      <w:r>
        <w:rPr>
          <w:rFonts w:ascii="Arial MT" w:hAnsi="Arial MT"/>
          <w:sz w:val="24"/>
        </w:rPr>
        <w:t>observada</w:t>
      </w:r>
      <w:r>
        <w:rPr>
          <w:rFonts w:ascii="Arial MT" w:hAnsi="Arial MT"/>
          <w:spacing w:val="-17"/>
          <w:sz w:val="24"/>
        </w:rPr>
        <w:t xml:space="preserve"> </w:t>
      </w:r>
      <w:r>
        <w:rPr>
          <w:rFonts w:ascii="Arial MT" w:hAnsi="Arial MT"/>
          <w:sz w:val="24"/>
        </w:rPr>
        <w:t>decorre,</w:t>
      </w:r>
      <w:r>
        <w:rPr>
          <w:rFonts w:ascii="Arial MT" w:hAnsi="Arial MT"/>
          <w:spacing w:val="-17"/>
          <w:sz w:val="24"/>
        </w:rPr>
        <w:t xml:space="preserve"> </w:t>
      </w:r>
      <w:r>
        <w:rPr>
          <w:rFonts w:ascii="Arial MT" w:hAnsi="Arial MT"/>
          <w:sz w:val="24"/>
        </w:rPr>
        <w:t>principalmente,</w:t>
      </w:r>
      <w:r>
        <w:rPr>
          <w:rFonts w:ascii="Arial MT" w:hAnsi="Arial MT"/>
          <w:spacing w:val="-16"/>
          <w:sz w:val="24"/>
        </w:rPr>
        <w:t xml:space="preserve"> </w:t>
      </w:r>
      <w:r>
        <w:rPr>
          <w:rFonts w:ascii="Arial MT" w:hAnsi="Arial MT"/>
          <w:sz w:val="24"/>
        </w:rPr>
        <w:t>das</w:t>
      </w:r>
      <w:r>
        <w:rPr>
          <w:rFonts w:ascii="Arial MT" w:hAnsi="Arial MT"/>
          <w:spacing w:val="-15"/>
          <w:sz w:val="24"/>
        </w:rPr>
        <w:t xml:space="preserve"> </w:t>
      </w:r>
      <w:r>
        <w:rPr>
          <w:rFonts w:ascii="Arial MT" w:hAnsi="Arial MT"/>
          <w:sz w:val="24"/>
        </w:rPr>
        <w:t>restrições</w:t>
      </w:r>
      <w:r>
        <w:rPr>
          <w:rFonts w:ascii="Arial MT" w:hAnsi="Arial MT"/>
          <w:spacing w:val="-17"/>
          <w:sz w:val="24"/>
        </w:rPr>
        <w:t xml:space="preserve"> </w:t>
      </w:r>
      <w:r>
        <w:rPr>
          <w:rFonts w:ascii="Arial MT" w:hAnsi="Arial MT"/>
          <w:sz w:val="24"/>
        </w:rPr>
        <w:t>orçamentárias</w:t>
      </w:r>
      <w:r>
        <w:rPr>
          <w:rFonts w:ascii="Arial MT" w:hAnsi="Arial MT"/>
          <w:spacing w:val="-15"/>
          <w:sz w:val="24"/>
        </w:rPr>
        <w:t xml:space="preserve"> </w:t>
      </w:r>
      <w:r>
        <w:rPr>
          <w:rFonts w:ascii="Arial MT" w:hAnsi="Arial MT"/>
          <w:sz w:val="24"/>
        </w:rPr>
        <w:t>enfrentadas</w:t>
      </w:r>
      <w:r>
        <w:rPr>
          <w:rFonts w:ascii="Arial MT" w:hAnsi="Arial MT"/>
          <w:spacing w:val="-15"/>
          <w:sz w:val="24"/>
        </w:rPr>
        <w:t xml:space="preserve"> </w:t>
      </w:r>
      <w:r>
        <w:rPr>
          <w:rFonts w:ascii="Arial MT" w:hAnsi="Arial MT"/>
          <w:sz w:val="24"/>
        </w:rPr>
        <w:t>pela Empresa nos dois últimos exercícios.</w:t>
      </w:r>
    </w:p>
    <w:p w14:paraId="481BCBF0" w14:textId="77777777" w:rsidR="002C6574" w:rsidRDefault="002C6574">
      <w:pPr>
        <w:jc w:val="both"/>
        <w:rPr>
          <w:rFonts w:ascii="Arial MT" w:hAnsi="Arial MT"/>
          <w:sz w:val="24"/>
        </w:rPr>
        <w:sectPr w:rsidR="002C6574">
          <w:pgSz w:w="11910" w:h="16840"/>
          <w:pgMar w:top="2200" w:right="425" w:bottom="1220" w:left="425" w:header="1197" w:footer="994" w:gutter="0"/>
          <w:cols w:space="720"/>
        </w:sectPr>
      </w:pPr>
    </w:p>
    <w:p w14:paraId="6D6B829D" w14:textId="77777777" w:rsidR="002C6574" w:rsidRDefault="00000000">
      <w:pPr>
        <w:pStyle w:val="Corpodetexto"/>
        <w:spacing w:before="57"/>
        <w:rPr>
          <w:rFonts w:ascii="Arial MT"/>
          <w:sz w:val="19"/>
        </w:rPr>
      </w:pPr>
      <w:r>
        <w:rPr>
          <w:rFonts w:ascii="Arial MT"/>
          <w:noProof/>
          <w:sz w:val="19"/>
        </w:rPr>
        <w:lastRenderedPageBreak/>
        <mc:AlternateContent>
          <mc:Choice Requires="wpg">
            <w:drawing>
              <wp:anchor distT="0" distB="0" distL="0" distR="0" simplePos="0" relativeHeight="15785984" behindDoc="0" locked="0" layoutInCell="1" allowOverlap="1" wp14:anchorId="6232C3C2" wp14:editId="508CC749">
                <wp:simplePos x="0" y="0"/>
                <wp:positionH relativeFrom="page">
                  <wp:posOffset>443483</wp:posOffset>
                </wp:positionH>
                <wp:positionV relativeFrom="page">
                  <wp:posOffset>1394459</wp:posOffset>
                </wp:positionV>
                <wp:extent cx="6922134" cy="105410"/>
                <wp:effectExtent l="0" t="0" r="0" b="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134" cy="105410"/>
                          <a:chOff x="0" y="0"/>
                          <a:chExt cx="6922134" cy="105410"/>
                        </a:xfrm>
                      </wpg:grpSpPr>
                      <pic:pic xmlns:pic="http://schemas.openxmlformats.org/drawingml/2006/picture">
                        <pic:nvPicPr>
                          <pic:cNvPr id="506" name="Image 506"/>
                          <pic:cNvPicPr/>
                        </pic:nvPicPr>
                        <pic:blipFill>
                          <a:blip r:embed="rId213" cstate="print"/>
                          <a:stretch>
                            <a:fillRect/>
                          </a:stretch>
                        </pic:blipFill>
                        <pic:spPr>
                          <a:xfrm>
                            <a:off x="0" y="0"/>
                            <a:ext cx="6922008" cy="105155"/>
                          </a:xfrm>
                          <a:prstGeom prst="rect">
                            <a:avLst/>
                          </a:prstGeom>
                        </pic:spPr>
                      </pic:pic>
                      <wps:wsp>
                        <wps:cNvPr id="507" name="Graphic 507"/>
                        <wps:cNvSpPr/>
                        <wps:spPr>
                          <a:xfrm>
                            <a:off x="42290" y="34925"/>
                            <a:ext cx="6829425" cy="1270"/>
                          </a:xfrm>
                          <a:custGeom>
                            <a:avLst/>
                            <a:gdLst/>
                            <a:ahLst/>
                            <a:cxnLst/>
                            <a:rect l="l" t="t" r="r" b="b"/>
                            <a:pathLst>
                              <a:path w="6829425">
                                <a:moveTo>
                                  <a:pt x="0" y="0"/>
                                </a:moveTo>
                                <a:lnTo>
                                  <a:pt x="6829425" y="0"/>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38A6C656" id="Group 505" o:spid="_x0000_s1026" style="position:absolute;margin-left:34.9pt;margin-top:109.8pt;width:545.05pt;height:8.3pt;z-index:15785984;mso-wrap-distance-left:0;mso-wrap-distance-right:0;mso-position-horizontal-relative:page;mso-position-vertical-relative:page" coordsize="69221,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">
                <v:shape id="Image 506" o:spid="_x0000_s1027" type="#_x0000_t75" style="position:absolute;width:692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">
                  <v:imagedata r:id="rId214" o:title=""/>
                </v:shape>
                <v:shape id="Graphic 507" o:spid="_x0000_s1028" style="position:absolute;left:422;top:349;width:68295;height:12;visibility:visible;mso-wrap-style:square;v-text-anchor:top" coordsize="682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" path="m,l6829425,e" filled="f" strokecolor="blue" strokeweight="2pt">
                  <v:path arrowok="t"/>
                </v:shape>
                <w10:wrap anchorx="page" anchory="page"/>
              </v:group>
            </w:pict>
          </mc:Fallback>
        </mc:AlternateContent>
      </w:r>
    </w:p>
    <w:p w14:paraId="507EA55D" w14:textId="77777777" w:rsidR="002C6574" w:rsidRDefault="00000000">
      <w:pPr>
        <w:pStyle w:val="Ttulo8"/>
        <w:rPr>
          <w:rFonts w:ascii="Arial" w:hAnsi="Arial"/>
        </w:rPr>
      </w:pPr>
      <w:r>
        <w:rPr>
          <w:rFonts w:ascii="Arial" w:hAnsi="Arial"/>
          <w:smallCaps/>
          <w:u w:val="single"/>
        </w:rPr>
        <w:t>Demonstração</w:t>
      </w:r>
      <w:r>
        <w:rPr>
          <w:rFonts w:ascii="Arial" w:hAnsi="Arial"/>
          <w:smallCaps/>
          <w:spacing w:val="-9"/>
          <w:u w:val="single"/>
        </w:rPr>
        <w:t xml:space="preserve"> </w:t>
      </w:r>
      <w:r>
        <w:rPr>
          <w:rFonts w:ascii="Arial" w:hAnsi="Arial"/>
          <w:smallCaps/>
          <w:u w:val="single"/>
        </w:rPr>
        <w:t>do</w:t>
      </w:r>
      <w:r>
        <w:rPr>
          <w:rFonts w:ascii="Arial" w:hAnsi="Arial"/>
          <w:smallCaps/>
          <w:spacing w:val="-9"/>
          <w:u w:val="single"/>
        </w:rPr>
        <w:t xml:space="preserve"> </w:t>
      </w:r>
      <w:r>
        <w:rPr>
          <w:rFonts w:ascii="Arial" w:hAnsi="Arial"/>
          <w:smallCaps/>
          <w:u w:val="single"/>
        </w:rPr>
        <w:t>Resultado</w:t>
      </w:r>
      <w:r>
        <w:rPr>
          <w:rFonts w:ascii="Arial" w:hAnsi="Arial"/>
          <w:smallCaps/>
          <w:spacing w:val="-9"/>
          <w:u w:val="single"/>
        </w:rPr>
        <w:t xml:space="preserve"> </w:t>
      </w:r>
      <w:r>
        <w:rPr>
          <w:rFonts w:ascii="Arial" w:hAnsi="Arial"/>
          <w:smallCaps/>
          <w:u w:val="single"/>
        </w:rPr>
        <w:t>do</w:t>
      </w:r>
      <w:r>
        <w:rPr>
          <w:rFonts w:ascii="Arial" w:hAnsi="Arial"/>
          <w:smallCaps/>
          <w:spacing w:val="-8"/>
          <w:u w:val="single"/>
        </w:rPr>
        <w:t xml:space="preserve"> </w:t>
      </w:r>
      <w:r>
        <w:rPr>
          <w:rFonts w:ascii="Arial" w:hAnsi="Arial"/>
          <w:smallCaps/>
          <w:spacing w:val="-2"/>
          <w:u w:val="single"/>
        </w:rPr>
        <w:t>Exercício</w:t>
      </w:r>
    </w:p>
    <w:p w14:paraId="259AC305" w14:textId="77777777" w:rsidR="002C6574" w:rsidRDefault="002C6574">
      <w:pPr>
        <w:pStyle w:val="Corpodetexto"/>
        <w:rPr>
          <w:rFonts w:ascii="Arial"/>
          <w:b/>
          <w:sz w:val="16"/>
        </w:rPr>
      </w:pPr>
    </w:p>
    <w:p w14:paraId="3D384F50" w14:textId="77777777" w:rsidR="002C6574" w:rsidRDefault="002C6574">
      <w:pPr>
        <w:pStyle w:val="Corpodetexto"/>
        <w:rPr>
          <w:rFonts w:ascii="Arial"/>
          <w:b/>
          <w:sz w:val="16"/>
        </w:rPr>
      </w:pPr>
    </w:p>
    <w:p w14:paraId="34478841" w14:textId="77777777" w:rsidR="002C6574" w:rsidRDefault="002C6574">
      <w:pPr>
        <w:pStyle w:val="Corpodetexto"/>
        <w:spacing w:before="22"/>
        <w:rPr>
          <w:rFonts w:ascii="Arial"/>
          <w:b/>
          <w:sz w:val="16"/>
        </w:rPr>
      </w:pPr>
    </w:p>
    <w:p w14:paraId="3742F770" w14:textId="77777777" w:rsidR="002C6574" w:rsidRDefault="00000000">
      <w:pPr>
        <w:spacing w:before="1"/>
        <w:ind w:left="6774"/>
        <w:rPr>
          <w:rFonts w:ascii="Arial"/>
          <w:b/>
          <w:sz w:val="16"/>
        </w:rPr>
      </w:pPr>
      <w:r>
        <w:rPr>
          <w:rFonts w:ascii="Arial"/>
          <w:b/>
          <w:noProof/>
          <w:sz w:val="16"/>
        </w:rPr>
        <mc:AlternateContent>
          <mc:Choice Requires="wps">
            <w:drawing>
              <wp:anchor distT="0" distB="0" distL="0" distR="0" simplePos="0" relativeHeight="487644672" behindDoc="1" locked="0" layoutInCell="1" allowOverlap="1" wp14:anchorId="43C6253E" wp14:editId="238FA0AE">
                <wp:simplePos x="0" y="0"/>
                <wp:positionH relativeFrom="page">
                  <wp:posOffset>3927983</wp:posOffset>
                </wp:positionH>
                <wp:positionV relativeFrom="paragraph">
                  <wp:posOffset>130904</wp:posOffset>
                </wp:positionV>
                <wp:extent cx="1809750" cy="12700"/>
                <wp:effectExtent l="0" t="0" r="0" b="0"/>
                <wp:wrapTopAndBottom/>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12700"/>
                        </a:xfrm>
                        <a:custGeom>
                          <a:avLst/>
                          <a:gdLst/>
                          <a:ahLst/>
                          <a:cxnLst/>
                          <a:rect l="l" t="t" r="r" b="b"/>
                          <a:pathLst>
                            <a:path w="1809750" h="12700">
                              <a:moveTo>
                                <a:pt x="558025" y="0"/>
                              </a:moveTo>
                              <a:lnTo>
                                <a:pt x="545896" y="0"/>
                              </a:lnTo>
                              <a:lnTo>
                                <a:pt x="0" y="0"/>
                              </a:lnTo>
                              <a:lnTo>
                                <a:pt x="0" y="12179"/>
                              </a:lnTo>
                              <a:lnTo>
                                <a:pt x="545846" y="12179"/>
                              </a:lnTo>
                              <a:lnTo>
                                <a:pt x="558025" y="12179"/>
                              </a:lnTo>
                              <a:lnTo>
                                <a:pt x="558025" y="0"/>
                              </a:lnTo>
                              <a:close/>
                            </a:path>
                            <a:path w="1809750" h="12700">
                              <a:moveTo>
                                <a:pt x="1184389" y="0"/>
                              </a:moveTo>
                              <a:lnTo>
                                <a:pt x="1172210" y="0"/>
                              </a:lnTo>
                              <a:lnTo>
                                <a:pt x="558038" y="0"/>
                              </a:lnTo>
                              <a:lnTo>
                                <a:pt x="558038" y="12179"/>
                              </a:lnTo>
                              <a:lnTo>
                                <a:pt x="1172210" y="12179"/>
                              </a:lnTo>
                              <a:lnTo>
                                <a:pt x="1184389" y="12179"/>
                              </a:lnTo>
                              <a:lnTo>
                                <a:pt x="1184389" y="0"/>
                              </a:lnTo>
                              <a:close/>
                            </a:path>
                            <a:path w="1809750" h="12700">
                              <a:moveTo>
                                <a:pt x="1809546" y="0"/>
                              </a:moveTo>
                              <a:lnTo>
                                <a:pt x="1184402" y="0"/>
                              </a:lnTo>
                              <a:lnTo>
                                <a:pt x="1184402" y="12179"/>
                              </a:lnTo>
                              <a:lnTo>
                                <a:pt x="1809546" y="12179"/>
                              </a:lnTo>
                              <a:lnTo>
                                <a:pt x="18095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D4D0E3" id="Graphic 508" o:spid="_x0000_s1026" style="position:absolute;margin-left:309.3pt;margin-top:10.3pt;width:142.5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180975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" path="m558025,l545896,,,,,12179r545846,l558025,12179,558025,xem1184389,r-12179,l558038,r,12179l1172210,12179r12179,l1184389,xem1809546,l1184402,r,12179l1809546,12179r,-12179xe" fillcolor="black" stroked="f">
                <v:path arrowok="t"/>
                <w10:wrap type="topAndBottom" anchorx="page"/>
              </v:shape>
            </w:pict>
          </mc:Fallback>
        </mc:AlternateContent>
      </w:r>
      <w:r>
        <w:rPr>
          <w:rFonts w:ascii="Arial"/>
          <w:b/>
          <w:spacing w:val="-2"/>
          <w:sz w:val="16"/>
        </w:rPr>
        <w:t>Trimestres</w:t>
      </w:r>
    </w:p>
    <w:p w14:paraId="1F1B44A7" w14:textId="77777777" w:rsidR="002C6574" w:rsidRDefault="002C6574">
      <w:pPr>
        <w:pStyle w:val="Corpodetexto"/>
        <w:spacing w:before="6"/>
        <w:rPr>
          <w:rFonts w:ascii="Arial"/>
          <w:b/>
          <w:sz w:val="3"/>
        </w:rPr>
      </w:pPr>
    </w:p>
    <w:tbl>
      <w:tblPr>
        <w:tblStyle w:val="TableNormal"/>
        <w:tblW w:w="0" w:type="auto"/>
        <w:tblInd w:w="434" w:type="dxa"/>
        <w:tblBorders>
          <w:top w:val="single" w:sz="4" w:space="0" w:color="3616F6"/>
          <w:left w:val="single" w:sz="4" w:space="0" w:color="3616F6"/>
          <w:bottom w:val="single" w:sz="4" w:space="0" w:color="3616F6"/>
          <w:right w:val="single" w:sz="4" w:space="0" w:color="3616F6"/>
          <w:insideH w:val="single" w:sz="4" w:space="0" w:color="3616F6"/>
          <w:insideV w:val="single" w:sz="4" w:space="0" w:color="3616F6"/>
        </w:tblBorders>
        <w:tblLayout w:type="fixed"/>
        <w:tblLook w:val="01E0" w:firstRow="1" w:lastRow="1" w:firstColumn="1" w:lastColumn="1" w:noHBand="0" w:noVBand="0"/>
      </w:tblPr>
      <w:tblGrid>
        <w:gridCol w:w="5334"/>
        <w:gridCol w:w="860"/>
        <w:gridCol w:w="987"/>
        <w:gridCol w:w="1004"/>
        <w:gridCol w:w="185"/>
        <w:gridCol w:w="1030"/>
        <w:gridCol w:w="1093"/>
      </w:tblGrid>
      <w:tr w:rsidR="002C6574" w14:paraId="2205BC5B" w14:textId="77777777">
        <w:trPr>
          <w:trHeight w:val="227"/>
        </w:trPr>
        <w:tc>
          <w:tcPr>
            <w:tcW w:w="5334" w:type="dxa"/>
            <w:tcBorders>
              <w:left w:val="nil"/>
              <w:right w:val="nil"/>
            </w:tcBorders>
            <w:shd w:val="clear" w:color="auto" w:fill="0000FF"/>
          </w:tcPr>
          <w:p w14:paraId="742580A6" w14:textId="77777777" w:rsidR="002C6574" w:rsidRDefault="00000000">
            <w:pPr>
              <w:pStyle w:val="TableParagraph"/>
              <w:spacing w:before="22"/>
              <w:ind w:left="69"/>
              <w:jc w:val="left"/>
              <w:rPr>
                <w:rFonts w:ascii="Arial"/>
                <w:b/>
                <w:sz w:val="16"/>
              </w:rPr>
            </w:pPr>
            <w:r>
              <w:rPr>
                <w:rFonts w:ascii="Arial"/>
                <w:b/>
                <w:color w:val="FFFFFF"/>
                <w:sz w:val="16"/>
              </w:rPr>
              <w:t>R$</w:t>
            </w:r>
            <w:r>
              <w:rPr>
                <w:rFonts w:ascii="Arial"/>
                <w:b/>
                <w:color w:val="FFFFFF"/>
                <w:spacing w:val="-1"/>
                <w:sz w:val="16"/>
              </w:rPr>
              <w:t xml:space="preserve"> </w:t>
            </w:r>
            <w:r>
              <w:rPr>
                <w:rFonts w:ascii="Arial"/>
                <w:b/>
                <w:color w:val="FFFFFF"/>
                <w:spacing w:val="-5"/>
                <w:sz w:val="16"/>
              </w:rPr>
              <w:t>mil</w:t>
            </w:r>
          </w:p>
        </w:tc>
        <w:tc>
          <w:tcPr>
            <w:tcW w:w="860" w:type="dxa"/>
            <w:tcBorders>
              <w:left w:val="nil"/>
              <w:right w:val="nil"/>
            </w:tcBorders>
            <w:shd w:val="clear" w:color="auto" w:fill="0000FF"/>
          </w:tcPr>
          <w:p w14:paraId="5DC5532B" w14:textId="77777777" w:rsidR="002C6574" w:rsidRDefault="00000000">
            <w:pPr>
              <w:pStyle w:val="TableParagraph"/>
              <w:spacing w:before="22"/>
              <w:ind w:left="245"/>
              <w:jc w:val="left"/>
              <w:rPr>
                <w:rFonts w:ascii="Arial"/>
                <w:b/>
                <w:sz w:val="16"/>
              </w:rPr>
            </w:pPr>
            <w:r>
              <w:rPr>
                <w:rFonts w:ascii="Arial"/>
                <w:b/>
                <w:color w:val="FFFFFF"/>
                <w:spacing w:val="-4"/>
                <w:sz w:val="16"/>
              </w:rPr>
              <w:t>4T25</w:t>
            </w:r>
          </w:p>
        </w:tc>
        <w:tc>
          <w:tcPr>
            <w:tcW w:w="987" w:type="dxa"/>
            <w:tcBorders>
              <w:left w:val="nil"/>
              <w:right w:val="nil"/>
            </w:tcBorders>
            <w:shd w:val="clear" w:color="auto" w:fill="0000FF"/>
          </w:tcPr>
          <w:p w14:paraId="761483FE" w14:textId="77777777" w:rsidR="002C6574" w:rsidRDefault="00000000">
            <w:pPr>
              <w:pStyle w:val="TableParagraph"/>
              <w:spacing w:before="22"/>
              <w:ind w:left="308"/>
              <w:jc w:val="left"/>
              <w:rPr>
                <w:rFonts w:ascii="Arial"/>
                <w:b/>
                <w:sz w:val="16"/>
              </w:rPr>
            </w:pPr>
            <w:r>
              <w:rPr>
                <w:rFonts w:ascii="Arial"/>
                <w:b/>
                <w:color w:val="FFFFFF"/>
                <w:spacing w:val="-4"/>
                <w:sz w:val="16"/>
              </w:rPr>
              <w:t>4T24</w:t>
            </w:r>
          </w:p>
        </w:tc>
        <w:tc>
          <w:tcPr>
            <w:tcW w:w="1004" w:type="dxa"/>
            <w:tcBorders>
              <w:left w:val="nil"/>
              <w:right w:val="nil"/>
            </w:tcBorders>
            <w:shd w:val="clear" w:color="auto" w:fill="0000FF"/>
          </w:tcPr>
          <w:p w14:paraId="0C188C48" w14:textId="77777777" w:rsidR="002C6574" w:rsidRDefault="00000000">
            <w:pPr>
              <w:pStyle w:val="TableParagraph"/>
              <w:spacing w:before="22"/>
              <w:ind w:left="317"/>
              <w:jc w:val="left"/>
              <w:rPr>
                <w:rFonts w:ascii="Arial"/>
                <w:b/>
                <w:sz w:val="16"/>
              </w:rPr>
            </w:pPr>
            <w:r>
              <w:rPr>
                <w:rFonts w:ascii="Arial"/>
                <w:b/>
                <w:color w:val="FFFFFF"/>
                <w:spacing w:val="-4"/>
                <w:sz w:val="16"/>
              </w:rPr>
              <w:t>3T25</w:t>
            </w:r>
          </w:p>
        </w:tc>
        <w:tc>
          <w:tcPr>
            <w:tcW w:w="185" w:type="dxa"/>
            <w:tcBorders>
              <w:top w:val="nil"/>
              <w:left w:val="nil"/>
              <w:bottom w:val="nil"/>
              <w:right w:val="nil"/>
            </w:tcBorders>
            <w:shd w:val="clear" w:color="auto" w:fill="0000FF"/>
          </w:tcPr>
          <w:p w14:paraId="24CA53F0" w14:textId="77777777" w:rsidR="002C6574" w:rsidRDefault="002C6574">
            <w:pPr>
              <w:pStyle w:val="TableParagraph"/>
              <w:jc w:val="left"/>
              <w:rPr>
                <w:rFonts w:ascii="Times New Roman"/>
                <w:sz w:val="16"/>
              </w:rPr>
            </w:pPr>
          </w:p>
        </w:tc>
        <w:tc>
          <w:tcPr>
            <w:tcW w:w="1030" w:type="dxa"/>
            <w:tcBorders>
              <w:left w:val="nil"/>
              <w:right w:val="nil"/>
            </w:tcBorders>
            <w:shd w:val="clear" w:color="auto" w:fill="0000FF"/>
          </w:tcPr>
          <w:p w14:paraId="0102F75B" w14:textId="77777777" w:rsidR="002C6574" w:rsidRDefault="00000000">
            <w:pPr>
              <w:pStyle w:val="TableParagraph"/>
              <w:spacing w:before="22"/>
              <w:ind w:left="334"/>
              <w:jc w:val="left"/>
              <w:rPr>
                <w:rFonts w:ascii="Arial"/>
                <w:b/>
                <w:sz w:val="16"/>
              </w:rPr>
            </w:pPr>
            <w:r>
              <w:rPr>
                <w:rFonts w:ascii="Arial"/>
                <w:b/>
                <w:color w:val="FFFFFF"/>
                <w:spacing w:val="-4"/>
                <w:sz w:val="16"/>
              </w:rPr>
              <w:t>2025</w:t>
            </w:r>
          </w:p>
        </w:tc>
        <w:tc>
          <w:tcPr>
            <w:tcW w:w="1093" w:type="dxa"/>
            <w:tcBorders>
              <w:left w:val="nil"/>
              <w:right w:val="nil"/>
            </w:tcBorders>
            <w:shd w:val="clear" w:color="auto" w:fill="0000FF"/>
          </w:tcPr>
          <w:p w14:paraId="69D81760" w14:textId="77777777" w:rsidR="002C6574" w:rsidRDefault="00000000">
            <w:pPr>
              <w:pStyle w:val="TableParagraph"/>
              <w:spacing w:before="22"/>
              <w:ind w:right="5"/>
              <w:jc w:val="center"/>
              <w:rPr>
                <w:rFonts w:ascii="Arial"/>
                <w:b/>
                <w:sz w:val="16"/>
              </w:rPr>
            </w:pPr>
            <w:r>
              <w:rPr>
                <w:rFonts w:ascii="Arial"/>
                <w:b/>
                <w:color w:val="FFFFFF"/>
                <w:spacing w:val="-4"/>
                <w:sz w:val="16"/>
              </w:rPr>
              <w:t>2024</w:t>
            </w:r>
          </w:p>
        </w:tc>
      </w:tr>
      <w:tr w:rsidR="002C6574" w14:paraId="5901E2E3" w14:textId="77777777">
        <w:trPr>
          <w:trHeight w:val="225"/>
        </w:trPr>
        <w:tc>
          <w:tcPr>
            <w:tcW w:w="5334" w:type="dxa"/>
            <w:tcBorders>
              <w:left w:val="nil"/>
            </w:tcBorders>
          </w:tcPr>
          <w:p w14:paraId="5117C560" w14:textId="77777777" w:rsidR="002C6574" w:rsidRDefault="00000000">
            <w:pPr>
              <w:pStyle w:val="TableParagraph"/>
              <w:spacing w:before="41" w:line="163" w:lineRule="exact"/>
              <w:ind w:left="69"/>
              <w:jc w:val="left"/>
              <w:rPr>
                <w:rFonts w:ascii="Arial"/>
                <w:b/>
                <w:sz w:val="16"/>
              </w:rPr>
            </w:pPr>
            <w:r>
              <w:rPr>
                <w:rFonts w:ascii="Arial"/>
                <w:b/>
                <w:sz w:val="16"/>
              </w:rPr>
              <w:t>RECEITA</w:t>
            </w:r>
            <w:r>
              <w:rPr>
                <w:rFonts w:ascii="Arial"/>
                <w:b/>
                <w:spacing w:val="-9"/>
                <w:sz w:val="16"/>
              </w:rPr>
              <w:t xml:space="preserve"> </w:t>
            </w:r>
            <w:r>
              <w:rPr>
                <w:rFonts w:ascii="Arial"/>
                <w:b/>
                <w:sz w:val="16"/>
              </w:rPr>
              <w:t>OPERACIONAL</w:t>
            </w:r>
            <w:r>
              <w:rPr>
                <w:rFonts w:ascii="Arial"/>
                <w:b/>
                <w:spacing w:val="-8"/>
                <w:sz w:val="16"/>
              </w:rPr>
              <w:t xml:space="preserve"> </w:t>
            </w:r>
            <w:r>
              <w:rPr>
                <w:rFonts w:ascii="Arial"/>
                <w:b/>
                <w:spacing w:val="-2"/>
                <w:sz w:val="16"/>
              </w:rPr>
              <w:t>BRUTA</w:t>
            </w:r>
          </w:p>
        </w:tc>
        <w:tc>
          <w:tcPr>
            <w:tcW w:w="860" w:type="dxa"/>
            <w:shd w:val="clear" w:color="auto" w:fill="66FFFF"/>
          </w:tcPr>
          <w:p w14:paraId="17FBD74F" w14:textId="77777777" w:rsidR="002C6574" w:rsidRDefault="00000000">
            <w:pPr>
              <w:pStyle w:val="TableParagraph"/>
              <w:spacing w:before="20"/>
              <w:ind w:right="65"/>
              <w:rPr>
                <w:rFonts w:ascii="Arial"/>
                <w:b/>
                <w:sz w:val="16"/>
              </w:rPr>
            </w:pPr>
            <w:r>
              <w:rPr>
                <w:rFonts w:ascii="Arial"/>
                <w:b/>
                <w:spacing w:val="-2"/>
                <w:sz w:val="16"/>
              </w:rPr>
              <w:t>176.271</w:t>
            </w:r>
          </w:p>
        </w:tc>
        <w:tc>
          <w:tcPr>
            <w:tcW w:w="987" w:type="dxa"/>
          </w:tcPr>
          <w:p w14:paraId="337FA69A" w14:textId="77777777" w:rsidR="002C6574" w:rsidRDefault="00000000">
            <w:pPr>
              <w:pStyle w:val="TableParagraph"/>
              <w:spacing w:before="41" w:line="163" w:lineRule="exact"/>
              <w:ind w:right="65"/>
              <w:rPr>
                <w:rFonts w:ascii="Arial"/>
                <w:b/>
                <w:sz w:val="16"/>
              </w:rPr>
            </w:pPr>
            <w:r>
              <w:rPr>
                <w:rFonts w:ascii="Arial"/>
                <w:b/>
                <w:spacing w:val="-2"/>
                <w:sz w:val="16"/>
              </w:rPr>
              <w:t>144.897</w:t>
            </w:r>
          </w:p>
        </w:tc>
        <w:tc>
          <w:tcPr>
            <w:tcW w:w="1004" w:type="dxa"/>
            <w:tcBorders>
              <w:right w:val="nil"/>
            </w:tcBorders>
          </w:tcPr>
          <w:p w14:paraId="43271E90" w14:textId="77777777" w:rsidR="002C6574" w:rsidRDefault="00000000">
            <w:pPr>
              <w:pStyle w:val="TableParagraph"/>
              <w:spacing w:before="41" w:line="163" w:lineRule="exact"/>
              <w:ind w:right="69"/>
              <w:rPr>
                <w:rFonts w:ascii="Arial"/>
                <w:b/>
                <w:sz w:val="16"/>
              </w:rPr>
            </w:pPr>
            <w:r>
              <w:rPr>
                <w:rFonts w:ascii="Arial"/>
                <w:b/>
                <w:spacing w:val="-2"/>
                <w:sz w:val="16"/>
              </w:rPr>
              <w:t>116.993</w:t>
            </w:r>
          </w:p>
        </w:tc>
        <w:tc>
          <w:tcPr>
            <w:tcW w:w="185" w:type="dxa"/>
            <w:vMerge w:val="restart"/>
            <w:tcBorders>
              <w:top w:val="nil"/>
              <w:left w:val="nil"/>
              <w:bottom w:val="nil"/>
              <w:right w:val="nil"/>
            </w:tcBorders>
          </w:tcPr>
          <w:p w14:paraId="4ECC5221" w14:textId="77777777" w:rsidR="002C6574" w:rsidRDefault="002C6574">
            <w:pPr>
              <w:pStyle w:val="TableParagraph"/>
              <w:jc w:val="left"/>
              <w:rPr>
                <w:rFonts w:ascii="Times New Roman"/>
                <w:sz w:val="16"/>
              </w:rPr>
            </w:pPr>
          </w:p>
        </w:tc>
        <w:tc>
          <w:tcPr>
            <w:tcW w:w="1030" w:type="dxa"/>
            <w:tcBorders>
              <w:left w:val="nil"/>
            </w:tcBorders>
          </w:tcPr>
          <w:p w14:paraId="0F779156" w14:textId="77777777" w:rsidR="002C6574" w:rsidRDefault="00000000">
            <w:pPr>
              <w:pStyle w:val="TableParagraph"/>
              <w:spacing w:before="41" w:line="163" w:lineRule="exact"/>
              <w:ind w:right="64"/>
              <w:rPr>
                <w:rFonts w:ascii="Arial"/>
                <w:b/>
                <w:sz w:val="16"/>
              </w:rPr>
            </w:pPr>
            <w:r>
              <w:rPr>
                <w:rFonts w:ascii="Arial"/>
                <w:b/>
                <w:spacing w:val="-2"/>
                <w:sz w:val="16"/>
              </w:rPr>
              <w:t>540.908</w:t>
            </w:r>
          </w:p>
        </w:tc>
        <w:tc>
          <w:tcPr>
            <w:tcW w:w="1093" w:type="dxa"/>
            <w:tcBorders>
              <w:right w:val="nil"/>
            </w:tcBorders>
          </w:tcPr>
          <w:p w14:paraId="790F3F72" w14:textId="77777777" w:rsidR="002C6574" w:rsidRDefault="00000000">
            <w:pPr>
              <w:pStyle w:val="TableParagraph"/>
              <w:spacing w:before="41" w:line="163" w:lineRule="exact"/>
              <w:ind w:right="70"/>
              <w:rPr>
                <w:rFonts w:ascii="Arial"/>
                <w:b/>
                <w:sz w:val="16"/>
              </w:rPr>
            </w:pPr>
            <w:r>
              <w:rPr>
                <w:rFonts w:ascii="Arial"/>
                <w:b/>
                <w:spacing w:val="-2"/>
                <w:sz w:val="16"/>
              </w:rPr>
              <w:t>462.391</w:t>
            </w:r>
          </w:p>
        </w:tc>
      </w:tr>
      <w:tr w:rsidR="002C6574" w14:paraId="54CECB58" w14:textId="77777777">
        <w:trPr>
          <w:trHeight w:val="241"/>
        </w:trPr>
        <w:tc>
          <w:tcPr>
            <w:tcW w:w="5334" w:type="dxa"/>
            <w:tcBorders>
              <w:left w:val="nil"/>
              <w:bottom w:val="nil"/>
            </w:tcBorders>
          </w:tcPr>
          <w:p w14:paraId="3869FCA7" w14:textId="77777777" w:rsidR="002C6574" w:rsidRDefault="00000000">
            <w:pPr>
              <w:pStyle w:val="TableParagraph"/>
              <w:spacing w:before="22"/>
              <w:ind w:left="160"/>
              <w:jc w:val="left"/>
              <w:rPr>
                <w:rFonts w:ascii="Arial MT" w:hAnsi="Arial MT"/>
                <w:sz w:val="16"/>
              </w:rPr>
            </w:pPr>
            <w:r>
              <w:rPr>
                <w:rFonts w:ascii="Arial MT" w:hAnsi="Arial MT"/>
                <w:sz w:val="16"/>
              </w:rPr>
              <w:t>Serviços</w:t>
            </w:r>
            <w:r>
              <w:rPr>
                <w:rFonts w:ascii="Arial MT" w:hAnsi="Arial MT"/>
                <w:spacing w:val="-9"/>
                <w:sz w:val="16"/>
              </w:rPr>
              <w:t xml:space="preserve"> </w:t>
            </w:r>
            <w:r>
              <w:rPr>
                <w:rFonts w:ascii="Arial MT" w:hAnsi="Arial MT"/>
                <w:sz w:val="16"/>
              </w:rPr>
              <w:t>de</w:t>
            </w:r>
            <w:r>
              <w:rPr>
                <w:rFonts w:ascii="Arial MT" w:hAnsi="Arial MT"/>
                <w:spacing w:val="-8"/>
                <w:sz w:val="16"/>
              </w:rPr>
              <w:t xml:space="preserve"> </w:t>
            </w:r>
            <w:r>
              <w:rPr>
                <w:rFonts w:ascii="Arial MT" w:hAnsi="Arial MT"/>
                <w:sz w:val="16"/>
              </w:rPr>
              <w:t>Comunicação</w:t>
            </w:r>
            <w:r>
              <w:rPr>
                <w:rFonts w:ascii="Arial MT" w:hAnsi="Arial MT"/>
                <w:spacing w:val="-7"/>
                <w:sz w:val="16"/>
              </w:rPr>
              <w:t xml:space="preserve"> </w:t>
            </w:r>
            <w:r>
              <w:rPr>
                <w:rFonts w:ascii="Arial MT" w:hAnsi="Arial MT"/>
                <w:spacing w:val="-2"/>
                <w:sz w:val="16"/>
              </w:rPr>
              <w:t>Multimídia</w:t>
            </w:r>
          </w:p>
        </w:tc>
        <w:tc>
          <w:tcPr>
            <w:tcW w:w="860" w:type="dxa"/>
            <w:tcBorders>
              <w:bottom w:val="nil"/>
            </w:tcBorders>
            <w:shd w:val="clear" w:color="auto" w:fill="66FFFF"/>
          </w:tcPr>
          <w:p w14:paraId="550E5282" w14:textId="77777777" w:rsidR="002C6574" w:rsidRDefault="00000000">
            <w:pPr>
              <w:pStyle w:val="TableParagraph"/>
              <w:spacing w:before="22"/>
              <w:ind w:right="65"/>
              <w:rPr>
                <w:rFonts w:ascii="Arial MT"/>
                <w:sz w:val="16"/>
              </w:rPr>
            </w:pPr>
            <w:r>
              <w:rPr>
                <w:rFonts w:ascii="Arial MT"/>
                <w:spacing w:val="-2"/>
                <w:sz w:val="16"/>
              </w:rPr>
              <w:t>146.109</w:t>
            </w:r>
          </w:p>
        </w:tc>
        <w:tc>
          <w:tcPr>
            <w:tcW w:w="987" w:type="dxa"/>
            <w:tcBorders>
              <w:bottom w:val="nil"/>
            </w:tcBorders>
          </w:tcPr>
          <w:p w14:paraId="218015C7" w14:textId="77777777" w:rsidR="002C6574" w:rsidRDefault="00000000">
            <w:pPr>
              <w:pStyle w:val="TableParagraph"/>
              <w:spacing w:before="44" w:line="178" w:lineRule="exact"/>
              <w:ind w:right="65"/>
              <w:rPr>
                <w:rFonts w:ascii="Arial MT"/>
                <w:sz w:val="16"/>
              </w:rPr>
            </w:pPr>
            <w:r>
              <w:rPr>
                <w:rFonts w:ascii="Arial MT"/>
                <w:spacing w:val="-2"/>
                <w:sz w:val="16"/>
              </w:rPr>
              <w:t>114.886</w:t>
            </w:r>
          </w:p>
        </w:tc>
        <w:tc>
          <w:tcPr>
            <w:tcW w:w="1004" w:type="dxa"/>
            <w:tcBorders>
              <w:bottom w:val="nil"/>
              <w:right w:val="nil"/>
            </w:tcBorders>
          </w:tcPr>
          <w:p w14:paraId="49D030E2" w14:textId="77777777" w:rsidR="002C6574" w:rsidRDefault="00000000">
            <w:pPr>
              <w:pStyle w:val="TableParagraph"/>
              <w:spacing w:before="44" w:line="178" w:lineRule="exact"/>
              <w:ind w:right="69"/>
              <w:rPr>
                <w:rFonts w:ascii="Arial MT"/>
                <w:sz w:val="16"/>
              </w:rPr>
            </w:pPr>
            <w:r>
              <w:rPr>
                <w:rFonts w:ascii="Arial MT"/>
                <w:spacing w:val="-2"/>
                <w:sz w:val="16"/>
              </w:rPr>
              <w:t>90.704</w:t>
            </w:r>
          </w:p>
        </w:tc>
        <w:tc>
          <w:tcPr>
            <w:tcW w:w="185" w:type="dxa"/>
            <w:vMerge/>
            <w:tcBorders>
              <w:top w:val="nil"/>
              <w:left w:val="nil"/>
              <w:bottom w:val="nil"/>
              <w:right w:val="nil"/>
            </w:tcBorders>
          </w:tcPr>
          <w:p w14:paraId="52F033C7" w14:textId="77777777" w:rsidR="002C6574" w:rsidRDefault="002C6574">
            <w:pPr>
              <w:rPr>
                <w:sz w:val="2"/>
                <w:szCs w:val="2"/>
              </w:rPr>
            </w:pPr>
          </w:p>
        </w:tc>
        <w:tc>
          <w:tcPr>
            <w:tcW w:w="1030" w:type="dxa"/>
            <w:tcBorders>
              <w:left w:val="nil"/>
              <w:bottom w:val="nil"/>
            </w:tcBorders>
          </w:tcPr>
          <w:p w14:paraId="63FF45CA" w14:textId="77777777" w:rsidR="002C6574" w:rsidRDefault="00000000">
            <w:pPr>
              <w:pStyle w:val="TableParagraph"/>
              <w:spacing w:before="44" w:line="178" w:lineRule="exact"/>
              <w:ind w:right="64"/>
              <w:rPr>
                <w:rFonts w:ascii="Arial MT"/>
                <w:sz w:val="16"/>
              </w:rPr>
            </w:pPr>
            <w:r>
              <w:rPr>
                <w:rFonts w:ascii="Arial MT"/>
                <w:spacing w:val="-2"/>
                <w:sz w:val="16"/>
              </w:rPr>
              <w:t>432.484</w:t>
            </w:r>
          </w:p>
        </w:tc>
        <w:tc>
          <w:tcPr>
            <w:tcW w:w="1093" w:type="dxa"/>
            <w:tcBorders>
              <w:bottom w:val="nil"/>
              <w:right w:val="nil"/>
            </w:tcBorders>
          </w:tcPr>
          <w:p w14:paraId="532530D2" w14:textId="77777777" w:rsidR="002C6574" w:rsidRDefault="00000000">
            <w:pPr>
              <w:pStyle w:val="TableParagraph"/>
              <w:spacing w:before="44" w:line="178" w:lineRule="exact"/>
              <w:ind w:right="70"/>
              <w:rPr>
                <w:rFonts w:ascii="Arial MT"/>
                <w:sz w:val="16"/>
              </w:rPr>
            </w:pPr>
            <w:r>
              <w:rPr>
                <w:rFonts w:ascii="Arial MT"/>
                <w:spacing w:val="-2"/>
                <w:sz w:val="16"/>
              </w:rPr>
              <w:t>355.951</w:t>
            </w:r>
          </w:p>
        </w:tc>
      </w:tr>
      <w:tr w:rsidR="002C6574" w14:paraId="68FA1C4F" w14:textId="77777777">
        <w:trPr>
          <w:trHeight w:val="227"/>
        </w:trPr>
        <w:tc>
          <w:tcPr>
            <w:tcW w:w="5334" w:type="dxa"/>
            <w:tcBorders>
              <w:top w:val="nil"/>
              <w:left w:val="nil"/>
              <w:bottom w:val="nil"/>
            </w:tcBorders>
          </w:tcPr>
          <w:p w14:paraId="1C5BCDC1" w14:textId="77777777" w:rsidR="002C6574" w:rsidRDefault="00000000">
            <w:pPr>
              <w:pStyle w:val="TableParagraph"/>
              <w:spacing w:before="9"/>
              <w:ind w:left="160"/>
              <w:jc w:val="left"/>
              <w:rPr>
                <w:rFonts w:ascii="Arial MT" w:hAnsi="Arial MT"/>
                <w:sz w:val="16"/>
              </w:rPr>
            </w:pPr>
            <w:r>
              <w:rPr>
                <w:rFonts w:ascii="Arial MT" w:hAnsi="Arial MT"/>
                <w:sz w:val="16"/>
              </w:rPr>
              <w:t>Locação</w:t>
            </w:r>
            <w:r>
              <w:rPr>
                <w:rFonts w:ascii="Arial MT" w:hAnsi="Arial MT"/>
                <w:spacing w:val="-6"/>
                <w:sz w:val="16"/>
              </w:rPr>
              <w:t xml:space="preserve"> </w:t>
            </w:r>
            <w:r>
              <w:rPr>
                <w:rFonts w:ascii="Arial MT" w:hAnsi="Arial MT"/>
                <w:sz w:val="16"/>
              </w:rPr>
              <w:t>de</w:t>
            </w:r>
            <w:r>
              <w:rPr>
                <w:rFonts w:ascii="Arial MT" w:hAnsi="Arial MT"/>
                <w:spacing w:val="-8"/>
                <w:sz w:val="16"/>
              </w:rPr>
              <w:t xml:space="preserve"> </w:t>
            </w:r>
            <w:r>
              <w:rPr>
                <w:rFonts w:ascii="Arial MT" w:hAnsi="Arial MT"/>
                <w:sz w:val="16"/>
              </w:rPr>
              <w:t>Capacidade</w:t>
            </w:r>
            <w:r>
              <w:rPr>
                <w:rFonts w:ascii="Arial MT" w:hAnsi="Arial MT"/>
                <w:spacing w:val="-7"/>
                <w:sz w:val="16"/>
              </w:rPr>
              <w:t xml:space="preserve"> </w:t>
            </w:r>
            <w:r>
              <w:rPr>
                <w:rFonts w:ascii="Arial MT" w:hAnsi="Arial MT"/>
                <w:spacing w:val="-2"/>
                <w:sz w:val="16"/>
              </w:rPr>
              <w:t>Satelital</w:t>
            </w:r>
          </w:p>
        </w:tc>
        <w:tc>
          <w:tcPr>
            <w:tcW w:w="860" w:type="dxa"/>
            <w:tcBorders>
              <w:top w:val="nil"/>
              <w:bottom w:val="nil"/>
            </w:tcBorders>
            <w:shd w:val="clear" w:color="auto" w:fill="66FFFF"/>
          </w:tcPr>
          <w:p w14:paraId="08F13657" w14:textId="77777777" w:rsidR="002C6574" w:rsidRDefault="00000000">
            <w:pPr>
              <w:pStyle w:val="TableParagraph"/>
              <w:spacing w:before="9"/>
              <w:ind w:right="65"/>
              <w:rPr>
                <w:rFonts w:ascii="Arial MT"/>
                <w:sz w:val="16"/>
              </w:rPr>
            </w:pPr>
            <w:r>
              <w:rPr>
                <w:rFonts w:ascii="Arial MT"/>
                <w:spacing w:val="-2"/>
                <w:sz w:val="16"/>
              </w:rPr>
              <w:t>9.120</w:t>
            </w:r>
          </w:p>
        </w:tc>
        <w:tc>
          <w:tcPr>
            <w:tcW w:w="987" w:type="dxa"/>
            <w:tcBorders>
              <w:top w:val="nil"/>
              <w:bottom w:val="nil"/>
            </w:tcBorders>
          </w:tcPr>
          <w:p w14:paraId="28BE5730" w14:textId="77777777" w:rsidR="002C6574" w:rsidRDefault="00000000">
            <w:pPr>
              <w:pStyle w:val="TableParagraph"/>
              <w:spacing w:before="30" w:line="177" w:lineRule="exact"/>
              <w:ind w:right="65"/>
              <w:rPr>
                <w:rFonts w:ascii="Arial MT"/>
                <w:sz w:val="16"/>
              </w:rPr>
            </w:pPr>
            <w:r>
              <w:rPr>
                <w:rFonts w:ascii="Arial MT"/>
                <w:spacing w:val="-2"/>
                <w:sz w:val="16"/>
              </w:rPr>
              <w:t>9.120</w:t>
            </w:r>
          </w:p>
        </w:tc>
        <w:tc>
          <w:tcPr>
            <w:tcW w:w="1004" w:type="dxa"/>
            <w:tcBorders>
              <w:top w:val="nil"/>
              <w:bottom w:val="nil"/>
              <w:right w:val="nil"/>
            </w:tcBorders>
          </w:tcPr>
          <w:p w14:paraId="29238D07" w14:textId="77777777" w:rsidR="002C6574" w:rsidRDefault="00000000">
            <w:pPr>
              <w:pStyle w:val="TableParagraph"/>
              <w:spacing w:before="30" w:line="177" w:lineRule="exact"/>
              <w:ind w:right="69"/>
              <w:rPr>
                <w:rFonts w:ascii="Arial MT"/>
                <w:sz w:val="16"/>
              </w:rPr>
            </w:pPr>
            <w:r>
              <w:rPr>
                <w:rFonts w:ascii="Arial MT"/>
                <w:spacing w:val="-2"/>
                <w:sz w:val="16"/>
              </w:rPr>
              <w:t>9.120</w:t>
            </w:r>
          </w:p>
        </w:tc>
        <w:tc>
          <w:tcPr>
            <w:tcW w:w="185" w:type="dxa"/>
            <w:vMerge/>
            <w:tcBorders>
              <w:top w:val="nil"/>
              <w:left w:val="nil"/>
              <w:bottom w:val="nil"/>
              <w:right w:val="nil"/>
            </w:tcBorders>
          </w:tcPr>
          <w:p w14:paraId="53E60F0C" w14:textId="77777777" w:rsidR="002C6574" w:rsidRDefault="002C6574">
            <w:pPr>
              <w:rPr>
                <w:sz w:val="2"/>
                <w:szCs w:val="2"/>
              </w:rPr>
            </w:pPr>
          </w:p>
        </w:tc>
        <w:tc>
          <w:tcPr>
            <w:tcW w:w="1030" w:type="dxa"/>
            <w:tcBorders>
              <w:top w:val="nil"/>
              <w:left w:val="nil"/>
              <w:bottom w:val="nil"/>
            </w:tcBorders>
          </w:tcPr>
          <w:p w14:paraId="3BDC2078" w14:textId="77777777" w:rsidR="002C6574" w:rsidRDefault="00000000">
            <w:pPr>
              <w:pStyle w:val="TableParagraph"/>
              <w:spacing w:before="30" w:line="177" w:lineRule="exact"/>
              <w:ind w:right="64"/>
              <w:rPr>
                <w:rFonts w:ascii="Arial MT"/>
                <w:sz w:val="16"/>
              </w:rPr>
            </w:pPr>
            <w:r>
              <w:rPr>
                <w:rFonts w:ascii="Arial MT"/>
                <w:spacing w:val="-2"/>
                <w:sz w:val="16"/>
              </w:rPr>
              <w:t>36.480</w:t>
            </w:r>
          </w:p>
        </w:tc>
        <w:tc>
          <w:tcPr>
            <w:tcW w:w="1093" w:type="dxa"/>
            <w:tcBorders>
              <w:top w:val="nil"/>
              <w:bottom w:val="nil"/>
              <w:right w:val="nil"/>
            </w:tcBorders>
          </w:tcPr>
          <w:p w14:paraId="06D65EA9" w14:textId="77777777" w:rsidR="002C6574" w:rsidRDefault="00000000">
            <w:pPr>
              <w:pStyle w:val="TableParagraph"/>
              <w:spacing w:before="30" w:line="177" w:lineRule="exact"/>
              <w:ind w:right="70"/>
              <w:rPr>
                <w:rFonts w:ascii="Arial MT"/>
                <w:sz w:val="16"/>
              </w:rPr>
            </w:pPr>
            <w:r>
              <w:rPr>
                <w:rFonts w:ascii="Arial MT"/>
                <w:spacing w:val="-2"/>
                <w:sz w:val="16"/>
              </w:rPr>
              <w:t>36.481</w:t>
            </w:r>
          </w:p>
        </w:tc>
      </w:tr>
      <w:tr w:rsidR="002C6574" w14:paraId="222A63D5" w14:textId="77777777">
        <w:trPr>
          <w:trHeight w:val="227"/>
        </w:trPr>
        <w:tc>
          <w:tcPr>
            <w:tcW w:w="5334" w:type="dxa"/>
            <w:tcBorders>
              <w:top w:val="nil"/>
              <w:left w:val="nil"/>
              <w:bottom w:val="nil"/>
            </w:tcBorders>
          </w:tcPr>
          <w:p w14:paraId="5E1CF543" w14:textId="77777777" w:rsidR="002C6574" w:rsidRDefault="00000000">
            <w:pPr>
              <w:pStyle w:val="TableParagraph"/>
              <w:spacing w:before="8"/>
              <w:ind w:left="160"/>
              <w:jc w:val="left"/>
              <w:rPr>
                <w:rFonts w:ascii="Arial MT" w:hAnsi="Arial MT"/>
                <w:sz w:val="16"/>
              </w:rPr>
            </w:pPr>
            <w:r>
              <w:rPr>
                <w:rFonts w:ascii="Arial MT" w:hAnsi="Arial MT"/>
                <w:sz w:val="16"/>
              </w:rPr>
              <w:t>Aluguéis</w:t>
            </w:r>
            <w:r>
              <w:rPr>
                <w:rFonts w:ascii="Arial MT" w:hAnsi="Arial MT"/>
                <w:spacing w:val="-4"/>
                <w:sz w:val="16"/>
              </w:rPr>
              <w:t xml:space="preserve"> </w:t>
            </w:r>
            <w:r>
              <w:rPr>
                <w:rFonts w:ascii="Arial MT" w:hAnsi="Arial MT"/>
                <w:sz w:val="16"/>
              </w:rPr>
              <w:t>e</w:t>
            </w:r>
            <w:r>
              <w:rPr>
                <w:rFonts w:ascii="Arial MT" w:hAnsi="Arial MT"/>
                <w:spacing w:val="-3"/>
                <w:sz w:val="16"/>
              </w:rPr>
              <w:t xml:space="preserve"> </w:t>
            </w:r>
            <w:r>
              <w:rPr>
                <w:rFonts w:ascii="Arial MT" w:hAnsi="Arial MT"/>
                <w:spacing w:val="-2"/>
                <w:sz w:val="16"/>
              </w:rPr>
              <w:t>Locações</w:t>
            </w:r>
          </w:p>
        </w:tc>
        <w:tc>
          <w:tcPr>
            <w:tcW w:w="860" w:type="dxa"/>
            <w:tcBorders>
              <w:top w:val="nil"/>
              <w:bottom w:val="nil"/>
            </w:tcBorders>
            <w:shd w:val="clear" w:color="auto" w:fill="66FFFF"/>
          </w:tcPr>
          <w:p w14:paraId="17FA0121" w14:textId="77777777" w:rsidR="002C6574" w:rsidRDefault="00000000">
            <w:pPr>
              <w:pStyle w:val="TableParagraph"/>
              <w:spacing w:before="8"/>
              <w:ind w:right="65"/>
              <w:rPr>
                <w:rFonts w:ascii="Arial MT"/>
                <w:sz w:val="16"/>
              </w:rPr>
            </w:pPr>
            <w:r>
              <w:rPr>
                <w:rFonts w:ascii="Arial MT"/>
                <w:spacing w:val="-2"/>
                <w:sz w:val="16"/>
              </w:rPr>
              <w:t>7.734</w:t>
            </w:r>
          </w:p>
        </w:tc>
        <w:tc>
          <w:tcPr>
            <w:tcW w:w="987" w:type="dxa"/>
            <w:tcBorders>
              <w:top w:val="nil"/>
              <w:bottom w:val="nil"/>
            </w:tcBorders>
          </w:tcPr>
          <w:p w14:paraId="6D0A1724" w14:textId="77777777" w:rsidR="002C6574" w:rsidRDefault="00000000">
            <w:pPr>
              <w:pStyle w:val="TableParagraph"/>
              <w:spacing w:before="29" w:line="178" w:lineRule="exact"/>
              <w:ind w:right="65"/>
              <w:rPr>
                <w:rFonts w:ascii="Arial MT"/>
                <w:sz w:val="16"/>
              </w:rPr>
            </w:pPr>
            <w:r>
              <w:rPr>
                <w:rFonts w:ascii="Arial MT"/>
                <w:spacing w:val="-2"/>
                <w:sz w:val="16"/>
              </w:rPr>
              <w:t>6.831</w:t>
            </w:r>
          </w:p>
        </w:tc>
        <w:tc>
          <w:tcPr>
            <w:tcW w:w="1004" w:type="dxa"/>
            <w:tcBorders>
              <w:top w:val="nil"/>
              <w:bottom w:val="nil"/>
              <w:right w:val="nil"/>
            </w:tcBorders>
          </w:tcPr>
          <w:p w14:paraId="3726BD36" w14:textId="77777777" w:rsidR="002C6574" w:rsidRDefault="00000000">
            <w:pPr>
              <w:pStyle w:val="TableParagraph"/>
              <w:spacing w:before="29" w:line="178" w:lineRule="exact"/>
              <w:ind w:right="69"/>
              <w:rPr>
                <w:rFonts w:ascii="Arial MT"/>
                <w:sz w:val="16"/>
              </w:rPr>
            </w:pPr>
            <w:r>
              <w:rPr>
                <w:rFonts w:ascii="Arial MT"/>
                <w:spacing w:val="-2"/>
                <w:sz w:val="16"/>
              </w:rPr>
              <w:t>7.184</w:t>
            </w:r>
          </w:p>
        </w:tc>
        <w:tc>
          <w:tcPr>
            <w:tcW w:w="185" w:type="dxa"/>
            <w:vMerge/>
            <w:tcBorders>
              <w:top w:val="nil"/>
              <w:left w:val="nil"/>
              <w:bottom w:val="nil"/>
              <w:right w:val="nil"/>
            </w:tcBorders>
          </w:tcPr>
          <w:p w14:paraId="64358147" w14:textId="77777777" w:rsidR="002C6574" w:rsidRDefault="002C6574">
            <w:pPr>
              <w:rPr>
                <w:sz w:val="2"/>
                <w:szCs w:val="2"/>
              </w:rPr>
            </w:pPr>
          </w:p>
        </w:tc>
        <w:tc>
          <w:tcPr>
            <w:tcW w:w="1030" w:type="dxa"/>
            <w:tcBorders>
              <w:top w:val="nil"/>
              <w:left w:val="nil"/>
              <w:bottom w:val="nil"/>
            </w:tcBorders>
          </w:tcPr>
          <w:p w14:paraId="73AD77A0" w14:textId="77777777" w:rsidR="002C6574" w:rsidRDefault="00000000">
            <w:pPr>
              <w:pStyle w:val="TableParagraph"/>
              <w:spacing w:before="29" w:line="178" w:lineRule="exact"/>
              <w:ind w:right="64"/>
              <w:rPr>
                <w:rFonts w:ascii="Arial MT"/>
                <w:sz w:val="16"/>
              </w:rPr>
            </w:pPr>
            <w:r>
              <w:rPr>
                <w:rFonts w:ascii="Arial MT"/>
                <w:spacing w:val="-2"/>
                <w:sz w:val="16"/>
              </w:rPr>
              <w:t>28.382</w:t>
            </w:r>
          </w:p>
        </w:tc>
        <w:tc>
          <w:tcPr>
            <w:tcW w:w="1093" w:type="dxa"/>
            <w:tcBorders>
              <w:top w:val="nil"/>
              <w:bottom w:val="nil"/>
              <w:right w:val="nil"/>
            </w:tcBorders>
          </w:tcPr>
          <w:p w14:paraId="60D33879" w14:textId="77777777" w:rsidR="002C6574" w:rsidRDefault="00000000">
            <w:pPr>
              <w:pStyle w:val="TableParagraph"/>
              <w:spacing w:before="29" w:line="178" w:lineRule="exact"/>
              <w:ind w:right="70"/>
              <w:rPr>
                <w:rFonts w:ascii="Arial MT"/>
                <w:sz w:val="16"/>
              </w:rPr>
            </w:pPr>
            <w:r>
              <w:rPr>
                <w:rFonts w:ascii="Arial MT"/>
                <w:spacing w:val="-2"/>
                <w:sz w:val="16"/>
              </w:rPr>
              <w:t>26.918</w:t>
            </w:r>
          </w:p>
        </w:tc>
      </w:tr>
      <w:tr w:rsidR="002C6574" w14:paraId="583E00A8" w14:textId="77777777">
        <w:trPr>
          <w:trHeight w:val="226"/>
        </w:trPr>
        <w:tc>
          <w:tcPr>
            <w:tcW w:w="5334" w:type="dxa"/>
            <w:tcBorders>
              <w:top w:val="nil"/>
              <w:left w:val="nil"/>
              <w:bottom w:val="nil"/>
            </w:tcBorders>
          </w:tcPr>
          <w:p w14:paraId="4F44AF1B" w14:textId="77777777" w:rsidR="002C6574" w:rsidRDefault="00000000">
            <w:pPr>
              <w:pStyle w:val="TableParagraph"/>
              <w:spacing w:before="9"/>
              <w:ind w:left="160"/>
              <w:jc w:val="left"/>
              <w:rPr>
                <w:rFonts w:ascii="Arial MT"/>
                <w:sz w:val="16"/>
              </w:rPr>
            </w:pPr>
            <w:r>
              <w:rPr>
                <w:rFonts w:ascii="Arial MT"/>
                <w:sz w:val="16"/>
              </w:rPr>
              <w:t>Receita</w:t>
            </w:r>
            <w:r>
              <w:rPr>
                <w:rFonts w:ascii="Arial MT"/>
                <w:spacing w:val="-3"/>
                <w:sz w:val="16"/>
              </w:rPr>
              <w:t xml:space="preserve"> </w:t>
            </w:r>
            <w:r>
              <w:rPr>
                <w:rFonts w:ascii="Arial MT"/>
                <w:sz w:val="16"/>
              </w:rPr>
              <w:t>de</w:t>
            </w:r>
            <w:r>
              <w:rPr>
                <w:rFonts w:ascii="Arial MT"/>
                <w:spacing w:val="-6"/>
                <w:sz w:val="16"/>
              </w:rPr>
              <w:t xml:space="preserve"> </w:t>
            </w:r>
            <w:r>
              <w:rPr>
                <w:rFonts w:ascii="Arial MT"/>
                <w:sz w:val="16"/>
              </w:rPr>
              <w:t>Valor</w:t>
            </w:r>
            <w:r>
              <w:rPr>
                <w:rFonts w:ascii="Arial MT"/>
                <w:spacing w:val="-5"/>
                <w:sz w:val="16"/>
              </w:rPr>
              <w:t xml:space="preserve"> </w:t>
            </w:r>
            <w:r>
              <w:rPr>
                <w:rFonts w:ascii="Arial MT"/>
                <w:spacing w:val="-2"/>
                <w:sz w:val="16"/>
              </w:rPr>
              <w:t>Adicionado</w:t>
            </w:r>
          </w:p>
        </w:tc>
        <w:tc>
          <w:tcPr>
            <w:tcW w:w="860" w:type="dxa"/>
            <w:tcBorders>
              <w:top w:val="nil"/>
              <w:bottom w:val="nil"/>
            </w:tcBorders>
            <w:shd w:val="clear" w:color="auto" w:fill="66FFFF"/>
          </w:tcPr>
          <w:p w14:paraId="18FE78A6" w14:textId="77777777" w:rsidR="002C6574" w:rsidRDefault="00000000">
            <w:pPr>
              <w:pStyle w:val="TableParagraph"/>
              <w:spacing w:before="9"/>
              <w:ind w:right="65"/>
              <w:rPr>
                <w:rFonts w:ascii="Arial MT"/>
                <w:sz w:val="16"/>
              </w:rPr>
            </w:pPr>
            <w:r>
              <w:rPr>
                <w:rFonts w:ascii="Arial MT"/>
                <w:spacing w:val="-2"/>
                <w:sz w:val="16"/>
              </w:rPr>
              <w:t>8.732</w:t>
            </w:r>
          </w:p>
        </w:tc>
        <w:tc>
          <w:tcPr>
            <w:tcW w:w="987" w:type="dxa"/>
            <w:tcBorders>
              <w:top w:val="nil"/>
              <w:bottom w:val="nil"/>
            </w:tcBorders>
          </w:tcPr>
          <w:p w14:paraId="756749F9" w14:textId="77777777" w:rsidR="002C6574" w:rsidRDefault="00000000">
            <w:pPr>
              <w:pStyle w:val="TableParagraph"/>
              <w:spacing w:before="30" w:line="176" w:lineRule="exact"/>
              <w:ind w:right="65"/>
              <w:rPr>
                <w:rFonts w:ascii="Arial MT"/>
                <w:sz w:val="16"/>
              </w:rPr>
            </w:pPr>
            <w:r>
              <w:rPr>
                <w:rFonts w:ascii="Arial MT"/>
                <w:spacing w:val="-2"/>
                <w:sz w:val="16"/>
              </w:rPr>
              <w:t>5.226</w:t>
            </w:r>
          </w:p>
        </w:tc>
        <w:tc>
          <w:tcPr>
            <w:tcW w:w="1004" w:type="dxa"/>
            <w:tcBorders>
              <w:top w:val="nil"/>
              <w:bottom w:val="nil"/>
              <w:right w:val="nil"/>
            </w:tcBorders>
          </w:tcPr>
          <w:p w14:paraId="168DD536" w14:textId="77777777" w:rsidR="002C6574" w:rsidRDefault="00000000">
            <w:pPr>
              <w:pStyle w:val="TableParagraph"/>
              <w:spacing w:before="30" w:line="176" w:lineRule="exact"/>
              <w:ind w:right="69"/>
              <w:rPr>
                <w:rFonts w:ascii="Arial MT"/>
                <w:sz w:val="16"/>
              </w:rPr>
            </w:pPr>
            <w:r>
              <w:rPr>
                <w:rFonts w:ascii="Arial MT"/>
                <w:spacing w:val="-2"/>
                <w:sz w:val="16"/>
              </w:rPr>
              <w:t>6.931</w:t>
            </w:r>
          </w:p>
        </w:tc>
        <w:tc>
          <w:tcPr>
            <w:tcW w:w="185" w:type="dxa"/>
            <w:vMerge/>
            <w:tcBorders>
              <w:top w:val="nil"/>
              <w:left w:val="nil"/>
              <w:bottom w:val="nil"/>
              <w:right w:val="nil"/>
            </w:tcBorders>
          </w:tcPr>
          <w:p w14:paraId="5A3946EA" w14:textId="77777777" w:rsidR="002C6574" w:rsidRDefault="002C6574">
            <w:pPr>
              <w:rPr>
                <w:sz w:val="2"/>
                <w:szCs w:val="2"/>
              </w:rPr>
            </w:pPr>
          </w:p>
        </w:tc>
        <w:tc>
          <w:tcPr>
            <w:tcW w:w="1030" w:type="dxa"/>
            <w:tcBorders>
              <w:top w:val="nil"/>
              <w:left w:val="nil"/>
              <w:bottom w:val="nil"/>
            </w:tcBorders>
          </w:tcPr>
          <w:p w14:paraId="62627817" w14:textId="77777777" w:rsidR="002C6574" w:rsidRDefault="00000000">
            <w:pPr>
              <w:pStyle w:val="TableParagraph"/>
              <w:spacing w:before="30" w:line="176" w:lineRule="exact"/>
              <w:ind w:right="64"/>
              <w:rPr>
                <w:rFonts w:ascii="Arial MT"/>
                <w:sz w:val="16"/>
              </w:rPr>
            </w:pPr>
            <w:r>
              <w:rPr>
                <w:rFonts w:ascii="Arial MT"/>
                <w:spacing w:val="-2"/>
                <w:sz w:val="16"/>
              </w:rPr>
              <w:t>26.411</w:t>
            </w:r>
          </w:p>
        </w:tc>
        <w:tc>
          <w:tcPr>
            <w:tcW w:w="1093" w:type="dxa"/>
            <w:tcBorders>
              <w:top w:val="nil"/>
              <w:bottom w:val="nil"/>
              <w:right w:val="nil"/>
            </w:tcBorders>
          </w:tcPr>
          <w:p w14:paraId="76A5F892" w14:textId="77777777" w:rsidR="002C6574" w:rsidRDefault="00000000">
            <w:pPr>
              <w:pStyle w:val="TableParagraph"/>
              <w:spacing w:before="30" w:line="176" w:lineRule="exact"/>
              <w:ind w:right="70"/>
              <w:rPr>
                <w:rFonts w:ascii="Arial MT"/>
                <w:sz w:val="16"/>
              </w:rPr>
            </w:pPr>
            <w:r>
              <w:rPr>
                <w:rFonts w:ascii="Arial MT"/>
                <w:spacing w:val="-2"/>
                <w:sz w:val="16"/>
              </w:rPr>
              <w:t>20.029</w:t>
            </w:r>
          </w:p>
        </w:tc>
      </w:tr>
      <w:tr w:rsidR="002C6574" w14:paraId="61EB0C3F" w14:textId="77777777">
        <w:trPr>
          <w:trHeight w:val="226"/>
        </w:trPr>
        <w:tc>
          <w:tcPr>
            <w:tcW w:w="5334" w:type="dxa"/>
            <w:tcBorders>
              <w:top w:val="nil"/>
              <w:left w:val="nil"/>
              <w:bottom w:val="nil"/>
            </w:tcBorders>
          </w:tcPr>
          <w:p w14:paraId="5DAC248A" w14:textId="77777777" w:rsidR="002C6574" w:rsidRDefault="00000000">
            <w:pPr>
              <w:pStyle w:val="TableParagraph"/>
              <w:spacing w:before="7"/>
              <w:ind w:left="160"/>
              <w:jc w:val="left"/>
              <w:rPr>
                <w:rFonts w:ascii="Arial MT"/>
                <w:sz w:val="16"/>
              </w:rPr>
            </w:pPr>
            <w:r>
              <w:rPr>
                <w:rFonts w:ascii="Arial MT"/>
                <w:sz w:val="16"/>
              </w:rPr>
              <w:t>Compartilhamento</w:t>
            </w:r>
            <w:r>
              <w:rPr>
                <w:rFonts w:ascii="Arial MT"/>
                <w:spacing w:val="-11"/>
                <w:sz w:val="16"/>
              </w:rPr>
              <w:t xml:space="preserve"> </w:t>
            </w:r>
            <w:r>
              <w:rPr>
                <w:rFonts w:ascii="Arial MT"/>
                <w:sz w:val="16"/>
              </w:rPr>
              <w:t>de</w:t>
            </w:r>
            <w:r>
              <w:rPr>
                <w:rFonts w:ascii="Arial MT"/>
                <w:spacing w:val="-8"/>
                <w:sz w:val="16"/>
              </w:rPr>
              <w:t xml:space="preserve"> </w:t>
            </w:r>
            <w:r>
              <w:rPr>
                <w:rFonts w:ascii="Arial MT"/>
                <w:spacing w:val="-2"/>
                <w:sz w:val="16"/>
              </w:rPr>
              <w:t>Receita</w:t>
            </w:r>
          </w:p>
        </w:tc>
        <w:tc>
          <w:tcPr>
            <w:tcW w:w="860" w:type="dxa"/>
            <w:tcBorders>
              <w:top w:val="nil"/>
              <w:bottom w:val="nil"/>
            </w:tcBorders>
            <w:shd w:val="clear" w:color="auto" w:fill="66FFFF"/>
          </w:tcPr>
          <w:p w14:paraId="3002B779" w14:textId="77777777" w:rsidR="002C6574" w:rsidRDefault="00000000">
            <w:pPr>
              <w:pStyle w:val="TableParagraph"/>
              <w:spacing w:before="7"/>
              <w:ind w:right="65"/>
              <w:rPr>
                <w:rFonts w:ascii="Arial MT"/>
                <w:sz w:val="16"/>
              </w:rPr>
            </w:pPr>
            <w:r>
              <w:rPr>
                <w:rFonts w:ascii="Arial MT"/>
                <w:spacing w:val="-2"/>
                <w:sz w:val="16"/>
              </w:rPr>
              <w:t>2.832</w:t>
            </w:r>
          </w:p>
        </w:tc>
        <w:tc>
          <w:tcPr>
            <w:tcW w:w="987" w:type="dxa"/>
            <w:tcBorders>
              <w:top w:val="nil"/>
              <w:bottom w:val="nil"/>
            </w:tcBorders>
          </w:tcPr>
          <w:p w14:paraId="734561AA" w14:textId="77777777" w:rsidR="002C6574" w:rsidRDefault="00000000">
            <w:pPr>
              <w:pStyle w:val="TableParagraph"/>
              <w:spacing w:before="29" w:line="178" w:lineRule="exact"/>
              <w:ind w:right="65"/>
              <w:rPr>
                <w:rFonts w:ascii="Arial MT"/>
                <w:sz w:val="16"/>
              </w:rPr>
            </w:pPr>
            <w:r>
              <w:rPr>
                <w:rFonts w:ascii="Arial MT"/>
                <w:spacing w:val="-2"/>
                <w:sz w:val="16"/>
              </w:rPr>
              <w:t>3.126</w:t>
            </w:r>
          </w:p>
        </w:tc>
        <w:tc>
          <w:tcPr>
            <w:tcW w:w="1004" w:type="dxa"/>
            <w:tcBorders>
              <w:top w:val="nil"/>
              <w:bottom w:val="nil"/>
              <w:right w:val="nil"/>
            </w:tcBorders>
          </w:tcPr>
          <w:p w14:paraId="47C0A640" w14:textId="77777777" w:rsidR="002C6574" w:rsidRDefault="00000000">
            <w:pPr>
              <w:pStyle w:val="TableParagraph"/>
              <w:spacing w:before="29" w:line="178" w:lineRule="exact"/>
              <w:ind w:right="69"/>
              <w:rPr>
                <w:rFonts w:ascii="Arial MT"/>
                <w:sz w:val="16"/>
              </w:rPr>
            </w:pPr>
            <w:r>
              <w:rPr>
                <w:rFonts w:ascii="Arial MT"/>
                <w:spacing w:val="-2"/>
                <w:sz w:val="16"/>
              </w:rPr>
              <w:t>1.923</w:t>
            </w:r>
          </w:p>
        </w:tc>
        <w:tc>
          <w:tcPr>
            <w:tcW w:w="185" w:type="dxa"/>
            <w:vMerge/>
            <w:tcBorders>
              <w:top w:val="nil"/>
              <w:left w:val="nil"/>
              <w:bottom w:val="nil"/>
              <w:right w:val="nil"/>
            </w:tcBorders>
          </w:tcPr>
          <w:p w14:paraId="44B6C9E1" w14:textId="77777777" w:rsidR="002C6574" w:rsidRDefault="002C6574">
            <w:pPr>
              <w:rPr>
                <w:sz w:val="2"/>
                <w:szCs w:val="2"/>
              </w:rPr>
            </w:pPr>
          </w:p>
        </w:tc>
        <w:tc>
          <w:tcPr>
            <w:tcW w:w="1030" w:type="dxa"/>
            <w:tcBorders>
              <w:top w:val="nil"/>
              <w:left w:val="nil"/>
              <w:bottom w:val="nil"/>
            </w:tcBorders>
          </w:tcPr>
          <w:p w14:paraId="336B9468" w14:textId="77777777" w:rsidR="002C6574" w:rsidRDefault="00000000">
            <w:pPr>
              <w:pStyle w:val="TableParagraph"/>
              <w:spacing w:before="29" w:line="178" w:lineRule="exact"/>
              <w:ind w:right="64"/>
              <w:rPr>
                <w:rFonts w:ascii="Arial MT"/>
                <w:sz w:val="16"/>
              </w:rPr>
            </w:pPr>
            <w:r>
              <w:rPr>
                <w:rFonts w:ascii="Arial MT"/>
                <w:spacing w:val="-2"/>
                <w:sz w:val="16"/>
              </w:rPr>
              <w:t>10.421</w:t>
            </w:r>
          </w:p>
        </w:tc>
        <w:tc>
          <w:tcPr>
            <w:tcW w:w="1093" w:type="dxa"/>
            <w:tcBorders>
              <w:top w:val="nil"/>
              <w:bottom w:val="nil"/>
              <w:right w:val="nil"/>
            </w:tcBorders>
          </w:tcPr>
          <w:p w14:paraId="41292130" w14:textId="77777777" w:rsidR="002C6574" w:rsidRDefault="00000000">
            <w:pPr>
              <w:pStyle w:val="TableParagraph"/>
              <w:spacing w:before="29" w:line="178" w:lineRule="exact"/>
              <w:ind w:right="70"/>
              <w:rPr>
                <w:rFonts w:ascii="Arial MT"/>
                <w:sz w:val="16"/>
              </w:rPr>
            </w:pPr>
            <w:r>
              <w:rPr>
                <w:rFonts w:ascii="Arial MT"/>
                <w:spacing w:val="-2"/>
                <w:sz w:val="16"/>
              </w:rPr>
              <w:t>13.633</w:t>
            </w:r>
          </w:p>
        </w:tc>
      </w:tr>
      <w:tr w:rsidR="002C6574" w14:paraId="56C1745C" w14:textId="77777777">
        <w:trPr>
          <w:trHeight w:val="213"/>
        </w:trPr>
        <w:tc>
          <w:tcPr>
            <w:tcW w:w="5334" w:type="dxa"/>
            <w:tcBorders>
              <w:top w:val="nil"/>
              <w:left w:val="nil"/>
            </w:tcBorders>
          </w:tcPr>
          <w:p w14:paraId="1141B69D" w14:textId="77777777" w:rsidR="002C6574" w:rsidRDefault="00000000">
            <w:pPr>
              <w:pStyle w:val="TableParagraph"/>
              <w:spacing w:before="9"/>
              <w:ind w:left="160"/>
              <w:jc w:val="left"/>
              <w:rPr>
                <w:rFonts w:ascii="Arial MT"/>
                <w:sz w:val="16"/>
              </w:rPr>
            </w:pPr>
            <w:r>
              <w:rPr>
                <w:rFonts w:ascii="Arial MT"/>
                <w:sz w:val="16"/>
              </w:rPr>
              <w:t>Outras</w:t>
            </w:r>
            <w:r>
              <w:rPr>
                <w:rFonts w:ascii="Arial MT"/>
                <w:spacing w:val="-7"/>
                <w:sz w:val="16"/>
              </w:rPr>
              <w:t xml:space="preserve"> </w:t>
            </w:r>
            <w:r>
              <w:rPr>
                <w:rFonts w:ascii="Arial MT"/>
                <w:spacing w:val="-2"/>
                <w:sz w:val="16"/>
              </w:rPr>
              <w:t>Receitas</w:t>
            </w:r>
          </w:p>
        </w:tc>
        <w:tc>
          <w:tcPr>
            <w:tcW w:w="860" w:type="dxa"/>
            <w:tcBorders>
              <w:top w:val="nil"/>
            </w:tcBorders>
            <w:shd w:val="clear" w:color="auto" w:fill="66FFFF"/>
          </w:tcPr>
          <w:p w14:paraId="210763D4" w14:textId="77777777" w:rsidR="002C6574" w:rsidRDefault="00000000">
            <w:pPr>
              <w:pStyle w:val="TableParagraph"/>
              <w:spacing w:before="9"/>
              <w:ind w:right="65"/>
              <w:rPr>
                <w:rFonts w:ascii="Arial MT"/>
                <w:sz w:val="16"/>
              </w:rPr>
            </w:pPr>
            <w:r>
              <w:rPr>
                <w:rFonts w:ascii="Arial MT"/>
                <w:spacing w:val="-2"/>
                <w:sz w:val="16"/>
              </w:rPr>
              <w:t>1.744</w:t>
            </w:r>
          </w:p>
        </w:tc>
        <w:tc>
          <w:tcPr>
            <w:tcW w:w="987" w:type="dxa"/>
            <w:tcBorders>
              <w:top w:val="nil"/>
            </w:tcBorders>
          </w:tcPr>
          <w:p w14:paraId="338D77BC" w14:textId="77777777" w:rsidR="002C6574" w:rsidRDefault="00000000">
            <w:pPr>
              <w:pStyle w:val="TableParagraph"/>
              <w:spacing w:before="30" w:line="163" w:lineRule="exact"/>
              <w:ind w:right="65"/>
              <w:rPr>
                <w:rFonts w:ascii="Arial MT"/>
                <w:sz w:val="16"/>
              </w:rPr>
            </w:pPr>
            <w:r>
              <w:rPr>
                <w:rFonts w:ascii="Arial MT"/>
                <w:spacing w:val="-2"/>
                <w:sz w:val="16"/>
              </w:rPr>
              <w:t>5.708</w:t>
            </w:r>
          </w:p>
        </w:tc>
        <w:tc>
          <w:tcPr>
            <w:tcW w:w="1004" w:type="dxa"/>
            <w:tcBorders>
              <w:top w:val="nil"/>
              <w:right w:val="nil"/>
            </w:tcBorders>
          </w:tcPr>
          <w:p w14:paraId="55373838" w14:textId="77777777" w:rsidR="002C6574" w:rsidRDefault="00000000">
            <w:pPr>
              <w:pStyle w:val="TableParagraph"/>
              <w:spacing w:before="30" w:line="163" w:lineRule="exact"/>
              <w:ind w:right="69"/>
              <w:rPr>
                <w:rFonts w:ascii="Arial MT"/>
                <w:sz w:val="16"/>
              </w:rPr>
            </w:pPr>
            <w:r>
              <w:rPr>
                <w:rFonts w:ascii="Arial MT"/>
                <w:spacing w:val="-2"/>
                <w:sz w:val="16"/>
              </w:rPr>
              <w:t>1.131</w:t>
            </w:r>
          </w:p>
        </w:tc>
        <w:tc>
          <w:tcPr>
            <w:tcW w:w="185" w:type="dxa"/>
            <w:vMerge/>
            <w:tcBorders>
              <w:top w:val="nil"/>
              <w:left w:val="nil"/>
              <w:bottom w:val="nil"/>
              <w:right w:val="nil"/>
            </w:tcBorders>
          </w:tcPr>
          <w:p w14:paraId="42749CC7" w14:textId="77777777" w:rsidR="002C6574" w:rsidRDefault="002C6574">
            <w:pPr>
              <w:rPr>
                <w:sz w:val="2"/>
                <w:szCs w:val="2"/>
              </w:rPr>
            </w:pPr>
          </w:p>
        </w:tc>
        <w:tc>
          <w:tcPr>
            <w:tcW w:w="1030" w:type="dxa"/>
            <w:tcBorders>
              <w:top w:val="nil"/>
              <w:left w:val="nil"/>
            </w:tcBorders>
          </w:tcPr>
          <w:p w14:paraId="0EAF4F5E" w14:textId="77777777" w:rsidR="002C6574" w:rsidRDefault="00000000">
            <w:pPr>
              <w:pStyle w:val="TableParagraph"/>
              <w:spacing w:before="30" w:line="163" w:lineRule="exact"/>
              <w:ind w:right="64"/>
              <w:rPr>
                <w:rFonts w:ascii="Arial MT"/>
                <w:sz w:val="16"/>
              </w:rPr>
            </w:pPr>
            <w:r>
              <w:rPr>
                <w:rFonts w:ascii="Arial MT"/>
                <w:spacing w:val="-2"/>
                <w:sz w:val="16"/>
              </w:rPr>
              <w:t>6.730</w:t>
            </w:r>
          </w:p>
        </w:tc>
        <w:tc>
          <w:tcPr>
            <w:tcW w:w="1093" w:type="dxa"/>
            <w:tcBorders>
              <w:top w:val="nil"/>
              <w:right w:val="nil"/>
            </w:tcBorders>
          </w:tcPr>
          <w:p w14:paraId="76849127" w14:textId="77777777" w:rsidR="002C6574" w:rsidRDefault="00000000">
            <w:pPr>
              <w:pStyle w:val="TableParagraph"/>
              <w:spacing w:before="30" w:line="163" w:lineRule="exact"/>
              <w:ind w:right="70"/>
              <w:rPr>
                <w:rFonts w:ascii="Arial MT"/>
                <w:sz w:val="16"/>
              </w:rPr>
            </w:pPr>
            <w:r>
              <w:rPr>
                <w:rFonts w:ascii="Arial MT"/>
                <w:spacing w:val="-2"/>
                <w:sz w:val="16"/>
              </w:rPr>
              <w:t>9.379</w:t>
            </w:r>
          </w:p>
        </w:tc>
      </w:tr>
      <w:tr w:rsidR="002C6574" w14:paraId="0AEF0911" w14:textId="77777777">
        <w:trPr>
          <w:trHeight w:val="227"/>
        </w:trPr>
        <w:tc>
          <w:tcPr>
            <w:tcW w:w="5334" w:type="dxa"/>
            <w:tcBorders>
              <w:left w:val="nil"/>
            </w:tcBorders>
          </w:tcPr>
          <w:p w14:paraId="5699DC8A" w14:textId="77777777" w:rsidR="002C6574" w:rsidRDefault="00000000">
            <w:pPr>
              <w:pStyle w:val="TableParagraph"/>
              <w:spacing w:before="44" w:line="163" w:lineRule="exact"/>
              <w:ind w:left="115"/>
              <w:jc w:val="left"/>
              <w:rPr>
                <w:rFonts w:ascii="Arial" w:hAnsi="Arial"/>
                <w:b/>
                <w:sz w:val="16"/>
              </w:rPr>
            </w:pPr>
            <w:r>
              <w:rPr>
                <w:rFonts w:ascii="Arial" w:hAnsi="Arial"/>
                <w:b/>
                <w:sz w:val="16"/>
              </w:rPr>
              <w:t>DEDUÇÕES</w:t>
            </w:r>
            <w:r>
              <w:rPr>
                <w:rFonts w:ascii="Arial" w:hAnsi="Arial"/>
                <w:b/>
                <w:spacing w:val="-8"/>
                <w:sz w:val="16"/>
              </w:rPr>
              <w:t xml:space="preserve"> </w:t>
            </w:r>
            <w:r>
              <w:rPr>
                <w:rFonts w:ascii="Arial" w:hAnsi="Arial"/>
                <w:b/>
                <w:sz w:val="16"/>
              </w:rPr>
              <w:t>DA</w:t>
            </w:r>
            <w:r>
              <w:rPr>
                <w:rFonts w:ascii="Arial" w:hAnsi="Arial"/>
                <w:b/>
                <w:spacing w:val="-6"/>
                <w:sz w:val="16"/>
              </w:rPr>
              <w:t xml:space="preserve"> </w:t>
            </w:r>
            <w:r>
              <w:rPr>
                <w:rFonts w:ascii="Arial" w:hAnsi="Arial"/>
                <w:b/>
                <w:sz w:val="16"/>
              </w:rPr>
              <w:t>RECEITA</w:t>
            </w:r>
            <w:r>
              <w:rPr>
                <w:rFonts w:ascii="Arial" w:hAnsi="Arial"/>
                <w:b/>
                <w:spacing w:val="-6"/>
                <w:sz w:val="16"/>
              </w:rPr>
              <w:t xml:space="preserve"> </w:t>
            </w:r>
            <w:r>
              <w:rPr>
                <w:rFonts w:ascii="Arial" w:hAnsi="Arial"/>
                <w:b/>
                <w:sz w:val="16"/>
              </w:rPr>
              <w:t>OPERACIONAL</w:t>
            </w:r>
            <w:r>
              <w:rPr>
                <w:rFonts w:ascii="Arial" w:hAnsi="Arial"/>
                <w:b/>
                <w:spacing w:val="-5"/>
                <w:sz w:val="16"/>
              </w:rPr>
              <w:t xml:space="preserve"> </w:t>
            </w:r>
            <w:r>
              <w:rPr>
                <w:rFonts w:ascii="Arial" w:hAnsi="Arial"/>
                <w:b/>
                <w:spacing w:val="-2"/>
                <w:sz w:val="16"/>
              </w:rPr>
              <w:t>BRUTA</w:t>
            </w:r>
          </w:p>
        </w:tc>
        <w:tc>
          <w:tcPr>
            <w:tcW w:w="860" w:type="dxa"/>
            <w:shd w:val="clear" w:color="auto" w:fill="66FFFF"/>
          </w:tcPr>
          <w:p w14:paraId="67AE8248" w14:textId="77777777" w:rsidR="002C6574" w:rsidRDefault="00000000">
            <w:pPr>
              <w:pStyle w:val="TableParagraph"/>
              <w:spacing w:before="22"/>
              <w:ind w:right="62"/>
              <w:rPr>
                <w:rFonts w:ascii="Arial"/>
                <w:b/>
                <w:sz w:val="16"/>
              </w:rPr>
            </w:pPr>
            <w:r>
              <w:rPr>
                <w:rFonts w:ascii="Arial"/>
                <w:b/>
                <w:spacing w:val="-2"/>
                <w:sz w:val="16"/>
              </w:rPr>
              <w:t>(15.716)</w:t>
            </w:r>
          </w:p>
        </w:tc>
        <w:tc>
          <w:tcPr>
            <w:tcW w:w="987" w:type="dxa"/>
          </w:tcPr>
          <w:p w14:paraId="2CC8F06E" w14:textId="77777777" w:rsidR="002C6574" w:rsidRDefault="00000000">
            <w:pPr>
              <w:pStyle w:val="TableParagraph"/>
              <w:spacing w:before="44" w:line="163" w:lineRule="exact"/>
              <w:ind w:right="63"/>
              <w:rPr>
                <w:rFonts w:ascii="Arial"/>
                <w:b/>
                <w:sz w:val="16"/>
              </w:rPr>
            </w:pPr>
            <w:r>
              <w:rPr>
                <w:rFonts w:ascii="Arial"/>
                <w:b/>
                <w:spacing w:val="-2"/>
                <w:sz w:val="16"/>
              </w:rPr>
              <w:t>(13.347)</w:t>
            </w:r>
          </w:p>
        </w:tc>
        <w:tc>
          <w:tcPr>
            <w:tcW w:w="1004" w:type="dxa"/>
            <w:tcBorders>
              <w:right w:val="nil"/>
            </w:tcBorders>
          </w:tcPr>
          <w:p w14:paraId="33BC717F" w14:textId="77777777" w:rsidR="002C6574" w:rsidRDefault="00000000">
            <w:pPr>
              <w:pStyle w:val="TableParagraph"/>
              <w:spacing w:before="44" w:line="163" w:lineRule="exact"/>
              <w:ind w:right="66"/>
              <w:rPr>
                <w:rFonts w:ascii="Arial"/>
                <w:b/>
                <w:sz w:val="16"/>
              </w:rPr>
            </w:pPr>
            <w:r>
              <w:rPr>
                <w:rFonts w:ascii="Arial"/>
                <w:b/>
                <w:spacing w:val="-2"/>
                <w:sz w:val="16"/>
              </w:rPr>
              <w:t>(10.853)</w:t>
            </w:r>
          </w:p>
        </w:tc>
        <w:tc>
          <w:tcPr>
            <w:tcW w:w="185" w:type="dxa"/>
            <w:vMerge/>
            <w:tcBorders>
              <w:top w:val="nil"/>
              <w:left w:val="nil"/>
              <w:bottom w:val="nil"/>
              <w:right w:val="nil"/>
            </w:tcBorders>
          </w:tcPr>
          <w:p w14:paraId="5F5ADE31" w14:textId="77777777" w:rsidR="002C6574" w:rsidRDefault="002C6574">
            <w:pPr>
              <w:rPr>
                <w:sz w:val="2"/>
                <w:szCs w:val="2"/>
              </w:rPr>
            </w:pPr>
          </w:p>
        </w:tc>
        <w:tc>
          <w:tcPr>
            <w:tcW w:w="1030" w:type="dxa"/>
            <w:tcBorders>
              <w:left w:val="nil"/>
            </w:tcBorders>
          </w:tcPr>
          <w:p w14:paraId="3C0ADB76" w14:textId="77777777" w:rsidR="002C6574" w:rsidRDefault="00000000">
            <w:pPr>
              <w:pStyle w:val="TableParagraph"/>
              <w:spacing w:before="44" w:line="163" w:lineRule="exact"/>
              <w:ind w:right="64"/>
              <w:rPr>
                <w:rFonts w:ascii="Arial"/>
                <w:b/>
                <w:sz w:val="16"/>
              </w:rPr>
            </w:pPr>
            <w:r>
              <w:rPr>
                <w:rFonts w:ascii="Arial"/>
                <w:b/>
                <w:spacing w:val="-2"/>
                <w:sz w:val="16"/>
              </w:rPr>
              <w:t>(49.899)</w:t>
            </w:r>
          </w:p>
        </w:tc>
        <w:tc>
          <w:tcPr>
            <w:tcW w:w="1093" w:type="dxa"/>
            <w:tcBorders>
              <w:right w:val="nil"/>
            </w:tcBorders>
          </w:tcPr>
          <w:p w14:paraId="079219A8" w14:textId="77777777" w:rsidR="002C6574" w:rsidRDefault="00000000">
            <w:pPr>
              <w:pStyle w:val="TableParagraph"/>
              <w:spacing w:before="44" w:line="163" w:lineRule="exact"/>
              <w:ind w:right="70"/>
              <w:rPr>
                <w:rFonts w:ascii="Arial"/>
                <w:b/>
                <w:sz w:val="16"/>
              </w:rPr>
            </w:pPr>
            <w:r>
              <w:rPr>
                <w:rFonts w:ascii="Arial"/>
                <w:b/>
                <w:spacing w:val="-2"/>
                <w:sz w:val="16"/>
              </w:rPr>
              <w:t>(48.076)</w:t>
            </w:r>
          </w:p>
        </w:tc>
      </w:tr>
      <w:tr w:rsidR="002C6574" w14:paraId="6301FBEF" w14:textId="77777777">
        <w:trPr>
          <w:trHeight w:val="225"/>
        </w:trPr>
        <w:tc>
          <w:tcPr>
            <w:tcW w:w="5334" w:type="dxa"/>
            <w:tcBorders>
              <w:left w:val="nil"/>
            </w:tcBorders>
          </w:tcPr>
          <w:p w14:paraId="0F3B8C26" w14:textId="77777777" w:rsidR="002C6574" w:rsidRDefault="00000000">
            <w:pPr>
              <w:pStyle w:val="TableParagraph"/>
              <w:spacing w:before="41" w:line="163" w:lineRule="exact"/>
              <w:ind w:left="115"/>
              <w:jc w:val="left"/>
              <w:rPr>
                <w:rFonts w:ascii="Arial" w:hAnsi="Arial"/>
                <w:b/>
                <w:sz w:val="16"/>
              </w:rPr>
            </w:pPr>
            <w:r>
              <w:rPr>
                <w:rFonts w:ascii="Arial" w:hAnsi="Arial"/>
                <w:b/>
                <w:sz w:val="16"/>
              </w:rPr>
              <w:t>RECEITA</w:t>
            </w:r>
            <w:r>
              <w:rPr>
                <w:rFonts w:ascii="Arial" w:hAnsi="Arial"/>
                <w:b/>
                <w:spacing w:val="-8"/>
                <w:sz w:val="16"/>
              </w:rPr>
              <w:t xml:space="preserve"> </w:t>
            </w:r>
            <w:r>
              <w:rPr>
                <w:rFonts w:ascii="Arial" w:hAnsi="Arial"/>
                <w:b/>
                <w:sz w:val="16"/>
              </w:rPr>
              <w:t>OPERACIONAL</w:t>
            </w:r>
            <w:r>
              <w:rPr>
                <w:rFonts w:ascii="Arial" w:hAnsi="Arial"/>
                <w:b/>
                <w:spacing w:val="-7"/>
                <w:sz w:val="16"/>
              </w:rPr>
              <w:t xml:space="preserve"> </w:t>
            </w:r>
            <w:r>
              <w:rPr>
                <w:rFonts w:ascii="Arial" w:hAnsi="Arial"/>
                <w:b/>
                <w:spacing w:val="-2"/>
                <w:sz w:val="16"/>
              </w:rPr>
              <w:t>LÍQUIDA</w:t>
            </w:r>
          </w:p>
        </w:tc>
        <w:tc>
          <w:tcPr>
            <w:tcW w:w="860" w:type="dxa"/>
            <w:shd w:val="clear" w:color="auto" w:fill="66FFFF"/>
          </w:tcPr>
          <w:p w14:paraId="7A7C3F67" w14:textId="77777777" w:rsidR="002C6574" w:rsidRDefault="00000000">
            <w:pPr>
              <w:pStyle w:val="TableParagraph"/>
              <w:spacing w:before="22" w:line="183" w:lineRule="exact"/>
              <w:ind w:right="65"/>
              <w:rPr>
                <w:rFonts w:ascii="Arial"/>
                <w:b/>
                <w:sz w:val="16"/>
              </w:rPr>
            </w:pPr>
            <w:r>
              <w:rPr>
                <w:rFonts w:ascii="Arial"/>
                <w:b/>
                <w:spacing w:val="-2"/>
                <w:sz w:val="16"/>
              </w:rPr>
              <w:t>160.555</w:t>
            </w:r>
          </w:p>
        </w:tc>
        <w:tc>
          <w:tcPr>
            <w:tcW w:w="987" w:type="dxa"/>
          </w:tcPr>
          <w:p w14:paraId="0B995C11" w14:textId="77777777" w:rsidR="002C6574" w:rsidRDefault="00000000">
            <w:pPr>
              <w:pStyle w:val="TableParagraph"/>
              <w:spacing w:before="41" w:line="163" w:lineRule="exact"/>
              <w:ind w:right="65"/>
              <w:rPr>
                <w:rFonts w:ascii="Arial"/>
                <w:b/>
                <w:sz w:val="16"/>
              </w:rPr>
            </w:pPr>
            <w:r>
              <w:rPr>
                <w:rFonts w:ascii="Arial"/>
                <w:b/>
                <w:spacing w:val="-2"/>
                <w:sz w:val="16"/>
              </w:rPr>
              <w:t>131.550</w:t>
            </w:r>
          </w:p>
        </w:tc>
        <w:tc>
          <w:tcPr>
            <w:tcW w:w="1004" w:type="dxa"/>
            <w:tcBorders>
              <w:right w:val="nil"/>
            </w:tcBorders>
          </w:tcPr>
          <w:p w14:paraId="156D9F37" w14:textId="77777777" w:rsidR="002C6574" w:rsidRDefault="00000000">
            <w:pPr>
              <w:pStyle w:val="TableParagraph"/>
              <w:spacing w:before="41" w:line="163" w:lineRule="exact"/>
              <w:ind w:right="69"/>
              <w:rPr>
                <w:rFonts w:ascii="Arial"/>
                <w:b/>
                <w:sz w:val="16"/>
              </w:rPr>
            </w:pPr>
            <w:r>
              <w:rPr>
                <w:rFonts w:ascii="Arial"/>
                <w:b/>
                <w:spacing w:val="-2"/>
                <w:sz w:val="16"/>
              </w:rPr>
              <w:t>106.140</w:t>
            </w:r>
          </w:p>
        </w:tc>
        <w:tc>
          <w:tcPr>
            <w:tcW w:w="185" w:type="dxa"/>
            <w:vMerge/>
            <w:tcBorders>
              <w:top w:val="nil"/>
              <w:left w:val="nil"/>
              <w:bottom w:val="nil"/>
              <w:right w:val="nil"/>
            </w:tcBorders>
          </w:tcPr>
          <w:p w14:paraId="2981CCCF" w14:textId="77777777" w:rsidR="002C6574" w:rsidRDefault="002C6574">
            <w:pPr>
              <w:rPr>
                <w:sz w:val="2"/>
                <w:szCs w:val="2"/>
              </w:rPr>
            </w:pPr>
          </w:p>
        </w:tc>
        <w:tc>
          <w:tcPr>
            <w:tcW w:w="1030" w:type="dxa"/>
            <w:tcBorders>
              <w:left w:val="nil"/>
            </w:tcBorders>
          </w:tcPr>
          <w:p w14:paraId="739AF424" w14:textId="77777777" w:rsidR="002C6574" w:rsidRDefault="00000000">
            <w:pPr>
              <w:pStyle w:val="TableParagraph"/>
              <w:spacing w:before="41" w:line="163" w:lineRule="exact"/>
              <w:ind w:right="64"/>
              <w:rPr>
                <w:rFonts w:ascii="Arial"/>
                <w:b/>
                <w:sz w:val="16"/>
              </w:rPr>
            </w:pPr>
            <w:r>
              <w:rPr>
                <w:rFonts w:ascii="Arial"/>
                <w:b/>
                <w:spacing w:val="-2"/>
                <w:sz w:val="16"/>
              </w:rPr>
              <w:t>491.009</w:t>
            </w:r>
          </w:p>
        </w:tc>
        <w:tc>
          <w:tcPr>
            <w:tcW w:w="1093" w:type="dxa"/>
            <w:tcBorders>
              <w:right w:val="nil"/>
            </w:tcBorders>
          </w:tcPr>
          <w:p w14:paraId="1A950C35" w14:textId="77777777" w:rsidR="002C6574" w:rsidRDefault="00000000">
            <w:pPr>
              <w:pStyle w:val="TableParagraph"/>
              <w:spacing w:before="41" w:line="163" w:lineRule="exact"/>
              <w:ind w:right="70"/>
              <w:rPr>
                <w:rFonts w:ascii="Arial"/>
                <w:b/>
                <w:sz w:val="16"/>
              </w:rPr>
            </w:pPr>
            <w:r>
              <w:rPr>
                <w:rFonts w:ascii="Arial"/>
                <w:b/>
                <w:spacing w:val="-2"/>
                <w:sz w:val="16"/>
              </w:rPr>
              <w:t>414.315</w:t>
            </w:r>
          </w:p>
        </w:tc>
      </w:tr>
      <w:tr w:rsidR="002C6574" w14:paraId="31B48EF8" w14:textId="77777777">
        <w:trPr>
          <w:trHeight w:val="227"/>
        </w:trPr>
        <w:tc>
          <w:tcPr>
            <w:tcW w:w="5334" w:type="dxa"/>
            <w:tcBorders>
              <w:left w:val="nil"/>
            </w:tcBorders>
          </w:tcPr>
          <w:p w14:paraId="5E2ADFE1" w14:textId="77777777" w:rsidR="002C6574" w:rsidRDefault="00000000">
            <w:pPr>
              <w:pStyle w:val="TableParagraph"/>
              <w:spacing w:before="44" w:line="163" w:lineRule="exact"/>
              <w:ind w:left="115"/>
              <w:jc w:val="left"/>
              <w:rPr>
                <w:rFonts w:ascii="Arial"/>
                <w:b/>
                <w:sz w:val="16"/>
              </w:rPr>
            </w:pPr>
            <w:r>
              <w:rPr>
                <w:rFonts w:ascii="Arial"/>
                <w:b/>
                <w:spacing w:val="-2"/>
                <w:sz w:val="16"/>
              </w:rPr>
              <w:t>RECEITAS/(CUSTOS/DESPESAS)</w:t>
            </w:r>
            <w:r>
              <w:rPr>
                <w:rFonts w:ascii="Arial"/>
                <w:b/>
                <w:spacing w:val="25"/>
                <w:sz w:val="16"/>
              </w:rPr>
              <w:t xml:space="preserve"> </w:t>
            </w:r>
            <w:r>
              <w:rPr>
                <w:rFonts w:ascii="Arial"/>
                <w:b/>
                <w:spacing w:val="-2"/>
                <w:sz w:val="16"/>
              </w:rPr>
              <w:t>OPERACIONAIS</w:t>
            </w:r>
          </w:p>
        </w:tc>
        <w:tc>
          <w:tcPr>
            <w:tcW w:w="860" w:type="dxa"/>
            <w:shd w:val="clear" w:color="auto" w:fill="66FFFF"/>
          </w:tcPr>
          <w:p w14:paraId="2DDBB5B2" w14:textId="77777777" w:rsidR="002C6574" w:rsidRDefault="00000000">
            <w:pPr>
              <w:pStyle w:val="TableParagraph"/>
              <w:spacing w:before="22"/>
              <w:ind w:right="65"/>
              <w:rPr>
                <w:rFonts w:ascii="Arial"/>
                <w:b/>
                <w:sz w:val="16"/>
              </w:rPr>
            </w:pPr>
            <w:r>
              <w:rPr>
                <w:rFonts w:ascii="Arial"/>
                <w:b/>
                <w:spacing w:val="-2"/>
                <w:sz w:val="16"/>
              </w:rPr>
              <w:t>184.367</w:t>
            </w:r>
          </w:p>
        </w:tc>
        <w:tc>
          <w:tcPr>
            <w:tcW w:w="987" w:type="dxa"/>
          </w:tcPr>
          <w:p w14:paraId="60D64A46" w14:textId="77777777" w:rsidR="002C6574" w:rsidRDefault="00000000">
            <w:pPr>
              <w:pStyle w:val="TableParagraph"/>
              <w:spacing w:before="44" w:line="163" w:lineRule="exact"/>
              <w:ind w:right="65"/>
              <w:rPr>
                <w:rFonts w:ascii="Arial"/>
                <w:b/>
                <w:sz w:val="16"/>
              </w:rPr>
            </w:pPr>
            <w:r>
              <w:rPr>
                <w:rFonts w:ascii="Arial"/>
                <w:b/>
                <w:spacing w:val="-2"/>
                <w:sz w:val="16"/>
              </w:rPr>
              <w:t>103.000</w:t>
            </w:r>
          </w:p>
        </w:tc>
        <w:tc>
          <w:tcPr>
            <w:tcW w:w="1004" w:type="dxa"/>
            <w:tcBorders>
              <w:right w:val="nil"/>
            </w:tcBorders>
          </w:tcPr>
          <w:p w14:paraId="17EC4CC1" w14:textId="77777777" w:rsidR="002C6574" w:rsidRDefault="00000000">
            <w:pPr>
              <w:pStyle w:val="TableParagraph"/>
              <w:spacing w:before="44" w:line="163" w:lineRule="exact"/>
              <w:ind w:right="66"/>
              <w:rPr>
                <w:rFonts w:ascii="Arial"/>
                <w:b/>
                <w:sz w:val="16"/>
              </w:rPr>
            </w:pPr>
            <w:r>
              <w:rPr>
                <w:rFonts w:ascii="Arial"/>
                <w:b/>
                <w:spacing w:val="-2"/>
                <w:sz w:val="16"/>
              </w:rPr>
              <w:t>(50.005)</w:t>
            </w:r>
          </w:p>
        </w:tc>
        <w:tc>
          <w:tcPr>
            <w:tcW w:w="185" w:type="dxa"/>
            <w:vMerge/>
            <w:tcBorders>
              <w:top w:val="nil"/>
              <w:left w:val="nil"/>
              <w:bottom w:val="nil"/>
              <w:right w:val="nil"/>
            </w:tcBorders>
          </w:tcPr>
          <w:p w14:paraId="5F493C1D" w14:textId="77777777" w:rsidR="002C6574" w:rsidRDefault="002C6574">
            <w:pPr>
              <w:rPr>
                <w:sz w:val="2"/>
                <w:szCs w:val="2"/>
              </w:rPr>
            </w:pPr>
          </w:p>
        </w:tc>
        <w:tc>
          <w:tcPr>
            <w:tcW w:w="1030" w:type="dxa"/>
            <w:tcBorders>
              <w:left w:val="nil"/>
            </w:tcBorders>
          </w:tcPr>
          <w:p w14:paraId="179400A0" w14:textId="77777777" w:rsidR="002C6574" w:rsidRDefault="00000000">
            <w:pPr>
              <w:pStyle w:val="TableParagraph"/>
              <w:spacing w:before="44" w:line="163" w:lineRule="exact"/>
              <w:ind w:right="64"/>
              <w:rPr>
                <w:rFonts w:ascii="Arial"/>
                <w:b/>
                <w:sz w:val="16"/>
              </w:rPr>
            </w:pPr>
            <w:r>
              <w:rPr>
                <w:rFonts w:ascii="Arial"/>
                <w:b/>
                <w:spacing w:val="-2"/>
                <w:sz w:val="16"/>
              </w:rPr>
              <w:t>19.795</w:t>
            </w:r>
          </w:p>
        </w:tc>
        <w:tc>
          <w:tcPr>
            <w:tcW w:w="1093" w:type="dxa"/>
            <w:tcBorders>
              <w:right w:val="nil"/>
            </w:tcBorders>
          </w:tcPr>
          <w:p w14:paraId="23E8B6AB" w14:textId="77777777" w:rsidR="002C6574" w:rsidRDefault="00000000">
            <w:pPr>
              <w:pStyle w:val="TableParagraph"/>
              <w:spacing w:before="44" w:line="163" w:lineRule="exact"/>
              <w:ind w:right="70"/>
              <w:rPr>
                <w:rFonts w:ascii="Arial"/>
                <w:b/>
                <w:sz w:val="16"/>
              </w:rPr>
            </w:pPr>
            <w:r>
              <w:rPr>
                <w:rFonts w:ascii="Arial"/>
                <w:b/>
                <w:spacing w:val="-2"/>
                <w:sz w:val="16"/>
              </w:rPr>
              <w:t>(125.775)</w:t>
            </w:r>
          </w:p>
        </w:tc>
      </w:tr>
      <w:tr w:rsidR="002C6574" w14:paraId="0C36714E" w14:textId="77777777">
        <w:trPr>
          <w:trHeight w:val="241"/>
        </w:trPr>
        <w:tc>
          <w:tcPr>
            <w:tcW w:w="5334" w:type="dxa"/>
            <w:tcBorders>
              <w:left w:val="nil"/>
              <w:bottom w:val="nil"/>
            </w:tcBorders>
          </w:tcPr>
          <w:p w14:paraId="76DD998E" w14:textId="77777777" w:rsidR="002C6574" w:rsidRDefault="00000000">
            <w:pPr>
              <w:pStyle w:val="TableParagraph"/>
              <w:spacing w:before="44" w:line="178" w:lineRule="exact"/>
              <w:ind w:left="249"/>
              <w:jc w:val="left"/>
              <w:rPr>
                <w:rFonts w:ascii="Arial MT" w:hAnsi="Arial MT"/>
                <w:sz w:val="16"/>
              </w:rPr>
            </w:pPr>
            <w:r>
              <w:rPr>
                <w:rFonts w:ascii="Arial MT" w:hAnsi="Arial MT"/>
                <w:sz w:val="16"/>
              </w:rPr>
              <w:t>Meios</w:t>
            </w:r>
            <w:r>
              <w:rPr>
                <w:rFonts w:ascii="Arial MT" w:hAnsi="Arial MT"/>
                <w:spacing w:val="-4"/>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Conexão</w:t>
            </w:r>
            <w:r>
              <w:rPr>
                <w:rFonts w:ascii="Arial MT" w:hAnsi="Arial MT"/>
                <w:spacing w:val="-3"/>
                <w:sz w:val="16"/>
              </w:rPr>
              <w:t xml:space="preserve"> </w:t>
            </w:r>
            <w:r>
              <w:rPr>
                <w:rFonts w:ascii="Arial MT" w:hAnsi="Arial MT"/>
                <w:sz w:val="16"/>
              </w:rPr>
              <w:t>e</w:t>
            </w:r>
            <w:r>
              <w:rPr>
                <w:rFonts w:ascii="Arial MT" w:hAnsi="Arial MT"/>
                <w:spacing w:val="-5"/>
                <w:sz w:val="16"/>
              </w:rPr>
              <w:t xml:space="preserve"> </w:t>
            </w:r>
            <w:r>
              <w:rPr>
                <w:rFonts w:ascii="Arial MT" w:hAnsi="Arial MT"/>
                <w:spacing w:val="-2"/>
                <w:sz w:val="16"/>
              </w:rPr>
              <w:t>Transmissão</w:t>
            </w:r>
          </w:p>
        </w:tc>
        <w:tc>
          <w:tcPr>
            <w:tcW w:w="860" w:type="dxa"/>
            <w:tcBorders>
              <w:bottom w:val="nil"/>
            </w:tcBorders>
            <w:shd w:val="clear" w:color="auto" w:fill="66FFFF"/>
          </w:tcPr>
          <w:p w14:paraId="2E58D825" w14:textId="77777777" w:rsidR="002C6574" w:rsidRDefault="00000000">
            <w:pPr>
              <w:pStyle w:val="TableParagraph"/>
              <w:spacing w:before="22"/>
              <w:ind w:right="62"/>
              <w:rPr>
                <w:rFonts w:ascii="Arial MT"/>
                <w:sz w:val="16"/>
              </w:rPr>
            </w:pPr>
            <w:r>
              <w:rPr>
                <w:rFonts w:ascii="Arial MT"/>
                <w:spacing w:val="-2"/>
                <w:sz w:val="16"/>
              </w:rPr>
              <w:t>(57.454)</w:t>
            </w:r>
          </w:p>
        </w:tc>
        <w:tc>
          <w:tcPr>
            <w:tcW w:w="987" w:type="dxa"/>
            <w:tcBorders>
              <w:bottom w:val="nil"/>
            </w:tcBorders>
          </w:tcPr>
          <w:p w14:paraId="2168CB26" w14:textId="77777777" w:rsidR="002C6574" w:rsidRDefault="00000000">
            <w:pPr>
              <w:pStyle w:val="TableParagraph"/>
              <w:spacing w:before="44" w:line="178" w:lineRule="exact"/>
              <w:ind w:right="63"/>
              <w:rPr>
                <w:rFonts w:ascii="Arial MT"/>
                <w:sz w:val="16"/>
              </w:rPr>
            </w:pPr>
            <w:r>
              <w:rPr>
                <w:rFonts w:ascii="Arial MT"/>
                <w:spacing w:val="-2"/>
                <w:sz w:val="16"/>
              </w:rPr>
              <w:t>(32.074)</w:t>
            </w:r>
          </w:p>
        </w:tc>
        <w:tc>
          <w:tcPr>
            <w:tcW w:w="1004" w:type="dxa"/>
            <w:tcBorders>
              <w:bottom w:val="nil"/>
              <w:right w:val="nil"/>
            </w:tcBorders>
          </w:tcPr>
          <w:p w14:paraId="4C464420" w14:textId="77777777" w:rsidR="002C6574" w:rsidRDefault="00000000">
            <w:pPr>
              <w:pStyle w:val="TableParagraph"/>
              <w:spacing w:before="44" w:line="178" w:lineRule="exact"/>
              <w:ind w:right="66"/>
              <w:rPr>
                <w:rFonts w:ascii="Arial MT"/>
                <w:sz w:val="16"/>
              </w:rPr>
            </w:pPr>
            <w:r>
              <w:rPr>
                <w:rFonts w:ascii="Arial MT"/>
                <w:spacing w:val="-2"/>
                <w:sz w:val="16"/>
              </w:rPr>
              <w:t>(39.414)</w:t>
            </w:r>
          </w:p>
        </w:tc>
        <w:tc>
          <w:tcPr>
            <w:tcW w:w="185" w:type="dxa"/>
            <w:vMerge/>
            <w:tcBorders>
              <w:top w:val="nil"/>
              <w:left w:val="nil"/>
              <w:bottom w:val="nil"/>
              <w:right w:val="nil"/>
            </w:tcBorders>
          </w:tcPr>
          <w:p w14:paraId="3EB058DD" w14:textId="77777777" w:rsidR="002C6574" w:rsidRDefault="002C6574">
            <w:pPr>
              <w:rPr>
                <w:sz w:val="2"/>
                <w:szCs w:val="2"/>
              </w:rPr>
            </w:pPr>
          </w:p>
        </w:tc>
        <w:tc>
          <w:tcPr>
            <w:tcW w:w="1030" w:type="dxa"/>
            <w:tcBorders>
              <w:left w:val="nil"/>
              <w:bottom w:val="nil"/>
            </w:tcBorders>
          </w:tcPr>
          <w:p w14:paraId="0E4DFCF1" w14:textId="77777777" w:rsidR="002C6574" w:rsidRDefault="00000000">
            <w:pPr>
              <w:pStyle w:val="TableParagraph"/>
              <w:spacing w:before="44" w:line="178" w:lineRule="exact"/>
              <w:ind w:right="64"/>
              <w:rPr>
                <w:rFonts w:ascii="Arial MT"/>
                <w:sz w:val="16"/>
              </w:rPr>
            </w:pPr>
            <w:r>
              <w:rPr>
                <w:rFonts w:ascii="Arial MT"/>
                <w:spacing w:val="-2"/>
                <w:sz w:val="16"/>
              </w:rPr>
              <w:t>(170.423)</w:t>
            </w:r>
          </w:p>
        </w:tc>
        <w:tc>
          <w:tcPr>
            <w:tcW w:w="1093" w:type="dxa"/>
            <w:tcBorders>
              <w:bottom w:val="nil"/>
              <w:right w:val="nil"/>
            </w:tcBorders>
          </w:tcPr>
          <w:p w14:paraId="60ED572E" w14:textId="77777777" w:rsidR="002C6574" w:rsidRDefault="00000000">
            <w:pPr>
              <w:pStyle w:val="TableParagraph"/>
              <w:spacing w:before="44" w:line="178" w:lineRule="exact"/>
              <w:ind w:right="70"/>
              <w:rPr>
                <w:rFonts w:ascii="Arial MT"/>
                <w:sz w:val="16"/>
              </w:rPr>
            </w:pPr>
            <w:r>
              <w:rPr>
                <w:rFonts w:ascii="Arial MT"/>
                <w:spacing w:val="-2"/>
                <w:sz w:val="16"/>
              </w:rPr>
              <w:t>(135.121)</w:t>
            </w:r>
          </w:p>
        </w:tc>
      </w:tr>
      <w:tr w:rsidR="002C6574" w14:paraId="57D59C03" w14:textId="77777777">
        <w:trPr>
          <w:trHeight w:val="226"/>
        </w:trPr>
        <w:tc>
          <w:tcPr>
            <w:tcW w:w="5334" w:type="dxa"/>
            <w:tcBorders>
              <w:top w:val="nil"/>
              <w:left w:val="nil"/>
              <w:bottom w:val="nil"/>
            </w:tcBorders>
          </w:tcPr>
          <w:p w14:paraId="1FA57EE7" w14:textId="77777777" w:rsidR="002C6574" w:rsidRDefault="00000000">
            <w:pPr>
              <w:pStyle w:val="TableParagraph"/>
              <w:spacing w:before="30" w:line="176" w:lineRule="exact"/>
              <w:ind w:left="249"/>
              <w:jc w:val="left"/>
              <w:rPr>
                <w:rFonts w:ascii="Arial MT" w:hAnsi="Arial MT"/>
                <w:sz w:val="16"/>
              </w:rPr>
            </w:pPr>
            <w:r>
              <w:rPr>
                <w:rFonts w:ascii="Arial MT" w:hAnsi="Arial MT"/>
                <w:sz w:val="16"/>
              </w:rPr>
              <w:t>Serviços</w:t>
            </w:r>
            <w:r>
              <w:rPr>
                <w:rFonts w:ascii="Arial MT" w:hAnsi="Arial MT"/>
                <w:spacing w:val="-6"/>
                <w:sz w:val="16"/>
              </w:rPr>
              <w:t xml:space="preserve"> </w:t>
            </w:r>
            <w:r>
              <w:rPr>
                <w:rFonts w:ascii="Arial MT" w:hAnsi="Arial MT"/>
                <w:sz w:val="16"/>
              </w:rPr>
              <w:t>de</w:t>
            </w:r>
            <w:r>
              <w:rPr>
                <w:rFonts w:ascii="Arial MT" w:hAnsi="Arial MT"/>
                <w:spacing w:val="-5"/>
                <w:sz w:val="16"/>
              </w:rPr>
              <w:t xml:space="preserve"> </w:t>
            </w:r>
            <w:r>
              <w:rPr>
                <w:rFonts w:ascii="Arial MT" w:hAnsi="Arial MT"/>
                <w:spacing w:val="-2"/>
                <w:sz w:val="16"/>
              </w:rPr>
              <w:t>Terceiros</w:t>
            </w:r>
          </w:p>
        </w:tc>
        <w:tc>
          <w:tcPr>
            <w:tcW w:w="860" w:type="dxa"/>
            <w:tcBorders>
              <w:top w:val="nil"/>
              <w:bottom w:val="nil"/>
            </w:tcBorders>
            <w:shd w:val="clear" w:color="auto" w:fill="66FFFF"/>
          </w:tcPr>
          <w:p w14:paraId="2B0214EC" w14:textId="77777777" w:rsidR="002C6574" w:rsidRDefault="00000000">
            <w:pPr>
              <w:pStyle w:val="TableParagraph"/>
              <w:spacing w:before="9"/>
              <w:ind w:right="62"/>
              <w:rPr>
                <w:rFonts w:ascii="Arial MT"/>
                <w:sz w:val="16"/>
              </w:rPr>
            </w:pPr>
            <w:r>
              <w:rPr>
                <w:rFonts w:ascii="Arial MT"/>
                <w:spacing w:val="-2"/>
                <w:sz w:val="16"/>
              </w:rPr>
              <w:t>(36.583)</w:t>
            </w:r>
          </w:p>
        </w:tc>
        <w:tc>
          <w:tcPr>
            <w:tcW w:w="987" w:type="dxa"/>
            <w:tcBorders>
              <w:top w:val="nil"/>
              <w:bottom w:val="nil"/>
            </w:tcBorders>
          </w:tcPr>
          <w:p w14:paraId="09E973A2" w14:textId="77777777" w:rsidR="002C6574" w:rsidRDefault="00000000">
            <w:pPr>
              <w:pStyle w:val="TableParagraph"/>
              <w:spacing w:before="30" w:line="176" w:lineRule="exact"/>
              <w:ind w:right="63"/>
              <w:rPr>
                <w:rFonts w:ascii="Arial MT"/>
                <w:sz w:val="16"/>
              </w:rPr>
            </w:pPr>
            <w:r>
              <w:rPr>
                <w:rFonts w:ascii="Arial MT"/>
                <w:spacing w:val="-2"/>
                <w:sz w:val="16"/>
              </w:rPr>
              <w:t>(44.153)</w:t>
            </w:r>
          </w:p>
        </w:tc>
        <w:tc>
          <w:tcPr>
            <w:tcW w:w="1004" w:type="dxa"/>
            <w:tcBorders>
              <w:top w:val="nil"/>
              <w:bottom w:val="nil"/>
              <w:right w:val="nil"/>
            </w:tcBorders>
          </w:tcPr>
          <w:p w14:paraId="5C05D5C8" w14:textId="77777777" w:rsidR="002C6574" w:rsidRDefault="00000000">
            <w:pPr>
              <w:pStyle w:val="TableParagraph"/>
              <w:spacing w:before="30" w:line="176" w:lineRule="exact"/>
              <w:ind w:right="66"/>
              <w:rPr>
                <w:rFonts w:ascii="Arial MT"/>
                <w:sz w:val="16"/>
              </w:rPr>
            </w:pPr>
            <w:r>
              <w:rPr>
                <w:rFonts w:ascii="Arial MT"/>
                <w:spacing w:val="-2"/>
                <w:sz w:val="16"/>
              </w:rPr>
              <w:t>(40.050)</w:t>
            </w:r>
          </w:p>
        </w:tc>
        <w:tc>
          <w:tcPr>
            <w:tcW w:w="185" w:type="dxa"/>
            <w:vMerge/>
            <w:tcBorders>
              <w:top w:val="nil"/>
              <w:left w:val="nil"/>
              <w:bottom w:val="nil"/>
              <w:right w:val="nil"/>
            </w:tcBorders>
          </w:tcPr>
          <w:p w14:paraId="66E741E1" w14:textId="77777777" w:rsidR="002C6574" w:rsidRDefault="002C6574">
            <w:pPr>
              <w:rPr>
                <w:sz w:val="2"/>
                <w:szCs w:val="2"/>
              </w:rPr>
            </w:pPr>
          </w:p>
        </w:tc>
        <w:tc>
          <w:tcPr>
            <w:tcW w:w="1030" w:type="dxa"/>
            <w:tcBorders>
              <w:top w:val="nil"/>
              <w:left w:val="nil"/>
              <w:bottom w:val="nil"/>
            </w:tcBorders>
          </w:tcPr>
          <w:p w14:paraId="50D747FA" w14:textId="77777777" w:rsidR="002C6574" w:rsidRDefault="00000000">
            <w:pPr>
              <w:pStyle w:val="TableParagraph"/>
              <w:spacing w:before="30" w:line="176" w:lineRule="exact"/>
              <w:ind w:right="64"/>
              <w:rPr>
                <w:rFonts w:ascii="Arial MT"/>
                <w:sz w:val="16"/>
              </w:rPr>
            </w:pPr>
            <w:r>
              <w:rPr>
                <w:rFonts w:ascii="Arial MT"/>
                <w:spacing w:val="-2"/>
                <w:sz w:val="16"/>
              </w:rPr>
              <w:t>(153.128)</w:t>
            </w:r>
          </w:p>
        </w:tc>
        <w:tc>
          <w:tcPr>
            <w:tcW w:w="1093" w:type="dxa"/>
            <w:tcBorders>
              <w:top w:val="nil"/>
              <w:bottom w:val="nil"/>
              <w:right w:val="nil"/>
            </w:tcBorders>
          </w:tcPr>
          <w:p w14:paraId="6DF12998" w14:textId="77777777" w:rsidR="002C6574" w:rsidRDefault="00000000">
            <w:pPr>
              <w:pStyle w:val="TableParagraph"/>
              <w:spacing w:before="30" w:line="176" w:lineRule="exact"/>
              <w:ind w:right="70"/>
              <w:rPr>
                <w:rFonts w:ascii="Arial MT"/>
                <w:sz w:val="16"/>
              </w:rPr>
            </w:pPr>
            <w:r>
              <w:rPr>
                <w:rFonts w:ascii="Arial MT"/>
                <w:spacing w:val="-2"/>
                <w:sz w:val="16"/>
              </w:rPr>
              <w:t>(173.875)</w:t>
            </w:r>
          </w:p>
        </w:tc>
      </w:tr>
      <w:tr w:rsidR="002C6574" w14:paraId="299B95FE" w14:textId="77777777">
        <w:trPr>
          <w:trHeight w:val="226"/>
        </w:trPr>
        <w:tc>
          <w:tcPr>
            <w:tcW w:w="5334" w:type="dxa"/>
            <w:tcBorders>
              <w:top w:val="nil"/>
              <w:left w:val="nil"/>
              <w:bottom w:val="nil"/>
            </w:tcBorders>
          </w:tcPr>
          <w:p w14:paraId="38CEF93B" w14:textId="77777777" w:rsidR="002C6574" w:rsidRDefault="00000000">
            <w:pPr>
              <w:pStyle w:val="TableParagraph"/>
              <w:spacing w:before="29" w:line="178" w:lineRule="exact"/>
              <w:ind w:left="249"/>
              <w:jc w:val="left"/>
              <w:rPr>
                <w:rFonts w:ascii="Arial MT"/>
                <w:sz w:val="16"/>
              </w:rPr>
            </w:pPr>
            <w:r>
              <w:rPr>
                <w:rFonts w:ascii="Arial MT"/>
                <w:sz w:val="16"/>
              </w:rPr>
              <w:t>Pessoal</w:t>
            </w:r>
            <w:r>
              <w:rPr>
                <w:rFonts w:ascii="Arial MT"/>
                <w:spacing w:val="-8"/>
                <w:sz w:val="16"/>
              </w:rPr>
              <w:t xml:space="preserve"> </w:t>
            </w:r>
            <w:r>
              <w:rPr>
                <w:rFonts w:ascii="Arial MT"/>
                <w:sz w:val="16"/>
              </w:rPr>
              <w:t>(Exclui</w:t>
            </w:r>
            <w:r>
              <w:rPr>
                <w:rFonts w:ascii="Arial MT"/>
                <w:spacing w:val="-9"/>
                <w:sz w:val="16"/>
              </w:rPr>
              <w:t xml:space="preserve"> </w:t>
            </w:r>
            <w:r>
              <w:rPr>
                <w:rFonts w:ascii="Arial MT"/>
                <w:spacing w:val="-2"/>
                <w:sz w:val="16"/>
              </w:rPr>
              <w:t>PISP)</w:t>
            </w:r>
          </w:p>
        </w:tc>
        <w:tc>
          <w:tcPr>
            <w:tcW w:w="860" w:type="dxa"/>
            <w:tcBorders>
              <w:top w:val="nil"/>
              <w:bottom w:val="nil"/>
            </w:tcBorders>
            <w:shd w:val="clear" w:color="auto" w:fill="66FFFF"/>
          </w:tcPr>
          <w:p w14:paraId="773C139D" w14:textId="77777777" w:rsidR="002C6574" w:rsidRDefault="00000000">
            <w:pPr>
              <w:pStyle w:val="TableParagraph"/>
              <w:spacing w:before="7"/>
              <w:ind w:right="62"/>
              <w:rPr>
                <w:rFonts w:ascii="Arial MT"/>
                <w:sz w:val="16"/>
              </w:rPr>
            </w:pPr>
            <w:r>
              <w:rPr>
                <w:rFonts w:ascii="Arial MT"/>
                <w:spacing w:val="-2"/>
                <w:sz w:val="16"/>
              </w:rPr>
              <w:t>(32.547)</w:t>
            </w:r>
          </w:p>
        </w:tc>
        <w:tc>
          <w:tcPr>
            <w:tcW w:w="987" w:type="dxa"/>
            <w:tcBorders>
              <w:top w:val="nil"/>
              <w:bottom w:val="nil"/>
            </w:tcBorders>
          </w:tcPr>
          <w:p w14:paraId="56C95D4D" w14:textId="77777777" w:rsidR="002C6574" w:rsidRDefault="00000000">
            <w:pPr>
              <w:pStyle w:val="TableParagraph"/>
              <w:spacing w:before="29" w:line="178" w:lineRule="exact"/>
              <w:ind w:right="63"/>
              <w:rPr>
                <w:rFonts w:ascii="Arial MT"/>
                <w:sz w:val="16"/>
              </w:rPr>
            </w:pPr>
            <w:r>
              <w:rPr>
                <w:rFonts w:ascii="Arial MT"/>
                <w:spacing w:val="-2"/>
                <w:sz w:val="16"/>
              </w:rPr>
              <w:t>(28.530)</w:t>
            </w:r>
          </w:p>
        </w:tc>
        <w:tc>
          <w:tcPr>
            <w:tcW w:w="1004" w:type="dxa"/>
            <w:tcBorders>
              <w:top w:val="nil"/>
              <w:bottom w:val="nil"/>
              <w:right w:val="nil"/>
            </w:tcBorders>
          </w:tcPr>
          <w:p w14:paraId="060D4923" w14:textId="77777777" w:rsidR="002C6574" w:rsidRDefault="00000000">
            <w:pPr>
              <w:pStyle w:val="TableParagraph"/>
              <w:spacing w:before="29" w:line="178" w:lineRule="exact"/>
              <w:ind w:right="66"/>
              <w:rPr>
                <w:rFonts w:ascii="Arial MT"/>
                <w:sz w:val="16"/>
              </w:rPr>
            </w:pPr>
            <w:r>
              <w:rPr>
                <w:rFonts w:ascii="Arial MT"/>
                <w:spacing w:val="-2"/>
                <w:sz w:val="16"/>
              </w:rPr>
              <w:t>(29.536)</w:t>
            </w:r>
          </w:p>
        </w:tc>
        <w:tc>
          <w:tcPr>
            <w:tcW w:w="185" w:type="dxa"/>
            <w:vMerge/>
            <w:tcBorders>
              <w:top w:val="nil"/>
              <w:left w:val="nil"/>
              <w:bottom w:val="nil"/>
              <w:right w:val="nil"/>
            </w:tcBorders>
          </w:tcPr>
          <w:p w14:paraId="46BB8859" w14:textId="77777777" w:rsidR="002C6574" w:rsidRDefault="002C6574">
            <w:pPr>
              <w:rPr>
                <w:sz w:val="2"/>
                <w:szCs w:val="2"/>
              </w:rPr>
            </w:pPr>
          </w:p>
        </w:tc>
        <w:tc>
          <w:tcPr>
            <w:tcW w:w="1030" w:type="dxa"/>
            <w:tcBorders>
              <w:top w:val="nil"/>
              <w:left w:val="nil"/>
              <w:bottom w:val="nil"/>
            </w:tcBorders>
          </w:tcPr>
          <w:p w14:paraId="236AA6DC" w14:textId="77777777" w:rsidR="002C6574" w:rsidRDefault="00000000">
            <w:pPr>
              <w:pStyle w:val="TableParagraph"/>
              <w:spacing w:before="29" w:line="178" w:lineRule="exact"/>
              <w:ind w:right="64"/>
              <w:rPr>
                <w:rFonts w:ascii="Arial MT"/>
                <w:sz w:val="16"/>
              </w:rPr>
            </w:pPr>
            <w:r>
              <w:rPr>
                <w:rFonts w:ascii="Arial MT"/>
                <w:spacing w:val="-2"/>
                <w:sz w:val="16"/>
              </w:rPr>
              <w:t>(119.390)</w:t>
            </w:r>
          </w:p>
        </w:tc>
        <w:tc>
          <w:tcPr>
            <w:tcW w:w="1093" w:type="dxa"/>
            <w:tcBorders>
              <w:top w:val="nil"/>
              <w:bottom w:val="nil"/>
              <w:right w:val="nil"/>
            </w:tcBorders>
          </w:tcPr>
          <w:p w14:paraId="4D90084F" w14:textId="77777777" w:rsidR="002C6574" w:rsidRDefault="00000000">
            <w:pPr>
              <w:pStyle w:val="TableParagraph"/>
              <w:spacing w:before="29" w:line="178" w:lineRule="exact"/>
              <w:ind w:right="70"/>
              <w:rPr>
                <w:rFonts w:ascii="Arial MT"/>
                <w:sz w:val="16"/>
              </w:rPr>
            </w:pPr>
            <w:r>
              <w:rPr>
                <w:rFonts w:ascii="Arial MT"/>
                <w:spacing w:val="-2"/>
                <w:sz w:val="16"/>
              </w:rPr>
              <w:t>(111.058)</w:t>
            </w:r>
          </w:p>
        </w:tc>
      </w:tr>
      <w:tr w:rsidR="002C6574" w14:paraId="6689EE4A" w14:textId="77777777">
        <w:trPr>
          <w:trHeight w:val="226"/>
        </w:trPr>
        <w:tc>
          <w:tcPr>
            <w:tcW w:w="5334" w:type="dxa"/>
            <w:tcBorders>
              <w:top w:val="nil"/>
              <w:left w:val="nil"/>
              <w:bottom w:val="nil"/>
            </w:tcBorders>
          </w:tcPr>
          <w:p w14:paraId="50D5FC33" w14:textId="77777777" w:rsidR="002C6574" w:rsidRDefault="00000000">
            <w:pPr>
              <w:pStyle w:val="TableParagraph"/>
              <w:spacing w:before="30" w:line="176" w:lineRule="exact"/>
              <w:ind w:left="249"/>
              <w:jc w:val="left"/>
              <w:rPr>
                <w:rFonts w:ascii="Arial MT" w:hAnsi="Arial MT"/>
                <w:sz w:val="16"/>
              </w:rPr>
            </w:pPr>
            <w:r>
              <w:rPr>
                <w:rFonts w:ascii="Arial MT" w:hAnsi="Arial MT"/>
                <w:sz w:val="16"/>
              </w:rPr>
              <w:t>Aluguéis</w:t>
            </w:r>
            <w:r>
              <w:rPr>
                <w:rFonts w:ascii="Arial MT" w:hAnsi="Arial MT"/>
                <w:spacing w:val="-4"/>
                <w:sz w:val="16"/>
              </w:rPr>
              <w:t xml:space="preserve"> </w:t>
            </w:r>
            <w:r>
              <w:rPr>
                <w:rFonts w:ascii="Arial MT" w:hAnsi="Arial MT"/>
                <w:sz w:val="16"/>
              </w:rPr>
              <w:t>e</w:t>
            </w:r>
            <w:r>
              <w:rPr>
                <w:rFonts w:ascii="Arial MT" w:hAnsi="Arial MT"/>
                <w:spacing w:val="-3"/>
                <w:sz w:val="16"/>
              </w:rPr>
              <w:t xml:space="preserve"> </w:t>
            </w:r>
            <w:r>
              <w:rPr>
                <w:rFonts w:ascii="Arial MT" w:hAnsi="Arial MT"/>
                <w:spacing w:val="-2"/>
                <w:sz w:val="16"/>
              </w:rPr>
              <w:t>Locações</w:t>
            </w:r>
          </w:p>
        </w:tc>
        <w:tc>
          <w:tcPr>
            <w:tcW w:w="860" w:type="dxa"/>
            <w:tcBorders>
              <w:top w:val="nil"/>
              <w:bottom w:val="nil"/>
            </w:tcBorders>
            <w:shd w:val="clear" w:color="auto" w:fill="66FFFF"/>
          </w:tcPr>
          <w:p w14:paraId="3C3922F2" w14:textId="77777777" w:rsidR="002C6574" w:rsidRDefault="00000000">
            <w:pPr>
              <w:pStyle w:val="TableParagraph"/>
              <w:spacing w:before="9"/>
              <w:ind w:right="62"/>
              <w:rPr>
                <w:rFonts w:ascii="Arial MT"/>
                <w:sz w:val="16"/>
              </w:rPr>
            </w:pPr>
            <w:r>
              <w:rPr>
                <w:rFonts w:ascii="Arial MT"/>
                <w:spacing w:val="-2"/>
                <w:sz w:val="16"/>
              </w:rPr>
              <w:t>(21.764)</w:t>
            </w:r>
          </w:p>
        </w:tc>
        <w:tc>
          <w:tcPr>
            <w:tcW w:w="987" w:type="dxa"/>
            <w:tcBorders>
              <w:top w:val="nil"/>
              <w:bottom w:val="nil"/>
            </w:tcBorders>
          </w:tcPr>
          <w:p w14:paraId="76FE5F66" w14:textId="77777777" w:rsidR="002C6574" w:rsidRDefault="00000000">
            <w:pPr>
              <w:pStyle w:val="TableParagraph"/>
              <w:spacing w:before="30" w:line="176" w:lineRule="exact"/>
              <w:ind w:right="63"/>
              <w:rPr>
                <w:rFonts w:ascii="Arial MT"/>
                <w:sz w:val="16"/>
              </w:rPr>
            </w:pPr>
            <w:r>
              <w:rPr>
                <w:rFonts w:ascii="Arial MT"/>
                <w:spacing w:val="-2"/>
                <w:sz w:val="16"/>
              </w:rPr>
              <w:t>(16.119)</w:t>
            </w:r>
          </w:p>
        </w:tc>
        <w:tc>
          <w:tcPr>
            <w:tcW w:w="1004" w:type="dxa"/>
            <w:tcBorders>
              <w:top w:val="nil"/>
              <w:bottom w:val="nil"/>
              <w:right w:val="nil"/>
            </w:tcBorders>
          </w:tcPr>
          <w:p w14:paraId="179EC2D2" w14:textId="77777777" w:rsidR="002C6574" w:rsidRDefault="00000000">
            <w:pPr>
              <w:pStyle w:val="TableParagraph"/>
              <w:spacing w:before="30" w:line="176" w:lineRule="exact"/>
              <w:ind w:right="66"/>
              <w:rPr>
                <w:rFonts w:ascii="Arial MT"/>
                <w:sz w:val="16"/>
              </w:rPr>
            </w:pPr>
            <w:r>
              <w:rPr>
                <w:rFonts w:ascii="Arial MT"/>
                <w:spacing w:val="-2"/>
                <w:sz w:val="16"/>
              </w:rPr>
              <w:t>(11.751)</w:t>
            </w:r>
          </w:p>
        </w:tc>
        <w:tc>
          <w:tcPr>
            <w:tcW w:w="185" w:type="dxa"/>
            <w:vMerge/>
            <w:tcBorders>
              <w:top w:val="nil"/>
              <w:left w:val="nil"/>
              <w:bottom w:val="nil"/>
              <w:right w:val="nil"/>
            </w:tcBorders>
          </w:tcPr>
          <w:p w14:paraId="40A4A205" w14:textId="77777777" w:rsidR="002C6574" w:rsidRDefault="002C6574">
            <w:pPr>
              <w:rPr>
                <w:sz w:val="2"/>
                <w:szCs w:val="2"/>
              </w:rPr>
            </w:pPr>
          </w:p>
        </w:tc>
        <w:tc>
          <w:tcPr>
            <w:tcW w:w="1030" w:type="dxa"/>
            <w:tcBorders>
              <w:top w:val="nil"/>
              <w:left w:val="nil"/>
              <w:bottom w:val="nil"/>
            </w:tcBorders>
          </w:tcPr>
          <w:p w14:paraId="06E86858" w14:textId="77777777" w:rsidR="002C6574" w:rsidRDefault="00000000">
            <w:pPr>
              <w:pStyle w:val="TableParagraph"/>
              <w:spacing w:before="30" w:line="176" w:lineRule="exact"/>
              <w:ind w:right="64"/>
              <w:rPr>
                <w:rFonts w:ascii="Arial MT"/>
                <w:sz w:val="16"/>
              </w:rPr>
            </w:pPr>
            <w:r>
              <w:rPr>
                <w:rFonts w:ascii="Arial MT"/>
                <w:spacing w:val="-2"/>
                <w:sz w:val="16"/>
              </w:rPr>
              <w:t>(62.049)</w:t>
            </w:r>
          </w:p>
        </w:tc>
        <w:tc>
          <w:tcPr>
            <w:tcW w:w="1093" w:type="dxa"/>
            <w:tcBorders>
              <w:top w:val="nil"/>
              <w:bottom w:val="nil"/>
              <w:right w:val="nil"/>
            </w:tcBorders>
          </w:tcPr>
          <w:p w14:paraId="1CF7B93C" w14:textId="77777777" w:rsidR="002C6574" w:rsidRDefault="00000000">
            <w:pPr>
              <w:pStyle w:val="TableParagraph"/>
              <w:spacing w:before="30" w:line="176" w:lineRule="exact"/>
              <w:ind w:right="70"/>
              <w:rPr>
                <w:rFonts w:ascii="Arial MT"/>
                <w:sz w:val="16"/>
              </w:rPr>
            </w:pPr>
            <w:r>
              <w:rPr>
                <w:rFonts w:ascii="Arial MT"/>
                <w:spacing w:val="-2"/>
                <w:sz w:val="16"/>
              </w:rPr>
              <w:t>(50.467)</w:t>
            </w:r>
          </w:p>
        </w:tc>
      </w:tr>
      <w:tr w:rsidR="002C6574" w14:paraId="02DA8A30" w14:textId="77777777">
        <w:trPr>
          <w:trHeight w:val="226"/>
        </w:trPr>
        <w:tc>
          <w:tcPr>
            <w:tcW w:w="5334" w:type="dxa"/>
            <w:tcBorders>
              <w:top w:val="nil"/>
              <w:left w:val="nil"/>
              <w:bottom w:val="nil"/>
            </w:tcBorders>
          </w:tcPr>
          <w:p w14:paraId="54876F43" w14:textId="77777777" w:rsidR="002C6574" w:rsidRDefault="00000000">
            <w:pPr>
              <w:pStyle w:val="TableParagraph"/>
              <w:spacing w:before="29" w:line="178" w:lineRule="exact"/>
              <w:ind w:left="249"/>
              <w:jc w:val="left"/>
              <w:rPr>
                <w:rFonts w:ascii="Arial MT"/>
                <w:sz w:val="16"/>
              </w:rPr>
            </w:pPr>
            <w:r>
              <w:rPr>
                <w:rFonts w:ascii="Arial MT"/>
                <w:spacing w:val="-2"/>
                <w:sz w:val="16"/>
              </w:rPr>
              <w:t>Tributos</w:t>
            </w:r>
          </w:p>
        </w:tc>
        <w:tc>
          <w:tcPr>
            <w:tcW w:w="860" w:type="dxa"/>
            <w:tcBorders>
              <w:top w:val="nil"/>
              <w:bottom w:val="nil"/>
            </w:tcBorders>
            <w:shd w:val="clear" w:color="auto" w:fill="66FFFF"/>
          </w:tcPr>
          <w:p w14:paraId="6AC44A22" w14:textId="77777777" w:rsidR="002C6574" w:rsidRDefault="00000000">
            <w:pPr>
              <w:pStyle w:val="TableParagraph"/>
              <w:spacing w:before="7"/>
              <w:ind w:right="62"/>
              <w:rPr>
                <w:rFonts w:ascii="Arial MT"/>
                <w:sz w:val="16"/>
              </w:rPr>
            </w:pPr>
            <w:r>
              <w:rPr>
                <w:rFonts w:ascii="Arial MT"/>
                <w:spacing w:val="-2"/>
                <w:sz w:val="16"/>
              </w:rPr>
              <w:t>(1.845)</w:t>
            </w:r>
          </w:p>
        </w:tc>
        <w:tc>
          <w:tcPr>
            <w:tcW w:w="987" w:type="dxa"/>
            <w:tcBorders>
              <w:top w:val="nil"/>
              <w:bottom w:val="nil"/>
            </w:tcBorders>
          </w:tcPr>
          <w:p w14:paraId="075CF0AB" w14:textId="77777777" w:rsidR="002C6574" w:rsidRDefault="00000000">
            <w:pPr>
              <w:pStyle w:val="TableParagraph"/>
              <w:spacing w:before="29" w:line="178" w:lineRule="exact"/>
              <w:ind w:right="63"/>
              <w:rPr>
                <w:rFonts w:ascii="Arial MT"/>
                <w:sz w:val="16"/>
              </w:rPr>
            </w:pPr>
            <w:r>
              <w:rPr>
                <w:rFonts w:ascii="Arial MT"/>
                <w:spacing w:val="-2"/>
                <w:sz w:val="16"/>
              </w:rPr>
              <w:t>(1.591)</w:t>
            </w:r>
          </w:p>
        </w:tc>
        <w:tc>
          <w:tcPr>
            <w:tcW w:w="1004" w:type="dxa"/>
            <w:tcBorders>
              <w:top w:val="nil"/>
              <w:bottom w:val="nil"/>
              <w:right w:val="nil"/>
            </w:tcBorders>
          </w:tcPr>
          <w:p w14:paraId="13897C68" w14:textId="77777777" w:rsidR="002C6574" w:rsidRDefault="00000000">
            <w:pPr>
              <w:pStyle w:val="TableParagraph"/>
              <w:spacing w:before="29" w:line="178" w:lineRule="exact"/>
              <w:ind w:right="66"/>
              <w:rPr>
                <w:rFonts w:ascii="Arial MT"/>
                <w:sz w:val="16"/>
              </w:rPr>
            </w:pPr>
            <w:r>
              <w:rPr>
                <w:rFonts w:ascii="Arial MT"/>
                <w:spacing w:val="-2"/>
                <w:sz w:val="16"/>
              </w:rPr>
              <w:t>(1.270)</w:t>
            </w:r>
          </w:p>
        </w:tc>
        <w:tc>
          <w:tcPr>
            <w:tcW w:w="185" w:type="dxa"/>
            <w:vMerge/>
            <w:tcBorders>
              <w:top w:val="nil"/>
              <w:left w:val="nil"/>
              <w:bottom w:val="nil"/>
              <w:right w:val="nil"/>
            </w:tcBorders>
          </w:tcPr>
          <w:p w14:paraId="1C7662AC" w14:textId="77777777" w:rsidR="002C6574" w:rsidRDefault="002C6574">
            <w:pPr>
              <w:rPr>
                <w:sz w:val="2"/>
                <w:szCs w:val="2"/>
              </w:rPr>
            </w:pPr>
          </w:p>
        </w:tc>
        <w:tc>
          <w:tcPr>
            <w:tcW w:w="1030" w:type="dxa"/>
            <w:tcBorders>
              <w:top w:val="nil"/>
              <w:left w:val="nil"/>
              <w:bottom w:val="nil"/>
            </w:tcBorders>
          </w:tcPr>
          <w:p w14:paraId="04B41F81" w14:textId="77777777" w:rsidR="002C6574" w:rsidRDefault="00000000">
            <w:pPr>
              <w:pStyle w:val="TableParagraph"/>
              <w:spacing w:before="29" w:line="178" w:lineRule="exact"/>
              <w:ind w:right="64"/>
              <w:rPr>
                <w:rFonts w:ascii="Arial MT"/>
                <w:sz w:val="16"/>
              </w:rPr>
            </w:pPr>
            <w:r>
              <w:rPr>
                <w:rFonts w:ascii="Arial MT"/>
                <w:spacing w:val="-2"/>
                <w:sz w:val="16"/>
              </w:rPr>
              <w:t>(6.256)</w:t>
            </w:r>
          </w:p>
        </w:tc>
        <w:tc>
          <w:tcPr>
            <w:tcW w:w="1093" w:type="dxa"/>
            <w:tcBorders>
              <w:top w:val="nil"/>
              <w:bottom w:val="nil"/>
              <w:right w:val="nil"/>
            </w:tcBorders>
          </w:tcPr>
          <w:p w14:paraId="0D294220" w14:textId="77777777" w:rsidR="002C6574" w:rsidRDefault="00000000">
            <w:pPr>
              <w:pStyle w:val="TableParagraph"/>
              <w:spacing w:before="29" w:line="178" w:lineRule="exact"/>
              <w:ind w:right="70"/>
              <w:rPr>
                <w:rFonts w:ascii="Arial MT"/>
                <w:sz w:val="16"/>
              </w:rPr>
            </w:pPr>
            <w:r>
              <w:rPr>
                <w:rFonts w:ascii="Arial MT"/>
                <w:spacing w:val="-2"/>
                <w:sz w:val="16"/>
              </w:rPr>
              <w:t>(5.372)</w:t>
            </w:r>
          </w:p>
        </w:tc>
      </w:tr>
      <w:tr w:rsidR="002C6574" w14:paraId="5BA89B53" w14:textId="77777777">
        <w:trPr>
          <w:trHeight w:val="227"/>
        </w:trPr>
        <w:tc>
          <w:tcPr>
            <w:tcW w:w="5334" w:type="dxa"/>
            <w:tcBorders>
              <w:top w:val="nil"/>
              <w:left w:val="nil"/>
              <w:bottom w:val="nil"/>
            </w:tcBorders>
          </w:tcPr>
          <w:p w14:paraId="14F40EA2" w14:textId="77777777" w:rsidR="002C6574" w:rsidRDefault="00000000">
            <w:pPr>
              <w:pStyle w:val="TableParagraph"/>
              <w:spacing w:before="30" w:line="178" w:lineRule="exact"/>
              <w:ind w:left="249"/>
              <w:jc w:val="left"/>
              <w:rPr>
                <w:rFonts w:ascii="Arial MT"/>
                <w:sz w:val="16"/>
              </w:rPr>
            </w:pPr>
            <w:r>
              <w:rPr>
                <w:rFonts w:ascii="Arial MT"/>
                <w:sz w:val="16"/>
              </w:rPr>
              <w:t>Compartilhamento</w:t>
            </w:r>
            <w:r>
              <w:rPr>
                <w:rFonts w:ascii="Arial MT"/>
                <w:spacing w:val="-11"/>
                <w:sz w:val="16"/>
              </w:rPr>
              <w:t xml:space="preserve"> </w:t>
            </w:r>
            <w:r>
              <w:rPr>
                <w:rFonts w:ascii="Arial MT"/>
                <w:sz w:val="16"/>
              </w:rPr>
              <w:t>de</w:t>
            </w:r>
            <w:r>
              <w:rPr>
                <w:rFonts w:ascii="Arial MT"/>
                <w:spacing w:val="-8"/>
                <w:sz w:val="16"/>
              </w:rPr>
              <w:t xml:space="preserve"> </w:t>
            </w:r>
            <w:r>
              <w:rPr>
                <w:rFonts w:ascii="Arial MT"/>
                <w:spacing w:val="-2"/>
                <w:sz w:val="16"/>
              </w:rPr>
              <w:t>Infraestrutura</w:t>
            </w:r>
          </w:p>
        </w:tc>
        <w:tc>
          <w:tcPr>
            <w:tcW w:w="860" w:type="dxa"/>
            <w:tcBorders>
              <w:top w:val="nil"/>
              <w:bottom w:val="nil"/>
            </w:tcBorders>
            <w:shd w:val="clear" w:color="auto" w:fill="66FFFF"/>
          </w:tcPr>
          <w:p w14:paraId="71E2235C" w14:textId="77777777" w:rsidR="002C6574" w:rsidRDefault="00000000">
            <w:pPr>
              <w:pStyle w:val="TableParagraph"/>
              <w:spacing w:before="9"/>
              <w:ind w:right="63"/>
              <w:rPr>
                <w:rFonts w:ascii="Arial MT"/>
                <w:sz w:val="16"/>
              </w:rPr>
            </w:pPr>
            <w:r>
              <w:rPr>
                <w:rFonts w:ascii="Arial MT"/>
                <w:spacing w:val="-2"/>
                <w:sz w:val="16"/>
              </w:rPr>
              <w:t>(952)</w:t>
            </w:r>
          </w:p>
        </w:tc>
        <w:tc>
          <w:tcPr>
            <w:tcW w:w="987" w:type="dxa"/>
            <w:tcBorders>
              <w:top w:val="nil"/>
              <w:bottom w:val="nil"/>
            </w:tcBorders>
          </w:tcPr>
          <w:p w14:paraId="0B736E58" w14:textId="77777777" w:rsidR="002C6574" w:rsidRDefault="00000000">
            <w:pPr>
              <w:pStyle w:val="TableParagraph"/>
              <w:spacing w:before="30" w:line="178" w:lineRule="exact"/>
              <w:ind w:right="64"/>
              <w:rPr>
                <w:rFonts w:ascii="Arial MT"/>
                <w:sz w:val="16"/>
              </w:rPr>
            </w:pPr>
            <w:r>
              <w:rPr>
                <w:rFonts w:ascii="Arial MT"/>
                <w:spacing w:val="-2"/>
                <w:sz w:val="16"/>
              </w:rPr>
              <w:t>(504)</w:t>
            </w:r>
          </w:p>
        </w:tc>
        <w:tc>
          <w:tcPr>
            <w:tcW w:w="1004" w:type="dxa"/>
            <w:tcBorders>
              <w:top w:val="nil"/>
              <w:bottom w:val="nil"/>
              <w:right w:val="nil"/>
            </w:tcBorders>
          </w:tcPr>
          <w:p w14:paraId="665CEB6D" w14:textId="77777777" w:rsidR="002C6574" w:rsidRDefault="00000000">
            <w:pPr>
              <w:pStyle w:val="TableParagraph"/>
              <w:spacing w:before="30" w:line="178" w:lineRule="exact"/>
              <w:ind w:right="67"/>
              <w:rPr>
                <w:rFonts w:ascii="Arial MT"/>
                <w:sz w:val="16"/>
              </w:rPr>
            </w:pPr>
            <w:r>
              <w:rPr>
                <w:rFonts w:ascii="Arial MT"/>
                <w:spacing w:val="-2"/>
                <w:sz w:val="16"/>
              </w:rPr>
              <w:t>(951)</w:t>
            </w:r>
          </w:p>
        </w:tc>
        <w:tc>
          <w:tcPr>
            <w:tcW w:w="185" w:type="dxa"/>
            <w:vMerge/>
            <w:tcBorders>
              <w:top w:val="nil"/>
              <w:left w:val="nil"/>
              <w:bottom w:val="nil"/>
              <w:right w:val="nil"/>
            </w:tcBorders>
          </w:tcPr>
          <w:p w14:paraId="15C09D0D" w14:textId="77777777" w:rsidR="002C6574" w:rsidRDefault="002C6574">
            <w:pPr>
              <w:rPr>
                <w:sz w:val="2"/>
                <w:szCs w:val="2"/>
              </w:rPr>
            </w:pPr>
          </w:p>
        </w:tc>
        <w:tc>
          <w:tcPr>
            <w:tcW w:w="1030" w:type="dxa"/>
            <w:tcBorders>
              <w:top w:val="nil"/>
              <w:left w:val="nil"/>
              <w:bottom w:val="nil"/>
            </w:tcBorders>
          </w:tcPr>
          <w:p w14:paraId="1955B725" w14:textId="77777777" w:rsidR="002C6574" w:rsidRDefault="00000000">
            <w:pPr>
              <w:pStyle w:val="TableParagraph"/>
              <w:spacing w:before="30" w:line="178" w:lineRule="exact"/>
              <w:ind w:right="64"/>
              <w:rPr>
                <w:rFonts w:ascii="Arial MT"/>
                <w:sz w:val="16"/>
              </w:rPr>
            </w:pPr>
            <w:r>
              <w:rPr>
                <w:rFonts w:ascii="Arial MT"/>
                <w:spacing w:val="-2"/>
                <w:sz w:val="16"/>
              </w:rPr>
              <w:t>(3.877)</w:t>
            </w:r>
          </w:p>
        </w:tc>
        <w:tc>
          <w:tcPr>
            <w:tcW w:w="1093" w:type="dxa"/>
            <w:tcBorders>
              <w:top w:val="nil"/>
              <w:bottom w:val="nil"/>
              <w:right w:val="nil"/>
            </w:tcBorders>
          </w:tcPr>
          <w:p w14:paraId="085FBB7F" w14:textId="77777777" w:rsidR="002C6574" w:rsidRDefault="00000000">
            <w:pPr>
              <w:pStyle w:val="TableParagraph"/>
              <w:spacing w:before="30" w:line="178" w:lineRule="exact"/>
              <w:ind w:right="70"/>
              <w:rPr>
                <w:rFonts w:ascii="Arial MT"/>
                <w:sz w:val="16"/>
              </w:rPr>
            </w:pPr>
            <w:r>
              <w:rPr>
                <w:rFonts w:ascii="Arial MT"/>
                <w:spacing w:val="-2"/>
                <w:sz w:val="16"/>
              </w:rPr>
              <w:t>(3.803)</w:t>
            </w:r>
          </w:p>
        </w:tc>
      </w:tr>
      <w:tr w:rsidR="002C6574" w14:paraId="1506AD51" w14:textId="77777777">
        <w:trPr>
          <w:trHeight w:val="226"/>
        </w:trPr>
        <w:tc>
          <w:tcPr>
            <w:tcW w:w="5334" w:type="dxa"/>
            <w:tcBorders>
              <w:top w:val="nil"/>
              <w:left w:val="nil"/>
              <w:bottom w:val="nil"/>
            </w:tcBorders>
          </w:tcPr>
          <w:p w14:paraId="6E5BB516" w14:textId="77777777" w:rsidR="002C6574" w:rsidRDefault="00000000">
            <w:pPr>
              <w:pStyle w:val="TableParagraph"/>
              <w:spacing w:before="30" w:line="176" w:lineRule="exact"/>
              <w:ind w:left="249"/>
              <w:jc w:val="left"/>
              <w:rPr>
                <w:rFonts w:ascii="Arial MT" w:hAnsi="Arial MT"/>
                <w:sz w:val="16"/>
              </w:rPr>
            </w:pPr>
            <w:r>
              <w:rPr>
                <w:rFonts w:ascii="Arial MT" w:hAnsi="Arial MT"/>
                <w:sz w:val="16"/>
              </w:rPr>
              <w:t>Perda</w:t>
            </w:r>
            <w:r>
              <w:rPr>
                <w:rFonts w:ascii="Arial MT" w:hAnsi="Arial MT"/>
                <w:spacing w:val="-6"/>
                <w:sz w:val="16"/>
              </w:rPr>
              <w:t xml:space="preserve"> </w:t>
            </w:r>
            <w:r>
              <w:rPr>
                <w:rFonts w:ascii="Arial MT" w:hAnsi="Arial MT"/>
                <w:sz w:val="16"/>
              </w:rPr>
              <w:t>Estimada</w:t>
            </w:r>
            <w:r>
              <w:rPr>
                <w:rFonts w:ascii="Arial MT" w:hAnsi="Arial MT"/>
                <w:spacing w:val="-6"/>
                <w:sz w:val="16"/>
              </w:rPr>
              <w:t xml:space="preserve"> </w:t>
            </w:r>
            <w:r>
              <w:rPr>
                <w:rFonts w:ascii="Arial MT" w:hAnsi="Arial MT"/>
                <w:sz w:val="16"/>
              </w:rPr>
              <w:t>com</w:t>
            </w:r>
            <w:r>
              <w:rPr>
                <w:rFonts w:ascii="Arial MT" w:hAnsi="Arial MT"/>
                <w:spacing w:val="-5"/>
                <w:sz w:val="16"/>
              </w:rPr>
              <w:t xml:space="preserve"> </w:t>
            </w:r>
            <w:r>
              <w:rPr>
                <w:rFonts w:ascii="Arial MT" w:hAnsi="Arial MT"/>
                <w:sz w:val="16"/>
              </w:rPr>
              <w:t>Crédito</w:t>
            </w:r>
            <w:r>
              <w:rPr>
                <w:rFonts w:ascii="Arial MT" w:hAnsi="Arial MT"/>
                <w:spacing w:val="-5"/>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Liquidação</w:t>
            </w:r>
            <w:r>
              <w:rPr>
                <w:rFonts w:ascii="Arial MT" w:hAnsi="Arial MT"/>
                <w:spacing w:val="-4"/>
                <w:sz w:val="16"/>
              </w:rPr>
              <w:t xml:space="preserve"> </w:t>
            </w:r>
            <w:r>
              <w:rPr>
                <w:rFonts w:ascii="Arial MT" w:hAnsi="Arial MT"/>
                <w:spacing w:val="-2"/>
                <w:sz w:val="16"/>
              </w:rPr>
              <w:t>Duvidosa</w:t>
            </w:r>
          </w:p>
        </w:tc>
        <w:tc>
          <w:tcPr>
            <w:tcW w:w="860" w:type="dxa"/>
            <w:tcBorders>
              <w:top w:val="nil"/>
              <w:bottom w:val="nil"/>
            </w:tcBorders>
            <w:shd w:val="clear" w:color="auto" w:fill="66FFFF"/>
          </w:tcPr>
          <w:p w14:paraId="4F3F0973" w14:textId="77777777" w:rsidR="002C6574" w:rsidRDefault="00000000">
            <w:pPr>
              <w:pStyle w:val="TableParagraph"/>
              <w:spacing w:before="9"/>
              <w:ind w:right="62"/>
              <w:rPr>
                <w:rFonts w:ascii="Arial MT"/>
                <w:sz w:val="16"/>
              </w:rPr>
            </w:pPr>
            <w:r>
              <w:rPr>
                <w:rFonts w:ascii="Arial MT"/>
                <w:spacing w:val="-2"/>
                <w:sz w:val="16"/>
              </w:rPr>
              <w:t>(1.415)</w:t>
            </w:r>
          </w:p>
        </w:tc>
        <w:tc>
          <w:tcPr>
            <w:tcW w:w="987" w:type="dxa"/>
            <w:tcBorders>
              <w:top w:val="nil"/>
              <w:bottom w:val="nil"/>
            </w:tcBorders>
          </w:tcPr>
          <w:p w14:paraId="405A4F61" w14:textId="77777777" w:rsidR="002C6574" w:rsidRDefault="00000000">
            <w:pPr>
              <w:pStyle w:val="TableParagraph"/>
              <w:spacing w:before="30" w:line="176" w:lineRule="exact"/>
              <w:ind w:right="64"/>
              <w:rPr>
                <w:rFonts w:ascii="Arial MT"/>
                <w:sz w:val="16"/>
              </w:rPr>
            </w:pPr>
            <w:r>
              <w:rPr>
                <w:rFonts w:ascii="Arial MT"/>
                <w:spacing w:val="-2"/>
                <w:sz w:val="16"/>
              </w:rPr>
              <w:t>(930)</w:t>
            </w:r>
          </w:p>
        </w:tc>
        <w:tc>
          <w:tcPr>
            <w:tcW w:w="1004" w:type="dxa"/>
            <w:tcBorders>
              <w:top w:val="nil"/>
              <w:bottom w:val="nil"/>
              <w:right w:val="nil"/>
            </w:tcBorders>
          </w:tcPr>
          <w:p w14:paraId="63A40478" w14:textId="77777777" w:rsidR="002C6574" w:rsidRDefault="00000000">
            <w:pPr>
              <w:pStyle w:val="TableParagraph"/>
              <w:spacing w:before="30" w:line="176" w:lineRule="exact"/>
              <w:ind w:right="67"/>
              <w:rPr>
                <w:rFonts w:ascii="Arial MT"/>
                <w:sz w:val="16"/>
              </w:rPr>
            </w:pPr>
            <w:r>
              <w:rPr>
                <w:rFonts w:ascii="Arial MT"/>
                <w:spacing w:val="-2"/>
                <w:sz w:val="16"/>
              </w:rPr>
              <w:t>(831)</w:t>
            </w:r>
          </w:p>
        </w:tc>
        <w:tc>
          <w:tcPr>
            <w:tcW w:w="185" w:type="dxa"/>
            <w:vMerge/>
            <w:tcBorders>
              <w:top w:val="nil"/>
              <w:left w:val="nil"/>
              <w:bottom w:val="nil"/>
              <w:right w:val="nil"/>
            </w:tcBorders>
          </w:tcPr>
          <w:p w14:paraId="264C4D55" w14:textId="77777777" w:rsidR="002C6574" w:rsidRDefault="002C6574">
            <w:pPr>
              <w:rPr>
                <w:sz w:val="2"/>
                <w:szCs w:val="2"/>
              </w:rPr>
            </w:pPr>
          </w:p>
        </w:tc>
        <w:tc>
          <w:tcPr>
            <w:tcW w:w="1030" w:type="dxa"/>
            <w:tcBorders>
              <w:top w:val="nil"/>
              <w:left w:val="nil"/>
              <w:bottom w:val="nil"/>
            </w:tcBorders>
          </w:tcPr>
          <w:p w14:paraId="583F7245" w14:textId="77777777" w:rsidR="002C6574" w:rsidRDefault="00000000">
            <w:pPr>
              <w:pStyle w:val="TableParagraph"/>
              <w:spacing w:before="30" w:line="176" w:lineRule="exact"/>
              <w:ind w:right="64"/>
              <w:rPr>
                <w:rFonts w:ascii="Arial MT"/>
                <w:sz w:val="16"/>
              </w:rPr>
            </w:pPr>
            <w:r>
              <w:rPr>
                <w:rFonts w:ascii="Arial MT"/>
                <w:spacing w:val="-2"/>
                <w:sz w:val="16"/>
              </w:rPr>
              <w:t>(2.807)</w:t>
            </w:r>
          </w:p>
        </w:tc>
        <w:tc>
          <w:tcPr>
            <w:tcW w:w="1093" w:type="dxa"/>
            <w:tcBorders>
              <w:top w:val="nil"/>
              <w:bottom w:val="nil"/>
              <w:right w:val="nil"/>
            </w:tcBorders>
          </w:tcPr>
          <w:p w14:paraId="150FAA58" w14:textId="77777777" w:rsidR="002C6574" w:rsidRDefault="00000000">
            <w:pPr>
              <w:pStyle w:val="TableParagraph"/>
              <w:spacing w:before="30" w:line="176" w:lineRule="exact"/>
              <w:ind w:right="70"/>
              <w:rPr>
                <w:rFonts w:ascii="Arial MT"/>
                <w:sz w:val="16"/>
              </w:rPr>
            </w:pPr>
            <w:r>
              <w:rPr>
                <w:rFonts w:ascii="Arial MT"/>
                <w:spacing w:val="-2"/>
                <w:sz w:val="16"/>
              </w:rPr>
              <w:t>(2.752)</w:t>
            </w:r>
          </w:p>
        </w:tc>
      </w:tr>
      <w:tr w:rsidR="002C6574" w14:paraId="138D41E5" w14:textId="77777777">
        <w:trPr>
          <w:trHeight w:val="226"/>
        </w:trPr>
        <w:tc>
          <w:tcPr>
            <w:tcW w:w="5334" w:type="dxa"/>
            <w:tcBorders>
              <w:top w:val="nil"/>
              <w:left w:val="nil"/>
              <w:bottom w:val="nil"/>
            </w:tcBorders>
          </w:tcPr>
          <w:p w14:paraId="3C33AA82" w14:textId="77777777" w:rsidR="002C6574" w:rsidRDefault="00000000">
            <w:pPr>
              <w:pStyle w:val="TableParagraph"/>
              <w:spacing w:before="29" w:line="178" w:lineRule="exact"/>
              <w:ind w:left="249"/>
              <w:jc w:val="left"/>
              <w:rPr>
                <w:rFonts w:ascii="Arial MT" w:hAnsi="Arial MT"/>
                <w:sz w:val="16"/>
              </w:rPr>
            </w:pPr>
            <w:r>
              <w:rPr>
                <w:rFonts w:ascii="Arial MT" w:hAnsi="Arial MT"/>
                <w:sz w:val="16"/>
              </w:rPr>
              <w:t>Programa</w:t>
            </w:r>
            <w:r>
              <w:rPr>
                <w:rFonts w:ascii="Arial MT" w:hAnsi="Arial MT"/>
                <w:spacing w:val="-8"/>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Indenização</w:t>
            </w:r>
            <w:r>
              <w:rPr>
                <w:rFonts w:ascii="Arial MT" w:hAnsi="Arial MT"/>
                <w:spacing w:val="-6"/>
                <w:sz w:val="16"/>
              </w:rPr>
              <w:t xml:space="preserve"> </w:t>
            </w:r>
            <w:r>
              <w:rPr>
                <w:rFonts w:ascii="Arial MT" w:hAnsi="Arial MT"/>
                <w:sz w:val="16"/>
              </w:rPr>
              <w:t>por</w:t>
            </w:r>
            <w:r>
              <w:rPr>
                <w:rFonts w:ascii="Arial MT" w:hAnsi="Arial MT"/>
                <w:spacing w:val="-8"/>
                <w:sz w:val="16"/>
              </w:rPr>
              <w:t xml:space="preserve"> </w:t>
            </w:r>
            <w:r>
              <w:rPr>
                <w:rFonts w:ascii="Arial MT" w:hAnsi="Arial MT"/>
                <w:sz w:val="16"/>
              </w:rPr>
              <w:t>Serviços</w:t>
            </w:r>
            <w:r>
              <w:rPr>
                <w:rFonts w:ascii="Arial MT" w:hAnsi="Arial MT"/>
                <w:spacing w:val="-7"/>
                <w:sz w:val="16"/>
              </w:rPr>
              <w:t xml:space="preserve"> </w:t>
            </w:r>
            <w:r>
              <w:rPr>
                <w:rFonts w:ascii="Arial MT" w:hAnsi="Arial MT"/>
                <w:sz w:val="16"/>
              </w:rPr>
              <w:t>Prestados</w:t>
            </w:r>
            <w:r>
              <w:rPr>
                <w:rFonts w:ascii="Arial MT" w:hAnsi="Arial MT"/>
                <w:spacing w:val="-6"/>
                <w:sz w:val="16"/>
              </w:rPr>
              <w:t xml:space="preserve"> </w:t>
            </w:r>
            <w:r>
              <w:rPr>
                <w:rFonts w:ascii="Arial MT" w:hAnsi="Arial MT"/>
                <w:spacing w:val="-2"/>
                <w:sz w:val="16"/>
              </w:rPr>
              <w:t>(PISP)</w:t>
            </w:r>
          </w:p>
        </w:tc>
        <w:tc>
          <w:tcPr>
            <w:tcW w:w="860" w:type="dxa"/>
            <w:tcBorders>
              <w:top w:val="nil"/>
              <w:bottom w:val="nil"/>
            </w:tcBorders>
            <w:shd w:val="clear" w:color="auto" w:fill="66FFFF"/>
          </w:tcPr>
          <w:p w14:paraId="25210BE7" w14:textId="77777777" w:rsidR="002C6574" w:rsidRDefault="00000000">
            <w:pPr>
              <w:pStyle w:val="TableParagraph"/>
              <w:spacing w:before="7"/>
              <w:ind w:right="63"/>
              <w:rPr>
                <w:rFonts w:ascii="Arial MT"/>
                <w:sz w:val="16"/>
              </w:rPr>
            </w:pPr>
            <w:r>
              <w:rPr>
                <w:rFonts w:ascii="Arial MT"/>
                <w:spacing w:val="-2"/>
                <w:sz w:val="16"/>
              </w:rPr>
              <w:t>(848)</w:t>
            </w:r>
          </w:p>
        </w:tc>
        <w:tc>
          <w:tcPr>
            <w:tcW w:w="987" w:type="dxa"/>
            <w:tcBorders>
              <w:top w:val="nil"/>
              <w:bottom w:val="nil"/>
            </w:tcBorders>
          </w:tcPr>
          <w:p w14:paraId="7FD26C1D" w14:textId="77777777" w:rsidR="002C6574" w:rsidRDefault="00000000">
            <w:pPr>
              <w:pStyle w:val="TableParagraph"/>
              <w:spacing w:before="29" w:line="178" w:lineRule="exact"/>
              <w:ind w:right="64"/>
              <w:rPr>
                <w:rFonts w:ascii="Arial MT"/>
                <w:sz w:val="16"/>
              </w:rPr>
            </w:pPr>
            <w:r>
              <w:rPr>
                <w:rFonts w:ascii="Arial MT"/>
                <w:spacing w:val="-2"/>
                <w:sz w:val="16"/>
              </w:rPr>
              <w:t>(191)</w:t>
            </w:r>
          </w:p>
        </w:tc>
        <w:tc>
          <w:tcPr>
            <w:tcW w:w="1004" w:type="dxa"/>
            <w:tcBorders>
              <w:top w:val="nil"/>
              <w:bottom w:val="nil"/>
              <w:right w:val="nil"/>
            </w:tcBorders>
          </w:tcPr>
          <w:p w14:paraId="468A9483" w14:textId="77777777" w:rsidR="002C6574" w:rsidRDefault="00000000">
            <w:pPr>
              <w:pStyle w:val="TableParagraph"/>
              <w:spacing w:before="29" w:line="178" w:lineRule="exact"/>
              <w:ind w:right="69"/>
              <w:rPr>
                <w:rFonts w:ascii="Arial MT"/>
                <w:sz w:val="16"/>
              </w:rPr>
            </w:pPr>
            <w:r>
              <w:rPr>
                <w:rFonts w:ascii="Arial MT"/>
                <w:spacing w:val="-5"/>
                <w:sz w:val="16"/>
              </w:rPr>
              <w:t>324</w:t>
            </w:r>
          </w:p>
        </w:tc>
        <w:tc>
          <w:tcPr>
            <w:tcW w:w="185" w:type="dxa"/>
            <w:vMerge/>
            <w:tcBorders>
              <w:top w:val="nil"/>
              <w:left w:val="nil"/>
              <w:bottom w:val="nil"/>
              <w:right w:val="nil"/>
            </w:tcBorders>
          </w:tcPr>
          <w:p w14:paraId="4D7048B8" w14:textId="77777777" w:rsidR="002C6574" w:rsidRDefault="002C6574">
            <w:pPr>
              <w:rPr>
                <w:sz w:val="2"/>
                <w:szCs w:val="2"/>
              </w:rPr>
            </w:pPr>
          </w:p>
        </w:tc>
        <w:tc>
          <w:tcPr>
            <w:tcW w:w="1030" w:type="dxa"/>
            <w:tcBorders>
              <w:top w:val="nil"/>
              <w:left w:val="nil"/>
              <w:bottom w:val="nil"/>
            </w:tcBorders>
          </w:tcPr>
          <w:p w14:paraId="67A2A098" w14:textId="77777777" w:rsidR="002C6574" w:rsidRDefault="00000000">
            <w:pPr>
              <w:pStyle w:val="TableParagraph"/>
              <w:spacing w:before="29" w:line="178" w:lineRule="exact"/>
              <w:ind w:right="64"/>
              <w:rPr>
                <w:rFonts w:ascii="Arial MT"/>
                <w:sz w:val="16"/>
              </w:rPr>
            </w:pPr>
            <w:r>
              <w:rPr>
                <w:rFonts w:ascii="Arial MT"/>
                <w:spacing w:val="-2"/>
                <w:sz w:val="16"/>
              </w:rPr>
              <w:t>(1.733)</w:t>
            </w:r>
          </w:p>
        </w:tc>
        <w:tc>
          <w:tcPr>
            <w:tcW w:w="1093" w:type="dxa"/>
            <w:tcBorders>
              <w:top w:val="nil"/>
              <w:bottom w:val="nil"/>
              <w:right w:val="nil"/>
            </w:tcBorders>
          </w:tcPr>
          <w:p w14:paraId="64F7DAAE" w14:textId="77777777" w:rsidR="002C6574" w:rsidRDefault="00000000">
            <w:pPr>
              <w:pStyle w:val="TableParagraph"/>
              <w:spacing w:before="29" w:line="178" w:lineRule="exact"/>
              <w:ind w:right="70"/>
              <w:rPr>
                <w:rFonts w:ascii="Arial MT"/>
                <w:sz w:val="16"/>
              </w:rPr>
            </w:pPr>
            <w:r>
              <w:rPr>
                <w:rFonts w:ascii="Arial MT"/>
                <w:spacing w:val="-2"/>
                <w:sz w:val="16"/>
              </w:rPr>
              <w:t>(411)</w:t>
            </w:r>
          </w:p>
        </w:tc>
      </w:tr>
      <w:tr w:rsidR="002C6574" w14:paraId="6B40AB97" w14:textId="77777777">
        <w:trPr>
          <w:trHeight w:val="226"/>
        </w:trPr>
        <w:tc>
          <w:tcPr>
            <w:tcW w:w="5334" w:type="dxa"/>
            <w:tcBorders>
              <w:top w:val="nil"/>
              <w:left w:val="nil"/>
              <w:bottom w:val="nil"/>
            </w:tcBorders>
          </w:tcPr>
          <w:p w14:paraId="2D25AB42" w14:textId="77777777" w:rsidR="002C6574" w:rsidRDefault="00000000">
            <w:pPr>
              <w:pStyle w:val="TableParagraph"/>
              <w:spacing w:before="30" w:line="177" w:lineRule="exact"/>
              <w:ind w:left="249"/>
              <w:jc w:val="left"/>
              <w:rPr>
                <w:rFonts w:ascii="Arial MT"/>
                <w:sz w:val="16"/>
              </w:rPr>
            </w:pPr>
            <w:r>
              <w:rPr>
                <w:rFonts w:ascii="Arial MT"/>
                <w:spacing w:val="-2"/>
                <w:sz w:val="16"/>
              </w:rPr>
              <w:t>Material</w:t>
            </w:r>
          </w:p>
        </w:tc>
        <w:tc>
          <w:tcPr>
            <w:tcW w:w="860" w:type="dxa"/>
            <w:tcBorders>
              <w:top w:val="nil"/>
              <w:bottom w:val="nil"/>
            </w:tcBorders>
            <w:shd w:val="clear" w:color="auto" w:fill="66FFFF"/>
          </w:tcPr>
          <w:p w14:paraId="1927DE3E" w14:textId="77777777" w:rsidR="002C6574" w:rsidRDefault="00000000">
            <w:pPr>
              <w:pStyle w:val="TableParagraph"/>
              <w:spacing w:before="9"/>
              <w:ind w:right="65"/>
              <w:rPr>
                <w:rFonts w:ascii="Arial MT"/>
                <w:sz w:val="16"/>
              </w:rPr>
            </w:pPr>
            <w:r>
              <w:rPr>
                <w:rFonts w:ascii="Arial MT"/>
                <w:spacing w:val="-5"/>
                <w:sz w:val="16"/>
              </w:rPr>
              <w:t>(7)</w:t>
            </w:r>
          </w:p>
        </w:tc>
        <w:tc>
          <w:tcPr>
            <w:tcW w:w="987" w:type="dxa"/>
            <w:tcBorders>
              <w:top w:val="nil"/>
              <w:bottom w:val="nil"/>
            </w:tcBorders>
          </w:tcPr>
          <w:p w14:paraId="2985AD24" w14:textId="77777777" w:rsidR="002C6574" w:rsidRDefault="00000000">
            <w:pPr>
              <w:pStyle w:val="TableParagraph"/>
              <w:spacing w:before="30" w:line="177" w:lineRule="exact"/>
              <w:ind w:right="66"/>
              <w:rPr>
                <w:rFonts w:ascii="Arial MT"/>
                <w:sz w:val="16"/>
              </w:rPr>
            </w:pPr>
            <w:r>
              <w:rPr>
                <w:rFonts w:ascii="Arial MT"/>
                <w:spacing w:val="-5"/>
                <w:sz w:val="16"/>
              </w:rPr>
              <w:t>(7)</w:t>
            </w:r>
          </w:p>
        </w:tc>
        <w:tc>
          <w:tcPr>
            <w:tcW w:w="1004" w:type="dxa"/>
            <w:tcBorders>
              <w:top w:val="nil"/>
              <w:bottom w:val="nil"/>
              <w:right w:val="nil"/>
            </w:tcBorders>
          </w:tcPr>
          <w:p w14:paraId="085015E6" w14:textId="77777777" w:rsidR="002C6574" w:rsidRDefault="00000000">
            <w:pPr>
              <w:pStyle w:val="TableParagraph"/>
              <w:spacing w:before="30" w:line="177" w:lineRule="exact"/>
              <w:ind w:right="69"/>
              <w:rPr>
                <w:rFonts w:ascii="Arial MT"/>
                <w:sz w:val="16"/>
              </w:rPr>
            </w:pPr>
            <w:r>
              <w:rPr>
                <w:rFonts w:ascii="Arial MT"/>
                <w:spacing w:val="-4"/>
                <w:sz w:val="16"/>
              </w:rPr>
              <w:t>(52)</w:t>
            </w:r>
          </w:p>
        </w:tc>
        <w:tc>
          <w:tcPr>
            <w:tcW w:w="185" w:type="dxa"/>
            <w:vMerge/>
            <w:tcBorders>
              <w:top w:val="nil"/>
              <w:left w:val="nil"/>
              <w:bottom w:val="nil"/>
              <w:right w:val="nil"/>
            </w:tcBorders>
          </w:tcPr>
          <w:p w14:paraId="0364C78A" w14:textId="77777777" w:rsidR="002C6574" w:rsidRDefault="002C6574">
            <w:pPr>
              <w:rPr>
                <w:sz w:val="2"/>
                <w:szCs w:val="2"/>
              </w:rPr>
            </w:pPr>
          </w:p>
        </w:tc>
        <w:tc>
          <w:tcPr>
            <w:tcW w:w="1030" w:type="dxa"/>
            <w:tcBorders>
              <w:top w:val="nil"/>
              <w:left w:val="nil"/>
              <w:bottom w:val="nil"/>
            </w:tcBorders>
          </w:tcPr>
          <w:p w14:paraId="4C47A856" w14:textId="77777777" w:rsidR="002C6574" w:rsidRDefault="00000000">
            <w:pPr>
              <w:pStyle w:val="TableParagraph"/>
              <w:spacing w:before="30" w:line="177" w:lineRule="exact"/>
              <w:ind w:right="62"/>
              <w:rPr>
                <w:rFonts w:ascii="Arial MT"/>
                <w:sz w:val="16"/>
              </w:rPr>
            </w:pPr>
            <w:r>
              <w:rPr>
                <w:rFonts w:ascii="Arial MT"/>
                <w:spacing w:val="-4"/>
                <w:sz w:val="16"/>
              </w:rPr>
              <w:t>(76)</w:t>
            </w:r>
          </w:p>
        </w:tc>
        <w:tc>
          <w:tcPr>
            <w:tcW w:w="1093" w:type="dxa"/>
            <w:tcBorders>
              <w:top w:val="nil"/>
              <w:bottom w:val="nil"/>
              <w:right w:val="nil"/>
            </w:tcBorders>
          </w:tcPr>
          <w:p w14:paraId="7411D5B6" w14:textId="77777777" w:rsidR="002C6574" w:rsidRDefault="00000000">
            <w:pPr>
              <w:pStyle w:val="TableParagraph"/>
              <w:spacing w:before="30" w:line="177" w:lineRule="exact"/>
              <w:ind w:right="70"/>
              <w:rPr>
                <w:rFonts w:ascii="Arial MT"/>
                <w:sz w:val="16"/>
              </w:rPr>
            </w:pPr>
            <w:r>
              <w:rPr>
                <w:rFonts w:ascii="Arial MT"/>
                <w:spacing w:val="-2"/>
                <w:sz w:val="16"/>
              </w:rPr>
              <w:t>(809)</w:t>
            </w:r>
          </w:p>
        </w:tc>
      </w:tr>
      <w:tr w:rsidR="002C6574" w14:paraId="737369D3" w14:textId="77777777">
        <w:trPr>
          <w:trHeight w:val="226"/>
        </w:trPr>
        <w:tc>
          <w:tcPr>
            <w:tcW w:w="5334" w:type="dxa"/>
            <w:tcBorders>
              <w:top w:val="nil"/>
              <w:left w:val="nil"/>
              <w:bottom w:val="nil"/>
            </w:tcBorders>
          </w:tcPr>
          <w:p w14:paraId="2B039F17" w14:textId="77777777" w:rsidR="002C6574" w:rsidRDefault="00000000">
            <w:pPr>
              <w:pStyle w:val="TableParagraph"/>
              <w:spacing w:before="29" w:line="178" w:lineRule="exact"/>
              <w:ind w:left="249"/>
              <w:jc w:val="left"/>
              <w:rPr>
                <w:rFonts w:ascii="Arial MT" w:hAnsi="Arial MT"/>
                <w:sz w:val="16"/>
              </w:rPr>
            </w:pPr>
            <w:r>
              <w:rPr>
                <w:rFonts w:ascii="Arial MT" w:hAnsi="Arial MT"/>
                <w:spacing w:val="-2"/>
                <w:sz w:val="16"/>
              </w:rPr>
              <w:t>Equivalência</w:t>
            </w:r>
            <w:r>
              <w:rPr>
                <w:rFonts w:ascii="Arial MT" w:hAnsi="Arial MT"/>
                <w:spacing w:val="7"/>
                <w:sz w:val="16"/>
              </w:rPr>
              <w:t xml:space="preserve"> </w:t>
            </w:r>
            <w:r>
              <w:rPr>
                <w:rFonts w:ascii="Arial MT" w:hAnsi="Arial MT"/>
                <w:spacing w:val="-2"/>
                <w:sz w:val="16"/>
              </w:rPr>
              <w:t>Patrimonial</w:t>
            </w:r>
          </w:p>
        </w:tc>
        <w:tc>
          <w:tcPr>
            <w:tcW w:w="860" w:type="dxa"/>
            <w:tcBorders>
              <w:top w:val="nil"/>
              <w:bottom w:val="nil"/>
            </w:tcBorders>
            <w:shd w:val="clear" w:color="auto" w:fill="66FFFF"/>
          </w:tcPr>
          <w:p w14:paraId="44FB0A19" w14:textId="77777777" w:rsidR="002C6574" w:rsidRDefault="00000000">
            <w:pPr>
              <w:pStyle w:val="TableParagraph"/>
              <w:spacing w:before="8"/>
              <w:ind w:right="65"/>
              <w:rPr>
                <w:rFonts w:ascii="Arial MT"/>
                <w:sz w:val="16"/>
              </w:rPr>
            </w:pPr>
            <w:r>
              <w:rPr>
                <w:rFonts w:ascii="Arial MT"/>
                <w:spacing w:val="-2"/>
                <w:sz w:val="16"/>
              </w:rPr>
              <w:t>1.404</w:t>
            </w:r>
          </w:p>
        </w:tc>
        <w:tc>
          <w:tcPr>
            <w:tcW w:w="987" w:type="dxa"/>
            <w:tcBorders>
              <w:top w:val="nil"/>
              <w:bottom w:val="nil"/>
            </w:tcBorders>
          </w:tcPr>
          <w:p w14:paraId="6DBF4BA1" w14:textId="77777777" w:rsidR="002C6574" w:rsidRDefault="00000000">
            <w:pPr>
              <w:pStyle w:val="TableParagraph"/>
              <w:spacing w:before="29" w:line="178" w:lineRule="exact"/>
              <w:ind w:right="66"/>
              <w:rPr>
                <w:rFonts w:ascii="Arial MT"/>
                <w:sz w:val="16"/>
              </w:rPr>
            </w:pPr>
            <w:r>
              <w:rPr>
                <w:rFonts w:ascii="Arial MT"/>
                <w:spacing w:val="-5"/>
                <w:sz w:val="16"/>
              </w:rPr>
              <w:t>409</w:t>
            </w:r>
          </w:p>
        </w:tc>
        <w:tc>
          <w:tcPr>
            <w:tcW w:w="1004" w:type="dxa"/>
            <w:tcBorders>
              <w:top w:val="nil"/>
              <w:bottom w:val="nil"/>
              <w:right w:val="nil"/>
            </w:tcBorders>
          </w:tcPr>
          <w:p w14:paraId="5EC54491" w14:textId="77777777" w:rsidR="002C6574" w:rsidRDefault="00000000">
            <w:pPr>
              <w:pStyle w:val="TableParagraph"/>
              <w:spacing w:before="29" w:line="178" w:lineRule="exact"/>
              <w:ind w:right="70"/>
              <w:rPr>
                <w:rFonts w:ascii="Arial MT"/>
                <w:sz w:val="16"/>
              </w:rPr>
            </w:pPr>
            <w:r>
              <w:rPr>
                <w:rFonts w:ascii="Arial MT"/>
                <w:spacing w:val="-5"/>
                <w:sz w:val="16"/>
              </w:rPr>
              <w:t>23</w:t>
            </w:r>
          </w:p>
        </w:tc>
        <w:tc>
          <w:tcPr>
            <w:tcW w:w="185" w:type="dxa"/>
            <w:vMerge/>
            <w:tcBorders>
              <w:top w:val="nil"/>
              <w:left w:val="nil"/>
              <w:bottom w:val="nil"/>
              <w:right w:val="nil"/>
            </w:tcBorders>
          </w:tcPr>
          <w:p w14:paraId="50E449DD" w14:textId="77777777" w:rsidR="002C6574" w:rsidRDefault="002C6574">
            <w:pPr>
              <w:rPr>
                <w:sz w:val="2"/>
                <w:szCs w:val="2"/>
              </w:rPr>
            </w:pPr>
          </w:p>
        </w:tc>
        <w:tc>
          <w:tcPr>
            <w:tcW w:w="1030" w:type="dxa"/>
            <w:tcBorders>
              <w:top w:val="nil"/>
              <w:left w:val="nil"/>
              <w:bottom w:val="nil"/>
            </w:tcBorders>
          </w:tcPr>
          <w:p w14:paraId="60F27F4C" w14:textId="77777777" w:rsidR="002C6574" w:rsidRDefault="00000000">
            <w:pPr>
              <w:pStyle w:val="TableParagraph"/>
              <w:spacing w:before="29" w:line="178" w:lineRule="exact"/>
              <w:ind w:right="61"/>
              <w:rPr>
                <w:rFonts w:ascii="Arial MT"/>
                <w:sz w:val="16"/>
              </w:rPr>
            </w:pPr>
            <w:r>
              <w:rPr>
                <w:rFonts w:ascii="Arial MT"/>
                <w:spacing w:val="-5"/>
                <w:sz w:val="16"/>
              </w:rPr>
              <w:t>369</w:t>
            </w:r>
          </w:p>
        </w:tc>
        <w:tc>
          <w:tcPr>
            <w:tcW w:w="1093" w:type="dxa"/>
            <w:tcBorders>
              <w:top w:val="nil"/>
              <w:bottom w:val="nil"/>
              <w:right w:val="nil"/>
            </w:tcBorders>
          </w:tcPr>
          <w:p w14:paraId="520A628C" w14:textId="77777777" w:rsidR="002C6574" w:rsidRDefault="00000000">
            <w:pPr>
              <w:pStyle w:val="TableParagraph"/>
              <w:spacing w:before="29" w:line="178" w:lineRule="exact"/>
              <w:ind w:right="70"/>
              <w:rPr>
                <w:rFonts w:ascii="Arial MT"/>
                <w:sz w:val="16"/>
              </w:rPr>
            </w:pPr>
            <w:r>
              <w:rPr>
                <w:rFonts w:ascii="Arial MT"/>
                <w:spacing w:val="-2"/>
                <w:sz w:val="16"/>
              </w:rPr>
              <w:t>(1.013)</w:t>
            </w:r>
          </w:p>
        </w:tc>
      </w:tr>
      <w:tr w:rsidR="002C6574" w14:paraId="63C3D24B" w14:textId="77777777">
        <w:trPr>
          <w:trHeight w:val="226"/>
        </w:trPr>
        <w:tc>
          <w:tcPr>
            <w:tcW w:w="5334" w:type="dxa"/>
            <w:tcBorders>
              <w:top w:val="nil"/>
              <w:left w:val="nil"/>
              <w:bottom w:val="nil"/>
            </w:tcBorders>
          </w:tcPr>
          <w:p w14:paraId="2DAFC31B" w14:textId="77777777" w:rsidR="002C6574" w:rsidRDefault="00000000">
            <w:pPr>
              <w:pStyle w:val="TableParagraph"/>
              <w:spacing w:before="30" w:line="176" w:lineRule="exact"/>
              <w:ind w:left="249"/>
              <w:jc w:val="left"/>
              <w:rPr>
                <w:rFonts w:ascii="Arial MT"/>
                <w:sz w:val="16"/>
              </w:rPr>
            </w:pPr>
            <w:r>
              <w:rPr>
                <w:rFonts w:ascii="Arial MT"/>
                <w:sz w:val="16"/>
              </w:rPr>
              <w:t>Outras</w:t>
            </w:r>
            <w:r>
              <w:rPr>
                <w:rFonts w:ascii="Arial MT"/>
                <w:spacing w:val="-7"/>
                <w:sz w:val="16"/>
              </w:rPr>
              <w:t xml:space="preserve"> </w:t>
            </w:r>
            <w:r>
              <w:rPr>
                <w:rFonts w:ascii="Arial MT"/>
                <w:sz w:val="16"/>
              </w:rPr>
              <w:t>Despesas</w:t>
            </w:r>
            <w:r>
              <w:rPr>
                <w:rFonts w:ascii="Arial MT"/>
                <w:spacing w:val="-7"/>
                <w:sz w:val="16"/>
              </w:rPr>
              <w:t xml:space="preserve"> </w:t>
            </w:r>
            <w:r>
              <w:rPr>
                <w:rFonts w:ascii="Arial MT"/>
                <w:spacing w:val="-2"/>
                <w:sz w:val="16"/>
              </w:rPr>
              <w:t>Operacionais</w:t>
            </w:r>
          </w:p>
        </w:tc>
        <w:tc>
          <w:tcPr>
            <w:tcW w:w="860" w:type="dxa"/>
            <w:tcBorders>
              <w:top w:val="nil"/>
              <w:bottom w:val="nil"/>
            </w:tcBorders>
            <w:shd w:val="clear" w:color="auto" w:fill="66FFFF"/>
          </w:tcPr>
          <w:p w14:paraId="4ADCBB99" w14:textId="77777777" w:rsidR="002C6574" w:rsidRDefault="00000000">
            <w:pPr>
              <w:pStyle w:val="TableParagraph"/>
              <w:spacing w:before="9"/>
              <w:ind w:right="62"/>
              <w:rPr>
                <w:rFonts w:ascii="Arial MT"/>
                <w:sz w:val="16"/>
              </w:rPr>
            </w:pPr>
            <w:r>
              <w:rPr>
                <w:rFonts w:ascii="Arial MT"/>
                <w:spacing w:val="-2"/>
                <w:sz w:val="16"/>
              </w:rPr>
              <w:t>(10.084)</w:t>
            </w:r>
          </w:p>
        </w:tc>
        <w:tc>
          <w:tcPr>
            <w:tcW w:w="987" w:type="dxa"/>
            <w:tcBorders>
              <w:top w:val="nil"/>
              <w:bottom w:val="nil"/>
            </w:tcBorders>
          </w:tcPr>
          <w:p w14:paraId="1115BFCA" w14:textId="77777777" w:rsidR="002C6574" w:rsidRDefault="00000000">
            <w:pPr>
              <w:pStyle w:val="TableParagraph"/>
              <w:spacing w:before="30" w:line="176" w:lineRule="exact"/>
              <w:ind w:right="63"/>
              <w:rPr>
                <w:rFonts w:ascii="Arial MT"/>
                <w:sz w:val="16"/>
              </w:rPr>
            </w:pPr>
            <w:r>
              <w:rPr>
                <w:rFonts w:ascii="Arial MT"/>
                <w:spacing w:val="-2"/>
                <w:sz w:val="16"/>
              </w:rPr>
              <w:t>(1.917)</w:t>
            </w:r>
          </w:p>
        </w:tc>
        <w:tc>
          <w:tcPr>
            <w:tcW w:w="1004" w:type="dxa"/>
            <w:tcBorders>
              <w:top w:val="nil"/>
              <w:bottom w:val="nil"/>
              <w:right w:val="nil"/>
            </w:tcBorders>
          </w:tcPr>
          <w:p w14:paraId="0A6B6EBE" w14:textId="77777777" w:rsidR="002C6574" w:rsidRDefault="00000000">
            <w:pPr>
              <w:pStyle w:val="TableParagraph"/>
              <w:spacing w:before="30" w:line="176" w:lineRule="exact"/>
              <w:ind w:right="66"/>
              <w:rPr>
                <w:rFonts w:ascii="Arial MT"/>
                <w:sz w:val="16"/>
              </w:rPr>
            </w:pPr>
            <w:r>
              <w:rPr>
                <w:rFonts w:ascii="Arial MT"/>
                <w:spacing w:val="-2"/>
                <w:sz w:val="16"/>
              </w:rPr>
              <w:t>(5.001)</w:t>
            </w:r>
          </w:p>
        </w:tc>
        <w:tc>
          <w:tcPr>
            <w:tcW w:w="185" w:type="dxa"/>
            <w:vMerge/>
            <w:tcBorders>
              <w:top w:val="nil"/>
              <w:left w:val="nil"/>
              <w:bottom w:val="nil"/>
              <w:right w:val="nil"/>
            </w:tcBorders>
          </w:tcPr>
          <w:p w14:paraId="56843801" w14:textId="77777777" w:rsidR="002C6574" w:rsidRDefault="002C6574">
            <w:pPr>
              <w:rPr>
                <w:sz w:val="2"/>
                <w:szCs w:val="2"/>
              </w:rPr>
            </w:pPr>
          </w:p>
        </w:tc>
        <w:tc>
          <w:tcPr>
            <w:tcW w:w="1030" w:type="dxa"/>
            <w:tcBorders>
              <w:top w:val="nil"/>
              <w:left w:val="nil"/>
              <w:bottom w:val="nil"/>
            </w:tcBorders>
          </w:tcPr>
          <w:p w14:paraId="2965550F" w14:textId="77777777" w:rsidR="002C6574" w:rsidRDefault="00000000">
            <w:pPr>
              <w:pStyle w:val="TableParagraph"/>
              <w:spacing w:before="30" w:line="176" w:lineRule="exact"/>
              <w:ind w:right="64"/>
              <w:rPr>
                <w:rFonts w:ascii="Arial MT"/>
                <w:sz w:val="16"/>
              </w:rPr>
            </w:pPr>
            <w:r>
              <w:rPr>
                <w:rFonts w:ascii="Arial MT"/>
                <w:spacing w:val="-2"/>
                <w:sz w:val="16"/>
              </w:rPr>
              <w:t>(23.886)</w:t>
            </w:r>
          </w:p>
        </w:tc>
        <w:tc>
          <w:tcPr>
            <w:tcW w:w="1093" w:type="dxa"/>
            <w:tcBorders>
              <w:top w:val="nil"/>
              <w:bottom w:val="nil"/>
              <w:right w:val="nil"/>
            </w:tcBorders>
          </w:tcPr>
          <w:p w14:paraId="2F7CD9FF" w14:textId="77777777" w:rsidR="002C6574" w:rsidRDefault="00000000">
            <w:pPr>
              <w:pStyle w:val="TableParagraph"/>
              <w:spacing w:before="30" w:line="176" w:lineRule="exact"/>
              <w:ind w:right="70"/>
              <w:rPr>
                <w:rFonts w:ascii="Arial MT"/>
                <w:sz w:val="16"/>
              </w:rPr>
            </w:pPr>
            <w:r>
              <w:rPr>
                <w:rFonts w:ascii="Arial MT"/>
                <w:spacing w:val="-2"/>
                <w:sz w:val="16"/>
              </w:rPr>
              <w:t>(14.792)</w:t>
            </w:r>
          </w:p>
        </w:tc>
      </w:tr>
      <w:tr w:rsidR="002C6574" w14:paraId="266139E9" w14:textId="77777777">
        <w:trPr>
          <w:trHeight w:val="212"/>
        </w:trPr>
        <w:tc>
          <w:tcPr>
            <w:tcW w:w="5334" w:type="dxa"/>
            <w:tcBorders>
              <w:top w:val="nil"/>
              <w:left w:val="nil"/>
            </w:tcBorders>
          </w:tcPr>
          <w:p w14:paraId="6A676C19" w14:textId="77777777" w:rsidR="002C6574" w:rsidRDefault="00000000">
            <w:pPr>
              <w:pStyle w:val="TableParagraph"/>
              <w:spacing w:before="29" w:line="163" w:lineRule="exact"/>
              <w:ind w:left="249"/>
              <w:jc w:val="left"/>
              <w:rPr>
                <w:rFonts w:ascii="Arial MT"/>
                <w:sz w:val="16"/>
              </w:rPr>
            </w:pPr>
            <w:r>
              <w:rPr>
                <w:rFonts w:ascii="Arial MT"/>
                <w:sz w:val="16"/>
              </w:rPr>
              <w:t>Outras</w:t>
            </w:r>
            <w:r>
              <w:rPr>
                <w:rFonts w:ascii="Arial MT"/>
                <w:spacing w:val="-7"/>
                <w:sz w:val="16"/>
              </w:rPr>
              <w:t xml:space="preserve"> </w:t>
            </w:r>
            <w:r>
              <w:rPr>
                <w:rFonts w:ascii="Arial MT"/>
                <w:sz w:val="16"/>
              </w:rPr>
              <w:t>Receitas</w:t>
            </w:r>
            <w:r>
              <w:rPr>
                <w:rFonts w:ascii="Arial MT"/>
                <w:spacing w:val="-8"/>
                <w:sz w:val="16"/>
              </w:rPr>
              <w:t xml:space="preserve"> </w:t>
            </w:r>
            <w:r>
              <w:rPr>
                <w:rFonts w:ascii="Arial MT"/>
                <w:spacing w:val="-2"/>
                <w:sz w:val="16"/>
              </w:rPr>
              <w:t>Operacionais</w:t>
            </w:r>
          </w:p>
        </w:tc>
        <w:tc>
          <w:tcPr>
            <w:tcW w:w="860" w:type="dxa"/>
            <w:tcBorders>
              <w:top w:val="nil"/>
            </w:tcBorders>
            <w:shd w:val="clear" w:color="auto" w:fill="66FFFF"/>
          </w:tcPr>
          <w:p w14:paraId="1CAAE7A8" w14:textId="77777777" w:rsidR="002C6574" w:rsidRDefault="00000000">
            <w:pPr>
              <w:pStyle w:val="TableParagraph"/>
              <w:spacing w:before="7"/>
              <w:ind w:right="65"/>
              <w:rPr>
                <w:rFonts w:ascii="Arial MT"/>
                <w:sz w:val="16"/>
              </w:rPr>
            </w:pPr>
            <w:r>
              <w:rPr>
                <w:rFonts w:ascii="Arial MT"/>
                <w:spacing w:val="-2"/>
                <w:sz w:val="16"/>
              </w:rPr>
              <w:t>346.462</w:t>
            </w:r>
          </w:p>
        </w:tc>
        <w:tc>
          <w:tcPr>
            <w:tcW w:w="987" w:type="dxa"/>
            <w:tcBorders>
              <w:top w:val="nil"/>
            </w:tcBorders>
          </w:tcPr>
          <w:p w14:paraId="6385D313" w14:textId="77777777" w:rsidR="002C6574" w:rsidRDefault="00000000">
            <w:pPr>
              <w:pStyle w:val="TableParagraph"/>
              <w:spacing w:before="29" w:line="163" w:lineRule="exact"/>
              <w:ind w:right="65"/>
              <w:rPr>
                <w:rFonts w:ascii="Arial MT"/>
                <w:sz w:val="16"/>
              </w:rPr>
            </w:pPr>
            <w:r>
              <w:rPr>
                <w:rFonts w:ascii="Arial MT"/>
                <w:spacing w:val="-2"/>
                <w:sz w:val="16"/>
              </w:rPr>
              <w:t>228.607</w:t>
            </w:r>
          </w:p>
        </w:tc>
        <w:tc>
          <w:tcPr>
            <w:tcW w:w="1004" w:type="dxa"/>
            <w:tcBorders>
              <w:top w:val="nil"/>
              <w:right w:val="nil"/>
            </w:tcBorders>
          </w:tcPr>
          <w:p w14:paraId="1FFF5ED7" w14:textId="77777777" w:rsidR="002C6574" w:rsidRDefault="00000000">
            <w:pPr>
              <w:pStyle w:val="TableParagraph"/>
              <w:spacing w:before="29" w:line="163" w:lineRule="exact"/>
              <w:ind w:right="69"/>
              <w:rPr>
                <w:rFonts w:ascii="Arial MT"/>
                <w:sz w:val="16"/>
              </w:rPr>
            </w:pPr>
            <w:r>
              <w:rPr>
                <w:rFonts w:ascii="Arial MT"/>
                <w:spacing w:val="-2"/>
                <w:sz w:val="16"/>
              </w:rPr>
              <w:t>78.504</w:t>
            </w:r>
          </w:p>
        </w:tc>
        <w:tc>
          <w:tcPr>
            <w:tcW w:w="185" w:type="dxa"/>
            <w:vMerge/>
            <w:tcBorders>
              <w:top w:val="nil"/>
              <w:left w:val="nil"/>
              <w:bottom w:val="nil"/>
              <w:right w:val="nil"/>
            </w:tcBorders>
          </w:tcPr>
          <w:p w14:paraId="22E616E7" w14:textId="77777777" w:rsidR="002C6574" w:rsidRDefault="002C6574">
            <w:pPr>
              <w:rPr>
                <w:sz w:val="2"/>
                <w:szCs w:val="2"/>
              </w:rPr>
            </w:pPr>
          </w:p>
        </w:tc>
        <w:tc>
          <w:tcPr>
            <w:tcW w:w="1030" w:type="dxa"/>
            <w:tcBorders>
              <w:top w:val="nil"/>
              <w:left w:val="nil"/>
            </w:tcBorders>
          </w:tcPr>
          <w:p w14:paraId="7009699E" w14:textId="77777777" w:rsidR="002C6574" w:rsidRDefault="00000000">
            <w:pPr>
              <w:pStyle w:val="TableParagraph"/>
              <w:spacing w:before="29" w:line="163" w:lineRule="exact"/>
              <w:ind w:right="64"/>
              <w:rPr>
                <w:rFonts w:ascii="Arial MT"/>
                <w:sz w:val="16"/>
              </w:rPr>
            </w:pPr>
            <w:r>
              <w:rPr>
                <w:rFonts w:ascii="Arial MT"/>
                <w:spacing w:val="-2"/>
                <w:sz w:val="16"/>
              </w:rPr>
              <w:t>563.051</w:t>
            </w:r>
          </w:p>
        </w:tc>
        <w:tc>
          <w:tcPr>
            <w:tcW w:w="1093" w:type="dxa"/>
            <w:tcBorders>
              <w:top w:val="nil"/>
              <w:right w:val="nil"/>
            </w:tcBorders>
          </w:tcPr>
          <w:p w14:paraId="3425BA1A" w14:textId="77777777" w:rsidR="002C6574" w:rsidRDefault="00000000">
            <w:pPr>
              <w:pStyle w:val="TableParagraph"/>
              <w:spacing w:before="29" w:line="163" w:lineRule="exact"/>
              <w:ind w:right="70"/>
              <w:rPr>
                <w:rFonts w:ascii="Arial MT"/>
                <w:sz w:val="16"/>
              </w:rPr>
            </w:pPr>
            <w:r>
              <w:rPr>
                <w:rFonts w:ascii="Arial MT"/>
                <w:spacing w:val="-2"/>
                <w:sz w:val="16"/>
              </w:rPr>
              <w:t>373.698</w:t>
            </w:r>
          </w:p>
        </w:tc>
      </w:tr>
      <w:tr w:rsidR="002C6574" w14:paraId="650484AF" w14:textId="77777777">
        <w:trPr>
          <w:trHeight w:val="227"/>
        </w:trPr>
        <w:tc>
          <w:tcPr>
            <w:tcW w:w="5334" w:type="dxa"/>
            <w:tcBorders>
              <w:left w:val="nil"/>
            </w:tcBorders>
          </w:tcPr>
          <w:p w14:paraId="7AF7578A" w14:textId="77777777" w:rsidR="002C6574" w:rsidRDefault="00000000">
            <w:pPr>
              <w:pStyle w:val="TableParagraph"/>
              <w:spacing w:before="44" w:line="163" w:lineRule="exact"/>
              <w:ind w:left="115"/>
              <w:jc w:val="left"/>
              <w:rPr>
                <w:rFonts w:ascii="Arial"/>
                <w:b/>
                <w:sz w:val="16"/>
              </w:rPr>
            </w:pPr>
            <w:r>
              <w:rPr>
                <w:rFonts w:ascii="Arial"/>
                <w:b/>
                <w:spacing w:val="-2"/>
                <w:sz w:val="16"/>
              </w:rPr>
              <w:t>EBITDA</w:t>
            </w:r>
          </w:p>
        </w:tc>
        <w:tc>
          <w:tcPr>
            <w:tcW w:w="860" w:type="dxa"/>
            <w:shd w:val="clear" w:color="auto" w:fill="66FFFF"/>
          </w:tcPr>
          <w:p w14:paraId="7DE6364D" w14:textId="77777777" w:rsidR="002C6574" w:rsidRDefault="00000000">
            <w:pPr>
              <w:pStyle w:val="TableParagraph"/>
              <w:spacing w:before="22"/>
              <w:ind w:right="65"/>
              <w:rPr>
                <w:rFonts w:ascii="Arial"/>
                <w:b/>
                <w:sz w:val="16"/>
              </w:rPr>
            </w:pPr>
            <w:r>
              <w:rPr>
                <w:rFonts w:ascii="Arial"/>
                <w:b/>
                <w:spacing w:val="-2"/>
                <w:sz w:val="16"/>
              </w:rPr>
              <w:t>344.922</w:t>
            </w:r>
          </w:p>
        </w:tc>
        <w:tc>
          <w:tcPr>
            <w:tcW w:w="987" w:type="dxa"/>
          </w:tcPr>
          <w:p w14:paraId="03BE1AD7" w14:textId="77777777" w:rsidR="002C6574" w:rsidRDefault="00000000">
            <w:pPr>
              <w:pStyle w:val="TableParagraph"/>
              <w:spacing w:before="44" w:line="163" w:lineRule="exact"/>
              <w:ind w:right="65"/>
              <w:rPr>
                <w:rFonts w:ascii="Arial"/>
                <w:b/>
                <w:sz w:val="16"/>
              </w:rPr>
            </w:pPr>
            <w:r>
              <w:rPr>
                <w:rFonts w:ascii="Arial"/>
                <w:b/>
                <w:spacing w:val="-2"/>
                <w:sz w:val="16"/>
              </w:rPr>
              <w:t>234.550</w:t>
            </w:r>
          </w:p>
        </w:tc>
        <w:tc>
          <w:tcPr>
            <w:tcW w:w="1004" w:type="dxa"/>
            <w:tcBorders>
              <w:right w:val="nil"/>
            </w:tcBorders>
          </w:tcPr>
          <w:p w14:paraId="2F186F1E" w14:textId="77777777" w:rsidR="002C6574" w:rsidRDefault="00000000">
            <w:pPr>
              <w:pStyle w:val="TableParagraph"/>
              <w:spacing w:before="44" w:line="163" w:lineRule="exact"/>
              <w:ind w:right="69"/>
              <w:rPr>
                <w:rFonts w:ascii="Arial"/>
                <w:b/>
                <w:sz w:val="16"/>
              </w:rPr>
            </w:pPr>
            <w:r>
              <w:rPr>
                <w:rFonts w:ascii="Arial"/>
                <w:b/>
                <w:spacing w:val="-2"/>
                <w:sz w:val="16"/>
              </w:rPr>
              <w:t>56.135</w:t>
            </w:r>
          </w:p>
        </w:tc>
        <w:tc>
          <w:tcPr>
            <w:tcW w:w="185" w:type="dxa"/>
            <w:vMerge/>
            <w:tcBorders>
              <w:top w:val="nil"/>
              <w:left w:val="nil"/>
              <w:bottom w:val="nil"/>
              <w:right w:val="nil"/>
            </w:tcBorders>
          </w:tcPr>
          <w:p w14:paraId="576B908A" w14:textId="77777777" w:rsidR="002C6574" w:rsidRDefault="002C6574">
            <w:pPr>
              <w:rPr>
                <w:sz w:val="2"/>
                <w:szCs w:val="2"/>
              </w:rPr>
            </w:pPr>
          </w:p>
        </w:tc>
        <w:tc>
          <w:tcPr>
            <w:tcW w:w="1030" w:type="dxa"/>
            <w:tcBorders>
              <w:left w:val="nil"/>
            </w:tcBorders>
          </w:tcPr>
          <w:p w14:paraId="5494D247" w14:textId="77777777" w:rsidR="002C6574" w:rsidRDefault="00000000">
            <w:pPr>
              <w:pStyle w:val="TableParagraph"/>
              <w:spacing w:before="44" w:line="163" w:lineRule="exact"/>
              <w:ind w:right="64"/>
              <w:rPr>
                <w:rFonts w:ascii="Arial"/>
                <w:b/>
                <w:sz w:val="16"/>
              </w:rPr>
            </w:pPr>
            <w:r>
              <w:rPr>
                <w:rFonts w:ascii="Arial"/>
                <w:b/>
                <w:spacing w:val="-2"/>
                <w:sz w:val="16"/>
              </w:rPr>
              <w:t>510.804</w:t>
            </w:r>
          </w:p>
        </w:tc>
        <w:tc>
          <w:tcPr>
            <w:tcW w:w="1093" w:type="dxa"/>
            <w:tcBorders>
              <w:right w:val="nil"/>
            </w:tcBorders>
          </w:tcPr>
          <w:p w14:paraId="6C53C6F5" w14:textId="77777777" w:rsidR="002C6574" w:rsidRDefault="00000000">
            <w:pPr>
              <w:pStyle w:val="TableParagraph"/>
              <w:spacing w:before="44" w:line="163" w:lineRule="exact"/>
              <w:ind w:right="70"/>
              <w:rPr>
                <w:rFonts w:ascii="Arial"/>
                <w:b/>
                <w:sz w:val="16"/>
              </w:rPr>
            </w:pPr>
            <w:r>
              <w:rPr>
                <w:rFonts w:ascii="Arial"/>
                <w:b/>
                <w:spacing w:val="-2"/>
                <w:sz w:val="16"/>
              </w:rPr>
              <w:t>288.540</w:t>
            </w:r>
          </w:p>
        </w:tc>
      </w:tr>
      <w:tr w:rsidR="002C6574" w14:paraId="318E0D09" w14:textId="77777777">
        <w:trPr>
          <w:trHeight w:val="227"/>
        </w:trPr>
        <w:tc>
          <w:tcPr>
            <w:tcW w:w="5334" w:type="dxa"/>
            <w:tcBorders>
              <w:left w:val="nil"/>
            </w:tcBorders>
          </w:tcPr>
          <w:p w14:paraId="79632C20" w14:textId="77777777" w:rsidR="002C6574" w:rsidRDefault="00000000">
            <w:pPr>
              <w:pStyle w:val="TableParagraph"/>
              <w:spacing w:before="44" w:line="163" w:lineRule="exact"/>
              <w:ind w:left="249"/>
              <w:jc w:val="left"/>
              <w:rPr>
                <w:rFonts w:ascii="Arial"/>
                <w:b/>
                <w:i/>
                <w:sz w:val="16"/>
              </w:rPr>
            </w:pPr>
            <w:r>
              <w:rPr>
                <w:rFonts w:ascii="Arial"/>
                <w:b/>
                <w:i/>
                <w:sz w:val="16"/>
              </w:rPr>
              <w:t>Margem</w:t>
            </w:r>
            <w:r>
              <w:rPr>
                <w:rFonts w:ascii="Arial"/>
                <w:b/>
                <w:i/>
                <w:spacing w:val="-8"/>
                <w:sz w:val="16"/>
              </w:rPr>
              <w:t xml:space="preserve"> </w:t>
            </w:r>
            <w:r>
              <w:rPr>
                <w:rFonts w:ascii="Arial"/>
                <w:b/>
                <w:i/>
                <w:spacing w:val="-2"/>
                <w:sz w:val="16"/>
              </w:rPr>
              <w:t>EBITDA</w:t>
            </w:r>
          </w:p>
        </w:tc>
        <w:tc>
          <w:tcPr>
            <w:tcW w:w="860" w:type="dxa"/>
            <w:shd w:val="clear" w:color="auto" w:fill="66FFFF"/>
          </w:tcPr>
          <w:p w14:paraId="6CA0BFCF" w14:textId="77777777" w:rsidR="002C6574" w:rsidRDefault="00000000">
            <w:pPr>
              <w:pStyle w:val="TableParagraph"/>
              <w:spacing w:before="22"/>
              <w:ind w:right="64"/>
              <w:rPr>
                <w:rFonts w:ascii="Arial"/>
                <w:b/>
                <w:i/>
                <w:sz w:val="16"/>
              </w:rPr>
            </w:pPr>
            <w:r>
              <w:rPr>
                <w:rFonts w:ascii="Arial"/>
                <w:b/>
                <w:i/>
                <w:spacing w:val="-2"/>
                <w:sz w:val="16"/>
              </w:rPr>
              <w:t>214,8%</w:t>
            </w:r>
          </w:p>
        </w:tc>
        <w:tc>
          <w:tcPr>
            <w:tcW w:w="987" w:type="dxa"/>
          </w:tcPr>
          <w:p w14:paraId="6DEB4F86" w14:textId="77777777" w:rsidR="002C6574" w:rsidRDefault="00000000">
            <w:pPr>
              <w:pStyle w:val="TableParagraph"/>
              <w:spacing w:before="44" w:line="163" w:lineRule="exact"/>
              <w:ind w:right="65"/>
              <w:rPr>
                <w:rFonts w:ascii="Arial"/>
                <w:b/>
                <w:i/>
                <w:sz w:val="16"/>
              </w:rPr>
            </w:pPr>
            <w:r>
              <w:rPr>
                <w:rFonts w:ascii="Arial"/>
                <w:b/>
                <w:i/>
                <w:spacing w:val="-2"/>
                <w:sz w:val="16"/>
              </w:rPr>
              <w:t>178,30%</w:t>
            </w:r>
          </w:p>
        </w:tc>
        <w:tc>
          <w:tcPr>
            <w:tcW w:w="1004" w:type="dxa"/>
            <w:tcBorders>
              <w:right w:val="nil"/>
            </w:tcBorders>
          </w:tcPr>
          <w:p w14:paraId="7756B419" w14:textId="77777777" w:rsidR="002C6574" w:rsidRDefault="00000000">
            <w:pPr>
              <w:pStyle w:val="TableParagraph"/>
              <w:spacing w:before="44" w:line="163" w:lineRule="exact"/>
              <w:ind w:right="68"/>
              <w:rPr>
                <w:rFonts w:ascii="Arial"/>
                <w:b/>
                <w:i/>
                <w:sz w:val="16"/>
              </w:rPr>
            </w:pPr>
            <w:r>
              <w:rPr>
                <w:rFonts w:ascii="Arial"/>
                <w:b/>
                <w:i/>
                <w:spacing w:val="-2"/>
                <w:sz w:val="16"/>
              </w:rPr>
              <w:t>52,89%</w:t>
            </w:r>
          </w:p>
        </w:tc>
        <w:tc>
          <w:tcPr>
            <w:tcW w:w="185" w:type="dxa"/>
            <w:vMerge/>
            <w:tcBorders>
              <w:top w:val="nil"/>
              <w:left w:val="nil"/>
              <w:bottom w:val="nil"/>
              <w:right w:val="nil"/>
            </w:tcBorders>
          </w:tcPr>
          <w:p w14:paraId="54481CFD" w14:textId="77777777" w:rsidR="002C6574" w:rsidRDefault="002C6574">
            <w:pPr>
              <w:rPr>
                <w:sz w:val="2"/>
                <w:szCs w:val="2"/>
              </w:rPr>
            </w:pPr>
          </w:p>
        </w:tc>
        <w:tc>
          <w:tcPr>
            <w:tcW w:w="1030" w:type="dxa"/>
            <w:tcBorders>
              <w:left w:val="nil"/>
            </w:tcBorders>
          </w:tcPr>
          <w:p w14:paraId="6D8D0421" w14:textId="77777777" w:rsidR="002C6574" w:rsidRDefault="00000000">
            <w:pPr>
              <w:pStyle w:val="TableParagraph"/>
              <w:spacing w:before="44" w:line="163" w:lineRule="exact"/>
              <w:ind w:right="63"/>
              <w:rPr>
                <w:rFonts w:ascii="Arial"/>
                <w:b/>
                <w:i/>
                <w:sz w:val="16"/>
              </w:rPr>
            </w:pPr>
            <w:r>
              <w:rPr>
                <w:rFonts w:ascii="Arial"/>
                <w:b/>
                <w:i/>
                <w:spacing w:val="-2"/>
                <w:sz w:val="16"/>
              </w:rPr>
              <w:t>104,03%</w:t>
            </w:r>
          </w:p>
        </w:tc>
        <w:tc>
          <w:tcPr>
            <w:tcW w:w="1093" w:type="dxa"/>
            <w:tcBorders>
              <w:right w:val="nil"/>
            </w:tcBorders>
          </w:tcPr>
          <w:p w14:paraId="55E4473F" w14:textId="77777777" w:rsidR="002C6574" w:rsidRDefault="00000000">
            <w:pPr>
              <w:pStyle w:val="TableParagraph"/>
              <w:spacing w:before="44" w:line="163" w:lineRule="exact"/>
              <w:ind w:right="69"/>
              <w:rPr>
                <w:rFonts w:ascii="Arial"/>
                <w:b/>
                <w:i/>
                <w:sz w:val="16"/>
              </w:rPr>
            </w:pPr>
            <w:r>
              <w:rPr>
                <w:rFonts w:ascii="Arial"/>
                <w:b/>
                <w:i/>
                <w:spacing w:val="-2"/>
                <w:sz w:val="16"/>
              </w:rPr>
              <w:t>69,64%</w:t>
            </w:r>
          </w:p>
        </w:tc>
      </w:tr>
      <w:tr w:rsidR="002C6574" w14:paraId="07998E0F" w14:textId="77777777">
        <w:trPr>
          <w:trHeight w:val="227"/>
        </w:trPr>
        <w:tc>
          <w:tcPr>
            <w:tcW w:w="5334" w:type="dxa"/>
            <w:tcBorders>
              <w:left w:val="nil"/>
            </w:tcBorders>
          </w:tcPr>
          <w:p w14:paraId="3196E13F" w14:textId="77777777" w:rsidR="002C6574" w:rsidRDefault="00000000">
            <w:pPr>
              <w:pStyle w:val="TableParagraph"/>
              <w:spacing w:before="44" w:line="163" w:lineRule="exact"/>
              <w:ind w:left="206"/>
              <w:jc w:val="left"/>
              <w:rPr>
                <w:rFonts w:ascii="Arial MT" w:hAnsi="Arial MT"/>
                <w:sz w:val="16"/>
              </w:rPr>
            </w:pPr>
            <w:r>
              <w:rPr>
                <w:rFonts w:ascii="Arial MT" w:hAnsi="Arial MT"/>
                <w:sz w:val="16"/>
              </w:rPr>
              <w:t>Depreciação</w:t>
            </w:r>
            <w:r>
              <w:rPr>
                <w:rFonts w:ascii="Arial MT" w:hAnsi="Arial MT"/>
                <w:spacing w:val="-8"/>
                <w:sz w:val="16"/>
              </w:rPr>
              <w:t xml:space="preserve"> </w:t>
            </w:r>
            <w:r>
              <w:rPr>
                <w:rFonts w:ascii="Arial MT" w:hAnsi="Arial MT"/>
                <w:sz w:val="16"/>
              </w:rPr>
              <w:t>e</w:t>
            </w:r>
            <w:r>
              <w:rPr>
                <w:rFonts w:ascii="Arial MT" w:hAnsi="Arial MT"/>
                <w:spacing w:val="-6"/>
                <w:sz w:val="16"/>
              </w:rPr>
              <w:t xml:space="preserve"> </w:t>
            </w:r>
            <w:r>
              <w:rPr>
                <w:rFonts w:ascii="Arial MT" w:hAnsi="Arial MT"/>
                <w:spacing w:val="-2"/>
                <w:sz w:val="16"/>
              </w:rPr>
              <w:t>Amortização</w:t>
            </w:r>
          </w:p>
        </w:tc>
        <w:tc>
          <w:tcPr>
            <w:tcW w:w="860" w:type="dxa"/>
            <w:shd w:val="clear" w:color="auto" w:fill="66FFFF"/>
          </w:tcPr>
          <w:p w14:paraId="044BF29A" w14:textId="77777777" w:rsidR="002C6574" w:rsidRDefault="00000000">
            <w:pPr>
              <w:pStyle w:val="TableParagraph"/>
              <w:spacing w:before="22"/>
              <w:ind w:right="62"/>
              <w:rPr>
                <w:rFonts w:ascii="Arial MT"/>
                <w:sz w:val="16"/>
              </w:rPr>
            </w:pPr>
            <w:r>
              <w:rPr>
                <w:rFonts w:ascii="Arial MT"/>
                <w:spacing w:val="-2"/>
                <w:sz w:val="16"/>
              </w:rPr>
              <w:t>(64.696)</w:t>
            </w:r>
          </w:p>
        </w:tc>
        <w:tc>
          <w:tcPr>
            <w:tcW w:w="987" w:type="dxa"/>
          </w:tcPr>
          <w:p w14:paraId="70A6A0B6" w14:textId="77777777" w:rsidR="002C6574" w:rsidRDefault="00000000">
            <w:pPr>
              <w:pStyle w:val="TableParagraph"/>
              <w:spacing w:before="44" w:line="163" w:lineRule="exact"/>
              <w:ind w:right="63"/>
              <w:rPr>
                <w:rFonts w:ascii="Arial MT"/>
                <w:sz w:val="16"/>
              </w:rPr>
            </w:pPr>
            <w:r>
              <w:rPr>
                <w:rFonts w:ascii="Arial MT"/>
                <w:spacing w:val="-2"/>
                <w:sz w:val="16"/>
              </w:rPr>
              <w:t>(69.454)</w:t>
            </w:r>
          </w:p>
        </w:tc>
        <w:tc>
          <w:tcPr>
            <w:tcW w:w="1004" w:type="dxa"/>
            <w:tcBorders>
              <w:right w:val="nil"/>
            </w:tcBorders>
          </w:tcPr>
          <w:p w14:paraId="43704ABF" w14:textId="77777777" w:rsidR="002C6574" w:rsidRDefault="00000000">
            <w:pPr>
              <w:pStyle w:val="TableParagraph"/>
              <w:spacing w:before="44" w:line="163" w:lineRule="exact"/>
              <w:ind w:right="66"/>
              <w:rPr>
                <w:rFonts w:ascii="Arial MT"/>
                <w:sz w:val="16"/>
              </w:rPr>
            </w:pPr>
            <w:r>
              <w:rPr>
                <w:rFonts w:ascii="Arial MT"/>
                <w:spacing w:val="-2"/>
                <w:sz w:val="16"/>
              </w:rPr>
              <w:t>(69.063)</w:t>
            </w:r>
          </w:p>
        </w:tc>
        <w:tc>
          <w:tcPr>
            <w:tcW w:w="185" w:type="dxa"/>
            <w:vMerge/>
            <w:tcBorders>
              <w:top w:val="nil"/>
              <w:left w:val="nil"/>
              <w:bottom w:val="nil"/>
              <w:right w:val="nil"/>
            </w:tcBorders>
          </w:tcPr>
          <w:p w14:paraId="45F05921" w14:textId="77777777" w:rsidR="002C6574" w:rsidRDefault="002C6574">
            <w:pPr>
              <w:rPr>
                <w:sz w:val="2"/>
                <w:szCs w:val="2"/>
              </w:rPr>
            </w:pPr>
          </w:p>
        </w:tc>
        <w:tc>
          <w:tcPr>
            <w:tcW w:w="1030" w:type="dxa"/>
            <w:tcBorders>
              <w:left w:val="nil"/>
            </w:tcBorders>
          </w:tcPr>
          <w:p w14:paraId="3098155D" w14:textId="77777777" w:rsidR="002C6574" w:rsidRDefault="00000000">
            <w:pPr>
              <w:pStyle w:val="TableParagraph"/>
              <w:spacing w:before="44" w:line="163" w:lineRule="exact"/>
              <w:ind w:right="64"/>
              <w:rPr>
                <w:rFonts w:ascii="Arial MT"/>
                <w:sz w:val="16"/>
              </w:rPr>
            </w:pPr>
            <w:r>
              <w:rPr>
                <w:rFonts w:ascii="Arial MT"/>
                <w:spacing w:val="-2"/>
                <w:sz w:val="16"/>
              </w:rPr>
              <w:t>(274.104)</w:t>
            </w:r>
          </w:p>
        </w:tc>
        <w:tc>
          <w:tcPr>
            <w:tcW w:w="1093" w:type="dxa"/>
            <w:tcBorders>
              <w:right w:val="nil"/>
            </w:tcBorders>
          </w:tcPr>
          <w:p w14:paraId="55786A79" w14:textId="77777777" w:rsidR="002C6574" w:rsidRDefault="00000000">
            <w:pPr>
              <w:pStyle w:val="TableParagraph"/>
              <w:spacing w:before="44" w:line="163" w:lineRule="exact"/>
              <w:ind w:right="70"/>
              <w:rPr>
                <w:rFonts w:ascii="Arial MT"/>
                <w:sz w:val="16"/>
              </w:rPr>
            </w:pPr>
            <w:r>
              <w:rPr>
                <w:rFonts w:ascii="Arial MT"/>
                <w:spacing w:val="-2"/>
                <w:sz w:val="16"/>
              </w:rPr>
              <w:t>(270.044)</w:t>
            </w:r>
          </w:p>
        </w:tc>
      </w:tr>
      <w:tr w:rsidR="002C6574" w14:paraId="46955D50" w14:textId="77777777">
        <w:trPr>
          <w:trHeight w:val="225"/>
        </w:trPr>
        <w:tc>
          <w:tcPr>
            <w:tcW w:w="5334" w:type="dxa"/>
            <w:tcBorders>
              <w:left w:val="nil"/>
            </w:tcBorders>
          </w:tcPr>
          <w:p w14:paraId="28EB90B8" w14:textId="77777777" w:rsidR="002C6574" w:rsidRDefault="00000000">
            <w:pPr>
              <w:pStyle w:val="TableParagraph"/>
              <w:spacing w:before="41" w:line="163" w:lineRule="exact"/>
              <w:ind w:left="115"/>
              <w:jc w:val="left"/>
              <w:rPr>
                <w:rFonts w:ascii="Arial"/>
                <w:b/>
                <w:sz w:val="16"/>
              </w:rPr>
            </w:pPr>
            <w:r>
              <w:rPr>
                <w:rFonts w:ascii="Arial"/>
                <w:b/>
                <w:spacing w:val="-4"/>
                <w:sz w:val="16"/>
              </w:rPr>
              <w:t>EBIT</w:t>
            </w:r>
          </w:p>
        </w:tc>
        <w:tc>
          <w:tcPr>
            <w:tcW w:w="860" w:type="dxa"/>
            <w:shd w:val="clear" w:color="auto" w:fill="66FFFF"/>
          </w:tcPr>
          <w:p w14:paraId="701BB051" w14:textId="77777777" w:rsidR="002C6574" w:rsidRDefault="00000000">
            <w:pPr>
              <w:pStyle w:val="TableParagraph"/>
              <w:spacing w:before="20"/>
              <w:ind w:right="65"/>
              <w:rPr>
                <w:rFonts w:ascii="Arial"/>
                <w:b/>
                <w:sz w:val="16"/>
              </w:rPr>
            </w:pPr>
            <w:r>
              <w:rPr>
                <w:rFonts w:ascii="Arial"/>
                <w:b/>
                <w:spacing w:val="-2"/>
                <w:sz w:val="16"/>
              </w:rPr>
              <w:t>280.226</w:t>
            </w:r>
          </w:p>
        </w:tc>
        <w:tc>
          <w:tcPr>
            <w:tcW w:w="987" w:type="dxa"/>
          </w:tcPr>
          <w:p w14:paraId="71480C95" w14:textId="77777777" w:rsidR="002C6574" w:rsidRDefault="00000000">
            <w:pPr>
              <w:pStyle w:val="TableParagraph"/>
              <w:spacing w:before="41" w:line="163" w:lineRule="exact"/>
              <w:ind w:right="65"/>
              <w:rPr>
                <w:rFonts w:ascii="Arial"/>
                <w:b/>
                <w:sz w:val="16"/>
              </w:rPr>
            </w:pPr>
            <w:r>
              <w:rPr>
                <w:rFonts w:ascii="Arial"/>
                <w:b/>
                <w:spacing w:val="-2"/>
                <w:sz w:val="16"/>
              </w:rPr>
              <w:t>165.096</w:t>
            </w:r>
          </w:p>
        </w:tc>
        <w:tc>
          <w:tcPr>
            <w:tcW w:w="1004" w:type="dxa"/>
            <w:tcBorders>
              <w:right w:val="nil"/>
            </w:tcBorders>
          </w:tcPr>
          <w:p w14:paraId="7417A564" w14:textId="77777777" w:rsidR="002C6574" w:rsidRDefault="00000000">
            <w:pPr>
              <w:pStyle w:val="TableParagraph"/>
              <w:spacing w:before="41" w:line="163" w:lineRule="exact"/>
              <w:ind w:right="66"/>
              <w:rPr>
                <w:rFonts w:ascii="Arial"/>
                <w:b/>
                <w:sz w:val="16"/>
              </w:rPr>
            </w:pPr>
            <w:r>
              <w:rPr>
                <w:rFonts w:ascii="Arial"/>
                <w:b/>
                <w:spacing w:val="-2"/>
                <w:sz w:val="16"/>
              </w:rPr>
              <w:t>(12.928)</w:t>
            </w:r>
          </w:p>
        </w:tc>
        <w:tc>
          <w:tcPr>
            <w:tcW w:w="185" w:type="dxa"/>
            <w:vMerge/>
            <w:tcBorders>
              <w:top w:val="nil"/>
              <w:left w:val="nil"/>
              <w:bottom w:val="nil"/>
              <w:right w:val="nil"/>
            </w:tcBorders>
          </w:tcPr>
          <w:p w14:paraId="4A30D182" w14:textId="77777777" w:rsidR="002C6574" w:rsidRDefault="002C6574">
            <w:pPr>
              <w:rPr>
                <w:sz w:val="2"/>
                <w:szCs w:val="2"/>
              </w:rPr>
            </w:pPr>
          </w:p>
        </w:tc>
        <w:tc>
          <w:tcPr>
            <w:tcW w:w="1030" w:type="dxa"/>
            <w:tcBorders>
              <w:left w:val="nil"/>
            </w:tcBorders>
          </w:tcPr>
          <w:p w14:paraId="4DE23C85" w14:textId="77777777" w:rsidR="002C6574" w:rsidRDefault="00000000">
            <w:pPr>
              <w:pStyle w:val="TableParagraph"/>
              <w:spacing w:before="41" w:line="163" w:lineRule="exact"/>
              <w:ind w:right="64"/>
              <w:rPr>
                <w:rFonts w:ascii="Arial"/>
                <w:b/>
                <w:sz w:val="16"/>
              </w:rPr>
            </w:pPr>
            <w:r>
              <w:rPr>
                <w:rFonts w:ascii="Arial"/>
                <w:b/>
                <w:spacing w:val="-2"/>
                <w:sz w:val="16"/>
              </w:rPr>
              <w:t>236.700</w:t>
            </w:r>
          </w:p>
        </w:tc>
        <w:tc>
          <w:tcPr>
            <w:tcW w:w="1093" w:type="dxa"/>
            <w:tcBorders>
              <w:right w:val="nil"/>
            </w:tcBorders>
          </w:tcPr>
          <w:p w14:paraId="7B38A16A" w14:textId="77777777" w:rsidR="002C6574" w:rsidRDefault="00000000">
            <w:pPr>
              <w:pStyle w:val="TableParagraph"/>
              <w:spacing w:before="41" w:line="163" w:lineRule="exact"/>
              <w:ind w:right="70"/>
              <w:rPr>
                <w:rFonts w:ascii="Arial"/>
                <w:b/>
                <w:sz w:val="16"/>
              </w:rPr>
            </w:pPr>
            <w:r>
              <w:rPr>
                <w:rFonts w:ascii="Arial"/>
                <w:b/>
                <w:spacing w:val="-2"/>
                <w:sz w:val="16"/>
              </w:rPr>
              <w:t>18.496</w:t>
            </w:r>
          </w:p>
        </w:tc>
      </w:tr>
      <w:tr w:rsidR="002C6574" w14:paraId="7B431617" w14:textId="77777777">
        <w:trPr>
          <w:trHeight w:val="227"/>
        </w:trPr>
        <w:tc>
          <w:tcPr>
            <w:tcW w:w="5334" w:type="dxa"/>
            <w:tcBorders>
              <w:left w:val="nil"/>
            </w:tcBorders>
          </w:tcPr>
          <w:p w14:paraId="6B299F00" w14:textId="77777777" w:rsidR="002C6574" w:rsidRDefault="00000000">
            <w:pPr>
              <w:pStyle w:val="TableParagraph"/>
              <w:spacing w:before="44" w:line="163" w:lineRule="exact"/>
              <w:ind w:left="206"/>
              <w:jc w:val="left"/>
              <w:rPr>
                <w:rFonts w:ascii="Arial MT"/>
                <w:sz w:val="16"/>
              </w:rPr>
            </w:pPr>
            <w:r>
              <w:rPr>
                <w:rFonts w:ascii="Arial MT"/>
                <w:sz w:val="16"/>
              </w:rPr>
              <w:t>Resultado</w:t>
            </w:r>
            <w:r>
              <w:rPr>
                <w:rFonts w:ascii="Arial MT"/>
                <w:spacing w:val="-10"/>
                <w:sz w:val="16"/>
              </w:rPr>
              <w:t xml:space="preserve"> </w:t>
            </w:r>
            <w:r>
              <w:rPr>
                <w:rFonts w:ascii="Arial MT"/>
                <w:spacing w:val="-2"/>
                <w:sz w:val="16"/>
              </w:rPr>
              <w:t>Financeiro</w:t>
            </w:r>
          </w:p>
        </w:tc>
        <w:tc>
          <w:tcPr>
            <w:tcW w:w="860" w:type="dxa"/>
            <w:shd w:val="clear" w:color="auto" w:fill="66FFFF"/>
          </w:tcPr>
          <w:p w14:paraId="36C5B425" w14:textId="77777777" w:rsidR="002C6574" w:rsidRDefault="00000000">
            <w:pPr>
              <w:pStyle w:val="TableParagraph"/>
              <w:spacing w:before="22"/>
              <w:ind w:right="62"/>
              <w:rPr>
                <w:rFonts w:ascii="Arial MT"/>
                <w:sz w:val="16"/>
              </w:rPr>
            </w:pPr>
            <w:r>
              <w:rPr>
                <w:rFonts w:ascii="Arial MT"/>
                <w:spacing w:val="-2"/>
                <w:sz w:val="16"/>
              </w:rPr>
              <w:t>(14.833)</w:t>
            </w:r>
          </w:p>
        </w:tc>
        <w:tc>
          <w:tcPr>
            <w:tcW w:w="987" w:type="dxa"/>
          </w:tcPr>
          <w:p w14:paraId="599CADB5" w14:textId="77777777" w:rsidR="002C6574" w:rsidRDefault="00000000">
            <w:pPr>
              <w:pStyle w:val="TableParagraph"/>
              <w:spacing w:before="44" w:line="163" w:lineRule="exact"/>
              <w:ind w:right="63"/>
              <w:rPr>
                <w:rFonts w:ascii="Arial MT"/>
                <w:sz w:val="16"/>
              </w:rPr>
            </w:pPr>
            <w:r>
              <w:rPr>
                <w:rFonts w:ascii="Arial MT"/>
                <w:spacing w:val="-2"/>
                <w:sz w:val="16"/>
              </w:rPr>
              <w:t>(25.971)</w:t>
            </w:r>
          </w:p>
        </w:tc>
        <w:tc>
          <w:tcPr>
            <w:tcW w:w="1004" w:type="dxa"/>
            <w:tcBorders>
              <w:right w:val="nil"/>
            </w:tcBorders>
          </w:tcPr>
          <w:p w14:paraId="6AC0D06B" w14:textId="77777777" w:rsidR="002C6574" w:rsidRDefault="00000000">
            <w:pPr>
              <w:pStyle w:val="TableParagraph"/>
              <w:spacing w:before="44" w:line="163" w:lineRule="exact"/>
              <w:ind w:right="66"/>
              <w:rPr>
                <w:rFonts w:ascii="Arial MT"/>
                <w:sz w:val="16"/>
              </w:rPr>
            </w:pPr>
            <w:r>
              <w:rPr>
                <w:rFonts w:ascii="Arial MT"/>
                <w:spacing w:val="-2"/>
                <w:sz w:val="16"/>
              </w:rPr>
              <w:t>(12.682)</w:t>
            </w:r>
          </w:p>
        </w:tc>
        <w:tc>
          <w:tcPr>
            <w:tcW w:w="185" w:type="dxa"/>
            <w:vMerge/>
            <w:tcBorders>
              <w:top w:val="nil"/>
              <w:left w:val="nil"/>
              <w:bottom w:val="nil"/>
              <w:right w:val="nil"/>
            </w:tcBorders>
          </w:tcPr>
          <w:p w14:paraId="020886A5" w14:textId="77777777" w:rsidR="002C6574" w:rsidRDefault="002C6574">
            <w:pPr>
              <w:rPr>
                <w:sz w:val="2"/>
                <w:szCs w:val="2"/>
              </w:rPr>
            </w:pPr>
          </w:p>
        </w:tc>
        <w:tc>
          <w:tcPr>
            <w:tcW w:w="1030" w:type="dxa"/>
            <w:tcBorders>
              <w:left w:val="nil"/>
            </w:tcBorders>
          </w:tcPr>
          <w:p w14:paraId="1C221F64" w14:textId="77777777" w:rsidR="002C6574" w:rsidRDefault="00000000">
            <w:pPr>
              <w:pStyle w:val="TableParagraph"/>
              <w:spacing w:before="44" w:line="163" w:lineRule="exact"/>
              <w:ind w:right="64"/>
              <w:rPr>
                <w:rFonts w:ascii="Arial MT"/>
                <w:sz w:val="16"/>
              </w:rPr>
            </w:pPr>
            <w:r>
              <w:rPr>
                <w:rFonts w:ascii="Arial MT"/>
                <w:spacing w:val="-2"/>
                <w:sz w:val="16"/>
              </w:rPr>
              <w:t>(54.264)</w:t>
            </w:r>
          </w:p>
        </w:tc>
        <w:tc>
          <w:tcPr>
            <w:tcW w:w="1093" w:type="dxa"/>
            <w:tcBorders>
              <w:right w:val="nil"/>
            </w:tcBorders>
          </w:tcPr>
          <w:p w14:paraId="641B02B0" w14:textId="77777777" w:rsidR="002C6574" w:rsidRDefault="00000000">
            <w:pPr>
              <w:pStyle w:val="TableParagraph"/>
              <w:spacing w:before="44" w:line="163" w:lineRule="exact"/>
              <w:ind w:right="70"/>
              <w:rPr>
                <w:rFonts w:ascii="Arial MT"/>
                <w:sz w:val="16"/>
              </w:rPr>
            </w:pPr>
            <w:r>
              <w:rPr>
                <w:rFonts w:ascii="Arial MT"/>
                <w:spacing w:val="-2"/>
                <w:sz w:val="16"/>
              </w:rPr>
              <w:t>(85.068)</w:t>
            </w:r>
          </w:p>
        </w:tc>
      </w:tr>
      <w:tr w:rsidR="002C6574" w14:paraId="60381BFB" w14:textId="77777777">
        <w:trPr>
          <w:trHeight w:val="227"/>
        </w:trPr>
        <w:tc>
          <w:tcPr>
            <w:tcW w:w="5334" w:type="dxa"/>
            <w:tcBorders>
              <w:left w:val="nil"/>
            </w:tcBorders>
          </w:tcPr>
          <w:p w14:paraId="57B36FBC" w14:textId="77777777" w:rsidR="002C6574" w:rsidRDefault="00000000">
            <w:pPr>
              <w:pStyle w:val="TableParagraph"/>
              <w:spacing w:before="44" w:line="163" w:lineRule="exact"/>
              <w:ind w:left="115"/>
              <w:jc w:val="left"/>
              <w:rPr>
                <w:rFonts w:ascii="Arial" w:hAnsi="Arial"/>
                <w:b/>
                <w:sz w:val="16"/>
              </w:rPr>
            </w:pPr>
            <w:r>
              <w:rPr>
                <w:rFonts w:ascii="Arial" w:hAnsi="Arial"/>
                <w:b/>
                <w:sz w:val="16"/>
              </w:rPr>
              <w:t>RESULTADO</w:t>
            </w:r>
            <w:r>
              <w:rPr>
                <w:rFonts w:ascii="Arial" w:hAnsi="Arial"/>
                <w:b/>
                <w:spacing w:val="-5"/>
                <w:sz w:val="16"/>
              </w:rPr>
              <w:t xml:space="preserve"> </w:t>
            </w:r>
            <w:r>
              <w:rPr>
                <w:rFonts w:ascii="Arial" w:hAnsi="Arial"/>
                <w:b/>
                <w:sz w:val="16"/>
              </w:rPr>
              <w:t>ANTES</w:t>
            </w:r>
            <w:r>
              <w:rPr>
                <w:rFonts w:ascii="Arial" w:hAnsi="Arial"/>
                <w:b/>
                <w:spacing w:val="-6"/>
                <w:sz w:val="16"/>
              </w:rPr>
              <w:t xml:space="preserve"> </w:t>
            </w:r>
            <w:r>
              <w:rPr>
                <w:rFonts w:ascii="Arial" w:hAnsi="Arial"/>
                <w:b/>
                <w:sz w:val="16"/>
              </w:rPr>
              <w:t>DAS</w:t>
            </w:r>
            <w:r>
              <w:rPr>
                <w:rFonts w:ascii="Arial" w:hAnsi="Arial"/>
                <w:b/>
                <w:spacing w:val="-4"/>
                <w:sz w:val="16"/>
              </w:rPr>
              <w:t xml:space="preserve"> </w:t>
            </w:r>
            <w:r>
              <w:rPr>
                <w:rFonts w:ascii="Arial" w:hAnsi="Arial"/>
                <w:b/>
                <w:spacing w:val="-2"/>
                <w:sz w:val="16"/>
              </w:rPr>
              <w:t>DEDUÇÕES/PARTICIPAÇÕES</w:t>
            </w:r>
          </w:p>
        </w:tc>
        <w:tc>
          <w:tcPr>
            <w:tcW w:w="860" w:type="dxa"/>
            <w:shd w:val="clear" w:color="auto" w:fill="66FFFF"/>
          </w:tcPr>
          <w:p w14:paraId="19D2510C" w14:textId="77777777" w:rsidR="002C6574" w:rsidRDefault="00000000">
            <w:pPr>
              <w:pStyle w:val="TableParagraph"/>
              <w:spacing w:before="22"/>
              <w:ind w:right="65"/>
              <w:rPr>
                <w:rFonts w:ascii="Arial"/>
                <w:b/>
                <w:sz w:val="16"/>
              </w:rPr>
            </w:pPr>
            <w:r>
              <w:rPr>
                <w:rFonts w:ascii="Arial"/>
                <w:b/>
                <w:spacing w:val="-2"/>
                <w:sz w:val="16"/>
              </w:rPr>
              <w:t>265.393</w:t>
            </w:r>
          </w:p>
        </w:tc>
        <w:tc>
          <w:tcPr>
            <w:tcW w:w="987" w:type="dxa"/>
          </w:tcPr>
          <w:p w14:paraId="347BF35B" w14:textId="77777777" w:rsidR="002C6574" w:rsidRDefault="00000000">
            <w:pPr>
              <w:pStyle w:val="TableParagraph"/>
              <w:spacing w:before="44" w:line="163" w:lineRule="exact"/>
              <w:ind w:right="65"/>
              <w:rPr>
                <w:rFonts w:ascii="Arial"/>
                <w:b/>
                <w:sz w:val="16"/>
              </w:rPr>
            </w:pPr>
            <w:r>
              <w:rPr>
                <w:rFonts w:ascii="Arial"/>
                <w:b/>
                <w:spacing w:val="-2"/>
                <w:sz w:val="16"/>
              </w:rPr>
              <w:t>139.125</w:t>
            </w:r>
          </w:p>
        </w:tc>
        <w:tc>
          <w:tcPr>
            <w:tcW w:w="1004" w:type="dxa"/>
            <w:tcBorders>
              <w:right w:val="nil"/>
            </w:tcBorders>
          </w:tcPr>
          <w:p w14:paraId="1233B42A" w14:textId="77777777" w:rsidR="002C6574" w:rsidRDefault="00000000">
            <w:pPr>
              <w:pStyle w:val="TableParagraph"/>
              <w:spacing w:before="44" w:line="163" w:lineRule="exact"/>
              <w:ind w:right="66"/>
              <w:rPr>
                <w:rFonts w:ascii="Arial"/>
                <w:b/>
                <w:sz w:val="16"/>
              </w:rPr>
            </w:pPr>
            <w:r>
              <w:rPr>
                <w:rFonts w:ascii="Arial"/>
                <w:b/>
                <w:spacing w:val="-2"/>
                <w:sz w:val="16"/>
              </w:rPr>
              <w:t>(25.610)</w:t>
            </w:r>
          </w:p>
        </w:tc>
        <w:tc>
          <w:tcPr>
            <w:tcW w:w="185" w:type="dxa"/>
            <w:vMerge/>
            <w:tcBorders>
              <w:top w:val="nil"/>
              <w:left w:val="nil"/>
              <w:bottom w:val="nil"/>
              <w:right w:val="nil"/>
            </w:tcBorders>
          </w:tcPr>
          <w:p w14:paraId="64937B62" w14:textId="77777777" w:rsidR="002C6574" w:rsidRDefault="002C6574">
            <w:pPr>
              <w:rPr>
                <w:sz w:val="2"/>
                <w:szCs w:val="2"/>
              </w:rPr>
            </w:pPr>
          </w:p>
        </w:tc>
        <w:tc>
          <w:tcPr>
            <w:tcW w:w="1030" w:type="dxa"/>
            <w:tcBorders>
              <w:left w:val="nil"/>
            </w:tcBorders>
          </w:tcPr>
          <w:p w14:paraId="08F14D6D" w14:textId="77777777" w:rsidR="002C6574" w:rsidRDefault="00000000">
            <w:pPr>
              <w:pStyle w:val="TableParagraph"/>
              <w:spacing w:before="44" w:line="163" w:lineRule="exact"/>
              <w:ind w:right="64"/>
              <w:rPr>
                <w:rFonts w:ascii="Arial"/>
                <w:b/>
                <w:sz w:val="16"/>
              </w:rPr>
            </w:pPr>
            <w:r>
              <w:rPr>
                <w:rFonts w:ascii="Arial"/>
                <w:b/>
                <w:spacing w:val="-2"/>
                <w:sz w:val="16"/>
              </w:rPr>
              <w:t>182.436</w:t>
            </w:r>
          </w:p>
        </w:tc>
        <w:tc>
          <w:tcPr>
            <w:tcW w:w="1093" w:type="dxa"/>
            <w:tcBorders>
              <w:right w:val="nil"/>
            </w:tcBorders>
          </w:tcPr>
          <w:p w14:paraId="2C33F483" w14:textId="77777777" w:rsidR="002C6574" w:rsidRDefault="00000000">
            <w:pPr>
              <w:pStyle w:val="TableParagraph"/>
              <w:spacing w:before="44" w:line="163" w:lineRule="exact"/>
              <w:ind w:right="70"/>
              <w:rPr>
                <w:rFonts w:ascii="Arial"/>
                <w:b/>
                <w:sz w:val="16"/>
              </w:rPr>
            </w:pPr>
            <w:r>
              <w:rPr>
                <w:rFonts w:ascii="Arial"/>
                <w:b/>
                <w:spacing w:val="-2"/>
                <w:sz w:val="16"/>
              </w:rPr>
              <w:t>(66.572)</w:t>
            </w:r>
          </w:p>
        </w:tc>
      </w:tr>
      <w:tr w:rsidR="002C6574" w14:paraId="2A6AEDC7" w14:textId="77777777">
        <w:trPr>
          <w:trHeight w:val="227"/>
        </w:trPr>
        <w:tc>
          <w:tcPr>
            <w:tcW w:w="5334" w:type="dxa"/>
            <w:tcBorders>
              <w:left w:val="nil"/>
            </w:tcBorders>
          </w:tcPr>
          <w:p w14:paraId="63965694" w14:textId="77777777" w:rsidR="002C6574" w:rsidRDefault="00000000">
            <w:pPr>
              <w:pStyle w:val="TableParagraph"/>
              <w:spacing w:before="44" w:line="163" w:lineRule="exact"/>
              <w:ind w:left="115"/>
              <w:jc w:val="left"/>
              <w:rPr>
                <w:rFonts w:ascii="Arial" w:hAnsi="Arial"/>
                <w:b/>
                <w:sz w:val="16"/>
              </w:rPr>
            </w:pPr>
            <w:r>
              <w:rPr>
                <w:rFonts w:ascii="Arial" w:hAnsi="Arial"/>
                <w:b/>
                <w:sz w:val="16"/>
              </w:rPr>
              <w:t>DEDUÇÕES</w:t>
            </w:r>
            <w:r>
              <w:rPr>
                <w:rFonts w:ascii="Arial" w:hAnsi="Arial"/>
                <w:b/>
                <w:spacing w:val="-3"/>
                <w:sz w:val="16"/>
              </w:rPr>
              <w:t xml:space="preserve"> </w:t>
            </w:r>
            <w:r>
              <w:rPr>
                <w:rFonts w:ascii="Arial" w:hAnsi="Arial"/>
                <w:b/>
                <w:sz w:val="16"/>
              </w:rPr>
              <w:t>DO</w:t>
            </w:r>
            <w:r>
              <w:rPr>
                <w:rFonts w:ascii="Arial" w:hAnsi="Arial"/>
                <w:b/>
                <w:spacing w:val="-5"/>
                <w:sz w:val="16"/>
              </w:rPr>
              <w:t xml:space="preserve"> </w:t>
            </w:r>
            <w:r>
              <w:rPr>
                <w:rFonts w:ascii="Arial" w:hAnsi="Arial"/>
                <w:b/>
                <w:spacing w:val="-2"/>
                <w:sz w:val="16"/>
              </w:rPr>
              <w:t>RESULTADO</w:t>
            </w:r>
          </w:p>
        </w:tc>
        <w:tc>
          <w:tcPr>
            <w:tcW w:w="860" w:type="dxa"/>
            <w:shd w:val="clear" w:color="auto" w:fill="66FFFF"/>
          </w:tcPr>
          <w:p w14:paraId="19846946" w14:textId="77777777" w:rsidR="002C6574" w:rsidRDefault="00000000">
            <w:pPr>
              <w:pStyle w:val="TableParagraph"/>
              <w:spacing w:before="22"/>
              <w:ind w:right="62"/>
              <w:rPr>
                <w:rFonts w:ascii="Arial"/>
                <w:b/>
                <w:sz w:val="16"/>
              </w:rPr>
            </w:pPr>
            <w:r>
              <w:rPr>
                <w:rFonts w:ascii="Arial"/>
                <w:b/>
                <w:spacing w:val="-2"/>
                <w:sz w:val="16"/>
              </w:rPr>
              <w:t>(41.932)</w:t>
            </w:r>
          </w:p>
        </w:tc>
        <w:tc>
          <w:tcPr>
            <w:tcW w:w="987" w:type="dxa"/>
          </w:tcPr>
          <w:p w14:paraId="07C75F6D" w14:textId="77777777" w:rsidR="002C6574" w:rsidRDefault="00000000">
            <w:pPr>
              <w:pStyle w:val="TableParagraph"/>
              <w:spacing w:before="44" w:line="163" w:lineRule="exact"/>
              <w:ind w:right="65"/>
              <w:rPr>
                <w:rFonts w:ascii="Arial"/>
                <w:b/>
                <w:sz w:val="16"/>
              </w:rPr>
            </w:pPr>
            <w:r>
              <w:rPr>
                <w:rFonts w:ascii="Arial"/>
                <w:b/>
                <w:spacing w:val="-10"/>
                <w:sz w:val="16"/>
              </w:rPr>
              <w:t>-</w:t>
            </w:r>
          </w:p>
        </w:tc>
        <w:tc>
          <w:tcPr>
            <w:tcW w:w="1004" w:type="dxa"/>
            <w:tcBorders>
              <w:right w:val="nil"/>
            </w:tcBorders>
          </w:tcPr>
          <w:p w14:paraId="06A48688" w14:textId="77777777" w:rsidR="002C6574" w:rsidRDefault="00000000">
            <w:pPr>
              <w:pStyle w:val="TableParagraph"/>
              <w:spacing w:before="44" w:line="163" w:lineRule="exact"/>
              <w:ind w:right="68"/>
              <w:rPr>
                <w:rFonts w:ascii="Arial"/>
                <w:b/>
                <w:sz w:val="16"/>
              </w:rPr>
            </w:pPr>
            <w:r>
              <w:rPr>
                <w:rFonts w:ascii="Arial"/>
                <w:b/>
                <w:spacing w:val="-10"/>
                <w:sz w:val="16"/>
              </w:rPr>
              <w:t>-</w:t>
            </w:r>
          </w:p>
        </w:tc>
        <w:tc>
          <w:tcPr>
            <w:tcW w:w="185" w:type="dxa"/>
            <w:vMerge/>
            <w:tcBorders>
              <w:top w:val="nil"/>
              <w:left w:val="nil"/>
              <w:bottom w:val="nil"/>
              <w:right w:val="nil"/>
            </w:tcBorders>
          </w:tcPr>
          <w:p w14:paraId="70C9D024" w14:textId="77777777" w:rsidR="002C6574" w:rsidRDefault="002C6574">
            <w:pPr>
              <w:rPr>
                <w:sz w:val="2"/>
                <w:szCs w:val="2"/>
              </w:rPr>
            </w:pPr>
          </w:p>
        </w:tc>
        <w:tc>
          <w:tcPr>
            <w:tcW w:w="1030" w:type="dxa"/>
            <w:tcBorders>
              <w:left w:val="nil"/>
            </w:tcBorders>
          </w:tcPr>
          <w:p w14:paraId="0942F2E3" w14:textId="77777777" w:rsidR="002C6574" w:rsidRDefault="00000000">
            <w:pPr>
              <w:pStyle w:val="TableParagraph"/>
              <w:spacing w:before="44" w:line="163" w:lineRule="exact"/>
              <w:ind w:right="64"/>
              <w:rPr>
                <w:rFonts w:ascii="Arial"/>
                <w:b/>
                <w:sz w:val="16"/>
              </w:rPr>
            </w:pPr>
            <w:r>
              <w:rPr>
                <w:rFonts w:ascii="Arial"/>
                <w:b/>
                <w:spacing w:val="-2"/>
                <w:sz w:val="16"/>
              </w:rPr>
              <w:t>(41.932)</w:t>
            </w:r>
          </w:p>
        </w:tc>
        <w:tc>
          <w:tcPr>
            <w:tcW w:w="1093" w:type="dxa"/>
            <w:tcBorders>
              <w:right w:val="nil"/>
            </w:tcBorders>
          </w:tcPr>
          <w:p w14:paraId="686CA10A" w14:textId="77777777" w:rsidR="002C6574" w:rsidRDefault="00000000">
            <w:pPr>
              <w:pStyle w:val="TableParagraph"/>
              <w:spacing w:before="44" w:line="163" w:lineRule="exact"/>
              <w:ind w:right="67"/>
              <w:rPr>
                <w:rFonts w:ascii="Arial"/>
                <w:b/>
                <w:sz w:val="16"/>
              </w:rPr>
            </w:pPr>
            <w:r>
              <w:rPr>
                <w:rFonts w:ascii="Arial"/>
                <w:b/>
                <w:spacing w:val="-10"/>
                <w:sz w:val="16"/>
              </w:rPr>
              <w:t>-</w:t>
            </w:r>
          </w:p>
        </w:tc>
      </w:tr>
      <w:tr w:rsidR="002C6574" w14:paraId="101DE9BA" w14:textId="77777777">
        <w:trPr>
          <w:trHeight w:val="225"/>
        </w:trPr>
        <w:tc>
          <w:tcPr>
            <w:tcW w:w="5334" w:type="dxa"/>
            <w:tcBorders>
              <w:left w:val="nil"/>
            </w:tcBorders>
          </w:tcPr>
          <w:p w14:paraId="6330A968" w14:textId="77777777" w:rsidR="002C6574" w:rsidRDefault="00000000">
            <w:pPr>
              <w:pStyle w:val="TableParagraph"/>
              <w:spacing w:before="41" w:line="163" w:lineRule="exact"/>
              <w:ind w:left="249"/>
              <w:jc w:val="left"/>
              <w:rPr>
                <w:rFonts w:ascii="Arial MT" w:hAnsi="Arial MT"/>
                <w:sz w:val="16"/>
              </w:rPr>
            </w:pPr>
            <w:r>
              <w:rPr>
                <w:rFonts w:ascii="Arial MT" w:hAnsi="Arial MT"/>
                <w:sz w:val="16"/>
              </w:rPr>
              <w:t>Imposto</w:t>
            </w:r>
            <w:r>
              <w:rPr>
                <w:rFonts w:ascii="Arial MT" w:hAnsi="Arial MT"/>
                <w:spacing w:val="-7"/>
                <w:sz w:val="16"/>
              </w:rPr>
              <w:t xml:space="preserve"> </w:t>
            </w:r>
            <w:r>
              <w:rPr>
                <w:rFonts w:ascii="Arial MT" w:hAnsi="Arial MT"/>
                <w:sz w:val="16"/>
              </w:rPr>
              <w:t>de</w:t>
            </w:r>
            <w:r>
              <w:rPr>
                <w:rFonts w:ascii="Arial MT" w:hAnsi="Arial MT"/>
                <w:spacing w:val="-7"/>
                <w:sz w:val="16"/>
              </w:rPr>
              <w:t xml:space="preserve"> </w:t>
            </w:r>
            <w:r>
              <w:rPr>
                <w:rFonts w:ascii="Arial MT" w:hAnsi="Arial MT"/>
                <w:sz w:val="16"/>
              </w:rPr>
              <w:t>Renda</w:t>
            </w:r>
            <w:r>
              <w:rPr>
                <w:rFonts w:ascii="Arial MT" w:hAnsi="Arial MT"/>
                <w:spacing w:val="-4"/>
                <w:sz w:val="16"/>
              </w:rPr>
              <w:t xml:space="preserve"> </w:t>
            </w:r>
            <w:r>
              <w:rPr>
                <w:rFonts w:ascii="Arial MT" w:hAnsi="Arial MT"/>
                <w:sz w:val="16"/>
              </w:rPr>
              <w:t>e</w:t>
            </w:r>
            <w:r>
              <w:rPr>
                <w:rFonts w:ascii="Arial MT" w:hAnsi="Arial MT"/>
                <w:spacing w:val="-5"/>
                <w:sz w:val="16"/>
              </w:rPr>
              <w:t xml:space="preserve"> </w:t>
            </w:r>
            <w:r>
              <w:rPr>
                <w:rFonts w:ascii="Arial MT" w:hAnsi="Arial MT"/>
                <w:sz w:val="16"/>
              </w:rPr>
              <w:t>Contribuição</w:t>
            </w:r>
            <w:r>
              <w:rPr>
                <w:rFonts w:ascii="Arial MT" w:hAnsi="Arial MT"/>
                <w:spacing w:val="-4"/>
                <w:sz w:val="16"/>
              </w:rPr>
              <w:t xml:space="preserve"> </w:t>
            </w:r>
            <w:r>
              <w:rPr>
                <w:rFonts w:ascii="Arial MT" w:hAnsi="Arial MT"/>
                <w:sz w:val="16"/>
              </w:rPr>
              <w:t>Social</w:t>
            </w:r>
            <w:r>
              <w:rPr>
                <w:rFonts w:ascii="Arial MT" w:hAnsi="Arial MT"/>
                <w:spacing w:val="-6"/>
                <w:sz w:val="16"/>
              </w:rPr>
              <w:t xml:space="preserve"> </w:t>
            </w:r>
            <w:r>
              <w:rPr>
                <w:rFonts w:ascii="Arial MT" w:hAnsi="Arial MT"/>
                <w:sz w:val="16"/>
              </w:rPr>
              <w:t>sobre</w:t>
            </w:r>
            <w:r>
              <w:rPr>
                <w:rFonts w:ascii="Arial MT" w:hAnsi="Arial MT"/>
                <w:spacing w:val="-5"/>
                <w:sz w:val="16"/>
              </w:rPr>
              <w:t xml:space="preserve"> </w:t>
            </w:r>
            <w:r>
              <w:rPr>
                <w:rFonts w:ascii="Arial MT" w:hAnsi="Arial MT"/>
                <w:sz w:val="16"/>
              </w:rPr>
              <w:t>o</w:t>
            </w:r>
            <w:r>
              <w:rPr>
                <w:rFonts w:ascii="Arial MT" w:hAnsi="Arial MT"/>
                <w:spacing w:val="-4"/>
                <w:sz w:val="16"/>
              </w:rPr>
              <w:t xml:space="preserve"> </w:t>
            </w:r>
            <w:r>
              <w:rPr>
                <w:rFonts w:ascii="Arial MT" w:hAnsi="Arial MT"/>
                <w:sz w:val="16"/>
              </w:rPr>
              <w:t>Lucro</w:t>
            </w:r>
            <w:r>
              <w:rPr>
                <w:rFonts w:ascii="Arial MT" w:hAnsi="Arial MT"/>
                <w:spacing w:val="-4"/>
                <w:sz w:val="16"/>
              </w:rPr>
              <w:t xml:space="preserve"> </w:t>
            </w:r>
            <w:r>
              <w:rPr>
                <w:rFonts w:ascii="Arial MT" w:hAnsi="Arial MT"/>
                <w:spacing w:val="-2"/>
                <w:sz w:val="16"/>
              </w:rPr>
              <w:t>Líquido</w:t>
            </w:r>
          </w:p>
        </w:tc>
        <w:tc>
          <w:tcPr>
            <w:tcW w:w="860" w:type="dxa"/>
            <w:shd w:val="clear" w:color="auto" w:fill="66FFFF"/>
          </w:tcPr>
          <w:p w14:paraId="5CDFEADF" w14:textId="77777777" w:rsidR="002C6574" w:rsidRDefault="00000000">
            <w:pPr>
              <w:pStyle w:val="TableParagraph"/>
              <w:spacing w:before="20"/>
              <w:ind w:right="62"/>
              <w:rPr>
                <w:rFonts w:ascii="Arial"/>
                <w:b/>
                <w:sz w:val="16"/>
              </w:rPr>
            </w:pPr>
            <w:r>
              <w:rPr>
                <w:rFonts w:ascii="Arial"/>
                <w:b/>
                <w:spacing w:val="-2"/>
                <w:sz w:val="16"/>
              </w:rPr>
              <w:t>(41.932)</w:t>
            </w:r>
          </w:p>
        </w:tc>
        <w:tc>
          <w:tcPr>
            <w:tcW w:w="987" w:type="dxa"/>
          </w:tcPr>
          <w:p w14:paraId="15426307" w14:textId="77777777" w:rsidR="002C6574" w:rsidRDefault="00000000">
            <w:pPr>
              <w:pStyle w:val="TableParagraph"/>
              <w:spacing w:before="41" w:line="163" w:lineRule="exact"/>
              <w:ind w:right="65"/>
              <w:rPr>
                <w:rFonts w:ascii="Arial MT"/>
                <w:sz w:val="16"/>
              </w:rPr>
            </w:pPr>
            <w:r>
              <w:rPr>
                <w:rFonts w:ascii="Arial MT"/>
                <w:spacing w:val="-10"/>
                <w:sz w:val="16"/>
              </w:rPr>
              <w:t>-</w:t>
            </w:r>
          </w:p>
        </w:tc>
        <w:tc>
          <w:tcPr>
            <w:tcW w:w="1004" w:type="dxa"/>
            <w:tcBorders>
              <w:right w:val="nil"/>
            </w:tcBorders>
          </w:tcPr>
          <w:p w14:paraId="2EDDBA3E" w14:textId="77777777" w:rsidR="002C6574" w:rsidRDefault="00000000">
            <w:pPr>
              <w:pStyle w:val="TableParagraph"/>
              <w:spacing w:before="41" w:line="163" w:lineRule="exact"/>
              <w:ind w:right="68"/>
              <w:rPr>
                <w:rFonts w:ascii="Arial MT"/>
                <w:sz w:val="16"/>
              </w:rPr>
            </w:pPr>
            <w:r>
              <w:rPr>
                <w:rFonts w:ascii="Arial MT"/>
                <w:spacing w:val="-10"/>
                <w:sz w:val="16"/>
              </w:rPr>
              <w:t>-</w:t>
            </w:r>
          </w:p>
        </w:tc>
        <w:tc>
          <w:tcPr>
            <w:tcW w:w="185" w:type="dxa"/>
            <w:vMerge/>
            <w:tcBorders>
              <w:top w:val="nil"/>
              <w:left w:val="nil"/>
              <w:bottom w:val="nil"/>
              <w:right w:val="nil"/>
            </w:tcBorders>
          </w:tcPr>
          <w:p w14:paraId="0B3EA6EE" w14:textId="77777777" w:rsidR="002C6574" w:rsidRDefault="002C6574">
            <w:pPr>
              <w:rPr>
                <w:sz w:val="2"/>
                <w:szCs w:val="2"/>
              </w:rPr>
            </w:pPr>
          </w:p>
        </w:tc>
        <w:tc>
          <w:tcPr>
            <w:tcW w:w="1030" w:type="dxa"/>
            <w:tcBorders>
              <w:left w:val="nil"/>
            </w:tcBorders>
          </w:tcPr>
          <w:p w14:paraId="7D96BA18" w14:textId="77777777" w:rsidR="002C6574" w:rsidRDefault="00000000">
            <w:pPr>
              <w:pStyle w:val="TableParagraph"/>
              <w:spacing w:before="41" w:line="163" w:lineRule="exact"/>
              <w:ind w:right="64"/>
              <w:rPr>
                <w:rFonts w:ascii="Arial MT"/>
                <w:sz w:val="16"/>
              </w:rPr>
            </w:pPr>
            <w:r>
              <w:rPr>
                <w:rFonts w:ascii="Arial MT"/>
                <w:spacing w:val="-2"/>
                <w:sz w:val="16"/>
              </w:rPr>
              <w:t>(41.932)</w:t>
            </w:r>
          </w:p>
        </w:tc>
        <w:tc>
          <w:tcPr>
            <w:tcW w:w="1093" w:type="dxa"/>
            <w:tcBorders>
              <w:right w:val="nil"/>
            </w:tcBorders>
          </w:tcPr>
          <w:p w14:paraId="1A6E2F6B" w14:textId="77777777" w:rsidR="002C6574" w:rsidRDefault="00000000">
            <w:pPr>
              <w:pStyle w:val="TableParagraph"/>
              <w:spacing w:before="41" w:line="163" w:lineRule="exact"/>
              <w:ind w:right="67"/>
              <w:rPr>
                <w:rFonts w:ascii="Arial MT"/>
                <w:sz w:val="16"/>
              </w:rPr>
            </w:pPr>
            <w:r>
              <w:rPr>
                <w:rFonts w:ascii="Arial MT"/>
                <w:spacing w:val="-10"/>
                <w:sz w:val="16"/>
              </w:rPr>
              <w:t>-</w:t>
            </w:r>
          </w:p>
        </w:tc>
      </w:tr>
      <w:tr w:rsidR="002C6574" w14:paraId="146A3C3C" w14:textId="77777777">
        <w:trPr>
          <w:trHeight w:val="227"/>
        </w:trPr>
        <w:tc>
          <w:tcPr>
            <w:tcW w:w="5334" w:type="dxa"/>
            <w:tcBorders>
              <w:left w:val="nil"/>
            </w:tcBorders>
          </w:tcPr>
          <w:p w14:paraId="669C2D7B" w14:textId="77777777" w:rsidR="002C6574" w:rsidRDefault="00000000">
            <w:pPr>
              <w:pStyle w:val="TableParagraph"/>
              <w:spacing w:before="44" w:line="163" w:lineRule="exact"/>
              <w:ind w:left="69"/>
              <w:jc w:val="left"/>
              <w:rPr>
                <w:rFonts w:ascii="Arial" w:hAnsi="Arial"/>
                <w:b/>
                <w:sz w:val="16"/>
              </w:rPr>
            </w:pPr>
            <w:r>
              <w:rPr>
                <w:rFonts w:ascii="Arial" w:hAnsi="Arial"/>
                <w:b/>
                <w:sz w:val="16"/>
              </w:rPr>
              <w:t>LUCRO/(PREJUÍZO)</w:t>
            </w:r>
            <w:r>
              <w:rPr>
                <w:rFonts w:ascii="Arial" w:hAnsi="Arial"/>
                <w:b/>
                <w:spacing w:val="-8"/>
                <w:sz w:val="16"/>
              </w:rPr>
              <w:t xml:space="preserve"> </w:t>
            </w:r>
            <w:r>
              <w:rPr>
                <w:rFonts w:ascii="Arial" w:hAnsi="Arial"/>
                <w:b/>
                <w:sz w:val="16"/>
              </w:rPr>
              <w:t>LÍQUIDO</w:t>
            </w:r>
            <w:r>
              <w:rPr>
                <w:rFonts w:ascii="Arial" w:hAnsi="Arial"/>
                <w:b/>
                <w:spacing w:val="-8"/>
                <w:sz w:val="16"/>
              </w:rPr>
              <w:t xml:space="preserve"> </w:t>
            </w:r>
            <w:r>
              <w:rPr>
                <w:rFonts w:ascii="Arial" w:hAnsi="Arial"/>
                <w:b/>
                <w:sz w:val="16"/>
              </w:rPr>
              <w:t>DO</w:t>
            </w:r>
            <w:r>
              <w:rPr>
                <w:rFonts w:ascii="Arial" w:hAnsi="Arial"/>
                <w:b/>
                <w:spacing w:val="-7"/>
                <w:sz w:val="16"/>
              </w:rPr>
              <w:t xml:space="preserve"> </w:t>
            </w:r>
            <w:r>
              <w:rPr>
                <w:rFonts w:ascii="Arial" w:hAnsi="Arial"/>
                <w:b/>
                <w:spacing w:val="-2"/>
                <w:sz w:val="16"/>
              </w:rPr>
              <w:t>EXERCÍCIO</w:t>
            </w:r>
          </w:p>
        </w:tc>
        <w:tc>
          <w:tcPr>
            <w:tcW w:w="860" w:type="dxa"/>
            <w:shd w:val="clear" w:color="auto" w:fill="66FFFF"/>
          </w:tcPr>
          <w:p w14:paraId="1089A845" w14:textId="77777777" w:rsidR="002C6574" w:rsidRDefault="00000000">
            <w:pPr>
              <w:pStyle w:val="TableParagraph"/>
              <w:spacing w:before="22"/>
              <w:ind w:right="65"/>
              <w:rPr>
                <w:rFonts w:ascii="Arial"/>
                <w:b/>
                <w:sz w:val="16"/>
              </w:rPr>
            </w:pPr>
            <w:r>
              <w:rPr>
                <w:rFonts w:ascii="Arial"/>
                <w:b/>
                <w:spacing w:val="-2"/>
                <w:sz w:val="16"/>
              </w:rPr>
              <w:t>223.461</w:t>
            </w:r>
          </w:p>
        </w:tc>
        <w:tc>
          <w:tcPr>
            <w:tcW w:w="987" w:type="dxa"/>
          </w:tcPr>
          <w:p w14:paraId="0C0917B7" w14:textId="77777777" w:rsidR="002C6574" w:rsidRDefault="00000000">
            <w:pPr>
              <w:pStyle w:val="TableParagraph"/>
              <w:spacing w:before="44" w:line="163" w:lineRule="exact"/>
              <w:ind w:right="65"/>
              <w:rPr>
                <w:rFonts w:ascii="Arial"/>
                <w:b/>
                <w:sz w:val="16"/>
              </w:rPr>
            </w:pPr>
            <w:r>
              <w:rPr>
                <w:rFonts w:ascii="Arial"/>
                <w:b/>
                <w:spacing w:val="-2"/>
                <w:sz w:val="16"/>
              </w:rPr>
              <w:t>139.125</w:t>
            </w:r>
          </w:p>
        </w:tc>
        <w:tc>
          <w:tcPr>
            <w:tcW w:w="1004" w:type="dxa"/>
            <w:tcBorders>
              <w:right w:val="nil"/>
            </w:tcBorders>
          </w:tcPr>
          <w:p w14:paraId="53DF873E" w14:textId="77777777" w:rsidR="002C6574" w:rsidRDefault="00000000">
            <w:pPr>
              <w:pStyle w:val="TableParagraph"/>
              <w:spacing w:before="44" w:line="163" w:lineRule="exact"/>
              <w:ind w:right="66"/>
              <w:rPr>
                <w:rFonts w:ascii="Arial"/>
                <w:b/>
                <w:sz w:val="16"/>
              </w:rPr>
            </w:pPr>
            <w:r>
              <w:rPr>
                <w:rFonts w:ascii="Arial"/>
                <w:b/>
                <w:spacing w:val="-2"/>
                <w:sz w:val="16"/>
              </w:rPr>
              <w:t>(25.610)</w:t>
            </w:r>
          </w:p>
        </w:tc>
        <w:tc>
          <w:tcPr>
            <w:tcW w:w="185" w:type="dxa"/>
            <w:vMerge/>
            <w:tcBorders>
              <w:top w:val="nil"/>
              <w:left w:val="nil"/>
              <w:bottom w:val="nil"/>
              <w:right w:val="nil"/>
            </w:tcBorders>
          </w:tcPr>
          <w:p w14:paraId="41544577" w14:textId="77777777" w:rsidR="002C6574" w:rsidRDefault="002C6574">
            <w:pPr>
              <w:rPr>
                <w:sz w:val="2"/>
                <w:szCs w:val="2"/>
              </w:rPr>
            </w:pPr>
          </w:p>
        </w:tc>
        <w:tc>
          <w:tcPr>
            <w:tcW w:w="1030" w:type="dxa"/>
            <w:tcBorders>
              <w:left w:val="nil"/>
            </w:tcBorders>
          </w:tcPr>
          <w:p w14:paraId="58F9CE4E" w14:textId="77777777" w:rsidR="002C6574" w:rsidRDefault="00000000">
            <w:pPr>
              <w:pStyle w:val="TableParagraph"/>
              <w:spacing w:before="44" w:line="163" w:lineRule="exact"/>
              <w:ind w:right="64"/>
              <w:rPr>
                <w:rFonts w:ascii="Arial"/>
                <w:b/>
                <w:sz w:val="16"/>
              </w:rPr>
            </w:pPr>
            <w:r>
              <w:rPr>
                <w:rFonts w:ascii="Arial"/>
                <w:b/>
                <w:spacing w:val="-2"/>
                <w:sz w:val="16"/>
              </w:rPr>
              <w:t>140.504</w:t>
            </w:r>
          </w:p>
        </w:tc>
        <w:tc>
          <w:tcPr>
            <w:tcW w:w="1093" w:type="dxa"/>
            <w:tcBorders>
              <w:right w:val="nil"/>
            </w:tcBorders>
          </w:tcPr>
          <w:p w14:paraId="026C6BA5" w14:textId="77777777" w:rsidR="002C6574" w:rsidRDefault="00000000">
            <w:pPr>
              <w:pStyle w:val="TableParagraph"/>
              <w:spacing w:before="44" w:line="163" w:lineRule="exact"/>
              <w:ind w:right="70"/>
              <w:rPr>
                <w:rFonts w:ascii="Arial"/>
                <w:b/>
                <w:sz w:val="16"/>
              </w:rPr>
            </w:pPr>
            <w:r>
              <w:rPr>
                <w:rFonts w:ascii="Arial"/>
                <w:b/>
                <w:spacing w:val="-2"/>
                <w:sz w:val="16"/>
              </w:rPr>
              <w:t>(66.572)</w:t>
            </w:r>
          </w:p>
        </w:tc>
      </w:tr>
      <w:tr w:rsidR="002C6574" w14:paraId="3CE6E66E" w14:textId="77777777">
        <w:trPr>
          <w:trHeight w:val="227"/>
        </w:trPr>
        <w:tc>
          <w:tcPr>
            <w:tcW w:w="5334" w:type="dxa"/>
            <w:tcBorders>
              <w:left w:val="nil"/>
            </w:tcBorders>
          </w:tcPr>
          <w:p w14:paraId="4A95927B" w14:textId="77777777" w:rsidR="002C6574" w:rsidRDefault="00000000">
            <w:pPr>
              <w:pStyle w:val="TableParagraph"/>
              <w:spacing w:before="44" w:line="163" w:lineRule="exact"/>
              <w:ind w:left="292"/>
              <w:jc w:val="left"/>
              <w:rPr>
                <w:rFonts w:ascii="Arial" w:hAnsi="Arial"/>
                <w:b/>
                <w:i/>
                <w:sz w:val="16"/>
              </w:rPr>
            </w:pPr>
            <w:r>
              <w:rPr>
                <w:rFonts w:ascii="Arial" w:hAnsi="Arial"/>
                <w:b/>
                <w:i/>
                <w:sz w:val="16"/>
              </w:rPr>
              <w:t>Margem</w:t>
            </w:r>
            <w:r>
              <w:rPr>
                <w:rFonts w:ascii="Arial" w:hAnsi="Arial"/>
                <w:b/>
                <w:i/>
                <w:spacing w:val="-6"/>
                <w:sz w:val="16"/>
              </w:rPr>
              <w:t xml:space="preserve"> </w:t>
            </w:r>
            <w:r>
              <w:rPr>
                <w:rFonts w:ascii="Arial" w:hAnsi="Arial"/>
                <w:b/>
                <w:i/>
                <w:spacing w:val="-2"/>
                <w:sz w:val="16"/>
              </w:rPr>
              <w:t>Líquida</w:t>
            </w:r>
          </w:p>
        </w:tc>
        <w:tc>
          <w:tcPr>
            <w:tcW w:w="860" w:type="dxa"/>
            <w:shd w:val="clear" w:color="auto" w:fill="66FFFF"/>
          </w:tcPr>
          <w:p w14:paraId="67214A81" w14:textId="77777777" w:rsidR="002C6574" w:rsidRDefault="00000000">
            <w:pPr>
              <w:pStyle w:val="TableParagraph"/>
              <w:spacing w:before="22"/>
              <w:ind w:right="64"/>
              <w:rPr>
                <w:rFonts w:ascii="Arial"/>
                <w:b/>
                <w:i/>
                <w:sz w:val="16"/>
              </w:rPr>
            </w:pPr>
            <w:r>
              <w:rPr>
                <w:rFonts w:ascii="Arial"/>
                <w:b/>
                <w:i/>
                <w:spacing w:val="-2"/>
                <w:sz w:val="16"/>
              </w:rPr>
              <w:t>139,2%</w:t>
            </w:r>
          </w:p>
        </w:tc>
        <w:tc>
          <w:tcPr>
            <w:tcW w:w="987" w:type="dxa"/>
          </w:tcPr>
          <w:p w14:paraId="03341E32" w14:textId="77777777" w:rsidR="002C6574" w:rsidRDefault="00000000">
            <w:pPr>
              <w:pStyle w:val="TableParagraph"/>
              <w:spacing w:before="44" w:line="163" w:lineRule="exact"/>
              <w:ind w:right="65"/>
              <w:rPr>
                <w:rFonts w:ascii="Arial"/>
                <w:b/>
                <w:i/>
                <w:sz w:val="16"/>
              </w:rPr>
            </w:pPr>
            <w:r>
              <w:rPr>
                <w:rFonts w:ascii="Arial"/>
                <w:b/>
                <w:i/>
                <w:spacing w:val="-2"/>
                <w:sz w:val="16"/>
              </w:rPr>
              <w:t>105,76%</w:t>
            </w:r>
          </w:p>
        </w:tc>
        <w:tc>
          <w:tcPr>
            <w:tcW w:w="1004" w:type="dxa"/>
            <w:tcBorders>
              <w:right w:val="nil"/>
            </w:tcBorders>
          </w:tcPr>
          <w:p w14:paraId="017703CA" w14:textId="77777777" w:rsidR="002C6574" w:rsidRDefault="00000000">
            <w:pPr>
              <w:pStyle w:val="TableParagraph"/>
              <w:spacing w:before="44" w:line="163" w:lineRule="exact"/>
              <w:ind w:right="68"/>
              <w:rPr>
                <w:rFonts w:ascii="Arial"/>
                <w:b/>
                <w:i/>
                <w:sz w:val="16"/>
              </w:rPr>
            </w:pPr>
            <w:r>
              <w:rPr>
                <w:rFonts w:ascii="Arial"/>
                <w:b/>
                <w:i/>
                <w:spacing w:val="-2"/>
                <w:sz w:val="16"/>
              </w:rPr>
              <w:t>-24,13%</w:t>
            </w:r>
          </w:p>
        </w:tc>
        <w:tc>
          <w:tcPr>
            <w:tcW w:w="185" w:type="dxa"/>
            <w:vMerge/>
            <w:tcBorders>
              <w:top w:val="nil"/>
              <w:left w:val="nil"/>
              <w:bottom w:val="nil"/>
              <w:right w:val="nil"/>
            </w:tcBorders>
          </w:tcPr>
          <w:p w14:paraId="4DD90286" w14:textId="77777777" w:rsidR="002C6574" w:rsidRDefault="002C6574">
            <w:pPr>
              <w:rPr>
                <w:sz w:val="2"/>
                <w:szCs w:val="2"/>
              </w:rPr>
            </w:pPr>
          </w:p>
        </w:tc>
        <w:tc>
          <w:tcPr>
            <w:tcW w:w="1030" w:type="dxa"/>
            <w:tcBorders>
              <w:left w:val="nil"/>
            </w:tcBorders>
          </w:tcPr>
          <w:p w14:paraId="1942AA9D" w14:textId="77777777" w:rsidR="002C6574" w:rsidRDefault="00000000">
            <w:pPr>
              <w:pStyle w:val="TableParagraph"/>
              <w:spacing w:before="44" w:line="163" w:lineRule="exact"/>
              <w:ind w:right="63"/>
              <w:rPr>
                <w:rFonts w:ascii="Arial"/>
                <w:b/>
                <w:i/>
                <w:sz w:val="16"/>
              </w:rPr>
            </w:pPr>
            <w:r>
              <w:rPr>
                <w:rFonts w:ascii="Arial"/>
                <w:b/>
                <w:i/>
                <w:spacing w:val="-2"/>
                <w:sz w:val="16"/>
              </w:rPr>
              <w:t>28,62%</w:t>
            </w:r>
          </w:p>
        </w:tc>
        <w:tc>
          <w:tcPr>
            <w:tcW w:w="1093" w:type="dxa"/>
            <w:tcBorders>
              <w:right w:val="nil"/>
            </w:tcBorders>
          </w:tcPr>
          <w:p w14:paraId="2D980AE6" w14:textId="77777777" w:rsidR="002C6574" w:rsidRDefault="00000000">
            <w:pPr>
              <w:pStyle w:val="TableParagraph"/>
              <w:spacing w:before="44" w:line="163" w:lineRule="exact"/>
              <w:ind w:right="69"/>
              <w:rPr>
                <w:rFonts w:ascii="Arial"/>
                <w:b/>
                <w:i/>
                <w:sz w:val="16"/>
              </w:rPr>
            </w:pPr>
            <w:r>
              <w:rPr>
                <w:rFonts w:ascii="Arial"/>
                <w:b/>
                <w:i/>
                <w:spacing w:val="-2"/>
                <w:sz w:val="16"/>
              </w:rPr>
              <w:t>-16,07%</w:t>
            </w:r>
          </w:p>
        </w:tc>
      </w:tr>
      <w:tr w:rsidR="002C6574" w14:paraId="2B913303" w14:textId="77777777">
        <w:trPr>
          <w:trHeight w:val="227"/>
        </w:trPr>
        <w:tc>
          <w:tcPr>
            <w:tcW w:w="5334" w:type="dxa"/>
            <w:tcBorders>
              <w:left w:val="nil"/>
            </w:tcBorders>
          </w:tcPr>
          <w:p w14:paraId="0122F1BE" w14:textId="77777777" w:rsidR="002C6574" w:rsidRDefault="00000000">
            <w:pPr>
              <w:pStyle w:val="TableParagraph"/>
              <w:spacing w:before="44" w:line="163" w:lineRule="exact"/>
              <w:ind w:left="69"/>
              <w:jc w:val="left"/>
              <w:rPr>
                <w:rFonts w:ascii="Arial" w:hAnsi="Arial"/>
                <w:b/>
                <w:i/>
                <w:sz w:val="16"/>
              </w:rPr>
            </w:pPr>
            <w:r>
              <w:rPr>
                <w:rFonts w:ascii="Arial" w:hAnsi="Arial"/>
                <w:b/>
                <w:i/>
                <w:sz w:val="16"/>
              </w:rPr>
              <w:t>Lucro/(Prejuízo)</w:t>
            </w:r>
            <w:r>
              <w:rPr>
                <w:rFonts w:ascii="Arial" w:hAnsi="Arial"/>
                <w:b/>
                <w:i/>
                <w:spacing w:val="-7"/>
                <w:sz w:val="16"/>
              </w:rPr>
              <w:t xml:space="preserve"> </w:t>
            </w:r>
            <w:r>
              <w:rPr>
                <w:rFonts w:ascii="Arial" w:hAnsi="Arial"/>
                <w:b/>
                <w:i/>
                <w:sz w:val="16"/>
              </w:rPr>
              <w:t>por</w:t>
            </w:r>
            <w:r>
              <w:rPr>
                <w:rFonts w:ascii="Arial" w:hAnsi="Arial"/>
                <w:b/>
                <w:i/>
                <w:spacing w:val="-5"/>
                <w:sz w:val="16"/>
              </w:rPr>
              <w:t xml:space="preserve"> </w:t>
            </w:r>
            <w:r>
              <w:rPr>
                <w:rFonts w:ascii="Arial" w:hAnsi="Arial"/>
                <w:b/>
                <w:i/>
                <w:sz w:val="16"/>
              </w:rPr>
              <w:t>Ação</w:t>
            </w:r>
            <w:r>
              <w:rPr>
                <w:rFonts w:ascii="Arial" w:hAnsi="Arial"/>
                <w:b/>
                <w:i/>
                <w:spacing w:val="-7"/>
                <w:sz w:val="16"/>
              </w:rPr>
              <w:t xml:space="preserve"> </w:t>
            </w:r>
            <w:r>
              <w:rPr>
                <w:rFonts w:ascii="Arial" w:hAnsi="Arial"/>
                <w:b/>
                <w:i/>
                <w:spacing w:val="-4"/>
                <w:sz w:val="16"/>
              </w:rPr>
              <w:t>(R$)</w:t>
            </w:r>
          </w:p>
        </w:tc>
        <w:tc>
          <w:tcPr>
            <w:tcW w:w="860" w:type="dxa"/>
            <w:shd w:val="clear" w:color="auto" w:fill="66FFFF"/>
          </w:tcPr>
          <w:p w14:paraId="34A0A917" w14:textId="77777777" w:rsidR="002C6574" w:rsidRDefault="00000000">
            <w:pPr>
              <w:pStyle w:val="TableParagraph"/>
              <w:spacing w:before="22"/>
              <w:ind w:right="65"/>
              <w:rPr>
                <w:rFonts w:ascii="Arial"/>
                <w:b/>
                <w:i/>
                <w:sz w:val="16"/>
              </w:rPr>
            </w:pPr>
            <w:r>
              <w:rPr>
                <w:rFonts w:ascii="Arial"/>
                <w:b/>
                <w:i/>
                <w:spacing w:val="-2"/>
                <w:sz w:val="16"/>
              </w:rPr>
              <w:t>2,4266</w:t>
            </w:r>
          </w:p>
        </w:tc>
        <w:tc>
          <w:tcPr>
            <w:tcW w:w="987" w:type="dxa"/>
          </w:tcPr>
          <w:p w14:paraId="1283B180" w14:textId="77777777" w:rsidR="002C6574" w:rsidRDefault="00000000">
            <w:pPr>
              <w:pStyle w:val="TableParagraph"/>
              <w:spacing w:before="44" w:line="163" w:lineRule="exact"/>
              <w:ind w:right="63"/>
              <w:rPr>
                <w:rFonts w:ascii="Arial"/>
                <w:b/>
                <w:i/>
                <w:sz w:val="16"/>
              </w:rPr>
            </w:pPr>
            <w:r>
              <w:rPr>
                <w:rFonts w:ascii="Arial"/>
                <w:b/>
                <w:i/>
                <w:spacing w:val="-2"/>
                <w:sz w:val="16"/>
              </w:rPr>
              <w:t>1,6106</w:t>
            </w:r>
          </w:p>
        </w:tc>
        <w:tc>
          <w:tcPr>
            <w:tcW w:w="1004" w:type="dxa"/>
            <w:tcBorders>
              <w:right w:val="nil"/>
            </w:tcBorders>
          </w:tcPr>
          <w:p w14:paraId="613D27D2" w14:textId="77777777" w:rsidR="002C6574" w:rsidRDefault="00000000">
            <w:pPr>
              <w:pStyle w:val="TableParagraph"/>
              <w:spacing w:before="44" w:line="163" w:lineRule="exact"/>
              <w:ind w:right="66"/>
              <w:rPr>
                <w:rFonts w:ascii="Arial"/>
                <w:b/>
                <w:i/>
                <w:sz w:val="16"/>
              </w:rPr>
            </w:pPr>
            <w:r>
              <w:rPr>
                <w:rFonts w:ascii="Arial"/>
                <w:b/>
                <w:i/>
                <w:spacing w:val="-2"/>
                <w:sz w:val="16"/>
              </w:rPr>
              <w:t>(0,2862)</w:t>
            </w:r>
          </w:p>
        </w:tc>
        <w:tc>
          <w:tcPr>
            <w:tcW w:w="185" w:type="dxa"/>
            <w:vMerge/>
            <w:tcBorders>
              <w:top w:val="nil"/>
              <w:left w:val="nil"/>
              <w:bottom w:val="nil"/>
              <w:right w:val="nil"/>
            </w:tcBorders>
          </w:tcPr>
          <w:p w14:paraId="022D7AD9" w14:textId="77777777" w:rsidR="002C6574" w:rsidRDefault="002C6574">
            <w:pPr>
              <w:rPr>
                <w:sz w:val="2"/>
                <w:szCs w:val="2"/>
              </w:rPr>
            </w:pPr>
          </w:p>
        </w:tc>
        <w:tc>
          <w:tcPr>
            <w:tcW w:w="1030" w:type="dxa"/>
            <w:tcBorders>
              <w:left w:val="nil"/>
            </w:tcBorders>
          </w:tcPr>
          <w:p w14:paraId="25CE80A5" w14:textId="77777777" w:rsidR="002C6574" w:rsidRDefault="00000000">
            <w:pPr>
              <w:pStyle w:val="TableParagraph"/>
              <w:spacing w:before="44" w:line="163" w:lineRule="exact"/>
              <w:ind w:right="64"/>
              <w:rPr>
                <w:rFonts w:ascii="Arial"/>
                <w:b/>
                <w:i/>
                <w:sz w:val="16"/>
              </w:rPr>
            </w:pPr>
            <w:r>
              <w:rPr>
                <w:rFonts w:ascii="Arial"/>
                <w:b/>
                <w:i/>
                <w:spacing w:val="-2"/>
                <w:sz w:val="16"/>
              </w:rPr>
              <w:t>1,5258</w:t>
            </w:r>
          </w:p>
        </w:tc>
        <w:tc>
          <w:tcPr>
            <w:tcW w:w="1093" w:type="dxa"/>
            <w:tcBorders>
              <w:right w:val="nil"/>
            </w:tcBorders>
          </w:tcPr>
          <w:p w14:paraId="7E29FB0E" w14:textId="77777777" w:rsidR="002C6574" w:rsidRDefault="00000000">
            <w:pPr>
              <w:pStyle w:val="TableParagraph"/>
              <w:spacing w:before="44" w:line="163" w:lineRule="exact"/>
              <w:ind w:right="70"/>
              <w:rPr>
                <w:rFonts w:ascii="Arial"/>
                <w:b/>
                <w:i/>
                <w:sz w:val="16"/>
              </w:rPr>
            </w:pPr>
            <w:r>
              <w:rPr>
                <w:rFonts w:ascii="Arial"/>
                <w:b/>
                <w:i/>
                <w:spacing w:val="-2"/>
                <w:sz w:val="16"/>
              </w:rPr>
              <w:t>(0,7707)</w:t>
            </w:r>
          </w:p>
        </w:tc>
      </w:tr>
    </w:tbl>
    <w:p w14:paraId="7C5EB55B" w14:textId="77777777" w:rsidR="002C6574" w:rsidRDefault="002C6574">
      <w:pPr>
        <w:pStyle w:val="TableParagraph"/>
        <w:spacing w:line="163" w:lineRule="exact"/>
        <w:rPr>
          <w:rFonts w:ascii="Arial"/>
          <w:b/>
          <w:i/>
          <w:sz w:val="16"/>
        </w:rPr>
        <w:sectPr w:rsidR="002C6574">
          <w:headerReference w:type="default" r:id="rId223"/>
          <w:footerReference w:type="default" r:id="rId224"/>
          <w:pgSz w:w="11910" w:h="16840"/>
          <w:pgMar w:top="2720" w:right="425" w:bottom="1220" w:left="425" w:header="1197" w:footer="1030" w:gutter="0"/>
          <w:cols w:space="720"/>
        </w:sectPr>
      </w:pPr>
    </w:p>
    <w:p w14:paraId="586057E6" w14:textId="77777777" w:rsidR="002C6574" w:rsidRDefault="00000000">
      <w:pPr>
        <w:pStyle w:val="Corpodetexto"/>
        <w:spacing w:before="57"/>
        <w:rPr>
          <w:rFonts w:ascii="Arial"/>
          <w:b/>
          <w:sz w:val="19"/>
        </w:rPr>
      </w:pPr>
      <w:r>
        <w:rPr>
          <w:rFonts w:ascii="Arial"/>
          <w:b/>
          <w:noProof/>
          <w:sz w:val="19"/>
        </w:rPr>
        <w:lastRenderedPageBreak/>
        <mc:AlternateContent>
          <mc:Choice Requires="wpg">
            <w:drawing>
              <wp:anchor distT="0" distB="0" distL="0" distR="0" simplePos="0" relativeHeight="15786496" behindDoc="0" locked="0" layoutInCell="1" allowOverlap="1" wp14:anchorId="5813EEED" wp14:editId="0FC1F163">
                <wp:simplePos x="0" y="0"/>
                <wp:positionH relativeFrom="page">
                  <wp:posOffset>443483</wp:posOffset>
                </wp:positionH>
                <wp:positionV relativeFrom="page">
                  <wp:posOffset>1394459</wp:posOffset>
                </wp:positionV>
                <wp:extent cx="6922134" cy="105410"/>
                <wp:effectExtent l="0" t="0" r="0" b="0"/>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134" cy="105410"/>
                          <a:chOff x="0" y="0"/>
                          <a:chExt cx="6922134" cy="105410"/>
                        </a:xfrm>
                      </wpg:grpSpPr>
                      <pic:pic xmlns:pic="http://schemas.openxmlformats.org/drawingml/2006/picture">
                        <pic:nvPicPr>
                          <pic:cNvPr id="513" name="Image 513"/>
                          <pic:cNvPicPr/>
                        </pic:nvPicPr>
                        <pic:blipFill>
                          <a:blip r:embed="rId213" cstate="print"/>
                          <a:stretch>
                            <a:fillRect/>
                          </a:stretch>
                        </pic:blipFill>
                        <pic:spPr>
                          <a:xfrm>
                            <a:off x="0" y="0"/>
                            <a:ext cx="6922008" cy="105155"/>
                          </a:xfrm>
                          <a:prstGeom prst="rect">
                            <a:avLst/>
                          </a:prstGeom>
                        </pic:spPr>
                      </pic:pic>
                      <wps:wsp>
                        <wps:cNvPr id="514" name="Graphic 514"/>
                        <wps:cNvSpPr/>
                        <wps:spPr>
                          <a:xfrm>
                            <a:off x="42290" y="34925"/>
                            <a:ext cx="6829425" cy="1270"/>
                          </a:xfrm>
                          <a:custGeom>
                            <a:avLst/>
                            <a:gdLst/>
                            <a:ahLst/>
                            <a:cxnLst/>
                            <a:rect l="l" t="t" r="r" b="b"/>
                            <a:pathLst>
                              <a:path w="6829425">
                                <a:moveTo>
                                  <a:pt x="0" y="0"/>
                                </a:moveTo>
                                <a:lnTo>
                                  <a:pt x="6829425" y="0"/>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07AE8020" id="Group 512" o:spid="_x0000_s1026" style="position:absolute;margin-left:34.9pt;margin-top:109.8pt;width:545.05pt;height:8.3pt;z-index:15786496;mso-wrap-distance-left:0;mso-wrap-distance-right:0;mso-position-horizontal-relative:page;mso-position-vertical-relative:page" coordsize="69221,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">
                <v:shape id="Image 513" o:spid="_x0000_s1027" type="#_x0000_t75" style="position:absolute;width:692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">
                  <v:imagedata r:id="rId214" o:title=""/>
                </v:shape>
                <v:shape id="Graphic 514" o:spid="_x0000_s1028" style="position:absolute;left:422;top:349;width:68295;height:12;visibility:visible;mso-wrap-style:square;v-text-anchor:top" coordsize="682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" path="m,l6829425,e" filled="f" strokecolor="blue" strokeweight="2pt">
                  <v:path arrowok="t"/>
                </v:shape>
                <w10:wrap anchorx="page" anchory="page"/>
              </v:group>
            </w:pict>
          </mc:Fallback>
        </mc:AlternateContent>
      </w:r>
    </w:p>
    <w:p w14:paraId="0318E581" w14:textId="77777777" w:rsidR="002C6574" w:rsidRDefault="00000000">
      <w:pPr>
        <w:ind w:left="427"/>
        <w:rPr>
          <w:rFonts w:ascii="Arial" w:hAnsi="Arial"/>
          <w:b/>
          <w:sz w:val="24"/>
        </w:rPr>
      </w:pPr>
      <w:r>
        <w:rPr>
          <w:rFonts w:ascii="Arial" w:hAnsi="Arial"/>
          <w:b/>
          <w:smallCaps/>
          <w:sz w:val="24"/>
          <w:u w:val="single"/>
        </w:rPr>
        <w:t>Balanço</w:t>
      </w:r>
      <w:r>
        <w:rPr>
          <w:rFonts w:ascii="Arial" w:hAnsi="Arial"/>
          <w:b/>
          <w:smallCaps/>
          <w:spacing w:val="-13"/>
          <w:sz w:val="24"/>
          <w:u w:val="single"/>
        </w:rPr>
        <w:t xml:space="preserve"> </w:t>
      </w:r>
      <w:r>
        <w:rPr>
          <w:rFonts w:ascii="Arial" w:hAnsi="Arial"/>
          <w:b/>
          <w:smallCaps/>
          <w:spacing w:val="-2"/>
          <w:sz w:val="24"/>
          <w:u w:val="single"/>
        </w:rPr>
        <w:t>Patrimonial</w:t>
      </w:r>
    </w:p>
    <w:p w14:paraId="6D293C42" w14:textId="77777777" w:rsidR="002C6574" w:rsidRDefault="002C6574">
      <w:pPr>
        <w:pStyle w:val="Corpodetexto"/>
        <w:spacing w:before="46"/>
        <w:rPr>
          <w:rFonts w:ascii="Arial"/>
          <w:b/>
          <w:sz w:val="20"/>
        </w:rPr>
      </w:pPr>
    </w:p>
    <w:tbl>
      <w:tblPr>
        <w:tblStyle w:val="TableNormal"/>
        <w:tblW w:w="0" w:type="auto"/>
        <w:tblInd w:w="434" w:type="dxa"/>
        <w:tblLayout w:type="fixed"/>
        <w:tblLook w:val="01E0" w:firstRow="1" w:lastRow="1" w:firstColumn="1" w:lastColumn="1" w:noHBand="0" w:noVBand="0"/>
      </w:tblPr>
      <w:tblGrid>
        <w:gridCol w:w="6054"/>
        <w:gridCol w:w="1389"/>
        <w:gridCol w:w="1390"/>
        <w:gridCol w:w="1656"/>
      </w:tblGrid>
      <w:tr w:rsidR="002C6574" w14:paraId="3EDC4E26" w14:textId="77777777">
        <w:trPr>
          <w:trHeight w:val="215"/>
        </w:trPr>
        <w:tc>
          <w:tcPr>
            <w:tcW w:w="6054" w:type="dxa"/>
            <w:tcBorders>
              <w:top w:val="single" w:sz="4" w:space="0" w:color="3616F6"/>
              <w:bottom w:val="single" w:sz="4" w:space="0" w:color="3616F6"/>
            </w:tcBorders>
            <w:shd w:val="clear" w:color="auto" w:fill="0000FF"/>
          </w:tcPr>
          <w:p w14:paraId="61F9AB3C" w14:textId="77777777" w:rsidR="002C6574" w:rsidRDefault="00000000">
            <w:pPr>
              <w:pStyle w:val="TableParagraph"/>
              <w:spacing w:before="17" w:line="178" w:lineRule="exact"/>
              <w:ind w:left="69"/>
              <w:jc w:val="left"/>
              <w:rPr>
                <w:rFonts w:ascii="Arial" w:hAnsi="Arial"/>
                <w:b/>
                <w:sz w:val="16"/>
              </w:rPr>
            </w:pPr>
            <w:r>
              <w:rPr>
                <w:rFonts w:ascii="Arial" w:hAnsi="Arial"/>
                <w:b/>
                <w:color w:val="FFFFFF"/>
                <w:sz w:val="16"/>
              </w:rPr>
              <w:t>Balanço</w:t>
            </w:r>
            <w:r>
              <w:rPr>
                <w:rFonts w:ascii="Arial" w:hAnsi="Arial"/>
                <w:b/>
                <w:color w:val="FFFFFF"/>
                <w:spacing w:val="-5"/>
                <w:sz w:val="16"/>
              </w:rPr>
              <w:t xml:space="preserve"> </w:t>
            </w:r>
            <w:r>
              <w:rPr>
                <w:rFonts w:ascii="Arial" w:hAnsi="Arial"/>
                <w:b/>
                <w:color w:val="FFFFFF"/>
                <w:sz w:val="16"/>
              </w:rPr>
              <w:t>Patrimonial</w:t>
            </w:r>
            <w:r>
              <w:rPr>
                <w:rFonts w:ascii="Arial" w:hAnsi="Arial"/>
                <w:b/>
                <w:color w:val="FFFFFF"/>
                <w:spacing w:val="-3"/>
                <w:sz w:val="16"/>
              </w:rPr>
              <w:t xml:space="preserve"> </w:t>
            </w:r>
            <w:r>
              <w:rPr>
                <w:rFonts w:ascii="Arial" w:hAnsi="Arial"/>
                <w:b/>
                <w:color w:val="FFFFFF"/>
                <w:sz w:val="16"/>
              </w:rPr>
              <w:t>-</w:t>
            </w:r>
            <w:r>
              <w:rPr>
                <w:rFonts w:ascii="Arial" w:hAnsi="Arial"/>
                <w:b/>
                <w:color w:val="FFFFFF"/>
                <w:spacing w:val="-4"/>
                <w:sz w:val="16"/>
              </w:rPr>
              <w:t xml:space="preserve"> </w:t>
            </w:r>
            <w:r>
              <w:rPr>
                <w:rFonts w:ascii="Arial" w:hAnsi="Arial"/>
                <w:b/>
                <w:color w:val="FFFFFF"/>
                <w:sz w:val="16"/>
              </w:rPr>
              <w:t>R$</w:t>
            </w:r>
            <w:r>
              <w:rPr>
                <w:rFonts w:ascii="Arial" w:hAnsi="Arial"/>
                <w:b/>
                <w:color w:val="FFFFFF"/>
                <w:spacing w:val="-4"/>
                <w:sz w:val="16"/>
              </w:rPr>
              <w:t xml:space="preserve"> </w:t>
            </w:r>
            <w:r>
              <w:rPr>
                <w:rFonts w:ascii="Arial" w:hAnsi="Arial"/>
                <w:b/>
                <w:color w:val="FFFFFF"/>
                <w:spacing w:val="-5"/>
                <w:sz w:val="16"/>
              </w:rPr>
              <w:t>mil</w:t>
            </w:r>
          </w:p>
        </w:tc>
        <w:tc>
          <w:tcPr>
            <w:tcW w:w="1389" w:type="dxa"/>
            <w:tcBorders>
              <w:top w:val="single" w:sz="4" w:space="0" w:color="3616F6"/>
              <w:bottom w:val="single" w:sz="4" w:space="0" w:color="3616F6"/>
            </w:tcBorders>
            <w:shd w:val="clear" w:color="auto" w:fill="0000FF"/>
          </w:tcPr>
          <w:p w14:paraId="422B05EC" w14:textId="77777777" w:rsidR="002C6574" w:rsidRDefault="00000000">
            <w:pPr>
              <w:pStyle w:val="TableParagraph"/>
              <w:spacing w:before="17" w:line="178" w:lineRule="exact"/>
              <w:ind w:left="292"/>
              <w:jc w:val="left"/>
              <w:rPr>
                <w:rFonts w:ascii="Arial"/>
                <w:b/>
                <w:sz w:val="16"/>
              </w:rPr>
            </w:pPr>
            <w:r>
              <w:rPr>
                <w:rFonts w:ascii="Arial"/>
                <w:b/>
                <w:color w:val="FFFFFF"/>
                <w:spacing w:val="-2"/>
                <w:sz w:val="16"/>
              </w:rPr>
              <w:t>31/12/2025</w:t>
            </w:r>
          </w:p>
        </w:tc>
        <w:tc>
          <w:tcPr>
            <w:tcW w:w="1390" w:type="dxa"/>
            <w:tcBorders>
              <w:top w:val="single" w:sz="4" w:space="0" w:color="3616F6"/>
              <w:bottom w:val="single" w:sz="4" w:space="0" w:color="3616F6"/>
            </w:tcBorders>
            <w:shd w:val="clear" w:color="auto" w:fill="0000FF"/>
          </w:tcPr>
          <w:p w14:paraId="078F0282" w14:textId="77777777" w:rsidR="002C6574" w:rsidRDefault="00000000">
            <w:pPr>
              <w:pStyle w:val="TableParagraph"/>
              <w:spacing w:before="17" w:line="178" w:lineRule="exact"/>
              <w:ind w:left="293"/>
              <w:jc w:val="left"/>
              <w:rPr>
                <w:rFonts w:ascii="Arial"/>
                <w:b/>
                <w:sz w:val="16"/>
              </w:rPr>
            </w:pPr>
            <w:r>
              <w:rPr>
                <w:rFonts w:ascii="Arial"/>
                <w:b/>
                <w:color w:val="FFFFFF"/>
                <w:spacing w:val="-2"/>
                <w:sz w:val="16"/>
              </w:rPr>
              <w:t>31/12/2024</w:t>
            </w:r>
          </w:p>
        </w:tc>
        <w:tc>
          <w:tcPr>
            <w:tcW w:w="1656" w:type="dxa"/>
            <w:tcBorders>
              <w:top w:val="single" w:sz="4" w:space="0" w:color="3616F6"/>
              <w:bottom w:val="single" w:sz="4" w:space="0" w:color="3616F6"/>
            </w:tcBorders>
            <w:shd w:val="clear" w:color="auto" w:fill="0000FF"/>
          </w:tcPr>
          <w:p w14:paraId="145FEB8D" w14:textId="77777777" w:rsidR="002C6574" w:rsidRDefault="00000000">
            <w:pPr>
              <w:pStyle w:val="TableParagraph"/>
              <w:spacing w:before="17" w:line="178" w:lineRule="exact"/>
              <w:ind w:left="425"/>
              <w:jc w:val="left"/>
              <w:rPr>
                <w:rFonts w:ascii="Arial"/>
                <w:b/>
                <w:sz w:val="16"/>
              </w:rPr>
            </w:pPr>
            <w:r>
              <w:rPr>
                <w:rFonts w:ascii="Arial"/>
                <w:b/>
                <w:color w:val="FFFFFF"/>
                <w:spacing w:val="-2"/>
                <w:sz w:val="16"/>
              </w:rPr>
              <w:t>31/12/2023</w:t>
            </w:r>
          </w:p>
        </w:tc>
      </w:tr>
      <w:tr w:rsidR="002C6574" w14:paraId="63894ED2" w14:textId="77777777">
        <w:trPr>
          <w:trHeight w:val="215"/>
        </w:trPr>
        <w:tc>
          <w:tcPr>
            <w:tcW w:w="10489" w:type="dxa"/>
            <w:gridSpan w:val="4"/>
            <w:tcBorders>
              <w:top w:val="single" w:sz="4" w:space="0" w:color="3616F6"/>
              <w:bottom w:val="single" w:sz="4" w:space="0" w:color="3616F6"/>
            </w:tcBorders>
          </w:tcPr>
          <w:p w14:paraId="24AEDE0D" w14:textId="77777777" w:rsidR="002C6574" w:rsidRDefault="002C6574">
            <w:pPr>
              <w:pStyle w:val="TableParagraph"/>
              <w:jc w:val="left"/>
              <w:rPr>
                <w:rFonts w:ascii="Times New Roman"/>
                <w:sz w:val="14"/>
              </w:rPr>
            </w:pPr>
          </w:p>
        </w:tc>
      </w:tr>
      <w:tr w:rsidR="002C6574" w14:paraId="7B1219F1" w14:textId="77777777">
        <w:trPr>
          <w:trHeight w:val="213"/>
        </w:trPr>
        <w:tc>
          <w:tcPr>
            <w:tcW w:w="6054" w:type="dxa"/>
            <w:tcBorders>
              <w:top w:val="single" w:sz="4" w:space="0" w:color="3616F6"/>
              <w:bottom w:val="single" w:sz="4" w:space="0" w:color="3616F6"/>
              <w:right w:val="single" w:sz="4" w:space="0" w:color="3616F6"/>
            </w:tcBorders>
            <w:shd w:val="clear" w:color="auto" w:fill="0000FF"/>
          </w:tcPr>
          <w:p w14:paraId="25A1ADAD" w14:textId="77777777" w:rsidR="002C6574" w:rsidRDefault="00000000">
            <w:pPr>
              <w:pStyle w:val="TableParagraph"/>
              <w:spacing w:before="15" w:line="178" w:lineRule="exact"/>
              <w:ind w:left="69"/>
              <w:jc w:val="left"/>
              <w:rPr>
                <w:rFonts w:ascii="Arial"/>
                <w:b/>
                <w:sz w:val="16"/>
              </w:rPr>
            </w:pPr>
            <w:r>
              <w:rPr>
                <w:rFonts w:ascii="Arial"/>
                <w:b/>
                <w:color w:val="FFFFFF"/>
                <w:sz w:val="16"/>
              </w:rPr>
              <w:t>Total</w:t>
            </w:r>
            <w:r>
              <w:rPr>
                <w:rFonts w:ascii="Arial"/>
                <w:b/>
                <w:color w:val="FFFFFF"/>
                <w:spacing w:val="-4"/>
                <w:sz w:val="16"/>
              </w:rPr>
              <w:t xml:space="preserve"> </w:t>
            </w:r>
            <w:r>
              <w:rPr>
                <w:rFonts w:ascii="Arial"/>
                <w:b/>
                <w:color w:val="FFFFFF"/>
                <w:spacing w:val="-2"/>
                <w:sz w:val="16"/>
              </w:rPr>
              <w:t>Ativo</w:t>
            </w:r>
          </w:p>
        </w:tc>
        <w:tc>
          <w:tcPr>
            <w:tcW w:w="1389" w:type="dxa"/>
            <w:tcBorders>
              <w:top w:val="single" w:sz="4" w:space="0" w:color="3616F6"/>
              <w:left w:val="single" w:sz="4" w:space="0" w:color="3616F6"/>
              <w:bottom w:val="single" w:sz="4" w:space="0" w:color="3616F6"/>
              <w:right w:val="single" w:sz="4" w:space="0" w:color="3616F6"/>
            </w:tcBorders>
            <w:shd w:val="clear" w:color="auto" w:fill="0000FF"/>
          </w:tcPr>
          <w:p w14:paraId="46908217" w14:textId="77777777" w:rsidR="002C6574" w:rsidRDefault="00000000">
            <w:pPr>
              <w:pStyle w:val="TableParagraph"/>
              <w:spacing w:before="15" w:line="178" w:lineRule="exact"/>
              <w:ind w:right="64"/>
              <w:rPr>
                <w:rFonts w:ascii="Arial"/>
                <w:b/>
                <w:sz w:val="16"/>
              </w:rPr>
            </w:pPr>
            <w:r>
              <w:rPr>
                <w:rFonts w:ascii="Arial"/>
                <w:b/>
                <w:color w:val="FFFFFF"/>
                <w:spacing w:val="-2"/>
                <w:sz w:val="16"/>
              </w:rPr>
              <w:t>4.412.466</w:t>
            </w:r>
          </w:p>
        </w:tc>
        <w:tc>
          <w:tcPr>
            <w:tcW w:w="1390" w:type="dxa"/>
            <w:tcBorders>
              <w:top w:val="single" w:sz="4" w:space="0" w:color="3616F6"/>
              <w:left w:val="single" w:sz="4" w:space="0" w:color="3616F6"/>
              <w:bottom w:val="single" w:sz="4" w:space="0" w:color="3616F6"/>
              <w:right w:val="single" w:sz="4" w:space="0" w:color="3616F6"/>
            </w:tcBorders>
            <w:shd w:val="clear" w:color="auto" w:fill="0000FF"/>
          </w:tcPr>
          <w:p w14:paraId="30DB87B2" w14:textId="77777777" w:rsidR="002C6574" w:rsidRDefault="00000000">
            <w:pPr>
              <w:pStyle w:val="TableParagraph"/>
              <w:spacing w:before="15" w:line="178" w:lineRule="exact"/>
              <w:ind w:right="63"/>
              <w:rPr>
                <w:rFonts w:ascii="Arial"/>
                <w:b/>
                <w:sz w:val="16"/>
              </w:rPr>
            </w:pPr>
            <w:r>
              <w:rPr>
                <w:rFonts w:ascii="Arial"/>
                <w:b/>
                <w:color w:val="FFFFFF"/>
                <w:spacing w:val="-2"/>
                <w:sz w:val="16"/>
              </w:rPr>
              <w:t>4.089.985</w:t>
            </w:r>
          </w:p>
        </w:tc>
        <w:tc>
          <w:tcPr>
            <w:tcW w:w="1656" w:type="dxa"/>
            <w:tcBorders>
              <w:top w:val="single" w:sz="4" w:space="0" w:color="3616F6"/>
              <w:left w:val="single" w:sz="4" w:space="0" w:color="3616F6"/>
              <w:bottom w:val="single" w:sz="4" w:space="0" w:color="3616F6"/>
            </w:tcBorders>
            <w:shd w:val="clear" w:color="auto" w:fill="0000FF"/>
          </w:tcPr>
          <w:p w14:paraId="70F17B3F" w14:textId="77777777" w:rsidR="002C6574" w:rsidRDefault="00000000">
            <w:pPr>
              <w:pStyle w:val="TableParagraph"/>
              <w:spacing w:before="15" w:line="178" w:lineRule="exact"/>
              <w:ind w:right="68"/>
              <w:rPr>
                <w:rFonts w:ascii="Arial"/>
                <w:b/>
                <w:sz w:val="16"/>
              </w:rPr>
            </w:pPr>
            <w:r>
              <w:rPr>
                <w:rFonts w:ascii="Arial"/>
                <w:b/>
                <w:color w:val="FFFFFF"/>
                <w:spacing w:val="-2"/>
                <w:sz w:val="16"/>
              </w:rPr>
              <w:t>4.003.587</w:t>
            </w:r>
          </w:p>
        </w:tc>
      </w:tr>
      <w:tr w:rsidR="002C6574" w14:paraId="1E3A13C2" w14:textId="77777777">
        <w:trPr>
          <w:trHeight w:val="215"/>
        </w:trPr>
        <w:tc>
          <w:tcPr>
            <w:tcW w:w="6054" w:type="dxa"/>
            <w:tcBorders>
              <w:top w:val="single" w:sz="4" w:space="0" w:color="3616F6"/>
              <w:bottom w:val="single" w:sz="4" w:space="0" w:color="3616F6"/>
              <w:right w:val="single" w:sz="4" w:space="0" w:color="3616F6"/>
            </w:tcBorders>
          </w:tcPr>
          <w:p w14:paraId="007A2EB6" w14:textId="77777777" w:rsidR="002C6574" w:rsidRDefault="00000000">
            <w:pPr>
              <w:pStyle w:val="TableParagraph"/>
              <w:spacing w:before="17" w:line="178" w:lineRule="exact"/>
              <w:ind w:left="69"/>
              <w:jc w:val="left"/>
              <w:rPr>
                <w:rFonts w:ascii="Arial"/>
                <w:b/>
                <w:sz w:val="16"/>
              </w:rPr>
            </w:pPr>
            <w:r>
              <w:rPr>
                <w:rFonts w:ascii="Arial"/>
                <w:b/>
                <w:spacing w:val="-2"/>
                <w:sz w:val="16"/>
              </w:rPr>
              <w:t>Circulante</w:t>
            </w:r>
          </w:p>
        </w:tc>
        <w:tc>
          <w:tcPr>
            <w:tcW w:w="1389" w:type="dxa"/>
            <w:tcBorders>
              <w:top w:val="single" w:sz="4" w:space="0" w:color="3616F6"/>
              <w:left w:val="single" w:sz="4" w:space="0" w:color="3616F6"/>
              <w:bottom w:val="single" w:sz="4" w:space="0" w:color="3616F6"/>
              <w:right w:val="single" w:sz="4" w:space="0" w:color="3616F6"/>
            </w:tcBorders>
            <w:shd w:val="clear" w:color="auto" w:fill="66FFFF"/>
          </w:tcPr>
          <w:p w14:paraId="6A5EAED7" w14:textId="77777777" w:rsidR="002C6574" w:rsidRDefault="00000000">
            <w:pPr>
              <w:pStyle w:val="TableParagraph"/>
              <w:spacing w:before="17" w:line="178" w:lineRule="exact"/>
              <w:ind w:right="64"/>
              <w:rPr>
                <w:rFonts w:ascii="Arial"/>
                <w:b/>
                <w:sz w:val="16"/>
              </w:rPr>
            </w:pPr>
            <w:r>
              <w:rPr>
                <w:rFonts w:ascii="Arial"/>
                <w:b/>
                <w:spacing w:val="-2"/>
                <w:sz w:val="16"/>
              </w:rPr>
              <w:t>2.310.040</w:t>
            </w:r>
          </w:p>
        </w:tc>
        <w:tc>
          <w:tcPr>
            <w:tcW w:w="1390" w:type="dxa"/>
            <w:tcBorders>
              <w:top w:val="single" w:sz="4" w:space="0" w:color="3616F6"/>
              <w:left w:val="single" w:sz="4" w:space="0" w:color="3616F6"/>
              <w:bottom w:val="single" w:sz="4" w:space="0" w:color="3616F6"/>
              <w:right w:val="single" w:sz="4" w:space="0" w:color="3616F6"/>
            </w:tcBorders>
          </w:tcPr>
          <w:p w14:paraId="4D666D2F" w14:textId="77777777" w:rsidR="002C6574" w:rsidRDefault="00000000">
            <w:pPr>
              <w:pStyle w:val="TableParagraph"/>
              <w:spacing w:before="17" w:line="178" w:lineRule="exact"/>
              <w:ind w:right="63"/>
              <w:rPr>
                <w:rFonts w:ascii="Arial"/>
                <w:b/>
                <w:sz w:val="16"/>
              </w:rPr>
            </w:pPr>
            <w:r>
              <w:rPr>
                <w:rFonts w:ascii="Arial"/>
                <w:b/>
                <w:spacing w:val="-2"/>
                <w:sz w:val="16"/>
              </w:rPr>
              <w:t>1.776.003</w:t>
            </w:r>
          </w:p>
        </w:tc>
        <w:tc>
          <w:tcPr>
            <w:tcW w:w="1656" w:type="dxa"/>
            <w:tcBorders>
              <w:top w:val="single" w:sz="4" w:space="0" w:color="3616F6"/>
              <w:left w:val="single" w:sz="4" w:space="0" w:color="3616F6"/>
              <w:bottom w:val="single" w:sz="4" w:space="0" w:color="3616F6"/>
            </w:tcBorders>
          </w:tcPr>
          <w:p w14:paraId="6D778BC6" w14:textId="77777777" w:rsidR="002C6574" w:rsidRDefault="00000000">
            <w:pPr>
              <w:pStyle w:val="TableParagraph"/>
              <w:spacing w:before="17" w:line="178" w:lineRule="exact"/>
              <w:ind w:right="68"/>
              <w:rPr>
                <w:rFonts w:ascii="Arial"/>
                <w:b/>
                <w:sz w:val="16"/>
              </w:rPr>
            </w:pPr>
            <w:r>
              <w:rPr>
                <w:rFonts w:ascii="Arial"/>
                <w:b/>
                <w:spacing w:val="-2"/>
                <w:sz w:val="16"/>
              </w:rPr>
              <w:t>1.607.349</w:t>
            </w:r>
          </w:p>
        </w:tc>
      </w:tr>
      <w:tr w:rsidR="002C6574" w14:paraId="4E0107FC" w14:textId="77777777">
        <w:trPr>
          <w:trHeight w:val="218"/>
        </w:trPr>
        <w:tc>
          <w:tcPr>
            <w:tcW w:w="6054" w:type="dxa"/>
            <w:tcBorders>
              <w:top w:val="single" w:sz="4" w:space="0" w:color="3616F6"/>
              <w:right w:val="single" w:sz="4" w:space="0" w:color="3616F6"/>
            </w:tcBorders>
          </w:tcPr>
          <w:p w14:paraId="3514B173" w14:textId="77777777" w:rsidR="002C6574" w:rsidRDefault="00000000">
            <w:pPr>
              <w:pStyle w:val="TableParagraph"/>
              <w:spacing w:before="17" w:line="181" w:lineRule="exact"/>
              <w:ind w:left="206"/>
              <w:jc w:val="left"/>
              <w:rPr>
                <w:rFonts w:ascii="Arial MT"/>
                <w:sz w:val="16"/>
              </w:rPr>
            </w:pPr>
            <w:r>
              <w:rPr>
                <w:rFonts w:ascii="Arial MT"/>
                <w:sz w:val="16"/>
              </w:rPr>
              <w:t>Caixa</w:t>
            </w:r>
            <w:r>
              <w:rPr>
                <w:rFonts w:ascii="Arial MT"/>
                <w:spacing w:val="-5"/>
                <w:sz w:val="16"/>
              </w:rPr>
              <w:t xml:space="preserve"> </w:t>
            </w:r>
            <w:r>
              <w:rPr>
                <w:rFonts w:ascii="Arial MT"/>
                <w:sz w:val="16"/>
              </w:rPr>
              <w:t>e</w:t>
            </w:r>
            <w:r>
              <w:rPr>
                <w:rFonts w:ascii="Arial MT"/>
                <w:spacing w:val="-8"/>
                <w:sz w:val="16"/>
              </w:rPr>
              <w:t xml:space="preserve"> </w:t>
            </w:r>
            <w:r>
              <w:rPr>
                <w:rFonts w:ascii="Arial MT"/>
                <w:sz w:val="16"/>
              </w:rPr>
              <w:t>Equivalentes</w:t>
            </w:r>
            <w:r>
              <w:rPr>
                <w:rFonts w:ascii="Arial MT"/>
                <w:spacing w:val="-6"/>
                <w:sz w:val="16"/>
              </w:rPr>
              <w:t xml:space="preserve"> </w:t>
            </w:r>
            <w:r>
              <w:rPr>
                <w:rFonts w:ascii="Arial MT"/>
                <w:sz w:val="16"/>
              </w:rPr>
              <w:t>de</w:t>
            </w:r>
            <w:r>
              <w:rPr>
                <w:rFonts w:ascii="Arial MT"/>
                <w:spacing w:val="-4"/>
                <w:sz w:val="16"/>
              </w:rPr>
              <w:t xml:space="preserve"> Caixa</w:t>
            </w:r>
          </w:p>
        </w:tc>
        <w:tc>
          <w:tcPr>
            <w:tcW w:w="1389" w:type="dxa"/>
            <w:tcBorders>
              <w:top w:val="single" w:sz="4" w:space="0" w:color="3616F6"/>
              <w:left w:val="single" w:sz="4" w:space="0" w:color="3616F6"/>
              <w:right w:val="single" w:sz="4" w:space="0" w:color="3616F6"/>
            </w:tcBorders>
            <w:shd w:val="clear" w:color="auto" w:fill="66FFFF"/>
          </w:tcPr>
          <w:p w14:paraId="75E8568D" w14:textId="77777777" w:rsidR="002C6574" w:rsidRDefault="00000000">
            <w:pPr>
              <w:pStyle w:val="TableParagraph"/>
              <w:spacing w:before="17" w:line="181" w:lineRule="exact"/>
              <w:ind w:right="63"/>
              <w:rPr>
                <w:rFonts w:ascii="Arial MT"/>
                <w:sz w:val="16"/>
              </w:rPr>
            </w:pPr>
            <w:r>
              <w:rPr>
                <w:rFonts w:ascii="Arial MT"/>
                <w:spacing w:val="-2"/>
                <w:sz w:val="16"/>
              </w:rPr>
              <w:t>698.514</w:t>
            </w:r>
          </w:p>
        </w:tc>
        <w:tc>
          <w:tcPr>
            <w:tcW w:w="1390" w:type="dxa"/>
            <w:tcBorders>
              <w:top w:val="single" w:sz="4" w:space="0" w:color="3616F6"/>
              <w:left w:val="single" w:sz="4" w:space="0" w:color="3616F6"/>
              <w:right w:val="single" w:sz="4" w:space="0" w:color="3616F6"/>
            </w:tcBorders>
          </w:tcPr>
          <w:p w14:paraId="6D4D4DE4" w14:textId="77777777" w:rsidR="002C6574" w:rsidRDefault="00000000">
            <w:pPr>
              <w:pStyle w:val="TableParagraph"/>
              <w:spacing w:before="17" w:line="181" w:lineRule="exact"/>
              <w:ind w:right="63"/>
              <w:rPr>
                <w:rFonts w:ascii="Arial MT"/>
                <w:sz w:val="16"/>
              </w:rPr>
            </w:pPr>
            <w:r>
              <w:rPr>
                <w:rFonts w:ascii="Arial MT"/>
                <w:spacing w:val="-2"/>
                <w:sz w:val="16"/>
              </w:rPr>
              <w:t>425.387</w:t>
            </w:r>
          </w:p>
        </w:tc>
        <w:tc>
          <w:tcPr>
            <w:tcW w:w="1656" w:type="dxa"/>
            <w:tcBorders>
              <w:top w:val="single" w:sz="4" w:space="0" w:color="3616F6"/>
              <w:left w:val="single" w:sz="4" w:space="0" w:color="3616F6"/>
            </w:tcBorders>
          </w:tcPr>
          <w:p w14:paraId="49B2089B" w14:textId="77777777" w:rsidR="002C6574" w:rsidRDefault="00000000">
            <w:pPr>
              <w:pStyle w:val="TableParagraph"/>
              <w:spacing w:before="17" w:line="181" w:lineRule="exact"/>
              <w:ind w:right="68"/>
              <w:rPr>
                <w:rFonts w:ascii="Arial MT"/>
                <w:sz w:val="16"/>
              </w:rPr>
            </w:pPr>
            <w:r>
              <w:rPr>
                <w:rFonts w:ascii="Arial MT"/>
                <w:spacing w:val="-2"/>
                <w:sz w:val="16"/>
              </w:rPr>
              <w:t>380.712</w:t>
            </w:r>
          </w:p>
        </w:tc>
      </w:tr>
      <w:tr w:rsidR="002C6574" w14:paraId="04629768" w14:textId="77777777">
        <w:trPr>
          <w:trHeight w:val="214"/>
        </w:trPr>
        <w:tc>
          <w:tcPr>
            <w:tcW w:w="6054" w:type="dxa"/>
            <w:tcBorders>
              <w:right w:val="single" w:sz="4" w:space="0" w:color="3616F6"/>
            </w:tcBorders>
          </w:tcPr>
          <w:p w14:paraId="189C3B0C" w14:textId="77777777" w:rsidR="002C6574" w:rsidRDefault="00000000">
            <w:pPr>
              <w:pStyle w:val="TableParagraph"/>
              <w:spacing w:before="12" w:line="182" w:lineRule="exact"/>
              <w:ind w:left="206"/>
              <w:jc w:val="left"/>
              <w:rPr>
                <w:rFonts w:ascii="Arial MT"/>
                <w:sz w:val="16"/>
              </w:rPr>
            </w:pPr>
            <w:r>
              <w:rPr>
                <w:rFonts w:ascii="Arial MT"/>
                <w:sz w:val="16"/>
              </w:rPr>
              <w:t>Contas</w:t>
            </w:r>
            <w:r>
              <w:rPr>
                <w:rFonts w:ascii="Arial MT"/>
                <w:spacing w:val="-5"/>
                <w:sz w:val="16"/>
              </w:rPr>
              <w:t xml:space="preserve"> </w:t>
            </w:r>
            <w:r>
              <w:rPr>
                <w:rFonts w:ascii="Arial MT"/>
                <w:sz w:val="16"/>
              </w:rPr>
              <w:t>a</w:t>
            </w:r>
            <w:r>
              <w:rPr>
                <w:rFonts w:ascii="Arial MT"/>
                <w:spacing w:val="-3"/>
                <w:sz w:val="16"/>
              </w:rPr>
              <w:t xml:space="preserve"> </w:t>
            </w:r>
            <w:r>
              <w:rPr>
                <w:rFonts w:ascii="Arial MT"/>
                <w:sz w:val="16"/>
              </w:rPr>
              <w:t>Receber</w:t>
            </w:r>
            <w:r>
              <w:rPr>
                <w:rFonts w:ascii="Arial MT"/>
                <w:spacing w:val="-6"/>
                <w:sz w:val="16"/>
              </w:rPr>
              <w:t xml:space="preserve"> </w:t>
            </w:r>
            <w:r>
              <w:rPr>
                <w:rFonts w:ascii="Arial MT"/>
                <w:sz w:val="16"/>
              </w:rPr>
              <w:t>de</w:t>
            </w:r>
            <w:r>
              <w:rPr>
                <w:rFonts w:ascii="Arial MT"/>
                <w:spacing w:val="-3"/>
                <w:sz w:val="16"/>
              </w:rPr>
              <w:t xml:space="preserve"> </w:t>
            </w:r>
            <w:r>
              <w:rPr>
                <w:rFonts w:ascii="Arial MT"/>
                <w:spacing w:val="-2"/>
                <w:sz w:val="16"/>
              </w:rPr>
              <w:t>Clientes</w:t>
            </w:r>
          </w:p>
        </w:tc>
        <w:tc>
          <w:tcPr>
            <w:tcW w:w="1389" w:type="dxa"/>
            <w:tcBorders>
              <w:left w:val="single" w:sz="4" w:space="0" w:color="3616F6"/>
              <w:right w:val="single" w:sz="4" w:space="0" w:color="3616F6"/>
            </w:tcBorders>
            <w:shd w:val="clear" w:color="auto" w:fill="66FFFF"/>
          </w:tcPr>
          <w:p w14:paraId="3C91EF6F" w14:textId="77777777" w:rsidR="002C6574" w:rsidRDefault="00000000">
            <w:pPr>
              <w:pStyle w:val="TableParagraph"/>
              <w:spacing w:before="12" w:line="182" w:lineRule="exact"/>
              <w:ind w:right="63"/>
              <w:rPr>
                <w:rFonts w:ascii="Arial MT"/>
                <w:sz w:val="16"/>
              </w:rPr>
            </w:pPr>
            <w:r>
              <w:rPr>
                <w:rFonts w:ascii="Arial MT"/>
                <w:spacing w:val="-2"/>
                <w:sz w:val="16"/>
              </w:rPr>
              <w:t>448.342</w:t>
            </w:r>
          </w:p>
        </w:tc>
        <w:tc>
          <w:tcPr>
            <w:tcW w:w="1390" w:type="dxa"/>
            <w:tcBorders>
              <w:left w:val="single" w:sz="4" w:space="0" w:color="3616F6"/>
              <w:right w:val="single" w:sz="4" w:space="0" w:color="3616F6"/>
            </w:tcBorders>
          </w:tcPr>
          <w:p w14:paraId="459B5861" w14:textId="77777777" w:rsidR="002C6574" w:rsidRDefault="00000000">
            <w:pPr>
              <w:pStyle w:val="TableParagraph"/>
              <w:spacing w:before="12" w:line="182" w:lineRule="exact"/>
              <w:ind w:right="63"/>
              <w:rPr>
                <w:rFonts w:ascii="Arial MT"/>
                <w:sz w:val="16"/>
              </w:rPr>
            </w:pPr>
            <w:r>
              <w:rPr>
                <w:rFonts w:ascii="Arial MT"/>
                <w:spacing w:val="-2"/>
                <w:sz w:val="16"/>
              </w:rPr>
              <w:t>233.301</w:t>
            </w:r>
          </w:p>
        </w:tc>
        <w:tc>
          <w:tcPr>
            <w:tcW w:w="1656" w:type="dxa"/>
            <w:tcBorders>
              <w:left w:val="single" w:sz="4" w:space="0" w:color="3616F6"/>
            </w:tcBorders>
          </w:tcPr>
          <w:p w14:paraId="739A6005" w14:textId="77777777" w:rsidR="002C6574" w:rsidRDefault="00000000">
            <w:pPr>
              <w:pStyle w:val="TableParagraph"/>
              <w:spacing w:before="12" w:line="182" w:lineRule="exact"/>
              <w:ind w:right="68"/>
              <w:rPr>
                <w:rFonts w:ascii="Arial MT"/>
                <w:sz w:val="16"/>
              </w:rPr>
            </w:pPr>
            <w:r>
              <w:rPr>
                <w:rFonts w:ascii="Arial MT"/>
                <w:spacing w:val="-2"/>
                <w:sz w:val="16"/>
              </w:rPr>
              <w:t>176.885</w:t>
            </w:r>
          </w:p>
        </w:tc>
      </w:tr>
      <w:tr w:rsidR="002C6574" w14:paraId="5CA3B764" w14:textId="77777777">
        <w:trPr>
          <w:trHeight w:val="215"/>
        </w:trPr>
        <w:tc>
          <w:tcPr>
            <w:tcW w:w="6054" w:type="dxa"/>
            <w:tcBorders>
              <w:right w:val="single" w:sz="4" w:space="0" w:color="3616F6"/>
            </w:tcBorders>
          </w:tcPr>
          <w:p w14:paraId="5557205C" w14:textId="77777777" w:rsidR="002C6574" w:rsidRDefault="00000000">
            <w:pPr>
              <w:pStyle w:val="TableParagraph"/>
              <w:spacing w:before="13" w:line="181" w:lineRule="exact"/>
              <w:ind w:left="203"/>
              <w:jc w:val="left"/>
              <w:rPr>
                <w:rFonts w:ascii="Arial MT"/>
                <w:sz w:val="16"/>
              </w:rPr>
            </w:pPr>
            <w:r>
              <w:rPr>
                <w:rFonts w:ascii="Arial MT"/>
                <w:sz w:val="16"/>
              </w:rPr>
              <w:t>Tributos</w:t>
            </w:r>
            <w:r>
              <w:rPr>
                <w:rFonts w:ascii="Arial MT"/>
                <w:spacing w:val="-3"/>
                <w:sz w:val="16"/>
              </w:rPr>
              <w:t xml:space="preserve"> </w:t>
            </w:r>
            <w:r>
              <w:rPr>
                <w:rFonts w:ascii="Arial MT"/>
                <w:sz w:val="16"/>
              </w:rPr>
              <w:t>a</w:t>
            </w:r>
            <w:r>
              <w:rPr>
                <w:rFonts w:ascii="Arial MT"/>
                <w:spacing w:val="-3"/>
                <w:sz w:val="16"/>
              </w:rPr>
              <w:t xml:space="preserve"> </w:t>
            </w:r>
            <w:r>
              <w:rPr>
                <w:rFonts w:ascii="Arial MT"/>
                <w:spacing w:val="-2"/>
                <w:sz w:val="16"/>
              </w:rPr>
              <w:t>Compensar/Recuperar</w:t>
            </w:r>
          </w:p>
        </w:tc>
        <w:tc>
          <w:tcPr>
            <w:tcW w:w="1389" w:type="dxa"/>
            <w:tcBorders>
              <w:left w:val="single" w:sz="4" w:space="0" w:color="3616F6"/>
              <w:right w:val="single" w:sz="4" w:space="0" w:color="3616F6"/>
            </w:tcBorders>
            <w:shd w:val="clear" w:color="auto" w:fill="66FFFF"/>
          </w:tcPr>
          <w:p w14:paraId="0A815060" w14:textId="77777777" w:rsidR="002C6574" w:rsidRDefault="00000000">
            <w:pPr>
              <w:pStyle w:val="TableParagraph"/>
              <w:spacing w:before="13" w:line="181" w:lineRule="exact"/>
              <w:ind w:right="63"/>
              <w:rPr>
                <w:rFonts w:ascii="Arial MT"/>
                <w:sz w:val="16"/>
              </w:rPr>
            </w:pPr>
            <w:r>
              <w:rPr>
                <w:rFonts w:ascii="Arial MT"/>
                <w:spacing w:val="-2"/>
                <w:sz w:val="16"/>
              </w:rPr>
              <w:t>204.516</w:t>
            </w:r>
          </w:p>
        </w:tc>
        <w:tc>
          <w:tcPr>
            <w:tcW w:w="1390" w:type="dxa"/>
            <w:tcBorders>
              <w:left w:val="single" w:sz="4" w:space="0" w:color="3616F6"/>
              <w:right w:val="single" w:sz="4" w:space="0" w:color="3616F6"/>
            </w:tcBorders>
          </w:tcPr>
          <w:p w14:paraId="1DF53C62" w14:textId="77777777" w:rsidR="002C6574" w:rsidRDefault="00000000">
            <w:pPr>
              <w:pStyle w:val="TableParagraph"/>
              <w:spacing w:before="13" w:line="181" w:lineRule="exact"/>
              <w:ind w:right="63"/>
              <w:rPr>
                <w:rFonts w:ascii="Arial MT"/>
                <w:sz w:val="16"/>
              </w:rPr>
            </w:pPr>
            <w:r>
              <w:rPr>
                <w:rFonts w:ascii="Arial MT"/>
                <w:spacing w:val="-2"/>
                <w:sz w:val="16"/>
              </w:rPr>
              <w:t>178.044</w:t>
            </w:r>
          </w:p>
        </w:tc>
        <w:tc>
          <w:tcPr>
            <w:tcW w:w="1656" w:type="dxa"/>
            <w:tcBorders>
              <w:left w:val="single" w:sz="4" w:space="0" w:color="3616F6"/>
            </w:tcBorders>
          </w:tcPr>
          <w:p w14:paraId="641A3658" w14:textId="77777777" w:rsidR="002C6574" w:rsidRDefault="00000000">
            <w:pPr>
              <w:pStyle w:val="TableParagraph"/>
              <w:spacing w:before="13" w:line="181" w:lineRule="exact"/>
              <w:ind w:right="68"/>
              <w:rPr>
                <w:rFonts w:ascii="Arial MT"/>
                <w:sz w:val="16"/>
              </w:rPr>
            </w:pPr>
            <w:r>
              <w:rPr>
                <w:rFonts w:ascii="Arial MT"/>
                <w:spacing w:val="-2"/>
                <w:sz w:val="16"/>
              </w:rPr>
              <w:t>177.601</w:t>
            </w:r>
          </w:p>
        </w:tc>
      </w:tr>
      <w:tr w:rsidR="002C6574" w14:paraId="40E2B02E" w14:textId="77777777">
        <w:trPr>
          <w:trHeight w:val="215"/>
        </w:trPr>
        <w:tc>
          <w:tcPr>
            <w:tcW w:w="6054" w:type="dxa"/>
            <w:tcBorders>
              <w:right w:val="single" w:sz="4" w:space="0" w:color="3616F6"/>
            </w:tcBorders>
          </w:tcPr>
          <w:p w14:paraId="0FBF66F9" w14:textId="77777777" w:rsidR="002C6574" w:rsidRDefault="00000000">
            <w:pPr>
              <w:pStyle w:val="TableParagraph"/>
              <w:spacing w:before="12" w:line="182" w:lineRule="exact"/>
              <w:ind w:left="206"/>
              <w:jc w:val="left"/>
              <w:rPr>
                <w:rFonts w:ascii="Arial MT" w:hAnsi="Arial MT"/>
                <w:sz w:val="16"/>
              </w:rPr>
            </w:pPr>
            <w:r>
              <w:rPr>
                <w:rFonts w:ascii="Arial MT" w:hAnsi="Arial MT"/>
                <w:sz w:val="16"/>
              </w:rPr>
              <w:t>Depósitos</w:t>
            </w:r>
            <w:r>
              <w:rPr>
                <w:rFonts w:ascii="Arial MT" w:hAnsi="Arial MT"/>
                <w:spacing w:val="-11"/>
                <w:sz w:val="16"/>
              </w:rPr>
              <w:t xml:space="preserve"> </w:t>
            </w:r>
            <w:r>
              <w:rPr>
                <w:rFonts w:ascii="Arial MT" w:hAnsi="Arial MT"/>
                <w:spacing w:val="-2"/>
                <w:sz w:val="16"/>
              </w:rPr>
              <w:t>Judiciais</w:t>
            </w:r>
          </w:p>
        </w:tc>
        <w:tc>
          <w:tcPr>
            <w:tcW w:w="1389" w:type="dxa"/>
            <w:tcBorders>
              <w:left w:val="single" w:sz="4" w:space="0" w:color="3616F6"/>
              <w:right w:val="single" w:sz="4" w:space="0" w:color="3616F6"/>
            </w:tcBorders>
            <w:shd w:val="clear" w:color="auto" w:fill="66FFFF"/>
          </w:tcPr>
          <w:p w14:paraId="3CDE2AA9" w14:textId="77777777" w:rsidR="002C6574" w:rsidRDefault="00000000">
            <w:pPr>
              <w:pStyle w:val="TableParagraph"/>
              <w:spacing w:before="12" w:line="182" w:lineRule="exact"/>
              <w:ind w:right="63"/>
              <w:rPr>
                <w:rFonts w:ascii="Arial MT"/>
                <w:sz w:val="16"/>
              </w:rPr>
            </w:pPr>
            <w:r>
              <w:rPr>
                <w:rFonts w:ascii="Arial MT"/>
                <w:spacing w:val="-2"/>
                <w:sz w:val="16"/>
              </w:rPr>
              <w:t>7.311</w:t>
            </w:r>
          </w:p>
        </w:tc>
        <w:tc>
          <w:tcPr>
            <w:tcW w:w="1390" w:type="dxa"/>
            <w:tcBorders>
              <w:left w:val="single" w:sz="4" w:space="0" w:color="3616F6"/>
              <w:right w:val="single" w:sz="4" w:space="0" w:color="3616F6"/>
            </w:tcBorders>
          </w:tcPr>
          <w:p w14:paraId="321764D2" w14:textId="77777777" w:rsidR="002C6574" w:rsidRDefault="00000000">
            <w:pPr>
              <w:pStyle w:val="TableParagraph"/>
              <w:spacing w:before="12" w:line="182" w:lineRule="exact"/>
              <w:ind w:right="63"/>
              <w:rPr>
                <w:rFonts w:ascii="Arial MT"/>
                <w:sz w:val="16"/>
              </w:rPr>
            </w:pPr>
            <w:r>
              <w:rPr>
                <w:rFonts w:ascii="Arial MT"/>
                <w:spacing w:val="-2"/>
                <w:sz w:val="16"/>
              </w:rPr>
              <w:t>7.364</w:t>
            </w:r>
          </w:p>
        </w:tc>
        <w:tc>
          <w:tcPr>
            <w:tcW w:w="1656" w:type="dxa"/>
            <w:tcBorders>
              <w:left w:val="single" w:sz="4" w:space="0" w:color="3616F6"/>
            </w:tcBorders>
          </w:tcPr>
          <w:p w14:paraId="46839472" w14:textId="77777777" w:rsidR="002C6574" w:rsidRDefault="00000000">
            <w:pPr>
              <w:pStyle w:val="TableParagraph"/>
              <w:spacing w:before="12" w:line="182" w:lineRule="exact"/>
              <w:ind w:right="68"/>
              <w:rPr>
                <w:rFonts w:ascii="Arial MT"/>
                <w:sz w:val="16"/>
              </w:rPr>
            </w:pPr>
            <w:r>
              <w:rPr>
                <w:rFonts w:ascii="Arial MT"/>
                <w:spacing w:val="-2"/>
                <w:sz w:val="16"/>
              </w:rPr>
              <w:t>6.903</w:t>
            </w:r>
          </w:p>
        </w:tc>
      </w:tr>
      <w:tr w:rsidR="002C6574" w14:paraId="29AFCCF7" w14:textId="77777777">
        <w:trPr>
          <w:trHeight w:val="222"/>
        </w:trPr>
        <w:tc>
          <w:tcPr>
            <w:tcW w:w="6054" w:type="dxa"/>
            <w:tcBorders>
              <w:right w:val="single" w:sz="4" w:space="0" w:color="3616F6"/>
            </w:tcBorders>
          </w:tcPr>
          <w:p w14:paraId="538DBB96" w14:textId="77777777" w:rsidR="002C6574" w:rsidRDefault="00000000">
            <w:pPr>
              <w:pStyle w:val="TableParagraph"/>
              <w:spacing w:before="28" w:line="174" w:lineRule="exact"/>
              <w:ind w:left="203"/>
              <w:jc w:val="left"/>
              <w:rPr>
                <w:rFonts w:ascii="Arial MT" w:hAnsi="Arial MT"/>
                <w:sz w:val="16"/>
              </w:rPr>
            </w:pPr>
            <w:r>
              <w:rPr>
                <w:rFonts w:ascii="Arial MT" w:hAnsi="Arial MT"/>
                <w:sz w:val="16"/>
              </w:rPr>
              <w:t>Aplicações</w:t>
            </w:r>
            <w:r>
              <w:rPr>
                <w:rFonts w:ascii="Arial MT" w:hAnsi="Arial MT"/>
                <w:spacing w:val="-11"/>
                <w:sz w:val="16"/>
              </w:rPr>
              <w:t xml:space="preserve"> </w:t>
            </w:r>
            <w:r>
              <w:rPr>
                <w:rFonts w:ascii="Arial MT" w:hAnsi="Arial MT"/>
                <w:spacing w:val="-2"/>
                <w:sz w:val="16"/>
              </w:rPr>
              <w:t>Financeiras</w:t>
            </w:r>
          </w:p>
        </w:tc>
        <w:tc>
          <w:tcPr>
            <w:tcW w:w="1389" w:type="dxa"/>
            <w:tcBorders>
              <w:left w:val="single" w:sz="4" w:space="0" w:color="3616F6"/>
              <w:right w:val="single" w:sz="4" w:space="0" w:color="3616F6"/>
            </w:tcBorders>
            <w:shd w:val="clear" w:color="auto" w:fill="66FFFF"/>
          </w:tcPr>
          <w:p w14:paraId="7F625263" w14:textId="77777777" w:rsidR="002C6574" w:rsidRDefault="00000000">
            <w:pPr>
              <w:pStyle w:val="TableParagraph"/>
              <w:spacing w:before="13"/>
              <w:ind w:right="63"/>
              <w:rPr>
                <w:rFonts w:ascii="Arial MT"/>
                <w:sz w:val="16"/>
              </w:rPr>
            </w:pPr>
            <w:r>
              <w:rPr>
                <w:rFonts w:ascii="Arial MT"/>
                <w:spacing w:val="-2"/>
                <w:sz w:val="16"/>
              </w:rPr>
              <w:t>822.352</w:t>
            </w:r>
          </w:p>
        </w:tc>
        <w:tc>
          <w:tcPr>
            <w:tcW w:w="1390" w:type="dxa"/>
            <w:tcBorders>
              <w:left w:val="single" w:sz="4" w:space="0" w:color="3616F6"/>
              <w:right w:val="single" w:sz="4" w:space="0" w:color="3616F6"/>
            </w:tcBorders>
          </w:tcPr>
          <w:p w14:paraId="79FFAB8E" w14:textId="77777777" w:rsidR="002C6574" w:rsidRDefault="00000000">
            <w:pPr>
              <w:pStyle w:val="TableParagraph"/>
              <w:spacing w:before="13"/>
              <w:ind w:right="63"/>
              <w:rPr>
                <w:rFonts w:ascii="Arial MT"/>
                <w:sz w:val="16"/>
              </w:rPr>
            </w:pPr>
            <w:r>
              <w:rPr>
                <w:rFonts w:ascii="Arial MT"/>
                <w:spacing w:val="-2"/>
                <w:sz w:val="16"/>
              </w:rPr>
              <w:t>822.352</w:t>
            </w:r>
          </w:p>
        </w:tc>
        <w:tc>
          <w:tcPr>
            <w:tcW w:w="1656" w:type="dxa"/>
            <w:tcBorders>
              <w:left w:val="single" w:sz="4" w:space="0" w:color="3616F6"/>
            </w:tcBorders>
          </w:tcPr>
          <w:p w14:paraId="60654FB5" w14:textId="77777777" w:rsidR="002C6574" w:rsidRDefault="00000000">
            <w:pPr>
              <w:pStyle w:val="TableParagraph"/>
              <w:spacing w:before="13"/>
              <w:ind w:right="68"/>
              <w:rPr>
                <w:rFonts w:ascii="Arial MT"/>
                <w:sz w:val="16"/>
              </w:rPr>
            </w:pPr>
            <w:r>
              <w:rPr>
                <w:rFonts w:ascii="Arial MT"/>
                <w:spacing w:val="-2"/>
                <w:sz w:val="16"/>
              </w:rPr>
              <w:t>822.352</w:t>
            </w:r>
          </w:p>
        </w:tc>
      </w:tr>
      <w:tr w:rsidR="002C6574" w14:paraId="0B9F454F" w14:textId="77777777">
        <w:trPr>
          <w:trHeight w:val="207"/>
        </w:trPr>
        <w:tc>
          <w:tcPr>
            <w:tcW w:w="6054" w:type="dxa"/>
            <w:tcBorders>
              <w:right w:val="single" w:sz="4" w:space="0" w:color="3616F6"/>
            </w:tcBorders>
          </w:tcPr>
          <w:p w14:paraId="5856DD05" w14:textId="77777777" w:rsidR="002C6574" w:rsidRDefault="00000000">
            <w:pPr>
              <w:pStyle w:val="TableParagraph"/>
              <w:spacing w:before="5" w:line="182" w:lineRule="exact"/>
              <w:ind w:left="230"/>
              <w:jc w:val="left"/>
              <w:rPr>
                <w:rFonts w:ascii="Arial MT" w:hAnsi="Arial MT"/>
                <w:sz w:val="16"/>
              </w:rPr>
            </w:pPr>
            <w:r>
              <w:rPr>
                <w:rFonts w:ascii="Arial MT" w:hAnsi="Arial MT"/>
                <w:sz w:val="16"/>
              </w:rPr>
              <w:t>Superávit</w:t>
            </w:r>
            <w:r>
              <w:rPr>
                <w:rFonts w:ascii="Arial MT" w:hAnsi="Arial MT"/>
                <w:spacing w:val="-6"/>
                <w:sz w:val="16"/>
              </w:rPr>
              <w:t xml:space="preserve"> </w:t>
            </w:r>
            <w:r>
              <w:rPr>
                <w:rFonts w:ascii="Arial MT" w:hAnsi="Arial MT"/>
                <w:sz w:val="16"/>
              </w:rPr>
              <w:t>-</w:t>
            </w:r>
            <w:r>
              <w:rPr>
                <w:rFonts w:ascii="Arial MT" w:hAnsi="Arial MT"/>
                <w:spacing w:val="-7"/>
                <w:sz w:val="16"/>
              </w:rPr>
              <w:t xml:space="preserve"> </w:t>
            </w:r>
            <w:r>
              <w:rPr>
                <w:rFonts w:ascii="Arial MT" w:hAnsi="Arial MT"/>
                <w:sz w:val="16"/>
              </w:rPr>
              <w:t>Previdência</w:t>
            </w:r>
            <w:r>
              <w:rPr>
                <w:rFonts w:ascii="Arial MT" w:hAnsi="Arial MT"/>
                <w:spacing w:val="-6"/>
                <w:sz w:val="16"/>
              </w:rPr>
              <w:t xml:space="preserve"> </w:t>
            </w:r>
            <w:r>
              <w:rPr>
                <w:rFonts w:ascii="Arial MT" w:hAnsi="Arial MT"/>
                <w:spacing w:val="-2"/>
                <w:sz w:val="16"/>
              </w:rPr>
              <w:t>Privada</w:t>
            </w:r>
          </w:p>
        </w:tc>
        <w:tc>
          <w:tcPr>
            <w:tcW w:w="1389" w:type="dxa"/>
            <w:tcBorders>
              <w:left w:val="single" w:sz="4" w:space="0" w:color="3616F6"/>
              <w:right w:val="single" w:sz="4" w:space="0" w:color="3616F6"/>
            </w:tcBorders>
            <w:shd w:val="clear" w:color="auto" w:fill="66FFFF"/>
          </w:tcPr>
          <w:p w14:paraId="1769F8FD" w14:textId="77777777" w:rsidR="002C6574" w:rsidRDefault="00000000">
            <w:pPr>
              <w:pStyle w:val="TableParagraph"/>
              <w:spacing w:before="5" w:line="182" w:lineRule="exact"/>
              <w:ind w:right="63"/>
              <w:rPr>
                <w:rFonts w:ascii="Arial MT"/>
                <w:sz w:val="16"/>
              </w:rPr>
            </w:pPr>
            <w:r>
              <w:rPr>
                <w:rFonts w:ascii="Arial MT"/>
                <w:spacing w:val="-2"/>
                <w:sz w:val="16"/>
              </w:rPr>
              <w:t>103.565</w:t>
            </w:r>
          </w:p>
        </w:tc>
        <w:tc>
          <w:tcPr>
            <w:tcW w:w="1390" w:type="dxa"/>
            <w:tcBorders>
              <w:left w:val="single" w:sz="4" w:space="0" w:color="3616F6"/>
              <w:right w:val="single" w:sz="4" w:space="0" w:color="3616F6"/>
            </w:tcBorders>
          </w:tcPr>
          <w:p w14:paraId="5781B22A" w14:textId="77777777" w:rsidR="002C6574" w:rsidRDefault="00000000">
            <w:pPr>
              <w:pStyle w:val="TableParagraph"/>
              <w:spacing w:before="5" w:line="182" w:lineRule="exact"/>
              <w:ind w:right="63"/>
              <w:rPr>
                <w:rFonts w:ascii="Arial MT"/>
                <w:sz w:val="16"/>
              </w:rPr>
            </w:pPr>
            <w:r>
              <w:rPr>
                <w:rFonts w:ascii="Arial MT"/>
                <w:spacing w:val="-2"/>
                <w:sz w:val="16"/>
              </w:rPr>
              <w:t>84.429</w:t>
            </w:r>
          </w:p>
        </w:tc>
        <w:tc>
          <w:tcPr>
            <w:tcW w:w="1656" w:type="dxa"/>
            <w:tcBorders>
              <w:left w:val="single" w:sz="4" w:space="0" w:color="3616F6"/>
            </w:tcBorders>
          </w:tcPr>
          <w:p w14:paraId="259CCE33" w14:textId="77777777" w:rsidR="002C6574" w:rsidRDefault="00000000">
            <w:pPr>
              <w:pStyle w:val="TableParagraph"/>
              <w:spacing w:before="5" w:line="182" w:lineRule="exact"/>
              <w:ind w:right="68"/>
              <w:rPr>
                <w:rFonts w:ascii="Arial MT"/>
                <w:sz w:val="16"/>
              </w:rPr>
            </w:pPr>
            <w:r>
              <w:rPr>
                <w:rFonts w:ascii="Arial MT"/>
                <w:spacing w:val="-2"/>
                <w:sz w:val="16"/>
              </w:rPr>
              <w:t>12.270</w:t>
            </w:r>
          </w:p>
        </w:tc>
      </w:tr>
      <w:tr w:rsidR="002C6574" w14:paraId="7F6B8FD4" w14:textId="77777777">
        <w:trPr>
          <w:trHeight w:val="215"/>
        </w:trPr>
        <w:tc>
          <w:tcPr>
            <w:tcW w:w="6054" w:type="dxa"/>
            <w:tcBorders>
              <w:right w:val="single" w:sz="4" w:space="0" w:color="3616F6"/>
            </w:tcBorders>
          </w:tcPr>
          <w:p w14:paraId="7832A5D0" w14:textId="77777777" w:rsidR="002C6574" w:rsidRDefault="00000000">
            <w:pPr>
              <w:pStyle w:val="TableParagraph"/>
              <w:spacing w:before="13" w:line="182" w:lineRule="exact"/>
              <w:ind w:left="203"/>
              <w:jc w:val="left"/>
              <w:rPr>
                <w:rFonts w:ascii="Arial MT"/>
                <w:sz w:val="16"/>
              </w:rPr>
            </w:pPr>
            <w:r>
              <w:rPr>
                <w:rFonts w:ascii="Arial MT"/>
                <w:sz w:val="16"/>
              </w:rPr>
              <w:t>Valores</w:t>
            </w:r>
            <w:r>
              <w:rPr>
                <w:rFonts w:ascii="Arial MT"/>
                <w:spacing w:val="-6"/>
                <w:sz w:val="16"/>
              </w:rPr>
              <w:t xml:space="preserve"> </w:t>
            </w:r>
            <w:r>
              <w:rPr>
                <w:rFonts w:ascii="Arial MT"/>
                <w:sz w:val="16"/>
              </w:rPr>
              <w:t>a</w:t>
            </w:r>
            <w:r>
              <w:rPr>
                <w:rFonts w:ascii="Arial MT"/>
                <w:spacing w:val="-5"/>
                <w:sz w:val="16"/>
              </w:rPr>
              <w:t xml:space="preserve"> </w:t>
            </w:r>
            <w:r>
              <w:rPr>
                <w:rFonts w:ascii="Arial MT"/>
                <w:sz w:val="16"/>
              </w:rPr>
              <w:t>Receber</w:t>
            </w:r>
            <w:r>
              <w:rPr>
                <w:rFonts w:ascii="Arial MT"/>
                <w:spacing w:val="-5"/>
                <w:sz w:val="16"/>
              </w:rPr>
              <w:t xml:space="preserve"> </w:t>
            </w:r>
            <w:r>
              <w:rPr>
                <w:rFonts w:ascii="Arial MT"/>
                <w:sz w:val="16"/>
              </w:rPr>
              <w:t>de</w:t>
            </w:r>
            <w:r>
              <w:rPr>
                <w:rFonts w:ascii="Arial MT"/>
                <w:spacing w:val="-5"/>
                <w:sz w:val="16"/>
              </w:rPr>
              <w:t xml:space="preserve"> </w:t>
            </w:r>
            <w:r>
              <w:rPr>
                <w:rFonts w:ascii="Arial MT"/>
                <w:sz w:val="16"/>
              </w:rPr>
              <w:t>Colaboradores</w:t>
            </w:r>
            <w:r>
              <w:rPr>
                <w:rFonts w:ascii="Arial MT"/>
                <w:spacing w:val="-3"/>
                <w:sz w:val="16"/>
              </w:rPr>
              <w:t xml:space="preserve"> </w:t>
            </w:r>
            <w:r>
              <w:rPr>
                <w:rFonts w:ascii="Arial MT"/>
                <w:spacing w:val="-2"/>
                <w:sz w:val="16"/>
              </w:rPr>
              <w:t>Cedidos</w:t>
            </w:r>
          </w:p>
        </w:tc>
        <w:tc>
          <w:tcPr>
            <w:tcW w:w="1389" w:type="dxa"/>
            <w:tcBorders>
              <w:left w:val="single" w:sz="4" w:space="0" w:color="3616F6"/>
              <w:right w:val="single" w:sz="4" w:space="0" w:color="3616F6"/>
            </w:tcBorders>
            <w:shd w:val="clear" w:color="auto" w:fill="66FFFF"/>
          </w:tcPr>
          <w:p w14:paraId="4A100CA8" w14:textId="77777777" w:rsidR="002C6574" w:rsidRDefault="00000000">
            <w:pPr>
              <w:pStyle w:val="TableParagraph"/>
              <w:spacing w:before="13" w:line="182" w:lineRule="exact"/>
              <w:ind w:right="63"/>
              <w:rPr>
                <w:rFonts w:ascii="Arial MT"/>
                <w:sz w:val="16"/>
              </w:rPr>
            </w:pPr>
            <w:r>
              <w:rPr>
                <w:rFonts w:ascii="Arial MT"/>
                <w:spacing w:val="-2"/>
                <w:sz w:val="16"/>
              </w:rPr>
              <w:t>1.945</w:t>
            </w:r>
          </w:p>
        </w:tc>
        <w:tc>
          <w:tcPr>
            <w:tcW w:w="1390" w:type="dxa"/>
            <w:tcBorders>
              <w:left w:val="single" w:sz="4" w:space="0" w:color="3616F6"/>
              <w:right w:val="single" w:sz="4" w:space="0" w:color="3616F6"/>
            </w:tcBorders>
          </w:tcPr>
          <w:p w14:paraId="64C258AE" w14:textId="77777777" w:rsidR="002C6574" w:rsidRDefault="00000000">
            <w:pPr>
              <w:pStyle w:val="TableParagraph"/>
              <w:spacing w:before="13" w:line="182" w:lineRule="exact"/>
              <w:ind w:right="63"/>
              <w:rPr>
                <w:rFonts w:ascii="Arial MT"/>
                <w:sz w:val="16"/>
              </w:rPr>
            </w:pPr>
            <w:r>
              <w:rPr>
                <w:rFonts w:ascii="Arial MT"/>
                <w:spacing w:val="-2"/>
                <w:sz w:val="16"/>
              </w:rPr>
              <w:t>1.945</w:t>
            </w:r>
          </w:p>
        </w:tc>
        <w:tc>
          <w:tcPr>
            <w:tcW w:w="1656" w:type="dxa"/>
            <w:tcBorders>
              <w:left w:val="single" w:sz="4" w:space="0" w:color="3616F6"/>
            </w:tcBorders>
          </w:tcPr>
          <w:p w14:paraId="0ED0E846" w14:textId="77777777" w:rsidR="002C6574" w:rsidRDefault="00000000">
            <w:pPr>
              <w:pStyle w:val="TableParagraph"/>
              <w:spacing w:before="13" w:line="182" w:lineRule="exact"/>
              <w:ind w:right="68"/>
              <w:rPr>
                <w:rFonts w:ascii="Arial MT"/>
                <w:sz w:val="16"/>
              </w:rPr>
            </w:pPr>
            <w:r>
              <w:rPr>
                <w:rFonts w:ascii="Arial MT"/>
                <w:spacing w:val="-2"/>
                <w:sz w:val="16"/>
              </w:rPr>
              <w:t>1.945</w:t>
            </w:r>
          </w:p>
        </w:tc>
      </w:tr>
      <w:tr w:rsidR="002C6574" w14:paraId="60913D28" w14:textId="77777777">
        <w:trPr>
          <w:trHeight w:val="211"/>
        </w:trPr>
        <w:tc>
          <w:tcPr>
            <w:tcW w:w="6054" w:type="dxa"/>
            <w:tcBorders>
              <w:bottom w:val="single" w:sz="4" w:space="0" w:color="3616F6"/>
              <w:right w:val="single" w:sz="4" w:space="0" w:color="3616F6"/>
            </w:tcBorders>
          </w:tcPr>
          <w:p w14:paraId="5C79C661" w14:textId="77777777" w:rsidR="002C6574" w:rsidRDefault="00000000">
            <w:pPr>
              <w:pStyle w:val="TableParagraph"/>
              <w:spacing w:before="13" w:line="178" w:lineRule="exact"/>
              <w:ind w:left="203"/>
              <w:jc w:val="left"/>
              <w:rPr>
                <w:rFonts w:ascii="Arial MT" w:hAnsi="Arial MT"/>
                <w:sz w:val="16"/>
              </w:rPr>
            </w:pPr>
            <w:r>
              <w:rPr>
                <w:rFonts w:ascii="Arial MT" w:hAnsi="Arial MT"/>
                <w:sz w:val="16"/>
              </w:rPr>
              <w:t>Outros</w:t>
            </w:r>
            <w:r>
              <w:rPr>
                <w:rFonts w:ascii="Arial MT" w:hAnsi="Arial MT"/>
                <w:spacing w:val="-6"/>
                <w:sz w:val="16"/>
              </w:rPr>
              <w:t xml:space="preserve"> </w:t>
            </w:r>
            <w:r>
              <w:rPr>
                <w:rFonts w:ascii="Arial MT" w:hAnsi="Arial MT"/>
                <w:sz w:val="16"/>
              </w:rPr>
              <w:t>Ativos</w:t>
            </w:r>
            <w:r>
              <w:rPr>
                <w:rFonts w:ascii="Arial MT" w:hAnsi="Arial MT"/>
                <w:spacing w:val="-6"/>
                <w:sz w:val="16"/>
              </w:rPr>
              <w:t xml:space="preserve"> </w:t>
            </w:r>
            <w:r>
              <w:rPr>
                <w:rFonts w:ascii="Arial MT" w:hAnsi="Arial MT"/>
                <w:spacing w:val="-2"/>
                <w:sz w:val="16"/>
              </w:rPr>
              <w:t>Realizáveis</w:t>
            </w:r>
          </w:p>
        </w:tc>
        <w:tc>
          <w:tcPr>
            <w:tcW w:w="1389" w:type="dxa"/>
            <w:tcBorders>
              <w:left w:val="single" w:sz="4" w:space="0" w:color="3616F6"/>
              <w:bottom w:val="single" w:sz="4" w:space="0" w:color="3616F6"/>
              <w:right w:val="single" w:sz="4" w:space="0" w:color="3616F6"/>
            </w:tcBorders>
            <w:shd w:val="clear" w:color="auto" w:fill="66FFFF"/>
          </w:tcPr>
          <w:p w14:paraId="46BC5593" w14:textId="77777777" w:rsidR="002C6574" w:rsidRDefault="00000000">
            <w:pPr>
              <w:pStyle w:val="TableParagraph"/>
              <w:spacing w:before="13" w:line="178" w:lineRule="exact"/>
              <w:ind w:right="63"/>
              <w:rPr>
                <w:rFonts w:ascii="Arial MT"/>
                <w:sz w:val="16"/>
              </w:rPr>
            </w:pPr>
            <w:r>
              <w:rPr>
                <w:rFonts w:ascii="Arial MT"/>
                <w:spacing w:val="-2"/>
                <w:sz w:val="16"/>
              </w:rPr>
              <w:t>23.495</w:t>
            </w:r>
          </w:p>
        </w:tc>
        <w:tc>
          <w:tcPr>
            <w:tcW w:w="1390" w:type="dxa"/>
            <w:tcBorders>
              <w:left w:val="single" w:sz="4" w:space="0" w:color="3616F6"/>
              <w:bottom w:val="single" w:sz="4" w:space="0" w:color="3616F6"/>
              <w:right w:val="single" w:sz="4" w:space="0" w:color="3616F6"/>
            </w:tcBorders>
          </w:tcPr>
          <w:p w14:paraId="422BB62E" w14:textId="77777777" w:rsidR="002C6574" w:rsidRDefault="00000000">
            <w:pPr>
              <w:pStyle w:val="TableParagraph"/>
              <w:spacing w:before="13" w:line="178" w:lineRule="exact"/>
              <w:ind w:right="63"/>
              <w:rPr>
                <w:rFonts w:ascii="Arial MT"/>
                <w:sz w:val="16"/>
              </w:rPr>
            </w:pPr>
            <w:r>
              <w:rPr>
                <w:rFonts w:ascii="Arial MT"/>
                <w:spacing w:val="-2"/>
                <w:sz w:val="16"/>
              </w:rPr>
              <w:t>23.181</w:t>
            </w:r>
          </w:p>
        </w:tc>
        <w:tc>
          <w:tcPr>
            <w:tcW w:w="1656" w:type="dxa"/>
            <w:tcBorders>
              <w:left w:val="single" w:sz="4" w:space="0" w:color="3616F6"/>
              <w:bottom w:val="single" w:sz="4" w:space="0" w:color="3616F6"/>
            </w:tcBorders>
          </w:tcPr>
          <w:p w14:paraId="21F8CB05" w14:textId="77777777" w:rsidR="002C6574" w:rsidRDefault="00000000">
            <w:pPr>
              <w:pStyle w:val="TableParagraph"/>
              <w:spacing w:before="13" w:line="178" w:lineRule="exact"/>
              <w:ind w:right="68"/>
              <w:rPr>
                <w:rFonts w:ascii="Arial MT"/>
                <w:sz w:val="16"/>
              </w:rPr>
            </w:pPr>
            <w:r>
              <w:rPr>
                <w:rFonts w:ascii="Arial MT"/>
                <w:spacing w:val="-2"/>
                <w:sz w:val="16"/>
              </w:rPr>
              <w:t>28.681</w:t>
            </w:r>
          </w:p>
        </w:tc>
      </w:tr>
      <w:tr w:rsidR="002C6574" w14:paraId="209C7DE0" w14:textId="77777777">
        <w:trPr>
          <w:trHeight w:val="215"/>
        </w:trPr>
        <w:tc>
          <w:tcPr>
            <w:tcW w:w="6054" w:type="dxa"/>
            <w:tcBorders>
              <w:top w:val="single" w:sz="4" w:space="0" w:color="3616F6"/>
              <w:bottom w:val="single" w:sz="4" w:space="0" w:color="3616F6"/>
              <w:right w:val="single" w:sz="4" w:space="0" w:color="3616F6"/>
            </w:tcBorders>
          </w:tcPr>
          <w:p w14:paraId="3EE4062B" w14:textId="77777777" w:rsidR="002C6574" w:rsidRDefault="00000000">
            <w:pPr>
              <w:pStyle w:val="TableParagraph"/>
              <w:spacing w:before="15" w:line="180" w:lineRule="exact"/>
              <w:ind w:left="69"/>
              <w:jc w:val="left"/>
              <w:rPr>
                <w:rFonts w:ascii="Arial" w:hAnsi="Arial"/>
                <w:b/>
                <w:sz w:val="16"/>
              </w:rPr>
            </w:pPr>
            <w:r>
              <w:rPr>
                <w:rFonts w:ascii="Arial" w:hAnsi="Arial"/>
                <w:b/>
                <w:sz w:val="16"/>
              </w:rPr>
              <w:t>Não</w:t>
            </w:r>
            <w:r>
              <w:rPr>
                <w:rFonts w:ascii="Arial" w:hAnsi="Arial"/>
                <w:b/>
                <w:spacing w:val="-1"/>
                <w:sz w:val="16"/>
              </w:rPr>
              <w:t xml:space="preserve"> </w:t>
            </w:r>
            <w:r>
              <w:rPr>
                <w:rFonts w:ascii="Arial" w:hAnsi="Arial"/>
                <w:b/>
                <w:spacing w:val="-2"/>
                <w:sz w:val="16"/>
              </w:rPr>
              <w:t>Circulante</w:t>
            </w:r>
          </w:p>
        </w:tc>
        <w:tc>
          <w:tcPr>
            <w:tcW w:w="1389" w:type="dxa"/>
            <w:tcBorders>
              <w:top w:val="single" w:sz="4" w:space="0" w:color="3616F6"/>
              <w:left w:val="single" w:sz="4" w:space="0" w:color="3616F6"/>
              <w:bottom w:val="single" w:sz="4" w:space="0" w:color="3616F6"/>
              <w:right w:val="single" w:sz="4" w:space="0" w:color="3616F6"/>
            </w:tcBorders>
            <w:shd w:val="clear" w:color="auto" w:fill="66FFFF"/>
          </w:tcPr>
          <w:p w14:paraId="4CCD62E8" w14:textId="77777777" w:rsidR="002C6574" w:rsidRDefault="00000000">
            <w:pPr>
              <w:pStyle w:val="TableParagraph"/>
              <w:spacing w:before="15" w:line="180" w:lineRule="exact"/>
              <w:ind w:right="64"/>
              <w:rPr>
                <w:rFonts w:ascii="Arial"/>
                <w:b/>
                <w:sz w:val="16"/>
              </w:rPr>
            </w:pPr>
            <w:r>
              <w:rPr>
                <w:rFonts w:ascii="Arial"/>
                <w:b/>
                <w:spacing w:val="-2"/>
                <w:sz w:val="16"/>
              </w:rPr>
              <w:t>2.102.426</w:t>
            </w:r>
          </w:p>
        </w:tc>
        <w:tc>
          <w:tcPr>
            <w:tcW w:w="1390" w:type="dxa"/>
            <w:tcBorders>
              <w:top w:val="single" w:sz="4" w:space="0" w:color="3616F6"/>
              <w:left w:val="single" w:sz="4" w:space="0" w:color="3616F6"/>
              <w:bottom w:val="single" w:sz="4" w:space="0" w:color="3616F6"/>
              <w:right w:val="single" w:sz="4" w:space="0" w:color="3616F6"/>
            </w:tcBorders>
          </w:tcPr>
          <w:p w14:paraId="7E583C76" w14:textId="77777777" w:rsidR="002C6574" w:rsidRDefault="00000000">
            <w:pPr>
              <w:pStyle w:val="TableParagraph"/>
              <w:spacing w:before="15" w:line="180" w:lineRule="exact"/>
              <w:ind w:right="63"/>
              <w:rPr>
                <w:rFonts w:ascii="Arial"/>
                <w:b/>
                <w:sz w:val="16"/>
              </w:rPr>
            </w:pPr>
            <w:r>
              <w:rPr>
                <w:rFonts w:ascii="Arial"/>
                <w:b/>
                <w:spacing w:val="-2"/>
                <w:sz w:val="16"/>
              </w:rPr>
              <w:t>2.313.982</w:t>
            </w:r>
          </w:p>
        </w:tc>
        <w:tc>
          <w:tcPr>
            <w:tcW w:w="1656" w:type="dxa"/>
            <w:tcBorders>
              <w:top w:val="single" w:sz="4" w:space="0" w:color="3616F6"/>
              <w:left w:val="single" w:sz="4" w:space="0" w:color="3616F6"/>
              <w:bottom w:val="single" w:sz="4" w:space="0" w:color="3616F6"/>
            </w:tcBorders>
          </w:tcPr>
          <w:p w14:paraId="1A14876F" w14:textId="77777777" w:rsidR="002C6574" w:rsidRDefault="00000000">
            <w:pPr>
              <w:pStyle w:val="TableParagraph"/>
              <w:spacing w:before="15" w:line="180" w:lineRule="exact"/>
              <w:ind w:right="68"/>
              <w:rPr>
                <w:rFonts w:ascii="Arial"/>
                <w:b/>
                <w:sz w:val="16"/>
              </w:rPr>
            </w:pPr>
            <w:r>
              <w:rPr>
                <w:rFonts w:ascii="Arial"/>
                <w:b/>
                <w:spacing w:val="-2"/>
                <w:sz w:val="16"/>
              </w:rPr>
              <w:t>2.396.238</w:t>
            </w:r>
          </w:p>
        </w:tc>
      </w:tr>
      <w:tr w:rsidR="002C6574" w14:paraId="788B867C" w14:textId="77777777">
        <w:trPr>
          <w:trHeight w:val="217"/>
        </w:trPr>
        <w:tc>
          <w:tcPr>
            <w:tcW w:w="6054" w:type="dxa"/>
            <w:tcBorders>
              <w:top w:val="single" w:sz="4" w:space="0" w:color="3616F6"/>
              <w:right w:val="single" w:sz="4" w:space="0" w:color="3616F6"/>
            </w:tcBorders>
          </w:tcPr>
          <w:p w14:paraId="2E95B7F8" w14:textId="77777777" w:rsidR="002C6574" w:rsidRDefault="00000000">
            <w:pPr>
              <w:pStyle w:val="TableParagraph"/>
              <w:spacing w:before="15" w:line="182" w:lineRule="exact"/>
              <w:ind w:left="203"/>
              <w:jc w:val="left"/>
              <w:rPr>
                <w:rFonts w:ascii="Arial MT" w:hAnsi="Arial MT"/>
                <w:sz w:val="16"/>
              </w:rPr>
            </w:pPr>
            <w:r>
              <w:rPr>
                <w:rFonts w:ascii="Arial MT" w:hAnsi="Arial MT"/>
                <w:sz w:val="16"/>
              </w:rPr>
              <w:t>Aplicações</w:t>
            </w:r>
            <w:r>
              <w:rPr>
                <w:rFonts w:ascii="Arial MT" w:hAnsi="Arial MT"/>
                <w:spacing w:val="-11"/>
                <w:sz w:val="16"/>
              </w:rPr>
              <w:t xml:space="preserve"> </w:t>
            </w:r>
            <w:r>
              <w:rPr>
                <w:rFonts w:ascii="Arial MT" w:hAnsi="Arial MT"/>
                <w:spacing w:val="-2"/>
                <w:sz w:val="16"/>
              </w:rPr>
              <w:t>Financeiras</w:t>
            </w:r>
          </w:p>
        </w:tc>
        <w:tc>
          <w:tcPr>
            <w:tcW w:w="1389" w:type="dxa"/>
            <w:tcBorders>
              <w:top w:val="single" w:sz="4" w:space="0" w:color="3616F6"/>
              <w:left w:val="single" w:sz="4" w:space="0" w:color="3616F6"/>
              <w:right w:val="single" w:sz="4" w:space="0" w:color="3616F6"/>
            </w:tcBorders>
            <w:shd w:val="clear" w:color="auto" w:fill="66FFFF"/>
          </w:tcPr>
          <w:p w14:paraId="40BF6469" w14:textId="77777777" w:rsidR="002C6574" w:rsidRDefault="00000000">
            <w:pPr>
              <w:pStyle w:val="TableParagraph"/>
              <w:spacing w:before="15" w:line="182" w:lineRule="exact"/>
              <w:ind w:right="63"/>
              <w:rPr>
                <w:rFonts w:ascii="Arial MT"/>
                <w:sz w:val="16"/>
              </w:rPr>
            </w:pPr>
            <w:r>
              <w:rPr>
                <w:rFonts w:ascii="Arial MT"/>
                <w:spacing w:val="-2"/>
                <w:sz w:val="16"/>
              </w:rPr>
              <w:t>53.949</w:t>
            </w:r>
          </w:p>
        </w:tc>
        <w:tc>
          <w:tcPr>
            <w:tcW w:w="1390" w:type="dxa"/>
            <w:tcBorders>
              <w:top w:val="single" w:sz="4" w:space="0" w:color="3616F6"/>
              <w:left w:val="single" w:sz="4" w:space="0" w:color="3616F6"/>
              <w:right w:val="single" w:sz="4" w:space="0" w:color="3616F6"/>
            </w:tcBorders>
          </w:tcPr>
          <w:p w14:paraId="097BD648" w14:textId="77777777" w:rsidR="002C6574" w:rsidRDefault="00000000">
            <w:pPr>
              <w:pStyle w:val="TableParagraph"/>
              <w:spacing w:before="15" w:line="182" w:lineRule="exact"/>
              <w:ind w:right="63"/>
              <w:rPr>
                <w:rFonts w:ascii="Arial MT"/>
                <w:sz w:val="16"/>
              </w:rPr>
            </w:pPr>
            <w:r>
              <w:rPr>
                <w:rFonts w:ascii="Arial MT"/>
                <w:spacing w:val="-2"/>
                <w:sz w:val="16"/>
              </w:rPr>
              <w:t>86.686</w:t>
            </w:r>
          </w:p>
        </w:tc>
        <w:tc>
          <w:tcPr>
            <w:tcW w:w="1656" w:type="dxa"/>
            <w:tcBorders>
              <w:top w:val="single" w:sz="4" w:space="0" w:color="3616F6"/>
              <w:left w:val="single" w:sz="4" w:space="0" w:color="3616F6"/>
            </w:tcBorders>
          </w:tcPr>
          <w:p w14:paraId="6ED83C3B" w14:textId="77777777" w:rsidR="002C6574" w:rsidRDefault="00000000">
            <w:pPr>
              <w:pStyle w:val="TableParagraph"/>
              <w:spacing w:before="15" w:line="182" w:lineRule="exact"/>
              <w:ind w:right="68"/>
              <w:rPr>
                <w:rFonts w:ascii="Arial MT"/>
                <w:sz w:val="16"/>
              </w:rPr>
            </w:pPr>
            <w:r>
              <w:rPr>
                <w:rFonts w:ascii="Arial MT"/>
                <w:spacing w:val="-2"/>
                <w:sz w:val="16"/>
              </w:rPr>
              <w:t>80.682</w:t>
            </w:r>
          </w:p>
        </w:tc>
      </w:tr>
      <w:tr w:rsidR="002C6574" w14:paraId="2BC27B3E" w14:textId="77777777">
        <w:trPr>
          <w:trHeight w:val="214"/>
        </w:trPr>
        <w:tc>
          <w:tcPr>
            <w:tcW w:w="6054" w:type="dxa"/>
            <w:tcBorders>
              <w:right w:val="single" w:sz="4" w:space="0" w:color="3616F6"/>
            </w:tcBorders>
          </w:tcPr>
          <w:p w14:paraId="1BB34859" w14:textId="77777777" w:rsidR="002C6574" w:rsidRDefault="00000000">
            <w:pPr>
              <w:pStyle w:val="TableParagraph"/>
              <w:spacing w:before="13" w:line="181" w:lineRule="exact"/>
              <w:ind w:left="203"/>
              <w:jc w:val="left"/>
              <w:rPr>
                <w:rFonts w:ascii="Arial MT"/>
                <w:sz w:val="16"/>
              </w:rPr>
            </w:pPr>
            <w:r>
              <w:rPr>
                <w:rFonts w:ascii="Arial MT"/>
                <w:sz w:val="16"/>
              </w:rPr>
              <w:t>Tributos</w:t>
            </w:r>
            <w:r>
              <w:rPr>
                <w:rFonts w:ascii="Arial MT"/>
                <w:spacing w:val="-3"/>
                <w:sz w:val="16"/>
              </w:rPr>
              <w:t xml:space="preserve"> </w:t>
            </w:r>
            <w:r>
              <w:rPr>
                <w:rFonts w:ascii="Arial MT"/>
                <w:sz w:val="16"/>
              </w:rPr>
              <w:t>a</w:t>
            </w:r>
            <w:r>
              <w:rPr>
                <w:rFonts w:ascii="Arial MT"/>
                <w:spacing w:val="-3"/>
                <w:sz w:val="16"/>
              </w:rPr>
              <w:t xml:space="preserve"> </w:t>
            </w:r>
            <w:r>
              <w:rPr>
                <w:rFonts w:ascii="Arial MT"/>
                <w:spacing w:val="-2"/>
                <w:sz w:val="16"/>
              </w:rPr>
              <w:t>Compensar/Recuperar</w:t>
            </w:r>
          </w:p>
        </w:tc>
        <w:tc>
          <w:tcPr>
            <w:tcW w:w="1389" w:type="dxa"/>
            <w:tcBorders>
              <w:left w:val="single" w:sz="4" w:space="0" w:color="3616F6"/>
              <w:right w:val="single" w:sz="4" w:space="0" w:color="3616F6"/>
            </w:tcBorders>
            <w:shd w:val="clear" w:color="auto" w:fill="66FFFF"/>
          </w:tcPr>
          <w:p w14:paraId="47EB3734" w14:textId="77777777" w:rsidR="002C6574" w:rsidRDefault="00000000">
            <w:pPr>
              <w:pStyle w:val="TableParagraph"/>
              <w:spacing w:before="13" w:line="181" w:lineRule="exact"/>
              <w:ind w:right="63"/>
              <w:rPr>
                <w:rFonts w:ascii="Arial MT"/>
                <w:sz w:val="16"/>
              </w:rPr>
            </w:pPr>
            <w:r>
              <w:rPr>
                <w:rFonts w:ascii="Arial MT"/>
                <w:spacing w:val="-2"/>
                <w:sz w:val="16"/>
              </w:rPr>
              <w:t>3.795</w:t>
            </w:r>
          </w:p>
        </w:tc>
        <w:tc>
          <w:tcPr>
            <w:tcW w:w="1390" w:type="dxa"/>
            <w:tcBorders>
              <w:left w:val="single" w:sz="4" w:space="0" w:color="3616F6"/>
              <w:right w:val="single" w:sz="4" w:space="0" w:color="3616F6"/>
            </w:tcBorders>
          </w:tcPr>
          <w:p w14:paraId="25B19A90" w14:textId="77777777" w:rsidR="002C6574" w:rsidRDefault="00000000">
            <w:pPr>
              <w:pStyle w:val="TableParagraph"/>
              <w:spacing w:before="13" w:line="181" w:lineRule="exact"/>
              <w:ind w:right="63"/>
              <w:rPr>
                <w:rFonts w:ascii="Arial MT"/>
                <w:sz w:val="16"/>
              </w:rPr>
            </w:pPr>
            <w:r>
              <w:rPr>
                <w:rFonts w:ascii="Arial MT"/>
                <w:spacing w:val="-2"/>
                <w:sz w:val="16"/>
              </w:rPr>
              <w:t>8.282</w:t>
            </w:r>
          </w:p>
        </w:tc>
        <w:tc>
          <w:tcPr>
            <w:tcW w:w="1656" w:type="dxa"/>
            <w:tcBorders>
              <w:left w:val="single" w:sz="4" w:space="0" w:color="3616F6"/>
            </w:tcBorders>
          </w:tcPr>
          <w:p w14:paraId="29834388" w14:textId="77777777" w:rsidR="002C6574" w:rsidRDefault="00000000">
            <w:pPr>
              <w:pStyle w:val="TableParagraph"/>
              <w:spacing w:before="13" w:line="181" w:lineRule="exact"/>
              <w:ind w:right="68"/>
              <w:rPr>
                <w:rFonts w:ascii="Arial MT"/>
                <w:sz w:val="16"/>
              </w:rPr>
            </w:pPr>
            <w:r>
              <w:rPr>
                <w:rFonts w:ascii="Arial MT"/>
                <w:spacing w:val="-2"/>
                <w:sz w:val="16"/>
              </w:rPr>
              <w:t>11.634</w:t>
            </w:r>
          </w:p>
        </w:tc>
      </w:tr>
      <w:tr w:rsidR="002C6574" w14:paraId="571640EC" w14:textId="77777777">
        <w:trPr>
          <w:trHeight w:val="214"/>
        </w:trPr>
        <w:tc>
          <w:tcPr>
            <w:tcW w:w="6054" w:type="dxa"/>
            <w:tcBorders>
              <w:right w:val="single" w:sz="4" w:space="0" w:color="3616F6"/>
            </w:tcBorders>
          </w:tcPr>
          <w:p w14:paraId="5EFED443" w14:textId="77777777" w:rsidR="002C6574" w:rsidRDefault="00000000">
            <w:pPr>
              <w:pStyle w:val="TableParagraph"/>
              <w:spacing w:before="12" w:line="182" w:lineRule="exact"/>
              <w:ind w:left="230"/>
              <w:jc w:val="left"/>
              <w:rPr>
                <w:rFonts w:ascii="Arial MT" w:hAnsi="Arial MT"/>
                <w:sz w:val="16"/>
              </w:rPr>
            </w:pPr>
            <w:r>
              <w:rPr>
                <w:rFonts w:ascii="Arial MT" w:hAnsi="Arial MT"/>
                <w:sz w:val="16"/>
              </w:rPr>
              <w:t>Superávit</w:t>
            </w:r>
            <w:r>
              <w:rPr>
                <w:rFonts w:ascii="Arial MT" w:hAnsi="Arial MT"/>
                <w:spacing w:val="-6"/>
                <w:sz w:val="16"/>
              </w:rPr>
              <w:t xml:space="preserve"> </w:t>
            </w:r>
            <w:r>
              <w:rPr>
                <w:rFonts w:ascii="Arial MT" w:hAnsi="Arial MT"/>
                <w:sz w:val="16"/>
              </w:rPr>
              <w:t>-</w:t>
            </w:r>
            <w:r>
              <w:rPr>
                <w:rFonts w:ascii="Arial MT" w:hAnsi="Arial MT"/>
                <w:spacing w:val="-7"/>
                <w:sz w:val="16"/>
              </w:rPr>
              <w:t xml:space="preserve"> </w:t>
            </w:r>
            <w:r>
              <w:rPr>
                <w:rFonts w:ascii="Arial MT" w:hAnsi="Arial MT"/>
                <w:sz w:val="16"/>
              </w:rPr>
              <w:t>Previdência</w:t>
            </w:r>
            <w:r>
              <w:rPr>
                <w:rFonts w:ascii="Arial MT" w:hAnsi="Arial MT"/>
                <w:spacing w:val="-6"/>
                <w:sz w:val="16"/>
              </w:rPr>
              <w:t xml:space="preserve"> </w:t>
            </w:r>
            <w:r>
              <w:rPr>
                <w:rFonts w:ascii="Arial MT" w:hAnsi="Arial MT"/>
                <w:spacing w:val="-2"/>
                <w:sz w:val="16"/>
              </w:rPr>
              <w:t>Privada</w:t>
            </w:r>
          </w:p>
        </w:tc>
        <w:tc>
          <w:tcPr>
            <w:tcW w:w="1389" w:type="dxa"/>
            <w:tcBorders>
              <w:left w:val="single" w:sz="4" w:space="0" w:color="3616F6"/>
              <w:right w:val="single" w:sz="4" w:space="0" w:color="3616F6"/>
            </w:tcBorders>
            <w:shd w:val="clear" w:color="auto" w:fill="66FFFF"/>
          </w:tcPr>
          <w:p w14:paraId="7121E6E7" w14:textId="77777777" w:rsidR="002C6574" w:rsidRDefault="00000000">
            <w:pPr>
              <w:pStyle w:val="TableParagraph"/>
              <w:spacing w:before="12" w:line="182" w:lineRule="exact"/>
              <w:ind w:right="63"/>
              <w:rPr>
                <w:rFonts w:ascii="Arial MT"/>
                <w:sz w:val="16"/>
              </w:rPr>
            </w:pPr>
            <w:r>
              <w:rPr>
                <w:rFonts w:ascii="Arial MT"/>
                <w:spacing w:val="-2"/>
                <w:sz w:val="16"/>
              </w:rPr>
              <w:t>185.037</w:t>
            </w:r>
          </w:p>
        </w:tc>
        <w:tc>
          <w:tcPr>
            <w:tcW w:w="1390" w:type="dxa"/>
            <w:tcBorders>
              <w:left w:val="single" w:sz="4" w:space="0" w:color="3616F6"/>
              <w:right w:val="single" w:sz="4" w:space="0" w:color="3616F6"/>
            </w:tcBorders>
          </w:tcPr>
          <w:p w14:paraId="3CA42095" w14:textId="77777777" w:rsidR="002C6574" w:rsidRDefault="00000000">
            <w:pPr>
              <w:pStyle w:val="TableParagraph"/>
              <w:spacing w:before="12" w:line="182" w:lineRule="exact"/>
              <w:ind w:right="63"/>
              <w:rPr>
                <w:rFonts w:ascii="Arial MT"/>
                <w:sz w:val="16"/>
              </w:rPr>
            </w:pPr>
            <w:r>
              <w:rPr>
                <w:rFonts w:ascii="Arial MT"/>
                <w:spacing w:val="-2"/>
                <w:sz w:val="16"/>
              </w:rPr>
              <w:t>143.216</w:t>
            </w:r>
          </w:p>
        </w:tc>
        <w:tc>
          <w:tcPr>
            <w:tcW w:w="1656" w:type="dxa"/>
            <w:tcBorders>
              <w:left w:val="single" w:sz="4" w:space="0" w:color="3616F6"/>
            </w:tcBorders>
          </w:tcPr>
          <w:p w14:paraId="7F82C6EC" w14:textId="77777777" w:rsidR="002C6574" w:rsidRDefault="00000000">
            <w:pPr>
              <w:pStyle w:val="TableParagraph"/>
              <w:spacing w:before="12" w:line="182" w:lineRule="exact"/>
              <w:ind w:right="68"/>
              <w:rPr>
                <w:rFonts w:ascii="Arial MT"/>
                <w:sz w:val="16"/>
              </w:rPr>
            </w:pPr>
            <w:r>
              <w:rPr>
                <w:rFonts w:ascii="Arial MT"/>
                <w:spacing w:val="-2"/>
                <w:sz w:val="16"/>
              </w:rPr>
              <w:t>15.726</w:t>
            </w:r>
          </w:p>
        </w:tc>
      </w:tr>
      <w:tr w:rsidR="002C6574" w14:paraId="572C16F2" w14:textId="77777777">
        <w:trPr>
          <w:trHeight w:val="214"/>
        </w:trPr>
        <w:tc>
          <w:tcPr>
            <w:tcW w:w="6054" w:type="dxa"/>
            <w:tcBorders>
              <w:right w:val="single" w:sz="4" w:space="0" w:color="3616F6"/>
            </w:tcBorders>
          </w:tcPr>
          <w:p w14:paraId="0BC57AE0" w14:textId="77777777" w:rsidR="002C6574" w:rsidRDefault="00000000">
            <w:pPr>
              <w:pStyle w:val="TableParagraph"/>
              <w:spacing w:before="13" w:line="181" w:lineRule="exact"/>
              <w:ind w:left="206"/>
              <w:jc w:val="left"/>
              <w:rPr>
                <w:rFonts w:ascii="Arial MT"/>
                <w:sz w:val="16"/>
              </w:rPr>
            </w:pPr>
            <w:r>
              <w:rPr>
                <w:rFonts w:ascii="Arial MT"/>
                <w:sz w:val="16"/>
              </w:rPr>
              <w:t>Dividendos</w:t>
            </w:r>
            <w:r>
              <w:rPr>
                <w:rFonts w:ascii="Arial MT"/>
                <w:spacing w:val="-5"/>
                <w:sz w:val="16"/>
              </w:rPr>
              <w:t xml:space="preserve"> </w:t>
            </w:r>
            <w:r>
              <w:rPr>
                <w:rFonts w:ascii="Arial MT"/>
                <w:sz w:val="16"/>
              </w:rPr>
              <w:t>a</w:t>
            </w:r>
            <w:r>
              <w:rPr>
                <w:rFonts w:ascii="Arial MT"/>
                <w:spacing w:val="-6"/>
                <w:sz w:val="16"/>
              </w:rPr>
              <w:t xml:space="preserve"> </w:t>
            </w:r>
            <w:r>
              <w:rPr>
                <w:rFonts w:ascii="Arial MT"/>
                <w:spacing w:val="-2"/>
                <w:sz w:val="16"/>
              </w:rPr>
              <w:t>Receber</w:t>
            </w:r>
          </w:p>
        </w:tc>
        <w:tc>
          <w:tcPr>
            <w:tcW w:w="1389" w:type="dxa"/>
            <w:tcBorders>
              <w:left w:val="single" w:sz="4" w:space="0" w:color="3616F6"/>
              <w:right w:val="single" w:sz="4" w:space="0" w:color="3616F6"/>
            </w:tcBorders>
            <w:shd w:val="clear" w:color="auto" w:fill="66FFFF"/>
          </w:tcPr>
          <w:p w14:paraId="32078E63" w14:textId="77777777" w:rsidR="002C6574" w:rsidRDefault="00000000">
            <w:pPr>
              <w:pStyle w:val="TableParagraph"/>
              <w:spacing w:before="13" w:line="181" w:lineRule="exact"/>
              <w:ind w:right="63"/>
              <w:rPr>
                <w:rFonts w:ascii="Arial MT"/>
                <w:sz w:val="16"/>
              </w:rPr>
            </w:pPr>
            <w:r>
              <w:rPr>
                <w:rFonts w:ascii="Arial MT"/>
                <w:spacing w:val="-10"/>
                <w:sz w:val="16"/>
              </w:rPr>
              <w:t>-</w:t>
            </w:r>
          </w:p>
        </w:tc>
        <w:tc>
          <w:tcPr>
            <w:tcW w:w="1390" w:type="dxa"/>
            <w:tcBorders>
              <w:left w:val="single" w:sz="4" w:space="0" w:color="3616F6"/>
              <w:right w:val="single" w:sz="4" w:space="0" w:color="3616F6"/>
            </w:tcBorders>
          </w:tcPr>
          <w:p w14:paraId="66EE297B" w14:textId="77777777" w:rsidR="002C6574" w:rsidRDefault="00000000">
            <w:pPr>
              <w:pStyle w:val="TableParagraph"/>
              <w:spacing w:before="13" w:line="181" w:lineRule="exact"/>
              <w:ind w:right="63"/>
              <w:rPr>
                <w:rFonts w:ascii="Arial MT"/>
                <w:sz w:val="16"/>
              </w:rPr>
            </w:pPr>
            <w:r>
              <w:rPr>
                <w:rFonts w:ascii="Arial MT"/>
                <w:spacing w:val="-2"/>
                <w:sz w:val="16"/>
              </w:rPr>
              <w:t>5.456</w:t>
            </w:r>
          </w:p>
        </w:tc>
        <w:tc>
          <w:tcPr>
            <w:tcW w:w="1656" w:type="dxa"/>
            <w:tcBorders>
              <w:left w:val="single" w:sz="4" w:space="0" w:color="3616F6"/>
            </w:tcBorders>
          </w:tcPr>
          <w:p w14:paraId="59BA3264" w14:textId="77777777" w:rsidR="002C6574" w:rsidRDefault="00000000">
            <w:pPr>
              <w:pStyle w:val="TableParagraph"/>
              <w:spacing w:before="13" w:line="181" w:lineRule="exact"/>
              <w:ind w:right="68"/>
              <w:rPr>
                <w:rFonts w:ascii="Arial MT"/>
                <w:sz w:val="16"/>
              </w:rPr>
            </w:pPr>
            <w:r>
              <w:rPr>
                <w:rFonts w:ascii="Arial MT"/>
                <w:spacing w:val="-2"/>
                <w:sz w:val="16"/>
              </w:rPr>
              <w:t>5.456</w:t>
            </w:r>
          </w:p>
        </w:tc>
      </w:tr>
      <w:tr w:rsidR="002C6574" w14:paraId="62E12472" w14:textId="77777777">
        <w:trPr>
          <w:trHeight w:val="214"/>
        </w:trPr>
        <w:tc>
          <w:tcPr>
            <w:tcW w:w="6054" w:type="dxa"/>
            <w:tcBorders>
              <w:right w:val="single" w:sz="4" w:space="0" w:color="3616F6"/>
            </w:tcBorders>
          </w:tcPr>
          <w:p w14:paraId="51791BFA" w14:textId="77777777" w:rsidR="002C6574" w:rsidRDefault="00000000">
            <w:pPr>
              <w:pStyle w:val="TableParagraph"/>
              <w:spacing w:before="12" w:line="182" w:lineRule="exact"/>
              <w:ind w:left="206"/>
              <w:jc w:val="left"/>
              <w:rPr>
                <w:rFonts w:ascii="Arial MT" w:hAnsi="Arial MT"/>
                <w:sz w:val="16"/>
              </w:rPr>
            </w:pPr>
            <w:r>
              <w:rPr>
                <w:rFonts w:ascii="Arial MT" w:hAnsi="Arial MT"/>
                <w:sz w:val="16"/>
              </w:rPr>
              <w:t>Depósitos</w:t>
            </w:r>
            <w:r>
              <w:rPr>
                <w:rFonts w:ascii="Arial MT" w:hAnsi="Arial MT"/>
                <w:spacing w:val="-11"/>
                <w:sz w:val="16"/>
              </w:rPr>
              <w:t xml:space="preserve"> </w:t>
            </w:r>
            <w:r>
              <w:rPr>
                <w:rFonts w:ascii="Arial MT" w:hAnsi="Arial MT"/>
                <w:spacing w:val="-2"/>
                <w:sz w:val="16"/>
              </w:rPr>
              <w:t>Judiciais</w:t>
            </w:r>
          </w:p>
        </w:tc>
        <w:tc>
          <w:tcPr>
            <w:tcW w:w="1389" w:type="dxa"/>
            <w:tcBorders>
              <w:left w:val="single" w:sz="4" w:space="0" w:color="3616F6"/>
              <w:right w:val="single" w:sz="4" w:space="0" w:color="3616F6"/>
            </w:tcBorders>
            <w:shd w:val="clear" w:color="auto" w:fill="66FFFF"/>
          </w:tcPr>
          <w:p w14:paraId="2E332C66" w14:textId="77777777" w:rsidR="002C6574" w:rsidRDefault="00000000">
            <w:pPr>
              <w:pStyle w:val="TableParagraph"/>
              <w:spacing w:before="12" w:line="182" w:lineRule="exact"/>
              <w:ind w:right="63"/>
              <w:rPr>
                <w:rFonts w:ascii="Arial MT"/>
                <w:sz w:val="16"/>
              </w:rPr>
            </w:pPr>
            <w:r>
              <w:rPr>
                <w:rFonts w:ascii="Arial MT"/>
                <w:spacing w:val="-2"/>
                <w:sz w:val="16"/>
              </w:rPr>
              <w:t>52.566</w:t>
            </w:r>
          </w:p>
        </w:tc>
        <w:tc>
          <w:tcPr>
            <w:tcW w:w="1390" w:type="dxa"/>
            <w:tcBorders>
              <w:left w:val="single" w:sz="4" w:space="0" w:color="3616F6"/>
              <w:right w:val="single" w:sz="4" w:space="0" w:color="3616F6"/>
            </w:tcBorders>
          </w:tcPr>
          <w:p w14:paraId="7C3B1214" w14:textId="77777777" w:rsidR="002C6574" w:rsidRDefault="00000000">
            <w:pPr>
              <w:pStyle w:val="TableParagraph"/>
              <w:spacing w:before="12" w:line="182" w:lineRule="exact"/>
              <w:ind w:right="63"/>
              <w:rPr>
                <w:rFonts w:ascii="Arial MT"/>
                <w:sz w:val="16"/>
              </w:rPr>
            </w:pPr>
            <w:r>
              <w:rPr>
                <w:rFonts w:ascii="Arial MT"/>
                <w:spacing w:val="-2"/>
                <w:sz w:val="16"/>
              </w:rPr>
              <w:t>48.726</w:t>
            </w:r>
          </w:p>
        </w:tc>
        <w:tc>
          <w:tcPr>
            <w:tcW w:w="1656" w:type="dxa"/>
            <w:tcBorders>
              <w:left w:val="single" w:sz="4" w:space="0" w:color="3616F6"/>
            </w:tcBorders>
          </w:tcPr>
          <w:p w14:paraId="01317EFB" w14:textId="77777777" w:rsidR="002C6574" w:rsidRDefault="00000000">
            <w:pPr>
              <w:pStyle w:val="TableParagraph"/>
              <w:spacing w:before="12" w:line="182" w:lineRule="exact"/>
              <w:ind w:right="68"/>
              <w:rPr>
                <w:rFonts w:ascii="Arial MT"/>
                <w:sz w:val="16"/>
              </w:rPr>
            </w:pPr>
            <w:r>
              <w:rPr>
                <w:rFonts w:ascii="Arial MT"/>
                <w:spacing w:val="-2"/>
                <w:sz w:val="16"/>
              </w:rPr>
              <w:t>45.542</w:t>
            </w:r>
          </w:p>
        </w:tc>
      </w:tr>
      <w:tr w:rsidR="002C6574" w14:paraId="62E8E50D" w14:textId="77777777">
        <w:trPr>
          <w:trHeight w:val="215"/>
        </w:trPr>
        <w:tc>
          <w:tcPr>
            <w:tcW w:w="6054" w:type="dxa"/>
            <w:tcBorders>
              <w:right w:val="single" w:sz="4" w:space="0" w:color="3616F6"/>
            </w:tcBorders>
          </w:tcPr>
          <w:p w14:paraId="72400B45" w14:textId="77777777" w:rsidR="002C6574" w:rsidRDefault="00000000">
            <w:pPr>
              <w:pStyle w:val="TableParagraph"/>
              <w:spacing w:before="13" w:line="182" w:lineRule="exact"/>
              <w:ind w:left="203"/>
              <w:jc w:val="left"/>
              <w:rPr>
                <w:rFonts w:ascii="Arial MT" w:hAnsi="Arial MT"/>
                <w:sz w:val="16"/>
              </w:rPr>
            </w:pPr>
            <w:r>
              <w:rPr>
                <w:rFonts w:ascii="Arial MT" w:hAnsi="Arial MT"/>
                <w:sz w:val="16"/>
              </w:rPr>
              <w:t>Outros</w:t>
            </w:r>
            <w:r>
              <w:rPr>
                <w:rFonts w:ascii="Arial MT" w:hAnsi="Arial MT"/>
                <w:spacing w:val="-6"/>
                <w:sz w:val="16"/>
              </w:rPr>
              <w:t xml:space="preserve"> </w:t>
            </w:r>
            <w:r>
              <w:rPr>
                <w:rFonts w:ascii="Arial MT" w:hAnsi="Arial MT"/>
                <w:sz w:val="16"/>
              </w:rPr>
              <w:t>Ativos</w:t>
            </w:r>
            <w:r>
              <w:rPr>
                <w:rFonts w:ascii="Arial MT" w:hAnsi="Arial MT"/>
                <w:spacing w:val="-6"/>
                <w:sz w:val="16"/>
              </w:rPr>
              <w:t xml:space="preserve"> </w:t>
            </w:r>
            <w:r>
              <w:rPr>
                <w:rFonts w:ascii="Arial MT" w:hAnsi="Arial MT"/>
                <w:spacing w:val="-2"/>
                <w:sz w:val="16"/>
              </w:rPr>
              <w:t>Realizáveis</w:t>
            </w:r>
          </w:p>
        </w:tc>
        <w:tc>
          <w:tcPr>
            <w:tcW w:w="1389" w:type="dxa"/>
            <w:tcBorders>
              <w:left w:val="single" w:sz="4" w:space="0" w:color="3616F6"/>
              <w:right w:val="single" w:sz="4" w:space="0" w:color="3616F6"/>
            </w:tcBorders>
            <w:shd w:val="clear" w:color="auto" w:fill="66FFFF"/>
          </w:tcPr>
          <w:p w14:paraId="1DFD43EA" w14:textId="77777777" w:rsidR="002C6574" w:rsidRDefault="00000000">
            <w:pPr>
              <w:pStyle w:val="TableParagraph"/>
              <w:spacing w:before="13" w:line="182" w:lineRule="exact"/>
              <w:ind w:right="63"/>
              <w:rPr>
                <w:rFonts w:ascii="Arial MT"/>
                <w:sz w:val="16"/>
              </w:rPr>
            </w:pPr>
            <w:r>
              <w:rPr>
                <w:rFonts w:ascii="Arial MT"/>
                <w:spacing w:val="-2"/>
                <w:sz w:val="16"/>
              </w:rPr>
              <w:t>6.667</w:t>
            </w:r>
          </w:p>
        </w:tc>
        <w:tc>
          <w:tcPr>
            <w:tcW w:w="1390" w:type="dxa"/>
            <w:tcBorders>
              <w:left w:val="single" w:sz="4" w:space="0" w:color="3616F6"/>
              <w:right w:val="single" w:sz="4" w:space="0" w:color="3616F6"/>
            </w:tcBorders>
          </w:tcPr>
          <w:p w14:paraId="18232693" w14:textId="77777777" w:rsidR="002C6574" w:rsidRDefault="00000000">
            <w:pPr>
              <w:pStyle w:val="TableParagraph"/>
              <w:spacing w:before="13" w:line="182" w:lineRule="exact"/>
              <w:ind w:right="63"/>
              <w:rPr>
                <w:rFonts w:ascii="Arial MT"/>
                <w:sz w:val="16"/>
              </w:rPr>
            </w:pPr>
            <w:r>
              <w:rPr>
                <w:rFonts w:ascii="Arial MT"/>
                <w:spacing w:val="-2"/>
                <w:sz w:val="16"/>
              </w:rPr>
              <w:t>12.381</w:t>
            </w:r>
          </w:p>
        </w:tc>
        <w:tc>
          <w:tcPr>
            <w:tcW w:w="1656" w:type="dxa"/>
            <w:tcBorders>
              <w:left w:val="single" w:sz="4" w:space="0" w:color="3616F6"/>
            </w:tcBorders>
          </w:tcPr>
          <w:p w14:paraId="178BA295" w14:textId="77777777" w:rsidR="002C6574" w:rsidRDefault="00000000">
            <w:pPr>
              <w:pStyle w:val="TableParagraph"/>
              <w:spacing w:before="13" w:line="182" w:lineRule="exact"/>
              <w:ind w:right="68"/>
              <w:rPr>
                <w:rFonts w:ascii="Arial MT"/>
                <w:sz w:val="16"/>
              </w:rPr>
            </w:pPr>
            <w:r>
              <w:rPr>
                <w:rFonts w:ascii="Arial MT"/>
                <w:spacing w:val="-2"/>
                <w:sz w:val="16"/>
              </w:rPr>
              <w:t>22.569</w:t>
            </w:r>
          </w:p>
        </w:tc>
      </w:tr>
      <w:tr w:rsidR="002C6574" w14:paraId="295CAB33" w14:textId="77777777">
        <w:trPr>
          <w:trHeight w:val="214"/>
        </w:trPr>
        <w:tc>
          <w:tcPr>
            <w:tcW w:w="6054" w:type="dxa"/>
            <w:tcBorders>
              <w:right w:val="single" w:sz="4" w:space="0" w:color="3616F6"/>
            </w:tcBorders>
          </w:tcPr>
          <w:p w14:paraId="1BA80309" w14:textId="77777777" w:rsidR="002C6574" w:rsidRDefault="00000000">
            <w:pPr>
              <w:pStyle w:val="TableParagraph"/>
              <w:spacing w:before="13" w:line="181" w:lineRule="exact"/>
              <w:ind w:left="206"/>
              <w:jc w:val="left"/>
              <w:rPr>
                <w:rFonts w:ascii="Arial" w:hAnsi="Arial"/>
                <w:b/>
                <w:sz w:val="16"/>
              </w:rPr>
            </w:pPr>
            <w:r>
              <w:rPr>
                <w:rFonts w:ascii="Arial" w:hAnsi="Arial"/>
                <w:b/>
                <w:sz w:val="16"/>
              </w:rPr>
              <w:t>Realizável</w:t>
            </w:r>
            <w:r>
              <w:rPr>
                <w:rFonts w:ascii="Arial" w:hAnsi="Arial"/>
                <w:b/>
                <w:spacing w:val="-6"/>
                <w:sz w:val="16"/>
              </w:rPr>
              <w:t xml:space="preserve"> </w:t>
            </w:r>
            <w:r>
              <w:rPr>
                <w:rFonts w:ascii="Arial" w:hAnsi="Arial"/>
                <w:b/>
                <w:sz w:val="16"/>
              </w:rPr>
              <w:t>a</w:t>
            </w:r>
            <w:r>
              <w:rPr>
                <w:rFonts w:ascii="Arial" w:hAnsi="Arial"/>
                <w:b/>
                <w:spacing w:val="-8"/>
                <w:sz w:val="16"/>
              </w:rPr>
              <w:t xml:space="preserve"> </w:t>
            </w:r>
            <w:r>
              <w:rPr>
                <w:rFonts w:ascii="Arial" w:hAnsi="Arial"/>
                <w:b/>
                <w:sz w:val="16"/>
              </w:rPr>
              <w:t>Longo</w:t>
            </w:r>
            <w:r>
              <w:rPr>
                <w:rFonts w:ascii="Arial" w:hAnsi="Arial"/>
                <w:b/>
                <w:spacing w:val="-5"/>
                <w:sz w:val="16"/>
              </w:rPr>
              <w:t xml:space="preserve"> </w:t>
            </w:r>
            <w:r>
              <w:rPr>
                <w:rFonts w:ascii="Arial" w:hAnsi="Arial"/>
                <w:b/>
                <w:spacing w:val="-4"/>
                <w:sz w:val="16"/>
              </w:rPr>
              <w:t>Prazo</w:t>
            </w:r>
          </w:p>
        </w:tc>
        <w:tc>
          <w:tcPr>
            <w:tcW w:w="1389" w:type="dxa"/>
            <w:tcBorders>
              <w:left w:val="single" w:sz="4" w:space="0" w:color="3616F6"/>
              <w:right w:val="single" w:sz="4" w:space="0" w:color="3616F6"/>
            </w:tcBorders>
            <w:shd w:val="clear" w:color="auto" w:fill="66FFFF"/>
          </w:tcPr>
          <w:p w14:paraId="1789258C" w14:textId="77777777" w:rsidR="002C6574" w:rsidRDefault="00000000">
            <w:pPr>
              <w:pStyle w:val="TableParagraph"/>
              <w:spacing w:before="13" w:line="181" w:lineRule="exact"/>
              <w:ind w:right="63"/>
              <w:rPr>
                <w:rFonts w:ascii="Arial"/>
                <w:b/>
                <w:sz w:val="16"/>
              </w:rPr>
            </w:pPr>
            <w:r>
              <w:rPr>
                <w:rFonts w:ascii="Arial"/>
                <w:b/>
                <w:spacing w:val="-2"/>
                <w:sz w:val="16"/>
              </w:rPr>
              <w:t>302.014</w:t>
            </w:r>
          </w:p>
        </w:tc>
        <w:tc>
          <w:tcPr>
            <w:tcW w:w="1390" w:type="dxa"/>
            <w:tcBorders>
              <w:left w:val="single" w:sz="4" w:space="0" w:color="3616F6"/>
              <w:right w:val="single" w:sz="4" w:space="0" w:color="3616F6"/>
            </w:tcBorders>
          </w:tcPr>
          <w:p w14:paraId="037224F5" w14:textId="77777777" w:rsidR="002C6574" w:rsidRDefault="00000000">
            <w:pPr>
              <w:pStyle w:val="TableParagraph"/>
              <w:spacing w:before="13" w:line="181" w:lineRule="exact"/>
              <w:ind w:right="63"/>
              <w:rPr>
                <w:rFonts w:ascii="Arial"/>
                <w:b/>
                <w:sz w:val="16"/>
              </w:rPr>
            </w:pPr>
            <w:r>
              <w:rPr>
                <w:rFonts w:ascii="Arial"/>
                <w:b/>
                <w:spacing w:val="-2"/>
                <w:sz w:val="16"/>
              </w:rPr>
              <w:t>304.747</w:t>
            </w:r>
          </w:p>
        </w:tc>
        <w:tc>
          <w:tcPr>
            <w:tcW w:w="1656" w:type="dxa"/>
            <w:tcBorders>
              <w:left w:val="single" w:sz="4" w:space="0" w:color="3616F6"/>
            </w:tcBorders>
          </w:tcPr>
          <w:p w14:paraId="4D008E37" w14:textId="77777777" w:rsidR="002C6574" w:rsidRDefault="00000000">
            <w:pPr>
              <w:pStyle w:val="TableParagraph"/>
              <w:spacing w:before="13" w:line="181" w:lineRule="exact"/>
              <w:ind w:right="68"/>
              <w:rPr>
                <w:rFonts w:ascii="Arial"/>
                <w:b/>
                <w:sz w:val="16"/>
              </w:rPr>
            </w:pPr>
            <w:r>
              <w:rPr>
                <w:rFonts w:ascii="Arial"/>
                <w:b/>
                <w:spacing w:val="-2"/>
                <w:sz w:val="16"/>
              </w:rPr>
              <w:t>181.609</w:t>
            </w:r>
          </w:p>
        </w:tc>
      </w:tr>
      <w:tr w:rsidR="002C6574" w14:paraId="4892D290" w14:textId="77777777">
        <w:trPr>
          <w:trHeight w:val="214"/>
        </w:trPr>
        <w:tc>
          <w:tcPr>
            <w:tcW w:w="6054" w:type="dxa"/>
            <w:tcBorders>
              <w:right w:val="single" w:sz="4" w:space="0" w:color="3616F6"/>
            </w:tcBorders>
          </w:tcPr>
          <w:p w14:paraId="6320877C" w14:textId="77777777" w:rsidR="002C6574" w:rsidRDefault="00000000">
            <w:pPr>
              <w:pStyle w:val="TableParagraph"/>
              <w:spacing w:before="12" w:line="182" w:lineRule="exact"/>
              <w:ind w:left="203"/>
              <w:jc w:val="left"/>
              <w:rPr>
                <w:rFonts w:ascii="Arial MT"/>
                <w:sz w:val="16"/>
              </w:rPr>
            </w:pPr>
            <w:r>
              <w:rPr>
                <w:rFonts w:ascii="Arial MT"/>
                <w:spacing w:val="-2"/>
                <w:sz w:val="16"/>
              </w:rPr>
              <w:t>Investimentos</w:t>
            </w:r>
          </w:p>
        </w:tc>
        <w:tc>
          <w:tcPr>
            <w:tcW w:w="1389" w:type="dxa"/>
            <w:tcBorders>
              <w:left w:val="single" w:sz="4" w:space="0" w:color="3616F6"/>
              <w:right w:val="single" w:sz="4" w:space="0" w:color="3616F6"/>
            </w:tcBorders>
            <w:shd w:val="clear" w:color="auto" w:fill="66FFFF"/>
          </w:tcPr>
          <w:p w14:paraId="71FA9695" w14:textId="77777777" w:rsidR="002C6574" w:rsidRDefault="00000000">
            <w:pPr>
              <w:pStyle w:val="TableParagraph"/>
              <w:spacing w:before="12" w:line="182" w:lineRule="exact"/>
              <w:ind w:right="63"/>
              <w:rPr>
                <w:rFonts w:ascii="Arial MT"/>
                <w:sz w:val="16"/>
              </w:rPr>
            </w:pPr>
            <w:r>
              <w:rPr>
                <w:rFonts w:ascii="Arial MT"/>
                <w:spacing w:val="-2"/>
                <w:sz w:val="16"/>
              </w:rPr>
              <w:t>76.332</w:t>
            </w:r>
          </w:p>
        </w:tc>
        <w:tc>
          <w:tcPr>
            <w:tcW w:w="1390" w:type="dxa"/>
            <w:tcBorders>
              <w:left w:val="single" w:sz="4" w:space="0" w:color="3616F6"/>
              <w:right w:val="single" w:sz="4" w:space="0" w:color="3616F6"/>
            </w:tcBorders>
          </w:tcPr>
          <w:p w14:paraId="356FB99B" w14:textId="77777777" w:rsidR="002C6574" w:rsidRDefault="00000000">
            <w:pPr>
              <w:pStyle w:val="TableParagraph"/>
              <w:spacing w:before="12" w:line="182" w:lineRule="exact"/>
              <w:ind w:right="63"/>
              <w:rPr>
                <w:rFonts w:ascii="Arial MT"/>
                <w:sz w:val="16"/>
              </w:rPr>
            </w:pPr>
            <w:r>
              <w:rPr>
                <w:rFonts w:ascii="Arial MT"/>
                <w:spacing w:val="-2"/>
                <w:sz w:val="16"/>
              </w:rPr>
              <w:t>80.124</w:t>
            </w:r>
          </w:p>
        </w:tc>
        <w:tc>
          <w:tcPr>
            <w:tcW w:w="1656" w:type="dxa"/>
            <w:tcBorders>
              <w:left w:val="single" w:sz="4" w:space="0" w:color="3616F6"/>
            </w:tcBorders>
          </w:tcPr>
          <w:p w14:paraId="1A30434E" w14:textId="77777777" w:rsidR="002C6574" w:rsidRDefault="00000000">
            <w:pPr>
              <w:pStyle w:val="TableParagraph"/>
              <w:spacing w:before="12" w:line="182" w:lineRule="exact"/>
              <w:ind w:right="68"/>
              <w:rPr>
                <w:rFonts w:ascii="Arial MT"/>
                <w:sz w:val="16"/>
              </w:rPr>
            </w:pPr>
            <w:r>
              <w:rPr>
                <w:rFonts w:ascii="Arial MT"/>
                <w:spacing w:val="-2"/>
                <w:sz w:val="16"/>
              </w:rPr>
              <w:t>70.084</w:t>
            </w:r>
          </w:p>
        </w:tc>
      </w:tr>
      <w:tr w:rsidR="002C6574" w14:paraId="3E6480E9" w14:textId="77777777">
        <w:trPr>
          <w:trHeight w:val="214"/>
        </w:trPr>
        <w:tc>
          <w:tcPr>
            <w:tcW w:w="6054" w:type="dxa"/>
            <w:tcBorders>
              <w:right w:val="single" w:sz="4" w:space="0" w:color="3616F6"/>
            </w:tcBorders>
          </w:tcPr>
          <w:p w14:paraId="43A4C63D" w14:textId="77777777" w:rsidR="002C6574" w:rsidRDefault="00000000">
            <w:pPr>
              <w:pStyle w:val="TableParagraph"/>
              <w:spacing w:before="13" w:line="181" w:lineRule="exact"/>
              <w:ind w:left="203"/>
              <w:jc w:val="left"/>
              <w:rPr>
                <w:rFonts w:ascii="Arial MT"/>
                <w:sz w:val="16"/>
              </w:rPr>
            </w:pPr>
            <w:r>
              <w:rPr>
                <w:rFonts w:ascii="Arial MT"/>
                <w:spacing w:val="-2"/>
                <w:sz w:val="16"/>
              </w:rPr>
              <w:t>Imobilizado</w:t>
            </w:r>
          </w:p>
        </w:tc>
        <w:tc>
          <w:tcPr>
            <w:tcW w:w="1389" w:type="dxa"/>
            <w:tcBorders>
              <w:left w:val="single" w:sz="4" w:space="0" w:color="3616F6"/>
              <w:right w:val="single" w:sz="4" w:space="0" w:color="3616F6"/>
            </w:tcBorders>
            <w:shd w:val="clear" w:color="auto" w:fill="66FFFF"/>
          </w:tcPr>
          <w:p w14:paraId="2355E987" w14:textId="77777777" w:rsidR="002C6574" w:rsidRDefault="00000000">
            <w:pPr>
              <w:pStyle w:val="TableParagraph"/>
              <w:spacing w:before="13" w:line="181" w:lineRule="exact"/>
              <w:ind w:right="64"/>
              <w:rPr>
                <w:rFonts w:ascii="Arial MT"/>
                <w:sz w:val="16"/>
              </w:rPr>
            </w:pPr>
            <w:r>
              <w:rPr>
                <w:rFonts w:ascii="Arial MT"/>
                <w:spacing w:val="-2"/>
                <w:sz w:val="16"/>
              </w:rPr>
              <w:t>1.697.499</w:t>
            </w:r>
          </w:p>
        </w:tc>
        <w:tc>
          <w:tcPr>
            <w:tcW w:w="1390" w:type="dxa"/>
            <w:tcBorders>
              <w:left w:val="single" w:sz="4" w:space="0" w:color="3616F6"/>
              <w:right w:val="single" w:sz="4" w:space="0" w:color="3616F6"/>
            </w:tcBorders>
          </w:tcPr>
          <w:p w14:paraId="31ECB1F1" w14:textId="77777777" w:rsidR="002C6574" w:rsidRDefault="00000000">
            <w:pPr>
              <w:pStyle w:val="TableParagraph"/>
              <w:spacing w:before="13" w:line="181" w:lineRule="exact"/>
              <w:ind w:right="63"/>
              <w:rPr>
                <w:rFonts w:ascii="Arial MT"/>
                <w:sz w:val="16"/>
              </w:rPr>
            </w:pPr>
            <w:r>
              <w:rPr>
                <w:rFonts w:ascii="Arial MT"/>
                <w:spacing w:val="-2"/>
                <w:sz w:val="16"/>
              </w:rPr>
              <w:t>1.909.708</w:t>
            </w:r>
          </w:p>
        </w:tc>
        <w:tc>
          <w:tcPr>
            <w:tcW w:w="1656" w:type="dxa"/>
            <w:tcBorders>
              <w:left w:val="single" w:sz="4" w:space="0" w:color="3616F6"/>
            </w:tcBorders>
          </w:tcPr>
          <w:p w14:paraId="6073327B" w14:textId="77777777" w:rsidR="002C6574" w:rsidRDefault="00000000">
            <w:pPr>
              <w:pStyle w:val="TableParagraph"/>
              <w:spacing w:before="13" w:line="181" w:lineRule="exact"/>
              <w:ind w:right="68"/>
              <w:rPr>
                <w:rFonts w:ascii="Arial MT"/>
                <w:sz w:val="16"/>
              </w:rPr>
            </w:pPr>
            <w:r>
              <w:rPr>
                <w:rFonts w:ascii="Arial MT"/>
                <w:spacing w:val="-2"/>
                <w:sz w:val="16"/>
              </w:rPr>
              <w:t>2.121.373</w:t>
            </w:r>
          </w:p>
        </w:tc>
      </w:tr>
      <w:tr w:rsidR="002C6574" w14:paraId="0E3A9119" w14:textId="77777777">
        <w:trPr>
          <w:trHeight w:val="212"/>
        </w:trPr>
        <w:tc>
          <w:tcPr>
            <w:tcW w:w="6054" w:type="dxa"/>
            <w:tcBorders>
              <w:bottom w:val="single" w:sz="4" w:space="0" w:color="3616F6"/>
              <w:right w:val="single" w:sz="4" w:space="0" w:color="3616F6"/>
            </w:tcBorders>
          </w:tcPr>
          <w:p w14:paraId="30B23786" w14:textId="77777777" w:rsidR="002C6574" w:rsidRDefault="00000000">
            <w:pPr>
              <w:pStyle w:val="TableParagraph"/>
              <w:spacing w:before="12" w:line="180" w:lineRule="exact"/>
              <w:ind w:left="203"/>
              <w:jc w:val="left"/>
              <w:rPr>
                <w:rFonts w:ascii="Arial MT" w:hAnsi="Arial MT"/>
                <w:sz w:val="16"/>
              </w:rPr>
            </w:pPr>
            <w:r>
              <w:rPr>
                <w:rFonts w:ascii="Arial MT" w:hAnsi="Arial MT"/>
                <w:spacing w:val="-2"/>
                <w:sz w:val="16"/>
              </w:rPr>
              <w:t>Intangível</w:t>
            </w:r>
          </w:p>
        </w:tc>
        <w:tc>
          <w:tcPr>
            <w:tcW w:w="1389" w:type="dxa"/>
            <w:tcBorders>
              <w:left w:val="single" w:sz="4" w:space="0" w:color="3616F6"/>
              <w:bottom w:val="single" w:sz="4" w:space="0" w:color="3616F6"/>
              <w:right w:val="single" w:sz="4" w:space="0" w:color="3616F6"/>
            </w:tcBorders>
            <w:shd w:val="clear" w:color="auto" w:fill="66FFFF"/>
          </w:tcPr>
          <w:p w14:paraId="4008D118" w14:textId="77777777" w:rsidR="002C6574" w:rsidRDefault="00000000">
            <w:pPr>
              <w:pStyle w:val="TableParagraph"/>
              <w:spacing w:before="12" w:line="180" w:lineRule="exact"/>
              <w:ind w:right="63"/>
              <w:rPr>
                <w:rFonts w:ascii="Arial MT"/>
                <w:sz w:val="16"/>
              </w:rPr>
            </w:pPr>
            <w:r>
              <w:rPr>
                <w:rFonts w:ascii="Arial MT"/>
                <w:spacing w:val="-2"/>
                <w:sz w:val="16"/>
              </w:rPr>
              <w:t>26.581</w:t>
            </w:r>
          </w:p>
        </w:tc>
        <w:tc>
          <w:tcPr>
            <w:tcW w:w="1390" w:type="dxa"/>
            <w:tcBorders>
              <w:left w:val="single" w:sz="4" w:space="0" w:color="3616F6"/>
              <w:bottom w:val="single" w:sz="4" w:space="0" w:color="3616F6"/>
              <w:right w:val="single" w:sz="4" w:space="0" w:color="3616F6"/>
            </w:tcBorders>
          </w:tcPr>
          <w:p w14:paraId="2D4A4F26" w14:textId="77777777" w:rsidR="002C6574" w:rsidRDefault="00000000">
            <w:pPr>
              <w:pStyle w:val="TableParagraph"/>
              <w:spacing w:before="12" w:line="180" w:lineRule="exact"/>
              <w:ind w:right="63"/>
              <w:rPr>
                <w:rFonts w:ascii="Arial MT"/>
                <w:sz w:val="16"/>
              </w:rPr>
            </w:pPr>
            <w:r>
              <w:rPr>
                <w:rFonts w:ascii="Arial MT"/>
                <w:spacing w:val="-2"/>
                <w:sz w:val="16"/>
              </w:rPr>
              <w:t>19.403</w:t>
            </w:r>
          </w:p>
        </w:tc>
        <w:tc>
          <w:tcPr>
            <w:tcW w:w="1656" w:type="dxa"/>
            <w:tcBorders>
              <w:left w:val="single" w:sz="4" w:space="0" w:color="3616F6"/>
              <w:bottom w:val="single" w:sz="4" w:space="0" w:color="3616F6"/>
            </w:tcBorders>
          </w:tcPr>
          <w:p w14:paraId="16CB3EF2" w14:textId="77777777" w:rsidR="002C6574" w:rsidRDefault="00000000">
            <w:pPr>
              <w:pStyle w:val="TableParagraph"/>
              <w:spacing w:before="12" w:line="180" w:lineRule="exact"/>
              <w:ind w:right="68"/>
              <w:rPr>
                <w:rFonts w:ascii="Arial MT"/>
                <w:sz w:val="16"/>
              </w:rPr>
            </w:pPr>
            <w:r>
              <w:rPr>
                <w:rFonts w:ascii="Arial MT"/>
                <w:spacing w:val="-2"/>
                <w:sz w:val="16"/>
              </w:rPr>
              <w:t>23.172</w:t>
            </w:r>
          </w:p>
        </w:tc>
      </w:tr>
      <w:tr w:rsidR="002C6574" w14:paraId="7CA116D8" w14:textId="77777777">
        <w:trPr>
          <w:trHeight w:val="215"/>
        </w:trPr>
        <w:tc>
          <w:tcPr>
            <w:tcW w:w="6054" w:type="dxa"/>
            <w:tcBorders>
              <w:top w:val="single" w:sz="4" w:space="0" w:color="3616F6"/>
              <w:bottom w:val="single" w:sz="4" w:space="0" w:color="3616F6"/>
              <w:right w:val="single" w:sz="4" w:space="0" w:color="3616F6"/>
            </w:tcBorders>
            <w:shd w:val="clear" w:color="auto" w:fill="0000FF"/>
          </w:tcPr>
          <w:p w14:paraId="77DD34FC" w14:textId="77777777" w:rsidR="002C6574" w:rsidRDefault="00000000">
            <w:pPr>
              <w:pStyle w:val="TableParagraph"/>
              <w:spacing w:before="15" w:line="181" w:lineRule="exact"/>
              <w:ind w:left="69"/>
              <w:jc w:val="left"/>
              <w:rPr>
                <w:rFonts w:ascii="Arial"/>
                <w:b/>
                <w:sz w:val="16"/>
              </w:rPr>
            </w:pPr>
            <w:r>
              <w:rPr>
                <w:rFonts w:ascii="Arial"/>
                <w:b/>
                <w:color w:val="FFFFFF"/>
                <w:sz w:val="16"/>
              </w:rPr>
              <w:t>Total</w:t>
            </w:r>
            <w:r>
              <w:rPr>
                <w:rFonts w:ascii="Arial"/>
                <w:b/>
                <w:color w:val="FFFFFF"/>
                <w:spacing w:val="-6"/>
                <w:sz w:val="16"/>
              </w:rPr>
              <w:t xml:space="preserve"> </w:t>
            </w:r>
            <w:r>
              <w:rPr>
                <w:rFonts w:ascii="Arial"/>
                <w:b/>
                <w:color w:val="FFFFFF"/>
                <w:spacing w:val="-2"/>
                <w:sz w:val="16"/>
              </w:rPr>
              <w:t>Passivo</w:t>
            </w:r>
          </w:p>
        </w:tc>
        <w:tc>
          <w:tcPr>
            <w:tcW w:w="1389" w:type="dxa"/>
            <w:tcBorders>
              <w:top w:val="single" w:sz="4" w:space="0" w:color="3616F6"/>
              <w:left w:val="single" w:sz="4" w:space="0" w:color="3616F6"/>
              <w:bottom w:val="single" w:sz="4" w:space="0" w:color="3616F6"/>
              <w:right w:val="single" w:sz="4" w:space="0" w:color="3616F6"/>
            </w:tcBorders>
            <w:shd w:val="clear" w:color="auto" w:fill="0000FF"/>
          </w:tcPr>
          <w:p w14:paraId="7C469DA1" w14:textId="77777777" w:rsidR="002C6574" w:rsidRDefault="00000000">
            <w:pPr>
              <w:pStyle w:val="TableParagraph"/>
              <w:spacing w:before="15" w:line="181" w:lineRule="exact"/>
              <w:ind w:right="64"/>
              <w:rPr>
                <w:rFonts w:ascii="Arial"/>
                <w:b/>
                <w:sz w:val="16"/>
              </w:rPr>
            </w:pPr>
            <w:r>
              <w:rPr>
                <w:rFonts w:ascii="Arial"/>
                <w:b/>
                <w:color w:val="FFFFFF"/>
                <w:spacing w:val="-2"/>
                <w:sz w:val="16"/>
              </w:rPr>
              <w:t>4.412.466</w:t>
            </w:r>
          </w:p>
        </w:tc>
        <w:tc>
          <w:tcPr>
            <w:tcW w:w="1390" w:type="dxa"/>
            <w:tcBorders>
              <w:top w:val="single" w:sz="4" w:space="0" w:color="3616F6"/>
              <w:left w:val="single" w:sz="4" w:space="0" w:color="3616F6"/>
              <w:bottom w:val="single" w:sz="4" w:space="0" w:color="3616F6"/>
              <w:right w:val="single" w:sz="4" w:space="0" w:color="3616F6"/>
            </w:tcBorders>
            <w:shd w:val="clear" w:color="auto" w:fill="0000FF"/>
          </w:tcPr>
          <w:p w14:paraId="3C1A33E2" w14:textId="77777777" w:rsidR="002C6574" w:rsidRDefault="00000000">
            <w:pPr>
              <w:pStyle w:val="TableParagraph"/>
              <w:spacing w:before="15" w:line="181" w:lineRule="exact"/>
              <w:ind w:right="63"/>
              <w:rPr>
                <w:rFonts w:ascii="Arial"/>
                <w:b/>
                <w:sz w:val="16"/>
              </w:rPr>
            </w:pPr>
            <w:r>
              <w:rPr>
                <w:rFonts w:ascii="Arial"/>
                <w:b/>
                <w:color w:val="FFFFFF"/>
                <w:spacing w:val="-2"/>
                <w:sz w:val="16"/>
              </w:rPr>
              <w:t>4.089.985</w:t>
            </w:r>
          </w:p>
        </w:tc>
        <w:tc>
          <w:tcPr>
            <w:tcW w:w="1656" w:type="dxa"/>
            <w:tcBorders>
              <w:top w:val="single" w:sz="4" w:space="0" w:color="3616F6"/>
              <w:left w:val="single" w:sz="4" w:space="0" w:color="3616F6"/>
              <w:bottom w:val="single" w:sz="4" w:space="0" w:color="3616F6"/>
            </w:tcBorders>
            <w:shd w:val="clear" w:color="auto" w:fill="0000FF"/>
          </w:tcPr>
          <w:p w14:paraId="54452B75" w14:textId="77777777" w:rsidR="002C6574" w:rsidRDefault="00000000">
            <w:pPr>
              <w:pStyle w:val="TableParagraph"/>
              <w:spacing w:before="15" w:line="181" w:lineRule="exact"/>
              <w:ind w:right="68"/>
              <w:rPr>
                <w:rFonts w:ascii="Arial"/>
                <w:b/>
                <w:sz w:val="16"/>
              </w:rPr>
            </w:pPr>
            <w:r>
              <w:rPr>
                <w:rFonts w:ascii="Arial"/>
                <w:b/>
                <w:color w:val="FFFFFF"/>
                <w:spacing w:val="-2"/>
                <w:sz w:val="16"/>
              </w:rPr>
              <w:t>4.003.587</w:t>
            </w:r>
          </w:p>
        </w:tc>
      </w:tr>
      <w:tr w:rsidR="002C6574" w14:paraId="6B2825E6" w14:textId="77777777">
        <w:trPr>
          <w:trHeight w:val="213"/>
        </w:trPr>
        <w:tc>
          <w:tcPr>
            <w:tcW w:w="6054" w:type="dxa"/>
            <w:tcBorders>
              <w:top w:val="single" w:sz="4" w:space="0" w:color="3616F6"/>
              <w:bottom w:val="single" w:sz="4" w:space="0" w:color="3616F6"/>
              <w:right w:val="single" w:sz="4" w:space="0" w:color="3616F6"/>
            </w:tcBorders>
          </w:tcPr>
          <w:p w14:paraId="4AF65986" w14:textId="77777777" w:rsidR="002C6574" w:rsidRDefault="00000000">
            <w:pPr>
              <w:pStyle w:val="TableParagraph"/>
              <w:spacing w:before="15" w:line="178" w:lineRule="exact"/>
              <w:ind w:left="69"/>
              <w:jc w:val="left"/>
              <w:rPr>
                <w:rFonts w:ascii="Arial"/>
                <w:b/>
                <w:sz w:val="16"/>
              </w:rPr>
            </w:pPr>
            <w:r>
              <w:rPr>
                <w:rFonts w:ascii="Arial"/>
                <w:b/>
                <w:spacing w:val="-2"/>
                <w:sz w:val="16"/>
              </w:rPr>
              <w:t>Circulante</w:t>
            </w:r>
          </w:p>
        </w:tc>
        <w:tc>
          <w:tcPr>
            <w:tcW w:w="1389" w:type="dxa"/>
            <w:tcBorders>
              <w:top w:val="single" w:sz="4" w:space="0" w:color="3616F6"/>
              <w:left w:val="single" w:sz="4" w:space="0" w:color="3616F6"/>
              <w:bottom w:val="single" w:sz="4" w:space="0" w:color="3616F6"/>
              <w:right w:val="single" w:sz="4" w:space="0" w:color="3616F6"/>
            </w:tcBorders>
            <w:shd w:val="clear" w:color="auto" w:fill="66FFFF"/>
          </w:tcPr>
          <w:p w14:paraId="67D549A9" w14:textId="77777777" w:rsidR="002C6574" w:rsidRDefault="00000000">
            <w:pPr>
              <w:pStyle w:val="TableParagraph"/>
              <w:spacing w:before="15" w:line="178" w:lineRule="exact"/>
              <w:ind w:right="63"/>
              <w:rPr>
                <w:rFonts w:ascii="Arial"/>
                <w:b/>
                <w:sz w:val="16"/>
              </w:rPr>
            </w:pPr>
            <w:r>
              <w:rPr>
                <w:rFonts w:ascii="Arial"/>
                <w:b/>
                <w:spacing w:val="-2"/>
                <w:sz w:val="16"/>
              </w:rPr>
              <w:t>367.137</w:t>
            </w:r>
          </w:p>
        </w:tc>
        <w:tc>
          <w:tcPr>
            <w:tcW w:w="1390" w:type="dxa"/>
            <w:tcBorders>
              <w:top w:val="single" w:sz="4" w:space="0" w:color="3616F6"/>
              <w:left w:val="single" w:sz="4" w:space="0" w:color="3616F6"/>
              <w:bottom w:val="single" w:sz="4" w:space="0" w:color="3616F6"/>
              <w:right w:val="single" w:sz="4" w:space="0" w:color="3616F6"/>
            </w:tcBorders>
          </w:tcPr>
          <w:p w14:paraId="7C77CC61" w14:textId="77777777" w:rsidR="002C6574" w:rsidRDefault="00000000">
            <w:pPr>
              <w:pStyle w:val="TableParagraph"/>
              <w:spacing w:before="15" w:line="178" w:lineRule="exact"/>
              <w:ind w:right="63"/>
              <w:rPr>
                <w:rFonts w:ascii="Arial"/>
                <w:b/>
                <w:sz w:val="16"/>
              </w:rPr>
            </w:pPr>
            <w:r>
              <w:rPr>
                <w:rFonts w:ascii="Arial"/>
                <w:b/>
                <w:spacing w:val="-2"/>
                <w:sz w:val="16"/>
              </w:rPr>
              <w:t>314.577</w:t>
            </w:r>
          </w:p>
        </w:tc>
        <w:tc>
          <w:tcPr>
            <w:tcW w:w="1656" w:type="dxa"/>
            <w:tcBorders>
              <w:top w:val="single" w:sz="4" w:space="0" w:color="3616F6"/>
              <w:left w:val="single" w:sz="4" w:space="0" w:color="3616F6"/>
              <w:bottom w:val="single" w:sz="4" w:space="0" w:color="3616F6"/>
            </w:tcBorders>
          </w:tcPr>
          <w:p w14:paraId="1AE8AC56" w14:textId="77777777" w:rsidR="002C6574" w:rsidRDefault="00000000">
            <w:pPr>
              <w:pStyle w:val="TableParagraph"/>
              <w:spacing w:before="15" w:line="178" w:lineRule="exact"/>
              <w:ind w:right="68"/>
              <w:rPr>
                <w:rFonts w:ascii="Arial"/>
                <w:b/>
                <w:sz w:val="16"/>
              </w:rPr>
            </w:pPr>
            <w:r>
              <w:rPr>
                <w:rFonts w:ascii="Arial"/>
                <w:b/>
                <w:spacing w:val="-2"/>
                <w:sz w:val="16"/>
              </w:rPr>
              <w:t>280.660</w:t>
            </w:r>
          </w:p>
        </w:tc>
      </w:tr>
      <w:tr w:rsidR="002C6574" w14:paraId="4B665BB1" w14:textId="77777777">
        <w:trPr>
          <w:trHeight w:val="218"/>
        </w:trPr>
        <w:tc>
          <w:tcPr>
            <w:tcW w:w="6054" w:type="dxa"/>
            <w:tcBorders>
              <w:top w:val="single" w:sz="4" w:space="0" w:color="3616F6"/>
              <w:right w:val="single" w:sz="4" w:space="0" w:color="3616F6"/>
            </w:tcBorders>
          </w:tcPr>
          <w:p w14:paraId="7E42CD68" w14:textId="77777777" w:rsidR="002C6574" w:rsidRDefault="00000000">
            <w:pPr>
              <w:pStyle w:val="TableParagraph"/>
              <w:spacing w:before="17" w:line="181" w:lineRule="exact"/>
              <w:ind w:left="249"/>
              <w:jc w:val="left"/>
              <w:rPr>
                <w:rFonts w:ascii="Arial MT" w:hAnsi="Arial MT"/>
                <w:sz w:val="16"/>
              </w:rPr>
            </w:pPr>
            <w:r>
              <w:rPr>
                <w:rFonts w:ascii="Arial MT" w:hAnsi="Arial MT"/>
                <w:sz w:val="16"/>
              </w:rPr>
              <w:t>Pessoal,</w:t>
            </w:r>
            <w:r>
              <w:rPr>
                <w:rFonts w:ascii="Arial MT" w:hAnsi="Arial MT"/>
                <w:spacing w:val="-8"/>
                <w:sz w:val="16"/>
              </w:rPr>
              <w:t xml:space="preserve"> </w:t>
            </w:r>
            <w:r>
              <w:rPr>
                <w:rFonts w:ascii="Arial MT" w:hAnsi="Arial MT"/>
                <w:sz w:val="16"/>
              </w:rPr>
              <w:t>Encargos</w:t>
            </w:r>
            <w:r>
              <w:rPr>
                <w:rFonts w:ascii="Arial MT" w:hAnsi="Arial MT"/>
                <w:spacing w:val="-6"/>
                <w:sz w:val="16"/>
              </w:rPr>
              <w:t xml:space="preserve"> </w:t>
            </w:r>
            <w:r>
              <w:rPr>
                <w:rFonts w:ascii="Arial MT" w:hAnsi="Arial MT"/>
                <w:sz w:val="16"/>
              </w:rPr>
              <w:t>e</w:t>
            </w:r>
            <w:r>
              <w:rPr>
                <w:rFonts w:ascii="Arial MT" w:hAnsi="Arial MT"/>
                <w:spacing w:val="-10"/>
                <w:sz w:val="16"/>
              </w:rPr>
              <w:t xml:space="preserve"> </w:t>
            </w:r>
            <w:r>
              <w:rPr>
                <w:rFonts w:ascii="Arial MT" w:hAnsi="Arial MT"/>
                <w:sz w:val="16"/>
              </w:rPr>
              <w:t>Benefícios</w:t>
            </w:r>
            <w:r>
              <w:rPr>
                <w:rFonts w:ascii="Arial MT" w:hAnsi="Arial MT"/>
                <w:spacing w:val="-7"/>
                <w:sz w:val="16"/>
              </w:rPr>
              <w:t xml:space="preserve"> </w:t>
            </w:r>
            <w:r>
              <w:rPr>
                <w:rFonts w:ascii="Arial MT" w:hAnsi="Arial MT"/>
                <w:spacing w:val="-2"/>
                <w:sz w:val="16"/>
              </w:rPr>
              <w:t>Sociais</w:t>
            </w:r>
          </w:p>
        </w:tc>
        <w:tc>
          <w:tcPr>
            <w:tcW w:w="1389" w:type="dxa"/>
            <w:tcBorders>
              <w:top w:val="single" w:sz="4" w:space="0" w:color="3616F6"/>
              <w:left w:val="single" w:sz="4" w:space="0" w:color="3616F6"/>
              <w:right w:val="single" w:sz="4" w:space="0" w:color="3616F6"/>
            </w:tcBorders>
            <w:shd w:val="clear" w:color="auto" w:fill="66FFFF"/>
          </w:tcPr>
          <w:p w14:paraId="63CEFB80" w14:textId="77777777" w:rsidR="002C6574" w:rsidRDefault="00000000">
            <w:pPr>
              <w:pStyle w:val="TableParagraph"/>
              <w:spacing w:before="17" w:line="181" w:lineRule="exact"/>
              <w:ind w:right="63"/>
              <w:rPr>
                <w:rFonts w:ascii="Arial MT"/>
                <w:sz w:val="16"/>
              </w:rPr>
            </w:pPr>
            <w:r>
              <w:rPr>
                <w:rFonts w:ascii="Arial MT"/>
                <w:spacing w:val="-2"/>
                <w:sz w:val="16"/>
              </w:rPr>
              <w:t>21.583</w:t>
            </w:r>
          </w:p>
        </w:tc>
        <w:tc>
          <w:tcPr>
            <w:tcW w:w="1390" w:type="dxa"/>
            <w:tcBorders>
              <w:top w:val="single" w:sz="4" w:space="0" w:color="3616F6"/>
              <w:left w:val="single" w:sz="4" w:space="0" w:color="3616F6"/>
              <w:right w:val="single" w:sz="4" w:space="0" w:color="3616F6"/>
            </w:tcBorders>
          </w:tcPr>
          <w:p w14:paraId="16934CEC" w14:textId="77777777" w:rsidR="002C6574" w:rsidRDefault="00000000">
            <w:pPr>
              <w:pStyle w:val="TableParagraph"/>
              <w:spacing w:before="17" w:line="181" w:lineRule="exact"/>
              <w:ind w:right="63"/>
              <w:rPr>
                <w:rFonts w:ascii="Arial MT"/>
                <w:sz w:val="16"/>
              </w:rPr>
            </w:pPr>
            <w:r>
              <w:rPr>
                <w:rFonts w:ascii="Arial MT"/>
                <w:spacing w:val="-2"/>
                <w:sz w:val="16"/>
              </w:rPr>
              <w:t>13.331</w:t>
            </w:r>
          </w:p>
        </w:tc>
        <w:tc>
          <w:tcPr>
            <w:tcW w:w="1656" w:type="dxa"/>
            <w:tcBorders>
              <w:top w:val="single" w:sz="4" w:space="0" w:color="3616F6"/>
              <w:left w:val="single" w:sz="4" w:space="0" w:color="3616F6"/>
            </w:tcBorders>
          </w:tcPr>
          <w:p w14:paraId="2BFAB108" w14:textId="77777777" w:rsidR="002C6574" w:rsidRDefault="00000000">
            <w:pPr>
              <w:pStyle w:val="TableParagraph"/>
              <w:spacing w:before="17" w:line="181" w:lineRule="exact"/>
              <w:ind w:right="68"/>
              <w:rPr>
                <w:rFonts w:ascii="Arial MT"/>
                <w:sz w:val="16"/>
              </w:rPr>
            </w:pPr>
            <w:r>
              <w:rPr>
                <w:rFonts w:ascii="Arial MT"/>
                <w:spacing w:val="-2"/>
                <w:sz w:val="16"/>
              </w:rPr>
              <w:t>13.114</w:t>
            </w:r>
          </w:p>
        </w:tc>
      </w:tr>
      <w:tr w:rsidR="002C6574" w14:paraId="2E3FDA24" w14:textId="77777777">
        <w:trPr>
          <w:trHeight w:val="214"/>
        </w:trPr>
        <w:tc>
          <w:tcPr>
            <w:tcW w:w="6054" w:type="dxa"/>
            <w:tcBorders>
              <w:right w:val="single" w:sz="4" w:space="0" w:color="3616F6"/>
            </w:tcBorders>
          </w:tcPr>
          <w:p w14:paraId="30D882B3" w14:textId="77777777" w:rsidR="002C6574" w:rsidRDefault="00000000">
            <w:pPr>
              <w:pStyle w:val="TableParagraph"/>
              <w:spacing w:before="12" w:line="182" w:lineRule="exact"/>
              <w:ind w:left="249"/>
              <w:jc w:val="left"/>
              <w:rPr>
                <w:rFonts w:ascii="Arial MT"/>
                <w:sz w:val="16"/>
              </w:rPr>
            </w:pPr>
            <w:r>
              <w:rPr>
                <w:rFonts w:ascii="Arial MT"/>
                <w:spacing w:val="-2"/>
                <w:sz w:val="16"/>
              </w:rPr>
              <w:t>Fornecedores</w:t>
            </w:r>
          </w:p>
        </w:tc>
        <w:tc>
          <w:tcPr>
            <w:tcW w:w="1389" w:type="dxa"/>
            <w:tcBorders>
              <w:left w:val="single" w:sz="4" w:space="0" w:color="3616F6"/>
              <w:right w:val="single" w:sz="4" w:space="0" w:color="3616F6"/>
            </w:tcBorders>
            <w:shd w:val="clear" w:color="auto" w:fill="66FFFF"/>
          </w:tcPr>
          <w:p w14:paraId="7D1AC7FE" w14:textId="77777777" w:rsidR="002C6574" w:rsidRDefault="00000000">
            <w:pPr>
              <w:pStyle w:val="TableParagraph"/>
              <w:spacing w:before="12" w:line="182" w:lineRule="exact"/>
              <w:ind w:right="63"/>
              <w:rPr>
                <w:rFonts w:ascii="Arial MT"/>
                <w:sz w:val="16"/>
              </w:rPr>
            </w:pPr>
            <w:r>
              <w:rPr>
                <w:rFonts w:ascii="Arial MT"/>
                <w:spacing w:val="-2"/>
                <w:sz w:val="16"/>
              </w:rPr>
              <w:t>151.794</w:t>
            </w:r>
          </w:p>
        </w:tc>
        <w:tc>
          <w:tcPr>
            <w:tcW w:w="1390" w:type="dxa"/>
            <w:tcBorders>
              <w:left w:val="single" w:sz="4" w:space="0" w:color="3616F6"/>
              <w:right w:val="single" w:sz="4" w:space="0" w:color="3616F6"/>
            </w:tcBorders>
          </w:tcPr>
          <w:p w14:paraId="0777599B" w14:textId="77777777" w:rsidR="002C6574" w:rsidRDefault="00000000">
            <w:pPr>
              <w:pStyle w:val="TableParagraph"/>
              <w:spacing w:before="12" w:line="182" w:lineRule="exact"/>
              <w:ind w:right="63"/>
              <w:rPr>
                <w:rFonts w:ascii="Arial MT"/>
                <w:sz w:val="16"/>
              </w:rPr>
            </w:pPr>
            <w:r>
              <w:rPr>
                <w:rFonts w:ascii="Arial MT"/>
                <w:spacing w:val="-2"/>
                <w:sz w:val="16"/>
              </w:rPr>
              <w:t>144.636</w:t>
            </w:r>
          </w:p>
        </w:tc>
        <w:tc>
          <w:tcPr>
            <w:tcW w:w="1656" w:type="dxa"/>
            <w:tcBorders>
              <w:left w:val="single" w:sz="4" w:space="0" w:color="3616F6"/>
            </w:tcBorders>
          </w:tcPr>
          <w:p w14:paraId="08B54C61" w14:textId="77777777" w:rsidR="002C6574" w:rsidRDefault="00000000">
            <w:pPr>
              <w:pStyle w:val="TableParagraph"/>
              <w:spacing w:before="12" w:line="182" w:lineRule="exact"/>
              <w:ind w:right="68"/>
              <w:rPr>
                <w:rFonts w:ascii="Arial MT"/>
                <w:sz w:val="16"/>
              </w:rPr>
            </w:pPr>
            <w:r>
              <w:rPr>
                <w:rFonts w:ascii="Arial MT"/>
                <w:spacing w:val="-2"/>
                <w:sz w:val="16"/>
              </w:rPr>
              <w:t>122.719</w:t>
            </w:r>
          </w:p>
        </w:tc>
      </w:tr>
      <w:tr w:rsidR="002C6574" w14:paraId="3496F1A5" w14:textId="77777777">
        <w:trPr>
          <w:trHeight w:val="214"/>
        </w:trPr>
        <w:tc>
          <w:tcPr>
            <w:tcW w:w="6054" w:type="dxa"/>
            <w:tcBorders>
              <w:right w:val="single" w:sz="4" w:space="0" w:color="3616F6"/>
            </w:tcBorders>
          </w:tcPr>
          <w:p w14:paraId="62A053B1" w14:textId="77777777" w:rsidR="002C6574" w:rsidRDefault="00000000">
            <w:pPr>
              <w:pStyle w:val="TableParagraph"/>
              <w:spacing w:before="13" w:line="181" w:lineRule="exact"/>
              <w:ind w:left="249"/>
              <w:jc w:val="left"/>
              <w:rPr>
                <w:rFonts w:ascii="Arial MT"/>
                <w:sz w:val="16"/>
              </w:rPr>
            </w:pPr>
            <w:r>
              <w:rPr>
                <w:rFonts w:ascii="Arial MT"/>
                <w:sz w:val="16"/>
              </w:rPr>
              <w:t>Tributos</w:t>
            </w:r>
            <w:r>
              <w:rPr>
                <w:rFonts w:ascii="Arial MT"/>
                <w:spacing w:val="-9"/>
                <w:sz w:val="16"/>
              </w:rPr>
              <w:t xml:space="preserve"> </w:t>
            </w:r>
            <w:r>
              <w:rPr>
                <w:rFonts w:ascii="Arial MT"/>
                <w:spacing w:val="-2"/>
                <w:sz w:val="16"/>
              </w:rPr>
              <w:t>Diretos</w:t>
            </w:r>
          </w:p>
        </w:tc>
        <w:tc>
          <w:tcPr>
            <w:tcW w:w="1389" w:type="dxa"/>
            <w:tcBorders>
              <w:left w:val="single" w:sz="4" w:space="0" w:color="3616F6"/>
              <w:right w:val="single" w:sz="4" w:space="0" w:color="3616F6"/>
            </w:tcBorders>
            <w:shd w:val="clear" w:color="auto" w:fill="66FFFF"/>
          </w:tcPr>
          <w:p w14:paraId="3BB7AB7B" w14:textId="77777777" w:rsidR="002C6574" w:rsidRDefault="00000000">
            <w:pPr>
              <w:pStyle w:val="TableParagraph"/>
              <w:spacing w:before="13" w:line="181" w:lineRule="exact"/>
              <w:ind w:right="63"/>
              <w:rPr>
                <w:rFonts w:ascii="Arial MT"/>
                <w:sz w:val="16"/>
              </w:rPr>
            </w:pPr>
            <w:r>
              <w:rPr>
                <w:rFonts w:ascii="Arial MT"/>
                <w:spacing w:val="-2"/>
                <w:sz w:val="16"/>
              </w:rPr>
              <w:t>41.932</w:t>
            </w:r>
          </w:p>
        </w:tc>
        <w:tc>
          <w:tcPr>
            <w:tcW w:w="1390" w:type="dxa"/>
            <w:tcBorders>
              <w:left w:val="single" w:sz="4" w:space="0" w:color="3616F6"/>
              <w:right w:val="single" w:sz="4" w:space="0" w:color="3616F6"/>
            </w:tcBorders>
          </w:tcPr>
          <w:p w14:paraId="103A6308" w14:textId="77777777" w:rsidR="002C6574" w:rsidRDefault="00000000">
            <w:pPr>
              <w:pStyle w:val="TableParagraph"/>
              <w:spacing w:before="13" w:line="181" w:lineRule="exact"/>
              <w:ind w:right="63"/>
              <w:rPr>
                <w:rFonts w:ascii="Arial MT"/>
                <w:sz w:val="16"/>
              </w:rPr>
            </w:pPr>
            <w:r>
              <w:rPr>
                <w:rFonts w:ascii="Arial MT"/>
                <w:spacing w:val="-10"/>
                <w:sz w:val="16"/>
              </w:rPr>
              <w:t>-</w:t>
            </w:r>
          </w:p>
        </w:tc>
        <w:tc>
          <w:tcPr>
            <w:tcW w:w="1656" w:type="dxa"/>
            <w:tcBorders>
              <w:left w:val="single" w:sz="4" w:space="0" w:color="3616F6"/>
            </w:tcBorders>
          </w:tcPr>
          <w:p w14:paraId="2AF5D91D" w14:textId="77777777" w:rsidR="002C6574" w:rsidRDefault="00000000">
            <w:pPr>
              <w:pStyle w:val="TableParagraph"/>
              <w:spacing w:before="13" w:line="181" w:lineRule="exact"/>
              <w:ind w:right="68"/>
              <w:rPr>
                <w:rFonts w:ascii="Arial MT"/>
                <w:sz w:val="16"/>
              </w:rPr>
            </w:pPr>
            <w:r>
              <w:rPr>
                <w:rFonts w:ascii="Arial MT"/>
                <w:spacing w:val="-10"/>
                <w:sz w:val="16"/>
              </w:rPr>
              <w:t>-</w:t>
            </w:r>
          </w:p>
        </w:tc>
      </w:tr>
      <w:tr w:rsidR="002C6574" w14:paraId="56007E03" w14:textId="77777777">
        <w:trPr>
          <w:trHeight w:val="214"/>
        </w:trPr>
        <w:tc>
          <w:tcPr>
            <w:tcW w:w="6054" w:type="dxa"/>
            <w:tcBorders>
              <w:right w:val="single" w:sz="4" w:space="0" w:color="3616F6"/>
            </w:tcBorders>
          </w:tcPr>
          <w:p w14:paraId="1DC1250E" w14:textId="77777777" w:rsidR="002C6574" w:rsidRDefault="00000000">
            <w:pPr>
              <w:pStyle w:val="TableParagraph"/>
              <w:spacing w:before="12" w:line="182" w:lineRule="exact"/>
              <w:ind w:left="249"/>
              <w:jc w:val="left"/>
              <w:rPr>
                <w:rFonts w:ascii="Arial MT"/>
                <w:sz w:val="16"/>
              </w:rPr>
            </w:pPr>
            <w:r>
              <w:rPr>
                <w:rFonts w:ascii="Arial MT"/>
                <w:sz w:val="16"/>
              </w:rPr>
              <w:t>Tributos</w:t>
            </w:r>
            <w:r>
              <w:rPr>
                <w:rFonts w:ascii="Arial MT"/>
                <w:spacing w:val="-11"/>
                <w:sz w:val="16"/>
              </w:rPr>
              <w:t xml:space="preserve"> </w:t>
            </w:r>
            <w:r>
              <w:rPr>
                <w:rFonts w:ascii="Arial MT"/>
                <w:spacing w:val="-2"/>
                <w:sz w:val="16"/>
              </w:rPr>
              <w:t>Indiretos</w:t>
            </w:r>
          </w:p>
        </w:tc>
        <w:tc>
          <w:tcPr>
            <w:tcW w:w="1389" w:type="dxa"/>
            <w:tcBorders>
              <w:left w:val="single" w:sz="4" w:space="0" w:color="3616F6"/>
              <w:right w:val="single" w:sz="4" w:space="0" w:color="3616F6"/>
            </w:tcBorders>
            <w:shd w:val="clear" w:color="auto" w:fill="66FFFF"/>
          </w:tcPr>
          <w:p w14:paraId="15B742F6" w14:textId="77777777" w:rsidR="002C6574" w:rsidRDefault="00000000">
            <w:pPr>
              <w:pStyle w:val="TableParagraph"/>
              <w:spacing w:before="12" w:line="182" w:lineRule="exact"/>
              <w:ind w:right="63"/>
              <w:rPr>
                <w:rFonts w:ascii="Arial MT"/>
                <w:sz w:val="16"/>
              </w:rPr>
            </w:pPr>
            <w:r>
              <w:rPr>
                <w:rFonts w:ascii="Arial MT"/>
                <w:spacing w:val="-2"/>
                <w:sz w:val="16"/>
              </w:rPr>
              <w:t>16.844</w:t>
            </w:r>
          </w:p>
        </w:tc>
        <w:tc>
          <w:tcPr>
            <w:tcW w:w="1390" w:type="dxa"/>
            <w:tcBorders>
              <w:left w:val="single" w:sz="4" w:space="0" w:color="3616F6"/>
              <w:right w:val="single" w:sz="4" w:space="0" w:color="3616F6"/>
            </w:tcBorders>
          </w:tcPr>
          <w:p w14:paraId="329085AD" w14:textId="77777777" w:rsidR="002C6574" w:rsidRDefault="00000000">
            <w:pPr>
              <w:pStyle w:val="TableParagraph"/>
              <w:spacing w:before="12" w:line="182" w:lineRule="exact"/>
              <w:ind w:right="63"/>
              <w:rPr>
                <w:rFonts w:ascii="Arial MT"/>
                <w:sz w:val="16"/>
              </w:rPr>
            </w:pPr>
            <w:r>
              <w:rPr>
                <w:rFonts w:ascii="Arial MT"/>
                <w:spacing w:val="-2"/>
                <w:sz w:val="16"/>
              </w:rPr>
              <w:t>23.499</w:t>
            </w:r>
          </w:p>
        </w:tc>
        <w:tc>
          <w:tcPr>
            <w:tcW w:w="1656" w:type="dxa"/>
            <w:tcBorders>
              <w:left w:val="single" w:sz="4" w:space="0" w:color="3616F6"/>
            </w:tcBorders>
          </w:tcPr>
          <w:p w14:paraId="6D64FB10" w14:textId="77777777" w:rsidR="002C6574" w:rsidRDefault="00000000">
            <w:pPr>
              <w:pStyle w:val="TableParagraph"/>
              <w:spacing w:before="12" w:line="182" w:lineRule="exact"/>
              <w:ind w:right="68"/>
              <w:rPr>
                <w:rFonts w:ascii="Arial MT"/>
                <w:sz w:val="16"/>
              </w:rPr>
            </w:pPr>
            <w:r>
              <w:rPr>
                <w:rFonts w:ascii="Arial MT"/>
                <w:spacing w:val="-2"/>
                <w:sz w:val="16"/>
              </w:rPr>
              <w:t>3.466</w:t>
            </w:r>
          </w:p>
        </w:tc>
      </w:tr>
      <w:tr w:rsidR="002C6574" w14:paraId="3FF77136" w14:textId="77777777">
        <w:trPr>
          <w:trHeight w:val="215"/>
        </w:trPr>
        <w:tc>
          <w:tcPr>
            <w:tcW w:w="6054" w:type="dxa"/>
            <w:tcBorders>
              <w:right w:val="single" w:sz="4" w:space="0" w:color="3616F6"/>
            </w:tcBorders>
          </w:tcPr>
          <w:p w14:paraId="6BEF13D3" w14:textId="77777777" w:rsidR="002C6574" w:rsidRDefault="00000000">
            <w:pPr>
              <w:pStyle w:val="TableParagraph"/>
              <w:spacing w:before="13" w:line="182" w:lineRule="exact"/>
              <w:ind w:left="249"/>
              <w:jc w:val="left"/>
              <w:rPr>
                <w:rFonts w:ascii="Arial MT"/>
                <w:sz w:val="16"/>
              </w:rPr>
            </w:pPr>
            <w:r>
              <w:rPr>
                <w:rFonts w:ascii="Arial MT"/>
                <w:sz w:val="16"/>
              </w:rPr>
              <w:t>Receitas</w:t>
            </w:r>
            <w:r>
              <w:rPr>
                <w:rFonts w:ascii="Arial MT"/>
                <w:spacing w:val="-10"/>
                <w:sz w:val="16"/>
              </w:rPr>
              <w:t xml:space="preserve"> </w:t>
            </w:r>
            <w:r>
              <w:rPr>
                <w:rFonts w:ascii="Arial MT"/>
                <w:spacing w:val="-2"/>
                <w:sz w:val="16"/>
              </w:rPr>
              <w:t>Diferidas</w:t>
            </w:r>
          </w:p>
        </w:tc>
        <w:tc>
          <w:tcPr>
            <w:tcW w:w="1389" w:type="dxa"/>
            <w:tcBorders>
              <w:left w:val="single" w:sz="4" w:space="0" w:color="3616F6"/>
              <w:right w:val="single" w:sz="4" w:space="0" w:color="3616F6"/>
            </w:tcBorders>
            <w:shd w:val="clear" w:color="auto" w:fill="66FFFF"/>
          </w:tcPr>
          <w:p w14:paraId="4DD88495" w14:textId="77777777" w:rsidR="002C6574" w:rsidRDefault="00000000">
            <w:pPr>
              <w:pStyle w:val="TableParagraph"/>
              <w:spacing w:before="13" w:line="182" w:lineRule="exact"/>
              <w:ind w:right="63"/>
              <w:rPr>
                <w:rFonts w:ascii="Arial MT"/>
                <w:sz w:val="16"/>
              </w:rPr>
            </w:pPr>
            <w:r>
              <w:rPr>
                <w:rFonts w:ascii="Arial MT"/>
                <w:spacing w:val="-2"/>
                <w:sz w:val="16"/>
              </w:rPr>
              <w:t>44.406</w:t>
            </w:r>
          </w:p>
        </w:tc>
        <w:tc>
          <w:tcPr>
            <w:tcW w:w="1390" w:type="dxa"/>
            <w:tcBorders>
              <w:left w:val="single" w:sz="4" w:space="0" w:color="3616F6"/>
              <w:right w:val="single" w:sz="4" w:space="0" w:color="3616F6"/>
            </w:tcBorders>
          </w:tcPr>
          <w:p w14:paraId="06631695" w14:textId="77777777" w:rsidR="002C6574" w:rsidRDefault="00000000">
            <w:pPr>
              <w:pStyle w:val="TableParagraph"/>
              <w:spacing w:before="13" w:line="182" w:lineRule="exact"/>
              <w:ind w:right="63"/>
              <w:rPr>
                <w:rFonts w:ascii="Arial MT"/>
                <w:sz w:val="16"/>
              </w:rPr>
            </w:pPr>
            <w:r>
              <w:rPr>
                <w:rFonts w:ascii="Arial MT"/>
                <w:spacing w:val="-2"/>
                <w:sz w:val="16"/>
              </w:rPr>
              <w:t>44.406</w:t>
            </w:r>
          </w:p>
        </w:tc>
        <w:tc>
          <w:tcPr>
            <w:tcW w:w="1656" w:type="dxa"/>
            <w:tcBorders>
              <w:left w:val="single" w:sz="4" w:space="0" w:color="3616F6"/>
            </w:tcBorders>
          </w:tcPr>
          <w:p w14:paraId="22660C6D" w14:textId="77777777" w:rsidR="002C6574" w:rsidRDefault="00000000">
            <w:pPr>
              <w:pStyle w:val="TableParagraph"/>
              <w:spacing w:before="13" w:line="182" w:lineRule="exact"/>
              <w:ind w:right="68"/>
              <w:rPr>
                <w:rFonts w:ascii="Arial MT"/>
                <w:sz w:val="16"/>
              </w:rPr>
            </w:pPr>
            <w:r>
              <w:rPr>
                <w:rFonts w:ascii="Arial MT"/>
                <w:spacing w:val="-2"/>
                <w:sz w:val="16"/>
              </w:rPr>
              <w:t>62.812</w:t>
            </w:r>
          </w:p>
        </w:tc>
      </w:tr>
      <w:tr w:rsidR="002C6574" w14:paraId="1A3ED271" w14:textId="77777777">
        <w:trPr>
          <w:trHeight w:val="214"/>
        </w:trPr>
        <w:tc>
          <w:tcPr>
            <w:tcW w:w="6054" w:type="dxa"/>
            <w:tcBorders>
              <w:right w:val="single" w:sz="4" w:space="0" w:color="3616F6"/>
            </w:tcBorders>
          </w:tcPr>
          <w:p w14:paraId="12BF06A0" w14:textId="77777777" w:rsidR="002C6574" w:rsidRDefault="00000000">
            <w:pPr>
              <w:pStyle w:val="TableParagraph"/>
              <w:spacing w:before="13" w:line="181" w:lineRule="exact"/>
              <w:ind w:left="249"/>
              <w:jc w:val="left"/>
              <w:rPr>
                <w:rFonts w:ascii="Arial MT" w:hAnsi="Arial MT"/>
                <w:sz w:val="16"/>
              </w:rPr>
            </w:pPr>
            <w:r>
              <w:rPr>
                <w:rFonts w:ascii="Arial MT" w:hAnsi="Arial MT"/>
                <w:sz w:val="16"/>
              </w:rPr>
              <w:t>Empréstimos</w:t>
            </w:r>
            <w:r>
              <w:rPr>
                <w:rFonts w:ascii="Arial MT" w:hAnsi="Arial MT"/>
                <w:spacing w:val="-4"/>
                <w:sz w:val="16"/>
              </w:rPr>
              <w:t xml:space="preserve"> </w:t>
            </w:r>
            <w:r>
              <w:rPr>
                <w:rFonts w:ascii="Arial MT" w:hAnsi="Arial MT"/>
                <w:sz w:val="16"/>
              </w:rPr>
              <w:t>e</w:t>
            </w:r>
            <w:r>
              <w:rPr>
                <w:rFonts w:ascii="Arial MT" w:hAnsi="Arial MT"/>
                <w:spacing w:val="-7"/>
                <w:sz w:val="16"/>
              </w:rPr>
              <w:t xml:space="preserve"> </w:t>
            </w:r>
            <w:r>
              <w:rPr>
                <w:rFonts w:ascii="Arial MT" w:hAnsi="Arial MT"/>
                <w:spacing w:val="-2"/>
                <w:sz w:val="16"/>
              </w:rPr>
              <w:t>Financiamentos</w:t>
            </w:r>
          </w:p>
        </w:tc>
        <w:tc>
          <w:tcPr>
            <w:tcW w:w="1389" w:type="dxa"/>
            <w:tcBorders>
              <w:left w:val="single" w:sz="4" w:space="0" w:color="3616F6"/>
              <w:right w:val="single" w:sz="4" w:space="0" w:color="3616F6"/>
            </w:tcBorders>
            <w:shd w:val="clear" w:color="auto" w:fill="66FFFF"/>
          </w:tcPr>
          <w:p w14:paraId="456DF214" w14:textId="77777777" w:rsidR="002C6574" w:rsidRDefault="00000000">
            <w:pPr>
              <w:pStyle w:val="TableParagraph"/>
              <w:spacing w:before="13" w:line="181" w:lineRule="exact"/>
              <w:ind w:right="63"/>
              <w:rPr>
                <w:rFonts w:ascii="Arial MT"/>
                <w:sz w:val="16"/>
              </w:rPr>
            </w:pPr>
            <w:r>
              <w:rPr>
                <w:rFonts w:ascii="Arial MT"/>
                <w:spacing w:val="-2"/>
                <w:sz w:val="16"/>
              </w:rPr>
              <w:t>5.093</w:t>
            </w:r>
          </w:p>
        </w:tc>
        <w:tc>
          <w:tcPr>
            <w:tcW w:w="1390" w:type="dxa"/>
            <w:tcBorders>
              <w:left w:val="single" w:sz="4" w:space="0" w:color="3616F6"/>
              <w:right w:val="single" w:sz="4" w:space="0" w:color="3616F6"/>
            </w:tcBorders>
          </w:tcPr>
          <w:p w14:paraId="25ECCDD2" w14:textId="77777777" w:rsidR="002C6574" w:rsidRDefault="00000000">
            <w:pPr>
              <w:pStyle w:val="TableParagraph"/>
              <w:spacing w:before="13" w:line="181" w:lineRule="exact"/>
              <w:ind w:right="63"/>
              <w:rPr>
                <w:rFonts w:ascii="Arial MT"/>
                <w:sz w:val="16"/>
              </w:rPr>
            </w:pPr>
            <w:r>
              <w:rPr>
                <w:rFonts w:ascii="Arial MT"/>
                <w:spacing w:val="-2"/>
                <w:sz w:val="16"/>
              </w:rPr>
              <w:t>51.584</w:t>
            </w:r>
          </w:p>
        </w:tc>
        <w:tc>
          <w:tcPr>
            <w:tcW w:w="1656" w:type="dxa"/>
            <w:tcBorders>
              <w:left w:val="single" w:sz="4" w:space="0" w:color="3616F6"/>
            </w:tcBorders>
          </w:tcPr>
          <w:p w14:paraId="08A0C1FE" w14:textId="77777777" w:rsidR="002C6574" w:rsidRDefault="00000000">
            <w:pPr>
              <w:pStyle w:val="TableParagraph"/>
              <w:spacing w:before="13" w:line="181" w:lineRule="exact"/>
              <w:ind w:right="68"/>
              <w:rPr>
                <w:rFonts w:ascii="Arial MT"/>
                <w:sz w:val="16"/>
              </w:rPr>
            </w:pPr>
            <w:r>
              <w:rPr>
                <w:rFonts w:ascii="Arial MT"/>
                <w:spacing w:val="-2"/>
                <w:sz w:val="16"/>
              </w:rPr>
              <w:t>51.034</w:t>
            </w:r>
          </w:p>
        </w:tc>
      </w:tr>
      <w:tr w:rsidR="002C6574" w14:paraId="315FEF68" w14:textId="77777777">
        <w:trPr>
          <w:trHeight w:val="214"/>
        </w:trPr>
        <w:tc>
          <w:tcPr>
            <w:tcW w:w="6054" w:type="dxa"/>
            <w:tcBorders>
              <w:right w:val="single" w:sz="4" w:space="0" w:color="3616F6"/>
            </w:tcBorders>
          </w:tcPr>
          <w:p w14:paraId="771BF01F" w14:textId="77777777" w:rsidR="002C6574" w:rsidRDefault="00000000">
            <w:pPr>
              <w:pStyle w:val="TableParagraph"/>
              <w:spacing w:before="12" w:line="182" w:lineRule="exact"/>
              <w:ind w:left="550"/>
              <w:jc w:val="left"/>
              <w:rPr>
                <w:rFonts w:ascii="Arial"/>
                <w:i/>
                <w:sz w:val="16"/>
              </w:rPr>
            </w:pPr>
            <w:r>
              <w:rPr>
                <w:rFonts w:ascii="Arial"/>
                <w:i/>
                <w:spacing w:val="-2"/>
                <w:sz w:val="16"/>
              </w:rPr>
              <w:t>Financiamento</w:t>
            </w:r>
            <w:r>
              <w:rPr>
                <w:rFonts w:ascii="Arial"/>
                <w:i/>
                <w:spacing w:val="13"/>
                <w:sz w:val="16"/>
              </w:rPr>
              <w:t xml:space="preserve"> </w:t>
            </w:r>
            <w:r>
              <w:rPr>
                <w:rFonts w:ascii="Arial"/>
                <w:i/>
                <w:spacing w:val="-2"/>
                <w:sz w:val="16"/>
              </w:rPr>
              <w:t>FINEP</w:t>
            </w:r>
          </w:p>
        </w:tc>
        <w:tc>
          <w:tcPr>
            <w:tcW w:w="1389" w:type="dxa"/>
            <w:tcBorders>
              <w:left w:val="single" w:sz="4" w:space="0" w:color="3616F6"/>
              <w:right w:val="single" w:sz="4" w:space="0" w:color="3616F6"/>
            </w:tcBorders>
            <w:shd w:val="clear" w:color="auto" w:fill="66FFFF"/>
          </w:tcPr>
          <w:p w14:paraId="05D7C283" w14:textId="77777777" w:rsidR="002C6574" w:rsidRDefault="00000000">
            <w:pPr>
              <w:pStyle w:val="TableParagraph"/>
              <w:spacing w:before="12" w:line="182" w:lineRule="exact"/>
              <w:ind w:right="63"/>
              <w:rPr>
                <w:rFonts w:ascii="Arial"/>
                <w:i/>
                <w:sz w:val="16"/>
              </w:rPr>
            </w:pPr>
            <w:r>
              <w:rPr>
                <w:rFonts w:ascii="Arial"/>
                <w:i/>
                <w:spacing w:val="-10"/>
                <w:sz w:val="16"/>
              </w:rPr>
              <w:t>-</w:t>
            </w:r>
          </w:p>
        </w:tc>
        <w:tc>
          <w:tcPr>
            <w:tcW w:w="1390" w:type="dxa"/>
            <w:tcBorders>
              <w:left w:val="single" w:sz="4" w:space="0" w:color="3616F6"/>
              <w:right w:val="single" w:sz="4" w:space="0" w:color="3616F6"/>
            </w:tcBorders>
          </w:tcPr>
          <w:p w14:paraId="414DC8C6" w14:textId="77777777" w:rsidR="002C6574" w:rsidRDefault="00000000">
            <w:pPr>
              <w:pStyle w:val="TableParagraph"/>
              <w:spacing w:before="12" w:line="182" w:lineRule="exact"/>
              <w:ind w:right="63"/>
              <w:rPr>
                <w:rFonts w:ascii="Arial"/>
                <w:i/>
                <w:sz w:val="16"/>
              </w:rPr>
            </w:pPr>
            <w:r>
              <w:rPr>
                <w:rFonts w:ascii="Arial"/>
                <w:i/>
                <w:spacing w:val="-2"/>
                <w:sz w:val="16"/>
              </w:rPr>
              <w:t>46.210</w:t>
            </w:r>
          </w:p>
        </w:tc>
        <w:tc>
          <w:tcPr>
            <w:tcW w:w="1656" w:type="dxa"/>
            <w:tcBorders>
              <w:left w:val="single" w:sz="4" w:space="0" w:color="3616F6"/>
            </w:tcBorders>
          </w:tcPr>
          <w:p w14:paraId="601C1BB6" w14:textId="77777777" w:rsidR="002C6574" w:rsidRDefault="00000000">
            <w:pPr>
              <w:pStyle w:val="TableParagraph"/>
              <w:spacing w:before="12" w:line="182" w:lineRule="exact"/>
              <w:ind w:right="68"/>
              <w:rPr>
                <w:rFonts w:ascii="Arial"/>
                <w:i/>
                <w:sz w:val="16"/>
              </w:rPr>
            </w:pPr>
            <w:r>
              <w:rPr>
                <w:rFonts w:ascii="Arial"/>
                <w:i/>
                <w:spacing w:val="-2"/>
                <w:sz w:val="16"/>
              </w:rPr>
              <w:t>45.710</w:t>
            </w:r>
          </w:p>
        </w:tc>
      </w:tr>
      <w:tr w:rsidR="002C6574" w14:paraId="5893AB42" w14:textId="77777777">
        <w:trPr>
          <w:trHeight w:val="214"/>
        </w:trPr>
        <w:tc>
          <w:tcPr>
            <w:tcW w:w="6054" w:type="dxa"/>
            <w:tcBorders>
              <w:right w:val="single" w:sz="4" w:space="0" w:color="3616F6"/>
            </w:tcBorders>
          </w:tcPr>
          <w:p w14:paraId="48703DE6" w14:textId="77777777" w:rsidR="002C6574" w:rsidRDefault="00000000">
            <w:pPr>
              <w:pStyle w:val="TableParagraph"/>
              <w:spacing w:before="13" w:line="181" w:lineRule="exact"/>
              <w:ind w:left="550"/>
              <w:jc w:val="left"/>
              <w:rPr>
                <w:rFonts w:ascii="Arial"/>
                <w:i/>
                <w:sz w:val="16"/>
              </w:rPr>
            </w:pPr>
            <w:r>
              <w:rPr>
                <w:rFonts w:ascii="Arial"/>
                <w:i/>
                <w:sz w:val="16"/>
              </w:rPr>
              <w:t>Arrendamento</w:t>
            </w:r>
            <w:r>
              <w:rPr>
                <w:rFonts w:ascii="Arial"/>
                <w:i/>
                <w:spacing w:val="-9"/>
                <w:sz w:val="16"/>
              </w:rPr>
              <w:t xml:space="preserve"> </w:t>
            </w:r>
            <w:r>
              <w:rPr>
                <w:rFonts w:ascii="Arial"/>
                <w:i/>
                <w:sz w:val="16"/>
              </w:rPr>
              <w:t>Mercantil</w:t>
            </w:r>
            <w:r>
              <w:rPr>
                <w:rFonts w:ascii="Arial"/>
                <w:i/>
                <w:spacing w:val="-8"/>
                <w:sz w:val="16"/>
              </w:rPr>
              <w:t xml:space="preserve"> </w:t>
            </w:r>
            <w:r>
              <w:rPr>
                <w:rFonts w:ascii="Arial"/>
                <w:i/>
                <w:spacing w:val="-2"/>
                <w:sz w:val="16"/>
              </w:rPr>
              <w:t>Financeiro</w:t>
            </w:r>
          </w:p>
        </w:tc>
        <w:tc>
          <w:tcPr>
            <w:tcW w:w="1389" w:type="dxa"/>
            <w:tcBorders>
              <w:left w:val="single" w:sz="4" w:space="0" w:color="3616F6"/>
              <w:right w:val="single" w:sz="4" w:space="0" w:color="3616F6"/>
            </w:tcBorders>
            <w:shd w:val="clear" w:color="auto" w:fill="66FFFF"/>
          </w:tcPr>
          <w:p w14:paraId="15038796" w14:textId="77777777" w:rsidR="002C6574" w:rsidRDefault="00000000">
            <w:pPr>
              <w:pStyle w:val="TableParagraph"/>
              <w:spacing w:before="13" w:line="181" w:lineRule="exact"/>
              <w:ind w:right="63"/>
              <w:rPr>
                <w:rFonts w:ascii="Arial"/>
                <w:i/>
                <w:sz w:val="16"/>
              </w:rPr>
            </w:pPr>
            <w:r>
              <w:rPr>
                <w:rFonts w:ascii="Arial"/>
                <w:i/>
                <w:spacing w:val="-2"/>
                <w:sz w:val="16"/>
              </w:rPr>
              <w:t>5.093</w:t>
            </w:r>
          </w:p>
        </w:tc>
        <w:tc>
          <w:tcPr>
            <w:tcW w:w="1390" w:type="dxa"/>
            <w:tcBorders>
              <w:left w:val="single" w:sz="4" w:space="0" w:color="3616F6"/>
              <w:right w:val="single" w:sz="4" w:space="0" w:color="3616F6"/>
            </w:tcBorders>
          </w:tcPr>
          <w:p w14:paraId="43752F9A" w14:textId="77777777" w:rsidR="002C6574" w:rsidRDefault="00000000">
            <w:pPr>
              <w:pStyle w:val="TableParagraph"/>
              <w:spacing w:before="13" w:line="181" w:lineRule="exact"/>
              <w:ind w:right="63"/>
              <w:rPr>
                <w:rFonts w:ascii="Arial"/>
                <w:i/>
                <w:sz w:val="16"/>
              </w:rPr>
            </w:pPr>
            <w:r>
              <w:rPr>
                <w:rFonts w:ascii="Arial"/>
                <w:i/>
                <w:spacing w:val="-2"/>
                <w:sz w:val="16"/>
              </w:rPr>
              <w:t>5.374</w:t>
            </w:r>
          </w:p>
        </w:tc>
        <w:tc>
          <w:tcPr>
            <w:tcW w:w="1656" w:type="dxa"/>
            <w:tcBorders>
              <w:left w:val="single" w:sz="4" w:space="0" w:color="3616F6"/>
            </w:tcBorders>
          </w:tcPr>
          <w:p w14:paraId="01B003EF" w14:textId="77777777" w:rsidR="002C6574" w:rsidRDefault="00000000">
            <w:pPr>
              <w:pStyle w:val="TableParagraph"/>
              <w:spacing w:before="13" w:line="181" w:lineRule="exact"/>
              <w:ind w:right="68"/>
              <w:rPr>
                <w:rFonts w:ascii="Arial"/>
                <w:i/>
                <w:sz w:val="16"/>
              </w:rPr>
            </w:pPr>
            <w:r>
              <w:rPr>
                <w:rFonts w:ascii="Arial"/>
                <w:i/>
                <w:spacing w:val="-2"/>
                <w:sz w:val="16"/>
              </w:rPr>
              <w:t>5.324</w:t>
            </w:r>
          </w:p>
        </w:tc>
      </w:tr>
      <w:tr w:rsidR="002C6574" w14:paraId="10FF209D" w14:textId="77777777">
        <w:trPr>
          <w:trHeight w:val="214"/>
        </w:trPr>
        <w:tc>
          <w:tcPr>
            <w:tcW w:w="6054" w:type="dxa"/>
            <w:tcBorders>
              <w:right w:val="single" w:sz="4" w:space="0" w:color="3616F6"/>
            </w:tcBorders>
          </w:tcPr>
          <w:p w14:paraId="341DEF1A" w14:textId="77777777" w:rsidR="002C6574" w:rsidRDefault="00000000">
            <w:pPr>
              <w:pStyle w:val="TableParagraph"/>
              <w:spacing w:before="12" w:line="182" w:lineRule="exact"/>
              <w:ind w:left="249"/>
              <w:jc w:val="left"/>
              <w:rPr>
                <w:rFonts w:ascii="Arial MT" w:hAnsi="Arial MT"/>
                <w:sz w:val="16"/>
              </w:rPr>
            </w:pPr>
            <w:r>
              <w:rPr>
                <w:rFonts w:ascii="Arial MT" w:hAnsi="Arial MT"/>
                <w:sz w:val="16"/>
              </w:rPr>
              <w:t>Provisão</w:t>
            </w:r>
            <w:r>
              <w:rPr>
                <w:rFonts w:ascii="Arial MT" w:hAnsi="Arial MT"/>
                <w:spacing w:val="-6"/>
                <w:sz w:val="16"/>
              </w:rPr>
              <w:t xml:space="preserve"> </w:t>
            </w:r>
            <w:r>
              <w:rPr>
                <w:rFonts w:ascii="Arial MT" w:hAnsi="Arial MT"/>
                <w:sz w:val="16"/>
              </w:rPr>
              <w:t>para</w:t>
            </w:r>
            <w:r>
              <w:rPr>
                <w:rFonts w:ascii="Arial MT" w:hAnsi="Arial MT"/>
                <w:spacing w:val="-6"/>
                <w:sz w:val="16"/>
              </w:rPr>
              <w:t xml:space="preserve"> </w:t>
            </w:r>
            <w:r>
              <w:rPr>
                <w:rFonts w:ascii="Arial MT" w:hAnsi="Arial MT"/>
                <w:sz w:val="16"/>
              </w:rPr>
              <w:t>Riscos</w:t>
            </w:r>
            <w:r>
              <w:rPr>
                <w:rFonts w:ascii="Arial MT" w:hAnsi="Arial MT"/>
                <w:spacing w:val="-6"/>
                <w:sz w:val="16"/>
              </w:rPr>
              <w:t xml:space="preserve"> </w:t>
            </w:r>
            <w:r>
              <w:rPr>
                <w:rFonts w:ascii="Arial MT" w:hAnsi="Arial MT"/>
                <w:sz w:val="16"/>
              </w:rPr>
              <w:t>Trabalhistas,</w:t>
            </w:r>
            <w:r>
              <w:rPr>
                <w:rFonts w:ascii="Arial MT" w:hAnsi="Arial MT"/>
                <w:spacing w:val="-6"/>
                <w:sz w:val="16"/>
              </w:rPr>
              <w:t xml:space="preserve"> </w:t>
            </w:r>
            <w:r>
              <w:rPr>
                <w:rFonts w:ascii="Arial MT" w:hAnsi="Arial MT"/>
                <w:sz w:val="16"/>
              </w:rPr>
              <w:t>Cíveis</w:t>
            </w:r>
            <w:r>
              <w:rPr>
                <w:rFonts w:ascii="Arial MT" w:hAnsi="Arial MT"/>
                <w:spacing w:val="-6"/>
                <w:sz w:val="16"/>
              </w:rPr>
              <w:t xml:space="preserve"> </w:t>
            </w:r>
            <w:r>
              <w:rPr>
                <w:rFonts w:ascii="Arial MT" w:hAnsi="Arial MT"/>
                <w:sz w:val="16"/>
              </w:rPr>
              <w:t>e</w:t>
            </w:r>
            <w:r>
              <w:rPr>
                <w:rFonts w:ascii="Arial MT" w:hAnsi="Arial MT"/>
                <w:spacing w:val="-5"/>
                <w:sz w:val="16"/>
              </w:rPr>
              <w:t xml:space="preserve"> </w:t>
            </w:r>
            <w:r>
              <w:rPr>
                <w:rFonts w:ascii="Arial MT" w:hAnsi="Arial MT"/>
                <w:spacing w:val="-2"/>
                <w:sz w:val="16"/>
              </w:rPr>
              <w:t>Fiscais</w:t>
            </w:r>
          </w:p>
        </w:tc>
        <w:tc>
          <w:tcPr>
            <w:tcW w:w="1389" w:type="dxa"/>
            <w:tcBorders>
              <w:left w:val="single" w:sz="4" w:space="0" w:color="3616F6"/>
              <w:right w:val="single" w:sz="4" w:space="0" w:color="3616F6"/>
            </w:tcBorders>
            <w:shd w:val="clear" w:color="auto" w:fill="66FFFF"/>
          </w:tcPr>
          <w:p w14:paraId="7B6A870B" w14:textId="77777777" w:rsidR="002C6574" w:rsidRDefault="00000000">
            <w:pPr>
              <w:pStyle w:val="TableParagraph"/>
              <w:spacing w:before="12" w:line="182" w:lineRule="exact"/>
              <w:ind w:right="63"/>
              <w:rPr>
                <w:rFonts w:ascii="Arial MT"/>
                <w:sz w:val="16"/>
              </w:rPr>
            </w:pPr>
            <w:r>
              <w:rPr>
                <w:rFonts w:ascii="Arial MT"/>
                <w:spacing w:val="-2"/>
                <w:sz w:val="16"/>
              </w:rPr>
              <w:t>5.416</w:t>
            </w:r>
          </w:p>
        </w:tc>
        <w:tc>
          <w:tcPr>
            <w:tcW w:w="1390" w:type="dxa"/>
            <w:tcBorders>
              <w:left w:val="single" w:sz="4" w:space="0" w:color="3616F6"/>
              <w:right w:val="single" w:sz="4" w:space="0" w:color="3616F6"/>
            </w:tcBorders>
          </w:tcPr>
          <w:p w14:paraId="40CB9F97" w14:textId="77777777" w:rsidR="002C6574" w:rsidRDefault="00000000">
            <w:pPr>
              <w:pStyle w:val="TableParagraph"/>
              <w:spacing w:before="12" w:line="182" w:lineRule="exact"/>
              <w:ind w:right="63"/>
              <w:rPr>
                <w:rFonts w:ascii="Arial MT"/>
                <w:sz w:val="16"/>
              </w:rPr>
            </w:pPr>
            <w:r>
              <w:rPr>
                <w:rFonts w:ascii="Arial MT"/>
                <w:spacing w:val="-2"/>
                <w:sz w:val="16"/>
              </w:rPr>
              <w:t>4.877</w:t>
            </w:r>
          </w:p>
        </w:tc>
        <w:tc>
          <w:tcPr>
            <w:tcW w:w="1656" w:type="dxa"/>
            <w:tcBorders>
              <w:left w:val="single" w:sz="4" w:space="0" w:color="3616F6"/>
            </w:tcBorders>
          </w:tcPr>
          <w:p w14:paraId="5EB64197" w14:textId="77777777" w:rsidR="002C6574" w:rsidRDefault="00000000">
            <w:pPr>
              <w:pStyle w:val="TableParagraph"/>
              <w:spacing w:before="12" w:line="182" w:lineRule="exact"/>
              <w:ind w:right="68"/>
              <w:rPr>
                <w:rFonts w:ascii="Arial MT"/>
                <w:sz w:val="16"/>
              </w:rPr>
            </w:pPr>
            <w:r>
              <w:rPr>
                <w:rFonts w:ascii="Arial MT"/>
                <w:spacing w:val="-2"/>
                <w:sz w:val="16"/>
              </w:rPr>
              <w:t>4.295</w:t>
            </w:r>
          </w:p>
        </w:tc>
      </w:tr>
      <w:tr w:rsidR="002C6574" w14:paraId="63739687" w14:textId="77777777">
        <w:trPr>
          <w:trHeight w:val="214"/>
        </w:trPr>
        <w:tc>
          <w:tcPr>
            <w:tcW w:w="6054" w:type="dxa"/>
            <w:tcBorders>
              <w:right w:val="single" w:sz="4" w:space="0" w:color="3616F6"/>
            </w:tcBorders>
          </w:tcPr>
          <w:p w14:paraId="2692E9F3" w14:textId="77777777" w:rsidR="002C6574" w:rsidRDefault="00000000">
            <w:pPr>
              <w:pStyle w:val="TableParagraph"/>
              <w:spacing w:before="13" w:line="181" w:lineRule="exact"/>
              <w:ind w:left="249"/>
              <w:jc w:val="left"/>
              <w:rPr>
                <w:rFonts w:ascii="Arial MT"/>
                <w:sz w:val="16"/>
              </w:rPr>
            </w:pPr>
            <w:r>
              <w:rPr>
                <w:rFonts w:ascii="Arial MT"/>
                <w:sz w:val="16"/>
              </w:rPr>
              <w:t>Credores</w:t>
            </w:r>
            <w:r>
              <w:rPr>
                <w:rFonts w:ascii="Arial MT"/>
                <w:spacing w:val="-3"/>
                <w:sz w:val="16"/>
              </w:rPr>
              <w:t xml:space="preserve"> </w:t>
            </w:r>
            <w:r>
              <w:rPr>
                <w:rFonts w:ascii="Arial MT"/>
                <w:sz w:val="16"/>
              </w:rPr>
              <w:t>por</w:t>
            </w:r>
            <w:r>
              <w:rPr>
                <w:rFonts w:ascii="Arial MT"/>
                <w:spacing w:val="-6"/>
                <w:sz w:val="16"/>
              </w:rPr>
              <w:t xml:space="preserve"> </w:t>
            </w:r>
            <w:r>
              <w:rPr>
                <w:rFonts w:ascii="Arial MT"/>
                <w:sz w:val="16"/>
              </w:rPr>
              <w:t>Perdas</w:t>
            </w:r>
            <w:r>
              <w:rPr>
                <w:rFonts w:ascii="Arial MT"/>
                <w:spacing w:val="-5"/>
                <w:sz w:val="16"/>
              </w:rPr>
              <w:t xml:space="preserve"> </w:t>
            </w:r>
            <w:r>
              <w:rPr>
                <w:rFonts w:ascii="Arial MT"/>
                <w:spacing w:val="-2"/>
                <w:sz w:val="16"/>
              </w:rPr>
              <w:t>Judiciais</w:t>
            </w:r>
          </w:p>
        </w:tc>
        <w:tc>
          <w:tcPr>
            <w:tcW w:w="1389" w:type="dxa"/>
            <w:tcBorders>
              <w:left w:val="single" w:sz="4" w:space="0" w:color="3616F6"/>
              <w:right w:val="single" w:sz="4" w:space="0" w:color="3616F6"/>
            </w:tcBorders>
            <w:shd w:val="clear" w:color="auto" w:fill="66FFFF"/>
          </w:tcPr>
          <w:p w14:paraId="6D25CA9E" w14:textId="77777777" w:rsidR="002C6574" w:rsidRDefault="00000000">
            <w:pPr>
              <w:pStyle w:val="TableParagraph"/>
              <w:spacing w:before="13" w:line="181" w:lineRule="exact"/>
              <w:ind w:right="63"/>
              <w:rPr>
                <w:rFonts w:ascii="Arial MT"/>
                <w:sz w:val="16"/>
              </w:rPr>
            </w:pPr>
            <w:r>
              <w:rPr>
                <w:rFonts w:ascii="Arial MT"/>
                <w:spacing w:val="-10"/>
                <w:sz w:val="16"/>
              </w:rPr>
              <w:t>-</w:t>
            </w:r>
          </w:p>
        </w:tc>
        <w:tc>
          <w:tcPr>
            <w:tcW w:w="1390" w:type="dxa"/>
            <w:tcBorders>
              <w:left w:val="single" w:sz="4" w:space="0" w:color="3616F6"/>
              <w:right w:val="single" w:sz="4" w:space="0" w:color="3616F6"/>
            </w:tcBorders>
          </w:tcPr>
          <w:p w14:paraId="5DDB0A34" w14:textId="77777777" w:rsidR="002C6574" w:rsidRDefault="00000000">
            <w:pPr>
              <w:pStyle w:val="TableParagraph"/>
              <w:spacing w:before="13" w:line="181" w:lineRule="exact"/>
              <w:ind w:right="63"/>
              <w:rPr>
                <w:rFonts w:ascii="Arial MT"/>
                <w:sz w:val="16"/>
              </w:rPr>
            </w:pPr>
            <w:r>
              <w:rPr>
                <w:rFonts w:ascii="Arial MT"/>
                <w:spacing w:val="-2"/>
                <w:sz w:val="16"/>
              </w:rPr>
              <w:t>16.635</w:t>
            </w:r>
          </w:p>
        </w:tc>
        <w:tc>
          <w:tcPr>
            <w:tcW w:w="1656" w:type="dxa"/>
            <w:tcBorders>
              <w:left w:val="single" w:sz="4" w:space="0" w:color="3616F6"/>
            </w:tcBorders>
          </w:tcPr>
          <w:p w14:paraId="37236201" w14:textId="77777777" w:rsidR="002C6574" w:rsidRDefault="00000000">
            <w:pPr>
              <w:pStyle w:val="TableParagraph"/>
              <w:spacing w:before="13" w:line="181" w:lineRule="exact"/>
              <w:ind w:right="68"/>
              <w:rPr>
                <w:rFonts w:ascii="Arial MT"/>
                <w:sz w:val="16"/>
              </w:rPr>
            </w:pPr>
            <w:r>
              <w:rPr>
                <w:rFonts w:ascii="Arial MT"/>
                <w:spacing w:val="-2"/>
                <w:sz w:val="16"/>
              </w:rPr>
              <w:t>16.436</w:t>
            </w:r>
          </w:p>
        </w:tc>
      </w:tr>
      <w:tr w:rsidR="002C6574" w14:paraId="7C6518E0" w14:textId="77777777">
        <w:trPr>
          <w:trHeight w:val="214"/>
        </w:trPr>
        <w:tc>
          <w:tcPr>
            <w:tcW w:w="6054" w:type="dxa"/>
            <w:tcBorders>
              <w:right w:val="single" w:sz="4" w:space="0" w:color="3616F6"/>
            </w:tcBorders>
          </w:tcPr>
          <w:p w14:paraId="6462B4E6" w14:textId="77777777" w:rsidR="002C6574" w:rsidRDefault="00000000">
            <w:pPr>
              <w:pStyle w:val="TableParagraph"/>
              <w:spacing w:before="12" w:line="182" w:lineRule="exact"/>
              <w:ind w:left="249"/>
              <w:jc w:val="left"/>
              <w:rPr>
                <w:rFonts w:ascii="Arial MT" w:hAnsi="Arial MT"/>
                <w:sz w:val="16"/>
              </w:rPr>
            </w:pPr>
            <w:r>
              <w:rPr>
                <w:rFonts w:ascii="Arial MT" w:hAnsi="Arial MT"/>
                <w:sz w:val="16"/>
              </w:rPr>
              <w:t>Provisão</w:t>
            </w:r>
            <w:r>
              <w:rPr>
                <w:rFonts w:ascii="Arial MT" w:hAnsi="Arial MT"/>
                <w:spacing w:val="-9"/>
                <w:sz w:val="16"/>
              </w:rPr>
              <w:t xml:space="preserve"> </w:t>
            </w:r>
            <w:r>
              <w:rPr>
                <w:rFonts w:ascii="Arial MT" w:hAnsi="Arial MT"/>
                <w:sz w:val="16"/>
              </w:rPr>
              <w:t>Programa</w:t>
            </w:r>
            <w:r>
              <w:rPr>
                <w:rFonts w:ascii="Arial MT" w:hAnsi="Arial MT"/>
                <w:spacing w:val="-7"/>
                <w:sz w:val="16"/>
              </w:rPr>
              <w:t xml:space="preserve"> </w:t>
            </w:r>
            <w:r>
              <w:rPr>
                <w:rFonts w:ascii="Arial MT" w:hAnsi="Arial MT"/>
                <w:sz w:val="16"/>
              </w:rPr>
              <w:t>Indenização</w:t>
            </w:r>
            <w:r>
              <w:rPr>
                <w:rFonts w:ascii="Arial MT" w:hAnsi="Arial MT"/>
                <w:spacing w:val="-10"/>
                <w:sz w:val="16"/>
              </w:rPr>
              <w:t xml:space="preserve"> </w:t>
            </w:r>
            <w:r>
              <w:rPr>
                <w:rFonts w:ascii="Arial MT" w:hAnsi="Arial MT"/>
                <w:sz w:val="16"/>
              </w:rPr>
              <w:t>por</w:t>
            </w:r>
            <w:r>
              <w:rPr>
                <w:rFonts w:ascii="Arial MT" w:hAnsi="Arial MT"/>
                <w:spacing w:val="-7"/>
                <w:sz w:val="16"/>
              </w:rPr>
              <w:t xml:space="preserve"> </w:t>
            </w:r>
            <w:r>
              <w:rPr>
                <w:rFonts w:ascii="Arial MT" w:hAnsi="Arial MT"/>
                <w:sz w:val="16"/>
              </w:rPr>
              <w:t>Serviços</w:t>
            </w:r>
            <w:r>
              <w:rPr>
                <w:rFonts w:ascii="Arial MT" w:hAnsi="Arial MT"/>
                <w:spacing w:val="-7"/>
                <w:sz w:val="16"/>
              </w:rPr>
              <w:t xml:space="preserve"> </w:t>
            </w:r>
            <w:r>
              <w:rPr>
                <w:rFonts w:ascii="Arial MT" w:hAnsi="Arial MT"/>
                <w:spacing w:val="-2"/>
                <w:sz w:val="16"/>
              </w:rPr>
              <w:t>Prestados</w:t>
            </w:r>
          </w:p>
        </w:tc>
        <w:tc>
          <w:tcPr>
            <w:tcW w:w="1389" w:type="dxa"/>
            <w:tcBorders>
              <w:left w:val="single" w:sz="4" w:space="0" w:color="3616F6"/>
              <w:right w:val="single" w:sz="4" w:space="0" w:color="3616F6"/>
            </w:tcBorders>
            <w:shd w:val="clear" w:color="auto" w:fill="66FFFF"/>
          </w:tcPr>
          <w:p w14:paraId="39C2BF0F" w14:textId="77777777" w:rsidR="002C6574" w:rsidRDefault="00000000">
            <w:pPr>
              <w:pStyle w:val="TableParagraph"/>
              <w:spacing w:before="12" w:line="182" w:lineRule="exact"/>
              <w:ind w:right="63"/>
              <w:rPr>
                <w:rFonts w:ascii="Arial MT"/>
                <w:sz w:val="16"/>
              </w:rPr>
            </w:pPr>
            <w:r>
              <w:rPr>
                <w:rFonts w:ascii="Arial MT"/>
                <w:spacing w:val="-2"/>
                <w:sz w:val="16"/>
              </w:rPr>
              <w:t>2.191</w:t>
            </w:r>
          </w:p>
        </w:tc>
        <w:tc>
          <w:tcPr>
            <w:tcW w:w="1390" w:type="dxa"/>
            <w:tcBorders>
              <w:left w:val="single" w:sz="4" w:space="0" w:color="3616F6"/>
              <w:right w:val="single" w:sz="4" w:space="0" w:color="3616F6"/>
            </w:tcBorders>
          </w:tcPr>
          <w:p w14:paraId="7F2884AD" w14:textId="77777777" w:rsidR="002C6574" w:rsidRDefault="00000000">
            <w:pPr>
              <w:pStyle w:val="TableParagraph"/>
              <w:spacing w:before="12" w:line="182" w:lineRule="exact"/>
              <w:ind w:right="63"/>
              <w:rPr>
                <w:rFonts w:ascii="Arial MT"/>
                <w:sz w:val="16"/>
              </w:rPr>
            </w:pPr>
            <w:r>
              <w:rPr>
                <w:rFonts w:ascii="Arial MT"/>
                <w:spacing w:val="-2"/>
                <w:sz w:val="16"/>
              </w:rPr>
              <w:t>1.828</w:t>
            </w:r>
          </w:p>
        </w:tc>
        <w:tc>
          <w:tcPr>
            <w:tcW w:w="1656" w:type="dxa"/>
            <w:tcBorders>
              <w:left w:val="single" w:sz="4" w:space="0" w:color="3616F6"/>
            </w:tcBorders>
          </w:tcPr>
          <w:p w14:paraId="5076E612" w14:textId="77777777" w:rsidR="002C6574" w:rsidRDefault="00000000">
            <w:pPr>
              <w:pStyle w:val="TableParagraph"/>
              <w:spacing w:before="12" w:line="182" w:lineRule="exact"/>
              <w:ind w:right="68"/>
              <w:rPr>
                <w:rFonts w:ascii="Arial MT"/>
                <w:sz w:val="16"/>
              </w:rPr>
            </w:pPr>
            <w:r>
              <w:rPr>
                <w:rFonts w:ascii="Arial MT"/>
                <w:spacing w:val="-2"/>
                <w:sz w:val="16"/>
              </w:rPr>
              <w:t>1.766</w:t>
            </w:r>
          </w:p>
        </w:tc>
      </w:tr>
      <w:tr w:rsidR="002C6574" w14:paraId="33DE0315" w14:textId="77777777">
        <w:trPr>
          <w:trHeight w:val="215"/>
        </w:trPr>
        <w:tc>
          <w:tcPr>
            <w:tcW w:w="6054" w:type="dxa"/>
            <w:tcBorders>
              <w:right w:val="single" w:sz="4" w:space="0" w:color="3616F6"/>
            </w:tcBorders>
          </w:tcPr>
          <w:p w14:paraId="4D784F7F" w14:textId="77777777" w:rsidR="002C6574" w:rsidRDefault="00000000">
            <w:pPr>
              <w:pStyle w:val="TableParagraph"/>
              <w:spacing w:before="13" w:line="182" w:lineRule="exact"/>
              <w:ind w:left="249"/>
              <w:jc w:val="left"/>
              <w:rPr>
                <w:rFonts w:ascii="Arial MT" w:hAnsi="Arial MT"/>
                <w:sz w:val="16"/>
              </w:rPr>
            </w:pPr>
            <w:r>
              <w:rPr>
                <w:rFonts w:ascii="Arial MT" w:hAnsi="Arial MT"/>
                <w:sz w:val="16"/>
              </w:rPr>
              <w:t>Subvenções</w:t>
            </w:r>
            <w:r>
              <w:rPr>
                <w:rFonts w:ascii="Arial MT" w:hAnsi="Arial MT"/>
                <w:spacing w:val="-9"/>
                <w:sz w:val="16"/>
              </w:rPr>
              <w:t xml:space="preserve"> </w:t>
            </w:r>
            <w:r>
              <w:rPr>
                <w:rFonts w:ascii="Arial MT" w:hAnsi="Arial MT"/>
                <w:sz w:val="16"/>
              </w:rPr>
              <w:t>Orçamentárias</w:t>
            </w:r>
            <w:r>
              <w:rPr>
                <w:rFonts w:ascii="Arial MT" w:hAnsi="Arial MT"/>
                <w:spacing w:val="-9"/>
                <w:sz w:val="16"/>
              </w:rPr>
              <w:t xml:space="preserve"> </w:t>
            </w:r>
            <w:r>
              <w:rPr>
                <w:rFonts w:ascii="Arial MT" w:hAnsi="Arial MT"/>
                <w:sz w:val="16"/>
              </w:rPr>
              <w:t>a</w:t>
            </w:r>
            <w:r>
              <w:rPr>
                <w:rFonts w:ascii="Arial MT" w:hAnsi="Arial MT"/>
                <w:spacing w:val="-7"/>
                <w:sz w:val="16"/>
              </w:rPr>
              <w:t xml:space="preserve"> </w:t>
            </w:r>
            <w:r>
              <w:rPr>
                <w:rFonts w:ascii="Arial MT" w:hAnsi="Arial MT"/>
                <w:spacing w:val="-2"/>
                <w:sz w:val="16"/>
              </w:rPr>
              <w:t>Realizar</w:t>
            </w:r>
          </w:p>
        </w:tc>
        <w:tc>
          <w:tcPr>
            <w:tcW w:w="1389" w:type="dxa"/>
            <w:tcBorders>
              <w:left w:val="single" w:sz="4" w:space="0" w:color="3616F6"/>
              <w:right w:val="single" w:sz="4" w:space="0" w:color="3616F6"/>
            </w:tcBorders>
            <w:shd w:val="clear" w:color="auto" w:fill="66FFFF"/>
          </w:tcPr>
          <w:p w14:paraId="1B8E9A60" w14:textId="77777777" w:rsidR="002C6574" w:rsidRDefault="00000000">
            <w:pPr>
              <w:pStyle w:val="TableParagraph"/>
              <w:spacing w:before="13" w:line="182" w:lineRule="exact"/>
              <w:ind w:right="63"/>
              <w:rPr>
                <w:rFonts w:ascii="Arial MT"/>
                <w:sz w:val="16"/>
              </w:rPr>
            </w:pPr>
            <w:r>
              <w:rPr>
                <w:rFonts w:ascii="Arial MT"/>
                <w:spacing w:val="-2"/>
                <w:sz w:val="16"/>
              </w:rPr>
              <w:t>52.741</w:t>
            </w:r>
          </w:p>
        </w:tc>
        <w:tc>
          <w:tcPr>
            <w:tcW w:w="1390" w:type="dxa"/>
            <w:tcBorders>
              <w:left w:val="single" w:sz="4" w:space="0" w:color="3616F6"/>
              <w:right w:val="single" w:sz="4" w:space="0" w:color="3616F6"/>
            </w:tcBorders>
          </w:tcPr>
          <w:p w14:paraId="48C5032E" w14:textId="77777777" w:rsidR="002C6574" w:rsidRDefault="00000000">
            <w:pPr>
              <w:pStyle w:val="TableParagraph"/>
              <w:spacing w:before="13" w:line="182" w:lineRule="exact"/>
              <w:ind w:right="61"/>
              <w:rPr>
                <w:rFonts w:ascii="Arial MT"/>
                <w:sz w:val="16"/>
              </w:rPr>
            </w:pPr>
            <w:r>
              <w:rPr>
                <w:rFonts w:ascii="Arial MT"/>
                <w:spacing w:val="-5"/>
                <w:sz w:val="16"/>
              </w:rPr>
              <w:t>59</w:t>
            </w:r>
          </w:p>
        </w:tc>
        <w:tc>
          <w:tcPr>
            <w:tcW w:w="1656" w:type="dxa"/>
            <w:tcBorders>
              <w:left w:val="single" w:sz="4" w:space="0" w:color="3616F6"/>
            </w:tcBorders>
          </w:tcPr>
          <w:p w14:paraId="4917DF4A" w14:textId="77777777" w:rsidR="002C6574" w:rsidRDefault="00000000">
            <w:pPr>
              <w:pStyle w:val="TableParagraph"/>
              <w:spacing w:before="13" w:line="182" w:lineRule="exact"/>
              <w:ind w:right="68"/>
              <w:rPr>
                <w:rFonts w:ascii="Arial MT"/>
                <w:sz w:val="16"/>
              </w:rPr>
            </w:pPr>
            <w:r>
              <w:rPr>
                <w:rFonts w:ascii="Arial MT"/>
                <w:spacing w:val="-10"/>
                <w:sz w:val="16"/>
              </w:rPr>
              <w:t>-</w:t>
            </w:r>
          </w:p>
        </w:tc>
      </w:tr>
      <w:tr w:rsidR="002C6574" w14:paraId="7B740717" w14:textId="77777777">
        <w:trPr>
          <w:trHeight w:val="211"/>
        </w:trPr>
        <w:tc>
          <w:tcPr>
            <w:tcW w:w="6054" w:type="dxa"/>
            <w:tcBorders>
              <w:bottom w:val="single" w:sz="4" w:space="0" w:color="3616F6"/>
              <w:right w:val="single" w:sz="4" w:space="0" w:color="3616F6"/>
            </w:tcBorders>
          </w:tcPr>
          <w:p w14:paraId="6729175D" w14:textId="77777777" w:rsidR="002C6574" w:rsidRDefault="00000000">
            <w:pPr>
              <w:pStyle w:val="TableParagraph"/>
              <w:spacing w:before="13" w:line="178" w:lineRule="exact"/>
              <w:ind w:left="249"/>
              <w:jc w:val="left"/>
              <w:rPr>
                <w:rFonts w:ascii="Arial MT" w:hAnsi="Arial MT"/>
                <w:sz w:val="16"/>
              </w:rPr>
            </w:pPr>
            <w:r>
              <w:rPr>
                <w:rFonts w:ascii="Arial MT" w:hAnsi="Arial MT"/>
                <w:sz w:val="16"/>
              </w:rPr>
              <w:t>Outras</w:t>
            </w:r>
            <w:r>
              <w:rPr>
                <w:rFonts w:ascii="Arial MT" w:hAnsi="Arial MT"/>
                <w:spacing w:val="-5"/>
                <w:sz w:val="16"/>
              </w:rPr>
              <w:t xml:space="preserve"> </w:t>
            </w:r>
            <w:r>
              <w:rPr>
                <w:rFonts w:ascii="Arial MT" w:hAnsi="Arial MT"/>
                <w:spacing w:val="-2"/>
                <w:sz w:val="16"/>
              </w:rPr>
              <w:t>Obrigações</w:t>
            </w:r>
          </w:p>
        </w:tc>
        <w:tc>
          <w:tcPr>
            <w:tcW w:w="1389" w:type="dxa"/>
            <w:tcBorders>
              <w:left w:val="single" w:sz="4" w:space="0" w:color="3616F6"/>
              <w:bottom w:val="single" w:sz="4" w:space="0" w:color="3616F6"/>
              <w:right w:val="single" w:sz="4" w:space="0" w:color="3616F6"/>
            </w:tcBorders>
            <w:shd w:val="clear" w:color="auto" w:fill="66FFFF"/>
          </w:tcPr>
          <w:p w14:paraId="2E7249B7" w14:textId="77777777" w:rsidR="002C6574" w:rsidRDefault="00000000">
            <w:pPr>
              <w:pStyle w:val="TableParagraph"/>
              <w:spacing w:before="13" w:line="178" w:lineRule="exact"/>
              <w:ind w:right="63"/>
              <w:rPr>
                <w:rFonts w:ascii="Arial MT"/>
                <w:sz w:val="16"/>
              </w:rPr>
            </w:pPr>
            <w:r>
              <w:rPr>
                <w:rFonts w:ascii="Arial MT"/>
                <w:spacing w:val="-2"/>
                <w:sz w:val="16"/>
              </w:rPr>
              <w:t>25.137</w:t>
            </w:r>
          </w:p>
        </w:tc>
        <w:tc>
          <w:tcPr>
            <w:tcW w:w="1390" w:type="dxa"/>
            <w:tcBorders>
              <w:left w:val="single" w:sz="4" w:space="0" w:color="3616F6"/>
              <w:bottom w:val="single" w:sz="4" w:space="0" w:color="3616F6"/>
              <w:right w:val="single" w:sz="4" w:space="0" w:color="3616F6"/>
            </w:tcBorders>
          </w:tcPr>
          <w:p w14:paraId="7182BFC7" w14:textId="77777777" w:rsidR="002C6574" w:rsidRDefault="00000000">
            <w:pPr>
              <w:pStyle w:val="TableParagraph"/>
              <w:spacing w:before="13" w:line="178" w:lineRule="exact"/>
              <w:ind w:right="63"/>
              <w:rPr>
                <w:rFonts w:ascii="Arial MT"/>
                <w:sz w:val="16"/>
              </w:rPr>
            </w:pPr>
            <w:r>
              <w:rPr>
                <w:rFonts w:ascii="Arial MT"/>
                <w:spacing w:val="-2"/>
                <w:sz w:val="16"/>
              </w:rPr>
              <w:t>13.722</w:t>
            </w:r>
          </w:p>
        </w:tc>
        <w:tc>
          <w:tcPr>
            <w:tcW w:w="1656" w:type="dxa"/>
            <w:tcBorders>
              <w:left w:val="single" w:sz="4" w:space="0" w:color="3616F6"/>
              <w:bottom w:val="single" w:sz="4" w:space="0" w:color="3616F6"/>
            </w:tcBorders>
          </w:tcPr>
          <w:p w14:paraId="40042E61" w14:textId="77777777" w:rsidR="002C6574" w:rsidRDefault="00000000">
            <w:pPr>
              <w:pStyle w:val="TableParagraph"/>
              <w:spacing w:before="13" w:line="178" w:lineRule="exact"/>
              <w:ind w:right="68"/>
              <w:rPr>
                <w:rFonts w:ascii="Arial MT"/>
                <w:sz w:val="16"/>
              </w:rPr>
            </w:pPr>
            <w:r>
              <w:rPr>
                <w:rFonts w:ascii="Arial MT"/>
                <w:spacing w:val="-2"/>
                <w:sz w:val="16"/>
              </w:rPr>
              <w:t>5.018</w:t>
            </w:r>
          </w:p>
        </w:tc>
      </w:tr>
      <w:tr w:rsidR="002C6574" w14:paraId="3093C375" w14:textId="77777777">
        <w:trPr>
          <w:trHeight w:val="215"/>
        </w:trPr>
        <w:tc>
          <w:tcPr>
            <w:tcW w:w="6054" w:type="dxa"/>
            <w:tcBorders>
              <w:top w:val="single" w:sz="4" w:space="0" w:color="3616F6"/>
              <w:bottom w:val="single" w:sz="4" w:space="0" w:color="3616F6"/>
              <w:right w:val="single" w:sz="4" w:space="0" w:color="3616F6"/>
            </w:tcBorders>
          </w:tcPr>
          <w:p w14:paraId="2D4104FA" w14:textId="77777777" w:rsidR="002C6574" w:rsidRDefault="00000000">
            <w:pPr>
              <w:pStyle w:val="TableParagraph"/>
              <w:spacing w:before="15" w:line="180" w:lineRule="exact"/>
              <w:ind w:left="69"/>
              <w:jc w:val="left"/>
              <w:rPr>
                <w:rFonts w:ascii="Arial" w:hAnsi="Arial"/>
                <w:b/>
                <w:sz w:val="16"/>
              </w:rPr>
            </w:pPr>
            <w:r>
              <w:rPr>
                <w:rFonts w:ascii="Arial" w:hAnsi="Arial"/>
                <w:b/>
                <w:sz w:val="16"/>
              </w:rPr>
              <w:t>Não</w:t>
            </w:r>
            <w:r>
              <w:rPr>
                <w:rFonts w:ascii="Arial" w:hAnsi="Arial"/>
                <w:b/>
                <w:spacing w:val="-1"/>
                <w:sz w:val="16"/>
              </w:rPr>
              <w:t xml:space="preserve"> </w:t>
            </w:r>
            <w:r>
              <w:rPr>
                <w:rFonts w:ascii="Arial" w:hAnsi="Arial"/>
                <w:b/>
                <w:spacing w:val="-2"/>
                <w:sz w:val="16"/>
              </w:rPr>
              <w:t>Circulante</w:t>
            </w:r>
          </w:p>
        </w:tc>
        <w:tc>
          <w:tcPr>
            <w:tcW w:w="1389" w:type="dxa"/>
            <w:tcBorders>
              <w:top w:val="single" w:sz="4" w:space="0" w:color="3616F6"/>
              <w:left w:val="single" w:sz="4" w:space="0" w:color="3616F6"/>
              <w:bottom w:val="single" w:sz="4" w:space="0" w:color="3616F6"/>
              <w:right w:val="single" w:sz="4" w:space="0" w:color="3616F6"/>
            </w:tcBorders>
            <w:shd w:val="clear" w:color="auto" w:fill="66FFFF"/>
          </w:tcPr>
          <w:p w14:paraId="3268BBF8" w14:textId="77777777" w:rsidR="002C6574" w:rsidRDefault="00000000">
            <w:pPr>
              <w:pStyle w:val="TableParagraph"/>
              <w:spacing w:before="15" w:line="180" w:lineRule="exact"/>
              <w:ind w:right="64"/>
              <w:rPr>
                <w:rFonts w:ascii="Arial"/>
                <w:b/>
                <w:sz w:val="16"/>
              </w:rPr>
            </w:pPr>
            <w:r>
              <w:rPr>
                <w:rFonts w:ascii="Arial"/>
                <w:b/>
                <w:spacing w:val="-2"/>
                <w:sz w:val="16"/>
              </w:rPr>
              <w:t>2.293.240</w:t>
            </w:r>
          </w:p>
        </w:tc>
        <w:tc>
          <w:tcPr>
            <w:tcW w:w="1390" w:type="dxa"/>
            <w:tcBorders>
              <w:top w:val="single" w:sz="4" w:space="0" w:color="3616F6"/>
              <w:left w:val="single" w:sz="4" w:space="0" w:color="3616F6"/>
              <w:bottom w:val="single" w:sz="4" w:space="0" w:color="3616F6"/>
              <w:right w:val="single" w:sz="4" w:space="0" w:color="3616F6"/>
            </w:tcBorders>
          </w:tcPr>
          <w:p w14:paraId="76FFE811" w14:textId="77777777" w:rsidR="002C6574" w:rsidRDefault="00000000">
            <w:pPr>
              <w:pStyle w:val="TableParagraph"/>
              <w:spacing w:before="15" w:line="180" w:lineRule="exact"/>
              <w:ind w:right="63"/>
              <w:rPr>
                <w:rFonts w:ascii="Arial"/>
                <w:b/>
                <w:sz w:val="16"/>
              </w:rPr>
            </w:pPr>
            <w:r>
              <w:rPr>
                <w:rFonts w:ascii="Arial"/>
                <w:b/>
                <w:spacing w:val="-2"/>
                <w:sz w:val="16"/>
              </w:rPr>
              <w:t>2.293.396</w:t>
            </w:r>
          </w:p>
        </w:tc>
        <w:tc>
          <w:tcPr>
            <w:tcW w:w="1656" w:type="dxa"/>
            <w:tcBorders>
              <w:top w:val="single" w:sz="4" w:space="0" w:color="3616F6"/>
              <w:left w:val="single" w:sz="4" w:space="0" w:color="3616F6"/>
              <w:bottom w:val="single" w:sz="4" w:space="0" w:color="3616F6"/>
            </w:tcBorders>
          </w:tcPr>
          <w:p w14:paraId="5276BF3F" w14:textId="77777777" w:rsidR="002C6574" w:rsidRDefault="00000000">
            <w:pPr>
              <w:pStyle w:val="TableParagraph"/>
              <w:spacing w:before="15" w:line="180" w:lineRule="exact"/>
              <w:ind w:right="68"/>
              <w:rPr>
                <w:rFonts w:ascii="Arial"/>
                <w:b/>
                <w:sz w:val="16"/>
              </w:rPr>
            </w:pPr>
            <w:r>
              <w:rPr>
                <w:rFonts w:ascii="Arial"/>
                <w:b/>
                <w:spacing w:val="-2"/>
                <w:sz w:val="16"/>
              </w:rPr>
              <w:t>2.297.276</w:t>
            </w:r>
          </w:p>
        </w:tc>
      </w:tr>
      <w:tr w:rsidR="002C6574" w14:paraId="1BEC2D12" w14:textId="77777777">
        <w:trPr>
          <w:trHeight w:val="217"/>
        </w:trPr>
        <w:tc>
          <w:tcPr>
            <w:tcW w:w="6054" w:type="dxa"/>
            <w:tcBorders>
              <w:top w:val="single" w:sz="4" w:space="0" w:color="3616F6"/>
              <w:right w:val="single" w:sz="4" w:space="0" w:color="3616F6"/>
            </w:tcBorders>
          </w:tcPr>
          <w:p w14:paraId="2FBE24BD" w14:textId="77777777" w:rsidR="002C6574" w:rsidRDefault="00000000">
            <w:pPr>
              <w:pStyle w:val="TableParagraph"/>
              <w:spacing w:before="15" w:line="183" w:lineRule="exact"/>
              <w:ind w:left="249"/>
              <w:jc w:val="left"/>
              <w:rPr>
                <w:rFonts w:ascii="Arial MT" w:hAnsi="Arial MT"/>
                <w:sz w:val="16"/>
              </w:rPr>
            </w:pPr>
            <w:r>
              <w:rPr>
                <w:rFonts w:ascii="Arial MT" w:hAnsi="Arial MT"/>
                <w:sz w:val="16"/>
              </w:rPr>
              <w:t>Empréstimos</w:t>
            </w:r>
            <w:r>
              <w:rPr>
                <w:rFonts w:ascii="Arial MT" w:hAnsi="Arial MT"/>
                <w:spacing w:val="-4"/>
                <w:sz w:val="16"/>
              </w:rPr>
              <w:t xml:space="preserve"> </w:t>
            </w:r>
            <w:r>
              <w:rPr>
                <w:rFonts w:ascii="Arial MT" w:hAnsi="Arial MT"/>
                <w:sz w:val="16"/>
              </w:rPr>
              <w:t>e</w:t>
            </w:r>
            <w:r>
              <w:rPr>
                <w:rFonts w:ascii="Arial MT" w:hAnsi="Arial MT"/>
                <w:spacing w:val="-7"/>
                <w:sz w:val="16"/>
              </w:rPr>
              <w:t xml:space="preserve"> </w:t>
            </w:r>
            <w:r>
              <w:rPr>
                <w:rFonts w:ascii="Arial MT" w:hAnsi="Arial MT"/>
                <w:spacing w:val="-2"/>
                <w:sz w:val="16"/>
              </w:rPr>
              <w:t>Financiamentos</w:t>
            </w:r>
          </w:p>
        </w:tc>
        <w:tc>
          <w:tcPr>
            <w:tcW w:w="1389" w:type="dxa"/>
            <w:tcBorders>
              <w:top w:val="single" w:sz="4" w:space="0" w:color="3616F6"/>
              <w:left w:val="single" w:sz="4" w:space="0" w:color="3616F6"/>
              <w:right w:val="single" w:sz="4" w:space="0" w:color="3616F6"/>
            </w:tcBorders>
            <w:shd w:val="clear" w:color="auto" w:fill="66FFFF"/>
          </w:tcPr>
          <w:p w14:paraId="2C943A35" w14:textId="77777777" w:rsidR="002C6574" w:rsidRDefault="00000000">
            <w:pPr>
              <w:pStyle w:val="TableParagraph"/>
              <w:spacing w:before="15" w:line="183" w:lineRule="exact"/>
              <w:ind w:right="63"/>
              <w:rPr>
                <w:rFonts w:ascii="Arial MT"/>
                <w:sz w:val="16"/>
              </w:rPr>
            </w:pPr>
            <w:r>
              <w:rPr>
                <w:rFonts w:ascii="Arial MT"/>
                <w:spacing w:val="-2"/>
                <w:sz w:val="16"/>
              </w:rPr>
              <w:t>14.786</w:t>
            </w:r>
          </w:p>
        </w:tc>
        <w:tc>
          <w:tcPr>
            <w:tcW w:w="1390" w:type="dxa"/>
            <w:tcBorders>
              <w:top w:val="single" w:sz="4" w:space="0" w:color="3616F6"/>
              <w:left w:val="single" w:sz="4" w:space="0" w:color="3616F6"/>
              <w:right w:val="single" w:sz="4" w:space="0" w:color="3616F6"/>
            </w:tcBorders>
          </w:tcPr>
          <w:p w14:paraId="4D89CB09" w14:textId="77777777" w:rsidR="002C6574" w:rsidRDefault="00000000">
            <w:pPr>
              <w:pStyle w:val="TableParagraph"/>
              <w:spacing w:before="15" w:line="183" w:lineRule="exact"/>
              <w:ind w:right="63"/>
              <w:rPr>
                <w:rFonts w:ascii="Arial MT"/>
                <w:sz w:val="16"/>
              </w:rPr>
            </w:pPr>
            <w:r>
              <w:rPr>
                <w:rFonts w:ascii="Arial MT"/>
                <w:spacing w:val="-2"/>
                <w:sz w:val="16"/>
              </w:rPr>
              <w:t>4.139</w:t>
            </w:r>
          </w:p>
        </w:tc>
        <w:tc>
          <w:tcPr>
            <w:tcW w:w="1656" w:type="dxa"/>
            <w:tcBorders>
              <w:top w:val="single" w:sz="4" w:space="0" w:color="3616F6"/>
              <w:left w:val="single" w:sz="4" w:space="0" w:color="3616F6"/>
            </w:tcBorders>
          </w:tcPr>
          <w:p w14:paraId="3A3EF28F" w14:textId="77777777" w:rsidR="002C6574" w:rsidRDefault="00000000">
            <w:pPr>
              <w:pStyle w:val="TableParagraph"/>
              <w:spacing w:before="15" w:line="183" w:lineRule="exact"/>
              <w:ind w:right="68"/>
              <w:rPr>
                <w:rFonts w:ascii="Arial MT"/>
                <w:sz w:val="16"/>
              </w:rPr>
            </w:pPr>
            <w:r>
              <w:rPr>
                <w:rFonts w:ascii="Arial MT"/>
                <w:spacing w:val="-2"/>
                <w:sz w:val="16"/>
              </w:rPr>
              <w:t>53.689</w:t>
            </w:r>
          </w:p>
        </w:tc>
      </w:tr>
      <w:tr w:rsidR="002C6574" w14:paraId="7BB7EDE7" w14:textId="77777777">
        <w:trPr>
          <w:trHeight w:val="215"/>
        </w:trPr>
        <w:tc>
          <w:tcPr>
            <w:tcW w:w="6054" w:type="dxa"/>
            <w:tcBorders>
              <w:right w:val="single" w:sz="4" w:space="0" w:color="3616F6"/>
            </w:tcBorders>
          </w:tcPr>
          <w:p w14:paraId="4E89CC34" w14:textId="77777777" w:rsidR="002C6574" w:rsidRDefault="00000000">
            <w:pPr>
              <w:pStyle w:val="TableParagraph"/>
              <w:spacing w:before="14" w:line="181" w:lineRule="exact"/>
              <w:ind w:left="550"/>
              <w:jc w:val="left"/>
              <w:rPr>
                <w:rFonts w:ascii="Arial"/>
                <w:i/>
                <w:sz w:val="16"/>
              </w:rPr>
            </w:pPr>
            <w:r>
              <w:rPr>
                <w:rFonts w:ascii="Arial"/>
                <w:i/>
                <w:spacing w:val="-2"/>
                <w:sz w:val="16"/>
              </w:rPr>
              <w:t>Financiamento</w:t>
            </w:r>
            <w:r>
              <w:rPr>
                <w:rFonts w:ascii="Arial"/>
                <w:i/>
                <w:spacing w:val="13"/>
                <w:sz w:val="16"/>
              </w:rPr>
              <w:t xml:space="preserve"> </w:t>
            </w:r>
            <w:r>
              <w:rPr>
                <w:rFonts w:ascii="Arial"/>
                <w:i/>
                <w:spacing w:val="-2"/>
                <w:sz w:val="16"/>
              </w:rPr>
              <w:t>FINEP</w:t>
            </w:r>
          </w:p>
        </w:tc>
        <w:tc>
          <w:tcPr>
            <w:tcW w:w="1389" w:type="dxa"/>
            <w:tcBorders>
              <w:left w:val="single" w:sz="4" w:space="0" w:color="3616F6"/>
              <w:right w:val="single" w:sz="4" w:space="0" w:color="3616F6"/>
            </w:tcBorders>
            <w:shd w:val="clear" w:color="auto" w:fill="66FFFF"/>
          </w:tcPr>
          <w:p w14:paraId="176BB75E" w14:textId="77777777" w:rsidR="002C6574" w:rsidRDefault="00000000">
            <w:pPr>
              <w:pStyle w:val="TableParagraph"/>
              <w:spacing w:before="14" w:line="181" w:lineRule="exact"/>
              <w:ind w:right="63"/>
              <w:rPr>
                <w:rFonts w:ascii="Arial"/>
                <w:i/>
                <w:sz w:val="16"/>
              </w:rPr>
            </w:pPr>
            <w:r>
              <w:rPr>
                <w:rFonts w:ascii="Arial"/>
                <w:i/>
                <w:spacing w:val="-10"/>
                <w:sz w:val="16"/>
              </w:rPr>
              <w:t>-</w:t>
            </w:r>
          </w:p>
        </w:tc>
        <w:tc>
          <w:tcPr>
            <w:tcW w:w="1390" w:type="dxa"/>
            <w:tcBorders>
              <w:left w:val="single" w:sz="4" w:space="0" w:color="3616F6"/>
              <w:right w:val="single" w:sz="4" w:space="0" w:color="3616F6"/>
            </w:tcBorders>
          </w:tcPr>
          <w:p w14:paraId="1A6647C6" w14:textId="77777777" w:rsidR="002C6574" w:rsidRDefault="00000000">
            <w:pPr>
              <w:pStyle w:val="TableParagraph"/>
              <w:spacing w:before="14" w:line="181" w:lineRule="exact"/>
              <w:ind w:right="63"/>
              <w:rPr>
                <w:rFonts w:ascii="Arial"/>
                <w:i/>
                <w:sz w:val="16"/>
              </w:rPr>
            </w:pPr>
            <w:r>
              <w:rPr>
                <w:rFonts w:ascii="Arial"/>
                <w:i/>
                <w:spacing w:val="-10"/>
                <w:sz w:val="16"/>
              </w:rPr>
              <w:t>-</w:t>
            </w:r>
          </w:p>
        </w:tc>
        <w:tc>
          <w:tcPr>
            <w:tcW w:w="1656" w:type="dxa"/>
            <w:tcBorders>
              <w:left w:val="single" w:sz="4" w:space="0" w:color="3616F6"/>
            </w:tcBorders>
          </w:tcPr>
          <w:p w14:paraId="60DC3A5D" w14:textId="77777777" w:rsidR="002C6574" w:rsidRDefault="00000000">
            <w:pPr>
              <w:pStyle w:val="TableParagraph"/>
              <w:spacing w:before="14" w:line="181" w:lineRule="exact"/>
              <w:ind w:right="68"/>
              <w:rPr>
                <w:rFonts w:ascii="Arial"/>
                <w:i/>
                <w:sz w:val="16"/>
              </w:rPr>
            </w:pPr>
            <w:r>
              <w:rPr>
                <w:rFonts w:ascii="Arial"/>
                <w:i/>
                <w:spacing w:val="-2"/>
                <w:sz w:val="16"/>
              </w:rPr>
              <w:t>44.892</w:t>
            </w:r>
          </w:p>
        </w:tc>
      </w:tr>
      <w:tr w:rsidR="002C6574" w14:paraId="5AAC2DB5" w14:textId="77777777">
        <w:trPr>
          <w:trHeight w:val="214"/>
        </w:trPr>
        <w:tc>
          <w:tcPr>
            <w:tcW w:w="6054" w:type="dxa"/>
            <w:tcBorders>
              <w:right w:val="single" w:sz="4" w:space="0" w:color="3616F6"/>
            </w:tcBorders>
          </w:tcPr>
          <w:p w14:paraId="5A2EBB3D" w14:textId="77777777" w:rsidR="002C6574" w:rsidRDefault="00000000">
            <w:pPr>
              <w:pStyle w:val="TableParagraph"/>
              <w:spacing w:before="12" w:line="182" w:lineRule="exact"/>
              <w:ind w:left="550"/>
              <w:jc w:val="left"/>
              <w:rPr>
                <w:rFonts w:ascii="Arial"/>
                <w:i/>
                <w:sz w:val="16"/>
              </w:rPr>
            </w:pPr>
            <w:r>
              <w:rPr>
                <w:rFonts w:ascii="Arial"/>
                <w:i/>
                <w:sz w:val="16"/>
              </w:rPr>
              <w:t>Arrendamento</w:t>
            </w:r>
            <w:r>
              <w:rPr>
                <w:rFonts w:ascii="Arial"/>
                <w:i/>
                <w:spacing w:val="-9"/>
                <w:sz w:val="16"/>
              </w:rPr>
              <w:t xml:space="preserve"> </w:t>
            </w:r>
            <w:r>
              <w:rPr>
                <w:rFonts w:ascii="Arial"/>
                <w:i/>
                <w:sz w:val="16"/>
              </w:rPr>
              <w:t>Mercantil</w:t>
            </w:r>
            <w:r>
              <w:rPr>
                <w:rFonts w:ascii="Arial"/>
                <w:i/>
                <w:spacing w:val="-8"/>
                <w:sz w:val="16"/>
              </w:rPr>
              <w:t xml:space="preserve"> </w:t>
            </w:r>
            <w:r>
              <w:rPr>
                <w:rFonts w:ascii="Arial"/>
                <w:i/>
                <w:spacing w:val="-2"/>
                <w:sz w:val="16"/>
              </w:rPr>
              <w:t>Financeiro</w:t>
            </w:r>
          </w:p>
        </w:tc>
        <w:tc>
          <w:tcPr>
            <w:tcW w:w="1389" w:type="dxa"/>
            <w:tcBorders>
              <w:left w:val="single" w:sz="4" w:space="0" w:color="3616F6"/>
              <w:right w:val="single" w:sz="4" w:space="0" w:color="3616F6"/>
            </w:tcBorders>
            <w:shd w:val="clear" w:color="auto" w:fill="66FFFF"/>
          </w:tcPr>
          <w:p w14:paraId="4DD20AF8" w14:textId="77777777" w:rsidR="002C6574" w:rsidRDefault="00000000">
            <w:pPr>
              <w:pStyle w:val="TableParagraph"/>
              <w:spacing w:before="12" w:line="182" w:lineRule="exact"/>
              <w:ind w:right="63"/>
              <w:rPr>
                <w:rFonts w:ascii="Arial"/>
                <w:i/>
                <w:sz w:val="16"/>
              </w:rPr>
            </w:pPr>
            <w:r>
              <w:rPr>
                <w:rFonts w:ascii="Arial"/>
                <w:i/>
                <w:spacing w:val="-2"/>
                <w:sz w:val="16"/>
              </w:rPr>
              <w:t>14.786</w:t>
            </w:r>
          </w:p>
        </w:tc>
        <w:tc>
          <w:tcPr>
            <w:tcW w:w="1390" w:type="dxa"/>
            <w:tcBorders>
              <w:left w:val="single" w:sz="4" w:space="0" w:color="3616F6"/>
              <w:right w:val="single" w:sz="4" w:space="0" w:color="3616F6"/>
            </w:tcBorders>
          </w:tcPr>
          <w:p w14:paraId="0DFBB6F2" w14:textId="77777777" w:rsidR="002C6574" w:rsidRDefault="00000000">
            <w:pPr>
              <w:pStyle w:val="TableParagraph"/>
              <w:spacing w:before="12" w:line="182" w:lineRule="exact"/>
              <w:ind w:right="63"/>
              <w:rPr>
                <w:rFonts w:ascii="Arial"/>
                <w:i/>
                <w:sz w:val="16"/>
              </w:rPr>
            </w:pPr>
            <w:r>
              <w:rPr>
                <w:rFonts w:ascii="Arial"/>
                <w:i/>
                <w:spacing w:val="-2"/>
                <w:sz w:val="16"/>
              </w:rPr>
              <w:t>4.139</w:t>
            </w:r>
          </w:p>
        </w:tc>
        <w:tc>
          <w:tcPr>
            <w:tcW w:w="1656" w:type="dxa"/>
            <w:tcBorders>
              <w:left w:val="single" w:sz="4" w:space="0" w:color="3616F6"/>
            </w:tcBorders>
          </w:tcPr>
          <w:p w14:paraId="0CA61624" w14:textId="77777777" w:rsidR="002C6574" w:rsidRDefault="00000000">
            <w:pPr>
              <w:pStyle w:val="TableParagraph"/>
              <w:spacing w:before="12" w:line="182" w:lineRule="exact"/>
              <w:ind w:right="68"/>
              <w:rPr>
                <w:rFonts w:ascii="Arial"/>
                <w:i/>
                <w:sz w:val="16"/>
              </w:rPr>
            </w:pPr>
            <w:r>
              <w:rPr>
                <w:rFonts w:ascii="Arial"/>
                <w:i/>
                <w:spacing w:val="-2"/>
                <w:sz w:val="16"/>
              </w:rPr>
              <w:t>8.797</w:t>
            </w:r>
          </w:p>
        </w:tc>
      </w:tr>
      <w:tr w:rsidR="002C6574" w14:paraId="752FE08E" w14:textId="77777777">
        <w:trPr>
          <w:trHeight w:val="214"/>
        </w:trPr>
        <w:tc>
          <w:tcPr>
            <w:tcW w:w="6054" w:type="dxa"/>
            <w:tcBorders>
              <w:right w:val="single" w:sz="4" w:space="0" w:color="3616F6"/>
            </w:tcBorders>
          </w:tcPr>
          <w:p w14:paraId="1A624F4C" w14:textId="77777777" w:rsidR="002C6574" w:rsidRDefault="00000000">
            <w:pPr>
              <w:pStyle w:val="TableParagraph"/>
              <w:spacing w:before="13" w:line="181" w:lineRule="exact"/>
              <w:ind w:left="249"/>
              <w:jc w:val="left"/>
              <w:rPr>
                <w:rFonts w:ascii="Arial MT" w:hAnsi="Arial MT"/>
                <w:sz w:val="16"/>
              </w:rPr>
            </w:pPr>
            <w:r>
              <w:rPr>
                <w:rFonts w:ascii="Arial MT" w:hAnsi="Arial MT"/>
                <w:sz w:val="16"/>
              </w:rPr>
              <w:t>Provisão</w:t>
            </w:r>
            <w:r>
              <w:rPr>
                <w:rFonts w:ascii="Arial MT" w:hAnsi="Arial MT"/>
                <w:spacing w:val="-6"/>
                <w:sz w:val="16"/>
              </w:rPr>
              <w:t xml:space="preserve"> </w:t>
            </w:r>
            <w:r>
              <w:rPr>
                <w:rFonts w:ascii="Arial MT" w:hAnsi="Arial MT"/>
                <w:sz w:val="16"/>
              </w:rPr>
              <w:t>para</w:t>
            </w:r>
            <w:r>
              <w:rPr>
                <w:rFonts w:ascii="Arial MT" w:hAnsi="Arial MT"/>
                <w:spacing w:val="-6"/>
                <w:sz w:val="16"/>
              </w:rPr>
              <w:t xml:space="preserve"> </w:t>
            </w:r>
            <w:r>
              <w:rPr>
                <w:rFonts w:ascii="Arial MT" w:hAnsi="Arial MT"/>
                <w:sz w:val="16"/>
              </w:rPr>
              <w:t>Riscos</w:t>
            </w:r>
            <w:r>
              <w:rPr>
                <w:rFonts w:ascii="Arial MT" w:hAnsi="Arial MT"/>
                <w:spacing w:val="-6"/>
                <w:sz w:val="16"/>
              </w:rPr>
              <w:t xml:space="preserve"> </w:t>
            </w:r>
            <w:r>
              <w:rPr>
                <w:rFonts w:ascii="Arial MT" w:hAnsi="Arial MT"/>
                <w:sz w:val="16"/>
              </w:rPr>
              <w:t>Trabalhistas,</w:t>
            </w:r>
            <w:r>
              <w:rPr>
                <w:rFonts w:ascii="Arial MT" w:hAnsi="Arial MT"/>
                <w:spacing w:val="-6"/>
                <w:sz w:val="16"/>
              </w:rPr>
              <w:t xml:space="preserve"> </w:t>
            </w:r>
            <w:r>
              <w:rPr>
                <w:rFonts w:ascii="Arial MT" w:hAnsi="Arial MT"/>
                <w:sz w:val="16"/>
              </w:rPr>
              <w:t>Cíveis</w:t>
            </w:r>
            <w:r>
              <w:rPr>
                <w:rFonts w:ascii="Arial MT" w:hAnsi="Arial MT"/>
                <w:spacing w:val="-6"/>
                <w:sz w:val="16"/>
              </w:rPr>
              <w:t xml:space="preserve"> </w:t>
            </w:r>
            <w:r>
              <w:rPr>
                <w:rFonts w:ascii="Arial MT" w:hAnsi="Arial MT"/>
                <w:sz w:val="16"/>
              </w:rPr>
              <w:t>e</w:t>
            </w:r>
            <w:r>
              <w:rPr>
                <w:rFonts w:ascii="Arial MT" w:hAnsi="Arial MT"/>
                <w:spacing w:val="-5"/>
                <w:sz w:val="16"/>
              </w:rPr>
              <w:t xml:space="preserve"> </w:t>
            </w:r>
            <w:r>
              <w:rPr>
                <w:rFonts w:ascii="Arial MT" w:hAnsi="Arial MT"/>
                <w:spacing w:val="-2"/>
                <w:sz w:val="16"/>
              </w:rPr>
              <w:t>Fiscais</w:t>
            </w:r>
          </w:p>
        </w:tc>
        <w:tc>
          <w:tcPr>
            <w:tcW w:w="1389" w:type="dxa"/>
            <w:tcBorders>
              <w:left w:val="single" w:sz="4" w:space="0" w:color="3616F6"/>
              <w:right w:val="single" w:sz="4" w:space="0" w:color="3616F6"/>
            </w:tcBorders>
            <w:shd w:val="clear" w:color="auto" w:fill="66FFFF"/>
          </w:tcPr>
          <w:p w14:paraId="4888E895" w14:textId="77777777" w:rsidR="002C6574" w:rsidRDefault="00000000">
            <w:pPr>
              <w:pStyle w:val="TableParagraph"/>
              <w:spacing w:before="13" w:line="181" w:lineRule="exact"/>
              <w:ind w:right="63"/>
              <w:rPr>
                <w:rFonts w:ascii="Arial MT"/>
                <w:sz w:val="16"/>
              </w:rPr>
            </w:pPr>
            <w:r>
              <w:rPr>
                <w:rFonts w:ascii="Arial MT"/>
                <w:spacing w:val="-2"/>
                <w:sz w:val="16"/>
              </w:rPr>
              <w:t>66.303</w:t>
            </w:r>
          </w:p>
        </w:tc>
        <w:tc>
          <w:tcPr>
            <w:tcW w:w="1390" w:type="dxa"/>
            <w:tcBorders>
              <w:left w:val="single" w:sz="4" w:space="0" w:color="3616F6"/>
              <w:right w:val="single" w:sz="4" w:space="0" w:color="3616F6"/>
            </w:tcBorders>
          </w:tcPr>
          <w:p w14:paraId="474F6B07" w14:textId="77777777" w:rsidR="002C6574" w:rsidRDefault="00000000">
            <w:pPr>
              <w:pStyle w:val="TableParagraph"/>
              <w:spacing w:before="13" w:line="181" w:lineRule="exact"/>
              <w:ind w:right="63"/>
              <w:rPr>
                <w:rFonts w:ascii="Arial MT"/>
                <w:sz w:val="16"/>
              </w:rPr>
            </w:pPr>
            <w:r>
              <w:rPr>
                <w:rFonts w:ascii="Arial MT"/>
                <w:spacing w:val="-2"/>
                <w:sz w:val="16"/>
              </w:rPr>
              <w:t>59.881</w:t>
            </w:r>
          </w:p>
        </w:tc>
        <w:tc>
          <w:tcPr>
            <w:tcW w:w="1656" w:type="dxa"/>
            <w:tcBorders>
              <w:left w:val="single" w:sz="4" w:space="0" w:color="3616F6"/>
            </w:tcBorders>
          </w:tcPr>
          <w:p w14:paraId="4CC9CFA6" w14:textId="77777777" w:rsidR="002C6574" w:rsidRDefault="00000000">
            <w:pPr>
              <w:pStyle w:val="TableParagraph"/>
              <w:spacing w:before="13" w:line="181" w:lineRule="exact"/>
              <w:ind w:right="68"/>
              <w:rPr>
                <w:rFonts w:ascii="Arial MT"/>
                <w:sz w:val="16"/>
              </w:rPr>
            </w:pPr>
            <w:r>
              <w:rPr>
                <w:rFonts w:ascii="Arial MT"/>
                <w:spacing w:val="-2"/>
                <w:sz w:val="16"/>
              </w:rPr>
              <w:t>54.590</w:t>
            </w:r>
          </w:p>
        </w:tc>
      </w:tr>
      <w:tr w:rsidR="002C6574" w14:paraId="24846462" w14:textId="77777777">
        <w:trPr>
          <w:trHeight w:val="214"/>
        </w:trPr>
        <w:tc>
          <w:tcPr>
            <w:tcW w:w="6054" w:type="dxa"/>
            <w:tcBorders>
              <w:right w:val="single" w:sz="4" w:space="0" w:color="3616F6"/>
            </w:tcBorders>
          </w:tcPr>
          <w:p w14:paraId="48C68BD7" w14:textId="77777777" w:rsidR="002C6574" w:rsidRDefault="00000000">
            <w:pPr>
              <w:pStyle w:val="TableParagraph"/>
              <w:spacing w:before="12" w:line="182" w:lineRule="exact"/>
              <w:ind w:left="249"/>
              <w:jc w:val="left"/>
              <w:rPr>
                <w:rFonts w:ascii="Arial MT" w:hAnsi="Arial MT"/>
                <w:sz w:val="16"/>
              </w:rPr>
            </w:pPr>
            <w:r>
              <w:rPr>
                <w:rFonts w:ascii="Arial MT" w:hAnsi="Arial MT"/>
                <w:sz w:val="16"/>
              </w:rPr>
              <w:t>Provisão</w:t>
            </w:r>
            <w:r>
              <w:rPr>
                <w:rFonts w:ascii="Arial MT" w:hAnsi="Arial MT"/>
                <w:spacing w:val="-9"/>
                <w:sz w:val="16"/>
              </w:rPr>
              <w:t xml:space="preserve"> </w:t>
            </w:r>
            <w:r>
              <w:rPr>
                <w:rFonts w:ascii="Arial MT" w:hAnsi="Arial MT"/>
                <w:sz w:val="16"/>
              </w:rPr>
              <w:t>Programa</w:t>
            </w:r>
            <w:r>
              <w:rPr>
                <w:rFonts w:ascii="Arial MT" w:hAnsi="Arial MT"/>
                <w:spacing w:val="-7"/>
                <w:sz w:val="16"/>
              </w:rPr>
              <w:t xml:space="preserve"> </w:t>
            </w:r>
            <w:r>
              <w:rPr>
                <w:rFonts w:ascii="Arial MT" w:hAnsi="Arial MT"/>
                <w:sz w:val="16"/>
              </w:rPr>
              <w:t>Indenização</w:t>
            </w:r>
            <w:r>
              <w:rPr>
                <w:rFonts w:ascii="Arial MT" w:hAnsi="Arial MT"/>
                <w:spacing w:val="-10"/>
                <w:sz w:val="16"/>
              </w:rPr>
              <w:t xml:space="preserve"> </w:t>
            </w:r>
            <w:r>
              <w:rPr>
                <w:rFonts w:ascii="Arial MT" w:hAnsi="Arial MT"/>
                <w:sz w:val="16"/>
              </w:rPr>
              <w:t>por</w:t>
            </w:r>
            <w:r>
              <w:rPr>
                <w:rFonts w:ascii="Arial MT" w:hAnsi="Arial MT"/>
                <w:spacing w:val="-7"/>
                <w:sz w:val="16"/>
              </w:rPr>
              <w:t xml:space="preserve"> </w:t>
            </w:r>
            <w:r>
              <w:rPr>
                <w:rFonts w:ascii="Arial MT" w:hAnsi="Arial MT"/>
                <w:sz w:val="16"/>
              </w:rPr>
              <w:t>Serviços</w:t>
            </w:r>
            <w:r>
              <w:rPr>
                <w:rFonts w:ascii="Arial MT" w:hAnsi="Arial MT"/>
                <w:spacing w:val="-7"/>
                <w:sz w:val="16"/>
              </w:rPr>
              <w:t xml:space="preserve"> </w:t>
            </w:r>
            <w:r>
              <w:rPr>
                <w:rFonts w:ascii="Arial MT" w:hAnsi="Arial MT"/>
                <w:spacing w:val="-2"/>
                <w:sz w:val="16"/>
              </w:rPr>
              <w:t>Prestados</w:t>
            </w:r>
          </w:p>
        </w:tc>
        <w:tc>
          <w:tcPr>
            <w:tcW w:w="1389" w:type="dxa"/>
            <w:tcBorders>
              <w:left w:val="single" w:sz="4" w:space="0" w:color="3616F6"/>
              <w:right w:val="single" w:sz="4" w:space="0" w:color="3616F6"/>
            </w:tcBorders>
            <w:shd w:val="clear" w:color="auto" w:fill="66FFFF"/>
          </w:tcPr>
          <w:p w14:paraId="03EF9272" w14:textId="77777777" w:rsidR="002C6574" w:rsidRDefault="00000000">
            <w:pPr>
              <w:pStyle w:val="TableParagraph"/>
              <w:spacing w:before="12" w:line="182" w:lineRule="exact"/>
              <w:ind w:right="63"/>
              <w:rPr>
                <w:rFonts w:ascii="Arial MT"/>
                <w:sz w:val="16"/>
              </w:rPr>
            </w:pPr>
            <w:r>
              <w:rPr>
                <w:rFonts w:ascii="Arial MT"/>
                <w:spacing w:val="-2"/>
                <w:sz w:val="16"/>
              </w:rPr>
              <w:t>19.075</w:t>
            </w:r>
          </w:p>
        </w:tc>
        <w:tc>
          <w:tcPr>
            <w:tcW w:w="1390" w:type="dxa"/>
            <w:tcBorders>
              <w:left w:val="single" w:sz="4" w:space="0" w:color="3616F6"/>
              <w:right w:val="single" w:sz="4" w:space="0" w:color="3616F6"/>
            </w:tcBorders>
          </w:tcPr>
          <w:p w14:paraId="18D1E301" w14:textId="77777777" w:rsidR="002C6574" w:rsidRDefault="00000000">
            <w:pPr>
              <w:pStyle w:val="TableParagraph"/>
              <w:spacing w:before="12" w:line="182" w:lineRule="exact"/>
              <w:ind w:right="63"/>
              <w:rPr>
                <w:rFonts w:ascii="Arial MT"/>
                <w:sz w:val="16"/>
              </w:rPr>
            </w:pPr>
            <w:r>
              <w:rPr>
                <w:rFonts w:ascii="Arial MT"/>
                <w:spacing w:val="-2"/>
                <w:sz w:val="16"/>
              </w:rPr>
              <w:t>20.923</w:t>
            </w:r>
          </w:p>
        </w:tc>
        <w:tc>
          <w:tcPr>
            <w:tcW w:w="1656" w:type="dxa"/>
            <w:tcBorders>
              <w:left w:val="single" w:sz="4" w:space="0" w:color="3616F6"/>
            </w:tcBorders>
          </w:tcPr>
          <w:p w14:paraId="46FE4AB2" w14:textId="77777777" w:rsidR="002C6574" w:rsidRDefault="00000000">
            <w:pPr>
              <w:pStyle w:val="TableParagraph"/>
              <w:spacing w:before="12" w:line="182" w:lineRule="exact"/>
              <w:ind w:right="68"/>
              <w:rPr>
                <w:rFonts w:ascii="Arial MT"/>
                <w:sz w:val="16"/>
              </w:rPr>
            </w:pPr>
            <w:r>
              <w:rPr>
                <w:rFonts w:ascii="Arial MT"/>
                <w:spacing w:val="-2"/>
                <w:sz w:val="16"/>
              </w:rPr>
              <w:t>21.910</w:t>
            </w:r>
          </w:p>
        </w:tc>
      </w:tr>
      <w:tr w:rsidR="002C6574" w14:paraId="23651094" w14:textId="77777777">
        <w:trPr>
          <w:trHeight w:val="216"/>
        </w:trPr>
        <w:tc>
          <w:tcPr>
            <w:tcW w:w="6054" w:type="dxa"/>
            <w:tcBorders>
              <w:right w:val="single" w:sz="4" w:space="0" w:color="3616F6"/>
            </w:tcBorders>
          </w:tcPr>
          <w:p w14:paraId="060BD5A7" w14:textId="77777777" w:rsidR="002C6574" w:rsidRDefault="00000000">
            <w:pPr>
              <w:pStyle w:val="TableParagraph"/>
              <w:spacing w:before="13" w:line="182" w:lineRule="exact"/>
              <w:ind w:left="249"/>
              <w:jc w:val="left"/>
              <w:rPr>
                <w:rFonts w:ascii="Arial MT"/>
                <w:sz w:val="16"/>
              </w:rPr>
            </w:pPr>
            <w:r>
              <w:rPr>
                <w:rFonts w:ascii="Arial MT"/>
                <w:sz w:val="16"/>
              </w:rPr>
              <w:t>Credores</w:t>
            </w:r>
            <w:r>
              <w:rPr>
                <w:rFonts w:ascii="Arial MT"/>
                <w:spacing w:val="-3"/>
                <w:sz w:val="16"/>
              </w:rPr>
              <w:t xml:space="preserve"> </w:t>
            </w:r>
            <w:r>
              <w:rPr>
                <w:rFonts w:ascii="Arial MT"/>
                <w:sz w:val="16"/>
              </w:rPr>
              <w:t>por</w:t>
            </w:r>
            <w:r>
              <w:rPr>
                <w:rFonts w:ascii="Arial MT"/>
                <w:spacing w:val="-6"/>
                <w:sz w:val="16"/>
              </w:rPr>
              <w:t xml:space="preserve"> </w:t>
            </w:r>
            <w:r>
              <w:rPr>
                <w:rFonts w:ascii="Arial MT"/>
                <w:sz w:val="16"/>
              </w:rPr>
              <w:t>Perdas</w:t>
            </w:r>
            <w:r>
              <w:rPr>
                <w:rFonts w:ascii="Arial MT"/>
                <w:spacing w:val="-5"/>
                <w:sz w:val="16"/>
              </w:rPr>
              <w:t xml:space="preserve"> </w:t>
            </w:r>
            <w:r>
              <w:rPr>
                <w:rFonts w:ascii="Arial MT"/>
                <w:spacing w:val="-2"/>
                <w:sz w:val="16"/>
              </w:rPr>
              <w:t>Judiciais</w:t>
            </w:r>
          </w:p>
        </w:tc>
        <w:tc>
          <w:tcPr>
            <w:tcW w:w="1389" w:type="dxa"/>
            <w:tcBorders>
              <w:left w:val="single" w:sz="4" w:space="0" w:color="3616F6"/>
              <w:right w:val="single" w:sz="4" w:space="0" w:color="3616F6"/>
            </w:tcBorders>
            <w:shd w:val="clear" w:color="auto" w:fill="66FFFF"/>
          </w:tcPr>
          <w:p w14:paraId="0F10172D" w14:textId="77777777" w:rsidR="002C6574" w:rsidRDefault="00000000">
            <w:pPr>
              <w:pStyle w:val="TableParagraph"/>
              <w:spacing w:before="13" w:line="182" w:lineRule="exact"/>
              <w:ind w:right="63"/>
              <w:rPr>
                <w:rFonts w:ascii="Arial MT"/>
                <w:sz w:val="16"/>
              </w:rPr>
            </w:pPr>
            <w:r>
              <w:rPr>
                <w:rFonts w:ascii="Arial MT"/>
                <w:spacing w:val="-10"/>
                <w:sz w:val="16"/>
              </w:rPr>
              <w:t>-</w:t>
            </w:r>
          </w:p>
        </w:tc>
        <w:tc>
          <w:tcPr>
            <w:tcW w:w="1390" w:type="dxa"/>
            <w:tcBorders>
              <w:left w:val="single" w:sz="4" w:space="0" w:color="3616F6"/>
              <w:right w:val="single" w:sz="4" w:space="0" w:color="3616F6"/>
            </w:tcBorders>
          </w:tcPr>
          <w:p w14:paraId="7755D2F7" w14:textId="77777777" w:rsidR="002C6574" w:rsidRDefault="00000000">
            <w:pPr>
              <w:pStyle w:val="TableParagraph"/>
              <w:spacing w:before="13" w:line="182" w:lineRule="exact"/>
              <w:ind w:right="63"/>
              <w:rPr>
                <w:rFonts w:ascii="Arial MT"/>
                <w:sz w:val="16"/>
              </w:rPr>
            </w:pPr>
            <w:r>
              <w:rPr>
                <w:rFonts w:ascii="Arial MT"/>
                <w:spacing w:val="-2"/>
                <w:sz w:val="16"/>
              </w:rPr>
              <w:t>102.247</w:t>
            </w:r>
          </w:p>
        </w:tc>
        <w:tc>
          <w:tcPr>
            <w:tcW w:w="1656" w:type="dxa"/>
            <w:tcBorders>
              <w:left w:val="single" w:sz="4" w:space="0" w:color="3616F6"/>
            </w:tcBorders>
          </w:tcPr>
          <w:p w14:paraId="328B41B8" w14:textId="77777777" w:rsidR="002C6574" w:rsidRDefault="00000000">
            <w:pPr>
              <w:pStyle w:val="TableParagraph"/>
              <w:spacing w:before="13" w:line="182" w:lineRule="exact"/>
              <w:ind w:right="68"/>
              <w:rPr>
                <w:rFonts w:ascii="Arial MT"/>
                <w:sz w:val="16"/>
              </w:rPr>
            </w:pPr>
            <w:r>
              <w:rPr>
                <w:rFonts w:ascii="Arial MT"/>
                <w:spacing w:val="-2"/>
                <w:sz w:val="16"/>
              </w:rPr>
              <w:t>116.004</w:t>
            </w:r>
          </w:p>
        </w:tc>
      </w:tr>
      <w:tr w:rsidR="002C6574" w14:paraId="4BFDC52B" w14:textId="77777777">
        <w:trPr>
          <w:trHeight w:val="214"/>
        </w:trPr>
        <w:tc>
          <w:tcPr>
            <w:tcW w:w="6054" w:type="dxa"/>
            <w:tcBorders>
              <w:right w:val="single" w:sz="4" w:space="0" w:color="3616F6"/>
            </w:tcBorders>
          </w:tcPr>
          <w:p w14:paraId="7739C458" w14:textId="77777777" w:rsidR="002C6574" w:rsidRDefault="00000000">
            <w:pPr>
              <w:pStyle w:val="TableParagraph"/>
              <w:spacing w:before="13" w:line="181" w:lineRule="exact"/>
              <w:ind w:left="249"/>
              <w:jc w:val="left"/>
              <w:rPr>
                <w:rFonts w:ascii="Arial MT" w:hAnsi="Arial MT"/>
                <w:sz w:val="16"/>
              </w:rPr>
            </w:pPr>
            <w:r>
              <w:rPr>
                <w:rFonts w:ascii="Arial MT" w:hAnsi="Arial MT"/>
                <w:sz w:val="16"/>
              </w:rPr>
              <w:t>Grupamento</w:t>
            </w:r>
            <w:r>
              <w:rPr>
                <w:rFonts w:ascii="Arial MT" w:hAnsi="Arial MT"/>
                <w:spacing w:val="-8"/>
                <w:sz w:val="16"/>
              </w:rPr>
              <w:t xml:space="preserve"> </w:t>
            </w:r>
            <w:r>
              <w:rPr>
                <w:rFonts w:ascii="Arial MT" w:hAnsi="Arial MT"/>
                <w:sz w:val="16"/>
              </w:rPr>
              <w:t>de</w:t>
            </w:r>
            <w:r>
              <w:rPr>
                <w:rFonts w:ascii="Arial MT" w:hAnsi="Arial MT"/>
                <w:spacing w:val="-6"/>
                <w:sz w:val="16"/>
              </w:rPr>
              <w:t xml:space="preserve"> </w:t>
            </w:r>
            <w:r>
              <w:rPr>
                <w:rFonts w:ascii="Arial MT" w:hAnsi="Arial MT"/>
                <w:spacing w:val="-2"/>
                <w:sz w:val="16"/>
              </w:rPr>
              <w:t>Ações</w:t>
            </w:r>
          </w:p>
        </w:tc>
        <w:tc>
          <w:tcPr>
            <w:tcW w:w="1389" w:type="dxa"/>
            <w:tcBorders>
              <w:left w:val="single" w:sz="4" w:space="0" w:color="3616F6"/>
              <w:right w:val="single" w:sz="4" w:space="0" w:color="3616F6"/>
            </w:tcBorders>
            <w:shd w:val="clear" w:color="auto" w:fill="66FFFF"/>
          </w:tcPr>
          <w:p w14:paraId="7E2E6837" w14:textId="77777777" w:rsidR="002C6574" w:rsidRDefault="00000000">
            <w:pPr>
              <w:pStyle w:val="TableParagraph"/>
              <w:spacing w:before="13" w:line="181" w:lineRule="exact"/>
              <w:ind w:right="64"/>
              <w:rPr>
                <w:rFonts w:ascii="Arial MT"/>
                <w:sz w:val="16"/>
              </w:rPr>
            </w:pPr>
            <w:r>
              <w:rPr>
                <w:rFonts w:ascii="Arial MT"/>
                <w:spacing w:val="-5"/>
                <w:sz w:val="16"/>
              </w:rPr>
              <w:t>680</w:t>
            </w:r>
          </w:p>
        </w:tc>
        <w:tc>
          <w:tcPr>
            <w:tcW w:w="1390" w:type="dxa"/>
            <w:tcBorders>
              <w:left w:val="single" w:sz="4" w:space="0" w:color="3616F6"/>
              <w:right w:val="single" w:sz="4" w:space="0" w:color="3616F6"/>
            </w:tcBorders>
          </w:tcPr>
          <w:p w14:paraId="5560F6BF" w14:textId="77777777" w:rsidR="002C6574" w:rsidRDefault="00000000">
            <w:pPr>
              <w:pStyle w:val="TableParagraph"/>
              <w:spacing w:before="13" w:line="181" w:lineRule="exact"/>
              <w:ind w:right="65"/>
              <w:rPr>
                <w:rFonts w:ascii="Arial MT"/>
                <w:sz w:val="16"/>
              </w:rPr>
            </w:pPr>
            <w:r>
              <w:rPr>
                <w:rFonts w:ascii="Arial MT"/>
                <w:spacing w:val="-5"/>
                <w:sz w:val="16"/>
              </w:rPr>
              <w:t>680</w:t>
            </w:r>
          </w:p>
        </w:tc>
        <w:tc>
          <w:tcPr>
            <w:tcW w:w="1656" w:type="dxa"/>
            <w:tcBorders>
              <w:left w:val="single" w:sz="4" w:space="0" w:color="3616F6"/>
            </w:tcBorders>
          </w:tcPr>
          <w:p w14:paraId="03E6E577" w14:textId="77777777" w:rsidR="002C6574" w:rsidRDefault="00000000">
            <w:pPr>
              <w:pStyle w:val="TableParagraph"/>
              <w:spacing w:before="13" w:line="181" w:lineRule="exact"/>
              <w:ind w:right="70"/>
              <w:rPr>
                <w:rFonts w:ascii="Arial MT"/>
                <w:sz w:val="16"/>
              </w:rPr>
            </w:pPr>
            <w:r>
              <w:rPr>
                <w:rFonts w:ascii="Arial MT"/>
                <w:spacing w:val="-5"/>
                <w:sz w:val="16"/>
              </w:rPr>
              <w:t>680</w:t>
            </w:r>
          </w:p>
        </w:tc>
      </w:tr>
      <w:tr w:rsidR="002C6574" w14:paraId="7EC5CA41" w14:textId="77777777">
        <w:trPr>
          <w:trHeight w:val="214"/>
        </w:trPr>
        <w:tc>
          <w:tcPr>
            <w:tcW w:w="6054" w:type="dxa"/>
            <w:tcBorders>
              <w:right w:val="single" w:sz="4" w:space="0" w:color="3616F6"/>
            </w:tcBorders>
          </w:tcPr>
          <w:p w14:paraId="6181F2A3" w14:textId="77777777" w:rsidR="002C6574" w:rsidRDefault="00000000">
            <w:pPr>
              <w:pStyle w:val="TableParagraph"/>
              <w:spacing w:before="12" w:line="182" w:lineRule="exact"/>
              <w:ind w:left="249"/>
              <w:jc w:val="left"/>
              <w:rPr>
                <w:rFonts w:ascii="Arial MT" w:hAnsi="Arial MT"/>
                <w:sz w:val="16"/>
              </w:rPr>
            </w:pPr>
            <w:r>
              <w:rPr>
                <w:rFonts w:ascii="Arial MT" w:hAnsi="Arial MT"/>
                <w:sz w:val="16"/>
              </w:rPr>
              <w:t>Recursos</w:t>
            </w:r>
            <w:r>
              <w:rPr>
                <w:rFonts w:ascii="Arial MT" w:hAnsi="Arial MT"/>
                <w:spacing w:val="-8"/>
                <w:sz w:val="16"/>
              </w:rPr>
              <w:t xml:space="preserve"> </w:t>
            </w:r>
            <w:r>
              <w:rPr>
                <w:rFonts w:ascii="Arial MT" w:hAnsi="Arial MT"/>
                <w:sz w:val="16"/>
              </w:rPr>
              <w:t>Capitalizáveis</w:t>
            </w:r>
            <w:r>
              <w:rPr>
                <w:rFonts w:ascii="Arial MT" w:hAnsi="Arial MT"/>
                <w:spacing w:val="-4"/>
                <w:sz w:val="16"/>
              </w:rPr>
              <w:t xml:space="preserve"> </w:t>
            </w:r>
            <w:r>
              <w:rPr>
                <w:rFonts w:ascii="Arial MT" w:hAnsi="Arial MT"/>
                <w:sz w:val="16"/>
              </w:rPr>
              <w:t>-</w:t>
            </w:r>
            <w:r>
              <w:rPr>
                <w:rFonts w:ascii="Arial MT" w:hAnsi="Arial MT"/>
                <w:spacing w:val="-8"/>
                <w:sz w:val="16"/>
              </w:rPr>
              <w:t xml:space="preserve"> </w:t>
            </w:r>
            <w:r>
              <w:rPr>
                <w:rFonts w:ascii="Arial MT" w:hAnsi="Arial MT"/>
                <w:spacing w:val="-4"/>
                <w:sz w:val="16"/>
              </w:rPr>
              <w:t>AFAC</w:t>
            </w:r>
          </w:p>
        </w:tc>
        <w:tc>
          <w:tcPr>
            <w:tcW w:w="1389" w:type="dxa"/>
            <w:tcBorders>
              <w:left w:val="single" w:sz="4" w:space="0" w:color="3616F6"/>
              <w:right w:val="single" w:sz="4" w:space="0" w:color="3616F6"/>
            </w:tcBorders>
            <w:shd w:val="clear" w:color="auto" w:fill="66FFFF"/>
          </w:tcPr>
          <w:p w14:paraId="51464642" w14:textId="77777777" w:rsidR="002C6574" w:rsidRDefault="00000000">
            <w:pPr>
              <w:pStyle w:val="TableParagraph"/>
              <w:spacing w:before="12" w:line="182" w:lineRule="exact"/>
              <w:ind w:right="64"/>
              <w:rPr>
                <w:rFonts w:ascii="Arial MT"/>
                <w:sz w:val="16"/>
              </w:rPr>
            </w:pPr>
            <w:r>
              <w:rPr>
                <w:rFonts w:ascii="Arial MT"/>
                <w:spacing w:val="-2"/>
                <w:sz w:val="16"/>
              </w:rPr>
              <w:t>1.951.045</w:t>
            </w:r>
          </w:p>
        </w:tc>
        <w:tc>
          <w:tcPr>
            <w:tcW w:w="1390" w:type="dxa"/>
            <w:tcBorders>
              <w:left w:val="single" w:sz="4" w:space="0" w:color="3616F6"/>
              <w:right w:val="single" w:sz="4" w:space="0" w:color="3616F6"/>
            </w:tcBorders>
          </w:tcPr>
          <w:p w14:paraId="10023329" w14:textId="77777777" w:rsidR="002C6574" w:rsidRDefault="00000000">
            <w:pPr>
              <w:pStyle w:val="TableParagraph"/>
              <w:spacing w:before="12" w:line="182" w:lineRule="exact"/>
              <w:ind w:right="63"/>
              <w:rPr>
                <w:rFonts w:ascii="Arial MT"/>
                <w:sz w:val="16"/>
              </w:rPr>
            </w:pPr>
            <w:r>
              <w:rPr>
                <w:rFonts w:ascii="Arial MT"/>
                <w:spacing w:val="-2"/>
                <w:sz w:val="16"/>
              </w:rPr>
              <w:t>1.831.921</w:t>
            </w:r>
          </w:p>
        </w:tc>
        <w:tc>
          <w:tcPr>
            <w:tcW w:w="1656" w:type="dxa"/>
            <w:tcBorders>
              <w:left w:val="single" w:sz="4" w:space="0" w:color="3616F6"/>
            </w:tcBorders>
          </w:tcPr>
          <w:p w14:paraId="3F7175ED" w14:textId="77777777" w:rsidR="002C6574" w:rsidRDefault="00000000">
            <w:pPr>
              <w:pStyle w:val="TableParagraph"/>
              <w:spacing w:before="12" w:line="182" w:lineRule="exact"/>
              <w:ind w:right="68"/>
              <w:rPr>
                <w:rFonts w:ascii="Arial MT"/>
                <w:sz w:val="16"/>
              </w:rPr>
            </w:pPr>
            <w:r>
              <w:rPr>
                <w:rFonts w:ascii="Arial MT"/>
                <w:spacing w:val="-2"/>
                <w:sz w:val="16"/>
              </w:rPr>
              <w:t>1.740.318</w:t>
            </w:r>
          </w:p>
        </w:tc>
      </w:tr>
      <w:tr w:rsidR="002C6574" w14:paraId="79BC176B" w14:textId="77777777">
        <w:trPr>
          <w:trHeight w:val="211"/>
        </w:trPr>
        <w:tc>
          <w:tcPr>
            <w:tcW w:w="6054" w:type="dxa"/>
            <w:tcBorders>
              <w:bottom w:val="single" w:sz="4" w:space="0" w:color="3616F6"/>
              <w:right w:val="single" w:sz="4" w:space="0" w:color="3616F6"/>
            </w:tcBorders>
          </w:tcPr>
          <w:p w14:paraId="04ED128F" w14:textId="77777777" w:rsidR="002C6574" w:rsidRDefault="00000000">
            <w:pPr>
              <w:pStyle w:val="TableParagraph"/>
              <w:spacing w:before="13" w:line="178" w:lineRule="exact"/>
              <w:ind w:left="249"/>
              <w:jc w:val="left"/>
              <w:rPr>
                <w:rFonts w:ascii="Arial MT"/>
                <w:sz w:val="16"/>
              </w:rPr>
            </w:pPr>
            <w:r>
              <w:rPr>
                <w:rFonts w:ascii="Arial MT"/>
                <w:sz w:val="16"/>
              </w:rPr>
              <w:t>Receitas</w:t>
            </w:r>
            <w:r>
              <w:rPr>
                <w:rFonts w:ascii="Arial MT"/>
                <w:spacing w:val="-10"/>
                <w:sz w:val="16"/>
              </w:rPr>
              <w:t xml:space="preserve"> </w:t>
            </w:r>
            <w:r>
              <w:rPr>
                <w:rFonts w:ascii="Arial MT"/>
                <w:spacing w:val="-2"/>
                <w:sz w:val="16"/>
              </w:rPr>
              <w:t>Diferidas</w:t>
            </w:r>
          </w:p>
        </w:tc>
        <w:tc>
          <w:tcPr>
            <w:tcW w:w="1389" w:type="dxa"/>
            <w:tcBorders>
              <w:left w:val="single" w:sz="4" w:space="0" w:color="3616F6"/>
              <w:bottom w:val="single" w:sz="4" w:space="0" w:color="3616F6"/>
              <w:right w:val="single" w:sz="4" w:space="0" w:color="3616F6"/>
            </w:tcBorders>
            <w:shd w:val="clear" w:color="auto" w:fill="66FFFF"/>
          </w:tcPr>
          <w:p w14:paraId="15ED9DA4" w14:textId="77777777" w:rsidR="002C6574" w:rsidRDefault="00000000">
            <w:pPr>
              <w:pStyle w:val="TableParagraph"/>
              <w:spacing w:before="13" w:line="178" w:lineRule="exact"/>
              <w:ind w:right="63"/>
              <w:rPr>
                <w:rFonts w:ascii="Arial MT"/>
                <w:sz w:val="16"/>
              </w:rPr>
            </w:pPr>
            <w:r>
              <w:rPr>
                <w:rFonts w:ascii="Arial MT"/>
                <w:spacing w:val="-2"/>
                <w:sz w:val="16"/>
              </w:rPr>
              <w:t>241.351</w:t>
            </w:r>
          </w:p>
        </w:tc>
        <w:tc>
          <w:tcPr>
            <w:tcW w:w="1390" w:type="dxa"/>
            <w:tcBorders>
              <w:left w:val="single" w:sz="4" w:space="0" w:color="3616F6"/>
              <w:bottom w:val="single" w:sz="4" w:space="0" w:color="3616F6"/>
              <w:right w:val="single" w:sz="4" w:space="0" w:color="3616F6"/>
            </w:tcBorders>
          </w:tcPr>
          <w:p w14:paraId="57C55E10" w14:textId="77777777" w:rsidR="002C6574" w:rsidRDefault="00000000">
            <w:pPr>
              <w:pStyle w:val="TableParagraph"/>
              <w:spacing w:before="13" w:line="178" w:lineRule="exact"/>
              <w:ind w:right="63"/>
              <w:rPr>
                <w:rFonts w:ascii="Arial MT"/>
                <w:sz w:val="16"/>
              </w:rPr>
            </w:pPr>
            <w:r>
              <w:rPr>
                <w:rFonts w:ascii="Arial MT"/>
                <w:spacing w:val="-2"/>
                <w:sz w:val="16"/>
              </w:rPr>
              <w:t>273.605</w:t>
            </w:r>
          </w:p>
        </w:tc>
        <w:tc>
          <w:tcPr>
            <w:tcW w:w="1656" w:type="dxa"/>
            <w:tcBorders>
              <w:left w:val="single" w:sz="4" w:space="0" w:color="3616F6"/>
              <w:bottom w:val="single" w:sz="4" w:space="0" w:color="3616F6"/>
            </w:tcBorders>
          </w:tcPr>
          <w:p w14:paraId="49B68293" w14:textId="77777777" w:rsidR="002C6574" w:rsidRDefault="00000000">
            <w:pPr>
              <w:pStyle w:val="TableParagraph"/>
              <w:spacing w:before="13" w:line="178" w:lineRule="exact"/>
              <w:ind w:right="68"/>
              <w:rPr>
                <w:rFonts w:ascii="Arial MT"/>
                <w:sz w:val="16"/>
              </w:rPr>
            </w:pPr>
            <w:r>
              <w:rPr>
                <w:rFonts w:ascii="Arial MT"/>
                <w:spacing w:val="-2"/>
                <w:sz w:val="16"/>
              </w:rPr>
              <w:t>310.085</w:t>
            </w:r>
          </w:p>
        </w:tc>
      </w:tr>
      <w:tr w:rsidR="002C6574" w14:paraId="0D93B161" w14:textId="77777777">
        <w:trPr>
          <w:trHeight w:val="215"/>
        </w:trPr>
        <w:tc>
          <w:tcPr>
            <w:tcW w:w="6054" w:type="dxa"/>
            <w:tcBorders>
              <w:top w:val="single" w:sz="4" w:space="0" w:color="3616F6"/>
              <w:bottom w:val="single" w:sz="4" w:space="0" w:color="3616F6"/>
              <w:right w:val="single" w:sz="4" w:space="0" w:color="3616F6"/>
            </w:tcBorders>
          </w:tcPr>
          <w:p w14:paraId="3FDB51CB" w14:textId="77777777" w:rsidR="002C6574" w:rsidRDefault="00000000">
            <w:pPr>
              <w:pStyle w:val="TableParagraph"/>
              <w:spacing w:before="17" w:line="178" w:lineRule="exact"/>
              <w:ind w:left="69"/>
              <w:jc w:val="left"/>
              <w:rPr>
                <w:rFonts w:ascii="Arial" w:hAnsi="Arial"/>
                <w:b/>
                <w:sz w:val="16"/>
              </w:rPr>
            </w:pPr>
            <w:r>
              <w:rPr>
                <w:rFonts w:ascii="Arial" w:hAnsi="Arial"/>
                <w:b/>
                <w:sz w:val="16"/>
              </w:rPr>
              <w:t>Patrimônio</w:t>
            </w:r>
            <w:r>
              <w:rPr>
                <w:rFonts w:ascii="Arial" w:hAnsi="Arial"/>
                <w:b/>
                <w:spacing w:val="-9"/>
                <w:sz w:val="16"/>
              </w:rPr>
              <w:t xml:space="preserve"> </w:t>
            </w:r>
            <w:r>
              <w:rPr>
                <w:rFonts w:ascii="Arial" w:hAnsi="Arial"/>
                <w:b/>
                <w:spacing w:val="-2"/>
                <w:sz w:val="16"/>
              </w:rPr>
              <w:t>Líquido</w:t>
            </w:r>
          </w:p>
        </w:tc>
        <w:tc>
          <w:tcPr>
            <w:tcW w:w="1389" w:type="dxa"/>
            <w:tcBorders>
              <w:top w:val="single" w:sz="4" w:space="0" w:color="3616F6"/>
              <w:left w:val="single" w:sz="4" w:space="0" w:color="3616F6"/>
              <w:bottom w:val="single" w:sz="4" w:space="0" w:color="3616F6"/>
              <w:right w:val="single" w:sz="4" w:space="0" w:color="3616F6"/>
            </w:tcBorders>
            <w:shd w:val="clear" w:color="auto" w:fill="66FFFF"/>
          </w:tcPr>
          <w:p w14:paraId="5BDD9E34" w14:textId="77777777" w:rsidR="002C6574" w:rsidRDefault="00000000">
            <w:pPr>
              <w:pStyle w:val="TableParagraph"/>
              <w:spacing w:before="17" w:line="178" w:lineRule="exact"/>
              <w:ind w:right="64"/>
              <w:rPr>
                <w:rFonts w:ascii="Arial"/>
                <w:b/>
                <w:sz w:val="16"/>
              </w:rPr>
            </w:pPr>
            <w:r>
              <w:rPr>
                <w:rFonts w:ascii="Arial"/>
                <w:b/>
                <w:spacing w:val="-2"/>
                <w:sz w:val="16"/>
              </w:rPr>
              <w:t>1.752.089</w:t>
            </w:r>
          </w:p>
        </w:tc>
        <w:tc>
          <w:tcPr>
            <w:tcW w:w="1390" w:type="dxa"/>
            <w:tcBorders>
              <w:top w:val="single" w:sz="4" w:space="0" w:color="3616F6"/>
              <w:left w:val="single" w:sz="4" w:space="0" w:color="3616F6"/>
              <w:bottom w:val="single" w:sz="4" w:space="0" w:color="3616F6"/>
              <w:right w:val="single" w:sz="4" w:space="0" w:color="3616F6"/>
            </w:tcBorders>
          </w:tcPr>
          <w:p w14:paraId="600B1957" w14:textId="77777777" w:rsidR="002C6574" w:rsidRDefault="00000000">
            <w:pPr>
              <w:pStyle w:val="TableParagraph"/>
              <w:spacing w:before="17" w:line="178" w:lineRule="exact"/>
              <w:ind w:right="63"/>
              <w:rPr>
                <w:rFonts w:ascii="Arial"/>
                <w:b/>
                <w:sz w:val="16"/>
              </w:rPr>
            </w:pPr>
            <w:r>
              <w:rPr>
                <w:rFonts w:ascii="Arial"/>
                <w:b/>
                <w:spacing w:val="-2"/>
                <w:sz w:val="16"/>
              </w:rPr>
              <w:t>1.482.012</w:t>
            </w:r>
          </w:p>
        </w:tc>
        <w:tc>
          <w:tcPr>
            <w:tcW w:w="1656" w:type="dxa"/>
            <w:tcBorders>
              <w:top w:val="single" w:sz="4" w:space="0" w:color="3616F6"/>
              <w:left w:val="single" w:sz="4" w:space="0" w:color="3616F6"/>
              <w:bottom w:val="single" w:sz="4" w:space="0" w:color="3616F6"/>
            </w:tcBorders>
          </w:tcPr>
          <w:p w14:paraId="24D80064" w14:textId="77777777" w:rsidR="002C6574" w:rsidRDefault="00000000">
            <w:pPr>
              <w:pStyle w:val="TableParagraph"/>
              <w:spacing w:before="17" w:line="178" w:lineRule="exact"/>
              <w:ind w:right="68"/>
              <w:rPr>
                <w:rFonts w:ascii="Arial"/>
                <w:b/>
                <w:sz w:val="16"/>
              </w:rPr>
            </w:pPr>
            <w:r>
              <w:rPr>
                <w:rFonts w:ascii="Arial"/>
                <w:b/>
                <w:spacing w:val="-2"/>
                <w:sz w:val="16"/>
              </w:rPr>
              <w:t>1.425.651</w:t>
            </w:r>
          </w:p>
        </w:tc>
      </w:tr>
      <w:tr w:rsidR="002C6574" w14:paraId="7D254F87" w14:textId="77777777">
        <w:trPr>
          <w:trHeight w:val="217"/>
        </w:trPr>
        <w:tc>
          <w:tcPr>
            <w:tcW w:w="6054" w:type="dxa"/>
            <w:tcBorders>
              <w:top w:val="single" w:sz="4" w:space="0" w:color="3616F6"/>
              <w:right w:val="single" w:sz="4" w:space="0" w:color="3616F6"/>
            </w:tcBorders>
          </w:tcPr>
          <w:p w14:paraId="7608A0CA" w14:textId="77777777" w:rsidR="002C6574" w:rsidRDefault="00000000">
            <w:pPr>
              <w:pStyle w:val="TableParagraph"/>
              <w:spacing w:before="15" w:line="182" w:lineRule="exact"/>
              <w:ind w:left="249"/>
              <w:jc w:val="left"/>
              <w:rPr>
                <w:rFonts w:ascii="Arial MT"/>
                <w:sz w:val="16"/>
              </w:rPr>
            </w:pPr>
            <w:r>
              <w:rPr>
                <w:rFonts w:ascii="Arial MT"/>
                <w:sz w:val="16"/>
              </w:rPr>
              <w:t>Capital</w:t>
            </w:r>
            <w:r>
              <w:rPr>
                <w:rFonts w:ascii="Arial MT"/>
                <w:spacing w:val="-7"/>
                <w:sz w:val="16"/>
              </w:rPr>
              <w:t xml:space="preserve"> </w:t>
            </w:r>
            <w:r>
              <w:rPr>
                <w:rFonts w:ascii="Arial MT"/>
                <w:spacing w:val="-2"/>
                <w:sz w:val="16"/>
              </w:rPr>
              <w:t>Social</w:t>
            </w:r>
          </w:p>
        </w:tc>
        <w:tc>
          <w:tcPr>
            <w:tcW w:w="1389" w:type="dxa"/>
            <w:tcBorders>
              <w:top w:val="single" w:sz="4" w:space="0" w:color="3616F6"/>
              <w:left w:val="single" w:sz="4" w:space="0" w:color="3616F6"/>
              <w:right w:val="single" w:sz="4" w:space="0" w:color="3616F6"/>
            </w:tcBorders>
            <w:shd w:val="clear" w:color="auto" w:fill="66FFFF"/>
          </w:tcPr>
          <w:p w14:paraId="440D5B52" w14:textId="77777777" w:rsidR="002C6574" w:rsidRDefault="00000000">
            <w:pPr>
              <w:pStyle w:val="TableParagraph"/>
              <w:spacing w:before="15" w:line="182" w:lineRule="exact"/>
              <w:ind w:right="64"/>
              <w:rPr>
                <w:rFonts w:ascii="Arial MT"/>
                <w:sz w:val="16"/>
              </w:rPr>
            </w:pPr>
            <w:r>
              <w:rPr>
                <w:rFonts w:ascii="Arial MT"/>
                <w:spacing w:val="-2"/>
                <w:sz w:val="16"/>
              </w:rPr>
              <w:t>3.719.535</w:t>
            </w:r>
          </w:p>
        </w:tc>
        <w:tc>
          <w:tcPr>
            <w:tcW w:w="1390" w:type="dxa"/>
            <w:tcBorders>
              <w:top w:val="single" w:sz="4" w:space="0" w:color="3616F6"/>
              <w:left w:val="single" w:sz="4" w:space="0" w:color="3616F6"/>
              <w:right w:val="single" w:sz="4" w:space="0" w:color="3616F6"/>
            </w:tcBorders>
          </w:tcPr>
          <w:p w14:paraId="4F752F08" w14:textId="77777777" w:rsidR="002C6574" w:rsidRDefault="00000000">
            <w:pPr>
              <w:pStyle w:val="TableParagraph"/>
              <w:spacing w:before="15" w:line="182" w:lineRule="exact"/>
              <w:ind w:right="63"/>
              <w:rPr>
                <w:rFonts w:ascii="Arial MT"/>
                <w:sz w:val="16"/>
              </w:rPr>
            </w:pPr>
            <w:r>
              <w:rPr>
                <w:rFonts w:ascii="Arial MT"/>
                <w:spacing w:val="-2"/>
                <w:sz w:val="16"/>
              </w:rPr>
              <w:t>3.474.498</w:t>
            </w:r>
          </w:p>
        </w:tc>
        <w:tc>
          <w:tcPr>
            <w:tcW w:w="1656" w:type="dxa"/>
            <w:tcBorders>
              <w:top w:val="single" w:sz="4" w:space="0" w:color="3616F6"/>
              <w:left w:val="single" w:sz="4" w:space="0" w:color="3616F6"/>
            </w:tcBorders>
          </w:tcPr>
          <w:p w14:paraId="5D9A225E" w14:textId="77777777" w:rsidR="002C6574" w:rsidRDefault="00000000">
            <w:pPr>
              <w:pStyle w:val="TableParagraph"/>
              <w:spacing w:before="15" w:line="182" w:lineRule="exact"/>
              <w:ind w:right="68"/>
              <w:rPr>
                <w:rFonts w:ascii="Arial MT"/>
                <w:sz w:val="16"/>
              </w:rPr>
            </w:pPr>
            <w:r>
              <w:rPr>
                <w:rFonts w:ascii="Arial MT"/>
                <w:spacing w:val="-2"/>
                <w:sz w:val="16"/>
              </w:rPr>
              <w:t>3.474.498</w:t>
            </w:r>
          </w:p>
        </w:tc>
      </w:tr>
      <w:tr w:rsidR="002C6574" w14:paraId="0FBC974F" w14:textId="77777777">
        <w:trPr>
          <w:trHeight w:val="214"/>
        </w:trPr>
        <w:tc>
          <w:tcPr>
            <w:tcW w:w="6054" w:type="dxa"/>
            <w:tcBorders>
              <w:right w:val="single" w:sz="4" w:space="0" w:color="3616F6"/>
            </w:tcBorders>
          </w:tcPr>
          <w:p w14:paraId="1B68F704" w14:textId="77777777" w:rsidR="002C6574" w:rsidRDefault="00000000">
            <w:pPr>
              <w:pStyle w:val="TableParagraph"/>
              <w:spacing w:before="13" w:line="181" w:lineRule="exact"/>
              <w:ind w:left="249"/>
              <w:jc w:val="left"/>
              <w:rPr>
                <w:rFonts w:ascii="Arial MT" w:hAnsi="Arial MT"/>
                <w:sz w:val="16"/>
              </w:rPr>
            </w:pPr>
            <w:r>
              <w:rPr>
                <w:rFonts w:ascii="Arial MT" w:hAnsi="Arial MT"/>
                <w:sz w:val="16"/>
              </w:rPr>
              <w:t>Prejuízos</w:t>
            </w:r>
            <w:r>
              <w:rPr>
                <w:rFonts w:ascii="Arial MT" w:hAnsi="Arial MT"/>
                <w:spacing w:val="-11"/>
                <w:sz w:val="16"/>
              </w:rPr>
              <w:t xml:space="preserve"> </w:t>
            </w:r>
            <w:r>
              <w:rPr>
                <w:rFonts w:ascii="Arial MT" w:hAnsi="Arial MT"/>
                <w:spacing w:val="-2"/>
                <w:sz w:val="16"/>
              </w:rPr>
              <w:t>Acumulados</w:t>
            </w:r>
          </w:p>
        </w:tc>
        <w:tc>
          <w:tcPr>
            <w:tcW w:w="1389" w:type="dxa"/>
            <w:tcBorders>
              <w:left w:val="single" w:sz="4" w:space="0" w:color="3616F6"/>
              <w:right w:val="single" w:sz="4" w:space="0" w:color="3616F6"/>
            </w:tcBorders>
            <w:shd w:val="clear" w:color="auto" w:fill="66FFFF"/>
          </w:tcPr>
          <w:p w14:paraId="24D9096E" w14:textId="77777777" w:rsidR="002C6574" w:rsidRDefault="00000000">
            <w:pPr>
              <w:pStyle w:val="TableParagraph"/>
              <w:spacing w:before="13" w:line="181" w:lineRule="exact"/>
              <w:ind w:right="63"/>
              <w:rPr>
                <w:rFonts w:ascii="Arial MT"/>
                <w:sz w:val="16"/>
              </w:rPr>
            </w:pPr>
            <w:r>
              <w:rPr>
                <w:rFonts w:ascii="Arial MT"/>
                <w:spacing w:val="-2"/>
                <w:sz w:val="16"/>
              </w:rPr>
              <w:t>(1.999.280)</w:t>
            </w:r>
          </w:p>
        </w:tc>
        <w:tc>
          <w:tcPr>
            <w:tcW w:w="1390" w:type="dxa"/>
            <w:tcBorders>
              <w:left w:val="single" w:sz="4" w:space="0" w:color="3616F6"/>
              <w:right w:val="single" w:sz="4" w:space="0" w:color="3616F6"/>
            </w:tcBorders>
          </w:tcPr>
          <w:p w14:paraId="354B848C" w14:textId="77777777" w:rsidR="002C6574" w:rsidRDefault="00000000">
            <w:pPr>
              <w:pStyle w:val="TableParagraph"/>
              <w:spacing w:before="13" w:line="181" w:lineRule="exact"/>
              <w:ind w:right="63"/>
              <w:rPr>
                <w:rFonts w:ascii="Arial MT"/>
                <w:sz w:val="16"/>
              </w:rPr>
            </w:pPr>
            <w:r>
              <w:rPr>
                <w:rFonts w:ascii="Arial MT"/>
                <w:spacing w:val="-2"/>
                <w:sz w:val="16"/>
              </w:rPr>
              <w:t>(2.139.784)</w:t>
            </w:r>
          </w:p>
        </w:tc>
        <w:tc>
          <w:tcPr>
            <w:tcW w:w="1656" w:type="dxa"/>
            <w:tcBorders>
              <w:left w:val="single" w:sz="4" w:space="0" w:color="3616F6"/>
            </w:tcBorders>
          </w:tcPr>
          <w:p w14:paraId="2D28C28E" w14:textId="77777777" w:rsidR="002C6574" w:rsidRDefault="00000000">
            <w:pPr>
              <w:pStyle w:val="TableParagraph"/>
              <w:spacing w:before="13" w:line="181" w:lineRule="exact"/>
              <w:ind w:right="68"/>
              <w:rPr>
                <w:rFonts w:ascii="Arial MT"/>
                <w:sz w:val="16"/>
              </w:rPr>
            </w:pPr>
            <w:r>
              <w:rPr>
                <w:rFonts w:ascii="Arial MT"/>
                <w:spacing w:val="-2"/>
                <w:sz w:val="16"/>
              </w:rPr>
              <w:t>(2.073.212)</w:t>
            </w:r>
          </w:p>
        </w:tc>
      </w:tr>
      <w:tr w:rsidR="002C6574" w14:paraId="34398510" w14:textId="77777777">
        <w:trPr>
          <w:trHeight w:val="214"/>
        </w:trPr>
        <w:tc>
          <w:tcPr>
            <w:tcW w:w="6054" w:type="dxa"/>
            <w:tcBorders>
              <w:right w:val="single" w:sz="4" w:space="0" w:color="3616F6"/>
            </w:tcBorders>
          </w:tcPr>
          <w:p w14:paraId="51055D62" w14:textId="77777777" w:rsidR="002C6574" w:rsidRDefault="00000000">
            <w:pPr>
              <w:pStyle w:val="TableParagraph"/>
              <w:spacing w:before="12" w:line="182" w:lineRule="exact"/>
              <w:ind w:left="249"/>
              <w:jc w:val="left"/>
              <w:rPr>
                <w:rFonts w:ascii="Arial MT" w:hAnsi="Arial MT"/>
                <w:sz w:val="16"/>
              </w:rPr>
            </w:pPr>
            <w:r>
              <w:rPr>
                <w:rFonts w:ascii="Arial MT" w:hAnsi="Arial MT"/>
                <w:sz w:val="16"/>
              </w:rPr>
              <w:t>Ajustes</w:t>
            </w:r>
            <w:r>
              <w:rPr>
                <w:rFonts w:ascii="Arial MT" w:hAnsi="Arial MT"/>
                <w:spacing w:val="-5"/>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Avaliação</w:t>
            </w:r>
            <w:r>
              <w:rPr>
                <w:rFonts w:ascii="Arial MT" w:hAnsi="Arial MT"/>
                <w:spacing w:val="-5"/>
                <w:sz w:val="16"/>
              </w:rPr>
              <w:t xml:space="preserve"> </w:t>
            </w:r>
            <w:r>
              <w:rPr>
                <w:rFonts w:ascii="Arial MT" w:hAnsi="Arial MT"/>
                <w:spacing w:val="-2"/>
                <w:sz w:val="16"/>
              </w:rPr>
              <w:t>Patrimonial</w:t>
            </w:r>
          </w:p>
        </w:tc>
        <w:tc>
          <w:tcPr>
            <w:tcW w:w="1389" w:type="dxa"/>
            <w:tcBorders>
              <w:left w:val="single" w:sz="4" w:space="0" w:color="3616F6"/>
              <w:right w:val="single" w:sz="4" w:space="0" w:color="3616F6"/>
            </w:tcBorders>
            <w:shd w:val="clear" w:color="auto" w:fill="66FFFF"/>
          </w:tcPr>
          <w:p w14:paraId="55DC4E78" w14:textId="77777777" w:rsidR="002C6574" w:rsidRDefault="00000000">
            <w:pPr>
              <w:pStyle w:val="TableParagraph"/>
              <w:spacing w:before="12" w:line="182" w:lineRule="exact"/>
              <w:ind w:right="63"/>
              <w:rPr>
                <w:rFonts w:ascii="Arial MT"/>
                <w:sz w:val="16"/>
              </w:rPr>
            </w:pPr>
            <w:r>
              <w:rPr>
                <w:rFonts w:ascii="Arial MT"/>
                <w:spacing w:val="-2"/>
                <w:sz w:val="16"/>
              </w:rPr>
              <w:t>31.945</w:t>
            </w:r>
          </w:p>
        </w:tc>
        <w:tc>
          <w:tcPr>
            <w:tcW w:w="1390" w:type="dxa"/>
            <w:tcBorders>
              <w:left w:val="single" w:sz="4" w:space="0" w:color="3616F6"/>
              <w:right w:val="single" w:sz="4" w:space="0" w:color="3616F6"/>
            </w:tcBorders>
          </w:tcPr>
          <w:p w14:paraId="7FBB3193" w14:textId="77777777" w:rsidR="002C6574" w:rsidRDefault="00000000">
            <w:pPr>
              <w:pStyle w:val="TableParagraph"/>
              <w:spacing w:before="12" w:line="182" w:lineRule="exact"/>
              <w:ind w:right="63"/>
              <w:rPr>
                <w:rFonts w:ascii="Arial MT"/>
                <w:sz w:val="16"/>
              </w:rPr>
            </w:pPr>
            <w:r>
              <w:rPr>
                <w:rFonts w:ascii="Arial MT"/>
                <w:spacing w:val="-2"/>
                <w:sz w:val="16"/>
              </w:rPr>
              <w:t>35.153</w:t>
            </w:r>
          </w:p>
        </w:tc>
        <w:tc>
          <w:tcPr>
            <w:tcW w:w="1656" w:type="dxa"/>
            <w:tcBorders>
              <w:left w:val="single" w:sz="4" w:space="0" w:color="3616F6"/>
            </w:tcBorders>
          </w:tcPr>
          <w:p w14:paraId="4B69C864" w14:textId="77777777" w:rsidR="002C6574" w:rsidRDefault="00000000">
            <w:pPr>
              <w:pStyle w:val="TableParagraph"/>
              <w:spacing w:before="12" w:line="182" w:lineRule="exact"/>
              <w:ind w:right="68"/>
              <w:rPr>
                <w:rFonts w:ascii="Arial MT"/>
                <w:sz w:val="16"/>
              </w:rPr>
            </w:pPr>
            <w:r>
              <w:rPr>
                <w:rFonts w:ascii="Arial MT"/>
                <w:spacing w:val="-2"/>
                <w:sz w:val="16"/>
              </w:rPr>
              <w:t>24.476</w:t>
            </w:r>
          </w:p>
        </w:tc>
      </w:tr>
      <w:tr w:rsidR="002C6574" w14:paraId="20376248" w14:textId="77777777">
        <w:trPr>
          <w:trHeight w:val="215"/>
        </w:trPr>
        <w:tc>
          <w:tcPr>
            <w:tcW w:w="6054" w:type="dxa"/>
            <w:tcBorders>
              <w:right w:val="single" w:sz="4" w:space="0" w:color="3616F6"/>
            </w:tcBorders>
          </w:tcPr>
          <w:p w14:paraId="1DB27D66" w14:textId="77777777" w:rsidR="002C6574" w:rsidRDefault="00000000">
            <w:pPr>
              <w:pStyle w:val="TableParagraph"/>
              <w:spacing w:before="13" w:line="182" w:lineRule="exact"/>
              <w:ind w:left="249"/>
              <w:jc w:val="left"/>
              <w:rPr>
                <w:rFonts w:ascii="Arial MT" w:hAnsi="Arial MT"/>
                <w:sz w:val="16"/>
              </w:rPr>
            </w:pPr>
            <w:r>
              <w:rPr>
                <w:rFonts w:ascii="Arial MT" w:hAnsi="Arial MT"/>
                <w:sz w:val="16"/>
              </w:rPr>
              <w:t>Ações</w:t>
            </w:r>
            <w:r>
              <w:rPr>
                <w:rFonts w:ascii="Arial MT" w:hAnsi="Arial MT"/>
                <w:spacing w:val="-3"/>
                <w:sz w:val="16"/>
              </w:rPr>
              <w:t xml:space="preserve"> </w:t>
            </w:r>
            <w:r>
              <w:rPr>
                <w:rFonts w:ascii="Arial MT" w:hAnsi="Arial MT"/>
                <w:sz w:val="16"/>
              </w:rPr>
              <w:t>em</w:t>
            </w:r>
            <w:r>
              <w:rPr>
                <w:rFonts w:ascii="Arial MT" w:hAnsi="Arial MT"/>
                <w:spacing w:val="-4"/>
                <w:sz w:val="16"/>
              </w:rPr>
              <w:t xml:space="preserve"> </w:t>
            </w:r>
            <w:r>
              <w:rPr>
                <w:rFonts w:ascii="Arial MT" w:hAnsi="Arial MT"/>
                <w:spacing w:val="-2"/>
                <w:sz w:val="16"/>
              </w:rPr>
              <w:t>Tesouraria</w:t>
            </w:r>
          </w:p>
        </w:tc>
        <w:tc>
          <w:tcPr>
            <w:tcW w:w="1389" w:type="dxa"/>
            <w:tcBorders>
              <w:left w:val="single" w:sz="4" w:space="0" w:color="3616F6"/>
              <w:right w:val="single" w:sz="4" w:space="0" w:color="3616F6"/>
            </w:tcBorders>
            <w:shd w:val="clear" w:color="auto" w:fill="66FFFF"/>
          </w:tcPr>
          <w:p w14:paraId="63816993" w14:textId="77777777" w:rsidR="002C6574" w:rsidRDefault="00000000">
            <w:pPr>
              <w:pStyle w:val="TableParagraph"/>
              <w:spacing w:before="13" w:line="182" w:lineRule="exact"/>
              <w:ind w:right="64"/>
              <w:rPr>
                <w:rFonts w:ascii="Arial MT"/>
                <w:sz w:val="16"/>
              </w:rPr>
            </w:pPr>
            <w:r>
              <w:rPr>
                <w:rFonts w:ascii="Arial MT"/>
                <w:spacing w:val="-2"/>
                <w:sz w:val="16"/>
              </w:rPr>
              <w:t>(111)</w:t>
            </w:r>
          </w:p>
        </w:tc>
        <w:tc>
          <w:tcPr>
            <w:tcW w:w="1390" w:type="dxa"/>
            <w:tcBorders>
              <w:left w:val="single" w:sz="4" w:space="0" w:color="3616F6"/>
              <w:right w:val="single" w:sz="4" w:space="0" w:color="3616F6"/>
            </w:tcBorders>
          </w:tcPr>
          <w:p w14:paraId="76BC1D17" w14:textId="77777777" w:rsidR="002C6574" w:rsidRDefault="00000000">
            <w:pPr>
              <w:pStyle w:val="TableParagraph"/>
              <w:spacing w:before="13" w:line="182" w:lineRule="exact"/>
              <w:ind w:right="64"/>
              <w:rPr>
                <w:rFonts w:ascii="Arial MT"/>
                <w:sz w:val="16"/>
              </w:rPr>
            </w:pPr>
            <w:r>
              <w:rPr>
                <w:rFonts w:ascii="Arial MT"/>
                <w:spacing w:val="-2"/>
                <w:sz w:val="16"/>
              </w:rPr>
              <w:t>(111)</w:t>
            </w:r>
          </w:p>
        </w:tc>
        <w:tc>
          <w:tcPr>
            <w:tcW w:w="1656" w:type="dxa"/>
            <w:tcBorders>
              <w:left w:val="single" w:sz="4" w:space="0" w:color="3616F6"/>
            </w:tcBorders>
          </w:tcPr>
          <w:p w14:paraId="29B502C1" w14:textId="77777777" w:rsidR="002C6574" w:rsidRDefault="00000000">
            <w:pPr>
              <w:pStyle w:val="TableParagraph"/>
              <w:spacing w:before="13" w:line="182" w:lineRule="exact"/>
              <w:ind w:right="69"/>
              <w:rPr>
                <w:rFonts w:ascii="Arial MT"/>
                <w:sz w:val="16"/>
              </w:rPr>
            </w:pPr>
            <w:r>
              <w:rPr>
                <w:rFonts w:ascii="Arial MT"/>
                <w:spacing w:val="-2"/>
                <w:sz w:val="16"/>
              </w:rPr>
              <w:t>(111)</w:t>
            </w:r>
          </w:p>
        </w:tc>
      </w:tr>
      <w:tr w:rsidR="002C6574" w14:paraId="605D1AF1" w14:textId="77777777">
        <w:trPr>
          <w:trHeight w:val="211"/>
        </w:trPr>
        <w:tc>
          <w:tcPr>
            <w:tcW w:w="6054" w:type="dxa"/>
            <w:tcBorders>
              <w:bottom w:val="single" w:sz="4" w:space="0" w:color="3616F6"/>
              <w:right w:val="single" w:sz="4" w:space="0" w:color="3616F6"/>
            </w:tcBorders>
          </w:tcPr>
          <w:p w14:paraId="07C23887" w14:textId="77777777" w:rsidR="002C6574" w:rsidRDefault="00000000">
            <w:pPr>
              <w:pStyle w:val="TableParagraph"/>
              <w:spacing w:before="13" w:line="178" w:lineRule="exact"/>
              <w:ind w:left="249"/>
              <w:jc w:val="left"/>
              <w:rPr>
                <w:rFonts w:ascii="Arial MT" w:hAnsi="Arial MT"/>
                <w:sz w:val="16"/>
              </w:rPr>
            </w:pPr>
            <w:r>
              <w:rPr>
                <w:rFonts w:ascii="Arial MT" w:hAnsi="Arial MT"/>
                <w:sz w:val="16"/>
              </w:rPr>
              <w:t>Recursos</w:t>
            </w:r>
            <w:r>
              <w:rPr>
                <w:rFonts w:ascii="Arial MT" w:hAnsi="Arial MT"/>
                <w:spacing w:val="-8"/>
                <w:sz w:val="16"/>
              </w:rPr>
              <w:t xml:space="preserve"> </w:t>
            </w:r>
            <w:r>
              <w:rPr>
                <w:rFonts w:ascii="Arial MT" w:hAnsi="Arial MT"/>
                <w:sz w:val="16"/>
              </w:rPr>
              <w:t>Capitalizáveis</w:t>
            </w:r>
            <w:r>
              <w:rPr>
                <w:rFonts w:ascii="Arial MT" w:hAnsi="Arial MT"/>
                <w:spacing w:val="-4"/>
                <w:sz w:val="16"/>
              </w:rPr>
              <w:t xml:space="preserve"> </w:t>
            </w:r>
            <w:r>
              <w:rPr>
                <w:rFonts w:ascii="Arial MT" w:hAnsi="Arial MT"/>
                <w:sz w:val="16"/>
              </w:rPr>
              <w:t>-</w:t>
            </w:r>
            <w:r>
              <w:rPr>
                <w:rFonts w:ascii="Arial MT" w:hAnsi="Arial MT"/>
                <w:spacing w:val="-8"/>
                <w:sz w:val="16"/>
              </w:rPr>
              <w:t xml:space="preserve"> </w:t>
            </w:r>
            <w:r>
              <w:rPr>
                <w:rFonts w:ascii="Arial MT" w:hAnsi="Arial MT"/>
                <w:spacing w:val="-4"/>
                <w:sz w:val="16"/>
              </w:rPr>
              <w:t>AFAC</w:t>
            </w:r>
          </w:p>
        </w:tc>
        <w:tc>
          <w:tcPr>
            <w:tcW w:w="1389" w:type="dxa"/>
            <w:tcBorders>
              <w:left w:val="single" w:sz="4" w:space="0" w:color="3616F6"/>
              <w:bottom w:val="single" w:sz="4" w:space="0" w:color="3616F6"/>
              <w:right w:val="single" w:sz="4" w:space="0" w:color="3616F6"/>
            </w:tcBorders>
            <w:shd w:val="clear" w:color="auto" w:fill="66FFFF"/>
          </w:tcPr>
          <w:p w14:paraId="40FF5AC0" w14:textId="77777777" w:rsidR="002C6574" w:rsidRDefault="00000000">
            <w:pPr>
              <w:pStyle w:val="TableParagraph"/>
              <w:spacing w:before="13" w:line="178" w:lineRule="exact"/>
              <w:ind w:right="63"/>
              <w:rPr>
                <w:rFonts w:ascii="Arial MT"/>
                <w:sz w:val="16"/>
              </w:rPr>
            </w:pPr>
            <w:r>
              <w:rPr>
                <w:rFonts w:ascii="Arial MT"/>
                <w:spacing w:val="-10"/>
                <w:sz w:val="16"/>
              </w:rPr>
              <w:t>-</w:t>
            </w:r>
          </w:p>
        </w:tc>
        <w:tc>
          <w:tcPr>
            <w:tcW w:w="1390" w:type="dxa"/>
            <w:tcBorders>
              <w:left w:val="single" w:sz="4" w:space="0" w:color="3616F6"/>
              <w:bottom w:val="single" w:sz="4" w:space="0" w:color="3616F6"/>
              <w:right w:val="single" w:sz="4" w:space="0" w:color="3616F6"/>
            </w:tcBorders>
          </w:tcPr>
          <w:p w14:paraId="1F494B13" w14:textId="77777777" w:rsidR="002C6574" w:rsidRDefault="00000000">
            <w:pPr>
              <w:pStyle w:val="TableParagraph"/>
              <w:spacing w:before="13" w:line="178" w:lineRule="exact"/>
              <w:ind w:right="63"/>
              <w:rPr>
                <w:rFonts w:ascii="Arial MT"/>
                <w:sz w:val="16"/>
              </w:rPr>
            </w:pPr>
            <w:r>
              <w:rPr>
                <w:rFonts w:ascii="Arial MT"/>
                <w:spacing w:val="-2"/>
                <w:sz w:val="16"/>
              </w:rPr>
              <w:t>112.256</w:t>
            </w:r>
          </w:p>
        </w:tc>
        <w:tc>
          <w:tcPr>
            <w:tcW w:w="1656" w:type="dxa"/>
            <w:tcBorders>
              <w:left w:val="single" w:sz="4" w:space="0" w:color="3616F6"/>
              <w:bottom w:val="single" w:sz="4" w:space="0" w:color="3616F6"/>
            </w:tcBorders>
          </w:tcPr>
          <w:p w14:paraId="59D1CAC7" w14:textId="77777777" w:rsidR="002C6574" w:rsidRDefault="00000000">
            <w:pPr>
              <w:pStyle w:val="TableParagraph"/>
              <w:spacing w:before="13" w:line="178" w:lineRule="exact"/>
              <w:ind w:right="68"/>
              <w:rPr>
                <w:rFonts w:ascii="Arial MT"/>
                <w:sz w:val="16"/>
              </w:rPr>
            </w:pPr>
            <w:r>
              <w:rPr>
                <w:rFonts w:ascii="Arial MT"/>
                <w:spacing w:val="-10"/>
                <w:sz w:val="16"/>
              </w:rPr>
              <w:t>-</w:t>
            </w:r>
          </w:p>
        </w:tc>
      </w:tr>
    </w:tbl>
    <w:p w14:paraId="6EDF89E8" w14:textId="77777777" w:rsidR="002C6574" w:rsidRDefault="002C6574">
      <w:pPr>
        <w:pStyle w:val="TableParagraph"/>
        <w:spacing w:line="178" w:lineRule="exact"/>
        <w:rPr>
          <w:rFonts w:ascii="Arial MT"/>
          <w:sz w:val="16"/>
        </w:rPr>
        <w:sectPr w:rsidR="002C6574">
          <w:headerReference w:type="default" r:id="rId225"/>
          <w:footerReference w:type="default" r:id="rId226"/>
          <w:pgSz w:w="11910" w:h="16840"/>
          <w:pgMar w:top="2720" w:right="425" w:bottom="1220" w:left="425" w:header="1197" w:footer="1030" w:gutter="0"/>
          <w:cols w:space="720"/>
        </w:sectPr>
      </w:pPr>
    </w:p>
    <w:p w14:paraId="10BA7AE0" w14:textId="77777777" w:rsidR="002C6574" w:rsidRDefault="002C6574">
      <w:pPr>
        <w:pStyle w:val="Corpodetexto"/>
        <w:spacing w:before="35"/>
        <w:rPr>
          <w:rFonts w:ascii="Arial"/>
          <w:b/>
          <w:sz w:val="19"/>
        </w:rPr>
      </w:pPr>
    </w:p>
    <w:p w14:paraId="5D08A4F0" w14:textId="77777777" w:rsidR="002C6574" w:rsidRDefault="00000000">
      <w:pPr>
        <w:ind w:left="427"/>
        <w:rPr>
          <w:rFonts w:ascii="Arial"/>
          <w:b/>
          <w:sz w:val="24"/>
        </w:rPr>
      </w:pPr>
      <w:r>
        <w:rPr>
          <w:rFonts w:ascii="Arial"/>
          <w:b/>
          <w:noProof/>
          <w:sz w:val="24"/>
        </w:rPr>
        <mc:AlternateContent>
          <mc:Choice Requires="wpg">
            <w:drawing>
              <wp:anchor distT="0" distB="0" distL="0" distR="0" simplePos="0" relativeHeight="15787520" behindDoc="0" locked="0" layoutInCell="1" allowOverlap="1" wp14:anchorId="1E561D09" wp14:editId="68A4B357">
                <wp:simplePos x="0" y="0"/>
                <wp:positionH relativeFrom="page">
                  <wp:posOffset>443483</wp:posOffset>
                </wp:positionH>
                <wp:positionV relativeFrom="paragraph">
                  <wp:posOffset>-165018</wp:posOffset>
                </wp:positionV>
                <wp:extent cx="6922134" cy="105410"/>
                <wp:effectExtent l="0" t="0" r="0" b="0"/>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134" cy="105410"/>
                          <a:chOff x="0" y="0"/>
                          <a:chExt cx="6922134" cy="105410"/>
                        </a:xfrm>
                      </wpg:grpSpPr>
                      <pic:pic xmlns:pic="http://schemas.openxmlformats.org/drawingml/2006/picture">
                        <pic:nvPicPr>
                          <pic:cNvPr id="518" name="Image 518"/>
                          <pic:cNvPicPr/>
                        </pic:nvPicPr>
                        <pic:blipFill>
                          <a:blip r:embed="rId213" cstate="print"/>
                          <a:stretch>
                            <a:fillRect/>
                          </a:stretch>
                        </pic:blipFill>
                        <pic:spPr>
                          <a:xfrm>
                            <a:off x="0" y="0"/>
                            <a:ext cx="6922008" cy="105155"/>
                          </a:xfrm>
                          <a:prstGeom prst="rect">
                            <a:avLst/>
                          </a:prstGeom>
                        </pic:spPr>
                      </pic:pic>
                      <wps:wsp>
                        <wps:cNvPr id="519" name="Graphic 519"/>
                        <wps:cNvSpPr/>
                        <wps:spPr>
                          <a:xfrm>
                            <a:off x="42290" y="34925"/>
                            <a:ext cx="6829425" cy="1270"/>
                          </a:xfrm>
                          <a:custGeom>
                            <a:avLst/>
                            <a:gdLst/>
                            <a:ahLst/>
                            <a:cxnLst/>
                            <a:rect l="l" t="t" r="r" b="b"/>
                            <a:pathLst>
                              <a:path w="6829425">
                                <a:moveTo>
                                  <a:pt x="0" y="0"/>
                                </a:moveTo>
                                <a:lnTo>
                                  <a:pt x="6829425" y="0"/>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0C8245B2" id="Group 517" o:spid="_x0000_s1026" style="position:absolute;margin-left:34.9pt;margin-top:-13pt;width:545.05pt;height:8.3pt;z-index:15787520;mso-wrap-distance-left:0;mso-wrap-distance-right:0;mso-position-horizontal-relative:page" coordsize="69221,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">
                <v:shape id="Image 518" o:spid="_x0000_s1027" type="#_x0000_t75" style="position:absolute;width:692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">
                  <v:imagedata r:id="rId214" o:title=""/>
                </v:shape>
                <v:shape id="Graphic 519" o:spid="_x0000_s1028" style="position:absolute;left:422;top:349;width:68295;height:12;visibility:visible;mso-wrap-style:square;v-text-anchor:top" coordsize="682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" path="m,l6829425,e" filled="f" strokecolor="blue" strokeweight="2pt">
                  <v:path arrowok="t"/>
                </v:shape>
                <w10:wrap anchorx="page"/>
              </v:group>
            </w:pict>
          </mc:Fallback>
        </mc:AlternateContent>
      </w:r>
      <w:r>
        <w:rPr>
          <w:rFonts w:ascii="Arial"/>
          <w:b/>
          <w:smallCaps/>
          <w:sz w:val="24"/>
          <w:u w:val="single"/>
        </w:rPr>
        <w:t>Anexo</w:t>
      </w:r>
      <w:r>
        <w:rPr>
          <w:rFonts w:ascii="Arial"/>
          <w:b/>
          <w:smallCaps/>
          <w:spacing w:val="-8"/>
          <w:sz w:val="24"/>
          <w:u w:val="single"/>
        </w:rPr>
        <w:t xml:space="preserve"> </w:t>
      </w:r>
      <w:r>
        <w:rPr>
          <w:rFonts w:ascii="Arial"/>
          <w:b/>
          <w:smallCaps/>
          <w:spacing w:val="-5"/>
          <w:sz w:val="24"/>
          <w:u w:val="single"/>
        </w:rPr>
        <w:t>III</w:t>
      </w:r>
    </w:p>
    <w:p w14:paraId="2FAC628E" w14:textId="77777777" w:rsidR="002C6574" w:rsidRDefault="002C6574">
      <w:pPr>
        <w:pStyle w:val="Corpodetexto"/>
        <w:spacing w:before="57"/>
        <w:rPr>
          <w:rFonts w:ascii="Arial"/>
          <w:b/>
          <w:sz w:val="19"/>
        </w:rPr>
      </w:pPr>
    </w:p>
    <w:p w14:paraId="034DB37D" w14:textId="77777777" w:rsidR="002C6574" w:rsidRDefault="00000000">
      <w:pPr>
        <w:ind w:left="427"/>
        <w:rPr>
          <w:rFonts w:ascii="Arial" w:hAnsi="Arial"/>
          <w:b/>
          <w:sz w:val="24"/>
        </w:rPr>
      </w:pPr>
      <w:r>
        <w:rPr>
          <w:rFonts w:ascii="Arial" w:hAnsi="Arial"/>
          <w:b/>
          <w:smallCaps/>
          <w:sz w:val="24"/>
          <w:u w:val="single"/>
        </w:rPr>
        <w:t>Demonstração</w:t>
      </w:r>
      <w:r>
        <w:rPr>
          <w:rFonts w:ascii="Arial" w:hAnsi="Arial"/>
          <w:b/>
          <w:smallCaps/>
          <w:spacing w:val="-10"/>
          <w:sz w:val="24"/>
          <w:u w:val="single"/>
        </w:rPr>
        <w:t xml:space="preserve"> </w:t>
      </w:r>
      <w:r>
        <w:rPr>
          <w:rFonts w:ascii="Arial" w:hAnsi="Arial"/>
          <w:b/>
          <w:smallCaps/>
          <w:sz w:val="24"/>
          <w:u w:val="single"/>
        </w:rPr>
        <w:t>dos</w:t>
      </w:r>
      <w:r>
        <w:rPr>
          <w:rFonts w:ascii="Arial" w:hAnsi="Arial"/>
          <w:b/>
          <w:smallCaps/>
          <w:spacing w:val="-7"/>
          <w:sz w:val="24"/>
          <w:u w:val="single"/>
        </w:rPr>
        <w:t xml:space="preserve"> </w:t>
      </w:r>
      <w:r>
        <w:rPr>
          <w:rFonts w:ascii="Arial" w:hAnsi="Arial"/>
          <w:b/>
          <w:smallCaps/>
          <w:sz w:val="24"/>
          <w:u w:val="single"/>
        </w:rPr>
        <w:t>Fluxos</w:t>
      </w:r>
      <w:r>
        <w:rPr>
          <w:rFonts w:ascii="Arial" w:hAnsi="Arial"/>
          <w:b/>
          <w:smallCaps/>
          <w:spacing w:val="-7"/>
          <w:sz w:val="24"/>
          <w:u w:val="single"/>
        </w:rPr>
        <w:t xml:space="preserve"> </w:t>
      </w:r>
      <w:r>
        <w:rPr>
          <w:rFonts w:ascii="Arial" w:hAnsi="Arial"/>
          <w:b/>
          <w:smallCaps/>
          <w:sz w:val="24"/>
          <w:u w:val="single"/>
        </w:rPr>
        <w:t>de</w:t>
      </w:r>
      <w:r>
        <w:rPr>
          <w:rFonts w:ascii="Arial" w:hAnsi="Arial"/>
          <w:b/>
          <w:smallCaps/>
          <w:spacing w:val="-7"/>
          <w:sz w:val="24"/>
          <w:u w:val="single"/>
        </w:rPr>
        <w:t xml:space="preserve"> </w:t>
      </w:r>
      <w:r>
        <w:rPr>
          <w:rFonts w:ascii="Arial" w:hAnsi="Arial"/>
          <w:b/>
          <w:smallCaps/>
          <w:spacing w:val="-2"/>
          <w:sz w:val="24"/>
          <w:u w:val="single"/>
        </w:rPr>
        <w:t>Caixa</w:t>
      </w:r>
    </w:p>
    <w:p w14:paraId="56EB63FA" w14:textId="77777777" w:rsidR="002C6574" w:rsidRDefault="00000000">
      <w:pPr>
        <w:tabs>
          <w:tab w:val="left" w:pos="7390"/>
          <w:tab w:val="left" w:pos="9049"/>
        </w:tabs>
        <w:spacing w:before="1"/>
        <w:ind w:left="6553"/>
        <w:rPr>
          <w:rFonts w:ascii="Arial"/>
          <w:b/>
          <w:sz w:val="16"/>
        </w:rPr>
      </w:pPr>
      <w:r>
        <w:rPr>
          <w:rFonts w:ascii="Arial"/>
          <w:b/>
          <w:noProof/>
          <w:sz w:val="16"/>
        </w:rPr>
        <mc:AlternateContent>
          <mc:Choice Requires="wps">
            <w:drawing>
              <wp:anchor distT="0" distB="0" distL="0" distR="0" simplePos="0" relativeHeight="487587840" behindDoc="1" locked="0" layoutInCell="1" allowOverlap="1" wp14:anchorId="1180FEFA" wp14:editId="1CC285A7">
                <wp:simplePos x="0" y="0"/>
                <wp:positionH relativeFrom="page">
                  <wp:posOffset>534924</wp:posOffset>
                </wp:positionH>
                <wp:positionV relativeFrom="paragraph">
                  <wp:posOffset>155634</wp:posOffset>
                </wp:positionV>
                <wp:extent cx="5487670" cy="142240"/>
                <wp:effectExtent l="0" t="0" r="0" b="0"/>
                <wp:wrapTopAndBottom/>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7670" cy="142240"/>
                        </a:xfrm>
                        <a:prstGeom prst="rect">
                          <a:avLst/>
                        </a:prstGeom>
                      </wps:spPr>
                      <wps:txbx>
                        <w:txbxContent>
                          <w:tbl>
                            <w:tblPr>
                              <w:tblStyle w:val="TableNormal"/>
                              <w:tblW w:w="0" w:type="auto"/>
                              <w:tblInd w:w="7" w:type="dxa"/>
                              <w:tblBorders>
                                <w:top w:val="single" w:sz="8" w:space="0" w:color="3616F6"/>
                                <w:left w:val="single" w:sz="8" w:space="0" w:color="3616F6"/>
                                <w:bottom w:val="single" w:sz="8" w:space="0" w:color="3616F6"/>
                                <w:right w:val="single" w:sz="8" w:space="0" w:color="3616F6"/>
                                <w:insideH w:val="single" w:sz="8" w:space="0" w:color="3616F6"/>
                                <w:insideV w:val="single" w:sz="8" w:space="0" w:color="3616F6"/>
                              </w:tblBorders>
                              <w:tblLayout w:type="fixed"/>
                              <w:tblLook w:val="01E0" w:firstRow="1" w:lastRow="1" w:firstColumn="1" w:lastColumn="1" w:noHBand="0" w:noVBand="0"/>
                            </w:tblPr>
                            <w:tblGrid>
                              <w:gridCol w:w="6126"/>
                              <w:gridCol w:w="861"/>
                              <w:gridCol w:w="861"/>
                              <w:gridCol w:w="773"/>
                            </w:tblGrid>
                            <w:tr w:rsidR="002C6574" w14:paraId="3C30E95D" w14:textId="77777777">
                              <w:trPr>
                                <w:trHeight w:val="184"/>
                              </w:trPr>
                              <w:tc>
                                <w:tcPr>
                                  <w:tcW w:w="6126" w:type="dxa"/>
                                  <w:tcBorders>
                                    <w:left w:val="nil"/>
                                  </w:tcBorders>
                                  <w:shd w:val="clear" w:color="auto" w:fill="75F6F8"/>
                                </w:tcPr>
                                <w:p w14:paraId="3B8836FC" w14:textId="77777777" w:rsidR="002C6574" w:rsidRDefault="00000000">
                                  <w:pPr>
                                    <w:pStyle w:val="TableParagraph"/>
                                    <w:spacing w:line="163" w:lineRule="exact"/>
                                    <w:ind w:left="79"/>
                                    <w:jc w:val="left"/>
                                    <w:rPr>
                                      <w:rFonts w:ascii="Arial"/>
                                      <w:b/>
                                      <w:sz w:val="16"/>
                                    </w:rPr>
                                  </w:pPr>
                                  <w:r>
                                    <w:rPr>
                                      <w:rFonts w:ascii="Arial"/>
                                      <w:b/>
                                      <w:sz w:val="16"/>
                                    </w:rPr>
                                    <w:t>R$</w:t>
                                  </w:r>
                                  <w:r>
                                    <w:rPr>
                                      <w:rFonts w:ascii="Arial"/>
                                      <w:b/>
                                      <w:spacing w:val="-1"/>
                                      <w:sz w:val="16"/>
                                    </w:rPr>
                                    <w:t xml:space="preserve"> </w:t>
                                  </w:r>
                                  <w:r>
                                    <w:rPr>
                                      <w:rFonts w:ascii="Arial"/>
                                      <w:b/>
                                      <w:spacing w:val="-5"/>
                                      <w:sz w:val="16"/>
                                    </w:rPr>
                                    <w:t>mil</w:t>
                                  </w:r>
                                </w:p>
                              </w:tc>
                              <w:tc>
                                <w:tcPr>
                                  <w:tcW w:w="861" w:type="dxa"/>
                                  <w:shd w:val="clear" w:color="auto" w:fill="75F6F8"/>
                                </w:tcPr>
                                <w:p w14:paraId="73B23A42" w14:textId="77777777" w:rsidR="002C6574" w:rsidRDefault="00000000">
                                  <w:pPr>
                                    <w:pStyle w:val="TableParagraph"/>
                                    <w:spacing w:line="163" w:lineRule="exact"/>
                                    <w:ind w:left="246"/>
                                    <w:jc w:val="left"/>
                                    <w:rPr>
                                      <w:rFonts w:ascii="Arial"/>
                                      <w:b/>
                                      <w:sz w:val="16"/>
                                    </w:rPr>
                                  </w:pPr>
                                  <w:r>
                                    <w:rPr>
                                      <w:rFonts w:ascii="Arial"/>
                                      <w:b/>
                                      <w:spacing w:val="-4"/>
                                      <w:sz w:val="16"/>
                                    </w:rPr>
                                    <w:t>4T25</w:t>
                                  </w:r>
                                </w:p>
                              </w:tc>
                              <w:tc>
                                <w:tcPr>
                                  <w:tcW w:w="861" w:type="dxa"/>
                                  <w:shd w:val="clear" w:color="auto" w:fill="75F6F8"/>
                                </w:tcPr>
                                <w:p w14:paraId="1771F894" w14:textId="77777777" w:rsidR="002C6574" w:rsidRDefault="00000000">
                                  <w:pPr>
                                    <w:pStyle w:val="TableParagraph"/>
                                    <w:spacing w:line="163" w:lineRule="exact"/>
                                    <w:ind w:left="247"/>
                                    <w:jc w:val="left"/>
                                    <w:rPr>
                                      <w:rFonts w:ascii="Arial"/>
                                      <w:b/>
                                      <w:sz w:val="16"/>
                                    </w:rPr>
                                  </w:pPr>
                                  <w:r>
                                    <w:rPr>
                                      <w:rFonts w:ascii="Arial"/>
                                      <w:b/>
                                      <w:spacing w:val="-4"/>
                                      <w:sz w:val="16"/>
                                    </w:rPr>
                                    <w:t>4T24</w:t>
                                  </w:r>
                                </w:p>
                              </w:tc>
                              <w:tc>
                                <w:tcPr>
                                  <w:tcW w:w="773" w:type="dxa"/>
                                  <w:shd w:val="clear" w:color="auto" w:fill="75F6F8"/>
                                </w:tcPr>
                                <w:p w14:paraId="0A5A1053" w14:textId="77777777" w:rsidR="002C6574" w:rsidRDefault="00000000">
                                  <w:pPr>
                                    <w:pStyle w:val="TableParagraph"/>
                                    <w:spacing w:line="163" w:lineRule="exact"/>
                                    <w:ind w:left="203"/>
                                    <w:jc w:val="left"/>
                                    <w:rPr>
                                      <w:rFonts w:ascii="Arial"/>
                                      <w:b/>
                                      <w:sz w:val="16"/>
                                    </w:rPr>
                                  </w:pPr>
                                  <w:r>
                                    <w:rPr>
                                      <w:rFonts w:ascii="Arial"/>
                                      <w:b/>
                                      <w:spacing w:val="-4"/>
                                      <w:sz w:val="16"/>
                                    </w:rPr>
                                    <w:t>3T25</w:t>
                                  </w:r>
                                </w:p>
                              </w:tc>
                            </w:tr>
                          </w:tbl>
                          <w:p w14:paraId="3B756AE1" w14:textId="77777777" w:rsidR="002C6574" w:rsidRDefault="002C6574">
                            <w:pPr>
                              <w:pStyle w:val="Corpodetexto"/>
                            </w:pPr>
                          </w:p>
                        </w:txbxContent>
                      </wps:txbx>
                      <wps:bodyPr wrap="square" lIns="0" tIns="0" rIns="0" bIns="0" rtlCol="0">
                        <a:noAutofit/>
                      </wps:bodyPr>
                    </wps:wsp>
                  </a:graphicData>
                </a:graphic>
              </wp:anchor>
            </w:drawing>
          </mc:Choice>
          <mc:Fallback>
            <w:pict>
              <v:shape w14:anchorId="1180FEFA" id="Textbox 520" o:spid="_x0000_s1250" type="#_x0000_t202" style="position:absolute;left:0;text-align:left;margin-left:42.1pt;margin-top:12.25pt;width:432.1pt;height:11.2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" filled="f" stroked="f">
                <v:textbox inset="0,0,0,0">
                  <w:txbxContent>
                    <w:tbl>
                      <w:tblPr>
                        <w:tblStyle w:val="TableNormal"/>
                        <w:tblW w:w="0" w:type="auto"/>
                        <w:tblInd w:w="7" w:type="dxa"/>
                        <w:tblBorders>
                          <w:top w:val="single" w:sz="8" w:space="0" w:color="3616F6"/>
                          <w:left w:val="single" w:sz="8" w:space="0" w:color="3616F6"/>
                          <w:bottom w:val="single" w:sz="8" w:space="0" w:color="3616F6"/>
                          <w:right w:val="single" w:sz="8" w:space="0" w:color="3616F6"/>
                          <w:insideH w:val="single" w:sz="8" w:space="0" w:color="3616F6"/>
                          <w:insideV w:val="single" w:sz="8" w:space="0" w:color="3616F6"/>
                        </w:tblBorders>
                        <w:tblLayout w:type="fixed"/>
                        <w:tblLook w:val="01E0" w:firstRow="1" w:lastRow="1" w:firstColumn="1" w:lastColumn="1" w:noHBand="0" w:noVBand="0"/>
                      </w:tblPr>
                      <w:tblGrid>
                        <w:gridCol w:w="6126"/>
                        <w:gridCol w:w="861"/>
                        <w:gridCol w:w="861"/>
                        <w:gridCol w:w="773"/>
                      </w:tblGrid>
                      <w:tr w:rsidR="002C6574" w14:paraId="3C30E95D" w14:textId="77777777">
                        <w:trPr>
                          <w:trHeight w:val="184"/>
                        </w:trPr>
                        <w:tc>
                          <w:tcPr>
                            <w:tcW w:w="6126" w:type="dxa"/>
                            <w:tcBorders>
                              <w:left w:val="nil"/>
                            </w:tcBorders>
                            <w:shd w:val="clear" w:color="auto" w:fill="75F6F8"/>
                          </w:tcPr>
                          <w:p w14:paraId="3B8836FC" w14:textId="77777777" w:rsidR="002C6574" w:rsidRDefault="00000000">
                            <w:pPr>
                              <w:pStyle w:val="TableParagraph"/>
                              <w:spacing w:line="163" w:lineRule="exact"/>
                              <w:ind w:left="79"/>
                              <w:jc w:val="left"/>
                              <w:rPr>
                                <w:rFonts w:ascii="Arial"/>
                                <w:b/>
                                <w:sz w:val="16"/>
                              </w:rPr>
                            </w:pPr>
                            <w:r>
                              <w:rPr>
                                <w:rFonts w:ascii="Arial"/>
                                <w:b/>
                                <w:sz w:val="16"/>
                              </w:rPr>
                              <w:t>R$</w:t>
                            </w:r>
                            <w:r>
                              <w:rPr>
                                <w:rFonts w:ascii="Arial"/>
                                <w:b/>
                                <w:spacing w:val="-1"/>
                                <w:sz w:val="16"/>
                              </w:rPr>
                              <w:t xml:space="preserve"> </w:t>
                            </w:r>
                            <w:r>
                              <w:rPr>
                                <w:rFonts w:ascii="Arial"/>
                                <w:b/>
                                <w:spacing w:val="-5"/>
                                <w:sz w:val="16"/>
                              </w:rPr>
                              <w:t>mil</w:t>
                            </w:r>
                          </w:p>
                        </w:tc>
                        <w:tc>
                          <w:tcPr>
                            <w:tcW w:w="861" w:type="dxa"/>
                            <w:shd w:val="clear" w:color="auto" w:fill="75F6F8"/>
                          </w:tcPr>
                          <w:p w14:paraId="73B23A42" w14:textId="77777777" w:rsidR="002C6574" w:rsidRDefault="00000000">
                            <w:pPr>
                              <w:pStyle w:val="TableParagraph"/>
                              <w:spacing w:line="163" w:lineRule="exact"/>
                              <w:ind w:left="246"/>
                              <w:jc w:val="left"/>
                              <w:rPr>
                                <w:rFonts w:ascii="Arial"/>
                                <w:b/>
                                <w:sz w:val="16"/>
                              </w:rPr>
                            </w:pPr>
                            <w:r>
                              <w:rPr>
                                <w:rFonts w:ascii="Arial"/>
                                <w:b/>
                                <w:spacing w:val="-4"/>
                                <w:sz w:val="16"/>
                              </w:rPr>
                              <w:t>4T25</w:t>
                            </w:r>
                          </w:p>
                        </w:tc>
                        <w:tc>
                          <w:tcPr>
                            <w:tcW w:w="861" w:type="dxa"/>
                            <w:shd w:val="clear" w:color="auto" w:fill="75F6F8"/>
                          </w:tcPr>
                          <w:p w14:paraId="1771F894" w14:textId="77777777" w:rsidR="002C6574" w:rsidRDefault="00000000">
                            <w:pPr>
                              <w:pStyle w:val="TableParagraph"/>
                              <w:spacing w:line="163" w:lineRule="exact"/>
                              <w:ind w:left="247"/>
                              <w:jc w:val="left"/>
                              <w:rPr>
                                <w:rFonts w:ascii="Arial"/>
                                <w:b/>
                                <w:sz w:val="16"/>
                              </w:rPr>
                            </w:pPr>
                            <w:r>
                              <w:rPr>
                                <w:rFonts w:ascii="Arial"/>
                                <w:b/>
                                <w:spacing w:val="-4"/>
                                <w:sz w:val="16"/>
                              </w:rPr>
                              <w:t>4T24</w:t>
                            </w:r>
                          </w:p>
                        </w:tc>
                        <w:tc>
                          <w:tcPr>
                            <w:tcW w:w="773" w:type="dxa"/>
                            <w:shd w:val="clear" w:color="auto" w:fill="75F6F8"/>
                          </w:tcPr>
                          <w:p w14:paraId="0A5A1053" w14:textId="77777777" w:rsidR="002C6574" w:rsidRDefault="00000000">
                            <w:pPr>
                              <w:pStyle w:val="TableParagraph"/>
                              <w:spacing w:line="163" w:lineRule="exact"/>
                              <w:ind w:left="203"/>
                              <w:jc w:val="left"/>
                              <w:rPr>
                                <w:rFonts w:ascii="Arial"/>
                                <w:b/>
                                <w:sz w:val="16"/>
                              </w:rPr>
                            </w:pPr>
                            <w:r>
                              <w:rPr>
                                <w:rFonts w:ascii="Arial"/>
                                <w:b/>
                                <w:spacing w:val="-4"/>
                                <w:sz w:val="16"/>
                              </w:rPr>
                              <w:t>3T25</w:t>
                            </w:r>
                          </w:p>
                        </w:tc>
                      </w:tr>
                    </w:tbl>
                    <w:p w14:paraId="3B756AE1" w14:textId="77777777" w:rsidR="002C6574" w:rsidRDefault="002C6574">
                      <w:pPr>
                        <w:pStyle w:val="Corpodetexto"/>
                      </w:pPr>
                    </w:p>
                  </w:txbxContent>
                </v:textbox>
                <w10:wrap type="topAndBottom" anchorx="page"/>
              </v:shape>
            </w:pict>
          </mc:Fallback>
        </mc:AlternateContent>
      </w:r>
      <w:r>
        <w:rPr>
          <w:rFonts w:ascii="Arial"/>
          <w:b/>
          <w:noProof/>
          <w:sz w:val="16"/>
        </w:rPr>
        <mc:AlternateContent>
          <mc:Choice Requires="wpg">
            <w:drawing>
              <wp:anchor distT="0" distB="0" distL="0" distR="0" simplePos="0" relativeHeight="487646208" behindDoc="1" locked="0" layoutInCell="1" allowOverlap="1" wp14:anchorId="6D8E206C" wp14:editId="007EB764">
                <wp:simplePos x="0" y="0"/>
                <wp:positionH relativeFrom="page">
                  <wp:posOffset>6107938</wp:posOffset>
                </wp:positionH>
                <wp:positionV relativeFrom="paragraph">
                  <wp:posOffset>155634</wp:posOffset>
                </wp:positionV>
                <wp:extent cx="1094740" cy="142240"/>
                <wp:effectExtent l="0" t="0" r="0" b="0"/>
                <wp:wrapTopAndBottom/>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4740" cy="142240"/>
                          <a:chOff x="0" y="0"/>
                          <a:chExt cx="1094740" cy="142240"/>
                        </a:xfrm>
                      </wpg:grpSpPr>
                      <wps:wsp>
                        <wps:cNvPr id="522" name="Graphic 522"/>
                        <wps:cNvSpPr/>
                        <wps:spPr>
                          <a:xfrm>
                            <a:off x="1524" y="0"/>
                            <a:ext cx="1093470" cy="142240"/>
                          </a:xfrm>
                          <a:custGeom>
                            <a:avLst/>
                            <a:gdLst/>
                            <a:ahLst/>
                            <a:cxnLst/>
                            <a:rect l="l" t="t" r="r" b="b"/>
                            <a:pathLst>
                              <a:path w="1093470" h="142240">
                                <a:moveTo>
                                  <a:pt x="563867" y="129552"/>
                                </a:moveTo>
                                <a:lnTo>
                                  <a:pt x="551688" y="129552"/>
                                </a:lnTo>
                                <a:lnTo>
                                  <a:pt x="539483" y="129552"/>
                                </a:lnTo>
                                <a:lnTo>
                                  <a:pt x="0" y="129552"/>
                                </a:lnTo>
                                <a:lnTo>
                                  <a:pt x="0" y="141732"/>
                                </a:lnTo>
                                <a:lnTo>
                                  <a:pt x="539483" y="141732"/>
                                </a:lnTo>
                                <a:lnTo>
                                  <a:pt x="551688" y="141732"/>
                                </a:lnTo>
                                <a:lnTo>
                                  <a:pt x="563867" y="141732"/>
                                </a:lnTo>
                                <a:lnTo>
                                  <a:pt x="563867" y="129552"/>
                                </a:lnTo>
                                <a:close/>
                              </a:path>
                              <a:path w="1093470" h="142240">
                                <a:moveTo>
                                  <a:pt x="563867" y="0"/>
                                </a:moveTo>
                                <a:lnTo>
                                  <a:pt x="551688" y="0"/>
                                </a:lnTo>
                                <a:lnTo>
                                  <a:pt x="539483" y="0"/>
                                </a:lnTo>
                                <a:lnTo>
                                  <a:pt x="0" y="0"/>
                                </a:lnTo>
                                <a:lnTo>
                                  <a:pt x="0" y="12192"/>
                                </a:lnTo>
                                <a:lnTo>
                                  <a:pt x="539483" y="12192"/>
                                </a:lnTo>
                                <a:lnTo>
                                  <a:pt x="539483" y="129540"/>
                                </a:lnTo>
                                <a:lnTo>
                                  <a:pt x="551688" y="129540"/>
                                </a:lnTo>
                                <a:lnTo>
                                  <a:pt x="551688" y="12192"/>
                                </a:lnTo>
                                <a:lnTo>
                                  <a:pt x="563867" y="12192"/>
                                </a:lnTo>
                                <a:lnTo>
                                  <a:pt x="563867" y="0"/>
                                </a:lnTo>
                                <a:close/>
                              </a:path>
                              <a:path w="1093470" h="142240">
                                <a:moveTo>
                                  <a:pt x="1093012" y="129552"/>
                                </a:moveTo>
                                <a:lnTo>
                                  <a:pt x="563880" y="129552"/>
                                </a:lnTo>
                                <a:lnTo>
                                  <a:pt x="563880" y="141732"/>
                                </a:lnTo>
                                <a:lnTo>
                                  <a:pt x="1093012" y="141732"/>
                                </a:lnTo>
                                <a:lnTo>
                                  <a:pt x="1093012" y="129552"/>
                                </a:lnTo>
                                <a:close/>
                              </a:path>
                              <a:path w="1093470" h="142240">
                                <a:moveTo>
                                  <a:pt x="1093012" y="0"/>
                                </a:moveTo>
                                <a:lnTo>
                                  <a:pt x="563880" y="0"/>
                                </a:lnTo>
                                <a:lnTo>
                                  <a:pt x="563880" y="12192"/>
                                </a:lnTo>
                                <a:lnTo>
                                  <a:pt x="1093012" y="12192"/>
                                </a:lnTo>
                                <a:lnTo>
                                  <a:pt x="1093012" y="0"/>
                                </a:lnTo>
                                <a:close/>
                              </a:path>
                            </a:pathLst>
                          </a:custGeom>
                          <a:solidFill>
                            <a:srgbClr val="3616F6"/>
                          </a:solidFill>
                        </wps:spPr>
                        <wps:bodyPr wrap="square" lIns="0" tIns="0" rIns="0" bIns="0" rtlCol="0">
                          <a:prstTxWarp prst="textNoShape">
                            <a:avLst/>
                          </a:prstTxWarp>
                          <a:noAutofit/>
                        </wps:bodyPr>
                      </wps:wsp>
                      <wps:wsp>
                        <wps:cNvPr id="523" name="Textbox 523"/>
                        <wps:cNvSpPr txBox="1"/>
                        <wps:spPr>
                          <a:xfrm>
                            <a:off x="553212" y="12192"/>
                            <a:ext cx="541655" cy="117475"/>
                          </a:xfrm>
                          <a:prstGeom prst="rect">
                            <a:avLst/>
                          </a:prstGeom>
                          <a:solidFill>
                            <a:srgbClr val="75F6F8"/>
                          </a:solidFill>
                        </wps:spPr>
                        <wps:txbx>
                          <w:txbxContent>
                            <w:p w14:paraId="5753D9F7" w14:textId="77777777" w:rsidR="002C6574" w:rsidRDefault="00000000">
                              <w:pPr>
                                <w:spacing w:before="1" w:line="184" w:lineRule="exact"/>
                                <w:ind w:left="242"/>
                                <w:rPr>
                                  <w:rFonts w:ascii="Arial"/>
                                  <w:b/>
                                  <w:color w:val="000000"/>
                                  <w:sz w:val="16"/>
                                </w:rPr>
                              </w:pPr>
                              <w:r>
                                <w:rPr>
                                  <w:rFonts w:ascii="Arial"/>
                                  <w:b/>
                                  <w:color w:val="000000"/>
                                  <w:spacing w:val="-4"/>
                                  <w:sz w:val="16"/>
                                </w:rPr>
                                <w:t>2024</w:t>
                              </w:r>
                            </w:p>
                          </w:txbxContent>
                        </wps:txbx>
                        <wps:bodyPr wrap="square" lIns="0" tIns="0" rIns="0" bIns="0" rtlCol="0">
                          <a:noAutofit/>
                        </wps:bodyPr>
                      </wps:wsp>
                      <wps:wsp>
                        <wps:cNvPr id="524" name="Textbox 524"/>
                        <wps:cNvSpPr txBox="1"/>
                        <wps:spPr>
                          <a:xfrm>
                            <a:off x="0" y="12192"/>
                            <a:ext cx="541020" cy="117475"/>
                          </a:xfrm>
                          <a:prstGeom prst="rect">
                            <a:avLst/>
                          </a:prstGeom>
                          <a:solidFill>
                            <a:srgbClr val="75F6F8"/>
                          </a:solidFill>
                        </wps:spPr>
                        <wps:txbx>
                          <w:txbxContent>
                            <w:p w14:paraId="434BEEE0" w14:textId="77777777" w:rsidR="002C6574" w:rsidRDefault="00000000">
                              <w:pPr>
                                <w:spacing w:before="1" w:line="184" w:lineRule="exact"/>
                                <w:ind w:left="252"/>
                                <w:rPr>
                                  <w:rFonts w:ascii="Arial"/>
                                  <w:b/>
                                  <w:color w:val="000000"/>
                                  <w:sz w:val="16"/>
                                </w:rPr>
                              </w:pPr>
                              <w:r>
                                <w:rPr>
                                  <w:rFonts w:ascii="Arial"/>
                                  <w:b/>
                                  <w:color w:val="000000"/>
                                  <w:spacing w:val="-4"/>
                                  <w:sz w:val="16"/>
                                </w:rPr>
                                <w:t>2025</w:t>
                              </w:r>
                            </w:p>
                          </w:txbxContent>
                        </wps:txbx>
                        <wps:bodyPr wrap="square" lIns="0" tIns="0" rIns="0" bIns="0" rtlCol="0">
                          <a:noAutofit/>
                        </wps:bodyPr>
                      </wps:wsp>
                    </wpg:wgp>
                  </a:graphicData>
                </a:graphic>
              </wp:anchor>
            </w:drawing>
          </mc:Choice>
          <mc:Fallback>
            <w:pict>
              <v:group w14:anchorId="6D8E206C" id="Group 521" o:spid="_x0000_s1251" style="position:absolute;left:0;text-align:left;margin-left:480.95pt;margin-top:12.25pt;width:86.2pt;height:11.2pt;z-index:-15670272;mso-wrap-distance-left:0;mso-wrap-distance-right:0;mso-position-horizontal-relative:page;mso-position-vertical-relative:text" coordsize="10947,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">
                <v:shape id="Graphic 522" o:spid="_x0000_s1252" style="position:absolute;left:15;width:10934;height:1422;visibility:visible;mso-wrap-style:square;v-text-anchor:top" coordsize="109347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" path="m563867,129552r-12179,l539483,129552,,129552r,12180l539483,141732r12205,l563867,141732r,-12180xem563867,l551688,,539483,,,,,12192r539483,l539483,129540r12205,l551688,12192r12179,l563867,xem1093012,129552r-529132,l563880,141732r529132,l1093012,129552xem1093012,l563880,r,12192l1093012,12192r,-12192xe" fillcolor="#3616f6" stroked="f">
                  <v:path arrowok="t"/>
                </v:shape>
                <v:shape id="Textbox 523" o:spid="_x0000_s1253" type="#_x0000_t202" style="position:absolute;left:5532;top:121;width:541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" fillcolor="#75f6f8" stroked="f">
                  <v:textbox inset="0,0,0,0">
                    <w:txbxContent>
                      <w:p w14:paraId="5753D9F7" w14:textId="77777777" w:rsidR="002C6574" w:rsidRDefault="00000000">
                        <w:pPr>
                          <w:spacing w:before="1" w:line="184" w:lineRule="exact"/>
                          <w:ind w:left="242"/>
                          <w:rPr>
                            <w:rFonts w:ascii="Arial"/>
                            <w:b/>
                            <w:color w:val="000000"/>
                            <w:sz w:val="16"/>
                          </w:rPr>
                        </w:pPr>
                        <w:r>
                          <w:rPr>
                            <w:rFonts w:ascii="Arial"/>
                            <w:b/>
                            <w:color w:val="000000"/>
                            <w:spacing w:val="-4"/>
                            <w:sz w:val="16"/>
                          </w:rPr>
                          <w:t>2024</w:t>
                        </w:r>
                      </w:p>
                    </w:txbxContent>
                  </v:textbox>
                </v:shape>
                <v:shape id="Textbox 524" o:spid="_x0000_s1254" type="#_x0000_t202" style="position:absolute;top:121;width:5410;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" fillcolor="#75f6f8" stroked="f">
                  <v:textbox inset="0,0,0,0">
                    <w:txbxContent>
                      <w:p w14:paraId="434BEEE0" w14:textId="77777777" w:rsidR="002C6574" w:rsidRDefault="00000000">
                        <w:pPr>
                          <w:spacing w:before="1" w:line="184" w:lineRule="exact"/>
                          <w:ind w:left="252"/>
                          <w:rPr>
                            <w:rFonts w:ascii="Arial"/>
                            <w:b/>
                            <w:color w:val="000000"/>
                            <w:sz w:val="16"/>
                          </w:rPr>
                        </w:pPr>
                        <w:r>
                          <w:rPr>
                            <w:rFonts w:ascii="Arial"/>
                            <w:b/>
                            <w:color w:val="000000"/>
                            <w:spacing w:val="-4"/>
                            <w:sz w:val="16"/>
                          </w:rPr>
                          <w:t>2025</w:t>
                        </w:r>
                      </w:p>
                    </w:txbxContent>
                  </v:textbox>
                </v:shape>
                <w10:wrap type="topAndBottom" anchorx="page"/>
              </v:group>
            </w:pict>
          </mc:Fallback>
        </mc:AlternateContent>
      </w:r>
      <w:r>
        <w:rPr>
          <w:rFonts w:ascii="Arial"/>
          <w:b/>
          <w:sz w:val="16"/>
          <w:u w:val="single"/>
        </w:rPr>
        <w:tab/>
      </w:r>
      <w:r>
        <w:rPr>
          <w:rFonts w:ascii="Arial"/>
          <w:b/>
          <w:spacing w:val="-2"/>
          <w:sz w:val="16"/>
          <w:u w:val="single"/>
        </w:rPr>
        <w:t>Trimestres</w:t>
      </w:r>
      <w:r>
        <w:rPr>
          <w:rFonts w:ascii="Arial"/>
          <w:b/>
          <w:sz w:val="16"/>
          <w:u w:val="single"/>
        </w:rPr>
        <w:tab/>
      </w:r>
    </w:p>
    <w:p w14:paraId="1F67560D" w14:textId="77777777" w:rsidR="002C6574" w:rsidRDefault="00000000">
      <w:pPr>
        <w:spacing w:before="1"/>
        <w:ind w:left="496"/>
        <w:rPr>
          <w:rFonts w:ascii="Arial"/>
          <w:b/>
          <w:sz w:val="16"/>
        </w:rPr>
      </w:pPr>
      <w:r>
        <w:rPr>
          <w:rFonts w:ascii="Arial"/>
          <w:b/>
          <w:sz w:val="16"/>
        </w:rPr>
        <w:t>Fluxos</w:t>
      </w:r>
      <w:r>
        <w:rPr>
          <w:rFonts w:ascii="Arial"/>
          <w:b/>
          <w:spacing w:val="-8"/>
          <w:sz w:val="16"/>
        </w:rPr>
        <w:t xml:space="preserve"> </w:t>
      </w:r>
      <w:r>
        <w:rPr>
          <w:rFonts w:ascii="Arial"/>
          <w:b/>
          <w:sz w:val="16"/>
        </w:rPr>
        <w:t>de</w:t>
      </w:r>
      <w:r>
        <w:rPr>
          <w:rFonts w:ascii="Arial"/>
          <w:b/>
          <w:spacing w:val="-4"/>
          <w:sz w:val="16"/>
        </w:rPr>
        <w:t xml:space="preserve"> </w:t>
      </w:r>
      <w:r>
        <w:rPr>
          <w:rFonts w:ascii="Arial"/>
          <w:b/>
          <w:sz w:val="16"/>
        </w:rPr>
        <w:t>Caixa</w:t>
      </w:r>
      <w:r>
        <w:rPr>
          <w:rFonts w:ascii="Arial"/>
          <w:b/>
          <w:spacing w:val="-4"/>
          <w:sz w:val="16"/>
        </w:rPr>
        <w:t xml:space="preserve"> </w:t>
      </w:r>
      <w:r>
        <w:rPr>
          <w:rFonts w:ascii="Arial"/>
          <w:b/>
          <w:sz w:val="16"/>
        </w:rPr>
        <w:t>das</w:t>
      </w:r>
      <w:r>
        <w:rPr>
          <w:rFonts w:ascii="Arial"/>
          <w:b/>
          <w:spacing w:val="-6"/>
          <w:sz w:val="16"/>
        </w:rPr>
        <w:t xml:space="preserve"> </w:t>
      </w:r>
      <w:r>
        <w:rPr>
          <w:rFonts w:ascii="Arial"/>
          <w:b/>
          <w:sz w:val="16"/>
        </w:rPr>
        <w:t>Atividades</w:t>
      </w:r>
      <w:r>
        <w:rPr>
          <w:rFonts w:ascii="Arial"/>
          <w:b/>
          <w:spacing w:val="-8"/>
          <w:sz w:val="16"/>
        </w:rPr>
        <w:t xml:space="preserve"> </w:t>
      </w:r>
      <w:r>
        <w:rPr>
          <w:rFonts w:ascii="Arial"/>
          <w:b/>
          <w:spacing w:val="-2"/>
          <w:sz w:val="16"/>
        </w:rPr>
        <w:t>Operacionais</w:t>
      </w:r>
    </w:p>
    <w:p w14:paraId="5A5CEE3D" w14:textId="77777777" w:rsidR="002C6574" w:rsidRDefault="00000000">
      <w:pPr>
        <w:ind w:left="427"/>
        <w:rPr>
          <w:rFonts w:ascii="Arial"/>
          <w:sz w:val="20"/>
        </w:rPr>
      </w:pPr>
      <w:r>
        <w:rPr>
          <w:rFonts w:ascii="Arial"/>
          <w:noProof/>
          <w:sz w:val="20"/>
        </w:rPr>
        <mc:AlternateContent>
          <mc:Choice Requires="wps">
            <w:drawing>
              <wp:inline distT="0" distB="0" distL="0" distR="0" wp14:anchorId="184E1707" wp14:editId="06D614A8">
                <wp:extent cx="5475605" cy="6993255"/>
                <wp:effectExtent l="0" t="0" r="0" b="0"/>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5605" cy="6993255"/>
                        </a:xfrm>
                        <a:prstGeom prst="rect">
                          <a:avLst/>
                        </a:prstGeom>
                      </wps:spPr>
                      <wps:txbx>
                        <w:txbxContent>
                          <w:tbl>
                            <w:tblPr>
                              <w:tblStyle w:val="TableNormal"/>
                              <w:tblW w:w="0" w:type="auto"/>
                              <w:tblInd w:w="7"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1E0" w:firstRow="1" w:lastRow="1" w:firstColumn="1" w:lastColumn="1" w:noHBand="0" w:noVBand="0"/>
                            </w:tblPr>
                            <w:tblGrid>
                              <w:gridCol w:w="6126"/>
                              <w:gridCol w:w="861"/>
                              <w:gridCol w:w="861"/>
                              <w:gridCol w:w="773"/>
                            </w:tblGrid>
                            <w:tr w:rsidR="002C6574" w14:paraId="1EC82828" w14:textId="77777777">
                              <w:trPr>
                                <w:trHeight w:val="183"/>
                              </w:trPr>
                              <w:tc>
                                <w:tcPr>
                                  <w:tcW w:w="6126" w:type="dxa"/>
                                  <w:tcBorders>
                                    <w:left w:val="nil"/>
                                  </w:tcBorders>
                                </w:tcPr>
                                <w:p w14:paraId="533F4E26" w14:textId="77777777" w:rsidR="002C6574" w:rsidRDefault="00000000">
                                  <w:pPr>
                                    <w:pStyle w:val="TableParagraph"/>
                                    <w:spacing w:line="163" w:lineRule="exact"/>
                                    <w:ind w:left="69"/>
                                    <w:jc w:val="left"/>
                                    <w:rPr>
                                      <w:rFonts w:ascii="Arial" w:hAnsi="Arial"/>
                                      <w:b/>
                                      <w:sz w:val="16"/>
                                    </w:rPr>
                                  </w:pPr>
                                  <w:r>
                                    <w:rPr>
                                      <w:rFonts w:ascii="Arial" w:hAnsi="Arial"/>
                                      <w:b/>
                                      <w:sz w:val="16"/>
                                    </w:rPr>
                                    <w:t>Lucro/(Prejuízo)</w:t>
                                  </w:r>
                                  <w:r>
                                    <w:rPr>
                                      <w:rFonts w:ascii="Arial" w:hAnsi="Arial"/>
                                      <w:b/>
                                      <w:spacing w:val="-7"/>
                                      <w:sz w:val="16"/>
                                    </w:rPr>
                                    <w:t xml:space="preserve"> </w:t>
                                  </w:r>
                                  <w:r>
                                    <w:rPr>
                                      <w:rFonts w:ascii="Arial" w:hAnsi="Arial"/>
                                      <w:b/>
                                      <w:sz w:val="16"/>
                                    </w:rPr>
                                    <w:t>antes</w:t>
                                  </w:r>
                                  <w:r>
                                    <w:rPr>
                                      <w:rFonts w:ascii="Arial" w:hAnsi="Arial"/>
                                      <w:b/>
                                      <w:spacing w:val="-7"/>
                                      <w:sz w:val="16"/>
                                    </w:rPr>
                                    <w:t xml:space="preserve"> </w:t>
                                  </w:r>
                                  <w:r>
                                    <w:rPr>
                                      <w:rFonts w:ascii="Arial" w:hAnsi="Arial"/>
                                      <w:b/>
                                      <w:sz w:val="16"/>
                                    </w:rPr>
                                    <w:t>do</w:t>
                                  </w:r>
                                  <w:r>
                                    <w:rPr>
                                      <w:rFonts w:ascii="Arial" w:hAnsi="Arial"/>
                                      <w:b/>
                                      <w:spacing w:val="-6"/>
                                      <w:sz w:val="16"/>
                                    </w:rPr>
                                    <w:t xml:space="preserve"> </w:t>
                                  </w:r>
                                  <w:r>
                                    <w:rPr>
                                      <w:rFonts w:ascii="Arial" w:hAnsi="Arial"/>
                                      <w:b/>
                                      <w:sz w:val="16"/>
                                    </w:rPr>
                                    <w:t>Imposto</w:t>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Renda</w:t>
                                  </w:r>
                                  <w:r>
                                    <w:rPr>
                                      <w:rFonts w:ascii="Arial" w:hAnsi="Arial"/>
                                      <w:b/>
                                      <w:spacing w:val="-5"/>
                                      <w:sz w:val="16"/>
                                    </w:rPr>
                                    <w:t xml:space="preserve"> </w:t>
                                  </w:r>
                                  <w:r>
                                    <w:rPr>
                                      <w:rFonts w:ascii="Arial" w:hAnsi="Arial"/>
                                      <w:b/>
                                      <w:sz w:val="16"/>
                                    </w:rPr>
                                    <w:t>e</w:t>
                                  </w:r>
                                  <w:r>
                                    <w:rPr>
                                      <w:rFonts w:ascii="Arial" w:hAnsi="Arial"/>
                                      <w:b/>
                                      <w:spacing w:val="-5"/>
                                      <w:sz w:val="16"/>
                                    </w:rPr>
                                    <w:t xml:space="preserve"> </w:t>
                                  </w:r>
                                  <w:r>
                                    <w:rPr>
                                      <w:rFonts w:ascii="Arial" w:hAnsi="Arial"/>
                                      <w:b/>
                                      <w:sz w:val="16"/>
                                    </w:rPr>
                                    <w:t>Contribuição</w:t>
                                  </w:r>
                                  <w:r>
                                    <w:rPr>
                                      <w:rFonts w:ascii="Arial" w:hAnsi="Arial"/>
                                      <w:b/>
                                      <w:spacing w:val="-6"/>
                                      <w:sz w:val="16"/>
                                    </w:rPr>
                                    <w:t xml:space="preserve"> </w:t>
                                  </w:r>
                                  <w:r>
                                    <w:rPr>
                                      <w:rFonts w:ascii="Arial" w:hAnsi="Arial"/>
                                      <w:b/>
                                      <w:spacing w:val="-2"/>
                                      <w:sz w:val="16"/>
                                    </w:rPr>
                                    <w:t>Social</w:t>
                                  </w:r>
                                </w:p>
                              </w:tc>
                              <w:tc>
                                <w:tcPr>
                                  <w:tcW w:w="861" w:type="dxa"/>
                                  <w:shd w:val="clear" w:color="auto" w:fill="75F6F8"/>
                                </w:tcPr>
                                <w:p w14:paraId="3EA5DA60" w14:textId="77777777" w:rsidR="002C6574" w:rsidRDefault="00000000">
                                  <w:pPr>
                                    <w:pStyle w:val="TableParagraph"/>
                                    <w:spacing w:line="163" w:lineRule="exact"/>
                                    <w:ind w:left="147" w:right="7"/>
                                    <w:jc w:val="center"/>
                                    <w:rPr>
                                      <w:rFonts w:ascii="Arial"/>
                                      <w:b/>
                                      <w:sz w:val="16"/>
                                    </w:rPr>
                                  </w:pPr>
                                  <w:r>
                                    <w:rPr>
                                      <w:rFonts w:ascii="Arial"/>
                                      <w:b/>
                                      <w:spacing w:val="-2"/>
                                      <w:sz w:val="16"/>
                                    </w:rPr>
                                    <w:t>265.393</w:t>
                                  </w:r>
                                </w:p>
                              </w:tc>
                              <w:tc>
                                <w:tcPr>
                                  <w:tcW w:w="861" w:type="dxa"/>
                                </w:tcPr>
                                <w:p w14:paraId="7BB77528" w14:textId="77777777" w:rsidR="002C6574" w:rsidRDefault="00000000">
                                  <w:pPr>
                                    <w:pStyle w:val="TableParagraph"/>
                                    <w:spacing w:line="163" w:lineRule="exact"/>
                                    <w:ind w:left="147" w:right="6"/>
                                    <w:jc w:val="center"/>
                                    <w:rPr>
                                      <w:rFonts w:ascii="Arial"/>
                                      <w:b/>
                                      <w:sz w:val="16"/>
                                    </w:rPr>
                                  </w:pPr>
                                  <w:r>
                                    <w:rPr>
                                      <w:rFonts w:ascii="Arial"/>
                                      <w:b/>
                                      <w:spacing w:val="-2"/>
                                      <w:sz w:val="16"/>
                                    </w:rPr>
                                    <w:t>139.125</w:t>
                                  </w:r>
                                </w:p>
                              </w:tc>
                              <w:tc>
                                <w:tcPr>
                                  <w:tcW w:w="773" w:type="dxa"/>
                                  <w:tcBorders>
                                    <w:right w:val="nil"/>
                                  </w:tcBorders>
                                </w:tcPr>
                                <w:p w14:paraId="48166908" w14:textId="77777777" w:rsidR="002C6574" w:rsidRDefault="00000000">
                                  <w:pPr>
                                    <w:pStyle w:val="TableParagraph"/>
                                    <w:spacing w:line="163" w:lineRule="exact"/>
                                    <w:ind w:left="27"/>
                                    <w:jc w:val="center"/>
                                    <w:rPr>
                                      <w:rFonts w:ascii="Arial"/>
                                      <w:b/>
                                      <w:sz w:val="16"/>
                                    </w:rPr>
                                  </w:pPr>
                                  <w:r>
                                    <w:rPr>
                                      <w:rFonts w:ascii="Arial"/>
                                      <w:b/>
                                      <w:spacing w:val="-2"/>
                                      <w:sz w:val="16"/>
                                    </w:rPr>
                                    <w:t>(25.610)</w:t>
                                  </w:r>
                                </w:p>
                              </w:tc>
                            </w:tr>
                            <w:tr w:rsidR="002C6574" w14:paraId="21D4A1C4" w14:textId="77777777">
                              <w:trPr>
                                <w:trHeight w:val="3679"/>
                              </w:trPr>
                              <w:tc>
                                <w:tcPr>
                                  <w:tcW w:w="6126" w:type="dxa"/>
                                  <w:tcBorders>
                                    <w:left w:val="nil"/>
                                  </w:tcBorders>
                                </w:tcPr>
                                <w:p w14:paraId="7FB94E9C" w14:textId="77777777" w:rsidR="002C6574" w:rsidRDefault="00000000">
                                  <w:pPr>
                                    <w:pStyle w:val="TableParagraph"/>
                                    <w:ind w:left="115"/>
                                    <w:jc w:val="left"/>
                                    <w:rPr>
                                      <w:rFonts w:ascii="Arial"/>
                                      <w:b/>
                                      <w:sz w:val="16"/>
                                    </w:rPr>
                                  </w:pPr>
                                  <w:r>
                                    <w:rPr>
                                      <w:rFonts w:ascii="Arial"/>
                                      <w:b/>
                                      <w:sz w:val="16"/>
                                    </w:rPr>
                                    <w:t>Ajustes</w:t>
                                  </w:r>
                                  <w:r>
                                    <w:rPr>
                                      <w:rFonts w:ascii="Arial"/>
                                      <w:b/>
                                      <w:spacing w:val="-6"/>
                                      <w:sz w:val="16"/>
                                    </w:rPr>
                                    <w:t xml:space="preserve"> </w:t>
                                  </w:r>
                                  <w:r>
                                    <w:rPr>
                                      <w:rFonts w:ascii="Arial"/>
                                      <w:b/>
                                      <w:spacing w:val="-4"/>
                                      <w:sz w:val="16"/>
                                    </w:rPr>
                                    <w:t>por:</w:t>
                                  </w:r>
                                </w:p>
                                <w:p w14:paraId="0309ACD6" w14:textId="77777777" w:rsidR="002C6574" w:rsidRDefault="00000000">
                                  <w:pPr>
                                    <w:pStyle w:val="TableParagraph"/>
                                    <w:spacing w:before="1" w:line="183" w:lineRule="exact"/>
                                    <w:ind w:left="434"/>
                                    <w:jc w:val="left"/>
                                    <w:rPr>
                                      <w:rFonts w:ascii="Arial MT" w:hAnsi="Arial MT"/>
                                      <w:sz w:val="16"/>
                                    </w:rPr>
                                  </w:pPr>
                                  <w:r>
                                    <w:rPr>
                                      <w:rFonts w:ascii="Arial MT" w:hAnsi="Arial MT"/>
                                      <w:sz w:val="16"/>
                                    </w:rPr>
                                    <w:t>Depreciação</w:t>
                                  </w:r>
                                  <w:r>
                                    <w:rPr>
                                      <w:rFonts w:ascii="Arial MT" w:hAnsi="Arial MT"/>
                                      <w:spacing w:val="-6"/>
                                      <w:sz w:val="16"/>
                                    </w:rPr>
                                    <w:t xml:space="preserve"> </w:t>
                                  </w:r>
                                  <w:r>
                                    <w:rPr>
                                      <w:rFonts w:ascii="Arial MT" w:hAnsi="Arial MT"/>
                                      <w:sz w:val="16"/>
                                    </w:rPr>
                                    <w:t>e</w:t>
                                  </w:r>
                                  <w:r>
                                    <w:rPr>
                                      <w:rFonts w:ascii="Arial MT" w:hAnsi="Arial MT"/>
                                      <w:spacing w:val="-5"/>
                                      <w:sz w:val="16"/>
                                    </w:rPr>
                                    <w:t xml:space="preserve"> </w:t>
                                  </w:r>
                                  <w:r>
                                    <w:rPr>
                                      <w:rFonts w:ascii="Arial MT" w:hAnsi="Arial MT"/>
                                      <w:spacing w:val="-2"/>
                                      <w:sz w:val="16"/>
                                    </w:rPr>
                                    <w:t>Amortização</w:t>
                                  </w:r>
                                </w:p>
                                <w:p w14:paraId="25385274" w14:textId="77777777" w:rsidR="002C6574" w:rsidRDefault="00000000">
                                  <w:pPr>
                                    <w:pStyle w:val="TableParagraph"/>
                                    <w:spacing w:line="183" w:lineRule="exact"/>
                                    <w:ind w:left="434"/>
                                    <w:jc w:val="left"/>
                                    <w:rPr>
                                      <w:rFonts w:ascii="Arial MT" w:hAnsi="Arial MT"/>
                                      <w:sz w:val="16"/>
                                    </w:rPr>
                                  </w:pPr>
                                  <w:r>
                                    <w:rPr>
                                      <w:rFonts w:ascii="Arial MT" w:hAnsi="Arial MT"/>
                                      <w:sz w:val="16"/>
                                    </w:rPr>
                                    <w:t>Provisão/Rever.</w:t>
                                  </w:r>
                                  <w:r>
                                    <w:rPr>
                                      <w:rFonts w:ascii="Arial MT" w:hAnsi="Arial MT"/>
                                      <w:spacing w:val="-8"/>
                                      <w:sz w:val="16"/>
                                    </w:rPr>
                                    <w:t xml:space="preserve"> </w:t>
                                  </w:r>
                                  <w:r>
                                    <w:rPr>
                                      <w:rFonts w:ascii="Arial MT" w:hAnsi="Arial MT"/>
                                      <w:sz w:val="16"/>
                                    </w:rPr>
                                    <w:t>para</w:t>
                                  </w:r>
                                  <w:r>
                                    <w:rPr>
                                      <w:rFonts w:ascii="Arial MT" w:hAnsi="Arial MT"/>
                                      <w:spacing w:val="-6"/>
                                      <w:sz w:val="16"/>
                                    </w:rPr>
                                    <w:t xml:space="preserve"> </w:t>
                                  </w:r>
                                  <w:r>
                                    <w:rPr>
                                      <w:rFonts w:ascii="Arial MT" w:hAnsi="Arial MT"/>
                                      <w:sz w:val="16"/>
                                    </w:rPr>
                                    <w:t>Riscos</w:t>
                                  </w:r>
                                  <w:r>
                                    <w:rPr>
                                      <w:rFonts w:ascii="Arial MT" w:hAnsi="Arial MT"/>
                                      <w:spacing w:val="-7"/>
                                      <w:sz w:val="16"/>
                                    </w:rPr>
                                    <w:t xml:space="preserve"> </w:t>
                                  </w:r>
                                  <w:r>
                                    <w:rPr>
                                      <w:rFonts w:ascii="Arial MT" w:hAnsi="Arial MT"/>
                                      <w:sz w:val="16"/>
                                    </w:rPr>
                                    <w:t>Prováveis</w:t>
                                  </w:r>
                                  <w:r>
                                    <w:rPr>
                                      <w:rFonts w:ascii="Arial MT" w:hAnsi="Arial MT"/>
                                      <w:spacing w:val="-7"/>
                                      <w:sz w:val="16"/>
                                    </w:rPr>
                                    <w:t xml:space="preserve"> </w:t>
                                  </w:r>
                                  <w:r>
                                    <w:rPr>
                                      <w:rFonts w:ascii="Arial MT" w:hAnsi="Arial MT"/>
                                      <w:sz w:val="16"/>
                                    </w:rPr>
                                    <w:t>Trabalhistas,</w:t>
                                  </w:r>
                                  <w:r>
                                    <w:rPr>
                                      <w:rFonts w:ascii="Arial MT" w:hAnsi="Arial MT"/>
                                      <w:spacing w:val="-7"/>
                                      <w:sz w:val="16"/>
                                    </w:rPr>
                                    <w:t xml:space="preserve"> </w:t>
                                  </w:r>
                                  <w:r>
                                    <w:rPr>
                                      <w:rFonts w:ascii="Arial MT" w:hAnsi="Arial MT"/>
                                      <w:sz w:val="16"/>
                                    </w:rPr>
                                    <w:t>Cíveis</w:t>
                                  </w:r>
                                  <w:r>
                                    <w:rPr>
                                      <w:rFonts w:ascii="Arial MT" w:hAnsi="Arial MT"/>
                                      <w:spacing w:val="-6"/>
                                      <w:sz w:val="16"/>
                                    </w:rPr>
                                    <w:t xml:space="preserve"> </w:t>
                                  </w:r>
                                  <w:r>
                                    <w:rPr>
                                      <w:rFonts w:ascii="Arial MT" w:hAnsi="Arial MT"/>
                                      <w:sz w:val="16"/>
                                    </w:rPr>
                                    <w:t>e</w:t>
                                  </w:r>
                                  <w:r>
                                    <w:rPr>
                                      <w:rFonts w:ascii="Arial MT" w:hAnsi="Arial MT"/>
                                      <w:spacing w:val="-8"/>
                                      <w:sz w:val="16"/>
                                    </w:rPr>
                                    <w:t xml:space="preserve"> </w:t>
                                  </w:r>
                                  <w:r>
                                    <w:rPr>
                                      <w:rFonts w:ascii="Arial MT" w:hAnsi="Arial MT"/>
                                      <w:spacing w:val="-2"/>
                                      <w:sz w:val="16"/>
                                    </w:rPr>
                                    <w:t>Fiscais</w:t>
                                  </w:r>
                                </w:p>
                                <w:p w14:paraId="7CBFF545" w14:textId="77777777" w:rsidR="002C6574" w:rsidRDefault="00000000">
                                  <w:pPr>
                                    <w:pStyle w:val="TableParagraph"/>
                                    <w:spacing w:before="1"/>
                                    <w:ind w:left="434"/>
                                    <w:jc w:val="left"/>
                                    <w:rPr>
                                      <w:rFonts w:ascii="Arial MT" w:hAnsi="Arial MT"/>
                                      <w:sz w:val="16"/>
                                    </w:rPr>
                                  </w:pPr>
                                  <w:r>
                                    <w:rPr>
                                      <w:rFonts w:ascii="Arial MT" w:hAnsi="Arial MT"/>
                                      <w:sz w:val="16"/>
                                    </w:rPr>
                                    <w:t>V.</w:t>
                                  </w:r>
                                  <w:r>
                                    <w:rPr>
                                      <w:rFonts w:ascii="Arial MT" w:hAnsi="Arial MT"/>
                                      <w:spacing w:val="-5"/>
                                      <w:sz w:val="16"/>
                                    </w:rPr>
                                    <w:t xml:space="preserve"> </w:t>
                                  </w:r>
                                  <w:r>
                                    <w:rPr>
                                      <w:rFonts w:ascii="Arial MT" w:hAnsi="Arial MT"/>
                                      <w:sz w:val="16"/>
                                    </w:rPr>
                                    <w:t>Monetária</w:t>
                                  </w:r>
                                  <w:r>
                                    <w:rPr>
                                      <w:rFonts w:ascii="Arial MT" w:hAnsi="Arial MT"/>
                                      <w:spacing w:val="-4"/>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Prov.</w:t>
                                  </w:r>
                                  <w:r>
                                    <w:rPr>
                                      <w:rFonts w:ascii="Arial MT" w:hAnsi="Arial MT"/>
                                      <w:spacing w:val="-3"/>
                                      <w:sz w:val="16"/>
                                    </w:rPr>
                                    <w:t xml:space="preserve"> </w:t>
                                  </w:r>
                                  <w:r>
                                    <w:rPr>
                                      <w:rFonts w:ascii="Arial MT" w:hAnsi="Arial MT"/>
                                      <w:sz w:val="16"/>
                                    </w:rPr>
                                    <w:t>para</w:t>
                                  </w:r>
                                  <w:r>
                                    <w:rPr>
                                      <w:rFonts w:ascii="Arial MT" w:hAnsi="Arial MT"/>
                                      <w:spacing w:val="-4"/>
                                      <w:sz w:val="16"/>
                                    </w:rPr>
                                    <w:t xml:space="preserve"> </w:t>
                                  </w:r>
                                  <w:r>
                                    <w:rPr>
                                      <w:rFonts w:ascii="Arial MT" w:hAnsi="Arial MT"/>
                                      <w:sz w:val="16"/>
                                    </w:rPr>
                                    <w:t>Riscos</w:t>
                                  </w:r>
                                  <w:r>
                                    <w:rPr>
                                      <w:rFonts w:ascii="Arial MT" w:hAnsi="Arial MT"/>
                                      <w:spacing w:val="-5"/>
                                      <w:sz w:val="16"/>
                                    </w:rPr>
                                    <w:t xml:space="preserve"> </w:t>
                                  </w:r>
                                  <w:r>
                                    <w:rPr>
                                      <w:rFonts w:ascii="Arial MT" w:hAnsi="Arial MT"/>
                                      <w:sz w:val="16"/>
                                    </w:rPr>
                                    <w:t>Prováveis</w:t>
                                  </w:r>
                                  <w:r>
                                    <w:rPr>
                                      <w:rFonts w:ascii="Arial MT" w:hAnsi="Arial MT"/>
                                      <w:spacing w:val="-4"/>
                                      <w:sz w:val="16"/>
                                    </w:rPr>
                                    <w:t xml:space="preserve"> </w:t>
                                  </w:r>
                                  <w:r>
                                    <w:rPr>
                                      <w:rFonts w:ascii="Arial MT" w:hAnsi="Arial MT"/>
                                      <w:sz w:val="16"/>
                                    </w:rPr>
                                    <w:t>Trabalhistas,</w:t>
                                  </w:r>
                                  <w:r>
                                    <w:rPr>
                                      <w:rFonts w:ascii="Arial MT" w:hAnsi="Arial MT"/>
                                      <w:spacing w:val="-5"/>
                                      <w:sz w:val="16"/>
                                    </w:rPr>
                                    <w:t xml:space="preserve"> </w:t>
                                  </w:r>
                                  <w:r>
                                    <w:rPr>
                                      <w:rFonts w:ascii="Arial MT" w:hAnsi="Arial MT"/>
                                      <w:sz w:val="16"/>
                                    </w:rPr>
                                    <w:t>Cíveis</w:t>
                                  </w:r>
                                  <w:r>
                                    <w:rPr>
                                      <w:rFonts w:ascii="Arial MT" w:hAnsi="Arial MT"/>
                                      <w:spacing w:val="-4"/>
                                      <w:sz w:val="16"/>
                                    </w:rPr>
                                    <w:t xml:space="preserve"> </w:t>
                                  </w:r>
                                  <w:r>
                                    <w:rPr>
                                      <w:rFonts w:ascii="Arial MT" w:hAnsi="Arial MT"/>
                                      <w:sz w:val="16"/>
                                    </w:rPr>
                                    <w:t>e</w:t>
                                  </w:r>
                                  <w:r>
                                    <w:rPr>
                                      <w:rFonts w:ascii="Arial MT" w:hAnsi="Arial MT"/>
                                      <w:spacing w:val="-6"/>
                                      <w:sz w:val="16"/>
                                    </w:rPr>
                                    <w:t xml:space="preserve"> </w:t>
                                  </w:r>
                                  <w:r>
                                    <w:rPr>
                                      <w:rFonts w:ascii="Arial MT" w:hAnsi="Arial MT"/>
                                      <w:sz w:val="16"/>
                                    </w:rPr>
                                    <w:t>Fiscais Receitas Diferidas - Realizações</w:t>
                                  </w:r>
                                </w:p>
                                <w:p w14:paraId="6B3153B2" w14:textId="77777777" w:rsidR="002C6574" w:rsidRDefault="00000000">
                                  <w:pPr>
                                    <w:pStyle w:val="TableParagraph"/>
                                    <w:spacing w:line="183" w:lineRule="exact"/>
                                    <w:ind w:left="434"/>
                                    <w:jc w:val="left"/>
                                    <w:rPr>
                                      <w:rFonts w:ascii="Arial MT" w:hAnsi="Arial MT"/>
                                      <w:sz w:val="16"/>
                                    </w:rPr>
                                  </w:pPr>
                                  <w:r>
                                    <w:rPr>
                                      <w:rFonts w:ascii="Arial MT" w:hAnsi="Arial MT"/>
                                      <w:spacing w:val="-2"/>
                                      <w:sz w:val="16"/>
                                    </w:rPr>
                                    <w:t>Equivalência</w:t>
                                  </w:r>
                                  <w:r>
                                    <w:rPr>
                                      <w:rFonts w:ascii="Arial MT" w:hAnsi="Arial MT"/>
                                      <w:spacing w:val="10"/>
                                      <w:sz w:val="16"/>
                                    </w:rPr>
                                    <w:t xml:space="preserve"> </w:t>
                                  </w:r>
                                  <w:r>
                                    <w:rPr>
                                      <w:rFonts w:ascii="Arial MT" w:hAnsi="Arial MT"/>
                                      <w:spacing w:val="-2"/>
                                      <w:sz w:val="16"/>
                                    </w:rPr>
                                    <w:t>Patrimonial</w:t>
                                  </w:r>
                                </w:p>
                                <w:p w14:paraId="5E64C8C7" w14:textId="77777777" w:rsidR="002C6574" w:rsidRDefault="00000000">
                                  <w:pPr>
                                    <w:pStyle w:val="TableParagraph"/>
                                    <w:spacing w:before="1"/>
                                    <w:ind w:left="434" w:right="837"/>
                                    <w:jc w:val="left"/>
                                    <w:rPr>
                                      <w:rFonts w:ascii="Arial MT" w:hAnsi="Arial MT"/>
                                      <w:sz w:val="16"/>
                                    </w:rPr>
                                  </w:pPr>
                                  <w:r>
                                    <w:rPr>
                                      <w:rFonts w:ascii="Arial MT" w:hAnsi="Arial MT"/>
                                      <w:sz w:val="16"/>
                                    </w:rPr>
                                    <w:t>Encargos</w:t>
                                  </w:r>
                                  <w:r>
                                    <w:rPr>
                                      <w:rFonts w:ascii="Arial MT" w:hAnsi="Arial MT"/>
                                      <w:spacing w:val="-7"/>
                                      <w:sz w:val="16"/>
                                    </w:rPr>
                                    <w:t xml:space="preserve"> </w:t>
                                  </w:r>
                                  <w:r>
                                    <w:rPr>
                                      <w:rFonts w:ascii="Arial MT" w:hAnsi="Arial MT"/>
                                      <w:sz w:val="16"/>
                                    </w:rPr>
                                    <w:t>Financeiros</w:t>
                                  </w:r>
                                  <w:r>
                                    <w:rPr>
                                      <w:rFonts w:ascii="Arial MT" w:hAnsi="Arial MT"/>
                                      <w:spacing w:val="-7"/>
                                      <w:sz w:val="16"/>
                                    </w:rPr>
                                    <w:t xml:space="preserve"> </w:t>
                                  </w:r>
                                  <w:r>
                                    <w:rPr>
                                      <w:rFonts w:ascii="Arial MT" w:hAnsi="Arial MT"/>
                                      <w:sz w:val="16"/>
                                    </w:rPr>
                                    <w:t>sobre</w:t>
                                  </w:r>
                                  <w:r>
                                    <w:rPr>
                                      <w:rFonts w:ascii="Arial MT" w:hAnsi="Arial MT"/>
                                      <w:spacing w:val="-6"/>
                                      <w:sz w:val="16"/>
                                    </w:rPr>
                                    <w:t xml:space="preserve"> </w:t>
                                  </w:r>
                                  <w:r>
                                    <w:rPr>
                                      <w:rFonts w:ascii="Arial MT" w:hAnsi="Arial MT"/>
                                      <w:sz w:val="16"/>
                                    </w:rPr>
                                    <w:t>Adiantamento</w:t>
                                  </w:r>
                                  <w:r>
                                    <w:rPr>
                                      <w:rFonts w:ascii="Arial MT" w:hAnsi="Arial MT"/>
                                      <w:spacing w:val="-6"/>
                                      <w:sz w:val="16"/>
                                    </w:rPr>
                                    <w:t xml:space="preserve"> </w:t>
                                  </w:r>
                                  <w:r>
                                    <w:rPr>
                                      <w:rFonts w:ascii="Arial MT" w:hAnsi="Arial MT"/>
                                      <w:sz w:val="16"/>
                                    </w:rPr>
                                    <w:t>para</w:t>
                                  </w:r>
                                  <w:r>
                                    <w:rPr>
                                      <w:rFonts w:ascii="Arial MT" w:hAnsi="Arial MT"/>
                                      <w:spacing w:val="-8"/>
                                      <w:sz w:val="16"/>
                                    </w:rPr>
                                    <w:t xml:space="preserve"> </w:t>
                                  </w:r>
                                  <w:r>
                                    <w:rPr>
                                      <w:rFonts w:ascii="Arial MT" w:hAnsi="Arial MT"/>
                                      <w:sz w:val="16"/>
                                    </w:rPr>
                                    <w:t>Aumento</w:t>
                                  </w:r>
                                  <w:r>
                                    <w:rPr>
                                      <w:rFonts w:ascii="Arial MT" w:hAnsi="Arial MT"/>
                                      <w:spacing w:val="-6"/>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Capital Encargos Financeiros sobre Empréstimos e Financiamentos Provisão para Programa de Indenização por Serviços Prestados Variação Monetária/Juros de Credores por Perdas Judiciais Variação Monetária de Depósitos Judiciais</w:t>
                                  </w:r>
                                </w:p>
                                <w:p w14:paraId="5B775089" w14:textId="77777777" w:rsidR="002C6574" w:rsidRDefault="00000000">
                                  <w:pPr>
                                    <w:pStyle w:val="TableParagraph"/>
                                    <w:ind w:left="434" w:right="952"/>
                                    <w:jc w:val="left"/>
                                    <w:rPr>
                                      <w:rFonts w:ascii="Arial MT" w:hAnsi="Arial MT"/>
                                      <w:sz w:val="16"/>
                                    </w:rPr>
                                  </w:pPr>
                                  <w:r>
                                    <w:rPr>
                                      <w:rFonts w:ascii="Arial MT" w:hAnsi="Arial MT"/>
                                      <w:sz w:val="16"/>
                                    </w:rPr>
                                    <w:t>Perdas Estimadas com Créditos de Liquidação Duvidosa Despesas</w:t>
                                  </w:r>
                                  <w:r>
                                    <w:rPr>
                                      <w:rFonts w:ascii="Arial MT" w:hAnsi="Arial MT"/>
                                      <w:spacing w:val="-5"/>
                                      <w:sz w:val="16"/>
                                    </w:rPr>
                                    <w:t xml:space="preserve"> </w:t>
                                  </w:r>
                                  <w:r>
                                    <w:rPr>
                                      <w:rFonts w:ascii="Arial MT" w:hAnsi="Arial MT"/>
                                      <w:sz w:val="16"/>
                                    </w:rPr>
                                    <w:t>Financeiras</w:t>
                                  </w:r>
                                  <w:r>
                                    <w:rPr>
                                      <w:rFonts w:ascii="Arial MT" w:hAnsi="Arial MT"/>
                                      <w:spacing w:val="-1"/>
                                      <w:sz w:val="16"/>
                                    </w:rPr>
                                    <w:t xml:space="preserve"> </w:t>
                                  </w:r>
                                  <w:r>
                                    <w:rPr>
                                      <w:rFonts w:ascii="Arial MT" w:hAnsi="Arial MT"/>
                                      <w:sz w:val="16"/>
                                    </w:rPr>
                                    <w:t>-</w:t>
                                  </w:r>
                                  <w:r>
                                    <w:rPr>
                                      <w:rFonts w:ascii="Arial MT" w:hAnsi="Arial MT"/>
                                      <w:spacing w:val="-6"/>
                                      <w:sz w:val="16"/>
                                    </w:rPr>
                                    <w:t xml:space="preserve"> </w:t>
                                  </w:r>
                                  <w:r>
                                    <w:rPr>
                                      <w:rFonts w:ascii="Arial MT" w:hAnsi="Arial MT"/>
                                      <w:sz w:val="16"/>
                                    </w:rPr>
                                    <w:t>Apropriação</w:t>
                                  </w:r>
                                  <w:r>
                                    <w:rPr>
                                      <w:rFonts w:ascii="Arial MT" w:hAnsi="Arial MT"/>
                                      <w:spacing w:val="-4"/>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Juros</w:t>
                                  </w:r>
                                  <w:r>
                                    <w:rPr>
                                      <w:rFonts w:ascii="Arial MT" w:hAnsi="Arial MT"/>
                                      <w:spacing w:val="-2"/>
                                      <w:sz w:val="16"/>
                                    </w:rPr>
                                    <w:t xml:space="preserve"> </w:t>
                                  </w:r>
                                  <w:r>
                                    <w:rPr>
                                      <w:rFonts w:ascii="Arial MT" w:hAnsi="Arial MT"/>
                                      <w:sz w:val="16"/>
                                    </w:rPr>
                                    <w:t>a</w:t>
                                  </w:r>
                                  <w:r>
                                    <w:rPr>
                                      <w:rFonts w:ascii="Arial MT" w:hAnsi="Arial MT"/>
                                      <w:spacing w:val="-6"/>
                                      <w:sz w:val="16"/>
                                    </w:rPr>
                                    <w:t xml:space="preserve"> </w:t>
                                  </w:r>
                                  <w:r>
                                    <w:rPr>
                                      <w:rFonts w:ascii="Arial MT" w:hAnsi="Arial MT"/>
                                      <w:sz w:val="16"/>
                                    </w:rPr>
                                    <w:t>Incorrer</w:t>
                                  </w:r>
                                  <w:r>
                                    <w:rPr>
                                      <w:rFonts w:ascii="Arial MT" w:hAnsi="Arial MT"/>
                                      <w:spacing w:val="-2"/>
                                      <w:sz w:val="16"/>
                                    </w:rPr>
                                    <w:t xml:space="preserve"> </w:t>
                                  </w:r>
                                  <w:r>
                                    <w:rPr>
                                      <w:rFonts w:ascii="Arial MT" w:hAnsi="Arial MT"/>
                                      <w:sz w:val="16"/>
                                    </w:rPr>
                                    <w:t>-</w:t>
                                  </w:r>
                                  <w:r>
                                    <w:rPr>
                                      <w:rFonts w:ascii="Arial MT" w:hAnsi="Arial MT"/>
                                      <w:spacing w:val="-4"/>
                                      <w:sz w:val="16"/>
                                    </w:rPr>
                                    <w:t xml:space="preserve"> </w:t>
                                  </w:r>
                                  <w:r>
                                    <w:rPr>
                                      <w:rFonts w:ascii="Arial MT" w:hAnsi="Arial MT"/>
                                      <w:sz w:val="16"/>
                                    </w:rPr>
                                    <w:t>IFRS</w:t>
                                  </w:r>
                                  <w:r>
                                    <w:rPr>
                                      <w:rFonts w:ascii="Arial MT" w:hAnsi="Arial MT"/>
                                      <w:spacing w:val="-3"/>
                                      <w:sz w:val="16"/>
                                    </w:rPr>
                                    <w:t xml:space="preserve"> </w:t>
                                  </w:r>
                                  <w:r>
                                    <w:rPr>
                                      <w:rFonts w:ascii="Arial MT" w:hAnsi="Arial MT"/>
                                      <w:sz w:val="16"/>
                                    </w:rPr>
                                    <w:t>16 Baixa de Bens do Ativo Imobilizado</w:t>
                                  </w:r>
                                </w:p>
                                <w:p w14:paraId="0B59743C" w14:textId="77777777" w:rsidR="002C6574" w:rsidRDefault="00000000">
                                  <w:pPr>
                                    <w:pStyle w:val="TableParagraph"/>
                                    <w:spacing w:before="7" w:line="242" w:lineRule="auto"/>
                                    <w:ind w:left="434" w:right="3165" w:hanging="22"/>
                                    <w:jc w:val="left"/>
                                    <w:rPr>
                                      <w:rFonts w:ascii="Arial MT" w:hAnsi="Arial MT"/>
                                      <w:sz w:val="16"/>
                                    </w:rPr>
                                  </w:pPr>
                                  <w:r>
                                    <w:rPr>
                                      <w:rFonts w:ascii="Arial MT" w:hAnsi="Arial MT"/>
                                      <w:sz w:val="15"/>
                                    </w:rPr>
                                    <w:t>Ganho na Baixa de Passivo</w:t>
                                  </w:r>
                                  <w:r>
                                    <w:rPr>
                                      <w:rFonts w:ascii="Arial MT" w:hAnsi="Arial MT"/>
                                      <w:spacing w:val="40"/>
                                      <w:sz w:val="15"/>
                                    </w:rPr>
                                    <w:t xml:space="preserve"> </w:t>
                                  </w:r>
                                  <w:r>
                                    <w:rPr>
                                      <w:rFonts w:ascii="Arial MT" w:hAnsi="Arial MT"/>
                                      <w:sz w:val="16"/>
                                    </w:rPr>
                                    <w:t>Superávit de Previdência Privada Perda</w:t>
                                  </w:r>
                                  <w:r>
                                    <w:rPr>
                                      <w:rFonts w:ascii="Arial MT" w:hAnsi="Arial MT"/>
                                      <w:spacing w:val="-6"/>
                                      <w:sz w:val="16"/>
                                    </w:rPr>
                                    <w:t xml:space="preserve"> </w:t>
                                  </w:r>
                                  <w:r>
                                    <w:rPr>
                                      <w:rFonts w:ascii="Arial MT" w:hAnsi="Arial MT"/>
                                      <w:sz w:val="16"/>
                                    </w:rPr>
                                    <w:t>na</w:t>
                                  </w:r>
                                  <w:r>
                                    <w:rPr>
                                      <w:rFonts w:ascii="Arial MT" w:hAnsi="Arial MT"/>
                                      <w:spacing w:val="-8"/>
                                      <w:sz w:val="16"/>
                                    </w:rPr>
                                    <w:t xml:space="preserve"> </w:t>
                                  </w:r>
                                  <w:r>
                                    <w:rPr>
                                      <w:rFonts w:ascii="Arial MT" w:hAnsi="Arial MT"/>
                                      <w:sz w:val="16"/>
                                    </w:rPr>
                                    <w:t>Baixa</w:t>
                                  </w:r>
                                  <w:r>
                                    <w:rPr>
                                      <w:rFonts w:ascii="Arial MT" w:hAnsi="Arial MT"/>
                                      <w:spacing w:val="-6"/>
                                      <w:sz w:val="16"/>
                                    </w:rPr>
                                    <w:t xml:space="preserve"> </w:t>
                                  </w:r>
                                  <w:r>
                                    <w:rPr>
                                      <w:rFonts w:ascii="Arial MT" w:hAnsi="Arial MT"/>
                                      <w:sz w:val="16"/>
                                    </w:rPr>
                                    <w:t>de</w:t>
                                  </w:r>
                                  <w:r>
                                    <w:rPr>
                                      <w:rFonts w:ascii="Arial MT" w:hAnsi="Arial MT"/>
                                      <w:spacing w:val="-8"/>
                                      <w:sz w:val="16"/>
                                    </w:rPr>
                                    <w:t xml:space="preserve"> </w:t>
                                  </w:r>
                                  <w:r>
                                    <w:rPr>
                                      <w:rFonts w:ascii="Arial MT" w:hAnsi="Arial MT"/>
                                      <w:sz w:val="16"/>
                                    </w:rPr>
                                    <w:t>Ativos</w:t>
                                  </w:r>
                                  <w:r>
                                    <w:rPr>
                                      <w:rFonts w:ascii="Arial MT" w:hAnsi="Arial MT"/>
                                      <w:spacing w:val="-4"/>
                                      <w:sz w:val="16"/>
                                    </w:rPr>
                                    <w:t xml:space="preserve"> </w:t>
                                  </w:r>
                                  <w:r>
                                    <w:rPr>
                                      <w:rFonts w:ascii="Arial MT" w:hAnsi="Arial MT"/>
                                      <w:sz w:val="16"/>
                                    </w:rPr>
                                    <w:t>-</w:t>
                                  </w:r>
                                  <w:r>
                                    <w:rPr>
                                      <w:rFonts w:ascii="Arial MT" w:hAnsi="Arial MT"/>
                                      <w:spacing w:val="-8"/>
                                      <w:sz w:val="16"/>
                                    </w:rPr>
                                    <w:t xml:space="preserve"> </w:t>
                                  </w:r>
                                  <w:r>
                                    <w:rPr>
                                      <w:rFonts w:ascii="Arial MT" w:hAnsi="Arial MT"/>
                                      <w:sz w:val="16"/>
                                    </w:rPr>
                                    <w:t>Tributos</w:t>
                                  </w:r>
                                </w:p>
                                <w:p w14:paraId="01CCDAD2" w14:textId="77777777" w:rsidR="002C6574" w:rsidRDefault="00000000">
                                  <w:pPr>
                                    <w:pStyle w:val="TableParagraph"/>
                                    <w:spacing w:line="183" w:lineRule="exact"/>
                                    <w:ind w:left="434"/>
                                    <w:jc w:val="left"/>
                                    <w:rPr>
                                      <w:rFonts w:ascii="Arial MT" w:hAnsi="Arial MT"/>
                                      <w:sz w:val="16"/>
                                    </w:rPr>
                                  </w:pPr>
                                  <w:r>
                                    <w:rPr>
                                      <w:rFonts w:ascii="Arial MT" w:hAnsi="Arial MT"/>
                                      <w:sz w:val="16"/>
                                    </w:rPr>
                                    <w:t>Recuperação</w:t>
                                  </w:r>
                                  <w:r>
                                    <w:rPr>
                                      <w:rFonts w:ascii="Arial MT" w:hAnsi="Arial MT"/>
                                      <w:spacing w:val="-5"/>
                                      <w:sz w:val="16"/>
                                    </w:rPr>
                                    <w:t xml:space="preserve"> </w:t>
                                  </w:r>
                                  <w:r>
                                    <w:rPr>
                                      <w:rFonts w:ascii="Arial MT" w:hAnsi="Arial MT"/>
                                      <w:sz w:val="16"/>
                                    </w:rPr>
                                    <w:t>de</w:t>
                                  </w:r>
                                  <w:r>
                                    <w:rPr>
                                      <w:rFonts w:ascii="Arial MT" w:hAnsi="Arial MT"/>
                                      <w:spacing w:val="-7"/>
                                      <w:sz w:val="16"/>
                                    </w:rPr>
                                    <w:t xml:space="preserve"> </w:t>
                                  </w:r>
                                  <w:r>
                                    <w:rPr>
                                      <w:rFonts w:ascii="Arial MT" w:hAnsi="Arial MT"/>
                                      <w:sz w:val="16"/>
                                    </w:rPr>
                                    <w:t>Créditos</w:t>
                                  </w:r>
                                  <w:r>
                                    <w:rPr>
                                      <w:rFonts w:ascii="Arial MT" w:hAnsi="Arial MT"/>
                                      <w:spacing w:val="-5"/>
                                      <w:sz w:val="16"/>
                                    </w:rPr>
                                    <w:t xml:space="preserve"> </w:t>
                                  </w:r>
                                  <w:r>
                                    <w:rPr>
                                      <w:rFonts w:ascii="Arial MT" w:hAnsi="Arial MT"/>
                                      <w:spacing w:val="-2"/>
                                      <w:sz w:val="16"/>
                                    </w:rPr>
                                    <w:t>Tributários</w:t>
                                  </w:r>
                                </w:p>
                                <w:p w14:paraId="2AF36688" w14:textId="77777777" w:rsidR="002C6574" w:rsidRDefault="00000000">
                                  <w:pPr>
                                    <w:pStyle w:val="TableParagraph"/>
                                    <w:spacing w:line="182" w:lineRule="exact"/>
                                    <w:ind w:left="434" w:right="2331"/>
                                    <w:jc w:val="left"/>
                                    <w:rPr>
                                      <w:rFonts w:ascii="Arial MT" w:hAnsi="Arial MT"/>
                                      <w:sz w:val="16"/>
                                    </w:rPr>
                                  </w:pPr>
                                  <w:r>
                                    <w:rPr>
                                      <w:rFonts w:ascii="Arial MT" w:hAnsi="Arial MT"/>
                                      <w:sz w:val="16"/>
                                    </w:rPr>
                                    <w:t>Subvenções</w:t>
                                  </w:r>
                                  <w:r>
                                    <w:rPr>
                                      <w:rFonts w:ascii="Arial MT" w:hAnsi="Arial MT"/>
                                      <w:spacing w:val="-6"/>
                                      <w:sz w:val="16"/>
                                    </w:rPr>
                                    <w:t xml:space="preserve"> </w:t>
                                  </w:r>
                                  <w:r>
                                    <w:rPr>
                                      <w:rFonts w:ascii="Arial MT" w:hAnsi="Arial MT"/>
                                      <w:sz w:val="16"/>
                                    </w:rPr>
                                    <w:t>Realizadas</w:t>
                                  </w:r>
                                  <w:r>
                                    <w:rPr>
                                      <w:rFonts w:ascii="Arial MT" w:hAnsi="Arial MT"/>
                                      <w:spacing w:val="-7"/>
                                      <w:sz w:val="16"/>
                                    </w:rPr>
                                    <w:t xml:space="preserve"> </w:t>
                                  </w:r>
                                  <w:r>
                                    <w:rPr>
                                      <w:rFonts w:ascii="Arial MT" w:hAnsi="Arial MT"/>
                                      <w:sz w:val="16"/>
                                    </w:rPr>
                                    <w:t>-</w:t>
                                  </w:r>
                                  <w:r>
                                    <w:rPr>
                                      <w:rFonts w:ascii="Arial MT" w:hAnsi="Arial MT"/>
                                      <w:spacing w:val="-8"/>
                                      <w:sz w:val="16"/>
                                    </w:rPr>
                                    <w:t xml:space="preserve"> </w:t>
                                  </w:r>
                                  <w:r>
                                    <w:rPr>
                                      <w:rFonts w:ascii="Arial MT" w:hAnsi="Arial MT"/>
                                      <w:sz w:val="16"/>
                                    </w:rPr>
                                    <w:t>Contrato</w:t>
                                  </w:r>
                                  <w:r>
                                    <w:rPr>
                                      <w:rFonts w:ascii="Arial MT" w:hAnsi="Arial MT"/>
                                      <w:spacing w:val="-8"/>
                                      <w:sz w:val="16"/>
                                    </w:rPr>
                                    <w:t xml:space="preserve"> </w:t>
                                  </w:r>
                                  <w:r>
                                    <w:rPr>
                                      <w:rFonts w:ascii="Arial MT" w:hAnsi="Arial MT"/>
                                      <w:sz w:val="16"/>
                                    </w:rPr>
                                    <w:t>de</w:t>
                                  </w:r>
                                  <w:r>
                                    <w:rPr>
                                      <w:rFonts w:ascii="Arial MT" w:hAnsi="Arial MT"/>
                                      <w:spacing w:val="-8"/>
                                      <w:sz w:val="16"/>
                                    </w:rPr>
                                    <w:t xml:space="preserve"> </w:t>
                                  </w:r>
                                  <w:r>
                                    <w:rPr>
                                      <w:rFonts w:ascii="Arial MT" w:hAnsi="Arial MT"/>
                                      <w:sz w:val="16"/>
                                    </w:rPr>
                                    <w:t>Gestão Outras Receitas e Despesas</w:t>
                                  </w:r>
                                </w:p>
                              </w:tc>
                              <w:tc>
                                <w:tcPr>
                                  <w:tcW w:w="861" w:type="dxa"/>
                                  <w:shd w:val="clear" w:color="auto" w:fill="75F6F8"/>
                                </w:tcPr>
                                <w:p w14:paraId="56B14ABF" w14:textId="77777777" w:rsidR="002C6574" w:rsidRDefault="002C6574">
                                  <w:pPr>
                                    <w:pStyle w:val="TableParagraph"/>
                                    <w:spacing w:before="1"/>
                                    <w:jc w:val="left"/>
                                    <w:rPr>
                                      <w:rFonts w:ascii="Arial"/>
                                      <w:b/>
                                      <w:sz w:val="16"/>
                                    </w:rPr>
                                  </w:pPr>
                                </w:p>
                                <w:p w14:paraId="6A8D5BF9" w14:textId="77777777" w:rsidR="002C6574" w:rsidRDefault="00000000">
                                  <w:pPr>
                                    <w:pStyle w:val="TableParagraph"/>
                                    <w:spacing w:line="183" w:lineRule="exact"/>
                                    <w:ind w:right="58"/>
                                    <w:rPr>
                                      <w:rFonts w:ascii="Arial MT"/>
                                      <w:sz w:val="16"/>
                                    </w:rPr>
                                  </w:pPr>
                                  <w:r>
                                    <w:rPr>
                                      <w:rFonts w:ascii="Arial MT"/>
                                      <w:spacing w:val="-2"/>
                                      <w:sz w:val="16"/>
                                    </w:rPr>
                                    <w:t>64.695</w:t>
                                  </w:r>
                                </w:p>
                                <w:p w14:paraId="4C0E5073" w14:textId="77777777" w:rsidR="002C6574" w:rsidRDefault="00000000">
                                  <w:pPr>
                                    <w:pStyle w:val="TableParagraph"/>
                                    <w:spacing w:line="183" w:lineRule="exact"/>
                                    <w:ind w:right="58"/>
                                    <w:rPr>
                                      <w:rFonts w:ascii="Arial MT"/>
                                      <w:sz w:val="16"/>
                                    </w:rPr>
                                  </w:pPr>
                                  <w:r>
                                    <w:rPr>
                                      <w:rFonts w:ascii="Arial MT"/>
                                      <w:spacing w:val="-2"/>
                                      <w:sz w:val="16"/>
                                    </w:rPr>
                                    <w:t>2.821</w:t>
                                  </w:r>
                                </w:p>
                                <w:p w14:paraId="5C312251" w14:textId="77777777" w:rsidR="002C6574" w:rsidRDefault="00000000">
                                  <w:pPr>
                                    <w:pStyle w:val="TableParagraph"/>
                                    <w:spacing w:before="1"/>
                                    <w:ind w:right="58"/>
                                    <w:rPr>
                                      <w:rFonts w:ascii="Arial MT"/>
                                      <w:sz w:val="16"/>
                                    </w:rPr>
                                  </w:pPr>
                                  <w:r>
                                    <w:rPr>
                                      <w:rFonts w:ascii="Arial MT"/>
                                      <w:spacing w:val="-2"/>
                                      <w:sz w:val="16"/>
                                    </w:rPr>
                                    <w:t>1.427</w:t>
                                  </w:r>
                                </w:p>
                                <w:p w14:paraId="63FE75C2" w14:textId="77777777" w:rsidR="002C6574" w:rsidRDefault="00000000">
                                  <w:pPr>
                                    <w:pStyle w:val="TableParagraph"/>
                                    <w:spacing w:before="1" w:line="183" w:lineRule="exact"/>
                                    <w:ind w:right="58"/>
                                    <w:rPr>
                                      <w:rFonts w:ascii="Arial MT"/>
                                      <w:sz w:val="16"/>
                                    </w:rPr>
                                  </w:pPr>
                                  <w:r>
                                    <w:rPr>
                                      <w:rFonts w:ascii="Arial MT"/>
                                      <w:spacing w:val="-2"/>
                                      <w:sz w:val="16"/>
                                    </w:rPr>
                                    <w:t>(9.120)</w:t>
                                  </w:r>
                                </w:p>
                                <w:p w14:paraId="33F888BE" w14:textId="77777777" w:rsidR="002C6574" w:rsidRDefault="00000000">
                                  <w:pPr>
                                    <w:pStyle w:val="TableParagraph"/>
                                    <w:spacing w:line="183" w:lineRule="exact"/>
                                    <w:ind w:right="58"/>
                                    <w:rPr>
                                      <w:rFonts w:ascii="Arial MT"/>
                                      <w:sz w:val="16"/>
                                    </w:rPr>
                                  </w:pPr>
                                  <w:r>
                                    <w:rPr>
                                      <w:rFonts w:ascii="Arial MT"/>
                                      <w:spacing w:val="-2"/>
                                      <w:sz w:val="16"/>
                                    </w:rPr>
                                    <w:t>(1.404)</w:t>
                                  </w:r>
                                </w:p>
                                <w:p w14:paraId="60A29EC3" w14:textId="77777777" w:rsidR="002C6574" w:rsidRDefault="00000000">
                                  <w:pPr>
                                    <w:pStyle w:val="TableParagraph"/>
                                    <w:spacing w:before="1"/>
                                    <w:ind w:right="58"/>
                                    <w:rPr>
                                      <w:rFonts w:ascii="Arial MT"/>
                                      <w:sz w:val="16"/>
                                    </w:rPr>
                                  </w:pPr>
                                  <w:r>
                                    <w:rPr>
                                      <w:rFonts w:ascii="Arial MT"/>
                                      <w:spacing w:val="-2"/>
                                      <w:sz w:val="16"/>
                                    </w:rPr>
                                    <w:t>67.622</w:t>
                                  </w:r>
                                </w:p>
                                <w:p w14:paraId="59B19274" w14:textId="77777777" w:rsidR="002C6574" w:rsidRDefault="00000000">
                                  <w:pPr>
                                    <w:pStyle w:val="TableParagraph"/>
                                    <w:spacing w:before="1"/>
                                    <w:ind w:left="378" w:right="56" w:firstLine="350"/>
                                    <w:rPr>
                                      <w:rFonts w:ascii="Arial MT"/>
                                      <w:sz w:val="16"/>
                                    </w:rPr>
                                  </w:pPr>
                                  <w:r>
                                    <w:rPr>
                                      <w:rFonts w:ascii="Arial MT"/>
                                      <w:spacing w:val="-10"/>
                                      <w:sz w:val="16"/>
                                    </w:rPr>
                                    <w:t>-</w:t>
                                  </w:r>
                                  <w:r>
                                    <w:rPr>
                                      <w:rFonts w:ascii="Arial MT"/>
                                      <w:spacing w:val="-2"/>
                                      <w:sz w:val="16"/>
                                    </w:rPr>
                                    <w:t xml:space="preserve"> 1.378</w:t>
                                  </w:r>
                                </w:p>
                                <w:p w14:paraId="0C4C5066" w14:textId="77777777" w:rsidR="002C6574" w:rsidRDefault="00000000">
                                  <w:pPr>
                                    <w:pStyle w:val="TableParagraph"/>
                                    <w:spacing w:line="182" w:lineRule="exact"/>
                                    <w:ind w:right="58"/>
                                    <w:rPr>
                                      <w:rFonts w:ascii="Arial MT"/>
                                      <w:sz w:val="16"/>
                                    </w:rPr>
                                  </w:pPr>
                                  <w:r>
                                    <w:rPr>
                                      <w:rFonts w:ascii="Arial MT"/>
                                      <w:spacing w:val="-2"/>
                                      <w:sz w:val="16"/>
                                    </w:rPr>
                                    <w:t>3.970</w:t>
                                  </w:r>
                                </w:p>
                                <w:p w14:paraId="66B50DE1" w14:textId="77777777" w:rsidR="002C6574" w:rsidRDefault="00000000">
                                  <w:pPr>
                                    <w:pStyle w:val="TableParagraph"/>
                                    <w:spacing w:line="183" w:lineRule="exact"/>
                                    <w:ind w:right="58"/>
                                    <w:rPr>
                                      <w:rFonts w:ascii="Arial MT"/>
                                      <w:sz w:val="16"/>
                                    </w:rPr>
                                  </w:pPr>
                                  <w:r>
                                    <w:rPr>
                                      <w:rFonts w:ascii="Arial MT"/>
                                      <w:spacing w:val="-2"/>
                                      <w:sz w:val="16"/>
                                    </w:rPr>
                                    <w:t>(1.177)</w:t>
                                  </w:r>
                                </w:p>
                                <w:p w14:paraId="4AE24CC0" w14:textId="77777777" w:rsidR="002C6574" w:rsidRDefault="00000000">
                                  <w:pPr>
                                    <w:pStyle w:val="TableParagraph"/>
                                    <w:spacing w:before="1"/>
                                    <w:ind w:right="58"/>
                                    <w:rPr>
                                      <w:rFonts w:ascii="Arial MT"/>
                                      <w:sz w:val="16"/>
                                    </w:rPr>
                                  </w:pPr>
                                  <w:r>
                                    <w:rPr>
                                      <w:rFonts w:ascii="Arial MT"/>
                                      <w:spacing w:val="-2"/>
                                      <w:sz w:val="16"/>
                                    </w:rPr>
                                    <w:t>1.415</w:t>
                                  </w:r>
                                </w:p>
                                <w:p w14:paraId="66A73DAF" w14:textId="77777777" w:rsidR="002C6574" w:rsidRDefault="00000000">
                                  <w:pPr>
                                    <w:pStyle w:val="TableParagraph"/>
                                    <w:spacing w:before="1" w:line="183" w:lineRule="exact"/>
                                    <w:ind w:right="59"/>
                                    <w:rPr>
                                      <w:rFonts w:ascii="Arial MT"/>
                                      <w:sz w:val="16"/>
                                    </w:rPr>
                                  </w:pPr>
                                  <w:r>
                                    <w:rPr>
                                      <w:rFonts w:ascii="Arial MT"/>
                                      <w:spacing w:val="-5"/>
                                      <w:sz w:val="16"/>
                                    </w:rPr>
                                    <w:t>283</w:t>
                                  </w:r>
                                </w:p>
                                <w:p w14:paraId="38F65DE8" w14:textId="77777777" w:rsidR="002C6574" w:rsidRDefault="00000000">
                                  <w:pPr>
                                    <w:pStyle w:val="TableParagraph"/>
                                    <w:spacing w:line="183" w:lineRule="exact"/>
                                    <w:ind w:right="56"/>
                                    <w:rPr>
                                      <w:rFonts w:ascii="Arial MT"/>
                                      <w:sz w:val="16"/>
                                    </w:rPr>
                                  </w:pPr>
                                  <w:r>
                                    <w:rPr>
                                      <w:rFonts w:ascii="Arial MT"/>
                                      <w:spacing w:val="-10"/>
                                      <w:sz w:val="16"/>
                                    </w:rPr>
                                    <w:t>-</w:t>
                                  </w:r>
                                </w:p>
                                <w:p w14:paraId="5E7D665F" w14:textId="77777777" w:rsidR="002C6574" w:rsidRDefault="00000000">
                                  <w:pPr>
                                    <w:pStyle w:val="TableParagraph"/>
                                    <w:spacing w:before="1"/>
                                    <w:ind w:left="95" w:right="56" w:firstLine="633"/>
                                    <w:rPr>
                                      <w:rFonts w:ascii="Arial MT"/>
                                      <w:sz w:val="16"/>
                                    </w:rPr>
                                  </w:pPr>
                                  <w:r>
                                    <w:rPr>
                                      <w:rFonts w:ascii="Arial MT"/>
                                      <w:spacing w:val="-10"/>
                                      <w:sz w:val="16"/>
                                    </w:rPr>
                                    <w:t>-</w:t>
                                  </w:r>
                                  <w:r>
                                    <w:rPr>
                                      <w:rFonts w:ascii="Arial MT"/>
                                      <w:spacing w:val="-2"/>
                                      <w:sz w:val="16"/>
                                    </w:rPr>
                                    <w:t xml:space="preserve"> (102.225)</w:t>
                                  </w:r>
                                </w:p>
                                <w:p w14:paraId="0BCD233B" w14:textId="77777777" w:rsidR="002C6574" w:rsidRDefault="00000000">
                                  <w:pPr>
                                    <w:pStyle w:val="TableParagraph"/>
                                    <w:spacing w:line="183" w:lineRule="exact"/>
                                    <w:ind w:right="58"/>
                                    <w:rPr>
                                      <w:rFonts w:ascii="Arial MT"/>
                                      <w:sz w:val="16"/>
                                    </w:rPr>
                                  </w:pPr>
                                  <w:r>
                                    <w:rPr>
                                      <w:rFonts w:ascii="Arial MT"/>
                                      <w:spacing w:val="-2"/>
                                      <w:sz w:val="16"/>
                                    </w:rPr>
                                    <w:t>4.795</w:t>
                                  </w:r>
                                </w:p>
                                <w:p w14:paraId="57CD444E" w14:textId="77777777" w:rsidR="002C6574" w:rsidRDefault="00000000">
                                  <w:pPr>
                                    <w:pStyle w:val="TableParagraph"/>
                                    <w:ind w:right="58"/>
                                    <w:rPr>
                                      <w:rFonts w:ascii="Arial MT"/>
                                      <w:sz w:val="16"/>
                                    </w:rPr>
                                  </w:pPr>
                                  <w:r>
                                    <w:rPr>
                                      <w:rFonts w:ascii="Arial MT"/>
                                      <w:spacing w:val="-2"/>
                                      <w:sz w:val="16"/>
                                    </w:rPr>
                                    <w:t>(3.744)</w:t>
                                  </w:r>
                                </w:p>
                                <w:p w14:paraId="78C2552D" w14:textId="77777777" w:rsidR="002C6574" w:rsidRDefault="00000000">
                                  <w:pPr>
                                    <w:pStyle w:val="TableParagraph"/>
                                    <w:spacing w:before="1" w:line="183" w:lineRule="exact"/>
                                    <w:ind w:right="58"/>
                                    <w:rPr>
                                      <w:rFonts w:ascii="Arial MT"/>
                                      <w:sz w:val="16"/>
                                    </w:rPr>
                                  </w:pPr>
                                  <w:r>
                                    <w:rPr>
                                      <w:rFonts w:ascii="Arial MT"/>
                                      <w:spacing w:val="-2"/>
                                      <w:sz w:val="16"/>
                                    </w:rPr>
                                    <w:t>(234.446)</w:t>
                                  </w:r>
                                </w:p>
                                <w:p w14:paraId="524A8E51" w14:textId="77777777" w:rsidR="002C6574" w:rsidRDefault="00000000">
                                  <w:pPr>
                                    <w:pStyle w:val="TableParagraph"/>
                                    <w:spacing w:line="162" w:lineRule="exact"/>
                                    <w:ind w:right="56"/>
                                    <w:rPr>
                                      <w:rFonts w:ascii="Arial MT"/>
                                      <w:sz w:val="16"/>
                                    </w:rPr>
                                  </w:pPr>
                                  <w:r>
                                    <w:rPr>
                                      <w:rFonts w:ascii="Arial MT"/>
                                      <w:spacing w:val="-10"/>
                                      <w:sz w:val="16"/>
                                    </w:rPr>
                                    <w:t>-</w:t>
                                  </w:r>
                                </w:p>
                              </w:tc>
                              <w:tc>
                                <w:tcPr>
                                  <w:tcW w:w="861" w:type="dxa"/>
                                </w:tcPr>
                                <w:p w14:paraId="114293B8" w14:textId="77777777" w:rsidR="002C6574" w:rsidRDefault="002C6574">
                                  <w:pPr>
                                    <w:pStyle w:val="TableParagraph"/>
                                    <w:spacing w:before="1"/>
                                    <w:jc w:val="left"/>
                                    <w:rPr>
                                      <w:rFonts w:ascii="Arial"/>
                                      <w:b/>
                                      <w:sz w:val="16"/>
                                    </w:rPr>
                                  </w:pPr>
                                </w:p>
                                <w:p w14:paraId="4229A899" w14:textId="77777777" w:rsidR="002C6574" w:rsidRDefault="00000000">
                                  <w:pPr>
                                    <w:pStyle w:val="TableParagraph"/>
                                    <w:spacing w:line="183" w:lineRule="exact"/>
                                    <w:ind w:right="58"/>
                                    <w:rPr>
                                      <w:rFonts w:ascii="Arial MT"/>
                                      <w:sz w:val="16"/>
                                    </w:rPr>
                                  </w:pPr>
                                  <w:r>
                                    <w:rPr>
                                      <w:rFonts w:ascii="Arial MT"/>
                                      <w:spacing w:val="-2"/>
                                      <w:sz w:val="16"/>
                                    </w:rPr>
                                    <w:t>69.453</w:t>
                                  </w:r>
                                </w:p>
                                <w:p w14:paraId="5335DC9C" w14:textId="77777777" w:rsidR="002C6574" w:rsidRDefault="00000000">
                                  <w:pPr>
                                    <w:pStyle w:val="TableParagraph"/>
                                    <w:spacing w:line="183" w:lineRule="exact"/>
                                    <w:ind w:right="58"/>
                                    <w:rPr>
                                      <w:rFonts w:ascii="Arial MT"/>
                                      <w:sz w:val="16"/>
                                    </w:rPr>
                                  </w:pPr>
                                  <w:r>
                                    <w:rPr>
                                      <w:rFonts w:ascii="Arial MT"/>
                                      <w:spacing w:val="-5"/>
                                      <w:sz w:val="16"/>
                                    </w:rPr>
                                    <w:t>32</w:t>
                                  </w:r>
                                </w:p>
                                <w:p w14:paraId="545D1D25" w14:textId="77777777" w:rsidR="002C6574" w:rsidRDefault="00000000">
                                  <w:pPr>
                                    <w:pStyle w:val="TableParagraph"/>
                                    <w:spacing w:before="1"/>
                                    <w:ind w:right="58"/>
                                    <w:rPr>
                                      <w:rFonts w:ascii="Arial MT"/>
                                      <w:sz w:val="16"/>
                                    </w:rPr>
                                  </w:pPr>
                                  <w:r>
                                    <w:rPr>
                                      <w:rFonts w:ascii="Arial MT"/>
                                      <w:spacing w:val="-2"/>
                                      <w:sz w:val="16"/>
                                    </w:rPr>
                                    <w:t>1.734</w:t>
                                  </w:r>
                                </w:p>
                                <w:p w14:paraId="1333F16E" w14:textId="77777777" w:rsidR="002C6574" w:rsidRDefault="00000000">
                                  <w:pPr>
                                    <w:pStyle w:val="TableParagraph"/>
                                    <w:spacing w:before="1" w:line="183" w:lineRule="exact"/>
                                    <w:ind w:right="58"/>
                                    <w:rPr>
                                      <w:rFonts w:ascii="Arial MT"/>
                                      <w:sz w:val="16"/>
                                    </w:rPr>
                                  </w:pPr>
                                  <w:r>
                                    <w:rPr>
                                      <w:rFonts w:ascii="Arial MT"/>
                                      <w:spacing w:val="-2"/>
                                      <w:sz w:val="16"/>
                                    </w:rPr>
                                    <w:t>(9.120)</w:t>
                                  </w:r>
                                </w:p>
                                <w:p w14:paraId="4AC1CC65" w14:textId="77777777" w:rsidR="002C6574" w:rsidRDefault="00000000">
                                  <w:pPr>
                                    <w:pStyle w:val="TableParagraph"/>
                                    <w:spacing w:line="183" w:lineRule="exact"/>
                                    <w:ind w:right="61"/>
                                    <w:rPr>
                                      <w:rFonts w:ascii="Arial MT"/>
                                      <w:sz w:val="16"/>
                                    </w:rPr>
                                  </w:pPr>
                                  <w:r>
                                    <w:rPr>
                                      <w:rFonts w:ascii="Arial MT"/>
                                      <w:spacing w:val="-2"/>
                                      <w:sz w:val="16"/>
                                    </w:rPr>
                                    <w:t>(407)</w:t>
                                  </w:r>
                                </w:p>
                                <w:p w14:paraId="07CB2AD1" w14:textId="77777777" w:rsidR="002C6574" w:rsidRDefault="00000000">
                                  <w:pPr>
                                    <w:pStyle w:val="TableParagraph"/>
                                    <w:spacing w:before="1"/>
                                    <w:ind w:right="58"/>
                                    <w:rPr>
                                      <w:rFonts w:ascii="Arial MT"/>
                                      <w:sz w:val="16"/>
                                    </w:rPr>
                                  </w:pPr>
                                  <w:r>
                                    <w:rPr>
                                      <w:rFonts w:ascii="Arial MT"/>
                                      <w:spacing w:val="-2"/>
                                      <w:sz w:val="16"/>
                                    </w:rPr>
                                    <w:t>49.785</w:t>
                                  </w:r>
                                </w:p>
                                <w:p w14:paraId="18364B86" w14:textId="77777777" w:rsidR="002C6574" w:rsidRDefault="00000000">
                                  <w:pPr>
                                    <w:pStyle w:val="TableParagraph"/>
                                    <w:spacing w:before="1" w:line="183" w:lineRule="exact"/>
                                    <w:ind w:right="58"/>
                                    <w:rPr>
                                      <w:rFonts w:ascii="Arial MT"/>
                                      <w:sz w:val="16"/>
                                    </w:rPr>
                                  </w:pPr>
                                  <w:r>
                                    <w:rPr>
                                      <w:rFonts w:ascii="Arial MT"/>
                                      <w:spacing w:val="-5"/>
                                      <w:sz w:val="16"/>
                                    </w:rPr>
                                    <w:t>952</w:t>
                                  </w:r>
                                </w:p>
                                <w:p w14:paraId="75FC24F9" w14:textId="77777777" w:rsidR="002C6574" w:rsidRDefault="00000000">
                                  <w:pPr>
                                    <w:pStyle w:val="TableParagraph"/>
                                    <w:spacing w:line="183" w:lineRule="exact"/>
                                    <w:ind w:right="58"/>
                                    <w:rPr>
                                      <w:rFonts w:ascii="Arial MT"/>
                                      <w:sz w:val="16"/>
                                    </w:rPr>
                                  </w:pPr>
                                  <w:r>
                                    <w:rPr>
                                      <w:rFonts w:ascii="Arial MT"/>
                                      <w:spacing w:val="-5"/>
                                      <w:sz w:val="16"/>
                                    </w:rPr>
                                    <w:t>219</w:t>
                                  </w:r>
                                </w:p>
                                <w:p w14:paraId="652367BB" w14:textId="77777777" w:rsidR="002C6574" w:rsidRDefault="00000000">
                                  <w:pPr>
                                    <w:pStyle w:val="TableParagraph"/>
                                    <w:spacing w:before="1" w:line="183" w:lineRule="exact"/>
                                    <w:ind w:right="58"/>
                                    <w:rPr>
                                      <w:rFonts w:ascii="Arial MT"/>
                                      <w:sz w:val="16"/>
                                    </w:rPr>
                                  </w:pPr>
                                  <w:r>
                                    <w:rPr>
                                      <w:rFonts w:ascii="Arial MT"/>
                                      <w:spacing w:val="-2"/>
                                      <w:sz w:val="16"/>
                                    </w:rPr>
                                    <w:t>3.553</w:t>
                                  </w:r>
                                </w:p>
                                <w:p w14:paraId="1A4F53C4" w14:textId="77777777" w:rsidR="002C6574" w:rsidRDefault="00000000">
                                  <w:pPr>
                                    <w:pStyle w:val="TableParagraph"/>
                                    <w:spacing w:line="183" w:lineRule="exact"/>
                                    <w:ind w:right="61"/>
                                    <w:rPr>
                                      <w:rFonts w:ascii="Arial MT"/>
                                      <w:sz w:val="16"/>
                                    </w:rPr>
                                  </w:pPr>
                                  <w:r>
                                    <w:rPr>
                                      <w:rFonts w:ascii="Arial MT"/>
                                      <w:spacing w:val="-2"/>
                                      <w:sz w:val="16"/>
                                    </w:rPr>
                                    <w:t>(955)</w:t>
                                  </w:r>
                                </w:p>
                                <w:p w14:paraId="704D5014" w14:textId="77777777" w:rsidR="002C6574" w:rsidRDefault="00000000">
                                  <w:pPr>
                                    <w:pStyle w:val="TableParagraph"/>
                                    <w:spacing w:before="1"/>
                                    <w:ind w:right="58"/>
                                    <w:rPr>
                                      <w:rFonts w:ascii="Arial MT"/>
                                      <w:sz w:val="16"/>
                                    </w:rPr>
                                  </w:pPr>
                                  <w:r>
                                    <w:rPr>
                                      <w:rFonts w:ascii="Arial MT"/>
                                      <w:spacing w:val="-5"/>
                                      <w:sz w:val="16"/>
                                    </w:rPr>
                                    <w:t>931</w:t>
                                  </w:r>
                                </w:p>
                                <w:p w14:paraId="61061336" w14:textId="77777777" w:rsidR="002C6574" w:rsidRDefault="00000000">
                                  <w:pPr>
                                    <w:pStyle w:val="TableParagraph"/>
                                    <w:spacing w:before="1" w:line="183" w:lineRule="exact"/>
                                    <w:ind w:right="58"/>
                                    <w:rPr>
                                      <w:rFonts w:ascii="Arial MT"/>
                                      <w:sz w:val="16"/>
                                    </w:rPr>
                                  </w:pPr>
                                  <w:r>
                                    <w:rPr>
                                      <w:rFonts w:ascii="Arial MT"/>
                                      <w:spacing w:val="-5"/>
                                      <w:sz w:val="16"/>
                                    </w:rPr>
                                    <w:t>160</w:t>
                                  </w:r>
                                </w:p>
                                <w:p w14:paraId="411BF9E0" w14:textId="77777777" w:rsidR="002C6574" w:rsidRDefault="00000000">
                                  <w:pPr>
                                    <w:pStyle w:val="TableParagraph"/>
                                    <w:spacing w:line="183" w:lineRule="exact"/>
                                    <w:ind w:right="58"/>
                                    <w:rPr>
                                      <w:rFonts w:ascii="Arial MT"/>
                                      <w:sz w:val="16"/>
                                    </w:rPr>
                                  </w:pPr>
                                  <w:r>
                                    <w:rPr>
                                      <w:rFonts w:ascii="Arial MT"/>
                                      <w:spacing w:val="-2"/>
                                      <w:sz w:val="16"/>
                                    </w:rPr>
                                    <w:t>(1.366)</w:t>
                                  </w:r>
                                </w:p>
                                <w:p w14:paraId="694DD87F" w14:textId="77777777" w:rsidR="002C6574" w:rsidRDefault="00000000">
                                  <w:pPr>
                                    <w:pStyle w:val="TableParagraph"/>
                                    <w:ind w:right="61"/>
                                    <w:rPr>
                                      <w:rFonts w:ascii="Arial MT"/>
                                      <w:sz w:val="16"/>
                                    </w:rPr>
                                  </w:pPr>
                                  <w:r>
                                    <w:rPr>
                                      <w:rFonts w:ascii="Arial MT"/>
                                      <w:spacing w:val="-2"/>
                                      <w:sz w:val="16"/>
                                    </w:rPr>
                                    <w:t>(598)</w:t>
                                  </w:r>
                                </w:p>
                                <w:p w14:paraId="6A775CF8" w14:textId="77777777" w:rsidR="002C6574" w:rsidRDefault="00000000">
                                  <w:pPr>
                                    <w:pStyle w:val="TableParagraph"/>
                                    <w:spacing w:before="1" w:line="183" w:lineRule="exact"/>
                                    <w:ind w:right="58"/>
                                    <w:rPr>
                                      <w:rFonts w:ascii="Arial MT"/>
                                      <w:sz w:val="16"/>
                                    </w:rPr>
                                  </w:pPr>
                                  <w:r>
                                    <w:rPr>
                                      <w:rFonts w:ascii="Arial MT"/>
                                      <w:spacing w:val="-2"/>
                                      <w:sz w:val="16"/>
                                    </w:rPr>
                                    <w:t>(212.038)</w:t>
                                  </w:r>
                                </w:p>
                                <w:p w14:paraId="00369853" w14:textId="77777777" w:rsidR="002C6574" w:rsidRDefault="00000000">
                                  <w:pPr>
                                    <w:pStyle w:val="TableParagraph"/>
                                    <w:spacing w:line="183" w:lineRule="exact"/>
                                    <w:ind w:right="58"/>
                                    <w:rPr>
                                      <w:rFonts w:ascii="Arial MT"/>
                                      <w:sz w:val="16"/>
                                    </w:rPr>
                                  </w:pPr>
                                  <w:r>
                                    <w:rPr>
                                      <w:rFonts w:ascii="Arial MT"/>
                                      <w:spacing w:val="-2"/>
                                      <w:sz w:val="16"/>
                                    </w:rPr>
                                    <w:t>2.963</w:t>
                                  </w:r>
                                </w:p>
                                <w:p w14:paraId="497E4FCA" w14:textId="77777777" w:rsidR="002C6574" w:rsidRDefault="00000000">
                                  <w:pPr>
                                    <w:pStyle w:val="TableParagraph"/>
                                    <w:spacing w:before="1"/>
                                    <w:ind w:right="58"/>
                                    <w:rPr>
                                      <w:rFonts w:ascii="Arial MT"/>
                                      <w:sz w:val="16"/>
                                    </w:rPr>
                                  </w:pPr>
                                  <w:r>
                                    <w:rPr>
                                      <w:rFonts w:ascii="Arial MT"/>
                                      <w:spacing w:val="-2"/>
                                      <w:sz w:val="16"/>
                                    </w:rPr>
                                    <w:t>(2.150)</w:t>
                                  </w:r>
                                </w:p>
                                <w:p w14:paraId="0DC7D599" w14:textId="77777777" w:rsidR="002C6574" w:rsidRDefault="00000000">
                                  <w:pPr>
                                    <w:pStyle w:val="TableParagraph"/>
                                    <w:spacing w:before="1" w:line="183" w:lineRule="exact"/>
                                    <w:ind w:right="55"/>
                                    <w:rPr>
                                      <w:rFonts w:ascii="Arial MT"/>
                                      <w:sz w:val="16"/>
                                    </w:rPr>
                                  </w:pPr>
                                  <w:r>
                                    <w:rPr>
                                      <w:rFonts w:ascii="Arial MT"/>
                                      <w:spacing w:val="-10"/>
                                      <w:sz w:val="16"/>
                                    </w:rPr>
                                    <w:t>-</w:t>
                                  </w:r>
                                </w:p>
                                <w:p w14:paraId="465A0EF2" w14:textId="77777777" w:rsidR="002C6574" w:rsidRDefault="00000000">
                                  <w:pPr>
                                    <w:pStyle w:val="TableParagraph"/>
                                    <w:spacing w:line="162" w:lineRule="exact"/>
                                    <w:ind w:right="55"/>
                                    <w:rPr>
                                      <w:rFonts w:ascii="Arial MT"/>
                                      <w:sz w:val="16"/>
                                    </w:rPr>
                                  </w:pPr>
                                  <w:r>
                                    <w:rPr>
                                      <w:rFonts w:ascii="Arial MT"/>
                                      <w:spacing w:val="-10"/>
                                      <w:sz w:val="16"/>
                                    </w:rPr>
                                    <w:t>-</w:t>
                                  </w:r>
                                </w:p>
                              </w:tc>
                              <w:tc>
                                <w:tcPr>
                                  <w:tcW w:w="773" w:type="dxa"/>
                                  <w:tcBorders>
                                    <w:right w:val="nil"/>
                                  </w:tcBorders>
                                </w:tcPr>
                                <w:p w14:paraId="07FC34E1" w14:textId="77777777" w:rsidR="002C6574" w:rsidRDefault="002C6574">
                                  <w:pPr>
                                    <w:pStyle w:val="TableParagraph"/>
                                    <w:spacing w:before="1"/>
                                    <w:jc w:val="left"/>
                                    <w:rPr>
                                      <w:rFonts w:ascii="Arial"/>
                                      <w:b/>
                                      <w:sz w:val="16"/>
                                    </w:rPr>
                                  </w:pPr>
                                </w:p>
                                <w:p w14:paraId="718562D8" w14:textId="77777777" w:rsidR="002C6574" w:rsidRDefault="00000000">
                                  <w:pPr>
                                    <w:pStyle w:val="TableParagraph"/>
                                    <w:spacing w:line="183" w:lineRule="exact"/>
                                    <w:ind w:right="67"/>
                                    <w:rPr>
                                      <w:rFonts w:ascii="Arial MT"/>
                                      <w:sz w:val="16"/>
                                    </w:rPr>
                                  </w:pPr>
                                  <w:r>
                                    <w:rPr>
                                      <w:rFonts w:ascii="Arial MT"/>
                                      <w:spacing w:val="-2"/>
                                      <w:sz w:val="16"/>
                                    </w:rPr>
                                    <w:t>69.064</w:t>
                                  </w:r>
                                </w:p>
                                <w:p w14:paraId="252DE0C5" w14:textId="77777777" w:rsidR="002C6574" w:rsidRDefault="00000000">
                                  <w:pPr>
                                    <w:pStyle w:val="TableParagraph"/>
                                    <w:spacing w:line="183" w:lineRule="exact"/>
                                    <w:ind w:right="68"/>
                                    <w:rPr>
                                      <w:rFonts w:ascii="Arial MT"/>
                                      <w:sz w:val="16"/>
                                    </w:rPr>
                                  </w:pPr>
                                  <w:r>
                                    <w:rPr>
                                      <w:rFonts w:ascii="Arial MT"/>
                                      <w:spacing w:val="-5"/>
                                      <w:sz w:val="16"/>
                                    </w:rPr>
                                    <w:t>697</w:t>
                                  </w:r>
                                </w:p>
                                <w:p w14:paraId="6C14B969" w14:textId="77777777" w:rsidR="002C6574" w:rsidRDefault="00000000">
                                  <w:pPr>
                                    <w:pStyle w:val="TableParagraph"/>
                                    <w:spacing w:before="1"/>
                                    <w:ind w:right="67"/>
                                    <w:rPr>
                                      <w:rFonts w:ascii="Arial MT"/>
                                      <w:sz w:val="16"/>
                                    </w:rPr>
                                  </w:pPr>
                                  <w:r>
                                    <w:rPr>
                                      <w:rFonts w:ascii="Arial MT"/>
                                      <w:spacing w:val="-2"/>
                                      <w:sz w:val="16"/>
                                    </w:rPr>
                                    <w:t>1.208</w:t>
                                  </w:r>
                                </w:p>
                                <w:p w14:paraId="7219D4CC" w14:textId="77777777" w:rsidR="002C6574" w:rsidRDefault="00000000">
                                  <w:pPr>
                                    <w:pStyle w:val="TableParagraph"/>
                                    <w:spacing w:before="1" w:line="183" w:lineRule="exact"/>
                                    <w:ind w:right="67"/>
                                    <w:rPr>
                                      <w:rFonts w:ascii="Arial MT"/>
                                      <w:sz w:val="16"/>
                                    </w:rPr>
                                  </w:pPr>
                                  <w:r>
                                    <w:rPr>
                                      <w:rFonts w:ascii="Arial MT"/>
                                      <w:spacing w:val="-2"/>
                                      <w:sz w:val="16"/>
                                    </w:rPr>
                                    <w:t>(9.120)</w:t>
                                  </w:r>
                                </w:p>
                                <w:p w14:paraId="6405866D" w14:textId="77777777" w:rsidR="002C6574" w:rsidRDefault="00000000">
                                  <w:pPr>
                                    <w:pStyle w:val="TableParagraph"/>
                                    <w:spacing w:line="183" w:lineRule="exact"/>
                                    <w:ind w:right="70"/>
                                    <w:rPr>
                                      <w:rFonts w:ascii="Arial MT"/>
                                      <w:sz w:val="16"/>
                                    </w:rPr>
                                  </w:pPr>
                                  <w:r>
                                    <w:rPr>
                                      <w:rFonts w:ascii="Arial MT"/>
                                      <w:spacing w:val="-4"/>
                                      <w:sz w:val="16"/>
                                    </w:rPr>
                                    <w:t>(23)</w:t>
                                  </w:r>
                                </w:p>
                                <w:p w14:paraId="4302E83A" w14:textId="77777777" w:rsidR="002C6574" w:rsidRDefault="00000000">
                                  <w:pPr>
                                    <w:pStyle w:val="TableParagraph"/>
                                    <w:spacing w:before="1"/>
                                    <w:ind w:right="67"/>
                                    <w:rPr>
                                      <w:rFonts w:ascii="Arial MT"/>
                                      <w:sz w:val="16"/>
                                    </w:rPr>
                                  </w:pPr>
                                  <w:r>
                                    <w:rPr>
                                      <w:rFonts w:ascii="Arial MT"/>
                                      <w:spacing w:val="-2"/>
                                      <w:sz w:val="16"/>
                                    </w:rPr>
                                    <w:t>67.317</w:t>
                                  </w:r>
                                </w:p>
                                <w:p w14:paraId="6193D0BC" w14:textId="77777777" w:rsidR="002C6574" w:rsidRDefault="00000000">
                                  <w:pPr>
                                    <w:pStyle w:val="TableParagraph"/>
                                    <w:spacing w:before="1"/>
                                    <w:ind w:left="318" w:right="67" w:firstLine="321"/>
                                    <w:rPr>
                                      <w:rFonts w:ascii="Arial MT"/>
                                      <w:sz w:val="16"/>
                                    </w:rPr>
                                  </w:pPr>
                                  <w:r>
                                    <w:rPr>
                                      <w:rFonts w:ascii="Arial MT"/>
                                      <w:spacing w:val="-10"/>
                                      <w:sz w:val="16"/>
                                    </w:rPr>
                                    <w:t>-</w:t>
                                  </w:r>
                                  <w:r>
                                    <w:rPr>
                                      <w:rFonts w:ascii="Arial MT"/>
                                      <w:spacing w:val="-2"/>
                                      <w:sz w:val="16"/>
                                    </w:rPr>
                                    <w:t xml:space="preserve"> (312)</w:t>
                                  </w:r>
                                </w:p>
                                <w:p w14:paraId="7EBBAA10" w14:textId="77777777" w:rsidR="002C6574" w:rsidRDefault="00000000">
                                  <w:pPr>
                                    <w:pStyle w:val="TableParagraph"/>
                                    <w:spacing w:line="182" w:lineRule="exact"/>
                                    <w:ind w:right="67"/>
                                    <w:rPr>
                                      <w:rFonts w:ascii="Arial MT"/>
                                      <w:sz w:val="16"/>
                                    </w:rPr>
                                  </w:pPr>
                                  <w:r>
                                    <w:rPr>
                                      <w:rFonts w:ascii="Arial MT"/>
                                      <w:spacing w:val="-2"/>
                                      <w:sz w:val="16"/>
                                    </w:rPr>
                                    <w:t>2.302</w:t>
                                  </w:r>
                                </w:p>
                                <w:p w14:paraId="00782BFD" w14:textId="77777777" w:rsidR="002C6574" w:rsidRDefault="00000000">
                                  <w:pPr>
                                    <w:pStyle w:val="TableParagraph"/>
                                    <w:spacing w:line="183" w:lineRule="exact"/>
                                    <w:ind w:right="67"/>
                                    <w:rPr>
                                      <w:rFonts w:ascii="Arial MT"/>
                                      <w:sz w:val="16"/>
                                    </w:rPr>
                                  </w:pPr>
                                  <w:r>
                                    <w:rPr>
                                      <w:rFonts w:ascii="Arial MT"/>
                                      <w:spacing w:val="-2"/>
                                      <w:sz w:val="16"/>
                                    </w:rPr>
                                    <w:t>(1.174)</w:t>
                                  </w:r>
                                </w:p>
                                <w:p w14:paraId="1D3C4C46" w14:textId="77777777" w:rsidR="002C6574" w:rsidRDefault="00000000">
                                  <w:pPr>
                                    <w:pStyle w:val="TableParagraph"/>
                                    <w:spacing w:before="1"/>
                                    <w:ind w:right="68"/>
                                    <w:rPr>
                                      <w:rFonts w:ascii="Arial MT"/>
                                      <w:sz w:val="16"/>
                                    </w:rPr>
                                  </w:pPr>
                                  <w:r>
                                    <w:rPr>
                                      <w:rFonts w:ascii="Arial MT"/>
                                      <w:spacing w:val="-5"/>
                                      <w:sz w:val="16"/>
                                    </w:rPr>
                                    <w:t>831</w:t>
                                  </w:r>
                                </w:p>
                                <w:p w14:paraId="2D46D839" w14:textId="77777777" w:rsidR="002C6574" w:rsidRDefault="00000000">
                                  <w:pPr>
                                    <w:pStyle w:val="TableParagraph"/>
                                    <w:spacing w:before="1" w:line="183" w:lineRule="exact"/>
                                    <w:ind w:right="68"/>
                                    <w:rPr>
                                      <w:rFonts w:ascii="Arial MT"/>
                                      <w:sz w:val="16"/>
                                    </w:rPr>
                                  </w:pPr>
                                  <w:r>
                                    <w:rPr>
                                      <w:rFonts w:ascii="Arial MT"/>
                                      <w:spacing w:val="-5"/>
                                      <w:sz w:val="16"/>
                                    </w:rPr>
                                    <w:t>132</w:t>
                                  </w:r>
                                </w:p>
                                <w:p w14:paraId="11E1C9EE" w14:textId="77777777" w:rsidR="002C6574" w:rsidRDefault="00000000">
                                  <w:pPr>
                                    <w:pStyle w:val="TableParagraph"/>
                                    <w:spacing w:line="183" w:lineRule="exact"/>
                                    <w:ind w:right="67"/>
                                    <w:rPr>
                                      <w:rFonts w:ascii="Arial MT"/>
                                      <w:sz w:val="16"/>
                                    </w:rPr>
                                  </w:pPr>
                                  <w:r>
                                    <w:rPr>
                                      <w:rFonts w:ascii="Arial MT"/>
                                      <w:spacing w:val="-10"/>
                                      <w:sz w:val="16"/>
                                    </w:rPr>
                                    <w:t>-</w:t>
                                  </w:r>
                                </w:p>
                                <w:p w14:paraId="1E0C68AC" w14:textId="77777777" w:rsidR="002C6574" w:rsidRDefault="00000000">
                                  <w:pPr>
                                    <w:pStyle w:val="TableParagraph"/>
                                    <w:spacing w:before="1"/>
                                    <w:ind w:left="97" w:right="67" w:firstLine="542"/>
                                    <w:rPr>
                                      <w:rFonts w:ascii="Arial MT"/>
                                      <w:sz w:val="16"/>
                                    </w:rPr>
                                  </w:pPr>
                                  <w:r>
                                    <w:rPr>
                                      <w:rFonts w:ascii="Arial MT"/>
                                      <w:spacing w:val="-10"/>
                                      <w:sz w:val="16"/>
                                    </w:rPr>
                                    <w:t>-</w:t>
                                  </w:r>
                                  <w:r>
                                    <w:rPr>
                                      <w:rFonts w:ascii="Arial MT"/>
                                      <w:spacing w:val="-2"/>
                                      <w:sz w:val="16"/>
                                    </w:rPr>
                                    <w:t xml:space="preserve"> (32.502)</w:t>
                                  </w:r>
                                </w:p>
                                <w:p w14:paraId="5D1848F7" w14:textId="77777777" w:rsidR="002C6574" w:rsidRDefault="00000000">
                                  <w:pPr>
                                    <w:pStyle w:val="TableParagraph"/>
                                    <w:ind w:left="426" w:right="67" w:firstLine="213"/>
                                    <w:rPr>
                                      <w:rFonts w:ascii="Arial MT"/>
                                      <w:sz w:val="16"/>
                                    </w:rPr>
                                  </w:pPr>
                                  <w:r>
                                    <w:rPr>
                                      <w:rFonts w:ascii="Arial MT"/>
                                      <w:spacing w:val="-10"/>
                                      <w:sz w:val="16"/>
                                    </w:rPr>
                                    <w:t>-</w:t>
                                  </w:r>
                                  <w:r>
                                    <w:rPr>
                                      <w:rFonts w:ascii="Arial MT"/>
                                      <w:sz w:val="16"/>
                                    </w:rPr>
                                    <w:t xml:space="preserve"> </w:t>
                                  </w:r>
                                  <w:r>
                                    <w:rPr>
                                      <w:rFonts w:ascii="Arial MT"/>
                                      <w:spacing w:val="-5"/>
                                      <w:sz w:val="16"/>
                                    </w:rPr>
                                    <w:t>829</w:t>
                                  </w:r>
                                </w:p>
                                <w:p w14:paraId="07B40FF3" w14:textId="77777777" w:rsidR="002C6574" w:rsidRDefault="00000000">
                                  <w:pPr>
                                    <w:pStyle w:val="TableParagraph"/>
                                    <w:spacing w:line="182" w:lineRule="exact"/>
                                    <w:ind w:left="515" w:right="67" w:firstLine="124"/>
                                    <w:rPr>
                                      <w:rFonts w:ascii="Arial MT"/>
                                      <w:sz w:val="16"/>
                                    </w:rPr>
                                  </w:pPr>
                                  <w:r>
                                    <w:rPr>
                                      <w:rFonts w:ascii="Arial MT"/>
                                      <w:spacing w:val="-10"/>
                                      <w:sz w:val="16"/>
                                    </w:rPr>
                                    <w:t>-</w:t>
                                  </w:r>
                                  <w:r>
                                    <w:rPr>
                                      <w:rFonts w:ascii="Arial MT"/>
                                      <w:sz w:val="16"/>
                                    </w:rPr>
                                    <w:t xml:space="preserve"> </w:t>
                                  </w:r>
                                  <w:r>
                                    <w:rPr>
                                      <w:rFonts w:ascii="Arial MT"/>
                                      <w:spacing w:val="-5"/>
                                      <w:sz w:val="16"/>
                                    </w:rPr>
                                    <w:t>91</w:t>
                                  </w:r>
                                </w:p>
                              </w:tc>
                            </w:tr>
                            <w:tr w:rsidR="002C6574" w14:paraId="604F0771" w14:textId="77777777">
                              <w:trPr>
                                <w:trHeight w:val="184"/>
                              </w:trPr>
                              <w:tc>
                                <w:tcPr>
                                  <w:tcW w:w="6126" w:type="dxa"/>
                                  <w:tcBorders>
                                    <w:left w:val="nil"/>
                                  </w:tcBorders>
                                </w:tcPr>
                                <w:p w14:paraId="754E906D" w14:textId="77777777" w:rsidR="002C6574" w:rsidRDefault="00000000">
                                  <w:pPr>
                                    <w:pStyle w:val="TableParagraph"/>
                                    <w:spacing w:line="163" w:lineRule="exact"/>
                                    <w:ind w:left="292"/>
                                    <w:jc w:val="left"/>
                                    <w:rPr>
                                      <w:rFonts w:ascii="Arial"/>
                                      <w:b/>
                                      <w:sz w:val="16"/>
                                    </w:rPr>
                                  </w:pPr>
                                  <w:r>
                                    <w:rPr>
                                      <w:rFonts w:ascii="Arial"/>
                                      <w:b/>
                                      <w:spacing w:val="-2"/>
                                      <w:sz w:val="16"/>
                                    </w:rPr>
                                    <w:t>Subtotal</w:t>
                                  </w:r>
                                </w:p>
                              </w:tc>
                              <w:tc>
                                <w:tcPr>
                                  <w:tcW w:w="861" w:type="dxa"/>
                                  <w:shd w:val="clear" w:color="auto" w:fill="75F6F8"/>
                                </w:tcPr>
                                <w:p w14:paraId="62079696" w14:textId="77777777" w:rsidR="002C6574" w:rsidRDefault="00000000">
                                  <w:pPr>
                                    <w:pStyle w:val="TableParagraph"/>
                                    <w:spacing w:line="163" w:lineRule="exact"/>
                                    <w:ind w:left="34"/>
                                    <w:jc w:val="center"/>
                                    <w:rPr>
                                      <w:rFonts w:ascii="Arial"/>
                                      <w:b/>
                                      <w:sz w:val="16"/>
                                    </w:rPr>
                                  </w:pPr>
                                  <w:r>
                                    <w:rPr>
                                      <w:rFonts w:ascii="Arial"/>
                                      <w:b/>
                                      <w:spacing w:val="-2"/>
                                      <w:sz w:val="16"/>
                                    </w:rPr>
                                    <w:t>(203.710)</w:t>
                                  </w:r>
                                </w:p>
                              </w:tc>
                              <w:tc>
                                <w:tcPr>
                                  <w:tcW w:w="861" w:type="dxa"/>
                                </w:tcPr>
                                <w:p w14:paraId="5828F566" w14:textId="77777777" w:rsidR="002C6574" w:rsidRDefault="00000000">
                                  <w:pPr>
                                    <w:pStyle w:val="TableParagraph"/>
                                    <w:spacing w:line="163" w:lineRule="exact"/>
                                    <w:ind w:left="147" w:right="22"/>
                                    <w:jc w:val="center"/>
                                    <w:rPr>
                                      <w:rFonts w:ascii="Arial"/>
                                      <w:b/>
                                      <w:sz w:val="16"/>
                                    </w:rPr>
                                  </w:pPr>
                                  <w:r>
                                    <w:rPr>
                                      <w:rFonts w:ascii="Arial"/>
                                      <w:b/>
                                      <w:spacing w:val="-2"/>
                                      <w:sz w:val="16"/>
                                    </w:rPr>
                                    <w:t>(96.852)</w:t>
                                  </w:r>
                                </w:p>
                              </w:tc>
                              <w:tc>
                                <w:tcPr>
                                  <w:tcW w:w="773" w:type="dxa"/>
                                  <w:tcBorders>
                                    <w:right w:val="nil"/>
                                  </w:tcBorders>
                                </w:tcPr>
                                <w:p w14:paraId="365B1C07" w14:textId="77777777" w:rsidR="002C6574" w:rsidRDefault="00000000">
                                  <w:pPr>
                                    <w:pStyle w:val="TableParagraph"/>
                                    <w:spacing w:line="163" w:lineRule="exact"/>
                                    <w:ind w:left="133"/>
                                    <w:jc w:val="center"/>
                                    <w:rPr>
                                      <w:rFonts w:ascii="Arial"/>
                                      <w:b/>
                                      <w:sz w:val="16"/>
                                    </w:rPr>
                                  </w:pPr>
                                  <w:r>
                                    <w:rPr>
                                      <w:rFonts w:ascii="Arial"/>
                                      <w:b/>
                                      <w:spacing w:val="-2"/>
                                      <w:sz w:val="16"/>
                                    </w:rPr>
                                    <w:t>99.340</w:t>
                                  </w:r>
                                </w:p>
                              </w:tc>
                            </w:tr>
                            <w:tr w:rsidR="002C6574" w14:paraId="6C941C90" w14:textId="77777777">
                              <w:trPr>
                                <w:trHeight w:val="1288"/>
                              </w:trPr>
                              <w:tc>
                                <w:tcPr>
                                  <w:tcW w:w="6126" w:type="dxa"/>
                                  <w:tcBorders>
                                    <w:left w:val="nil"/>
                                  </w:tcBorders>
                                </w:tcPr>
                                <w:p w14:paraId="52DD5E27" w14:textId="77777777" w:rsidR="002C6574" w:rsidRDefault="00000000">
                                  <w:pPr>
                                    <w:pStyle w:val="TableParagraph"/>
                                    <w:ind w:left="69"/>
                                    <w:jc w:val="left"/>
                                    <w:rPr>
                                      <w:rFonts w:ascii="Arial" w:hAnsi="Arial"/>
                                      <w:b/>
                                      <w:sz w:val="16"/>
                                    </w:rPr>
                                  </w:pPr>
                                  <w:r>
                                    <w:rPr>
                                      <w:rFonts w:ascii="Arial" w:hAnsi="Arial"/>
                                      <w:b/>
                                      <w:sz w:val="16"/>
                                    </w:rPr>
                                    <w:t>Mutações</w:t>
                                  </w:r>
                                  <w:r>
                                    <w:rPr>
                                      <w:rFonts w:ascii="Arial" w:hAnsi="Arial"/>
                                      <w:b/>
                                      <w:spacing w:val="-6"/>
                                      <w:sz w:val="16"/>
                                    </w:rPr>
                                    <w:t xml:space="preserve"> </w:t>
                                  </w:r>
                                  <w:r>
                                    <w:rPr>
                                      <w:rFonts w:ascii="Arial" w:hAnsi="Arial"/>
                                      <w:b/>
                                      <w:spacing w:val="-2"/>
                                      <w:sz w:val="16"/>
                                    </w:rPr>
                                    <w:t>Patrimoniais:</w:t>
                                  </w:r>
                                </w:p>
                                <w:p w14:paraId="1171F1C9" w14:textId="77777777" w:rsidR="002C6574" w:rsidRDefault="00000000">
                                  <w:pPr>
                                    <w:pStyle w:val="TableParagraph"/>
                                    <w:spacing w:before="1"/>
                                    <w:ind w:left="434" w:right="3487"/>
                                    <w:jc w:val="left"/>
                                    <w:rPr>
                                      <w:rFonts w:ascii="Arial MT" w:hAnsi="Arial MT"/>
                                      <w:sz w:val="16"/>
                                    </w:rPr>
                                  </w:pPr>
                                  <w:r>
                                    <w:rPr>
                                      <w:rFonts w:ascii="Arial MT" w:hAnsi="Arial MT"/>
                                      <w:sz w:val="16"/>
                                    </w:rPr>
                                    <w:t>Contas</w:t>
                                  </w:r>
                                  <w:r>
                                    <w:rPr>
                                      <w:rFonts w:ascii="Arial MT" w:hAnsi="Arial MT"/>
                                      <w:spacing w:val="-11"/>
                                      <w:sz w:val="16"/>
                                    </w:rPr>
                                    <w:t xml:space="preserve"> </w:t>
                                  </w:r>
                                  <w:r>
                                    <w:rPr>
                                      <w:rFonts w:ascii="Arial MT" w:hAnsi="Arial MT"/>
                                      <w:sz w:val="16"/>
                                    </w:rPr>
                                    <w:t>a</w:t>
                                  </w:r>
                                  <w:r>
                                    <w:rPr>
                                      <w:rFonts w:ascii="Arial MT" w:hAnsi="Arial MT"/>
                                      <w:spacing w:val="-10"/>
                                      <w:sz w:val="16"/>
                                    </w:rPr>
                                    <w:t xml:space="preserve"> </w:t>
                                  </w:r>
                                  <w:r>
                                    <w:rPr>
                                      <w:rFonts w:ascii="Arial MT" w:hAnsi="Arial MT"/>
                                      <w:sz w:val="16"/>
                                    </w:rPr>
                                    <w:t>Receber</w:t>
                                  </w:r>
                                  <w:r>
                                    <w:rPr>
                                      <w:rFonts w:ascii="Arial MT" w:hAnsi="Arial MT"/>
                                      <w:spacing w:val="-10"/>
                                      <w:sz w:val="16"/>
                                    </w:rPr>
                                    <w:t xml:space="preserve"> </w:t>
                                  </w:r>
                                  <w:r>
                                    <w:rPr>
                                      <w:rFonts w:ascii="Arial MT" w:hAnsi="Arial MT"/>
                                      <w:sz w:val="16"/>
                                    </w:rPr>
                                    <w:t>de</w:t>
                                  </w:r>
                                  <w:r>
                                    <w:rPr>
                                      <w:rFonts w:ascii="Arial MT" w:hAnsi="Arial MT"/>
                                      <w:spacing w:val="-10"/>
                                      <w:sz w:val="16"/>
                                    </w:rPr>
                                    <w:t xml:space="preserve"> </w:t>
                                  </w:r>
                                  <w:r>
                                    <w:rPr>
                                      <w:rFonts w:ascii="Arial MT" w:hAnsi="Arial MT"/>
                                      <w:sz w:val="16"/>
                                    </w:rPr>
                                    <w:t>Clientes Tributos a Recuperar Depósitos Judiciais</w:t>
                                  </w:r>
                                </w:p>
                                <w:p w14:paraId="5B5569E9" w14:textId="77777777" w:rsidR="002C6574" w:rsidRDefault="00000000">
                                  <w:pPr>
                                    <w:pStyle w:val="TableParagraph"/>
                                    <w:spacing w:before="1"/>
                                    <w:ind w:left="434" w:right="2331"/>
                                    <w:jc w:val="left"/>
                                    <w:rPr>
                                      <w:rFonts w:ascii="Arial MT" w:hAnsi="Arial MT"/>
                                      <w:sz w:val="16"/>
                                    </w:rPr>
                                  </w:pPr>
                                  <w:r>
                                    <w:rPr>
                                      <w:rFonts w:ascii="Arial MT" w:hAnsi="Arial MT"/>
                                      <w:sz w:val="16"/>
                                    </w:rPr>
                                    <w:t>Pessoal,</w:t>
                                  </w:r>
                                  <w:r>
                                    <w:rPr>
                                      <w:rFonts w:ascii="Arial MT" w:hAnsi="Arial MT"/>
                                      <w:spacing w:val="-11"/>
                                      <w:sz w:val="16"/>
                                    </w:rPr>
                                    <w:t xml:space="preserve"> </w:t>
                                  </w:r>
                                  <w:r>
                                    <w:rPr>
                                      <w:rFonts w:ascii="Arial MT" w:hAnsi="Arial MT"/>
                                      <w:sz w:val="16"/>
                                    </w:rPr>
                                    <w:t>Encargos</w:t>
                                  </w:r>
                                  <w:r>
                                    <w:rPr>
                                      <w:rFonts w:ascii="Arial MT" w:hAnsi="Arial MT"/>
                                      <w:spacing w:val="-8"/>
                                      <w:sz w:val="16"/>
                                    </w:rPr>
                                    <w:t xml:space="preserve"> </w:t>
                                  </w:r>
                                  <w:r>
                                    <w:rPr>
                                      <w:rFonts w:ascii="Arial MT" w:hAnsi="Arial MT"/>
                                      <w:sz w:val="16"/>
                                    </w:rPr>
                                    <w:t>e</w:t>
                                  </w:r>
                                  <w:r>
                                    <w:rPr>
                                      <w:rFonts w:ascii="Arial MT" w:hAnsi="Arial MT"/>
                                      <w:spacing w:val="-12"/>
                                      <w:sz w:val="16"/>
                                    </w:rPr>
                                    <w:t xml:space="preserve"> </w:t>
                                  </w:r>
                                  <w:r>
                                    <w:rPr>
                                      <w:rFonts w:ascii="Arial MT" w:hAnsi="Arial MT"/>
                                      <w:sz w:val="16"/>
                                    </w:rPr>
                                    <w:t>Benefícios</w:t>
                                  </w:r>
                                  <w:r>
                                    <w:rPr>
                                      <w:rFonts w:ascii="Arial MT" w:hAnsi="Arial MT"/>
                                      <w:spacing w:val="-10"/>
                                      <w:sz w:val="16"/>
                                    </w:rPr>
                                    <w:t xml:space="preserve"> </w:t>
                                  </w:r>
                                  <w:r>
                                    <w:rPr>
                                      <w:rFonts w:ascii="Arial MT" w:hAnsi="Arial MT"/>
                                      <w:sz w:val="16"/>
                                    </w:rPr>
                                    <w:t xml:space="preserve">Sociais </w:t>
                                  </w:r>
                                  <w:r>
                                    <w:rPr>
                                      <w:rFonts w:ascii="Arial MT" w:hAnsi="Arial MT"/>
                                      <w:spacing w:val="-2"/>
                                      <w:sz w:val="16"/>
                                    </w:rPr>
                                    <w:t>Fornecedores</w:t>
                                  </w:r>
                                </w:p>
                                <w:p w14:paraId="76CCEAD4" w14:textId="77777777" w:rsidR="002C6574" w:rsidRDefault="00000000">
                                  <w:pPr>
                                    <w:pStyle w:val="TableParagraph"/>
                                    <w:spacing w:line="163" w:lineRule="exact"/>
                                    <w:ind w:left="434"/>
                                    <w:jc w:val="left"/>
                                    <w:rPr>
                                      <w:rFonts w:ascii="Arial MT"/>
                                      <w:sz w:val="16"/>
                                    </w:rPr>
                                  </w:pPr>
                                  <w:r>
                                    <w:rPr>
                                      <w:rFonts w:ascii="Arial MT"/>
                                      <w:sz w:val="16"/>
                                    </w:rPr>
                                    <w:t>Outras</w:t>
                                  </w:r>
                                  <w:r>
                                    <w:rPr>
                                      <w:rFonts w:ascii="Arial MT"/>
                                      <w:spacing w:val="-6"/>
                                      <w:sz w:val="16"/>
                                    </w:rPr>
                                    <w:t xml:space="preserve"> </w:t>
                                  </w:r>
                                  <w:r>
                                    <w:rPr>
                                      <w:rFonts w:ascii="Arial MT"/>
                                      <w:sz w:val="16"/>
                                    </w:rPr>
                                    <w:t>Contas</w:t>
                                  </w:r>
                                  <w:r>
                                    <w:rPr>
                                      <w:rFonts w:ascii="Arial MT"/>
                                      <w:spacing w:val="-5"/>
                                      <w:sz w:val="16"/>
                                    </w:rPr>
                                    <w:t xml:space="preserve"> </w:t>
                                  </w:r>
                                  <w:r>
                                    <w:rPr>
                                      <w:rFonts w:ascii="Arial MT"/>
                                      <w:sz w:val="16"/>
                                    </w:rPr>
                                    <w:t>Ativas</w:t>
                                  </w:r>
                                  <w:r>
                                    <w:rPr>
                                      <w:rFonts w:ascii="Arial MT"/>
                                      <w:spacing w:val="-3"/>
                                      <w:sz w:val="16"/>
                                    </w:rPr>
                                    <w:t xml:space="preserve"> </w:t>
                                  </w:r>
                                  <w:r>
                                    <w:rPr>
                                      <w:rFonts w:ascii="Arial MT"/>
                                      <w:sz w:val="16"/>
                                    </w:rPr>
                                    <w:t>e</w:t>
                                  </w:r>
                                  <w:r>
                                    <w:rPr>
                                      <w:rFonts w:ascii="Arial MT"/>
                                      <w:spacing w:val="-6"/>
                                      <w:sz w:val="16"/>
                                    </w:rPr>
                                    <w:t xml:space="preserve"> </w:t>
                                  </w:r>
                                  <w:r>
                                    <w:rPr>
                                      <w:rFonts w:ascii="Arial MT"/>
                                      <w:spacing w:val="-2"/>
                                      <w:sz w:val="16"/>
                                    </w:rPr>
                                    <w:t>Passivas</w:t>
                                  </w:r>
                                </w:p>
                              </w:tc>
                              <w:tc>
                                <w:tcPr>
                                  <w:tcW w:w="861" w:type="dxa"/>
                                  <w:shd w:val="clear" w:color="auto" w:fill="75F6F8"/>
                                </w:tcPr>
                                <w:p w14:paraId="2E59C964" w14:textId="77777777" w:rsidR="002C6574" w:rsidRDefault="002C6574">
                                  <w:pPr>
                                    <w:pStyle w:val="TableParagraph"/>
                                    <w:spacing w:before="1"/>
                                    <w:jc w:val="left"/>
                                    <w:rPr>
                                      <w:rFonts w:ascii="Arial"/>
                                      <w:b/>
                                      <w:sz w:val="16"/>
                                    </w:rPr>
                                  </w:pPr>
                                </w:p>
                                <w:p w14:paraId="458FDD44" w14:textId="77777777" w:rsidR="002C6574" w:rsidRDefault="00000000">
                                  <w:pPr>
                                    <w:pStyle w:val="TableParagraph"/>
                                    <w:ind w:right="58"/>
                                    <w:rPr>
                                      <w:rFonts w:ascii="Arial MT"/>
                                      <w:sz w:val="16"/>
                                    </w:rPr>
                                  </w:pPr>
                                  <w:r>
                                    <w:rPr>
                                      <w:rFonts w:ascii="Arial MT"/>
                                      <w:spacing w:val="-2"/>
                                      <w:sz w:val="16"/>
                                    </w:rPr>
                                    <w:t>(24.342)</w:t>
                                  </w:r>
                                </w:p>
                                <w:p w14:paraId="3B284EAC" w14:textId="77777777" w:rsidR="002C6574" w:rsidRDefault="00000000">
                                  <w:pPr>
                                    <w:pStyle w:val="TableParagraph"/>
                                    <w:spacing w:before="1" w:line="183" w:lineRule="exact"/>
                                    <w:ind w:right="58"/>
                                    <w:rPr>
                                      <w:rFonts w:ascii="Arial MT"/>
                                      <w:sz w:val="16"/>
                                    </w:rPr>
                                  </w:pPr>
                                  <w:r>
                                    <w:rPr>
                                      <w:rFonts w:ascii="Arial MT"/>
                                      <w:spacing w:val="-2"/>
                                      <w:sz w:val="16"/>
                                    </w:rPr>
                                    <w:t>(14.559)</w:t>
                                  </w:r>
                                </w:p>
                                <w:p w14:paraId="145EF594" w14:textId="77777777" w:rsidR="002C6574" w:rsidRDefault="00000000">
                                  <w:pPr>
                                    <w:pStyle w:val="TableParagraph"/>
                                    <w:spacing w:line="183" w:lineRule="exact"/>
                                    <w:ind w:right="59"/>
                                    <w:rPr>
                                      <w:rFonts w:ascii="Arial MT"/>
                                      <w:sz w:val="16"/>
                                    </w:rPr>
                                  </w:pPr>
                                  <w:r>
                                    <w:rPr>
                                      <w:rFonts w:ascii="Arial MT"/>
                                      <w:spacing w:val="-5"/>
                                      <w:sz w:val="16"/>
                                    </w:rPr>
                                    <w:t>351</w:t>
                                  </w:r>
                                </w:p>
                                <w:p w14:paraId="19FFE11F" w14:textId="77777777" w:rsidR="002C6574" w:rsidRDefault="00000000">
                                  <w:pPr>
                                    <w:pStyle w:val="TableParagraph"/>
                                    <w:spacing w:before="1"/>
                                    <w:ind w:right="58"/>
                                    <w:rPr>
                                      <w:rFonts w:ascii="Arial MT"/>
                                      <w:sz w:val="16"/>
                                    </w:rPr>
                                  </w:pPr>
                                  <w:r>
                                    <w:rPr>
                                      <w:rFonts w:ascii="Arial MT"/>
                                      <w:spacing w:val="-2"/>
                                      <w:sz w:val="16"/>
                                    </w:rPr>
                                    <w:t>(2.545)</w:t>
                                  </w:r>
                                </w:p>
                                <w:p w14:paraId="086C1824" w14:textId="77777777" w:rsidR="002C6574" w:rsidRDefault="00000000">
                                  <w:pPr>
                                    <w:pStyle w:val="TableParagraph"/>
                                    <w:spacing w:before="1" w:line="183" w:lineRule="exact"/>
                                    <w:ind w:right="58"/>
                                    <w:rPr>
                                      <w:rFonts w:ascii="Arial MT"/>
                                      <w:sz w:val="16"/>
                                    </w:rPr>
                                  </w:pPr>
                                  <w:r>
                                    <w:rPr>
                                      <w:rFonts w:ascii="Arial MT"/>
                                      <w:spacing w:val="-2"/>
                                      <w:sz w:val="16"/>
                                    </w:rPr>
                                    <w:t>(104.918)</w:t>
                                  </w:r>
                                </w:p>
                                <w:p w14:paraId="35E6C132" w14:textId="77777777" w:rsidR="002C6574" w:rsidRDefault="00000000">
                                  <w:pPr>
                                    <w:pStyle w:val="TableParagraph"/>
                                    <w:spacing w:line="162" w:lineRule="exact"/>
                                    <w:ind w:right="58"/>
                                    <w:rPr>
                                      <w:rFonts w:ascii="Arial MT"/>
                                      <w:sz w:val="16"/>
                                    </w:rPr>
                                  </w:pPr>
                                  <w:r>
                                    <w:rPr>
                                      <w:rFonts w:ascii="Arial MT"/>
                                      <w:spacing w:val="-2"/>
                                      <w:sz w:val="16"/>
                                    </w:rPr>
                                    <w:t>34.250</w:t>
                                  </w:r>
                                </w:p>
                              </w:tc>
                              <w:tc>
                                <w:tcPr>
                                  <w:tcW w:w="861" w:type="dxa"/>
                                </w:tcPr>
                                <w:p w14:paraId="708E63C4" w14:textId="77777777" w:rsidR="002C6574" w:rsidRDefault="002C6574">
                                  <w:pPr>
                                    <w:pStyle w:val="TableParagraph"/>
                                    <w:spacing w:before="1"/>
                                    <w:jc w:val="left"/>
                                    <w:rPr>
                                      <w:rFonts w:ascii="Arial"/>
                                      <w:b/>
                                      <w:sz w:val="16"/>
                                    </w:rPr>
                                  </w:pPr>
                                </w:p>
                                <w:p w14:paraId="219656C8" w14:textId="77777777" w:rsidR="002C6574" w:rsidRDefault="00000000">
                                  <w:pPr>
                                    <w:pStyle w:val="TableParagraph"/>
                                    <w:ind w:right="58"/>
                                    <w:rPr>
                                      <w:rFonts w:ascii="Arial MT"/>
                                      <w:sz w:val="16"/>
                                    </w:rPr>
                                  </w:pPr>
                                  <w:r>
                                    <w:rPr>
                                      <w:rFonts w:ascii="Arial MT"/>
                                      <w:spacing w:val="-2"/>
                                      <w:sz w:val="16"/>
                                    </w:rPr>
                                    <w:t>(56.014)</w:t>
                                  </w:r>
                                </w:p>
                                <w:p w14:paraId="1F8C04CF" w14:textId="77777777" w:rsidR="002C6574" w:rsidRDefault="00000000">
                                  <w:pPr>
                                    <w:pStyle w:val="TableParagraph"/>
                                    <w:spacing w:before="1" w:line="183" w:lineRule="exact"/>
                                    <w:ind w:right="58"/>
                                    <w:rPr>
                                      <w:rFonts w:ascii="Arial MT"/>
                                      <w:sz w:val="16"/>
                                    </w:rPr>
                                  </w:pPr>
                                  <w:r>
                                    <w:rPr>
                                      <w:rFonts w:ascii="Arial MT"/>
                                      <w:spacing w:val="-2"/>
                                      <w:sz w:val="16"/>
                                    </w:rPr>
                                    <w:t>(8.827)</w:t>
                                  </w:r>
                                </w:p>
                                <w:p w14:paraId="59A13DFB" w14:textId="77777777" w:rsidR="002C6574" w:rsidRDefault="00000000">
                                  <w:pPr>
                                    <w:pStyle w:val="TableParagraph"/>
                                    <w:spacing w:line="183" w:lineRule="exact"/>
                                    <w:ind w:right="58"/>
                                    <w:rPr>
                                      <w:rFonts w:ascii="Arial MT"/>
                                      <w:sz w:val="16"/>
                                    </w:rPr>
                                  </w:pPr>
                                  <w:r>
                                    <w:rPr>
                                      <w:rFonts w:ascii="Arial MT"/>
                                      <w:spacing w:val="-5"/>
                                      <w:sz w:val="16"/>
                                    </w:rPr>
                                    <w:t>18</w:t>
                                  </w:r>
                                </w:p>
                                <w:p w14:paraId="19D3BCA6" w14:textId="77777777" w:rsidR="002C6574" w:rsidRDefault="00000000">
                                  <w:pPr>
                                    <w:pStyle w:val="TableParagraph"/>
                                    <w:spacing w:before="1"/>
                                    <w:ind w:right="58"/>
                                    <w:rPr>
                                      <w:rFonts w:ascii="Arial MT"/>
                                      <w:sz w:val="16"/>
                                    </w:rPr>
                                  </w:pPr>
                                  <w:r>
                                    <w:rPr>
                                      <w:rFonts w:ascii="Arial MT"/>
                                      <w:spacing w:val="-2"/>
                                      <w:sz w:val="16"/>
                                    </w:rPr>
                                    <w:t>(4.870)</w:t>
                                  </w:r>
                                </w:p>
                                <w:p w14:paraId="6AF8E672" w14:textId="77777777" w:rsidR="002C6574" w:rsidRDefault="00000000">
                                  <w:pPr>
                                    <w:pStyle w:val="TableParagraph"/>
                                    <w:spacing w:before="1" w:line="183" w:lineRule="exact"/>
                                    <w:ind w:right="58"/>
                                    <w:rPr>
                                      <w:rFonts w:ascii="Arial MT"/>
                                      <w:sz w:val="16"/>
                                    </w:rPr>
                                  </w:pPr>
                                  <w:r>
                                    <w:rPr>
                                      <w:rFonts w:ascii="Arial MT"/>
                                      <w:spacing w:val="-2"/>
                                      <w:sz w:val="16"/>
                                    </w:rPr>
                                    <w:t>(54.681)</w:t>
                                  </w:r>
                                </w:p>
                                <w:p w14:paraId="69ADA1D1" w14:textId="77777777" w:rsidR="002C6574" w:rsidRDefault="00000000">
                                  <w:pPr>
                                    <w:pStyle w:val="TableParagraph"/>
                                    <w:spacing w:line="162" w:lineRule="exact"/>
                                    <w:ind w:right="58"/>
                                    <w:rPr>
                                      <w:rFonts w:ascii="Arial MT"/>
                                      <w:sz w:val="16"/>
                                    </w:rPr>
                                  </w:pPr>
                                  <w:r>
                                    <w:rPr>
                                      <w:rFonts w:ascii="Arial MT"/>
                                      <w:spacing w:val="-2"/>
                                      <w:sz w:val="16"/>
                                    </w:rPr>
                                    <w:t>24.524</w:t>
                                  </w:r>
                                </w:p>
                              </w:tc>
                              <w:tc>
                                <w:tcPr>
                                  <w:tcW w:w="773" w:type="dxa"/>
                                  <w:tcBorders>
                                    <w:right w:val="nil"/>
                                  </w:tcBorders>
                                </w:tcPr>
                                <w:p w14:paraId="4525B940" w14:textId="77777777" w:rsidR="002C6574" w:rsidRDefault="002C6574">
                                  <w:pPr>
                                    <w:pStyle w:val="TableParagraph"/>
                                    <w:spacing w:before="1"/>
                                    <w:jc w:val="left"/>
                                    <w:rPr>
                                      <w:rFonts w:ascii="Arial"/>
                                      <w:b/>
                                      <w:sz w:val="16"/>
                                    </w:rPr>
                                  </w:pPr>
                                </w:p>
                                <w:p w14:paraId="53409C6C" w14:textId="77777777" w:rsidR="002C6574" w:rsidRDefault="00000000">
                                  <w:pPr>
                                    <w:pStyle w:val="TableParagraph"/>
                                    <w:ind w:right="67"/>
                                    <w:rPr>
                                      <w:rFonts w:ascii="Arial MT"/>
                                      <w:sz w:val="16"/>
                                    </w:rPr>
                                  </w:pPr>
                                  <w:r>
                                    <w:rPr>
                                      <w:rFonts w:ascii="Arial MT"/>
                                      <w:spacing w:val="-2"/>
                                      <w:sz w:val="16"/>
                                    </w:rPr>
                                    <w:t>(63.987)</w:t>
                                  </w:r>
                                </w:p>
                                <w:p w14:paraId="70BDC2B5" w14:textId="77777777" w:rsidR="002C6574" w:rsidRDefault="00000000">
                                  <w:pPr>
                                    <w:pStyle w:val="TableParagraph"/>
                                    <w:spacing w:before="1" w:line="183" w:lineRule="exact"/>
                                    <w:ind w:right="67"/>
                                    <w:rPr>
                                      <w:rFonts w:ascii="Arial MT"/>
                                      <w:sz w:val="16"/>
                                    </w:rPr>
                                  </w:pPr>
                                  <w:r>
                                    <w:rPr>
                                      <w:rFonts w:ascii="Arial MT"/>
                                      <w:spacing w:val="-2"/>
                                      <w:sz w:val="16"/>
                                    </w:rPr>
                                    <w:t>(7.660)</w:t>
                                  </w:r>
                                </w:p>
                                <w:p w14:paraId="3AE3940A" w14:textId="77777777" w:rsidR="002C6574" w:rsidRDefault="00000000">
                                  <w:pPr>
                                    <w:pStyle w:val="TableParagraph"/>
                                    <w:spacing w:line="183" w:lineRule="exact"/>
                                    <w:ind w:right="70"/>
                                    <w:rPr>
                                      <w:rFonts w:ascii="Arial MT"/>
                                      <w:sz w:val="16"/>
                                    </w:rPr>
                                  </w:pPr>
                                  <w:r>
                                    <w:rPr>
                                      <w:rFonts w:ascii="Arial MT"/>
                                      <w:spacing w:val="-2"/>
                                      <w:sz w:val="16"/>
                                    </w:rPr>
                                    <w:t>(394)</w:t>
                                  </w:r>
                                </w:p>
                                <w:p w14:paraId="47B307E4" w14:textId="77777777" w:rsidR="002C6574" w:rsidRDefault="00000000">
                                  <w:pPr>
                                    <w:pStyle w:val="TableParagraph"/>
                                    <w:spacing w:before="1"/>
                                    <w:ind w:right="67"/>
                                    <w:rPr>
                                      <w:rFonts w:ascii="Arial MT"/>
                                      <w:sz w:val="16"/>
                                    </w:rPr>
                                  </w:pPr>
                                  <w:r>
                                    <w:rPr>
                                      <w:rFonts w:ascii="Arial MT"/>
                                      <w:spacing w:val="-2"/>
                                      <w:sz w:val="16"/>
                                    </w:rPr>
                                    <w:t>8.081</w:t>
                                  </w:r>
                                </w:p>
                                <w:p w14:paraId="3A42A1E0" w14:textId="77777777" w:rsidR="002C6574" w:rsidRDefault="00000000">
                                  <w:pPr>
                                    <w:pStyle w:val="TableParagraph"/>
                                    <w:spacing w:before="1" w:line="183" w:lineRule="exact"/>
                                    <w:ind w:right="67"/>
                                    <w:rPr>
                                      <w:rFonts w:ascii="Arial MT"/>
                                      <w:sz w:val="16"/>
                                    </w:rPr>
                                  </w:pPr>
                                  <w:r>
                                    <w:rPr>
                                      <w:rFonts w:ascii="Arial MT"/>
                                      <w:spacing w:val="-2"/>
                                      <w:sz w:val="16"/>
                                    </w:rPr>
                                    <w:t>30.061</w:t>
                                  </w:r>
                                </w:p>
                                <w:p w14:paraId="2948E55E" w14:textId="77777777" w:rsidR="002C6574" w:rsidRDefault="00000000">
                                  <w:pPr>
                                    <w:pStyle w:val="TableParagraph"/>
                                    <w:spacing w:line="162" w:lineRule="exact"/>
                                    <w:ind w:right="67"/>
                                    <w:rPr>
                                      <w:rFonts w:ascii="Arial MT"/>
                                      <w:sz w:val="16"/>
                                    </w:rPr>
                                  </w:pPr>
                                  <w:r>
                                    <w:rPr>
                                      <w:rFonts w:ascii="Arial MT"/>
                                      <w:spacing w:val="-2"/>
                                      <w:sz w:val="16"/>
                                    </w:rPr>
                                    <w:t>(37.986)</w:t>
                                  </w:r>
                                </w:p>
                              </w:tc>
                            </w:tr>
                            <w:tr w:rsidR="002C6574" w14:paraId="27693007" w14:textId="77777777">
                              <w:trPr>
                                <w:trHeight w:val="183"/>
                              </w:trPr>
                              <w:tc>
                                <w:tcPr>
                                  <w:tcW w:w="6126" w:type="dxa"/>
                                  <w:tcBorders>
                                    <w:left w:val="nil"/>
                                  </w:tcBorders>
                                </w:tcPr>
                                <w:p w14:paraId="0918C337" w14:textId="77777777" w:rsidR="002C6574" w:rsidRDefault="00000000">
                                  <w:pPr>
                                    <w:pStyle w:val="TableParagraph"/>
                                    <w:spacing w:line="163" w:lineRule="exact"/>
                                    <w:ind w:left="292"/>
                                    <w:jc w:val="left"/>
                                    <w:rPr>
                                      <w:rFonts w:ascii="Arial"/>
                                      <w:b/>
                                      <w:sz w:val="16"/>
                                    </w:rPr>
                                  </w:pPr>
                                  <w:r>
                                    <w:rPr>
                                      <w:rFonts w:ascii="Arial"/>
                                      <w:b/>
                                      <w:spacing w:val="-2"/>
                                      <w:sz w:val="16"/>
                                    </w:rPr>
                                    <w:t>Subtotal</w:t>
                                  </w:r>
                                </w:p>
                              </w:tc>
                              <w:tc>
                                <w:tcPr>
                                  <w:tcW w:w="861" w:type="dxa"/>
                                  <w:shd w:val="clear" w:color="auto" w:fill="75F6F8"/>
                                </w:tcPr>
                                <w:p w14:paraId="1605D50C" w14:textId="77777777" w:rsidR="002C6574" w:rsidRDefault="00000000">
                                  <w:pPr>
                                    <w:pStyle w:val="TableParagraph"/>
                                    <w:spacing w:line="163" w:lineRule="exact"/>
                                    <w:ind w:left="34"/>
                                    <w:jc w:val="center"/>
                                    <w:rPr>
                                      <w:rFonts w:ascii="Arial"/>
                                      <w:b/>
                                      <w:sz w:val="16"/>
                                    </w:rPr>
                                  </w:pPr>
                                  <w:r>
                                    <w:rPr>
                                      <w:rFonts w:ascii="Arial"/>
                                      <w:b/>
                                      <w:spacing w:val="-2"/>
                                      <w:sz w:val="16"/>
                                    </w:rPr>
                                    <w:t>(111.763)</w:t>
                                  </w:r>
                                </w:p>
                              </w:tc>
                              <w:tc>
                                <w:tcPr>
                                  <w:tcW w:w="861" w:type="dxa"/>
                                </w:tcPr>
                                <w:p w14:paraId="78CAEC72" w14:textId="77777777" w:rsidR="002C6574" w:rsidRDefault="00000000">
                                  <w:pPr>
                                    <w:pStyle w:val="TableParagraph"/>
                                    <w:spacing w:line="163" w:lineRule="exact"/>
                                    <w:ind w:left="147" w:right="22"/>
                                    <w:jc w:val="center"/>
                                    <w:rPr>
                                      <w:rFonts w:ascii="Arial"/>
                                      <w:b/>
                                      <w:sz w:val="16"/>
                                    </w:rPr>
                                  </w:pPr>
                                  <w:r>
                                    <w:rPr>
                                      <w:rFonts w:ascii="Arial"/>
                                      <w:b/>
                                      <w:spacing w:val="-2"/>
                                      <w:sz w:val="16"/>
                                    </w:rPr>
                                    <w:t>(99.850)</w:t>
                                  </w:r>
                                </w:p>
                              </w:tc>
                              <w:tc>
                                <w:tcPr>
                                  <w:tcW w:w="773" w:type="dxa"/>
                                  <w:tcBorders>
                                    <w:right w:val="nil"/>
                                  </w:tcBorders>
                                </w:tcPr>
                                <w:p w14:paraId="1BDDCF5F" w14:textId="77777777" w:rsidR="002C6574" w:rsidRDefault="00000000">
                                  <w:pPr>
                                    <w:pStyle w:val="TableParagraph"/>
                                    <w:spacing w:line="163" w:lineRule="exact"/>
                                    <w:ind w:left="27"/>
                                    <w:jc w:val="center"/>
                                    <w:rPr>
                                      <w:rFonts w:ascii="Arial"/>
                                      <w:b/>
                                      <w:sz w:val="16"/>
                                    </w:rPr>
                                  </w:pPr>
                                  <w:r>
                                    <w:rPr>
                                      <w:rFonts w:ascii="Arial"/>
                                      <w:b/>
                                      <w:spacing w:val="-2"/>
                                      <w:sz w:val="16"/>
                                    </w:rPr>
                                    <w:t>(71.885)</w:t>
                                  </w:r>
                                </w:p>
                              </w:tc>
                            </w:tr>
                            <w:tr w:rsidR="002C6574" w14:paraId="670CE575" w14:textId="77777777">
                              <w:trPr>
                                <w:trHeight w:val="1288"/>
                              </w:trPr>
                              <w:tc>
                                <w:tcPr>
                                  <w:tcW w:w="6126" w:type="dxa"/>
                                  <w:tcBorders>
                                    <w:left w:val="nil"/>
                                  </w:tcBorders>
                                </w:tcPr>
                                <w:p w14:paraId="09643F15" w14:textId="77777777" w:rsidR="002C6574" w:rsidRDefault="00000000">
                                  <w:pPr>
                                    <w:pStyle w:val="TableParagraph"/>
                                    <w:ind w:left="69"/>
                                    <w:jc w:val="left"/>
                                    <w:rPr>
                                      <w:rFonts w:ascii="Arial"/>
                                      <w:b/>
                                      <w:sz w:val="16"/>
                                    </w:rPr>
                                  </w:pPr>
                                  <w:r>
                                    <w:rPr>
                                      <w:rFonts w:ascii="Arial"/>
                                      <w:b/>
                                      <w:sz w:val="16"/>
                                    </w:rPr>
                                    <w:t>Caixa</w:t>
                                  </w:r>
                                  <w:r>
                                    <w:rPr>
                                      <w:rFonts w:ascii="Arial"/>
                                      <w:b/>
                                      <w:spacing w:val="-6"/>
                                      <w:sz w:val="16"/>
                                    </w:rPr>
                                    <w:t xml:space="preserve"> </w:t>
                                  </w:r>
                                  <w:r>
                                    <w:rPr>
                                      <w:rFonts w:ascii="Arial"/>
                                      <w:b/>
                                      <w:sz w:val="16"/>
                                    </w:rPr>
                                    <w:t>Proveniente</w:t>
                                  </w:r>
                                  <w:r>
                                    <w:rPr>
                                      <w:rFonts w:ascii="Arial"/>
                                      <w:b/>
                                      <w:spacing w:val="-8"/>
                                      <w:sz w:val="16"/>
                                    </w:rPr>
                                    <w:t xml:space="preserve"> </w:t>
                                  </w:r>
                                  <w:r>
                                    <w:rPr>
                                      <w:rFonts w:ascii="Arial"/>
                                      <w:b/>
                                      <w:sz w:val="16"/>
                                    </w:rPr>
                                    <w:t>das</w:t>
                                  </w:r>
                                  <w:r>
                                    <w:rPr>
                                      <w:rFonts w:ascii="Arial"/>
                                      <w:b/>
                                      <w:spacing w:val="-7"/>
                                      <w:sz w:val="16"/>
                                    </w:rPr>
                                    <w:t xml:space="preserve"> </w:t>
                                  </w:r>
                                  <w:r>
                                    <w:rPr>
                                      <w:rFonts w:ascii="Arial"/>
                                      <w:b/>
                                      <w:sz w:val="16"/>
                                    </w:rPr>
                                    <w:t>Atividades</w:t>
                                  </w:r>
                                  <w:r>
                                    <w:rPr>
                                      <w:rFonts w:ascii="Arial"/>
                                      <w:b/>
                                      <w:spacing w:val="-5"/>
                                      <w:sz w:val="16"/>
                                    </w:rPr>
                                    <w:t xml:space="preserve"> </w:t>
                                  </w:r>
                                  <w:r>
                                    <w:rPr>
                                      <w:rFonts w:ascii="Arial"/>
                                      <w:b/>
                                      <w:spacing w:val="-2"/>
                                      <w:sz w:val="16"/>
                                    </w:rPr>
                                    <w:t>Operacionais</w:t>
                                  </w:r>
                                </w:p>
                                <w:p w14:paraId="65D4C77E" w14:textId="77777777" w:rsidR="002C6574" w:rsidRDefault="00000000">
                                  <w:pPr>
                                    <w:pStyle w:val="TableParagraph"/>
                                    <w:spacing w:before="1"/>
                                    <w:ind w:left="410" w:right="837"/>
                                    <w:jc w:val="left"/>
                                    <w:rPr>
                                      <w:rFonts w:ascii="Arial MT" w:hAnsi="Arial MT"/>
                                      <w:sz w:val="16"/>
                                    </w:rPr>
                                  </w:pPr>
                                  <w:r>
                                    <w:rPr>
                                      <w:rFonts w:ascii="Arial MT" w:hAnsi="Arial MT"/>
                                      <w:sz w:val="16"/>
                                    </w:rPr>
                                    <w:t>Pagamento</w:t>
                                  </w:r>
                                  <w:r>
                                    <w:rPr>
                                      <w:rFonts w:ascii="Arial MT" w:hAnsi="Arial MT"/>
                                      <w:spacing w:val="-4"/>
                                      <w:sz w:val="16"/>
                                    </w:rPr>
                                    <w:t xml:space="preserve"> </w:t>
                                  </w:r>
                                  <w:r>
                                    <w:rPr>
                                      <w:rFonts w:ascii="Arial MT" w:hAnsi="Arial MT"/>
                                      <w:sz w:val="16"/>
                                    </w:rPr>
                                    <w:t>de</w:t>
                                  </w:r>
                                  <w:r>
                                    <w:rPr>
                                      <w:rFonts w:ascii="Arial MT" w:hAnsi="Arial MT"/>
                                      <w:spacing w:val="-7"/>
                                      <w:sz w:val="16"/>
                                    </w:rPr>
                                    <w:t xml:space="preserve"> </w:t>
                                  </w:r>
                                  <w:r>
                                    <w:rPr>
                                      <w:rFonts w:ascii="Arial MT" w:hAnsi="Arial MT"/>
                                      <w:sz w:val="16"/>
                                    </w:rPr>
                                    <w:t>Prog.</w:t>
                                  </w:r>
                                  <w:r>
                                    <w:rPr>
                                      <w:rFonts w:ascii="Arial MT" w:hAnsi="Arial MT"/>
                                      <w:spacing w:val="-5"/>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Indenização</w:t>
                                  </w:r>
                                  <w:r>
                                    <w:rPr>
                                      <w:rFonts w:ascii="Arial MT" w:hAnsi="Arial MT"/>
                                      <w:spacing w:val="-4"/>
                                      <w:sz w:val="16"/>
                                    </w:rPr>
                                    <w:t xml:space="preserve"> </w:t>
                                  </w:r>
                                  <w:r>
                                    <w:rPr>
                                      <w:rFonts w:ascii="Arial MT" w:hAnsi="Arial MT"/>
                                      <w:sz w:val="16"/>
                                    </w:rPr>
                                    <w:t>por</w:t>
                                  </w:r>
                                  <w:r>
                                    <w:rPr>
                                      <w:rFonts w:ascii="Arial MT" w:hAnsi="Arial MT"/>
                                      <w:spacing w:val="-6"/>
                                      <w:sz w:val="16"/>
                                    </w:rPr>
                                    <w:t xml:space="preserve"> </w:t>
                                  </w:r>
                                  <w:r>
                                    <w:rPr>
                                      <w:rFonts w:ascii="Arial MT" w:hAnsi="Arial MT"/>
                                      <w:sz w:val="16"/>
                                    </w:rPr>
                                    <w:t>Serviços</w:t>
                                  </w:r>
                                  <w:r>
                                    <w:rPr>
                                      <w:rFonts w:ascii="Arial MT" w:hAnsi="Arial MT"/>
                                      <w:spacing w:val="-5"/>
                                      <w:sz w:val="16"/>
                                    </w:rPr>
                                    <w:t xml:space="preserve"> </w:t>
                                  </w:r>
                                  <w:r>
                                    <w:rPr>
                                      <w:rFonts w:ascii="Arial MT" w:hAnsi="Arial MT"/>
                                      <w:sz w:val="16"/>
                                    </w:rPr>
                                    <w:t>Prestados -</w:t>
                                  </w:r>
                                  <w:r>
                                    <w:rPr>
                                      <w:rFonts w:ascii="Arial MT" w:hAnsi="Arial MT"/>
                                      <w:spacing w:val="-6"/>
                                      <w:sz w:val="16"/>
                                    </w:rPr>
                                    <w:t xml:space="preserve"> </w:t>
                                  </w:r>
                                  <w:r>
                                    <w:rPr>
                                      <w:rFonts w:ascii="Arial MT" w:hAnsi="Arial MT"/>
                                      <w:sz w:val="16"/>
                                    </w:rPr>
                                    <w:t>PISP Pagamento de IRPJ/CSLL Estimados</w:t>
                                  </w:r>
                                </w:p>
                                <w:p w14:paraId="2EF615D3" w14:textId="77777777" w:rsidR="002C6574" w:rsidRDefault="00000000">
                                  <w:pPr>
                                    <w:pStyle w:val="TableParagraph"/>
                                    <w:spacing w:line="183" w:lineRule="exact"/>
                                    <w:ind w:left="427"/>
                                    <w:jc w:val="left"/>
                                    <w:rPr>
                                      <w:rFonts w:ascii="Arial MT" w:hAnsi="Arial MT"/>
                                      <w:sz w:val="16"/>
                                    </w:rPr>
                                  </w:pPr>
                                  <w:r>
                                    <w:rPr>
                                      <w:rFonts w:ascii="Arial MT" w:hAnsi="Arial MT"/>
                                      <w:sz w:val="16"/>
                                    </w:rPr>
                                    <w:t>Pagamento</w:t>
                                  </w:r>
                                  <w:r>
                                    <w:rPr>
                                      <w:rFonts w:ascii="Arial MT" w:hAnsi="Arial MT"/>
                                      <w:spacing w:val="-5"/>
                                      <w:sz w:val="16"/>
                                    </w:rPr>
                                    <w:t xml:space="preserve"> </w:t>
                                  </w:r>
                                  <w:r>
                                    <w:rPr>
                                      <w:rFonts w:ascii="Arial MT" w:hAnsi="Arial MT"/>
                                      <w:sz w:val="16"/>
                                    </w:rPr>
                                    <w:t>de</w:t>
                                  </w:r>
                                  <w:r>
                                    <w:rPr>
                                      <w:rFonts w:ascii="Arial MT" w:hAnsi="Arial MT"/>
                                      <w:spacing w:val="-7"/>
                                      <w:sz w:val="16"/>
                                    </w:rPr>
                                    <w:t xml:space="preserve"> </w:t>
                                  </w:r>
                                  <w:r>
                                    <w:rPr>
                                      <w:rFonts w:ascii="Arial MT" w:hAnsi="Arial MT"/>
                                      <w:sz w:val="16"/>
                                    </w:rPr>
                                    <w:t>Juros</w:t>
                                  </w:r>
                                  <w:r>
                                    <w:rPr>
                                      <w:rFonts w:ascii="Arial MT" w:hAnsi="Arial MT"/>
                                      <w:spacing w:val="-3"/>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Empréstimos</w:t>
                                  </w:r>
                                  <w:r>
                                    <w:rPr>
                                      <w:rFonts w:ascii="Arial MT" w:hAnsi="Arial MT"/>
                                      <w:spacing w:val="-5"/>
                                      <w:sz w:val="16"/>
                                    </w:rPr>
                                    <w:t xml:space="preserve"> </w:t>
                                  </w:r>
                                  <w:r>
                                    <w:rPr>
                                      <w:rFonts w:ascii="Arial MT" w:hAnsi="Arial MT"/>
                                      <w:sz w:val="16"/>
                                    </w:rPr>
                                    <w:t>e</w:t>
                                  </w:r>
                                  <w:r>
                                    <w:rPr>
                                      <w:rFonts w:ascii="Arial MT" w:hAnsi="Arial MT"/>
                                      <w:spacing w:val="-4"/>
                                      <w:sz w:val="16"/>
                                    </w:rPr>
                                    <w:t xml:space="preserve"> </w:t>
                                  </w:r>
                                  <w:r>
                                    <w:rPr>
                                      <w:rFonts w:ascii="Arial MT" w:hAnsi="Arial MT"/>
                                      <w:spacing w:val="-2"/>
                                      <w:sz w:val="16"/>
                                    </w:rPr>
                                    <w:t>Financiamentos</w:t>
                                  </w:r>
                                </w:p>
                                <w:p w14:paraId="31B00C74" w14:textId="77777777" w:rsidR="002C6574" w:rsidRDefault="00000000">
                                  <w:pPr>
                                    <w:pStyle w:val="TableParagraph"/>
                                    <w:spacing w:before="1"/>
                                    <w:ind w:left="427"/>
                                    <w:jc w:val="left"/>
                                    <w:rPr>
                                      <w:rFonts w:ascii="Arial MT"/>
                                      <w:sz w:val="16"/>
                                    </w:rPr>
                                  </w:pPr>
                                  <w:r>
                                    <w:rPr>
                                      <w:rFonts w:ascii="Arial MT"/>
                                      <w:sz w:val="16"/>
                                    </w:rPr>
                                    <w:t>Pagamento</w:t>
                                  </w:r>
                                  <w:r>
                                    <w:rPr>
                                      <w:rFonts w:ascii="Arial MT"/>
                                      <w:spacing w:val="-6"/>
                                      <w:sz w:val="16"/>
                                    </w:rPr>
                                    <w:t xml:space="preserve"> </w:t>
                                  </w:r>
                                  <w:r>
                                    <w:rPr>
                                      <w:rFonts w:ascii="Arial MT"/>
                                      <w:sz w:val="16"/>
                                    </w:rPr>
                                    <w:t>de</w:t>
                                  </w:r>
                                  <w:r>
                                    <w:rPr>
                                      <w:rFonts w:ascii="Arial MT"/>
                                      <w:spacing w:val="-8"/>
                                      <w:sz w:val="16"/>
                                    </w:rPr>
                                    <w:t xml:space="preserve"> </w:t>
                                  </w:r>
                                  <w:r>
                                    <w:rPr>
                                      <w:rFonts w:ascii="Arial MT"/>
                                      <w:sz w:val="16"/>
                                    </w:rPr>
                                    <w:t>Juros</w:t>
                                  </w:r>
                                  <w:r>
                                    <w:rPr>
                                      <w:rFonts w:ascii="Arial MT"/>
                                      <w:spacing w:val="-3"/>
                                      <w:sz w:val="16"/>
                                    </w:rPr>
                                    <w:t xml:space="preserve"> </w:t>
                                  </w:r>
                                  <w:r>
                                    <w:rPr>
                                      <w:rFonts w:ascii="Arial MT"/>
                                      <w:sz w:val="16"/>
                                    </w:rPr>
                                    <w:t>de</w:t>
                                  </w:r>
                                  <w:r>
                                    <w:rPr>
                                      <w:rFonts w:ascii="Arial MT"/>
                                      <w:spacing w:val="-8"/>
                                      <w:sz w:val="16"/>
                                    </w:rPr>
                                    <w:t xml:space="preserve"> </w:t>
                                  </w:r>
                                  <w:r>
                                    <w:rPr>
                                      <w:rFonts w:ascii="Arial MT"/>
                                      <w:sz w:val="16"/>
                                    </w:rPr>
                                    <w:t>Arrendamento</w:t>
                                  </w:r>
                                  <w:r>
                                    <w:rPr>
                                      <w:rFonts w:ascii="Arial MT"/>
                                      <w:spacing w:val="-5"/>
                                      <w:sz w:val="16"/>
                                    </w:rPr>
                                    <w:t xml:space="preserve"> </w:t>
                                  </w:r>
                                  <w:r>
                                    <w:rPr>
                                      <w:rFonts w:ascii="Arial MT"/>
                                      <w:sz w:val="16"/>
                                    </w:rPr>
                                    <w:t>Mercantil</w:t>
                                  </w:r>
                                  <w:r>
                                    <w:rPr>
                                      <w:rFonts w:ascii="Arial MT"/>
                                      <w:spacing w:val="-6"/>
                                      <w:sz w:val="16"/>
                                    </w:rPr>
                                    <w:t xml:space="preserve"> </w:t>
                                  </w:r>
                                  <w:r>
                                    <w:rPr>
                                      <w:rFonts w:ascii="Arial MT"/>
                                      <w:sz w:val="16"/>
                                    </w:rPr>
                                    <w:t>Financeiro</w:t>
                                  </w:r>
                                  <w:r>
                                    <w:rPr>
                                      <w:rFonts w:ascii="Arial MT"/>
                                      <w:spacing w:val="-3"/>
                                      <w:sz w:val="16"/>
                                    </w:rPr>
                                    <w:t xml:space="preserve"> </w:t>
                                  </w:r>
                                  <w:r>
                                    <w:rPr>
                                      <w:rFonts w:ascii="Arial MT"/>
                                      <w:sz w:val="16"/>
                                    </w:rPr>
                                    <w:t>-</w:t>
                                  </w:r>
                                  <w:r>
                                    <w:rPr>
                                      <w:rFonts w:ascii="Arial MT"/>
                                      <w:spacing w:val="-7"/>
                                      <w:sz w:val="16"/>
                                    </w:rPr>
                                    <w:t xml:space="preserve"> </w:t>
                                  </w:r>
                                  <w:r>
                                    <w:rPr>
                                      <w:rFonts w:ascii="Arial MT"/>
                                      <w:sz w:val="16"/>
                                    </w:rPr>
                                    <w:t>IFRS</w:t>
                                  </w:r>
                                  <w:r>
                                    <w:rPr>
                                      <w:rFonts w:ascii="Arial MT"/>
                                      <w:spacing w:val="-4"/>
                                      <w:sz w:val="16"/>
                                    </w:rPr>
                                    <w:t xml:space="preserve"> </w:t>
                                  </w:r>
                                  <w:r>
                                    <w:rPr>
                                      <w:rFonts w:ascii="Arial MT"/>
                                      <w:spacing w:val="-5"/>
                                      <w:sz w:val="16"/>
                                    </w:rPr>
                                    <w:t>16</w:t>
                                  </w:r>
                                </w:p>
                                <w:p w14:paraId="49DA9EF3" w14:textId="77777777" w:rsidR="002C6574" w:rsidRDefault="00000000">
                                  <w:pPr>
                                    <w:pStyle w:val="TableParagraph"/>
                                    <w:spacing w:line="182" w:lineRule="exact"/>
                                    <w:ind w:left="427" w:right="837"/>
                                    <w:jc w:val="left"/>
                                    <w:rPr>
                                      <w:rFonts w:ascii="Arial MT" w:hAnsi="Arial MT"/>
                                      <w:sz w:val="16"/>
                                    </w:rPr>
                                  </w:pPr>
                                  <w:r>
                                    <w:rPr>
                                      <w:rFonts w:ascii="Arial MT" w:hAnsi="Arial MT"/>
                                      <w:sz w:val="16"/>
                                    </w:rPr>
                                    <w:t>Pagamento</w:t>
                                  </w:r>
                                  <w:r>
                                    <w:rPr>
                                      <w:rFonts w:ascii="Arial MT" w:hAnsi="Arial MT"/>
                                      <w:spacing w:val="-5"/>
                                      <w:sz w:val="16"/>
                                    </w:rPr>
                                    <w:t xml:space="preserve"> </w:t>
                                  </w:r>
                                  <w:r>
                                    <w:rPr>
                                      <w:rFonts w:ascii="Arial MT" w:hAnsi="Arial MT"/>
                                      <w:sz w:val="16"/>
                                    </w:rPr>
                                    <w:t>de</w:t>
                                  </w:r>
                                  <w:r>
                                    <w:rPr>
                                      <w:rFonts w:ascii="Arial MT" w:hAnsi="Arial MT"/>
                                      <w:spacing w:val="-8"/>
                                      <w:sz w:val="16"/>
                                    </w:rPr>
                                    <w:t xml:space="preserve"> </w:t>
                                  </w:r>
                                  <w:r>
                                    <w:rPr>
                                      <w:rFonts w:ascii="Arial MT" w:hAnsi="Arial MT"/>
                                      <w:sz w:val="16"/>
                                    </w:rPr>
                                    <w:t>Causas</w:t>
                                  </w:r>
                                  <w:r>
                                    <w:rPr>
                                      <w:rFonts w:ascii="Arial MT" w:hAnsi="Arial MT"/>
                                      <w:spacing w:val="-6"/>
                                      <w:sz w:val="16"/>
                                    </w:rPr>
                                    <w:t xml:space="preserve"> </w:t>
                                  </w:r>
                                  <w:r>
                                    <w:rPr>
                                      <w:rFonts w:ascii="Arial MT" w:hAnsi="Arial MT"/>
                                      <w:sz w:val="16"/>
                                    </w:rPr>
                                    <w:t>Judiciais</w:t>
                                  </w:r>
                                  <w:r>
                                    <w:rPr>
                                      <w:rFonts w:ascii="Arial MT" w:hAnsi="Arial MT"/>
                                      <w:spacing w:val="-2"/>
                                      <w:sz w:val="16"/>
                                    </w:rPr>
                                    <w:t xml:space="preserve"> </w:t>
                                  </w:r>
                                  <w:r>
                                    <w:rPr>
                                      <w:rFonts w:ascii="Arial MT" w:hAnsi="Arial MT"/>
                                      <w:sz w:val="16"/>
                                    </w:rPr>
                                    <w:t>-</w:t>
                                  </w:r>
                                  <w:r>
                                    <w:rPr>
                                      <w:rFonts w:ascii="Arial MT" w:hAnsi="Arial MT"/>
                                      <w:spacing w:val="-7"/>
                                      <w:sz w:val="16"/>
                                    </w:rPr>
                                    <w:t xml:space="preserve"> </w:t>
                                  </w:r>
                                  <w:r>
                                    <w:rPr>
                                      <w:rFonts w:ascii="Arial MT" w:hAnsi="Arial MT"/>
                                      <w:sz w:val="16"/>
                                    </w:rPr>
                                    <w:t>Trabalhistas,</w:t>
                                  </w:r>
                                  <w:r>
                                    <w:rPr>
                                      <w:rFonts w:ascii="Arial MT" w:hAnsi="Arial MT"/>
                                      <w:spacing w:val="-4"/>
                                      <w:sz w:val="16"/>
                                    </w:rPr>
                                    <w:t xml:space="preserve"> </w:t>
                                  </w:r>
                                  <w:r>
                                    <w:rPr>
                                      <w:rFonts w:ascii="Arial MT" w:hAnsi="Arial MT"/>
                                      <w:sz w:val="16"/>
                                    </w:rPr>
                                    <w:t>Cíveis</w:t>
                                  </w:r>
                                  <w:r>
                                    <w:rPr>
                                      <w:rFonts w:ascii="Arial MT" w:hAnsi="Arial MT"/>
                                      <w:spacing w:val="-6"/>
                                      <w:sz w:val="16"/>
                                    </w:rPr>
                                    <w:t xml:space="preserve"> </w:t>
                                  </w:r>
                                  <w:r>
                                    <w:rPr>
                                      <w:rFonts w:ascii="Arial MT" w:hAnsi="Arial MT"/>
                                      <w:sz w:val="16"/>
                                    </w:rPr>
                                    <w:t>e</w:t>
                                  </w:r>
                                  <w:r>
                                    <w:rPr>
                                      <w:rFonts w:ascii="Arial MT" w:hAnsi="Arial MT"/>
                                      <w:spacing w:val="-5"/>
                                      <w:sz w:val="16"/>
                                    </w:rPr>
                                    <w:t xml:space="preserve"> </w:t>
                                  </w:r>
                                  <w:r>
                                    <w:rPr>
                                      <w:rFonts w:ascii="Arial MT" w:hAnsi="Arial MT"/>
                                      <w:sz w:val="16"/>
                                    </w:rPr>
                                    <w:t>Tributárias Pagamento de Acordos Judiciais - Encargos</w:t>
                                  </w:r>
                                </w:p>
                              </w:tc>
                              <w:tc>
                                <w:tcPr>
                                  <w:tcW w:w="861" w:type="dxa"/>
                                  <w:shd w:val="clear" w:color="auto" w:fill="75F6F8"/>
                                </w:tcPr>
                                <w:p w14:paraId="63109DD4" w14:textId="77777777" w:rsidR="002C6574" w:rsidRDefault="002C6574">
                                  <w:pPr>
                                    <w:pStyle w:val="TableParagraph"/>
                                    <w:spacing w:before="1"/>
                                    <w:jc w:val="left"/>
                                    <w:rPr>
                                      <w:rFonts w:ascii="Arial"/>
                                      <w:b/>
                                      <w:sz w:val="16"/>
                                    </w:rPr>
                                  </w:pPr>
                                </w:p>
                                <w:p w14:paraId="0F83A7C8" w14:textId="77777777" w:rsidR="002C6574" w:rsidRDefault="00000000">
                                  <w:pPr>
                                    <w:pStyle w:val="TableParagraph"/>
                                    <w:ind w:right="58"/>
                                    <w:rPr>
                                      <w:rFonts w:ascii="Arial MT"/>
                                      <w:sz w:val="16"/>
                                    </w:rPr>
                                  </w:pPr>
                                  <w:r>
                                    <w:rPr>
                                      <w:rFonts w:ascii="Arial MT"/>
                                      <w:spacing w:val="-2"/>
                                      <w:sz w:val="16"/>
                                    </w:rPr>
                                    <w:t>(2.597)</w:t>
                                  </w:r>
                                </w:p>
                                <w:p w14:paraId="48C86E5C" w14:textId="77777777" w:rsidR="002C6574" w:rsidRDefault="00000000">
                                  <w:pPr>
                                    <w:pStyle w:val="TableParagraph"/>
                                    <w:spacing w:before="1" w:line="183" w:lineRule="exact"/>
                                    <w:ind w:right="56"/>
                                    <w:rPr>
                                      <w:rFonts w:ascii="Arial MT"/>
                                      <w:sz w:val="16"/>
                                    </w:rPr>
                                  </w:pPr>
                                  <w:r>
                                    <w:rPr>
                                      <w:rFonts w:ascii="Arial MT"/>
                                      <w:spacing w:val="-10"/>
                                      <w:sz w:val="16"/>
                                    </w:rPr>
                                    <w:t>-</w:t>
                                  </w:r>
                                </w:p>
                                <w:p w14:paraId="4C3E9CEF" w14:textId="77777777" w:rsidR="002C6574" w:rsidRDefault="00000000">
                                  <w:pPr>
                                    <w:pStyle w:val="TableParagraph"/>
                                    <w:ind w:left="405" w:right="56" w:firstLine="324"/>
                                    <w:rPr>
                                      <w:rFonts w:ascii="Arial MT"/>
                                      <w:sz w:val="16"/>
                                    </w:rPr>
                                  </w:pPr>
                                  <w:r>
                                    <w:rPr>
                                      <w:rFonts w:ascii="Arial MT"/>
                                      <w:spacing w:val="-10"/>
                                      <w:sz w:val="16"/>
                                    </w:rPr>
                                    <w:t>-</w:t>
                                  </w:r>
                                  <w:r>
                                    <w:rPr>
                                      <w:rFonts w:ascii="Arial MT"/>
                                      <w:spacing w:val="-2"/>
                                      <w:sz w:val="16"/>
                                    </w:rPr>
                                    <w:t xml:space="preserve"> (283)</w:t>
                                  </w:r>
                                </w:p>
                                <w:p w14:paraId="19174AAD" w14:textId="77777777" w:rsidR="002C6574" w:rsidRDefault="00000000">
                                  <w:pPr>
                                    <w:pStyle w:val="TableParagraph"/>
                                    <w:spacing w:before="1" w:line="183" w:lineRule="exact"/>
                                    <w:ind w:right="58"/>
                                    <w:rPr>
                                      <w:rFonts w:ascii="Arial MT"/>
                                      <w:sz w:val="16"/>
                                    </w:rPr>
                                  </w:pPr>
                                  <w:r>
                                    <w:rPr>
                                      <w:rFonts w:ascii="Arial MT"/>
                                      <w:spacing w:val="-2"/>
                                      <w:sz w:val="16"/>
                                    </w:rPr>
                                    <w:t>(2.277)</w:t>
                                  </w:r>
                                </w:p>
                                <w:p w14:paraId="2D989E20" w14:textId="77777777" w:rsidR="002C6574" w:rsidRDefault="00000000">
                                  <w:pPr>
                                    <w:pStyle w:val="TableParagraph"/>
                                    <w:spacing w:line="162" w:lineRule="exact"/>
                                    <w:ind w:right="61"/>
                                    <w:rPr>
                                      <w:rFonts w:ascii="Arial MT"/>
                                      <w:sz w:val="16"/>
                                    </w:rPr>
                                  </w:pPr>
                                  <w:r>
                                    <w:rPr>
                                      <w:rFonts w:ascii="Arial MT"/>
                                      <w:spacing w:val="-2"/>
                                      <w:sz w:val="16"/>
                                    </w:rPr>
                                    <w:t>(231)</w:t>
                                  </w:r>
                                </w:p>
                              </w:tc>
                              <w:tc>
                                <w:tcPr>
                                  <w:tcW w:w="861" w:type="dxa"/>
                                </w:tcPr>
                                <w:p w14:paraId="52F6EBD8" w14:textId="77777777" w:rsidR="002C6574" w:rsidRDefault="002C6574">
                                  <w:pPr>
                                    <w:pStyle w:val="TableParagraph"/>
                                    <w:spacing w:before="1"/>
                                    <w:jc w:val="left"/>
                                    <w:rPr>
                                      <w:rFonts w:ascii="Arial"/>
                                      <w:b/>
                                      <w:sz w:val="16"/>
                                    </w:rPr>
                                  </w:pPr>
                                </w:p>
                                <w:p w14:paraId="65C29C7A" w14:textId="77777777" w:rsidR="002C6574" w:rsidRDefault="00000000">
                                  <w:pPr>
                                    <w:pStyle w:val="TableParagraph"/>
                                    <w:ind w:right="61"/>
                                    <w:rPr>
                                      <w:rFonts w:ascii="Arial MT"/>
                                      <w:sz w:val="16"/>
                                    </w:rPr>
                                  </w:pPr>
                                  <w:r>
                                    <w:rPr>
                                      <w:rFonts w:ascii="Arial MT"/>
                                      <w:spacing w:val="-2"/>
                                      <w:sz w:val="16"/>
                                    </w:rPr>
                                    <w:t>(909)</w:t>
                                  </w:r>
                                </w:p>
                                <w:p w14:paraId="75F9DA72" w14:textId="77777777" w:rsidR="002C6574" w:rsidRDefault="00000000">
                                  <w:pPr>
                                    <w:pStyle w:val="TableParagraph"/>
                                    <w:spacing w:before="1"/>
                                    <w:ind w:left="405" w:right="55" w:firstLine="324"/>
                                    <w:rPr>
                                      <w:rFonts w:ascii="Arial MT"/>
                                      <w:sz w:val="16"/>
                                    </w:rPr>
                                  </w:pPr>
                                  <w:r>
                                    <w:rPr>
                                      <w:rFonts w:ascii="Arial MT"/>
                                      <w:spacing w:val="-10"/>
                                      <w:sz w:val="16"/>
                                    </w:rPr>
                                    <w:t>-</w:t>
                                  </w:r>
                                  <w:r>
                                    <w:rPr>
                                      <w:rFonts w:ascii="Arial MT"/>
                                      <w:spacing w:val="-2"/>
                                      <w:sz w:val="16"/>
                                    </w:rPr>
                                    <w:t xml:space="preserve"> (399)</w:t>
                                  </w:r>
                                </w:p>
                                <w:p w14:paraId="0D3E375C" w14:textId="77777777" w:rsidR="002C6574" w:rsidRDefault="00000000">
                                  <w:pPr>
                                    <w:pStyle w:val="TableParagraph"/>
                                    <w:spacing w:line="183" w:lineRule="exact"/>
                                    <w:ind w:right="61"/>
                                    <w:rPr>
                                      <w:rFonts w:ascii="Arial MT"/>
                                      <w:sz w:val="16"/>
                                    </w:rPr>
                                  </w:pPr>
                                  <w:r>
                                    <w:rPr>
                                      <w:rFonts w:ascii="Arial MT"/>
                                      <w:spacing w:val="-2"/>
                                      <w:sz w:val="16"/>
                                    </w:rPr>
                                    <w:t>(160)</w:t>
                                  </w:r>
                                </w:p>
                                <w:p w14:paraId="26DE8649" w14:textId="77777777" w:rsidR="002C6574" w:rsidRDefault="00000000">
                                  <w:pPr>
                                    <w:pStyle w:val="TableParagraph"/>
                                    <w:spacing w:before="1" w:line="183" w:lineRule="exact"/>
                                    <w:ind w:right="61"/>
                                    <w:rPr>
                                      <w:rFonts w:ascii="Arial MT"/>
                                      <w:sz w:val="16"/>
                                    </w:rPr>
                                  </w:pPr>
                                  <w:r>
                                    <w:rPr>
                                      <w:rFonts w:ascii="Arial MT"/>
                                      <w:spacing w:val="-4"/>
                                      <w:sz w:val="16"/>
                                    </w:rPr>
                                    <w:t>(20)</w:t>
                                  </w:r>
                                </w:p>
                                <w:p w14:paraId="41D26B65" w14:textId="77777777" w:rsidR="002C6574" w:rsidRDefault="00000000">
                                  <w:pPr>
                                    <w:pStyle w:val="TableParagraph"/>
                                    <w:spacing w:line="162" w:lineRule="exact"/>
                                    <w:ind w:right="58"/>
                                    <w:rPr>
                                      <w:rFonts w:ascii="Arial MT"/>
                                      <w:sz w:val="16"/>
                                    </w:rPr>
                                  </w:pPr>
                                  <w:r>
                                    <w:rPr>
                                      <w:rFonts w:ascii="Arial MT"/>
                                      <w:spacing w:val="-2"/>
                                      <w:sz w:val="16"/>
                                    </w:rPr>
                                    <w:t>(3.526)</w:t>
                                  </w:r>
                                </w:p>
                              </w:tc>
                              <w:tc>
                                <w:tcPr>
                                  <w:tcW w:w="773" w:type="dxa"/>
                                  <w:tcBorders>
                                    <w:right w:val="nil"/>
                                  </w:tcBorders>
                                </w:tcPr>
                                <w:p w14:paraId="406EE978" w14:textId="77777777" w:rsidR="002C6574" w:rsidRDefault="002C6574">
                                  <w:pPr>
                                    <w:pStyle w:val="TableParagraph"/>
                                    <w:spacing w:before="1"/>
                                    <w:jc w:val="left"/>
                                    <w:rPr>
                                      <w:rFonts w:ascii="Arial"/>
                                      <w:b/>
                                      <w:sz w:val="16"/>
                                    </w:rPr>
                                  </w:pPr>
                                </w:p>
                                <w:p w14:paraId="79FF6A05" w14:textId="77777777" w:rsidR="002C6574" w:rsidRDefault="00000000">
                                  <w:pPr>
                                    <w:pStyle w:val="TableParagraph"/>
                                    <w:ind w:right="70"/>
                                    <w:rPr>
                                      <w:rFonts w:ascii="Arial MT"/>
                                      <w:sz w:val="16"/>
                                    </w:rPr>
                                  </w:pPr>
                                  <w:r>
                                    <w:rPr>
                                      <w:rFonts w:ascii="Arial MT"/>
                                      <w:spacing w:val="-2"/>
                                      <w:sz w:val="16"/>
                                    </w:rPr>
                                    <w:t>(471)</w:t>
                                  </w:r>
                                </w:p>
                                <w:p w14:paraId="56934251" w14:textId="77777777" w:rsidR="002C6574" w:rsidRDefault="00000000">
                                  <w:pPr>
                                    <w:pStyle w:val="TableParagraph"/>
                                    <w:spacing w:before="1"/>
                                    <w:ind w:left="498" w:right="67" w:firstLine="141"/>
                                    <w:rPr>
                                      <w:rFonts w:ascii="Arial MT"/>
                                      <w:sz w:val="16"/>
                                    </w:rPr>
                                  </w:pPr>
                                  <w:r>
                                    <w:rPr>
                                      <w:rFonts w:ascii="Arial MT"/>
                                      <w:spacing w:val="-10"/>
                                      <w:sz w:val="16"/>
                                    </w:rPr>
                                    <w:t>-</w:t>
                                  </w:r>
                                  <w:r>
                                    <w:rPr>
                                      <w:rFonts w:ascii="Arial MT"/>
                                      <w:sz w:val="16"/>
                                    </w:rPr>
                                    <w:t xml:space="preserve"> </w:t>
                                  </w:r>
                                  <w:r>
                                    <w:rPr>
                                      <w:rFonts w:ascii="Arial MT"/>
                                      <w:spacing w:val="-5"/>
                                      <w:sz w:val="16"/>
                                    </w:rPr>
                                    <w:t>(1)</w:t>
                                  </w:r>
                                </w:p>
                                <w:p w14:paraId="6A640B0B" w14:textId="77777777" w:rsidR="002C6574" w:rsidRDefault="00000000">
                                  <w:pPr>
                                    <w:pStyle w:val="TableParagraph"/>
                                    <w:spacing w:line="183" w:lineRule="exact"/>
                                    <w:ind w:right="70"/>
                                    <w:rPr>
                                      <w:rFonts w:ascii="Arial MT"/>
                                      <w:sz w:val="16"/>
                                    </w:rPr>
                                  </w:pPr>
                                  <w:r>
                                    <w:rPr>
                                      <w:rFonts w:ascii="Arial MT"/>
                                      <w:spacing w:val="-2"/>
                                      <w:sz w:val="16"/>
                                    </w:rPr>
                                    <w:t>(132)</w:t>
                                  </w:r>
                                </w:p>
                                <w:p w14:paraId="1B089B3C" w14:textId="77777777" w:rsidR="002C6574" w:rsidRDefault="00000000">
                                  <w:pPr>
                                    <w:pStyle w:val="TableParagraph"/>
                                    <w:spacing w:before="1" w:line="183" w:lineRule="exact"/>
                                    <w:ind w:right="70"/>
                                    <w:rPr>
                                      <w:rFonts w:ascii="Arial MT"/>
                                      <w:sz w:val="16"/>
                                    </w:rPr>
                                  </w:pPr>
                                  <w:r>
                                    <w:rPr>
                                      <w:rFonts w:ascii="Arial MT"/>
                                      <w:spacing w:val="-2"/>
                                      <w:sz w:val="16"/>
                                    </w:rPr>
                                    <w:t>(288)</w:t>
                                  </w:r>
                                </w:p>
                                <w:p w14:paraId="34381867" w14:textId="77777777" w:rsidR="002C6574" w:rsidRDefault="00000000">
                                  <w:pPr>
                                    <w:pStyle w:val="TableParagraph"/>
                                    <w:spacing w:line="162" w:lineRule="exact"/>
                                    <w:ind w:right="67"/>
                                    <w:rPr>
                                      <w:rFonts w:ascii="Arial MT"/>
                                      <w:sz w:val="16"/>
                                    </w:rPr>
                                  </w:pPr>
                                  <w:r>
                                    <w:rPr>
                                      <w:rFonts w:ascii="Arial MT"/>
                                      <w:spacing w:val="-2"/>
                                      <w:sz w:val="16"/>
                                    </w:rPr>
                                    <w:t>(2.823)</w:t>
                                  </w:r>
                                </w:p>
                              </w:tc>
                            </w:tr>
                            <w:tr w:rsidR="002C6574" w14:paraId="5E887499" w14:textId="77777777">
                              <w:trPr>
                                <w:trHeight w:val="183"/>
                              </w:trPr>
                              <w:tc>
                                <w:tcPr>
                                  <w:tcW w:w="6126" w:type="dxa"/>
                                  <w:tcBorders>
                                    <w:left w:val="nil"/>
                                  </w:tcBorders>
                                </w:tcPr>
                                <w:p w14:paraId="74CBA2A0" w14:textId="77777777" w:rsidR="002C6574" w:rsidRDefault="00000000">
                                  <w:pPr>
                                    <w:pStyle w:val="TableParagraph"/>
                                    <w:spacing w:line="163" w:lineRule="exact"/>
                                    <w:ind w:left="292"/>
                                    <w:jc w:val="left"/>
                                    <w:rPr>
                                      <w:rFonts w:ascii="Arial"/>
                                      <w:b/>
                                      <w:sz w:val="16"/>
                                    </w:rPr>
                                  </w:pPr>
                                  <w:r>
                                    <w:rPr>
                                      <w:rFonts w:ascii="Arial"/>
                                      <w:b/>
                                      <w:spacing w:val="-2"/>
                                      <w:sz w:val="16"/>
                                    </w:rPr>
                                    <w:t>Subtotal</w:t>
                                  </w:r>
                                </w:p>
                              </w:tc>
                              <w:tc>
                                <w:tcPr>
                                  <w:tcW w:w="861" w:type="dxa"/>
                                  <w:shd w:val="clear" w:color="auto" w:fill="75F6F8"/>
                                </w:tcPr>
                                <w:p w14:paraId="432ACE42" w14:textId="77777777" w:rsidR="002C6574" w:rsidRDefault="00000000">
                                  <w:pPr>
                                    <w:pStyle w:val="TableParagraph"/>
                                    <w:spacing w:line="163" w:lineRule="exact"/>
                                    <w:ind w:left="236" w:right="24"/>
                                    <w:jc w:val="center"/>
                                    <w:rPr>
                                      <w:rFonts w:ascii="Arial"/>
                                      <w:b/>
                                      <w:sz w:val="16"/>
                                    </w:rPr>
                                  </w:pPr>
                                  <w:r>
                                    <w:rPr>
                                      <w:rFonts w:ascii="Arial"/>
                                      <w:b/>
                                      <w:spacing w:val="-2"/>
                                      <w:sz w:val="16"/>
                                    </w:rPr>
                                    <w:t>(5.388)</w:t>
                                  </w:r>
                                </w:p>
                              </w:tc>
                              <w:tc>
                                <w:tcPr>
                                  <w:tcW w:w="861" w:type="dxa"/>
                                </w:tcPr>
                                <w:p w14:paraId="5C3796D0" w14:textId="77777777" w:rsidR="002C6574" w:rsidRDefault="00000000">
                                  <w:pPr>
                                    <w:pStyle w:val="TableParagraph"/>
                                    <w:spacing w:line="163" w:lineRule="exact"/>
                                    <w:ind w:left="236" w:right="23"/>
                                    <w:jc w:val="center"/>
                                    <w:rPr>
                                      <w:rFonts w:ascii="Arial"/>
                                      <w:b/>
                                      <w:sz w:val="16"/>
                                    </w:rPr>
                                  </w:pPr>
                                  <w:r>
                                    <w:rPr>
                                      <w:rFonts w:ascii="Arial"/>
                                      <w:b/>
                                      <w:spacing w:val="-2"/>
                                      <w:sz w:val="16"/>
                                    </w:rPr>
                                    <w:t>(5.014)</w:t>
                                  </w:r>
                                </w:p>
                              </w:tc>
                              <w:tc>
                                <w:tcPr>
                                  <w:tcW w:w="773" w:type="dxa"/>
                                  <w:tcBorders>
                                    <w:right w:val="nil"/>
                                  </w:tcBorders>
                                </w:tcPr>
                                <w:p w14:paraId="5BA1856C" w14:textId="77777777" w:rsidR="002C6574" w:rsidRDefault="00000000">
                                  <w:pPr>
                                    <w:pStyle w:val="TableParagraph"/>
                                    <w:spacing w:line="163" w:lineRule="exact"/>
                                    <w:ind w:left="133" w:right="17"/>
                                    <w:jc w:val="center"/>
                                    <w:rPr>
                                      <w:rFonts w:ascii="Arial"/>
                                      <w:b/>
                                      <w:sz w:val="16"/>
                                    </w:rPr>
                                  </w:pPr>
                                  <w:r>
                                    <w:rPr>
                                      <w:rFonts w:ascii="Arial"/>
                                      <w:b/>
                                      <w:spacing w:val="-2"/>
                                      <w:sz w:val="16"/>
                                    </w:rPr>
                                    <w:t>(3.715)</w:t>
                                  </w:r>
                                </w:p>
                              </w:tc>
                            </w:tr>
                            <w:tr w:rsidR="002C6574" w14:paraId="2D0FD17A" w14:textId="77777777">
                              <w:trPr>
                                <w:trHeight w:val="183"/>
                              </w:trPr>
                              <w:tc>
                                <w:tcPr>
                                  <w:tcW w:w="6126" w:type="dxa"/>
                                  <w:tcBorders>
                                    <w:left w:val="nil"/>
                                    <w:bottom w:val="single" w:sz="8" w:space="0" w:color="3616F6"/>
                                  </w:tcBorders>
                                  <w:shd w:val="clear" w:color="auto" w:fill="75F6F8"/>
                                </w:tcPr>
                                <w:p w14:paraId="33EDEECB" w14:textId="77777777" w:rsidR="002C6574" w:rsidRDefault="00000000">
                                  <w:pPr>
                                    <w:pStyle w:val="TableParagraph"/>
                                    <w:spacing w:line="163" w:lineRule="exact"/>
                                    <w:ind w:left="69"/>
                                    <w:jc w:val="left"/>
                                    <w:rPr>
                                      <w:rFonts w:ascii="Arial" w:hAnsi="Arial"/>
                                      <w:b/>
                                      <w:sz w:val="16"/>
                                    </w:rPr>
                                  </w:pPr>
                                  <w:r>
                                    <w:rPr>
                                      <w:rFonts w:ascii="Arial" w:hAnsi="Arial"/>
                                      <w:b/>
                                      <w:sz w:val="16"/>
                                    </w:rPr>
                                    <w:t>Caixa</w:t>
                                  </w:r>
                                  <w:r>
                                    <w:rPr>
                                      <w:rFonts w:ascii="Arial" w:hAnsi="Arial"/>
                                      <w:b/>
                                      <w:spacing w:val="-7"/>
                                      <w:sz w:val="16"/>
                                    </w:rPr>
                                    <w:t xml:space="preserve"> </w:t>
                                  </w:r>
                                  <w:r>
                                    <w:rPr>
                                      <w:rFonts w:ascii="Arial" w:hAnsi="Arial"/>
                                      <w:b/>
                                      <w:sz w:val="16"/>
                                    </w:rPr>
                                    <w:t>Líquido</w:t>
                                  </w:r>
                                  <w:r>
                                    <w:rPr>
                                      <w:rFonts w:ascii="Arial" w:hAnsi="Arial"/>
                                      <w:b/>
                                      <w:spacing w:val="-7"/>
                                      <w:sz w:val="16"/>
                                    </w:rPr>
                                    <w:t xml:space="preserve"> </w:t>
                                  </w:r>
                                  <w:r>
                                    <w:rPr>
                                      <w:rFonts w:ascii="Arial" w:hAnsi="Arial"/>
                                      <w:b/>
                                      <w:sz w:val="16"/>
                                    </w:rPr>
                                    <w:t>Gerado/(Consumido)</w:t>
                                  </w:r>
                                  <w:r>
                                    <w:rPr>
                                      <w:rFonts w:ascii="Arial" w:hAnsi="Arial"/>
                                      <w:b/>
                                      <w:spacing w:val="-6"/>
                                      <w:sz w:val="16"/>
                                    </w:rPr>
                                    <w:t xml:space="preserve"> </w:t>
                                  </w:r>
                                  <w:r>
                                    <w:rPr>
                                      <w:rFonts w:ascii="Arial" w:hAnsi="Arial"/>
                                      <w:b/>
                                      <w:sz w:val="16"/>
                                    </w:rPr>
                                    <w:t>pelas</w:t>
                                  </w:r>
                                  <w:r>
                                    <w:rPr>
                                      <w:rFonts w:ascii="Arial" w:hAnsi="Arial"/>
                                      <w:b/>
                                      <w:spacing w:val="-9"/>
                                      <w:sz w:val="16"/>
                                    </w:rPr>
                                    <w:t xml:space="preserve"> </w:t>
                                  </w:r>
                                  <w:r>
                                    <w:rPr>
                                      <w:rFonts w:ascii="Arial" w:hAnsi="Arial"/>
                                      <w:b/>
                                      <w:sz w:val="16"/>
                                    </w:rPr>
                                    <w:t>Atividades</w:t>
                                  </w:r>
                                  <w:r>
                                    <w:rPr>
                                      <w:rFonts w:ascii="Arial" w:hAnsi="Arial"/>
                                      <w:b/>
                                      <w:spacing w:val="-6"/>
                                      <w:sz w:val="16"/>
                                    </w:rPr>
                                    <w:t xml:space="preserve"> </w:t>
                                  </w:r>
                                  <w:r>
                                    <w:rPr>
                                      <w:rFonts w:ascii="Arial" w:hAnsi="Arial"/>
                                      <w:b/>
                                      <w:spacing w:val="-2"/>
                                      <w:sz w:val="16"/>
                                    </w:rPr>
                                    <w:t>Operacionais</w:t>
                                  </w:r>
                                </w:p>
                              </w:tc>
                              <w:tc>
                                <w:tcPr>
                                  <w:tcW w:w="861" w:type="dxa"/>
                                  <w:tcBorders>
                                    <w:bottom w:val="single" w:sz="8" w:space="0" w:color="3616F6"/>
                                  </w:tcBorders>
                                  <w:shd w:val="clear" w:color="auto" w:fill="75F6F8"/>
                                </w:tcPr>
                                <w:p w14:paraId="49EEBA16" w14:textId="77777777" w:rsidR="002C6574" w:rsidRDefault="00000000">
                                  <w:pPr>
                                    <w:pStyle w:val="TableParagraph"/>
                                    <w:spacing w:line="163" w:lineRule="exact"/>
                                    <w:ind w:left="147" w:right="24"/>
                                    <w:jc w:val="center"/>
                                    <w:rPr>
                                      <w:rFonts w:ascii="Arial"/>
                                      <w:b/>
                                      <w:sz w:val="16"/>
                                    </w:rPr>
                                  </w:pPr>
                                  <w:r>
                                    <w:rPr>
                                      <w:rFonts w:ascii="Arial"/>
                                      <w:b/>
                                      <w:spacing w:val="-2"/>
                                      <w:sz w:val="16"/>
                                    </w:rPr>
                                    <w:t>(55.468)</w:t>
                                  </w:r>
                                </w:p>
                              </w:tc>
                              <w:tc>
                                <w:tcPr>
                                  <w:tcW w:w="861" w:type="dxa"/>
                                  <w:tcBorders>
                                    <w:bottom w:val="single" w:sz="8" w:space="0" w:color="3616F6"/>
                                  </w:tcBorders>
                                </w:tcPr>
                                <w:p w14:paraId="6665BDC0" w14:textId="77777777" w:rsidR="002C6574" w:rsidRDefault="00000000">
                                  <w:pPr>
                                    <w:pStyle w:val="TableParagraph"/>
                                    <w:spacing w:line="163" w:lineRule="exact"/>
                                    <w:ind w:left="147" w:right="22"/>
                                    <w:jc w:val="center"/>
                                    <w:rPr>
                                      <w:rFonts w:ascii="Arial"/>
                                      <w:b/>
                                      <w:sz w:val="16"/>
                                    </w:rPr>
                                  </w:pPr>
                                  <w:r>
                                    <w:rPr>
                                      <w:rFonts w:ascii="Arial"/>
                                      <w:b/>
                                      <w:spacing w:val="-2"/>
                                      <w:sz w:val="16"/>
                                    </w:rPr>
                                    <w:t>(62.591)</w:t>
                                  </w:r>
                                </w:p>
                              </w:tc>
                              <w:tc>
                                <w:tcPr>
                                  <w:tcW w:w="773" w:type="dxa"/>
                                  <w:tcBorders>
                                    <w:bottom w:val="single" w:sz="8" w:space="0" w:color="3616F6"/>
                                    <w:right w:val="nil"/>
                                  </w:tcBorders>
                                </w:tcPr>
                                <w:p w14:paraId="682D4DD5" w14:textId="77777777" w:rsidR="002C6574" w:rsidRDefault="00000000">
                                  <w:pPr>
                                    <w:pStyle w:val="TableParagraph"/>
                                    <w:spacing w:line="163" w:lineRule="exact"/>
                                    <w:ind w:left="133" w:right="17"/>
                                    <w:jc w:val="center"/>
                                    <w:rPr>
                                      <w:rFonts w:ascii="Arial"/>
                                      <w:b/>
                                      <w:sz w:val="16"/>
                                    </w:rPr>
                                  </w:pPr>
                                  <w:r>
                                    <w:rPr>
                                      <w:rFonts w:ascii="Arial"/>
                                      <w:b/>
                                      <w:spacing w:val="-2"/>
                                      <w:sz w:val="16"/>
                                    </w:rPr>
                                    <w:t>(1.870)</w:t>
                                  </w:r>
                                </w:p>
                              </w:tc>
                            </w:tr>
                            <w:tr w:rsidR="002C6574" w14:paraId="7F5DBBD9" w14:textId="77777777">
                              <w:trPr>
                                <w:trHeight w:val="553"/>
                              </w:trPr>
                              <w:tc>
                                <w:tcPr>
                                  <w:tcW w:w="6126" w:type="dxa"/>
                                  <w:tcBorders>
                                    <w:top w:val="single" w:sz="8" w:space="0" w:color="3616F6"/>
                                    <w:left w:val="nil"/>
                                    <w:bottom w:val="single" w:sz="8" w:space="0" w:color="3616F6"/>
                                  </w:tcBorders>
                                </w:tcPr>
                                <w:p w14:paraId="52E3FAC7" w14:textId="77777777" w:rsidR="002C6574" w:rsidRDefault="00000000">
                                  <w:pPr>
                                    <w:pStyle w:val="TableParagraph"/>
                                    <w:spacing w:line="180" w:lineRule="atLeast"/>
                                    <w:ind w:left="434" w:right="2331" w:hanging="366"/>
                                    <w:jc w:val="left"/>
                                    <w:rPr>
                                      <w:rFonts w:ascii="Arial MT" w:hAnsi="Arial MT"/>
                                      <w:sz w:val="16"/>
                                    </w:rPr>
                                  </w:pPr>
                                  <w:r>
                                    <w:rPr>
                                      <w:rFonts w:ascii="Arial" w:hAnsi="Arial"/>
                                      <w:b/>
                                      <w:sz w:val="16"/>
                                    </w:rPr>
                                    <w:t>Fluxos</w:t>
                                  </w:r>
                                  <w:r>
                                    <w:rPr>
                                      <w:rFonts w:ascii="Arial" w:hAnsi="Arial"/>
                                      <w:b/>
                                      <w:spacing w:val="-8"/>
                                      <w:sz w:val="16"/>
                                    </w:rPr>
                                    <w:t xml:space="preserve"> </w:t>
                                  </w:r>
                                  <w:r>
                                    <w:rPr>
                                      <w:rFonts w:ascii="Arial" w:hAnsi="Arial"/>
                                      <w:b/>
                                      <w:sz w:val="16"/>
                                    </w:rPr>
                                    <w:t>de</w:t>
                                  </w:r>
                                  <w:r>
                                    <w:rPr>
                                      <w:rFonts w:ascii="Arial" w:hAnsi="Arial"/>
                                      <w:b/>
                                      <w:spacing w:val="-5"/>
                                      <w:sz w:val="16"/>
                                    </w:rPr>
                                    <w:t xml:space="preserve"> </w:t>
                                  </w:r>
                                  <w:r>
                                    <w:rPr>
                                      <w:rFonts w:ascii="Arial" w:hAnsi="Arial"/>
                                      <w:b/>
                                      <w:sz w:val="16"/>
                                    </w:rPr>
                                    <w:t>Caixa</w:t>
                                  </w:r>
                                  <w:r>
                                    <w:rPr>
                                      <w:rFonts w:ascii="Arial" w:hAnsi="Arial"/>
                                      <w:b/>
                                      <w:spacing w:val="-5"/>
                                      <w:sz w:val="16"/>
                                    </w:rPr>
                                    <w:t xml:space="preserve"> </w:t>
                                  </w:r>
                                  <w:r>
                                    <w:rPr>
                                      <w:rFonts w:ascii="Arial" w:hAnsi="Arial"/>
                                      <w:b/>
                                      <w:sz w:val="16"/>
                                    </w:rPr>
                                    <w:t>das</w:t>
                                  </w:r>
                                  <w:r>
                                    <w:rPr>
                                      <w:rFonts w:ascii="Arial" w:hAnsi="Arial"/>
                                      <w:b/>
                                      <w:spacing w:val="-6"/>
                                      <w:sz w:val="16"/>
                                    </w:rPr>
                                    <w:t xml:space="preserve"> </w:t>
                                  </w:r>
                                  <w:r>
                                    <w:rPr>
                                      <w:rFonts w:ascii="Arial" w:hAnsi="Arial"/>
                                      <w:b/>
                                      <w:sz w:val="16"/>
                                    </w:rPr>
                                    <w:t>Atividades</w:t>
                                  </w:r>
                                  <w:r>
                                    <w:rPr>
                                      <w:rFonts w:ascii="Arial" w:hAnsi="Arial"/>
                                      <w:b/>
                                      <w:spacing w:val="-10"/>
                                      <w:sz w:val="16"/>
                                    </w:rPr>
                                    <w:t xml:space="preserve"> </w:t>
                                  </w:r>
                                  <w:r>
                                    <w:rPr>
                                      <w:rFonts w:ascii="Arial" w:hAnsi="Arial"/>
                                      <w:b/>
                                      <w:sz w:val="16"/>
                                    </w:rPr>
                                    <w:t>de</w:t>
                                  </w:r>
                                  <w:r>
                                    <w:rPr>
                                      <w:rFonts w:ascii="Arial" w:hAnsi="Arial"/>
                                      <w:b/>
                                      <w:spacing w:val="-5"/>
                                      <w:sz w:val="16"/>
                                    </w:rPr>
                                    <w:t xml:space="preserve"> </w:t>
                                  </w:r>
                                  <w:r>
                                    <w:rPr>
                                      <w:rFonts w:ascii="Arial" w:hAnsi="Arial"/>
                                      <w:b/>
                                      <w:sz w:val="16"/>
                                    </w:rPr>
                                    <w:t xml:space="preserve">Investimento </w:t>
                                  </w:r>
                                  <w:r>
                                    <w:rPr>
                                      <w:rFonts w:ascii="Arial MT" w:hAnsi="Arial MT"/>
                                      <w:sz w:val="16"/>
                                    </w:rPr>
                                    <w:t>Aquisição de Imobilizado / Intangível Aplicações Financeiras - Resgate</w:t>
                                  </w:r>
                                </w:p>
                              </w:tc>
                              <w:tc>
                                <w:tcPr>
                                  <w:tcW w:w="861" w:type="dxa"/>
                                  <w:tcBorders>
                                    <w:top w:val="single" w:sz="8" w:space="0" w:color="3616F6"/>
                                    <w:bottom w:val="single" w:sz="8" w:space="0" w:color="3616F6"/>
                                  </w:tcBorders>
                                  <w:shd w:val="clear" w:color="auto" w:fill="75F6F8"/>
                                </w:tcPr>
                                <w:p w14:paraId="0F188CBF" w14:textId="77777777" w:rsidR="002C6574" w:rsidRDefault="002C6574">
                                  <w:pPr>
                                    <w:pStyle w:val="TableParagraph"/>
                                    <w:spacing w:before="1"/>
                                    <w:jc w:val="left"/>
                                    <w:rPr>
                                      <w:rFonts w:ascii="Arial"/>
                                      <w:b/>
                                      <w:sz w:val="16"/>
                                    </w:rPr>
                                  </w:pPr>
                                </w:p>
                                <w:p w14:paraId="3BDC36CE" w14:textId="77777777" w:rsidR="002C6574" w:rsidRDefault="00000000">
                                  <w:pPr>
                                    <w:pStyle w:val="TableParagraph"/>
                                    <w:ind w:right="58"/>
                                    <w:rPr>
                                      <w:rFonts w:ascii="Arial MT"/>
                                      <w:sz w:val="16"/>
                                    </w:rPr>
                                  </w:pPr>
                                  <w:r>
                                    <w:rPr>
                                      <w:rFonts w:ascii="Arial MT"/>
                                      <w:spacing w:val="-2"/>
                                      <w:sz w:val="16"/>
                                    </w:rPr>
                                    <w:t>(10.274)</w:t>
                                  </w:r>
                                </w:p>
                                <w:p w14:paraId="0A2F5841" w14:textId="77777777" w:rsidR="002C6574" w:rsidRDefault="00000000">
                                  <w:pPr>
                                    <w:pStyle w:val="TableParagraph"/>
                                    <w:spacing w:before="1" w:line="163" w:lineRule="exact"/>
                                    <w:ind w:right="56"/>
                                    <w:rPr>
                                      <w:rFonts w:ascii="Arial MT"/>
                                      <w:sz w:val="16"/>
                                    </w:rPr>
                                  </w:pPr>
                                  <w:r>
                                    <w:rPr>
                                      <w:rFonts w:ascii="Arial MT"/>
                                      <w:spacing w:val="-10"/>
                                      <w:sz w:val="16"/>
                                    </w:rPr>
                                    <w:t>-</w:t>
                                  </w:r>
                                </w:p>
                              </w:tc>
                              <w:tc>
                                <w:tcPr>
                                  <w:tcW w:w="861" w:type="dxa"/>
                                  <w:tcBorders>
                                    <w:top w:val="single" w:sz="8" w:space="0" w:color="3616F6"/>
                                    <w:bottom w:val="single" w:sz="8" w:space="0" w:color="3616F6"/>
                                  </w:tcBorders>
                                </w:tcPr>
                                <w:p w14:paraId="555959CD" w14:textId="77777777" w:rsidR="002C6574" w:rsidRDefault="002C6574">
                                  <w:pPr>
                                    <w:pStyle w:val="TableParagraph"/>
                                    <w:spacing w:before="1"/>
                                    <w:jc w:val="left"/>
                                    <w:rPr>
                                      <w:rFonts w:ascii="Arial"/>
                                      <w:b/>
                                      <w:sz w:val="16"/>
                                    </w:rPr>
                                  </w:pPr>
                                </w:p>
                                <w:p w14:paraId="5FD70368" w14:textId="77777777" w:rsidR="002C6574" w:rsidRDefault="00000000">
                                  <w:pPr>
                                    <w:pStyle w:val="TableParagraph"/>
                                    <w:ind w:right="58"/>
                                    <w:rPr>
                                      <w:rFonts w:ascii="Arial MT"/>
                                      <w:sz w:val="16"/>
                                    </w:rPr>
                                  </w:pPr>
                                  <w:r>
                                    <w:rPr>
                                      <w:rFonts w:ascii="Arial MT"/>
                                      <w:spacing w:val="-2"/>
                                      <w:sz w:val="16"/>
                                    </w:rPr>
                                    <w:t>(11.759)</w:t>
                                  </w:r>
                                </w:p>
                                <w:p w14:paraId="56AAA93C" w14:textId="77777777" w:rsidR="002C6574" w:rsidRDefault="00000000">
                                  <w:pPr>
                                    <w:pStyle w:val="TableParagraph"/>
                                    <w:spacing w:before="1" w:line="163" w:lineRule="exact"/>
                                    <w:ind w:right="55"/>
                                    <w:rPr>
                                      <w:rFonts w:ascii="Arial MT"/>
                                      <w:sz w:val="16"/>
                                    </w:rPr>
                                  </w:pPr>
                                  <w:r>
                                    <w:rPr>
                                      <w:rFonts w:ascii="Arial MT"/>
                                      <w:spacing w:val="-10"/>
                                      <w:sz w:val="16"/>
                                    </w:rPr>
                                    <w:t>-</w:t>
                                  </w:r>
                                </w:p>
                              </w:tc>
                              <w:tc>
                                <w:tcPr>
                                  <w:tcW w:w="773" w:type="dxa"/>
                                  <w:tcBorders>
                                    <w:top w:val="single" w:sz="8" w:space="0" w:color="3616F6"/>
                                    <w:bottom w:val="single" w:sz="8" w:space="0" w:color="3616F6"/>
                                    <w:right w:val="nil"/>
                                  </w:tcBorders>
                                </w:tcPr>
                                <w:p w14:paraId="6C2B57AF" w14:textId="77777777" w:rsidR="002C6574" w:rsidRDefault="002C6574">
                                  <w:pPr>
                                    <w:pStyle w:val="TableParagraph"/>
                                    <w:spacing w:before="1"/>
                                    <w:jc w:val="left"/>
                                    <w:rPr>
                                      <w:rFonts w:ascii="Arial"/>
                                      <w:b/>
                                      <w:sz w:val="16"/>
                                    </w:rPr>
                                  </w:pPr>
                                </w:p>
                                <w:p w14:paraId="55CFBC33" w14:textId="77777777" w:rsidR="002C6574" w:rsidRDefault="00000000">
                                  <w:pPr>
                                    <w:pStyle w:val="TableParagraph"/>
                                    <w:ind w:right="67"/>
                                    <w:rPr>
                                      <w:rFonts w:ascii="Arial MT"/>
                                      <w:sz w:val="16"/>
                                    </w:rPr>
                                  </w:pPr>
                                  <w:r>
                                    <w:rPr>
                                      <w:rFonts w:ascii="Arial MT"/>
                                      <w:spacing w:val="-2"/>
                                      <w:sz w:val="16"/>
                                    </w:rPr>
                                    <w:t>(5.096)</w:t>
                                  </w:r>
                                </w:p>
                                <w:p w14:paraId="1D73D276" w14:textId="77777777" w:rsidR="002C6574" w:rsidRDefault="00000000">
                                  <w:pPr>
                                    <w:pStyle w:val="TableParagraph"/>
                                    <w:spacing w:before="1" w:line="163" w:lineRule="exact"/>
                                    <w:ind w:right="67"/>
                                    <w:rPr>
                                      <w:rFonts w:ascii="Arial MT"/>
                                      <w:sz w:val="16"/>
                                    </w:rPr>
                                  </w:pPr>
                                  <w:r>
                                    <w:rPr>
                                      <w:rFonts w:ascii="Arial MT"/>
                                      <w:spacing w:val="-10"/>
                                      <w:sz w:val="16"/>
                                    </w:rPr>
                                    <w:t>-</w:t>
                                  </w:r>
                                </w:p>
                              </w:tc>
                            </w:tr>
                            <w:tr w:rsidR="002C6574" w14:paraId="1B718C50" w14:textId="77777777">
                              <w:trPr>
                                <w:trHeight w:val="183"/>
                              </w:trPr>
                              <w:tc>
                                <w:tcPr>
                                  <w:tcW w:w="6126" w:type="dxa"/>
                                  <w:tcBorders>
                                    <w:top w:val="single" w:sz="8" w:space="0" w:color="3616F6"/>
                                    <w:left w:val="nil"/>
                                    <w:bottom w:val="single" w:sz="8" w:space="0" w:color="3616F6"/>
                                  </w:tcBorders>
                                  <w:shd w:val="clear" w:color="auto" w:fill="75F6F8"/>
                                </w:tcPr>
                                <w:p w14:paraId="49FC82DF" w14:textId="77777777" w:rsidR="002C6574" w:rsidRDefault="00000000">
                                  <w:pPr>
                                    <w:pStyle w:val="TableParagraph"/>
                                    <w:spacing w:line="163" w:lineRule="exact"/>
                                    <w:ind w:left="69"/>
                                    <w:jc w:val="left"/>
                                    <w:rPr>
                                      <w:rFonts w:ascii="Arial" w:hAnsi="Arial"/>
                                      <w:b/>
                                      <w:sz w:val="16"/>
                                    </w:rPr>
                                  </w:pPr>
                                  <w:r>
                                    <w:rPr>
                                      <w:rFonts w:ascii="Arial" w:hAnsi="Arial"/>
                                      <w:b/>
                                      <w:sz w:val="16"/>
                                    </w:rPr>
                                    <w:t>Caixa</w:t>
                                  </w:r>
                                  <w:r>
                                    <w:rPr>
                                      <w:rFonts w:ascii="Arial" w:hAnsi="Arial"/>
                                      <w:b/>
                                      <w:spacing w:val="-6"/>
                                      <w:sz w:val="16"/>
                                    </w:rPr>
                                    <w:t xml:space="preserve"> </w:t>
                                  </w:r>
                                  <w:r>
                                    <w:rPr>
                                      <w:rFonts w:ascii="Arial" w:hAnsi="Arial"/>
                                      <w:b/>
                                      <w:sz w:val="16"/>
                                    </w:rPr>
                                    <w:t>Líquido</w:t>
                                  </w:r>
                                  <w:r>
                                    <w:rPr>
                                      <w:rFonts w:ascii="Arial" w:hAnsi="Arial"/>
                                      <w:b/>
                                      <w:spacing w:val="-4"/>
                                      <w:sz w:val="16"/>
                                    </w:rPr>
                                    <w:t xml:space="preserve"> </w:t>
                                  </w:r>
                                  <w:r>
                                    <w:rPr>
                                      <w:rFonts w:ascii="Arial" w:hAnsi="Arial"/>
                                      <w:b/>
                                      <w:sz w:val="16"/>
                                    </w:rPr>
                                    <w:t>Consumido</w:t>
                                  </w:r>
                                  <w:r>
                                    <w:rPr>
                                      <w:rFonts w:ascii="Arial" w:hAnsi="Arial"/>
                                      <w:b/>
                                      <w:spacing w:val="-4"/>
                                      <w:sz w:val="16"/>
                                    </w:rPr>
                                    <w:t xml:space="preserve"> </w:t>
                                  </w:r>
                                  <w:r>
                                    <w:rPr>
                                      <w:rFonts w:ascii="Arial" w:hAnsi="Arial"/>
                                      <w:b/>
                                      <w:sz w:val="16"/>
                                    </w:rPr>
                                    <w:t>pelas</w:t>
                                  </w:r>
                                  <w:r>
                                    <w:rPr>
                                      <w:rFonts w:ascii="Arial" w:hAnsi="Arial"/>
                                      <w:b/>
                                      <w:spacing w:val="-8"/>
                                      <w:sz w:val="16"/>
                                    </w:rPr>
                                    <w:t xml:space="preserve"> </w:t>
                                  </w:r>
                                  <w:r>
                                    <w:rPr>
                                      <w:rFonts w:ascii="Arial" w:hAnsi="Arial"/>
                                      <w:b/>
                                      <w:sz w:val="16"/>
                                    </w:rPr>
                                    <w:t>Atividades</w:t>
                                  </w:r>
                                  <w:r>
                                    <w:rPr>
                                      <w:rFonts w:ascii="Arial" w:hAnsi="Arial"/>
                                      <w:b/>
                                      <w:spacing w:val="-8"/>
                                      <w:sz w:val="16"/>
                                    </w:rPr>
                                    <w:t xml:space="preserve"> </w:t>
                                  </w:r>
                                  <w:r>
                                    <w:rPr>
                                      <w:rFonts w:ascii="Arial" w:hAnsi="Arial"/>
                                      <w:b/>
                                      <w:sz w:val="16"/>
                                    </w:rPr>
                                    <w:t>de</w:t>
                                  </w:r>
                                  <w:r>
                                    <w:rPr>
                                      <w:rFonts w:ascii="Arial" w:hAnsi="Arial"/>
                                      <w:b/>
                                      <w:spacing w:val="-6"/>
                                      <w:sz w:val="16"/>
                                    </w:rPr>
                                    <w:t xml:space="preserve"> </w:t>
                                  </w:r>
                                  <w:r>
                                    <w:rPr>
                                      <w:rFonts w:ascii="Arial" w:hAnsi="Arial"/>
                                      <w:b/>
                                      <w:spacing w:val="-2"/>
                                      <w:sz w:val="16"/>
                                    </w:rPr>
                                    <w:t>Investimento</w:t>
                                  </w:r>
                                </w:p>
                              </w:tc>
                              <w:tc>
                                <w:tcPr>
                                  <w:tcW w:w="861" w:type="dxa"/>
                                  <w:tcBorders>
                                    <w:top w:val="single" w:sz="8" w:space="0" w:color="3616F6"/>
                                    <w:bottom w:val="single" w:sz="8" w:space="0" w:color="3616F6"/>
                                  </w:tcBorders>
                                  <w:shd w:val="clear" w:color="auto" w:fill="75F6F8"/>
                                </w:tcPr>
                                <w:p w14:paraId="77357568" w14:textId="77777777" w:rsidR="002C6574" w:rsidRDefault="00000000">
                                  <w:pPr>
                                    <w:pStyle w:val="TableParagraph"/>
                                    <w:spacing w:line="163" w:lineRule="exact"/>
                                    <w:ind w:left="147" w:right="24"/>
                                    <w:jc w:val="center"/>
                                    <w:rPr>
                                      <w:rFonts w:ascii="Arial"/>
                                      <w:b/>
                                      <w:sz w:val="16"/>
                                    </w:rPr>
                                  </w:pPr>
                                  <w:r>
                                    <w:rPr>
                                      <w:rFonts w:ascii="Arial"/>
                                      <w:b/>
                                      <w:spacing w:val="-2"/>
                                      <w:sz w:val="16"/>
                                    </w:rPr>
                                    <w:t>(10.274)</w:t>
                                  </w:r>
                                </w:p>
                              </w:tc>
                              <w:tc>
                                <w:tcPr>
                                  <w:tcW w:w="861" w:type="dxa"/>
                                  <w:tcBorders>
                                    <w:top w:val="single" w:sz="8" w:space="0" w:color="3616F6"/>
                                    <w:bottom w:val="single" w:sz="8" w:space="0" w:color="3616F6"/>
                                  </w:tcBorders>
                                </w:tcPr>
                                <w:p w14:paraId="58E61329" w14:textId="77777777" w:rsidR="002C6574" w:rsidRDefault="00000000">
                                  <w:pPr>
                                    <w:pStyle w:val="TableParagraph"/>
                                    <w:spacing w:line="163" w:lineRule="exact"/>
                                    <w:ind w:left="147" w:right="22"/>
                                    <w:jc w:val="center"/>
                                    <w:rPr>
                                      <w:rFonts w:ascii="Arial"/>
                                      <w:b/>
                                      <w:sz w:val="16"/>
                                    </w:rPr>
                                  </w:pPr>
                                  <w:r>
                                    <w:rPr>
                                      <w:rFonts w:ascii="Arial"/>
                                      <w:b/>
                                      <w:spacing w:val="-2"/>
                                      <w:sz w:val="16"/>
                                    </w:rPr>
                                    <w:t>(11.759)</w:t>
                                  </w:r>
                                </w:p>
                              </w:tc>
                              <w:tc>
                                <w:tcPr>
                                  <w:tcW w:w="773" w:type="dxa"/>
                                  <w:tcBorders>
                                    <w:top w:val="single" w:sz="8" w:space="0" w:color="3616F6"/>
                                    <w:bottom w:val="single" w:sz="8" w:space="0" w:color="3616F6"/>
                                    <w:right w:val="nil"/>
                                  </w:tcBorders>
                                </w:tcPr>
                                <w:p w14:paraId="0D79F9D1" w14:textId="77777777" w:rsidR="002C6574" w:rsidRDefault="00000000">
                                  <w:pPr>
                                    <w:pStyle w:val="TableParagraph"/>
                                    <w:spacing w:line="163" w:lineRule="exact"/>
                                    <w:ind w:left="133" w:right="17"/>
                                    <w:jc w:val="center"/>
                                    <w:rPr>
                                      <w:rFonts w:ascii="Arial"/>
                                      <w:b/>
                                      <w:sz w:val="16"/>
                                    </w:rPr>
                                  </w:pPr>
                                  <w:r>
                                    <w:rPr>
                                      <w:rFonts w:ascii="Arial"/>
                                      <w:b/>
                                      <w:spacing w:val="-2"/>
                                      <w:sz w:val="16"/>
                                    </w:rPr>
                                    <w:t>(5.096)</w:t>
                                  </w:r>
                                </w:p>
                              </w:tc>
                            </w:tr>
                            <w:tr w:rsidR="002C6574" w14:paraId="3EE9ABEE" w14:textId="77777777">
                              <w:trPr>
                                <w:trHeight w:val="1288"/>
                              </w:trPr>
                              <w:tc>
                                <w:tcPr>
                                  <w:tcW w:w="6126" w:type="dxa"/>
                                  <w:tcBorders>
                                    <w:top w:val="single" w:sz="8" w:space="0" w:color="3616F6"/>
                                    <w:left w:val="nil"/>
                                    <w:bottom w:val="single" w:sz="8" w:space="0" w:color="3616F6"/>
                                  </w:tcBorders>
                                </w:tcPr>
                                <w:p w14:paraId="6E20942E" w14:textId="77777777" w:rsidR="002C6574" w:rsidRDefault="00000000">
                                  <w:pPr>
                                    <w:pStyle w:val="TableParagraph"/>
                                    <w:ind w:left="427" w:right="1689" w:hanging="359"/>
                                    <w:jc w:val="left"/>
                                    <w:rPr>
                                      <w:rFonts w:ascii="Arial MT"/>
                                      <w:sz w:val="16"/>
                                    </w:rPr>
                                  </w:pPr>
                                  <w:r>
                                    <w:rPr>
                                      <w:rFonts w:ascii="Arial"/>
                                      <w:b/>
                                      <w:sz w:val="16"/>
                                    </w:rPr>
                                    <w:t xml:space="preserve">Fluxos de Caixa das Atividades de Financiamento </w:t>
                                  </w:r>
                                  <w:r>
                                    <w:rPr>
                                      <w:rFonts w:ascii="Arial MT"/>
                                      <w:sz w:val="16"/>
                                    </w:rPr>
                                    <w:t>Pagamento</w:t>
                                  </w:r>
                                  <w:r>
                                    <w:rPr>
                                      <w:rFonts w:ascii="Arial MT"/>
                                      <w:spacing w:val="-6"/>
                                      <w:sz w:val="16"/>
                                    </w:rPr>
                                    <w:t xml:space="preserve"> </w:t>
                                  </w:r>
                                  <w:r>
                                    <w:rPr>
                                      <w:rFonts w:ascii="Arial MT"/>
                                      <w:sz w:val="16"/>
                                    </w:rPr>
                                    <w:t>de</w:t>
                                  </w:r>
                                  <w:r>
                                    <w:rPr>
                                      <w:rFonts w:ascii="Arial MT"/>
                                      <w:spacing w:val="-8"/>
                                      <w:sz w:val="16"/>
                                    </w:rPr>
                                    <w:t xml:space="preserve"> </w:t>
                                  </w:r>
                                  <w:r>
                                    <w:rPr>
                                      <w:rFonts w:ascii="Arial MT"/>
                                      <w:sz w:val="16"/>
                                    </w:rPr>
                                    <w:t>Credores</w:t>
                                  </w:r>
                                  <w:r>
                                    <w:rPr>
                                      <w:rFonts w:ascii="Arial MT"/>
                                      <w:spacing w:val="-4"/>
                                      <w:sz w:val="16"/>
                                    </w:rPr>
                                    <w:t xml:space="preserve"> </w:t>
                                  </w:r>
                                  <w:r>
                                    <w:rPr>
                                      <w:rFonts w:ascii="Arial MT"/>
                                      <w:sz w:val="16"/>
                                    </w:rPr>
                                    <w:t>por</w:t>
                                  </w:r>
                                  <w:r>
                                    <w:rPr>
                                      <w:rFonts w:ascii="Arial MT"/>
                                      <w:spacing w:val="-7"/>
                                      <w:sz w:val="16"/>
                                    </w:rPr>
                                    <w:t xml:space="preserve"> </w:t>
                                  </w:r>
                                  <w:r>
                                    <w:rPr>
                                      <w:rFonts w:ascii="Arial MT"/>
                                      <w:sz w:val="16"/>
                                    </w:rPr>
                                    <w:t>Perdas</w:t>
                                  </w:r>
                                  <w:r>
                                    <w:rPr>
                                      <w:rFonts w:ascii="Arial MT"/>
                                      <w:spacing w:val="-7"/>
                                      <w:sz w:val="16"/>
                                    </w:rPr>
                                    <w:t xml:space="preserve"> </w:t>
                                  </w:r>
                                  <w:r>
                                    <w:rPr>
                                      <w:rFonts w:ascii="Arial MT"/>
                                      <w:sz w:val="16"/>
                                    </w:rPr>
                                    <w:t>Judiciais</w:t>
                                  </w:r>
                                  <w:r>
                                    <w:rPr>
                                      <w:rFonts w:ascii="Arial MT"/>
                                      <w:spacing w:val="-1"/>
                                      <w:sz w:val="16"/>
                                    </w:rPr>
                                    <w:t xml:space="preserve"> </w:t>
                                  </w:r>
                                  <w:r>
                                    <w:rPr>
                                      <w:rFonts w:ascii="Arial MT"/>
                                      <w:sz w:val="16"/>
                                    </w:rPr>
                                    <w:t>-</w:t>
                                  </w:r>
                                  <w:r>
                                    <w:rPr>
                                      <w:rFonts w:ascii="Arial MT"/>
                                      <w:spacing w:val="-7"/>
                                      <w:sz w:val="16"/>
                                    </w:rPr>
                                    <w:t xml:space="preserve"> </w:t>
                                  </w:r>
                                  <w:r>
                                    <w:rPr>
                                      <w:rFonts w:ascii="Arial MT"/>
                                      <w:sz w:val="16"/>
                                    </w:rPr>
                                    <w:t>Principal Pagamentos - Financiamento - Finep - Principal</w:t>
                                  </w:r>
                                </w:p>
                                <w:p w14:paraId="72E18E9C" w14:textId="77777777" w:rsidR="002C6574" w:rsidRDefault="00000000">
                                  <w:pPr>
                                    <w:pStyle w:val="TableParagraph"/>
                                    <w:spacing w:before="1"/>
                                    <w:ind w:left="427"/>
                                    <w:jc w:val="left"/>
                                    <w:rPr>
                                      <w:rFonts w:ascii="Arial MT" w:hAnsi="Arial MT"/>
                                      <w:sz w:val="16"/>
                                    </w:rPr>
                                  </w:pPr>
                                  <w:r>
                                    <w:rPr>
                                      <w:rFonts w:ascii="Arial MT" w:hAnsi="Arial MT"/>
                                      <w:sz w:val="16"/>
                                    </w:rPr>
                                    <w:t>Pagamentos</w:t>
                                  </w:r>
                                  <w:r>
                                    <w:rPr>
                                      <w:rFonts w:ascii="Arial MT" w:hAnsi="Arial MT"/>
                                      <w:spacing w:val="-4"/>
                                      <w:sz w:val="16"/>
                                    </w:rPr>
                                    <w:t xml:space="preserve"> </w:t>
                                  </w:r>
                                  <w:r>
                                    <w:rPr>
                                      <w:rFonts w:ascii="Arial MT" w:hAnsi="Arial MT"/>
                                      <w:sz w:val="16"/>
                                    </w:rPr>
                                    <w:t>-</w:t>
                                  </w:r>
                                  <w:r>
                                    <w:rPr>
                                      <w:rFonts w:ascii="Arial MT" w:hAnsi="Arial MT"/>
                                      <w:spacing w:val="-4"/>
                                      <w:sz w:val="16"/>
                                    </w:rPr>
                                    <w:t xml:space="preserve"> </w:t>
                                  </w:r>
                                  <w:r>
                                    <w:rPr>
                                      <w:rFonts w:ascii="Arial MT" w:hAnsi="Arial MT"/>
                                      <w:sz w:val="16"/>
                                    </w:rPr>
                                    <w:t>Financiamento</w:t>
                                  </w:r>
                                  <w:r>
                                    <w:rPr>
                                      <w:rFonts w:ascii="Arial MT" w:hAnsi="Arial MT"/>
                                      <w:spacing w:val="-7"/>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Arrendamento</w:t>
                                  </w:r>
                                  <w:r>
                                    <w:rPr>
                                      <w:rFonts w:ascii="Arial MT" w:hAnsi="Arial MT"/>
                                      <w:spacing w:val="-7"/>
                                      <w:sz w:val="16"/>
                                    </w:rPr>
                                    <w:t xml:space="preserve"> </w:t>
                                  </w:r>
                                  <w:r>
                                    <w:rPr>
                                      <w:rFonts w:ascii="Arial MT" w:hAnsi="Arial MT"/>
                                      <w:sz w:val="16"/>
                                    </w:rPr>
                                    <w:t>Mercantil</w:t>
                                  </w:r>
                                  <w:r>
                                    <w:rPr>
                                      <w:rFonts w:ascii="Arial MT" w:hAnsi="Arial MT"/>
                                      <w:spacing w:val="-5"/>
                                      <w:sz w:val="16"/>
                                    </w:rPr>
                                    <w:t xml:space="preserve"> </w:t>
                                  </w:r>
                                  <w:r>
                                    <w:rPr>
                                      <w:rFonts w:ascii="Arial MT" w:hAnsi="Arial MT"/>
                                      <w:sz w:val="16"/>
                                    </w:rPr>
                                    <w:t>Financeiro</w:t>
                                  </w:r>
                                  <w:r>
                                    <w:rPr>
                                      <w:rFonts w:ascii="Arial MT" w:hAnsi="Arial MT"/>
                                      <w:spacing w:val="-1"/>
                                      <w:sz w:val="16"/>
                                    </w:rPr>
                                    <w:t xml:space="preserve"> </w:t>
                                  </w:r>
                                  <w:r>
                                    <w:rPr>
                                      <w:rFonts w:ascii="Arial MT" w:hAnsi="Arial MT"/>
                                      <w:sz w:val="16"/>
                                    </w:rPr>
                                    <w:t>-</w:t>
                                  </w:r>
                                  <w:r>
                                    <w:rPr>
                                      <w:rFonts w:ascii="Arial MT" w:hAnsi="Arial MT"/>
                                      <w:spacing w:val="-6"/>
                                      <w:sz w:val="16"/>
                                    </w:rPr>
                                    <w:t xml:space="preserve"> </w:t>
                                  </w:r>
                                  <w:r>
                                    <w:rPr>
                                      <w:rFonts w:ascii="Arial MT" w:hAnsi="Arial MT"/>
                                      <w:sz w:val="16"/>
                                    </w:rPr>
                                    <w:t>IFRS</w:t>
                                  </w:r>
                                  <w:r>
                                    <w:rPr>
                                      <w:rFonts w:ascii="Arial MT" w:hAnsi="Arial MT"/>
                                      <w:spacing w:val="-5"/>
                                      <w:sz w:val="16"/>
                                    </w:rPr>
                                    <w:t xml:space="preserve"> </w:t>
                                  </w:r>
                                  <w:r>
                                    <w:rPr>
                                      <w:rFonts w:ascii="Arial MT" w:hAnsi="Arial MT"/>
                                      <w:sz w:val="16"/>
                                    </w:rPr>
                                    <w:t>16 Recebimento de Parcela de Superávit - Previdência Privada</w:t>
                                  </w:r>
                                </w:p>
                                <w:p w14:paraId="5228F812" w14:textId="77777777" w:rsidR="002C6574" w:rsidRDefault="00000000">
                                  <w:pPr>
                                    <w:pStyle w:val="TableParagraph"/>
                                    <w:spacing w:line="184" w:lineRule="exact"/>
                                    <w:ind w:left="427" w:right="837"/>
                                    <w:jc w:val="left"/>
                                    <w:rPr>
                                      <w:rFonts w:ascii="Arial MT" w:hAnsi="Arial MT"/>
                                      <w:sz w:val="16"/>
                                    </w:rPr>
                                  </w:pPr>
                                  <w:r>
                                    <w:rPr>
                                      <w:rFonts w:ascii="Arial MT" w:hAnsi="Arial MT"/>
                                      <w:sz w:val="16"/>
                                    </w:rPr>
                                    <w:t>Recebimento</w:t>
                                  </w:r>
                                  <w:r>
                                    <w:rPr>
                                      <w:rFonts w:ascii="Arial MT" w:hAnsi="Arial MT"/>
                                      <w:spacing w:val="-5"/>
                                      <w:sz w:val="16"/>
                                    </w:rPr>
                                    <w:t xml:space="preserve"> </w:t>
                                  </w:r>
                                  <w:r>
                                    <w:rPr>
                                      <w:rFonts w:ascii="Arial MT" w:hAnsi="Arial MT"/>
                                      <w:sz w:val="16"/>
                                    </w:rPr>
                                    <w:t>de</w:t>
                                  </w:r>
                                  <w:r>
                                    <w:rPr>
                                      <w:rFonts w:ascii="Arial MT" w:hAnsi="Arial MT"/>
                                      <w:spacing w:val="-8"/>
                                      <w:sz w:val="16"/>
                                    </w:rPr>
                                    <w:t xml:space="preserve"> </w:t>
                                  </w:r>
                                  <w:r>
                                    <w:rPr>
                                      <w:rFonts w:ascii="Arial MT" w:hAnsi="Arial MT"/>
                                      <w:sz w:val="16"/>
                                    </w:rPr>
                                    <w:t>Subvenções</w:t>
                                  </w:r>
                                  <w:r>
                                    <w:rPr>
                                      <w:rFonts w:ascii="Arial MT" w:hAnsi="Arial MT"/>
                                      <w:spacing w:val="-6"/>
                                      <w:sz w:val="16"/>
                                    </w:rPr>
                                    <w:t xml:space="preserve"> </w:t>
                                  </w:r>
                                  <w:r>
                                    <w:rPr>
                                      <w:rFonts w:ascii="Arial MT" w:hAnsi="Arial MT"/>
                                      <w:sz w:val="16"/>
                                    </w:rPr>
                                    <w:t>Orçamentárias</w:t>
                                  </w:r>
                                  <w:r>
                                    <w:rPr>
                                      <w:rFonts w:ascii="Arial MT" w:hAnsi="Arial MT"/>
                                      <w:spacing w:val="-4"/>
                                      <w:sz w:val="16"/>
                                    </w:rPr>
                                    <w:t xml:space="preserve"> </w:t>
                                  </w:r>
                                  <w:r>
                                    <w:rPr>
                                      <w:rFonts w:ascii="Arial MT" w:hAnsi="Arial MT"/>
                                      <w:sz w:val="16"/>
                                    </w:rPr>
                                    <w:t>-</w:t>
                                  </w:r>
                                  <w:r>
                                    <w:rPr>
                                      <w:rFonts w:ascii="Arial MT" w:hAnsi="Arial MT"/>
                                      <w:spacing w:val="-5"/>
                                      <w:sz w:val="16"/>
                                    </w:rPr>
                                    <w:t xml:space="preserve"> </w:t>
                                  </w:r>
                                  <w:r>
                                    <w:rPr>
                                      <w:rFonts w:ascii="Arial MT" w:hAnsi="Arial MT"/>
                                      <w:sz w:val="16"/>
                                    </w:rPr>
                                    <w:t>Contrato</w:t>
                                  </w:r>
                                  <w:r>
                                    <w:rPr>
                                      <w:rFonts w:ascii="Arial MT" w:hAnsi="Arial MT"/>
                                      <w:spacing w:val="-8"/>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Gestão Recebimento de Adiantamento p/ Futuro Aumento de Capital</w:t>
                                  </w:r>
                                </w:p>
                              </w:tc>
                              <w:tc>
                                <w:tcPr>
                                  <w:tcW w:w="861" w:type="dxa"/>
                                  <w:tcBorders>
                                    <w:top w:val="single" w:sz="8" w:space="0" w:color="3616F6"/>
                                    <w:bottom w:val="single" w:sz="8" w:space="0" w:color="3616F6"/>
                                  </w:tcBorders>
                                  <w:shd w:val="clear" w:color="auto" w:fill="75F6F8"/>
                                </w:tcPr>
                                <w:p w14:paraId="08C1BF0E" w14:textId="77777777" w:rsidR="002C6574" w:rsidRDefault="00000000">
                                  <w:pPr>
                                    <w:pStyle w:val="TableParagraph"/>
                                    <w:spacing w:before="183"/>
                                    <w:ind w:right="58"/>
                                    <w:rPr>
                                      <w:rFonts w:ascii="Arial MT"/>
                                      <w:sz w:val="16"/>
                                    </w:rPr>
                                  </w:pPr>
                                  <w:r>
                                    <w:rPr>
                                      <w:rFonts w:ascii="Arial MT"/>
                                      <w:spacing w:val="-2"/>
                                      <w:sz w:val="16"/>
                                    </w:rPr>
                                    <w:t>(116.237)</w:t>
                                  </w:r>
                                </w:p>
                                <w:p w14:paraId="0BCB40E0" w14:textId="77777777" w:rsidR="002C6574" w:rsidRDefault="00000000">
                                  <w:pPr>
                                    <w:pStyle w:val="TableParagraph"/>
                                    <w:spacing w:before="1"/>
                                    <w:ind w:left="273" w:right="56" w:firstLine="456"/>
                                    <w:rPr>
                                      <w:rFonts w:ascii="Arial MT"/>
                                      <w:sz w:val="16"/>
                                    </w:rPr>
                                  </w:pPr>
                                  <w:r>
                                    <w:rPr>
                                      <w:rFonts w:ascii="Arial MT"/>
                                      <w:spacing w:val="-10"/>
                                      <w:sz w:val="16"/>
                                    </w:rPr>
                                    <w:t>-</w:t>
                                  </w:r>
                                  <w:r>
                                    <w:rPr>
                                      <w:rFonts w:ascii="Arial MT"/>
                                      <w:spacing w:val="-2"/>
                                      <w:sz w:val="16"/>
                                    </w:rPr>
                                    <w:t xml:space="preserve"> (1.598)</w:t>
                                  </w:r>
                                </w:p>
                                <w:p w14:paraId="0F847B1D" w14:textId="77777777" w:rsidR="002C6574" w:rsidRDefault="00000000">
                                  <w:pPr>
                                    <w:pStyle w:val="TableParagraph"/>
                                    <w:spacing w:line="183" w:lineRule="exact"/>
                                    <w:ind w:right="58"/>
                                    <w:rPr>
                                      <w:rFonts w:ascii="Arial MT"/>
                                      <w:sz w:val="16"/>
                                    </w:rPr>
                                  </w:pPr>
                                  <w:r>
                                    <w:rPr>
                                      <w:rFonts w:ascii="Arial MT"/>
                                      <w:spacing w:val="-2"/>
                                      <w:sz w:val="16"/>
                                    </w:rPr>
                                    <w:t>25.731</w:t>
                                  </w:r>
                                </w:p>
                                <w:p w14:paraId="6873C1AD" w14:textId="77777777" w:rsidR="002C6574" w:rsidRDefault="00000000">
                                  <w:pPr>
                                    <w:pStyle w:val="TableParagraph"/>
                                    <w:spacing w:before="1"/>
                                    <w:ind w:right="58"/>
                                    <w:rPr>
                                      <w:rFonts w:ascii="Arial MT"/>
                                      <w:sz w:val="16"/>
                                    </w:rPr>
                                  </w:pPr>
                                  <w:r>
                                    <w:rPr>
                                      <w:rFonts w:ascii="Arial MT"/>
                                      <w:spacing w:val="-2"/>
                                      <w:sz w:val="16"/>
                                    </w:rPr>
                                    <w:t>287.186</w:t>
                                  </w:r>
                                </w:p>
                                <w:p w14:paraId="3BDA0841" w14:textId="77777777" w:rsidR="002C6574" w:rsidRDefault="00000000">
                                  <w:pPr>
                                    <w:pStyle w:val="TableParagraph"/>
                                    <w:spacing w:before="1" w:line="163" w:lineRule="exact"/>
                                    <w:ind w:right="59"/>
                                    <w:rPr>
                                      <w:rFonts w:ascii="Arial MT"/>
                                      <w:sz w:val="16"/>
                                    </w:rPr>
                                  </w:pPr>
                                  <w:r>
                                    <w:rPr>
                                      <w:rFonts w:ascii="Arial MT"/>
                                      <w:spacing w:val="-5"/>
                                      <w:sz w:val="16"/>
                                    </w:rPr>
                                    <w:t>(1)</w:t>
                                  </w:r>
                                </w:p>
                              </w:tc>
                              <w:tc>
                                <w:tcPr>
                                  <w:tcW w:w="861" w:type="dxa"/>
                                  <w:tcBorders>
                                    <w:top w:val="single" w:sz="8" w:space="0" w:color="3616F6"/>
                                    <w:bottom w:val="single" w:sz="8" w:space="0" w:color="3616F6"/>
                                  </w:tcBorders>
                                </w:tcPr>
                                <w:p w14:paraId="367B6980" w14:textId="77777777" w:rsidR="002C6574" w:rsidRDefault="00000000">
                                  <w:pPr>
                                    <w:pStyle w:val="TableParagraph"/>
                                    <w:spacing w:before="183"/>
                                    <w:ind w:right="58"/>
                                    <w:rPr>
                                      <w:rFonts w:ascii="Arial MT"/>
                                      <w:sz w:val="16"/>
                                    </w:rPr>
                                  </w:pPr>
                                  <w:r>
                                    <w:rPr>
                                      <w:rFonts w:ascii="Arial MT"/>
                                      <w:spacing w:val="-2"/>
                                      <w:sz w:val="16"/>
                                    </w:rPr>
                                    <w:t>(7.113)</w:t>
                                  </w:r>
                                </w:p>
                                <w:p w14:paraId="378B1CB5" w14:textId="77777777" w:rsidR="002C6574" w:rsidRDefault="00000000">
                                  <w:pPr>
                                    <w:pStyle w:val="TableParagraph"/>
                                    <w:spacing w:before="1"/>
                                    <w:ind w:right="58"/>
                                    <w:rPr>
                                      <w:rFonts w:ascii="Arial MT"/>
                                      <w:sz w:val="16"/>
                                    </w:rPr>
                                  </w:pPr>
                                  <w:r>
                                    <w:rPr>
                                      <w:rFonts w:ascii="Arial MT"/>
                                      <w:spacing w:val="-2"/>
                                      <w:sz w:val="16"/>
                                    </w:rPr>
                                    <w:t>(11.413)</w:t>
                                  </w:r>
                                </w:p>
                                <w:p w14:paraId="6ED910FC" w14:textId="77777777" w:rsidR="002C6574" w:rsidRDefault="00000000">
                                  <w:pPr>
                                    <w:pStyle w:val="TableParagraph"/>
                                    <w:spacing w:before="1" w:line="183" w:lineRule="exact"/>
                                    <w:ind w:right="58"/>
                                    <w:rPr>
                                      <w:rFonts w:ascii="Arial MT"/>
                                      <w:sz w:val="16"/>
                                    </w:rPr>
                                  </w:pPr>
                                  <w:r>
                                    <w:rPr>
                                      <w:rFonts w:ascii="Arial MT"/>
                                      <w:spacing w:val="-2"/>
                                      <w:sz w:val="16"/>
                                    </w:rPr>
                                    <w:t>(1.396)</w:t>
                                  </w:r>
                                </w:p>
                                <w:p w14:paraId="186D8D75" w14:textId="77777777" w:rsidR="002C6574" w:rsidRDefault="00000000">
                                  <w:pPr>
                                    <w:pStyle w:val="TableParagraph"/>
                                    <w:spacing w:line="183" w:lineRule="exact"/>
                                    <w:ind w:right="58"/>
                                    <w:rPr>
                                      <w:rFonts w:ascii="Arial MT"/>
                                      <w:sz w:val="16"/>
                                    </w:rPr>
                                  </w:pPr>
                                  <w:r>
                                    <w:rPr>
                                      <w:rFonts w:ascii="Arial MT"/>
                                      <w:spacing w:val="-2"/>
                                      <w:sz w:val="16"/>
                                    </w:rPr>
                                    <w:t>5.355</w:t>
                                  </w:r>
                                </w:p>
                                <w:p w14:paraId="3DD8895C" w14:textId="77777777" w:rsidR="002C6574" w:rsidRDefault="00000000">
                                  <w:pPr>
                                    <w:pStyle w:val="TableParagraph"/>
                                    <w:spacing w:line="180" w:lineRule="atLeast"/>
                                    <w:ind w:left="513" w:right="55" w:firstLine="216"/>
                                    <w:rPr>
                                      <w:rFonts w:ascii="Arial MT"/>
                                      <w:sz w:val="16"/>
                                    </w:rPr>
                                  </w:pPr>
                                  <w:r>
                                    <w:rPr>
                                      <w:rFonts w:ascii="Arial MT"/>
                                      <w:spacing w:val="-10"/>
                                      <w:sz w:val="16"/>
                                    </w:rPr>
                                    <w:t>-</w:t>
                                  </w:r>
                                  <w:r>
                                    <w:rPr>
                                      <w:rFonts w:ascii="Arial MT"/>
                                      <w:sz w:val="16"/>
                                    </w:rPr>
                                    <w:t xml:space="preserve"> </w:t>
                                  </w:r>
                                  <w:r>
                                    <w:rPr>
                                      <w:rFonts w:ascii="Arial MT"/>
                                      <w:spacing w:val="-5"/>
                                      <w:sz w:val="16"/>
                                    </w:rPr>
                                    <w:t>531</w:t>
                                  </w:r>
                                </w:p>
                              </w:tc>
                              <w:tc>
                                <w:tcPr>
                                  <w:tcW w:w="773" w:type="dxa"/>
                                  <w:tcBorders>
                                    <w:top w:val="single" w:sz="8" w:space="0" w:color="3616F6"/>
                                    <w:bottom w:val="single" w:sz="8" w:space="0" w:color="3616F6"/>
                                    <w:right w:val="nil"/>
                                  </w:tcBorders>
                                </w:tcPr>
                                <w:p w14:paraId="371A6FAE" w14:textId="77777777" w:rsidR="002C6574" w:rsidRDefault="00000000">
                                  <w:pPr>
                                    <w:pStyle w:val="TableParagraph"/>
                                    <w:spacing w:before="183"/>
                                    <w:ind w:right="67"/>
                                    <w:rPr>
                                      <w:rFonts w:ascii="Arial MT"/>
                                      <w:sz w:val="16"/>
                                    </w:rPr>
                                  </w:pPr>
                                  <w:r>
                                    <w:rPr>
                                      <w:rFonts w:ascii="Arial MT"/>
                                      <w:spacing w:val="-2"/>
                                      <w:sz w:val="16"/>
                                    </w:rPr>
                                    <w:t>(1.599)</w:t>
                                  </w:r>
                                </w:p>
                                <w:p w14:paraId="0C3B3736" w14:textId="77777777" w:rsidR="002C6574" w:rsidRDefault="00000000">
                                  <w:pPr>
                                    <w:pStyle w:val="TableParagraph"/>
                                    <w:spacing w:before="1"/>
                                    <w:ind w:left="186" w:right="67" w:firstLine="453"/>
                                    <w:rPr>
                                      <w:rFonts w:ascii="Arial MT"/>
                                      <w:sz w:val="16"/>
                                    </w:rPr>
                                  </w:pPr>
                                  <w:r>
                                    <w:rPr>
                                      <w:rFonts w:ascii="Arial MT"/>
                                      <w:spacing w:val="-10"/>
                                      <w:sz w:val="16"/>
                                    </w:rPr>
                                    <w:t>-</w:t>
                                  </w:r>
                                  <w:r>
                                    <w:rPr>
                                      <w:rFonts w:ascii="Arial MT"/>
                                      <w:spacing w:val="-2"/>
                                      <w:sz w:val="16"/>
                                    </w:rPr>
                                    <w:t xml:space="preserve"> (1.494)</w:t>
                                  </w:r>
                                </w:p>
                                <w:p w14:paraId="56C1D3A7" w14:textId="77777777" w:rsidR="002C6574" w:rsidRDefault="00000000">
                                  <w:pPr>
                                    <w:pStyle w:val="TableParagraph"/>
                                    <w:spacing w:line="183" w:lineRule="exact"/>
                                    <w:ind w:right="67"/>
                                    <w:rPr>
                                      <w:rFonts w:ascii="Arial MT"/>
                                      <w:sz w:val="16"/>
                                    </w:rPr>
                                  </w:pPr>
                                  <w:r>
                                    <w:rPr>
                                      <w:rFonts w:ascii="Arial MT"/>
                                      <w:spacing w:val="-2"/>
                                      <w:sz w:val="16"/>
                                    </w:rPr>
                                    <w:t>23.424</w:t>
                                  </w:r>
                                </w:p>
                                <w:p w14:paraId="64E1A0FB" w14:textId="77777777" w:rsidR="002C6574" w:rsidRDefault="00000000">
                                  <w:pPr>
                                    <w:pStyle w:val="TableParagraph"/>
                                    <w:spacing w:line="180" w:lineRule="atLeast"/>
                                    <w:ind w:left="515" w:right="67" w:firstLine="124"/>
                                    <w:rPr>
                                      <w:rFonts w:ascii="Arial MT"/>
                                      <w:sz w:val="16"/>
                                    </w:rPr>
                                  </w:pPr>
                                  <w:r>
                                    <w:rPr>
                                      <w:rFonts w:ascii="Arial MT"/>
                                      <w:spacing w:val="-10"/>
                                      <w:sz w:val="16"/>
                                    </w:rPr>
                                    <w:t>-</w:t>
                                  </w:r>
                                  <w:r>
                                    <w:rPr>
                                      <w:rFonts w:ascii="Arial MT"/>
                                      <w:sz w:val="16"/>
                                    </w:rPr>
                                    <w:t xml:space="preserve"> </w:t>
                                  </w:r>
                                  <w:r>
                                    <w:rPr>
                                      <w:rFonts w:ascii="Arial MT"/>
                                      <w:spacing w:val="-5"/>
                                      <w:sz w:val="16"/>
                                    </w:rPr>
                                    <w:t>67</w:t>
                                  </w:r>
                                </w:p>
                              </w:tc>
                            </w:tr>
                            <w:tr w:rsidR="002C6574" w14:paraId="3A0C1875" w14:textId="77777777">
                              <w:trPr>
                                <w:trHeight w:val="183"/>
                              </w:trPr>
                              <w:tc>
                                <w:tcPr>
                                  <w:tcW w:w="6126" w:type="dxa"/>
                                  <w:tcBorders>
                                    <w:top w:val="single" w:sz="8" w:space="0" w:color="3616F6"/>
                                    <w:left w:val="nil"/>
                                    <w:bottom w:val="single" w:sz="8" w:space="0" w:color="3616F6"/>
                                  </w:tcBorders>
                                  <w:shd w:val="clear" w:color="auto" w:fill="75F6F8"/>
                                </w:tcPr>
                                <w:p w14:paraId="25758EC6" w14:textId="77777777" w:rsidR="002C6574" w:rsidRDefault="00000000">
                                  <w:pPr>
                                    <w:pStyle w:val="TableParagraph"/>
                                    <w:spacing w:line="163" w:lineRule="exact"/>
                                    <w:ind w:left="69"/>
                                    <w:jc w:val="left"/>
                                    <w:rPr>
                                      <w:rFonts w:ascii="Arial" w:hAnsi="Arial"/>
                                      <w:b/>
                                      <w:sz w:val="16"/>
                                    </w:rPr>
                                  </w:pPr>
                                  <w:r>
                                    <w:rPr>
                                      <w:rFonts w:ascii="Arial" w:hAnsi="Arial"/>
                                      <w:b/>
                                      <w:sz w:val="16"/>
                                    </w:rPr>
                                    <w:t>Caixa</w:t>
                                  </w:r>
                                  <w:r>
                                    <w:rPr>
                                      <w:rFonts w:ascii="Arial" w:hAnsi="Arial"/>
                                      <w:b/>
                                      <w:spacing w:val="-5"/>
                                      <w:sz w:val="16"/>
                                    </w:rPr>
                                    <w:t xml:space="preserve"> </w:t>
                                  </w:r>
                                  <w:r>
                                    <w:rPr>
                                      <w:rFonts w:ascii="Arial" w:hAnsi="Arial"/>
                                      <w:b/>
                                      <w:sz w:val="16"/>
                                    </w:rPr>
                                    <w:t>Líquido</w:t>
                                  </w:r>
                                  <w:r>
                                    <w:rPr>
                                      <w:rFonts w:ascii="Arial" w:hAnsi="Arial"/>
                                      <w:b/>
                                      <w:spacing w:val="-5"/>
                                      <w:sz w:val="16"/>
                                    </w:rPr>
                                    <w:t xml:space="preserve"> </w:t>
                                  </w:r>
                                  <w:r>
                                    <w:rPr>
                                      <w:rFonts w:ascii="Arial" w:hAnsi="Arial"/>
                                      <w:b/>
                                      <w:sz w:val="16"/>
                                    </w:rPr>
                                    <w:t>Gerado</w:t>
                                  </w:r>
                                  <w:r>
                                    <w:rPr>
                                      <w:rFonts w:ascii="Arial" w:hAnsi="Arial"/>
                                      <w:b/>
                                      <w:spacing w:val="-5"/>
                                      <w:sz w:val="16"/>
                                    </w:rPr>
                                    <w:t xml:space="preserve"> </w:t>
                                  </w:r>
                                  <w:r>
                                    <w:rPr>
                                      <w:rFonts w:ascii="Arial" w:hAnsi="Arial"/>
                                      <w:b/>
                                      <w:sz w:val="16"/>
                                    </w:rPr>
                                    <w:t>pelas</w:t>
                                  </w:r>
                                  <w:r>
                                    <w:rPr>
                                      <w:rFonts w:ascii="Arial" w:hAnsi="Arial"/>
                                      <w:b/>
                                      <w:spacing w:val="-5"/>
                                      <w:sz w:val="16"/>
                                    </w:rPr>
                                    <w:t xml:space="preserve"> </w:t>
                                  </w:r>
                                  <w:r>
                                    <w:rPr>
                                      <w:rFonts w:ascii="Arial" w:hAnsi="Arial"/>
                                      <w:b/>
                                      <w:sz w:val="16"/>
                                    </w:rPr>
                                    <w:t>Atividades</w:t>
                                  </w:r>
                                  <w:r>
                                    <w:rPr>
                                      <w:rFonts w:ascii="Arial" w:hAnsi="Arial"/>
                                      <w:b/>
                                      <w:spacing w:val="-6"/>
                                      <w:sz w:val="16"/>
                                    </w:rPr>
                                    <w:t xml:space="preserve"> </w:t>
                                  </w:r>
                                  <w:r>
                                    <w:rPr>
                                      <w:rFonts w:ascii="Arial" w:hAnsi="Arial"/>
                                      <w:b/>
                                      <w:sz w:val="16"/>
                                    </w:rPr>
                                    <w:t>de</w:t>
                                  </w:r>
                                  <w:r>
                                    <w:rPr>
                                      <w:rFonts w:ascii="Arial" w:hAnsi="Arial"/>
                                      <w:b/>
                                      <w:spacing w:val="-4"/>
                                      <w:sz w:val="16"/>
                                    </w:rPr>
                                    <w:t xml:space="preserve"> </w:t>
                                  </w:r>
                                  <w:r>
                                    <w:rPr>
                                      <w:rFonts w:ascii="Arial" w:hAnsi="Arial"/>
                                      <w:b/>
                                      <w:spacing w:val="-2"/>
                                      <w:sz w:val="16"/>
                                    </w:rPr>
                                    <w:t>Financiamento</w:t>
                                  </w:r>
                                </w:p>
                              </w:tc>
                              <w:tc>
                                <w:tcPr>
                                  <w:tcW w:w="861" w:type="dxa"/>
                                  <w:tcBorders>
                                    <w:top w:val="single" w:sz="8" w:space="0" w:color="3616F6"/>
                                    <w:bottom w:val="single" w:sz="8" w:space="0" w:color="3616F6"/>
                                  </w:tcBorders>
                                  <w:shd w:val="clear" w:color="auto" w:fill="75F6F8"/>
                                </w:tcPr>
                                <w:p w14:paraId="29F2F615" w14:textId="77777777" w:rsidR="002C6574" w:rsidRDefault="00000000">
                                  <w:pPr>
                                    <w:pStyle w:val="TableParagraph"/>
                                    <w:spacing w:line="163" w:lineRule="exact"/>
                                    <w:ind w:left="147" w:right="7"/>
                                    <w:jc w:val="center"/>
                                    <w:rPr>
                                      <w:rFonts w:ascii="Arial"/>
                                      <w:b/>
                                      <w:sz w:val="16"/>
                                    </w:rPr>
                                  </w:pPr>
                                  <w:r>
                                    <w:rPr>
                                      <w:rFonts w:ascii="Arial"/>
                                      <w:b/>
                                      <w:spacing w:val="-2"/>
                                      <w:sz w:val="16"/>
                                    </w:rPr>
                                    <w:t>195.081</w:t>
                                  </w:r>
                                </w:p>
                              </w:tc>
                              <w:tc>
                                <w:tcPr>
                                  <w:tcW w:w="861" w:type="dxa"/>
                                  <w:tcBorders>
                                    <w:top w:val="single" w:sz="8" w:space="0" w:color="3616F6"/>
                                    <w:bottom w:val="single" w:sz="8" w:space="0" w:color="3616F6"/>
                                  </w:tcBorders>
                                </w:tcPr>
                                <w:p w14:paraId="68D74749" w14:textId="77777777" w:rsidR="002C6574" w:rsidRDefault="00000000">
                                  <w:pPr>
                                    <w:pStyle w:val="TableParagraph"/>
                                    <w:spacing w:line="163" w:lineRule="exact"/>
                                    <w:ind w:left="147" w:right="22"/>
                                    <w:jc w:val="center"/>
                                    <w:rPr>
                                      <w:rFonts w:ascii="Arial"/>
                                      <w:b/>
                                      <w:sz w:val="16"/>
                                    </w:rPr>
                                  </w:pPr>
                                  <w:r>
                                    <w:rPr>
                                      <w:rFonts w:ascii="Arial"/>
                                      <w:b/>
                                      <w:spacing w:val="-2"/>
                                      <w:sz w:val="16"/>
                                    </w:rPr>
                                    <w:t>(14.036)</w:t>
                                  </w:r>
                                </w:p>
                              </w:tc>
                              <w:tc>
                                <w:tcPr>
                                  <w:tcW w:w="773" w:type="dxa"/>
                                  <w:tcBorders>
                                    <w:top w:val="single" w:sz="8" w:space="0" w:color="3616F6"/>
                                    <w:bottom w:val="single" w:sz="8" w:space="0" w:color="3616F6"/>
                                    <w:right w:val="nil"/>
                                  </w:tcBorders>
                                </w:tcPr>
                                <w:p w14:paraId="25D6BC8C" w14:textId="77777777" w:rsidR="002C6574" w:rsidRDefault="00000000">
                                  <w:pPr>
                                    <w:pStyle w:val="TableParagraph"/>
                                    <w:spacing w:line="163" w:lineRule="exact"/>
                                    <w:ind w:left="133"/>
                                    <w:jc w:val="center"/>
                                    <w:rPr>
                                      <w:rFonts w:ascii="Arial"/>
                                      <w:b/>
                                      <w:sz w:val="16"/>
                                    </w:rPr>
                                  </w:pPr>
                                  <w:r>
                                    <w:rPr>
                                      <w:rFonts w:ascii="Arial"/>
                                      <w:b/>
                                      <w:spacing w:val="-2"/>
                                      <w:sz w:val="16"/>
                                    </w:rPr>
                                    <w:t>20.398</w:t>
                                  </w:r>
                                </w:p>
                              </w:tc>
                            </w:tr>
                            <w:tr w:rsidR="002C6574" w14:paraId="019958E8" w14:textId="77777777">
                              <w:trPr>
                                <w:trHeight w:val="184"/>
                              </w:trPr>
                              <w:tc>
                                <w:tcPr>
                                  <w:tcW w:w="6126" w:type="dxa"/>
                                  <w:tcBorders>
                                    <w:top w:val="single" w:sz="8" w:space="0" w:color="3616F6"/>
                                    <w:left w:val="nil"/>
                                    <w:bottom w:val="single" w:sz="8" w:space="0" w:color="3616F6"/>
                                  </w:tcBorders>
                                </w:tcPr>
                                <w:p w14:paraId="7D1312EC" w14:textId="77777777" w:rsidR="002C6574" w:rsidRDefault="002C6574">
                                  <w:pPr>
                                    <w:pStyle w:val="TableParagraph"/>
                                    <w:jc w:val="left"/>
                                    <w:rPr>
                                      <w:rFonts w:ascii="Times New Roman"/>
                                      <w:sz w:val="12"/>
                                    </w:rPr>
                                  </w:pPr>
                                </w:p>
                              </w:tc>
                              <w:tc>
                                <w:tcPr>
                                  <w:tcW w:w="861" w:type="dxa"/>
                                  <w:tcBorders>
                                    <w:top w:val="single" w:sz="8" w:space="0" w:color="3616F6"/>
                                    <w:bottom w:val="single" w:sz="8" w:space="0" w:color="3616F6"/>
                                  </w:tcBorders>
                                  <w:shd w:val="clear" w:color="auto" w:fill="75F6F8"/>
                                </w:tcPr>
                                <w:p w14:paraId="5FC9E071" w14:textId="77777777" w:rsidR="002C6574" w:rsidRDefault="002C6574">
                                  <w:pPr>
                                    <w:pStyle w:val="TableParagraph"/>
                                    <w:jc w:val="left"/>
                                    <w:rPr>
                                      <w:rFonts w:ascii="Times New Roman"/>
                                      <w:sz w:val="12"/>
                                    </w:rPr>
                                  </w:pPr>
                                </w:p>
                              </w:tc>
                              <w:tc>
                                <w:tcPr>
                                  <w:tcW w:w="861" w:type="dxa"/>
                                  <w:tcBorders>
                                    <w:top w:val="single" w:sz="8" w:space="0" w:color="3616F6"/>
                                    <w:bottom w:val="single" w:sz="8" w:space="0" w:color="3616F6"/>
                                  </w:tcBorders>
                                </w:tcPr>
                                <w:p w14:paraId="5EB440DE" w14:textId="77777777" w:rsidR="002C6574" w:rsidRDefault="002C6574">
                                  <w:pPr>
                                    <w:pStyle w:val="TableParagraph"/>
                                    <w:jc w:val="left"/>
                                    <w:rPr>
                                      <w:rFonts w:ascii="Times New Roman"/>
                                      <w:sz w:val="12"/>
                                    </w:rPr>
                                  </w:pPr>
                                </w:p>
                              </w:tc>
                              <w:tc>
                                <w:tcPr>
                                  <w:tcW w:w="773" w:type="dxa"/>
                                  <w:tcBorders>
                                    <w:top w:val="single" w:sz="8" w:space="0" w:color="3616F6"/>
                                    <w:bottom w:val="single" w:sz="8" w:space="0" w:color="3616F6"/>
                                    <w:right w:val="nil"/>
                                  </w:tcBorders>
                                </w:tcPr>
                                <w:p w14:paraId="44295B1E" w14:textId="77777777" w:rsidR="002C6574" w:rsidRDefault="002C6574">
                                  <w:pPr>
                                    <w:pStyle w:val="TableParagraph"/>
                                    <w:jc w:val="left"/>
                                    <w:rPr>
                                      <w:rFonts w:ascii="Times New Roman"/>
                                      <w:sz w:val="12"/>
                                    </w:rPr>
                                  </w:pPr>
                                </w:p>
                              </w:tc>
                            </w:tr>
                            <w:tr w:rsidR="002C6574" w14:paraId="4590288E" w14:textId="77777777">
                              <w:trPr>
                                <w:trHeight w:val="183"/>
                              </w:trPr>
                              <w:tc>
                                <w:tcPr>
                                  <w:tcW w:w="6126" w:type="dxa"/>
                                  <w:tcBorders>
                                    <w:top w:val="single" w:sz="8" w:space="0" w:color="3616F6"/>
                                    <w:left w:val="nil"/>
                                    <w:bottom w:val="single" w:sz="8" w:space="0" w:color="3616F6"/>
                                  </w:tcBorders>
                                  <w:shd w:val="clear" w:color="auto" w:fill="75F6F8"/>
                                </w:tcPr>
                                <w:p w14:paraId="72F468F0" w14:textId="77777777" w:rsidR="002C6574" w:rsidRDefault="00000000">
                                  <w:pPr>
                                    <w:pStyle w:val="TableParagraph"/>
                                    <w:spacing w:line="163" w:lineRule="exact"/>
                                    <w:ind w:left="69"/>
                                    <w:jc w:val="left"/>
                                    <w:rPr>
                                      <w:rFonts w:ascii="Arial" w:hAnsi="Arial"/>
                                      <w:b/>
                                      <w:sz w:val="16"/>
                                    </w:rPr>
                                  </w:pPr>
                                  <w:r>
                                    <w:rPr>
                                      <w:rFonts w:ascii="Arial" w:hAnsi="Arial"/>
                                      <w:b/>
                                      <w:sz w:val="16"/>
                                    </w:rPr>
                                    <w:t>Variação</w:t>
                                  </w:r>
                                  <w:r>
                                    <w:rPr>
                                      <w:rFonts w:ascii="Arial" w:hAnsi="Arial"/>
                                      <w:b/>
                                      <w:spacing w:val="-5"/>
                                      <w:sz w:val="16"/>
                                    </w:rPr>
                                    <w:t xml:space="preserve"> </w:t>
                                  </w:r>
                                  <w:r>
                                    <w:rPr>
                                      <w:rFonts w:ascii="Arial" w:hAnsi="Arial"/>
                                      <w:b/>
                                      <w:sz w:val="16"/>
                                    </w:rPr>
                                    <w:t>Líquida</w:t>
                                  </w:r>
                                  <w:r>
                                    <w:rPr>
                                      <w:rFonts w:ascii="Arial" w:hAnsi="Arial"/>
                                      <w:b/>
                                      <w:spacing w:val="-3"/>
                                      <w:sz w:val="16"/>
                                    </w:rPr>
                                    <w:t xml:space="preserve"> </w:t>
                                  </w:r>
                                  <w:r>
                                    <w:rPr>
                                      <w:rFonts w:ascii="Arial" w:hAnsi="Arial"/>
                                      <w:b/>
                                      <w:sz w:val="16"/>
                                    </w:rPr>
                                    <w:t>de</w:t>
                                  </w:r>
                                  <w:r>
                                    <w:rPr>
                                      <w:rFonts w:ascii="Arial" w:hAnsi="Arial"/>
                                      <w:b/>
                                      <w:spacing w:val="-6"/>
                                      <w:sz w:val="16"/>
                                    </w:rPr>
                                    <w:t xml:space="preserve"> </w:t>
                                  </w:r>
                                  <w:r>
                                    <w:rPr>
                                      <w:rFonts w:ascii="Arial" w:hAnsi="Arial"/>
                                      <w:b/>
                                      <w:sz w:val="16"/>
                                    </w:rPr>
                                    <w:t>Caixa</w:t>
                                  </w:r>
                                  <w:r>
                                    <w:rPr>
                                      <w:rFonts w:ascii="Arial" w:hAnsi="Arial"/>
                                      <w:b/>
                                      <w:spacing w:val="-3"/>
                                      <w:sz w:val="16"/>
                                    </w:rPr>
                                    <w:t xml:space="preserve"> </w:t>
                                  </w:r>
                                  <w:r>
                                    <w:rPr>
                                      <w:rFonts w:ascii="Arial" w:hAnsi="Arial"/>
                                      <w:b/>
                                      <w:sz w:val="16"/>
                                    </w:rPr>
                                    <w:t>e</w:t>
                                  </w:r>
                                  <w:r>
                                    <w:rPr>
                                      <w:rFonts w:ascii="Arial" w:hAnsi="Arial"/>
                                      <w:b/>
                                      <w:spacing w:val="-6"/>
                                      <w:sz w:val="16"/>
                                    </w:rPr>
                                    <w:t xml:space="preserve"> </w:t>
                                  </w:r>
                                  <w:r>
                                    <w:rPr>
                                      <w:rFonts w:ascii="Arial" w:hAnsi="Arial"/>
                                      <w:b/>
                                      <w:sz w:val="16"/>
                                    </w:rPr>
                                    <w:t>Equivalentes</w:t>
                                  </w:r>
                                  <w:r>
                                    <w:rPr>
                                      <w:rFonts w:ascii="Arial" w:hAnsi="Arial"/>
                                      <w:b/>
                                      <w:spacing w:val="-5"/>
                                      <w:sz w:val="16"/>
                                    </w:rPr>
                                    <w:t xml:space="preserve"> </w:t>
                                  </w:r>
                                  <w:r>
                                    <w:rPr>
                                      <w:rFonts w:ascii="Arial" w:hAnsi="Arial"/>
                                      <w:b/>
                                      <w:sz w:val="16"/>
                                    </w:rPr>
                                    <w:t>de</w:t>
                                  </w:r>
                                  <w:r>
                                    <w:rPr>
                                      <w:rFonts w:ascii="Arial" w:hAnsi="Arial"/>
                                      <w:b/>
                                      <w:spacing w:val="-2"/>
                                      <w:sz w:val="16"/>
                                    </w:rPr>
                                    <w:t xml:space="preserve"> Caixa</w:t>
                                  </w:r>
                                </w:p>
                              </w:tc>
                              <w:tc>
                                <w:tcPr>
                                  <w:tcW w:w="861" w:type="dxa"/>
                                  <w:tcBorders>
                                    <w:top w:val="single" w:sz="8" w:space="0" w:color="3616F6"/>
                                    <w:bottom w:val="single" w:sz="8" w:space="0" w:color="3616F6"/>
                                  </w:tcBorders>
                                  <w:shd w:val="clear" w:color="auto" w:fill="75F6F8"/>
                                </w:tcPr>
                                <w:p w14:paraId="256AA2EC" w14:textId="77777777" w:rsidR="002C6574" w:rsidRDefault="00000000">
                                  <w:pPr>
                                    <w:pStyle w:val="TableParagraph"/>
                                    <w:spacing w:line="163" w:lineRule="exact"/>
                                    <w:ind w:left="147" w:right="7"/>
                                    <w:jc w:val="center"/>
                                    <w:rPr>
                                      <w:rFonts w:ascii="Arial"/>
                                      <w:b/>
                                      <w:sz w:val="16"/>
                                    </w:rPr>
                                  </w:pPr>
                                  <w:r>
                                    <w:rPr>
                                      <w:rFonts w:ascii="Arial"/>
                                      <w:b/>
                                      <w:spacing w:val="-2"/>
                                      <w:sz w:val="16"/>
                                    </w:rPr>
                                    <w:t>129.339</w:t>
                                  </w:r>
                                </w:p>
                              </w:tc>
                              <w:tc>
                                <w:tcPr>
                                  <w:tcW w:w="861" w:type="dxa"/>
                                  <w:tcBorders>
                                    <w:top w:val="single" w:sz="8" w:space="0" w:color="3616F6"/>
                                    <w:bottom w:val="single" w:sz="8" w:space="0" w:color="3616F6"/>
                                  </w:tcBorders>
                                </w:tcPr>
                                <w:p w14:paraId="06F8EDC3" w14:textId="77777777" w:rsidR="002C6574" w:rsidRDefault="00000000">
                                  <w:pPr>
                                    <w:pStyle w:val="TableParagraph"/>
                                    <w:spacing w:line="163" w:lineRule="exact"/>
                                    <w:ind w:left="147" w:right="22"/>
                                    <w:jc w:val="center"/>
                                    <w:rPr>
                                      <w:rFonts w:ascii="Arial"/>
                                      <w:b/>
                                      <w:sz w:val="16"/>
                                    </w:rPr>
                                  </w:pPr>
                                  <w:r>
                                    <w:rPr>
                                      <w:rFonts w:ascii="Arial"/>
                                      <w:b/>
                                      <w:spacing w:val="-2"/>
                                      <w:sz w:val="16"/>
                                    </w:rPr>
                                    <w:t>(88.386)</w:t>
                                  </w:r>
                                </w:p>
                              </w:tc>
                              <w:tc>
                                <w:tcPr>
                                  <w:tcW w:w="773" w:type="dxa"/>
                                  <w:tcBorders>
                                    <w:top w:val="single" w:sz="8" w:space="0" w:color="3616F6"/>
                                    <w:bottom w:val="single" w:sz="8" w:space="0" w:color="3616F6"/>
                                    <w:right w:val="nil"/>
                                  </w:tcBorders>
                                </w:tcPr>
                                <w:p w14:paraId="16C603E5" w14:textId="77777777" w:rsidR="002C6574" w:rsidRDefault="00000000">
                                  <w:pPr>
                                    <w:pStyle w:val="TableParagraph"/>
                                    <w:spacing w:line="163" w:lineRule="exact"/>
                                    <w:ind w:left="133"/>
                                    <w:jc w:val="center"/>
                                    <w:rPr>
                                      <w:rFonts w:ascii="Arial"/>
                                      <w:b/>
                                      <w:sz w:val="16"/>
                                    </w:rPr>
                                  </w:pPr>
                                  <w:r>
                                    <w:rPr>
                                      <w:rFonts w:ascii="Arial"/>
                                      <w:b/>
                                      <w:spacing w:val="-2"/>
                                      <w:sz w:val="16"/>
                                    </w:rPr>
                                    <w:t>13.432</w:t>
                                  </w:r>
                                </w:p>
                              </w:tc>
                            </w:tr>
                            <w:tr w:rsidR="002C6574" w14:paraId="6331C7A9" w14:textId="77777777">
                              <w:trPr>
                                <w:trHeight w:val="736"/>
                              </w:trPr>
                              <w:tc>
                                <w:tcPr>
                                  <w:tcW w:w="6126" w:type="dxa"/>
                                  <w:tcBorders>
                                    <w:top w:val="single" w:sz="8" w:space="0" w:color="3616F6"/>
                                    <w:left w:val="nil"/>
                                    <w:bottom w:val="single" w:sz="8" w:space="0" w:color="3616F6"/>
                                  </w:tcBorders>
                                </w:tcPr>
                                <w:p w14:paraId="4670AA8C" w14:textId="77777777" w:rsidR="002C6574" w:rsidRDefault="00000000">
                                  <w:pPr>
                                    <w:pStyle w:val="TableParagraph"/>
                                    <w:spacing w:before="183"/>
                                    <w:ind w:left="69"/>
                                    <w:jc w:val="left"/>
                                    <w:rPr>
                                      <w:rFonts w:ascii="Arial" w:hAnsi="Arial"/>
                                      <w:b/>
                                      <w:sz w:val="16"/>
                                    </w:rPr>
                                  </w:pPr>
                                  <w:r>
                                    <w:rPr>
                                      <w:rFonts w:ascii="Arial" w:hAnsi="Arial"/>
                                      <w:b/>
                                      <w:sz w:val="16"/>
                                    </w:rPr>
                                    <w:t>Demonstração</w:t>
                                  </w:r>
                                  <w:r>
                                    <w:rPr>
                                      <w:rFonts w:ascii="Arial" w:hAnsi="Arial"/>
                                      <w:b/>
                                      <w:spacing w:val="-6"/>
                                      <w:sz w:val="16"/>
                                    </w:rPr>
                                    <w:t xml:space="preserve"> </w:t>
                                  </w:r>
                                  <w:r>
                                    <w:rPr>
                                      <w:rFonts w:ascii="Arial" w:hAnsi="Arial"/>
                                      <w:b/>
                                      <w:sz w:val="16"/>
                                    </w:rPr>
                                    <w:t>da</w:t>
                                  </w:r>
                                  <w:r>
                                    <w:rPr>
                                      <w:rFonts w:ascii="Arial" w:hAnsi="Arial"/>
                                      <w:b/>
                                      <w:spacing w:val="-5"/>
                                      <w:sz w:val="16"/>
                                    </w:rPr>
                                    <w:t xml:space="preserve"> </w:t>
                                  </w:r>
                                  <w:r>
                                    <w:rPr>
                                      <w:rFonts w:ascii="Arial" w:hAnsi="Arial"/>
                                      <w:b/>
                                      <w:sz w:val="16"/>
                                    </w:rPr>
                                    <w:t>Variação</w:t>
                                  </w:r>
                                  <w:r>
                                    <w:rPr>
                                      <w:rFonts w:ascii="Arial" w:hAnsi="Arial"/>
                                      <w:b/>
                                      <w:spacing w:val="-6"/>
                                      <w:sz w:val="16"/>
                                    </w:rPr>
                                    <w:t xml:space="preserve"> </w:t>
                                  </w:r>
                                  <w:r>
                                    <w:rPr>
                                      <w:rFonts w:ascii="Arial" w:hAnsi="Arial"/>
                                      <w:b/>
                                      <w:sz w:val="16"/>
                                    </w:rPr>
                                    <w:t>de</w:t>
                                  </w:r>
                                  <w:r>
                                    <w:rPr>
                                      <w:rFonts w:ascii="Arial" w:hAnsi="Arial"/>
                                      <w:b/>
                                      <w:spacing w:val="-3"/>
                                      <w:sz w:val="16"/>
                                    </w:rPr>
                                    <w:t xml:space="preserve"> </w:t>
                                  </w:r>
                                  <w:r>
                                    <w:rPr>
                                      <w:rFonts w:ascii="Arial" w:hAnsi="Arial"/>
                                      <w:b/>
                                      <w:sz w:val="16"/>
                                    </w:rPr>
                                    <w:t>Caixa</w:t>
                                  </w:r>
                                  <w:r>
                                    <w:rPr>
                                      <w:rFonts w:ascii="Arial" w:hAnsi="Arial"/>
                                      <w:b/>
                                      <w:spacing w:val="-4"/>
                                      <w:sz w:val="16"/>
                                    </w:rPr>
                                    <w:t xml:space="preserve"> </w:t>
                                  </w:r>
                                  <w:r>
                                    <w:rPr>
                                      <w:rFonts w:ascii="Arial" w:hAnsi="Arial"/>
                                      <w:b/>
                                      <w:sz w:val="16"/>
                                    </w:rPr>
                                    <w:t>e</w:t>
                                  </w:r>
                                  <w:r>
                                    <w:rPr>
                                      <w:rFonts w:ascii="Arial" w:hAnsi="Arial"/>
                                      <w:b/>
                                      <w:spacing w:val="-5"/>
                                      <w:sz w:val="16"/>
                                    </w:rPr>
                                    <w:t xml:space="preserve"> </w:t>
                                  </w:r>
                                  <w:r>
                                    <w:rPr>
                                      <w:rFonts w:ascii="Arial" w:hAnsi="Arial"/>
                                      <w:b/>
                                      <w:sz w:val="16"/>
                                    </w:rPr>
                                    <w:t>Equivalentes</w:t>
                                  </w:r>
                                  <w:r>
                                    <w:rPr>
                                      <w:rFonts w:ascii="Arial" w:hAnsi="Arial"/>
                                      <w:b/>
                                      <w:spacing w:val="-6"/>
                                      <w:sz w:val="16"/>
                                    </w:rPr>
                                    <w:t xml:space="preserve"> </w:t>
                                  </w:r>
                                  <w:r>
                                    <w:rPr>
                                      <w:rFonts w:ascii="Arial" w:hAnsi="Arial"/>
                                      <w:b/>
                                      <w:sz w:val="16"/>
                                    </w:rPr>
                                    <w:t>de</w:t>
                                  </w:r>
                                  <w:r>
                                    <w:rPr>
                                      <w:rFonts w:ascii="Arial" w:hAnsi="Arial"/>
                                      <w:b/>
                                      <w:spacing w:val="-3"/>
                                      <w:sz w:val="16"/>
                                    </w:rPr>
                                    <w:t xml:space="preserve"> </w:t>
                                  </w:r>
                                  <w:r>
                                    <w:rPr>
                                      <w:rFonts w:ascii="Arial" w:hAnsi="Arial"/>
                                      <w:b/>
                                      <w:spacing w:val="-2"/>
                                      <w:sz w:val="16"/>
                                    </w:rPr>
                                    <w:t>Caixa</w:t>
                                  </w:r>
                                </w:p>
                                <w:p w14:paraId="6B4BAA54" w14:textId="77777777" w:rsidR="002C6574" w:rsidRDefault="00000000">
                                  <w:pPr>
                                    <w:pStyle w:val="TableParagraph"/>
                                    <w:spacing w:line="180" w:lineRule="atLeast"/>
                                    <w:ind w:left="427" w:right="1689"/>
                                    <w:jc w:val="left"/>
                                    <w:rPr>
                                      <w:rFonts w:ascii="Arial MT" w:hAnsi="Arial MT"/>
                                      <w:sz w:val="16"/>
                                    </w:rPr>
                                  </w:pPr>
                                  <w:r>
                                    <w:rPr>
                                      <w:rFonts w:ascii="Arial MT" w:hAnsi="Arial MT"/>
                                      <w:sz w:val="16"/>
                                    </w:rPr>
                                    <w:t>Caixa</w:t>
                                  </w:r>
                                  <w:r>
                                    <w:rPr>
                                      <w:rFonts w:ascii="Arial MT" w:hAnsi="Arial MT"/>
                                      <w:spacing w:val="-3"/>
                                      <w:sz w:val="16"/>
                                    </w:rPr>
                                    <w:t xml:space="preserve"> </w:t>
                                  </w:r>
                                  <w:r>
                                    <w:rPr>
                                      <w:rFonts w:ascii="Arial MT" w:hAnsi="Arial MT"/>
                                      <w:sz w:val="16"/>
                                    </w:rPr>
                                    <w:t>e</w:t>
                                  </w:r>
                                  <w:r>
                                    <w:rPr>
                                      <w:rFonts w:ascii="Arial MT" w:hAnsi="Arial MT"/>
                                      <w:spacing w:val="-2"/>
                                      <w:sz w:val="16"/>
                                    </w:rPr>
                                    <w:t xml:space="preserve"> </w:t>
                                  </w:r>
                                  <w:r>
                                    <w:rPr>
                                      <w:rFonts w:ascii="Arial MT" w:hAnsi="Arial MT"/>
                                      <w:sz w:val="16"/>
                                    </w:rPr>
                                    <w:t>Equivalentes</w:t>
                                  </w:r>
                                  <w:r>
                                    <w:rPr>
                                      <w:rFonts w:ascii="Arial MT" w:hAnsi="Arial MT"/>
                                      <w:spacing w:val="-1"/>
                                      <w:sz w:val="16"/>
                                    </w:rPr>
                                    <w:t xml:space="preserve"> </w:t>
                                  </w:r>
                                  <w:r>
                                    <w:rPr>
                                      <w:rFonts w:ascii="Arial MT" w:hAnsi="Arial MT"/>
                                      <w:sz w:val="16"/>
                                    </w:rPr>
                                    <w:t>de Caixa no Final</w:t>
                                  </w:r>
                                  <w:r>
                                    <w:rPr>
                                      <w:rFonts w:ascii="Arial MT" w:hAnsi="Arial MT"/>
                                      <w:spacing w:val="-2"/>
                                      <w:sz w:val="16"/>
                                    </w:rPr>
                                    <w:t xml:space="preserve"> </w:t>
                                  </w:r>
                                  <w:r>
                                    <w:rPr>
                                      <w:rFonts w:ascii="Arial MT" w:hAnsi="Arial MT"/>
                                      <w:sz w:val="16"/>
                                    </w:rPr>
                                    <w:t>do</w:t>
                                  </w:r>
                                  <w:r>
                                    <w:rPr>
                                      <w:rFonts w:ascii="Arial MT" w:hAnsi="Arial MT"/>
                                      <w:spacing w:val="-2"/>
                                      <w:sz w:val="16"/>
                                    </w:rPr>
                                    <w:t xml:space="preserve"> </w:t>
                                  </w:r>
                                  <w:r>
                                    <w:rPr>
                                      <w:rFonts w:ascii="Arial MT" w:hAnsi="Arial MT"/>
                                      <w:sz w:val="16"/>
                                    </w:rPr>
                                    <w:t>Período Caixa</w:t>
                                  </w:r>
                                  <w:r>
                                    <w:rPr>
                                      <w:rFonts w:ascii="Arial MT" w:hAnsi="Arial MT"/>
                                      <w:spacing w:val="-6"/>
                                      <w:sz w:val="16"/>
                                    </w:rPr>
                                    <w:t xml:space="preserve"> </w:t>
                                  </w:r>
                                  <w:r>
                                    <w:rPr>
                                      <w:rFonts w:ascii="Arial MT" w:hAnsi="Arial MT"/>
                                      <w:sz w:val="16"/>
                                    </w:rPr>
                                    <w:t>e</w:t>
                                  </w:r>
                                  <w:r>
                                    <w:rPr>
                                      <w:rFonts w:ascii="Arial MT" w:hAnsi="Arial MT"/>
                                      <w:spacing w:val="-6"/>
                                      <w:sz w:val="16"/>
                                    </w:rPr>
                                    <w:t xml:space="preserve"> </w:t>
                                  </w:r>
                                  <w:r>
                                    <w:rPr>
                                      <w:rFonts w:ascii="Arial MT" w:hAnsi="Arial MT"/>
                                      <w:sz w:val="16"/>
                                    </w:rPr>
                                    <w:t>Equivalentes</w:t>
                                  </w:r>
                                  <w:r>
                                    <w:rPr>
                                      <w:rFonts w:ascii="Arial MT" w:hAnsi="Arial MT"/>
                                      <w:spacing w:val="-4"/>
                                      <w:sz w:val="16"/>
                                    </w:rPr>
                                    <w:t xml:space="preserve"> </w:t>
                                  </w:r>
                                  <w:r>
                                    <w:rPr>
                                      <w:rFonts w:ascii="Arial MT" w:hAnsi="Arial MT"/>
                                      <w:sz w:val="16"/>
                                    </w:rPr>
                                    <w:t>de</w:t>
                                  </w:r>
                                  <w:r>
                                    <w:rPr>
                                      <w:rFonts w:ascii="Arial MT" w:hAnsi="Arial MT"/>
                                      <w:spacing w:val="-3"/>
                                      <w:sz w:val="16"/>
                                    </w:rPr>
                                    <w:t xml:space="preserve"> </w:t>
                                  </w:r>
                                  <w:r>
                                    <w:rPr>
                                      <w:rFonts w:ascii="Arial MT" w:hAnsi="Arial MT"/>
                                      <w:sz w:val="16"/>
                                    </w:rPr>
                                    <w:t>Caixa</w:t>
                                  </w:r>
                                  <w:r>
                                    <w:rPr>
                                      <w:rFonts w:ascii="Arial MT" w:hAnsi="Arial MT"/>
                                      <w:spacing w:val="-3"/>
                                      <w:sz w:val="16"/>
                                    </w:rPr>
                                    <w:t xml:space="preserve"> </w:t>
                                  </w:r>
                                  <w:r>
                                    <w:rPr>
                                      <w:rFonts w:ascii="Arial MT" w:hAnsi="Arial MT"/>
                                      <w:sz w:val="16"/>
                                    </w:rPr>
                                    <w:t>no</w:t>
                                  </w:r>
                                  <w:r>
                                    <w:rPr>
                                      <w:rFonts w:ascii="Arial MT" w:hAnsi="Arial MT"/>
                                      <w:spacing w:val="-3"/>
                                      <w:sz w:val="16"/>
                                    </w:rPr>
                                    <w:t xml:space="preserve"> </w:t>
                                  </w:r>
                                  <w:r>
                                    <w:rPr>
                                      <w:rFonts w:ascii="Arial MT" w:hAnsi="Arial MT"/>
                                      <w:sz w:val="16"/>
                                    </w:rPr>
                                    <w:t>Início</w:t>
                                  </w:r>
                                  <w:r>
                                    <w:rPr>
                                      <w:rFonts w:ascii="Arial MT" w:hAnsi="Arial MT"/>
                                      <w:spacing w:val="-5"/>
                                      <w:sz w:val="16"/>
                                    </w:rPr>
                                    <w:t xml:space="preserve"> </w:t>
                                  </w:r>
                                  <w:r>
                                    <w:rPr>
                                      <w:rFonts w:ascii="Arial MT" w:hAnsi="Arial MT"/>
                                      <w:sz w:val="16"/>
                                    </w:rPr>
                                    <w:t>do</w:t>
                                  </w:r>
                                  <w:r>
                                    <w:rPr>
                                      <w:rFonts w:ascii="Arial MT" w:hAnsi="Arial MT"/>
                                      <w:spacing w:val="-5"/>
                                      <w:sz w:val="16"/>
                                    </w:rPr>
                                    <w:t xml:space="preserve"> </w:t>
                                  </w:r>
                                  <w:r>
                                    <w:rPr>
                                      <w:rFonts w:ascii="Arial MT" w:hAnsi="Arial MT"/>
                                      <w:spacing w:val="-2"/>
                                      <w:sz w:val="16"/>
                                    </w:rPr>
                                    <w:t>Período</w:t>
                                  </w:r>
                                </w:p>
                              </w:tc>
                              <w:tc>
                                <w:tcPr>
                                  <w:tcW w:w="861" w:type="dxa"/>
                                  <w:tcBorders>
                                    <w:top w:val="single" w:sz="8" w:space="0" w:color="3616F6"/>
                                    <w:bottom w:val="single" w:sz="8" w:space="0" w:color="3616F6"/>
                                  </w:tcBorders>
                                  <w:shd w:val="clear" w:color="auto" w:fill="75F6F8"/>
                                </w:tcPr>
                                <w:p w14:paraId="50D240D1" w14:textId="77777777" w:rsidR="002C6574" w:rsidRDefault="002C6574">
                                  <w:pPr>
                                    <w:pStyle w:val="TableParagraph"/>
                                    <w:spacing w:before="183"/>
                                    <w:jc w:val="left"/>
                                    <w:rPr>
                                      <w:rFonts w:ascii="Arial"/>
                                      <w:b/>
                                      <w:sz w:val="16"/>
                                    </w:rPr>
                                  </w:pPr>
                                </w:p>
                                <w:p w14:paraId="2D0D65C6" w14:textId="77777777" w:rsidR="002C6574" w:rsidRDefault="00000000">
                                  <w:pPr>
                                    <w:pStyle w:val="TableParagraph"/>
                                    <w:spacing w:before="1"/>
                                    <w:ind w:left="201"/>
                                    <w:jc w:val="left"/>
                                    <w:rPr>
                                      <w:rFonts w:ascii="Arial MT"/>
                                      <w:sz w:val="16"/>
                                    </w:rPr>
                                  </w:pPr>
                                  <w:r>
                                    <w:rPr>
                                      <w:rFonts w:ascii="Arial MT"/>
                                      <w:spacing w:val="-2"/>
                                      <w:sz w:val="16"/>
                                    </w:rPr>
                                    <w:t>698.514</w:t>
                                  </w:r>
                                </w:p>
                                <w:p w14:paraId="76061A38" w14:textId="77777777" w:rsidR="002C6574" w:rsidRDefault="00000000">
                                  <w:pPr>
                                    <w:pStyle w:val="TableParagraph"/>
                                    <w:spacing w:line="163" w:lineRule="exact"/>
                                    <w:ind w:left="201"/>
                                    <w:jc w:val="left"/>
                                    <w:rPr>
                                      <w:rFonts w:ascii="Arial MT"/>
                                      <w:sz w:val="16"/>
                                    </w:rPr>
                                  </w:pPr>
                                  <w:r>
                                    <w:rPr>
                                      <w:rFonts w:ascii="Arial MT"/>
                                      <w:spacing w:val="-2"/>
                                      <w:sz w:val="16"/>
                                    </w:rPr>
                                    <w:t>569.175</w:t>
                                  </w:r>
                                </w:p>
                              </w:tc>
                              <w:tc>
                                <w:tcPr>
                                  <w:tcW w:w="861" w:type="dxa"/>
                                  <w:tcBorders>
                                    <w:top w:val="single" w:sz="8" w:space="0" w:color="3616F6"/>
                                    <w:bottom w:val="single" w:sz="8" w:space="0" w:color="3616F6"/>
                                  </w:tcBorders>
                                </w:tcPr>
                                <w:p w14:paraId="6328C682" w14:textId="77777777" w:rsidR="002C6574" w:rsidRDefault="002C6574">
                                  <w:pPr>
                                    <w:pStyle w:val="TableParagraph"/>
                                    <w:spacing w:before="183"/>
                                    <w:jc w:val="left"/>
                                    <w:rPr>
                                      <w:rFonts w:ascii="Arial"/>
                                      <w:b/>
                                      <w:sz w:val="16"/>
                                    </w:rPr>
                                  </w:pPr>
                                </w:p>
                                <w:p w14:paraId="2E546649" w14:textId="77777777" w:rsidR="002C6574" w:rsidRDefault="00000000">
                                  <w:pPr>
                                    <w:pStyle w:val="TableParagraph"/>
                                    <w:spacing w:before="1"/>
                                    <w:ind w:left="201"/>
                                    <w:jc w:val="left"/>
                                    <w:rPr>
                                      <w:rFonts w:ascii="Arial MT"/>
                                      <w:sz w:val="16"/>
                                    </w:rPr>
                                  </w:pPr>
                                  <w:r>
                                    <w:rPr>
                                      <w:rFonts w:ascii="Arial MT"/>
                                      <w:spacing w:val="-2"/>
                                      <w:sz w:val="16"/>
                                    </w:rPr>
                                    <w:t>425.387</w:t>
                                  </w:r>
                                </w:p>
                                <w:p w14:paraId="76E4B810" w14:textId="77777777" w:rsidR="002C6574" w:rsidRDefault="00000000">
                                  <w:pPr>
                                    <w:pStyle w:val="TableParagraph"/>
                                    <w:spacing w:line="163" w:lineRule="exact"/>
                                    <w:ind w:left="201"/>
                                    <w:jc w:val="left"/>
                                    <w:rPr>
                                      <w:rFonts w:ascii="Arial MT"/>
                                      <w:sz w:val="16"/>
                                    </w:rPr>
                                  </w:pPr>
                                  <w:r>
                                    <w:rPr>
                                      <w:rFonts w:ascii="Arial MT"/>
                                      <w:spacing w:val="-2"/>
                                      <w:sz w:val="16"/>
                                    </w:rPr>
                                    <w:t>513.773</w:t>
                                  </w:r>
                                </w:p>
                              </w:tc>
                              <w:tc>
                                <w:tcPr>
                                  <w:tcW w:w="773" w:type="dxa"/>
                                  <w:tcBorders>
                                    <w:top w:val="single" w:sz="8" w:space="0" w:color="3616F6"/>
                                    <w:bottom w:val="single" w:sz="8" w:space="0" w:color="3616F6"/>
                                    <w:right w:val="nil"/>
                                  </w:tcBorders>
                                </w:tcPr>
                                <w:p w14:paraId="3F762AD5" w14:textId="77777777" w:rsidR="002C6574" w:rsidRDefault="002C6574">
                                  <w:pPr>
                                    <w:pStyle w:val="TableParagraph"/>
                                    <w:spacing w:before="183"/>
                                    <w:jc w:val="left"/>
                                    <w:rPr>
                                      <w:rFonts w:ascii="Arial"/>
                                      <w:b/>
                                      <w:sz w:val="16"/>
                                    </w:rPr>
                                  </w:pPr>
                                </w:p>
                                <w:p w14:paraId="3356124F" w14:textId="77777777" w:rsidR="002C6574" w:rsidRDefault="00000000">
                                  <w:pPr>
                                    <w:pStyle w:val="TableParagraph"/>
                                    <w:spacing w:before="1"/>
                                    <w:ind w:left="114"/>
                                    <w:jc w:val="left"/>
                                    <w:rPr>
                                      <w:rFonts w:ascii="Arial MT"/>
                                      <w:sz w:val="16"/>
                                    </w:rPr>
                                  </w:pPr>
                                  <w:r>
                                    <w:rPr>
                                      <w:rFonts w:ascii="Arial MT"/>
                                      <w:spacing w:val="-2"/>
                                      <w:sz w:val="16"/>
                                    </w:rPr>
                                    <w:t>569.175</w:t>
                                  </w:r>
                                </w:p>
                                <w:p w14:paraId="08092DE1" w14:textId="77777777" w:rsidR="002C6574" w:rsidRDefault="00000000">
                                  <w:pPr>
                                    <w:pStyle w:val="TableParagraph"/>
                                    <w:spacing w:line="163" w:lineRule="exact"/>
                                    <w:ind w:left="114"/>
                                    <w:jc w:val="left"/>
                                    <w:rPr>
                                      <w:rFonts w:ascii="Arial MT"/>
                                      <w:sz w:val="16"/>
                                    </w:rPr>
                                  </w:pPr>
                                  <w:r>
                                    <w:rPr>
                                      <w:rFonts w:ascii="Arial MT"/>
                                      <w:spacing w:val="-2"/>
                                      <w:sz w:val="16"/>
                                    </w:rPr>
                                    <w:t>555.743</w:t>
                                  </w:r>
                                </w:p>
                              </w:tc>
                            </w:tr>
                            <w:tr w:rsidR="002C6574" w14:paraId="1549059F" w14:textId="77777777">
                              <w:trPr>
                                <w:trHeight w:val="183"/>
                              </w:trPr>
                              <w:tc>
                                <w:tcPr>
                                  <w:tcW w:w="6126" w:type="dxa"/>
                                  <w:tcBorders>
                                    <w:top w:val="single" w:sz="8" w:space="0" w:color="3616F6"/>
                                    <w:left w:val="nil"/>
                                    <w:bottom w:val="single" w:sz="8" w:space="0" w:color="3616F6"/>
                                  </w:tcBorders>
                                  <w:shd w:val="clear" w:color="auto" w:fill="75F6F8"/>
                                </w:tcPr>
                                <w:p w14:paraId="07C57DB5" w14:textId="77777777" w:rsidR="002C6574" w:rsidRDefault="00000000">
                                  <w:pPr>
                                    <w:pStyle w:val="TableParagraph"/>
                                    <w:spacing w:line="163" w:lineRule="exact"/>
                                    <w:ind w:left="69"/>
                                    <w:jc w:val="left"/>
                                    <w:rPr>
                                      <w:rFonts w:ascii="Arial" w:hAnsi="Arial"/>
                                      <w:b/>
                                      <w:sz w:val="16"/>
                                    </w:rPr>
                                  </w:pPr>
                                  <w:r>
                                    <w:rPr>
                                      <w:rFonts w:ascii="Arial" w:hAnsi="Arial"/>
                                      <w:b/>
                                      <w:sz w:val="16"/>
                                    </w:rPr>
                                    <w:t>Variação</w:t>
                                  </w:r>
                                  <w:r>
                                    <w:rPr>
                                      <w:rFonts w:ascii="Arial" w:hAnsi="Arial"/>
                                      <w:b/>
                                      <w:spacing w:val="-6"/>
                                      <w:sz w:val="16"/>
                                    </w:rPr>
                                    <w:t xml:space="preserve"> </w:t>
                                  </w:r>
                                  <w:r>
                                    <w:rPr>
                                      <w:rFonts w:ascii="Arial" w:hAnsi="Arial"/>
                                      <w:b/>
                                      <w:sz w:val="16"/>
                                    </w:rPr>
                                    <w:t>de</w:t>
                                  </w:r>
                                  <w:r>
                                    <w:rPr>
                                      <w:rFonts w:ascii="Arial" w:hAnsi="Arial"/>
                                      <w:b/>
                                      <w:spacing w:val="-4"/>
                                      <w:sz w:val="16"/>
                                    </w:rPr>
                                    <w:t xml:space="preserve"> </w:t>
                                  </w:r>
                                  <w:r>
                                    <w:rPr>
                                      <w:rFonts w:ascii="Arial" w:hAnsi="Arial"/>
                                      <w:b/>
                                      <w:sz w:val="16"/>
                                    </w:rPr>
                                    <w:t>Caixa</w:t>
                                  </w:r>
                                  <w:r>
                                    <w:rPr>
                                      <w:rFonts w:ascii="Arial" w:hAnsi="Arial"/>
                                      <w:b/>
                                      <w:spacing w:val="-6"/>
                                      <w:sz w:val="16"/>
                                    </w:rPr>
                                    <w:t xml:space="preserve"> </w:t>
                                  </w:r>
                                  <w:r>
                                    <w:rPr>
                                      <w:rFonts w:ascii="Arial" w:hAnsi="Arial"/>
                                      <w:b/>
                                      <w:sz w:val="16"/>
                                    </w:rPr>
                                    <w:t>e</w:t>
                                  </w:r>
                                  <w:r>
                                    <w:rPr>
                                      <w:rFonts w:ascii="Arial" w:hAnsi="Arial"/>
                                      <w:b/>
                                      <w:spacing w:val="-5"/>
                                      <w:sz w:val="16"/>
                                    </w:rPr>
                                    <w:t xml:space="preserve"> </w:t>
                                  </w:r>
                                  <w:r>
                                    <w:rPr>
                                      <w:rFonts w:ascii="Arial" w:hAnsi="Arial"/>
                                      <w:b/>
                                      <w:sz w:val="16"/>
                                    </w:rPr>
                                    <w:t>Equivalentes</w:t>
                                  </w:r>
                                  <w:r>
                                    <w:rPr>
                                      <w:rFonts w:ascii="Arial" w:hAnsi="Arial"/>
                                      <w:b/>
                                      <w:spacing w:val="-4"/>
                                      <w:sz w:val="16"/>
                                    </w:rPr>
                                    <w:t xml:space="preserve"> </w:t>
                                  </w:r>
                                  <w:r>
                                    <w:rPr>
                                      <w:rFonts w:ascii="Arial" w:hAnsi="Arial"/>
                                      <w:b/>
                                      <w:sz w:val="16"/>
                                    </w:rPr>
                                    <w:t>de</w:t>
                                  </w:r>
                                  <w:r>
                                    <w:rPr>
                                      <w:rFonts w:ascii="Arial" w:hAnsi="Arial"/>
                                      <w:b/>
                                      <w:spacing w:val="-3"/>
                                      <w:sz w:val="16"/>
                                    </w:rPr>
                                    <w:t xml:space="preserve"> </w:t>
                                  </w:r>
                                  <w:r>
                                    <w:rPr>
                                      <w:rFonts w:ascii="Arial" w:hAnsi="Arial"/>
                                      <w:b/>
                                      <w:spacing w:val="-2"/>
                                      <w:sz w:val="16"/>
                                    </w:rPr>
                                    <w:t>Caixa</w:t>
                                  </w:r>
                                </w:p>
                              </w:tc>
                              <w:tc>
                                <w:tcPr>
                                  <w:tcW w:w="861" w:type="dxa"/>
                                  <w:tcBorders>
                                    <w:top w:val="single" w:sz="8" w:space="0" w:color="3616F6"/>
                                    <w:bottom w:val="single" w:sz="8" w:space="0" w:color="3616F6"/>
                                  </w:tcBorders>
                                  <w:shd w:val="clear" w:color="auto" w:fill="75F6F8"/>
                                </w:tcPr>
                                <w:p w14:paraId="3E743E07" w14:textId="77777777" w:rsidR="002C6574" w:rsidRDefault="00000000">
                                  <w:pPr>
                                    <w:pStyle w:val="TableParagraph"/>
                                    <w:spacing w:line="163" w:lineRule="exact"/>
                                    <w:ind w:left="147" w:right="7"/>
                                    <w:jc w:val="center"/>
                                    <w:rPr>
                                      <w:rFonts w:ascii="Arial"/>
                                      <w:b/>
                                      <w:sz w:val="16"/>
                                    </w:rPr>
                                  </w:pPr>
                                  <w:r>
                                    <w:rPr>
                                      <w:rFonts w:ascii="Arial"/>
                                      <w:b/>
                                      <w:spacing w:val="-2"/>
                                      <w:sz w:val="16"/>
                                    </w:rPr>
                                    <w:t>129.339</w:t>
                                  </w:r>
                                </w:p>
                              </w:tc>
                              <w:tc>
                                <w:tcPr>
                                  <w:tcW w:w="861" w:type="dxa"/>
                                  <w:tcBorders>
                                    <w:top w:val="single" w:sz="8" w:space="0" w:color="3616F6"/>
                                    <w:bottom w:val="single" w:sz="8" w:space="0" w:color="3616F6"/>
                                  </w:tcBorders>
                                </w:tcPr>
                                <w:p w14:paraId="0C7C7201" w14:textId="77777777" w:rsidR="002C6574" w:rsidRDefault="00000000">
                                  <w:pPr>
                                    <w:pStyle w:val="TableParagraph"/>
                                    <w:spacing w:line="163" w:lineRule="exact"/>
                                    <w:ind w:left="147" w:right="22"/>
                                    <w:jc w:val="center"/>
                                    <w:rPr>
                                      <w:rFonts w:ascii="Arial"/>
                                      <w:b/>
                                      <w:sz w:val="16"/>
                                    </w:rPr>
                                  </w:pPr>
                                  <w:r>
                                    <w:rPr>
                                      <w:rFonts w:ascii="Arial"/>
                                      <w:b/>
                                      <w:spacing w:val="-2"/>
                                      <w:sz w:val="16"/>
                                    </w:rPr>
                                    <w:t>(88.386)</w:t>
                                  </w:r>
                                </w:p>
                              </w:tc>
                              <w:tc>
                                <w:tcPr>
                                  <w:tcW w:w="773" w:type="dxa"/>
                                  <w:tcBorders>
                                    <w:top w:val="single" w:sz="8" w:space="0" w:color="3616F6"/>
                                    <w:bottom w:val="single" w:sz="8" w:space="0" w:color="3616F6"/>
                                    <w:right w:val="nil"/>
                                  </w:tcBorders>
                                </w:tcPr>
                                <w:p w14:paraId="1D2E5394" w14:textId="77777777" w:rsidR="002C6574" w:rsidRDefault="00000000">
                                  <w:pPr>
                                    <w:pStyle w:val="TableParagraph"/>
                                    <w:spacing w:line="163" w:lineRule="exact"/>
                                    <w:ind w:left="133"/>
                                    <w:jc w:val="center"/>
                                    <w:rPr>
                                      <w:rFonts w:ascii="Arial"/>
                                      <w:b/>
                                      <w:sz w:val="16"/>
                                    </w:rPr>
                                  </w:pPr>
                                  <w:r>
                                    <w:rPr>
                                      <w:rFonts w:ascii="Arial"/>
                                      <w:b/>
                                      <w:spacing w:val="-2"/>
                                      <w:sz w:val="16"/>
                                    </w:rPr>
                                    <w:t>13.432</w:t>
                                  </w:r>
                                </w:p>
                              </w:tc>
                            </w:tr>
                          </w:tbl>
                          <w:p w14:paraId="2D6968B9" w14:textId="77777777" w:rsidR="002C6574" w:rsidRDefault="002C6574">
                            <w:pPr>
                              <w:pStyle w:val="Corpodetexto"/>
                            </w:pPr>
                          </w:p>
                        </w:txbxContent>
                      </wps:txbx>
                      <wps:bodyPr wrap="square" lIns="0" tIns="0" rIns="0" bIns="0" rtlCol="0">
                        <a:noAutofit/>
                      </wps:bodyPr>
                    </wps:wsp>
                  </a:graphicData>
                </a:graphic>
              </wp:inline>
            </w:drawing>
          </mc:Choice>
          <mc:Fallback>
            <w:pict>
              <v:shape w14:anchorId="184E1707" id="Textbox 525" o:spid="_x0000_s1255" type="#_x0000_t202" style="width:431.15pt;height:5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" filled="f" stroked="f">
                <v:textbox inset="0,0,0,0">
                  <w:txbxContent>
                    <w:tbl>
                      <w:tblPr>
                        <w:tblStyle w:val="TableNormal"/>
                        <w:tblW w:w="0" w:type="auto"/>
                        <w:tblInd w:w="7"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1E0" w:firstRow="1" w:lastRow="1" w:firstColumn="1" w:lastColumn="1" w:noHBand="0" w:noVBand="0"/>
                      </w:tblPr>
                      <w:tblGrid>
                        <w:gridCol w:w="6126"/>
                        <w:gridCol w:w="861"/>
                        <w:gridCol w:w="861"/>
                        <w:gridCol w:w="773"/>
                      </w:tblGrid>
                      <w:tr w:rsidR="002C6574" w14:paraId="1EC82828" w14:textId="77777777">
                        <w:trPr>
                          <w:trHeight w:val="183"/>
                        </w:trPr>
                        <w:tc>
                          <w:tcPr>
                            <w:tcW w:w="6126" w:type="dxa"/>
                            <w:tcBorders>
                              <w:left w:val="nil"/>
                            </w:tcBorders>
                          </w:tcPr>
                          <w:p w14:paraId="533F4E26" w14:textId="77777777" w:rsidR="002C6574" w:rsidRDefault="00000000">
                            <w:pPr>
                              <w:pStyle w:val="TableParagraph"/>
                              <w:spacing w:line="163" w:lineRule="exact"/>
                              <w:ind w:left="69"/>
                              <w:jc w:val="left"/>
                              <w:rPr>
                                <w:rFonts w:ascii="Arial" w:hAnsi="Arial"/>
                                <w:b/>
                                <w:sz w:val="16"/>
                              </w:rPr>
                            </w:pPr>
                            <w:r>
                              <w:rPr>
                                <w:rFonts w:ascii="Arial" w:hAnsi="Arial"/>
                                <w:b/>
                                <w:sz w:val="16"/>
                              </w:rPr>
                              <w:t>Lucro/(Prejuízo)</w:t>
                            </w:r>
                            <w:r>
                              <w:rPr>
                                <w:rFonts w:ascii="Arial" w:hAnsi="Arial"/>
                                <w:b/>
                                <w:spacing w:val="-7"/>
                                <w:sz w:val="16"/>
                              </w:rPr>
                              <w:t xml:space="preserve"> </w:t>
                            </w:r>
                            <w:r>
                              <w:rPr>
                                <w:rFonts w:ascii="Arial" w:hAnsi="Arial"/>
                                <w:b/>
                                <w:sz w:val="16"/>
                              </w:rPr>
                              <w:t>antes</w:t>
                            </w:r>
                            <w:r>
                              <w:rPr>
                                <w:rFonts w:ascii="Arial" w:hAnsi="Arial"/>
                                <w:b/>
                                <w:spacing w:val="-7"/>
                                <w:sz w:val="16"/>
                              </w:rPr>
                              <w:t xml:space="preserve"> </w:t>
                            </w:r>
                            <w:r>
                              <w:rPr>
                                <w:rFonts w:ascii="Arial" w:hAnsi="Arial"/>
                                <w:b/>
                                <w:sz w:val="16"/>
                              </w:rPr>
                              <w:t>do</w:t>
                            </w:r>
                            <w:r>
                              <w:rPr>
                                <w:rFonts w:ascii="Arial" w:hAnsi="Arial"/>
                                <w:b/>
                                <w:spacing w:val="-6"/>
                                <w:sz w:val="16"/>
                              </w:rPr>
                              <w:t xml:space="preserve"> </w:t>
                            </w:r>
                            <w:r>
                              <w:rPr>
                                <w:rFonts w:ascii="Arial" w:hAnsi="Arial"/>
                                <w:b/>
                                <w:sz w:val="16"/>
                              </w:rPr>
                              <w:t>Imposto</w:t>
                            </w:r>
                            <w:r>
                              <w:rPr>
                                <w:rFonts w:ascii="Arial" w:hAnsi="Arial"/>
                                <w:b/>
                                <w:spacing w:val="-4"/>
                                <w:sz w:val="16"/>
                              </w:rPr>
                              <w:t xml:space="preserve"> </w:t>
                            </w:r>
                            <w:r>
                              <w:rPr>
                                <w:rFonts w:ascii="Arial" w:hAnsi="Arial"/>
                                <w:b/>
                                <w:sz w:val="16"/>
                              </w:rPr>
                              <w:t>de</w:t>
                            </w:r>
                            <w:r>
                              <w:rPr>
                                <w:rFonts w:ascii="Arial" w:hAnsi="Arial"/>
                                <w:b/>
                                <w:spacing w:val="-5"/>
                                <w:sz w:val="16"/>
                              </w:rPr>
                              <w:t xml:space="preserve"> </w:t>
                            </w:r>
                            <w:r>
                              <w:rPr>
                                <w:rFonts w:ascii="Arial" w:hAnsi="Arial"/>
                                <w:b/>
                                <w:sz w:val="16"/>
                              </w:rPr>
                              <w:t>Renda</w:t>
                            </w:r>
                            <w:r>
                              <w:rPr>
                                <w:rFonts w:ascii="Arial" w:hAnsi="Arial"/>
                                <w:b/>
                                <w:spacing w:val="-5"/>
                                <w:sz w:val="16"/>
                              </w:rPr>
                              <w:t xml:space="preserve"> </w:t>
                            </w:r>
                            <w:r>
                              <w:rPr>
                                <w:rFonts w:ascii="Arial" w:hAnsi="Arial"/>
                                <w:b/>
                                <w:sz w:val="16"/>
                              </w:rPr>
                              <w:t>e</w:t>
                            </w:r>
                            <w:r>
                              <w:rPr>
                                <w:rFonts w:ascii="Arial" w:hAnsi="Arial"/>
                                <w:b/>
                                <w:spacing w:val="-5"/>
                                <w:sz w:val="16"/>
                              </w:rPr>
                              <w:t xml:space="preserve"> </w:t>
                            </w:r>
                            <w:r>
                              <w:rPr>
                                <w:rFonts w:ascii="Arial" w:hAnsi="Arial"/>
                                <w:b/>
                                <w:sz w:val="16"/>
                              </w:rPr>
                              <w:t>Contribuição</w:t>
                            </w:r>
                            <w:r>
                              <w:rPr>
                                <w:rFonts w:ascii="Arial" w:hAnsi="Arial"/>
                                <w:b/>
                                <w:spacing w:val="-6"/>
                                <w:sz w:val="16"/>
                              </w:rPr>
                              <w:t xml:space="preserve"> </w:t>
                            </w:r>
                            <w:r>
                              <w:rPr>
                                <w:rFonts w:ascii="Arial" w:hAnsi="Arial"/>
                                <w:b/>
                                <w:spacing w:val="-2"/>
                                <w:sz w:val="16"/>
                              </w:rPr>
                              <w:t>Social</w:t>
                            </w:r>
                          </w:p>
                        </w:tc>
                        <w:tc>
                          <w:tcPr>
                            <w:tcW w:w="861" w:type="dxa"/>
                            <w:shd w:val="clear" w:color="auto" w:fill="75F6F8"/>
                          </w:tcPr>
                          <w:p w14:paraId="3EA5DA60" w14:textId="77777777" w:rsidR="002C6574" w:rsidRDefault="00000000">
                            <w:pPr>
                              <w:pStyle w:val="TableParagraph"/>
                              <w:spacing w:line="163" w:lineRule="exact"/>
                              <w:ind w:left="147" w:right="7"/>
                              <w:jc w:val="center"/>
                              <w:rPr>
                                <w:rFonts w:ascii="Arial"/>
                                <w:b/>
                                <w:sz w:val="16"/>
                              </w:rPr>
                            </w:pPr>
                            <w:r>
                              <w:rPr>
                                <w:rFonts w:ascii="Arial"/>
                                <w:b/>
                                <w:spacing w:val="-2"/>
                                <w:sz w:val="16"/>
                              </w:rPr>
                              <w:t>265.393</w:t>
                            </w:r>
                          </w:p>
                        </w:tc>
                        <w:tc>
                          <w:tcPr>
                            <w:tcW w:w="861" w:type="dxa"/>
                          </w:tcPr>
                          <w:p w14:paraId="7BB77528" w14:textId="77777777" w:rsidR="002C6574" w:rsidRDefault="00000000">
                            <w:pPr>
                              <w:pStyle w:val="TableParagraph"/>
                              <w:spacing w:line="163" w:lineRule="exact"/>
                              <w:ind w:left="147" w:right="6"/>
                              <w:jc w:val="center"/>
                              <w:rPr>
                                <w:rFonts w:ascii="Arial"/>
                                <w:b/>
                                <w:sz w:val="16"/>
                              </w:rPr>
                            </w:pPr>
                            <w:r>
                              <w:rPr>
                                <w:rFonts w:ascii="Arial"/>
                                <w:b/>
                                <w:spacing w:val="-2"/>
                                <w:sz w:val="16"/>
                              </w:rPr>
                              <w:t>139.125</w:t>
                            </w:r>
                          </w:p>
                        </w:tc>
                        <w:tc>
                          <w:tcPr>
                            <w:tcW w:w="773" w:type="dxa"/>
                            <w:tcBorders>
                              <w:right w:val="nil"/>
                            </w:tcBorders>
                          </w:tcPr>
                          <w:p w14:paraId="48166908" w14:textId="77777777" w:rsidR="002C6574" w:rsidRDefault="00000000">
                            <w:pPr>
                              <w:pStyle w:val="TableParagraph"/>
                              <w:spacing w:line="163" w:lineRule="exact"/>
                              <w:ind w:left="27"/>
                              <w:jc w:val="center"/>
                              <w:rPr>
                                <w:rFonts w:ascii="Arial"/>
                                <w:b/>
                                <w:sz w:val="16"/>
                              </w:rPr>
                            </w:pPr>
                            <w:r>
                              <w:rPr>
                                <w:rFonts w:ascii="Arial"/>
                                <w:b/>
                                <w:spacing w:val="-2"/>
                                <w:sz w:val="16"/>
                              </w:rPr>
                              <w:t>(25.610)</w:t>
                            </w:r>
                          </w:p>
                        </w:tc>
                      </w:tr>
                      <w:tr w:rsidR="002C6574" w14:paraId="21D4A1C4" w14:textId="77777777">
                        <w:trPr>
                          <w:trHeight w:val="3679"/>
                        </w:trPr>
                        <w:tc>
                          <w:tcPr>
                            <w:tcW w:w="6126" w:type="dxa"/>
                            <w:tcBorders>
                              <w:left w:val="nil"/>
                            </w:tcBorders>
                          </w:tcPr>
                          <w:p w14:paraId="7FB94E9C" w14:textId="77777777" w:rsidR="002C6574" w:rsidRDefault="00000000">
                            <w:pPr>
                              <w:pStyle w:val="TableParagraph"/>
                              <w:ind w:left="115"/>
                              <w:jc w:val="left"/>
                              <w:rPr>
                                <w:rFonts w:ascii="Arial"/>
                                <w:b/>
                                <w:sz w:val="16"/>
                              </w:rPr>
                            </w:pPr>
                            <w:r>
                              <w:rPr>
                                <w:rFonts w:ascii="Arial"/>
                                <w:b/>
                                <w:sz w:val="16"/>
                              </w:rPr>
                              <w:t>Ajustes</w:t>
                            </w:r>
                            <w:r>
                              <w:rPr>
                                <w:rFonts w:ascii="Arial"/>
                                <w:b/>
                                <w:spacing w:val="-6"/>
                                <w:sz w:val="16"/>
                              </w:rPr>
                              <w:t xml:space="preserve"> </w:t>
                            </w:r>
                            <w:r>
                              <w:rPr>
                                <w:rFonts w:ascii="Arial"/>
                                <w:b/>
                                <w:spacing w:val="-4"/>
                                <w:sz w:val="16"/>
                              </w:rPr>
                              <w:t>por:</w:t>
                            </w:r>
                          </w:p>
                          <w:p w14:paraId="0309ACD6" w14:textId="77777777" w:rsidR="002C6574" w:rsidRDefault="00000000">
                            <w:pPr>
                              <w:pStyle w:val="TableParagraph"/>
                              <w:spacing w:before="1" w:line="183" w:lineRule="exact"/>
                              <w:ind w:left="434"/>
                              <w:jc w:val="left"/>
                              <w:rPr>
                                <w:rFonts w:ascii="Arial MT" w:hAnsi="Arial MT"/>
                                <w:sz w:val="16"/>
                              </w:rPr>
                            </w:pPr>
                            <w:r>
                              <w:rPr>
                                <w:rFonts w:ascii="Arial MT" w:hAnsi="Arial MT"/>
                                <w:sz w:val="16"/>
                              </w:rPr>
                              <w:t>Depreciação</w:t>
                            </w:r>
                            <w:r>
                              <w:rPr>
                                <w:rFonts w:ascii="Arial MT" w:hAnsi="Arial MT"/>
                                <w:spacing w:val="-6"/>
                                <w:sz w:val="16"/>
                              </w:rPr>
                              <w:t xml:space="preserve"> </w:t>
                            </w:r>
                            <w:r>
                              <w:rPr>
                                <w:rFonts w:ascii="Arial MT" w:hAnsi="Arial MT"/>
                                <w:sz w:val="16"/>
                              </w:rPr>
                              <w:t>e</w:t>
                            </w:r>
                            <w:r>
                              <w:rPr>
                                <w:rFonts w:ascii="Arial MT" w:hAnsi="Arial MT"/>
                                <w:spacing w:val="-5"/>
                                <w:sz w:val="16"/>
                              </w:rPr>
                              <w:t xml:space="preserve"> </w:t>
                            </w:r>
                            <w:r>
                              <w:rPr>
                                <w:rFonts w:ascii="Arial MT" w:hAnsi="Arial MT"/>
                                <w:spacing w:val="-2"/>
                                <w:sz w:val="16"/>
                              </w:rPr>
                              <w:t>Amortização</w:t>
                            </w:r>
                          </w:p>
                          <w:p w14:paraId="25385274" w14:textId="77777777" w:rsidR="002C6574" w:rsidRDefault="00000000">
                            <w:pPr>
                              <w:pStyle w:val="TableParagraph"/>
                              <w:spacing w:line="183" w:lineRule="exact"/>
                              <w:ind w:left="434"/>
                              <w:jc w:val="left"/>
                              <w:rPr>
                                <w:rFonts w:ascii="Arial MT" w:hAnsi="Arial MT"/>
                                <w:sz w:val="16"/>
                              </w:rPr>
                            </w:pPr>
                            <w:r>
                              <w:rPr>
                                <w:rFonts w:ascii="Arial MT" w:hAnsi="Arial MT"/>
                                <w:sz w:val="16"/>
                              </w:rPr>
                              <w:t>Provisão/Rever.</w:t>
                            </w:r>
                            <w:r>
                              <w:rPr>
                                <w:rFonts w:ascii="Arial MT" w:hAnsi="Arial MT"/>
                                <w:spacing w:val="-8"/>
                                <w:sz w:val="16"/>
                              </w:rPr>
                              <w:t xml:space="preserve"> </w:t>
                            </w:r>
                            <w:r>
                              <w:rPr>
                                <w:rFonts w:ascii="Arial MT" w:hAnsi="Arial MT"/>
                                <w:sz w:val="16"/>
                              </w:rPr>
                              <w:t>para</w:t>
                            </w:r>
                            <w:r>
                              <w:rPr>
                                <w:rFonts w:ascii="Arial MT" w:hAnsi="Arial MT"/>
                                <w:spacing w:val="-6"/>
                                <w:sz w:val="16"/>
                              </w:rPr>
                              <w:t xml:space="preserve"> </w:t>
                            </w:r>
                            <w:r>
                              <w:rPr>
                                <w:rFonts w:ascii="Arial MT" w:hAnsi="Arial MT"/>
                                <w:sz w:val="16"/>
                              </w:rPr>
                              <w:t>Riscos</w:t>
                            </w:r>
                            <w:r>
                              <w:rPr>
                                <w:rFonts w:ascii="Arial MT" w:hAnsi="Arial MT"/>
                                <w:spacing w:val="-7"/>
                                <w:sz w:val="16"/>
                              </w:rPr>
                              <w:t xml:space="preserve"> </w:t>
                            </w:r>
                            <w:r>
                              <w:rPr>
                                <w:rFonts w:ascii="Arial MT" w:hAnsi="Arial MT"/>
                                <w:sz w:val="16"/>
                              </w:rPr>
                              <w:t>Prováveis</w:t>
                            </w:r>
                            <w:r>
                              <w:rPr>
                                <w:rFonts w:ascii="Arial MT" w:hAnsi="Arial MT"/>
                                <w:spacing w:val="-7"/>
                                <w:sz w:val="16"/>
                              </w:rPr>
                              <w:t xml:space="preserve"> </w:t>
                            </w:r>
                            <w:r>
                              <w:rPr>
                                <w:rFonts w:ascii="Arial MT" w:hAnsi="Arial MT"/>
                                <w:sz w:val="16"/>
                              </w:rPr>
                              <w:t>Trabalhistas,</w:t>
                            </w:r>
                            <w:r>
                              <w:rPr>
                                <w:rFonts w:ascii="Arial MT" w:hAnsi="Arial MT"/>
                                <w:spacing w:val="-7"/>
                                <w:sz w:val="16"/>
                              </w:rPr>
                              <w:t xml:space="preserve"> </w:t>
                            </w:r>
                            <w:r>
                              <w:rPr>
                                <w:rFonts w:ascii="Arial MT" w:hAnsi="Arial MT"/>
                                <w:sz w:val="16"/>
                              </w:rPr>
                              <w:t>Cíveis</w:t>
                            </w:r>
                            <w:r>
                              <w:rPr>
                                <w:rFonts w:ascii="Arial MT" w:hAnsi="Arial MT"/>
                                <w:spacing w:val="-6"/>
                                <w:sz w:val="16"/>
                              </w:rPr>
                              <w:t xml:space="preserve"> </w:t>
                            </w:r>
                            <w:r>
                              <w:rPr>
                                <w:rFonts w:ascii="Arial MT" w:hAnsi="Arial MT"/>
                                <w:sz w:val="16"/>
                              </w:rPr>
                              <w:t>e</w:t>
                            </w:r>
                            <w:r>
                              <w:rPr>
                                <w:rFonts w:ascii="Arial MT" w:hAnsi="Arial MT"/>
                                <w:spacing w:val="-8"/>
                                <w:sz w:val="16"/>
                              </w:rPr>
                              <w:t xml:space="preserve"> </w:t>
                            </w:r>
                            <w:r>
                              <w:rPr>
                                <w:rFonts w:ascii="Arial MT" w:hAnsi="Arial MT"/>
                                <w:spacing w:val="-2"/>
                                <w:sz w:val="16"/>
                              </w:rPr>
                              <w:t>Fiscais</w:t>
                            </w:r>
                          </w:p>
                          <w:p w14:paraId="7CBFF545" w14:textId="77777777" w:rsidR="002C6574" w:rsidRDefault="00000000">
                            <w:pPr>
                              <w:pStyle w:val="TableParagraph"/>
                              <w:spacing w:before="1"/>
                              <w:ind w:left="434"/>
                              <w:jc w:val="left"/>
                              <w:rPr>
                                <w:rFonts w:ascii="Arial MT" w:hAnsi="Arial MT"/>
                                <w:sz w:val="16"/>
                              </w:rPr>
                            </w:pPr>
                            <w:r>
                              <w:rPr>
                                <w:rFonts w:ascii="Arial MT" w:hAnsi="Arial MT"/>
                                <w:sz w:val="16"/>
                              </w:rPr>
                              <w:t>V.</w:t>
                            </w:r>
                            <w:r>
                              <w:rPr>
                                <w:rFonts w:ascii="Arial MT" w:hAnsi="Arial MT"/>
                                <w:spacing w:val="-5"/>
                                <w:sz w:val="16"/>
                              </w:rPr>
                              <w:t xml:space="preserve"> </w:t>
                            </w:r>
                            <w:r>
                              <w:rPr>
                                <w:rFonts w:ascii="Arial MT" w:hAnsi="Arial MT"/>
                                <w:sz w:val="16"/>
                              </w:rPr>
                              <w:t>Monetária</w:t>
                            </w:r>
                            <w:r>
                              <w:rPr>
                                <w:rFonts w:ascii="Arial MT" w:hAnsi="Arial MT"/>
                                <w:spacing w:val="-4"/>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Prov.</w:t>
                            </w:r>
                            <w:r>
                              <w:rPr>
                                <w:rFonts w:ascii="Arial MT" w:hAnsi="Arial MT"/>
                                <w:spacing w:val="-3"/>
                                <w:sz w:val="16"/>
                              </w:rPr>
                              <w:t xml:space="preserve"> </w:t>
                            </w:r>
                            <w:r>
                              <w:rPr>
                                <w:rFonts w:ascii="Arial MT" w:hAnsi="Arial MT"/>
                                <w:sz w:val="16"/>
                              </w:rPr>
                              <w:t>para</w:t>
                            </w:r>
                            <w:r>
                              <w:rPr>
                                <w:rFonts w:ascii="Arial MT" w:hAnsi="Arial MT"/>
                                <w:spacing w:val="-4"/>
                                <w:sz w:val="16"/>
                              </w:rPr>
                              <w:t xml:space="preserve"> </w:t>
                            </w:r>
                            <w:r>
                              <w:rPr>
                                <w:rFonts w:ascii="Arial MT" w:hAnsi="Arial MT"/>
                                <w:sz w:val="16"/>
                              </w:rPr>
                              <w:t>Riscos</w:t>
                            </w:r>
                            <w:r>
                              <w:rPr>
                                <w:rFonts w:ascii="Arial MT" w:hAnsi="Arial MT"/>
                                <w:spacing w:val="-5"/>
                                <w:sz w:val="16"/>
                              </w:rPr>
                              <w:t xml:space="preserve"> </w:t>
                            </w:r>
                            <w:r>
                              <w:rPr>
                                <w:rFonts w:ascii="Arial MT" w:hAnsi="Arial MT"/>
                                <w:sz w:val="16"/>
                              </w:rPr>
                              <w:t>Prováveis</w:t>
                            </w:r>
                            <w:r>
                              <w:rPr>
                                <w:rFonts w:ascii="Arial MT" w:hAnsi="Arial MT"/>
                                <w:spacing w:val="-4"/>
                                <w:sz w:val="16"/>
                              </w:rPr>
                              <w:t xml:space="preserve"> </w:t>
                            </w:r>
                            <w:r>
                              <w:rPr>
                                <w:rFonts w:ascii="Arial MT" w:hAnsi="Arial MT"/>
                                <w:sz w:val="16"/>
                              </w:rPr>
                              <w:t>Trabalhistas,</w:t>
                            </w:r>
                            <w:r>
                              <w:rPr>
                                <w:rFonts w:ascii="Arial MT" w:hAnsi="Arial MT"/>
                                <w:spacing w:val="-5"/>
                                <w:sz w:val="16"/>
                              </w:rPr>
                              <w:t xml:space="preserve"> </w:t>
                            </w:r>
                            <w:r>
                              <w:rPr>
                                <w:rFonts w:ascii="Arial MT" w:hAnsi="Arial MT"/>
                                <w:sz w:val="16"/>
                              </w:rPr>
                              <w:t>Cíveis</w:t>
                            </w:r>
                            <w:r>
                              <w:rPr>
                                <w:rFonts w:ascii="Arial MT" w:hAnsi="Arial MT"/>
                                <w:spacing w:val="-4"/>
                                <w:sz w:val="16"/>
                              </w:rPr>
                              <w:t xml:space="preserve"> </w:t>
                            </w:r>
                            <w:r>
                              <w:rPr>
                                <w:rFonts w:ascii="Arial MT" w:hAnsi="Arial MT"/>
                                <w:sz w:val="16"/>
                              </w:rPr>
                              <w:t>e</w:t>
                            </w:r>
                            <w:r>
                              <w:rPr>
                                <w:rFonts w:ascii="Arial MT" w:hAnsi="Arial MT"/>
                                <w:spacing w:val="-6"/>
                                <w:sz w:val="16"/>
                              </w:rPr>
                              <w:t xml:space="preserve"> </w:t>
                            </w:r>
                            <w:r>
                              <w:rPr>
                                <w:rFonts w:ascii="Arial MT" w:hAnsi="Arial MT"/>
                                <w:sz w:val="16"/>
                              </w:rPr>
                              <w:t>Fiscais Receitas Diferidas - Realizações</w:t>
                            </w:r>
                          </w:p>
                          <w:p w14:paraId="6B3153B2" w14:textId="77777777" w:rsidR="002C6574" w:rsidRDefault="00000000">
                            <w:pPr>
                              <w:pStyle w:val="TableParagraph"/>
                              <w:spacing w:line="183" w:lineRule="exact"/>
                              <w:ind w:left="434"/>
                              <w:jc w:val="left"/>
                              <w:rPr>
                                <w:rFonts w:ascii="Arial MT" w:hAnsi="Arial MT"/>
                                <w:sz w:val="16"/>
                              </w:rPr>
                            </w:pPr>
                            <w:r>
                              <w:rPr>
                                <w:rFonts w:ascii="Arial MT" w:hAnsi="Arial MT"/>
                                <w:spacing w:val="-2"/>
                                <w:sz w:val="16"/>
                              </w:rPr>
                              <w:t>Equivalência</w:t>
                            </w:r>
                            <w:r>
                              <w:rPr>
                                <w:rFonts w:ascii="Arial MT" w:hAnsi="Arial MT"/>
                                <w:spacing w:val="10"/>
                                <w:sz w:val="16"/>
                              </w:rPr>
                              <w:t xml:space="preserve"> </w:t>
                            </w:r>
                            <w:r>
                              <w:rPr>
                                <w:rFonts w:ascii="Arial MT" w:hAnsi="Arial MT"/>
                                <w:spacing w:val="-2"/>
                                <w:sz w:val="16"/>
                              </w:rPr>
                              <w:t>Patrimonial</w:t>
                            </w:r>
                          </w:p>
                          <w:p w14:paraId="5E64C8C7" w14:textId="77777777" w:rsidR="002C6574" w:rsidRDefault="00000000">
                            <w:pPr>
                              <w:pStyle w:val="TableParagraph"/>
                              <w:spacing w:before="1"/>
                              <w:ind w:left="434" w:right="837"/>
                              <w:jc w:val="left"/>
                              <w:rPr>
                                <w:rFonts w:ascii="Arial MT" w:hAnsi="Arial MT"/>
                                <w:sz w:val="16"/>
                              </w:rPr>
                            </w:pPr>
                            <w:r>
                              <w:rPr>
                                <w:rFonts w:ascii="Arial MT" w:hAnsi="Arial MT"/>
                                <w:sz w:val="16"/>
                              </w:rPr>
                              <w:t>Encargos</w:t>
                            </w:r>
                            <w:r>
                              <w:rPr>
                                <w:rFonts w:ascii="Arial MT" w:hAnsi="Arial MT"/>
                                <w:spacing w:val="-7"/>
                                <w:sz w:val="16"/>
                              </w:rPr>
                              <w:t xml:space="preserve"> </w:t>
                            </w:r>
                            <w:r>
                              <w:rPr>
                                <w:rFonts w:ascii="Arial MT" w:hAnsi="Arial MT"/>
                                <w:sz w:val="16"/>
                              </w:rPr>
                              <w:t>Financeiros</w:t>
                            </w:r>
                            <w:r>
                              <w:rPr>
                                <w:rFonts w:ascii="Arial MT" w:hAnsi="Arial MT"/>
                                <w:spacing w:val="-7"/>
                                <w:sz w:val="16"/>
                              </w:rPr>
                              <w:t xml:space="preserve"> </w:t>
                            </w:r>
                            <w:r>
                              <w:rPr>
                                <w:rFonts w:ascii="Arial MT" w:hAnsi="Arial MT"/>
                                <w:sz w:val="16"/>
                              </w:rPr>
                              <w:t>sobre</w:t>
                            </w:r>
                            <w:r>
                              <w:rPr>
                                <w:rFonts w:ascii="Arial MT" w:hAnsi="Arial MT"/>
                                <w:spacing w:val="-6"/>
                                <w:sz w:val="16"/>
                              </w:rPr>
                              <w:t xml:space="preserve"> </w:t>
                            </w:r>
                            <w:r>
                              <w:rPr>
                                <w:rFonts w:ascii="Arial MT" w:hAnsi="Arial MT"/>
                                <w:sz w:val="16"/>
                              </w:rPr>
                              <w:t>Adiantamento</w:t>
                            </w:r>
                            <w:r>
                              <w:rPr>
                                <w:rFonts w:ascii="Arial MT" w:hAnsi="Arial MT"/>
                                <w:spacing w:val="-6"/>
                                <w:sz w:val="16"/>
                              </w:rPr>
                              <w:t xml:space="preserve"> </w:t>
                            </w:r>
                            <w:r>
                              <w:rPr>
                                <w:rFonts w:ascii="Arial MT" w:hAnsi="Arial MT"/>
                                <w:sz w:val="16"/>
                              </w:rPr>
                              <w:t>para</w:t>
                            </w:r>
                            <w:r>
                              <w:rPr>
                                <w:rFonts w:ascii="Arial MT" w:hAnsi="Arial MT"/>
                                <w:spacing w:val="-8"/>
                                <w:sz w:val="16"/>
                              </w:rPr>
                              <w:t xml:space="preserve"> </w:t>
                            </w:r>
                            <w:r>
                              <w:rPr>
                                <w:rFonts w:ascii="Arial MT" w:hAnsi="Arial MT"/>
                                <w:sz w:val="16"/>
                              </w:rPr>
                              <w:t>Aumento</w:t>
                            </w:r>
                            <w:r>
                              <w:rPr>
                                <w:rFonts w:ascii="Arial MT" w:hAnsi="Arial MT"/>
                                <w:spacing w:val="-6"/>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Capital Encargos Financeiros sobre Empréstimos e Financiamentos Provisão para Programa de Indenização por Serviços Prestados Variação Monetária/Juros de Credores por Perdas Judiciais Variação Monetária de Depósitos Judiciais</w:t>
                            </w:r>
                          </w:p>
                          <w:p w14:paraId="5B775089" w14:textId="77777777" w:rsidR="002C6574" w:rsidRDefault="00000000">
                            <w:pPr>
                              <w:pStyle w:val="TableParagraph"/>
                              <w:ind w:left="434" w:right="952"/>
                              <w:jc w:val="left"/>
                              <w:rPr>
                                <w:rFonts w:ascii="Arial MT" w:hAnsi="Arial MT"/>
                                <w:sz w:val="16"/>
                              </w:rPr>
                            </w:pPr>
                            <w:r>
                              <w:rPr>
                                <w:rFonts w:ascii="Arial MT" w:hAnsi="Arial MT"/>
                                <w:sz w:val="16"/>
                              </w:rPr>
                              <w:t>Perdas Estimadas com Créditos de Liquidação Duvidosa Despesas</w:t>
                            </w:r>
                            <w:r>
                              <w:rPr>
                                <w:rFonts w:ascii="Arial MT" w:hAnsi="Arial MT"/>
                                <w:spacing w:val="-5"/>
                                <w:sz w:val="16"/>
                              </w:rPr>
                              <w:t xml:space="preserve"> </w:t>
                            </w:r>
                            <w:r>
                              <w:rPr>
                                <w:rFonts w:ascii="Arial MT" w:hAnsi="Arial MT"/>
                                <w:sz w:val="16"/>
                              </w:rPr>
                              <w:t>Financeiras</w:t>
                            </w:r>
                            <w:r>
                              <w:rPr>
                                <w:rFonts w:ascii="Arial MT" w:hAnsi="Arial MT"/>
                                <w:spacing w:val="-1"/>
                                <w:sz w:val="16"/>
                              </w:rPr>
                              <w:t xml:space="preserve"> </w:t>
                            </w:r>
                            <w:r>
                              <w:rPr>
                                <w:rFonts w:ascii="Arial MT" w:hAnsi="Arial MT"/>
                                <w:sz w:val="16"/>
                              </w:rPr>
                              <w:t>-</w:t>
                            </w:r>
                            <w:r>
                              <w:rPr>
                                <w:rFonts w:ascii="Arial MT" w:hAnsi="Arial MT"/>
                                <w:spacing w:val="-6"/>
                                <w:sz w:val="16"/>
                              </w:rPr>
                              <w:t xml:space="preserve"> </w:t>
                            </w:r>
                            <w:r>
                              <w:rPr>
                                <w:rFonts w:ascii="Arial MT" w:hAnsi="Arial MT"/>
                                <w:sz w:val="16"/>
                              </w:rPr>
                              <w:t>Apropriação</w:t>
                            </w:r>
                            <w:r>
                              <w:rPr>
                                <w:rFonts w:ascii="Arial MT" w:hAnsi="Arial MT"/>
                                <w:spacing w:val="-4"/>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Juros</w:t>
                            </w:r>
                            <w:r>
                              <w:rPr>
                                <w:rFonts w:ascii="Arial MT" w:hAnsi="Arial MT"/>
                                <w:spacing w:val="-2"/>
                                <w:sz w:val="16"/>
                              </w:rPr>
                              <w:t xml:space="preserve"> </w:t>
                            </w:r>
                            <w:r>
                              <w:rPr>
                                <w:rFonts w:ascii="Arial MT" w:hAnsi="Arial MT"/>
                                <w:sz w:val="16"/>
                              </w:rPr>
                              <w:t>a</w:t>
                            </w:r>
                            <w:r>
                              <w:rPr>
                                <w:rFonts w:ascii="Arial MT" w:hAnsi="Arial MT"/>
                                <w:spacing w:val="-6"/>
                                <w:sz w:val="16"/>
                              </w:rPr>
                              <w:t xml:space="preserve"> </w:t>
                            </w:r>
                            <w:r>
                              <w:rPr>
                                <w:rFonts w:ascii="Arial MT" w:hAnsi="Arial MT"/>
                                <w:sz w:val="16"/>
                              </w:rPr>
                              <w:t>Incorrer</w:t>
                            </w:r>
                            <w:r>
                              <w:rPr>
                                <w:rFonts w:ascii="Arial MT" w:hAnsi="Arial MT"/>
                                <w:spacing w:val="-2"/>
                                <w:sz w:val="16"/>
                              </w:rPr>
                              <w:t xml:space="preserve"> </w:t>
                            </w:r>
                            <w:r>
                              <w:rPr>
                                <w:rFonts w:ascii="Arial MT" w:hAnsi="Arial MT"/>
                                <w:sz w:val="16"/>
                              </w:rPr>
                              <w:t>-</w:t>
                            </w:r>
                            <w:r>
                              <w:rPr>
                                <w:rFonts w:ascii="Arial MT" w:hAnsi="Arial MT"/>
                                <w:spacing w:val="-4"/>
                                <w:sz w:val="16"/>
                              </w:rPr>
                              <w:t xml:space="preserve"> </w:t>
                            </w:r>
                            <w:r>
                              <w:rPr>
                                <w:rFonts w:ascii="Arial MT" w:hAnsi="Arial MT"/>
                                <w:sz w:val="16"/>
                              </w:rPr>
                              <w:t>IFRS</w:t>
                            </w:r>
                            <w:r>
                              <w:rPr>
                                <w:rFonts w:ascii="Arial MT" w:hAnsi="Arial MT"/>
                                <w:spacing w:val="-3"/>
                                <w:sz w:val="16"/>
                              </w:rPr>
                              <w:t xml:space="preserve"> </w:t>
                            </w:r>
                            <w:r>
                              <w:rPr>
                                <w:rFonts w:ascii="Arial MT" w:hAnsi="Arial MT"/>
                                <w:sz w:val="16"/>
                              </w:rPr>
                              <w:t>16 Baixa de Bens do Ativo Imobilizado</w:t>
                            </w:r>
                          </w:p>
                          <w:p w14:paraId="0B59743C" w14:textId="77777777" w:rsidR="002C6574" w:rsidRDefault="00000000">
                            <w:pPr>
                              <w:pStyle w:val="TableParagraph"/>
                              <w:spacing w:before="7" w:line="242" w:lineRule="auto"/>
                              <w:ind w:left="434" w:right="3165" w:hanging="22"/>
                              <w:jc w:val="left"/>
                              <w:rPr>
                                <w:rFonts w:ascii="Arial MT" w:hAnsi="Arial MT"/>
                                <w:sz w:val="16"/>
                              </w:rPr>
                            </w:pPr>
                            <w:r>
                              <w:rPr>
                                <w:rFonts w:ascii="Arial MT" w:hAnsi="Arial MT"/>
                                <w:sz w:val="15"/>
                              </w:rPr>
                              <w:t>Ganho na Baixa de Passivo</w:t>
                            </w:r>
                            <w:r>
                              <w:rPr>
                                <w:rFonts w:ascii="Arial MT" w:hAnsi="Arial MT"/>
                                <w:spacing w:val="40"/>
                                <w:sz w:val="15"/>
                              </w:rPr>
                              <w:t xml:space="preserve"> </w:t>
                            </w:r>
                            <w:r>
                              <w:rPr>
                                <w:rFonts w:ascii="Arial MT" w:hAnsi="Arial MT"/>
                                <w:sz w:val="16"/>
                              </w:rPr>
                              <w:t>Superávit de Previdência Privada Perda</w:t>
                            </w:r>
                            <w:r>
                              <w:rPr>
                                <w:rFonts w:ascii="Arial MT" w:hAnsi="Arial MT"/>
                                <w:spacing w:val="-6"/>
                                <w:sz w:val="16"/>
                              </w:rPr>
                              <w:t xml:space="preserve"> </w:t>
                            </w:r>
                            <w:r>
                              <w:rPr>
                                <w:rFonts w:ascii="Arial MT" w:hAnsi="Arial MT"/>
                                <w:sz w:val="16"/>
                              </w:rPr>
                              <w:t>na</w:t>
                            </w:r>
                            <w:r>
                              <w:rPr>
                                <w:rFonts w:ascii="Arial MT" w:hAnsi="Arial MT"/>
                                <w:spacing w:val="-8"/>
                                <w:sz w:val="16"/>
                              </w:rPr>
                              <w:t xml:space="preserve"> </w:t>
                            </w:r>
                            <w:r>
                              <w:rPr>
                                <w:rFonts w:ascii="Arial MT" w:hAnsi="Arial MT"/>
                                <w:sz w:val="16"/>
                              </w:rPr>
                              <w:t>Baixa</w:t>
                            </w:r>
                            <w:r>
                              <w:rPr>
                                <w:rFonts w:ascii="Arial MT" w:hAnsi="Arial MT"/>
                                <w:spacing w:val="-6"/>
                                <w:sz w:val="16"/>
                              </w:rPr>
                              <w:t xml:space="preserve"> </w:t>
                            </w:r>
                            <w:r>
                              <w:rPr>
                                <w:rFonts w:ascii="Arial MT" w:hAnsi="Arial MT"/>
                                <w:sz w:val="16"/>
                              </w:rPr>
                              <w:t>de</w:t>
                            </w:r>
                            <w:r>
                              <w:rPr>
                                <w:rFonts w:ascii="Arial MT" w:hAnsi="Arial MT"/>
                                <w:spacing w:val="-8"/>
                                <w:sz w:val="16"/>
                              </w:rPr>
                              <w:t xml:space="preserve"> </w:t>
                            </w:r>
                            <w:r>
                              <w:rPr>
                                <w:rFonts w:ascii="Arial MT" w:hAnsi="Arial MT"/>
                                <w:sz w:val="16"/>
                              </w:rPr>
                              <w:t>Ativos</w:t>
                            </w:r>
                            <w:r>
                              <w:rPr>
                                <w:rFonts w:ascii="Arial MT" w:hAnsi="Arial MT"/>
                                <w:spacing w:val="-4"/>
                                <w:sz w:val="16"/>
                              </w:rPr>
                              <w:t xml:space="preserve"> </w:t>
                            </w:r>
                            <w:r>
                              <w:rPr>
                                <w:rFonts w:ascii="Arial MT" w:hAnsi="Arial MT"/>
                                <w:sz w:val="16"/>
                              </w:rPr>
                              <w:t>-</w:t>
                            </w:r>
                            <w:r>
                              <w:rPr>
                                <w:rFonts w:ascii="Arial MT" w:hAnsi="Arial MT"/>
                                <w:spacing w:val="-8"/>
                                <w:sz w:val="16"/>
                              </w:rPr>
                              <w:t xml:space="preserve"> </w:t>
                            </w:r>
                            <w:r>
                              <w:rPr>
                                <w:rFonts w:ascii="Arial MT" w:hAnsi="Arial MT"/>
                                <w:sz w:val="16"/>
                              </w:rPr>
                              <w:t>Tributos</w:t>
                            </w:r>
                          </w:p>
                          <w:p w14:paraId="01CCDAD2" w14:textId="77777777" w:rsidR="002C6574" w:rsidRDefault="00000000">
                            <w:pPr>
                              <w:pStyle w:val="TableParagraph"/>
                              <w:spacing w:line="183" w:lineRule="exact"/>
                              <w:ind w:left="434"/>
                              <w:jc w:val="left"/>
                              <w:rPr>
                                <w:rFonts w:ascii="Arial MT" w:hAnsi="Arial MT"/>
                                <w:sz w:val="16"/>
                              </w:rPr>
                            </w:pPr>
                            <w:r>
                              <w:rPr>
                                <w:rFonts w:ascii="Arial MT" w:hAnsi="Arial MT"/>
                                <w:sz w:val="16"/>
                              </w:rPr>
                              <w:t>Recuperação</w:t>
                            </w:r>
                            <w:r>
                              <w:rPr>
                                <w:rFonts w:ascii="Arial MT" w:hAnsi="Arial MT"/>
                                <w:spacing w:val="-5"/>
                                <w:sz w:val="16"/>
                              </w:rPr>
                              <w:t xml:space="preserve"> </w:t>
                            </w:r>
                            <w:r>
                              <w:rPr>
                                <w:rFonts w:ascii="Arial MT" w:hAnsi="Arial MT"/>
                                <w:sz w:val="16"/>
                              </w:rPr>
                              <w:t>de</w:t>
                            </w:r>
                            <w:r>
                              <w:rPr>
                                <w:rFonts w:ascii="Arial MT" w:hAnsi="Arial MT"/>
                                <w:spacing w:val="-7"/>
                                <w:sz w:val="16"/>
                              </w:rPr>
                              <w:t xml:space="preserve"> </w:t>
                            </w:r>
                            <w:r>
                              <w:rPr>
                                <w:rFonts w:ascii="Arial MT" w:hAnsi="Arial MT"/>
                                <w:sz w:val="16"/>
                              </w:rPr>
                              <w:t>Créditos</w:t>
                            </w:r>
                            <w:r>
                              <w:rPr>
                                <w:rFonts w:ascii="Arial MT" w:hAnsi="Arial MT"/>
                                <w:spacing w:val="-5"/>
                                <w:sz w:val="16"/>
                              </w:rPr>
                              <w:t xml:space="preserve"> </w:t>
                            </w:r>
                            <w:r>
                              <w:rPr>
                                <w:rFonts w:ascii="Arial MT" w:hAnsi="Arial MT"/>
                                <w:spacing w:val="-2"/>
                                <w:sz w:val="16"/>
                              </w:rPr>
                              <w:t>Tributários</w:t>
                            </w:r>
                          </w:p>
                          <w:p w14:paraId="2AF36688" w14:textId="77777777" w:rsidR="002C6574" w:rsidRDefault="00000000">
                            <w:pPr>
                              <w:pStyle w:val="TableParagraph"/>
                              <w:spacing w:line="182" w:lineRule="exact"/>
                              <w:ind w:left="434" w:right="2331"/>
                              <w:jc w:val="left"/>
                              <w:rPr>
                                <w:rFonts w:ascii="Arial MT" w:hAnsi="Arial MT"/>
                                <w:sz w:val="16"/>
                              </w:rPr>
                            </w:pPr>
                            <w:r>
                              <w:rPr>
                                <w:rFonts w:ascii="Arial MT" w:hAnsi="Arial MT"/>
                                <w:sz w:val="16"/>
                              </w:rPr>
                              <w:t>Subvenções</w:t>
                            </w:r>
                            <w:r>
                              <w:rPr>
                                <w:rFonts w:ascii="Arial MT" w:hAnsi="Arial MT"/>
                                <w:spacing w:val="-6"/>
                                <w:sz w:val="16"/>
                              </w:rPr>
                              <w:t xml:space="preserve"> </w:t>
                            </w:r>
                            <w:r>
                              <w:rPr>
                                <w:rFonts w:ascii="Arial MT" w:hAnsi="Arial MT"/>
                                <w:sz w:val="16"/>
                              </w:rPr>
                              <w:t>Realizadas</w:t>
                            </w:r>
                            <w:r>
                              <w:rPr>
                                <w:rFonts w:ascii="Arial MT" w:hAnsi="Arial MT"/>
                                <w:spacing w:val="-7"/>
                                <w:sz w:val="16"/>
                              </w:rPr>
                              <w:t xml:space="preserve"> </w:t>
                            </w:r>
                            <w:r>
                              <w:rPr>
                                <w:rFonts w:ascii="Arial MT" w:hAnsi="Arial MT"/>
                                <w:sz w:val="16"/>
                              </w:rPr>
                              <w:t>-</w:t>
                            </w:r>
                            <w:r>
                              <w:rPr>
                                <w:rFonts w:ascii="Arial MT" w:hAnsi="Arial MT"/>
                                <w:spacing w:val="-8"/>
                                <w:sz w:val="16"/>
                              </w:rPr>
                              <w:t xml:space="preserve"> </w:t>
                            </w:r>
                            <w:r>
                              <w:rPr>
                                <w:rFonts w:ascii="Arial MT" w:hAnsi="Arial MT"/>
                                <w:sz w:val="16"/>
                              </w:rPr>
                              <w:t>Contrato</w:t>
                            </w:r>
                            <w:r>
                              <w:rPr>
                                <w:rFonts w:ascii="Arial MT" w:hAnsi="Arial MT"/>
                                <w:spacing w:val="-8"/>
                                <w:sz w:val="16"/>
                              </w:rPr>
                              <w:t xml:space="preserve"> </w:t>
                            </w:r>
                            <w:r>
                              <w:rPr>
                                <w:rFonts w:ascii="Arial MT" w:hAnsi="Arial MT"/>
                                <w:sz w:val="16"/>
                              </w:rPr>
                              <w:t>de</w:t>
                            </w:r>
                            <w:r>
                              <w:rPr>
                                <w:rFonts w:ascii="Arial MT" w:hAnsi="Arial MT"/>
                                <w:spacing w:val="-8"/>
                                <w:sz w:val="16"/>
                              </w:rPr>
                              <w:t xml:space="preserve"> </w:t>
                            </w:r>
                            <w:r>
                              <w:rPr>
                                <w:rFonts w:ascii="Arial MT" w:hAnsi="Arial MT"/>
                                <w:sz w:val="16"/>
                              </w:rPr>
                              <w:t>Gestão Outras Receitas e Despesas</w:t>
                            </w:r>
                          </w:p>
                        </w:tc>
                        <w:tc>
                          <w:tcPr>
                            <w:tcW w:w="861" w:type="dxa"/>
                            <w:shd w:val="clear" w:color="auto" w:fill="75F6F8"/>
                          </w:tcPr>
                          <w:p w14:paraId="56B14ABF" w14:textId="77777777" w:rsidR="002C6574" w:rsidRDefault="002C6574">
                            <w:pPr>
                              <w:pStyle w:val="TableParagraph"/>
                              <w:spacing w:before="1"/>
                              <w:jc w:val="left"/>
                              <w:rPr>
                                <w:rFonts w:ascii="Arial"/>
                                <w:b/>
                                <w:sz w:val="16"/>
                              </w:rPr>
                            </w:pPr>
                          </w:p>
                          <w:p w14:paraId="6A8D5BF9" w14:textId="77777777" w:rsidR="002C6574" w:rsidRDefault="00000000">
                            <w:pPr>
                              <w:pStyle w:val="TableParagraph"/>
                              <w:spacing w:line="183" w:lineRule="exact"/>
                              <w:ind w:right="58"/>
                              <w:rPr>
                                <w:rFonts w:ascii="Arial MT"/>
                                <w:sz w:val="16"/>
                              </w:rPr>
                            </w:pPr>
                            <w:r>
                              <w:rPr>
                                <w:rFonts w:ascii="Arial MT"/>
                                <w:spacing w:val="-2"/>
                                <w:sz w:val="16"/>
                              </w:rPr>
                              <w:t>64.695</w:t>
                            </w:r>
                          </w:p>
                          <w:p w14:paraId="4C0E5073" w14:textId="77777777" w:rsidR="002C6574" w:rsidRDefault="00000000">
                            <w:pPr>
                              <w:pStyle w:val="TableParagraph"/>
                              <w:spacing w:line="183" w:lineRule="exact"/>
                              <w:ind w:right="58"/>
                              <w:rPr>
                                <w:rFonts w:ascii="Arial MT"/>
                                <w:sz w:val="16"/>
                              </w:rPr>
                            </w:pPr>
                            <w:r>
                              <w:rPr>
                                <w:rFonts w:ascii="Arial MT"/>
                                <w:spacing w:val="-2"/>
                                <w:sz w:val="16"/>
                              </w:rPr>
                              <w:t>2.821</w:t>
                            </w:r>
                          </w:p>
                          <w:p w14:paraId="5C312251" w14:textId="77777777" w:rsidR="002C6574" w:rsidRDefault="00000000">
                            <w:pPr>
                              <w:pStyle w:val="TableParagraph"/>
                              <w:spacing w:before="1"/>
                              <w:ind w:right="58"/>
                              <w:rPr>
                                <w:rFonts w:ascii="Arial MT"/>
                                <w:sz w:val="16"/>
                              </w:rPr>
                            </w:pPr>
                            <w:r>
                              <w:rPr>
                                <w:rFonts w:ascii="Arial MT"/>
                                <w:spacing w:val="-2"/>
                                <w:sz w:val="16"/>
                              </w:rPr>
                              <w:t>1.427</w:t>
                            </w:r>
                          </w:p>
                          <w:p w14:paraId="63FE75C2" w14:textId="77777777" w:rsidR="002C6574" w:rsidRDefault="00000000">
                            <w:pPr>
                              <w:pStyle w:val="TableParagraph"/>
                              <w:spacing w:before="1" w:line="183" w:lineRule="exact"/>
                              <w:ind w:right="58"/>
                              <w:rPr>
                                <w:rFonts w:ascii="Arial MT"/>
                                <w:sz w:val="16"/>
                              </w:rPr>
                            </w:pPr>
                            <w:r>
                              <w:rPr>
                                <w:rFonts w:ascii="Arial MT"/>
                                <w:spacing w:val="-2"/>
                                <w:sz w:val="16"/>
                              </w:rPr>
                              <w:t>(9.120)</w:t>
                            </w:r>
                          </w:p>
                          <w:p w14:paraId="33F888BE" w14:textId="77777777" w:rsidR="002C6574" w:rsidRDefault="00000000">
                            <w:pPr>
                              <w:pStyle w:val="TableParagraph"/>
                              <w:spacing w:line="183" w:lineRule="exact"/>
                              <w:ind w:right="58"/>
                              <w:rPr>
                                <w:rFonts w:ascii="Arial MT"/>
                                <w:sz w:val="16"/>
                              </w:rPr>
                            </w:pPr>
                            <w:r>
                              <w:rPr>
                                <w:rFonts w:ascii="Arial MT"/>
                                <w:spacing w:val="-2"/>
                                <w:sz w:val="16"/>
                              </w:rPr>
                              <w:t>(1.404)</w:t>
                            </w:r>
                          </w:p>
                          <w:p w14:paraId="60A29EC3" w14:textId="77777777" w:rsidR="002C6574" w:rsidRDefault="00000000">
                            <w:pPr>
                              <w:pStyle w:val="TableParagraph"/>
                              <w:spacing w:before="1"/>
                              <w:ind w:right="58"/>
                              <w:rPr>
                                <w:rFonts w:ascii="Arial MT"/>
                                <w:sz w:val="16"/>
                              </w:rPr>
                            </w:pPr>
                            <w:r>
                              <w:rPr>
                                <w:rFonts w:ascii="Arial MT"/>
                                <w:spacing w:val="-2"/>
                                <w:sz w:val="16"/>
                              </w:rPr>
                              <w:t>67.622</w:t>
                            </w:r>
                          </w:p>
                          <w:p w14:paraId="59B19274" w14:textId="77777777" w:rsidR="002C6574" w:rsidRDefault="00000000">
                            <w:pPr>
                              <w:pStyle w:val="TableParagraph"/>
                              <w:spacing w:before="1"/>
                              <w:ind w:left="378" w:right="56" w:firstLine="350"/>
                              <w:rPr>
                                <w:rFonts w:ascii="Arial MT"/>
                                <w:sz w:val="16"/>
                              </w:rPr>
                            </w:pPr>
                            <w:r>
                              <w:rPr>
                                <w:rFonts w:ascii="Arial MT"/>
                                <w:spacing w:val="-10"/>
                                <w:sz w:val="16"/>
                              </w:rPr>
                              <w:t>-</w:t>
                            </w:r>
                            <w:r>
                              <w:rPr>
                                <w:rFonts w:ascii="Arial MT"/>
                                <w:spacing w:val="-2"/>
                                <w:sz w:val="16"/>
                              </w:rPr>
                              <w:t xml:space="preserve"> 1.378</w:t>
                            </w:r>
                          </w:p>
                          <w:p w14:paraId="0C4C5066" w14:textId="77777777" w:rsidR="002C6574" w:rsidRDefault="00000000">
                            <w:pPr>
                              <w:pStyle w:val="TableParagraph"/>
                              <w:spacing w:line="182" w:lineRule="exact"/>
                              <w:ind w:right="58"/>
                              <w:rPr>
                                <w:rFonts w:ascii="Arial MT"/>
                                <w:sz w:val="16"/>
                              </w:rPr>
                            </w:pPr>
                            <w:r>
                              <w:rPr>
                                <w:rFonts w:ascii="Arial MT"/>
                                <w:spacing w:val="-2"/>
                                <w:sz w:val="16"/>
                              </w:rPr>
                              <w:t>3.970</w:t>
                            </w:r>
                          </w:p>
                          <w:p w14:paraId="66B50DE1" w14:textId="77777777" w:rsidR="002C6574" w:rsidRDefault="00000000">
                            <w:pPr>
                              <w:pStyle w:val="TableParagraph"/>
                              <w:spacing w:line="183" w:lineRule="exact"/>
                              <w:ind w:right="58"/>
                              <w:rPr>
                                <w:rFonts w:ascii="Arial MT"/>
                                <w:sz w:val="16"/>
                              </w:rPr>
                            </w:pPr>
                            <w:r>
                              <w:rPr>
                                <w:rFonts w:ascii="Arial MT"/>
                                <w:spacing w:val="-2"/>
                                <w:sz w:val="16"/>
                              </w:rPr>
                              <w:t>(1.177)</w:t>
                            </w:r>
                          </w:p>
                          <w:p w14:paraId="4AE24CC0" w14:textId="77777777" w:rsidR="002C6574" w:rsidRDefault="00000000">
                            <w:pPr>
                              <w:pStyle w:val="TableParagraph"/>
                              <w:spacing w:before="1"/>
                              <w:ind w:right="58"/>
                              <w:rPr>
                                <w:rFonts w:ascii="Arial MT"/>
                                <w:sz w:val="16"/>
                              </w:rPr>
                            </w:pPr>
                            <w:r>
                              <w:rPr>
                                <w:rFonts w:ascii="Arial MT"/>
                                <w:spacing w:val="-2"/>
                                <w:sz w:val="16"/>
                              </w:rPr>
                              <w:t>1.415</w:t>
                            </w:r>
                          </w:p>
                          <w:p w14:paraId="66A73DAF" w14:textId="77777777" w:rsidR="002C6574" w:rsidRDefault="00000000">
                            <w:pPr>
                              <w:pStyle w:val="TableParagraph"/>
                              <w:spacing w:before="1" w:line="183" w:lineRule="exact"/>
                              <w:ind w:right="59"/>
                              <w:rPr>
                                <w:rFonts w:ascii="Arial MT"/>
                                <w:sz w:val="16"/>
                              </w:rPr>
                            </w:pPr>
                            <w:r>
                              <w:rPr>
                                <w:rFonts w:ascii="Arial MT"/>
                                <w:spacing w:val="-5"/>
                                <w:sz w:val="16"/>
                              </w:rPr>
                              <w:t>283</w:t>
                            </w:r>
                          </w:p>
                          <w:p w14:paraId="38F65DE8" w14:textId="77777777" w:rsidR="002C6574" w:rsidRDefault="00000000">
                            <w:pPr>
                              <w:pStyle w:val="TableParagraph"/>
                              <w:spacing w:line="183" w:lineRule="exact"/>
                              <w:ind w:right="56"/>
                              <w:rPr>
                                <w:rFonts w:ascii="Arial MT"/>
                                <w:sz w:val="16"/>
                              </w:rPr>
                            </w:pPr>
                            <w:r>
                              <w:rPr>
                                <w:rFonts w:ascii="Arial MT"/>
                                <w:spacing w:val="-10"/>
                                <w:sz w:val="16"/>
                              </w:rPr>
                              <w:t>-</w:t>
                            </w:r>
                          </w:p>
                          <w:p w14:paraId="5E7D665F" w14:textId="77777777" w:rsidR="002C6574" w:rsidRDefault="00000000">
                            <w:pPr>
                              <w:pStyle w:val="TableParagraph"/>
                              <w:spacing w:before="1"/>
                              <w:ind w:left="95" w:right="56" w:firstLine="633"/>
                              <w:rPr>
                                <w:rFonts w:ascii="Arial MT"/>
                                <w:sz w:val="16"/>
                              </w:rPr>
                            </w:pPr>
                            <w:r>
                              <w:rPr>
                                <w:rFonts w:ascii="Arial MT"/>
                                <w:spacing w:val="-10"/>
                                <w:sz w:val="16"/>
                              </w:rPr>
                              <w:t>-</w:t>
                            </w:r>
                            <w:r>
                              <w:rPr>
                                <w:rFonts w:ascii="Arial MT"/>
                                <w:spacing w:val="-2"/>
                                <w:sz w:val="16"/>
                              </w:rPr>
                              <w:t xml:space="preserve"> (102.225)</w:t>
                            </w:r>
                          </w:p>
                          <w:p w14:paraId="0BCD233B" w14:textId="77777777" w:rsidR="002C6574" w:rsidRDefault="00000000">
                            <w:pPr>
                              <w:pStyle w:val="TableParagraph"/>
                              <w:spacing w:line="183" w:lineRule="exact"/>
                              <w:ind w:right="58"/>
                              <w:rPr>
                                <w:rFonts w:ascii="Arial MT"/>
                                <w:sz w:val="16"/>
                              </w:rPr>
                            </w:pPr>
                            <w:r>
                              <w:rPr>
                                <w:rFonts w:ascii="Arial MT"/>
                                <w:spacing w:val="-2"/>
                                <w:sz w:val="16"/>
                              </w:rPr>
                              <w:t>4.795</w:t>
                            </w:r>
                          </w:p>
                          <w:p w14:paraId="57CD444E" w14:textId="77777777" w:rsidR="002C6574" w:rsidRDefault="00000000">
                            <w:pPr>
                              <w:pStyle w:val="TableParagraph"/>
                              <w:ind w:right="58"/>
                              <w:rPr>
                                <w:rFonts w:ascii="Arial MT"/>
                                <w:sz w:val="16"/>
                              </w:rPr>
                            </w:pPr>
                            <w:r>
                              <w:rPr>
                                <w:rFonts w:ascii="Arial MT"/>
                                <w:spacing w:val="-2"/>
                                <w:sz w:val="16"/>
                              </w:rPr>
                              <w:t>(3.744)</w:t>
                            </w:r>
                          </w:p>
                          <w:p w14:paraId="78C2552D" w14:textId="77777777" w:rsidR="002C6574" w:rsidRDefault="00000000">
                            <w:pPr>
                              <w:pStyle w:val="TableParagraph"/>
                              <w:spacing w:before="1" w:line="183" w:lineRule="exact"/>
                              <w:ind w:right="58"/>
                              <w:rPr>
                                <w:rFonts w:ascii="Arial MT"/>
                                <w:sz w:val="16"/>
                              </w:rPr>
                            </w:pPr>
                            <w:r>
                              <w:rPr>
                                <w:rFonts w:ascii="Arial MT"/>
                                <w:spacing w:val="-2"/>
                                <w:sz w:val="16"/>
                              </w:rPr>
                              <w:t>(234.446)</w:t>
                            </w:r>
                          </w:p>
                          <w:p w14:paraId="524A8E51" w14:textId="77777777" w:rsidR="002C6574" w:rsidRDefault="00000000">
                            <w:pPr>
                              <w:pStyle w:val="TableParagraph"/>
                              <w:spacing w:line="162" w:lineRule="exact"/>
                              <w:ind w:right="56"/>
                              <w:rPr>
                                <w:rFonts w:ascii="Arial MT"/>
                                <w:sz w:val="16"/>
                              </w:rPr>
                            </w:pPr>
                            <w:r>
                              <w:rPr>
                                <w:rFonts w:ascii="Arial MT"/>
                                <w:spacing w:val="-10"/>
                                <w:sz w:val="16"/>
                              </w:rPr>
                              <w:t>-</w:t>
                            </w:r>
                          </w:p>
                        </w:tc>
                        <w:tc>
                          <w:tcPr>
                            <w:tcW w:w="861" w:type="dxa"/>
                          </w:tcPr>
                          <w:p w14:paraId="114293B8" w14:textId="77777777" w:rsidR="002C6574" w:rsidRDefault="002C6574">
                            <w:pPr>
                              <w:pStyle w:val="TableParagraph"/>
                              <w:spacing w:before="1"/>
                              <w:jc w:val="left"/>
                              <w:rPr>
                                <w:rFonts w:ascii="Arial"/>
                                <w:b/>
                                <w:sz w:val="16"/>
                              </w:rPr>
                            </w:pPr>
                          </w:p>
                          <w:p w14:paraId="4229A899" w14:textId="77777777" w:rsidR="002C6574" w:rsidRDefault="00000000">
                            <w:pPr>
                              <w:pStyle w:val="TableParagraph"/>
                              <w:spacing w:line="183" w:lineRule="exact"/>
                              <w:ind w:right="58"/>
                              <w:rPr>
                                <w:rFonts w:ascii="Arial MT"/>
                                <w:sz w:val="16"/>
                              </w:rPr>
                            </w:pPr>
                            <w:r>
                              <w:rPr>
                                <w:rFonts w:ascii="Arial MT"/>
                                <w:spacing w:val="-2"/>
                                <w:sz w:val="16"/>
                              </w:rPr>
                              <w:t>69.453</w:t>
                            </w:r>
                          </w:p>
                          <w:p w14:paraId="5335DC9C" w14:textId="77777777" w:rsidR="002C6574" w:rsidRDefault="00000000">
                            <w:pPr>
                              <w:pStyle w:val="TableParagraph"/>
                              <w:spacing w:line="183" w:lineRule="exact"/>
                              <w:ind w:right="58"/>
                              <w:rPr>
                                <w:rFonts w:ascii="Arial MT"/>
                                <w:sz w:val="16"/>
                              </w:rPr>
                            </w:pPr>
                            <w:r>
                              <w:rPr>
                                <w:rFonts w:ascii="Arial MT"/>
                                <w:spacing w:val="-5"/>
                                <w:sz w:val="16"/>
                              </w:rPr>
                              <w:t>32</w:t>
                            </w:r>
                          </w:p>
                          <w:p w14:paraId="545D1D25" w14:textId="77777777" w:rsidR="002C6574" w:rsidRDefault="00000000">
                            <w:pPr>
                              <w:pStyle w:val="TableParagraph"/>
                              <w:spacing w:before="1"/>
                              <w:ind w:right="58"/>
                              <w:rPr>
                                <w:rFonts w:ascii="Arial MT"/>
                                <w:sz w:val="16"/>
                              </w:rPr>
                            </w:pPr>
                            <w:r>
                              <w:rPr>
                                <w:rFonts w:ascii="Arial MT"/>
                                <w:spacing w:val="-2"/>
                                <w:sz w:val="16"/>
                              </w:rPr>
                              <w:t>1.734</w:t>
                            </w:r>
                          </w:p>
                          <w:p w14:paraId="1333F16E" w14:textId="77777777" w:rsidR="002C6574" w:rsidRDefault="00000000">
                            <w:pPr>
                              <w:pStyle w:val="TableParagraph"/>
                              <w:spacing w:before="1" w:line="183" w:lineRule="exact"/>
                              <w:ind w:right="58"/>
                              <w:rPr>
                                <w:rFonts w:ascii="Arial MT"/>
                                <w:sz w:val="16"/>
                              </w:rPr>
                            </w:pPr>
                            <w:r>
                              <w:rPr>
                                <w:rFonts w:ascii="Arial MT"/>
                                <w:spacing w:val="-2"/>
                                <w:sz w:val="16"/>
                              </w:rPr>
                              <w:t>(9.120)</w:t>
                            </w:r>
                          </w:p>
                          <w:p w14:paraId="4AC1CC65" w14:textId="77777777" w:rsidR="002C6574" w:rsidRDefault="00000000">
                            <w:pPr>
                              <w:pStyle w:val="TableParagraph"/>
                              <w:spacing w:line="183" w:lineRule="exact"/>
                              <w:ind w:right="61"/>
                              <w:rPr>
                                <w:rFonts w:ascii="Arial MT"/>
                                <w:sz w:val="16"/>
                              </w:rPr>
                            </w:pPr>
                            <w:r>
                              <w:rPr>
                                <w:rFonts w:ascii="Arial MT"/>
                                <w:spacing w:val="-2"/>
                                <w:sz w:val="16"/>
                              </w:rPr>
                              <w:t>(407)</w:t>
                            </w:r>
                          </w:p>
                          <w:p w14:paraId="07CB2AD1" w14:textId="77777777" w:rsidR="002C6574" w:rsidRDefault="00000000">
                            <w:pPr>
                              <w:pStyle w:val="TableParagraph"/>
                              <w:spacing w:before="1"/>
                              <w:ind w:right="58"/>
                              <w:rPr>
                                <w:rFonts w:ascii="Arial MT"/>
                                <w:sz w:val="16"/>
                              </w:rPr>
                            </w:pPr>
                            <w:r>
                              <w:rPr>
                                <w:rFonts w:ascii="Arial MT"/>
                                <w:spacing w:val="-2"/>
                                <w:sz w:val="16"/>
                              </w:rPr>
                              <w:t>49.785</w:t>
                            </w:r>
                          </w:p>
                          <w:p w14:paraId="18364B86" w14:textId="77777777" w:rsidR="002C6574" w:rsidRDefault="00000000">
                            <w:pPr>
                              <w:pStyle w:val="TableParagraph"/>
                              <w:spacing w:before="1" w:line="183" w:lineRule="exact"/>
                              <w:ind w:right="58"/>
                              <w:rPr>
                                <w:rFonts w:ascii="Arial MT"/>
                                <w:sz w:val="16"/>
                              </w:rPr>
                            </w:pPr>
                            <w:r>
                              <w:rPr>
                                <w:rFonts w:ascii="Arial MT"/>
                                <w:spacing w:val="-5"/>
                                <w:sz w:val="16"/>
                              </w:rPr>
                              <w:t>952</w:t>
                            </w:r>
                          </w:p>
                          <w:p w14:paraId="75FC24F9" w14:textId="77777777" w:rsidR="002C6574" w:rsidRDefault="00000000">
                            <w:pPr>
                              <w:pStyle w:val="TableParagraph"/>
                              <w:spacing w:line="183" w:lineRule="exact"/>
                              <w:ind w:right="58"/>
                              <w:rPr>
                                <w:rFonts w:ascii="Arial MT"/>
                                <w:sz w:val="16"/>
                              </w:rPr>
                            </w:pPr>
                            <w:r>
                              <w:rPr>
                                <w:rFonts w:ascii="Arial MT"/>
                                <w:spacing w:val="-5"/>
                                <w:sz w:val="16"/>
                              </w:rPr>
                              <w:t>219</w:t>
                            </w:r>
                          </w:p>
                          <w:p w14:paraId="652367BB" w14:textId="77777777" w:rsidR="002C6574" w:rsidRDefault="00000000">
                            <w:pPr>
                              <w:pStyle w:val="TableParagraph"/>
                              <w:spacing w:before="1" w:line="183" w:lineRule="exact"/>
                              <w:ind w:right="58"/>
                              <w:rPr>
                                <w:rFonts w:ascii="Arial MT"/>
                                <w:sz w:val="16"/>
                              </w:rPr>
                            </w:pPr>
                            <w:r>
                              <w:rPr>
                                <w:rFonts w:ascii="Arial MT"/>
                                <w:spacing w:val="-2"/>
                                <w:sz w:val="16"/>
                              </w:rPr>
                              <w:t>3.553</w:t>
                            </w:r>
                          </w:p>
                          <w:p w14:paraId="1A4F53C4" w14:textId="77777777" w:rsidR="002C6574" w:rsidRDefault="00000000">
                            <w:pPr>
                              <w:pStyle w:val="TableParagraph"/>
                              <w:spacing w:line="183" w:lineRule="exact"/>
                              <w:ind w:right="61"/>
                              <w:rPr>
                                <w:rFonts w:ascii="Arial MT"/>
                                <w:sz w:val="16"/>
                              </w:rPr>
                            </w:pPr>
                            <w:r>
                              <w:rPr>
                                <w:rFonts w:ascii="Arial MT"/>
                                <w:spacing w:val="-2"/>
                                <w:sz w:val="16"/>
                              </w:rPr>
                              <w:t>(955)</w:t>
                            </w:r>
                          </w:p>
                          <w:p w14:paraId="704D5014" w14:textId="77777777" w:rsidR="002C6574" w:rsidRDefault="00000000">
                            <w:pPr>
                              <w:pStyle w:val="TableParagraph"/>
                              <w:spacing w:before="1"/>
                              <w:ind w:right="58"/>
                              <w:rPr>
                                <w:rFonts w:ascii="Arial MT"/>
                                <w:sz w:val="16"/>
                              </w:rPr>
                            </w:pPr>
                            <w:r>
                              <w:rPr>
                                <w:rFonts w:ascii="Arial MT"/>
                                <w:spacing w:val="-5"/>
                                <w:sz w:val="16"/>
                              </w:rPr>
                              <w:t>931</w:t>
                            </w:r>
                          </w:p>
                          <w:p w14:paraId="61061336" w14:textId="77777777" w:rsidR="002C6574" w:rsidRDefault="00000000">
                            <w:pPr>
                              <w:pStyle w:val="TableParagraph"/>
                              <w:spacing w:before="1" w:line="183" w:lineRule="exact"/>
                              <w:ind w:right="58"/>
                              <w:rPr>
                                <w:rFonts w:ascii="Arial MT"/>
                                <w:sz w:val="16"/>
                              </w:rPr>
                            </w:pPr>
                            <w:r>
                              <w:rPr>
                                <w:rFonts w:ascii="Arial MT"/>
                                <w:spacing w:val="-5"/>
                                <w:sz w:val="16"/>
                              </w:rPr>
                              <w:t>160</w:t>
                            </w:r>
                          </w:p>
                          <w:p w14:paraId="411BF9E0" w14:textId="77777777" w:rsidR="002C6574" w:rsidRDefault="00000000">
                            <w:pPr>
                              <w:pStyle w:val="TableParagraph"/>
                              <w:spacing w:line="183" w:lineRule="exact"/>
                              <w:ind w:right="58"/>
                              <w:rPr>
                                <w:rFonts w:ascii="Arial MT"/>
                                <w:sz w:val="16"/>
                              </w:rPr>
                            </w:pPr>
                            <w:r>
                              <w:rPr>
                                <w:rFonts w:ascii="Arial MT"/>
                                <w:spacing w:val="-2"/>
                                <w:sz w:val="16"/>
                              </w:rPr>
                              <w:t>(1.366)</w:t>
                            </w:r>
                          </w:p>
                          <w:p w14:paraId="694DD87F" w14:textId="77777777" w:rsidR="002C6574" w:rsidRDefault="00000000">
                            <w:pPr>
                              <w:pStyle w:val="TableParagraph"/>
                              <w:ind w:right="61"/>
                              <w:rPr>
                                <w:rFonts w:ascii="Arial MT"/>
                                <w:sz w:val="16"/>
                              </w:rPr>
                            </w:pPr>
                            <w:r>
                              <w:rPr>
                                <w:rFonts w:ascii="Arial MT"/>
                                <w:spacing w:val="-2"/>
                                <w:sz w:val="16"/>
                              </w:rPr>
                              <w:t>(598)</w:t>
                            </w:r>
                          </w:p>
                          <w:p w14:paraId="6A775CF8" w14:textId="77777777" w:rsidR="002C6574" w:rsidRDefault="00000000">
                            <w:pPr>
                              <w:pStyle w:val="TableParagraph"/>
                              <w:spacing w:before="1" w:line="183" w:lineRule="exact"/>
                              <w:ind w:right="58"/>
                              <w:rPr>
                                <w:rFonts w:ascii="Arial MT"/>
                                <w:sz w:val="16"/>
                              </w:rPr>
                            </w:pPr>
                            <w:r>
                              <w:rPr>
                                <w:rFonts w:ascii="Arial MT"/>
                                <w:spacing w:val="-2"/>
                                <w:sz w:val="16"/>
                              </w:rPr>
                              <w:t>(212.038)</w:t>
                            </w:r>
                          </w:p>
                          <w:p w14:paraId="00369853" w14:textId="77777777" w:rsidR="002C6574" w:rsidRDefault="00000000">
                            <w:pPr>
                              <w:pStyle w:val="TableParagraph"/>
                              <w:spacing w:line="183" w:lineRule="exact"/>
                              <w:ind w:right="58"/>
                              <w:rPr>
                                <w:rFonts w:ascii="Arial MT"/>
                                <w:sz w:val="16"/>
                              </w:rPr>
                            </w:pPr>
                            <w:r>
                              <w:rPr>
                                <w:rFonts w:ascii="Arial MT"/>
                                <w:spacing w:val="-2"/>
                                <w:sz w:val="16"/>
                              </w:rPr>
                              <w:t>2.963</w:t>
                            </w:r>
                          </w:p>
                          <w:p w14:paraId="497E4FCA" w14:textId="77777777" w:rsidR="002C6574" w:rsidRDefault="00000000">
                            <w:pPr>
                              <w:pStyle w:val="TableParagraph"/>
                              <w:spacing w:before="1"/>
                              <w:ind w:right="58"/>
                              <w:rPr>
                                <w:rFonts w:ascii="Arial MT"/>
                                <w:sz w:val="16"/>
                              </w:rPr>
                            </w:pPr>
                            <w:r>
                              <w:rPr>
                                <w:rFonts w:ascii="Arial MT"/>
                                <w:spacing w:val="-2"/>
                                <w:sz w:val="16"/>
                              </w:rPr>
                              <w:t>(2.150)</w:t>
                            </w:r>
                          </w:p>
                          <w:p w14:paraId="0DC7D599" w14:textId="77777777" w:rsidR="002C6574" w:rsidRDefault="00000000">
                            <w:pPr>
                              <w:pStyle w:val="TableParagraph"/>
                              <w:spacing w:before="1" w:line="183" w:lineRule="exact"/>
                              <w:ind w:right="55"/>
                              <w:rPr>
                                <w:rFonts w:ascii="Arial MT"/>
                                <w:sz w:val="16"/>
                              </w:rPr>
                            </w:pPr>
                            <w:r>
                              <w:rPr>
                                <w:rFonts w:ascii="Arial MT"/>
                                <w:spacing w:val="-10"/>
                                <w:sz w:val="16"/>
                              </w:rPr>
                              <w:t>-</w:t>
                            </w:r>
                          </w:p>
                          <w:p w14:paraId="465A0EF2" w14:textId="77777777" w:rsidR="002C6574" w:rsidRDefault="00000000">
                            <w:pPr>
                              <w:pStyle w:val="TableParagraph"/>
                              <w:spacing w:line="162" w:lineRule="exact"/>
                              <w:ind w:right="55"/>
                              <w:rPr>
                                <w:rFonts w:ascii="Arial MT"/>
                                <w:sz w:val="16"/>
                              </w:rPr>
                            </w:pPr>
                            <w:r>
                              <w:rPr>
                                <w:rFonts w:ascii="Arial MT"/>
                                <w:spacing w:val="-10"/>
                                <w:sz w:val="16"/>
                              </w:rPr>
                              <w:t>-</w:t>
                            </w:r>
                          </w:p>
                        </w:tc>
                        <w:tc>
                          <w:tcPr>
                            <w:tcW w:w="773" w:type="dxa"/>
                            <w:tcBorders>
                              <w:right w:val="nil"/>
                            </w:tcBorders>
                          </w:tcPr>
                          <w:p w14:paraId="07FC34E1" w14:textId="77777777" w:rsidR="002C6574" w:rsidRDefault="002C6574">
                            <w:pPr>
                              <w:pStyle w:val="TableParagraph"/>
                              <w:spacing w:before="1"/>
                              <w:jc w:val="left"/>
                              <w:rPr>
                                <w:rFonts w:ascii="Arial"/>
                                <w:b/>
                                <w:sz w:val="16"/>
                              </w:rPr>
                            </w:pPr>
                          </w:p>
                          <w:p w14:paraId="718562D8" w14:textId="77777777" w:rsidR="002C6574" w:rsidRDefault="00000000">
                            <w:pPr>
                              <w:pStyle w:val="TableParagraph"/>
                              <w:spacing w:line="183" w:lineRule="exact"/>
                              <w:ind w:right="67"/>
                              <w:rPr>
                                <w:rFonts w:ascii="Arial MT"/>
                                <w:sz w:val="16"/>
                              </w:rPr>
                            </w:pPr>
                            <w:r>
                              <w:rPr>
                                <w:rFonts w:ascii="Arial MT"/>
                                <w:spacing w:val="-2"/>
                                <w:sz w:val="16"/>
                              </w:rPr>
                              <w:t>69.064</w:t>
                            </w:r>
                          </w:p>
                          <w:p w14:paraId="252DE0C5" w14:textId="77777777" w:rsidR="002C6574" w:rsidRDefault="00000000">
                            <w:pPr>
                              <w:pStyle w:val="TableParagraph"/>
                              <w:spacing w:line="183" w:lineRule="exact"/>
                              <w:ind w:right="68"/>
                              <w:rPr>
                                <w:rFonts w:ascii="Arial MT"/>
                                <w:sz w:val="16"/>
                              </w:rPr>
                            </w:pPr>
                            <w:r>
                              <w:rPr>
                                <w:rFonts w:ascii="Arial MT"/>
                                <w:spacing w:val="-5"/>
                                <w:sz w:val="16"/>
                              </w:rPr>
                              <w:t>697</w:t>
                            </w:r>
                          </w:p>
                          <w:p w14:paraId="6C14B969" w14:textId="77777777" w:rsidR="002C6574" w:rsidRDefault="00000000">
                            <w:pPr>
                              <w:pStyle w:val="TableParagraph"/>
                              <w:spacing w:before="1"/>
                              <w:ind w:right="67"/>
                              <w:rPr>
                                <w:rFonts w:ascii="Arial MT"/>
                                <w:sz w:val="16"/>
                              </w:rPr>
                            </w:pPr>
                            <w:r>
                              <w:rPr>
                                <w:rFonts w:ascii="Arial MT"/>
                                <w:spacing w:val="-2"/>
                                <w:sz w:val="16"/>
                              </w:rPr>
                              <w:t>1.208</w:t>
                            </w:r>
                          </w:p>
                          <w:p w14:paraId="7219D4CC" w14:textId="77777777" w:rsidR="002C6574" w:rsidRDefault="00000000">
                            <w:pPr>
                              <w:pStyle w:val="TableParagraph"/>
                              <w:spacing w:before="1" w:line="183" w:lineRule="exact"/>
                              <w:ind w:right="67"/>
                              <w:rPr>
                                <w:rFonts w:ascii="Arial MT"/>
                                <w:sz w:val="16"/>
                              </w:rPr>
                            </w:pPr>
                            <w:r>
                              <w:rPr>
                                <w:rFonts w:ascii="Arial MT"/>
                                <w:spacing w:val="-2"/>
                                <w:sz w:val="16"/>
                              </w:rPr>
                              <w:t>(9.120)</w:t>
                            </w:r>
                          </w:p>
                          <w:p w14:paraId="6405866D" w14:textId="77777777" w:rsidR="002C6574" w:rsidRDefault="00000000">
                            <w:pPr>
                              <w:pStyle w:val="TableParagraph"/>
                              <w:spacing w:line="183" w:lineRule="exact"/>
                              <w:ind w:right="70"/>
                              <w:rPr>
                                <w:rFonts w:ascii="Arial MT"/>
                                <w:sz w:val="16"/>
                              </w:rPr>
                            </w:pPr>
                            <w:r>
                              <w:rPr>
                                <w:rFonts w:ascii="Arial MT"/>
                                <w:spacing w:val="-4"/>
                                <w:sz w:val="16"/>
                              </w:rPr>
                              <w:t>(23)</w:t>
                            </w:r>
                          </w:p>
                          <w:p w14:paraId="4302E83A" w14:textId="77777777" w:rsidR="002C6574" w:rsidRDefault="00000000">
                            <w:pPr>
                              <w:pStyle w:val="TableParagraph"/>
                              <w:spacing w:before="1"/>
                              <w:ind w:right="67"/>
                              <w:rPr>
                                <w:rFonts w:ascii="Arial MT"/>
                                <w:sz w:val="16"/>
                              </w:rPr>
                            </w:pPr>
                            <w:r>
                              <w:rPr>
                                <w:rFonts w:ascii="Arial MT"/>
                                <w:spacing w:val="-2"/>
                                <w:sz w:val="16"/>
                              </w:rPr>
                              <w:t>67.317</w:t>
                            </w:r>
                          </w:p>
                          <w:p w14:paraId="6193D0BC" w14:textId="77777777" w:rsidR="002C6574" w:rsidRDefault="00000000">
                            <w:pPr>
                              <w:pStyle w:val="TableParagraph"/>
                              <w:spacing w:before="1"/>
                              <w:ind w:left="318" w:right="67" w:firstLine="321"/>
                              <w:rPr>
                                <w:rFonts w:ascii="Arial MT"/>
                                <w:sz w:val="16"/>
                              </w:rPr>
                            </w:pPr>
                            <w:r>
                              <w:rPr>
                                <w:rFonts w:ascii="Arial MT"/>
                                <w:spacing w:val="-10"/>
                                <w:sz w:val="16"/>
                              </w:rPr>
                              <w:t>-</w:t>
                            </w:r>
                            <w:r>
                              <w:rPr>
                                <w:rFonts w:ascii="Arial MT"/>
                                <w:spacing w:val="-2"/>
                                <w:sz w:val="16"/>
                              </w:rPr>
                              <w:t xml:space="preserve"> (312)</w:t>
                            </w:r>
                          </w:p>
                          <w:p w14:paraId="7EBBAA10" w14:textId="77777777" w:rsidR="002C6574" w:rsidRDefault="00000000">
                            <w:pPr>
                              <w:pStyle w:val="TableParagraph"/>
                              <w:spacing w:line="182" w:lineRule="exact"/>
                              <w:ind w:right="67"/>
                              <w:rPr>
                                <w:rFonts w:ascii="Arial MT"/>
                                <w:sz w:val="16"/>
                              </w:rPr>
                            </w:pPr>
                            <w:r>
                              <w:rPr>
                                <w:rFonts w:ascii="Arial MT"/>
                                <w:spacing w:val="-2"/>
                                <w:sz w:val="16"/>
                              </w:rPr>
                              <w:t>2.302</w:t>
                            </w:r>
                          </w:p>
                          <w:p w14:paraId="00782BFD" w14:textId="77777777" w:rsidR="002C6574" w:rsidRDefault="00000000">
                            <w:pPr>
                              <w:pStyle w:val="TableParagraph"/>
                              <w:spacing w:line="183" w:lineRule="exact"/>
                              <w:ind w:right="67"/>
                              <w:rPr>
                                <w:rFonts w:ascii="Arial MT"/>
                                <w:sz w:val="16"/>
                              </w:rPr>
                            </w:pPr>
                            <w:r>
                              <w:rPr>
                                <w:rFonts w:ascii="Arial MT"/>
                                <w:spacing w:val="-2"/>
                                <w:sz w:val="16"/>
                              </w:rPr>
                              <w:t>(1.174)</w:t>
                            </w:r>
                          </w:p>
                          <w:p w14:paraId="1D3C4C46" w14:textId="77777777" w:rsidR="002C6574" w:rsidRDefault="00000000">
                            <w:pPr>
                              <w:pStyle w:val="TableParagraph"/>
                              <w:spacing w:before="1"/>
                              <w:ind w:right="68"/>
                              <w:rPr>
                                <w:rFonts w:ascii="Arial MT"/>
                                <w:sz w:val="16"/>
                              </w:rPr>
                            </w:pPr>
                            <w:r>
                              <w:rPr>
                                <w:rFonts w:ascii="Arial MT"/>
                                <w:spacing w:val="-5"/>
                                <w:sz w:val="16"/>
                              </w:rPr>
                              <w:t>831</w:t>
                            </w:r>
                          </w:p>
                          <w:p w14:paraId="2D46D839" w14:textId="77777777" w:rsidR="002C6574" w:rsidRDefault="00000000">
                            <w:pPr>
                              <w:pStyle w:val="TableParagraph"/>
                              <w:spacing w:before="1" w:line="183" w:lineRule="exact"/>
                              <w:ind w:right="68"/>
                              <w:rPr>
                                <w:rFonts w:ascii="Arial MT"/>
                                <w:sz w:val="16"/>
                              </w:rPr>
                            </w:pPr>
                            <w:r>
                              <w:rPr>
                                <w:rFonts w:ascii="Arial MT"/>
                                <w:spacing w:val="-5"/>
                                <w:sz w:val="16"/>
                              </w:rPr>
                              <w:t>132</w:t>
                            </w:r>
                          </w:p>
                          <w:p w14:paraId="11E1C9EE" w14:textId="77777777" w:rsidR="002C6574" w:rsidRDefault="00000000">
                            <w:pPr>
                              <w:pStyle w:val="TableParagraph"/>
                              <w:spacing w:line="183" w:lineRule="exact"/>
                              <w:ind w:right="67"/>
                              <w:rPr>
                                <w:rFonts w:ascii="Arial MT"/>
                                <w:sz w:val="16"/>
                              </w:rPr>
                            </w:pPr>
                            <w:r>
                              <w:rPr>
                                <w:rFonts w:ascii="Arial MT"/>
                                <w:spacing w:val="-10"/>
                                <w:sz w:val="16"/>
                              </w:rPr>
                              <w:t>-</w:t>
                            </w:r>
                          </w:p>
                          <w:p w14:paraId="1E0C68AC" w14:textId="77777777" w:rsidR="002C6574" w:rsidRDefault="00000000">
                            <w:pPr>
                              <w:pStyle w:val="TableParagraph"/>
                              <w:spacing w:before="1"/>
                              <w:ind w:left="97" w:right="67" w:firstLine="542"/>
                              <w:rPr>
                                <w:rFonts w:ascii="Arial MT"/>
                                <w:sz w:val="16"/>
                              </w:rPr>
                            </w:pPr>
                            <w:r>
                              <w:rPr>
                                <w:rFonts w:ascii="Arial MT"/>
                                <w:spacing w:val="-10"/>
                                <w:sz w:val="16"/>
                              </w:rPr>
                              <w:t>-</w:t>
                            </w:r>
                            <w:r>
                              <w:rPr>
                                <w:rFonts w:ascii="Arial MT"/>
                                <w:spacing w:val="-2"/>
                                <w:sz w:val="16"/>
                              </w:rPr>
                              <w:t xml:space="preserve"> (32.502)</w:t>
                            </w:r>
                          </w:p>
                          <w:p w14:paraId="5D1848F7" w14:textId="77777777" w:rsidR="002C6574" w:rsidRDefault="00000000">
                            <w:pPr>
                              <w:pStyle w:val="TableParagraph"/>
                              <w:ind w:left="426" w:right="67" w:firstLine="213"/>
                              <w:rPr>
                                <w:rFonts w:ascii="Arial MT"/>
                                <w:sz w:val="16"/>
                              </w:rPr>
                            </w:pPr>
                            <w:r>
                              <w:rPr>
                                <w:rFonts w:ascii="Arial MT"/>
                                <w:spacing w:val="-10"/>
                                <w:sz w:val="16"/>
                              </w:rPr>
                              <w:t>-</w:t>
                            </w:r>
                            <w:r>
                              <w:rPr>
                                <w:rFonts w:ascii="Arial MT"/>
                                <w:sz w:val="16"/>
                              </w:rPr>
                              <w:t xml:space="preserve"> </w:t>
                            </w:r>
                            <w:r>
                              <w:rPr>
                                <w:rFonts w:ascii="Arial MT"/>
                                <w:spacing w:val="-5"/>
                                <w:sz w:val="16"/>
                              </w:rPr>
                              <w:t>829</w:t>
                            </w:r>
                          </w:p>
                          <w:p w14:paraId="07B40FF3" w14:textId="77777777" w:rsidR="002C6574" w:rsidRDefault="00000000">
                            <w:pPr>
                              <w:pStyle w:val="TableParagraph"/>
                              <w:spacing w:line="182" w:lineRule="exact"/>
                              <w:ind w:left="515" w:right="67" w:firstLine="124"/>
                              <w:rPr>
                                <w:rFonts w:ascii="Arial MT"/>
                                <w:sz w:val="16"/>
                              </w:rPr>
                            </w:pPr>
                            <w:r>
                              <w:rPr>
                                <w:rFonts w:ascii="Arial MT"/>
                                <w:spacing w:val="-10"/>
                                <w:sz w:val="16"/>
                              </w:rPr>
                              <w:t>-</w:t>
                            </w:r>
                            <w:r>
                              <w:rPr>
                                <w:rFonts w:ascii="Arial MT"/>
                                <w:sz w:val="16"/>
                              </w:rPr>
                              <w:t xml:space="preserve"> </w:t>
                            </w:r>
                            <w:r>
                              <w:rPr>
                                <w:rFonts w:ascii="Arial MT"/>
                                <w:spacing w:val="-5"/>
                                <w:sz w:val="16"/>
                              </w:rPr>
                              <w:t>91</w:t>
                            </w:r>
                          </w:p>
                        </w:tc>
                      </w:tr>
                      <w:tr w:rsidR="002C6574" w14:paraId="604F0771" w14:textId="77777777">
                        <w:trPr>
                          <w:trHeight w:val="184"/>
                        </w:trPr>
                        <w:tc>
                          <w:tcPr>
                            <w:tcW w:w="6126" w:type="dxa"/>
                            <w:tcBorders>
                              <w:left w:val="nil"/>
                            </w:tcBorders>
                          </w:tcPr>
                          <w:p w14:paraId="754E906D" w14:textId="77777777" w:rsidR="002C6574" w:rsidRDefault="00000000">
                            <w:pPr>
                              <w:pStyle w:val="TableParagraph"/>
                              <w:spacing w:line="163" w:lineRule="exact"/>
                              <w:ind w:left="292"/>
                              <w:jc w:val="left"/>
                              <w:rPr>
                                <w:rFonts w:ascii="Arial"/>
                                <w:b/>
                                <w:sz w:val="16"/>
                              </w:rPr>
                            </w:pPr>
                            <w:r>
                              <w:rPr>
                                <w:rFonts w:ascii="Arial"/>
                                <w:b/>
                                <w:spacing w:val="-2"/>
                                <w:sz w:val="16"/>
                              </w:rPr>
                              <w:t>Subtotal</w:t>
                            </w:r>
                          </w:p>
                        </w:tc>
                        <w:tc>
                          <w:tcPr>
                            <w:tcW w:w="861" w:type="dxa"/>
                            <w:shd w:val="clear" w:color="auto" w:fill="75F6F8"/>
                          </w:tcPr>
                          <w:p w14:paraId="62079696" w14:textId="77777777" w:rsidR="002C6574" w:rsidRDefault="00000000">
                            <w:pPr>
                              <w:pStyle w:val="TableParagraph"/>
                              <w:spacing w:line="163" w:lineRule="exact"/>
                              <w:ind w:left="34"/>
                              <w:jc w:val="center"/>
                              <w:rPr>
                                <w:rFonts w:ascii="Arial"/>
                                <w:b/>
                                <w:sz w:val="16"/>
                              </w:rPr>
                            </w:pPr>
                            <w:r>
                              <w:rPr>
                                <w:rFonts w:ascii="Arial"/>
                                <w:b/>
                                <w:spacing w:val="-2"/>
                                <w:sz w:val="16"/>
                              </w:rPr>
                              <w:t>(203.710)</w:t>
                            </w:r>
                          </w:p>
                        </w:tc>
                        <w:tc>
                          <w:tcPr>
                            <w:tcW w:w="861" w:type="dxa"/>
                          </w:tcPr>
                          <w:p w14:paraId="5828F566" w14:textId="77777777" w:rsidR="002C6574" w:rsidRDefault="00000000">
                            <w:pPr>
                              <w:pStyle w:val="TableParagraph"/>
                              <w:spacing w:line="163" w:lineRule="exact"/>
                              <w:ind w:left="147" w:right="22"/>
                              <w:jc w:val="center"/>
                              <w:rPr>
                                <w:rFonts w:ascii="Arial"/>
                                <w:b/>
                                <w:sz w:val="16"/>
                              </w:rPr>
                            </w:pPr>
                            <w:r>
                              <w:rPr>
                                <w:rFonts w:ascii="Arial"/>
                                <w:b/>
                                <w:spacing w:val="-2"/>
                                <w:sz w:val="16"/>
                              </w:rPr>
                              <w:t>(96.852)</w:t>
                            </w:r>
                          </w:p>
                        </w:tc>
                        <w:tc>
                          <w:tcPr>
                            <w:tcW w:w="773" w:type="dxa"/>
                            <w:tcBorders>
                              <w:right w:val="nil"/>
                            </w:tcBorders>
                          </w:tcPr>
                          <w:p w14:paraId="365B1C07" w14:textId="77777777" w:rsidR="002C6574" w:rsidRDefault="00000000">
                            <w:pPr>
                              <w:pStyle w:val="TableParagraph"/>
                              <w:spacing w:line="163" w:lineRule="exact"/>
                              <w:ind w:left="133"/>
                              <w:jc w:val="center"/>
                              <w:rPr>
                                <w:rFonts w:ascii="Arial"/>
                                <w:b/>
                                <w:sz w:val="16"/>
                              </w:rPr>
                            </w:pPr>
                            <w:r>
                              <w:rPr>
                                <w:rFonts w:ascii="Arial"/>
                                <w:b/>
                                <w:spacing w:val="-2"/>
                                <w:sz w:val="16"/>
                              </w:rPr>
                              <w:t>99.340</w:t>
                            </w:r>
                          </w:p>
                        </w:tc>
                      </w:tr>
                      <w:tr w:rsidR="002C6574" w14:paraId="6C941C90" w14:textId="77777777">
                        <w:trPr>
                          <w:trHeight w:val="1288"/>
                        </w:trPr>
                        <w:tc>
                          <w:tcPr>
                            <w:tcW w:w="6126" w:type="dxa"/>
                            <w:tcBorders>
                              <w:left w:val="nil"/>
                            </w:tcBorders>
                          </w:tcPr>
                          <w:p w14:paraId="52DD5E27" w14:textId="77777777" w:rsidR="002C6574" w:rsidRDefault="00000000">
                            <w:pPr>
                              <w:pStyle w:val="TableParagraph"/>
                              <w:ind w:left="69"/>
                              <w:jc w:val="left"/>
                              <w:rPr>
                                <w:rFonts w:ascii="Arial" w:hAnsi="Arial"/>
                                <w:b/>
                                <w:sz w:val="16"/>
                              </w:rPr>
                            </w:pPr>
                            <w:r>
                              <w:rPr>
                                <w:rFonts w:ascii="Arial" w:hAnsi="Arial"/>
                                <w:b/>
                                <w:sz w:val="16"/>
                              </w:rPr>
                              <w:t>Mutações</w:t>
                            </w:r>
                            <w:r>
                              <w:rPr>
                                <w:rFonts w:ascii="Arial" w:hAnsi="Arial"/>
                                <w:b/>
                                <w:spacing w:val="-6"/>
                                <w:sz w:val="16"/>
                              </w:rPr>
                              <w:t xml:space="preserve"> </w:t>
                            </w:r>
                            <w:r>
                              <w:rPr>
                                <w:rFonts w:ascii="Arial" w:hAnsi="Arial"/>
                                <w:b/>
                                <w:spacing w:val="-2"/>
                                <w:sz w:val="16"/>
                              </w:rPr>
                              <w:t>Patrimoniais:</w:t>
                            </w:r>
                          </w:p>
                          <w:p w14:paraId="1171F1C9" w14:textId="77777777" w:rsidR="002C6574" w:rsidRDefault="00000000">
                            <w:pPr>
                              <w:pStyle w:val="TableParagraph"/>
                              <w:spacing w:before="1"/>
                              <w:ind w:left="434" w:right="3487"/>
                              <w:jc w:val="left"/>
                              <w:rPr>
                                <w:rFonts w:ascii="Arial MT" w:hAnsi="Arial MT"/>
                                <w:sz w:val="16"/>
                              </w:rPr>
                            </w:pPr>
                            <w:r>
                              <w:rPr>
                                <w:rFonts w:ascii="Arial MT" w:hAnsi="Arial MT"/>
                                <w:sz w:val="16"/>
                              </w:rPr>
                              <w:t>Contas</w:t>
                            </w:r>
                            <w:r>
                              <w:rPr>
                                <w:rFonts w:ascii="Arial MT" w:hAnsi="Arial MT"/>
                                <w:spacing w:val="-11"/>
                                <w:sz w:val="16"/>
                              </w:rPr>
                              <w:t xml:space="preserve"> </w:t>
                            </w:r>
                            <w:r>
                              <w:rPr>
                                <w:rFonts w:ascii="Arial MT" w:hAnsi="Arial MT"/>
                                <w:sz w:val="16"/>
                              </w:rPr>
                              <w:t>a</w:t>
                            </w:r>
                            <w:r>
                              <w:rPr>
                                <w:rFonts w:ascii="Arial MT" w:hAnsi="Arial MT"/>
                                <w:spacing w:val="-10"/>
                                <w:sz w:val="16"/>
                              </w:rPr>
                              <w:t xml:space="preserve"> </w:t>
                            </w:r>
                            <w:r>
                              <w:rPr>
                                <w:rFonts w:ascii="Arial MT" w:hAnsi="Arial MT"/>
                                <w:sz w:val="16"/>
                              </w:rPr>
                              <w:t>Receber</w:t>
                            </w:r>
                            <w:r>
                              <w:rPr>
                                <w:rFonts w:ascii="Arial MT" w:hAnsi="Arial MT"/>
                                <w:spacing w:val="-10"/>
                                <w:sz w:val="16"/>
                              </w:rPr>
                              <w:t xml:space="preserve"> </w:t>
                            </w:r>
                            <w:r>
                              <w:rPr>
                                <w:rFonts w:ascii="Arial MT" w:hAnsi="Arial MT"/>
                                <w:sz w:val="16"/>
                              </w:rPr>
                              <w:t>de</w:t>
                            </w:r>
                            <w:r>
                              <w:rPr>
                                <w:rFonts w:ascii="Arial MT" w:hAnsi="Arial MT"/>
                                <w:spacing w:val="-10"/>
                                <w:sz w:val="16"/>
                              </w:rPr>
                              <w:t xml:space="preserve"> </w:t>
                            </w:r>
                            <w:r>
                              <w:rPr>
                                <w:rFonts w:ascii="Arial MT" w:hAnsi="Arial MT"/>
                                <w:sz w:val="16"/>
                              </w:rPr>
                              <w:t>Clientes Tributos a Recuperar Depósitos Judiciais</w:t>
                            </w:r>
                          </w:p>
                          <w:p w14:paraId="5B5569E9" w14:textId="77777777" w:rsidR="002C6574" w:rsidRDefault="00000000">
                            <w:pPr>
                              <w:pStyle w:val="TableParagraph"/>
                              <w:spacing w:before="1"/>
                              <w:ind w:left="434" w:right="2331"/>
                              <w:jc w:val="left"/>
                              <w:rPr>
                                <w:rFonts w:ascii="Arial MT" w:hAnsi="Arial MT"/>
                                <w:sz w:val="16"/>
                              </w:rPr>
                            </w:pPr>
                            <w:r>
                              <w:rPr>
                                <w:rFonts w:ascii="Arial MT" w:hAnsi="Arial MT"/>
                                <w:sz w:val="16"/>
                              </w:rPr>
                              <w:t>Pessoal,</w:t>
                            </w:r>
                            <w:r>
                              <w:rPr>
                                <w:rFonts w:ascii="Arial MT" w:hAnsi="Arial MT"/>
                                <w:spacing w:val="-11"/>
                                <w:sz w:val="16"/>
                              </w:rPr>
                              <w:t xml:space="preserve"> </w:t>
                            </w:r>
                            <w:r>
                              <w:rPr>
                                <w:rFonts w:ascii="Arial MT" w:hAnsi="Arial MT"/>
                                <w:sz w:val="16"/>
                              </w:rPr>
                              <w:t>Encargos</w:t>
                            </w:r>
                            <w:r>
                              <w:rPr>
                                <w:rFonts w:ascii="Arial MT" w:hAnsi="Arial MT"/>
                                <w:spacing w:val="-8"/>
                                <w:sz w:val="16"/>
                              </w:rPr>
                              <w:t xml:space="preserve"> </w:t>
                            </w:r>
                            <w:r>
                              <w:rPr>
                                <w:rFonts w:ascii="Arial MT" w:hAnsi="Arial MT"/>
                                <w:sz w:val="16"/>
                              </w:rPr>
                              <w:t>e</w:t>
                            </w:r>
                            <w:r>
                              <w:rPr>
                                <w:rFonts w:ascii="Arial MT" w:hAnsi="Arial MT"/>
                                <w:spacing w:val="-12"/>
                                <w:sz w:val="16"/>
                              </w:rPr>
                              <w:t xml:space="preserve"> </w:t>
                            </w:r>
                            <w:r>
                              <w:rPr>
                                <w:rFonts w:ascii="Arial MT" w:hAnsi="Arial MT"/>
                                <w:sz w:val="16"/>
                              </w:rPr>
                              <w:t>Benefícios</w:t>
                            </w:r>
                            <w:r>
                              <w:rPr>
                                <w:rFonts w:ascii="Arial MT" w:hAnsi="Arial MT"/>
                                <w:spacing w:val="-10"/>
                                <w:sz w:val="16"/>
                              </w:rPr>
                              <w:t xml:space="preserve"> </w:t>
                            </w:r>
                            <w:r>
                              <w:rPr>
                                <w:rFonts w:ascii="Arial MT" w:hAnsi="Arial MT"/>
                                <w:sz w:val="16"/>
                              </w:rPr>
                              <w:t xml:space="preserve">Sociais </w:t>
                            </w:r>
                            <w:r>
                              <w:rPr>
                                <w:rFonts w:ascii="Arial MT" w:hAnsi="Arial MT"/>
                                <w:spacing w:val="-2"/>
                                <w:sz w:val="16"/>
                              </w:rPr>
                              <w:t>Fornecedores</w:t>
                            </w:r>
                          </w:p>
                          <w:p w14:paraId="76CCEAD4" w14:textId="77777777" w:rsidR="002C6574" w:rsidRDefault="00000000">
                            <w:pPr>
                              <w:pStyle w:val="TableParagraph"/>
                              <w:spacing w:line="163" w:lineRule="exact"/>
                              <w:ind w:left="434"/>
                              <w:jc w:val="left"/>
                              <w:rPr>
                                <w:rFonts w:ascii="Arial MT"/>
                                <w:sz w:val="16"/>
                              </w:rPr>
                            </w:pPr>
                            <w:r>
                              <w:rPr>
                                <w:rFonts w:ascii="Arial MT"/>
                                <w:sz w:val="16"/>
                              </w:rPr>
                              <w:t>Outras</w:t>
                            </w:r>
                            <w:r>
                              <w:rPr>
                                <w:rFonts w:ascii="Arial MT"/>
                                <w:spacing w:val="-6"/>
                                <w:sz w:val="16"/>
                              </w:rPr>
                              <w:t xml:space="preserve"> </w:t>
                            </w:r>
                            <w:r>
                              <w:rPr>
                                <w:rFonts w:ascii="Arial MT"/>
                                <w:sz w:val="16"/>
                              </w:rPr>
                              <w:t>Contas</w:t>
                            </w:r>
                            <w:r>
                              <w:rPr>
                                <w:rFonts w:ascii="Arial MT"/>
                                <w:spacing w:val="-5"/>
                                <w:sz w:val="16"/>
                              </w:rPr>
                              <w:t xml:space="preserve"> </w:t>
                            </w:r>
                            <w:r>
                              <w:rPr>
                                <w:rFonts w:ascii="Arial MT"/>
                                <w:sz w:val="16"/>
                              </w:rPr>
                              <w:t>Ativas</w:t>
                            </w:r>
                            <w:r>
                              <w:rPr>
                                <w:rFonts w:ascii="Arial MT"/>
                                <w:spacing w:val="-3"/>
                                <w:sz w:val="16"/>
                              </w:rPr>
                              <w:t xml:space="preserve"> </w:t>
                            </w:r>
                            <w:r>
                              <w:rPr>
                                <w:rFonts w:ascii="Arial MT"/>
                                <w:sz w:val="16"/>
                              </w:rPr>
                              <w:t>e</w:t>
                            </w:r>
                            <w:r>
                              <w:rPr>
                                <w:rFonts w:ascii="Arial MT"/>
                                <w:spacing w:val="-6"/>
                                <w:sz w:val="16"/>
                              </w:rPr>
                              <w:t xml:space="preserve"> </w:t>
                            </w:r>
                            <w:r>
                              <w:rPr>
                                <w:rFonts w:ascii="Arial MT"/>
                                <w:spacing w:val="-2"/>
                                <w:sz w:val="16"/>
                              </w:rPr>
                              <w:t>Passivas</w:t>
                            </w:r>
                          </w:p>
                        </w:tc>
                        <w:tc>
                          <w:tcPr>
                            <w:tcW w:w="861" w:type="dxa"/>
                            <w:shd w:val="clear" w:color="auto" w:fill="75F6F8"/>
                          </w:tcPr>
                          <w:p w14:paraId="2E59C964" w14:textId="77777777" w:rsidR="002C6574" w:rsidRDefault="002C6574">
                            <w:pPr>
                              <w:pStyle w:val="TableParagraph"/>
                              <w:spacing w:before="1"/>
                              <w:jc w:val="left"/>
                              <w:rPr>
                                <w:rFonts w:ascii="Arial"/>
                                <w:b/>
                                <w:sz w:val="16"/>
                              </w:rPr>
                            </w:pPr>
                          </w:p>
                          <w:p w14:paraId="458FDD44" w14:textId="77777777" w:rsidR="002C6574" w:rsidRDefault="00000000">
                            <w:pPr>
                              <w:pStyle w:val="TableParagraph"/>
                              <w:ind w:right="58"/>
                              <w:rPr>
                                <w:rFonts w:ascii="Arial MT"/>
                                <w:sz w:val="16"/>
                              </w:rPr>
                            </w:pPr>
                            <w:r>
                              <w:rPr>
                                <w:rFonts w:ascii="Arial MT"/>
                                <w:spacing w:val="-2"/>
                                <w:sz w:val="16"/>
                              </w:rPr>
                              <w:t>(24.342)</w:t>
                            </w:r>
                          </w:p>
                          <w:p w14:paraId="3B284EAC" w14:textId="77777777" w:rsidR="002C6574" w:rsidRDefault="00000000">
                            <w:pPr>
                              <w:pStyle w:val="TableParagraph"/>
                              <w:spacing w:before="1" w:line="183" w:lineRule="exact"/>
                              <w:ind w:right="58"/>
                              <w:rPr>
                                <w:rFonts w:ascii="Arial MT"/>
                                <w:sz w:val="16"/>
                              </w:rPr>
                            </w:pPr>
                            <w:r>
                              <w:rPr>
                                <w:rFonts w:ascii="Arial MT"/>
                                <w:spacing w:val="-2"/>
                                <w:sz w:val="16"/>
                              </w:rPr>
                              <w:t>(14.559)</w:t>
                            </w:r>
                          </w:p>
                          <w:p w14:paraId="145EF594" w14:textId="77777777" w:rsidR="002C6574" w:rsidRDefault="00000000">
                            <w:pPr>
                              <w:pStyle w:val="TableParagraph"/>
                              <w:spacing w:line="183" w:lineRule="exact"/>
                              <w:ind w:right="59"/>
                              <w:rPr>
                                <w:rFonts w:ascii="Arial MT"/>
                                <w:sz w:val="16"/>
                              </w:rPr>
                            </w:pPr>
                            <w:r>
                              <w:rPr>
                                <w:rFonts w:ascii="Arial MT"/>
                                <w:spacing w:val="-5"/>
                                <w:sz w:val="16"/>
                              </w:rPr>
                              <w:t>351</w:t>
                            </w:r>
                          </w:p>
                          <w:p w14:paraId="19FFE11F" w14:textId="77777777" w:rsidR="002C6574" w:rsidRDefault="00000000">
                            <w:pPr>
                              <w:pStyle w:val="TableParagraph"/>
                              <w:spacing w:before="1"/>
                              <w:ind w:right="58"/>
                              <w:rPr>
                                <w:rFonts w:ascii="Arial MT"/>
                                <w:sz w:val="16"/>
                              </w:rPr>
                            </w:pPr>
                            <w:r>
                              <w:rPr>
                                <w:rFonts w:ascii="Arial MT"/>
                                <w:spacing w:val="-2"/>
                                <w:sz w:val="16"/>
                              </w:rPr>
                              <w:t>(2.545)</w:t>
                            </w:r>
                          </w:p>
                          <w:p w14:paraId="086C1824" w14:textId="77777777" w:rsidR="002C6574" w:rsidRDefault="00000000">
                            <w:pPr>
                              <w:pStyle w:val="TableParagraph"/>
                              <w:spacing w:before="1" w:line="183" w:lineRule="exact"/>
                              <w:ind w:right="58"/>
                              <w:rPr>
                                <w:rFonts w:ascii="Arial MT"/>
                                <w:sz w:val="16"/>
                              </w:rPr>
                            </w:pPr>
                            <w:r>
                              <w:rPr>
                                <w:rFonts w:ascii="Arial MT"/>
                                <w:spacing w:val="-2"/>
                                <w:sz w:val="16"/>
                              </w:rPr>
                              <w:t>(104.918)</w:t>
                            </w:r>
                          </w:p>
                          <w:p w14:paraId="35E6C132" w14:textId="77777777" w:rsidR="002C6574" w:rsidRDefault="00000000">
                            <w:pPr>
                              <w:pStyle w:val="TableParagraph"/>
                              <w:spacing w:line="162" w:lineRule="exact"/>
                              <w:ind w:right="58"/>
                              <w:rPr>
                                <w:rFonts w:ascii="Arial MT"/>
                                <w:sz w:val="16"/>
                              </w:rPr>
                            </w:pPr>
                            <w:r>
                              <w:rPr>
                                <w:rFonts w:ascii="Arial MT"/>
                                <w:spacing w:val="-2"/>
                                <w:sz w:val="16"/>
                              </w:rPr>
                              <w:t>34.250</w:t>
                            </w:r>
                          </w:p>
                        </w:tc>
                        <w:tc>
                          <w:tcPr>
                            <w:tcW w:w="861" w:type="dxa"/>
                          </w:tcPr>
                          <w:p w14:paraId="708E63C4" w14:textId="77777777" w:rsidR="002C6574" w:rsidRDefault="002C6574">
                            <w:pPr>
                              <w:pStyle w:val="TableParagraph"/>
                              <w:spacing w:before="1"/>
                              <w:jc w:val="left"/>
                              <w:rPr>
                                <w:rFonts w:ascii="Arial"/>
                                <w:b/>
                                <w:sz w:val="16"/>
                              </w:rPr>
                            </w:pPr>
                          </w:p>
                          <w:p w14:paraId="219656C8" w14:textId="77777777" w:rsidR="002C6574" w:rsidRDefault="00000000">
                            <w:pPr>
                              <w:pStyle w:val="TableParagraph"/>
                              <w:ind w:right="58"/>
                              <w:rPr>
                                <w:rFonts w:ascii="Arial MT"/>
                                <w:sz w:val="16"/>
                              </w:rPr>
                            </w:pPr>
                            <w:r>
                              <w:rPr>
                                <w:rFonts w:ascii="Arial MT"/>
                                <w:spacing w:val="-2"/>
                                <w:sz w:val="16"/>
                              </w:rPr>
                              <w:t>(56.014)</w:t>
                            </w:r>
                          </w:p>
                          <w:p w14:paraId="1F8C04CF" w14:textId="77777777" w:rsidR="002C6574" w:rsidRDefault="00000000">
                            <w:pPr>
                              <w:pStyle w:val="TableParagraph"/>
                              <w:spacing w:before="1" w:line="183" w:lineRule="exact"/>
                              <w:ind w:right="58"/>
                              <w:rPr>
                                <w:rFonts w:ascii="Arial MT"/>
                                <w:sz w:val="16"/>
                              </w:rPr>
                            </w:pPr>
                            <w:r>
                              <w:rPr>
                                <w:rFonts w:ascii="Arial MT"/>
                                <w:spacing w:val="-2"/>
                                <w:sz w:val="16"/>
                              </w:rPr>
                              <w:t>(8.827)</w:t>
                            </w:r>
                          </w:p>
                          <w:p w14:paraId="59A13DFB" w14:textId="77777777" w:rsidR="002C6574" w:rsidRDefault="00000000">
                            <w:pPr>
                              <w:pStyle w:val="TableParagraph"/>
                              <w:spacing w:line="183" w:lineRule="exact"/>
                              <w:ind w:right="58"/>
                              <w:rPr>
                                <w:rFonts w:ascii="Arial MT"/>
                                <w:sz w:val="16"/>
                              </w:rPr>
                            </w:pPr>
                            <w:r>
                              <w:rPr>
                                <w:rFonts w:ascii="Arial MT"/>
                                <w:spacing w:val="-5"/>
                                <w:sz w:val="16"/>
                              </w:rPr>
                              <w:t>18</w:t>
                            </w:r>
                          </w:p>
                          <w:p w14:paraId="19D3BCA6" w14:textId="77777777" w:rsidR="002C6574" w:rsidRDefault="00000000">
                            <w:pPr>
                              <w:pStyle w:val="TableParagraph"/>
                              <w:spacing w:before="1"/>
                              <w:ind w:right="58"/>
                              <w:rPr>
                                <w:rFonts w:ascii="Arial MT"/>
                                <w:sz w:val="16"/>
                              </w:rPr>
                            </w:pPr>
                            <w:r>
                              <w:rPr>
                                <w:rFonts w:ascii="Arial MT"/>
                                <w:spacing w:val="-2"/>
                                <w:sz w:val="16"/>
                              </w:rPr>
                              <w:t>(4.870)</w:t>
                            </w:r>
                          </w:p>
                          <w:p w14:paraId="6AF8E672" w14:textId="77777777" w:rsidR="002C6574" w:rsidRDefault="00000000">
                            <w:pPr>
                              <w:pStyle w:val="TableParagraph"/>
                              <w:spacing w:before="1" w:line="183" w:lineRule="exact"/>
                              <w:ind w:right="58"/>
                              <w:rPr>
                                <w:rFonts w:ascii="Arial MT"/>
                                <w:sz w:val="16"/>
                              </w:rPr>
                            </w:pPr>
                            <w:r>
                              <w:rPr>
                                <w:rFonts w:ascii="Arial MT"/>
                                <w:spacing w:val="-2"/>
                                <w:sz w:val="16"/>
                              </w:rPr>
                              <w:t>(54.681)</w:t>
                            </w:r>
                          </w:p>
                          <w:p w14:paraId="69ADA1D1" w14:textId="77777777" w:rsidR="002C6574" w:rsidRDefault="00000000">
                            <w:pPr>
                              <w:pStyle w:val="TableParagraph"/>
                              <w:spacing w:line="162" w:lineRule="exact"/>
                              <w:ind w:right="58"/>
                              <w:rPr>
                                <w:rFonts w:ascii="Arial MT"/>
                                <w:sz w:val="16"/>
                              </w:rPr>
                            </w:pPr>
                            <w:r>
                              <w:rPr>
                                <w:rFonts w:ascii="Arial MT"/>
                                <w:spacing w:val="-2"/>
                                <w:sz w:val="16"/>
                              </w:rPr>
                              <w:t>24.524</w:t>
                            </w:r>
                          </w:p>
                        </w:tc>
                        <w:tc>
                          <w:tcPr>
                            <w:tcW w:w="773" w:type="dxa"/>
                            <w:tcBorders>
                              <w:right w:val="nil"/>
                            </w:tcBorders>
                          </w:tcPr>
                          <w:p w14:paraId="4525B940" w14:textId="77777777" w:rsidR="002C6574" w:rsidRDefault="002C6574">
                            <w:pPr>
                              <w:pStyle w:val="TableParagraph"/>
                              <w:spacing w:before="1"/>
                              <w:jc w:val="left"/>
                              <w:rPr>
                                <w:rFonts w:ascii="Arial"/>
                                <w:b/>
                                <w:sz w:val="16"/>
                              </w:rPr>
                            </w:pPr>
                          </w:p>
                          <w:p w14:paraId="53409C6C" w14:textId="77777777" w:rsidR="002C6574" w:rsidRDefault="00000000">
                            <w:pPr>
                              <w:pStyle w:val="TableParagraph"/>
                              <w:ind w:right="67"/>
                              <w:rPr>
                                <w:rFonts w:ascii="Arial MT"/>
                                <w:sz w:val="16"/>
                              </w:rPr>
                            </w:pPr>
                            <w:r>
                              <w:rPr>
                                <w:rFonts w:ascii="Arial MT"/>
                                <w:spacing w:val="-2"/>
                                <w:sz w:val="16"/>
                              </w:rPr>
                              <w:t>(63.987)</w:t>
                            </w:r>
                          </w:p>
                          <w:p w14:paraId="70BDC2B5" w14:textId="77777777" w:rsidR="002C6574" w:rsidRDefault="00000000">
                            <w:pPr>
                              <w:pStyle w:val="TableParagraph"/>
                              <w:spacing w:before="1" w:line="183" w:lineRule="exact"/>
                              <w:ind w:right="67"/>
                              <w:rPr>
                                <w:rFonts w:ascii="Arial MT"/>
                                <w:sz w:val="16"/>
                              </w:rPr>
                            </w:pPr>
                            <w:r>
                              <w:rPr>
                                <w:rFonts w:ascii="Arial MT"/>
                                <w:spacing w:val="-2"/>
                                <w:sz w:val="16"/>
                              </w:rPr>
                              <w:t>(7.660)</w:t>
                            </w:r>
                          </w:p>
                          <w:p w14:paraId="3AE3940A" w14:textId="77777777" w:rsidR="002C6574" w:rsidRDefault="00000000">
                            <w:pPr>
                              <w:pStyle w:val="TableParagraph"/>
                              <w:spacing w:line="183" w:lineRule="exact"/>
                              <w:ind w:right="70"/>
                              <w:rPr>
                                <w:rFonts w:ascii="Arial MT"/>
                                <w:sz w:val="16"/>
                              </w:rPr>
                            </w:pPr>
                            <w:r>
                              <w:rPr>
                                <w:rFonts w:ascii="Arial MT"/>
                                <w:spacing w:val="-2"/>
                                <w:sz w:val="16"/>
                              </w:rPr>
                              <w:t>(394)</w:t>
                            </w:r>
                          </w:p>
                          <w:p w14:paraId="47B307E4" w14:textId="77777777" w:rsidR="002C6574" w:rsidRDefault="00000000">
                            <w:pPr>
                              <w:pStyle w:val="TableParagraph"/>
                              <w:spacing w:before="1"/>
                              <w:ind w:right="67"/>
                              <w:rPr>
                                <w:rFonts w:ascii="Arial MT"/>
                                <w:sz w:val="16"/>
                              </w:rPr>
                            </w:pPr>
                            <w:r>
                              <w:rPr>
                                <w:rFonts w:ascii="Arial MT"/>
                                <w:spacing w:val="-2"/>
                                <w:sz w:val="16"/>
                              </w:rPr>
                              <w:t>8.081</w:t>
                            </w:r>
                          </w:p>
                          <w:p w14:paraId="3A42A1E0" w14:textId="77777777" w:rsidR="002C6574" w:rsidRDefault="00000000">
                            <w:pPr>
                              <w:pStyle w:val="TableParagraph"/>
                              <w:spacing w:before="1" w:line="183" w:lineRule="exact"/>
                              <w:ind w:right="67"/>
                              <w:rPr>
                                <w:rFonts w:ascii="Arial MT"/>
                                <w:sz w:val="16"/>
                              </w:rPr>
                            </w:pPr>
                            <w:r>
                              <w:rPr>
                                <w:rFonts w:ascii="Arial MT"/>
                                <w:spacing w:val="-2"/>
                                <w:sz w:val="16"/>
                              </w:rPr>
                              <w:t>30.061</w:t>
                            </w:r>
                          </w:p>
                          <w:p w14:paraId="2948E55E" w14:textId="77777777" w:rsidR="002C6574" w:rsidRDefault="00000000">
                            <w:pPr>
                              <w:pStyle w:val="TableParagraph"/>
                              <w:spacing w:line="162" w:lineRule="exact"/>
                              <w:ind w:right="67"/>
                              <w:rPr>
                                <w:rFonts w:ascii="Arial MT"/>
                                <w:sz w:val="16"/>
                              </w:rPr>
                            </w:pPr>
                            <w:r>
                              <w:rPr>
                                <w:rFonts w:ascii="Arial MT"/>
                                <w:spacing w:val="-2"/>
                                <w:sz w:val="16"/>
                              </w:rPr>
                              <w:t>(37.986)</w:t>
                            </w:r>
                          </w:p>
                        </w:tc>
                      </w:tr>
                      <w:tr w:rsidR="002C6574" w14:paraId="27693007" w14:textId="77777777">
                        <w:trPr>
                          <w:trHeight w:val="183"/>
                        </w:trPr>
                        <w:tc>
                          <w:tcPr>
                            <w:tcW w:w="6126" w:type="dxa"/>
                            <w:tcBorders>
                              <w:left w:val="nil"/>
                            </w:tcBorders>
                          </w:tcPr>
                          <w:p w14:paraId="0918C337" w14:textId="77777777" w:rsidR="002C6574" w:rsidRDefault="00000000">
                            <w:pPr>
                              <w:pStyle w:val="TableParagraph"/>
                              <w:spacing w:line="163" w:lineRule="exact"/>
                              <w:ind w:left="292"/>
                              <w:jc w:val="left"/>
                              <w:rPr>
                                <w:rFonts w:ascii="Arial"/>
                                <w:b/>
                                <w:sz w:val="16"/>
                              </w:rPr>
                            </w:pPr>
                            <w:r>
                              <w:rPr>
                                <w:rFonts w:ascii="Arial"/>
                                <w:b/>
                                <w:spacing w:val="-2"/>
                                <w:sz w:val="16"/>
                              </w:rPr>
                              <w:t>Subtotal</w:t>
                            </w:r>
                          </w:p>
                        </w:tc>
                        <w:tc>
                          <w:tcPr>
                            <w:tcW w:w="861" w:type="dxa"/>
                            <w:shd w:val="clear" w:color="auto" w:fill="75F6F8"/>
                          </w:tcPr>
                          <w:p w14:paraId="1605D50C" w14:textId="77777777" w:rsidR="002C6574" w:rsidRDefault="00000000">
                            <w:pPr>
                              <w:pStyle w:val="TableParagraph"/>
                              <w:spacing w:line="163" w:lineRule="exact"/>
                              <w:ind w:left="34"/>
                              <w:jc w:val="center"/>
                              <w:rPr>
                                <w:rFonts w:ascii="Arial"/>
                                <w:b/>
                                <w:sz w:val="16"/>
                              </w:rPr>
                            </w:pPr>
                            <w:r>
                              <w:rPr>
                                <w:rFonts w:ascii="Arial"/>
                                <w:b/>
                                <w:spacing w:val="-2"/>
                                <w:sz w:val="16"/>
                              </w:rPr>
                              <w:t>(111.763)</w:t>
                            </w:r>
                          </w:p>
                        </w:tc>
                        <w:tc>
                          <w:tcPr>
                            <w:tcW w:w="861" w:type="dxa"/>
                          </w:tcPr>
                          <w:p w14:paraId="78CAEC72" w14:textId="77777777" w:rsidR="002C6574" w:rsidRDefault="00000000">
                            <w:pPr>
                              <w:pStyle w:val="TableParagraph"/>
                              <w:spacing w:line="163" w:lineRule="exact"/>
                              <w:ind w:left="147" w:right="22"/>
                              <w:jc w:val="center"/>
                              <w:rPr>
                                <w:rFonts w:ascii="Arial"/>
                                <w:b/>
                                <w:sz w:val="16"/>
                              </w:rPr>
                            </w:pPr>
                            <w:r>
                              <w:rPr>
                                <w:rFonts w:ascii="Arial"/>
                                <w:b/>
                                <w:spacing w:val="-2"/>
                                <w:sz w:val="16"/>
                              </w:rPr>
                              <w:t>(99.850)</w:t>
                            </w:r>
                          </w:p>
                        </w:tc>
                        <w:tc>
                          <w:tcPr>
                            <w:tcW w:w="773" w:type="dxa"/>
                            <w:tcBorders>
                              <w:right w:val="nil"/>
                            </w:tcBorders>
                          </w:tcPr>
                          <w:p w14:paraId="1BDDCF5F" w14:textId="77777777" w:rsidR="002C6574" w:rsidRDefault="00000000">
                            <w:pPr>
                              <w:pStyle w:val="TableParagraph"/>
                              <w:spacing w:line="163" w:lineRule="exact"/>
                              <w:ind w:left="27"/>
                              <w:jc w:val="center"/>
                              <w:rPr>
                                <w:rFonts w:ascii="Arial"/>
                                <w:b/>
                                <w:sz w:val="16"/>
                              </w:rPr>
                            </w:pPr>
                            <w:r>
                              <w:rPr>
                                <w:rFonts w:ascii="Arial"/>
                                <w:b/>
                                <w:spacing w:val="-2"/>
                                <w:sz w:val="16"/>
                              </w:rPr>
                              <w:t>(71.885)</w:t>
                            </w:r>
                          </w:p>
                        </w:tc>
                      </w:tr>
                      <w:tr w:rsidR="002C6574" w14:paraId="670CE575" w14:textId="77777777">
                        <w:trPr>
                          <w:trHeight w:val="1288"/>
                        </w:trPr>
                        <w:tc>
                          <w:tcPr>
                            <w:tcW w:w="6126" w:type="dxa"/>
                            <w:tcBorders>
                              <w:left w:val="nil"/>
                            </w:tcBorders>
                          </w:tcPr>
                          <w:p w14:paraId="09643F15" w14:textId="77777777" w:rsidR="002C6574" w:rsidRDefault="00000000">
                            <w:pPr>
                              <w:pStyle w:val="TableParagraph"/>
                              <w:ind w:left="69"/>
                              <w:jc w:val="left"/>
                              <w:rPr>
                                <w:rFonts w:ascii="Arial"/>
                                <w:b/>
                                <w:sz w:val="16"/>
                              </w:rPr>
                            </w:pPr>
                            <w:r>
                              <w:rPr>
                                <w:rFonts w:ascii="Arial"/>
                                <w:b/>
                                <w:sz w:val="16"/>
                              </w:rPr>
                              <w:t>Caixa</w:t>
                            </w:r>
                            <w:r>
                              <w:rPr>
                                <w:rFonts w:ascii="Arial"/>
                                <w:b/>
                                <w:spacing w:val="-6"/>
                                <w:sz w:val="16"/>
                              </w:rPr>
                              <w:t xml:space="preserve"> </w:t>
                            </w:r>
                            <w:r>
                              <w:rPr>
                                <w:rFonts w:ascii="Arial"/>
                                <w:b/>
                                <w:sz w:val="16"/>
                              </w:rPr>
                              <w:t>Proveniente</w:t>
                            </w:r>
                            <w:r>
                              <w:rPr>
                                <w:rFonts w:ascii="Arial"/>
                                <w:b/>
                                <w:spacing w:val="-8"/>
                                <w:sz w:val="16"/>
                              </w:rPr>
                              <w:t xml:space="preserve"> </w:t>
                            </w:r>
                            <w:r>
                              <w:rPr>
                                <w:rFonts w:ascii="Arial"/>
                                <w:b/>
                                <w:sz w:val="16"/>
                              </w:rPr>
                              <w:t>das</w:t>
                            </w:r>
                            <w:r>
                              <w:rPr>
                                <w:rFonts w:ascii="Arial"/>
                                <w:b/>
                                <w:spacing w:val="-7"/>
                                <w:sz w:val="16"/>
                              </w:rPr>
                              <w:t xml:space="preserve"> </w:t>
                            </w:r>
                            <w:r>
                              <w:rPr>
                                <w:rFonts w:ascii="Arial"/>
                                <w:b/>
                                <w:sz w:val="16"/>
                              </w:rPr>
                              <w:t>Atividades</w:t>
                            </w:r>
                            <w:r>
                              <w:rPr>
                                <w:rFonts w:ascii="Arial"/>
                                <w:b/>
                                <w:spacing w:val="-5"/>
                                <w:sz w:val="16"/>
                              </w:rPr>
                              <w:t xml:space="preserve"> </w:t>
                            </w:r>
                            <w:r>
                              <w:rPr>
                                <w:rFonts w:ascii="Arial"/>
                                <w:b/>
                                <w:spacing w:val="-2"/>
                                <w:sz w:val="16"/>
                              </w:rPr>
                              <w:t>Operacionais</w:t>
                            </w:r>
                          </w:p>
                          <w:p w14:paraId="65D4C77E" w14:textId="77777777" w:rsidR="002C6574" w:rsidRDefault="00000000">
                            <w:pPr>
                              <w:pStyle w:val="TableParagraph"/>
                              <w:spacing w:before="1"/>
                              <w:ind w:left="410" w:right="837"/>
                              <w:jc w:val="left"/>
                              <w:rPr>
                                <w:rFonts w:ascii="Arial MT" w:hAnsi="Arial MT"/>
                                <w:sz w:val="16"/>
                              </w:rPr>
                            </w:pPr>
                            <w:r>
                              <w:rPr>
                                <w:rFonts w:ascii="Arial MT" w:hAnsi="Arial MT"/>
                                <w:sz w:val="16"/>
                              </w:rPr>
                              <w:t>Pagamento</w:t>
                            </w:r>
                            <w:r>
                              <w:rPr>
                                <w:rFonts w:ascii="Arial MT" w:hAnsi="Arial MT"/>
                                <w:spacing w:val="-4"/>
                                <w:sz w:val="16"/>
                              </w:rPr>
                              <w:t xml:space="preserve"> </w:t>
                            </w:r>
                            <w:r>
                              <w:rPr>
                                <w:rFonts w:ascii="Arial MT" w:hAnsi="Arial MT"/>
                                <w:sz w:val="16"/>
                              </w:rPr>
                              <w:t>de</w:t>
                            </w:r>
                            <w:r>
                              <w:rPr>
                                <w:rFonts w:ascii="Arial MT" w:hAnsi="Arial MT"/>
                                <w:spacing w:val="-7"/>
                                <w:sz w:val="16"/>
                              </w:rPr>
                              <w:t xml:space="preserve"> </w:t>
                            </w:r>
                            <w:r>
                              <w:rPr>
                                <w:rFonts w:ascii="Arial MT" w:hAnsi="Arial MT"/>
                                <w:sz w:val="16"/>
                              </w:rPr>
                              <w:t>Prog.</w:t>
                            </w:r>
                            <w:r>
                              <w:rPr>
                                <w:rFonts w:ascii="Arial MT" w:hAnsi="Arial MT"/>
                                <w:spacing w:val="-5"/>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Indenização</w:t>
                            </w:r>
                            <w:r>
                              <w:rPr>
                                <w:rFonts w:ascii="Arial MT" w:hAnsi="Arial MT"/>
                                <w:spacing w:val="-4"/>
                                <w:sz w:val="16"/>
                              </w:rPr>
                              <w:t xml:space="preserve"> </w:t>
                            </w:r>
                            <w:r>
                              <w:rPr>
                                <w:rFonts w:ascii="Arial MT" w:hAnsi="Arial MT"/>
                                <w:sz w:val="16"/>
                              </w:rPr>
                              <w:t>por</w:t>
                            </w:r>
                            <w:r>
                              <w:rPr>
                                <w:rFonts w:ascii="Arial MT" w:hAnsi="Arial MT"/>
                                <w:spacing w:val="-6"/>
                                <w:sz w:val="16"/>
                              </w:rPr>
                              <w:t xml:space="preserve"> </w:t>
                            </w:r>
                            <w:r>
                              <w:rPr>
                                <w:rFonts w:ascii="Arial MT" w:hAnsi="Arial MT"/>
                                <w:sz w:val="16"/>
                              </w:rPr>
                              <w:t>Serviços</w:t>
                            </w:r>
                            <w:r>
                              <w:rPr>
                                <w:rFonts w:ascii="Arial MT" w:hAnsi="Arial MT"/>
                                <w:spacing w:val="-5"/>
                                <w:sz w:val="16"/>
                              </w:rPr>
                              <w:t xml:space="preserve"> </w:t>
                            </w:r>
                            <w:r>
                              <w:rPr>
                                <w:rFonts w:ascii="Arial MT" w:hAnsi="Arial MT"/>
                                <w:sz w:val="16"/>
                              </w:rPr>
                              <w:t>Prestados -</w:t>
                            </w:r>
                            <w:r>
                              <w:rPr>
                                <w:rFonts w:ascii="Arial MT" w:hAnsi="Arial MT"/>
                                <w:spacing w:val="-6"/>
                                <w:sz w:val="16"/>
                              </w:rPr>
                              <w:t xml:space="preserve"> </w:t>
                            </w:r>
                            <w:r>
                              <w:rPr>
                                <w:rFonts w:ascii="Arial MT" w:hAnsi="Arial MT"/>
                                <w:sz w:val="16"/>
                              </w:rPr>
                              <w:t>PISP Pagamento de IRPJ/CSLL Estimados</w:t>
                            </w:r>
                          </w:p>
                          <w:p w14:paraId="2EF615D3" w14:textId="77777777" w:rsidR="002C6574" w:rsidRDefault="00000000">
                            <w:pPr>
                              <w:pStyle w:val="TableParagraph"/>
                              <w:spacing w:line="183" w:lineRule="exact"/>
                              <w:ind w:left="427"/>
                              <w:jc w:val="left"/>
                              <w:rPr>
                                <w:rFonts w:ascii="Arial MT" w:hAnsi="Arial MT"/>
                                <w:sz w:val="16"/>
                              </w:rPr>
                            </w:pPr>
                            <w:r>
                              <w:rPr>
                                <w:rFonts w:ascii="Arial MT" w:hAnsi="Arial MT"/>
                                <w:sz w:val="16"/>
                              </w:rPr>
                              <w:t>Pagamento</w:t>
                            </w:r>
                            <w:r>
                              <w:rPr>
                                <w:rFonts w:ascii="Arial MT" w:hAnsi="Arial MT"/>
                                <w:spacing w:val="-5"/>
                                <w:sz w:val="16"/>
                              </w:rPr>
                              <w:t xml:space="preserve"> </w:t>
                            </w:r>
                            <w:r>
                              <w:rPr>
                                <w:rFonts w:ascii="Arial MT" w:hAnsi="Arial MT"/>
                                <w:sz w:val="16"/>
                              </w:rPr>
                              <w:t>de</w:t>
                            </w:r>
                            <w:r>
                              <w:rPr>
                                <w:rFonts w:ascii="Arial MT" w:hAnsi="Arial MT"/>
                                <w:spacing w:val="-7"/>
                                <w:sz w:val="16"/>
                              </w:rPr>
                              <w:t xml:space="preserve"> </w:t>
                            </w:r>
                            <w:r>
                              <w:rPr>
                                <w:rFonts w:ascii="Arial MT" w:hAnsi="Arial MT"/>
                                <w:sz w:val="16"/>
                              </w:rPr>
                              <w:t>Juros</w:t>
                            </w:r>
                            <w:r>
                              <w:rPr>
                                <w:rFonts w:ascii="Arial MT" w:hAnsi="Arial MT"/>
                                <w:spacing w:val="-3"/>
                                <w:sz w:val="16"/>
                              </w:rPr>
                              <w:t xml:space="preserve"> </w:t>
                            </w:r>
                            <w:r>
                              <w:rPr>
                                <w:rFonts w:ascii="Arial MT" w:hAnsi="Arial MT"/>
                                <w:sz w:val="16"/>
                              </w:rPr>
                              <w:t>de</w:t>
                            </w:r>
                            <w:r>
                              <w:rPr>
                                <w:rFonts w:ascii="Arial MT" w:hAnsi="Arial MT"/>
                                <w:spacing w:val="-6"/>
                                <w:sz w:val="16"/>
                              </w:rPr>
                              <w:t xml:space="preserve"> </w:t>
                            </w:r>
                            <w:r>
                              <w:rPr>
                                <w:rFonts w:ascii="Arial MT" w:hAnsi="Arial MT"/>
                                <w:sz w:val="16"/>
                              </w:rPr>
                              <w:t>Empréstimos</w:t>
                            </w:r>
                            <w:r>
                              <w:rPr>
                                <w:rFonts w:ascii="Arial MT" w:hAnsi="Arial MT"/>
                                <w:spacing w:val="-5"/>
                                <w:sz w:val="16"/>
                              </w:rPr>
                              <w:t xml:space="preserve"> </w:t>
                            </w:r>
                            <w:r>
                              <w:rPr>
                                <w:rFonts w:ascii="Arial MT" w:hAnsi="Arial MT"/>
                                <w:sz w:val="16"/>
                              </w:rPr>
                              <w:t>e</w:t>
                            </w:r>
                            <w:r>
                              <w:rPr>
                                <w:rFonts w:ascii="Arial MT" w:hAnsi="Arial MT"/>
                                <w:spacing w:val="-4"/>
                                <w:sz w:val="16"/>
                              </w:rPr>
                              <w:t xml:space="preserve"> </w:t>
                            </w:r>
                            <w:r>
                              <w:rPr>
                                <w:rFonts w:ascii="Arial MT" w:hAnsi="Arial MT"/>
                                <w:spacing w:val="-2"/>
                                <w:sz w:val="16"/>
                              </w:rPr>
                              <w:t>Financiamentos</w:t>
                            </w:r>
                          </w:p>
                          <w:p w14:paraId="31B00C74" w14:textId="77777777" w:rsidR="002C6574" w:rsidRDefault="00000000">
                            <w:pPr>
                              <w:pStyle w:val="TableParagraph"/>
                              <w:spacing w:before="1"/>
                              <w:ind w:left="427"/>
                              <w:jc w:val="left"/>
                              <w:rPr>
                                <w:rFonts w:ascii="Arial MT"/>
                                <w:sz w:val="16"/>
                              </w:rPr>
                            </w:pPr>
                            <w:r>
                              <w:rPr>
                                <w:rFonts w:ascii="Arial MT"/>
                                <w:sz w:val="16"/>
                              </w:rPr>
                              <w:t>Pagamento</w:t>
                            </w:r>
                            <w:r>
                              <w:rPr>
                                <w:rFonts w:ascii="Arial MT"/>
                                <w:spacing w:val="-6"/>
                                <w:sz w:val="16"/>
                              </w:rPr>
                              <w:t xml:space="preserve"> </w:t>
                            </w:r>
                            <w:r>
                              <w:rPr>
                                <w:rFonts w:ascii="Arial MT"/>
                                <w:sz w:val="16"/>
                              </w:rPr>
                              <w:t>de</w:t>
                            </w:r>
                            <w:r>
                              <w:rPr>
                                <w:rFonts w:ascii="Arial MT"/>
                                <w:spacing w:val="-8"/>
                                <w:sz w:val="16"/>
                              </w:rPr>
                              <w:t xml:space="preserve"> </w:t>
                            </w:r>
                            <w:r>
                              <w:rPr>
                                <w:rFonts w:ascii="Arial MT"/>
                                <w:sz w:val="16"/>
                              </w:rPr>
                              <w:t>Juros</w:t>
                            </w:r>
                            <w:r>
                              <w:rPr>
                                <w:rFonts w:ascii="Arial MT"/>
                                <w:spacing w:val="-3"/>
                                <w:sz w:val="16"/>
                              </w:rPr>
                              <w:t xml:space="preserve"> </w:t>
                            </w:r>
                            <w:r>
                              <w:rPr>
                                <w:rFonts w:ascii="Arial MT"/>
                                <w:sz w:val="16"/>
                              </w:rPr>
                              <w:t>de</w:t>
                            </w:r>
                            <w:r>
                              <w:rPr>
                                <w:rFonts w:ascii="Arial MT"/>
                                <w:spacing w:val="-8"/>
                                <w:sz w:val="16"/>
                              </w:rPr>
                              <w:t xml:space="preserve"> </w:t>
                            </w:r>
                            <w:r>
                              <w:rPr>
                                <w:rFonts w:ascii="Arial MT"/>
                                <w:sz w:val="16"/>
                              </w:rPr>
                              <w:t>Arrendamento</w:t>
                            </w:r>
                            <w:r>
                              <w:rPr>
                                <w:rFonts w:ascii="Arial MT"/>
                                <w:spacing w:val="-5"/>
                                <w:sz w:val="16"/>
                              </w:rPr>
                              <w:t xml:space="preserve"> </w:t>
                            </w:r>
                            <w:r>
                              <w:rPr>
                                <w:rFonts w:ascii="Arial MT"/>
                                <w:sz w:val="16"/>
                              </w:rPr>
                              <w:t>Mercantil</w:t>
                            </w:r>
                            <w:r>
                              <w:rPr>
                                <w:rFonts w:ascii="Arial MT"/>
                                <w:spacing w:val="-6"/>
                                <w:sz w:val="16"/>
                              </w:rPr>
                              <w:t xml:space="preserve"> </w:t>
                            </w:r>
                            <w:r>
                              <w:rPr>
                                <w:rFonts w:ascii="Arial MT"/>
                                <w:sz w:val="16"/>
                              </w:rPr>
                              <w:t>Financeiro</w:t>
                            </w:r>
                            <w:r>
                              <w:rPr>
                                <w:rFonts w:ascii="Arial MT"/>
                                <w:spacing w:val="-3"/>
                                <w:sz w:val="16"/>
                              </w:rPr>
                              <w:t xml:space="preserve"> </w:t>
                            </w:r>
                            <w:r>
                              <w:rPr>
                                <w:rFonts w:ascii="Arial MT"/>
                                <w:sz w:val="16"/>
                              </w:rPr>
                              <w:t>-</w:t>
                            </w:r>
                            <w:r>
                              <w:rPr>
                                <w:rFonts w:ascii="Arial MT"/>
                                <w:spacing w:val="-7"/>
                                <w:sz w:val="16"/>
                              </w:rPr>
                              <w:t xml:space="preserve"> </w:t>
                            </w:r>
                            <w:r>
                              <w:rPr>
                                <w:rFonts w:ascii="Arial MT"/>
                                <w:sz w:val="16"/>
                              </w:rPr>
                              <w:t>IFRS</w:t>
                            </w:r>
                            <w:r>
                              <w:rPr>
                                <w:rFonts w:ascii="Arial MT"/>
                                <w:spacing w:val="-4"/>
                                <w:sz w:val="16"/>
                              </w:rPr>
                              <w:t xml:space="preserve"> </w:t>
                            </w:r>
                            <w:r>
                              <w:rPr>
                                <w:rFonts w:ascii="Arial MT"/>
                                <w:spacing w:val="-5"/>
                                <w:sz w:val="16"/>
                              </w:rPr>
                              <w:t>16</w:t>
                            </w:r>
                          </w:p>
                          <w:p w14:paraId="49DA9EF3" w14:textId="77777777" w:rsidR="002C6574" w:rsidRDefault="00000000">
                            <w:pPr>
                              <w:pStyle w:val="TableParagraph"/>
                              <w:spacing w:line="182" w:lineRule="exact"/>
                              <w:ind w:left="427" w:right="837"/>
                              <w:jc w:val="left"/>
                              <w:rPr>
                                <w:rFonts w:ascii="Arial MT" w:hAnsi="Arial MT"/>
                                <w:sz w:val="16"/>
                              </w:rPr>
                            </w:pPr>
                            <w:r>
                              <w:rPr>
                                <w:rFonts w:ascii="Arial MT" w:hAnsi="Arial MT"/>
                                <w:sz w:val="16"/>
                              </w:rPr>
                              <w:t>Pagamento</w:t>
                            </w:r>
                            <w:r>
                              <w:rPr>
                                <w:rFonts w:ascii="Arial MT" w:hAnsi="Arial MT"/>
                                <w:spacing w:val="-5"/>
                                <w:sz w:val="16"/>
                              </w:rPr>
                              <w:t xml:space="preserve"> </w:t>
                            </w:r>
                            <w:r>
                              <w:rPr>
                                <w:rFonts w:ascii="Arial MT" w:hAnsi="Arial MT"/>
                                <w:sz w:val="16"/>
                              </w:rPr>
                              <w:t>de</w:t>
                            </w:r>
                            <w:r>
                              <w:rPr>
                                <w:rFonts w:ascii="Arial MT" w:hAnsi="Arial MT"/>
                                <w:spacing w:val="-8"/>
                                <w:sz w:val="16"/>
                              </w:rPr>
                              <w:t xml:space="preserve"> </w:t>
                            </w:r>
                            <w:r>
                              <w:rPr>
                                <w:rFonts w:ascii="Arial MT" w:hAnsi="Arial MT"/>
                                <w:sz w:val="16"/>
                              </w:rPr>
                              <w:t>Causas</w:t>
                            </w:r>
                            <w:r>
                              <w:rPr>
                                <w:rFonts w:ascii="Arial MT" w:hAnsi="Arial MT"/>
                                <w:spacing w:val="-6"/>
                                <w:sz w:val="16"/>
                              </w:rPr>
                              <w:t xml:space="preserve"> </w:t>
                            </w:r>
                            <w:r>
                              <w:rPr>
                                <w:rFonts w:ascii="Arial MT" w:hAnsi="Arial MT"/>
                                <w:sz w:val="16"/>
                              </w:rPr>
                              <w:t>Judiciais</w:t>
                            </w:r>
                            <w:r>
                              <w:rPr>
                                <w:rFonts w:ascii="Arial MT" w:hAnsi="Arial MT"/>
                                <w:spacing w:val="-2"/>
                                <w:sz w:val="16"/>
                              </w:rPr>
                              <w:t xml:space="preserve"> </w:t>
                            </w:r>
                            <w:r>
                              <w:rPr>
                                <w:rFonts w:ascii="Arial MT" w:hAnsi="Arial MT"/>
                                <w:sz w:val="16"/>
                              </w:rPr>
                              <w:t>-</w:t>
                            </w:r>
                            <w:r>
                              <w:rPr>
                                <w:rFonts w:ascii="Arial MT" w:hAnsi="Arial MT"/>
                                <w:spacing w:val="-7"/>
                                <w:sz w:val="16"/>
                              </w:rPr>
                              <w:t xml:space="preserve"> </w:t>
                            </w:r>
                            <w:r>
                              <w:rPr>
                                <w:rFonts w:ascii="Arial MT" w:hAnsi="Arial MT"/>
                                <w:sz w:val="16"/>
                              </w:rPr>
                              <w:t>Trabalhistas,</w:t>
                            </w:r>
                            <w:r>
                              <w:rPr>
                                <w:rFonts w:ascii="Arial MT" w:hAnsi="Arial MT"/>
                                <w:spacing w:val="-4"/>
                                <w:sz w:val="16"/>
                              </w:rPr>
                              <w:t xml:space="preserve"> </w:t>
                            </w:r>
                            <w:r>
                              <w:rPr>
                                <w:rFonts w:ascii="Arial MT" w:hAnsi="Arial MT"/>
                                <w:sz w:val="16"/>
                              </w:rPr>
                              <w:t>Cíveis</w:t>
                            </w:r>
                            <w:r>
                              <w:rPr>
                                <w:rFonts w:ascii="Arial MT" w:hAnsi="Arial MT"/>
                                <w:spacing w:val="-6"/>
                                <w:sz w:val="16"/>
                              </w:rPr>
                              <w:t xml:space="preserve"> </w:t>
                            </w:r>
                            <w:r>
                              <w:rPr>
                                <w:rFonts w:ascii="Arial MT" w:hAnsi="Arial MT"/>
                                <w:sz w:val="16"/>
                              </w:rPr>
                              <w:t>e</w:t>
                            </w:r>
                            <w:r>
                              <w:rPr>
                                <w:rFonts w:ascii="Arial MT" w:hAnsi="Arial MT"/>
                                <w:spacing w:val="-5"/>
                                <w:sz w:val="16"/>
                              </w:rPr>
                              <w:t xml:space="preserve"> </w:t>
                            </w:r>
                            <w:r>
                              <w:rPr>
                                <w:rFonts w:ascii="Arial MT" w:hAnsi="Arial MT"/>
                                <w:sz w:val="16"/>
                              </w:rPr>
                              <w:t>Tributárias Pagamento de Acordos Judiciais - Encargos</w:t>
                            </w:r>
                          </w:p>
                        </w:tc>
                        <w:tc>
                          <w:tcPr>
                            <w:tcW w:w="861" w:type="dxa"/>
                            <w:shd w:val="clear" w:color="auto" w:fill="75F6F8"/>
                          </w:tcPr>
                          <w:p w14:paraId="63109DD4" w14:textId="77777777" w:rsidR="002C6574" w:rsidRDefault="002C6574">
                            <w:pPr>
                              <w:pStyle w:val="TableParagraph"/>
                              <w:spacing w:before="1"/>
                              <w:jc w:val="left"/>
                              <w:rPr>
                                <w:rFonts w:ascii="Arial"/>
                                <w:b/>
                                <w:sz w:val="16"/>
                              </w:rPr>
                            </w:pPr>
                          </w:p>
                          <w:p w14:paraId="0F83A7C8" w14:textId="77777777" w:rsidR="002C6574" w:rsidRDefault="00000000">
                            <w:pPr>
                              <w:pStyle w:val="TableParagraph"/>
                              <w:ind w:right="58"/>
                              <w:rPr>
                                <w:rFonts w:ascii="Arial MT"/>
                                <w:sz w:val="16"/>
                              </w:rPr>
                            </w:pPr>
                            <w:r>
                              <w:rPr>
                                <w:rFonts w:ascii="Arial MT"/>
                                <w:spacing w:val="-2"/>
                                <w:sz w:val="16"/>
                              </w:rPr>
                              <w:t>(2.597)</w:t>
                            </w:r>
                          </w:p>
                          <w:p w14:paraId="48C86E5C" w14:textId="77777777" w:rsidR="002C6574" w:rsidRDefault="00000000">
                            <w:pPr>
                              <w:pStyle w:val="TableParagraph"/>
                              <w:spacing w:before="1" w:line="183" w:lineRule="exact"/>
                              <w:ind w:right="56"/>
                              <w:rPr>
                                <w:rFonts w:ascii="Arial MT"/>
                                <w:sz w:val="16"/>
                              </w:rPr>
                            </w:pPr>
                            <w:r>
                              <w:rPr>
                                <w:rFonts w:ascii="Arial MT"/>
                                <w:spacing w:val="-10"/>
                                <w:sz w:val="16"/>
                              </w:rPr>
                              <w:t>-</w:t>
                            </w:r>
                          </w:p>
                          <w:p w14:paraId="4C3E9CEF" w14:textId="77777777" w:rsidR="002C6574" w:rsidRDefault="00000000">
                            <w:pPr>
                              <w:pStyle w:val="TableParagraph"/>
                              <w:ind w:left="405" w:right="56" w:firstLine="324"/>
                              <w:rPr>
                                <w:rFonts w:ascii="Arial MT"/>
                                <w:sz w:val="16"/>
                              </w:rPr>
                            </w:pPr>
                            <w:r>
                              <w:rPr>
                                <w:rFonts w:ascii="Arial MT"/>
                                <w:spacing w:val="-10"/>
                                <w:sz w:val="16"/>
                              </w:rPr>
                              <w:t>-</w:t>
                            </w:r>
                            <w:r>
                              <w:rPr>
                                <w:rFonts w:ascii="Arial MT"/>
                                <w:spacing w:val="-2"/>
                                <w:sz w:val="16"/>
                              </w:rPr>
                              <w:t xml:space="preserve"> (283)</w:t>
                            </w:r>
                          </w:p>
                          <w:p w14:paraId="19174AAD" w14:textId="77777777" w:rsidR="002C6574" w:rsidRDefault="00000000">
                            <w:pPr>
                              <w:pStyle w:val="TableParagraph"/>
                              <w:spacing w:before="1" w:line="183" w:lineRule="exact"/>
                              <w:ind w:right="58"/>
                              <w:rPr>
                                <w:rFonts w:ascii="Arial MT"/>
                                <w:sz w:val="16"/>
                              </w:rPr>
                            </w:pPr>
                            <w:r>
                              <w:rPr>
                                <w:rFonts w:ascii="Arial MT"/>
                                <w:spacing w:val="-2"/>
                                <w:sz w:val="16"/>
                              </w:rPr>
                              <w:t>(2.277)</w:t>
                            </w:r>
                          </w:p>
                          <w:p w14:paraId="2D989E20" w14:textId="77777777" w:rsidR="002C6574" w:rsidRDefault="00000000">
                            <w:pPr>
                              <w:pStyle w:val="TableParagraph"/>
                              <w:spacing w:line="162" w:lineRule="exact"/>
                              <w:ind w:right="61"/>
                              <w:rPr>
                                <w:rFonts w:ascii="Arial MT"/>
                                <w:sz w:val="16"/>
                              </w:rPr>
                            </w:pPr>
                            <w:r>
                              <w:rPr>
                                <w:rFonts w:ascii="Arial MT"/>
                                <w:spacing w:val="-2"/>
                                <w:sz w:val="16"/>
                              </w:rPr>
                              <w:t>(231)</w:t>
                            </w:r>
                          </w:p>
                        </w:tc>
                        <w:tc>
                          <w:tcPr>
                            <w:tcW w:w="861" w:type="dxa"/>
                          </w:tcPr>
                          <w:p w14:paraId="52F6EBD8" w14:textId="77777777" w:rsidR="002C6574" w:rsidRDefault="002C6574">
                            <w:pPr>
                              <w:pStyle w:val="TableParagraph"/>
                              <w:spacing w:before="1"/>
                              <w:jc w:val="left"/>
                              <w:rPr>
                                <w:rFonts w:ascii="Arial"/>
                                <w:b/>
                                <w:sz w:val="16"/>
                              </w:rPr>
                            </w:pPr>
                          </w:p>
                          <w:p w14:paraId="65C29C7A" w14:textId="77777777" w:rsidR="002C6574" w:rsidRDefault="00000000">
                            <w:pPr>
                              <w:pStyle w:val="TableParagraph"/>
                              <w:ind w:right="61"/>
                              <w:rPr>
                                <w:rFonts w:ascii="Arial MT"/>
                                <w:sz w:val="16"/>
                              </w:rPr>
                            </w:pPr>
                            <w:r>
                              <w:rPr>
                                <w:rFonts w:ascii="Arial MT"/>
                                <w:spacing w:val="-2"/>
                                <w:sz w:val="16"/>
                              </w:rPr>
                              <w:t>(909)</w:t>
                            </w:r>
                          </w:p>
                          <w:p w14:paraId="75F9DA72" w14:textId="77777777" w:rsidR="002C6574" w:rsidRDefault="00000000">
                            <w:pPr>
                              <w:pStyle w:val="TableParagraph"/>
                              <w:spacing w:before="1"/>
                              <w:ind w:left="405" w:right="55" w:firstLine="324"/>
                              <w:rPr>
                                <w:rFonts w:ascii="Arial MT"/>
                                <w:sz w:val="16"/>
                              </w:rPr>
                            </w:pPr>
                            <w:r>
                              <w:rPr>
                                <w:rFonts w:ascii="Arial MT"/>
                                <w:spacing w:val="-10"/>
                                <w:sz w:val="16"/>
                              </w:rPr>
                              <w:t>-</w:t>
                            </w:r>
                            <w:r>
                              <w:rPr>
                                <w:rFonts w:ascii="Arial MT"/>
                                <w:spacing w:val="-2"/>
                                <w:sz w:val="16"/>
                              </w:rPr>
                              <w:t xml:space="preserve"> (399)</w:t>
                            </w:r>
                          </w:p>
                          <w:p w14:paraId="0D3E375C" w14:textId="77777777" w:rsidR="002C6574" w:rsidRDefault="00000000">
                            <w:pPr>
                              <w:pStyle w:val="TableParagraph"/>
                              <w:spacing w:line="183" w:lineRule="exact"/>
                              <w:ind w:right="61"/>
                              <w:rPr>
                                <w:rFonts w:ascii="Arial MT"/>
                                <w:sz w:val="16"/>
                              </w:rPr>
                            </w:pPr>
                            <w:r>
                              <w:rPr>
                                <w:rFonts w:ascii="Arial MT"/>
                                <w:spacing w:val="-2"/>
                                <w:sz w:val="16"/>
                              </w:rPr>
                              <w:t>(160)</w:t>
                            </w:r>
                          </w:p>
                          <w:p w14:paraId="26DE8649" w14:textId="77777777" w:rsidR="002C6574" w:rsidRDefault="00000000">
                            <w:pPr>
                              <w:pStyle w:val="TableParagraph"/>
                              <w:spacing w:before="1" w:line="183" w:lineRule="exact"/>
                              <w:ind w:right="61"/>
                              <w:rPr>
                                <w:rFonts w:ascii="Arial MT"/>
                                <w:sz w:val="16"/>
                              </w:rPr>
                            </w:pPr>
                            <w:r>
                              <w:rPr>
                                <w:rFonts w:ascii="Arial MT"/>
                                <w:spacing w:val="-4"/>
                                <w:sz w:val="16"/>
                              </w:rPr>
                              <w:t>(20)</w:t>
                            </w:r>
                          </w:p>
                          <w:p w14:paraId="41D26B65" w14:textId="77777777" w:rsidR="002C6574" w:rsidRDefault="00000000">
                            <w:pPr>
                              <w:pStyle w:val="TableParagraph"/>
                              <w:spacing w:line="162" w:lineRule="exact"/>
                              <w:ind w:right="58"/>
                              <w:rPr>
                                <w:rFonts w:ascii="Arial MT"/>
                                <w:sz w:val="16"/>
                              </w:rPr>
                            </w:pPr>
                            <w:r>
                              <w:rPr>
                                <w:rFonts w:ascii="Arial MT"/>
                                <w:spacing w:val="-2"/>
                                <w:sz w:val="16"/>
                              </w:rPr>
                              <w:t>(3.526)</w:t>
                            </w:r>
                          </w:p>
                        </w:tc>
                        <w:tc>
                          <w:tcPr>
                            <w:tcW w:w="773" w:type="dxa"/>
                            <w:tcBorders>
                              <w:right w:val="nil"/>
                            </w:tcBorders>
                          </w:tcPr>
                          <w:p w14:paraId="406EE978" w14:textId="77777777" w:rsidR="002C6574" w:rsidRDefault="002C6574">
                            <w:pPr>
                              <w:pStyle w:val="TableParagraph"/>
                              <w:spacing w:before="1"/>
                              <w:jc w:val="left"/>
                              <w:rPr>
                                <w:rFonts w:ascii="Arial"/>
                                <w:b/>
                                <w:sz w:val="16"/>
                              </w:rPr>
                            </w:pPr>
                          </w:p>
                          <w:p w14:paraId="79FF6A05" w14:textId="77777777" w:rsidR="002C6574" w:rsidRDefault="00000000">
                            <w:pPr>
                              <w:pStyle w:val="TableParagraph"/>
                              <w:ind w:right="70"/>
                              <w:rPr>
                                <w:rFonts w:ascii="Arial MT"/>
                                <w:sz w:val="16"/>
                              </w:rPr>
                            </w:pPr>
                            <w:r>
                              <w:rPr>
                                <w:rFonts w:ascii="Arial MT"/>
                                <w:spacing w:val="-2"/>
                                <w:sz w:val="16"/>
                              </w:rPr>
                              <w:t>(471)</w:t>
                            </w:r>
                          </w:p>
                          <w:p w14:paraId="56934251" w14:textId="77777777" w:rsidR="002C6574" w:rsidRDefault="00000000">
                            <w:pPr>
                              <w:pStyle w:val="TableParagraph"/>
                              <w:spacing w:before="1"/>
                              <w:ind w:left="498" w:right="67" w:firstLine="141"/>
                              <w:rPr>
                                <w:rFonts w:ascii="Arial MT"/>
                                <w:sz w:val="16"/>
                              </w:rPr>
                            </w:pPr>
                            <w:r>
                              <w:rPr>
                                <w:rFonts w:ascii="Arial MT"/>
                                <w:spacing w:val="-10"/>
                                <w:sz w:val="16"/>
                              </w:rPr>
                              <w:t>-</w:t>
                            </w:r>
                            <w:r>
                              <w:rPr>
                                <w:rFonts w:ascii="Arial MT"/>
                                <w:sz w:val="16"/>
                              </w:rPr>
                              <w:t xml:space="preserve"> </w:t>
                            </w:r>
                            <w:r>
                              <w:rPr>
                                <w:rFonts w:ascii="Arial MT"/>
                                <w:spacing w:val="-5"/>
                                <w:sz w:val="16"/>
                              </w:rPr>
                              <w:t>(1)</w:t>
                            </w:r>
                          </w:p>
                          <w:p w14:paraId="6A640B0B" w14:textId="77777777" w:rsidR="002C6574" w:rsidRDefault="00000000">
                            <w:pPr>
                              <w:pStyle w:val="TableParagraph"/>
                              <w:spacing w:line="183" w:lineRule="exact"/>
                              <w:ind w:right="70"/>
                              <w:rPr>
                                <w:rFonts w:ascii="Arial MT"/>
                                <w:sz w:val="16"/>
                              </w:rPr>
                            </w:pPr>
                            <w:r>
                              <w:rPr>
                                <w:rFonts w:ascii="Arial MT"/>
                                <w:spacing w:val="-2"/>
                                <w:sz w:val="16"/>
                              </w:rPr>
                              <w:t>(132)</w:t>
                            </w:r>
                          </w:p>
                          <w:p w14:paraId="1B089B3C" w14:textId="77777777" w:rsidR="002C6574" w:rsidRDefault="00000000">
                            <w:pPr>
                              <w:pStyle w:val="TableParagraph"/>
                              <w:spacing w:before="1" w:line="183" w:lineRule="exact"/>
                              <w:ind w:right="70"/>
                              <w:rPr>
                                <w:rFonts w:ascii="Arial MT"/>
                                <w:sz w:val="16"/>
                              </w:rPr>
                            </w:pPr>
                            <w:r>
                              <w:rPr>
                                <w:rFonts w:ascii="Arial MT"/>
                                <w:spacing w:val="-2"/>
                                <w:sz w:val="16"/>
                              </w:rPr>
                              <w:t>(288)</w:t>
                            </w:r>
                          </w:p>
                          <w:p w14:paraId="34381867" w14:textId="77777777" w:rsidR="002C6574" w:rsidRDefault="00000000">
                            <w:pPr>
                              <w:pStyle w:val="TableParagraph"/>
                              <w:spacing w:line="162" w:lineRule="exact"/>
                              <w:ind w:right="67"/>
                              <w:rPr>
                                <w:rFonts w:ascii="Arial MT"/>
                                <w:sz w:val="16"/>
                              </w:rPr>
                            </w:pPr>
                            <w:r>
                              <w:rPr>
                                <w:rFonts w:ascii="Arial MT"/>
                                <w:spacing w:val="-2"/>
                                <w:sz w:val="16"/>
                              </w:rPr>
                              <w:t>(2.823)</w:t>
                            </w:r>
                          </w:p>
                        </w:tc>
                      </w:tr>
                      <w:tr w:rsidR="002C6574" w14:paraId="5E887499" w14:textId="77777777">
                        <w:trPr>
                          <w:trHeight w:val="183"/>
                        </w:trPr>
                        <w:tc>
                          <w:tcPr>
                            <w:tcW w:w="6126" w:type="dxa"/>
                            <w:tcBorders>
                              <w:left w:val="nil"/>
                            </w:tcBorders>
                          </w:tcPr>
                          <w:p w14:paraId="74CBA2A0" w14:textId="77777777" w:rsidR="002C6574" w:rsidRDefault="00000000">
                            <w:pPr>
                              <w:pStyle w:val="TableParagraph"/>
                              <w:spacing w:line="163" w:lineRule="exact"/>
                              <w:ind w:left="292"/>
                              <w:jc w:val="left"/>
                              <w:rPr>
                                <w:rFonts w:ascii="Arial"/>
                                <w:b/>
                                <w:sz w:val="16"/>
                              </w:rPr>
                            </w:pPr>
                            <w:r>
                              <w:rPr>
                                <w:rFonts w:ascii="Arial"/>
                                <w:b/>
                                <w:spacing w:val="-2"/>
                                <w:sz w:val="16"/>
                              </w:rPr>
                              <w:t>Subtotal</w:t>
                            </w:r>
                          </w:p>
                        </w:tc>
                        <w:tc>
                          <w:tcPr>
                            <w:tcW w:w="861" w:type="dxa"/>
                            <w:shd w:val="clear" w:color="auto" w:fill="75F6F8"/>
                          </w:tcPr>
                          <w:p w14:paraId="432ACE42" w14:textId="77777777" w:rsidR="002C6574" w:rsidRDefault="00000000">
                            <w:pPr>
                              <w:pStyle w:val="TableParagraph"/>
                              <w:spacing w:line="163" w:lineRule="exact"/>
                              <w:ind w:left="236" w:right="24"/>
                              <w:jc w:val="center"/>
                              <w:rPr>
                                <w:rFonts w:ascii="Arial"/>
                                <w:b/>
                                <w:sz w:val="16"/>
                              </w:rPr>
                            </w:pPr>
                            <w:r>
                              <w:rPr>
                                <w:rFonts w:ascii="Arial"/>
                                <w:b/>
                                <w:spacing w:val="-2"/>
                                <w:sz w:val="16"/>
                              </w:rPr>
                              <w:t>(5.388)</w:t>
                            </w:r>
                          </w:p>
                        </w:tc>
                        <w:tc>
                          <w:tcPr>
                            <w:tcW w:w="861" w:type="dxa"/>
                          </w:tcPr>
                          <w:p w14:paraId="5C3796D0" w14:textId="77777777" w:rsidR="002C6574" w:rsidRDefault="00000000">
                            <w:pPr>
                              <w:pStyle w:val="TableParagraph"/>
                              <w:spacing w:line="163" w:lineRule="exact"/>
                              <w:ind w:left="236" w:right="23"/>
                              <w:jc w:val="center"/>
                              <w:rPr>
                                <w:rFonts w:ascii="Arial"/>
                                <w:b/>
                                <w:sz w:val="16"/>
                              </w:rPr>
                            </w:pPr>
                            <w:r>
                              <w:rPr>
                                <w:rFonts w:ascii="Arial"/>
                                <w:b/>
                                <w:spacing w:val="-2"/>
                                <w:sz w:val="16"/>
                              </w:rPr>
                              <w:t>(5.014)</w:t>
                            </w:r>
                          </w:p>
                        </w:tc>
                        <w:tc>
                          <w:tcPr>
                            <w:tcW w:w="773" w:type="dxa"/>
                            <w:tcBorders>
                              <w:right w:val="nil"/>
                            </w:tcBorders>
                          </w:tcPr>
                          <w:p w14:paraId="5BA1856C" w14:textId="77777777" w:rsidR="002C6574" w:rsidRDefault="00000000">
                            <w:pPr>
                              <w:pStyle w:val="TableParagraph"/>
                              <w:spacing w:line="163" w:lineRule="exact"/>
                              <w:ind w:left="133" w:right="17"/>
                              <w:jc w:val="center"/>
                              <w:rPr>
                                <w:rFonts w:ascii="Arial"/>
                                <w:b/>
                                <w:sz w:val="16"/>
                              </w:rPr>
                            </w:pPr>
                            <w:r>
                              <w:rPr>
                                <w:rFonts w:ascii="Arial"/>
                                <w:b/>
                                <w:spacing w:val="-2"/>
                                <w:sz w:val="16"/>
                              </w:rPr>
                              <w:t>(3.715)</w:t>
                            </w:r>
                          </w:p>
                        </w:tc>
                      </w:tr>
                      <w:tr w:rsidR="002C6574" w14:paraId="2D0FD17A" w14:textId="77777777">
                        <w:trPr>
                          <w:trHeight w:val="183"/>
                        </w:trPr>
                        <w:tc>
                          <w:tcPr>
                            <w:tcW w:w="6126" w:type="dxa"/>
                            <w:tcBorders>
                              <w:left w:val="nil"/>
                              <w:bottom w:val="single" w:sz="8" w:space="0" w:color="3616F6"/>
                            </w:tcBorders>
                            <w:shd w:val="clear" w:color="auto" w:fill="75F6F8"/>
                          </w:tcPr>
                          <w:p w14:paraId="33EDEECB" w14:textId="77777777" w:rsidR="002C6574" w:rsidRDefault="00000000">
                            <w:pPr>
                              <w:pStyle w:val="TableParagraph"/>
                              <w:spacing w:line="163" w:lineRule="exact"/>
                              <w:ind w:left="69"/>
                              <w:jc w:val="left"/>
                              <w:rPr>
                                <w:rFonts w:ascii="Arial" w:hAnsi="Arial"/>
                                <w:b/>
                                <w:sz w:val="16"/>
                              </w:rPr>
                            </w:pPr>
                            <w:r>
                              <w:rPr>
                                <w:rFonts w:ascii="Arial" w:hAnsi="Arial"/>
                                <w:b/>
                                <w:sz w:val="16"/>
                              </w:rPr>
                              <w:t>Caixa</w:t>
                            </w:r>
                            <w:r>
                              <w:rPr>
                                <w:rFonts w:ascii="Arial" w:hAnsi="Arial"/>
                                <w:b/>
                                <w:spacing w:val="-7"/>
                                <w:sz w:val="16"/>
                              </w:rPr>
                              <w:t xml:space="preserve"> </w:t>
                            </w:r>
                            <w:r>
                              <w:rPr>
                                <w:rFonts w:ascii="Arial" w:hAnsi="Arial"/>
                                <w:b/>
                                <w:sz w:val="16"/>
                              </w:rPr>
                              <w:t>Líquido</w:t>
                            </w:r>
                            <w:r>
                              <w:rPr>
                                <w:rFonts w:ascii="Arial" w:hAnsi="Arial"/>
                                <w:b/>
                                <w:spacing w:val="-7"/>
                                <w:sz w:val="16"/>
                              </w:rPr>
                              <w:t xml:space="preserve"> </w:t>
                            </w:r>
                            <w:r>
                              <w:rPr>
                                <w:rFonts w:ascii="Arial" w:hAnsi="Arial"/>
                                <w:b/>
                                <w:sz w:val="16"/>
                              </w:rPr>
                              <w:t>Gerado/(Consumido)</w:t>
                            </w:r>
                            <w:r>
                              <w:rPr>
                                <w:rFonts w:ascii="Arial" w:hAnsi="Arial"/>
                                <w:b/>
                                <w:spacing w:val="-6"/>
                                <w:sz w:val="16"/>
                              </w:rPr>
                              <w:t xml:space="preserve"> </w:t>
                            </w:r>
                            <w:r>
                              <w:rPr>
                                <w:rFonts w:ascii="Arial" w:hAnsi="Arial"/>
                                <w:b/>
                                <w:sz w:val="16"/>
                              </w:rPr>
                              <w:t>pelas</w:t>
                            </w:r>
                            <w:r>
                              <w:rPr>
                                <w:rFonts w:ascii="Arial" w:hAnsi="Arial"/>
                                <w:b/>
                                <w:spacing w:val="-9"/>
                                <w:sz w:val="16"/>
                              </w:rPr>
                              <w:t xml:space="preserve"> </w:t>
                            </w:r>
                            <w:r>
                              <w:rPr>
                                <w:rFonts w:ascii="Arial" w:hAnsi="Arial"/>
                                <w:b/>
                                <w:sz w:val="16"/>
                              </w:rPr>
                              <w:t>Atividades</w:t>
                            </w:r>
                            <w:r>
                              <w:rPr>
                                <w:rFonts w:ascii="Arial" w:hAnsi="Arial"/>
                                <w:b/>
                                <w:spacing w:val="-6"/>
                                <w:sz w:val="16"/>
                              </w:rPr>
                              <w:t xml:space="preserve"> </w:t>
                            </w:r>
                            <w:r>
                              <w:rPr>
                                <w:rFonts w:ascii="Arial" w:hAnsi="Arial"/>
                                <w:b/>
                                <w:spacing w:val="-2"/>
                                <w:sz w:val="16"/>
                              </w:rPr>
                              <w:t>Operacionais</w:t>
                            </w:r>
                          </w:p>
                        </w:tc>
                        <w:tc>
                          <w:tcPr>
                            <w:tcW w:w="861" w:type="dxa"/>
                            <w:tcBorders>
                              <w:bottom w:val="single" w:sz="8" w:space="0" w:color="3616F6"/>
                            </w:tcBorders>
                            <w:shd w:val="clear" w:color="auto" w:fill="75F6F8"/>
                          </w:tcPr>
                          <w:p w14:paraId="49EEBA16" w14:textId="77777777" w:rsidR="002C6574" w:rsidRDefault="00000000">
                            <w:pPr>
                              <w:pStyle w:val="TableParagraph"/>
                              <w:spacing w:line="163" w:lineRule="exact"/>
                              <w:ind w:left="147" w:right="24"/>
                              <w:jc w:val="center"/>
                              <w:rPr>
                                <w:rFonts w:ascii="Arial"/>
                                <w:b/>
                                <w:sz w:val="16"/>
                              </w:rPr>
                            </w:pPr>
                            <w:r>
                              <w:rPr>
                                <w:rFonts w:ascii="Arial"/>
                                <w:b/>
                                <w:spacing w:val="-2"/>
                                <w:sz w:val="16"/>
                              </w:rPr>
                              <w:t>(55.468)</w:t>
                            </w:r>
                          </w:p>
                        </w:tc>
                        <w:tc>
                          <w:tcPr>
                            <w:tcW w:w="861" w:type="dxa"/>
                            <w:tcBorders>
                              <w:bottom w:val="single" w:sz="8" w:space="0" w:color="3616F6"/>
                            </w:tcBorders>
                          </w:tcPr>
                          <w:p w14:paraId="6665BDC0" w14:textId="77777777" w:rsidR="002C6574" w:rsidRDefault="00000000">
                            <w:pPr>
                              <w:pStyle w:val="TableParagraph"/>
                              <w:spacing w:line="163" w:lineRule="exact"/>
                              <w:ind w:left="147" w:right="22"/>
                              <w:jc w:val="center"/>
                              <w:rPr>
                                <w:rFonts w:ascii="Arial"/>
                                <w:b/>
                                <w:sz w:val="16"/>
                              </w:rPr>
                            </w:pPr>
                            <w:r>
                              <w:rPr>
                                <w:rFonts w:ascii="Arial"/>
                                <w:b/>
                                <w:spacing w:val="-2"/>
                                <w:sz w:val="16"/>
                              </w:rPr>
                              <w:t>(62.591)</w:t>
                            </w:r>
                          </w:p>
                        </w:tc>
                        <w:tc>
                          <w:tcPr>
                            <w:tcW w:w="773" w:type="dxa"/>
                            <w:tcBorders>
                              <w:bottom w:val="single" w:sz="8" w:space="0" w:color="3616F6"/>
                              <w:right w:val="nil"/>
                            </w:tcBorders>
                          </w:tcPr>
                          <w:p w14:paraId="682D4DD5" w14:textId="77777777" w:rsidR="002C6574" w:rsidRDefault="00000000">
                            <w:pPr>
                              <w:pStyle w:val="TableParagraph"/>
                              <w:spacing w:line="163" w:lineRule="exact"/>
                              <w:ind w:left="133" w:right="17"/>
                              <w:jc w:val="center"/>
                              <w:rPr>
                                <w:rFonts w:ascii="Arial"/>
                                <w:b/>
                                <w:sz w:val="16"/>
                              </w:rPr>
                            </w:pPr>
                            <w:r>
                              <w:rPr>
                                <w:rFonts w:ascii="Arial"/>
                                <w:b/>
                                <w:spacing w:val="-2"/>
                                <w:sz w:val="16"/>
                              </w:rPr>
                              <w:t>(1.870)</w:t>
                            </w:r>
                          </w:p>
                        </w:tc>
                      </w:tr>
                      <w:tr w:rsidR="002C6574" w14:paraId="7F5DBBD9" w14:textId="77777777">
                        <w:trPr>
                          <w:trHeight w:val="553"/>
                        </w:trPr>
                        <w:tc>
                          <w:tcPr>
                            <w:tcW w:w="6126" w:type="dxa"/>
                            <w:tcBorders>
                              <w:top w:val="single" w:sz="8" w:space="0" w:color="3616F6"/>
                              <w:left w:val="nil"/>
                              <w:bottom w:val="single" w:sz="8" w:space="0" w:color="3616F6"/>
                            </w:tcBorders>
                          </w:tcPr>
                          <w:p w14:paraId="52E3FAC7" w14:textId="77777777" w:rsidR="002C6574" w:rsidRDefault="00000000">
                            <w:pPr>
                              <w:pStyle w:val="TableParagraph"/>
                              <w:spacing w:line="180" w:lineRule="atLeast"/>
                              <w:ind w:left="434" w:right="2331" w:hanging="366"/>
                              <w:jc w:val="left"/>
                              <w:rPr>
                                <w:rFonts w:ascii="Arial MT" w:hAnsi="Arial MT"/>
                                <w:sz w:val="16"/>
                              </w:rPr>
                            </w:pPr>
                            <w:r>
                              <w:rPr>
                                <w:rFonts w:ascii="Arial" w:hAnsi="Arial"/>
                                <w:b/>
                                <w:sz w:val="16"/>
                              </w:rPr>
                              <w:t>Fluxos</w:t>
                            </w:r>
                            <w:r>
                              <w:rPr>
                                <w:rFonts w:ascii="Arial" w:hAnsi="Arial"/>
                                <w:b/>
                                <w:spacing w:val="-8"/>
                                <w:sz w:val="16"/>
                              </w:rPr>
                              <w:t xml:space="preserve"> </w:t>
                            </w:r>
                            <w:r>
                              <w:rPr>
                                <w:rFonts w:ascii="Arial" w:hAnsi="Arial"/>
                                <w:b/>
                                <w:sz w:val="16"/>
                              </w:rPr>
                              <w:t>de</w:t>
                            </w:r>
                            <w:r>
                              <w:rPr>
                                <w:rFonts w:ascii="Arial" w:hAnsi="Arial"/>
                                <w:b/>
                                <w:spacing w:val="-5"/>
                                <w:sz w:val="16"/>
                              </w:rPr>
                              <w:t xml:space="preserve"> </w:t>
                            </w:r>
                            <w:r>
                              <w:rPr>
                                <w:rFonts w:ascii="Arial" w:hAnsi="Arial"/>
                                <w:b/>
                                <w:sz w:val="16"/>
                              </w:rPr>
                              <w:t>Caixa</w:t>
                            </w:r>
                            <w:r>
                              <w:rPr>
                                <w:rFonts w:ascii="Arial" w:hAnsi="Arial"/>
                                <w:b/>
                                <w:spacing w:val="-5"/>
                                <w:sz w:val="16"/>
                              </w:rPr>
                              <w:t xml:space="preserve"> </w:t>
                            </w:r>
                            <w:r>
                              <w:rPr>
                                <w:rFonts w:ascii="Arial" w:hAnsi="Arial"/>
                                <w:b/>
                                <w:sz w:val="16"/>
                              </w:rPr>
                              <w:t>das</w:t>
                            </w:r>
                            <w:r>
                              <w:rPr>
                                <w:rFonts w:ascii="Arial" w:hAnsi="Arial"/>
                                <w:b/>
                                <w:spacing w:val="-6"/>
                                <w:sz w:val="16"/>
                              </w:rPr>
                              <w:t xml:space="preserve"> </w:t>
                            </w:r>
                            <w:r>
                              <w:rPr>
                                <w:rFonts w:ascii="Arial" w:hAnsi="Arial"/>
                                <w:b/>
                                <w:sz w:val="16"/>
                              </w:rPr>
                              <w:t>Atividades</w:t>
                            </w:r>
                            <w:r>
                              <w:rPr>
                                <w:rFonts w:ascii="Arial" w:hAnsi="Arial"/>
                                <w:b/>
                                <w:spacing w:val="-10"/>
                                <w:sz w:val="16"/>
                              </w:rPr>
                              <w:t xml:space="preserve"> </w:t>
                            </w:r>
                            <w:r>
                              <w:rPr>
                                <w:rFonts w:ascii="Arial" w:hAnsi="Arial"/>
                                <w:b/>
                                <w:sz w:val="16"/>
                              </w:rPr>
                              <w:t>de</w:t>
                            </w:r>
                            <w:r>
                              <w:rPr>
                                <w:rFonts w:ascii="Arial" w:hAnsi="Arial"/>
                                <w:b/>
                                <w:spacing w:val="-5"/>
                                <w:sz w:val="16"/>
                              </w:rPr>
                              <w:t xml:space="preserve"> </w:t>
                            </w:r>
                            <w:r>
                              <w:rPr>
                                <w:rFonts w:ascii="Arial" w:hAnsi="Arial"/>
                                <w:b/>
                                <w:sz w:val="16"/>
                              </w:rPr>
                              <w:t xml:space="preserve">Investimento </w:t>
                            </w:r>
                            <w:r>
                              <w:rPr>
                                <w:rFonts w:ascii="Arial MT" w:hAnsi="Arial MT"/>
                                <w:sz w:val="16"/>
                              </w:rPr>
                              <w:t>Aquisição de Imobilizado / Intangível Aplicações Financeiras - Resgate</w:t>
                            </w:r>
                          </w:p>
                        </w:tc>
                        <w:tc>
                          <w:tcPr>
                            <w:tcW w:w="861" w:type="dxa"/>
                            <w:tcBorders>
                              <w:top w:val="single" w:sz="8" w:space="0" w:color="3616F6"/>
                              <w:bottom w:val="single" w:sz="8" w:space="0" w:color="3616F6"/>
                            </w:tcBorders>
                            <w:shd w:val="clear" w:color="auto" w:fill="75F6F8"/>
                          </w:tcPr>
                          <w:p w14:paraId="0F188CBF" w14:textId="77777777" w:rsidR="002C6574" w:rsidRDefault="002C6574">
                            <w:pPr>
                              <w:pStyle w:val="TableParagraph"/>
                              <w:spacing w:before="1"/>
                              <w:jc w:val="left"/>
                              <w:rPr>
                                <w:rFonts w:ascii="Arial"/>
                                <w:b/>
                                <w:sz w:val="16"/>
                              </w:rPr>
                            </w:pPr>
                          </w:p>
                          <w:p w14:paraId="3BDC36CE" w14:textId="77777777" w:rsidR="002C6574" w:rsidRDefault="00000000">
                            <w:pPr>
                              <w:pStyle w:val="TableParagraph"/>
                              <w:ind w:right="58"/>
                              <w:rPr>
                                <w:rFonts w:ascii="Arial MT"/>
                                <w:sz w:val="16"/>
                              </w:rPr>
                            </w:pPr>
                            <w:r>
                              <w:rPr>
                                <w:rFonts w:ascii="Arial MT"/>
                                <w:spacing w:val="-2"/>
                                <w:sz w:val="16"/>
                              </w:rPr>
                              <w:t>(10.274)</w:t>
                            </w:r>
                          </w:p>
                          <w:p w14:paraId="0A2F5841" w14:textId="77777777" w:rsidR="002C6574" w:rsidRDefault="00000000">
                            <w:pPr>
                              <w:pStyle w:val="TableParagraph"/>
                              <w:spacing w:before="1" w:line="163" w:lineRule="exact"/>
                              <w:ind w:right="56"/>
                              <w:rPr>
                                <w:rFonts w:ascii="Arial MT"/>
                                <w:sz w:val="16"/>
                              </w:rPr>
                            </w:pPr>
                            <w:r>
                              <w:rPr>
                                <w:rFonts w:ascii="Arial MT"/>
                                <w:spacing w:val="-10"/>
                                <w:sz w:val="16"/>
                              </w:rPr>
                              <w:t>-</w:t>
                            </w:r>
                          </w:p>
                        </w:tc>
                        <w:tc>
                          <w:tcPr>
                            <w:tcW w:w="861" w:type="dxa"/>
                            <w:tcBorders>
                              <w:top w:val="single" w:sz="8" w:space="0" w:color="3616F6"/>
                              <w:bottom w:val="single" w:sz="8" w:space="0" w:color="3616F6"/>
                            </w:tcBorders>
                          </w:tcPr>
                          <w:p w14:paraId="555959CD" w14:textId="77777777" w:rsidR="002C6574" w:rsidRDefault="002C6574">
                            <w:pPr>
                              <w:pStyle w:val="TableParagraph"/>
                              <w:spacing w:before="1"/>
                              <w:jc w:val="left"/>
                              <w:rPr>
                                <w:rFonts w:ascii="Arial"/>
                                <w:b/>
                                <w:sz w:val="16"/>
                              </w:rPr>
                            </w:pPr>
                          </w:p>
                          <w:p w14:paraId="5FD70368" w14:textId="77777777" w:rsidR="002C6574" w:rsidRDefault="00000000">
                            <w:pPr>
                              <w:pStyle w:val="TableParagraph"/>
                              <w:ind w:right="58"/>
                              <w:rPr>
                                <w:rFonts w:ascii="Arial MT"/>
                                <w:sz w:val="16"/>
                              </w:rPr>
                            </w:pPr>
                            <w:r>
                              <w:rPr>
                                <w:rFonts w:ascii="Arial MT"/>
                                <w:spacing w:val="-2"/>
                                <w:sz w:val="16"/>
                              </w:rPr>
                              <w:t>(11.759)</w:t>
                            </w:r>
                          </w:p>
                          <w:p w14:paraId="56AAA93C" w14:textId="77777777" w:rsidR="002C6574" w:rsidRDefault="00000000">
                            <w:pPr>
                              <w:pStyle w:val="TableParagraph"/>
                              <w:spacing w:before="1" w:line="163" w:lineRule="exact"/>
                              <w:ind w:right="55"/>
                              <w:rPr>
                                <w:rFonts w:ascii="Arial MT"/>
                                <w:sz w:val="16"/>
                              </w:rPr>
                            </w:pPr>
                            <w:r>
                              <w:rPr>
                                <w:rFonts w:ascii="Arial MT"/>
                                <w:spacing w:val="-10"/>
                                <w:sz w:val="16"/>
                              </w:rPr>
                              <w:t>-</w:t>
                            </w:r>
                          </w:p>
                        </w:tc>
                        <w:tc>
                          <w:tcPr>
                            <w:tcW w:w="773" w:type="dxa"/>
                            <w:tcBorders>
                              <w:top w:val="single" w:sz="8" w:space="0" w:color="3616F6"/>
                              <w:bottom w:val="single" w:sz="8" w:space="0" w:color="3616F6"/>
                              <w:right w:val="nil"/>
                            </w:tcBorders>
                          </w:tcPr>
                          <w:p w14:paraId="6C2B57AF" w14:textId="77777777" w:rsidR="002C6574" w:rsidRDefault="002C6574">
                            <w:pPr>
                              <w:pStyle w:val="TableParagraph"/>
                              <w:spacing w:before="1"/>
                              <w:jc w:val="left"/>
                              <w:rPr>
                                <w:rFonts w:ascii="Arial"/>
                                <w:b/>
                                <w:sz w:val="16"/>
                              </w:rPr>
                            </w:pPr>
                          </w:p>
                          <w:p w14:paraId="55CFBC33" w14:textId="77777777" w:rsidR="002C6574" w:rsidRDefault="00000000">
                            <w:pPr>
                              <w:pStyle w:val="TableParagraph"/>
                              <w:ind w:right="67"/>
                              <w:rPr>
                                <w:rFonts w:ascii="Arial MT"/>
                                <w:sz w:val="16"/>
                              </w:rPr>
                            </w:pPr>
                            <w:r>
                              <w:rPr>
                                <w:rFonts w:ascii="Arial MT"/>
                                <w:spacing w:val="-2"/>
                                <w:sz w:val="16"/>
                              </w:rPr>
                              <w:t>(5.096)</w:t>
                            </w:r>
                          </w:p>
                          <w:p w14:paraId="1D73D276" w14:textId="77777777" w:rsidR="002C6574" w:rsidRDefault="00000000">
                            <w:pPr>
                              <w:pStyle w:val="TableParagraph"/>
                              <w:spacing w:before="1" w:line="163" w:lineRule="exact"/>
                              <w:ind w:right="67"/>
                              <w:rPr>
                                <w:rFonts w:ascii="Arial MT"/>
                                <w:sz w:val="16"/>
                              </w:rPr>
                            </w:pPr>
                            <w:r>
                              <w:rPr>
                                <w:rFonts w:ascii="Arial MT"/>
                                <w:spacing w:val="-10"/>
                                <w:sz w:val="16"/>
                              </w:rPr>
                              <w:t>-</w:t>
                            </w:r>
                          </w:p>
                        </w:tc>
                      </w:tr>
                      <w:tr w:rsidR="002C6574" w14:paraId="1B718C50" w14:textId="77777777">
                        <w:trPr>
                          <w:trHeight w:val="183"/>
                        </w:trPr>
                        <w:tc>
                          <w:tcPr>
                            <w:tcW w:w="6126" w:type="dxa"/>
                            <w:tcBorders>
                              <w:top w:val="single" w:sz="8" w:space="0" w:color="3616F6"/>
                              <w:left w:val="nil"/>
                              <w:bottom w:val="single" w:sz="8" w:space="0" w:color="3616F6"/>
                            </w:tcBorders>
                            <w:shd w:val="clear" w:color="auto" w:fill="75F6F8"/>
                          </w:tcPr>
                          <w:p w14:paraId="49FC82DF" w14:textId="77777777" w:rsidR="002C6574" w:rsidRDefault="00000000">
                            <w:pPr>
                              <w:pStyle w:val="TableParagraph"/>
                              <w:spacing w:line="163" w:lineRule="exact"/>
                              <w:ind w:left="69"/>
                              <w:jc w:val="left"/>
                              <w:rPr>
                                <w:rFonts w:ascii="Arial" w:hAnsi="Arial"/>
                                <w:b/>
                                <w:sz w:val="16"/>
                              </w:rPr>
                            </w:pPr>
                            <w:r>
                              <w:rPr>
                                <w:rFonts w:ascii="Arial" w:hAnsi="Arial"/>
                                <w:b/>
                                <w:sz w:val="16"/>
                              </w:rPr>
                              <w:t>Caixa</w:t>
                            </w:r>
                            <w:r>
                              <w:rPr>
                                <w:rFonts w:ascii="Arial" w:hAnsi="Arial"/>
                                <w:b/>
                                <w:spacing w:val="-6"/>
                                <w:sz w:val="16"/>
                              </w:rPr>
                              <w:t xml:space="preserve"> </w:t>
                            </w:r>
                            <w:r>
                              <w:rPr>
                                <w:rFonts w:ascii="Arial" w:hAnsi="Arial"/>
                                <w:b/>
                                <w:sz w:val="16"/>
                              </w:rPr>
                              <w:t>Líquido</w:t>
                            </w:r>
                            <w:r>
                              <w:rPr>
                                <w:rFonts w:ascii="Arial" w:hAnsi="Arial"/>
                                <w:b/>
                                <w:spacing w:val="-4"/>
                                <w:sz w:val="16"/>
                              </w:rPr>
                              <w:t xml:space="preserve"> </w:t>
                            </w:r>
                            <w:r>
                              <w:rPr>
                                <w:rFonts w:ascii="Arial" w:hAnsi="Arial"/>
                                <w:b/>
                                <w:sz w:val="16"/>
                              </w:rPr>
                              <w:t>Consumido</w:t>
                            </w:r>
                            <w:r>
                              <w:rPr>
                                <w:rFonts w:ascii="Arial" w:hAnsi="Arial"/>
                                <w:b/>
                                <w:spacing w:val="-4"/>
                                <w:sz w:val="16"/>
                              </w:rPr>
                              <w:t xml:space="preserve"> </w:t>
                            </w:r>
                            <w:r>
                              <w:rPr>
                                <w:rFonts w:ascii="Arial" w:hAnsi="Arial"/>
                                <w:b/>
                                <w:sz w:val="16"/>
                              </w:rPr>
                              <w:t>pelas</w:t>
                            </w:r>
                            <w:r>
                              <w:rPr>
                                <w:rFonts w:ascii="Arial" w:hAnsi="Arial"/>
                                <w:b/>
                                <w:spacing w:val="-8"/>
                                <w:sz w:val="16"/>
                              </w:rPr>
                              <w:t xml:space="preserve"> </w:t>
                            </w:r>
                            <w:r>
                              <w:rPr>
                                <w:rFonts w:ascii="Arial" w:hAnsi="Arial"/>
                                <w:b/>
                                <w:sz w:val="16"/>
                              </w:rPr>
                              <w:t>Atividades</w:t>
                            </w:r>
                            <w:r>
                              <w:rPr>
                                <w:rFonts w:ascii="Arial" w:hAnsi="Arial"/>
                                <w:b/>
                                <w:spacing w:val="-8"/>
                                <w:sz w:val="16"/>
                              </w:rPr>
                              <w:t xml:space="preserve"> </w:t>
                            </w:r>
                            <w:r>
                              <w:rPr>
                                <w:rFonts w:ascii="Arial" w:hAnsi="Arial"/>
                                <w:b/>
                                <w:sz w:val="16"/>
                              </w:rPr>
                              <w:t>de</w:t>
                            </w:r>
                            <w:r>
                              <w:rPr>
                                <w:rFonts w:ascii="Arial" w:hAnsi="Arial"/>
                                <w:b/>
                                <w:spacing w:val="-6"/>
                                <w:sz w:val="16"/>
                              </w:rPr>
                              <w:t xml:space="preserve"> </w:t>
                            </w:r>
                            <w:r>
                              <w:rPr>
                                <w:rFonts w:ascii="Arial" w:hAnsi="Arial"/>
                                <w:b/>
                                <w:spacing w:val="-2"/>
                                <w:sz w:val="16"/>
                              </w:rPr>
                              <w:t>Investimento</w:t>
                            </w:r>
                          </w:p>
                        </w:tc>
                        <w:tc>
                          <w:tcPr>
                            <w:tcW w:w="861" w:type="dxa"/>
                            <w:tcBorders>
                              <w:top w:val="single" w:sz="8" w:space="0" w:color="3616F6"/>
                              <w:bottom w:val="single" w:sz="8" w:space="0" w:color="3616F6"/>
                            </w:tcBorders>
                            <w:shd w:val="clear" w:color="auto" w:fill="75F6F8"/>
                          </w:tcPr>
                          <w:p w14:paraId="77357568" w14:textId="77777777" w:rsidR="002C6574" w:rsidRDefault="00000000">
                            <w:pPr>
                              <w:pStyle w:val="TableParagraph"/>
                              <w:spacing w:line="163" w:lineRule="exact"/>
                              <w:ind w:left="147" w:right="24"/>
                              <w:jc w:val="center"/>
                              <w:rPr>
                                <w:rFonts w:ascii="Arial"/>
                                <w:b/>
                                <w:sz w:val="16"/>
                              </w:rPr>
                            </w:pPr>
                            <w:r>
                              <w:rPr>
                                <w:rFonts w:ascii="Arial"/>
                                <w:b/>
                                <w:spacing w:val="-2"/>
                                <w:sz w:val="16"/>
                              </w:rPr>
                              <w:t>(10.274)</w:t>
                            </w:r>
                          </w:p>
                        </w:tc>
                        <w:tc>
                          <w:tcPr>
                            <w:tcW w:w="861" w:type="dxa"/>
                            <w:tcBorders>
                              <w:top w:val="single" w:sz="8" w:space="0" w:color="3616F6"/>
                              <w:bottom w:val="single" w:sz="8" w:space="0" w:color="3616F6"/>
                            </w:tcBorders>
                          </w:tcPr>
                          <w:p w14:paraId="58E61329" w14:textId="77777777" w:rsidR="002C6574" w:rsidRDefault="00000000">
                            <w:pPr>
                              <w:pStyle w:val="TableParagraph"/>
                              <w:spacing w:line="163" w:lineRule="exact"/>
                              <w:ind w:left="147" w:right="22"/>
                              <w:jc w:val="center"/>
                              <w:rPr>
                                <w:rFonts w:ascii="Arial"/>
                                <w:b/>
                                <w:sz w:val="16"/>
                              </w:rPr>
                            </w:pPr>
                            <w:r>
                              <w:rPr>
                                <w:rFonts w:ascii="Arial"/>
                                <w:b/>
                                <w:spacing w:val="-2"/>
                                <w:sz w:val="16"/>
                              </w:rPr>
                              <w:t>(11.759)</w:t>
                            </w:r>
                          </w:p>
                        </w:tc>
                        <w:tc>
                          <w:tcPr>
                            <w:tcW w:w="773" w:type="dxa"/>
                            <w:tcBorders>
                              <w:top w:val="single" w:sz="8" w:space="0" w:color="3616F6"/>
                              <w:bottom w:val="single" w:sz="8" w:space="0" w:color="3616F6"/>
                              <w:right w:val="nil"/>
                            </w:tcBorders>
                          </w:tcPr>
                          <w:p w14:paraId="0D79F9D1" w14:textId="77777777" w:rsidR="002C6574" w:rsidRDefault="00000000">
                            <w:pPr>
                              <w:pStyle w:val="TableParagraph"/>
                              <w:spacing w:line="163" w:lineRule="exact"/>
                              <w:ind w:left="133" w:right="17"/>
                              <w:jc w:val="center"/>
                              <w:rPr>
                                <w:rFonts w:ascii="Arial"/>
                                <w:b/>
                                <w:sz w:val="16"/>
                              </w:rPr>
                            </w:pPr>
                            <w:r>
                              <w:rPr>
                                <w:rFonts w:ascii="Arial"/>
                                <w:b/>
                                <w:spacing w:val="-2"/>
                                <w:sz w:val="16"/>
                              </w:rPr>
                              <w:t>(5.096)</w:t>
                            </w:r>
                          </w:p>
                        </w:tc>
                      </w:tr>
                      <w:tr w:rsidR="002C6574" w14:paraId="3EE9ABEE" w14:textId="77777777">
                        <w:trPr>
                          <w:trHeight w:val="1288"/>
                        </w:trPr>
                        <w:tc>
                          <w:tcPr>
                            <w:tcW w:w="6126" w:type="dxa"/>
                            <w:tcBorders>
                              <w:top w:val="single" w:sz="8" w:space="0" w:color="3616F6"/>
                              <w:left w:val="nil"/>
                              <w:bottom w:val="single" w:sz="8" w:space="0" w:color="3616F6"/>
                            </w:tcBorders>
                          </w:tcPr>
                          <w:p w14:paraId="6E20942E" w14:textId="77777777" w:rsidR="002C6574" w:rsidRDefault="00000000">
                            <w:pPr>
                              <w:pStyle w:val="TableParagraph"/>
                              <w:ind w:left="427" w:right="1689" w:hanging="359"/>
                              <w:jc w:val="left"/>
                              <w:rPr>
                                <w:rFonts w:ascii="Arial MT"/>
                                <w:sz w:val="16"/>
                              </w:rPr>
                            </w:pPr>
                            <w:r>
                              <w:rPr>
                                <w:rFonts w:ascii="Arial"/>
                                <w:b/>
                                <w:sz w:val="16"/>
                              </w:rPr>
                              <w:t xml:space="preserve">Fluxos de Caixa das Atividades de Financiamento </w:t>
                            </w:r>
                            <w:r>
                              <w:rPr>
                                <w:rFonts w:ascii="Arial MT"/>
                                <w:sz w:val="16"/>
                              </w:rPr>
                              <w:t>Pagamento</w:t>
                            </w:r>
                            <w:r>
                              <w:rPr>
                                <w:rFonts w:ascii="Arial MT"/>
                                <w:spacing w:val="-6"/>
                                <w:sz w:val="16"/>
                              </w:rPr>
                              <w:t xml:space="preserve"> </w:t>
                            </w:r>
                            <w:r>
                              <w:rPr>
                                <w:rFonts w:ascii="Arial MT"/>
                                <w:sz w:val="16"/>
                              </w:rPr>
                              <w:t>de</w:t>
                            </w:r>
                            <w:r>
                              <w:rPr>
                                <w:rFonts w:ascii="Arial MT"/>
                                <w:spacing w:val="-8"/>
                                <w:sz w:val="16"/>
                              </w:rPr>
                              <w:t xml:space="preserve"> </w:t>
                            </w:r>
                            <w:r>
                              <w:rPr>
                                <w:rFonts w:ascii="Arial MT"/>
                                <w:sz w:val="16"/>
                              </w:rPr>
                              <w:t>Credores</w:t>
                            </w:r>
                            <w:r>
                              <w:rPr>
                                <w:rFonts w:ascii="Arial MT"/>
                                <w:spacing w:val="-4"/>
                                <w:sz w:val="16"/>
                              </w:rPr>
                              <w:t xml:space="preserve"> </w:t>
                            </w:r>
                            <w:r>
                              <w:rPr>
                                <w:rFonts w:ascii="Arial MT"/>
                                <w:sz w:val="16"/>
                              </w:rPr>
                              <w:t>por</w:t>
                            </w:r>
                            <w:r>
                              <w:rPr>
                                <w:rFonts w:ascii="Arial MT"/>
                                <w:spacing w:val="-7"/>
                                <w:sz w:val="16"/>
                              </w:rPr>
                              <w:t xml:space="preserve"> </w:t>
                            </w:r>
                            <w:r>
                              <w:rPr>
                                <w:rFonts w:ascii="Arial MT"/>
                                <w:sz w:val="16"/>
                              </w:rPr>
                              <w:t>Perdas</w:t>
                            </w:r>
                            <w:r>
                              <w:rPr>
                                <w:rFonts w:ascii="Arial MT"/>
                                <w:spacing w:val="-7"/>
                                <w:sz w:val="16"/>
                              </w:rPr>
                              <w:t xml:space="preserve"> </w:t>
                            </w:r>
                            <w:r>
                              <w:rPr>
                                <w:rFonts w:ascii="Arial MT"/>
                                <w:sz w:val="16"/>
                              </w:rPr>
                              <w:t>Judiciais</w:t>
                            </w:r>
                            <w:r>
                              <w:rPr>
                                <w:rFonts w:ascii="Arial MT"/>
                                <w:spacing w:val="-1"/>
                                <w:sz w:val="16"/>
                              </w:rPr>
                              <w:t xml:space="preserve"> </w:t>
                            </w:r>
                            <w:r>
                              <w:rPr>
                                <w:rFonts w:ascii="Arial MT"/>
                                <w:sz w:val="16"/>
                              </w:rPr>
                              <w:t>-</w:t>
                            </w:r>
                            <w:r>
                              <w:rPr>
                                <w:rFonts w:ascii="Arial MT"/>
                                <w:spacing w:val="-7"/>
                                <w:sz w:val="16"/>
                              </w:rPr>
                              <w:t xml:space="preserve"> </w:t>
                            </w:r>
                            <w:r>
                              <w:rPr>
                                <w:rFonts w:ascii="Arial MT"/>
                                <w:sz w:val="16"/>
                              </w:rPr>
                              <w:t>Principal Pagamentos - Financiamento - Finep - Principal</w:t>
                            </w:r>
                          </w:p>
                          <w:p w14:paraId="72E18E9C" w14:textId="77777777" w:rsidR="002C6574" w:rsidRDefault="00000000">
                            <w:pPr>
                              <w:pStyle w:val="TableParagraph"/>
                              <w:spacing w:before="1"/>
                              <w:ind w:left="427"/>
                              <w:jc w:val="left"/>
                              <w:rPr>
                                <w:rFonts w:ascii="Arial MT" w:hAnsi="Arial MT"/>
                                <w:sz w:val="16"/>
                              </w:rPr>
                            </w:pPr>
                            <w:r>
                              <w:rPr>
                                <w:rFonts w:ascii="Arial MT" w:hAnsi="Arial MT"/>
                                <w:sz w:val="16"/>
                              </w:rPr>
                              <w:t>Pagamentos</w:t>
                            </w:r>
                            <w:r>
                              <w:rPr>
                                <w:rFonts w:ascii="Arial MT" w:hAnsi="Arial MT"/>
                                <w:spacing w:val="-4"/>
                                <w:sz w:val="16"/>
                              </w:rPr>
                              <w:t xml:space="preserve"> </w:t>
                            </w:r>
                            <w:r>
                              <w:rPr>
                                <w:rFonts w:ascii="Arial MT" w:hAnsi="Arial MT"/>
                                <w:sz w:val="16"/>
                              </w:rPr>
                              <w:t>-</w:t>
                            </w:r>
                            <w:r>
                              <w:rPr>
                                <w:rFonts w:ascii="Arial MT" w:hAnsi="Arial MT"/>
                                <w:spacing w:val="-4"/>
                                <w:sz w:val="16"/>
                              </w:rPr>
                              <w:t xml:space="preserve"> </w:t>
                            </w:r>
                            <w:r>
                              <w:rPr>
                                <w:rFonts w:ascii="Arial MT" w:hAnsi="Arial MT"/>
                                <w:sz w:val="16"/>
                              </w:rPr>
                              <w:t>Financiamento</w:t>
                            </w:r>
                            <w:r>
                              <w:rPr>
                                <w:rFonts w:ascii="Arial MT" w:hAnsi="Arial MT"/>
                                <w:spacing w:val="-7"/>
                                <w:sz w:val="16"/>
                              </w:rPr>
                              <w:t xml:space="preserve"> </w:t>
                            </w:r>
                            <w:r>
                              <w:rPr>
                                <w:rFonts w:ascii="Arial MT" w:hAnsi="Arial MT"/>
                                <w:sz w:val="16"/>
                              </w:rPr>
                              <w:t>de</w:t>
                            </w:r>
                            <w:r>
                              <w:rPr>
                                <w:rFonts w:ascii="Arial MT" w:hAnsi="Arial MT"/>
                                <w:spacing w:val="-4"/>
                                <w:sz w:val="16"/>
                              </w:rPr>
                              <w:t xml:space="preserve"> </w:t>
                            </w:r>
                            <w:r>
                              <w:rPr>
                                <w:rFonts w:ascii="Arial MT" w:hAnsi="Arial MT"/>
                                <w:sz w:val="16"/>
                              </w:rPr>
                              <w:t>Arrendamento</w:t>
                            </w:r>
                            <w:r>
                              <w:rPr>
                                <w:rFonts w:ascii="Arial MT" w:hAnsi="Arial MT"/>
                                <w:spacing w:val="-7"/>
                                <w:sz w:val="16"/>
                              </w:rPr>
                              <w:t xml:space="preserve"> </w:t>
                            </w:r>
                            <w:r>
                              <w:rPr>
                                <w:rFonts w:ascii="Arial MT" w:hAnsi="Arial MT"/>
                                <w:sz w:val="16"/>
                              </w:rPr>
                              <w:t>Mercantil</w:t>
                            </w:r>
                            <w:r>
                              <w:rPr>
                                <w:rFonts w:ascii="Arial MT" w:hAnsi="Arial MT"/>
                                <w:spacing w:val="-5"/>
                                <w:sz w:val="16"/>
                              </w:rPr>
                              <w:t xml:space="preserve"> </w:t>
                            </w:r>
                            <w:r>
                              <w:rPr>
                                <w:rFonts w:ascii="Arial MT" w:hAnsi="Arial MT"/>
                                <w:sz w:val="16"/>
                              </w:rPr>
                              <w:t>Financeiro</w:t>
                            </w:r>
                            <w:r>
                              <w:rPr>
                                <w:rFonts w:ascii="Arial MT" w:hAnsi="Arial MT"/>
                                <w:spacing w:val="-1"/>
                                <w:sz w:val="16"/>
                              </w:rPr>
                              <w:t xml:space="preserve"> </w:t>
                            </w:r>
                            <w:r>
                              <w:rPr>
                                <w:rFonts w:ascii="Arial MT" w:hAnsi="Arial MT"/>
                                <w:sz w:val="16"/>
                              </w:rPr>
                              <w:t>-</w:t>
                            </w:r>
                            <w:r>
                              <w:rPr>
                                <w:rFonts w:ascii="Arial MT" w:hAnsi="Arial MT"/>
                                <w:spacing w:val="-6"/>
                                <w:sz w:val="16"/>
                              </w:rPr>
                              <w:t xml:space="preserve"> </w:t>
                            </w:r>
                            <w:r>
                              <w:rPr>
                                <w:rFonts w:ascii="Arial MT" w:hAnsi="Arial MT"/>
                                <w:sz w:val="16"/>
                              </w:rPr>
                              <w:t>IFRS</w:t>
                            </w:r>
                            <w:r>
                              <w:rPr>
                                <w:rFonts w:ascii="Arial MT" w:hAnsi="Arial MT"/>
                                <w:spacing w:val="-5"/>
                                <w:sz w:val="16"/>
                              </w:rPr>
                              <w:t xml:space="preserve"> </w:t>
                            </w:r>
                            <w:r>
                              <w:rPr>
                                <w:rFonts w:ascii="Arial MT" w:hAnsi="Arial MT"/>
                                <w:sz w:val="16"/>
                              </w:rPr>
                              <w:t>16 Recebimento de Parcela de Superávit - Previdência Privada</w:t>
                            </w:r>
                          </w:p>
                          <w:p w14:paraId="5228F812" w14:textId="77777777" w:rsidR="002C6574" w:rsidRDefault="00000000">
                            <w:pPr>
                              <w:pStyle w:val="TableParagraph"/>
                              <w:spacing w:line="184" w:lineRule="exact"/>
                              <w:ind w:left="427" w:right="837"/>
                              <w:jc w:val="left"/>
                              <w:rPr>
                                <w:rFonts w:ascii="Arial MT" w:hAnsi="Arial MT"/>
                                <w:sz w:val="16"/>
                              </w:rPr>
                            </w:pPr>
                            <w:r>
                              <w:rPr>
                                <w:rFonts w:ascii="Arial MT" w:hAnsi="Arial MT"/>
                                <w:sz w:val="16"/>
                              </w:rPr>
                              <w:t>Recebimento</w:t>
                            </w:r>
                            <w:r>
                              <w:rPr>
                                <w:rFonts w:ascii="Arial MT" w:hAnsi="Arial MT"/>
                                <w:spacing w:val="-5"/>
                                <w:sz w:val="16"/>
                              </w:rPr>
                              <w:t xml:space="preserve"> </w:t>
                            </w:r>
                            <w:r>
                              <w:rPr>
                                <w:rFonts w:ascii="Arial MT" w:hAnsi="Arial MT"/>
                                <w:sz w:val="16"/>
                              </w:rPr>
                              <w:t>de</w:t>
                            </w:r>
                            <w:r>
                              <w:rPr>
                                <w:rFonts w:ascii="Arial MT" w:hAnsi="Arial MT"/>
                                <w:spacing w:val="-8"/>
                                <w:sz w:val="16"/>
                              </w:rPr>
                              <w:t xml:space="preserve"> </w:t>
                            </w:r>
                            <w:r>
                              <w:rPr>
                                <w:rFonts w:ascii="Arial MT" w:hAnsi="Arial MT"/>
                                <w:sz w:val="16"/>
                              </w:rPr>
                              <w:t>Subvenções</w:t>
                            </w:r>
                            <w:r>
                              <w:rPr>
                                <w:rFonts w:ascii="Arial MT" w:hAnsi="Arial MT"/>
                                <w:spacing w:val="-6"/>
                                <w:sz w:val="16"/>
                              </w:rPr>
                              <w:t xml:space="preserve"> </w:t>
                            </w:r>
                            <w:r>
                              <w:rPr>
                                <w:rFonts w:ascii="Arial MT" w:hAnsi="Arial MT"/>
                                <w:sz w:val="16"/>
                              </w:rPr>
                              <w:t>Orçamentárias</w:t>
                            </w:r>
                            <w:r>
                              <w:rPr>
                                <w:rFonts w:ascii="Arial MT" w:hAnsi="Arial MT"/>
                                <w:spacing w:val="-4"/>
                                <w:sz w:val="16"/>
                              </w:rPr>
                              <w:t xml:space="preserve"> </w:t>
                            </w:r>
                            <w:r>
                              <w:rPr>
                                <w:rFonts w:ascii="Arial MT" w:hAnsi="Arial MT"/>
                                <w:sz w:val="16"/>
                              </w:rPr>
                              <w:t>-</w:t>
                            </w:r>
                            <w:r>
                              <w:rPr>
                                <w:rFonts w:ascii="Arial MT" w:hAnsi="Arial MT"/>
                                <w:spacing w:val="-5"/>
                                <w:sz w:val="16"/>
                              </w:rPr>
                              <w:t xml:space="preserve"> </w:t>
                            </w:r>
                            <w:r>
                              <w:rPr>
                                <w:rFonts w:ascii="Arial MT" w:hAnsi="Arial MT"/>
                                <w:sz w:val="16"/>
                              </w:rPr>
                              <w:t>Contrato</w:t>
                            </w:r>
                            <w:r>
                              <w:rPr>
                                <w:rFonts w:ascii="Arial MT" w:hAnsi="Arial MT"/>
                                <w:spacing w:val="-8"/>
                                <w:sz w:val="16"/>
                              </w:rPr>
                              <w:t xml:space="preserve"> </w:t>
                            </w:r>
                            <w:r>
                              <w:rPr>
                                <w:rFonts w:ascii="Arial MT" w:hAnsi="Arial MT"/>
                                <w:sz w:val="16"/>
                              </w:rPr>
                              <w:t>de</w:t>
                            </w:r>
                            <w:r>
                              <w:rPr>
                                <w:rFonts w:ascii="Arial MT" w:hAnsi="Arial MT"/>
                                <w:spacing w:val="-5"/>
                                <w:sz w:val="16"/>
                              </w:rPr>
                              <w:t xml:space="preserve"> </w:t>
                            </w:r>
                            <w:r>
                              <w:rPr>
                                <w:rFonts w:ascii="Arial MT" w:hAnsi="Arial MT"/>
                                <w:sz w:val="16"/>
                              </w:rPr>
                              <w:t>Gestão Recebimento de Adiantamento p/ Futuro Aumento de Capital</w:t>
                            </w:r>
                          </w:p>
                        </w:tc>
                        <w:tc>
                          <w:tcPr>
                            <w:tcW w:w="861" w:type="dxa"/>
                            <w:tcBorders>
                              <w:top w:val="single" w:sz="8" w:space="0" w:color="3616F6"/>
                              <w:bottom w:val="single" w:sz="8" w:space="0" w:color="3616F6"/>
                            </w:tcBorders>
                            <w:shd w:val="clear" w:color="auto" w:fill="75F6F8"/>
                          </w:tcPr>
                          <w:p w14:paraId="08C1BF0E" w14:textId="77777777" w:rsidR="002C6574" w:rsidRDefault="00000000">
                            <w:pPr>
                              <w:pStyle w:val="TableParagraph"/>
                              <w:spacing w:before="183"/>
                              <w:ind w:right="58"/>
                              <w:rPr>
                                <w:rFonts w:ascii="Arial MT"/>
                                <w:sz w:val="16"/>
                              </w:rPr>
                            </w:pPr>
                            <w:r>
                              <w:rPr>
                                <w:rFonts w:ascii="Arial MT"/>
                                <w:spacing w:val="-2"/>
                                <w:sz w:val="16"/>
                              </w:rPr>
                              <w:t>(116.237)</w:t>
                            </w:r>
                          </w:p>
                          <w:p w14:paraId="0BCB40E0" w14:textId="77777777" w:rsidR="002C6574" w:rsidRDefault="00000000">
                            <w:pPr>
                              <w:pStyle w:val="TableParagraph"/>
                              <w:spacing w:before="1"/>
                              <w:ind w:left="273" w:right="56" w:firstLine="456"/>
                              <w:rPr>
                                <w:rFonts w:ascii="Arial MT"/>
                                <w:sz w:val="16"/>
                              </w:rPr>
                            </w:pPr>
                            <w:r>
                              <w:rPr>
                                <w:rFonts w:ascii="Arial MT"/>
                                <w:spacing w:val="-10"/>
                                <w:sz w:val="16"/>
                              </w:rPr>
                              <w:t>-</w:t>
                            </w:r>
                            <w:r>
                              <w:rPr>
                                <w:rFonts w:ascii="Arial MT"/>
                                <w:spacing w:val="-2"/>
                                <w:sz w:val="16"/>
                              </w:rPr>
                              <w:t xml:space="preserve"> (1.598)</w:t>
                            </w:r>
                          </w:p>
                          <w:p w14:paraId="0F847B1D" w14:textId="77777777" w:rsidR="002C6574" w:rsidRDefault="00000000">
                            <w:pPr>
                              <w:pStyle w:val="TableParagraph"/>
                              <w:spacing w:line="183" w:lineRule="exact"/>
                              <w:ind w:right="58"/>
                              <w:rPr>
                                <w:rFonts w:ascii="Arial MT"/>
                                <w:sz w:val="16"/>
                              </w:rPr>
                            </w:pPr>
                            <w:r>
                              <w:rPr>
                                <w:rFonts w:ascii="Arial MT"/>
                                <w:spacing w:val="-2"/>
                                <w:sz w:val="16"/>
                              </w:rPr>
                              <w:t>25.731</w:t>
                            </w:r>
                          </w:p>
                          <w:p w14:paraId="6873C1AD" w14:textId="77777777" w:rsidR="002C6574" w:rsidRDefault="00000000">
                            <w:pPr>
                              <w:pStyle w:val="TableParagraph"/>
                              <w:spacing w:before="1"/>
                              <w:ind w:right="58"/>
                              <w:rPr>
                                <w:rFonts w:ascii="Arial MT"/>
                                <w:sz w:val="16"/>
                              </w:rPr>
                            </w:pPr>
                            <w:r>
                              <w:rPr>
                                <w:rFonts w:ascii="Arial MT"/>
                                <w:spacing w:val="-2"/>
                                <w:sz w:val="16"/>
                              </w:rPr>
                              <w:t>287.186</w:t>
                            </w:r>
                          </w:p>
                          <w:p w14:paraId="3BDA0841" w14:textId="77777777" w:rsidR="002C6574" w:rsidRDefault="00000000">
                            <w:pPr>
                              <w:pStyle w:val="TableParagraph"/>
                              <w:spacing w:before="1" w:line="163" w:lineRule="exact"/>
                              <w:ind w:right="59"/>
                              <w:rPr>
                                <w:rFonts w:ascii="Arial MT"/>
                                <w:sz w:val="16"/>
                              </w:rPr>
                            </w:pPr>
                            <w:r>
                              <w:rPr>
                                <w:rFonts w:ascii="Arial MT"/>
                                <w:spacing w:val="-5"/>
                                <w:sz w:val="16"/>
                              </w:rPr>
                              <w:t>(1)</w:t>
                            </w:r>
                          </w:p>
                        </w:tc>
                        <w:tc>
                          <w:tcPr>
                            <w:tcW w:w="861" w:type="dxa"/>
                            <w:tcBorders>
                              <w:top w:val="single" w:sz="8" w:space="0" w:color="3616F6"/>
                              <w:bottom w:val="single" w:sz="8" w:space="0" w:color="3616F6"/>
                            </w:tcBorders>
                          </w:tcPr>
                          <w:p w14:paraId="367B6980" w14:textId="77777777" w:rsidR="002C6574" w:rsidRDefault="00000000">
                            <w:pPr>
                              <w:pStyle w:val="TableParagraph"/>
                              <w:spacing w:before="183"/>
                              <w:ind w:right="58"/>
                              <w:rPr>
                                <w:rFonts w:ascii="Arial MT"/>
                                <w:sz w:val="16"/>
                              </w:rPr>
                            </w:pPr>
                            <w:r>
                              <w:rPr>
                                <w:rFonts w:ascii="Arial MT"/>
                                <w:spacing w:val="-2"/>
                                <w:sz w:val="16"/>
                              </w:rPr>
                              <w:t>(7.113)</w:t>
                            </w:r>
                          </w:p>
                          <w:p w14:paraId="378B1CB5" w14:textId="77777777" w:rsidR="002C6574" w:rsidRDefault="00000000">
                            <w:pPr>
                              <w:pStyle w:val="TableParagraph"/>
                              <w:spacing w:before="1"/>
                              <w:ind w:right="58"/>
                              <w:rPr>
                                <w:rFonts w:ascii="Arial MT"/>
                                <w:sz w:val="16"/>
                              </w:rPr>
                            </w:pPr>
                            <w:r>
                              <w:rPr>
                                <w:rFonts w:ascii="Arial MT"/>
                                <w:spacing w:val="-2"/>
                                <w:sz w:val="16"/>
                              </w:rPr>
                              <w:t>(11.413)</w:t>
                            </w:r>
                          </w:p>
                          <w:p w14:paraId="6ED910FC" w14:textId="77777777" w:rsidR="002C6574" w:rsidRDefault="00000000">
                            <w:pPr>
                              <w:pStyle w:val="TableParagraph"/>
                              <w:spacing w:before="1" w:line="183" w:lineRule="exact"/>
                              <w:ind w:right="58"/>
                              <w:rPr>
                                <w:rFonts w:ascii="Arial MT"/>
                                <w:sz w:val="16"/>
                              </w:rPr>
                            </w:pPr>
                            <w:r>
                              <w:rPr>
                                <w:rFonts w:ascii="Arial MT"/>
                                <w:spacing w:val="-2"/>
                                <w:sz w:val="16"/>
                              </w:rPr>
                              <w:t>(1.396)</w:t>
                            </w:r>
                          </w:p>
                          <w:p w14:paraId="186D8D75" w14:textId="77777777" w:rsidR="002C6574" w:rsidRDefault="00000000">
                            <w:pPr>
                              <w:pStyle w:val="TableParagraph"/>
                              <w:spacing w:line="183" w:lineRule="exact"/>
                              <w:ind w:right="58"/>
                              <w:rPr>
                                <w:rFonts w:ascii="Arial MT"/>
                                <w:sz w:val="16"/>
                              </w:rPr>
                            </w:pPr>
                            <w:r>
                              <w:rPr>
                                <w:rFonts w:ascii="Arial MT"/>
                                <w:spacing w:val="-2"/>
                                <w:sz w:val="16"/>
                              </w:rPr>
                              <w:t>5.355</w:t>
                            </w:r>
                          </w:p>
                          <w:p w14:paraId="3DD8895C" w14:textId="77777777" w:rsidR="002C6574" w:rsidRDefault="00000000">
                            <w:pPr>
                              <w:pStyle w:val="TableParagraph"/>
                              <w:spacing w:line="180" w:lineRule="atLeast"/>
                              <w:ind w:left="513" w:right="55" w:firstLine="216"/>
                              <w:rPr>
                                <w:rFonts w:ascii="Arial MT"/>
                                <w:sz w:val="16"/>
                              </w:rPr>
                            </w:pPr>
                            <w:r>
                              <w:rPr>
                                <w:rFonts w:ascii="Arial MT"/>
                                <w:spacing w:val="-10"/>
                                <w:sz w:val="16"/>
                              </w:rPr>
                              <w:t>-</w:t>
                            </w:r>
                            <w:r>
                              <w:rPr>
                                <w:rFonts w:ascii="Arial MT"/>
                                <w:sz w:val="16"/>
                              </w:rPr>
                              <w:t xml:space="preserve"> </w:t>
                            </w:r>
                            <w:r>
                              <w:rPr>
                                <w:rFonts w:ascii="Arial MT"/>
                                <w:spacing w:val="-5"/>
                                <w:sz w:val="16"/>
                              </w:rPr>
                              <w:t>531</w:t>
                            </w:r>
                          </w:p>
                        </w:tc>
                        <w:tc>
                          <w:tcPr>
                            <w:tcW w:w="773" w:type="dxa"/>
                            <w:tcBorders>
                              <w:top w:val="single" w:sz="8" w:space="0" w:color="3616F6"/>
                              <w:bottom w:val="single" w:sz="8" w:space="0" w:color="3616F6"/>
                              <w:right w:val="nil"/>
                            </w:tcBorders>
                          </w:tcPr>
                          <w:p w14:paraId="371A6FAE" w14:textId="77777777" w:rsidR="002C6574" w:rsidRDefault="00000000">
                            <w:pPr>
                              <w:pStyle w:val="TableParagraph"/>
                              <w:spacing w:before="183"/>
                              <w:ind w:right="67"/>
                              <w:rPr>
                                <w:rFonts w:ascii="Arial MT"/>
                                <w:sz w:val="16"/>
                              </w:rPr>
                            </w:pPr>
                            <w:r>
                              <w:rPr>
                                <w:rFonts w:ascii="Arial MT"/>
                                <w:spacing w:val="-2"/>
                                <w:sz w:val="16"/>
                              </w:rPr>
                              <w:t>(1.599)</w:t>
                            </w:r>
                          </w:p>
                          <w:p w14:paraId="0C3B3736" w14:textId="77777777" w:rsidR="002C6574" w:rsidRDefault="00000000">
                            <w:pPr>
                              <w:pStyle w:val="TableParagraph"/>
                              <w:spacing w:before="1"/>
                              <w:ind w:left="186" w:right="67" w:firstLine="453"/>
                              <w:rPr>
                                <w:rFonts w:ascii="Arial MT"/>
                                <w:sz w:val="16"/>
                              </w:rPr>
                            </w:pPr>
                            <w:r>
                              <w:rPr>
                                <w:rFonts w:ascii="Arial MT"/>
                                <w:spacing w:val="-10"/>
                                <w:sz w:val="16"/>
                              </w:rPr>
                              <w:t>-</w:t>
                            </w:r>
                            <w:r>
                              <w:rPr>
                                <w:rFonts w:ascii="Arial MT"/>
                                <w:spacing w:val="-2"/>
                                <w:sz w:val="16"/>
                              </w:rPr>
                              <w:t xml:space="preserve"> (1.494)</w:t>
                            </w:r>
                          </w:p>
                          <w:p w14:paraId="56C1D3A7" w14:textId="77777777" w:rsidR="002C6574" w:rsidRDefault="00000000">
                            <w:pPr>
                              <w:pStyle w:val="TableParagraph"/>
                              <w:spacing w:line="183" w:lineRule="exact"/>
                              <w:ind w:right="67"/>
                              <w:rPr>
                                <w:rFonts w:ascii="Arial MT"/>
                                <w:sz w:val="16"/>
                              </w:rPr>
                            </w:pPr>
                            <w:r>
                              <w:rPr>
                                <w:rFonts w:ascii="Arial MT"/>
                                <w:spacing w:val="-2"/>
                                <w:sz w:val="16"/>
                              </w:rPr>
                              <w:t>23.424</w:t>
                            </w:r>
                          </w:p>
                          <w:p w14:paraId="64E1A0FB" w14:textId="77777777" w:rsidR="002C6574" w:rsidRDefault="00000000">
                            <w:pPr>
                              <w:pStyle w:val="TableParagraph"/>
                              <w:spacing w:line="180" w:lineRule="atLeast"/>
                              <w:ind w:left="515" w:right="67" w:firstLine="124"/>
                              <w:rPr>
                                <w:rFonts w:ascii="Arial MT"/>
                                <w:sz w:val="16"/>
                              </w:rPr>
                            </w:pPr>
                            <w:r>
                              <w:rPr>
                                <w:rFonts w:ascii="Arial MT"/>
                                <w:spacing w:val="-10"/>
                                <w:sz w:val="16"/>
                              </w:rPr>
                              <w:t>-</w:t>
                            </w:r>
                            <w:r>
                              <w:rPr>
                                <w:rFonts w:ascii="Arial MT"/>
                                <w:sz w:val="16"/>
                              </w:rPr>
                              <w:t xml:space="preserve"> </w:t>
                            </w:r>
                            <w:r>
                              <w:rPr>
                                <w:rFonts w:ascii="Arial MT"/>
                                <w:spacing w:val="-5"/>
                                <w:sz w:val="16"/>
                              </w:rPr>
                              <w:t>67</w:t>
                            </w:r>
                          </w:p>
                        </w:tc>
                      </w:tr>
                      <w:tr w:rsidR="002C6574" w14:paraId="3A0C1875" w14:textId="77777777">
                        <w:trPr>
                          <w:trHeight w:val="183"/>
                        </w:trPr>
                        <w:tc>
                          <w:tcPr>
                            <w:tcW w:w="6126" w:type="dxa"/>
                            <w:tcBorders>
                              <w:top w:val="single" w:sz="8" w:space="0" w:color="3616F6"/>
                              <w:left w:val="nil"/>
                              <w:bottom w:val="single" w:sz="8" w:space="0" w:color="3616F6"/>
                            </w:tcBorders>
                            <w:shd w:val="clear" w:color="auto" w:fill="75F6F8"/>
                          </w:tcPr>
                          <w:p w14:paraId="25758EC6" w14:textId="77777777" w:rsidR="002C6574" w:rsidRDefault="00000000">
                            <w:pPr>
                              <w:pStyle w:val="TableParagraph"/>
                              <w:spacing w:line="163" w:lineRule="exact"/>
                              <w:ind w:left="69"/>
                              <w:jc w:val="left"/>
                              <w:rPr>
                                <w:rFonts w:ascii="Arial" w:hAnsi="Arial"/>
                                <w:b/>
                                <w:sz w:val="16"/>
                              </w:rPr>
                            </w:pPr>
                            <w:r>
                              <w:rPr>
                                <w:rFonts w:ascii="Arial" w:hAnsi="Arial"/>
                                <w:b/>
                                <w:sz w:val="16"/>
                              </w:rPr>
                              <w:t>Caixa</w:t>
                            </w:r>
                            <w:r>
                              <w:rPr>
                                <w:rFonts w:ascii="Arial" w:hAnsi="Arial"/>
                                <w:b/>
                                <w:spacing w:val="-5"/>
                                <w:sz w:val="16"/>
                              </w:rPr>
                              <w:t xml:space="preserve"> </w:t>
                            </w:r>
                            <w:r>
                              <w:rPr>
                                <w:rFonts w:ascii="Arial" w:hAnsi="Arial"/>
                                <w:b/>
                                <w:sz w:val="16"/>
                              </w:rPr>
                              <w:t>Líquido</w:t>
                            </w:r>
                            <w:r>
                              <w:rPr>
                                <w:rFonts w:ascii="Arial" w:hAnsi="Arial"/>
                                <w:b/>
                                <w:spacing w:val="-5"/>
                                <w:sz w:val="16"/>
                              </w:rPr>
                              <w:t xml:space="preserve"> </w:t>
                            </w:r>
                            <w:r>
                              <w:rPr>
                                <w:rFonts w:ascii="Arial" w:hAnsi="Arial"/>
                                <w:b/>
                                <w:sz w:val="16"/>
                              </w:rPr>
                              <w:t>Gerado</w:t>
                            </w:r>
                            <w:r>
                              <w:rPr>
                                <w:rFonts w:ascii="Arial" w:hAnsi="Arial"/>
                                <w:b/>
                                <w:spacing w:val="-5"/>
                                <w:sz w:val="16"/>
                              </w:rPr>
                              <w:t xml:space="preserve"> </w:t>
                            </w:r>
                            <w:r>
                              <w:rPr>
                                <w:rFonts w:ascii="Arial" w:hAnsi="Arial"/>
                                <w:b/>
                                <w:sz w:val="16"/>
                              </w:rPr>
                              <w:t>pelas</w:t>
                            </w:r>
                            <w:r>
                              <w:rPr>
                                <w:rFonts w:ascii="Arial" w:hAnsi="Arial"/>
                                <w:b/>
                                <w:spacing w:val="-5"/>
                                <w:sz w:val="16"/>
                              </w:rPr>
                              <w:t xml:space="preserve"> </w:t>
                            </w:r>
                            <w:r>
                              <w:rPr>
                                <w:rFonts w:ascii="Arial" w:hAnsi="Arial"/>
                                <w:b/>
                                <w:sz w:val="16"/>
                              </w:rPr>
                              <w:t>Atividades</w:t>
                            </w:r>
                            <w:r>
                              <w:rPr>
                                <w:rFonts w:ascii="Arial" w:hAnsi="Arial"/>
                                <w:b/>
                                <w:spacing w:val="-6"/>
                                <w:sz w:val="16"/>
                              </w:rPr>
                              <w:t xml:space="preserve"> </w:t>
                            </w:r>
                            <w:r>
                              <w:rPr>
                                <w:rFonts w:ascii="Arial" w:hAnsi="Arial"/>
                                <w:b/>
                                <w:sz w:val="16"/>
                              </w:rPr>
                              <w:t>de</w:t>
                            </w:r>
                            <w:r>
                              <w:rPr>
                                <w:rFonts w:ascii="Arial" w:hAnsi="Arial"/>
                                <w:b/>
                                <w:spacing w:val="-4"/>
                                <w:sz w:val="16"/>
                              </w:rPr>
                              <w:t xml:space="preserve"> </w:t>
                            </w:r>
                            <w:r>
                              <w:rPr>
                                <w:rFonts w:ascii="Arial" w:hAnsi="Arial"/>
                                <w:b/>
                                <w:spacing w:val="-2"/>
                                <w:sz w:val="16"/>
                              </w:rPr>
                              <w:t>Financiamento</w:t>
                            </w:r>
                          </w:p>
                        </w:tc>
                        <w:tc>
                          <w:tcPr>
                            <w:tcW w:w="861" w:type="dxa"/>
                            <w:tcBorders>
                              <w:top w:val="single" w:sz="8" w:space="0" w:color="3616F6"/>
                              <w:bottom w:val="single" w:sz="8" w:space="0" w:color="3616F6"/>
                            </w:tcBorders>
                            <w:shd w:val="clear" w:color="auto" w:fill="75F6F8"/>
                          </w:tcPr>
                          <w:p w14:paraId="29F2F615" w14:textId="77777777" w:rsidR="002C6574" w:rsidRDefault="00000000">
                            <w:pPr>
                              <w:pStyle w:val="TableParagraph"/>
                              <w:spacing w:line="163" w:lineRule="exact"/>
                              <w:ind w:left="147" w:right="7"/>
                              <w:jc w:val="center"/>
                              <w:rPr>
                                <w:rFonts w:ascii="Arial"/>
                                <w:b/>
                                <w:sz w:val="16"/>
                              </w:rPr>
                            </w:pPr>
                            <w:r>
                              <w:rPr>
                                <w:rFonts w:ascii="Arial"/>
                                <w:b/>
                                <w:spacing w:val="-2"/>
                                <w:sz w:val="16"/>
                              </w:rPr>
                              <w:t>195.081</w:t>
                            </w:r>
                          </w:p>
                        </w:tc>
                        <w:tc>
                          <w:tcPr>
                            <w:tcW w:w="861" w:type="dxa"/>
                            <w:tcBorders>
                              <w:top w:val="single" w:sz="8" w:space="0" w:color="3616F6"/>
                              <w:bottom w:val="single" w:sz="8" w:space="0" w:color="3616F6"/>
                            </w:tcBorders>
                          </w:tcPr>
                          <w:p w14:paraId="68D74749" w14:textId="77777777" w:rsidR="002C6574" w:rsidRDefault="00000000">
                            <w:pPr>
                              <w:pStyle w:val="TableParagraph"/>
                              <w:spacing w:line="163" w:lineRule="exact"/>
                              <w:ind w:left="147" w:right="22"/>
                              <w:jc w:val="center"/>
                              <w:rPr>
                                <w:rFonts w:ascii="Arial"/>
                                <w:b/>
                                <w:sz w:val="16"/>
                              </w:rPr>
                            </w:pPr>
                            <w:r>
                              <w:rPr>
                                <w:rFonts w:ascii="Arial"/>
                                <w:b/>
                                <w:spacing w:val="-2"/>
                                <w:sz w:val="16"/>
                              </w:rPr>
                              <w:t>(14.036)</w:t>
                            </w:r>
                          </w:p>
                        </w:tc>
                        <w:tc>
                          <w:tcPr>
                            <w:tcW w:w="773" w:type="dxa"/>
                            <w:tcBorders>
                              <w:top w:val="single" w:sz="8" w:space="0" w:color="3616F6"/>
                              <w:bottom w:val="single" w:sz="8" w:space="0" w:color="3616F6"/>
                              <w:right w:val="nil"/>
                            </w:tcBorders>
                          </w:tcPr>
                          <w:p w14:paraId="25D6BC8C" w14:textId="77777777" w:rsidR="002C6574" w:rsidRDefault="00000000">
                            <w:pPr>
                              <w:pStyle w:val="TableParagraph"/>
                              <w:spacing w:line="163" w:lineRule="exact"/>
                              <w:ind w:left="133"/>
                              <w:jc w:val="center"/>
                              <w:rPr>
                                <w:rFonts w:ascii="Arial"/>
                                <w:b/>
                                <w:sz w:val="16"/>
                              </w:rPr>
                            </w:pPr>
                            <w:r>
                              <w:rPr>
                                <w:rFonts w:ascii="Arial"/>
                                <w:b/>
                                <w:spacing w:val="-2"/>
                                <w:sz w:val="16"/>
                              </w:rPr>
                              <w:t>20.398</w:t>
                            </w:r>
                          </w:p>
                        </w:tc>
                      </w:tr>
                      <w:tr w:rsidR="002C6574" w14:paraId="019958E8" w14:textId="77777777">
                        <w:trPr>
                          <w:trHeight w:val="184"/>
                        </w:trPr>
                        <w:tc>
                          <w:tcPr>
                            <w:tcW w:w="6126" w:type="dxa"/>
                            <w:tcBorders>
                              <w:top w:val="single" w:sz="8" w:space="0" w:color="3616F6"/>
                              <w:left w:val="nil"/>
                              <w:bottom w:val="single" w:sz="8" w:space="0" w:color="3616F6"/>
                            </w:tcBorders>
                          </w:tcPr>
                          <w:p w14:paraId="7D1312EC" w14:textId="77777777" w:rsidR="002C6574" w:rsidRDefault="002C6574">
                            <w:pPr>
                              <w:pStyle w:val="TableParagraph"/>
                              <w:jc w:val="left"/>
                              <w:rPr>
                                <w:rFonts w:ascii="Times New Roman"/>
                                <w:sz w:val="12"/>
                              </w:rPr>
                            </w:pPr>
                          </w:p>
                        </w:tc>
                        <w:tc>
                          <w:tcPr>
                            <w:tcW w:w="861" w:type="dxa"/>
                            <w:tcBorders>
                              <w:top w:val="single" w:sz="8" w:space="0" w:color="3616F6"/>
                              <w:bottom w:val="single" w:sz="8" w:space="0" w:color="3616F6"/>
                            </w:tcBorders>
                            <w:shd w:val="clear" w:color="auto" w:fill="75F6F8"/>
                          </w:tcPr>
                          <w:p w14:paraId="5FC9E071" w14:textId="77777777" w:rsidR="002C6574" w:rsidRDefault="002C6574">
                            <w:pPr>
                              <w:pStyle w:val="TableParagraph"/>
                              <w:jc w:val="left"/>
                              <w:rPr>
                                <w:rFonts w:ascii="Times New Roman"/>
                                <w:sz w:val="12"/>
                              </w:rPr>
                            </w:pPr>
                          </w:p>
                        </w:tc>
                        <w:tc>
                          <w:tcPr>
                            <w:tcW w:w="861" w:type="dxa"/>
                            <w:tcBorders>
                              <w:top w:val="single" w:sz="8" w:space="0" w:color="3616F6"/>
                              <w:bottom w:val="single" w:sz="8" w:space="0" w:color="3616F6"/>
                            </w:tcBorders>
                          </w:tcPr>
                          <w:p w14:paraId="5EB440DE" w14:textId="77777777" w:rsidR="002C6574" w:rsidRDefault="002C6574">
                            <w:pPr>
                              <w:pStyle w:val="TableParagraph"/>
                              <w:jc w:val="left"/>
                              <w:rPr>
                                <w:rFonts w:ascii="Times New Roman"/>
                                <w:sz w:val="12"/>
                              </w:rPr>
                            </w:pPr>
                          </w:p>
                        </w:tc>
                        <w:tc>
                          <w:tcPr>
                            <w:tcW w:w="773" w:type="dxa"/>
                            <w:tcBorders>
                              <w:top w:val="single" w:sz="8" w:space="0" w:color="3616F6"/>
                              <w:bottom w:val="single" w:sz="8" w:space="0" w:color="3616F6"/>
                              <w:right w:val="nil"/>
                            </w:tcBorders>
                          </w:tcPr>
                          <w:p w14:paraId="44295B1E" w14:textId="77777777" w:rsidR="002C6574" w:rsidRDefault="002C6574">
                            <w:pPr>
                              <w:pStyle w:val="TableParagraph"/>
                              <w:jc w:val="left"/>
                              <w:rPr>
                                <w:rFonts w:ascii="Times New Roman"/>
                                <w:sz w:val="12"/>
                              </w:rPr>
                            </w:pPr>
                          </w:p>
                        </w:tc>
                      </w:tr>
                      <w:tr w:rsidR="002C6574" w14:paraId="4590288E" w14:textId="77777777">
                        <w:trPr>
                          <w:trHeight w:val="183"/>
                        </w:trPr>
                        <w:tc>
                          <w:tcPr>
                            <w:tcW w:w="6126" w:type="dxa"/>
                            <w:tcBorders>
                              <w:top w:val="single" w:sz="8" w:space="0" w:color="3616F6"/>
                              <w:left w:val="nil"/>
                              <w:bottom w:val="single" w:sz="8" w:space="0" w:color="3616F6"/>
                            </w:tcBorders>
                            <w:shd w:val="clear" w:color="auto" w:fill="75F6F8"/>
                          </w:tcPr>
                          <w:p w14:paraId="72F468F0" w14:textId="77777777" w:rsidR="002C6574" w:rsidRDefault="00000000">
                            <w:pPr>
                              <w:pStyle w:val="TableParagraph"/>
                              <w:spacing w:line="163" w:lineRule="exact"/>
                              <w:ind w:left="69"/>
                              <w:jc w:val="left"/>
                              <w:rPr>
                                <w:rFonts w:ascii="Arial" w:hAnsi="Arial"/>
                                <w:b/>
                                <w:sz w:val="16"/>
                              </w:rPr>
                            </w:pPr>
                            <w:r>
                              <w:rPr>
                                <w:rFonts w:ascii="Arial" w:hAnsi="Arial"/>
                                <w:b/>
                                <w:sz w:val="16"/>
                              </w:rPr>
                              <w:t>Variação</w:t>
                            </w:r>
                            <w:r>
                              <w:rPr>
                                <w:rFonts w:ascii="Arial" w:hAnsi="Arial"/>
                                <w:b/>
                                <w:spacing w:val="-5"/>
                                <w:sz w:val="16"/>
                              </w:rPr>
                              <w:t xml:space="preserve"> </w:t>
                            </w:r>
                            <w:r>
                              <w:rPr>
                                <w:rFonts w:ascii="Arial" w:hAnsi="Arial"/>
                                <w:b/>
                                <w:sz w:val="16"/>
                              </w:rPr>
                              <w:t>Líquida</w:t>
                            </w:r>
                            <w:r>
                              <w:rPr>
                                <w:rFonts w:ascii="Arial" w:hAnsi="Arial"/>
                                <w:b/>
                                <w:spacing w:val="-3"/>
                                <w:sz w:val="16"/>
                              </w:rPr>
                              <w:t xml:space="preserve"> </w:t>
                            </w:r>
                            <w:r>
                              <w:rPr>
                                <w:rFonts w:ascii="Arial" w:hAnsi="Arial"/>
                                <w:b/>
                                <w:sz w:val="16"/>
                              </w:rPr>
                              <w:t>de</w:t>
                            </w:r>
                            <w:r>
                              <w:rPr>
                                <w:rFonts w:ascii="Arial" w:hAnsi="Arial"/>
                                <w:b/>
                                <w:spacing w:val="-6"/>
                                <w:sz w:val="16"/>
                              </w:rPr>
                              <w:t xml:space="preserve"> </w:t>
                            </w:r>
                            <w:r>
                              <w:rPr>
                                <w:rFonts w:ascii="Arial" w:hAnsi="Arial"/>
                                <w:b/>
                                <w:sz w:val="16"/>
                              </w:rPr>
                              <w:t>Caixa</w:t>
                            </w:r>
                            <w:r>
                              <w:rPr>
                                <w:rFonts w:ascii="Arial" w:hAnsi="Arial"/>
                                <w:b/>
                                <w:spacing w:val="-3"/>
                                <w:sz w:val="16"/>
                              </w:rPr>
                              <w:t xml:space="preserve"> </w:t>
                            </w:r>
                            <w:r>
                              <w:rPr>
                                <w:rFonts w:ascii="Arial" w:hAnsi="Arial"/>
                                <w:b/>
                                <w:sz w:val="16"/>
                              </w:rPr>
                              <w:t>e</w:t>
                            </w:r>
                            <w:r>
                              <w:rPr>
                                <w:rFonts w:ascii="Arial" w:hAnsi="Arial"/>
                                <w:b/>
                                <w:spacing w:val="-6"/>
                                <w:sz w:val="16"/>
                              </w:rPr>
                              <w:t xml:space="preserve"> </w:t>
                            </w:r>
                            <w:r>
                              <w:rPr>
                                <w:rFonts w:ascii="Arial" w:hAnsi="Arial"/>
                                <w:b/>
                                <w:sz w:val="16"/>
                              </w:rPr>
                              <w:t>Equivalentes</w:t>
                            </w:r>
                            <w:r>
                              <w:rPr>
                                <w:rFonts w:ascii="Arial" w:hAnsi="Arial"/>
                                <w:b/>
                                <w:spacing w:val="-5"/>
                                <w:sz w:val="16"/>
                              </w:rPr>
                              <w:t xml:space="preserve"> </w:t>
                            </w:r>
                            <w:r>
                              <w:rPr>
                                <w:rFonts w:ascii="Arial" w:hAnsi="Arial"/>
                                <w:b/>
                                <w:sz w:val="16"/>
                              </w:rPr>
                              <w:t>de</w:t>
                            </w:r>
                            <w:r>
                              <w:rPr>
                                <w:rFonts w:ascii="Arial" w:hAnsi="Arial"/>
                                <w:b/>
                                <w:spacing w:val="-2"/>
                                <w:sz w:val="16"/>
                              </w:rPr>
                              <w:t xml:space="preserve"> Caixa</w:t>
                            </w:r>
                          </w:p>
                        </w:tc>
                        <w:tc>
                          <w:tcPr>
                            <w:tcW w:w="861" w:type="dxa"/>
                            <w:tcBorders>
                              <w:top w:val="single" w:sz="8" w:space="0" w:color="3616F6"/>
                              <w:bottom w:val="single" w:sz="8" w:space="0" w:color="3616F6"/>
                            </w:tcBorders>
                            <w:shd w:val="clear" w:color="auto" w:fill="75F6F8"/>
                          </w:tcPr>
                          <w:p w14:paraId="256AA2EC" w14:textId="77777777" w:rsidR="002C6574" w:rsidRDefault="00000000">
                            <w:pPr>
                              <w:pStyle w:val="TableParagraph"/>
                              <w:spacing w:line="163" w:lineRule="exact"/>
                              <w:ind w:left="147" w:right="7"/>
                              <w:jc w:val="center"/>
                              <w:rPr>
                                <w:rFonts w:ascii="Arial"/>
                                <w:b/>
                                <w:sz w:val="16"/>
                              </w:rPr>
                            </w:pPr>
                            <w:r>
                              <w:rPr>
                                <w:rFonts w:ascii="Arial"/>
                                <w:b/>
                                <w:spacing w:val="-2"/>
                                <w:sz w:val="16"/>
                              </w:rPr>
                              <w:t>129.339</w:t>
                            </w:r>
                          </w:p>
                        </w:tc>
                        <w:tc>
                          <w:tcPr>
                            <w:tcW w:w="861" w:type="dxa"/>
                            <w:tcBorders>
                              <w:top w:val="single" w:sz="8" w:space="0" w:color="3616F6"/>
                              <w:bottom w:val="single" w:sz="8" w:space="0" w:color="3616F6"/>
                            </w:tcBorders>
                          </w:tcPr>
                          <w:p w14:paraId="06F8EDC3" w14:textId="77777777" w:rsidR="002C6574" w:rsidRDefault="00000000">
                            <w:pPr>
                              <w:pStyle w:val="TableParagraph"/>
                              <w:spacing w:line="163" w:lineRule="exact"/>
                              <w:ind w:left="147" w:right="22"/>
                              <w:jc w:val="center"/>
                              <w:rPr>
                                <w:rFonts w:ascii="Arial"/>
                                <w:b/>
                                <w:sz w:val="16"/>
                              </w:rPr>
                            </w:pPr>
                            <w:r>
                              <w:rPr>
                                <w:rFonts w:ascii="Arial"/>
                                <w:b/>
                                <w:spacing w:val="-2"/>
                                <w:sz w:val="16"/>
                              </w:rPr>
                              <w:t>(88.386)</w:t>
                            </w:r>
                          </w:p>
                        </w:tc>
                        <w:tc>
                          <w:tcPr>
                            <w:tcW w:w="773" w:type="dxa"/>
                            <w:tcBorders>
                              <w:top w:val="single" w:sz="8" w:space="0" w:color="3616F6"/>
                              <w:bottom w:val="single" w:sz="8" w:space="0" w:color="3616F6"/>
                              <w:right w:val="nil"/>
                            </w:tcBorders>
                          </w:tcPr>
                          <w:p w14:paraId="16C603E5" w14:textId="77777777" w:rsidR="002C6574" w:rsidRDefault="00000000">
                            <w:pPr>
                              <w:pStyle w:val="TableParagraph"/>
                              <w:spacing w:line="163" w:lineRule="exact"/>
                              <w:ind w:left="133"/>
                              <w:jc w:val="center"/>
                              <w:rPr>
                                <w:rFonts w:ascii="Arial"/>
                                <w:b/>
                                <w:sz w:val="16"/>
                              </w:rPr>
                            </w:pPr>
                            <w:r>
                              <w:rPr>
                                <w:rFonts w:ascii="Arial"/>
                                <w:b/>
                                <w:spacing w:val="-2"/>
                                <w:sz w:val="16"/>
                              </w:rPr>
                              <w:t>13.432</w:t>
                            </w:r>
                          </w:p>
                        </w:tc>
                      </w:tr>
                      <w:tr w:rsidR="002C6574" w14:paraId="6331C7A9" w14:textId="77777777">
                        <w:trPr>
                          <w:trHeight w:val="736"/>
                        </w:trPr>
                        <w:tc>
                          <w:tcPr>
                            <w:tcW w:w="6126" w:type="dxa"/>
                            <w:tcBorders>
                              <w:top w:val="single" w:sz="8" w:space="0" w:color="3616F6"/>
                              <w:left w:val="nil"/>
                              <w:bottom w:val="single" w:sz="8" w:space="0" w:color="3616F6"/>
                            </w:tcBorders>
                          </w:tcPr>
                          <w:p w14:paraId="4670AA8C" w14:textId="77777777" w:rsidR="002C6574" w:rsidRDefault="00000000">
                            <w:pPr>
                              <w:pStyle w:val="TableParagraph"/>
                              <w:spacing w:before="183"/>
                              <w:ind w:left="69"/>
                              <w:jc w:val="left"/>
                              <w:rPr>
                                <w:rFonts w:ascii="Arial" w:hAnsi="Arial"/>
                                <w:b/>
                                <w:sz w:val="16"/>
                              </w:rPr>
                            </w:pPr>
                            <w:r>
                              <w:rPr>
                                <w:rFonts w:ascii="Arial" w:hAnsi="Arial"/>
                                <w:b/>
                                <w:sz w:val="16"/>
                              </w:rPr>
                              <w:t>Demonstração</w:t>
                            </w:r>
                            <w:r>
                              <w:rPr>
                                <w:rFonts w:ascii="Arial" w:hAnsi="Arial"/>
                                <w:b/>
                                <w:spacing w:val="-6"/>
                                <w:sz w:val="16"/>
                              </w:rPr>
                              <w:t xml:space="preserve"> </w:t>
                            </w:r>
                            <w:r>
                              <w:rPr>
                                <w:rFonts w:ascii="Arial" w:hAnsi="Arial"/>
                                <w:b/>
                                <w:sz w:val="16"/>
                              </w:rPr>
                              <w:t>da</w:t>
                            </w:r>
                            <w:r>
                              <w:rPr>
                                <w:rFonts w:ascii="Arial" w:hAnsi="Arial"/>
                                <w:b/>
                                <w:spacing w:val="-5"/>
                                <w:sz w:val="16"/>
                              </w:rPr>
                              <w:t xml:space="preserve"> </w:t>
                            </w:r>
                            <w:r>
                              <w:rPr>
                                <w:rFonts w:ascii="Arial" w:hAnsi="Arial"/>
                                <w:b/>
                                <w:sz w:val="16"/>
                              </w:rPr>
                              <w:t>Variação</w:t>
                            </w:r>
                            <w:r>
                              <w:rPr>
                                <w:rFonts w:ascii="Arial" w:hAnsi="Arial"/>
                                <w:b/>
                                <w:spacing w:val="-6"/>
                                <w:sz w:val="16"/>
                              </w:rPr>
                              <w:t xml:space="preserve"> </w:t>
                            </w:r>
                            <w:r>
                              <w:rPr>
                                <w:rFonts w:ascii="Arial" w:hAnsi="Arial"/>
                                <w:b/>
                                <w:sz w:val="16"/>
                              </w:rPr>
                              <w:t>de</w:t>
                            </w:r>
                            <w:r>
                              <w:rPr>
                                <w:rFonts w:ascii="Arial" w:hAnsi="Arial"/>
                                <w:b/>
                                <w:spacing w:val="-3"/>
                                <w:sz w:val="16"/>
                              </w:rPr>
                              <w:t xml:space="preserve"> </w:t>
                            </w:r>
                            <w:r>
                              <w:rPr>
                                <w:rFonts w:ascii="Arial" w:hAnsi="Arial"/>
                                <w:b/>
                                <w:sz w:val="16"/>
                              </w:rPr>
                              <w:t>Caixa</w:t>
                            </w:r>
                            <w:r>
                              <w:rPr>
                                <w:rFonts w:ascii="Arial" w:hAnsi="Arial"/>
                                <w:b/>
                                <w:spacing w:val="-4"/>
                                <w:sz w:val="16"/>
                              </w:rPr>
                              <w:t xml:space="preserve"> </w:t>
                            </w:r>
                            <w:r>
                              <w:rPr>
                                <w:rFonts w:ascii="Arial" w:hAnsi="Arial"/>
                                <w:b/>
                                <w:sz w:val="16"/>
                              </w:rPr>
                              <w:t>e</w:t>
                            </w:r>
                            <w:r>
                              <w:rPr>
                                <w:rFonts w:ascii="Arial" w:hAnsi="Arial"/>
                                <w:b/>
                                <w:spacing w:val="-5"/>
                                <w:sz w:val="16"/>
                              </w:rPr>
                              <w:t xml:space="preserve"> </w:t>
                            </w:r>
                            <w:r>
                              <w:rPr>
                                <w:rFonts w:ascii="Arial" w:hAnsi="Arial"/>
                                <w:b/>
                                <w:sz w:val="16"/>
                              </w:rPr>
                              <w:t>Equivalentes</w:t>
                            </w:r>
                            <w:r>
                              <w:rPr>
                                <w:rFonts w:ascii="Arial" w:hAnsi="Arial"/>
                                <w:b/>
                                <w:spacing w:val="-6"/>
                                <w:sz w:val="16"/>
                              </w:rPr>
                              <w:t xml:space="preserve"> </w:t>
                            </w:r>
                            <w:r>
                              <w:rPr>
                                <w:rFonts w:ascii="Arial" w:hAnsi="Arial"/>
                                <w:b/>
                                <w:sz w:val="16"/>
                              </w:rPr>
                              <w:t>de</w:t>
                            </w:r>
                            <w:r>
                              <w:rPr>
                                <w:rFonts w:ascii="Arial" w:hAnsi="Arial"/>
                                <w:b/>
                                <w:spacing w:val="-3"/>
                                <w:sz w:val="16"/>
                              </w:rPr>
                              <w:t xml:space="preserve"> </w:t>
                            </w:r>
                            <w:r>
                              <w:rPr>
                                <w:rFonts w:ascii="Arial" w:hAnsi="Arial"/>
                                <w:b/>
                                <w:spacing w:val="-2"/>
                                <w:sz w:val="16"/>
                              </w:rPr>
                              <w:t>Caixa</w:t>
                            </w:r>
                          </w:p>
                          <w:p w14:paraId="6B4BAA54" w14:textId="77777777" w:rsidR="002C6574" w:rsidRDefault="00000000">
                            <w:pPr>
                              <w:pStyle w:val="TableParagraph"/>
                              <w:spacing w:line="180" w:lineRule="atLeast"/>
                              <w:ind w:left="427" w:right="1689"/>
                              <w:jc w:val="left"/>
                              <w:rPr>
                                <w:rFonts w:ascii="Arial MT" w:hAnsi="Arial MT"/>
                                <w:sz w:val="16"/>
                              </w:rPr>
                            </w:pPr>
                            <w:r>
                              <w:rPr>
                                <w:rFonts w:ascii="Arial MT" w:hAnsi="Arial MT"/>
                                <w:sz w:val="16"/>
                              </w:rPr>
                              <w:t>Caixa</w:t>
                            </w:r>
                            <w:r>
                              <w:rPr>
                                <w:rFonts w:ascii="Arial MT" w:hAnsi="Arial MT"/>
                                <w:spacing w:val="-3"/>
                                <w:sz w:val="16"/>
                              </w:rPr>
                              <w:t xml:space="preserve"> </w:t>
                            </w:r>
                            <w:r>
                              <w:rPr>
                                <w:rFonts w:ascii="Arial MT" w:hAnsi="Arial MT"/>
                                <w:sz w:val="16"/>
                              </w:rPr>
                              <w:t>e</w:t>
                            </w:r>
                            <w:r>
                              <w:rPr>
                                <w:rFonts w:ascii="Arial MT" w:hAnsi="Arial MT"/>
                                <w:spacing w:val="-2"/>
                                <w:sz w:val="16"/>
                              </w:rPr>
                              <w:t xml:space="preserve"> </w:t>
                            </w:r>
                            <w:r>
                              <w:rPr>
                                <w:rFonts w:ascii="Arial MT" w:hAnsi="Arial MT"/>
                                <w:sz w:val="16"/>
                              </w:rPr>
                              <w:t>Equivalentes</w:t>
                            </w:r>
                            <w:r>
                              <w:rPr>
                                <w:rFonts w:ascii="Arial MT" w:hAnsi="Arial MT"/>
                                <w:spacing w:val="-1"/>
                                <w:sz w:val="16"/>
                              </w:rPr>
                              <w:t xml:space="preserve"> </w:t>
                            </w:r>
                            <w:r>
                              <w:rPr>
                                <w:rFonts w:ascii="Arial MT" w:hAnsi="Arial MT"/>
                                <w:sz w:val="16"/>
                              </w:rPr>
                              <w:t>de Caixa no Final</w:t>
                            </w:r>
                            <w:r>
                              <w:rPr>
                                <w:rFonts w:ascii="Arial MT" w:hAnsi="Arial MT"/>
                                <w:spacing w:val="-2"/>
                                <w:sz w:val="16"/>
                              </w:rPr>
                              <w:t xml:space="preserve"> </w:t>
                            </w:r>
                            <w:r>
                              <w:rPr>
                                <w:rFonts w:ascii="Arial MT" w:hAnsi="Arial MT"/>
                                <w:sz w:val="16"/>
                              </w:rPr>
                              <w:t>do</w:t>
                            </w:r>
                            <w:r>
                              <w:rPr>
                                <w:rFonts w:ascii="Arial MT" w:hAnsi="Arial MT"/>
                                <w:spacing w:val="-2"/>
                                <w:sz w:val="16"/>
                              </w:rPr>
                              <w:t xml:space="preserve"> </w:t>
                            </w:r>
                            <w:r>
                              <w:rPr>
                                <w:rFonts w:ascii="Arial MT" w:hAnsi="Arial MT"/>
                                <w:sz w:val="16"/>
                              </w:rPr>
                              <w:t>Período Caixa</w:t>
                            </w:r>
                            <w:r>
                              <w:rPr>
                                <w:rFonts w:ascii="Arial MT" w:hAnsi="Arial MT"/>
                                <w:spacing w:val="-6"/>
                                <w:sz w:val="16"/>
                              </w:rPr>
                              <w:t xml:space="preserve"> </w:t>
                            </w:r>
                            <w:r>
                              <w:rPr>
                                <w:rFonts w:ascii="Arial MT" w:hAnsi="Arial MT"/>
                                <w:sz w:val="16"/>
                              </w:rPr>
                              <w:t>e</w:t>
                            </w:r>
                            <w:r>
                              <w:rPr>
                                <w:rFonts w:ascii="Arial MT" w:hAnsi="Arial MT"/>
                                <w:spacing w:val="-6"/>
                                <w:sz w:val="16"/>
                              </w:rPr>
                              <w:t xml:space="preserve"> </w:t>
                            </w:r>
                            <w:r>
                              <w:rPr>
                                <w:rFonts w:ascii="Arial MT" w:hAnsi="Arial MT"/>
                                <w:sz w:val="16"/>
                              </w:rPr>
                              <w:t>Equivalentes</w:t>
                            </w:r>
                            <w:r>
                              <w:rPr>
                                <w:rFonts w:ascii="Arial MT" w:hAnsi="Arial MT"/>
                                <w:spacing w:val="-4"/>
                                <w:sz w:val="16"/>
                              </w:rPr>
                              <w:t xml:space="preserve"> </w:t>
                            </w:r>
                            <w:r>
                              <w:rPr>
                                <w:rFonts w:ascii="Arial MT" w:hAnsi="Arial MT"/>
                                <w:sz w:val="16"/>
                              </w:rPr>
                              <w:t>de</w:t>
                            </w:r>
                            <w:r>
                              <w:rPr>
                                <w:rFonts w:ascii="Arial MT" w:hAnsi="Arial MT"/>
                                <w:spacing w:val="-3"/>
                                <w:sz w:val="16"/>
                              </w:rPr>
                              <w:t xml:space="preserve"> </w:t>
                            </w:r>
                            <w:r>
                              <w:rPr>
                                <w:rFonts w:ascii="Arial MT" w:hAnsi="Arial MT"/>
                                <w:sz w:val="16"/>
                              </w:rPr>
                              <w:t>Caixa</w:t>
                            </w:r>
                            <w:r>
                              <w:rPr>
                                <w:rFonts w:ascii="Arial MT" w:hAnsi="Arial MT"/>
                                <w:spacing w:val="-3"/>
                                <w:sz w:val="16"/>
                              </w:rPr>
                              <w:t xml:space="preserve"> </w:t>
                            </w:r>
                            <w:r>
                              <w:rPr>
                                <w:rFonts w:ascii="Arial MT" w:hAnsi="Arial MT"/>
                                <w:sz w:val="16"/>
                              </w:rPr>
                              <w:t>no</w:t>
                            </w:r>
                            <w:r>
                              <w:rPr>
                                <w:rFonts w:ascii="Arial MT" w:hAnsi="Arial MT"/>
                                <w:spacing w:val="-3"/>
                                <w:sz w:val="16"/>
                              </w:rPr>
                              <w:t xml:space="preserve"> </w:t>
                            </w:r>
                            <w:r>
                              <w:rPr>
                                <w:rFonts w:ascii="Arial MT" w:hAnsi="Arial MT"/>
                                <w:sz w:val="16"/>
                              </w:rPr>
                              <w:t>Início</w:t>
                            </w:r>
                            <w:r>
                              <w:rPr>
                                <w:rFonts w:ascii="Arial MT" w:hAnsi="Arial MT"/>
                                <w:spacing w:val="-5"/>
                                <w:sz w:val="16"/>
                              </w:rPr>
                              <w:t xml:space="preserve"> </w:t>
                            </w:r>
                            <w:r>
                              <w:rPr>
                                <w:rFonts w:ascii="Arial MT" w:hAnsi="Arial MT"/>
                                <w:sz w:val="16"/>
                              </w:rPr>
                              <w:t>do</w:t>
                            </w:r>
                            <w:r>
                              <w:rPr>
                                <w:rFonts w:ascii="Arial MT" w:hAnsi="Arial MT"/>
                                <w:spacing w:val="-5"/>
                                <w:sz w:val="16"/>
                              </w:rPr>
                              <w:t xml:space="preserve"> </w:t>
                            </w:r>
                            <w:r>
                              <w:rPr>
                                <w:rFonts w:ascii="Arial MT" w:hAnsi="Arial MT"/>
                                <w:spacing w:val="-2"/>
                                <w:sz w:val="16"/>
                              </w:rPr>
                              <w:t>Período</w:t>
                            </w:r>
                          </w:p>
                        </w:tc>
                        <w:tc>
                          <w:tcPr>
                            <w:tcW w:w="861" w:type="dxa"/>
                            <w:tcBorders>
                              <w:top w:val="single" w:sz="8" w:space="0" w:color="3616F6"/>
                              <w:bottom w:val="single" w:sz="8" w:space="0" w:color="3616F6"/>
                            </w:tcBorders>
                            <w:shd w:val="clear" w:color="auto" w:fill="75F6F8"/>
                          </w:tcPr>
                          <w:p w14:paraId="50D240D1" w14:textId="77777777" w:rsidR="002C6574" w:rsidRDefault="002C6574">
                            <w:pPr>
                              <w:pStyle w:val="TableParagraph"/>
                              <w:spacing w:before="183"/>
                              <w:jc w:val="left"/>
                              <w:rPr>
                                <w:rFonts w:ascii="Arial"/>
                                <w:b/>
                                <w:sz w:val="16"/>
                              </w:rPr>
                            </w:pPr>
                          </w:p>
                          <w:p w14:paraId="2D0D65C6" w14:textId="77777777" w:rsidR="002C6574" w:rsidRDefault="00000000">
                            <w:pPr>
                              <w:pStyle w:val="TableParagraph"/>
                              <w:spacing w:before="1"/>
                              <w:ind w:left="201"/>
                              <w:jc w:val="left"/>
                              <w:rPr>
                                <w:rFonts w:ascii="Arial MT"/>
                                <w:sz w:val="16"/>
                              </w:rPr>
                            </w:pPr>
                            <w:r>
                              <w:rPr>
                                <w:rFonts w:ascii="Arial MT"/>
                                <w:spacing w:val="-2"/>
                                <w:sz w:val="16"/>
                              </w:rPr>
                              <w:t>698.514</w:t>
                            </w:r>
                          </w:p>
                          <w:p w14:paraId="76061A38" w14:textId="77777777" w:rsidR="002C6574" w:rsidRDefault="00000000">
                            <w:pPr>
                              <w:pStyle w:val="TableParagraph"/>
                              <w:spacing w:line="163" w:lineRule="exact"/>
                              <w:ind w:left="201"/>
                              <w:jc w:val="left"/>
                              <w:rPr>
                                <w:rFonts w:ascii="Arial MT"/>
                                <w:sz w:val="16"/>
                              </w:rPr>
                            </w:pPr>
                            <w:r>
                              <w:rPr>
                                <w:rFonts w:ascii="Arial MT"/>
                                <w:spacing w:val="-2"/>
                                <w:sz w:val="16"/>
                              </w:rPr>
                              <w:t>569.175</w:t>
                            </w:r>
                          </w:p>
                        </w:tc>
                        <w:tc>
                          <w:tcPr>
                            <w:tcW w:w="861" w:type="dxa"/>
                            <w:tcBorders>
                              <w:top w:val="single" w:sz="8" w:space="0" w:color="3616F6"/>
                              <w:bottom w:val="single" w:sz="8" w:space="0" w:color="3616F6"/>
                            </w:tcBorders>
                          </w:tcPr>
                          <w:p w14:paraId="6328C682" w14:textId="77777777" w:rsidR="002C6574" w:rsidRDefault="002C6574">
                            <w:pPr>
                              <w:pStyle w:val="TableParagraph"/>
                              <w:spacing w:before="183"/>
                              <w:jc w:val="left"/>
                              <w:rPr>
                                <w:rFonts w:ascii="Arial"/>
                                <w:b/>
                                <w:sz w:val="16"/>
                              </w:rPr>
                            </w:pPr>
                          </w:p>
                          <w:p w14:paraId="2E546649" w14:textId="77777777" w:rsidR="002C6574" w:rsidRDefault="00000000">
                            <w:pPr>
                              <w:pStyle w:val="TableParagraph"/>
                              <w:spacing w:before="1"/>
                              <w:ind w:left="201"/>
                              <w:jc w:val="left"/>
                              <w:rPr>
                                <w:rFonts w:ascii="Arial MT"/>
                                <w:sz w:val="16"/>
                              </w:rPr>
                            </w:pPr>
                            <w:r>
                              <w:rPr>
                                <w:rFonts w:ascii="Arial MT"/>
                                <w:spacing w:val="-2"/>
                                <w:sz w:val="16"/>
                              </w:rPr>
                              <w:t>425.387</w:t>
                            </w:r>
                          </w:p>
                          <w:p w14:paraId="76E4B810" w14:textId="77777777" w:rsidR="002C6574" w:rsidRDefault="00000000">
                            <w:pPr>
                              <w:pStyle w:val="TableParagraph"/>
                              <w:spacing w:line="163" w:lineRule="exact"/>
                              <w:ind w:left="201"/>
                              <w:jc w:val="left"/>
                              <w:rPr>
                                <w:rFonts w:ascii="Arial MT"/>
                                <w:sz w:val="16"/>
                              </w:rPr>
                            </w:pPr>
                            <w:r>
                              <w:rPr>
                                <w:rFonts w:ascii="Arial MT"/>
                                <w:spacing w:val="-2"/>
                                <w:sz w:val="16"/>
                              </w:rPr>
                              <w:t>513.773</w:t>
                            </w:r>
                          </w:p>
                        </w:tc>
                        <w:tc>
                          <w:tcPr>
                            <w:tcW w:w="773" w:type="dxa"/>
                            <w:tcBorders>
                              <w:top w:val="single" w:sz="8" w:space="0" w:color="3616F6"/>
                              <w:bottom w:val="single" w:sz="8" w:space="0" w:color="3616F6"/>
                              <w:right w:val="nil"/>
                            </w:tcBorders>
                          </w:tcPr>
                          <w:p w14:paraId="3F762AD5" w14:textId="77777777" w:rsidR="002C6574" w:rsidRDefault="002C6574">
                            <w:pPr>
                              <w:pStyle w:val="TableParagraph"/>
                              <w:spacing w:before="183"/>
                              <w:jc w:val="left"/>
                              <w:rPr>
                                <w:rFonts w:ascii="Arial"/>
                                <w:b/>
                                <w:sz w:val="16"/>
                              </w:rPr>
                            </w:pPr>
                          </w:p>
                          <w:p w14:paraId="3356124F" w14:textId="77777777" w:rsidR="002C6574" w:rsidRDefault="00000000">
                            <w:pPr>
                              <w:pStyle w:val="TableParagraph"/>
                              <w:spacing w:before="1"/>
                              <w:ind w:left="114"/>
                              <w:jc w:val="left"/>
                              <w:rPr>
                                <w:rFonts w:ascii="Arial MT"/>
                                <w:sz w:val="16"/>
                              </w:rPr>
                            </w:pPr>
                            <w:r>
                              <w:rPr>
                                <w:rFonts w:ascii="Arial MT"/>
                                <w:spacing w:val="-2"/>
                                <w:sz w:val="16"/>
                              </w:rPr>
                              <w:t>569.175</w:t>
                            </w:r>
                          </w:p>
                          <w:p w14:paraId="08092DE1" w14:textId="77777777" w:rsidR="002C6574" w:rsidRDefault="00000000">
                            <w:pPr>
                              <w:pStyle w:val="TableParagraph"/>
                              <w:spacing w:line="163" w:lineRule="exact"/>
                              <w:ind w:left="114"/>
                              <w:jc w:val="left"/>
                              <w:rPr>
                                <w:rFonts w:ascii="Arial MT"/>
                                <w:sz w:val="16"/>
                              </w:rPr>
                            </w:pPr>
                            <w:r>
                              <w:rPr>
                                <w:rFonts w:ascii="Arial MT"/>
                                <w:spacing w:val="-2"/>
                                <w:sz w:val="16"/>
                              </w:rPr>
                              <w:t>555.743</w:t>
                            </w:r>
                          </w:p>
                        </w:tc>
                      </w:tr>
                      <w:tr w:rsidR="002C6574" w14:paraId="1549059F" w14:textId="77777777">
                        <w:trPr>
                          <w:trHeight w:val="183"/>
                        </w:trPr>
                        <w:tc>
                          <w:tcPr>
                            <w:tcW w:w="6126" w:type="dxa"/>
                            <w:tcBorders>
                              <w:top w:val="single" w:sz="8" w:space="0" w:color="3616F6"/>
                              <w:left w:val="nil"/>
                              <w:bottom w:val="single" w:sz="8" w:space="0" w:color="3616F6"/>
                            </w:tcBorders>
                            <w:shd w:val="clear" w:color="auto" w:fill="75F6F8"/>
                          </w:tcPr>
                          <w:p w14:paraId="07C57DB5" w14:textId="77777777" w:rsidR="002C6574" w:rsidRDefault="00000000">
                            <w:pPr>
                              <w:pStyle w:val="TableParagraph"/>
                              <w:spacing w:line="163" w:lineRule="exact"/>
                              <w:ind w:left="69"/>
                              <w:jc w:val="left"/>
                              <w:rPr>
                                <w:rFonts w:ascii="Arial" w:hAnsi="Arial"/>
                                <w:b/>
                                <w:sz w:val="16"/>
                              </w:rPr>
                            </w:pPr>
                            <w:r>
                              <w:rPr>
                                <w:rFonts w:ascii="Arial" w:hAnsi="Arial"/>
                                <w:b/>
                                <w:sz w:val="16"/>
                              </w:rPr>
                              <w:t>Variação</w:t>
                            </w:r>
                            <w:r>
                              <w:rPr>
                                <w:rFonts w:ascii="Arial" w:hAnsi="Arial"/>
                                <w:b/>
                                <w:spacing w:val="-6"/>
                                <w:sz w:val="16"/>
                              </w:rPr>
                              <w:t xml:space="preserve"> </w:t>
                            </w:r>
                            <w:r>
                              <w:rPr>
                                <w:rFonts w:ascii="Arial" w:hAnsi="Arial"/>
                                <w:b/>
                                <w:sz w:val="16"/>
                              </w:rPr>
                              <w:t>de</w:t>
                            </w:r>
                            <w:r>
                              <w:rPr>
                                <w:rFonts w:ascii="Arial" w:hAnsi="Arial"/>
                                <w:b/>
                                <w:spacing w:val="-4"/>
                                <w:sz w:val="16"/>
                              </w:rPr>
                              <w:t xml:space="preserve"> </w:t>
                            </w:r>
                            <w:r>
                              <w:rPr>
                                <w:rFonts w:ascii="Arial" w:hAnsi="Arial"/>
                                <w:b/>
                                <w:sz w:val="16"/>
                              </w:rPr>
                              <w:t>Caixa</w:t>
                            </w:r>
                            <w:r>
                              <w:rPr>
                                <w:rFonts w:ascii="Arial" w:hAnsi="Arial"/>
                                <w:b/>
                                <w:spacing w:val="-6"/>
                                <w:sz w:val="16"/>
                              </w:rPr>
                              <w:t xml:space="preserve"> </w:t>
                            </w:r>
                            <w:r>
                              <w:rPr>
                                <w:rFonts w:ascii="Arial" w:hAnsi="Arial"/>
                                <w:b/>
                                <w:sz w:val="16"/>
                              </w:rPr>
                              <w:t>e</w:t>
                            </w:r>
                            <w:r>
                              <w:rPr>
                                <w:rFonts w:ascii="Arial" w:hAnsi="Arial"/>
                                <w:b/>
                                <w:spacing w:val="-5"/>
                                <w:sz w:val="16"/>
                              </w:rPr>
                              <w:t xml:space="preserve"> </w:t>
                            </w:r>
                            <w:r>
                              <w:rPr>
                                <w:rFonts w:ascii="Arial" w:hAnsi="Arial"/>
                                <w:b/>
                                <w:sz w:val="16"/>
                              </w:rPr>
                              <w:t>Equivalentes</w:t>
                            </w:r>
                            <w:r>
                              <w:rPr>
                                <w:rFonts w:ascii="Arial" w:hAnsi="Arial"/>
                                <w:b/>
                                <w:spacing w:val="-4"/>
                                <w:sz w:val="16"/>
                              </w:rPr>
                              <w:t xml:space="preserve"> </w:t>
                            </w:r>
                            <w:r>
                              <w:rPr>
                                <w:rFonts w:ascii="Arial" w:hAnsi="Arial"/>
                                <w:b/>
                                <w:sz w:val="16"/>
                              </w:rPr>
                              <w:t>de</w:t>
                            </w:r>
                            <w:r>
                              <w:rPr>
                                <w:rFonts w:ascii="Arial" w:hAnsi="Arial"/>
                                <w:b/>
                                <w:spacing w:val="-3"/>
                                <w:sz w:val="16"/>
                              </w:rPr>
                              <w:t xml:space="preserve"> </w:t>
                            </w:r>
                            <w:r>
                              <w:rPr>
                                <w:rFonts w:ascii="Arial" w:hAnsi="Arial"/>
                                <w:b/>
                                <w:spacing w:val="-2"/>
                                <w:sz w:val="16"/>
                              </w:rPr>
                              <w:t>Caixa</w:t>
                            </w:r>
                          </w:p>
                        </w:tc>
                        <w:tc>
                          <w:tcPr>
                            <w:tcW w:w="861" w:type="dxa"/>
                            <w:tcBorders>
                              <w:top w:val="single" w:sz="8" w:space="0" w:color="3616F6"/>
                              <w:bottom w:val="single" w:sz="8" w:space="0" w:color="3616F6"/>
                            </w:tcBorders>
                            <w:shd w:val="clear" w:color="auto" w:fill="75F6F8"/>
                          </w:tcPr>
                          <w:p w14:paraId="3E743E07" w14:textId="77777777" w:rsidR="002C6574" w:rsidRDefault="00000000">
                            <w:pPr>
                              <w:pStyle w:val="TableParagraph"/>
                              <w:spacing w:line="163" w:lineRule="exact"/>
                              <w:ind w:left="147" w:right="7"/>
                              <w:jc w:val="center"/>
                              <w:rPr>
                                <w:rFonts w:ascii="Arial"/>
                                <w:b/>
                                <w:sz w:val="16"/>
                              </w:rPr>
                            </w:pPr>
                            <w:r>
                              <w:rPr>
                                <w:rFonts w:ascii="Arial"/>
                                <w:b/>
                                <w:spacing w:val="-2"/>
                                <w:sz w:val="16"/>
                              </w:rPr>
                              <w:t>129.339</w:t>
                            </w:r>
                          </w:p>
                        </w:tc>
                        <w:tc>
                          <w:tcPr>
                            <w:tcW w:w="861" w:type="dxa"/>
                            <w:tcBorders>
                              <w:top w:val="single" w:sz="8" w:space="0" w:color="3616F6"/>
                              <w:bottom w:val="single" w:sz="8" w:space="0" w:color="3616F6"/>
                            </w:tcBorders>
                          </w:tcPr>
                          <w:p w14:paraId="0C7C7201" w14:textId="77777777" w:rsidR="002C6574" w:rsidRDefault="00000000">
                            <w:pPr>
                              <w:pStyle w:val="TableParagraph"/>
                              <w:spacing w:line="163" w:lineRule="exact"/>
                              <w:ind w:left="147" w:right="22"/>
                              <w:jc w:val="center"/>
                              <w:rPr>
                                <w:rFonts w:ascii="Arial"/>
                                <w:b/>
                                <w:sz w:val="16"/>
                              </w:rPr>
                            </w:pPr>
                            <w:r>
                              <w:rPr>
                                <w:rFonts w:ascii="Arial"/>
                                <w:b/>
                                <w:spacing w:val="-2"/>
                                <w:sz w:val="16"/>
                              </w:rPr>
                              <w:t>(88.386)</w:t>
                            </w:r>
                          </w:p>
                        </w:tc>
                        <w:tc>
                          <w:tcPr>
                            <w:tcW w:w="773" w:type="dxa"/>
                            <w:tcBorders>
                              <w:top w:val="single" w:sz="8" w:space="0" w:color="3616F6"/>
                              <w:bottom w:val="single" w:sz="8" w:space="0" w:color="3616F6"/>
                              <w:right w:val="nil"/>
                            </w:tcBorders>
                          </w:tcPr>
                          <w:p w14:paraId="1D2E5394" w14:textId="77777777" w:rsidR="002C6574" w:rsidRDefault="00000000">
                            <w:pPr>
                              <w:pStyle w:val="TableParagraph"/>
                              <w:spacing w:line="163" w:lineRule="exact"/>
                              <w:ind w:left="133"/>
                              <w:jc w:val="center"/>
                              <w:rPr>
                                <w:rFonts w:ascii="Arial"/>
                                <w:b/>
                                <w:sz w:val="16"/>
                              </w:rPr>
                            </w:pPr>
                            <w:r>
                              <w:rPr>
                                <w:rFonts w:ascii="Arial"/>
                                <w:b/>
                                <w:spacing w:val="-2"/>
                                <w:sz w:val="16"/>
                              </w:rPr>
                              <w:t>13.432</w:t>
                            </w:r>
                          </w:p>
                        </w:tc>
                      </w:tr>
                    </w:tbl>
                    <w:p w14:paraId="2D6968B9" w14:textId="77777777" w:rsidR="002C6574" w:rsidRDefault="002C6574">
                      <w:pPr>
                        <w:pStyle w:val="Corpodetexto"/>
                      </w:pPr>
                    </w:p>
                  </w:txbxContent>
                </v:textbox>
                <w10:anchorlock/>
              </v:shape>
            </w:pict>
          </mc:Fallback>
        </mc:AlternateContent>
      </w:r>
      <w:r>
        <w:rPr>
          <w:rFonts w:ascii="Times New Roman"/>
          <w:spacing w:val="86"/>
          <w:sz w:val="20"/>
        </w:rPr>
        <w:t xml:space="preserve"> </w:t>
      </w:r>
      <w:r>
        <w:rPr>
          <w:rFonts w:ascii="Arial"/>
          <w:noProof/>
          <w:spacing w:val="86"/>
          <w:sz w:val="20"/>
        </w:rPr>
        <mc:AlternateContent>
          <mc:Choice Requires="wps">
            <w:drawing>
              <wp:inline distT="0" distB="0" distL="0" distR="0" wp14:anchorId="5DE316FB" wp14:editId="6BF5883D">
                <wp:extent cx="1105535" cy="6993255"/>
                <wp:effectExtent l="0" t="0" r="0" b="0"/>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5535" cy="6993255"/>
                        </a:xfrm>
                        <a:prstGeom prst="rect">
                          <a:avLst/>
                        </a:prstGeom>
                      </wps:spPr>
                      <wps:txbx>
                        <w:txbxContent>
                          <w:tbl>
                            <w:tblPr>
                              <w:tblStyle w:val="TableNormal"/>
                              <w:tblW w:w="0" w:type="auto"/>
                              <w:tblInd w:w="1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1E0" w:firstRow="1" w:lastRow="1" w:firstColumn="1" w:lastColumn="1" w:noHBand="0" w:noVBand="0"/>
                            </w:tblPr>
                            <w:tblGrid>
                              <w:gridCol w:w="859"/>
                              <w:gridCol w:w="862"/>
                            </w:tblGrid>
                            <w:tr w:rsidR="002C6574" w14:paraId="262EF8AE" w14:textId="77777777">
                              <w:trPr>
                                <w:trHeight w:val="183"/>
                              </w:trPr>
                              <w:tc>
                                <w:tcPr>
                                  <w:tcW w:w="859" w:type="dxa"/>
                                  <w:shd w:val="clear" w:color="auto" w:fill="75F6F8"/>
                                </w:tcPr>
                                <w:p w14:paraId="0EB5DDB8" w14:textId="77777777" w:rsidR="002C6574" w:rsidRDefault="00000000">
                                  <w:pPr>
                                    <w:pStyle w:val="TableParagraph"/>
                                    <w:spacing w:line="163" w:lineRule="exact"/>
                                    <w:ind w:right="49"/>
                                    <w:rPr>
                                      <w:rFonts w:ascii="Arial"/>
                                      <w:b/>
                                      <w:sz w:val="16"/>
                                    </w:rPr>
                                  </w:pPr>
                                  <w:r>
                                    <w:rPr>
                                      <w:rFonts w:ascii="Arial"/>
                                      <w:b/>
                                      <w:spacing w:val="-2"/>
                                      <w:sz w:val="16"/>
                                    </w:rPr>
                                    <w:t>182.436</w:t>
                                  </w:r>
                                </w:p>
                              </w:tc>
                              <w:tc>
                                <w:tcPr>
                                  <w:tcW w:w="862" w:type="dxa"/>
                                  <w:tcBorders>
                                    <w:right w:val="nil"/>
                                  </w:tcBorders>
                                </w:tcPr>
                                <w:p w14:paraId="72078966" w14:textId="77777777" w:rsidR="002C6574" w:rsidRDefault="00000000">
                                  <w:pPr>
                                    <w:pStyle w:val="TableParagraph"/>
                                    <w:spacing w:line="163" w:lineRule="exact"/>
                                    <w:ind w:right="60"/>
                                    <w:rPr>
                                      <w:rFonts w:ascii="Arial"/>
                                      <w:b/>
                                      <w:sz w:val="16"/>
                                    </w:rPr>
                                  </w:pPr>
                                  <w:r>
                                    <w:rPr>
                                      <w:rFonts w:ascii="Arial"/>
                                      <w:b/>
                                      <w:spacing w:val="-2"/>
                                      <w:sz w:val="16"/>
                                    </w:rPr>
                                    <w:t>(66.572)</w:t>
                                  </w:r>
                                </w:p>
                              </w:tc>
                            </w:tr>
                            <w:tr w:rsidR="002C6574" w14:paraId="2865E613" w14:textId="77777777">
                              <w:trPr>
                                <w:trHeight w:val="371"/>
                              </w:trPr>
                              <w:tc>
                                <w:tcPr>
                                  <w:tcW w:w="859" w:type="dxa"/>
                                  <w:tcBorders>
                                    <w:bottom w:val="nil"/>
                                  </w:tcBorders>
                                  <w:shd w:val="clear" w:color="auto" w:fill="75F6F8"/>
                                </w:tcPr>
                                <w:p w14:paraId="7306F0F7" w14:textId="77777777" w:rsidR="002C6574" w:rsidRDefault="002C6574">
                                  <w:pPr>
                                    <w:pStyle w:val="TableParagraph"/>
                                    <w:spacing w:before="1"/>
                                    <w:jc w:val="left"/>
                                    <w:rPr>
                                      <w:rFonts w:ascii="Times New Roman"/>
                                      <w:sz w:val="16"/>
                                    </w:rPr>
                                  </w:pPr>
                                </w:p>
                                <w:p w14:paraId="6C57380D" w14:textId="77777777" w:rsidR="002C6574" w:rsidRDefault="00000000">
                                  <w:pPr>
                                    <w:pStyle w:val="TableParagraph"/>
                                    <w:spacing w:line="166" w:lineRule="exact"/>
                                    <w:ind w:right="49"/>
                                    <w:rPr>
                                      <w:rFonts w:ascii="Arial MT"/>
                                      <w:sz w:val="16"/>
                                    </w:rPr>
                                  </w:pPr>
                                  <w:r>
                                    <w:rPr>
                                      <w:rFonts w:ascii="Arial MT"/>
                                      <w:spacing w:val="-2"/>
                                      <w:sz w:val="16"/>
                                    </w:rPr>
                                    <w:t>274.104</w:t>
                                  </w:r>
                                </w:p>
                              </w:tc>
                              <w:tc>
                                <w:tcPr>
                                  <w:tcW w:w="862" w:type="dxa"/>
                                  <w:tcBorders>
                                    <w:bottom w:val="nil"/>
                                    <w:right w:val="nil"/>
                                  </w:tcBorders>
                                </w:tcPr>
                                <w:p w14:paraId="690E4288" w14:textId="77777777" w:rsidR="002C6574" w:rsidRDefault="002C6574">
                                  <w:pPr>
                                    <w:pStyle w:val="TableParagraph"/>
                                    <w:spacing w:before="1"/>
                                    <w:jc w:val="left"/>
                                    <w:rPr>
                                      <w:rFonts w:ascii="Times New Roman"/>
                                      <w:sz w:val="16"/>
                                    </w:rPr>
                                  </w:pPr>
                                </w:p>
                                <w:p w14:paraId="631B4654" w14:textId="77777777" w:rsidR="002C6574" w:rsidRDefault="00000000">
                                  <w:pPr>
                                    <w:pStyle w:val="TableParagraph"/>
                                    <w:spacing w:line="166" w:lineRule="exact"/>
                                    <w:ind w:right="60"/>
                                    <w:rPr>
                                      <w:rFonts w:ascii="Arial MT"/>
                                      <w:sz w:val="16"/>
                                    </w:rPr>
                                  </w:pPr>
                                  <w:r>
                                    <w:rPr>
                                      <w:rFonts w:ascii="Arial MT"/>
                                      <w:spacing w:val="-2"/>
                                      <w:sz w:val="16"/>
                                    </w:rPr>
                                    <w:t>270.044</w:t>
                                  </w:r>
                                </w:p>
                              </w:tc>
                            </w:tr>
                            <w:tr w:rsidR="002C6574" w14:paraId="1296F044" w14:textId="77777777">
                              <w:trPr>
                                <w:trHeight w:val="183"/>
                              </w:trPr>
                              <w:tc>
                                <w:tcPr>
                                  <w:tcW w:w="859" w:type="dxa"/>
                                  <w:tcBorders>
                                    <w:top w:val="nil"/>
                                    <w:bottom w:val="nil"/>
                                  </w:tcBorders>
                                  <w:shd w:val="clear" w:color="auto" w:fill="75F6F8"/>
                                </w:tcPr>
                                <w:p w14:paraId="68382D68" w14:textId="77777777" w:rsidR="002C6574" w:rsidRDefault="00000000">
                                  <w:pPr>
                                    <w:pStyle w:val="TableParagraph"/>
                                    <w:spacing w:line="164" w:lineRule="exact"/>
                                    <w:ind w:right="49"/>
                                    <w:rPr>
                                      <w:rFonts w:ascii="Arial MT"/>
                                      <w:sz w:val="16"/>
                                    </w:rPr>
                                  </w:pPr>
                                  <w:r>
                                    <w:rPr>
                                      <w:rFonts w:ascii="Arial MT"/>
                                      <w:spacing w:val="-2"/>
                                      <w:sz w:val="16"/>
                                    </w:rPr>
                                    <w:t>3.775</w:t>
                                  </w:r>
                                </w:p>
                              </w:tc>
                              <w:tc>
                                <w:tcPr>
                                  <w:tcW w:w="862" w:type="dxa"/>
                                  <w:tcBorders>
                                    <w:top w:val="nil"/>
                                    <w:bottom w:val="nil"/>
                                    <w:right w:val="nil"/>
                                  </w:tcBorders>
                                </w:tcPr>
                                <w:p w14:paraId="4E32EC10" w14:textId="77777777" w:rsidR="002C6574" w:rsidRDefault="00000000">
                                  <w:pPr>
                                    <w:pStyle w:val="TableParagraph"/>
                                    <w:spacing w:line="164" w:lineRule="exact"/>
                                    <w:ind w:right="63"/>
                                    <w:rPr>
                                      <w:rFonts w:ascii="Arial MT"/>
                                      <w:sz w:val="16"/>
                                    </w:rPr>
                                  </w:pPr>
                                  <w:r>
                                    <w:rPr>
                                      <w:rFonts w:ascii="Arial MT"/>
                                      <w:spacing w:val="-4"/>
                                      <w:sz w:val="16"/>
                                    </w:rPr>
                                    <w:t>(76)</w:t>
                                  </w:r>
                                </w:p>
                              </w:tc>
                            </w:tr>
                            <w:tr w:rsidR="002C6574" w14:paraId="710FFF0A" w14:textId="77777777">
                              <w:trPr>
                                <w:trHeight w:val="184"/>
                              </w:trPr>
                              <w:tc>
                                <w:tcPr>
                                  <w:tcW w:w="859" w:type="dxa"/>
                                  <w:tcBorders>
                                    <w:top w:val="nil"/>
                                    <w:bottom w:val="nil"/>
                                  </w:tcBorders>
                                  <w:shd w:val="clear" w:color="auto" w:fill="75F6F8"/>
                                </w:tcPr>
                                <w:p w14:paraId="438C1AFF" w14:textId="77777777" w:rsidR="002C6574" w:rsidRDefault="00000000">
                                  <w:pPr>
                                    <w:pStyle w:val="TableParagraph"/>
                                    <w:spacing w:line="165" w:lineRule="exact"/>
                                    <w:ind w:right="49"/>
                                    <w:rPr>
                                      <w:rFonts w:ascii="Arial MT"/>
                                      <w:sz w:val="16"/>
                                    </w:rPr>
                                  </w:pPr>
                                  <w:r>
                                    <w:rPr>
                                      <w:rFonts w:ascii="Arial MT"/>
                                      <w:spacing w:val="-2"/>
                                      <w:sz w:val="16"/>
                                    </w:rPr>
                                    <w:t>6.484</w:t>
                                  </w:r>
                                </w:p>
                              </w:tc>
                              <w:tc>
                                <w:tcPr>
                                  <w:tcW w:w="862" w:type="dxa"/>
                                  <w:tcBorders>
                                    <w:top w:val="nil"/>
                                    <w:bottom w:val="nil"/>
                                    <w:right w:val="nil"/>
                                  </w:tcBorders>
                                </w:tcPr>
                                <w:p w14:paraId="70F48E9D" w14:textId="77777777" w:rsidR="002C6574" w:rsidRDefault="00000000">
                                  <w:pPr>
                                    <w:pStyle w:val="TableParagraph"/>
                                    <w:spacing w:line="165" w:lineRule="exact"/>
                                    <w:ind w:right="60"/>
                                    <w:rPr>
                                      <w:rFonts w:ascii="Arial MT"/>
                                      <w:sz w:val="16"/>
                                    </w:rPr>
                                  </w:pPr>
                                  <w:r>
                                    <w:rPr>
                                      <w:rFonts w:ascii="Arial MT"/>
                                      <w:spacing w:val="-2"/>
                                      <w:sz w:val="16"/>
                                    </w:rPr>
                                    <w:t>6.298</w:t>
                                  </w:r>
                                </w:p>
                              </w:tc>
                            </w:tr>
                            <w:tr w:rsidR="002C6574" w14:paraId="667D13F2" w14:textId="77777777">
                              <w:trPr>
                                <w:trHeight w:val="183"/>
                              </w:trPr>
                              <w:tc>
                                <w:tcPr>
                                  <w:tcW w:w="859" w:type="dxa"/>
                                  <w:tcBorders>
                                    <w:top w:val="nil"/>
                                    <w:bottom w:val="nil"/>
                                  </w:tcBorders>
                                  <w:shd w:val="clear" w:color="auto" w:fill="75F6F8"/>
                                </w:tcPr>
                                <w:p w14:paraId="0DB812F4" w14:textId="77777777" w:rsidR="002C6574" w:rsidRDefault="00000000">
                                  <w:pPr>
                                    <w:pStyle w:val="TableParagraph"/>
                                    <w:spacing w:line="164" w:lineRule="exact"/>
                                    <w:ind w:right="49"/>
                                    <w:rPr>
                                      <w:rFonts w:ascii="Arial MT"/>
                                      <w:sz w:val="16"/>
                                    </w:rPr>
                                  </w:pPr>
                                  <w:r>
                                    <w:rPr>
                                      <w:rFonts w:ascii="Arial MT"/>
                                      <w:spacing w:val="-2"/>
                                      <w:sz w:val="16"/>
                                    </w:rPr>
                                    <w:t>(36.480)</w:t>
                                  </w:r>
                                </w:p>
                              </w:tc>
                              <w:tc>
                                <w:tcPr>
                                  <w:tcW w:w="862" w:type="dxa"/>
                                  <w:tcBorders>
                                    <w:top w:val="nil"/>
                                    <w:bottom w:val="nil"/>
                                    <w:right w:val="nil"/>
                                  </w:tcBorders>
                                </w:tcPr>
                                <w:p w14:paraId="69BBD8E7" w14:textId="77777777" w:rsidR="002C6574" w:rsidRDefault="00000000">
                                  <w:pPr>
                                    <w:pStyle w:val="TableParagraph"/>
                                    <w:spacing w:line="164" w:lineRule="exact"/>
                                    <w:ind w:right="60"/>
                                    <w:rPr>
                                      <w:rFonts w:ascii="Arial MT"/>
                                      <w:sz w:val="16"/>
                                    </w:rPr>
                                  </w:pPr>
                                  <w:r>
                                    <w:rPr>
                                      <w:rFonts w:ascii="Arial MT"/>
                                      <w:spacing w:val="-2"/>
                                      <w:sz w:val="16"/>
                                    </w:rPr>
                                    <w:t>(54.886)</w:t>
                                  </w:r>
                                </w:p>
                              </w:tc>
                            </w:tr>
                            <w:tr w:rsidR="002C6574" w14:paraId="5FCECC53" w14:textId="77777777">
                              <w:trPr>
                                <w:trHeight w:val="183"/>
                              </w:trPr>
                              <w:tc>
                                <w:tcPr>
                                  <w:tcW w:w="859" w:type="dxa"/>
                                  <w:tcBorders>
                                    <w:top w:val="nil"/>
                                    <w:bottom w:val="nil"/>
                                  </w:tcBorders>
                                  <w:shd w:val="clear" w:color="auto" w:fill="75F6F8"/>
                                </w:tcPr>
                                <w:p w14:paraId="677318AF" w14:textId="77777777" w:rsidR="002C6574" w:rsidRDefault="00000000">
                                  <w:pPr>
                                    <w:pStyle w:val="TableParagraph"/>
                                    <w:spacing w:line="164" w:lineRule="exact"/>
                                    <w:ind w:right="52"/>
                                    <w:rPr>
                                      <w:rFonts w:ascii="Arial MT"/>
                                      <w:sz w:val="16"/>
                                    </w:rPr>
                                  </w:pPr>
                                  <w:r>
                                    <w:rPr>
                                      <w:rFonts w:ascii="Arial MT"/>
                                      <w:spacing w:val="-2"/>
                                      <w:sz w:val="16"/>
                                    </w:rPr>
                                    <w:t>(369)</w:t>
                                  </w:r>
                                </w:p>
                              </w:tc>
                              <w:tc>
                                <w:tcPr>
                                  <w:tcW w:w="862" w:type="dxa"/>
                                  <w:tcBorders>
                                    <w:top w:val="nil"/>
                                    <w:bottom w:val="nil"/>
                                    <w:right w:val="nil"/>
                                  </w:tcBorders>
                                </w:tcPr>
                                <w:p w14:paraId="4586CF62" w14:textId="77777777" w:rsidR="002C6574" w:rsidRDefault="00000000">
                                  <w:pPr>
                                    <w:pStyle w:val="TableParagraph"/>
                                    <w:spacing w:line="164" w:lineRule="exact"/>
                                    <w:ind w:right="60"/>
                                    <w:rPr>
                                      <w:rFonts w:ascii="Arial MT"/>
                                      <w:sz w:val="16"/>
                                    </w:rPr>
                                  </w:pPr>
                                  <w:r>
                                    <w:rPr>
                                      <w:rFonts w:ascii="Arial MT"/>
                                      <w:spacing w:val="-2"/>
                                      <w:sz w:val="16"/>
                                    </w:rPr>
                                    <w:t>1.013</w:t>
                                  </w:r>
                                </w:p>
                              </w:tc>
                            </w:tr>
                            <w:tr w:rsidR="002C6574" w14:paraId="10C49CCC" w14:textId="77777777">
                              <w:trPr>
                                <w:trHeight w:val="185"/>
                              </w:trPr>
                              <w:tc>
                                <w:tcPr>
                                  <w:tcW w:w="859" w:type="dxa"/>
                                  <w:tcBorders>
                                    <w:top w:val="nil"/>
                                    <w:bottom w:val="nil"/>
                                  </w:tcBorders>
                                  <w:shd w:val="clear" w:color="auto" w:fill="75F6F8"/>
                                </w:tcPr>
                                <w:p w14:paraId="1B81714F" w14:textId="77777777" w:rsidR="002C6574" w:rsidRDefault="00000000">
                                  <w:pPr>
                                    <w:pStyle w:val="TableParagraph"/>
                                    <w:spacing w:line="165" w:lineRule="exact"/>
                                    <w:ind w:right="49"/>
                                    <w:rPr>
                                      <w:rFonts w:ascii="Arial MT"/>
                                      <w:sz w:val="16"/>
                                    </w:rPr>
                                  </w:pPr>
                                  <w:r>
                                    <w:rPr>
                                      <w:rFonts w:ascii="Arial MT"/>
                                      <w:spacing w:val="-2"/>
                                      <w:sz w:val="16"/>
                                    </w:rPr>
                                    <w:t>249.981</w:t>
                                  </w:r>
                                </w:p>
                              </w:tc>
                              <w:tc>
                                <w:tcPr>
                                  <w:tcW w:w="862" w:type="dxa"/>
                                  <w:tcBorders>
                                    <w:top w:val="nil"/>
                                    <w:bottom w:val="nil"/>
                                    <w:right w:val="nil"/>
                                  </w:tcBorders>
                                </w:tcPr>
                                <w:p w14:paraId="4FE49F6B" w14:textId="77777777" w:rsidR="002C6574" w:rsidRDefault="00000000">
                                  <w:pPr>
                                    <w:pStyle w:val="TableParagraph"/>
                                    <w:spacing w:line="165" w:lineRule="exact"/>
                                    <w:ind w:right="60"/>
                                    <w:rPr>
                                      <w:rFonts w:ascii="Arial MT"/>
                                      <w:sz w:val="16"/>
                                    </w:rPr>
                                  </w:pPr>
                                  <w:r>
                                    <w:rPr>
                                      <w:rFonts w:ascii="Arial MT"/>
                                      <w:spacing w:val="-2"/>
                                      <w:sz w:val="16"/>
                                    </w:rPr>
                                    <w:t>189.369</w:t>
                                  </w:r>
                                </w:p>
                              </w:tc>
                            </w:tr>
                            <w:tr w:rsidR="002C6574" w14:paraId="60036006" w14:textId="77777777">
                              <w:trPr>
                                <w:trHeight w:val="183"/>
                              </w:trPr>
                              <w:tc>
                                <w:tcPr>
                                  <w:tcW w:w="859" w:type="dxa"/>
                                  <w:tcBorders>
                                    <w:top w:val="nil"/>
                                    <w:bottom w:val="nil"/>
                                  </w:tcBorders>
                                  <w:shd w:val="clear" w:color="auto" w:fill="75F6F8"/>
                                </w:tcPr>
                                <w:p w14:paraId="61BFF82D" w14:textId="77777777" w:rsidR="002C6574" w:rsidRDefault="00000000">
                                  <w:pPr>
                                    <w:pStyle w:val="TableParagraph"/>
                                    <w:spacing w:line="164" w:lineRule="exact"/>
                                    <w:ind w:right="52"/>
                                    <w:rPr>
                                      <w:rFonts w:ascii="Arial MT"/>
                                      <w:sz w:val="16"/>
                                    </w:rPr>
                                  </w:pPr>
                                  <w:r>
                                    <w:rPr>
                                      <w:rFonts w:ascii="Arial MT"/>
                                      <w:spacing w:val="-2"/>
                                      <w:sz w:val="16"/>
                                    </w:rPr>
                                    <w:t>(209)</w:t>
                                  </w:r>
                                </w:p>
                              </w:tc>
                              <w:tc>
                                <w:tcPr>
                                  <w:tcW w:w="862" w:type="dxa"/>
                                  <w:tcBorders>
                                    <w:top w:val="nil"/>
                                    <w:bottom w:val="nil"/>
                                    <w:right w:val="nil"/>
                                  </w:tcBorders>
                                </w:tcPr>
                                <w:p w14:paraId="1CA0CDC9" w14:textId="77777777" w:rsidR="002C6574" w:rsidRDefault="00000000">
                                  <w:pPr>
                                    <w:pStyle w:val="TableParagraph"/>
                                    <w:spacing w:line="164" w:lineRule="exact"/>
                                    <w:ind w:right="60"/>
                                    <w:rPr>
                                      <w:rFonts w:ascii="Arial MT"/>
                                      <w:sz w:val="16"/>
                                    </w:rPr>
                                  </w:pPr>
                                  <w:r>
                                    <w:rPr>
                                      <w:rFonts w:ascii="Arial MT"/>
                                      <w:spacing w:val="-2"/>
                                      <w:sz w:val="16"/>
                                    </w:rPr>
                                    <w:t>3.651</w:t>
                                  </w:r>
                                </w:p>
                              </w:tc>
                            </w:tr>
                            <w:tr w:rsidR="002C6574" w14:paraId="7E93C4B6" w14:textId="77777777">
                              <w:trPr>
                                <w:trHeight w:val="183"/>
                              </w:trPr>
                              <w:tc>
                                <w:tcPr>
                                  <w:tcW w:w="859" w:type="dxa"/>
                                  <w:tcBorders>
                                    <w:top w:val="nil"/>
                                    <w:bottom w:val="nil"/>
                                  </w:tcBorders>
                                  <w:shd w:val="clear" w:color="auto" w:fill="75F6F8"/>
                                </w:tcPr>
                                <w:p w14:paraId="7C87B55F" w14:textId="77777777" w:rsidR="002C6574" w:rsidRDefault="00000000">
                                  <w:pPr>
                                    <w:pStyle w:val="TableParagraph"/>
                                    <w:spacing w:line="164" w:lineRule="exact"/>
                                    <w:ind w:right="49"/>
                                    <w:rPr>
                                      <w:rFonts w:ascii="Arial MT"/>
                                      <w:sz w:val="16"/>
                                    </w:rPr>
                                  </w:pPr>
                                  <w:r>
                                    <w:rPr>
                                      <w:rFonts w:ascii="Arial MT"/>
                                      <w:spacing w:val="-2"/>
                                      <w:sz w:val="16"/>
                                    </w:rPr>
                                    <w:t>3.292</w:t>
                                  </w:r>
                                </w:p>
                              </w:tc>
                              <w:tc>
                                <w:tcPr>
                                  <w:tcW w:w="862" w:type="dxa"/>
                                  <w:tcBorders>
                                    <w:top w:val="nil"/>
                                    <w:bottom w:val="nil"/>
                                    <w:right w:val="nil"/>
                                  </w:tcBorders>
                                </w:tcPr>
                                <w:p w14:paraId="7D45ECA1" w14:textId="77777777" w:rsidR="002C6574" w:rsidRDefault="00000000">
                                  <w:pPr>
                                    <w:pStyle w:val="TableParagraph"/>
                                    <w:spacing w:line="164" w:lineRule="exact"/>
                                    <w:ind w:right="60"/>
                                    <w:rPr>
                                      <w:rFonts w:ascii="Arial MT"/>
                                      <w:sz w:val="16"/>
                                    </w:rPr>
                                  </w:pPr>
                                  <w:r>
                                    <w:rPr>
                                      <w:rFonts w:ascii="Arial MT"/>
                                      <w:spacing w:val="-5"/>
                                      <w:sz w:val="16"/>
                                    </w:rPr>
                                    <w:t>624</w:t>
                                  </w:r>
                                </w:p>
                              </w:tc>
                            </w:tr>
                            <w:tr w:rsidR="002C6574" w14:paraId="5442DBEF" w14:textId="77777777">
                              <w:trPr>
                                <w:trHeight w:val="183"/>
                              </w:trPr>
                              <w:tc>
                                <w:tcPr>
                                  <w:tcW w:w="859" w:type="dxa"/>
                                  <w:tcBorders>
                                    <w:top w:val="nil"/>
                                    <w:bottom w:val="nil"/>
                                  </w:tcBorders>
                                  <w:shd w:val="clear" w:color="auto" w:fill="75F6F8"/>
                                </w:tcPr>
                                <w:p w14:paraId="05EE6D70" w14:textId="77777777" w:rsidR="002C6574" w:rsidRDefault="00000000">
                                  <w:pPr>
                                    <w:pStyle w:val="TableParagraph"/>
                                    <w:spacing w:line="164" w:lineRule="exact"/>
                                    <w:ind w:right="49"/>
                                    <w:rPr>
                                      <w:rFonts w:ascii="Arial MT"/>
                                      <w:sz w:val="16"/>
                                    </w:rPr>
                                  </w:pPr>
                                  <w:r>
                                    <w:rPr>
                                      <w:rFonts w:ascii="Arial MT"/>
                                      <w:spacing w:val="-2"/>
                                      <w:sz w:val="16"/>
                                    </w:rPr>
                                    <w:t>14.108</w:t>
                                  </w:r>
                                </w:p>
                              </w:tc>
                              <w:tc>
                                <w:tcPr>
                                  <w:tcW w:w="862" w:type="dxa"/>
                                  <w:tcBorders>
                                    <w:top w:val="nil"/>
                                    <w:bottom w:val="nil"/>
                                    <w:right w:val="nil"/>
                                  </w:tcBorders>
                                </w:tcPr>
                                <w:p w14:paraId="26E903C8" w14:textId="77777777" w:rsidR="002C6574" w:rsidRDefault="00000000">
                                  <w:pPr>
                                    <w:pStyle w:val="TableParagraph"/>
                                    <w:spacing w:line="164" w:lineRule="exact"/>
                                    <w:ind w:right="60"/>
                                    <w:rPr>
                                      <w:rFonts w:ascii="Arial MT"/>
                                      <w:sz w:val="16"/>
                                    </w:rPr>
                                  </w:pPr>
                                  <w:r>
                                    <w:rPr>
                                      <w:rFonts w:ascii="Arial MT"/>
                                      <w:spacing w:val="-2"/>
                                      <w:sz w:val="16"/>
                                    </w:rPr>
                                    <w:t>12.999</w:t>
                                  </w:r>
                                </w:p>
                              </w:tc>
                            </w:tr>
                            <w:tr w:rsidR="002C6574" w14:paraId="549F4E61" w14:textId="77777777">
                              <w:trPr>
                                <w:trHeight w:val="183"/>
                              </w:trPr>
                              <w:tc>
                                <w:tcPr>
                                  <w:tcW w:w="859" w:type="dxa"/>
                                  <w:tcBorders>
                                    <w:top w:val="nil"/>
                                    <w:bottom w:val="nil"/>
                                  </w:tcBorders>
                                  <w:shd w:val="clear" w:color="auto" w:fill="75F6F8"/>
                                </w:tcPr>
                                <w:p w14:paraId="23FC3638" w14:textId="77777777" w:rsidR="002C6574" w:rsidRDefault="00000000">
                                  <w:pPr>
                                    <w:pStyle w:val="TableParagraph"/>
                                    <w:spacing w:line="164" w:lineRule="exact"/>
                                    <w:ind w:right="49"/>
                                    <w:rPr>
                                      <w:rFonts w:ascii="Arial MT"/>
                                      <w:sz w:val="16"/>
                                    </w:rPr>
                                  </w:pPr>
                                  <w:r>
                                    <w:rPr>
                                      <w:rFonts w:ascii="Arial MT"/>
                                      <w:spacing w:val="-2"/>
                                      <w:sz w:val="16"/>
                                    </w:rPr>
                                    <w:t>(4.535)</w:t>
                                  </w:r>
                                </w:p>
                              </w:tc>
                              <w:tc>
                                <w:tcPr>
                                  <w:tcW w:w="862" w:type="dxa"/>
                                  <w:tcBorders>
                                    <w:top w:val="nil"/>
                                    <w:bottom w:val="nil"/>
                                    <w:right w:val="nil"/>
                                  </w:tcBorders>
                                </w:tcPr>
                                <w:p w14:paraId="1DB8C662" w14:textId="77777777" w:rsidR="002C6574" w:rsidRDefault="00000000">
                                  <w:pPr>
                                    <w:pStyle w:val="TableParagraph"/>
                                    <w:spacing w:line="164" w:lineRule="exact"/>
                                    <w:ind w:right="60"/>
                                    <w:rPr>
                                      <w:rFonts w:ascii="Arial MT"/>
                                      <w:sz w:val="16"/>
                                    </w:rPr>
                                  </w:pPr>
                                  <w:r>
                                    <w:rPr>
                                      <w:rFonts w:ascii="Arial MT"/>
                                      <w:spacing w:val="-2"/>
                                      <w:sz w:val="16"/>
                                    </w:rPr>
                                    <w:t>(3.644)</w:t>
                                  </w:r>
                                </w:p>
                              </w:tc>
                            </w:tr>
                            <w:tr w:rsidR="002C6574" w14:paraId="416229C4" w14:textId="77777777">
                              <w:trPr>
                                <w:trHeight w:val="184"/>
                              </w:trPr>
                              <w:tc>
                                <w:tcPr>
                                  <w:tcW w:w="859" w:type="dxa"/>
                                  <w:tcBorders>
                                    <w:top w:val="nil"/>
                                    <w:bottom w:val="nil"/>
                                  </w:tcBorders>
                                  <w:shd w:val="clear" w:color="auto" w:fill="75F6F8"/>
                                </w:tcPr>
                                <w:p w14:paraId="7E8EC297" w14:textId="77777777" w:rsidR="002C6574" w:rsidRDefault="00000000">
                                  <w:pPr>
                                    <w:pStyle w:val="TableParagraph"/>
                                    <w:spacing w:line="165" w:lineRule="exact"/>
                                    <w:ind w:right="49"/>
                                    <w:rPr>
                                      <w:rFonts w:ascii="Arial MT"/>
                                      <w:sz w:val="16"/>
                                    </w:rPr>
                                  </w:pPr>
                                  <w:r>
                                    <w:rPr>
                                      <w:rFonts w:ascii="Arial MT"/>
                                      <w:spacing w:val="-2"/>
                                      <w:sz w:val="16"/>
                                    </w:rPr>
                                    <w:t>2.807</w:t>
                                  </w:r>
                                </w:p>
                              </w:tc>
                              <w:tc>
                                <w:tcPr>
                                  <w:tcW w:w="862" w:type="dxa"/>
                                  <w:tcBorders>
                                    <w:top w:val="nil"/>
                                    <w:bottom w:val="nil"/>
                                    <w:right w:val="nil"/>
                                  </w:tcBorders>
                                </w:tcPr>
                                <w:p w14:paraId="45CC1583" w14:textId="77777777" w:rsidR="002C6574" w:rsidRDefault="00000000">
                                  <w:pPr>
                                    <w:pStyle w:val="TableParagraph"/>
                                    <w:spacing w:line="165" w:lineRule="exact"/>
                                    <w:ind w:right="60"/>
                                    <w:rPr>
                                      <w:rFonts w:ascii="Arial MT"/>
                                      <w:sz w:val="16"/>
                                    </w:rPr>
                                  </w:pPr>
                                  <w:r>
                                    <w:rPr>
                                      <w:rFonts w:ascii="Arial MT"/>
                                      <w:spacing w:val="-2"/>
                                      <w:sz w:val="16"/>
                                    </w:rPr>
                                    <w:t>2.752</w:t>
                                  </w:r>
                                </w:p>
                              </w:tc>
                            </w:tr>
                            <w:tr w:rsidR="002C6574" w14:paraId="25077DEB" w14:textId="77777777">
                              <w:trPr>
                                <w:trHeight w:val="183"/>
                              </w:trPr>
                              <w:tc>
                                <w:tcPr>
                                  <w:tcW w:w="859" w:type="dxa"/>
                                  <w:tcBorders>
                                    <w:top w:val="nil"/>
                                    <w:bottom w:val="nil"/>
                                  </w:tcBorders>
                                  <w:shd w:val="clear" w:color="auto" w:fill="75F6F8"/>
                                </w:tcPr>
                                <w:p w14:paraId="6DE9229C" w14:textId="77777777" w:rsidR="002C6574" w:rsidRDefault="00000000">
                                  <w:pPr>
                                    <w:pStyle w:val="TableParagraph"/>
                                    <w:spacing w:line="164" w:lineRule="exact"/>
                                    <w:ind w:right="50"/>
                                    <w:rPr>
                                      <w:rFonts w:ascii="Arial MT"/>
                                      <w:sz w:val="16"/>
                                    </w:rPr>
                                  </w:pPr>
                                  <w:r>
                                    <w:rPr>
                                      <w:rFonts w:ascii="Arial MT"/>
                                      <w:spacing w:val="-5"/>
                                      <w:sz w:val="16"/>
                                    </w:rPr>
                                    <w:t>868</w:t>
                                  </w:r>
                                </w:p>
                              </w:tc>
                              <w:tc>
                                <w:tcPr>
                                  <w:tcW w:w="862" w:type="dxa"/>
                                  <w:tcBorders>
                                    <w:top w:val="nil"/>
                                    <w:bottom w:val="nil"/>
                                    <w:right w:val="nil"/>
                                  </w:tcBorders>
                                </w:tcPr>
                                <w:p w14:paraId="23E1B5C8" w14:textId="77777777" w:rsidR="002C6574" w:rsidRDefault="00000000">
                                  <w:pPr>
                                    <w:pStyle w:val="TableParagraph"/>
                                    <w:spacing w:line="164" w:lineRule="exact"/>
                                    <w:ind w:right="60"/>
                                    <w:rPr>
                                      <w:rFonts w:ascii="Arial MT"/>
                                      <w:sz w:val="16"/>
                                    </w:rPr>
                                  </w:pPr>
                                  <w:r>
                                    <w:rPr>
                                      <w:rFonts w:ascii="Arial MT"/>
                                      <w:spacing w:val="-5"/>
                                      <w:sz w:val="16"/>
                                    </w:rPr>
                                    <w:t>741</w:t>
                                  </w:r>
                                </w:p>
                              </w:tc>
                            </w:tr>
                            <w:tr w:rsidR="002C6574" w14:paraId="4A611AAF" w14:textId="77777777">
                              <w:trPr>
                                <w:trHeight w:val="183"/>
                              </w:trPr>
                              <w:tc>
                                <w:tcPr>
                                  <w:tcW w:w="859" w:type="dxa"/>
                                  <w:tcBorders>
                                    <w:top w:val="nil"/>
                                    <w:bottom w:val="nil"/>
                                  </w:tcBorders>
                                  <w:shd w:val="clear" w:color="auto" w:fill="75F6F8"/>
                                </w:tcPr>
                                <w:p w14:paraId="2B76660E" w14:textId="77777777" w:rsidR="002C6574" w:rsidRDefault="00000000">
                                  <w:pPr>
                                    <w:pStyle w:val="TableParagraph"/>
                                    <w:spacing w:line="164" w:lineRule="exact"/>
                                    <w:ind w:right="47"/>
                                    <w:rPr>
                                      <w:rFonts w:ascii="Arial MT"/>
                                      <w:sz w:val="16"/>
                                    </w:rPr>
                                  </w:pPr>
                                  <w:r>
                                    <w:rPr>
                                      <w:rFonts w:ascii="Arial MT"/>
                                      <w:spacing w:val="-10"/>
                                      <w:sz w:val="16"/>
                                    </w:rPr>
                                    <w:t>-</w:t>
                                  </w:r>
                                </w:p>
                              </w:tc>
                              <w:tc>
                                <w:tcPr>
                                  <w:tcW w:w="862" w:type="dxa"/>
                                  <w:tcBorders>
                                    <w:top w:val="nil"/>
                                    <w:bottom w:val="nil"/>
                                    <w:right w:val="nil"/>
                                  </w:tcBorders>
                                </w:tcPr>
                                <w:p w14:paraId="7835FE13" w14:textId="77777777" w:rsidR="002C6574" w:rsidRDefault="00000000">
                                  <w:pPr>
                                    <w:pStyle w:val="TableParagraph"/>
                                    <w:spacing w:line="164" w:lineRule="exact"/>
                                    <w:ind w:right="60"/>
                                    <w:rPr>
                                      <w:rFonts w:ascii="Arial MT"/>
                                      <w:sz w:val="16"/>
                                    </w:rPr>
                                  </w:pPr>
                                  <w:r>
                                    <w:rPr>
                                      <w:rFonts w:ascii="Arial MT"/>
                                      <w:spacing w:val="-2"/>
                                      <w:sz w:val="16"/>
                                    </w:rPr>
                                    <w:t>2.666</w:t>
                                  </w:r>
                                </w:p>
                              </w:tc>
                            </w:tr>
                            <w:tr w:rsidR="002C6574" w14:paraId="4F0A732A" w14:textId="77777777">
                              <w:trPr>
                                <w:trHeight w:val="184"/>
                              </w:trPr>
                              <w:tc>
                                <w:tcPr>
                                  <w:tcW w:w="859" w:type="dxa"/>
                                  <w:tcBorders>
                                    <w:top w:val="nil"/>
                                    <w:bottom w:val="nil"/>
                                  </w:tcBorders>
                                  <w:shd w:val="clear" w:color="auto" w:fill="75F6F8"/>
                                </w:tcPr>
                                <w:p w14:paraId="0A49881D" w14:textId="77777777" w:rsidR="002C6574" w:rsidRDefault="00000000">
                                  <w:pPr>
                                    <w:pStyle w:val="TableParagraph"/>
                                    <w:spacing w:line="165" w:lineRule="exact"/>
                                    <w:ind w:right="52"/>
                                    <w:rPr>
                                      <w:rFonts w:ascii="Arial MT"/>
                                      <w:sz w:val="16"/>
                                    </w:rPr>
                                  </w:pPr>
                                  <w:r>
                                    <w:rPr>
                                      <w:rFonts w:ascii="Arial MT"/>
                                      <w:spacing w:val="-4"/>
                                      <w:sz w:val="16"/>
                                    </w:rPr>
                                    <w:t>(76)</w:t>
                                  </w:r>
                                </w:p>
                              </w:tc>
                              <w:tc>
                                <w:tcPr>
                                  <w:tcW w:w="862" w:type="dxa"/>
                                  <w:tcBorders>
                                    <w:top w:val="nil"/>
                                    <w:bottom w:val="nil"/>
                                    <w:right w:val="nil"/>
                                  </w:tcBorders>
                                </w:tcPr>
                                <w:p w14:paraId="41F78086" w14:textId="77777777" w:rsidR="002C6574" w:rsidRDefault="00000000">
                                  <w:pPr>
                                    <w:pStyle w:val="TableParagraph"/>
                                    <w:spacing w:line="165" w:lineRule="exact"/>
                                    <w:ind w:right="60"/>
                                    <w:rPr>
                                      <w:rFonts w:ascii="Arial MT"/>
                                      <w:sz w:val="16"/>
                                    </w:rPr>
                                  </w:pPr>
                                  <w:r>
                                    <w:rPr>
                                      <w:rFonts w:ascii="Arial MT"/>
                                      <w:spacing w:val="-2"/>
                                      <w:sz w:val="16"/>
                                    </w:rPr>
                                    <w:t>(2.297)</w:t>
                                  </w:r>
                                </w:p>
                              </w:tc>
                            </w:tr>
                            <w:tr w:rsidR="002C6574" w14:paraId="27D3B8C5" w14:textId="77777777">
                              <w:trPr>
                                <w:trHeight w:val="183"/>
                              </w:trPr>
                              <w:tc>
                                <w:tcPr>
                                  <w:tcW w:w="859" w:type="dxa"/>
                                  <w:tcBorders>
                                    <w:top w:val="nil"/>
                                    <w:bottom w:val="nil"/>
                                  </w:tcBorders>
                                  <w:shd w:val="clear" w:color="auto" w:fill="75F6F8"/>
                                </w:tcPr>
                                <w:p w14:paraId="5EF0EDF8" w14:textId="77777777" w:rsidR="002C6574" w:rsidRDefault="00000000">
                                  <w:pPr>
                                    <w:pStyle w:val="TableParagraph"/>
                                    <w:spacing w:line="164" w:lineRule="exact"/>
                                    <w:ind w:right="49"/>
                                    <w:rPr>
                                      <w:rFonts w:ascii="Arial MT"/>
                                      <w:sz w:val="16"/>
                                    </w:rPr>
                                  </w:pPr>
                                  <w:r>
                                    <w:rPr>
                                      <w:rFonts w:ascii="Arial MT"/>
                                      <w:spacing w:val="-2"/>
                                      <w:sz w:val="16"/>
                                    </w:rPr>
                                    <w:t>(134.727)</w:t>
                                  </w:r>
                                </w:p>
                              </w:tc>
                              <w:tc>
                                <w:tcPr>
                                  <w:tcW w:w="862" w:type="dxa"/>
                                  <w:tcBorders>
                                    <w:top w:val="nil"/>
                                    <w:bottom w:val="nil"/>
                                    <w:right w:val="nil"/>
                                  </w:tcBorders>
                                </w:tcPr>
                                <w:p w14:paraId="5BE62985" w14:textId="77777777" w:rsidR="002C6574" w:rsidRDefault="00000000">
                                  <w:pPr>
                                    <w:pStyle w:val="TableParagraph"/>
                                    <w:spacing w:line="164" w:lineRule="exact"/>
                                    <w:ind w:right="60"/>
                                    <w:rPr>
                                      <w:rFonts w:ascii="Arial MT"/>
                                      <w:sz w:val="16"/>
                                    </w:rPr>
                                  </w:pPr>
                                  <w:r>
                                    <w:rPr>
                                      <w:rFonts w:ascii="Arial MT"/>
                                      <w:spacing w:val="-2"/>
                                      <w:sz w:val="16"/>
                                    </w:rPr>
                                    <w:t>(212.038)</w:t>
                                  </w:r>
                                </w:p>
                              </w:tc>
                            </w:tr>
                            <w:tr w:rsidR="002C6574" w14:paraId="13C36CD1" w14:textId="77777777">
                              <w:trPr>
                                <w:trHeight w:val="183"/>
                              </w:trPr>
                              <w:tc>
                                <w:tcPr>
                                  <w:tcW w:w="859" w:type="dxa"/>
                                  <w:tcBorders>
                                    <w:top w:val="nil"/>
                                    <w:bottom w:val="nil"/>
                                  </w:tcBorders>
                                  <w:shd w:val="clear" w:color="auto" w:fill="75F6F8"/>
                                </w:tcPr>
                                <w:p w14:paraId="00643529" w14:textId="77777777" w:rsidR="002C6574" w:rsidRDefault="00000000">
                                  <w:pPr>
                                    <w:pStyle w:val="TableParagraph"/>
                                    <w:spacing w:line="164" w:lineRule="exact"/>
                                    <w:ind w:right="49"/>
                                    <w:rPr>
                                      <w:rFonts w:ascii="Arial MT"/>
                                      <w:sz w:val="16"/>
                                    </w:rPr>
                                  </w:pPr>
                                  <w:r>
                                    <w:rPr>
                                      <w:rFonts w:ascii="Arial MT"/>
                                      <w:spacing w:val="-2"/>
                                      <w:sz w:val="16"/>
                                    </w:rPr>
                                    <w:t>4.795</w:t>
                                  </w:r>
                                </w:p>
                              </w:tc>
                              <w:tc>
                                <w:tcPr>
                                  <w:tcW w:w="862" w:type="dxa"/>
                                  <w:tcBorders>
                                    <w:top w:val="nil"/>
                                    <w:bottom w:val="nil"/>
                                    <w:right w:val="nil"/>
                                  </w:tcBorders>
                                </w:tcPr>
                                <w:p w14:paraId="1F582656" w14:textId="77777777" w:rsidR="002C6574" w:rsidRDefault="00000000">
                                  <w:pPr>
                                    <w:pStyle w:val="TableParagraph"/>
                                    <w:spacing w:line="164" w:lineRule="exact"/>
                                    <w:ind w:right="60"/>
                                    <w:rPr>
                                      <w:rFonts w:ascii="Arial MT"/>
                                      <w:sz w:val="16"/>
                                    </w:rPr>
                                  </w:pPr>
                                  <w:r>
                                    <w:rPr>
                                      <w:rFonts w:ascii="Arial MT"/>
                                      <w:spacing w:val="-2"/>
                                      <w:sz w:val="16"/>
                                    </w:rPr>
                                    <w:t>2.963</w:t>
                                  </w:r>
                                </w:p>
                              </w:tc>
                            </w:tr>
                            <w:tr w:rsidR="002C6574" w14:paraId="1C57341A" w14:textId="77777777">
                              <w:trPr>
                                <w:trHeight w:val="184"/>
                              </w:trPr>
                              <w:tc>
                                <w:tcPr>
                                  <w:tcW w:w="859" w:type="dxa"/>
                                  <w:tcBorders>
                                    <w:top w:val="nil"/>
                                    <w:bottom w:val="nil"/>
                                  </w:tcBorders>
                                  <w:shd w:val="clear" w:color="auto" w:fill="75F6F8"/>
                                </w:tcPr>
                                <w:p w14:paraId="4B3238EF" w14:textId="77777777" w:rsidR="002C6574" w:rsidRDefault="00000000">
                                  <w:pPr>
                                    <w:pStyle w:val="TableParagraph"/>
                                    <w:spacing w:line="165" w:lineRule="exact"/>
                                    <w:ind w:right="47"/>
                                    <w:rPr>
                                      <w:rFonts w:ascii="Arial MT"/>
                                      <w:sz w:val="16"/>
                                    </w:rPr>
                                  </w:pPr>
                                  <w:r>
                                    <w:rPr>
                                      <w:rFonts w:ascii="Arial MT"/>
                                      <w:spacing w:val="-10"/>
                                      <w:sz w:val="16"/>
                                    </w:rPr>
                                    <w:t>-</w:t>
                                  </w:r>
                                </w:p>
                              </w:tc>
                              <w:tc>
                                <w:tcPr>
                                  <w:tcW w:w="862" w:type="dxa"/>
                                  <w:tcBorders>
                                    <w:top w:val="nil"/>
                                    <w:bottom w:val="nil"/>
                                    <w:right w:val="nil"/>
                                  </w:tcBorders>
                                </w:tcPr>
                                <w:p w14:paraId="60BF0CB4" w14:textId="77777777" w:rsidR="002C6574" w:rsidRDefault="00000000">
                                  <w:pPr>
                                    <w:pStyle w:val="TableParagraph"/>
                                    <w:spacing w:line="165" w:lineRule="exact"/>
                                    <w:ind w:right="57"/>
                                    <w:rPr>
                                      <w:rFonts w:ascii="Arial MT"/>
                                      <w:sz w:val="16"/>
                                    </w:rPr>
                                  </w:pPr>
                                  <w:r>
                                    <w:rPr>
                                      <w:rFonts w:ascii="Arial MT"/>
                                      <w:spacing w:val="-10"/>
                                      <w:sz w:val="16"/>
                                    </w:rPr>
                                    <w:t>-</w:t>
                                  </w:r>
                                </w:p>
                              </w:tc>
                            </w:tr>
                            <w:tr w:rsidR="002C6574" w14:paraId="08C89CF0" w14:textId="77777777">
                              <w:trPr>
                                <w:trHeight w:val="183"/>
                              </w:trPr>
                              <w:tc>
                                <w:tcPr>
                                  <w:tcW w:w="859" w:type="dxa"/>
                                  <w:tcBorders>
                                    <w:top w:val="nil"/>
                                    <w:bottom w:val="nil"/>
                                  </w:tcBorders>
                                  <w:shd w:val="clear" w:color="auto" w:fill="75F6F8"/>
                                </w:tcPr>
                                <w:p w14:paraId="587693B3" w14:textId="77777777" w:rsidR="002C6574" w:rsidRDefault="00000000">
                                  <w:pPr>
                                    <w:pStyle w:val="TableParagraph"/>
                                    <w:spacing w:line="164" w:lineRule="exact"/>
                                    <w:ind w:right="49"/>
                                    <w:rPr>
                                      <w:rFonts w:ascii="Arial MT"/>
                                      <w:sz w:val="16"/>
                                    </w:rPr>
                                  </w:pPr>
                                  <w:r>
                                    <w:rPr>
                                      <w:rFonts w:ascii="Arial MT"/>
                                      <w:spacing w:val="-2"/>
                                      <w:sz w:val="16"/>
                                    </w:rPr>
                                    <w:t>(234.446)</w:t>
                                  </w:r>
                                </w:p>
                              </w:tc>
                              <w:tc>
                                <w:tcPr>
                                  <w:tcW w:w="862" w:type="dxa"/>
                                  <w:tcBorders>
                                    <w:top w:val="nil"/>
                                    <w:bottom w:val="nil"/>
                                    <w:right w:val="nil"/>
                                  </w:tcBorders>
                                </w:tcPr>
                                <w:p w14:paraId="580D1417" w14:textId="77777777" w:rsidR="002C6574" w:rsidRDefault="00000000">
                                  <w:pPr>
                                    <w:pStyle w:val="TableParagraph"/>
                                    <w:spacing w:line="164" w:lineRule="exact"/>
                                    <w:ind w:right="57"/>
                                    <w:rPr>
                                      <w:rFonts w:ascii="Arial MT"/>
                                      <w:sz w:val="16"/>
                                    </w:rPr>
                                  </w:pPr>
                                  <w:r>
                                    <w:rPr>
                                      <w:rFonts w:ascii="Arial MT"/>
                                      <w:spacing w:val="-10"/>
                                      <w:sz w:val="16"/>
                                    </w:rPr>
                                    <w:t>-</w:t>
                                  </w:r>
                                </w:p>
                              </w:tc>
                            </w:tr>
                            <w:tr w:rsidR="002C6574" w14:paraId="14A25F0D" w14:textId="77777777">
                              <w:trPr>
                                <w:trHeight w:val="180"/>
                              </w:trPr>
                              <w:tc>
                                <w:tcPr>
                                  <w:tcW w:w="859" w:type="dxa"/>
                                  <w:tcBorders>
                                    <w:top w:val="nil"/>
                                  </w:tcBorders>
                                  <w:shd w:val="clear" w:color="auto" w:fill="75F6F8"/>
                                </w:tcPr>
                                <w:p w14:paraId="133949DB" w14:textId="77777777" w:rsidR="002C6574" w:rsidRDefault="00000000">
                                  <w:pPr>
                                    <w:pStyle w:val="TableParagraph"/>
                                    <w:spacing w:line="160" w:lineRule="exact"/>
                                    <w:ind w:right="50"/>
                                    <w:rPr>
                                      <w:rFonts w:ascii="Arial MT"/>
                                      <w:sz w:val="16"/>
                                    </w:rPr>
                                  </w:pPr>
                                  <w:r>
                                    <w:rPr>
                                      <w:rFonts w:ascii="Arial MT"/>
                                      <w:spacing w:val="-5"/>
                                      <w:sz w:val="16"/>
                                    </w:rPr>
                                    <w:t>91</w:t>
                                  </w:r>
                                </w:p>
                              </w:tc>
                              <w:tc>
                                <w:tcPr>
                                  <w:tcW w:w="862" w:type="dxa"/>
                                  <w:tcBorders>
                                    <w:top w:val="nil"/>
                                    <w:right w:val="nil"/>
                                  </w:tcBorders>
                                </w:tcPr>
                                <w:p w14:paraId="17D2FF8C" w14:textId="77777777" w:rsidR="002C6574" w:rsidRDefault="00000000">
                                  <w:pPr>
                                    <w:pStyle w:val="TableParagraph"/>
                                    <w:spacing w:line="160" w:lineRule="exact"/>
                                    <w:ind w:right="57"/>
                                    <w:rPr>
                                      <w:rFonts w:ascii="Arial MT"/>
                                      <w:sz w:val="16"/>
                                    </w:rPr>
                                  </w:pPr>
                                  <w:r>
                                    <w:rPr>
                                      <w:rFonts w:ascii="Arial MT"/>
                                      <w:spacing w:val="-10"/>
                                      <w:sz w:val="16"/>
                                    </w:rPr>
                                    <w:t>-</w:t>
                                  </w:r>
                                </w:p>
                              </w:tc>
                            </w:tr>
                            <w:tr w:rsidR="002C6574" w14:paraId="7A535762" w14:textId="77777777">
                              <w:trPr>
                                <w:trHeight w:val="184"/>
                              </w:trPr>
                              <w:tc>
                                <w:tcPr>
                                  <w:tcW w:w="859" w:type="dxa"/>
                                  <w:shd w:val="clear" w:color="auto" w:fill="75F6F8"/>
                                </w:tcPr>
                                <w:p w14:paraId="34252A40" w14:textId="77777777" w:rsidR="002C6574" w:rsidRDefault="00000000">
                                  <w:pPr>
                                    <w:pStyle w:val="TableParagraph"/>
                                    <w:spacing w:line="163" w:lineRule="exact"/>
                                    <w:ind w:right="49"/>
                                    <w:rPr>
                                      <w:rFonts w:ascii="Arial"/>
                                      <w:b/>
                                      <w:sz w:val="16"/>
                                    </w:rPr>
                                  </w:pPr>
                                  <w:r>
                                    <w:rPr>
                                      <w:rFonts w:ascii="Arial"/>
                                      <w:b/>
                                      <w:spacing w:val="-2"/>
                                      <w:sz w:val="16"/>
                                    </w:rPr>
                                    <w:t>149.463</w:t>
                                  </w:r>
                                </w:p>
                              </w:tc>
                              <w:tc>
                                <w:tcPr>
                                  <w:tcW w:w="862" w:type="dxa"/>
                                  <w:tcBorders>
                                    <w:right w:val="nil"/>
                                  </w:tcBorders>
                                </w:tcPr>
                                <w:p w14:paraId="10D29964" w14:textId="77777777" w:rsidR="002C6574" w:rsidRDefault="00000000">
                                  <w:pPr>
                                    <w:pStyle w:val="TableParagraph"/>
                                    <w:spacing w:line="163" w:lineRule="exact"/>
                                    <w:ind w:right="60"/>
                                    <w:rPr>
                                      <w:rFonts w:ascii="Arial"/>
                                      <w:b/>
                                      <w:sz w:val="16"/>
                                    </w:rPr>
                                  </w:pPr>
                                  <w:r>
                                    <w:rPr>
                                      <w:rFonts w:ascii="Arial"/>
                                      <w:b/>
                                      <w:spacing w:val="-2"/>
                                      <w:sz w:val="16"/>
                                    </w:rPr>
                                    <w:t>220.179</w:t>
                                  </w:r>
                                </w:p>
                              </w:tc>
                            </w:tr>
                            <w:tr w:rsidR="002C6574" w14:paraId="7EA760EA" w14:textId="77777777">
                              <w:trPr>
                                <w:trHeight w:val="372"/>
                              </w:trPr>
                              <w:tc>
                                <w:tcPr>
                                  <w:tcW w:w="859" w:type="dxa"/>
                                  <w:tcBorders>
                                    <w:bottom w:val="nil"/>
                                  </w:tcBorders>
                                  <w:shd w:val="clear" w:color="auto" w:fill="75F6F8"/>
                                </w:tcPr>
                                <w:p w14:paraId="6A4C446F" w14:textId="77777777" w:rsidR="002C6574" w:rsidRDefault="002C6574">
                                  <w:pPr>
                                    <w:pStyle w:val="TableParagraph"/>
                                    <w:spacing w:before="1"/>
                                    <w:jc w:val="left"/>
                                    <w:rPr>
                                      <w:rFonts w:ascii="Times New Roman"/>
                                      <w:sz w:val="16"/>
                                    </w:rPr>
                                  </w:pPr>
                                </w:p>
                                <w:p w14:paraId="0AEA3DA7" w14:textId="77777777" w:rsidR="002C6574" w:rsidRDefault="00000000">
                                  <w:pPr>
                                    <w:pStyle w:val="TableParagraph"/>
                                    <w:spacing w:line="167" w:lineRule="exact"/>
                                    <w:ind w:right="49"/>
                                    <w:rPr>
                                      <w:rFonts w:ascii="Arial MT"/>
                                      <w:sz w:val="16"/>
                                    </w:rPr>
                                  </w:pPr>
                                  <w:r>
                                    <w:rPr>
                                      <w:rFonts w:ascii="Arial MT"/>
                                      <w:spacing w:val="-2"/>
                                      <w:sz w:val="16"/>
                                    </w:rPr>
                                    <w:t>(242.191)</w:t>
                                  </w:r>
                                </w:p>
                              </w:tc>
                              <w:tc>
                                <w:tcPr>
                                  <w:tcW w:w="862" w:type="dxa"/>
                                  <w:tcBorders>
                                    <w:bottom w:val="nil"/>
                                    <w:right w:val="nil"/>
                                  </w:tcBorders>
                                </w:tcPr>
                                <w:p w14:paraId="574BF5A6" w14:textId="77777777" w:rsidR="002C6574" w:rsidRDefault="002C6574">
                                  <w:pPr>
                                    <w:pStyle w:val="TableParagraph"/>
                                    <w:spacing w:before="1"/>
                                    <w:jc w:val="left"/>
                                    <w:rPr>
                                      <w:rFonts w:ascii="Times New Roman"/>
                                      <w:sz w:val="16"/>
                                    </w:rPr>
                                  </w:pPr>
                                </w:p>
                                <w:p w14:paraId="181BD42C" w14:textId="77777777" w:rsidR="002C6574" w:rsidRDefault="00000000">
                                  <w:pPr>
                                    <w:pStyle w:val="TableParagraph"/>
                                    <w:spacing w:line="167" w:lineRule="exact"/>
                                    <w:ind w:right="60"/>
                                    <w:rPr>
                                      <w:rFonts w:ascii="Arial MT"/>
                                      <w:sz w:val="16"/>
                                    </w:rPr>
                                  </w:pPr>
                                  <w:r>
                                    <w:rPr>
                                      <w:rFonts w:ascii="Arial MT"/>
                                      <w:spacing w:val="-2"/>
                                      <w:sz w:val="16"/>
                                    </w:rPr>
                                    <w:t>(59.168)</w:t>
                                  </w:r>
                                </w:p>
                              </w:tc>
                            </w:tr>
                            <w:tr w:rsidR="002C6574" w14:paraId="0C3FD819" w14:textId="77777777">
                              <w:trPr>
                                <w:trHeight w:val="183"/>
                              </w:trPr>
                              <w:tc>
                                <w:tcPr>
                                  <w:tcW w:w="859" w:type="dxa"/>
                                  <w:tcBorders>
                                    <w:top w:val="nil"/>
                                    <w:bottom w:val="nil"/>
                                  </w:tcBorders>
                                  <w:shd w:val="clear" w:color="auto" w:fill="75F6F8"/>
                                </w:tcPr>
                                <w:p w14:paraId="763DF567" w14:textId="77777777" w:rsidR="002C6574" w:rsidRDefault="00000000">
                                  <w:pPr>
                                    <w:pStyle w:val="TableParagraph"/>
                                    <w:spacing w:line="164" w:lineRule="exact"/>
                                    <w:ind w:right="49"/>
                                    <w:rPr>
                                      <w:rFonts w:ascii="Arial MT"/>
                                      <w:sz w:val="16"/>
                                    </w:rPr>
                                  </w:pPr>
                                  <w:r>
                                    <w:rPr>
                                      <w:rFonts w:ascii="Arial MT"/>
                                      <w:spacing w:val="-2"/>
                                      <w:sz w:val="16"/>
                                    </w:rPr>
                                    <w:t>(18.886)</w:t>
                                  </w:r>
                                </w:p>
                              </w:tc>
                              <w:tc>
                                <w:tcPr>
                                  <w:tcW w:w="862" w:type="dxa"/>
                                  <w:tcBorders>
                                    <w:top w:val="nil"/>
                                    <w:bottom w:val="nil"/>
                                    <w:right w:val="nil"/>
                                  </w:tcBorders>
                                </w:tcPr>
                                <w:p w14:paraId="41FC6F1F" w14:textId="77777777" w:rsidR="002C6574" w:rsidRDefault="00000000">
                                  <w:pPr>
                                    <w:pStyle w:val="TableParagraph"/>
                                    <w:spacing w:line="164" w:lineRule="exact"/>
                                    <w:ind w:right="63"/>
                                    <w:rPr>
                                      <w:rFonts w:ascii="Arial MT"/>
                                      <w:sz w:val="16"/>
                                    </w:rPr>
                                  </w:pPr>
                                  <w:r>
                                    <w:rPr>
                                      <w:rFonts w:ascii="Arial MT"/>
                                      <w:spacing w:val="-4"/>
                                      <w:sz w:val="16"/>
                                    </w:rPr>
                                    <w:t>(54)</w:t>
                                  </w:r>
                                </w:p>
                              </w:tc>
                            </w:tr>
                            <w:tr w:rsidR="002C6574" w14:paraId="5AD7B654" w14:textId="77777777">
                              <w:trPr>
                                <w:trHeight w:val="183"/>
                              </w:trPr>
                              <w:tc>
                                <w:tcPr>
                                  <w:tcW w:w="859" w:type="dxa"/>
                                  <w:tcBorders>
                                    <w:top w:val="nil"/>
                                    <w:bottom w:val="nil"/>
                                  </w:tcBorders>
                                  <w:shd w:val="clear" w:color="auto" w:fill="75F6F8"/>
                                </w:tcPr>
                                <w:p w14:paraId="0851F6C6" w14:textId="77777777" w:rsidR="002C6574" w:rsidRDefault="00000000">
                                  <w:pPr>
                                    <w:pStyle w:val="TableParagraph"/>
                                    <w:spacing w:line="164" w:lineRule="exact"/>
                                    <w:ind w:right="47"/>
                                    <w:rPr>
                                      <w:rFonts w:ascii="Arial MT"/>
                                      <w:sz w:val="16"/>
                                    </w:rPr>
                                  </w:pPr>
                                  <w:r>
                                    <w:rPr>
                                      <w:rFonts w:ascii="Arial MT"/>
                                      <w:spacing w:val="-10"/>
                                      <w:sz w:val="16"/>
                                    </w:rPr>
                                    <w:t>-</w:t>
                                  </w:r>
                                </w:p>
                              </w:tc>
                              <w:tc>
                                <w:tcPr>
                                  <w:tcW w:w="862" w:type="dxa"/>
                                  <w:tcBorders>
                                    <w:top w:val="nil"/>
                                    <w:bottom w:val="nil"/>
                                    <w:right w:val="nil"/>
                                  </w:tcBorders>
                                </w:tcPr>
                                <w:p w14:paraId="4B74CC8A" w14:textId="77777777" w:rsidR="002C6574" w:rsidRDefault="00000000">
                                  <w:pPr>
                                    <w:pStyle w:val="TableParagraph"/>
                                    <w:spacing w:line="164" w:lineRule="exact"/>
                                    <w:ind w:right="57"/>
                                    <w:rPr>
                                      <w:rFonts w:ascii="Arial MT"/>
                                      <w:sz w:val="16"/>
                                    </w:rPr>
                                  </w:pPr>
                                  <w:r>
                                    <w:rPr>
                                      <w:rFonts w:ascii="Arial MT"/>
                                      <w:spacing w:val="-10"/>
                                      <w:sz w:val="16"/>
                                    </w:rPr>
                                    <w:t>-</w:t>
                                  </w:r>
                                </w:p>
                              </w:tc>
                            </w:tr>
                            <w:tr w:rsidR="002C6574" w14:paraId="0EC1B925" w14:textId="77777777">
                              <w:trPr>
                                <w:trHeight w:val="185"/>
                              </w:trPr>
                              <w:tc>
                                <w:tcPr>
                                  <w:tcW w:w="859" w:type="dxa"/>
                                  <w:tcBorders>
                                    <w:top w:val="nil"/>
                                    <w:bottom w:val="nil"/>
                                  </w:tcBorders>
                                  <w:shd w:val="clear" w:color="auto" w:fill="75F6F8"/>
                                </w:tcPr>
                                <w:p w14:paraId="207A9972" w14:textId="77777777" w:rsidR="002C6574" w:rsidRDefault="00000000">
                                  <w:pPr>
                                    <w:pStyle w:val="TableParagraph"/>
                                    <w:spacing w:line="165" w:lineRule="exact"/>
                                    <w:ind w:right="49"/>
                                    <w:rPr>
                                      <w:rFonts w:ascii="Arial MT"/>
                                      <w:sz w:val="16"/>
                                    </w:rPr>
                                  </w:pPr>
                                  <w:r>
                                    <w:rPr>
                                      <w:rFonts w:ascii="Arial MT"/>
                                      <w:spacing w:val="-2"/>
                                      <w:sz w:val="16"/>
                                    </w:rPr>
                                    <w:t>8.252</w:t>
                                  </w:r>
                                </w:p>
                              </w:tc>
                              <w:tc>
                                <w:tcPr>
                                  <w:tcW w:w="862" w:type="dxa"/>
                                  <w:tcBorders>
                                    <w:top w:val="nil"/>
                                    <w:bottom w:val="nil"/>
                                    <w:right w:val="nil"/>
                                  </w:tcBorders>
                                </w:tcPr>
                                <w:p w14:paraId="1A5D7798" w14:textId="77777777" w:rsidR="002C6574" w:rsidRDefault="00000000">
                                  <w:pPr>
                                    <w:pStyle w:val="TableParagraph"/>
                                    <w:spacing w:line="165" w:lineRule="exact"/>
                                    <w:ind w:right="60"/>
                                    <w:rPr>
                                      <w:rFonts w:ascii="Arial MT"/>
                                      <w:sz w:val="16"/>
                                    </w:rPr>
                                  </w:pPr>
                                  <w:r>
                                    <w:rPr>
                                      <w:rFonts w:ascii="Arial MT"/>
                                      <w:spacing w:val="-5"/>
                                      <w:sz w:val="16"/>
                                    </w:rPr>
                                    <w:t>217</w:t>
                                  </w:r>
                                </w:p>
                              </w:tc>
                            </w:tr>
                            <w:tr w:rsidR="002C6574" w14:paraId="27554168" w14:textId="77777777">
                              <w:trPr>
                                <w:trHeight w:val="183"/>
                              </w:trPr>
                              <w:tc>
                                <w:tcPr>
                                  <w:tcW w:w="859" w:type="dxa"/>
                                  <w:tcBorders>
                                    <w:top w:val="nil"/>
                                    <w:bottom w:val="nil"/>
                                  </w:tcBorders>
                                  <w:shd w:val="clear" w:color="auto" w:fill="75F6F8"/>
                                </w:tcPr>
                                <w:p w14:paraId="38E87963" w14:textId="77777777" w:rsidR="002C6574" w:rsidRDefault="00000000">
                                  <w:pPr>
                                    <w:pStyle w:val="TableParagraph"/>
                                    <w:spacing w:line="164" w:lineRule="exact"/>
                                    <w:ind w:right="49"/>
                                    <w:rPr>
                                      <w:rFonts w:ascii="Arial MT"/>
                                      <w:sz w:val="16"/>
                                    </w:rPr>
                                  </w:pPr>
                                  <w:r>
                                    <w:rPr>
                                      <w:rFonts w:ascii="Arial MT"/>
                                      <w:spacing w:val="-2"/>
                                      <w:sz w:val="16"/>
                                    </w:rPr>
                                    <w:t>7.425</w:t>
                                  </w:r>
                                </w:p>
                              </w:tc>
                              <w:tc>
                                <w:tcPr>
                                  <w:tcW w:w="862" w:type="dxa"/>
                                  <w:tcBorders>
                                    <w:top w:val="nil"/>
                                    <w:bottom w:val="nil"/>
                                    <w:right w:val="nil"/>
                                  </w:tcBorders>
                                </w:tcPr>
                                <w:p w14:paraId="4985A69A" w14:textId="77777777" w:rsidR="002C6574" w:rsidRDefault="00000000">
                                  <w:pPr>
                                    <w:pStyle w:val="TableParagraph"/>
                                    <w:spacing w:line="164" w:lineRule="exact"/>
                                    <w:ind w:right="60"/>
                                    <w:rPr>
                                      <w:rFonts w:ascii="Arial MT"/>
                                      <w:sz w:val="16"/>
                                    </w:rPr>
                                  </w:pPr>
                                  <w:r>
                                    <w:rPr>
                                      <w:rFonts w:ascii="Arial MT"/>
                                      <w:spacing w:val="-2"/>
                                      <w:sz w:val="16"/>
                                    </w:rPr>
                                    <w:t>1.298</w:t>
                                  </w:r>
                                </w:p>
                              </w:tc>
                            </w:tr>
                            <w:tr w:rsidR="002C6574" w14:paraId="5B92EDBB" w14:textId="77777777">
                              <w:trPr>
                                <w:trHeight w:val="180"/>
                              </w:trPr>
                              <w:tc>
                                <w:tcPr>
                                  <w:tcW w:w="859" w:type="dxa"/>
                                  <w:tcBorders>
                                    <w:top w:val="nil"/>
                                  </w:tcBorders>
                                  <w:shd w:val="clear" w:color="auto" w:fill="75F6F8"/>
                                </w:tcPr>
                                <w:p w14:paraId="0CBAF5FF" w14:textId="77777777" w:rsidR="002C6574" w:rsidRDefault="00000000">
                                  <w:pPr>
                                    <w:pStyle w:val="TableParagraph"/>
                                    <w:spacing w:line="160" w:lineRule="exact"/>
                                    <w:ind w:right="49"/>
                                    <w:rPr>
                                      <w:rFonts w:ascii="Arial MT"/>
                                      <w:sz w:val="16"/>
                                    </w:rPr>
                                  </w:pPr>
                                  <w:r>
                                    <w:rPr>
                                      <w:rFonts w:ascii="Arial MT"/>
                                      <w:spacing w:val="-2"/>
                                      <w:sz w:val="16"/>
                                    </w:rPr>
                                    <w:t>(7.502)</w:t>
                                  </w:r>
                                </w:p>
                              </w:tc>
                              <w:tc>
                                <w:tcPr>
                                  <w:tcW w:w="862" w:type="dxa"/>
                                  <w:tcBorders>
                                    <w:top w:val="nil"/>
                                    <w:right w:val="nil"/>
                                  </w:tcBorders>
                                </w:tcPr>
                                <w:p w14:paraId="7B7BE87D" w14:textId="77777777" w:rsidR="002C6574" w:rsidRDefault="00000000">
                                  <w:pPr>
                                    <w:pStyle w:val="TableParagraph"/>
                                    <w:spacing w:line="160" w:lineRule="exact"/>
                                    <w:ind w:right="60"/>
                                    <w:rPr>
                                      <w:rFonts w:ascii="Arial MT"/>
                                      <w:sz w:val="16"/>
                                    </w:rPr>
                                  </w:pPr>
                                  <w:r>
                                    <w:rPr>
                                      <w:rFonts w:ascii="Arial MT"/>
                                      <w:spacing w:val="-2"/>
                                      <w:sz w:val="16"/>
                                    </w:rPr>
                                    <w:t>43.723</w:t>
                                  </w:r>
                                </w:p>
                              </w:tc>
                            </w:tr>
                            <w:tr w:rsidR="002C6574" w14:paraId="7C80E459" w14:textId="77777777">
                              <w:trPr>
                                <w:trHeight w:val="183"/>
                              </w:trPr>
                              <w:tc>
                                <w:tcPr>
                                  <w:tcW w:w="859" w:type="dxa"/>
                                  <w:shd w:val="clear" w:color="auto" w:fill="75F6F8"/>
                                </w:tcPr>
                                <w:p w14:paraId="2EB7158C" w14:textId="77777777" w:rsidR="002C6574" w:rsidRDefault="00000000">
                                  <w:pPr>
                                    <w:pStyle w:val="TableParagraph"/>
                                    <w:spacing w:line="163" w:lineRule="exact"/>
                                    <w:ind w:right="49"/>
                                    <w:rPr>
                                      <w:rFonts w:ascii="Arial"/>
                                      <w:b/>
                                      <w:sz w:val="16"/>
                                    </w:rPr>
                                  </w:pPr>
                                  <w:r>
                                    <w:rPr>
                                      <w:rFonts w:ascii="Arial"/>
                                      <w:b/>
                                      <w:spacing w:val="-2"/>
                                      <w:sz w:val="16"/>
                                    </w:rPr>
                                    <w:t>(252.902)</w:t>
                                  </w:r>
                                </w:p>
                              </w:tc>
                              <w:tc>
                                <w:tcPr>
                                  <w:tcW w:w="862" w:type="dxa"/>
                                  <w:tcBorders>
                                    <w:right w:val="nil"/>
                                  </w:tcBorders>
                                </w:tcPr>
                                <w:p w14:paraId="40C263F1" w14:textId="77777777" w:rsidR="002C6574" w:rsidRDefault="00000000">
                                  <w:pPr>
                                    <w:pStyle w:val="TableParagraph"/>
                                    <w:spacing w:line="163" w:lineRule="exact"/>
                                    <w:ind w:right="60"/>
                                    <w:rPr>
                                      <w:rFonts w:ascii="Arial"/>
                                      <w:b/>
                                      <w:sz w:val="16"/>
                                    </w:rPr>
                                  </w:pPr>
                                  <w:r>
                                    <w:rPr>
                                      <w:rFonts w:ascii="Arial"/>
                                      <w:b/>
                                      <w:spacing w:val="-2"/>
                                      <w:sz w:val="16"/>
                                    </w:rPr>
                                    <w:t>(13.984)</w:t>
                                  </w:r>
                                </w:p>
                              </w:tc>
                            </w:tr>
                            <w:tr w:rsidR="002C6574" w14:paraId="44817C29" w14:textId="77777777">
                              <w:trPr>
                                <w:trHeight w:val="372"/>
                              </w:trPr>
                              <w:tc>
                                <w:tcPr>
                                  <w:tcW w:w="859" w:type="dxa"/>
                                  <w:tcBorders>
                                    <w:bottom w:val="nil"/>
                                  </w:tcBorders>
                                  <w:shd w:val="clear" w:color="auto" w:fill="75F6F8"/>
                                </w:tcPr>
                                <w:p w14:paraId="77C51554" w14:textId="77777777" w:rsidR="002C6574" w:rsidRDefault="002C6574">
                                  <w:pPr>
                                    <w:pStyle w:val="TableParagraph"/>
                                    <w:spacing w:before="1"/>
                                    <w:jc w:val="left"/>
                                    <w:rPr>
                                      <w:rFonts w:ascii="Times New Roman"/>
                                      <w:sz w:val="16"/>
                                    </w:rPr>
                                  </w:pPr>
                                </w:p>
                                <w:p w14:paraId="5ED0200A" w14:textId="77777777" w:rsidR="002C6574" w:rsidRDefault="00000000">
                                  <w:pPr>
                                    <w:pStyle w:val="TableParagraph"/>
                                    <w:spacing w:line="167" w:lineRule="exact"/>
                                    <w:ind w:right="49"/>
                                    <w:rPr>
                                      <w:rFonts w:ascii="Arial MT"/>
                                      <w:sz w:val="16"/>
                                    </w:rPr>
                                  </w:pPr>
                                  <w:r>
                                    <w:rPr>
                                      <w:rFonts w:ascii="Arial MT"/>
                                      <w:spacing w:val="-2"/>
                                      <w:sz w:val="16"/>
                                    </w:rPr>
                                    <w:t>(4.777)</w:t>
                                  </w:r>
                                </w:p>
                              </w:tc>
                              <w:tc>
                                <w:tcPr>
                                  <w:tcW w:w="862" w:type="dxa"/>
                                  <w:tcBorders>
                                    <w:bottom w:val="nil"/>
                                    <w:right w:val="nil"/>
                                  </w:tcBorders>
                                </w:tcPr>
                                <w:p w14:paraId="716A0874" w14:textId="77777777" w:rsidR="002C6574" w:rsidRDefault="002C6574">
                                  <w:pPr>
                                    <w:pStyle w:val="TableParagraph"/>
                                    <w:spacing w:before="1"/>
                                    <w:jc w:val="left"/>
                                    <w:rPr>
                                      <w:rFonts w:ascii="Times New Roman"/>
                                      <w:sz w:val="16"/>
                                    </w:rPr>
                                  </w:pPr>
                                </w:p>
                                <w:p w14:paraId="0BD34EC4" w14:textId="77777777" w:rsidR="002C6574" w:rsidRDefault="00000000">
                                  <w:pPr>
                                    <w:pStyle w:val="TableParagraph"/>
                                    <w:spacing w:line="167" w:lineRule="exact"/>
                                    <w:ind w:right="60"/>
                                    <w:rPr>
                                      <w:rFonts w:ascii="Arial MT"/>
                                      <w:sz w:val="16"/>
                                    </w:rPr>
                                  </w:pPr>
                                  <w:r>
                                    <w:rPr>
                                      <w:rFonts w:ascii="Arial MT"/>
                                      <w:spacing w:val="-2"/>
                                      <w:sz w:val="16"/>
                                    </w:rPr>
                                    <w:t>(1.549)</w:t>
                                  </w:r>
                                </w:p>
                              </w:tc>
                            </w:tr>
                            <w:tr w:rsidR="002C6574" w14:paraId="0F67ABB9" w14:textId="77777777">
                              <w:trPr>
                                <w:trHeight w:val="183"/>
                              </w:trPr>
                              <w:tc>
                                <w:tcPr>
                                  <w:tcW w:w="859" w:type="dxa"/>
                                  <w:tcBorders>
                                    <w:top w:val="nil"/>
                                    <w:bottom w:val="nil"/>
                                  </w:tcBorders>
                                  <w:shd w:val="clear" w:color="auto" w:fill="75F6F8"/>
                                </w:tcPr>
                                <w:p w14:paraId="36850B42" w14:textId="77777777" w:rsidR="002C6574" w:rsidRDefault="00000000">
                                  <w:pPr>
                                    <w:pStyle w:val="TableParagraph"/>
                                    <w:spacing w:line="164" w:lineRule="exact"/>
                                    <w:ind w:right="49"/>
                                    <w:rPr>
                                      <w:rFonts w:ascii="Arial MT"/>
                                      <w:sz w:val="16"/>
                                    </w:rPr>
                                  </w:pPr>
                                  <w:r>
                                    <w:rPr>
                                      <w:rFonts w:ascii="Arial MT"/>
                                      <w:spacing w:val="-2"/>
                                      <w:sz w:val="16"/>
                                    </w:rPr>
                                    <w:t>(7.894)</w:t>
                                  </w:r>
                                </w:p>
                              </w:tc>
                              <w:tc>
                                <w:tcPr>
                                  <w:tcW w:w="862" w:type="dxa"/>
                                  <w:tcBorders>
                                    <w:top w:val="nil"/>
                                    <w:bottom w:val="nil"/>
                                    <w:right w:val="nil"/>
                                  </w:tcBorders>
                                </w:tcPr>
                                <w:p w14:paraId="290DBF11" w14:textId="77777777" w:rsidR="002C6574" w:rsidRDefault="00000000">
                                  <w:pPr>
                                    <w:pStyle w:val="TableParagraph"/>
                                    <w:spacing w:line="164" w:lineRule="exact"/>
                                    <w:ind w:right="57"/>
                                    <w:rPr>
                                      <w:rFonts w:ascii="Arial MT"/>
                                      <w:sz w:val="16"/>
                                    </w:rPr>
                                  </w:pPr>
                                  <w:r>
                                    <w:rPr>
                                      <w:rFonts w:ascii="Arial MT"/>
                                      <w:spacing w:val="-10"/>
                                      <w:sz w:val="16"/>
                                    </w:rPr>
                                    <w:t>-</w:t>
                                  </w:r>
                                </w:p>
                              </w:tc>
                            </w:tr>
                            <w:tr w:rsidR="002C6574" w14:paraId="0CFCC966" w14:textId="77777777">
                              <w:trPr>
                                <w:trHeight w:val="183"/>
                              </w:trPr>
                              <w:tc>
                                <w:tcPr>
                                  <w:tcW w:w="859" w:type="dxa"/>
                                  <w:tcBorders>
                                    <w:top w:val="nil"/>
                                    <w:bottom w:val="nil"/>
                                  </w:tcBorders>
                                  <w:shd w:val="clear" w:color="auto" w:fill="75F6F8"/>
                                </w:tcPr>
                                <w:p w14:paraId="173382B2" w14:textId="77777777" w:rsidR="002C6574" w:rsidRDefault="00000000">
                                  <w:pPr>
                                    <w:pStyle w:val="TableParagraph"/>
                                    <w:spacing w:line="164" w:lineRule="exact"/>
                                    <w:ind w:right="52"/>
                                    <w:rPr>
                                      <w:rFonts w:ascii="Arial MT"/>
                                      <w:sz w:val="16"/>
                                    </w:rPr>
                                  </w:pPr>
                                  <w:r>
                                    <w:rPr>
                                      <w:rFonts w:ascii="Arial MT"/>
                                      <w:spacing w:val="-2"/>
                                      <w:sz w:val="16"/>
                                    </w:rPr>
                                    <w:t>(224)</w:t>
                                  </w:r>
                                </w:p>
                              </w:tc>
                              <w:tc>
                                <w:tcPr>
                                  <w:tcW w:w="862" w:type="dxa"/>
                                  <w:tcBorders>
                                    <w:top w:val="nil"/>
                                    <w:bottom w:val="nil"/>
                                    <w:right w:val="nil"/>
                                  </w:tcBorders>
                                </w:tcPr>
                                <w:p w14:paraId="2E2999C4" w14:textId="77777777" w:rsidR="002C6574" w:rsidRDefault="00000000">
                                  <w:pPr>
                                    <w:pStyle w:val="TableParagraph"/>
                                    <w:spacing w:line="164" w:lineRule="exact"/>
                                    <w:ind w:right="60"/>
                                    <w:rPr>
                                      <w:rFonts w:ascii="Arial MT"/>
                                      <w:sz w:val="16"/>
                                    </w:rPr>
                                  </w:pPr>
                                  <w:r>
                                    <w:rPr>
                                      <w:rFonts w:ascii="Arial MT"/>
                                      <w:spacing w:val="-2"/>
                                      <w:sz w:val="16"/>
                                    </w:rPr>
                                    <w:t>(2.530)</w:t>
                                  </w:r>
                                </w:p>
                              </w:tc>
                            </w:tr>
                            <w:tr w:rsidR="002C6574" w14:paraId="22AB6D3F" w14:textId="77777777">
                              <w:trPr>
                                <w:trHeight w:val="184"/>
                              </w:trPr>
                              <w:tc>
                                <w:tcPr>
                                  <w:tcW w:w="859" w:type="dxa"/>
                                  <w:tcBorders>
                                    <w:top w:val="nil"/>
                                    <w:bottom w:val="nil"/>
                                  </w:tcBorders>
                                  <w:shd w:val="clear" w:color="auto" w:fill="75F6F8"/>
                                </w:tcPr>
                                <w:p w14:paraId="58C715AF" w14:textId="77777777" w:rsidR="002C6574" w:rsidRDefault="00000000">
                                  <w:pPr>
                                    <w:pStyle w:val="TableParagraph"/>
                                    <w:spacing w:line="165" w:lineRule="exact"/>
                                    <w:ind w:right="52"/>
                                    <w:rPr>
                                      <w:rFonts w:ascii="Arial MT"/>
                                      <w:sz w:val="16"/>
                                    </w:rPr>
                                  </w:pPr>
                                  <w:r>
                                    <w:rPr>
                                      <w:rFonts w:ascii="Arial MT"/>
                                      <w:spacing w:val="-2"/>
                                      <w:sz w:val="16"/>
                                    </w:rPr>
                                    <w:t>(868)</w:t>
                                  </w:r>
                                </w:p>
                              </w:tc>
                              <w:tc>
                                <w:tcPr>
                                  <w:tcW w:w="862" w:type="dxa"/>
                                  <w:tcBorders>
                                    <w:top w:val="nil"/>
                                    <w:bottom w:val="nil"/>
                                    <w:right w:val="nil"/>
                                  </w:tcBorders>
                                </w:tcPr>
                                <w:p w14:paraId="6897CD4A" w14:textId="77777777" w:rsidR="002C6574" w:rsidRDefault="00000000">
                                  <w:pPr>
                                    <w:pStyle w:val="TableParagraph"/>
                                    <w:spacing w:line="165" w:lineRule="exact"/>
                                    <w:ind w:right="63"/>
                                    <w:rPr>
                                      <w:rFonts w:ascii="Arial MT"/>
                                      <w:sz w:val="16"/>
                                    </w:rPr>
                                  </w:pPr>
                                  <w:r>
                                    <w:rPr>
                                      <w:rFonts w:ascii="Arial MT"/>
                                      <w:spacing w:val="-2"/>
                                      <w:sz w:val="16"/>
                                    </w:rPr>
                                    <w:t>(741)</w:t>
                                  </w:r>
                                </w:p>
                              </w:tc>
                            </w:tr>
                            <w:tr w:rsidR="002C6574" w14:paraId="589C8DBE" w14:textId="77777777">
                              <w:trPr>
                                <w:trHeight w:val="183"/>
                              </w:trPr>
                              <w:tc>
                                <w:tcPr>
                                  <w:tcW w:w="859" w:type="dxa"/>
                                  <w:tcBorders>
                                    <w:top w:val="nil"/>
                                    <w:bottom w:val="nil"/>
                                  </w:tcBorders>
                                  <w:shd w:val="clear" w:color="auto" w:fill="75F6F8"/>
                                </w:tcPr>
                                <w:p w14:paraId="258AC9CD" w14:textId="77777777" w:rsidR="002C6574" w:rsidRDefault="00000000">
                                  <w:pPr>
                                    <w:pStyle w:val="TableParagraph"/>
                                    <w:spacing w:line="164" w:lineRule="exact"/>
                                    <w:ind w:right="49"/>
                                    <w:rPr>
                                      <w:rFonts w:ascii="Arial MT"/>
                                      <w:sz w:val="16"/>
                                    </w:rPr>
                                  </w:pPr>
                                  <w:r>
                                    <w:rPr>
                                      <w:rFonts w:ascii="Arial MT"/>
                                      <w:spacing w:val="-2"/>
                                      <w:sz w:val="16"/>
                                    </w:rPr>
                                    <w:t>(3.298)</w:t>
                                  </w:r>
                                </w:p>
                              </w:tc>
                              <w:tc>
                                <w:tcPr>
                                  <w:tcW w:w="862" w:type="dxa"/>
                                  <w:tcBorders>
                                    <w:top w:val="nil"/>
                                    <w:bottom w:val="nil"/>
                                    <w:right w:val="nil"/>
                                  </w:tcBorders>
                                </w:tcPr>
                                <w:p w14:paraId="586C94FD" w14:textId="77777777" w:rsidR="002C6574" w:rsidRDefault="00000000">
                                  <w:pPr>
                                    <w:pStyle w:val="TableParagraph"/>
                                    <w:spacing w:line="164" w:lineRule="exact"/>
                                    <w:ind w:right="63"/>
                                    <w:rPr>
                                      <w:rFonts w:ascii="Arial MT"/>
                                      <w:sz w:val="16"/>
                                    </w:rPr>
                                  </w:pPr>
                                  <w:r>
                                    <w:rPr>
                                      <w:rFonts w:ascii="Arial MT"/>
                                      <w:spacing w:val="-2"/>
                                      <w:sz w:val="16"/>
                                    </w:rPr>
                                    <w:t>(350)</w:t>
                                  </w:r>
                                </w:p>
                              </w:tc>
                            </w:tr>
                            <w:tr w:rsidR="002C6574" w14:paraId="4662F292" w14:textId="77777777">
                              <w:trPr>
                                <w:trHeight w:val="180"/>
                              </w:trPr>
                              <w:tc>
                                <w:tcPr>
                                  <w:tcW w:w="859" w:type="dxa"/>
                                  <w:tcBorders>
                                    <w:top w:val="nil"/>
                                  </w:tcBorders>
                                  <w:shd w:val="clear" w:color="auto" w:fill="75F6F8"/>
                                </w:tcPr>
                                <w:p w14:paraId="08F69814" w14:textId="77777777" w:rsidR="002C6574" w:rsidRDefault="00000000">
                                  <w:pPr>
                                    <w:pStyle w:val="TableParagraph"/>
                                    <w:spacing w:line="160" w:lineRule="exact"/>
                                    <w:ind w:right="49"/>
                                    <w:rPr>
                                      <w:rFonts w:ascii="Arial MT"/>
                                      <w:sz w:val="16"/>
                                    </w:rPr>
                                  </w:pPr>
                                  <w:r>
                                    <w:rPr>
                                      <w:rFonts w:ascii="Arial MT"/>
                                      <w:spacing w:val="-2"/>
                                      <w:sz w:val="16"/>
                                    </w:rPr>
                                    <w:t>(9.807)</w:t>
                                  </w:r>
                                </w:p>
                              </w:tc>
                              <w:tc>
                                <w:tcPr>
                                  <w:tcW w:w="862" w:type="dxa"/>
                                  <w:tcBorders>
                                    <w:top w:val="nil"/>
                                    <w:right w:val="nil"/>
                                  </w:tcBorders>
                                </w:tcPr>
                                <w:p w14:paraId="7734F9E0" w14:textId="77777777" w:rsidR="002C6574" w:rsidRDefault="00000000">
                                  <w:pPr>
                                    <w:pStyle w:val="TableParagraph"/>
                                    <w:spacing w:line="160" w:lineRule="exact"/>
                                    <w:ind w:right="60"/>
                                    <w:rPr>
                                      <w:rFonts w:ascii="Arial MT"/>
                                      <w:sz w:val="16"/>
                                    </w:rPr>
                                  </w:pPr>
                                  <w:r>
                                    <w:rPr>
                                      <w:rFonts w:ascii="Arial MT"/>
                                      <w:spacing w:val="-2"/>
                                      <w:sz w:val="16"/>
                                    </w:rPr>
                                    <w:t>(12.817)</w:t>
                                  </w:r>
                                </w:p>
                              </w:tc>
                            </w:tr>
                            <w:tr w:rsidR="002C6574" w14:paraId="7EA45659" w14:textId="77777777">
                              <w:trPr>
                                <w:trHeight w:val="183"/>
                              </w:trPr>
                              <w:tc>
                                <w:tcPr>
                                  <w:tcW w:w="859" w:type="dxa"/>
                                  <w:shd w:val="clear" w:color="auto" w:fill="75F6F8"/>
                                </w:tcPr>
                                <w:p w14:paraId="5D00AFF7" w14:textId="77777777" w:rsidR="002C6574" w:rsidRDefault="00000000">
                                  <w:pPr>
                                    <w:pStyle w:val="TableParagraph"/>
                                    <w:spacing w:line="163" w:lineRule="exact"/>
                                    <w:ind w:right="49"/>
                                    <w:rPr>
                                      <w:rFonts w:ascii="Arial"/>
                                      <w:b/>
                                      <w:sz w:val="16"/>
                                    </w:rPr>
                                  </w:pPr>
                                  <w:r>
                                    <w:rPr>
                                      <w:rFonts w:ascii="Arial"/>
                                      <w:b/>
                                      <w:spacing w:val="-2"/>
                                      <w:sz w:val="16"/>
                                    </w:rPr>
                                    <w:t>(26.868)</w:t>
                                  </w:r>
                                </w:p>
                              </w:tc>
                              <w:tc>
                                <w:tcPr>
                                  <w:tcW w:w="862" w:type="dxa"/>
                                  <w:tcBorders>
                                    <w:right w:val="nil"/>
                                  </w:tcBorders>
                                </w:tcPr>
                                <w:p w14:paraId="7E6B8A44" w14:textId="77777777" w:rsidR="002C6574" w:rsidRDefault="00000000">
                                  <w:pPr>
                                    <w:pStyle w:val="TableParagraph"/>
                                    <w:spacing w:line="163" w:lineRule="exact"/>
                                    <w:ind w:right="60"/>
                                    <w:rPr>
                                      <w:rFonts w:ascii="Arial"/>
                                      <w:b/>
                                      <w:sz w:val="16"/>
                                    </w:rPr>
                                  </w:pPr>
                                  <w:r>
                                    <w:rPr>
                                      <w:rFonts w:ascii="Arial"/>
                                      <w:b/>
                                      <w:spacing w:val="-2"/>
                                      <w:sz w:val="16"/>
                                    </w:rPr>
                                    <w:t>(17.987)</w:t>
                                  </w:r>
                                </w:p>
                              </w:tc>
                            </w:tr>
                            <w:tr w:rsidR="002C6574" w14:paraId="6B5FCD38" w14:textId="77777777">
                              <w:trPr>
                                <w:trHeight w:val="183"/>
                              </w:trPr>
                              <w:tc>
                                <w:tcPr>
                                  <w:tcW w:w="859" w:type="dxa"/>
                                  <w:tcBorders>
                                    <w:bottom w:val="single" w:sz="8" w:space="0" w:color="3616F6"/>
                                  </w:tcBorders>
                                  <w:shd w:val="clear" w:color="auto" w:fill="75F6F8"/>
                                </w:tcPr>
                                <w:p w14:paraId="01919A15" w14:textId="77777777" w:rsidR="002C6574" w:rsidRDefault="00000000">
                                  <w:pPr>
                                    <w:pStyle w:val="TableParagraph"/>
                                    <w:spacing w:line="163" w:lineRule="exact"/>
                                    <w:ind w:right="49"/>
                                    <w:rPr>
                                      <w:rFonts w:ascii="Arial"/>
                                      <w:b/>
                                      <w:sz w:val="16"/>
                                    </w:rPr>
                                  </w:pPr>
                                  <w:r>
                                    <w:rPr>
                                      <w:rFonts w:ascii="Arial"/>
                                      <w:b/>
                                      <w:spacing w:val="-2"/>
                                      <w:sz w:val="16"/>
                                    </w:rPr>
                                    <w:t>52.129</w:t>
                                  </w:r>
                                </w:p>
                              </w:tc>
                              <w:tc>
                                <w:tcPr>
                                  <w:tcW w:w="862" w:type="dxa"/>
                                  <w:tcBorders>
                                    <w:bottom w:val="single" w:sz="8" w:space="0" w:color="3616F6"/>
                                    <w:right w:val="nil"/>
                                  </w:tcBorders>
                                </w:tcPr>
                                <w:p w14:paraId="49D0D3F2" w14:textId="77777777" w:rsidR="002C6574" w:rsidRDefault="00000000">
                                  <w:pPr>
                                    <w:pStyle w:val="TableParagraph"/>
                                    <w:spacing w:line="163" w:lineRule="exact"/>
                                    <w:ind w:right="60"/>
                                    <w:rPr>
                                      <w:rFonts w:ascii="Arial"/>
                                      <w:b/>
                                      <w:sz w:val="16"/>
                                    </w:rPr>
                                  </w:pPr>
                                  <w:r>
                                    <w:rPr>
                                      <w:rFonts w:ascii="Arial"/>
                                      <w:b/>
                                      <w:spacing w:val="-2"/>
                                      <w:sz w:val="16"/>
                                    </w:rPr>
                                    <w:t>121.636</w:t>
                                  </w:r>
                                </w:p>
                              </w:tc>
                            </w:tr>
                            <w:tr w:rsidR="002C6574" w14:paraId="40F51791" w14:textId="77777777">
                              <w:trPr>
                                <w:trHeight w:val="372"/>
                              </w:trPr>
                              <w:tc>
                                <w:tcPr>
                                  <w:tcW w:w="859" w:type="dxa"/>
                                  <w:tcBorders>
                                    <w:top w:val="single" w:sz="8" w:space="0" w:color="3616F6"/>
                                    <w:bottom w:val="nil"/>
                                  </w:tcBorders>
                                  <w:shd w:val="clear" w:color="auto" w:fill="75F6F8"/>
                                </w:tcPr>
                                <w:p w14:paraId="5550CEA2" w14:textId="77777777" w:rsidR="002C6574" w:rsidRDefault="002C6574">
                                  <w:pPr>
                                    <w:pStyle w:val="TableParagraph"/>
                                    <w:spacing w:before="1"/>
                                    <w:jc w:val="left"/>
                                    <w:rPr>
                                      <w:rFonts w:ascii="Times New Roman"/>
                                      <w:sz w:val="16"/>
                                    </w:rPr>
                                  </w:pPr>
                                </w:p>
                                <w:p w14:paraId="18140F45" w14:textId="77777777" w:rsidR="002C6574" w:rsidRDefault="00000000">
                                  <w:pPr>
                                    <w:pStyle w:val="TableParagraph"/>
                                    <w:spacing w:line="167" w:lineRule="exact"/>
                                    <w:ind w:right="49"/>
                                    <w:rPr>
                                      <w:rFonts w:ascii="Arial MT"/>
                                      <w:sz w:val="16"/>
                                    </w:rPr>
                                  </w:pPr>
                                  <w:r>
                                    <w:rPr>
                                      <w:rFonts w:ascii="Arial MT"/>
                                      <w:spacing w:val="-2"/>
                                      <w:sz w:val="16"/>
                                    </w:rPr>
                                    <w:t>(25.584)</w:t>
                                  </w:r>
                                </w:p>
                              </w:tc>
                              <w:tc>
                                <w:tcPr>
                                  <w:tcW w:w="862" w:type="dxa"/>
                                  <w:tcBorders>
                                    <w:top w:val="single" w:sz="8" w:space="0" w:color="3616F6"/>
                                    <w:bottom w:val="nil"/>
                                    <w:right w:val="nil"/>
                                  </w:tcBorders>
                                </w:tcPr>
                                <w:p w14:paraId="549A8B8E" w14:textId="77777777" w:rsidR="002C6574" w:rsidRDefault="002C6574">
                                  <w:pPr>
                                    <w:pStyle w:val="TableParagraph"/>
                                    <w:spacing w:before="1"/>
                                    <w:jc w:val="left"/>
                                    <w:rPr>
                                      <w:rFonts w:ascii="Times New Roman"/>
                                      <w:sz w:val="16"/>
                                    </w:rPr>
                                  </w:pPr>
                                </w:p>
                                <w:p w14:paraId="47E896FC" w14:textId="77777777" w:rsidR="002C6574" w:rsidRDefault="00000000">
                                  <w:pPr>
                                    <w:pStyle w:val="TableParagraph"/>
                                    <w:spacing w:line="167" w:lineRule="exact"/>
                                    <w:ind w:right="60"/>
                                    <w:rPr>
                                      <w:rFonts w:ascii="Arial MT"/>
                                      <w:sz w:val="16"/>
                                    </w:rPr>
                                  </w:pPr>
                                  <w:r>
                                    <w:rPr>
                                      <w:rFonts w:ascii="Arial MT"/>
                                      <w:spacing w:val="-2"/>
                                      <w:sz w:val="16"/>
                                    </w:rPr>
                                    <w:t>(41.772)</w:t>
                                  </w:r>
                                </w:p>
                              </w:tc>
                            </w:tr>
                            <w:tr w:rsidR="002C6574" w14:paraId="26C12232" w14:textId="77777777">
                              <w:trPr>
                                <w:trHeight w:val="181"/>
                              </w:trPr>
                              <w:tc>
                                <w:tcPr>
                                  <w:tcW w:w="859" w:type="dxa"/>
                                  <w:tcBorders>
                                    <w:top w:val="nil"/>
                                    <w:bottom w:val="single" w:sz="8" w:space="0" w:color="3616F6"/>
                                  </w:tcBorders>
                                  <w:shd w:val="clear" w:color="auto" w:fill="75F6F8"/>
                                </w:tcPr>
                                <w:p w14:paraId="1595DD3C" w14:textId="77777777" w:rsidR="002C6574" w:rsidRDefault="00000000">
                                  <w:pPr>
                                    <w:pStyle w:val="TableParagraph"/>
                                    <w:spacing w:line="161" w:lineRule="exact"/>
                                    <w:ind w:right="49"/>
                                    <w:rPr>
                                      <w:rFonts w:ascii="Arial MT"/>
                                      <w:sz w:val="16"/>
                                    </w:rPr>
                                  </w:pPr>
                                  <w:r>
                                    <w:rPr>
                                      <w:rFonts w:ascii="Arial MT"/>
                                      <w:spacing w:val="-2"/>
                                      <w:sz w:val="16"/>
                                    </w:rPr>
                                    <w:t>39.973</w:t>
                                  </w:r>
                                </w:p>
                              </w:tc>
                              <w:tc>
                                <w:tcPr>
                                  <w:tcW w:w="862" w:type="dxa"/>
                                  <w:tcBorders>
                                    <w:top w:val="nil"/>
                                    <w:bottom w:val="single" w:sz="8" w:space="0" w:color="3616F6"/>
                                    <w:right w:val="nil"/>
                                  </w:tcBorders>
                                </w:tcPr>
                                <w:p w14:paraId="31550C2F" w14:textId="77777777" w:rsidR="002C6574" w:rsidRDefault="00000000">
                                  <w:pPr>
                                    <w:pStyle w:val="TableParagraph"/>
                                    <w:spacing w:line="161" w:lineRule="exact"/>
                                    <w:ind w:right="57"/>
                                    <w:rPr>
                                      <w:rFonts w:ascii="Arial MT"/>
                                      <w:sz w:val="16"/>
                                    </w:rPr>
                                  </w:pPr>
                                  <w:r>
                                    <w:rPr>
                                      <w:rFonts w:ascii="Arial MT"/>
                                      <w:spacing w:val="-10"/>
                                      <w:sz w:val="16"/>
                                    </w:rPr>
                                    <w:t>-</w:t>
                                  </w:r>
                                </w:p>
                              </w:tc>
                            </w:tr>
                            <w:tr w:rsidR="002C6574" w14:paraId="434FDD09" w14:textId="77777777">
                              <w:trPr>
                                <w:trHeight w:val="183"/>
                              </w:trPr>
                              <w:tc>
                                <w:tcPr>
                                  <w:tcW w:w="859" w:type="dxa"/>
                                  <w:tcBorders>
                                    <w:top w:val="single" w:sz="8" w:space="0" w:color="3616F6"/>
                                    <w:bottom w:val="single" w:sz="8" w:space="0" w:color="3616F6"/>
                                  </w:tcBorders>
                                  <w:shd w:val="clear" w:color="auto" w:fill="75F6F8"/>
                                </w:tcPr>
                                <w:p w14:paraId="5A4997B4" w14:textId="77777777" w:rsidR="002C6574" w:rsidRDefault="00000000">
                                  <w:pPr>
                                    <w:pStyle w:val="TableParagraph"/>
                                    <w:spacing w:line="163" w:lineRule="exact"/>
                                    <w:ind w:right="49"/>
                                    <w:rPr>
                                      <w:rFonts w:ascii="Arial"/>
                                      <w:b/>
                                      <w:sz w:val="16"/>
                                    </w:rPr>
                                  </w:pPr>
                                  <w:r>
                                    <w:rPr>
                                      <w:rFonts w:ascii="Arial"/>
                                      <w:b/>
                                      <w:spacing w:val="-2"/>
                                      <w:sz w:val="16"/>
                                    </w:rPr>
                                    <w:t>14.389</w:t>
                                  </w:r>
                                </w:p>
                              </w:tc>
                              <w:tc>
                                <w:tcPr>
                                  <w:tcW w:w="862" w:type="dxa"/>
                                  <w:tcBorders>
                                    <w:top w:val="single" w:sz="8" w:space="0" w:color="3616F6"/>
                                    <w:bottom w:val="single" w:sz="8" w:space="0" w:color="3616F6"/>
                                    <w:right w:val="nil"/>
                                  </w:tcBorders>
                                </w:tcPr>
                                <w:p w14:paraId="544DAF6D" w14:textId="77777777" w:rsidR="002C6574" w:rsidRDefault="00000000">
                                  <w:pPr>
                                    <w:pStyle w:val="TableParagraph"/>
                                    <w:spacing w:line="163" w:lineRule="exact"/>
                                    <w:ind w:right="60"/>
                                    <w:rPr>
                                      <w:rFonts w:ascii="Arial"/>
                                      <w:b/>
                                      <w:sz w:val="16"/>
                                    </w:rPr>
                                  </w:pPr>
                                  <w:r>
                                    <w:rPr>
                                      <w:rFonts w:ascii="Arial"/>
                                      <w:b/>
                                      <w:spacing w:val="-2"/>
                                      <w:sz w:val="16"/>
                                    </w:rPr>
                                    <w:t>(41.772)</w:t>
                                  </w:r>
                                </w:p>
                              </w:tc>
                            </w:tr>
                            <w:tr w:rsidR="002C6574" w14:paraId="0BC6BFC6" w14:textId="77777777">
                              <w:trPr>
                                <w:trHeight w:val="370"/>
                              </w:trPr>
                              <w:tc>
                                <w:tcPr>
                                  <w:tcW w:w="859" w:type="dxa"/>
                                  <w:tcBorders>
                                    <w:top w:val="single" w:sz="8" w:space="0" w:color="3616F6"/>
                                    <w:bottom w:val="nil"/>
                                  </w:tcBorders>
                                  <w:shd w:val="clear" w:color="auto" w:fill="75F6F8"/>
                                </w:tcPr>
                                <w:p w14:paraId="69DF8672" w14:textId="77777777" w:rsidR="002C6574" w:rsidRDefault="00000000">
                                  <w:pPr>
                                    <w:pStyle w:val="TableParagraph"/>
                                    <w:spacing w:before="183" w:line="167" w:lineRule="exact"/>
                                    <w:ind w:right="49"/>
                                    <w:rPr>
                                      <w:rFonts w:ascii="Arial MT"/>
                                      <w:sz w:val="16"/>
                                    </w:rPr>
                                  </w:pPr>
                                  <w:r>
                                    <w:rPr>
                                      <w:rFonts w:ascii="Arial MT"/>
                                      <w:spacing w:val="-2"/>
                                      <w:sz w:val="16"/>
                                    </w:rPr>
                                    <w:t>(123.183)</w:t>
                                  </w:r>
                                </w:p>
                              </w:tc>
                              <w:tc>
                                <w:tcPr>
                                  <w:tcW w:w="862" w:type="dxa"/>
                                  <w:tcBorders>
                                    <w:top w:val="single" w:sz="8" w:space="0" w:color="3616F6"/>
                                    <w:bottom w:val="nil"/>
                                    <w:right w:val="nil"/>
                                  </w:tcBorders>
                                </w:tcPr>
                                <w:p w14:paraId="3F35BDFF" w14:textId="77777777" w:rsidR="002C6574" w:rsidRDefault="00000000">
                                  <w:pPr>
                                    <w:pStyle w:val="TableParagraph"/>
                                    <w:spacing w:before="183" w:line="167" w:lineRule="exact"/>
                                    <w:ind w:right="60"/>
                                    <w:rPr>
                                      <w:rFonts w:ascii="Arial MT"/>
                                      <w:sz w:val="16"/>
                                    </w:rPr>
                                  </w:pPr>
                                  <w:r>
                                    <w:rPr>
                                      <w:rFonts w:ascii="Arial MT"/>
                                      <w:spacing w:val="-2"/>
                                      <w:sz w:val="16"/>
                                    </w:rPr>
                                    <w:t>(13.740)</w:t>
                                  </w:r>
                                </w:p>
                              </w:tc>
                            </w:tr>
                            <w:tr w:rsidR="002C6574" w14:paraId="7E8E7C03" w14:textId="77777777">
                              <w:trPr>
                                <w:trHeight w:val="184"/>
                              </w:trPr>
                              <w:tc>
                                <w:tcPr>
                                  <w:tcW w:w="859" w:type="dxa"/>
                                  <w:tcBorders>
                                    <w:top w:val="nil"/>
                                    <w:bottom w:val="nil"/>
                                  </w:tcBorders>
                                  <w:shd w:val="clear" w:color="auto" w:fill="75F6F8"/>
                                </w:tcPr>
                                <w:p w14:paraId="62B7C421" w14:textId="77777777" w:rsidR="002C6574" w:rsidRDefault="00000000">
                                  <w:pPr>
                                    <w:pStyle w:val="TableParagraph"/>
                                    <w:spacing w:line="165" w:lineRule="exact"/>
                                    <w:ind w:right="49"/>
                                    <w:rPr>
                                      <w:rFonts w:ascii="Arial MT"/>
                                      <w:sz w:val="16"/>
                                    </w:rPr>
                                  </w:pPr>
                                  <w:r>
                                    <w:rPr>
                                      <w:rFonts w:ascii="Arial MT"/>
                                      <w:spacing w:val="-2"/>
                                      <w:sz w:val="16"/>
                                    </w:rPr>
                                    <w:t>(45.777)</w:t>
                                  </w:r>
                                </w:p>
                              </w:tc>
                              <w:tc>
                                <w:tcPr>
                                  <w:tcW w:w="862" w:type="dxa"/>
                                  <w:tcBorders>
                                    <w:top w:val="nil"/>
                                    <w:bottom w:val="nil"/>
                                    <w:right w:val="nil"/>
                                  </w:tcBorders>
                                </w:tcPr>
                                <w:p w14:paraId="3EEBFE7B" w14:textId="77777777" w:rsidR="002C6574" w:rsidRDefault="00000000">
                                  <w:pPr>
                                    <w:pStyle w:val="TableParagraph"/>
                                    <w:spacing w:line="165" w:lineRule="exact"/>
                                    <w:ind w:right="60"/>
                                    <w:rPr>
                                      <w:rFonts w:ascii="Arial MT"/>
                                      <w:sz w:val="16"/>
                                    </w:rPr>
                                  </w:pPr>
                                  <w:r>
                                    <w:rPr>
                                      <w:rFonts w:ascii="Arial MT"/>
                                      <w:spacing w:val="-2"/>
                                      <w:sz w:val="16"/>
                                    </w:rPr>
                                    <w:t>(45.513)</w:t>
                                  </w:r>
                                </w:p>
                              </w:tc>
                            </w:tr>
                            <w:tr w:rsidR="002C6574" w14:paraId="40223201" w14:textId="77777777">
                              <w:trPr>
                                <w:trHeight w:val="183"/>
                              </w:trPr>
                              <w:tc>
                                <w:tcPr>
                                  <w:tcW w:w="859" w:type="dxa"/>
                                  <w:tcBorders>
                                    <w:top w:val="nil"/>
                                    <w:bottom w:val="nil"/>
                                  </w:tcBorders>
                                  <w:shd w:val="clear" w:color="auto" w:fill="75F6F8"/>
                                </w:tcPr>
                                <w:p w14:paraId="3B387C4C" w14:textId="77777777" w:rsidR="002C6574" w:rsidRDefault="00000000">
                                  <w:pPr>
                                    <w:pStyle w:val="TableParagraph"/>
                                    <w:spacing w:line="164" w:lineRule="exact"/>
                                    <w:ind w:right="49"/>
                                    <w:rPr>
                                      <w:rFonts w:ascii="Arial MT"/>
                                      <w:sz w:val="16"/>
                                    </w:rPr>
                                  </w:pPr>
                                  <w:r>
                                    <w:rPr>
                                      <w:rFonts w:ascii="Arial MT"/>
                                      <w:spacing w:val="-2"/>
                                      <w:sz w:val="16"/>
                                    </w:rPr>
                                    <w:t>(6.179)</w:t>
                                  </w:r>
                                </w:p>
                              </w:tc>
                              <w:tc>
                                <w:tcPr>
                                  <w:tcW w:w="862" w:type="dxa"/>
                                  <w:tcBorders>
                                    <w:top w:val="nil"/>
                                    <w:bottom w:val="nil"/>
                                    <w:right w:val="nil"/>
                                  </w:tcBorders>
                                </w:tcPr>
                                <w:p w14:paraId="0105372C" w14:textId="77777777" w:rsidR="002C6574" w:rsidRDefault="00000000">
                                  <w:pPr>
                                    <w:pStyle w:val="TableParagraph"/>
                                    <w:spacing w:line="164" w:lineRule="exact"/>
                                    <w:ind w:right="60"/>
                                    <w:rPr>
                                      <w:rFonts w:ascii="Arial MT"/>
                                      <w:sz w:val="16"/>
                                    </w:rPr>
                                  </w:pPr>
                                  <w:r>
                                    <w:rPr>
                                      <w:rFonts w:ascii="Arial MT"/>
                                      <w:spacing w:val="-2"/>
                                      <w:sz w:val="16"/>
                                    </w:rPr>
                                    <w:t>(5.425)</w:t>
                                  </w:r>
                                </w:p>
                              </w:tc>
                            </w:tr>
                            <w:tr w:rsidR="002C6574" w14:paraId="767D10D6" w14:textId="77777777">
                              <w:trPr>
                                <w:trHeight w:val="183"/>
                              </w:trPr>
                              <w:tc>
                                <w:tcPr>
                                  <w:tcW w:w="859" w:type="dxa"/>
                                  <w:tcBorders>
                                    <w:top w:val="nil"/>
                                    <w:bottom w:val="nil"/>
                                  </w:tcBorders>
                                  <w:shd w:val="clear" w:color="auto" w:fill="75F6F8"/>
                                </w:tcPr>
                                <w:p w14:paraId="7AE531D8" w14:textId="77777777" w:rsidR="002C6574" w:rsidRDefault="00000000">
                                  <w:pPr>
                                    <w:pStyle w:val="TableParagraph"/>
                                    <w:spacing w:line="164" w:lineRule="exact"/>
                                    <w:ind w:right="49"/>
                                    <w:rPr>
                                      <w:rFonts w:ascii="Arial MT"/>
                                      <w:sz w:val="16"/>
                                    </w:rPr>
                                  </w:pPr>
                                  <w:r>
                                    <w:rPr>
                                      <w:rFonts w:ascii="Arial MT"/>
                                      <w:spacing w:val="-2"/>
                                      <w:sz w:val="16"/>
                                    </w:rPr>
                                    <w:t>92.638</w:t>
                                  </w:r>
                                </w:p>
                              </w:tc>
                              <w:tc>
                                <w:tcPr>
                                  <w:tcW w:w="862" w:type="dxa"/>
                                  <w:tcBorders>
                                    <w:top w:val="nil"/>
                                    <w:bottom w:val="nil"/>
                                    <w:right w:val="nil"/>
                                  </w:tcBorders>
                                </w:tcPr>
                                <w:p w14:paraId="45B61CD6" w14:textId="77777777" w:rsidR="002C6574" w:rsidRDefault="00000000">
                                  <w:pPr>
                                    <w:pStyle w:val="TableParagraph"/>
                                    <w:spacing w:line="164" w:lineRule="exact"/>
                                    <w:ind w:right="60"/>
                                    <w:rPr>
                                      <w:rFonts w:ascii="Arial MT"/>
                                      <w:sz w:val="16"/>
                                    </w:rPr>
                                  </w:pPr>
                                  <w:r>
                                    <w:rPr>
                                      <w:rFonts w:ascii="Arial MT"/>
                                      <w:spacing w:val="-2"/>
                                      <w:sz w:val="16"/>
                                    </w:rPr>
                                    <w:t>14.999</w:t>
                                  </w:r>
                                </w:p>
                              </w:tc>
                            </w:tr>
                            <w:tr w:rsidR="002C6574" w14:paraId="2405E743" w14:textId="77777777">
                              <w:trPr>
                                <w:trHeight w:val="184"/>
                              </w:trPr>
                              <w:tc>
                                <w:tcPr>
                                  <w:tcW w:w="859" w:type="dxa"/>
                                  <w:tcBorders>
                                    <w:top w:val="nil"/>
                                    <w:bottom w:val="nil"/>
                                  </w:tcBorders>
                                  <w:shd w:val="clear" w:color="auto" w:fill="75F6F8"/>
                                </w:tcPr>
                                <w:p w14:paraId="36FBCC71" w14:textId="77777777" w:rsidR="002C6574" w:rsidRDefault="00000000">
                                  <w:pPr>
                                    <w:pStyle w:val="TableParagraph"/>
                                    <w:spacing w:line="165" w:lineRule="exact"/>
                                    <w:ind w:right="49"/>
                                    <w:rPr>
                                      <w:rFonts w:ascii="Arial MT"/>
                                      <w:sz w:val="16"/>
                                    </w:rPr>
                                  </w:pPr>
                                  <w:r>
                                    <w:rPr>
                                      <w:rFonts w:ascii="Arial MT"/>
                                      <w:spacing w:val="-2"/>
                                      <w:sz w:val="16"/>
                                    </w:rPr>
                                    <w:t>287.186</w:t>
                                  </w:r>
                                </w:p>
                              </w:tc>
                              <w:tc>
                                <w:tcPr>
                                  <w:tcW w:w="862" w:type="dxa"/>
                                  <w:tcBorders>
                                    <w:top w:val="nil"/>
                                    <w:bottom w:val="nil"/>
                                    <w:right w:val="nil"/>
                                  </w:tcBorders>
                                </w:tcPr>
                                <w:p w14:paraId="74DED7B3" w14:textId="77777777" w:rsidR="002C6574" w:rsidRDefault="00000000">
                                  <w:pPr>
                                    <w:pStyle w:val="TableParagraph"/>
                                    <w:spacing w:line="165" w:lineRule="exact"/>
                                    <w:ind w:right="57"/>
                                    <w:rPr>
                                      <w:rFonts w:ascii="Arial MT"/>
                                      <w:sz w:val="16"/>
                                    </w:rPr>
                                  </w:pPr>
                                  <w:r>
                                    <w:rPr>
                                      <w:rFonts w:ascii="Arial MT"/>
                                      <w:spacing w:val="-10"/>
                                      <w:sz w:val="16"/>
                                    </w:rPr>
                                    <w:t>-</w:t>
                                  </w:r>
                                </w:p>
                              </w:tc>
                            </w:tr>
                            <w:tr w:rsidR="002C6574" w14:paraId="74DDABAC" w14:textId="77777777">
                              <w:trPr>
                                <w:trHeight w:val="181"/>
                              </w:trPr>
                              <w:tc>
                                <w:tcPr>
                                  <w:tcW w:w="859" w:type="dxa"/>
                                  <w:tcBorders>
                                    <w:top w:val="nil"/>
                                    <w:bottom w:val="single" w:sz="8" w:space="0" w:color="3616F6"/>
                                  </w:tcBorders>
                                  <w:shd w:val="clear" w:color="auto" w:fill="75F6F8"/>
                                </w:tcPr>
                                <w:p w14:paraId="1185CB49" w14:textId="77777777" w:rsidR="002C6574" w:rsidRDefault="00000000">
                                  <w:pPr>
                                    <w:pStyle w:val="TableParagraph"/>
                                    <w:spacing w:line="161" w:lineRule="exact"/>
                                    <w:ind w:right="49"/>
                                    <w:rPr>
                                      <w:rFonts w:ascii="Arial MT"/>
                                      <w:sz w:val="16"/>
                                    </w:rPr>
                                  </w:pPr>
                                  <w:r>
                                    <w:rPr>
                                      <w:rFonts w:ascii="Arial MT"/>
                                      <w:spacing w:val="-2"/>
                                      <w:sz w:val="16"/>
                                    </w:rPr>
                                    <w:t>1.924</w:t>
                                  </w:r>
                                </w:p>
                              </w:tc>
                              <w:tc>
                                <w:tcPr>
                                  <w:tcW w:w="862" w:type="dxa"/>
                                  <w:tcBorders>
                                    <w:top w:val="nil"/>
                                    <w:bottom w:val="single" w:sz="8" w:space="0" w:color="3616F6"/>
                                    <w:right w:val="nil"/>
                                  </w:tcBorders>
                                </w:tcPr>
                                <w:p w14:paraId="54D4701B" w14:textId="77777777" w:rsidR="002C6574" w:rsidRDefault="00000000">
                                  <w:pPr>
                                    <w:pStyle w:val="TableParagraph"/>
                                    <w:spacing w:line="161" w:lineRule="exact"/>
                                    <w:ind w:right="60"/>
                                    <w:rPr>
                                      <w:rFonts w:ascii="Arial MT"/>
                                      <w:sz w:val="16"/>
                                    </w:rPr>
                                  </w:pPr>
                                  <w:r>
                                    <w:rPr>
                                      <w:rFonts w:ascii="Arial MT"/>
                                      <w:spacing w:val="-2"/>
                                      <w:sz w:val="16"/>
                                    </w:rPr>
                                    <w:t>14.490</w:t>
                                  </w:r>
                                </w:p>
                              </w:tc>
                            </w:tr>
                            <w:tr w:rsidR="002C6574" w14:paraId="24E0F388" w14:textId="77777777">
                              <w:trPr>
                                <w:trHeight w:val="183"/>
                              </w:trPr>
                              <w:tc>
                                <w:tcPr>
                                  <w:tcW w:w="859" w:type="dxa"/>
                                  <w:tcBorders>
                                    <w:top w:val="single" w:sz="8" w:space="0" w:color="3616F6"/>
                                    <w:bottom w:val="single" w:sz="8" w:space="0" w:color="3616F6"/>
                                  </w:tcBorders>
                                  <w:shd w:val="clear" w:color="auto" w:fill="75F6F8"/>
                                </w:tcPr>
                                <w:p w14:paraId="770FECF4" w14:textId="77777777" w:rsidR="002C6574" w:rsidRDefault="00000000">
                                  <w:pPr>
                                    <w:pStyle w:val="TableParagraph"/>
                                    <w:spacing w:line="163" w:lineRule="exact"/>
                                    <w:ind w:right="49"/>
                                    <w:rPr>
                                      <w:rFonts w:ascii="Arial"/>
                                      <w:b/>
                                      <w:sz w:val="16"/>
                                    </w:rPr>
                                  </w:pPr>
                                  <w:r>
                                    <w:rPr>
                                      <w:rFonts w:ascii="Arial"/>
                                      <w:b/>
                                      <w:spacing w:val="-2"/>
                                      <w:sz w:val="16"/>
                                    </w:rPr>
                                    <w:t>206.609</w:t>
                                  </w:r>
                                </w:p>
                              </w:tc>
                              <w:tc>
                                <w:tcPr>
                                  <w:tcW w:w="862" w:type="dxa"/>
                                  <w:tcBorders>
                                    <w:top w:val="single" w:sz="8" w:space="0" w:color="3616F6"/>
                                    <w:bottom w:val="single" w:sz="8" w:space="0" w:color="3616F6"/>
                                    <w:right w:val="nil"/>
                                  </w:tcBorders>
                                </w:tcPr>
                                <w:p w14:paraId="39023611" w14:textId="77777777" w:rsidR="002C6574" w:rsidRDefault="00000000">
                                  <w:pPr>
                                    <w:pStyle w:val="TableParagraph"/>
                                    <w:spacing w:line="163" w:lineRule="exact"/>
                                    <w:ind w:right="60"/>
                                    <w:rPr>
                                      <w:rFonts w:ascii="Arial"/>
                                      <w:b/>
                                      <w:sz w:val="16"/>
                                    </w:rPr>
                                  </w:pPr>
                                  <w:r>
                                    <w:rPr>
                                      <w:rFonts w:ascii="Arial"/>
                                      <w:b/>
                                      <w:spacing w:val="-2"/>
                                      <w:sz w:val="16"/>
                                    </w:rPr>
                                    <w:t>(35.189)</w:t>
                                  </w:r>
                                </w:p>
                              </w:tc>
                            </w:tr>
                            <w:tr w:rsidR="002C6574" w14:paraId="036C8313" w14:textId="77777777">
                              <w:trPr>
                                <w:trHeight w:val="184"/>
                              </w:trPr>
                              <w:tc>
                                <w:tcPr>
                                  <w:tcW w:w="859" w:type="dxa"/>
                                  <w:tcBorders>
                                    <w:top w:val="single" w:sz="8" w:space="0" w:color="3616F6"/>
                                    <w:bottom w:val="single" w:sz="8" w:space="0" w:color="3616F6"/>
                                  </w:tcBorders>
                                  <w:shd w:val="clear" w:color="auto" w:fill="75F6F8"/>
                                </w:tcPr>
                                <w:p w14:paraId="64EB7B93" w14:textId="77777777" w:rsidR="002C6574" w:rsidRDefault="002C6574">
                                  <w:pPr>
                                    <w:pStyle w:val="TableParagraph"/>
                                    <w:jc w:val="left"/>
                                    <w:rPr>
                                      <w:rFonts w:ascii="Times New Roman"/>
                                      <w:sz w:val="12"/>
                                    </w:rPr>
                                  </w:pPr>
                                </w:p>
                              </w:tc>
                              <w:tc>
                                <w:tcPr>
                                  <w:tcW w:w="862" w:type="dxa"/>
                                  <w:tcBorders>
                                    <w:top w:val="single" w:sz="8" w:space="0" w:color="3616F6"/>
                                    <w:bottom w:val="single" w:sz="8" w:space="0" w:color="3616F6"/>
                                    <w:right w:val="nil"/>
                                  </w:tcBorders>
                                </w:tcPr>
                                <w:p w14:paraId="38F0A812" w14:textId="77777777" w:rsidR="002C6574" w:rsidRDefault="002C6574">
                                  <w:pPr>
                                    <w:pStyle w:val="TableParagraph"/>
                                    <w:jc w:val="left"/>
                                    <w:rPr>
                                      <w:rFonts w:ascii="Times New Roman"/>
                                      <w:sz w:val="12"/>
                                    </w:rPr>
                                  </w:pPr>
                                </w:p>
                              </w:tc>
                            </w:tr>
                            <w:tr w:rsidR="002C6574" w14:paraId="194E8ACF" w14:textId="77777777">
                              <w:trPr>
                                <w:trHeight w:val="183"/>
                              </w:trPr>
                              <w:tc>
                                <w:tcPr>
                                  <w:tcW w:w="859" w:type="dxa"/>
                                  <w:tcBorders>
                                    <w:top w:val="single" w:sz="8" w:space="0" w:color="3616F6"/>
                                    <w:bottom w:val="single" w:sz="8" w:space="0" w:color="3616F6"/>
                                  </w:tcBorders>
                                  <w:shd w:val="clear" w:color="auto" w:fill="75F6F8"/>
                                </w:tcPr>
                                <w:p w14:paraId="74ED1CC8" w14:textId="77777777" w:rsidR="002C6574" w:rsidRDefault="00000000">
                                  <w:pPr>
                                    <w:pStyle w:val="TableParagraph"/>
                                    <w:spacing w:line="163" w:lineRule="exact"/>
                                    <w:ind w:right="49"/>
                                    <w:rPr>
                                      <w:rFonts w:ascii="Arial"/>
                                      <w:b/>
                                      <w:sz w:val="16"/>
                                    </w:rPr>
                                  </w:pPr>
                                  <w:r>
                                    <w:rPr>
                                      <w:rFonts w:ascii="Arial"/>
                                      <w:b/>
                                      <w:spacing w:val="-2"/>
                                      <w:sz w:val="16"/>
                                    </w:rPr>
                                    <w:t>273.127</w:t>
                                  </w:r>
                                </w:p>
                              </w:tc>
                              <w:tc>
                                <w:tcPr>
                                  <w:tcW w:w="862" w:type="dxa"/>
                                  <w:tcBorders>
                                    <w:top w:val="single" w:sz="8" w:space="0" w:color="3616F6"/>
                                    <w:bottom w:val="single" w:sz="8" w:space="0" w:color="3616F6"/>
                                    <w:right w:val="nil"/>
                                  </w:tcBorders>
                                </w:tcPr>
                                <w:p w14:paraId="47761D4A" w14:textId="77777777" w:rsidR="002C6574" w:rsidRDefault="00000000">
                                  <w:pPr>
                                    <w:pStyle w:val="TableParagraph"/>
                                    <w:spacing w:line="163" w:lineRule="exact"/>
                                    <w:ind w:right="60"/>
                                    <w:rPr>
                                      <w:rFonts w:ascii="Arial"/>
                                      <w:b/>
                                      <w:sz w:val="16"/>
                                    </w:rPr>
                                  </w:pPr>
                                  <w:r>
                                    <w:rPr>
                                      <w:rFonts w:ascii="Arial"/>
                                      <w:b/>
                                      <w:spacing w:val="-2"/>
                                      <w:sz w:val="16"/>
                                    </w:rPr>
                                    <w:t>44.675</w:t>
                                  </w:r>
                                </w:p>
                              </w:tc>
                            </w:tr>
                            <w:tr w:rsidR="002C6574" w14:paraId="0A7E81D6" w14:textId="77777777">
                              <w:trPr>
                                <w:trHeight w:val="554"/>
                              </w:trPr>
                              <w:tc>
                                <w:tcPr>
                                  <w:tcW w:w="859" w:type="dxa"/>
                                  <w:tcBorders>
                                    <w:top w:val="single" w:sz="8" w:space="0" w:color="3616F6"/>
                                    <w:bottom w:val="nil"/>
                                  </w:tcBorders>
                                  <w:shd w:val="clear" w:color="auto" w:fill="75F6F8"/>
                                </w:tcPr>
                                <w:p w14:paraId="752FE264" w14:textId="77777777" w:rsidR="002C6574" w:rsidRDefault="002C6574">
                                  <w:pPr>
                                    <w:pStyle w:val="TableParagraph"/>
                                    <w:spacing w:before="183"/>
                                    <w:jc w:val="left"/>
                                    <w:rPr>
                                      <w:rFonts w:ascii="Times New Roman"/>
                                      <w:sz w:val="16"/>
                                    </w:rPr>
                                  </w:pPr>
                                </w:p>
                                <w:p w14:paraId="490D0333" w14:textId="77777777" w:rsidR="002C6574" w:rsidRDefault="00000000">
                                  <w:pPr>
                                    <w:pStyle w:val="TableParagraph"/>
                                    <w:spacing w:before="1" w:line="167" w:lineRule="exact"/>
                                    <w:ind w:right="49"/>
                                    <w:rPr>
                                      <w:rFonts w:ascii="Arial MT"/>
                                      <w:sz w:val="16"/>
                                    </w:rPr>
                                  </w:pPr>
                                  <w:r>
                                    <w:rPr>
                                      <w:rFonts w:ascii="Arial MT"/>
                                      <w:spacing w:val="-2"/>
                                      <w:sz w:val="16"/>
                                    </w:rPr>
                                    <w:t>698.514</w:t>
                                  </w:r>
                                </w:p>
                              </w:tc>
                              <w:tc>
                                <w:tcPr>
                                  <w:tcW w:w="862" w:type="dxa"/>
                                  <w:tcBorders>
                                    <w:top w:val="single" w:sz="8" w:space="0" w:color="3616F6"/>
                                    <w:bottom w:val="nil"/>
                                    <w:right w:val="nil"/>
                                  </w:tcBorders>
                                </w:tcPr>
                                <w:p w14:paraId="13409286" w14:textId="77777777" w:rsidR="002C6574" w:rsidRDefault="002C6574">
                                  <w:pPr>
                                    <w:pStyle w:val="TableParagraph"/>
                                    <w:spacing w:before="183"/>
                                    <w:jc w:val="left"/>
                                    <w:rPr>
                                      <w:rFonts w:ascii="Times New Roman"/>
                                      <w:sz w:val="16"/>
                                    </w:rPr>
                                  </w:pPr>
                                </w:p>
                                <w:p w14:paraId="2F41CDBC" w14:textId="77777777" w:rsidR="002C6574" w:rsidRDefault="00000000">
                                  <w:pPr>
                                    <w:pStyle w:val="TableParagraph"/>
                                    <w:spacing w:before="1" w:line="167" w:lineRule="exact"/>
                                    <w:ind w:right="60"/>
                                    <w:rPr>
                                      <w:rFonts w:ascii="Arial MT"/>
                                      <w:sz w:val="16"/>
                                    </w:rPr>
                                  </w:pPr>
                                  <w:r>
                                    <w:rPr>
                                      <w:rFonts w:ascii="Arial MT"/>
                                      <w:spacing w:val="-2"/>
                                      <w:sz w:val="16"/>
                                    </w:rPr>
                                    <w:t>425.387</w:t>
                                  </w:r>
                                </w:p>
                              </w:tc>
                            </w:tr>
                            <w:tr w:rsidR="002C6574" w14:paraId="428D5695" w14:textId="77777777">
                              <w:trPr>
                                <w:trHeight w:val="181"/>
                              </w:trPr>
                              <w:tc>
                                <w:tcPr>
                                  <w:tcW w:w="859" w:type="dxa"/>
                                  <w:tcBorders>
                                    <w:top w:val="nil"/>
                                    <w:bottom w:val="single" w:sz="8" w:space="0" w:color="3616F6"/>
                                  </w:tcBorders>
                                  <w:shd w:val="clear" w:color="auto" w:fill="75F6F8"/>
                                </w:tcPr>
                                <w:p w14:paraId="3247AEBB" w14:textId="77777777" w:rsidR="002C6574" w:rsidRDefault="00000000">
                                  <w:pPr>
                                    <w:pStyle w:val="TableParagraph"/>
                                    <w:spacing w:line="161" w:lineRule="exact"/>
                                    <w:ind w:right="49"/>
                                    <w:rPr>
                                      <w:rFonts w:ascii="Arial MT"/>
                                      <w:sz w:val="16"/>
                                    </w:rPr>
                                  </w:pPr>
                                  <w:r>
                                    <w:rPr>
                                      <w:rFonts w:ascii="Arial MT"/>
                                      <w:spacing w:val="-2"/>
                                      <w:sz w:val="16"/>
                                    </w:rPr>
                                    <w:t>425.387</w:t>
                                  </w:r>
                                </w:p>
                              </w:tc>
                              <w:tc>
                                <w:tcPr>
                                  <w:tcW w:w="862" w:type="dxa"/>
                                  <w:tcBorders>
                                    <w:top w:val="nil"/>
                                    <w:bottom w:val="single" w:sz="8" w:space="0" w:color="3616F6"/>
                                    <w:right w:val="nil"/>
                                  </w:tcBorders>
                                </w:tcPr>
                                <w:p w14:paraId="03071A6C" w14:textId="77777777" w:rsidR="002C6574" w:rsidRDefault="00000000">
                                  <w:pPr>
                                    <w:pStyle w:val="TableParagraph"/>
                                    <w:spacing w:line="161" w:lineRule="exact"/>
                                    <w:ind w:right="60"/>
                                    <w:rPr>
                                      <w:rFonts w:ascii="Arial MT"/>
                                      <w:sz w:val="16"/>
                                    </w:rPr>
                                  </w:pPr>
                                  <w:r>
                                    <w:rPr>
                                      <w:rFonts w:ascii="Arial MT"/>
                                      <w:spacing w:val="-2"/>
                                      <w:sz w:val="16"/>
                                    </w:rPr>
                                    <w:t>380.712</w:t>
                                  </w:r>
                                </w:p>
                              </w:tc>
                            </w:tr>
                            <w:tr w:rsidR="002C6574" w14:paraId="3D066085" w14:textId="77777777">
                              <w:trPr>
                                <w:trHeight w:val="183"/>
                              </w:trPr>
                              <w:tc>
                                <w:tcPr>
                                  <w:tcW w:w="859" w:type="dxa"/>
                                  <w:tcBorders>
                                    <w:top w:val="single" w:sz="8" w:space="0" w:color="3616F6"/>
                                    <w:bottom w:val="single" w:sz="8" w:space="0" w:color="3616F6"/>
                                  </w:tcBorders>
                                  <w:shd w:val="clear" w:color="auto" w:fill="75F6F8"/>
                                </w:tcPr>
                                <w:p w14:paraId="433F788F" w14:textId="77777777" w:rsidR="002C6574" w:rsidRDefault="00000000">
                                  <w:pPr>
                                    <w:pStyle w:val="TableParagraph"/>
                                    <w:spacing w:line="163" w:lineRule="exact"/>
                                    <w:ind w:right="49"/>
                                    <w:rPr>
                                      <w:rFonts w:ascii="Arial"/>
                                      <w:b/>
                                      <w:sz w:val="16"/>
                                    </w:rPr>
                                  </w:pPr>
                                  <w:r>
                                    <w:rPr>
                                      <w:rFonts w:ascii="Arial"/>
                                      <w:b/>
                                      <w:spacing w:val="-2"/>
                                      <w:sz w:val="16"/>
                                    </w:rPr>
                                    <w:t>273.127</w:t>
                                  </w:r>
                                </w:p>
                              </w:tc>
                              <w:tc>
                                <w:tcPr>
                                  <w:tcW w:w="862" w:type="dxa"/>
                                  <w:tcBorders>
                                    <w:top w:val="single" w:sz="8" w:space="0" w:color="3616F6"/>
                                    <w:bottom w:val="single" w:sz="8" w:space="0" w:color="3616F6"/>
                                    <w:right w:val="nil"/>
                                  </w:tcBorders>
                                </w:tcPr>
                                <w:p w14:paraId="7500DC0A" w14:textId="77777777" w:rsidR="002C6574" w:rsidRDefault="00000000">
                                  <w:pPr>
                                    <w:pStyle w:val="TableParagraph"/>
                                    <w:spacing w:line="163" w:lineRule="exact"/>
                                    <w:ind w:right="60"/>
                                    <w:rPr>
                                      <w:rFonts w:ascii="Arial"/>
                                      <w:b/>
                                      <w:sz w:val="16"/>
                                    </w:rPr>
                                  </w:pPr>
                                  <w:r>
                                    <w:rPr>
                                      <w:rFonts w:ascii="Arial"/>
                                      <w:b/>
                                      <w:spacing w:val="-2"/>
                                      <w:sz w:val="16"/>
                                    </w:rPr>
                                    <w:t>44.675</w:t>
                                  </w:r>
                                </w:p>
                              </w:tc>
                            </w:tr>
                          </w:tbl>
                          <w:p w14:paraId="38B1B5F1" w14:textId="77777777" w:rsidR="002C6574" w:rsidRDefault="002C6574">
                            <w:pPr>
                              <w:pStyle w:val="Corpodetexto"/>
                            </w:pPr>
                          </w:p>
                        </w:txbxContent>
                      </wps:txbx>
                      <wps:bodyPr wrap="square" lIns="0" tIns="0" rIns="0" bIns="0" rtlCol="0">
                        <a:noAutofit/>
                      </wps:bodyPr>
                    </wps:wsp>
                  </a:graphicData>
                </a:graphic>
              </wp:inline>
            </w:drawing>
          </mc:Choice>
          <mc:Fallback>
            <w:pict>
              <v:shape w14:anchorId="5DE316FB" id="Textbox 526" o:spid="_x0000_s1256" type="#_x0000_t202" style="width:87.05pt;height:5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" filled="f" stroked="f">
                <v:textbox inset="0,0,0,0">
                  <w:txbxContent>
                    <w:tbl>
                      <w:tblPr>
                        <w:tblStyle w:val="TableNormal"/>
                        <w:tblW w:w="0" w:type="auto"/>
                        <w:tblInd w:w="10" w:type="dxa"/>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1E0" w:firstRow="1" w:lastRow="1" w:firstColumn="1" w:lastColumn="1" w:noHBand="0" w:noVBand="0"/>
                      </w:tblPr>
                      <w:tblGrid>
                        <w:gridCol w:w="859"/>
                        <w:gridCol w:w="862"/>
                      </w:tblGrid>
                      <w:tr w:rsidR="002C6574" w14:paraId="262EF8AE" w14:textId="77777777">
                        <w:trPr>
                          <w:trHeight w:val="183"/>
                        </w:trPr>
                        <w:tc>
                          <w:tcPr>
                            <w:tcW w:w="859" w:type="dxa"/>
                            <w:shd w:val="clear" w:color="auto" w:fill="75F6F8"/>
                          </w:tcPr>
                          <w:p w14:paraId="0EB5DDB8" w14:textId="77777777" w:rsidR="002C6574" w:rsidRDefault="00000000">
                            <w:pPr>
                              <w:pStyle w:val="TableParagraph"/>
                              <w:spacing w:line="163" w:lineRule="exact"/>
                              <w:ind w:right="49"/>
                              <w:rPr>
                                <w:rFonts w:ascii="Arial"/>
                                <w:b/>
                                <w:sz w:val="16"/>
                              </w:rPr>
                            </w:pPr>
                            <w:r>
                              <w:rPr>
                                <w:rFonts w:ascii="Arial"/>
                                <w:b/>
                                <w:spacing w:val="-2"/>
                                <w:sz w:val="16"/>
                              </w:rPr>
                              <w:t>182.436</w:t>
                            </w:r>
                          </w:p>
                        </w:tc>
                        <w:tc>
                          <w:tcPr>
                            <w:tcW w:w="862" w:type="dxa"/>
                            <w:tcBorders>
                              <w:right w:val="nil"/>
                            </w:tcBorders>
                          </w:tcPr>
                          <w:p w14:paraId="72078966" w14:textId="77777777" w:rsidR="002C6574" w:rsidRDefault="00000000">
                            <w:pPr>
                              <w:pStyle w:val="TableParagraph"/>
                              <w:spacing w:line="163" w:lineRule="exact"/>
                              <w:ind w:right="60"/>
                              <w:rPr>
                                <w:rFonts w:ascii="Arial"/>
                                <w:b/>
                                <w:sz w:val="16"/>
                              </w:rPr>
                            </w:pPr>
                            <w:r>
                              <w:rPr>
                                <w:rFonts w:ascii="Arial"/>
                                <w:b/>
                                <w:spacing w:val="-2"/>
                                <w:sz w:val="16"/>
                              </w:rPr>
                              <w:t>(66.572)</w:t>
                            </w:r>
                          </w:p>
                        </w:tc>
                      </w:tr>
                      <w:tr w:rsidR="002C6574" w14:paraId="2865E613" w14:textId="77777777">
                        <w:trPr>
                          <w:trHeight w:val="371"/>
                        </w:trPr>
                        <w:tc>
                          <w:tcPr>
                            <w:tcW w:w="859" w:type="dxa"/>
                            <w:tcBorders>
                              <w:bottom w:val="nil"/>
                            </w:tcBorders>
                            <w:shd w:val="clear" w:color="auto" w:fill="75F6F8"/>
                          </w:tcPr>
                          <w:p w14:paraId="7306F0F7" w14:textId="77777777" w:rsidR="002C6574" w:rsidRDefault="002C6574">
                            <w:pPr>
                              <w:pStyle w:val="TableParagraph"/>
                              <w:spacing w:before="1"/>
                              <w:jc w:val="left"/>
                              <w:rPr>
                                <w:rFonts w:ascii="Times New Roman"/>
                                <w:sz w:val="16"/>
                              </w:rPr>
                            </w:pPr>
                          </w:p>
                          <w:p w14:paraId="6C57380D" w14:textId="77777777" w:rsidR="002C6574" w:rsidRDefault="00000000">
                            <w:pPr>
                              <w:pStyle w:val="TableParagraph"/>
                              <w:spacing w:line="166" w:lineRule="exact"/>
                              <w:ind w:right="49"/>
                              <w:rPr>
                                <w:rFonts w:ascii="Arial MT"/>
                                <w:sz w:val="16"/>
                              </w:rPr>
                            </w:pPr>
                            <w:r>
                              <w:rPr>
                                <w:rFonts w:ascii="Arial MT"/>
                                <w:spacing w:val="-2"/>
                                <w:sz w:val="16"/>
                              </w:rPr>
                              <w:t>274.104</w:t>
                            </w:r>
                          </w:p>
                        </w:tc>
                        <w:tc>
                          <w:tcPr>
                            <w:tcW w:w="862" w:type="dxa"/>
                            <w:tcBorders>
                              <w:bottom w:val="nil"/>
                              <w:right w:val="nil"/>
                            </w:tcBorders>
                          </w:tcPr>
                          <w:p w14:paraId="690E4288" w14:textId="77777777" w:rsidR="002C6574" w:rsidRDefault="002C6574">
                            <w:pPr>
                              <w:pStyle w:val="TableParagraph"/>
                              <w:spacing w:before="1"/>
                              <w:jc w:val="left"/>
                              <w:rPr>
                                <w:rFonts w:ascii="Times New Roman"/>
                                <w:sz w:val="16"/>
                              </w:rPr>
                            </w:pPr>
                          </w:p>
                          <w:p w14:paraId="631B4654" w14:textId="77777777" w:rsidR="002C6574" w:rsidRDefault="00000000">
                            <w:pPr>
                              <w:pStyle w:val="TableParagraph"/>
                              <w:spacing w:line="166" w:lineRule="exact"/>
                              <w:ind w:right="60"/>
                              <w:rPr>
                                <w:rFonts w:ascii="Arial MT"/>
                                <w:sz w:val="16"/>
                              </w:rPr>
                            </w:pPr>
                            <w:r>
                              <w:rPr>
                                <w:rFonts w:ascii="Arial MT"/>
                                <w:spacing w:val="-2"/>
                                <w:sz w:val="16"/>
                              </w:rPr>
                              <w:t>270.044</w:t>
                            </w:r>
                          </w:p>
                        </w:tc>
                      </w:tr>
                      <w:tr w:rsidR="002C6574" w14:paraId="1296F044" w14:textId="77777777">
                        <w:trPr>
                          <w:trHeight w:val="183"/>
                        </w:trPr>
                        <w:tc>
                          <w:tcPr>
                            <w:tcW w:w="859" w:type="dxa"/>
                            <w:tcBorders>
                              <w:top w:val="nil"/>
                              <w:bottom w:val="nil"/>
                            </w:tcBorders>
                            <w:shd w:val="clear" w:color="auto" w:fill="75F6F8"/>
                          </w:tcPr>
                          <w:p w14:paraId="68382D68" w14:textId="77777777" w:rsidR="002C6574" w:rsidRDefault="00000000">
                            <w:pPr>
                              <w:pStyle w:val="TableParagraph"/>
                              <w:spacing w:line="164" w:lineRule="exact"/>
                              <w:ind w:right="49"/>
                              <w:rPr>
                                <w:rFonts w:ascii="Arial MT"/>
                                <w:sz w:val="16"/>
                              </w:rPr>
                            </w:pPr>
                            <w:r>
                              <w:rPr>
                                <w:rFonts w:ascii="Arial MT"/>
                                <w:spacing w:val="-2"/>
                                <w:sz w:val="16"/>
                              </w:rPr>
                              <w:t>3.775</w:t>
                            </w:r>
                          </w:p>
                        </w:tc>
                        <w:tc>
                          <w:tcPr>
                            <w:tcW w:w="862" w:type="dxa"/>
                            <w:tcBorders>
                              <w:top w:val="nil"/>
                              <w:bottom w:val="nil"/>
                              <w:right w:val="nil"/>
                            </w:tcBorders>
                          </w:tcPr>
                          <w:p w14:paraId="4E32EC10" w14:textId="77777777" w:rsidR="002C6574" w:rsidRDefault="00000000">
                            <w:pPr>
                              <w:pStyle w:val="TableParagraph"/>
                              <w:spacing w:line="164" w:lineRule="exact"/>
                              <w:ind w:right="63"/>
                              <w:rPr>
                                <w:rFonts w:ascii="Arial MT"/>
                                <w:sz w:val="16"/>
                              </w:rPr>
                            </w:pPr>
                            <w:r>
                              <w:rPr>
                                <w:rFonts w:ascii="Arial MT"/>
                                <w:spacing w:val="-4"/>
                                <w:sz w:val="16"/>
                              </w:rPr>
                              <w:t>(76)</w:t>
                            </w:r>
                          </w:p>
                        </w:tc>
                      </w:tr>
                      <w:tr w:rsidR="002C6574" w14:paraId="710FFF0A" w14:textId="77777777">
                        <w:trPr>
                          <w:trHeight w:val="184"/>
                        </w:trPr>
                        <w:tc>
                          <w:tcPr>
                            <w:tcW w:w="859" w:type="dxa"/>
                            <w:tcBorders>
                              <w:top w:val="nil"/>
                              <w:bottom w:val="nil"/>
                            </w:tcBorders>
                            <w:shd w:val="clear" w:color="auto" w:fill="75F6F8"/>
                          </w:tcPr>
                          <w:p w14:paraId="438C1AFF" w14:textId="77777777" w:rsidR="002C6574" w:rsidRDefault="00000000">
                            <w:pPr>
                              <w:pStyle w:val="TableParagraph"/>
                              <w:spacing w:line="165" w:lineRule="exact"/>
                              <w:ind w:right="49"/>
                              <w:rPr>
                                <w:rFonts w:ascii="Arial MT"/>
                                <w:sz w:val="16"/>
                              </w:rPr>
                            </w:pPr>
                            <w:r>
                              <w:rPr>
                                <w:rFonts w:ascii="Arial MT"/>
                                <w:spacing w:val="-2"/>
                                <w:sz w:val="16"/>
                              </w:rPr>
                              <w:t>6.484</w:t>
                            </w:r>
                          </w:p>
                        </w:tc>
                        <w:tc>
                          <w:tcPr>
                            <w:tcW w:w="862" w:type="dxa"/>
                            <w:tcBorders>
                              <w:top w:val="nil"/>
                              <w:bottom w:val="nil"/>
                              <w:right w:val="nil"/>
                            </w:tcBorders>
                          </w:tcPr>
                          <w:p w14:paraId="70F48E9D" w14:textId="77777777" w:rsidR="002C6574" w:rsidRDefault="00000000">
                            <w:pPr>
                              <w:pStyle w:val="TableParagraph"/>
                              <w:spacing w:line="165" w:lineRule="exact"/>
                              <w:ind w:right="60"/>
                              <w:rPr>
                                <w:rFonts w:ascii="Arial MT"/>
                                <w:sz w:val="16"/>
                              </w:rPr>
                            </w:pPr>
                            <w:r>
                              <w:rPr>
                                <w:rFonts w:ascii="Arial MT"/>
                                <w:spacing w:val="-2"/>
                                <w:sz w:val="16"/>
                              </w:rPr>
                              <w:t>6.298</w:t>
                            </w:r>
                          </w:p>
                        </w:tc>
                      </w:tr>
                      <w:tr w:rsidR="002C6574" w14:paraId="667D13F2" w14:textId="77777777">
                        <w:trPr>
                          <w:trHeight w:val="183"/>
                        </w:trPr>
                        <w:tc>
                          <w:tcPr>
                            <w:tcW w:w="859" w:type="dxa"/>
                            <w:tcBorders>
                              <w:top w:val="nil"/>
                              <w:bottom w:val="nil"/>
                            </w:tcBorders>
                            <w:shd w:val="clear" w:color="auto" w:fill="75F6F8"/>
                          </w:tcPr>
                          <w:p w14:paraId="0DB812F4" w14:textId="77777777" w:rsidR="002C6574" w:rsidRDefault="00000000">
                            <w:pPr>
                              <w:pStyle w:val="TableParagraph"/>
                              <w:spacing w:line="164" w:lineRule="exact"/>
                              <w:ind w:right="49"/>
                              <w:rPr>
                                <w:rFonts w:ascii="Arial MT"/>
                                <w:sz w:val="16"/>
                              </w:rPr>
                            </w:pPr>
                            <w:r>
                              <w:rPr>
                                <w:rFonts w:ascii="Arial MT"/>
                                <w:spacing w:val="-2"/>
                                <w:sz w:val="16"/>
                              </w:rPr>
                              <w:t>(36.480)</w:t>
                            </w:r>
                          </w:p>
                        </w:tc>
                        <w:tc>
                          <w:tcPr>
                            <w:tcW w:w="862" w:type="dxa"/>
                            <w:tcBorders>
                              <w:top w:val="nil"/>
                              <w:bottom w:val="nil"/>
                              <w:right w:val="nil"/>
                            </w:tcBorders>
                          </w:tcPr>
                          <w:p w14:paraId="69BBD8E7" w14:textId="77777777" w:rsidR="002C6574" w:rsidRDefault="00000000">
                            <w:pPr>
                              <w:pStyle w:val="TableParagraph"/>
                              <w:spacing w:line="164" w:lineRule="exact"/>
                              <w:ind w:right="60"/>
                              <w:rPr>
                                <w:rFonts w:ascii="Arial MT"/>
                                <w:sz w:val="16"/>
                              </w:rPr>
                            </w:pPr>
                            <w:r>
                              <w:rPr>
                                <w:rFonts w:ascii="Arial MT"/>
                                <w:spacing w:val="-2"/>
                                <w:sz w:val="16"/>
                              </w:rPr>
                              <w:t>(54.886)</w:t>
                            </w:r>
                          </w:p>
                        </w:tc>
                      </w:tr>
                      <w:tr w:rsidR="002C6574" w14:paraId="5FCECC53" w14:textId="77777777">
                        <w:trPr>
                          <w:trHeight w:val="183"/>
                        </w:trPr>
                        <w:tc>
                          <w:tcPr>
                            <w:tcW w:w="859" w:type="dxa"/>
                            <w:tcBorders>
                              <w:top w:val="nil"/>
                              <w:bottom w:val="nil"/>
                            </w:tcBorders>
                            <w:shd w:val="clear" w:color="auto" w:fill="75F6F8"/>
                          </w:tcPr>
                          <w:p w14:paraId="677318AF" w14:textId="77777777" w:rsidR="002C6574" w:rsidRDefault="00000000">
                            <w:pPr>
                              <w:pStyle w:val="TableParagraph"/>
                              <w:spacing w:line="164" w:lineRule="exact"/>
                              <w:ind w:right="52"/>
                              <w:rPr>
                                <w:rFonts w:ascii="Arial MT"/>
                                <w:sz w:val="16"/>
                              </w:rPr>
                            </w:pPr>
                            <w:r>
                              <w:rPr>
                                <w:rFonts w:ascii="Arial MT"/>
                                <w:spacing w:val="-2"/>
                                <w:sz w:val="16"/>
                              </w:rPr>
                              <w:t>(369)</w:t>
                            </w:r>
                          </w:p>
                        </w:tc>
                        <w:tc>
                          <w:tcPr>
                            <w:tcW w:w="862" w:type="dxa"/>
                            <w:tcBorders>
                              <w:top w:val="nil"/>
                              <w:bottom w:val="nil"/>
                              <w:right w:val="nil"/>
                            </w:tcBorders>
                          </w:tcPr>
                          <w:p w14:paraId="4586CF62" w14:textId="77777777" w:rsidR="002C6574" w:rsidRDefault="00000000">
                            <w:pPr>
                              <w:pStyle w:val="TableParagraph"/>
                              <w:spacing w:line="164" w:lineRule="exact"/>
                              <w:ind w:right="60"/>
                              <w:rPr>
                                <w:rFonts w:ascii="Arial MT"/>
                                <w:sz w:val="16"/>
                              </w:rPr>
                            </w:pPr>
                            <w:r>
                              <w:rPr>
                                <w:rFonts w:ascii="Arial MT"/>
                                <w:spacing w:val="-2"/>
                                <w:sz w:val="16"/>
                              </w:rPr>
                              <w:t>1.013</w:t>
                            </w:r>
                          </w:p>
                        </w:tc>
                      </w:tr>
                      <w:tr w:rsidR="002C6574" w14:paraId="10C49CCC" w14:textId="77777777">
                        <w:trPr>
                          <w:trHeight w:val="185"/>
                        </w:trPr>
                        <w:tc>
                          <w:tcPr>
                            <w:tcW w:w="859" w:type="dxa"/>
                            <w:tcBorders>
                              <w:top w:val="nil"/>
                              <w:bottom w:val="nil"/>
                            </w:tcBorders>
                            <w:shd w:val="clear" w:color="auto" w:fill="75F6F8"/>
                          </w:tcPr>
                          <w:p w14:paraId="1B81714F" w14:textId="77777777" w:rsidR="002C6574" w:rsidRDefault="00000000">
                            <w:pPr>
                              <w:pStyle w:val="TableParagraph"/>
                              <w:spacing w:line="165" w:lineRule="exact"/>
                              <w:ind w:right="49"/>
                              <w:rPr>
                                <w:rFonts w:ascii="Arial MT"/>
                                <w:sz w:val="16"/>
                              </w:rPr>
                            </w:pPr>
                            <w:r>
                              <w:rPr>
                                <w:rFonts w:ascii="Arial MT"/>
                                <w:spacing w:val="-2"/>
                                <w:sz w:val="16"/>
                              </w:rPr>
                              <w:t>249.981</w:t>
                            </w:r>
                          </w:p>
                        </w:tc>
                        <w:tc>
                          <w:tcPr>
                            <w:tcW w:w="862" w:type="dxa"/>
                            <w:tcBorders>
                              <w:top w:val="nil"/>
                              <w:bottom w:val="nil"/>
                              <w:right w:val="nil"/>
                            </w:tcBorders>
                          </w:tcPr>
                          <w:p w14:paraId="4FE49F6B" w14:textId="77777777" w:rsidR="002C6574" w:rsidRDefault="00000000">
                            <w:pPr>
                              <w:pStyle w:val="TableParagraph"/>
                              <w:spacing w:line="165" w:lineRule="exact"/>
                              <w:ind w:right="60"/>
                              <w:rPr>
                                <w:rFonts w:ascii="Arial MT"/>
                                <w:sz w:val="16"/>
                              </w:rPr>
                            </w:pPr>
                            <w:r>
                              <w:rPr>
                                <w:rFonts w:ascii="Arial MT"/>
                                <w:spacing w:val="-2"/>
                                <w:sz w:val="16"/>
                              </w:rPr>
                              <w:t>189.369</w:t>
                            </w:r>
                          </w:p>
                        </w:tc>
                      </w:tr>
                      <w:tr w:rsidR="002C6574" w14:paraId="60036006" w14:textId="77777777">
                        <w:trPr>
                          <w:trHeight w:val="183"/>
                        </w:trPr>
                        <w:tc>
                          <w:tcPr>
                            <w:tcW w:w="859" w:type="dxa"/>
                            <w:tcBorders>
                              <w:top w:val="nil"/>
                              <w:bottom w:val="nil"/>
                            </w:tcBorders>
                            <w:shd w:val="clear" w:color="auto" w:fill="75F6F8"/>
                          </w:tcPr>
                          <w:p w14:paraId="61BFF82D" w14:textId="77777777" w:rsidR="002C6574" w:rsidRDefault="00000000">
                            <w:pPr>
                              <w:pStyle w:val="TableParagraph"/>
                              <w:spacing w:line="164" w:lineRule="exact"/>
                              <w:ind w:right="52"/>
                              <w:rPr>
                                <w:rFonts w:ascii="Arial MT"/>
                                <w:sz w:val="16"/>
                              </w:rPr>
                            </w:pPr>
                            <w:r>
                              <w:rPr>
                                <w:rFonts w:ascii="Arial MT"/>
                                <w:spacing w:val="-2"/>
                                <w:sz w:val="16"/>
                              </w:rPr>
                              <w:t>(209)</w:t>
                            </w:r>
                          </w:p>
                        </w:tc>
                        <w:tc>
                          <w:tcPr>
                            <w:tcW w:w="862" w:type="dxa"/>
                            <w:tcBorders>
                              <w:top w:val="nil"/>
                              <w:bottom w:val="nil"/>
                              <w:right w:val="nil"/>
                            </w:tcBorders>
                          </w:tcPr>
                          <w:p w14:paraId="1CA0CDC9" w14:textId="77777777" w:rsidR="002C6574" w:rsidRDefault="00000000">
                            <w:pPr>
                              <w:pStyle w:val="TableParagraph"/>
                              <w:spacing w:line="164" w:lineRule="exact"/>
                              <w:ind w:right="60"/>
                              <w:rPr>
                                <w:rFonts w:ascii="Arial MT"/>
                                <w:sz w:val="16"/>
                              </w:rPr>
                            </w:pPr>
                            <w:r>
                              <w:rPr>
                                <w:rFonts w:ascii="Arial MT"/>
                                <w:spacing w:val="-2"/>
                                <w:sz w:val="16"/>
                              </w:rPr>
                              <w:t>3.651</w:t>
                            </w:r>
                          </w:p>
                        </w:tc>
                      </w:tr>
                      <w:tr w:rsidR="002C6574" w14:paraId="7E93C4B6" w14:textId="77777777">
                        <w:trPr>
                          <w:trHeight w:val="183"/>
                        </w:trPr>
                        <w:tc>
                          <w:tcPr>
                            <w:tcW w:w="859" w:type="dxa"/>
                            <w:tcBorders>
                              <w:top w:val="nil"/>
                              <w:bottom w:val="nil"/>
                            </w:tcBorders>
                            <w:shd w:val="clear" w:color="auto" w:fill="75F6F8"/>
                          </w:tcPr>
                          <w:p w14:paraId="7C87B55F" w14:textId="77777777" w:rsidR="002C6574" w:rsidRDefault="00000000">
                            <w:pPr>
                              <w:pStyle w:val="TableParagraph"/>
                              <w:spacing w:line="164" w:lineRule="exact"/>
                              <w:ind w:right="49"/>
                              <w:rPr>
                                <w:rFonts w:ascii="Arial MT"/>
                                <w:sz w:val="16"/>
                              </w:rPr>
                            </w:pPr>
                            <w:r>
                              <w:rPr>
                                <w:rFonts w:ascii="Arial MT"/>
                                <w:spacing w:val="-2"/>
                                <w:sz w:val="16"/>
                              </w:rPr>
                              <w:t>3.292</w:t>
                            </w:r>
                          </w:p>
                        </w:tc>
                        <w:tc>
                          <w:tcPr>
                            <w:tcW w:w="862" w:type="dxa"/>
                            <w:tcBorders>
                              <w:top w:val="nil"/>
                              <w:bottom w:val="nil"/>
                              <w:right w:val="nil"/>
                            </w:tcBorders>
                          </w:tcPr>
                          <w:p w14:paraId="7D45ECA1" w14:textId="77777777" w:rsidR="002C6574" w:rsidRDefault="00000000">
                            <w:pPr>
                              <w:pStyle w:val="TableParagraph"/>
                              <w:spacing w:line="164" w:lineRule="exact"/>
                              <w:ind w:right="60"/>
                              <w:rPr>
                                <w:rFonts w:ascii="Arial MT"/>
                                <w:sz w:val="16"/>
                              </w:rPr>
                            </w:pPr>
                            <w:r>
                              <w:rPr>
                                <w:rFonts w:ascii="Arial MT"/>
                                <w:spacing w:val="-5"/>
                                <w:sz w:val="16"/>
                              </w:rPr>
                              <w:t>624</w:t>
                            </w:r>
                          </w:p>
                        </w:tc>
                      </w:tr>
                      <w:tr w:rsidR="002C6574" w14:paraId="5442DBEF" w14:textId="77777777">
                        <w:trPr>
                          <w:trHeight w:val="183"/>
                        </w:trPr>
                        <w:tc>
                          <w:tcPr>
                            <w:tcW w:w="859" w:type="dxa"/>
                            <w:tcBorders>
                              <w:top w:val="nil"/>
                              <w:bottom w:val="nil"/>
                            </w:tcBorders>
                            <w:shd w:val="clear" w:color="auto" w:fill="75F6F8"/>
                          </w:tcPr>
                          <w:p w14:paraId="05EE6D70" w14:textId="77777777" w:rsidR="002C6574" w:rsidRDefault="00000000">
                            <w:pPr>
                              <w:pStyle w:val="TableParagraph"/>
                              <w:spacing w:line="164" w:lineRule="exact"/>
                              <w:ind w:right="49"/>
                              <w:rPr>
                                <w:rFonts w:ascii="Arial MT"/>
                                <w:sz w:val="16"/>
                              </w:rPr>
                            </w:pPr>
                            <w:r>
                              <w:rPr>
                                <w:rFonts w:ascii="Arial MT"/>
                                <w:spacing w:val="-2"/>
                                <w:sz w:val="16"/>
                              </w:rPr>
                              <w:t>14.108</w:t>
                            </w:r>
                          </w:p>
                        </w:tc>
                        <w:tc>
                          <w:tcPr>
                            <w:tcW w:w="862" w:type="dxa"/>
                            <w:tcBorders>
                              <w:top w:val="nil"/>
                              <w:bottom w:val="nil"/>
                              <w:right w:val="nil"/>
                            </w:tcBorders>
                          </w:tcPr>
                          <w:p w14:paraId="26E903C8" w14:textId="77777777" w:rsidR="002C6574" w:rsidRDefault="00000000">
                            <w:pPr>
                              <w:pStyle w:val="TableParagraph"/>
                              <w:spacing w:line="164" w:lineRule="exact"/>
                              <w:ind w:right="60"/>
                              <w:rPr>
                                <w:rFonts w:ascii="Arial MT"/>
                                <w:sz w:val="16"/>
                              </w:rPr>
                            </w:pPr>
                            <w:r>
                              <w:rPr>
                                <w:rFonts w:ascii="Arial MT"/>
                                <w:spacing w:val="-2"/>
                                <w:sz w:val="16"/>
                              </w:rPr>
                              <w:t>12.999</w:t>
                            </w:r>
                          </w:p>
                        </w:tc>
                      </w:tr>
                      <w:tr w:rsidR="002C6574" w14:paraId="549F4E61" w14:textId="77777777">
                        <w:trPr>
                          <w:trHeight w:val="183"/>
                        </w:trPr>
                        <w:tc>
                          <w:tcPr>
                            <w:tcW w:w="859" w:type="dxa"/>
                            <w:tcBorders>
                              <w:top w:val="nil"/>
                              <w:bottom w:val="nil"/>
                            </w:tcBorders>
                            <w:shd w:val="clear" w:color="auto" w:fill="75F6F8"/>
                          </w:tcPr>
                          <w:p w14:paraId="23FC3638" w14:textId="77777777" w:rsidR="002C6574" w:rsidRDefault="00000000">
                            <w:pPr>
                              <w:pStyle w:val="TableParagraph"/>
                              <w:spacing w:line="164" w:lineRule="exact"/>
                              <w:ind w:right="49"/>
                              <w:rPr>
                                <w:rFonts w:ascii="Arial MT"/>
                                <w:sz w:val="16"/>
                              </w:rPr>
                            </w:pPr>
                            <w:r>
                              <w:rPr>
                                <w:rFonts w:ascii="Arial MT"/>
                                <w:spacing w:val="-2"/>
                                <w:sz w:val="16"/>
                              </w:rPr>
                              <w:t>(4.535)</w:t>
                            </w:r>
                          </w:p>
                        </w:tc>
                        <w:tc>
                          <w:tcPr>
                            <w:tcW w:w="862" w:type="dxa"/>
                            <w:tcBorders>
                              <w:top w:val="nil"/>
                              <w:bottom w:val="nil"/>
                              <w:right w:val="nil"/>
                            </w:tcBorders>
                          </w:tcPr>
                          <w:p w14:paraId="1DB8C662" w14:textId="77777777" w:rsidR="002C6574" w:rsidRDefault="00000000">
                            <w:pPr>
                              <w:pStyle w:val="TableParagraph"/>
                              <w:spacing w:line="164" w:lineRule="exact"/>
                              <w:ind w:right="60"/>
                              <w:rPr>
                                <w:rFonts w:ascii="Arial MT"/>
                                <w:sz w:val="16"/>
                              </w:rPr>
                            </w:pPr>
                            <w:r>
                              <w:rPr>
                                <w:rFonts w:ascii="Arial MT"/>
                                <w:spacing w:val="-2"/>
                                <w:sz w:val="16"/>
                              </w:rPr>
                              <w:t>(3.644)</w:t>
                            </w:r>
                          </w:p>
                        </w:tc>
                      </w:tr>
                      <w:tr w:rsidR="002C6574" w14:paraId="416229C4" w14:textId="77777777">
                        <w:trPr>
                          <w:trHeight w:val="184"/>
                        </w:trPr>
                        <w:tc>
                          <w:tcPr>
                            <w:tcW w:w="859" w:type="dxa"/>
                            <w:tcBorders>
                              <w:top w:val="nil"/>
                              <w:bottom w:val="nil"/>
                            </w:tcBorders>
                            <w:shd w:val="clear" w:color="auto" w:fill="75F6F8"/>
                          </w:tcPr>
                          <w:p w14:paraId="7E8EC297" w14:textId="77777777" w:rsidR="002C6574" w:rsidRDefault="00000000">
                            <w:pPr>
                              <w:pStyle w:val="TableParagraph"/>
                              <w:spacing w:line="165" w:lineRule="exact"/>
                              <w:ind w:right="49"/>
                              <w:rPr>
                                <w:rFonts w:ascii="Arial MT"/>
                                <w:sz w:val="16"/>
                              </w:rPr>
                            </w:pPr>
                            <w:r>
                              <w:rPr>
                                <w:rFonts w:ascii="Arial MT"/>
                                <w:spacing w:val="-2"/>
                                <w:sz w:val="16"/>
                              </w:rPr>
                              <w:t>2.807</w:t>
                            </w:r>
                          </w:p>
                        </w:tc>
                        <w:tc>
                          <w:tcPr>
                            <w:tcW w:w="862" w:type="dxa"/>
                            <w:tcBorders>
                              <w:top w:val="nil"/>
                              <w:bottom w:val="nil"/>
                              <w:right w:val="nil"/>
                            </w:tcBorders>
                          </w:tcPr>
                          <w:p w14:paraId="45CC1583" w14:textId="77777777" w:rsidR="002C6574" w:rsidRDefault="00000000">
                            <w:pPr>
                              <w:pStyle w:val="TableParagraph"/>
                              <w:spacing w:line="165" w:lineRule="exact"/>
                              <w:ind w:right="60"/>
                              <w:rPr>
                                <w:rFonts w:ascii="Arial MT"/>
                                <w:sz w:val="16"/>
                              </w:rPr>
                            </w:pPr>
                            <w:r>
                              <w:rPr>
                                <w:rFonts w:ascii="Arial MT"/>
                                <w:spacing w:val="-2"/>
                                <w:sz w:val="16"/>
                              </w:rPr>
                              <w:t>2.752</w:t>
                            </w:r>
                          </w:p>
                        </w:tc>
                      </w:tr>
                      <w:tr w:rsidR="002C6574" w14:paraId="25077DEB" w14:textId="77777777">
                        <w:trPr>
                          <w:trHeight w:val="183"/>
                        </w:trPr>
                        <w:tc>
                          <w:tcPr>
                            <w:tcW w:w="859" w:type="dxa"/>
                            <w:tcBorders>
                              <w:top w:val="nil"/>
                              <w:bottom w:val="nil"/>
                            </w:tcBorders>
                            <w:shd w:val="clear" w:color="auto" w:fill="75F6F8"/>
                          </w:tcPr>
                          <w:p w14:paraId="6DE9229C" w14:textId="77777777" w:rsidR="002C6574" w:rsidRDefault="00000000">
                            <w:pPr>
                              <w:pStyle w:val="TableParagraph"/>
                              <w:spacing w:line="164" w:lineRule="exact"/>
                              <w:ind w:right="50"/>
                              <w:rPr>
                                <w:rFonts w:ascii="Arial MT"/>
                                <w:sz w:val="16"/>
                              </w:rPr>
                            </w:pPr>
                            <w:r>
                              <w:rPr>
                                <w:rFonts w:ascii="Arial MT"/>
                                <w:spacing w:val="-5"/>
                                <w:sz w:val="16"/>
                              </w:rPr>
                              <w:t>868</w:t>
                            </w:r>
                          </w:p>
                        </w:tc>
                        <w:tc>
                          <w:tcPr>
                            <w:tcW w:w="862" w:type="dxa"/>
                            <w:tcBorders>
                              <w:top w:val="nil"/>
                              <w:bottom w:val="nil"/>
                              <w:right w:val="nil"/>
                            </w:tcBorders>
                          </w:tcPr>
                          <w:p w14:paraId="23E1B5C8" w14:textId="77777777" w:rsidR="002C6574" w:rsidRDefault="00000000">
                            <w:pPr>
                              <w:pStyle w:val="TableParagraph"/>
                              <w:spacing w:line="164" w:lineRule="exact"/>
                              <w:ind w:right="60"/>
                              <w:rPr>
                                <w:rFonts w:ascii="Arial MT"/>
                                <w:sz w:val="16"/>
                              </w:rPr>
                            </w:pPr>
                            <w:r>
                              <w:rPr>
                                <w:rFonts w:ascii="Arial MT"/>
                                <w:spacing w:val="-5"/>
                                <w:sz w:val="16"/>
                              </w:rPr>
                              <w:t>741</w:t>
                            </w:r>
                          </w:p>
                        </w:tc>
                      </w:tr>
                      <w:tr w:rsidR="002C6574" w14:paraId="4A611AAF" w14:textId="77777777">
                        <w:trPr>
                          <w:trHeight w:val="183"/>
                        </w:trPr>
                        <w:tc>
                          <w:tcPr>
                            <w:tcW w:w="859" w:type="dxa"/>
                            <w:tcBorders>
                              <w:top w:val="nil"/>
                              <w:bottom w:val="nil"/>
                            </w:tcBorders>
                            <w:shd w:val="clear" w:color="auto" w:fill="75F6F8"/>
                          </w:tcPr>
                          <w:p w14:paraId="2B76660E" w14:textId="77777777" w:rsidR="002C6574" w:rsidRDefault="00000000">
                            <w:pPr>
                              <w:pStyle w:val="TableParagraph"/>
                              <w:spacing w:line="164" w:lineRule="exact"/>
                              <w:ind w:right="47"/>
                              <w:rPr>
                                <w:rFonts w:ascii="Arial MT"/>
                                <w:sz w:val="16"/>
                              </w:rPr>
                            </w:pPr>
                            <w:r>
                              <w:rPr>
                                <w:rFonts w:ascii="Arial MT"/>
                                <w:spacing w:val="-10"/>
                                <w:sz w:val="16"/>
                              </w:rPr>
                              <w:t>-</w:t>
                            </w:r>
                          </w:p>
                        </w:tc>
                        <w:tc>
                          <w:tcPr>
                            <w:tcW w:w="862" w:type="dxa"/>
                            <w:tcBorders>
                              <w:top w:val="nil"/>
                              <w:bottom w:val="nil"/>
                              <w:right w:val="nil"/>
                            </w:tcBorders>
                          </w:tcPr>
                          <w:p w14:paraId="7835FE13" w14:textId="77777777" w:rsidR="002C6574" w:rsidRDefault="00000000">
                            <w:pPr>
                              <w:pStyle w:val="TableParagraph"/>
                              <w:spacing w:line="164" w:lineRule="exact"/>
                              <w:ind w:right="60"/>
                              <w:rPr>
                                <w:rFonts w:ascii="Arial MT"/>
                                <w:sz w:val="16"/>
                              </w:rPr>
                            </w:pPr>
                            <w:r>
                              <w:rPr>
                                <w:rFonts w:ascii="Arial MT"/>
                                <w:spacing w:val="-2"/>
                                <w:sz w:val="16"/>
                              </w:rPr>
                              <w:t>2.666</w:t>
                            </w:r>
                          </w:p>
                        </w:tc>
                      </w:tr>
                      <w:tr w:rsidR="002C6574" w14:paraId="4F0A732A" w14:textId="77777777">
                        <w:trPr>
                          <w:trHeight w:val="184"/>
                        </w:trPr>
                        <w:tc>
                          <w:tcPr>
                            <w:tcW w:w="859" w:type="dxa"/>
                            <w:tcBorders>
                              <w:top w:val="nil"/>
                              <w:bottom w:val="nil"/>
                            </w:tcBorders>
                            <w:shd w:val="clear" w:color="auto" w:fill="75F6F8"/>
                          </w:tcPr>
                          <w:p w14:paraId="0A49881D" w14:textId="77777777" w:rsidR="002C6574" w:rsidRDefault="00000000">
                            <w:pPr>
                              <w:pStyle w:val="TableParagraph"/>
                              <w:spacing w:line="165" w:lineRule="exact"/>
                              <w:ind w:right="52"/>
                              <w:rPr>
                                <w:rFonts w:ascii="Arial MT"/>
                                <w:sz w:val="16"/>
                              </w:rPr>
                            </w:pPr>
                            <w:r>
                              <w:rPr>
                                <w:rFonts w:ascii="Arial MT"/>
                                <w:spacing w:val="-4"/>
                                <w:sz w:val="16"/>
                              </w:rPr>
                              <w:t>(76)</w:t>
                            </w:r>
                          </w:p>
                        </w:tc>
                        <w:tc>
                          <w:tcPr>
                            <w:tcW w:w="862" w:type="dxa"/>
                            <w:tcBorders>
                              <w:top w:val="nil"/>
                              <w:bottom w:val="nil"/>
                              <w:right w:val="nil"/>
                            </w:tcBorders>
                          </w:tcPr>
                          <w:p w14:paraId="41F78086" w14:textId="77777777" w:rsidR="002C6574" w:rsidRDefault="00000000">
                            <w:pPr>
                              <w:pStyle w:val="TableParagraph"/>
                              <w:spacing w:line="165" w:lineRule="exact"/>
                              <w:ind w:right="60"/>
                              <w:rPr>
                                <w:rFonts w:ascii="Arial MT"/>
                                <w:sz w:val="16"/>
                              </w:rPr>
                            </w:pPr>
                            <w:r>
                              <w:rPr>
                                <w:rFonts w:ascii="Arial MT"/>
                                <w:spacing w:val="-2"/>
                                <w:sz w:val="16"/>
                              </w:rPr>
                              <w:t>(2.297)</w:t>
                            </w:r>
                          </w:p>
                        </w:tc>
                      </w:tr>
                      <w:tr w:rsidR="002C6574" w14:paraId="27D3B8C5" w14:textId="77777777">
                        <w:trPr>
                          <w:trHeight w:val="183"/>
                        </w:trPr>
                        <w:tc>
                          <w:tcPr>
                            <w:tcW w:w="859" w:type="dxa"/>
                            <w:tcBorders>
                              <w:top w:val="nil"/>
                              <w:bottom w:val="nil"/>
                            </w:tcBorders>
                            <w:shd w:val="clear" w:color="auto" w:fill="75F6F8"/>
                          </w:tcPr>
                          <w:p w14:paraId="5EF0EDF8" w14:textId="77777777" w:rsidR="002C6574" w:rsidRDefault="00000000">
                            <w:pPr>
                              <w:pStyle w:val="TableParagraph"/>
                              <w:spacing w:line="164" w:lineRule="exact"/>
                              <w:ind w:right="49"/>
                              <w:rPr>
                                <w:rFonts w:ascii="Arial MT"/>
                                <w:sz w:val="16"/>
                              </w:rPr>
                            </w:pPr>
                            <w:r>
                              <w:rPr>
                                <w:rFonts w:ascii="Arial MT"/>
                                <w:spacing w:val="-2"/>
                                <w:sz w:val="16"/>
                              </w:rPr>
                              <w:t>(134.727)</w:t>
                            </w:r>
                          </w:p>
                        </w:tc>
                        <w:tc>
                          <w:tcPr>
                            <w:tcW w:w="862" w:type="dxa"/>
                            <w:tcBorders>
                              <w:top w:val="nil"/>
                              <w:bottom w:val="nil"/>
                              <w:right w:val="nil"/>
                            </w:tcBorders>
                          </w:tcPr>
                          <w:p w14:paraId="5BE62985" w14:textId="77777777" w:rsidR="002C6574" w:rsidRDefault="00000000">
                            <w:pPr>
                              <w:pStyle w:val="TableParagraph"/>
                              <w:spacing w:line="164" w:lineRule="exact"/>
                              <w:ind w:right="60"/>
                              <w:rPr>
                                <w:rFonts w:ascii="Arial MT"/>
                                <w:sz w:val="16"/>
                              </w:rPr>
                            </w:pPr>
                            <w:r>
                              <w:rPr>
                                <w:rFonts w:ascii="Arial MT"/>
                                <w:spacing w:val="-2"/>
                                <w:sz w:val="16"/>
                              </w:rPr>
                              <w:t>(212.038)</w:t>
                            </w:r>
                          </w:p>
                        </w:tc>
                      </w:tr>
                      <w:tr w:rsidR="002C6574" w14:paraId="13C36CD1" w14:textId="77777777">
                        <w:trPr>
                          <w:trHeight w:val="183"/>
                        </w:trPr>
                        <w:tc>
                          <w:tcPr>
                            <w:tcW w:w="859" w:type="dxa"/>
                            <w:tcBorders>
                              <w:top w:val="nil"/>
                              <w:bottom w:val="nil"/>
                            </w:tcBorders>
                            <w:shd w:val="clear" w:color="auto" w:fill="75F6F8"/>
                          </w:tcPr>
                          <w:p w14:paraId="00643529" w14:textId="77777777" w:rsidR="002C6574" w:rsidRDefault="00000000">
                            <w:pPr>
                              <w:pStyle w:val="TableParagraph"/>
                              <w:spacing w:line="164" w:lineRule="exact"/>
                              <w:ind w:right="49"/>
                              <w:rPr>
                                <w:rFonts w:ascii="Arial MT"/>
                                <w:sz w:val="16"/>
                              </w:rPr>
                            </w:pPr>
                            <w:r>
                              <w:rPr>
                                <w:rFonts w:ascii="Arial MT"/>
                                <w:spacing w:val="-2"/>
                                <w:sz w:val="16"/>
                              </w:rPr>
                              <w:t>4.795</w:t>
                            </w:r>
                          </w:p>
                        </w:tc>
                        <w:tc>
                          <w:tcPr>
                            <w:tcW w:w="862" w:type="dxa"/>
                            <w:tcBorders>
                              <w:top w:val="nil"/>
                              <w:bottom w:val="nil"/>
                              <w:right w:val="nil"/>
                            </w:tcBorders>
                          </w:tcPr>
                          <w:p w14:paraId="1F582656" w14:textId="77777777" w:rsidR="002C6574" w:rsidRDefault="00000000">
                            <w:pPr>
                              <w:pStyle w:val="TableParagraph"/>
                              <w:spacing w:line="164" w:lineRule="exact"/>
                              <w:ind w:right="60"/>
                              <w:rPr>
                                <w:rFonts w:ascii="Arial MT"/>
                                <w:sz w:val="16"/>
                              </w:rPr>
                            </w:pPr>
                            <w:r>
                              <w:rPr>
                                <w:rFonts w:ascii="Arial MT"/>
                                <w:spacing w:val="-2"/>
                                <w:sz w:val="16"/>
                              </w:rPr>
                              <w:t>2.963</w:t>
                            </w:r>
                          </w:p>
                        </w:tc>
                      </w:tr>
                      <w:tr w:rsidR="002C6574" w14:paraId="1C57341A" w14:textId="77777777">
                        <w:trPr>
                          <w:trHeight w:val="184"/>
                        </w:trPr>
                        <w:tc>
                          <w:tcPr>
                            <w:tcW w:w="859" w:type="dxa"/>
                            <w:tcBorders>
                              <w:top w:val="nil"/>
                              <w:bottom w:val="nil"/>
                            </w:tcBorders>
                            <w:shd w:val="clear" w:color="auto" w:fill="75F6F8"/>
                          </w:tcPr>
                          <w:p w14:paraId="4B3238EF" w14:textId="77777777" w:rsidR="002C6574" w:rsidRDefault="00000000">
                            <w:pPr>
                              <w:pStyle w:val="TableParagraph"/>
                              <w:spacing w:line="165" w:lineRule="exact"/>
                              <w:ind w:right="47"/>
                              <w:rPr>
                                <w:rFonts w:ascii="Arial MT"/>
                                <w:sz w:val="16"/>
                              </w:rPr>
                            </w:pPr>
                            <w:r>
                              <w:rPr>
                                <w:rFonts w:ascii="Arial MT"/>
                                <w:spacing w:val="-10"/>
                                <w:sz w:val="16"/>
                              </w:rPr>
                              <w:t>-</w:t>
                            </w:r>
                          </w:p>
                        </w:tc>
                        <w:tc>
                          <w:tcPr>
                            <w:tcW w:w="862" w:type="dxa"/>
                            <w:tcBorders>
                              <w:top w:val="nil"/>
                              <w:bottom w:val="nil"/>
                              <w:right w:val="nil"/>
                            </w:tcBorders>
                          </w:tcPr>
                          <w:p w14:paraId="60BF0CB4" w14:textId="77777777" w:rsidR="002C6574" w:rsidRDefault="00000000">
                            <w:pPr>
                              <w:pStyle w:val="TableParagraph"/>
                              <w:spacing w:line="165" w:lineRule="exact"/>
                              <w:ind w:right="57"/>
                              <w:rPr>
                                <w:rFonts w:ascii="Arial MT"/>
                                <w:sz w:val="16"/>
                              </w:rPr>
                            </w:pPr>
                            <w:r>
                              <w:rPr>
                                <w:rFonts w:ascii="Arial MT"/>
                                <w:spacing w:val="-10"/>
                                <w:sz w:val="16"/>
                              </w:rPr>
                              <w:t>-</w:t>
                            </w:r>
                          </w:p>
                        </w:tc>
                      </w:tr>
                      <w:tr w:rsidR="002C6574" w14:paraId="08C89CF0" w14:textId="77777777">
                        <w:trPr>
                          <w:trHeight w:val="183"/>
                        </w:trPr>
                        <w:tc>
                          <w:tcPr>
                            <w:tcW w:w="859" w:type="dxa"/>
                            <w:tcBorders>
                              <w:top w:val="nil"/>
                              <w:bottom w:val="nil"/>
                            </w:tcBorders>
                            <w:shd w:val="clear" w:color="auto" w:fill="75F6F8"/>
                          </w:tcPr>
                          <w:p w14:paraId="587693B3" w14:textId="77777777" w:rsidR="002C6574" w:rsidRDefault="00000000">
                            <w:pPr>
                              <w:pStyle w:val="TableParagraph"/>
                              <w:spacing w:line="164" w:lineRule="exact"/>
                              <w:ind w:right="49"/>
                              <w:rPr>
                                <w:rFonts w:ascii="Arial MT"/>
                                <w:sz w:val="16"/>
                              </w:rPr>
                            </w:pPr>
                            <w:r>
                              <w:rPr>
                                <w:rFonts w:ascii="Arial MT"/>
                                <w:spacing w:val="-2"/>
                                <w:sz w:val="16"/>
                              </w:rPr>
                              <w:t>(234.446)</w:t>
                            </w:r>
                          </w:p>
                        </w:tc>
                        <w:tc>
                          <w:tcPr>
                            <w:tcW w:w="862" w:type="dxa"/>
                            <w:tcBorders>
                              <w:top w:val="nil"/>
                              <w:bottom w:val="nil"/>
                              <w:right w:val="nil"/>
                            </w:tcBorders>
                          </w:tcPr>
                          <w:p w14:paraId="580D1417" w14:textId="77777777" w:rsidR="002C6574" w:rsidRDefault="00000000">
                            <w:pPr>
                              <w:pStyle w:val="TableParagraph"/>
                              <w:spacing w:line="164" w:lineRule="exact"/>
                              <w:ind w:right="57"/>
                              <w:rPr>
                                <w:rFonts w:ascii="Arial MT"/>
                                <w:sz w:val="16"/>
                              </w:rPr>
                            </w:pPr>
                            <w:r>
                              <w:rPr>
                                <w:rFonts w:ascii="Arial MT"/>
                                <w:spacing w:val="-10"/>
                                <w:sz w:val="16"/>
                              </w:rPr>
                              <w:t>-</w:t>
                            </w:r>
                          </w:p>
                        </w:tc>
                      </w:tr>
                      <w:tr w:rsidR="002C6574" w14:paraId="14A25F0D" w14:textId="77777777">
                        <w:trPr>
                          <w:trHeight w:val="180"/>
                        </w:trPr>
                        <w:tc>
                          <w:tcPr>
                            <w:tcW w:w="859" w:type="dxa"/>
                            <w:tcBorders>
                              <w:top w:val="nil"/>
                            </w:tcBorders>
                            <w:shd w:val="clear" w:color="auto" w:fill="75F6F8"/>
                          </w:tcPr>
                          <w:p w14:paraId="133949DB" w14:textId="77777777" w:rsidR="002C6574" w:rsidRDefault="00000000">
                            <w:pPr>
                              <w:pStyle w:val="TableParagraph"/>
                              <w:spacing w:line="160" w:lineRule="exact"/>
                              <w:ind w:right="50"/>
                              <w:rPr>
                                <w:rFonts w:ascii="Arial MT"/>
                                <w:sz w:val="16"/>
                              </w:rPr>
                            </w:pPr>
                            <w:r>
                              <w:rPr>
                                <w:rFonts w:ascii="Arial MT"/>
                                <w:spacing w:val="-5"/>
                                <w:sz w:val="16"/>
                              </w:rPr>
                              <w:t>91</w:t>
                            </w:r>
                          </w:p>
                        </w:tc>
                        <w:tc>
                          <w:tcPr>
                            <w:tcW w:w="862" w:type="dxa"/>
                            <w:tcBorders>
                              <w:top w:val="nil"/>
                              <w:right w:val="nil"/>
                            </w:tcBorders>
                          </w:tcPr>
                          <w:p w14:paraId="17D2FF8C" w14:textId="77777777" w:rsidR="002C6574" w:rsidRDefault="00000000">
                            <w:pPr>
                              <w:pStyle w:val="TableParagraph"/>
                              <w:spacing w:line="160" w:lineRule="exact"/>
                              <w:ind w:right="57"/>
                              <w:rPr>
                                <w:rFonts w:ascii="Arial MT"/>
                                <w:sz w:val="16"/>
                              </w:rPr>
                            </w:pPr>
                            <w:r>
                              <w:rPr>
                                <w:rFonts w:ascii="Arial MT"/>
                                <w:spacing w:val="-10"/>
                                <w:sz w:val="16"/>
                              </w:rPr>
                              <w:t>-</w:t>
                            </w:r>
                          </w:p>
                        </w:tc>
                      </w:tr>
                      <w:tr w:rsidR="002C6574" w14:paraId="7A535762" w14:textId="77777777">
                        <w:trPr>
                          <w:trHeight w:val="184"/>
                        </w:trPr>
                        <w:tc>
                          <w:tcPr>
                            <w:tcW w:w="859" w:type="dxa"/>
                            <w:shd w:val="clear" w:color="auto" w:fill="75F6F8"/>
                          </w:tcPr>
                          <w:p w14:paraId="34252A40" w14:textId="77777777" w:rsidR="002C6574" w:rsidRDefault="00000000">
                            <w:pPr>
                              <w:pStyle w:val="TableParagraph"/>
                              <w:spacing w:line="163" w:lineRule="exact"/>
                              <w:ind w:right="49"/>
                              <w:rPr>
                                <w:rFonts w:ascii="Arial"/>
                                <w:b/>
                                <w:sz w:val="16"/>
                              </w:rPr>
                            </w:pPr>
                            <w:r>
                              <w:rPr>
                                <w:rFonts w:ascii="Arial"/>
                                <w:b/>
                                <w:spacing w:val="-2"/>
                                <w:sz w:val="16"/>
                              </w:rPr>
                              <w:t>149.463</w:t>
                            </w:r>
                          </w:p>
                        </w:tc>
                        <w:tc>
                          <w:tcPr>
                            <w:tcW w:w="862" w:type="dxa"/>
                            <w:tcBorders>
                              <w:right w:val="nil"/>
                            </w:tcBorders>
                          </w:tcPr>
                          <w:p w14:paraId="10D29964" w14:textId="77777777" w:rsidR="002C6574" w:rsidRDefault="00000000">
                            <w:pPr>
                              <w:pStyle w:val="TableParagraph"/>
                              <w:spacing w:line="163" w:lineRule="exact"/>
                              <w:ind w:right="60"/>
                              <w:rPr>
                                <w:rFonts w:ascii="Arial"/>
                                <w:b/>
                                <w:sz w:val="16"/>
                              </w:rPr>
                            </w:pPr>
                            <w:r>
                              <w:rPr>
                                <w:rFonts w:ascii="Arial"/>
                                <w:b/>
                                <w:spacing w:val="-2"/>
                                <w:sz w:val="16"/>
                              </w:rPr>
                              <w:t>220.179</w:t>
                            </w:r>
                          </w:p>
                        </w:tc>
                      </w:tr>
                      <w:tr w:rsidR="002C6574" w14:paraId="7EA760EA" w14:textId="77777777">
                        <w:trPr>
                          <w:trHeight w:val="372"/>
                        </w:trPr>
                        <w:tc>
                          <w:tcPr>
                            <w:tcW w:w="859" w:type="dxa"/>
                            <w:tcBorders>
                              <w:bottom w:val="nil"/>
                            </w:tcBorders>
                            <w:shd w:val="clear" w:color="auto" w:fill="75F6F8"/>
                          </w:tcPr>
                          <w:p w14:paraId="6A4C446F" w14:textId="77777777" w:rsidR="002C6574" w:rsidRDefault="002C6574">
                            <w:pPr>
                              <w:pStyle w:val="TableParagraph"/>
                              <w:spacing w:before="1"/>
                              <w:jc w:val="left"/>
                              <w:rPr>
                                <w:rFonts w:ascii="Times New Roman"/>
                                <w:sz w:val="16"/>
                              </w:rPr>
                            </w:pPr>
                          </w:p>
                          <w:p w14:paraId="0AEA3DA7" w14:textId="77777777" w:rsidR="002C6574" w:rsidRDefault="00000000">
                            <w:pPr>
                              <w:pStyle w:val="TableParagraph"/>
                              <w:spacing w:line="167" w:lineRule="exact"/>
                              <w:ind w:right="49"/>
                              <w:rPr>
                                <w:rFonts w:ascii="Arial MT"/>
                                <w:sz w:val="16"/>
                              </w:rPr>
                            </w:pPr>
                            <w:r>
                              <w:rPr>
                                <w:rFonts w:ascii="Arial MT"/>
                                <w:spacing w:val="-2"/>
                                <w:sz w:val="16"/>
                              </w:rPr>
                              <w:t>(242.191)</w:t>
                            </w:r>
                          </w:p>
                        </w:tc>
                        <w:tc>
                          <w:tcPr>
                            <w:tcW w:w="862" w:type="dxa"/>
                            <w:tcBorders>
                              <w:bottom w:val="nil"/>
                              <w:right w:val="nil"/>
                            </w:tcBorders>
                          </w:tcPr>
                          <w:p w14:paraId="574BF5A6" w14:textId="77777777" w:rsidR="002C6574" w:rsidRDefault="002C6574">
                            <w:pPr>
                              <w:pStyle w:val="TableParagraph"/>
                              <w:spacing w:before="1"/>
                              <w:jc w:val="left"/>
                              <w:rPr>
                                <w:rFonts w:ascii="Times New Roman"/>
                                <w:sz w:val="16"/>
                              </w:rPr>
                            </w:pPr>
                          </w:p>
                          <w:p w14:paraId="181BD42C" w14:textId="77777777" w:rsidR="002C6574" w:rsidRDefault="00000000">
                            <w:pPr>
                              <w:pStyle w:val="TableParagraph"/>
                              <w:spacing w:line="167" w:lineRule="exact"/>
                              <w:ind w:right="60"/>
                              <w:rPr>
                                <w:rFonts w:ascii="Arial MT"/>
                                <w:sz w:val="16"/>
                              </w:rPr>
                            </w:pPr>
                            <w:r>
                              <w:rPr>
                                <w:rFonts w:ascii="Arial MT"/>
                                <w:spacing w:val="-2"/>
                                <w:sz w:val="16"/>
                              </w:rPr>
                              <w:t>(59.168)</w:t>
                            </w:r>
                          </w:p>
                        </w:tc>
                      </w:tr>
                      <w:tr w:rsidR="002C6574" w14:paraId="0C3FD819" w14:textId="77777777">
                        <w:trPr>
                          <w:trHeight w:val="183"/>
                        </w:trPr>
                        <w:tc>
                          <w:tcPr>
                            <w:tcW w:w="859" w:type="dxa"/>
                            <w:tcBorders>
                              <w:top w:val="nil"/>
                              <w:bottom w:val="nil"/>
                            </w:tcBorders>
                            <w:shd w:val="clear" w:color="auto" w:fill="75F6F8"/>
                          </w:tcPr>
                          <w:p w14:paraId="763DF567" w14:textId="77777777" w:rsidR="002C6574" w:rsidRDefault="00000000">
                            <w:pPr>
                              <w:pStyle w:val="TableParagraph"/>
                              <w:spacing w:line="164" w:lineRule="exact"/>
                              <w:ind w:right="49"/>
                              <w:rPr>
                                <w:rFonts w:ascii="Arial MT"/>
                                <w:sz w:val="16"/>
                              </w:rPr>
                            </w:pPr>
                            <w:r>
                              <w:rPr>
                                <w:rFonts w:ascii="Arial MT"/>
                                <w:spacing w:val="-2"/>
                                <w:sz w:val="16"/>
                              </w:rPr>
                              <w:t>(18.886)</w:t>
                            </w:r>
                          </w:p>
                        </w:tc>
                        <w:tc>
                          <w:tcPr>
                            <w:tcW w:w="862" w:type="dxa"/>
                            <w:tcBorders>
                              <w:top w:val="nil"/>
                              <w:bottom w:val="nil"/>
                              <w:right w:val="nil"/>
                            </w:tcBorders>
                          </w:tcPr>
                          <w:p w14:paraId="41FC6F1F" w14:textId="77777777" w:rsidR="002C6574" w:rsidRDefault="00000000">
                            <w:pPr>
                              <w:pStyle w:val="TableParagraph"/>
                              <w:spacing w:line="164" w:lineRule="exact"/>
                              <w:ind w:right="63"/>
                              <w:rPr>
                                <w:rFonts w:ascii="Arial MT"/>
                                <w:sz w:val="16"/>
                              </w:rPr>
                            </w:pPr>
                            <w:r>
                              <w:rPr>
                                <w:rFonts w:ascii="Arial MT"/>
                                <w:spacing w:val="-4"/>
                                <w:sz w:val="16"/>
                              </w:rPr>
                              <w:t>(54)</w:t>
                            </w:r>
                          </w:p>
                        </w:tc>
                      </w:tr>
                      <w:tr w:rsidR="002C6574" w14:paraId="5AD7B654" w14:textId="77777777">
                        <w:trPr>
                          <w:trHeight w:val="183"/>
                        </w:trPr>
                        <w:tc>
                          <w:tcPr>
                            <w:tcW w:w="859" w:type="dxa"/>
                            <w:tcBorders>
                              <w:top w:val="nil"/>
                              <w:bottom w:val="nil"/>
                            </w:tcBorders>
                            <w:shd w:val="clear" w:color="auto" w:fill="75F6F8"/>
                          </w:tcPr>
                          <w:p w14:paraId="0851F6C6" w14:textId="77777777" w:rsidR="002C6574" w:rsidRDefault="00000000">
                            <w:pPr>
                              <w:pStyle w:val="TableParagraph"/>
                              <w:spacing w:line="164" w:lineRule="exact"/>
                              <w:ind w:right="47"/>
                              <w:rPr>
                                <w:rFonts w:ascii="Arial MT"/>
                                <w:sz w:val="16"/>
                              </w:rPr>
                            </w:pPr>
                            <w:r>
                              <w:rPr>
                                <w:rFonts w:ascii="Arial MT"/>
                                <w:spacing w:val="-10"/>
                                <w:sz w:val="16"/>
                              </w:rPr>
                              <w:t>-</w:t>
                            </w:r>
                          </w:p>
                        </w:tc>
                        <w:tc>
                          <w:tcPr>
                            <w:tcW w:w="862" w:type="dxa"/>
                            <w:tcBorders>
                              <w:top w:val="nil"/>
                              <w:bottom w:val="nil"/>
                              <w:right w:val="nil"/>
                            </w:tcBorders>
                          </w:tcPr>
                          <w:p w14:paraId="4B74CC8A" w14:textId="77777777" w:rsidR="002C6574" w:rsidRDefault="00000000">
                            <w:pPr>
                              <w:pStyle w:val="TableParagraph"/>
                              <w:spacing w:line="164" w:lineRule="exact"/>
                              <w:ind w:right="57"/>
                              <w:rPr>
                                <w:rFonts w:ascii="Arial MT"/>
                                <w:sz w:val="16"/>
                              </w:rPr>
                            </w:pPr>
                            <w:r>
                              <w:rPr>
                                <w:rFonts w:ascii="Arial MT"/>
                                <w:spacing w:val="-10"/>
                                <w:sz w:val="16"/>
                              </w:rPr>
                              <w:t>-</w:t>
                            </w:r>
                          </w:p>
                        </w:tc>
                      </w:tr>
                      <w:tr w:rsidR="002C6574" w14:paraId="0EC1B925" w14:textId="77777777">
                        <w:trPr>
                          <w:trHeight w:val="185"/>
                        </w:trPr>
                        <w:tc>
                          <w:tcPr>
                            <w:tcW w:w="859" w:type="dxa"/>
                            <w:tcBorders>
                              <w:top w:val="nil"/>
                              <w:bottom w:val="nil"/>
                            </w:tcBorders>
                            <w:shd w:val="clear" w:color="auto" w:fill="75F6F8"/>
                          </w:tcPr>
                          <w:p w14:paraId="207A9972" w14:textId="77777777" w:rsidR="002C6574" w:rsidRDefault="00000000">
                            <w:pPr>
                              <w:pStyle w:val="TableParagraph"/>
                              <w:spacing w:line="165" w:lineRule="exact"/>
                              <w:ind w:right="49"/>
                              <w:rPr>
                                <w:rFonts w:ascii="Arial MT"/>
                                <w:sz w:val="16"/>
                              </w:rPr>
                            </w:pPr>
                            <w:r>
                              <w:rPr>
                                <w:rFonts w:ascii="Arial MT"/>
                                <w:spacing w:val="-2"/>
                                <w:sz w:val="16"/>
                              </w:rPr>
                              <w:t>8.252</w:t>
                            </w:r>
                          </w:p>
                        </w:tc>
                        <w:tc>
                          <w:tcPr>
                            <w:tcW w:w="862" w:type="dxa"/>
                            <w:tcBorders>
                              <w:top w:val="nil"/>
                              <w:bottom w:val="nil"/>
                              <w:right w:val="nil"/>
                            </w:tcBorders>
                          </w:tcPr>
                          <w:p w14:paraId="1A5D7798" w14:textId="77777777" w:rsidR="002C6574" w:rsidRDefault="00000000">
                            <w:pPr>
                              <w:pStyle w:val="TableParagraph"/>
                              <w:spacing w:line="165" w:lineRule="exact"/>
                              <w:ind w:right="60"/>
                              <w:rPr>
                                <w:rFonts w:ascii="Arial MT"/>
                                <w:sz w:val="16"/>
                              </w:rPr>
                            </w:pPr>
                            <w:r>
                              <w:rPr>
                                <w:rFonts w:ascii="Arial MT"/>
                                <w:spacing w:val="-5"/>
                                <w:sz w:val="16"/>
                              </w:rPr>
                              <w:t>217</w:t>
                            </w:r>
                          </w:p>
                        </w:tc>
                      </w:tr>
                      <w:tr w:rsidR="002C6574" w14:paraId="27554168" w14:textId="77777777">
                        <w:trPr>
                          <w:trHeight w:val="183"/>
                        </w:trPr>
                        <w:tc>
                          <w:tcPr>
                            <w:tcW w:w="859" w:type="dxa"/>
                            <w:tcBorders>
                              <w:top w:val="nil"/>
                              <w:bottom w:val="nil"/>
                            </w:tcBorders>
                            <w:shd w:val="clear" w:color="auto" w:fill="75F6F8"/>
                          </w:tcPr>
                          <w:p w14:paraId="38E87963" w14:textId="77777777" w:rsidR="002C6574" w:rsidRDefault="00000000">
                            <w:pPr>
                              <w:pStyle w:val="TableParagraph"/>
                              <w:spacing w:line="164" w:lineRule="exact"/>
                              <w:ind w:right="49"/>
                              <w:rPr>
                                <w:rFonts w:ascii="Arial MT"/>
                                <w:sz w:val="16"/>
                              </w:rPr>
                            </w:pPr>
                            <w:r>
                              <w:rPr>
                                <w:rFonts w:ascii="Arial MT"/>
                                <w:spacing w:val="-2"/>
                                <w:sz w:val="16"/>
                              </w:rPr>
                              <w:t>7.425</w:t>
                            </w:r>
                          </w:p>
                        </w:tc>
                        <w:tc>
                          <w:tcPr>
                            <w:tcW w:w="862" w:type="dxa"/>
                            <w:tcBorders>
                              <w:top w:val="nil"/>
                              <w:bottom w:val="nil"/>
                              <w:right w:val="nil"/>
                            </w:tcBorders>
                          </w:tcPr>
                          <w:p w14:paraId="4985A69A" w14:textId="77777777" w:rsidR="002C6574" w:rsidRDefault="00000000">
                            <w:pPr>
                              <w:pStyle w:val="TableParagraph"/>
                              <w:spacing w:line="164" w:lineRule="exact"/>
                              <w:ind w:right="60"/>
                              <w:rPr>
                                <w:rFonts w:ascii="Arial MT"/>
                                <w:sz w:val="16"/>
                              </w:rPr>
                            </w:pPr>
                            <w:r>
                              <w:rPr>
                                <w:rFonts w:ascii="Arial MT"/>
                                <w:spacing w:val="-2"/>
                                <w:sz w:val="16"/>
                              </w:rPr>
                              <w:t>1.298</w:t>
                            </w:r>
                          </w:p>
                        </w:tc>
                      </w:tr>
                      <w:tr w:rsidR="002C6574" w14:paraId="5B92EDBB" w14:textId="77777777">
                        <w:trPr>
                          <w:trHeight w:val="180"/>
                        </w:trPr>
                        <w:tc>
                          <w:tcPr>
                            <w:tcW w:w="859" w:type="dxa"/>
                            <w:tcBorders>
                              <w:top w:val="nil"/>
                            </w:tcBorders>
                            <w:shd w:val="clear" w:color="auto" w:fill="75F6F8"/>
                          </w:tcPr>
                          <w:p w14:paraId="0CBAF5FF" w14:textId="77777777" w:rsidR="002C6574" w:rsidRDefault="00000000">
                            <w:pPr>
                              <w:pStyle w:val="TableParagraph"/>
                              <w:spacing w:line="160" w:lineRule="exact"/>
                              <w:ind w:right="49"/>
                              <w:rPr>
                                <w:rFonts w:ascii="Arial MT"/>
                                <w:sz w:val="16"/>
                              </w:rPr>
                            </w:pPr>
                            <w:r>
                              <w:rPr>
                                <w:rFonts w:ascii="Arial MT"/>
                                <w:spacing w:val="-2"/>
                                <w:sz w:val="16"/>
                              </w:rPr>
                              <w:t>(7.502)</w:t>
                            </w:r>
                          </w:p>
                        </w:tc>
                        <w:tc>
                          <w:tcPr>
                            <w:tcW w:w="862" w:type="dxa"/>
                            <w:tcBorders>
                              <w:top w:val="nil"/>
                              <w:right w:val="nil"/>
                            </w:tcBorders>
                          </w:tcPr>
                          <w:p w14:paraId="7B7BE87D" w14:textId="77777777" w:rsidR="002C6574" w:rsidRDefault="00000000">
                            <w:pPr>
                              <w:pStyle w:val="TableParagraph"/>
                              <w:spacing w:line="160" w:lineRule="exact"/>
                              <w:ind w:right="60"/>
                              <w:rPr>
                                <w:rFonts w:ascii="Arial MT"/>
                                <w:sz w:val="16"/>
                              </w:rPr>
                            </w:pPr>
                            <w:r>
                              <w:rPr>
                                <w:rFonts w:ascii="Arial MT"/>
                                <w:spacing w:val="-2"/>
                                <w:sz w:val="16"/>
                              </w:rPr>
                              <w:t>43.723</w:t>
                            </w:r>
                          </w:p>
                        </w:tc>
                      </w:tr>
                      <w:tr w:rsidR="002C6574" w14:paraId="7C80E459" w14:textId="77777777">
                        <w:trPr>
                          <w:trHeight w:val="183"/>
                        </w:trPr>
                        <w:tc>
                          <w:tcPr>
                            <w:tcW w:w="859" w:type="dxa"/>
                            <w:shd w:val="clear" w:color="auto" w:fill="75F6F8"/>
                          </w:tcPr>
                          <w:p w14:paraId="2EB7158C" w14:textId="77777777" w:rsidR="002C6574" w:rsidRDefault="00000000">
                            <w:pPr>
                              <w:pStyle w:val="TableParagraph"/>
                              <w:spacing w:line="163" w:lineRule="exact"/>
                              <w:ind w:right="49"/>
                              <w:rPr>
                                <w:rFonts w:ascii="Arial"/>
                                <w:b/>
                                <w:sz w:val="16"/>
                              </w:rPr>
                            </w:pPr>
                            <w:r>
                              <w:rPr>
                                <w:rFonts w:ascii="Arial"/>
                                <w:b/>
                                <w:spacing w:val="-2"/>
                                <w:sz w:val="16"/>
                              </w:rPr>
                              <w:t>(252.902)</w:t>
                            </w:r>
                          </w:p>
                        </w:tc>
                        <w:tc>
                          <w:tcPr>
                            <w:tcW w:w="862" w:type="dxa"/>
                            <w:tcBorders>
                              <w:right w:val="nil"/>
                            </w:tcBorders>
                          </w:tcPr>
                          <w:p w14:paraId="40C263F1" w14:textId="77777777" w:rsidR="002C6574" w:rsidRDefault="00000000">
                            <w:pPr>
                              <w:pStyle w:val="TableParagraph"/>
                              <w:spacing w:line="163" w:lineRule="exact"/>
                              <w:ind w:right="60"/>
                              <w:rPr>
                                <w:rFonts w:ascii="Arial"/>
                                <w:b/>
                                <w:sz w:val="16"/>
                              </w:rPr>
                            </w:pPr>
                            <w:r>
                              <w:rPr>
                                <w:rFonts w:ascii="Arial"/>
                                <w:b/>
                                <w:spacing w:val="-2"/>
                                <w:sz w:val="16"/>
                              </w:rPr>
                              <w:t>(13.984)</w:t>
                            </w:r>
                          </w:p>
                        </w:tc>
                      </w:tr>
                      <w:tr w:rsidR="002C6574" w14:paraId="44817C29" w14:textId="77777777">
                        <w:trPr>
                          <w:trHeight w:val="372"/>
                        </w:trPr>
                        <w:tc>
                          <w:tcPr>
                            <w:tcW w:w="859" w:type="dxa"/>
                            <w:tcBorders>
                              <w:bottom w:val="nil"/>
                            </w:tcBorders>
                            <w:shd w:val="clear" w:color="auto" w:fill="75F6F8"/>
                          </w:tcPr>
                          <w:p w14:paraId="77C51554" w14:textId="77777777" w:rsidR="002C6574" w:rsidRDefault="002C6574">
                            <w:pPr>
                              <w:pStyle w:val="TableParagraph"/>
                              <w:spacing w:before="1"/>
                              <w:jc w:val="left"/>
                              <w:rPr>
                                <w:rFonts w:ascii="Times New Roman"/>
                                <w:sz w:val="16"/>
                              </w:rPr>
                            </w:pPr>
                          </w:p>
                          <w:p w14:paraId="5ED0200A" w14:textId="77777777" w:rsidR="002C6574" w:rsidRDefault="00000000">
                            <w:pPr>
                              <w:pStyle w:val="TableParagraph"/>
                              <w:spacing w:line="167" w:lineRule="exact"/>
                              <w:ind w:right="49"/>
                              <w:rPr>
                                <w:rFonts w:ascii="Arial MT"/>
                                <w:sz w:val="16"/>
                              </w:rPr>
                            </w:pPr>
                            <w:r>
                              <w:rPr>
                                <w:rFonts w:ascii="Arial MT"/>
                                <w:spacing w:val="-2"/>
                                <w:sz w:val="16"/>
                              </w:rPr>
                              <w:t>(4.777)</w:t>
                            </w:r>
                          </w:p>
                        </w:tc>
                        <w:tc>
                          <w:tcPr>
                            <w:tcW w:w="862" w:type="dxa"/>
                            <w:tcBorders>
                              <w:bottom w:val="nil"/>
                              <w:right w:val="nil"/>
                            </w:tcBorders>
                          </w:tcPr>
                          <w:p w14:paraId="716A0874" w14:textId="77777777" w:rsidR="002C6574" w:rsidRDefault="002C6574">
                            <w:pPr>
                              <w:pStyle w:val="TableParagraph"/>
                              <w:spacing w:before="1"/>
                              <w:jc w:val="left"/>
                              <w:rPr>
                                <w:rFonts w:ascii="Times New Roman"/>
                                <w:sz w:val="16"/>
                              </w:rPr>
                            </w:pPr>
                          </w:p>
                          <w:p w14:paraId="0BD34EC4" w14:textId="77777777" w:rsidR="002C6574" w:rsidRDefault="00000000">
                            <w:pPr>
                              <w:pStyle w:val="TableParagraph"/>
                              <w:spacing w:line="167" w:lineRule="exact"/>
                              <w:ind w:right="60"/>
                              <w:rPr>
                                <w:rFonts w:ascii="Arial MT"/>
                                <w:sz w:val="16"/>
                              </w:rPr>
                            </w:pPr>
                            <w:r>
                              <w:rPr>
                                <w:rFonts w:ascii="Arial MT"/>
                                <w:spacing w:val="-2"/>
                                <w:sz w:val="16"/>
                              </w:rPr>
                              <w:t>(1.549)</w:t>
                            </w:r>
                          </w:p>
                        </w:tc>
                      </w:tr>
                      <w:tr w:rsidR="002C6574" w14:paraId="0F67ABB9" w14:textId="77777777">
                        <w:trPr>
                          <w:trHeight w:val="183"/>
                        </w:trPr>
                        <w:tc>
                          <w:tcPr>
                            <w:tcW w:w="859" w:type="dxa"/>
                            <w:tcBorders>
                              <w:top w:val="nil"/>
                              <w:bottom w:val="nil"/>
                            </w:tcBorders>
                            <w:shd w:val="clear" w:color="auto" w:fill="75F6F8"/>
                          </w:tcPr>
                          <w:p w14:paraId="36850B42" w14:textId="77777777" w:rsidR="002C6574" w:rsidRDefault="00000000">
                            <w:pPr>
                              <w:pStyle w:val="TableParagraph"/>
                              <w:spacing w:line="164" w:lineRule="exact"/>
                              <w:ind w:right="49"/>
                              <w:rPr>
                                <w:rFonts w:ascii="Arial MT"/>
                                <w:sz w:val="16"/>
                              </w:rPr>
                            </w:pPr>
                            <w:r>
                              <w:rPr>
                                <w:rFonts w:ascii="Arial MT"/>
                                <w:spacing w:val="-2"/>
                                <w:sz w:val="16"/>
                              </w:rPr>
                              <w:t>(7.894)</w:t>
                            </w:r>
                          </w:p>
                        </w:tc>
                        <w:tc>
                          <w:tcPr>
                            <w:tcW w:w="862" w:type="dxa"/>
                            <w:tcBorders>
                              <w:top w:val="nil"/>
                              <w:bottom w:val="nil"/>
                              <w:right w:val="nil"/>
                            </w:tcBorders>
                          </w:tcPr>
                          <w:p w14:paraId="290DBF11" w14:textId="77777777" w:rsidR="002C6574" w:rsidRDefault="00000000">
                            <w:pPr>
                              <w:pStyle w:val="TableParagraph"/>
                              <w:spacing w:line="164" w:lineRule="exact"/>
                              <w:ind w:right="57"/>
                              <w:rPr>
                                <w:rFonts w:ascii="Arial MT"/>
                                <w:sz w:val="16"/>
                              </w:rPr>
                            </w:pPr>
                            <w:r>
                              <w:rPr>
                                <w:rFonts w:ascii="Arial MT"/>
                                <w:spacing w:val="-10"/>
                                <w:sz w:val="16"/>
                              </w:rPr>
                              <w:t>-</w:t>
                            </w:r>
                          </w:p>
                        </w:tc>
                      </w:tr>
                      <w:tr w:rsidR="002C6574" w14:paraId="0CFCC966" w14:textId="77777777">
                        <w:trPr>
                          <w:trHeight w:val="183"/>
                        </w:trPr>
                        <w:tc>
                          <w:tcPr>
                            <w:tcW w:w="859" w:type="dxa"/>
                            <w:tcBorders>
                              <w:top w:val="nil"/>
                              <w:bottom w:val="nil"/>
                            </w:tcBorders>
                            <w:shd w:val="clear" w:color="auto" w:fill="75F6F8"/>
                          </w:tcPr>
                          <w:p w14:paraId="173382B2" w14:textId="77777777" w:rsidR="002C6574" w:rsidRDefault="00000000">
                            <w:pPr>
                              <w:pStyle w:val="TableParagraph"/>
                              <w:spacing w:line="164" w:lineRule="exact"/>
                              <w:ind w:right="52"/>
                              <w:rPr>
                                <w:rFonts w:ascii="Arial MT"/>
                                <w:sz w:val="16"/>
                              </w:rPr>
                            </w:pPr>
                            <w:r>
                              <w:rPr>
                                <w:rFonts w:ascii="Arial MT"/>
                                <w:spacing w:val="-2"/>
                                <w:sz w:val="16"/>
                              </w:rPr>
                              <w:t>(224)</w:t>
                            </w:r>
                          </w:p>
                        </w:tc>
                        <w:tc>
                          <w:tcPr>
                            <w:tcW w:w="862" w:type="dxa"/>
                            <w:tcBorders>
                              <w:top w:val="nil"/>
                              <w:bottom w:val="nil"/>
                              <w:right w:val="nil"/>
                            </w:tcBorders>
                          </w:tcPr>
                          <w:p w14:paraId="2E2999C4" w14:textId="77777777" w:rsidR="002C6574" w:rsidRDefault="00000000">
                            <w:pPr>
                              <w:pStyle w:val="TableParagraph"/>
                              <w:spacing w:line="164" w:lineRule="exact"/>
                              <w:ind w:right="60"/>
                              <w:rPr>
                                <w:rFonts w:ascii="Arial MT"/>
                                <w:sz w:val="16"/>
                              </w:rPr>
                            </w:pPr>
                            <w:r>
                              <w:rPr>
                                <w:rFonts w:ascii="Arial MT"/>
                                <w:spacing w:val="-2"/>
                                <w:sz w:val="16"/>
                              </w:rPr>
                              <w:t>(2.530)</w:t>
                            </w:r>
                          </w:p>
                        </w:tc>
                      </w:tr>
                      <w:tr w:rsidR="002C6574" w14:paraId="22AB6D3F" w14:textId="77777777">
                        <w:trPr>
                          <w:trHeight w:val="184"/>
                        </w:trPr>
                        <w:tc>
                          <w:tcPr>
                            <w:tcW w:w="859" w:type="dxa"/>
                            <w:tcBorders>
                              <w:top w:val="nil"/>
                              <w:bottom w:val="nil"/>
                            </w:tcBorders>
                            <w:shd w:val="clear" w:color="auto" w:fill="75F6F8"/>
                          </w:tcPr>
                          <w:p w14:paraId="58C715AF" w14:textId="77777777" w:rsidR="002C6574" w:rsidRDefault="00000000">
                            <w:pPr>
                              <w:pStyle w:val="TableParagraph"/>
                              <w:spacing w:line="165" w:lineRule="exact"/>
                              <w:ind w:right="52"/>
                              <w:rPr>
                                <w:rFonts w:ascii="Arial MT"/>
                                <w:sz w:val="16"/>
                              </w:rPr>
                            </w:pPr>
                            <w:r>
                              <w:rPr>
                                <w:rFonts w:ascii="Arial MT"/>
                                <w:spacing w:val="-2"/>
                                <w:sz w:val="16"/>
                              </w:rPr>
                              <w:t>(868)</w:t>
                            </w:r>
                          </w:p>
                        </w:tc>
                        <w:tc>
                          <w:tcPr>
                            <w:tcW w:w="862" w:type="dxa"/>
                            <w:tcBorders>
                              <w:top w:val="nil"/>
                              <w:bottom w:val="nil"/>
                              <w:right w:val="nil"/>
                            </w:tcBorders>
                          </w:tcPr>
                          <w:p w14:paraId="6897CD4A" w14:textId="77777777" w:rsidR="002C6574" w:rsidRDefault="00000000">
                            <w:pPr>
                              <w:pStyle w:val="TableParagraph"/>
                              <w:spacing w:line="165" w:lineRule="exact"/>
                              <w:ind w:right="63"/>
                              <w:rPr>
                                <w:rFonts w:ascii="Arial MT"/>
                                <w:sz w:val="16"/>
                              </w:rPr>
                            </w:pPr>
                            <w:r>
                              <w:rPr>
                                <w:rFonts w:ascii="Arial MT"/>
                                <w:spacing w:val="-2"/>
                                <w:sz w:val="16"/>
                              </w:rPr>
                              <w:t>(741)</w:t>
                            </w:r>
                          </w:p>
                        </w:tc>
                      </w:tr>
                      <w:tr w:rsidR="002C6574" w14:paraId="589C8DBE" w14:textId="77777777">
                        <w:trPr>
                          <w:trHeight w:val="183"/>
                        </w:trPr>
                        <w:tc>
                          <w:tcPr>
                            <w:tcW w:w="859" w:type="dxa"/>
                            <w:tcBorders>
                              <w:top w:val="nil"/>
                              <w:bottom w:val="nil"/>
                            </w:tcBorders>
                            <w:shd w:val="clear" w:color="auto" w:fill="75F6F8"/>
                          </w:tcPr>
                          <w:p w14:paraId="258AC9CD" w14:textId="77777777" w:rsidR="002C6574" w:rsidRDefault="00000000">
                            <w:pPr>
                              <w:pStyle w:val="TableParagraph"/>
                              <w:spacing w:line="164" w:lineRule="exact"/>
                              <w:ind w:right="49"/>
                              <w:rPr>
                                <w:rFonts w:ascii="Arial MT"/>
                                <w:sz w:val="16"/>
                              </w:rPr>
                            </w:pPr>
                            <w:r>
                              <w:rPr>
                                <w:rFonts w:ascii="Arial MT"/>
                                <w:spacing w:val="-2"/>
                                <w:sz w:val="16"/>
                              </w:rPr>
                              <w:t>(3.298)</w:t>
                            </w:r>
                          </w:p>
                        </w:tc>
                        <w:tc>
                          <w:tcPr>
                            <w:tcW w:w="862" w:type="dxa"/>
                            <w:tcBorders>
                              <w:top w:val="nil"/>
                              <w:bottom w:val="nil"/>
                              <w:right w:val="nil"/>
                            </w:tcBorders>
                          </w:tcPr>
                          <w:p w14:paraId="586C94FD" w14:textId="77777777" w:rsidR="002C6574" w:rsidRDefault="00000000">
                            <w:pPr>
                              <w:pStyle w:val="TableParagraph"/>
                              <w:spacing w:line="164" w:lineRule="exact"/>
                              <w:ind w:right="63"/>
                              <w:rPr>
                                <w:rFonts w:ascii="Arial MT"/>
                                <w:sz w:val="16"/>
                              </w:rPr>
                            </w:pPr>
                            <w:r>
                              <w:rPr>
                                <w:rFonts w:ascii="Arial MT"/>
                                <w:spacing w:val="-2"/>
                                <w:sz w:val="16"/>
                              </w:rPr>
                              <w:t>(350)</w:t>
                            </w:r>
                          </w:p>
                        </w:tc>
                      </w:tr>
                      <w:tr w:rsidR="002C6574" w14:paraId="4662F292" w14:textId="77777777">
                        <w:trPr>
                          <w:trHeight w:val="180"/>
                        </w:trPr>
                        <w:tc>
                          <w:tcPr>
                            <w:tcW w:w="859" w:type="dxa"/>
                            <w:tcBorders>
                              <w:top w:val="nil"/>
                            </w:tcBorders>
                            <w:shd w:val="clear" w:color="auto" w:fill="75F6F8"/>
                          </w:tcPr>
                          <w:p w14:paraId="08F69814" w14:textId="77777777" w:rsidR="002C6574" w:rsidRDefault="00000000">
                            <w:pPr>
                              <w:pStyle w:val="TableParagraph"/>
                              <w:spacing w:line="160" w:lineRule="exact"/>
                              <w:ind w:right="49"/>
                              <w:rPr>
                                <w:rFonts w:ascii="Arial MT"/>
                                <w:sz w:val="16"/>
                              </w:rPr>
                            </w:pPr>
                            <w:r>
                              <w:rPr>
                                <w:rFonts w:ascii="Arial MT"/>
                                <w:spacing w:val="-2"/>
                                <w:sz w:val="16"/>
                              </w:rPr>
                              <w:t>(9.807)</w:t>
                            </w:r>
                          </w:p>
                        </w:tc>
                        <w:tc>
                          <w:tcPr>
                            <w:tcW w:w="862" w:type="dxa"/>
                            <w:tcBorders>
                              <w:top w:val="nil"/>
                              <w:right w:val="nil"/>
                            </w:tcBorders>
                          </w:tcPr>
                          <w:p w14:paraId="7734F9E0" w14:textId="77777777" w:rsidR="002C6574" w:rsidRDefault="00000000">
                            <w:pPr>
                              <w:pStyle w:val="TableParagraph"/>
                              <w:spacing w:line="160" w:lineRule="exact"/>
                              <w:ind w:right="60"/>
                              <w:rPr>
                                <w:rFonts w:ascii="Arial MT"/>
                                <w:sz w:val="16"/>
                              </w:rPr>
                            </w:pPr>
                            <w:r>
                              <w:rPr>
                                <w:rFonts w:ascii="Arial MT"/>
                                <w:spacing w:val="-2"/>
                                <w:sz w:val="16"/>
                              </w:rPr>
                              <w:t>(12.817)</w:t>
                            </w:r>
                          </w:p>
                        </w:tc>
                      </w:tr>
                      <w:tr w:rsidR="002C6574" w14:paraId="7EA45659" w14:textId="77777777">
                        <w:trPr>
                          <w:trHeight w:val="183"/>
                        </w:trPr>
                        <w:tc>
                          <w:tcPr>
                            <w:tcW w:w="859" w:type="dxa"/>
                            <w:shd w:val="clear" w:color="auto" w:fill="75F6F8"/>
                          </w:tcPr>
                          <w:p w14:paraId="5D00AFF7" w14:textId="77777777" w:rsidR="002C6574" w:rsidRDefault="00000000">
                            <w:pPr>
                              <w:pStyle w:val="TableParagraph"/>
                              <w:spacing w:line="163" w:lineRule="exact"/>
                              <w:ind w:right="49"/>
                              <w:rPr>
                                <w:rFonts w:ascii="Arial"/>
                                <w:b/>
                                <w:sz w:val="16"/>
                              </w:rPr>
                            </w:pPr>
                            <w:r>
                              <w:rPr>
                                <w:rFonts w:ascii="Arial"/>
                                <w:b/>
                                <w:spacing w:val="-2"/>
                                <w:sz w:val="16"/>
                              </w:rPr>
                              <w:t>(26.868)</w:t>
                            </w:r>
                          </w:p>
                        </w:tc>
                        <w:tc>
                          <w:tcPr>
                            <w:tcW w:w="862" w:type="dxa"/>
                            <w:tcBorders>
                              <w:right w:val="nil"/>
                            </w:tcBorders>
                          </w:tcPr>
                          <w:p w14:paraId="7E6B8A44" w14:textId="77777777" w:rsidR="002C6574" w:rsidRDefault="00000000">
                            <w:pPr>
                              <w:pStyle w:val="TableParagraph"/>
                              <w:spacing w:line="163" w:lineRule="exact"/>
                              <w:ind w:right="60"/>
                              <w:rPr>
                                <w:rFonts w:ascii="Arial"/>
                                <w:b/>
                                <w:sz w:val="16"/>
                              </w:rPr>
                            </w:pPr>
                            <w:r>
                              <w:rPr>
                                <w:rFonts w:ascii="Arial"/>
                                <w:b/>
                                <w:spacing w:val="-2"/>
                                <w:sz w:val="16"/>
                              </w:rPr>
                              <w:t>(17.987)</w:t>
                            </w:r>
                          </w:p>
                        </w:tc>
                      </w:tr>
                      <w:tr w:rsidR="002C6574" w14:paraId="6B5FCD38" w14:textId="77777777">
                        <w:trPr>
                          <w:trHeight w:val="183"/>
                        </w:trPr>
                        <w:tc>
                          <w:tcPr>
                            <w:tcW w:w="859" w:type="dxa"/>
                            <w:tcBorders>
                              <w:bottom w:val="single" w:sz="8" w:space="0" w:color="3616F6"/>
                            </w:tcBorders>
                            <w:shd w:val="clear" w:color="auto" w:fill="75F6F8"/>
                          </w:tcPr>
                          <w:p w14:paraId="01919A15" w14:textId="77777777" w:rsidR="002C6574" w:rsidRDefault="00000000">
                            <w:pPr>
                              <w:pStyle w:val="TableParagraph"/>
                              <w:spacing w:line="163" w:lineRule="exact"/>
                              <w:ind w:right="49"/>
                              <w:rPr>
                                <w:rFonts w:ascii="Arial"/>
                                <w:b/>
                                <w:sz w:val="16"/>
                              </w:rPr>
                            </w:pPr>
                            <w:r>
                              <w:rPr>
                                <w:rFonts w:ascii="Arial"/>
                                <w:b/>
                                <w:spacing w:val="-2"/>
                                <w:sz w:val="16"/>
                              </w:rPr>
                              <w:t>52.129</w:t>
                            </w:r>
                          </w:p>
                        </w:tc>
                        <w:tc>
                          <w:tcPr>
                            <w:tcW w:w="862" w:type="dxa"/>
                            <w:tcBorders>
                              <w:bottom w:val="single" w:sz="8" w:space="0" w:color="3616F6"/>
                              <w:right w:val="nil"/>
                            </w:tcBorders>
                          </w:tcPr>
                          <w:p w14:paraId="49D0D3F2" w14:textId="77777777" w:rsidR="002C6574" w:rsidRDefault="00000000">
                            <w:pPr>
                              <w:pStyle w:val="TableParagraph"/>
                              <w:spacing w:line="163" w:lineRule="exact"/>
                              <w:ind w:right="60"/>
                              <w:rPr>
                                <w:rFonts w:ascii="Arial"/>
                                <w:b/>
                                <w:sz w:val="16"/>
                              </w:rPr>
                            </w:pPr>
                            <w:r>
                              <w:rPr>
                                <w:rFonts w:ascii="Arial"/>
                                <w:b/>
                                <w:spacing w:val="-2"/>
                                <w:sz w:val="16"/>
                              </w:rPr>
                              <w:t>121.636</w:t>
                            </w:r>
                          </w:p>
                        </w:tc>
                      </w:tr>
                      <w:tr w:rsidR="002C6574" w14:paraId="40F51791" w14:textId="77777777">
                        <w:trPr>
                          <w:trHeight w:val="372"/>
                        </w:trPr>
                        <w:tc>
                          <w:tcPr>
                            <w:tcW w:w="859" w:type="dxa"/>
                            <w:tcBorders>
                              <w:top w:val="single" w:sz="8" w:space="0" w:color="3616F6"/>
                              <w:bottom w:val="nil"/>
                            </w:tcBorders>
                            <w:shd w:val="clear" w:color="auto" w:fill="75F6F8"/>
                          </w:tcPr>
                          <w:p w14:paraId="5550CEA2" w14:textId="77777777" w:rsidR="002C6574" w:rsidRDefault="002C6574">
                            <w:pPr>
                              <w:pStyle w:val="TableParagraph"/>
                              <w:spacing w:before="1"/>
                              <w:jc w:val="left"/>
                              <w:rPr>
                                <w:rFonts w:ascii="Times New Roman"/>
                                <w:sz w:val="16"/>
                              </w:rPr>
                            </w:pPr>
                          </w:p>
                          <w:p w14:paraId="18140F45" w14:textId="77777777" w:rsidR="002C6574" w:rsidRDefault="00000000">
                            <w:pPr>
                              <w:pStyle w:val="TableParagraph"/>
                              <w:spacing w:line="167" w:lineRule="exact"/>
                              <w:ind w:right="49"/>
                              <w:rPr>
                                <w:rFonts w:ascii="Arial MT"/>
                                <w:sz w:val="16"/>
                              </w:rPr>
                            </w:pPr>
                            <w:r>
                              <w:rPr>
                                <w:rFonts w:ascii="Arial MT"/>
                                <w:spacing w:val="-2"/>
                                <w:sz w:val="16"/>
                              </w:rPr>
                              <w:t>(25.584)</w:t>
                            </w:r>
                          </w:p>
                        </w:tc>
                        <w:tc>
                          <w:tcPr>
                            <w:tcW w:w="862" w:type="dxa"/>
                            <w:tcBorders>
                              <w:top w:val="single" w:sz="8" w:space="0" w:color="3616F6"/>
                              <w:bottom w:val="nil"/>
                              <w:right w:val="nil"/>
                            </w:tcBorders>
                          </w:tcPr>
                          <w:p w14:paraId="549A8B8E" w14:textId="77777777" w:rsidR="002C6574" w:rsidRDefault="002C6574">
                            <w:pPr>
                              <w:pStyle w:val="TableParagraph"/>
                              <w:spacing w:before="1"/>
                              <w:jc w:val="left"/>
                              <w:rPr>
                                <w:rFonts w:ascii="Times New Roman"/>
                                <w:sz w:val="16"/>
                              </w:rPr>
                            </w:pPr>
                          </w:p>
                          <w:p w14:paraId="47E896FC" w14:textId="77777777" w:rsidR="002C6574" w:rsidRDefault="00000000">
                            <w:pPr>
                              <w:pStyle w:val="TableParagraph"/>
                              <w:spacing w:line="167" w:lineRule="exact"/>
                              <w:ind w:right="60"/>
                              <w:rPr>
                                <w:rFonts w:ascii="Arial MT"/>
                                <w:sz w:val="16"/>
                              </w:rPr>
                            </w:pPr>
                            <w:r>
                              <w:rPr>
                                <w:rFonts w:ascii="Arial MT"/>
                                <w:spacing w:val="-2"/>
                                <w:sz w:val="16"/>
                              </w:rPr>
                              <w:t>(41.772)</w:t>
                            </w:r>
                          </w:p>
                        </w:tc>
                      </w:tr>
                      <w:tr w:rsidR="002C6574" w14:paraId="26C12232" w14:textId="77777777">
                        <w:trPr>
                          <w:trHeight w:val="181"/>
                        </w:trPr>
                        <w:tc>
                          <w:tcPr>
                            <w:tcW w:w="859" w:type="dxa"/>
                            <w:tcBorders>
                              <w:top w:val="nil"/>
                              <w:bottom w:val="single" w:sz="8" w:space="0" w:color="3616F6"/>
                            </w:tcBorders>
                            <w:shd w:val="clear" w:color="auto" w:fill="75F6F8"/>
                          </w:tcPr>
                          <w:p w14:paraId="1595DD3C" w14:textId="77777777" w:rsidR="002C6574" w:rsidRDefault="00000000">
                            <w:pPr>
                              <w:pStyle w:val="TableParagraph"/>
                              <w:spacing w:line="161" w:lineRule="exact"/>
                              <w:ind w:right="49"/>
                              <w:rPr>
                                <w:rFonts w:ascii="Arial MT"/>
                                <w:sz w:val="16"/>
                              </w:rPr>
                            </w:pPr>
                            <w:r>
                              <w:rPr>
                                <w:rFonts w:ascii="Arial MT"/>
                                <w:spacing w:val="-2"/>
                                <w:sz w:val="16"/>
                              </w:rPr>
                              <w:t>39.973</w:t>
                            </w:r>
                          </w:p>
                        </w:tc>
                        <w:tc>
                          <w:tcPr>
                            <w:tcW w:w="862" w:type="dxa"/>
                            <w:tcBorders>
                              <w:top w:val="nil"/>
                              <w:bottom w:val="single" w:sz="8" w:space="0" w:color="3616F6"/>
                              <w:right w:val="nil"/>
                            </w:tcBorders>
                          </w:tcPr>
                          <w:p w14:paraId="31550C2F" w14:textId="77777777" w:rsidR="002C6574" w:rsidRDefault="00000000">
                            <w:pPr>
                              <w:pStyle w:val="TableParagraph"/>
                              <w:spacing w:line="161" w:lineRule="exact"/>
                              <w:ind w:right="57"/>
                              <w:rPr>
                                <w:rFonts w:ascii="Arial MT"/>
                                <w:sz w:val="16"/>
                              </w:rPr>
                            </w:pPr>
                            <w:r>
                              <w:rPr>
                                <w:rFonts w:ascii="Arial MT"/>
                                <w:spacing w:val="-10"/>
                                <w:sz w:val="16"/>
                              </w:rPr>
                              <w:t>-</w:t>
                            </w:r>
                          </w:p>
                        </w:tc>
                      </w:tr>
                      <w:tr w:rsidR="002C6574" w14:paraId="434FDD09" w14:textId="77777777">
                        <w:trPr>
                          <w:trHeight w:val="183"/>
                        </w:trPr>
                        <w:tc>
                          <w:tcPr>
                            <w:tcW w:w="859" w:type="dxa"/>
                            <w:tcBorders>
                              <w:top w:val="single" w:sz="8" w:space="0" w:color="3616F6"/>
                              <w:bottom w:val="single" w:sz="8" w:space="0" w:color="3616F6"/>
                            </w:tcBorders>
                            <w:shd w:val="clear" w:color="auto" w:fill="75F6F8"/>
                          </w:tcPr>
                          <w:p w14:paraId="5A4997B4" w14:textId="77777777" w:rsidR="002C6574" w:rsidRDefault="00000000">
                            <w:pPr>
                              <w:pStyle w:val="TableParagraph"/>
                              <w:spacing w:line="163" w:lineRule="exact"/>
                              <w:ind w:right="49"/>
                              <w:rPr>
                                <w:rFonts w:ascii="Arial"/>
                                <w:b/>
                                <w:sz w:val="16"/>
                              </w:rPr>
                            </w:pPr>
                            <w:r>
                              <w:rPr>
                                <w:rFonts w:ascii="Arial"/>
                                <w:b/>
                                <w:spacing w:val="-2"/>
                                <w:sz w:val="16"/>
                              </w:rPr>
                              <w:t>14.389</w:t>
                            </w:r>
                          </w:p>
                        </w:tc>
                        <w:tc>
                          <w:tcPr>
                            <w:tcW w:w="862" w:type="dxa"/>
                            <w:tcBorders>
                              <w:top w:val="single" w:sz="8" w:space="0" w:color="3616F6"/>
                              <w:bottom w:val="single" w:sz="8" w:space="0" w:color="3616F6"/>
                              <w:right w:val="nil"/>
                            </w:tcBorders>
                          </w:tcPr>
                          <w:p w14:paraId="544DAF6D" w14:textId="77777777" w:rsidR="002C6574" w:rsidRDefault="00000000">
                            <w:pPr>
                              <w:pStyle w:val="TableParagraph"/>
                              <w:spacing w:line="163" w:lineRule="exact"/>
                              <w:ind w:right="60"/>
                              <w:rPr>
                                <w:rFonts w:ascii="Arial"/>
                                <w:b/>
                                <w:sz w:val="16"/>
                              </w:rPr>
                            </w:pPr>
                            <w:r>
                              <w:rPr>
                                <w:rFonts w:ascii="Arial"/>
                                <w:b/>
                                <w:spacing w:val="-2"/>
                                <w:sz w:val="16"/>
                              </w:rPr>
                              <w:t>(41.772)</w:t>
                            </w:r>
                          </w:p>
                        </w:tc>
                      </w:tr>
                      <w:tr w:rsidR="002C6574" w14:paraId="0BC6BFC6" w14:textId="77777777">
                        <w:trPr>
                          <w:trHeight w:val="370"/>
                        </w:trPr>
                        <w:tc>
                          <w:tcPr>
                            <w:tcW w:w="859" w:type="dxa"/>
                            <w:tcBorders>
                              <w:top w:val="single" w:sz="8" w:space="0" w:color="3616F6"/>
                              <w:bottom w:val="nil"/>
                            </w:tcBorders>
                            <w:shd w:val="clear" w:color="auto" w:fill="75F6F8"/>
                          </w:tcPr>
                          <w:p w14:paraId="69DF8672" w14:textId="77777777" w:rsidR="002C6574" w:rsidRDefault="00000000">
                            <w:pPr>
                              <w:pStyle w:val="TableParagraph"/>
                              <w:spacing w:before="183" w:line="167" w:lineRule="exact"/>
                              <w:ind w:right="49"/>
                              <w:rPr>
                                <w:rFonts w:ascii="Arial MT"/>
                                <w:sz w:val="16"/>
                              </w:rPr>
                            </w:pPr>
                            <w:r>
                              <w:rPr>
                                <w:rFonts w:ascii="Arial MT"/>
                                <w:spacing w:val="-2"/>
                                <w:sz w:val="16"/>
                              </w:rPr>
                              <w:t>(123.183)</w:t>
                            </w:r>
                          </w:p>
                        </w:tc>
                        <w:tc>
                          <w:tcPr>
                            <w:tcW w:w="862" w:type="dxa"/>
                            <w:tcBorders>
                              <w:top w:val="single" w:sz="8" w:space="0" w:color="3616F6"/>
                              <w:bottom w:val="nil"/>
                              <w:right w:val="nil"/>
                            </w:tcBorders>
                          </w:tcPr>
                          <w:p w14:paraId="3F35BDFF" w14:textId="77777777" w:rsidR="002C6574" w:rsidRDefault="00000000">
                            <w:pPr>
                              <w:pStyle w:val="TableParagraph"/>
                              <w:spacing w:before="183" w:line="167" w:lineRule="exact"/>
                              <w:ind w:right="60"/>
                              <w:rPr>
                                <w:rFonts w:ascii="Arial MT"/>
                                <w:sz w:val="16"/>
                              </w:rPr>
                            </w:pPr>
                            <w:r>
                              <w:rPr>
                                <w:rFonts w:ascii="Arial MT"/>
                                <w:spacing w:val="-2"/>
                                <w:sz w:val="16"/>
                              </w:rPr>
                              <w:t>(13.740)</w:t>
                            </w:r>
                          </w:p>
                        </w:tc>
                      </w:tr>
                      <w:tr w:rsidR="002C6574" w14:paraId="7E8E7C03" w14:textId="77777777">
                        <w:trPr>
                          <w:trHeight w:val="184"/>
                        </w:trPr>
                        <w:tc>
                          <w:tcPr>
                            <w:tcW w:w="859" w:type="dxa"/>
                            <w:tcBorders>
                              <w:top w:val="nil"/>
                              <w:bottom w:val="nil"/>
                            </w:tcBorders>
                            <w:shd w:val="clear" w:color="auto" w:fill="75F6F8"/>
                          </w:tcPr>
                          <w:p w14:paraId="62B7C421" w14:textId="77777777" w:rsidR="002C6574" w:rsidRDefault="00000000">
                            <w:pPr>
                              <w:pStyle w:val="TableParagraph"/>
                              <w:spacing w:line="165" w:lineRule="exact"/>
                              <w:ind w:right="49"/>
                              <w:rPr>
                                <w:rFonts w:ascii="Arial MT"/>
                                <w:sz w:val="16"/>
                              </w:rPr>
                            </w:pPr>
                            <w:r>
                              <w:rPr>
                                <w:rFonts w:ascii="Arial MT"/>
                                <w:spacing w:val="-2"/>
                                <w:sz w:val="16"/>
                              </w:rPr>
                              <w:t>(45.777)</w:t>
                            </w:r>
                          </w:p>
                        </w:tc>
                        <w:tc>
                          <w:tcPr>
                            <w:tcW w:w="862" w:type="dxa"/>
                            <w:tcBorders>
                              <w:top w:val="nil"/>
                              <w:bottom w:val="nil"/>
                              <w:right w:val="nil"/>
                            </w:tcBorders>
                          </w:tcPr>
                          <w:p w14:paraId="3EEBFE7B" w14:textId="77777777" w:rsidR="002C6574" w:rsidRDefault="00000000">
                            <w:pPr>
                              <w:pStyle w:val="TableParagraph"/>
                              <w:spacing w:line="165" w:lineRule="exact"/>
                              <w:ind w:right="60"/>
                              <w:rPr>
                                <w:rFonts w:ascii="Arial MT"/>
                                <w:sz w:val="16"/>
                              </w:rPr>
                            </w:pPr>
                            <w:r>
                              <w:rPr>
                                <w:rFonts w:ascii="Arial MT"/>
                                <w:spacing w:val="-2"/>
                                <w:sz w:val="16"/>
                              </w:rPr>
                              <w:t>(45.513)</w:t>
                            </w:r>
                          </w:p>
                        </w:tc>
                      </w:tr>
                      <w:tr w:rsidR="002C6574" w14:paraId="40223201" w14:textId="77777777">
                        <w:trPr>
                          <w:trHeight w:val="183"/>
                        </w:trPr>
                        <w:tc>
                          <w:tcPr>
                            <w:tcW w:w="859" w:type="dxa"/>
                            <w:tcBorders>
                              <w:top w:val="nil"/>
                              <w:bottom w:val="nil"/>
                            </w:tcBorders>
                            <w:shd w:val="clear" w:color="auto" w:fill="75F6F8"/>
                          </w:tcPr>
                          <w:p w14:paraId="3B387C4C" w14:textId="77777777" w:rsidR="002C6574" w:rsidRDefault="00000000">
                            <w:pPr>
                              <w:pStyle w:val="TableParagraph"/>
                              <w:spacing w:line="164" w:lineRule="exact"/>
                              <w:ind w:right="49"/>
                              <w:rPr>
                                <w:rFonts w:ascii="Arial MT"/>
                                <w:sz w:val="16"/>
                              </w:rPr>
                            </w:pPr>
                            <w:r>
                              <w:rPr>
                                <w:rFonts w:ascii="Arial MT"/>
                                <w:spacing w:val="-2"/>
                                <w:sz w:val="16"/>
                              </w:rPr>
                              <w:t>(6.179)</w:t>
                            </w:r>
                          </w:p>
                        </w:tc>
                        <w:tc>
                          <w:tcPr>
                            <w:tcW w:w="862" w:type="dxa"/>
                            <w:tcBorders>
                              <w:top w:val="nil"/>
                              <w:bottom w:val="nil"/>
                              <w:right w:val="nil"/>
                            </w:tcBorders>
                          </w:tcPr>
                          <w:p w14:paraId="0105372C" w14:textId="77777777" w:rsidR="002C6574" w:rsidRDefault="00000000">
                            <w:pPr>
                              <w:pStyle w:val="TableParagraph"/>
                              <w:spacing w:line="164" w:lineRule="exact"/>
                              <w:ind w:right="60"/>
                              <w:rPr>
                                <w:rFonts w:ascii="Arial MT"/>
                                <w:sz w:val="16"/>
                              </w:rPr>
                            </w:pPr>
                            <w:r>
                              <w:rPr>
                                <w:rFonts w:ascii="Arial MT"/>
                                <w:spacing w:val="-2"/>
                                <w:sz w:val="16"/>
                              </w:rPr>
                              <w:t>(5.425)</w:t>
                            </w:r>
                          </w:p>
                        </w:tc>
                      </w:tr>
                      <w:tr w:rsidR="002C6574" w14:paraId="767D10D6" w14:textId="77777777">
                        <w:trPr>
                          <w:trHeight w:val="183"/>
                        </w:trPr>
                        <w:tc>
                          <w:tcPr>
                            <w:tcW w:w="859" w:type="dxa"/>
                            <w:tcBorders>
                              <w:top w:val="nil"/>
                              <w:bottom w:val="nil"/>
                            </w:tcBorders>
                            <w:shd w:val="clear" w:color="auto" w:fill="75F6F8"/>
                          </w:tcPr>
                          <w:p w14:paraId="7AE531D8" w14:textId="77777777" w:rsidR="002C6574" w:rsidRDefault="00000000">
                            <w:pPr>
                              <w:pStyle w:val="TableParagraph"/>
                              <w:spacing w:line="164" w:lineRule="exact"/>
                              <w:ind w:right="49"/>
                              <w:rPr>
                                <w:rFonts w:ascii="Arial MT"/>
                                <w:sz w:val="16"/>
                              </w:rPr>
                            </w:pPr>
                            <w:r>
                              <w:rPr>
                                <w:rFonts w:ascii="Arial MT"/>
                                <w:spacing w:val="-2"/>
                                <w:sz w:val="16"/>
                              </w:rPr>
                              <w:t>92.638</w:t>
                            </w:r>
                          </w:p>
                        </w:tc>
                        <w:tc>
                          <w:tcPr>
                            <w:tcW w:w="862" w:type="dxa"/>
                            <w:tcBorders>
                              <w:top w:val="nil"/>
                              <w:bottom w:val="nil"/>
                              <w:right w:val="nil"/>
                            </w:tcBorders>
                          </w:tcPr>
                          <w:p w14:paraId="45B61CD6" w14:textId="77777777" w:rsidR="002C6574" w:rsidRDefault="00000000">
                            <w:pPr>
                              <w:pStyle w:val="TableParagraph"/>
                              <w:spacing w:line="164" w:lineRule="exact"/>
                              <w:ind w:right="60"/>
                              <w:rPr>
                                <w:rFonts w:ascii="Arial MT"/>
                                <w:sz w:val="16"/>
                              </w:rPr>
                            </w:pPr>
                            <w:r>
                              <w:rPr>
                                <w:rFonts w:ascii="Arial MT"/>
                                <w:spacing w:val="-2"/>
                                <w:sz w:val="16"/>
                              </w:rPr>
                              <w:t>14.999</w:t>
                            </w:r>
                          </w:p>
                        </w:tc>
                      </w:tr>
                      <w:tr w:rsidR="002C6574" w14:paraId="2405E743" w14:textId="77777777">
                        <w:trPr>
                          <w:trHeight w:val="184"/>
                        </w:trPr>
                        <w:tc>
                          <w:tcPr>
                            <w:tcW w:w="859" w:type="dxa"/>
                            <w:tcBorders>
                              <w:top w:val="nil"/>
                              <w:bottom w:val="nil"/>
                            </w:tcBorders>
                            <w:shd w:val="clear" w:color="auto" w:fill="75F6F8"/>
                          </w:tcPr>
                          <w:p w14:paraId="36FBCC71" w14:textId="77777777" w:rsidR="002C6574" w:rsidRDefault="00000000">
                            <w:pPr>
                              <w:pStyle w:val="TableParagraph"/>
                              <w:spacing w:line="165" w:lineRule="exact"/>
                              <w:ind w:right="49"/>
                              <w:rPr>
                                <w:rFonts w:ascii="Arial MT"/>
                                <w:sz w:val="16"/>
                              </w:rPr>
                            </w:pPr>
                            <w:r>
                              <w:rPr>
                                <w:rFonts w:ascii="Arial MT"/>
                                <w:spacing w:val="-2"/>
                                <w:sz w:val="16"/>
                              </w:rPr>
                              <w:t>287.186</w:t>
                            </w:r>
                          </w:p>
                        </w:tc>
                        <w:tc>
                          <w:tcPr>
                            <w:tcW w:w="862" w:type="dxa"/>
                            <w:tcBorders>
                              <w:top w:val="nil"/>
                              <w:bottom w:val="nil"/>
                              <w:right w:val="nil"/>
                            </w:tcBorders>
                          </w:tcPr>
                          <w:p w14:paraId="74DED7B3" w14:textId="77777777" w:rsidR="002C6574" w:rsidRDefault="00000000">
                            <w:pPr>
                              <w:pStyle w:val="TableParagraph"/>
                              <w:spacing w:line="165" w:lineRule="exact"/>
                              <w:ind w:right="57"/>
                              <w:rPr>
                                <w:rFonts w:ascii="Arial MT"/>
                                <w:sz w:val="16"/>
                              </w:rPr>
                            </w:pPr>
                            <w:r>
                              <w:rPr>
                                <w:rFonts w:ascii="Arial MT"/>
                                <w:spacing w:val="-10"/>
                                <w:sz w:val="16"/>
                              </w:rPr>
                              <w:t>-</w:t>
                            </w:r>
                          </w:p>
                        </w:tc>
                      </w:tr>
                      <w:tr w:rsidR="002C6574" w14:paraId="74DDABAC" w14:textId="77777777">
                        <w:trPr>
                          <w:trHeight w:val="181"/>
                        </w:trPr>
                        <w:tc>
                          <w:tcPr>
                            <w:tcW w:w="859" w:type="dxa"/>
                            <w:tcBorders>
                              <w:top w:val="nil"/>
                              <w:bottom w:val="single" w:sz="8" w:space="0" w:color="3616F6"/>
                            </w:tcBorders>
                            <w:shd w:val="clear" w:color="auto" w:fill="75F6F8"/>
                          </w:tcPr>
                          <w:p w14:paraId="1185CB49" w14:textId="77777777" w:rsidR="002C6574" w:rsidRDefault="00000000">
                            <w:pPr>
                              <w:pStyle w:val="TableParagraph"/>
                              <w:spacing w:line="161" w:lineRule="exact"/>
                              <w:ind w:right="49"/>
                              <w:rPr>
                                <w:rFonts w:ascii="Arial MT"/>
                                <w:sz w:val="16"/>
                              </w:rPr>
                            </w:pPr>
                            <w:r>
                              <w:rPr>
                                <w:rFonts w:ascii="Arial MT"/>
                                <w:spacing w:val="-2"/>
                                <w:sz w:val="16"/>
                              </w:rPr>
                              <w:t>1.924</w:t>
                            </w:r>
                          </w:p>
                        </w:tc>
                        <w:tc>
                          <w:tcPr>
                            <w:tcW w:w="862" w:type="dxa"/>
                            <w:tcBorders>
                              <w:top w:val="nil"/>
                              <w:bottom w:val="single" w:sz="8" w:space="0" w:color="3616F6"/>
                              <w:right w:val="nil"/>
                            </w:tcBorders>
                          </w:tcPr>
                          <w:p w14:paraId="54D4701B" w14:textId="77777777" w:rsidR="002C6574" w:rsidRDefault="00000000">
                            <w:pPr>
                              <w:pStyle w:val="TableParagraph"/>
                              <w:spacing w:line="161" w:lineRule="exact"/>
                              <w:ind w:right="60"/>
                              <w:rPr>
                                <w:rFonts w:ascii="Arial MT"/>
                                <w:sz w:val="16"/>
                              </w:rPr>
                            </w:pPr>
                            <w:r>
                              <w:rPr>
                                <w:rFonts w:ascii="Arial MT"/>
                                <w:spacing w:val="-2"/>
                                <w:sz w:val="16"/>
                              </w:rPr>
                              <w:t>14.490</w:t>
                            </w:r>
                          </w:p>
                        </w:tc>
                      </w:tr>
                      <w:tr w:rsidR="002C6574" w14:paraId="24E0F388" w14:textId="77777777">
                        <w:trPr>
                          <w:trHeight w:val="183"/>
                        </w:trPr>
                        <w:tc>
                          <w:tcPr>
                            <w:tcW w:w="859" w:type="dxa"/>
                            <w:tcBorders>
                              <w:top w:val="single" w:sz="8" w:space="0" w:color="3616F6"/>
                              <w:bottom w:val="single" w:sz="8" w:space="0" w:color="3616F6"/>
                            </w:tcBorders>
                            <w:shd w:val="clear" w:color="auto" w:fill="75F6F8"/>
                          </w:tcPr>
                          <w:p w14:paraId="770FECF4" w14:textId="77777777" w:rsidR="002C6574" w:rsidRDefault="00000000">
                            <w:pPr>
                              <w:pStyle w:val="TableParagraph"/>
                              <w:spacing w:line="163" w:lineRule="exact"/>
                              <w:ind w:right="49"/>
                              <w:rPr>
                                <w:rFonts w:ascii="Arial"/>
                                <w:b/>
                                <w:sz w:val="16"/>
                              </w:rPr>
                            </w:pPr>
                            <w:r>
                              <w:rPr>
                                <w:rFonts w:ascii="Arial"/>
                                <w:b/>
                                <w:spacing w:val="-2"/>
                                <w:sz w:val="16"/>
                              </w:rPr>
                              <w:t>206.609</w:t>
                            </w:r>
                          </w:p>
                        </w:tc>
                        <w:tc>
                          <w:tcPr>
                            <w:tcW w:w="862" w:type="dxa"/>
                            <w:tcBorders>
                              <w:top w:val="single" w:sz="8" w:space="0" w:color="3616F6"/>
                              <w:bottom w:val="single" w:sz="8" w:space="0" w:color="3616F6"/>
                              <w:right w:val="nil"/>
                            </w:tcBorders>
                          </w:tcPr>
                          <w:p w14:paraId="39023611" w14:textId="77777777" w:rsidR="002C6574" w:rsidRDefault="00000000">
                            <w:pPr>
                              <w:pStyle w:val="TableParagraph"/>
                              <w:spacing w:line="163" w:lineRule="exact"/>
                              <w:ind w:right="60"/>
                              <w:rPr>
                                <w:rFonts w:ascii="Arial"/>
                                <w:b/>
                                <w:sz w:val="16"/>
                              </w:rPr>
                            </w:pPr>
                            <w:r>
                              <w:rPr>
                                <w:rFonts w:ascii="Arial"/>
                                <w:b/>
                                <w:spacing w:val="-2"/>
                                <w:sz w:val="16"/>
                              </w:rPr>
                              <w:t>(35.189)</w:t>
                            </w:r>
                          </w:p>
                        </w:tc>
                      </w:tr>
                      <w:tr w:rsidR="002C6574" w14:paraId="036C8313" w14:textId="77777777">
                        <w:trPr>
                          <w:trHeight w:val="184"/>
                        </w:trPr>
                        <w:tc>
                          <w:tcPr>
                            <w:tcW w:w="859" w:type="dxa"/>
                            <w:tcBorders>
                              <w:top w:val="single" w:sz="8" w:space="0" w:color="3616F6"/>
                              <w:bottom w:val="single" w:sz="8" w:space="0" w:color="3616F6"/>
                            </w:tcBorders>
                            <w:shd w:val="clear" w:color="auto" w:fill="75F6F8"/>
                          </w:tcPr>
                          <w:p w14:paraId="64EB7B93" w14:textId="77777777" w:rsidR="002C6574" w:rsidRDefault="002C6574">
                            <w:pPr>
                              <w:pStyle w:val="TableParagraph"/>
                              <w:jc w:val="left"/>
                              <w:rPr>
                                <w:rFonts w:ascii="Times New Roman"/>
                                <w:sz w:val="12"/>
                              </w:rPr>
                            </w:pPr>
                          </w:p>
                        </w:tc>
                        <w:tc>
                          <w:tcPr>
                            <w:tcW w:w="862" w:type="dxa"/>
                            <w:tcBorders>
                              <w:top w:val="single" w:sz="8" w:space="0" w:color="3616F6"/>
                              <w:bottom w:val="single" w:sz="8" w:space="0" w:color="3616F6"/>
                              <w:right w:val="nil"/>
                            </w:tcBorders>
                          </w:tcPr>
                          <w:p w14:paraId="38F0A812" w14:textId="77777777" w:rsidR="002C6574" w:rsidRDefault="002C6574">
                            <w:pPr>
                              <w:pStyle w:val="TableParagraph"/>
                              <w:jc w:val="left"/>
                              <w:rPr>
                                <w:rFonts w:ascii="Times New Roman"/>
                                <w:sz w:val="12"/>
                              </w:rPr>
                            </w:pPr>
                          </w:p>
                        </w:tc>
                      </w:tr>
                      <w:tr w:rsidR="002C6574" w14:paraId="194E8ACF" w14:textId="77777777">
                        <w:trPr>
                          <w:trHeight w:val="183"/>
                        </w:trPr>
                        <w:tc>
                          <w:tcPr>
                            <w:tcW w:w="859" w:type="dxa"/>
                            <w:tcBorders>
                              <w:top w:val="single" w:sz="8" w:space="0" w:color="3616F6"/>
                              <w:bottom w:val="single" w:sz="8" w:space="0" w:color="3616F6"/>
                            </w:tcBorders>
                            <w:shd w:val="clear" w:color="auto" w:fill="75F6F8"/>
                          </w:tcPr>
                          <w:p w14:paraId="74ED1CC8" w14:textId="77777777" w:rsidR="002C6574" w:rsidRDefault="00000000">
                            <w:pPr>
                              <w:pStyle w:val="TableParagraph"/>
                              <w:spacing w:line="163" w:lineRule="exact"/>
                              <w:ind w:right="49"/>
                              <w:rPr>
                                <w:rFonts w:ascii="Arial"/>
                                <w:b/>
                                <w:sz w:val="16"/>
                              </w:rPr>
                            </w:pPr>
                            <w:r>
                              <w:rPr>
                                <w:rFonts w:ascii="Arial"/>
                                <w:b/>
                                <w:spacing w:val="-2"/>
                                <w:sz w:val="16"/>
                              </w:rPr>
                              <w:t>273.127</w:t>
                            </w:r>
                          </w:p>
                        </w:tc>
                        <w:tc>
                          <w:tcPr>
                            <w:tcW w:w="862" w:type="dxa"/>
                            <w:tcBorders>
                              <w:top w:val="single" w:sz="8" w:space="0" w:color="3616F6"/>
                              <w:bottom w:val="single" w:sz="8" w:space="0" w:color="3616F6"/>
                              <w:right w:val="nil"/>
                            </w:tcBorders>
                          </w:tcPr>
                          <w:p w14:paraId="47761D4A" w14:textId="77777777" w:rsidR="002C6574" w:rsidRDefault="00000000">
                            <w:pPr>
                              <w:pStyle w:val="TableParagraph"/>
                              <w:spacing w:line="163" w:lineRule="exact"/>
                              <w:ind w:right="60"/>
                              <w:rPr>
                                <w:rFonts w:ascii="Arial"/>
                                <w:b/>
                                <w:sz w:val="16"/>
                              </w:rPr>
                            </w:pPr>
                            <w:r>
                              <w:rPr>
                                <w:rFonts w:ascii="Arial"/>
                                <w:b/>
                                <w:spacing w:val="-2"/>
                                <w:sz w:val="16"/>
                              </w:rPr>
                              <w:t>44.675</w:t>
                            </w:r>
                          </w:p>
                        </w:tc>
                      </w:tr>
                      <w:tr w:rsidR="002C6574" w14:paraId="0A7E81D6" w14:textId="77777777">
                        <w:trPr>
                          <w:trHeight w:val="554"/>
                        </w:trPr>
                        <w:tc>
                          <w:tcPr>
                            <w:tcW w:w="859" w:type="dxa"/>
                            <w:tcBorders>
                              <w:top w:val="single" w:sz="8" w:space="0" w:color="3616F6"/>
                              <w:bottom w:val="nil"/>
                            </w:tcBorders>
                            <w:shd w:val="clear" w:color="auto" w:fill="75F6F8"/>
                          </w:tcPr>
                          <w:p w14:paraId="752FE264" w14:textId="77777777" w:rsidR="002C6574" w:rsidRDefault="002C6574">
                            <w:pPr>
                              <w:pStyle w:val="TableParagraph"/>
                              <w:spacing w:before="183"/>
                              <w:jc w:val="left"/>
                              <w:rPr>
                                <w:rFonts w:ascii="Times New Roman"/>
                                <w:sz w:val="16"/>
                              </w:rPr>
                            </w:pPr>
                          </w:p>
                          <w:p w14:paraId="490D0333" w14:textId="77777777" w:rsidR="002C6574" w:rsidRDefault="00000000">
                            <w:pPr>
                              <w:pStyle w:val="TableParagraph"/>
                              <w:spacing w:before="1" w:line="167" w:lineRule="exact"/>
                              <w:ind w:right="49"/>
                              <w:rPr>
                                <w:rFonts w:ascii="Arial MT"/>
                                <w:sz w:val="16"/>
                              </w:rPr>
                            </w:pPr>
                            <w:r>
                              <w:rPr>
                                <w:rFonts w:ascii="Arial MT"/>
                                <w:spacing w:val="-2"/>
                                <w:sz w:val="16"/>
                              </w:rPr>
                              <w:t>698.514</w:t>
                            </w:r>
                          </w:p>
                        </w:tc>
                        <w:tc>
                          <w:tcPr>
                            <w:tcW w:w="862" w:type="dxa"/>
                            <w:tcBorders>
                              <w:top w:val="single" w:sz="8" w:space="0" w:color="3616F6"/>
                              <w:bottom w:val="nil"/>
                              <w:right w:val="nil"/>
                            </w:tcBorders>
                          </w:tcPr>
                          <w:p w14:paraId="13409286" w14:textId="77777777" w:rsidR="002C6574" w:rsidRDefault="002C6574">
                            <w:pPr>
                              <w:pStyle w:val="TableParagraph"/>
                              <w:spacing w:before="183"/>
                              <w:jc w:val="left"/>
                              <w:rPr>
                                <w:rFonts w:ascii="Times New Roman"/>
                                <w:sz w:val="16"/>
                              </w:rPr>
                            </w:pPr>
                          </w:p>
                          <w:p w14:paraId="2F41CDBC" w14:textId="77777777" w:rsidR="002C6574" w:rsidRDefault="00000000">
                            <w:pPr>
                              <w:pStyle w:val="TableParagraph"/>
                              <w:spacing w:before="1" w:line="167" w:lineRule="exact"/>
                              <w:ind w:right="60"/>
                              <w:rPr>
                                <w:rFonts w:ascii="Arial MT"/>
                                <w:sz w:val="16"/>
                              </w:rPr>
                            </w:pPr>
                            <w:r>
                              <w:rPr>
                                <w:rFonts w:ascii="Arial MT"/>
                                <w:spacing w:val="-2"/>
                                <w:sz w:val="16"/>
                              </w:rPr>
                              <w:t>425.387</w:t>
                            </w:r>
                          </w:p>
                        </w:tc>
                      </w:tr>
                      <w:tr w:rsidR="002C6574" w14:paraId="428D5695" w14:textId="77777777">
                        <w:trPr>
                          <w:trHeight w:val="181"/>
                        </w:trPr>
                        <w:tc>
                          <w:tcPr>
                            <w:tcW w:w="859" w:type="dxa"/>
                            <w:tcBorders>
                              <w:top w:val="nil"/>
                              <w:bottom w:val="single" w:sz="8" w:space="0" w:color="3616F6"/>
                            </w:tcBorders>
                            <w:shd w:val="clear" w:color="auto" w:fill="75F6F8"/>
                          </w:tcPr>
                          <w:p w14:paraId="3247AEBB" w14:textId="77777777" w:rsidR="002C6574" w:rsidRDefault="00000000">
                            <w:pPr>
                              <w:pStyle w:val="TableParagraph"/>
                              <w:spacing w:line="161" w:lineRule="exact"/>
                              <w:ind w:right="49"/>
                              <w:rPr>
                                <w:rFonts w:ascii="Arial MT"/>
                                <w:sz w:val="16"/>
                              </w:rPr>
                            </w:pPr>
                            <w:r>
                              <w:rPr>
                                <w:rFonts w:ascii="Arial MT"/>
                                <w:spacing w:val="-2"/>
                                <w:sz w:val="16"/>
                              </w:rPr>
                              <w:t>425.387</w:t>
                            </w:r>
                          </w:p>
                        </w:tc>
                        <w:tc>
                          <w:tcPr>
                            <w:tcW w:w="862" w:type="dxa"/>
                            <w:tcBorders>
                              <w:top w:val="nil"/>
                              <w:bottom w:val="single" w:sz="8" w:space="0" w:color="3616F6"/>
                              <w:right w:val="nil"/>
                            </w:tcBorders>
                          </w:tcPr>
                          <w:p w14:paraId="03071A6C" w14:textId="77777777" w:rsidR="002C6574" w:rsidRDefault="00000000">
                            <w:pPr>
                              <w:pStyle w:val="TableParagraph"/>
                              <w:spacing w:line="161" w:lineRule="exact"/>
                              <w:ind w:right="60"/>
                              <w:rPr>
                                <w:rFonts w:ascii="Arial MT"/>
                                <w:sz w:val="16"/>
                              </w:rPr>
                            </w:pPr>
                            <w:r>
                              <w:rPr>
                                <w:rFonts w:ascii="Arial MT"/>
                                <w:spacing w:val="-2"/>
                                <w:sz w:val="16"/>
                              </w:rPr>
                              <w:t>380.712</w:t>
                            </w:r>
                          </w:p>
                        </w:tc>
                      </w:tr>
                      <w:tr w:rsidR="002C6574" w14:paraId="3D066085" w14:textId="77777777">
                        <w:trPr>
                          <w:trHeight w:val="183"/>
                        </w:trPr>
                        <w:tc>
                          <w:tcPr>
                            <w:tcW w:w="859" w:type="dxa"/>
                            <w:tcBorders>
                              <w:top w:val="single" w:sz="8" w:space="0" w:color="3616F6"/>
                              <w:bottom w:val="single" w:sz="8" w:space="0" w:color="3616F6"/>
                            </w:tcBorders>
                            <w:shd w:val="clear" w:color="auto" w:fill="75F6F8"/>
                          </w:tcPr>
                          <w:p w14:paraId="433F788F" w14:textId="77777777" w:rsidR="002C6574" w:rsidRDefault="00000000">
                            <w:pPr>
                              <w:pStyle w:val="TableParagraph"/>
                              <w:spacing w:line="163" w:lineRule="exact"/>
                              <w:ind w:right="49"/>
                              <w:rPr>
                                <w:rFonts w:ascii="Arial"/>
                                <w:b/>
                                <w:sz w:val="16"/>
                              </w:rPr>
                            </w:pPr>
                            <w:r>
                              <w:rPr>
                                <w:rFonts w:ascii="Arial"/>
                                <w:b/>
                                <w:spacing w:val="-2"/>
                                <w:sz w:val="16"/>
                              </w:rPr>
                              <w:t>273.127</w:t>
                            </w:r>
                          </w:p>
                        </w:tc>
                        <w:tc>
                          <w:tcPr>
                            <w:tcW w:w="862" w:type="dxa"/>
                            <w:tcBorders>
                              <w:top w:val="single" w:sz="8" w:space="0" w:color="3616F6"/>
                              <w:bottom w:val="single" w:sz="8" w:space="0" w:color="3616F6"/>
                              <w:right w:val="nil"/>
                            </w:tcBorders>
                          </w:tcPr>
                          <w:p w14:paraId="7500DC0A" w14:textId="77777777" w:rsidR="002C6574" w:rsidRDefault="00000000">
                            <w:pPr>
                              <w:pStyle w:val="TableParagraph"/>
                              <w:spacing w:line="163" w:lineRule="exact"/>
                              <w:ind w:right="60"/>
                              <w:rPr>
                                <w:rFonts w:ascii="Arial"/>
                                <w:b/>
                                <w:sz w:val="16"/>
                              </w:rPr>
                            </w:pPr>
                            <w:r>
                              <w:rPr>
                                <w:rFonts w:ascii="Arial"/>
                                <w:b/>
                                <w:spacing w:val="-2"/>
                                <w:sz w:val="16"/>
                              </w:rPr>
                              <w:t>44.675</w:t>
                            </w:r>
                          </w:p>
                        </w:tc>
                      </w:tr>
                    </w:tbl>
                    <w:p w14:paraId="38B1B5F1" w14:textId="77777777" w:rsidR="002C6574" w:rsidRDefault="002C6574">
                      <w:pPr>
                        <w:pStyle w:val="Corpodetexto"/>
                      </w:pPr>
                    </w:p>
                  </w:txbxContent>
                </v:textbox>
                <w10:anchorlock/>
              </v:shape>
            </w:pict>
          </mc:Fallback>
        </mc:AlternateContent>
      </w:r>
    </w:p>
    <w:p w14:paraId="3A2C78DF" w14:textId="77777777" w:rsidR="002C6574" w:rsidRDefault="002C6574">
      <w:pPr>
        <w:rPr>
          <w:rFonts w:ascii="Arial"/>
          <w:sz w:val="20"/>
        </w:rPr>
        <w:sectPr w:rsidR="002C6574">
          <w:headerReference w:type="default" r:id="rId227"/>
          <w:footerReference w:type="default" r:id="rId228"/>
          <w:pgSz w:w="11910" w:h="16840"/>
          <w:pgMar w:top="2200" w:right="425" w:bottom="1220" w:left="425" w:header="1197" w:footer="1030" w:gutter="0"/>
          <w:cols w:space="720"/>
        </w:sectPr>
      </w:pPr>
    </w:p>
    <w:p w14:paraId="5725CD44" w14:textId="77777777" w:rsidR="002C6574" w:rsidRDefault="002C6574">
      <w:pPr>
        <w:pStyle w:val="Corpodetexto"/>
        <w:rPr>
          <w:rFonts w:ascii="Arial"/>
          <w:b/>
        </w:rPr>
      </w:pPr>
    </w:p>
    <w:p w14:paraId="604083C4" w14:textId="77777777" w:rsidR="002C6574" w:rsidRDefault="002C6574">
      <w:pPr>
        <w:pStyle w:val="Corpodetexto"/>
        <w:rPr>
          <w:rFonts w:ascii="Arial"/>
          <w:b/>
        </w:rPr>
      </w:pPr>
    </w:p>
    <w:p w14:paraId="260BDCC8" w14:textId="77777777" w:rsidR="002C6574" w:rsidRDefault="002C6574">
      <w:pPr>
        <w:pStyle w:val="Corpodetexto"/>
        <w:rPr>
          <w:rFonts w:ascii="Arial"/>
          <w:b/>
        </w:rPr>
      </w:pPr>
    </w:p>
    <w:p w14:paraId="3021B1AF" w14:textId="77777777" w:rsidR="002C6574" w:rsidRDefault="002C6574">
      <w:pPr>
        <w:pStyle w:val="Corpodetexto"/>
        <w:rPr>
          <w:rFonts w:ascii="Arial"/>
          <w:b/>
        </w:rPr>
      </w:pPr>
    </w:p>
    <w:p w14:paraId="17AA55ED" w14:textId="77777777" w:rsidR="002C6574" w:rsidRDefault="002C6574">
      <w:pPr>
        <w:pStyle w:val="Corpodetexto"/>
        <w:spacing w:before="92"/>
        <w:rPr>
          <w:rFonts w:ascii="Arial"/>
          <w:b/>
        </w:rPr>
      </w:pPr>
    </w:p>
    <w:p w14:paraId="7CAF2648" w14:textId="77777777" w:rsidR="002C6574" w:rsidRDefault="00000000">
      <w:pPr>
        <w:ind w:left="1793" w:right="2264"/>
        <w:jc w:val="center"/>
        <w:rPr>
          <w:rFonts w:ascii="Arial"/>
          <w:b/>
        </w:rPr>
      </w:pPr>
      <w:r>
        <w:rPr>
          <w:rFonts w:ascii="Arial"/>
          <w:b/>
          <w:noProof/>
        </w:rPr>
        <mc:AlternateContent>
          <mc:Choice Requires="wpg">
            <w:drawing>
              <wp:anchor distT="0" distB="0" distL="0" distR="0" simplePos="0" relativeHeight="15788032" behindDoc="0" locked="0" layoutInCell="1" allowOverlap="1" wp14:anchorId="457887A4" wp14:editId="3BF8859B">
                <wp:simplePos x="0" y="0"/>
                <wp:positionH relativeFrom="page">
                  <wp:posOffset>443483</wp:posOffset>
                </wp:positionH>
                <wp:positionV relativeFrom="paragraph">
                  <wp:posOffset>-865684</wp:posOffset>
                </wp:positionV>
                <wp:extent cx="6922134" cy="105410"/>
                <wp:effectExtent l="0" t="0" r="0" b="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2134" cy="105410"/>
                          <a:chOff x="0" y="0"/>
                          <a:chExt cx="6922134" cy="105410"/>
                        </a:xfrm>
                      </wpg:grpSpPr>
                      <pic:pic xmlns:pic="http://schemas.openxmlformats.org/drawingml/2006/picture">
                        <pic:nvPicPr>
                          <pic:cNvPr id="528" name="Image 528"/>
                          <pic:cNvPicPr/>
                        </pic:nvPicPr>
                        <pic:blipFill>
                          <a:blip r:embed="rId213" cstate="print"/>
                          <a:stretch>
                            <a:fillRect/>
                          </a:stretch>
                        </pic:blipFill>
                        <pic:spPr>
                          <a:xfrm>
                            <a:off x="0" y="0"/>
                            <a:ext cx="6922008" cy="105155"/>
                          </a:xfrm>
                          <a:prstGeom prst="rect">
                            <a:avLst/>
                          </a:prstGeom>
                        </pic:spPr>
                      </pic:pic>
                      <wps:wsp>
                        <wps:cNvPr id="529" name="Graphic 529"/>
                        <wps:cNvSpPr/>
                        <wps:spPr>
                          <a:xfrm>
                            <a:off x="42290" y="34925"/>
                            <a:ext cx="6829425" cy="1270"/>
                          </a:xfrm>
                          <a:custGeom>
                            <a:avLst/>
                            <a:gdLst/>
                            <a:ahLst/>
                            <a:cxnLst/>
                            <a:rect l="l" t="t" r="r" b="b"/>
                            <a:pathLst>
                              <a:path w="6829425">
                                <a:moveTo>
                                  <a:pt x="0" y="0"/>
                                </a:moveTo>
                                <a:lnTo>
                                  <a:pt x="6829425" y="0"/>
                                </a:lnTo>
                              </a:path>
                            </a:pathLst>
                          </a:custGeom>
                          <a:ln w="2540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467397B6" id="Group 527" o:spid="_x0000_s1026" style="position:absolute;margin-left:34.9pt;margin-top:-68.15pt;width:545.05pt;height:8.3pt;z-index:15788032;mso-wrap-distance-left:0;mso-wrap-distance-right:0;mso-position-horizontal-relative:page" coordsize="69221,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">
                <v:shape id="Image 528" o:spid="_x0000_s1027" type="#_x0000_t75" style="position:absolute;width:69220;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">
                  <v:imagedata r:id="rId214" o:title=""/>
                </v:shape>
                <v:shape id="Graphic 529" o:spid="_x0000_s1028" style="position:absolute;left:422;top:349;width:68295;height:12;visibility:visible;mso-wrap-style:square;v-text-anchor:top" coordsize="6829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" path="m,l6829425,e" filled="f" strokecolor="blue" strokeweight="2pt">
                  <v:path arrowok="t"/>
                </v:shape>
                <w10:wrap anchorx="page"/>
              </v:group>
            </w:pict>
          </mc:Fallback>
        </mc:AlternateContent>
      </w:r>
      <w:r>
        <w:rPr>
          <w:rFonts w:ascii="Arial"/>
          <w:b/>
        </w:rPr>
        <w:t>HERMANO</w:t>
      </w:r>
      <w:r>
        <w:rPr>
          <w:rFonts w:ascii="Arial"/>
          <w:b/>
          <w:spacing w:val="-7"/>
        </w:rPr>
        <w:t xml:space="preserve"> </w:t>
      </w:r>
      <w:r>
        <w:rPr>
          <w:rFonts w:ascii="Arial"/>
          <w:b/>
        </w:rPr>
        <w:t>STUDART</w:t>
      </w:r>
      <w:r>
        <w:rPr>
          <w:rFonts w:ascii="Arial"/>
          <w:b/>
          <w:spacing w:val="-4"/>
        </w:rPr>
        <w:t xml:space="preserve"> </w:t>
      </w:r>
      <w:r>
        <w:rPr>
          <w:rFonts w:ascii="Arial"/>
          <w:b/>
        </w:rPr>
        <w:t>LINS</w:t>
      </w:r>
      <w:r>
        <w:rPr>
          <w:rFonts w:ascii="Arial"/>
          <w:b/>
          <w:spacing w:val="-6"/>
        </w:rPr>
        <w:t xml:space="preserve"> </w:t>
      </w:r>
      <w:r>
        <w:rPr>
          <w:rFonts w:ascii="Arial"/>
          <w:b/>
        </w:rPr>
        <w:t>DE</w:t>
      </w:r>
      <w:r>
        <w:rPr>
          <w:rFonts w:ascii="Arial"/>
          <w:b/>
          <w:spacing w:val="-7"/>
        </w:rPr>
        <w:t xml:space="preserve"> </w:t>
      </w:r>
      <w:r>
        <w:rPr>
          <w:rFonts w:ascii="Arial"/>
          <w:b/>
          <w:spacing w:val="-2"/>
        </w:rPr>
        <w:t>ALBUQUERQUE</w:t>
      </w:r>
    </w:p>
    <w:p w14:paraId="665C9968" w14:textId="77777777" w:rsidR="002C6574" w:rsidRDefault="00000000">
      <w:pPr>
        <w:spacing w:before="1"/>
        <w:ind w:left="1793" w:right="2625"/>
        <w:jc w:val="center"/>
        <w:rPr>
          <w:rFonts w:ascii="Arial MT"/>
          <w:sz w:val="18"/>
        </w:rPr>
      </w:pPr>
      <w:r>
        <w:rPr>
          <w:rFonts w:ascii="Arial MT"/>
          <w:spacing w:val="-2"/>
          <w:sz w:val="18"/>
        </w:rPr>
        <w:t>Presidente</w:t>
      </w:r>
    </w:p>
    <w:p w14:paraId="0976115D" w14:textId="77777777" w:rsidR="002C6574" w:rsidRDefault="002C6574">
      <w:pPr>
        <w:pStyle w:val="Corpodetexto"/>
        <w:spacing w:before="206"/>
        <w:rPr>
          <w:rFonts w:ascii="Arial MT"/>
          <w:sz w:val="18"/>
        </w:rPr>
      </w:pPr>
    </w:p>
    <w:p w14:paraId="1184C374" w14:textId="77777777" w:rsidR="002C6574" w:rsidRDefault="00000000">
      <w:pPr>
        <w:tabs>
          <w:tab w:val="left" w:pos="6092"/>
        </w:tabs>
        <w:ind w:left="57"/>
        <w:rPr>
          <w:rFonts w:ascii="Arial" w:hAnsi="Arial"/>
          <w:b/>
        </w:rPr>
      </w:pPr>
      <w:r>
        <w:rPr>
          <w:rFonts w:ascii="Arial" w:hAnsi="Arial"/>
          <w:b/>
        </w:rPr>
        <w:t>ANDRE</w:t>
      </w:r>
      <w:r>
        <w:rPr>
          <w:rFonts w:ascii="Arial" w:hAnsi="Arial"/>
          <w:b/>
          <w:spacing w:val="-4"/>
        </w:rPr>
        <w:t xml:space="preserve"> </w:t>
      </w:r>
      <w:r>
        <w:rPr>
          <w:rFonts w:ascii="Arial" w:hAnsi="Arial"/>
          <w:b/>
        </w:rPr>
        <w:t>CHAGAS</w:t>
      </w:r>
      <w:r>
        <w:rPr>
          <w:rFonts w:ascii="Arial" w:hAnsi="Arial"/>
          <w:b/>
          <w:spacing w:val="-7"/>
        </w:rPr>
        <w:t xml:space="preserve"> </w:t>
      </w:r>
      <w:r>
        <w:rPr>
          <w:rFonts w:ascii="Arial" w:hAnsi="Arial"/>
          <w:b/>
        </w:rPr>
        <w:t>LEITE</w:t>
      </w:r>
      <w:r>
        <w:rPr>
          <w:rFonts w:ascii="Arial" w:hAnsi="Arial"/>
          <w:b/>
          <w:spacing w:val="-5"/>
        </w:rPr>
        <w:t xml:space="preserve"> </w:t>
      </w:r>
      <w:r>
        <w:rPr>
          <w:rFonts w:ascii="Arial" w:hAnsi="Arial"/>
          <w:b/>
        </w:rPr>
        <w:t>DA</w:t>
      </w:r>
      <w:r>
        <w:rPr>
          <w:rFonts w:ascii="Arial" w:hAnsi="Arial"/>
          <w:b/>
          <w:spacing w:val="-3"/>
        </w:rPr>
        <w:t xml:space="preserve"> </w:t>
      </w:r>
      <w:r>
        <w:rPr>
          <w:rFonts w:ascii="Arial" w:hAnsi="Arial"/>
          <w:b/>
          <w:spacing w:val="-2"/>
        </w:rPr>
        <w:t>FONSECA</w:t>
      </w:r>
      <w:r>
        <w:rPr>
          <w:rFonts w:ascii="Arial" w:hAnsi="Arial"/>
          <w:b/>
        </w:rPr>
        <w:tab/>
        <w:t>TATIANA</w:t>
      </w:r>
      <w:r>
        <w:rPr>
          <w:rFonts w:ascii="Arial" w:hAnsi="Arial"/>
          <w:b/>
          <w:spacing w:val="-7"/>
        </w:rPr>
        <w:t xml:space="preserve"> </w:t>
      </w:r>
      <w:r>
        <w:rPr>
          <w:rFonts w:ascii="Arial" w:hAnsi="Arial"/>
          <w:b/>
        </w:rPr>
        <w:t>RÚBIA</w:t>
      </w:r>
      <w:r>
        <w:rPr>
          <w:rFonts w:ascii="Arial" w:hAnsi="Arial"/>
          <w:b/>
          <w:spacing w:val="-6"/>
        </w:rPr>
        <w:t xml:space="preserve"> </w:t>
      </w:r>
      <w:r>
        <w:rPr>
          <w:rFonts w:ascii="Arial" w:hAnsi="Arial"/>
          <w:b/>
        </w:rPr>
        <w:t>MELO</w:t>
      </w:r>
      <w:r>
        <w:rPr>
          <w:rFonts w:ascii="Arial" w:hAnsi="Arial"/>
          <w:b/>
          <w:spacing w:val="-7"/>
        </w:rPr>
        <w:t xml:space="preserve"> </w:t>
      </w:r>
      <w:r>
        <w:rPr>
          <w:rFonts w:ascii="Arial" w:hAnsi="Arial"/>
          <w:b/>
          <w:spacing w:val="-2"/>
        </w:rPr>
        <w:t>MIRANDA</w:t>
      </w:r>
    </w:p>
    <w:p w14:paraId="2D4AE221" w14:textId="77777777" w:rsidR="002C6574" w:rsidRDefault="00000000">
      <w:pPr>
        <w:tabs>
          <w:tab w:val="left" w:pos="5590"/>
        </w:tabs>
        <w:ind w:left="7030" w:right="1111" w:hanging="6172"/>
        <w:rPr>
          <w:rFonts w:ascii="Arial MT" w:hAnsi="Arial MT"/>
          <w:sz w:val="18"/>
        </w:rPr>
      </w:pPr>
      <w:r>
        <w:rPr>
          <w:rFonts w:ascii="Arial MT" w:hAnsi="Arial MT"/>
          <w:sz w:val="18"/>
        </w:rPr>
        <w:t>Diretoria Técnico-Operacional</w:t>
      </w:r>
      <w:r>
        <w:rPr>
          <w:rFonts w:ascii="Arial MT" w:hAnsi="Arial MT"/>
          <w:sz w:val="18"/>
        </w:rPr>
        <w:tab/>
        <w:t>Diretoria</w:t>
      </w:r>
      <w:r>
        <w:rPr>
          <w:rFonts w:ascii="Arial MT" w:hAnsi="Arial MT"/>
          <w:spacing w:val="-7"/>
          <w:sz w:val="18"/>
        </w:rPr>
        <w:t xml:space="preserve"> </w:t>
      </w:r>
      <w:r>
        <w:rPr>
          <w:rFonts w:ascii="Arial MT" w:hAnsi="Arial MT"/>
          <w:sz w:val="18"/>
        </w:rPr>
        <w:t>Administrativo-Financeira</w:t>
      </w:r>
      <w:r>
        <w:rPr>
          <w:rFonts w:ascii="Arial MT" w:hAnsi="Arial MT"/>
          <w:spacing w:val="-5"/>
          <w:sz w:val="18"/>
        </w:rPr>
        <w:t xml:space="preserve"> </w:t>
      </w:r>
      <w:r>
        <w:rPr>
          <w:rFonts w:ascii="Arial MT" w:hAnsi="Arial MT"/>
          <w:sz w:val="18"/>
        </w:rPr>
        <w:t>e</w:t>
      </w:r>
      <w:r>
        <w:rPr>
          <w:rFonts w:ascii="Arial MT" w:hAnsi="Arial MT"/>
          <w:spacing w:val="-8"/>
          <w:sz w:val="18"/>
        </w:rPr>
        <w:t xml:space="preserve"> </w:t>
      </w:r>
      <w:r>
        <w:rPr>
          <w:rFonts w:ascii="Arial MT" w:hAnsi="Arial MT"/>
          <w:sz w:val="18"/>
        </w:rPr>
        <w:t>de</w:t>
      </w:r>
      <w:r>
        <w:rPr>
          <w:rFonts w:ascii="Arial MT" w:hAnsi="Arial MT"/>
          <w:spacing w:val="-7"/>
          <w:sz w:val="18"/>
        </w:rPr>
        <w:t xml:space="preserve"> </w:t>
      </w:r>
      <w:r>
        <w:rPr>
          <w:rFonts w:ascii="Arial MT" w:hAnsi="Arial MT"/>
          <w:sz w:val="18"/>
        </w:rPr>
        <w:t>Relações</w:t>
      </w:r>
      <w:r>
        <w:rPr>
          <w:rFonts w:ascii="Arial MT" w:hAnsi="Arial MT"/>
          <w:spacing w:val="-8"/>
          <w:sz w:val="18"/>
        </w:rPr>
        <w:t xml:space="preserve"> </w:t>
      </w:r>
      <w:r>
        <w:rPr>
          <w:rFonts w:ascii="Arial MT" w:hAnsi="Arial MT"/>
          <w:sz w:val="18"/>
        </w:rPr>
        <w:t xml:space="preserve">com </w:t>
      </w:r>
      <w:r>
        <w:rPr>
          <w:rFonts w:ascii="Arial MT" w:hAnsi="Arial MT"/>
          <w:spacing w:val="-2"/>
          <w:sz w:val="18"/>
        </w:rPr>
        <w:t>Investidores</w:t>
      </w:r>
    </w:p>
    <w:p w14:paraId="2CD1CD2D" w14:textId="77777777" w:rsidR="002C6574" w:rsidRDefault="002C6574">
      <w:pPr>
        <w:pStyle w:val="Corpodetexto"/>
        <w:rPr>
          <w:rFonts w:ascii="Arial MT"/>
          <w:sz w:val="20"/>
        </w:rPr>
      </w:pPr>
    </w:p>
    <w:p w14:paraId="07B9123D" w14:textId="77777777" w:rsidR="002C6574" w:rsidRDefault="002C6574">
      <w:pPr>
        <w:pStyle w:val="Corpodetexto"/>
        <w:spacing w:before="68"/>
        <w:rPr>
          <w:rFonts w:ascii="Arial MT"/>
          <w:sz w:val="20"/>
        </w:rPr>
      </w:pPr>
    </w:p>
    <w:p w14:paraId="61FD6E4C" w14:textId="77777777" w:rsidR="002C6574" w:rsidRDefault="002C6574">
      <w:pPr>
        <w:pStyle w:val="Corpodetexto"/>
        <w:rPr>
          <w:rFonts w:ascii="Arial MT"/>
          <w:sz w:val="20"/>
        </w:rPr>
        <w:sectPr w:rsidR="002C6574">
          <w:pgSz w:w="11910" w:h="16840"/>
          <w:pgMar w:top="2200" w:right="425" w:bottom="1220" w:left="425" w:header="1197" w:footer="1030" w:gutter="0"/>
          <w:cols w:space="720"/>
        </w:sectPr>
      </w:pPr>
    </w:p>
    <w:p w14:paraId="527D4608" w14:textId="77777777" w:rsidR="002C6574" w:rsidRDefault="00000000">
      <w:pPr>
        <w:spacing w:before="94" w:line="252" w:lineRule="exact"/>
        <w:ind w:left="941"/>
        <w:jc w:val="center"/>
        <w:rPr>
          <w:rFonts w:ascii="Arial"/>
          <w:b/>
        </w:rPr>
      </w:pPr>
      <w:r>
        <w:rPr>
          <w:rFonts w:ascii="Arial"/>
          <w:b/>
        </w:rPr>
        <w:t>LEVI</w:t>
      </w:r>
      <w:r>
        <w:rPr>
          <w:rFonts w:ascii="Arial"/>
          <w:b/>
          <w:spacing w:val="-6"/>
        </w:rPr>
        <w:t xml:space="preserve"> </w:t>
      </w:r>
      <w:r>
        <w:rPr>
          <w:rFonts w:ascii="Arial"/>
          <w:b/>
        </w:rPr>
        <w:t>PEREIRA</w:t>
      </w:r>
      <w:r>
        <w:rPr>
          <w:rFonts w:ascii="Arial"/>
          <w:b/>
          <w:spacing w:val="-7"/>
        </w:rPr>
        <w:t xml:space="preserve"> </w:t>
      </w:r>
      <w:r>
        <w:rPr>
          <w:rFonts w:ascii="Arial"/>
          <w:b/>
        </w:rPr>
        <w:t>FIGUEIREDO</w:t>
      </w:r>
      <w:r>
        <w:rPr>
          <w:rFonts w:ascii="Arial"/>
          <w:b/>
          <w:spacing w:val="-5"/>
        </w:rPr>
        <w:t xml:space="preserve"> </w:t>
      </w:r>
      <w:r>
        <w:rPr>
          <w:rFonts w:ascii="Arial"/>
          <w:b/>
          <w:spacing w:val="-4"/>
        </w:rPr>
        <w:t>NETO</w:t>
      </w:r>
    </w:p>
    <w:p w14:paraId="2AF47461" w14:textId="77777777" w:rsidR="002C6574" w:rsidRDefault="00000000">
      <w:pPr>
        <w:spacing w:line="206" w:lineRule="exact"/>
        <w:ind w:left="941" w:right="2"/>
        <w:jc w:val="center"/>
        <w:rPr>
          <w:rFonts w:ascii="Arial MT"/>
          <w:sz w:val="18"/>
        </w:rPr>
      </w:pPr>
      <w:r>
        <w:rPr>
          <w:rFonts w:ascii="Arial MT"/>
          <w:sz w:val="18"/>
        </w:rPr>
        <w:t>Diretoria</w:t>
      </w:r>
      <w:r>
        <w:rPr>
          <w:rFonts w:ascii="Arial MT"/>
          <w:spacing w:val="-4"/>
          <w:sz w:val="18"/>
        </w:rPr>
        <w:t xml:space="preserve"> </w:t>
      </w:r>
      <w:r>
        <w:rPr>
          <w:rFonts w:ascii="Arial MT"/>
          <w:spacing w:val="-2"/>
          <w:sz w:val="18"/>
        </w:rPr>
        <w:t>Comercial</w:t>
      </w:r>
    </w:p>
    <w:p w14:paraId="7F216E0C" w14:textId="77777777" w:rsidR="002C6574" w:rsidRDefault="00000000">
      <w:pPr>
        <w:spacing w:before="94"/>
        <w:ind w:right="772"/>
        <w:jc w:val="center"/>
        <w:rPr>
          <w:rFonts w:ascii="Arial" w:hAnsi="Arial"/>
          <w:b/>
        </w:rPr>
      </w:pPr>
      <w:r>
        <w:br w:type="column"/>
      </w:r>
      <w:r>
        <w:rPr>
          <w:rFonts w:ascii="Arial" w:hAnsi="Arial"/>
          <w:b/>
        </w:rPr>
        <w:t>TATIANA</w:t>
      </w:r>
      <w:r>
        <w:rPr>
          <w:rFonts w:ascii="Arial" w:hAnsi="Arial"/>
          <w:b/>
          <w:spacing w:val="-5"/>
        </w:rPr>
        <w:t xml:space="preserve"> </w:t>
      </w:r>
      <w:r>
        <w:rPr>
          <w:rFonts w:ascii="Arial" w:hAnsi="Arial"/>
          <w:b/>
        </w:rPr>
        <w:t>RÚBIA</w:t>
      </w:r>
      <w:r>
        <w:rPr>
          <w:rFonts w:ascii="Arial" w:hAnsi="Arial"/>
          <w:b/>
          <w:spacing w:val="-6"/>
        </w:rPr>
        <w:t xml:space="preserve"> </w:t>
      </w:r>
      <w:r>
        <w:rPr>
          <w:rFonts w:ascii="Arial" w:hAnsi="Arial"/>
          <w:b/>
        </w:rPr>
        <w:t>MELO</w:t>
      </w:r>
      <w:r>
        <w:rPr>
          <w:rFonts w:ascii="Arial" w:hAnsi="Arial"/>
          <w:b/>
          <w:spacing w:val="-7"/>
        </w:rPr>
        <w:t xml:space="preserve"> </w:t>
      </w:r>
      <w:r>
        <w:rPr>
          <w:rFonts w:ascii="Arial" w:hAnsi="Arial"/>
          <w:b/>
          <w:spacing w:val="-2"/>
        </w:rPr>
        <w:t>MIRANDA</w:t>
      </w:r>
    </w:p>
    <w:p w14:paraId="4087C722" w14:textId="77777777" w:rsidR="002C6574" w:rsidRDefault="00000000">
      <w:pPr>
        <w:spacing w:before="207"/>
        <w:ind w:right="769"/>
        <w:jc w:val="center"/>
        <w:rPr>
          <w:rFonts w:ascii="Arial MT" w:hAnsi="Arial MT"/>
          <w:sz w:val="18"/>
        </w:rPr>
      </w:pPr>
      <w:r>
        <w:rPr>
          <w:rFonts w:ascii="Arial MT" w:hAnsi="Arial MT"/>
          <w:sz w:val="18"/>
        </w:rPr>
        <w:t>Diretoria</w:t>
      </w:r>
      <w:r>
        <w:rPr>
          <w:rFonts w:ascii="Arial MT" w:hAnsi="Arial MT"/>
          <w:spacing w:val="-4"/>
          <w:sz w:val="18"/>
        </w:rPr>
        <w:t xml:space="preserve"> </w:t>
      </w:r>
      <w:r>
        <w:rPr>
          <w:rFonts w:ascii="Arial MT" w:hAnsi="Arial MT"/>
          <w:sz w:val="18"/>
        </w:rPr>
        <w:t>de</w:t>
      </w:r>
      <w:r>
        <w:rPr>
          <w:rFonts w:ascii="Arial MT" w:hAnsi="Arial MT"/>
          <w:spacing w:val="-4"/>
          <w:sz w:val="18"/>
        </w:rPr>
        <w:t xml:space="preserve"> </w:t>
      </w:r>
      <w:r>
        <w:rPr>
          <w:rFonts w:ascii="Arial MT" w:hAnsi="Arial MT"/>
          <w:sz w:val="18"/>
        </w:rPr>
        <w:t>Governança</w:t>
      </w:r>
      <w:r>
        <w:rPr>
          <w:rFonts w:ascii="Arial MT" w:hAnsi="Arial MT"/>
          <w:spacing w:val="-1"/>
          <w:sz w:val="18"/>
        </w:rPr>
        <w:t xml:space="preserve"> </w:t>
      </w:r>
      <w:r>
        <w:rPr>
          <w:rFonts w:ascii="Arial MT" w:hAnsi="Arial MT"/>
          <w:spacing w:val="-2"/>
          <w:sz w:val="18"/>
        </w:rPr>
        <w:t>(Interina)</w:t>
      </w:r>
    </w:p>
    <w:p w14:paraId="33EF3819" w14:textId="77777777" w:rsidR="002C6574" w:rsidRDefault="002C6574">
      <w:pPr>
        <w:jc w:val="center"/>
        <w:rPr>
          <w:rFonts w:ascii="Arial MT" w:hAnsi="Arial MT"/>
          <w:sz w:val="18"/>
        </w:rPr>
        <w:sectPr w:rsidR="002C6574">
          <w:type w:val="continuous"/>
          <w:pgSz w:w="11910" w:h="16840"/>
          <w:pgMar w:top="0" w:right="425" w:bottom="0" w:left="425" w:header="1197" w:footer="1030" w:gutter="0"/>
          <w:cols w:num="2" w:space="720" w:equalWidth="0">
            <w:col w:w="4654" w:space="147"/>
            <w:col w:w="6259"/>
          </w:cols>
        </w:sectPr>
      </w:pPr>
    </w:p>
    <w:p w14:paraId="7B47DB43" w14:textId="77777777" w:rsidR="002C6574" w:rsidRDefault="002C6574">
      <w:pPr>
        <w:pStyle w:val="Corpodetexto"/>
        <w:rPr>
          <w:rFonts w:ascii="Arial MT"/>
        </w:rPr>
      </w:pPr>
    </w:p>
    <w:p w14:paraId="0EB3A4C9" w14:textId="77777777" w:rsidR="002C6574" w:rsidRDefault="002C6574">
      <w:pPr>
        <w:pStyle w:val="Corpodetexto"/>
        <w:spacing w:before="116"/>
        <w:rPr>
          <w:rFonts w:ascii="Arial MT"/>
        </w:rPr>
      </w:pPr>
    </w:p>
    <w:p w14:paraId="1CC567D9" w14:textId="77777777" w:rsidR="002C6574" w:rsidRDefault="00000000">
      <w:pPr>
        <w:spacing w:line="252" w:lineRule="exact"/>
        <w:ind w:left="1793" w:right="1509"/>
        <w:jc w:val="center"/>
        <w:rPr>
          <w:rFonts w:ascii="Arial" w:hAnsi="Arial"/>
          <w:b/>
        </w:rPr>
      </w:pPr>
      <w:r>
        <w:rPr>
          <w:rFonts w:ascii="Arial" w:hAnsi="Arial"/>
          <w:b/>
        </w:rPr>
        <w:t>ARTUR</w:t>
      </w:r>
      <w:r>
        <w:rPr>
          <w:rFonts w:ascii="Arial" w:hAnsi="Arial"/>
          <w:b/>
          <w:spacing w:val="-4"/>
        </w:rPr>
        <w:t xml:space="preserve"> </w:t>
      </w:r>
      <w:r>
        <w:rPr>
          <w:rFonts w:ascii="Arial" w:hAnsi="Arial"/>
          <w:b/>
        </w:rPr>
        <w:t>JOSÉ</w:t>
      </w:r>
      <w:r>
        <w:rPr>
          <w:rFonts w:ascii="Arial" w:hAnsi="Arial"/>
          <w:b/>
          <w:spacing w:val="-5"/>
        </w:rPr>
        <w:t xml:space="preserve"> </w:t>
      </w:r>
      <w:r>
        <w:rPr>
          <w:rFonts w:ascii="Arial" w:hAnsi="Arial"/>
          <w:b/>
        </w:rPr>
        <w:t>SIMÃO</w:t>
      </w:r>
      <w:r>
        <w:rPr>
          <w:rFonts w:ascii="Arial" w:hAnsi="Arial"/>
          <w:b/>
          <w:spacing w:val="-4"/>
        </w:rPr>
        <w:t xml:space="preserve"> </w:t>
      </w:r>
      <w:r>
        <w:rPr>
          <w:rFonts w:ascii="Arial" w:hAnsi="Arial"/>
          <w:b/>
          <w:spacing w:val="-2"/>
        </w:rPr>
        <w:t>PEDREIRA</w:t>
      </w:r>
    </w:p>
    <w:p w14:paraId="5C2DA57B" w14:textId="77777777" w:rsidR="002C6574" w:rsidRDefault="00000000">
      <w:pPr>
        <w:spacing w:line="206" w:lineRule="exact"/>
        <w:ind w:left="1793" w:right="1506"/>
        <w:jc w:val="center"/>
        <w:rPr>
          <w:rFonts w:ascii="Arial MT"/>
          <w:sz w:val="18"/>
        </w:rPr>
      </w:pPr>
      <w:r>
        <w:rPr>
          <w:rFonts w:ascii="Arial MT"/>
          <w:sz w:val="18"/>
        </w:rPr>
        <w:t>Contador</w:t>
      </w:r>
      <w:r>
        <w:rPr>
          <w:rFonts w:ascii="Arial MT"/>
          <w:spacing w:val="-7"/>
          <w:sz w:val="18"/>
        </w:rPr>
        <w:t xml:space="preserve"> </w:t>
      </w:r>
      <w:r>
        <w:rPr>
          <w:rFonts w:ascii="Arial MT"/>
          <w:sz w:val="18"/>
        </w:rPr>
        <w:t>CRC/DF</w:t>
      </w:r>
      <w:r>
        <w:rPr>
          <w:rFonts w:ascii="Arial MT"/>
          <w:spacing w:val="-4"/>
          <w:sz w:val="18"/>
        </w:rPr>
        <w:t xml:space="preserve"> </w:t>
      </w:r>
      <w:r>
        <w:rPr>
          <w:rFonts w:ascii="Arial MT"/>
          <w:sz w:val="18"/>
        </w:rPr>
        <w:t>008412/0-</w:t>
      </w:r>
      <w:r>
        <w:rPr>
          <w:rFonts w:ascii="Arial MT"/>
          <w:spacing w:val="-10"/>
          <w:sz w:val="18"/>
        </w:rPr>
        <w:t>9</w:t>
      </w:r>
    </w:p>
    <w:sectPr w:rsidR="002C6574">
      <w:type w:val="continuous"/>
      <w:pgSz w:w="11910" w:h="16840"/>
      <w:pgMar w:top="0" w:right="425" w:bottom="0" w:left="425" w:header="1197" w:footer="10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41A44" w14:textId="77777777" w:rsidR="00EB62B4" w:rsidRDefault="00EB62B4">
      <w:r>
        <w:separator/>
      </w:r>
    </w:p>
  </w:endnote>
  <w:endnote w:type="continuationSeparator" w:id="0">
    <w:p w14:paraId="3E119E91" w14:textId="77777777" w:rsidR="00EB62B4" w:rsidRDefault="00EB6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Segoe UI Symbol">
    <w:altName w:val="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9CF0F"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57056" behindDoc="1" locked="0" layoutInCell="1" allowOverlap="1" wp14:anchorId="08509D5F" wp14:editId="17B1FA90">
              <wp:simplePos x="0" y="0"/>
              <wp:positionH relativeFrom="page">
                <wp:posOffset>6733032</wp:posOffset>
              </wp:positionH>
              <wp:positionV relativeFrom="page">
                <wp:posOffset>10208763</wp:posOffset>
              </wp:positionV>
              <wp:extent cx="16002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14D669B2" w14:textId="77777777" w:rsidR="002C6574" w:rsidRDefault="00000000">
                          <w:pPr>
                            <w:pStyle w:val="Corpodetexto"/>
                            <w:spacing w:line="245" w:lineRule="exact"/>
                            <w:ind w:left="60"/>
                            <w:rPr>
                              <w:rFonts w:ascii="Calibri"/>
                            </w:rPr>
                          </w:pPr>
                          <w:r>
                            <w:rPr>
                              <w:rFonts w:ascii="Calibri"/>
                              <w:color w:val="4F80BC"/>
                              <w:spacing w:val="-10"/>
                            </w:rPr>
                            <w:fldChar w:fldCharType="begin"/>
                          </w:r>
                          <w:r>
                            <w:rPr>
                              <w:rFonts w:ascii="Calibri"/>
                              <w:color w:val="4F80BC"/>
                              <w:spacing w:val="-10"/>
                            </w:rPr>
                            <w:instrText xml:space="preserve"> PAGE </w:instrText>
                          </w:r>
                          <w:r>
                            <w:rPr>
                              <w:rFonts w:ascii="Calibri"/>
                              <w:color w:val="4F80BC"/>
                              <w:spacing w:val="-10"/>
                            </w:rPr>
                            <w:fldChar w:fldCharType="separate"/>
                          </w:r>
                          <w:r>
                            <w:rPr>
                              <w:rFonts w:ascii="Calibri"/>
                              <w:color w:val="4F80BC"/>
                              <w:spacing w:val="-10"/>
                            </w:rPr>
                            <w:t>2</w:t>
                          </w:r>
                          <w:r>
                            <w:rPr>
                              <w:rFonts w:ascii="Calibri"/>
                              <w:color w:val="4F80BC"/>
                              <w:spacing w:val="-10"/>
                            </w:rPr>
                            <w:fldChar w:fldCharType="end"/>
                          </w:r>
                        </w:p>
                      </w:txbxContent>
                    </wps:txbx>
                    <wps:bodyPr wrap="square" lIns="0" tIns="0" rIns="0" bIns="0" rtlCol="0">
                      <a:noAutofit/>
                    </wps:bodyPr>
                  </wps:wsp>
                </a:graphicData>
              </a:graphic>
            </wp:anchor>
          </w:drawing>
        </mc:Choice>
        <mc:Fallback>
          <w:pict>
            <v:shapetype w14:anchorId="08509D5F" id="_x0000_t202" coordsize="21600,21600" o:spt="202" path="m,l,21600r21600,l21600,xe">
              <v:stroke joinstyle="miter"/>
              <v:path gradientshapeok="t" o:connecttype="rect"/>
            </v:shapetype>
            <v:shape id="Textbox 8" o:spid="_x0000_s1257" type="#_x0000_t202" style="position:absolute;margin-left:530.15pt;margin-top:803.85pt;width:12.6pt;height:13.05pt;z-index:-3075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" filled="f" stroked="f">
              <v:textbox inset="0,0,0,0">
                <w:txbxContent>
                  <w:p w14:paraId="14D669B2" w14:textId="77777777" w:rsidR="002C6574" w:rsidRDefault="00000000">
                    <w:pPr>
                      <w:pStyle w:val="Corpodetexto"/>
                      <w:spacing w:line="245" w:lineRule="exact"/>
                      <w:ind w:left="60"/>
                      <w:rPr>
                        <w:rFonts w:ascii="Calibri"/>
                      </w:rPr>
                    </w:pPr>
                    <w:r>
                      <w:rPr>
                        <w:rFonts w:ascii="Calibri"/>
                        <w:color w:val="4F80BC"/>
                        <w:spacing w:val="-10"/>
                      </w:rPr>
                      <w:fldChar w:fldCharType="begin"/>
                    </w:r>
                    <w:r>
                      <w:rPr>
                        <w:rFonts w:ascii="Calibri"/>
                        <w:color w:val="4F80BC"/>
                        <w:spacing w:val="-10"/>
                      </w:rPr>
                      <w:instrText xml:space="preserve"> PAGE </w:instrText>
                    </w:r>
                    <w:r>
                      <w:rPr>
                        <w:rFonts w:ascii="Calibri"/>
                        <w:color w:val="4F80BC"/>
                        <w:spacing w:val="-10"/>
                      </w:rPr>
                      <w:fldChar w:fldCharType="separate"/>
                    </w:r>
                    <w:r>
                      <w:rPr>
                        <w:rFonts w:ascii="Calibri"/>
                        <w:color w:val="4F80BC"/>
                        <w:spacing w:val="-10"/>
                      </w:rPr>
                      <w:t>2</w:t>
                    </w:r>
                    <w:r>
                      <w:rPr>
                        <w:rFonts w:ascii="Calibri"/>
                        <w:color w:val="4F80BC"/>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0BAC0"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75488" behindDoc="1" locked="0" layoutInCell="1" allowOverlap="1" wp14:anchorId="189FC39A" wp14:editId="441F9E1F">
              <wp:simplePos x="0" y="0"/>
              <wp:positionH relativeFrom="page">
                <wp:posOffset>6686803</wp:posOffset>
              </wp:positionH>
              <wp:positionV relativeFrom="page">
                <wp:posOffset>10004547</wp:posOffset>
              </wp:positionV>
              <wp:extent cx="205740" cy="16573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14:paraId="61DE9CDC" w14:textId="77777777" w:rsidR="002C6574" w:rsidRDefault="00000000">
                          <w:pPr>
                            <w:pStyle w:val="Corpodetexto"/>
                            <w:spacing w:line="245" w:lineRule="exact"/>
                            <w:ind w:left="20"/>
                            <w:rPr>
                              <w:rFonts w:ascii="Calibri"/>
                            </w:rPr>
                          </w:pPr>
                          <w:r>
                            <w:rPr>
                              <w:rFonts w:ascii="Calibri"/>
                              <w:color w:val="4F80BC"/>
                              <w:spacing w:val="-5"/>
                            </w:rPr>
                            <w:t>4</w:t>
                          </w:r>
                          <w:r>
                            <w:rPr>
                              <w:rFonts w:ascii="Calibri"/>
                              <w:color w:val="4F80BC"/>
                              <w:spacing w:val="-5"/>
                            </w:rPr>
                            <w:fldChar w:fldCharType="begin"/>
                          </w:r>
                          <w:r>
                            <w:rPr>
                              <w:rFonts w:ascii="Calibri"/>
                              <w:color w:val="4F80BC"/>
                              <w:spacing w:val="-5"/>
                            </w:rPr>
                            <w:instrText xml:space="preserve"> PAGE </w:instrText>
                          </w:r>
                          <w:r>
                            <w:rPr>
                              <w:rFonts w:ascii="Calibri"/>
                              <w:color w:val="4F80BC"/>
                              <w:spacing w:val="-5"/>
                            </w:rPr>
                            <w:fldChar w:fldCharType="separate"/>
                          </w:r>
                          <w:r>
                            <w:rPr>
                              <w:rFonts w:ascii="Calibri"/>
                              <w:color w:val="4F80BC"/>
                              <w:spacing w:val="-5"/>
                            </w:rPr>
                            <w:t>1</w:t>
                          </w:r>
                          <w:r>
                            <w:rPr>
                              <w:rFonts w:ascii="Calibri"/>
                              <w:color w:val="4F80BC"/>
                              <w:spacing w:val="-5"/>
                            </w:rPr>
                            <w:fldChar w:fldCharType="end"/>
                          </w:r>
                        </w:p>
                      </w:txbxContent>
                    </wps:txbx>
                    <wps:bodyPr wrap="square" lIns="0" tIns="0" rIns="0" bIns="0" rtlCol="0">
                      <a:noAutofit/>
                    </wps:bodyPr>
                  </wps:wsp>
                </a:graphicData>
              </a:graphic>
            </wp:anchor>
          </w:drawing>
        </mc:Choice>
        <mc:Fallback>
          <w:pict>
            <v:shapetype w14:anchorId="189FC39A" id="_x0000_t202" coordsize="21600,21600" o:spt="202" path="m,l,21600r21600,l21600,xe">
              <v:stroke joinstyle="miter"/>
              <v:path gradientshapeok="t" o:connecttype="rect"/>
            </v:shapetype>
            <v:shape id="Textbox 103" o:spid="_x0000_s1266" type="#_x0000_t202" style="position:absolute;margin-left:526.5pt;margin-top:787.75pt;width:16.2pt;height:13.05pt;z-index:-3074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" filled="f" stroked="f">
              <v:textbox inset="0,0,0,0">
                <w:txbxContent>
                  <w:p w14:paraId="61DE9CDC" w14:textId="77777777" w:rsidR="002C6574" w:rsidRDefault="00000000">
                    <w:pPr>
                      <w:pStyle w:val="Corpodetexto"/>
                      <w:spacing w:line="245" w:lineRule="exact"/>
                      <w:ind w:left="20"/>
                      <w:rPr>
                        <w:rFonts w:ascii="Calibri"/>
                      </w:rPr>
                    </w:pPr>
                    <w:r>
                      <w:rPr>
                        <w:rFonts w:ascii="Calibri"/>
                        <w:color w:val="4F80BC"/>
                        <w:spacing w:val="-5"/>
                      </w:rPr>
                      <w:t>4</w:t>
                    </w:r>
                    <w:r>
                      <w:rPr>
                        <w:rFonts w:ascii="Calibri"/>
                        <w:color w:val="4F80BC"/>
                        <w:spacing w:val="-5"/>
                      </w:rPr>
                      <w:fldChar w:fldCharType="begin"/>
                    </w:r>
                    <w:r>
                      <w:rPr>
                        <w:rFonts w:ascii="Calibri"/>
                        <w:color w:val="4F80BC"/>
                        <w:spacing w:val="-5"/>
                      </w:rPr>
                      <w:instrText xml:space="preserve"> PAGE </w:instrText>
                    </w:r>
                    <w:r>
                      <w:rPr>
                        <w:rFonts w:ascii="Calibri"/>
                        <w:color w:val="4F80BC"/>
                        <w:spacing w:val="-5"/>
                      </w:rPr>
                      <w:fldChar w:fldCharType="separate"/>
                    </w:r>
                    <w:r>
                      <w:rPr>
                        <w:rFonts w:ascii="Calibri"/>
                        <w:color w:val="4F80BC"/>
                        <w:spacing w:val="-5"/>
                      </w:rPr>
                      <w:t>1</w:t>
                    </w:r>
                    <w:r>
                      <w:rPr>
                        <w:rFonts w:ascii="Calibri"/>
                        <w:color w:val="4F80BC"/>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4863E"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77536" behindDoc="1" locked="0" layoutInCell="1" allowOverlap="1" wp14:anchorId="76761655" wp14:editId="2B43A966">
              <wp:simplePos x="0" y="0"/>
              <wp:positionH relativeFrom="page">
                <wp:posOffset>6686803</wp:posOffset>
              </wp:positionH>
              <wp:positionV relativeFrom="page">
                <wp:posOffset>10004547</wp:posOffset>
              </wp:positionV>
              <wp:extent cx="205740" cy="16573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14:paraId="5F645582" w14:textId="77777777" w:rsidR="002C6574" w:rsidRDefault="00000000">
                          <w:pPr>
                            <w:pStyle w:val="Corpodetexto"/>
                            <w:spacing w:line="245" w:lineRule="exact"/>
                            <w:ind w:left="20"/>
                            <w:rPr>
                              <w:rFonts w:ascii="Calibri"/>
                            </w:rPr>
                          </w:pPr>
                          <w:r>
                            <w:rPr>
                              <w:rFonts w:ascii="Calibri"/>
                              <w:color w:val="4F80BC"/>
                              <w:spacing w:val="-5"/>
                            </w:rPr>
                            <w:t>4</w:t>
                          </w:r>
                          <w:r>
                            <w:rPr>
                              <w:rFonts w:ascii="Calibri"/>
                              <w:color w:val="4F80BC"/>
                              <w:spacing w:val="-5"/>
                            </w:rPr>
                            <w:fldChar w:fldCharType="begin"/>
                          </w:r>
                          <w:r>
                            <w:rPr>
                              <w:rFonts w:ascii="Calibri"/>
                              <w:color w:val="4F80BC"/>
                              <w:spacing w:val="-5"/>
                            </w:rPr>
                            <w:instrText xml:space="preserve"> PAGE </w:instrText>
                          </w:r>
                          <w:r>
                            <w:rPr>
                              <w:rFonts w:ascii="Calibri"/>
                              <w:color w:val="4F80BC"/>
                              <w:spacing w:val="-5"/>
                            </w:rPr>
                            <w:fldChar w:fldCharType="separate"/>
                          </w:r>
                          <w:r>
                            <w:rPr>
                              <w:rFonts w:ascii="Calibri"/>
                              <w:color w:val="4F80BC"/>
                              <w:spacing w:val="-5"/>
                            </w:rPr>
                            <w:t>8</w:t>
                          </w:r>
                          <w:r>
                            <w:rPr>
                              <w:rFonts w:ascii="Calibri"/>
                              <w:color w:val="4F80BC"/>
                              <w:spacing w:val="-5"/>
                            </w:rPr>
                            <w:fldChar w:fldCharType="end"/>
                          </w:r>
                        </w:p>
                      </w:txbxContent>
                    </wps:txbx>
                    <wps:bodyPr wrap="square" lIns="0" tIns="0" rIns="0" bIns="0" rtlCol="0">
                      <a:noAutofit/>
                    </wps:bodyPr>
                  </wps:wsp>
                </a:graphicData>
              </a:graphic>
            </wp:anchor>
          </w:drawing>
        </mc:Choice>
        <mc:Fallback>
          <w:pict>
            <v:shapetype w14:anchorId="76761655" id="_x0000_t202" coordsize="21600,21600" o:spt="202" path="m,l,21600r21600,l21600,xe">
              <v:stroke joinstyle="miter"/>
              <v:path gradientshapeok="t" o:connecttype="rect"/>
            </v:shapetype>
            <v:shape id="Textbox 113" o:spid="_x0000_s1267" type="#_x0000_t202" style="position:absolute;margin-left:526.5pt;margin-top:787.75pt;width:16.2pt;height:13.05pt;z-index:-3073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" filled="f" stroked="f">
              <v:textbox inset="0,0,0,0">
                <w:txbxContent>
                  <w:p w14:paraId="5F645582" w14:textId="77777777" w:rsidR="002C6574" w:rsidRDefault="00000000">
                    <w:pPr>
                      <w:pStyle w:val="Corpodetexto"/>
                      <w:spacing w:line="245" w:lineRule="exact"/>
                      <w:ind w:left="20"/>
                      <w:rPr>
                        <w:rFonts w:ascii="Calibri"/>
                      </w:rPr>
                    </w:pPr>
                    <w:r>
                      <w:rPr>
                        <w:rFonts w:ascii="Calibri"/>
                        <w:color w:val="4F80BC"/>
                        <w:spacing w:val="-5"/>
                      </w:rPr>
                      <w:t>4</w:t>
                    </w:r>
                    <w:r>
                      <w:rPr>
                        <w:rFonts w:ascii="Calibri"/>
                        <w:color w:val="4F80BC"/>
                        <w:spacing w:val="-5"/>
                      </w:rPr>
                      <w:fldChar w:fldCharType="begin"/>
                    </w:r>
                    <w:r>
                      <w:rPr>
                        <w:rFonts w:ascii="Calibri"/>
                        <w:color w:val="4F80BC"/>
                        <w:spacing w:val="-5"/>
                      </w:rPr>
                      <w:instrText xml:space="preserve"> PAGE </w:instrText>
                    </w:r>
                    <w:r>
                      <w:rPr>
                        <w:rFonts w:ascii="Calibri"/>
                        <w:color w:val="4F80BC"/>
                        <w:spacing w:val="-5"/>
                      </w:rPr>
                      <w:fldChar w:fldCharType="separate"/>
                    </w:r>
                    <w:r>
                      <w:rPr>
                        <w:rFonts w:ascii="Calibri"/>
                        <w:color w:val="4F80BC"/>
                        <w:spacing w:val="-5"/>
                      </w:rPr>
                      <w:t>8</w:t>
                    </w:r>
                    <w:r>
                      <w:rPr>
                        <w:rFonts w:ascii="Calibri"/>
                        <w:color w:val="4F80BC"/>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04DAF"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79584" behindDoc="1" locked="0" layoutInCell="1" allowOverlap="1" wp14:anchorId="7D5E375F" wp14:editId="227F4308">
              <wp:simplePos x="0" y="0"/>
              <wp:positionH relativeFrom="page">
                <wp:posOffset>6686803</wp:posOffset>
              </wp:positionH>
              <wp:positionV relativeFrom="page">
                <wp:posOffset>10004547</wp:posOffset>
              </wp:positionV>
              <wp:extent cx="167640" cy="16573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14:paraId="2655B774" w14:textId="77777777" w:rsidR="002C6574" w:rsidRDefault="00000000">
                          <w:pPr>
                            <w:pStyle w:val="Corpodetexto"/>
                            <w:spacing w:line="245" w:lineRule="exact"/>
                            <w:ind w:left="20"/>
                            <w:rPr>
                              <w:rFonts w:ascii="Calibri"/>
                            </w:rPr>
                          </w:pPr>
                          <w:r>
                            <w:rPr>
                              <w:rFonts w:ascii="Calibri"/>
                              <w:color w:val="4F80BC"/>
                              <w:spacing w:val="-5"/>
                            </w:rPr>
                            <w:t>50</w:t>
                          </w:r>
                        </w:p>
                      </w:txbxContent>
                    </wps:txbx>
                    <wps:bodyPr wrap="square" lIns="0" tIns="0" rIns="0" bIns="0" rtlCol="0">
                      <a:noAutofit/>
                    </wps:bodyPr>
                  </wps:wsp>
                </a:graphicData>
              </a:graphic>
            </wp:anchor>
          </w:drawing>
        </mc:Choice>
        <mc:Fallback>
          <w:pict>
            <v:shapetype w14:anchorId="7D5E375F" id="_x0000_t202" coordsize="21600,21600" o:spt="202" path="m,l,21600r21600,l21600,xe">
              <v:stroke joinstyle="miter"/>
              <v:path gradientshapeok="t" o:connecttype="rect"/>
            </v:shapetype>
            <v:shape id="Textbox 117" o:spid="_x0000_s1268" type="#_x0000_t202" style="position:absolute;margin-left:526.5pt;margin-top:787.75pt;width:13.2pt;height:13.05pt;z-index:-3073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" filled="f" stroked="f">
              <v:textbox inset="0,0,0,0">
                <w:txbxContent>
                  <w:p w14:paraId="2655B774" w14:textId="77777777" w:rsidR="002C6574" w:rsidRDefault="00000000">
                    <w:pPr>
                      <w:pStyle w:val="Corpodetexto"/>
                      <w:spacing w:line="245" w:lineRule="exact"/>
                      <w:ind w:left="20"/>
                      <w:rPr>
                        <w:rFonts w:ascii="Calibri"/>
                      </w:rPr>
                    </w:pPr>
                    <w:r>
                      <w:rPr>
                        <w:rFonts w:ascii="Calibri"/>
                        <w:color w:val="4F80BC"/>
                        <w:spacing w:val="-5"/>
                      </w:rPr>
                      <w:t>50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DD69D" w14:textId="77777777" w:rsidR="002C6574" w:rsidRDefault="002C6574">
    <w:pPr>
      <w:pStyle w:val="Corpodetexto"/>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96954"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80608" behindDoc="1" locked="0" layoutInCell="1" allowOverlap="1" wp14:anchorId="34956C93" wp14:editId="63731539">
              <wp:simplePos x="0" y="0"/>
              <wp:positionH relativeFrom="page">
                <wp:posOffset>3697223</wp:posOffset>
              </wp:positionH>
              <wp:positionV relativeFrom="page">
                <wp:posOffset>9764610</wp:posOffset>
              </wp:positionV>
              <wp:extent cx="152400" cy="1657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588638D3" w14:textId="77777777" w:rsidR="002C6574" w:rsidRDefault="00000000">
                          <w:pPr>
                            <w:spacing w:before="20"/>
                            <w:ind w:left="60"/>
                            <w:rPr>
                              <w:rFonts w:ascii="Verdana"/>
                              <w:sz w:val="18"/>
                            </w:rPr>
                          </w:pPr>
                          <w:r>
                            <w:rPr>
                              <w:rFonts w:ascii="Verdana"/>
                              <w:spacing w:val="-10"/>
                              <w:w w:val="95"/>
                              <w:sz w:val="18"/>
                            </w:rPr>
                            <w:fldChar w:fldCharType="begin"/>
                          </w:r>
                          <w:r>
                            <w:rPr>
                              <w:rFonts w:ascii="Verdana"/>
                              <w:spacing w:val="-10"/>
                              <w:w w:val="95"/>
                              <w:sz w:val="18"/>
                            </w:rPr>
                            <w:instrText xml:space="preserve"> PAGE </w:instrText>
                          </w:r>
                          <w:r>
                            <w:rPr>
                              <w:rFonts w:ascii="Verdana"/>
                              <w:spacing w:val="-10"/>
                              <w:w w:val="95"/>
                              <w:sz w:val="18"/>
                            </w:rPr>
                            <w:fldChar w:fldCharType="separate"/>
                          </w:r>
                          <w:r>
                            <w:rPr>
                              <w:rFonts w:ascii="Verdana"/>
                              <w:spacing w:val="-10"/>
                              <w:w w:val="95"/>
                              <w:sz w:val="18"/>
                            </w:rPr>
                            <w:t>1</w:t>
                          </w:r>
                          <w:r>
                            <w:rPr>
                              <w:rFonts w:ascii="Verdana"/>
                              <w:spacing w:val="-10"/>
                              <w:w w:val="95"/>
                              <w:sz w:val="18"/>
                            </w:rPr>
                            <w:fldChar w:fldCharType="end"/>
                          </w:r>
                        </w:p>
                      </w:txbxContent>
                    </wps:txbx>
                    <wps:bodyPr wrap="square" lIns="0" tIns="0" rIns="0" bIns="0" rtlCol="0">
                      <a:noAutofit/>
                    </wps:bodyPr>
                  </wps:wsp>
                </a:graphicData>
              </a:graphic>
            </wp:anchor>
          </w:drawing>
        </mc:Choice>
        <mc:Fallback>
          <w:pict>
            <v:shapetype w14:anchorId="34956C93" id="_x0000_t202" coordsize="21600,21600" o:spt="202" path="m,l,21600r21600,l21600,xe">
              <v:stroke joinstyle="miter"/>
              <v:path gradientshapeok="t" o:connecttype="rect"/>
            </v:shapetype>
            <v:shape id="Textbox 122" o:spid="_x0000_s1269" type="#_x0000_t202" style="position:absolute;margin-left:291.1pt;margin-top:768.85pt;width:12pt;height:13.05pt;z-index:-3073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" filled="f" stroked="f">
              <v:textbox inset="0,0,0,0">
                <w:txbxContent>
                  <w:p w14:paraId="588638D3" w14:textId="77777777" w:rsidR="002C6574" w:rsidRDefault="00000000">
                    <w:pPr>
                      <w:spacing w:before="20"/>
                      <w:ind w:left="60"/>
                      <w:rPr>
                        <w:rFonts w:ascii="Verdana"/>
                        <w:sz w:val="18"/>
                      </w:rPr>
                    </w:pPr>
                    <w:r>
                      <w:rPr>
                        <w:rFonts w:ascii="Verdana"/>
                        <w:spacing w:val="-10"/>
                        <w:w w:val="95"/>
                        <w:sz w:val="18"/>
                      </w:rPr>
                      <w:fldChar w:fldCharType="begin"/>
                    </w:r>
                    <w:r>
                      <w:rPr>
                        <w:rFonts w:ascii="Verdana"/>
                        <w:spacing w:val="-10"/>
                        <w:w w:val="95"/>
                        <w:sz w:val="18"/>
                      </w:rPr>
                      <w:instrText xml:space="preserve"> PAGE </w:instrText>
                    </w:r>
                    <w:r>
                      <w:rPr>
                        <w:rFonts w:ascii="Verdana"/>
                        <w:spacing w:val="-10"/>
                        <w:w w:val="95"/>
                        <w:sz w:val="18"/>
                      </w:rPr>
                      <w:fldChar w:fldCharType="separate"/>
                    </w:r>
                    <w:r>
                      <w:rPr>
                        <w:rFonts w:ascii="Verdana"/>
                        <w:spacing w:val="-10"/>
                        <w:w w:val="95"/>
                        <w:sz w:val="18"/>
                      </w:rPr>
                      <w:t>1</w:t>
                    </w:r>
                    <w:r>
                      <w:rPr>
                        <w:rFonts w:ascii="Verdana"/>
                        <w:spacing w:val="-10"/>
                        <w:w w:val="95"/>
                        <w:sz w:val="18"/>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72581120" behindDoc="1" locked="0" layoutInCell="1" allowOverlap="1" wp14:anchorId="51021308" wp14:editId="57A10640">
              <wp:simplePos x="0" y="0"/>
              <wp:positionH relativeFrom="page">
                <wp:posOffset>1063244</wp:posOffset>
              </wp:positionH>
              <wp:positionV relativeFrom="page">
                <wp:posOffset>9776874</wp:posOffset>
              </wp:positionV>
              <wp:extent cx="1779270" cy="64008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9270" cy="640080"/>
                      </a:xfrm>
                      <a:prstGeom prst="rect">
                        <a:avLst/>
                      </a:prstGeom>
                    </wps:spPr>
                    <wps:txbx>
                      <w:txbxContent>
                        <w:p w14:paraId="77C2618F" w14:textId="77777777" w:rsidR="002C6574" w:rsidRDefault="00000000">
                          <w:pPr>
                            <w:spacing w:before="21"/>
                            <w:ind w:left="27"/>
                            <w:rPr>
                              <w:rFonts w:ascii="Verdana"/>
                              <w:sz w:val="16"/>
                            </w:rPr>
                          </w:pPr>
                          <w:r>
                            <w:rPr>
                              <w:rFonts w:ascii="Verdana"/>
                              <w:w w:val="80"/>
                              <w:sz w:val="16"/>
                            </w:rPr>
                            <w:t>RAI</w:t>
                          </w:r>
                          <w:r>
                            <w:rPr>
                              <w:rFonts w:ascii="Verdana"/>
                              <w:spacing w:val="8"/>
                              <w:sz w:val="16"/>
                            </w:rPr>
                            <w:t xml:space="preserve"> </w:t>
                          </w:r>
                          <w:r>
                            <w:rPr>
                              <w:rFonts w:ascii="Verdana"/>
                              <w:w w:val="80"/>
                              <w:sz w:val="16"/>
                            </w:rPr>
                            <w:t>1-</w:t>
                          </w:r>
                          <w:r>
                            <w:rPr>
                              <w:rFonts w:ascii="Verdana"/>
                              <w:spacing w:val="-2"/>
                              <w:w w:val="80"/>
                              <w:sz w:val="16"/>
                            </w:rPr>
                            <w:t>02/26</w:t>
                          </w:r>
                        </w:p>
                        <w:p w14:paraId="7725A527" w14:textId="77777777" w:rsidR="002C6574" w:rsidRDefault="00000000">
                          <w:pPr>
                            <w:spacing w:before="162" w:line="175" w:lineRule="exact"/>
                            <w:ind w:left="27"/>
                            <w:rPr>
                              <w:rFonts w:ascii="Arial"/>
                              <w:b/>
                              <w:sz w:val="16"/>
                            </w:rPr>
                          </w:pPr>
                          <w:r>
                            <w:rPr>
                              <w:rFonts w:ascii="Arial"/>
                              <w:b/>
                              <w:color w:val="000044"/>
                              <w:w w:val="90"/>
                              <w:sz w:val="16"/>
                            </w:rPr>
                            <w:t>Consult</w:t>
                          </w:r>
                          <w:r>
                            <w:rPr>
                              <w:rFonts w:ascii="Arial"/>
                              <w:b/>
                              <w:color w:val="000044"/>
                              <w:spacing w:val="-4"/>
                              <w:w w:val="90"/>
                              <w:sz w:val="16"/>
                            </w:rPr>
                            <w:t xml:space="preserve"> </w:t>
                          </w:r>
                          <w:r>
                            <w:rPr>
                              <w:rFonts w:ascii="Arial"/>
                              <w:b/>
                              <w:color w:val="000044"/>
                              <w:w w:val="90"/>
                              <w:sz w:val="16"/>
                            </w:rPr>
                            <w:t>Auditores</w:t>
                          </w:r>
                          <w:r>
                            <w:rPr>
                              <w:rFonts w:ascii="Arial"/>
                              <w:b/>
                              <w:color w:val="000044"/>
                              <w:spacing w:val="-2"/>
                              <w:w w:val="90"/>
                              <w:sz w:val="16"/>
                            </w:rPr>
                            <w:t xml:space="preserve"> Independentes</w:t>
                          </w:r>
                        </w:p>
                        <w:p w14:paraId="7A3DD342" w14:textId="77777777" w:rsidR="002C6574" w:rsidRDefault="00000000">
                          <w:pPr>
                            <w:spacing w:before="14" w:line="196" w:lineRule="auto"/>
                            <w:ind w:left="20"/>
                            <w:rPr>
                              <w:rFonts w:ascii="Calibri" w:hAnsi="Calibri"/>
                              <w:sz w:val="14"/>
                            </w:rPr>
                          </w:pPr>
                          <w:r>
                            <w:rPr>
                              <w:rFonts w:ascii="Calibri" w:hAnsi="Calibri"/>
                              <w:color w:val="000044"/>
                              <w:sz w:val="14"/>
                            </w:rPr>
                            <w:t>Rua Mateus Leme, 2004, Centro Cívico, Curitiba</w:t>
                          </w:r>
                          <w:r>
                            <w:rPr>
                              <w:rFonts w:ascii="Calibri" w:hAnsi="Calibri"/>
                              <w:color w:val="000044"/>
                              <w:spacing w:val="40"/>
                              <w:sz w:val="14"/>
                            </w:rPr>
                            <w:t xml:space="preserve"> </w:t>
                          </w:r>
                          <w:r>
                            <w:rPr>
                              <w:rFonts w:ascii="Calibri" w:hAnsi="Calibri"/>
                              <w:color w:val="000044"/>
                              <w:sz w:val="14"/>
                            </w:rPr>
                            <w:t xml:space="preserve">Estado do Paraná – Brasil </w:t>
                          </w:r>
                          <w:r>
                            <w:rPr>
                              <w:rFonts w:ascii="Calibri" w:hAnsi="Calibri"/>
                              <w:color w:val="000044"/>
                              <w:w w:val="85"/>
                              <w:sz w:val="14"/>
                            </w:rPr>
                            <w:t xml:space="preserve">| </w:t>
                          </w:r>
                          <w:r>
                            <w:rPr>
                              <w:rFonts w:ascii="Calibri" w:hAnsi="Calibri"/>
                              <w:color w:val="000044"/>
                              <w:sz w:val="14"/>
                            </w:rPr>
                            <w:t>+ 55 41 3350 6000</w:t>
                          </w:r>
                          <w:r>
                            <w:rPr>
                              <w:rFonts w:ascii="Calibri" w:hAnsi="Calibri"/>
                              <w:color w:val="000044"/>
                              <w:spacing w:val="40"/>
                              <w:sz w:val="14"/>
                            </w:rPr>
                            <w:t xml:space="preserve"> </w:t>
                          </w:r>
                          <w:hyperlink r:id="rId1">
                            <w:r>
                              <w:rPr>
                                <w:rFonts w:ascii="Calibri" w:hAnsi="Calibri"/>
                                <w:color w:val="000044"/>
                                <w:spacing w:val="-2"/>
                                <w:sz w:val="14"/>
                              </w:rPr>
                              <w:t>www.consultauditores.com.br</w:t>
                            </w:r>
                          </w:hyperlink>
                        </w:p>
                      </w:txbxContent>
                    </wps:txbx>
                    <wps:bodyPr wrap="square" lIns="0" tIns="0" rIns="0" bIns="0" rtlCol="0">
                      <a:noAutofit/>
                    </wps:bodyPr>
                  </wps:wsp>
                </a:graphicData>
              </a:graphic>
            </wp:anchor>
          </w:drawing>
        </mc:Choice>
        <mc:Fallback>
          <w:pict>
            <v:shape w14:anchorId="51021308" id="Textbox 123" o:spid="_x0000_s1270" type="#_x0000_t202" style="position:absolute;margin-left:83.7pt;margin-top:769.85pt;width:140.1pt;height:50.4pt;z-index:-307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" filled="f" stroked="f">
              <v:textbox inset="0,0,0,0">
                <w:txbxContent>
                  <w:p w14:paraId="77C2618F" w14:textId="77777777" w:rsidR="002C6574" w:rsidRDefault="00000000">
                    <w:pPr>
                      <w:spacing w:before="21"/>
                      <w:ind w:left="27"/>
                      <w:rPr>
                        <w:rFonts w:ascii="Verdana"/>
                        <w:sz w:val="16"/>
                      </w:rPr>
                    </w:pPr>
                    <w:r>
                      <w:rPr>
                        <w:rFonts w:ascii="Verdana"/>
                        <w:w w:val="80"/>
                        <w:sz w:val="16"/>
                      </w:rPr>
                      <w:t>RAI</w:t>
                    </w:r>
                    <w:r>
                      <w:rPr>
                        <w:rFonts w:ascii="Verdana"/>
                        <w:spacing w:val="8"/>
                        <w:sz w:val="16"/>
                      </w:rPr>
                      <w:t xml:space="preserve"> </w:t>
                    </w:r>
                    <w:r>
                      <w:rPr>
                        <w:rFonts w:ascii="Verdana"/>
                        <w:w w:val="80"/>
                        <w:sz w:val="16"/>
                      </w:rPr>
                      <w:t>1-</w:t>
                    </w:r>
                    <w:r>
                      <w:rPr>
                        <w:rFonts w:ascii="Verdana"/>
                        <w:spacing w:val="-2"/>
                        <w:w w:val="80"/>
                        <w:sz w:val="16"/>
                      </w:rPr>
                      <w:t>02/26</w:t>
                    </w:r>
                  </w:p>
                  <w:p w14:paraId="7725A527" w14:textId="77777777" w:rsidR="002C6574" w:rsidRDefault="00000000">
                    <w:pPr>
                      <w:spacing w:before="162" w:line="175" w:lineRule="exact"/>
                      <w:ind w:left="27"/>
                      <w:rPr>
                        <w:rFonts w:ascii="Arial"/>
                        <w:b/>
                        <w:sz w:val="16"/>
                      </w:rPr>
                    </w:pPr>
                    <w:r>
                      <w:rPr>
                        <w:rFonts w:ascii="Arial"/>
                        <w:b/>
                        <w:color w:val="000044"/>
                        <w:w w:val="90"/>
                        <w:sz w:val="16"/>
                      </w:rPr>
                      <w:t>Consult</w:t>
                    </w:r>
                    <w:r>
                      <w:rPr>
                        <w:rFonts w:ascii="Arial"/>
                        <w:b/>
                        <w:color w:val="000044"/>
                        <w:spacing w:val="-4"/>
                        <w:w w:val="90"/>
                        <w:sz w:val="16"/>
                      </w:rPr>
                      <w:t xml:space="preserve"> </w:t>
                    </w:r>
                    <w:r>
                      <w:rPr>
                        <w:rFonts w:ascii="Arial"/>
                        <w:b/>
                        <w:color w:val="000044"/>
                        <w:w w:val="90"/>
                        <w:sz w:val="16"/>
                      </w:rPr>
                      <w:t>Auditores</w:t>
                    </w:r>
                    <w:r>
                      <w:rPr>
                        <w:rFonts w:ascii="Arial"/>
                        <w:b/>
                        <w:color w:val="000044"/>
                        <w:spacing w:val="-2"/>
                        <w:w w:val="90"/>
                        <w:sz w:val="16"/>
                      </w:rPr>
                      <w:t xml:space="preserve"> Independentes</w:t>
                    </w:r>
                  </w:p>
                  <w:p w14:paraId="7A3DD342" w14:textId="77777777" w:rsidR="002C6574" w:rsidRDefault="00000000">
                    <w:pPr>
                      <w:spacing w:before="14" w:line="196" w:lineRule="auto"/>
                      <w:ind w:left="20"/>
                      <w:rPr>
                        <w:rFonts w:ascii="Calibri" w:hAnsi="Calibri"/>
                        <w:sz w:val="14"/>
                      </w:rPr>
                    </w:pPr>
                    <w:r>
                      <w:rPr>
                        <w:rFonts w:ascii="Calibri" w:hAnsi="Calibri"/>
                        <w:color w:val="000044"/>
                        <w:sz w:val="14"/>
                      </w:rPr>
                      <w:t>Rua Mateus Leme, 2004, Centro Cívico, Curitiba</w:t>
                    </w:r>
                    <w:r>
                      <w:rPr>
                        <w:rFonts w:ascii="Calibri" w:hAnsi="Calibri"/>
                        <w:color w:val="000044"/>
                        <w:spacing w:val="40"/>
                        <w:sz w:val="14"/>
                      </w:rPr>
                      <w:t xml:space="preserve"> </w:t>
                    </w:r>
                    <w:r>
                      <w:rPr>
                        <w:rFonts w:ascii="Calibri" w:hAnsi="Calibri"/>
                        <w:color w:val="000044"/>
                        <w:sz w:val="14"/>
                      </w:rPr>
                      <w:t xml:space="preserve">Estado do Paraná – Brasil </w:t>
                    </w:r>
                    <w:r>
                      <w:rPr>
                        <w:rFonts w:ascii="Calibri" w:hAnsi="Calibri"/>
                        <w:color w:val="000044"/>
                        <w:w w:val="85"/>
                        <w:sz w:val="14"/>
                      </w:rPr>
                      <w:t xml:space="preserve">| </w:t>
                    </w:r>
                    <w:r>
                      <w:rPr>
                        <w:rFonts w:ascii="Calibri" w:hAnsi="Calibri"/>
                        <w:color w:val="000044"/>
                        <w:sz w:val="14"/>
                      </w:rPr>
                      <w:t>+ 55 41 3350 6000</w:t>
                    </w:r>
                    <w:r>
                      <w:rPr>
                        <w:rFonts w:ascii="Calibri" w:hAnsi="Calibri"/>
                        <w:color w:val="000044"/>
                        <w:spacing w:val="40"/>
                        <w:sz w:val="14"/>
                      </w:rPr>
                      <w:t xml:space="preserve"> </w:t>
                    </w:r>
                    <w:hyperlink r:id="rId2">
                      <w:r>
                        <w:rPr>
                          <w:rFonts w:ascii="Calibri" w:hAnsi="Calibri"/>
                          <w:color w:val="000044"/>
                          <w:spacing w:val="-2"/>
                          <w:sz w:val="14"/>
                        </w:rPr>
                        <w:t>www.consultauditores.com.br</w:t>
                      </w:r>
                    </w:hyperlink>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F80D8" w14:textId="77777777" w:rsidR="002C6574" w:rsidRDefault="002C6574">
    <w:pPr>
      <w:pStyle w:val="Corpodetexto"/>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E57CE"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81632" behindDoc="1" locked="0" layoutInCell="1" allowOverlap="1" wp14:anchorId="5779B81D" wp14:editId="73991BD4">
              <wp:simplePos x="0" y="0"/>
              <wp:positionH relativeFrom="page">
                <wp:posOffset>7035800</wp:posOffset>
              </wp:positionH>
              <wp:positionV relativeFrom="page">
                <wp:posOffset>9875065</wp:posOffset>
              </wp:positionV>
              <wp:extent cx="88900" cy="16573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65735"/>
                      </a:xfrm>
                      <a:prstGeom prst="rect">
                        <a:avLst/>
                      </a:prstGeom>
                    </wps:spPr>
                    <wps:txbx>
                      <w:txbxContent>
                        <w:p w14:paraId="633544FA" w14:textId="77777777" w:rsidR="002C6574" w:rsidRDefault="00000000">
                          <w:pPr>
                            <w:spacing w:before="7"/>
                            <w:ind w:left="20"/>
                            <w:rPr>
                              <w:rFonts w:ascii="Calibri"/>
                              <w:sz w:val="20"/>
                            </w:rPr>
                          </w:pPr>
                          <w:r>
                            <w:rPr>
                              <w:rFonts w:ascii="Calibri"/>
                              <w:spacing w:val="-10"/>
                              <w:sz w:val="20"/>
                            </w:rPr>
                            <w:t>9</w:t>
                          </w:r>
                        </w:p>
                      </w:txbxContent>
                    </wps:txbx>
                    <wps:bodyPr wrap="square" lIns="0" tIns="0" rIns="0" bIns="0" rtlCol="0">
                      <a:noAutofit/>
                    </wps:bodyPr>
                  </wps:wsp>
                </a:graphicData>
              </a:graphic>
            </wp:anchor>
          </w:drawing>
        </mc:Choice>
        <mc:Fallback>
          <w:pict>
            <v:shapetype w14:anchorId="5779B81D" id="_x0000_t202" coordsize="21600,21600" o:spt="202" path="m,l,21600r21600,l21600,xe">
              <v:stroke joinstyle="miter"/>
              <v:path gradientshapeok="t" o:connecttype="rect"/>
            </v:shapetype>
            <v:shape id="Textbox 124" o:spid="_x0000_s1271" type="#_x0000_t202" style="position:absolute;margin-left:554pt;margin-top:777.55pt;width:7pt;height:13.05pt;z-index:-3073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" filled="f" stroked="f">
              <v:textbox inset="0,0,0,0">
                <w:txbxContent>
                  <w:p w14:paraId="633544FA" w14:textId="77777777" w:rsidR="002C6574" w:rsidRDefault="00000000">
                    <w:pPr>
                      <w:spacing w:before="7"/>
                      <w:ind w:left="20"/>
                      <w:rPr>
                        <w:rFonts w:ascii="Calibri"/>
                        <w:sz w:val="20"/>
                      </w:rPr>
                    </w:pPr>
                    <w:r>
                      <w:rPr>
                        <w:rFonts w:ascii="Calibri"/>
                        <w:spacing w:val="-10"/>
                        <w:sz w:val="20"/>
                      </w:rPr>
                      <w:t>9</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F28B0"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82144" behindDoc="1" locked="0" layoutInCell="1" allowOverlap="1" wp14:anchorId="53CD986A" wp14:editId="115CF2DA">
              <wp:simplePos x="0" y="0"/>
              <wp:positionH relativeFrom="page">
                <wp:posOffset>6944359</wp:posOffset>
              </wp:positionH>
              <wp:positionV relativeFrom="page">
                <wp:posOffset>9853729</wp:posOffset>
              </wp:positionV>
              <wp:extent cx="88900" cy="16573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65735"/>
                      </a:xfrm>
                      <a:prstGeom prst="rect">
                        <a:avLst/>
                      </a:prstGeom>
                    </wps:spPr>
                    <wps:txbx>
                      <w:txbxContent>
                        <w:p w14:paraId="68ACB50E" w14:textId="77777777" w:rsidR="002C6574" w:rsidRDefault="00000000">
                          <w:pPr>
                            <w:spacing w:before="7"/>
                            <w:ind w:left="20"/>
                            <w:rPr>
                              <w:rFonts w:ascii="Calibri"/>
                              <w:sz w:val="20"/>
                            </w:rPr>
                          </w:pPr>
                          <w:r>
                            <w:rPr>
                              <w:rFonts w:ascii="Calibri"/>
                              <w:spacing w:val="-10"/>
                              <w:sz w:val="20"/>
                            </w:rPr>
                            <w:t>7</w:t>
                          </w:r>
                        </w:p>
                      </w:txbxContent>
                    </wps:txbx>
                    <wps:bodyPr wrap="square" lIns="0" tIns="0" rIns="0" bIns="0" rtlCol="0">
                      <a:noAutofit/>
                    </wps:bodyPr>
                  </wps:wsp>
                </a:graphicData>
              </a:graphic>
            </wp:anchor>
          </w:drawing>
        </mc:Choice>
        <mc:Fallback>
          <w:pict>
            <v:shapetype w14:anchorId="53CD986A" id="_x0000_t202" coordsize="21600,21600" o:spt="202" path="m,l,21600r21600,l21600,xe">
              <v:stroke joinstyle="miter"/>
              <v:path gradientshapeok="t" o:connecttype="rect"/>
            </v:shapetype>
            <v:shape id="Textbox 129" o:spid="_x0000_s1272" type="#_x0000_t202" style="position:absolute;margin-left:546.8pt;margin-top:775.9pt;width:7pt;height:13.05pt;z-index:-307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" filled="f" stroked="f">
              <v:textbox inset="0,0,0,0">
                <w:txbxContent>
                  <w:p w14:paraId="68ACB50E" w14:textId="77777777" w:rsidR="002C6574" w:rsidRDefault="00000000">
                    <w:pPr>
                      <w:spacing w:before="7"/>
                      <w:ind w:left="20"/>
                      <w:rPr>
                        <w:rFonts w:ascii="Calibri"/>
                        <w:sz w:val="20"/>
                      </w:rPr>
                    </w:pPr>
                    <w:r>
                      <w:rPr>
                        <w:rFonts w:ascii="Calibri"/>
                        <w:spacing w:val="-10"/>
                        <w:sz w:val="20"/>
                      </w:rPr>
                      <w:t>7</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F580C" w14:textId="77777777" w:rsidR="002C6574" w:rsidRDefault="002C6574">
    <w:pPr>
      <w:pStyle w:val="Corpodetexto"/>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1FC58"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82656" behindDoc="1" locked="0" layoutInCell="1" allowOverlap="1" wp14:anchorId="35DD4E97" wp14:editId="061CD5F1">
              <wp:simplePos x="0" y="0"/>
              <wp:positionH relativeFrom="page">
                <wp:posOffset>6892544</wp:posOffset>
              </wp:positionH>
              <wp:positionV relativeFrom="page">
                <wp:posOffset>9888977</wp:posOffset>
              </wp:positionV>
              <wp:extent cx="140970" cy="15240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2400"/>
                      </a:xfrm>
                      <a:prstGeom prst="rect">
                        <a:avLst/>
                      </a:prstGeom>
                    </wps:spPr>
                    <wps:txbx>
                      <w:txbxContent>
                        <w:p w14:paraId="678E112F" w14:textId="77777777" w:rsidR="002C6574" w:rsidRDefault="00000000">
                          <w:pPr>
                            <w:spacing w:before="9"/>
                            <w:ind w:left="20"/>
                            <w:rPr>
                              <w:rFonts w:ascii="Calibri"/>
                              <w:sz w:val="18"/>
                            </w:rPr>
                          </w:pPr>
                          <w:r>
                            <w:rPr>
                              <w:rFonts w:ascii="Calibri"/>
                              <w:spacing w:val="-5"/>
                              <w:sz w:val="18"/>
                            </w:rPr>
                            <w:t>12</w:t>
                          </w:r>
                        </w:p>
                      </w:txbxContent>
                    </wps:txbx>
                    <wps:bodyPr wrap="square" lIns="0" tIns="0" rIns="0" bIns="0" rtlCol="0">
                      <a:noAutofit/>
                    </wps:bodyPr>
                  </wps:wsp>
                </a:graphicData>
              </a:graphic>
            </wp:anchor>
          </w:drawing>
        </mc:Choice>
        <mc:Fallback>
          <w:pict>
            <v:shapetype w14:anchorId="35DD4E97" id="_x0000_t202" coordsize="21600,21600" o:spt="202" path="m,l,21600r21600,l21600,xe">
              <v:stroke joinstyle="miter"/>
              <v:path gradientshapeok="t" o:connecttype="rect"/>
            </v:shapetype>
            <v:shape id="Textbox 131" o:spid="_x0000_s1273" type="#_x0000_t202" style="position:absolute;margin-left:542.7pt;margin-top:778.65pt;width:11.1pt;height:12pt;z-index:-3073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" filled="f" stroked="f">
              <v:textbox inset="0,0,0,0">
                <w:txbxContent>
                  <w:p w14:paraId="678E112F" w14:textId="77777777" w:rsidR="002C6574" w:rsidRDefault="00000000">
                    <w:pPr>
                      <w:spacing w:before="9"/>
                      <w:ind w:left="20"/>
                      <w:rPr>
                        <w:rFonts w:ascii="Calibri"/>
                        <w:sz w:val="18"/>
                      </w:rPr>
                    </w:pPr>
                    <w:r>
                      <w:rPr>
                        <w:rFonts w:ascii="Calibri"/>
                        <w:spacing w:val="-5"/>
                        <w:sz w:val="18"/>
                      </w:rPr>
                      <w:t>12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FA957"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59104" behindDoc="1" locked="0" layoutInCell="1" allowOverlap="1" wp14:anchorId="632BBC6A" wp14:editId="1FE8172F">
              <wp:simplePos x="0" y="0"/>
              <wp:positionH relativeFrom="page">
                <wp:posOffset>6686803</wp:posOffset>
              </wp:positionH>
              <wp:positionV relativeFrom="page">
                <wp:posOffset>10208763</wp:posOffset>
              </wp:positionV>
              <wp:extent cx="167640"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14:paraId="4E022FD3" w14:textId="77777777" w:rsidR="002C6574" w:rsidRDefault="00000000">
                          <w:pPr>
                            <w:pStyle w:val="Corpodetexto"/>
                            <w:spacing w:line="245" w:lineRule="exact"/>
                            <w:ind w:left="20"/>
                            <w:rPr>
                              <w:rFonts w:ascii="Calibri"/>
                            </w:rPr>
                          </w:pPr>
                          <w:r>
                            <w:rPr>
                              <w:rFonts w:ascii="Calibri"/>
                              <w:color w:val="4F80BC"/>
                              <w:spacing w:val="-5"/>
                            </w:rPr>
                            <w:t>10</w:t>
                          </w:r>
                        </w:p>
                      </w:txbxContent>
                    </wps:txbx>
                    <wps:bodyPr wrap="square" lIns="0" tIns="0" rIns="0" bIns="0" rtlCol="0">
                      <a:noAutofit/>
                    </wps:bodyPr>
                  </wps:wsp>
                </a:graphicData>
              </a:graphic>
            </wp:anchor>
          </w:drawing>
        </mc:Choice>
        <mc:Fallback>
          <w:pict>
            <v:shapetype w14:anchorId="632BBC6A" id="_x0000_t202" coordsize="21600,21600" o:spt="202" path="m,l,21600r21600,l21600,xe">
              <v:stroke joinstyle="miter"/>
              <v:path gradientshapeok="t" o:connecttype="rect"/>
            </v:shapetype>
            <v:shape id="Textbox 32" o:spid="_x0000_s1258" type="#_x0000_t202" style="position:absolute;margin-left:526.5pt;margin-top:803.85pt;width:13.2pt;height:13.05pt;z-index:-3075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" filled="f" stroked="f">
              <v:textbox inset="0,0,0,0">
                <w:txbxContent>
                  <w:p w14:paraId="4E022FD3" w14:textId="77777777" w:rsidR="002C6574" w:rsidRDefault="00000000">
                    <w:pPr>
                      <w:pStyle w:val="Corpodetexto"/>
                      <w:spacing w:line="245" w:lineRule="exact"/>
                      <w:ind w:left="20"/>
                      <w:rPr>
                        <w:rFonts w:ascii="Calibri"/>
                      </w:rPr>
                    </w:pPr>
                    <w:r>
                      <w:rPr>
                        <w:rFonts w:ascii="Calibri"/>
                        <w:color w:val="4F80BC"/>
                        <w:spacing w:val="-5"/>
                      </w:rPr>
                      <w:t>10</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78533"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83168" behindDoc="1" locked="0" layoutInCell="1" allowOverlap="1" wp14:anchorId="1B484549" wp14:editId="3E96C6FA">
              <wp:simplePos x="0" y="0"/>
              <wp:positionH relativeFrom="page">
                <wp:posOffset>6892544</wp:posOffset>
              </wp:positionH>
              <wp:positionV relativeFrom="page">
                <wp:posOffset>9742673</wp:posOffset>
              </wp:positionV>
              <wp:extent cx="140970" cy="15240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2400"/>
                      </a:xfrm>
                      <a:prstGeom prst="rect">
                        <a:avLst/>
                      </a:prstGeom>
                    </wps:spPr>
                    <wps:txbx>
                      <w:txbxContent>
                        <w:p w14:paraId="49E07B90" w14:textId="77777777" w:rsidR="002C6574" w:rsidRDefault="00000000">
                          <w:pPr>
                            <w:spacing w:before="9"/>
                            <w:ind w:left="20"/>
                            <w:rPr>
                              <w:rFonts w:ascii="Calibri"/>
                              <w:sz w:val="18"/>
                            </w:rPr>
                          </w:pPr>
                          <w:r>
                            <w:rPr>
                              <w:rFonts w:ascii="Calibri"/>
                              <w:spacing w:val="-5"/>
                              <w:sz w:val="18"/>
                            </w:rPr>
                            <w:t>10</w:t>
                          </w:r>
                        </w:p>
                      </w:txbxContent>
                    </wps:txbx>
                    <wps:bodyPr wrap="square" lIns="0" tIns="0" rIns="0" bIns="0" rtlCol="0">
                      <a:noAutofit/>
                    </wps:bodyPr>
                  </wps:wsp>
                </a:graphicData>
              </a:graphic>
            </wp:anchor>
          </w:drawing>
        </mc:Choice>
        <mc:Fallback>
          <w:pict>
            <v:shapetype w14:anchorId="1B484549" id="_x0000_t202" coordsize="21600,21600" o:spt="202" path="m,l,21600r21600,l21600,xe">
              <v:stroke joinstyle="miter"/>
              <v:path gradientshapeok="t" o:connecttype="rect"/>
            </v:shapetype>
            <v:shape id="Textbox 132" o:spid="_x0000_s1274" type="#_x0000_t202" style="position:absolute;margin-left:542.7pt;margin-top:767.15pt;width:11.1pt;height:12pt;z-index:-307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" filled="f" stroked="f">
              <v:textbox inset="0,0,0,0">
                <w:txbxContent>
                  <w:p w14:paraId="49E07B90" w14:textId="77777777" w:rsidR="002C6574" w:rsidRDefault="00000000">
                    <w:pPr>
                      <w:spacing w:before="9"/>
                      <w:ind w:left="20"/>
                      <w:rPr>
                        <w:rFonts w:ascii="Calibri"/>
                        <w:sz w:val="18"/>
                      </w:rPr>
                    </w:pPr>
                    <w:r>
                      <w:rPr>
                        <w:rFonts w:ascii="Calibri"/>
                        <w:spacing w:val="-5"/>
                        <w:sz w:val="18"/>
                      </w:rPr>
                      <w:t>10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E5587"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84192" behindDoc="1" locked="0" layoutInCell="1" allowOverlap="1" wp14:anchorId="063E2D40" wp14:editId="1A5A9471">
              <wp:simplePos x="0" y="0"/>
              <wp:positionH relativeFrom="page">
                <wp:posOffset>6894067</wp:posOffset>
              </wp:positionH>
              <wp:positionV relativeFrom="page">
                <wp:posOffset>9815826</wp:posOffset>
              </wp:positionV>
              <wp:extent cx="140970" cy="15240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2400"/>
                      </a:xfrm>
                      <a:prstGeom prst="rect">
                        <a:avLst/>
                      </a:prstGeom>
                    </wps:spPr>
                    <wps:txbx>
                      <w:txbxContent>
                        <w:p w14:paraId="77E5666A" w14:textId="77777777" w:rsidR="002C6574" w:rsidRDefault="00000000">
                          <w:pPr>
                            <w:spacing w:before="9"/>
                            <w:ind w:left="20"/>
                            <w:rPr>
                              <w:rFonts w:ascii="Calibri"/>
                              <w:sz w:val="18"/>
                            </w:rPr>
                          </w:pPr>
                          <w:r>
                            <w:rPr>
                              <w:rFonts w:ascii="Calibri"/>
                              <w:spacing w:val="-5"/>
                              <w:sz w:val="18"/>
                            </w:rPr>
                            <w:t>14</w:t>
                          </w:r>
                        </w:p>
                      </w:txbxContent>
                    </wps:txbx>
                    <wps:bodyPr wrap="square" lIns="0" tIns="0" rIns="0" bIns="0" rtlCol="0">
                      <a:noAutofit/>
                    </wps:bodyPr>
                  </wps:wsp>
                </a:graphicData>
              </a:graphic>
            </wp:anchor>
          </w:drawing>
        </mc:Choice>
        <mc:Fallback>
          <w:pict>
            <v:shapetype w14:anchorId="063E2D40" id="_x0000_t202" coordsize="21600,21600" o:spt="202" path="m,l,21600r21600,l21600,xe">
              <v:stroke joinstyle="miter"/>
              <v:path gradientshapeok="t" o:connecttype="rect"/>
            </v:shapetype>
            <v:shape id="Textbox 134" o:spid="_x0000_s1276" type="#_x0000_t202" style="position:absolute;margin-left:542.85pt;margin-top:772.9pt;width:11.1pt;height:12pt;z-index:-307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" filled="f" stroked="f">
              <v:textbox inset="0,0,0,0">
                <w:txbxContent>
                  <w:p w14:paraId="77E5666A" w14:textId="77777777" w:rsidR="002C6574" w:rsidRDefault="00000000">
                    <w:pPr>
                      <w:spacing w:before="9"/>
                      <w:ind w:left="20"/>
                      <w:rPr>
                        <w:rFonts w:ascii="Calibri"/>
                        <w:sz w:val="18"/>
                      </w:rPr>
                    </w:pPr>
                    <w:r>
                      <w:rPr>
                        <w:rFonts w:ascii="Calibri"/>
                        <w:spacing w:val="-5"/>
                        <w:sz w:val="18"/>
                      </w:rPr>
                      <w:t>14</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B497E" w14:textId="77777777" w:rsidR="002C6574" w:rsidRDefault="00000000">
    <w:pPr>
      <w:pStyle w:val="Corpodetexto"/>
      <w:spacing w:line="14" w:lineRule="auto"/>
      <w:rPr>
        <w:sz w:val="13"/>
      </w:rPr>
    </w:pPr>
    <w:r>
      <w:rPr>
        <w:noProof/>
        <w:sz w:val="13"/>
      </w:rPr>
      <mc:AlternateContent>
        <mc:Choice Requires="wps">
          <w:drawing>
            <wp:anchor distT="0" distB="0" distL="0" distR="0" simplePos="0" relativeHeight="472585216" behindDoc="1" locked="0" layoutInCell="1" allowOverlap="1" wp14:anchorId="3359D4DF" wp14:editId="18483047">
              <wp:simplePos x="0" y="0"/>
              <wp:positionH relativeFrom="page">
                <wp:posOffset>6894067</wp:posOffset>
              </wp:positionH>
              <wp:positionV relativeFrom="page">
                <wp:posOffset>9687613</wp:posOffset>
              </wp:positionV>
              <wp:extent cx="179070" cy="17208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72085"/>
                      </a:xfrm>
                      <a:prstGeom prst="rect">
                        <a:avLst/>
                      </a:prstGeom>
                    </wps:spPr>
                    <wps:txbx>
                      <w:txbxContent>
                        <w:p w14:paraId="085A210A" w14:textId="77777777" w:rsidR="002C6574" w:rsidRDefault="00000000">
                          <w:pPr>
                            <w:spacing w:before="40"/>
                            <w:ind w:left="20"/>
                            <w:rPr>
                              <w:rFonts w:ascii="Calibri"/>
                              <w:sz w:val="18"/>
                            </w:rPr>
                          </w:pPr>
                          <w:r>
                            <w:rPr>
                              <w:rFonts w:ascii="Calibri"/>
                              <w:spacing w:val="-5"/>
                              <w:sz w:val="18"/>
                            </w:rPr>
                            <w:t>1</w:t>
                          </w: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9</w:t>
                          </w:r>
                          <w:r>
                            <w:rPr>
                              <w:rFonts w:ascii="Calibri"/>
                              <w:spacing w:val="-5"/>
                              <w:sz w:val="18"/>
                            </w:rPr>
                            <w:fldChar w:fldCharType="end"/>
                          </w:r>
                        </w:p>
                      </w:txbxContent>
                    </wps:txbx>
                    <wps:bodyPr wrap="square" lIns="0" tIns="0" rIns="0" bIns="0" rtlCol="0">
                      <a:noAutofit/>
                    </wps:bodyPr>
                  </wps:wsp>
                </a:graphicData>
              </a:graphic>
            </wp:anchor>
          </w:drawing>
        </mc:Choice>
        <mc:Fallback>
          <w:pict>
            <v:shapetype w14:anchorId="3359D4DF" id="_x0000_t202" coordsize="21600,21600" o:spt="202" path="m,l,21600r21600,l21600,xe">
              <v:stroke joinstyle="miter"/>
              <v:path gradientshapeok="t" o:connecttype="rect"/>
            </v:shapetype>
            <v:shape id="Textbox 138" o:spid="_x0000_s1278" type="#_x0000_t202" style="position:absolute;margin-left:542.85pt;margin-top:762.8pt;width:14.1pt;height:13.55pt;z-index:-307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" filled="f" stroked="f">
              <v:textbox inset="0,0,0,0">
                <w:txbxContent>
                  <w:p w14:paraId="085A210A" w14:textId="77777777" w:rsidR="002C6574" w:rsidRDefault="00000000">
                    <w:pPr>
                      <w:spacing w:before="40"/>
                      <w:ind w:left="20"/>
                      <w:rPr>
                        <w:rFonts w:ascii="Calibri"/>
                        <w:sz w:val="18"/>
                      </w:rPr>
                    </w:pPr>
                    <w:r>
                      <w:rPr>
                        <w:rFonts w:ascii="Calibri"/>
                        <w:spacing w:val="-5"/>
                        <w:sz w:val="18"/>
                      </w:rPr>
                      <w:t>1</w:t>
                    </w: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9</w:t>
                    </w:r>
                    <w:r>
                      <w:rPr>
                        <w:rFonts w:ascii="Calibri"/>
                        <w:spacing w:val="-5"/>
                        <w:sz w:val="18"/>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F33A6"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86240" behindDoc="1" locked="0" layoutInCell="1" allowOverlap="1" wp14:anchorId="5268355A" wp14:editId="02D38DA6">
              <wp:simplePos x="0" y="0"/>
              <wp:positionH relativeFrom="page">
                <wp:posOffset>6894067</wp:posOffset>
              </wp:positionH>
              <wp:positionV relativeFrom="page">
                <wp:posOffset>9707621</wp:posOffset>
              </wp:positionV>
              <wp:extent cx="140970" cy="15240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52400"/>
                      </a:xfrm>
                      <a:prstGeom prst="rect">
                        <a:avLst/>
                      </a:prstGeom>
                    </wps:spPr>
                    <wps:txbx>
                      <w:txbxContent>
                        <w:p w14:paraId="76AFC064" w14:textId="77777777" w:rsidR="002C6574" w:rsidRDefault="00000000">
                          <w:pPr>
                            <w:spacing w:before="9"/>
                            <w:ind w:left="20"/>
                            <w:rPr>
                              <w:rFonts w:ascii="Calibri"/>
                              <w:sz w:val="18"/>
                            </w:rPr>
                          </w:pPr>
                          <w:r>
                            <w:rPr>
                              <w:rFonts w:ascii="Calibri"/>
                              <w:spacing w:val="-5"/>
                              <w:sz w:val="18"/>
                            </w:rPr>
                            <w:t>20</w:t>
                          </w:r>
                        </w:p>
                      </w:txbxContent>
                    </wps:txbx>
                    <wps:bodyPr wrap="square" lIns="0" tIns="0" rIns="0" bIns="0" rtlCol="0">
                      <a:noAutofit/>
                    </wps:bodyPr>
                  </wps:wsp>
                </a:graphicData>
              </a:graphic>
            </wp:anchor>
          </w:drawing>
        </mc:Choice>
        <mc:Fallback>
          <w:pict>
            <v:shapetype w14:anchorId="5268355A" id="_x0000_t202" coordsize="21600,21600" o:spt="202" path="m,l,21600r21600,l21600,xe">
              <v:stroke joinstyle="miter"/>
              <v:path gradientshapeok="t" o:connecttype="rect"/>
            </v:shapetype>
            <v:shape id="Textbox 140" o:spid="_x0000_s1280" type="#_x0000_t202" style="position:absolute;margin-left:542.85pt;margin-top:764.4pt;width:11.1pt;height:12pt;z-index:-307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" filled="f" stroked="f">
              <v:textbox inset="0,0,0,0">
                <w:txbxContent>
                  <w:p w14:paraId="76AFC064" w14:textId="77777777" w:rsidR="002C6574" w:rsidRDefault="00000000">
                    <w:pPr>
                      <w:spacing w:before="9"/>
                      <w:ind w:left="20"/>
                      <w:rPr>
                        <w:rFonts w:ascii="Calibri"/>
                        <w:sz w:val="18"/>
                      </w:rPr>
                    </w:pPr>
                    <w:r>
                      <w:rPr>
                        <w:rFonts w:ascii="Calibri"/>
                        <w:spacing w:val="-5"/>
                        <w:sz w:val="18"/>
                      </w:rPr>
                      <w:t>20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3221E" w14:textId="77777777" w:rsidR="002C6574" w:rsidRDefault="00000000">
    <w:pPr>
      <w:pStyle w:val="Corpodetexto"/>
      <w:spacing w:line="14" w:lineRule="auto"/>
      <w:rPr>
        <w:sz w:val="16"/>
      </w:rPr>
    </w:pPr>
    <w:r>
      <w:rPr>
        <w:noProof/>
        <w:sz w:val="16"/>
      </w:rPr>
      <mc:AlternateContent>
        <mc:Choice Requires="wps">
          <w:drawing>
            <wp:anchor distT="0" distB="0" distL="0" distR="0" simplePos="0" relativeHeight="472587264" behindDoc="1" locked="0" layoutInCell="1" allowOverlap="1" wp14:anchorId="5143F581" wp14:editId="372E3429">
              <wp:simplePos x="0" y="0"/>
              <wp:positionH relativeFrom="page">
                <wp:posOffset>6894067</wp:posOffset>
              </wp:positionH>
              <wp:positionV relativeFrom="page">
                <wp:posOffset>9707621</wp:posOffset>
              </wp:positionV>
              <wp:extent cx="179070" cy="15240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52400"/>
                      </a:xfrm>
                      <a:prstGeom prst="rect">
                        <a:avLst/>
                      </a:prstGeom>
                    </wps:spPr>
                    <wps:txbx>
                      <w:txbxContent>
                        <w:p w14:paraId="0EF044D1" w14:textId="77777777" w:rsidR="002C6574" w:rsidRDefault="00000000">
                          <w:pPr>
                            <w:spacing w:before="9"/>
                            <w:ind w:left="20"/>
                            <w:rPr>
                              <w:rFonts w:ascii="Calibri"/>
                              <w:sz w:val="18"/>
                            </w:rPr>
                          </w:pPr>
                          <w:r>
                            <w:rPr>
                              <w:rFonts w:ascii="Calibri"/>
                              <w:spacing w:val="-5"/>
                              <w:sz w:val="18"/>
                            </w:rPr>
                            <w:t>2</w:t>
                          </w: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7</w:t>
                          </w:r>
                          <w:r>
                            <w:rPr>
                              <w:rFonts w:ascii="Calibri"/>
                              <w:spacing w:val="-5"/>
                              <w:sz w:val="18"/>
                            </w:rPr>
                            <w:fldChar w:fldCharType="end"/>
                          </w:r>
                        </w:p>
                      </w:txbxContent>
                    </wps:txbx>
                    <wps:bodyPr wrap="square" lIns="0" tIns="0" rIns="0" bIns="0" rtlCol="0">
                      <a:noAutofit/>
                    </wps:bodyPr>
                  </wps:wsp>
                </a:graphicData>
              </a:graphic>
            </wp:anchor>
          </w:drawing>
        </mc:Choice>
        <mc:Fallback>
          <w:pict>
            <v:shapetype w14:anchorId="5143F581" id="_x0000_t202" coordsize="21600,21600" o:spt="202" path="m,l,21600r21600,l21600,xe">
              <v:stroke joinstyle="miter"/>
              <v:path gradientshapeok="t" o:connecttype="rect"/>
            </v:shapetype>
            <v:shape id="Textbox 142" o:spid="_x0000_s1282" type="#_x0000_t202" style="position:absolute;margin-left:542.85pt;margin-top:764.4pt;width:14.1pt;height:12pt;z-index:-307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" filled="f" stroked="f">
              <v:textbox inset="0,0,0,0">
                <w:txbxContent>
                  <w:p w14:paraId="0EF044D1" w14:textId="77777777" w:rsidR="002C6574" w:rsidRDefault="00000000">
                    <w:pPr>
                      <w:spacing w:before="9"/>
                      <w:ind w:left="20"/>
                      <w:rPr>
                        <w:rFonts w:ascii="Calibri"/>
                        <w:sz w:val="18"/>
                      </w:rPr>
                    </w:pPr>
                    <w:r>
                      <w:rPr>
                        <w:rFonts w:ascii="Calibri"/>
                        <w:spacing w:val="-5"/>
                        <w:sz w:val="18"/>
                      </w:rPr>
                      <w:t>2</w:t>
                    </w: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7</w:t>
                    </w:r>
                    <w:r>
                      <w:rPr>
                        <w:rFonts w:ascii="Calibri"/>
                        <w:spacing w:val="-5"/>
                        <w:sz w:val="18"/>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FE274"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88288" behindDoc="1" locked="0" layoutInCell="1" allowOverlap="1" wp14:anchorId="7C14A320" wp14:editId="3EC2FA49">
              <wp:simplePos x="0" y="0"/>
              <wp:positionH relativeFrom="page">
                <wp:posOffset>6881876</wp:posOffset>
              </wp:positionH>
              <wp:positionV relativeFrom="page">
                <wp:posOffset>9695233</wp:posOffset>
              </wp:positionV>
              <wp:extent cx="153670" cy="16573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614DF20A" w14:textId="77777777" w:rsidR="002C6574" w:rsidRDefault="00000000">
                          <w:pPr>
                            <w:spacing w:before="7"/>
                            <w:ind w:left="20"/>
                            <w:rPr>
                              <w:rFonts w:ascii="Calibri"/>
                              <w:sz w:val="20"/>
                            </w:rPr>
                          </w:pPr>
                          <w:r>
                            <w:rPr>
                              <w:rFonts w:ascii="Calibri"/>
                              <w:spacing w:val="-5"/>
                              <w:sz w:val="20"/>
                            </w:rPr>
                            <w:t>30</w:t>
                          </w:r>
                        </w:p>
                      </w:txbxContent>
                    </wps:txbx>
                    <wps:bodyPr wrap="square" lIns="0" tIns="0" rIns="0" bIns="0" rtlCol="0">
                      <a:noAutofit/>
                    </wps:bodyPr>
                  </wps:wsp>
                </a:graphicData>
              </a:graphic>
            </wp:anchor>
          </w:drawing>
        </mc:Choice>
        <mc:Fallback>
          <w:pict>
            <v:shapetype w14:anchorId="7C14A320" id="_x0000_t202" coordsize="21600,21600" o:spt="202" path="m,l,21600r21600,l21600,xe">
              <v:stroke joinstyle="miter"/>
              <v:path gradientshapeok="t" o:connecttype="rect"/>
            </v:shapetype>
            <v:shape id="Textbox 144" o:spid="_x0000_s1284" type="#_x0000_t202" style="position:absolute;margin-left:541.9pt;margin-top:763.4pt;width:12.1pt;height:13.05pt;z-index:-307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" filled="f" stroked="f">
              <v:textbox inset="0,0,0,0">
                <w:txbxContent>
                  <w:p w14:paraId="614DF20A" w14:textId="77777777" w:rsidR="002C6574" w:rsidRDefault="00000000">
                    <w:pPr>
                      <w:spacing w:before="7"/>
                      <w:ind w:left="20"/>
                      <w:rPr>
                        <w:rFonts w:ascii="Calibri"/>
                        <w:sz w:val="20"/>
                      </w:rPr>
                    </w:pPr>
                    <w:r>
                      <w:rPr>
                        <w:rFonts w:ascii="Calibri"/>
                        <w:spacing w:val="-5"/>
                        <w:sz w:val="20"/>
                      </w:rPr>
                      <w:t>30</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F9359"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89312" behindDoc="1" locked="0" layoutInCell="1" allowOverlap="1" wp14:anchorId="25389C85" wp14:editId="07D951EB">
              <wp:simplePos x="0" y="0"/>
              <wp:positionH relativeFrom="page">
                <wp:posOffset>6881876</wp:posOffset>
              </wp:positionH>
              <wp:positionV relativeFrom="page">
                <wp:posOffset>9695233</wp:posOffset>
              </wp:positionV>
              <wp:extent cx="191770" cy="16573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6466929D" w14:textId="77777777" w:rsidR="002C6574" w:rsidRDefault="00000000">
                          <w:pPr>
                            <w:spacing w:before="7"/>
                            <w:ind w:left="20"/>
                            <w:rPr>
                              <w:rFonts w:ascii="Calibri"/>
                              <w:sz w:val="20"/>
                            </w:rPr>
                          </w:pPr>
                          <w:r>
                            <w:rPr>
                              <w:rFonts w:ascii="Calibri"/>
                              <w:spacing w:val="-5"/>
                              <w:sz w:val="20"/>
                            </w:rPr>
                            <w:t>3</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25389C85" id="_x0000_t202" coordsize="21600,21600" o:spt="202" path="m,l,21600r21600,l21600,xe">
              <v:stroke joinstyle="miter"/>
              <v:path gradientshapeok="t" o:connecttype="rect"/>
            </v:shapetype>
            <v:shape id="Textbox 146" o:spid="_x0000_s1286" type="#_x0000_t202" style="position:absolute;margin-left:541.9pt;margin-top:763.4pt;width:15.1pt;height:13.05pt;z-index:-3072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" filled="f" stroked="f">
              <v:textbox inset="0,0,0,0">
                <w:txbxContent>
                  <w:p w14:paraId="6466929D" w14:textId="77777777" w:rsidR="002C6574" w:rsidRDefault="00000000">
                    <w:pPr>
                      <w:spacing w:before="7"/>
                      <w:ind w:left="20"/>
                      <w:rPr>
                        <w:rFonts w:ascii="Calibri"/>
                        <w:sz w:val="20"/>
                      </w:rPr>
                    </w:pPr>
                    <w:r>
                      <w:rPr>
                        <w:rFonts w:ascii="Calibri"/>
                        <w:spacing w:val="-5"/>
                        <w:sz w:val="20"/>
                      </w:rPr>
                      <w:t>3</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w:t>
                    </w:r>
                    <w:r>
                      <w:rPr>
                        <w:rFonts w:ascii="Calibri"/>
                        <w:spacing w:val="-5"/>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D519"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90336" behindDoc="1" locked="0" layoutInCell="1" allowOverlap="1" wp14:anchorId="19E893B8" wp14:editId="0A77C3BA">
              <wp:simplePos x="0" y="0"/>
              <wp:positionH relativeFrom="page">
                <wp:posOffset>6881876</wp:posOffset>
              </wp:positionH>
              <wp:positionV relativeFrom="page">
                <wp:posOffset>9801913</wp:posOffset>
              </wp:positionV>
              <wp:extent cx="191770" cy="16573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43008DCA" w14:textId="77777777" w:rsidR="002C6574" w:rsidRDefault="00000000">
                          <w:pPr>
                            <w:spacing w:before="7"/>
                            <w:ind w:left="20"/>
                            <w:rPr>
                              <w:rFonts w:ascii="Calibri"/>
                              <w:sz w:val="20"/>
                            </w:rPr>
                          </w:pPr>
                          <w:r>
                            <w:rPr>
                              <w:rFonts w:ascii="Calibri"/>
                              <w:spacing w:val="-5"/>
                              <w:sz w:val="20"/>
                            </w:rPr>
                            <w:t>3</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5</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19E893B8" id="_x0000_t202" coordsize="21600,21600" o:spt="202" path="m,l,21600r21600,l21600,xe">
              <v:stroke joinstyle="miter"/>
              <v:path gradientshapeok="t" o:connecttype="rect"/>
            </v:shapetype>
            <v:shape id="Textbox 148" o:spid="_x0000_s1288" type="#_x0000_t202" style="position:absolute;margin-left:541.9pt;margin-top:771.8pt;width:15.1pt;height:13.05pt;z-index:-307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" filled="f" stroked="f">
              <v:textbox inset="0,0,0,0">
                <w:txbxContent>
                  <w:p w14:paraId="43008DCA" w14:textId="77777777" w:rsidR="002C6574" w:rsidRDefault="00000000">
                    <w:pPr>
                      <w:spacing w:before="7"/>
                      <w:ind w:left="20"/>
                      <w:rPr>
                        <w:rFonts w:ascii="Calibri"/>
                        <w:sz w:val="20"/>
                      </w:rPr>
                    </w:pPr>
                    <w:r>
                      <w:rPr>
                        <w:rFonts w:ascii="Calibri"/>
                        <w:spacing w:val="-5"/>
                        <w:sz w:val="20"/>
                      </w:rPr>
                      <w:t>3</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5</w:t>
                    </w:r>
                    <w:r>
                      <w:rPr>
                        <w:rFonts w:ascii="Calibri"/>
                        <w:spacing w:val="-5"/>
                        <w:sz w:val="2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AA1C5"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91360" behindDoc="1" locked="0" layoutInCell="1" allowOverlap="1" wp14:anchorId="16A35AD5" wp14:editId="13E057FA">
              <wp:simplePos x="0" y="0"/>
              <wp:positionH relativeFrom="page">
                <wp:posOffset>6881876</wp:posOffset>
              </wp:positionH>
              <wp:positionV relativeFrom="page">
                <wp:posOffset>9801913</wp:posOffset>
              </wp:positionV>
              <wp:extent cx="153670" cy="16573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394E95BA" w14:textId="77777777" w:rsidR="002C6574" w:rsidRDefault="00000000">
                          <w:pPr>
                            <w:spacing w:before="7"/>
                            <w:ind w:left="20"/>
                            <w:rPr>
                              <w:rFonts w:ascii="Calibri"/>
                              <w:sz w:val="20"/>
                            </w:rPr>
                          </w:pPr>
                          <w:r>
                            <w:rPr>
                              <w:rFonts w:ascii="Calibri"/>
                              <w:spacing w:val="-5"/>
                              <w:sz w:val="20"/>
                            </w:rPr>
                            <w:t>40</w:t>
                          </w:r>
                        </w:p>
                      </w:txbxContent>
                    </wps:txbx>
                    <wps:bodyPr wrap="square" lIns="0" tIns="0" rIns="0" bIns="0" rtlCol="0">
                      <a:noAutofit/>
                    </wps:bodyPr>
                  </wps:wsp>
                </a:graphicData>
              </a:graphic>
            </wp:anchor>
          </w:drawing>
        </mc:Choice>
        <mc:Fallback>
          <w:pict>
            <v:shapetype w14:anchorId="16A35AD5" id="_x0000_t202" coordsize="21600,21600" o:spt="202" path="m,l,21600r21600,l21600,xe">
              <v:stroke joinstyle="miter"/>
              <v:path gradientshapeok="t" o:connecttype="rect"/>
            </v:shapetype>
            <v:shape id="Textbox 150" o:spid="_x0000_s1290" type="#_x0000_t202" style="position:absolute;margin-left:541.9pt;margin-top:771.8pt;width:12.1pt;height:13.05pt;z-index:-307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" filled="f" stroked="f">
              <v:textbox inset="0,0,0,0">
                <w:txbxContent>
                  <w:p w14:paraId="394E95BA" w14:textId="77777777" w:rsidR="002C6574" w:rsidRDefault="00000000">
                    <w:pPr>
                      <w:spacing w:before="7"/>
                      <w:ind w:left="20"/>
                      <w:rPr>
                        <w:rFonts w:ascii="Calibri"/>
                        <w:sz w:val="20"/>
                      </w:rPr>
                    </w:pPr>
                    <w:r>
                      <w:rPr>
                        <w:rFonts w:ascii="Calibri"/>
                        <w:spacing w:val="-5"/>
                        <w:sz w:val="20"/>
                      </w:rPr>
                      <w:t>40</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FD26C" w14:textId="77777777" w:rsidR="002C6574" w:rsidRDefault="00000000">
    <w:pPr>
      <w:pStyle w:val="Corpodetexto"/>
      <w:spacing w:line="14" w:lineRule="auto"/>
      <w:rPr>
        <w:sz w:val="16"/>
      </w:rPr>
    </w:pPr>
    <w:r>
      <w:rPr>
        <w:noProof/>
        <w:sz w:val="16"/>
      </w:rPr>
      <mc:AlternateContent>
        <mc:Choice Requires="wps">
          <w:drawing>
            <wp:anchor distT="0" distB="0" distL="0" distR="0" simplePos="0" relativeHeight="472592384" behindDoc="1" locked="0" layoutInCell="1" allowOverlap="1" wp14:anchorId="1A8CAB25" wp14:editId="218E5A8C">
              <wp:simplePos x="0" y="0"/>
              <wp:positionH relativeFrom="page">
                <wp:posOffset>6881876</wp:posOffset>
              </wp:positionH>
              <wp:positionV relativeFrom="page">
                <wp:posOffset>9801913</wp:posOffset>
              </wp:positionV>
              <wp:extent cx="191770" cy="16573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229CED5F" w14:textId="77777777" w:rsidR="002C6574" w:rsidRDefault="00000000">
                          <w:pPr>
                            <w:spacing w:before="7"/>
                            <w:ind w:left="20"/>
                            <w:rPr>
                              <w:rFonts w:ascii="Calibri"/>
                              <w:sz w:val="20"/>
                            </w:rPr>
                          </w:pPr>
                          <w:r>
                            <w:rPr>
                              <w:rFonts w:ascii="Calibri"/>
                              <w:spacing w:val="-5"/>
                              <w:sz w:val="20"/>
                            </w:rPr>
                            <w:t>4</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4</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1A8CAB25" id="_x0000_t202" coordsize="21600,21600" o:spt="202" path="m,l,21600r21600,l21600,xe">
              <v:stroke joinstyle="miter"/>
              <v:path gradientshapeok="t" o:connecttype="rect"/>
            </v:shapetype>
            <v:shape id="Textbox 152" o:spid="_x0000_s1292" type="#_x0000_t202" style="position:absolute;margin-left:541.9pt;margin-top:771.8pt;width:15.1pt;height:13.05pt;z-index:-307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" filled="f" stroked="f">
              <v:textbox inset="0,0,0,0">
                <w:txbxContent>
                  <w:p w14:paraId="229CED5F" w14:textId="77777777" w:rsidR="002C6574" w:rsidRDefault="00000000">
                    <w:pPr>
                      <w:spacing w:before="7"/>
                      <w:ind w:left="20"/>
                      <w:rPr>
                        <w:rFonts w:ascii="Calibri"/>
                        <w:sz w:val="20"/>
                      </w:rPr>
                    </w:pPr>
                    <w:r>
                      <w:rPr>
                        <w:rFonts w:ascii="Calibri"/>
                        <w:spacing w:val="-5"/>
                        <w:sz w:val="20"/>
                      </w:rPr>
                      <w:t>4</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4</w:t>
                    </w:r>
                    <w:r>
                      <w:rPr>
                        <w:rFonts w:ascii="Calibri"/>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771C5"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61152" behindDoc="1" locked="0" layoutInCell="1" allowOverlap="1" wp14:anchorId="14C4B2E4" wp14:editId="590F871B">
              <wp:simplePos x="0" y="0"/>
              <wp:positionH relativeFrom="page">
                <wp:posOffset>6686803</wp:posOffset>
              </wp:positionH>
              <wp:positionV relativeFrom="page">
                <wp:posOffset>10208763</wp:posOffset>
              </wp:positionV>
              <wp:extent cx="205740"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14:paraId="011CA271" w14:textId="77777777" w:rsidR="002C6574" w:rsidRDefault="00000000">
                          <w:pPr>
                            <w:pStyle w:val="Corpodetexto"/>
                            <w:spacing w:line="245" w:lineRule="exact"/>
                            <w:ind w:left="20"/>
                            <w:rPr>
                              <w:rFonts w:ascii="Calibri"/>
                            </w:rPr>
                          </w:pPr>
                          <w:r>
                            <w:rPr>
                              <w:rFonts w:ascii="Calibri"/>
                              <w:color w:val="4F80BC"/>
                              <w:spacing w:val="-5"/>
                            </w:rPr>
                            <w:t>1</w:t>
                          </w:r>
                          <w:r>
                            <w:rPr>
                              <w:rFonts w:ascii="Calibri"/>
                              <w:color w:val="4F80BC"/>
                              <w:spacing w:val="-5"/>
                            </w:rPr>
                            <w:fldChar w:fldCharType="begin"/>
                          </w:r>
                          <w:r>
                            <w:rPr>
                              <w:rFonts w:ascii="Calibri"/>
                              <w:color w:val="4F80BC"/>
                              <w:spacing w:val="-5"/>
                            </w:rPr>
                            <w:instrText xml:space="preserve"> PAGE </w:instrText>
                          </w:r>
                          <w:r>
                            <w:rPr>
                              <w:rFonts w:ascii="Calibri"/>
                              <w:color w:val="4F80BC"/>
                              <w:spacing w:val="-5"/>
                            </w:rPr>
                            <w:fldChar w:fldCharType="separate"/>
                          </w:r>
                          <w:r>
                            <w:rPr>
                              <w:rFonts w:ascii="Calibri"/>
                              <w:color w:val="4F80BC"/>
                              <w:spacing w:val="-5"/>
                            </w:rPr>
                            <w:t>1</w:t>
                          </w:r>
                          <w:r>
                            <w:rPr>
                              <w:rFonts w:ascii="Calibri"/>
                              <w:color w:val="4F80BC"/>
                              <w:spacing w:val="-5"/>
                            </w:rPr>
                            <w:fldChar w:fldCharType="end"/>
                          </w:r>
                        </w:p>
                      </w:txbxContent>
                    </wps:txbx>
                    <wps:bodyPr wrap="square" lIns="0" tIns="0" rIns="0" bIns="0" rtlCol="0">
                      <a:noAutofit/>
                    </wps:bodyPr>
                  </wps:wsp>
                </a:graphicData>
              </a:graphic>
            </wp:anchor>
          </w:drawing>
        </mc:Choice>
        <mc:Fallback>
          <w:pict>
            <v:shapetype w14:anchorId="14C4B2E4" id="_x0000_t202" coordsize="21600,21600" o:spt="202" path="m,l,21600r21600,l21600,xe">
              <v:stroke joinstyle="miter"/>
              <v:path gradientshapeok="t" o:connecttype="rect"/>
            </v:shapetype>
            <v:shape id="Textbox 36" o:spid="_x0000_s1259" type="#_x0000_t202" style="position:absolute;margin-left:526.5pt;margin-top:803.85pt;width:16.2pt;height:13.05pt;z-index:-3075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" filled="f" stroked="f">
              <v:textbox inset="0,0,0,0">
                <w:txbxContent>
                  <w:p w14:paraId="011CA271" w14:textId="77777777" w:rsidR="002C6574" w:rsidRDefault="00000000">
                    <w:pPr>
                      <w:pStyle w:val="Corpodetexto"/>
                      <w:spacing w:line="245" w:lineRule="exact"/>
                      <w:ind w:left="20"/>
                      <w:rPr>
                        <w:rFonts w:ascii="Calibri"/>
                      </w:rPr>
                    </w:pPr>
                    <w:r>
                      <w:rPr>
                        <w:rFonts w:ascii="Calibri"/>
                        <w:color w:val="4F80BC"/>
                        <w:spacing w:val="-5"/>
                      </w:rPr>
                      <w:t>1</w:t>
                    </w:r>
                    <w:r>
                      <w:rPr>
                        <w:rFonts w:ascii="Calibri"/>
                        <w:color w:val="4F80BC"/>
                        <w:spacing w:val="-5"/>
                      </w:rPr>
                      <w:fldChar w:fldCharType="begin"/>
                    </w:r>
                    <w:r>
                      <w:rPr>
                        <w:rFonts w:ascii="Calibri"/>
                        <w:color w:val="4F80BC"/>
                        <w:spacing w:val="-5"/>
                      </w:rPr>
                      <w:instrText xml:space="preserve"> PAGE </w:instrText>
                    </w:r>
                    <w:r>
                      <w:rPr>
                        <w:rFonts w:ascii="Calibri"/>
                        <w:color w:val="4F80BC"/>
                        <w:spacing w:val="-5"/>
                      </w:rPr>
                      <w:fldChar w:fldCharType="separate"/>
                    </w:r>
                    <w:r>
                      <w:rPr>
                        <w:rFonts w:ascii="Calibri"/>
                        <w:color w:val="4F80BC"/>
                        <w:spacing w:val="-5"/>
                      </w:rPr>
                      <w:t>1</w:t>
                    </w:r>
                    <w:r>
                      <w:rPr>
                        <w:rFonts w:ascii="Calibri"/>
                        <w:color w:val="4F80BC"/>
                        <w:spacing w:val="-5"/>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F3A42"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93408" behindDoc="1" locked="0" layoutInCell="1" allowOverlap="1" wp14:anchorId="0F9B9012" wp14:editId="5DF2ACF2">
              <wp:simplePos x="0" y="0"/>
              <wp:positionH relativeFrom="page">
                <wp:posOffset>6881876</wp:posOffset>
              </wp:positionH>
              <wp:positionV relativeFrom="page">
                <wp:posOffset>9838488</wp:posOffset>
              </wp:positionV>
              <wp:extent cx="153670" cy="16573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39EE0A47" w14:textId="77777777" w:rsidR="002C6574" w:rsidRDefault="00000000">
                          <w:pPr>
                            <w:spacing w:before="7"/>
                            <w:ind w:left="20"/>
                            <w:rPr>
                              <w:rFonts w:ascii="Calibri"/>
                              <w:sz w:val="20"/>
                            </w:rPr>
                          </w:pPr>
                          <w:r>
                            <w:rPr>
                              <w:rFonts w:ascii="Calibri"/>
                              <w:spacing w:val="-5"/>
                              <w:sz w:val="20"/>
                            </w:rPr>
                            <w:t>50</w:t>
                          </w:r>
                        </w:p>
                      </w:txbxContent>
                    </wps:txbx>
                    <wps:bodyPr wrap="square" lIns="0" tIns="0" rIns="0" bIns="0" rtlCol="0">
                      <a:noAutofit/>
                    </wps:bodyPr>
                  </wps:wsp>
                </a:graphicData>
              </a:graphic>
            </wp:anchor>
          </w:drawing>
        </mc:Choice>
        <mc:Fallback>
          <w:pict>
            <v:shapetype w14:anchorId="0F9B9012" id="_x0000_t202" coordsize="21600,21600" o:spt="202" path="m,l,21600r21600,l21600,xe">
              <v:stroke joinstyle="miter"/>
              <v:path gradientshapeok="t" o:connecttype="rect"/>
            </v:shapetype>
            <v:shape id="Textbox 154" o:spid="_x0000_s1294" type="#_x0000_t202" style="position:absolute;margin-left:541.9pt;margin-top:774.7pt;width:12.1pt;height:13.05pt;z-index:-307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" filled="f" stroked="f">
              <v:textbox inset="0,0,0,0">
                <w:txbxContent>
                  <w:p w14:paraId="39EE0A47" w14:textId="77777777" w:rsidR="002C6574" w:rsidRDefault="00000000">
                    <w:pPr>
                      <w:spacing w:before="7"/>
                      <w:ind w:left="20"/>
                      <w:rPr>
                        <w:rFonts w:ascii="Calibri"/>
                        <w:sz w:val="20"/>
                      </w:rPr>
                    </w:pPr>
                    <w:r>
                      <w:rPr>
                        <w:rFonts w:ascii="Calibri"/>
                        <w:spacing w:val="-5"/>
                        <w:sz w:val="20"/>
                      </w:rPr>
                      <w:t>50</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E969D"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94432" behindDoc="1" locked="0" layoutInCell="1" allowOverlap="1" wp14:anchorId="70580124" wp14:editId="7B30B850">
              <wp:simplePos x="0" y="0"/>
              <wp:positionH relativeFrom="page">
                <wp:posOffset>6881876</wp:posOffset>
              </wp:positionH>
              <wp:positionV relativeFrom="page">
                <wp:posOffset>9838488</wp:posOffset>
              </wp:positionV>
              <wp:extent cx="191770" cy="16573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1D5A8222" w14:textId="77777777" w:rsidR="002C6574" w:rsidRDefault="00000000">
                          <w:pPr>
                            <w:spacing w:before="7"/>
                            <w:ind w:left="20"/>
                            <w:rPr>
                              <w:rFonts w:ascii="Calibri"/>
                              <w:sz w:val="20"/>
                            </w:rPr>
                          </w:pPr>
                          <w:r>
                            <w:rPr>
                              <w:rFonts w:ascii="Calibri"/>
                              <w:spacing w:val="-5"/>
                              <w:sz w:val="20"/>
                            </w:rPr>
                            <w:t>5</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70580124" id="_x0000_t202" coordsize="21600,21600" o:spt="202" path="m,l,21600r21600,l21600,xe">
              <v:stroke joinstyle="miter"/>
              <v:path gradientshapeok="t" o:connecttype="rect"/>
            </v:shapetype>
            <v:shape id="Textbox 156" o:spid="_x0000_s1296" type="#_x0000_t202" style="position:absolute;margin-left:541.9pt;margin-top:774.7pt;width:15.1pt;height:13.05pt;z-index:-307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" filled="f" stroked="f">
              <v:textbox inset="0,0,0,0">
                <w:txbxContent>
                  <w:p w14:paraId="1D5A8222" w14:textId="77777777" w:rsidR="002C6574" w:rsidRDefault="00000000">
                    <w:pPr>
                      <w:spacing w:before="7"/>
                      <w:ind w:left="20"/>
                      <w:rPr>
                        <w:rFonts w:ascii="Calibri"/>
                        <w:sz w:val="20"/>
                      </w:rPr>
                    </w:pPr>
                    <w:r>
                      <w:rPr>
                        <w:rFonts w:ascii="Calibri"/>
                        <w:spacing w:val="-5"/>
                        <w:sz w:val="20"/>
                      </w:rPr>
                      <w:t>5</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w:t>
                    </w:r>
                    <w:r>
                      <w:rPr>
                        <w:rFonts w:ascii="Calibri"/>
                        <w:spacing w:val="-5"/>
                        <w:sz w:val="20"/>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428D5"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95456" behindDoc="1" locked="0" layoutInCell="1" allowOverlap="1" wp14:anchorId="7D2B4FB0" wp14:editId="019D09B4">
              <wp:simplePos x="0" y="0"/>
              <wp:positionH relativeFrom="page">
                <wp:posOffset>6881876</wp:posOffset>
              </wp:positionH>
              <wp:positionV relativeFrom="page">
                <wp:posOffset>9838488</wp:posOffset>
              </wp:positionV>
              <wp:extent cx="153670" cy="16573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2DC1961B" w14:textId="77777777" w:rsidR="002C6574" w:rsidRDefault="00000000">
                          <w:pPr>
                            <w:spacing w:before="7"/>
                            <w:ind w:left="20"/>
                            <w:rPr>
                              <w:rFonts w:ascii="Calibri"/>
                              <w:sz w:val="20"/>
                            </w:rPr>
                          </w:pPr>
                          <w:r>
                            <w:rPr>
                              <w:rFonts w:ascii="Calibri"/>
                              <w:spacing w:val="-5"/>
                              <w:sz w:val="20"/>
                            </w:rPr>
                            <w:t>60</w:t>
                          </w:r>
                        </w:p>
                      </w:txbxContent>
                    </wps:txbx>
                    <wps:bodyPr wrap="square" lIns="0" tIns="0" rIns="0" bIns="0" rtlCol="0">
                      <a:noAutofit/>
                    </wps:bodyPr>
                  </wps:wsp>
                </a:graphicData>
              </a:graphic>
            </wp:anchor>
          </w:drawing>
        </mc:Choice>
        <mc:Fallback>
          <w:pict>
            <v:shapetype w14:anchorId="7D2B4FB0" id="_x0000_t202" coordsize="21600,21600" o:spt="202" path="m,l,21600r21600,l21600,xe">
              <v:stroke joinstyle="miter"/>
              <v:path gradientshapeok="t" o:connecttype="rect"/>
            </v:shapetype>
            <v:shape id="Textbox 158" o:spid="_x0000_s1298" type="#_x0000_t202" style="position:absolute;margin-left:541.9pt;margin-top:774.7pt;width:12.1pt;height:13.05pt;z-index:-3072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" filled="f" stroked="f">
              <v:textbox inset="0,0,0,0">
                <w:txbxContent>
                  <w:p w14:paraId="2DC1961B" w14:textId="77777777" w:rsidR="002C6574" w:rsidRDefault="00000000">
                    <w:pPr>
                      <w:spacing w:before="7"/>
                      <w:ind w:left="20"/>
                      <w:rPr>
                        <w:rFonts w:ascii="Calibri"/>
                        <w:sz w:val="20"/>
                      </w:rPr>
                    </w:pPr>
                    <w:r>
                      <w:rPr>
                        <w:rFonts w:ascii="Calibri"/>
                        <w:spacing w:val="-5"/>
                        <w:sz w:val="20"/>
                      </w:rPr>
                      <w:t>60</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567A0"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96480" behindDoc="1" locked="0" layoutInCell="1" allowOverlap="1" wp14:anchorId="5A95B725" wp14:editId="3C9FDFFB">
              <wp:simplePos x="0" y="0"/>
              <wp:positionH relativeFrom="page">
                <wp:posOffset>6881876</wp:posOffset>
              </wp:positionH>
              <wp:positionV relativeFrom="page">
                <wp:posOffset>9838488</wp:posOffset>
              </wp:positionV>
              <wp:extent cx="191770" cy="16573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75C3FC7A" w14:textId="77777777" w:rsidR="002C6574" w:rsidRDefault="00000000">
                          <w:pPr>
                            <w:spacing w:before="7"/>
                            <w:ind w:left="20"/>
                            <w:rPr>
                              <w:rFonts w:ascii="Calibri"/>
                              <w:sz w:val="20"/>
                            </w:rPr>
                          </w:pPr>
                          <w:r>
                            <w:rPr>
                              <w:rFonts w:ascii="Calibri"/>
                              <w:spacing w:val="-5"/>
                              <w:sz w:val="20"/>
                            </w:rPr>
                            <w:t>6</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5A95B725" id="_x0000_t202" coordsize="21600,21600" o:spt="202" path="m,l,21600r21600,l21600,xe">
              <v:stroke joinstyle="miter"/>
              <v:path gradientshapeok="t" o:connecttype="rect"/>
            </v:shapetype>
            <v:shape id="Textbox 160" o:spid="_x0000_s1300" type="#_x0000_t202" style="position:absolute;margin-left:541.9pt;margin-top:774.7pt;width:15.1pt;height:13.05pt;z-index:-307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" filled="f" stroked="f">
              <v:textbox inset="0,0,0,0">
                <w:txbxContent>
                  <w:p w14:paraId="75C3FC7A" w14:textId="77777777" w:rsidR="002C6574" w:rsidRDefault="00000000">
                    <w:pPr>
                      <w:spacing w:before="7"/>
                      <w:ind w:left="20"/>
                      <w:rPr>
                        <w:rFonts w:ascii="Calibri"/>
                        <w:sz w:val="20"/>
                      </w:rPr>
                    </w:pPr>
                    <w:r>
                      <w:rPr>
                        <w:rFonts w:ascii="Calibri"/>
                        <w:spacing w:val="-5"/>
                        <w:sz w:val="20"/>
                      </w:rPr>
                      <w:t>6</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w:t>
                    </w:r>
                    <w:r>
                      <w:rPr>
                        <w:rFonts w:ascii="Calibri"/>
                        <w:spacing w:val="-5"/>
                        <w:sz w:val="2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74500"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97504" behindDoc="1" locked="0" layoutInCell="1" allowOverlap="1" wp14:anchorId="1AAB9C33" wp14:editId="44940401">
              <wp:simplePos x="0" y="0"/>
              <wp:positionH relativeFrom="page">
                <wp:posOffset>6881876</wp:posOffset>
              </wp:positionH>
              <wp:positionV relativeFrom="page">
                <wp:posOffset>9695233</wp:posOffset>
              </wp:positionV>
              <wp:extent cx="191770" cy="16573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0F7A7A13" w14:textId="77777777" w:rsidR="002C6574" w:rsidRDefault="00000000">
                          <w:pPr>
                            <w:spacing w:before="7"/>
                            <w:ind w:left="20"/>
                            <w:rPr>
                              <w:rFonts w:ascii="Calibri"/>
                              <w:sz w:val="20"/>
                            </w:rPr>
                          </w:pPr>
                          <w:r>
                            <w:rPr>
                              <w:rFonts w:ascii="Calibri"/>
                              <w:spacing w:val="-5"/>
                              <w:sz w:val="20"/>
                            </w:rPr>
                            <w:t>6</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8</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1AAB9C33" id="_x0000_t202" coordsize="21600,21600" o:spt="202" path="m,l,21600r21600,l21600,xe">
              <v:stroke joinstyle="miter"/>
              <v:path gradientshapeok="t" o:connecttype="rect"/>
            </v:shapetype>
            <v:shape id="Textbox 162" o:spid="_x0000_s1302" type="#_x0000_t202" style="position:absolute;margin-left:541.9pt;margin-top:763.4pt;width:15.1pt;height:13.05pt;z-index:-307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" filled="f" stroked="f">
              <v:textbox inset="0,0,0,0">
                <w:txbxContent>
                  <w:p w14:paraId="0F7A7A13" w14:textId="77777777" w:rsidR="002C6574" w:rsidRDefault="00000000">
                    <w:pPr>
                      <w:spacing w:before="7"/>
                      <w:ind w:left="20"/>
                      <w:rPr>
                        <w:rFonts w:ascii="Calibri"/>
                        <w:sz w:val="20"/>
                      </w:rPr>
                    </w:pPr>
                    <w:r>
                      <w:rPr>
                        <w:rFonts w:ascii="Calibri"/>
                        <w:spacing w:val="-5"/>
                        <w:sz w:val="20"/>
                      </w:rPr>
                      <w:t>6</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8</w:t>
                    </w:r>
                    <w:r>
                      <w:rPr>
                        <w:rFonts w:ascii="Calibri"/>
                        <w:spacing w:val="-5"/>
                        <w:sz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E67AD"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98528" behindDoc="1" locked="0" layoutInCell="1" allowOverlap="1" wp14:anchorId="290517B2" wp14:editId="436ADA76">
              <wp:simplePos x="0" y="0"/>
              <wp:positionH relativeFrom="page">
                <wp:posOffset>6881876</wp:posOffset>
              </wp:positionH>
              <wp:positionV relativeFrom="page">
                <wp:posOffset>9695233</wp:posOffset>
              </wp:positionV>
              <wp:extent cx="153670" cy="16573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39FB706D" w14:textId="77777777" w:rsidR="002C6574" w:rsidRDefault="00000000">
                          <w:pPr>
                            <w:spacing w:before="7"/>
                            <w:ind w:left="20"/>
                            <w:rPr>
                              <w:rFonts w:ascii="Calibri"/>
                              <w:sz w:val="20"/>
                            </w:rPr>
                          </w:pPr>
                          <w:r>
                            <w:rPr>
                              <w:rFonts w:ascii="Calibri"/>
                              <w:spacing w:val="-5"/>
                              <w:sz w:val="20"/>
                            </w:rPr>
                            <w:t>70</w:t>
                          </w:r>
                        </w:p>
                      </w:txbxContent>
                    </wps:txbx>
                    <wps:bodyPr wrap="square" lIns="0" tIns="0" rIns="0" bIns="0" rtlCol="0">
                      <a:noAutofit/>
                    </wps:bodyPr>
                  </wps:wsp>
                </a:graphicData>
              </a:graphic>
            </wp:anchor>
          </w:drawing>
        </mc:Choice>
        <mc:Fallback>
          <w:pict>
            <v:shapetype w14:anchorId="290517B2" id="_x0000_t202" coordsize="21600,21600" o:spt="202" path="m,l,21600r21600,l21600,xe">
              <v:stroke joinstyle="miter"/>
              <v:path gradientshapeok="t" o:connecttype="rect"/>
            </v:shapetype>
            <v:shape id="Textbox 164" o:spid="_x0000_s1304" type="#_x0000_t202" style="position:absolute;margin-left:541.9pt;margin-top:763.4pt;width:12.1pt;height:13.05pt;z-index:-307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" filled="f" stroked="f">
              <v:textbox inset="0,0,0,0">
                <w:txbxContent>
                  <w:p w14:paraId="39FB706D" w14:textId="77777777" w:rsidR="002C6574" w:rsidRDefault="00000000">
                    <w:pPr>
                      <w:spacing w:before="7"/>
                      <w:ind w:left="20"/>
                      <w:rPr>
                        <w:rFonts w:ascii="Calibri"/>
                        <w:sz w:val="20"/>
                      </w:rPr>
                    </w:pPr>
                    <w:r>
                      <w:rPr>
                        <w:rFonts w:ascii="Calibri"/>
                        <w:spacing w:val="-5"/>
                        <w:sz w:val="20"/>
                      </w:rPr>
                      <w:t>70</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93A6B" w14:textId="77777777" w:rsidR="002C6574" w:rsidRDefault="00000000">
    <w:pPr>
      <w:pStyle w:val="Corpodetexto"/>
      <w:spacing w:line="14" w:lineRule="auto"/>
      <w:rPr>
        <w:sz w:val="18"/>
      </w:rPr>
    </w:pPr>
    <w:r>
      <w:rPr>
        <w:noProof/>
        <w:sz w:val="18"/>
      </w:rPr>
      <mc:AlternateContent>
        <mc:Choice Requires="wps">
          <w:drawing>
            <wp:anchor distT="0" distB="0" distL="0" distR="0" simplePos="0" relativeHeight="472599552" behindDoc="1" locked="0" layoutInCell="1" allowOverlap="1" wp14:anchorId="5ABDF822" wp14:editId="44E51B46">
              <wp:simplePos x="0" y="0"/>
              <wp:positionH relativeFrom="page">
                <wp:posOffset>6881876</wp:posOffset>
              </wp:positionH>
              <wp:positionV relativeFrom="page">
                <wp:posOffset>9695233</wp:posOffset>
              </wp:positionV>
              <wp:extent cx="191770" cy="16573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49980F3D" w14:textId="77777777" w:rsidR="002C6574" w:rsidRDefault="00000000">
                          <w:pPr>
                            <w:spacing w:before="7"/>
                            <w:ind w:left="20"/>
                            <w:rPr>
                              <w:rFonts w:ascii="Calibri"/>
                              <w:sz w:val="20"/>
                            </w:rPr>
                          </w:pPr>
                          <w:r>
                            <w:rPr>
                              <w:rFonts w:ascii="Calibri"/>
                              <w:spacing w:val="-5"/>
                              <w:sz w:val="20"/>
                            </w:rPr>
                            <w:t>7</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2</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5ABDF822" id="_x0000_t202" coordsize="21600,21600" o:spt="202" path="m,l,21600r21600,l21600,xe">
              <v:stroke joinstyle="miter"/>
              <v:path gradientshapeok="t" o:connecttype="rect"/>
            </v:shapetype>
            <v:shape id="Textbox 166" o:spid="_x0000_s1306" type="#_x0000_t202" style="position:absolute;margin-left:541.9pt;margin-top:763.4pt;width:15.1pt;height:13.05pt;z-index:-307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" filled="f" stroked="f">
              <v:textbox inset="0,0,0,0">
                <w:txbxContent>
                  <w:p w14:paraId="49980F3D" w14:textId="77777777" w:rsidR="002C6574" w:rsidRDefault="00000000">
                    <w:pPr>
                      <w:spacing w:before="7"/>
                      <w:ind w:left="20"/>
                      <w:rPr>
                        <w:rFonts w:ascii="Calibri"/>
                        <w:sz w:val="20"/>
                      </w:rPr>
                    </w:pPr>
                    <w:r>
                      <w:rPr>
                        <w:rFonts w:ascii="Calibri"/>
                        <w:spacing w:val="-5"/>
                        <w:sz w:val="20"/>
                      </w:rPr>
                      <w:t>7</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2</w:t>
                    </w:r>
                    <w:r>
                      <w:rPr>
                        <w:rFonts w:ascii="Calibri"/>
                        <w:spacing w:val="-5"/>
                        <w:sz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500D5"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600576" behindDoc="1" locked="0" layoutInCell="1" allowOverlap="1" wp14:anchorId="40F724CA" wp14:editId="644B27D5">
              <wp:simplePos x="0" y="0"/>
              <wp:positionH relativeFrom="page">
                <wp:posOffset>6881876</wp:posOffset>
              </wp:positionH>
              <wp:positionV relativeFrom="page">
                <wp:posOffset>9838488</wp:posOffset>
              </wp:positionV>
              <wp:extent cx="191770" cy="16573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7036DA5F" w14:textId="77777777" w:rsidR="002C6574" w:rsidRDefault="00000000">
                          <w:pPr>
                            <w:spacing w:before="7"/>
                            <w:ind w:left="20"/>
                            <w:rPr>
                              <w:rFonts w:ascii="Calibri"/>
                              <w:sz w:val="20"/>
                            </w:rPr>
                          </w:pPr>
                          <w:r>
                            <w:rPr>
                              <w:rFonts w:ascii="Calibri"/>
                              <w:spacing w:val="-5"/>
                              <w:sz w:val="20"/>
                            </w:rPr>
                            <w:t>7</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5</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40F724CA" id="_x0000_t202" coordsize="21600,21600" o:spt="202" path="m,l,21600r21600,l21600,xe">
              <v:stroke joinstyle="miter"/>
              <v:path gradientshapeok="t" o:connecttype="rect"/>
            </v:shapetype>
            <v:shape id="Textbox 168" o:spid="_x0000_s1308" type="#_x0000_t202" style="position:absolute;margin-left:541.9pt;margin-top:774.7pt;width:15.1pt;height:13.05pt;z-index:-307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" filled="f" stroked="f">
              <v:textbox inset="0,0,0,0">
                <w:txbxContent>
                  <w:p w14:paraId="7036DA5F" w14:textId="77777777" w:rsidR="002C6574" w:rsidRDefault="00000000">
                    <w:pPr>
                      <w:spacing w:before="7"/>
                      <w:ind w:left="20"/>
                      <w:rPr>
                        <w:rFonts w:ascii="Calibri"/>
                        <w:sz w:val="20"/>
                      </w:rPr>
                    </w:pPr>
                    <w:r>
                      <w:rPr>
                        <w:rFonts w:ascii="Calibri"/>
                        <w:spacing w:val="-5"/>
                        <w:sz w:val="20"/>
                      </w:rPr>
                      <w:t>7</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5</w:t>
                    </w:r>
                    <w:r>
                      <w:rPr>
                        <w:rFonts w:ascii="Calibri"/>
                        <w:spacing w:val="-5"/>
                        <w:sz w:val="20"/>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62B8F"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601600" behindDoc="1" locked="0" layoutInCell="1" allowOverlap="1" wp14:anchorId="7A5524E4" wp14:editId="2F752F26">
              <wp:simplePos x="0" y="0"/>
              <wp:positionH relativeFrom="page">
                <wp:posOffset>6881876</wp:posOffset>
              </wp:positionH>
              <wp:positionV relativeFrom="page">
                <wp:posOffset>9838488</wp:posOffset>
              </wp:positionV>
              <wp:extent cx="153670" cy="16573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7416CA2E" w14:textId="77777777" w:rsidR="002C6574" w:rsidRDefault="00000000">
                          <w:pPr>
                            <w:spacing w:before="7"/>
                            <w:ind w:left="20"/>
                            <w:rPr>
                              <w:rFonts w:ascii="Calibri"/>
                              <w:sz w:val="20"/>
                            </w:rPr>
                          </w:pPr>
                          <w:r>
                            <w:rPr>
                              <w:rFonts w:ascii="Calibri"/>
                              <w:spacing w:val="-5"/>
                              <w:sz w:val="20"/>
                            </w:rPr>
                            <w:t>80</w:t>
                          </w:r>
                        </w:p>
                      </w:txbxContent>
                    </wps:txbx>
                    <wps:bodyPr wrap="square" lIns="0" tIns="0" rIns="0" bIns="0" rtlCol="0">
                      <a:noAutofit/>
                    </wps:bodyPr>
                  </wps:wsp>
                </a:graphicData>
              </a:graphic>
            </wp:anchor>
          </w:drawing>
        </mc:Choice>
        <mc:Fallback>
          <w:pict>
            <v:shapetype w14:anchorId="7A5524E4" id="_x0000_t202" coordsize="21600,21600" o:spt="202" path="m,l,21600r21600,l21600,xe">
              <v:stroke joinstyle="miter"/>
              <v:path gradientshapeok="t" o:connecttype="rect"/>
            </v:shapetype>
            <v:shape id="Textbox 170" o:spid="_x0000_s1310" type="#_x0000_t202" style="position:absolute;margin-left:541.9pt;margin-top:774.7pt;width:12.1pt;height:13.05pt;z-index:-307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" filled="f" stroked="f">
              <v:textbox inset="0,0,0,0">
                <w:txbxContent>
                  <w:p w14:paraId="7416CA2E" w14:textId="77777777" w:rsidR="002C6574" w:rsidRDefault="00000000">
                    <w:pPr>
                      <w:spacing w:before="7"/>
                      <w:ind w:left="20"/>
                      <w:rPr>
                        <w:rFonts w:ascii="Calibri"/>
                        <w:sz w:val="20"/>
                      </w:rPr>
                    </w:pPr>
                    <w:r>
                      <w:rPr>
                        <w:rFonts w:ascii="Calibri"/>
                        <w:spacing w:val="-5"/>
                        <w:sz w:val="20"/>
                      </w:rPr>
                      <w:t>80</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71907"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602624" behindDoc="1" locked="0" layoutInCell="1" allowOverlap="1" wp14:anchorId="6361B5A9" wp14:editId="3682F235">
              <wp:simplePos x="0" y="0"/>
              <wp:positionH relativeFrom="page">
                <wp:posOffset>6881876</wp:posOffset>
              </wp:positionH>
              <wp:positionV relativeFrom="page">
                <wp:posOffset>9838488</wp:posOffset>
              </wp:positionV>
              <wp:extent cx="191770" cy="16573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6542770E" w14:textId="77777777" w:rsidR="002C6574" w:rsidRDefault="00000000">
                          <w:pPr>
                            <w:spacing w:before="7"/>
                            <w:ind w:left="20"/>
                            <w:rPr>
                              <w:rFonts w:ascii="Calibri"/>
                              <w:sz w:val="20"/>
                            </w:rPr>
                          </w:pPr>
                          <w:r>
                            <w:rPr>
                              <w:rFonts w:ascii="Calibri"/>
                              <w:spacing w:val="-5"/>
                              <w:sz w:val="20"/>
                            </w:rPr>
                            <w:t>8</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5</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6361B5A9" id="_x0000_t202" coordsize="21600,21600" o:spt="202" path="m,l,21600r21600,l21600,xe">
              <v:stroke joinstyle="miter"/>
              <v:path gradientshapeok="t" o:connecttype="rect"/>
            </v:shapetype>
            <v:shape id="Textbox 172" o:spid="_x0000_s1312" type="#_x0000_t202" style="position:absolute;margin-left:541.9pt;margin-top:774.7pt;width:15.1pt;height:13.05pt;z-index:-307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" filled="f" stroked="f">
              <v:textbox inset="0,0,0,0">
                <w:txbxContent>
                  <w:p w14:paraId="6542770E" w14:textId="77777777" w:rsidR="002C6574" w:rsidRDefault="00000000">
                    <w:pPr>
                      <w:spacing w:before="7"/>
                      <w:ind w:left="20"/>
                      <w:rPr>
                        <w:rFonts w:ascii="Calibri"/>
                        <w:sz w:val="20"/>
                      </w:rPr>
                    </w:pPr>
                    <w:r>
                      <w:rPr>
                        <w:rFonts w:ascii="Calibri"/>
                        <w:spacing w:val="-5"/>
                        <w:sz w:val="20"/>
                      </w:rPr>
                      <w:t>8</w:t>
                    </w: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5</w:t>
                    </w:r>
                    <w:r>
                      <w:rPr>
                        <w:rFonts w:ascii="Calibri"/>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7CA4B"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63200" behindDoc="1" locked="0" layoutInCell="1" allowOverlap="1" wp14:anchorId="6904DB2E" wp14:editId="7A596EE4">
              <wp:simplePos x="0" y="0"/>
              <wp:positionH relativeFrom="page">
                <wp:posOffset>6686803</wp:posOffset>
              </wp:positionH>
              <wp:positionV relativeFrom="page">
                <wp:posOffset>10208763</wp:posOffset>
              </wp:positionV>
              <wp:extent cx="167640" cy="1657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14:paraId="395FB73D" w14:textId="77777777" w:rsidR="002C6574" w:rsidRDefault="00000000">
                          <w:pPr>
                            <w:pStyle w:val="Corpodetexto"/>
                            <w:spacing w:line="245" w:lineRule="exact"/>
                            <w:ind w:left="20"/>
                            <w:rPr>
                              <w:rFonts w:ascii="Calibri"/>
                            </w:rPr>
                          </w:pPr>
                          <w:r>
                            <w:rPr>
                              <w:rFonts w:ascii="Calibri"/>
                              <w:color w:val="4F80BC"/>
                              <w:spacing w:val="-5"/>
                            </w:rPr>
                            <w:t>20</w:t>
                          </w:r>
                        </w:p>
                      </w:txbxContent>
                    </wps:txbx>
                    <wps:bodyPr wrap="square" lIns="0" tIns="0" rIns="0" bIns="0" rtlCol="0">
                      <a:noAutofit/>
                    </wps:bodyPr>
                  </wps:wsp>
                </a:graphicData>
              </a:graphic>
            </wp:anchor>
          </w:drawing>
        </mc:Choice>
        <mc:Fallback>
          <w:pict>
            <v:shapetype w14:anchorId="6904DB2E" id="_x0000_t202" coordsize="21600,21600" o:spt="202" path="m,l,21600r21600,l21600,xe">
              <v:stroke joinstyle="miter"/>
              <v:path gradientshapeok="t" o:connecttype="rect"/>
            </v:shapetype>
            <v:shape id="Textbox 53" o:spid="_x0000_s1260" type="#_x0000_t202" style="position:absolute;margin-left:526.5pt;margin-top:803.85pt;width:13.2pt;height:13.05pt;z-index:-3075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" filled="f" stroked="f">
              <v:textbox inset="0,0,0,0">
                <w:txbxContent>
                  <w:p w14:paraId="395FB73D" w14:textId="77777777" w:rsidR="002C6574" w:rsidRDefault="00000000">
                    <w:pPr>
                      <w:pStyle w:val="Corpodetexto"/>
                      <w:spacing w:line="245" w:lineRule="exact"/>
                      <w:ind w:left="20"/>
                      <w:rPr>
                        <w:rFonts w:ascii="Calibri"/>
                      </w:rPr>
                    </w:pPr>
                    <w:r>
                      <w:rPr>
                        <w:rFonts w:ascii="Calibri"/>
                        <w:color w:val="4F80BC"/>
                        <w:spacing w:val="-5"/>
                      </w:rPr>
                      <w:t>20</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32467" w14:textId="77777777" w:rsidR="002C6574" w:rsidRDefault="002C6574">
    <w:pPr>
      <w:pStyle w:val="Corpodetexto"/>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3CE8D" w14:textId="77777777" w:rsidR="002C6574" w:rsidRDefault="002C6574">
    <w:pPr>
      <w:pStyle w:val="Corpodetexto"/>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29921" w14:textId="77777777" w:rsidR="002C6574" w:rsidRDefault="002C6574">
    <w:pPr>
      <w:pStyle w:val="Corpodetexto"/>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7F380"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604160" behindDoc="1" locked="0" layoutInCell="1" allowOverlap="1" wp14:anchorId="217A6C98" wp14:editId="70A4D44A">
              <wp:simplePos x="0" y="0"/>
              <wp:positionH relativeFrom="page">
                <wp:posOffset>3703954</wp:posOffset>
              </wp:positionH>
              <wp:positionV relativeFrom="page">
                <wp:posOffset>9886729</wp:posOffset>
              </wp:positionV>
              <wp:extent cx="165100" cy="19431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DB57DAF" w14:textId="77777777" w:rsidR="002C6574"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1</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w14:anchorId="217A6C98" id="_x0000_t202" coordsize="21600,21600" o:spt="202" path="m,l,21600r21600,l21600,xe">
              <v:stroke joinstyle="miter"/>
              <v:path gradientshapeok="t" o:connecttype="rect"/>
            </v:shapetype>
            <v:shape id="Textbox 184" o:spid="_x0000_s1314" type="#_x0000_t202" style="position:absolute;margin-left:291.65pt;margin-top:778.5pt;width:13pt;height:15.3pt;z-index:-307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" filled="f" stroked="f">
              <v:textbox inset="0,0,0,0">
                <w:txbxContent>
                  <w:p w14:paraId="4DB57DAF" w14:textId="77777777" w:rsidR="002C6574" w:rsidRDefault="00000000">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1</w:t>
                    </w:r>
                    <w:r>
                      <w:rPr>
                        <w:rFonts w:ascii="Times New Roman"/>
                        <w:spacing w:val="-10"/>
                        <w:sz w:val="24"/>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08FB7" w14:textId="77777777" w:rsidR="002C6574" w:rsidRDefault="002C6574">
    <w:pPr>
      <w:pStyle w:val="Corpodetexto"/>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A0DEB" w14:textId="77777777" w:rsidR="002C6574" w:rsidRDefault="002C6574">
    <w:pPr>
      <w:pStyle w:val="Corpodetexto"/>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34731"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605184" behindDoc="1" locked="0" layoutInCell="1" allowOverlap="1" wp14:anchorId="3B987D1E" wp14:editId="6404AC88">
              <wp:simplePos x="0" y="0"/>
              <wp:positionH relativeFrom="page">
                <wp:posOffset>3832986</wp:posOffset>
              </wp:positionH>
              <wp:positionV relativeFrom="page">
                <wp:posOffset>9260535</wp:posOffset>
              </wp:positionV>
              <wp:extent cx="168910" cy="16573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B2851FB" w14:textId="77777777" w:rsidR="002C6574" w:rsidRDefault="00000000">
                          <w:pPr>
                            <w:pStyle w:val="Corpodetexto"/>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t>0</w:t>
                          </w:r>
                          <w:r>
                            <w:rPr>
                              <w:rFonts w:ascii="Calibri"/>
                              <w:spacing w:val="-5"/>
                            </w:rPr>
                            <w:fldChar w:fldCharType="end"/>
                          </w:r>
                        </w:p>
                      </w:txbxContent>
                    </wps:txbx>
                    <wps:bodyPr wrap="square" lIns="0" tIns="0" rIns="0" bIns="0" rtlCol="0">
                      <a:noAutofit/>
                    </wps:bodyPr>
                  </wps:wsp>
                </a:graphicData>
              </a:graphic>
            </wp:anchor>
          </w:drawing>
        </mc:Choice>
        <mc:Fallback>
          <w:pict>
            <v:shapetype w14:anchorId="3B987D1E" id="_x0000_t202" coordsize="21600,21600" o:spt="202" path="m,l,21600r21600,l21600,xe">
              <v:stroke joinstyle="miter"/>
              <v:path gradientshapeok="t" o:connecttype="rect"/>
            </v:shapetype>
            <v:shape id="Textbox 191" o:spid="_x0000_s1316" type="#_x0000_t202" style="position:absolute;margin-left:301.8pt;margin-top:729.2pt;width:13.3pt;height:13.05pt;z-index:-3071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" filled="f" stroked="f">
              <v:textbox inset="0,0,0,0">
                <w:txbxContent>
                  <w:p w14:paraId="7B2851FB" w14:textId="77777777" w:rsidR="002C6574" w:rsidRDefault="00000000">
                    <w:pPr>
                      <w:pStyle w:val="Corpodetexto"/>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t>0</w:t>
                    </w:r>
                    <w:r>
                      <w:rPr>
                        <w:rFonts w:ascii="Calibri"/>
                        <w:spacing w:val="-5"/>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42987" w14:textId="77777777" w:rsidR="002C6574" w:rsidRDefault="002C6574">
    <w:pPr>
      <w:pStyle w:val="Corpodetexto"/>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33E6A"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606208" behindDoc="1" locked="0" layoutInCell="1" allowOverlap="1" wp14:anchorId="670B02E8" wp14:editId="2C7B6F93">
              <wp:simplePos x="0" y="0"/>
              <wp:positionH relativeFrom="page">
                <wp:posOffset>7034021</wp:posOffset>
              </wp:positionH>
              <wp:positionV relativeFrom="page">
                <wp:posOffset>9898656</wp:posOffset>
              </wp:positionV>
              <wp:extent cx="219075" cy="18224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82245"/>
                      </a:xfrm>
                      <a:prstGeom prst="rect">
                        <a:avLst/>
                      </a:prstGeom>
                    </wps:spPr>
                    <wps:txbx>
                      <w:txbxContent>
                        <w:p w14:paraId="499040CD" w14:textId="77777777" w:rsidR="002C6574" w:rsidRDefault="00000000">
                          <w:pPr>
                            <w:pStyle w:val="Corpodetexto"/>
                            <w:spacing w:before="13"/>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w:t>
                          </w:r>
                          <w:r>
                            <w:rPr>
                              <w:rFonts w:ascii="Arial MT"/>
                              <w:spacing w:val="-5"/>
                            </w:rPr>
                            <w:t>1</w:t>
                          </w:r>
                          <w:r>
                            <w:rPr>
                              <w:rFonts w:ascii="Arial MT"/>
                              <w:spacing w:val="-5"/>
                            </w:rPr>
                            <w:fldChar w:fldCharType="end"/>
                          </w:r>
                        </w:p>
                      </w:txbxContent>
                    </wps:txbx>
                    <wps:bodyPr wrap="square" lIns="0" tIns="0" rIns="0" bIns="0" rtlCol="0">
                      <a:noAutofit/>
                    </wps:bodyPr>
                  </wps:wsp>
                </a:graphicData>
              </a:graphic>
            </wp:anchor>
          </w:drawing>
        </mc:Choice>
        <mc:Fallback>
          <w:pict>
            <v:shapetype w14:anchorId="670B02E8" id="_x0000_t202" coordsize="21600,21600" o:spt="202" path="m,l,21600r21600,l21600,xe">
              <v:stroke joinstyle="miter"/>
              <v:path gradientshapeok="t" o:connecttype="rect"/>
            </v:shapetype>
            <v:shape id="Textbox 284" o:spid="_x0000_s1318" type="#_x0000_t202" style="position:absolute;margin-left:553.85pt;margin-top:779.4pt;width:17.25pt;height:14.35pt;z-index:-307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" filled="f" stroked="f">
              <v:textbox inset="0,0,0,0">
                <w:txbxContent>
                  <w:p w14:paraId="499040CD" w14:textId="77777777" w:rsidR="002C6574" w:rsidRDefault="00000000">
                    <w:pPr>
                      <w:pStyle w:val="Corpodetexto"/>
                      <w:spacing w:before="13"/>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w:t>
                    </w:r>
                    <w:r>
                      <w:rPr>
                        <w:rFonts w:ascii="Arial MT"/>
                        <w:spacing w:val="-5"/>
                      </w:rPr>
                      <w:t>1</w:t>
                    </w:r>
                    <w:r>
                      <w:rPr>
                        <w:rFonts w:ascii="Arial MT"/>
                        <w:spacing w:val="-5"/>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EFFC2"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607744" behindDoc="1" locked="0" layoutInCell="1" allowOverlap="1" wp14:anchorId="695D26EB" wp14:editId="35AAFFC4">
              <wp:simplePos x="0" y="0"/>
              <wp:positionH relativeFrom="page">
                <wp:posOffset>7008621</wp:posOffset>
              </wp:positionH>
              <wp:positionV relativeFrom="page">
                <wp:posOffset>9898656</wp:posOffset>
              </wp:positionV>
              <wp:extent cx="244475" cy="182245"/>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DD6C49B" w14:textId="77777777" w:rsidR="002C6574" w:rsidRDefault="00000000">
                          <w:pPr>
                            <w:pStyle w:val="Corpodetexto"/>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w:t>
                          </w:r>
                          <w:r>
                            <w:rPr>
                              <w:rFonts w:ascii="Arial MT"/>
                              <w:spacing w:val="-5"/>
                            </w:rPr>
                            <w:t>5</w:t>
                          </w:r>
                          <w:r>
                            <w:rPr>
                              <w:rFonts w:ascii="Arial MT"/>
                              <w:spacing w:val="-5"/>
                            </w:rPr>
                            <w:fldChar w:fldCharType="end"/>
                          </w:r>
                        </w:p>
                      </w:txbxContent>
                    </wps:txbx>
                    <wps:bodyPr wrap="square" lIns="0" tIns="0" rIns="0" bIns="0" rtlCol="0">
                      <a:noAutofit/>
                    </wps:bodyPr>
                  </wps:wsp>
                </a:graphicData>
              </a:graphic>
            </wp:anchor>
          </w:drawing>
        </mc:Choice>
        <mc:Fallback>
          <w:pict>
            <v:shapetype w14:anchorId="695D26EB" id="_x0000_t202" coordsize="21600,21600" o:spt="202" path="m,l,21600r21600,l21600,xe">
              <v:stroke joinstyle="miter"/>
              <v:path gradientshapeok="t" o:connecttype="rect"/>
            </v:shapetype>
            <v:shape id="Textbox 504" o:spid="_x0000_s1321" type="#_x0000_t202" style="position:absolute;margin-left:551.85pt;margin-top:779.4pt;width:19.25pt;height:14.35pt;z-index:-3070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" filled="f" stroked="f">
              <v:textbox inset="0,0,0,0">
                <w:txbxContent>
                  <w:p w14:paraId="3DD6C49B" w14:textId="77777777" w:rsidR="002C6574" w:rsidRDefault="00000000">
                    <w:pPr>
                      <w:pStyle w:val="Corpodetexto"/>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w:t>
                    </w:r>
                    <w:r>
                      <w:rPr>
                        <w:rFonts w:ascii="Arial MT"/>
                        <w:spacing w:val="-5"/>
                      </w:rPr>
                      <w:t>5</w:t>
                    </w:r>
                    <w:r>
                      <w:rPr>
                        <w:rFonts w:ascii="Arial MT"/>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90739"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65248" behindDoc="1" locked="0" layoutInCell="1" allowOverlap="1" wp14:anchorId="1057E6AA" wp14:editId="1738B64B">
              <wp:simplePos x="0" y="0"/>
              <wp:positionH relativeFrom="page">
                <wp:posOffset>6686803</wp:posOffset>
              </wp:positionH>
              <wp:positionV relativeFrom="page">
                <wp:posOffset>10208763</wp:posOffset>
              </wp:positionV>
              <wp:extent cx="205740" cy="16573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14:paraId="72EBFE98" w14:textId="77777777" w:rsidR="002C6574" w:rsidRDefault="00000000">
                          <w:pPr>
                            <w:pStyle w:val="Corpodetexto"/>
                            <w:spacing w:line="245" w:lineRule="exact"/>
                            <w:ind w:left="20"/>
                            <w:rPr>
                              <w:rFonts w:ascii="Calibri"/>
                            </w:rPr>
                          </w:pPr>
                          <w:r>
                            <w:rPr>
                              <w:rFonts w:ascii="Calibri"/>
                              <w:color w:val="4F80BC"/>
                              <w:spacing w:val="-5"/>
                            </w:rPr>
                            <w:t>2</w:t>
                          </w:r>
                          <w:r>
                            <w:rPr>
                              <w:rFonts w:ascii="Calibri"/>
                              <w:color w:val="4F80BC"/>
                              <w:spacing w:val="-5"/>
                            </w:rPr>
                            <w:fldChar w:fldCharType="begin"/>
                          </w:r>
                          <w:r>
                            <w:rPr>
                              <w:rFonts w:ascii="Calibri"/>
                              <w:color w:val="4F80BC"/>
                              <w:spacing w:val="-5"/>
                            </w:rPr>
                            <w:instrText xml:space="preserve"> PAGE </w:instrText>
                          </w:r>
                          <w:r>
                            <w:rPr>
                              <w:rFonts w:ascii="Calibri"/>
                              <w:color w:val="4F80BC"/>
                              <w:spacing w:val="-5"/>
                            </w:rPr>
                            <w:fldChar w:fldCharType="separate"/>
                          </w:r>
                          <w:r>
                            <w:rPr>
                              <w:rFonts w:ascii="Calibri"/>
                              <w:color w:val="4F80BC"/>
                              <w:spacing w:val="-5"/>
                            </w:rPr>
                            <w:t>1</w:t>
                          </w:r>
                          <w:r>
                            <w:rPr>
                              <w:rFonts w:ascii="Calibri"/>
                              <w:color w:val="4F80BC"/>
                              <w:spacing w:val="-5"/>
                            </w:rPr>
                            <w:fldChar w:fldCharType="end"/>
                          </w:r>
                        </w:p>
                      </w:txbxContent>
                    </wps:txbx>
                    <wps:bodyPr wrap="square" lIns="0" tIns="0" rIns="0" bIns="0" rtlCol="0">
                      <a:noAutofit/>
                    </wps:bodyPr>
                  </wps:wsp>
                </a:graphicData>
              </a:graphic>
            </wp:anchor>
          </w:drawing>
        </mc:Choice>
        <mc:Fallback>
          <w:pict>
            <v:shapetype w14:anchorId="1057E6AA" id="_x0000_t202" coordsize="21600,21600" o:spt="202" path="m,l,21600r21600,l21600,xe">
              <v:stroke joinstyle="miter"/>
              <v:path gradientshapeok="t" o:connecttype="rect"/>
            </v:shapetype>
            <v:shape id="Textbox 61" o:spid="_x0000_s1261" type="#_x0000_t202" style="position:absolute;margin-left:526.5pt;margin-top:803.85pt;width:16.2pt;height:13.05pt;z-index:-3075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" filled="f" stroked="f">
              <v:textbox inset="0,0,0,0">
                <w:txbxContent>
                  <w:p w14:paraId="72EBFE98" w14:textId="77777777" w:rsidR="002C6574" w:rsidRDefault="00000000">
                    <w:pPr>
                      <w:pStyle w:val="Corpodetexto"/>
                      <w:spacing w:line="245" w:lineRule="exact"/>
                      <w:ind w:left="20"/>
                      <w:rPr>
                        <w:rFonts w:ascii="Calibri"/>
                      </w:rPr>
                    </w:pPr>
                    <w:r>
                      <w:rPr>
                        <w:rFonts w:ascii="Calibri"/>
                        <w:color w:val="4F80BC"/>
                        <w:spacing w:val="-5"/>
                      </w:rPr>
                      <w:t>2</w:t>
                    </w:r>
                    <w:r>
                      <w:rPr>
                        <w:rFonts w:ascii="Calibri"/>
                        <w:color w:val="4F80BC"/>
                        <w:spacing w:val="-5"/>
                      </w:rPr>
                      <w:fldChar w:fldCharType="begin"/>
                    </w:r>
                    <w:r>
                      <w:rPr>
                        <w:rFonts w:ascii="Calibri"/>
                        <w:color w:val="4F80BC"/>
                        <w:spacing w:val="-5"/>
                      </w:rPr>
                      <w:instrText xml:space="preserve"> PAGE </w:instrText>
                    </w:r>
                    <w:r>
                      <w:rPr>
                        <w:rFonts w:ascii="Calibri"/>
                        <w:color w:val="4F80BC"/>
                        <w:spacing w:val="-5"/>
                      </w:rPr>
                      <w:fldChar w:fldCharType="separate"/>
                    </w:r>
                    <w:r>
                      <w:rPr>
                        <w:rFonts w:ascii="Calibri"/>
                        <w:color w:val="4F80BC"/>
                        <w:spacing w:val="-5"/>
                      </w:rPr>
                      <w:t>1</w:t>
                    </w:r>
                    <w:r>
                      <w:rPr>
                        <w:rFonts w:ascii="Calibri"/>
                        <w:color w:val="4F80BC"/>
                        <w:spacing w:val="-5"/>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E3D31"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609280" behindDoc="1" locked="0" layoutInCell="1" allowOverlap="1" wp14:anchorId="41B2CF0D" wp14:editId="03BE0662">
              <wp:simplePos x="0" y="0"/>
              <wp:positionH relativeFrom="page">
                <wp:posOffset>7008621</wp:posOffset>
              </wp:positionH>
              <wp:positionV relativeFrom="page">
                <wp:posOffset>9898656</wp:posOffset>
              </wp:positionV>
              <wp:extent cx="244475" cy="182245"/>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452F6B9E" w14:textId="77777777" w:rsidR="002C6574" w:rsidRDefault="00000000">
                          <w:pPr>
                            <w:pStyle w:val="Corpodetexto"/>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w:t>
                          </w:r>
                          <w:r>
                            <w:rPr>
                              <w:rFonts w:ascii="Arial MT"/>
                              <w:spacing w:val="-5"/>
                            </w:rPr>
                            <w:t>6</w:t>
                          </w:r>
                          <w:r>
                            <w:rPr>
                              <w:rFonts w:ascii="Arial MT"/>
                              <w:spacing w:val="-5"/>
                            </w:rPr>
                            <w:fldChar w:fldCharType="end"/>
                          </w:r>
                        </w:p>
                      </w:txbxContent>
                    </wps:txbx>
                    <wps:bodyPr wrap="square" lIns="0" tIns="0" rIns="0" bIns="0" rtlCol="0">
                      <a:noAutofit/>
                    </wps:bodyPr>
                  </wps:wsp>
                </a:graphicData>
              </a:graphic>
            </wp:anchor>
          </w:drawing>
        </mc:Choice>
        <mc:Fallback>
          <w:pict>
            <v:shapetype w14:anchorId="41B2CF0D" id="_x0000_t202" coordsize="21600,21600" o:spt="202" path="m,l,21600r21600,l21600,xe">
              <v:stroke joinstyle="miter"/>
              <v:path gradientshapeok="t" o:connecttype="rect"/>
            </v:shapetype>
            <v:shape id="Textbox 511" o:spid="_x0000_s1324" type="#_x0000_t202" style="position:absolute;margin-left:551.85pt;margin-top:779.4pt;width:19.25pt;height:14.35pt;z-index:-307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" filled="f" stroked="f">
              <v:textbox inset="0,0,0,0">
                <w:txbxContent>
                  <w:p w14:paraId="452F6B9E" w14:textId="77777777" w:rsidR="002C6574" w:rsidRDefault="00000000">
                    <w:pPr>
                      <w:pStyle w:val="Corpodetexto"/>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w:t>
                    </w:r>
                    <w:r>
                      <w:rPr>
                        <w:rFonts w:ascii="Arial MT"/>
                        <w:spacing w:val="-5"/>
                      </w:rPr>
                      <w:t>6</w:t>
                    </w:r>
                    <w:r>
                      <w:rPr>
                        <w:rFonts w:ascii="Arial MT"/>
                        <w:spacing w:val="-5"/>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4DB3C"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610304" behindDoc="1" locked="0" layoutInCell="1" allowOverlap="1" wp14:anchorId="685C3BDD" wp14:editId="357171D7">
              <wp:simplePos x="0" y="0"/>
              <wp:positionH relativeFrom="page">
                <wp:posOffset>7008621</wp:posOffset>
              </wp:positionH>
              <wp:positionV relativeFrom="page">
                <wp:posOffset>9898656</wp:posOffset>
              </wp:positionV>
              <wp:extent cx="244475" cy="18224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2A12E315" w14:textId="77777777" w:rsidR="002C6574" w:rsidRDefault="00000000">
                          <w:pPr>
                            <w:pStyle w:val="Corpodetexto"/>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w:t>
                          </w:r>
                          <w:r>
                            <w:rPr>
                              <w:rFonts w:ascii="Arial MT"/>
                              <w:spacing w:val="-5"/>
                            </w:rPr>
                            <w:t>7</w:t>
                          </w:r>
                          <w:r>
                            <w:rPr>
                              <w:rFonts w:ascii="Arial MT"/>
                              <w:spacing w:val="-5"/>
                            </w:rPr>
                            <w:fldChar w:fldCharType="end"/>
                          </w:r>
                        </w:p>
                      </w:txbxContent>
                    </wps:txbx>
                    <wps:bodyPr wrap="square" lIns="0" tIns="0" rIns="0" bIns="0" rtlCol="0">
                      <a:noAutofit/>
                    </wps:bodyPr>
                  </wps:wsp>
                </a:graphicData>
              </a:graphic>
            </wp:anchor>
          </w:drawing>
        </mc:Choice>
        <mc:Fallback>
          <w:pict>
            <v:shapetype w14:anchorId="685C3BDD" id="_x0000_t202" coordsize="21600,21600" o:spt="202" path="m,l,21600r21600,l21600,xe">
              <v:stroke joinstyle="miter"/>
              <v:path gradientshapeok="t" o:connecttype="rect"/>
            </v:shapetype>
            <v:shape id="Textbox 516" o:spid="_x0000_s1326" type="#_x0000_t202" style="position:absolute;margin-left:551.85pt;margin-top:779.4pt;width:19.25pt;height:14.35pt;z-index:-307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" filled="f" stroked="f">
              <v:textbox inset="0,0,0,0">
                <w:txbxContent>
                  <w:p w14:paraId="2A12E315" w14:textId="77777777" w:rsidR="002C6574" w:rsidRDefault="00000000">
                    <w:pPr>
                      <w:pStyle w:val="Corpodetexto"/>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w:t>
                    </w:r>
                    <w:r>
                      <w:rPr>
                        <w:rFonts w:ascii="Arial MT"/>
                        <w:spacing w:val="-5"/>
                      </w:rPr>
                      <w:t>7</w:t>
                    </w:r>
                    <w:r>
                      <w:rPr>
                        <w:rFonts w:ascii="Arial MT"/>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87858"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67296" behindDoc="1" locked="0" layoutInCell="1" allowOverlap="1" wp14:anchorId="29F54FC6" wp14:editId="43022969">
              <wp:simplePos x="0" y="0"/>
              <wp:positionH relativeFrom="page">
                <wp:posOffset>6686803</wp:posOffset>
              </wp:positionH>
              <wp:positionV relativeFrom="page">
                <wp:posOffset>10208763</wp:posOffset>
              </wp:positionV>
              <wp:extent cx="167640"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14:paraId="3DAAA317" w14:textId="77777777" w:rsidR="002C6574" w:rsidRDefault="00000000">
                          <w:pPr>
                            <w:pStyle w:val="Corpodetexto"/>
                            <w:spacing w:line="245" w:lineRule="exact"/>
                            <w:ind w:left="20"/>
                            <w:rPr>
                              <w:rFonts w:ascii="Calibri"/>
                            </w:rPr>
                          </w:pPr>
                          <w:r>
                            <w:rPr>
                              <w:rFonts w:ascii="Calibri"/>
                              <w:color w:val="4F80BC"/>
                              <w:spacing w:val="-5"/>
                            </w:rPr>
                            <w:t>30</w:t>
                          </w:r>
                        </w:p>
                      </w:txbxContent>
                    </wps:txbx>
                    <wps:bodyPr wrap="square" lIns="0" tIns="0" rIns="0" bIns="0" rtlCol="0">
                      <a:noAutofit/>
                    </wps:bodyPr>
                  </wps:wsp>
                </a:graphicData>
              </a:graphic>
            </wp:anchor>
          </w:drawing>
        </mc:Choice>
        <mc:Fallback>
          <w:pict>
            <v:shapetype w14:anchorId="29F54FC6" id="_x0000_t202" coordsize="21600,21600" o:spt="202" path="m,l,21600r21600,l21600,xe">
              <v:stroke joinstyle="miter"/>
              <v:path gradientshapeok="t" o:connecttype="rect"/>
            </v:shapetype>
            <v:shape id="Textbox 68" o:spid="_x0000_s1262" type="#_x0000_t202" style="position:absolute;margin-left:526.5pt;margin-top:803.85pt;width:13.2pt;height:13.05pt;z-index:-3074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" filled="f" stroked="f">
              <v:textbox inset="0,0,0,0">
                <w:txbxContent>
                  <w:p w14:paraId="3DAAA317" w14:textId="77777777" w:rsidR="002C6574" w:rsidRDefault="00000000">
                    <w:pPr>
                      <w:pStyle w:val="Corpodetexto"/>
                      <w:spacing w:line="245" w:lineRule="exact"/>
                      <w:ind w:left="20"/>
                      <w:rPr>
                        <w:rFonts w:ascii="Calibri"/>
                      </w:rPr>
                    </w:pPr>
                    <w:r>
                      <w:rPr>
                        <w:rFonts w:ascii="Calibri"/>
                        <w:color w:val="4F80BC"/>
                        <w:spacing w:val="-5"/>
                      </w:rPr>
                      <w:t>30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A4973"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69344" behindDoc="1" locked="0" layoutInCell="1" allowOverlap="1" wp14:anchorId="5FE27788" wp14:editId="0E108323">
              <wp:simplePos x="0" y="0"/>
              <wp:positionH relativeFrom="page">
                <wp:posOffset>6686803</wp:posOffset>
              </wp:positionH>
              <wp:positionV relativeFrom="page">
                <wp:posOffset>10208763</wp:posOffset>
              </wp:positionV>
              <wp:extent cx="205740" cy="1657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14:paraId="5B62A050" w14:textId="77777777" w:rsidR="002C6574" w:rsidRDefault="00000000">
                          <w:pPr>
                            <w:pStyle w:val="Corpodetexto"/>
                            <w:spacing w:line="245" w:lineRule="exact"/>
                            <w:ind w:left="20"/>
                            <w:rPr>
                              <w:rFonts w:ascii="Calibri"/>
                            </w:rPr>
                          </w:pPr>
                          <w:r>
                            <w:rPr>
                              <w:rFonts w:ascii="Calibri"/>
                              <w:color w:val="4F80BC"/>
                              <w:spacing w:val="-5"/>
                            </w:rPr>
                            <w:t>3</w:t>
                          </w:r>
                          <w:r>
                            <w:rPr>
                              <w:rFonts w:ascii="Calibri"/>
                              <w:color w:val="4F80BC"/>
                              <w:spacing w:val="-5"/>
                            </w:rPr>
                            <w:fldChar w:fldCharType="begin"/>
                          </w:r>
                          <w:r>
                            <w:rPr>
                              <w:rFonts w:ascii="Calibri"/>
                              <w:color w:val="4F80BC"/>
                              <w:spacing w:val="-5"/>
                            </w:rPr>
                            <w:instrText xml:space="preserve"> PAGE </w:instrText>
                          </w:r>
                          <w:r>
                            <w:rPr>
                              <w:rFonts w:ascii="Calibri"/>
                              <w:color w:val="4F80BC"/>
                              <w:spacing w:val="-5"/>
                            </w:rPr>
                            <w:fldChar w:fldCharType="separate"/>
                          </w:r>
                          <w:r>
                            <w:rPr>
                              <w:rFonts w:ascii="Calibri"/>
                              <w:color w:val="4F80BC"/>
                              <w:spacing w:val="-5"/>
                            </w:rPr>
                            <w:t>1</w:t>
                          </w:r>
                          <w:r>
                            <w:rPr>
                              <w:rFonts w:ascii="Calibri"/>
                              <w:color w:val="4F80BC"/>
                              <w:spacing w:val="-5"/>
                            </w:rPr>
                            <w:fldChar w:fldCharType="end"/>
                          </w:r>
                        </w:p>
                      </w:txbxContent>
                    </wps:txbx>
                    <wps:bodyPr wrap="square" lIns="0" tIns="0" rIns="0" bIns="0" rtlCol="0">
                      <a:noAutofit/>
                    </wps:bodyPr>
                  </wps:wsp>
                </a:graphicData>
              </a:graphic>
            </wp:anchor>
          </w:drawing>
        </mc:Choice>
        <mc:Fallback>
          <w:pict>
            <v:shapetype w14:anchorId="5FE27788" id="_x0000_t202" coordsize="21600,21600" o:spt="202" path="m,l,21600r21600,l21600,xe">
              <v:stroke joinstyle="miter"/>
              <v:path gradientshapeok="t" o:connecttype="rect"/>
            </v:shapetype>
            <v:shape id="Textbox 72" o:spid="_x0000_s1263" type="#_x0000_t202" style="position:absolute;margin-left:526.5pt;margin-top:803.85pt;width:16.2pt;height:13.05pt;z-index:-3074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" filled="f" stroked="f">
              <v:textbox inset="0,0,0,0">
                <w:txbxContent>
                  <w:p w14:paraId="5B62A050" w14:textId="77777777" w:rsidR="002C6574" w:rsidRDefault="00000000">
                    <w:pPr>
                      <w:pStyle w:val="Corpodetexto"/>
                      <w:spacing w:line="245" w:lineRule="exact"/>
                      <w:ind w:left="20"/>
                      <w:rPr>
                        <w:rFonts w:ascii="Calibri"/>
                      </w:rPr>
                    </w:pPr>
                    <w:r>
                      <w:rPr>
                        <w:rFonts w:ascii="Calibri"/>
                        <w:color w:val="4F80BC"/>
                        <w:spacing w:val="-5"/>
                      </w:rPr>
                      <w:t>3</w:t>
                    </w:r>
                    <w:r>
                      <w:rPr>
                        <w:rFonts w:ascii="Calibri"/>
                        <w:color w:val="4F80BC"/>
                        <w:spacing w:val="-5"/>
                      </w:rPr>
                      <w:fldChar w:fldCharType="begin"/>
                    </w:r>
                    <w:r>
                      <w:rPr>
                        <w:rFonts w:ascii="Calibri"/>
                        <w:color w:val="4F80BC"/>
                        <w:spacing w:val="-5"/>
                      </w:rPr>
                      <w:instrText xml:space="preserve"> PAGE </w:instrText>
                    </w:r>
                    <w:r>
                      <w:rPr>
                        <w:rFonts w:ascii="Calibri"/>
                        <w:color w:val="4F80BC"/>
                        <w:spacing w:val="-5"/>
                      </w:rPr>
                      <w:fldChar w:fldCharType="separate"/>
                    </w:r>
                    <w:r>
                      <w:rPr>
                        <w:rFonts w:ascii="Calibri"/>
                        <w:color w:val="4F80BC"/>
                        <w:spacing w:val="-5"/>
                      </w:rPr>
                      <w:t>1</w:t>
                    </w:r>
                    <w:r>
                      <w:rPr>
                        <w:rFonts w:ascii="Calibri"/>
                        <w:color w:val="4F80BC"/>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CBDBD"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71392" behindDoc="1" locked="0" layoutInCell="1" allowOverlap="1" wp14:anchorId="3AD5402A" wp14:editId="220B62ED">
              <wp:simplePos x="0" y="0"/>
              <wp:positionH relativeFrom="page">
                <wp:posOffset>6686803</wp:posOffset>
              </wp:positionH>
              <wp:positionV relativeFrom="page">
                <wp:posOffset>10004547</wp:posOffset>
              </wp:positionV>
              <wp:extent cx="205740" cy="16573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14:paraId="146623A2" w14:textId="77777777" w:rsidR="002C6574" w:rsidRDefault="00000000">
                          <w:pPr>
                            <w:pStyle w:val="Corpodetexto"/>
                            <w:spacing w:line="245" w:lineRule="exact"/>
                            <w:ind w:left="20"/>
                            <w:rPr>
                              <w:rFonts w:ascii="Calibri"/>
                            </w:rPr>
                          </w:pPr>
                          <w:r>
                            <w:rPr>
                              <w:rFonts w:ascii="Calibri"/>
                              <w:color w:val="4F80BC"/>
                              <w:spacing w:val="-5"/>
                            </w:rPr>
                            <w:t>3</w:t>
                          </w:r>
                          <w:r>
                            <w:rPr>
                              <w:rFonts w:ascii="Calibri"/>
                              <w:color w:val="4F80BC"/>
                              <w:spacing w:val="-5"/>
                            </w:rPr>
                            <w:fldChar w:fldCharType="begin"/>
                          </w:r>
                          <w:r>
                            <w:rPr>
                              <w:rFonts w:ascii="Calibri"/>
                              <w:color w:val="4F80BC"/>
                              <w:spacing w:val="-5"/>
                            </w:rPr>
                            <w:instrText xml:space="preserve"> PAGE </w:instrText>
                          </w:r>
                          <w:r>
                            <w:rPr>
                              <w:rFonts w:ascii="Calibri"/>
                              <w:color w:val="4F80BC"/>
                              <w:spacing w:val="-5"/>
                            </w:rPr>
                            <w:fldChar w:fldCharType="separate"/>
                          </w:r>
                          <w:r>
                            <w:rPr>
                              <w:rFonts w:ascii="Calibri"/>
                              <w:color w:val="4F80BC"/>
                              <w:spacing w:val="-5"/>
                            </w:rPr>
                            <w:t>6</w:t>
                          </w:r>
                          <w:r>
                            <w:rPr>
                              <w:rFonts w:ascii="Calibri"/>
                              <w:color w:val="4F80BC"/>
                              <w:spacing w:val="-5"/>
                            </w:rPr>
                            <w:fldChar w:fldCharType="end"/>
                          </w:r>
                        </w:p>
                      </w:txbxContent>
                    </wps:txbx>
                    <wps:bodyPr wrap="square" lIns="0" tIns="0" rIns="0" bIns="0" rtlCol="0">
                      <a:noAutofit/>
                    </wps:bodyPr>
                  </wps:wsp>
                </a:graphicData>
              </a:graphic>
            </wp:anchor>
          </w:drawing>
        </mc:Choice>
        <mc:Fallback>
          <w:pict>
            <v:shapetype w14:anchorId="3AD5402A" id="_x0000_t202" coordsize="21600,21600" o:spt="202" path="m,l,21600r21600,l21600,xe">
              <v:stroke joinstyle="miter"/>
              <v:path gradientshapeok="t" o:connecttype="rect"/>
            </v:shapetype>
            <v:shape id="Textbox 76" o:spid="_x0000_s1264" type="#_x0000_t202" style="position:absolute;margin-left:526.5pt;margin-top:787.75pt;width:16.2pt;height:13.05pt;z-index:-307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" filled="f" stroked="f">
              <v:textbox inset="0,0,0,0">
                <w:txbxContent>
                  <w:p w14:paraId="146623A2" w14:textId="77777777" w:rsidR="002C6574" w:rsidRDefault="00000000">
                    <w:pPr>
                      <w:pStyle w:val="Corpodetexto"/>
                      <w:spacing w:line="245" w:lineRule="exact"/>
                      <w:ind w:left="20"/>
                      <w:rPr>
                        <w:rFonts w:ascii="Calibri"/>
                      </w:rPr>
                    </w:pPr>
                    <w:r>
                      <w:rPr>
                        <w:rFonts w:ascii="Calibri"/>
                        <w:color w:val="4F80BC"/>
                        <w:spacing w:val="-5"/>
                      </w:rPr>
                      <w:t>3</w:t>
                    </w:r>
                    <w:r>
                      <w:rPr>
                        <w:rFonts w:ascii="Calibri"/>
                        <w:color w:val="4F80BC"/>
                        <w:spacing w:val="-5"/>
                      </w:rPr>
                      <w:fldChar w:fldCharType="begin"/>
                    </w:r>
                    <w:r>
                      <w:rPr>
                        <w:rFonts w:ascii="Calibri"/>
                        <w:color w:val="4F80BC"/>
                        <w:spacing w:val="-5"/>
                      </w:rPr>
                      <w:instrText xml:space="preserve"> PAGE </w:instrText>
                    </w:r>
                    <w:r>
                      <w:rPr>
                        <w:rFonts w:ascii="Calibri"/>
                        <w:color w:val="4F80BC"/>
                        <w:spacing w:val="-5"/>
                      </w:rPr>
                      <w:fldChar w:fldCharType="separate"/>
                    </w:r>
                    <w:r>
                      <w:rPr>
                        <w:rFonts w:ascii="Calibri"/>
                        <w:color w:val="4F80BC"/>
                        <w:spacing w:val="-5"/>
                      </w:rPr>
                      <w:t>6</w:t>
                    </w:r>
                    <w:r>
                      <w:rPr>
                        <w:rFonts w:ascii="Calibri"/>
                        <w:color w:val="4F80BC"/>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84D26"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73440" behindDoc="1" locked="0" layoutInCell="1" allowOverlap="1" wp14:anchorId="35CB98B0" wp14:editId="5EAD6902">
              <wp:simplePos x="0" y="0"/>
              <wp:positionH relativeFrom="page">
                <wp:posOffset>6686803</wp:posOffset>
              </wp:positionH>
              <wp:positionV relativeFrom="page">
                <wp:posOffset>10004547</wp:posOffset>
              </wp:positionV>
              <wp:extent cx="167640" cy="16573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5735"/>
                      </a:xfrm>
                      <a:prstGeom prst="rect">
                        <a:avLst/>
                      </a:prstGeom>
                    </wps:spPr>
                    <wps:txbx>
                      <w:txbxContent>
                        <w:p w14:paraId="01CE859A" w14:textId="77777777" w:rsidR="002C6574" w:rsidRDefault="00000000">
                          <w:pPr>
                            <w:pStyle w:val="Corpodetexto"/>
                            <w:spacing w:line="245" w:lineRule="exact"/>
                            <w:ind w:left="20"/>
                            <w:rPr>
                              <w:rFonts w:ascii="Calibri"/>
                            </w:rPr>
                          </w:pPr>
                          <w:r>
                            <w:rPr>
                              <w:rFonts w:ascii="Calibri"/>
                              <w:color w:val="4F80BC"/>
                              <w:spacing w:val="-5"/>
                            </w:rPr>
                            <w:t>40</w:t>
                          </w:r>
                        </w:p>
                      </w:txbxContent>
                    </wps:txbx>
                    <wps:bodyPr wrap="square" lIns="0" tIns="0" rIns="0" bIns="0" rtlCol="0">
                      <a:noAutofit/>
                    </wps:bodyPr>
                  </wps:wsp>
                </a:graphicData>
              </a:graphic>
            </wp:anchor>
          </w:drawing>
        </mc:Choice>
        <mc:Fallback>
          <w:pict>
            <v:shapetype w14:anchorId="35CB98B0" id="_x0000_t202" coordsize="21600,21600" o:spt="202" path="m,l,21600r21600,l21600,xe">
              <v:stroke joinstyle="miter"/>
              <v:path gradientshapeok="t" o:connecttype="rect"/>
            </v:shapetype>
            <v:shape id="Textbox 98" o:spid="_x0000_s1265" type="#_x0000_t202" style="position:absolute;margin-left:526.5pt;margin-top:787.75pt;width:13.2pt;height:13.05pt;z-index:-3074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" filled="f" stroked="f">
              <v:textbox inset="0,0,0,0">
                <w:txbxContent>
                  <w:p w14:paraId="01CE859A" w14:textId="77777777" w:rsidR="002C6574" w:rsidRDefault="00000000">
                    <w:pPr>
                      <w:pStyle w:val="Corpodetexto"/>
                      <w:spacing w:line="245" w:lineRule="exact"/>
                      <w:ind w:left="20"/>
                      <w:rPr>
                        <w:rFonts w:ascii="Calibri"/>
                      </w:rPr>
                    </w:pPr>
                    <w:r>
                      <w:rPr>
                        <w:rFonts w:ascii="Calibri"/>
                        <w:color w:val="4F80BC"/>
                        <w:spacing w:val="-5"/>
                      </w:rPr>
                      <w:t>40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9A05C" w14:textId="77777777" w:rsidR="00EB62B4" w:rsidRDefault="00EB62B4">
      <w:r>
        <w:separator/>
      </w:r>
    </w:p>
  </w:footnote>
  <w:footnote w:type="continuationSeparator" w:id="0">
    <w:p w14:paraId="5A9A2622" w14:textId="77777777" w:rsidR="00EB62B4" w:rsidRDefault="00EB62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F70CE" w14:textId="77777777" w:rsidR="002C6574" w:rsidRDefault="00000000">
    <w:pPr>
      <w:pStyle w:val="Corpodetexto"/>
      <w:spacing w:line="14" w:lineRule="auto"/>
      <w:rPr>
        <w:sz w:val="20"/>
      </w:rPr>
    </w:pPr>
    <w:r>
      <w:rPr>
        <w:noProof/>
        <w:sz w:val="20"/>
      </w:rPr>
      <w:drawing>
        <wp:anchor distT="0" distB="0" distL="0" distR="0" simplePos="0" relativeHeight="472555520" behindDoc="1" locked="0" layoutInCell="1" allowOverlap="1" wp14:anchorId="30E9E726" wp14:editId="18557C91">
          <wp:simplePos x="0" y="0"/>
          <wp:positionH relativeFrom="page">
            <wp:posOffset>5977128</wp:posOffset>
          </wp:positionH>
          <wp:positionV relativeFrom="page">
            <wp:posOffset>198120</wp:posOffset>
          </wp:positionV>
          <wp:extent cx="1146048" cy="344423"/>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1146048" cy="344423"/>
                  </a:xfrm>
                  <a:prstGeom prst="rect">
                    <a:avLst/>
                  </a:prstGeom>
                </pic:spPr>
              </pic:pic>
            </a:graphicData>
          </a:graphic>
        </wp:anchor>
      </w:drawing>
    </w:r>
    <w:r>
      <w:rPr>
        <w:noProof/>
        <w:sz w:val="20"/>
      </w:rPr>
      <mc:AlternateContent>
        <mc:Choice Requires="wps">
          <w:drawing>
            <wp:anchor distT="0" distB="0" distL="0" distR="0" simplePos="0" relativeHeight="472556032" behindDoc="1" locked="0" layoutInCell="1" allowOverlap="1" wp14:anchorId="22987F66" wp14:editId="4F5C32C9">
              <wp:simplePos x="0" y="0"/>
              <wp:positionH relativeFrom="page">
                <wp:posOffset>480060</wp:posOffset>
              </wp:positionH>
              <wp:positionV relativeFrom="page">
                <wp:posOffset>690372</wp:posOffset>
              </wp:positionV>
              <wp:extent cx="7080884" cy="1841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884" cy="18415"/>
                      </a:xfrm>
                      <a:custGeom>
                        <a:avLst/>
                        <a:gdLst/>
                        <a:ahLst/>
                        <a:cxnLst/>
                        <a:rect l="l" t="t" r="r" b="b"/>
                        <a:pathLst>
                          <a:path w="7080884" h="18415">
                            <a:moveTo>
                              <a:pt x="7080504" y="18288"/>
                            </a:moveTo>
                            <a:lnTo>
                              <a:pt x="0" y="18288"/>
                            </a:lnTo>
                            <a:lnTo>
                              <a:pt x="0" y="0"/>
                            </a:lnTo>
                            <a:lnTo>
                              <a:pt x="7080504" y="0"/>
                            </a:lnTo>
                            <a:lnTo>
                              <a:pt x="7080504" y="18288"/>
                            </a:lnTo>
                            <a:close/>
                          </a:path>
                        </a:pathLst>
                      </a:custGeom>
                      <a:solidFill>
                        <a:srgbClr val="95B3D6"/>
                      </a:solidFill>
                    </wps:spPr>
                    <wps:bodyPr wrap="square" lIns="0" tIns="0" rIns="0" bIns="0" rtlCol="0">
                      <a:prstTxWarp prst="textNoShape">
                        <a:avLst/>
                      </a:prstTxWarp>
                      <a:noAutofit/>
                    </wps:bodyPr>
                  </wps:wsp>
                </a:graphicData>
              </a:graphic>
            </wp:anchor>
          </w:drawing>
        </mc:Choice>
        <mc:Fallback>
          <w:pict>
            <v:shape w14:anchorId="22F65966" id="Graphic 6" o:spid="_x0000_s1026" style="position:absolute;margin-left:37.8pt;margin-top:54.35pt;width:557.55pt;height:1.45pt;z-index:-30760448;visibility:visible;mso-wrap-style:square;mso-wrap-distance-left:0;mso-wrap-distance-top:0;mso-wrap-distance-right:0;mso-wrap-distance-bottom:0;mso-position-horizontal:absolute;mso-position-horizontal-relative:page;mso-position-vertical:absolute;mso-position-vertical-relative:page;v-text-anchor:top" coordsize="70808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" path="m7080504,18288l,18288,,,7080504,r,18288xe" fillcolor="#95b3d6" stroked="f">
              <v:path arrowok="t"/>
              <w10:wrap anchorx="page" anchory="page"/>
            </v:shape>
          </w:pict>
        </mc:Fallback>
      </mc:AlternateContent>
    </w:r>
    <w:r>
      <w:rPr>
        <w:noProof/>
        <w:sz w:val="20"/>
      </w:rPr>
      <mc:AlternateContent>
        <mc:Choice Requires="wps">
          <w:drawing>
            <wp:anchor distT="0" distB="0" distL="0" distR="0" simplePos="0" relativeHeight="472556544" behindDoc="1" locked="0" layoutInCell="1" allowOverlap="1" wp14:anchorId="1F1534D8" wp14:editId="0B99048F">
              <wp:simplePos x="0" y="0"/>
              <wp:positionH relativeFrom="page">
                <wp:posOffset>899160</wp:posOffset>
              </wp:positionH>
              <wp:positionV relativeFrom="page">
                <wp:posOffset>723900</wp:posOffset>
              </wp:positionV>
              <wp:extent cx="6661784" cy="1841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8415"/>
                      </a:xfrm>
                      <a:custGeom>
                        <a:avLst/>
                        <a:gdLst/>
                        <a:ahLst/>
                        <a:cxnLst/>
                        <a:rect l="l" t="t" r="r" b="b"/>
                        <a:pathLst>
                          <a:path w="6661784" h="18415">
                            <a:moveTo>
                              <a:pt x="6661404" y="18288"/>
                            </a:moveTo>
                            <a:lnTo>
                              <a:pt x="0" y="18288"/>
                            </a:lnTo>
                            <a:lnTo>
                              <a:pt x="0" y="0"/>
                            </a:lnTo>
                            <a:lnTo>
                              <a:pt x="6661404" y="0"/>
                            </a:lnTo>
                            <a:lnTo>
                              <a:pt x="6661404" y="18288"/>
                            </a:lnTo>
                            <a:close/>
                          </a:path>
                        </a:pathLst>
                      </a:custGeom>
                      <a:solidFill>
                        <a:srgbClr val="215967"/>
                      </a:solidFill>
                    </wps:spPr>
                    <wps:bodyPr wrap="square" lIns="0" tIns="0" rIns="0" bIns="0" rtlCol="0">
                      <a:prstTxWarp prst="textNoShape">
                        <a:avLst/>
                      </a:prstTxWarp>
                      <a:noAutofit/>
                    </wps:bodyPr>
                  </wps:wsp>
                </a:graphicData>
              </a:graphic>
            </wp:anchor>
          </w:drawing>
        </mc:Choice>
        <mc:Fallback>
          <w:pict>
            <v:shape w14:anchorId="0D383AB5" id="Graphic 7" o:spid="_x0000_s1026" style="position:absolute;margin-left:70.8pt;margin-top:57pt;width:524.55pt;height:1.45pt;z-index:-30759936;visibility:visible;mso-wrap-style:square;mso-wrap-distance-left:0;mso-wrap-distance-top:0;mso-wrap-distance-right:0;mso-wrap-distance-bottom:0;mso-position-horizontal:absolute;mso-position-horizontal-relative:page;mso-position-vertical:absolute;mso-position-vertical-relative:page;v-text-anchor:top" coordsize="66617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" path="m6661404,18288l,18288,,,6661404,r,18288xe" fillcolor="#215967" stroked="f">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5287B" w14:textId="77777777" w:rsidR="002C6574" w:rsidRDefault="00000000">
    <w:pPr>
      <w:pStyle w:val="Corpodetexto"/>
      <w:spacing w:line="14" w:lineRule="auto"/>
      <w:rPr>
        <w:sz w:val="20"/>
      </w:rPr>
    </w:pPr>
    <w:r>
      <w:rPr>
        <w:noProof/>
        <w:sz w:val="20"/>
      </w:rPr>
      <w:drawing>
        <wp:anchor distT="0" distB="0" distL="0" distR="0" simplePos="0" relativeHeight="472573952" behindDoc="1" locked="0" layoutInCell="1" allowOverlap="1" wp14:anchorId="3DA26019" wp14:editId="194D67EA">
          <wp:simplePos x="0" y="0"/>
          <wp:positionH relativeFrom="page">
            <wp:posOffset>6096000</wp:posOffset>
          </wp:positionH>
          <wp:positionV relativeFrom="page">
            <wp:posOffset>182880</wp:posOffset>
          </wp:positionV>
          <wp:extent cx="1146047" cy="344423"/>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 cstate="print"/>
                  <a:stretch>
                    <a:fillRect/>
                  </a:stretch>
                </pic:blipFill>
                <pic:spPr>
                  <a:xfrm>
                    <a:off x="0" y="0"/>
                    <a:ext cx="1146047" cy="344423"/>
                  </a:xfrm>
                  <a:prstGeom prst="rect">
                    <a:avLst/>
                  </a:prstGeom>
                </pic:spPr>
              </pic:pic>
            </a:graphicData>
          </a:graphic>
        </wp:anchor>
      </w:drawing>
    </w:r>
    <w:r>
      <w:rPr>
        <w:noProof/>
        <w:sz w:val="20"/>
      </w:rPr>
      <mc:AlternateContent>
        <mc:Choice Requires="wps">
          <w:drawing>
            <wp:anchor distT="0" distB="0" distL="0" distR="0" simplePos="0" relativeHeight="472574464" behindDoc="1" locked="0" layoutInCell="1" allowOverlap="1" wp14:anchorId="499844C3" wp14:editId="7192D4FD">
              <wp:simplePos x="0" y="0"/>
              <wp:positionH relativeFrom="page">
                <wp:posOffset>480060</wp:posOffset>
              </wp:positionH>
              <wp:positionV relativeFrom="page">
                <wp:posOffset>653796</wp:posOffset>
              </wp:positionV>
              <wp:extent cx="7080884" cy="1841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884" cy="18415"/>
                      </a:xfrm>
                      <a:custGeom>
                        <a:avLst/>
                        <a:gdLst/>
                        <a:ahLst/>
                        <a:cxnLst/>
                        <a:rect l="l" t="t" r="r" b="b"/>
                        <a:pathLst>
                          <a:path w="7080884" h="18415">
                            <a:moveTo>
                              <a:pt x="7080504" y="18288"/>
                            </a:moveTo>
                            <a:lnTo>
                              <a:pt x="0" y="18288"/>
                            </a:lnTo>
                            <a:lnTo>
                              <a:pt x="0" y="0"/>
                            </a:lnTo>
                            <a:lnTo>
                              <a:pt x="7080504" y="0"/>
                            </a:lnTo>
                            <a:lnTo>
                              <a:pt x="7080504" y="18288"/>
                            </a:lnTo>
                            <a:close/>
                          </a:path>
                        </a:pathLst>
                      </a:custGeom>
                      <a:solidFill>
                        <a:srgbClr val="95B3D6"/>
                      </a:solidFill>
                    </wps:spPr>
                    <wps:bodyPr wrap="square" lIns="0" tIns="0" rIns="0" bIns="0" rtlCol="0">
                      <a:prstTxWarp prst="textNoShape">
                        <a:avLst/>
                      </a:prstTxWarp>
                      <a:noAutofit/>
                    </wps:bodyPr>
                  </wps:wsp>
                </a:graphicData>
              </a:graphic>
            </wp:anchor>
          </w:drawing>
        </mc:Choice>
        <mc:Fallback>
          <w:pict>
            <v:shape w14:anchorId="007A92D5" id="Graphic 101" o:spid="_x0000_s1026" style="position:absolute;margin-left:37.8pt;margin-top:51.5pt;width:557.55pt;height:1.45pt;z-index:-30742016;visibility:visible;mso-wrap-style:square;mso-wrap-distance-left:0;mso-wrap-distance-top:0;mso-wrap-distance-right:0;mso-wrap-distance-bottom:0;mso-position-horizontal:absolute;mso-position-horizontal-relative:page;mso-position-vertical:absolute;mso-position-vertical-relative:page;v-text-anchor:top" coordsize="70808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" path="m7080504,18288l,18288,,,7080504,r,18288xe" fillcolor="#95b3d6" stroked="f">
              <v:path arrowok="t"/>
              <w10:wrap anchorx="page" anchory="page"/>
            </v:shape>
          </w:pict>
        </mc:Fallback>
      </mc:AlternateContent>
    </w:r>
    <w:r>
      <w:rPr>
        <w:noProof/>
        <w:sz w:val="20"/>
      </w:rPr>
      <mc:AlternateContent>
        <mc:Choice Requires="wps">
          <w:drawing>
            <wp:anchor distT="0" distB="0" distL="0" distR="0" simplePos="0" relativeHeight="472574976" behindDoc="1" locked="0" layoutInCell="1" allowOverlap="1" wp14:anchorId="2901DA2F" wp14:editId="471C02AF">
              <wp:simplePos x="0" y="0"/>
              <wp:positionH relativeFrom="page">
                <wp:posOffset>899160</wp:posOffset>
              </wp:positionH>
              <wp:positionV relativeFrom="page">
                <wp:posOffset>688848</wp:posOffset>
              </wp:positionV>
              <wp:extent cx="6661784" cy="1841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8415"/>
                      </a:xfrm>
                      <a:custGeom>
                        <a:avLst/>
                        <a:gdLst/>
                        <a:ahLst/>
                        <a:cxnLst/>
                        <a:rect l="l" t="t" r="r" b="b"/>
                        <a:pathLst>
                          <a:path w="6661784" h="18415">
                            <a:moveTo>
                              <a:pt x="6661404" y="18288"/>
                            </a:moveTo>
                            <a:lnTo>
                              <a:pt x="0" y="18288"/>
                            </a:lnTo>
                            <a:lnTo>
                              <a:pt x="0" y="0"/>
                            </a:lnTo>
                            <a:lnTo>
                              <a:pt x="6661404" y="0"/>
                            </a:lnTo>
                            <a:lnTo>
                              <a:pt x="6661404" y="18288"/>
                            </a:lnTo>
                            <a:close/>
                          </a:path>
                        </a:pathLst>
                      </a:custGeom>
                      <a:solidFill>
                        <a:srgbClr val="215967"/>
                      </a:solidFill>
                    </wps:spPr>
                    <wps:bodyPr wrap="square" lIns="0" tIns="0" rIns="0" bIns="0" rtlCol="0">
                      <a:prstTxWarp prst="textNoShape">
                        <a:avLst/>
                      </a:prstTxWarp>
                      <a:noAutofit/>
                    </wps:bodyPr>
                  </wps:wsp>
                </a:graphicData>
              </a:graphic>
            </wp:anchor>
          </w:drawing>
        </mc:Choice>
        <mc:Fallback>
          <w:pict>
            <v:shape w14:anchorId="643AE4E4" id="Graphic 102" o:spid="_x0000_s1026" style="position:absolute;margin-left:70.8pt;margin-top:54.25pt;width:524.55pt;height:1.45pt;z-index:-30741504;visibility:visible;mso-wrap-style:square;mso-wrap-distance-left:0;mso-wrap-distance-top:0;mso-wrap-distance-right:0;mso-wrap-distance-bottom:0;mso-position-horizontal:absolute;mso-position-horizontal-relative:page;mso-position-vertical:absolute;mso-position-vertical-relative:page;v-text-anchor:top" coordsize="66617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" path="m6661404,18288l,18288,,,6661404,r,18288xe" fillcolor="#215967" stroked="f">
              <v:path arrowok="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F5753" w14:textId="77777777" w:rsidR="002C6574" w:rsidRDefault="00000000">
    <w:pPr>
      <w:pStyle w:val="Corpodetexto"/>
      <w:spacing w:line="14" w:lineRule="auto"/>
      <w:rPr>
        <w:sz w:val="20"/>
      </w:rPr>
    </w:pPr>
    <w:r>
      <w:rPr>
        <w:noProof/>
        <w:sz w:val="20"/>
      </w:rPr>
      <w:drawing>
        <wp:anchor distT="0" distB="0" distL="0" distR="0" simplePos="0" relativeHeight="472576000" behindDoc="1" locked="0" layoutInCell="1" allowOverlap="1" wp14:anchorId="0C01E76D" wp14:editId="4018041C">
          <wp:simplePos x="0" y="0"/>
          <wp:positionH relativeFrom="page">
            <wp:posOffset>6144767</wp:posOffset>
          </wp:positionH>
          <wp:positionV relativeFrom="page">
            <wp:posOffset>393191</wp:posOffset>
          </wp:positionV>
          <wp:extent cx="1146048" cy="344423"/>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 cstate="print"/>
                  <a:stretch>
                    <a:fillRect/>
                  </a:stretch>
                </pic:blipFill>
                <pic:spPr>
                  <a:xfrm>
                    <a:off x="0" y="0"/>
                    <a:ext cx="1146048" cy="344423"/>
                  </a:xfrm>
                  <a:prstGeom prst="rect">
                    <a:avLst/>
                  </a:prstGeom>
                </pic:spPr>
              </pic:pic>
            </a:graphicData>
          </a:graphic>
        </wp:anchor>
      </w:drawing>
    </w:r>
    <w:r>
      <w:rPr>
        <w:noProof/>
        <w:sz w:val="20"/>
      </w:rPr>
      <mc:AlternateContent>
        <mc:Choice Requires="wps">
          <w:drawing>
            <wp:anchor distT="0" distB="0" distL="0" distR="0" simplePos="0" relativeHeight="472576512" behindDoc="1" locked="0" layoutInCell="1" allowOverlap="1" wp14:anchorId="746272E5" wp14:editId="7FDEBB64">
              <wp:simplePos x="0" y="0"/>
              <wp:positionH relativeFrom="page">
                <wp:posOffset>480060</wp:posOffset>
              </wp:positionH>
              <wp:positionV relativeFrom="page">
                <wp:posOffset>859536</wp:posOffset>
              </wp:positionV>
              <wp:extent cx="7080884" cy="1841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884" cy="18415"/>
                      </a:xfrm>
                      <a:custGeom>
                        <a:avLst/>
                        <a:gdLst/>
                        <a:ahLst/>
                        <a:cxnLst/>
                        <a:rect l="l" t="t" r="r" b="b"/>
                        <a:pathLst>
                          <a:path w="7080884" h="18415">
                            <a:moveTo>
                              <a:pt x="7080504" y="18288"/>
                            </a:moveTo>
                            <a:lnTo>
                              <a:pt x="0" y="18288"/>
                            </a:lnTo>
                            <a:lnTo>
                              <a:pt x="0" y="0"/>
                            </a:lnTo>
                            <a:lnTo>
                              <a:pt x="7080504" y="0"/>
                            </a:lnTo>
                            <a:lnTo>
                              <a:pt x="7080504" y="18288"/>
                            </a:lnTo>
                            <a:close/>
                          </a:path>
                        </a:pathLst>
                      </a:custGeom>
                      <a:solidFill>
                        <a:srgbClr val="95B3D6"/>
                      </a:solidFill>
                    </wps:spPr>
                    <wps:bodyPr wrap="square" lIns="0" tIns="0" rIns="0" bIns="0" rtlCol="0">
                      <a:prstTxWarp prst="textNoShape">
                        <a:avLst/>
                      </a:prstTxWarp>
                      <a:noAutofit/>
                    </wps:bodyPr>
                  </wps:wsp>
                </a:graphicData>
              </a:graphic>
            </wp:anchor>
          </w:drawing>
        </mc:Choice>
        <mc:Fallback>
          <w:pict>
            <v:shape w14:anchorId="4F523BF3" id="Graphic 111" o:spid="_x0000_s1026" style="position:absolute;margin-left:37.8pt;margin-top:67.7pt;width:557.55pt;height:1.45pt;z-index:-30739968;visibility:visible;mso-wrap-style:square;mso-wrap-distance-left:0;mso-wrap-distance-top:0;mso-wrap-distance-right:0;mso-wrap-distance-bottom:0;mso-position-horizontal:absolute;mso-position-horizontal-relative:page;mso-position-vertical:absolute;mso-position-vertical-relative:page;v-text-anchor:top" coordsize="70808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" path="m7080504,18288l,18288,,,7080504,r,18288xe" fillcolor="#95b3d6" stroked="f">
              <v:path arrowok="t"/>
              <w10:wrap anchorx="page" anchory="page"/>
            </v:shape>
          </w:pict>
        </mc:Fallback>
      </mc:AlternateContent>
    </w:r>
    <w:r>
      <w:rPr>
        <w:noProof/>
        <w:sz w:val="20"/>
      </w:rPr>
      <mc:AlternateContent>
        <mc:Choice Requires="wps">
          <w:drawing>
            <wp:anchor distT="0" distB="0" distL="0" distR="0" simplePos="0" relativeHeight="472577024" behindDoc="1" locked="0" layoutInCell="1" allowOverlap="1" wp14:anchorId="1EC7E371" wp14:editId="756D201E">
              <wp:simplePos x="0" y="0"/>
              <wp:positionH relativeFrom="page">
                <wp:posOffset>899160</wp:posOffset>
              </wp:positionH>
              <wp:positionV relativeFrom="page">
                <wp:posOffset>893064</wp:posOffset>
              </wp:positionV>
              <wp:extent cx="6661784" cy="1841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8415"/>
                      </a:xfrm>
                      <a:custGeom>
                        <a:avLst/>
                        <a:gdLst/>
                        <a:ahLst/>
                        <a:cxnLst/>
                        <a:rect l="l" t="t" r="r" b="b"/>
                        <a:pathLst>
                          <a:path w="6661784" h="18415">
                            <a:moveTo>
                              <a:pt x="6661404" y="18288"/>
                            </a:moveTo>
                            <a:lnTo>
                              <a:pt x="0" y="18288"/>
                            </a:lnTo>
                            <a:lnTo>
                              <a:pt x="0" y="0"/>
                            </a:lnTo>
                            <a:lnTo>
                              <a:pt x="6661404" y="0"/>
                            </a:lnTo>
                            <a:lnTo>
                              <a:pt x="6661404" y="18288"/>
                            </a:lnTo>
                            <a:close/>
                          </a:path>
                        </a:pathLst>
                      </a:custGeom>
                      <a:solidFill>
                        <a:srgbClr val="215967"/>
                      </a:solidFill>
                    </wps:spPr>
                    <wps:bodyPr wrap="square" lIns="0" tIns="0" rIns="0" bIns="0" rtlCol="0">
                      <a:prstTxWarp prst="textNoShape">
                        <a:avLst/>
                      </a:prstTxWarp>
                      <a:noAutofit/>
                    </wps:bodyPr>
                  </wps:wsp>
                </a:graphicData>
              </a:graphic>
            </wp:anchor>
          </w:drawing>
        </mc:Choice>
        <mc:Fallback>
          <w:pict>
            <v:shape w14:anchorId="2C7A3023" id="Graphic 112" o:spid="_x0000_s1026" style="position:absolute;margin-left:70.8pt;margin-top:70.3pt;width:524.55pt;height:1.45pt;z-index:-30739456;visibility:visible;mso-wrap-style:square;mso-wrap-distance-left:0;mso-wrap-distance-top:0;mso-wrap-distance-right:0;mso-wrap-distance-bottom:0;mso-position-horizontal:absolute;mso-position-horizontal-relative:page;mso-position-vertical:absolute;mso-position-vertical-relative:page;v-text-anchor:top" coordsize="66617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" path="m6661404,18288l,18288,,,6661404,r,18288xe" fillcolor="#215967" stroked="f">
              <v:path arrowok="t"/>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BAB04" w14:textId="77777777" w:rsidR="002C6574" w:rsidRDefault="00000000">
    <w:pPr>
      <w:pStyle w:val="Corpodetexto"/>
      <w:spacing w:line="14" w:lineRule="auto"/>
      <w:rPr>
        <w:sz w:val="20"/>
      </w:rPr>
    </w:pPr>
    <w:r>
      <w:rPr>
        <w:noProof/>
        <w:sz w:val="20"/>
      </w:rPr>
      <w:drawing>
        <wp:anchor distT="0" distB="0" distL="0" distR="0" simplePos="0" relativeHeight="472578048" behindDoc="1" locked="0" layoutInCell="1" allowOverlap="1" wp14:anchorId="5DC684E5" wp14:editId="23E5330A">
          <wp:simplePos x="0" y="0"/>
          <wp:positionH relativeFrom="page">
            <wp:posOffset>6096000</wp:posOffset>
          </wp:positionH>
          <wp:positionV relativeFrom="page">
            <wp:posOffset>390144</wp:posOffset>
          </wp:positionV>
          <wp:extent cx="1146047" cy="344423"/>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 cstate="print"/>
                  <a:stretch>
                    <a:fillRect/>
                  </a:stretch>
                </pic:blipFill>
                <pic:spPr>
                  <a:xfrm>
                    <a:off x="0" y="0"/>
                    <a:ext cx="1146047" cy="344423"/>
                  </a:xfrm>
                  <a:prstGeom prst="rect">
                    <a:avLst/>
                  </a:prstGeom>
                </pic:spPr>
              </pic:pic>
            </a:graphicData>
          </a:graphic>
        </wp:anchor>
      </w:drawing>
    </w:r>
    <w:r>
      <w:rPr>
        <w:noProof/>
        <w:sz w:val="20"/>
      </w:rPr>
      <mc:AlternateContent>
        <mc:Choice Requires="wps">
          <w:drawing>
            <wp:anchor distT="0" distB="0" distL="0" distR="0" simplePos="0" relativeHeight="472578560" behindDoc="1" locked="0" layoutInCell="1" allowOverlap="1" wp14:anchorId="2AE3C50D" wp14:editId="7F0B42F5">
              <wp:simplePos x="0" y="0"/>
              <wp:positionH relativeFrom="page">
                <wp:posOffset>480060</wp:posOffset>
              </wp:positionH>
              <wp:positionV relativeFrom="page">
                <wp:posOffset>859536</wp:posOffset>
              </wp:positionV>
              <wp:extent cx="7080884" cy="1841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884" cy="18415"/>
                      </a:xfrm>
                      <a:custGeom>
                        <a:avLst/>
                        <a:gdLst/>
                        <a:ahLst/>
                        <a:cxnLst/>
                        <a:rect l="l" t="t" r="r" b="b"/>
                        <a:pathLst>
                          <a:path w="7080884" h="18415">
                            <a:moveTo>
                              <a:pt x="7080504" y="18288"/>
                            </a:moveTo>
                            <a:lnTo>
                              <a:pt x="0" y="18288"/>
                            </a:lnTo>
                            <a:lnTo>
                              <a:pt x="0" y="0"/>
                            </a:lnTo>
                            <a:lnTo>
                              <a:pt x="7080504" y="0"/>
                            </a:lnTo>
                            <a:lnTo>
                              <a:pt x="7080504" y="18288"/>
                            </a:lnTo>
                            <a:close/>
                          </a:path>
                        </a:pathLst>
                      </a:custGeom>
                      <a:solidFill>
                        <a:srgbClr val="95B3D6"/>
                      </a:solidFill>
                    </wps:spPr>
                    <wps:bodyPr wrap="square" lIns="0" tIns="0" rIns="0" bIns="0" rtlCol="0">
                      <a:prstTxWarp prst="textNoShape">
                        <a:avLst/>
                      </a:prstTxWarp>
                      <a:noAutofit/>
                    </wps:bodyPr>
                  </wps:wsp>
                </a:graphicData>
              </a:graphic>
            </wp:anchor>
          </w:drawing>
        </mc:Choice>
        <mc:Fallback>
          <w:pict>
            <v:shape w14:anchorId="35F75A0F" id="Graphic 115" o:spid="_x0000_s1026" style="position:absolute;margin-left:37.8pt;margin-top:67.7pt;width:557.55pt;height:1.45pt;z-index:-30737920;visibility:visible;mso-wrap-style:square;mso-wrap-distance-left:0;mso-wrap-distance-top:0;mso-wrap-distance-right:0;mso-wrap-distance-bottom:0;mso-position-horizontal:absolute;mso-position-horizontal-relative:page;mso-position-vertical:absolute;mso-position-vertical-relative:page;v-text-anchor:top" coordsize="70808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" path="m7080504,18288l,18288,,,7080504,r,18288xe" fillcolor="#95b3d6" stroked="f">
              <v:path arrowok="t"/>
              <w10:wrap anchorx="page" anchory="page"/>
            </v:shape>
          </w:pict>
        </mc:Fallback>
      </mc:AlternateContent>
    </w:r>
    <w:r>
      <w:rPr>
        <w:noProof/>
        <w:sz w:val="20"/>
      </w:rPr>
      <mc:AlternateContent>
        <mc:Choice Requires="wps">
          <w:drawing>
            <wp:anchor distT="0" distB="0" distL="0" distR="0" simplePos="0" relativeHeight="472579072" behindDoc="1" locked="0" layoutInCell="1" allowOverlap="1" wp14:anchorId="6E14BCE4" wp14:editId="2C9F7BD4">
              <wp:simplePos x="0" y="0"/>
              <wp:positionH relativeFrom="page">
                <wp:posOffset>899160</wp:posOffset>
              </wp:positionH>
              <wp:positionV relativeFrom="page">
                <wp:posOffset>893064</wp:posOffset>
              </wp:positionV>
              <wp:extent cx="6661784" cy="1841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8415"/>
                      </a:xfrm>
                      <a:custGeom>
                        <a:avLst/>
                        <a:gdLst/>
                        <a:ahLst/>
                        <a:cxnLst/>
                        <a:rect l="l" t="t" r="r" b="b"/>
                        <a:pathLst>
                          <a:path w="6661784" h="18415">
                            <a:moveTo>
                              <a:pt x="6661404" y="18288"/>
                            </a:moveTo>
                            <a:lnTo>
                              <a:pt x="0" y="18288"/>
                            </a:lnTo>
                            <a:lnTo>
                              <a:pt x="0" y="0"/>
                            </a:lnTo>
                            <a:lnTo>
                              <a:pt x="6661404" y="0"/>
                            </a:lnTo>
                            <a:lnTo>
                              <a:pt x="6661404" y="18288"/>
                            </a:lnTo>
                            <a:close/>
                          </a:path>
                        </a:pathLst>
                      </a:custGeom>
                      <a:solidFill>
                        <a:srgbClr val="215967"/>
                      </a:solidFill>
                    </wps:spPr>
                    <wps:bodyPr wrap="square" lIns="0" tIns="0" rIns="0" bIns="0" rtlCol="0">
                      <a:prstTxWarp prst="textNoShape">
                        <a:avLst/>
                      </a:prstTxWarp>
                      <a:noAutofit/>
                    </wps:bodyPr>
                  </wps:wsp>
                </a:graphicData>
              </a:graphic>
            </wp:anchor>
          </w:drawing>
        </mc:Choice>
        <mc:Fallback>
          <w:pict>
            <v:shape w14:anchorId="75806CDB" id="Graphic 116" o:spid="_x0000_s1026" style="position:absolute;margin-left:70.8pt;margin-top:70.3pt;width:524.55pt;height:1.45pt;z-index:-30737408;visibility:visible;mso-wrap-style:square;mso-wrap-distance-left:0;mso-wrap-distance-top:0;mso-wrap-distance-right:0;mso-wrap-distance-bottom:0;mso-position-horizontal:absolute;mso-position-horizontal-relative:page;mso-position-vertical:absolute;mso-position-vertical-relative:page;v-text-anchor:top" coordsize="66617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" path="m6661404,18288l,18288,,,6661404,r,18288xe" fillcolor="#215967" stroked="f">
              <v:path arrowok="t"/>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DC57" w14:textId="77777777" w:rsidR="002C6574" w:rsidRDefault="002C6574">
    <w:pPr>
      <w:pStyle w:val="Corpodetexto"/>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1B9EE" w14:textId="77777777" w:rsidR="002C6574" w:rsidRDefault="00000000">
    <w:pPr>
      <w:pStyle w:val="Corpodetexto"/>
      <w:spacing w:line="14" w:lineRule="auto"/>
      <w:rPr>
        <w:sz w:val="20"/>
      </w:rPr>
    </w:pPr>
    <w:r>
      <w:rPr>
        <w:noProof/>
        <w:sz w:val="20"/>
      </w:rPr>
      <w:drawing>
        <wp:anchor distT="0" distB="0" distL="0" distR="0" simplePos="0" relativeHeight="472580096" behindDoc="1" locked="0" layoutInCell="1" allowOverlap="1" wp14:anchorId="073B45C7" wp14:editId="07F09BCB">
          <wp:simplePos x="0" y="0"/>
          <wp:positionH relativeFrom="page">
            <wp:posOffset>1080516</wp:posOffset>
          </wp:positionH>
          <wp:positionV relativeFrom="page">
            <wp:posOffset>524256</wp:posOffset>
          </wp:positionV>
          <wp:extent cx="1786127" cy="662670"/>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 cstate="print"/>
                  <a:stretch>
                    <a:fillRect/>
                  </a:stretch>
                </pic:blipFill>
                <pic:spPr>
                  <a:xfrm>
                    <a:off x="0" y="0"/>
                    <a:ext cx="1786127" cy="662670"/>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93FBF" w14:textId="77777777" w:rsidR="002C6574" w:rsidRDefault="002C6574">
    <w:pPr>
      <w:pStyle w:val="Corpodetexto"/>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97C5A" w14:textId="77777777" w:rsidR="002C6574" w:rsidRDefault="002C6574">
    <w:pPr>
      <w:pStyle w:val="Corpodetexto"/>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88B3A" w14:textId="77777777" w:rsidR="002C6574" w:rsidRDefault="002C6574">
    <w:pPr>
      <w:pStyle w:val="Corpodetexto"/>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29999" w14:textId="77777777" w:rsidR="002C6574" w:rsidRDefault="002C6574">
    <w:pPr>
      <w:pStyle w:val="Corpodetexto"/>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C63E7" w14:textId="77777777" w:rsidR="002C6574" w:rsidRDefault="002C6574">
    <w:pPr>
      <w:pStyle w:val="Corpodetexto"/>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3C199" w14:textId="77777777" w:rsidR="002C6574" w:rsidRDefault="00000000">
    <w:pPr>
      <w:pStyle w:val="Corpodetexto"/>
      <w:spacing w:line="14" w:lineRule="auto"/>
      <w:rPr>
        <w:sz w:val="20"/>
      </w:rPr>
    </w:pPr>
    <w:r>
      <w:rPr>
        <w:noProof/>
        <w:sz w:val="20"/>
      </w:rPr>
      <w:drawing>
        <wp:anchor distT="0" distB="0" distL="0" distR="0" simplePos="0" relativeHeight="472557568" behindDoc="1" locked="0" layoutInCell="1" allowOverlap="1" wp14:anchorId="21E630DE" wp14:editId="16ED843A">
          <wp:simplePos x="0" y="0"/>
          <wp:positionH relativeFrom="page">
            <wp:posOffset>5977128</wp:posOffset>
          </wp:positionH>
          <wp:positionV relativeFrom="page">
            <wp:posOffset>198120</wp:posOffset>
          </wp:positionV>
          <wp:extent cx="1146048" cy="344423"/>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 cstate="print"/>
                  <a:stretch>
                    <a:fillRect/>
                  </a:stretch>
                </pic:blipFill>
                <pic:spPr>
                  <a:xfrm>
                    <a:off x="0" y="0"/>
                    <a:ext cx="1146048" cy="344423"/>
                  </a:xfrm>
                  <a:prstGeom prst="rect">
                    <a:avLst/>
                  </a:prstGeom>
                </pic:spPr>
              </pic:pic>
            </a:graphicData>
          </a:graphic>
        </wp:anchor>
      </w:drawing>
    </w:r>
    <w:r>
      <w:rPr>
        <w:noProof/>
        <w:sz w:val="20"/>
      </w:rPr>
      <mc:AlternateContent>
        <mc:Choice Requires="wps">
          <w:drawing>
            <wp:anchor distT="0" distB="0" distL="0" distR="0" simplePos="0" relativeHeight="472558080" behindDoc="1" locked="0" layoutInCell="1" allowOverlap="1" wp14:anchorId="30F654CD" wp14:editId="75200AFF">
              <wp:simplePos x="0" y="0"/>
              <wp:positionH relativeFrom="page">
                <wp:posOffset>480060</wp:posOffset>
              </wp:positionH>
              <wp:positionV relativeFrom="page">
                <wp:posOffset>690372</wp:posOffset>
              </wp:positionV>
              <wp:extent cx="7080884" cy="1841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884" cy="18415"/>
                      </a:xfrm>
                      <a:custGeom>
                        <a:avLst/>
                        <a:gdLst/>
                        <a:ahLst/>
                        <a:cxnLst/>
                        <a:rect l="l" t="t" r="r" b="b"/>
                        <a:pathLst>
                          <a:path w="7080884" h="18415">
                            <a:moveTo>
                              <a:pt x="7080504" y="18288"/>
                            </a:moveTo>
                            <a:lnTo>
                              <a:pt x="0" y="18288"/>
                            </a:lnTo>
                            <a:lnTo>
                              <a:pt x="0" y="0"/>
                            </a:lnTo>
                            <a:lnTo>
                              <a:pt x="7080504" y="0"/>
                            </a:lnTo>
                            <a:lnTo>
                              <a:pt x="7080504" y="18288"/>
                            </a:lnTo>
                            <a:close/>
                          </a:path>
                        </a:pathLst>
                      </a:custGeom>
                      <a:solidFill>
                        <a:srgbClr val="95B3D6"/>
                      </a:solidFill>
                    </wps:spPr>
                    <wps:bodyPr wrap="square" lIns="0" tIns="0" rIns="0" bIns="0" rtlCol="0">
                      <a:prstTxWarp prst="textNoShape">
                        <a:avLst/>
                      </a:prstTxWarp>
                      <a:noAutofit/>
                    </wps:bodyPr>
                  </wps:wsp>
                </a:graphicData>
              </a:graphic>
            </wp:anchor>
          </w:drawing>
        </mc:Choice>
        <mc:Fallback>
          <w:pict>
            <v:shape w14:anchorId="418E4230" id="Graphic 30" o:spid="_x0000_s1026" style="position:absolute;margin-left:37.8pt;margin-top:54.35pt;width:557.55pt;height:1.45pt;z-index:-30758400;visibility:visible;mso-wrap-style:square;mso-wrap-distance-left:0;mso-wrap-distance-top:0;mso-wrap-distance-right:0;mso-wrap-distance-bottom:0;mso-position-horizontal:absolute;mso-position-horizontal-relative:page;mso-position-vertical:absolute;mso-position-vertical-relative:page;v-text-anchor:top" coordsize="70808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" path="m7080504,18288l,18288,,,7080504,r,18288xe" fillcolor="#95b3d6" stroked="f">
              <v:path arrowok="t"/>
              <w10:wrap anchorx="page" anchory="page"/>
            </v:shape>
          </w:pict>
        </mc:Fallback>
      </mc:AlternateContent>
    </w:r>
    <w:r>
      <w:rPr>
        <w:noProof/>
        <w:sz w:val="20"/>
      </w:rPr>
      <mc:AlternateContent>
        <mc:Choice Requires="wps">
          <w:drawing>
            <wp:anchor distT="0" distB="0" distL="0" distR="0" simplePos="0" relativeHeight="472558592" behindDoc="1" locked="0" layoutInCell="1" allowOverlap="1" wp14:anchorId="6952C043" wp14:editId="26A6AC46">
              <wp:simplePos x="0" y="0"/>
              <wp:positionH relativeFrom="page">
                <wp:posOffset>899160</wp:posOffset>
              </wp:positionH>
              <wp:positionV relativeFrom="page">
                <wp:posOffset>723900</wp:posOffset>
              </wp:positionV>
              <wp:extent cx="6661784" cy="1841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8415"/>
                      </a:xfrm>
                      <a:custGeom>
                        <a:avLst/>
                        <a:gdLst/>
                        <a:ahLst/>
                        <a:cxnLst/>
                        <a:rect l="l" t="t" r="r" b="b"/>
                        <a:pathLst>
                          <a:path w="6661784" h="18415">
                            <a:moveTo>
                              <a:pt x="6661404" y="18288"/>
                            </a:moveTo>
                            <a:lnTo>
                              <a:pt x="0" y="18288"/>
                            </a:lnTo>
                            <a:lnTo>
                              <a:pt x="0" y="0"/>
                            </a:lnTo>
                            <a:lnTo>
                              <a:pt x="6661404" y="0"/>
                            </a:lnTo>
                            <a:lnTo>
                              <a:pt x="6661404" y="18288"/>
                            </a:lnTo>
                            <a:close/>
                          </a:path>
                        </a:pathLst>
                      </a:custGeom>
                      <a:solidFill>
                        <a:srgbClr val="215967"/>
                      </a:solidFill>
                    </wps:spPr>
                    <wps:bodyPr wrap="square" lIns="0" tIns="0" rIns="0" bIns="0" rtlCol="0">
                      <a:prstTxWarp prst="textNoShape">
                        <a:avLst/>
                      </a:prstTxWarp>
                      <a:noAutofit/>
                    </wps:bodyPr>
                  </wps:wsp>
                </a:graphicData>
              </a:graphic>
            </wp:anchor>
          </w:drawing>
        </mc:Choice>
        <mc:Fallback>
          <w:pict>
            <v:shape w14:anchorId="5456BECC" id="Graphic 31" o:spid="_x0000_s1026" style="position:absolute;margin-left:70.8pt;margin-top:57pt;width:524.55pt;height:1.45pt;z-index:-30757888;visibility:visible;mso-wrap-style:square;mso-wrap-distance-left:0;mso-wrap-distance-top:0;mso-wrap-distance-right:0;mso-wrap-distance-bottom:0;mso-position-horizontal:absolute;mso-position-horizontal-relative:page;mso-position-vertical:absolute;mso-position-vertical-relative:page;v-text-anchor:top" coordsize="66617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" path="m6661404,18288l,18288,,,6661404,r,18288xe" fillcolor="#215967" stroked="f">
              <v:path arrowok="t"/>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0A1F2" w14:textId="77777777" w:rsidR="002C6574" w:rsidRDefault="002C6574">
    <w:pPr>
      <w:pStyle w:val="Corpodetexto"/>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48580"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83680" behindDoc="1" locked="0" layoutInCell="1" allowOverlap="1" wp14:anchorId="395C4D45" wp14:editId="250D31DA">
              <wp:simplePos x="0" y="0"/>
              <wp:positionH relativeFrom="page">
                <wp:posOffset>579601</wp:posOffset>
              </wp:positionH>
              <wp:positionV relativeFrom="page">
                <wp:posOffset>604080</wp:posOffset>
              </wp:positionV>
              <wp:extent cx="5331460" cy="502284"/>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1460" cy="502284"/>
                      </a:xfrm>
                      <a:prstGeom prst="rect">
                        <a:avLst/>
                      </a:prstGeom>
                    </wps:spPr>
                    <wps:txbx>
                      <w:txbxContent>
                        <w:p w14:paraId="123AA6E3" w14:textId="77777777" w:rsidR="002C6574" w:rsidRDefault="00000000">
                          <w:pPr>
                            <w:spacing w:before="13" w:line="237" w:lineRule="exact"/>
                            <w:ind w:left="20"/>
                            <w:rPr>
                              <w:rFonts w:ascii="Arial" w:hAnsi="Arial"/>
                              <w:b/>
                            </w:rPr>
                          </w:pPr>
                          <w:r>
                            <w:rPr>
                              <w:rFonts w:ascii="Arial" w:hAnsi="Arial"/>
                              <w:b/>
                            </w:rPr>
                            <w:t>TELECOMUNICAÇÕES</w:t>
                          </w:r>
                          <w:r>
                            <w:rPr>
                              <w:rFonts w:ascii="Arial" w:hAnsi="Arial"/>
                              <w:b/>
                              <w:spacing w:val="-9"/>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6"/>
                            </w:rPr>
                            <w:t xml:space="preserve"> </w:t>
                          </w:r>
                          <w:r>
                            <w:rPr>
                              <w:rFonts w:ascii="Arial" w:hAnsi="Arial"/>
                              <w:b/>
                              <w:spacing w:val="-2"/>
                            </w:rPr>
                            <w:t>TELEBRAS</w:t>
                          </w:r>
                        </w:p>
                        <w:p w14:paraId="6F211E71" w14:textId="77777777" w:rsidR="002C6574" w:rsidRDefault="00000000">
                          <w:pPr>
                            <w:pStyle w:val="Corpodetexto"/>
                            <w:spacing w:before="17" w:line="206" w:lineRule="auto"/>
                            <w:ind w:left="21"/>
                          </w:pPr>
                          <w:r>
                            <w:t>Notas Explicativas às Demonstrações Contábeis em 31 de dezembro de 2025 e 2024 Em milhares de reais, exceto quando indicado de outra forma.</w:t>
                          </w:r>
                        </w:p>
                      </w:txbxContent>
                    </wps:txbx>
                    <wps:bodyPr wrap="square" lIns="0" tIns="0" rIns="0" bIns="0" rtlCol="0">
                      <a:noAutofit/>
                    </wps:bodyPr>
                  </wps:wsp>
                </a:graphicData>
              </a:graphic>
            </wp:anchor>
          </w:drawing>
        </mc:Choice>
        <mc:Fallback>
          <w:pict>
            <v:shapetype w14:anchorId="395C4D45" id="_x0000_t202" coordsize="21600,21600" o:spt="202" path="m,l,21600r21600,l21600,xe">
              <v:stroke joinstyle="miter"/>
              <v:path gradientshapeok="t" o:connecttype="rect"/>
            </v:shapetype>
            <v:shape id="Textbox 133" o:spid="_x0000_s1275" type="#_x0000_t202" style="position:absolute;margin-left:45.65pt;margin-top:47.55pt;width:419.8pt;height:39.55pt;z-index:-307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" filled="f" stroked="f">
              <v:textbox inset="0,0,0,0">
                <w:txbxContent>
                  <w:p w14:paraId="123AA6E3" w14:textId="77777777" w:rsidR="002C6574" w:rsidRDefault="00000000">
                    <w:pPr>
                      <w:spacing w:before="13" w:line="237" w:lineRule="exact"/>
                      <w:ind w:left="20"/>
                      <w:rPr>
                        <w:rFonts w:ascii="Arial" w:hAnsi="Arial"/>
                        <w:b/>
                      </w:rPr>
                    </w:pPr>
                    <w:r>
                      <w:rPr>
                        <w:rFonts w:ascii="Arial" w:hAnsi="Arial"/>
                        <w:b/>
                      </w:rPr>
                      <w:t>TELECOMUNICAÇÕES</w:t>
                    </w:r>
                    <w:r>
                      <w:rPr>
                        <w:rFonts w:ascii="Arial" w:hAnsi="Arial"/>
                        <w:b/>
                        <w:spacing w:val="-9"/>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6"/>
                      </w:rPr>
                      <w:t xml:space="preserve"> </w:t>
                    </w:r>
                    <w:r>
                      <w:rPr>
                        <w:rFonts w:ascii="Arial" w:hAnsi="Arial"/>
                        <w:b/>
                        <w:spacing w:val="-2"/>
                      </w:rPr>
                      <w:t>TELEBRAS</w:t>
                    </w:r>
                  </w:p>
                  <w:p w14:paraId="6F211E71" w14:textId="77777777" w:rsidR="002C6574" w:rsidRDefault="00000000">
                    <w:pPr>
                      <w:pStyle w:val="Corpodetexto"/>
                      <w:spacing w:before="17" w:line="206" w:lineRule="auto"/>
                      <w:ind w:left="21"/>
                    </w:pPr>
                    <w:r>
                      <w:t>Notas Explicativas às Demonstrações Contábeis em 31 de dezembro de 2025 e 2024 Em milhares de reais, exceto quando indicado de outra forma.</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FB7E7"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84704" behindDoc="1" locked="0" layoutInCell="1" allowOverlap="1" wp14:anchorId="1FFD82A0" wp14:editId="5B890A37">
              <wp:simplePos x="0" y="0"/>
              <wp:positionH relativeFrom="page">
                <wp:posOffset>798068</wp:posOffset>
              </wp:positionH>
              <wp:positionV relativeFrom="page">
                <wp:posOffset>530928</wp:posOffset>
              </wp:positionV>
              <wp:extent cx="6257290" cy="50419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504190"/>
                      </a:xfrm>
                      <a:prstGeom prst="rect">
                        <a:avLst/>
                      </a:prstGeom>
                    </wps:spPr>
                    <wps:txbx>
                      <w:txbxContent>
                        <w:p w14:paraId="5807A301"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380537BA"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3B37B6A8"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wps:txbx>
                    <wps:bodyPr wrap="square" lIns="0" tIns="0" rIns="0" bIns="0" rtlCol="0">
                      <a:noAutofit/>
                    </wps:bodyPr>
                  </wps:wsp>
                </a:graphicData>
              </a:graphic>
            </wp:anchor>
          </w:drawing>
        </mc:Choice>
        <mc:Fallback>
          <w:pict>
            <v:shapetype w14:anchorId="1FFD82A0" id="_x0000_t202" coordsize="21600,21600" o:spt="202" path="m,l,21600r21600,l21600,xe">
              <v:stroke joinstyle="miter"/>
              <v:path gradientshapeok="t" o:connecttype="rect"/>
            </v:shapetype>
            <v:shape id="Textbox 137" o:spid="_x0000_s1277" type="#_x0000_t202" style="position:absolute;margin-left:62.85pt;margin-top:41.8pt;width:492.7pt;height:39.7pt;z-index:-3073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" filled="f" stroked="f">
              <v:textbox inset="0,0,0,0">
                <w:txbxContent>
                  <w:p w14:paraId="5807A301"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380537BA"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3B37B6A8"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6906F"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85728" behindDoc="1" locked="0" layoutInCell="1" allowOverlap="1" wp14:anchorId="2470CF4A" wp14:editId="16CD05E7">
              <wp:simplePos x="0" y="0"/>
              <wp:positionH relativeFrom="page">
                <wp:posOffset>798068</wp:posOffset>
              </wp:positionH>
              <wp:positionV relativeFrom="page">
                <wp:posOffset>530928</wp:posOffset>
              </wp:positionV>
              <wp:extent cx="6257290" cy="50419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504190"/>
                      </a:xfrm>
                      <a:prstGeom prst="rect">
                        <a:avLst/>
                      </a:prstGeom>
                    </wps:spPr>
                    <wps:txbx>
                      <w:txbxContent>
                        <w:p w14:paraId="42DE147E"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5CC4ED67"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09D47B23"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wps:txbx>
                    <wps:bodyPr wrap="square" lIns="0" tIns="0" rIns="0" bIns="0" rtlCol="0">
                      <a:noAutofit/>
                    </wps:bodyPr>
                  </wps:wsp>
                </a:graphicData>
              </a:graphic>
            </wp:anchor>
          </w:drawing>
        </mc:Choice>
        <mc:Fallback>
          <w:pict>
            <v:shapetype w14:anchorId="2470CF4A" id="_x0000_t202" coordsize="21600,21600" o:spt="202" path="m,l,21600r21600,l21600,xe">
              <v:stroke joinstyle="miter"/>
              <v:path gradientshapeok="t" o:connecttype="rect"/>
            </v:shapetype>
            <v:shape id="Textbox 139" o:spid="_x0000_s1279" type="#_x0000_t202" style="position:absolute;margin-left:62.85pt;margin-top:41.8pt;width:492.7pt;height:39.7pt;z-index:-3073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" filled="f" stroked="f">
              <v:textbox inset="0,0,0,0">
                <w:txbxContent>
                  <w:p w14:paraId="42DE147E"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5CC4ED67"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09D47B23"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DABF"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86752" behindDoc="1" locked="0" layoutInCell="1" allowOverlap="1" wp14:anchorId="08EDC584" wp14:editId="24BF12E1">
              <wp:simplePos x="0" y="0"/>
              <wp:positionH relativeFrom="page">
                <wp:posOffset>798068</wp:posOffset>
              </wp:positionH>
              <wp:positionV relativeFrom="page">
                <wp:posOffset>530928</wp:posOffset>
              </wp:positionV>
              <wp:extent cx="6257290" cy="50419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504190"/>
                      </a:xfrm>
                      <a:prstGeom prst="rect">
                        <a:avLst/>
                      </a:prstGeom>
                    </wps:spPr>
                    <wps:txbx>
                      <w:txbxContent>
                        <w:p w14:paraId="4C186316"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5E9E290B"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749973F8"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wps:txbx>
                    <wps:bodyPr wrap="square" lIns="0" tIns="0" rIns="0" bIns="0" rtlCol="0">
                      <a:noAutofit/>
                    </wps:bodyPr>
                  </wps:wsp>
                </a:graphicData>
              </a:graphic>
            </wp:anchor>
          </w:drawing>
        </mc:Choice>
        <mc:Fallback>
          <w:pict>
            <v:shapetype w14:anchorId="08EDC584" id="_x0000_t202" coordsize="21600,21600" o:spt="202" path="m,l,21600r21600,l21600,xe">
              <v:stroke joinstyle="miter"/>
              <v:path gradientshapeok="t" o:connecttype="rect"/>
            </v:shapetype>
            <v:shape id="Textbox 141" o:spid="_x0000_s1281" type="#_x0000_t202" style="position:absolute;margin-left:62.85pt;margin-top:41.8pt;width:492.7pt;height:39.7pt;z-index:-3072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" filled="f" stroked="f">
              <v:textbox inset="0,0,0,0">
                <w:txbxContent>
                  <w:p w14:paraId="4C186316"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5E9E290B"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749973F8"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89DA7"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87776" behindDoc="1" locked="0" layoutInCell="1" allowOverlap="1" wp14:anchorId="0293E669" wp14:editId="7EFAF1A1">
              <wp:simplePos x="0" y="0"/>
              <wp:positionH relativeFrom="page">
                <wp:posOffset>798068</wp:posOffset>
              </wp:positionH>
              <wp:positionV relativeFrom="page">
                <wp:posOffset>530928</wp:posOffset>
              </wp:positionV>
              <wp:extent cx="6257290" cy="50419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504190"/>
                      </a:xfrm>
                      <a:prstGeom prst="rect">
                        <a:avLst/>
                      </a:prstGeom>
                    </wps:spPr>
                    <wps:txbx>
                      <w:txbxContent>
                        <w:p w14:paraId="59CBABF2"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75904238"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3A496058"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wps:txbx>
                    <wps:bodyPr wrap="square" lIns="0" tIns="0" rIns="0" bIns="0" rtlCol="0">
                      <a:noAutofit/>
                    </wps:bodyPr>
                  </wps:wsp>
                </a:graphicData>
              </a:graphic>
            </wp:anchor>
          </w:drawing>
        </mc:Choice>
        <mc:Fallback>
          <w:pict>
            <v:shapetype w14:anchorId="0293E669" id="_x0000_t202" coordsize="21600,21600" o:spt="202" path="m,l,21600r21600,l21600,xe">
              <v:stroke joinstyle="miter"/>
              <v:path gradientshapeok="t" o:connecttype="rect"/>
            </v:shapetype>
            <v:shape id="Textbox 143" o:spid="_x0000_s1283" type="#_x0000_t202" style="position:absolute;margin-left:62.85pt;margin-top:41.8pt;width:492.7pt;height:39.7pt;z-index:-3072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" filled="f" stroked="f">
              <v:textbox inset="0,0,0,0">
                <w:txbxContent>
                  <w:p w14:paraId="59CBABF2"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75904238"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3A496058"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2ED57"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88800" behindDoc="1" locked="0" layoutInCell="1" allowOverlap="1" wp14:anchorId="59089F81" wp14:editId="3ADC01AA">
              <wp:simplePos x="0" y="0"/>
              <wp:positionH relativeFrom="page">
                <wp:posOffset>798068</wp:posOffset>
              </wp:positionH>
              <wp:positionV relativeFrom="page">
                <wp:posOffset>530928</wp:posOffset>
              </wp:positionV>
              <wp:extent cx="6257290" cy="50419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504190"/>
                      </a:xfrm>
                      <a:prstGeom prst="rect">
                        <a:avLst/>
                      </a:prstGeom>
                    </wps:spPr>
                    <wps:txbx>
                      <w:txbxContent>
                        <w:p w14:paraId="1525540E"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541669BD"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7AE34A87"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wps:txbx>
                    <wps:bodyPr wrap="square" lIns="0" tIns="0" rIns="0" bIns="0" rtlCol="0">
                      <a:noAutofit/>
                    </wps:bodyPr>
                  </wps:wsp>
                </a:graphicData>
              </a:graphic>
            </wp:anchor>
          </w:drawing>
        </mc:Choice>
        <mc:Fallback>
          <w:pict>
            <v:shapetype w14:anchorId="59089F81" id="_x0000_t202" coordsize="21600,21600" o:spt="202" path="m,l,21600r21600,l21600,xe">
              <v:stroke joinstyle="miter"/>
              <v:path gradientshapeok="t" o:connecttype="rect"/>
            </v:shapetype>
            <v:shape id="Textbox 145" o:spid="_x0000_s1285" type="#_x0000_t202" style="position:absolute;margin-left:62.85pt;margin-top:41.8pt;width:492.7pt;height:39.7pt;z-index:-3072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" filled="f" stroked="f">
              <v:textbox inset="0,0,0,0">
                <w:txbxContent>
                  <w:p w14:paraId="1525540E"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541669BD"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7AE34A87"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29579"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89824" behindDoc="1" locked="0" layoutInCell="1" allowOverlap="1" wp14:anchorId="37284F4E" wp14:editId="20774040">
              <wp:simplePos x="0" y="0"/>
              <wp:positionH relativeFrom="page">
                <wp:posOffset>798068</wp:posOffset>
              </wp:positionH>
              <wp:positionV relativeFrom="page">
                <wp:posOffset>530928</wp:posOffset>
              </wp:positionV>
              <wp:extent cx="6257290" cy="50419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504190"/>
                      </a:xfrm>
                      <a:prstGeom prst="rect">
                        <a:avLst/>
                      </a:prstGeom>
                    </wps:spPr>
                    <wps:txbx>
                      <w:txbxContent>
                        <w:p w14:paraId="5F8F64A4"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1B14D44D"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092156F5"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wps:txbx>
                    <wps:bodyPr wrap="square" lIns="0" tIns="0" rIns="0" bIns="0" rtlCol="0">
                      <a:noAutofit/>
                    </wps:bodyPr>
                  </wps:wsp>
                </a:graphicData>
              </a:graphic>
            </wp:anchor>
          </w:drawing>
        </mc:Choice>
        <mc:Fallback>
          <w:pict>
            <v:shapetype w14:anchorId="37284F4E" id="_x0000_t202" coordsize="21600,21600" o:spt="202" path="m,l,21600r21600,l21600,xe">
              <v:stroke joinstyle="miter"/>
              <v:path gradientshapeok="t" o:connecttype="rect"/>
            </v:shapetype>
            <v:shape id="Textbox 147" o:spid="_x0000_s1287" type="#_x0000_t202" style="position:absolute;margin-left:62.85pt;margin-top:41.8pt;width:492.7pt;height:39.7pt;z-index:-307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" filled="f" stroked="f">
              <v:textbox inset="0,0,0,0">
                <w:txbxContent>
                  <w:p w14:paraId="5F8F64A4"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1B14D44D"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092156F5"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A3EFB"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90848" behindDoc="1" locked="0" layoutInCell="1" allowOverlap="1" wp14:anchorId="2F9C6DCB" wp14:editId="1F2CD991">
              <wp:simplePos x="0" y="0"/>
              <wp:positionH relativeFrom="page">
                <wp:posOffset>798068</wp:posOffset>
              </wp:positionH>
              <wp:positionV relativeFrom="page">
                <wp:posOffset>530928</wp:posOffset>
              </wp:positionV>
              <wp:extent cx="6257290" cy="50419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504190"/>
                      </a:xfrm>
                      <a:prstGeom prst="rect">
                        <a:avLst/>
                      </a:prstGeom>
                    </wps:spPr>
                    <wps:txbx>
                      <w:txbxContent>
                        <w:p w14:paraId="1401757D"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1705029F"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364248CE"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wps:txbx>
                    <wps:bodyPr wrap="square" lIns="0" tIns="0" rIns="0" bIns="0" rtlCol="0">
                      <a:noAutofit/>
                    </wps:bodyPr>
                  </wps:wsp>
                </a:graphicData>
              </a:graphic>
            </wp:anchor>
          </w:drawing>
        </mc:Choice>
        <mc:Fallback>
          <w:pict>
            <v:shapetype w14:anchorId="2F9C6DCB" id="_x0000_t202" coordsize="21600,21600" o:spt="202" path="m,l,21600r21600,l21600,xe">
              <v:stroke joinstyle="miter"/>
              <v:path gradientshapeok="t" o:connecttype="rect"/>
            </v:shapetype>
            <v:shape id="Textbox 149" o:spid="_x0000_s1289" type="#_x0000_t202" style="position:absolute;margin-left:62.85pt;margin-top:41.8pt;width:492.7pt;height:39.7pt;z-index:-3072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" filled="f" stroked="f">
              <v:textbox inset="0,0,0,0">
                <w:txbxContent>
                  <w:p w14:paraId="1401757D"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1705029F"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364248CE"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19701"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91872" behindDoc="1" locked="0" layoutInCell="1" allowOverlap="1" wp14:anchorId="209BC6F2" wp14:editId="132C0370">
              <wp:simplePos x="0" y="0"/>
              <wp:positionH relativeFrom="page">
                <wp:posOffset>798068</wp:posOffset>
              </wp:positionH>
              <wp:positionV relativeFrom="page">
                <wp:posOffset>530928</wp:posOffset>
              </wp:positionV>
              <wp:extent cx="6257290" cy="50419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504190"/>
                      </a:xfrm>
                      <a:prstGeom prst="rect">
                        <a:avLst/>
                      </a:prstGeom>
                    </wps:spPr>
                    <wps:txbx>
                      <w:txbxContent>
                        <w:p w14:paraId="304014C5"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25698C08"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5D2DC6CD"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wps:txbx>
                    <wps:bodyPr wrap="square" lIns="0" tIns="0" rIns="0" bIns="0" rtlCol="0">
                      <a:noAutofit/>
                    </wps:bodyPr>
                  </wps:wsp>
                </a:graphicData>
              </a:graphic>
            </wp:anchor>
          </w:drawing>
        </mc:Choice>
        <mc:Fallback>
          <w:pict>
            <v:shapetype w14:anchorId="209BC6F2" id="_x0000_t202" coordsize="21600,21600" o:spt="202" path="m,l,21600r21600,l21600,xe">
              <v:stroke joinstyle="miter"/>
              <v:path gradientshapeok="t" o:connecttype="rect"/>
            </v:shapetype>
            <v:shape id="Textbox 151" o:spid="_x0000_s1291" type="#_x0000_t202" style="position:absolute;margin-left:62.85pt;margin-top:41.8pt;width:492.7pt;height:39.7pt;z-index:-3072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" filled="f" stroked="f">
              <v:textbox inset="0,0,0,0">
                <w:txbxContent>
                  <w:p w14:paraId="304014C5"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25698C08"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5D2DC6CD"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E91AC" w14:textId="77777777" w:rsidR="002C6574" w:rsidRDefault="00000000">
    <w:pPr>
      <w:pStyle w:val="Corpodetexto"/>
      <w:spacing w:line="14" w:lineRule="auto"/>
      <w:rPr>
        <w:sz w:val="20"/>
      </w:rPr>
    </w:pPr>
    <w:r>
      <w:rPr>
        <w:noProof/>
        <w:sz w:val="20"/>
      </w:rPr>
      <w:drawing>
        <wp:anchor distT="0" distB="0" distL="0" distR="0" simplePos="0" relativeHeight="472559616" behindDoc="1" locked="0" layoutInCell="1" allowOverlap="1" wp14:anchorId="25CE3666" wp14:editId="7309B61A">
          <wp:simplePos x="0" y="0"/>
          <wp:positionH relativeFrom="page">
            <wp:posOffset>5977128</wp:posOffset>
          </wp:positionH>
          <wp:positionV relativeFrom="page">
            <wp:posOffset>198120</wp:posOffset>
          </wp:positionV>
          <wp:extent cx="1146048" cy="344423"/>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 cstate="print"/>
                  <a:stretch>
                    <a:fillRect/>
                  </a:stretch>
                </pic:blipFill>
                <pic:spPr>
                  <a:xfrm>
                    <a:off x="0" y="0"/>
                    <a:ext cx="1146048" cy="344423"/>
                  </a:xfrm>
                  <a:prstGeom prst="rect">
                    <a:avLst/>
                  </a:prstGeom>
                </pic:spPr>
              </pic:pic>
            </a:graphicData>
          </a:graphic>
        </wp:anchor>
      </w:drawing>
    </w:r>
    <w:r>
      <w:rPr>
        <w:noProof/>
        <w:sz w:val="20"/>
      </w:rPr>
      <mc:AlternateContent>
        <mc:Choice Requires="wps">
          <w:drawing>
            <wp:anchor distT="0" distB="0" distL="0" distR="0" simplePos="0" relativeHeight="472560128" behindDoc="1" locked="0" layoutInCell="1" allowOverlap="1" wp14:anchorId="569BF57C" wp14:editId="38258192">
              <wp:simplePos x="0" y="0"/>
              <wp:positionH relativeFrom="page">
                <wp:posOffset>480060</wp:posOffset>
              </wp:positionH>
              <wp:positionV relativeFrom="page">
                <wp:posOffset>690372</wp:posOffset>
              </wp:positionV>
              <wp:extent cx="7080884" cy="1841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884" cy="18415"/>
                      </a:xfrm>
                      <a:custGeom>
                        <a:avLst/>
                        <a:gdLst/>
                        <a:ahLst/>
                        <a:cxnLst/>
                        <a:rect l="l" t="t" r="r" b="b"/>
                        <a:pathLst>
                          <a:path w="7080884" h="18415">
                            <a:moveTo>
                              <a:pt x="7080504" y="18288"/>
                            </a:moveTo>
                            <a:lnTo>
                              <a:pt x="0" y="18288"/>
                            </a:lnTo>
                            <a:lnTo>
                              <a:pt x="0" y="0"/>
                            </a:lnTo>
                            <a:lnTo>
                              <a:pt x="7080504" y="0"/>
                            </a:lnTo>
                            <a:lnTo>
                              <a:pt x="7080504" y="18288"/>
                            </a:lnTo>
                            <a:close/>
                          </a:path>
                        </a:pathLst>
                      </a:custGeom>
                      <a:solidFill>
                        <a:srgbClr val="95B3D6"/>
                      </a:solidFill>
                    </wps:spPr>
                    <wps:bodyPr wrap="square" lIns="0" tIns="0" rIns="0" bIns="0" rtlCol="0">
                      <a:prstTxWarp prst="textNoShape">
                        <a:avLst/>
                      </a:prstTxWarp>
                      <a:noAutofit/>
                    </wps:bodyPr>
                  </wps:wsp>
                </a:graphicData>
              </a:graphic>
            </wp:anchor>
          </w:drawing>
        </mc:Choice>
        <mc:Fallback>
          <w:pict>
            <v:shape w14:anchorId="5E9EE006" id="Graphic 34" o:spid="_x0000_s1026" style="position:absolute;margin-left:37.8pt;margin-top:54.35pt;width:557.55pt;height:1.45pt;z-index:-30756352;visibility:visible;mso-wrap-style:square;mso-wrap-distance-left:0;mso-wrap-distance-top:0;mso-wrap-distance-right:0;mso-wrap-distance-bottom:0;mso-position-horizontal:absolute;mso-position-horizontal-relative:page;mso-position-vertical:absolute;mso-position-vertical-relative:page;v-text-anchor:top" coordsize="70808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" path="m7080504,18288l,18288,,,7080504,r,18288xe" fillcolor="#95b3d6" stroked="f">
              <v:path arrowok="t"/>
              <w10:wrap anchorx="page" anchory="page"/>
            </v:shape>
          </w:pict>
        </mc:Fallback>
      </mc:AlternateContent>
    </w:r>
    <w:r>
      <w:rPr>
        <w:noProof/>
        <w:sz w:val="20"/>
      </w:rPr>
      <mc:AlternateContent>
        <mc:Choice Requires="wps">
          <w:drawing>
            <wp:anchor distT="0" distB="0" distL="0" distR="0" simplePos="0" relativeHeight="472560640" behindDoc="1" locked="0" layoutInCell="1" allowOverlap="1" wp14:anchorId="11E88A9E" wp14:editId="211A9B4E">
              <wp:simplePos x="0" y="0"/>
              <wp:positionH relativeFrom="page">
                <wp:posOffset>899160</wp:posOffset>
              </wp:positionH>
              <wp:positionV relativeFrom="page">
                <wp:posOffset>723900</wp:posOffset>
              </wp:positionV>
              <wp:extent cx="6661784" cy="1841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8415"/>
                      </a:xfrm>
                      <a:custGeom>
                        <a:avLst/>
                        <a:gdLst/>
                        <a:ahLst/>
                        <a:cxnLst/>
                        <a:rect l="l" t="t" r="r" b="b"/>
                        <a:pathLst>
                          <a:path w="6661784" h="18415">
                            <a:moveTo>
                              <a:pt x="6661404" y="18288"/>
                            </a:moveTo>
                            <a:lnTo>
                              <a:pt x="0" y="18288"/>
                            </a:lnTo>
                            <a:lnTo>
                              <a:pt x="0" y="0"/>
                            </a:lnTo>
                            <a:lnTo>
                              <a:pt x="6661404" y="0"/>
                            </a:lnTo>
                            <a:lnTo>
                              <a:pt x="6661404" y="18288"/>
                            </a:lnTo>
                            <a:close/>
                          </a:path>
                        </a:pathLst>
                      </a:custGeom>
                      <a:solidFill>
                        <a:srgbClr val="215967"/>
                      </a:solidFill>
                    </wps:spPr>
                    <wps:bodyPr wrap="square" lIns="0" tIns="0" rIns="0" bIns="0" rtlCol="0">
                      <a:prstTxWarp prst="textNoShape">
                        <a:avLst/>
                      </a:prstTxWarp>
                      <a:noAutofit/>
                    </wps:bodyPr>
                  </wps:wsp>
                </a:graphicData>
              </a:graphic>
            </wp:anchor>
          </w:drawing>
        </mc:Choice>
        <mc:Fallback>
          <w:pict>
            <v:shape w14:anchorId="454393E8" id="Graphic 35" o:spid="_x0000_s1026" style="position:absolute;margin-left:70.8pt;margin-top:57pt;width:524.55pt;height:1.45pt;z-index:-30755840;visibility:visible;mso-wrap-style:square;mso-wrap-distance-left:0;mso-wrap-distance-top:0;mso-wrap-distance-right:0;mso-wrap-distance-bottom:0;mso-position-horizontal:absolute;mso-position-horizontal-relative:page;mso-position-vertical:absolute;mso-position-vertical-relative:page;v-text-anchor:top" coordsize="66617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" path="m6661404,18288l,18288,,,6661404,r,18288xe" fillcolor="#215967" stroked="f">
              <v:path arrowok="t"/>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388DE"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92896" behindDoc="1" locked="0" layoutInCell="1" allowOverlap="1" wp14:anchorId="6D3477DC" wp14:editId="10E72C4F">
              <wp:simplePos x="0" y="0"/>
              <wp:positionH relativeFrom="page">
                <wp:posOffset>798068</wp:posOffset>
              </wp:positionH>
              <wp:positionV relativeFrom="page">
                <wp:posOffset>530928</wp:posOffset>
              </wp:positionV>
              <wp:extent cx="6257290" cy="50419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504190"/>
                      </a:xfrm>
                      <a:prstGeom prst="rect">
                        <a:avLst/>
                      </a:prstGeom>
                    </wps:spPr>
                    <wps:txbx>
                      <w:txbxContent>
                        <w:p w14:paraId="5037117A"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6BA64D5C"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65F2ACAB"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wps:txbx>
                    <wps:bodyPr wrap="square" lIns="0" tIns="0" rIns="0" bIns="0" rtlCol="0">
                      <a:noAutofit/>
                    </wps:bodyPr>
                  </wps:wsp>
                </a:graphicData>
              </a:graphic>
            </wp:anchor>
          </w:drawing>
        </mc:Choice>
        <mc:Fallback>
          <w:pict>
            <v:shapetype w14:anchorId="6D3477DC" id="_x0000_t202" coordsize="21600,21600" o:spt="202" path="m,l,21600r21600,l21600,xe">
              <v:stroke joinstyle="miter"/>
              <v:path gradientshapeok="t" o:connecttype="rect"/>
            </v:shapetype>
            <v:shape id="Textbox 153" o:spid="_x0000_s1293" type="#_x0000_t202" style="position:absolute;margin-left:62.85pt;margin-top:41.8pt;width:492.7pt;height:39.7pt;z-index:-3072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" filled="f" stroked="f">
              <v:textbox inset="0,0,0,0">
                <w:txbxContent>
                  <w:p w14:paraId="5037117A"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6BA64D5C"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65F2ACAB"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73B87"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93920" behindDoc="1" locked="0" layoutInCell="1" allowOverlap="1" wp14:anchorId="41E1B8C6" wp14:editId="0B7A5D3F">
              <wp:simplePos x="0" y="0"/>
              <wp:positionH relativeFrom="page">
                <wp:posOffset>798068</wp:posOffset>
              </wp:positionH>
              <wp:positionV relativeFrom="page">
                <wp:posOffset>530928</wp:posOffset>
              </wp:positionV>
              <wp:extent cx="6257290" cy="50419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504190"/>
                      </a:xfrm>
                      <a:prstGeom prst="rect">
                        <a:avLst/>
                      </a:prstGeom>
                    </wps:spPr>
                    <wps:txbx>
                      <w:txbxContent>
                        <w:p w14:paraId="1C55B49D"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1EFEBE48"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2DD6A26E"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wps:txbx>
                    <wps:bodyPr wrap="square" lIns="0" tIns="0" rIns="0" bIns="0" rtlCol="0">
                      <a:noAutofit/>
                    </wps:bodyPr>
                  </wps:wsp>
                </a:graphicData>
              </a:graphic>
            </wp:anchor>
          </w:drawing>
        </mc:Choice>
        <mc:Fallback>
          <w:pict>
            <v:shapetype w14:anchorId="41E1B8C6" id="_x0000_t202" coordsize="21600,21600" o:spt="202" path="m,l,21600r21600,l21600,xe">
              <v:stroke joinstyle="miter"/>
              <v:path gradientshapeok="t" o:connecttype="rect"/>
            </v:shapetype>
            <v:shape id="Textbox 155" o:spid="_x0000_s1295" type="#_x0000_t202" style="position:absolute;margin-left:62.85pt;margin-top:41.8pt;width:492.7pt;height:39.7pt;z-index:-3072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" filled="f" stroked="f">
              <v:textbox inset="0,0,0,0">
                <w:txbxContent>
                  <w:p w14:paraId="1C55B49D"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1EFEBE48"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2DD6A26E"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0885C"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94944" behindDoc="1" locked="0" layoutInCell="1" allowOverlap="1" wp14:anchorId="171BC72E" wp14:editId="1FB4FBC4">
              <wp:simplePos x="0" y="0"/>
              <wp:positionH relativeFrom="page">
                <wp:posOffset>798068</wp:posOffset>
              </wp:positionH>
              <wp:positionV relativeFrom="page">
                <wp:posOffset>530928</wp:posOffset>
              </wp:positionV>
              <wp:extent cx="6257290" cy="50419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504190"/>
                      </a:xfrm>
                      <a:prstGeom prst="rect">
                        <a:avLst/>
                      </a:prstGeom>
                    </wps:spPr>
                    <wps:txbx>
                      <w:txbxContent>
                        <w:p w14:paraId="74E5B89C"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2BE83488"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063402A0"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wps:txbx>
                    <wps:bodyPr wrap="square" lIns="0" tIns="0" rIns="0" bIns="0" rtlCol="0">
                      <a:noAutofit/>
                    </wps:bodyPr>
                  </wps:wsp>
                </a:graphicData>
              </a:graphic>
            </wp:anchor>
          </w:drawing>
        </mc:Choice>
        <mc:Fallback>
          <w:pict>
            <v:shapetype w14:anchorId="171BC72E" id="_x0000_t202" coordsize="21600,21600" o:spt="202" path="m,l,21600r21600,l21600,xe">
              <v:stroke joinstyle="miter"/>
              <v:path gradientshapeok="t" o:connecttype="rect"/>
            </v:shapetype>
            <v:shape id="Textbox 157" o:spid="_x0000_s1297" type="#_x0000_t202" style="position:absolute;margin-left:62.85pt;margin-top:41.8pt;width:492.7pt;height:39.7pt;z-index:-3072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" filled="f" stroked="f">
              <v:textbox inset="0,0,0,0">
                <w:txbxContent>
                  <w:p w14:paraId="74E5B89C"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2BE83488"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063402A0"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85AA8"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95968" behindDoc="1" locked="0" layoutInCell="1" allowOverlap="1" wp14:anchorId="0089EE20" wp14:editId="4680E9CA">
              <wp:simplePos x="0" y="0"/>
              <wp:positionH relativeFrom="page">
                <wp:posOffset>798068</wp:posOffset>
              </wp:positionH>
              <wp:positionV relativeFrom="page">
                <wp:posOffset>530928</wp:posOffset>
              </wp:positionV>
              <wp:extent cx="6257290" cy="50419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504190"/>
                      </a:xfrm>
                      <a:prstGeom prst="rect">
                        <a:avLst/>
                      </a:prstGeom>
                    </wps:spPr>
                    <wps:txbx>
                      <w:txbxContent>
                        <w:p w14:paraId="34D2CB2D"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15C95025"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67146A44"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wps:txbx>
                    <wps:bodyPr wrap="square" lIns="0" tIns="0" rIns="0" bIns="0" rtlCol="0">
                      <a:noAutofit/>
                    </wps:bodyPr>
                  </wps:wsp>
                </a:graphicData>
              </a:graphic>
            </wp:anchor>
          </w:drawing>
        </mc:Choice>
        <mc:Fallback>
          <w:pict>
            <v:shapetype w14:anchorId="0089EE20" id="_x0000_t202" coordsize="21600,21600" o:spt="202" path="m,l,21600r21600,l21600,xe">
              <v:stroke joinstyle="miter"/>
              <v:path gradientshapeok="t" o:connecttype="rect"/>
            </v:shapetype>
            <v:shape id="Textbox 159" o:spid="_x0000_s1299" type="#_x0000_t202" style="position:absolute;margin-left:62.85pt;margin-top:41.8pt;width:492.7pt;height:39.7pt;z-index:-3072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" filled="f" stroked="f">
              <v:textbox inset="0,0,0,0">
                <w:txbxContent>
                  <w:p w14:paraId="34D2CB2D" w14:textId="77777777" w:rsidR="002C6574" w:rsidRDefault="00000000">
                    <w:pPr>
                      <w:spacing w:before="13" w:line="238"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15C95025"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67146A44" w14:textId="77777777" w:rsidR="002C6574" w:rsidRDefault="00000000">
                    <w:pPr>
                      <w:pStyle w:val="Corpodetexto"/>
                      <w:tabs>
                        <w:tab w:val="left" w:pos="9833"/>
                      </w:tabs>
                      <w:spacing w:line="272"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B470"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96992" behindDoc="1" locked="0" layoutInCell="1" allowOverlap="1" wp14:anchorId="5C607C58" wp14:editId="7C8F25D7">
              <wp:simplePos x="0" y="0"/>
              <wp:positionH relativeFrom="page">
                <wp:posOffset>798068</wp:posOffset>
              </wp:positionH>
              <wp:positionV relativeFrom="page">
                <wp:posOffset>1107000</wp:posOffset>
              </wp:positionV>
              <wp:extent cx="6257290" cy="50419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504190"/>
                      </a:xfrm>
                      <a:prstGeom prst="rect">
                        <a:avLst/>
                      </a:prstGeom>
                    </wps:spPr>
                    <wps:txbx>
                      <w:txbxContent>
                        <w:p w14:paraId="41DC5B50" w14:textId="77777777" w:rsidR="002C6574" w:rsidRDefault="00000000">
                          <w:pPr>
                            <w:spacing w:before="13" w:line="237"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3DA7DD5C"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6BE3EF55" w14:textId="77777777" w:rsidR="002C6574" w:rsidRDefault="00000000">
                          <w:pPr>
                            <w:pStyle w:val="Corpodetexto"/>
                            <w:tabs>
                              <w:tab w:val="left" w:pos="9833"/>
                            </w:tabs>
                            <w:spacing w:line="274"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wps:txbx>
                    <wps:bodyPr wrap="square" lIns="0" tIns="0" rIns="0" bIns="0" rtlCol="0">
                      <a:noAutofit/>
                    </wps:bodyPr>
                  </wps:wsp>
                </a:graphicData>
              </a:graphic>
            </wp:anchor>
          </w:drawing>
        </mc:Choice>
        <mc:Fallback>
          <w:pict>
            <v:shapetype w14:anchorId="5C607C58" id="_x0000_t202" coordsize="21600,21600" o:spt="202" path="m,l,21600r21600,l21600,xe">
              <v:stroke joinstyle="miter"/>
              <v:path gradientshapeok="t" o:connecttype="rect"/>
            </v:shapetype>
            <v:shape id="Textbox 161" o:spid="_x0000_s1301" type="#_x0000_t202" style="position:absolute;margin-left:62.85pt;margin-top:87.15pt;width:492.7pt;height:39.7pt;z-index:-3071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" filled="f" stroked="f">
              <v:textbox inset="0,0,0,0">
                <w:txbxContent>
                  <w:p w14:paraId="41DC5B50" w14:textId="77777777" w:rsidR="002C6574" w:rsidRDefault="00000000">
                    <w:pPr>
                      <w:spacing w:before="13" w:line="237"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3DA7DD5C"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6BE3EF55" w14:textId="77777777" w:rsidR="002C6574" w:rsidRDefault="00000000">
                    <w:pPr>
                      <w:pStyle w:val="Corpodetexto"/>
                      <w:tabs>
                        <w:tab w:val="left" w:pos="9833"/>
                      </w:tabs>
                      <w:spacing w:line="274"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041E1"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98016" behindDoc="1" locked="0" layoutInCell="1" allowOverlap="1" wp14:anchorId="7D6A6C08" wp14:editId="76BF6EA8">
              <wp:simplePos x="0" y="0"/>
              <wp:positionH relativeFrom="page">
                <wp:posOffset>798068</wp:posOffset>
              </wp:positionH>
              <wp:positionV relativeFrom="page">
                <wp:posOffset>1107000</wp:posOffset>
              </wp:positionV>
              <wp:extent cx="6257290" cy="50419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504190"/>
                      </a:xfrm>
                      <a:prstGeom prst="rect">
                        <a:avLst/>
                      </a:prstGeom>
                    </wps:spPr>
                    <wps:txbx>
                      <w:txbxContent>
                        <w:p w14:paraId="59600E6A" w14:textId="77777777" w:rsidR="002C6574" w:rsidRDefault="00000000">
                          <w:pPr>
                            <w:spacing w:before="13" w:line="237"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5515EA66"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44CE287E" w14:textId="77777777" w:rsidR="002C6574" w:rsidRDefault="00000000">
                          <w:pPr>
                            <w:pStyle w:val="Corpodetexto"/>
                            <w:tabs>
                              <w:tab w:val="left" w:pos="9833"/>
                            </w:tabs>
                            <w:spacing w:line="274"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wps:txbx>
                    <wps:bodyPr wrap="square" lIns="0" tIns="0" rIns="0" bIns="0" rtlCol="0">
                      <a:noAutofit/>
                    </wps:bodyPr>
                  </wps:wsp>
                </a:graphicData>
              </a:graphic>
            </wp:anchor>
          </w:drawing>
        </mc:Choice>
        <mc:Fallback>
          <w:pict>
            <v:shapetype w14:anchorId="7D6A6C08" id="_x0000_t202" coordsize="21600,21600" o:spt="202" path="m,l,21600r21600,l21600,xe">
              <v:stroke joinstyle="miter"/>
              <v:path gradientshapeok="t" o:connecttype="rect"/>
            </v:shapetype>
            <v:shape id="Textbox 163" o:spid="_x0000_s1303" type="#_x0000_t202" style="position:absolute;margin-left:62.85pt;margin-top:87.15pt;width:492.7pt;height:39.7pt;z-index:-307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" filled="f" stroked="f">
              <v:textbox inset="0,0,0,0">
                <w:txbxContent>
                  <w:p w14:paraId="59600E6A" w14:textId="77777777" w:rsidR="002C6574" w:rsidRDefault="00000000">
                    <w:pPr>
                      <w:spacing w:before="13" w:line="237"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5515EA66"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44CE287E" w14:textId="77777777" w:rsidR="002C6574" w:rsidRDefault="00000000">
                    <w:pPr>
                      <w:pStyle w:val="Corpodetexto"/>
                      <w:tabs>
                        <w:tab w:val="left" w:pos="9833"/>
                      </w:tabs>
                      <w:spacing w:line="274"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477C5"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599040" behindDoc="1" locked="0" layoutInCell="1" allowOverlap="1" wp14:anchorId="754BAFB0" wp14:editId="739FF66F">
              <wp:simplePos x="0" y="0"/>
              <wp:positionH relativeFrom="page">
                <wp:posOffset>798068</wp:posOffset>
              </wp:positionH>
              <wp:positionV relativeFrom="page">
                <wp:posOffset>1107000</wp:posOffset>
              </wp:positionV>
              <wp:extent cx="6257290" cy="50419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504190"/>
                      </a:xfrm>
                      <a:prstGeom prst="rect">
                        <a:avLst/>
                      </a:prstGeom>
                    </wps:spPr>
                    <wps:txbx>
                      <w:txbxContent>
                        <w:p w14:paraId="02C0F25F" w14:textId="77777777" w:rsidR="002C6574" w:rsidRDefault="00000000">
                          <w:pPr>
                            <w:spacing w:before="13" w:line="237"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3F1ED498"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1CCE99E6" w14:textId="77777777" w:rsidR="002C6574" w:rsidRDefault="00000000">
                          <w:pPr>
                            <w:pStyle w:val="Corpodetexto"/>
                            <w:tabs>
                              <w:tab w:val="left" w:pos="9833"/>
                            </w:tabs>
                            <w:spacing w:line="274"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wps:txbx>
                    <wps:bodyPr wrap="square" lIns="0" tIns="0" rIns="0" bIns="0" rtlCol="0">
                      <a:noAutofit/>
                    </wps:bodyPr>
                  </wps:wsp>
                </a:graphicData>
              </a:graphic>
            </wp:anchor>
          </w:drawing>
        </mc:Choice>
        <mc:Fallback>
          <w:pict>
            <v:shapetype w14:anchorId="754BAFB0" id="_x0000_t202" coordsize="21600,21600" o:spt="202" path="m,l,21600r21600,l21600,xe">
              <v:stroke joinstyle="miter"/>
              <v:path gradientshapeok="t" o:connecttype="rect"/>
            </v:shapetype>
            <v:shape id="Textbox 165" o:spid="_x0000_s1305" type="#_x0000_t202" style="position:absolute;margin-left:62.85pt;margin-top:87.15pt;width:492.7pt;height:39.7pt;z-index:-3071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" filled="f" stroked="f">
              <v:textbox inset="0,0,0,0">
                <w:txbxContent>
                  <w:p w14:paraId="02C0F25F" w14:textId="77777777" w:rsidR="002C6574" w:rsidRDefault="00000000">
                    <w:pPr>
                      <w:spacing w:before="13" w:line="237"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3F1ED498"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1CCE99E6" w14:textId="77777777" w:rsidR="002C6574" w:rsidRDefault="00000000">
                    <w:pPr>
                      <w:pStyle w:val="Corpodetexto"/>
                      <w:tabs>
                        <w:tab w:val="left" w:pos="9833"/>
                      </w:tabs>
                      <w:spacing w:line="274"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3B04C"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600064" behindDoc="1" locked="0" layoutInCell="1" allowOverlap="1" wp14:anchorId="24542DFD" wp14:editId="4C75096B">
              <wp:simplePos x="0" y="0"/>
              <wp:positionH relativeFrom="page">
                <wp:posOffset>798068</wp:posOffset>
              </wp:positionH>
              <wp:positionV relativeFrom="page">
                <wp:posOffset>675708</wp:posOffset>
              </wp:positionV>
              <wp:extent cx="6257290" cy="50419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504190"/>
                      </a:xfrm>
                      <a:prstGeom prst="rect">
                        <a:avLst/>
                      </a:prstGeom>
                    </wps:spPr>
                    <wps:txbx>
                      <w:txbxContent>
                        <w:p w14:paraId="73B8ED36" w14:textId="77777777" w:rsidR="002C6574" w:rsidRDefault="00000000">
                          <w:pPr>
                            <w:spacing w:before="13" w:line="237"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18711D1E"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4676BBF9" w14:textId="77777777" w:rsidR="002C6574" w:rsidRDefault="00000000">
                          <w:pPr>
                            <w:pStyle w:val="Corpodetexto"/>
                            <w:tabs>
                              <w:tab w:val="left" w:pos="9833"/>
                            </w:tabs>
                            <w:spacing w:line="274"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wps:txbx>
                    <wps:bodyPr wrap="square" lIns="0" tIns="0" rIns="0" bIns="0" rtlCol="0">
                      <a:noAutofit/>
                    </wps:bodyPr>
                  </wps:wsp>
                </a:graphicData>
              </a:graphic>
            </wp:anchor>
          </w:drawing>
        </mc:Choice>
        <mc:Fallback>
          <w:pict>
            <v:shapetype w14:anchorId="24542DFD" id="_x0000_t202" coordsize="21600,21600" o:spt="202" path="m,l,21600r21600,l21600,xe">
              <v:stroke joinstyle="miter"/>
              <v:path gradientshapeok="t" o:connecttype="rect"/>
            </v:shapetype>
            <v:shape id="Textbox 167" o:spid="_x0000_s1307" type="#_x0000_t202" style="position:absolute;margin-left:62.85pt;margin-top:53.2pt;width:492.7pt;height:39.7pt;z-index:-307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" filled="f" stroked="f">
              <v:textbox inset="0,0,0,0">
                <w:txbxContent>
                  <w:p w14:paraId="73B8ED36" w14:textId="77777777" w:rsidR="002C6574" w:rsidRDefault="00000000">
                    <w:pPr>
                      <w:spacing w:before="13" w:line="237"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18711D1E"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4676BBF9" w14:textId="77777777" w:rsidR="002C6574" w:rsidRDefault="00000000">
                    <w:pPr>
                      <w:pStyle w:val="Corpodetexto"/>
                      <w:tabs>
                        <w:tab w:val="left" w:pos="9833"/>
                      </w:tabs>
                      <w:spacing w:line="274"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40D7C"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601088" behindDoc="1" locked="0" layoutInCell="1" allowOverlap="1" wp14:anchorId="3243F70A" wp14:editId="7468FA3E">
              <wp:simplePos x="0" y="0"/>
              <wp:positionH relativeFrom="page">
                <wp:posOffset>798068</wp:posOffset>
              </wp:positionH>
              <wp:positionV relativeFrom="page">
                <wp:posOffset>675708</wp:posOffset>
              </wp:positionV>
              <wp:extent cx="6257290" cy="50419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504190"/>
                      </a:xfrm>
                      <a:prstGeom prst="rect">
                        <a:avLst/>
                      </a:prstGeom>
                    </wps:spPr>
                    <wps:txbx>
                      <w:txbxContent>
                        <w:p w14:paraId="3DADA306" w14:textId="77777777" w:rsidR="002C6574" w:rsidRDefault="00000000">
                          <w:pPr>
                            <w:spacing w:before="13" w:line="237"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49540422"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372F55DB" w14:textId="77777777" w:rsidR="002C6574" w:rsidRDefault="00000000">
                          <w:pPr>
                            <w:pStyle w:val="Corpodetexto"/>
                            <w:tabs>
                              <w:tab w:val="left" w:pos="9833"/>
                            </w:tabs>
                            <w:spacing w:line="274"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wps:txbx>
                    <wps:bodyPr wrap="square" lIns="0" tIns="0" rIns="0" bIns="0" rtlCol="0">
                      <a:noAutofit/>
                    </wps:bodyPr>
                  </wps:wsp>
                </a:graphicData>
              </a:graphic>
            </wp:anchor>
          </w:drawing>
        </mc:Choice>
        <mc:Fallback>
          <w:pict>
            <v:shapetype w14:anchorId="3243F70A" id="_x0000_t202" coordsize="21600,21600" o:spt="202" path="m,l,21600r21600,l21600,xe">
              <v:stroke joinstyle="miter"/>
              <v:path gradientshapeok="t" o:connecttype="rect"/>
            </v:shapetype>
            <v:shape id="Textbox 169" o:spid="_x0000_s1309" type="#_x0000_t202" style="position:absolute;margin-left:62.85pt;margin-top:53.2pt;width:492.7pt;height:39.7pt;z-index:-307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" filled="f" stroked="f">
              <v:textbox inset="0,0,0,0">
                <w:txbxContent>
                  <w:p w14:paraId="3DADA306" w14:textId="77777777" w:rsidR="002C6574" w:rsidRDefault="00000000">
                    <w:pPr>
                      <w:spacing w:before="13" w:line="237"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49540422"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372F55DB" w14:textId="77777777" w:rsidR="002C6574" w:rsidRDefault="00000000">
                    <w:pPr>
                      <w:pStyle w:val="Corpodetexto"/>
                      <w:tabs>
                        <w:tab w:val="left" w:pos="9833"/>
                      </w:tabs>
                      <w:spacing w:line="274"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79887"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602112" behindDoc="1" locked="0" layoutInCell="1" allowOverlap="1" wp14:anchorId="3D9E8312" wp14:editId="05172136">
              <wp:simplePos x="0" y="0"/>
              <wp:positionH relativeFrom="page">
                <wp:posOffset>798068</wp:posOffset>
              </wp:positionH>
              <wp:positionV relativeFrom="page">
                <wp:posOffset>675708</wp:posOffset>
              </wp:positionV>
              <wp:extent cx="6257290" cy="50419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290" cy="504190"/>
                      </a:xfrm>
                      <a:prstGeom prst="rect">
                        <a:avLst/>
                      </a:prstGeom>
                    </wps:spPr>
                    <wps:txbx>
                      <w:txbxContent>
                        <w:p w14:paraId="11CD0D6A" w14:textId="77777777" w:rsidR="002C6574" w:rsidRDefault="00000000">
                          <w:pPr>
                            <w:spacing w:before="13" w:line="237"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02885282"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42D20524" w14:textId="77777777" w:rsidR="002C6574" w:rsidRDefault="00000000">
                          <w:pPr>
                            <w:pStyle w:val="Corpodetexto"/>
                            <w:tabs>
                              <w:tab w:val="left" w:pos="9833"/>
                            </w:tabs>
                            <w:spacing w:line="274"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wps:txbx>
                    <wps:bodyPr wrap="square" lIns="0" tIns="0" rIns="0" bIns="0" rtlCol="0">
                      <a:noAutofit/>
                    </wps:bodyPr>
                  </wps:wsp>
                </a:graphicData>
              </a:graphic>
            </wp:anchor>
          </w:drawing>
        </mc:Choice>
        <mc:Fallback>
          <w:pict>
            <v:shapetype w14:anchorId="3D9E8312" id="_x0000_t202" coordsize="21600,21600" o:spt="202" path="m,l,21600r21600,l21600,xe">
              <v:stroke joinstyle="miter"/>
              <v:path gradientshapeok="t" o:connecttype="rect"/>
            </v:shapetype>
            <v:shape id="Textbox 171" o:spid="_x0000_s1311" type="#_x0000_t202" style="position:absolute;margin-left:62.85pt;margin-top:53.2pt;width:492.7pt;height:39.7pt;z-index:-307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" filled="f" stroked="f">
              <v:textbox inset="0,0,0,0">
                <w:txbxContent>
                  <w:p w14:paraId="11CD0D6A" w14:textId="77777777" w:rsidR="002C6574" w:rsidRDefault="00000000">
                    <w:pPr>
                      <w:spacing w:before="13" w:line="237" w:lineRule="exact"/>
                      <w:ind w:left="20"/>
                      <w:rPr>
                        <w:rFonts w:ascii="Arial" w:hAnsi="Arial"/>
                        <w:b/>
                      </w:rPr>
                    </w:pPr>
                    <w:r>
                      <w:rPr>
                        <w:rFonts w:ascii="Arial" w:hAnsi="Arial"/>
                        <w:b/>
                      </w:rPr>
                      <w:t>TELECOMUNICAÇÕES</w:t>
                    </w:r>
                    <w:r>
                      <w:rPr>
                        <w:rFonts w:ascii="Arial" w:hAnsi="Arial"/>
                        <w:b/>
                        <w:spacing w:val="-8"/>
                      </w:rPr>
                      <w:t xml:space="preserve"> </w:t>
                    </w:r>
                    <w:r>
                      <w:rPr>
                        <w:rFonts w:ascii="Arial" w:hAnsi="Arial"/>
                        <w:b/>
                      </w:rPr>
                      <w:t>BRASILEIRAS</w:t>
                    </w:r>
                    <w:r>
                      <w:rPr>
                        <w:rFonts w:ascii="Arial" w:hAnsi="Arial"/>
                        <w:b/>
                        <w:spacing w:val="-6"/>
                      </w:rPr>
                      <w:t xml:space="preserve"> </w:t>
                    </w:r>
                    <w:r>
                      <w:rPr>
                        <w:rFonts w:ascii="Arial" w:hAnsi="Arial"/>
                        <w:b/>
                      </w:rPr>
                      <w:t>S.A</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spacing w:val="-2"/>
                      </w:rPr>
                      <w:t>TELEBRAS</w:t>
                    </w:r>
                  </w:p>
                  <w:p w14:paraId="02885282" w14:textId="77777777" w:rsidR="002C6574" w:rsidRDefault="00000000">
                    <w:pPr>
                      <w:pStyle w:val="Corpodetexto"/>
                      <w:spacing w:line="257" w:lineRule="exact"/>
                      <w:ind w:left="20"/>
                    </w:pPr>
                    <w:r>
                      <w:t>Notas</w:t>
                    </w:r>
                    <w:r>
                      <w:rPr>
                        <w:spacing w:val="14"/>
                      </w:rPr>
                      <w:t xml:space="preserve"> </w:t>
                    </w:r>
                    <w:r>
                      <w:t>Explicativas</w:t>
                    </w:r>
                    <w:r>
                      <w:rPr>
                        <w:spacing w:val="8"/>
                      </w:rPr>
                      <w:t xml:space="preserve"> </w:t>
                    </w:r>
                    <w:r>
                      <w:t>às</w:t>
                    </w:r>
                    <w:r>
                      <w:rPr>
                        <w:spacing w:val="12"/>
                      </w:rPr>
                      <w:t xml:space="preserve"> </w:t>
                    </w:r>
                    <w:r>
                      <w:t>Demonstrações</w:t>
                    </w:r>
                    <w:r>
                      <w:rPr>
                        <w:spacing w:val="8"/>
                      </w:rPr>
                      <w:t xml:space="preserve"> </w:t>
                    </w:r>
                    <w:r>
                      <w:t>Contábeis</w:t>
                    </w:r>
                    <w:r>
                      <w:rPr>
                        <w:spacing w:val="9"/>
                      </w:rPr>
                      <w:t xml:space="preserve"> </w:t>
                    </w:r>
                    <w:r>
                      <w:t>em</w:t>
                    </w:r>
                    <w:r>
                      <w:rPr>
                        <w:spacing w:val="13"/>
                      </w:rPr>
                      <w:t xml:space="preserve"> </w:t>
                    </w:r>
                    <w:r>
                      <w:t>31</w:t>
                    </w:r>
                    <w:r>
                      <w:rPr>
                        <w:spacing w:val="9"/>
                      </w:rPr>
                      <w:t xml:space="preserve"> </w:t>
                    </w:r>
                    <w:r>
                      <w:t>de</w:t>
                    </w:r>
                    <w:r>
                      <w:rPr>
                        <w:spacing w:val="13"/>
                      </w:rPr>
                      <w:t xml:space="preserve"> </w:t>
                    </w:r>
                    <w:r>
                      <w:t>dezembro</w:t>
                    </w:r>
                    <w:r>
                      <w:rPr>
                        <w:spacing w:val="12"/>
                      </w:rPr>
                      <w:t xml:space="preserve"> </w:t>
                    </w:r>
                    <w:r>
                      <w:t>de</w:t>
                    </w:r>
                    <w:r>
                      <w:rPr>
                        <w:spacing w:val="10"/>
                      </w:rPr>
                      <w:t xml:space="preserve"> </w:t>
                    </w:r>
                    <w:r>
                      <w:t>2025</w:t>
                    </w:r>
                    <w:r>
                      <w:rPr>
                        <w:spacing w:val="12"/>
                      </w:rPr>
                      <w:t xml:space="preserve"> </w:t>
                    </w:r>
                    <w:r>
                      <w:t>e</w:t>
                    </w:r>
                    <w:r>
                      <w:rPr>
                        <w:spacing w:val="10"/>
                      </w:rPr>
                      <w:t xml:space="preserve"> </w:t>
                    </w:r>
                    <w:r>
                      <w:rPr>
                        <w:spacing w:val="-4"/>
                      </w:rPr>
                      <w:t>2024</w:t>
                    </w:r>
                  </w:p>
                  <w:p w14:paraId="42D20524" w14:textId="77777777" w:rsidR="002C6574" w:rsidRDefault="00000000">
                    <w:pPr>
                      <w:pStyle w:val="Corpodetexto"/>
                      <w:tabs>
                        <w:tab w:val="left" w:pos="9833"/>
                      </w:tabs>
                      <w:spacing w:line="274" w:lineRule="exact"/>
                      <w:ind w:left="20"/>
                    </w:pPr>
                    <w:r>
                      <w:rPr>
                        <w:u w:val="single" w:color="2D11F4"/>
                      </w:rPr>
                      <w:t>Em</w:t>
                    </w:r>
                    <w:r>
                      <w:rPr>
                        <w:spacing w:val="2"/>
                        <w:u w:val="single" w:color="2D11F4"/>
                      </w:rPr>
                      <w:t xml:space="preserve"> </w:t>
                    </w:r>
                    <w:r>
                      <w:rPr>
                        <w:u w:val="single" w:color="2D11F4"/>
                      </w:rPr>
                      <w:t>milhares</w:t>
                    </w:r>
                    <w:r>
                      <w:rPr>
                        <w:spacing w:val="5"/>
                        <w:u w:val="single" w:color="2D11F4"/>
                      </w:rPr>
                      <w:t xml:space="preserve"> </w:t>
                    </w:r>
                    <w:r>
                      <w:rPr>
                        <w:u w:val="single" w:color="2D11F4"/>
                      </w:rPr>
                      <w:t>de</w:t>
                    </w:r>
                    <w:r>
                      <w:rPr>
                        <w:spacing w:val="1"/>
                        <w:u w:val="single" w:color="2D11F4"/>
                      </w:rPr>
                      <w:t xml:space="preserve"> </w:t>
                    </w:r>
                    <w:r>
                      <w:rPr>
                        <w:u w:val="single" w:color="2D11F4"/>
                      </w:rPr>
                      <w:t>reais,</w:t>
                    </w:r>
                    <w:r>
                      <w:rPr>
                        <w:spacing w:val="5"/>
                        <w:u w:val="single" w:color="2D11F4"/>
                      </w:rPr>
                      <w:t xml:space="preserve"> </w:t>
                    </w:r>
                    <w:r>
                      <w:rPr>
                        <w:u w:val="single" w:color="2D11F4"/>
                      </w:rPr>
                      <w:t>exceto</w:t>
                    </w:r>
                    <w:r>
                      <w:rPr>
                        <w:spacing w:val="1"/>
                        <w:u w:val="single" w:color="2D11F4"/>
                      </w:rPr>
                      <w:t xml:space="preserve"> </w:t>
                    </w:r>
                    <w:r>
                      <w:rPr>
                        <w:u w:val="single" w:color="2D11F4"/>
                      </w:rPr>
                      <w:t>quando</w:t>
                    </w:r>
                    <w:r>
                      <w:rPr>
                        <w:spacing w:val="1"/>
                        <w:u w:val="single" w:color="2D11F4"/>
                      </w:rPr>
                      <w:t xml:space="preserve"> </w:t>
                    </w:r>
                    <w:r>
                      <w:rPr>
                        <w:u w:val="single" w:color="2D11F4"/>
                      </w:rPr>
                      <w:t>indicado</w:t>
                    </w:r>
                    <w:r>
                      <w:rPr>
                        <w:spacing w:val="3"/>
                        <w:u w:val="single" w:color="2D11F4"/>
                      </w:rPr>
                      <w:t xml:space="preserve"> </w:t>
                    </w:r>
                    <w:r>
                      <w:rPr>
                        <w:u w:val="single" w:color="2D11F4"/>
                      </w:rPr>
                      <w:t>de</w:t>
                    </w:r>
                    <w:r>
                      <w:rPr>
                        <w:spacing w:val="1"/>
                        <w:u w:val="single" w:color="2D11F4"/>
                      </w:rPr>
                      <w:t xml:space="preserve"> </w:t>
                    </w:r>
                    <w:r>
                      <w:rPr>
                        <w:u w:val="single" w:color="2D11F4"/>
                      </w:rPr>
                      <w:t>outra</w:t>
                    </w:r>
                    <w:r>
                      <w:rPr>
                        <w:spacing w:val="1"/>
                        <w:u w:val="single" w:color="2D11F4"/>
                      </w:rPr>
                      <w:t xml:space="preserve"> </w:t>
                    </w:r>
                    <w:r>
                      <w:rPr>
                        <w:spacing w:val="-2"/>
                        <w:u w:val="single" w:color="2D11F4"/>
                      </w:rPr>
                      <w:t>forma.</w:t>
                    </w:r>
                    <w:r>
                      <w:rPr>
                        <w:u w:val="single" w:color="2D11F4"/>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1846A" w14:textId="77777777" w:rsidR="002C6574" w:rsidRDefault="00000000">
    <w:pPr>
      <w:pStyle w:val="Corpodetexto"/>
      <w:spacing w:line="14" w:lineRule="auto"/>
      <w:rPr>
        <w:sz w:val="20"/>
      </w:rPr>
    </w:pPr>
    <w:r>
      <w:rPr>
        <w:noProof/>
        <w:sz w:val="20"/>
      </w:rPr>
      <w:drawing>
        <wp:anchor distT="0" distB="0" distL="0" distR="0" simplePos="0" relativeHeight="472561664" behindDoc="1" locked="0" layoutInCell="1" allowOverlap="1" wp14:anchorId="43BEEC14" wp14:editId="0E7389DE">
          <wp:simplePos x="0" y="0"/>
          <wp:positionH relativeFrom="page">
            <wp:posOffset>5977128</wp:posOffset>
          </wp:positionH>
          <wp:positionV relativeFrom="page">
            <wp:posOffset>198120</wp:posOffset>
          </wp:positionV>
          <wp:extent cx="1146048" cy="344423"/>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 cstate="print"/>
                  <a:stretch>
                    <a:fillRect/>
                  </a:stretch>
                </pic:blipFill>
                <pic:spPr>
                  <a:xfrm>
                    <a:off x="0" y="0"/>
                    <a:ext cx="1146048" cy="344423"/>
                  </a:xfrm>
                  <a:prstGeom prst="rect">
                    <a:avLst/>
                  </a:prstGeom>
                </pic:spPr>
              </pic:pic>
            </a:graphicData>
          </a:graphic>
        </wp:anchor>
      </w:drawing>
    </w:r>
    <w:r>
      <w:rPr>
        <w:noProof/>
        <w:sz w:val="20"/>
      </w:rPr>
      <mc:AlternateContent>
        <mc:Choice Requires="wps">
          <w:drawing>
            <wp:anchor distT="0" distB="0" distL="0" distR="0" simplePos="0" relativeHeight="472562176" behindDoc="1" locked="0" layoutInCell="1" allowOverlap="1" wp14:anchorId="017CD1E2" wp14:editId="2C8C827A">
              <wp:simplePos x="0" y="0"/>
              <wp:positionH relativeFrom="page">
                <wp:posOffset>480060</wp:posOffset>
              </wp:positionH>
              <wp:positionV relativeFrom="page">
                <wp:posOffset>690372</wp:posOffset>
              </wp:positionV>
              <wp:extent cx="7080884" cy="1841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884" cy="18415"/>
                      </a:xfrm>
                      <a:custGeom>
                        <a:avLst/>
                        <a:gdLst/>
                        <a:ahLst/>
                        <a:cxnLst/>
                        <a:rect l="l" t="t" r="r" b="b"/>
                        <a:pathLst>
                          <a:path w="7080884" h="18415">
                            <a:moveTo>
                              <a:pt x="7080504" y="18288"/>
                            </a:moveTo>
                            <a:lnTo>
                              <a:pt x="0" y="18288"/>
                            </a:lnTo>
                            <a:lnTo>
                              <a:pt x="0" y="0"/>
                            </a:lnTo>
                            <a:lnTo>
                              <a:pt x="7080504" y="0"/>
                            </a:lnTo>
                            <a:lnTo>
                              <a:pt x="7080504" y="18288"/>
                            </a:lnTo>
                            <a:close/>
                          </a:path>
                        </a:pathLst>
                      </a:custGeom>
                      <a:solidFill>
                        <a:srgbClr val="95B3D6"/>
                      </a:solidFill>
                    </wps:spPr>
                    <wps:bodyPr wrap="square" lIns="0" tIns="0" rIns="0" bIns="0" rtlCol="0">
                      <a:prstTxWarp prst="textNoShape">
                        <a:avLst/>
                      </a:prstTxWarp>
                      <a:noAutofit/>
                    </wps:bodyPr>
                  </wps:wsp>
                </a:graphicData>
              </a:graphic>
            </wp:anchor>
          </w:drawing>
        </mc:Choice>
        <mc:Fallback>
          <w:pict>
            <v:shape w14:anchorId="761825BA" id="Graphic 51" o:spid="_x0000_s1026" style="position:absolute;margin-left:37.8pt;margin-top:54.35pt;width:557.55pt;height:1.45pt;z-index:-30754304;visibility:visible;mso-wrap-style:square;mso-wrap-distance-left:0;mso-wrap-distance-top:0;mso-wrap-distance-right:0;mso-wrap-distance-bottom:0;mso-position-horizontal:absolute;mso-position-horizontal-relative:page;mso-position-vertical:absolute;mso-position-vertical-relative:page;v-text-anchor:top" coordsize="70808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" path="m7080504,18288l,18288,,,7080504,r,18288xe" fillcolor="#95b3d6" stroked="f">
              <v:path arrowok="t"/>
              <w10:wrap anchorx="page" anchory="page"/>
            </v:shape>
          </w:pict>
        </mc:Fallback>
      </mc:AlternateContent>
    </w:r>
    <w:r>
      <w:rPr>
        <w:noProof/>
        <w:sz w:val="20"/>
      </w:rPr>
      <mc:AlternateContent>
        <mc:Choice Requires="wps">
          <w:drawing>
            <wp:anchor distT="0" distB="0" distL="0" distR="0" simplePos="0" relativeHeight="472562688" behindDoc="1" locked="0" layoutInCell="1" allowOverlap="1" wp14:anchorId="25763EB7" wp14:editId="4450C0E5">
              <wp:simplePos x="0" y="0"/>
              <wp:positionH relativeFrom="page">
                <wp:posOffset>899160</wp:posOffset>
              </wp:positionH>
              <wp:positionV relativeFrom="page">
                <wp:posOffset>723900</wp:posOffset>
              </wp:positionV>
              <wp:extent cx="6661784" cy="1841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8415"/>
                      </a:xfrm>
                      <a:custGeom>
                        <a:avLst/>
                        <a:gdLst/>
                        <a:ahLst/>
                        <a:cxnLst/>
                        <a:rect l="l" t="t" r="r" b="b"/>
                        <a:pathLst>
                          <a:path w="6661784" h="18415">
                            <a:moveTo>
                              <a:pt x="6661404" y="18288"/>
                            </a:moveTo>
                            <a:lnTo>
                              <a:pt x="0" y="18288"/>
                            </a:lnTo>
                            <a:lnTo>
                              <a:pt x="0" y="0"/>
                            </a:lnTo>
                            <a:lnTo>
                              <a:pt x="6661404" y="0"/>
                            </a:lnTo>
                            <a:lnTo>
                              <a:pt x="6661404" y="18288"/>
                            </a:lnTo>
                            <a:close/>
                          </a:path>
                        </a:pathLst>
                      </a:custGeom>
                      <a:solidFill>
                        <a:srgbClr val="215967"/>
                      </a:solidFill>
                    </wps:spPr>
                    <wps:bodyPr wrap="square" lIns="0" tIns="0" rIns="0" bIns="0" rtlCol="0">
                      <a:prstTxWarp prst="textNoShape">
                        <a:avLst/>
                      </a:prstTxWarp>
                      <a:noAutofit/>
                    </wps:bodyPr>
                  </wps:wsp>
                </a:graphicData>
              </a:graphic>
            </wp:anchor>
          </w:drawing>
        </mc:Choice>
        <mc:Fallback>
          <w:pict>
            <v:shape w14:anchorId="7CC26A21" id="Graphic 52" o:spid="_x0000_s1026" style="position:absolute;margin-left:70.8pt;margin-top:57pt;width:524.55pt;height:1.45pt;z-index:-30753792;visibility:visible;mso-wrap-style:square;mso-wrap-distance-left:0;mso-wrap-distance-top:0;mso-wrap-distance-right:0;mso-wrap-distance-bottom:0;mso-position-horizontal:absolute;mso-position-horizontal-relative:page;mso-position-vertical:absolute;mso-position-vertical-relative:page;v-text-anchor:top" coordsize="66617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" path="m6661404,18288l,18288,,,6661404,r,18288xe" fillcolor="#215967" stroked="f">
              <v:path arrowok="t"/>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03D52" w14:textId="77777777" w:rsidR="002C6574" w:rsidRDefault="002C6574">
    <w:pPr>
      <w:pStyle w:val="Corpodetexto"/>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05F9C" w14:textId="77777777" w:rsidR="002C6574" w:rsidRDefault="002C6574">
    <w:pPr>
      <w:pStyle w:val="Corpodetexto"/>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17CBB" w14:textId="77777777" w:rsidR="002C6574" w:rsidRDefault="002C6574">
    <w:pPr>
      <w:pStyle w:val="Corpodetexto"/>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BA751" w14:textId="77777777" w:rsidR="002C6574" w:rsidRDefault="00000000">
    <w:pPr>
      <w:pStyle w:val="Corpodetexto"/>
      <w:spacing w:line="14" w:lineRule="auto"/>
      <w:rPr>
        <w:sz w:val="20"/>
      </w:rPr>
    </w:pPr>
    <w:r>
      <w:rPr>
        <w:noProof/>
        <w:sz w:val="20"/>
      </w:rPr>
      <w:drawing>
        <wp:anchor distT="0" distB="0" distL="0" distR="0" simplePos="0" relativeHeight="472603136" behindDoc="1" locked="0" layoutInCell="1" allowOverlap="1" wp14:anchorId="58929E9D" wp14:editId="0BDBD231">
          <wp:simplePos x="0" y="0"/>
          <wp:positionH relativeFrom="page">
            <wp:posOffset>3121971</wp:posOffset>
          </wp:positionH>
          <wp:positionV relativeFrom="page">
            <wp:posOffset>200079</wp:posOffset>
          </wp:positionV>
          <wp:extent cx="1315477" cy="375809"/>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 cstate="print"/>
                  <a:stretch>
                    <a:fillRect/>
                  </a:stretch>
                </pic:blipFill>
                <pic:spPr>
                  <a:xfrm>
                    <a:off x="0" y="0"/>
                    <a:ext cx="1315477" cy="375809"/>
                  </a:xfrm>
                  <a:prstGeom prst="rect">
                    <a:avLst/>
                  </a:prstGeom>
                </pic:spPr>
              </pic:pic>
            </a:graphicData>
          </a:graphic>
        </wp:anchor>
      </w:drawing>
    </w:r>
    <w:r>
      <w:rPr>
        <w:noProof/>
        <w:sz w:val="20"/>
      </w:rPr>
      <mc:AlternateContent>
        <mc:Choice Requires="wps">
          <w:drawing>
            <wp:anchor distT="0" distB="0" distL="0" distR="0" simplePos="0" relativeHeight="472603648" behindDoc="1" locked="0" layoutInCell="1" allowOverlap="1" wp14:anchorId="0B1B5D86" wp14:editId="33DF883D">
              <wp:simplePos x="0" y="0"/>
              <wp:positionH relativeFrom="page">
                <wp:posOffset>2630551</wp:posOffset>
              </wp:positionH>
              <wp:positionV relativeFrom="page">
                <wp:posOffset>605662</wp:posOffset>
              </wp:positionV>
              <wp:extent cx="2177415" cy="37592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7415" cy="375920"/>
                      </a:xfrm>
                      <a:prstGeom prst="rect">
                        <a:avLst/>
                      </a:prstGeom>
                    </wps:spPr>
                    <wps:txbx>
                      <w:txbxContent>
                        <w:p w14:paraId="040D6957" w14:textId="77777777" w:rsidR="002C6574" w:rsidRDefault="00000000">
                          <w:pPr>
                            <w:spacing w:line="183" w:lineRule="exact"/>
                            <w:ind w:left="514"/>
                            <w:rPr>
                              <w:rFonts w:ascii="Calibri" w:hAnsi="Calibri"/>
                              <w:b/>
                              <w:sz w:val="16"/>
                            </w:rPr>
                          </w:pPr>
                          <w:r>
                            <w:rPr>
                              <w:rFonts w:ascii="Calibri" w:hAnsi="Calibri"/>
                              <w:b/>
                              <w:spacing w:val="-2"/>
                              <w:sz w:val="16"/>
                            </w:rPr>
                            <w:t>TELECOMUNICAÇÕES</w:t>
                          </w:r>
                          <w:r>
                            <w:rPr>
                              <w:rFonts w:ascii="Calibri" w:hAnsi="Calibri"/>
                              <w:b/>
                              <w:spacing w:val="16"/>
                              <w:sz w:val="16"/>
                            </w:rPr>
                            <w:t xml:space="preserve"> </w:t>
                          </w:r>
                          <w:r>
                            <w:rPr>
                              <w:rFonts w:ascii="Calibri" w:hAnsi="Calibri"/>
                              <w:b/>
                              <w:spacing w:val="-2"/>
                              <w:sz w:val="16"/>
                            </w:rPr>
                            <w:t>BRASILEIRAS</w:t>
                          </w:r>
                          <w:r>
                            <w:rPr>
                              <w:rFonts w:ascii="Calibri" w:hAnsi="Calibri"/>
                              <w:b/>
                              <w:spacing w:val="15"/>
                              <w:sz w:val="16"/>
                            </w:rPr>
                            <w:t xml:space="preserve"> </w:t>
                          </w:r>
                          <w:r>
                            <w:rPr>
                              <w:rFonts w:ascii="Calibri" w:hAnsi="Calibri"/>
                              <w:b/>
                              <w:spacing w:val="-4"/>
                              <w:sz w:val="16"/>
                            </w:rPr>
                            <w:t>S.A.</w:t>
                          </w:r>
                        </w:p>
                        <w:p w14:paraId="118EF45E" w14:textId="77777777" w:rsidR="002C6574" w:rsidRDefault="00000000">
                          <w:pPr>
                            <w:ind w:left="20" w:firstLine="324"/>
                            <w:rPr>
                              <w:rFonts w:ascii="Calibri" w:hAnsi="Calibri"/>
                              <w:b/>
                              <w:sz w:val="16"/>
                            </w:rPr>
                          </w:pPr>
                          <w:r>
                            <w:rPr>
                              <w:rFonts w:ascii="Calibri" w:hAnsi="Calibri"/>
                              <w:b/>
                              <w:sz w:val="16"/>
                            </w:rPr>
                            <w:t>Vinculada ao Ministério das Comunicações</w:t>
                          </w:r>
                          <w:r>
                            <w:rPr>
                              <w:rFonts w:ascii="Calibri" w:hAnsi="Calibri"/>
                              <w:b/>
                              <w:spacing w:val="40"/>
                              <w:sz w:val="16"/>
                            </w:rPr>
                            <w:t xml:space="preserve"> </w:t>
                          </w:r>
                          <w:r>
                            <w:rPr>
                              <w:rFonts w:ascii="Calibri" w:hAnsi="Calibri"/>
                              <w:b/>
                              <w:sz w:val="16"/>
                            </w:rPr>
                            <w:t>CNPJ</w:t>
                          </w:r>
                          <w:r>
                            <w:rPr>
                              <w:rFonts w:ascii="Calibri" w:hAnsi="Calibri"/>
                              <w:b/>
                              <w:spacing w:val="-6"/>
                              <w:sz w:val="16"/>
                            </w:rPr>
                            <w:t xml:space="preserve"> </w:t>
                          </w:r>
                          <w:r>
                            <w:rPr>
                              <w:rFonts w:ascii="Calibri" w:hAnsi="Calibri"/>
                              <w:b/>
                              <w:sz w:val="16"/>
                            </w:rPr>
                            <w:t>nº</w:t>
                          </w:r>
                          <w:r>
                            <w:rPr>
                              <w:rFonts w:ascii="Calibri" w:hAnsi="Calibri"/>
                              <w:b/>
                              <w:spacing w:val="-6"/>
                              <w:sz w:val="16"/>
                            </w:rPr>
                            <w:t xml:space="preserve"> </w:t>
                          </w:r>
                          <w:r>
                            <w:rPr>
                              <w:rFonts w:ascii="Calibri" w:hAnsi="Calibri"/>
                              <w:b/>
                              <w:sz w:val="16"/>
                            </w:rPr>
                            <w:t>00336701/0001-04</w:t>
                          </w:r>
                          <w:r>
                            <w:rPr>
                              <w:rFonts w:ascii="Calibri" w:hAnsi="Calibri"/>
                              <w:b/>
                              <w:spacing w:val="-8"/>
                              <w:sz w:val="16"/>
                            </w:rPr>
                            <w:t xml:space="preserve"> </w:t>
                          </w:r>
                          <w:r>
                            <w:rPr>
                              <w:rFonts w:ascii="Calibri" w:hAnsi="Calibri"/>
                              <w:b/>
                              <w:sz w:val="16"/>
                            </w:rPr>
                            <w:t>-</w:t>
                          </w:r>
                          <w:r>
                            <w:rPr>
                              <w:rFonts w:ascii="Calibri" w:hAnsi="Calibri"/>
                              <w:b/>
                              <w:spacing w:val="-5"/>
                              <w:sz w:val="16"/>
                            </w:rPr>
                            <w:t xml:space="preserve"> </w:t>
                          </w:r>
                          <w:r>
                            <w:rPr>
                              <w:rFonts w:ascii="Calibri" w:hAnsi="Calibri"/>
                              <w:b/>
                              <w:sz w:val="16"/>
                            </w:rPr>
                            <w:t>NIRE</w:t>
                          </w:r>
                          <w:r>
                            <w:rPr>
                              <w:rFonts w:ascii="Calibri" w:hAnsi="Calibri"/>
                              <w:b/>
                              <w:spacing w:val="-6"/>
                              <w:sz w:val="16"/>
                            </w:rPr>
                            <w:t xml:space="preserve"> </w:t>
                          </w:r>
                          <w:r>
                            <w:rPr>
                              <w:rFonts w:ascii="Calibri" w:hAnsi="Calibri"/>
                              <w:b/>
                              <w:sz w:val="16"/>
                            </w:rPr>
                            <w:t>Nº</w:t>
                          </w:r>
                          <w:r>
                            <w:rPr>
                              <w:rFonts w:ascii="Calibri" w:hAnsi="Calibri"/>
                              <w:b/>
                              <w:spacing w:val="-6"/>
                              <w:sz w:val="16"/>
                            </w:rPr>
                            <w:t xml:space="preserve"> </w:t>
                          </w:r>
                          <w:r>
                            <w:rPr>
                              <w:rFonts w:ascii="Calibri" w:hAnsi="Calibri"/>
                              <w:b/>
                              <w:sz w:val="16"/>
                            </w:rPr>
                            <w:t>53300002231</w:t>
                          </w:r>
                        </w:p>
                      </w:txbxContent>
                    </wps:txbx>
                    <wps:bodyPr wrap="square" lIns="0" tIns="0" rIns="0" bIns="0" rtlCol="0">
                      <a:noAutofit/>
                    </wps:bodyPr>
                  </wps:wsp>
                </a:graphicData>
              </a:graphic>
            </wp:anchor>
          </w:drawing>
        </mc:Choice>
        <mc:Fallback>
          <w:pict>
            <v:shapetype w14:anchorId="0B1B5D86" id="_x0000_t202" coordsize="21600,21600" o:spt="202" path="m,l,21600r21600,l21600,xe">
              <v:stroke joinstyle="miter"/>
              <v:path gradientshapeok="t" o:connecttype="rect"/>
            </v:shapetype>
            <v:shape id="Textbox 183" o:spid="_x0000_s1313" type="#_x0000_t202" style="position:absolute;margin-left:207.15pt;margin-top:47.7pt;width:171.45pt;height:29.6pt;z-index:-307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" filled="f" stroked="f">
              <v:textbox inset="0,0,0,0">
                <w:txbxContent>
                  <w:p w14:paraId="040D6957" w14:textId="77777777" w:rsidR="002C6574" w:rsidRDefault="00000000">
                    <w:pPr>
                      <w:spacing w:line="183" w:lineRule="exact"/>
                      <w:ind w:left="514"/>
                      <w:rPr>
                        <w:rFonts w:ascii="Calibri" w:hAnsi="Calibri"/>
                        <w:b/>
                        <w:sz w:val="16"/>
                      </w:rPr>
                    </w:pPr>
                    <w:r>
                      <w:rPr>
                        <w:rFonts w:ascii="Calibri" w:hAnsi="Calibri"/>
                        <w:b/>
                        <w:spacing w:val="-2"/>
                        <w:sz w:val="16"/>
                      </w:rPr>
                      <w:t>TELECOMUNICAÇÕES</w:t>
                    </w:r>
                    <w:r>
                      <w:rPr>
                        <w:rFonts w:ascii="Calibri" w:hAnsi="Calibri"/>
                        <w:b/>
                        <w:spacing w:val="16"/>
                        <w:sz w:val="16"/>
                      </w:rPr>
                      <w:t xml:space="preserve"> </w:t>
                    </w:r>
                    <w:r>
                      <w:rPr>
                        <w:rFonts w:ascii="Calibri" w:hAnsi="Calibri"/>
                        <w:b/>
                        <w:spacing w:val="-2"/>
                        <w:sz w:val="16"/>
                      </w:rPr>
                      <w:t>BRASILEIRAS</w:t>
                    </w:r>
                    <w:r>
                      <w:rPr>
                        <w:rFonts w:ascii="Calibri" w:hAnsi="Calibri"/>
                        <w:b/>
                        <w:spacing w:val="15"/>
                        <w:sz w:val="16"/>
                      </w:rPr>
                      <w:t xml:space="preserve"> </w:t>
                    </w:r>
                    <w:r>
                      <w:rPr>
                        <w:rFonts w:ascii="Calibri" w:hAnsi="Calibri"/>
                        <w:b/>
                        <w:spacing w:val="-4"/>
                        <w:sz w:val="16"/>
                      </w:rPr>
                      <w:t>S.A.</w:t>
                    </w:r>
                  </w:p>
                  <w:p w14:paraId="118EF45E" w14:textId="77777777" w:rsidR="002C6574" w:rsidRDefault="00000000">
                    <w:pPr>
                      <w:ind w:left="20" w:firstLine="324"/>
                      <w:rPr>
                        <w:rFonts w:ascii="Calibri" w:hAnsi="Calibri"/>
                        <w:b/>
                        <w:sz w:val="16"/>
                      </w:rPr>
                    </w:pPr>
                    <w:r>
                      <w:rPr>
                        <w:rFonts w:ascii="Calibri" w:hAnsi="Calibri"/>
                        <w:b/>
                        <w:sz w:val="16"/>
                      </w:rPr>
                      <w:t>Vinculada ao Ministério das Comunicações</w:t>
                    </w:r>
                    <w:r>
                      <w:rPr>
                        <w:rFonts w:ascii="Calibri" w:hAnsi="Calibri"/>
                        <w:b/>
                        <w:spacing w:val="40"/>
                        <w:sz w:val="16"/>
                      </w:rPr>
                      <w:t xml:space="preserve"> </w:t>
                    </w:r>
                    <w:r>
                      <w:rPr>
                        <w:rFonts w:ascii="Calibri" w:hAnsi="Calibri"/>
                        <w:b/>
                        <w:sz w:val="16"/>
                      </w:rPr>
                      <w:t>CNPJ</w:t>
                    </w:r>
                    <w:r>
                      <w:rPr>
                        <w:rFonts w:ascii="Calibri" w:hAnsi="Calibri"/>
                        <w:b/>
                        <w:spacing w:val="-6"/>
                        <w:sz w:val="16"/>
                      </w:rPr>
                      <w:t xml:space="preserve"> </w:t>
                    </w:r>
                    <w:r>
                      <w:rPr>
                        <w:rFonts w:ascii="Calibri" w:hAnsi="Calibri"/>
                        <w:b/>
                        <w:sz w:val="16"/>
                      </w:rPr>
                      <w:t>nº</w:t>
                    </w:r>
                    <w:r>
                      <w:rPr>
                        <w:rFonts w:ascii="Calibri" w:hAnsi="Calibri"/>
                        <w:b/>
                        <w:spacing w:val="-6"/>
                        <w:sz w:val="16"/>
                      </w:rPr>
                      <w:t xml:space="preserve"> </w:t>
                    </w:r>
                    <w:r>
                      <w:rPr>
                        <w:rFonts w:ascii="Calibri" w:hAnsi="Calibri"/>
                        <w:b/>
                        <w:sz w:val="16"/>
                      </w:rPr>
                      <w:t>00336701/0001-04</w:t>
                    </w:r>
                    <w:r>
                      <w:rPr>
                        <w:rFonts w:ascii="Calibri" w:hAnsi="Calibri"/>
                        <w:b/>
                        <w:spacing w:val="-8"/>
                        <w:sz w:val="16"/>
                      </w:rPr>
                      <w:t xml:space="preserve"> </w:t>
                    </w:r>
                    <w:r>
                      <w:rPr>
                        <w:rFonts w:ascii="Calibri" w:hAnsi="Calibri"/>
                        <w:b/>
                        <w:sz w:val="16"/>
                      </w:rPr>
                      <w:t>-</w:t>
                    </w:r>
                    <w:r>
                      <w:rPr>
                        <w:rFonts w:ascii="Calibri" w:hAnsi="Calibri"/>
                        <w:b/>
                        <w:spacing w:val="-5"/>
                        <w:sz w:val="16"/>
                      </w:rPr>
                      <w:t xml:space="preserve"> </w:t>
                    </w:r>
                    <w:r>
                      <w:rPr>
                        <w:rFonts w:ascii="Calibri" w:hAnsi="Calibri"/>
                        <w:b/>
                        <w:sz w:val="16"/>
                      </w:rPr>
                      <w:t>NIRE</w:t>
                    </w:r>
                    <w:r>
                      <w:rPr>
                        <w:rFonts w:ascii="Calibri" w:hAnsi="Calibri"/>
                        <w:b/>
                        <w:spacing w:val="-6"/>
                        <w:sz w:val="16"/>
                      </w:rPr>
                      <w:t xml:space="preserve"> </w:t>
                    </w:r>
                    <w:r>
                      <w:rPr>
                        <w:rFonts w:ascii="Calibri" w:hAnsi="Calibri"/>
                        <w:b/>
                        <w:sz w:val="16"/>
                      </w:rPr>
                      <w:t>Nº</w:t>
                    </w:r>
                    <w:r>
                      <w:rPr>
                        <w:rFonts w:ascii="Calibri" w:hAnsi="Calibri"/>
                        <w:b/>
                        <w:spacing w:val="-6"/>
                        <w:sz w:val="16"/>
                      </w:rPr>
                      <w:t xml:space="preserve"> </w:t>
                    </w:r>
                    <w:r>
                      <w:rPr>
                        <w:rFonts w:ascii="Calibri" w:hAnsi="Calibri"/>
                        <w:b/>
                        <w:sz w:val="16"/>
                      </w:rPr>
                      <w:t>53300002231</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C0473" w14:textId="77777777" w:rsidR="002C6574" w:rsidRDefault="002C6574">
    <w:pPr>
      <w:pStyle w:val="Corpodetexto"/>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82971" w14:textId="77777777" w:rsidR="002C6574" w:rsidRDefault="002C6574">
    <w:pPr>
      <w:pStyle w:val="Corpodetexto"/>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A1BA4"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604672" behindDoc="1" locked="0" layoutInCell="1" allowOverlap="1" wp14:anchorId="7E710940" wp14:editId="517CCB85">
              <wp:simplePos x="0" y="0"/>
              <wp:positionH relativeFrom="page">
                <wp:posOffset>2297938</wp:posOffset>
              </wp:positionH>
              <wp:positionV relativeFrom="page">
                <wp:posOffset>415544</wp:posOffset>
              </wp:positionV>
              <wp:extent cx="3235960" cy="17780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5960" cy="177800"/>
                      </a:xfrm>
                      <a:prstGeom prst="rect">
                        <a:avLst/>
                      </a:prstGeom>
                    </wps:spPr>
                    <wps:txbx>
                      <w:txbxContent>
                        <w:p w14:paraId="095E9AE2" w14:textId="77777777" w:rsidR="002C6574" w:rsidRDefault="00000000">
                          <w:pPr>
                            <w:spacing w:line="264" w:lineRule="exact"/>
                            <w:ind w:left="20"/>
                            <w:rPr>
                              <w:rFonts w:ascii="Calibri" w:hAnsi="Calibri"/>
                              <w:b/>
                              <w:sz w:val="24"/>
                            </w:rPr>
                          </w:pPr>
                          <w:r>
                            <w:rPr>
                              <w:rFonts w:ascii="Calibri" w:hAnsi="Calibri"/>
                              <w:b/>
                              <w:color w:val="001F5F"/>
                              <w:sz w:val="24"/>
                            </w:rPr>
                            <w:t>TELECOMUNICAÇÕES</w:t>
                          </w:r>
                          <w:r>
                            <w:rPr>
                              <w:rFonts w:ascii="Calibri" w:hAnsi="Calibri"/>
                              <w:b/>
                              <w:color w:val="001F5F"/>
                              <w:spacing w:val="-4"/>
                              <w:sz w:val="24"/>
                            </w:rPr>
                            <w:t xml:space="preserve"> </w:t>
                          </w:r>
                          <w:r>
                            <w:rPr>
                              <w:rFonts w:ascii="Calibri" w:hAnsi="Calibri"/>
                              <w:b/>
                              <w:color w:val="001F5F"/>
                              <w:sz w:val="24"/>
                            </w:rPr>
                            <w:t>BRASILEIRAS</w:t>
                          </w:r>
                          <w:r>
                            <w:rPr>
                              <w:rFonts w:ascii="Calibri" w:hAnsi="Calibri"/>
                              <w:b/>
                              <w:color w:val="001F5F"/>
                              <w:spacing w:val="-3"/>
                              <w:sz w:val="24"/>
                            </w:rPr>
                            <w:t xml:space="preserve"> </w:t>
                          </w:r>
                          <w:r>
                            <w:rPr>
                              <w:rFonts w:ascii="Calibri" w:hAnsi="Calibri"/>
                              <w:b/>
                              <w:color w:val="001F5F"/>
                              <w:sz w:val="24"/>
                            </w:rPr>
                            <w:t>S.A.</w:t>
                          </w:r>
                          <w:r>
                            <w:rPr>
                              <w:rFonts w:ascii="Calibri" w:hAnsi="Calibri"/>
                              <w:b/>
                              <w:color w:val="001F5F"/>
                              <w:spacing w:val="2"/>
                              <w:sz w:val="24"/>
                            </w:rPr>
                            <w:t xml:space="preserve"> </w:t>
                          </w:r>
                          <w:r>
                            <w:rPr>
                              <w:rFonts w:ascii="Calibri" w:hAnsi="Calibri"/>
                              <w:b/>
                              <w:color w:val="001F5F"/>
                              <w:sz w:val="24"/>
                            </w:rPr>
                            <w:t>-</w:t>
                          </w:r>
                          <w:r>
                            <w:rPr>
                              <w:rFonts w:ascii="Calibri" w:hAnsi="Calibri"/>
                              <w:b/>
                              <w:color w:val="001F5F"/>
                              <w:spacing w:val="-4"/>
                              <w:sz w:val="24"/>
                            </w:rPr>
                            <w:t xml:space="preserve"> </w:t>
                          </w:r>
                          <w:r>
                            <w:rPr>
                              <w:rFonts w:ascii="Calibri" w:hAnsi="Calibri"/>
                              <w:b/>
                              <w:color w:val="001F5F"/>
                              <w:spacing w:val="-2"/>
                              <w:sz w:val="24"/>
                            </w:rPr>
                            <w:t>TELEBRAS</w:t>
                          </w:r>
                        </w:p>
                      </w:txbxContent>
                    </wps:txbx>
                    <wps:bodyPr wrap="square" lIns="0" tIns="0" rIns="0" bIns="0" rtlCol="0">
                      <a:noAutofit/>
                    </wps:bodyPr>
                  </wps:wsp>
                </a:graphicData>
              </a:graphic>
            </wp:anchor>
          </w:drawing>
        </mc:Choice>
        <mc:Fallback>
          <w:pict>
            <v:shapetype w14:anchorId="7E710940" id="_x0000_t202" coordsize="21600,21600" o:spt="202" path="m,l,21600r21600,l21600,xe">
              <v:stroke joinstyle="miter"/>
              <v:path gradientshapeok="t" o:connecttype="rect"/>
            </v:shapetype>
            <v:shape id="Textbox 190" o:spid="_x0000_s1315" type="#_x0000_t202" style="position:absolute;margin-left:180.95pt;margin-top:32.7pt;width:254.8pt;height:14pt;z-index:-307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" filled="f" stroked="f">
              <v:textbox inset="0,0,0,0">
                <w:txbxContent>
                  <w:p w14:paraId="095E9AE2" w14:textId="77777777" w:rsidR="002C6574" w:rsidRDefault="00000000">
                    <w:pPr>
                      <w:spacing w:line="264" w:lineRule="exact"/>
                      <w:ind w:left="20"/>
                      <w:rPr>
                        <w:rFonts w:ascii="Calibri" w:hAnsi="Calibri"/>
                        <w:b/>
                        <w:sz w:val="24"/>
                      </w:rPr>
                    </w:pPr>
                    <w:r>
                      <w:rPr>
                        <w:rFonts w:ascii="Calibri" w:hAnsi="Calibri"/>
                        <w:b/>
                        <w:color w:val="001F5F"/>
                        <w:sz w:val="24"/>
                      </w:rPr>
                      <w:t>TELECOMUNICAÇÕES</w:t>
                    </w:r>
                    <w:r>
                      <w:rPr>
                        <w:rFonts w:ascii="Calibri" w:hAnsi="Calibri"/>
                        <w:b/>
                        <w:color w:val="001F5F"/>
                        <w:spacing w:val="-4"/>
                        <w:sz w:val="24"/>
                      </w:rPr>
                      <w:t xml:space="preserve"> </w:t>
                    </w:r>
                    <w:r>
                      <w:rPr>
                        <w:rFonts w:ascii="Calibri" w:hAnsi="Calibri"/>
                        <w:b/>
                        <w:color w:val="001F5F"/>
                        <w:sz w:val="24"/>
                      </w:rPr>
                      <w:t>BRASILEIRAS</w:t>
                    </w:r>
                    <w:r>
                      <w:rPr>
                        <w:rFonts w:ascii="Calibri" w:hAnsi="Calibri"/>
                        <w:b/>
                        <w:color w:val="001F5F"/>
                        <w:spacing w:val="-3"/>
                        <w:sz w:val="24"/>
                      </w:rPr>
                      <w:t xml:space="preserve"> </w:t>
                    </w:r>
                    <w:r>
                      <w:rPr>
                        <w:rFonts w:ascii="Calibri" w:hAnsi="Calibri"/>
                        <w:b/>
                        <w:color w:val="001F5F"/>
                        <w:sz w:val="24"/>
                      </w:rPr>
                      <w:t>S.A.</w:t>
                    </w:r>
                    <w:r>
                      <w:rPr>
                        <w:rFonts w:ascii="Calibri" w:hAnsi="Calibri"/>
                        <w:b/>
                        <w:color w:val="001F5F"/>
                        <w:spacing w:val="2"/>
                        <w:sz w:val="24"/>
                      </w:rPr>
                      <w:t xml:space="preserve"> </w:t>
                    </w:r>
                    <w:r>
                      <w:rPr>
                        <w:rFonts w:ascii="Calibri" w:hAnsi="Calibri"/>
                        <w:b/>
                        <w:color w:val="001F5F"/>
                        <w:sz w:val="24"/>
                      </w:rPr>
                      <w:t>-</w:t>
                    </w:r>
                    <w:r>
                      <w:rPr>
                        <w:rFonts w:ascii="Calibri" w:hAnsi="Calibri"/>
                        <w:b/>
                        <w:color w:val="001F5F"/>
                        <w:spacing w:val="-4"/>
                        <w:sz w:val="24"/>
                      </w:rPr>
                      <w:t xml:space="preserve"> </w:t>
                    </w:r>
                    <w:r>
                      <w:rPr>
                        <w:rFonts w:ascii="Calibri" w:hAnsi="Calibri"/>
                        <w:b/>
                        <w:color w:val="001F5F"/>
                        <w:spacing w:val="-2"/>
                        <w:sz w:val="24"/>
                      </w:rPr>
                      <w:t>TELEBRAS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70AD" w14:textId="77777777" w:rsidR="002C6574" w:rsidRDefault="002C6574">
    <w:pPr>
      <w:pStyle w:val="Corpodetexto"/>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AC691"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605696" behindDoc="1" locked="0" layoutInCell="1" allowOverlap="1" wp14:anchorId="225BC5EF" wp14:editId="35C52436">
              <wp:simplePos x="0" y="0"/>
              <wp:positionH relativeFrom="page">
                <wp:posOffset>528319</wp:posOffset>
              </wp:positionH>
              <wp:positionV relativeFrom="page">
                <wp:posOffset>747341</wp:posOffset>
              </wp:positionV>
              <wp:extent cx="4724400" cy="66421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0" cy="664210"/>
                      </a:xfrm>
                      <a:prstGeom prst="rect">
                        <a:avLst/>
                      </a:prstGeom>
                    </wps:spPr>
                    <wps:txbx>
                      <w:txbxContent>
                        <w:p w14:paraId="6480B24D" w14:textId="77777777" w:rsidR="002C6574" w:rsidRDefault="00000000">
                          <w:pPr>
                            <w:spacing w:before="13"/>
                            <w:ind w:left="20" w:right="2366"/>
                            <w:rPr>
                              <w:rFonts w:ascii="Arial" w:hAnsi="Arial"/>
                              <w:b/>
                            </w:rPr>
                          </w:pPr>
                          <w:r>
                            <w:rPr>
                              <w:rFonts w:ascii="Arial" w:hAnsi="Arial"/>
                              <w:b/>
                            </w:rPr>
                            <w:t xml:space="preserve">Comentários </w:t>
                          </w:r>
                          <w:r>
                            <w:rPr>
                              <w:rFonts w:ascii="Arial" w:hAnsi="Arial"/>
                              <w:b/>
                            </w:rPr>
                            <w:t>de Desempenho Telecomunicações</w:t>
                          </w:r>
                          <w:r>
                            <w:rPr>
                              <w:rFonts w:ascii="Arial" w:hAnsi="Arial"/>
                              <w:b/>
                              <w:spacing w:val="-8"/>
                            </w:rPr>
                            <w:t xml:space="preserve"> </w:t>
                          </w:r>
                          <w:r>
                            <w:rPr>
                              <w:rFonts w:ascii="Arial" w:hAnsi="Arial"/>
                              <w:b/>
                            </w:rPr>
                            <w:t>Brasileiras</w:t>
                          </w:r>
                          <w:r>
                            <w:rPr>
                              <w:rFonts w:ascii="Arial" w:hAnsi="Arial"/>
                              <w:b/>
                              <w:spacing w:val="-10"/>
                            </w:rPr>
                            <w:t xml:space="preserve"> </w:t>
                          </w:r>
                          <w:r>
                            <w:rPr>
                              <w:rFonts w:ascii="Arial" w:hAnsi="Arial"/>
                              <w:b/>
                            </w:rPr>
                            <w:t>S.A.</w:t>
                          </w:r>
                          <w:r>
                            <w:rPr>
                              <w:rFonts w:ascii="Arial" w:hAnsi="Arial"/>
                              <w:b/>
                              <w:spacing w:val="-7"/>
                            </w:rPr>
                            <w:t xml:space="preserve"> </w:t>
                          </w:r>
                          <w:r>
                            <w:rPr>
                              <w:rFonts w:ascii="Arial" w:hAnsi="Arial"/>
                              <w:b/>
                            </w:rPr>
                            <w:t>-</w:t>
                          </w:r>
                          <w:r>
                            <w:rPr>
                              <w:rFonts w:ascii="Arial" w:hAnsi="Arial"/>
                              <w:b/>
                              <w:spacing w:val="-11"/>
                            </w:rPr>
                            <w:t xml:space="preserve"> </w:t>
                          </w:r>
                          <w:r>
                            <w:rPr>
                              <w:rFonts w:ascii="Arial" w:hAnsi="Arial"/>
                              <w:b/>
                            </w:rPr>
                            <w:t>TELEBRAS 4º Trimestre de 2025</w:t>
                          </w:r>
                        </w:p>
                        <w:p w14:paraId="384514EE" w14:textId="77777777" w:rsidR="002C6574" w:rsidRDefault="00000000">
                          <w:pPr>
                            <w:ind w:left="20"/>
                            <w:rPr>
                              <w:rFonts w:ascii="Arial MT"/>
                            </w:rPr>
                          </w:pPr>
                          <w:r>
                            <w:rPr>
                              <w:rFonts w:ascii="Arial"/>
                              <w:b/>
                            </w:rPr>
                            <w:t>Valores</w:t>
                          </w:r>
                          <w:r>
                            <w:rPr>
                              <w:rFonts w:ascii="Arial"/>
                              <w:b/>
                              <w:spacing w:val="-6"/>
                            </w:rPr>
                            <w:t xml:space="preserve"> </w:t>
                          </w:r>
                          <w:r>
                            <w:rPr>
                              <w:rFonts w:ascii="Arial"/>
                              <w:b/>
                            </w:rPr>
                            <w:t>em</w:t>
                          </w:r>
                          <w:r>
                            <w:rPr>
                              <w:rFonts w:ascii="Arial"/>
                              <w:b/>
                              <w:spacing w:val="-5"/>
                            </w:rPr>
                            <w:t xml:space="preserve"> </w:t>
                          </w:r>
                          <w:r>
                            <w:rPr>
                              <w:rFonts w:ascii="Arial"/>
                              <w:b/>
                            </w:rPr>
                            <w:t>Milhares</w:t>
                          </w:r>
                          <w:r>
                            <w:rPr>
                              <w:rFonts w:ascii="Arial"/>
                              <w:b/>
                              <w:spacing w:val="-6"/>
                            </w:rPr>
                            <w:t xml:space="preserve"> </w:t>
                          </w:r>
                          <w:r>
                            <w:rPr>
                              <w:rFonts w:ascii="Arial"/>
                              <w:b/>
                            </w:rPr>
                            <w:t>de</w:t>
                          </w:r>
                          <w:r>
                            <w:rPr>
                              <w:rFonts w:ascii="Arial"/>
                              <w:b/>
                              <w:spacing w:val="-6"/>
                            </w:rPr>
                            <w:t xml:space="preserve"> </w:t>
                          </w:r>
                          <w:r>
                            <w:rPr>
                              <w:rFonts w:ascii="Arial"/>
                              <w:b/>
                            </w:rPr>
                            <w:t>Reais,</w:t>
                          </w:r>
                          <w:r>
                            <w:rPr>
                              <w:rFonts w:ascii="Arial"/>
                              <w:b/>
                              <w:spacing w:val="-5"/>
                            </w:rPr>
                            <w:t xml:space="preserve"> </w:t>
                          </w:r>
                          <w:r>
                            <w:rPr>
                              <w:rFonts w:ascii="Arial"/>
                              <w:b/>
                            </w:rPr>
                            <w:t>exceto</w:t>
                          </w:r>
                          <w:r>
                            <w:rPr>
                              <w:rFonts w:ascii="Arial"/>
                              <w:b/>
                              <w:spacing w:val="-6"/>
                            </w:rPr>
                            <w:t xml:space="preserve"> </w:t>
                          </w:r>
                          <w:r>
                            <w:rPr>
                              <w:rFonts w:ascii="Arial"/>
                              <w:b/>
                            </w:rPr>
                            <w:t>quando</w:t>
                          </w:r>
                          <w:r>
                            <w:rPr>
                              <w:rFonts w:ascii="Arial"/>
                              <w:b/>
                              <w:spacing w:val="-6"/>
                            </w:rPr>
                            <w:t xml:space="preserve"> </w:t>
                          </w:r>
                          <w:r>
                            <w:rPr>
                              <w:rFonts w:ascii="Arial"/>
                              <w:b/>
                            </w:rPr>
                            <w:t>indicado</w:t>
                          </w:r>
                          <w:r>
                            <w:rPr>
                              <w:rFonts w:ascii="Arial"/>
                              <w:b/>
                              <w:spacing w:val="-4"/>
                            </w:rPr>
                            <w:t xml:space="preserve"> </w:t>
                          </w:r>
                          <w:r>
                            <w:rPr>
                              <w:rFonts w:ascii="Arial"/>
                              <w:b/>
                            </w:rPr>
                            <w:t>de</w:t>
                          </w:r>
                          <w:r>
                            <w:rPr>
                              <w:rFonts w:ascii="Arial"/>
                              <w:b/>
                              <w:spacing w:val="-7"/>
                            </w:rPr>
                            <w:t xml:space="preserve"> </w:t>
                          </w:r>
                          <w:r>
                            <w:rPr>
                              <w:rFonts w:ascii="Arial"/>
                              <w:b/>
                            </w:rPr>
                            <w:t>outra</w:t>
                          </w:r>
                          <w:r>
                            <w:rPr>
                              <w:rFonts w:ascii="Arial"/>
                              <w:b/>
                              <w:spacing w:val="-5"/>
                            </w:rPr>
                            <w:t xml:space="preserve"> </w:t>
                          </w:r>
                          <w:r>
                            <w:rPr>
                              <w:rFonts w:ascii="Arial"/>
                              <w:b/>
                              <w:spacing w:val="-2"/>
                            </w:rPr>
                            <w:t>forma</w:t>
                          </w:r>
                          <w:r>
                            <w:rPr>
                              <w:rFonts w:ascii="Arial MT"/>
                              <w:spacing w:val="-2"/>
                            </w:rPr>
                            <w:t>.</w:t>
                          </w:r>
                        </w:p>
                      </w:txbxContent>
                    </wps:txbx>
                    <wps:bodyPr wrap="square" lIns="0" tIns="0" rIns="0" bIns="0" rtlCol="0">
                      <a:noAutofit/>
                    </wps:bodyPr>
                  </wps:wsp>
                </a:graphicData>
              </a:graphic>
            </wp:anchor>
          </w:drawing>
        </mc:Choice>
        <mc:Fallback>
          <w:pict>
            <v:shapetype w14:anchorId="225BC5EF" id="_x0000_t202" coordsize="21600,21600" o:spt="202" path="m,l,21600r21600,l21600,xe">
              <v:stroke joinstyle="miter"/>
              <v:path gradientshapeok="t" o:connecttype="rect"/>
            </v:shapetype>
            <v:shape id="Textbox 283" o:spid="_x0000_s1317" type="#_x0000_t202" style="position:absolute;margin-left:41.6pt;margin-top:58.85pt;width:372pt;height:52.3pt;z-index:-307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" filled="f" stroked="f">
              <v:textbox inset="0,0,0,0">
                <w:txbxContent>
                  <w:p w14:paraId="6480B24D" w14:textId="77777777" w:rsidR="002C6574" w:rsidRDefault="00000000">
                    <w:pPr>
                      <w:spacing w:before="13"/>
                      <w:ind w:left="20" w:right="2366"/>
                      <w:rPr>
                        <w:rFonts w:ascii="Arial" w:hAnsi="Arial"/>
                        <w:b/>
                      </w:rPr>
                    </w:pPr>
                    <w:r>
                      <w:rPr>
                        <w:rFonts w:ascii="Arial" w:hAnsi="Arial"/>
                        <w:b/>
                      </w:rPr>
                      <w:t xml:space="preserve">Comentários </w:t>
                    </w:r>
                    <w:r>
                      <w:rPr>
                        <w:rFonts w:ascii="Arial" w:hAnsi="Arial"/>
                        <w:b/>
                      </w:rPr>
                      <w:t>de Desempenho Telecomunicações</w:t>
                    </w:r>
                    <w:r>
                      <w:rPr>
                        <w:rFonts w:ascii="Arial" w:hAnsi="Arial"/>
                        <w:b/>
                        <w:spacing w:val="-8"/>
                      </w:rPr>
                      <w:t xml:space="preserve"> </w:t>
                    </w:r>
                    <w:r>
                      <w:rPr>
                        <w:rFonts w:ascii="Arial" w:hAnsi="Arial"/>
                        <w:b/>
                      </w:rPr>
                      <w:t>Brasileiras</w:t>
                    </w:r>
                    <w:r>
                      <w:rPr>
                        <w:rFonts w:ascii="Arial" w:hAnsi="Arial"/>
                        <w:b/>
                        <w:spacing w:val="-10"/>
                      </w:rPr>
                      <w:t xml:space="preserve"> </w:t>
                    </w:r>
                    <w:r>
                      <w:rPr>
                        <w:rFonts w:ascii="Arial" w:hAnsi="Arial"/>
                        <w:b/>
                      </w:rPr>
                      <w:t>S.A.</w:t>
                    </w:r>
                    <w:r>
                      <w:rPr>
                        <w:rFonts w:ascii="Arial" w:hAnsi="Arial"/>
                        <w:b/>
                        <w:spacing w:val="-7"/>
                      </w:rPr>
                      <w:t xml:space="preserve"> </w:t>
                    </w:r>
                    <w:r>
                      <w:rPr>
                        <w:rFonts w:ascii="Arial" w:hAnsi="Arial"/>
                        <w:b/>
                      </w:rPr>
                      <w:t>-</w:t>
                    </w:r>
                    <w:r>
                      <w:rPr>
                        <w:rFonts w:ascii="Arial" w:hAnsi="Arial"/>
                        <w:b/>
                        <w:spacing w:val="-11"/>
                      </w:rPr>
                      <w:t xml:space="preserve"> </w:t>
                    </w:r>
                    <w:r>
                      <w:rPr>
                        <w:rFonts w:ascii="Arial" w:hAnsi="Arial"/>
                        <w:b/>
                      </w:rPr>
                      <w:t>TELEBRAS 4º Trimestre de 2025</w:t>
                    </w:r>
                  </w:p>
                  <w:p w14:paraId="384514EE" w14:textId="77777777" w:rsidR="002C6574" w:rsidRDefault="00000000">
                    <w:pPr>
                      <w:ind w:left="20"/>
                      <w:rPr>
                        <w:rFonts w:ascii="Arial MT"/>
                      </w:rPr>
                    </w:pPr>
                    <w:r>
                      <w:rPr>
                        <w:rFonts w:ascii="Arial"/>
                        <w:b/>
                      </w:rPr>
                      <w:t>Valores</w:t>
                    </w:r>
                    <w:r>
                      <w:rPr>
                        <w:rFonts w:ascii="Arial"/>
                        <w:b/>
                        <w:spacing w:val="-6"/>
                      </w:rPr>
                      <w:t xml:space="preserve"> </w:t>
                    </w:r>
                    <w:r>
                      <w:rPr>
                        <w:rFonts w:ascii="Arial"/>
                        <w:b/>
                      </w:rPr>
                      <w:t>em</w:t>
                    </w:r>
                    <w:r>
                      <w:rPr>
                        <w:rFonts w:ascii="Arial"/>
                        <w:b/>
                        <w:spacing w:val="-5"/>
                      </w:rPr>
                      <w:t xml:space="preserve"> </w:t>
                    </w:r>
                    <w:r>
                      <w:rPr>
                        <w:rFonts w:ascii="Arial"/>
                        <w:b/>
                      </w:rPr>
                      <w:t>Milhares</w:t>
                    </w:r>
                    <w:r>
                      <w:rPr>
                        <w:rFonts w:ascii="Arial"/>
                        <w:b/>
                        <w:spacing w:val="-6"/>
                      </w:rPr>
                      <w:t xml:space="preserve"> </w:t>
                    </w:r>
                    <w:r>
                      <w:rPr>
                        <w:rFonts w:ascii="Arial"/>
                        <w:b/>
                      </w:rPr>
                      <w:t>de</w:t>
                    </w:r>
                    <w:r>
                      <w:rPr>
                        <w:rFonts w:ascii="Arial"/>
                        <w:b/>
                        <w:spacing w:val="-6"/>
                      </w:rPr>
                      <w:t xml:space="preserve"> </w:t>
                    </w:r>
                    <w:r>
                      <w:rPr>
                        <w:rFonts w:ascii="Arial"/>
                        <w:b/>
                      </w:rPr>
                      <w:t>Reais,</w:t>
                    </w:r>
                    <w:r>
                      <w:rPr>
                        <w:rFonts w:ascii="Arial"/>
                        <w:b/>
                        <w:spacing w:val="-5"/>
                      </w:rPr>
                      <w:t xml:space="preserve"> </w:t>
                    </w:r>
                    <w:r>
                      <w:rPr>
                        <w:rFonts w:ascii="Arial"/>
                        <w:b/>
                      </w:rPr>
                      <w:t>exceto</w:t>
                    </w:r>
                    <w:r>
                      <w:rPr>
                        <w:rFonts w:ascii="Arial"/>
                        <w:b/>
                        <w:spacing w:val="-6"/>
                      </w:rPr>
                      <w:t xml:space="preserve"> </w:t>
                    </w:r>
                    <w:r>
                      <w:rPr>
                        <w:rFonts w:ascii="Arial"/>
                        <w:b/>
                      </w:rPr>
                      <w:t>quando</w:t>
                    </w:r>
                    <w:r>
                      <w:rPr>
                        <w:rFonts w:ascii="Arial"/>
                        <w:b/>
                        <w:spacing w:val="-6"/>
                      </w:rPr>
                      <w:t xml:space="preserve"> </w:t>
                    </w:r>
                    <w:r>
                      <w:rPr>
                        <w:rFonts w:ascii="Arial"/>
                        <w:b/>
                      </w:rPr>
                      <w:t>indicado</w:t>
                    </w:r>
                    <w:r>
                      <w:rPr>
                        <w:rFonts w:ascii="Arial"/>
                        <w:b/>
                        <w:spacing w:val="-4"/>
                      </w:rPr>
                      <w:t xml:space="preserve"> </w:t>
                    </w:r>
                    <w:r>
                      <w:rPr>
                        <w:rFonts w:ascii="Arial"/>
                        <w:b/>
                      </w:rPr>
                      <w:t>de</w:t>
                    </w:r>
                    <w:r>
                      <w:rPr>
                        <w:rFonts w:ascii="Arial"/>
                        <w:b/>
                        <w:spacing w:val="-7"/>
                      </w:rPr>
                      <w:t xml:space="preserve"> </w:t>
                    </w:r>
                    <w:r>
                      <w:rPr>
                        <w:rFonts w:ascii="Arial"/>
                        <w:b/>
                      </w:rPr>
                      <w:t>outra</w:t>
                    </w:r>
                    <w:r>
                      <w:rPr>
                        <w:rFonts w:ascii="Arial"/>
                        <w:b/>
                        <w:spacing w:val="-5"/>
                      </w:rPr>
                      <w:t xml:space="preserve"> </w:t>
                    </w:r>
                    <w:r>
                      <w:rPr>
                        <w:rFonts w:ascii="Arial"/>
                        <w:b/>
                        <w:spacing w:val="-2"/>
                      </w:rPr>
                      <w:t>forma</w:t>
                    </w:r>
                    <w:r>
                      <w:rPr>
                        <w:rFonts w:ascii="Arial MT"/>
                        <w:spacing w:val="-2"/>
                      </w:rPr>
                      <w:t>.</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4982"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606720" behindDoc="1" locked="0" layoutInCell="1" allowOverlap="1" wp14:anchorId="16742675" wp14:editId="00F417FF">
              <wp:simplePos x="0" y="0"/>
              <wp:positionH relativeFrom="page">
                <wp:posOffset>528319</wp:posOffset>
              </wp:positionH>
              <wp:positionV relativeFrom="page">
                <wp:posOffset>747341</wp:posOffset>
              </wp:positionV>
              <wp:extent cx="4724400" cy="66421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0" cy="664210"/>
                      </a:xfrm>
                      <a:prstGeom prst="rect">
                        <a:avLst/>
                      </a:prstGeom>
                    </wps:spPr>
                    <wps:txbx>
                      <w:txbxContent>
                        <w:p w14:paraId="70F33190" w14:textId="77777777" w:rsidR="002C6574" w:rsidRDefault="00000000">
                          <w:pPr>
                            <w:spacing w:before="13"/>
                            <w:ind w:left="20" w:right="2366"/>
                            <w:rPr>
                              <w:rFonts w:ascii="Arial" w:hAnsi="Arial"/>
                              <w:b/>
                            </w:rPr>
                          </w:pPr>
                          <w:r>
                            <w:rPr>
                              <w:rFonts w:ascii="Arial" w:hAnsi="Arial"/>
                              <w:b/>
                            </w:rPr>
                            <w:t xml:space="preserve">Comentários </w:t>
                          </w:r>
                          <w:r>
                            <w:rPr>
                              <w:rFonts w:ascii="Arial" w:hAnsi="Arial"/>
                              <w:b/>
                            </w:rPr>
                            <w:t>de Desempenho Telecomunicações</w:t>
                          </w:r>
                          <w:r>
                            <w:rPr>
                              <w:rFonts w:ascii="Arial" w:hAnsi="Arial"/>
                              <w:b/>
                              <w:spacing w:val="-8"/>
                            </w:rPr>
                            <w:t xml:space="preserve"> </w:t>
                          </w:r>
                          <w:r>
                            <w:rPr>
                              <w:rFonts w:ascii="Arial" w:hAnsi="Arial"/>
                              <w:b/>
                            </w:rPr>
                            <w:t>Brasileiras</w:t>
                          </w:r>
                          <w:r>
                            <w:rPr>
                              <w:rFonts w:ascii="Arial" w:hAnsi="Arial"/>
                              <w:b/>
                              <w:spacing w:val="-10"/>
                            </w:rPr>
                            <w:t xml:space="preserve"> </w:t>
                          </w:r>
                          <w:r>
                            <w:rPr>
                              <w:rFonts w:ascii="Arial" w:hAnsi="Arial"/>
                              <w:b/>
                            </w:rPr>
                            <w:t>S.A.</w:t>
                          </w:r>
                          <w:r>
                            <w:rPr>
                              <w:rFonts w:ascii="Arial" w:hAnsi="Arial"/>
                              <w:b/>
                              <w:spacing w:val="-7"/>
                            </w:rPr>
                            <w:t xml:space="preserve"> </w:t>
                          </w:r>
                          <w:r>
                            <w:rPr>
                              <w:rFonts w:ascii="Arial" w:hAnsi="Arial"/>
                              <w:b/>
                            </w:rPr>
                            <w:t>-</w:t>
                          </w:r>
                          <w:r>
                            <w:rPr>
                              <w:rFonts w:ascii="Arial" w:hAnsi="Arial"/>
                              <w:b/>
                              <w:spacing w:val="-11"/>
                            </w:rPr>
                            <w:t xml:space="preserve"> </w:t>
                          </w:r>
                          <w:r>
                            <w:rPr>
                              <w:rFonts w:ascii="Arial" w:hAnsi="Arial"/>
                              <w:b/>
                            </w:rPr>
                            <w:t>TELEBRAS 4º Trimestre de 2025</w:t>
                          </w:r>
                        </w:p>
                        <w:p w14:paraId="3CC152AE" w14:textId="77777777" w:rsidR="002C6574" w:rsidRDefault="00000000">
                          <w:pPr>
                            <w:ind w:left="20"/>
                            <w:rPr>
                              <w:rFonts w:ascii="Arial MT"/>
                            </w:rPr>
                          </w:pPr>
                          <w:r>
                            <w:rPr>
                              <w:rFonts w:ascii="Arial"/>
                              <w:b/>
                            </w:rPr>
                            <w:t>Valores</w:t>
                          </w:r>
                          <w:r>
                            <w:rPr>
                              <w:rFonts w:ascii="Arial"/>
                              <w:b/>
                              <w:spacing w:val="-6"/>
                            </w:rPr>
                            <w:t xml:space="preserve"> </w:t>
                          </w:r>
                          <w:r>
                            <w:rPr>
                              <w:rFonts w:ascii="Arial"/>
                              <w:b/>
                            </w:rPr>
                            <w:t>em</w:t>
                          </w:r>
                          <w:r>
                            <w:rPr>
                              <w:rFonts w:ascii="Arial"/>
                              <w:b/>
                              <w:spacing w:val="-5"/>
                            </w:rPr>
                            <w:t xml:space="preserve"> </w:t>
                          </w:r>
                          <w:r>
                            <w:rPr>
                              <w:rFonts w:ascii="Arial"/>
                              <w:b/>
                            </w:rPr>
                            <w:t>Milhares</w:t>
                          </w:r>
                          <w:r>
                            <w:rPr>
                              <w:rFonts w:ascii="Arial"/>
                              <w:b/>
                              <w:spacing w:val="-6"/>
                            </w:rPr>
                            <w:t xml:space="preserve"> </w:t>
                          </w:r>
                          <w:r>
                            <w:rPr>
                              <w:rFonts w:ascii="Arial"/>
                              <w:b/>
                            </w:rPr>
                            <w:t>de</w:t>
                          </w:r>
                          <w:r>
                            <w:rPr>
                              <w:rFonts w:ascii="Arial"/>
                              <w:b/>
                              <w:spacing w:val="-6"/>
                            </w:rPr>
                            <w:t xml:space="preserve"> </w:t>
                          </w:r>
                          <w:r>
                            <w:rPr>
                              <w:rFonts w:ascii="Arial"/>
                              <w:b/>
                            </w:rPr>
                            <w:t>Reais,</w:t>
                          </w:r>
                          <w:r>
                            <w:rPr>
                              <w:rFonts w:ascii="Arial"/>
                              <w:b/>
                              <w:spacing w:val="-5"/>
                            </w:rPr>
                            <w:t xml:space="preserve"> </w:t>
                          </w:r>
                          <w:r>
                            <w:rPr>
                              <w:rFonts w:ascii="Arial"/>
                              <w:b/>
                            </w:rPr>
                            <w:t>exceto</w:t>
                          </w:r>
                          <w:r>
                            <w:rPr>
                              <w:rFonts w:ascii="Arial"/>
                              <w:b/>
                              <w:spacing w:val="-6"/>
                            </w:rPr>
                            <w:t xml:space="preserve"> </w:t>
                          </w:r>
                          <w:r>
                            <w:rPr>
                              <w:rFonts w:ascii="Arial"/>
                              <w:b/>
                            </w:rPr>
                            <w:t>quando</w:t>
                          </w:r>
                          <w:r>
                            <w:rPr>
                              <w:rFonts w:ascii="Arial"/>
                              <w:b/>
                              <w:spacing w:val="-6"/>
                            </w:rPr>
                            <w:t xml:space="preserve"> </w:t>
                          </w:r>
                          <w:r>
                            <w:rPr>
                              <w:rFonts w:ascii="Arial"/>
                              <w:b/>
                            </w:rPr>
                            <w:t>indicado</w:t>
                          </w:r>
                          <w:r>
                            <w:rPr>
                              <w:rFonts w:ascii="Arial"/>
                              <w:b/>
                              <w:spacing w:val="-4"/>
                            </w:rPr>
                            <w:t xml:space="preserve"> </w:t>
                          </w:r>
                          <w:r>
                            <w:rPr>
                              <w:rFonts w:ascii="Arial"/>
                              <w:b/>
                            </w:rPr>
                            <w:t>de</w:t>
                          </w:r>
                          <w:r>
                            <w:rPr>
                              <w:rFonts w:ascii="Arial"/>
                              <w:b/>
                              <w:spacing w:val="-7"/>
                            </w:rPr>
                            <w:t xml:space="preserve"> </w:t>
                          </w:r>
                          <w:r>
                            <w:rPr>
                              <w:rFonts w:ascii="Arial"/>
                              <w:b/>
                            </w:rPr>
                            <w:t>outra</w:t>
                          </w:r>
                          <w:r>
                            <w:rPr>
                              <w:rFonts w:ascii="Arial"/>
                              <w:b/>
                              <w:spacing w:val="-5"/>
                            </w:rPr>
                            <w:t xml:space="preserve"> </w:t>
                          </w:r>
                          <w:r>
                            <w:rPr>
                              <w:rFonts w:ascii="Arial"/>
                              <w:b/>
                              <w:spacing w:val="-2"/>
                            </w:rPr>
                            <w:t>forma</w:t>
                          </w:r>
                          <w:r>
                            <w:rPr>
                              <w:rFonts w:ascii="Arial MT"/>
                              <w:spacing w:val="-2"/>
                            </w:rPr>
                            <w:t>.</w:t>
                          </w:r>
                        </w:p>
                      </w:txbxContent>
                    </wps:txbx>
                    <wps:bodyPr wrap="square" lIns="0" tIns="0" rIns="0" bIns="0" rtlCol="0">
                      <a:noAutofit/>
                    </wps:bodyPr>
                  </wps:wsp>
                </a:graphicData>
              </a:graphic>
            </wp:anchor>
          </w:drawing>
        </mc:Choice>
        <mc:Fallback>
          <w:pict>
            <v:shapetype w14:anchorId="16742675" id="_x0000_t202" coordsize="21600,21600" o:spt="202" path="m,l,21600r21600,l21600,xe">
              <v:stroke joinstyle="miter"/>
              <v:path gradientshapeok="t" o:connecttype="rect"/>
            </v:shapetype>
            <v:shape id="Textbox 502" o:spid="_x0000_s1319" type="#_x0000_t202" style="position:absolute;margin-left:41.6pt;margin-top:58.85pt;width:372pt;height:52.3pt;z-index:-307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" filled="f" stroked="f">
              <v:textbox inset="0,0,0,0">
                <w:txbxContent>
                  <w:p w14:paraId="70F33190" w14:textId="77777777" w:rsidR="002C6574" w:rsidRDefault="00000000">
                    <w:pPr>
                      <w:spacing w:before="13"/>
                      <w:ind w:left="20" w:right="2366"/>
                      <w:rPr>
                        <w:rFonts w:ascii="Arial" w:hAnsi="Arial"/>
                        <w:b/>
                      </w:rPr>
                    </w:pPr>
                    <w:r>
                      <w:rPr>
                        <w:rFonts w:ascii="Arial" w:hAnsi="Arial"/>
                        <w:b/>
                      </w:rPr>
                      <w:t xml:space="preserve">Comentários </w:t>
                    </w:r>
                    <w:r>
                      <w:rPr>
                        <w:rFonts w:ascii="Arial" w:hAnsi="Arial"/>
                        <w:b/>
                      </w:rPr>
                      <w:t>de Desempenho Telecomunicações</w:t>
                    </w:r>
                    <w:r>
                      <w:rPr>
                        <w:rFonts w:ascii="Arial" w:hAnsi="Arial"/>
                        <w:b/>
                        <w:spacing w:val="-8"/>
                      </w:rPr>
                      <w:t xml:space="preserve"> </w:t>
                    </w:r>
                    <w:r>
                      <w:rPr>
                        <w:rFonts w:ascii="Arial" w:hAnsi="Arial"/>
                        <w:b/>
                      </w:rPr>
                      <w:t>Brasileiras</w:t>
                    </w:r>
                    <w:r>
                      <w:rPr>
                        <w:rFonts w:ascii="Arial" w:hAnsi="Arial"/>
                        <w:b/>
                        <w:spacing w:val="-10"/>
                      </w:rPr>
                      <w:t xml:space="preserve"> </w:t>
                    </w:r>
                    <w:r>
                      <w:rPr>
                        <w:rFonts w:ascii="Arial" w:hAnsi="Arial"/>
                        <w:b/>
                      </w:rPr>
                      <w:t>S.A.</w:t>
                    </w:r>
                    <w:r>
                      <w:rPr>
                        <w:rFonts w:ascii="Arial" w:hAnsi="Arial"/>
                        <w:b/>
                        <w:spacing w:val="-7"/>
                      </w:rPr>
                      <w:t xml:space="preserve"> </w:t>
                    </w:r>
                    <w:r>
                      <w:rPr>
                        <w:rFonts w:ascii="Arial" w:hAnsi="Arial"/>
                        <w:b/>
                      </w:rPr>
                      <w:t>-</w:t>
                    </w:r>
                    <w:r>
                      <w:rPr>
                        <w:rFonts w:ascii="Arial" w:hAnsi="Arial"/>
                        <w:b/>
                        <w:spacing w:val="-11"/>
                      </w:rPr>
                      <w:t xml:space="preserve"> </w:t>
                    </w:r>
                    <w:r>
                      <w:rPr>
                        <w:rFonts w:ascii="Arial" w:hAnsi="Arial"/>
                        <w:b/>
                      </w:rPr>
                      <w:t>TELEBRAS 4º Trimestre de 2025</w:t>
                    </w:r>
                  </w:p>
                  <w:p w14:paraId="3CC152AE" w14:textId="77777777" w:rsidR="002C6574" w:rsidRDefault="00000000">
                    <w:pPr>
                      <w:ind w:left="20"/>
                      <w:rPr>
                        <w:rFonts w:ascii="Arial MT"/>
                      </w:rPr>
                    </w:pPr>
                    <w:r>
                      <w:rPr>
                        <w:rFonts w:ascii="Arial"/>
                        <w:b/>
                      </w:rPr>
                      <w:t>Valores</w:t>
                    </w:r>
                    <w:r>
                      <w:rPr>
                        <w:rFonts w:ascii="Arial"/>
                        <w:b/>
                        <w:spacing w:val="-6"/>
                      </w:rPr>
                      <w:t xml:space="preserve"> </w:t>
                    </w:r>
                    <w:r>
                      <w:rPr>
                        <w:rFonts w:ascii="Arial"/>
                        <w:b/>
                      </w:rPr>
                      <w:t>em</w:t>
                    </w:r>
                    <w:r>
                      <w:rPr>
                        <w:rFonts w:ascii="Arial"/>
                        <w:b/>
                        <w:spacing w:val="-5"/>
                      </w:rPr>
                      <w:t xml:space="preserve"> </w:t>
                    </w:r>
                    <w:r>
                      <w:rPr>
                        <w:rFonts w:ascii="Arial"/>
                        <w:b/>
                      </w:rPr>
                      <w:t>Milhares</w:t>
                    </w:r>
                    <w:r>
                      <w:rPr>
                        <w:rFonts w:ascii="Arial"/>
                        <w:b/>
                        <w:spacing w:val="-6"/>
                      </w:rPr>
                      <w:t xml:space="preserve"> </w:t>
                    </w:r>
                    <w:r>
                      <w:rPr>
                        <w:rFonts w:ascii="Arial"/>
                        <w:b/>
                      </w:rPr>
                      <w:t>de</w:t>
                    </w:r>
                    <w:r>
                      <w:rPr>
                        <w:rFonts w:ascii="Arial"/>
                        <w:b/>
                        <w:spacing w:val="-6"/>
                      </w:rPr>
                      <w:t xml:space="preserve"> </w:t>
                    </w:r>
                    <w:r>
                      <w:rPr>
                        <w:rFonts w:ascii="Arial"/>
                        <w:b/>
                      </w:rPr>
                      <w:t>Reais,</w:t>
                    </w:r>
                    <w:r>
                      <w:rPr>
                        <w:rFonts w:ascii="Arial"/>
                        <w:b/>
                        <w:spacing w:val="-5"/>
                      </w:rPr>
                      <w:t xml:space="preserve"> </w:t>
                    </w:r>
                    <w:r>
                      <w:rPr>
                        <w:rFonts w:ascii="Arial"/>
                        <w:b/>
                      </w:rPr>
                      <w:t>exceto</w:t>
                    </w:r>
                    <w:r>
                      <w:rPr>
                        <w:rFonts w:ascii="Arial"/>
                        <w:b/>
                        <w:spacing w:val="-6"/>
                      </w:rPr>
                      <w:t xml:space="preserve"> </w:t>
                    </w:r>
                    <w:r>
                      <w:rPr>
                        <w:rFonts w:ascii="Arial"/>
                        <w:b/>
                      </w:rPr>
                      <w:t>quando</w:t>
                    </w:r>
                    <w:r>
                      <w:rPr>
                        <w:rFonts w:ascii="Arial"/>
                        <w:b/>
                        <w:spacing w:val="-6"/>
                      </w:rPr>
                      <w:t xml:space="preserve"> </w:t>
                    </w:r>
                    <w:r>
                      <w:rPr>
                        <w:rFonts w:ascii="Arial"/>
                        <w:b/>
                      </w:rPr>
                      <w:t>indicado</w:t>
                    </w:r>
                    <w:r>
                      <w:rPr>
                        <w:rFonts w:ascii="Arial"/>
                        <w:b/>
                        <w:spacing w:val="-4"/>
                      </w:rPr>
                      <w:t xml:space="preserve"> </w:t>
                    </w:r>
                    <w:r>
                      <w:rPr>
                        <w:rFonts w:ascii="Arial"/>
                        <w:b/>
                      </w:rPr>
                      <w:t>de</w:t>
                    </w:r>
                    <w:r>
                      <w:rPr>
                        <w:rFonts w:ascii="Arial"/>
                        <w:b/>
                        <w:spacing w:val="-7"/>
                      </w:rPr>
                      <w:t xml:space="preserve"> </w:t>
                    </w:r>
                    <w:r>
                      <w:rPr>
                        <w:rFonts w:ascii="Arial"/>
                        <w:b/>
                      </w:rPr>
                      <w:t>outra</w:t>
                    </w:r>
                    <w:r>
                      <w:rPr>
                        <w:rFonts w:ascii="Arial"/>
                        <w:b/>
                        <w:spacing w:val="-5"/>
                      </w:rPr>
                      <w:t xml:space="preserve"> </w:t>
                    </w:r>
                    <w:r>
                      <w:rPr>
                        <w:rFonts w:ascii="Arial"/>
                        <w:b/>
                        <w:spacing w:val="-2"/>
                      </w:rPr>
                      <w:t>forma</w:t>
                    </w:r>
                    <w:r>
                      <w:rPr>
                        <w:rFonts w:ascii="Arial MT"/>
                        <w:spacing w:val="-2"/>
                      </w:rPr>
                      <w:t>.</w:t>
                    </w:r>
                  </w:p>
                </w:txbxContent>
              </v:textbox>
              <w10:wrap anchorx="page" anchory="page"/>
            </v:shape>
          </w:pict>
        </mc:Fallback>
      </mc:AlternateContent>
    </w:r>
    <w:r>
      <w:rPr>
        <w:noProof/>
        <w:sz w:val="20"/>
      </w:rPr>
      <mc:AlternateContent>
        <mc:Choice Requires="wps">
          <w:drawing>
            <wp:anchor distT="0" distB="0" distL="0" distR="0" simplePos="0" relativeHeight="472607232" behindDoc="1" locked="0" layoutInCell="1" allowOverlap="1" wp14:anchorId="2F493BAC" wp14:editId="27830B81">
              <wp:simplePos x="0" y="0"/>
              <wp:positionH relativeFrom="page">
                <wp:posOffset>528319</wp:posOffset>
              </wp:positionH>
              <wp:positionV relativeFrom="page">
                <wp:posOffset>1551898</wp:posOffset>
              </wp:positionV>
              <wp:extent cx="553085" cy="196215"/>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085" cy="196215"/>
                      </a:xfrm>
                      <a:prstGeom prst="rect">
                        <a:avLst/>
                      </a:prstGeom>
                    </wps:spPr>
                    <wps:txbx>
                      <w:txbxContent>
                        <w:p w14:paraId="59B18B08" w14:textId="77777777" w:rsidR="002C6574" w:rsidRDefault="00000000">
                          <w:pPr>
                            <w:spacing w:before="12"/>
                            <w:ind w:left="20"/>
                            <w:rPr>
                              <w:rFonts w:ascii="Arial"/>
                              <w:b/>
                              <w:sz w:val="24"/>
                            </w:rPr>
                          </w:pPr>
                          <w:r>
                            <w:rPr>
                              <w:rFonts w:ascii="Arial"/>
                              <w:b/>
                              <w:smallCaps/>
                              <w:sz w:val="24"/>
                              <w:u w:val="single"/>
                            </w:rPr>
                            <w:t>Anexo</w:t>
                          </w:r>
                          <w:r>
                            <w:rPr>
                              <w:rFonts w:ascii="Arial"/>
                              <w:b/>
                              <w:smallCaps/>
                              <w:spacing w:val="-8"/>
                              <w:sz w:val="24"/>
                              <w:u w:val="single"/>
                            </w:rPr>
                            <w:t xml:space="preserve"> </w:t>
                          </w:r>
                          <w:r>
                            <w:rPr>
                              <w:rFonts w:ascii="Arial"/>
                              <w:b/>
                              <w:smallCaps/>
                              <w:spacing w:val="-10"/>
                              <w:sz w:val="24"/>
                              <w:u w:val="single"/>
                            </w:rPr>
                            <w:t>I</w:t>
                          </w:r>
                        </w:p>
                      </w:txbxContent>
                    </wps:txbx>
                    <wps:bodyPr wrap="square" lIns="0" tIns="0" rIns="0" bIns="0" rtlCol="0">
                      <a:noAutofit/>
                    </wps:bodyPr>
                  </wps:wsp>
                </a:graphicData>
              </a:graphic>
            </wp:anchor>
          </w:drawing>
        </mc:Choice>
        <mc:Fallback>
          <w:pict>
            <v:shape w14:anchorId="2F493BAC" id="Textbox 503" o:spid="_x0000_s1320" type="#_x0000_t202" style="position:absolute;margin-left:41.6pt;margin-top:122.2pt;width:43.55pt;height:15.45pt;z-index:-307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" filled="f" stroked="f">
              <v:textbox inset="0,0,0,0">
                <w:txbxContent>
                  <w:p w14:paraId="59B18B08" w14:textId="77777777" w:rsidR="002C6574" w:rsidRDefault="00000000">
                    <w:pPr>
                      <w:spacing w:before="12"/>
                      <w:ind w:left="20"/>
                      <w:rPr>
                        <w:rFonts w:ascii="Arial"/>
                        <w:b/>
                        <w:sz w:val="24"/>
                      </w:rPr>
                    </w:pPr>
                    <w:r>
                      <w:rPr>
                        <w:rFonts w:ascii="Arial"/>
                        <w:b/>
                        <w:smallCaps/>
                        <w:sz w:val="24"/>
                        <w:u w:val="single"/>
                      </w:rPr>
                      <w:t>Anexo</w:t>
                    </w:r>
                    <w:r>
                      <w:rPr>
                        <w:rFonts w:ascii="Arial"/>
                        <w:b/>
                        <w:smallCaps/>
                        <w:spacing w:val="-8"/>
                        <w:sz w:val="24"/>
                        <w:u w:val="single"/>
                      </w:rPr>
                      <w:t xml:space="preserve"> </w:t>
                    </w:r>
                    <w:r>
                      <w:rPr>
                        <w:rFonts w:ascii="Arial"/>
                        <w:b/>
                        <w:smallCaps/>
                        <w:spacing w:val="-10"/>
                        <w:sz w:val="24"/>
                        <w:u w:val="single"/>
                      </w:rPr>
                      <w:t>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F6AD5" w14:textId="77777777" w:rsidR="002C6574" w:rsidRDefault="00000000">
    <w:pPr>
      <w:pStyle w:val="Corpodetexto"/>
      <w:spacing w:line="14" w:lineRule="auto"/>
      <w:rPr>
        <w:sz w:val="20"/>
      </w:rPr>
    </w:pPr>
    <w:r>
      <w:rPr>
        <w:noProof/>
        <w:sz w:val="20"/>
      </w:rPr>
      <w:drawing>
        <wp:anchor distT="0" distB="0" distL="0" distR="0" simplePos="0" relativeHeight="472563712" behindDoc="1" locked="0" layoutInCell="1" allowOverlap="1" wp14:anchorId="54001258" wp14:editId="21CC9B01">
          <wp:simplePos x="0" y="0"/>
          <wp:positionH relativeFrom="page">
            <wp:posOffset>5977128</wp:posOffset>
          </wp:positionH>
          <wp:positionV relativeFrom="page">
            <wp:posOffset>198120</wp:posOffset>
          </wp:positionV>
          <wp:extent cx="1146048" cy="344423"/>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1146048" cy="344423"/>
                  </a:xfrm>
                  <a:prstGeom prst="rect">
                    <a:avLst/>
                  </a:prstGeom>
                </pic:spPr>
              </pic:pic>
            </a:graphicData>
          </a:graphic>
        </wp:anchor>
      </w:drawing>
    </w:r>
    <w:r>
      <w:rPr>
        <w:noProof/>
        <w:sz w:val="20"/>
      </w:rPr>
      <mc:AlternateContent>
        <mc:Choice Requires="wps">
          <w:drawing>
            <wp:anchor distT="0" distB="0" distL="0" distR="0" simplePos="0" relativeHeight="472564224" behindDoc="1" locked="0" layoutInCell="1" allowOverlap="1" wp14:anchorId="41633175" wp14:editId="156D22E8">
              <wp:simplePos x="0" y="0"/>
              <wp:positionH relativeFrom="page">
                <wp:posOffset>480060</wp:posOffset>
              </wp:positionH>
              <wp:positionV relativeFrom="page">
                <wp:posOffset>690372</wp:posOffset>
              </wp:positionV>
              <wp:extent cx="7080884" cy="1841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884" cy="18415"/>
                      </a:xfrm>
                      <a:custGeom>
                        <a:avLst/>
                        <a:gdLst/>
                        <a:ahLst/>
                        <a:cxnLst/>
                        <a:rect l="l" t="t" r="r" b="b"/>
                        <a:pathLst>
                          <a:path w="7080884" h="18415">
                            <a:moveTo>
                              <a:pt x="7080504" y="18288"/>
                            </a:moveTo>
                            <a:lnTo>
                              <a:pt x="0" y="18288"/>
                            </a:lnTo>
                            <a:lnTo>
                              <a:pt x="0" y="0"/>
                            </a:lnTo>
                            <a:lnTo>
                              <a:pt x="7080504" y="0"/>
                            </a:lnTo>
                            <a:lnTo>
                              <a:pt x="7080504" y="18288"/>
                            </a:lnTo>
                            <a:close/>
                          </a:path>
                        </a:pathLst>
                      </a:custGeom>
                      <a:solidFill>
                        <a:srgbClr val="95B3D6"/>
                      </a:solidFill>
                    </wps:spPr>
                    <wps:bodyPr wrap="square" lIns="0" tIns="0" rIns="0" bIns="0" rtlCol="0">
                      <a:prstTxWarp prst="textNoShape">
                        <a:avLst/>
                      </a:prstTxWarp>
                      <a:noAutofit/>
                    </wps:bodyPr>
                  </wps:wsp>
                </a:graphicData>
              </a:graphic>
            </wp:anchor>
          </w:drawing>
        </mc:Choice>
        <mc:Fallback>
          <w:pict>
            <v:shape w14:anchorId="67E38D7A" id="Graphic 59" o:spid="_x0000_s1026" style="position:absolute;margin-left:37.8pt;margin-top:54.35pt;width:557.55pt;height:1.45pt;z-index:-30752256;visibility:visible;mso-wrap-style:square;mso-wrap-distance-left:0;mso-wrap-distance-top:0;mso-wrap-distance-right:0;mso-wrap-distance-bottom:0;mso-position-horizontal:absolute;mso-position-horizontal-relative:page;mso-position-vertical:absolute;mso-position-vertical-relative:page;v-text-anchor:top" coordsize="70808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" path="m7080504,18288l,18288,,,7080504,r,18288xe" fillcolor="#95b3d6" stroked="f">
              <v:path arrowok="t"/>
              <w10:wrap anchorx="page" anchory="page"/>
            </v:shape>
          </w:pict>
        </mc:Fallback>
      </mc:AlternateContent>
    </w:r>
    <w:r>
      <w:rPr>
        <w:noProof/>
        <w:sz w:val="20"/>
      </w:rPr>
      <mc:AlternateContent>
        <mc:Choice Requires="wps">
          <w:drawing>
            <wp:anchor distT="0" distB="0" distL="0" distR="0" simplePos="0" relativeHeight="472564736" behindDoc="1" locked="0" layoutInCell="1" allowOverlap="1" wp14:anchorId="16E0EA1D" wp14:editId="4D82071E">
              <wp:simplePos x="0" y="0"/>
              <wp:positionH relativeFrom="page">
                <wp:posOffset>899160</wp:posOffset>
              </wp:positionH>
              <wp:positionV relativeFrom="page">
                <wp:posOffset>723900</wp:posOffset>
              </wp:positionV>
              <wp:extent cx="6661784" cy="1841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8415"/>
                      </a:xfrm>
                      <a:custGeom>
                        <a:avLst/>
                        <a:gdLst/>
                        <a:ahLst/>
                        <a:cxnLst/>
                        <a:rect l="l" t="t" r="r" b="b"/>
                        <a:pathLst>
                          <a:path w="6661784" h="18415">
                            <a:moveTo>
                              <a:pt x="6661404" y="18288"/>
                            </a:moveTo>
                            <a:lnTo>
                              <a:pt x="0" y="18288"/>
                            </a:lnTo>
                            <a:lnTo>
                              <a:pt x="0" y="0"/>
                            </a:lnTo>
                            <a:lnTo>
                              <a:pt x="6661404" y="0"/>
                            </a:lnTo>
                            <a:lnTo>
                              <a:pt x="6661404" y="18288"/>
                            </a:lnTo>
                            <a:close/>
                          </a:path>
                        </a:pathLst>
                      </a:custGeom>
                      <a:solidFill>
                        <a:srgbClr val="215967"/>
                      </a:solidFill>
                    </wps:spPr>
                    <wps:bodyPr wrap="square" lIns="0" tIns="0" rIns="0" bIns="0" rtlCol="0">
                      <a:prstTxWarp prst="textNoShape">
                        <a:avLst/>
                      </a:prstTxWarp>
                      <a:noAutofit/>
                    </wps:bodyPr>
                  </wps:wsp>
                </a:graphicData>
              </a:graphic>
            </wp:anchor>
          </w:drawing>
        </mc:Choice>
        <mc:Fallback>
          <w:pict>
            <v:shape w14:anchorId="58BD00E8" id="Graphic 60" o:spid="_x0000_s1026" style="position:absolute;margin-left:70.8pt;margin-top:57pt;width:524.55pt;height:1.45pt;z-index:-30751744;visibility:visible;mso-wrap-style:square;mso-wrap-distance-left:0;mso-wrap-distance-top:0;mso-wrap-distance-right:0;mso-wrap-distance-bottom:0;mso-position-horizontal:absolute;mso-position-horizontal-relative:page;mso-position-vertical:absolute;mso-position-vertical-relative:page;v-text-anchor:top" coordsize="66617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" path="m6661404,18288l,18288,,,6661404,r,18288xe" fillcolor="#215967" stroked="f">
              <v:path arrowok="t"/>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01CDD"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608256" behindDoc="1" locked="0" layoutInCell="1" allowOverlap="1" wp14:anchorId="7C22E40E" wp14:editId="6193F5D4">
              <wp:simplePos x="0" y="0"/>
              <wp:positionH relativeFrom="page">
                <wp:posOffset>528319</wp:posOffset>
              </wp:positionH>
              <wp:positionV relativeFrom="page">
                <wp:posOffset>747341</wp:posOffset>
              </wp:positionV>
              <wp:extent cx="4724400" cy="66421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0" cy="664210"/>
                      </a:xfrm>
                      <a:prstGeom prst="rect">
                        <a:avLst/>
                      </a:prstGeom>
                    </wps:spPr>
                    <wps:txbx>
                      <w:txbxContent>
                        <w:p w14:paraId="29DE7276" w14:textId="77777777" w:rsidR="002C6574" w:rsidRDefault="00000000">
                          <w:pPr>
                            <w:spacing w:before="13"/>
                            <w:ind w:left="20" w:right="2366"/>
                            <w:rPr>
                              <w:rFonts w:ascii="Arial" w:hAnsi="Arial"/>
                              <w:b/>
                            </w:rPr>
                          </w:pPr>
                          <w:r>
                            <w:rPr>
                              <w:rFonts w:ascii="Arial" w:hAnsi="Arial"/>
                              <w:b/>
                            </w:rPr>
                            <w:t xml:space="preserve">Comentários </w:t>
                          </w:r>
                          <w:r>
                            <w:rPr>
                              <w:rFonts w:ascii="Arial" w:hAnsi="Arial"/>
                              <w:b/>
                            </w:rPr>
                            <w:t>de Desempenho Telecomunicações</w:t>
                          </w:r>
                          <w:r>
                            <w:rPr>
                              <w:rFonts w:ascii="Arial" w:hAnsi="Arial"/>
                              <w:b/>
                              <w:spacing w:val="-8"/>
                            </w:rPr>
                            <w:t xml:space="preserve"> </w:t>
                          </w:r>
                          <w:r>
                            <w:rPr>
                              <w:rFonts w:ascii="Arial" w:hAnsi="Arial"/>
                              <w:b/>
                            </w:rPr>
                            <w:t>Brasileiras</w:t>
                          </w:r>
                          <w:r>
                            <w:rPr>
                              <w:rFonts w:ascii="Arial" w:hAnsi="Arial"/>
                              <w:b/>
                              <w:spacing w:val="-10"/>
                            </w:rPr>
                            <w:t xml:space="preserve"> </w:t>
                          </w:r>
                          <w:r>
                            <w:rPr>
                              <w:rFonts w:ascii="Arial" w:hAnsi="Arial"/>
                              <w:b/>
                            </w:rPr>
                            <w:t>S.A.</w:t>
                          </w:r>
                          <w:r>
                            <w:rPr>
                              <w:rFonts w:ascii="Arial" w:hAnsi="Arial"/>
                              <w:b/>
                              <w:spacing w:val="-7"/>
                            </w:rPr>
                            <w:t xml:space="preserve"> </w:t>
                          </w:r>
                          <w:r>
                            <w:rPr>
                              <w:rFonts w:ascii="Arial" w:hAnsi="Arial"/>
                              <w:b/>
                            </w:rPr>
                            <w:t>-</w:t>
                          </w:r>
                          <w:r>
                            <w:rPr>
                              <w:rFonts w:ascii="Arial" w:hAnsi="Arial"/>
                              <w:b/>
                              <w:spacing w:val="-11"/>
                            </w:rPr>
                            <w:t xml:space="preserve"> </w:t>
                          </w:r>
                          <w:r>
                            <w:rPr>
                              <w:rFonts w:ascii="Arial" w:hAnsi="Arial"/>
                              <w:b/>
                            </w:rPr>
                            <w:t>TELEBRAS 4º Trimestre de 2025</w:t>
                          </w:r>
                        </w:p>
                        <w:p w14:paraId="55D9EA9D" w14:textId="77777777" w:rsidR="002C6574" w:rsidRDefault="00000000">
                          <w:pPr>
                            <w:ind w:left="20"/>
                            <w:rPr>
                              <w:rFonts w:ascii="Arial MT"/>
                            </w:rPr>
                          </w:pPr>
                          <w:r>
                            <w:rPr>
                              <w:rFonts w:ascii="Arial"/>
                              <w:b/>
                            </w:rPr>
                            <w:t>Valores</w:t>
                          </w:r>
                          <w:r>
                            <w:rPr>
                              <w:rFonts w:ascii="Arial"/>
                              <w:b/>
                              <w:spacing w:val="-6"/>
                            </w:rPr>
                            <w:t xml:space="preserve"> </w:t>
                          </w:r>
                          <w:r>
                            <w:rPr>
                              <w:rFonts w:ascii="Arial"/>
                              <w:b/>
                            </w:rPr>
                            <w:t>em</w:t>
                          </w:r>
                          <w:r>
                            <w:rPr>
                              <w:rFonts w:ascii="Arial"/>
                              <w:b/>
                              <w:spacing w:val="-5"/>
                            </w:rPr>
                            <w:t xml:space="preserve"> </w:t>
                          </w:r>
                          <w:r>
                            <w:rPr>
                              <w:rFonts w:ascii="Arial"/>
                              <w:b/>
                            </w:rPr>
                            <w:t>Milhares</w:t>
                          </w:r>
                          <w:r>
                            <w:rPr>
                              <w:rFonts w:ascii="Arial"/>
                              <w:b/>
                              <w:spacing w:val="-6"/>
                            </w:rPr>
                            <w:t xml:space="preserve"> </w:t>
                          </w:r>
                          <w:r>
                            <w:rPr>
                              <w:rFonts w:ascii="Arial"/>
                              <w:b/>
                            </w:rPr>
                            <w:t>de</w:t>
                          </w:r>
                          <w:r>
                            <w:rPr>
                              <w:rFonts w:ascii="Arial"/>
                              <w:b/>
                              <w:spacing w:val="-6"/>
                            </w:rPr>
                            <w:t xml:space="preserve"> </w:t>
                          </w:r>
                          <w:r>
                            <w:rPr>
                              <w:rFonts w:ascii="Arial"/>
                              <w:b/>
                            </w:rPr>
                            <w:t>Reais,</w:t>
                          </w:r>
                          <w:r>
                            <w:rPr>
                              <w:rFonts w:ascii="Arial"/>
                              <w:b/>
                              <w:spacing w:val="-5"/>
                            </w:rPr>
                            <w:t xml:space="preserve"> </w:t>
                          </w:r>
                          <w:r>
                            <w:rPr>
                              <w:rFonts w:ascii="Arial"/>
                              <w:b/>
                            </w:rPr>
                            <w:t>exceto</w:t>
                          </w:r>
                          <w:r>
                            <w:rPr>
                              <w:rFonts w:ascii="Arial"/>
                              <w:b/>
                              <w:spacing w:val="-6"/>
                            </w:rPr>
                            <w:t xml:space="preserve"> </w:t>
                          </w:r>
                          <w:r>
                            <w:rPr>
                              <w:rFonts w:ascii="Arial"/>
                              <w:b/>
                            </w:rPr>
                            <w:t>quando</w:t>
                          </w:r>
                          <w:r>
                            <w:rPr>
                              <w:rFonts w:ascii="Arial"/>
                              <w:b/>
                              <w:spacing w:val="-6"/>
                            </w:rPr>
                            <w:t xml:space="preserve"> </w:t>
                          </w:r>
                          <w:r>
                            <w:rPr>
                              <w:rFonts w:ascii="Arial"/>
                              <w:b/>
                            </w:rPr>
                            <w:t>indicado</w:t>
                          </w:r>
                          <w:r>
                            <w:rPr>
                              <w:rFonts w:ascii="Arial"/>
                              <w:b/>
                              <w:spacing w:val="-4"/>
                            </w:rPr>
                            <w:t xml:space="preserve"> </w:t>
                          </w:r>
                          <w:r>
                            <w:rPr>
                              <w:rFonts w:ascii="Arial"/>
                              <w:b/>
                            </w:rPr>
                            <w:t>de</w:t>
                          </w:r>
                          <w:r>
                            <w:rPr>
                              <w:rFonts w:ascii="Arial"/>
                              <w:b/>
                              <w:spacing w:val="-7"/>
                            </w:rPr>
                            <w:t xml:space="preserve"> </w:t>
                          </w:r>
                          <w:r>
                            <w:rPr>
                              <w:rFonts w:ascii="Arial"/>
                              <w:b/>
                            </w:rPr>
                            <w:t>outra</w:t>
                          </w:r>
                          <w:r>
                            <w:rPr>
                              <w:rFonts w:ascii="Arial"/>
                              <w:b/>
                              <w:spacing w:val="-5"/>
                            </w:rPr>
                            <w:t xml:space="preserve"> </w:t>
                          </w:r>
                          <w:r>
                            <w:rPr>
                              <w:rFonts w:ascii="Arial"/>
                              <w:b/>
                              <w:spacing w:val="-2"/>
                            </w:rPr>
                            <w:t>forma</w:t>
                          </w:r>
                          <w:r>
                            <w:rPr>
                              <w:rFonts w:ascii="Arial MT"/>
                              <w:spacing w:val="-2"/>
                            </w:rPr>
                            <w:t>.</w:t>
                          </w:r>
                        </w:p>
                      </w:txbxContent>
                    </wps:txbx>
                    <wps:bodyPr wrap="square" lIns="0" tIns="0" rIns="0" bIns="0" rtlCol="0">
                      <a:noAutofit/>
                    </wps:bodyPr>
                  </wps:wsp>
                </a:graphicData>
              </a:graphic>
            </wp:anchor>
          </w:drawing>
        </mc:Choice>
        <mc:Fallback>
          <w:pict>
            <v:shapetype w14:anchorId="7C22E40E" id="_x0000_t202" coordsize="21600,21600" o:spt="202" path="m,l,21600r21600,l21600,xe">
              <v:stroke joinstyle="miter"/>
              <v:path gradientshapeok="t" o:connecttype="rect"/>
            </v:shapetype>
            <v:shape id="Textbox 509" o:spid="_x0000_s1322" type="#_x0000_t202" style="position:absolute;margin-left:41.6pt;margin-top:58.85pt;width:372pt;height:52.3pt;z-index:-307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" filled="f" stroked="f">
              <v:textbox inset="0,0,0,0">
                <w:txbxContent>
                  <w:p w14:paraId="29DE7276" w14:textId="77777777" w:rsidR="002C6574" w:rsidRDefault="00000000">
                    <w:pPr>
                      <w:spacing w:before="13"/>
                      <w:ind w:left="20" w:right="2366"/>
                      <w:rPr>
                        <w:rFonts w:ascii="Arial" w:hAnsi="Arial"/>
                        <w:b/>
                      </w:rPr>
                    </w:pPr>
                    <w:r>
                      <w:rPr>
                        <w:rFonts w:ascii="Arial" w:hAnsi="Arial"/>
                        <w:b/>
                      </w:rPr>
                      <w:t xml:space="preserve">Comentários </w:t>
                    </w:r>
                    <w:r>
                      <w:rPr>
                        <w:rFonts w:ascii="Arial" w:hAnsi="Arial"/>
                        <w:b/>
                      </w:rPr>
                      <w:t>de Desempenho Telecomunicações</w:t>
                    </w:r>
                    <w:r>
                      <w:rPr>
                        <w:rFonts w:ascii="Arial" w:hAnsi="Arial"/>
                        <w:b/>
                        <w:spacing w:val="-8"/>
                      </w:rPr>
                      <w:t xml:space="preserve"> </w:t>
                    </w:r>
                    <w:r>
                      <w:rPr>
                        <w:rFonts w:ascii="Arial" w:hAnsi="Arial"/>
                        <w:b/>
                      </w:rPr>
                      <w:t>Brasileiras</w:t>
                    </w:r>
                    <w:r>
                      <w:rPr>
                        <w:rFonts w:ascii="Arial" w:hAnsi="Arial"/>
                        <w:b/>
                        <w:spacing w:val="-10"/>
                      </w:rPr>
                      <w:t xml:space="preserve"> </w:t>
                    </w:r>
                    <w:r>
                      <w:rPr>
                        <w:rFonts w:ascii="Arial" w:hAnsi="Arial"/>
                        <w:b/>
                      </w:rPr>
                      <w:t>S.A.</w:t>
                    </w:r>
                    <w:r>
                      <w:rPr>
                        <w:rFonts w:ascii="Arial" w:hAnsi="Arial"/>
                        <w:b/>
                        <w:spacing w:val="-7"/>
                      </w:rPr>
                      <w:t xml:space="preserve"> </w:t>
                    </w:r>
                    <w:r>
                      <w:rPr>
                        <w:rFonts w:ascii="Arial" w:hAnsi="Arial"/>
                        <w:b/>
                      </w:rPr>
                      <w:t>-</w:t>
                    </w:r>
                    <w:r>
                      <w:rPr>
                        <w:rFonts w:ascii="Arial" w:hAnsi="Arial"/>
                        <w:b/>
                        <w:spacing w:val="-11"/>
                      </w:rPr>
                      <w:t xml:space="preserve"> </w:t>
                    </w:r>
                    <w:r>
                      <w:rPr>
                        <w:rFonts w:ascii="Arial" w:hAnsi="Arial"/>
                        <w:b/>
                      </w:rPr>
                      <w:t>TELEBRAS 4º Trimestre de 2025</w:t>
                    </w:r>
                  </w:p>
                  <w:p w14:paraId="55D9EA9D" w14:textId="77777777" w:rsidR="002C6574" w:rsidRDefault="00000000">
                    <w:pPr>
                      <w:ind w:left="20"/>
                      <w:rPr>
                        <w:rFonts w:ascii="Arial MT"/>
                      </w:rPr>
                    </w:pPr>
                    <w:r>
                      <w:rPr>
                        <w:rFonts w:ascii="Arial"/>
                        <w:b/>
                      </w:rPr>
                      <w:t>Valores</w:t>
                    </w:r>
                    <w:r>
                      <w:rPr>
                        <w:rFonts w:ascii="Arial"/>
                        <w:b/>
                        <w:spacing w:val="-6"/>
                      </w:rPr>
                      <w:t xml:space="preserve"> </w:t>
                    </w:r>
                    <w:r>
                      <w:rPr>
                        <w:rFonts w:ascii="Arial"/>
                        <w:b/>
                      </w:rPr>
                      <w:t>em</w:t>
                    </w:r>
                    <w:r>
                      <w:rPr>
                        <w:rFonts w:ascii="Arial"/>
                        <w:b/>
                        <w:spacing w:val="-5"/>
                      </w:rPr>
                      <w:t xml:space="preserve"> </w:t>
                    </w:r>
                    <w:r>
                      <w:rPr>
                        <w:rFonts w:ascii="Arial"/>
                        <w:b/>
                      </w:rPr>
                      <w:t>Milhares</w:t>
                    </w:r>
                    <w:r>
                      <w:rPr>
                        <w:rFonts w:ascii="Arial"/>
                        <w:b/>
                        <w:spacing w:val="-6"/>
                      </w:rPr>
                      <w:t xml:space="preserve"> </w:t>
                    </w:r>
                    <w:r>
                      <w:rPr>
                        <w:rFonts w:ascii="Arial"/>
                        <w:b/>
                      </w:rPr>
                      <w:t>de</w:t>
                    </w:r>
                    <w:r>
                      <w:rPr>
                        <w:rFonts w:ascii="Arial"/>
                        <w:b/>
                        <w:spacing w:val="-6"/>
                      </w:rPr>
                      <w:t xml:space="preserve"> </w:t>
                    </w:r>
                    <w:r>
                      <w:rPr>
                        <w:rFonts w:ascii="Arial"/>
                        <w:b/>
                      </w:rPr>
                      <w:t>Reais,</w:t>
                    </w:r>
                    <w:r>
                      <w:rPr>
                        <w:rFonts w:ascii="Arial"/>
                        <w:b/>
                        <w:spacing w:val="-5"/>
                      </w:rPr>
                      <w:t xml:space="preserve"> </w:t>
                    </w:r>
                    <w:r>
                      <w:rPr>
                        <w:rFonts w:ascii="Arial"/>
                        <w:b/>
                      </w:rPr>
                      <w:t>exceto</w:t>
                    </w:r>
                    <w:r>
                      <w:rPr>
                        <w:rFonts w:ascii="Arial"/>
                        <w:b/>
                        <w:spacing w:val="-6"/>
                      </w:rPr>
                      <w:t xml:space="preserve"> </w:t>
                    </w:r>
                    <w:r>
                      <w:rPr>
                        <w:rFonts w:ascii="Arial"/>
                        <w:b/>
                      </w:rPr>
                      <w:t>quando</w:t>
                    </w:r>
                    <w:r>
                      <w:rPr>
                        <w:rFonts w:ascii="Arial"/>
                        <w:b/>
                        <w:spacing w:val="-6"/>
                      </w:rPr>
                      <w:t xml:space="preserve"> </w:t>
                    </w:r>
                    <w:r>
                      <w:rPr>
                        <w:rFonts w:ascii="Arial"/>
                        <w:b/>
                      </w:rPr>
                      <w:t>indicado</w:t>
                    </w:r>
                    <w:r>
                      <w:rPr>
                        <w:rFonts w:ascii="Arial"/>
                        <w:b/>
                        <w:spacing w:val="-4"/>
                      </w:rPr>
                      <w:t xml:space="preserve"> </w:t>
                    </w:r>
                    <w:r>
                      <w:rPr>
                        <w:rFonts w:ascii="Arial"/>
                        <w:b/>
                      </w:rPr>
                      <w:t>de</w:t>
                    </w:r>
                    <w:r>
                      <w:rPr>
                        <w:rFonts w:ascii="Arial"/>
                        <w:b/>
                        <w:spacing w:val="-7"/>
                      </w:rPr>
                      <w:t xml:space="preserve"> </w:t>
                    </w:r>
                    <w:r>
                      <w:rPr>
                        <w:rFonts w:ascii="Arial"/>
                        <w:b/>
                      </w:rPr>
                      <w:t>outra</w:t>
                    </w:r>
                    <w:r>
                      <w:rPr>
                        <w:rFonts w:ascii="Arial"/>
                        <w:b/>
                        <w:spacing w:val="-5"/>
                      </w:rPr>
                      <w:t xml:space="preserve"> </w:t>
                    </w:r>
                    <w:r>
                      <w:rPr>
                        <w:rFonts w:ascii="Arial"/>
                        <w:b/>
                        <w:spacing w:val="-2"/>
                      </w:rPr>
                      <w:t>forma</w:t>
                    </w:r>
                    <w:r>
                      <w:rPr>
                        <w:rFonts w:ascii="Arial MT"/>
                        <w:spacing w:val="-2"/>
                      </w:rPr>
                      <w:t>.</w:t>
                    </w:r>
                  </w:p>
                </w:txbxContent>
              </v:textbox>
              <w10:wrap anchorx="page" anchory="page"/>
            </v:shape>
          </w:pict>
        </mc:Fallback>
      </mc:AlternateContent>
    </w:r>
    <w:r>
      <w:rPr>
        <w:noProof/>
        <w:sz w:val="20"/>
      </w:rPr>
      <mc:AlternateContent>
        <mc:Choice Requires="wps">
          <w:drawing>
            <wp:anchor distT="0" distB="0" distL="0" distR="0" simplePos="0" relativeHeight="472608768" behindDoc="1" locked="0" layoutInCell="1" allowOverlap="1" wp14:anchorId="044AB2E4" wp14:editId="40BD8562">
              <wp:simplePos x="0" y="0"/>
              <wp:positionH relativeFrom="page">
                <wp:posOffset>528319</wp:posOffset>
              </wp:positionH>
              <wp:positionV relativeFrom="page">
                <wp:posOffset>1551898</wp:posOffset>
              </wp:positionV>
              <wp:extent cx="595630" cy="196215"/>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630" cy="196215"/>
                      </a:xfrm>
                      <a:prstGeom prst="rect">
                        <a:avLst/>
                      </a:prstGeom>
                    </wps:spPr>
                    <wps:txbx>
                      <w:txbxContent>
                        <w:p w14:paraId="3E7A11CC" w14:textId="77777777" w:rsidR="002C6574" w:rsidRDefault="00000000">
                          <w:pPr>
                            <w:spacing w:before="12"/>
                            <w:ind w:left="20"/>
                            <w:rPr>
                              <w:rFonts w:ascii="Arial"/>
                              <w:b/>
                              <w:sz w:val="24"/>
                            </w:rPr>
                          </w:pPr>
                          <w:r>
                            <w:rPr>
                              <w:rFonts w:ascii="Arial"/>
                              <w:b/>
                              <w:smallCaps/>
                              <w:sz w:val="24"/>
                              <w:u w:val="single"/>
                            </w:rPr>
                            <w:t>Anexo</w:t>
                          </w:r>
                          <w:r>
                            <w:rPr>
                              <w:rFonts w:ascii="Arial"/>
                              <w:b/>
                              <w:smallCaps/>
                              <w:spacing w:val="-8"/>
                              <w:sz w:val="24"/>
                              <w:u w:val="single"/>
                            </w:rPr>
                            <w:t xml:space="preserve"> </w:t>
                          </w:r>
                          <w:r>
                            <w:rPr>
                              <w:rFonts w:ascii="Arial"/>
                              <w:b/>
                              <w:smallCaps/>
                              <w:spacing w:val="-5"/>
                              <w:sz w:val="24"/>
                              <w:u w:val="single"/>
                            </w:rPr>
                            <w:t>II</w:t>
                          </w:r>
                        </w:p>
                      </w:txbxContent>
                    </wps:txbx>
                    <wps:bodyPr wrap="square" lIns="0" tIns="0" rIns="0" bIns="0" rtlCol="0">
                      <a:noAutofit/>
                    </wps:bodyPr>
                  </wps:wsp>
                </a:graphicData>
              </a:graphic>
            </wp:anchor>
          </w:drawing>
        </mc:Choice>
        <mc:Fallback>
          <w:pict>
            <v:shape w14:anchorId="044AB2E4" id="Textbox 510" o:spid="_x0000_s1323" type="#_x0000_t202" style="position:absolute;margin-left:41.6pt;margin-top:122.2pt;width:46.9pt;height:15.45pt;z-index:-307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" filled="f" stroked="f">
              <v:textbox inset="0,0,0,0">
                <w:txbxContent>
                  <w:p w14:paraId="3E7A11CC" w14:textId="77777777" w:rsidR="002C6574" w:rsidRDefault="00000000">
                    <w:pPr>
                      <w:spacing w:before="12"/>
                      <w:ind w:left="20"/>
                      <w:rPr>
                        <w:rFonts w:ascii="Arial"/>
                        <w:b/>
                        <w:sz w:val="24"/>
                      </w:rPr>
                    </w:pPr>
                    <w:r>
                      <w:rPr>
                        <w:rFonts w:ascii="Arial"/>
                        <w:b/>
                        <w:smallCaps/>
                        <w:sz w:val="24"/>
                        <w:u w:val="single"/>
                      </w:rPr>
                      <w:t>Anexo</w:t>
                    </w:r>
                    <w:r>
                      <w:rPr>
                        <w:rFonts w:ascii="Arial"/>
                        <w:b/>
                        <w:smallCaps/>
                        <w:spacing w:val="-8"/>
                        <w:sz w:val="24"/>
                        <w:u w:val="single"/>
                      </w:rPr>
                      <w:t xml:space="preserve"> </w:t>
                    </w:r>
                    <w:r>
                      <w:rPr>
                        <w:rFonts w:ascii="Arial"/>
                        <w:b/>
                        <w:smallCaps/>
                        <w:spacing w:val="-5"/>
                        <w:sz w:val="24"/>
                        <w:u w:val="single"/>
                      </w:rPr>
                      <w:t>II</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A1D93" w14:textId="77777777" w:rsidR="002C6574" w:rsidRDefault="00000000">
    <w:pPr>
      <w:pStyle w:val="Corpodetexto"/>
      <w:spacing w:line="14" w:lineRule="auto"/>
      <w:rPr>
        <w:sz w:val="20"/>
      </w:rPr>
    </w:pPr>
    <w:r>
      <w:rPr>
        <w:noProof/>
        <w:sz w:val="20"/>
      </w:rPr>
      <mc:AlternateContent>
        <mc:Choice Requires="wps">
          <w:drawing>
            <wp:anchor distT="0" distB="0" distL="0" distR="0" simplePos="0" relativeHeight="472609792" behindDoc="1" locked="0" layoutInCell="1" allowOverlap="1" wp14:anchorId="2C079D38" wp14:editId="3B2728FD">
              <wp:simplePos x="0" y="0"/>
              <wp:positionH relativeFrom="page">
                <wp:posOffset>528319</wp:posOffset>
              </wp:positionH>
              <wp:positionV relativeFrom="page">
                <wp:posOffset>747341</wp:posOffset>
              </wp:positionV>
              <wp:extent cx="4724400" cy="66421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0" cy="664210"/>
                      </a:xfrm>
                      <a:prstGeom prst="rect">
                        <a:avLst/>
                      </a:prstGeom>
                    </wps:spPr>
                    <wps:txbx>
                      <w:txbxContent>
                        <w:p w14:paraId="0A999B1D" w14:textId="77777777" w:rsidR="002C6574" w:rsidRDefault="00000000">
                          <w:pPr>
                            <w:spacing w:before="13"/>
                            <w:ind w:left="20" w:right="2366"/>
                            <w:rPr>
                              <w:rFonts w:ascii="Arial" w:hAnsi="Arial"/>
                              <w:b/>
                            </w:rPr>
                          </w:pPr>
                          <w:r>
                            <w:rPr>
                              <w:rFonts w:ascii="Arial" w:hAnsi="Arial"/>
                              <w:b/>
                            </w:rPr>
                            <w:t xml:space="preserve">Comentários </w:t>
                          </w:r>
                          <w:r>
                            <w:rPr>
                              <w:rFonts w:ascii="Arial" w:hAnsi="Arial"/>
                              <w:b/>
                            </w:rPr>
                            <w:t>de Desempenho Telecomunicações</w:t>
                          </w:r>
                          <w:r>
                            <w:rPr>
                              <w:rFonts w:ascii="Arial" w:hAnsi="Arial"/>
                              <w:b/>
                              <w:spacing w:val="-8"/>
                            </w:rPr>
                            <w:t xml:space="preserve"> </w:t>
                          </w:r>
                          <w:r>
                            <w:rPr>
                              <w:rFonts w:ascii="Arial" w:hAnsi="Arial"/>
                              <w:b/>
                            </w:rPr>
                            <w:t>Brasileiras</w:t>
                          </w:r>
                          <w:r>
                            <w:rPr>
                              <w:rFonts w:ascii="Arial" w:hAnsi="Arial"/>
                              <w:b/>
                              <w:spacing w:val="-10"/>
                            </w:rPr>
                            <w:t xml:space="preserve"> </w:t>
                          </w:r>
                          <w:r>
                            <w:rPr>
                              <w:rFonts w:ascii="Arial" w:hAnsi="Arial"/>
                              <w:b/>
                            </w:rPr>
                            <w:t>S.A.</w:t>
                          </w:r>
                          <w:r>
                            <w:rPr>
                              <w:rFonts w:ascii="Arial" w:hAnsi="Arial"/>
                              <w:b/>
                              <w:spacing w:val="-7"/>
                            </w:rPr>
                            <w:t xml:space="preserve"> </w:t>
                          </w:r>
                          <w:r>
                            <w:rPr>
                              <w:rFonts w:ascii="Arial" w:hAnsi="Arial"/>
                              <w:b/>
                            </w:rPr>
                            <w:t>-</w:t>
                          </w:r>
                          <w:r>
                            <w:rPr>
                              <w:rFonts w:ascii="Arial" w:hAnsi="Arial"/>
                              <w:b/>
                              <w:spacing w:val="-11"/>
                            </w:rPr>
                            <w:t xml:space="preserve"> </w:t>
                          </w:r>
                          <w:r>
                            <w:rPr>
                              <w:rFonts w:ascii="Arial" w:hAnsi="Arial"/>
                              <w:b/>
                            </w:rPr>
                            <w:t>TELEBRAS 4º Trimestre de 2025</w:t>
                          </w:r>
                        </w:p>
                        <w:p w14:paraId="41E06773" w14:textId="77777777" w:rsidR="002C6574" w:rsidRDefault="00000000">
                          <w:pPr>
                            <w:ind w:left="20"/>
                            <w:rPr>
                              <w:rFonts w:ascii="Arial MT"/>
                            </w:rPr>
                          </w:pPr>
                          <w:r>
                            <w:rPr>
                              <w:rFonts w:ascii="Arial"/>
                              <w:b/>
                            </w:rPr>
                            <w:t>Valores</w:t>
                          </w:r>
                          <w:r>
                            <w:rPr>
                              <w:rFonts w:ascii="Arial"/>
                              <w:b/>
                              <w:spacing w:val="-6"/>
                            </w:rPr>
                            <w:t xml:space="preserve"> </w:t>
                          </w:r>
                          <w:r>
                            <w:rPr>
                              <w:rFonts w:ascii="Arial"/>
                              <w:b/>
                            </w:rPr>
                            <w:t>em</w:t>
                          </w:r>
                          <w:r>
                            <w:rPr>
                              <w:rFonts w:ascii="Arial"/>
                              <w:b/>
                              <w:spacing w:val="-5"/>
                            </w:rPr>
                            <w:t xml:space="preserve"> </w:t>
                          </w:r>
                          <w:r>
                            <w:rPr>
                              <w:rFonts w:ascii="Arial"/>
                              <w:b/>
                            </w:rPr>
                            <w:t>Milhares</w:t>
                          </w:r>
                          <w:r>
                            <w:rPr>
                              <w:rFonts w:ascii="Arial"/>
                              <w:b/>
                              <w:spacing w:val="-6"/>
                            </w:rPr>
                            <w:t xml:space="preserve"> </w:t>
                          </w:r>
                          <w:r>
                            <w:rPr>
                              <w:rFonts w:ascii="Arial"/>
                              <w:b/>
                            </w:rPr>
                            <w:t>de</w:t>
                          </w:r>
                          <w:r>
                            <w:rPr>
                              <w:rFonts w:ascii="Arial"/>
                              <w:b/>
                              <w:spacing w:val="-6"/>
                            </w:rPr>
                            <w:t xml:space="preserve"> </w:t>
                          </w:r>
                          <w:r>
                            <w:rPr>
                              <w:rFonts w:ascii="Arial"/>
                              <w:b/>
                            </w:rPr>
                            <w:t>Reais,</w:t>
                          </w:r>
                          <w:r>
                            <w:rPr>
                              <w:rFonts w:ascii="Arial"/>
                              <w:b/>
                              <w:spacing w:val="-5"/>
                            </w:rPr>
                            <w:t xml:space="preserve"> </w:t>
                          </w:r>
                          <w:r>
                            <w:rPr>
                              <w:rFonts w:ascii="Arial"/>
                              <w:b/>
                            </w:rPr>
                            <w:t>exceto</w:t>
                          </w:r>
                          <w:r>
                            <w:rPr>
                              <w:rFonts w:ascii="Arial"/>
                              <w:b/>
                              <w:spacing w:val="-6"/>
                            </w:rPr>
                            <w:t xml:space="preserve"> </w:t>
                          </w:r>
                          <w:r>
                            <w:rPr>
                              <w:rFonts w:ascii="Arial"/>
                              <w:b/>
                            </w:rPr>
                            <w:t>quando</w:t>
                          </w:r>
                          <w:r>
                            <w:rPr>
                              <w:rFonts w:ascii="Arial"/>
                              <w:b/>
                              <w:spacing w:val="-6"/>
                            </w:rPr>
                            <w:t xml:space="preserve"> </w:t>
                          </w:r>
                          <w:r>
                            <w:rPr>
                              <w:rFonts w:ascii="Arial"/>
                              <w:b/>
                            </w:rPr>
                            <w:t>indicado</w:t>
                          </w:r>
                          <w:r>
                            <w:rPr>
                              <w:rFonts w:ascii="Arial"/>
                              <w:b/>
                              <w:spacing w:val="-4"/>
                            </w:rPr>
                            <w:t xml:space="preserve"> </w:t>
                          </w:r>
                          <w:r>
                            <w:rPr>
                              <w:rFonts w:ascii="Arial"/>
                              <w:b/>
                            </w:rPr>
                            <w:t>de</w:t>
                          </w:r>
                          <w:r>
                            <w:rPr>
                              <w:rFonts w:ascii="Arial"/>
                              <w:b/>
                              <w:spacing w:val="-7"/>
                            </w:rPr>
                            <w:t xml:space="preserve"> </w:t>
                          </w:r>
                          <w:r>
                            <w:rPr>
                              <w:rFonts w:ascii="Arial"/>
                              <w:b/>
                            </w:rPr>
                            <w:t>outra</w:t>
                          </w:r>
                          <w:r>
                            <w:rPr>
                              <w:rFonts w:ascii="Arial"/>
                              <w:b/>
                              <w:spacing w:val="-5"/>
                            </w:rPr>
                            <w:t xml:space="preserve"> </w:t>
                          </w:r>
                          <w:r>
                            <w:rPr>
                              <w:rFonts w:ascii="Arial"/>
                              <w:b/>
                              <w:spacing w:val="-2"/>
                            </w:rPr>
                            <w:t>forma</w:t>
                          </w:r>
                          <w:r>
                            <w:rPr>
                              <w:rFonts w:ascii="Arial MT"/>
                              <w:spacing w:val="-2"/>
                            </w:rPr>
                            <w:t>.</w:t>
                          </w:r>
                        </w:p>
                      </w:txbxContent>
                    </wps:txbx>
                    <wps:bodyPr wrap="square" lIns="0" tIns="0" rIns="0" bIns="0" rtlCol="0">
                      <a:noAutofit/>
                    </wps:bodyPr>
                  </wps:wsp>
                </a:graphicData>
              </a:graphic>
            </wp:anchor>
          </w:drawing>
        </mc:Choice>
        <mc:Fallback>
          <w:pict>
            <v:shapetype w14:anchorId="2C079D38" id="_x0000_t202" coordsize="21600,21600" o:spt="202" path="m,l,21600r21600,l21600,xe">
              <v:stroke joinstyle="miter"/>
              <v:path gradientshapeok="t" o:connecttype="rect"/>
            </v:shapetype>
            <v:shape id="Textbox 515" o:spid="_x0000_s1325" type="#_x0000_t202" style="position:absolute;margin-left:41.6pt;margin-top:58.85pt;width:372pt;height:52.3pt;z-index:-307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" filled="f" stroked="f">
              <v:textbox inset="0,0,0,0">
                <w:txbxContent>
                  <w:p w14:paraId="0A999B1D" w14:textId="77777777" w:rsidR="002C6574" w:rsidRDefault="00000000">
                    <w:pPr>
                      <w:spacing w:before="13"/>
                      <w:ind w:left="20" w:right="2366"/>
                      <w:rPr>
                        <w:rFonts w:ascii="Arial" w:hAnsi="Arial"/>
                        <w:b/>
                      </w:rPr>
                    </w:pPr>
                    <w:r>
                      <w:rPr>
                        <w:rFonts w:ascii="Arial" w:hAnsi="Arial"/>
                        <w:b/>
                      </w:rPr>
                      <w:t xml:space="preserve">Comentários </w:t>
                    </w:r>
                    <w:r>
                      <w:rPr>
                        <w:rFonts w:ascii="Arial" w:hAnsi="Arial"/>
                        <w:b/>
                      </w:rPr>
                      <w:t>de Desempenho Telecomunicações</w:t>
                    </w:r>
                    <w:r>
                      <w:rPr>
                        <w:rFonts w:ascii="Arial" w:hAnsi="Arial"/>
                        <w:b/>
                        <w:spacing w:val="-8"/>
                      </w:rPr>
                      <w:t xml:space="preserve"> </w:t>
                    </w:r>
                    <w:r>
                      <w:rPr>
                        <w:rFonts w:ascii="Arial" w:hAnsi="Arial"/>
                        <w:b/>
                      </w:rPr>
                      <w:t>Brasileiras</w:t>
                    </w:r>
                    <w:r>
                      <w:rPr>
                        <w:rFonts w:ascii="Arial" w:hAnsi="Arial"/>
                        <w:b/>
                        <w:spacing w:val="-10"/>
                      </w:rPr>
                      <w:t xml:space="preserve"> </w:t>
                    </w:r>
                    <w:r>
                      <w:rPr>
                        <w:rFonts w:ascii="Arial" w:hAnsi="Arial"/>
                        <w:b/>
                      </w:rPr>
                      <w:t>S.A.</w:t>
                    </w:r>
                    <w:r>
                      <w:rPr>
                        <w:rFonts w:ascii="Arial" w:hAnsi="Arial"/>
                        <w:b/>
                        <w:spacing w:val="-7"/>
                      </w:rPr>
                      <w:t xml:space="preserve"> </w:t>
                    </w:r>
                    <w:r>
                      <w:rPr>
                        <w:rFonts w:ascii="Arial" w:hAnsi="Arial"/>
                        <w:b/>
                      </w:rPr>
                      <w:t>-</w:t>
                    </w:r>
                    <w:r>
                      <w:rPr>
                        <w:rFonts w:ascii="Arial" w:hAnsi="Arial"/>
                        <w:b/>
                        <w:spacing w:val="-11"/>
                      </w:rPr>
                      <w:t xml:space="preserve"> </w:t>
                    </w:r>
                    <w:r>
                      <w:rPr>
                        <w:rFonts w:ascii="Arial" w:hAnsi="Arial"/>
                        <w:b/>
                      </w:rPr>
                      <w:t>TELEBRAS 4º Trimestre de 2025</w:t>
                    </w:r>
                  </w:p>
                  <w:p w14:paraId="41E06773" w14:textId="77777777" w:rsidR="002C6574" w:rsidRDefault="00000000">
                    <w:pPr>
                      <w:ind w:left="20"/>
                      <w:rPr>
                        <w:rFonts w:ascii="Arial MT"/>
                      </w:rPr>
                    </w:pPr>
                    <w:r>
                      <w:rPr>
                        <w:rFonts w:ascii="Arial"/>
                        <w:b/>
                      </w:rPr>
                      <w:t>Valores</w:t>
                    </w:r>
                    <w:r>
                      <w:rPr>
                        <w:rFonts w:ascii="Arial"/>
                        <w:b/>
                        <w:spacing w:val="-6"/>
                      </w:rPr>
                      <w:t xml:space="preserve"> </w:t>
                    </w:r>
                    <w:r>
                      <w:rPr>
                        <w:rFonts w:ascii="Arial"/>
                        <w:b/>
                      </w:rPr>
                      <w:t>em</w:t>
                    </w:r>
                    <w:r>
                      <w:rPr>
                        <w:rFonts w:ascii="Arial"/>
                        <w:b/>
                        <w:spacing w:val="-5"/>
                      </w:rPr>
                      <w:t xml:space="preserve"> </w:t>
                    </w:r>
                    <w:r>
                      <w:rPr>
                        <w:rFonts w:ascii="Arial"/>
                        <w:b/>
                      </w:rPr>
                      <w:t>Milhares</w:t>
                    </w:r>
                    <w:r>
                      <w:rPr>
                        <w:rFonts w:ascii="Arial"/>
                        <w:b/>
                        <w:spacing w:val="-6"/>
                      </w:rPr>
                      <w:t xml:space="preserve"> </w:t>
                    </w:r>
                    <w:r>
                      <w:rPr>
                        <w:rFonts w:ascii="Arial"/>
                        <w:b/>
                      </w:rPr>
                      <w:t>de</w:t>
                    </w:r>
                    <w:r>
                      <w:rPr>
                        <w:rFonts w:ascii="Arial"/>
                        <w:b/>
                        <w:spacing w:val="-6"/>
                      </w:rPr>
                      <w:t xml:space="preserve"> </w:t>
                    </w:r>
                    <w:r>
                      <w:rPr>
                        <w:rFonts w:ascii="Arial"/>
                        <w:b/>
                      </w:rPr>
                      <w:t>Reais,</w:t>
                    </w:r>
                    <w:r>
                      <w:rPr>
                        <w:rFonts w:ascii="Arial"/>
                        <w:b/>
                        <w:spacing w:val="-5"/>
                      </w:rPr>
                      <w:t xml:space="preserve"> </w:t>
                    </w:r>
                    <w:r>
                      <w:rPr>
                        <w:rFonts w:ascii="Arial"/>
                        <w:b/>
                      </w:rPr>
                      <w:t>exceto</w:t>
                    </w:r>
                    <w:r>
                      <w:rPr>
                        <w:rFonts w:ascii="Arial"/>
                        <w:b/>
                        <w:spacing w:val="-6"/>
                      </w:rPr>
                      <w:t xml:space="preserve"> </w:t>
                    </w:r>
                    <w:r>
                      <w:rPr>
                        <w:rFonts w:ascii="Arial"/>
                        <w:b/>
                      </w:rPr>
                      <w:t>quando</w:t>
                    </w:r>
                    <w:r>
                      <w:rPr>
                        <w:rFonts w:ascii="Arial"/>
                        <w:b/>
                        <w:spacing w:val="-6"/>
                      </w:rPr>
                      <w:t xml:space="preserve"> </w:t>
                    </w:r>
                    <w:r>
                      <w:rPr>
                        <w:rFonts w:ascii="Arial"/>
                        <w:b/>
                      </w:rPr>
                      <w:t>indicado</w:t>
                    </w:r>
                    <w:r>
                      <w:rPr>
                        <w:rFonts w:ascii="Arial"/>
                        <w:b/>
                        <w:spacing w:val="-4"/>
                      </w:rPr>
                      <w:t xml:space="preserve"> </w:t>
                    </w:r>
                    <w:r>
                      <w:rPr>
                        <w:rFonts w:ascii="Arial"/>
                        <w:b/>
                      </w:rPr>
                      <w:t>de</w:t>
                    </w:r>
                    <w:r>
                      <w:rPr>
                        <w:rFonts w:ascii="Arial"/>
                        <w:b/>
                        <w:spacing w:val="-7"/>
                      </w:rPr>
                      <w:t xml:space="preserve"> </w:t>
                    </w:r>
                    <w:r>
                      <w:rPr>
                        <w:rFonts w:ascii="Arial"/>
                        <w:b/>
                      </w:rPr>
                      <w:t>outra</w:t>
                    </w:r>
                    <w:r>
                      <w:rPr>
                        <w:rFonts w:ascii="Arial"/>
                        <w:b/>
                        <w:spacing w:val="-5"/>
                      </w:rPr>
                      <w:t xml:space="preserve"> </w:t>
                    </w:r>
                    <w:r>
                      <w:rPr>
                        <w:rFonts w:ascii="Arial"/>
                        <w:b/>
                        <w:spacing w:val="-2"/>
                      </w:rPr>
                      <w:t>forma</w:t>
                    </w:r>
                    <w:r>
                      <w:rPr>
                        <w:rFonts w:ascii="Arial MT"/>
                        <w:spacing w:val="-2"/>
                      </w:rPr>
                      <w: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555F7" w14:textId="77777777" w:rsidR="002C6574" w:rsidRDefault="00000000">
    <w:pPr>
      <w:pStyle w:val="Corpodetexto"/>
      <w:spacing w:line="14" w:lineRule="auto"/>
      <w:rPr>
        <w:sz w:val="20"/>
      </w:rPr>
    </w:pPr>
    <w:r>
      <w:rPr>
        <w:noProof/>
        <w:sz w:val="20"/>
      </w:rPr>
      <w:drawing>
        <wp:anchor distT="0" distB="0" distL="0" distR="0" simplePos="0" relativeHeight="472565760" behindDoc="1" locked="0" layoutInCell="1" allowOverlap="1" wp14:anchorId="75B60700" wp14:editId="63378E33">
          <wp:simplePos x="0" y="0"/>
          <wp:positionH relativeFrom="page">
            <wp:posOffset>5977128</wp:posOffset>
          </wp:positionH>
          <wp:positionV relativeFrom="page">
            <wp:posOffset>198120</wp:posOffset>
          </wp:positionV>
          <wp:extent cx="1146048" cy="344423"/>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 cstate="print"/>
                  <a:stretch>
                    <a:fillRect/>
                  </a:stretch>
                </pic:blipFill>
                <pic:spPr>
                  <a:xfrm>
                    <a:off x="0" y="0"/>
                    <a:ext cx="1146048" cy="344423"/>
                  </a:xfrm>
                  <a:prstGeom prst="rect">
                    <a:avLst/>
                  </a:prstGeom>
                </pic:spPr>
              </pic:pic>
            </a:graphicData>
          </a:graphic>
        </wp:anchor>
      </w:drawing>
    </w:r>
    <w:r>
      <w:rPr>
        <w:noProof/>
        <w:sz w:val="20"/>
      </w:rPr>
      <mc:AlternateContent>
        <mc:Choice Requires="wps">
          <w:drawing>
            <wp:anchor distT="0" distB="0" distL="0" distR="0" simplePos="0" relativeHeight="472566272" behindDoc="1" locked="0" layoutInCell="1" allowOverlap="1" wp14:anchorId="65571676" wp14:editId="5905A833">
              <wp:simplePos x="0" y="0"/>
              <wp:positionH relativeFrom="page">
                <wp:posOffset>480060</wp:posOffset>
              </wp:positionH>
              <wp:positionV relativeFrom="page">
                <wp:posOffset>690372</wp:posOffset>
              </wp:positionV>
              <wp:extent cx="7080884" cy="1841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884" cy="18415"/>
                      </a:xfrm>
                      <a:custGeom>
                        <a:avLst/>
                        <a:gdLst/>
                        <a:ahLst/>
                        <a:cxnLst/>
                        <a:rect l="l" t="t" r="r" b="b"/>
                        <a:pathLst>
                          <a:path w="7080884" h="18415">
                            <a:moveTo>
                              <a:pt x="7080504" y="18288"/>
                            </a:moveTo>
                            <a:lnTo>
                              <a:pt x="0" y="18288"/>
                            </a:lnTo>
                            <a:lnTo>
                              <a:pt x="0" y="0"/>
                            </a:lnTo>
                            <a:lnTo>
                              <a:pt x="7080504" y="0"/>
                            </a:lnTo>
                            <a:lnTo>
                              <a:pt x="7080504" y="18288"/>
                            </a:lnTo>
                            <a:close/>
                          </a:path>
                        </a:pathLst>
                      </a:custGeom>
                      <a:solidFill>
                        <a:srgbClr val="95B3D6"/>
                      </a:solidFill>
                    </wps:spPr>
                    <wps:bodyPr wrap="square" lIns="0" tIns="0" rIns="0" bIns="0" rtlCol="0">
                      <a:prstTxWarp prst="textNoShape">
                        <a:avLst/>
                      </a:prstTxWarp>
                      <a:noAutofit/>
                    </wps:bodyPr>
                  </wps:wsp>
                </a:graphicData>
              </a:graphic>
            </wp:anchor>
          </w:drawing>
        </mc:Choice>
        <mc:Fallback>
          <w:pict>
            <v:shape w14:anchorId="36990FCB" id="Graphic 66" o:spid="_x0000_s1026" style="position:absolute;margin-left:37.8pt;margin-top:54.35pt;width:557.55pt;height:1.45pt;z-index:-30750208;visibility:visible;mso-wrap-style:square;mso-wrap-distance-left:0;mso-wrap-distance-top:0;mso-wrap-distance-right:0;mso-wrap-distance-bottom:0;mso-position-horizontal:absolute;mso-position-horizontal-relative:page;mso-position-vertical:absolute;mso-position-vertical-relative:page;v-text-anchor:top" coordsize="70808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" path="m7080504,18288l,18288,,,7080504,r,18288xe" fillcolor="#95b3d6" stroked="f">
              <v:path arrowok="t"/>
              <w10:wrap anchorx="page" anchory="page"/>
            </v:shape>
          </w:pict>
        </mc:Fallback>
      </mc:AlternateContent>
    </w:r>
    <w:r>
      <w:rPr>
        <w:noProof/>
        <w:sz w:val="20"/>
      </w:rPr>
      <mc:AlternateContent>
        <mc:Choice Requires="wps">
          <w:drawing>
            <wp:anchor distT="0" distB="0" distL="0" distR="0" simplePos="0" relativeHeight="472566784" behindDoc="1" locked="0" layoutInCell="1" allowOverlap="1" wp14:anchorId="4912859E" wp14:editId="669CD71D">
              <wp:simplePos x="0" y="0"/>
              <wp:positionH relativeFrom="page">
                <wp:posOffset>899160</wp:posOffset>
              </wp:positionH>
              <wp:positionV relativeFrom="page">
                <wp:posOffset>723900</wp:posOffset>
              </wp:positionV>
              <wp:extent cx="6661784" cy="1841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8415"/>
                      </a:xfrm>
                      <a:custGeom>
                        <a:avLst/>
                        <a:gdLst/>
                        <a:ahLst/>
                        <a:cxnLst/>
                        <a:rect l="l" t="t" r="r" b="b"/>
                        <a:pathLst>
                          <a:path w="6661784" h="18415">
                            <a:moveTo>
                              <a:pt x="6661404" y="18288"/>
                            </a:moveTo>
                            <a:lnTo>
                              <a:pt x="0" y="18288"/>
                            </a:lnTo>
                            <a:lnTo>
                              <a:pt x="0" y="0"/>
                            </a:lnTo>
                            <a:lnTo>
                              <a:pt x="6661404" y="0"/>
                            </a:lnTo>
                            <a:lnTo>
                              <a:pt x="6661404" y="18288"/>
                            </a:lnTo>
                            <a:close/>
                          </a:path>
                        </a:pathLst>
                      </a:custGeom>
                      <a:solidFill>
                        <a:srgbClr val="215967"/>
                      </a:solidFill>
                    </wps:spPr>
                    <wps:bodyPr wrap="square" lIns="0" tIns="0" rIns="0" bIns="0" rtlCol="0">
                      <a:prstTxWarp prst="textNoShape">
                        <a:avLst/>
                      </a:prstTxWarp>
                      <a:noAutofit/>
                    </wps:bodyPr>
                  </wps:wsp>
                </a:graphicData>
              </a:graphic>
            </wp:anchor>
          </w:drawing>
        </mc:Choice>
        <mc:Fallback>
          <w:pict>
            <v:shape w14:anchorId="2CFD47FF" id="Graphic 67" o:spid="_x0000_s1026" style="position:absolute;margin-left:70.8pt;margin-top:57pt;width:524.55pt;height:1.45pt;z-index:-30749696;visibility:visible;mso-wrap-style:square;mso-wrap-distance-left:0;mso-wrap-distance-top:0;mso-wrap-distance-right:0;mso-wrap-distance-bottom:0;mso-position-horizontal:absolute;mso-position-horizontal-relative:page;mso-position-vertical:absolute;mso-position-vertical-relative:page;v-text-anchor:top" coordsize="66617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" path="m6661404,18288l,18288,,,6661404,r,18288xe" fillcolor="#215967" stroked="f">
              <v:path arrowok="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C58FD" w14:textId="77777777" w:rsidR="002C6574" w:rsidRDefault="00000000">
    <w:pPr>
      <w:pStyle w:val="Corpodetexto"/>
      <w:spacing w:line="14" w:lineRule="auto"/>
      <w:rPr>
        <w:sz w:val="20"/>
      </w:rPr>
    </w:pPr>
    <w:r>
      <w:rPr>
        <w:noProof/>
        <w:sz w:val="20"/>
      </w:rPr>
      <w:drawing>
        <wp:anchor distT="0" distB="0" distL="0" distR="0" simplePos="0" relativeHeight="472567808" behindDoc="1" locked="0" layoutInCell="1" allowOverlap="1" wp14:anchorId="44FB69C0" wp14:editId="7C14C4F6">
          <wp:simplePos x="0" y="0"/>
          <wp:positionH relativeFrom="page">
            <wp:posOffset>5977128</wp:posOffset>
          </wp:positionH>
          <wp:positionV relativeFrom="page">
            <wp:posOffset>198120</wp:posOffset>
          </wp:positionV>
          <wp:extent cx="1146048" cy="344423"/>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 cstate="print"/>
                  <a:stretch>
                    <a:fillRect/>
                  </a:stretch>
                </pic:blipFill>
                <pic:spPr>
                  <a:xfrm>
                    <a:off x="0" y="0"/>
                    <a:ext cx="1146048" cy="344423"/>
                  </a:xfrm>
                  <a:prstGeom prst="rect">
                    <a:avLst/>
                  </a:prstGeom>
                </pic:spPr>
              </pic:pic>
            </a:graphicData>
          </a:graphic>
        </wp:anchor>
      </w:drawing>
    </w:r>
    <w:r>
      <w:rPr>
        <w:noProof/>
        <w:sz w:val="20"/>
      </w:rPr>
      <mc:AlternateContent>
        <mc:Choice Requires="wps">
          <w:drawing>
            <wp:anchor distT="0" distB="0" distL="0" distR="0" simplePos="0" relativeHeight="472568320" behindDoc="1" locked="0" layoutInCell="1" allowOverlap="1" wp14:anchorId="43D505E1" wp14:editId="5E4F73F6">
              <wp:simplePos x="0" y="0"/>
              <wp:positionH relativeFrom="page">
                <wp:posOffset>480060</wp:posOffset>
              </wp:positionH>
              <wp:positionV relativeFrom="page">
                <wp:posOffset>690372</wp:posOffset>
              </wp:positionV>
              <wp:extent cx="7080884" cy="1841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884" cy="18415"/>
                      </a:xfrm>
                      <a:custGeom>
                        <a:avLst/>
                        <a:gdLst/>
                        <a:ahLst/>
                        <a:cxnLst/>
                        <a:rect l="l" t="t" r="r" b="b"/>
                        <a:pathLst>
                          <a:path w="7080884" h="18415">
                            <a:moveTo>
                              <a:pt x="7080504" y="18288"/>
                            </a:moveTo>
                            <a:lnTo>
                              <a:pt x="0" y="18288"/>
                            </a:lnTo>
                            <a:lnTo>
                              <a:pt x="0" y="0"/>
                            </a:lnTo>
                            <a:lnTo>
                              <a:pt x="7080504" y="0"/>
                            </a:lnTo>
                            <a:lnTo>
                              <a:pt x="7080504" y="18288"/>
                            </a:lnTo>
                            <a:close/>
                          </a:path>
                        </a:pathLst>
                      </a:custGeom>
                      <a:solidFill>
                        <a:srgbClr val="95B3D6"/>
                      </a:solidFill>
                    </wps:spPr>
                    <wps:bodyPr wrap="square" lIns="0" tIns="0" rIns="0" bIns="0" rtlCol="0">
                      <a:prstTxWarp prst="textNoShape">
                        <a:avLst/>
                      </a:prstTxWarp>
                      <a:noAutofit/>
                    </wps:bodyPr>
                  </wps:wsp>
                </a:graphicData>
              </a:graphic>
            </wp:anchor>
          </w:drawing>
        </mc:Choice>
        <mc:Fallback>
          <w:pict>
            <v:shape w14:anchorId="01F3F8EA" id="Graphic 70" o:spid="_x0000_s1026" style="position:absolute;margin-left:37.8pt;margin-top:54.35pt;width:557.55pt;height:1.45pt;z-index:-30748160;visibility:visible;mso-wrap-style:square;mso-wrap-distance-left:0;mso-wrap-distance-top:0;mso-wrap-distance-right:0;mso-wrap-distance-bottom:0;mso-position-horizontal:absolute;mso-position-horizontal-relative:page;mso-position-vertical:absolute;mso-position-vertical-relative:page;v-text-anchor:top" coordsize="70808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" path="m7080504,18288l,18288,,,7080504,r,18288xe" fillcolor="#95b3d6" stroked="f">
              <v:path arrowok="t"/>
              <w10:wrap anchorx="page" anchory="page"/>
            </v:shape>
          </w:pict>
        </mc:Fallback>
      </mc:AlternateContent>
    </w:r>
    <w:r>
      <w:rPr>
        <w:noProof/>
        <w:sz w:val="20"/>
      </w:rPr>
      <mc:AlternateContent>
        <mc:Choice Requires="wps">
          <w:drawing>
            <wp:anchor distT="0" distB="0" distL="0" distR="0" simplePos="0" relativeHeight="472568832" behindDoc="1" locked="0" layoutInCell="1" allowOverlap="1" wp14:anchorId="29207B70" wp14:editId="5E2C2DB6">
              <wp:simplePos x="0" y="0"/>
              <wp:positionH relativeFrom="page">
                <wp:posOffset>899160</wp:posOffset>
              </wp:positionH>
              <wp:positionV relativeFrom="page">
                <wp:posOffset>723900</wp:posOffset>
              </wp:positionV>
              <wp:extent cx="6661784" cy="1841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8415"/>
                      </a:xfrm>
                      <a:custGeom>
                        <a:avLst/>
                        <a:gdLst/>
                        <a:ahLst/>
                        <a:cxnLst/>
                        <a:rect l="l" t="t" r="r" b="b"/>
                        <a:pathLst>
                          <a:path w="6661784" h="18415">
                            <a:moveTo>
                              <a:pt x="6661404" y="18288"/>
                            </a:moveTo>
                            <a:lnTo>
                              <a:pt x="0" y="18288"/>
                            </a:lnTo>
                            <a:lnTo>
                              <a:pt x="0" y="0"/>
                            </a:lnTo>
                            <a:lnTo>
                              <a:pt x="6661404" y="0"/>
                            </a:lnTo>
                            <a:lnTo>
                              <a:pt x="6661404" y="18288"/>
                            </a:lnTo>
                            <a:close/>
                          </a:path>
                        </a:pathLst>
                      </a:custGeom>
                      <a:solidFill>
                        <a:srgbClr val="215967"/>
                      </a:solidFill>
                    </wps:spPr>
                    <wps:bodyPr wrap="square" lIns="0" tIns="0" rIns="0" bIns="0" rtlCol="0">
                      <a:prstTxWarp prst="textNoShape">
                        <a:avLst/>
                      </a:prstTxWarp>
                      <a:noAutofit/>
                    </wps:bodyPr>
                  </wps:wsp>
                </a:graphicData>
              </a:graphic>
            </wp:anchor>
          </w:drawing>
        </mc:Choice>
        <mc:Fallback>
          <w:pict>
            <v:shape w14:anchorId="59E2590A" id="Graphic 71" o:spid="_x0000_s1026" style="position:absolute;margin-left:70.8pt;margin-top:57pt;width:524.55pt;height:1.45pt;z-index:-30747648;visibility:visible;mso-wrap-style:square;mso-wrap-distance-left:0;mso-wrap-distance-top:0;mso-wrap-distance-right:0;mso-wrap-distance-bottom:0;mso-position-horizontal:absolute;mso-position-horizontal-relative:page;mso-position-vertical:absolute;mso-position-vertical-relative:page;v-text-anchor:top" coordsize="66617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" path="m6661404,18288l,18288,,,6661404,r,18288xe" fillcolor="#215967" stroked="f">
              <v:path arrowok="t"/>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BFED" w14:textId="77777777" w:rsidR="002C6574" w:rsidRDefault="00000000">
    <w:pPr>
      <w:pStyle w:val="Corpodetexto"/>
      <w:spacing w:line="14" w:lineRule="auto"/>
      <w:rPr>
        <w:sz w:val="20"/>
      </w:rPr>
    </w:pPr>
    <w:r>
      <w:rPr>
        <w:noProof/>
        <w:sz w:val="20"/>
      </w:rPr>
      <w:drawing>
        <wp:anchor distT="0" distB="0" distL="0" distR="0" simplePos="0" relativeHeight="472569856" behindDoc="1" locked="0" layoutInCell="1" allowOverlap="1" wp14:anchorId="2A838A51" wp14:editId="135E0C89">
          <wp:simplePos x="0" y="0"/>
          <wp:positionH relativeFrom="page">
            <wp:posOffset>6144767</wp:posOffset>
          </wp:positionH>
          <wp:positionV relativeFrom="page">
            <wp:posOffset>188976</wp:posOffset>
          </wp:positionV>
          <wp:extent cx="1146048" cy="344423"/>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 cstate="print"/>
                  <a:stretch>
                    <a:fillRect/>
                  </a:stretch>
                </pic:blipFill>
                <pic:spPr>
                  <a:xfrm>
                    <a:off x="0" y="0"/>
                    <a:ext cx="1146048" cy="344423"/>
                  </a:xfrm>
                  <a:prstGeom prst="rect">
                    <a:avLst/>
                  </a:prstGeom>
                </pic:spPr>
              </pic:pic>
            </a:graphicData>
          </a:graphic>
        </wp:anchor>
      </w:drawing>
    </w:r>
    <w:r>
      <w:rPr>
        <w:noProof/>
        <w:sz w:val="20"/>
      </w:rPr>
      <mc:AlternateContent>
        <mc:Choice Requires="wps">
          <w:drawing>
            <wp:anchor distT="0" distB="0" distL="0" distR="0" simplePos="0" relativeHeight="472570368" behindDoc="1" locked="0" layoutInCell="1" allowOverlap="1" wp14:anchorId="1A13A5B6" wp14:editId="7EC8E498">
              <wp:simplePos x="0" y="0"/>
              <wp:positionH relativeFrom="page">
                <wp:posOffset>480060</wp:posOffset>
              </wp:positionH>
              <wp:positionV relativeFrom="page">
                <wp:posOffset>653796</wp:posOffset>
              </wp:positionV>
              <wp:extent cx="7080884" cy="1841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884" cy="18415"/>
                      </a:xfrm>
                      <a:custGeom>
                        <a:avLst/>
                        <a:gdLst/>
                        <a:ahLst/>
                        <a:cxnLst/>
                        <a:rect l="l" t="t" r="r" b="b"/>
                        <a:pathLst>
                          <a:path w="7080884" h="18415">
                            <a:moveTo>
                              <a:pt x="7080504" y="18288"/>
                            </a:moveTo>
                            <a:lnTo>
                              <a:pt x="0" y="18288"/>
                            </a:lnTo>
                            <a:lnTo>
                              <a:pt x="0" y="0"/>
                            </a:lnTo>
                            <a:lnTo>
                              <a:pt x="7080504" y="0"/>
                            </a:lnTo>
                            <a:lnTo>
                              <a:pt x="7080504" y="18288"/>
                            </a:lnTo>
                            <a:close/>
                          </a:path>
                        </a:pathLst>
                      </a:custGeom>
                      <a:solidFill>
                        <a:srgbClr val="95B3D6"/>
                      </a:solidFill>
                    </wps:spPr>
                    <wps:bodyPr wrap="square" lIns="0" tIns="0" rIns="0" bIns="0" rtlCol="0">
                      <a:prstTxWarp prst="textNoShape">
                        <a:avLst/>
                      </a:prstTxWarp>
                      <a:noAutofit/>
                    </wps:bodyPr>
                  </wps:wsp>
                </a:graphicData>
              </a:graphic>
            </wp:anchor>
          </w:drawing>
        </mc:Choice>
        <mc:Fallback>
          <w:pict>
            <v:shape w14:anchorId="40717F2C" id="Graphic 74" o:spid="_x0000_s1026" style="position:absolute;margin-left:37.8pt;margin-top:51.5pt;width:557.55pt;height:1.45pt;z-index:-30746112;visibility:visible;mso-wrap-style:square;mso-wrap-distance-left:0;mso-wrap-distance-top:0;mso-wrap-distance-right:0;mso-wrap-distance-bottom:0;mso-position-horizontal:absolute;mso-position-horizontal-relative:page;mso-position-vertical:absolute;mso-position-vertical-relative:page;v-text-anchor:top" coordsize="70808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" path="m7080504,18288l,18288,,,7080504,r,18288xe" fillcolor="#95b3d6" stroked="f">
              <v:path arrowok="t"/>
              <w10:wrap anchorx="page" anchory="page"/>
            </v:shape>
          </w:pict>
        </mc:Fallback>
      </mc:AlternateContent>
    </w:r>
    <w:r>
      <w:rPr>
        <w:noProof/>
        <w:sz w:val="20"/>
      </w:rPr>
      <mc:AlternateContent>
        <mc:Choice Requires="wps">
          <w:drawing>
            <wp:anchor distT="0" distB="0" distL="0" distR="0" simplePos="0" relativeHeight="472570880" behindDoc="1" locked="0" layoutInCell="1" allowOverlap="1" wp14:anchorId="7BF6A53C" wp14:editId="402DDF1D">
              <wp:simplePos x="0" y="0"/>
              <wp:positionH relativeFrom="page">
                <wp:posOffset>899160</wp:posOffset>
              </wp:positionH>
              <wp:positionV relativeFrom="page">
                <wp:posOffset>688848</wp:posOffset>
              </wp:positionV>
              <wp:extent cx="6661784" cy="1841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8415"/>
                      </a:xfrm>
                      <a:custGeom>
                        <a:avLst/>
                        <a:gdLst/>
                        <a:ahLst/>
                        <a:cxnLst/>
                        <a:rect l="l" t="t" r="r" b="b"/>
                        <a:pathLst>
                          <a:path w="6661784" h="18415">
                            <a:moveTo>
                              <a:pt x="6661404" y="18288"/>
                            </a:moveTo>
                            <a:lnTo>
                              <a:pt x="0" y="18288"/>
                            </a:lnTo>
                            <a:lnTo>
                              <a:pt x="0" y="0"/>
                            </a:lnTo>
                            <a:lnTo>
                              <a:pt x="6661404" y="0"/>
                            </a:lnTo>
                            <a:lnTo>
                              <a:pt x="6661404" y="18288"/>
                            </a:lnTo>
                            <a:close/>
                          </a:path>
                        </a:pathLst>
                      </a:custGeom>
                      <a:solidFill>
                        <a:srgbClr val="215967"/>
                      </a:solidFill>
                    </wps:spPr>
                    <wps:bodyPr wrap="square" lIns="0" tIns="0" rIns="0" bIns="0" rtlCol="0">
                      <a:prstTxWarp prst="textNoShape">
                        <a:avLst/>
                      </a:prstTxWarp>
                      <a:noAutofit/>
                    </wps:bodyPr>
                  </wps:wsp>
                </a:graphicData>
              </a:graphic>
            </wp:anchor>
          </w:drawing>
        </mc:Choice>
        <mc:Fallback>
          <w:pict>
            <v:shape w14:anchorId="78C29A4E" id="Graphic 75" o:spid="_x0000_s1026" style="position:absolute;margin-left:70.8pt;margin-top:54.25pt;width:524.55pt;height:1.45pt;z-index:-30745600;visibility:visible;mso-wrap-style:square;mso-wrap-distance-left:0;mso-wrap-distance-top:0;mso-wrap-distance-right:0;mso-wrap-distance-bottom:0;mso-position-horizontal:absolute;mso-position-horizontal-relative:page;mso-position-vertical:absolute;mso-position-vertical-relative:page;v-text-anchor:top" coordsize="66617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" path="m6661404,18288l,18288,,,6661404,r,18288xe" fillcolor="#215967" stroked="f">
              <v:path arrowok="t"/>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671BA" w14:textId="77777777" w:rsidR="002C6574" w:rsidRDefault="00000000">
    <w:pPr>
      <w:pStyle w:val="Corpodetexto"/>
      <w:spacing w:line="14" w:lineRule="auto"/>
      <w:rPr>
        <w:sz w:val="20"/>
      </w:rPr>
    </w:pPr>
    <w:r>
      <w:rPr>
        <w:noProof/>
        <w:sz w:val="20"/>
      </w:rPr>
      <w:drawing>
        <wp:anchor distT="0" distB="0" distL="0" distR="0" simplePos="0" relativeHeight="472571904" behindDoc="1" locked="0" layoutInCell="1" allowOverlap="1" wp14:anchorId="29DEE582" wp14:editId="671763AC">
          <wp:simplePos x="0" y="0"/>
          <wp:positionH relativeFrom="page">
            <wp:posOffset>6096000</wp:posOffset>
          </wp:positionH>
          <wp:positionV relativeFrom="page">
            <wp:posOffset>182880</wp:posOffset>
          </wp:positionV>
          <wp:extent cx="1146047" cy="344423"/>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 cstate="print"/>
                  <a:stretch>
                    <a:fillRect/>
                  </a:stretch>
                </pic:blipFill>
                <pic:spPr>
                  <a:xfrm>
                    <a:off x="0" y="0"/>
                    <a:ext cx="1146047" cy="344423"/>
                  </a:xfrm>
                  <a:prstGeom prst="rect">
                    <a:avLst/>
                  </a:prstGeom>
                </pic:spPr>
              </pic:pic>
            </a:graphicData>
          </a:graphic>
        </wp:anchor>
      </w:drawing>
    </w:r>
    <w:r>
      <w:rPr>
        <w:noProof/>
        <w:sz w:val="20"/>
      </w:rPr>
      <mc:AlternateContent>
        <mc:Choice Requires="wps">
          <w:drawing>
            <wp:anchor distT="0" distB="0" distL="0" distR="0" simplePos="0" relativeHeight="472572416" behindDoc="1" locked="0" layoutInCell="1" allowOverlap="1" wp14:anchorId="0757A736" wp14:editId="48B68168">
              <wp:simplePos x="0" y="0"/>
              <wp:positionH relativeFrom="page">
                <wp:posOffset>480060</wp:posOffset>
              </wp:positionH>
              <wp:positionV relativeFrom="page">
                <wp:posOffset>653796</wp:posOffset>
              </wp:positionV>
              <wp:extent cx="7080884" cy="1841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884" cy="18415"/>
                      </a:xfrm>
                      <a:custGeom>
                        <a:avLst/>
                        <a:gdLst/>
                        <a:ahLst/>
                        <a:cxnLst/>
                        <a:rect l="l" t="t" r="r" b="b"/>
                        <a:pathLst>
                          <a:path w="7080884" h="18415">
                            <a:moveTo>
                              <a:pt x="7080504" y="18288"/>
                            </a:moveTo>
                            <a:lnTo>
                              <a:pt x="0" y="18288"/>
                            </a:lnTo>
                            <a:lnTo>
                              <a:pt x="0" y="0"/>
                            </a:lnTo>
                            <a:lnTo>
                              <a:pt x="7080504" y="0"/>
                            </a:lnTo>
                            <a:lnTo>
                              <a:pt x="7080504" y="18288"/>
                            </a:lnTo>
                            <a:close/>
                          </a:path>
                        </a:pathLst>
                      </a:custGeom>
                      <a:solidFill>
                        <a:srgbClr val="95B3D6"/>
                      </a:solidFill>
                    </wps:spPr>
                    <wps:bodyPr wrap="square" lIns="0" tIns="0" rIns="0" bIns="0" rtlCol="0">
                      <a:prstTxWarp prst="textNoShape">
                        <a:avLst/>
                      </a:prstTxWarp>
                      <a:noAutofit/>
                    </wps:bodyPr>
                  </wps:wsp>
                </a:graphicData>
              </a:graphic>
            </wp:anchor>
          </w:drawing>
        </mc:Choice>
        <mc:Fallback>
          <w:pict>
            <v:shape w14:anchorId="4E5B5D8F" id="Graphic 96" o:spid="_x0000_s1026" style="position:absolute;margin-left:37.8pt;margin-top:51.5pt;width:557.55pt;height:1.45pt;z-index:-30744064;visibility:visible;mso-wrap-style:square;mso-wrap-distance-left:0;mso-wrap-distance-top:0;mso-wrap-distance-right:0;mso-wrap-distance-bottom:0;mso-position-horizontal:absolute;mso-position-horizontal-relative:page;mso-position-vertical:absolute;mso-position-vertical-relative:page;v-text-anchor:top" coordsize="70808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" path="m7080504,18288l,18288,,,7080504,r,18288xe" fillcolor="#95b3d6" stroked="f">
              <v:path arrowok="t"/>
              <w10:wrap anchorx="page" anchory="page"/>
            </v:shape>
          </w:pict>
        </mc:Fallback>
      </mc:AlternateContent>
    </w:r>
    <w:r>
      <w:rPr>
        <w:noProof/>
        <w:sz w:val="20"/>
      </w:rPr>
      <mc:AlternateContent>
        <mc:Choice Requires="wps">
          <w:drawing>
            <wp:anchor distT="0" distB="0" distL="0" distR="0" simplePos="0" relativeHeight="472572928" behindDoc="1" locked="0" layoutInCell="1" allowOverlap="1" wp14:anchorId="1C8F54DD" wp14:editId="41B77335">
              <wp:simplePos x="0" y="0"/>
              <wp:positionH relativeFrom="page">
                <wp:posOffset>899160</wp:posOffset>
              </wp:positionH>
              <wp:positionV relativeFrom="page">
                <wp:posOffset>688848</wp:posOffset>
              </wp:positionV>
              <wp:extent cx="6661784" cy="1841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1784" cy="18415"/>
                      </a:xfrm>
                      <a:custGeom>
                        <a:avLst/>
                        <a:gdLst/>
                        <a:ahLst/>
                        <a:cxnLst/>
                        <a:rect l="l" t="t" r="r" b="b"/>
                        <a:pathLst>
                          <a:path w="6661784" h="18415">
                            <a:moveTo>
                              <a:pt x="6661404" y="18288"/>
                            </a:moveTo>
                            <a:lnTo>
                              <a:pt x="0" y="18288"/>
                            </a:lnTo>
                            <a:lnTo>
                              <a:pt x="0" y="0"/>
                            </a:lnTo>
                            <a:lnTo>
                              <a:pt x="6661404" y="0"/>
                            </a:lnTo>
                            <a:lnTo>
                              <a:pt x="6661404" y="18288"/>
                            </a:lnTo>
                            <a:close/>
                          </a:path>
                        </a:pathLst>
                      </a:custGeom>
                      <a:solidFill>
                        <a:srgbClr val="215967"/>
                      </a:solidFill>
                    </wps:spPr>
                    <wps:bodyPr wrap="square" lIns="0" tIns="0" rIns="0" bIns="0" rtlCol="0">
                      <a:prstTxWarp prst="textNoShape">
                        <a:avLst/>
                      </a:prstTxWarp>
                      <a:noAutofit/>
                    </wps:bodyPr>
                  </wps:wsp>
                </a:graphicData>
              </a:graphic>
            </wp:anchor>
          </w:drawing>
        </mc:Choice>
        <mc:Fallback>
          <w:pict>
            <v:shape w14:anchorId="4016B1EC" id="Graphic 97" o:spid="_x0000_s1026" style="position:absolute;margin-left:70.8pt;margin-top:54.25pt;width:524.55pt;height:1.45pt;z-index:-30743552;visibility:visible;mso-wrap-style:square;mso-wrap-distance-left:0;mso-wrap-distance-top:0;mso-wrap-distance-right:0;mso-wrap-distance-bottom:0;mso-position-horizontal:absolute;mso-position-horizontal-relative:page;mso-position-vertical:absolute;mso-position-vertical-relative:page;v-text-anchor:top" coordsize="66617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" path="m6661404,18288l,18288,,,6661404,r,18288xe" fillcolor="#215967"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42D8E"/>
    <w:multiLevelType w:val="hybridMultilevel"/>
    <w:tmpl w:val="BC7A073A"/>
    <w:lvl w:ilvl="0" w:tplc="98CA2C20">
      <w:start w:val="1"/>
      <w:numFmt w:val="lowerRoman"/>
      <w:lvlText w:val="%1)"/>
      <w:lvlJc w:val="left"/>
      <w:pPr>
        <w:ind w:left="340" w:hanging="197"/>
        <w:jc w:val="left"/>
      </w:pPr>
      <w:rPr>
        <w:rFonts w:ascii="Arial" w:eastAsia="Arial" w:hAnsi="Arial" w:cs="Arial" w:hint="default"/>
        <w:b/>
        <w:bCs/>
        <w:i w:val="0"/>
        <w:iCs w:val="0"/>
        <w:spacing w:val="0"/>
        <w:w w:val="100"/>
        <w:sz w:val="22"/>
        <w:szCs w:val="22"/>
        <w:lang w:val="pt-PT" w:eastAsia="en-US" w:bidi="ar-SA"/>
      </w:rPr>
    </w:lvl>
    <w:lvl w:ilvl="1" w:tplc="0B7855D4">
      <w:numFmt w:val="bullet"/>
      <w:lvlText w:val="•"/>
      <w:lvlJc w:val="left"/>
      <w:pPr>
        <w:ind w:left="1369" w:hanging="197"/>
      </w:pPr>
      <w:rPr>
        <w:rFonts w:hint="default"/>
        <w:lang w:val="pt-PT" w:eastAsia="en-US" w:bidi="ar-SA"/>
      </w:rPr>
    </w:lvl>
    <w:lvl w:ilvl="2" w:tplc="F90495A4">
      <w:numFmt w:val="bullet"/>
      <w:lvlText w:val="•"/>
      <w:lvlJc w:val="left"/>
      <w:pPr>
        <w:ind w:left="2398" w:hanging="197"/>
      </w:pPr>
      <w:rPr>
        <w:rFonts w:hint="default"/>
        <w:lang w:val="pt-PT" w:eastAsia="en-US" w:bidi="ar-SA"/>
      </w:rPr>
    </w:lvl>
    <w:lvl w:ilvl="3" w:tplc="20EC7040">
      <w:numFmt w:val="bullet"/>
      <w:lvlText w:val="•"/>
      <w:lvlJc w:val="left"/>
      <w:pPr>
        <w:ind w:left="3427" w:hanging="197"/>
      </w:pPr>
      <w:rPr>
        <w:rFonts w:hint="default"/>
        <w:lang w:val="pt-PT" w:eastAsia="en-US" w:bidi="ar-SA"/>
      </w:rPr>
    </w:lvl>
    <w:lvl w:ilvl="4" w:tplc="B09E1D5C">
      <w:numFmt w:val="bullet"/>
      <w:lvlText w:val="•"/>
      <w:lvlJc w:val="left"/>
      <w:pPr>
        <w:ind w:left="4456" w:hanging="197"/>
      </w:pPr>
      <w:rPr>
        <w:rFonts w:hint="default"/>
        <w:lang w:val="pt-PT" w:eastAsia="en-US" w:bidi="ar-SA"/>
      </w:rPr>
    </w:lvl>
    <w:lvl w:ilvl="5" w:tplc="BFC20688">
      <w:numFmt w:val="bullet"/>
      <w:lvlText w:val="•"/>
      <w:lvlJc w:val="left"/>
      <w:pPr>
        <w:ind w:left="5486" w:hanging="197"/>
      </w:pPr>
      <w:rPr>
        <w:rFonts w:hint="default"/>
        <w:lang w:val="pt-PT" w:eastAsia="en-US" w:bidi="ar-SA"/>
      </w:rPr>
    </w:lvl>
    <w:lvl w:ilvl="6" w:tplc="DAFA3C50">
      <w:numFmt w:val="bullet"/>
      <w:lvlText w:val="•"/>
      <w:lvlJc w:val="left"/>
      <w:pPr>
        <w:ind w:left="6515" w:hanging="197"/>
      </w:pPr>
      <w:rPr>
        <w:rFonts w:hint="default"/>
        <w:lang w:val="pt-PT" w:eastAsia="en-US" w:bidi="ar-SA"/>
      </w:rPr>
    </w:lvl>
    <w:lvl w:ilvl="7" w:tplc="36EC6D56">
      <w:numFmt w:val="bullet"/>
      <w:lvlText w:val="•"/>
      <w:lvlJc w:val="left"/>
      <w:pPr>
        <w:ind w:left="7544" w:hanging="197"/>
      </w:pPr>
      <w:rPr>
        <w:rFonts w:hint="default"/>
        <w:lang w:val="pt-PT" w:eastAsia="en-US" w:bidi="ar-SA"/>
      </w:rPr>
    </w:lvl>
    <w:lvl w:ilvl="8" w:tplc="1996D79E">
      <w:numFmt w:val="bullet"/>
      <w:lvlText w:val="•"/>
      <w:lvlJc w:val="left"/>
      <w:pPr>
        <w:ind w:left="8573" w:hanging="197"/>
      </w:pPr>
      <w:rPr>
        <w:rFonts w:hint="default"/>
        <w:lang w:val="pt-PT" w:eastAsia="en-US" w:bidi="ar-SA"/>
      </w:rPr>
    </w:lvl>
  </w:abstractNum>
  <w:abstractNum w:abstractNumId="1" w15:restartNumberingAfterBreak="0">
    <w:nsid w:val="03BB4D4A"/>
    <w:multiLevelType w:val="hybridMultilevel"/>
    <w:tmpl w:val="95FC51A8"/>
    <w:lvl w:ilvl="0" w:tplc="ED6CD268">
      <w:numFmt w:val="bullet"/>
      <w:lvlText w:val=""/>
      <w:lvlJc w:val="left"/>
      <w:pPr>
        <w:ind w:left="1997" w:hanging="360"/>
      </w:pPr>
      <w:rPr>
        <w:rFonts w:ascii="Symbol" w:eastAsia="Symbol" w:hAnsi="Symbol" w:cs="Symbol" w:hint="default"/>
        <w:b w:val="0"/>
        <w:bCs w:val="0"/>
        <w:i w:val="0"/>
        <w:iCs w:val="0"/>
        <w:color w:val="001F5F"/>
        <w:spacing w:val="0"/>
        <w:w w:val="100"/>
        <w:sz w:val="24"/>
        <w:szCs w:val="24"/>
        <w:lang w:val="pt-PT" w:eastAsia="en-US" w:bidi="ar-SA"/>
      </w:rPr>
    </w:lvl>
    <w:lvl w:ilvl="1" w:tplc="5FEC6E14">
      <w:numFmt w:val="bullet"/>
      <w:lvlText w:val="•"/>
      <w:lvlJc w:val="left"/>
      <w:pPr>
        <w:ind w:left="2939" w:hanging="360"/>
      </w:pPr>
      <w:rPr>
        <w:rFonts w:hint="default"/>
        <w:lang w:val="pt-PT" w:eastAsia="en-US" w:bidi="ar-SA"/>
      </w:rPr>
    </w:lvl>
    <w:lvl w:ilvl="2" w:tplc="6FD834E0">
      <w:numFmt w:val="bullet"/>
      <w:lvlText w:val="•"/>
      <w:lvlJc w:val="left"/>
      <w:pPr>
        <w:ind w:left="3878" w:hanging="360"/>
      </w:pPr>
      <w:rPr>
        <w:rFonts w:hint="default"/>
        <w:lang w:val="pt-PT" w:eastAsia="en-US" w:bidi="ar-SA"/>
      </w:rPr>
    </w:lvl>
    <w:lvl w:ilvl="3" w:tplc="E6EA4296">
      <w:numFmt w:val="bullet"/>
      <w:lvlText w:val="•"/>
      <w:lvlJc w:val="left"/>
      <w:pPr>
        <w:ind w:left="4817" w:hanging="360"/>
      </w:pPr>
      <w:rPr>
        <w:rFonts w:hint="default"/>
        <w:lang w:val="pt-PT" w:eastAsia="en-US" w:bidi="ar-SA"/>
      </w:rPr>
    </w:lvl>
    <w:lvl w:ilvl="4" w:tplc="E640D042">
      <w:numFmt w:val="bullet"/>
      <w:lvlText w:val="•"/>
      <w:lvlJc w:val="left"/>
      <w:pPr>
        <w:ind w:left="5756" w:hanging="360"/>
      </w:pPr>
      <w:rPr>
        <w:rFonts w:hint="default"/>
        <w:lang w:val="pt-PT" w:eastAsia="en-US" w:bidi="ar-SA"/>
      </w:rPr>
    </w:lvl>
    <w:lvl w:ilvl="5" w:tplc="32D6B46E">
      <w:numFmt w:val="bullet"/>
      <w:lvlText w:val="•"/>
      <w:lvlJc w:val="left"/>
      <w:pPr>
        <w:ind w:left="6695" w:hanging="360"/>
      </w:pPr>
      <w:rPr>
        <w:rFonts w:hint="default"/>
        <w:lang w:val="pt-PT" w:eastAsia="en-US" w:bidi="ar-SA"/>
      </w:rPr>
    </w:lvl>
    <w:lvl w:ilvl="6" w:tplc="8E443FFC">
      <w:numFmt w:val="bullet"/>
      <w:lvlText w:val="•"/>
      <w:lvlJc w:val="left"/>
      <w:pPr>
        <w:ind w:left="7634" w:hanging="360"/>
      </w:pPr>
      <w:rPr>
        <w:rFonts w:hint="default"/>
        <w:lang w:val="pt-PT" w:eastAsia="en-US" w:bidi="ar-SA"/>
      </w:rPr>
    </w:lvl>
    <w:lvl w:ilvl="7" w:tplc="1166F65E">
      <w:numFmt w:val="bullet"/>
      <w:lvlText w:val="•"/>
      <w:lvlJc w:val="left"/>
      <w:pPr>
        <w:ind w:left="8573" w:hanging="360"/>
      </w:pPr>
      <w:rPr>
        <w:rFonts w:hint="default"/>
        <w:lang w:val="pt-PT" w:eastAsia="en-US" w:bidi="ar-SA"/>
      </w:rPr>
    </w:lvl>
    <w:lvl w:ilvl="8" w:tplc="1F16089C">
      <w:numFmt w:val="bullet"/>
      <w:lvlText w:val="•"/>
      <w:lvlJc w:val="left"/>
      <w:pPr>
        <w:ind w:left="9512" w:hanging="360"/>
      </w:pPr>
      <w:rPr>
        <w:rFonts w:hint="default"/>
        <w:lang w:val="pt-PT" w:eastAsia="en-US" w:bidi="ar-SA"/>
      </w:rPr>
    </w:lvl>
  </w:abstractNum>
  <w:abstractNum w:abstractNumId="2" w15:restartNumberingAfterBreak="0">
    <w:nsid w:val="05106D30"/>
    <w:multiLevelType w:val="hybridMultilevel"/>
    <w:tmpl w:val="52BA2A3A"/>
    <w:lvl w:ilvl="0" w:tplc="491664CE">
      <w:numFmt w:val="bullet"/>
      <w:lvlText w:val=""/>
      <w:lvlJc w:val="left"/>
      <w:pPr>
        <w:ind w:left="1429" w:hanging="360"/>
      </w:pPr>
      <w:rPr>
        <w:rFonts w:ascii="Wingdings" w:eastAsia="Wingdings" w:hAnsi="Wingdings" w:cs="Wingdings" w:hint="default"/>
        <w:b w:val="0"/>
        <w:bCs w:val="0"/>
        <w:i w:val="0"/>
        <w:iCs w:val="0"/>
        <w:color w:val="001F60"/>
        <w:spacing w:val="0"/>
        <w:w w:val="100"/>
        <w:sz w:val="22"/>
        <w:szCs w:val="22"/>
        <w:lang w:val="pt-PT" w:eastAsia="en-US" w:bidi="ar-SA"/>
      </w:rPr>
    </w:lvl>
    <w:lvl w:ilvl="1" w:tplc="B0F64AB8">
      <w:numFmt w:val="bullet"/>
      <w:lvlText w:val="•"/>
      <w:lvlJc w:val="left"/>
      <w:pPr>
        <w:ind w:left="1561" w:hanging="128"/>
      </w:pPr>
      <w:rPr>
        <w:rFonts w:ascii="Arial MT" w:eastAsia="Arial MT" w:hAnsi="Arial MT" w:cs="Arial MT" w:hint="default"/>
        <w:b w:val="0"/>
        <w:bCs w:val="0"/>
        <w:i w:val="0"/>
        <w:iCs w:val="0"/>
        <w:color w:val="001F60"/>
        <w:spacing w:val="0"/>
        <w:w w:val="100"/>
        <w:sz w:val="22"/>
        <w:szCs w:val="22"/>
        <w:lang w:val="pt-PT" w:eastAsia="en-US" w:bidi="ar-SA"/>
      </w:rPr>
    </w:lvl>
    <w:lvl w:ilvl="2" w:tplc="F29AC79C">
      <w:numFmt w:val="bullet"/>
      <w:lvlText w:val="•"/>
      <w:lvlJc w:val="left"/>
      <w:pPr>
        <w:ind w:left="2504" w:hanging="128"/>
      </w:pPr>
      <w:rPr>
        <w:rFonts w:hint="default"/>
        <w:lang w:val="pt-PT" w:eastAsia="en-US" w:bidi="ar-SA"/>
      </w:rPr>
    </w:lvl>
    <w:lvl w:ilvl="3" w:tplc="35569E24">
      <w:numFmt w:val="bullet"/>
      <w:lvlText w:val="•"/>
      <w:lvlJc w:val="left"/>
      <w:pPr>
        <w:ind w:left="3449" w:hanging="128"/>
      </w:pPr>
      <w:rPr>
        <w:rFonts w:hint="default"/>
        <w:lang w:val="pt-PT" w:eastAsia="en-US" w:bidi="ar-SA"/>
      </w:rPr>
    </w:lvl>
    <w:lvl w:ilvl="4" w:tplc="54F0D138">
      <w:numFmt w:val="bullet"/>
      <w:lvlText w:val="•"/>
      <w:lvlJc w:val="left"/>
      <w:pPr>
        <w:ind w:left="4394" w:hanging="128"/>
      </w:pPr>
      <w:rPr>
        <w:rFonts w:hint="default"/>
        <w:lang w:val="pt-PT" w:eastAsia="en-US" w:bidi="ar-SA"/>
      </w:rPr>
    </w:lvl>
    <w:lvl w:ilvl="5" w:tplc="FA6A5E58">
      <w:numFmt w:val="bullet"/>
      <w:lvlText w:val="•"/>
      <w:lvlJc w:val="left"/>
      <w:pPr>
        <w:ind w:left="5339" w:hanging="128"/>
      </w:pPr>
      <w:rPr>
        <w:rFonts w:hint="default"/>
        <w:lang w:val="pt-PT" w:eastAsia="en-US" w:bidi="ar-SA"/>
      </w:rPr>
    </w:lvl>
    <w:lvl w:ilvl="6" w:tplc="D9B8053E">
      <w:numFmt w:val="bullet"/>
      <w:lvlText w:val="•"/>
      <w:lvlJc w:val="left"/>
      <w:pPr>
        <w:ind w:left="6284" w:hanging="128"/>
      </w:pPr>
      <w:rPr>
        <w:rFonts w:hint="default"/>
        <w:lang w:val="pt-PT" w:eastAsia="en-US" w:bidi="ar-SA"/>
      </w:rPr>
    </w:lvl>
    <w:lvl w:ilvl="7" w:tplc="5AF6E58E">
      <w:numFmt w:val="bullet"/>
      <w:lvlText w:val="•"/>
      <w:lvlJc w:val="left"/>
      <w:pPr>
        <w:ind w:left="7229" w:hanging="128"/>
      </w:pPr>
      <w:rPr>
        <w:rFonts w:hint="default"/>
        <w:lang w:val="pt-PT" w:eastAsia="en-US" w:bidi="ar-SA"/>
      </w:rPr>
    </w:lvl>
    <w:lvl w:ilvl="8" w:tplc="147645C6">
      <w:numFmt w:val="bullet"/>
      <w:lvlText w:val="•"/>
      <w:lvlJc w:val="left"/>
      <w:pPr>
        <w:ind w:left="8174" w:hanging="128"/>
      </w:pPr>
      <w:rPr>
        <w:rFonts w:hint="default"/>
        <w:lang w:val="pt-PT" w:eastAsia="en-US" w:bidi="ar-SA"/>
      </w:rPr>
    </w:lvl>
  </w:abstractNum>
  <w:abstractNum w:abstractNumId="3" w15:restartNumberingAfterBreak="0">
    <w:nsid w:val="069535AE"/>
    <w:multiLevelType w:val="hybridMultilevel"/>
    <w:tmpl w:val="0874A4D4"/>
    <w:lvl w:ilvl="0" w:tplc="EED8871A">
      <w:numFmt w:val="bullet"/>
      <w:lvlText w:val=""/>
      <w:lvlJc w:val="left"/>
      <w:pPr>
        <w:ind w:left="1429" w:hanging="360"/>
      </w:pPr>
      <w:rPr>
        <w:rFonts w:ascii="Wingdings" w:eastAsia="Wingdings" w:hAnsi="Wingdings" w:cs="Wingdings" w:hint="default"/>
        <w:b w:val="0"/>
        <w:bCs w:val="0"/>
        <w:i w:val="0"/>
        <w:iCs w:val="0"/>
        <w:color w:val="001F60"/>
        <w:spacing w:val="0"/>
        <w:w w:val="100"/>
        <w:sz w:val="22"/>
        <w:szCs w:val="22"/>
        <w:lang w:val="pt-PT" w:eastAsia="en-US" w:bidi="ar-SA"/>
      </w:rPr>
    </w:lvl>
    <w:lvl w:ilvl="1" w:tplc="65222CB4">
      <w:numFmt w:val="bullet"/>
      <w:lvlText w:val="•"/>
      <w:lvlJc w:val="left"/>
      <w:pPr>
        <w:ind w:left="2284" w:hanging="360"/>
      </w:pPr>
      <w:rPr>
        <w:rFonts w:hint="default"/>
        <w:lang w:val="pt-PT" w:eastAsia="en-US" w:bidi="ar-SA"/>
      </w:rPr>
    </w:lvl>
    <w:lvl w:ilvl="2" w:tplc="704214F4">
      <w:numFmt w:val="bullet"/>
      <w:lvlText w:val="•"/>
      <w:lvlJc w:val="left"/>
      <w:pPr>
        <w:ind w:left="3148" w:hanging="360"/>
      </w:pPr>
      <w:rPr>
        <w:rFonts w:hint="default"/>
        <w:lang w:val="pt-PT" w:eastAsia="en-US" w:bidi="ar-SA"/>
      </w:rPr>
    </w:lvl>
    <w:lvl w:ilvl="3" w:tplc="41CCB68A">
      <w:numFmt w:val="bullet"/>
      <w:lvlText w:val="•"/>
      <w:lvlJc w:val="left"/>
      <w:pPr>
        <w:ind w:left="4013" w:hanging="360"/>
      </w:pPr>
      <w:rPr>
        <w:rFonts w:hint="default"/>
        <w:lang w:val="pt-PT" w:eastAsia="en-US" w:bidi="ar-SA"/>
      </w:rPr>
    </w:lvl>
    <w:lvl w:ilvl="4" w:tplc="7108B9D4">
      <w:numFmt w:val="bullet"/>
      <w:lvlText w:val="•"/>
      <w:lvlJc w:val="left"/>
      <w:pPr>
        <w:ind w:left="4877" w:hanging="360"/>
      </w:pPr>
      <w:rPr>
        <w:rFonts w:hint="default"/>
        <w:lang w:val="pt-PT" w:eastAsia="en-US" w:bidi="ar-SA"/>
      </w:rPr>
    </w:lvl>
    <w:lvl w:ilvl="5" w:tplc="A4D861DA">
      <w:numFmt w:val="bullet"/>
      <w:lvlText w:val="•"/>
      <w:lvlJc w:val="left"/>
      <w:pPr>
        <w:ind w:left="5742" w:hanging="360"/>
      </w:pPr>
      <w:rPr>
        <w:rFonts w:hint="default"/>
        <w:lang w:val="pt-PT" w:eastAsia="en-US" w:bidi="ar-SA"/>
      </w:rPr>
    </w:lvl>
    <w:lvl w:ilvl="6" w:tplc="42FC26A8">
      <w:numFmt w:val="bullet"/>
      <w:lvlText w:val="•"/>
      <w:lvlJc w:val="left"/>
      <w:pPr>
        <w:ind w:left="6606" w:hanging="360"/>
      </w:pPr>
      <w:rPr>
        <w:rFonts w:hint="default"/>
        <w:lang w:val="pt-PT" w:eastAsia="en-US" w:bidi="ar-SA"/>
      </w:rPr>
    </w:lvl>
    <w:lvl w:ilvl="7" w:tplc="3FD0887E">
      <w:numFmt w:val="bullet"/>
      <w:lvlText w:val="•"/>
      <w:lvlJc w:val="left"/>
      <w:pPr>
        <w:ind w:left="7471" w:hanging="360"/>
      </w:pPr>
      <w:rPr>
        <w:rFonts w:hint="default"/>
        <w:lang w:val="pt-PT" w:eastAsia="en-US" w:bidi="ar-SA"/>
      </w:rPr>
    </w:lvl>
    <w:lvl w:ilvl="8" w:tplc="B4F013EC">
      <w:numFmt w:val="bullet"/>
      <w:lvlText w:val="•"/>
      <w:lvlJc w:val="left"/>
      <w:pPr>
        <w:ind w:left="8335" w:hanging="360"/>
      </w:pPr>
      <w:rPr>
        <w:rFonts w:hint="default"/>
        <w:lang w:val="pt-PT" w:eastAsia="en-US" w:bidi="ar-SA"/>
      </w:rPr>
    </w:lvl>
  </w:abstractNum>
  <w:abstractNum w:abstractNumId="4" w15:restartNumberingAfterBreak="0">
    <w:nsid w:val="07B14225"/>
    <w:multiLevelType w:val="hybridMultilevel"/>
    <w:tmpl w:val="8FFC56BA"/>
    <w:lvl w:ilvl="0" w:tplc="9D763BB8">
      <w:numFmt w:val="bullet"/>
      <w:lvlText w:val=""/>
      <w:lvlJc w:val="left"/>
      <w:pPr>
        <w:ind w:left="1637" w:hanging="360"/>
      </w:pPr>
      <w:rPr>
        <w:rFonts w:ascii="Symbol" w:eastAsia="Symbol" w:hAnsi="Symbol" w:cs="Symbol" w:hint="default"/>
        <w:b w:val="0"/>
        <w:bCs w:val="0"/>
        <w:i w:val="0"/>
        <w:iCs w:val="0"/>
        <w:color w:val="001F5F"/>
        <w:spacing w:val="0"/>
        <w:w w:val="100"/>
        <w:sz w:val="24"/>
        <w:szCs w:val="24"/>
        <w:lang w:val="pt-PT" w:eastAsia="en-US" w:bidi="ar-SA"/>
      </w:rPr>
    </w:lvl>
    <w:lvl w:ilvl="1" w:tplc="650E42C0">
      <w:numFmt w:val="bullet"/>
      <w:lvlText w:val=""/>
      <w:lvlJc w:val="left"/>
      <w:pPr>
        <w:ind w:left="1985" w:hanging="425"/>
      </w:pPr>
      <w:rPr>
        <w:rFonts w:ascii="Symbol" w:eastAsia="Symbol" w:hAnsi="Symbol" w:cs="Symbol" w:hint="default"/>
        <w:b w:val="0"/>
        <w:bCs w:val="0"/>
        <w:i w:val="0"/>
        <w:iCs w:val="0"/>
        <w:color w:val="001F5F"/>
        <w:spacing w:val="0"/>
        <w:w w:val="100"/>
        <w:sz w:val="24"/>
        <w:szCs w:val="24"/>
        <w:lang w:val="pt-PT" w:eastAsia="en-US" w:bidi="ar-SA"/>
      </w:rPr>
    </w:lvl>
    <w:lvl w:ilvl="2" w:tplc="2CF8AA46">
      <w:numFmt w:val="bullet"/>
      <w:lvlText w:val="•"/>
      <w:lvlJc w:val="left"/>
      <w:pPr>
        <w:ind w:left="3025" w:hanging="425"/>
      </w:pPr>
      <w:rPr>
        <w:rFonts w:hint="default"/>
        <w:lang w:val="pt-PT" w:eastAsia="en-US" w:bidi="ar-SA"/>
      </w:rPr>
    </w:lvl>
    <w:lvl w:ilvl="3" w:tplc="D24EBACC">
      <w:numFmt w:val="bullet"/>
      <w:lvlText w:val="•"/>
      <w:lvlJc w:val="left"/>
      <w:pPr>
        <w:ind w:left="4071" w:hanging="425"/>
      </w:pPr>
      <w:rPr>
        <w:rFonts w:hint="default"/>
        <w:lang w:val="pt-PT" w:eastAsia="en-US" w:bidi="ar-SA"/>
      </w:rPr>
    </w:lvl>
    <w:lvl w:ilvl="4" w:tplc="BE64B3B8">
      <w:numFmt w:val="bullet"/>
      <w:lvlText w:val="•"/>
      <w:lvlJc w:val="left"/>
      <w:pPr>
        <w:ind w:left="5116" w:hanging="425"/>
      </w:pPr>
      <w:rPr>
        <w:rFonts w:hint="default"/>
        <w:lang w:val="pt-PT" w:eastAsia="en-US" w:bidi="ar-SA"/>
      </w:rPr>
    </w:lvl>
    <w:lvl w:ilvl="5" w:tplc="28468D84">
      <w:numFmt w:val="bullet"/>
      <w:lvlText w:val="•"/>
      <w:lvlJc w:val="left"/>
      <w:pPr>
        <w:ind w:left="6162" w:hanging="425"/>
      </w:pPr>
      <w:rPr>
        <w:rFonts w:hint="default"/>
        <w:lang w:val="pt-PT" w:eastAsia="en-US" w:bidi="ar-SA"/>
      </w:rPr>
    </w:lvl>
    <w:lvl w:ilvl="6" w:tplc="90768BCA">
      <w:numFmt w:val="bullet"/>
      <w:lvlText w:val="•"/>
      <w:lvlJc w:val="left"/>
      <w:pPr>
        <w:ind w:left="7207" w:hanging="425"/>
      </w:pPr>
      <w:rPr>
        <w:rFonts w:hint="default"/>
        <w:lang w:val="pt-PT" w:eastAsia="en-US" w:bidi="ar-SA"/>
      </w:rPr>
    </w:lvl>
    <w:lvl w:ilvl="7" w:tplc="2A009950">
      <w:numFmt w:val="bullet"/>
      <w:lvlText w:val="•"/>
      <w:lvlJc w:val="left"/>
      <w:pPr>
        <w:ind w:left="8253" w:hanging="425"/>
      </w:pPr>
      <w:rPr>
        <w:rFonts w:hint="default"/>
        <w:lang w:val="pt-PT" w:eastAsia="en-US" w:bidi="ar-SA"/>
      </w:rPr>
    </w:lvl>
    <w:lvl w:ilvl="8" w:tplc="30AA5418">
      <w:numFmt w:val="bullet"/>
      <w:lvlText w:val="•"/>
      <w:lvlJc w:val="left"/>
      <w:pPr>
        <w:ind w:left="9298" w:hanging="425"/>
      </w:pPr>
      <w:rPr>
        <w:rFonts w:hint="default"/>
        <w:lang w:val="pt-PT" w:eastAsia="en-US" w:bidi="ar-SA"/>
      </w:rPr>
    </w:lvl>
  </w:abstractNum>
  <w:abstractNum w:abstractNumId="5" w15:restartNumberingAfterBreak="0">
    <w:nsid w:val="07FA3F1E"/>
    <w:multiLevelType w:val="hybridMultilevel"/>
    <w:tmpl w:val="487419FA"/>
    <w:lvl w:ilvl="0" w:tplc="0BACFF28">
      <w:start w:val="1"/>
      <w:numFmt w:val="lowerRoman"/>
      <w:lvlText w:val="%1)"/>
      <w:lvlJc w:val="left"/>
      <w:pPr>
        <w:ind w:left="143" w:hanging="264"/>
        <w:jc w:val="left"/>
      </w:pPr>
      <w:rPr>
        <w:rFonts w:ascii="Segoe UI Symbol" w:eastAsia="Segoe UI Symbol" w:hAnsi="Segoe UI Symbol" w:cs="Segoe UI Symbol" w:hint="default"/>
        <w:b w:val="0"/>
        <w:bCs w:val="0"/>
        <w:i w:val="0"/>
        <w:iCs w:val="0"/>
        <w:spacing w:val="0"/>
        <w:w w:val="92"/>
        <w:sz w:val="22"/>
        <w:szCs w:val="22"/>
        <w:lang w:val="pt-PT" w:eastAsia="en-US" w:bidi="ar-SA"/>
      </w:rPr>
    </w:lvl>
    <w:lvl w:ilvl="1" w:tplc="2ED623EA">
      <w:numFmt w:val="bullet"/>
      <w:lvlText w:val="•"/>
      <w:lvlJc w:val="left"/>
      <w:pPr>
        <w:ind w:left="1189" w:hanging="264"/>
      </w:pPr>
      <w:rPr>
        <w:rFonts w:hint="default"/>
        <w:lang w:val="pt-PT" w:eastAsia="en-US" w:bidi="ar-SA"/>
      </w:rPr>
    </w:lvl>
    <w:lvl w:ilvl="2" w:tplc="46C2D95A">
      <w:numFmt w:val="bullet"/>
      <w:lvlText w:val="•"/>
      <w:lvlJc w:val="left"/>
      <w:pPr>
        <w:ind w:left="2238" w:hanging="264"/>
      </w:pPr>
      <w:rPr>
        <w:rFonts w:hint="default"/>
        <w:lang w:val="pt-PT" w:eastAsia="en-US" w:bidi="ar-SA"/>
      </w:rPr>
    </w:lvl>
    <w:lvl w:ilvl="3" w:tplc="084EE6BC">
      <w:numFmt w:val="bullet"/>
      <w:lvlText w:val="•"/>
      <w:lvlJc w:val="left"/>
      <w:pPr>
        <w:ind w:left="3287" w:hanging="264"/>
      </w:pPr>
      <w:rPr>
        <w:rFonts w:hint="default"/>
        <w:lang w:val="pt-PT" w:eastAsia="en-US" w:bidi="ar-SA"/>
      </w:rPr>
    </w:lvl>
    <w:lvl w:ilvl="4" w:tplc="7A162DDA">
      <w:numFmt w:val="bullet"/>
      <w:lvlText w:val="•"/>
      <w:lvlJc w:val="left"/>
      <w:pPr>
        <w:ind w:left="4336" w:hanging="264"/>
      </w:pPr>
      <w:rPr>
        <w:rFonts w:hint="default"/>
        <w:lang w:val="pt-PT" w:eastAsia="en-US" w:bidi="ar-SA"/>
      </w:rPr>
    </w:lvl>
    <w:lvl w:ilvl="5" w:tplc="75F6F8FE">
      <w:numFmt w:val="bullet"/>
      <w:lvlText w:val="•"/>
      <w:lvlJc w:val="left"/>
      <w:pPr>
        <w:ind w:left="5386" w:hanging="264"/>
      </w:pPr>
      <w:rPr>
        <w:rFonts w:hint="default"/>
        <w:lang w:val="pt-PT" w:eastAsia="en-US" w:bidi="ar-SA"/>
      </w:rPr>
    </w:lvl>
    <w:lvl w:ilvl="6" w:tplc="D54C5EE4">
      <w:numFmt w:val="bullet"/>
      <w:lvlText w:val="•"/>
      <w:lvlJc w:val="left"/>
      <w:pPr>
        <w:ind w:left="6435" w:hanging="264"/>
      </w:pPr>
      <w:rPr>
        <w:rFonts w:hint="default"/>
        <w:lang w:val="pt-PT" w:eastAsia="en-US" w:bidi="ar-SA"/>
      </w:rPr>
    </w:lvl>
    <w:lvl w:ilvl="7" w:tplc="B7863F20">
      <w:numFmt w:val="bullet"/>
      <w:lvlText w:val="•"/>
      <w:lvlJc w:val="left"/>
      <w:pPr>
        <w:ind w:left="7484" w:hanging="264"/>
      </w:pPr>
      <w:rPr>
        <w:rFonts w:hint="default"/>
        <w:lang w:val="pt-PT" w:eastAsia="en-US" w:bidi="ar-SA"/>
      </w:rPr>
    </w:lvl>
    <w:lvl w:ilvl="8" w:tplc="FD10DD9A">
      <w:numFmt w:val="bullet"/>
      <w:lvlText w:val="•"/>
      <w:lvlJc w:val="left"/>
      <w:pPr>
        <w:ind w:left="8533" w:hanging="264"/>
      </w:pPr>
      <w:rPr>
        <w:rFonts w:hint="default"/>
        <w:lang w:val="pt-PT" w:eastAsia="en-US" w:bidi="ar-SA"/>
      </w:rPr>
    </w:lvl>
  </w:abstractNum>
  <w:abstractNum w:abstractNumId="6" w15:restartNumberingAfterBreak="0">
    <w:nsid w:val="09D010E0"/>
    <w:multiLevelType w:val="hybridMultilevel"/>
    <w:tmpl w:val="3ED27760"/>
    <w:lvl w:ilvl="0" w:tplc="F7CAB304">
      <w:numFmt w:val="bullet"/>
      <w:lvlText w:val="•"/>
      <w:lvlJc w:val="left"/>
      <w:pPr>
        <w:ind w:left="709" w:hanging="247"/>
      </w:pPr>
      <w:rPr>
        <w:rFonts w:ascii="Verdana" w:eastAsia="Verdana" w:hAnsi="Verdana" w:cs="Verdana" w:hint="default"/>
        <w:b w:val="0"/>
        <w:bCs w:val="0"/>
        <w:i w:val="0"/>
        <w:iCs w:val="0"/>
        <w:spacing w:val="0"/>
        <w:w w:val="111"/>
        <w:sz w:val="22"/>
        <w:szCs w:val="22"/>
        <w:lang w:val="pt-PT" w:eastAsia="en-US" w:bidi="ar-SA"/>
      </w:rPr>
    </w:lvl>
    <w:lvl w:ilvl="1" w:tplc="2144A27C">
      <w:numFmt w:val="bullet"/>
      <w:lvlText w:val="•"/>
      <w:lvlJc w:val="left"/>
      <w:pPr>
        <w:ind w:left="1636" w:hanging="247"/>
      </w:pPr>
      <w:rPr>
        <w:rFonts w:hint="default"/>
        <w:lang w:val="pt-PT" w:eastAsia="en-US" w:bidi="ar-SA"/>
      </w:rPr>
    </w:lvl>
    <w:lvl w:ilvl="2" w:tplc="05C80B8A">
      <w:numFmt w:val="bullet"/>
      <w:lvlText w:val="•"/>
      <w:lvlJc w:val="left"/>
      <w:pPr>
        <w:ind w:left="2572" w:hanging="247"/>
      </w:pPr>
      <w:rPr>
        <w:rFonts w:hint="default"/>
        <w:lang w:val="pt-PT" w:eastAsia="en-US" w:bidi="ar-SA"/>
      </w:rPr>
    </w:lvl>
    <w:lvl w:ilvl="3" w:tplc="30DA5FF0">
      <w:numFmt w:val="bullet"/>
      <w:lvlText w:val="•"/>
      <w:lvlJc w:val="left"/>
      <w:pPr>
        <w:ind w:left="3509" w:hanging="247"/>
      </w:pPr>
      <w:rPr>
        <w:rFonts w:hint="default"/>
        <w:lang w:val="pt-PT" w:eastAsia="en-US" w:bidi="ar-SA"/>
      </w:rPr>
    </w:lvl>
    <w:lvl w:ilvl="4" w:tplc="F23EF138">
      <w:numFmt w:val="bullet"/>
      <w:lvlText w:val="•"/>
      <w:lvlJc w:val="left"/>
      <w:pPr>
        <w:ind w:left="4445" w:hanging="247"/>
      </w:pPr>
      <w:rPr>
        <w:rFonts w:hint="default"/>
        <w:lang w:val="pt-PT" w:eastAsia="en-US" w:bidi="ar-SA"/>
      </w:rPr>
    </w:lvl>
    <w:lvl w:ilvl="5" w:tplc="B126A864">
      <w:numFmt w:val="bullet"/>
      <w:lvlText w:val="•"/>
      <w:lvlJc w:val="left"/>
      <w:pPr>
        <w:ind w:left="5382" w:hanging="247"/>
      </w:pPr>
      <w:rPr>
        <w:rFonts w:hint="default"/>
        <w:lang w:val="pt-PT" w:eastAsia="en-US" w:bidi="ar-SA"/>
      </w:rPr>
    </w:lvl>
    <w:lvl w:ilvl="6" w:tplc="A3AA26BE">
      <w:numFmt w:val="bullet"/>
      <w:lvlText w:val="•"/>
      <w:lvlJc w:val="left"/>
      <w:pPr>
        <w:ind w:left="6318" w:hanging="247"/>
      </w:pPr>
      <w:rPr>
        <w:rFonts w:hint="default"/>
        <w:lang w:val="pt-PT" w:eastAsia="en-US" w:bidi="ar-SA"/>
      </w:rPr>
    </w:lvl>
    <w:lvl w:ilvl="7" w:tplc="C1B02E4C">
      <w:numFmt w:val="bullet"/>
      <w:lvlText w:val="•"/>
      <w:lvlJc w:val="left"/>
      <w:pPr>
        <w:ind w:left="7255" w:hanging="247"/>
      </w:pPr>
      <w:rPr>
        <w:rFonts w:hint="default"/>
        <w:lang w:val="pt-PT" w:eastAsia="en-US" w:bidi="ar-SA"/>
      </w:rPr>
    </w:lvl>
    <w:lvl w:ilvl="8" w:tplc="A6688416">
      <w:numFmt w:val="bullet"/>
      <w:lvlText w:val="•"/>
      <w:lvlJc w:val="left"/>
      <w:pPr>
        <w:ind w:left="8191" w:hanging="247"/>
      </w:pPr>
      <w:rPr>
        <w:rFonts w:hint="default"/>
        <w:lang w:val="pt-PT" w:eastAsia="en-US" w:bidi="ar-SA"/>
      </w:rPr>
    </w:lvl>
  </w:abstractNum>
  <w:abstractNum w:abstractNumId="7" w15:restartNumberingAfterBreak="0">
    <w:nsid w:val="0BCD74CE"/>
    <w:multiLevelType w:val="hybridMultilevel"/>
    <w:tmpl w:val="C0CCFE00"/>
    <w:lvl w:ilvl="0" w:tplc="E10AE6A0">
      <w:start w:val="1"/>
      <w:numFmt w:val="lowerRoman"/>
      <w:lvlText w:val="(%1)"/>
      <w:lvlJc w:val="left"/>
      <w:pPr>
        <w:ind w:left="1549" w:hanging="720"/>
        <w:jc w:val="left"/>
      </w:pPr>
      <w:rPr>
        <w:rFonts w:ascii="Calibri" w:eastAsia="Calibri" w:hAnsi="Calibri" w:cs="Calibri" w:hint="default"/>
        <w:b w:val="0"/>
        <w:bCs w:val="0"/>
        <w:i w:val="0"/>
        <w:iCs w:val="0"/>
        <w:color w:val="001F60"/>
        <w:spacing w:val="0"/>
        <w:w w:val="100"/>
        <w:sz w:val="22"/>
        <w:szCs w:val="22"/>
        <w:lang w:val="pt-PT" w:eastAsia="en-US" w:bidi="ar-SA"/>
      </w:rPr>
    </w:lvl>
    <w:lvl w:ilvl="1" w:tplc="4628D3CA">
      <w:numFmt w:val="bullet"/>
      <w:lvlText w:val="•"/>
      <w:lvlJc w:val="left"/>
      <w:pPr>
        <w:ind w:left="2392" w:hanging="720"/>
      </w:pPr>
      <w:rPr>
        <w:rFonts w:hint="default"/>
        <w:lang w:val="pt-PT" w:eastAsia="en-US" w:bidi="ar-SA"/>
      </w:rPr>
    </w:lvl>
    <w:lvl w:ilvl="2" w:tplc="68AAA3B4">
      <w:numFmt w:val="bullet"/>
      <w:lvlText w:val="•"/>
      <w:lvlJc w:val="left"/>
      <w:pPr>
        <w:ind w:left="3244" w:hanging="720"/>
      </w:pPr>
      <w:rPr>
        <w:rFonts w:hint="default"/>
        <w:lang w:val="pt-PT" w:eastAsia="en-US" w:bidi="ar-SA"/>
      </w:rPr>
    </w:lvl>
    <w:lvl w:ilvl="3" w:tplc="BD9A6F22">
      <w:numFmt w:val="bullet"/>
      <w:lvlText w:val="•"/>
      <w:lvlJc w:val="left"/>
      <w:pPr>
        <w:ind w:left="4097" w:hanging="720"/>
      </w:pPr>
      <w:rPr>
        <w:rFonts w:hint="default"/>
        <w:lang w:val="pt-PT" w:eastAsia="en-US" w:bidi="ar-SA"/>
      </w:rPr>
    </w:lvl>
    <w:lvl w:ilvl="4" w:tplc="E28EF108">
      <w:numFmt w:val="bullet"/>
      <w:lvlText w:val="•"/>
      <w:lvlJc w:val="left"/>
      <w:pPr>
        <w:ind w:left="4949" w:hanging="720"/>
      </w:pPr>
      <w:rPr>
        <w:rFonts w:hint="default"/>
        <w:lang w:val="pt-PT" w:eastAsia="en-US" w:bidi="ar-SA"/>
      </w:rPr>
    </w:lvl>
    <w:lvl w:ilvl="5" w:tplc="69C41C3E">
      <w:numFmt w:val="bullet"/>
      <w:lvlText w:val="•"/>
      <w:lvlJc w:val="left"/>
      <w:pPr>
        <w:ind w:left="5802" w:hanging="720"/>
      </w:pPr>
      <w:rPr>
        <w:rFonts w:hint="default"/>
        <w:lang w:val="pt-PT" w:eastAsia="en-US" w:bidi="ar-SA"/>
      </w:rPr>
    </w:lvl>
    <w:lvl w:ilvl="6" w:tplc="D9AE7FE4">
      <w:numFmt w:val="bullet"/>
      <w:lvlText w:val="•"/>
      <w:lvlJc w:val="left"/>
      <w:pPr>
        <w:ind w:left="6654" w:hanging="720"/>
      </w:pPr>
      <w:rPr>
        <w:rFonts w:hint="default"/>
        <w:lang w:val="pt-PT" w:eastAsia="en-US" w:bidi="ar-SA"/>
      </w:rPr>
    </w:lvl>
    <w:lvl w:ilvl="7" w:tplc="CEEE3C62">
      <w:numFmt w:val="bullet"/>
      <w:lvlText w:val="•"/>
      <w:lvlJc w:val="left"/>
      <w:pPr>
        <w:ind w:left="7507" w:hanging="720"/>
      </w:pPr>
      <w:rPr>
        <w:rFonts w:hint="default"/>
        <w:lang w:val="pt-PT" w:eastAsia="en-US" w:bidi="ar-SA"/>
      </w:rPr>
    </w:lvl>
    <w:lvl w:ilvl="8" w:tplc="020E4AE4">
      <w:numFmt w:val="bullet"/>
      <w:lvlText w:val="•"/>
      <w:lvlJc w:val="left"/>
      <w:pPr>
        <w:ind w:left="8359" w:hanging="720"/>
      </w:pPr>
      <w:rPr>
        <w:rFonts w:hint="default"/>
        <w:lang w:val="pt-PT" w:eastAsia="en-US" w:bidi="ar-SA"/>
      </w:rPr>
    </w:lvl>
  </w:abstractNum>
  <w:abstractNum w:abstractNumId="8" w15:restartNumberingAfterBreak="0">
    <w:nsid w:val="0C531042"/>
    <w:multiLevelType w:val="hybridMultilevel"/>
    <w:tmpl w:val="D86EAD8A"/>
    <w:lvl w:ilvl="0" w:tplc="F828DD66">
      <w:start w:val="1"/>
      <w:numFmt w:val="lowerRoman"/>
      <w:lvlText w:val="(%1)"/>
      <w:lvlJc w:val="left"/>
      <w:pPr>
        <w:ind w:left="143" w:hanging="184"/>
        <w:jc w:val="left"/>
      </w:pPr>
      <w:rPr>
        <w:rFonts w:ascii="Segoe UI Symbol" w:eastAsia="Segoe UI Symbol" w:hAnsi="Segoe UI Symbol" w:cs="Segoe UI Symbol" w:hint="default"/>
        <w:b w:val="0"/>
        <w:bCs w:val="0"/>
        <w:i w:val="0"/>
        <w:iCs w:val="0"/>
        <w:spacing w:val="0"/>
        <w:w w:val="92"/>
        <w:sz w:val="16"/>
        <w:szCs w:val="16"/>
        <w:lang w:val="pt-PT" w:eastAsia="en-US" w:bidi="ar-SA"/>
      </w:rPr>
    </w:lvl>
    <w:lvl w:ilvl="1" w:tplc="3386021C">
      <w:numFmt w:val="bullet"/>
      <w:lvlText w:val="•"/>
      <w:lvlJc w:val="left"/>
      <w:pPr>
        <w:ind w:left="1189" w:hanging="184"/>
      </w:pPr>
      <w:rPr>
        <w:rFonts w:hint="default"/>
        <w:lang w:val="pt-PT" w:eastAsia="en-US" w:bidi="ar-SA"/>
      </w:rPr>
    </w:lvl>
    <w:lvl w:ilvl="2" w:tplc="2F7E68E4">
      <w:numFmt w:val="bullet"/>
      <w:lvlText w:val="•"/>
      <w:lvlJc w:val="left"/>
      <w:pPr>
        <w:ind w:left="2238" w:hanging="184"/>
      </w:pPr>
      <w:rPr>
        <w:rFonts w:hint="default"/>
        <w:lang w:val="pt-PT" w:eastAsia="en-US" w:bidi="ar-SA"/>
      </w:rPr>
    </w:lvl>
    <w:lvl w:ilvl="3" w:tplc="7278FF9E">
      <w:numFmt w:val="bullet"/>
      <w:lvlText w:val="•"/>
      <w:lvlJc w:val="left"/>
      <w:pPr>
        <w:ind w:left="3287" w:hanging="184"/>
      </w:pPr>
      <w:rPr>
        <w:rFonts w:hint="default"/>
        <w:lang w:val="pt-PT" w:eastAsia="en-US" w:bidi="ar-SA"/>
      </w:rPr>
    </w:lvl>
    <w:lvl w:ilvl="4" w:tplc="0D6ADDEA">
      <w:numFmt w:val="bullet"/>
      <w:lvlText w:val="•"/>
      <w:lvlJc w:val="left"/>
      <w:pPr>
        <w:ind w:left="4336" w:hanging="184"/>
      </w:pPr>
      <w:rPr>
        <w:rFonts w:hint="default"/>
        <w:lang w:val="pt-PT" w:eastAsia="en-US" w:bidi="ar-SA"/>
      </w:rPr>
    </w:lvl>
    <w:lvl w:ilvl="5" w:tplc="DCA8BE3A">
      <w:numFmt w:val="bullet"/>
      <w:lvlText w:val="•"/>
      <w:lvlJc w:val="left"/>
      <w:pPr>
        <w:ind w:left="5386" w:hanging="184"/>
      </w:pPr>
      <w:rPr>
        <w:rFonts w:hint="default"/>
        <w:lang w:val="pt-PT" w:eastAsia="en-US" w:bidi="ar-SA"/>
      </w:rPr>
    </w:lvl>
    <w:lvl w:ilvl="6" w:tplc="5B6CBF7A">
      <w:numFmt w:val="bullet"/>
      <w:lvlText w:val="•"/>
      <w:lvlJc w:val="left"/>
      <w:pPr>
        <w:ind w:left="6435" w:hanging="184"/>
      </w:pPr>
      <w:rPr>
        <w:rFonts w:hint="default"/>
        <w:lang w:val="pt-PT" w:eastAsia="en-US" w:bidi="ar-SA"/>
      </w:rPr>
    </w:lvl>
    <w:lvl w:ilvl="7" w:tplc="620A8716">
      <w:numFmt w:val="bullet"/>
      <w:lvlText w:val="•"/>
      <w:lvlJc w:val="left"/>
      <w:pPr>
        <w:ind w:left="7484" w:hanging="184"/>
      </w:pPr>
      <w:rPr>
        <w:rFonts w:hint="default"/>
        <w:lang w:val="pt-PT" w:eastAsia="en-US" w:bidi="ar-SA"/>
      </w:rPr>
    </w:lvl>
    <w:lvl w:ilvl="8" w:tplc="DE284CBE">
      <w:numFmt w:val="bullet"/>
      <w:lvlText w:val="•"/>
      <w:lvlJc w:val="left"/>
      <w:pPr>
        <w:ind w:left="8533" w:hanging="184"/>
      </w:pPr>
      <w:rPr>
        <w:rFonts w:hint="default"/>
        <w:lang w:val="pt-PT" w:eastAsia="en-US" w:bidi="ar-SA"/>
      </w:rPr>
    </w:lvl>
  </w:abstractNum>
  <w:abstractNum w:abstractNumId="9" w15:restartNumberingAfterBreak="0">
    <w:nsid w:val="0DDD77E9"/>
    <w:multiLevelType w:val="hybridMultilevel"/>
    <w:tmpl w:val="03868D22"/>
    <w:lvl w:ilvl="0" w:tplc="BFC0C274">
      <w:start w:val="1"/>
      <w:numFmt w:val="lowerRoman"/>
      <w:lvlText w:val="%1)"/>
      <w:lvlJc w:val="left"/>
      <w:pPr>
        <w:ind w:left="450" w:hanging="307"/>
        <w:jc w:val="left"/>
      </w:pPr>
      <w:rPr>
        <w:rFonts w:ascii="Segoe UI Symbol" w:eastAsia="Segoe UI Symbol" w:hAnsi="Segoe UI Symbol" w:cs="Segoe UI Symbol" w:hint="default"/>
        <w:b w:val="0"/>
        <w:bCs w:val="0"/>
        <w:i w:val="0"/>
        <w:iCs w:val="0"/>
        <w:spacing w:val="0"/>
        <w:w w:val="92"/>
        <w:sz w:val="22"/>
        <w:szCs w:val="22"/>
        <w:lang w:val="pt-PT" w:eastAsia="en-US" w:bidi="ar-SA"/>
      </w:rPr>
    </w:lvl>
    <w:lvl w:ilvl="1" w:tplc="63EE1F5C">
      <w:numFmt w:val="bullet"/>
      <w:lvlText w:val="•"/>
      <w:lvlJc w:val="left"/>
      <w:pPr>
        <w:ind w:left="1477" w:hanging="307"/>
      </w:pPr>
      <w:rPr>
        <w:rFonts w:hint="default"/>
        <w:lang w:val="pt-PT" w:eastAsia="en-US" w:bidi="ar-SA"/>
      </w:rPr>
    </w:lvl>
    <w:lvl w:ilvl="2" w:tplc="8E861134">
      <w:numFmt w:val="bullet"/>
      <w:lvlText w:val="•"/>
      <w:lvlJc w:val="left"/>
      <w:pPr>
        <w:ind w:left="2494" w:hanging="307"/>
      </w:pPr>
      <w:rPr>
        <w:rFonts w:hint="default"/>
        <w:lang w:val="pt-PT" w:eastAsia="en-US" w:bidi="ar-SA"/>
      </w:rPr>
    </w:lvl>
    <w:lvl w:ilvl="3" w:tplc="6AAE10A2">
      <w:numFmt w:val="bullet"/>
      <w:lvlText w:val="•"/>
      <w:lvlJc w:val="left"/>
      <w:pPr>
        <w:ind w:left="3511" w:hanging="307"/>
      </w:pPr>
      <w:rPr>
        <w:rFonts w:hint="default"/>
        <w:lang w:val="pt-PT" w:eastAsia="en-US" w:bidi="ar-SA"/>
      </w:rPr>
    </w:lvl>
    <w:lvl w:ilvl="4" w:tplc="9B56C5CA">
      <w:numFmt w:val="bullet"/>
      <w:lvlText w:val="•"/>
      <w:lvlJc w:val="left"/>
      <w:pPr>
        <w:ind w:left="4528" w:hanging="307"/>
      </w:pPr>
      <w:rPr>
        <w:rFonts w:hint="default"/>
        <w:lang w:val="pt-PT" w:eastAsia="en-US" w:bidi="ar-SA"/>
      </w:rPr>
    </w:lvl>
    <w:lvl w:ilvl="5" w:tplc="4DAC139E">
      <w:numFmt w:val="bullet"/>
      <w:lvlText w:val="•"/>
      <w:lvlJc w:val="left"/>
      <w:pPr>
        <w:ind w:left="5546" w:hanging="307"/>
      </w:pPr>
      <w:rPr>
        <w:rFonts w:hint="default"/>
        <w:lang w:val="pt-PT" w:eastAsia="en-US" w:bidi="ar-SA"/>
      </w:rPr>
    </w:lvl>
    <w:lvl w:ilvl="6" w:tplc="DC52C11C">
      <w:numFmt w:val="bullet"/>
      <w:lvlText w:val="•"/>
      <w:lvlJc w:val="left"/>
      <w:pPr>
        <w:ind w:left="6563" w:hanging="307"/>
      </w:pPr>
      <w:rPr>
        <w:rFonts w:hint="default"/>
        <w:lang w:val="pt-PT" w:eastAsia="en-US" w:bidi="ar-SA"/>
      </w:rPr>
    </w:lvl>
    <w:lvl w:ilvl="7" w:tplc="F48AEE1A">
      <w:numFmt w:val="bullet"/>
      <w:lvlText w:val="•"/>
      <w:lvlJc w:val="left"/>
      <w:pPr>
        <w:ind w:left="7580" w:hanging="307"/>
      </w:pPr>
      <w:rPr>
        <w:rFonts w:hint="default"/>
        <w:lang w:val="pt-PT" w:eastAsia="en-US" w:bidi="ar-SA"/>
      </w:rPr>
    </w:lvl>
    <w:lvl w:ilvl="8" w:tplc="ED4AD30A">
      <w:numFmt w:val="bullet"/>
      <w:lvlText w:val="•"/>
      <w:lvlJc w:val="left"/>
      <w:pPr>
        <w:ind w:left="8597" w:hanging="307"/>
      </w:pPr>
      <w:rPr>
        <w:rFonts w:hint="default"/>
        <w:lang w:val="pt-PT" w:eastAsia="en-US" w:bidi="ar-SA"/>
      </w:rPr>
    </w:lvl>
  </w:abstractNum>
  <w:abstractNum w:abstractNumId="10" w15:restartNumberingAfterBreak="0">
    <w:nsid w:val="0F403C58"/>
    <w:multiLevelType w:val="multilevel"/>
    <w:tmpl w:val="6AB86F7E"/>
    <w:lvl w:ilvl="0">
      <w:start w:val="28"/>
      <w:numFmt w:val="decimal"/>
      <w:lvlText w:val="%1"/>
      <w:lvlJc w:val="left"/>
      <w:pPr>
        <w:ind w:left="995" w:hanging="852"/>
        <w:jc w:val="left"/>
      </w:pPr>
      <w:rPr>
        <w:rFonts w:hint="default"/>
        <w:lang w:val="pt-PT" w:eastAsia="en-US" w:bidi="ar-SA"/>
      </w:rPr>
    </w:lvl>
    <w:lvl w:ilvl="1">
      <w:start w:val="1"/>
      <w:numFmt w:val="decimal"/>
      <w:lvlText w:val="%1.%2."/>
      <w:lvlJc w:val="left"/>
      <w:pPr>
        <w:ind w:left="995" w:hanging="852"/>
        <w:jc w:val="left"/>
      </w:pPr>
      <w:rPr>
        <w:rFonts w:ascii="Arial" w:eastAsia="Arial" w:hAnsi="Arial" w:cs="Arial" w:hint="default"/>
        <w:b/>
        <w:bCs/>
        <w:i w:val="0"/>
        <w:iCs w:val="0"/>
        <w:spacing w:val="-2"/>
        <w:w w:val="100"/>
        <w:sz w:val="22"/>
        <w:szCs w:val="22"/>
        <w:lang w:val="pt-PT" w:eastAsia="en-US" w:bidi="ar-SA"/>
      </w:rPr>
    </w:lvl>
    <w:lvl w:ilvl="2">
      <w:start w:val="1"/>
      <w:numFmt w:val="decimal"/>
      <w:lvlText w:val="%1.%2.%3."/>
      <w:lvlJc w:val="left"/>
      <w:pPr>
        <w:ind w:left="994" w:hanging="851"/>
        <w:jc w:val="left"/>
      </w:pPr>
      <w:rPr>
        <w:rFonts w:ascii="Arial" w:eastAsia="Arial" w:hAnsi="Arial" w:cs="Arial" w:hint="default"/>
        <w:b/>
        <w:bCs/>
        <w:i w:val="0"/>
        <w:iCs w:val="0"/>
        <w:spacing w:val="-2"/>
        <w:w w:val="100"/>
        <w:sz w:val="22"/>
        <w:szCs w:val="22"/>
        <w:lang w:val="pt-PT" w:eastAsia="en-US" w:bidi="ar-SA"/>
      </w:rPr>
    </w:lvl>
    <w:lvl w:ilvl="3">
      <w:numFmt w:val="bullet"/>
      <w:lvlText w:val="•"/>
      <w:lvlJc w:val="left"/>
      <w:pPr>
        <w:ind w:left="3889" w:hanging="851"/>
      </w:pPr>
      <w:rPr>
        <w:rFonts w:hint="default"/>
        <w:lang w:val="pt-PT" w:eastAsia="en-US" w:bidi="ar-SA"/>
      </w:rPr>
    </w:lvl>
    <w:lvl w:ilvl="4">
      <w:numFmt w:val="bullet"/>
      <w:lvlText w:val="•"/>
      <w:lvlJc w:val="left"/>
      <w:pPr>
        <w:ind w:left="4852" w:hanging="851"/>
      </w:pPr>
      <w:rPr>
        <w:rFonts w:hint="default"/>
        <w:lang w:val="pt-PT" w:eastAsia="en-US" w:bidi="ar-SA"/>
      </w:rPr>
    </w:lvl>
    <w:lvl w:ilvl="5">
      <w:numFmt w:val="bullet"/>
      <w:lvlText w:val="•"/>
      <w:lvlJc w:val="left"/>
      <w:pPr>
        <w:ind w:left="5816" w:hanging="851"/>
      </w:pPr>
      <w:rPr>
        <w:rFonts w:hint="default"/>
        <w:lang w:val="pt-PT" w:eastAsia="en-US" w:bidi="ar-SA"/>
      </w:rPr>
    </w:lvl>
    <w:lvl w:ilvl="6">
      <w:numFmt w:val="bullet"/>
      <w:lvlText w:val="•"/>
      <w:lvlJc w:val="left"/>
      <w:pPr>
        <w:ind w:left="6779" w:hanging="851"/>
      </w:pPr>
      <w:rPr>
        <w:rFonts w:hint="default"/>
        <w:lang w:val="pt-PT" w:eastAsia="en-US" w:bidi="ar-SA"/>
      </w:rPr>
    </w:lvl>
    <w:lvl w:ilvl="7">
      <w:numFmt w:val="bullet"/>
      <w:lvlText w:val="•"/>
      <w:lvlJc w:val="left"/>
      <w:pPr>
        <w:ind w:left="7742" w:hanging="851"/>
      </w:pPr>
      <w:rPr>
        <w:rFonts w:hint="default"/>
        <w:lang w:val="pt-PT" w:eastAsia="en-US" w:bidi="ar-SA"/>
      </w:rPr>
    </w:lvl>
    <w:lvl w:ilvl="8">
      <w:numFmt w:val="bullet"/>
      <w:lvlText w:val="•"/>
      <w:lvlJc w:val="left"/>
      <w:pPr>
        <w:ind w:left="8705" w:hanging="851"/>
      </w:pPr>
      <w:rPr>
        <w:rFonts w:hint="default"/>
        <w:lang w:val="pt-PT" w:eastAsia="en-US" w:bidi="ar-SA"/>
      </w:rPr>
    </w:lvl>
  </w:abstractNum>
  <w:abstractNum w:abstractNumId="11" w15:restartNumberingAfterBreak="0">
    <w:nsid w:val="10204C37"/>
    <w:multiLevelType w:val="hybridMultilevel"/>
    <w:tmpl w:val="5ACCC236"/>
    <w:lvl w:ilvl="0" w:tplc="3B3AA23C">
      <w:start w:val="1"/>
      <w:numFmt w:val="lowerRoman"/>
      <w:lvlText w:val="%1)"/>
      <w:lvlJc w:val="left"/>
      <w:pPr>
        <w:ind w:left="709" w:hanging="218"/>
        <w:jc w:val="left"/>
      </w:pPr>
      <w:rPr>
        <w:rFonts w:ascii="Calibri" w:eastAsia="Calibri" w:hAnsi="Calibri" w:cs="Calibri" w:hint="default"/>
        <w:b/>
        <w:bCs/>
        <w:i w:val="0"/>
        <w:iCs w:val="0"/>
        <w:color w:val="001F60"/>
        <w:spacing w:val="0"/>
        <w:w w:val="100"/>
        <w:sz w:val="22"/>
        <w:szCs w:val="22"/>
        <w:lang w:val="pt-PT" w:eastAsia="en-US" w:bidi="ar-SA"/>
      </w:rPr>
    </w:lvl>
    <w:lvl w:ilvl="1" w:tplc="7C0EC252">
      <w:numFmt w:val="bullet"/>
      <w:lvlText w:val="•"/>
      <w:lvlJc w:val="left"/>
      <w:pPr>
        <w:ind w:left="1636" w:hanging="218"/>
      </w:pPr>
      <w:rPr>
        <w:rFonts w:hint="default"/>
        <w:lang w:val="pt-PT" w:eastAsia="en-US" w:bidi="ar-SA"/>
      </w:rPr>
    </w:lvl>
    <w:lvl w:ilvl="2" w:tplc="3DB23014">
      <w:numFmt w:val="bullet"/>
      <w:lvlText w:val="•"/>
      <w:lvlJc w:val="left"/>
      <w:pPr>
        <w:ind w:left="2572" w:hanging="218"/>
      </w:pPr>
      <w:rPr>
        <w:rFonts w:hint="default"/>
        <w:lang w:val="pt-PT" w:eastAsia="en-US" w:bidi="ar-SA"/>
      </w:rPr>
    </w:lvl>
    <w:lvl w:ilvl="3" w:tplc="DF7C1198">
      <w:numFmt w:val="bullet"/>
      <w:lvlText w:val="•"/>
      <w:lvlJc w:val="left"/>
      <w:pPr>
        <w:ind w:left="3509" w:hanging="218"/>
      </w:pPr>
      <w:rPr>
        <w:rFonts w:hint="default"/>
        <w:lang w:val="pt-PT" w:eastAsia="en-US" w:bidi="ar-SA"/>
      </w:rPr>
    </w:lvl>
    <w:lvl w:ilvl="4" w:tplc="7A36F024">
      <w:numFmt w:val="bullet"/>
      <w:lvlText w:val="•"/>
      <w:lvlJc w:val="left"/>
      <w:pPr>
        <w:ind w:left="4445" w:hanging="218"/>
      </w:pPr>
      <w:rPr>
        <w:rFonts w:hint="default"/>
        <w:lang w:val="pt-PT" w:eastAsia="en-US" w:bidi="ar-SA"/>
      </w:rPr>
    </w:lvl>
    <w:lvl w:ilvl="5" w:tplc="19DC5BBC">
      <w:numFmt w:val="bullet"/>
      <w:lvlText w:val="•"/>
      <w:lvlJc w:val="left"/>
      <w:pPr>
        <w:ind w:left="5382" w:hanging="218"/>
      </w:pPr>
      <w:rPr>
        <w:rFonts w:hint="default"/>
        <w:lang w:val="pt-PT" w:eastAsia="en-US" w:bidi="ar-SA"/>
      </w:rPr>
    </w:lvl>
    <w:lvl w:ilvl="6" w:tplc="9C3C1F44">
      <w:numFmt w:val="bullet"/>
      <w:lvlText w:val="•"/>
      <w:lvlJc w:val="left"/>
      <w:pPr>
        <w:ind w:left="6318" w:hanging="218"/>
      </w:pPr>
      <w:rPr>
        <w:rFonts w:hint="default"/>
        <w:lang w:val="pt-PT" w:eastAsia="en-US" w:bidi="ar-SA"/>
      </w:rPr>
    </w:lvl>
    <w:lvl w:ilvl="7" w:tplc="DDF800C2">
      <w:numFmt w:val="bullet"/>
      <w:lvlText w:val="•"/>
      <w:lvlJc w:val="left"/>
      <w:pPr>
        <w:ind w:left="7255" w:hanging="218"/>
      </w:pPr>
      <w:rPr>
        <w:rFonts w:hint="default"/>
        <w:lang w:val="pt-PT" w:eastAsia="en-US" w:bidi="ar-SA"/>
      </w:rPr>
    </w:lvl>
    <w:lvl w:ilvl="8" w:tplc="4C3615E6">
      <w:numFmt w:val="bullet"/>
      <w:lvlText w:val="•"/>
      <w:lvlJc w:val="left"/>
      <w:pPr>
        <w:ind w:left="8191" w:hanging="218"/>
      </w:pPr>
      <w:rPr>
        <w:rFonts w:hint="default"/>
        <w:lang w:val="pt-PT" w:eastAsia="en-US" w:bidi="ar-SA"/>
      </w:rPr>
    </w:lvl>
  </w:abstractNum>
  <w:abstractNum w:abstractNumId="12" w15:restartNumberingAfterBreak="0">
    <w:nsid w:val="109144C4"/>
    <w:multiLevelType w:val="hybridMultilevel"/>
    <w:tmpl w:val="9126C84A"/>
    <w:lvl w:ilvl="0" w:tplc="5AAABE3E">
      <w:numFmt w:val="bullet"/>
      <w:lvlText w:val="•"/>
      <w:lvlJc w:val="left"/>
      <w:pPr>
        <w:ind w:left="1429" w:hanging="360"/>
      </w:pPr>
      <w:rPr>
        <w:rFonts w:ascii="Courier New" w:eastAsia="Courier New" w:hAnsi="Courier New" w:cs="Courier New" w:hint="default"/>
        <w:b w:val="0"/>
        <w:bCs w:val="0"/>
        <w:i w:val="0"/>
        <w:iCs w:val="0"/>
        <w:color w:val="001F60"/>
        <w:spacing w:val="0"/>
        <w:w w:val="76"/>
        <w:sz w:val="22"/>
        <w:szCs w:val="22"/>
        <w:lang w:val="pt-PT" w:eastAsia="en-US" w:bidi="ar-SA"/>
      </w:rPr>
    </w:lvl>
    <w:lvl w:ilvl="1" w:tplc="D9843AE4">
      <w:numFmt w:val="bullet"/>
      <w:lvlText w:val="•"/>
      <w:lvlJc w:val="left"/>
      <w:pPr>
        <w:ind w:left="2284" w:hanging="360"/>
      </w:pPr>
      <w:rPr>
        <w:rFonts w:hint="default"/>
        <w:lang w:val="pt-PT" w:eastAsia="en-US" w:bidi="ar-SA"/>
      </w:rPr>
    </w:lvl>
    <w:lvl w:ilvl="2" w:tplc="A052D0DA">
      <w:numFmt w:val="bullet"/>
      <w:lvlText w:val="•"/>
      <w:lvlJc w:val="left"/>
      <w:pPr>
        <w:ind w:left="3148" w:hanging="360"/>
      </w:pPr>
      <w:rPr>
        <w:rFonts w:hint="default"/>
        <w:lang w:val="pt-PT" w:eastAsia="en-US" w:bidi="ar-SA"/>
      </w:rPr>
    </w:lvl>
    <w:lvl w:ilvl="3" w:tplc="CF8CB4E4">
      <w:numFmt w:val="bullet"/>
      <w:lvlText w:val="•"/>
      <w:lvlJc w:val="left"/>
      <w:pPr>
        <w:ind w:left="4013" w:hanging="360"/>
      </w:pPr>
      <w:rPr>
        <w:rFonts w:hint="default"/>
        <w:lang w:val="pt-PT" w:eastAsia="en-US" w:bidi="ar-SA"/>
      </w:rPr>
    </w:lvl>
    <w:lvl w:ilvl="4" w:tplc="08CE2CEC">
      <w:numFmt w:val="bullet"/>
      <w:lvlText w:val="•"/>
      <w:lvlJc w:val="left"/>
      <w:pPr>
        <w:ind w:left="4877" w:hanging="360"/>
      </w:pPr>
      <w:rPr>
        <w:rFonts w:hint="default"/>
        <w:lang w:val="pt-PT" w:eastAsia="en-US" w:bidi="ar-SA"/>
      </w:rPr>
    </w:lvl>
    <w:lvl w:ilvl="5" w:tplc="A99E894A">
      <w:numFmt w:val="bullet"/>
      <w:lvlText w:val="•"/>
      <w:lvlJc w:val="left"/>
      <w:pPr>
        <w:ind w:left="5742" w:hanging="360"/>
      </w:pPr>
      <w:rPr>
        <w:rFonts w:hint="default"/>
        <w:lang w:val="pt-PT" w:eastAsia="en-US" w:bidi="ar-SA"/>
      </w:rPr>
    </w:lvl>
    <w:lvl w:ilvl="6" w:tplc="7B24A5B4">
      <w:numFmt w:val="bullet"/>
      <w:lvlText w:val="•"/>
      <w:lvlJc w:val="left"/>
      <w:pPr>
        <w:ind w:left="6606" w:hanging="360"/>
      </w:pPr>
      <w:rPr>
        <w:rFonts w:hint="default"/>
        <w:lang w:val="pt-PT" w:eastAsia="en-US" w:bidi="ar-SA"/>
      </w:rPr>
    </w:lvl>
    <w:lvl w:ilvl="7" w:tplc="8C6CB64E">
      <w:numFmt w:val="bullet"/>
      <w:lvlText w:val="•"/>
      <w:lvlJc w:val="left"/>
      <w:pPr>
        <w:ind w:left="7471" w:hanging="360"/>
      </w:pPr>
      <w:rPr>
        <w:rFonts w:hint="default"/>
        <w:lang w:val="pt-PT" w:eastAsia="en-US" w:bidi="ar-SA"/>
      </w:rPr>
    </w:lvl>
    <w:lvl w:ilvl="8" w:tplc="4620A238">
      <w:numFmt w:val="bullet"/>
      <w:lvlText w:val="•"/>
      <w:lvlJc w:val="left"/>
      <w:pPr>
        <w:ind w:left="8335" w:hanging="360"/>
      </w:pPr>
      <w:rPr>
        <w:rFonts w:hint="default"/>
        <w:lang w:val="pt-PT" w:eastAsia="en-US" w:bidi="ar-SA"/>
      </w:rPr>
    </w:lvl>
  </w:abstractNum>
  <w:abstractNum w:abstractNumId="13" w15:restartNumberingAfterBreak="0">
    <w:nsid w:val="11286C9F"/>
    <w:multiLevelType w:val="hybridMultilevel"/>
    <w:tmpl w:val="CC0091F8"/>
    <w:lvl w:ilvl="0" w:tplc="3EB4EE0E">
      <w:start w:val="1"/>
      <w:numFmt w:val="lowerRoman"/>
      <w:lvlText w:val="(%1)"/>
      <w:lvlJc w:val="left"/>
      <w:pPr>
        <w:ind w:left="1429" w:hanging="360"/>
        <w:jc w:val="left"/>
      </w:pPr>
      <w:rPr>
        <w:rFonts w:ascii="Calibri" w:eastAsia="Calibri" w:hAnsi="Calibri" w:cs="Calibri" w:hint="default"/>
        <w:b w:val="0"/>
        <w:bCs w:val="0"/>
        <w:i w:val="0"/>
        <w:iCs w:val="0"/>
        <w:color w:val="001F60"/>
        <w:spacing w:val="0"/>
        <w:w w:val="100"/>
        <w:sz w:val="22"/>
        <w:szCs w:val="22"/>
        <w:lang w:val="pt-PT" w:eastAsia="en-US" w:bidi="ar-SA"/>
      </w:rPr>
    </w:lvl>
    <w:lvl w:ilvl="1" w:tplc="3EA236B8">
      <w:numFmt w:val="bullet"/>
      <w:lvlText w:val="•"/>
      <w:lvlJc w:val="left"/>
      <w:pPr>
        <w:ind w:left="2284" w:hanging="360"/>
      </w:pPr>
      <w:rPr>
        <w:rFonts w:hint="default"/>
        <w:lang w:val="pt-PT" w:eastAsia="en-US" w:bidi="ar-SA"/>
      </w:rPr>
    </w:lvl>
    <w:lvl w:ilvl="2" w:tplc="8B84BDE4">
      <w:numFmt w:val="bullet"/>
      <w:lvlText w:val="•"/>
      <w:lvlJc w:val="left"/>
      <w:pPr>
        <w:ind w:left="3148" w:hanging="360"/>
      </w:pPr>
      <w:rPr>
        <w:rFonts w:hint="default"/>
        <w:lang w:val="pt-PT" w:eastAsia="en-US" w:bidi="ar-SA"/>
      </w:rPr>
    </w:lvl>
    <w:lvl w:ilvl="3" w:tplc="4E9A0276">
      <w:numFmt w:val="bullet"/>
      <w:lvlText w:val="•"/>
      <w:lvlJc w:val="left"/>
      <w:pPr>
        <w:ind w:left="4013" w:hanging="360"/>
      </w:pPr>
      <w:rPr>
        <w:rFonts w:hint="default"/>
        <w:lang w:val="pt-PT" w:eastAsia="en-US" w:bidi="ar-SA"/>
      </w:rPr>
    </w:lvl>
    <w:lvl w:ilvl="4" w:tplc="DA6E2A0A">
      <w:numFmt w:val="bullet"/>
      <w:lvlText w:val="•"/>
      <w:lvlJc w:val="left"/>
      <w:pPr>
        <w:ind w:left="4877" w:hanging="360"/>
      </w:pPr>
      <w:rPr>
        <w:rFonts w:hint="default"/>
        <w:lang w:val="pt-PT" w:eastAsia="en-US" w:bidi="ar-SA"/>
      </w:rPr>
    </w:lvl>
    <w:lvl w:ilvl="5" w:tplc="4D24CD78">
      <w:numFmt w:val="bullet"/>
      <w:lvlText w:val="•"/>
      <w:lvlJc w:val="left"/>
      <w:pPr>
        <w:ind w:left="5742" w:hanging="360"/>
      </w:pPr>
      <w:rPr>
        <w:rFonts w:hint="default"/>
        <w:lang w:val="pt-PT" w:eastAsia="en-US" w:bidi="ar-SA"/>
      </w:rPr>
    </w:lvl>
    <w:lvl w:ilvl="6" w:tplc="306E48DC">
      <w:numFmt w:val="bullet"/>
      <w:lvlText w:val="•"/>
      <w:lvlJc w:val="left"/>
      <w:pPr>
        <w:ind w:left="6606" w:hanging="360"/>
      </w:pPr>
      <w:rPr>
        <w:rFonts w:hint="default"/>
        <w:lang w:val="pt-PT" w:eastAsia="en-US" w:bidi="ar-SA"/>
      </w:rPr>
    </w:lvl>
    <w:lvl w:ilvl="7" w:tplc="9B3CDA34">
      <w:numFmt w:val="bullet"/>
      <w:lvlText w:val="•"/>
      <w:lvlJc w:val="left"/>
      <w:pPr>
        <w:ind w:left="7471" w:hanging="360"/>
      </w:pPr>
      <w:rPr>
        <w:rFonts w:hint="default"/>
        <w:lang w:val="pt-PT" w:eastAsia="en-US" w:bidi="ar-SA"/>
      </w:rPr>
    </w:lvl>
    <w:lvl w:ilvl="8" w:tplc="AA62F896">
      <w:numFmt w:val="bullet"/>
      <w:lvlText w:val="•"/>
      <w:lvlJc w:val="left"/>
      <w:pPr>
        <w:ind w:left="8335" w:hanging="360"/>
      </w:pPr>
      <w:rPr>
        <w:rFonts w:hint="default"/>
        <w:lang w:val="pt-PT" w:eastAsia="en-US" w:bidi="ar-SA"/>
      </w:rPr>
    </w:lvl>
  </w:abstractNum>
  <w:abstractNum w:abstractNumId="14" w15:restartNumberingAfterBreak="0">
    <w:nsid w:val="1553389A"/>
    <w:multiLevelType w:val="hybridMultilevel"/>
    <w:tmpl w:val="3BF6AA54"/>
    <w:lvl w:ilvl="0" w:tplc="CEA64430">
      <w:start w:val="1"/>
      <w:numFmt w:val="lowerRoman"/>
      <w:lvlText w:val="%1)"/>
      <w:lvlJc w:val="left"/>
      <w:pPr>
        <w:ind w:left="871" w:hanging="162"/>
        <w:jc w:val="left"/>
      </w:pPr>
      <w:rPr>
        <w:rFonts w:ascii="Calibri" w:eastAsia="Calibri" w:hAnsi="Calibri" w:cs="Calibri" w:hint="default"/>
        <w:b w:val="0"/>
        <w:bCs w:val="0"/>
        <w:i w:val="0"/>
        <w:iCs w:val="0"/>
        <w:color w:val="001F60"/>
        <w:spacing w:val="0"/>
        <w:w w:val="100"/>
        <w:sz w:val="22"/>
        <w:szCs w:val="22"/>
        <w:lang w:val="pt-PT" w:eastAsia="en-US" w:bidi="ar-SA"/>
      </w:rPr>
    </w:lvl>
    <w:lvl w:ilvl="1" w:tplc="68AC2BB6">
      <w:numFmt w:val="bullet"/>
      <w:lvlText w:val="•"/>
      <w:lvlJc w:val="left"/>
      <w:pPr>
        <w:ind w:left="1798" w:hanging="162"/>
      </w:pPr>
      <w:rPr>
        <w:rFonts w:hint="default"/>
        <w:lang w:val="pt-PT" w:eastAsia="en-US" w:bidi="ar-SA"/>
      </w:rPr>
    </w:lvl>
    <w:lvl w:ilvl="2" w:tplc="61820C84">
      <w:numFmt w:val="bullet"/>
      <w:lvlText w:val="•"/>
      <w:lvlJc w:val="left"/>
      <w:pPr>
        <w:ind w:left="2716" w:hanging="162"/>
      </w:pPr>
      <w:rPr>
        <w:rFonts w:hint="default"/>
        <w:lang w:val="pt-PT" w:eastAsia="en-US" w:bidi="ar-SA"/>
      </w:rPr>
    </w:lvl>
    <w:lvl w:ilvl="3" w:tplc="6F72F5A2">
      <w:numFmt w:val="bullet"/>
      <w:lvlText w:val="•"/>
      <w:lvlJc w:val="left"/>
      <w:pPr>
        <w:ind w:left="3635" w:hanging="162"/>
      </w:pPr>
      <w:rPr>
        <w:rFonts w:hint="default"/>
        <w:lang w:val="pt-PT" w:eastAsia="en-US" w:bidi="ar-SA"/>
      </w:rPr>
    </w:lvl>
    <w:lvl w:ilvl="4" w:tplc="046C2722">
      <w:numFmt w:val="bullet"/>
      <w:lvlText w:val="•"/>
      <w:lvlJc w:val="left"/>
      <w:pPr>
        <w:ind w:left="4553" w:hanging="162"/>
      </w:pPr>
      <w:rPr>
        <w:rFonts w:hint="default"/>
        <w:lang w:val="pt-PT" w:eastAsia="en-US" w:bidi="ar-SA"/>
      </w:rPr>
    </w:lvl>
    <w:lvl w:ilvl="5" w:tplc="ABD82804">
      <w:numFmt w:val="bullet"/>
      <w:lvlText w:val="•"/>
      <w:lvlJc w:val="left"/>
      <w:pPr>
        <w:ind w:left="5472" w:hanging="162"/>
      </w:pPr>
      <w:rPr>
        <w:rFonts w:hint="default"/>
        <w:lang w:val="pt-PT" w:eastAsia="en-US" w:bidi="ar-SA"/>
      </w:rPr>
    </w:lvl>
    <w:lvl w:ilvl="6" w:tplc="80DCDBEE">
      <w:numFmt w:val="bullet"/>
      <w:lvlText w:val="•"/>
      <w:lvlJc w:val="left"/>
      <w:pPr>
        <w:ind w:left="6390" w:hanging="162"/>
      </w:pPr>
      <w:rPr>
        <w:rFonts w:hint="default"/>
        <w:lang w:val="pt-PT" w:eastAsia="en-US" w:bidi="ar-SA"/>
      </w:rPr>
    </w:lvl>
    <w:lvl w:ilvl="7" w:tplc="CEE82830">
      <w:numFmt w:val="bullet"/>
      <w:lvlText w:val="•"/>
      <w:lvlJc w:val="left"/>
      <w:pPr>
        <w:ind w:left="7309" w:hanging="162"/>
      </w:pPr>
      <w:rPr>
        <w:rFonts w:hint="default"/>
        <w:lang w:val="pt-PT" w:eastAsia="en-US" w:bidi="ar-SA"/>
      </w:rPr>
    </w:lvl>
    <w:lvl w:ilvl="8" w:tplc="09B4B2DA">
      <w:numFmt w:val="bullet"/>
      <w:lvlText w:val="•"/>
      <w:lvlJc w:val="left"/>
      <w:pPr>
        <w:ind w:left="8227" w:hanging="162"/>
      </w:pPr>
      <w:rPr>
        <w:rFonts w:hint="default"/>
        <w:lang w:val="pt-PT" w:eastAsia="en-US" w:bidi="ar-SA"/>
      </w:rPr>
    </w:lvl>
  </w:abstractNum>
  <w:abstractNum w:abstractNumId="15" w15:restartNumberingAfterBreak="0">
    <w:nsid w:val="1587157D"/>
    <w:multiLevelType w:val="hybridMultilevel"/>
    <w:tmpl w:val="2C4606D8"/>
    <w:lvl w:ilvl="0" w:tplc="E1D2F654">
      <w:start w:val="1"/>
      <w:numFmt w:val="lowerRoman"/>
      <w:lvlText w:val="%1)"/>
      <w:lvlJc w:val="left"/>
      <w:pPr>
        <w:ind w:left="340" w:hanging="197"/>
        <w:jc w:val="left"/>
      </w:pPr>
      <w:rPr>
        <w:rFonts w:ascii="Arial" w:eastAsia="Arial" w:hAnsi="Arial" w:cs="Arial" w:hint="default"/>
        <w:b/>
        <w:bCs/>
        <w:i w:val="0"/>
        <w:iCs w:val="0"/>
        <w:spacing w:val="0"/>
        <w:w w:val="100"/>
        <w:sz w:val="22"/>
        <w:szCs w:val="22"/>
        <w:lang w:val="pt-PT" w:eastAsia="en-US" w:bidi="ar-SA"/>
      </w:rPr>
    </w:lvl>
    <w:lvl w:ilvl="1" w:tplc="8AFA061E">
      <w:start w:val="1"/>
      <w:numFmt w:val="lowerLetter"/>
      <w:lvlText w:val="%2)"/>
      <w:lvlJc w:val="left"/>
      <w:pPr>
        <w:ind w:left="399" w:hanging="257"/>
        <w:jc w:val="left"/>
      </w:pPr>
      <w:rPr>
        <w:rFonts w:ascii="Arial" w:eastAsia="Arial" w:hAnsi="Arial" w:cs="Arial" w:hint="default"/>
        <w:b/>
        <w:bCs/>
        <w:i w:val="0"/>
        <w:iCs w:val="0"/>
        <w:spacing w:val="-2"/>
        <w:w w:val="100"/>
        <w:sz w:val="22"/>
        <w:szCs w:val="22"/>
        <w:lang w:val="pt-PT" w:eastAsia="en-US" w:bidi="ar-SA"/>
      </w:rPr>
    </w:lvl>
    <w:lvl w:ilvl="2" w:tplc="05283A60">
      <w:numFmt w:val="bullet"/>
      <w:lvlText w:val="•"/>
      <w:lvlJc w:val="left"/>
      <w:pPr>
        <w:ind w:left="400" w:hanging="257"/>
      </w:pPr>
      <w:rPr>
        <w:rFonts w:hint="default"/>
        <w:lang w:val="pt-PT" w:eastAsia="en-US" w:bidi="ar-SA"/>
      </w:rPr>
    </w:lvl>
    <w:lvl w:ilvl="3" w:tplc="F7AC2D30">
      <w:numFmt w:val="bullet"/>
      <w:lvlText w:val="•"/>
      <w:lvlJc w:val="left"/>
      <w:pPr>
        <w:ind w:left="1679" w:hanging="257"/>
      </w:pPr>
      <w:rPr>
        <w:rFonts w:hint="default"/>
        <w:lang w:val="pt-PT" w:eastAsia="en-US" w:bidi="ar-SA"/>
      </w:rPr>
    </w:lvl>
    <w:lvl w:ilvl="4" w:tplc="F5961C00">
      <w:numFmt w:val="bullet"/>
      <w:lvlText w:val="•"/>
      <w:lvlJc w:val="left"/>
      <w:pPr>
        <w:ind w:left="2958" w:hanging="257"/>
      </w:pPr>
      <w:rPr>
        <w:rFonts w:hint="default"/>
        <w:lang w:val="pt-PT" w:eastAsia="en-US" w:bidi="ar-SA"/>
      </w:rPr>
    </w:lvl>
    <w:lvl w:ilvl="5" w:tplc="7248CF60">
      <w:numFmt w:val="bullet"/>
      <w:lvlText w:val="•"/>
      <w:lvlJc w:val="left"/>
      <w:pPr>
        <w:ind w:left="4237" w:hanging="257"/>
      </w:pPr>
      <w:rPr>
        <w:rFonts w:hint="default"/>
        <w:lang w:val="pt-PT" w:eastAsia="en-US" w:bidi="ar-SA"/>
      </w:rPr>
    </w:lvl>
    <w:lvl w:ilvl="6" w:tplc="56346ACA">
      <w:numFmt w:val="bullet"/>
      <w:lvlText w:val="•"/>
      <w:lvlJc w:val="left"/>
      <w:pPr>
        <w:ind w:left="5516" w:hanging="257"/>
      </w:pPr>
      <w:rPr>
        <w:rFonts w:hint="default"/>
        <w:lang w:val="pt-PT" w:eastAsia="en-US" w:bidi="ar-SA"/>
      </w:rPr>
    </w:lvl>
    <w:lvl w:ilvl="7" w:tplc="6478BE92">
      <w:numFmt w:val="bullet"/>
      <w:lvlText w:val="•"/>
      <w:lvlJc w:val="left"/>
      <w:pPr>
        <w:ind w:left="6795" w:hanging="257"/>
      </w:pPr>
      <w:rPr>
        <w:rFonts w:hint="default"/>
        <w:lang w:val="pt-PT" w:eastAsia="en-US" w:bidi="ar-SA"/>
      </w:rPr>
    </w:lvl>
    <w:lvl w:ilvl="8" w:tplc="57AE3E74">
      <w:numFmt w:val="bullet"/>
      <w:lvlText w:val="•"/>
      <w:lvlJc w:val="left"/>
      <w:pPr>
        <w:ind w:left="8074" w:hanging="257"/>
      </w:pPr>
      <w:rPr>
        <w:rFonts w:hint="default"/>
        <w:lang w:val="pt-PT" w:eastAsia="en-US" w:bidi="ar-SA"/>
      </w:rPr>
    </w:lvl>
  </w:abstractNum>
  <w:abstractNum w:abstractNumId="16" w15:restartNumberingAfterBreak="0">
    <w:nsid w:val="160D26A2"/>
    <w:multiLevelType w:val="hybridMultilevel"/>
    <w:tmpl w:val="9EEA0CF4"/>
    <w:lvl w:ilvl="0" w:tplc="48740D42">
      <w:start w:val="1"/>
      <w:numFmt w:val="lowerRoman"/>
      <w:lvlText w:val="(%1)"/>
      <w:lvlJc w:val="left"/>
      <w:pPr>
        <w:ind w:left="1429" w:hanging="360"/>
        <w:jc w:val="left"/>
      </w:pPr>
      <w:rPr>
        <w:rFonts w:ascii="Calibri" w:eastAsia="Calibri" w:hAnsi="Calibri" w:cs="Calibri" w:hint="default"/>
        <w:b w:val="0"/>
        <w:bCs w:val="0"/>
        <w:i w:val="0"/>
        <w:iCs w:val="0"/>
        <w:color w:val="001F60"/>
        <w:spacing w:val="0"/>
        <w:w w:val="100"/>
        <w:sz w:val="22"/>
        <w:szCs w:val="22"/>
        <w:lang w:val="pt-PT" w:eastAsia="en-US" w:bidi="ar-SA"/>
      </w:rPr>
    </w:lvl>
    <w:lvl w:ilvl="1" w:tplc="1646EA40">
      <w:numFmt w:val="bullet"/>
      <w:lvlText w:val="•"/>
      <w:lvlJc w:val="left"/>
      <w:pPr>
        <w:ind w:left="2284" w:hanging="360"/>
      </w:pPr>
      <w:rPr>
        <w:rFonts w:hint="default"/>
        <w:lang w:val="pt-PT" w:eastAsia="en-US" w:bidi="ar-SA"/>
      </w:rPr>
    </w:lvl>
    <w:lvl w:ilvl="2" w:tplc="29949DCC">
      <w:numFmt w:val="bullet"/>
      <w:lvlText w:val="•"/>
      <w:lvlJc w:val="left"/>
      <w:pPr>
        <w:ind w:left="3148" w:hanging="360"/>
      </w:pPr>
      <w:rPr>
        <w:rFonts w:hint="default"/>
        <w:lang w:val="pt-PT" w:eastAsia="en-US" w:bidi="ar-SA"/>
      </w:rPr>
    </w:lvl>
    <w:lvl w:ilvl="3" w:tplc="22544C70">
      <w:numFmt w:val="bullet"/>
      <w:lvlText w:val="•"/>
      <w:lvlJc w:val="left"/>
      <w:pPr>
        <w:ind w:left="4013" w:hanging="360"/>
      </w:pPr>
      <w:rPr>
        <w:rFonts w:hint="default"/>
        <w:lang w:val="pt-PT" w:eastAsia="en-US" w:bidi="ar-SA"/>
      </w:rPr>
    </w:lvl>
    <w:lvl w:ilvl="4" w:tplc="B7C21D2A">
      <w:numFmt w:val="bullet"/>
      <w:lvlText w:val="•"/>
      <w:lvlJc w:val="left"/>
      <w:pPr>
        <w:ind w:left="4877" w:hanging="360"/>
      </w:pPr>
      <w:rPr>
        <w:rFonts w:hint="default"/>
        <w:lang w:val="pt-PT" w:eastAsia="en-US" w:bidi="ar-SA"/>
      </w:rPr>
    </w:lvl>
    <w:lvl w:ilvl="5" w:tplc="55B09806">
      <w:numFmt w:val="bullet"/>
      <w:lvlText w:val="•"/>
      <w:lvlJc w:val="left"/>
      <w:pPr>
        <w:ind w:left="5742" w:hanging="360"/>
      </w:pPr>
      <w:rPr>
        <w:rFonts w:hint="default"/>
        <w:lang w:val="pt-PT" w:eastAsia="en-US" w:bidi="ar-SA"/>
      </w:rPr>
    </w:lvl>
    <w:lvl w:ilvl="6" w:tplc="9D1490AE">
      <w:numFmt w:val="bullet"/>
      <w:lvlText w:val="•"/>
      <w:lvlJc w:val="left"/>
      <w:pPr>
        <w:ind w:left="6606" w:hanging="360"/>
      </w:pPr>
      <w:rPr>
        <w:rFonts w:hint="default"/>
        <w:lang w:val="pt-PT" w:eastAsia="en-US" w:bidi="ar-SA"/>
      </w:rPr>
    </w:lvl>
    <w:lvl w:ilvl="7" w:tplc="D79621EC">
      <w:numFmt w:val="bullet"/>
      <w:lvlText w:val="•"/>
      <w:lvlJc w:val="left"/>
      <w:pPr>
        <w:ind w:left="7471" w:hanging="360"/>
      </w:pPr>
      <w:rPr>
        <w:rFonts w:hint="default"/>
        <w:lang w:val="pt-PT" w:eastAsia="en-US" w:bidi="ar-SA"/>
      </w:rPr>
    </w:lvl>
    <w:lvl w:ilvl="8" w:tplc="AE883C80">
      <w:numFmt w:val="bullet"/>
      <w:lvlText w:val="•"/>
      <w:lvlJc w:val="left"/>
      <w:pPr>
        <w:ind w:left="8335" w:hanging="360"/>
      </w:pPr>
      <w:rPr>
        <w:rFonts w:hint="default"/>
        <w:lang w:val="pt-PT" w:eastAsia="en-US" w:bidi="ar-SA"/>
      </w:rPr>
    </w:lvl>
  </w:abstractNum>
  <w:abstractNum w:abstractNumId="17" w15:restartNumberingAfterBreak="0">
    <w:nsid w:val="17C528A9"/>
    <w:multiLevelType w:val="hybridMultilevel"/>
    <w:tmpl w:val="273A6672"/>
    <w:lvl w:ilvl="0" w:tplc="86644388">
      <w:start w:val="2"/>
      <w:numFmt w:val="lowerLetter"/>
      <w:lvlText w:val="%1)"/>
      <w:lvlJc w:val="left"/>
      <w:pPr>
        <w:ind w:left="1985" w:hanging="317"/>
        <w:jc w:val="left"/>
      </w:pPr>
      <w:rPr>
        <w:rFonts w:ascii="Calibri" w:eastAsia="Calibri" w:hAnsi="Calibri" w:cs="Calibri" w:hint="default"/>
        <w:b w:val="0"/>
        <w:bCs w:val="0"/>
        <w:i w:val="0"/>
        <w:iCs w:val="0"/>
        <w:color w:val="1F3863"/>
        <w:spacing w:val="0"/>
        <w:w w:val="100"/>
        <w:sz w:val="24"/>
        <w:szCs w:val="24"/>
        <w:lang w:val="pt-PT" w:eastAsia="en-US" w:bidi="ar-SA"/>
      </w:rPr>
    </w:lvl>
    <w:lvl w:ilvl="1" w:tplc="32E4B6F4">
      <w:numFmt w:val="bullet"/>
      <w:lvlText w:val=""/>
      <w:lvlJc w:val="left"/>
      <w:pPr>
        <w:ind w:left="3000" w:hanging="360"/>
      </w:pPr>
      <w:rPr>
        <w:rFonts w:ascii="Symbol" w:eastAsia="Symbol" w:hAnsi="Symbol" w:cs="Symbol" w:hint="default"/>
        <w:b w:val="0"/>
        <w:bCs w:val="0"/>
        <w:i w:val="0"/>
        <w:iCs w:val="0"/>
        <w:spacing w:val="0"/>
        <w:w w:val="100"/>
        <w:sz w:val="22"/>
        <w:szCs w:val="22"/>
        <w:lang w:val="pt-PT" w:eastAsia="en-US" w:bidi="ar-SA"/>
      </w:rPr>
    </w:lvl>
    <w:lvl w:ilvl="2" w:tplc="4D1C9D38">
      <w:numFmt w:val="bullet"/>
      <w:lvlText w:val="•"/>
      <w:lvlJc w:val="left"/>
      <w:pPr>
        <w:ind w:left="3932" w:hanging="360"/>
      </w:pPr>
      <w:rPr>
        <w:rFonts w:hint="default"/>
        <w:lang w:val="pt-PT" w:eastAsia="en-US" w:bidi="ar-SA"/>
      </w:rPr>
    </w:lvl>
    <w:lvl w:ilvl="3" w:tplc="E230C5C2">
      <w:numFmt w:val="bullet"/>
      <w:lvlText w:val="•"/>
      <w:lvlJc w:val="left"/>
      <w:pPr>
        <w:ind w:left="4864" w:hanging="360"/>
      </w:pPr>
      <w:rPr>
        <w:rFonts w:hint="default"/>
        <w:lang w:val="pt-PT" w:eastAsia="en-US" w:bidi="ar-SA"/>
      </w:rPr>
    </w:lvl>
    <w:lvl w:ilvl="4" w:tplc="4B7C3CC0">
      <w:numFmt w:val="bullet"/>
      <w:lvlText w:val="•"/>
      <w:lvlJc w:val="left"/>
      <w:pPr>
        <w:ind w:left="5796" w:hanging="360"/>
      </w:pPr>
      <w:rPr>
        <w:rFonts w:hint="default"/>
        <w:lang w:val="pt-PT" w:eastAsia="en-US" w:bidi="ar-SA"/>
      </w:rPr>
    </w:lvl>
    <w:lvl w:ilvl="5" w:tplc="11B6E6F2">
      <w:numFmt w:val="bullet"/>
      <w:lvlText w:val="•"/>
      <w:lvlJc w:val="left"/>
      <w:pPr>
        <w:ind w:left="6728" w:hanging="360"/>
      </w:pPr>
      <w:rPr>
        <w:rFonts w:hint="default"/>
        <w:lang w:val="pt-PT" w:eastAsia="en-US" w:bidi="ar-SA"/>
      </w:rPr>
    </w:lvl>
    <w:lvl w:ilvl="6" w:tplc="4E2C630A">
      <w:numFmt w:val="bullet"/>
      <w:lvlText w:val="•"/>
      <w:lvlJc w:val="left"/>
      <w:pPr>
        <w:ind w:left="7661" w:hanging="360"/>
      </w:pPr>
      <w:rPr>
        <w:rFonts w:hint="default"/>
        <w:lang w:val="pt-PT" w:eastAsia="en-US" w:bidi="ar-SA"/>
      </w:rPr>
    </w:lvl>
    <w:lvl w:ilvl="7" w:tplc="E6F4D9AC">
      <w:numFmt w:val="bullet"/>
      <w:lvlText w:val="•"/>
      <w:lvlJc w:val="left"/>
      <w:pPr>
        <w:ind w:left="8593" w:hanging="360"/>
      </w:pPr>
      <w:rPr>
        <w:rFonts w:hint="default"/>
        <w:lang w:val="pt-PT" w:eastAsia="en-US" w:bidi="ar-SA"/>
      </w:rPr>
    </w:lvl>
    <w:lvl w:ilvl="8" w:tplc="4EA81834">
      <w:numFmt w:val="bullet"/>
      <w:lvlText w:val="•"/>
      <w:lvlJc w:val="left"/>
      <w:pPr>
        <w:ind w:left="9525" w:hanging="360"/>
      </w:pPr>
      <w:rPr>
        <w:rFonts w:hint="default"/>
        <w:lang w:val="pt-PT" w:eastAsia="en-US" w:bidi="ar-SA"/>
      </w:rPr>
    </w:lvl>
  </w:abstractNum>
  <w:abstractNum w:abstractNumId="18" w15:restartNumberingAfterBreak="0">
    <w:nsid w:val="1A5C66F5"/>
    <w:multiLevelType w:val="multilevel"/>
    <w:tmpl w:val="37226514"/>
    <w:lvl w:ilvl="0">
      <w:start w:val="4"/>
      <w:numFmt w:val="decimal"/>
      <w:lvlText w:val="%1"/>
      <w:lvlJc w:val="left"/>
      <w:pPr>
        <w:ind w:left="1004" w:hanging="862"/>
        <w:jc w:val="left"/>
      </w:pPr>
      <w:rPr>
        <w:rFonts w:hint="default"/>
        <w:lang w:val="pt-PT" w:eastAsia="en-US" w:bidi="ar-SA"/>
      </w:rPr>
    </w:lvl>
    <w:lvl w:ilvl="1">
      <w:start w:val="1"/>
      <w:numFmt w:val="decimal"/>
      <w:lvlText w:val="%1.%2."/>
      <w:lvlJc w:val="left"/>
      <w:pPr>
        <w:ind w:left="1004" w:hanging="862"/>
        <w:jc w:val="left"/>
      </w:pPr>
      <w:rPr>
        <w:rFonts w:ascii="Arial" w:eastAsia="Arial" w:hAnsi="Arial" w:cs="Arial" w:hint="default"/>
        <w:b/>
        <w:bCs/>
        <w:i w:val="0"/>
        <w:iCs w:val="0"/>
        <w:spacing w:val="-2"/>
        <w:w w:val="100"/>
        <w:sz w:val="22"/>
        <w:szCs w:val="22"/>
        <w:lang w:val="pt-PT" w:eastAsia="en-US" w:bidi="ar-SA"/>
      </w:rPr>
    </w:lvl>
    <w:lvl w:ilvl="2">
      <w:numFmt w:val="bullet"/>
      <w:lvlText w:val="•"/>
      <w:lvlJc w:val="left"/>
      <w:pPr>
        <w:ind w:left="2926" w:hanging="862"/>
      </w:pPr>
      <w:rPr>
        <w:rFonts w:hint="default"/>
        <w:lang w:val="pt-PT" w:eastAsia="en-US" w:bidi="ar-SA"/>
      </w:rPr>
    </w:lvl>
    <w:lvl w:ilvl="3">
      <w:numFmt w:val="bullet"/>
      <w:lvlText w:val="•"/>
      <w:lvlJc w:val="left"/>
      <w:pPr>
        <w:ind w:left="3889" w:hanging="862"/>
      </w:pPr>
      <w:rPr>
        <w:rFonts w:hint="default"/>
        <w:lang w:val="pt-PT" w:eastAsia="en-US" w:bidi="ar-SA"/>
      </w:rPr>
    </w:lvl>
    <w:lvl w:ilvl="4">
      <w:numFmt w:val="bullet"/>
      <w:lvlText w:val="•"/>
      <w:lvlJc w:val="left"/>
      <w:pPr>
        <w:ind w:left="4852" w:hanging="862"/>
      </w:pPr>
      <w:rPr>
        <w:rFonts w:hint="default"/>
        <w:lang w:val="pt-PT" w:eastAsia="en-US" w:bidi="ar-SA"/>
      </w:rPr>
    </w:lvl>
    <w:lvl w:ilvl="5">
      <w:numFmt w:val="bullet"/>
      <w:lvlText w:val="•"/>
      <w:lvlJc w:val="left"/>
      <w:pPr>
        <w:ind w:left="5816" w:hanging="862"/>
      </w:pPr>
      <w:rPr>
        <w:rFonts w:hint="default"/>
        <w:lang w:val="pt-PT" w:eastAsia="en-US" w:bidi="ar-SA"/>
      </w:rPr>
    </w:lvl>
    <w:lvl w:ilvl="6">
      <w:numFmt w:val="bullet"/>
      <w:lvlText w:val="•"/>
      <w:lvlJc w:val="left"/>
      <w:pPr>
        <w:ind w:left="6779" w:hanging="862"/>
      </w:pPr>
      <w:rPr>
        <w:rFonts w:hint="default"/>
        <w:lang w:val="pt-PT" w:eastAsia="en-US" w:bidi="ar-SA"/>
      </w:rPr>
    </w:lvl>
    <w:lvl w:ilvl="7">
      <w:numFmt w:val="bullet"/>
      <w:lvlText w:val="•"/>
      <w:lvlJc w:val="left"/>
      <w:pPr>
        <w:ind w:left="7742" w:hanging="862"/>
      </w:pPr>
      <w:rPr>
        <w:rFonts w:hint="default"/>
        <w:lang w:val="pt-PT" w:eastAsia="en-US" w:bidi="ar-SA"/>
      </w:rPr>
    </w:lvl>
    <w:lvl w:ilvl="8">
      <w:numFmt w:val="bullet"/>
      <w:lvlText w:val="•"/>
      <w:lvlJc w:val="left"/>
      <w:pPr>
        <w:ind w:left="8705" w:hanging="862"/>
      </w:pPr>
      <w:rPr>
        <w:rFonts w:hint="default"/>
        <w:lang w:val="pt-PT" w:eastAsia="en-US" w:bidi="ar-SA"/>
      </w:rPr>
    </w:lvl>
  </w:abstractNum>
  <w:abstractNum w:abstractNumId="19" w15:restartNumberingAfterBreak="0">
    <w:nsid w:val="1B4F6B3A"/>
    <w:multiLevelType w:val="hybridMultilevel"/>
    <w:tmpl w:val="B4187822"/>
    <w:lvl w:ilvl="0" w:tplc="1A048852">
      <w:start w:val="1"/>
      <w:numFmt w:val="lowerRoman"/>
      <w:lvlText w:val="%1)"/>
      <w:lvlJc w:val="left"/>
      <w:pPr>
        <w:ind w:left="340" w:hanging="197"/>
        <w:jc w:val="left"/>
      </w:pPr>
      <w:rPr>
        <w:rFonts w:ascii="Arial" w:eastAsia="Arial" w:hAnsi="Arial" w:cs="Arial" w:hint="default"/>
        <w:b/>
        <w:bCs/>
        <w:i w:val="0"/>
        <w:iCs w:val="0"/>
        <w:spacing w:val="0"/>
        <w:w w:val="100"/>
        <w:sz w:val="22"/>
        <w:szCs w:val="22"/>
        <w:lang w:val="pt-PT" w:eastAsia="en-US" w:bidi="ar-SA"/>
      </w:rPr>
    </w:lvl>
    <w:lvl w:ilvl="1" w:tplc="14241CB0">
      <w:start w:val="1"/>
      <w:numFmt w:val="lowerLetter"/>
      <w:lvlText w:val="%2)"/>
      <w:lvlJc w:val="left"/>
      <w:pPr>
        <w:ind w:left="399" w:hanging="257"/>
        <w:jc w:val="left"/>
      </w:pPr>
      <w:rPr>
        <w:rFonts w:ascii="Arial" w:eastAsia="Arial" w:hAnsi="Arial" w:cs="Arial" w:hint="default"/>
        <w:b/>
        <w:bCs/>
        <w:i w:val="0"/>
        <w:iCs w:val="0"/>
        <w:spacing w:val="-2"/>
        <w:w w:val="100"/>
        <w:sz w:val="22"/>
        <w:szCs w:val="22"/>
        <w:lang w:val="pt-PT" w:eastAsia="en-US" w:bidi="ar-SA"/>
      </w:rPr>
    </w:lvl>
    <w:lvl w:ilvl="2" w:tplc="13DEAF4C">
      <w:numFmt w:val="bullet"/>
      <w:lvlText w:val="•"/>
      <w:lvlJc w:val="left"/>
      <w:pPr>
        <w:ind w:left="400" w:hanging="257"/>
      </w:pPr>
      <w:rPr>
        <w:rFonts w:hint="default"/>
        <w:lang w:val="pt-PT" w:eastAsia="en-US" w:bidi="ar-SA"/>
      </w:rPr>
    </w:lvl>
    <w:lvl w:ilvl="3" w:tplc="99861460">
      <w:numFmt w:val="bullet"/>
      <w:lvlText w:val="•"/>
      <w:lvlJc w:val="left"/>
      <w:pPr>
        <w:ind w:left="1679" w:hanging="257"/>
      </w:pPr>
      <w:rPr>
        <w:rFonts w:hint="default"/>
        <w:lang w:val="pt-PT" w:eastAsia="en-US" w:bidi="ar-SA"/>
      </w:rPr>
    </w:lvl>
    <w:lvl w:ilvl="4" w:tplc="E7DC899A">
      <w:numFmt w:val="bullet"/>
      <w:lvlText w:val="•"/>
      <w:lvlJc w:val="left"/>
      <w:pPr>
        <w:ind w:left="2958" w:hanging="257"/>
      </w:pPr>
      <w:rPr>
        <w:rFonts w:hint="default"/>
        <w:lang w:val="pt-PT" w:eastAsia="en-US" w:bidi="ar-SA"/>
      </w:rPr>
    </w:lvl>
    <w:lvl w:ilvl="5" w:tplc="539E425A">
      <w:numFmt w:val="bullet"/>
      <w:lvlText w:val="•"/>
      <w:lvlJc w:val="left"/>
      <w:pPr>
        <w:ind w:left="4237" w:hanging="257"/>
      </w:pPr>
      <w:rPr>
        <w:rFonts w:hint="default"/>
        <w:lang w:val="pt-PT" w:eastAsia="en-US" w:bidi="ar-SA"/>
      </w:rPr>
    </w:lvl>
    <w:lvl w:ilvl="6" w:tplc="FD006F1E">
      <w:numFmt w:val="bullet"/>
      <w:lvlText w:val="•"/>
      <w:lvlJc w:val="left"/>
      <w:pPr>
        <w:ind w:left="5516" w:hanging="257"/>
      </w:pPr>
      <w:rPr>
        <w:rFonts w:hint="default"/>
        <w:lang w:val="pt-PT" w:eastAsia="en-US" w:bidi="ar-SA"/>
      </w:rPr>
    </w:lvl>
    <w:lvl w:ilvl="7" w:tplc="6780182E">
      <w:numFmt w:val="bullet"/>
      <w:lvlText w:val="•"/>
      <w:lvlJc w:val="left"/>
      <w:pPr>
        <w:ind w:left="6795" w:hanging="257"/>
      </w:pPr>
      <w:rPr>
        <w:rFonts w:hint="default"/>
        <w:lang w:val="pt-PT" w:eastAsia="en-US" w:bidi="ar-SA"/>
      </w:rPr>
    </w:lvl>
    <w:lvl w:ilvl="8" w:tplc="F28683A4">
      <w:numFmt w:val="bullet"/>
      <w:lvlText w:val="•"/>
      <w:lvlJc w:val="left"/>
      <w:pPr>
        <w:ind w:left="8074" w:hanging="257"/>
      </w:pPr>
      <w:rPr>
        <w:rFonts w:hint="default"/>
        <w:lang w:val="pt-PT" w:eastAsia="en-US" w:bidi="ar-SA"/>
      </w:rPr>
    </w:lvl>
  </w:abstractNum>
  <w:abstractNum w:abstractNumId="20" w15:restartNumberingAfterBreak="0">
    <w:nsid w:val="1FA65AF9"/>
    <w:multiLevelType w:val="hybridMultilevel"/>
    <w:tmpl w:val="9AC05C84"/>
    <w:lvl w:ilvl="0" w:tplc="927656EE">
      <w:start w:val="1"/>
      <w:numFmt w:val="lowerRoman"/>
      <w:lvlText w:val="%1)"/>
      <w:lvlJc w:val="left"/>
      <w:pPr>
        <w:ind w:left="143" w:hanging="205"/>
        <w:jc w:val="left"/>
      </w:pPr>
      <w:rPr>
        <w:rFonts w:ascii="Arial" w:eastAsia="Arial" w:hAnsi="Arial" w:cs="Arial" w:hint="default"/>
        <w:b/>
        <w:bCs/>
        <w:i w:val="0"/>
        <w:iCs w:val="0"/>
        <w:spacing w:val="0"/>
        <w:w w:val="100"/>
        <w:sz w:val="22"/>
        <w:szCs w:val="22"/>
        <w:lang w:val="pt-PT" w:eastAsia="en-US" w:bidi="ar-SA"/>
      </w:rPr>
    </w:lvl>
    <w:lvl w:ilvl="1" w:tplc="65A04674">
      <w:numFmt w:val="bullet"/>
      <w:lvlText w:val="•"/>
      <w:lvlJc w:val="left"/>
      <w:pPr>
        <w:ind w:left="1189" w:hanging="205"/>
      </w:pPr>
      <w:rPr>
        <w:rFonts w:hint="default"/>
        <w:lang w:val="pt-PT" w:eastAsia="en-US" w:bidi="ar-SA"/>
      </w:rPr>
    </w:lvl>
    <w:lvl w:ilvl="2" w:tplc="4DC29A64">
      <w:numFmt w:val="bullet"/>
      <w:lvlText w:val="•"/>
      <w:lvlJc w:val="left"/>
      <w:pPr>
        <w:ind w:left="2238" w:hanging="205"/>
      </w:pPr>
      <w:rPr>
        <w:rFonts w:hint="default"/>
        <w:lang w:val="pt-PT" w:eastAsia="en-US" w:bidi="ar-SA"/>
      </w:rPr>
    </w:lvl>
    <w:lvl w:ilvl="3" w:tplc="65EEC364">
      <w:numFmt w:val="bullet"/>
      <w:lvlText w:val="•"/>
      <w:lvlJc w:val="left"/>
      <w:pPr>
        <w:ind w:left="3287" w:hanging="205"/>
      </w:pPr>
      <w:rPr>
        <w:rFonts w:hint="default"/>
        <w:lang w:val="pt-PT" w:eastAsia="en-US" w:bidi="ar-SA"/>
      </w:rPr>
    </w:lvl>
    <w:lvl w:ilvl="4" w:tplc="7C485970">
      <w:numFmt w:val="bullet"/>
      <w:lvlText w:val="•"/>
      <w:lvlJc w:val="left"/>
      <w:pPr>
        <w:ind w:left="4336" w:hanging="205"/>
      </w:pPr>
      <w:rPr>
        <w:rFonts w:hint="default"/>
        <w:lang w:val="pt-PT" w:eastAsia="en-US" w:bidi="ar-SA"/>
      </w:rPr>
    </w:lvl>
    <w:lvl w:ilvl="5" w:tplc="7BA4B0F4">
      <w:numFmt w:val="bullet"/>
      <w:lvlText w:val="•"/>
      <w:lvlJc w:val="left"/>
      <w:pPr>
        <w:ind w:left="5386" w:hanging="205"/>
      </w:pPr>
      <w:rPr>
        <w:rFonts w:hint="default"/>
        <w:lang w:val="pt-PT" w:eastAsia="en-US" w:bidi="ar-SA"/>
      </w:rPr>
    </w:lvl>
    <w:lvl w:ilvl="6" w:tplc="1A12A062">
      <w:numFmt w:val="bullet"/>
      <w:lvlText w:val="•"/>
      <w:lvlJc w:val="left"/>
      <w:pPr>
        <w:ind w:left="6435" w:hanging="205"/>
      </w:pPr>
      <w:rPr>
        <w:rFonts w:hint="default"/>
        <w:lang w:val="pt-PT" w:eastAsia="en-US" w:bidi="ar-SA"/>
      </w:rPr>
    </w:lvl>
    <w:lvl w:ilvl="7" w:tplc="3E6E84E4">
      <w:numFmt w:val="bullet"/>
      <w:lvlText w:val="•"/>
      <w:lvlJc w:val="left"/>
      <w:pPr>
        <w:ind w:left="7484" w:hanging="205"/>
      </w:pPr>
      <w:rPr>
        <w:rFonts w:hint="default"/>
        <w:lang w:val="pt-PT" w:eastAsia="en-US" w:bidi="ar-SA"/>
      </w:rPr>
    </w:lvl>
    <w:lvl w:ilvl="8" w:tplc="AFA4D076">
      <w:numFmt w:val="bullet"/>
      <w:lvlText w:val="•"/>
      <w:lvlJc w:val="left"/>
      <w:pPr>
        <w:ind w:left="8533" w:hanging="205"/>
      </w:pPr>
      <w:rPr>
        <w:rFonts w:hint="default"/>
        <w:lang w:val="pt-PT" w:eastAsia="en-US" w:bidi="ar-SA"/>
      </w:rPr>
    </w:lvl>
  </w:abstractNum>
  <w:abstractNum w:abstractNumId="21" w15:restartNumberingAfterBreak="0">
    <w:nsid w:val="1FDA1AF6"/>
    <w:multiLevelType w:val="multilevel"/>
    <w:tmpl w:val="0F50C582"/>
    <w:lvl w:ilvl="0">
      <w:start w:val="13"/>
      <w:numFmt w:val="decimal"/>
      <w:lvlText w:val="%1"/>
      <w:lvlJc w:val="left"/>
      <w:pPr>
        <w:ind w:left="995" w:hanging="852"/>
        <w:jc w:val="left"/>
      </w:pPr>
      <w:rPr>
        <w:rFonts w:hint="default"/>
        <w:lang w:val="pt-PT" w:eastAsia="en-US" w:bidi="ar-SA"/>
      </w:rPr>
    </w:lvl>
    <w:lvl w:ilvl="1">
      <w:start w:val="1"/>
      <w:numFmt w:val="decimal"/>
      <w:lvlText w:val="%1.%2."/>
      <w:lvlJc w:val="left"/>
      <w:pPr>
        <w:ind w:left="995" w:hanging="852"/>
        <w:jc w:val="left"/>
      </w:pPr>
      <w:rPr>
        <w:rFonts w:ascii="Arial" w:eastAsia="Arial" w:hAnsi="Arial" w:cs="Arial" w:hint="default"/>
        <w:b/>
        <w:bCs/>
        <w:i w:val="0"/>
        <w:iCs w:val="0"/>
        <w:spacing w:val="-2"/>
        <w:w w:val="100"/>
        <w:sz w:val="22"/>
        <w:szCs w:val="22"/>
        <w:lang w:val="pt-PT" w:eastAsia="en-US" w:bidi="ar-SA"/>
      </w:rPr>
    </w:lvl>
    <w:lvl w:ilvl="2">
      <w:numFmt w:val="bullet"/>
      <w:lvlText w:val="•"/>
      <w:lvlJc w:val="left"/>
      <w:pPr>
        <w:ind w:left="2926" w:hanging="852"/>
      </w:pPr>
      <w:rPr>
        <w:rFonts w:hint="default"/>
        <w:lang w:val="pt-PT" w:eastAsia="en-US" w:bidi="ar-SA"/>
      </w:rPr>
    </w:lvl>
    <w:lvl w:ilvl="3">
      <w:numFmt w:val="bullet"/>
      <w:lvlText w:val="•"/>
      <w:lvlJc w:val="left"/>
      <w:pPr>
        <w:ind w:left="3889" w:hanging="852"/>
      </w:pPr>
      <w:rPr>
        <w:rFonts w:hint="default"/>
        <w:lang w:val="pt-PT" w:eastAsia="en-US" w:bidi="ar-SA"/>
      </w:rPr>
    </w:lvl>
    <w:lvl w:ilvl="4">
      <w:numFmt w:val="bullet"/>
      <w:lvlText w:val="•"/>
      <w:lvlJc w:val="left"/>
      <w:pPr>
        <w:ind w:left="4852" w:hanging="852"/>
      </w:pPr>
      <w:rPr>
        <w:rFonts w:hint="default"/>
        <w:lang w:val="pt-PT" w:eastAsia="en-US" w:bidi="ar-SA"/>
      </w:rPr>
    </w:lvl>
    <w:lvl w:ilvl="5">
      <w:numFmt w:val="bullet"/>
      <w:lvlText w:val="•"/>
      <w:lvlJc w:val="left"/>
      <w:pPr>
        <w:ind w:left="5816" w:hanging="852"/>
      </w:pPr>
      <w:rPr>
        <w:rFonts w:hint="default"/>
        <w:lang w:val="pt-PT" w:eastAsia="en-US" w:bidi="ar-SA"/>
      </w:rPr>
    </w:lvl>
    <w:lvl w:ilvl="6">
      <w:numFmt w:val="bullet"/>
      <w:lvlText w:val="•"/>
      <w:lvlJc w:val="left"/>
      <w:pPr>
        <w:ind w:left="6779" w:hanging="852"/>
      </w:pPr>
      <w:rPr>
        <w:rFonts w:hint="default"/>
        <w:lang w:val="pt-PT" w:eastAsia="en-US" w:bidi="ar-SA"/>
      </w:rPr>
    </w:lvl>
    <w:lvl w:ilvl="7">
      <w:numFmt w:val="bullet"/>
      <w:lvlText w:val="•"/>
      <w:lvlJc w:val="left"/>
      <w:pPr>
        <w:ind w:left="7742" w:hanging="852"/>
      </w:pPr>
      <w:rPr>
        <w:rFonts w:hint="default"/>
        <w:lang w:val="pt-PT" w:eastAsia="en-US" w:bidi="ar-SA"/>
      </w:rPr>
    </w:lvl>
    <w:lvl w:ilvl="8">
      <w:numFmt w:val="bullet"/>
      <w:lvlText w:val="•"/>
      <w:lvlJc w:val="left"/>
      <w:pPr>
        <w:ind w:left="8705" w:hanging="852"/>
      </w:pPr>
      <w:rPr>
        <w:rFonts w:hint="default"/>
        <w:lang w:val="pt-PT" w:eastAsia="en-US" w:bidi="ar-SA"/>
      </w:rPr>
    </w:lvl>
  </w:abstractNum>
  <w:abstractNum w:abstractNumId="22" w15:restartNumberingAfterBreak="0">
    <w:nsid w:val="1FED0920"/>
    <w:multiLevelType w:val="hybridMultilevel"/>
    <w:tmpl w:val="69E26670"/>
    <w:lvl w:ilvl="0" w:tplc="5C2428EE">
      <w:start w:val="1"/>
      <w:numFmt w:val="lowerRoman"/>
      <w:lvlText w:val="(%1)"/>
      <w:lvlJc w:val="left"/>
      <w:pPr>
        <w:ind w:left="143" w:hanging="329"/>
        <w:jc w:val="left"/>
      </w:pPr>
      <w:rPr>
        <w:rFonts w:hint="default"/>
        <w:spacing w:val="0"/>
        <w:w w:val="91"/>
        <w:lang w:val="pt-PT" w:eastAsia="en-US" w:bidi="ar-SA"/>
      </w:rPr>
    </w:lvl>
    <w:lvl w:ilvl="1" w:tplc="758AA9FA">
      <w:numFmt w:val="bullet"/>
      <w:lvlText w:val="•"/>
      <w:lvlJc w:val="left"/>
      <w:pPr>
        <w:ind w:left="1189" w:hanging="329"/>
      </w:pPr>
      <w:rPr>
        <w:rFonts w:hint="default"/>
        <w:lang w:val="pt-PT" w:eastAsia="en-US" w:bidi="ar-SA"/>
      </w:rPr>
    </w:lvl>
    <w:lvl w:ilvl="2" w:tplc="6D12DA36">
      <w:numFmt w:val="bullet"/>
      <w:lvlText w:val="•"/>
      <w:lvlJc w:val="left"/>
      <w:pPr>
        <w:ind w:left="2238" w:hanging="329"/>
      </w:pPr>
      <w:rPr>
        <w:rFonts w:hint="default"/>
        <w:lang w:val="pt-PT" w:eastAsia="en-US" w:bidi="ar-SA"/>
      </w:rPr>
    </w:lvl>
    <w:lvl w:ilvl="3" w:tplc="DA78CA4A">
      <w:numFmt w:val="bullet"/>
      <w:lvlText w:val="•"/>
      <w:lvlJc w:val="left"/>
      <w:pPr>
        <w:ind w:left="3287" w:hanging="329"/>
      </w:pPr>
      <w:rPr>
        <w:rFonts w:hint="default"/>
        <w:lang w:val="pt-PT" w:eastAsia="en-US" w:bidi="ar-SA"/>
      </w:rPr>
    </w:lvl>
    <w:lvl w:ilvl="4" w:tplc="2D128ED4">
      <w:numFmt w:val="bullet"/>
      <w:lvlText w:val="•"/>
      <w:lvlJc w:val="left"/>
      <w:pPr>
        <w:ind w:left="4336" w:hanging="329"/>
      </w:pPr>
      <w:rPr>
        <w:rFonts w:hint="default"/>
        <w:lang w:val="pt-PT" w:eastAsia="en-US" w:bidi="ar-SA"/>
      </w:rPr>
    </w:lvl>
    <w:lvl w:ilvl="5" w:tplc="071C0670">
      <w:numFmt w:val="bullet"/>
      <w:lvlText w:val="•"/>
      <w:lvlJc w:val="left"/>
      <w:pPr>
        <w:ind w:left="5386" w:hanging="329"/>
      </w:pPr>
      <w:rPr>
        <w:rFonts w:hint="default"/>
        <w:lang w:val="pt-PT" w:eastAsia="en-US" w:bidi="ar-SA"/>
      </w:rPr>
    </w:lvl>
    <w:lvl w:ilvl="6" w:tplc="645CBCB6">
      <w:numFmt w:val="bullet"/>
      <w:lvlText w:val="•"/>
      <w:lvlJc w:val="left"/>
      <w:pPr>
        <w:ind w:left="6435" w:hanging="329"/>
      </w:pPr>
      <w:rPr>
        <w:rFonts w:hint="default"/>
        <w:lang w:val="pt-PT" w:eastAsia="en-US" w:bidi="ar-SA"/>
      </w:rPr>
    </w:lvl>
    <w:lvl w:ilvl="7" w:tplc="277E604C">
      <w:numFmt w:val="bullet"/>
      <w:lvlText w:val="•"/>
      <w:lvlJc w:val="left"/>
      <w:pPr>
        <w:ind w:left="7484" w:hanging="329"/>
      </w:pPr>
      <w:rPr>
        <w:rFonts w:hint="default"/>
        <w:lang w:val="pt-PT" w:eastAsia="en-US" w:bidi="ar-SA"/>
      </w:rPr>
    </w:lvl>
    <w:lvl w:ilvl="8" w:tplc="B81488FC">
      <w:numFmt w:val="bullet"/>
      <w:lvlText w:val="•"/>
      <w:lvlJc w:val="left"/>
      <w:pPr>
        <w:ind w:left="8533" w:hanging="329"/>
      </w:pPr>
      <w:rPr>
        <w:rFonts w:hint="default"/>
        <w:lang w:val="pt-PT" w:eastAsia="en-US" w:bidi="ar-SA"/>
      </w:rPr>
    </w:lvl>
  </w:abstractNum>
  <w:abstractNum w:abstractNumId="23" w15:restartNumberingAfterBreak="0">
    <w:nsid w:val="26402204"/>
    <w:multiLevelType w:val="hybridMultilevel"/>
    <w:tmpl w:val="7C16CA30"/>
    <w:lvl w:ilvl="0" w:tplc="34C85D20">
      <w:start w:val="1"/>
      <w:numFmt w:val="lowerRoman"/>
      <w:lvlText w:val="%1)"/>
      <w:lvlJc w:val="left"/>
      <w:pPr>
        <w:ind w:left="1211" w:hanging="483"/>
        <w:jc w:val="right"/>
      </w:pPr>
      <w:rPr>
        <w:rFonts w:ascii="Segoe UI Symbol" w:eastAsia="Segoe UI Symbol" w:hAnsi="Segoe UI Symbol" w:cs="Segoe UI Symbol" w:hint="default"/>
        <w:b w:val="0"/>
        <w:bCs w:val="0"/>
        <w:i w:val="0"/>
        <w:iCs w:val="0"/>
        <w:spacing w:val="0"/>
        <w:w w:val="92"/>
        <w:sz w:val="22"/>
        <w:szCs w:val="22"/>
        <w:lang w:val="pt-PT" w:eastAsia="en-US" w:bidi="ar-SA"/>
      </w:rPr>
    </w:lvl>
    <w:lvl w:ilvl="1" w:tplc="ED6A7B1C">
      <w:numFmt w:val="bullet"/>
      <w:lvlText w:val="•"/>
      <w:lvlJc w:val="left"/>
      <w:pPr>
        <w:ind w:left="2161" w:hanging="483"/>
      </w:pPr>
      <w:rPr>
        <w:rFonts w:hint="default"/>
        <w:lang w:val="pt-PT" w:eastAsia="en-US" w:bidi="ar-SA"/>
      </w:rPr>
    </w:lvl>
    <w:lvl w:ilvl="2" w:tplc="40B613DA">
      <w:numFmt w:val="bullet"/>
      <w:lvlText w:val="•"/>
      <w:lvlJc w:val="left"/>
      <w:pPr>
        <w:ind w:left="3102" w:hanging="483"/>
      </w:pPr>
      <w:rPr>
        <w:rFonts w:hint="default"/>
        <w:lang w:val="pt-PT" w:eastAsia="en-US" w:bidi="ar-SA"/>
      </w:rPr>
    </w:lvl>
    <w:lvl w:ilvl="3" w:tplc="EBC216DC">
      <w:numFmt w:val="bullet"/>
      <w:lvlText w:val="•"/>
      <w:lvlJc w:val="left"/>
      <w:pPr>
        <w:ind w:left="4043" w:hanging="483"/>
      </w:pPr>
      <w:rPr>
        <w:rFonts w:hint="default"/>
        <w:lang w:val="pt-PT" w:eastAsia="en-US" w:bidi="ar-SA"/>
      </w:rPr>
    </w:lvl>
    <w:lvl w:ilvl="4" w:tplc="7DDCC2B8">
      <w:numFmt w:val="bullet"/>
      <w:lvlText w:val="•"/>
      <w:lvlJc w:val="left"/>
      <w:pPr>
        <w:ind w:left="4984" w:hanging="483"/>
      </w:pPr>
      <w:rPr>
        <w:rFonts w:hint="default"/>
        <w:lang w:val="pt-PT" w:eastAsia="en-US" w:bidi="ar-SA"/>
      </w:rPr>
    </w:lvl>
    <w:lvl w:ilvl="5" w:tplc="82883670">
      <w:numFmt w:val="bullet"/>
      <w:lvlText w:val="•"/>
      <w:lvlJc w:val="left"/>
      <w:pPr>
        <w:ind w:left="5926" w:hanging="483"/>
      </w:pPr>
      <w:rPr>
        <w:rFonts w:hint="default"/>
        <w:lang w:val="pt-PT" w:eastAsia="en-US" w:bidi="ar-SA"/>
      </w:rPr>
    </w:lvl>
    <w:lvl w:ilvl="6" w:tplc="AD647D08">
      <w:numFmt w:val="bullet"/>
      <w:lvlText w:val="•"/>
      <w:lvlJc w:val="left"/>
      <w:pPr>
        <w:ind w:left="6867" w:hanging="483"/>
      </w:pPr>
      <w:rPr>
        <w:rFonts w:hint="default"/>
        <w:lang w:val="pt-PT" w:eastAsia="en-US" w:bidi="ar-SA"/>
      </w:rPr>
    </w:lvl>
    <w:lvl w:ilvl="7" w:tplc="10B42FCA">
      <w:numFmt w:val="bullet"/>
      <w:lvlText w:val="•"/>
      <w:lvlJc w:val="left"/>
      <w:pPr>
        <w:ind w:left="7808" w:hanging="483"/>
      </w:pPr>
      <w:rPr>
        <w:rFonts w:hint="default"/>
        <w:lang w:val="pt-PT" w:eastAsia="en-US" w:bidi="ar-SA"/>
      </w:rPr>
    </w:lvl>
    <w:lvl w:ilvl="8" w:tplc="C16A94AA">
      <w:numFmt w:val="bullet"/>
      <w:lvlText w:val="•"/>
      <w:lvlJc w:val="left"/>
      <w:pPr>
        <w:ind w:left="8749" w:hanging="483"/>
      </w:pPr>
      <w:rPr>
        <w:rFonts w:hint="default"/>
        <w:lang w:val="pt-PT" w:eastAsia="en-US" w:bidi="ar-SA"/>
      </w:rPr>
    </w:lvl>
  </w:abstractNum>
  <w:abstractNum w:abstractNumId="24" w15:restartNumberingAfterBreak="0">
    <w:nsid w:val="26CF06E0"/>
    <w:multiLevelType w:val="hybridMultilevel"/>
    <w:tmpl w:val="05A61708"/>
    <w:lvl w:ilvl="0" w:tplc="E4728FF4">
      <w:start w:val="1"/>
      <w:numFmt w:val="lowerRoman"/>
      <w:lvlText w:val="(%1)"/>
      <w:lvlJc w:val="left"/>
      <w:pPr>
        <w:ind w:left="1429" w:hanging="360"/>
        <w:jc w:val="left"/>
      </w:pPr>
      <w:rPr>
        <w:rFonts w:ascii="Calibri" w:eastAsia="Calibri" w:hAnsi="Calibri" w:cs="Calibri" w:hint="default"/>
        <w:b w:val="0"/>
        <w:bCs w:val="0"/>
        <w:i w:val="0"/>
        <w:iCs w:val="0"/>
        <w:color w:val="001F60"/>
        <w:spacing w:val="0"/>
        <w:w w:val="100"/>
        <w:sz w:val="22"/>
        <w:szCs w:val="22"/>
        <w:lang w:val="pt-PT" w:eastAsia="en-US" w:bidi="ar-SA"/>
      </w:rPr>
    </w:lvl>
    <w:lvl w:ilvl="1" w:tplc="F0A69C42">
      <w:numFmt w:val="bullet"/>
      <w:lvlText w:val="•"/>
      <w:lvlJc w:val="left"/>
      <w:pPr>
        <w:ind w:left="2284" w:hanging="360"/>
      </w:pPr>
      <w:rPr>
        <w:rFonts w:hint="default"/>
        <w:lang w:val="pt-PT" w:eastAsia="en-US" w:bidi="ar-SA"/>
      </w:rPr>
    </w:lvl>
    <w:lvl w:ilvl="2" w:tplc="3070B28C">
      <w:numFmt w:val="bullet"/>
      <w:lvlText w:val="•"/>
      <w:lvlJc w:val="left"/>
      <w:pPr>
        <w:ind w:left="3148" w:hanging="360"/>
      </w:pPr>
      <w:rPr>
        <w:rFonts w:hint="default"/>
        <w:lang w:val="pt-PT" w:eastAsia="en-US" w:bidi="ar-SA"/>
      </w:rPr>
    </w:lvl>
    <w:lvl w:ilvl="3" w:tplc="1F1CDCF0">
      <w:numFmt w:val="bullet"/>
      <w:lvlText w:val="•"/>
      <w:lvlJc w:val="left"/>
      <w:pPr>
        <w:ind w:left="4013" w:hanging="360"/>
      </w:pPr>
      <w:rPr>
        <w:rFonts w:hint="default"/>
        <w:lang w:val="pt-PT" w:eastAsia="en-US" w:bidi="ar-SA"/>
      </w:rPr>
    </w:lvl>
    <w:lvl w:ilvl="4" w:tplc="5D725212">
      <w:numFmt w:val="bullet"/>
      <w:lvlText w:val="•"/>
      <w:lvlJc w:val="left"/>
      <w:pPr>
        <w:ind w:left="4877" w:hanging="360"/>
      </w:pPr>
      <w:rPr>
        <w:rFonts w:hint="default"/>
        <w:lang w:val="pt-PT" w:eastAsia="en-US" w:bidi="ar-SA"/>
      </w:rPr>
    </w:lvl>
    <w:lvl w:ilvl="5" w:tplc="E422B2DA">
      <w:numFmt w:val="bullet"/>
      <w:lvlText w:val="•"/>
      <w:lvlJc w:val="left"/>
      <w:pPr>
        <w:ind w:left="5742" w:hanging="360"/>
      </w:pPr>
      <w:rPr>
        <w:rFonts w:hint="default"/>
        <w:lang w:val="pt-PT" w:eastAsia="en-US" w:bidi="ar-SA"/>
      </w:rPr>
    </w:lvl>
    <w:lvl w:ilvl="6" w:tplc="EFBA37E0">
      <w:numFmt w:val="bullet"/>
      <w:lvlText w:val="•"/>
      <w:lvlJc w:val="left"/>
      <w:pPr>
        <w:ind w:left="6606" w:hanging="360"/>
      </w:pPr>
      <w:rPr>
        <w:rFonts w:hint="default"/>
        <w:lang w:val="pt-PT" w:eastAsia="en-US" w:bidi="ar-SA"/>
      </w:rPr>
    </w:lvl>
    <w:lvl w:ilvl="7" w:tplc="08642F7E">
      <w:numFmt w:val="bullet"/>
      <w:lvlText w:val="•"/>
      <w:lvlJc w:val="left"/>
      <w:pPr>
        <w:ind w:left="7471" w:hanging="360"/>
      </w:pPr>
      <w:rPr>
        <w:rFonts w:hint="default"/>
        <w:lang w:val="pt-PT" w:eastAsia="en-US" w:bidi="ar-SA"/>
      </w:rPr>
    </w:lvl>
    <w:lvl w:ilvl="8" w:tplc="611AB740">
      <w:numFmt w:val="bullet"/>
      <w:lvlText w:val="•"/>
      <w:lvlJc w:val="left"/>
      <w:pPr>
        <w:ind w:left="8335" w:hanging="360"/>
      </w:pPr>
      <w:rPr>
        <w:rFonts w:hint="default"/>
        <w:lang w:val="pt-PT" w:eastAsia="en-US" w:bidi="ar-SA"/>
      </w:rPr>
    </w:lvl>
  </w:abstractNum>
  <w:abstractNum w:abstractNumId="25" w15:restartNumberingAfterBreak="0">
    <w:nsid w:val="27440A43"/>
    <w:multiLevelType w:val="hybridMultilevel"/>
    <w:tmpl w:val="C99A8BF4"/>
    <w:lvl w:ilvl="0" w:tplc="B6D0D2E0">
      <w:start w:val="4"/>
      <w:numFmt w:val="lowerRoman"/>
      <w:lvlText w:val="%1)"/>
      <w:lvlJc w:val="left"/>
      <w:pPr>
        <w:ind w:left="438" w:hanging="295"/>
        <w:jc w:val="left"/>
      </w:pPr>
      <w:rPr>
        <w:rFonts w:ascii="Segoe UI Symbol" w:eastAsia="Segoe UI Symbol" w:hAnsi="Segoe UI Symbol" w:cs="Segoe UI Symbol" w:hint="default"/>
        <w:b w:val="0"/>
        <w:bCs w:val="0"/>
        <w:i w:val="0"/>
        <w:iCs w:val="0"/>
        <w:spacing w:val="0"/>
        <w:w w:val="92"/>
        <w:sz w:val="22"/>
        <w:szCs w:val="22"/>
        <w:lang w:val="pt-PT" w:eastAsia="en-US" w:bidi="ar-SA"/>
      </w:rPr>
    </w:lvl>
    <w:lvl w:ilvl="1" w:tplc="7DB2A9EA">
      <w:numFmt w:val="bullet"/>
      <w:lvlText w:val="•"/>
      <w:lvlJc w:val="left"/>
      <w:pPr>
        <w:ind w:left="1459" w:hanging="295"/>
      </w:pPr>
      <w:rPr>
        <w:rFonts w:hint="default"/>
        <w:lang w:val="pt-PT" w:eastAsia="en-US" w:bidi="ar-SA"/>
      </w:rPr>
    </w:lvl>
    <w:lvl w:ilvl="2" w:tplc="E63C4522">
      <w:numFmt w:val="bullet"/>
      <w:lvlText w:val="•"/>
      <w:lvlJc w:val="left"/>
      <w:pPr>
        <w:ind w:left="2478" w:hanging="295"/>
      </w:pPr>
      <w:rPr>
        <w:rFonts w:hint="default"/>
        <w:lang w:val="pt-PT" w:eastAsia="en-US" w:bidi="ar-SA"/>
      </w:rPr>
    </w:lvl>
    <w:lvl w:ilvl="3" w:tplc="9968BA48">
      <w:numFmt w:val="bullet"/>
      <w:lvlText w:val="•"/>
      <w:lvlJc w:val="left"/>
      <w:pPr>
        <w:ind w:left="3497" w:hanging="295"/>
      </w:pPr>
      <w:rPr>
        <w:rFonts w:hint="default"/>
        <w:lang w:val="pt-PT" w:eastAsia="en-US" w:bidi="ar-SA"/>
      </w:rPr>
    </w:lvl>
    <w:lvl w:ilvl="4" w:tplc="EBE43F0C">
      <w:numFmt w:val="bullet"/>
      <w:lvlText w:val="•"/>
      <w:lvlJc w:val="left"/>
      <w:pPr>
        <w:ind w:left="4516" w:hanging="295"/>
      </w:pPr>
      <w:rPr>
        <w:rFonts w:hint="default"/>
        <w:lang w:val="pt-PT" w:eastAsia="en-US" w:bidi="ar-SA"/>
      </w:rPr>
    </w:lvl>
    <w:lvl w:ilvl="5" w:tplc="3E60375C">
      <w:numFmt w:val="bullet"/>
      <w:lvlText w:val="•"/>
      <w:lvlJc w:val="left"/>
      <w:pPr>
        <w:ind w:left="5536" w:hanging="295"/>
      </w:pPr>
      <w:rPr>
        <w:rFonts w:hint="default"/>
        <w:lang w:val="pt-PT" w:eastAsia="en-US" w:bidi="ar-SA"/>
      </w:rPr>
    </w:lvl>
    <w:lvl w:ilvl="6" w:tplc="482082C6">
      <w:numFmt w:val="bullet"/>
      <w:lvlText w:val="•"/>
      <w:lvlJc w:val="left"/>
      <w:pPr>
        <w:ind w:left="6555" w:hanging="295"/>
      </w:pPr>
      <w:rPr>
        <w:rFonts w:hint="default"/>
        <w:lang w:val="pt-PT" w:eastAsia="en-US" w:bidi="ar-SA"/>
      </w:rPr>
    </w:lvl>
    <w:lvl w:ilvl="7" w:tplc="461621BE">
      <w:numFmt w:val="bullet"/>
      <w:lvlText w:val="•"/>
      <w:lvlJc w:val="left"/>
      <w:pPr>
        <w:ind w:left="7574" w:hanging="295"/>
      </w:pPr>
      <w:rPr>
        <w:rFonts w:hint="default"/>
        <w:lang w:val="pt-PT" w:eastAsia="en-US" w:bidi="ar-SA"/>
      </w:rPr>
    </w:lvl>
    <w:lvl w:ilvl="8" w:tplc="CFA6CEC4">
      <w:numFmt w:val="bullet"/>
      <w:lvlText w:val="•"/>
      <w:lvlJc w:val="left"/>
      <w:pPr>
        <w:ind w:left="8593" w:hanging="295"/>
      </w:pPr>
      <w:rPr>
        <w:rFonts w:hint="default"/>
        <w:lang w:val="pt-PT" w:eastAsia="en-US" w:bidi="ar-SA"/>
      </w:rPr>
    </w:lvl>
  </w:abstractNum>
  <w:abstractNum w:abstractNumId="26" w15:restartNumberingAfterBreak="0">
    <w:nsid w:val="28EE6A82"/>
    <w:multiLevelType w:val="multilevel"/>
    <w:tmpl w:val="BA865EE2"/>
    <w:lvl w:ilvl="0">
      <w:start w:val="24"/>
      <w:numFmt w:val="decimal"/>
      <w:lvlText w:val="%1"/>
      <w:lvlJc w:val="left"/>
      <w:pPr>
        <w:ind w:left="995" w:hanging="852"/>
        <w:jc w:val="left"/>
      </w:pPr>
      <w:rPr>
        <w:rFonts w:hint="default"/>
        <w:lang w:val="pt-PT" w:eastAsia="en-US" w:bidi="ar-SA"/>
      </w:rPr>
    </w:lvl>
    <w:lvl w:ilvl="1">
      <w:start w:val="1"/>
      <w:numFmt w:val="decimal"/>
      <w:lvlText w:val="%1.%2."/>
      <w:lvlJc w:val="left"/>
      <w:pPr>
        <w:ind w:left="995" w:hanging="852"/>
        <w:jc w:val="left"/>
      </w:pPr>
      <w:rPr>
        <w:rFonts w:ascii="Arial" w:eastAsia="Arial" w:hAnsi="Arial" w:cs="Arial" w:hint="default"/>
        <w:b/>
        <w:bCs/>
        <w:i w:val="0"/>
        <w:iCs w:val="0"/>
        <w:spacing w:val="-2"/>
        <w:w w:val="100"/>
        <w:sz w:val="22"/>
        <w:szCs w:val="22"/>
        <w:lang w:val="pt-PT" w:eastAsia="en-US" w:bidi="ar-SA"/>
      </w:rPr>
    </w:lvl>
    <w:lvl w:ilvl="2">
      <w:start w:val="1"/>
      <w:numFmt w:val="decimal"/>
      <w:lvlText w:val="%1.%2.%3."/>
      <w:lvlJc w:val="left"/>
      <w:pPr>
        <w:ind w:left="994" w:hanging="851"/>
        <w:jc w:val="left"/>
      </w:pPr>
      <w:rPr>
        <w:rFonts w:ascii="Arial" w:eastAsia="Arial" w:hAnsi="Arial" w:cs="Arial" w:hint="default"/>
        <w:b/>
        <w:bCs/>
        <w:i w:val="0"/>
        <w:iCs w:val="0"/>
        <w:spacing w:val="-2"/>
        <w:w w:val="100"/>
        <w:sz w:val="22"/>
        <w:szCs w:val="22"/>
        <w:lang w:val="pt-PT" w:eastAsia="en-US" w:bidi="ar-SA"/>
      </w:rPr>
    </w:lvl>
    <w:lvl w:ilvl="3">
      <w:numFmt w:val="bullet"/>
      <w:lvlText w:val="•"/>
      <w:lvlJc w:val="left"/>
      <w:pPr>
        <w:ind w:left="3889" w:hanging="851"/>
      </w:pPr>
      <w:rPr>
        <w:rFonts w:hint="default"/>
        <w:lang w:val="pt-PT" w:eastAsia="en-US" w:bidi="ar-SA"/>
      </w:rPr>
    </w:lvl>
    <w:lvl w:ilvl="4">
      <w:numFmt w:val="bullet"/>
      <w:lvlText w:val="•"/>
      <w:lvlJc w:val="left"/>
      <w:pPr>
        <w:ind w:left="4852" w:hanging="851"/>
      </w:pPr>
      <w:rPr>
        <w:rFonts w:hint="default"/>
        <w:lang w:val="pt-PT" w:eastAsia="en-US" w:bidi="ar-SA"/>
      </w:rPr>
    </w:lvl>
    <w:lvl w:ilvl="5">
      <w:numFmt w:val="bullet"/>
      <w:lvlText w:val="•"/>
      <w:lvlJc w:val="left"/>
      <w:pPr>
        <w:ind w:left="5816" w:hanging="851"/>
      </w:pPr>
      <w:rPr>
        <w:rFonts w:hint="default"/>
        <w:lang w:val="pt-PT" w:eastAsia="en-US" w:bidi="ar-SA"/>
      </w:rPr>
    </w:lvl>
    <w:lvl w:ilvl="6">
      <w:numFmt w:val="bullet"/>
      <w:lvlText w:val="•"/>
      <w:lvlJc w:val="left"/>
      <w:pPr>
        <w:ind w:left="6779" w:hanging="851"/>
      </w:pPr>
      <w:rPr>
        <w:rFonts w:hint="default"/>
        <w:lang w:val="pt-PT" w:eastAsia="en-US" w:bidi="ar-SA"/>
      </w:rPr>
    </w:lvl>
    <w:lvl w:ilvl="7">
      <w:numFmt w:val="bullet"/>
      <w:lvlText w:val="•"/>
      <w:lvlJc w:val="left"/>
      <w:pPr>
        <w:ind w:left="7742" w:hanging="851"/>
      </w:pPr>
      <w:rPr>
        <w:rFonts w:hint="default"/>
        <w:lang w:val="pt-PT" w:eastAsia="en-US" w:bidi="ar-SA"/>
      </w:rPr>
    </w:lvl>
    <w:lvl w:ilvl="8">
      <w:numFmt w:val="bullet"/>
      <w:lvlText w:val="•"/>
      <w:lvlJc w:val="left"/>
      <w:pPr>
        <w:ind w:left="8705" w:hanging="851"/>
      </w:pPr>
      <w:rPr>
        <w:rFonts w:hint="default"/>
        <w:lang w:val="pt-PT" w:eastAsia="en-US" w:bidi="ar-SA"/>
      </w:rPr>
    </w:lvl>
  </w:abstractNum>
  <w:abstractNum w:abstractNumId="27" w15:restartNumberingAfterBreak="0">
    <w:nsid w:val="2BF33C2F"/>
    <w:multiLevelType w:val="hybridMultilevel"/>
    <w:tmpl w:val="4D04ED32"/>
    <w:lvl w:ilvl="0" w:tplc="28AA4C18">
      <w:numFmt w:val="bullet"/>
      <w:lvlText w:val=""/>
      <w:lvlJc w:val="left"/>
      <w:pPr>
        <w:ind w:left="1985" w:hanging="425"/>
      </w:pPr>
      <w:rPr>
        <w:rFonts w:ascii="Symbol" w:eastAsia="Symbol" w:hAnsi="Symbol" w:cs="Symbol" w:hint="default"/>
        <w:b w:val="0"/>
        <w:bCs w:val="0"/>
        <w:i w:val="0"/>
        <w:iCs w:val="0"/>
        <w:color w:val="001F5F"/>
        <w:spacing w:val="0"/>
        <w:w w:val="100"/>
        <w:sz w:val="24"/>
        <w:szCs w:val="24"/>
        <w:lang w:val="pt-PT" w:eastAsia="en-US" w:bidi="ar-SA"/>
      </w:rPr>
    </w:lvl>
    <w:lvl w:ilvl="1" w:tplc="9050B836">
      <w:numFmt w:val="bullet"/>
      <w:lvlText w:val="•"/>
      <w:lvlJc w:val="left"/>
      <w:pPr>
        <w:ind w:left="2921" w:hanging="425"/>
      </w:pPr>
      <w:rPr>
        <w:rFonts w:hint="default"/>
        <w:lang w:val="pt-PT" w:eastAsia="en-US" w:bidi="ar-SA"/>
      </w:rPr>
    </w:lvl>
    <w:lvl w:ilvl="2" w:tplc="85128342">
      <w:numFmt w:val="bullet"/>
      <w:lvlText w:val="•"/>
      <w:lvlJc w:val="left"/>
      <w:pPr>
        <w:ind w:left="3862" w:hanging="425"/>
      </w:pPr>
      <w:rPr>
        <w:rFonts w:hint="default"/>
        <w:lang w:val="pt-PT" w:eastAsia="en-US" w:bidi="ar-SA"/>
      </w:rPr>
    </w:lvl>
    <w:lvl w:ilvl="3" w:tplc="EF20677E">
      <w:numFmt w:val="bullet"/>
      <w:lvlText w:val="•"/>
      <w:lvlJc w:val="left"/>
      <w:pPr>
        <w:ind w:left="4803" w:hanging="425"/>
      </w:pPr>
      <w:rPr>
        <w:rFonts w:hint="default"/>
        <w:lang w:val="pt-PT" w:eastAsia="en-US" w:bidi="ar-SA"/>
      </w:rPr>
    </w:lvl>
    <w:lvl w:ilvl="4" w:tplc="C2A833D8">
      <w:numFmt w:val="bullet"/>
      <w:lvlText w:val="•"/>
      <w:lvlJc w:val="left"/>
      <w:pPr>
        <w:ind w:left="5744" w:hanging="425"/>
      </w:pPr>
      <w:rPr>
        <w:rFonts w:hint="default"/>
        <w:lang w:val="pt-PT" w:eastAsia="en-US" w:bidi="ar-SA"/>
      </w:rPr>
    </w:lvl>
    <w:lvl w:ilvl="5" w:tplc="4C663382">
      <w:numFmt w:val="bullet"/>
      <w:lvlText w:val="•"/>
      <w:lvlJc w:val="left"/>
      <w:pPr>
        <w:ind w:left="6685" w:hanging="425"/>
      </w:pPr>
      <w:rPr>
        <w:rFonts w:hint="default"/>
        <w:lang w:val="pt-PT" w:eastAsia="en-US" w:bidi="ar-SA"/>
      </w:rPr>
    </w:lvl>
    <w:lvl w:ilvl="6" w:tplc="52BE9CE4">
      <w:numFmt w:val="bullet"/>
      <w:lvlText w:val="•"/>
      <w:lvlJc w:val="left"/>
      <w:pPr>
        <w:ind w:left="7626" w:hanging="425"/>
      </w:pPr>
      <w:rPr>
        <w:rFonts w:hint="default"/>
        <w:lang w:val="pt-PT" w:eastAsia="en-US" w:bidi="ar-SA"/>
      </w:rPr>
    </w:lvl>
    <w:lvl w:ilvl="7" w:tplc="4404C7FC">
      <w:numFmt w:val="bullet"/>
      <w:lvlText w:val="•"/>
      <w:lvlJc w:val="left"/>
      <w:pPr>
        <w:ind w:left="8567" w:hanging="425"/>
      </w:pPr>
      <w:rPr>
        <w:rFonts w:hint="default"/>
        <w:lang w:val="pt-PT" w:eastAsia="en-US" w:bidi="ar-SA"/>
      </w:rPr>
    </w:lvl>
    <w:lvl w:ilvl="8" w:tplc="AAB69A30">
      <w:numFmt w:val="bullet"/>
      <w:lvlText w:val="•"/>
      <w:lvlJc w:val="left"/>
      <w:pPr>
        <w:ind w:left="9508" w:hanging="425"/>
      </w:pPr>
      <w:rPr>
        <w:rFonts w:hint="default"/>
        <w:lang w:val="pt-PT" w:eastAsia="en-US" w:bidi="ar-SA"/>
      </w:rPr>
    </w:lvl>
  </w:abstractNum>
  <w:abstractNum w:abstractNumId="28" w15:restartNumberingAfterBreak="0">
    <w:nsid w:val="2E093FF3"/>
    <w:multiLevelType w:val="hybridMultilevel"/>
    <w:tmpl w:val="FDAEC336"/>
    <w:lvl w:ilvl="0" w:tplc="A6885B12">
      <w:numFmt w:val="bullet"/>
      <w:lvlText w:val=""/>
      <w:lvlJc w:val="left"/>
      <w:pPr>
        <w:ind w:left="1997" w:hanging="360"/>
      </w:pPr>
      <w:rPr>
        <w:rFonts w:ascii="Symbol" w:eastAsia="Symbol" w:hAnsi="Symbol" w:cs="Symbol" w:hint="default"/>
        <w:b w:val="0"/>
        <w:bCs w:val="0"/>
        <w:i w:val="0"/>
        <w:iCs w:val="0"/>
        <w:color w:val="001F5F"/>
        <w:spacing w:val="0"/>
        <w:w w:val="100"/>
        <w:sz w:val="24"/>
        <w:szCs w:val="24"/>
        <w:lang w:val="pt-PT" w:eastAsia="en-US" w:bidi="ar-SA"/>
      </w:rPr>
    </w:lvl>
    <w:lvl w:ilvl="1" w:tplc="37507D06">
      <w:numFmt w:val="bullet"/>
      <w:lvlText w:val="•"/>
      <w:lvlJc w:val="left"/>
      <w:pPr>
        <w:ind w:left="2939" w:hanging="360"/>
      </w:pPr>
      <w:rPr>
        <w:rFonts w:hint="default"/>
        <w:lang w:val="pt-PT" w:eastAsia="en-US" w:bidi="ar-SA"/>
      </w:rPr>
    </w:lvl>
    <w:lvl w:ilvl="2" w:tplc="BD0C2158">
      <w:numFmt w:val="bullet"/>
      <w:lvlText w:val="•"/>
      <w:lvlJc w:val="left"/>
      <w:pPr>
        <w:ind w:left="3878" w:hanging="360"/>
      </w:pPr>
      <w:rPr>
        <w:rFonts w:hint="default"/>
        <w:lang w:val="pt-PT" w:eastAsia="en-US" w:bidi="ar-SA"/>
      </w:rPr>
    </w:lvl>
    <w:lvl w:ilvl="3" w:tplc="7A94E8EE">
      <w:numFmt w:val="bullet"/>
      <w:lvlText w:val="•"/>
      <w:lvlJc w:val="left"/>
      <w:pPr>
        <w:ind w:left="4817" w:hanging="360"/>
      </w:pPr>
      <w:rPr>
        <w:rFonts w:hint="default"/>
        <w:lang w:val="pt-PT" w:eastAsia="en-US" w:bidi="ar-SA"/>
      </w:rPr>
    </w:lvl>
    <w:lvl w:ilvl="4" w:tplc="842C277A">
      <w:numFmt w:val="bullet"/>
      <w:lvlText w:val="•"/>
      <w:lvlJc w:val="left"/>
      <w:pPr>
        <w:ind w:left="5756" w:hanging="360"/>
      </w:pPr>
      <w:rPr>
        <w:rFonts w:hint="default"/>
        <w:lang w:val="pt-PT" w:eastAsia="en-US" w:bidi="ar-SA"/>
      </w:rPr>
    </w:lvl>
    <w:lvl w:ilvl="5" w:tplc="C14AE564">
      <w:numFmt w:val="bullet"/>
      <w:lvlText w:val="•"/>
      <w:lvlJc w:val="left"/>
      <w:pPr>
        <w:ind w:left="6695" w:hanging="360"/>
      </w:pPr>
      <w:rPr>
        <w:rFonts w:hint="default"/>
        <w:lang w:val="pt-PT" w:eastAsia="en-US" w:bidi="ar-SA"/>
      </w:rPr>
    </w:lvl>
    <w:lvl w:ilvl="6" w:tplc="B3AC6262">
      <w:numFmt w:val="bullet"/>
      <w:lvlText w:val="•"/>
      <w:lvlJc w:val="left"/>
      <w:pPr>
        <w:ind w:left="7634" w:hanging="360"/>
      </w:pPr>
      <w:rPr>
        <w:rFonts w:hint="default"/>
        <w:lang w:val="pt-PT" w:eastAsia="en-US" w:bidi="ar-SA"/>
      </w:rPr>
    </w:lvl>
    <w:lvl w:ilvl="7" w:tplc="B2225870">
      <w:numFmt w:val="bullet"/>
      <w:lvlText w:val="•"/>
      <w:lvlJc w:val="left"/>
      <w:pPr>
        <w:ind w:left="8573" w:hanging="360"/>
      </w:pPr>
      <w:rPr>
        <w:rFonts w:hint="default"/>
        <w:lang w:val="pt-PT" w:eastAsia="en-US" w:bidi="ar-SA"/>
      </w:rPr>
    </w:lvl>
    <w:lvl w:ilvl="8" w:tplc="328A3002">
      <w:numFmt w:val="bullet"/>
      <w:lvlText w:val="•"/>
      <w:lvlJc w:val="left"/>
      <w:pPr>
        <w:ind w:left="9512" w:hanging="360"/>
      </w:pPr>
      <w:rPr>
        <w:rFonts w:hint="default"/>
        <w:lang w:val="pt-PT" w:eastAsia="en-US" w:bidi="ar-SA"/>
      </w:rPr>
    </w:lvl>
  </w:abstractNum>
  <w:abstractNum w:abstractNumId="29" w15:restartNumberingAfterBreak="0">
    <w:nsid w:val="2F5164D6"/>
    <w:multiLevelType w:val="hybridMultilevel"/>
    <w:tmpl w:val="5A503854"/>
    <w:lvl w:ilvl="0" w:tplc="5D40B2A2">
      <w:start w:val="1"/>
      <w:numFmt w:val="lowerRoman"/>
      <w:lvlText w:val="%1)"/>
      <w:lvlJc w:val="left"/>
      <w:pPr>
        <w:ind w:left="1147" w:hanging="721"/>
        <w:jc w:val="left"/>
      </w:pPr>
      <w:rPr>
        <w:rFonts w:ascii="Segoe UI Symbol" w:eastAsia="Segoe UI Symbol" w:hAnsi="Segoe UI Symbol" w:cs="Segoe UI Symbol" w:hint="default"/>
        <w:b w:val="0"/>
        <w:bCs w:val="0"/>
        <w:i w:val="0"/>
        <w:iCs w:val="0"/>
        <w:spacing w:val="0"/>
        <w:w w:val="92"/>
        <w:sz w:val="22"/>
        <w:szCs w:val="22"/>
        <w:lang w:val="pt-PT" w:eastAsia="en-US" w:bidi="ar-SA"/>
      </w:rPr>
    </w:lvl>
    <w:lvl w:ilvl="1" w:tplc="7C3A208C">
      <w:numFmt w:val="bullet"/>
      <w:lvlText w:val="•"/>
      <w:lvlJc w:val="left"/>
      <w:pPr>
        <w:ind w:left="2089" w:hanging="721"/>
      </w:pPr>
      <w:rPr>
        <w:rFonts w:hint="default"/>
        <w:lang w:val="pt-PT" w:eastAsia="en-US" w:bidi="ar-SA"/>
      </w:rPr>
    </w:lvl>
    <w:lvl w:ilvl="2" w:tplc="1C00B606">
      <w:numFmt w:val="bullet"/>
      <w:lvlText w:val="•"/>
      <w:lvlJc w:val="left"/>
      <w:pPr>
        <w:ind w:left="3038" w:hanging="721"/>
      </w:pPr>
      <w:rPr>
        <w:rFonts w:hint="default"/>
        <w:lang w:val="pt-PT" w:eastAsia="en-US" w:bidi="ar-SA"/>
      </w:rPr>
    </w:lvl>
    <w:lvl w:ilvl="3" w:tplc="8078F622">
      <w:numFmt w:val="bullet"/>
      <w:lvlText w:val="•"/>
      <w:lvlJc w:val="left"/>
      <w:pPr>
        <w:ind w:left="3987" w:hanging="721"/>
      </w:pPr>
      <w:rPr>
        <w:rFonts w:hint="default"/>
        <w:lang w:val="pt-PT" w:eastAsia="en-US" w:bidi="ar-SA"/>
      </w:rPr>
    </w:lvl>
    <w:lvl w:ilvl="4" w:tplc="3ADC8828">
      <w:numFmt w:val="bullet"/>
      <w:lvlText w:val="•"/>
      <w:lvlJc w:val="left"/>
      <w:pPr>
        <w:ind w:left="4936" w:hanging="721"/>
      </w:pPr>
      <w:rPr>
        <w:rFonts w:hint="default"/>
        <w:lang w:val="pt-PT" w:eastAsia="en-US" w:bidi="ar-SA"/>
      </w:rPr>
    </w:lvl>
    <w:lvl w:ilvl="5" w:tplc="09C4DD9A">
      <w:numFmt w:val="bullet"/>
      <w:lvlText w:val="•"/>
      <w:lvlJc w:val="left"/>
      <w:pPr>
        <w:ind w:left="5886" w:hanging="721"/>
      </w:pPr>
      <w:rPr>
        <w:rFonts w:hint="default"/>
        <w:lang w:val="pt-PT" w:eastAsia="en-US" w:bidi="ar-SA"/>
      </w:rPr>
    </w:lvl>
    <w:lvl w:ilvl="6" w:tplc="1826EC82">
      <w:numFmt w:val="bullet"/>
      <w:lvlText w:val="•"/>
      <w:lvlJc w:val="left"/>
      <w:pPr>
        <w:ind w:left="6835" w:hanging="721"/>
      </w:pPr>
      <w:rPr>
        <w:rFonts w:hint="default"/>
        <w:lang w:val="pt-PT" w:eastAsia="en-US" w:bidi="ar-SA"/>
      </w:rPr>
    </w:lvl>
    <w:lvl w:ilvl="7" w:tplc="DF0C5F42">
      <w:numFmt w:val="bullet"/>
      <w:lvlText w:val="•"/>
      <w:lvlJc w:val="left"/>
      <w:pPr>
        <w:ind w:left="7784" w:hanging="721"/>
      </w:pPr>
      <w:rPr>
        <w:rFonts w:hint="default"/>
        <w:lang w:val="pt-PT" w:eastAsia="en-US" w:bidi="ar-SA"/>
      </w:rPr>
    </w:lvl>
    <w:lvl w:ilvl="8" w:tplc="F3CEAE2C">
      <w:numFmt w:val="bullet"/>
      <w:lvlText w:val="•"/>
      <w:lvlJc w:val="left"/>
      <w:pPr>
        <w:ind w:left="8733" w:hanging="721"/>
      </w:pPr>
      <w:rPr>
        <w:rFonts w:hint="default"/>
        <w:lang w:val="pt-PT" w:eastAsia="en-US" w:bidi="ar-SA"/>
      </w:rPr>
    </w:lvl>
  </w:abstractNum>
  <w:abstractNum w:abstractNumId="30" w15:restartNumberingAfterBreak="0">
    <w:nsid w:val="31C5057A"/>
    <w:multiLevelType w:val="hybridMultilevel"/>
    <w:tmpl w:val="8A6A857A"/>
    <w:lvl w:ilvl="0" w:tplc="1D328252">
      <w:start w:val="1"/>
      <w:numFmt w:val="lowerRoman"/>
      <w:lvlText w:val="%1)"/>
      <w:lvlJc w:val="left"/>
      <w:pPr>
        <w:ind w:left="427" w:hanging="242"/>
        <w:jc w:val="left"/>
      </w:pPr>
      <w:rPr>
        <w:rFonts w:ascii="Arial MT" w:eastAsia="Arial MT" w:hAnsi="Arial MT" w:cs="Arial MT" w:hint="default"/>
        <w:b w:val="0"/>
        <w:bCs w:val="0"/>
        <w:i w:val="0"/>
        <w:iCs w:val="0"/>
        <w:spacing w:val="-2"/>
        <w:w w:val="100"/>
        <w:sz w:val="22"/>
        <w:szCs w:val="22"/>
        <w:lang w:val="pt-PT" w:eastAsia="en-US" w:bidi="ar-SA"/>
      </w:rPr>
    </w:lvl>
    <w:lvl w:ilvl="1" w:tplc="EBD4C6CE">
      <w:numFmt w:val="bullet"/>
      <w:lvlText w:val="•"/>
      <w:lvlJc w:val="left"/>
      <w:pPr>
        <w:ind w:left="1483" w:hanging="242"/>
      </w:pPr>
      <w:rPr>
        <w:rFonts w:hint="default"/>
        <w:lang w:val="pt-PT" w:eastAsia="en-US" w:bidi="ar-SA"/>
      </w:rPr>
    </w:lvl>
    <w:lvl w:ilvl="2" w:tplc="615A4B44">
      <w:numFmt w:val="bullet"/>
      <w:lvlText w:val="•"/>
      <w:lvlJc w:val="left"/>
      <w:pPr>
        <w:ind w:left="2547" w:hanging="242"/>
      </w:pPr>
      <w:rPr>
        <w:rFonts w:hint="default"/>
        <w:lang w:val="pt-PT" w:eastAsia="en-US" w:bidi="ar-SA"/>
      </w:rPr>
    </w:lvl>
    <w:lvl w:ilvl="3" w:tplc="FE28F150">
      <w:numFmt w:val="bullet"/>
      <w:lvlText w:val="•"/>
      <w:lvlJc w:val="left"/>
      <w:pPr>
        <w:ind w:left="3610" w:hanging="242"/>
      </w:pPr>
      <w:rPr>
        <w:rFonts w:hint="default"/>
        <w:lang w:val="pt-PT" w:eastAsia="en-US" w:bidi="ar-SA"/>
      </w:rPr>
    </w:lvl>
    <w:lvl w:ilvl="4" w:tplc="3FAACE56">
      <w:numFmt w:val="bullet"/>
      <w:lvlText w:val="•"/>
      <w:lvlJc w:val="left"/>
      <w:pPr>
        <w:ind w:left="4674" w:hanging="242"/>
      </w:pPr>
      <w:rPr>
        <w:rFonts w:hint="default"/>
        <w:lang w:val="pt-PT" w:eastAsia="en-US" w:bidi="ar-SA"/>
      </w:rPr>
    </w:lvl>
    <w:lvl w:ilvl="5" w:tplc="64D6E60E">
      <w:numFmt w:val="bullet"/>
      <w:lvlText w:val="•"/>
      <w:lvlJc w:val="left"/>
      <w:pPr>
        <w:ind w:left="5738" w:hanging="242"/>
      </w:pPr>
      <w:rPr>
        <w:rFonts w:hint="default"/>
        <w:lang w:val="pt-PT" w:eastAsia="en-US" w:bidi="ar-SA"/>
      </w:rPr>
    </w:lvl>
    <w:lvl w:ilvl="6" w:tplc="42D2E95E">
      <w:numFmt w:val="bullet"/>
      <w:lvlText w:val="•"/>
      <w:lvlJc w:val="left"/>
      <w:pPr>
        <w:ind w:left="6801" w:hanging="242"/>
      </w:pPr>
      <w:rPr>
        <w:rFonts w:hint="default"/>
        <w:lang w:val="pt-PT" w:eastAsia="en-US" w:bidi="ar-SA"/>
      </w:rPr>
    </w:lvl>
    <w:lvl w:ilvl="7" w:tplc="4208BE7E">
      <w:numFmt w:val="bullet"/>
      <w:lvlText w:val="•"/>
      <w:lvlJc w:val="left"/>
      <w:pPr>
        <w:ind w:left="7865" w:hanging="242"/>
      </w:pPr>
      <w:rPr>
        <w:rFonts w:hint="default"/>
        <w:lang w:val="pt-PT" w:eastAsia="en-US" w:bidi="ar-SA"/>
      </w:rPr>
    </w:lvl>
    <w:lvl w:ilvl="8" w:tplc="6210699A">
      <w:numFmt w:val="bullet"/>
      <w:lvlText w:val="•"/>
      <w:lvlJc w:val="left"/>
      <w:pPr>
        <w:ind w:left="8929" w:hanging="242"/>
      </w:pPr>
      <w:rPr>
        <w:rFonts w:hint="default"/>
        <w:lang w:val="pt-PT" w:eastAsia="en-US" w:bidi="ar-SA"/>
      </w:rPr>
    </w:lvl>
  </w:abstractNum>
  <w:abstractNum w:abstractNumId="31" w15:restartNumberingAfterBreak="0">
    <w:nsid w:val="33EE7CEC"/>
    <w:multiLevelType w:val="hybridMultilevel"/>
    <w:tmpl w:val="64D23630"/>
    <w:lvl w:ilvl="0" w:tplc="1E4A693A">
      <w:start w:val="1"/>
      <w:numFmt w:val="lowerRoman"/>
      <w:lvlText w:val="%1)"/>
      <w:lvlJc w:val="left"/>
      <w:pPr>
        <w:ind w:left="1572" w:hanging="481"/>
        <w:jc w:val="right"/>
      </w:pPr>
      <w:rPr>
        <w:rFonts w:ascii="Segoe UI Symbol" w:eastAsia="Segoe UI Symbol" w:hAnsi="Segoe UI Symbol" w:cs="Segoe UI Symbol" w:hint="default"/>
        <w:b w:val="0"/>
        <w:bCs w:val="0"/>
        <w:i w:val="0"/>
        <w:iCs w:val="0"/>
        <w:spacing w:val="0"/>
        <w:w w:val="92"/>
        <w:sz w:val="22"/>
        <w:szCs w:val="22"/>
        <w:lang w:val="pt-PT" w:eastAsia="en-US" w:bidi="ar-SA"/>
      </w:rPr>
    </w:lvl>
    <w:lvl w:ilvl="1" w:tplc="5DD40C44">
      <w:numFmt w:val="bullet"/>
      <w:lvlText w:val="•"/>
      <w:lvlJc w:val="left"/>
      <w:pPr>
        <w:ind w:left="2485" w:hanging="481"/>
      </w:pPr>
      <w:rPr>
        <w:rFonts w:hint="default"/>
        <w:lang w:val="pt-PT" w:eastAsia="en-US" w:bidi="ar-SA"/>
      </w:rPr>
    </w:lvl>
    <w:lvl w:ilvl="2" w:tplc="D6E22628">
      <w:numFmt w:val="bullet"/>
      <w:lvlText w:val="•"/>
      <w:lvlJc w:val="left"/>
      <w:pPr>
        <w:ind w:left="3390" w:hanging="481"/>
      </w:pPr>
      <w:rPr>
        <w:rFonts w:hint="default"/>
        <w:lang w:val="pt-PT" w:eastAsia="en-US" w:bidi="ar-SA"/>
      </w:rPr>
    </w:lvl>
    <w:lvl w:ilvl="3" w:tplc="5284EFFA">
      <w:numFmt w:val="bullet"/>
      <w:lvlText w:val="•"/>
      <w:lvlJc w:val="left"/>
      <w:pPr>
        <w:ind w:left="4295" w:hanging="481"/>
      </w:pPr>
      <w:rPr>
        <w:rFonts w:hint="default"/>
        <w:lang w:val="pt-PT" w:eastAsia="en-US" w:bidi="ar-SA"/>
      </w:rPr>
    </w:lvl>
    <w:lvl w:ilvl="4" w:tplc="D91C9524">
      <w:numFmt w:val="bullet"/>
      <w:lvlText w:val="•"/>
      <w:lvlJc w:val="left"/>
      <w:pPr>
        <w:ind w:left="5200" w:hanging="481"/>
      </w:pPr>
      <w:rPr>
        <w:rFonts w:hint="default"/>
        <w:lang w:val="pt-PT" w:eastAsia="en-US" w:bidi="ar-SA"/>
      </w:rPr>
    </w:lvl>
    <w:lvl w:ilvl="5" w:tplc="163E9700">
      <w:numFmt w:val="bullet"/>
      <w:lvlText w:val="•"/>
      <w:lvlJc w:val="left"/>
      <w:pPr>
        <w:ind w:left="6106" w:hanging="481"/>
      </w:pPr>
      <w:rPr>
        <w:rFonts w:hint="default"/>
        <w:lang w:val="pt-PT" w:eastAsia="en-US" w:bidi="ar-SA"/>
      </w:rPr>
    </w:lvl>
    <w:lvl w:ilvl="6" w:tplc="74185EA4">
      <w:numFmt w:val="bullet"/>
      <w:lvlText w:val="•"/>
      <w:lvlJc w:val="left"/>
      <w:pPr>
        <w:ind w:left="7011" w:hanging="481"/>
      </w:pPr>
      <w:rPr>
        <w:rFonts w:hint="default"/>
        <w:lang w:val="pt-PT" w:eastAsia="en-US" w:bidi="ar-SA"/>
      </w:rPr>
    </w:lvl>
    <w:lvl w:ilvl="7" w:tplc="574C6A12">
      <w:numFmt w:val="bullet"/>
      <w:lvlText w:val="•"/>
      <w:lvlJc w:val="left"/>
      <w:pPr>
        <w:ind w:left="7916" w:hanging="481"/>
      </w:pPr>
      <w:rPr>
        <w:rFonts w:hint="default"/>
        <w:lang w:val="pt-PT" w:eastAsia="en-US" w:bidi="ar-SA"/>
      </w:rPr>
    </w:lvl>
    <w:lvl w:ilvl="8" w:tplc="93CEB688">
      <w:numFmt w:val="bullet"/>
      <w:lvlText w:val="•"/>
      <w:lvlJc w:val="left"/>
      <w:pPr>
        <w:ind w:left="8821" w:hanging="481"/>
      </w:pPr>
      <w:rPr>
        <w:rFonts w:hint="default"/>
        <w:lang w:val="pt-PT" w:eastAsia="en-US" w:bidi="ar-SA"/>
      </w:rPr>
    </w:lvl>
  </w:abstractNum>
  <w:abstractNum w:abstractNumId="32" w15:restartNumberingAfterBreak="0">
    <w:nsid w:val="34CD4E57"/>
    <w:multiLevelType w:val="hybridMultilevel"/>
    <w:tmpl w:val="59B03CD4"/>
    <w:lvl w:ilvl="0" w:tplc="18721D78">
      <w:numFmt w:val="bullet"/>
      <w:lvlText w:val="•"/>
      <w:lvlJc w:val="left"/>
      <w:pPr>
        <w:ind w:left="1434" w:hanging="360"/>
      </w:pPr>
      <w:rPr>
        <w:rFonts w:ascii="Arial MT" w:eastAsia="Arial MT" w:hAnsi="Arial MT" w:cs="Arial MT" w:hint="default"/>
        <w:b w:val="0"/>
        <w:bCs w:val="0"/>
        <w:i w:val="0"/>
        <w:iCs w:val="0"/>
        <w:color w:val="001F60"/>
        <w:spacing w:val="0"/>
        <w:w w:val="100"/>
        <w:sz w:val="22"/>
        <w:szCs w:val="22"/>
        <w:lang w:val="pt-PT" w:eastAsia="en-US" w:bidi="ar-SA"/>
      </w:rPr>
    </w:lvl>
    <w:lvl w:ilvl="1" w:tplc="0AB075F0">
      <w:numFmt w:val="bullet"/>
      <w:lvlText w:val="•"/>
      <w:lvlJc w:val="left"/>
      <w:pPr>
        <w:ind w:left="2302" w:hanging="360"/>
      </w:pPr>
      <w:rPr>
        <w:rFonts w:hint="default"/>
        <w:lang w:val="pt-PT" w:eastAsia="en-US" w:bidi="ar-SA"/>
      </w:rPr>
    </w:lvl>
    <w:lvl w:ilvl="2" w:tplc="04EE5C74">
      <w:numFmt w:val="bullet"/>
      <w:lvlText w:val="•"/>
      <w:lvlJc w:val="left"/>
      <w:pPr>
        <w:ind w:left="3164" w:hanging="360"/>
      </w:pPr>
      <w:rPr>
        <w:rFonts w:hint="default"/>
        <w:lang w:val="pt-PT" w:eastAsia="en-US" w:bidi="ar-SA"/>
      </w:rPr>
    </w:lvl>
    <w:lvl w:ilvl="3" w:tplc="65D8652C">
      <w:numFmt w:val="bullet"/>
      <w:lvlText w:val="•"/>
      <w:lvlJc w:val="left"/>
      <w:pPr>
        <w:ind w:left="4027" w:hanging="360"/>
      </w:pPr>
      <w:rPr>
        <w:rFonts w:hint="default"/>
        <w:lang w:val="pt-PT" w:eastAsia="en-US" w:bidi="ar-SA"/>
      </w:rPr>
    </w:lvl>
    <w:lvl w:ilvl="4" w:tplc="CC5C5C9C">
      <w:numFmt w:val="bullet"/>
      <w:lvlText w:val="•"/>
      <w:lvlJc w:val="left"/>
      <w:pPr>
        <w:ind w:left="4889" w:hanging="360"/>
      </w:pPr>
      <w:rPr>
        <w:rFonts w:hint="default"/>
        <w:lang w:val="pt-PT" w:eastAsia="en-US" w:bidi="ar-SA"/>
      </w:rPr>
    </w:lvl>
    <w:lvl w:ilvl="5" w:tplc="558C53D8">
      <w:numFmt w:val="bullet"/>
      <w:lvlText w:val="•"/>
      <w:lvlJc w:val="left"/>
      <w:pPr>
        <w:ind w:left="5752" w:hanging="360"/>
      </w:pPr>
      <w:rPr>
        <w:rFonts w:hint="default"/>
        <w:lang w:val="pt-PT" w:eastAsia="en-US" w:bidi="ar-SA"/>
      </w:rPr>
    </w:lvl>
    <w:lvl w:ilvl="6" w:tplc="F210E178">
      <w:numFmt w:val="bullet"/>
      <w:lvlText w:val="•"/>
      <w:lvlJc w:val="left"/>
      <w:pPr>
        <w:ind w:left="6614" w:hanging="360"/>
      </w:pPr>
      <w:rPr>
        <w:rFonts w:hint="default"/>
        <w:lang w:val="pt-PT" w:eastAsia="en-US" w:bidi="ar-SA"/>
      </w:rPr>
    </w:lvl>
    <w:lvl w:ilvl="7" w:tplc="3A541F9E">
      <w:numFmt w:val="bullet"/>
      <w:lvlText w:val="•"/>
      <w:lvlJc w:val="left"/>
      <w:pPr>
        <w:ind w:left="7477" w:hanging="360"/>
      </w:pPr>
      <w:rPr>
        <w:rFonts w:hint="default"/>
        <w:lang w:val="pt-PT" w:eastAsia="en-US" w:bidi="ar-SA"/>
      </w:rPr>
    </w:lvl>
    <w:lvl w:ilvl="8" w:tplc="63201CA2">
      <w:numFmt w:val="bullet"/>
      <w:lvlText w:val="•"/>
      <w:lvlJc w:val="left"/>
      <w:pPr>
        <w:ind w:left="8339" w:hanging="360"/>
      </w:pPr>
      <w:rPr>
        <w:rFonts w:hint="default"/>
        <w:lang w:val="pt-PT" w:eastAsia="en-US" w:bidi="ar-SA"/>
      </w:rPr>
    </w:lvl>
  </w:abstractNum>
  <w:abstractNum w:abstractNumId="33" w15:restartNumberingAfterBreak="0">
    <w:nsid w:val="3C8B6117"/>
    <w:multiLevelType w:val="multilevel"/>
    <w:tmpl w:val="FC9CBB30"/>
    <w:lvl w:ilvl="0">
      <w:start w:val="21"/>
      <w:numFmt w:val="decimal"/>
      <w:lvlText w:val="%1"/>
      <w:lvlJc w:val="left"/>
      <w:pPr>
        <w:ind w:left="995" w:hanging="852"/>
        <w:jc w:val="left"/>
      </w:pPr>
      <w:rPr>
        <w:rFonts w:hint="default"/>
        <w:lang w:val="pt-PT" w:eastAsia="en-US" w:bidi="ar-SA"/>
      </w:rPr>
    </w:lvl>
    <w:lvl w:ilvl="1">
      <w:start w:val="1"/>
      <w:numFmt w:val="decimal"/>
      <w:lvlText w:val="%1.%2."/>
      <w:lvlJc w:val="left"/>
      <w:pPr>
        <w:ind w:left="995" w:hanging="852"/>
        <w:jc w:val="left"/>
      </w:pPr>
      <w:rPr>
        <w:rFonts w:ascii="Arial" w:eastAsia="Arial" w:hAnsi="Arial" w:cs="Arial" w:hint="default"/>
        <w:b/>
        <w:bCs/>
        <w:i w:val="0"/>
        <w:iCs w:val="0"/>
        <w:spacing w:val="-2"/>
        <w:w w:val="100"/>
        <w:sz w:val="22"/>
        <w:szCs w:val="22"/>
        <w:lang w:val="pt-PT" w:eastAsia="en-US" w:bidi="ar-SA"/>
      </w:rPr>
    </w:lvl>
    <w:lvl w:ilvl="2">
      <w:start w:val="1"/>
      <w:numFmt w:val="decimal"/>
      <w:lvlText w:val="%1.%2.%3."/>
      <w:lvlJc w:val="left"/>
      <w:pPr>
        <w:ind w:left="994" w:hanging="851"/>
        <w:jc w:val="left"/>
      </w:pPr>
      <w:rPr>
        <w:rFonts w:ascii="Arial" w:eastAsia="Arial" w:hAnsi="Arial" w:cs="Arial" w:hint="default"/>
        <w:b/>
        <w:bCs/>
        <w:i w:val="0"/>
        <w:iCs w:val="0"/>
        <w:spacing w:val="-2"/>
        <w:w w:val="100"/>
        <w:sz w:val="22"/>
        <w:szCs w:val="22"/>
        <w:lang w:val="pt-PT" w:eastAsia="en-US" w:bidi="ar-SA"/>
      </w:rPr>
    </w:lvl>
    <w:lvl w:ilvl="3">
      <w:numFmt w:val="bullet"/>
      <w:lvlText w:val="•"/>
      <w:lvlJc w:val="left"/>
      <w:pPr>
        <w:ind w:left="3889" w:hanging="851"/>
      </w:pPr>
      <w:rPr>
        <w:rFonts w:hint="default"/>
        <w:lang w:val="pt-PT" w:eastAsia="en-US" w:bidi="ar-SA"/>
      </w:rPr>
    </w:lvl>
    <w:lvl w:ilvl="4">
      <w:numFmt w:val="bullet"/>
      <w:lvlText w:val="•"/>
      <w:lvlJc w:val="left"/>
      <w:pPr>
        <w:ind w:left="4852" w:hanging="851"/>
      </w:pPr>
      <w:rPr>
        <w:rFonts w:hint="default"/>
        <w:lang w:val="pt-PT" w:eastAsia="en-US" w:bidi="ar-SA"/>
      </w:rPr>
    </w:lvl>
    <w:lvl w:ilvl="5">
      <w:numFmt w:val="bullet"/>
      <w:lvlText w:val="•"/>
      <w:lvlJc w:val="left"/>
      <w:pPr>
        <w:ind w:left="5816" w:hanging="851"/>
      </w:pPr>
      <w:rPr>
        <w:rFonts w:hint="default"/>
        <w:lang w:val="pt-PT" w:eastAsia="en-US" w:bidi="ar-SA"/>
      </w:rPr>
    </w:lvl>
    <w:lvl w:ilvl="6">
      <w:numFmt w:val="bullet"/>
      <w:lvlText w:val="•"/>
      <w:lvlJc w:val="left"/>
      <w:pPr>
        <w:ind w:left="6779" w:hanging="851"/>
      </w:pPr>
      <w:rPr>
        <w:rFonts w:hint="default"/>
        <w:lang w:val="pt-PT" w:eastAsia="en-US" w:bidi="ar-SA"/>
      </w:rPr>
    </w:lvl>
    <w:lvl w:ilvl="7">
      <w:numFmt w:val="bullet"/>
      <w:lvlText w:val="•"/>
      <w:lvlJc w:val="left"/>
      <w:pPr>
        <w:ind w:left="7742" w:hanging="851"/>
      </w:pPr>
      <w:rPr>
        <w:rFonts w:hint="default"/>
        <w:lang w:val="pt-PT" w:eastAsia="en-US" w:bidi="ar-SA"/>
      </w:rPr>
    </w:lvl>
    <w:lvl w:ilvl="8">
      <w:numFmt w:val="bullet"/>
      <w:lvlText w:val="•"/>
      <w:lvlJc w:val="left"/>
      <w:pPr>
        <w:ind w:left="8705" w:hanging="851"/>
      </w:pPr>
      <w:rPr>
        <w:rFonts w:hint="default"/>
        <w:lang w:val="pt-PT" w:eastAsia="en-US" w:bidi="ar-SA"/>
      </w:rPr>
    </w:lvl>
  </w:abstractNum>
  <w:abstractNum w:abstractNumId="34" w15:restartNumberingAfterBreak="0">
    <w:nsid w:val="3D05251C"/>
    <w:multiLevelType w:val="hybridMultilevel"/>
    <w:tmpl w:val="ACC21594"/>
    <w:lvl w:ilvl="0" w:tplc="33B64B4C">
      <w:start w:val="1"/>
      <w:numFmt w:val="lowerRoman"/>
      <w:lvlText w:val="(%1)"/>
      <w:lvlJc w:val="left"/>
      <w:pPr>
        <w:ind w:left="331" w:hanging="188"/>
        <w:jc w:val="left"/>
      </w:pPr>
      <w:rPr>
        <w:rFonts w:ascii="Segoe UI Symbol" w:eastAsia="Segoe UI Symbol" w:hAnsi="Segoe UI Symbol" w:cs="Segoe UI Symbol" w:hint="default"/>
        <w:b w:val="0"/>
        <w:bCs w:val="0"/>
        <w:i w:val="0"/>
        <w:iCs w:val="0"/>
        <w:spacing w:val="0"/>
        <w:w w:val="92"/>
        <w:sz w:val="16"/>
        <w:szCs w:val="16"/>
        <w:lang w:val="pt-PT" w:eastAsia="en-US" w:bidi="ar-SA"/>
      </w:rPr>
    </w:lvl>
    <w:lvl w:ilvl="1" w:tplc="2924CE7A">
      <w:numFmt w:val="bullet"/>
      <w:lvlText w:val="•"/>
      <w:lvlJc w:val="left"/>
      <w:pPr>
        <w:ind w:left="1369" w:hanging="188"/>
      </w:pPr>
      <w:rPr>
        <w:rFonts w:hint="default"/>
        <w:lang w:val="pt-PT" w:eastAsia="en-US" w:bidi="ar-SA"/>
      </w:rPr>
    </w:lvl>
    <w:lvl w:ilvl="2" w:tplc="CF86C43E">
      <w:numFmt w:val="bullet"/>
      <w:lvlText w:val="•"/>
      <w:lvlJc w:val="left"/>
      <w:pPr>
        <w:ind w:left="2398" w:hanging="188"/>
      </w:pPr>
      <w:rPr>
        <w:rFonts w:hint="default"/>
        <w:lang w:val="pt-PT" w:eastAsia="en-US" w:bidi="ar-SA"/>
      </w:rPr>
    </w:lvl>
    <w:lvl w:ilvl="3" w:tplc="0C6E3ED8">
      <w:numFmt w:val="bullet"/>
      <w:lvlText w:val="•"/>
      <w:lvlJc w:val="left"/>
      <w:pPr>
        <w:ind w:left="3427" w:hanging="188"/>
      </w:pPr>
      <w:rPr>
        <w:rFonts w:hint="default"/>
        <w:lang w:val="pt-PT" w:eastAsia="en-US" w:bidi="ar-SA"/>
      </w:rPr>
    </w:lvl>
    <w:lvl w:ilvl="4" w:tplc="3B7E9AA0">
      <w:numFmt w:val="bullet"/>
      <w:lvlText w:val="•"/>
      <w:lvlJc w:val="left"/>
      <w:pPr>
        <w:ind w:left="4456" w:hanging="188"/>
      </w:pPr>
      <w:rPr>
        <w:rFonts w:hint="default"/>
        <w:lang w:val="pt-PT" w:eastAsia="en-US" w:bidi="ar-SA"/>
      </w:rPr>
    </w:lvl>
    <w:lvl w:ilvl="5" w:tplc="6B0C2728">
      <w:numFmt w:val="bullet"/>
      <w:lvlText w:val="•"/>
      <w:lvlJc w:val="left"/>
      <w:pPr>
        <w:ind w:left="5486" w:hanging="188"/>
      </w:pPr>
      <w:rPr>
        <w:rFonts w:hint="default"/>
        <w:lang w:val="pt-PT" w:eastAsia="en-US" w:bidi="ar-SA"/>
      </w:rPr>
    </w:lvl>
    <w:lvl w:ilvl="6" w:tplc="A606D79A">
      <w:numFmt w:val="bullet"/>
      <w:lvlText w:val="•"/>
      <w:lvlJc w:val="left"/>
      <w:pPr>
        <w:ind w:left="6515" w:hanging="188"/>
      </w:pPr>
      <w:rPr>
        <w:rFonts w:hint="default"/>
        <w:lang w:val="pt-PT" w:eastAsia="en-US" w:bidi="ar-SA"/>
      </w:rPr>
    </w:lvl>
    <w:lvl w:ilvl="7" w:tplc="DCC6596C">
      <w:numFmt w:val="bullet"/>
      <w:lvlText w:val="•"/>
      <w:lvlJc w:val="left"/>
      <w:pPr>
        <w:ind w:left="7544" w:hanging="188"/>
      </w:pPr>
      <w:rPr>
        <w:rFonts w:hint="default"/>
        <w:lang w:val="pt-PT" w:eastAsia="en-US" w:bidi="ar-SA"/>
      </w:rPr>
    </w:lvl>
    <w:lvl w:ilvl="8" w:tplc="050E315C">
      <w:numFmt w:val="bullet"/>
      <w:lvlText w:val="•"/>
      <w:lvlJc w:val="left"/>
      <w:pPr>
        <w:ind w:left="8573" w:hanging="188"/>
      </w:pPr>
      <w:rPr>
        <w:rFonts w:hint="default"/>
        <w:lang w:val="pt-PT" w:eastAsia="en-US" w:bidi="ar-SA"/>
      </w:rPr>
    </w:lvl>
  </w:abstractNum>
  <w:abstractNum w:abstractNumId="35" w15:restartNumberingAfterBreak="0">
    <w:nsid w:val="3D495ACF"/>
    <w:multiLevelType w:val="hybridMultilevel"/>
    <w:tmpl w:val="E84EA6D4"/>
    <w:lvl w:ilvl="0" w:tplc="8B90BED4">
      <w:start w:val="1"/>
      <w:numFmt w:val="lowerRoman"/>
      <w:lvlText w:val="%1)"/>
      <w:lvlJc w:val="left"/>
      <w:pPr>
        <w:ind w:left="599" w:hanging="173"/>
        <w:jc w:val="left"/>
      </w:pPr>
      <w:rPr>
        <w:rFonts w:ascii="Arial MT" w:eastAsia="Arial MT" w:hAnsi="Arial MT" w:cs="Arial MT" w:hint="default"/>
        <w:b w:val="0"/>
        <w:bCs w:val="0"/>
        <w:i w:val="0"/>
        <w:iCs w:val="0"/>
        <w:spacing w:val="-2"/>
        <w:w w:val="100"/>
        <w:sz w:val="22"/>
        <w:szCs w:val="22"/>
        <w:lang w:val="pt-PT" w:eastAsia="en-US" w:bidi="ar-SA"/>
      </w:rPr>
    </w:lvl>
    <w:lvl w:ilvl="1" w:tplc="44BA2848">
      <w:numFmt w:val="bullet"/>
      <w:lvlText w:val="•"/>
      <w:lvlJc w:val="left"/>
      <w:pPr>
        <w:ind w:left="1645" w:hanging="173"/>
      </w:pPr>
      <w:rPr>
        <w:rFonts w:hint="default"/>
        <w:lang w:val="pt-PT" w:eastAsia="en-US" w:bidi="ar-SA"/>
      </w:rPr>
    </w:lvl>
    <w:lvl w:ilvl="2" w:tplc="D2C0933C">
      <w:numFmt w:val="bullet"/>
      <w:lvlText w:val="•"/>
      <w:lvlJc w:val="left"/>
      <w:pPr>
        <w:ind w:left="2691" w:hanging="173"/>
      </w:pPr>
      <w:rPr>
        <w:rFonts w:hint="default"/>
        <w:lang w:val="pt-PT" w:eastAsia="en-US" w:bidi="ar-SA"/>
      </w:rPr>
    </w:lvl>
    <w:lvl w:ilvl="3" w:tplc="0E7C1354">
      <w:numFmt w:val="bullet"/>
      <w:lvlText w:val="•"/>
      <w:lvlJc w:val="left"/>
      <w:pPr>
        <w:ind w:left="3736" w:hanging="173"/>
      </w:pPr>
      <w:rPr>
        <w:rFonts w:hint="default"/>
        <w:lang w:val="pt-PT" w:eastAsia="en-US" w:bidi="ar-SA"/>
      </w:rPr>
    </w:lvl>
    <w:lvl w:ilvl="4" w:tplc="BDD6727E">
      <w:numFmt w:val="bullet"/>
      <w:lvlText w:val="•"/>
      <w:lvlJc w:val="left"/>
      <w:pPr>
        <w:ind w:left="4782" w:hanging="173"/>
      </w:pPr>
      <w:rPr>
        <w:rFonts w:hint="default"/>
        <w:lang w:val="pt-PT" w:eastAsia="en-US" w:bidi="ar-SA"/>
      </w:rPr>
    </w:lvl>
    <w:lvl w:ilvl="5" w:tplc="AF7A504E">
      <w:numFmt w:val="bullet"/>
      <w:lvlText w:val="•"/>
      <w:lvlJc w:val="left"/>
      <w:pPr>
        <w:ind w:left="5828" w:hanging="173"/>
      </w:pPr>
      <w:rPr>
        <w:rFonts w:hint="default"/>
        <w:lang w:val="pt-PT" w:eastAsia="en-US" w:bidi="ar-SA"/>
      </w:rPr>
    </w:lvl>
    <w:lvl w:ilvl="6" w:tplc="34DAEF4A">
      <w:numFmt w:val="bullet"/>
      <w:lvlText w:val="•"/>
      <w:lvlJc w:val="left"/>
      <w:pPr>
        <w:ind w:left="6873" w:hanging="173"/>
      </w:pPr>
      <w:rPr>
        <w:rFonts w:hint="default"/>
        <w:lang w:val="pt-PT" w:eastAsia="en-US" w:bidi="ar-SA"/>
      </w:rPr>
    </w:lvl>
    <w:lvl w:ilvl="7" w:tplc="A1C0CCC2">
      <w:numFmt w:val="bullet"/>
      <w:lvlText w:val="•"/>
      <w:lvlJc w:val="left"/>
      <w:pPr>
        <w:ind w:left="7919" w:hanging="173"/>
      </w:pPr>
      <w:rPr>
        <w:rFonts w:hint="default"/>
        <w:lang w:val="pt-PT" w:eastAsia="en-US" w:bidi="ar-SA"/>
      </w:rPr>
    </w:lvl>
    <w:lvl w:ilvl="8" w:tplc="E67A92BE">
      <w:numFmt w:val="bullet"/>
      <w:lvlText w:val="•"/>
      <w:lvlJc w:val="left"/>
      <w:pPr>
        <w:ind w:left="8965" w:hanging="173"/>
      </w:pPr>
      <w:rPr>
        <w:rFonts w:hint="default"/>
        <w:lang w:val="pt-PT" w:eastAsia="en-US" w:bidi="ar-SA"/>
      </w:rPr>
    </w:lvl>
  </w:abstractNum>
  <w:abstractNum w:abstractNumId="36" w15:restartNumberingAfterBreak="0">
    <w:nsid w:val="40802EC0"/>
    <w:multiLevelType w:val="multilevel"/>
    <w:tmpl w:val="6576B8B4"/>
    <w:lvl w:ilvl="0">
      <w:start w:val="6"/>
      <w:numFmt w:val="decimal"/>
      <w:lvlText w:val="%1"/>
      <w:lvlJc w:val="left"/>
      <w:pPr>
        <w:ind w:left="863" w:hanging="720"/>
        <w:jc w:val="left"/>
      </w:pPr>
      <w:rPr>
        <w:rFonts w:hint="default"/>
        <w:lang w:val="pt-PT" w:eastAsia="en-US" w:bidi="ar-SA"/>
      </w:rPr>
    </w:lvl>
    <w:lvl w:ilvl="1">
      <w:start w:val="1"/>
      <w:numFmt w:val="decimal"/>
      <w:lvlText w:val="%1.%2."/>
      <w:lvlJc w:val="left"/>
      <w:pPr>
        <w:ind w:left="863" w:hanging="720"/>
        <w:jc w:val="left"/>
      </w:pPr>
      <w:rPr>
        <w:rFonts w:ascii="Arial" w:eastAsia="Arial" w:hAnsi="Arial" w:cs="Arial" w:hint="default"/>
        <w:b/>
        <w:bCs/>
        <w:i w:val="0"/>
        <w:iCs w:val="0"/>
        <w:spacing w:val="-2"/>
        <w:w w:val="100"/>
        <w:sz w:val="22"/>
        <w:szCs w:val="22"/>
        <w:lang w:val="pt-PT" w:eastAsia="en-US" w:bidi="ar-SA"/>
      </w:rPr>
    </w:lvl>
    <w:lvl w:ilvl="2">
      <w:start w:val="1"/>
      <w:numFmt w:val="decimal"/>
      <w:lvlText w:val="%1.%2.%3."/>
      <w:lvlJc w:val="left"/>
      <w:pPr>
        <w:ind w:left="852" w:hanging="709"/>
        <w:jc w:val="left"/>
      </w:pPr>
      <w:rPr>
        <w:rFonts w:ascii="Arial" w:eastAsia="Arial" w:hAnsi="Arial" w:cs="Arial" w:hint="default"/>
        <w:b/>
        <w:bCs/>
        <w:i w:val="0"/>
        <w:iCs w:val="0"/>
        <w:spacing w:val="-2"/>
        <w:w w:val="100"/>
        <w:sz w:val="22"/>
        <w:szCs w:val="22"/>
        <w:lang w:val="pt-PT" w:eastAsia="en-US" w:bidi="ar-SA"/>
      </w:rPr>
    </w:lvl>
    <w:lvl w:ilvl="3">
      <w:numFmt w:val="bullet"/>
      <w:lvlText w:val="•"/>
      <w:lvlJc w:val="left"/>
      <w:pPr>
        <w:ind w:left="3791" w:hanging="709"/>
      </w:pPr>
      <w:rPr>
        <w:rFonts w:hint="default"/>
        <w:lang w:val="pt-PT" w:eastAsia="en-US" w:bidi="ar-SA"/>
      </w:rPr>
    </w:lvl>
    <w:lvl w:ilvl="4">
      <w:numFmt w:val="bullet"/>
      <w:lvlText w:val="•"/>
      <w:lvlJc w:val="left"/>
      <w:pPr>
        <w:ind w:left="4768" w:hanging="709"/>
      </w:pPr>
      <w:rPr>
        <w:rFonts w:hint="default"/>
        <w:lang w:val="pt-PT" w:eastAsia="en-US" w:bidi="ar-SA"/>
      </w:rPr>
    </w:lvl>
    <w:lvl w:ilvl="5">
      <w:numFmt w:val="bullet"/>
      <w:lvlText w:val="•"/>
      <w:lvlJc w:val="left"/>
      <w:pPr>
        <w:ind w:left="5746" w:hanging="709"/>
      </w:pPr>
      <w:rPr>
        <w:rFonts w:hint="default"/>
        <w:lang w:val="pt-PT" w:eastAsia="en-US" w:bidi="ar-SA"/>
      </w:rPr>
    </w:lvl>
    <w:lvl w:ilvl="6">
      <w:numFmt w:val="bullet"/>
      <w:lvlText w:val="•"/>
      <w:lvlJc w:val="left"/>
      <w:pPr>
        <w:ind w:left="6723" w:hanging="709"/>
      </w:pPr>
      <w:rPr>
        <w:rFonts w:hint="default"/>
        <w:lang w:val="pt-PT" w:eastAsia="en-US" w:bidi="ar-SA"/>
      </w:rPr>
    </w:lvl>
    <w:lvl w:ilvl="7">
      <w:numFmt w:val="bullet"/>
      <w:lvlText w:val="•"/>
      <w:lvlJc w:val="left"/>
      <w:pPr>
        <w:ind w:left="7700" w:hanging="709"/>
      </w:pPr>
      <w:rPr>
        <w:rFonts w:hint="default"/>
        <w:lang w:val="pt-PT" w:eastAsia="en-US" w:bidi="ar-SA"/>
      </w:rPr>
    </w:lvl>
    <w:lvl w:ilvl="8">
      <w:numFmt w:val="bullet"/>
      <w:lvlText w:val="•"/>
      <w:lvlJc w:val="left"/>
      <w:pPr>
        <w:ind w:left="8677" w:hanging="709"/>
      </w:pPr>
      <w:rPr>
        <w:rFonts w:hint="default"/>
        <w:lang w:val="pt-PT" w:eastAsia="en-US" w:bidi="ar-SA"/>
      </w:rPr>
    </w:lvl>
  </w:abstractNum>
  <w:abstractNum w:abstractNumId="37" w15:restartNumberingAfterBreak="0">
    <w:nsid w:val="419A7EE1"/>
    <w:multiLevelType w:val="hybridMultilevel"/>
    <w:tmpl w:val="A7AE689E"/>
    <w:lvl w:ilvl="0" w:tplc="DB7CD80A">
      <w:start w:val="1"/>
      <w:numFmt w:val="lowerRoman"/>
      <w:lvlText w:val="(%1)"/>
      <w:lvlJc w:val="left"/>
      <w:pPr>
        <w:ind w:left="1429" w:hanging="360"/>
        <w:jc w:val="left"/>
      </w:pPr>
      <w:rPr>
        <w:rFonts w:ascii="Calibri" w:eastAsia="Calibri" w:hAnsi="Calibri" w:cs="Calibri" w:hint="default"/>
        <w:b w:val="0"/>
        <w:bCs w:val="0"/>
        <w:i w:val="0"/>
        <w:iCs w:val="0"/>
        <w:color w:val="001F60"/>
        <w:spacing w:val="0"/>
        <w:w w:val="100"/>
        <w:sz w:val="22"/>
        <w:szCs w:val="22"/>
        <w:lang w:val="pt-PT" w:eastAsia="en-US" w:bidi="ar-SA"/>
      </w:rPr>
    </w:lvl>
    <w:lvl w:ilvl="1" w:tplc="94BA41D4">
      <w:numFmt w:val="bullet"/>
      <w:lvlText w:val="•"/>
      <w:lvlJc w:val="left"/>
      <w:pPr>
        <w:ind w:left="2284" w:hanging="360"/>
      </w:pPr>
      <w:rPr>
        <w:rFonts w:hint="default"/>
        <w:lang w:val="pt-PT" w:eastAsia="en-US" w:bidi="ar-SA"/>
      </w:rPr>
    </w:lvl>
    <w:lvl w:ilvl="2" w:tplc="CFA45476">
      <w:numFmt w:val="bullet"/>
      <w:lvlText w:val="•"/>
      <w:lvlJc w:val="left"/>
      <w:pPr>
        <w:ind w:left="3148" w:hanging="360"/>
      </w:pPr>
      <w:rPr>
        <w:rFonts w:hint="default"/>
        <w:lang w:val="pt-PT" w:eastAsia="en-US" w:bidi="ar-SA"/>
      </w:rPr>
    </w:lvl>
    <w:lvl w:ilvl="3" w:tplc="84ECE3F0">
      <w:numFmt w:val="bullet"/>
      <w:lvlText w:val="•"/>
      <w:lvlJc w:val="left"/>
      <w:pPr>
        <w:ind w:left="4013" w:hanging="360"/>
      </w:pPr>
      <w:rPr>
        <w:rFonts w:hint="default"/>
        <w:lang w:val="pt-PT" w:eastAsia="en-US" w:bidi="ar-SA"/>
      </w:rPr>
    </w:lvl>
    <w:lvl w:ilvl="4" w:tplc="F53217C4">
      <w:numFmt w:val="bullet"/>
      <w:lvlText w:val="•"/>
      <w:lvlJc w:val="left"/>
      <w:pPr>
        <w:ind w:left="4877" w:hanging="360"/>
      </w:pPr>
      <w:rPr>
        <w:rFonts w:hint="default"/>
        <w:lang w:val="pt-PT" w:eastAsia="en-US" w:bidi="ar-SA"/>
      </w:rPr>
    </w:lvl>
    <w:lvl w:ilvl="5" w:tplc="32A09578">
      <w:numFmt w:val="bullet"/>
      <w:lvlText w:val="•"/>
      <w:lvlJc w:val="left"/>
      <w:pPr>
        <w:ind w:left="5742" w:hanging="360"/>
      </w:pPr>
      <w:rPr>
        <w:rFonts w:hint="default"/>
        <w:lang w:val="pt-PT" w:eastAsia="en-US" w:bidi="ar-SA"/>
      </w:rPr>
    </w:lvl>
    <w:lvl w:ilvl="6" w:tplc="9084A454">
      <w:numFmt w:val="bullet"/>
      <w:lvlText w:val="•"/>
      <w:lvlJc w:val="left"/>
      <w:pPr>
        <w:ind w:left="6606" w:hanging="360"/>
      </w:pPr>
      <w:rPr>
        <w:rFonts w:hint="default"/>
        <w:lang w:val="pt-PT" w:eastAsia="en-US" w:bidi="ar-SA"/>
      </w:rPr>
    </w:lvl>
    <w:lvl w:ilvl="7" w:tplc="B69E6BE6">
      <w:numFmt w:val="bullet"/>
      <w:lvlText w:val="•"/>
      <w:lvlJc w:val="left"/>
      <w:pPr>
        <w:ind w:left="7471" w:hanging="360"/>
      </w:pPr>
      <w:rPr>
        <w:rFonts w:hint="default"/>
        <w:lang w:val="pt-PT" w:eastAsia="en-US" w:bidi="ar-SA"/>
      </w:rPr>
    </w:lvl>
    <w:lvl w:ilvl="8" w:tplc="B02AC66C">
      <w:numFmt w:val="bullet"/>
      <w:lvlText w:val="•"/>
      <w:lvlJc w:val="left"/>
      <w:pPr>
        <w:ind w:left="8335" w:hanging="360"/>
      </w:pPr>
      <w:rPr>
        <w:rFonts w:hint="default"/>
        <w:lang w:val="pt-PT" w:eastAsia="en-US" w:bidi="ar-SA"/>
      </w:rPr>
    </w:lvl>
  </w:abstractNum>
  <w:abstractNum w:abstractNumId="38" w15:restartNumberingAfterBreak="0">
    <w:nsid w:val="432F3524"/>
    <w:multiLevelType w:val="hybridMultilevel"/>
    <w:tmpl w:val="BC221072"/>
    <w:lvl w:ilvl="0" w:tplc="3AFC5458">
      <w:numFmt w:val="bullet"/>
      <w:lvlText w:val=""/>
      <w:lvlJc w:val="left"/>
      <w:pPr>
        <w:ind w:left="1997" w:hanging="360"/>
      </w:pPr>
      <w:rPr>
        <w:rFonts w:ascii="Symbol" w:eastAsia="Symbol" w:hAnsi="Symbol" w:cs="Symbol" w:hint="default"/>
        <w:b w:val="0"/>
        <w:bCs w:val="0"/>
        <w:i w:val="0"/>
        <w:iCs w:val="0"/>
        <w:color w:val="001F5F"/>
        <w:spacing w:val="0"/>
        <w:w w:val="100"/>
        <w:sz w:val="24"/>
        <w:szCs w:val="24"/>
        <w:lang w:val="pt-PT" w:eastAsia="en-US" w:bidi="ar-SA"/>
      </w:rPr>
    </w:lvl>
    <w:lvl w:ilvl="1" w:tplc="3A1CC14C">
      <w:numFmt w:val="bullet"/>
      <w:lvlText w:val="•"/>
      <w:lvlJc w:val="left"/>
      <w:pPr>
        <w:ind w:left="2939" w:hanging="360"/>
      </w:pPr>
      <w:rPr>
        <w:rFonts w:hint="default"/>
        <w:lang w:val="pt-PT" w:eastAsia="en-US" w:bidi="ar-SA"/>
      </w:rPr>
    </w:lvl>
    <w:lvl w:ilvl="2" w:tplc="1BD4F56E">
      <w:numFmt w:val="bullet"/>
      <w:lvlText w:val="•"/>
      <w:lvlJc w:val="left"/>
      <w:pPr>
        <w:ind w:left="3878" w:hanging="360"/>
      </w:pPr>
      <w:rPr>
        <w:rFonts w:hint="default"/>
        <w:lang w:val="pt-PT" w:eastAsia="en-US" w:bidi="ar-SA"/>
      </w:rPr>
    </w:lvl>
    <w:lvl w:ilvl="3" w:tplc="49209F34">
      <w:numFmt w:val="bullet"/>
      <w:lvlText w:val="•"/>
      <w:lvlJc w:val="left"/>
      <w:pPr>
        <w:ind w:left="4817" w:hanging="360"/>
      </w:pPr>
      <w:rPr>
        <w:rFonts w:hint="default"/>
        <w:lang w:val="pt-PT" w:eastAsia="en-US" w:bidi="ar-SA"/>
      </w:rPr>
    </w:lvl>
    <w:lvl w:ilvl="4" w:tplc="FF0AB7F2">
      <w:numFmt w:val="bullet"/>
      <w:lvlText w:val="•"/>
      <w:lvlJc w:val="left"/>
      <w:pPr>
        <w:ind w:left="5756" w:hanging="360"/>
      </w:pPr>
      <w:rPr>
        <w:rFonts w:hint="default"/>
        <w:lang w:val="pt-PT" w:eastAsia="en-US" w:bidi="ar-SA"/>
      </w:rPr>
    </w:lvl>
    <w:lvl w:ilvl="5" w:tplc="69E261CC">
      <w:numFmt w:val="bullet"/>
      <w:lvlText w:val="•"/>
      <w:lvlJc w:val="left"/>
      <w:pPr>
        <w:ind w:left="6695" w:hanging="360"/>
      </w:pPr>
      <w:rPr>
        <w:rFonts w:hint="default"/>
        <w:lang w:val="pt-PT" w:eastAsia="en-US" w:bidi="ar-SA"/>
      </w:rPr>
    </w:lvl>
    <w:lvl w:ilvl="6" w:tplc="67D825BA">
      <w:numFmt w:val="bullet"/>
      <w:lvlText w:val="•"/>
      <w:lvlJc w:val="left"/>
      <w:pPr>
        <w:ind w:left="7634" w:hanging="360"/>
      </w:pPr>
      <w:rPr>
        <w:rFonts w:hint="default"/>
        <w:lang w:val="pt-PT" w:eastAsia="en-US" w:bidi="ar-SA"/>
      </w:rPr>
    </w:lvl>
    <w:lvl w:ilvl="7" w:tplc="B1E89468">
      <w:numFmt w:val="bullet"/>
      <w:lvlText w:val="•"/>
      <w:lvlJc w:val="left"/>
      <w:pPr>
        <w:ind w:left="8573" w:hanging="360"/>
      </w:pPr>
      <w:rPr>
        <w:rFonts w:hint="default"/>
        <w:lang w:val="pt-PT" w:eastAsia="en-US" w:bidi="ar-SA"/>
      </w:rPr>
    </w:lvl>
    <w:lvl w:ilvl="8" w:tplc="00D07D40">
      <w:numFmt w:val="bullet"/>
      <w:lvlText w:val="•"/>
      <w:lvlJc w:val="left"/>
      <w:pPr>
        <w:ind w:left="9512" w:hanging="360"/>
      </w:pPr>
      <w:rPr>
        <w:rFonts w:hint="default"/>
        <w:lang w:val="pt-PT" w:eastAsia="en-US" w:bidi="ar-SA"/>
      </w:rPr>
    </w:lvl>
  </w:abstractNum>
  <w:abstractNum w:abstractNumId="39" w15:restartNumberingAfterBreak="0">
    <w:nsid w:val="455056A8"/>
    <w:multiLevelType w:val="hybridMultilevel"/>
    <w:tmpl w:val="8A5ECFA0"/>
    <w:lvl w:ilvl="0" w:tplc="E52C72D8">
      <w:start w:val="1"/>
      <w:numFmt w:val="lowerRoman"/>
      <w:lvlText w:val="%1)"/>
      <w:lvlJc w:val="left"/>
      <w:pPr>
        <w:ind w:left="143" w:hanging="200"/>
        <w:jc w:val="left"/>
      </w:pPr>
      <w:rPr>
        <w:rFonts w:ascii="Segoe UI Symbol" w:eastAsia="Segoe UI Symbol" w:hAnsi="Segoe UI Symbol" w:cs="Segoe UI Symbol" w:hint="default"/>
        <w:b w:val="0"/>
        <w:bCs w:val="0"/>
        <w:i w:val="0"/>
        <w:iCs w:val="0"/>
        <w:spacing w:val="0"/>
        <w:w w:val="92"/>
        <w:sz w:val="22"/>
        <w:szCs w:val="22"/>
        <w:lang w:val="pt-PT" w:eastAsia="en-US" w:bidi="ar-SA"/>
      </w:rPr>
    </w:lvl>
    <w:lvl w:ilvl="1" w:tplc="60AAC636">
      <w:numFmt w:val="bullet"/>
      <w:lvlText w:val="•"/>
      <w:lvlJc w:val="left"/>
      <w:pPr>
        <w:ind w:left="1189" w:hanging="200"/>
      </w:pPr>
      <w:rPr>
        <w:rFonts w:hint="default"/>
        <w:lang w:val="pt-PT" w:eastAsia="en-US" w:bidi="ar-SA"/>
      </w:rPr>
    </w:lvl>
    <w:lvl w:ilvl="2" w:tplc="9EE89A76">
      <w:numFmt w:val="bullet"/>
      <w:lvlText w:val="•"/>
      <w:lvlJc w:val="left"/>
      <w:pPr>
        <w:ind w:left="2238" w:hanging="200"/>
      </w:pPr>
      <w:rPr>
        <w:rFonts w:hint="default"/>
        <w:lang w:val="pt-PT" w:eastAsia="en-US" w:bidi="ar-SA"/>
      </w:rPr>
    </w:lvl>
    <w:lvl w:ilvl="3" w:tplc="3C3672CA">
      <w:numFmt w:val="bullet"/>
      <w:lvlText w:val="•"/>
      <w:lvlJc w:val="left"/>
      <w:pPr>
        <w:ind w:left="3287" w:hanging="200"/>
      </w:pPr>
      <w:rPr>
        <w:rFonts w:hint="default"/>
        <w:lang w:val="pt-PT" w:eastAsia="en-US" w:bidi="ar-SA"/>
      </w:rPr>
    </w:lvl>
    <w:lvl w:ilvl="4" w:tplc="53A2D8AE">
      <w:numFmt w:val="bullet"/>
      <w:lvlText w:val="•"/>
      <w:lvlJc w:val="left"/>
      <w:pPr>
        <w:ind w:left="4336" w:hanging="200"/>
      </w:pPr>
      <w:rPr>
        <w:rFonts w:hint="default"/>
        <w:lang w:val="pt-PT" w:eastAsia="en-US" w:bidi="ar-SA"/>
      </w:rPr>
    </w:lvl>
    <w:lvl w:ilvl="5" w:tplc="2A50B8EE">
      <w:numFmt w:val="bullet"/>
      <w:lvlText w:val="•"/>
      <w:lvlJc w:val="left"/>
      <w:pPr>
        <w:ind w:left="5386" w:hanging="200"/>
      </w:pPr>
      <w:rPr>
        <w:rFonts w:hint="default"/>
        <w:lang w:val="pt-PT" w:eastAsia="en-US" w:bidi="ar-SA"/>
      </w:rPr>
    </w:lvl>
    <w:lvl w:ilvl="6" w:tplc="1584B158">
      <w:numFmt w:val="bullet"/>
      <w:lvlText w:val="•"/>
      <w:lvlJc w:val="left"/>
      <w:pPr>
        <w:ind w:left="6435" w:hanging="200"/>
      </w:pPr>
      <w:rPr>
        <w:rFonts w:hint="default"/>
        <w:lang w:val="pt-PT" w:eastAsia="en-US" w:bidi="ar-SA"/>
      </w:rPr>
    </w:lvl>
    <w:lvl w:ilvl="7" w:tplc="FABA4368">
      <w:numFmt w:val="bullet"/>
      <w:lvlText w:val="•"/>
      <w:lvlJc w:val="left"/>
      <w:pPr>
        <w:ind w:left="7484" w:hanging="200"/>
      </w:pPr>
      <w:rPr>
        <w:rFonts w:hint="default"/>
        <w:lang w:val="pt-PT" w:eastAsia="en-US" w:bidi="ar-SA"/>
      </w:rPr>
    </w:lvl>
    <w:lvl w:ilvl="8" w:tplc="76E6B89E">
      <w:numFmt w:val="bullet"/>
      <w:lvlText w:val="•"/>
      <w:lvlJc w:val="left"/>
      <w:pPr>
        <w:ind w:left="8533" w:hanging="200"/>
      </w:pPr>
      <w:rPr>
        <w:rFonts w:hint="default"/>
        <w:lang w:val="pt-PT" w:eastAsia="en-US" w:bidi="ar-SA"/>
      </w:rPr>
    </w:lvl>
  </w:abstractNum>
  <w:abstractNum w:abstractNumId="40" w15:restartNumberingAfterBreak="0">
    <w:nsid w:val="47636717"/>
    <w:multiLevelType w:val="hybridMultilevel"/>
    <w:tmpl w:val="5608000A"/>
    <w:lvl w:ilvl="0" w:tplc="BE88F1AE">
      <w:numFmt w:val="bullet"/>
      <w:lvlText w:val="•"/>
      <w:lvlJc w:val="left"/>
      <w:pPr>
        <w:ind w:left="1429" w:hanging="360"/>
      </w:pPr>
      <w:rPr>
        <w:rFonts w:ascii="Arial MT" w:eastAsia="Arial MT" w:hAnsi="Arial MT" w:cs="Arial MT" w:hint="default"/>
        <w:b w:val="0"/>
        <w:bCs w:val="0"/>
        <w:i w:val="0"/>
        <w:iCs w:val="0"/>
        <w:color w:val="001F60"/>
        <w:spacing w:val="0"/>
        <w:w w:val="100"/>
        <w:sz w:val="22"/>
        <w:szCs w:val="22"/>
        <w:lang w:val="pt-PT" w:eastAsia="en-US" w:bidi="ar-SA"/>
      </w:rPr>
    </w:lvl>
    <w:lvl w:ilvl="1" w:tplc="49468B90">
      <w:numFmt w:val="bullet"/>
      <w:lvlText w:val="•"/>
      <w:lvlJc w:val="left"/>
      <w:pPr>
        <w:ind w:left="2284" w:hanging="360"/>
      </w:pPr>
      <w:rPr>
        <w:rFonts w:hint="default"/>
        <w:lang w:val="pt-PT" w:eastAsia="en-US" w:bidi="ar-SA"/>
      </w:rPr>
    </w:lvl>
    <w:lvl w:ilvl="2" w:tplc="775C704E">
      <w:numFmt w:val="bullet"/>
      <w:lvlText w:val="•"/>
      <w:lvlJc w:val="left"/>
      <w:pPr>
        <w:ind w:left="3148" w:hanging="360"/>
      </w:pPr>
      <w:rPr>
        <w:rFonts w:hint="default"/>
        <w:lang w:val="pt-PT" w:eastAsia="en-US" w:bidi="ar-SA"/>
      </w:rPr>
    </w:lvl>
    <w:lvl w:ilvl="3" w:tplc="B8ECABEA">
      <w:numFmt w:val="bullet"/>
      <w:lvlText w:val="•"/>
      <w:lvlJc w:val="left"/>
      <w:pPr>
        <w:ind w:left="4013" w:hanging="360"/>
      </w:pPr>
      <w:rPr>
        <w:rFonts w:hint="default"/>
        <w:lang w:val="pt-PT" w:eastAsia="en-US" w:bidi="ar-SA"/>
      </w:rPr>
    </w:lvl>
    <w:lvl w:ilvl="4" w:tplc="B30E9120">
      <w:numFmt w:val="bullet"/>
      <w:lvlText w:val="•"/>
      <w:lvlJc w:val="left"/>
      <w:pPr>
        <w:ind w:left="4877" w:hanging="360"/>
      </w:pPr>
      <w:rPr>
        <w:rFonts w:hint="default"/>
        <w:lang w:val="pt-PT" w:eastAsia="en-US" w:bidi="ar-SA"/>
      </w:rPr>
    </w:lvl>
    <w:lvl w:ilvl="5" w:tplc="01E6110A">
      <w:numFmt w:val="bullet"/>
      <w:lvlText w:val="•"/>
      <w:lvlJc w:val="left"/>
      <w:pPr>
        <w:ind w:left="5742" w:hanging="360"/>
      </w:pPr>
      <w:rPr>
        <w:rFonts w:hint="default"/>
        <w:lang w:val="pt-PT" w:eastAsia="en-US" w:bidi="ar-SA"/>
      </w:rPr>
    </w:lvl>
    <w:lvl w:ilvl="6" w:tplc="01464CF4">
      <w:numFmt w:val="bullet"/>
      <w:lvlText w:val="•"/>
      <w:lvlJc w:val="left"/>
      <w:pPr>
        <w:ind w:left="6606" w:hanging="360"/>
      </w:pPr>
      <w:rPr>
        <w:rFonts w:hint="default"/>
        <w:lang w:val="pt-PT" w:eastAsia="en-US" w:bidi="ar-SA"/>
      </w:rPr>
    </w:lvl>
    <w:lvl w:ilvl="7" w:tplc="B00E92AE">
      <w:numFmt w:val="bullet"/>
      <w:lvlText w:val="•"/>
      <w:lvlJc w:val="left"/>
      <w:pPr>
        <w:ind w:left="7471" w:hanging="360"/>
      </w:pPr>
      <w:rPr>
        <w:rFonts w:hint="default"/>
        <w:lang w:val="pt-PT" w:eastAsia="en-US" w:bidi="ar-SA"/>
      </w:rPr>
    </w:lvl>
    <w:lvl w:ilvl="8" w:tplc="8E2E0CFE">
      <w:numFmt w:val="bullet"/>
      <w:lvlText w:val="•"/>
      <w:lvlJc w:val="left"/>
      <w:pPr>
        <w:ind w:left="8335" w:hanging="360"/>
      </w:pPr>
      <w:rPr>
        <w:rFonts w:hint="default"/>
        <w:lang w:val="pt-PT" w:eastAsia="en-US" w:bidi="ar-SA"/>
      </w:rPr>
    </w:lvl>
  </w:abstractNum>
  <w:abstractNum w:abstractNumId="41" w15:restartNumberingAfterBreak="0">
    <w:nsid w:val="48856BE5"/>
    <w:multiLevelType w:val="multilevel"/>
    <w:tmpl w:val="17E4F49C"/>
    <w:lvl w:ilvl="0">
      <w:start w:val="1"/>
      <w:numFmt w:val="decimal"/>
      <w:lvlText w:val="%1"/>
      <w:lvlJc w:val="left"/>
      <w:pPr>
        <w:ind w:left="1673" w:hanging="396"/>
        <w:jc w:val="left"/>
      </w:pPr>
      <w:rPr>
        <w:rFonts w:hint="default"/>
        <w:spacing w:val="0"/>
        <w:w w:val="100"/>
        <w:lang w:val="pt-PT" w:eastAsia="en-US" w:bidi="ar-SA"/>
      </w:rPr>
    </w:lvl>
    <w:lvl w:ilvl="1">
      <w:start w:val="1"/>
      <w:numFmt w:val="decimal"/>
      <w:lvlText w:val="%1.%2"/>
      <w:lvlJc w:val="left"/>
      <w:pPr>
        <w:ind w:left="1877" w:hanging="600"/>
        <w:jc w:val="left"/>
      </w:pPr>
      <w:rPr>
        <w:rFonts w:ascii="Calibri" w:eastAsia="Calibri" w:hAnsi="Calibri" w:cs="Calibri" w:hint="default"/>
        <w:b w:val="0"/>
        <w:bCs w:val="0"/>
        <w:i w:val="0"/>
        <w:iCs w:val="0"/>
        <w:color w:val="001F5F"/>
        <w:spacing w:val="0"/>
        <w:w w:val="100"/>
        <w:sz w:val="24"/>
        <w:szCs w:val="24"/>
        <w:lang w:val="pt-PT" w:eastAsia="en-US" w:bidi="ar-SA"/>
      </w:rPr>
    </w:lvl>
    <w:lvl w:ilvl="2">
      <w:numFmt w:val="bullet"/>
      <w:lvlText w:val="•"/>
      <w:lvlJc w:val="left"/>
      <w:pPr>
        <w:ind w:left="2936" w:hanging="600"/>
      </w:pPr>
      <w:rPr>
        <w:rFonts w:hint="default"/>
        <w:lang w:val="pt-PT" w:eastAsia="en-US" w:bidi="ar-SA"/>
      </w:rPr>
    </w:lvl>
    <w:lvl w:ilvl="3">
      <w:numFmt w:val="bullet"/>
      <w:lvlText w:val="•"/>
      <w:lvlJc w:val="left"/>
      <w:pPr>
        <w:ind w:left="3993" w:hanging="600"/>
      </w:pPr>
      <w:rPr>
        <w:rFonts w:hint="default"/>
        <w:lang w:val="pt-PT" w:eastAsia="en-US" w:bidi="ar-SA"/>
      </w:rPr>
    </w:lvl>
    <w:lvl w:ilvl="4">
      <w:numFmt w:val="bullet"/>
      <w:lvlText w:val="•"/>
      <w:lvlJc w:val="left"/>
      <w:pPr>
        <w:ind w:left="5050" w:hanging="600"/>
      </w:pPr>
      <w:rPr>
        <w:rFonts w:hint="default"/>
        <w:lang w:val="pt-PT" w:eastAsia="en-US" w:bidi="ar-SA"/>
      </w:rPr>
    </w:lvl>
    <w:lvl w:ilvl="5">
      <w:numFmt w:val="bullet"/>
      <w:lvlText w:val="•"/>
      <w:lvlJc w:val="left"/>
      <w:pPr>
        <w:ind w:left="6106" w:hanging="600"/>
      </w:pPr>
      <w:rPr>
        <w:rFonts w:hint="default"/>
        <w:lang w:val="pt-PT" w:eastAsia="en-US" w:bidi="ar-SA"/>
      </w:rPr>
    </w:lvl>
    <w:lvl w:ilvl="6">
      <w:numFmt w:val="bullet"/>
      <w:lvlText w:val="•"/>
      <w:lvlJc w:val="left"/>
      <w:pPr>
        <w:ind w:left="7163" w:hanging="600"/>
      </w:pPr>
      <w:rPr>
        <w:rFonts w:hint="default"/>
        <w:lang w:val="pt-PT" w:eastAsia="en-US" w:bidi="ar-SA"/>
      </w:rPr>
    </w:lvl>
    <w:lvl w:ilvl="7">
      <w:numFmt w:val="bullet"/>
      <w:lvlText w:val="•"/>
      <w:lvlJc w:val="left"/>
      <w:pPr>
        <w:ind w:left="8220" w:hanging="600"/>
      </w:pPr>
      <w:rPr>
        <w:rFonts w:hint="default"/>
        <w:lang w:val="pt-PT" w:eastAsia="en-US" w:bidi="ar-SA"/>
      </w:rPr>
    </w:lvl>
    <w:lvl w:ilvl="8">
      <w:numFmt w:val="bullet"/>
      <w:lvlText w:val="•"/>
      <w:lvlJc w:val="left"/>
      <w:pPr>
        <w:ind w:left="9276" w:hanging="600"/>
      </w:pPr>
      <w:rPr>
        <w:rFonts w:hint="default"/>
        <w:lang w:val="pt-PT" w:eastAsia="en-US" w:bidi="ar-SA"/>
      </w:rPr>
    </w:lvl>
  </w:abstractNum>
  <w:abstractNum w:abstractNumId="42" w15:restartNumberingAfterBreak="0">
    <w:nsid w:val="4CD72747"/>
    <w:multiLevelType w:val="multilevel"/>
    <w:tmpl w:val="2CE49EA0"/>
    <w:lvl w:ilvl="0">
      <w:start w:val="22"/>
      <w:numFmt w:val="decimal"/>
      <w:lvlText w:val="%1"/>
      <w:lvlJc w:val="left"/>
      <w:pPr>
        <w:ind w:left="995" w:hanging="852"/>
        <w:jc w:val="left"/>
      </w:pPr>
      <w:rPr>
        <w:rFonts w:hint="default"/>
        <w:lang w:val="pt-PT" w:eastAsia="en-US" w:bidi="ar-SA"/>
      </w:rPr>
    </w:lvl>
    <w:lvl w:ilvl="1">
      <w:start w:val="1"/>
      <w:numFmt w:val="decimal"/>
      <w:lvlText w:val="%1.%2."/>
      <w:lvlJc w:val="left"/>
      <w:pPr>
        <w:ind w:left="995" w:hanging="852"/>
        <w:jc w:val="left"/>
      </w:pPr>
      <w:rPr>
        <w:rFonts w:ascii="Arial" w:eastAsia="Arial" w:hAnsi="Arial" w:cs="Arial" w:hint="default"/>
        <w:b/>
        <w:bCs/>
        <w:i w:val="0"/>
        <w:iCs w:val="0"/>
        <w:spacing w:val="-2"/>
        <w:w w:val="100"/>
        <w:sz w:val="22"/>
        <w:szCs w:val="22"/>
        <w:lang w:val="pt-PT" w:eastAsia="en-US" w:bidi="ar-SA"/>
      </w:rPr>
    </w:lvl>
    <w:lvl w:ilvl="2">
      <w:start w:val="1"/>
      <w:numFmt w:val="decimal"/>
      <w:lvlText w:val="%1.%2.%3."/>
      <w:lvlJc w:val="left"/>
      <w:pPr>
        <w:ind w:left="994" w:hanging="851"/>
        <w:jc w:val="left"/>
      </w:pPr>
      <w:rPr>
        <w:rFonts w:ascii="Arial" w:eastAsia="Arial" w:hAnsi="Arial" w:cs="Arial" w:hint="default"/>
        <w:b/>
        <w:bCs/>
        <w:i w:val="0"/>
        <w:iCs w:val="0"/>
        <w:spacing w:val="-2"/>
        <w:w w:val="100"/>
        <w:sz w:val="22"/>
        <w:szCs w:val="22"/>
        <w:lang w:val="pt-PT" w:eastAsia="en-US" w:bidi="ar-SA"/>
      </w:rPr>
    </w:lvl>
    <w:lvl w:ilvl="3">
      <w:numFmt w:val="bullet"/>
      <w:lvlText w:val="•"/>
      <w:lvlJc w:val="left"/>
      <w:pPr>
        <w:ind w:left="3889" w:hanging="851"/>
      </w:pPr>
      <w:rPr>
        <w:rFonts w:hint="default"/>
        <w:lang w:val="pt-PT" w:eastAsia="en-US" w:bidi="ar-SA"/>
      </w:rPr>
    </w:lvl>
    <w:lvl w:ilvl="4">
      <w:numFmt w:val="bullet"/>
      <w:lvlText w:val="•"/>
      <w:lvlJc w:val="left"/>
      <w:pPr>
        <w:ind w:left="4852" w:hanging="851"/>
      </w:pPr>
      <w:rPr>
        <w:rFonts w:hint="default"/>
        <w:lang w:val="pt-PT" w:eastAsia="en-US" w:bidi="ar-SA"/>
      </w:rPr>
    </w:lvl>
    <w:lvl w:ilvl="5">
      <w:numFmt w:val="bullet"/>
      <w:lvlText w:val="•"/>
      <w:lvlJc w:val="left"/>
      <w:pPr>
        <w:ind w:left="5816" w:hanging="851"/>
      </w:pPr>
      <w:rPr>
        <w:rFonts w:hint="default"/>
        <w:lang w:val="pt-PT" w:eastAsia="en-US" w:bidi="ar-SA"/>
      </w:rPr>
    </w:lvl>
    <w:lvl w:ilvl="6">
      <w:numFmt w:val="bullet"/>
      <w:lvlText w:val="•"/>
      <w:lvlJc w:val="left"/>
      <w:pPr>
        <w:ind w:left="6779" w:hanging="851"/>
      </w:pPr>
      <w:rPr>
        <w:rFonts w:hint="default"/>
        <w:lang w:val="pt-PT" w:eastAsia="en-US" w:bidi="ar-SA"/>
      </w:rPr>
    </w:lvl>
    <w:lvl w:ilvl="7">
      <w:numFmt w:val="bullet"/>
      <w:lvlText w:val="•"/>
      <w:lvlJc w:val="left"/>
      <w:pPr>
        <w:ind w:left="7742" w:hanging="851"/>
      </w:pPr>
      <w:rPr>
        <w:rFonts w:hint="default"/>
        <w:lang w:val="pt-PT" w:eastAsia="en-US" w:bidi="ar-SA"/>
      </w:rPr>
    </w:lvl>
    <w:lvl w:ilvl="8">
      <w:numFmt w:val="bullet"/>
      <w:lvlText w:val="•"/>
      <w:lvlJc w:val="left"/>
      <w:pPr>
        <w:ind w:left="8705" w:hanging="851"/>
      </w:pPr>
      <w:rPr>
        <w:rFonts w:hint="default"/>
        <w:lang w:val="pt-PT" w:eastAsia="en-US" w:bidi="ar-SA"/>
      </w:rPr>
    </w:lvl>
  </w:abstractNum>
  <w:abstractNum w:abstractNumId="43" w15:restartNumberingAfterBreak="0">
    <w:nsid w:val="4E57345B"/>
    <w:multiLevelType w:val="hybridMultilevel"/>
    <w:tmpl w:val="8168E6FC"/>
    <w:lvl w:ilvl="0" w:tplc="DBAE614C">
      <w:start w:val="1"/>
      <w:numFmt w:val="lowerRoman"/>
      <w:lvlText w:val="%1)"/>
      <w:lvlJc w:val="left"/>
      <w:pPr>
        <w:ind w:left="143" w:hanging="214"/>
        <w:jc w:val="left"/>
      </w:pPr>
      <w:rPr>
        <w:rFonts w:ascii="Arial" w:eastAsia="Arial" w:hAnsi="Arial" w:cs="Arial" w:hint="default"/>
        <w:b/>
        <w:bCs/>
        <w:i w:val="0"/>
        <w:iCs w:val="0"/>
        <w:spacing w:val="0"/>
        <w:w w:val="100"/>
        <w:sz w:val="22"/>
        <w:szCs w:val="22"/>
        <w:lang w:val="pt-PT" w:eastAsia="en-US" w:bidi="ar-SA"/>
      </w:rPr>
    </w:lvl>
    <w:lvl w:ilvl="1" w:tplc="3E5E2CBA">
      <w:numFmt w:val="bullet"/>
      <w:lvlText w:val="•"/>
      <w:lvlJc w:val="left"/>
      <w:pPr>
        <w:ind w:left="1189" w:hanging="214"/>
      </w:pPr>
      <w:rPr>
        <w:rFonts w:hint="default"/>
        <w:lang w:val="pt-PT" w:eastAsia="en-US" w:bidi="ar-SA"/>
      </w:rPr>
    </w:lvl>
    <w:lvl w:ilvl="2" w:tplc="63E23C0C">
      <w:numFmt w:val="bullet"/>
      <w:lvlText w:val="•"/>
      <w:lvlJc w:val="left"/>
      <w:pPr>
        <w:ind w:left="2238" w:hanging="214"/>
      </w:pPr>
      <w:rPr>
        <w:rFonts w:hint="default"/>
        <w:lang w:val="pt-PT" w:eastAsia="en-US" w:bidi="ar-SA"/>
      </w:rPr>
    </w:lvl>
    <w:lvl w:ilvl="3" w:tplc="FDAAE5D2">
      <w:numFmt w:val="bullet"/>
      <w:lvlText w:val="•"/>
      <w:lvlJc w:val="left"/>
      <w:pPr>
        <w:ind w:left="3287" w:hanging="214"/>
      </w:pPr>
      <w:rPr>
        <w:rFonts w:hint="default"/>
        <w:lang w:val="pt-PT" w:eastAsia="en-US" w:bidi="ar-SA"/>
      </w:rPr>
    </w:lvl>
    <w:lvl w:ilvl="4" w:tplc="25CEA2AA">
      <w:numFmt w:val="bullet"/>
      <w:lvlText w:val="•"/>
      <w:lvlJc w:val="left"/>
      <w:pPr>
        <w:ind w:left="4336" w:hanging="214"/>
      </w:pPr>
      <w:rPr>
        <w:rFonts w:hint="default"/>
        <w:lang w:val="pt-PT" w:eastAsia="en-US" w:bidi="ar-SA"/>
      </w:rPr>
    </w:lvl>
    <w:lvl w:ilvl="5" w:tplc="0262E608">
      <w:numFmt w:val="bullet"/>
      <w:lvlText w:val="•"/>
      <w:lvlJc w:val="left"/>
      <w:pPr>
        <w:ind w:left="5386" w:hanging="214"/>
      </w:pPr>
      <w:rPr>
        <w:rFonts w:hint="default"/>
        <w:lang w:val="pt-PT" w:eastAsia="en-US" w:bidi="ar-SA"/>
      </w:rPr>
    </w:lvl>
    <w:lvl w:ilvl="6" w:tplc="551096C8">
      <w:numFmt w:val="bullet"/>
      <w:lvlText w:val="•"/>
      <w:lvlJc w:val="left"/>
      <w:pPr>
        <w:ind w:left="6435" w:hanging="214"/>
      </w:pPr>
      <w:rPr>
        <w:rFonts w:hint="default"/>
        <w:lang w:val="pt-PT" w:eastAsia="en-US" w:bidi="ar-SA"/>
      </w:rPr>
    </w:lvl>
    <w:lvl w:ilvl="7" w:tplc="E1F2A218">
      <w:numFmt w:val="bullet"/>
      <w:lvlText w:val="•"/>
      <w:lvlJc w:val="left"/>
      <w:pPr>
        <w:ind w:left="7484" w:hanging="214"/>
      </w:pPr>
      <w:rPr>
        <w:rFonts w:hint="default"/>
        <w:lang w:val="pt-PT" w:eastAsia="en-US" w:bidi="ar-SA"/>
      </w:rPr>
    </w:lvl>
    <w:lvl w:ilvl="8" w:tplc="F5C08DE4">
      <w:numFmt w:val="bullet"/>
      <w:lvlText w:val="•"/>
      <w:lvlJc w:val="left"/>
      <w:pPr>
        <w:ind w:left="8533" w:hanging="214"/>
      </w:pPr>
      <w:rPr>
        <w:rFonts w:hint="default"/>
        <w:lang w:val="pt-PT" w:eastAsia="en-US" w:bidi="ar-SA"/>
      </w:rPr>
    </w:lvl>
  </w:abstractNum>
  <w:abstractNum w:abstractNumId="44" w15:restartNumberingAfterBreak="0">
    <w:nsid w:val="4F4720CF"/>
    <w:multiLevelType w:val="multilevel"/>
    <w:tmpl w:val="9A1C9EEE"/>
    <w:lvl w:ilvl="0">
      <w:start w:val="12"/>
      <w:numFmt w:val="decimal"/>
      <w:lvlText w:val="%1"/>
      <w:lvlJc w:val="left"/>
      <w:pPr>
        <w:ind w:left="995" w:hanging="852"/>
        <w:jc w:val="left"/>
      </w:pPr>
      <w:rPr>
        <w:rFonts w:hint="default"/>
        <w:lang w:val="pt-PT" w:eastAsia="en-US" w:bidi="ar-SA"/>
      </w:rPr>
    </w:lvl>
    <w:lvl w:ilvl="1">
      <w:start w:val="1"/>
      <w:numFmt w:val="decimal"/>
      <w:lvlText w:val="%1.%2."/>
      <w:lvlJc w:val="left"/>
      <w:pPr>
        <w:ind w:left="995" w:hanging="852"/>
        <w:jc w:val="left"/>
      </w:pPr>
      <w:rPr>
        <w:rFonts w:ascii="Arial" w:eastAsia="Arial" w:hAnsi="Arial" w:cs="Arial" w:hint="default"/>
        <w:b/>
        <w:bCs/>
        <w:i w:val="0"/>
        <w:iCs w:val="0"/>
        <w:spacing w:val="-2"/>
        <w:w w:val="100"/>
        <w:sz w:val="22"/>
        <w:szCs w:val="22"/>
        <w:lang w:val="pt-PT" w:eastAsia="en-US" w:bidi="ar-SA"/>
      </w:rPr>
    </w:lvl>
    <w:lvl w:ilvl="2">
      <w:start w:val="1"/>
      <w:numFmt w:val="decimal"/>
      <w:lvlText w:val="%1.%2.%3."/>
      <w:lvlJc w:val="left"/>
      <w:pPr>
        <w:ind w:left="994" w:hanging="851"/>
        <w:jc w:val="left"/>
      </w:pPr>
      <w:rPr>
        <w:rFonts w:ascii="Arial" w:eastAsia="Arial" w:hAnsi="Arial" w:cs="Arial" w:hint="default"/>
        <w:b/>
        <w:bCs/>
        <w:i w:val="0"/>
        <w:iCs w:val="0"/>
        <w:spacing w:val="-2"/>
        <w:w w:val="100"/>
        <w:sz w:val="22"/>
        <w:szCs w:val="22"/>
        <w:lang w:val="pt-PT" w:eastAsia="en-US" w:bidi="ar-SA"/>
      </w:rPr>
    </w:lvl>
    <w:lvl w:ilvl="3">
      <w:numFmt w:val="bullet"/>
      <w:lvlText w:val="•"/>
      <w:lvlJc w:val="left"/>
      <w:pPr>
        <w:ind w:left="3889" w:hanging="851"/>
      </w:pPr>
      <w:rPr>
        <w:rFonts w:hint="default"/>
        <w:lang w:val="pt-PT" w:eastAsia="en-US" w:bidi="ar-SA"/>
      </w:rPr>
    </w:lvl>
    <w:lvl w:ilvl="4">
      <w:numFmt w:val="bullet"/>
      <w:lvlText w:val="•"/>
      <w:lvlJc w:val="left"/>
      <w:pPr>
        <w:ind w:left="4852" w:hanging="851"/>
      </w:pPr>
      <w:rPr>
        <w:rFonts w:hint="default"/>
        <w:lang w:val="pt-PT" w:eastAsia="en-US" w:bidi="ar-SA"/>
      </w:rPr>
    </w:lvl>
    <w:lvl w:ilvl="5">
      <w:numFmt w:val="bullet"/>
      <w:lvlText w:val="•"/>
      <w:lvlJc w:val="left"/>
      <w:pPr>
        <w:ind w:left="5816" w:hanging="851"/>
      </w:pPr>
      <w:rPr>
        <w:rFonts w:hint="default"/>
        <w:lang w:val="pt-PT" w:eastAsia="en-US" w:bidi="ar-SA"/>
      </w:rPr>
    </w:lvl>
    <w:lvl w:ilvl="6">
      <w:numFmt w:val="bullet"/>
      <w:lvlText w:val="•"/>
      <w:lvlJc w:val="left"/>
      <w:pPr>
        <w:ind w:left="6779" w:hanging="851"/>
      </w:pPr>
      <w:rPr>
        <w:rFonts w:hint="default"/>
        <w:lang w:val="pt-PT" w:eastAsia="en-US" w:bidi="ar-SA"/>
      </w:rPr>
    </w:lvl>
    <w:lvl w:ilvl="7">
      <w:numFmt w:val="bullet"/>
      <w:lvlText w:val="•"/>
      <w:lvlJc w:val="left"/>
      <w:pPr>
        <w:ind w:left="7742" w:hanging="851"/>
      </w:pPr>
      <w:rPr>
        <w:rFonts w:hint="default"/>
        <w:lang w:val="pt-PT" w:eastAsia="en-US" w:bidi="ar-SA"/>
      </w:rPr>
    </w:lvl>
    <w:lvl w:ilvl="8">
      <w:numFmt w:val="bullet"/>
      <w:lvlText w:val="•"/>
      <w:lvlJc w:val="left"/>
      <w:pPr>
        <w:ind w:left="8705" w:hanging="851"/>
      </w:pPr>
      <w:rPr>
        <w:rFonts w:hint="default"/>
        <w:lang w:val="pt-PT" w:eastAsia="en-US" w:bidi="ar-SA"/>
      </w:rPr>
    </w:lvl>
  </w:abstractNum>
  <w:abstractNum w:abstractNumId="45" w15:restartNumberingAfterBreak="0">
    <w:nsid w:val="4FC62757"/>
    <w:multiLevelType w:val="hybridMultilevel"/>
    <w:tmpl w:val="D22EAE86"/>
    <w:lvl w:ilvl="0" w:tplc="EA32011E">
      <w:start w:val="1"/>
      <w:numFmt w:val="lowerRoman"/>
      <w:lvlText w:val="%1)"/>
      <w:lvlJc w:val="left"/>
      <w:pPr>
        <w:ind w:left="1224" w:hanging="721"/>
        <w:jc w:val="left"/>
      </w:pPr>
      <w:rPr>
        <w:rFonts w:ascii="Segoe UI Symbol" w:eastAsia="Segoe UI Symbol" w:hAnsi="Segoe UI Symbol" w:cs="Segoe UI Symbol" w:hint="default"/>
        <w:b w:val="0"/>
        <w:bCs w:val="0"/>
        <w:i w:val="0"/>
        <w:iCs w:val="0"/>
        <w:spacing w:val="0"/>
        <w:w w:val="92"/>
        <w:sz w:val="22"/>
        <w:szCs w:val="22"/>
        <w:lang w:val="pt-PT" w:eastAsia="en-US" w:bidi="ar-SA"/>
      </w:rPr>
    </w:lvl>
    <w:lvl w:ilvl="1" w:tplc="2148376C">
      <w:numFmt w:val="bullet"/>
      <w:lvlText w:val="•"/>
      <w:lvlJc w:val="left"/>
      <w:pPr>
        <w:ind w:left="2161" w:hanging="721"/>
      </w:pPr>
      <w:rPr>
        <w:rFonts w:hint="default"/>
        <w:lang w:val="pt-PT" w:eastAsia="en-US" w:bidi="ar-SA"/>
      </w:rPr>
    </w:lvl>
    <w:lvl w:ilvl="2" w:tplc="ADA069CE">
      <w:numFmt w:val="bullet"/>
      <w:lvlText w:val="•"/>
      <w:lvlJc w:val="left"/>
      <w:pPr>
        <w:ind w:left="3102" w:hanging="721"/>
      </w:pPr>
      <w:rPr>
        <w:rFonts w:hint="default"/>
        <w:lang w:val="pt-PT" w:eastAsia="en-US" w:bidi="ar-SA"/>
      </w:rPr>
    </w:lvl>
    <w:lvl w:ilvl="3" w:tplc="85326D10">
      <w:numFmt w:val="bullet"/>
      <w:lvlText w:val="•"/>
      <w:lvlJc w:val="left"/>
      <w:pPr>
        <w:ind w:left="4043" w:hanging="721"/>
      </w:pPr>
      <w:rPr>
        <w:rFonts w:hint="default"/>
        <w:lang w:val="pt-PT" w:eastAsia="en-US" w:bidi="ar-SA"/>
      </w:rPr>
    </w:lvl>
    <w:lvl w:ilvl="4" w:tplc="9F8A11E8">
      <w:numFmt w:val="bullet"/>
      <w:lvlText w:val="•"/>
      <w:lvlJc w:val="left"/>
      <w:pPr>
        <w:ind w:left="4984" w:hanging="721"/>
      </w:pPr>
      <w:rPr>
        <w:rFonts w:hint="default"/>
        <w:lang w:val="pt-PT" w:eastAsia="en-US" w:bidi="ar-SA"/>
      </w:rPr>
    </w:lvl>
    <w:lvl w:ilvl="5" w:tplc="370AFF06">
      <w:numFmt w:val="bullet"/>
      <w:lvlText w:val="•"/>
      <w:lvlJc w:val="left"/>
      <w:pPr>
        <w:ind w:left="5926" w:hanging="721"/>
      </w:pPr>
      <w:rPr>
        <w:rFonts w:hint="default"/>
        <w:lang w:val="pt-PT" w:eastAsia="en-US" w:bidi="ar-SA"/>
      </w:rPr>
    </w:lvl>
    <w:lvl w:ilvl="6" w:tplc="124A1416">
      <w:numFmt w:val="bullet"/>
      <w:lvlText w:val="•"/>
      <w:lvlJc w:val="left"/>
      <w:pPr>
        <w:ind w:left="6867" w:hanging="721"/>
      </w:pPr>
      <w:rPr>
        <w:rFonts w:hint="default"/>
        <w:lang w:val="pt-PT" w:eastAsia="en-US" w:bidi="ar-SA"/>
      </w:rPr>
    </w:lvl>
    <w:lvl w:ilvl="7" w:tplc="E5C6A414">
      <w:numFmt w:val="bullet"/>
      <w:lvlText w:val="•"/>
      <w:lvlJc w:val="left"/>
      <w:pPr>
        <w:ind w:left="7808" w:hanging="721"/>
      </w:pPr>
      <w:rPr>
        <w:rFonts w:hint="default"/>
        <w:lang w:val="pt-PT" w:eastAsia="en-US" w:bidi="ar-SA"/>
      </w:rPr>
    </w:lvl>
    <w:lvl w:ilvl="8" w:tplc="1AFCA132">
      <w:numFmt w:val="bullet"/>
      <w:lvlText w:val="•"/>
      <w:lvlJc w:val="left"/>
      <w:pPr>
        <w:ind w:left="8749" w:hanging="721"/>
      </w:pPr>
      <w:rPr>
        <w:rFonts w:hint="default"/>
        <w:lang w:val="pt-PT" w:eastAsia="en-US" w:bidi="ar-SA"/>
      </w:rPr>
    </w:lvl>
  </w:abstractNum>
  <w:abstractNum w:abstractNumId="46" w15:restartNumberingAfterBreak="0">
    <w:nsid w:val="505469BC"/>
    <w:multiLevelType w:val="multilevel"/>
    <w:tmpl w:val="2844FB4E"/>
    <w:lvl w:ilvl="0">
      <w:start w:val="3"/>
      <w:numFmt w:val="decimal"/>
      <w:lvlText w:val="%1"/>
      <w:lvlJc w:val="left"/>
      <w:pPr>
        <w:ind w:left="996" w:hanging="853"/>
        <w:jc w:val="left"/>
      </w:pPr>
      <w:rPr>
        <w:rFonts w:hint="default"/>
        <w:lang w:val="pt-PT" w:eastAsia="en-US" w:bidi="ar-SA"/>
      </w:rPr>
    </w:lvl>
    <w:lvl w:ilvl="1">
      <w:start w:val="1"/>
      <w:numFmt w:val="decimal"/>
      <w:lvlText w:val="%1.%2."/>
      <w:lvlJc w:val="left"/>
      <w:pPr>
        <w:ind w:left="996" w:hanging="853"/>
        <w:jc w:val="left"/>
      </w:pPr>
      <w:rPr>
        <w:rFonts w:ascii="Arial" w:eastAsia="Arial" w:hAnsi="Arial" w:cs="Arial" w:hint="default"/>
        <w:b/>
        <w:bCs/>
        <w:i w:val="0"/>
        <w:iCs w:val="0"/>
        <w:spacing w:val="-2"/>
        <w:w w:val="100"/>
        <w:sz w:val="22"/>
        <w:szCs w:val="22"/>
        <w:lang w:val="pt-PT" w:eastAsia="en-US" w:bidi="ar-SA"/>
      </w:rPr>
    </w:lvl>
    <w:lvl w:ilvl="2">
      <w:start w:val="1"/>
      <w:numFmt w:val="decimal"/>
      <w:lvlText w:val="%1.%2.%3."/>
      <w:lvlJc w:val="left"/>
      <w:pPr>
        <w:ind w:left="852" w:hanging="709"/>
        <w:jc w:val="left"/>
      </w:pPr>
      <w:rPr>
        <w:rFonts w:ascii="Arial" w:eastAsia="Arial" w:hAnsi="Arial" w:cs="Arial" w:hint="default"/>
        <w:b/>
        <w:bCs/>
        <w:i w:val="0"/>
        <w:iCs w:val="0"/>
        <w:spacing w:val="-2"/>
        <w:w w:val="100"/>
        <w:sz w:val="22"/>
        <w:szCs w:val="22"/>
        <w:lang w:val="pt-PT" w:eastAsia="en-US" w:bidi="ar-SA"/>
      </w:rPr>
    </w:lvl>
    <w:lvl w:ilvl="3">
      <w:start w:val="1"/>
      <w:numFmt w:val="decimal"/>
      <w:lvlText w:val="%1.%2.%3.%4."/>
      <w:lvlJc w:val="left"/>
      <w:pPr>
        <w:ind w:left="996" w:hanging="853"/>
        <w:jc w:val="left"/>
      </w:pPr>
      <w:rPr>
        <w:rFonts w:ascii="Arial" w:eastAsia="Arial" w:hAnsi="Arial" w:cs="Arial" w:hint="default"/>
        <w:b/>
        <w:bCs/>
        <w:i w:val="0"/>
        <w:iCs w:val="0"/>
        <w:spacing w:val="-2"/>
        <w:w w:val="100"/>
        <w:sz w:val="22"/>
        <w:szCs w:val="22"/>
        <w:lang w:val="pt-PT" w:eastAsia="en-US" w:bidi="ar-SA"/>
      </w:rPr>
    </w:lvl>
    <w:lvl w:ilvl="4">
      <w:numFmt w:val="bullet"/>
      <w:lvlText w:val="•"/>
      <w:lvlJc w:val="left"/>
      <w:pPr>
        <w:ind w:left="4210" w:hanging="853"/>
      </w:pPr>
      <w:rPr>
        <w:rFonts w:hint="default"/>
        <w:lang w:val="pt-PT" w:eastAsia="en-US" w:bidi="ar-SA"/>
      </w:rPr>
    </w:lvl>
    <w:lvl w:ilvl="5">
      <w:numFmt w:val="bullet"/>
      <w:lvlText w:val="•"/>
      <w:lvlJc w:val="left"/>
      <w:pPr>
        <w:ind w:left="5281" w:hanging="853"/>
      </w:pPr>
      <w:rPr>
        <w:rFonts w:hint="default"/>
        <w:lang w:val="pt-PT" w:eastAsia="en-US" w:bidi="ar-SA"/>
      </w:rPr>
    </w:lvl>
    <w:lvl w:ilvl="6">
      <w:numFmt w:val="bullet"/>
      <w:lvlText w:val="•"/>
      <w:lvlJc w:val="left"/>
      <w:pPr>
        <w:ind w:left="6351" w:hanging="853"/>
      </w:pPr>
      <w:rPr>
        <w:rFonts w:hint="default"/>
        <w:lang w:val="pt-PT" w:eastAsia="en-US" w:bidi="ar-SA"/>
      </w:rPr>
    </w:lvl>
    <w:lvl w:ilvl="7">
      <w:numFmt w:val="bullet"/>
      <w:lvlText w:val="•"/>
      <w:lvlJc w:val="left"/>
      <w:pPr>
        <w:ind w:left="7421" w:hanging="853"/>
      </w:pPr>
      <w:rPr>
        <w:rFonts w:hint="default"/>
        <w:lang w:val="pt-PT" w:eastAsia="en-US" w:bidi="ar-SA"/>
      </w:rPr>
    </w:lvl>
    <w:lvl w:ilvl="8">
      <w:numFmt w:val="bullet"/>
      <w:lvlText w:val="•"/>
      <w:lvlJc w:val="left"/>
      <w:pPr>
        <w:ind w:left="8491" w:hanging="853"/>
      </w:pPr>
      <w:rPr>
        <w:rFonts w:hint="default"/>
        <w:lang w:val="pt-PT" w:eastAsia="en-US" w:bidi="ar-SA"/>
      </w:rPr>
    </w:lvl>
  </w:abstractNum>
  <w:abstractNum w:abstractNumId="47" w15:restartNumberingAfterBreak="0">
    <w:nsid w:val="510C12B2"/>
    <w:multiLevelType w:val="hybridMultilevel"/>
    <w:tmpl w:val="EE002428"/>
    <w:lvl w:ilvl="0" w:tplc="982C45A6">
      <w:start w:val="1"/>
      <w:numFmt w:val="lowerRoman"/>
      <w:lvlText w:val="%1)"/>
      <w:lvlJc w:val="left"/>
      <w:pPr>
        <w:ind w:left="709" w:hanging="185"/>
        <w:jc w:val="left"/>
      </w:pPr>
      <w:rPr>
        <w:rFonts w:ascii="Calibri" w:eastAsia="Calibri" w:hAnsi="Calibri" w:cs="Calibri" w:hint="default"/>
        <w:b/>
        <w:bCs/>
        <w:i w:val="0"/>
        <w:iCs w:val="0"/>
        <w:color w:val="001F60"/>
        <w:spacing w:val="0"/>
        <w:w w:val="100"/>
        <w:sz w:val="22"/>
        <w:szCs w:val="22"/>
        <w:lang w:val="pt-PT" w:eastAsia="en-US" w:bidi="ar-SA"/>
      </w:rPr>
    </w:lvl>
    <w:lvl w:ilvl="1" w:tplc="405097F4">
      <w:numFmt w:val="bullet"/>
      <w:lvlText w:val="•"/>
      <w:lvlJc w:val="left"/>
      <w:pPr>
        <w:ind w:left="1636" w:hanging="185"/>
      </w:pPr>
      <w:rPr>
        <w:rFonts w:hint="default"/>
        <w:lang w:val="pt-PT" w:eastAsia="en-US" w:bidi="ar-SA"/>
      </w:rPr>
    </w:lvl>
    <w:lvl w:ilvl="2" w:tplc="1994CBB8">
      <w:numFmt w:val="bullet"/>
      <w:lvlText w:val="•"/>
      <w:lvlJc w:val="left"/>
      <w:pPr>
        <w:ind w:left="2572" w:hanging="185"/>
      </w:pPr>
      <w:rPr>
        <w:rFonts w:hint="default"/>
        <w:lang w:val="pt-PT" w:eastAsia="en-US" w:bidi="ar-SA"/>
      </w:rPr>
    </w:lvl>
    <w:lvl w:ilvl="3" w:tplc="0AE40B82">
      <w:numFmt w:val="bullet"/>
      <w:lvlText w:val="•"/>
      <w:lvlJc w:val="left"/>
      <w:pPr>
        <w:ind w:left="3509" w:hanging="185"/>
      </w:pPr>
      <w:rPr>
        <w:rFonts w:hint="default"/>
        <w:lang w:val="pt-PT" w:eastAsia="en-US" w:bidi="ar-SA"/>
      </w:rPr>
    </w:lvl>
    <w:lvl w:ilvl="4" w:tplc="EACE8C44">
      <w:numFmt w:val="bullet"/>
      <w:lvlText w:val="•"/>
      <w:lvlJc w:val="left"/>
      <w:pPr>
        <w:ind w:left="4445" w:hanging="185"/>
      </w:pPr>
      <w:rPr>
        <w:rFonts w:hint="default"/>
        <w:lang w:val="pt-PT" w:eastAsia="en-US" w:bidi="ar-SA"/>
      </w:rPr>
    </w:lvl>
    <w:lvl w:ilvl="5" w:tplc="AE161DEC">
      <w:numFmt w:val="bullet"/>
      <w:lvlText w:val="•"/>
      <w:lvlJc w:val="left"/>
      <w:pPr>
        <w:ind w:left="5382" w:hanging="185"/>
      </w:pPr>
      <w:rPr>
        <w:rFonts w:hint="default"/>
        <w:lang w:val="pt-PT" w:eastAsia="en-US" w:bidi="ar-SA"/>
      </w:rPr>
    </w:lvl>
    <w:lvl w:ilvl="6" w:tplc="660EA76E">
      <w:numFmt w:val="bullet"/>
      <w:lvlText w:val="•"/>
      <w:lvlJc w:val="left"/>
      <w:pPr>
        <w:ind w:left="6318" w:hanging="185"/>
      </w:pPr>
      <w:rPr>
        <w:rFonts w:hint="default"/>
        <w:lang w:val="pt-PT" w:eastAsia="en-US" w:bidi="ar-SA"/>
      </w:rPr>
    </w:lvl>
    <w:lvl w:ilvl="7" w:tplc="900C88BA">
      <w:numFmt w:val="bullet"/>
      <w:lvlText w:val="•"/>
      <w:lvlJc w:val="left"/>
      <w:pPr>
        <w:ind w:left="7255" w:hanging="185"/>
      </w:pPr>
      <w:rPr>
        <w:rFonts w:hint="default"/>
        <w:lang w:val="pt-PT" w:eastAsia="en-US" w:bidi="ar-SA"/>
      </w:rPr>
    </w:lvl>
    <w:lvl w:ilvl="8" w:tplc="CDF6E614">
      <w:numFmt w:val="bullet"/>
      <w:lvlText w:val="•"/>
      <w:lvlJc w:val="left"/>
      <w:pPr>
        <w:ind w:left="8191" w:hanging="185"/>
      </w:pPr>
      <w:rPr>
        <w:rFonts w:hint="default"/>
        <w:lang w:val="pt-PT" w:eastAsia="en-US" w:bidi="ar-SA"/>
      </w:rPr>
    </w:lvl>
  </w:abstractNum>
  <w:abstractNum w:abstractNumId="48" w15:restartNumberingAfterBreak="0">
    <w:nsid w:val="53FC2C7B"/>
    <w:multiLevelType w:val="hybridMultilevel"/>
    <w:tmpl w:val="3FF64326"/>
    <w:lvl w:ilvl="0" w:tplc="9912BC32">
      <w:start w:val="1"/>
      <w:numFmt w:val="lowerRoman"/>
      <w:lvlText w:val="(%1)"/>
      <w:lvlJc w:val="left"/>
      <w:pPr>
        <w:ind w:left="401" w:hanging="258"/>
        <w:jc w:val="left"/>
      </w:pPr>
      <w:rPr>
        <w:rFonts w:ascii="Segoe UI Symbol" w:eastAsia="Segoe UI Symbol" w:hAnsi="Segoe UI Symbol" w:cs="Segoe UI Symbol" w:hint="default"/>
        <w:b w:val="0"/>
        <w:bCs w:val="0"/>
        <w:i w:val="0"/>
        <w:iCs w:val="0"/>
        <w:spacing w:val="-3"/>
        <w:w w:val="92"/>
        <w:sz w:val="22"/>
        <w:szCs w:val="22"/>
        <w:lang w:val="pt-PT" w:eastAsia="en-US" w:bidi="ar-SA"/>
      </w:rPr>
    </w:lvl>
    <w:lvl w:ilvl="1" w:tplc="72DA7A86">
      <w:numFmt w:val="bullet"/>
      <w:lvlText w:val="•"/>
      <w:lvlJc w:val="left"/>
      <w:pPr>
        <w:ind w:left="1423" w:hanging="258"/>
      </w:pPr>
      <w:rPr>
        <w:rFonts w:hint="default"/>
        <w:lang w:val="pt-PT" w:eastAsia="en-US" w:bidi="ar-SA"/>
      </w:rPr>
    </w:lvl>
    <w:lvl w:ilvl="2" w:tplc="F33E331C">
      <w:numFmt w:val="bullet"/>
      <w:lvlText w:val="•"/>
      <w:lvlJc w:val="left"/>
      <w:pPr>
        <w:ind w:left="2446" w:hanging="258"/>
      </w:pPr>
      <w:rPr>
        <w:rFonts w:hint="default"/>
        <w:lang w:val="pt-PT" w:eastAsia="en-US" w:bidi="ar-SA"/>
      </w:rPr>
    </w:lvl>
    <w:lvl w:ilvl="3" w:tplc="4406FD6A">
      <w:numFmt w:val="bullet"/>
      <w:lvlText w:val="•"/>
      <w:lvlJc w:val="left"/>
      <w:pPr>
        <w:ind w:left="3469" w:hanging="258"/>
      </w:pPr>
      <w:rPr>
        <w:rFonts w:hint="default"/>
        <w:lang w:val="pt-PT" w:eastAsia="en-US" w:bidi="ar-SA"/>
      </w:rPr>
    </w:lvl>
    <w:lvl w:ilvl="4" w:tplc="4E5A2A48">
      <w:numFmt w:val="bullet"/>
      <w:lvlText w:val="•"/>
      <w:lvlJc w:val="left"/>
      <w:pPr>
        <w:ind w:left="4492" w:hanging="258"/>
      </w:pPr>
      <w:rPr>
        <w:rFonts w:hint="default"/>
        <w:lang w:val="pt-PT" w:eastAsia="en-US" w:bidi="ar-SA"/>
      </w:rPr>
    </w:lvl>
    <w:lvl w:ilvl="5" w:tplc="9B14E42A">
      <w:numFmt w:val="bullet"/>
      <w:lvlText w:val="•"/>
      <w:lvlJc w:val="left"/>
      <w:pPr>
        <w:ind w:left="5516" w:hanging="258"/>
      </w:pPr>
      <w:rPr>
        <w:rFonts w:hint="default"/>
        <w:lang w:val="pt-PT" w:eastAsia="en-US" w:bidi="ar-SA"/>
      </w:rPr>
    </w:lvl>
    <w:lvl w:ilvl="6" w:tplc="C7D23D28">
      <w:numFmt w:val="bullet"/>
      <w:lvlText w:val="•"/>
      <w:lvlJc w:val="left"/>
      <w:pPr>
        <w:ind w:left="6539" w:hanging="258"/>
      </w:pPr>
      <w:rPr>
        <w:rFonts w:hint="default"/>
        <w:lang w:val="pt-PT" w:eastAsia="en-US" w:bidi="ar-SA"/>
      </w:rPr>
    </w:lvl>
    <w:lvl w:ilvl="7" w:tplc="B65C5D76">
      <w:numFmt w:val="bullet"/>
      <w:lvlText w:val="•"/>
      <w:lvlJc w:val="left"/>
      <w:pPr>
        <w:ind w:left="7562" w:hanging="258"/>
      </w:pPr>
      <w:rPr>
        <w:rFonts w:hint="default"/>
        <w:lang w:val="pt-PT" w:eastAsia="en-US" w:bidi="ar-SA"/>
      </w:rPr>
    </w:lvl>
    <w:lvl w:ilvl="8" w:tplc="07C8D086">
      <w:numFmt w:val="bullet"/>
      <w:lvlText w:val="•"/>
      <w:lvlJc w:val="left"/>
      <w:pPr>
        <w:ind w:left="8585" w:hanging="258"/>
      </w:pPr>
      <w:rPr>
        <w:rFonts w:hint="default"/>
        <w:lang w:val="pt-PT" w:eastAsia="en-US" w:bidi="ar-SA"/>
      </w:rPr>
    </w:lvl>
  </w:abstractNum>
  <w:abstractNum w:abstractNumId="49" w15:restartNumberingAfterBreak="0">
    <w:nsid w:val="5428469E"/>
    <w:multiLevelType w:val="hybridMultilevel"/>
    <w:tmpl w:val="C57CA248"/>
    <w:lvl w:ilvl="0" w:tplc="2500BDD8">
      <w:start w:val="1"/>
      <w:numFmt w:val="lowerLetter"/>
      <w:lvlText w:val="%1)"/>
      <w:lvlJc w:val="left"/>
      <w:pPr>
        <w:ind w:left="144" w:hanging="300"/>
        <w:jc w:val="left"/>
      </w:pPr>
      <w:rPr>
        <w:rFonts w:ascii="Calibri Light" w:eastAsia="Calibri Light" w:hAnsi="Calibri Light" w:cs="Calibri Light" w:hint="default"/>
        <w:b w:val="0"/>
        <w:bCs w:val="0"/>
        <w:i w:val="0"/>
        <w:iCs w:val="0"/>
        <w:spacing w:val="0"/>
        <w:w w:val="100"/>
        <w:sz w:val="24"/>
        <w:szCs w:val="24"/>
        <w:lang w:val="pt-PT" w:eastAsia="en-US" w:bidi="ar-SA"/>
      </w:rPr>
    </w:lvl>
    <w:lvl w:ilvl="1" w:tplc="9DC40DA8">
      <w:start w:val="1"/>
      <w:numFmt w:val="lowerRoman"/>
      <w:lvlText w:val="(%2)"/>
      <w:lvlJc w:val="left"/>
      <w:pPr>
        <w:ind w:left="391" w:hanging="296"/>
        <w:jc w:val="left"/>
      </w:pPr>
      <w:rPr>
        <w:rFonts w:hint="default"/>
        <w:spacing w:val="-1"/>
        <w:w w:val="81"/>
        <w:lang w:val="pt-PT" w:eastAsia="en-US" w:bidi="ar-SA"/>
      </w:rPr>
    </w:lvl>
    <w:lvl w:ilvl="2" w:tplc="3CF0171A">
      <w:start w:val="1"/>
      <w:numFmt w:val="decimal"/>
      <w:lvlText w:val="%3."/>
      <w:lvlJc w:val="left"/>
      <w:pPr>
        <w:ind w:left="1332" w:hanging="764"/>
        <w:jc w:val="left"/>
      </w:pPr>
      <w:rPr>
        <w:rFonts w:ascii="Calibri" w:eastAsia="Calibri" w:hAnsi="Calibri" w:cs="Calibri" w:hint="default"/>
        <w:b/>
        <w:bCs/>
        <w:i w:val="0"/>
        <w:iCs w:val="0"/>
        <w:color w:val="001F5F"/>
        <w:spacing w:val="0"/>
        <w:w w:val="100"/>
        <w:sz w:val="24"/>
        <w:szCs w:val="24"/>
        <w:lang w:val="pt-PT" w:eastAsia="en-US" w:bidi="ar-SA"/>
      </w:rPr>
    </w:lvl>
    <w:lvl w:ilvl="3" w:tplc="AF26B988">
      <w:numFmt w:val="bullet"/>
      <w:lvlText w:val=""/>
      <w:lvlJc w:val="left"/>
      <w:pPr>
        <w:ind w:left="1277" w:hanging="708"/>
      </w:pPr>
      <w:rPr>
        <w:rFonts w:ascii="Symbol" w:eastAsia="Symbol" w:hAnsi="Symbol" w:cs="Symbol" w:hint="default"/>
        <w:b w:val="0"/>
        <w:bCs w:val="0"/>
        <w:i w:val="0"/>
        <w:iCs w:val="0"/>
        <w:color w:val="001F5F"/>
        <w:spacing w:val="0"/>
        <w:w w:val="100"/>
        <w:sz w:val="24"/>
        <w:szCs w:val="24"/>
        <w:lang w:val="pt-PT" w:eastAsia="en-US" w:bidi="ar-SA"/>
      </w:rPr>
    </w:lvl>
    <w:lvl w:ilvl="4" w:tplc="3574F024">
      <w:numFmt w:val="bullet"/>
      <w:lvlText w:val="•"/>
      <w:lvlJc w:val="left"/>
      <w:pPr>
        <w:ind w:left="2667" w:hanging="708"/>
      </w:pPr>
      <w:rPr>
        <w:rFonts w:hint="default"/>
        <w:lang w:val="pt-PT" w:eastAsia="en-US" w:bidi="ar-SA"/>
      </w:rPr>
    </w:lvl>
    <w:lvl w:ilvl="5" w:tplc="424A66E8">
      <w:numFmt w:val="bullet"/>
      <w:lvlText w:val="•"/>
      <w:lvlJc w:val="left"/>
      <w:pPr>
        <w:ind w:left="3994" w:hanging="708"/>
      </w:pPr>
      <w:rPr>
        <w:rFonts w:hint="default"/>
        <w:lang w:val="pt-PT" w:eastAsia="en-US" w:bidi="ar-SA"/>
      </w:rPr>
    </w:lvl>
    <w:lvl w:ilvl="6" w:tplc="4B28A8DC">
      <w:numFmt w:val="bullet"/>
      <w:lvlText w:val="•"/>
      <w:lvlJc w:val="left"/>
      <w:pPr>
        <w:ind w:left="5322" w:hanging="708"/>
      </w:pPr>
      <w:rPr>
        <w:rFonts w:hint="default"/>
        <w:lang w:val="pt-PT" w:eastAsia="en-US" w:bidi="ar-SA"/>
      </w:rPr>
    </w:lvl>
    <w:lvl w:ilvl="7" w:tplc="7F8EC73E">
      <w:numFmt w:val="bullet"/>
      <w:lvlText w:val="•"/>
      <w:lvlJc w:val="left"/>
      <w:pPr>
        <w:ind w:left="6649" w:hanging="708"/>
      </w:pPr>
      <w:rPr>
        <w:rFonts w:hint="default"/>
        <w:lang w:val="pt-PT" w:eastAsia="en-US" w:bidi="ar-SA"/>
      </w:rPr>
    </w:lvl>
    <w:lvl w:ilvl="8" w:tplc="1C60EC0E">
      <w:numFmt w:val="bullet"/>
      <w:lvlText w:val="•"/>
      <w:lvlJc w:val="left"/>
      <w:pPr>
        <w:ind w:left="7977" w:hanging="708"/>
      </w:pPr>
      <w:rPr>
        <w:rFonts w:hint="default"/>
        <w:lang w:val="pt-PT" w:eastAsia="en-US" w:bidi="ar-SA"/>
      </w:rPr>
    </w:lvl>
  </w:abstractNum>
  <w:abstractNum w:abstractNumId="50" w15:restartNumberingAfterBreak="0">
    <w:nsid w:val="57E37A44"/>
    <w:multiLevelType w:val="hybridMultilevel"/>
    <w:tmpl w:val="C318016E"/>
    <w:lvl w:ilvl="0" w:tplc="5462928A">
      <w:numFmt w:val="bullet"/>
      <w:lvlText w:val="•"/>
      <w:lvlJc w:val="left"/>
      <w:pPr>
        <w:ind w:left="1429" w:hanging="360"/>
      </w:pPr>
      <w:rPr>
        <w:rFonts w:ascii="Courier New" w:eastAsia="Courier New" w:hAnsi="Courier New" w:cs="Courier New" w:hint="default"/>
        <w:b w:val="0"/>
        <w:bCs w:val="0"/>
        <w:i w:val="0"/>
        <w:iCs w:val="0"/>
        <w:color w:val="001F60"/>
        <w:spacing w:val="0"/>
        <w:w w:val="76"/>
        <w:sz w:val="20"/>
        <w:szCs w:val="20"/>
        <w:lang w:val="pt-PT" w:eastAsia="en-US" w:bidi="ar-SA"/>
      </w:rPr>
    </w:lvl>
    <w:lvl w:ilvl="1" w:tplc="3FC48F06">
      <w:numFmt w:val="bullet"/>
      <w:lvlText w:val="•"/>
      <w:lvlJc w:val="left"/>
      <w:pPr>
        <w:ind w:left="2284" w:hanging="360"/>
      </w:pPr>
      <w:rPr>
        <w:rFonts w:hint="default"/>
        <w:lang w:val="pt-PT" w:eastAsia="en-US" w:bidi="ar-SA"/>
      </w:rPr>
    </w:lvl>
    <w:lvl w:ilvl="2" w:tplc="4CCEE386">
      <w:numFmt w:val="bullet"/>
      <w:lvlText w:val="•"/>
      <w:lvlJc w:val="left"/>
      <w:pPr>
        <w:ind w:left="3148" w:hanging="360"/>
      </w:pPr>
      <w:rPr>
        <w:rFonts w:hint="default"/>
        <w:lang w:val="pt-PT" w:eastAsia="en-US" w:bidi="ar-SA"/>
      </w:rPr>
    </w:lvl>
    <w:lvl w:ilvl="3" w:tplc="0F66128A">
      <w:numFmt w:val="bullet"/>
      <w:lvlText w:val="•"/>
      <w:lvlJc w:val="left"/>
      <w:pPr>
        <w:ind w:left="4013" w:hanging="360"/>
      </w:pPr>
      <w:rPr>
        <w:rFonts w:hint="default"/>
        <w:lang w:val="pt-PT" w:eastAsia="en-US" w:bidi="ar-SA"/>
      </w:rPr>
    </w:lvl>
    <w:lvl w:ilvl="4" w:tplc="9DE28030">
      <w:numFmt w:val="bullet"/>
      <w:lvlText w:val="•"/>
      <w:lvlJc w:val="left"/>
      <w:pPr>
        <w:ind w:left="4877" w:hanging="360"/>
      </w:pPr>
      <w:rPr>
        <w:rFonts w:hint="default"/>
        <w:lang w:val="pt-PT" w:eastAsia="en-US" w:bidi="ar-SA"/>
      </w:rPr>
    </w:lvl>
    <w:lvl w:ilvl="5" w:tplc="40F69F74">
      <w:numFmt w:val="bullet"/>
      <w:lvlText w:val="•"/>
      <w:lvlJc w:val="left"/>
      <w:pPr>
        <w:ind w:left="5742" w:hanging="360"/>
      </w:pPr>
      <w:rPr>
        <w:rFonts w:hint="default"/>
        <w:lang w:val="pt-PT" w:eastAsia="en-US" w:bidi="ar-SA"/>
      </w:rPr>
    </w:lvl>
    <w:lvl w:ilvl="6" w:tplc="D1149030">
      <w:numFmt w:val="bullet"/>
      <w:lvlText w:val="•"/>
      <w:lvlJc w:val="left"/>
      <w:pPr>
        <w:ind w:left="6606" w:hanging="360"/>
      </w:pPr>
      <w:rPr>
        <w:rFonts w:hint="default"/>
        <w:lang w:val="pt-PT" w:eastAsia="en-US" w:bidi="ar-SA"/>
      </w:rPr>
    </w:lvl>
    <w:lvl w:ilvl="7" w:tplc="0A6408D2">
      <w:numFmt w:val="bullet"/>
      <w:lvlText w:val="•"/>
      <w:lvlJc w:val="left"/>
      <w:pPr>
        <w:ind w:left="7471" w:hanging="360"/>
      </w:pPr>
      <w:rPr>
        <w:rFonts w:hint="default"/>
        <w:lang w:val="pt-PT" w:eastAsia="en-US" w:bidi="ar-SA"/>
      </w:rPr>
    </w:lvl>
    <w:lvl w:ilvl="8" w:tplc="A04862AC">
      <w:numFmt w:val="bullet"/>
      <w:lvlText w:val="•"/>
      <w:lvlJc w:val="left"/>
      <w:pPr>
        <w:ind w:left="8335" w:hanging="360"/>
      </w:pPr>
      <w:rPr>
        <w:rFonts w:hint="default"/>
        <w:lang w:val="pt-PT" w:eastAsia="en-US" w:bidi="ar-SA"/>
      </w:rPr>
    </w:lvl>
  </w:abstractNum>
  <w:abstractNum w:abstractNumId="51" w15:restartNumberingAfterBreak="0">
    <w:nsid w:val="57EC3373"/>
    <w:multiLevelType w:val="multilevel"/>
    <w:tmpl w:val="07742C0A"/>
    <w:lvl w:ilvl="0">
      <w:start w:val="33"/>
      <w:numFmt w:val="decimal"/>
      <w:lvlText w:val="%1"/>
      <w:lvlJc w:val="left"/>
      <w:pPr>
        <w:ind w:left="995" w:hanging="852"/>
        <w:jc w:val="left"/>
      </w:pPr>
      <w:rPr>
        <w:rFonts w:hint="default"/>
        <w:lang w:val="pt-PT" w:eastAsia="en-US" w:bidi="ar-SA"/>
      </w:rPr>
    </w:lvl>
    <w:lvl w:ilvl="1">
      <w:start w:val="1"/>
      <w:numFmt w:val="decimal"/>
      <w:lvlText w:val="%1.%2."/>
      <w:lvlJc w:val="left"/>
      <w:pPr>
        <w:ind w:left="995" w:hanging="852"/>
        <w:jc w:val="left"/>
      </w:pPr>
      <w:rPr>
        <w:rFonts w:ascii="Arial" w:eastAsia="Arial" w:hAnsi="Arial" w:cs="Arial" w:hint="default"/>
        <w:b/>
        <w:bCs/>
        <w:i w:val="0"/>
        <w:iCs w:val="0"/>
        <w:spacing w:val="-2"/>
        <w:w w:val="100"/>
        <w:sz w:val="22"/>
        <w:szCs w:val="22"/>
        <w:lang w:val="pt-PT" w:eastAsia="en-US" w:bidi="ar-SA"/>
      </w:rPr>
    </w:lvl>
    <w:lvl w:ilvl="2">
      <w:start w:val="1"/>
      <w:numFmt w:val="decimal"/>
      <w:lvlText w:val="%1.%2.%3."/>
      <w:lvlJc w:val="left"/>
      <w:pPr>
        <w:ind w:left="994" w:hanging="851"/>
        <w:jc w:val="left"/>
      </w:pPr>
      <w:rPr>
        <w:rFonts w:hint="default"/>
        <w:spacing w:val="-2"/>
        <w:w w:val="100"/>
        <w:lang w:val="pt-PT" w:eastAsia="en-US" w:bidi="ar-SA"/>
      </w:rPr>
    </w:lvl>
    <w:lvl w:ilvl="3">
      <w:start w:val="1"/>
      <w:numFmt w:val="decimal"/>
      <w:lvlText w:val="%1.%2.%3.%4."/>
      <w:lvlJc w:val="left"/>
      <w:pPr>
        <w:ind w:left="1275" w:hanging="1132"/>
        <w:jc w:val="left"/>
      </w:pPr>
      <w:rPr>
        <w:rFonts w:ascii="Arial" w:eastAsia="Arial" w:hAnsi="Arial" w:cs="Arial" w:hint="default"/>
        <w:b/>
        <w:bCs/>
        <w:i w:val="0"/>
        <w:iCs w:val="0"/>
        <w:spacing w:val="-2"/>
        <w:w w:val="100"/>
        <w:sz w:val="22"/>
        <w:szCs w:val="22"/>
        <w:lang w:val="pt-PT" w:eastAsia="en-US" w:bidi="ar-SA"/>
      </w:rPr>
    </w:lvl>
    <w:lvl w:ilvl="4">
      <w:numFmt w:val="bullet"/>
      <w:lvlText w:val="•"/>
      <w:lvlJc w:val="left"/>
      <w:pPr>
        <w:ind w:left="4397" w:hanging="1132"/>
      </w:pPr>
      <w:rPr>
        <w:rFonts w:hint="default"/>
        <w:lang w:val="pt-PT" w:eastAsia="en-US" w:bidi="ar-SA"/>
      </w:rPr>
    </w:lvl>
    <w:lvl w:ilvl="5">
      <w:numFmt w:val="bullet"/>
      <w:lvlText w:val="•"/>
      <w:lvlJc w:val="left"/>
      <w:pPr>
        <w:ind w:left="5436" w:hanging="1132"/>
      </w:pPr>
      <w:rPr>
        <w:rFonts w:hint="default"/>
        <w:lang w:val="pt-PT" w:eastAsia="en-US" w:bidi="ar-SA"/>
      </w:rPr>
    </w:lvl>
    <w:lvl w:ilvl="6">
      <w:numFmt w:val="bullet"/>
      <w:lvlText w:val="•"/>
      <w:lvlJc w:val="left"/>
      <w:pPr>
        <w:ind w:left="6475" w:hanging="1132"/>
      </w:pPr>
      <w:rPr>
        <w:rFonts w:hint="default"/>
        <w:lang w:val="pt-PT" w:eastAsia="en-US" w:bidi="ar-SA"/>
      </w:rPr>
    </w:lvl>
    <w:lvl w:ilvl="7">
      <w:numFmt w:val="bullet"/>
      <w:lvlText w:val="•"/>
      <w:lvlJc w:val="left"/>
      <w:pPr>
        <w:ind w:left="7514" w:hanging="1132"/>
      </w:pPr>
      <w:rPr>
        <w:rFonts w:hint="default"/>
        <w:lang w:val="pt-PT" w:eastAsia="en-US" w:bidi="ar-SA"/>
      </w:rPr>
    </w:lvl>
    <w:lvl w:ilvl="8">
      <w:numFmt w:val="bullet"/>
      <w:lvlText w:val="•"/>
      <w:lvlJc w:val="left"/>
      <w:pPr>
        <w:ind w:left="8554" w:hanging="1132"/>
      </w:pPr>
      <w:rPr>
        <w:rFonts w:hint="default"/>
        <w:lang w:val="pt-PT" w:eastAsia="en-US" w:bidi="ar-SA"/>
      </w:rPr>
    </w:lvl>
  </w:abstractNum>
  <w:abstractNum w:abstractNumId="52" w15:restartNumberingAfterBreak="0">
    <w:nsid w:val="5A897B38"/>
    <w:multiLevelType w:val="hybridMultilevel"/>
    <w:tmpl w:val="DFAA1380"/>
    <w:lvl w:ilvl="0" w:tplc="8A2A0E46">
      <w:start w:val="1"/>
      <w:numFmt w:val="lowerRoman"/>
      <w:lvlText w:val="%1)"/>
      <w:lvlJc w:val="left"/>
      <w:pPr>
        <w:ind w:left="143" w:hanging="196"/>
        <w:jc w:val="left"/>
      </w:pPr>
      <w:rPr>
        <w:rFonts w:ascii="Segoe UI Symbol" w:eastAsia="Segoe UI Symbol" w:hAnsi="Segoe UI Symbol" w:cs="Segoe UI Symbol" w:hint="default"/>
        <w:b w:val="0"/>
        <w:bCs w:val="0"/>
        <w:i w:val="0"/>
        <w:iCs w:val="0"/>
        <w:spacing w:val="0"/>
        <w:w w:val="92"/>
        <w:sz w:val="22"/>
        <w:szCs w:val="22"/>
        <w:lang w:val="pt-PT" w:eastAsia="en-US" w:bidi="ar-SA"/>
      </w:rPr>
    </w:lvl>
    <w:lvl w:ilvl="1" w:tplc="FE40645C">
      <w:numFmt w:val="bullet"/>
      <w:lvlText w:val="•"/>
      <w:lvlJc w:val="left"/>
      <w:pPr>
        <w:ind w:left="1189" w:hanging="196"/>
      </w:pPr>
      <w:rPr>
        <w:rFonts w:hint="default"/>
        <w:lang w:val="pt-PT" w:eastAsia="en-US" w:bidi="ar-SA"/>
      </w:rPr>
    </w:lvl>
    <w:lvl w:ilvl="2" w:tplc="8EE8E17A">
      <w:numFmt w:val="bullet"/>
      <w:lvlText w:val="•"/>
      <w:lvlJc w:val="left"/>
      <w:pPr>
        <w:ind w:left="2238" w:hanging="196"/>
      </w:pPr>
      <w:rPr>
        <w:rFonts w:hint="default"/>
        <w:lang w:val="pt-PT" w:eastAsia="en-US" w:bidi="ar-SA"/>
      </w:rPr>
    </w:lvl>
    <w:lvl w:ilvl="3" w:tplc="87FEAC32">
      <w:numFmt w:val="bullet"/>
      <w:lvlText w:val="•"/>
      <w:lvlJc w:val="left"/>
      <w:pPr>
        <w:ind w:left="3287" w:hanging="196"/>
      </w:pPr>
      <w:rPr>
        <w:rFonts w:hint="default"/>
        <w:lang w:val="pt-PT" w:eastAsia="en-US" w:bidi="ar-SA"/>
      </w:rPr>
    </w:lvl>
    <w:lvl w:ilvl="4" w:tplc="970E9222">
      <w:numFmt w:val="bullet"/>
      <w:lvlText w:val="•"/>
      <w:lvlJc w:val="left"/>
      <w:pPr>
        <w:ind w:left="4336" w:hanging="196"/>
      </w:pPr>
      <w:rPr>
        <w:rFonts w:hint="default"/>
        <w:lang w:val="pt-PT" w:eastAsia="en-US" w:bidi="ar-SA"/>
      </w:rPr>
    </w:lvl>
    <w:lvl w:ilvl="5" w:tplc="9062A7C6">
      <w:numFmt w:val="bullet"/>
      <w:lvlText w:val="•"/>
      <w:lvlJc w:val="left"/>
      <w:pPr>
        <w:ind w:left="5386" w:hanging="196"/>
      </w:pPr>
      <w:rPr>
        <w:rFonts w:hint="default"/>
        <w:lang w:val="pt-PT" w:eastAsia="en-US" w:bidi="ar-SA"/>
      </w:rPr>
    </w:lvl>
    <w:lvl w:ilvl="6" w:tplc="C832BE04">
      <w:numFmt w:val="bullet"/>
      <w:lvlText w:val="•"/>
      <w:lvlJc w:val="left"/>
      <w:pPr>
        <w:ind w:left="6435" w:hanging="196"/>
      </w:pPr>
      <w:rPr>
        <w:rFonts w:hint="default"/>
        <w:lang w:val="pt-PT" w:eastAsia="en-US" w:bidi="ar-SA"/>
      </w:rPr>
    </w:lvl>
    <w:lvl w:ilvl="7" w:tplc="3B4E88E0">
      <w:numFmt w:val="bullet"/>
      <w:lvlText w:val="•"/>
      <w:lvlJc w:val="left"/>
      <w:pPr>
        <w:ind w:left="7484" w:hanging="196"/>
      </w:pPr>
      <w:rPr>
        <w:rFonts w:hint="default"/>
        <w:lang w:val="pt-PT" w:eastAsia="en-US" w:bidi="ar-SA"/>
      </w:rPr>
    </w:lvl>
    <w:lvl w:ilvl="8" w:tplc="6688FF58">
      <w:numFmt w:val="bullet"/>
      <w:lvlText w:val="•"/>
      <w:lvlJc w:val="left"/>
      <w:pPr>
        <w:ind w:left="8533" w:hanging="196"/>
      </w:pPr>
      <w:rPr>
        <w:rFonts w:hint="default"/>
        <w:lang w:val="pt-PT" w:eastAsia="en-US" w:bidi="ar-SA"/>
      </w:rPr>
    </w:lvl>
  </w:abstractNum>
  <w:abstractNum w:abstractNumId="53" w15:restartNumberingAfterBreak="0">
    <w:nsid w:val="5B4F4152"/>
    <w:multiLevelType w:val="hybridMultilevel"/>
    <w:tmpl w:val="6658DC70"/>
    <w:lvl w:ilvl="0" w:tplc="4E266894">
      <w:start w:val="1"/>
      <w:numFmt w:val="lowerRoman"/>
      <w:lvlText w:val="%1)"/>
      <w:lvlJc w:val="left"/>
      <w:pPr>
        <w:ind w:left="143" w:hanging="208"/>
        <w:jc w:val="left"/>
      </w:pPr>
      <w:rPr>
        <w:rFonts w:ascii="Arial" w:eastAsia="Arial" w:hAnsi="Arial" w:cs="Arial" w:hint="default"/>
        <w:b/>
        <w:bCs/>
        <w:i w:val="0"/>
        <w:iCs w:val="0"/>
        <w:spacing w:val="0"/>
        <w:w w:val="100"/>
        <w:sz w:val="22"/>
        <w:szCs w:val="22"/>
        <w:lang w:val="pt-PT" w:eastAsia="en-US" w:bidi="ar-SA"/>
      </w:rPr>
    </w:lvl>
    <w:lvl w:ilvl="1" w:tplc="6ABAFC58">
      <w:numFmt w:val="bullet"/>
      <w:lvlText w:val="•"/>
      <w:lvlJc w:val="left"/>
      <w:pPr>
        <w:ind w:left="1189" w:hanging="208"/>
      </w:pPr>
      <w:rPr>
        <w:rFonts w:hint="default"/>
        <w:lang w:val="pt-PT" w:eastAsia="en-US" w:bidi="ar-SA"/>
      </w:rPr>
    </w:lvl>
    <w:lvl w:ilvl="2" w:tplc="479802E0">
      <w:numFmt w:val="bullet"/>
      <w:lvlText w:val="•"/>
      <w:lvlJc w:val="left"/>
      <w:pPr>
        <w:ind w:left="2238" w:hanging="208"/>
      </w:pPr>
      <w:rPr>
        <w:rFonts w:hint="default"/>
        <w:lang w:val="pt-PT" w:eastAsia="en-US" w:bidi="ar-SA"/>
      </w:rPr>
    </w:lvl>
    <w:lvl w:ilvl="3" w:tplc="B72A4E76">
      <w:numFmt w:val="bullet"/>
      <w:lvlText w:val="•"/>
      <w:lvlJc w:val="left"/>
      <w:pPr>
        <w:ind w:left="3287" w:hanging="208"/>
      </w:pPr>
      <w:rPr>
        <w:rFonts w:hint="default"/>
        <w:lang w:val="pt-PT" w:eastAsia="en-US" w:bidi="ar-SA"/>
      </w:rPr>
    </w:lvl>
    <w:lvl w:ilvl="4" w:tplc="55E6F3B0">
      <w:numFmt w:val="bullet"/>
      <w:lvlText w:val="•"/>
      <w:lvlJc w:val="left"/>
      <w:pPr>
        <w:ind w:left="4336" w:hanging="208"/>
      </w:pPr>
      <w:rPr>
        <w:rFonts w:hint="default"/>
        <w:lang w:val="pt-PT" w:eastAsia="en-US" w:bidi="ar-SA"/>
      </w:rPr>
    </w:lvl>
    <w:lvl w:ilvl="5" w:tplc="30360DEA">
      <w:numFmt w:val="bullet"/>
      <w:lvlText w:val="•"/>
      <w:lvlJc w:val="left"/>
      <w:pPr>
        <w:ind w:left="5386" w:hanging="208"/>
      </w:pPr>
      <w:rPr>
        <w:rFonts w:hint="default"/>
        <w:lang w:val="pt-PT" w:eastAsia="en-US" w:bidi="ar-SA"/>
      </w:rPr>
    </w:lvl>
    <w:lvl w:ilvl="6" w:tplc="425042C4">
      <w:numFmt w:val="bullet"/>
      <w:lvlText w:val="•"/>
      <w:lvlJc w:val="left"/>
      <w:pPr>
        <w:ind w:left="6435" w:hanging="208"/>
      </w:pPr>
      <w:rPr>
        <w:rFonts w:hint="default"/>
        <w:lang w:val="pt-PT" w:eastAsia="en-US" w:bidi="ar-SA"/>
      </w:rPr>
    </w:lvl>
    <w:lvl w:ilvl="7" w:tplc="E8DE3398">
      <w:numFmt w:val="bullet"/>
      <w:lvlText w:val="•"/>
      <w:lvlJc w:val="left"/>
      <w:pPr>
        <w:ind w:left="7484" w:hanging="208"/>
      </w:pPr>
      <w:rPr>
        <w:rFonts w:hint="default"/>
        <w:lang w:val="pt-PT" w:eastAsia="en-US" w:bidi="ar-SA"/>
      </w:rPr>
    </w:lvl>
    <w:lvl w:ilvl="8" w:tplc="DBB2DAF4">
      <w:numFmt w:val="bullet"/>
      <w:lvlText w:val="•"/>
      <w:lvlJc w:val="left"/>
      <w:pPr>
        <w:ind w:left="8533" w:hanging="208"/>
      </w:pPr>
      <w:rPr>
        <w:rFonts w:hint="default"/>
        <w:lang w:val="pt-PT" w:eastAsia="en-US" w:bidi="ar-SA"/>
      </w:rPr>
    </w:lvl>
  </w:abstractNum>
  <w:abstractNum w:abstractNumId="54" w15:restartNumberingAfterBreak="0">
    <w:nsid w:val="5CBB2B9F"/>
    <w:multiLevelType w:val="hybridMultilevel"/>
    <w:tmpl w:val="4BAEC5B8"/>
    <w:lvl w:ilvl="0" w:tplc="CDB8C33A">
      <w:numFmt w:val="bullet"/>
      <w:lvlText w:val="•"/>
      <w:lvlJc w:val="left"/>
      <w:pPr>
        <w:ind w:left="1429" w:hanging="360"/>
      </w:pPr>
      <w:rPr>
        <w:rFonts w:ascii="Courier New" w:eastAsia="Courier New" w:hAnsi="Courier New" w:cs="Courier New" w:hint="default"/>
        <w:b w:val="0"/>
        <w:bCs w:val="0"/>
        <w:i w:val="0"/>
        <w:iCs w:val="0"/>
        <w:color w:val="001F60"/>
        <w:spacing w:val="0"/>
        <w:w w:val="76"/>
        <w:sz w:val="22"/>
        <w:szCs w:val="22"/>
        <w:lang w:val="pt-PT" w:eastAsia="en-US" w:bidi="ar-SA"/>
      </w:rPr>
    </w:lvl>
    <w:lvl w:ilvl="1" w:tplc="FBEC1F24">
      <w:numFmt w:val="bullet"/>
      <w:lvlText w:val="•"/>
      <w:lvlJc w:val="left"/>
      <w:pPr>
        <w:ind w:left="2284" w:hanging="360"/>
      </w:pPr>
      <w:rPr>
        <w:rFonts w:hint="default"/>
        <w:lang w:val="pt-PT" w:eastAsia="en-US" w:bidi="ar-SA"/>
      </w:rPr>
    </w:lvl>
    <w:lvl w:ilvl="2" w:tplc="0F9E729A">
      <w:numFmt w:val="bullet"/>
      <w:lvlText w:val="•"/>
      <w:lvlJc w:val="left"/>
      <w:pPr>
        <w:ind w:left="3148" w:hanging="360"/>
      </w:pPr>
      <w:rPr>
        <w:rFonts w:hint="default"/>
        <w:lang w:val="pt-PT" w:eastAsia="en-US" w:bidi="ar-SA"/>
      </w:rPr>
    </w:lvl>
    <w:lvl w:ilvl="3" w:tplc="F7BA352E">
      <w:numFmt w:val="bullet"/>
      <w:lvlText w:val="•"/>
      <w:lvlJc w:val="left"/>
      <w:pPr>
        <w:ind w:left="4013" w:hanging="360"/>
      </w:pPr>
      <w:rPr>
        <w:rFonts w:hint="default"/>
        <w:lang w:val="pt-PT" w:eastAsia="en-US" w:bidi="ar-SA"/>
      </w:rPr>
    </w:lvl>
    <w:lvl w:ilvl="4" w:tplc="9986132C">
      <w:numFmt w:val="bullet"/>
      <w:lvlText w:val="•"/>
      <w:lvlJc w:val="left"/>
      <w:pPr>
        <w:ind w:left="4877" w:hanging="360"/>
      </w:pPr>
      <w:rPr>
        <w:rFonts w:hint="default"/>
        <w:lang w:val="pt-PT" w:eastAsia="en-US" w:bidi="ar-SA"/>
      </w:rPr>
    </w:lvl>
    <w:lvl w:ilvl="5" w:tplc="CD9C89AA">
      <w:numFmt w:val="bullet"/>
      <w:lvlText w:val="•"/>
      <w:lvlJc w:val="left"/>
      <w:pPr>
        <w:ind w:left="5742" w:hanging="360"/>
      </w:pPr>
      <w:rPr>
        <w:rFonts w:hint="default"/>
        <w:lang w:val="pt-PT" w:eastAsia="en-US" w:bidi="ar-SA"/>
      </w:rPr>
    </w:lvl>
    <w:lvl w:ilvl="6" w:tplc="D2907FE4">
      <w:numFmt w:val="bullet"/>
      <w:lvlText w:val="•"/>
      <w:lvlJc w:val="left"/>
      <w:pPr>
        <w:ind w:left="6606" w:hanging="360"/>
      </w:pPr>
      <w:rPr>
        <w:rFonts w:hint="default"/>
        <w:lang w:val="pt-PT" w:eastAsia="en-US" w:bidi="ar-SA"/>
      </w:rPr>
    </w:lvl>
    <w:lvl w:ilvl="7" w:tplc="B282DBA0">
      <w:numFmt w:val="bullet"/>
      <w:lvlText w:val="•"/>
      <w:lvlJc w:val="left"/>
      <w:pPr>
        <w:ind w:left="7471" w:hanging="360"/>
      </w:pPr>
      <w:rPr>
        <w:rFonts w:hint="default"/>
        <w:lang w:val="pt-PT" w:eastAsia="en-US" w:bidi="ar-SA"/>
      </w:rPr>
    </w:lvl>
    <w:lvl w:ilvl="8" w:tplc="130C2762">
      <w:numFmt w:val="bullet"/>
      <w:lvlText w:val="•"/>
      <w:lvlJc w:val="left"/>
      <w:pPr>
        <w:ind w:left="8335" w:hanging="360"/>
      </w:pPr>
      <w:rPr>
        <w:rFonts w:hint="default"/>
        <w:lang w:val="pt-PT" w:eastAsia="en-US" w:bidi="ar-SA"/>
      </w:rPr>
    </w:lvl>
  </w:abstractNum>
  <w:abstractNum w:abstractNumId="55" w15:restartNumberingAfterBreak="0">
    <w:nsid w:val="5E9F575C"/>
    <w:multiLevelType w:val="hybridMultilevel"/>
    <w:tmpl w:val="773256F2"/>
    <w:lvl w:ilvl="0" w:tplc="FBF227A8">
      <w:start w:val="1"/>
      <w:numFmt w:val="lowerRoman"/>
      <w:lvlText w:val="(%1)"/>
      <w:lvlJc w:val="left"/>
      <w:pPr>
        <w:ind w:left="944" w:hanging="235"/>
        <w:jc w:val="left"/>
      </w:pPr>
      <w:rPr>
        <w:rFonts w:ascii="Calibri" w:eastAsia="Calibri" w:hAnsi="Calibri" w:cs="Calibri" w:hint="default"/>
        <w:b w:val="0"/>
        <w:bCs w:val="0"/>
        <w:i w:val="0"/>
        <w:iCs w:val="0"/>
        <w:color w:val="001F60"/>
        <w:spacing w:val="0"/>
        <w:w w:val="100"/>
        <w:sz w:val="22"/>
        <w:szCs w:val="22"/>
        <w:lang w:val="pt-PT" w:eastAsia="en-US" w:bidi="ar-SA"/>
      </w:rPr>
    </w:lvl>
    <w:lvl w:ilvl="1" w:tplc="E342F5E2">
      <w:numFmt w:val="bullet"/>
      <w:lvlText w:val="•"/>
      <w:lvlJc w:val="left"/>
      <w:pPr>
        <w:ind w:left="1852" w:hanging="235"/>
      </w:pPr>
      <w:rPr>
        <w:rFonts w:hint="default"/>
        <w:lang w:val="pt-PT" w:eastAsia="en-US" w:bidi="ar-SA"/>
      </w:rPr>
    </w:lvl>
    <w:lvl w:ilvl="2" w:tplc="809EA136">
      <w:numFmt w:val="bullet"/>
      <w:lvlText w:val="•"/>
      <w:lvlJc w:val="left"/>
      <w:pPr>
        <w:ind w:left="2764" w:hanging="235"/>
      </w:pPr>
      <w:rPr>
        <w:rFonts w:hint="default"/>
        <w:lang w:val="pt-PT" w:eastAsia="en-US" w:bidi="ar-SA"/>
      </w:rPr>
    </w:lvl>
    <w:lvl w:ilvl="3" w:tplc="3EF6DB82">
      <w:numFmt w:val="bullet"/>
      <w:lvlText w:val="•"/>
      <w:lvlJc w:val="left"/>
      <w:pPr>
        <w:ind w:left="3677" w:hanging="235"/>
      </w:pPr>
      <w:rPr>
        <w:rFonts w:hint="default"/>
        <w:lang w:val="pt-PT" w:eastAsia="en-US" w:bidi="ar-SA"/>
      </w:rPr>
    </w:lvl>
    <w:lvl w:ilvl="4" w:tplc="99EC763C">
      <w:numFmt w:val="bullet"/>
      <w:lvlText w:val="•"/>
      <w:lvlJc w:val="left"/>
      <w:pPr>
        <w:ind w:left="4589" w:hanging="235"/>
      </w:pPr>
      <w:rPr>
        <w:rFonts w:hint="default"/>
        <w:lang w:val="pt-PT" w:eastAsia="en-US" w:bidi="ar-SA"/>
      </w:rPr>
    </w:lvl>
    <w:lvl w:ilvl="5" w:tplc="611A76E2">
      <w:numFmt w:val="bullet"/>
      <w:lvlText w:val="•"/>
      <w:lvlJc w:val="left"/>
      <w:pPr>
        <w:ind w:left="5502" w:hanging="235"/>
      </w:pPr>
      <w:rPr>
        <w:rFonts w:hint="default"/>
        <w:lang w:val="pt-PT" w:eastAsia="en-US" w:bidi="ar-SA"/>
      </w:rPr>
    </w:lvl>
    <w:lvl w:ilvl="6" w:tplc="5EBE18BE">
      <w:numFmt w:val="bullet"/>
      <w:lvlText w:val="•"/>
      <w:lvlJc w:val="left"/>
      <w:pPr>
        <w:ind w:left="6414" w:hanging="235"/>
      </w:pPr>
      <w:rPr>
        <w:rFonts w:hint="default"/>
        <w:lang w:val="pt-PT" w:eastAsia="en-US" w:bidi="ar-SA"/>
      </w:rPr>
    </w:lvl>
    <w:lvl w:ilvl="7" w:tplc="7786E602">
      <w:numFmt w:val="bullet"/>
      <w:lvlText w:val="•"/>
      <w:lvlJc w:val="left"/>
      <w:pPr>
        <w:ind w:left="7327" w:hanging="235"/>
      </w:pPr>
      <w:rPr>
        <w:rFonts w:hint="default"/>
        <w:lang w:val="pt-PT" w:eastAsia="en-US" w:bidi="ar-SA"/>
      </w:rPr>
    </w:lvl>
    <w:lvl w:ilvl="8" w:tplc="93EE872E">
      <w:numFmt w:val="bullet"/>
      <w:lvlText w:val="•"/>
      <w:lvlJc w:val="left"/>
      <w:pPr>
        <w:ind w:left="8239" w:hanging="235"/>
      </w:pPr>
      <w:rPr>
        <w:rFonts w:hint="default"/>
        <w:lang w:val="pt-PT" w:eastAsia="en-US" w:bidi="ar-SA"/>
      </w:rPr>
    </w:lvl>
  </w:abstractNum>
  <w:abstractNum w:abstractNumId="56" w15:restartNumberingAfterBreak="0">
    <w:nsid w:val="5F337F16"/>
    <w:multiLevelType w:val="multilevel"/>
    <w:tmpl w:val="96C23A18"/>
    <w:lvl w:ilvl="0">
      <w:start w:val="1"/>
      <w:numFmt w:val="decimal"/>
      <w:lvlText w:val="%1."/>
      <w:lvlJc w:val="left"/>
      <w:pPr>
        <w:ind w:left="895" w:hanging="752"/>
        <w:jc w:val="left"/>
      </w:pPr>
      <w:rPr>
        <w:rFonts w:ascii="Arial" w:eastAsia="Arial" w:hAnsi="Arial" w:cs="Arial" w:hint="default"/>
        <w:b/>
        <w:bCs/>
        <w:i w:val="0"/>
        <w:iCs w:val="0"/>
        <w:spacing w:val="-2"/>
        <w:w w:val="100"/>
        <w:sz w:val="22"/>
        <w:szCs w:val="22"/>
        <w:lang w:val="pt-PT" w:eastAsia="en-US" w:bidi="ar-SA"/>
      </w:rPr>
    </w:lvl>
    <w:lvl w:ilvl="1">
      <w:start w:val="1"/>
      <w:numFmt w:val="decimal"/>
      <w:lvlText w:val="%1.%2"/>
      <w:lvlJc w:val="left"/>
      <w:pPr>
        <w:ind w:left="913" w:hanging="771"/>
        <w:jc w:val="left"/>
      </w:pPr>
      <w:rPr>
        <w:rFonts w:ascii="Arial" w:eastAsia="Arial" w:hAnsi="Arial" w:cs="Arial" w:hint="default"/>
        <w:b/>
        <w:bCs/>
        <w:i w:val="0"/>
        <w:iCs w:val="0"/>
        <w:spacing w:val="-2"/>
        <w:w w:val="100"/>
        <w:sz w:val="22"/>
        <w:szCs w:val="22"/>
        <w:lang w:val="pt-PT" w:eastAsia="en-US" w:bidi="ar-SA"/>
      </w:rPr>
    </w:lvl>
    <w:lvl w:ilvl="2">
      <w:start w:val="1"/>
      <w:numFmt w:val="decimal"/>
      <w:lvlText w:val="%1.%2.%3"/>
      <w:lvlJc w:val="left"/>
      <w:pPr>
        <w:ind w:left="995" w:hanging="852"/>
        <w:jc w:val="left"/>
      </w:pPr>
      <w:rPr>
        <w:rFonts w:ascii="Arial" w:eastAsia="Arial" w:hAnsi="Arial" w:cs="Arial" w:hint="default"/>
        <w:b/>
        <w:bCs/>
        <w:i w:val="0"/>
        <w:iCs w:val="0"/>
        <w:spacing w:val="-2"/>
        <w:w w:val="100"/>
        <w:sz w:val="22"/>
        <w:szCs w:val="22"/>
        <w:lang w:val="pt-PT" w:eastAsia="en-US" w:bidi="ar-SA"/>
      </w:rPr>
    </w:lvl>
    <w:lvl w:ilvl="3">
      <w:start w:val="1"/>
      <w:numFmt w:val="decimal"/>
      <w:lvlText w:val="%1.%2.%3.%4"/>
      <w:lvlJc w:val="left"/>
      <w:pPr>
        <w:ind w:left="1276" w:hanging="1134"/>
        <w:jc w:val="left"/>
      </w:pPr>
      <w:rPr>
        <w:rFonts w:ascii="Arial" w:eastAsia="Arial" w:hAnsi="Arial" w:cs="Arial" w:hint="default"/>
        <w:b/>
        <w:bCs/>
        <w:i w:val="0"/>
        <w:iCs w:val="0"/>
        <w:spacing w:val="-2"/>
        <w:w w:val="100"/>
        <w:sz w:val="22"/>
        <w:szCs w:val="22"/>
        <w:lang w:val="pt-PT" w:eastAsia="en-US" w:bidi="ar-SA"/>
      </w:rPr>
    </w:lvl>
    <w:lvl w:ilvl="4">
      <w:start w:val="1"/>
      <w:numFmt w:val="decimal"/>
      <w:lvlText w:val="%1.%2.%3.%4.%5"/>
      <w:lvlJc w:val="left"/>
      <w:pPr>
        <w:ind w:left="1232" w:hanging="1082"/>
        <w:jc w:val="left"/>
      </w:pPr>
      <w:rPr>
        <w:rFonts w:ascii="Arial" w:eastAsia="Arial" w:hAnsi="Arial" w:cs="Arial" w:hint="default"/>
        <w:b/>
        <w:bCs/>
        <w:i w:val="0"/>
        <w:iCs w:val="0"/>
        <w:spacing w:val="-2"/>
        <w:w w:val="100"/>
        <w:sz w:val="22"/>
        <w:szCs w:val="22"/>
        <w:lang w:val="pt-PT" w:eastAsia="en-US" w:bidi="ar-SA"/>
      </w:rPr>
    </w:lvl>
    <w:lvl w:ilvl="5">
      <w:start w:val="1"/>
      <w:numFmt w:val="decimal"/>
      <w:lvlText w:val="%1.%2.%3.%4.%5.%6"/>
      <w:lvlJc w:val="left"/>
      <w:pPr>
        <w:ind w:left="1428" w:hanging="1285"/>
        <w:jc w:val="left"/>
      </w:pPr>
      <w:rPr>
        <w:rFonts w:ascii="Arial" w:eastAsia="Arial" w:hAnsi="Arial" w:cs="Arial" w:hint="default"/>
        <w:b/>
        <w:bCs/>
        <w:i w:val="0"/>
        <w:iCs w:val="0"/>
        <w:spacing w:val="-2"/>
        <w:w w:val="100"/>
        <w:sz w:val="22"/>
        <w:szCs w:val="22"/>
        <w:lang w:val="pt-PT" w:eastAsia="en-US" w:bidi="ar-SA"/>
      </w:rPr>
    </w:lvl>
    <w:lvl w:ilvl="6">
      <w:numFmt w:val="bullet"/>
      <w:lvlText w:val="•"/>
      <w:lvlJc w:val="left"/>
      <w:pPr>
        <w:ind w:left="1280" w:hanging="1285"/>
      </w:pPr>
      <w:rPr>
        <w:rFonts w:hint="default"/>
        <w:lang w:val="pt-PT" w:eastAsia="en-US" w:bidi="ar-SA"/>
      </w:rPr>
    </w:lvl>
    <w:lvl w:ilvl="7">
      <w:numFmt w:val="bullet"/>
      <w:lvlText w:val="•"/>
      <w:lvlJc w:val="left"/>
      <w:pPr>
        <w:ind w:left="1420" w:hanging="1285"/>
      </w:pPr>
      <w:rPr>
        <w:rFonts w:hint="default"/>
        <w:lang w:val="pt-PT" w:eastAsia="en-US" w:bidi="ar-SA"/>
      </w:rPr>
    </w:lvl>
    <w:lvl w:ilvl="8">
      <w:numFmt w:val="bullet"/>
      <w:lvlText w:val="•"/>
      <w:lvlJc w:val="left"/>
      <w:pPr>
        <w:ind w:left="4490" w:hanging="1285"/>
      </w:pPr>
      <w:rPr>
        <w:rFonts w:hint="default"/>
        <w:lang w:val="pt-PT" w:eastAsia="en-US" w:bidi="ar-SA"/>
      </w:rPr>
    </w:lvl>
  </w:abstractNum>
  <w:abstractNum w:abstractNumId="57" w15:restartNumberingAfterBreak="0">
    <w:nsid w:val="5F8F2910"/>
    <w:multiLevelType w:val="hybridMultilevel"/>
    <w:tmpl w:val="167CE7E6"/>
    <w:lvl w:ilvl="0" w:tplc="2842C7A8">
      <w:start w:val="1"/>
      <w:numFmt w:val="lowerRoman"/>
      <w:lvlText w:val="(%1)"/>
      <w:lvlJc w:val="left"/>
      <w:pPr>
        <w:ind w:left="143" w:hanging="281"/>
        <w:jc w:val="left"/>
      </w:pPr>
      <w:rPr>
        <w:rFonts w:ascii="Segoe UI Symbol" w:eastAsia="Segoe UI Symbol" w:hAnsi="Segoe UI Symbol" w:cs="Segoe UI Symbol" w:hint="default"/>
        <w:b w:val="0"/>
        <w:bCs w:val="0"/>
        <w:i w:val="0"/>
        <w:iCs w:val="0"/>
        <w:spacing w:val="-3"/>
        <w:w w:val="92"/>
        <w:sz w:val="22"/>
        <w:szCs w:val="22"/>
        <w:lang w:val="pt-PT" w:eastAsia="en-US" w:bidi="ar-SA"/>
      </w:rPr>
    </w:lvl>
    <w:lvl w:ilvl="1" w:tplc="FAAE6FF4">
      <w:numFmt w:val="bullet"/>
      <w:lvlText w:val="•"/>
      <w:lvlJc w:val="left"/>
      <w:pPr>
        <w:ind w:left="1189" w:hanging="281"/>
      </w:pPr>
      <w:rPr>
        <w:rFonts w:hint="default"/>
        <w:lang w:val="pt-PT" w:eastAsia="en-US" w:bidi="ar-SA"/>
      </w:rPr>
    </w:lvl>
    <w:lvl w:ilvl="2" w:tplc="7C10F22C">
      <w:numFmt w:val="bullet"/>
      <w:lvlText w:val="•"/>
      <w:lvlJc w:val="left"/>
      <w:pPr>
        <w:ind w:left="2238" w:hanging="281"/>
      </w:pPr>
      <w:rPr>
        <w:rFonts w:hint="default"/>
        <w:lang w:val="pt-PT" w:eastAsia="en-US" w:bidi="ar-SA"/>
      </w:rPr>
    </w:lvl>
    <w:lvl w:ilvl="3" w:tplc="41805302">
      <w:numFmt w:val="bullet"/>
      <w:lvlText w:val="•"/>
      <w:lvlJc w:val="left"/>
      <w:pPr>
        <w:ind w:left="3287" w:hanging="281"/>
      </w:pPr>
      <w:rPr>
        <w:rFonts w:hint="default"/>
        <w:lang w:val="pt-PT" w:eastAsia="en-US" w:bidi="ar-SA"/>
      </w:rPr>
    </w:lvl>
    <w:lvl w:ilvl="4" w:tplc="D032C132">
      <w:numFmt w:val="bullet"/>
      <w:lvlText w:val="•"/>
      <w:lvlJc w:val="left"/>
      <w:pPr>
        <w:ind w:left="4336" w:hanging="281"/>
      </w:pPr>
      <w:rPr>
        <w:rFonts w:hint="default"/>
        <w:lang w:val="pt-PT" w:eastAsia="en-US" w:bidi="ar-SA"/>
      </w:rPr>
    </w:lvl>
    <w:lvl w:ilvl="5" w:tplc="0FC0871A">
      <w:numFmt w:val="bullet"/>
      <w:lvlText w:val="•"/>
      <w:lvlJc w:val="left"/>
      <w:pPr>
        <w:ind w:left="5386" w:hanging="281"/>
      </w:pPr>
      <w:rPr>
        <w:rFonts w:hint="default"/>
        <w:lang w:val="pt-PT" w:eastAsia="en-US" w:bidi="ar-SA"/>
      </w:rPr>
    </w:lvl>
    <w:lvl w:ilvl="6" w:tplc="5AD8A262">
      <w:numFmt w:val="bullet"/>
      <w:lvlText w:val="•"/>
      <w:lvlJc w:val="left"/>
      <w:pPr>
        <w:ind w:left="6435" w:hanging="281"/>
      </w:pPr>
      <w:rPr>
        <w:rFonts w:hint="default"/>
        <w:lang w:val="pt-PT" w:eastAsia="en-US" w:bidi="ar-SA"/>
      </w:rPr>
    </w:lvl>
    <w:lvl w:ilvl="7" w:tplc="3B326B36">
      <w:numFmt w:val="bullet"/>
      <w:lvlText w:val="•"/>
      <w:lvlJc w:val="left"/>
      <w:pPr>
        <w:ind w:left="7484" w:hanging="281"/>
      </w:pPr>
      <w:rPr>
        <w:rFonts w:hint="default"/>
        <w:lang w:val="pt-PT" w:eastAsia="en-US" w:bidi="ar-SA"/>
      </w:rPr>
    </w:lvl>
    <w:lvl w:ilvl="8" w:tplc="6AF6F706">
      <w:numFmt w:val="bullet"/>
      <w:lvlText w:val="•"/>
      <w:lvlJc w:val="left"/>
      <w:pPr>
        <w:ind w:left="8533" w:hanging="281"/>
      </w:pPr>
      <w:rPr>
        <w:rFonts w:hint="default"/>
        <w:lang w:val="pt-PT" w:eastAsia="en-US" w:bidi="ar-SA"/>
      </w:rPr>
    </w:lvl>
  </w:abstractNum>
  <w:abstractNum w:abstractNumId="58" w15:restartNumberingAfterBreak="0">
    <w:nsid w:val="6049126B"/>
    <w:multiLevelType w:val="hybridMultilevel"/>
    <w:tmpl w:val="87F2D930"/>
    <w:lvl w:ilvl="0" w:tplc="B756F276">
      <w:start w:val="1"/>
      <w:numFmt w:val="lowerRoman"/>
      <w:lvlText w:val="(%1)"/>
      <w:lvlJc w:val="left"/>
      <w:pPr>
        <w:ind w:left="1789" w:hanging="360"/>
        <w:jc w:val="left"/>
      </w:pPr>
      <w:rPr>
        <w:rFonts w:ascii="Calibri" w:eastAsia="Calibri" w:hAnsi="Calibri" w:cs="Calibri" w:hint="default"/>
        <w:b w:val="0"/>
        <w:bCs w:val="0"/>
        <w:i w:val="0"/>
        <w:iCs w:val="0"/>
        <w:color w:val="001F60"/>
        <w:spacing w:val="0"/>
        <w:w w:val="100"/>
        <w:sz w:val="22"/>
        <w:szCs w:val="22"/>
        <w:lang w:val="pt-PT" w:eastAsia="en-US" w:bidi="ar-SA"/>
      </w:rPr>
    </w:lvl>
    <w:lvl w:ilvl="1" w:tplc="29340DB0">
      <w:numFmt w:val="bullet"/>
      <w:lvlText w:val="•"/>
      <w:lvlJc w:val="left"/>
      <w:pPr>
        <w:ind w:left="2608" w:hanging="360"/>
      </w:pPr>
      <w:rPr>
        <w:rFonts w:hint="default"/>
        <w:lang w:val="pt-PT" w:eastAsia="en-US" w:bidi="ar-SA"/>
      </w:rPr>
    </w:lvl>
    <w:lvl w:ilvl="2" w:tplc="56AC937C">
      <w:numFmt w:val="bullet"/>
      <w:lvlText w:val="•"/>
      <w:lvlJc w:val="left"/>
      <w:pPr>
        <w:ind w:left="3436" w:hanging="360"/>
      </w:pPr>
      <w:rPr>
        <w:rFonts w:hint="default"/>
        <w:lang w:val="pt-PT" w:eastAsia="en-US" w:bidi="ar-SA"/>
      </w:rPr>
    </w:lvl>
    <w:lvl w:ilvl="3" w:tplc="A0A8E508">
      <w:numFmt w:val="bullet"/>
      <w:lvlText w:val="•"/>
      <w:lvlJc w:val="left"/>
      <w:pPr>
        <w:ind w:left="4265" w:hanging="360"/>
      </w:pPr>
      <w:rPr>
        <w:rFonts w:hint="default"/>
        <w:lang w:val="pt-PT" w:eastAsia="en-US" w:bidi="ar-SA"/>
      </w:rPr>
    </w:lvl>
    <w:lvl w:ilvl="4" w:tplc="ECFE6602">
      <w:numFmt w:val="bullet"/>
      <w:lvlText w:val="•"/>
      <w:lvlJc w:val="left"/>
      <w:pPr>
        <w:ind w:left="5093" w:hanging="360"/>
      </w:pPr>
      <w:rPr>
        <w:rFonts w:hint="default"/>
        <w:lang w:val="pt-PT" w:eastAsia="en-US" w:bidi="ar-SA"/>
      </w:rPr>
    </w:lvl>
    <w:lvl w:ilvl="5" w:tplc="B5400EE4">
      <w:numFmt w:val="bullet"/>
      <w:lvlText w:val="•"/>
      <w:lvlJc w:val="left"/>
      <w:pPr>
        <w:ind w:left="5922" w:hanging="360"/>
      </w:pPr>
      <w:rPr>
        <w:rFonts w:hint="default"/>
        <w:lang w:val="pt-PT" w:eastAsia="en-US" w:bidi="ar-SA"/>
      </w:rPr>
    </w:lvl>
    <w:lvl w:ilvl="6" w:tplc="80FCD686">
      <w:numFmt w:val="bullet"/>
      <w:lvlText w:val="•"/>
      <w:lvlJc w:val="left"/>
      <w:pPr>
        <w:ind w:left="6750" w:hanging="360"/>
      </w:pPr>
      <w:rPr>
        <w:rFonts w:hint="default"/>
        <w:lang w:val="pt-PT" w:eastAsia="en-US" w:bidi="ar-SA"/>
      </w:rPr>
    </w:lvl>
    <w:lvl w:ilvl="7" w:tplc="4F2CBC4E">
      <w:numFmt w:val="bullet"/>
      <w:lvlText w:val="•"/>
      <w:lvlJc w:val="left"/>
      <w:pPr>
        <w:ind w:left="7579" w:hanging="360"/>
      </w:pPr>
      <w:rPr>
        <w:rFonts w:hint="default"/>
        <w:lang w:val="pt-PT" w:eastAsia="en-US" w:bidi="ar-SA"/>
      </w:rPr>
    </w:lvl>
    <w:lvl w:ilvl="8" w:tplc="AA5AB798">
      <w:numFmt w:val="bullet"/>
      <w:lvlText w:val="•"/>
      <w:lvlJc w:val="left"/>
      <w:pPr>
        <w:ind w:left="8407" w:hanging="360"/>
      </w:pPr>
      <w:rPr>
        <w:rFonts w:hint="default"/>
        <w:lang w:val="pt-PT" w:eastAsia="en-US" w:bidi="ar-SA"/>
      </w:rPr>
    </w:lvl>
  </w:abstractNum>
  <w:abstractNum w:abstractNumId="59" w15:restartNumberingAfterBreak="0">
    <w:nsid w:val="64155165"/>
    <w:multiLevelType w:val="multilevel"/>
    <w:tmpl w:val="CC0EEBB4"/>
    <w:lvl w:ilvl="0">
      <w:start w:val="34"/>
      <w:numFmt w:val="decimal"/>
      <w:lvlText w:val="%1"/>
      <w:lvlJc w:val="left"/>
      <w:pPr>
        <w:ind w:left="995" w:hanging="852"/>
        <w:jc w:val="left"/>
      </w:pPr>
      <w:rPr>
        <w:rFonts w:hint="default"/>
        <w:lang w:val="pt-PT" w:eastAsia="en-US" w:bidi="ar-SA"/>
      </w:rPr>
    </w:lvl>
    <w:lvl w:ilvl="1">
      <w:start w:val="1"/>
      <w:numFmt w:val="decimal"/>
      <w:lvlText w:val="%1.%2."/>
      <w:lvlJc w:val="left"/>
      <w:pPr>
        <w:ind w:left="995" w:hanging="852"/>
        <w:jc w:val="left"/>
      </w:pPr>
      <w:rPr>
        <w:rFonts w:ascii="Arial" w:eastAsia="Arial" w:hAnsi="Arial" w:cs="Arial" w:hint="default"/>
        <w:b/>
        <w:bCs/>
        <w:i w:val="0"/>
        <w:iCs w:val="0"/>
        <w:spacing w:val="-2"/>
        <w:w w:val="100"/>
        <w:sz w:val="22"/>
        <w:szCs w:val="22"/>
        <w:lang w:val="pt-PT" w:eastAsia="en-US" w:bidi="ar-SA"/>
      </w:rPr>
    </w:lvl>
    <w:lvl w:ilvl="2">
      <w:numFmt w:val="bullet"/>
      <w:lvlText w:val="•"/>
      <w:lvlJc w:val="left"/>
      <w:pPr>
        <w:ind w:left="2926" w:hanging="852"/>
      </w:pPr>
      <w:rPr>
        <w:rFonts w:hint="default"/>
        <w:lang w:val="pt-PT" w:eastAsia="en-US" w:bidi="ar-SA"/>
      </w:rPr>
    </w:lvl>
    <w:lvl w:ilvl="3">
      <w:numFmt w:val="bullet"/>
      <w:lvlText w:val="•"/>
      <w:lvlJc w:val="left"/>
      <w:pPr>
        <w:ind w:left="3889" w:hanging="852"/>
      </w:pPr>
      <w:rPr>
        <w:rFonts w:hint="default"/>
        <w:lang w:val="pt-PT" w:eastAsia="en-US" w:bidi="ar-SA"/>
      </w:rPr>
    </w:lvl>
    <w:lvl w:ilvl="4">
      <w:numFmt w:val="bullet"/>
      <w:lvlText w:val="•"/>
      <w:lvlJc w:val="left"/>
      <w:pPr>
        <w:ind w:left="4852" w:hanging="852"/>
      </w:pPr>
      <w:rPr>
        <w:rFonts w:hint="default"/>
        <w:lang w:val="pt-PT" w:eastAsia="en-US" w:bidi="ar-SA"/>
      </w:rPr>
    </w:lvl>
    <w:lvl w:ilvl="5">
      <w:numFmt w:val="bullet"/>
      <w:lvlText w:val="•"/>
      <w:lvlJc w:val="left"/>
      <w:pPr>
        <w:ind w:left="5816" w:hanging="852"/>
      </w:pPr>
      <w:rPr>
        <w:rFonts w:hint="default"/>
        <w:lang w:val="pt-PT" w:eastAsia="en-US" w:bidi="ar-SA"/>
      </w:rPr>
    </w:lvl>
    <w:lvl w:ilvl="6">
      <w:numFmt w:val="bullet"/>
      <w:lvlText w:val="•"/>
      <w:lvlJc w:val="left"/>
      <w:pPr>
        <w:ind w:left="6779" w:hanging="852"/>
      </w:pPr>
      <w:rPr>
        <w:rFonts w:hint="default"/>
        <w:lang w:val="pt-PT" w:eastAsia="en-US" w:bidi="ar-SA"/>
      </w:rPr>
    </w:lvl>
    <w:lvl w:ilvl="7">
      <w:numFmt w:val="bullet"/>
      <w:lvlText w:val="•"/>
      <w:lvlJc w:val="left"/>
      <w:pPr>
        <w:ind w:left="7742" w:hanging="852"/>
      </w:pPr>
      <w:rPr>
        <w:rFonts w:hint="default"/>
        <w:lang w:val="pt-PT" w:eastAsia="en-US" w:bidi="ar-SA"/>
      </w:rPr>
    </w:lvl>
    <w:lvl w:ilvl="8">
      <w:numFmt w:val="bullet"/>
      <w:lvlText w:val="•"/>
      <w:lvlJc w:val="left"/>
      <w:pPr>
        <w:ind w:left="8705" w:hanging="852"/>
      </w:pPr>
      <w:rPr>
        <w:rFonts w:hint="default"/>
        <w:lang w:val="pt-PT" w:eastAsia="en-US" w:bidi="ar-SA"/>
      </w:rPr>
    </w:lvl>
  </w:abstractNum>
  <w:abstractNum w:abstractNumId="60" w15:restartNumberingAfterBreak="0">
    <w:nsid w:val="6616149A"/>
    <w:multiLevelType w:val="hybridMultilevel"/>
    <w:tmpl w:val="26A62E9A"/>
    <w:lvl w:ilvl="0" w:tplc="41C0F760">
      <w:start w:val="1"/>
      <w:numFmt w:val="upperRoman"/>
      <w:lvlText w:val="%1."/>
      <w:lvlJc w:val="left"/>
      <w:pPr>
        <w:ind w:left="1560" w:hanging="488"/>
        <w:jc w:val="right"/>
      </w:pPr>
      <w:rPr>
        <w:rFonts w:ascii="Calibri" w:eastAsia="Calibri" w:hAnsi="Calibri" w:cs="Calibri" w:hint="default"/>
        <w:b/>
        <w:bCs/>
        <w:i w:val="0"/>
        <w:iCs w:val="0"/>
        <w:color w:val="001F5F"/>
        <w:spacing w:val="0"/>
        <w:w w:val="89"/>
        <w:sz w:val="24"/>
        <w:szCs w:val="24"/>
        <w:lang w:val="pt-PT" w:eastAsia="en-US" w:bidi="ar-SA"/>
      </w:rPr>
    </w:lvl>
    <w:lvl w:ilvl="1" w:tplc="E31C3B62">
      <w:numFmt w:val="bullet"/>
      <w:lvlText w:val=""/>
      <w:lvlJc w:val="left"/>
      <w:pPr>
        <w:ind w:left="1997" w:hanging="360"/>
      </w:pPr>
      <w:rPr>
        <w:rFonts w:ascii="Symbol" w:eastAsia="Symbol" w:hAnsi="Symbol" w:cs="Symbol" w:hint="default"/>
        <w:spacing w:val="0"/>
        <w:w w:val="100"/>
        <w:lang w:val="pt-PT" w:eastAsia="en-US" w:bidi="ar-SA"/>
      </w:rPr>
    </w:lvl>
    <w:lvl w:ilvl="2" w:tplc="6E16B606">
      <w:numFmt w:val="bullet"/>
      <w:lvlText w:val=""/>
      <w:lvlJc w:val="left"/>
      <w:pPr>
        <w:ind w:left="2705" w:hanging="360"/>
      </w:pPr>
      <w:rPr>
        <w:rFonts w:ascii="Symbol" w:eastAsia="Symbol" w:hAnsi="Symbol" w:cs="Symbol" w:hint="default"/>
        <w:b w:val="0"/>
        <w:bCs w:val="0"/>
        <w:i w:val="0"/>
        <w:iCs w:val="0"/>
        <w:color w:val="0000FF"/>
        <w:spacing w:val="0"/>
        <w:w w:val="100"/>
        <w:sz w:val="22"/>
        <w:szCs w:val="22"/>
        <w:lang w:val="pt-PT" w:eastAsia="en-US" w:bidi="ar-SA"/>
      </w:rPr>
    </w:lvl>
    <w:lvl w:ilvl="3" w:tplc="972CF0AE">
      <w:numFmt w:val="bullet"/>
      <w:lvlText w:val="•"/>
      <w:lvlJc w:val="left"/>
      <w:pPr>
        <w:ind w:left="2000" w:hanging="360"/>
      </w:pPr>
      <w:rPr>
        <w:rFonts w:hint="default"/>
        <w:lang w:val="pt-PT" w:eastAsia="en-US" w:bidi="ar-SA"/>
      </w:rPr>
    </w:lvl>
    <w:lvl w:ilvl="4" w:tplc="E6167182">
      <w:numFmt w:val="bullet"/>
      <w:lvlText w:val="•"/>
      <w:lvlJc w:val="left"/>
      <w:pPr>
        <w:ind w:left="2280" w:hanging="360"/>
      </w:pPr>
      <w:rPr>
        <w:rFonts w:hint="default"/>
        <w:lang w:val="pt-PT" w:eastAsia="en-US" w:bidi="ar-SA"/>
      </w:rPr>
    </w:lvl>
    <w:lvl w:ilvl="5" w:tplc="EF56785A">
      <w:numFmt w:val="bullet"/>
      <w:lvlText w:val="•"/>
      <w:lvlJc w:val="left"/>
      <w:pPr>
        <w:ind w:left="2400" w:hanging="360"/>
      </w:pPr>
      <w:rPr>
        <w:rFonts w:hint="default"/>
        <w:lang w:val="pt-PT" w:eastAsia="en-US" w:bidi="ar-SA"/>
      </w:rPr>
    </w:lvl>
    <w:lvl w:ilvl="6" w:tplc="7494D37E">
      <w:numFmt w:val="bullet"/>
      <w:lvlText w:val="•"/>
      <w:lvlJc w:val="left"/>
      <w:pPr>
        <w:ind w:left="2560" w:hanging="360"/>
      </w:pPr>
      <w:rPr>
        <w:rFonts w:hint="default"/>
        <w:lang w:val="pt-PT" w:eastAsia="en-US" w:bidi="ar-SA"/>
      </w:rPr>
    </w:lvl>
    <w:lvl w:ilvl="7" w:tplc="21BC7C7E">
      <w:numFmt w:val="bullet"/>
      <w:lvlText w:val="•"/>
      <w:lvlJc w:val="left"/>
      <w:pPr>
        <w:ind w:left="2700" w:hanging="360"/>
      </w:pPr>
      <w:rPr>
        <w:rFonts w:hint="default"/>
        <w:lang w:val="pt-PT" w:eastAsia="en-US" w:bidi="ar-SA"/>
      </w:rPr>
    </w:lvl>
    <w:lvl w:ilvl="8" w:tplc="6DCC9850">
      <w:numFmt w:val="bullet"/>
      <w:lvlText w:val="•"/>
      <w:lvlJc w:val="left"/>
      <w:pPr>
        <w:ind w:left="5596" w:hanging="360"/>
      </w:pPr>
      <w:rPr>
        <w:rFonts w:hint="default"/>
        <w:lang w:val="pt-PT" w:eastAsia="en-US" w:bidi="ar-SA"/>
      </w:rPr>
    </w:lvl>
  </w:abstractNum>
  <w:abstractNum w:abstractNumId="61" w15:restartNumberingAfterBreak="0">
    <w:nsid w:val="661626B7"/>
    <w:multiLevelType w:val="hybridMultilevel"/>
    <w:tmpl w:val="F0BABBC0"/>
    <w:lvl w:ilvl="0" w:tplc="41A4B0E6">
      <w:numFmt w:val="none"/>
      <w:lvlText w:val=""/>
      <w:lvlJc w:val="left"/>
      <w:pPr>
        <w:tabs>
          <w:tab w:val="num" w:pos="360"/>
        </w:tabs>
      </w:pPr>
    </w:lvl>
    <w:lvl w:ilvl="1" w:tplc="0616D150">
      <w:numFmt w:val="bullet"/>
      <w:lvlText w:val="•"/>
      <w:lvlJc w:val="left"/>
      <w:pPr>
        <w:ind w:left="3191" w:hanging="663"/>
      </w:pPr>
      <w:rPr>
        <w:rFonts w:hint="default"/>
        <w:lang w:val="pt-PT" w:eastAsia="en-US" w:bidi="ar-SA"/>
      </w:rPr>
    </w:lvl>
    <w:lvl w:ilvl="2" w:tplc="A558CEBA">
      <w:numFmt w:val="bullet"/>
      <w:lvlText w:val="•"/>
      <w:lvlJc w:val="left"/>
      <w:pPr>
        <w:ind w:left="4102" w:hanging="663"/>
      </w:pPr>
      <w:rPr>
        <w:rFonts w:hint="default"/>
        <w:lang w:val="pt-PT" w:eastAsia="en-US" w:bidi="ar-SA"/>
      </w:rPr>
    </w:lvl>
    <w:lvl w:ilvl="3" w:tplc="35FEC852">
      <w:numFmt w:val="bullet"/>
      <w:lvlText w:val="•"/>
      <w:lvlJc w:val="left"/>
      <w:pPr>
        <w:ind w:left="5013" w:hanging="663"/>
      </w:pPr>
      <w:rPr>
        <w:rFonts w:hint="default"/>
        <w:lang w:val="pt-PT" w:eastAsia="en-US" w:bidi="ar-SA"/>
      </w:rPr>
    </w:lvl>
    <w:lvl w:ilvl="4" w:tplc="A530D2E8">
      <w:numFmt w:val="bullet"/>
      <w:lvlText w:val="•"/>
      <w:lvlJc w:val="left"/>
      <w:pPr>
        <w:ind w:left="5924" w:hanging="663"/>
      </w:pPr>
      <w:rPr>
        <w:rFonts w:hint="default"/>
        <w:lang w:val="pt-PT" w:eastAsia="en-US" w:bidi="ar-SA"/>
      </w:rPr>
    </w:lvl>
    <w:lvl w:ilvl="5" w:tplc="8EF61672">
      <w:numFmt w:val="bullet"/>
      <w:lvlText w:val="•"/>
      <w:lvlJc w:val="left"/>
      <w:pPr>
        <w:ind w:left="6835" w:hanging="663"/>
      </w:pPr>
      <w:rPr>
        <w:rFonts w:hint="default"/>
        <w:lang w:val="pt-PT" w:eastAsia="en-US" w:bidi="ar-SA"/>
      </w:rPr>
    </w:lvl>
    <w:lvl w:ilvl="6" w:tplc="57B65B18">
      <w:numFmt w:val="bullet"/>
      <w:lvlText w:val="•"/>
      <w:lvlJc w:val="left"/>
      <w:pPr>
        <w:ind w:left="7746" w:hanging="663"/>
      </w:pPr>
      <w:rPr>
        <w:rFonts w:hint="default"/>
        <w:lang w:val="pt-PT" w:eastAsia="en-US" w:bidi="ar-SA"/>
      </w:rPr>
    </w:lvl>
    <w:lvl w:ilvl="7" w:tplc="307A1916">
      <w:numFmt w:val="bullet"/>
      <w:lvlText w:val="•"/>
      <w:lvlJc w:val="left"/>
      <w:pPr>
        <w:ind w:left="8657" w:hanging="663"/>
      </w:pPr>
      <w:rPr>
        <w:rFonts w:hint="default"/>
        <w:lang w:val="pt-PT" w:eastAsia="en-US" w:bidi="ar-SA"/>
      </w:rPr>
    </w:lvl>
    <w:lvl w:ilvl="8" w:tplc="BD4463B4">
      <w:numFmt w:val="bullet"/>
      <w:lvlText w:val="•"/>
      <w:lvlJc w:val="left"/>
      <w:pPr>
        <w:ind w:left="9568" w:hanging="663"/>
      </w:pPr>
      <w:rPr>
        <w:rFonts w:hint="default"/>
        <w:lang w:val="pt-PT" w:eastAsia="en-US" w:bidi="ar-SA"/>
      </w:rPr>
    </w:lvl>
  </w:abstractNum>
  <w:abstractNum w:abstractNumId="62" w15:restartNumberingAfterBreak="0">
    <w:nsid w:val="69C20A80"/>
    <w:multiLevelType w:val="multilevel"/>
    <w:tmpl w:val="E1E6DA80"/>
    <w:lvl w:ilvl="0">
      <w:start w:val="23"/>
      <w:numFmt w:val="decimal"/>
      <w:lvlText w:val="%1"/>
      <w:lvlJc w:val="left"/>
      <w:pPr>
        <w:ind w:left="995" w:hanging="852"/>
        <w:jc w:val="left"/>
      </w:pPr>
      <w:rPr>
        <w:rFonts w:hint="default"/>
        <w:lang w:val="pt-PT" w:eastAsia="en-US" w:bidi="ar-SA"/>
      </w:rPr>
    </w:lvl>
    <w:lvl w:ilvl="1">
      <w:start w:val="1"/>
      <w:numFmt w:val="decimal"/>
      <w:lvlText w:val="%1.%2."/>
      <w:lvlJc w:val="left"/>
      <w:pPr>
        <w:ind w:left="995" w:hanging="852"/>
        <w:jc w:val="left"/>
      </w:pPr>
      <w:rPr>
        <w:rFonts w:ascii="Arial" w:eastAsia="Arial" w:hAnsi="Arial" w:cs="Arial" w:hint="default"/>
        <w:b/>
        <w:bCs/>
        <w:i w:val="0"/>
        <w:iCs w:val="0"/>
        <w:spacing w:val="-2"/>
        <w:w w:val="100"/>
        <w:sz w:val="22"/>
        <w:szCs w:val="22"/>
        <w:lang w:val="pt-PT" w:eastAsia="en-US" w:bidi="ar-SA"/>
      </w:rPr>
    </w:lvl>
    <w:lvl w:ilvl="2">
      <w:numFmt w:val="bullet"/>
      <w:lvlText w:val="•"/>
      <w:lvlJc w:val="left"/>
      <w:pPr>
        <w:ind w:left="2926" w:hanging="852"/>
      </w:pPr>
      <w:rPr>
        <w:rFonts w:hint="default"/>
        <w:lang w:val="pt-PT" w:eastAsia="en-US" w:bidi="ar-SA"/>
      </w:rPr>
    </w:lvl>
    <w:lvl w:ilvl="3">
      <w:numFmt w:val="bullet"/>
      <w:lvlText w:val="•"/>
      <w:lvlJc w:val="left"/>
      <w:pPr>
        <w:ind w:left="3889" w:hanging="852"/>
      </w:pPr>
      <w:rPr>
        <w:rFonts w:hint="default"/>
        <w:lang w:val="pt-PT" w:eastAsia="en-US" w:bidi="ar-SA"/>
      </w:rPr>
    </w:lvl>
    <w:lvl w:ilvl="4">
      <w:numFmt w:val="bullet"/>
      <w:lvlText w:val="•"/>
      <w:lvlJc w:val="left"/>
      <w:pPr>
        <w:ind w:left="4852" w:hanging="852"/>
      </w:pPr>
      <w:rPr>
        <w:rFonts w:hint="default"/>
        <w:lang w:val="pt-PT" w:eastAsia="en-US" w:bidi="ar-SA"/>
      </w:rPr>
    </w:lvl>
    <w:lvl w:ilvl="5">
      <w:numFmt w:val="bullet"/>
      <w:lvlText w:val="•"/>
      <w:lvlJc w:val="left"/>
      <w:pPr>
        <w:ind w:left="5816" w:hanging="852"/>
      </w:pPr>
      <w:rPr>
        <w:rFonts w:hint="default"/>
        <w:lang w:val="pt-PT" w:eastAsia="en-US" w:bidi="ar-SA"/>
      </w:rPr>
    </w:lvl>
    <w:lvl w:ilvl="6">
      <w:numFmt w:val="bullet"/>
      <w:lvlText w:val="•"/>
      <w:lvlJc w:val="left"/>
      <w:pPr>
        <w:ind w:left="6779" w:hanging="852"/>
      </w:pPr>
      <w:rPr>
        <w:rFonts w:hint="default"/>
        <w:lang w:val="pt-PT" w:eastAsia="en-US" w:bidi="ar-SA"/>
      </w:rPr>
    </w:lvl>
    <w:lvl w:ilvl="7">
      <w:numFmt w:val="bullet"/>
      <w:lvlText w:val="•"/>
      <w:lvlJc w:val="left"/>
      <w:pPr>
        <w:ind w:left="7742" w:hanging="852"/>
      </w:pPr>
      <w:rPr>
        <w:rFonts w:hint="default"/>
        <w:lang w:val="pt-PT" w:eastAsia="en-US" w:bidi="ar-SA"/>
      </w:rPr>
    </w:lvl>
    <w:lvl w:ilvl="8">
      <w:numFmt w:val="bullet"/>
      <w:lvlText w:val="•"/>
      <w:lvlJc w:val="left"/>
      <w:pPr>
        <w:ind w:left="8705" w:hanging="852"/>
      </w:pPr>
      <w:rPr>
        <w:rFonts w:hint="default"/>
        <w:lang w:val="pt-PT" w:eastAsia="en-US" w:bidi="ar-SA"/>
      </w:rPr>
    </w:lvl>
  </w:abstractNum>
  <w:abstractNum w:abstractNumId="63" w15:restartNumberingAfterBreak="0">
    <w:nsid w:val="69C44488"/>
    <w:multiLevelType w:val="hybridMultilevel"/>
    <w:tmpl w:val="D19ABF90"/>
    <w:lvl w:ilvl="0" w:tplc="69AA1552">
      <w:start w:val="1"/>
      <w:numFmt w:val="lowerRoman"/>
      <w:lvlText w:val="%1)"/>
      <w:lvlJc w:val="left"/>
      <w:pPr>
        <w:ind w:left="1224" w:hanging="721"/>
        <w:jc w:val="left"/>
      </w:pPr>
      <w:rPr>
        <w:rFonts w:ascii="Segoe UI Symbol" w:eastAsia="Segoe UI Symbol" w:hAnsi="Segoe UI Symbol" w:cs="Segoe UI Symbol" w:hint="default"/>
        <w:b w:val="0"/>
        <w:bCs w:val="0"/>
        <w:i w:val="0"/>
        <w:iCs w:val="0"/>
        <w:spacing w:val="0"/>
        <w:w w:val="92"/>
        <w:sz w:val="22"/>
        <w:szCs w:val="22"/>
        <w:lang w:val="pt-PT" w:eastAsia="en-US" w:bidi="ar-SA"/>
      </w:rPr>
    </w:lvl>
    <w:lvl w:ilvl="1" w:tplc="706EAFA2">
      <w:numFmt w:val="bullet"/>
      <w:lvlText w:val="•"/>
      <w:lvlJc w:val="left"/>
      <w:pPr>
        <w:ind w:left="2161" w:hanging="721"/>
      </w:pPr>
      <w:rPr>
        <w:rFonts w:hint="default"/>
        <w:lang w:val="pt-PT" w:eastAsia="en-US" w:bidi="ar-SA"/>
      </w:rPr>
    </w:lvl>
    <w:lvl w:ilvl="2" w:tplc="5D667546">
      <w:numFmt w:val="bullet"/>
      <w:lvlText w:val="•"/>
      <w:lvlJc w:val="left"/>
      <w:pPr>
        <w:ind w:left="3102" w:hanging="721"/>
      </w:pPr>
      <w:rPr>
        <w:rFonts w:hint="default"/>
        <w:lang w:val="pt-PT" w:eastAsia="en-US" w:bidi="ar-SA"/>
      </w:rPr>
    </w:lvl>
    <w:lvl w:ilvl="3" w:tplc="85906B5A">
      <w:numFmt w:val="bullet"/>
      <w:lvlText w:val="•"/>
      <w:lvlJc w:val="left"/>
      <w:pPr>
        <w:ind w:left="4043" w:hanging="721"/>
      </w:pPr>
      <w:rPr>
        <w:rFonts w:hint="default"/>
        <w:lang w:val="pt-PT" w:eastAsia="en-US" w:bidi="ar-SA"/>
      </w:rPr>
    </w:lvl>
    <w:lvl w:ilvl="4" w:tplc="CE7C1358">
      <w:numFmt w:val="bullet"/>
      <w:lvlText w:val="•"/>
      <w:lvlJc w:val="left"/>
      <w:pPr>
        <w:ind w:left="4984" w:hanging="721"/>
      </w:pPr>
      <w:rPr>
        <w:rFonts w:hint="default"/>
        <w:lang w:val="pt-PT" w:eastAsia="en-US" w:bidi="ar-SA"/>
      </w:rPr>
    </w:lvl>
    <w:lvl w:ilvl="5" w:tplc="61322404">
      <w:numFmt w:val="bullet"/>
      <w:lvlText w:val="•"/>
      <w:lvlJc w:val="left"/>
      <w:pPr>
        <w:ind w:left="5926" w:hanging="721"/>
      </w:pPr>
      <w:rPr>
        <w:rFonts w:hint="default"/>
        <w:lang w:val="pt-PT" w:eastAsia="en-US" w:bidi="ar-SA"/>
      </w:rPr>
    </w:lvl>
    <w:lvl w:ilvl="6" w:tplc="217CDD8E">
      <w:numFmt w:val="bullet"/>
      <w:lvlText w:val="•"/>
      <w:lvlJc w:val="left"/>
      <w:pPr>
        <w:ind w:left="6867" w:hanging="721"/>
      </w:pPr>
      <w:rPr>
        <w:rFonts w:hint="default"/>
        <w:lang w:val="pt-PT" w:eastAsia="en-US" w:bidi="ar-SA"/>
      </w:rPr>
    </w:lvl>
    <w:lvl w:ilvl="7" w:tplc="33582BB2">
      <w:numFmt w:val="bullet"/>
      <w:lvlText w:val="•"/>
      <w:lvlJc w:val="left"/>
      <w:pPr>
        <w:ind w:left="7808" w:hanging="721"/>
      </w:pPr>
      <w:rPr>
        <w:rFonts w:hint="default"/>
        <w:lang w:val="pt-PT" w:eastAsia="en-US" w:bidi="ar-SA"/>
      </w:rPr>
    </w:lvl>
    <w:lvl w:ilvl="8" w:tplc="D3309128">
      <w:numFmt w:val="bullet"/>
      <w:lvlText w:val="•"/>
      <w:lvlJc w:val="left"/>
      <w:pPr>
        <w:ind w:left="8749" w:hanging="721"/>
      </w:pPr>
      <w:rPr>
        <w:rFonts w:hint="default"/>
        <w:lang w:val="pt-PT" w:eastAsia="en-US" w:bidi="ar-SA"/>
      </w:rPr>
    </w:lvl>
  </w:abstractNum>
  <w:abstractNum w:abstractNumId="64" w15:restartNumberingAfterBreak="0">
    <w:nsid w:val="6A574A3C"/>
    <w:multiLevelType w:val="hybridMultilevel"/>
    <w:tmpl w:val="383E2EF6"/>
    <w:lvl w:ilvl="0" w:tplc="211EEEBE">
      <w:start w:val="1"/>
      <w:numFmt w:val="lowerRoman"/>
      <w:lvlText w:val="%1)"/>
      <w:lvlJc w:val="left"/>
      <w:pPr>
        <w:ind w:left="340" w:hanging="197"/>
        <w:jc w:val="left"/>
      </w:pPr>
      <w:rPr>
        <w:rFonts w:ascii="Arial" w:eastAsia="Arial" w:hAnsi="Arial" w:cs="Arial" w:hint="default"/>
        <w:b/>
        <w:bCs/>
        <w:i w:val="0"/>
        <w:iCs w:val="0"/>
        <w:spacing w:val="0"/>
        <w:w w:val="100"/>
        <w:sz w:val="22"/>
        <w:szCs w:val="22"/>
        <w:lang w:val="pt-PT" w:eastAsia="en-US" w:bidi="ar-SA"/>
      </w:rPr>
    </w:lvl>
    <w:lvl w:ilvl="1" w:tplc="9C68D33E">
      <w:start w:val="1"/>
      <w:numFmt w:val="lowerLetter"/>
      <w:lvlText w:val="%2)"/>
      <w:lvlJc w:val="left"/>
      <w:pPr>
        <w:ind w:left="399" w:hanging="257"/>
        <w:jc w:val="left"/>
      </w:pPr>
      <w:rPr>
        <w:rFonts w:ascii="Arial" w:eastAsia="Arial" w:hAnsi="Arial" w:cs="Arial" w:hint="default"/>
        <w:b/>
        <w:bCs/>
        <w:i w:val="0"/>
        <w:iCs w:val="0"/>
        <w:spacing w:val="-2"/>
        <w:w w:val="100"/>
        <w:sz w:val="22"/>
        <w:szCs w:val="22"/>
        <w:lang w:val="pt-PT" w:eastAsia="en-US" w:bidi="ar-SA"/>
      </w:rPr>
    </w:lvl>
    <w:lvl w:ilvl="2" w:tplc="790E69EA">
      <w:numFmt w:val="bullet"/>
      <w:lvlText w:val="•"/>
      <w:lvlJc w:val="left"/>
      <w:pPr>
        <w:ind w:left="400" w:hanging="257"/>
      </w:pPr>
      <w:rPr>
        <w:rFonts w:hint="default"/>
        <w:lang w:val="pt-PT" w:eastAsia="en-US" w:bidi="ar-SA"/>
      </w:rPr>
    </w:lvl>
    <w:lvl w:ilvl="3" w:tplc="AC8AD998">
      <w:numFmt w:val="bullet"/>
      <w:lvlText w:val="•"/>
      <w:lvlJc w:val="left"/>
      <w:pPr>
        <w:ind w:left="1679" w:hanging="257"/>
      </w:pPr>
      <w:rPr>
        <w:rFonts w:hint="default"/>
        <w:lang w:val="pt-PT" w:eastAsia="en-US" w:bidi="ar-SA"/>
      </w:rPr>
    </w:lvl>
    <w:lvl w:ilvl="4" w:tplc="436E2C22">
      <w:numFmt w:val="bullet"/>
      <w:lvlText w:val="•"/>
      <w:lvlJc w:val="left"/>
      <w:pPr>
        <w:ind w:left="2958" w:hanging="257"/>
      </w:pPr>
      <w:rPr>
        <w:rFonts w:hint="default"/>
        <w:lang w:val="pt-PT" w:eastAsia="en-US" w:bidi="ar-SA"/>
      </w:rPr>
    </w:lvl>
    <w:lvl w:ilvl="5" w:tplc="6FFCAE80">
      <w:numFmt w:val="bullet"/>
      <w:lvlText w:val="•"/>
      <w:lvlJc w:val="left"/>
      <w:pPr>
        <w:ind w:left="4237" w:hanging="257"/>
      </w:pPr>
      <w:rPr>
        <w:rFonts w:hint="default"/>
        <w:lang w:val="pt-PT" w:eastAsia="en-US" w:bidi="ar-SA"/>
      </w:rPr>
    </w:lvl>
    <w:lvl w:ilvl="6" w:tplc="DC3203AE">
      <w:numFmt w:val="bullet"/>
      <w:lvlText w:val="•"/>
      <w:lvlJc w:val="left"/>
      <w:pPr>
        <w:ind w:left="5516" w:hanging="257"/>
      </w:pPr>
      <w:rPr>
        <w:rFonts w:hint="default"/>
        <w:lang w:val="pt-PT" w:eastAsia="en-US" w:bidi="ar-SA"/>
      </w:rPr>
    </w:lvl>
    <w:lvl w:ilvl="7" w:tplc="9D48523A">
      <w:numFmt w:val="bullet"/>
      <w:lvlText w:val="•"/>
      <w:lvlJc w:val="left"/>
      <w:pPr>
        <w:ind w:left="6795" w:hanging="257"/>
      </w:pPr>
      <w:rPr>
        <w:rFonts w:hint="default"/>
        <w:lang w:val="pt-PT" w:eastAsia="en-US" w:bidi="ar-SA"/>
      </w:rPr>
    </w:lvl>
    <w:lvl w:ilvl="8" w:tplc="EED63BFC">
      <w:numFmt w:val="bullet"/>
      <w:lvlText w:val="•"/>
      <w:lvlJc w:val="left"/>
      <w:pPr>
        <w:ind w:left="8074" w:hanging="257"/>
      </w:pPr>
      <w:rPr>
        <w:rFonts w:hint="default"/>
        <w:lang w:val="pt-PT" w:eastAsia="en-US" w:bidi="ar-SA"/>
      </w:rPr>
    </w:lvl>
  </w:abstractNum>
  <w:abstractNum w:abstractNumId="65" w15:restartNumberingAfterBreak="0">
    <w:nsid w:val="6EB32434"/>
    <w:multiLevelType w:val="hybridMultilevel"/>
    <w:tmpl w:val="0D4A0DD8"/>
    <w:lvl w:ilvl="0" w:tplc="9A3A0BF8">
      <w:numFmt w:val="bullet"/>
      <w:lvlText w:val="•"/>
      <w:lvlJc w:val="left"/>
      <w:pPr>
        <w:ind w:left="1429" w:hanging="360"/>
      </w:pPr>
      <w:rPr>
        <w:rFonts w:ascii="Courier New" w:eastAsia="Courier New" w:hAnsi="Courier New" w:cs="Courier New" w:hint="default"/>
        <w:b w:val="0"/>
        <w:bCs w:val="0"/>
        <w:i w:val="0"/>
        <w:iCs w:val="0"/>
        <w:color w:val="001F60"/>
        <w:spacing w:val="0"/>
        <w:w w:val="76"/>
        <w:sz w:val="20"/>
        <w:szCs w:val="20"/>
        <w:lang w:val="pt-PT" w:eastAsia="en-US" w:bidi="ar-SA"/>
      </w:rPr>
    </w:lvl>
    <w:lvl w:ilvl="1" w:tplc="72B03032">
      <w:numFmt w:val="bullet"/>
      <w:lvlText w:val="•"/>
      <w:lvlJc w:val="left"/>
      <w:pPr>
        <w:ind w:left="2284" w:hanging="360"/>
      </w:pPr>
      <w:rPr>
        <w:rFonts w:hint="default"/>
        <w:lang w:val="pt-PT" w:eastAsia="en-US" w:bidi="ar-SA"/>
      </w:rPr>
    </w:lvl>
    <w:lvl w:ilvl="2" w:tplc="7E1C88EA">
      <w:numFmt w:val="bullet"/>
      <w:lvlText w:val="•"/>
      <w:lvlJc w:val="left"/>
      <w:pPr>
        <w:ind w:left="3148" w:hanging="360"/>
      </w:pPr>
      <w:rPr>
        <w:rFonts w:hint="default"/>
        <w:lang w:val="pt-PT" w:eastAsia="en-US" w:bidi="ar-SA"/>
      </w:rPr>
    </w:lvl>
    <w:lvl w:ilvl="3" w:tplc="18CCAF36">
      <w:numFmt w:val="bullet"/>
      <w:lvlText w:val="•"/>
      <w:lvlJc w:val="left"/>
      <w:pPr>
        <w:ind w:left="4013" w:hanging="360"/>
      </w:pPr>
      <w:rPr>
        <w:rFonts w:hint="default"/>
        <w:lang w:val="pt-PT" w:eastAsia="en-US" w:bidi="ar-SA"/>
      </w:rPr>
    </w:lvl>
    <w:lvl w:ilvl="4" w:tplc="1D64F7A8">
      <w:numFmt w:val="bullet"/>
      <w:lvlText w:val="•"/>
      <w:lvlJc w:val="left"/>
      <w:pPr>
        <w:ind w:left="4877" w:hanging="360"/>
      </w:pPr>
      <w:rPr>
        <w:rFonts w:hint="default"/>
        <w:lang w:val="pt-PT" w:eastAsia="en-US" w:bidi="ar-SA"/>
      </w:rPr>
    </w:lvl>
    <w:lvl w:ilvl="5" w:tplc="8BB41426">
      <w:numFmt w:val="bullet"/>
      <w:lvlText w:val="•"/>
      <w:lvlJc w:val="left"/>
      <w:pPr>
        <w:ind w:left="5742" w:hanging="360"/>
      </w:pPr>
      <w:rPr>
        <w:rFonts w:hint="default"/>
        <w:lang w:val="pt-PT" w:eastAsia="en-US" w:bidi="ar-SA"/>
      </w:rPr>
    </w:lvl>
    <w:lvl w:ilvl="6" w:tplc="3E7807CC">
      <w:numFmt w:val="bullet"/>
      <w:lvlText w:val="•"/>
      <w:lvlJc w:val="left"/>
      <w:pPr>
        <w:ind w:left="6606" w:hanging="360"/>
      </w:pPr>
      <w:rPr>
        <w:rFonts w:hint="default"/>
        <w:lang w:val="pt-PT" w:eastAsia="en-US" w:bidi="ar-SA"/>
      </w:rPr>
    </w:lvl>
    <w:lvl w:ilvl="7" w:tplc="9DB2633A">
      <w:numFmt w:val="bullet"/>
      <w:lvlText w:val="•"/>
      <w:lvlJc w:val="left"/>
      <w:pPr>
        <w:ind w:left="7471" w:hanging="360"/>
      </w:pPr>
      <w:rPr>
        <w:rFonts w:hint="default"/>
        <w:lang w:val="pt-PT" w:eastAsia="en-US" w:bidi="ar-SA"/>
      </w:rPr>
    </w:lvl>
    <w:lvl w:ilvl="8" w:tplc="3740E826">
      <w:numFmt w:val="bullet"/>
      <w:lvlText w:val="•"/>
      <w:lvlJc w:val="left"/>
      <w:pPr>
        <w:ind w:left="8335" w:hanging="360"/>
      </w:pPr>
      <w:rPr>
        <w:rFonts w:hint="default"/>
        <w:lang w:val="pt-PT" w:eastAsia="en-US" w:bidi="ar-SA"/>
      </w:rPr>
    </w:lvl>
  </w:abstractNum>
  <w:abstractNum w:abstractNumId="66" w15:restartNumberingAfterBreak="0">
    <w:nsid w:val="6FDE66D2"/>
    <w:multiLevelType w:val="multilevel"/>
    <w:tmpl w:val="CCEC0038"/>
    <w:lvl w:ilvl="0">
      <w:start w:val="1"/>
      <w:numFmt w:val="decimal"/>
      <w:lvlText w:val="%1"/>
      <w:lvlJc w:val="left"/>
      <w:pPr>
        <w:ind w:left="1566" w:hanging="857"/>
        <w:jc w:val="left"/>
      </w:pPr>
      <w:rPr>
        <w:rFonts w:ascii="Calibri" w:eastAsia="Calibri" w:hAnsi="Calibri" w:cs="Calibri" w:hint="default"/>
        <w:b/>
        <w:bCs/>
        <w:i w:val="0"/>
        <w:iCs w:val="0"/>
        <w:color w:val="001F60"/>
        <w:spacing w:val="0"/>
        <w:w w:val="99"/>
        <w:sz w:val="26"/>
        <w:szCs w:val="26"/>
        <w:lang w:val="pt-PT" w:eastAsia="en-US" w:bidi="ar-SA"/>
      </w:rPr>
    </w:lvl>
    <w:lvl w:ilvl="1">
      <w:start w:val="1"/>
      <w:numFmt w:val="decimal"/>
      <w:lvlText w:val="%1.%2"/>
      <w:lvlJc w:val="left"/>
      <w:pPr>
        <w:ind w:left="1276" w:hanging="567"/>
        <w:jc w:val="left"/>
      </w:pPr>
      <w:rPr>
        <w:rFonts w:ascii="Calibri" w:eastAsia="Calibri" w:hAnsi="Calibri" w:cs="Calibri" w:hint="default"/>
        <w:b/>
        <w:bCs/>
        <w:i w:val="0"/>
        <w:iCs w:val="0"/>
        <w:color w:val="001F60"/>
        <w:spacing w:val="-2"/>
        <w:w w:val="100"/>
        <w:sz w:val="22"/>
        <w:szCs w:val="22"/>
        <w:lang w:val="pt-PT" w:eastAsia="en-US" w:bidi="ar-SA"/>
      </w:rPr>
    </w:lvl>
    <w:lvl w:ilvl="2">
      <w:start w:val="1"/>
      <w:numFmt w:val="decimal"/>
      <w:lvlText w:val="%1.%2.%3"/>
      <w:lvlJc w:val="left"/>
      <w:pPr>
        <w:ind w:left="1417" w:hanging="708"/>
        <w:jc w:val="left"/>
      </w:pPr>
      <w:rPr>
        <w:rFonts w:ascii="Calibri" w:eastAsia="Calibri" w:hAnsi="Calibri" w:cs="Calibri" w:hint="default"/>
        <w:b/>
        <w:bCs/>
        <w:i w:val="0"/>
        <w:iCs w:val="0"/>
        <w:color w:val="001F60"/>
        <w:spacing w:val="-2"/>
        <w:w w:val="100"/>
        <w:sz w:val="22"/>
        <w:szCs w:val="22"/>
        <w:lang w:val="pt-PT" w:eastAsia="en-US" w:bidi="ar-SA"/>
      </w:rPr>
    </w:lvl>
    <w:lvl w:ilvl="3">
      <w:numFmt w:val="bullet"/>
      <w:lvlText w:val="•"/>
      <w:lvlJc w:val="left"/>
      <w:pPr>
        <w:ind w:left="1429" w:hanging="360"/>
      </w:pPr>
      <w:rPr>
        <w:rFonts w:ascii="Courier New" w:eastAsia="Courier New" w:hAnsi="Courier New" w:cs="Courier New" w:hint="default"/>
        <w:b w:val="0"/>
        <w:bCs w:val="0"/>
        <w:i w:val="0"/>
        <w:iCs w:val="0"/>
        <w:color w:val="001F60"/>
        <w:spacing w:val="0"/>
        <w:w w:val="76"/>
        <w:sz w:val="22"/>
        <w:szCs w:val="22"/>
        <w:lang w:val="pt-PT" w:eastAsia="en-US" w:bidi="ar-SA"/>
      </w:rPr>
    </w:lvl>
    <w:lvl w:ilvl="4">
      <w:numFmt w:val="bullet"/>
      <w:lvlText w:val="•"/>
      <w:lvlJc w:val="left"/>
      <w:pPr>
        <w:ind w:left="3686" w:hanging="360"/>
      </w:pPr>
      <w:rPr>
        <w:rFonts w:hint="default"/>
        <w:lang w:val="pt-PT" w:eastAsia="en-US" w:bidi="ar-SA"/>
      </w:rPr>
    </w:lvl>
    <w:lvl w:ilvl="5">
      <w:numFmt w:val="bullet"/>
      <w:lvlText w:val="•"/>
      <w:lvlJc w:val="left"/>
      <w:pPr>
        <w:ind w:left="4749" w:hanging="360"/>
      </w:pPr>
      <w:rPr>
        <w:rFonts w:hint="default"/>
        <w:lang w:val="pt-PT" w:eastAsia="en-US" w:bidi="ar-SA"/>
      </w:rPr>
    </w:lvl>
    <w:lvl w:ilvl="6">
      <w:numFmt w:val="bullet"/>
      <w:lvlText w:val="•"/>
      <w:lvlJc w:val="left"/>
      <w:pPr>
        <w:ind w:left="5812" w:hanging="360"/>
      </w:pPr>
      <w:rPr>
        <w:rFonts w:hint="default"/>
        <w:lang w:val="pt-PT" w:eastAsia="en-US" w:bidi="ar-SA"/>
      </w:rPr>
    </w:lvl>
    <w:lvl w:ilvl="7">
      <w:numFmt w:val="bullet"/>
      <w:lvlText w:val="•"/>
      <w:lvlJc w:val="left"/>
      <w:pPr>
        <w:ind w:left="6875" w:hanging="360"/>
      </w:pPr>
      <w:rPr>
        <w:rFonts w:hint="default"/>
        <w:lang w:val="pt-PT" w:eastAsia="en-US" w:bidi="ar-SA"/>
      </w:rPr>
    </w:lvl>
    <w:lvl w:ilvl="8">
      <w:numFmt w:val="bullet"/>
      <w:lvlText w:val="•"/>
      <w:lvlJc w:val="left"/>
      <w:pPr>
        <w:ind w:left="7938" w:hanging="360"/>
      </w:pPr>
      <w:rPr>
        <w:rFonts w:hint="default"/>
        <w:lang w:val="pt-PT" w:eastAsia="en-US" w:bidi="ar-SA"/>
      </w:rPr>
    </w:lvl>
  </w:abstractNum>
  <w:abstractNum w:abstractNumId="67" w15:restartNumberingAfterBreak="0">
    <w:nsid w:val="717A1E0D"/>
    <w:multiLevelType w:val="hybridMultilevel"/>
    <w:tmpl w:val="3C98DF36"/>
    <w:lvl w:ilvl="0" w:tplc="BED44F84">
      <w:start w:val="1"/>
      <w:numFmt w:val="lowerRoman"/>
      <w:lvlText w:val="%1)"/>
      <w:lvlJc w:val="left"/>
      <w:pPr>
        <w:ind w:left="1224" w:hanging="721"/>
        <w:jc w:val="left"/>
      </w:pPr>
      <w:rPr>
        <w:rFonts w:ascii="Segoe UI Symbol" w:eastAsia="Segoe UI Symbol" w:hAnsi="Segoe UI Symbol" w:cs="Segoe UI Symbol" w:hint="default"/>
        <w:b w:val="0"/>
        <w:bCs w:val="0"/>
        <w:i w:val="0"/>
        <w:iCs w:val="0"/>
        <w:spacing w:val="0"/>
        <w:w w:val="92"/>
        <w:sz w:val="22"/>
        <w:szCs w:val="22"/>
        <w:lang w:val="pt-PT" w:eastAsia="en-US" w:bidi="ar-SA"/>
      </w:rPr>
    </w:lvl>
    <w:lvl w:ilvl="1" w:tplc="F7BED642">
      <w:start w:val="1"/>
      <w:numFmt w:val="lowerLetter"/>
      <w:lvlText w:val="%2)"/>
      <w:lvlJc w:val="left"/>
      <w:pPr>
        <w:ind w:left="1571" w:hanging="360"/>
        <w:jc w:val="left"/>
      </w:pPr>
      <w:rPr>
        <w:rFonts w:ascii="Segoe UI Symbol" w:eastAsia="Segoe UI Symbol" w:hAnsi="Segoe UI Symbol" w:cs="Segoe UI Symbol" w:hint="default"/>
        <w:b w:val="0"/>
        <w:bCs w:val="0"/>
        <w:i w:val="0"/>
        <w:iCs w:val="0"/>
        <w:spacing w:val="-2"/>
        <w:w w:val="109"/>
        <w:sz w:val="22"/>
        <w:szCs w:val="22"/>
        <w:lang w:val="pt-PT" w:eastAsia="en-US" w:bidi="ar-SA"/>
      </w:rPr>
    </w:lvl>
    <w:lvl w:ilvl="2" w:tplc="5E4E39E4">
      <w:numFmt w:val="bullet"/>
      <w:lvlText w:val="•"/>
      <w:lvlJc w:val="left"/>
      <w:pPr>
        <w:ind w:left="2585" w:hanging="360"/>
      </w:pPr>
      <w:rPr>
        <w:rFonts w:hint="default"/>
        <w:lang w:val="pt-PT" w:eastAsia="en-US" w:bidi="ar-SA"/>
      </w:rPr>
    </w:lvl>
    <w:lvl w:ilvl="3" w:tplc="2A44E74A">
      <w:numFmt w:val="bullet"/>
      <w:lvlText w:val="•"/>
      <w:lvlJc w:val="left"/>
      <w:pPr>
        <w:ind w:left="3591" w:hanging="360"/>
      </w:pPr>
      <w:rPr>
        <w:rFonts w:hint="default"/>
        <w:lang w:val="pt-PT" w:eastAsia="en-US" w:bidi="ar-SA"/>
      </w:rPr>
    </w:lvl>
    <w:lvl w:ilvl="4" w:tplc="B02409B4">
      <w:numFmt w:val="bullet"/>
      <w:lvlText w:val="•"/>
      <w:lvlJc w:val="left"/>
      <w:pPr>
        <w:ind w:left="4597" w:hanging="360"/>
      </w:pPr>
      <w:rPr>
        <w:rFonts w:hint="default"/>
        <w:lang w:val="pt-PT" w:eastAsia="en-US" w:bidi="ar-SA"/>
      </w:rPr>
    </w:lvl>
    <w:lvl w:ilvl="5" w:tplc="B470E3AE">
      <w:numFmt w:val="bullet"/>
      <w:lvlText w:val="•"/>
      <w:lvlJc w:val="left"/>
      <w:pPr>
        <w:ind w:left="5603" w:hanging="360"/>
      </w:pPr>
      <w:rPr>
        <w:rFonts w:hint="default"/>
        <w:lang w:val="pt-PT" w:eastAsia="en-US" w:bidi="ar-SA"/>
      </w:rPr>
    </w:lvl>
    <w:lvl w:ilvl="6" w:tplc="122475D4">
      <w:numFmt w:val="bullet"/>
      <w:lvlText w:val="•"/>
      <w:lvlJc w:val="left"/>
      <w:pPr>
        <w:ind w:left="6609" w:hanging="360"/>
      </w:pPr>
      <w:rPr>
        <w:rFonts w:hint="default"/>
        <w:lang w:val="pt-PT" w:eastAsia="en-US" w:bidi="ar-SA"/>
      </w:rPr>
    </w:lvl>
    <w:lvl w:ilvl="7" w:tplc="D0644A04">
      <w:numFmt w:val="bullet"/>
      <w:lvlText w:val="•"/>
      <w:lvlJc w:val="left"/>
      <w:pPr>
        <w:ind w:left="7614" w:hanging="360"/>
      </w:pPr>
      <w:rPr>
        <w:rFonts w:hint="default"/>
        <w:lang w:val="pt-PT" w:eastAsia="en-US" w:bidi="ar-SA"/>
      </w:rPr>
    </w:lvl>
    <w:lvl w:ilvl="8" w:tplc="CE6A66A8">
      <w:numFmt w:val="bullet"/>
      <w:lvlText w:val="•"/>
      <w:lvlJc w:val="left"/>
      <w:pPr>
        <w:ind w:left="8620" w:hanging="360"/>
      </w:pPr>
      <w:rPr>
        <w:rFonts w:hint="default"/>
        <w:lang w:val="pt-PT" w:eastAsia="en-US" w:bidi="ar-SA"/>
      </w:rPr>
    </w:lvl>
  </w:abstractNum>
  <w:abstractNum w:abstractNumId="68" w15:restartNumberingAfterBreak="0">
    <w:nsid w:val="734E45E4"/>
    <w:multiLevelType w:val="hybridMultilevel"/>
    <w:tmpl w:val="15FA8906"/>
    <w:lvl w:ilvl="0" w:tplc="1B423806">
      <w:start w:val="1"/>
      <w:numFmt w:val="lowerRoman"/>
      <w:lvlText w:val="(%1)"/>
      <w:lvlJc w:val="left"/>
      <w:pPr>
        <w:ind w:left="143" w:hanging="281"/>
        <w:jc w:val="left"/>
      </w:pPr>
      <w:rPr>
        <w:rFonts w:ascii="Segoe UI Symbol" w:eastAsia="Segoe UI Symbol" w:hAnsi="Segoe UI Symbol" w:cs="Segoe UI Symbol" w:hint="default"/>
        <w:b w:val="0"/>
        <w:bCs w:val="0"/>
        <w:i w:val="0"/>
        <w:iCs w:val="0"/>
        <w:spacing w:val="-3"/>
        <w:w w:val="92"/>
        <w:sz w:val="22"/>
        <w:szCs w:val="22"/>
        <w:lang w:val="pt-PT" w:eastAsia="en-US" w:bidi="ar-SA"/>
      </w:rPr>
    </w:lvl>
    <w:lvl w:ilvl="1" w:tplc="85988162">
      <w:numFmt w:val="bullet"/>
      <w:lvlText w:val="•"/>
      <w:lvlJc w:val="left"/>
      <w:pPr>
        <w:ind w:left="1189" w:hanging="281"/>
      </w:pPr>
      <w:rPr>
        <w:rFonts w:hint="default"/>
        <w:lang w:val="pt-PT" w:eastAsia="en-US" w:bidi="ar-SA"/>
      </w:rPr>
    </w:lvl>
    <w:lvl w:ilvl="2" w:tplc="2EC2213A">
      <w:numFmt w:val="bullet"/>
      <w:lvlText w:val="•"/>
      <w:lvlJc w:val="left"/>
      <w:pPr>
        <w:ind w:left="2238" w:hanging="281"/>
      </w:pPr>
      <w:rPr>
        <w:rFonts w:hint="default"/>
        <w:lang w:val="pt-PT" w:eastAsia="en-US" w:bidi="ar-SA"/>
      </w:rPr>
    </w:lvl>
    <w:lvl w:ilvl="3" w:tplc="37F4135C">
      <w:numFmt w:val="bullet"/>
      <w:lvlText w:val="•"/>
      <w:lvlJc w:val="left"/>
      <w:pPr>
        <w:ind w:left="3287" w:hanging="281"/>
      </w:pPr>
      <w:rPr>
        <w:rFonts w:hint="default"/>
        <w:lang w:val="pt-PT" w:eastAsia="en-US" w:bidi="ar-SA"/>
      </w:rPr>
    </w:lvl>
    <w:lvl w:ilvl="4" w:tplc="0948571E">
      <w:numFmt w:val="bullet"/>
      <w:lvlText w:val="•"/>
      <w:lvlJc w:val="left"/>
      <w:pPr>
        <w:ind w:left="4336" w:hanging="281"/>
      </w:pPr>
      <w:rPr>
        <w:rFonts w:hint="default"/>
        <w:lang w:val="pt-PT" w:eastAsia="en-US" w:bidi="ar-SA"/>
      </w:rPr>
    </w:lvl>
    <w:lvl w:ilvl="5" w:tplc="B07E767C">
      <w:numFmt w:val="bullet"/>
      <w:lvlText w:val="•"/>
      <w:lvlJc w:val="left"/>
      <w:pPr>
        <w:ind w:left="5386" w:hanging="281"/>
      </w:pPr>
      <w:rPr>
        <w:rFonts w:hint="default"/>
        <w:lang w:val="pt-PT" w:eastAsia="en-US" w:bidi="ar-SA"/>
      </w:rPr>
    </w:lvl>
    <w:lvl w:ilvl="6" w:tplc="FE06D080">
      <w:numFmt w:val="bullet"/>
      <w:lvlText w:val="•"/>
      <w:lvlJc w:val="left"/>
      <w:pPr>
        <w:ind w:left="6435" w:hanging="281"/>
      </w:pPr>
      <w:rPr>
        <w:rFonts w:hint="default"/>
        <w:lang w:val="pt-PT" w:eastAsia="en-US" w:bidi="ar-SA"/>
      </w:rPr>
    </w:lvl>
    <w:lvl w:ilvl="7" w:tplc="618E033A">
      <w:numFmt w:val="bullet"/>
      <w:lvlText w:val="•"/>
      <w:lvlJc w:val="left"/>
      <w:pPr>
        <w:ind w:left="7484" w:hanging="281"/>
      </w:pPr>
      <w:rPr>
        <w:rFonts w:hint="default"/>
        <w:lang w:val="pt-PT" w:eastAsia="en-US" w:bidi="ar-SA"/>
      </w:rPr>
    </w:lvl>
    <w:lvl w:ilvl="8" w:tplc="11600E0A">
      <w:numFmt w:val="bullet"/>
      <w:lvlText w:val="•"/>
      <w:lvlJc w:val="left"/>
      <w:pPr>
        <w:ind w:left="8533" w:hanging="281"/>
      </w:pPr>
      <w:rPr>
        <w:rFonts w:hint="default"/>
        <w:lang w:val="pt-PT" w:eastAsia="en-US" w:bidi="ar-SA"/>
      </w:rPr>
    </w:lvl>
  </w:abstractNum>
  <w:abstractNum w:abstractNumId="69" w15:restartNumberingAfterBreak="0">
    <w:nsid w:val="74413A22"/>
    <w:multiLevelType w:val="multilevel"/>
    <w:tmpl w:val="E744A01E"/>
    <w:lvl w:ilvl="0">
      <w:start w:val="9"/>
      <w:numFmt w:val="decimal"/>
      <w:lvlText w:val="%1"/>
      <w:lvlJc w:val="left"/>
      <w:pPr>
        <w:ind w:left="852" w:hanging="709"/>
        <w:jc w:val="left"/>
      </w:pPr>
      <w:rPr>
        <w:rFonts w:hint="default"/>
        <w:lang w:val="pt-PT" w:eastAsia="en-US" w:bidi="ar-SA"/>
      </w:rPr>
    </w:lvl>
    <w:lvl w:ilvl="1">
      <w:start w:val="1"/>
      <w:numFmt w:val="decimal"/>
      <w:lvlText w:val="%1.%2."/>
      <w:lvlJc w:val="left"/>
      <w:pPr>
        <w:ind w:left="852" w:hanging="709"/>
        <w:jc w:val="left"/>
      </w:pPr>
      <w:rPr>
        <w:rFonts w:ascii="Arial" w:eastAsia="Arial" w:hAnsi="Arial" w:cs="Arial" w:hint="default"/>
        <w:b/>
        <w:bCs/>
        <w:i w:val="0"/>
        <w:iCs w:val="0"/>
        <w:spacing w:val="-2"/>
        <w:w w:val="100"/>
        <w:sz w:val="22"/>
        <w:szCs w:val="22"/>
        <w:lang w:val="pt-PT" w:eastAsia="en-US" w:bidi="ar-SA"/>
      </w:rPr>
    </w:lvl>
    <w:lvl w:ilvl="2">
      <w:numFmt w:val="bullet"/>
      <w:lvlText w:val="•"/>
      <w:lvlJc w:val="left"/>
      <w:pPr>
        <w:ind w:left="2814" w:hanging="709"/>
      </w:pPr>
      <w:rPr>
        <w:rFonts w:hint="default"/>
        <w:lang w:val="pt-PT" w:eastAsia="en-US" w:bidi="ar-SA"/>
      </w:rPr>
    </w:lvl>
    <w:lvl w:ilvl="3">
      <w:numFmt w:val="bullet"/>
      <w:lvlText w:val="•"/>
      <w:lvlJc w:val="left"/>
      <w:pPr>
        <w:ind w:left="3791" w:hanging="709"/>
      </w:pPr>
      <w:rPr>
        <w:rFonts w:hint="default"/>
        <w:lang w:val="pt-PT" w:eastAsia="en-US" w:bidi="ar-SA"/>
      </w:rPr>
    </w:lvl>
    <w:lvl w:ilvl="4">
      <w:numFmt w:val="bullet"/>
      <w:lvlText w:val="•"/>
      <w:lvlJc w:val="left"/>
      <w:pPr>
        <w:ind w:left="4768" w:hanging="709"/>
      </w:pPr>
      <w:rPr>
        <w:rFonts w:hint="default"/>
        <w:lang w:val="pt-PT" w:eastAsia="en-US" w:bidi="ar-SA"/>
      </w:rPr>
    </w:lvl>
    <w:lvl w:ilvl="5">
      <w:numFmt w:val="bullet"/>
      <w:lvlText w:val="•"/>
      <w:lvlJc w:val="left"/>
      <w:pPr>
        <w:ind w:left="5746" w:hanging="709"/>
      </w:pPr>
      <w:rPr>
        <w:rFonts w:hint="default"/>
        <w:lang w:val="pt-PT" w:eastAsia="en-US" w:bidi="ar-SA"/>
      </w:rPr>
    </w:lvl>
    <w:lvl w:ilvl="6">
      <w:numFmt w:val="bullet"/>
      <w:lvlText w:val="•"/>
      <w:lvlJc w:val="left"/>
      <w:pPr>
        <w:ind w:left="6723" w:hanging="709"/>
      </w:pPr>
      <w:rPr>
        <w:rFonts w:hint="default"/>
        <w:lang w:val="pt-PT" w:eastAsia="en-US" w:bidi="ar-SA"/>
      </w:rPr>
    </w:lvl>
    <w:lvl w:ilvl="7">
      <w:numFmt w:val="bullet"/>
      <w:lvlText w:val="•"/>
      <w:lvlJc w:val="left"/>
      <w:pPr>
        <w:ind w:left="7700" w:hanging="709"/>
      </w:pPr>
      <w:rPr>
        <w:rFonts w:hint="default"/>
        <w:lang w:val="pt-PT" w:eastAsia="en-US" w:bidi="ar-SA"/>
      </w:rPr>
    </w:lvl>
    <w:lvl w:ilvl="8">
      <w:numFmt w:val="bullet"/>
      <w:lvlText w:val="•"/>
      <w:lvlJc w:val="left"/>
      <w:pPr>
        <w:ind w:left="8677" w:hanging="709"/>
      </w:pPr>
      <w:rPr>
        <w:rFonts w:hint="default"/>
        <w:lang w:val="pt-PT" w:eastAsia="en-US" w:bidi="ar-SA"/>
      </w:rPr>
    </w:lvl>
  </w:abstractNum>
  <w:abstractNum w:abstractNumId="70" w15:restartNumberingAfterBreak="0">
    <w:nsid w:val="74DA1222"/>
    <w:multiLevelType w:val="hybridMultilevel"/>
    <w:tmpl w:val="B05E9410"/>
    <w:lvl w:ilvl="0" w:tplc="BD027530">
      <w:start w:val="1"/>
      <w:numFmt w:val="lowerRoman"/>
      <w:lvlText w:val="(%1)"/>
      <w:lvlJc w:val="left"/>
      <w:pPr>
        <w:ind w:left="1429" w:hanging="360"/>
        <w:jc w:val="left"/>
      </w:pPr>
      <w:rPr>
        <w:rFonts w:ascii="Calibri" w:eastAsia="Calibri" w:hAnsi="Calibri" w:cs="Calibri" w:hint="default"/>
        <w:b w:val="0"/>
        <w:bCs w:val="0"/>
        <w:i w:val="0"/>
        <w:iCs w:val="0"/>
        <w:color w:val="001F60"/>
        <w:spacing w:val="0"/>
        <w:w w:val="100"/>
        <w:sz w:val="22"/>
        <w:szCs w:val="22"/>
        <w:lang w:val="pt-PT" w:eastAsia="en-US" w:bidi="ar-SA"/>
      </w:rPr>
    </w:lvl>
    <w:lvl w:ilvl="1" w:tplc="2242A198">
      <w:numFmt w:val="bullet"/>
      <w:lvlText w:val="•"/>
      <w:lvlJc w:val="left"/>
      <w:pPr>
        <w:ind w:left="2284" w:hanging="360"/>
      </w:pPr>
      <w:rPr>
        <w:rFonts w:hint="default"/>
        <w:lang w:val="pt-PT" w:eastAsia="en-US" w:bidi="ar-SA"/>
      </w:rPr>
    </w:lvl>
    <w:lvl w:ilvl="2" w:tplc="E870C272">
      <w:numFmt w:val="bullet"/>
      <w:lvlText w:val="•"/>
      <w:lvlJc w:val="left"/>
      <w:pPr>
        <w:ind w:left="3148" w:hanging="360"/>
      </w:pPr>
      <w:rPr>
        <w:rFonts w:hint="default"/>
        <w:lang w:val="pt-PT" w:eastAsia="en-US" w:bidi="ar-SA"/>
      </w:rPr>
    </w:lvl>
    <w:lvl w:ilvl="3" w:tplc="1FD21046">
      <w:numFmt w:val="bullet"/>
      <w:lvlText w:val="•"/>
      <w:lvlJc w:val="left"/>
      <w:pPr>
        <w:ind w:left="4013" w:hanging="360"/>
      </w:pPr>
      <w:rPr>
        <w:rFonts w:hint="default"/>
        <w:lang w:val="pt-PT" w:eastAsia="en-US" w:bidi="ar-SA"/>
      </w:rPr>
    </w:lvl>
    <w:lvl w:ilvl="4" w:tplc="8E223BE4">
      <w:numFmt w:val="bullet"/>
      <w:lvlText w:val="•"/>
      <w:lvlJc w:val="left"/>
      <w:pPr>
        <w:ind w:left="4877" w:hanging="360"/>
      </w:pPr>
      <w:rPr>
        <w:rFonts w:hint="default"/>
        <w:lang w:val="pt-PT" w:eastAsia="en-US" w:bidi="ar-SA"/>
      </w:rPr>
    </w:lvl>
    <w:lvl w:ilvl="5" w:tplc="2D8A66D8">
      <w:numFmt w:val="bullet"/>
      <w:lvlText w:val="•"/>
      <w:lvlJc w:val="left"/>
      <w:pPr>
        <w:ind w:left="5742" w:hanging="360"/>
      </w:pPr>
      <w:rPr>
        <w:rFonts w:hint="default"/>
        <w:lang w:val="pt-PT" w:eastAsia="en-US" w:bidi="ar-SA"/>
      </w:rPr>
    </w:lvl>
    <w:lvl w:ilvl="6" w:tplc="065EBAD2">
      <w:numFmt w:val="bullet"/>
      <w:lvlText w:val="•"/>
      <w:lvlJc w:val="left"/>
      <w:pPr>
        <w:ind w:left="6606" w:hanging="360"/>
      </w:pPr>
      <w:rPr>
        <w:rFonts w:hint="default"/>
        <w:lang w:val="pt-PT" w:eastAsia="en-US" w:bidi="ar-SA"/>
      </w:rPr>
    </w:lvl>
    <w:lvl w:ilvl="7" w:tplc="B6FED508">
      <w:numFmt w:val="bullet"/>
      <w:lvlText w:val="•"/>
      <w:lvlJc w:val="left"/>
      <w:pPr>
        <w:ind w:left="7471" w:hanging="360"/>
      </w:pPr>
      <w:rPr>
        <w:rFonts w:hint="default"/>
        <w:lang w:val="pt-PT" w:eastAsia="en-US" w:bidi="ar-SA"/>
      </w:rPr>
    </w:lvl>
    <w:lvl w:ilvl="8" w:tplc="09F4379E">
      <w:numFmt w:val="bullet"/>
      <w:lvlText w:val="•"/>
      <w:lvlJc w:val="left"/>
      <w:pPr>
        <w:ind w:left="8335" w:hanging="360"/>
      </w:pPr>
      <w:rPr>
        <w:rFonts w:hint="default"/>
        <w:lang w:val="pt-PT" w:eastAsia="en-US" w:bidi="ar-SA"/>
      </w:rPr>
    </w:lvl>
  </w:abstractNum>
  <w:abstractNum w:abstractNumId="71" w15:restartNumberingAfterBreak="0">
    <w:nsid w:val="7716476A"/>
    <w:multiLevelType w:val="hybridMultilevel"/>
    <w:tmpl w:val="023CFEDE"/>
    <w:lvl w:ilvl="0" w:tplc="4A72560E">
      <w:start w:val="1"/>
      <w:numFmt w:val="lowerRoman"/>
      <w:lvlText w:val="(%1)"/>
      <w:lvlJc w:val="left"/>
      <w:pPr>
        <w:ind w:left="143" w:hanging="205"/>
        <w:jc w:val="left"/>
      </w:pPr>
      <w:rPr>
        <w:rFonts w:ascii="Segoe UI Symbol" w:eastAsia="Segoe UI Symbol" w:hAnsi="Segoe UI Symbol" w:cs="Segoe UI Symbol" w:hint="default"/>
        <w:b w:val="0"/>
        <w:bCs w:val="0"/>
        <w:i w:val="0"/>
        <w:iCs w:val="0"/>
        <w:spacing w:val="0"/>
        <w:w w:val="91"/>
        <w:sz w:val="18"/>
        <w:szCs w:val="18"/>
        <w:lang w:val="pt-PT" w:eastAsia="en-US" w:bidi="ar-SA"/>
      </w:rPr>
    </w:lvl>
    <w:lvl w:ilvl="1" w:tplc="DFF0BB42">
      <w:start w:val="1"/>
      <w:numFmt w:val="lowerLetter"/>
      <w:lvlText w:val="%2)"/>
      <w:lvlJc w:val="left"/>
      <w:pPr>
        <w:ind w:left="143" w:hanging="264"/>
        <w:jc w:val="left"/>
      </w:pPr>
      <w:rPr>
        <w:rFonts w:ascii="Arial" w:eastAsia="Arial" w:hAnsi="Arial" w:cs="Arial" w:hint="default"/>
        <w:b/>
        <w:bCs/>
        <w:i w:val="0"/>
        <w:iCs w:val="0"/>
        <w:spacing w:val="-2"/>
        <w:w w:val="100"/>
        <w:sz w:val="22"/>
        <w:szCs w:val="22"/>
        <w:lang w:val="pt-PT" w:eastAsia="en-US" w:bidi="ar-SA"/>
      </w:rPr>
    </w:lvl>
    <w:lvl w:ilvl="2" w:tplc="854C292A">
      <w:numFmt w:val="bullet"/>
      <w:lvlText w:val="•"/>
      <w:lvlJc w:val="left"/>
      <w:pPr>
        <w:ind w:left="2238" w:hanging="264"/>
      </w:pPr>
      <w:rPr>
        <w:rFonts w:hint="default"/>
        <w:lang w:val="pt-PT" w:eastAsia="en-US" w:bidi="ar-SA"/>
      </w:rPr>
    </w:lvl>
    <w:lvl w:ilvl="3" w:tplc="83B09DEC">
      <w:numFmt w:val="bullet"/>
      <w:lvlText w:val="•"/>
      <w:lvlJc w:val="left"/>
      <w:pPr>
        <w:ind w:left="3287" w:hanging="264"/>
      </w:pPr>
      <w:rPr>
        <w:rFonts w:hint="default"/>
        <w:lang w:val="pt-PT" w:eastAsia="en-US" w:bidi="ar-SA"/>
      </w:rPr>
    </w:lvl>
    <w:lvl w:ilvl="4" w:tplc="E4B8E6EE">
      <w:numFmt w:val="bullet"/>
      <w:lvlText w:val="•"/>
      <w:lvlJc w:val="left"/>
      <w:pPr>
        <w:ind w:left="4336" w:hanging="264"/>
      </w:pPr>
      <w:rPr>
        <w:rFonts w:hint="default"/>
        <w:lang w:val="pt-PT" w:eastAsia="en-US" w:bidi="ar-SA"/>
      </w:rPr>
    </w:lvl>
    <w:lvl w:ilvl="5" w:tplc="C04E0454">
      <w:numFmt w:val="bullet"/>
      <w:lvlText w:val="•"/>
      <w:lvlJc w:val="left"/>
      <w:pPr>
        <w:ind w:left="5386" w:hanging="264"/>
      </w:pPr>
      <w:rPr>
        <w:rFonts w:hint="default"/>
        <w:lang w:val="pt-PT" w:eastAsia="en-US" w:bidi="ar-SA"/>
      </w:rPr>
    </w:lvl>
    <w:lvl w:ilvl="6" w:tplc="869460AC">
      <w:numFmt w:val="bullet"/>
      <w:lvlText w:val="•"/>
      <w:lvlJc w:val="left"/>
      <w:pPr>
        <w:ind w:left="6435" w:hanging="264"/>
      </w:pPr>
      <w:rPr>
        <w:rFonts w:hint="default"/>
        <w:lang w:val="pt-PT" w:eastAsia="en-US" w:bidi="ar-SA"/>
      </w:rPr>
    </w:lvl>
    <w:lvl w:ilvl="7" w:tplc="36E2C9BA">
      <w:numFmt w:val="bullet"/>
      <w:lvlText w:val="•"/>
      <w:lvlJc w:val="left"/>
      <w:pPr>
        <w:ind w:left="7484" w:hanging="264"/>
      </w:pPr>
      <w:rPr>
        <w:rFonts w:hint="default"/>
        <w:lang w:val="pt-PT" w:eastAsia="en-US" w:bidi="ar-SA"/>
      </w:rPr>
    </w:lvl>
    <w:lvl w:ilvl="8" w:tplc="69AC4714">
      <w:numFmt w:val="bullet"/>
      <w:lvlText w:val="•"/>
      <w:lvlJc w:val="left"/>
      <w:pPr>
        <w:ind w:left="8533" w:hanging="264"/>
      </w:pPr>
      <w:rPr>
        <w:rFonts w:hint="default"/>
        <w:lang w:val="pt-PT" w:eastAsia="en-US" w:bidi="ar-SA"/>
      </w:rPr>
    </w:lvl>
  </w:abstractNum>
  <w:abstractNum w:abstractNumId="72" w15:restartNumberingAfterBreak="0">
    <w:nsid w:val="7923045F"/>
    <w:multiLevelType w:val="hybridMultilevel"/>
    <w:tmpl w:val="A0021C00"/>
    <w:lvl w:ilvl="0" w:tplc="A978DF30">
      <w:start w:val="1"/>
      <w:numFmt w:val="lowerRoman"/>
      <w:lvlText w:val="%1)"/>
      <w:lvlJc w:val="left"/>
      <w:pPr>
        <w:ind w:left="427" w:hanging="219"/>
        <w:jc w:val="left"/>
      </w:pPr>
      <w:rPr>
        <w:rFonts w:ascii="Arial" w:eastAsia="Arial" w:hAnsi="Arial" w:cs="Arial" w:hint="default"/>
        <w:b/>
        <w:bCs/>
        <w:i w:val="0"/>
        <w:iCs w:val="0"/>
        <w:spacing w:val="0"/>
        <w:w w:val="100"/>
        <w:sz w:val="22"/>
        <w:szCs w:val="22"/>
        <w:lang w:val="pt-PT" w:eastAsia="en-US" w:bidi="ar-SA"/>
      </w:rPr>
    </w:lvl>
    <w:lvl w:ilvl="1" w:tplc="CB901318">
      <w:numFmt w:val="bullet"/>
      <w:lvlText w:val="•"/>
      <w:lvlJc w:val="left"/>
      <w:pPr>
        <w:ind w:left="1483" w:hanging="219"/>
      </w:pPr>
      <w:rPr>
        <w:rFonts w:hint="default"/>
        <w:lang w:val="pt-PT" w:eastAsia="en-US" w:bidi="ar-SA"/>
      </w:rPr>
    </w:lvl>
    <w:lvl w:ilvl="2" w:tplc="D2FA5628">
      <w:numFmt w:val="bullet"/>
      <w:lvlText w:val="•"/>
      <w:lvlJc w:val="left"/>
      <w:pPr>
        <w:ind w:left="2547" w:hanging="219"/>
      </w:pPr>
      <w:rPr>
        <w:rFonts w:hint="default"/>
        <w:lang w:val="pt-PT" w:eastAsia="en-US" w:bidi="ar-SA"/>
      </w:rPr>
    </w:lvl>
    <w:lvl w:ilvl="3" w:tplc="CD3AA86E">
      <w:numFmt w:val="bullet"/>
      <w:lvlText w:val="•"/>
      <w:lvlJc w:val="left"/>
      <w:pPr>
        <w:ind w:left="3610" w:hanging="219"/>
      </w:pPr>
      <w:rPr>
        <w:rFonts w:hint="default"/>
        <w:lang w:val="pt-PT" w:eastAsia="en-US" w:bidi="ar-SA"/>
      </w:rPr>
    </w:lvl>
    <w:lvl w:ilvl="4" w:tplc="17B4C5FE">
      <w:numFmt w:val="bullet"/>
      <w:lvlText w:val="•"/>
      <w:lvlJc w:val="left"/>
      <w:pPr>
        <w:ind w:left="4674" w:hanging="219"/>
      </w:pPr>
      <w:rPr>
        <w:rFonts w:hint="default"/>
        <w:lang w:val="pt-PT" w:eastAsia="en-US" w:bidi="ar-SA"/>
      </w:rPr>
    </w:lvl>
    <w:lvl w:ilvl="5" w:tplc="2D42864C">
      <w:numFmt w:val="bullet"/>
      <w:lvlText w:val="•"/>
      <w:lvlJc w:val="left"/>
      <w:pPr>
        <w:ind w:left="5738" w:hanging="219"/>
      </w:pPr>
      <w:rPr>
        <w:rFonts w:hint="default"/>
        <w:lang w:val="pt-PT" w:eastAsia="en-US" w:bidi="ar-SA"/>
      </w:rPr>
    </w:lvl>
    <w:lvl w:ilvl="6" w:tplc="7C90213E">
      <w:numFmt w:val="bullet"/>
      <w:lvlText w:val="•"/>
      <w:lvlJc w:val="left"/>
      <w:pPr>
        <w:ind w:left="6801" w:hanging="219"/>
      </w:pPr>
      <w:rPr>
        <w:rFonts w:hint="default"/>
        <w:lang w:val="pt-PT" w:eastAsia="en-US" w:bidi="ar-SA"/>
      </w:rPr>
    </w:lvl>
    <w:lvl w:ilvl="7" w:tplc="B308C2B8">
      <w:numFmt w:val="bullet"/>
      <w:lvlText w:val="•"/>
      <w:lvlJc w:val="left"/>
      <w:pPr>
        <w:ind w:left="7865" w:hanging="219"/>
      </w:pPr>
      <w:rPr>
        <w:rFonts w:hint="default"/>
        <w:lang w:val="pt-PT" w:eastAsia="en-US" w:bidi="ar-SA"/>
      </w:rPr>
    </w:lvl>
    <w:lvl w:ilvl="8" w:tplc="C7220E94">
      <w:numFmt w:val="bullet"/>
      <w:lvlText w:val="•"/>
      <w:lvlJc w:val="left"/>
      <w:pPr>
        <w:ind w:left="8929" w:hanging="219"/>
      </w:pPr>
      <w:rPr>
        <w:rFonts w:hint="default"/>
        <w:lang w:val="pt-PT" w:eastAsia="en-US" w:bidi="ar-SA"/>
      </w:rPr>
    </w:lvl>
  </w:abstractNum>
  <w:abstractNum w:abstractNumId="73" w15:restartNumberingAfterBreak="0">
    <w:nsid w:val="7EE202F2"/>
    <w:multiLevelType w:val="multilevel"/>
    <w:tmpl w:val="697AC714"/>
    <w:lvl w:ilvl="0">
      <w:start w:val="5"/>
      <w:numFmt w:val="decimal"/>
      <w:lvlText w:val="%1"/>
      <w:lvlJc w:val="left"/>
      <w:pPr>
        <w:ind w:left="995" w:hanging="864"/>
        <w:jc w:val="left"/>
      </w:pPr>
      <w:rPr>
        <w:rFonts w:hint="default"/>
        <w:lang w:val="pt-PT" w:eastAsia="en-US" w:bidi="ar-SA"/>
      </w:rPr>
    </w:lvl>
    <w:lvl w:ilvl="1">
      <w:start w:val="1"/>
      <w:numFmt w:val="decimal"/>
      <w:lvlText w:val="%1.%2."/>
      <w:lvlJc w:val="left"/>
      <w:pPr>
        <w:ind w:left="995" w:hanging="864"/>
        <w:jc w:val="left"/>
      </w:pPr>
      <w:rPr>
        <w:rFonts w:ascii="Arial" w:eastAsia="Arial" w:hAnsi="Arial" w:cs="Arial" w:hint="default"/>
        <w:b/>
        <w:bCs/>
        <w:i w:val="0"/>
        <w:iCs w:val="0"/>
        <w:spacing w:val="-2"/>
        <w:w w:val="100"/>
        <w:sz w:val="22"/>
        <w:szCs w:val="22"/>
        <w:lang w:val="pt-PT" w:eastAsia="en-US" w:bidi="ar-SA"/>
      </w:rPr>
    </w:lvl>
    <w:lvl w:ilvl="2">
      <w:numFmt w:val="bullet"/>
      <w:lvlText w:val="•"/>
      <w:lvlJc w:val="left"/>
      <w:pPr>
        <w:ind w:left="2926" w:hanging="864"/>
      </w:pPr>
      <w:rPr>
        <w:rFonts w:hint="default"/>
        <w:lang w:val="pt-PT" w:eastAsia="en-US" w:bidi="ar-SA"/>
      </w:rPr>
    </w:lvl>
    <w:lvl w:ilvl="3">
      <w:numFmt w:val="bullet"/>
      <w:lvlText w:val="•"/>
      <w:lvlJc w:val="left"/>
      <w:pPr>
        <w:ind w:left="3889" w:hanging="864"/>
      </w:pPr>
      <w:rPr>
        <w:rFonts w:hint="default"/>
        <w:lang w:val="pt-PT" w:eastAsia="en-US" w:bidi="ar-SA"/>
      </w:rPr>
    </w:lvl>
    <w:lvl w:ilvl="4">
      <w:numFmt w:val="bullet"/>
      <w:lvlText w:val="•"/>
      <w:lvlJc w:val="left"/>
      <w:pPr>
        <w:ind w:left="4852" w:hanging="864"/>
      </w:pPr>
      <w:rPr>
        <w:rFonts w:hint="default"/>
        <w:lang w:val="pt-PT" w:eastAsia="en-US" w:bidi="ar-SA"/>
      </w:rPr>
    </w:lvl>
    <w:lvl w:ilvl="5">
      <w:numFmt w:val="bullet"/>
      <w:lvlText w:val="•"/>
      <w:lvlJc w:val="left"/>
      <w:pPr>
        <w:ind w:left="5816" w:hanging="864"/>
      </w:pPr>
      <w:rPr>
        <w:rFonts w:hint="default"/>
        <w:lang w:val="pt-PT" w:eastAsia="en-US" w:bidi="ar-SA"/>
      </w:rPr>
    </w:lvl>
    <w:lvl w:ilvl="6">
      <w:numFmt w:val="bullet"/>
      <w:lvlText w:val="•"/>
      <w:lvlJc w:val="left"/>
      <w:pPr>
        <w:ind w:left="6779" w:hanging="864"/>
      </w:pPr>
      <w:rPr>
        <w:rFonts w:hint="default"/>
        <w:lang w:val="pt-PT" w:eastAsia="en-US" w:bidi="ar-SA"/>
      </w:rPr>
    </w:lvl>
    <w:lvl w:ilvl="7">
      <w:numFmt w:val="bullet"/>
      <w:lvlText w:val="•"/>
      <w:lvlJc w:val="left"/>
      <w:pPr>
        <w:ind w:left="7742" w:hanging="864"/>
      </w:pPr>
      <w:rPr>
        <w:rFonts w:hint="default"/>
        <w:lang w:val="pt-PT" w:eastAsia="en-US" w:bidi="ar-SA"/>
      </w:rPr>
    </w:lvl>
    <w:lvl w:ilvl="8">
      <w:numFmt w:val="bullet"/>
      <w:lvlText w:val="•"/>
      <w:lvlJc w:val="left"/>
      <w:pPr>
        <w:ind w:left="8705" w:hanging="864"/>
      </w:pPr>
      <w:rPr>
        <w:rFonts w:hint="default"/>
        <w:lang w:val="pt-PT" w:eastAsia="en-US" w:bidi="ar-SA"/>
      </w:rPr>
    </w:lvl>
  </w:abstractNum>
  <w:num w:numId="1" w16cid:durableId="1864517501">
    <w:abstractNumId w:val="61"/>
  </w:num>
  <w:num w:numId="2" w16cid:durableId="1905528398">
    <w:abstractNumId w:val="54"/>
  </w:num>
  <w:num w:numId="3" w16cid:durableId="664281089">
    <w:abstractNumId w:val="30"/>
  </w:num>
  <w:num w:numId="4" w16cid:durableId="218784405">
    <w:abstractNumId w:val="72"/>
  </w:num>
  <w:num w:numId="5" w16cid:durableId="747775586">
    <w:abstractNumId w:val="35"/>
  </w:num>
  <w:num w:numId="6" w16cid:durableId="2013291943">
    <w:abstractNumId w:val="4"/>
  </w:num>
  <w:num w:numId="7" w16cid:durableId="168063058">
    <w:abstractNumId w:val="27"/>
  </w:num>
  <w:num w:numId="8" w16cid:durableId="529995911">
    <w:abstractNumId w:val="28"/>
  </w:num>
  <w:num w:numId="9" w16cid:durableId="994576657">
    <w:abstractNumId w:val="38"/>
  </w:num>
  <w:num w:numId="10" w16cid:durableId="657198354">
    <w:abstractNumId w:val="1"/>
  </w:num>
  <w:num w:numId="11" w16cid:durableId="700321977">
    <w:abstractNumId w:val="17"/>
  </w:num>
  <w:num w:numId="12" w16cid:durableId="1268463032">
    <w:abstractNumId w:val="60"/>
  </w:num>
  <w:num w:numId="13" w16cid:durableId="1145705764">
    <w:abstractNumId w:val="41"/>
  </w:num>
  <w:num w:numId="14" w16cid:durableId="1256094537">
    <w:abstractNumId w:val="49"/>
  </w:num>
  <w:num w:numId="15" w16cid:durableId="1771270054">
    <w:abstractNumId w:val="71"/>
  </w:num>
  <w:num w:numId="16" w16cid:durableId="123349374">
    <w:abstractNumId w:val="59"/>
  </w:num>
  <w:num w:numId="17" w16cid:durableId="1720326193">
    <w:abstractNumId w:val="63"/>
  </w:num>
  <w:num w:numId="18" w16cid:durableId="1201092164">
    <w:abstractNumId w:val="45"/>
  </w:num>
  <w:num w:numId="19" w16cid:durableId="1940794339">
    <w:abstractNumId w:val="31"/>
  </w:num>
  <w:num w:numId="20" w16cid:durableId="1642078830">
    <w:abstractNumId w:val="8"/>
  </w:num>
  <w:num w:numId="21" w16cid:durableId="1692102113">
    <w:abstractNumId w:val="64"/>
  </w:num>
  <w:num w:numId="22" w16cid:durableId="1287931841">
    <w:abstractNumId w:val="19"/>
  </w:num>
  <w:num w:numId="23" w16cid:durableId="600651328">
    <w:abstractNumId w:val="15"/>
  </w:num>
  <w:num w:numId="24" w16cid:durableId="672950288">
    <w:abstractNumId w:val="67"/>
  </w:num>
  <w:num w:numId="25" w16cid:durableId="1720859308">
    <w:abstractNumId w:val="29"/>
  </w:num>
  <w:num w:numId="26" w16cid:durableId="1815563368">
    <w:abstractNumId w:val="23"/>
  </w:num>
  <w:num w:numId="27" w16cid:durableId="1756200337">
    <w:abstractNumId w:val="51"/>
  </w:num>
  <w:num w:numId="28" w16cid:durableId="891698504">
    <w:abstractNumId w:val="20"/>
  </w:num>
  <w:num w:numId="29" w16cid:durableId="269091464">
    <w:abstractNumId w:val="53"/>
  </w:num>
  <w:num w:numId="30" w16cid:durableId="1292247945">
    <w:abstractNumId w:val="43"/>
  </w:num>
  <w:num w:numId="31" w16cid:durableId="853036904">
    <w:abstractNumId w:val="10"/>
  </w:num>
  <w:num w:numId="32" w16cid:durableId="830488721">
    <w:abstractNumId w:val="26"/>
  </w:num>
  <w:num w:numId="33" w16cid:durableId="480777710">
    <w:abstractNumId w:val="62"/>
  </w:num>
  <w:num w:numId="34" w16cid:durableId="1713769958">
    <w:abstractNumId w:val="42"/>
  </w:num>
  <w:num w:numId="35" w16cid:durableId="1574731452">
    <w:abstractNumId w:val="0"/>
  </w:num>
  <w:num w:numId="36" w16cid:durableId="980422334">
    <w:abstractNumId w:val="33"/>
  </w:num>
  <w:num w:numId="37" w16cid:durableId="1441603899">
    <w:abstractNumId w:val="21"/>
  </w:num>
  <w:num w:numId="38" w16cid:durableId="1995522142">
    <w:abstractNumId w:val="44"/>
  </w:num>
  <w:num w:numId="39" w16cid:durableId="232549819">
    <w:abstractNumId w:val="22"/>
  </w:num>
  <w:num w:numId="40" w16cid:durableId="263803899">
    <w:abstractNumId w:val="69"/>
  </w:num>
  <w:num w:numId="41" w16cid:durableId="584074613">
    <w:abstractNumId w:val="36"/>
  </w:num>
  <w:num w:numId="42" w16cid:durableId="1137533330">
    <w:abstractNumId w:val="57"/>
  </w:num>
  <w:num w:numId="43" w16cid:durableId="612514489">
    <w:abstractNumId w:val="73"/>
  </w:num>
  <w:num w:numId="44" w16cid:durableId="401098690">
    <w:abstractNumId w:val="18"/>
  </w:num>
  <w:num w:numId="45" w16cid:durableId="1250890752">
    <w:abstractNumId w:val="34"/>
  </w:num>
  <w:num w:numId="46" w16cid:durableId="449055156">
    <w:abstractNumId w:val="46"/>
  </w:num>
  <w:num w:numId="47" w16cid:durableId="1912226336">
    <w:abstractNumId w:val="39"/>
  </w:num>
  <w:num w:numId="48" w16cid:durableId="599459466">
    <w:abstractNumId w:val="25"/>
  </w:num>
  <w:num w:numId="49" w16cid:durableId="2091806047">
    <w:abstractNumId w:val="9"/>
  </w:num>
  <w:num w:numId="50" w16cid:durableId="1357778881">
    <w:abstractNumId w:val="5"/>
  </w:num>
  <w:num w:numId="51" w16cid:durableId="1743477954">
    <w:abstractNumId w:val="52"/>
  </w:num>
  <w:num w:numId="52" w16cid:durableId="1906064017">
    <w:abstractNumId w:val="68"/>
  </w:num>
  <w:num w:numId="53" w16cid:durableId="969942128">
    <w:abstractNumId w:val="48"/>
  </w:num>
  <w:num w:numId="54" w16cid:durableId="1234006177">
    <w:abstractNumId w:val="56"/>
  </w:num>
  <w:num w:numId="55" w16cid:durableId="1907298180">
    <w:abstractNumId w:val="6"/>
  </w:num>
  <w:num w:numId="56" w16cid:durableId="216475297">
    <w:abstractNumId w:val="16"/>
  </w:num>
  <w:num w:numId="57" w16cid:durableId="1734309075">
    <w:abstractNumId w:val="40"/>
  </w:num>
  <w:num w:numId="58" w16cid:durableId="2032026309">
    <w:abstractNumId w:val="24"/>
  </w:num>
  <w:num w:numId="59" w16cid:durableId="1165894899">
    <w:abstractNumId w:val="37"/>
  </w:num>
  <w:num w:numId="60" w16cid:durableId="689527444">
    <w:abstractNumId w:val="70"/>
  </w:num>
  <w:num w:numId="61" w16cid:durableId="973293933">
    <w:abstractNumId w:val="50"/>
  </w:num>
  <w:num w:numId="62" w16cid:durableId="1370060584">
    <w:abstractNumId w:val="32"/>
  </w:num>
  <w:num w:numId="63" w16cid:durableId="1027632953">
    <w:abstractNumId w:val="2"/>
  </w:num>
  <w:num w:numId="64" w16cid:durableId="1394625413">
    <w:abstractNumId w:val="12"/>
  </w:num>
  <w:num w:numId="65" w16cid:durableId="1541169204">
    <w:abstractNumId w:val="65"/>
  </w:num>
  <w:num w:numId="66" w16cid:durableId="1711296967">
    <w:abstractNumId w:val="3"/>
  </w:num>
  <w:num w:numId="67" w16cid:durableId="1016230707">
    <w:abstractNumId w:val="13"/>
  </w:num>
  <w:num w:numId="68" w16cid:durableId="554706180">
    <w:abstractNumId w:val="7"/>
  </w:num>
  <w:num w:numId="69" w16cid:durableId="1884517484">
    <w:abstractNumId w:val="11"/>
  </w:num>
  <w:num w:numId="70" w16cid:durableId="2060279769">
    <w:abstractNumId w:val="47"/>
  </w:num>
  <w:num w:numId="71" w16cid:durableId="786388857">
    <w:abstractNumId w:val="14"/>
  </w:num>
  <w:num w:numId="72" w16cid:durableId="568538101">
    <w:abstractNumId w:val="55"/>
  </w:num>
  <w:num w:numId="73" w16cid:durableId="145635765">
    <w:abstractNumId w:val="58"/>
  </w:num>
  <w:num w:numId="74" w16cid:durableId="2066490838">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574"/>
    <w:rsid w:val="002C6574"/>
    <w:rsid w:val="00490C47"/>
    <w:rsid w:val="00E15B92"/>
    <w:rsid w:val="00EB62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1F52D"/>
  <w15:docId w15:val="{494EE2DD-7CA6-4374-9081-4B617F4CA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lang w:val="pt-PT"/>
    </w:rPr>
  </w:style>
  <w:style w:type="paragraph" w:styleId="Ttulo1">
    <w:name w:val="heading 1"/>
    <w:basedOn w:val="Normal"/>
    <w:uiPriority w:val="9"/>
    <w:qFormat/>
    <w:pPr>
      <w:ind w:left="575"/>
      <w:outlineLvl w:val="0"/>
    </w:pPr>
    <w:rPr>
      <w:rFonts w:ascii="Arial" w:eastAsia="Arial" w:hAnsi="Arial" w:cs="Arial"/>
      <w:b/>
      <w:bCs/>
      <w:sz w:val="36"/>
      <w:szCs w:val="36"/>
    </w:rPr>
  </w:style>
  <w:style w:type="paragraph" w:styleId="Ttulo2">
    <w:name w:val="heading 2"/>
    <w:basedOn w:val="Normal"/>
    <w:uiPriority w:val="9"/>
    <w:unhideWhenUsed/>
    <w:qFormat/>
    <w:pPr>
      <w:ind w:left="1367"/>
      <w:outlineLvl w:val="1"/>
    </w:pPr>
    <w:rPr>
      <w:rFonts w:ascii="Arial" w:eastAsia="Arial" w:hAnsi="Arial" w:cs="Arial"/>
      <w:b/>
      <w:bCs/>
      <w:sz w:val="32"/>
      <w:szCs w:val="32"/>
    </w:rPr>
  </w:style>
  <w:style w:type="paragraph" w:styleId="Ttulo3">
    <w:name w:val="heading 3"/>
    <w:basedOn w:val="Normal"/>
    <w:uiPriority w:val="9"/>
    <w:unhideWhenUsed/>
    <w:qFormat/>
    <w:pPr>
      <w:spacing w:line="343" w:lineRule="exact"/>
      <w:outlineLvl w:val="2"/>
    </w:pPr>
    <w:rPr>
      <w:rFonts w:ascii="Calibri" w:eastAsia="Calibri" w:hAnsi="Calibri" w:cs="Calibri"/>
      <w:sz w:val="31"/>
      <w:szCs w:val="31"/>
    </w:rPr>
  </w:style>
  <w:style w:type="paragraph" w:styleId="Ttulo4">
    <w:name w:val="heading 4"/>
    <w:basedOn w:val="Normal"/>
    <w:uiPriority w:val="9"/>
    <w:unhideWhenUsed/>
    <w:qFormat/>
    <w:pPr>
      <w:spacing w:before="280"/>
      <w:ind w:left="1277"/>
      <w:outlineLvl w:val="3"/>
    </w:pPr>
    <w:rPr>
      <w:rFonts w:ascii="Calibri" w:eastAsia="Calibri" w:hAnsi="Calibri" w:cs="Calibri"/>
      <w:b/>
      <w:bCs/>
      <w:sz w:val="28"/>
      <w:szCs w:val="28"/>
    </w:rPr>
  </w:style>
  <w:style w:type="paragraph" w:styleId="Ttulo5">
    <w:name w:val="heading 5"/>
    <w:basedOn w:val="Normal"/>
    <w:uiPriority w:val="9"/>
    <w:unhideWhenUsed/>
    <w:qFormat/>
    <w:pPr>
      <w:ind w:left="424"/>
      <w:jc w:val="center"/>
      <w:outlineLvl w:val="4"/>
    </w:pPr>
    <w:rPr>
      <w:rFonts w:ascii="Calibri" w:eastAsia="Calibri" w:hAnsi="Calibri" w:cs="Calibri"/>
      <w:sz w:val="28"/>
      <w:szCs w:val="28"/>
    </w:rPr>
  </w:style>
  <w:style w:type="paragraph" w:styleId="Ttulo6">
    <w:name w:val="heading 6"/>
    <w:basedOn w:val="Normal"/>
    <w:uiPriority w:val="9"/>
    <w:unhideWhenUsed/>
    <w:qFormat/>
    <w:pPr>
      <w:ind w:left="515" w:right="435"/>
      <w:jc w:val="center"/>
      <w:outlineLvl w:val="5"/>
    </w:pPr>
    <w:rPr>
      <w:rFonts w:ascii="Calibri" w:eastAsia="Calibri" w:hAnsi="Calibri" w:cs="Calibri"/>
      <w:b/>
      <w:bCs/>
      <w:sz w:val="26"/>
      <w:szCs w:val="26"/>
    </w:rPr>
  </w:style>
  <w:style w:type="paragraph" w:styleId="Ttulo7">
    <w:name w:val="heading 7"/>
    <w:basedOn w:val="Normal"/>
    <w:uiPriority w:val="1"/>
    <w:qFormat/>
    <w:pPr>
      <w:ind w:left="1276"/>
      <w:outlineLvl w:val="6"/>
    </w:pPr>
    <w:rPr>
      <w:rFonts w:ascii="Calibri" w:eastAsia="Calibri" w:hAnsi="Calibri" w:cs="Calibri"/>
      <w:b/>
      <w:bCs/>
      <w:sz w:val="24"/>
      <w:szCs w:val="24"/>
    </w:rPr>
  </w:style>
  <w:style w:type="paragraph" w:styleId="Ttulo8">
    <w:name w:val="heading 8"/>
    <w:basedOn w:val="Normal"/>
    <w:uiPriority w:val="1"/>
    <w:qFormat/>
    <w:pPr>
      <w:ind w:left="427"/>
      <w:outlineLvl w:val="7"/>
    </w:pPr>
    <w:rPr>
      <w:rFonts w:ascii="Calibri" w:eastAsia="Calibri" w:hAnsi="Calibri" w:cs="Calibri"/>
      <w:b/>
      <w:bCs/>
      <w:sz w:val="24"/>
      <w:szCs w:val="24"/>
    </w:rPr>
  </w:style>
  <w:style w:type="paragraph" w:styleId="Ttulo9">
    <w:name w:val="heading 9"/>
    <w:basedOn w:val="Normal"/>
    <w:uiPriority w:val="1"/>
    <w:qFormat/>
    <w:pPr>
      <w:ind w:right="844"/>
      <w:jc w:val="center"/>
      <w:outlineLvl w:val="8"/>
    </w:pPr>
    <w:rPr>
      <w:rFonts w:ascii="Trebuchet MS" w:eastAsia="Trebuchet MS" w:hAnsi="Trebuchet MS" w:cs="Trebuchet MS"/>
      <w:b/>
      <w:bCs/>
      <w:sz w:val="23"/>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240"/>
      <w:ind w:left="1672" w:hanging="395"/>
    </w:pPr>
    <w:rPr>
      <w:rFonts w:ascii="Calibri" w:eastAsia="Calibri" w:hAnsi="Calibri" w:cs="Calibri"/>
      <w:b/>
      <w:bCs/>
      <w:sz w:val="24"/>
      <w:szCs w:val="24"/>
    </w:rPr>
  </w:style>
  <w:style w:type="paragraph" w:styleId="Sumrio2">
    <w:name w:val="toc 2"/>
    <w:basedOn w:val="Normal"/>
    <w:uiPriority w:val="1"/>
    <w:qFormat/>
    <w:pPr>
      <w:spacing w:before="240"/>
      <w:ind w:left="1876" w:hanging="599"/>
    </w:pPr>
    <w:rPr>
      <w:rFonts w:ascii="Calibri" w:eastAsia="Calibri" w:hAnsi="Calibri" w:cs="Calibri"/>
      <w:sz w:val="24"/>
      <w:szCs w:val="24"/>
    </w:rPr>
  </w:style>
  <w:style w:type="paragraph" w:styleId="Corpodetexto">
    <w:name w:val="Body Text"/>
    <w:basedOn w:val="Normal"/>
    <w:uiPriority w:val="1"/>
    <w:qFormat/>
  </w:style>
  <w:style w:type="paragraph" w:styleId="Ttulo">
    <w:name w:val="Title"/>
    <w:basedOn w:val="Normal"/>
    <w:uiPriority w:val="10"/>
    <w:qFormat/>
    <w:pPr>
      <w:ind w:left="220"/>
    </w:pPr>
    <w:rPr>
      <w:sz w:val="60"/>
      <w:szCs w:val="60"/>
    </w:rPr>
  </w:style>
  <w:style w:type="paragraph" w:styleId="PargrafodaLista">
    <w:name w:val="List Paragraph"/>
    <w:basedOn w:val="Normal"/>
    <w:uiPriority w:val="1"/>
    <w:qFormat/>
    <w:pPr>
      <w:ind w:left="995"/>
    </w:pPr>
    <w:rPr>
      <w:rFonts w:ascii="Calibri" w:eastAsia="Calibri" w:hAnsi="Calibri" w:cs="Calibri"/>
    </w:rPr>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27.png"/><Relationship Id="rId21" Type="http://schemas.openxmlformats.org/officeDocument/2006/relationships/hyperlink" Target="mailto:investidores@telebras.com.br" TargetMode="External"/><Relationship Id="rId42" Type="http://schemas.openxmlformats.org/officeDocument/2006/relationships/footer" Target="footer12.xml"/><Relationship Id="rId63" Type="http://schemas.openxmlformats.org/officeDocument/2006/relationships/header" Target="header22.xml"/><Relationship Id="rId84" Type="http://schemas.openxmlformats.org/officeDocument/2006/relationships/footer" Target="footer32.xml"/><Relationship Id="rId138" Type="http://schemas.openxmlformats.org/officeDocument/2006/relationships/image" Target="media/image40.png"/><Relationship Id="rId159" Type="http://schemas.openxmlformats.org/officeDocument/2006/relationships/image" Target="media/image61.png"/><Relationship Id="rId170" Type="http://schemas.openxmlformats.org/officeDocument/2006/relationships/hyperlink" Target="https://www.telebras.com.br/wp-content/uploads/2025/06/ATA-365a-COAUD-15.01.2025.pdf" TargetMode="External"/><Relationship Id="rId191" Type="http://schemas.openxmlformats.org/officeDocument/2006/relationships/image" Target="media/image70.png"/><Relationship Id="rId205" Type="http://schemas.openxmlformats.org/officeDocument/2006/relationships/image" Target="media/image84.png"/><Relationship Id="rId226" Type="http://schemas.openxmlformats.org/officeDocument/2006/relationships/footer" Target="footer50.xml"/><Relationship Id="rId107" Type="http://schemas.openxmlformats.org/officeDocument/2006/relationships/image" Target="media/image20.jpeg"/><Relationship Id="rId11" Type="http://schemas.openxmlformats.org/officeDocument/2006/relationships/header" Target="header2.xml"/><Relationship Id="rId32" Type="http://schemas.openxmlformats.org/officeDocument/2006/relationships/header" Target="header9.xml"/><Relationship Id="rId53" Type="http://schemas.openxmlformats.org/officeDocument/2006/relationships/footer" Target="footer17.xml"/><Relationship Id="rId74" Type="http://schemas.openxmlformats.org/officeDocument/2006/relationships/footer" Target="footer27.xml"/><Relationship Id="rId128" Type="http://schemas.openxmlformats.org/officeDocument/2006/relationships/image" Target="media/image32.png"/><Relationship Id="rId149" Type="http://schemas.openxmlformats.org/officeDocument/2006/relationships/image" Target="media/image51.png"/><Relationship Id="rId5" Type="http://schemas.openxmlformats.org/officeDocument/2006/relationships/footnotes" Target="footnotes.xml"/><Relationship Id="rId95" Type="http://schemas.openxmlformats.org/officeDocument/2006/relationships/header" Target="header38.xml"/><Relationship Id="rId160" Type="http://schemas.openxmlformats.org/officeDocument/2006/relationships/image" Target="media/image62.png"/><Relationship Id="rId181" Type="http://schemas.openxmlformats.org/officeDocument/2006/relationships/hyperlink" Target="https://www.telebras.com.br/wp-" TargetMode="External"/><Relationship Id="rId216" Type="http://schemas.openxmlformats.org/officeDocument/2006/relationships/image" Target="media/image93.png"/><Relationship Id="rId22" Type="http://schemas.openxmlformats.org/officeDocument/2006/relationships/hyperlink" Target="http://www.telebras.com.br/conheca-a-telebras/plano-estrategico/" TargetMode="External"/><Relationship Id="rId43" Type="http://schemas.openxmlformats.org/officeDocument/2006/relationships/image" Target="media/image16.png"/><Relationship Id="rId64" Type="http://schemas.openxmlformats.org/officeDocument/2006/relationships/footer" Target="footer22.xml"/><Relationship Id="rId118" Type="http://schemas.openxmlformats.org/officeDocument/2006/relationships/image" Target="media/image28.png"/><Relationship Id="rId139" Type="http://schemas.openxmlformats.org/officeDocument/2006/relationships/image" Target="media/image41.png"/><Relationship Id="rId85" Type="http://schemas.openxmlformats.org/officeDocument/2006/relationships/header" Target="header33.xml"/><Relationship Id="rId150" Type="http://schemas.openxmlformats.org/officeDocument/2006/relationships/image" Target="media/image52.png"/><Relationship Id="rId171" Type="http://schemas.openxmlformats.org/officeDocument/2006/relationships/hyperlink" Target="https://www.telebras.com.br/wp-content/uploads/2025/03/ATA-373a-" TargetMode="External"/><Relationship Id="rId192" Type="http://schemas.openxmlformats.org/officeDocument/2006/relationships/image" Target="media/image71.png"/><Relationship Id="rId206" Type="http://schemas.openxmlformats.org/officeDocument/2006/relationships/image" Target="media/image85.png"/><Relationship Id="rId227" Type="http://schemas.openxmlformats.org/officeDocument/2006/relationships/header" Target="header51.xml"/><Relationship Id="rId12" Type="http://schemas.openxmlformats.org/officeDocument/2006/relationships/footer" Target="footer2.xml"/><Relationship Id="rId33" Type="http://schemas.openxmlformats.org/officeDocument/2006/relationships/footer" Target="footer9.xml"/><Relationship Id="rId108" Type="http://schemas.openxmlformats.org/officeDocument/2006/relationships/image" Target="media/image21.png"/><Relationship Id="rId129" Type="http://schemas.openxmlformats.org/officeDocument/2006/relationships/image" Target="media/image33.png"/><Relationship Id="rId54" Type="http://schemas.openxmlformats.org/officeDocument/2006/relationships/header" Target="header18.xml"/><Relationship Id="rId75" Type="http://schemas.openxmlformats.org/officeDocument/2006/relationships/header" Target="header28.xml"/><Relationship Id="rId96" Type="http://schemas.openxmlformats.org/officeDocument/2006/relationships/footer" Target="footer38.xml"/><Relationship Id="rId140" Type="http://schemas.openxmlformats.org/officeDocument/2006/relationships/image" Target="media/image42.png"/><Relationship Id="rId161" Type="http://schemas.openxmlformats.org/officeDocument/2006/relationships/image" Target="media/image63.png"/><Relationship Id="rId182" Type="http://schemas.openxmlformats.org/officeDocument/2006/relationships/hyperlink" Target="https://www.telebras.com.br/wp-" TargetMode="External"/><Relationship Id="rId217" Type="http://schemas.openxmlformats.org/officeDocument/2006/relationships/header" Target="header48.xml"/><Relationship Id="rId6" Type="http://schemas.openxmlformats.org/officeDocument/2006/relationships/endnotes" Target="endnotes.xml"/><Relationship Id="rId23" Type="http://schemas.openxmlformats.org/officeDocument/2006/relationships/image" Target="media/image6.png"/><Relationship Id="rId119" Type="http://schemas.openxmlformats.org/officeDocument/2006/relationships/image" Target="media/image29.png"/><Relationship Id="rId44" Type="http://schemas.openxmlformats.org/officeDocument/2006/relationships/header" Target="header13.xml"/><Relationship Id="rId65" Type="http://schemas.openxmlformats.org/officeDocument/2006/relationships/header" Target="header23.xml"/><Relationship Id="rId86" Type="http://schemas.openxmlformats.org/officeDocument/2006/relationships/footer" Target="footer33.xml"/><Relationship Id="rId130" Type="http://schemas.openxmlformats.org/officeDocument/2006/relationships/image" Target="media/image34.png"/><Relationship Id="rId151" Type="http://schemas.openxmlformats.org/officeDocument/2006/relationships/image" Target="media/image53.png"/><Relationship Id="rId172" Type="http://schemas.openxmlformats.org/officeDocument/2006/relationships/hyperlink" Target="https://www.telebras.com.br/wp-content/uploads/2025/05/ATA-375a-" TargetMode="External"/><Relationship Id="rId193" Type="http://schemas.openxmlformats.org/officeDocument/2006/relationships/image" Target="media/image72.png"/><Relationship Id="rId207" Type="http://schemas.openxmlformats.org/officeDocument/2006/relationships/image" Target="media/image86.png"/><Relationship Id="rId228" Type="http://schemas.openxmlformats.org/officeDocument/2006/relationships/footer" Target="footer51.xml"/><Relationship Id="rId13" Type="http://schemas.openxmlformats.org/officeDocument/2006/relationships/header" Target="header3.xml"/><Relationship Id="rId109" Type="http://schemas.openxmlformats.org/officeDocument/2006/relationships/image" Target="media/image22.png"/><Relationship Id="rId34" Type="http://schemas.openxmlformats.org/officeDocument/2006/relationships/header" Target="header10.xml"/><Relationship Id="rId55" Type="http://schemas.openxmlformats.org/officeDocument/2006/relationships/footer" Target="footer18.xml"/><Relationship Id="rId76" Type="http://schemas.openxmlformats.org/officeDocument/2006/relationships/footer" Target="footer28.xml"/><Relationship Id="rId97" Type="http://schemas.openxmlformats.org/officeDocument/2006/relationships/header" Target="header39.xml"/><Relationship Id="rId120" Type="http://schemas.openxmlformats.org/officeDocument/2006/relationships/image" Target="media/image30.png"/><Relationship Id="rId141" Type="http://schemas.openxmlformats.org/officeDocument/2006/relationships/image" Target="media/image43.png"/><Relationship Id="rId7" Type="http://schemas.openxmlformats.org/officeDocument/2006/relationships/image" Target="media/image1.png"/><Relationship Id="rId162" Type="http://schemas.openxmlformats.org/officeDocument/2006/relationships/image" Target="media/image64.png"/><Relationship Id="rId183" Type="http://schemas.openxmlformats.org/officeDocument/2006/relationships/hyperlink" Target="https://www.telebras.com.br/wp-content/uploads/2025/12/ATA-" TargetMode="External"/><Relationship Id="rId218" Type="http://schemas.openxmlformats.org/officeDocument/2006/relationships/footer" Target="footer48.xml"/><Relationship Id="rId24" Type="http://schemas.openxmlformats.org/officeDocument/2006/relationships/header" Target="header6.xml"/><Relationship Id="rId45" Type="http://schemas.openxmlformats.org/officeDocument/2006/relationships/footer" Target="footer13.xml"/><Relationship Id="rId66" Type="http://schemas.openxmlformats.org/officeDocument/2006/relationships/footer" Target="footer23.xml"/><Relationship Id="rId87" Type="http://schemas.openxmlformats.org/officeDocument/2006/relationships/header" Target="header34.xml"/><Relationship Id="rId110" Type="http://schemas.openxmlformats.org/officeDocument/2006/relationships/image" Target="media/image23.jpeg"/><Relationship Id="rId131" Type="http://schemas.openxmlformats.org/officeDocument/2006/relationships/image" Target="media/image35.png"/><Relationship Id="rId152" Type="http://schemas.openxmlformats.org/officeDocument/2006/relationships/image" Target="media/image54.png"/><Relationship Id="rId173" Type="http://schemas.openxmlformats.org/officeDocument/2006/relationships/hyperlink" Target="https://www.telebras.com.br/wp-" TargetMode="External"/><Relationship Id="rId194" Type="http://schemas.openxmlformats.org/officeDocument/2006/relationships/image" Target="media/image73.png"/><Relationship Id="rId208" Type="http://schemas.openxmlformats.org/officeDocument/2006/relationships/image" Target="media/image87.png"/><Relationship Id="rId229" Type="http://schemas.openxmlformats.org/officeDocument/2006/relationships/fontTable" Target="fontTable.xml"/><Relationship Id="rId14" Type="http://schemas.openxmlformats.org/officeDocument/2006/relationships/footer" Target="footer3.xml"/><Relationship Id="rId35" Type="http://schemas.openxmlformats.org/officeDocument/2006/relationships/footer" Target="footer10.xml"/><Relationship Id="rId56" Type="http://schemas.openxmlformats.org/officeDocument/2006/relationships/header" Target="header19.xml"/><Relationship Id="rId77" Type="http://schemas.openxmlformats.org/officeDocument/2006/relationships/header" Target="header29.xml"/><Relationship Id="rId100" Type="http://schemas.openxmlformats.org/officeDocument/2006/relationships/header" Target="header40.xml"/><Relationship Id="rId8" Type="http://schemas.openxmlformats.org/officeDocument/2006/relationships/image" Target="media/image2.jpeg"/><Relationship Id="rId98" Type="http://schemas.openxmlformats.org/officeDocument/2006/relationships/footer" Target="footer39.xml"/><Relationship Id="rId121" Type="http://schemas.openxmlformats.org/officeDocument/2006/relationships/header" Target="header45.xml"/><Relationship Id="rId142" Type="http://schemas.openxmlformats.org/officeDocument/2006/relationships/image" Target="media/image44.png"/><Relationship Id="rId163" Type="http://schemas.openxmlformats.org/officeDocument/2006/relationships/image" Target="media/image65.png"/><Relationship Id="rId184" Type="http://schemas.openxmlformats.org/officeDocument/2006/relationships/hyperlink" Target="https://www.telebras.com.br/wp-content/uploads/2025/12/ATA-" TargetMode="External"/><Relationship Id="rId219" Type="http://schemas.openxmlformats.org/officeDocument/2006/relationships/image" Target="media/image94.png"/><Relationship Id="rId230" Type="http://schemas.openxmlformats.org/officeDocument/2006/relationships/theme" Target="theme/theme1.xml"/><Relationship Id="rId25" Type="http://schemas.openxmlformats.org/officeDocument/2006/relationships/footer" Target="footer6.xml"/><Relationship Id="rId46" Type="http://schemas.openxmlformats.org/officeDocument/2006/relationships/header" Target="header14.xml"/><Relationship Id="rId67" Type="http://schemas.openxmlformats.org/officeDocument/2006/relationships/header" Target="header24.xml"/><Relationship Id="rId116" Type="http://schemas.openxmlformats.org/officeDocument/2006/relationships/footer" Target="footer44.xml"/><Relationship Id="rId137" Type="http://schemas.openxmlformats.org/officeDocument/2006/relationships/image" Target="media/image39.png"/><Relationship Id="rId158" Type="http://schemas.openxmlformats.org/officeDocument/2006/relationships/image" Target="media/image60.png"/><Relationship Id="rId20" Type="http://schemas.openxmlformats.org/officeDocument/2006/relationships/image" Target="media/image5.jpeg"/><Relationship Id="rId41" Type="http://schemas.openxmlformats.org/officeDocument/2006/relationships/header" Target="header12.xml"/><Relationship Id="rId62" Type="http://schemas.openxmlformats.org/officeDocument/2006/relationships/footer" Target="footer21.xml"/><Relationship Id="rId83" Type="http://schemas.openxmlformats.org/officeDocument/2006/relationships/header" Target="header32.xml"/><Relationship Id="rId88" Type="http://schemas.openxmlformats.org/officeDocument/2006/relationships/footer" Target="footer34.xml"/><Relationship Id="rId111" Type="http://schemas.openxmlformats.org/officeDocument/2006/relationships/image" Target="media/image24.png"/><Relationship Id="rId132" Type="http://schemas.openxmlformats.org/officeDocument/2006/relationships/image" Target="media/image36.png"/><Relationship Id="rId153" Type="http://schemas.openxmlformats.org/officeDocument/2006/relationships/image" Target="media/image55.png"/><Relationship Id="rId174" Type="http://schemas.openxmlformats.org/officeDocument/2006/relationships/hyperlink" Target="https://www.telebras.com.br/wp" TargetMode="External"/><Relationship Id="rId179" Type="http://schemas.openxmlformats.org/officeDocument/2006/relationships/hyperlink" Target="https://www.telebras.com.br/wp-content/uploads/2025/09/ATA-" TargetMode="External"/><Relationship Id="rId195" Type="http://schemas.openxmlformats.org/officeDocument/2006/relationships/image" Target="media/image74.png"/><Relationship Id="rId209" Type="http://schemas.openxmlformats.org/officeDocument/2006/relationships/image" Target="media/image88.png"/><Relationship Id="rId190" Type="http://schemas.openxmlformats.org/officeDocument/2006/relationships/image" Target="media/image69.png"/><Relationship Id="rId204" Type="http://schemas.openxmlformats.org/officeDocument/2006/relationships/image" Target="media/image83.png"/><Relationship Id="rId220" Type="http://schemas.openxmlformats.org/officeDocument/2006/relationships/image" Target="media/image95.png"/><Relationship Id="rId225" Type="http://schemas.openxmlformats.org/officeDocument/2006/relationships/header" Target="header50.xml"/><Relationship Id="rId15" Type="http://schemas.openxmlformats.org/officeDocument/2006/relationships/header" Target="header4.xml"/><Relationship Id="rId36" Type="http://schemas.openxmlformats.org/officeDocument/2006/relationships/image" Target="media/image11.jpeg"/><Relationship Id="rId57" Type="http://schemas.openxmlformats.org/officeDocument/2006/relationships/footer" Target="footer19.xml"/><Relationship Id="rId106" Type="http://schemas.openxmlformats.org/officeDocument/2006/relationships/image" Target="media/image19.png"/><Relationship Id="rId127" Type="http://schemas.openxmlformats.org/officeDocument/2006/relationships/image" Target="media/image31.png"/><Relationship Id="rId10" Type="http://schemas.openxmlformats.org/officeDocument/2006/relationships/footer" Target="footer1.xml"/><Relationship Id="rId31" Type="http://schemas.openxmlformats.org/officeDocument/2006/relationships/image" Target="media/image9.jpeg"/><Relationship Id="rId52" Type="http://schemas.openxmlformats.org/officeDocument/2006/relationships/header" Target="header17.xml"/><Relationship Id="rId73" Type="http://schemas.openxmlformats.org/officeDocument/2006/relationships/header" Target="header27.xml"/><Relationship Id="rId78" Type="http://schemas.openxmlformats.org/officeDocument/2006/relationships/footer" Target="footer29.xml"/><Relationship Id="rId94" Type="http://schemas.openxmlformats.org/officeDocument/2006/relationships/footer" Target="footer37.xml"/><Relationship Id="rId99" Type="http://schemas.openxmlformats.org/officeDocument/2006/relationships/image" Target="media/image18.png"/><Relationship Id="rId101" Type="http://schemas.openxmlformats.org/officeDocument/2006/relationships/footer" Target="footer40.xml"/><Relationship Id="rId122" Type="http://schemas.openxmlformats.org/officeDocument/2006/relationships/footer" Target="footer45.xml"/><Relationship Id="rId143" Type="http://schemas.openxmlformats.org/officeDocument/2006/relationships/image" Target="media/image45.png"/><Relationship Id="rId148" Type="http://schemas.openxmlformats.org/officeDocument/2006/relationships/image" Target="media/image50.png"/><Relationship Id="rId164" Type="http://schemas.openxmlformats.org/officeDocument/2006/relationships/image" Target="media/image66.png"/><Relationship Id="rId169" Type="http://schemas.openxmlformats.org/officeDocument/2006/relationships/hyperlink" Target="https://www.telebras.com.br/wp-content/uploads/2025/06/ATA-365a-COAUD-15.01.2025.pdf" TargetMode="External"/><Relationship Id="rId185" Type="http://schemas.openxmlformats.org/officeDocument/2006/relationships/hyperlink" Target="https://www.telebras.com.br/wp-content/uploads/2025/12/ATA-" TargetMode="Externa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yperlink" Target="https://www.telebras.com.br/wp-" TargetMode="External"/><Relationship Id="rId210" Type="http://schemas.openxmlformats.org/officeDocument/2006/relationships/image" Target="media/image89.png"/><Relationship Id="rId215" Type="http://schemas.openxmlformats.org/officeDocument/2006/relationships/image" Target="media/image92.png"/><Relationship Id="rId26" Type="http://schemas.openxmlformats.org/officeDocument/2006/relationships/header" Target="header7.xml"/><Relationship Id="rId47" Type="http://schemas.openxmlformats.org/officeDocument/2006/relationships/footer" Target="footer14.xml"/><Relationship Id="rId68" Type="http://schemas.openxmlformats.org/officeDocument/2006/relationships/footer" Target="footer24.xml"/><Relationship Id="rId89" Type="http://schemas.openxmlformats.org/officeDocument/2006/relationships/header" Target="header35.xml"/><Relationship Id="rId112" Type="http://schemas.openxmlformats.org/officeDocument/2006/relationships/header" Target="header43.xml"/><Relationship Id="rId133" Type="http://schemas.openxmlformats.org/officeDocument/2006/relationships/image" Target="media/image37.png"/><Relationship Id="rId154" Type="http://schemas.openxmlformats.org/officeDocument/2006/relationships/image" Target="media/image56.png"/><Relationship Id="rId175" Type="http://schemas.openxmlformats.org/officeDocument/2006/relationships/hyperlink" Target="https://www.telebras.com.br/wp-" TargetMode="External"/><Relationship Id="rId196" Type="http://schemas.openxmlformats.org/officeDocument/2006/relationships/image" Target="media/image75.png"/><Relationship Id="rId200" Type="http://schemas.openxmlformats.org/officeDocument/2006/relationships/image" Target="media/image79.png"/><Relationship Id="rId16" Type="http://schemas.openxmlformats.org/officeDocument/2006/relationships/footer" Target="footer4.xml"/><Relationship Id="rId221" Type="http://schemas.openxmlformats.org/officeDocument/2006/relationships/image" Target="media/image96.png"/><Relationship Id="rId37" Type="http://schemas.openxmlformats.org/officeDocument/2006/relationships/image" Target="media/image12.png"/><Relationship Id="rId58" Type="http://schemas.openxmlformats.org/officeDocument/2006/relationships/header" Target="header20.xml"/><Relationship Id="rId79" Type="http://schemas.openxmlformats.org/officeDocument/2006/relationships/header" Target="header30.xml"/><Relationship Id="rId102" Type="http://schemas.openxmlformats.org/officeDocument/2006/relationships/header" Target="header41.xml"/><Relationship Id="rId123" Type="http://schemas.openxmlformats.org/officeDocument/2006/relationships/header" Target="header46.xml"/><Relationship Id="rId144" Type="http://schemas.openxmlformats.org/officeDocument/2006/relationships/image" Target="media/image46.png"/><Relationship Id="rId90" Type="http://schemas.openxmlformats.org/officeDocument/2006/relationships/footer" Target="footer35.xml"/><Relationship Id="rId165" Type="http://schemas.openxmlformats.org/officeDocument/2006/relationships/image" Target="media/image67.png"/><Relationship Id="rId186" Type="http://schemas.openxmlformats.org/officeDocument/2006/relationships/hyperlink" Target="https://www.telebras.com.br/wp-" TargetMode="External"/><Relationship Id="rId211" Type="http://schemas.openxmlformats.org/officeDocument/2006/relationships/header" Target="header47.xml"/><Relationship Id="rId27" Type="http://schemas.openxmlformats.org/officeDocument/2006/relationships/footer" Target="footer7.xml"/><Relationship Id="rId48" Type="http://schemas.openxmlformats.org/officeDocument/2006/relationships/header" Target="header15.xml"/><Relationship Id="rId69" Type="http://schemas.openxmlformats.org/officeDocument/2006/relationships/header" Target="header25.xml"/><Relationship Id="rId113" Type="http://schemas.openxmlformats.org/officeDocument/2006/relationships/footer" Target="footer43.xml"/><Relationship Id="rId134" Type="http://schemas.openxmlformats.org/officeDocument/2006/relationships/image" Target="media/image38.png"/><Relationship Id="rId80" Type="http://schemas.openxmlformats.org/officeDocument/2006/relationships/footer" Target="footer30.xml"/><Relationship Id="rId155" Type="http://schemas.openxmlformats.org/officeDocument/2006/relationships/image" Target="media/image57.png"/><Relationship Id="rId176" Type="http://schemas.openxmlformats.org/officeDocument/2006/relationships/hyperlink" Target="https://www.telebras.com.br/wp-" TargetMode="External"/><Relationship Id="rId197" Type="http://schemas.openxmlformats.org/officeDocument/2006/relationships/image" Target="media/image76.png"/><Relationship Id="rId201" Type="http://schemas.openxmlformats.org/officeDocument/2006/relationships/image" Target="media/image80.png"/><Relationship Id="rId222" Type="http://schemas.openxmlformats.org/officeDocument/2006/relationships/image" Target="media/image97.png"/><Relationship Id="rId17" Type="http://schemas.openxmlformats.org/officeDocument/2006/relationships/header" Target="header5.xml"/><Relationship Id="rId38" Type="http://schemas.openxmlformats.org/officeDocument/2006/relationships/image" Target="media/image13.png"/><Relationship Id="rId59" Type="http://schemas.openxmlformats.org/officeDocument/2006/relationships/footer" Target="footer20.xml"/><Relationship Id="rId103" Type="http://schemas.openxmlformats.org/officeDocument/2006/relationships/footer" Target="footer41.xml"/><Relationship Id="rId124" Type="http://schemas.openxmlformats.org/officeDocument/2006/relationships/footer" Target="footer46.xml"/><Relationship Id="rId70" Type="http://schemas.openxmlformats.org/officeDocument/2006/relationships/footer" Target="footer25.xml"/><Relationship Id="rId91" Type="http://schemas.openxmlformats.org/officeDocument/2006/relationships/header" Target="header36.xml"/><Relationship Id="rId145" Type="http://schemas.openxmlformats.org/officeDocument/2006/relationships/image" Target="media/image47.png"/><Relationship Id="rId166" Type="http://schemas.openxmlformats.org/officeDocument/2006/relationships/image" Target="media/image68.png"/><Relationship Id="rId187" Type="http://schemas.openxmlformats.org/officeDocument/2006/relationships/hyperlink" Target="https://www.telebras.com.br/wp-content/uploads/2025/12/ATA-" TargetMode="External"/><Relationship Id="rId1" Type="http://schemas.openxmlformats.org/officeDocument/2006/relationships/numbering" Target="numbering.xml"/><Relationship Id="rId212" Type="http://schemas.openxmlformats.org/officeDocument/2006/relationships/footer" Target="footer47.xml"/><Relationship Id="rId28" Type="http://schemas.openxmlformats.org/officeDocument/2006/relationships/image" Target="media/image7.jpeg"/><Relationship Id="rId49" Type="http://schemas.openxmlformats.org/officeDocument/2006/relationships/footer" Target="footer15.xml"/><Relationship Id="rId114" Type="http://schemas.openxmlformats.org/officeDocument/2006/relationships/image" Target="media/image26.png"/><Relationship Id="rId60" Type="http://schemas.openxmlformats.org/officeDocument/2006/relationships/hyperlink" Target="http://www.telebras.com.br/" TargetMode="External"/><Relationship Id="rId81" Type="http://schemas.openxmlformats.org/officeDocument/2006/relationships/header" Target="header31.xml"/><Relationship Id="rId135" Type="http://schemas.openxmlformats.org/officeDocument/2006/relationships/hyperlink" Target="http://www.telebras.com.br/organograma/" TargetMode="External"/><Relationship Id="rId156" Type="http://schemas.openxmlformats.org/officeDocument/2006/relationships/image" Target="media/image58.png"/><Relationship Id="rId177" Type="http://schemas.openxmlformats.org/officeDocument/2006/relationships/hyperlink" Target="https://www.telebras.com.br/wp-content/uploads/2025/09/ATA-" TargetMode="External"/><Relationship Id="rId198" Type="http://schemas.openxmlformats.org/officeDocument/2006/relationships/image" Target="media/image77.png"/><Relationship Id="rId202" Type="http://schemas.openxmlformats.org/officeDocument/2006/relationships/image" Target="media/image81.png"/><Relationship Id="rId223" Type="http://schemas.openxmlformats.org/officeDocument/2006/relationships/header" Target="header49.xml"/><Relationship Id="rId18" Type="http://schemas.openxmlformats.org/officeDocument/2006/relationships/footer" Target="footer5.xml"/><Relationship Id="rId39" Type="http://schemas.openxmlformats.org/officeDocument/2006/relationships/header" Target="header11.xml"/><Relationship Id="rId50" Type="http://schemas.openxmlformats.org/officeDocument/2006/relationships/header" Target="header16.xml"/><Relationship Id="rId104" Type="http://schemas.openxmlformats.org/officeDocument/2006/relationships/header" Target="header42.xml"/><Relationship Id="rId125" Type="http://schemas.openxmlformats.org/officeDocument/2006/relationships/hyperlink" Target="https://www.telebras.com.br/wp-content/uploads/2024/01/Regimento_Interno_COAUD_aprovado_na_ROCA_497_29_08_2023-ASSINADO.pdf" TargetMode="External"/><Relationship Id="rId146" Type="http://schemas.openxmlformats.org/officeDocument/2006/relationships/image" Target="media/image48.png"/><Relationship Id="rId167" Type="http://schemas.openxmlformats.org/officeDocument/2006/relationships/hyperlink" Target="https://www.telebras.com.br/wp-content/uploads/2025/06/ATA-364-a-COAUD-08.01.2025.docx.pdf" TargetMode="External"/><Relationship Id="rId188" Type="http://schemas.openxmlformats.org/officeDocument/2006/relationships/hyperlink" Target="https://www.telebras.com.br/wp-content/uploads/2026/01/ATA-" TargetMode="External"/><Relationship Id="rId71" Type="http://schemas.openxmlformats.org/officeDocument/2006/relationships/header" Target="header26.xml"/><Relationship Id="rId92" Type="http://schemas.openxmlformats.org/officeDocument/2006/relationships/footer" Target="footer36.xml"/><Relationship Id="rId213" Type="http://schemas.openxmlformats.org/officeDocument/2006/relationships/image" Target="media/image90.png"/><Relationship Id="rId2" Type="http://schemas.openxmlformats.org/officeDocument/2006/relationships/styles" Target="styles.xml"/><Relationship Id="rId29" Type="http://schemas.openxmlformats.org/officeDocument/2006/relationships/header" Target="header8.xml"/><Relationship Id="rId40" Type="http://schemas.openxmlformats.org/officeDocument/2006/relationships/footer" Target="footer11.xml"/><Relationship Id="rId115" Type="http://schemas.openxmlformats.org/officeDocument/2006/relationships/header" Target="header44.xml"/><Relationship Id="rId136" Type="http://schemas.openxmlformats.org/officeDocument/2006/relationships/hyperlink" Target="https://www.telebras.com.br/transparencia-e-prestacao-de-contas/conselho-de-administracao/" TargetMode="External"/><Relationship Id="rId157" Type="http://schemas.openxmlformats.org/officeDocument/2006/relationships/image" Target="media/image59.png"/><Relationship Id="rId178" Type="http://schemas.openxmlformats.org/officeDocument/2006/relationships/hyperlink" Target="https://www.telebras.com.br/wp-content/uploads/2025/09/ATA-" TargetMode="External"/><Relationship Id="rId61" Type="http://schemas.openxmlformats.org/officeDocument/2006/relationships/header" Target="header21.xml"/><Relationship Id="rId82" Type="http://schemas.openxmlformats.org/officeDocument/2006/relationships/footer" Target="footer31.xml"/><Relationship Id="rId199" Type="http://schemas.openxmlformats.org/officeDocument/2006/relationships/image" Target="media/image78.png"/><Relationship Id="rId203" Type="http://schemas.openxmlformats.org/officeDocument/2006/relationships/image" Target="media/image82.png"/><Relationship Id="rId19" Type="http://schemas.openxmlformats.org/officeDocument/2006/relationships/image" Target="media/image4.jpeg"/><Relationship Id="rId224" Type="http://schemas.openxmlformats.org/officeDocument/2006/relationships/footer" Target="footer49.xml"/><Relationship Id="rId30" Type="http://schemas.openxmlformats.org/officeDocument/2006/relationships/footer" Target="footer8.xml"/><Relationship Id="rId105" Type="http://schemas.openxmlformats.org/officeDocument/2006/relationships/footer" Target="footer42.xml"/><Relationship Id="rId126" Type="http://schemas.openxmlformats.org/officeDocument/2006/relationships/hyperlink" Target="https://www.telebras.com.br/wp-content/uploads/2024/01/Regimento_Interno_COAUD_aprovado_na_ROCA_497_29_08_2023-ASSINADO.pdf" TargetMode="External"/><Relationship Id="rId147" Type="http://schemas.openxmlformats.org/officeDocument/2006/relationships/image" Target="media/image49.png"/><Relationship Id="rId168" Type="http://schemas.openxmlformats.org/officeDocument/2006/relationships/hyperlink" Target="https://www.telebras.com.br/wp-content/uploads/2025/06/ATA-364-a-COAUD-08.01.2025.docx.pdf" TargetMode="External"/><Relationship Id="rId51" Type="http://schemas.openxmlformats.org/officeDocument/2006/relationships/footer" Target="footer16.xml"/><Relationship Id="rId72" Type="http://schemas.openxmlformats.org/officeDocument/2006/relationships/footer" Target="footer26.xml"/><Relationship Id="rId93" Type="http://schemas.openxmlformats.org/officeDocument/2006/relationships/header" Target="header37.xml"/><Relationship Id="rId189" Type="http://schemas.openxmlformats.org/officeDocument/2006/relationships/hyperlink" Target="https://www.telebras.com.br/wp-content/uploads/2026/01/ATA-" TargetMode="External"/><Relationship Id="rId3" Type="http://schemas.openxmlformats.org/officeDocument/2006/relationships/settings" Target="settings.xml"/><Relationship Id="rId214" Type="http://schemas.openxmlformats.org/officeDocument/2006/relationships/image" Target="media/image91.png"/></Relationships>
</file>

<file path=word/_rels/footer14.xml.rels><?xml version="1.0" encoding="UTF-8" standalone="yes"?>
<Relationships xmlns="http://schemas.openxmlformats.org/package/2006/relationships"><Relationship Id="rId2" Type="http://schemas.openxmlformats.org/officeDocument/2006/relationships/hyperlink" Target="http://www.consultauditores.com.br/" TargetMode="External"/><Relationship Id="rId1" Type="http://schemas.openxmlformats.org/officeDocument/2006/relationships/hyperlink" Target="http://www.consultauditores.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10.jpeg"/></Relationships>
</file>

<file path=word/_rels/header11.xml.rels><?xml version="1.0" encoding="UTF-8" standalone="yes"?>
<Relationships xmlns="http://schemas.openxmlformats.org/package/2006/relationships"><Relationship Id="rId1" Type="http://schemas.openxmlformats.org/officeDocument/2006/relationships/image" Target="media/image14.jpeg"/></Relationships>
</file>

<file path=word/_rels/header12.xml.rels><?xml version="1.0" encoding="UTF-8" standalone="yes"?>
<Relationships xmlns="http://schemas.openxmlformats.org/package/2006/relationships"><Relationship Id="rId1" Type="http://schemas.openxmlformats.org/officeDocument/2006/relationships/image" Target="media/image15.jpeg"/></Relationships>
</file>

<file path=word/_rels/header14.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1" Type="http://schemas.openxmlformats.org/officeDocument/2006/relationships/image" Target="media/image25.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183</Pages>
  <Words>61808</Words>
  <Characters>361581</Characters>
  <Application>Microsoft Office Word</Application>
  <DocSecurity>0</DocSecurity>
  <Lines>14463</Lines>
  <Paragraphs>9846</Paragraphs>
  <ScaleCrop>false</ScaleCrop>
  <Company>TELEBRAS S.A.</Company>
  <LinksUpToDate>false</LinksUpToDate>
  <CharactersWithSpaces>413543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Erico Luis Cortes Cazarre</dc:creator>
  <cp:lastModifiedBy>Erico Luis Cortes Cazarre</cp:lastModifiedBy>
  <cp:revision>2</cp:revision>
  <dcterms:created xsi:type="dcterms:W3CDTF">2026-03-20T23:29:00Z</dcterms:created>
  <dcterms:modified xsi:type="dcterms:W3CDTF">2026-03-20T23:29:00Z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2026-03-20T00:00:00Z</vt:filetime>
  </property>
  <property fmtid="{D5CDD505-2E9C-101B-9397-08002B2CF9AE}" pid="3" name="Creator">
    <vt:lpwstr>Microsoft® Word para Microsoft 365</vt:lpwstr>
  </property>
  <property fmtid="{D5CDD505-2E9C-101B-9397-08002B2CF9AE}" pid="4" name="Producer">
    <vt:lpwstr>Microsoft® Word para Microsoft 365</vt:lpwstr>
  </property>
  <property fmtid="{D5CDD505-2E9C-101B-9397-08002B2CF9AE}" pid="5" name="LastSaved">
    <vt:filetime>2026-03-20T00:00:00Z</vt:filetime>
  </property>
</Properties>
</file>